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D75E758" w14:textId="6F758B45" w:rsidR="00B01489" w:rsidRPr="00B35BB9" w:rsidRDefault="00D8394F" w:rsidP="00B35BB9">
      <w:pPr>
        <w:keepNext/>
        <w:pBdr>
          <w:top w:val="double" w:sz="6" w:space="10" w:color="002060"/>
          <w:bottom w:val="double" w:sz="6" w:space="1" w:color="002060"/>
        </w:pBdr>
        <w:spacing w:after="480" w:line="360" w:lineRule="auto"/>
        <w:ind w:right="-102"/>
        <w:rPr>
          <w:b/>
          <w:bCs/>
          <w:color w:val="002060"/>
          <w:sz w:val="26"/>
          <w:szCs w:val="26"/>
          <w:lang w:eastAsia="en-US"/>
        </w:rPr>
      </w:pPr>
      <w:bookmarkStart w:id="0" w:name="OLE_LINK104"/>
      <w:bookmarkStart w:id="1" w:name="OLE_LINK105"/>
      <w:bookmarkStart w:id="2" w:name="OLE_LINK90"/>
      <w:r w:rsidRPr="00B35BB9">
        <w:rPr>
          <w:b/>
          <w:color w:val="002060"/>
          <w:sz w:val="32"/>
          <w:szCs w:val="32"/>
        </w:rPr>
        <w:t>I</w:t>
      </w:r>
      <w:r w:rsidR="00133A18" w:rsidRPr="00B35BB9">
        <w:rPr>
          <w:b/>
          <w:color w:val="002060"/>
          <w:sz w:val="32"/>
          <w:szCs w:val="32"/>
        </w:rPr>
        <w:t xml:space="preserve">. </w:t>
      </w:r>
      <w:r w:rsidR="00294F16" w:rsidRPr="00B35BB9">
        <w:rPr>
          <w:b/>
          <w:color w:val="002060"/>
          <w:sz w:val="32"/>
          <w:szCs w:val="32"/>
        </w:rPr>
        <w:t>C</w:t>
      </w:r>
      <w:r w:rsidR="007324C4" w:rsidRPr="00B35BB9">
        <w:rPr>
          <w:b/>
          <w:color w:val="002060"/>
          <w:sz w:val="32"/>
          <w:szCs w:val="32"/>
        </w:rPr>
        <w:t>ONDICIONES GENERALES DE LA ECONOMÍA</w:t>
      </w:r>
    </w:p>
    <w:p w14:paraId="491FAD4B" w14:textId="77777777" w:rsidR="00FF280E" w:rsidRPr="00B35BB9" w:rsidRDefault="002116B7" w:rsidP="00F54740">
      <w:pPr>
        <w:spacing w:after="360" w:line="360" w:lineRule="auto"/>
        <w:ind w:right="-159"/>
        <w:jc w:val="both"/>
        <w:rPr>
          <w:b/>
          <w:color w:val="0000FF"/>
          <w:sz w:val="28"/>
          <w:szCs w:val="28"/>
        </w:rPr>
      </w:pPr>
      <w:bookmarkStart w:id="3" w:name="OLE_LINK3"/>
      <w:bookmarkStart w:id="4" w:name="OLE_LINK4"/>
      <w:bookmarkEnd w:id="0"/>
      <w:bookmarkEnd w:id="1"/>
      <w:bookmarkEnd w:id="2"/>
      <w:r w:rsidRPr="00B35BB9">
        <w:rPr>
          <w:b/>
          <w:color w:val="0000FF"/>
          <w:sz w:val="28"/>
          <w:szCs w:val="28"/>
        </w:rPr>
        <w:t>EVOLUCIÓN ECONÓMICA DE MÉXICO</w:t>
      </w:r>
    </w:p>
    <w:p w14:paraId="5B939EF1" w14:textId="77777777" w:rsidR="000811C4" w:rsidRPr="000811C4" w:rsidRDefault="000811C4" w:rsidP="000811C4">
      <w:pPr>
        <w:ind w:right="-159"/>
        <w:jc w:val="both"/>
        <w:rPr>
          <w:rFonts w:eastAsia="Calibri"/>
          <w:b/>
          <w:sz w:val="26"/>
          <w:szCs w:val="26"/>
          <w:lang w:eastAsia="en-US"/>
        </w:rPr>
      </w:pPr>
      <w:r w:rsidRPr="000811C4">
        <w:rPr>
          <w:rFonts w:eastAsia="Calibri"/>
          <w:b/>
          <w:sz w:val="26"/>
          <w:szCs w:val="26"/>
          <w:lang w:eastAsia="en-US"/>
        </w:rPr>
        <w:t>El crecimiento del  PIB nacional en 2014</w:t>
      </w:r>
    </w:p>
    <w:p w14:paraId="49456316" w14:textId="77777777" w:rsidR="000811C4" w:rsidRPr="000811C4" w:rsidRDefault="000811C4" w:rsidP="000811C4">
      <w:pPr>
        <w:ind w:right="-159"/>
        <w:jc w:val="both"/>
        <w:rPr>
          <w:rFonts w:eastAsia="Calibri"/>
          <w:b/>
          <w:sz w:val="26"/>
          <w:szCs w:val="26"/>
          <w:lang w:eastAsia="en-US"/>
        </w:rPr>
      </w:pPr>
      <w:proofErr w:type="gramStart"/>
      <w:r w:rsidRPr="000811C4">
        <w:rPr>
          <w:rFonts w:eastAsia="Calibri"/>
          <w:b/>
          <w:sz w:val="26"/>
          <w:szCs w:val="26"/>
          <w:lang w:eastAsia="en-US"/>
        </w:rPr>
        <w:t>es</w:t>
      </w:r>
      <w:proofErr w:type="gramEnd"/>
      <w:r w:rsidRPr="000811C4">
        <w:rPr>
          <w:rFonts w:eastAsia="Calibri"/>
          <w:b/>
          <w:sz w:val="26"/>
          <w:szCs w:val="26"/>
          <w:lang w:eastAsia="en-US"/>
        </w:rPr>
        <w:t xml:space="preserve"> superior a las estimaciones para otras</w:t>
      </w:r>
    </w:p>
    <w:p w14:paraId="05F70D2D" w14:textId="77777777" w:rsidR="000811C4" w:rsidRPr="000811C4" w:rsidRDefault="000811C4" w:rsidP="000811C4">
      <w:pPr>
        <w:ind w:right="-159"/>
        <w:jc w:val="both"/>
        <w:rPr>
          <w:rFonts w:eastAsia="Calibri"/>
          <w:b/>
          <w:sz w:val="26"/>
          <w:szCs w:val="26"/>
          <w:lang w:eastAsia="en-US"/>
        </w:rPr>
      </w:pPr>
      <w:proofErr w:type="gramStart"/>
      <w:r w:rsidRPr="000811C4">
        <w:rPr>
          <w:rFonts w:eastAsia="Calibri"/>
          <w:b/>
          <w:sz w:val="26"/>
          <w:szCs w:val="26"/>
          <w:lang w:eastAsia="en-US"/>
        </w:rPr>
        <w:t>economías</w:t>
      </w:r>
      <w:proofErr w:type="gramEnd"/>
      <w:r w:rsidRPr="000811C4">
        <w:rPr>
          <w:rFonts w:eastAsia="Calibri"/>
          <w:b/>
          <w:sz w:val="26"/>
          <w:szCs w:val="26"/>
          <w:lang w:eastAsia="en-US"/>
        </w:rPr>
        <w:t xml:space="preserve">   de   la  región  o  del  mundo</w:t>
      </w:r>
    </w:p>
    <w:p w14:paraId="71C12414" w14:textId="77777777" w:rsidR="000811C4" w:rsidRPr="000811C4" w:rsidRDefault="000811C4" w:rsidP="000811C4">
      <w:pPr>
        <w:spacing w:after="360" w:line="360" w:lineRule="auto"/>
        <w:ind w:right="-159"/>
        <w:jc w:val="both"/>
        <w:rPr>
          <w:rFonts w:eastAsia="Calibri"/>
          <w:b/>
          <w:sz w:val="26"/>
          <w:szCs w:val="26"/>
          <w:lang w:eastAsia="en-US"/>
        </w:rPr>
      </w:pPr>
      <w:r w:rsidRPr="000811C4">
        <w:rPr>
          <w:rFonts w:eastAsia="Calibri"/>
          <w:b/>
          <w:sz w:val="26"/>
          <w:szCs w:val="26"/>
          <w:lang w:eastAsia="en-US"/>
        </w:rPr>
        <w:t>(Presidencia de la República)</w:t>
      </w:r>
    </w:p>
    <w:p w14:paraId="1991FDF7" w14:textId="77777777" w:rsidR="000811C4" w:rsidRPr="000811C4" w:rsidRDefault="000811C4" w:rsidP="000811C4">
      <w:pPr>
        <w:spacing w:after="360" w:line="360" w:lineRule="auto"/>
        <w:ind w:right="-159"/>
        <w:jc w:val="both"/>
        <w:rPr>
          <w:rFonts w:eastAsia="Calibri"/>
          <w:sz w:val="26"/>
          <w:szCs w:val="26"/>
          <w:lang w:eastAsia="en-US"/>
        </w:rPr>
      </w:pPr>
      <w:r w:rsidRPr="000811C4">
        <w:rPr>
          <w:rFonts w:eastAsia="Calibri"/>
          <w:sz w:val="26"/>
          <w:szCs w:val="26"/>
          <w:lang w:eastAsia="en-US"/>
        </w:rPr>
        <w:t>El 20 de febrero de 2015, Presidencia de la República informó que el crecimiento del PIB nacional en 2014 es superior a las estimaciones para otras economías de la región o del mundo. A continuación se presenta la información.</w:t>
      </w:r>
    </w:p>
    <w:p w14:paraId="10C8B963" w14:textId="0B910718" w:rsidR="000811C4" w:rsidRPr="000811C4" w:rsidRDefault="000811C4" w:rsidP="000811C4">
      <w:pPr>
        <w:spacing w:after="360" w:line="360" w:lineRule="auto"/>
        <w:ind w:right="-159"/>
        <w:jc w:val="both"/>
        <w:rPr>
          <w:rFonts w:eastAsia="Calibri"/>
          <w:sz w:val="26"/>
          <w:szCs w:val="26"/>
          <w:lang w:eastAsia="en-US"/>
        </w:rPr>
      </w:pPr>
      <w:r w:rsidRPr="000811C4">
        <w:rPr>
          <w:rFonts w:eastAsia="Calibri"/>
          <w:sz w:val="26"/>
          <w:szCs w:val="26"/>
          <w:lang w:eastAsia="en-US"/>
        </w:rPr>
        <w:t>El Presidente de la República Mexicana resaltó que el crecimiento del Producto Interno Bruto (PIB) nacional en 2014, de 2.1%, si bien aún es una tasa baja, “es superior al 1.4% de 2013 y a las estimaciones para otras economías de la región o de otras partes del mundo”.</w:t>
      </w:r>
    </w:p>
    <w:p w14:paraId="7F7CB778" w14:textId="77777777" w:rsidR="000811C4" w:rsidRPr="000811C4" w:rsidRDefault="000811C4" w:rsidP="000811C4">
      <w:pPr>
        <w:spacing w:after="360" w:line="360" w:lineRule="auto"/>
        <w:ind w:right="-159"/>
        <w:jc w:val="both"/>
        <w:rPr>
          <w:rFonts w:eastAsia="Calibri"/>
          <w:sz w:val="26"/>
          <w:szCs w:val="26"/>
          <w:lang w:eastAsia="en-US"/>
        </w:rPr>
      </w:pPr>
      <w:r w:rsidRPr="000811C4">
        <w:rPr>
          <w:rFonts w:eastAsia="Calibri"/>
          <w:sz w:val="26"/>
          <w:szCs w:val="26"/>
          <w:lang w:eastAsia="en-US"/>
        </w:rPr>
        <w:t>Como ejemplos, citó los casos “de Brasil, que se estima habrá crecido 0.1%; la Unión Europea, 0.8%; Rusia, 0.6%; Sudáfrica, 1.4%, y el promedio de Latinoamérica y el Caribe, de apenas 1.2 por ciento”.</w:t>
      </w:r>
    </w:p>
    <w:p w14:paraId="6E9772BF" w14:textId="5B9801B7" w:rsidR="000811C4" w:rsidRPr="000811C4" w:rsidRDefault="000811C4" w:rsidP="000811C4">
      <w:pPr>
        <w:spacing w:after="360" w:line="360" w:lineRule="auto"/>
        <w:ind w:right="-159"/>
        <w:jc w:val="both"/>
        <w:rPr>
          <w:rFonts w:eastAsia="Calibri"/>
          <w:sz w:val="26"/>
          <w:szCs w:val="26"/>
          <w:lang w:eastAsia="en-US"/>
        </w:rPr>
      </w:pPr>
      <w:r w:rsidRPr="000811C4">
        <w:rPr>
          <w:rFonts w:eastAsia="Calibri"/>
          <w:sz w:val="26"/>
          <w:szCs w:val="26"/>
          <w:lang w:eastAsia="en-US"/>
        </w:rPr>
        <w:t>Al reunirse con la Comunidad Judía de México, el Primer Mandatario refirió que “de acuerdo con información del INEGI, distintas actividades de nuestra economía están mostrando crecimiento: el sector de servicios de hotelería y restaurantero creció 2.9%; el comercio creció 3.3%; las industrias manufactureras crecieron 3.7%, y los servicios corporativos más de un 6.4 por ciento”.</w:t>
      </w:r>
      <w:r w:rsidR="00DE3BAB" w:rsidRPr="00DE3BAB">
        <w:rPr>
          <w:rFonts w:eastAsia="Calibri"/>
          <w:noProof/>
          <w:sz w:val="26"/>
          <w:szCs w:val="26"/>
          <w:lang w:eastAsia="es-MX"/>
        </w:rPr>
        <w:t xml:space="preserve"> </w:t>
      </w:r>
    </w:p>
    <w:p w14:paraId="431A08D7" w14:textId="7186BB5E" w:rsidR="000811C4" w:rsidRPr="000811C4" w:rsidRDefault="00DE3BAB" w:rsidP="000811C4">
      <w:pPr>
        <w:spacing w:after="360" w:line="360" w:lineRule="auto"/>
        <w:ind w:right="-159"/>
        <w:jc w:val="both"/>
        <w:rPr>
          <w:rFonts w:eastAsia="Calibri"/>
          <w:sz w:val="26"/>
          <w:szCs w:val="26"/>
          <w:lang w:eastAsia="en-US"/>
        </w:rPr>
      </w:pPr>
      <w:r>
        <w:rPr>
          <w:rFonts w:eastAsia="Calibri"/>
          <w:noProof/>
          <w:sz w:val="26"/>
          <w:szCs w:val="26"/>
          <w:lang w:eastAsia="es-MX"/>
        </w:rPr>
        <mc:AlternateContent>
          <mc:Choice Requires="wps">
            <w:drawing>
              <wp:anchor distT="45720" distB="45720" distL="114300" distR="114300" simplePos="0" relativeHeight="251664384" behindDoc="0" locked="0" layoutInCell="1" allowOverlap="1" wp14:anchorId="3EBCB060" wp14:editId="437B5686">
                <wp:simplePos x="0" y="0"/>
                <wp:positionH relativeFrom="margin">
                  <wp:align>right</wp:align>
                </wp:positionH>
                <wp:positionV relativeFrom="page">
                  <wp:posOffset>9307195</wp:posOffset>
                </wp:positionV>
                <wp:extent cx="2242820" cy="266700"/>
                <wp:effectExtent l="0" t="0" r="2540" b="0"/>
                <wp:wrapSquare wrapText="bothSides"/>
                <wp:docPr id="1689" name="Cuadro de texto 16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4282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18DD62" w14:textId="77777777" w:rsidR="004E3116" w:rsidRDefault="004E3116" w:rsidP="00DE3BAB">
                            <w:pPr>
                              <w:jc w:val="right"/>
                            </w:pPr>
                            <w:r>
                              <w:t>F1 P-07-02 Rev.00</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type w14:anchorId="3EBCB060" id="_x0000_t202" coordsize="21600,21600" o:spt="202" path="m,l,21600r21600,l21600,xe">
                <v:stroke joinstyle="miter"/>
                <v:path gradientshapeok="t" o:connecttype="rect"/>
              </v:shapetype>
              <v:shape id="Cuadro de texto 1689" o:spid="_x0000_s1026" type="#_x0000_t202" style="position:absolute;left:0;text-align:left;margin-left:125.4pt;margin-top:732.85pt;width:176.6pt;height:21pt;z-index:251664384;visibility:visible;mso-wrap-style:square;mso-width-percent:400;mso-height-percent:200;mso-wrap-distance-left:9pt;mso-wrap-distance-top:3.6pt;mso-wrap-distance-right:9pt;mso-wrap-distance-bottom:3.6pt;mso-position-horizontal:right;mso-position-horizontal-relative:margin;mso-position-vertical:absolute;mso-position-vertical-relative:page;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3HrAiQIAABwFAAAOAAAAZHJzL2Uyb0RvYy54bWysVNuO0zAQfUfiHyy/d3NReknUdLVtCUJa&#10;LtLCB7ix01gknmC7TRbEvzN22m5ZQEKIPDi2x3N8ZuaMl7dD25Cj0EaCyml0E1IiVAlcqn1OP30s&#10;JgtKjGWKswaUyOmjMPR29fLFsu8yEUMNDReaIIgyWd/ltLa2y4LAlLVombmBTig0VqBbZnGp9wHX&#10;rEf0tgniMJwFPWjeaSiFMbi7HY105fGrSpT2fVUZYUmTU+Rm/aj9uHNjsFqybK9ZV8vyRIP9A4uW&#10;SYWXXqC2zDJy0PIXqFaWGgxU9qaENoCqkqXwMWA0UfgsmoeadcLHgskx3SVN5v/Blu+OHzSRHGs3&#10;W6SUKNZilTYHxjUQLogVgwXibZiqvjMZejx06GOHNQzo5sM23T2Unw1RsKmZ2os7raGvBeNINXJJ&#10;Dq5cRxzjQHb9W+B4ITtY8EBDpVuXR8wMQXQs2eOlTEiFlLgZx0m8iNFUoi2ezeahr2PAsrN3p419&#10;LaAlbpJTjTLw6Ox4b6xjw7LzEXeZgUbyQjaNX+j9btNocmQomcJ/PoBnxxrlDitwbiPiuIMk8Q5n&#10;c3S9BL6lUZyE6zidFLPFfJIUyXSSzsPFJIzSdToLkzTZFt8dwSjJasm5UPdSibMco+Tvyn1qjFFI&#10;XpCkz2k6jadjif4YZOi/3wXZSovd2cg2p4vLIZa5wr5SHMNmmWWyGefBz/R9ljEH57/PipeBq/yo&#10;ATvsBkRx2tgBf0RBaMB6YWnxScFJDforJT22Z07NlwPTgpLmjUJRpVGSuH72i2Q6d3LQ15bdtYWp&#10;EqFyaikZpxs7vgGHTst9jTedZXyHQiyk18gTq5N8sQV9MKfnwvX49dqfenrUVj8AAAD//wMAUEsD&#10;BBQABgAIAAAAIQBBmf+Y4AAAAAoBAAAPAAAAZHJzL2Rvd25yZXYueG1sTI9PT4NAEMXvJn6HzZh4&#10;MXYplWKQpan/Lt5aMfE4hSmg7C5hpy366R1Pepz3Xt78Xr6abK+ONIbOOwPzWQSKXOXrzjUGytfn&#10;61tQgdHV2HtHBr4owKo4P8sxq/3Jbei45UZJiQsZGmiZh0zrULVkMcz8QE68vR8tspxjo+sRT1Ju&#10;ex1H0VJb7Jx8aHGgh5aqz+3BGvi+Lx/XT1c838f8Hr9t7EtZfaAxlxfT+g4U08R/YfjFF3QohGnn&#10;D64OqjcgQ1jUm2WSghJ/kSxiUDuRkihNQRe5/j+h+AEAAP//AwBQSwECLQAUAAYACAAAACEAtoM4&#10;kv4AAADhAQAAEwAAAAAAAAAAAAAAAAAAAAAAW0NvbnRlbnRfVHlwZXNdLnhtbFBLAQItABQABgAI&#10;AAAAIQA4/SH/1gAAAJQBAAALAAAAAAAAAAAAAAAAAC8BAABfcmVscy8ucmVsc1BLAQItABQABgAI&#10;AAAAIQAn3HrAiQIAABwFAAAOAAAAAAAAAAAAAAAAAC4CAABkcnMvZTJvRG9jLnhtbFBLAQItABQA&#10;BgAIAAAAIQBBmf+Y4AAAAAoBAAAPAAAAAAAAAAAAAAAAAOMEAABkcnMvZG93bnJldi54bWxQSwUG&#10;AAAAAAQABADzAAAA8AUAAAAA&#10;" stroked="f">
                <v:textbox style="mso-fit-shape-to-text:t">
                  <w:txbxContent>
                    <w:p w14:paraId="6B18DD62" w14:textId="77777777" w:rsidR="004E3116" w:rsidRDefault="004E3116" w:rsidP="00DE3BAB">
                      <w:pPr>
                        <w:jc w:val="right"/>
                      </w:pPr>
                      <w:r>
                        <w:t>F1 P-07-02 Rev.00</w:t>
                      </w:r>
                    </w:p>
                  </w:txbxContent>
                </v:textbox>
                <w10:wrap type="square" anchorx="margin" anchory="page"/>
              </v:shape>
            </w:pict>
          </mc:Fallback>
        </mc:AlternateContent>
      </w:r>
      <w:r w:rsidR="000811C4" w:rsidRPr="000811C4">
        <w:rPr>
          <w:rFonts w:eastAsia="Calibri"/>
          <w:sz w:val="26"/>
          <w:szCs w:val="26"/>
          <w:lang w:eastAsia="en-US"/>
        </w:rPr>
        <w:t xml:space="preserve">Añadió que estas cifras tienen consistencia con el empleo generado en el país. “En 2014 se crearon más de 714 mil empleos formales; esto es 54% más que los que se generaron </w:t>
      </w:r>
      <w:r w:rsidR="000811C4" w:rsidRPr="000811C4">
        <w:rPr>
          <w:rFonts w:eastAsia="Calibri"/>
          <w:sz w:val="26"/>
          <w:szCs w:val="26"/>
          <w:lang w:eastAsia="en-US"/>
        </w:rPr>
        <w:lastRenderedPageBreak/>
        <w:t>en el año 2013. En enero de 2015, resultan alentadoras las cifras que ha dado a conocer el Seguro Social: 60 mil puestos de trabajo formales, casi tres veces más que los que se lograron generar en 2013 en el mes de enero”.</w:t>
      </w:r>
    </w:p>
    <w:p w14:paraId="58D1F8E5" w14:textId="77777777" w:rsidR="000811C4" w:rsidRPr="000811C4" w:rsidRDefault="000811C4" w:rsidP="000811C4">
      <w:pPr>
        <w:spacing w:after="360" w:line="360" w:lineRule="auto"/>
        <w:ind w:right="-159"/>
        <w:jc w:val="both"/>
        <w:rPr>
          <w:rFonts w:eastAsia="Calibri"/>
          <w:sz w:val="26"/>
          <w:szCs w:val="26"/>
          <w:lang w:eastAsia="en-US"/>
        </w:rPr>
      </w:pPr>
      <w:r w:rsidRPr="000811C4">
        <w:rPr>
          <w:rFonts w:eastAsia="Calibri"/>
          <w:sz w:val="26"/>
          <w:szCs w:val="26"/>
          <w:lang w:eastAsia="en-US"/>
        </w:rPr>
        <w:t>Agregó que la tasa de desempleo, como también recientemente lo dio a conocer el Instituto Nacional de Estadística y Geografía (INEGI), “ha disminuido a 4.38% en el último trimestre de 2014, la menor desde el año 2008, y también hay una reducción en la tasa de informalidad laboral, que viene disminuyendo, y que ha pasado de 59.6% al inicio de la Administración, a 57.9% en 2014”.</w:t>
      </w:r>
    </w:p>
    <w:p w14:paraId="0A464C66" w14:textId="77777777" w:rsidR="000811C4" w:rsidRPr="000811C4" w:rsidRDefault="000811C4" w:rsidP="000811C4">
      <w:pPr>
        <w:spacing w:after="360" w:line="360" w:lineRule="auto"/>
        <w:ind w:right="-159"/>
        <w:jc w:val="both"/>
        <w:rPr>
          <w:rFonts w:eastAsia="Calibri"/>
          <w:sz w:val="26"/>
          <w:szCs w:val="26"/>
          <w:lang w:eastAsia="en-US"/>
        </w:rPr>
      </w:pPr>
      <w:r w:rsidRPr="000811C4">
        <w:rPr>
          <w:rFonts w:eastAsia="Calibri"/>
          <w:sz w:val="26"/>
          <w:szCs w:val="26"/>
          <w:lang w:eastAsia="en-US"/>
        </w:rPr>
        <w:t>El Presidente de México informó que “en materia de inversión extranjera, que hace que nuestro país se siga reafirmando como un destino confiable para la inversión, en estos dos primeros años de la Administración se han recibido inversiones por un monto de 64 mil millones de dólares; esto ya equivale a poco más del 41% de la proyección que hemos hecho para esta Administración, de casi 160 mil millones de dólares de inversión extranjera para nuestro país que venga a generar más empleos para los mexicanos”.</w:t>
      </w:r>
    </w:p>
    <w:p w14:paraId="45EDAB6A" w14:textId="77777777" w:rsidR="000811C4" w:rsidRPr="000811C4" w:rsidRDefault="000811C4" w:rsidP="000811C4">
      <w:pPr>
        <w:spacing w:after="360" w:line="360" w:lineRule="auto"/>
        <w:ind w:right="-159"/>
        <w:jc w:val="both"/>
        <w:rPr>
          <w:rFonts w:eastAsia="Calibri"/>
          <w:sz w:val="26"/>
          <w:szCs w:val="26"/>
          <w:lang w:eastAsia="en-US"/>
        </w:rPr>
      </w:pPr>
      <w:r w:rsidRPr="000811C4">
        <w:rPr>
          <w:rFonts w:eastAsia="Calibri"/>
          <w:sz w:val="26"/>
          <w:szCs w:val="26"/>
          <w:lang w:eastAsia="en-US"/>
        </w:rPr>
        <w:t>Señaló que lo más importante es que también hay beneficios concretos para las familias. “En enero de 2015, la inflación fue la más baja para un mes de enero, que todos los mexicanos conocemos como la cuesta de enero, y en donde casi siempre, en ese mes, había un impacto en la inflación que se generaba por los incrementos que se daban a distintos productos y servicios. Sin embargo, hemos conocido de parte del INEGI que para el mes de enero hubo una reducción en la inflación, lo cual le hace ser la más baja para un mes de enero desde hacía 45 años”, dijo.</w:t>
      </w:r>
    </w:p>
    <w:p w14:paraId="49D5CA7D" w14:textId="77777777" w:rsidR="000811C4" w:rsidRPr="000811C4" w:rsidRDefault="000811C4" w:rsidP="000811C4">
      <w:pPr>
        <w:spacing w:after="360" w:line="360" w:lineRule="auto"/>
        <w:ind w:right="-159"/>
        <w:jc w:val="both"/>
        <w:rPr>
          <w:rFonts w:eastAsia="Calibri"/>
          <w:sz w:val="26"/>
          <w:szCs w:val="26"/>
          <w:lang w:eastAsia="en-US"/>
        </w:rPr>
      </w:pPr>
      <w:r w:rsidRPr="000811C4">
        <w:rPr>
          <w:rFonts w:eastAsia="Calibri"/>
          <w:sz w:val="26"/>
          <w:szCs w:val="26"/>
          <w:lang w:eastAsia="en-US"/>
        </w:rPr>
        <w:t>Indicó que, de igual manera, está creciendo el consumo: “en enero las ventas en las tiendas departamentales y de autoservicio crecieron 5.5% con respecto al mismo mes del año pasado”.</w:t>
      </w:r>
    </w:p>
    <w:p w14:paraId="29C5F41B" w14:textId="77777777" w:rsidR="000811C4" w:rsidRPr="000811C4" w:rsidRDefault="000811C4" w:rsidP="000811C4">
      <w:pPr>
        <w:spacing w:after="360" w:line="360" w:lineRule="auto"/>
        <w:ind w:right="-159"/>
        <w:jc w:val="both"/>
        <w:rPr>
          <w:rFonts w:eastAsia="Calibri"/>
          <w:sz w:val="26"/>
          <w:szCs w:val="26"/>
          <w:lang w:eastAsia="en-US"/>
        </w:rPr>
      </w:pPr>
      <w:r w:rsidRPr="000811C4">
        <w:rPr>
          <w:rFonts w:eastAsia="Calibri"/>
          <w:sz w:val="26"/>
          <w:szCs w:val="26"/>
          <w:lang w:eastAsia="en-US"/>
        </w:rPr>
        <w:lastRenderedPageBreak/>
        <w:t>El Titular del Ejecutivo Federal explicó que “esto es en gran medida gracias al impacto de las reformas, que ya se aprecia en la reducción en las tarifas eléctricas, al tiempo que se ha eliminado el cobro de la larga distancia general”.</w:t>
      </w:r>
    </w:p>
    <w:p w14:paraId="2A32695B" w14:textId="77777777" w:rsidR="000811C4" w:rsidRPr="000811C4" w:rsidRDefault="000811C4" w:rsidP="000811C4">
      <w:pPr>
        <w:spacing w:after="360" w:line="360" w:lineRule="auto"/>
        <w:ind w:right="-159"/>
        <w:jc w:val="both"/>
        <w:rPr>
          <w:rFonts w:eastAsia="Calibri"/>
          <w:sz w:val="26"/>
          <w:szCs w:val="26"/>
          <w:lang w:eastAsia="en-US"/>
        </w:rPr>
      </w:pPr>
      <w:r w:rsidRPr="000811C4">
        <w:rPr>
          <w:rFonts w:eastAsia="Calibri"/>
          <w:sz w:val="26"/>
          <w:szCs w:val="26"/>
          <w:lang w:eastAsia="en-US"/>
        </w:rPr>
        <w:t>“Todas estas cifras dan cuenta de que el país está avanzando por la ruta correcta. El camino no ha sido fácil, y tampoco hemos llegado a la meta; tenemos que seguir adelante por la ruta planeada”, destacó.</w:t>
      </w:r>
    </w:p>
    <w:p w14:paraId="6B008EB7" w14:textId="77777777" w:rsidR="000811C4" w:rsidRPr="000811C4" w:rsidRDefault="000811C4" w:rsidP="000811C4">
      <w:pPr>
        <w:spacing w:after="360" w:line="360" w:lineRule="auto"/>
        <w:ind w:right="-159"/>
        <w:jc w:val="both"/>
        <w:rPr>
          <w:rFonts w:eastAsia="Calibri"/>
          <w:sz w:val="26"/>
          <w:szCs w:val="26"/>
          <w:lang w:eastAsia="en-US"/>
        </w:rPr>
      </w:pPr>
      <w:r w:rsidRPr="000811C4">
        <w:rPr>
          <w:rFonts w:eastAsia="Calibri"/>
          <w:sz w:val="26"/>
          <w:szCs w:val="26"/>
          <w:lang w:eastAsia="en-US"/>
        </w:rPr>
        <w:t>El Primer Mandatario precisó que el cambio de México debe lograrse entre todos. “La transformación de un país, de una realidad, del entorno en el que vivimos, no depende de una sola persona, de una sola autoridad, sino más bien de conjuntar esfuerzos y de hacerlo de forma proactiva, positiva y constructiva”, aseguró.</w:t>
      </w:r>
    </w:p>
    <w:p w14:paraId="0F6FE756" w14:textId="77777777" w:rsidR="000811C4" w:rsidRPr="000811C4" w:rsidRDefault="000811C4" w:rsidP="000811C4">
      <w:pPr>
        <w:spacing w:after="360" w:line="360" w:lineRule="auto"/>
        <w:ind w:right="-159"/>
        <w:jc w:val="both"/>
        <w:rPr>
          <w:rFonts w:eastAsia="Calibri"/>
          <w:sz w:val="26"/>
          <w:szCs w:val="26"/>
          <w:lang w:eastAsia="en-US"/>
        </w:rPr>
      </w:pPr>
      <w:r w:rsidRPr="000811C4">
        <w:rPr>
          <w:rFonts w:eastAsia="Calibri"/>
          <w:sz w:val="26"/>
          <w:szCs w:val="26"/>
          <w:lang w:eastAsia="en-US"/>
        </w:rPr>
        <w:t>Añadió que “no faltarán los que quieran ser destructivos y ver, quizá, todo bajo un crisol o bajo una óptica negativa. Lo importante es encontrar la conjunción de esfuerzos de aquellos que quieran construir mejores espacios, mejores entornos, un clima de mayor armonía de convivencia social y esto depende del esfuerzo compartido de sociedad y de Gobierno”.</w:t>
      </w:r>
    </w:p>
    <w:p w14:paraId="530A9499" w14:textId="53B168FE" w:rsidR="000811C4" w:rsidRPr="000811C4" w:rsidRDefault="000811C4" w:rsidP="000811C4">
      <w:pPr>
        <w:spacing w:after="360" w:line="360" w:lineRule="auto"/>
        <w:ind w:right="-159"/>
        <w:jc w:val="both"/>
        <w:rPr>
          <w:rFonts w:eastAsia="Calibri"/>
          <w:sz w:val="26"/>
          <w:szCs w:val="26"/>
          <w:lang w:eastAsia="en-US"/>
        </w:rPr>
      </w:pPr>
      <w:r w:rsidRPr="000811C4">
        <w:rPr>
          <w:rFonts w:eastAsia="Calibri"/>
          <w:sz w:val="26"/>
          <w:szCs w:val="26"/>
          <w:lang w:eastAsia="en-US"/>
        </w:rPr>
        <w:t>Puntualizó que “esa es la óptica bajo la cual trabaja este Gobierno”. Expresó su compromiso de secundar y apoyar los proyectos que la Comunidad Judía tiene, así como de mantener “la solidaridad debida para que estos proyectos de orden social puedan rendir mayores frutos y seguir materializándose y consolidando en favor de la sociedad que tanto lo necesita”.</w:t>
      </w:r>
    </w:p>
    <w:p w14:paraId="57F3A0ED" w14:textId="77777777" w:rsidR="000811C4" w:rsidRPr="000811C4" w:rsidRDefault="000811C4" w:rsidP="000811C4">
      <w:pPr>
        <w:spacing w:after="360" w:line="360" w:lineRule="auto"/>
        <w:ind w:right="-159"/>
        <w:jc w:val="both"/>
        <w:rPr>
          <w:rFonts w:eastAsia="Calibri"/>
          <w:b/>
          <w:sz w:val="26"/>
          <w:szCs w:val="26"/>
          <w:lang w:eastAsia="en-US"/>
        </w:rPr>
      </w:pPr>
      <w:r w:rsidRPr="000811C4">
        <w:rPr>
          <w:rFonts w:eastAsia="Calibri"/>
          <w:b/>
          <w:sz w:val="26"/>
          <w:szCs w:val="26"/>
          <w:lang w:eastAsia="en-US"/>
        </w:rPr>
        <w:t>Cinco objetivos para 2015</w:t>
      </w:r>
    </w:p>
    <w:p w14:paraId="38717ACA" w14:textId="55C9CEA7" w:rsidR="000811C4" w:rsidRPr="000811C4" w:rsidRDefault="000811C4" w:rsidP="000811C4">
      <w:pPr>
        <w:spacing w:after="360" w:line="360" w:lineRule="auto"/>
        <w:ind w:right="-159"/>
        <w:jc w:val="both"/>
        <w:rPr>
          <w:rFonts w:eastAsia="Calibri"/>
          <w:sz w:val="26"/>
          <w:szCs w:val="26"/>
          <w:lang w:eastAsia="en-US"/>
        </w:rPr>
      </w:pPr>
      <w:r w:rsidRPr="000811C4">
        <w:rPr>
          <w:rFonts w:eastAsia="Calibri"/>
          <w:sz w:val="26"/>
          <w:szCs w:val="26"/>
          <w:lang w:eastAsia="en-US"/>
        </w:rPr>
        <w:t xml:space="preserve">El Presidente de México explicó que el Gobierno de la República tiene objetivos muy concretos para 2015: “El primero, fortalecer el respeto a la ley y a los derechos humanos. En este propósito, estamos trabajando para concretar las medidas de </w:t>
      </w:r>
      <w:r w:rsidRPr="000811C4">
        <w:rPr>
          <w:rFonts w:eastAsia="Calibri"/>
          <w:sz w:val="26"/>
          <w:szCs w:val="26"/>
          <w:lang w:eastAsia="en-US"/>
        </w:rPr>
        <w:lastRenderedPageBreak/>
        <w:t xml:space="preserve">seguridad y justicia que anuncié el pasado 27 de noviembre, temas que están hoy a debate en el Congreso, entre los que destaca el crear policías estatales únicas y encontrar mecanismos dentro de </w:t>
      </w:r>
      <w:r w:rsidR="00AA2BF3">
        <w:rPr>
          <w:rFonts w:eastAsia="Calibri"/>
          <w:sz w:val="26"/>
          <w:szCs w:val="26"/>
          <w:lang w:eastAsia="en-US"/>
        </w:rPr>
        <w:t xml:space="preserve">la </w:t>
      </w:r>
      <w:r w:rsidRPr="000811C4">
        <w:rPr>
          <w:rFonts w:eastAsia="Calibri"/>
          <w:sz w:val="26"/>
          <w:szCs w:val="26"/>
          <w:lang w:eastAsia="en-US"/>
        </w:rPr>
        <w:t>ley para evitar la infiltración del crimen organizado en las autoridades municipales”.</w:t>
      </w:r>
    </w:p>
    <w:p w14:paraId="7480774A" w14:textId="77777777" w:rsidR="000811C4" w:rsidRPr="000811C4" w:rsidRDefault="000811C4" w:rsidP="000811C4">
      <w:pPr>
        <w:spacing w:after="360" w:line="360" w:lineRule="auto"/>
        <w:ind w:right="-159"/>
        <w:jc w:val="both"/>
        <w:rPr>
          <w:rFonts w:eastAsia="Calibri"/>
          <w:sz w:val="26"/>
          <w:szCs w:val="26"/>
          <w:lang w:eastAsia="en-US"/>
        </w:rPr>
      </w:pPr>
      <w:r w:rsidRPr="000811C4">
        <w:rPr>
          <w:rFonts w:eastAsia="Calibri"/>
          <w:sz w:val="26"/>
          <w:szCs w:val="26"/>
          <w:lang w:eastAsia="en-US"/>
        </w:rPr>
        <w:t>Un segundo objetivo, dijo, es “continuar poniendo las reformas en acción, en un marco de plena estabilidad macroeconómica. Para el Gobierno resulta de la mayor prioridad mantener las finanzas públicas sanas, que nos permitan realmente cuidar el entorno macroeconómico. Ésta es una condición indispensable para asegurar desarrollo y prosperidad para las familias mexicanas”.</w:t>
      </w:r>
    </w:p>
    <w:p w14:paraId="7F6D3EE6" w14:textId="77777777" w:rsidR="000811C4" w:rsidRPr="000811C4" w:rsidRDefault="000811C4" w:rsidP="000811C4">
      <w:pPr>
        <w:spacing w:after="360" w:line="360" w:lineRule="auto"/>
        <w:ind w:right="-159"/>
        <w:jc w:val="both"/>
        <w:rPr>
          <w:rFonts w:eastAsia="Calibri"/>
          <w:sz w:val="26"/>
          <w:szCs w:val="26"/>
          <w:lang w:eastAsia="en-US"/>
        </w:rPr>
      </w:pPr>
      <w:r w:rsidRPr="000811C4">
        <w:rPr>
          <w:rFonts w:eastAsia="Calibri"/>
          <w:sz w:val="26"/>
          <w:szCs w:val="26"/>
          <w:lang w:eastAsia="en-US"/>
        </w:rPr>
        <w:t>El tercer objetivo es ampliar la transparencia y mejorar instrumentos de combate a la corrupción. “El Gobierno de la República, por un lado, se ha pronunciado y ha dado amplio apoyo y respaldo desde nuestro ámbito de acción a las iniciativas que se discuten en el Congreso de la Unión, particularmente en lo que hace a la Ley de Transparencia y al Sistema Nacional Anticorrupción. Por otro lado, y adicionalmente, anuncié una serie de medidas ejecutivas para prevenir la corrupción y los conflictos de interés”.</w:t>
      </w:r>
    </w:p>
    <w:p w14:paraId="1D1308D9" w14:textId="77777777" w:rsidR="000811C4" w:rsidRPr="000811C4" w:rsidRDefault="000811C4" w:rsidP="000811C4">
      <w:pPr>
        <w:spacing w:after="360" w:line="360" w:lineRule="auto"/>
        <w:ind w:right="-159"/>
        <w:jc w:val="both"/>
        <w:rPr>
          <w:rFonts w:eastAsia="Calibri"/>
          <w:sz w:val="26"/>
          <w:szCs w:val="26"/>
          <w:lang w:eastAsia="en-US"/>
        </w:rPr>
      </w:pPr>
      <w:r w:rsidRPr="000811C4">
        <w:rPr>
          <w:rFonts w:eastAsia="Calibri"/>
          <w:sz w:val="26"/>
          <w:szCs w:val="26"/>
          <w:lang w:eastAsia="en-US"/>
        </w:rPr>
        <w:t>Cuarto objetivo: Acelerar la construcción de infraestructura y vivienda en nuestro país. “Recientemente anuncié una serie de medidas que están orientadas fundamentalmente para promover una mayor construcción de vivienda, que ya desde el año pasado y en éste aprecian una recuperación en materia de construcción de vivienda, en donde desde el año 2011 se registraba una tendencia a la baja en cuanto a la construcción de vivienda. A partir de lo que fueron nuevas reglas, una nueva normativa y una nueva regulación para la construcción de vivienda, que sin haber sido un cambio legal, sí implicó también un nuevo modelo y cambio de paradigma. Esto está permitiendo que nuevamente el sector de la construcción de vivienda esté teniendo una mayor recuperación”.</w:t>
      </w:r>
    </w:p>
    <w:p w14:paraId="7E473A14" w14:textId="77777777" w:rsidR="000811C4" w:rsidRPr="000811C4" w:rsidRDefault="000811C4" w:rsidP="000811C4">
      <w:pPr>
        <w:spacing w:after="360" w:line="360" w:lineRule="auto"/>
        <w:ind w:right="-159"/>
        <w:jc w:val="both"/>
        <w:rPr>
          <w:rFonts w:eastAsia="Calibri"/>
          <w:sz w:val="26"/>
          <w:szCs w:val="26"/>
          <w:lang w:eastAsia="en-US"/>
        </w:rPr>
      </w:pPr>
      <w:r w:rsidRPr="000811C4">
        <w:rPr>
          <w:rFonts w:eastAsia="Calibri"/>
          <w:sz w:val="26"/>
          <w:szCs w:val="26"/>
          <w:lang w:eastAsia="en-US"/>
        </w:rPr>
        <w:t xml:space="preserve">Un quinto objetivo es reforzar las acciones contra la pobreza y el desequilibrio regional. “Y para este propósito, como lo apunté también en las medidas anunciadas el 27 de </w:t>
      </w:r>
      <w:r w:rsidRPr="000811C4">
        <w:rPr>
          <w:rFonts w:eastAsia="Calibri"/>
          <w:sz w:val="26"/>
          <w:szCs w:val="26"/>
          <w:lang w:eastAsia="en-US"/>
        </w:rPr>
        <w:lastRenderedPageBreak/>
        <w:t>noviembre del año pasado, habremos de establecer, en coordinación con el sector privado, tres zonas económicas especiales en Chiapas, Guerrero y Oaxaca para que se tengan ahí mejores oportunidades de desarrollo y estas entidades puedan lograr un mayor crecimiento como lo está teniendo el resto del país.</w:t>
      </w:r>
    </w:p>
    <w:p w14:paraId="0D8C1BE3" w14:textId="77777777" w:rsidR="000811C4" w:rsidRPr="000811C4" w:rsidRDefault="000811C4" w:rsidP="000811C4">
      <w:pPr>
        <w:spacing w:after="360" w:line="360" w:lineRule="auto"/>
        <w:ind w:right="-159"/>
        <w:jc w:val="both"/>
        <w:rPr>
          <w:rFonts w:eastAsia="Calibri"/>
          <w:sz w:val="26"/>
          <w:szCs w:val="26"/>
          <w:lang w:eastAsia="en-US"/>
        </w:rPr>
      </w:pPr>
      <w:r w:rsidRPr="000811C4">
        <w:rPr>
          <w:rFonts w:eastAsia="Calibri"/>
          <w:sz w:val="26"/>
          <w:szCs w:val="26"/>
          <w:lang w:eastAsia="en-US"/>
        </w:rPr>
        <w:t>El Titular del Ejecutivo Federal afirmó que en los primeros 20 meses de Gobierno “se lograron importantes reformas transformadoras, de carácter estructural, 11 en su conjunto, y seis de ellas diseñadas para mejorar el desempeño de nuestra economía. Estas reformas ya comienzan a tener un impacto positivo en nuestro país, hay más crecimiento”.</w:t>
      </w:r>
    </w:p>
    <w:p w14:paraId="53168870" w14:textId="77777777" w:rsidR="000811C4" w:rsidRPr="000811C4" w:rsidRDefault="000811C4" w:rsidP="000811C4">
      <w:pPr>
        <w:spacing w:after="360" w:line="360" w:lineRule="auto"/>
        <w:ind w:right="-159"/>
        <w:jc w:val="both"/>
        <w:rPr>
          <w:rFonts w:eastAsia="Calibri"/>
          <w:sz w:val="26"/>
          <w:szCs w:val="26"/>
          <w:lang w:eastAsia="en-US"/>
        </w:rPr>
      </w:pPr>
      <w:r w:rsidRPr="000811C4">
        <w:rPr>
          <w:rFonts w:eastAsia="Calibri"/>
          <w:sz w:val="26"/>
          <w:szCs w:val="26"/>
          <w:lang w:eastAsia="en-US"/>
        </w:rPr>
        <w:t>Refirió que “el México que visualizamos desde el Gobierno de la República, a partir de la ruta que hemos trazado, es uno que nos permita hacia el fin de esta Administración en el 2018, tener un rostro como país distinto de aquél que tuvimos en 2012”.</w:t>
      </w:r>
    </w:p>
    <w:p w14:paraId="227D1AA3" w14:textId="77777777" w:rsidR="000811C4" w:rsidRPr="000811C4" w:rsidRDefault="000811C4" w:rsidP="000811C4">
      <w:pPr>
        <w:spacing w:after="360" w:line="360" w:lineRule="auto"/>
        <w:ind w:right="-159"/>
        <w:jc w:val="both"/>
        <w:rPr>
          <w:rFonts w:eastAsia="Calibri"/>
          <w:sz w:val="26"/>
          <w:szCs w:val="26"/>
          <w:lang w:eastAsia="en-US"/>
        </w:rPr>
      </w:pPr>
      <w:r w:rsidRPr="000811C4">
        <w:rPr>
          <w:rFonts w:eastAsia="Calibri"/>
          <w:sz w:val="26"/>
          <w:szCs w:val="26"/>
          <w:lang w:eastAsia="en-US"/>
        </w:rPr>
        <w:t>“Si bien es de reconocer los avances alcanzados en décadas pasadas, con los empeños de las generaciones y de los gobiernos que nos antecedieron, hay que decir que México había dejado de tener un ritmo de mayor celeridad y de mayor crecimiento”, mencionó. “Por eso hicimos las reformas estructurales; por eso hicimos cambios que impliquen transformación de fondo en distintos ámbitos”, precisó.</w:t>
      </w:r>
    </w:p>
    <w:p w14:paraId="3473B2E9" w14:textId="77777777" w:rsidR="000811C4" w:rsidRPr="000811C4" w:rsidRDefault="000811C4" w:rsidP="000811C4">
      <w:pPr>
        <w:spacing w:after="360" w:line="360" w:lineRule="auto"/>
        <w:ind w:right="-159"/>
        <w:jc w:val="both"/>
        <w:rPr>
          <w:rFonts w:eastAsia="Calibri"/>
          <w:sz w:val="26"/>
          <w:szCs w:val="26"/>
          <w:lang w:eastAsia="en-US"/>
        </w:rPr>
      </w:pPr>
      <w:r w:rsidRPr="000811C4">
        <w:rPr>
          <w:rFonts w:eastAsia="Calibri"/>
          <w:sz w:val="26"/>
          <w:szCs w:val="26"/>
          <w:lang w:eastAsia="en-US"/>
        </w:rPr>
        <w:t>En el evento, el Presidente de México expresó su reconocimiento a la Comunidad Judía de México. “Son una comunidad de gran vitalidad individual que, adaptándose a los cambios del mundo, no pierde su identidad colectiva. Siendo un pueblo milenario de arraigadas costumbres, ha sido a la par un pueblo visionario”, dijo.</w:t>
      </w:r>
    </w:p>
    <w:p w14:paraId="55A36A5D" w14:textId="77777777" w:rsidR="000811C4" w:rsidRDefault="000811C4" w:rsidP="000811C4">
      <w:pPr>
        <w:spacing w:after="360" w:line="360" w:lineRule="auto"/>
        <w:ind w:right="-159"/>
        <w:jc w:val="both"/>
        <w:rPr>
          <w:rFonts w:eastAsia="Calibri"/>
          <w:sz w:val="26"/>
          <w:szCs w:val="26"/>
          <w:lang w:eastAsia="en-US"/>
        </w:rPr>
      </w:pPr>
      <w:r w:rsidRPr="000811C4">
        <w:rPr>
          <w:rFonts w:eastAsia="Calibri"/>
          <w:sz w:val="26"/>
          <w:szCs w:val="26"/>
          <w:lang w:eastAsia="en-US"/>
        </w:rPr>
        <w:t xml:space="preserve">“Los judíos son gente de tradiciones, y al mismo tiempo creadores e innovadores. Su sensibilidad e ingenio han ampliado y enriquecido los caminos de la humanidad. Pocos datos son tan elocuentes como el hecho de que 200 Premios Nobel, prácticamente uno </w:t>
      </w:r>
      <w:r w:rsidRPr="000811C4">
        <w:rPr>
          <w:rFonts w:eastAsia="Calibri"/>
          <w:sz w:val="26"/>
          <w:szCs w:val="26"/>
          <w:lang w:eastAsia="en-US"/>
        </w:rPr>
        <w:lastRenderedPageBreak/>
        <w:t>de cada cuatro galardones entregados, han sido obtenidos por personas de origen judío”, subrayó.</w:t>
      </w:r>
    </w:p>
    <w:p w14:paraId="793443D4" w14:textId="77777777" w:rsidR="000811C4" w:rsidRPr="000811C4" w:rsidRDefault="000811C4" w:rsidP="00C577E7">
      <w:pPr>
        <w:spacing w:after="360"/>
        <w:ind w:right="-159"/>
        <w:jc w:val="both"/>
        <w:rPr>
          <w:rFonts w:eastAsia="Calibri"/>
          <w:b/>
          <w:sz w:val="26"/>
          <w:szCs w:val="26"/>
          <w:lang w:eastAsia="en-US"/>
        </w:rPr>
      </w:pPr>
      <w:r w:rsidRPr="000811C4">
        <w:rPr>
          <w:rFonts w:eastAsia="Calibri"/>
          <w:b/>
          <w:sz w:val="26"/>
          <w:szCs w:val="26"/>
          <w:lang w:eastAsia="en-US"/>
        </w:rPr>
        <w:t>México está a la altura de los desafíos; con la participación conjunta de autoridades y sociedad civil podremos superar cualquier obstáculo</w:t>
      </w:r>
    </w:p>
    <w:p w14:paraId="5B7E0905" w14:textId="3A09B994" w:rsidR="000811C4" w:rsidRPr="000811C4" w:rsidRDefault="000811C4" w:rsidP="000811C4">
      <w:pPr>
        <w:spacing w:after="360" w:line="360" w:lineRule="auto"/>
        <w:ind w:right="-159"/>
        <w:jc w:val="both"/>
        <w:rPr>
          <w:rFonts w:eastAsia="Calibri"/>
          <w:sz w:val="26"/>
          <w:szCs w:val="26"/>
          <w:lang w:eastAsia="en-US"/>
        </w:rPr>
      </w:pPr>
      <w:r w:rsidRPr="000811C4">
        <w:rPr>
          <w:rFonts w:eastAsia="Calibri"/>
          <w:sz w:val="26"/>
          <w:szCs w:val="26"/>
          <w:lang w:eastAsia="en-US"/>
        </w:rPr>
        <w:t>El Presidente del Comité Central de la Comunidad Judía afirmó que “entendemos que algunas zonas del país enfrentan problemas, que el combate a la pobreza y la desigualdad es prioritario y que el mundo globalizado en el que vivimos nos presenta importantes retos”, pero destacó que México está a la altura de estos desafíos y que, con la participación conjunta de autoridades y de la sociedad civil, “podremos superar cualquier obstáculo y hacer de México el gran país que está destinado a ser”.</w:t>
      </w:r>
    </w:p>
    <w:p w14:paraId="0D2CE062" w14:textId="77777777" w:rsidR="000811C4" w:rsidRPr="000811C4" w:rsidRDefault="000811C4" w:rsidP="000811C4">
      <w:pPr>
        <w:spacing w:after="360" w:line="360" w:lineRule="auto"/>
        <w:ind w:right="-159"/>
        <w:jc w:val="both"/>
        <w:rPr>
          <w:rFonts w:eastAsia="Calibri"/>
          <w:sz w:val="26"/>
          <w:szCs w:val="26"/>
          <w:lang w:eastAsia="en-US"/>
        </w:rPr>
      </w:pPr>
      <w:r w:rsidRPr="000811C4">
        <w:rPr>
          <w:rFonts w:eastAsia="Calibri"/>
          <w:sz w:val="26"/>
          <w:szCs w:val="26"/>
          <w:lang w:eastAsia="en-US"/>
        </w:rPr>
        <w:t>Expresó su reconocimiento al trabajo realizado por el Gobierno del Presidente de México en sacar adelante las reformas estructurales, “que tanta falta hacían y que ahora llega el momento de ponerlas en práctica”.</w:t>
      </w:r>
    </w:p>
    <w:p w14:paraId="0DA8C1BB" w14:textId="77777777" w:rsidR="000811C4" w:rsidRPr="000811C4" w:rsidRDefault="000811C4" w:rsidP="000811C4">
      <w:pPr>
        <w:spacing w:after="360" w:line="360" w:lineRule="auto"/>
        <w:ind w:right="-159"/>
        <w:jc w:val="both"/>
        <w:rPr>
          <w:rFonts w:eastAsia="Calibri"/>
          <w:sz w:val="26"/>
          <w:szCs w:val="26"/>
          <w:lang w:eastAsia="en-US"/>
        </w:rPr>
      </w:pPr>
      <w:r w:rsidRPr="000811C4">
        <w:rPr>
          <w:rFonts w:eastAsia="Calibri"/>
          <w:sz w:val="26"/>
          <w:szCs w:val="26"/>
          <w:lang w:eastAsia="en-US"/>
        </w:rPr>
        <w:t>En ese sentido, estableció que cuando sociedad y Gobierno van de la mano, se alcanzan los objetivos deseados. Es por ello, agregó, que “hoy puedo afirmar que la Comunidad Judía de México está comprometida en seguir invirtiendo, creando fuentes de trabajo y aportando lo mejor de todos nuestros talentos para el progreso de nuestro país”.</w:t>
      </w:r>
    </w:p>
    <w:p w14:paraId="1E1CEA45" w14:textId="77777777" w:rsidR="000811C4" w:rsidRPr="000811C4" w:rsidRDefault="000811C4" w:rsidP="000811C4">
      <w:pPr>
        <w:spacing w:after="360" w:line="360" w:lineRule="auto"/>
        <w:ind w:right="-159"/>
        <w:jc w:val="both"/>
        <w:rPr>
          <w:rFonts w:eastAsia="Calibri"/>
          <w:sz w:val="26"/>
          <w:szCs w:val="26"/>
          <w:lang w:eastAsia="en-US"/>
        </w:rPr>
      </w:pPr>
      <w:r w:rsidRPr="000811C4">
        <w:rPr>
          <w:rFonts w:eastAsia="Calibri"/>
          <w:sz w:val="26"/>
          <w:szCs w:val="26"/>
          <w:lang w:eastAsia="en-US"/>
        </w:rPr>
        <w:t>Mencionó que por más de cien años, los integrantes de la comunidad han sido actores importantes en la vida política, económica y cultural del país. “Hemos aportado a México desde cualquier trinchera posible, y la responsabilidad social no ha sido la excepción”, dijo.</w:t>
      </w:r>
    </w:p>
    <w:p w14:paraId="5654098B" w14:textId="77777777" w:rsidR="000811C4" w:rsidRPr="000811C4" w:rsidRDefault="000811C4" w:rsidP="000811C4">
      <w:pPr>
        <w:spacing w:after="360" w:line="360" w:lineRule="auto"/>
        <w:ind w:right="-159"/>
        <w:jc w:val="both"/>
        <w:rPr>
          <w:rFonts w:eastAsia="Calibri"/>
          <w:sz w:val="26"/>
          <w:szCs w:val="26"/>
          <w:lang w:eastAsia="en-US"/>
        </w:rPr>
      </w:pPr>
      <w:r w:rsidRPr="000811C4">
        <w:rPr>
          <w:rFonts w:eastAsia="Calibri"/>
          <w:sz w:val="26"/>
          <w:szCs w:val="26"/>
          <w:lang w:eastAsia="en-US"/>
        </w:rPr>
        <w:t xml:space="preserve">Explicó que han desarrollado innumerables proyectos que han procurado salud, educación, nutrición, vivienda, capacitación y oportunidades para muchas familias de México. Para ejemplificar lo anterior, solicitó la intervención de quienes brevemente </w:t>
      </w:r>
      <w:r w:rsidRPr="000811C4">
        <w:rPr>
          <w:rFonts w:eastAsia="Calibri"/>
          <w:sz w:val="26"/>
          <w:szCs w:val="26"/>
          <w:lang w:eastAsia="en-US"/>
        </w:rPr>
        <w:lastRenderedPageBreak/>
        <w:t>expusieron cuatro de los más de cien proyectos que tiene en marcha la Comunidad Judía en esos rubros.</w:t>
      </w:r>
    </w:p>
    <w:p w14:paraId="70FF0757" w14:textId="77777777" w:rsidR="000811C4" w:rsidRPr="000811C4" w:rsidRDefault="000811C4" w:rsidP="000811C4">
      <w:pPr>
        <w:spacing w:after="360" w:line="360" w:lineRule="auto"/>
        <w:ind w:right="-159"/>
        <w:jc w:val="both"/>
        <w:rPr>
          <w:rFonts w:eastAsia="Calibri"/>
          <w:sz w:val="26"/>
          <w:szCs w:val="26"/>
          <w:lang w:eastAsia="en-US"/>
        </w:rPr>
      </w:pPr>
      <w:r w:rsidRPr="000811C4">
        <w:rPr>
          <w:rFonts w:eastAsia="Calibri"/>
          <w:sz w:val="26"/>
          <w:szCs w:val="26"/>
          <w:lang w:eastAsia="en-US"/>
        </w:rPr>
        <w:t>Mencionaron el PROVIVAH, un fideicomiso creado por empresarios judíos mexicanos con el propósito de apoyar a las familias de menores ingresos que viven en hacinamientos o en sitios inseguros; el Grupo CADENA, un Comité de Ayuda en Desastres y Emergencias Nacionales, galardonado con el Premio Nacional de Protección Civil 2014; el programa PERAJ, con el cual jóvenes universitarios que realizan su servicio social se convierten en tutores de niños y niñas de quinto y sexto grado de primarias públicas; así como el programa Educativo y Cívico, Deportes para Compartir, cuya misión es formar mejores ciudadanos desde la niñez.</w:t>
      </w:r>
    </w:p>
    <w:p w14:paraId="02C97963" w14:textId="77777777" w:rsidR="000811C4" w:rsidRPr="000811C4" w:rsidRDefault="000811C4" w:rsidP="000811C4">
      <w:pPr>
        <w:spacing w:after="360" w:line="360" w:lineRule="auto"/>
        <w:ind w:right="-159"/>
        <w:jc w:val="both"/>
        <w:rPr>
          <w:rFonts w:eastAsia="Calibri"/>
          <w:sz w:val="26"/>
          <w:szCs w:val="26"/>
          <w:lang w:eastAsia="en-US"/>
        </w:rPr>
      </w:pPr>
      <w:r w:rsidRPr="000811C4">
        <w:rPr>
          <w:rFonts w:eastAsia="Calibri"/>
          <w:sz w:val="26"/>
          <w:szCs w:val="26"/>
          <w:lang w:eastAsia="en-US"/>
        </w:rPr>
        <w:t>Antes, el Presidente del Consejo Directivo del Deportivo Israelita, quien fungió como anfitrión del evento, dio la bienvenida al Presidente de México y a los integrantes del gabinete que lo acompañaron.</w:t>
      </w:r>
    </w:p>
    <w:p w14:paraId="06428A48" w14:textId="77777777" w:rsidR="000811C4" w:rsidRPr="000811C4" w:rsidRDefault="000811C4" w:rsidP="000811C4">
      <w:pPr>
        <w:ind w:right="-159"/>
        <w:jc w:val="both"/>
        <w:rPr>
          <w:rFonts w:eastAsia="Calibri"/>
          <w:b/>
          <w:sz w:val="20"/>
          <w:szCs w:val="20"/>
          <w:lang w:eastAsia="en-US"/>
        </w:rPr>
      </w:pPr>
      <w:r w:rsidRPr="000811C4">
        <w:rPr>
          <w:rFonts w:eastAsia="Calibri"/>
          <w:b/>
          <w:sz w:val="20"/>
          <w:szCs w:val="20"/>
          <w:lang w:eastAsia="en-US"/>
        </w:rPr>
        <w:t>Fuente de información:</w:t>
      </w:r>
    </w:p>
    <w:p w14:paraId="41BFB24B" w14:textId="77777777" w:rsidR="000811C4" w:rsidRPr="00447800" w:rsidRDefault="0093224F" w:rsidP="00447800">
      <w:pPr>
        <w:spacing w:after="720"/>
        <w:ind w:right="-159"/>
        <w:jc w:val="both"/>
        <w:rPr>
          <w:rFonts w:eastAsia="Calibri"/>
          <w:color w:val="0000FF"/>
          <w:sz w:val="20"/>
          <w:szCs w:val="20"/>
          <w:lang w:eastAsia="en-US"/>
        </w:rPr>
      </w:pPr>
      <w:hyperlink r:id="rId8" w:history="1">
        <w:r w:rsidR="000811C4" w:rsidRPr="00447800">
          <w:rPr>
            <w:rFonts w:eastAsia="Calibri"/>
            <w:color w:val="0000FF"/>
            <w:sz w:val="20"/>
            <w:szCs w:val="20"/>
            <w:u w:val="single"/>
            <w:lang w:eastAsia="en-US"/>
          </w:rPr>
          <w:t>http://www.presidencia.gob.mx/articulos-prensa/el-crecimiento-del-pib-nacional-en-2014-es-superior-a-las-estimaciones-para-otras-economia-de-la-region-o-del-mundo-enrique-pena-nieto/</w:t>
        </w:r>
      </w:hyperlink>
      <w:r w:rsidR="000811C4" w:rsidRPr="00447800">
        <w:rPr>
          <w:rFonts w:eastAsia="Calibri"/>
          <w:color w:val="0000FF"/>
          <w:sz w:val="20"/>
          <w:szCs w:val="20"/>
          <w:lang w:eastAsia="en-US"/>
        </w:rPr>
        <w:t xml:space="preserve"> </w:t>
      </w:r>
    </w:p>
    <w:p w14:paraId="5E4A0B1E" w14:textId="77777777" w:rsidR="0021273B" w:rsidRPr="0021273B" w:rsidRDefault="0021273B" w:rsidP="0021273B">
      <w:pPr>
        <w:spacing w:after="360" w:line="360" w:lineRule="auto"/>
        <w:ind w:right="-159"/>
        <w:jc w:val="both"/>
        <w:rPr>
          <w:rFonts w:eastAsia="Calibri"/>
          <w:b/>
          <w:sz w:val="26"/>
          <w:szCs w:val="26"/>
          <w:lang w:eastAsia="en-US"/>
        </w:rPr>
      </w:pPr>
      <w:r w:rsidRPr="0021273B">
        <w:rPr>
          <w:rFonts w:eastAsia="Calibri"/>
          <w:b/>
          <w:sz w:val="26"/>
          <w:szCs w:val="26"/>
          <w:lang w:eastAsia="en-US"/>
        </w:rPr>
        <w:t>Situación México. Primer trimestre 2015 (BBVA Research)</w:t>
      </w:r>
    </w:p>
    <w:p w14:paraId="5999769B" w14:textId="77777777" w:rsidR="0021273B" w:rsidRPr="0021273B" w:rsidRDefault="0021273B" w:rsidP="0021273B">
      <w:pPr>
        <w:spacing w:after="360" w:line="360" w:lineRule="auto"/>
        <w:ind w:right="-159"/>
        <w:jc w:val="both"/>
        <w:rPr>
          <w:rFonts w:eastAsia="Calibri"/>
          <w:sz w:val="26"/>
          <w:szCs w:val="26"/>
          <w:lang w:val="es-ES" w:eastAsia="en-US"/>
        </w:rPr>
      </w:pPr>
      <w:r w:rsidRPr="0021273B">
        <w:rPr>
          <w:rFonts w:eastAsia="Calibri"/>
          <w:sz w:val="26"/>
          <w:szCs w:val="26"/>
          <w:lang w:val="es-ES" w:eastAsia="en-US"/>
        </w:rPr>
        <w:t>El 25 de febrero de 2015, la sección de estudios económicos de BBVA Research dio al análisis económico “Situación México Primer trimestre 2015”. En el documento se señala que:</w:t>
      </w:r>
    </w:p>
    <w:p w14:paraId="6F680A0C" w14:textId="77777777" w:rsidR="0021273B" w:rsidRPr="0021273B" w:rsidRDefault="0021273B" w:rsidP="00276F3E">
      <w:pPr>
        <w:numPr>
          <w:ilvl w:val="0"/>
          <w:numId w:val="32"/>
        </w:numPr>
        <w:spacing w:after="360" w:line="360" w:lineRule="auto"/>
        <w:ind w:left="568" w:right="-159" w:hanging="284"/>
        <w:jc w:val="both"/>
        <w:rPr>
          <w:rFonts w:eastAsia="Calibri"/>
          <w:sz w:val="26"/>
          <w:szCs w:val="26"/>
          <w:lang w:val="es-ES" w:eastAsia="en-US"/>
        </w:rPr>
      </w:pPr>
      <w:r w:rsidRPr="0021273B">
        <w:rPr>
          <w:rFonts w:eastAsia="Calibri"/>
          <w:sz w:val="26"/>
          <w:szCs w:val="26"/>
          <w:lang w:val="es-ES" w:eastAsia="en-US"/>
        </w:rPr>
        <w:t>Las exportaciones serán el principal impulsor del crecimiento económico en 2015.</w:t>
      </w:r>
    </w:p>
    <w:p w14:paraId="0556643A" w14:textId="77777777" w:rsidR="0021273B" w:rsidRPr="0021273B" w:rsidRDefault="0021273B" w:rsidP="00276F3E">
      <w:pPr>
        <w:numPr>
          <w:ilvl w:val="0"/>
          <w:numId w:val="32"/>
        </w:numPr>
        <w:spacing w:after="360" w:line="360" w:lineRule="auto"/>
        <w:ind w:left="568" w:right="-159" w:hanging="284"/>
        <w:jc w:val="both"/>
        <w:rPr>
          <w:rFonts w:eastAsia="Calibri"/>
          <w:sz w:val="26"/>
          <w:szCs w:val="26"/>
          <w:lang w:val="es-ES" w:eastAsia="en-US"/>
        </w:rPr>
      </w:pPr>
      <w:r w:rsidRPr="0021273B">
        <w:rPr>
          <w:rFonts w:eastAsia="Calibri"/>
          <w:sz w:val="26"/>
          <w:szCs w:val="26"/>
          <w:lang w:val="es-ES" w:eastAsia="en-US"/>
        </w:rPr>
        <w:t>Por áreas geográficas se observa un crecimiento desigual que resulta en políticas monetarias opuestas en Estados Unidos de Norteamérica y la eurozona</w:t>
      </w:r>
    </w:p>
    <w:p w14:paraId="5E4FADE8" w14:textId="77777777" w:rsidR="0021273B" w:rsidRPr="0021273B" w:rsidRDefault="0021273B" w:rsidP="00276F3E">
      <w:pPr>
        <w:numPr>
          <w:ilvl w:val="0"/>
          <w:numId w:val="32"/>
        </w:numPr>
        <w:spacing w:after="360" w:line="360" w:lineRule="auto"/>
        <w:ind w:left="568" w:right="-159" w:hanging="284"/>
        <w:jc w:val="both"/>
        <w:rPr>
          <w:rFonts w:eastAsia="Calibri"/>
          <w:sz w:val="26"/>
          <w:szCs w:val="26"/>
          <w:lang w:val="es-ES" w:eastAsia="en-US"/>
        </w:rPr>
      </w:pPr>
      <w:r w:rsidRPr="0021273B">
        <w:rPr>
          <w:rFonts w:eastAsia="Calibri"/>
          <w:sz w:val="26"/>
          <w:szCs w:val="26"/>
          <w:lang w:val="es-ES" w:eastAsia="en-US"/>
        </w:rPr>
        <w:lastRenderedPageBreak/>
        <w:t>La inflación se mantendrá cercana a la meta del Banco de México de 3.0% durante la mayor parte del año</w:t>
      </w:r>
    </w:p>
    <w:p w14:paraId="31CF76E6" w14:textId="473E5C04" w:rsidR="0021273B" w:rsidRPr="0021273B" w:rsidRDefault="0021273B" w:rsidP="0021273B">
      <w:pPr>
        <w:spacing w:after="360" w:line="360" w:lineRule="auto"/>
        <w:ind w:right="-159"/>
        <w:jc w:val="both"/>
        <w:rPr>
          <w:rFonts w:eastAsia="Calibri"/>
          <w:sz w:val="26"/>
          <w:szCs w:val="26"/>
          <w:lang w:val="es-ES" w:eastAsia="en-US"/>
        </w:rPr>
      </w:pPr>
      <w:r w:rsidRPr="0021273B">
        <w:rPr>
          <w:rFonts w:eastAsia="Calibri"/>
          <w:sz w:val="26"/>
          <w:szCs w:val="26"/>
          <w:lang w:val="es-ES" w:eastAsia="en-US"/>
        </w:rPr>
        <w:t xml:space="preserve">A continuación se presenta el Resumen; del </w:t>
      </w:r>
      <w:r w:rsidR="007B7E95">
        <w:rPr>
          <w:rFonts w:eastAsia="Calibri"/>
          <w:sz w:val="26"/>
          <w:szCs w:val="26"/>
          <w:lang w:val="es-ES" w:eastAsia="en-US"/>
        </w:rPr>
        <w:t>C</w:t>
      </w:r>
      <w:r w:rsidRPr="0021273B">
        <w:rPr>
          <w:rFonts w:eastAsia="Calibri"/>
          <w:sz w:val="26"/>
          <w:szCs w:val="26"/>
          <w:lang w:val="es-ES" w:eastAsia="en-US"/>
        </w:rPr>
        <w:t>apítulo 3. Mayor crecimiento en 2015 apoyado por una aceleración económica en Estados Unidos de Norteamérica</w:t>
      </w:r>
      <w:r w:rsidR="007B7E95">
        <w:rPr>
          <w:rFonts w:eastAsia="Calibri"/>
          <w:sz w:val="26"/>
          <w:szCs w:val="26"/>
          <w:lang w:val="es-ES" w:eastAsia="en-US"/>
        </w:rPr>
        <w:t>,</w:t>
      </w:r>
      <w:r w:rsidRPr="0021273B">
        <w:rPr>
          <w:rFonts w:eastAsia="Calibri"/>
          <w:sz w:val="26"/>
          <w:szCs w:val="26"/>
          <w:lang w:val="es-ES" w:eastAsia="en-US"/>
        </w:rPr>
        <w:t xml:space="preserve"> se incluye </w:t>
      </w:r>
      <w:r w:rsidR="007B7E95">
        <w:rPr>
          <w:rFonts w:eastAsia="Calibri"/>
          <w:sz w:val="26"/>
          <w:szCs w:val="26"/>
          <w:lang w:val="es-ES" w:eastAsia="en-US"/>
        </w:rPr>
        <w:t xml:space="preserve">el punto </w:t>
      </w:r>
      <w:r w:rsidRPr="0021273B">
        <w:rPr>
          <w:rFonts w:eastAsia="Calibri"/>
          <w:sz w:val="26"/>
          <w:szCs w:val="26"/>
          <w:lang w:val="es-ES" w:eastAsia="en-US"/>
        </w:rPr>
        <w:t xml:space="preserve">3.1 Mejora económica en el cuarto trimestre de 2014, la cual se prevé que continuará en los siguientes trimestres y </w:t>
      </w:r>
      <w:r w:rsidR="007B7E95">
        <w:rPr>
          <w:rFonts w:eastAsia="Calibri"/>
          <w:sz w:val="26"/>
          <w:szCs w:val="26"/>
          <w:lang w:val="es-ES" w:eastAsia="en-US"/>
        </w:rPr>
        <w:t xml:space="preserve">el </w:t>
      </w:r>
      <w:r w:rsidRPr="0021273B">
        <w:rPr>
          <w:rFonts w:eastAsia="Calibri"/>
          <w:sz w:val="26"/>
          <w:szCs w:val="26"/>
          <w:lang w:val="es-ES" w:eastAsia="en-US"/>
        </w:rPr>
        <w:t xml:space="preserve">Anuncio de recorte al gasto del sector público en 2015; también se incluyen las principales previsiones, del </w:t>
      </w:r>
      <w:r w:rsidR="007B7E95">
        <w:rPr>
          <w:rFonts w:eastAsia="Calibri"/>
          <w:sz w:val="26"/>
          <w:szCs w:val="26"/>
          <w:lang w:val="es-ES" w:eastAsia="en-US"/>
        </w:rPr>
        <w:t>C</w:t>
      </w:r>
      <w:r w:rsidRPr="0021273B">
        <w:rPr>
          <w:rFonts w:eastAsia="Calibri"/>
          <w:sz w:val="26"/>
          <w:szCs w:val="26"/>
          <w:lang w:val="es-ES" w:eastAsia="en-US"/>
        </w:rPr>
        <w:t>apítulo 4.</w:t>
      </w:r>
    </w:p>
    <w:p w14:paraId="7F111251" w14:textId="77777777" w:rsidR="0021273B" w:rsidRPr="0021273B" w:rsidRDefault="0021273B" w:rsidP="0021273B">
      <w:pPr>
        <w:spacing w:after="360" w:line="360" w:lineRule="auto"/>
        <w:ind w:right="-159"/>
        <w:jc w:val="both"/>
        <w:rPr>
          <w:rFonts w:eastAsia="Calibri"/>
          <w:b/>
          <w:sz w:val="26"/>
          <w:szCs w:val="26"/>
          <w:lang w:val="es-ES" w:eastAsia="en-US"/>
        </w:rPr>
      </w:pPr>
      <w:r w:rsidRPr="0021273B">
        <w:rPr>
          <w:rFonts w:eastAsia="Calibri"/>
          <w:b/>
          <w:sz w:val="26"/>
          <w:szCs w:val="26"/>
          <w:lang w:val="es-ES" w:eastAsia="en-US"/>
        </w:rPr>
        <w:t>1. En resumen</w:t>
      </w:r>
    </w:p>
    <w:p w14:paraId="4CF8B98B" w14:textId="77777777" w:rsidR="0021273B" w:rsidRDefault="0021273B" w:rsidP="0021273B">
      <w:pPr>
        <w:spacing w:after="360" w:line="360" w:lineRule="auto"/>
        <w:ind w:right="-159"/>
        <w:jc w:val="both"/>
        <w:rPr>
          <w:rFonts w:eastAsia="Calibri"/>
          <w:sz w:val="26"/>
          <w:szCs w:val="26"/>
          <w:lang w:val="es-ES" w:eastAsia="en-US"/>
        </w:rPr>
      </w:pPr>
      <w:r w:rsidRPr="0021273B">
        <w:rPr>
          <w:rFonts w:eastAsia="Calibri"/>
          <w:sz w:val="26"/>
          <w:szCs w:val="26"/>
          <w:lang w:val="es-ES" w:eastAsia="en-US"/>
        </w:rPr>
        <w:t>Impulsada por la demanda externa, la economía mexicana tuvo un desempeño más favorable en el cuarto trimestre de 2014, el cual se espera continúe durante 2015, aunque el consumo privado se mantiene todavía débil. Para 2015 se prevé un crecimiento económico de 3.5% anual resultado de un crecimiento en Estados Unidos de Norteamérica de 2.9% anual (véase la gráfica siguiente), y un peso mexicano más depreciado que apoyaría las exportaciones y limitaría las importaciones. Esta estimación tiene un sesgo a la baja ante el recorte al gasto público recientemente anunciado, la posibilidad de que la demanda interna privada no muestre una recuperación más sostenida a pesar de la mejora que se espera en el sector manufacturero, y que la caída reciente en la producción  petrolera no se revierta en los próximos meses. Dado que el recorte al gasto en principio se concentrará en gasto corriente, y el limitado efecto que ha tenido el gasto público sobre el crecimiento, se espera que esta medida tenga un impacto marginal en el crecimiento del Producto Interno Bruto (PIB) en 2015, el cual podría ser compensado por la mejora que estamos observando en la economía de Estados Unidos de Norteamérica.</w:t>
      </w:r>
    </w:p>
    <w:p w14:paraId="2C53A180" w14:textId="77777777" w:rsidR="006243F1" w:rsidRDefault="006243F1" w:rsidP="0021273B">
      <w:pPr>
        <w:spacing w:after="360" w:line="360" w:lineRule="auto"/>
        <w:ind w:right="-159"/>
        <w:jc w:val="both"/>
        <w:rPr>
          <w:rFonts w:eastAsia="Calibri"/>
          <w:sz w:val="26"/>
          <w:szCs w:val="26"/>
          <w:lang w:val="es-ES" w:eastAsia="en-US"/>
        </w:rPr>
      </w:pPr>
    </w:p>
    <w:p w14:paraId="1F6767D2" w14:textId="77777777" w:rsidR="006243F1" w:rsidRDefault="006243F1" w:rsidP="0021273B">
      <w:pPr>
        <w:spacing w:after="360" w:line="360" w:lineRule="auto"/>
        <w:ind w:right="-159"/>
        <w:jc w:val="both"/>
        <w:rPr>
          <w:rFonts w:eastAsia="Calibri"/>
          <w:sz w:val="26"/>
          <w:szCs w:val="26"/>
          <w:lang w:val="es-ES" w:eastAsia="en-US"/>
        </w:rPr>
      </w:pPr>
    </w:p>
    <w:tbl>
      <w:tblPr>
        <w:tblW w:w="9209" w:type="dxa"/>
        <w:tblLook w:val="04A0" w:firstRow="1" w:lastRow="0" w:firstColumn="1" w:lastColumn="0" w:noHBand="0" w:noVBand="1"/>
      </w:tblPr>
      <w:tblGrid>
        <w:gridCol w:w="9209"/>
      </w:tblGrid>
      <w:tr w:rsidR="0021273B" w:rsidRPr="0021273B" w14:paraId="2F540BEB" w14:textId="77777777" w:rsidTr="006A662C">
        <w:tc>
          <w:tcPr>
            <w:tcW w:w="9209" w:type="dxa"/>
          </w:tcPr>
          <w:p w14:paraId="7CF2D6BE"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lastRenderedPageBreak/>
              <w:t>CRECIMIENTO DEL PIB DE MÉXICO Y ESTADOS UNIDOS DE NORTEAMÉRICA</w:t>
            </w:r>
          </w:p>
          <w:p w14:paraId="0B2541A5"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-Variación porcentual anual, ajustada por estacionalidad-</w:t>
            </w:r>
          </w:p>
        </w:tc>
      </w:tr>
      <w:tr w:rsidR="0021273B" w:rsidRPr="0021273B" w14:paraId="04D6FFB4" w14:textId="77777777" w:rsidTr="006A662C">
        <w:tc>
          <w:tcPr>
            <w:tcW w:w="9209" w:type="dxa"/>
          </w:tcPr>
          <w:p w14:paraId="4659F9F5" w14:textId="588078DE" w:rsidR="0021273B" w:rsidRPr="0021273B" w:rsidRDefault="008D29D8" w:rsidP="0021273B">
            <w:pPr>
              <w:jc w:val="center"/>
              <w:rPr>
                <w:rFonts w:eastAsia="Calibri"/>
                <w:sz w:val="22"/>
                <w:szCs w:val="26"/>
                <w:lang w:val="es-ES" w:eastAsia="en-US"/>
              </w:rPr>
            </w:pPr>
            <w:r w:rsidRPr="00E908C7">
              <w:rPr>
                <w:noProof/>
                <w:szCs w:val="26"/>
                <w:lang w:eastAsia="es-MX"/>
              </w:rPr>
              <w:drawing>
                <wp:inline distT="0" distB="0" distL="0" distR="0" wp14:anchorId="53A9BF4A" wp14:editId="321C6BED">
                  <wp:extent cx="4384637" cy="3060000"/>
                  <wp:effectExtent l="0" t="0" r="0" b="7620"/>
                  <wp:docPr id="174" name="Imagen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3382" b="1760"/>
                          <a:stretch/>
                        </pic:blipFill>
                        <pic:spPr bwMode="auto">
                          <a:xfrm>
                            <a:off x="0" y="0"/>
                            <a:ext cx="4384637" cy="30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1273B" w:rsidRPr="0021273B" w14:paraId="2392B06F" w14:textId="77777777" w:rsidTr="006A662C">
        <w:tc>
          <w:tcPr>
            <w:tcW w:w="9209" w:type="dxa"/>
          </w:tcPr>
          <w:p w14:paraId="471C4BBF" w14:textId="77777777" w:rsidR="0021273B" w:rsidRPr="0021273B" w:rsidRDefault="0021273B" w:rsidP="0021273B">
            <w:pPr>
              <w:ind w:firstLine="1021"/>
              <w:jc w:val="both"/>
              <w:rPr>
                <w:rFonts w:eastAsia="Calibri"/>
                <w:sz w:val="20"/>
                <w:szCs w:val="26"/>
                <w:lang w:val="es-ES" w:eastAsia="en-US"/>
              </w:rPr>
            </w:pPr>
            <w:r w:rsidRPr="0021273B">
              <w:rPr>
                <w:rFonts w:eastAsia="Calibri"/>
                <w:sz w:val="20"/>
                <w:szCs w:val="26"/>
                <w:lang w:val="es-ES" w:eastAsia="en-US"/>
              </w:rPr>
              <w:t>FUENTE: BBVA Research, estimación propia.</w:t>
            </w:r>
          </w:p>
        </w:tc>
      </w:tr>
    </w:tbl>
    <w:p w14:paraId="4D876831" w14:textId="77777777" w:rsidR="0021273B" w:rsidRPr="0021273B" w:rsidRDefault="0021273B" w:rsidP="0021273B">
      <w:pPr>
        <w:spacing w:after="360" w:line="360" w:lineRule="auto"/>
        <w:ind w:right="-159"/>
        <w:jc w:val="both"/>
        <w:rPr>
          <w:rFonts w:eastAsia="Calibri"/>
          <w:sz w:val="26"/>
          <w:szCs w:val="26"/>
          <w:lang w:val="es-ES" w:eastAsia="en-US"/>
        </w:rPr>
      </w:pPr>
    </w:p>
    <w:p w14:paraId="5EB4FFC8" w14:textId="77777777" w:rsidR="0021273B" w:rsidRDefault="0021273B" w:rsidP="0021273B">
      <w:pPr>
        <w:spacing w:after="360" w:line="360" w:lineRule="auto"/>
        <w:ind w:right="-159"/>
        <w:jc w:val="both"/>
        <w:rPr>
          <w:rFonts w:eastAsia="Calibri"/>
          <w:sz w:val="26"/>
          <w:szCs w:val="26"/>
          <w:lang w:val="es-ES" w:eastAsia="en-US"/>
        </w:rPr>
      </w:pPr>
      <w:r w:rsidRPr="0021273B">
        <w:rPr>
          <w:rFonts w:eastAsia="Calibri"/>
          <w:sz w:val="26"/>
          <w:szCs w:val="26"/>
          <w:lang w:val="es-ES" w:eastAsia="en-US"/>
        </w:rPr>
        <w:t>Como se anticipaba, la inflación anual disminuyó sensiblemente, pasando de 4.08% en diciembre a 3.07% en enero. Esta caída en la inflación es consecuencia principalmente de la dilución del efecto del aumento impositivo de 2014, y los menores precios en los servicios de telecomunicaciones tras entrar en vigor la eliminación del cobro de larga distancia nacional, pero también tras verse los primeros efectos positivos para los consumidos derivados de mayor presión competitiva a raíz de la aprobación de la reforma en telecomunicaciones. La fuerte caída de la inflación anual en enero sugiere que la inflación podría cerrar 2015 en torno a 2.9%. De esta manera se espera que la inflación se mantendrá cercana a la meta del Banco de México de 3.0% durante la mayor parte del año.  Entre los riesgos al alza para la inflación destacan el posible traspaso de la depreciación cambiaria y en mayor medida aumentos en los precios agropecuarios.</w:t>
      </w:r>
    </w:p>
    <w:p w14:paraId="4D1898E9" w14:textId="77777777" w:rsidR="008957E5" w:rsidRPr="0021273B" w:rsidRDefault="008957E5" w:rsidP="0021273B">
      <w:pPr>
        <w:spacing w:after="360" w:line="360" w:lineRule="auto"/>
        <w:ind w:right="-159"/>
        <w:jc w:val="both"/>
        <w:rPr>
          <w:rFonts w:eastAsia="Calibri"/>
          <w:sz w:val="26"/>
          <w:szCs w:val="26"/>
          <w:lang w:val="es-ES" w:eastAsia="en-US"/>
        </w:rPr>
      </w:pPr>
    </w:p>
    <w:tbl>
      <w:tblPr>
        <w:tblW w:w="9209" w:type="dxa"/>
        <w:tblLook w:val="04A0" w:firstRow="1" w:lastRow="0" w:firstColumn="1" w:lastColumn="0" w:noHBand="0" w:noVBand="1"/>
      </w:tblPr>
      <w:tblGrid>
        <w:gridCol w:w="9209"/>
      </w:tblGrid>
      <w:tr w:rsidR="0021273B" w:rsidRPr="0021273B" w14:paraId="135BEC6F" w14:textId="77777777" w:rsidTr="006A662C">
        <w:tc>
          <w:tcPr>
            <w:tcW w:w="9209" w:type="dxa"/>
          </w:tcPr>
          <w:p w14:paraId="60C58FA5"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lastRenderedPageBreak/>
              <w:t>PERSPECTIVAS DE INFLACIÓN</w:t>
            </w:r>
          </w:p>
          <w:p w14:paraId="16248DAD"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-Variación porcentual anual -</w:t>
            </w:r>
          </w:p>
        </w:tc>
      </w:tr>
      <w:tr w:rsidR="0021273B" w:rsidRPr="0021273B" w14:paraId="7474F028" w14:textId="77777777" w:rsidTr="006A662C">
        <w:tc>
          <w:tcPr>
            <w:tcW w:w="9209" w:type="dxa"/>
          </w:tcPr>
          <w:p w14:paraId="488A15D9" w14:textId="77777777" w:rsidR="0021273B" w:rsidRPr="0021273B" w:rsidRDefault="0021273B" w:rsidP="0021273B">
            <w:pPr>
              <w:jc w:val="center"/>
              <w:rPr>
                <w:rFonts w:eastAsia="Calibri"/>
                <w:sz w:val="22"/>
                <w:szCs w:val="26"/>
                <w:lang w:val="es-ES" w:eastAsia="en-US"/>
              </w:rPr>
            </w:pPr>
            <w:r w:rsidRPr="0021273B">
              <w:rPr>
                <w:rFonts w:eastAsia="Calibri"/>
                <w:noProof/>
                <w:sz w:val="22"/>
                <w:szCs w:val="26"/>
                <w:lang w:eastAsia="es-MX"/>
              </w:rPr>
              <w:drawing>
                <wp:inline distT="0" distB="0" distL="0" distR="0" wp14:anchorId="314E33E0" wp14:editId="2028F3F1">
                  <wp:extent cx="4812115" cy="3060000"/>
                  <wp:effectExtent l="0" t="0" r="7620" b="762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3874" b="1752"/>
                          <a:stretch/>
                        </pic:blipFill>
                        <pic:spPr bwMode="auto">
                          <a:xfrm>
                            <a:off x="0" y="0"/>
                            <a:ext cx="4812115" cy="30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1273B" w:rsidRPr="0021273B" w14:paraId="18D7A7A2" w14:textId="77777777" w:rsidTr="006A662C">
        <w:tc>
          <w:tcPr>
            <w:tcW w:w="9209" w:type="dxa"/>
          </w:tcPr>
          <w:p w14:paraId="452E35ED" w14:textId="77777777" w:rsidR="0021273B" w:rsidRPr="0021273B" w:rsidRDefault="0021273B" w:rsidP="0021273B">
            <w:pPr>
              <w:ind w:firstLine="1021"/>
              <w:jc w:val="both"/>
              <w:rPr>
                <w:rFonts w:eastAsia="Calibri"/>
                <w:sz w:val="20"/>
                <w:szCs w:val="26"/>
                <w:lang w:val="es-ES" w:eastAsia="en-US"/>
              </w:rPr>
            </w:pPr>
            <w:r w:rsidRPr="0021273B">
              <w:rPr>
                <w:rFonts w:eastAsia="Calibri"/>
                <w:sz w:val="20"/>
                <w:szCs w:val="26"/>
                <w:lang w:val="es-ES" w:eastAsia="en-US"/>
              </w:rPr>
              <w:t>FUENTE: BBVA Research.</w:t>
            </w:r>
          </w:p>
        </w:tc>
      </w:tr>
    </w:tbl>
    <w:p w14:paraId="24469FDC" w14:textId="77777777" w:rsidR="0021273B" w:rsidRPr="0021273B" w:rsidRDefault="0021273B" w:rsidP="0021273B">
      <w:pPr>
        <w:spacing w:after="360" w:line="360" w:lineRule="auto"/>
        <w:ind w:right="-159"/>
        <w:jc w:val="both"/>
        <w:rPr>
          <w:rFonts w:eastAsia="Calibri"/>
          <w:sz w:val="26"/>
          <w:szCs w:val="26"/>
          <w:lang w:val="es-ES" w:eastAsia="en-US"/>
        </w:rPr>
      </w:pPr>
    </w:p>
    <w:p w14:paraId="446F82A1" w14:textId="77777777" w:rsidR="0021273B" w:rsidRPr="0021273B" w:rsidRDefault="0021273B" w:rsidP="0021273B">
      <w:pPr>
        <w:spacing w:after="360" w:line="360" w:lineRule="auto"/>
        <w:ind w:right="-159"/>
        <w:jc w:val="both"/>
        <w:rPr>
          <w:rFonts w:eastAsia="Calibri"/>
          <w:sz w:val="26"/>
          <w:szCs w:val="26"/>
          <w:lang w:val="es-ES" w:eastAsia="en-US"/>
        </w:rPr>
      </w:pPr>
      <w:r w:rsidRPr="0021273B">
        <w:rPr>
          <w:rFonts w:eastAsia="Calibri"/>
          <w:sz w:val="26"/>
          <w:szCs w:val="26"/>
          <w:lang w:val="es-ES" w:eastAsia="en-US"/>
        </w:rPr>
        <w:t>Los bajos niveles de inflación aunados a la holgura en la economía resultado del bajo crecimiento en 2013 y 2014 sugieren que el banco central tiene espacio para mantener la tasa de referencia sin cambio todavía por un período prologado. Ahora bien, la mejora en la economía reduciría paulatinamente la holgura en la economía, y en sus comunicados el banco central ha mencionado la alta probabilidad de que las tasas de interés domésticas deban incrementarse ante un incremento fuerte de las tasas de interés de Estados Unidos de Norteamérica. De esta manera, se espera un ajuste pausado de la tasa de política monetaria, en sincronía con el ciclo económico y monetario de Estados Unidos de Norteamérica, con lo que se prevé que la tasa monetaria cierre este año en 3.5 por ciento.</w:t>
      </w:r>
    </w:p>
    <w:p w14:paraId="04F32DD0" w14:textId="7F5F5F3B" w:rsidR="0021273B" w:rsidRPr="0021273B" w:rsidRDefault="0021273B" w:rsidP="0021273B">
      <w:pPr>
        <w:spacing w:after="360" w:line="360" w:lineRule="auto"/>
        <w:ind w:right="-159"/>
        <w:jc w:val="both"/>
        <w:rPr>
          <w:rFonts w:eastAsia="Calibri"/>
          <w:sz w:val="26"/>
          <w:szCs w:val="26"/>
          <w:lang w:val="es-ES" w:eastAsia="en-US"/>
        </w:rPr>
      </w:pPr>
      <w:r w:rsidRPr="0021273B">
        <w:rPr>
          <w:rFonts w:eastAsia="Calibri"/>
          <w:sz w:val="26"/>
          <w:szCs w:val="26"/>
          <w:lang w:val="es-ES" w:eastAsia="en-US"/>
        </w:rPr>
        <w:t>Durante los dos primeros meses del año</w:t>
      </w:r>
      <w:r w:rsidR="00AA2BF3">
        <w:rPr>
          <w:rFonts w:eastAsia="Calibri"/>
          <w:sz w:val="26"/>
          <w:szCs w:val="26"/>
          <w:lang w:val="es-ES" w:eastAsia="en-US"/>
        </w:rPr>
        <w:t>,</w:t>
      </w:r>
      <w:r w:rsidRPr="0021273B">
        <w:rPr>
          <w:rFonts w:eastAsia="Calibri"/>
          <w:sz w:val="26"/>
          <w:szCs w:val="26"/>
          <w:lang w:val="es-ES" w:eastAsia="en-US"/>
        </w:rPr>
        <w:t xml:space="preserve"> a un contexto económico de caída en los precios del petróleo y de menor crecimiento global, con excepción de Estados Unidos de Norteamérica, se han añadido dos nuevos factores de incertidumbre a la economía del país que son: la expectativa de un inicio anticipado del ciclo de normalización de la </w:t>
      </w:r>
      <w:r w:rsidRPr="0021273B">
        <w:rPr>
          <w:rFonts w:eastAsia="Calibri"/>
          <w:sz w:val="26"/>
          <w:szCs w:val="26"/>
          <w:lang w:val="es-ES" w:eastAsia="en-US"/>
        </w:rPr>
        <w:lastRenderedPageBreak/>
        <w:t>Reserva Federal y las dudas sobre las negociaciones de un nuevo paquete de rescate a Grecia. Estos dos nuevos factores han pesado en los mercados financieros en México. Por una parte la volatilidad y la cotización del tipo de cambio se han incrementado con lo que el peso ha llegado a cotizar por encima de los 15 pesos por dólar por primera vez desde marzo de 2009. Por otra parte, las tasas de interés de la deuda gubernamental de largo plazo han mantenido su alta correlación con sus similares de Estados Unidos de Norteamérica con lo que ante la expectativa en los mercados financieros de un alza más pronta de la tasa de fondos federales hacia el verano de este año, las tasas de interés de largo plazo mostraron un punto de inflexión e iniciaron una tendencia alcista que ha continuado durante la primera quincena de febrero. Vale la pena mencionar que a pesar de la expectativa de aumento en las tasas de interés en Estados Unidos de Norteamérica, los flujos de inversión extranjera en instrumentos de renta fija han continuado.</w:t>
      </w:r>
    </w:p>
    <w:p w14:paraId="00313771" w14:textId="1B523475" w:rsidR="0021273B" w:rsidRDefault="0021273B" w:rsidP="0021273B">
      <w:pPr>
        <w:spacing w:after="360" w:line="360" w:lineRule="auto"/>
        <w:ind w:right="-159"/>
        <w:jc w:val="both"/>
        <w:rPr>
          <w:rFonts w:eastAsia="Calibri"/>
          <w:sz w:val="26"/>
          <w:szCs w:val="26"/>
          <w:lang w:val="es-ES" w:eastAsia="en-US"/>
        </w:rPr>
      </w:pPr>
      <w:r w:rsidRPr="0021273B">
        <w:rPr>
          <w:rFonts w:eastAsia="Calibri"/>
          <w:sz w:val="26"/>
          <w:szCs w:val="26"/>
          <w:lang w:val="es-ES" w:eastAsia="en-US"/>
        </w:rPr>
        <w:t xml:space="preserve">Hacia adelante se espera que los datos macroeconómicos de Estados Unidos de Norteamérica y la información de la Reserva Federal estén en el centro de la atención de los mercados ante la cercanía del inicio del proceso de normalización monetaria. En materia cambiaria, se espera que una vez que la economía muestre signos de mejora, haya claridad sobre el patrón de alza de la tasa de fondos federales, y en ausencia  de caídas adicionales en el precio del petróleo, el peso podría apreciarse hacia niveles alrededor  de 14 pesos por dólar al finalizar el año. En relación </w:t>
      </w:r>
      <w:r w:rsidR="00AA2BF3">
        <w:rPr>
          <w:rFonts w:eastAsia="Calibri"/>
          <w:sz w:val="26"/>
          <w:szCs w:val="26"/>
          <w:lang w:val="es-ES" w:eastAsia="en-US"/>
        </w:rPr>
        <w:t>con</w:t>
      </w:r>
      <w:r w:rsidRPr="0021273B">
        <w:rPr>
          <w:rFonts w:eastAsia="Calibri"/>
          <w:sz w:val="26"/>
          <w:szCs w:val="26"/>
          <w:lang w:val="es-ES" w:eastAsia="en-US"/>
        </w:rPr>
        <w:t xml:space="preserve"> las tasas de interés de la deuda gubernamental, el escenario más probable sigue siendo su aumento gradual ante la perspectiva de incremento en la tasa monetaria de Estados Unidos de Norteamérica y México.  En este sentido, para fin de año anticipamos que el rendimiento de la Nota del Tesoro de Estados Unidos de Norteamérica a 10 años se ubicará en torno a 2.6% mientras que el del bono mexicano a 10 años se situará en alrededor de 6.1 por ciento.</w:t>
      </w:r>
    </w:p>
    <w:p w14:paraId="69D895C1" w14:textId="77777777" w:rsidR="00705916" w:rsidRPr="0021273B" w:rsidRDefault="00705916" w:rsidP="0021273B">
      <w:pPr>
        <w:spacing w:after="360" w:line="360" w:lineRule="auto"/>
        <w:ind w:right="-159"/>
        <w:jc w:val="both"/>
        <w:rPr>
          <w:rFonts w:eastAsia="Calibri"/>
          <w:sz w:val="26"/>
          <w:szCs w:val="26"/>
          <w:lang w:val="es-ES" w:eastAsia="en-US"/>
        </w:rPr>
      </w:pPr>
    </w:p>
    <w:p w14:paraId="7B28AA56" w14:textId="77777777" w:rsidR="0021273B" w:rsidRPr="0021273B" w:rsidRDefault="0021273B" w:rsidP="0021273B">
      <w:pPr>
        <w:spacing w:after="360"/>
        <w:ind w:left="284" w:right="-159" w:hanging="284"/>
        <w:jc w:val="both"/>
        <w:rPr>
          <w:rFonts w:eastAsia="Calibri"/>
          <w:b/>
          <w:sz w:val="26"/>
          <w:szCs w:val="26"/>
          <w:lang w:val="es-ES" w:eastAsia="en-US"/>
        </w:rPr>
      </w:pPr>
      <w:r w:rsidRPr="0021273B">
        <w:rPr>
          <w:rFonts w:eastAsia="Calibri"/>
          <w:b/>
          <w:sz w:val="26"/>
          <w:szCs w:val="26"/>
          <w:lang w:val="es-ES" w:eastAsia="en-US"/>
        </w:rPr>
        <w:lastRenderedPageBreak/>
        <w:t>3. Mayor crecimiento en 2015 apoyado por una aceleración económica en Estados Unidos de Norteamérica</w:t>
      </w:r>
    </w:p>
    <w:p w14:paraId="621B9F9A" w14:textId="77777777" w:rsidR="0021273B" w:rsidRPr="0021273B" w:rsidRDefault="0021273B" w:rsidP="0021273B">
      <w:pPr>
        <w:spacing w:after="360"/>
        <w:ind w:left="426" w:right="-159" w:hanging="426"/>
        <w:jc w:val="both"/>
        <w:rPr>
          <w:rFonts w:eastAsia="Calibri"/>
          <w:b/>
          <w:sz w:val="26"/>
          <w:szCs w:val="26"/>
          <w:lang w:val="es-ES" w:eastAsia="en-US"/>
        </w:rPr>
      </w:pPr>
      <w:r w:rsidRPr="0021273B">
        <w:rPr>
          <w:rFonts w:eastAsia="Calibri"/>
          <w:b/>
          <w:sz w:val="26"/>
          <w:szCs w:val="26"/>
          <w:lang w:val="es-ES" w:eastAsia="en-US"/>
        </w:rPr>
        <w:t>3.1 Mejora económica en el cuarto trimestre de 2014, la cual se prevé que continuará en los siguientes trimestres</w:t>
      </w:r>
    </w:p>
    <w:p w14:paraId="58C6B0A2" w14:textId="3BB31B09" w:rsidR="0021273B" w:rsidRPr="0021273B" w:rsidRDefault="0021273B" w:rsidP="0021273B">
      <w:pPr>
        <w:spacing w:after="360" w:line="360" w:lineRule="auto"/>
        <w:ind w:right="-159"/>
        <w:jc w:val="both"/>
        <w:rPr>
          <w:rFonts w:eastAsia="Calibri"/>
          <w:sz w:val="26"/>
          <w:szCs w:val="26"/>
          <w:lang w:val="es-ES" w:eastAsia="en-US"/>
        </w:rPr>
      </w:pPr>
      <w:r w:rsidRPr="0021273B">
        <w:rPr>
          <w:rFonts w:eastAsia="Calibri"/>
          <w:sz w:val="26"/>
          <w:szCs w:val="26"/>
          <w:lang w:val="es-ES" w:eastAsia="en-US"/>
        </w:rPr>
        <w:t>Durante el tercer trimestre de 2014</w:t>
      </w:r>
      <w:r w:rsidR="00AA2BF3">
        <w:rPr>
          <w:rFonts w:eastAsia="Calibri"/>
          <w:sz w:val="26"/>
          <w:szCs w:val="26"/>
          <w:lang w:val="es-ES" w:eastAsia="en-US"/>
        </w:rPr>
        <w:t>,</w:t>
      </w:r>
      <w:r w:rsidRPr="0021273B">
        <w:rPr>
          <w:rFonts w:eastAsia="Calibri"/>
          <w:sz w:val="26"/>
          <w:szCs w:val="26"/>
          <w:lang w:val="es-ES" w:eastAsia="en-US"/>
        </w:rPr>
        <w:t xml:space="preserve"> México tuvo una tasa de crecimiento económico trimestral de 0.53%, ajustada por estacionalidad. Por ello, y debido a que el Instituto Nacional de Estadística y Geografía (INEGI) revisó a la baja la tasa de crecimiento de los trimestres anteriores, en ese momento, BBVA ajustó su expectativa de crecimiento económico para 2014 a 2.1% desde el 2.5%. Ahora bien, para el cuarto trimestre de 2014 el crecimiento trimestral del PIB fue de 0.7%, lo cual hizo que el crecimiento anual en 2014 fuera de 2.1% (véase la gráfica siguiente).</w:t>
      </w:r>
    </w:p>
    <w:tbl>
      <w:tblPr>
        <w:tblW w:w="9209" w:type="dxa"/>
        <w:tblLook w:val="04A0" w:firstRow="1" w:lastRow="0" w:firstColumn="1" w:lastColumn="0" w:noHBand="0" w:noVBand="1"/>
      </w:tblPr>
      <w:tblGrid>
        <w:gridCol w:w="9209"/>
      </w:tblGrid>
      <w:tr w:rsidR="0021273B" w:rsidRPr="0021273B" w14:paraId="673E171E" w14:textId="77777777" w:rsidTr="006A662C">
        <w:tc>
          <w:tcPr>
            <w:tcW w:w="9209" w:type="dxa"/>
          </w:tcPr>
          <w:p w14:paraId="597320F3"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 xml:space="preserve">PRODUCTO INTERNO BRUTO, 2011-2014 </w:t>
            </w:r>
          </w:p>
          <w:p w14:paraId="30C3EBE9"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-Variación porcentual trimestral, ajustada por estacionalidad-</w:t>
            </w:r>
          </w:p>
        </w:tc>
      </w:tr>
      <w:tr w:rsidR="0021273B" w:rsidRPr="0021273B" w14:paraId="17F2B547" w14:textId="77777777" w:rsidTr="006A662C">
        <w:tc>
          <w:tcPr>
            <w:tcW w:w="9209" w:type="dxa"/>
          </w:tcPr>
          <w:p w14:paraId="5409D30E" w14:textId="77777777" w:rsidR="0021273B" w:rsidRPr="0021273B" w:rsidRDefault="0021273B" w:rsidP="0021273B">
            <w:pPr>
              <w:jc w:val="center"/>
              <w:rPr>
                <w:rFonts w:eastAsia="Calibri"/>
                <w:sz w:val="22"/>
                <w:szCs w:val="26"/>
                <w:lang w:val="es-ES" w:eastAsia="en-US"/>
              </w:rPr>
            </w:pPr>
            <w:r w:rsidRPr="0021273B">
              <w:rPr>
                <w:rFonts w:eastAsia="Calibri"/>
                <w:noProof/>
                <w:sz w:val="22"/>
                <w:szCs w:val="26"/>
                <w:lang w:eastAsia="es-MX"/>
              </w:rPr>
              <w:drawing>
                <wp:inline distT="0" distB="0" distL="0" distR="0" wp14:anchorId="5E2316AD" wp14:editId="0329D88C">
                  <wp:extent cx="4960706" cy="3060000"/>
                  <wp:effectExtent l="0" t="0" r="0" b="762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3559" b="3909"/>
                          <a:stretch/>
                        </pic:blipFill>
                        <pic:spPr bwMode="auto">
                          <a:xfrm>
                            <a:off x="0" y="0"/>
                            <a:ext cx="4960706" cy="30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1273B" w:rsidRPr="0021273B" w14:paraId="722B5B0C" w14:textId="77777777" w:rsidTr="006A662C">
        <w:tc>
          <w:tcPr>
            <w:tcW w:w="9209" w:type="dxa"/>
          </w:tcPr>
          <w:p w14:paraId="55211B91" w14:textId="77777777" w:rsidR="0021273B" w:rsidRPr="0021273B" w:rsidRDefault="0021273B" w:rsidP="0021273B">
            <w:pPr>
              <w:ind w:firstLine="1021"/>
              <w:jc w:val="both"/>
              <w:rPr>
                <w:rFonts w:eastAsia="Calibri"/>
                <w:sz w:val="20"/>
                <w:szCs w:val="26"/>
                <w:lang w:val="es-ES" w:eastAsia="en-US"/>
              </w:rPr>
            </w:pPr>
            <w:r w:rsidRPr="0021273B">
              <w:rPr>
                <w:rFonts w:eastAsia="Calibri"/>
                <w:sz w:val="20"/>
                <w:szCs w:val="26"/>
                <w:lang w:val="es-ES" w:eastAsia="en-US"/>
              </w:rPr>
              <w:t>FUENTE: BBVA Research con información del INEGI.</w:t>
            </w:r>
          </w:p>
        </w:tc>
      </w:tr>
    </w:tbl>
    <w:p w14:paraId="0450BF3E" w14:textId="77777777" w:rsidR="0021273B" w:rsidRPr="0021273B" w:rsidRDefault="0021273B" w:rsidP="0021273B">
      <w:pPr>
        <w:spacing w:after="360" w:line="360" w:lineRule="auto"/>
        <w:ind w:right="-159"/>
        <w:jc w:val="both"/>
        <w:rPr>
          <w:rFonts w:eastAsia="Calibri"/>
          <w:sz w:val="26"/>
          <w:szCs w:val="26"/>
          <w:lang w:val="es-ES" w:eastAsia="en-US"/>
        </w:rPr>
      </w:pPr>
    </w:p>
    <w:p w14:paraId="28C565F2" w14:textId="6120FA64" w:rsidR="0021273B" w:rsidRPr="0021273B" w:rsidRDefault="0021273B" w:rsidP="0021273B">
      <w:pPr>
        <w:spacing w:after="360" w:line="360" w:lineRule="auto"/>
        <w:ind w:right="-159"/>
        <w:jc w:val="both"/>
        <w:rPr>
          <w:rFonts w:eastAsia="Calibri"/>
          <w:sz w:val="26"/>
          <w:szCs w:val="26"/>
          <w:lang w:val="es-ES" w:eastAsia="en-US"/>
        </w:rPr>
      </w:pPr>
      <w:r w:rsidRPr="0021273B">
        <w:rPr>
          <w:rFonts w:eastAsia="Calibri"/>
          <w:sz w:val="26"/>
          <w:szCs w:val="26"/>
          <w:lang w:val="es-ES" w:eastAsia="en-US"/>
        </w:rPr>
        <w:t>El 30 de enero de 2015</w:t>
      </w:r>
      <w:r w:rsidR="00AA2BF3">
        <w:rPr>
          <w:rFonts w:eastAsia="Calibri"/>
          <w:sz w:val="26"/>
          <w:szCs w:val="26"/>
          <w:lang w:val="es-ES" w:eastAsia="en-US"/>
        </w:rPr>
        <w:t>,</w:t>
      </w:r>
      <w:r w:rsidRPr="0021273B">
        <w:rPr>
          <w:rFonts w:eastAsia="Calibri"/>
          <w:sz w:val="26"/>
          <w:szCs w:val="26"/>
          <w:lang w:val="es-ES" w:eastAsia="en-US"/>
        </w:rPr>
        <w:t xml:space="preserve"> la Secretaría de Hacienda y Crédito Público (SHCP) anunció un recorte al gasto corriente que representa 2.6% del gasto neto total de la federación, lo que equivale a 0.7% del PIB. Ante el monto del recorte, su concentración en gasto </w:t>
      </w:r>
      <w:r w:rsidRPr="0021273B">
        <w:rPr>
          <w:rFonts w:eastAsia="Calibri"/>
          <w:sz w:val="26"/>
          <w:szCs w:val="26"/>
          <w:lang w:val="es-ES" w:eastAsia="en-US"/>
        </w:rPr>
        <w:lastRenderedPageBreak/>
        <w:t>corriente (65%), y el limitado efecto que ha tenido el gasto público sobre el crecimiento, se espera que éste tenga un impacto acotado en el crecimiento del PIB en 2015, el cual podría ser compensado por la mejora que estamos observando en la economía de Estados Unidos Norteamérica. Sin embargo, esto imprime un sesgo a la baja en la expectativa de crecimiento económico para 2015, fijada en 3.5% (véase la gráfica siguiente).</w:t>
      </w:r>
    </w:p>
    <w:tbl>
      <w:tblPr>
        <w:tblW w:w="9209" w:type="dxa"/>
        <w:tblLook w:val="04A0" w:firstRow="1" w:lastRow="0" w:firstColumn="1" w:lastColumn="0" w:noHBand="0" w:noVBand="1"/>
      </w:tblPr>
      <w:tblGrid>
        <w:gridCol w:w="9209"/>
      </w:tblGrid>
      <w:tr w:rsidR="0021273B" w:rsidRPr="0021273B" w14:paraId="227CCDFC" w14:textId="77777777" w:rsidTr="006A662C">
        <w:tc>
          <w:tcPr>
            <w:tcW w:w="9209" w:type="dxa"/>
          </w:tcPr>
          <w:p w14:paraId="37E4C623"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PIB DE MÉXICO Y ESTADOS UNIDOS NORTEAMÉRICA 2011-2014</w:t>
            </w:r>
          </w:p>
          <w:p w14:paraId="5E9202A8"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-Variación porcentual trimestral, ajustada por estacionalidad-</w:t>
            </w:r>
          </w:p>
        </w:tc>
      </w:tr>
      <w:tr w:rsidR="0021273B" w:rsidRPr="0021273B" w14:paraId="27B001D5" w14:textId="77777777" w:rsidTr="006A662C">
        <w:tc>
          <w:tcPr>
            <w:tcW w:w="9209" w:type="dxa"/>
          </w:tcPr>
          <w:p w14:paraId="28F7060E" w14:textId="77777777" w:rsidR="0021273B" w:rsidRPr="0021273B" w:rsidRDefault="0021273B" w:rsidP="0021273B">
            <w:pPr>
              <w:jc w:val="center"/>
              <w:rPr>
                <w:rFonts w:eastAsia="Calibri"/>
                <w:sz w:val="22"/>
                <w:szCs w:val="26"/>
                <w:lang w:val="es-ES" w:eastAsia="en-US"/>
              </w:rPr>
            </w:pPr>
            <w:r w:rsidRPr="0021273B">
              <w:rPr>
                <w:rFonts w:eastAsia="Calibri"/>
                <w:noProof/>
                <w:sz w:val="22"/>
                <w:szCs w:val="26"/>
                <w:lang w:eastAsia="es-MX"/>
              </w:rPr>
              <w:drawing>
                <wp:inline distT="0" distB="0" distL="0" distR="0" wp14:anchorId="77652356" wp14:editId="7E098816">
                  <wp:extent cx="4747283" cy="3240000"/>
                  <wp:effectExtent l="0" t="0" r="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5967" b="1128"/>
                          <a:stretch/>
                        </pic:blipFill>
                        <pic:spPr bwMode="auto">
                          <a:xfrm>
                            <a:off x="0" y="0"/>
                            <a:ext cx="4747283" cy="324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1273B" w:rsidRPr="0021273B" w14:paraId="751AB754" w14:textId="77777777" w:rsidTr="006A662C">
        <w:tc>
          <w:tcPr>
            <w:tcW w:w="9209" w:type="dxa"/>
          </w:tcPr>
          <w:p w14:paraId="26430B71" w14:textId="77777777" w:rsidR="0021273B" w:rsidRPr="0021273B" w:rsidRDefault="0021273B" w:rsidP="0021273B">
            <w:pPr>
              <w:ind w:left="1877" w:right="737" w:hanging="856"/>
              <w:jc w:val="both"/>
              <w:rPr>
                <w:rFonts w:eastAsia="Calibri"/>
                <w:sz w:val="20"/>
                <w:szCs w:val="26"/>
                <w:lang w:val="es-ES" w:eastAsia="en-US"/>
              </w:rPr>
            </w:pPr>
            <w:r w:rsidRPr="0021273B">
              <w:rPr>
                <w:rFonts w:eastAsia="Calibri"/>
                <w:sz w:val="20"/>
                <w:szCs w:val="26"/>
                <w:lang w:val="es-ES" w:eastAsia="en-US"/>
              </w:rPr>
              <w:t>FUENTE: BBVA Research con información del INEGI y del Bureau of Economic Analysis (BEA).</w:t>
            </w:r>
          </w:p>
        </w:tc>
      </w:tr>
    </w:tbl>
    <w:p w14:paraId="1CF80415" w14:textId="77777777" w:rsidR="0021273B" w:rsidRPr="0021273B" w:rsidRDefault="0021273B" w:rsidP="0021273B">
      <w:pPr>
        <w:spacing w:after="360" w:line="360" w:lineRule="auto"/>
        <w:ind w:right="-159"/>
        <w:jc w:val="both"/>
        <w:rPr>
          <w:rFonts w:eastAsia="Calibri"/>
          <w:sz w:val="26"/>
          <w:szCs w:val="26"/>
          <w:lang w:val="es-ES" w:eastAsia="en-US"/>
        </w:rPr>
      </w:pPr>
    </w:p>
    <w:p w14:paraId="71C16920" w14:textId="77777777" w:rsidR="0021273B" w:rsidRPr="0021273B" w:rsidRDefault="0021273B" w:rsidP="0021273B">
      <w:pPr>
        <w:spacing w:after="360"/>
        <w:ind w:left="624" w:right="-159" w:hanging="624"/>
        <w:jc w:val="both"/>
        <w:rPr>
          <w:rFonts w:eastAsia="Calibri"/>
          <w:b/>
          <w:sz w:val="26"/>
          <w:szCs w:val="26"/>
          <w:lang w:val="es-ES" w:eastAsia="en-US"/>
        </w:rPr>
      </w:pPr>
      <w:r w:rsidRPr="0021273B">
        <w:rPr>
          <w:rFonts w:eastAsia="Calibri"/>
          <w:b/>
          <w:sz w:val="26"/>
          <w:szCs w:val="26"/>
          <w:lang w:val="es-ES" w:eastAsia="en-US"/>
        </w:rPr>
        <w:t>3.1.1 Sector interno: La demanda interna continúa débil, aunque los aumentos recientes en el empleo parecen sugerir una mejora para los siguientes meses</w:t>
      </w:r>
    </w:p>
    <w:p w14:paraId="23EAE61D" w14:textId="77777777" w:rsidR="0021273B" w:rsidRPr="0021273B" w:rsidRDefault="0021273B" w:rsidP="0021273B">
      <w:pPr>
        <w:spacing w:after="360" w:line="360" w:lineRule="auto"/>
        <w:ind w:right="-159"/>
        <w:jc w:val="both"/>
        <w:rPr>
          <w:rFonts w:eastAsia="Calibri"/>
          <w:sz w:val="26"/>
          <w:szCs w:val="26"/>
          <w:lang w:val="es-ES" w:eastAsia="en-US"/>
        </w:rPr>
      </w:pPr>
      <w:r w:rsidRPr="0021273B">
        <w:rPr>
          <w:rFonts w:eastAsia="Calibri"/>
          <w:sz w:val="26"/>
          <w:szCs w:val="26"/>
          <w:lang w:val="es-ES" w:eastAsia="en-US"/>
        </w:rPr>
        <w:t xml:space="preserve">La evolución de la actividad económica durante 2014 mantuvo un ritmo de expansión muy moderado, inferior a las expectativas que se tenían a finales de 2013. Esto se debió a varios factores, entre los que destacan un efecto negativo de la reforma fiscal sobre el consumo; a bajos niveles de inversión vinculados con la holgura económica; y la </w:t>
      </w:r>
      <w:r w:rsidRPr="0021273B">
        <w:rPr>
          <w:rFonts w:eastAsia="Calibri"/>
          <w:sz w:val="26"/>
          <w:szCs w:val="26"/>
          <w:lang w:val="es-ES" w:eastAsia="en-US"/>
        </w:rPr>
        <w:lastRenderedPageBreak/>
        <w:t>existencia de conflictos y cierta inestabilidad social; y a una caída en el precio internacional de los minerales y el petróleo.</w:t>
      </w:r>
    </w:p>
    <w:tbl>
      <w:tblPr>
        <w:tblW w:w="9209" w:type="dxa"/>
        <w:tblLook w:val="04A0" w:firstRow="1" w:lastRow="0" w:firstColumn="1" w:lastColumn="0" w:noHBand="0" w:noVBand="1"/>
      </w:tblPr>
      <w:tblGrid>
        <w:gridCol w:w="9209"/>
      </w:tblGrid>
      <w:tr w:rsidR="0021273B" w:rsidRPr="0021273B" w14:paraId="2AAFEA03" w14:textId="77777777" w:rsidTr="006A662C">
        <w:tc>
          <w:tcPr>
            <w:tcW w:w="9209" w:type="dxa"/>
          </w:tcPr>
          <w:p w14:paraId="058AB92F"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INDICADOR GLOBAL DE ACTIVIDAD ECONÓMICA Y SUS</w:t>
            </w:r>
          </w:p>
          <w:p w14:paraId="35EF00F7"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COMPONENTES, 2012-2014</w:t>
            </w:r>
          </w:p>
          <w:p w14:paraId="2D04C2BF"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-Variación porcentual anual, ajustada por estacionalidad-</w:t>
            </w:r>
          </w:p>
        </w:tc>
      </w:tr>
      <w:tr w:rsidR="0021273B" w:rsidRPr="0021273B" w14:paraId="5EFD76DC" w14:textId="77777777" w:rsidTr="006A662C">
        <w:tc>
          <w:tcPr>
            <w:tcW w:w="9209" w:type="dxa"/>
          </w:tcPr>
          <w:p w14:paraId="39B139A6" w14:textId="77777777" w:rsidR="0021273B" w:rsidRPr="0021273B" w:rsidRDefault="0021273B" w:rsidP="0021273B">
            <w:pPr>
              <w:jc w:val="center"/>
              <w:rPr>
                <w:rFonts w:eastAsia="Calibri"/>
                <w:sz w:val="22"/>
                <w:szCs w:val="26"/>
                <w:lang w:val="es-ES" w:eastAsia="en-US"/>
              </w:rPr>
            </w:pPr>
            <w:r w:rsidRPr="0021273B">
              <w:rPr>
                <w:rFonts w:eastAsia="Calibri"/>
                <w:noProof/>
                <w:sz w:val="22"/>
                <w:szCs w:val="26"/>
                <w:lang w:eastAsia="es-MX"/>
              </w:rPr>
              <w:drawing>
                <wp:inline distT="0" distB="0" distL="0" distR="0" wp14:anchorId="4EB6AFD9" wp14:editId="5184FB69">
                  <wp:extent cx="4826758" cy="3060000"/>
                  <wp:effectExtent l="0" t="0" r="0" b="762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4029" b="2261"/>
                          <a:stretch/>
                        </pic:blipFill>
                        <pic:spPr bwMode="auto">
                          <a:xfrm>
                            <a:off x="0" y="0"/>
                            <a:ext cx="4826758" cy="30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1273B" w:rsidRPr="0021273B" w14:paraId="09CEBCAB" w14:textId="77777777" w:rsidTr="006A662C">
        <w:tc>
          <w:tcPr>
            <w:tcW w:w="9209" w:type="dxa"/>
          </w:tcPr>
          <w:p w14:paraId="3CC5C2CB" w14:textId="77777777" w:rsidR="0021273B" w:rsidRPr="0021273B" w:rsidRDefault="0021273B" w:rsidP="0021273B">
            <w:pPr>
              <w:ind w:firstLine="1021"/>
              <w:jc w:val="both"/>
              <w:rPr>
                <w:rFonts w:eastAsia="Calibri"/>
                <w:sz w:val="20"/>
                <w:szCs w:val="26"/>
                <w:lang w:val="es-ES" w:eastAsia="en-US"/>
              </w:rPr>
            </w:pPr>
            <w:r w:rsidRPr="0021273B">
              <w:rPr>
                <w:rFonts w:eastAsia="Calibri"/>
                <w:sz w:val="20"/>
                <w:szCs w:val="26"/>
                <w:lang w:val="es-ES" w:eastAsia="en-US"/>
              </w:rPr>
              <w:t>FUENTE: BBVA Research con información del INEGI.</w:t>
            </w:r>
          </w:p>
        </w:tc>
      </w:tr>
    </w:tbl>
    <w:p w14:paraId="5B289435" w14:textId="77777777" w:rsidR="0021273B" w:rsidRPr="0021273B" w:rsidRDefault="0021273B" w:rsidP="0021273B">
      <w:pPr>
        <w:spacing w:after="360" w:line="360" w:lineRule="auto"/>
        <w:ind w:right="-159"/>
        <w:jc w:val="both"/>
        <w:rPr>
          <w:rFonts w:eastAsia="Calibri"/>
          <w:sz w:val="26"/>
          <w:szCs w:val="26"/>
          <w:lang w:val="es-ES" w:eastAsia="en-US"/>
        </w:rPr>
      </w:pPr>
    </w:p>
    <w:p w14:paraId="3ECA95E9" w14:textId="77777777" w:rsidR="0021273B" w:rsidRPr="0021273B" w:rsidRDefault="0021273B" w:rsidP="0021273B">
      <w:pPr>
        <w:spacing w:after="360" w:line="360" w:lineRule="auto"/>
        <w:ind w:right="-159"/>
        <w:jc w:val="both"/>
        <w:rPr>
          <w:rFonts w:eastAsia="Calibri"/>
          <w:sz w:val="26"/>
          <w:szCs w:val="26"/>
          <w:lang w:val="es-ES" w:eastAsia="en-US"/>
        </w:rPr>
      </w:pPr>
      <w:r w:rsidRPr="0021273B">
        <w:rPr>
          <w:rFonts w:eastAsia="Calibri"/>
          <w:sz w:val="26"/>
          <w:szCs w:val="26"/>
          <w:lang w:val="es-ES" w:eastAsia="en-US"/>
        </w:rPr>
        <w:t>La tasa de crecimiento anual del Indicador Global de la Actividad Económica (IGAE) en diciembre de 2014 fue de 2.3%, ajustado por estacionalidad. Por componentes del IGAE, el sector de la agricultura creció 2.4% anual, el de industria aumentó 2.0% y el sector servicios se expandió 2.5%, todo ajustado por estacionalidad (véase la gráfica anterior). En términos mensuales el IGAE tuvo una contracción de 0.3%, ajustado por estacionalidad. Este resultado está vinculado principalmente a una caída en los sectores de industria (0.3% mensual, ajustado por estacionalidad) y de servicios (0.2% mensual, ajustado por estacionalidad), en tanto la agricultura aumentó (5.6% mensual, ajustado por estacionalidad) (véase la gráfica siguiente).</w:t>
      </w:r>
    </w:p>
    <w:p w14:paraId="7CE5F19E" w14:textId="77777777" w:rsidR="0021273B" w:rsidRPr="0021273B" w:rsidRDefault="0021273B" w:rsidP="0021273B">
      <w:pPr>
        <w:spacing w:after="360" w:line="360" w:lineRule="auto"/>
        <w:ind w:right="-159"/>
        <w:jc w:val="both"/>
        <w:rPr>
          <w:rFonts w:eastAsia="Calibri"/>
          <w:sz w:val="26"/>
          <w:szCs w:val="26"/>
          <w:lang w:val="es-ES" w:eastAsia="en-US"/>
        </w:rPr>
      </w:pPr>
    </w:p>
    <w:tbl>
      <w:tblPr>
        <w:tblW w:w="9209" w:type="dxa"/>
        <w:tblLook w:val="04A0" w:firstRow="1" w:lastRow="0" w:firstColumn="1" w:lastColumn="0" w:noHBand="0" w:noVBand="1"/>
      </w:tblPr>
      <w:tblGrid>
        <w:gridCol w:w="9209"/>
      </w:tblGrid>
      <w:tr w:rsidR="0021273B" w:rsidRPr="0021273B" w14:paraId="19B6CFB9" w14:textId="77777777" w:rsidTr="006A662C">
        <w:tc>
          <w:tcPr>
            <w:tcW w:w="9209" w:type="dxa"/>
          </w:tcPr>
          <w:p w14:paraId="6D7257DE"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lastRenderedPageBreak/>
              <w:t>SECTOR SERVICIOS: COMPONENTE DEL IGAE, NOVIEMBRE DE 2014</w:t>
            </w:r>
          </w:p>
          <w:p w14:paraId="56A1D6B5"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-Variación porcentual anual, ajustada por estacionalidad-</w:t>
            </w:r>
          </w:p>
        </w:tc>
      </w:tr>
      <w:tr w:rsidR="0021273B" w:rsidRPr="0021273B" w14:paraId="12CF1C04" w14:textId="77777777" w:rsidTr="006A662C">
        <w:tc>
          <w:tcPr>
            <w:tcW w:w="9209" w:type="dxa"/>
          </w:tcPr>
          <w:p w14:paraId="154BAA40" w14:textId="77777777" w:rsidR="0021273B" w:rsidRPr="0021273B" w:rsidRDefault="0021273B" w:rsidP="0021273B">
            <w:pPr>
              <w:jc w:val="center"/>
              <w:rPr>
                <w:rFonts w:eastAsia="Calibri"/>
                <w:sz w:val="22"/>
                <w:szCs w:val="26"/>
                <w:lang w:val="es-ES" w:eastAsia="en-US"/>
              </w:rPr>
            </w:pPr>
            <w:r w:rsidRPr="0021273B">
              <w:rPr>
                <w:rFonts w:eastAsia="Calibri"/>
                <w:noProof/>
                <w:sz w:val="22"/>
                <w:szCs w:val="26"/>
                <w:lang w:eastAsia="es-MX"/>
              </w:rPr>
              <w:drawing>
                <wp:inline distT="0" distB="0" distL="0" distR="0" wp14:anchorId="75ADD457" wp14:editId="28B80EB5">
                  <wp:extent cx="4931691" cy="3060000"/>
                  <wp:effectExtent l="0" t="0" r="0" b="762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5338" b="1585"/>
                          <a:stretch/>
                        </pic:blipFill>
                        <pic:spPr bwMode="auto">
                          <a:xfrm>
                            <a:off x="0" y="0"/>
                            <a:ext cx="4931691" cy="30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1273B" w:rsidRPr="0021273B" w14:paraId="4C47B499" w14:textId="77777777" w:rsidTr="006A662C">
        <w:tc>
          <w:tcPr>
            <w:tcW w:w="9209" w:type="dxa"/>
          </w:tcPr>
          <w:p w14:paraId="2E7272DC" w14:textId="77777777" w:rsidR="0021273B" w:rsidRPr="0021273B" w:rsidRDefault="0021273B" w:rsidP="0021273B">
            <w:pPr>
              <w:ind w:firstLine="1021"/>
              <w:jc w:val="both"/>
              <w:rPr>
                <w:rFonts w:eastAsia="Calibri"/>
                <w:sz w:val="20"/>
                <w:szCs w:val="26"/>
                <w:lang w:val="es-ES" w:eastAsia="en-US"/>
              </w:rPr>
            </w:pPr>
            <w:r w:rsidRPr="0021273B">
              <w:rPr>
                <w:rFonts w:eastAsia="Calibri"/>
                <w:sz w:val="20"/>
                <w:szCs w:val="26"/>
                <w:lang w:val="es-ES" w:eastAsia="en-US"/>
              </w:rPr>
              <w:t>*Datos estimados por BBVA.</w:t>
            </w:r>
          </w:p>
          <w:p w14:paraId="77AD3E9B" w14:textId="77777777" w:rsidR="0021273B" w:rsidRPr="0021273B" w:rsidRDefault="0021273B" w:rsidP="0021273B">
            <w:pPr>
              <w:ind w:firstLine="1021"/>
              <w:jc w:val="both"/>
              <w:rPr>
                <w:rFonts w:eastAsia="Calibri"/>
                <w:sz w:val="20"/>
                <w:szCs w:val="26"/>
                <w:lang w:val="es-ES" w:eastAsia="en-US"/>
              </w:rPr>
            </w:pPr>
            <w:r w:rsidRPr="0021273B">
              <w:rPr>
                <w:rFonts w:eastAsia="Calibri"/>
                <w:sz w:val="20"/>
                <w:szCs w:val="26"/>
                <w:lang w:val="es-ES" w:eastAsia="en-US"/>
              </w:rPr>
              <w:t>FUENTE: BBVA Research con información del INEGI.</w:t>
            </w:r>
          </w:p>
        </w:tc>
      </w:tr>
    </w:tbl>
    <w:p w14:paraId="75E827D2" w14:textId="77777777" w:rsidR="0021273B" w:rsidRPr="0021273B" w:rsidRDefault="0021273B" w:rsidP="0021273B">
      <w:pPr>
        <w:spacing w:after="360" w:line="360" w:lineRule="auto"/>
        <w:ind w:right="-159"/>
        <w:jc w:val="both"/>
        <w:rPr>
          <w:rFonts w:eastAsia="Calibri"/>
          <w:sz w:val="26"/>
          <w:szCs w:val="26"/>
          <w:lang w:val="es-ES" w:eastAsia="en-US"/>
        </w:rPr>
      </w:pPr>
    </w:p>
    <w:p w14:paraId="664CA61D" w14:textId="77777777" w:rsidR="0021273B" w:rsidRPr="0021273B" w:rsidRDefault="0021273B" w:rsidP="0021273B">
      <w:pPr>
        <w:spacing w:after="360" w:line="360" w:lineRule="auto"/>
        <w:ind w:right="-159"/>
        <w:jc w:val="both"/>
        <w:rPr>
          <w:rFonts w:eastAsia="Calibri"/>
          <w:sz w:val="26"/>
          <w:szCs w:val="26"/>
          <w:lang w:val="es-ES" w:eastAsia="en-US"/>
        </w:rPr>
      </w:pPr>
      <w:r w:rsidRPr="0021273B">
        <w:rPr>
          <w:rFonts w:eastAsia="Calibri"/>
          <w:sz w:val="26"/>
          <w:szCs w:val="26"/>
          <w:lang w:val="es-ES" w:eastAsia="en-US"/>
        </w:rPr>
        <w:t>Por otra parte, en los inicios de 2015 la confianza de los agentes económicos mostró cierta pausa. Por ejemplo, aunque la confianza empresarial ha permanecido en la zona de optimismo por 59 meses consecutivos (por encima del umbral de 50 puntos), ésta mostró una ligera disminución en sus expectativas sobre la actividad económica del país. El índice pasó de los 50.7 puntos en diciembre de 2014 a los 50.4 en enero de 2015, con cifras desestacionalizadas. Por su parte, el índice de confianza del consumidor (ICC) disminuyó de 92.7 puntos en diciembre de 2014 a 91.8 en enero de 2015. Adicionalmente, los indicadores del Instituto Mexicano de Ejecutivos en Finanzas (IMEF) sobre las expectativas de la actividad manufacturera y no manufacturera de enero reportaron un comportamiento similar. El indicador IMEF de Manufacturas se ubicó en los 50.9 puntos en enero (apenas por arriba del umbral de los 50 puntos, de expectativas optimistas) con cifras ajustadas por estacionalidad. En tanto, el indicador no manufacturero se redujo y pasó de 49.9 a 49.2 puntos ajustado por estacionalidad en igual período.</w:t>
      </w:r>
    </w:p>
    <w:p w14:paraId="258D8612" w14:textId="244202B1" w:rsidR="0021273B" w:rsidRPr="0021273B" w:rsidRDefault="0021273B" w:rsidP="0021273B">
      <w:pPr>
        <w:spacing w:after="360" w:line="360" w:lineRule="auto"/>
        <w:ind w:right="-159"/>
        <w:jc w:val="both"/>
        <w:rPr>
          <w:rFonts w:eastAsia="Calibri"/>
          <w:sz w:val="26"/>
          <w:szCs w:val="26"/>
          <w:lang w:val="es-ES" w:eastAsia="en-US"/>
        </w:rPr>
      </w:pPr>
      <w:r w:rsidRPr="0021273B">
        <w:rPr>
          <w:rFonts w:eastAsia="Calibri"/>
          <w:sz w:val="26"/>
          <w:szCs w:val="26"/>
          <w:lang w:val="es-ES" w:eastAsia="en-US"/>
        </w:rPr>
        <w:lastRenderedPageBreak/>
        <w:t>Hasta el momento no está disponible la información de los componentes del PIB al cuarto trimestre de 2014. Dado lo anterior</w:t>
      </w:r>
      <w:r w:rsidR="00D63928">
        <w:rPr>
          <w:rFonts w:eastAsia="Calibri"/>
          <w:sz w:val="26"/>
          <w:szCs w:val="26"/>
          <w:lang w:val="es-ES" w:eastAsia="en-US"/>
        </w:rPr>
        <w:t>,</w:t>
      </w:r>
      <w:r w:rsidRPr="0021273B">
        <w:rPr>
          <w:rFonts w:eastAsia="Calibri"/>
          <w:sz w:val="26"/>
          <w:szCs w:val="26"/>
          <w:lang w:val="es-ES" w:eastAsia="en-US"/>
        </w:rPr>
        <w:t xml:space="preserve"> BBVA considera que para ese trimestre se espera que la inversión fija bruta total y sus componentes sigan con su senda positiva. En octubre</w:t>
      </w:r>
      <w:r w:rsidR="00D63928">
        <w:rPr>
          <w:rFonts w:eastAsia="Calibri"/>
          <w:sz w:val="26"/>
          <w:szCs w:val="26"/>
          <w:lang w:val="es-ES" w:eastAsia="en-US"/>
        </w:rPr>
        <w:t>,</w:t>
      </w:r>
      <w:r w:rsidRPr="0021273B">
        <w:rPr>
          <w:rFonts w:eastAsia="Calibri"/>
          <w:sz w:val="26"/>
          <w:szCs w:val="26"/>
          <w:lang w:val="es-ES" w:eastAsia="en-US"/>
        </w:rPr>
        <w:t xml:space="preserve"> la tasa de crecimiento anual de la inversión fue de 7.2%, ajustado por estacionalidad y en noviembre alcanzó 5.4%. Por una parte, el componente de Maquinaria y Equipo creció en noviembre 11.8% anual, ajustado por estacionalidad. El subcomponente nacional de la inversión aumentó 17.4% anual, ajustado por estacionalidad, y el importado lo hizo en 9.8%. Por otra parte, la Construcción aumentó 2.4% anual en noviembre de 2014 (véase la gráfica siguiente). Para 2015</w:t>
      </w:r>
      <w:r w:rsidR="00D63928">
        <w:rPr>
          <w:rFonts w:eastAsia="Calibri"/>
          <w:sz w:val="26"/>
          <w:szCs w:val="26"/>
          <w:lang w:val="es-ES" w:eastAsia="en-US"/>
        </w:rPr>
        <w:t>,</w:t>
      </w:r>
      <w:r w:rsidRPr="0021273B">
        <w:rPr>
          <w:rFonts w:eastAsia="Calibri"/>
          <w:sz w:val="26"/>
          <w:szCs w:val="26"/>
          <w:lang w:val="es-ES" w:eastAsia="en-US"/>
        </w:rPr>
        <w:t xml:space="preserve"> el avance en los proyectos de infraestructura planeados, junto con una mejora en la perspectiva económica, podría contribuir a que la inversión amplíe su mejora.</w:t>
      </w:r>
    </w:p>
    <w:tbl>
      <w:tblPr>
        <w:tblW w:w="9209" w:type="dxa"/>
        <w:tblLook w:val="04A0" w:firstRow="1" w:lastRow="0" w:firstColumn="1" w:lastColumn="0" w:noHBand="0" w:noVBand="1"/>
      </w:tblPr>
      <w:tblGrid>
        <w:gridCol w:w="9209"/>
      </w:tblGrid>
      <w:tr w:rsidR="0021273B" w:rsidRPr="0021273B" w14:paraId="68038CE2" w14:textId="77777777" w:rsidTr="006A662C">
        <w:tc>
          <w:tcPr>
            <w:tcW w:w="9209" w:type="dxa"/>
          </w:tcPr>
          <w:p w14:paraId="415D2AB8"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COMPONENTES DE LA INVERSIÓN, 2012-2014</w:t>
            </w:r>
          </w:p>
          <w:p w14:paraId="2E3CA7F1"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-Variación porcentual anual, ajustada por estacionalidad-</w:t>
            </w:r>
          </w:p>
        </w:tc>
      </w:tr>
      <w:tr w:rsidR="0021273B" w:rsidRPr="0021273B" w14:paraId="2B3E2AC5" w14:textId="77777777" w:rsidTr="006A662C">
        <w:tc>
          <w:tcPr>
            <w:tcW w:w="9209" w:type="dxa"/>
          </w:tcPr>
          <w:p w14:paraId="6B40AD1D" w14:textId="77777777" w:rsidR="0021273B" w:rsidRPr="0021273B" w:rsidRDefault="0021273B" w:rsidP="0021273B">
            <w:pPr>
              <w:jc w:val="center"/>
              <w:rPr>
                <w:rFonts w:eastAsia="Calibri"/>
                <w:sz w:val="22"/>
                <w:szCs w:val="26"/>
                <w:lang w:val="es-ES" w:eastAsia="en-US"/>
              </w:rPr>
            </w:pPr>
            <w:r w:rsidRPr="0021273B">
              <w:rPr>
                <w:rFonts w:eastAsia="Calibri"/>
                <w:noProof/>
                <w:sz w:val="22"/>
                <w:szCs w:val="26"/>
                <w:lang w:eastAsia="es-MX"/>
              </w:rPr>
              <w:drawing>
                <wp:inline distT="0" distB="0" distL="0" distR="0" wp14:anchorId="38190E65" wp14:editId="344A0DF6">
                  <wp:extent cx="4650288" cy="2880000"/>
                  <wp:effectExtent l="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4830" b="1772"/>
                          <a:stretch/>
                        </pic:blipFill>
                        <pic:spPr bwMode="auto">
                          <a:xfrm>
                            <a:off x="0" y="0"/>
                            <a:ext cx="4650288" cy="288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1273B" w:rsidRPr="0021273B" w14:paraId="71D66B2D" w14:textId="77777777" w:rsidTr="006A662C">
        <w:tc>
          <w:tcPr>
            <w:tcW w:w="9209" w:type="dxa"/>
          </w:tcPr>
          <w:p w14:paraId="0AFB9D83" w14:textId="77777777" w:rsidR="0021273B" w:rsidRPr="0021273B" w:rsidRDefault="0021273B" w:rsidP="0021273B">
            <w:pPr>
              <w:ind w:firstLine="1021"/>
              <w:jc w:val="both"/>
              <w:rPr>
                <w:rFonts w:eastAsia="Calibri"/>
                <w:sz w:val="20"/>
                <w:szCs w:val="26"/>
                <w:lang w:val="es-ES" w:eastAsia="en-US"/>
              </w:rPr>
            </w:pPr>
            <w:r w:rsidRPr="0021273B">
              <w:rPr>
                <w:rFonts w:eastAsia="Calibri"/>
                <w:sz w:val="20"/>
                <w:szCs w:val="26"/>
                <w:lang w:val="es-ES" w:eastAsia="en-US"/>
              </w:rPr>
              <w:t>FUENTE: BBVA Research con información del INEGI.</w:t>
            </w:r>
          </w:p>
        </w:tc>
      </w:tr>
    </w:tbl>
    <w:p w14:paraId="49DA8D37" w14:textId="77777777" w:rsidR="0021273B" w:rsidRPr="0021273B" w:rsidRDefault="0021273B" w:rsidP="0021273B">
      <w:pPr>
        <w:spacing w:after="360" w:line="360" w:lineRule="auto"/>
        <w:ind w:right="-159"/>
        <w:jc w:val="both"/>
        <w:rPr>
          <w:rFonts w:eastAsia="Calibri"/>
          <w:sz w:val="26"/>
          <w:szCs w:val="26"/>
          <w:lang w:val="es-ES" w:eastAsia="en-US"/>
        </w:rPr>
      </w:pPr>
    </w:p>
    <w:p w14:paraId="60685829" w14:textId="77777777" w:rsidR="0021273B" w:rsidRPr="0021273B" w:rsidRDefault="0021273B" w:rsidP="0021273B">
      <w:pPr>
        <w:spacing w:after="360" w:line="360" w:lineRule="auto"/>
        <w:ind w:right="-159"/>
        <w:jc w:val="both"/>
        <w:rPr>
          <w:rFonts w:eastAsia="Calibri"/>
          <w:sz w:val="26"/>
          <w:szCs w:val="26"/>
          <w:lang w:val="es-ES" w:eastAsia="en-US"/>
        </w:rPr>
      </w:pPr>
      <w:r w:rsidRPr="0021273B">
        <w:rPr>
          <w:rFonts w:eastAsia="Calibri"/>
          <w:sz w:val="26"/>
          <w:szCs w:val="26"/>
          <w:lang w:val="es-ES" w:eastAsia="en-US"/>
        </w:rPr>
        <w:t xml:space="preserve">Las ventas al menudeo durante el cuarto trimestre de 2014 mostraron tasas de crecimiento moderadamente positivas. Particularmente en octubre de 2014 la tasa de variación anual fue de 5.0%, ajustado por estacionalidad, la mayor desde diciembre de </w:t>
      </w:r>
      <w:r w:rsidRPr="0021273B">
        <w:rPr>
          <w:rFonts w:eastAsia="Calibri"/>
          <w:sz w:val="26"/>
          <w:szCs w:val="26"/>
          <w:lang w:val="es-ES" w:eastAsia="en-US"/>
        </w:rPr>
        <w:lastRenderedPageBreak/>
        <w:t>2013, y en noviembre su tasa de crecimiento fue de 1.9%. Esto indica una recuperación económica moderada, que se materializa en un contexto de bajo crecimiento del consumo de mercancías de alrededor de 2.3% para todo el 2014 (véase la gráfica siguiente).</w:t>
      </w:r>
    </w:p>
    <w:tbl>
      <w:tblPr>
        <w:tblW w:w="9209" w:type="dxa"/>
        <w:tblLook w:val="04A0" w:firstRow="1" w:lastRow="0" w:firstColumn="1" w:lastColumn="0" w:noHBand="0" w:noVBand="1"/>
      </w:tblPr>
      <w:tblGrid>
        <w:gridCol w:w="9209"/>
      </w:tblGrid>
      <w:tr w:rsidR="0021273B" w:rsidRPr="0021273B" w14:paraId="6FA79392" w14:textId="77777777" w:rsidTr="006A662C">
        <w:tc>
          <w:tcPr>
            <w:tcW w:w="9209" w:type="dxa"/>
          </w:tcPr>
          <w:p w14:paraId="1E0B0D4A"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VENTAS AL MENUDEO Y CONSUMO PRIVADO, 2012-2014</w:t>
            </w:r>
          </w:p>
          <w:p w14:paraId="2909950B"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-Variación porcentual anual, ajustada por estacionalidad-</w:t>
            </w:r>
          </w:p>
        </w:tc>
      </w:tr>
      <w:tr w:rsidR="0021273B" w:rsidRPr="0021273B" w14:paraId="312A9C53" w14:textId="77777777" w:rsidTr="006A662C">
        <w:tc>
          <w:tcPr>
            <w:tcW w:w="9209" w:type="dxa"/>
          </w:tcPr>
          <w:p w14:paraId="0AD53A4F" w14:textId="77777777" w:rsidR="0021273B" w:rsidRPr="0021273B" w:rsidRDefault="0021273B" w:rsidP="0021273B">
            <w:pPr>
              <w:jc w:val="center"/>
              <w:rPr>
                <w:rFonts w:eastAsia="Calibri"/>
                <w:sz w:val="22"/>
                <w:szCs w:val="26"/>
                <w:lang w:val="es-ES" w:eastAsia="en-US"/>
              </w:rPr>
            </w:pPr>
            <w:r w:rsidRPr="0021273B">
              <w:rPr>
                <w:rFonts w:eastAsia="Calibri"/>
                <w:noProof/>
                <w:sz w:val="22"/>
                <w:szCs w:val="26"/>
                <w:lang w:eastAsia="es-MX"/>
              </w:rPr>
              <w:drawing>
                <wp:inline distT="0" distB="0" distL="0" distR="0" wp14:anchorId="180664F8" wp14:editId="485C4653">
                  <wp:extent cx="4738201" cy="3060000"/>
                  <wp:effectExtent l="0" t="0" r="0" b="762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3986" b="1552"/>
                          <a:stretch/>
                        </pic:blipFill>
                        <pic:spPr bwMode="auto">
                          <a:xfrm>
                            <a:off x="0" y="0"/>
                            <a:ext cx="4738201" cy="30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1273B" w:rsidRPr="0021273B" w14:paraId="28B638FD" w14:textId="77777777" w:rsidTr="006A662C">
        <w:tc>
          <w:tcPr>
            <w:tcW w:w="9209" w:type="dxa"/>
          </w:tcPr>
          <w:p w14:paraId="4ABBFBC3" w14:textId="77777777" w:rsidR="0021273B" w:rsidRPr="0021273B" w:rsidRDefault="0021273B" w:rsidP="0021273B">
            <w:pPr>
              <w:ind w:firstLine="1021"/>
              <w:jc w:val="both"/>
              <w:rPr>
                <w:rFonts w:eastAsia="Calibri"/>
                <w:sz w:val="20"/>
                <w:szCs w:val="26"/>
                <w:lang w:val="es-ES" w:eastAsia="en-US"/>
              </w:rPr>
            </w:pPr>
            <w:r w:rsidRPr="0021273B">
              <w:rPr>
                <w:rFonts w:eastAsia="Calibri"/>
                <w:sz w:val="20"/>
                <w:szCs w:val="26"/>
                <w:lang w:val="es-ES" w:eastAsia="en-US"/>
              </w:rPr>
              <w:t>FUENTE: BBVA Research con información del INEGI y la STPS.</w:t>
            </w:r>
          </w:p>
        </w:tc>
      </w:tr>
    </w:tbl>
    <w:p w14:paraId="71B510E2" w14:textId="77777777" w:rsidR="0021273B" w:rsidRPr="0021273B" w:rsidRDefault="0021273B" w:rsidP="0021273B">
      <w:pPr>
        <w:spacing w:after="360" w:line="360" w:lineRule="auto"/>
        <w:ind w:right="-159"/>
        <w:jc w:val="both"/>
        <w:rPr>
          <w:rFonts w:eastAsia="Calibri"/>
          <w:sz w:val="26"/>
          <w:szCs w:val="26"/>
          <w:lang w:val="es-ES" w:eastAsia="en-US"/>
        </w:rPr>
      </w:pPr>
    </w:p>
    <w:p w14:paraId="4A55992C" w14:textId="77777777" w:rsidR="0021273B" w:rsidRPr="0021273B" w:rsidRDefault="0021273B" w:rsidP="0021273B">
      <w:pPr>
        <w:spacing w:after="360" w:line="360" w:lineRule="auto"/>
        <w:ind w:right="-159"/>
        <w:jc w:val="both"/>
        <w:rPr>
          <w:rFonts w:eastAsia="Calibri"/>
          <w:sz w:val="26"/>
          <w:szCs w:val="26"/>
          <w:lang w:val="es-ES" w:eastAsia="en-US"/>
        </w:rPr>
      </w:pPr>
      <w:r w:rsidRPr="0021273B">
        <w:rPr>
          <w:rFonts w:eastAsia="Calibri"/>
          <w:sz w:val="26"/>
          <w:szCs w:val="26"/>
          <w:lang w:val="es-ES" w:eastAsia="en-US"/>
        </w:rPr>
        <w:t xml:space="preserve">Los componentes de la demanda agregada en el tercer trimestre de 2014 tuvieron un desempeño, aunque moderado, en una ruta ascendente. La mayor tasa de crecimiento anual de estos componentes se observó en las exportaciones, con un aumento de 7.0% en el tercer trimestre de 2014 versus 6.5% en el segundo trimestre de 2014. La formación bruta de capital fijo total creció 4.3% anual durante el tercer trimestre de 2014 donde destacó el aumento de la inversión privada con 7.0% anual y la caída de la inversión pública en 6.2%. El consumo privado creció 2.2% anual, en tanto el consumo público lo hizo en 3.8%. Las importaciones crecieron 5.0% durante el tercer trimestre de 2014, la cual fue una tasa superior al 3.3% del trimestre anterior, todo con cifras </w:t>
      </w:r>
      <w:r w:rsidRPr="0021273B">
        <w:rPr>
          <w:rFonts w:eastAsia="Calibri"/>
          <w:sz w:val="26"/>
          <w:szCs w:val="26"/>
          <w:lang w:val="es-ES" w:eastAsia="en-US"/>
        </w:rPr>
        <w:lastRenderedPageBreak/>
        <w:t>desestacionalizadas (véase la gráfica siguiente). BBVA anticipó que en el cuarto trimestre de 2014 todos los componentes de la demanda tendrían una aceleración.</w:t>
      </w:r>
    </w:p>
    <w:tbl>
      <w:tblPr>
        <w:tblW w:w="9209" w:type="dxa"/>
        <w:tblLook w:val="04A0" w:firstRow="1" w:lastRow="0" w:firstColumn="1" w:lastColumn="0" w:noHBand="0" w:noVBand="1"/>
      </w:tblPr>
      <w:tblGrid>
        <w:gridCol w:w="9209"/>
      </w:tblGrid>
      <w:tr w:rsidR="0021273B" w:rsidRPr="0021273B" w14:paraId="5886A3D5" w14:textId="77777777" w:rsidTr="006A662C">
        <w:tc>
          <w:tcPr>
            <w:tcW w:w="9209" w:type="dxa"/>
          </w:tcPr>
          <w:p w14:paraId="50E21C8D"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DEMANDA AGREGADA: COMPONENTES, 2011-2014</w:t>
            </w:r>
          </w:p>
          <w:p w14:paraId="0D6E38D3"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-Variación porcentual anual, ajustada por estacionalidad-</w:t>
            </w:r>
          </w:p>
        </w:tc>
      </w:tr>
      <w:tr w:rsidR="0021273B" w:rsidRPr="0021273B" w14:paraId="27AEBEF8" w14:textId="77777777" w:rsidTr="006A662C">
        <w:tc>
          <w:tcPr>
            <w:tcW w:w="9209" w:type="dxa"/>
          </w:tcPr>
          <w:p w14:paraId="40481086" w14:textId="77777777" w:rsidR="0021273B" w:rsidRPr="0021273B" w:rsidRDefault="0021273B" w:rsidP="0021273B">
            <w:pPr>
              <w:jc w:val="center"/>
              <w:rPr>
                <w:rFonts w:eastAsia="Calibri"/>
                <w:sz w:val="22"/>
                <w:szCs w:val="26"/>
                <w:lang w:val="es-ES" w:eastAsia="en-US"/>
              </w:rPr>
            </w:pPr>
            <w:r w:rsidRPr="0021273B">
              <w:rPr>
                <w:rFonts w:eastAsia="Calibri"/>
                <w:noProof/>
                <w:sz w:val="22"/>
                <w:szCs w:val="26"/>
                <w:lang w:eastAsia="es-MX"/>
              </w:rPr>
              <w:drawing>
                <wp:inline distT="0" distB="0" distL="0" distR="0" wp14:anchorId="1702BBE4" wp14:editId="5EEED638">
                  <wp:extent cx="4805636" cy="3240000"/>
                  <wp:effectExtent l="0" t="0" r="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8427" b="1100"/>
                          <a:stretch/>
                        </pic:blipFill>
                        <pic:spPr bwMode="auto">
                          <a:xfrm>
                            <a:off x="0" y="0"/>
                            <a:ext cx="4805636" cy="324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1273B" w:rsidRPr="0021273B" w14:paraId="5491CFA5" w14:textId="77777777" w:rsidTr="006A662C">
        <w:tc>
          <w:tcPr>
            <w:tcW w:w="9209" w:type="dxa"/>
          </w:tcPr>
          <w:p w14:paraId="75E10536" w14:textId="77777777" w:rsidR="0021273B" w:rsidRPr="0021273B" w:rsidRDefault="0021273B" w:rsidP="0021273B">
            <w:pPr>
              <w:ind w:firstLine="1021"/>
              <w:jc w:val="both"/>
              <w:rPr>
                <w:rFonts w:eastAsia="Calibri"/>
                <w:sz w:val="20"/>
                <w:szCs w:val="26"/>
                <w:lang w:val="es-ES" w:eastAsia="en-US"/>
              </w:rPr>
            </w:pPr>
            <w:r w:rsidRPr="0021273B">
              <w:rPr>
                <w:rFonts w:eastAsia="Calibri"/>
                <w:sz w:val="20"/>
                <w:szCs w:val="26"/>
                <w:lang w:val="es-ES" w:eastAsia="en-US"/>
              </w:rPr>
              <w:t>FUENTE: BBVA Research con información del INEGI.</w:t>
            </w:r>
          </w:p>
        </w:tc>
      </w:tr>
    </w:tbl>
    <w:p w14:paraId="78D7BD7C" w14:textId="77777777" w:rsidR="0021273B" w:rsidRPr="0021273B" w:rsidRDefault="0021273B" w:rsidP="0021273B">
      <w:pPr>
        <w:spacing w:after="360" w:line="360" w:lineRule="auto"/>
        <w:ind w:right="-159"/>
        <w:jc w:val="both"/>
        <w:rPr>
          <w:rFonts w:eastAsia="Calibri"/>
          <w:sz w:val="26"/>
          <w:szCs w:val="26"/>
          <w:lang w:val="es-ES" w:eastAsia="en-US"/>
        </w:rPr>
      </w:pPr>
    </w:p>
    <w:p w14:paraId="078D485E" w14:textId="77777777" w:rsidR="0021273B" w:rsidRPr="0021273B" w:rsidRDefault="0021273B" w:rsidP="0021273B">
      <w:pPr>
        <w:spacing w:after="360" w:line="360" w:lineRule="auto"/>
        <w:ind w:right="-159"/>
        <w:jc w:val="both"/>
        <w:rPr>
          <w:rFonts w:eastAsia="Calibri"/>
          <w:sz w:val="26"/>
          <w:szCs w:val="26"/>
          <w:lang w:val="es-ES" w:eastAsia="en-US"/>
        </w:rPr>
      </w:pPr>
      <w:r w:rsidRPr="0021273B">
        <w:rPr>
          <w:rFonts w:eastAsia="Calibri"/>
          <w:sz w:val="26"/>
          <w:szCs w:val="26"/>
          <w:lang w:val="es-ES" w:eastAsia="en-US"/>
        </w:rPr>
        <w:t>Durante el tercer trimestre de 2014, por primera vez en el año, la contribución del gasto y de la inversión pública en el crecimiento del PIB fue positiva. Sin embargo, estos componentes han contribuido de manera limitada sobre la actividad económica del país a pesar del importante gasto aprobado por el Congreso para 2014. Esto sugiere la existencia de una serie de problemas en la asignación y la ejecución de los recursos, que deben ser evitados con una mayor trasparencia y rendición de cuentas en todos los órdenes de gobierno para garantizar el uso eficiente del presupuesto del Estado. De ahí la importancia de la aprobación de un marco legal de transparencia, acceso a la información e integridad pública.</w:t>
      </w:r>
    </w:p>
    <w:p w14:paraId="521DFD9D" w14:textId="77777777" w:rsidR="0021273B" w:rsidRPr="0021273B" w:rsidRDefault="0021273B" w:rsidP="0021273B">
      <w:pPr>
        <w:spacing w:after="360" w:line="360" w:lineRule="auto"/>
        <w:ind w:right="-159"/>
        <w:jc w:val="both"/>
        <w:rPr>
          <w:rFonts w:eastAsia="Calibri"/>
          <w:sz w:val="26"/>
          <w:szCs w:val="26"/>
          <w:lang w:val="es-ES" w:eastAsia="en-US"/>
        </w:rPr>
      </w:pPr>
      <w:r w:rsidRPr="0021273B">
        <w:rPr>
          <w:rFonts w:eastAsia="Calibri"/>
          <w:sz w:val="26"/>
          <w:szCs w:val="26"/>
          <w:lang w:val="es-ES" w:eastAsia="en-US"/>
        </w:rPr>
        <w:lastRenderedPageBreak/>
        <w:t>En orden de contribución al crecimiento económico del tercer trimestre de 2014, tenemos en primer lugar, a las exportaciones; le siguió el consumo privado; luego estuvo la inversión privada; el gasto público; la variación de existencias, y finalmente la inversión pública. Las importaciones tuvieron una aportación menos negativa al crecimiento del PIB, a la de los dos trimestres anteriores (véase la gráfica siguiente).</w:t>
      </w:r>
    </w:p>
    <w:tbl>
      <w:tblPr>
        <w:tblW w:w="9209" w:type="dxa"/>
        <w:tblLook w:val="04A0" w:firstRow="1" w:lastRow="0" w:firstColumn="1" w:lastColumn="0" w:noHBand="0" w:noVBand="1"/>
      </w:tblPr>
      <w:tblGrid>
        <w:gridCol w:w="9209"/>
      </w:tblGrid>
      <w:tr w:rsidR="0021273B" w:rsidRPr="0021273B" w14:paraId="0C1A142C" w14:textId="77777777" w:rsidTr="006A662C">
        <w:tc>
          <w:tcPr>
            <w:tcW w:w="9209" w:type="dxa"/>
          </w:tcPr>
          <w:p w14:paraId="6397441A"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CONTRIBUCIÓN AL CRECIMIENTO DEL PIB, IV TRIM. 2013-II TRIM. 2014</w:t>
            </w:r>
          </w:p>
          <w:p w14:paraId="3D1C9201"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-Puntos porcentuales, variación trimestral, ajustada por estacionalidad-</w:t>
            </w:r>
          </w:p>
        </w:tc>
      </w:tr>
      <w:tr w:rsidR="0021273B" w:rsidRPr="0021273B" w14:paraId="7B2FF728" w14:textId="77777777" w:rsidTr="006A662C">
        <w:tc>
          <w:tcPr>
            <w:tcW w:w="9209" w:type="dxa"/>
          </w:tcPr>
          <w:p w14:paraId="5F848D5C" w14:textId="77777777" w:rsidR="0021273B" w:rsidRPr="0021273B" w:rsidRDefault="0021273B" w:rsidP="0021273B">
            <w:pPr>
              <w:jc w:val="center"/>
              <w:rPr>
                <w:rFonts w:eastAsia="Calibri"/>
                <w:sz w:val="22"/>
                <w:szCs w:val="26"/>
                <w:lang w:val="es-ES" w:eastAsia="en-US"/>
              </w:rPr>
            </w:pPr>
            <w:r w:rsidRPr="0021273B">
              <w:rPr>
                <w:rFonts w:eastAsia="Calibri"/>
                <w:noProof/>
                <w:sz w:val="22"/>
                <w:szCs w:val="26"/>
                <w:lang w:eastAsia="es-MX"/>
              </w:rPr>
              <w:drawing>
                <wp:inline distT="0" distB="0" distL="0" distR="0" wp14:anchorId="0B9D0B9F" wp14:editId="22D38E1B">
                  <wp:extent cx="4764128" cy="3240000"/>
                  <wp:effectExtent l="0" t="0" r="0"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1859" b="1186"/>
                          <a:stretch/>
                        </pic:blipFill>
                        <pic:spPr bwMode="auto">
                          <a:xfrm>
                            <a:off x="0" y="0"/>
                            <a:ext cx="4764128" cy="324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1273B" w:rsidRPr="0021273B" w14:paraId="2DC1734E" w14:textId="77777777" w:rsidTr="006A662C">
        <w:tc>
          <w:tcPr>
            <w:tcW w:w="9209" w:type="dxa"/>
          </w:tcPr>
          <w:p w14:paraId="7A29B995" w14:textId="77777777" w:rsidR="0021273B" w:rsidRPr="0021273B" w:rsidRDefault="0021273B" w:rsidP="0021273B">
            <w:pPr>
              <w:ind w:firstLine="1021"/>
              <w:jc w:val="both"/>
              <w:rPr>
                <w:rFonts w:eastAsia="Calibri"/>
                <w:sz w:val="20"/>
                <w:szCs w:val="26"/>
                <w:lang w:val="es-ES" w:eastAsia="en-US"/>
              </w:rPr>
            </w:pPr>
            <w:r w:rsidRPr="0021273B">
              <w:rPr>
                <w:rFonts w:eastAsia="Calibri"/>
                <w:sz w:val="20"/>
                <w:szCs w:val="26"/>
                <w:lang w:val="es-ES" w:eastAsia="en-US"/>
              </w:rPr>
              <w:t>FUENTE: BBVA Research con información del INEGI.</w:t>
            </w:r>
          </w:p>
        </w:tc>
      </w:tr>
    </w:tbl>
    <w:p w14:paraId="717139A5" w14:textId="77777777" w:rsidR="0021273B" w:rsidRPr="0021273B" w:rsidRDefault="0021273B" w:rsidP="0021273B">
      <w:pPr>
        <w:spacing w:after="360" w:line="360" w:lineRule="auto"/>
        <w:ind w:right="-159"/>
        <w:jc w:val="both"/>
        <w:rPr>
          <w:rFonts w:eastAsia="Calibri"/>
          <w:sz w:val="26"/>
          <w:szCs w:val="26"/>
          <w:lang w:val="es-ES" w:eastAsia="en-US"/>
        </w:rPr>
      </w:pPr>
    </w:p>
    <w:p w14:paraId="1FBD65A1" w14:textId="77777777" w:rsidR="0021273B" w:rsidRPr="0021273B" w:rsidRDefault="0021273B" w:rsidP="0021273B">
      <w:pPr>
        <w:spacing w:after="360" w:line="360" w:lineRule="auto"/>
        <w:ind w:right="-159"/>
        <w:jc w:val="both"/>
        <w:rPr>
          <w:rFonts w:eastAsia="Calibri"/>
          <w:b/>
          <w:sz w:val="26"/>
          <w:szCs w:val="26"/>
          <w:lang w:val="es-ES" w:eastAsia="en-US"/>
        </w:rPr>
      </w:pPr>
      <w:r w:rsidRPr="0021273B">
        <w:rPr>
          <w:rFonts w:eastAsia="Calibri"/>
          <w:b/>
          <w:sz w:val="26"/>
          <w:szCs w:val="26"/>
          <w:lang w:val="es-ES" w:eastAsia="en-US"/>
        </w:rPr>
        <w:t>3.1.2 Sector externo: fuerte dinamismo en 2014</w:t>
      </w:r>
    </w:p>
    <w:p w14:paraId="3FF0A08A" w14:textId="77777777" w:rsidR="0021273B" w:rsidRPr="0021273B" w:rsidRDefault="0021273B" w:rsidP="0021273B">
      <w:pPr>
        <w:spacing w:after="360" w:line="360" w:lineRule="auto"/>
        <w:ind w:right="-159"/>
        <w:jc w:val="both"/>
        <w:rPr>
          <w:rFonts w:eastAsia="Calibri"/>
          <w:sz w:val="26"/>
          <w:szCs w:val="26"/>
          <w:lang w:val="es-ES" w:eastAsia="en-US"/>
        </w:rPr>
      </w:pPr>
      <w:r w:rsidRPr="0021273B">
        <w:rPr>
          <w:rFonts w:eastAsia="Calibri"/>
          <w:sz w:val="26"/>
          <w:szCs w:val="26"/>
          <w:lang w:val="es-ES" w:eastAsia="en-US"/>
        </w:rPr>
        <w:t xml:space="preserve">Como se mencionó previamente, la demanda externa se consolidó como el principal factor detrás del crecimiento económico del país en 2014. El sector que más se ha beneficiado de la demanda externa (especialmente de Estados Unidos de Norteamérica) es el manufacturero, con un crecimiento anual de 4.2%, ajustado por estacionalidad, en diciembre (véase la gráfica siguiente). En buena medida, este repunte de la producción manufacturera está inducido por el dinamismo de la producción y las exportaciones </w:t>
      </w:r>
      <w:r w:rsidRPr="0021273B">
        <w:rPr>
          <w:rFonts w:eastAsia="Calibri"/>
          <w:sz w:val="26"/>
          <w:szCs w:val="26"/>
          <w:lang w:val="es-ES" w:eastAsia="en-US"/>
        </w:rPr>
        <w:lastRenderedPageBreak/>
        <w:t>automotrices.  De acuerdo con la Asociación Mexicana de la Industria Automotriz (AMIA), de enero a diciembre de 2014 la producción acumulada de vehículos aumentó 9.8% con respecto a igual período de 2013 y las exportaciones de vehículos tuvieron una tasa de crecimiento de 9.1% (véase la gráfica:</w:t>
      </w:r>
      <w:r w:rsidRPr="0021273B">
        <w:rPr>
          <w:rFonts w:eastAsia="Calibri"/>
          <w:i/>
          <w:sz w:val="26"/>
          <w:szCs w:val="26"/>
          <w:lang w:val="es-ES" w:eastAsia="en-US"/>
        </w:rPr>
        <w:t xml:space="preserve"> Producción y exportaciones automotrices, 2012-2014</w:t>
      </w:r>
      <w:r w:rsidRPr="0021273B">
        <w:rPr>
          <w:rFonts w:eastAsia="Calibri"/>
          <w:sz w:val="26"/>
          <w:szCs w:val="26"/>
          <w:lang w:val="es-ES" w:eastAsia="en-US"/>
        </w:rPr>
        <w:t>).</w:t>
      </w:r>
    </w:p>
    <w:tbl>
      <w:tblPr>
        <w:tblW w:w="9209" w:type="dxa"/>
        <w:tblLook w:val="04A0" w:firstRow="1" w:lastRow="0" w:firstColumn="1" w:lastColumn="0" w:noHBand="0" w:noVBand="1"/>
      </w:tblPr>
      <w:tblGrid>
        <w:gridCol w:w="9209"/>
      </w:tblGrid>
      <w:tr w:rsidR="0021273B" w:rsidRPr="0021273B" w14:paraId="62C5D524" w14:textId="77777777" w:rsidTr="006A662C">
        <w:tc>
          <w:tcPr>
            <w:tcW w:w="9209" w:type="dxa"/>
          </w:tcPr>
          <w:p w14:paraId="0D4B99D0"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PRODUCCIÓN MANUFACTURERA DE MÉXICO Y LOS</w:t>
            </w:r>
          </w:p>
          <w:p w14:paraId="28588593"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ESTADOS UNIDOS DE NORTEAMÉRICA, 2011-2014</w:t>
            </w:r>
          </w:p>
          <w:p w14:paraId="6709170A"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-Variación porcentual anual, ajustada por estacionalidad-</w:t>
            </w:r>
          </w:p>
        </w:tc>
      </w:tr>
      <w:tr w:rsidR="0021273B" w:rsidRPr="0021273B" w14:paraId="2C7FED35" w14:textId="77777777" w:rsidTr="006A662C">
        <w:tc>
          <w:tcPr>
            <w:tcW w:w="9209" w:type="dxa"/>
          </w:tcPr>
          <w:p w14:paraId="5A8E9F3E" w14:textId="77777777" w:rsidR="0021273B" w:rsidRPr="0021273B" w:rsidRDefault="0021273B" w:rsidP="0021273B">
            <w:pPr>
              <w:jc w:val="center"/>
              <w:rPr>
                <w:rFonts w:eastAsia="Calibri"/>
                <w:sz w:val="22"/>
                <w:szCs w:val="26"/>
                <w:lang w:val="es-ES" w:eastAsia="en-US"/>
              </w:rPr>
            </w:pPr>
            <w:r w:rsidRPr="0021273B">
              <w:rPr>
                <w:rFonts w:eastAsia="Calibri"/>
                <w:noProof/>
                <w:sz w:val="22"/>
                <w:szCs w:val="26"/>
                <w:lang w:eastAsia="es-MX"/>
              </w:rPr>
              <w:drawing>
                <wp:inline distT="0" distB="0" distL="0" distR="0" wp14:anchorId="28FF7641" wp14:editId="6B686A49">
                  <wp:extent cx="4594521" cy="2880000"/>
                  <wp:effectExtent l="0" t="0" r="0"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t="5291" b="1400"/>
                          <a:stretch/>
                        </pic:blipFill>
                        <pic:spPr bwMode="auto">
                          <a:xfrm>
                            <a:off x="0" y="0"/>
                            <a:ext cx="4594521" cy="288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1273B" w:rsidRPr="0021273B" w14:paraId="3CE8215E" w14:textId="77777777" w:rsidTr="006A662C">
        <w:tc>
          <w:tcPr>
            <w:tcW w:w="9209" w:type="dxa"/>
          </w:tcPr>
          <w:p w14:paraId="42BBE25F" w14:textId="77777777" w:rsidR="0021273B" w:rsidRPr="0021273B" w:rsidRDefault="0021273B" w:rsidP="0021273B">
            <w:pPr>
              <w:ind w:firstLine="1021"/>
              <w:jc w:val="both"/>
              <w:rPr>
                <w:rFonts w:eastAsia="Calibri"/>
                <w:sz w:val="20"/>
                <w:szCs w:val="26"/>
                <w:lang w:val="es-ES" w:eastAsia="en-US"/>
              </w:rPr>
            </w:pPr>
            <w:r w:rsidRPr="0021273B">
              <w:rPr>
                <w:rFonts w:eastAsia="Calibri"/>
                <w:sz w:val="20"/>
                <w:szCs w:val="26"/>
                <w:lang w:val="es-ES" w:eastAsia="en-US"/>
              </w:rPr>
              <w:t>FUENTE: BBVA Research con información del INEGI.</w:t>
            </w:r>
          </w:p>
        </w:tc>
      </w:tr>
    </w:tbl>
    <w:p w14:paraId="3054D83C" w14:textId="77777777" w:rsidR="0021273B" w:rsidRDefault="0021273B" w:rsidP="0021273B">
      <w:pPr>
        <w:spacing w:after="360" w:line="360" w:lineRule="auto"/>
        <w:ind w:right="-159"/>
        <w:jc w:val="both"/>
        <w:rPr>
          <w:rFonts w:eastAsia="Calibri"/>
          <w:sz w:val="26"/>
          <w:szCs w:val="26"/>
          <w:lang w:val="es-ES" w:eastAsia="en-US"/>
        </w:rPr>
      </w:pPr>
    </w:p>
    <w:p w14:paraId="62178042" w14:textId="77777777" w:rsidR="006243F1" w:rsidRDefault="006243F1" w:rsidP="0021273B">
      <w:pPr>
        <w:spacing w:after="360" w:line="360" w:lineRule="auto"/>
        <w:ind w:right="-159"/>
        <w:jc w:val="both"/>
        <w:rPr>
          <w:rFonts w:eastAsia="Calibri"/>
          <w:sz w:val="26"/>
          <w:szCs w:val="26"/>
          <w:lang w:val="es-ES" w:eastAsia="en-US"/>
        </w:rPr>
      </w:pPr>
    </w:p>
    <w:p w14:paraId="3AA05E69" w14:textId="77777777" w:rsidR="006243F1" w:rsidRDefault="006243F1" w:rsidP="0021273B">
      <w:pPr>
        <w:spacing w:after="360" w:line="360" w:lineRule="auto"/>
        <w:ind w:right="-159"/>
        <w:jc w:val="both"/>
        <w:rPr>
          <w:rFonts w:eastAsia="Calibri"/>
          <w:sz w:val="26"/>
          <w:szCs w:val="26"/>
          <w:lang w:val="es-ES" w:eastAsia="en-US"/>
        </w:rPr>
      </w:pPr>
    </w:p>
    <w:p w14:paraId="3552B458" w14:textId="77777777" w:rsidR="006243F1" w:rsidRDefault="006243F1" w:rsidP="0021273B">
      <w:pPr>
        <w:spacing w:after="360" w:line="360" w:lineRule="auto"/>
        <w:ind w:right="-159"/>
        <w:jc w:val="both"/>
        <w:rPr>
          <w:rFonts w:eastAsia="Calibri"/>
          <w:sz w:val="26"/>
          <w:szCs w:val="26"/>
          <w:lang w:val="es-ES" w:eastAsia="en-US"/>
        </w:rPr>
      </w:pPr>
    </w:p>
    <w:p w14:paraId="40DD5169" w14:textId="77777777" w:rsidR="006243F1" w:rsidRDefault="006243F1" w:rsidP="0021273B">
      <w:pPr>
        <w:spacing w:after="360" w:line="360" w:lineRule="auto"/>
        <w:ind w:right="-159"/>
        <w:jc w:val="both"/>
        <w:rPr>
          <w:rFonts w:eastAsia="Calibri"/>
          <w:sz w:val="26"/>
          <w:szCs w:val="26"/>
          <w:lang w:val="es-ES" w:eastAsia="en-US"/>
        </w:rPr>
      </w:pPr>
    </w:p>
    <w:p w14:paraId="058900E4" w14:textId="77777777" w:rsidR="006243F1" w:rsidRPr="0021273B" w:rsidRDefault="006243F1" w:rsidP="0021273B">
      <w:pPr>
        <w:spacing w:after="360" w:line="360" w:lineRule="auto"/>
        <w:ind w:right="-159"/>
        <w:jc w:val="both"/>
        <w:rPr>
          <w:rFonts w:eastAsia="Calibri"/>
          <w:sz w:val="26"/>
          <w:szCs w:val="26"/>
          <w:lang w:val="es-ES" w:eastAsia="en-US"/>
        </w:rPr>
      </w:pPr>
    </w:p>
    <w:tbl>
      <w:tblPr>
        <w:tblW w:w="9209" w:type="dxa"/>
        <w:tblLook w:val="04A0" w:firstRow="1" w:lastRow="0" w:firstColumn="1" w:lastColumn="0" w:noHBand="0" w:noVBand="1"/>
      </w:tblPr>
      <w:tblGrid>
        <w:gridCol w:w="9209"/>
      </w:tblGrid>
      <w:tr w:rsidR="0021273B" w:rsidRPr="0021273B" w14:paraId="3FEFBC60" w14:textId="77777777" w:rsidTr="006A662C">
        <w:tc>
          <w:tcPr>
            <w:tcW w:w="9209" w:type="dxa"/>
          </w:tcPr>
          <w:p w14:paraId="41F83B68"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lastRenderedPageBreak/>
              <w:t>PRODUCCIÓN Y EXPORTACIONES AUTOMOTRICES, 2012-2014</w:t>
            </w:r>
          </w:p>
          <w:p w14:paraId="6B0BD4CD"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-Variación porcentual anual -</w:t>
            </w:r>
          </w:p>
        </w:tc>
      </w:tr>
      <w:tr w:rsidR="0021273B" w:rsidRPr="0021273B" w14:paraId="7457A203" w14:textId="77777777" w:rsidTr="006A662C">
        <w:tc>
          <w:tcPr>
            <w:tcW w:w="9209" w:type="dxa"/>
          </w:tcPr>
          <w:p w14:paraId="6B1A8B1C" w14:textId="4AE8F747" w:rsidR="0021273B" w:rsidRPr="0021273B" w:rsidRDefault="008D29D8" w:rsidP="0021273B">
            <w:pPr>
              <w:jc w:val="center"/>
              <w:rPr>
                <w:rFonts w:eastAsia="Calibri"/>
                <w:sz w:val="22"/>
                <w:szCs w:val="26"/>
                <w:lang w:val="es-ES" w:eastAsia="en-US"/>
              </w:rPr>
            </w:pPr>
            <w:r w:rsidRPr="006952D2">
              <w:rPr>
                <w:noProof/>
                <w:szCs w:val="26"/>
                <w:lang w:eastAsia="es-MX"/>
              </w:rPr>
              <w:drawing>
                <wp:inline distT="0" distB="0" distL="0" distR="0" wp14:anchorId="6663309D" wp14:editId="064CDE5D">
                  <wp:extent cx="4756832" cy="2880000"/>
                  <wp:effectExtent l="0" t="0" r="0" b="0"/>
                  <wp:docPr id="175" name="Imagen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2256" b="1691"/>
                          <a:stretch/>
                        </pic:blipFill>
                        <pic:spPr bwMode="auto">
                          <a:xfrm>
                            <a:off x="0" y="0"/>
                            <a:ext cx="4756832" cy="288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1273B" w:rsidRPr="0021273B" w14:paraId="54E5A57A" w14:textId="77777777" w:rsidTr="006A662C">
        <w:tc>
          <w:tcPr>
            <w:tcW w:w="9209" w:type="dxa"/>
          </w:tcPr>
          <w:p w14:paraId="60EF3C35" w14:textId="77777777" w:rsidR="0021273B" w:rsidRPr="0021273B" w:rsidRDefault="0021273B" w:rsidP="0021273B">
            <w:pPr>
              <w:ind w:firstLine="1021"/>
              <w:jc w:val="both"/>
              <w:rPr>
                <w:rFonts w:eastAsia="Calibri"/>
                <w:sz w:val="20"/>
                <w:szCs w:val="26"/>
                <w:lang w:val="es-ES" w:eastAsia="en-US"/>
              </w:rPr>
            </w:pPr>
            <w:r w:rsidRPr="0021273B">
              <w:rPr>
                <w:rFonts w:eastAsia="Calibri"/>
                <w:sz w:val="20"/>
                <w:szCs w:val="26"/>
                <w:lang w:val="es-ES" w:eastAsia="en-US"/>
              </w:rPr>
              <w:t>FUENTE: BBVA Research con información del INEGI.</w:t>
            </w:r>
          </w:p>
        </w:tc>
      </w:tr>
    </w:tbl>
    <w:p w14:paraId="090A2C90" w14:textId="77777777" w:rsidR="0021273B" w:rsidRPr="0021273B" w:rsidRDefault="0021273B" w:rsidP="0021273B">
      <w:pPr>
        <w:spacing w:after="360" w:line="360" w:lineRule="auto"/>
        <w:ind w:right="-159"/>
        <w:jc w:val="both"/>
        <w:rPr>
          <w:rFonts w:eastAsia="Calibri"/>
          <w:sz w:val="26"/>
          <w:szCs w:val="26"/>
          <w:highlight w:val="yellow"/>
          <w:lang w:val="es-ES" w:eastAsia="en-US"/>
        </w:rPr>
      </w:pPr>
    </w:p>
    <w:p w14:paraId="665C51B9" w14:textId="77777777" w:rsidR="0021273B" w:rsidRPr="0021273B" w:rsidRDefault="0021273B" w:rsidP="0021273B">
      <w:pPr>
        <w:spacing w:after="360" w:line="360" w:lineRule="auto"/>
        <w:ind w:right="-159"/>
        <w:jc w:val="both"/>
        <w:rPr>
          <w:rFonts w:eastAsia="Calibri"/>
          <w:b/>
          <w:sz w:val="26"/>
          <w:szCs w:val="26"/>
          <w:lang w:val="es-ES" w:eastAsia="en-US"/>
        </w:rPr>
      </w:pPr>
      <w:r w:rsidRPr="0021273B">
        <w:rPr>
          <w:rFonts w:eastAsia="Calibri"/>
          <w:b/>
          <w:sz w:val="26"/>
          <w:szCs w:val="26"/>
          <w:lang w:val="es-ES" w:eastAsia="en-US"/>
        </w:rPr>
        <w:t>3.1.2.2 Exportaciones de mercancías</w:t>
      </w:r>
    </w:p>
    <w:p w14:paraId="7EB815FF" w14:textId="136E1952" w:rsidR="0021273B" w:rsidRDefault="0021273B" w:rsidP="0021273B">
      <w:pPr>
        <w:spacing w:after="360" w:line="360" w:lineRule="auto"/>
        <w:ind w:right="-159"/>
        <w:jc w:val="both"/>
        <w:rPr>
          <w:rFonts w:eastAsia="Calibri"/>
          <w:sz w:val="26"/>
          <w:szCs w:val="26"/>
          <w:lang w:val="es-ES" w:eastAsia="en-US"/>
        </w:rPr>
      </w:pPr>
      <w:r w:rsidRPr="0021273B">
        <w:rPr>
          <w:rFonts w:eastAsia="Calibri"/>
          <w:sz w:val="26"/>
          <w:szCs w:val="26"/>
          <w:lang w:val="es-ES" w:eastAsia="en-US"/>
        </w:rPr>
        <w:t>En 2014</w:t>
      </w:r>
      <w:r w:rsidR="00D63928">
        <w:rPr>
          <w:rFonts w:eastAsia="Calibri"/>
          <w:sz w:val="26"/>
          <w:szCs w:val="26"/>
          <w:lang w:val="es-ES" w:eastAsia="en-US"/>
        </w:rPr>
        <w:t>,</w:t>
      </w:r>
      <w:r w:rsidRPr="0021273B">
        <w:rPr>
          <w:rFonts w:eastAsia="Calibri"/>
          <w:sz w:val="26"/>
          <w:szCs w:val="26"/>
          <w:lang w:val="es-ES" w:eastAsia="en-US"/>
        </w:rPr>
        <w:t xml:space="preserve"> la tasa de crecimiento anual de las exportaciones totales de mercancías fue de 4.6%, mayor a la que se registró en 2013, que fue de 2.5% (gráfica siguiente). En este sentido el desempeño del sector exportador de 2014 fue mejor que el del año anterior. Esto también se aprecia al observar que la tasa de crecimiento anual de las exportaciones fue negativa (gráfica:</w:t>
      </w:r>
      <w:r w:rsidRPr="0021273B">
        <w:rPr>
          <w:rFonts w:eastAsia="Calibri"/>
          <w:i/>
          <w:sz w:val="26"/>
          <w:szCs w:val="26"/>
          <w:lang w:val="es-ES" w:eastAsia="en-US"/>
        </w:rPr>
        <w:t xml:space="preserve"> Exportaciones e importaciones mensuales de mercancías</w:t>
      </w:r>
      <w:r w:rsidRPr="0021273B">
        <w:rPr>
          <w:rFonts w:eastAsia="Calibri"/>
          <w:sz w:val="26"/>
          <w:szCs w:val="26"/>
          <w:lang w:val="es-ES" w:eastAsia="en-US"/>
        </w:rPr>
        <w:t>) en tres meses de 2013 (febrero, marzo y mayo), en tanto que en 2014 esto sucedió solo en una ocasión y a principios de año (enero).</w:t>
      </w:r>
    </w:p>
    <w:p w14:paraId="73F3D2D6" w14:textId="77777777" w:rsidR="006243F1" w:rsidRDefault="006243F1" w:rsidP="0021273B">
      <w:pPr>
        <w:spacing w:after="360" w:line="360" w:lineRule="auto"/>
        <w:ind w:right="-159"/>
        <w:jc w:val="both"/>
        <w:rPr>
          <w:rFonts w:eastAsia="Calibri"/>
          <w:sz w:val="26"/>
          <w:szCs w:val="26"/>
          <w:lang w:val="es-ES" w:eastAsia="en-US"/>
        </w:rPr>
      </w:pPr>
    </w:p>
    <w:p w14:paraId="6BEC5BCB" w14:textId="77777777" w:rsidR="006243F1" w:rsidRDefault="006243F1" w:rsidP="0021273B">
      <w:pPr>
        <w:spacing w:after="360" w:line="360" w:lineRule="auto"/>
        <w:ind w:right="-159"/>
        <w:jc w:val="both"/>
        <w:rPr>
          <w:rFonts w:eastAsia="Calibri"/>
          <w:sz w:val="26"/>
          <w:szCs w:val="26"/>
          <w:lang w:val="es-ES" w:eastAsia="en-US"/>
        </w:rPr>
      </w:pPr>
    </w:p>
    <w:p w14:paraId="658A64EB" w14:textId="77777777" w:rsidR="006243F1" w:rsidRPr="0021273B" w:rsidRDefault="006243F1" w:rsidP="0021273B">
      <w:pPr>
        <w:spacing w:after="360" w:line="360" w:lineRule="auto"/>
        <w:ind w:right="-159"/>
        <w:jc w:val="both"/>
        <w:rPr>
          <w:rFonts w:eastAsia="Calibri"/>
          <w:sz w:val="26"/>
          <w:szCs w:val="26"/>
          <w:lang w:val="es-ES" w:eastAsia="en-US"/>
        </w:rPr>
      </w:pPr>
    </w:p>
    <w:tbl>
      <w:tblPr>
        <w:tblW w:w="9209" w:type="dxa"/>
        <w:tblLook w:val="04A0" w:firstRow="1" w:lastRow="0" w:firstColumn="1" w:lastColumn="0" w:noHBand="0" w:noVBand="1"/>
      </w:tblPr>
      <w:tblGrid>
        <w:gridCol w:w="9209"/>
      </w:tblGrid>
      <w:tr w:rsidR="0021273B" w:rsidRPr="0021273B" w14:paraId="700D4730" w14:textId="77777777" w:rsidTr="006A662C">
        <w:tc>
          <w:tcPr>
            <w:tcW w:w="9209" w:type="dxa"/>
          </w:tcPr>
          <w:p w14:paraId="7730D823"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lastRenderedPageBreak/>
              <w:t>EXPORTACIONES E IMPORTACIONES ANUALES DE MERCANCÍAS</w:t>
            </w:r>
          </w:p>
          <w:p w14:paraId="27E0A456"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-Variación porcentual anual -</w:t>
            </w:r>
          </w:p>
        </w:tc>
      </w:tr>
      <w:tr w:rsidR="0021273B" w:rsidRPr="0021273B" w14:paraId="30821DF2" w14:textId="77777777" w:rsidTr="006A662C">
        <w:tc>
          <w:tcPr>
            <w:tcW w:w="9209" w:type="dxa"/>
          </w:tcPr>
          <w:p w14:paraId="4870F55F" w14:textId="77777777" w:rsidR="0021273B" w:rsidRPr="0021273B" w:rsidRDefault="0021273B" w:rsidP="0021273B">
            <w:pPr>
              <w:jc w:val="center"/>
              <w:rPr>
                <w:rFonts w:eastAsia="Calibri"/>
                <w:sz w:val="22"/>
                <w:szCs w:val="26"/>
                <w:lang w:val="es-ES" w:eastAsia="en-US"/>
              </w:rPr>
            </w:pPr>
            <w:r w:rsidRPr="0021273B">
              <w:rPr>
                <w:rFonts w:eastAsia="Calibri"/>
                <w:noProof/>
                <w:sz w:val="22"/>
                <w:szCs w:val="26"/>
                <w:lang w:eastAsia="es-MX"/>
              </w:rPr>
              <w:drawing>
                <wp:inline distT="0" distB="0" distL="0" distR="0" wp14:anchorId="5E2E5886" wp14:editId="3306EE50">
                  <wp:extent cx="4839196" cy="3060000"/>
                  <wp:effectExtent l="0" t="0" r="0"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3915" b="1230"/>
                          <a:stretch/>
                        </pic:blipFill>
                        <pic:spPr bwMode="auto">
                          <a:xfrm>
                            <a:off x="0" y="0"/>
                            <a:ext cx="4839196" cy="30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1273B" w:rsidRPr="0021273B" w14:paraId="0D90BAEB" w14:textId="77777777" w:rsidTr="006A662C">
        <w:tc>
          <w:tcPr>
            <w:tcW w:w="9209" w:type="dxa"/>
          </w:tcPr>
          <w:p w14:paraId="0AC39DFD" w14:textId="77777777" w:rsidR="0021273B" w:rsidRPr="0021273B" w:rsidRDefault="0021273B" w:rsidP="0021273B">
            <w:pPr>
              <w:ind w:firstLine="1021"/>
              <w:jc w:val="both"/>
              <w:rPr>
                <w:rFonts w:eastAsia="Calibri"/>
                <w:sz w:val="20"/>
                <w:szCs w:val="26"/>
                <w:lang w:val="es-ES" w:eastAsia="en-US"/>
              </w:rPr>
            </w:pPr>
            <w:r w:rsidRPr="0021273B">
              <w:rPr>
                <w:rFonts w:eastAsia="Calibri"/>
                <w:sz w:val="20"/>
                <w:szCs w:val="26"/>
                <w:lang w:val="es-ES" w:eastAsia="en-US"/>
              </w:rPr>
              <w:t>FUENTE: BBVA Research con información del INEGI.</w:t>
            </w:r>
          </w:p>
        </w:tc>
      </w:tr>
    </w:tbl>
    <w:p w14:paraId="045F9235" w14:textId="77777777" w:rsidR="0021273B" w:rsidRPr="0021273B" w:rsidRDefault="0021273B" w:rsidP="0021273B">
      <w:pPr>
        <w:spacing w:after="360" w:line="360" w:lineRule="auto"/>
        <w:ind w:right="-159"/>
        <w:jc w:val="both"/>
        <w:rPr>
          <w:rFonts w:eastAsia="Calibri"/>
          <w:sz w:val="26"/>
          <w:szCs w:val="26"/>
          <w:lang w:val="es-ES" w:eastAsia="en-US"/>
        </w:rPr>
      </w:pPr>
    </w:p>
    <w:tbl>
      <w:tblPr>
        <w:tblW w:w="9209" w:type="dxa"/>
        <w:tblLook w:val="04A0" w:firstRow="1" w:lastRow="0" w:firstColumn="1" w:lastColumn="0" w:noHBand="0" w:noVBand="1"/>
      </w:tblPr>
      <w:tblGrid>
        <w:gridCol w:w="9209"/>
      </w:tblGrid>
      <w:tr w:rsidR="0021273B" w:rsidRPr="0021273B" w14:paraId="17CB421C" w14:textId="77777777" w:rsidTr="006A662C">
        <w:tc>
          <w:tcPr>
            <w:tcW w:w="9209" w:type="dxa"/>
          </w:tcPr>
          <w:p w14:paraId="44647DA0"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EXPORTACIONES E IMPORTACIONES MENSUALES DE MERCANCÍAS</w:t>
            </w:r>
          </w:p>
          <w:p w14:paraId="5E344F18"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-Variación porcentual anual -</w:t>
            </w:r>
          </w:p>
        </w:tc>
      </w:tr>
      <w:tr w:rsidR="0021273B" w:rsidRPr="0021273B" w14:paraId="6E8C357E" w14:textId="77777777" w:rsidTr="006A662C">
        <w:tc>
          <w:tcPr>
            <w:tcW w:w="9209" w:type="dxa"/>
          </w:tcPr>
          <w:p w14:paraId="6BB3DF58" w14:textId="77777777" w:rsidR="0021273B" w:rsidRPr="0021273B" w:rsidRDefault="0021273B" w:rsidP="0021273B">
            <w:pPr>
              <w:jc w:val="center"/>
              <w:rPr>
                <w:rFonts w:eastAsia="Calibri"/>
                <w:sz w:val="22"/>
                <w:szCs w:val="26"/>
                <w:lang w:val="es-ES" w:eastAsia="en-US"/>
              </w:rPr>
            </w:pPr>
            <w:r w:rsidRPr="0021273B">
              <w:rPr>
                <w:rFonts w:eastAsia="Calibri"/>
                <w:noProof/>
                <w:sz w:val="22"/>
                <w:szCs w:val="26"/>
                <w:lang w:eastAsia="es-MX"/>
              </w:rPr>
              <w:drawing>
                <wp:inline distT="0" distB="0" distL="0" distR="0" wp14:anchorId="2BF14EED" wp14:editId="636DA819">
                  <wp:extent cx="4728899" cy="3132000"/>
                  <wp:effectExtent l="0" t="0" r="0"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1043" b="1737"/>
                          <a:stretch/>
                        </pic:blipFill>
                        <pic:spPr bwMode="auto">
                          <a:xfrm>
                            <a:off x="0" y="0"/>
                            <a:ext cx="4728899" cy="3132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1273B" w:rsidRPr="0021273B" w14:paraId="0810C8DA" w14:textId="77777777" w:rsidTr="006A662C">
        <w:tc>
          <w:tcPr>
            <w:tcW w:w="9209" w:type="dxa"/>
          </w:tcPr>
          <w:p w14:paraId="13ED0CCD" w14:textId="77777777" w:rsidR="0021273B" w:rsidRPr="0021273B" w:rsidRDefault="0021273B" w:rsidP="0021273B">
            <w:pPr>
              <w:ind w:firstLine="1021"/>
              <w:jc w:val="both"/>
              <w:rPr>
                <w:rFonts w:eastAsia="Calibri"/>
                <w:sz w:val="20"/>
                <w:szCs w:val="26"/>
                <w:lang w:val="es-ES" w:eastAsia="en-US"/>
              </w:rPr>
            </w:pPr>
            <w:r w:rsidRPr="0021273B">
              <w:rPr>
                <w:rFonts w:eastAsia="Calibri"/>
                <w:sz w:val="20"/>
                <w:szCs w:val="26"/>
                <w:lang w:val="es-ES" w:eastAsia="en-US"/>
              </w:rPr>
              <w:t>FUENTE: BBVA Research con información del INEGI.</w:t>
            </w:r>
          </w:p>
        </w:tc>
      </w:tr>
    </w:tbl>
    <w:p w14:paraId="06F60567" w14:textId="77777777" w:rsidR="0021273B" w:rsidRPr="0021273B" w:rsidRDefault="0021273B" w:rsidP="0021273B">
      <w:pPr>
        <w:spacing w:after="360" w:line="360" w:lineRule="auto"/>
        <w:ind w:right="-159"/>
        <w:jc w:val="both"/>
        <w:rPr>
          <w:rFonts w:eastAsia="Calibri"/>
          <w:sz w:val="26"/>
          <w:szCs w:val="26"/>
          <w:lang w:val="es-ES" w:eastAsia="en-US"/>
        </w:rPr>
      </w:pPr>
    </w:p>
    <w:p w14:paraId="2739E85B" w14:textId="77777777" w:rsidR="0021273B" w:rsidRPr="0021273B" w:rsidRDefault="0021273B" w:rsidP="0021273B">
      <w:pPr>
        <w:spacing w:after="360" w:line="360" w:lineRule="auto"/>
        <w:ind w:right="-159"/>
        <w:jc w:val="both"/>
        <w:rPr>
          <w:rFonts w:eastAsia="Calibri"/>
          <w:sz w:val="26"/>
          <w:szCs w:val="26"/>
          <w:lang w:val="es-ES" w:eastAsia="en-US"/>
        </w:rPr>
      </w:pPr>
      <w:r w:rsidRPr="0021273B">
        <w:rPr>
          <w:rFonts w:eastAsia="Calibri"/>
          <w:sz w:val="26"/>
          <w:szCs w:val="26"/>
          <w:lang w:val="es-ES" w:eastAsia="en-US"/>
        </w:rPr>
        <w:lastRenderedPageBreak/>
        <w:t>Considerando el promedio móvil de tres meses de la tasa anual de crecimiento de las exportaciones (gráfica siguiente), se observa que a partir de la segunda mitad de 2014 el ritmo de crecimiento de la actividad exportadora del país aumentó de manera importante.</w:t>
      </w:r>
    </w:p>
    <w:tbl>
      <w:tblPr>
        <w:tblW w:w="9209" w:type="dxa"/>
        <w:tblLook w:val="04A0" w:firstRow="1" w:lastRow="0" w:firstColumn="1" w:lastColumn="0" w:noHBand="0" w:noVBand="1"/>
      </w:tblPr>
      <w:tblGrid>
        <w:gridCol w:w="9209"/>
      </w:tblGrid>
      <w:tr w:rsidR="0021273B" w:rsidRPr="0021273B" w14:paraId="0AAD2296" w14:textId="77777777" w:rsidTr="006A662C">
        <w:tc>
          <w:tcPr>
            <w:tcW w:w="9209" w:type="dxa"/>
          </w:tcPr>
          <w:p w14:paraId="72A7AB66"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EXPORTACIONES DE MERCANCÍAS</w:t>
            </w:r>
          </w:p>
          <w:p w14:paraId="2567657D"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-Variación porcentual anual del promedio móvil de tres meses-</w:t>
            </w:r>
          </w:p>
        </w:tc>
      </w:tr>
      <w:tr w:rsidR="0021273B" w:rsidRPr="0021273B" w14:paraId="4391112B" w14:textId="77777777" w:rsidTr="006A662C">
        <w:tc>
          <w:tcPr>
            <w:tcW w:w="9209" w:type="dxa"/>
          </w:tcPr>
          <w:p w14:paraId="2F14947B" w14:textId="77777777" w:rsidR="0021273B" w:rsidRPr="0021273B" w:rsidRDefault="0021273B" w:rsidP="0021273B">
            <w:pPr>
              <w:jc w:val="center"/>
              <w:rPr>
                <w:rFonts w:eastAsia="Calibri"/>
                <w:sz w:val="22"/>
                <w:szCs w:val="26"/>
                <w:lang w:val="es-ES" w:eastAsia="en-US"/>
              </w:rPr>
            </w:pPr>
            <w:r w:rsidRPr="0021273B">
              <w:rPr>
                <w:rFonts w:eastAsia="Calibri"/>
                <w:noProof/>
                <w:sz w:val="22"/>
                <w:szCs w:val="26"/>
                <w:lang w:eastAsia="es-MX"/>
              </w:rPr>
              <w:drawing>
                <wp:inline distT="0" distB="0" distL="0" distR="0" wp14:anchorId="00D6A44C" wp14:editId="4569A996">
                  <wp:extent cx="4678683" cy="3132000"/>
                  <wp:effectExtent l="0" t="0" r="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1205" b="1555"/>
                          <a:stretch/>
                        </pic:blipFill>
                        <pic:spPr bwMode="auto">
                          <a:xfrm>
                            <a:off x="0" y="0"/>
                            <a:ext cx="4678683" cy="3132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1273B" w:rsidRPr="0021273B" w14:paraId="23FDF54F" w14:textId="77777777" w:rsidTr="006A662C">
        <w:tc>
          <w:tcPr>
            <w:tcW w:w="9209" w:type="dxa"/>
          </w:tcPr>
          <w:p w14:paraId="2F4C7A56" w14:textId="77777777" w:rsidR="0021273B" w:rsidRPr="0021273B" w:rsidRDefault="0021273B" w:rsidP="0021273B">
            <w:pPr>
              <w:ind w:firstLine="1021"/>
              <w:jc w:val="both"/>
              <w:rPr>
                <w:rFonts w:eastAsia="Calibri"/>
                <w:sz w:val="20"/>
                <w:szCs w:val="26"/>
                <w:lang w:val="es-ES" w:eastAsia="en-US"/>
              </w:rPr>
            </w:pPr>
            <w:r w:rsidRPr="0021273B">
              <w:rPr>
                <w:rFonts w:eastAsia="Calibri"/>
                <w:sz w:val="20"/>
                <w:szCs w:val="26"/>
                <w:lang w:val="es-ES" w:eastAsia="en-US"/>
              </w:rPr>
              <w:t>FUENTE: BBVA Research con información del INEGI.</w:t>
            </w:r>
          </w:p>
        </w:tc>
      </w:tr>
    </w:tbl>
    <w:p w14:paraId="60B896CA" w14:textId="77777777" w:rsidR="0021273B" w:rsidRDefault="0021273B" w:rsidP="0021273B">
      <w:pPr>
        <w:spacing w:after="360" w:line="360" w:lineRule="auto"/>
        <w:ind w:right="-159"/>
        <w:jc w:val="both"/>
        <w:rPr>
          <w:rFonts w:eastAsia="Calibri"/>
          <w:sz w:val="26"/>
          <w:szCs w:val="26"/>
          <w:lang w:val="es-ES" w:eastAsia="en-US"/>
        </w:rPr>
      </w:pPr>
    </w:p>
    <w:p w14:paraId="094E740D" w14:textId="77777777" w:rsidR="006243F1" w:rsidRDefault="006243F1" w:rsidP="0021273B">
      <w:pPr>
        <w:spacing w:after="360" w:line="360" w:lineRule="auto"/>
        <w:ind w:right="-159"/>
        <w:jc w:val="both"/>
        <w:rPr>
          <w:rFonts w:eastAsia="Calibri"/>
          <w:sz w:val="26"/>
          <w:szCs w:val="26"/>
          <w:lang w:val="es-ES" w:eastAsia="en-US"/>
        </w:rPr>
      </w:pPr>
    </w:p>
    <w:p w14:paraId="21C6C0AF" w14:textId="77777777" w:rsidR="006243F1" w:rsidRDefault="006243F1" w:rsidP="0021273B">
      <w:pPr>
        <w:spacing w:after="360" w:line="360" w:lineRule="auto"/>
        <w:ind w:right="-159"/>
        <w:jc w:val="both"/>
        <w:rPr>
          <w:rFonts w:eastAsia="Calibri"/>
          <w:sz w:val="26"/>
          <w:szCs w:val="26"/>
          <w:lang w:val="es-ES" w:eastAsia="en-US"/>
        </w:rPr>
      </w:pPr>
    </w:p>
    <w:p w14:paraId="60DAC89F" w14:textId="77777777" w:rsidR="006243F1" w:rsidRDefault="006243F1" w:rsidP="0021273B">
      <w:pPr>
        <w:spacing w:after="360" w:line="360" w:lineRule="auto"/>
        <w:ind w:right="-159"/>
        <w:jc w:val="both"/>
        <w:rPr>
          <w:rFonts w:eastAsia="Calibri"/>
          <w:sz w:val="26"/>
          <w:szCs w:val="26"/>
          <w:lang w:val="es-ES" w:eastAsia="en-US"/>
        </w:rPr>
      </w:pPr>
    </w:p>
    <w:p w14:paraId="444F6DCD" w14:textId="77777777" w:rsidR="006243F1" w:rsidRDefault="006243F1" w:rsidP="0021273B">
      <w:pPr>
        <w:spacing w:after="360" w:line="360" w:lineRule="auto"/>
        <w:ind w:right="-159"/>
        <w:jc w:val="both"/>
        <w:rPr>
          <w:rFonts w:eastAsia="Calibri"/>
          <w:sz w:val="26"/>
          <w:szCs w:val="26"/>
          <w:lang w:val="es-ES" w:eastAsia="en-US"/>
        </w:rPr>
      </w:pPr>
    </w:p>
    <w:p w14:paraId="36343CD9" w14:textId="77777777" w:rsidR="006243F1" w:rsidRDefault="006243F1" w:rsidP="0021273B">
      <w:pPr>
        <w:spacing w:after="360" w:line="360" w:lineRule="auto"/>
        <w:ind w:right="-159"/>
        <w:jc w:val="both"/>
        <w:rPr>
          <w:rFonts w:eastAsia="Calibri"/>
          <w:sz w:val="26"/>
          <w:szCs w:val="26"/>
          <w:lang w:val="es-ES" w:eastAsia="en-US"/>
        </w:rPr>
      </w:pPr>
    </w:p>
    <w:p w14:paraId="0D0F0F7A" w14:textId="77777777" w:rsidR="006243F1" w:rsidRPr="0021273B" w:rsidRDefault="006243F1" w:rsidP="0021273B">
      <w:pPr>
        <w:spacing w:after="360" w:line="360" w:lineRule="auto"/>
        <w:ind w:right="-159"/>
        <w:jc w:val="both"/>
        <w:rPr>
          <w:rFonts w:eastAsia="Calibri"/>
          <w:sz w:val="26"/>
          <w:szCs w:val="26"/>
          <w:lang w:val="es-ES" w:eastAsia="en-US"/>
        </w:rPr>
      </w:pPr>
    </w:p>
    <w:tbl>
      <w:tblPr>
        <w:tblW w:w="9209" w:type="dxa"/>
        <w:tblLook w:val="04A0" w:firstRow="1" w:lastRow="0" w:firstColumn="1" w:lastColumn="0" w:noHBand="0" w:noVBand="1"/>
      </w:tblPr>
      <w:tblGrid>
        <w:gridCol w:w="9209"/>
      </w:tblGrid>
      <w:tr w:rsidR="0021273B" w:rsidRPr="0021273B" w14:paraId="37CEAAE9" w14:textId="77777777" w:rsidTr="006A662C">
        <w:tc>
          <w:tcPr>
            <w:tcW w:w="9209" w:type="dxa"/>
          </w:tcPr>
          <w:p w14:paraId="247D9AFA"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lastRenderedPageBreak/>
              <w:t>EXPORTACIONES DE MERCANCÍAS POR TIPO DE BIEN</w:t>
            </w:r>
          </w:p>
          <w:p w14:paraId="01AF2943"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-Variación porcentual anual-</w:t>
            </w:r>
          </w:p>
        </w:tc>
      </w:tr>
      <w:tr w:rsidR="0021273B" w:rsidRPr="0021273B" w14:paraId="49EA732A" w14:textId="77777777" w:rsidTr="006A662C">
        <w:tc>
          <w:tcPr>
            <w:tcW w:w="9209" w:type="dxa"/>
          </w:tcPr>
          <w:p w14:paraId="0E7F6FA3" w14:textId="77777777" w:rsidR="0021273B" w:rsidRPr="0021273B" w:rsidRDefault="0021273B" w:rsidP="0021273B">
            <w:pPr>
              <w:jc w:val="center"/>
              <w:rPr>
                <w:rFonts w:eastAsia="Calibri"/>
                <w:sz w:val="22"/>
                <w:szCs w:val="26"/>
                <w:lang w:val="es-ES" w:eastAsia="en-US"/>
              </w:rPr>
            </w:pPr>
            <w:r w:rsidRPr="0021273B">
              <w:rPr>
                <w:rFonts w:eastAsia="Calibri"/>
                <w:noProof/>
                <w:sz w:val="22"/>
                <w:szCs w:val="26"/>
                <w:lang w:eastAsia="es-MX"/>
              </w:rPr>
              <w:drawing>
                <wp:inline distT="0" distB="0" distL="0" distR="0" wp14:anchorId="019BBF41" wp14:editId="4F04E4CC">
                  <wp:extent cx="4999011" cy="3060000"/>
                  <wp:effectExtent l="0" t="0" r="0"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6406" b="1770"/>
                          <a:stretch/>
                        </pic:blipFill>
                        <pic:spPr bwMode="auto">
                          <a:xfrm>
                            <a:off x="0" y="0"/>
                            <a:ext cx="4999011" cy="30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1273B" w:rsidRPr="0021273B" w14:paraId="38752A9D" w14:textId="77777777" w:rsidTr="006A662C">
        <w:tc>
          <w:tcPr>
            <w:tcW w:w="9209" w:type="dxa"/>
          </w:tcPr>
          <w:p w14:paraId="4250FFE1" w14:textId="77777777" w:rsidR="0021273B" w:rsidRPr="0021273B" w:rsidRDefault="0021273B" w:rsidP="0021273B">
            <w:pPr>
              <w:ind w:firstLine="1021"/>
              <w:jc w:val="both"/>
              <w:rPr>
                <w:rFonts w:eastAsia="Calibri"/>
                <w:sz w:val="20"/>
                <w:szCs w:val="26"/>
                <w:lang w:val="es-ES" w:eastAsia="en-US"/>
              </w:rPr>
            </w:pPr>
            <w:r w:rsidRPr="0021273B">
              <w:rPr>
                <w:rFonts w:eastAsia="Calibri"/>
                <w:sz w:val="20"/>
                <w:szCs w:val="26"/>
                <w:lang w:val="es-ES" w:eastAsia="en-US"/>
              </w:rPr>
              <w:t>FUENTE: BBVA Research con información del INEGI.</w:t>
            </w:r>
          </w:p>
        </w:tc>
      </w:tr>
    </w:tbl>
    <w:p w14:paraId="01F094A4" w14:textId="77777777" w:rsidR="0021273B" w:rsidRPr="0021273B" w:rsidRDefault="0021273B" w:rsidP="0021273B">
      <w:pPr>
        <w:spacing w:after="360" w:line="360" w:lineRule="auto"/>
        <w:ind w:right="-159"/>
        <w:jc w:val="both"/>
        <w:rPr>
          <w:rFonts w:eastAsia="Calibri"/>
          <w:sz w:val="26"/>
          <w:szCs w:val="26"/>
          <w:lang w:val="es-ES" w:eastAsia="en-US"/>
        </w:rPr>
      </w:pPr>
    </w:p>
    <w:p w14:paraId="0583159F" w14:textId="77777777" w:rsidR="0021273B" w:rsidRDefault="0021273B" w:rsidP="0021273B">
      <w:pPr>
        <w:spacing w:after="360" w:line="360" w:lineRule="auto"/>
        <w:ind w:right="-159"/>
        <w:jc w:val="both"/>
        <w:rPr>
          <w:rFonts w:eastAsia="Calibri"/>
          <w:sz w:val="26"/>
          <w:szCs w:val="26"/>
          <w:lang w:val="es-ES" w:eastAsia="en-US"/>
        </w:rPr>
      </w:pPr>
      <w:r w:rsidRPr="0021273B">
        <w:rPr>
          <w:rFonts w:eastAsia="Calibri"/>
          <w:sz w:val="26"/>
          <w:szCs w:val="26"/>
          <w:lang w:val="es-ES" w:eastAsia="en-US"/>
        </w:rPr>
        <w:t>Por lo que respecta al dinamismo que tuvieron cada uno de los diferentes tipos de productos exportados, el desempeño de las exportaciones petroleras fue desfavorable, pues sus ventas anuales mostraron una caída anual de 13.2% (gráfica anterior). La contracción de estas exportaciones se debe a la combinación de dos factores. Por un lado, el nivel de la plataforma de exportación de petróleo crudo de 2014 se redujo en 3.9% en comparación a la de 2013, pasando de 1.189 mil barriles diarios en promedio en 2013 a 1.143 mil barriles diarios en 2014 (gráfica siguiente).</w:t>
      </w:r>
    </w:p>
    <w:p w14:paraId="15D1691B" w14:textId="77777777" w:rsidR="006243F1" w:rsidRDefault="006243F1" w:rsidP="0021273B">
      <w:pPr>
        <w:spacing w:after="360" w:line="360" w:lineRule="auto"/>
        <w:ind w:right="-159"/>
        <w:jc w:val="both"/>
        <w:rPr>
          <w:rFonts w:eastAsia="Calibri"/>
          <w:sz w:val="26"/>
          <w:szCs w:val="26"/>
          <w:lang w:val="es-ES" w:eastAsia="en-US"/>
        </w:rPr>
      </w:pPr>
    </w:p>
    <w:p w14:paraId="1DB9E39D" w14:textId="77777777" w:rsidR="006243F1" w:rsidRDefault="006243F1" w:rsidP="0021273B">
      <w:pPr>
        <w:spacing w:after="360" w:line="360" w:lineRule="auto"/>
        <w:ind w:right="-159"/>
        <w:jc w:val="both"/>
        <w:rPr>
          <w:rFonts w:eastAsia="Calibri"/>
          <w:sz w:val="26"/>
          <w:szCs w:val="26"/>
          <w:lang w:val="es-ES" w:eastAsia="en-US"/>
        </w:rPr>
      </w:pPr>
    </w:p>
    <w:p w14:paraId="7F5DB75A" w14:textId="77777777" w:rsidR="006243F1" w:rsidRDefault="006243F1" w:rsidP="0021273B">
      <w:pPr>
        <w:spacing w:after="360" w:line="360" w:lineRule="auto"/>
        <w:ind w:right="-159"/>
        <w:jc w:val="both"/>
        <w:rPr>
          <w:rFonts w:eastAsia="Calibri"/>
          <w:sz w:val="26"/>
          <w:szCs w:val="26"/>
          <w:lang w:val="es-ES" w:eastAsia="en-US"/>
        </w:rPr>
      </w:pPr>
    </w:p>
    <w:p w14:paraId="494FF62D" w14:textId="77777777" w:rsidR="006243F1" w:rsidRPr="0021273B" w:rsidRDefault="006243F1" w:rsidP="0021273B">
      <w:pPr>
        <w:spacing w:after="360" w:line="360" w:lineRule="auto"/>
        <w:ind w:right="-159"/>
        <w:jc w:val="both"/>
        <w:rPr>
          <w:rFonts w:eastAsia="Calibri"/>
          <w:sz w:val="26"/>
          <w:szCs w:val="26"/>
          <w:lang w:val="es-ES" w:eastAsia="en-US"/>
        </w:rPr>
      </w:pPr>
    </w:p>
    <w:tbl>
      <w:tblPr>
        <w:tblW w:w="9209" w:type="dxa"/>
        <w:tblLook w:val="04A0" w:firstRow="1" w:lastRow="0" w:firstColumn="1" w:lastColumn="0" w:noHBand="0" w:noVBand="1"/>
      </w:tblPr>
      <w:tblGrid>
        <w:gridCol w:w="9209"/>
      </w:tblGrid>
      <w:tr w:rsidR="0021273B" w:rsidRPr="0021273B" w14:paraId="69C22156" w14:textId="77777777" w:rsidTr="006A662C">
        <w:tc>
          <w:tcPr>
            <w:tcW w:w="9209" w:type="dxa"/>
          </w:tcPr>
          <w:p w14:paraId="10E13787"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lastRenderedPageBreak/>
              <w:t>EXPORTACIONES DE PETRÓLEO CRUDO: PROMEDIO ANUAL</w:t>
            </w:r>
          </w:p>
          <w:p w14:paraId="2B1BFA72"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DE LA PLATAFORMA Y DEL PRECIO DE EXPORTACIÓN</w:t>
            </w:r>
          </w:p>
          <w:p w14:paraId="6B63ABC9"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-Cifras en miles de barriles diarios y en dólares por barril de petróleo crudo-</w:t>
            </w:r>
          </w:p>
        </w:tc>
      </w:tr>
      <w:tr w:rsidR="0021273B" w:rsidRPr="0021273B" w14:paraId="41C777B6" w14:textId="77777777" w:rsidTr="006A662C">
        <w:tc>
          <w:tcPr>
            <w:tcW w:w="9209" w:type="dxa"/>
          </w:tcPr>
          <w:p w14:paraId="5785C445" w14:textId="77777777" w:rsidR="0021273B" w:rsidRPr="0021273B" w:rsidRDefault="0021273B" w:rsidP="0021273B">
            <w:pPr>
              <w:jc w:val="center"/>
              <w:rPr>
                <w:rFonts w:eastAsia="Calibri"/>
                <w:sz w:val="22"/>
                <w:szCs w:val="26"/>
                <w:lang w:val="es-ES" w:eastAsia="en-US"/>
              </w:rPr>
            </w:pPr>
            <w:r w:rsidRPr="0021273B">
              <w:rPr>
                <w:rFonts w:eastAsia="Calibri"/>
                <w:noProof/>
                <w:sz w:val="22"/>
                <w:szCs w:val="26"/>
                <w:lang w:eastAsia="es-MX"/>
              </w:rPr>
              <w:drawing>
                <wp:inline distT="0" distB="0" distL="0" distR="0" wp14:anchorId="09CA4B31" wp14:editId="30B35704">
                  <wp:extent cx="4932234" cy="3060000"/>
                  <wp:effectExtent l="0" t="0" r="0" b="762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3352" b="4407"/>
                          <a:stretch/>
                        </pic:blipFill>
                        <pic:spPr bwMode="auto">
                          <a:xfrm>
                            <a:off x="0" y="0"/>
                            <a:ext cx="4932234" cy="30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1273B" w:rsidRPr="0021273B" w14:paraId="2103E197" w14:textId="77777777" w:rsidTr="006A662C">
        <w:tc>
          <w:tcPr>
            <w:tcW w:w="9209" w:type="dxa"/>
          </w:tcPr>
          <w:p w14:paraId="1C48697F" w14:textId="77777777" w:rsidR="0021273B" w:rsidRPr="0021273B" w:rsidRDefault="0021273B" w:rsidP="0021273B">
            <w:pPr>
              <w:ind w:firstLine="1021"/>
              <w:jc w:val="both"/>
              <w:rPr>
                <w:rFonts w:eastAsia="Calibri"/>
                <w:sz w:val="20"/>
                <w:szCs w:val="26"/>
                <w:lang w:val="es-ES" w:eastAsia="en-US"/>
              </w:rPr>
            </w:pPr>
            <w:r w:rsidRPr="0021273B">
              <w:rPr>
                <w:rFonts w:eastAsia="Calibri"/>
                <w:sz w:val="20"/>
                <w:szCs w:val="26"/>
                <w:lang w:val="es-ES" w:eastAsia="en-US"/>
              </w:rPr>
              <w:t>FUENTE: BBVA Research con información del INEGI.</w:t>
            </w:r>
          </w:p>
        </w:tc>
      </w:tr>
    </w:tbl>
    <w:p w14:paraId="2CF21707" w14:textId="77777777" w:rsidR="0021273B" w:rsidRPr="0021273B" w:rsidRDefault="0021273B" w:rsidP="0021273B">
      <w:pPr>
        <w:spacing w:after="360" w:line="360" w:lineRule="auto"/>
        <w:ind w:right="-159"/>
        <w:jc w:val="both"/>
        <w:rPr>
          <w:rFonts w:eastAsia="Calibri"/>
          <w:sz w:val="26"/>
          <w:szCs w:val="26"/>
          <w:lang w:val="es-ES" w:eastAsia="en-US"/>
        </w:rPr>
      </w:pPr>
    </w:p>
    <w:p w14:paraId="5E6A31B8" w14:textId="58691A57" w:rsidR="0021273B" w:rsidRPr="0021273B" w:rsidRDefault="0021273B" w:rsidP="0021273B">
      <w:pPr>
        <w:spacing w:after="360" w:line="360" w:lineRule="auto"/>
        <w:ind w:right="-159"/>
        <w:jc w:val="both"/>
        <w:rPr>
          <w:rFonts w:eastAsia="Calibri"/>
          <w:sz w:val="26"/>
          <w:szCs w:val="26"/>
          <w:lang w:val="es-ES" w:eastAsia="en-US"/>
        </w:rPr>
      </w:pPr>
      <w:r w:rsidRPr="0021273B">
        <w:rPr>
          <w:rFonts w:eastAsia="Calibri"/>
          <w:sz w:val="26"/>
          <w:szCs w:val="26"/>
          <w:lang w:val="es-ES" w:eastAsia="en-US"/>
        </w:rPr>
        <w:t>De manera adicional se tiene que en 2014 el precio promedio del barril de petróleo crudo que México exportó fue 12.1% menor al de 2013. Cabe mencionar que la disminución en el precio del petróleo de exportación de México ocurrió a partir de julio de 2014. En ese mes</w:t>
      </w:r>
      <w:r w:rsidR="00D63928">
        <w:rPr>
          <w:rFonts w:eastAsia="Calibri"/>
          <w:sz w:val="26"/>
          <w:szCs w:val="26"/>
          <w:lang w:val="es-ES" w:eastAsia="en-US"/>
        </w:rPr>
        <w:t>,</w:t>
      </w:r>
      <w:r w:rsidRPr="0021273B">
        <w:rPr>
          <w:rFonts w:eastAsia="Calibri"/>
          <w:sz w:val="26"/>
          <w:szCs w:val="26"/>
          <w:lang w:val="es-ES" w:eastAsia="en-US"/>
        </w:rPr>
        <w:t xml:space="preserve"> el precio promedio mensual del barril de crudo de exportación fue de 94.65 dólares, y para diciembre éste ya fue de 52.35 dólares. En enero y febrero de 2015</w:t>
      </w:r>
      <w:r w:rsidR="00D63928">
        <w:rPr>
          <w:rFonts w:eastAsia="Calibri"/>
          <w:sz w:val="26"/>
          <w:szCs w:val="26"/>
          <w:lang w:val="es-ES" w:eastAsia="en-US"/>
        </w:rPr>
        <w:t>,</w:t>
      </w:r>
      <w:r w:rsidRPr="0021273B">
        <w:rPr>
          <w:rFonts w:eastAsia="Calibri"/>
          <w:sz w:val="26"/>
          <w:szCs w:val="26"/>
          <w:lang w:val="es-ES" w:eastAsia="en-US"/>
        </w:rPr>
        <w:t xml:space="preserve"> éste se ha ubicado incluso por debajo de los 40 dólares por barril.</w:t>
      </w:r>
    </w:p>
    <w:p w14:paraId="2B02594E" w14:textId="2544E6C2" w:rsidR="0021273B" w:rsidRPr="0021273B" w:rsidRDefault="0021273B" w:rsidP="0021273B">
      <w:pPr>
        <w:spacing w:after="360" w:line="360" w:lineRule="auto"/>
        <w:ind w:right="-159"/>
        <w:jc w:val="both"/>
        <w:rPr>
          <w:rFonts w:eastAsia="Calibri"/>
          <w:sz w:val="26"/>
          <w:szCs w:val="26"/>
          <w:lang w:val="es-ES" w:eastAsia="en-US"/>
        </w:rPr>
      </w:pPr>
      <w:r w:rsidRPr="0021273B">
        <w:rPr>
          <w:rFonts w:eastAsia="Calibri"/>
          <w:sz w:val="26"/>
          <w:szCs w:val="26"/>
          <w:lang w:val="es-ES" w:eastAsia="en-US"/>
        </w:rPr>
        <w:t xml:space="preserve">La disminución del valor de las exportaciones petroleras en 2014 generó que la contribución que éstas tuvieron para el crecimiento del valor total de las exportaciones de mercancías, que fue de 4.6% en el año, fuera negativa y de 1.7 puntos porcentuales. En cambio, la aportación al crecimiento de 4.6 puntos porcentuales por parte de las exportaciones no petroleras fue de 6.3 puntos porcentuales. Esto significa que si la contribución de las exportaciones petroleras no hubiera disminuido en 2014 y hubiera registrado una contribución igual a cero, entonces las exportaciones totales de </w:t>
      </w:r>
      <w:r w:rsidRPr="0021273B">
        <w:rPr>
          <w:rFonts w:eastAsia="Calibri"/>
          <w:sz w:val="26"/>
          <w:szCs w:val="26"/>
          <w:lang w:val="es-ES" w:eastAsia="en-US"/>
        </w:rPr>
        <w:lastRenderedPageBreak/>
        <w:t xml:space="preserve">mercancías hubieran registrado una tasa de crecimiento mayor a la observada y de </w:t>
      </w:r>
      <w:r w:rsidR="005C0CDD">
        <w:rPr>
          <w:rFonts w:eastAsia="Calibri"/>
          <w:sz w:val="26"/>
          <w:szCs w:val="26"/>
          <w:lang w:val="es-ES" w:eastAsia="en-US"/>
        </w:rPr>
        <w:t xml:space="preserve">      </w:t>
      </w:r>
      <w:r w:rsidRPr="0021273B">
        <w:rPr>
          <w:rFonts w:eastAsia="Calibri"/>
          <w:sz w:val="26"/>
          <w:szCs w:val="26"/>
          <w:lang w:val="es-ES" w:eastAsia="en-US"/>
        </w:rPr>
        <w:t>6.3 por ciento.</w:t>
      </w:r>
    </w:p>
    <w:tbl>
      <w:tblPr>
        <w:tblW w:w="9209" w:type="dxa"/>
        <w:tblLook w:val="04A0" w:firstRow="1" w:lastRow="0" w:firstColumn="1" w:lastColumn="0" w:noHBand="0" w:noVBand="1"/>
      </w:tblPr>
      <w:tblGrid>
        <w:gridCol w:w="9209"/>
      </w:tblGrid>
      <w:tr w:rsidR="0021273B" w:rsidRPr="0021273B" w14:paraId="19524997" w14:textId="77777777" w:rsidTr="006A662C">
        <w:tc>
          <w:tcPr>
            <w:tcW w:w="9209" w:type="dxa"/>
          </w:tcPr>
          <w:p w14:paraId="1428C9AC"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EXPORTACIONES ANUALES DE MERCANCÍAS EN 2014</w:t>
            </w:r>
          </w:p>
          <w:p w14:paraId="7BCD9822"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-Aportación al crecimiento, puntos porcentuales (pp)-</w:t>
            </w:r>
          </w:p>
        </w:tc>
      </w:tr>
      <w:tr w:rsidR="0021273B" w:rsidRPr="0021273B" w14:paraId="4D51EA46" w14:textId="77777777" w:rsidTr="006A662C">
        <w:tc>
          <w:tcPr>
            <w:tcW w:w="9209" w:type="dxa"/>
          </w:tcPr>
          <w:p w14:paraId="04DDD570" w14:textId="77777777" w:rsidR="0021273B" w:rsidRPr="0021273B" w:rsidRDefault="0021273B" w:rsidP="0021273B">
            <w:pPr>
              <w:jc w:val="center"/>
              <w:rPr>
                <w:rFonts w:eastAsia="Calibri"/>
                <w:sz w:val="22"/>
                <w:szCs w:val="26"/>
                <w:lang w:val="es-ES" w:eastAsia="en-US"/>
              </w:rPr>
            </w:pPr>
            <w:r w:rsidRPr="0021273B">
              <w:rPr>
                <w:rFonts w:eastAsia="Calibri"/>
                <w:noProof/>
                <w:sz w:val="22"/>
                <w:szCs w:val="26"/>
                <w:lang w:eastAsia="es-MX"/>
              </w:rPr>
              <w:drawing>
                <wp:inline distT="0" distB="0" distL="0" distR="0" wp14:anchorId="6B1E017A" wp14:editId="792B9B08">
                  <wp:extent cx="5211592" cy="3240000"/>
                  <wp:effectExtent l="0" t="0" r="0"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5516" b="1224"/>
                          <a:stretch/>
                        </pic:blipFill>
                        <pic:spPr bwMode="auto">
                          <a:xfrm>
                            <a:off x="0" y="0"/>
                            <a:ext cx="5211592" cy="324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1273B" w:rsidRPr="0021273B" w14:paraId="505830E7" w14:textId="77777777" w:rsidTr="006A662C">
        <w:tc>
          <w:tcPr>
            <w:tcW w:w="9209" w:type="dxa"/>
          </w:tcPr>
          <w:p w14:paraId="5A956F4C" w14:textId="77777777" w:rsidR="0021273B" w:rsidRPr="0021273B" w:rsidRDefault="0021273B" w:rsidP="0021273B">
            <w:pPr>
              <w:ind w:firstLine="1021"/>
              <w:jc w:val="both"/>
              <w:rPr>
                <w:rFonts w:eastAsia="Calibri"/>
                <w:sz w:val="20"/>
                <w:szCs w:val="26"/>
                <w:lang w:val="es-ES" w:eastAsia="en-US"/>
              </w:rPr>
            </w:pPr>
            <w:r w:rsidRPr="0021273B">
              <w:rPr>
                <w:rFonts w:eastAsia="Calibri"/>
                <w:sz w:val="20"/>
                <w:szCs w:val="26"/>
                <w:lang w:val="es-ES" w:eastAsia="en-US"/>
              </w:rPr>
              <w:t>Manufactureras incluye automotrices y no automotrices.</w:t>
            </w:r>
          </w:p>
          <w:p w14:paraId="31DB97B8" w14:textId="77777777" w:rsidR="0021273B" w:rsidRPr="0021273B" w:rsidRDefault="0021273B" w:rsidP="0021273B">
            <w:pPr>
              <w:ind w:firstLine="1021"/>
              <w:jc w:val="both"/>
              <w:rPr>
                <w:rFonts w:eastAsia="Calibri"/>
                <w:sz w:val="20"/>
                <w:szCs w:val="26"/>
                <w:lang w:val="es-ES" w:eastAsia="en-US"/>
              </w:rPr>
            </w:pPr>
            <w:r w:rsidRPr="0021273B">
              <w:rPr>
                <w:rFonts w:eastAsia="Calibri"/>
                <w:sz w:val="20"/>
                <w:szCs w:val="26"/>
                <w:lang w:val="es-ES" w:eastAsia="en-US"/>
              </w:rPr>
              <w:t>FUENTE: BBVA Research con información del INEGI.</w:t>
            </w:r>
          </w:p>
        </w:tc>
      </w:tr>
    </w:tbl>
    <w:p w14:paraId="6258FD8F" w14:textId="77777777" w:rsidR="0021273B" w:rsidRPr="0021273B" w:rsidRDefault="0021273B" w:rsidP="0021273B">
      <w:pPr>
        <w:spacing w:after="360" w:line="360" w:lineRule="auto"/>
        <w:ind w:right="-159"/>
        <w:jc w:val="both"/>
        <w:rPr>
          <w:rFonts w:eastAsia="Calibri"/>
          <w:sz w:val="26"/>
          <w:szCs w:val="26"/>
          <w:lang w:val="es-ES" w:eastAsia="en-US"/>
        </w:rPr>
      </w:pPr>
    </w:p>
    <w:p w14:paraId="0B044985" w14:textId="77777777" w:rsidR="0021273B" w:rsidRDefault="0021273B" w:rsidP="0021273B">
      <w:pPr>
        <w:spacing w:after="360" w:line="360" w:lineRule="auto"/>
        <w:ind w:right="-159"/>
        <w:jc w:val="both"/>
        <w:rPr>
          <w:rFonts w:eastAsia="Calibri"/>
          <w:sz w:val="26"/>
          <w:szCs w:val="26"/>
          <w:lang w:val="es-ES" w:eastAsia="en-US"/>
        </w:rPr>
      </w:pPr>
      <w:r w:rsidRPr="0021273B">
        <w:rPr>
          <w:rFonts w:eastAsia="Calibri"/>
          <w:sz w:val="26"/>
          <w:szCs w:val="26"/>
          <w:lang w:val="es-ES" w:eastAsia="en-US"/>
        </w:rPr>
        <w:t>Dentro de las exportaciones no petroleras destaca la contribución de las exportaciones automotrices, pues éstas fueron las que más aportaron al crecimiento de las exportaciones totales con 3.1 puntos porcentuales seguidas de las exportaciones manufactureras no automotrices con 2.9 puntos. Por su parte, la contribución al crecimiento de las exportaciones agropecuarias fue positiva y de 0.3 puntos porcentuales en tanto que la aportación de las exportaciones extractivas no petroleras fue la menor de todas y equivalió a 0.1 punto porcentual (gráfica anterior). El favorable desempeño del conjunto de estos cuatro rubros de exportaciones en 2014 más que compensó el deterioro que tuvieron las exportaciones petroleras.</w:t>
      </w:r>
    </w:p>
    <w:p w14:paraId="339CDEDD" w14:textId="77777777" w:rsidR="00F559D9" w:rsidRPr="0021273B" w:rsidRDefault="00F559D9" w:rsidP="0021273B">
      <w:pPr>
        <w:spacing w:after="360" w:line="360" w:lineRule="auto"/>
        <w:ind w:right="-159"/>
        <w:jc w:val="both"/>
        <w:rPr>
          <w:rFonts w:eastAsia="Calibri"/>
          <w:sz w:val="26"/>
          <w:szCs w:val="26"/>
          <w:lang w:val="es-ES" w:eastAsia="en-US"/>
        </w:rPr>
      </w:pPr>
    </w:p>
    <w:p w14:paraId="3E851C61" w14:textId="77777777" w:rsidR="0021273B" w:rsidRPr="0021273B" w:rsidRDefault="0021273B" w:rsidP="0021273B">
      <w:pPr>
        <w:spacing w:after="360" w:line="360" w:lineRule="auto"/>
        <w:ind w:right="-159"/>
        <w:jc w:val="both"/>
        <w:rPr>
          <w:rFonts w:eastAsia="Calibri"/>
          <w:b/>
          <w:sz w:val="26"/>
          <w:szCs w:val="26"/>
          <w:lang w:val="es-ES" w:eastAsia="en-US"/>
        </w:rPr>
      </w:pPr>
      <w:r w:rsidRPr="0021273B">
        <w:rPr>
          <w:rFonts w:eastAsia="Calibri"/>
          <w:b/>
          <w:sz w:val="26"/>
          <w:szCs w:val="26"/>
          <w:lang w:val="es-ES" w:eastAsia="en-US"/>
        </w:rPr>
        <w:lastRenderedPageBreak/>
        <w:t>3.1.2.3 Importaciones de mercancías</w:t>
      </w:r>
    </w:p>
    <w:p w14:paraId="139E7D66" w14:textId="3752F809" w:rsidR="0021273B" w:rsidRPr="0021273B" w:rsidRDefault="0021273B" w:rsidP="0021273B">
      <w:pPr>
        <w:spacing w:after="360" w:line="360" w:lineRule="auto"/>
        <w:ind w:right="-159"/>
        <w:jc w:val="both"/>
        <w:rPr>
          <w:rFonts w:eastAsia="Calibri"/>
          <w:sz w:val="26"/>
          <w:szCs w:val="26"/>
          <w:lang w:val="es-ES" w:eastAsia="en-US"/>
        </w:rPr>
      </w:pPr>
      <w:r w:rsidRPr="0021273B">
        <w:rPr>
          <w:rFonts w:eastAsia="Calibri"/>
          <w:sz w:val="26"/>
          <w:szCs w:val="26"/>
          <w:lang w:val="es-ES" w:eastAsia="en-US"/>
        </w:rPr>
        <w:t>Por su parte, en 2014</w:t>
      </w:r>
      <w:r w:rsidR="00D63928">
        <w:rPr>
          <w:rFonts w:eastAsia="Calibri"/>
          <w:sz w:val="26"/>
          <w:szCs w:val="26"/>
          <w:lang w:val="es-ES" w:eastAsia="en-US"/>
        </w:rPr>
        <w:t>,</w:t>
      </w:r>
      <w:r w:rsidRPr="0021273B">
        <w:rPr>
          <w:rFonts w:eastAsia="Calibri"/>
          <w:sz w:val="26"/>
          <w:szCs w:val="26"/>
          <w:lang w:val="es-ES" w:eastAsia="en-US"/>
        </w:rPr>
        <w:t xml:space="preserve"> la tasa de crecimiento de las importaciones de mercancías fue de 4.9%, y ésta fue mayor a la de 2.8% que éstas registraron en 2013 (gráfica siguiente). En 2014</w:t>
      </w:r>
      <w:r w:rsidR="00D63928">
        <w:rPr>
          <w:rFonts w:eastAsia="Calibri"/>
          <w:sz w:val="26"/>
          <w:szCs w:val="26"/>
          <w:lang w:val="es-ES" w:eastAsia="en-US"/>
        </w:rPr>
        <w:t>,</w:t>
      </w:r>
      <w:r w:rsidRPr="0021273B">
        <w:rPr>
          <w:rFonts w:eastAsia="Calibri"/>
          <w:sz w:val="26"/>
          <w:szCs w:val="26"/>
          <w:lang w:val="es-ES" w:eastAsia="en-US"/>
        </w:rPr>
        <w:t xml:space="preserve"> el dinamismo de las importaciones se concentró en las importaciones de bienes intermedios, mientras que el bajo ritmo de crecimiento que registraron las importaciones de bienes de consumo (1.7%) y las de bienes de capital (1.5%) reflejaron el reducido dinamismo tanto del consumo interno como de la inversión en el país. En este sentido, la tasa de crecimiento de 6.0% anual que las importaciones de bienes intermedios registraron en 2014 señala que gran parte de estas compras al exterior se canalizaron para incorporarse a productos exportados, como es el caso de los productos manufactureros.</w:t>
      </w:r>
    </w:p>
    <w:tbl>
      <w:tblPr>
        <w:tblW w:w="9209" w:type="dxa"/>
        <w:tblLook w:val="04A0" w:firstRow="1" w:lastRow="0" w:firstColumn="1" w:lastColumn="0" w:noHBand="0" w:noVBand="1"/>
      </w:tblPr>
      <w:tblGrid>
        <w:gridCol w:w="9209"/>
      </w:tblGrid>
      <w:tr w:rsidR="0021273B" w:rsidRPr="0021273B" w14:paraId="6B2FB723" w14:textId="77777777" w:rsidTr="006A662C">
        <w:tc>
          <w:tcPr>
            <w:tcW w:w="9209" w:type="dxa"/>
          </w:tcPr>
          <w:p w14:paraId="423D6275"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IMPORTACIONES ANUALES DE MERCANCÍAS POR TIPO</w:t>
            </w:r>
          </w:p>
          <w:p w14:paraId="47F70961"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-Variación porcentual anual-</w:t>
            </w:r>
          </w:p>
        </w:tc>
      </w:tr>
      <w:tr w:rsidR="0021273B" w:rsidRPr="0021273B" w14:paraId="0D8B6CAE" w14:textId="77777777" w:rsidTr="006A662C">
        <w:tc>
          <w:tcPr>
            <w:tcW w:w="9209" w:type="dxa"/>
          </w:tcPr>
          <w:p w14:paraId="20919EF2" w14:textId="77777777" w:rsidR="0021273B" w:rsidRPr="0021273B" w:rsidRDefault="0021273B" w:rsidP="0021273B">
            <w:pPr>
              <w:jc w:val="center"/>
              <w:rPr>
                <w:rFonts w:eastAsia="Calibri"/>
                <w:sz w:val="22"/>
                <w:szCs w:val="26"/>
                <w:lang w:val="es-ES" w:eastAsia="en-US"/>
              </w:rPr>
            </w:pPr>
            <w:r w:rsidRPr="0021273B">
              <w:rPr>
                <w:rFonts w:eastAsia="Calibri"/>
                <w:noProof/>
                <w:sz w:val="22"/>
                <w:szCs w:val="26"/>
                <w:lang w:eastAsia="es-MX"/>
              </w:rPr>
              <w:drawing>
                <wp:inline distT="0" distB="0" distL="0" distR="0" wp14:anchorId="18E76989" wp14:editId="00C86857">
                  <wp:extent cx="5303108" cy="3240000"/>
                  <wp:effectExtent l="0" t="0" r="0"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6584" b="1767"/>
                          <a:stretch/>
                        </pic:blipFill>
                        <pic:spPr bwMode="auto">
                          <a:xfrm>
                            <a:off x="0" y="0"/>
                            <a:ext cx="5303108" cy="324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1273B" w:rsidRPr="0021273B" w14:paraId="5DEC1615" w14:textId="77777777" w:rsidTr="006A662C">
        <w:tc>
          <w:tcPr>
            <w:tcW w:w="9209" w:type="dxa"/>
          </w:tcPr>
          <w:p w14:paraId="38D4FC9E" w14:textId="77777777" w:rsidR="0021273B" w:rsidRPr="0021273B" w:rsidRDefault="0021273B" w:rsidP="0021273B">
            <w:pPr>
              <w:ind w:firstLine="1021"/>
              <w:jc w:val="both"/>
              <w:rPr>
                <w:rFonts w:eastAsia="Calibri"/>
                <w:sz w:val="20"/>
                <w:szCs w:val="26"/>
                <w:lang w:val="es-ES" w:eastAsia="en-US"/>
              </w:rPr>
            </w:pPr>
            <w:r w:rsidRPr="0021273B">
              <w:rPr>
                <w:rFonts w:eastAsia="Calibri"/>
                <w:sz w:val="20"/>
                <w:szCs w:val="26"/>
                <w:lang w:val="es-ES" w:eastAsia="en-US"/>
              </w:rPr>
              <w:t>FUENTE: BBVA Research con información del INEGI.</w:t>
            </w:r>
          </w:p>
        </w:tc>
      </w:tr>
    </w:tbl>
    <w:p w14:paraId="451817EB" w14:textId="77777777" w:rsidR="0021273B" w:rsidRPr="0021273B" w:rsidRDefault="0021273B" w:rsidP="0021273B">
      <w:pPr>
        <w:spacing w:after="360" w:line="360" w:lineRule="auto"/>
        <w:ind w:right="-159"/>
        <w:jc w:val="both"/>
        <w:rPr>
          <w:rFonts w:eastAsia="Calibri"/>
          <w:sz w:val="26"/>
          <w:szCs w:val="26"/>
          <w:lang w:val="es-ES" w:eastAsia="en-US"/>
        </w:rPr>
      </w:pPr>
    </w:p>
    <w:p w14:paraId="485A689D" w14:textId="2710B863" w:rsidR="0021273B" w:rsidRPr="0021273B" w:rsidRDefault="0021273B" w:rsidP="0021273B">
      <w:pPr>
        <w:spacing w:after="360" w:line="360" w:lineRule="auto"/>
        <w:ind w:right="-159"/>
        <w:jc w:val="both"/>
        <w:rPr>
          <w:rFonts w:eastAsia="Calibri"/>
          <w:sz w:val="26"/>
          <w:szCs w:val="26"/>
          <w:lang w:val="es-ES" w:eastAsia="en-US"/>
        </w:rPr>
      </w:pPr>
      <w:r w:rsidRPr="0021273B">
        <w:rPr>
          <w:rFonts w:eastAsia="Calibri"/>
          <w:sz w:val="26"/>
          <w:szCs w:val="26"/>
          <w:lang w:val="es-ES" w:eastAsia="en-US"/>
        </w:rPr>
        <w:lastRenderedPageBreak/>
        <w:t xml:space="preserve">Así, las importaciones de bienes intermedios fueron los que tuvieron la mayor contribución a las importaciones totales de mercancías en 2014 con 4.5 puntos porcentuales de los 4.9 puntos en que las importaciones totales crecieron (gráfica siguiente). Por otro lado, el rubro de bienes de consumo tuvo una aportación limitada de 0.3 puntos porcentuales al igual que las importaciones de bienes de capital </w:t>
      </w:r>
      <w:r w:rsidR="0069160A">
        <w:rPr>
          <w:rFonts w:eastAsia="Calibri"/>
          <w:sz w:val="26"/>
          <w:szCs w:val="26"/>
          <w:lang w:val="es-ES" w:eastAsia="en-US"/>
        </w:rPr>
        <w:t xml:space="preserve">                </w:t>
      </w:r>
      <w:r w:rsidRPr="0021273B">
        <w:rPr>
          <w:rFonts w:eastAsia="Calibri"/>
          <w:sz w:val="26"/>
          <w:szCs w:val="26"/>
          <w:lang w:val="es-ES" w:eastAsia="en-US"/>
        </w:rPr>
        <w:t>(0.2 puntos porcentuales). En un contexto de mayor dinamismo de la economía del país se esperaría un repunte en las importaciones de bienes de consumo y de bienes de capital.</w:t>
      </w:r>
    </w:p>
    <w:tbl>
      <w:tblPr>
        <w:tblW w:w="9209" w:type="dxa"/>
        <w:tblLook w:val="04A0" w:firstRow="1" w:lastRow="0" w:firstColumn="1" w:lastColumn="0" w:noHBand="0" w:noVBand="1"/>
      </w:tblPr>
      <w:tblGrid>
        <w:gridCol w:w="9209"/>
      </w:tblGrid>
      <w:tr w:rsidR="0021273B" w:rsidRPr="0021273B" w14:paraId="7EAE7EEB" w14:textId="77777777" w:rsidTr="006A662C">
        <w:tc>
          <w:tcPr>
            <w:tcW w:w="9209" w:type="dxa"/>
          </w:tcPr>
          <w:p w14:paraId="4F6C2B7F"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IMPORTACIONES ANUALES DE MERCANCÍAS EN 2014</w:t>
            </w:r>
          </w:p>
          <w:p w14:paraId="03CD8686"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-Aportación al crecimiento, pp-</w:t>
            </w:r>
          </w:p>
        </w:tc>
      </w:tr>
      <w:tr w:rsidR="0021273B" w:rsidRPr="0021273B" w14:paraId="70113F8F" w14:textId="77777777" w:rsidTr="006A662C">
        <w:tc>
          <w:tcPr>
            <w:tcW w:w="9209" w:type="dxa"/>
          </w:tcPr>
          <w:p w14:paraId="0747FF13" w14:textId="77777777" w:rsidR="0021273B" w:rsidRPr="0021273B" w:rsidRDefault="0021273B" w:rsidP="0021273B">
            <w:pPr>
              <w:jc w:val="center"/>
              <w:rPr>
                <w:rFonts w:eastAsia="Calibri"/>
                <w:sz w:val="22"/>
                <w:szCs w:val="26"/>
                <w:lang w:val="es-ES" w:eastAsia="en-US"/>
              </w:rPr>
            </w:pPr>
            <w:r w:rsidRPr="0021273B">
              <w:rPr>
                <w:rFonts w:eastAsia="Calibri"/>
                <w:noProof/>
                <w:sz w:val="22"/>
                <w:szCs w:val="26"/>
                <w:lang w:eastAsia="es-MX"/>
              </w:rPr>
              <w:drawing>
                <wp:inline distT="0" distB="0" distL="0" distR="0" wp14:anchorId="23579498" wp14:editId="0327A6A3">
                  <wp:extent cx="4973595" cy="2980514"/>
                  <wp:effectExtent l="0" t="0" r="0"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t="9076" b="1029"/>
                          <a:stretch/>
                        </pic:blipFill>
                        <pic:spPr bwMode="auto">
                          <a:xfrm>
                            <a:off x="0" y="0"/>
                            <a:ext cx="4975793" cy="298183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1273B" w:rsidRPr="0021273B" w14:paraId="4D15B591" w14:textId="77777777" w:rsidTr="006A662C">
        <w:tc>
          <w:tcPr>
            <w:tcW w:w="9209" w:type="dxa"/>
          </w:tcPr>
          <w:p w14:paraId="60C051F9" w14:textId="77777777" w:rsidR="0021273B" w:rsidRPr="0021273B" w:rsidRDefault="0021273B" w:rsidP="0021273B">
            <w:pPr>
              <w:ind w:firstLine="1021"/>
              <w:jc w:val="both"/>
              <w:rPr>
                <w:rFonts w:eastAsia="Calibri"/>
                <w:sz w:val="20"/>
                <w:szCs w:val="26"/>
                <w:lang w:val="es-ES" w:eastAsia="en-US"/>
              </w:rPr>
            </w:pPr>
            <w:r w:rsidRPr="0021273B">
              <w:rPr>
                <w:rFonts w:eastAsia="Calibri"/>
                <w:sz w:val="20"/>
                <w:szCs w:val="26"/>
                <w:lang w:val="es-ES" w:eastAsia="en-US"/>
              </w:rPr>
              <w:t>FUENTE: BBVA Research con información del INEGI.</w:t>
            </w:r>
          </w:p>
        </w:tc>
      </w:tr>
    </w:tbl>
    <w:p w14:paraId="54E35C08" w14:textId="77777777" w:rsidR="0021273B" w:rsidRPr="0021273B" w:rsidRDefault="0021273B" w:rsidP="0069160A">
      <w:pPr>
        <w:spacing w:after="360"/>
        <w:ind w:right="-159"/>
        <w:jc w:val="both"/>
        <w:rPr>
          <w:rFonts w:eastAsia="Calibri"/>
          <w:sz w:val="26"/>
          <w:szCs w:val="26"/>
          <w:lang w:val="es-ES" w:eastAsia="en-US"/>
        </w:rPr>
      </w:pPr>
    </w:p>
    <w:p w14:paraId="314E8F60" w14:textId="77777777" w:rsidR="0021273B" w:rsidRPr="0021273B" w:rsidRDefault="0021273B" w:rsidP="0021273B">
      <w:pPr>
        <w:spacing w:after="360" w:line="360" w:lineRule="auto"/>
        <w:ind w:right="-159"/>
        <w:jc w:val="both"/>
        <w:rPr>
          <w:rFonts w:eastAsia="Calibri"/>
          <w:b/>
          <w:sz w:val="26"/>
          <w:szCs w:val="26"/>
          <w:lang w:val="es-ES" w:eastAsia="en-US"/>
        </w:rPr>
      </w:pPr>
      <w:r w:rsidRPr="0021273B">
        <w:rPr>
          <w:rFonts w:eastAsia="Calibri"/>
          <w:b/>
          <w:sz w:val="26"/>
          <w:szCs w:val="26"/>
          <w:lang w:val="es-ES" w:eastAsia="en-US"/>
        </w:rPr>
        <w:t>3.1.2.4 Déficit de la balanza comercial</w:t>
      </w:r>
    </w:p>
    <w:p w14:paraId="2DDF2201" w14:textId="050230AA" w:rsidR="0021273B" w:rsidRPr="0021273B" w:rsidRDefault="0021273B" w:rsidP="0021273B">
      <w:pPr>
        <w:spacing w:after="360" w:line="360" w:lineRule="auto"/>
        <w:ind w:right="-159"/>
        <w:jc w:val="both"/>
        <w:rPr>
          <w:rFonts w:eastAsia="Calibri"/>
          <w:sz w:val="26"/>
          <w:szCs w:val="26"/>
          <w:lang w:val="es-ES" w:eastAsia="en-US"/>
        </w:rPr>
      </w:pPr>
      <w:r w:rsidRPr="0021273B">
        <w:rPr>
          <w:rFonts w:eastAsia="Calibri"/>
          <w:sz w:val="26"/>
          <w:szCs w:val="26"/>
          <w:lang w:val="es-ES" w:eastAsia="en-US"/>
        </w:rPr>
        <w:t>El saldo de la balanza comercial de 2014 fue deficitario por 2 mil 441 millones de dólares, el cual fue más del doble del déficit de 1 mil 184 millones de dólares que esta cuenta reportó en 2013 (gráfica siguiente). Como se comentó, el déficit de la balanza comercial en gran medida se puede explicar por la disminución que las exportaciones de petróleo crudo registraron en 2014 en relación con 2013. Por ejemplo, en 2014</w:t>
      </w:r>
      <w:r w:rsidR="00D63928">
        <w:rPr>
          <w:rFonts w:eastAsia="Calibri"/>
          <w:sz w:val="26"/>
          <w:szCs w:val="26"/>
          <w:lang w:val="es-ES" w:eastAsia="en-US"/>
        </w:rPr>
        <w:t>,</w:t>
      </w:r>
      <w:r w:rsidRPr="0021273B">
        <w:rPr>
          <w:rFonts w:eastAsia="Calibri"/>
          <w:sz w:val="26"/>
          <w:szCs w:val="26"/>
          <w:lang w:val="es-ES" w:eastAsia="en-US"/>
        </w:rPr>
        <w:t xml:space="preserve"> el </w:t>
      </w:r>
      <w:r w:rsidRPr="0021273B">
        <w:rPr>
          <w:rFonts w:eastAsia="Calibri"/>
          <w:sz w:val="26"/>
          <w:szCs w:val="26"/>
          <w:lang w:val="es-ES" w:eastAsia="en-US"/>
        </w:rPr>
        <w:lastRenderedPageBreak/>
        <w:t>monto total de las exportaciones de petróleo ascendió a 36.2 mil millones de dólares (mmd), en tanto que en 2013 éstas fueron mayores y de 42.7 mil millones de dólares. Es decir, el valor de las exportaciones de petróleo crudo se redujo en casi 6.5 mil millones de dólares (15.2%) en 2014.</w:t>
      </w:r>
    </w:p>
    <w:tbl>
      <w:tblPr>
        <w:tblW w:w="9209" w:type="dxa"/>
        <w:tblLook w:val="04A0" w:firstRow="1" w:lastRow="0" w:firstColumn="1" w:lastColumn="0" w:noHBand="0" w:noVBand="1"/>
      </w:tblPr>
      <w:tblGrid>
        <w:gridCol w:w="9209"/>
      </w:tblGrid>
      <w:tr w:rsidR="0021273B" w:rsidRPr="0021273B" w14:paraId="2517CD12" w14:textId="77777777" w:rsidTr="006A662C">
        <w:tc>
          <w:tcPr>
            <w:tcW w:w="9209" w:type="dxa"/>
          </w:tcPr>
          <w:p w14:paraId="642848D1"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SALDO ANUAL DE LA BALANZA COMERCIAL</w:t>
            </w:r>
          </w:p>
          <w:p w14:paraId="787E6C90"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-Millones de dólares-</w:t>
            </w:r>
          </w:p>
        </w:tc>
      </w:tr>
      <w:tr w:rsidR="0021273B" w:rsidRPr="0021273B" w14:paraId="6050916A" w14:textId="77777777" w:rsidTr="006A662C">
        <w:tc>
          <w:tcPr>
            <w:tcW w:w="9209" w:type="dxa"/>
          </w:tcPr>
          <w:p w14:paraId="1D22EFA7" w14:textId="77777777" w:rsidR="0021273B" w:rsidRPr="0021273B" w:rsidRDefault="0021273B" w:rsidP="0021273B">
            <w:pPr>
              <w:jc w:val="center"/>
              <w:rPr>
                <w:rFonts w:eastAsia="Calibri"/>
                <w:sz w:val="22"/>
                <w:szCs w:val="26"/>
                <w:lang w:val="es-ES" w:eastAsia="en-US"/>
              </w:rPr>
            </w:pPr>
            <w:r w:rsidRPr="0021273B">
              <w:rPr>
                <w:rFonts w:eastAsia="Calibri"/>
                <w:noProof/>
                <w:sz w:val="22"/>
                <w:szCs w:val="26"/>
                <w:lang w:eastAsia="es-MX"/>
              </w:rPr>
              <w:drawing>
                <wp:inline distT="0" distB="0" distL="0" distR="0" wp14:anchorId="1167363C" wp14:editId="3F98532B">
                  <wp:extent cx="5107166" cy="3060000"/>
                  <wp:effectExtent l="0" t="0" r="0" b="762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8362" b="1758"/>
                          <a:stretch/>
                        </pic:blipFill>
                        <pic:spPr bwMode="auto">
                          <a:xfrm>
                            <a:off x="0" y="0"/>
                            <a:ext cx="5107166" cy="30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1273B" w:rsidRPr="0021273B" w14:paraId="029043B2" w14:textId="77777777" w:rsidTr="006A662C">
        <w:tc>
          <w:tcPr>
            <w:tcW w:w="9209" w:type="dxa"/>
          </w:tcPr>
          <w:p w14:paraId="0DE76EBF" w14:textId="77777777" w:rsidR="0021273B" w:rsidRPr="0021273B" w:rsidRDefault="0021273B" w:rsidP="0021273B">
            <w:pPr>
              <w:ind w:firstLine="1021"/>
              <w:jc w:val="both"/>
              <w:rPr>
                <w:rFonts w:eastAsia="Calibri"/>
                <w:sz w:val="20"/>
                <w:szCs w:val="26"/>
                <w:lang w:val="es-ES" w:eastAsia="en-US"/>
              </w:rPr>
            </w:pPr>
            <w:r w:rsidRPr="0021273B">
              <w:rPr>
                <w:rFonts w:eastAsia="Calibri"/>
                <w:sz w:val="20"/>
                <w:szCs w:val="26"/>
                <w:lang w:val="es-ES" w:eastAsia="en-US"/>
              </w:rPr>
              <w:t>FUENTE: BBVA Research con información del INEGI.</w:t>
            </w:r>
          </w:p>
        </w:tc>
      </w:tr>
    </w:tbl>
    <w:p w14:paraId="7381C0E1" w14:textId="77777777" w:rsidR="0021273B" w:rsidRPr="0021273B" w:rsidRDefault="0021273B" w:rsidP="0021273B">
      <w:pPr>
        <w:spacing w:after="360" w:line="360" w:lineRule="auto"/>
        <w:ind w:right="-159"/>
        <w:jc w:val="both"/>
        <w:rPr>
          <w:rFonts w:eastAsia="Calibri"/>
          <w:sz w:val="26"/>
          <w:szCs w:val="26"/>
          <w:lang w:val="es-ES" w:eastAsia="en-US"/>
        </w:rPr>
      </w:pPr>
    </w:p>
    <w:p w14:paraId="53D160F0" w14:textId="77777777" w:rsidR="0021273B" w:rsidRPr="0021273B" w:rsidRDefault="0021273B" w:rsidP="0021273B">
      <w:pPr>
        <w:spacing w:after="360" w:line="360" w:lineRule="auto"/>
        <w:ind w:right="-159"/>
        <w:jc w:val="both"/>
        <w:rPr>
          <w:rFonts w:eastAsia="Calibri"/>
          <w:sz w:val="26"/>
          <w:szCs w:val="26"/>
          <w:lang w:val="es-ES" w:eastAsia="en-US"/>
        </w:rPr>
      </w:pPr>
      <w:r w:rsidRPr="0021273B">
        <w:rPr>
          <w:rFonts w:eastAsia="Calibri"/>
          <w:sz w:val="26"/>
          <w:szCs w:val="26"/>
          <w:lang w:val="es-ES" w:eastAsia="en-US"/>
        </w:rPr>
        <w:t>El monto en que disminuyeron los ingresos de las exportaciones de petróleo crudo en 2014 es 2.7 veces mayor al saldo deficitario de la balanza comercial, lo que señala que la debilidad de las exportaciones petroleras del país, de continuar, pudiera derivar en déficit mayores a los que hemos visto en los últimos años en la balanza comercial.</w:t>
      </w:r>
    </w:p>
    <w:p w14:paraId="2280C901" w14:textId="77777777" w:rsidR="0021273B" w:rsidRDefault="0021273B" w:rsidP="0021273B">
      <w:pPr>
        <w:spacing w:after="360" w:line="360" w:lineRule="auto"/>
        <w:ind w:right="-159"/>
        <w:jc w:val="both"/>
        <w:rPr>
          <w:rFonts w:eastAsia="Calibri"/>
          <w:sz w:val="26"/>
          <w:szCs w:val="26"/>
          <w:lang w:val="es-ES" w:eastAsia="en-US"/>
        </w:rPr>
      </w:pPr>
    </w:p>
    <w:p w14:paraId="1BA3E734" w14:textId="77777777" w:rsidR="006243F1" w:rsidRDefault="006243F1" w:rsidP="0021273B">
      <w:pPr>
        <w:spacing w:after="360" w:line="360" w:lineRule="auto"/>
        <w:ind w:right="-159"/>
        <w:jc w:val="both"/>
        <w:rPr>
          <w:rFonts w:eastAsia="Calibri"/>
          <w:sz w:val="26"/>
          <w:szCs w:val="26"/>
          <w:lang w:val="es-ES" w:eastAsia="en-US"/>
        </w:rPr>
      </w:pPr>
    </w:p>
    <w:p w14:paraId="79E97AF9" w14:textId="77777777" w:rsidR="006243F1" w:rsidRPr="0021273B" w:rsidRDefault="006243F1" w:rsidP="0021273B">
      <w:pPr>
        <w:spacing w:after="360" w:line="360" w:lineRule="auto"/>
        <w:ind w:right="-159"/>
        <w:jc w:val="both"/>
        <w:rPr>
          <w:rFonts w:eastAsia="Calibri"/>
          <w:sz w:val="26"/>
          <w:szCs w:val="26"/>
          <w:lang w:val="es-ES" w:eastAsia="en-US"/>
        </w:rPr>
      </w:pPr>
    </w:p>
    <w:p w14:paraId="41AC01D5" w14:textId="77777777" w:rsidR="0021273B" w:rsidRPr="0021273B" w:rsidRDefault="0021273B" w:rsidP="00F559D9">
      <w:pPr>
        <w:spacing w:after="240"/>
        <w:ind w:right="-159"/>
        <w:jc w:val="both"/>
        <w:rPr>
          <w:rFonts w:eastAsia="Calibri"/>
          <w:sz w:val="26"/>
          <w:szCs w:val="26"/>
          <w:lang w:val="es-ES" w:eastAsia="en-US"/>
        </w:rPr>
      </w:pPr>
    </w:p>
    <w:tbl>
      <w:tblPr>
        <w:tblW w:w="9209" w:type="dxa"/>
        <w:tblLook w:val="04A0" w:firstRow="1" w:lastRow="0" w:firstColumn="1" w:lastColumn="0" w:noHBand="0" w:noVBand="1"/>
      </w:tblPr>
      <w:tblGrid>
        <w:gridCol w:w="9209"/>
      </w:tblGrid>
      <w:tr w:rsidR="0021273B" w:rsidRPr="0021273B" w14:paraId="280BDC7E" w14:textId="77777777" w:rsidTr="006A662C">
        <w:tc>
          <w:tcPr>
            <w:tcW w:w="9209" w:type="dxa"/>
          </w:tcPr>
          <w:p w14:paraId="7ECF1361"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SALDO MENSUAL DE LA BALANZA COMERCIAL</w:t>
            </w:r>
          </w:p>
          <w:p w14:paraId="6927699F"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-Miles de millones de dólares-</w:t>
            </w:r>
          </w:p>
        </w:tc>
      </w:tr>
      <w:tr w:rsidR="0021273B" w:rsidRPr="0021273B" w14:paraId="00CD335C" w14:textId="77777777" w:rsidTr="006A662C">
        <w:tc>
          <w:tcPr>
            <w:tcW w:w="9209" w:type="dxa"/>
          </w:tcPr>
          <w:p w14:paraId="6A169E8B" w14:textId="1715051D" w:rsidR="0021273B" w:rsidRPr="0021273B" w:rsidRDefault="008D29D8" w:rsidP="0021273B">
            <w:pPr>
              <w:jc w:val="center"/>
              <w:rPr>
                <w:rFonts w:eastAsia="Calibri"/>
                <w:sz w:val="22"/>
                <w:szCs w:val="26"/>
                <w:lang w:val="es-ES" w:eastAsia="en-US"/>
              </w:rPr>
            </w:pPr>
            <w:r w:rsidRPr="00534A39">
              <w:rPr>
                <w:noProof/>
                <w:szCs w:val="26"/>
                <w:lang w:eastAsia="es-MX"/>
              </w:rPr>
              <w:drawing>
                <wp:inline distT="0" distB="0" distL="0" distR="0" wp14:anchorId="1C71EEFF" wp14:editId="59EA6EB9">
                  <wp:extent cx="4595393" cy="3240000"/>
                  <wp:effectExtent l="0" t="0" r="0" b="0"/>
                  <wp:docPr id="176" name="Imagen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t="3050" b="1434"/>
                          <a:stretch/>
                        </pic:blipFill>
                        <pic:spPr bwMode="auto">
                          <a:xfrm>
                            <a:off x="0" y="0"/>
                            <a:ext cx="4595393" cy="324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1273B" w:rsidRPr="0021273B" w14:paraId="0EE64123" w14:textId="77777777" w:rsidTr="006A662C">
        <w:tc>
          <w:tcPr>
            <w:tcW w:w="9209" w:type="dxa"/>
          </w:tcPr>
          <w:p w14:paraId="5B38035F" w14:textId="77777777" w:rsidR="0021273B" w:rsidRPr="0021273B" w:rsidRDefault="0021273B" w:rsidP="0021273B">
            <w:pPr>
              <w:ind w:firstLine="1021"/>
              <w:jc w:val="both"/>
              <w:rPr>
                <w:rFonts w:eastAsia="Calibri"/>
                <w:sz w:val="20"/>
                <w:szCs w:val="26"/>
                <w:lang w:val="es-ES" w:eastAsia="en-US"/>
              </w:rPr>
            </w:pPr>
            <w:r w:rsidRPr="0021273B">
              <w:rPr>
                <w:rFonts w:eastAsia="Calibri"/>
                <w:sz w:val="20"/>
                <w:szCs w:val="26"/>
                <w:lang w:val="es-ES" w:eastAsia="en-US"/>
              </w:rPr>
              <w:t>FUENTE: BBVA Research con información del INEGI.</w:t>
            </w:r>
          </w:p>
        </w:tc>
      </w:tr>
    </w:tbl>
    <w:p w14:paraId="325D90B1" w14:textId="77777777" w:rsidR="0021273B" w:rsidRPr="0021273B" w:rsidRDefault="0021273B" w:rsidP="0021273B">
      <w:pPr>
        <w:spacing w:after="360" w:line="360" w:lineRule="auto"/>
        <w:ind w:right="-159"/>
        <w:jc w:val="both"/>
        <w:rPr>
          <w:rFonts w:eastAsia="Calibri"/>
          <w:sz w:val="26"/>
          <w:szCs w:val="26"/>
          <w:lang w:val="es-ES" w:eastAsia="en-US"/>
        </w:rPr>
      </w:pPr>
    </w:p>
    <w:p w14:paraId="4A8499E3" w14:textId="77777777" w:rsidR="0021273B" w:rsidRPr="0021273B" w:rsidRDefault="0021273B" w:rsidP="0021273B">
      <w:pPr>
        <w:spacing w:after="360"/>
        <w:ind w:left="624" w:right="-159" w:hanging="624"/>
        <w:jc w:val="both"/>
        <w:rPr>
          <w:rFonts w:eastAsia="Calibri"/>
          <w:b/>
          <w:sz w:val="26"/>
          <w:szCs w:val="26"/>
          <w:lang w:val="es-ES" w:eastAsia="en-US"/>
        </w:rPr>
      </w:pPr>
      <w:r w:rsidRPr="0021273B">
        <w:rPr>
          <w:rFonts w:eastAsia="Calibri"/>
          <w:b/>
          <w:sz w:val="26"/>
          <w:szCs w:val="26"/>
          <w:lang w:val="es-ES" w:eastAsia="en-US"/>
        </w:rPr>
        <w:t>3.1.3 Empleo en el IMSS: aumenta sustancialmente el número de trabajadores registrados en 2014</w:t>
      </w:r>
    </w:p>
    <w:p w14:paraId="5C106D29" w14:textId="77777777" w:rsidR="0021273B" w:rsidRPr="0021273B" w:rsidRDefault="0021273B" w:rsidP="0021273B">
      <w:pPr>
        <w:spacing w:after="360"/>
        <w:ind w:left="851" w:right="-159" w:hanging="851"/>
        <w:jc w:val="both"/>
        <w:rPr>
          <w:rFonts w:eastAsia="Calibri"/>
          <w:b/>
          <w:sz w:val="26"/>
          <w:szCs w:val="26"/>
          <w:lang w:val="es-ES" w:eastAsia="en-US"/>
        </w:rPr>
      </w:pPr>
      <w:r w:rsidRPr="0021273B">
        <w:rPr>
          <w:rFonts w:eastAsia="Calibri"/>
          <w:b/>
          <w:sz w:val="26"/>
          <w:szCs w:val="26"/>
          <w:lang w:val="es-ES" w:eastAsia="en-US"/>
        </w:rPr>
        <w:t>3.1.3.1 Desempeño reciente de los empleados privados registrados a la seguridad social</w:t>
      </w:r>
    </w:p>
    <w:p w14:paraId="7D38939C" w14:textId="65BFFB92" w:rsidR="0021273B" w:rsidRPr="0021273B" w:rsidRDefault="0021273B" w:rsidP="0021273B">
      <w:pPr>
        <w:spacing w:after="360" w:line="360" w:lineRule="auto"/>
        <w:ind w:right="-159"/>
        <w:jc w:val="both"/>
        <w:rPr>
          <w:rFonts w:eastAsia="Calibri"/>
          <w:sz w:val="26"/>
          <w:szCs w:val="26"/>
          <w:lang w:val="es-ES" w:eastAsia="en-US"/>
        </w:rPr>
      </w:pPr>
      <w:r w:rsidRPr="0021273B">
        <w:rPr>
          <w:rFonts w:eastAsia="Calibri"/>
          <w:sz w:val="26"/>
          <w:szCs w:val="26"/>
          <w:lang w:val="es-ES" w:eastAsia="en-US"/>
        </w:rPr>
        <w:t>En 2014</w:t>
      </w:r>
      <w:r w:rsidR="00D63928">
        <w:rPr>
          <w:rFonts w:eastAsia="Calibri"/>
          <w:sz w:val="26"/>
          <w:szCs w:val="26"/>
          <w:lang w:val="es-ES" w:eastAsia="en-US"/>
        </w:rPr>
        <w:t>,</w:t>
      </w:r>
      <w:r w:rsidRPr="0021273B">
        <w:rPr>
          <w:rFonts w:eastAsia="Calibri"/>
          <w:sz w:val="26"/>
          <w:szCs w:val="26"/>
          <w:lang w:val="es-ES" w:eastAsia="en-US"/>
        </w:rPr>
        <w:t xml:space="preserve"> el número total de trabajadores afiliados al IMSS aumentó en 714 mil 526 personas en relación </w:t>
      </w:r>
      <w:r w:rsidR="00D63928">
        <w:rPr>
          <w:rFonts w:eastAsia="Calibri"/>
          <w:sz w:val="26"/>
          <w:szCs w:val="26"/>
          <w:lang w:val="es-ES" w:eastAsia="en-US"/>
        </w:rPr>
        <w:t>con e</w:t>
      </w:r>
      <w:r w:rsidRPr="0021273B">
        <w:rPr>
          <w:rFonts w:eastAsia="Calibri"/>
          <w:sz w:val="26"/>
          <w:szCs w:val="26"/>
          <w:lang w:val="es-ES" w:eastAsia="en-US"/>
        </w:rPr>
        <w:t>l año anterior (gráfica siguiente). El 74.5% de este aumento se dio en trabajadores que cuentan con un contrato laboral permanente y el 25.5% restante provino de trabajadores que tienen un contrato de trabajo eventual o por tiempo definido. Cabe señalar que el número total de trabajadores registrados en el IMSS representa el trabajo formal creado por el sector privado.</w:t>
      </w:r>
    </w:p>
    <w:p w14:paraId="7E83C014" w14:textId="77777777" w:rsidR="0021273B" w:rsidRPr="0021273B" w:rsidRDefault="0021273B" w:rsidP="0021273B">
      <w:pPr>
        <w:spacing w:after="360" w:line="360" w:lineRule="auto"/>
        <w:ind w:right="-159"/>
        <w:jc w:val="both"/>
        <w:rPr>
          <w:rFonts w:eastAsia="Calibri"/>
          <w:sz w:val="26"/>
          <w:szCs w:val="26"/>
          <w:lang w:val="es-ES" w:eastAsia="en-US"/>
        </w:rPr>
      </w:pPr>
    </w:p>
    <w:p w14:paraId="1F6CBB93" w14:textId="77777777" w:rsidR="0021273B" w:rsidRPr="0021273B" w:rsidRDefault="0021273B" w:rsidP="00F559D9">
      <w:pPr>
        <w:spacing w:after="240"/>
        <w:ind w:right="-159"/>
        <w:jc w:val="both"/>
        <w:rPr>
          <w:rFonts w:eastAsia="Calibri"/>
          <w:sz w:val="26"/>
          <w:szCs w:val="26"/>
          <w:lang w:val="es-ES" w:eastAsia="en-US"/>
        </w:rPr>
      </w:pPr>
    </w:p>
    <w:tbl>
      <w:tblPr>
        <w:tblW w:w="9209" w:type="dxa"/>
        <w:tblLook w:val="04A0" w:firstRow="1" w:lastRow="0" w:firstColumn="1" w:lastColumn="0" w:noHBand="0" w:noVBand="1"/>
      </w:tblPr>
      <w:tblGrid>
        <w:gridCol w:w="9209"/>
      </w:tblGrid>
      <w:tr w:rsidR="0021273B" w:rsidRPr="0021273B" w14:paraId="1EC678AF" w14:textId="77777777" w:rsidTr="006A662C">
        <w:tc>
          <w:tcPr>
            <w:tcW w:w="9209" w:type="dxa"/>
          </w:tcPr>
          <w:p w14:paraId="2964B711"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AUMENTO MENSUAL ACUMULADO DEL NÚMERO TOTAL DE</w:t>
            </w:r>
          </w:p>
          <w:p w14:paraId="17CFD7A7"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TRABAJADORES AFILIADOS AL IMSS</w:t>
            </w:r>
          </w:p>
          <w:p w14:paraId="1B90D84B"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-Número de personas-</w:t>
            </w:r>
          </w:p>
        </w:tc>
      </w:tr>
      <w:tr w:rsidR="0021273B" w:rsidRPr="0021273B" w14:paraId="7A8A75D6" w14:textId="77777777" w:rsidTr="006A662C">
        <w:tc>
          <w:tcPr>
            <w:tcW w:w="9209" w:type="dxa"/>
          </w:tcPr>
          <w:p w14:paraId="3F109755" w14:textId="77777777" w:rsidR="0021273B" w:rsidRPr="0021273B" w:rsidRDefault="0021273B" w:rsidP="0021273B">
            <w:pPr>
              <w:jc w:val="center"/>
              <w:rPr>
                <w:rFonts w:eastAsia="Calibri"/>
                <w:sz w:val="22"/>
                <w:szCs w:val="26"/>
                <w:lang w:val="es-ES" w:eastAsia="en-US"/>
              </w:rPr>
            </w:pPr>
            <w:r w:rsidRPr="0021273B">
              <w:rPr>
                <w:rFonts w:eastAsia="Calibri"/>
                <w:noProof/>
                <w:sz w:val="22"/>
                <w:szCs w:val="26"/>
                <w:lang w:eastAsia="es-MX"/>
              </w:rPr>
              <w:drawing>
                <wp:inline distT="0" distB="0" distL="0" distR="0" wp14:anchorId="5C47C283" wp14:editId="47FDF009">
                  <wp:extent cx="4724928" cy="3348000"/>
                  <wp:effectExtent l="0" t="0" r="0" b="508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3492" b="1576"/>
                          <a:stretch/>
                        </pic:blipFill>
                        <pic:spPr bwMode="auto">
                          <a:xfrm>
                            <a:off x="0" y="0"/>
                            <a:ext cx="4724928" cy="3348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1273B" w:rsidRPr="0021273B" w14:paraId="63E56E67" w14:textId="77777777" w:rsidTr="006A662C">
        <w:tc>
          <w:tcPr>
            <w:tcW w:w="9209" w:type="dxa"/>
          </w:tcPr>
          <w:p w14:paraId="2CD78A67" w14:textId="77777777" w:rsidR="0021273B" w:rsidRPr="0021273B" w:rsidRDefault="0021273B" w:rsidP="0021273B">
            <w:pPr>
              <w:ind w:firstLine="1021"/>
              <w:jc w:val="both"/>
              <w:rPr>
                <w:rFonts w:eastAsia="Calibri"/>
                <w:sz w:val="20"/>
                <w:szCs w:val="26"/>
                <w:lang w:val="es-ES" w:eastAsia="en-US"/>
              </w:rPr>
            </w:pPr>
            <w:r w:rsidRPr="0021273B">
              <w:rPr>
                <w:rFonts w:eastAsia="Calibri"/>
                <w:sz w:val="20"/>
                <w:szCs w:val="26"/>
                <w:lang w:val="es-ES" w:eastAsia="en-US"/>
              </w:rPr>
              <w:t>FUENTE: BBVA Research con información del INEGI.</w:t>
            </w:r>
          </w:p>
        </w:tc>
      </w:tr>
    </w:tbl>
    <w:p w14:paraId="73C94F37" w14:textId="77777777" w:rsidR="0021273B" w:rsidRPr="0021273B" w:rsidRDefault="0021273B" w:rsidP="0021273B">
      <w:pPr>
        <w:spacing w:after="360" w:line="360" w:lineRule="auto"/>
        <w:ind w:right="-159"/>
        <w:jc w:val="both"/>
        <w:rPr>
          <w:rFonts w:eastAsia="Calibri"/>
          <w:sz w:val="26"/>
          <w:szCs w:val="26"/>
          <w:lang w:val="es-ES" w:eastAsia="en-US"/>
        </w:rPr>
      </w:pPr>
    </w:p>
    <w:p w14:paraId="0CF0DD1B" w14:textId="77777777" w:rsidR="0021273B" w:rsidRPr="0021273B" w:rsidRDefault="0021273B" w:rsidP="0021273B">
      <w:pPr>
        <w:spacing w:after="360" w:line="360" w:lineRule="auto"/>
        <w:ind w:right="-159"/>
        <w:jc w:val="both"/>
        <w:rPr>
          <w:rFonts w:eastAsia="Calibri"/>
          <w:sz w:val="26"/>
          <w:szCs w:val="26"/>
          <w:lang w:val="es-ES" w:eastAsia="en-US"/>
        </w:rPr>
      </w:pPr>
      <w:r w:rsidRPr="0021273B">
        <w:rPr>
          <w:rFonts w:eastAsia="Calibri"/>
          <w:sz w:val="26"/>
          <w:szCs w:val="26"/>
          <w:lang w:val="es-ES" w:eastAsia="en-US"/>
        </w:rPr>
        <w:t>Cabe mencionar que el incremento de poco más de 714 mil trabajadores registrados en el IMSS de 2014 fue mayor al realizado en 2013 (463 mil). Esto significa que en 2014 la creación de empleo formal medida por el número de trabajadores registrados en el IMSS fue 54.3% mayor a la de 2013. Es decir, en 2014 hubo un avance mucho mayor en la creación de empleo formal en la economía de lo que lo hubo en el año anterior, en particular en la última parte del año. Como se verá en la siguiente sección, el mejor desempeño de la creación de empleo formal en 2014 se debe en gran medida a que continuó el Programa de Formalización del Empleo en el IMSS.</w:t>
      </w:r>
    </w:p>
    <w:p w14:paraId="0F5F0C7C" w14:textId="77777777" w:rsidR="0021273B" w:rsidRPr="0021273B" w:rsidRDefault="0021273B" w:rsidP="0021273B">
      <w:pPr>
        <w:spacing w:after="360" w:line="360" w:lineRule="auto"/>
        <w:ind w:right="-159"/>
        <w:jc w:val="both"/>
        <w:rPr>
          <w:rFonts w:eastAsia="Calibri"/>
          <w:sz w:val="26"/>
          <w:szCs w:val="26"/>
          <w:lang w:val="es-ES" w:eastAsia="en-US"/>
        </w:rPr>
      </w:pPr>
    </w:p>
    <w:p w14:paraId="4C6EA2F3" w14:textId="77777777" w:rsidR="0021273B" w:rsidRPr="0021273B" w:rsidRDefault="0021273B" w:rsidP="0021273B">
      <w:pPr>
        <w:spacing w:after="360" w:line="360" w:lineRule="auto"/>
        <w:ind w:right="-159"/>
        <w:jc w:val="both"/>
        <w:rPr>
          <w:rFonts w:eastAsia="Calibri"/>
          <w:sz w:val="26"/>
          <w:szCs w:val="26"/>
          <w:lang w:val="es-ES" w:eastAsia="en-US"/>
        </w:rPr>
      </w:pPr>
    </w:p>
    <w:p w14:paraId="4B6E1D11" w14:textId="77777777" w:rsidR="0021273B" w:rsidRPr="0021273B" w:rsidRDefault="0021273B" w:rsidP="00F559D9">
      <w:pPr>
        <w:spacing w:after="240"/>
        <w:ind w:right="-159"/>
        <w:jc w:val="both"/>
        <w:rPr>
          <w:rFonts w:eastAsia="Calibri"/>
          <w:sz w:val="26"/>
          <w:szCs w:val="26"/>
          <w:lang w:val="es-ES" w:eastAsia="en-US"/>
        </w:rPr>
      </w:pPr>
    </w:p>
    <w:tbl>
      <w:tblPr>
        <w:tblW w:w="9209" w:type="dxa"/>
        <w:tblLook w:val="04A0" w:firstRow="1" w:lastRow="0" w:firstColumn="1" w:lastColumn="0" w:noHBand="0" w:noVBand="1"/>
      </w:tblPr>
      <w:tblGrid>
        <w:gridCol w:w="9209"/>
      </w:tblGrid>
      <w:tr w:rsidR="0021273B" w:rsidRPr="0021273B" w14:paraId="494D3006" w14:textId="77777777" w:rsidTr="006A662C">
        <w:tc>
          <w:tcPr>
            <w:tcW w:w="9209" w:type="dxa"/>
          </w:tcPr>
          <w:p w14:paraId="5A5DF861"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ACUMULADO 12 MESES DEL NÚMERO TOTAL DE</w:t>
            </w:r>
          </w:p>
          <w:p w14:paraId="620E8DF5"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TRABAJADORES AFILIADOS AL IMSS: SEP-SEP</w:t>
            </w:r>
          </w:p>
          <w:p w14:paraId="6368DF58"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-Número de personas-</w:t>
            </w:r>
          </w:p>
        </w:tc>
      </w:tr>
      <w:tr w:rsidR="0021273B" w:rsidRPr="0021273B" w14:paraId="547FD703" w14:textId="77777777" w:rsidTr="006A662C">
        <w:tc>
          <w:tcPr>
            <w:tcW w:w="9209" w:type="dxa"/>
          </w:tcPr>
          <w:p w14:paraId="31383617" w14:textId="77777777" w:rsidR="0021273B" w:rsidRPr="0021273B" w:rsidRDefault="0021273B" w:rsidP="0021273B">
            <w:pPr>
              <w:jc w:val="center"/>
              <w:rPr>
                <w:rFonts w:eastAsia="Calibri"/>
                <w:sz w:val="22"/>
                <w:szCs w:val="26"/>
                <w:lang w:val="es-ES" w:eastAsia="en-US"/>
              </w:rPr>
            </w:pPr>
            <w:r w:rsidRPr="0021273B">
              <w:rPr>
                <w:rFonts w:eastAsia="Calibri"/>
                <w:noProof/>
                <w:sz w:val="22"/>
                <w:szCs w:val="26"/>
                <w:lang w:eastAsia="es-MX"/>
              </w:rPr>
              <w:drawing>
                <wp:inline distT="0" distB="0" distL="0" distR="0" wp14:anchorId="73EE57F1" wp14:editId="19B0AE1E">
                  <wp:extent cx="5177980" cy="3096000"/>
                  <wp:effectExtent l="0" t="0" r="0" b="9525"/>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8007" b="2299"/>
                          <a:stretch/>
                        </pic:blipFill>
                        <pic:spPr bwMode="auto">
                          <a:xfrm>
                            <a:off x="0" y="0"/>
                            <a:ext cx="5177980" cy="3096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1273B" w:rsidRPr="0021273B" w14:paraId="0D0E7420" w14:textId="77777777" w:rsidTr="006A662C">
        <w:tc>
          <w:tcPr>
            <w:tcW w:w="9209" w:type="dxa"/>
          </w:tcPr>
          <w:p w14:paraId="476872F1" w14:textId="77777777" w:rsidR="0021273B" w:rsidRPr="0021273B" w:rsidRDefault="0021273B" w:rsidP="0021273B">
            <w:pPr>
              <w:ind w:firstLine="1021"/>
              <w:jc w:val="both"/>
              <w:rPr>
                <w:rFonts w:eastAsia="Calibri"/>
                <w:sz w:val="20"/>
                <w:szCs w:val="26"/>
                <w:lang w:val="es-ES" w:eastAsia="en-US"/>
              </w:rPr>
            </w:pPr>
            <w:r w:rsidRPr="0021273B">
              <w:rPr>
                <w:rFonts w:eastAsia="Calibri"/>
                <w:sz w:val="20"/>
                <w:szCs w:val="26"/>
                <w:lang w:val="es-ES" w:eastAsia="en-US"/>
              </w:rPr>
              <w:t>FUENTE: BBVA Research con información del INEGI.</w:t>
            </w:r>
          </w:p>
        </w:tc>
      </w:tr>
    </w:tbl>
    <w:p w14:paraId="7E89AAAA" w14:textId="77777777" w:rsidR="0021273B" w:rsidRPr="0021273B" w:rsidRDefault="0021273B" w:rsidP="0021273B">
      <w:pPr>
        <w:spacing w:after="360" w:line="360" w:lineRule="auto"/>
        <w:ind w:right="-159"/>
        <w:jc w:val="both"/>
        <w:rPr>
          <w:rFonts w:eastAsia="Calibri"/>
          <w:sz w:val="26"/>
          <w:szCs w:val="26"/>
          <w:lang w:val="es-ES" w:eastAsia="en-US"/>
        </w:rPr>
      </w:pPr>
    </w:p>
    <w:p w14:paraId="0265410F" w14:textId="77777777" w:rsidR="0021273B" w:rsidRPr="0021273B" w:rsidRDefault="0021273B" w:rsidP="0021273B">
      <w:pPr>
        <w:spacing w:after="360"/>
        <w:ind w:left="851" w:right="-159" w:hanging="851"/>
        <w:jc w:val="both"/>
        <w:rPr>
          <w:rFonts w:eastAsia="Calibri"/>
          <w:b/>
          <w:sz w:val="26"/>
          <w:szCs w:val="26"/>
          <w:lang w:val="es-ES" w:eastAsia="en-US"/>
        </w:rPr>
      </w:pPr>
      <w:r w:rsidRPr="0021273B">
        <w:rPr>
          <w:rFonts w:eastAsia="Calibri"/>
          <w:b/>
          <w:sz w:val="26"/>
          <w:szCs w:val="26"/>
          <w:lang w:val="es-ES" w:eastAsia="en-US"/>
        </w:rPr>
        <w:t>3.1.3.2 Continuidad del Programa de Formalización del Empleo en el IMSS en 2014 y posibles efectos en 2015</w:t>
      </w:r>
    </w:p>
    <w:p w14:paraId="017D9553" w14:textId="77777777" w:rsidR="0021273B" w:rsidRPr="0021273B" w:rsidRDefault="0021273B" w:rsidP="0021273B">
      <w:pPr>
        <w:spacing w:after="360" w:line="360" w:lineRule="auto"/>
        <w:ind w:right="-159"/>
        <w:jc w:val="both"/>
        <w:rPr>
          <w:rFonts w:eastAsia="Calibri"/>
          <w:sz w:val="26"/>
          <w:szCs w:val="26"/>
          <w:lang w:val="es-ES" w:eastAsia="en-US"/>
        </w:rPr>
      </w:pPr>
      <w:r w:rsidRPr="0021273B">
        <w:rPr>
          <w:rFonts w:eastAsia="Calibri"/>
          <w:sz w:val="26"/>
          <w:szCs w:val="26"/>
          <w:lang w:val="es-ES" w:eastAsia="en-US"/>
        </w:rPr>
        <w:t>Desde la segunda mitad de 2013 se empezó a llevar a cabo el Programa de Formalización del Empleo en el IMSS por parte de las autoridades. Este Programa consiste en hacer que una persona que cuente con un empleo y que no está registrada en el IMSS sea dada de alta en ese Instituto como trabajador afiliado. Cabe mencionar que las personas que laboran y cuyo trabajo se formalizó no representan la creación de nuevo empleo como consecuencia del mayor nivel de la actividad económica que se pueda observar en un momento dado, sino que representan al grupo de personas que dejan de participar en el sector informal de la economía para empezar a hacerlo en el sector formal.</w:t>
      </w:r>
    </w:p>
    <w:p w14:paraId="49D63F76" w14:textId="03ACABD4" w:rsidR="0021273B" w:rsidRPr="0021273B" w:rsidRDefault="0021273B" w:rsidP="0021273B">
      <w:pPr>
        <w:spacing w:after="360" w:line="360" w:lineRule="auto"/>
        <w:ind w:right="-159"/>
        <w:jc w:val="both"/>
        <w:rPr>
          <w:rFonts w:eastAsia="Calibri"/>
          <w:sz w:val="26"/>
          <w:szCs w:val="26"/>
          <w:lang w:val="es-ES" w:eastAsia="en-US"/>
        </w:rPr>
      </w:pPr>
      <w:r w:rsidRPr="0021273B">
        <w:rPr>
          <w:rFonts w:eastAsia="Calibri"/>
          <w:sz w:val="26"/>
          <w:szCs w:val="26"/>
          <w:lang w:val="es-ES" w:eastAsia="en-US"/>
        </w:rPr>
        <w:lastRenderedPageBreak/>
        <w:t>En febrero de 2014</w:t>
      </w:r>
      <w:r w:rsidR="00D63928">
        <w:rPr>
          <w:rFonts w:eastAsia="Calibri"/>
          <w:sz w:val="26"/>
          <w:szCs w:val="26"/>
          <w:lang w:val="es-ES" w:eastAsia="en-US"/>
        </w:rPr>
        <w:t>,</w:t>
      </w:r>
      <w:r w:rsidRPr="0021273B">
        <w:rPr>
          <w:rFonts w:eastAsia="Calibri"/>
          <w:sz w:val="26"/>
          <w:szCs w:val="26"/>
          <w:lang w:val="es-ES" w:eastAsia="en-US"/>
        </w:rPr>
        <w:t xml:space="preserve"> la Secretaría del Trabajo y Previsión Social (STPS) estimó que en ese año se formalizaron un total de 300 mil plazas laborales.</w:t>
      </w:r>
      <w:r w:rsidRPr="0021273B">
        <w:rPr>
          <w:rFonts w:eastAsia="Calibri"/>
          <w:sz w:val="26"/>
          <w:szCs w:val="26"/>
          <w:vertAlign w:val="superscript"/>
          <w:lang w:val="es-ES" w:eastAsia="en-US"/>
        </w:rPr>
        <w:footnoteReference w:id="1"/>
      </w:r>
      <w:r w:rsidRPr="0021273B">
        <w:rPr>
          <w:rFonts w:eastAsia="Calibri"/>
          <w:sz w:val="26"/>
          <w:szCs w:val="26"/>
          <w:lang w:val="es-ES" w:eastAsia="en-US"/>
        </w:rPr>
        <w:t xml:space="preserve">  Además, en enero de 2015</w:t>
      </w:r>
      <w:r w:rsidR="00D63928">
        <w:rPr>
          <w:rFonts w:eastAsia="Calibri"/>
          <w:sz w:val="26"/>
          <w:szCs w:val="26"/>
          <w:lang w:val="es-ES" w:eastAsia="en-US"/>
        </w:rPr>
        <w:t>,</w:t>
      </w:r>
      <w:r w:rsidRPr="0021273B">
        <w:rPr>
          <w:rFonts w:eastAsia="Calibri"/>
          <w:sz w:val="26"/>
          <w:szCs w:val="26"/>
          <w:lang w:val="es-ES" w:eastAsia="en-US"/>
        </w:rPr>
        <w:t xml:space="preserve"> la STPS señaló que entre 300 y 350 mil plazas de trabajo registradas en el IMSS durante 2014 fueron consecuencia del Programa de Formalización del Empleo.</w:t>
      </w:r>
      <w:r w:rsidRPr="0021273B">
        <w:rPr>
          <w:rFonts w:eastAsia="Calibri"/>
          <w:sz w:val="26"/>
          <w:szCs w:val="26"/>
          <w:vertAlign w:val="superscript"/>
          <w:lang w:val="es-ES" w:eastAsia="en-US"/>
        </w:rPr>
        <w:footnoteReference w:id="2"/>
      </w:r>
      <w:r w:rsidRPr="0021273B">
        <w:rPr>
          <w:rFonts w:eastAsia="Calibri"/>
          <w:sz w:val="26"/>
          <w:szCs w:val="26"/>
          <w:lang w:val="es-ES" w:eastAsia="en-US"/>
        </w:rPr>
        <w:t xml:space="preserve"> Si se descuentan 300 y 350 mil puestos de trabajo que se formalizaron en 2013 y 2014, respectivamente, se tiene que el aumento en el número de trabajadores registrados en el IMSS en esos años propiciados por la expansión de la actividad económica fue de 163 mil y 365 mil (gráfica anterior).</w:t>
      </w:r>
    </w:p>
    <w:p w14:paraId="3B4D6615" w14:textId="77777777" w:rsidR="0021273B" w:rsidRPr="0021273B" w:rsidRDefault="0021273B" w:rsidP="0021273B">
      <w:pPr>
        <w:spacing w:after="360" w:line="360" w:lineRule="auto"/>
        <w:ind w:right="-159"/>
        <w:jc w:val="both"/>
        <w:rPr>
          <w:rFonts w:eastAsia="Calibri"/>
          <w:sz w:val="26"/>
          <w:szCs w:val="26"/>
          <w:lang w:val="es-ES" w:eastAsia="en-US"/>
        </w:rPr>
      </w:pPr>
      <w:r w:rsidRPr="0021273B">
        <w:rPr>
          <w:rFonts w:eastAsia="Calibri"/>
          <w:sz w:val="26"/>
          <w:szCs w:val="26"/>
          <w:lang w:val="es-ES" w:eastAsia="en-US"/>
        </w:rPr>
        <w:t>En la medida en que el PIB del país crezca a tasas mayores de las que lo hizo en 2013 (1.4%) y de lo que lo hizo en 2014 (2.1%), se podrá observa una mayor creación de empleo formal que sea producto del mayor nivel de actividad económica. De igual forma, el Programa de Formalización del Empleo ha sido exitoso en la formalización del empleo, por lo que de continuar su aplicación en 2015, la informalidad laboral podría limitar su aumento o incluso reducirse.</w:t>
      </w:r>
    </w:p>
    <w:p w14:paraId="235200A8" w14:textId="77777777" w:rsidR="0021273B" w:rsidRPr="0021273B" w:rsidRDefault="0021273B" w:rsidP="0021273B">
      <w:pPr>
        <w:spacing w:after="360" w:line="360" w:lineRule="auto"/>
        <w:ind w:right="-159"/>
        <w:jc w:val="both"/>
        <w:rPr>
          <w:rFonts w:eastAsia="Calibri"/>
          <w:b/>
          <w:sz w:val="26"/>
          <w:szCs w:val="26"/>
          <w:lang w:val="es-ES" w:eastAsia="en-US"/>
        </w:rPr>
      </w:pPr>
      <w:r w:rsidRPr="0021273B">
        <w:rPr>
          <w:rFonts w:eastAsia="Calibri"/>
          <w:b/>
          <w:sz w:val="26"/>
          <w:szCs w:val="26"/>
          <w:lang w:val="es-ES" w:eastAsia="en-US"/>
        </w:rPr>
        <w:t>3.1.4 Finanzas públicas: mayor déficit en 2014 que en 2013</w:t>
      </w:r>
    </w:p>
    <w:p w14:paraId="1BEFFC62" w14:textId="77777777" w:rsidR="0021273B" w:rsidRPr="0021273B" w:rsidRDefault="0021273B" w:rsidP="0021273B">
      <w:pPr>
        <w:spacing w:after="360" w:line="360" w:lineRule="auto"/>
        <w:ind w:right="-159"/>
        <w:jc w:val="both"/>
        <w:rPr>
          <w:rFonts w:eastAsia="Calibri"/>
          <w:sz w:val="26"/>
          <w:szCs w:val="26"/>
          <w:lang w:val="es-ES" w:eastAsia="en-US"/>
        </w:rPr>
      </w:pPr>
      <w:r w:rsidRPr="0021273B">
        <w:rPr>
          <w:rFonts w:eastAsia="Calibri"/>
          <w:sz w:val="26"/>
          <w:szCs w:val="26"/>
          <w:lang w:val="es-ES" w:eastAsia="en-US"/>
        </w:rPr>
        <w:t xml:space="preserve">La situación de las finanzas públicas en 2014 se caracterizó porque la parte de ingresos totales del sector público registró una tasa de crecimiento real anual limitada de solo 0.8%. Esta situación de los ingresos totales del sector público se debió al comportamiento contrario que tuvieron sus principales partidas de ingresos: petroleros y no petroleros. Por lo que respecta a los primeros, se tiene que éstos se redujeron en 2014 en 7.5% en términos reales como consecuencia de la disminución de la plataforma de exportación de petróleo crudo y del menor precio del barril de petróleo crudo de exportación.  Como se comentó en la sección 3.1.2.2, Exportaciones de mercancías, la situación del petróleo dentro del contexto del sector externo del país además de haber </w:t>
      </w:r>
      <w:r w:rsidRPr="0021273B">
        <w:rPr>
          <w:rFonts w:eastAsia="Calibri"/>
          <w:sz w:val="26"/>
          <w:szCs w:val="26"/>
          <w:lang w:val="es-ES" w:eastAsia="en-US"/>
        </w:rPr>
        <w:lastRenderedPageBreak/>
        <w:t>sido desfavorable en ese terreno (ver gráfica:</w:t>
      </w:r>
      <w:r w:rsidRPr="0021273B">
        <w:rPr>
          <w:rFonts w:eastAsia="Calibri"/>
          <w:i/>
          <w:sz w:val="26"/>
          <w:szCs w:val="26"/>
          <w:lang w:val="es-ES" w:eastAsia="en-US"/>
        </w:rPr>
        <w:t xml:space="preserve"> Exportaciones de mercancías por tipo de bien</w:t>
      </w:r>
      <w:r w:rsidRPr="0021273B">
        <w:rPr>
          <w:rFonts w:eastAsia="Calibri"/>
          <w:sz w:val="26"/>
          <w:szCs w:val="26"/>
          <w:lang w:val="es-ES" w:eastAsia="en-US"/>
        </w:rPr>
        <w:t>), también lo fue en el aspecto de los ingresos del sector público (cuadro siguiente).</w:t>
      </w:r>
    </w:p>
    <w:p w14:paraId="60B1FCCA" w14:textId="77777777" w:rsidR="0021273B" w:rsidRPr="0021273B" w:rsidRDefault="0021273B" w:rsidP="0021273B">
      <w:pPr>
        <w:spacing w:after="360" w:line="360" w:lineRule="auto"/>
        <w:ind w:right="-159"/>
        <w:jc w:val="both"/>
        <w:rPr>
          <w:rFonts w:eastAsia="Calibri"/>
          <w:sz w:val="26"/>
          <w:szCs w:val="26"/>
          <w:lang w:val="es-ES" w:eastAsia="en-US"/>
        </w:rPr>
      </w:pPr>
      <w:r w:rsidRPr="0021273B">
        <w:rPr>
          <w:rFonts w:eastAsia="Calibri"/>
          <w:sz w:val="26"/>
          <w:szCs w:val="26"/>
          <w:lang w:val="es-ES" w:eastAsia="en-US"/>
        </w:rPr>
        <w:t>Por otra parte, los ingresos no petroleros del sector público mostraron un mejor desempeño, y su tasa de crecimiento real anual fue de 4.9%. Esto se debió principalmente al crecimiento de los ingresos tributarios, los cuales se incrementaron en 11.3% como consecuencia de la reforma fiscal que empezó a operar en 2014. Cabe mencionar que en la medida en que no se revierta el deterioro que ha tenido la producción petrolera y su precio internacional, los ingresos del sector público podrían seguirse deteriorando en 2015 y 2016.</w:t>
      </w:r>
    </w:p>
    <w:tbl>
      <w:tblPr>
        <w:tblW w:w="7376" w:type="dxa"/>
        <w:jc w:val="center"/>
        <w:tblLook w:val="04A0" w:firstRow="1" w:lastRow="0" w:firstColumn="1" w:lastColumn="0" w:noHBand="0" w:noVBand="1"/>
      </w:tblPr>
      <w:tblGrid>
        <w:gridCol w:w="3091"/>
        <w:gridCol w:w="1523"/>
        <w:gridCol w:w="1437"/>
        <w:gridCol w:w="1325"/>
      </w:tblGrid>
      <w:tr w:rsidR="0021273B" w:rsidRPr="0021273B" w14:paraId="1577DC1A" w14:textId="77777777" w:rsidTr="0024633D">
        <w:trPr>
          <w:jc w:val="center"/>
        </w:trPr>
        <w:tc>
          <w:tcPr>
            <w:tcW w:w="7376" w:type="dxa"/>
            <w:gridSpan w:val="4"/>
            <w:tcBorders>
              <w:top w:val="nil"/>
              <w:left w:val="nil"/>
              <w:bottom w:val="single" w:sz="4" w:space="0" w:color="auto"/>
              <w:right w:val="nil"/>
            </w:tcBorders>
          </w:tcPr>
          <w:p w14:paraId="273BAC46" w14:textId="77777777" w:rsidR="0021273B" w:rsidRPr="0021273B" w:rsidRDefault="0021273B" w:rsidP="0021273B">
            <w:pPr>
              <w:jc w:val="center"/>
              <w:rPr>
                <w:rFonts w:eastAsia="Calibri"/>
                <w:b/>
                <w:sz w:val="22"/>
                <w:szCs w:val="22"/>
                <w:lang w:val="es-ES" w:eastAsia="en-US"/>
              </w:rPr>
            </w:pPr>
            <w:r w:rsidRPr="0021273B">
              <w:rPr>
                <w:rFonts w:eastAsia="Calibri"/>
                <w:b/>
                <w:sz w:val="22"/>
                <w:szCs w:val="22"/>
                <w:lang w:val="es-ES" w:eastAsia="en-US"/>
              </w:rPr>
              <w:t>INGRESOS DEL SECTOR PÚBLICO PRESUPUESTARIO</w:t>
            </w:r>
          </w:p>
          <w:p w14:paraId="374CB992" w14:textId="77777777" w:rsidR="0021273B" w:rsidRPr="0021273B" w:rsidRDefault="0021273B" w:rsidP="0021273B">
            <w:pPr>
              <w:jc w:val="center"/>
              <w:rPr>
                <w:rFonts w:eastAsia="Calibri"/>
                <w:b/>
                <w:sz w:val="22"/>
                <w:szCs w:val="22"/>
                <w:highlight w:val="green"/>
                <w:lang w:val="es-ES" w:eastAsia="en-US"/>
              </w:rPr>
            </w:pPr>
            <w:r w:rsidRPr="0021273B">
              <w:rPr>
                <w:rFonts w:eastAsia="Calibri"/>
                <w:b/>
                <w:sz w:val="22"/>
                <w:szCs w:val="22"/>
                <w:lang w:val="es-ES" w:eastAsia="en-US"/>
              </w:rPr>
              <w:t>-Cifras acumuladas en miles de millones de pesos-</w:t>
            </w:r>
          </w:p>
        </w:tc>
      </w:tr>
      <w:tr w:rsidR="0021273B" w:rsidRPr="0021273B" w14:paraId="50ACFD77" w14:textId="77777777" w:rsidTr="0024633D">
        <w:trPr>
          <w:jc w:val="center"/>
        </w:trPr>
        <w:tc>
          <w:tcPr>
            <w:tcW w:w="3091" w:type="dxa"/>
            <w:vMerge w:val="restart"/>
            <w:tcBorders>
              <w:top w:val="single" w:sz="4" w:space="0" w:color="auto"/>
              <w:left w:val="single" w:sz="4" w:space="0" w:color="auto"/>
              <w:bottom w:val="single" w:sz="4" w:space="0" w:color="auto"/>
              <w:right w:val="single" w:sz="4" w:space="0" w:color="auto"/>
            </w:tcBorders>
          </w:tcPr>
          <w:p w14:paraId="32437E8E" w14:textId="77777777" w:rsidR="0021273B" w:rsidRPr="0021273B" w:rsidRDefault="0021273B" w:rsidP="0021273B">
            <w:pPr>
              <w:jc w:val="both"/>
              <w:rPr>
                <w:rFonts w:eastAsia="Calibri"/>
                <w:sz w:val="18"/>
                <w:szCs w:val="18"/>
                <w:highlight w:val="green"/>
                <w:lang w:val="es-ES" w:eastAsia="en-US"/>
              </w:rPr>
            </w:pPr>
          </w:p>
        </w:tc>
        <w:tc>
          <w:tcPr>
            <w:tcW w:w="4285" w:type="dxa"/>
            <w:gridSpan w:val="3"/>
            <w:tcBorders>
              <w:top w:val="single" w:sz="4" w:space="0" w:color="auto"/>
              <w:left w:val="single" w:sz="4" w:space="0" w:color="auto"/>
              <w:bottom w:val="single" w:sz="4" w:space="0" w:color="auto"/>
              <w:right w:val="single" w:sz="4" w:space="0" w:color="auto"/>
            </w:tcBorders>
          </w:tcPr>
          <w:p w14:paraId="625ACE66" w14:textId="77777777" w:rsidR="0021273B" w:rsidRPr="0021273B" w:rsidRDefault="0021273B" w:rsidP="0021273B">
            <w:pPr>
              <w:jc w:val="center"/>
              <w:rPr>
                <w:rFonts w:eastAsia="Calibri"/>
                <w:b/>
                <w:sz w:val="18"/>
                <w:szCs w:val="18"/>
                <w:lang w:val="es-ES" w:eastAsia="en-US"/>
              </w:rPr>
            </w:pPr>
            <w:r w:rsidRPr="0021273B">
              <w:rPr>
                <w:rFonts w:eastAsia="Calibri"/>
                <w:b/>
                <w:sz w:val="18"/>
                <w:szCs w:val="18"/>
                <w:lang w:val="es-ES" w:eastAsia="en-US"/>
              </w:rPr>
              <w:t>Enero-Diciembre 2014</w:t>
            </w:r>
          </w:p>
        </w:tc>
      </w:tr>
      <w:tr w:rsidR="0021273B" w:rsidRPr="0021273B" w14:paraId="254A7E4E" w14:textId="77777777" w:rsidTr="0024633D">
        <w:trPr>
          <w:jc w:val="center"/>
        </w:trPr>
        <w:tc>
          <w:tcPr>
            <w:tcW w:w="3091" w:type="dxa"/>
            <w:vMerge/>
            <w:tcBorders>
              <w:top w:val="single" w:sz="4" w:space="0" w:color="auto"/>
              <w:left w:val="single" w:sz="4" w:space="0" w:color="auto"/>
              <w:bottom w:val="single" w:sz="4" w:space="0" w:color="auto"/>
              <w:right w:val="single" w:sz="4" w:space="0" w:color="auto"/>
            </w:tcBorders>
          </w:tcPr>
          <w:p w14:paraId="178492FA" w14:textId="77777777" w:rsidR="0021273B" w:rsidRPr="0021273B" w:rsidRDefault="0021273B" w:rsidP="0021273B">
            <w:pPr>
              <w:jc w:val="both"/>
              <w:rPr>
                <w:rFonts w:eastAsia="Calibri"/>
                <w:sz w:val="18"/>
                <w:szCs w:val="18"/>
                <w:highlight w:val="green"/>
                <w:lang w:val="es-ES" w:eastAsia="en-US"/>
              </w:rPr>
            </w:pPr>
          </w:p>
        </w:tc>
        <w:tc>
          <w:tcPr>
            <w:tcW w:w="1523" w:type="dxa"/>
            <w:tcBorders>
              <w:top w:val="single" w:sz="4" w:space="0" w:color="auto"/>
              <w:left w:val="single" w:sz="4" w:space="0" w:color="auto"/>
              <w:bottom w:val="single" w:sz="4" w:space="0" w:color="auto"/>
              <w:right w:val="single" w:sz="4" w:space="0" w:color="auto"/>
            </w:tcBorders>
          </w:tcPr>
          <w:p w14:paraId="54074501" w14:textId="77777777" w:rsidR="0021273B" w:rsidRPr="0021273B" w:rsidRDefault="0021273B" w:rsidP="0021273B">
            <w:pPr>
              <w:jc w:val="center"/>
              <w:rPr>
                <w:rFonts w:eastAsia="Calibri"/>
                <w:b/>
                <w:sz w:val="18"/>
                <w:szCs w:val="18"/>
                <w:lang w:val="es-ES" w:eastAsia="en-US"/>
              </w:rPr>
            </w:pPr>
            <w:r w:rsidRPr="0021273B">
              <w:rPr>
                <w:rFonts w:eastAsia="Calibri"/>
                <w:b/>
                <w:sz w:val="18"/>
                <w:szCs w:val="18"/>
                <w:lang w:val="es-ES" w:eastAsia="en-US"/>
              </w:rPr>
              <w:t xml:space="preserve">Monto </w:t>
            </w:r>
          </w:p>
        </w:tc>
        <w:tc>
          <w:tcPr>
            <w:tcW w:w="1437" w:type="dxa"/>
            <w:tcBorders>
              <w:top w:val="single" w:sz="4" w:space="0" w:color="auto"/>
              <w:left w:val="single" w:sz="4" w:space="0" w:color="auto"/>
              <w:bottom w:val="single" w:sz="4" w:space="0" w:color="auto"/>
              <w:right w:val="single" w:sz="4" w:space="0" w:color="auto"/>
            </w:tcBorders>
          </w:tcPr>
          <w:p w14:paraId="35EF1C71" w14:textId="77777777" w:rsidR="0021273B" w:rsidRPr="0021273B" w:rsidRDefault="0021273B" w:rsidP="0021273B">
            <w:pPr>
              <w:jc w:val="center"/>
              <w:rPr>
                <w:rFonts w:eastAsia="Calibri"/>
                <w:b/>
                <w:sz w:val="18"/>
                <w:szCs w:val="18"/>
                <w:lang w:val="es-ES" w:eastAsia="en-US"/>
              </w:rPr>
            </w:pPr>
            <w:r w:rsidRPr="0021273B">
              <w:rPr>
                <w:rFonts w:eastAsia="Calibri"/>
                <w:b/>
                <w:sz w:val="18"/>
                <w:szCs w:val="18"/>
                <w:lang w:val="es-ES" w:eastAsia="en-US"/>
              </w:rPr>
              <w:t>Var. % real</w:t>
            </w:r>
          </w:p>
        </w:tc>
        <w:tc>
          <w:tcPr>
            <w:tcW w:w="1325" w:type="dxa"/>
            <w:tcBorders>
              <w:top w:val="single" w:sz="4" w:space="0" w:color="auto"/>
              <w:left w:val="single" w:sz="4" w:space="0" w:color="auto"/>
              <w:bottom w:val="single" w:sz="4" w:space="0" w:color="auto"/>
              <w:right w:val="single" w:sz="4" w:space="0" w:color="auto"/>
            </w:tcBorders>
          </w:tcPr>
          <w:p w14:paraId="3122F62A" w14:textId="77777777" w:rsidR="0021273B" w:rsidRPr="0021273B" w:rsidRDefault="0021273B" w:rsidP="0021273B">
            <w:pPr>
              <w:jc w:val="center"/>
              <w:rPr>
                <w:rFonts w:eastAsia="Calibri"/>
                <w:b/>
                <w:sz w:val="18"/>
                <w:szCs w:val="18"/>
                <w:lang w:val="es-ES" w:eastAsia="en-US"/>
              </w:rPr>
            </w:pPr>
            <w:r w:rsidRPr="0021273B">
              <w:rPr>
                <w:rFonts w:eastAsia="Calibri"/>
                <w:b/>
                <w:sz w:val="18"/>
                <w:szCs w:val="18"/>
                <w:lang w:val="es-ES" w:eastAsia="en-US"/>
              </w:rPr>
              <w:t>Estruc. %</w:t>
            </w:r>
          </w:p>
        </w:tc>
      </w:tr>
      <w:tr w:rsidR="0021273B" w:rsidRPr="0021273B" w14:paraId="760AF522" w14:textId="77777777" w:rsidTr="0024633D">
        <w:trPr>
          <w:jc w:val="center"/>
        </w:trPr>
        <w:tc>
          <w:tcPr>
            <w:tcW w:w="3091" w:type="dxa"/>
            <w:tcBorders>
              <w:top w:val="single" w:sz="4" w:space="0" w:color="auto"/>
              <w:left w:val="single" w:sz="4" w:space="0" w:color="auto"/>
              <w:bottom w:val="nil"/>
              <w:right w:val="single" w:sz="4" w:space="0" w:color="auto"/>
            </w:tcBorders>
          </w:tcPr>
          <w:p w14:paraId="35DC3008" w14:textId="77777777" w:rsidR="0021273B" w:rsidRPr="0021273B" w:rsidRDefault="0021273B" w:rsidP="0021273B">
            <w:pPr>
              <w:jc w:val="both"/>
              <w:rPr>
                <w:rFonts w:eastAsia="Calibri"/>
                <w:b/>
                <w:sz w:val="18"/>
                <w:szCs w:val="18"/>
                <w:lang w:val="es-ES" w:eastAsia="en-US"/>
              </w:rPr>
            </w:pPr>
            <w:r w:rsidRPr="0021273B">
              <w:rPr>
                <w:rFonts w:eastAsia="Calibri"/>
                <w:b/>
                <w:sz w:val="18"/>
                <w:szCs w:val="18"/>
                <w:lang w:val="es-ES" w:eastAsia="en-US"/>
              </w:rPr>
              <w:t>Total</w:t>
            </w:r>
          </w:p>
        </w:tc>
        <w:tc>
          <w:tcPr>
            <w:tcW w:w="1523" w:type="dxa"/>
            <w:tcBorders>
              <w:top w:val="single" w:sz="4" w:space="0" w:color="auto"/>
              <w:left w:val="single" w:sz="4" w:space="0" w:color="auto"/>
              <w:bottom w:val="nil"/>
              <w:right w:val="single" w:sz="4" w:space="0" w:color="auto"/>
            </w:tcBorders>
          </w:tcPr>
          <w:p w14:paraId="5B2B7780" w14:textId="77777777" w:rsidR="0021273B" w:rsidRPr="0021273B" w:rsidRDefault="0021273B" w:rsidP="0021273B">
            <w:pPr>
              <w:ind w:right="397"/>
              <w:jc w:val="right"/>
              <w:rPr>
                <w:rFonts w:eastAsia="Calibri"/>
                <w:b/>
                <w:sz w:val="18"/>
                <w:szCs w:val="18"/>
                <w:lang w:val="es-ES" w:eastAsia="en-US"/>
              </w:rPr>
            </w:pPr>
            <w:r w:rsidRPr="0021273B">
              <w:rPr>
                <w:rFonts w:eastAsia="Calibri"/>
                <w:b/>
                <w:sz w:val="18"/>
                <w:szCs w:val="18"/>
                <w:lang w:val="es-ES" w:eastAsia="en-US"/>
              </w:rPr>
              <w:t>3 983.4</w:t>
            </w:r>
          </w:p>
        </w:tc>
        <w:tc>
          <w:tcPr>
            <w:tcW w:w="1437" w:type="dxa"/>
            <w:tcBorders>
              <w:top w:val="single" w:sz="4" w:space="0" w:color="auto"/>
              <w:left w:val="single" w:sz="4" w:space="0" w:color="auto"/>
              <w:bottom w:val="nil"/>
              <w:right w:val="single" w:sz="4" w:space="0" w:color="auto"/>
            </w:tcBorders>
          </w:tcPr>
          <w:p w14:paraId="2D94461D" w14:textId="77777777" w:rsidR="0021273B" w:rsidRPr="0021273B" w:rsidRDefault="0021273B" w:rsidP="0021273B">
            <w:pPr>
              <w:ind w:right="454"/>
              <w:jc w:val="right"/>
              <w:rPr>
                <w:rFonts w:eastAsia="Calibri"/>
                <w:b/>
                <w:sz w:val="18"/>
                <w:szCs w:val="18"/>
                <w:lang w:val="es-ES" w:eastAsia="en-US"/>
              </w:rPr>
            </w:pPr>
            <w:r w:rsidRPr="0021273B">
              <w:rPr>
                <w:rFonts w:eastAsia="Calibri"/>
                <w:b/>
                <w:sz w:val="18"/>
                <w:szCs w:val="18"/>
                <w:lang w:val="es-ES" w:eastAsia="en-US"/>
              </w:rPr>
              <w:t>0.8</w:t>
            </w:r>
          </w:p>
        </w:tc>
        <w:tc>
          <w:tcPr>
            <w:tcW w:w="1325" w:type="dxa"/>
            <w:tcBorders>
              <w:top w:val="single" w:sz="4" w:space="0" w:color="auto"/>
              <w:left w:val="single" w:sz="4" w:space="0" w:color="auto"/>
              <w:bottom w:val="nil"/>
              <w:right w:val="single" w:sz="4" w:space="0" w:color="auto"/>
            </w:tcBorders>
          </w:tcPr>
          <w:p w14:paraId="2C528D7E" w14:textId="77777777" w:rsidR="0021273B" w:rsidRPr="0021273B" w:rsidRDefault="0021273B" w:rsidP="0021273B">
            <w:pPr>
              <w:jc w:val="center"/>
              <w:rPr>
                <w:rFonts w:eastAsia="Calibri"/>
                <w:b/>
                <w:sz w:val="18"/>
                <w:szCs w:val="18"/>
                <w:lang w:val="es-ES" w:eastAsia="en-US"/>
              </w:rPr>
            </w:pPr>
            <w:r w:rsidRPr="0021273B">
              <w:rPr>
                <w:rFonts w:eastAsia="Calibri"/>
                <w:b/>
                <w:sz w:val="18"/>
                <w:szCs w:val="18"/>
                <w:lang w:val="es-ES" w:eastAsia="en-US"/>
              </w:rPr>
              <w:t>100.0</w:t>
            </w:r>
          </w:p>
        </w:tc>
      </w:tr>
      <w:tr w:rsidR="0021273B" w:rsidRPr="0021273B" w14:paraId="4EF1DAE6" w14:textId="77777777" w:rsidTr="0024633D">
        <w:trPr>
          <w:jc w:val="center"/>
        </w:trPr>
        <w:tc>
          <w:tcPr>
            <w:tcW w:w="3091" w:type="dxa"/>
            <w:tcBorders>
              <w:top w:val="nil"/>
              <w:left w:val="single" w:sz="4" w:space="0" w:color="auto"/>
              <w:bottom w:val="nil"/>
              <w:right w:val="single" w:sz="4" w:space="0" w:color="auto"/>
            </w:tcBorders>
          </w:tcPr>
          <w:p w14:paraId="1D6B1BCE" w14:textId="77777777" w:rsidR="0021273B" w:rsidRPr="0021273B" w:rsidRDefault="0021273B" w:rsidP="0021273B">
            <w:pPr>
              <w:jc w:val="both"/>
              <w:rPr>
                <w:rFonts w:eastAsia="Calibri"/>
                <w:sz w:val="18"/>
                <w:szCs w:val="18"/>
                <w:lang w:val="es-ES" w:eastAsia="en-US"/>
              </w:rPr>
            </w:pPr>
            <w:r w:rsidRPr="0021273B">
              <w:rPr>
                <w:rFonts w:eastAsia="Calibri"/>
                <w:sz w:val="18"/>
                <w:szCs w:val="18"/>
                <w:lang w:val="es-ES" w:eastAsia="en-US"/>
              </w:rPr>
              <w:t xml:space="preserve">Petroleros                           </w:t>
            </w:r>
          </w:p>
        </w:tc>
        <w:tc>
          <w:tcPr>
            <w:tcW w:w="1523" w:type="dxa"/>
            <w:tcBorders>
              <w:top w:val="nil"/>
              <w:left w:val="single" w:sz="4" w:space="0" w:color="auto"/>
              <w:bottom w:val="nil"/>
              <w:right w:val="single" w:sz="4" w:space="0" w:color="auto"/>
            </w:tcBorders>
          </w:tcPr>
          <w:p w14:paraId="31166A74" w14:textId="77777777" w:rsidR="0021273B" w:rsidRPr="0021273B" w:rsidRDefault="0021273B" w:rsidP="0021273B">
            <w:pPr>
              <w:ind w:right="397"/>
              <w:jc w:val="right"/>
              <w:rPr>
                <w:rFonts w:eastAsia="Calibri"/>
                <w:sz w:val="18"/>
                <w:szCs w:val="18"/>
                <w:lang w:val="es-ES" w:eastAsia="en-US"/>
              </w:rPr>
            </w:pPr>
            <w:r w:rsidRPr="0021273B">
              <w:rPr>
                <w:rFonts w:eastAsia="Calibri"/>
                <w:sz w:val="18"/>
                <w:szCs w:val="18"/>
                <w:lang w:val="es-ES" w:eastAsia="en-US"/>
              </w:rPr>
              <w:t>1 213.3</w:t>
            </w:r>
          </w:p>
        </w:tc>
        <w:tc>
          <w:tcPr>
            <w:tcW w:w="1437" w:type="dxa"/>
            <w:tcBorders>
              <w:top w:val="nil"/>
              <w:left w:val="single" w:sz="4" w:space="0" w:color="auto"/>
              <w:bottom w:val="nil"/>
              <w:right w:val="single" w:sz="4" w:space="0" w:color="auto"/>
            </w:tcBorders>
          </w:tcPr>
          <w:p w14:paraId="43FEBBF5" w14:textId="77777777" w:rsidR="0021273B" w:rsidRPr="0021273B" w:rsidRDefault="0021273B" w:rsidP="0021273B">
            <w:pPr>
              <w:ind w:right="454"/>
              <w:jc w:val="right"/>
              <w:rPr>
                <w:rFonts w:eastAsia="Calibri"/>
                <w:sz w:val="18"/>
                <w:szCs w:val="18"/>
                <w:lang w:val="es-ES" w:eastAsia="en-US"/>
              </w:rPr>
            </w:pPr>
            <w:r w:rsidRPr="0021273B">
              <w:rPr>
                <w:rFonts w:eastAsia="Calibri"/>
                <w:sz w:val="18"/>
                <w:szCs w:val="18"/>
                <w:lang w:val="es-ES" w:eastAsia="en-US"/>
              </w:rPr>
              <w:t>-7.5</w:t>
            </w:r>
          </w:p>
        </w:tc>
        <w:tc>
          <w:tcPr>
            <w:tcW w:w="1325" w:type="dxa"/>
            <w:tcBorders>
              <w:top w:val="nil"/>
              <w:left w:val="single" w:sz="4" w:space="0" w:color="auto"/>
              <w:bottom w:val="nil"/>
              <w:right w:val="single" w:sz="4" w:space="0" w:color="auto"/>
            </w:tcBorders>
          </w:tcPr>
          <w:p w14:paraId="1E7D7B59" w14:textId="77777777" w:rsidR="0021273B" w:rsidRPr="0021273B" w:rsidRDefault="0021273B" w:rsidP="0021273B">
            <w:pPr>
              <w:jc w:val="center"/>
              <w:rPr>
                <w:rFonts w:eastAsia="Calibri"/>
                <w:sz w:val="18"/>
                <w:szCs w:val="18"/>
                <w:lang w:val="es-ES" w:eastAsia="en-US"/>
              </w:rPr>
            </w:pPr>
            <w:r w:rsidRPr="0021273B">
              <w:rPr>
                <w:rFonts w:eastAsia="Calibri"/>
                <w:sz w:val="18"/>
                <w:szCs w:val="18"/>
                <w:lang w:val="es-ES" w:eastAsia="en-US"/>
              </w:rPr>
              <w:t>30.5</w:t>
            </w:r>
          </w:p>
        </w:tc>
      </w:tr>
      <w:tr w:rsidR="0021273B" w:rsidRPr="0021273B" w14:paraId="504EFB12" w14:textId="77777777" w:rsidTr="0024633D">
        <w:trPr>
          <w:jc w:val="center"/>
        </w:trPr>
        <w:tc>
          <w:tcPr>
            <w:tcW w:w="3091" w:type="dxa"/>
            <w:tcBorders>
              <w:top w:val="nil"/>
              <w:left w:val="single" w:sz="4" w:space="0" w:color="auto"/>
              <w:bottom w:val="nil"/>
              <w:right w:val="single" w:sz="4" w:space="0" w:color="auto"/>
            </w:tcBorders>
          </w:tcPr>
          <w:p w14:paraId="2F679407" w14:textId="77777777" w:rsidR="0021273B" w:rsidRPr="0021273B" w:rsidRDefault="0021273B" w:rsidP="0021273B">
            <w:pPr>
              <w:jc w:val="both"/>
              <w:rPr>
                <w:rFonts w:eastAsia="Calibri"/>
                <w:sz w:val="18"/>
                <w:szCs w:val="18"/>
                <w:lang w:val="es-ES" w:eastAsia="en-US"/>
              </w:rPr>
            </w:pPr>
            <w:r w:rsidRPr="0021273B">
              <w:rPr>
                <w:rFonts w:eastAsia="Calibri"/>
                <w:sz w:val="18"/>
                <w:szCs w:val="18"/>
                <w:lang w:val="es-ES" w:eastAsia="en-US"/>
              </w:rPr>
              <w:t>No Petroleros</w:t>
            </w:r>
          </w:p>
        </w:tc>
        <w:tc>
          <w:tcPr>
            <w:tcW w:w="1523" w:type="dxa"/>
            <w:tcBorders>
              <w:top w:val="nil"/>
              <w:left w:val="single" w:sz="4" w:space="0" w:color="auto"/>
              <w:bottom w:val="nil"/>
              <w:right w:val="single" w:sz="4" w:space="0" w:color="auto"/>
            </w:tcBorders>
          </w:tcPr>
          <w:p w14:paraId="33A6AEA7" w14:textId="77777777" w:rsidR="0021273B" w:rsidRPr="0021273B" w:rsidRDefault="0021273B" w:rsidP="0021273B">
            <w:pPr>
              <w:ind w:right="397"/>
              <w:jc w:val="right"/>
              <w:rPr>
                <w:rFonts w:eastAsia="Calibri"/>
                <w:sz w:val="18"/>
                <w:szCs w:val="18"/>
                <w:lang w:val="es-ES" w:eastAsia="en-US"/>
              </w:rPr>
            </w:pPr>
            <w:r w:rsidRPr="0021273B">
              <w:rPr>
                <w:rFonts w:eastAsia="Calibri"/>
                <w:sz w:val="18"/>
                <w:szCs w:val="18"/>
                <w:lang w:val="es-ES" w:eastAsia="en-US"/>
              </w:rPr>
              <w:t>2 770.0</w:t>
            </w:r>
          </w:p>
        </w:tc>
        <w:tc>
          <w:tcPr>
            <w:tcW w:w="1437" w:type="dxa"/>
            <w:tcBorders>
              <w:top w:val="nil"/>
              <w:left w:val="single" w:sz="4" w:space="0" w:color="auto"/>
              <w:bottom w:val="nil"/>
              <w:right w:val="single" w:sz="4" w:space="0" w:color="auto"/>
            </w:tcBorders>
          </w:tcPr>
          <w:p w14:paraId="1C871BE8" w14:textId="77777777" w:rsidR="0021273B" w:rsidRPr="0021273B" w:rsidRDefault="0021273B" w:rsidP="0021273B">
            <w:pPr>
              <w:ind w:right="454"/>
              <w:jc w:val="right"/>
              <w:rPr>
                <w:rFonts w:eastAsia="Calibri"/>
                <w:sz w:val="18"/>
                <w:szCs w:val="18"/>
                <w:lang w:val="es-ES" w:eastAsia="en-US"/>
              </w:rPr>
            </w:pPr>
            <w:r w:rsidRPr="0021273B">
              <w:rPr>
                <w:rFonts w:eastAsia="Calibri"/>
                <w:sz w:val="18"/>
                <w:szCs w:val="18"/>
                <w:lang w:val="es-ES" w:eastAsia="en-US"/>
              </w:rPr>
              <w:t>4.9</w:t>
            </w:r>
          </w:p>
        </w:tc>
        <w:tc>
          <w:tcPr>
            <w:tcW w:w="1325" w:type="dxa"/>
            <w:tcBorders>
              <w:top w:val="nil"/>
              <w:left w:val="single" w:sz="4" w:space="0" w:color="auto"/>
              <w:bottom w:val="nil"/>
              <w:right w:val="single" w:sz="4" w:space="0" w:color="auto"/>
            </w:tcBorders>
          </w:tcPr>
          <w:p w14:paraId="06464197" w14:textId="77777777" w:rsidR="0021273B" w:rsidRPr="0021273B" w:rsidRDefault="0021273B" w:rsidP="0021273B">
            <w:pPr>
              <w:jc w:val="center"/>
              <w:rPr>
                <w:rFonts w:eastAsia="Calibri"/>
                <w:sz w:val="18"/>
                <w:szCs w:val="18"/>
                <w:lang w:val="es-ES" w:eastAsia="en-US"/>
              </w:rPr>
            </w:pPr>
            <w:r w:rsidRPr="0021273B">
              <w:rPr>
                <w:rFonts w:eastAsia="Calibri"/>
                <w:sz w:val="18"/>
                <w:szCs w:val="18"/>
                <w:lang w:val="es-ES" w:eastAsia="en-US"/>
              </w:rPr>
              <w:t>69.5</w:t>
            </w:r>
          </w:p>
        </w:tc>
      </w:tr>
      <w:tr w:rsidR="0021273B" w:rsidRPr="0021273B" w14:paraId="121792C0" w14:textId="77777777" w:rsidTr="0024633D">
        <w:trPr>
          <w:jc w:val="center"/>
        </w:trPr>
        <w:tc>
          <w:tcPr>
            <w:tcW w:w="3091" w:type="dxa"/>
            <w:tcBorders>
              <w:top w:val="nil"/>
              <w:left w:val="single" w:sz="4" w:space="0" w:color="auto"/>
              <w:bottom w:val="nil"/>
              <w:right w:val="single" w:sz="4" w:space="0" w:color="auto"/>
            </w:tcBorders>
          </w:tcPr>
          <w:p w14:paraId="0102CABE" w14:textId="77777777" w:rsidR="0021273B" w:rsidRPr="0021273B" w:rsidRDefault="0021273B" w:rsidP="0021273B">
            <w:pPr>
              <w:jc w:val="both"/>
              <w:rPr>
                <w:rFonts w:eastAsia="Calibri"/>
                <w:sz w:val="18"/>
                <w:szCs w:val="18"/>
                <w:highlight w:val="green"/>
                <w:lang w:val="es-ES" w:eastAsia="en-US"/>
              </w:rPr>
            </w:pPr>
            <w:r w:rsidRPr="0021273B">
              <w:rPr>
                <w:rFonts w:eastAsia="Calibri"/>
                <w:sz w:val="18"/>
                <w:szCs w:val="18"/>
                <w:lang w:val="es-ES" w:eastAsia="en-US"/>
              </w:rPr>
              <w:t xml:space="preserve">  Gobierno Federal                   </w:t>
            </w:r>
          </w:p>
        </w:tc>
        <w:tc>
          <w:tcPr>
            <w:tcW w:w="1523" w:type="dxa"/>
            <w:tcBorders>
              <w:top w:val="nil"/>
              <w:left w:val="single" w:sz="4" w:space="0" w:color="auto"/>
              <w:bottom w:val="nil"/>
              <w:right w:val="single" w:sz="4" w:space="0" w:color="auto"/>
            </w:tcBorders>
          </w:tcPr>
          <w:p w14:paraId="63288F66" w14:textId="77777777" w:rsidR="0021273B" w:rsidRPr="0021273B" w:rsidRDefault="0021273B" w:rsidP="0021273B">
            <w:pPr>
              <w:ind w:right="397"/>
              <w:jc w:val="right"/>
              <w:rPr>
                <w:rFonts w:eastAsia="Calibri"/>
                <w:sz w:val="18"/>
                <w:szCs w:val="18"/>
                <w:lang w:val="es-ES" w:eastAsia="en-US"/>
              </w:rPr>
            </w:pPr>
            <w:r w:rsidRPr="0021273B">
              <w:rPr>
                <w:rFonts w:eastAsia="Calibri"/>
                <w:sz w:val="18"/>
                <w:szCs w:val="18"/>
                <w:lang w:val="es-ES" w:eastAsia="en-US"/>
              </w:rPr>
              <w:t>2 888.1</w:t>
            </w:r>
          </w:p>
        </w:tc>
        <w:tc>
          <w:tcPr>
            <w:tcW w:w="1437" w:type="dxa"/>
            <w:tcBorders>
              <w:top w:val="nil"/>
              <w:left w:val="single" w:sz="4" w:space="0" w:color="auto"/>
              <w:bottom w:val="nil"/>
              <w:right w:val="single" w:sz="4" w:space="0" w:color="auto"/>
            </w:tcBorders>
          </w:tcPr>
          <w:p w14:paraId="2612149F" w14:textId="77777777" w:rsidR="0021273B" w:rsidRPr="0021273B" w:rsidRDefault="0021273B" w:rsidP="0021273B">
            <w:pPr>
              <w:ind w:right="454"/>
              <w:jc w:val="right"/>
              <w:rPr>
                <w:rFonts w:eastAsia="Calibri"/>
                <w:sz w:val="18"/>
                <w:szCs w:val="18"/>
                <w:lang w:val="es-ES" w:eastAsia="en-US"/>
              </w:rPr>
            </w:pPr>
            <w:r w:rsidRPr="0021273B">
              <w:rPr>
                <w:rFonts w:eastAsia="Calibri"/>
                <w:sz w:val="18"/>
                <w:szCs w:val="18"/>
                <w:lang w:val="es-ES" w:eastAsia="en-US"/>
              </w:rPr>
              <w:t>2.7</w:t>
            </w:r>
          </w:p>
        </w:tc>
        <w:tc>
          <w:tcPr>
            <w:tcW w:w="1325" w:type="dxa"/>
            <w:tcBorders>
              <w:top w:val="nil"/>
              <w:left w:val="single" w:sz="4" w:space="0" w:color="auto"/>
              <w:bottom w:val="nil"/>
              <w:right w:val="single" w:sz="4" w:space="0" w:color="auto"/>
            </w:tcBorders>
          </w:tcPr>
          <w:p w14:paraId="1EADF187" w14:textId="77777777" w:rsidR="0021273B" w:rsidRPr="0021273B" w:rsidRDefault="0021273B" w:rsidP="0021273B">
            <w:pPr>
              <w:jc w:val="center"/>
              <w:rPr>
                <w:rFonts w:eastAsia="Calibri"/>
                <w:sz w:val="18"/>
                <w:szCs w:val="18"/>
                <w:lang w:val="es-ES" w:eastAsia="en-US"/>
              </w:rPr>
            </w:pPr>
            <w:r w:rsidRPr="0021273B">
              <w:rPr>
                <w:rFonts w:eastAsia="Calibri"/>
                <w:sz w:val="18"/>
                <w:szCs w:val="18"/>
                <w:lang w:val="es-ES" w:eastAsia="en-US"/>
              </w:rPr>
              <w:t>72.5</w:t>
            </w:r>
          </w:p>
        </w:tc>
      </w:tr>
      <w:tr w:rsidR="0021273B" w:rsidRPr="0021273B" w14:paraId="410A0021" w14:textId="77777777" w:rsidTr="0024633D">
        <w:trPr>
          <w:jc w:val="center"/>
        </w:trPr>
        <w:tc>
          <w:tcPr>
            <w:tcW w:w="3091" w:type="dxa"/>
            <w:tcBorders>
              <w:top w:val="nil"/>
              <w:left w:val="single" w:sz="4" w:space="0" w:color="auto"/>
              <w:bottom w:val="nil"/>
              <w:right w:val="single" w:sz="4" w:space="0" w:color="auto"/>
            </w:tcBorders>
          </w:tcPr>
          <w:p w14:paraId="2D6586E6" w14:textId="77777777" w:rsidR="0021273B" w:rsidRPr="0021273B" w:rsidRDefault="0021273B" w:rsidP="0021273B">
            <w:pPr>
              <w:jc w:val="both"/>
              <w:rPr>
                <w:rFonts w:eastAsia="Calibri"/>
                <w:sz w:val="18"/>
                <w:szCs w:val="18"/>
                <w:lang w:val="es-ES" w:eastAsia="en-US"/>
              </w:rPr>
            </w:pPr>
            <w:r w:rsidRPr="0021273B">
              <w:rPr>
                <w:rFonts w:eastAsia="Calibri"/>
                <w:sz w:val="18"/>
                <w:szCs w:val="18"/>
                <w:lang w:val="es-ES" w:eastAsia="en-US"/>
              </w:rPr>
              <w:t xml:space="preserve">    Tributarios</w:t>
            </w:r>
          </w:p>
        </w:tc>
        <w:tc>
          <w:tcPr>
            <w:tcW w:w="1523" w:type="dxa"/>
            <w:tcBorders>
              <w:top w:val="nil"/>
              <w:left w:val="single" w:sz="4" w:space="0" w:color="auto"/>
              <w:bottom w:val="nil"/>
              <w:right w:val="single" w:sz="4" w:space="0" w:color="auto"/>
            </w:tcBorders>
          </w:tcPr>
          <w:p w14:paraId="2AF4F368" w14:textId="77777777" w:rsidR="0021273B" w:rsidRPr="0021273B" w:rsidRDefault="0021273B" w:rsidP="0021273B">
            <w:pPr>
              <w:ind w:right="397"/>
              <w:jc w:val="right"/>
              <w:rPr>
                <w:rFonts w:eastAsia="Calibri"/>
                <w:sz w:val="18"/>
                <w:szCs w:val="18"/>
                <w:lang w:val="es-ES" w:eastAsia="en-US"/>
              </w:rPr>
            </w:pPr>
            <w:r w:rsidRPr="0021273B">
              <w:rPr>
                <w:rFonts w:eastAsia="Calibri"/>
                <w:sz w:val="18"/>
                <w:szCs w:val="18"/>
                <w:lang w:val="es-ES" w:eastAsia="en-US"/>
              </w:rPr>
              <w:t>1 807.8</w:t>
            </w:r>
          </w:p>
        </w:tc>
        <w:tc>
          <w:tcPr>
            <w:tcW w:w="1437" w:type="dxa"/>
            <w:tcBorders>
              <w:top w:val="nil"/>
              <w:left w:val="single" w:sz="4" w:space="0" w:color="auto"/>
              <w:bottom w:val="nil"/>
              <w:right w:val="single" w:sz="4" w:space="0" w:color="auto"/>
            </w:tcBorders>
          </w:tcPr>
          <w:p w14:paraId="122AAC0F" w14:textId="77777777" w:rsidR="0021273B" w:rsidRPr="0021273B" w:rsidRDefault="0021273B" w:rsidP="0021273B">
            <w:pPr>
              <w:ind w:right="454"/>
              <w:jc w:val="right"/>
              <w:rPr>
                <w:rFonts w:eastAsia="Calibri"/>
                <w:sz w:val="18"/>
                <w:szCs w:val="18"/>
                <w:lang w:val="es-ES" w:eastAsia="en-US"/>
              </w:rPr>
            </w:pPr>
            <w:r w:rsidRPr="0021273B">
              <w:rPr>
                <w:rFonts w:eastAsia="Calibri"/>
                <w:sz w:val="18"/>
                <w:szCs w:val="18"/>
                <w:lang w:val="es-ES" w:eastAsia="en-US"/>
              </w:rPr>
              <w:t>11.3</w:t>
            </w:r>
          </w:p>
        </w:tc>
        <w:tc>
          <w:tcPr>
            <w:tcW w:w="1325" w:type="dxa"/>
            <w:tcBorders>
              <w:top w:val="nil"/>
              <w:left w:val="single" w:sz="4" w:space="0" w:color="auto"/>
              <w:bottom w:val="nil"/>
              <w:right w:val="single" w:sz="4" w:space="0" w:color="auto"/>
            </w:tcBorders>
          </w:tcPr>
          <w:p w14:paraId="0A1775AC" w14:textId="77777777" w:rsidR="0021273B" w:rsidRPr="0021273B" w:rsidRDefault="0021273B" w:rsidP="0021273B">
            <w:pPr>
              <w:jc w:val="center"/>
              <w:rPr>
                <w:rFonts w:eastAsia="Calibri"/>
                <w:sz w:val="18"/>
                <w:szCs w:val="18"/>
                <w:lang w:val="es-ES" w:eastAsia="en-US"/>
              </w:rPr>
            </w:pPr>
            <w:r w:rsidRPr="0021273B">
              <w:rPr>
                <w:rFonts w:eastAsia="Calibri"/>
                <w:sz w:val="18"/>
                <w:szCs w:val="18"/>
                <w:lang w:val="es-ES" w:eastAsia="en-US"/>
              </w:rPr>
              <w:t>45.4</w:t>
            </w:r>
          </w:p>
        </w:tc>
      </w:tr>
      <w:tr w:rsidR="0021273B" w:rsidRPr="0021273B" w14:paraId="74A9FB4A" w14:textId="77777777" w:rsidTr="0024633D">
        <w:trPr>
          <w:jc w:val="center"/>
        </w:trPr>
        <w:tc>
          <w:tcPr>
            <w:tcW w:w="3091" w:type="dxa"/>
            <w:tcBorders>
              <w:top w:val="nil"/>
              <w:left w:val="single" w:sz="4" w:space="0" w:color="auto"/>
              <w:bottom w:val="nil"/>
              <w:right w:val="single" w:sz="4" w:space="0" w:color="auto"/>
            </w:tcBorders>
          </w:tcPr>
          <w:p w14:paraId="37B3D81E" w14:textId="77777777" w:rsidR="0021273B" w:rsidRPr="0021273B" w:rsidRDefault="0021273B" w:rsidP="0021273B">
            <w:pPr>
              <w:jc w:val="both"/>
              <w:rPr>
                <w:rFonts w:eastAsia="Calibri"/>
                <w:sz w:val="18"/>
                <w:szCs w:val="18"/>
                <w:lang w:val="es-ES" w:eastAsia="en-US"/>
              </w:rPr>
            </w:pPr>
            <w:r w:rsidRPr="0021273B">
              <w:rPr>
                <w:rFonts w:eastAsia="Calibri"/>
                <w:sz w:val="18"/>
                <w:szCs w:val="18"/>
                <w:lang w:val="es-ES" w:eastAsia="en-US"/>
              </w:rPr>
              <w:t xml:space="preserve">    No Tributarios                    </w:t>
            </w:r>
          </w:p>
        </w:tc>
        <w:tc>
          <w:tcPr>
            <w:tcW w:w="1523" w:type="dxa"/>
            <w:tcBorders>
              <w:top w:val="nil"/>
              <w:left w:val="single" w:sz="4" w:space="0" w:color="auto"/>
              <w:bottom w:val="nil"/>
              <w:right w:val="single" w:sz="4" w:space="0" w:color="auto"/>
            </w:tcBorders>
          </w:tcPr>
          <w:p w14:paraId="0976C07B" w14:textId="77777777" w:rsidR="0021273B" w:rsidRPr="0021273B" w:rsidRDefault="0021273B" w:rsidP="0021273B">
            <w:pPr>
              <w:ind w:right="397"/>
              <w:jc w:val="right"/>
              <w:rPr>
                <w:rFonts w:eastAsia="Calibri"/>
                <w:sz w:val="18"/>
                <w:szCs w:val="18"/>
                <w:lang w:val="es-ES" w:eastAsia="en-US"/>
              </w:rPr>
            </w:pPr>
            <w:r w:rsidRPr="0021273B">
              <w:rPr>
                <w:rFonts w:eastAsia="Calibri"/>
                <w:sz w:val="18"/>
                <w:szCs w:val="18"/>
                <w:lang w:val="es-ES" w:eastAsia="en-US"/>
              </w:rPr>
              <w:t>1 080.2</w:t>
            </w:r>
          </w:p>
        </w:tc>
        <w:tc>
          <w:tcPr>
            <w:tcW w:w="1437" w:type="dxa"/>
            <w:tcBorders>
              <w:top w:val="nil"/>
              <w:left w:val="single" w:sz="4" w:space="0" w:color="auto"/>
              <w:bottom w:val="nil"/>
              <w:right w:val="single" w:sz="4" w:space="0" w:color="auto"/>
            </w:tcBorders>
          </w:tcPr>
          <w:p w14:paraId="2BC2F066" w14:textId="77777777" w:rsidR="0021273B" w:rsidRPr="0021273B" w:rsidRDefault="0021273B" w:rsidP="0021273B">
            <w:pPr>
              <w:ind w:right="454"/>
              <w:jc w:val="right"/>
              <w:rPr>
                <w:rFonts w:eastAsia="Calibri"/>
                <w:sz w:val="18"/>
                <w:szCs w:val="18"/>
                <w:lang w:val="es-ES" w:eastAsia="en-US"/>
              </w:rPr>
            </w:pPr>
            <w:r w:rsidRPr="0021273B">
              <w:rPr>
                <w:rFonts w:eastAsia="Calibri"/>
                <w:sz w:val="18"/>
                <w:szCs w:val="18"/>
                <w:lang w:val="es-ES" w:eastAsia="en-US"/>
              </w:rPr>
              <w:t>-9.0</w:t>
            </w:r>
          </w:p>
        </w:tc>
        <w:tc>
          <w:tcPr>
            <w:tcW w:w="1325" w:type="dxa"/>
            <w:tcBorders>
              <w:top w:val="nil"/>
              <w:left w:val="single" w:sz="4" w:space="0" w:color="auto"/>
              <w:bottom w:val="nil"/>
              <w:right w:val="single" w:sz="4" w:space="0" w:color="auto"/>
            </w:tcBorders>
          </w:tcPr>
          <w:p w14:paraId="708D37FE" w14:textId="77777777" w:rsidR="0021273B" w:rsidRPr="0021273B" w:rsidRDefault="0021273B" w:rsidP="0021273B">
            <w:pPr>
              <w:jc w:val="center"/>
              <w:rPr>
                <w:rFonts w:eastAsia="Calibri"/>
                <w:sz w:val="18"/>
                <w:szCs w:val="18"/>
                <w:lang w:val="es-ES" w:eastAsia="en-US"/>
              </w:rPr>
            </w:pPr>
            <w:r w:rsidRPr="0021273B">
              <w:rPr>
                <w:rFonts w:eastAsia="Calibri"/>
                <w:sz w:val="18"/>
                <w:szCs w:val="18"/>
                <w:lang w:val="es-ES" w:eastAsia="en-US"/>
              </w:rPr>
              <w:t>27.1</w:t>
            </w:r>
          </w:p>
        </w:tc>
      </w:tr>
      <w:tr w:rsidR="0021273B" w:rsidRPr="0021273B" w14:paraId="79C6E0BA" w14:textId="77777777" w:rsidTr="0024633D">
        <w:trPr>
          <w:jc w:val="center"/>
        </w:trPr>
        <w:tc>
          <w:tcPr>
            <w:tcW w:w="3091" w:type="dxa"/>
            <w:tcBorders>
              <w:top w:val="nil"/>
              <w:left w:val="single" w:sz="4" w:space="0" w:color="auto"/>
              <w:bottom w:val="single" w:sz="4" w:space="0" w:color="auto"/>
              <w:right w:val="single" w:sz="4" w:space="0" w:color="auto"/>
            </w:tcBorders>
          </w:tcPr>
          <w:p w14:paraId="381A3501" w14:textId="77777777" w:rsidR="0021273B" w:rsidRPr="0021273B" w:rsidRDefault="0021273B" w:rsidP="0021273B">
            <w:pPr>
              <w:jc w:val="both"/>
              <w:rPr>
                <w:rFonts w:eastAsia="Calibri"/>
                <w:sz w:val="18"/>
                <w:szCs w:val="18"/>
                <w:lang w:val="es-ES" w:eastAsia="en-US"/>
              </w:rPr>
            </w:pPr>
            <w:r w:rsidRPr="0021273B">
              <w:rPr>
                <w:rFonts w:eastAsia="Calibri"/>
                <w:sz w:val="18"/>
                <w:szCs w:val="18"/>
                <w:lang w:val="es-ES" w:eastAsia="en-US"/>
              </w:rPr>
              <w:t xml:space="preserve">  Organismos  y Empresas       </w:t>
            </w:r>
          </w:p>
        </w:tc>
        <w:tc>
          <w:tcPr>
            <w:tcW w:w="1523" w:type="dxa"/>
            <w:tcBorders>
              <w:top w:val="nil"/>
              <w:left w:val="single" w:sz="4" w:space="0" w:color="auto"/>
              <w:bottom w:val="single" w:sz="4" w:space="0" w:color="auto"/>
              <w:right w:val="single" w:sz="4" w:space="0" w:color="auto"/>
            </w:tcBorders>
          </w:tcPr>
          <w:p w14:paraId="60702939" w14:textId="77777777" w:rsidR="0021273B" w:rsidRPr="0021273B" w:rsidRDefault="0021273B" w:rsidP="0021273B">
            <w:pPr>
              <w:ind w:right="397"/>
              <w:jc w:val="right"/>
              <w:rPr>
                <w:rFonts w:eastAsia="Calibri"/>
                <w:sz w:val="18"/>
                <w:szCs w:val="18"/>
                <w:lang w:val="es-ES" w:eastAsia="en-US"/>
              </w:rPr>
            </w:pPr>
            <w:r w:rsidRPr="0021273B">
              <w:rPr>
                <w:rFonts w:eastAsia="Calibri"/>
                <w:sz w:val="18"/>
                <w:szCs w:val="18"/>
                <w:lang w:val="es-ES" w:eastAsia="en-US"/>
              </w:rPr>
              <w:t>1 095.3</w:t>
            </w:r>
          </w:p>
        </w:tc>
        <w:tc>
          <w:tcPr>
            <w:tcW w:w="1437" w:type="dxa"/>
            <w:tcBorders>
              <w:top w:val="nil"/>
              <w:left w:val="single" w:sz="4" w:space="0" w:color="auto"/>
              <w:bottom w:val="single" w:sz="4" w:space="0" w:color="auto"/>
              <w:right w:val="single" w:sz="4" w:space="0" w:color="auto"/>
            </w:tcBorders>
          </w:tcPr>
          <w:p w14:paraId="49EA62F2" w14:textId="77777777" w:rsidR="0021273B" w:rsidRPr="0021273B" w:rsidRDefault="0021273B" w:rsidP="0021273B">
            <w:pPr>
              <w:ind w:right="454"/>
              <w:jc w:val="right"/>
              <w:rPr>
                <w:rFonts w:eastAsia="Calibri"/>
                <w:sz w:val="18"/>
                <w:szCs w:val="18"/>
                <w:lang w:val="es-ES" w:eastAsia="en-US"/>
              </w:rPr>
            </w:pPr>
            <w:r w:rsidRPr="0021273B">
              <w:rPr>
                <w:rFonts w:eastAsia="Calibri"/>
                <w:sz w:val="18"/>
                <w:szCs w:val="18"/>
                <w:lang w:val="es-ES" w:eastAsia="en-US"/>
              </w:rPr>
              <w:t>-4.0</w:t>
            </w:r>
          </w:p>
        </w:tc>
        <w:tc>
          <w:tcPr>
            <w:tcW w:w="1325" w:type="dxa"/>
            <w:tcBorders>
              <w:top w:val="nil"/>
              <w:left w:val="single" w:sz="4" w:space="0" w:color="auto"/>
              <w:bottom w:val="single" w:sz="4" w:space="0" w:color="auto"/>
              <w:right w:val="single" w:sz="4" w:space="0" w:color="auto"/>
            </w:tcBorders>
          </w:tcPr>
          <w:p w14:paraId="3FE2C5B1" w14:textId="77777777" w:rsidR="0021273B" w:rsidRPr="0021273B" w:rsidRDefault="0021273B" w:rsidP="0021273B">
            <w:pPr>
              <w:jc w:val="center"/>
              <w:rPr>
                <w:rFonts w:eastAsia="Calibri"/>
                <w:sz w:val="18"/>
                <w:szCs w:val="18"/>
                <w:lang w:val="es-ES" w:eastAsia="en-US"/>
              </w:rPr>
            </w:pPr>
            <w:r w:rsidRPr="0021273B">
              <w:rPr>
                <w:rFonts w:eastAsia="Calibri"/>
                <w:sz w:val="18"/>
                <w:szCs w:val="18"/>
                <w:lang w:val="es-ES" w:eastAsia="en-US"/>
              </w:rPr>
              <w:t>27.5</w:t>
            </w:r>
          </w:p>
        </w:tc>
      </w:tr>
      <w:tr w:rsidR="0021273B" w:rsidRPr="0021273B" w14:paraId="1AAEE029" w14:textId="77777777" w:rsidTr="0024633D">
        <w:trPr>
          <w:jc w:val="center"/>
        </w:trPr>
        <w:tc>
          <w:tcPr>
            <w:tcW w:w="7376" w:type="dxa"/>
            <w:gridSpan w:val="4"/>
            <w:tcBorders>
              <w:top w:val="single" w:sz="4" w:space="0" w:color="auto"/>
              <w:left w:val="nil"/>
              <w:bottom w:val="nil"/>
              <w:right w:val="nil"/>
            </w:tcBorders>
          </w:tcPr>
          <w:p w14:paraId="5DA84012" w14:textId="77777777" w:rsidR="0021273B" w:rsidRPr="0021273B" w:rsidRDefault="0021273B" w:rsidP="0021273B">
            <w:pPr>
              <w:jc w:val="both"/>
              <w:rPr>
                <w:rFonts w:eastAsia="Calibri"/>
                <w:sz w:val="20"/>
                <w:szCs w:val="20"/>
                <w:highlight w:val="green"/>
                <w:lang w:val="es-ES" w:eastAsia="en-US"/>
              </w:rPr>
            </w:pPr>
            <w:r w:rsidRPr="0021273B">
              <w:rPr>
                <w:rFonts w:eastAsia="Calibri"/>
                <w:sz w:val="20"/>
                <w:szCs w:val="20"/>
                <w:lang w:val="es-ES" w:eastAsia="en-US"/>
              </w:rPr>
              <w:t>FUENTE: BBVA Research con información de la SHCP.</w:t>
            </w:r>
          </w:p>
        </w:tc>
      </w:tr>
    </w:tbl>
    <w:p w14:paraId="41DA54C5" w14:textId="77777777" w:rsidR="0021273B" w:rsidRPr="0021273B" w:rsidRDefault="0021273B" w:rsidP="0021273B">
      <w:pPr>
        <w:spacing w:after="360" w:line="360" w:lineRule="auto"/>
        <w:ind w:right="-159"/>
        <w:jc w:val="both"/>
        <w:rPr>
          <w:rFonts w:eastAsia="Calibri"/>
          <w:sz w:val="26"/>
          <w:szCs w:val="26"/>
          <w:lang w:val="es-ES" w:eastAsia="en-US"/>
        </w:rPr>
      </w:pPr>
    </w:p>
    <w:tbl>
      <w:tblPr>
        <w:tblW w:w="7376" w:type="dxa"/>
        <w:jc w:val="center"/>
        <w:tblLook w:val="04A0" w:firstRow="1" w:lastRow="0" w:firstColumn="1" w:lastColumn="0" w:noHBand="0" w:noVBand="1"/>
      </w:tblPr>
      <w:tblGrid>
        <w:gridCol w:w="3091"/>
        <w:gridCol w:w="1523"/>
        <w:gridCol w:w="1437"/>
        <w:gridCol w:w="1325"/>
      </w:tblGrid>
      <w:tr w:rsidR="0021273B" w:rsidRPr="0021273B" w14:paraId="67C24A4D" w14:textId="77777777" w:rsidTr="0024633D">
        <w:trPr>
          <w:jc w:val="center"/>
        </w:trPr>
        <w:tc>
          <w:tcPr>
            <w:tcW w:w="7376" w:type="dxa"/>
            <w:gridSpan w:val="4"/>
            <w:tcBorders>
              <w:top w:val="nil"/>
              <w:left w:val="nil"/>
              <w:bottom w:val="single" w:sz="4" w:space="0" w:color="auto"/>
              <w:right w:val="nil"/>
            </w:tcBorders>
          </w:tcPr>
          <w:p w14:paraId="6FF2D52B" w14:textId="77777777" w:rsidR="0021273B" w:rsidRPr="0021273B" w:rsidRDefault="0021273B" w:rsidP="0021273B">
            <w:pPr>
              <w:jc w:val="center"/>
              <w:rPr>
                <w:rFonts w:eastAsia="Calibri"/>
                <w:b/>
                <w:sz w:val="22"/>
                <w:szCs w:val="22"/>
                <w:lang w:val="es-ES" w:eastAsia="en-US"/>
              </w:rPr>
            </w:pPr>
            <w:r w:rsidRPr="0021273B">
              <w:rPr>
                <w:rFonts w:eastAsia="Calibri"/>
                <w:b/>
                <w:sz w:val="22"/>
                <w:szCs w:val="22"/>
                <w:lang w:val="es-ES" w:eastAsia="en-US"/>
              </w:rPr>
              <w:t>GASTO DEL SECTOR PÚBLICO PRESUPUESTARIO</w:t>
            </w:r>
          </w:p>
          <w:p w14:paraId="51E8B706" w14:textId="77777777" w:rsidR="0021273B" w:rsidRPr="0021273B" w:rsidRDefault="0021273B" w:rsidP="0021273B">
            <w:pPr>
              <w:jc w:val="center"/>
              <w:rPr>
                <w:rFonts w:eastAsia="Calibri"/>
                <w:b/>
                <w:sz w:val="22"/>
                <w:szCs w:val="22"/>
                <w:highlight w:val="green"/>
                <w:lang w:val="es-ES" w:eastAsia="en-US"/>
              </w:rPr>
            </w:pPr>
            <w:r w:rsidRPr="0021273B">
              <w:rPr>
                <w:rFonts w:eastAsia="Calibri"/>
                <w:b/>
                <w:sz w:val="22"/>
                <w:szCs w:val="22"/>
                <w:lang w:val="es-ES" w:eastAsia="en-US"/>
              </w:rPr>
              <w:t>-Cifras acumuladas en miles de millones de pesos-</w:t>
            </w:r>
          </w:p>
        </w:tc>
      </w:tr>
      <w:tr w:rsidR="0021273B" w:rsidRPr="0021273B" w14:paraId="1D033411" w14:textId="77777777" w:rsidTr="0024633D">
        <w:trPr>
          <w:jc w:val="center"/>
        </w:trPr>
        <w:tc>
          <w:tcPr>
            <w:tcW w:w="3091" w:type="dxa"/>
            <w:vMerge w:val="restart"/>
            <w:tcBorders>
              <w:top w:val="single" w:sz="4" w:space="0" w:color="auto"/>
              <w:left w:val="single" w:sz="4" w:space="0" w:color="auto"/>
              <w:bottom w:val="single" w:sz="4" w:space="0" w:color="auto"/>
              <w:right w:val="single" w:sz="4" w:space="0" w:color="auto"/>
            </w:tcBorders>
          </w:tcPr>
          <w:p w14:paraId="23A9661C" w14:textId="77777777" w:rsidR="0021273B" w:rsidRPr="0021273B" w:rsidRDefault="0021273B" w:rsidP="0021273B">
            <w:pPr>
              <w:jc w:val="both"/>
              <w:rPr>
                <w:rFonts w:eastAsia="Calibri"/>
                <w:sz w:val="18"/>
                <w:szCs w:val="18"/>
                <w:highlight w:val="green"/>
                <w:lang w:val="es-ES" w:eastAsia="en-US"/>
              </w:rPr>
            </w:pPr>
          </w:p>
        </w:tc>
        <w:tc>
          <w:tcPr>
            <w:tcW w:w="4285" w:type="dxa"/>
            <w:gridSpan w:val="3"/>
            <w:tcBorders>
              <w:top w:val="single" w:sz="4" w:space="0" w:color="auto"/>
              <w:left w:val="single" w:sz="4" w:space="0" w:color="auto"/>
              <w:bottom w:val="single" w:sz="4" w:space="0" w:color="auto"/>
              <w:right w:val="single" w:sz="4" w:space="0" w:color="auto"/>
            </w:tcBorders>
          </w:tcPr>
          <w:p w14:paraId="34BEF67F" w14:textId="77777777" w:rsidR="0021273B" w:rsidRPr="0021273B" w:rsidRDefault="0021273B" w:rsidP="0021273B">
            <w:pPr>
              <w:jc w:val="center"/>
              <w:rPr>
                <w:rFonts w:eastAsia="Calibri"/>
                <w:b/>
                <w:sz w:val="18"/>
                <w:szCs w:val="18"/>
                <w:lang w:val="es-ES" w:eastAsia="en-US"/>
              </w:rPr>
            </w:pPr>
            <w:r w:rsidRPr="0021273B">
              <w:rPr>
                <w:rFonts w:eastAsia="Calibri"/>
                <w:b/>
                <w:sz w:val="18"/>
                <w:szCs w:val="18"/>
                <w:lang w:val="es-ES" w:eastAsia="en-US"/>
              </w:rPr>
              <w:t>Enero-Diciembre 2014</w:t>
            </w:r>
          </w:p>
        </w:tc>
      </w:tr>
      <w:tr w:rsidR="0021273B" w:rsidRPr="0021273B" w14:paraId="1AC23954" w14:textId="77777777" w:rsidTr="0024633D">
        <w:trPr>
          <w:jc w:val="center"/>
        </w:trPr>
        <w:tc>
          <w:tcPr>
            <w:tcW w:w="3091" w:type="dxa"/>
            <w:vMerge/>
            <w:tcBorders>
              <w:top w:val="single" w:sz="4" w:space="0" w:color="auto"/>
              <w:left w:val="single" w:sz="4" w:space="0" w:color="auto"/>
              <w:bottom w:val="single" w:sz="4" w:space="0" w:color="auto"/>
              <w:right w:val="single" w:sz="4" w:space="0" w:color="auto"/>
            </w:tcBorders>
          </w:tcPr>
          <w:p w14:paraId="1EF1200F" w14:textId="77777777" w:rsidR="0021273B" w:rsidRPr="0021273B" w:rsidRDefault="0021273B" w:rsidP="0021273B">
            <w:pPr>
              <w:jc w:val="both"/>
              <w:rPr>
                <w:rFonts w:eastAsia="Calibri"/>
                <w:sz w:val="18"/>
                <w:szCs w:val="18"/>
                <w:highlight w:val="green"/>
                <w:lang w:val="es-ES" w:eastAsia="en-US"/>
              </w:rPr>
            </w:pPr>
          </w:p>
        </w:tc>
        <w:tc>
          <w:tcPr>
            <w:tcW w:w="1523" w:type="dxa"/>
            <w:tcBorders>
              <w:top w:val="single" w:sz="4" w:space="0" w:color="auto"/>
              <w:left w:val="single" w:sz="4" w:space="0" w:color="auto"/>
              <w:bottom w:val="single" w:sz="4" w:space="0" w:color="auto"/>
              <w:right w:val="single" w:sz="4" w:space="0" w:color="auto"/>
            </w:tcBorders>
          </w:tcPr>
          <w:p w14:paraId="2367958D" w14:textId="77777777" w:rsidR="0021273B" w:rsidRPr="0021273B" w:rsidRDefault="0021273B" w:rsidP="0021273B">
            <w:pPr>
              <w:jc w:val="center"/>
              <w:rPr>
                <w:rFonts w:eastAsia="Calibri"/>
                <w:b/>
                <w:sz w:val="18"/>
                <w:szCs w:val="18"/>
                <w:lang w:val="es-ES" w:eastAsia="en-US"/>
              </w:rPr>
            </w:pPr>
            <w:r w:rsidRPr="0021273B">
              <w:rPr>
                <w:rFonts w:eastAsia="Calibri"/>
                <w:b/>
                <w:sz w:val="18"/>
                <w:szCs w:val="18"/>
                <w:lang w:val="es-ES" w:eastAsia="en-US"/>
              </w:rPr>
              <w:t xml:space="preserve">Monto </w:t>
            </w:r>
          </w:p>
        </w:tc>
        <w:tc>
          <w:tcPr>
            <w:tcW w:w="1437" w:type="dxa"/>
            <w:tcBorders>
              <w:top w:val="single" w:sz="4" w:space="0" w:color="auto"/>
              <w:left w:val="single" w:sz="4" w:space="0" w:color="auto"/>
              <w:bottom w:val="single" w:sz="4" w:space="0" w:color="auto"/>
              <w:right w:val="single" w:sz="4" w:space="0" w:color="auto"/>
            </w:tcBorders>
          </w:tcPr>
          <w:p w14:paraId="57E0FB3E" w14:textId="77777777" w:rsidR="0021273B" w:rsidRPr="0021273B" w:rsidRDefault="0021273B" w:rsidP="0021273B">
            <w:pPr>
              <w:jc w:val="center"/>
              <w:rPr>
                <w:rFonts w:eastAsia="Calibri"/>
                <w:b/>
                <w:sz w:val="18"/>
                <w:szCs w:val="18"/>
                <w:lang w:val="es-ES" w:eastAsia="en-US"/>
              </w:rPr>
            </w:pPr>
            <w:r w:rsidRPr="0021273B">
              <w:rPr>
                <w:rFonts w:eastAsia="Calibri"/>
                <w:b/>
                <w:sz w:val="18"/>
                <w:szCs w:val="18"/>
                <w:lang w:val="es-ES" w:eastAsia="en-US"/>
              </w:rPr>
              <w:t>Var. % real</w:t>
            </w:r>
          </w:p>
        </w:tc>
        <w:tc>
          <w:tcPr>
            <w:tcW w:w="1325" w:type="dxa"/>
            <w:tcBorders>
              <w:top w:val="single" w:sz="4" w:space="0" w:color="auto"/>
              <w:left w:val="single" w:sz="4" w:space="0" w:color="auto"/>
              <w:bottom w:val="single" w:sz="4" w:space="0" w:color="auto"/>
              <w:right w:val="single" w:sz="4" w:space="0" w:color="auto"/>
            </w:tcBorders>
          </w:tcPr>
          <w:p w14:paraId="6D135C20" w14:textId="77777777" w:rsidR="0021273B" w:rsidRPr="0021273B" w:rsidRDefault="0021273B" w:rsidP="0021273B">
            <w:pPr>
              <w:jc w:val="center"/>
              <w:rPr>
                <w:rFonts w:eastAsia="Calibri"/>
                <w:b/>
                <w:sz w:val="18"/>
                <w:szCs w:val="18"/>
                <w:lang w:val="es-ES" w:eastAsia="en-US"/>
              </w:rPr>
            </w:pPr>
            <w:r w:rsidRPr="0021273B">
              <w:rPr>
                <w:rFonts w:eastAsia="Calibri"/>
                <w:b/>
                <w:sz w:val="18"/>
                <w:szCs w:val="18"/>
                <w:lang w:val="es-ES" w:eastAsia="en-US"/>
              </w:rPr>
              <w:t>Estruc. %</w:t>
            </w:r>
          </w:p>
        </w:tc>
      </w:tr>
      <w:tr w:rsidR="0021273B" w:rsidRPr="0021273B" w14:paraId="38DF65C5" w14:textId="77777777" w:rsidTr="0024633D">
        <w:trPr>
          <w:jc w:val="center"/>
        </w:trPr>
        <w:tc>
          <w:tcPr>
            <w:tcW w:w="3091" w:type="dxa"/>
            <w:tcBorders>
              <w:top w:val="single" w:sz="4" w:space="0" w:color="auto"/>
              <w:left w:val="single" w:sz="4" w:space="0" w:color="auto"/>
              <w:bottom w:val="nil"/>
              <w:right w:val="single" w:sz="4" w:space="0" w:color="auto"/>
            </w:tcBorders>
          </w:tcPr>
          <w:p w14:paraId="281E0F2D" w14:textId="77777777" w:rsidR="0021273B" w:rsidRPr="0021273B" w:rsidRDefault="0021273B" w:rsidP="0021273B">
            <w:pPr>
              <w:jc w:val="both"/>
              <w:rPr>
                <w:rFonts w:eastAsia="Calibri"/>
                <w:b/>
                <w:sz w:val="18"/>
                <w:szCs w:val="18"/>
                <w:lang w:val="es-ES" w:eastAsia="en-US"/>
              </w:rPr>
            </w:pPr>
            <w:r w:rsidRPr="0021273B">
              <w:rPr>
                <w:rFonts w:eastAsia="Calibri"/>
                <w:b/>
                <w:sz w:val="18"/>
                <w:szCs w:val="18"/>
                <w:lang w:val="es-ES" w:eastAsia="en-US"/>
              </w:rPr>
              <w:t>Total</w:t>
            </w:r>
          </w:p>
        </w:tc>
        <w:tc>
          <w:tcPr>
            <w:tcW w:w="1523" w:type="dxa"/>
            <w:tcBorders>
              <w:top w:val="single" w:sz="4" w:space="0" w:color="auto"/>
              <w:left w:val="single" w:sz="4" w:space="0" w:color="auto"/>
              <w:bottom w:val="nil"/>
              <w:right w:val="single" w:sz="4" w:space="0" w:color="auto"/>
            </w:tcBorders>
          </w:tcPr>
          <w:p w14:paraId="24390C03" w14:textId="77777777" w:rsidR="0021273B" w:rsidRPr="0021273B" w:rsidRDefault="0021273B" w:rsidP="0021273B">
            <w:pPr>
              <w:ind w:right="397"/>
              <w:jc w:val="right"/>
              <w:rPr>
                <w:rFonts w:eastAsia="Calibri"/>
                <w:b/>
                <w:sz w:val="18"/>
                <w:szCs w:val="18"/>
                <w:lang w:val="es-ES" w:eastAsia="en-US"/>
              </w:rPr>
            </w:pPr>
            <w:r w:rsidRPr="0021273B">
              <w:rPr>
                <w:rFonts w:eastAsia="Calibri"/>
                <w:b/>
                <w:sz w:val="18"/>
                <w:szCs w:val="18"/>
                <w:lang w:val="es-ES" w:eastAsia="en-US"/>
              </w:rPr>
              <w:t>4 530.6</w:t>
            </w:r>
          </w:p>
        </w:tc>
        <w:tc>
          <w:tcPr>
            <w:tcW w:w="1437" w:type="dxa"/>
            <w:tcBorders>
              <w:top w:val="single" w:sz="4" w:space="0" w:color="auto"/>
              <w:left w:val="single" w:sz="4" w:space="0" w:color="auto"/>
              <w:bottom w:val="nil"/>
              <w:right w:val="single" w:sz="4" w:space="0" w:color="auto"/>
            </w:tcBorders>
          </w:tcPr>
          <w:p w14:paraId="3B8EA0B0" w14:textId="77777777" w:rsidR="0021273B" w:rsidRPr="0021273B" w:rsidRDefault="0021273B" w:rsidP="0021273B">
            <w:pPr>
              <w:ind w:right="454"/>
              <w:jc w:val="right"/>
              <w:rPr>
                <w:rFonts w:eastAsia="Calibri"/>
                <w:b/>
                <w:sz w:val="18"/>
                <w:szCs w:val="18"/>
                <w:lang w:val="es-ES" w:eastAsia="en-US"/>
              </w:rPr>
            </w:pPr>
            <w:r w:rsidRPr="0021273B">
              <w:rPr>
                <w:rFonts w:eastAsia="Calibri"/>
                <w:b/>
                <w:sz w:val="18"/>
                <w:szCs w:val="18"/>
                <w:lang w:val="es-ES" w:eastAsia="en-US"/>
              </w:rPr>
              <w:t>4.2</w:t>
            </w:r>
          </w:p>
        </w:tc>
        <w:tc>
          <w:tcPr>
            <w:tcW w:w="1325" w:type="dxa"/>
            <w:tcBorders>
              <w:top w:val="single" w:sz="4" w:space="0" w:color="auto"/>
              <w:left w:val="single" w:sz="4" w:space="0" w:color="auto"/>
              <w:bottom w:val="nil"/>
              <w:right w:val="single" w:sz="4" w:space="0" w:color="auto"/>
            </w:tcBorders>
          </w:tcPr>
          <w:p w14:paraId="69B7525B" w14:textId="77777777" w:rsidR="0021273B" w:rsidRPr="0021273B" w:rsidRDefault="0021273B" w:rsidP="0021273B">
            <w:pPr>
              <w:jc w:val="center"/>
              <w:rPr>
                <w:rFonts w:eastAsia="Calibri"/>
                <w:b/>
                <w:sz w:val="18"/>
                <w:szCs w:val="18"/>
                <w:lang w:val="es-ES" w:eastAsia="en-US"/>
              </w:rPr>
            </w:pPr>
            <w:r w:rsidRPr="0021273B">
              <w:rPr>
                <w:rFonts w:eastAsia="Calibri"/>
                <w:b/>
                <w:sz w:val="18"/>
                <w:szCs w:val="18"/>
                <w:lang w:val="es-ES" w:eastAsia="en-US"/>
              </w:rPr>
              <w:t>100.0</w:t>
            </w:r>
          </w:p>
        </w:tc>
      </w:tr>
      <w:tr w:rsidR="0021273B" w:rsidRPr="0021273B" w14:paraId="054F9748" w14:textId="77777777" w:rsidTr="0024633D">
        <w:trPr>
          <w:jc w:val="center"/>
        </w:trPr>
        <w:tc>
          <w:tcPr>
            <w:tcW w:w="3091" w:type="dxa"/>
            <w:tcBorders>
              <w:top w:val="nil"/>
              <w:left w:val="single" w:sz="4" w:space="0" w:color="auto"/>
              <w:bottom w:val="nil"/>
              <w:right w:val="single" w:sz="4" w:space="0" w:color="auto"/>
            </w:tcBorders>
          </w:tcPr>
          <w:p w14:paraId="6D5001F1" w14:textId="77777777" w:rsidR="0021273B" w:rsidRPr="0021273B" w:rsidRDefault="0021273B" w:rsidP="0021273B">
            <w:pPr>
              <w:jc w:val="both"/>
              <w:rPr>
                <w:rFonts w:eastAsia="Calibri"/>
                <w:sz w:val="18"/>
                <w:szCs w:val="18"/>
                <w:lang w:val="es-ES" w:eastAsia="en-US"/>
              </w:rPr>
            </w:pPr>
            <w:r w:rsidRPr="0021273B">
              <w:rPr>
                <w:rFonts w:eastAsia="Calibri"/>
                <w:sz w:val="18"/>
                <w:szCs w:val="18"/>
                <w:lang w:val="es-ES" w:eastAsia="en-US"/>
              </w:rPr>
              <w:t xml:space="preserve">  Gasto Programable</w:t>
            </w:r>
          </w:p>
        </w:tc>
        <w:tc>
          <w:tcPr>
            <w:tcW w:w="1523" w:type="dxa"/>
            <w:tcBorders>
              <w:top w:val="nil"/>
              <w:left w:val="single" w:sz="4" w:space="0" w:color="auto"/>
              <w:bottom w:val="nil"/>
              <w:right w:val="single" w:sz="4" w:space="0" w:color="auto"/>
            </w:tcBorders>
          </w:tcPr>
          <w:p w14:paraId="3167706A" w14:textId="77777777" w:rsidR="0021273B" w:rsidRPr="0021273B" w:rsidRDefault="0021273B" w:rsidP="0021273B">
            <w:pPr>
              <w:ind w:right="397"/>
              <w:jc w:val="right"/>
              <w:rPr>
                <w:rFonts w:eastAsia="Calibri"/>
                <w:sz w:val="18"/>
                <w:szCs w:val="18"/>
                <w:lang w:val="es-ES" w:eastAsia="en-US"/>
              </w:rPr>
            </w:pPr>
            <w:r w:rsidRPr="0021273B">
              <w:rPr>
                <w:rFonts w:eastAsia="Calibri"/>
                <w:sz w:val="18"/>
                <w:szCs w:val="18"/>
                <w:lang w:val="es-ES" w:eastAsia="en-US"/>
              </w:rPr>
              <w:t>3 580.3</w:t>
            </w:r>
          </w:p>
        </w:tc>
        <w:tc>
          <w:tcPr>
            <w:tcW w:w="1437" w:type="dxa"/>
            <w:tcBorders>
              <w:top w:val="nil"/>
              <w:left w:val="single" w:sz="4" w:space="0" w:color="auto"/>
              <w:bottom w:val="nil"/>
              <w:right w:val="single" w:sz="4" w:space="0" w:color="auto"/>
            </w:tcBorders>
          </w:tcPr>
          <w:p w14:paraId="685061B4" w14:textId="77777777" w:rsidR="0021273B" w:rsidRPr="0021273B" w:rsidRDefault="0021273B" w:rsidP="0021273B">
            <w:pPr>
              <w:ind w:right="454"/>
              <w:jc w:val="right"/>
              <w:rPr>
                <w:rFonts w:eastAsia="Calibri"/>
                <w:sz w:val="18"/>
                <w:szCs w:val="18"/>
                <w:lang w:val="es-ES" w:eastAsia="en-US"/>
              </w:rPr>
            </w:pPr>
            <w:r w:rsidRPr="0021273B">
              <w:rPr>
                <w:rFonts w:eastAsia="Calibri"/>
                <w:sz w:val="18"/>
                <w:szCs w:val="18"/>
                <w:lang w:val="es-ES" w:eastAsia="en-US"/>
              </w:rPr>
              <w:t>3.8</w:t>
            </w:r>
          </w:p>
        </w:tc>
        <w:tc>
          <w:tcPr>
            <w:tcW w:w="1325" w:type="dxa"/>
            <w:tcBorders>
              <w:top w:val="nil"/>
              <w:left w:val="single" w:sz="4" w:space="0" w:color="auto"/>
              <w:bottom w:val="nil"/>
              <w:right w:val="single" w:sz="4" w:space="0" w:color="auto"/>
            </w:tcBorders>
          </w:tcPr>
          <w:p w14:paraId="6EC1365E" w14:textId="77777777" w:rsidR="0021273B" w:rsidRPr="0021273B" w:rsidRDefault="0021273B" w:rsidP="0021273B">
            <w:pPr>
              <w:jc w:val="center"/>
              <w:rPr>
                <w:rFonts w:eastAsia="Calibri"/>
                <w:sz w:val="18"/>
                <w:szCs w:val="18"/>
                <w:lang w:val="es-ES" w:eastAsia="en-US"/>
              </w:rPr>
            </w:pPr>
            <w:r w:rsidRPr="0021273B">
              <w:rPr>
                <w:rFonts w:eastAsia="Calibri"/>
                <w:sz w:val="18"/>
                <w:szCs w:val="18"/>
                <w:lang w:val="es-ES" w:eastAsia="en-US"/>
              </w:rPr>
              <w:t>79.0</w:t>
            </w:r>
          </w:p>
        </w:tc>
      </w:tr>
      <w:tr w:rsidR="0021273B" w:rsidRPr="0021273B" w14:paraId="0B677400" w14:textId="77777777" w:rsidTr="0024633D">
        <w:trPr>
          <w:jc w:val="center"/>
        </w:trPr>
        <w:tc>
          <w:tcPr>
            <w:tcW w:w="3091" w:type="dxa"/>
            <w:tcBorders>
              <w:top w:val="nil"/>
              <w:left w:val="single" w:sz="4" w:space="0" w:color="auto"/>
              <w:bottom w:val="nil"/>
              <w:right w:val="single" w:sz="4" w:space="0" w:color="auto"/>
            </w:tcBorders>
          </w:tcPr>
          <w:p w14:paraId="596B649F" w14:textId="77777777" w:rsidR="0021273B" w:rsidRPr="0021273B" w:rsidRDefault="0021273B" w:rsidP="0021273B">
            <w:pPr>
              <w:jc w:val="both"/>
              <w:rPr>
                <w:rFonts w:eastAsia="Calibri"/>
                <w:sz w:val="18"/>
                <w:szCs w:val="18"/>
                <w:lang w:val="es-ES" w:eastAsia="en-US"/>
              </w:rPr>
            </w:pPr>
            <w:r w:rsidRPr="0021273B">
              <w:rPr>
                <w:rFonts w:eastAsia="Calibri"/>
                <w:sz w:val="18"/>
                <w:szCs w:val="18"/>
                <w:lang w:val="es-ES" w:eastAsia="en-US"/>
              </w:rPr>
              <w:t xml:space="preserve">    Gasto Corriente</w:t>
            </w:r>
          </w:p>
        </w:tc>
        <w:tc>
          <w:tcPr>
            <w:tcW w:w="1523" w:type="dxa"/>
            <w:tcBorders>
              <w:top w:val="nil"/>
              <w:left w:val="single" w:sz="4" w:space="0" w:color="auto"/>
              <w:bottom w:val="nil"/>
              <w:right w:val="single" w:sz="4" w:space="0" w:color="auto"/>
            </w:tcBorders>
          </w:tcPr>
          <w:p w14:paraId="07FFFBD6" w14:textId="77777777" w:rsidR="0021273B" w:rsidRPr="0021273B" w:rsidRDefault="0021273B" w:rsidP="0021273B">
            <w:pPr>
              <w:ind w:right="397"/>
              <w:jc w:val="right"/>
              <w:rPr>
                <w:rFonts w:eastAsia="Calibri"/>
                <w:sz w:val="18"/>
                <w:szCs w:val="18"/>
                <w:lang w:val="es-ES" w:eastAsia="en-US"/>
              </w:rPr>
            </w:pPr>
            <w:r w:rsidRPr="0021273B">
              <w:rPr>
                <w:rFonts w:eastAsia="Calibri"/>
                <w:sz w:val="18"/>
                <w:szCs w:val="18"/>
                <w:lang w:val="es-ES" w:eastAsia="en-US"/>
              </w:rPr>
              <w:t>2 682.9</w:t>
            </w:r>
          </w:p>
        </w:tc>
        <w:tc>
          <w:tcPr>
            <w:tcW w:w="1437" w:type="dxa"/>
            <w:tcBorders>
              <w:top w:val="nil"/>
              <w:left w:val="single" w:sz="4" w:space="0" w:color="auto"/>
              <w:bottom w:val="nil"/>
              <w:right w:val="single" w:sz="4" w:space="0" w:color="auto"/>
            </w:tcBorders>
          </w:tcPr>
          <w:p w14:paraId="026CEC94" w14:textId="77777777" w:rsidR="0021273B" w:rsidRPr="0021273B" w:rsidRDefault="0021273B" w:rsidP="0021273B">
            <w:pPr>
              <w:ind w:right="454"/>
              <w:jc w:val="right"/>
              <w:rPr>
                <w:rFonts w:eastAsia="Calibri"/>
                <w:sz w:val="18"/>
                <w:szCs w:val="18"/>
                <w:lang w:val="es-ES" w:eastAsia="en-US"/>
              </w:rPr>
            </w:pPr>
            <w:r w:rsidRPr="0021273B">
              <w:rPr>
                <w:rFonts w:eastAsia="Calibri"/>
                <w:sz w:val="18"/>
                <w:szCs w:val="18"/>
                <w:lang w:val="es-ES" w:eastAsia="en-US"/>
              </w:rPr>
              <w:t>5.7</w:t>
            </w:r>
          </w:p>
        </w:tc>
        <w:tc>
          <w:tcPr>
            <w:tcW w:w="1325" w:type="dxa"/>
            <w:tcBorders>
              <w:top w:val="nil"/>
              <w:left w:val="single" w:sz="4" w:space="0" w:color="auto"/>
              <w:bottom w:val="nil"/>
              <w:right w:val="single" w:sz="4" w:space="0" w:color="auto"/>
            </w:tcBorders>
          </w:tcPr>
          <w:p w14:paraId="27BCA735" w14:textId="77777777" w:rsidR="0021273B" w:rsidRPr="0021273B" w:rsidRDefault="0021273B" w:rsidP="0021273B">
            <w:pPr>
              <w:jc w:val="center"/>
              <w:rPr>
                <w:rFonts w:eastAsia="Calibri"/>
                <w:sz w:val="18"/>
                <w:szCs w:val="18"/>
                <w:lang w:val="es-ES" w:eastAsia="en-US"/>
              </w:rPr>
            </w:pPr>
            <w:r w:rsidRPr="0021273B">
              <w:rPr>
                <w:rFonts w:eastAsia="Calibri"/>
                <w:sz w:val="18"/>
                <w:szCs w:val="18"/>
                <w:lang w:val="es-ES" w:eastAsia="en-US"/>
              </w:rPr>
              <w:t>59.2</w:t>
            </w:r>
          </w:p>
        </w:tc>
      </w:tr>
      <w:tr w:rsidR="0021273B" w:rsidRPr="0021273B" w14:paraId="4AE0DE20" w14:textId="77777777" w:rsidTr="0024633D">
        <w:trPr>
          <w:jc w:val="center"/>
        </w:trPr>
        <w:tc>
          <w:tcPr>
            <w:tcW w:w="3091" w:type="dxa"/>
            <w:tcBorders>
              <w:top w:val="nil"/>
              <w:left w:val="single" w:sz="4" w:space="0" w:color="auto"/>
              <w:bottom w:val="nil"/>
              <w:right w:val="single" w:sz="4" w:space="0" w:color="auto"/>
            </w:tcBorders>
          </w:tcPr>
          <w:p w14:paraId="1AD9E304" w14:textId="77777777" w:rsidR="0021273B" w:rsidRPr="0021273B" w:rsidRDefault="0021273B" w:rsidP="0021273B">
            <w:pPr>
              <w:jc w:val="both"/>
              <w:rPr>
                <w:rFonts w:eastAsia="Calibri"/>
                <w:sz w:val="18"/>
                <w:szCs w:val="18"/>
                <w:lang w:val="es-ES" w:eastAsia="en-US"/>
              </w:rPr>
            </w:pPr>
            <w:r w:rsidRPr="0021273B">
              <w:rPr>
                <w:rFonts w:eastAsia="Calibri"/>
                <w:sz w:val="18"/>
                <w:szCs w:val="18"/>
                <w:lang w:val="es-ES" w:eastAsia="en-US"/>
              </w:rPr>
              <w:t xml:space="preserve">    Gasto de Capital</w:t>
            </w:r>
          </w:p>
        </w:tc>
        <w:tc>
          <w:tcPr>
            <w:tcW w:w="1523" w:type="dxa"/>
            <w:tcBorders>
              <w:top w:val="nil"/>
              <w:left w:val="single" w:sz="4" w:space="0" w:color="auto"/>
              <w:bottom w:val="nil"/>
              <w:right w:val="single" w:sz="4" w:space="0" w:color="auto"/>
            </w:tcBorders>
          </w:tcPr>
          <w:p w14:paraId="33E6E114" w14:textId="77777777" w:rsidR="0021273B" w:rsidRPr="0021273B" w:rsidRDefault="0021273B" w:rsidP="0021273B">
            <w:pPr>
              <w:ind w:right="397"/>
              <w:jc w:val="right"/>
              <w:rPr>
                <w:rFonts w:eastAsia="Calibri"/>
                <w:sz w:val="18"/>
                <w:szCs w:val="18"/>
                <w:lang w:val="es-ES" w:eastAsia="en-US"/>
              </w:rPr>
            </w:pPr>
            <w:r w:rsidRPr="0021273B">
              <w:rPr>
                <w:rFonts w:eastAsia="Calibri"/>
                <w:sz w:val="18"/>
                <w:szCs w:val="18"/>
                <w:lang w:val="es-ES" w:eastAsia="en-US"/>
              </w:rPr>
              <w:t>897.4</w:t>
            </w:r>
          </w:p>
        </w:tc>
        <w:tc>
          <w:tcPr>
            <w:tcW w:w="1437" w:type="dxa"/>
            <w:tcBorders>
              <w:top w:val="nil"/>
              <w:left w:val="single" w:sz="4" w:space="0" w:color="auto"/>
              <w:bottom w:val="nil"/>
              <w:right w:val="single" w:sz="4" w:space="0" w:color="auto"/>
            </w:tcBorders>
          </w:tcPr>
          <w:p w14:paraId="3B5580D3" w14:textId="77777777" w:rsidR="0021273B" w:rsidRPr="0021273B" w:rsidRDefault="0021273B" w:rsidP="0021273B">
            <w:pPr>
              <w:ind w:right="454"/>
              <w:jc w:val="right"/>
              <w:rPr>
                <w:rFonts w:eastAsia="Calibri"/>
                <w:sz w:val="18"/>
                <w:szCs w:val="18"/>
                <w:lang w:val="es-ES" w:eastAsia="en-US"/>
              </w:rPr>
            </w:pPr>
            <w:r w:rsidRPr="0021273B">
              <w:rPr>
                <w:rFonts w:eastAsia="Calibri"/>
                <w:sz w:val="18"/>
                <w:szCs w:val="18"/>
                <w:lang w:val="es-ES" w:eastAsia="en-US"/>
              </w:rPr>
              <w:t>-1.5</w:t>
            </w:r>
          </w:p>
        </w:tc>
        <w:tc>
          <w:tcPr>
            <w:tcW w:w="1325" w:type="dxa"/>
            <w:tcBorders>
              <w:top w:val="nil"/>
              <w:left w:val="single" w:sz="4" w:space="0" w:color="auto"/>
              <w:bottom w:val="nil"/>
              <w:right w:val="single" w:sz="4" w:space="0" w:color="auto"/>
            </w:tcBorders>
          </w:tcPr>
          <w:p w14:paraId="5A3C0035" w14:textId="77777777" w:rsidR="0021273B" w:rsidRPr="0021273B" w:rsidRDefault="0021273B" w:rsidP="0021273B">
            <w:pPr>
              <w:jc w:val="center"/>
              <w:rPr>
                <w:rFonts w:eastAsia="Calibri"/>
                <w:sz w:val="18"/>
                <w:szCs w:val="18"/>
                <w:lang w:val="es-ES" w:eastAsia="en-US"/>
              </w:rPr>
            </w:pPr>
            <w:r w:rsidRPr="0021273B">
              <w:rPr>
                <w:rFonts w:eastAsia="Calibri"/>
                <w:sz w:val="18"/>
                <w:szCs w:val="18"/>
                <w:lang w:val="es-ES" w:eastAsia="en-US"/>
              </w:rPr>
              <w:t>19.8</w:t>
            </w:r>
          </w:p>
        </w:tc>
      </w:tr>
      <w:tr w:rsidR="0021273B" w:rsidRPr="0021273B" w14:paraId="3C69BC34" w14:textId="77777777" w:rsidTr="0024633D">
        <w:trPr>
          <w:jc w:val="center"/>
        </w:trPr>
        <w:tc>
          <w:tcPr>
            <w:tcW w:w="3091" w:type="dxa"/>
            <w:tcBorders>
              <w:top w:val="nil"/>
              <w:left w:val="single" w:sz="4" w:space="0" w:color="auto"/>
              <w:bottom w:val="nil"/>
              <w:right w:val="single" w:sz="4" w:space="0" w:color="auto"/>
            </w:tcBorders>
          </w:tcPr>
          <w:p w14:paraId="2FB6488B" w14:textId="77777777" w:rsidR="0021273B" w:rsidRPr="0021273B" w:rsidRDefault="0021273B" w:rsidP="0021273B">
            <w:pPr>
              <w:jc w:val="both"/>
              <w:rPr>
                <w:rFonts w:eastAsia="Calibri"/>
                <w:sz w:val="18"/>
                <w:szCs w:val="18"/>
                <w:lang w:val="es-ES" w:eastAsia="en-US"/>
              </w:rPr>
            </w:pPr>
            <w:r w:rsidRPr="0021273B">
              <w:rPr>
                <w:rFonts w:eastAsia="Calibri"/>
                <w:sz w:val="18"/>
                <w:szCs w:val="18"/>
                <w:lang w:val="es-ES" w:eastAsia="en-US"/>
              </w:rPr>
              <w:t>Gasto No Programable</w:t>
            </w:r>
          </w:p>
        </w:tc>
        <w:tc>
          <w:tcPr>
            <w:tcW w:w="1523" w:type="dxa"/>
            <w:tcBorders>
              <w:top w:val="nil"/>
              <w:left w:val="single" w:sz="4" w:space="0" w:color="auto"/>
              <w:bottom w:val="nil"/>
              <w:right w:val="single" w:sz="4" w:space="0" w:color="auto"/>
            </w:tcBorders>
          </w:tcPr>
          <w:p w14:paraId="7F09CAF1" w14:textId="77777777" w:rsidR="0021273B" w:rsidRPr="0021273B" w:rsidRDefault="0021273B" w:rsidP="0021273B">
            <w:pPr>
              <w:ind w:right="397"/>
              <w:jc w:val="right"/>
              <w:rPr>
                <w:rFonts w:eastAsia="Calibri"/>
                <w:sz w:val="18"/>
                <w:szCs w:val="18"/>
                <w:lang w:val="es-ES" w:eastAsia="en-US"/>
              </w:rPr>
            </w:pPr>
            <w:r w:rsidRPr="0021273B">
              <w:rPr>
                <w:rFonts w:eastAsia="Calibri"/>
                <w:sz w:val="18"/>
                <w:szCs w:val="18"/>
                <w:lang w:val="es-ES" w:eastAsia="en-US"/>
              </w:rPr>
              <w:t>950.3</w:t>
            </w:r>
          </w:p>
        </w:tc>
        <w:tc>
          <w:tcPr>
            <w:tcW w:w="1437" w:type="dxa"/>
            <w:tcBorders>
              <w:top w:val="nil"/>
              <w:left w:val="single" w:sz="4" w:space="0" w:color="auto"/>
              <w:bottom w:val="nil"/>
              <w:right w:val="single" w:sz="4" w:space="0" w:color="auto"/>
            </w:tcBorders>
          </w:tcPr>
          <w:p w14:paraId="35BB8693" w14:textId="77777777" w:rsidR="0021273B" w:rsidRPr="0021273B" w:rsidRDefault="0021273B" w:rsidP="0021273B">
            <w:pPr>
              <w:ind w:right="454"/>
              <w:jc w:val="right"/>
              <w:rPr>
                <w:rFonts w:eastAsia="Calibri"/>
                <w:sz w:val="18"/>
                <w:szCs w:val="18"/>
                <w:lang w:val="es-ES" w:eastAsia="en-US"/>
              </w:rPr>
            </w:pPr>
            <w:r w:rsidRPr="0021273B">
              <w:rPr>
                <w:rFonts w:eastAsia="Calibri"/>
                <w:sz w:val="18"/>
                <w:szCs w:val="18"/>
                <w:lang w:val="es-ES" w:eastAsia="en-US"/>
              </w:rPr>
              <w:t>6.0</w:t>
            </w:r>
          </w:p>
        </w:tc>
        <w:tc>
          <w:tcPr>
            <w:tcW w:w="1325" w:type="dxa"/>
            <w:tcBorders>
              <w:top w:val="nil"/>
              <w:left w:val="single" w:sz="4" w:space="0" w:color="auto"/>
              <w:bottom w:val="nil"/>
              <w:right w:val="single" w:sz="4" w:space="0" w:color="auto"/>
            </w:tcBorders>
          </w:tcPr>
          <w:p w14:paraId="7626752A" w14:textId="77777777" w:rsidR="0021273B" w:rsidRPr="0021273B" w:rsidRDefault="0021273B" w:rsidP="0021273B">
            <w:pPr>
              <w:jc w:val="center"/>
              <w:rPr>
                <w:rFonts w:eastAsia="Calibri"/>
                <w:sz w:val="18"/>
                <w:szCs w:val="18"/>
                <w:lang w:val="es-ES" w:eastAsia="en-US"/>
              </w:rPr>
            </w:pPr>
            <w:r w:rsidRPr="0021273B">
              <w:rPr>
                <w:rFonts w:eastAsia="Calibri"/>
                <w:sz w:val="18"/>
                <w:szCs w:val="18"/>
                <w:lang w:val="es-ES" w:eastAsia="en-US"/>
              </w:rPr>
              <w:t>21.0</w:t>
            </w:r>
          </w:p>
        </w:tc>
      </w:tr>
      <w:tr w:rsidR="0021273B" w:rsidRPr="0021273B" w14:paraId="1A3BDE4A" w14:textId="77777777" w:rsidTr="0024633D">
        <w:trPr>
          <w:jc w:val="center"/>
        </w:trPr>
        <w:tc>
          <w:tcPr>
            <w:tcW w:w="3091" w:type="dxa"/>
            <w:tcBorders>
              <w:top w:val="nil"/>
              <w:left w:val="single" w:sz="4" w:space="0" w:color="auto"/>
              <w:bottom w:val="nil"/>
              <w:right w:val="single" w:sz="4" w:space="0" w:color="auto"/>
            </w:tcBorders>
          </w:tcPr>
          <w:p w14:paraId="3F65D8C1" w14:textId="77777777" w:rsidR="0021273B" w:rsidRPr="0021273B" w:rsidRDefault="0021273B" w:rsidP="0021273B">
            <w:pPr>
              <w:jc w:val="both"/>
              <w:rPr>
                <w:rFonts w:eastAsia="Calibri"/>
                <w:sz w:val="18"/>
                <w:szCs w:val="18"/>
                <w:lang w:val="es-ES" w:eastAsia="en-US"/>
              </w:rPr>
            </w:pPr>
            <w:r w:rsidRPr="0021273B">
              <w:rPr>
                <w:rFonts w:eastAsia="Calibri"/>
                <w:sz w:val="18"/>
                <w:szCs w:val="18"/>
                <w:lang w:val="es-ES" w:eastAsia="en-US"/>
              </w:rPr>
              <w:t>Participaciones a Estados</w:t>
            </w:r>
          </w:p>
        </w:tc>
        <w:tc>
          <w:tcPr>
            <w:tcW w:w="1523" w:type="dxa"/>
            <w:tcBorders>
              <w:top w:val="nil"/>
              <w:left w:val="single" w:sz="4" w:space="0" w:color="auto"/>
              <w:bottom w:val="nil"/>
              <w:right w:val="single" w:sz="4" w:space="0" w:color="auto"/>
            </w:tcBorders>
          </w:tcPr>
          <w:p w14:paraId="413930FD" w14:textId="77777777" w:rsidR="0021273B" w:rsidRPr="0021273B" w:rsidRDefault="0021273B" w:rsidP="0021273B">
            <w:pPr>
              <w:ind w:right="397"/>
              <w:jc w:val="right"/>
              <w:rPr>
                <w:rFonts w:eastAsia="Calibri"/>
                <w:sz w:val="18"/>
                <w:szCs w:val="18"/>
                <w:lang w:val="es-ES" w:eastAsia="en-US"/>
              </w:rPr>
            </w:pPr>
            <w:r w:rsidRPr="0021273B">
              <w:rPr>
                <w:rFonts w:eastAsia="Calibri"/>
                <w:sz w:val="18"/>
                <w:szCs w:val="18"/>
                <w:lang w:val="es-ES" w:eastAsia="en-US"/>
              </w:rPr>
              <w:t>584.7</w:t>
            </w:r>
          </w:p>
        </w:tc>
        <w:tc>
          <w:tcPr>
            <w:tcW w:w="1437" w:type="dxa"/>
            <w:tcBorders>
              <w:top w:val="nil"/>
              <w:left w:val="single" w:sz="4" w:space="0" w:color="auto"/>
              <w:bottom w:val="nil"/>
              <w:right w:val="single" w:sz="4" w:space="0" w:color="auto"/>
            </w:tcBorders>
          </w:tcPr>
          <w:p w14:paraId="4A1941B0" w14:textId="77777777" w:rsidR="0021273B" w:rsidRPr="0021273B" w:rsidRDefault="0021273B" w:rsidP="0021273B">
            <w:pPr>
              <w:ind w:right="454"/>
              <w:jc w:val="right"/>
              <w:rPr>
                <w:rFonts w:eastAsia="Calibri"/>
                <w:sz w:val="18"/>
                <w:szCs w:val="18"/>
                <w:lang w:val="es-ES" w:eastAsia="en-US"/>
              </w:rPr>
            </w:pPr>
            <w:r w:rsidRPr="0021273B">
              <w:rPr>
                <w:rFonts w:eastAsia="Calibri"/>
                <w:sz w:val="18"/>
                <w:szCs w:val="18"/>
                <w:lang w:val="es-ES" w:eastAsia="en-US"/>
              </w:rPr>
              <w:t>5.6</w:t>
            </w:r>
          </w:p>
        </w:tc>
        <w:tc>
          <w:tcPr>
            <w:tcW w:w="1325" w:type="dxa"/>
            <w:tcBorders>
              <w:top w:val="nil"/>
              <w:left w:val="single" w:sz="4" w:space="0" w:color="auto"/>
              <w:bottom w:val="nil"/>
              <w:right w:val="single" w:sz="4" w:space="0" w:color="auto"/>
            </w:tcBorders>
          </w:tcPr>
          <w:p w14:paraId="45F9C65E" w14:textId="77777777" w:rsidR="0021273B" w:rsidRPr="0021273B" w:rsidRDefault="0021273B" w:rsidP="0021273B">
            <w:pPr>
              <w:jc w:val="center"/>
              <w:rPr>
                <w:rFonts w:eastAsia="Calibri"/>
                <w:sz w:val="18"/>
                <w:szCs w:val="18"/>
                <w:lang w:val="es-ES" w:eastAsia="en-US"/>
              </w:rPr>
            </w:pPr>
            <w:r w:rsidRPr="0021273B">
              <w:rPr>
                <w:rFonts w:eastAsia="Calibri"/>
                <w:sz w:val="18"/>
                <w:szCs w:val="18"/>
                <w:lang w:val="es-ES" w:eastAsia="en-US"/>
              </w:rPr>
              <w:t>12.9</w:t>
            </w:r>
          </w:p>
        </w:tc>
      </w:tr>
      <w:tr w:rsidR="0021273B" w:rsidRPr="0021273B" w14:paraId="5E5D4FED" w14:textId="77777777" w:rsidTr="0024633D">
        <w:trPr>
          <w:jc w:val="center"/>
        </w:trPr>
        <w:tc>
          <w:tcPr>
            <w:tcW w:w="3091" w:type="dxa"/>
            <w:tcBorders>
              <w:top w:val="nil"/>
              <w:left w:val="single" w:sz="4" w:space="0" w:color="auto"/>
              <w:bottom w:val="nil"/>
              <w:right w:val="single" w:sz="4" w:space="0" w:color="auto"/>
            </w:tcBorders>
          </w:tcPr>
          <w:p w14:paraId="05CB8412" w14:textId="77777777" w:rsidR="0021273B" w:rsidRPr="0021273B" w:rsidRDefault="0021273B" w:rsidP="0021273B">
            <w:pPr>
              <w:jc w:val="both"/>
              <w:rPr>
                <w:rFonts w:eastAsia="Calibri"/>
                <w:sz w:val="18"/>
                <w:szCs w:val="18"/>
                <w:lang w:val="es-ES" w:eastAsia="en-US"/>
              </w:rPr>
            </w:pPr>
            <w:r w:rsidRPr="0021273B">
              <w:rPr>
                <w:rFonts w:eastAsia="Calibri"/>
                <w:sz w:val="18"/>
                <w:szCs w:val="18"/>
                <w:lang w:val="es-ES" w:eastAsia="en-US"/>
              </w:rPr>
              <w:t xml:space="preserve">    Costo Financiero</w:t>
            </w:r>
          </w:p>
        </w:tc>
        <w:tc>
          <w:tcPr>
            <w:tcW w:w="1523" w:type="dxa"/>
            <w:tcBorders>
              <w:top w:val="nil"/>
              <w:left w:val="single" w:sz="4" w:space="0" w:color="auto"/>
              <w:bottom w:val="nil"/>
              <w:right w:val="single" w:sz="4" w:space="0" w:color="auto"/>
            </w:tcBorders>
          </w:tcPr>
          <w:p w14:paraId="6B964914" w14:textId="77777777" w:rsidR="0021273B" w:rsidRPr="0021273B" w:rsidRDefault="0021273B" w:rsidP="0021273B">
            <w:pPr>
              <w:ind w:right="397"/>
              <w:jc w:val="right"/>
              <w:rPr>
                <w:rFonts w:eastAsia="Calibri"/>
                <w:sz w:val="18"/>
                <w:szCs w:val="18"/>
                <w:lang w:val="es-ES" w:eastAsia="en-US"/>
              </w:rPr>
            </w:pPr>
            <w:r w:rsidRPr="0021273B">
              <w:rPr>
                <w:rFonts w:eastAsia="Calibri"/>
                <w:sz w:val="18"/>
                <w:szCs w:val="18"/>
                <w:lang w:val="es-ES" w:eastAsia="en-US"/>
              </w:rPr>
              <w:t>346.0</w:t>
            </w:r>
          </w:p>
        </w:tc>
        <w:tc>
          <w:tcPr>
            <w:tcW w:w="1437" w:type="dxa"/>
            <w:tcBorders>
              <w:top w:val="nil"/>
              <w:left w:val="single" w:sz="4" w:space="0" w:color="auto"/>
              <w:bottom w:val="nil"/>
              <w:right w:val="single" w:sz="4" w:space="0" w:color="auto"/>
            </w:tcBorders>
          </w:tcPr>
          <w:p w14:paraId="7F7E7A59" w14:textId="77777777" w:rsidR="0021273B" w:rsidRPr="0021273B" w:rsidRDefault="0021273B" w:rsidP="0021273B">
            <w:pPr>
              <w:ind w:right="454"/>
              <w:jc w:val="right"/>
              <w:rPr>
                <w:rFonts w:eastAsia="Calibri"/>
                <w:sz w:val="18"/>
                <w:szCs w:val="18"/>
                <w:lang w:val="es-ES" w:eastAsia="en-US"/>
              </w:rPr>
            </w:pPr>
            <w:r w:rsidRPr="0021273B">
              <w:rPr>
                <w:rFonts w:eastAsia="Calibri"/>
                <w:sz w:val="18"/>
                <w:szCs w:val="18"/>
                <w:lang w:val="es-ES" w:eastAsia="en-US"/>
              </w:rPr>
              <w:t>5.8</w:t>
            </w:r>
          </w:p>
        </w:tc>
        <w:tc>
          <w:tcPr>
            <w:tcW w:w="1325" w:type="dxa"/>
            <w:tcBorders>
              <w:top w:val="nil"/>
              <w:left w:val="single" w:sz="4" w:space="0" w:color="auto"/>
              <w:bottom w:val="nil"/>
              <w:right w:val="single" w:sz="4" w:space="0" w:color="auto"/>
            </w:tcBorders>
          </w:tcPr>
          <w:p w14:paraId="3228B2BA" w14:textId="77777777" w:rsidR="0021273B" w:rsidRPr="0021273B" w:rsidRDefault="0021273B" w:rsidP="0021273B">
            <w:pPr>
              <w:jc w:val="center"/>
              <w:rPr>
                <w:rFonts w:eastAsia="Calibri"/>
                <w:sz w:val="18"/>
                <w:szCs w:val="18"/>
                <w:lang w:val="es-ES" w:eastAsia="en-US"/>
              </w:rPr>
            </w:pPr>
            <w:r w:rsidRPr="0021273B">
              <w:rPr>
                <w:rFonts w:eastAsia="Calibri"/>
                <w:sz w:val="18"/>
                <w:szCs w:val="18"/>
                <w:lang w:val="es-ES" w:eastAsia="en-US"/>
              </w:rPr>
              <w:t>7.6</w:t>
            </w:r>
          </w:p>
        </w:tc>
      </w:tr>
      <w:tr w:rsidR="0021273B" w:rsidRPr="0021273B" w14:paraId="0154258B" w14:textId="77777777" w:rsidTr="0024633D">
        <w:trPr>
          <w:jc w:val="center"/>
        </w:trPr>
        <w:tc>
          <w:tcPr>
            <w:tcW w:w="3091" w:type="dxa"/>
            <w:tcBorders>
              <w:top w:val="nil"/>
              <w:left w:val="single" w:sz="4" w:space="0" w:color="auto"/>
              <w:bottom w:val="single" w:sz="4" w:space="0" w:color="auto"/>
              <w:right w:val="single" w:sz="4" w:space="0" w:color="auto"/>
            </w:tcBorders>
          </w:tcPr>
          <w:p w14:paraId="3CD02671" w14:textId="77777777" w:rsidR="0021273B" w:rsidRPr="0021273B" w:rsidRDefault="0021273B" w:rsidP="0021273B">
            <w:pPr>
              <w:jc w:val="both"/>
              <w:rPr>
                <w:rFonts w:eastAsia="Calibri"/>
                <w:sz w:val="18"/>
                <w:szCs w:val="18"/>
                <w:lang w:val="es-ES" w:eastAsia="en-US"/>
              </w:rPr>
            </w:pPr>
            <w:r w:rsidRPr="0021273B">
              <w:rPr>
                <w:rFonts w:eastAsia="Calibri"/>
                <w:sz w:val="18"/>
                <w:szCs w:val="18"/>
                <w:lang w:val="es-ES" w:eastAsia="en-US"/>
              </w:rPr>
              <w:t xml:space="preserve">    Adefas y otros</w:t>
            </w:r>
          </w:p>
        </w:tc>
        <w:tc>
          <w:tcPr>
            <w:tcW w:w="1523" w:type="dxa"/>
            <w:tcBorders>
              <w:top w:val="nil"/>
              <w:left w:val="single" w:sz="4" w:space="0" w:color="auto"/>
              <w:bottom w:val="single" w:sz="4" w:space="0" w:color="auto"/>
              <w:right w:val="single" w:sz="4" w:space="0" w:color="auto"/>
            </w:tcBorders>
          </w:tcPr>
          <w:p w14:paraId="185F93BF" w14:textId="77777777" w:rsidR="0021273B" w:rsidRPr="0021273B" w:rsidRDefault="0021273B" w:rsidP="0021273B">
            <w:pPr>
              <w:ind w:right="397"/>
              <w:jc w:val="right"/>
              <w:rPr>
                <w:rFonts w:eastAsia="Calibri"/>
                <w:sz w:val="18"/>
                <w:szCs w:val="18"/>
                <w:lang w:val="es-ES" w:eastAsia="en-US"/>
              </w:rPr>
            </w:pPr>
            <w:r w:rsidRPr="0021273B">
              <w:rPr>
                <w:rFonts w:eastAsia="Calibri"/>
                <w:sz w:val="18"/>
                <w:szCs w:val="18"/>
                <w:lang w:val="es-ES" w:eastAsia="en-US"/>
              </w:rPr>
              <w:t>19.6</w:t>
            </w:r>
          </w:p>
        </w:tc>
        <w:tc>
          <w:tcPr>
            <w:tcW w:w="1437" w:type="dxa"/>
            <w:tcBorders>
              <w:top w:val="nil"/>
              <w:left w:val="single" w:sz="4" w:space="0" w:color="auto"/>
              <w:bottom w:val="single" w:sz="4" w:space="0" w:color="auto"/>
              <w:right w:val="single" w:sz="4" w:space="0" w:color="auto"/>
            </w:tcBorders>
          </w:tcPr>
          <w:p w14:paraId="25B3BFEF" w14:textId="77777777" w:rsidR="0021273B" w:rsidRPr="0021273B" w:rsidRDefault="0021273B" w:rsidP="0021273B">
            <w:pPr>
              <w:ind w:right="454"/>
              <w:jc w:val="right"/>
              <w:rPr>
                <w:rFonts w:eastAsia="Calibri"/>
                <w:sz w:val="18"/>
                <w:szCs w:val="18"/>
                <w:lang w:val="es-ES" w:eastAsia="en-US"/>
              </w:rPr>
            </w:pPr>
            <w:r w:rsidRPr="0021273B">
              <w:rPr>
                <w:rFonts w:eastAsia="Calibri"/>
                <w:sz w:val="18"/>
                <w:szCs w:val="18"/>
                <w:lang w:val="es-ES" w:eastAsia="en-US"/>
              </w:rPr>
              <w:t>28.2</w:t>
            </w:r>
          </w:p>
        </w:tc>
        <w:tc>
          <w:tcPr>
            <w:tcW w:w="1325" w:type="dxa"/>
            <w:tcBorders>
              <w:top w:val="nil"/>
              <w:left w:val="single" w:sz="4" w:space="0" w:color="auto"/>
              <w:bottom w:val="single" w:sz="4" w:space="0" w:color="auto"/>
              <w:right w:val="single" w:sz="4" w:space="0" w:color="auto"/>
            </w:tcBorders>
          </w:tcPr>
          <w:p w14:paraId="7BD6FA7A" w14:textId="77777777" w:rsidR="0021273B" w:rsidRPr="0021273B" w:rsidRDefault="0021273B" w:rsidP="0021273B">
            <w:pPr>
              <w:jc w:val="center"/>
              <w:rPr>
                <w:rFonts w:eastAsia="Calibri"/>
                <w:sz w:val="18"/>
                <w:szCs w:val="18"/>
                <w:lang w:val="es-ES" w:eastAsia="en-US"/>
              </w:rPr>
            </w:pPr>
            <w:r w:rsidRPr="0021273B">
              <w:rPr>
                <w:rFonts w:eastAsia="Calibri"/>
                <w:sz w:val="18"/>
                <w:szCs w:val="18"/>
                <w:lang w:val="es-ES" w:eastAsia="en-US"/>
              </w:rPr>
              <w:t>0.4</w:t>
            </w:r>
          </w:p>
        </w:tc>
      </w:tr>
      <w:tr w:rsidR="0021273B" w:rsidRPr="0021273B" w14:paraId="775B5D4E" w14:textId="77777777" w:rsidTr="0024633D">
        <w:trPr>
          <w:jc w:val="center"/>
        </w:trPr>
        <w:tc>
          <w:tcPr>
            <w:tcW w:w="7376" w:type="dxa"/>
            <w:gridSpan w:val="4"/>
            <w:tcBorders>
              <w:top w:val="single" w:sz="4" w:space="0" w:color="auto"/>
              <w:left w:val="nil"/>
              <w:bottom w:val="nil"/>
              <w:right w:val="nil"/>
            </w:tcBorders>
          </w:tcPr>
          <w:p w14:paraId="1430E57E" w14:textId="77777777" w:rsidR="0021273B" w:rsidRPr="0021273B" w:rsidRDefault="0021273B" w:rsidP="0021273B">
            <w:pPr>
              <w:jc w:val="both"/>
              <w:rPr>
                <w:rFonts w:eastAsia="Calibri"/>
                <w:sz w:val="20"/>
                <w:szCs w:val="20"/>
                <w:lang w:val="es-ES" w:eastAsia="en-US"/>
              </w:rPr>
            </w:pPr>
            <w:r w:rsidRPr="0021273B">
              <w:rPr>
                <w:rFonts w:eastAsia="Calibri"/>
                <w:sz w:val="20"/>
                <w:szCs w:val="20"/>
                <w:lang w:val="es-ES" w:eastAsia="en-US"/>
              </w:rPr>
              <w:t>Adefas: Adeudos de ejercicios fiscales anteriores.</w:t>
            </w:r>
          </w:p>
          <w:p w14:paraId="32E0DBC2" w14:textId="77777777" w:rsidR="0021273B" w:rsidRPr="0021273B" w:rsidRDefault="0021273B" w:rsidP="0021273B">
            <w:pPr>
              <w:jc w:val="both"/>
              <w:rPr>
                <w:rFonts w:eastAsia="Calibri"/>
                <w:sz w:val="20"/>
                <w:szCs w:val="20"/>
                <w:highlight w:val="green"/>
                <w:lang w:val="es-ES" w:eastAsia="en-US"/>
              </w:rPr>
            </w:pPr>
            <w:r w:rsidRPr="0021273B">
              <w:rPr>
                <w:rFonts w:eastAsia="Calibri"/>
                <w:sz w:val="20"/>
                <w:szCs w:val="20"/>
                <w:lang w:val="es-ES" w:eastAsia="en-US"/>
              </w:rPr>
              <w:t>FUENTE: BBVA Research con información de la SHCP.</w:t>
            </w:r>
          </w:p>
        </w:tc>
      </w:tr>
    </w:tbl>
    <w:p w14:paraId="071767E5" w14:textId="77777777" w:rsidR="0021273B" w:rsidRPr="0021273B" w:rsidRDefault="0021273B" w:rsidP="0021273B">
      <w:pPr>
        <w:spacing w:after="360" w:line="360" w:lineRule="auto"/>
        <w:ind w:right="-159"/>
        <w:jc w:val="both"/>
        <w:rPr>
          <w:rFonts w:eastAsia="Calibri"/>
          <w:sz w:val="26"/>
          <w:szCs w:val="26"/>
          <w:lang w:val="es-ES" w:eastAsia="en-US"/>
        </w:rPr>
      </w:pPr>
    </w:p>
    <w:p w14:paraId="27F9834D" w14:textId="04FCD90E" w:rsidR="0021273B" w:rsidRPr="0021273B" w:rsidRDefault="0021273B" w:rsidP="0021273B">
      <w:pPr>
        <w:spacing w:after="360" w:line="360" w:lineRule="auto"/>
        <w:ind w:right="-159"/>
        <w:jc w:val="both"/>
        <w:rPr>
          <w:rFonts w:eastAsia="Calibri"/>
          <w:sz w:val="26"/>
          <w:szCs w:val="26"/>
          <w:lang w:val="es-ES" w:eastAsia="en-US"/>
        </w:rPr>
      </w:pPr>
      <w:r w:rsidRPr="0021273B">
        <w:rPr>
          <w:rFonts w:eastAsia="Calibri"/>
          <w:sz w:val="26"/>
          <w:szCs w:val="26"/>
          <w:lang w:val="es-ES" w:eastAsia="en-US"/>
        </w:rPr>
        <w:t>Por lo que respecta al gasto total neto pagado del sector público, en 2014</w:t>
      </w:r>
      <w:r w:rsidR="00D63928">
        <w:rPr>
          <w:rFonts w:eastAsia="Calibri"/>
          <w:sz w:val="26"/>
          <w:szCs w:val="26"/>
          <w:lang w:val="es-ES" w:eastAsia="en-US"/>
        </w:rPr>
        <w:t>,</w:t>
      </w:r>
      <w:r w:rsidRPr="0021273B">
        <w:rPr>
          <w:rFonts w:eastAsia="Calibri"/>
          <w:sz w:val="26"/>
          <w:szCs w:val="26"/>
          <w:lang w:val="es-ES" w:eastAsia="en-US"/>
        </w:rPr>
        <w:t xml:space="preserve"> éste reportó un crecimiento real anual de 4.2%, y una fuente importante de impulso que tuvo fue el </w:t>
      </w:r>
      <w:r w:rsidRPr="0021273B">
        <w:rPr>
          <w:rFonts w:eastAsia="Calibri"/>
          <w:sz w:val="26"/>
          <w:szCs w:val="26"/>
          <w:lang w:val="es-ES" w:eastAsia="en-US"/>
        </w:rPr>
        <w:lastRenderedPageBreak/>
        <w:t>gasto corriente (cuadro anterior). En 2014</w:t>
      </w:r>
      <w:r w:rsidR="00D63928">
        <w:rPr>
          <w:rFonts w:eastAsia="Calibri"/>
          <w:sz w:val="26"/>
          <w:szCs w:val="26"/>
          <w:lang w:val="es-ES" w:eastAsia="en-US"/>
        </w:rPr>
        <w:t>,</w:t>
      </w:r>
      <w:r w:rsidRPr="0021273B">
        <w:rPr>
          <w:rFonts w:eastAsia="Calibri"/>
          <w:sz w:val="26"/>
          <w:szCs w:val="26"/>
          <w:lang w:val="es-ES" w:eastAsia="en-US"/>
        </w:rPr>
        <w:t xml:space="preserve"> este último registró una tasa de crecimiento real anual de 5.7% en el rubro de gasto corriente, en tanto que la partida de gasto de capital mostró un crecimiento negativo de 1.5%. De prevalecer esta situación, el gasto del sector público se estaría canalizando hacia el aumento del consumo en detrimento de la inversión de este sector. Una situación de este tipo implica que el gasto del sector público no se enfoca hacia la expansión de la capacidad productiva de largo plazo del país, lo cual implica que éste no esté apoyando al proceso de crecimiento económico de largo plazo.</w:t>
      </w:r>
    </w:p>
    <w:tbl>
      <w:tblPr>
        <w:tblW w:w="9209" w:type="dxa"/>
        <w:tblLook w:val="04A0" w:firstRow="1" w:lastRow="0" w:firstColumn="1" w:lastColumn="0" w:noHBand="0" w:noVBand="1"/>
      </w:tblPr>
      <w:tblGrid>
        <w:gridCol w:w="9209"/>
      </w:tblGrid>
      <w:tr w:rsidR="0021273B" w:rsidRPr="0021273B" w14:paraId="3A62B0FB" w14:textId="77777777" w:rsidTr="006A662C">
        <w:tc>
          <w:tcPr>
            <w:tcW w:w="9209" w:type="dxa"/>
          </w:tcPr>
          <w:p w14:paraId="2A2EE2E9"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GASTO PRESUPUESTARIO DEL SECTOR PÚBLICO EN 2014:</w:t>
            </w:r>
          </w:p>
          <w:p w14:paraId="63C3D87D"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PROGRAMADO Y OBSERVADO</w:t>
            </w:r>
          </w:p>
          <w:p w14:paraId="6B551710"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-Miles de millones de pesos-</w:t>
            </w:r>
          </w:p>
        </w:tc>
      </w:tr>
      <w:tr w:rsidR="0021273B" w:rsidRPr="0021273B" w14:paraId="7D006848" w14:textId="77777777" w:rsidTr="006A662C">
        <w:tc>
          <w:tcPr>
            <w:tcW w:w="9209" w:type="dxa"/>
          </w:tcPr>
          <w:p w14:paraId="772C63DF" w14:textId="77777777" w:rsidR="0021273B" w:rsidRPr="0021273B" w:rsidRDefault="0021273B" w:rsidP="0021273B">
            <w:pPr>
              <w:jc w:val="center"/>
              <w:rPr>
                <w:rFonts w:eastAsia="Calibri"/>
                <w:sz w:val="22"/>
                <w:szCs w:val="26"/>
                <w:lang w:val="es-ES" w:eastAsia="en-US"/>
              </w:rPr>
            </w:pPr>
            <w:r w:rsidRPr="0021273B">
              <w:rPr>
                <w:rFonts w:eastAsia="Calibri"/>
                <w:noProof/>
                <w:sz w:val="22"/>
                <w:szCs w:val="26"/>
                <w:lang w:eastAsia="es-MX"/>
              </w:rPr>
              <w:drawing>
                <wp:inline distT="0" distB="0" distL="0" distR="0" wp14:anchorId="2A14683A" wp14:editId="6BEF3CCE">
                  <wp:extent cx="5088979" cy="2880000"/>
                  <wp:effectExtent l="0" t="0" r="0" b="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t="13880" b="1226"/>
                          <a:stretch/>
                        </pic:blipFill>
                        <pic:spPr bwMode="auto">
                          <a:xfrm>
                            <a:off x="0" y="0"/>
                            <a:ext cx="5088979" cy="288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1273B" w:rsidRPr="0021273B" w14:paraId="01F4C648" w14:textId="77777777" w:rsidTr="006A662C">
        <w:tc>
          <w:tcPr>
            <w:tcW w:w="9209" w:type="dxa"/>
          </w:tcPr>
          <w:p w14:paraId="13AD7F2E" w14:textId="77777777" w:rsidR="0021273B" w:rsidRPr="0021273B" w:rsidRDefault="0021273B" w:rsidP="0021273B">
            <w:pPr>
              <w:ind w:firstLine="1021"/>
              <w:jc w:val="both"/>
              <w:rPr>
                <w:rFonts w:eastAsia="Calibri"/>
                <w:sz w:val="20"/>
                <w:szCs w:val="26"/>
                <w:lang w:val="es-ES" w:eastAsia="en-US"/>
              </w:rPr>
            </w:pPr>
            <w:r w:rsidRPr="0021273B">
              <w:rPr>
                <w:rFonts w:eastAsia="Calibri"/>
                <w:sz w:val="20"/>
                <w:szCs w:val="26"/>
                <w:lang w:val="es-ES" w:eastAsia="en-US"/>
              </w:rPr>
              <w:t>FUENTE: BBVA Research con información de SHCP.</w:t>
            </w:r>
          </w:p>
        </w:tc>
      </w:tr>
    </w:tbl>
    <w:p w14:paraId="26675EF9" w14:textId="77777777" w:rsidR="0021273B" w:rsidRPr="0021273B" w:rsidRDefault="0021273B" w:rsidP="0021273B">
      <w:pPr>
        <w:spacing w:after="360" w:line="360" w:lineRule="auto"/>
        <w:ind w:right="-159"/>
        <w:jc w:val="both"/>
        <w:rPr>
          <w:rFonts w:eastAsia="Calibri"/>
          <w:sz w:val="26"/>
          <w:szCs w:val="26"/>
          <w:lang w:val="es-ES" w:eastAsia="en-US"/>
        </w:rPr>
      </w:pPr>
    </w:p>
    <w:p w14:paraId="66B32D61" w14:textId="77777777" w:rsidR="0021273B" w:rsidRPr="0021273B" w:rsidRDefault="0021273B" w:rsidP="0021273B">
      <w:pPr>
        <w:spacing w:after="360" w:line="360" w:lineRule="auto"/>
        <w:ind w:right="-159"/>
        <w:jc w:val="both"/>
        <w:rPr>
          <w:rFonts w:eastAsia="Calibri"/>
          <w:sz w:val="26"/>
          <w:szCs w:val="26"/>
          <w:lang w:val="es-ES" w:eastAsia="en-US"/>
        </w:rPr>
      </w:pPr>
    </w:p>
    <w:p w14:paraId="02E0D88E" w14:textId="77777777" w:rsidR="0021273B" w:rsidRPr="0021273B" w:rsidRDefault="0021273B" w:rsidP="0021273B">
      <w:pPr>
        <w:spacing w:after="360" w:line="360" w:lineRule="auto"/>
        <w:ind w:right="-159"/>
        <w:jc w:val="both"/>
        <w:rPr>
          <w:rFonts w:eastAsia="Calibri"/>
          <w:sz w:val="26"/>
          <w:szCs w:val="26"/>
          <w:lang w:val="es-ES" w:eastAsia="en-US"/>
        </w:rPr>
      </w:pPr>
    </w:p>
    <w:p w14:paraId="06E06BCC" w14:textId="77777777" w:rsidR="0021273B" w:rsidRPr="0021273B" w:rsidRDefault="0021273B" w:rsidP="0021273B">
      <w:pPr>
        <w:spacing w:after="360" w:line="360" w:lineRule="auto"/>
        <w:ind w:right="-159"/>
        <w:jc w:val="both"/>
        <w:rPr>
          <w:rFonts w:eastAsia="Calibri"/>
          <w:sz w:val="26"/>
          <w:szCs w:val="26"/>
          <w:lang w:val="es-ES" w:eastAsia="en-US"/>
        </w:rPr>
      </w:pPr>
    </w:p>
    <w:p w14:paraId="6A942B07" w14:textId="77777777" w:rsidR="0021273B" w:rsidRPr="0021273B" w:rsidRDefault="0021273B" w:rsidP="0021273B">
      <w:pPr>
        <w:spacing w:after="360" w:line="360" w:lineRule="auto"/>
        <w:ind w:right="-159"/>
        <w:jc w:val="both"/>
        <w:rPr>
          <w:rFonts w:eastAsia="Calibri"/>
          <w:sz w:val="26"/>
          <w:szCs w:val="26"/>
          <w:lang w:val="es-ES" w:eastAsia="en-US"/>
        </w:rPr>
      </w:pPr>
    </w:p>
    <w:tbl>
      <w:tblPr>
        <w:tblW w:w="7946" w:type="dxa"/>
        <w:jc w:val="center"/>
        <w:tblLook w:val="04A0" w:firstRow="1" w:lastRow="0" w:firstColumn="1" w:lastColumn="0" w:noHBand="0" w:noVBand="1"/>
      </w:tblPr>
      <w:tblGrid>
        <w:gridCol w:w="3091"/>
        <w:gridCol w:w="1523"/>
        <w:gridCol w:w="1813"/>
        <w:gridCol w:w="1519"/>
      </w:tblGrid>
      <w:tr w:rsidR="0021273B" w:rsidRPr="0021273B" w14:paraId="23932F37" w14:textId="77777777" w:rsidTr="0024633D">
        <w:trPr>
          <w:jc w:val="center"/>
        </w:trPr>
        <w:tc>
          <w:tcPr>
            <w:tcW w:w="7946" w:type="dxa"/>
            <w:gridSpan w:val="4"/>
            <w:tcBorders>
              <w:top w:val="nil"/>
              <w:left w:val="nil"/>
              <w:bottom w:val="single" w:sz="4" w:space="0" w:color="auto"/>
              <w:right w:val="nil"/>
            </w:tcBorders>
          </w:tcPr>
          <w:p w14:paraId="5143AC09" w14:textId="77777777" w:rsidR="0021273B" w:rsidRPr="0021273B" w:rsidRDefault="0021273B" w:rsidP="0021273B">
            <w:pPr>
              <w:jc w:val="center"/>
              <w:rPr>
                <w:rFonts w:eastAsia="Calibri"/>
                <w:b/>
                <w:sz w:val="22"/>
                <w:szCs w:val="22"/>
                <w:lang w:val="es-ES" w:eastAsia="en-US"/>
              </w:rPr>
            </w:pPr>
            <w:r w:rsidRPr="0021273B">
              <w:rPr>
                <w:rFonts w:eastAsia="Calibri"/>
                <w:b/>
                <w:sz w:val="22"/>
                <w:szCs w:val="22"/>
                <w:lang w:val="es-ES" w:eastAsia="en-US"/>
              </w:rPr>
              <w:lastRenderedPageBreak/>
              <w:t>SITUACIÓN FINANCIERA DEL SECTOR PÚBLICO EN 2014</w:t>
            </w:r>
          </w:p>
          <w:p w14:paraId="2C2BB388" w14:textId="77777777" w:rsidR="0021273B" w:rsidRPr="0021273B" w:rsidRDefault="0021273B" w:rsidP="0021273B">
            <w:pPr>
              <w:jc w:val="center"/>
              <w:rPr>
                <w:rFonts w:eastAsia="Calibri"/>
                <w:b/>
                <w:sz w:val="22"/>
                <w:szCs w:val="22"/>
                <w:highlight w:val="green"/>
                <w:lang w:val="es-ES" w:eastAsia="en-US"/>
              </w:rPr>
            </w:pPr>
            <w:r w:rsidRPr="0021273B">
              <w:rPr>
                <w:rFonts w:eastAsia="Calibri"/>
                <w:b/>
                <w:sz w:val="22"/>
                <w:szCs w:val="22"/>
                <w:lang w:val="es-ES" w:eastAsia="en-US"/>
              </w:rPr>
              <w:t>-Miles de millones de pesos-</w:t>
            </w:r>
          </w:p>
        </w:tc>
      </w:tr>
      <w:tr w:rsidR="0021273B" w:rsidRPr="0021273B" w14:paraId="21B22B18" w14:textId="77777777" w:rsidTr="0024633D">
        <w:trPr>
          <w:jc w:val="center"/>
        </w:trPr>
        <w:tc>
          <w:tcPr>
            <w:tcW w:w="3091" w:type="dxa"/>
            <w:tcBorders>
              <w:top w:val="single" w:sz="4" w:space="0" w:color="auto"/>
              <w:left w:val="single" w:sz="4" w:space="0" w:color="auto"/>
              <w:bottom w:val="single" w:sz="4" w:space="0" w:color="auto"/>
              <w:right w:val="single" w:sz="4" w:space="0" w:color="auto"/>
            </w:tcBorders>
          </w:tcPr>
          <w:p w14:paraId="60871D68" w14:textId="77777777" w:rsidR="0021273B" w:rsidRPr="0021273B" w:rsidRDefault="0021273B" w:rsidP="0021273B">
            <w:pPr>
              <w:jc w:val="both"/>
              <w:rPr>
                <w:rFonts w:eastAsia="Calibri"/>
                <w:sz w:val="18"/>
                <w:szCs w:val="18"/>
                <w:highlight w:val="green"/>
                <w:lang w:val="es-ES" w:eastAsia="en-US"/>
              </w:rPr>
            </w:pPr>
          </w:p>
        </w:tc>
        <w:tc>
          <w:tcPr>
            <w:tcW w:w="1523" w:type="dxa"/>
            <w:tcBorders>
              <w:top w:val="single" w:sz="4" w:space="0" w:color="auto"/>
              <w:left w:val="single" w:sz="4" w:space="0" w:color="auto"/>
              <w:bottom w:val="single" w:sz="4" w:space="0" w:color="auto"/>
              <w:right w:val="single" w:sz="4" w:space="0" w:color="auto"/>
            </w:tcBorders>
          </w:tcPr>
          <w:p w14:paraId="3A80031C" w14:textId="77777777" w:rsidR="0021273B" w:rsidRPr="0021273B" w:rsidRDefault="0021273B" w:rsidP="0021273B">
            <w:pPr>
              <w:jc w:val="center"/>
              <w:rPr>
                <w:rFonts w:eastAsia="Calibri"/>
                <w:b/>
                <w:sz w:val="18"/>
                <w:szCs w:val="18"/>
                <w:lang w:val="es-ES" w:eastAsia="en-US"/>
              </w:rPr>
            </w:pPr>
            <w:r w:rsidRPr="0021273B">
              <w:rPr>
                <w:rFonts w:eastAsia="Calibri"/>
                <w:b/>
                <w:sz w:val="18"/>
                <w:szCs w:val="18"/>
                <w:lang w:val="es-ES" w:eastAsia="en-US"/>
              </w:rPr>
              <w:t>2013</w:t>
            </w:r>
          </w:p>
        </w:tc>
        <w:tc>
          <w:tcPr>
            <w:tcW w:w="1813" w:type="dxa"/>
            <w:tcBorders>
              <w:top w:val="single" w:sz="4" w:space="0" w:color="auto"/>
              <w:left w:val="single" w:sz="4" w:space="0" w:color="auto"/>
              <w:bottom w:val="single" w:sz="4" w:space="0" w:color="auto"/>
              <w:right w:val="single" w:sz="4" w:space="0" w:color="auto"/>
            </w:tcBorders>
          </w:tcPr>
          <w:p w14:paraId="5C042B54" w14:textId="77777777" w:rsidR="0021273B" w:rsidRPr="0021273B" w:rsidRDefault="0021273B" w:rsidP="0021273B">
            <w:pPr>
              <w:jc w:val="center"/>
              <w:rPr>
                <w:rFonts w:eastAsia="Calibri"/>
                <w:b/>
                <w:sz w:val="18"/>
                <w:szCs w:val="18"/>
                <w:lang w:val="es-ES" w:eastAsia="en-US"/>
              </w:rPr>
            </w:pPr>
            <w:r w:rsidRPr="0021273B">
              <w:rPr>
                <w:rFonts w:eastAsia="Calibri"/>
                <w:b/>
                <w:sz w:val="18"/>
                <w:szCs w:val="18"/>
                <w:lang w:val="es-ES" w:eastAsia="en-US"/>
              </w:rPr>
              <w:t>2014</w:t>
            </w:r>
          </w:p>
        </w:tc>
        <w:tc>
          <w:tcPr>
            <w:tcW w:w="1519" w:type="dxa"/>
            <w:tcBorders>
              <w:top w:val="single" w:sz="4" w:space="0" w:color="auto"/>
              <w:left w:val="single" w:sz="4" w:space="0" w:color="auto"/>
              <w:bottom w:val="single" w:sz="4" w:space="0" w:color="auto"/>
              <w:right w:val="single" w:sz="4" w:space="0" w:color="auto"/>
            </w:tcBorders>
          </w:tcPr>
          <w:p w14:paraId="26FF0D69" w14:textId="77777777" w:rsidR="0021273B" w:rsidRPr="0021273B" w:rsidRDefault="0021273B" w:rsidP="0021273B">
            <w:pPr>
              <w:jc w:val="center"/>
              <w:rPr>
                <w:rFonts w:eastAsia="Calibri"/>
                <w:b/>
                <w:sz w:val="18"/>
                <w:szCs w:val="18"/>
                <w:lang w:val="es-ES" w:eastAsia="en-US"/>
              </w:rPr>
            </w:pPr>
            <w:r w:rsidRPr="0021273B">
              <w:rPr>
                <w:rFonts w:eastAsia="Calibri"/>
                <w:b/>
                <w:sz w:val="18"/>
                <w:szCs w:val="18"/>
                <w:lang w:val="es-ES" w:eastAsia="en-US"/>
              </w:rPr>
              <w:t>Var. % real</w:t>
            </w:r>
          </w:p>
        </w:tc>
      </w:tr>
      <w:tr w:rsidR="0021273B" w:rsidRPr="0021273B" w14:paraId="3563D3FD" w14:textId="77777777" w:rsidTr="0024633D">
        <w:trPr>
          <w:jc w:val="center"/>
        </w:trPr>
        <w:tc>
          <w:tcPr>
            <w:tcW w:w="3091" w:type="dxa"/>
            <w:tcBorders>
              <w:top w:val="single" w:sz="4" w:space="0" w:color="auto"/>
              <w:left w:val="single" w:sz="4" w:space="0" w:color="auto"/>
              <w:bottom w:val="nil"/>
              <w:right w:val="single" w:sz="4" w:space="0" w:color="auto"/>
            </w:tcBorders>
          </w:tcPr>
          <w:p w14:paraId="4B2C092A" w14:textId="77777777" w:rsidR="0021273B" w:rsidRPr="0021273B" w:rsidRDefault="0021273B" w:rsidP="0021273B">
            <w:pPr>
              <w:jc w:val="both"/>
              <w:rPr>
                <w:rFonts w:eastAsia="Calibri"/>
                <w:sz w:val="18"/>
                <w:szCs w:val="18"/>
                <w:highlight w:val="green"/>
                <w:lang w:val="es-ES" w:eastAsia="en-US"/>
              </w:rPr>
            </w:pPr>
            <w:r w:rsidRPr="0021273B">
              <w:rPr>
                <w:rFonts w:eastAsia="Calibri"/>
                <w:sz w:val="18"/>
                <w:szCs w:val="18"/>
                <w:lang w:val="es-ES" w:eastAsia="en-US"/>
              </w:rPr>
              <w:t xml:space="preserve">Balance público                                    </w:t>
            </w:r>
          </w:p>
        </w:tc>
        <w:tc>
          <w:tcPr>
            <w:tcW w:w="1523" w:type="dxa"/>
            <w:tcBorders>
              <w:top w:val="single" w:sz="4" w:space="0" w:color="auto"/>
              <w:left w:val="single" w:sz="4" w:space="0" w:color="auto"/>
              <w:bottom w:val="nil"/>
              <w:right w:val="single" w:sz="4" w:space="0" w:color="auto"/>
            </w:tcBorders>
          </w:tcPr>
          <w:p w14:paraId="73687B1A" w14:textId="77777777" w:rsidR="0021273B" w:rsidRPr="0021273B" w:rsidRDefault="0021273B" w:rsidP="0021273B">
            <w:pPr>
              <w:ind w:right="454"/>
              <w:jc w:val="right"/>
              <w:rPr>
                <w:rFonts w:eastAsia="Calibri"/>
                <w:sz w:val="18"/>
                <w:szCs w:val="18"/>
                <w:lang w:val="es-ES" w:eastAsia="en-US"/>
              </w:rPr>
            </w:pPr>
            <w:r w:rsidRPr="0021273B">
              <w:rPr>
                <w:rFonts w:eastAsia="Calibri"/>
                <w:sz w:val="18"/>
                <w:szCs w:val="18"/>
                <w:lang w:val="es-ES" w:eastAsia="en-US"/>
              </w:rPr>
              <w:t>-374.2</w:t>
            </w:r>
          </w:p>
        </w:tc>
        <w:tc>
          <w:tcPr>
            <w:tcW w:w="1813" w:type="dxa"/>
            <w:tcBorders>
              <w:top w:val="single" w:sz="4" w:space="0" w:color="auto"/>
              <w:left w:val="single" w:sz="4" w:space="0" w:color="auto"/>
              <w:bottom w:val="nil"/>
              <w:right w:val="single" w:sz="4" w:space="0" w:color="auto"/>
            </w:tcBorders>
          </w:tcPr>
          <w:p w14:paraId="0A479567" w14:textId="77777777" w:rsidR="0021273B" w:rsidRPr="0021273B" w:rsidRDefault="0021273B" w:rsidP="0021273B">
            <w:pPr>
              <w:ind w:right="454"/>
              <w:jc w:val="right"/>
              <w:rPr>
                <w:rFonts w:eastAsia="Calibri"/>
                <w:sz w:val="18"/>
                <w:szCs w:val="18"/>
                <w:lang w:val="es-ES" w:eastAsia="en-US"/>
              </w:rPr>
            </w:pPr>
            <w:r w:rsidRPr="0021273B">
              <w:rPr>
                <w:rFonts w:eastAsia="Calibri"/>
                <w:sz w:val="18"/>
                <w:szCs w:val="18"/>
                <w:lang w:val="es-ES" w:eastAsia="en-US"/>
              </w:rPr>
              <w:t>-545.0</w:t>
            </w:r>
          </w:p>
        </w:tc>
        <w:tc>
          <w:tcPr>
            <w:tcW w:w="1519" w:type="dxa"/>
            <w:tcBorders>
              <w:top w:val="single" w:sz="4" w:space="0" w:color="auto"/>
              <w:left w:val="single" w:sz="4" w:space="0" w:color="auto"/>
              <w:bottom w:val="nil"/>
              <w:right w:val="single" w:sz="4" w:space="0" w:color="auto"/>
            </w:tcBorders>
          </w:tcPr>
          <w:p w14:paraId="773B34C1" w14:textId="77777777" w:rsidR="0021273B" w:rsidRPr="0021273B" w:rsidRDefault="0021273B" w:rsidP="0021273B">
            <w:pPr>
              <w:jc w:val="center"/>
              <w:rPr>
                <w:rFonts w:eastAsia="Calibri"/>
                <w:sz w:val="18"/>
                <w:szCs w:val="18"/>
                <w:lang w:val="es-ES" w:eastAsia="en-US"/>
              </w:rPr>
            </w:pPr>
            <w:r w:rsidRPr="0021273B">
              <w:rPr>
                <w:rFonts w:eastAsia="Calibri"/>
                <w:sz w:val="18"/>
                <w:szCs w:val="18"/>
                <w:lang w:val="es-ES" w:eastAsia="en-US"/>
              </w:rPr>
              <w:t>n.s.</w:t>
            </w:r>
          </w:p>
        </w:tc>
      </w:tr>
      <w:tr w:rsidR="0021273B" w:rsidRPr="0021273B" w14:paraId="1B601A69" w14:textId="77777777" w:rsidTr="0024633D">
        <w:trPr>
          <w:jc w:val="center"/>
        </w:trPr>
        <w:tc>
          <w:tcPr>
            <w:tcW w:w="3091" w:type="dxa"/>
            <w:tcBorders>
              <w:top w:val="nil"/>
              <w:left w:val="single" w:sz="4" w:space="0" w:color="auto"/>
              <w:bottom w:val="nil"/>
              <w:right w:val="single" w:sz="4" w:space="0" w:color="auto"/>
            </w:tcBorders>
          </w:tcPr>
          <w:p w14:paraId="51C85EC3" w14:textId="77777777" w:rsidR="0021273B" w:rsidRPr="0021273B" w:rsidRDefault="0021273B" w:rsidP="0021273B">
            <w:pPr>
              <w:jc w:val="both"/>
              <w:rPr>
                <w:rFonts w:eastAsia="Calibri"/>
                <w:sz w:val="18"/>
                <w:szCs w:val="18"/>
                <w:highlight w:val="green"/>
                <w:lang w:val="es-ES" w:eastAsia="en-US"/>
              </w:rPr>
            </w:pPr>
            <w:r w:rsidRPr="0021273B">
              <w:rPr>
                <w:rFonts w:eastAsia="Calibri"/>
                <w:sz w:val="18"/>
                <w:szCs w:val="18"/>
                <w:lang w:val="es-ES" w:eastAsia="en-US"/>
              </w:rPr>
              <w:t xml:space="preserve">  Balance presupuestario                   </w:t>
            </w:r>
          </w:p>
        </w:tc>
        <w:tc>
          <w:tcPr>
            <w:tcW w:w="1523" w:type="dxa"/>
            <w:tcBorders>
              <w:top w:val="nil"/>
              <w:left w:val="single" w:sz="4" w:space="0" w:color="auto"/>
              <w:bottom w:val="nil"/>
              <w:right w:val="single" w:sz="4" w:space="0" w:color="auto"/>
            </w:tcBorders>
          </w:tcPr>
          <w:p w14:paraId="0EE82E1E" w14:textId="77777777" w:rsidR="0021273B" w:rsidRPr="0021273B" w:rsidRDefault="0021273B" w:rsidP="0021273B">
            <w:pPr>
              <w:ind w:right="454"/>
              <w:jc w:val="right"/>
              <w:rPr>
                <w:rFonts w:eastAsia="Calibri"/>
                <w:sz w:val="18"/>
                <w:szCs w:val="18"/>
                <w:lang w:val="es-ES" w:eastAsia="en-US"/>
              </w:rPr>
            </w:pPr>
            <w:r w:rsidRPr="0021273B">
              <w:rPr>
                <w:rFonts w:eastAsia="Calibri"/>
                <w:sz w:val="18"/>
                <w:szCs w:val="18"/>
                <w:lang w:val="es-ES" w:eastAsia="en-US"/>
              </w:rPr>
              <w:t>-377.9</w:t>
            </w:r>
          </w:p>
        </w:tc>
        <w:tc>
          <w:tcPr>
            <w:tcW w:w="1813" w:type="dxa"/>
            <w:tcBorders>
              <w:top w:val="nil"/>
              <w:left w:val="single" w:sz="4" w:space="0" w:color="auto"/>
              <w:bottom w:val="nil"/>
              <w:right w:val="single" w:sz="4" w:space="0" w:color="auto"/>
            </w:tcBorders>
          </w:tcPr>
          <w:p w14:paraId="7C3DEF1D" w14:textId="77777777" w:rsidR="0021273B" w:rsidRPr="0021273B" w:rsidRDefault="0021273B" w:rsidP="0021273B">
            <w:pPr>
              <w:ind w:right="454"/>
              <w:jc w:val="right"/>
              <w:rPr>
                <w:rFonts w:eastAsia="Calibri"/>
                <w:sz w:val="18"/>
                <w:szCs w:val="18"/>
                <w:lang w:val="es-ES" w:eastAsia="en-US"/>
              </w:rPr>
            </w:pPr>
            <w:r w:rsidRPr="0021273B">
              <w:rPr>
                <w:rFonts w:eastAsia="Calibri"/>
                <w:sz w:val="18"/>
                <w:szCs w:val="18"/>
                <w:lang w:val="es-ES" w:eastAsia="en-US"/>
              </w:rPr>
              <w:t>-547.2</w:t>
            </w:r>
          </w:p>
        </w:tc>
        <w:tc>
          <w:tcPr>
            <w:tcW w:w="1519" w:type="dxa"/>
            <w:tcBorders>
              <w:top w:val="nil"/>
              <w:left w:val="single" w:sz="4" w:space="0" w:color="auto"/>
              <w:bottom w:val="nil"/>
              <w:right w:val="single" w:sz="4" w:space="0" w:color="auto"/>
            </w:tcBorders>
          </w:tcPr>
          <w:p w14:paraId="6F0B30E8" w14:textId="77777777" w:rsidR="0021273B" w:rsidRPr="0021273B" w:rsidRDefault="0021273B" w:rsidP="0021273B">
            <w:pPr>
              <w:jc w:val="center"/>
              <w:rPr>
                <w:rFonts w:eastAsia="Calibri"/>
                <w:sz w:val="18"/>
                <w:szCs w:val="18"/>
                <w:lang w:val="es-ES" w:eastAsia="en-US"/>
              </w:rPr>
            </w:pPr>
            <w:r w:rsidRPr="0021273B">
              <w:rPr>
                <w:rFonts w:eastAsia="Calibri"/>
                <w:sz w:val="18"/>
                <w:szCs w:val="18"/>
                <w:lang w:val="es-ES" w:eastAsia="en-US"/>
              </w:rPr>
              <w:t>n.s.</w:t>
            </w:r>
          </w:p>
        </w:tc>
      </w:tr>
      <w:tr w:rsidR="0021273B" w:rsidRPr="0021273B" w14:paraId="1FDD7FBB" w14:textId="77777777" w:rsidTr="0024633D">
        <w:trPr>
          <w:jc w:val="center"/>
        </w:trPr>
        <w:tc>
          <w:tcPr>
            <w:tcW w:w="3091" w:type="dxa"/>
            <w:tcBorders>
              <w:top w:val="nil"/>
              <w:left w:val="single" w:sz="4" w:space="0" w:color="auto"/>
              <w:bottom w:val="nil"/>
              <w:right w:val="single" w:sz="4" w:space="0" w:color="auto"/>
            </w:tcBorders>
          </w:tcPr>
          <w:p w14:paraId="50E1F7CC" w14:textId="77777777" w:rsidR="0021273B" w:rsidRPr="0021273B" w:rsidRDefault="0021273B" w:rsidP="0021273B">
            <w:pPr>
              <w:jc w:val="both"/>
              <w:rPr>
                <w:rFonts w:eastAsia="Calibri"/>
                <w:sz w:val="18"/>
                <w:szCs w:val="18"/>
                <w:lang w:val="es-ES" w:eastAsia="en-US"/>
              </w:rPr>
            </w:pPr>
            <w:r w:rsidRPr="0021273B">
              <w:rPr>
                <w:rFonts w:eastAsia="Calibri"/>
                <w:sz w:val="18"/>
                <w:szCs w:val="18"/>
                <w:lang w:val="es-ES" w:eastAsia="en-US"/>
              </w:rPr>
              <w:t xml:space="preserve">    Ingreso presupuestario              </w:t>
            </w:r>
          </w:p>
        </w:tc>
        <w:tc>
          <w:tcPr>
            <w:tcW w:w="1523" w:type="dxa"/>
            <w:tcBorders>
              <w:top w:val="nil"/>
              <w:left w:val="single" w:sz="4" w:space="0" w:color="auto"/>
              <w:bottom w:val="nil"/>
              <w:right w:val="single" w:sz="4" w:space="0" w:color="auto"/>
            </w:tcBorders>
          </w:tcPr>
          <w:p w14:paraId="07EC3C28" w14:textId="77777777" w:rsidR="0021273B" w:rsidRPr="0021273B" w:rsidRDefault="0021273B" w:rsidP="0021273B">
            <w:pPr>
              <w:ind w:right="454"/>
              <w:jc w:val="right"/>
              <w:rPr>
                <w:rFonts w:eastAsia="Calibri"/>
                <w:sz w:val="18"/>
                <w:szCs w:val="18"/>
                <w:lang w:val="es-ES" w:eastAsia="en-US"/>
              </w:rPr>
            </w:pPr>
            <w:r w:rsidRPr="0021273B">
              <w:rPr>
                <w:rFonts w:eastAsia="Calibri"/>
                <w:sz w:val="18"/>
                <w:szCs w:val="18"/>
                <w:lang w:val="es-ES" w:eastAsia="en-US"/>
              </w:rPr>
              <w:t>3 800.4</w:t>
            </w:r>
          </w:p>
        </w:tc>
        <w:tc>
          <w:tcPr>
            <w:tcW w:w="1813" w:type="dxa"/>
            <w:tcBorders>
              <w:top w:val="nil"/>
              <w:left w:val="single" w:sz="4" w:space="0" w:color="auto"/>
              <w:bottom w:val="nil"/>
              <w:right w:val="single" w:sz="4" w:space="0" w:color="auto"/>
            </w:tcBorders>
          </w:tcPr>
          <w:p w14:paraId="0CCC855A" w14:textId="77777777" w:rsidR="0021273B" w:rsidRPr="0021273B" w:rsidRDefault="0021273B" w:rsidP="0021273B">
            <w:pPr>
              <w:ind w:right="454"/>
              <w:jc w:val="right"/>
              <w:rPr>
                <w:rFonts w:eastAsia="Calibri"/>
                <w:sz w:val="18"/>
                <w:szCs w:val="18"/>
                <w:lang w:val="es-ES" w:eastAsia="en-US"/>
              </w:rPr>
            </w:pPr>
            <w:r w:rsidRPr="0021273B">
              <w:rPr>
                <w:rFonts w:eastAsia="Calibri"/>
                <w:sz w:val="18"/>
                <w:szCs w:val="18"/>
                <w:lang w:val="es-ES" w:eastAsia="en-US"/>
              </w:rPr>
              <w:t>3 983.4</w:t>
            </w:r>
          </w:p>
        </w:tc>
        <w:tc>
          <w:tcPr>
            <w:tcW w:w="1519" w:type="dxa"/>
            <w:tcBorders>
              <w:top w:val="nil"/>
              <w:left w:val="single" w:sz="4" w:space="0" w:color="auto"/>
              <w:bottom w:val="nil"/>
              <w:right w:val="single" w:sz="4" w:space="0" w:color="auto"/>
            </w:tcBorders>
          </w:tcPr>
          <w:p w14:paraId="1D2497BA" w14:textId="77777777" w:rsidR="0021273B" w:rsidRPr="0021273B" w:rsidRDefault="0021273B" w:rsidP="0021273B">
            <w:pPr>
              <w:jc w:val="center"/>
              <w:rPr>
                <w:rFonts w:eastAsia="Calibri"/>
                <w:sz w:val="18"/>
                <w:szCs w:val="18"/>
                <w:lang w:val="es-ES" w:eastAsia="en-US"/>
              </w:rPr>
            </w:pPr>
            <w:r w:rsidRPr="0021273B">
              <w:rPr>
                <w:rFonts w:eastAsia="Calibri"/>
                <w:sz w:val="18"/>
                <w:szCs w:val="18"/>
                <w:lang w:val="es-ES" w:eastAsia="en-US"/>
              </w:rPr>
              <w:t>n.s.</w:t>
            </w:r>
          </w:p>
        </w:tc>
      </w:tr>
      <w:tr w:rsidR="0021273B" w:rsidRPr="0021273B" w14:paraId="1099540A" w14:textId="77777777" w:rsidTr="0024633D">
        <w:trPr>
          <w:jc w:val="center"/>
        </w:trPr>
        <w:tc>
          <w:tcPr>
            <w:tcW w:w="3091" w:type="dxa"/>
            <w:tcBorders>
              <w:top w:val="nil"/>
              <w:left w:val="single" w:sz="4" w:space="0" w:color="auto"/>
              <w:bottom w:val="nil"/>
              <w:right w:val="single" w:sz="4" w:space="0" w:color="auto"/>
            </w:tcBorders>
          </w:tcPr>
          <w:p w14:paraId="0F79F583" w14:textId="77777777" w:rsidR="0021273B" w:rsidRPr="0021273B" w:rsidRDefault="0021273B" w:rsidP="0021273B">
            <w:pPr>
              <w:jc w:val="both"/>
              <w:rPr>
                <w:rFonts w:eastAsia="Calibri"/>
                <w:sz w:val="18"/>
                <w:szCs w:val="18"/>
                <w:lang w:val="es-ES" w:eastAsia="en-US"/>
              </w:rPr>
            </w:pPr>
            <w:r w:rsidRPr="0021273B">
              <w:rPr>
                <w:rFonts w:eastAsia="Calibri"/>
                <w:sz w:val="18"/>
                <w:szCs w:val="18"/>
                <w:lang w:val="es-ES" w:eastAsia="en-US"/>
              </w:rPr>
              <w:t xml:space="preserve">    Gasto neto presupuestario           </w:t>
            </w:r>
          </w:p>
        </w:tc>
        <w:tc>
          <w:tcPr>
            <w:tcW w:w="1523" w:type="dxa"/>
            <w:tcBorders>
              <w:top w:val="nil"/>
              <w:left w:val="single" w:sz="4" w:space="0" w:color="auto"/>
              <w:bottom w:val="nil"/>
              <w:right w:val="single" w:sz="4" w:space="0" w:color="auto"/>
            </w:tcBorders>
          </w:tcPr>
          <w:p w14:paraId="54CC6E7E" w14:textId="77777777" w:rsidR="0021273B" w:rsidRPr="0021273B" w:rsidRDefault="0021273B" w:rsidP="0021273B">
            <w:pPr>
              <w:ind w:right="454"/>
              <w:jc w:val="right"/>
              <w:rPr>
                <w:rFonts w:eastAsia="Calibri"/>
                <w:sz w:val="18"/>
                <w:szCs w:val="18"/>
                <w:lang w:val="es-ES" w:eastAsia="en-US"/>
              </w:rPr>
            </w:pPr>
            <w:r w:rsidRPr="0021273B">
              <w:rPr>
                <w:rFonts w:eastAsia="Calibri"/>
                <w:sz w:val="18"/>
                <w:szCs w:val="18"/>
                <w:lang w:val="es-ES" w:eastAsia="en-US"/>
              </w:rPr>
              <w:t>4 178.3</w:t>
            </w:r>
          </w:p>
        </w:tc>
        <w:tc>
          <w:tcPr>
            <w:tcW w:w="1813" w:type="dxa"/>
            <w:tcBorders>
              <w:top w:val="nil"/>
              <w:left w:val="single" w:sz="4" w:space="0" w:color="auto"/>
              <w:bottom w:val="nil"/>
              <w:right w:val="single" w:sz="4" w:space="0" w:color="auto"/>
            </w:tcBorders>
          </w:tcPr>
          <w:p w14:paraId="41B7B1B0" w14:textId="77777777" w:rsidR="0021273B" w:rsidRPr="0021273B" w:rsidRDefault="0021273B" w:rsidP="0021273B">
            <w:pPr>
              <w:ind w:right="454"/>
              <w:jc w:val="right"/>
              <w:rPr>
                <w:rFonts w:eastAsia="Calibri"/>
                <w:sz w:val="18"/>
                <w:szCs w:val="18"/>
                <w:lang w:val="es-ES" w:eastAsia="en-US"/>
              </w:rPr>
            </w:pPr>
            <w:r w:rsidRPr="0021273B">
              <w:rPr>
                <w:rFonts w:eastAsia="Calibri"/>
                <w:sz w:val="18"/>
                <w:szCs w:val="18"/>
                <w:lang w:val="es-ES" w:eastAsia="en-US"/>
              </w:rPr>
              <w:t>4 530.6</w:t>
            </w:r>
          </w:p>
        </w:tc>
        <w:tc>
          <w:tcPr>
            <w:tcW w:w="1519" w:type="dxa"/>
            <w:tcBorders>
              <w:top w:val="nil"/>
              <w:left w:val="single" w:sz="4" w:space="0" w:color="auto"/>
              <w:bottom w:val="nil"/>
              <w:right w:val="single" w:sz="4" w:space="0" w:color="auto"/>
            </w:tcBorders>
          </w:tcPr>
          <w:p w14:paraId="3F288594" w14:textId="77777777" w:rsidR="0021273B" w:rsidRPr="0021273B" w:rsidRDefault="0021273B" w:rsidP="0021273B">
            <w:pPr>
              <w:jc w:val="center"/>
              <w:rPr>
                <w:rFonts w:eastAsia="Calibri"/>
                <w:sz w:val="18"/>
                <w:szCs w:val="18"/>
                <w:lang w:val="es-ES" w:eastAsia="en-US"/>
              </w:rPr>
            </w:pPr>
            <w:r w:rsidRPr="0021273B">
              <w:rPr>
                <w:rFonts w:eastAsia="Calibri"/>
                <w:sz w:val="18"/>
                <w:szCs w:val="18"/>
                <w:lang w:val="es-ES" w:eastAsia="en-US"/>
              </w:rPr>
              <w:t>n.s.</w:t>
            </w:r>
          </w:p>
        </w:tc>
      </w:tr>
      <w:tr w:rsidR="0021273B" w:rsidRPr="0021273B" w14:paraId="2C63BF28" w14:textId="77777777" w:rsidTr="0024633D">
        <w:trPr>
          <w:jc w:val="center"/>
        </w:trPr>
        <w:tc>
          <w:tcPr>
            <w:tcW w:w="3091" w:type="dxa"/>
            <w:tcBorders>
              <w:top w:val="nil"/>
              <w:left w:val="single" w:sz="4" w:space="0" w:color="auto"/>
              <w:bottom w:val="nil"/>
              <w:right w:val="single" w:sz="4" w:space="0" w:color="auto"/>
            </w:tcBorders>
          </w:tcPr>
          <w:p w14:paraId="6539ABDE" w14:textId="77777777" w:rsidR="0021273B" w:rsidRPr="0021273B" w:rsidRDefault="0021273B" w:rsidP="0021273B">
            <w:pPr>
              <w:jc w:val="both"/>
              <w:rPr>
                <w:rFonts w:eastAsia="Calibri"/>
                <w:sz w:val="18"/>
                <w:szCs w:val="18"/>
                <w:lang w:val="es-ES" w:eastAsia="en-US"/>
              </w:rPr>
            </w:pPr>
            <w:r w:rsidRPr="0021273B">
              <w:rPr>
                <w:rFonts w:eastAsia="Calibri"/>
                <w:sz w:val="18"/>
                <w:szCs w:val="18"/>
                <w:lang w:val="es-ES" w:eastAsia="en-US"/>
              </w:rPr>
              <w:t xml:space="preserve">      Gobierno Federal</w:t>
            </w:r>
          </w:p>
        </w:tc>
        <w:tc>
          <w:tcPr>
            <w:tcW w:w="1523" w:type="dxa"/>
            <w:tcBorders>
              <w:top w:val="nil"/>
              <w:left w:val="single" w:sz="4" w:space="0" w:color="auto"/>
              <w:bottom w:val="nil"/>
              <w:right w:val="single" w:sz="4" w:space="0" w:color="auto"/>
            </w:tcBorders>
          </w:tcPr>
          <w:p w14:paraId="7083523D" w14:textId="77777777" w:rsidR="0021273B" w:rsidRPr="0021273B" w:rsidRDefault="0021273B" w:rsidP="0021273B">
            <w:pPr>
              <w:ind w:right="454"/>
              <w:jc w:val="right"/>
              <w:rPr>
                <w:rFonts w:eastAsia="Calibri"/>
                <w:sz w:val="18"/>
                <w:szCs w:val="18"/>
                <w:lang w:val="es-ES" w:eastAsia="en-US"/>
              </w:rPr>
            </w:pPr>
            <w:r w:rsidRPr="0021273B">
              <w:rPr>
                <w:rFonts w:eastAsia="Calibri"/>
                <w:sz w:val="18"/>
                <w:szCs w:val="18"/>
                <w:lang w:val="es-ES" w:eastAsia="en-US"/>
              </w:rPr>
              <w:t>-393.0</w:t>
            </w:r>
          </w:p>
        </w:tc>
        <w:tc>
          <w:tcPr>
            <w:tcW w:w="1813" w:type="dxa"/>
            <w:tcBorders>
              <w:top w:val="nil"/>
              <w:left w:val="single" w:sz="4" w:space="0" w:color="auto"/>
              <w:bottom w:val="nil"/>
              <w:right w:val="single" w:sz="4" w:space="0" w:color="auto"/>
            </w:tcBorders>
          </w:tcPr>
          <w:p w14:paraId="78F6F241" w14:textId="77777777" w:rsidR="0021273B" w:rsidRPr="0021273B" w:rsidRDefault="0021273B" w:rsidP="0021273B">
            <w:pPr>
              <w:ind w:right="454"/>
              <w:jc w:val="right"/>
              <w:rPr>
                <w:rFonts w:eastAsia="Calibri"/>
                <w:sz w:val="18"/>
                <w:szCs w:val="18"/>
                <w:lang w:val="es-ES" w:eastAsia="en-US"/>
              </w:rPr>
            </w:pPr>
            <w:r w:rsidRPr="0021273B">
              <w:rPr>
                <w:rFonts w:eastAsia="Calibri"/>
                <w:sz w:val="18"/>
                <w:szCs w:val="18"/>
                <w:lang w:val="es-ES" w:eastAsia="en-US"/>
              </w:rPr>
              <w:t>-491.0</w:t>
            </w:r>
          </w:p>
        </w:tc>
        <w:tc>
          <w:tcPr>
            <w:tcW w:w="1519" w:type="dxa"/>
            <w:tcBorders>
              <w:top w:val="nil"/>
              <w:left w:val="single" w:sz="4" w:space="0" w:color="auto"/>
              <w:bottom w:val="nil"/>
              <w:right w:val="single" w:sz="4" w:space="0" w:color="auto"/>
            </w:tcBorders>
          </w:tcPr>
          <w:p w14:paraId="34B8B0CF" w14:textId="77777777" w:rsidR="0021273B" w:rsidRPr="0021273B" w:rsidRDefault="0021273B" w:rsidP="0021273B">
            <w:pPr>
              <w:jc w:val="center"/>
              <w:rPr>
                <w:rFonts w:eastAsia="Calibri"/>
                <w:sz w:val="18"/>
                <w:szCs w:val="18"/>
                <w:lang w:val="es-ES" w:eastAsia="en-US"/>
              </w:rPr>
            </w:pPr>
            <w:r w:rsidRPr="0021273B">
              <w:rPr>
                <w:rFonts w:eastAsia="Calibri"/>
                <w:sz w:val="18"/>
                <w:szCs w:val="18"/>
                <w:lang w:val="es-ES" w:eastAsia="en-US"/>
              </w:rPr>
              <w:t>n.s.</w:t>
            </w:r>
          </w:p>
        </w:tc>
      </w:tr>
      <w:tr w:rsidR="0021273B" w:rsidRPr="0021273B" w14:paraId="0FEA911A" w14:textId="77777777" w:rsidTr="0024633D">
        <w:trPr>
          <w:jc w:val="center"/>
        </w:trPr>
        <w:tc>
          <w:tcPr>
            <w:tcW w:w="3091" w:type="dxa"/>
            <w:tcBorders>
              <w:top w:val="nil"/>
              <w:left w:val="single" w:sz="4" w:space="0" w:color="auto"/>
              <w:bottom w:val="nil"/>
              <w:right w:val="single" w:sz="4" w:space="0" w:color="auto"/>
            </w:tcBorders>
          </w:tcPr>
          <w:p w14:paraId="09A91FBA" w14:textId="77777777" w:rsidR="0021273B" w:rsidRPr="0021273B" w:rsidRDefault="0021273B" w:rsidP="0021273B">
            <w:pPr>
              <w:jc w:val="both"/>
              <w:rPr>
                <w:rFonts w:eastAsia="Calibri"/>
                <w:sz w:val="18"/>
                <w:szCs w:val="18"/>
                <w:lang w:val="es-ES" w:eastAsia="en-US"/>
              </w:rPr>
            </w:pPr>
            <w:r w:rsidRPr="0021273B">
              <w:rPr>
                <w:rFonts w:eastAsia="Calibri"/>
                <w:sz w:val="18"/>
                <w:szCs w:val="18"/>
                <w:lang w:val="es-ES" w:eastAsia="en-US"/>
              </w:rPr>
              <w:t xml:space="preserve">      Organismos  y empresas</w:t>
            </w:r>
          </w:p>
        </w:tc>
        <w:tc>
          <w:tcPr>
            <w:tcW w:w="1523" w:type="dxa"/>
            <w:tcBorders>
              <w:top w:val="nil"/>
              <w:left w:val="single" w:sz="4" w:space="0" w:color="auto"/>
              <w:bottom w:val="nil"/>
              <w:right w:val="single" w:sz="4" w:space="0" w:color="auto"/>
            </w:tcBorders>
          </w:tcPr>
          <w:p w14:paraId="3832CCE8" w14:textId="77777777" w:rsidR="0021273B" w:rsidRPr="0021273B" w:rsidRDefault="0021273B" w:rsidP="0021273B">
            <w:pPr>
              <w:ind w:right="454"/>
              <w:jc w:val="right"/>
              <w:rPr>
                <w:rFonts w:eastAsia="Calibri"/>
                <w:sz w:val="18"/>
                <w:szCs w:val="18"/>
                <w:lang w:val="es-ES" w:eastAsia="en-US"/>
              </w:rPr>
            </w:pPr>
            <w:r w:rsidRPr="0021273B">
              <w:rPr>
                <w:rFonts w:eastAsia="Calibri"/>
                <w:sz w:val="18"/>
                <w:szCs w:val="18"/>
                <w:lang w:val="es-ES" w:eastAsia="en-US"/>
              </w:rPr>
              <w:t>15.1</w:t>
            </w:r>
          </w:p>
        </w:tc>
        <w:tc>
          <w:tcPr>
            <w:tcW w:w="1813" w:type="dxa"/>
            <w:tcBorders>
              <w:top w:val="nil"/>
              <w:left w:val="single" w:sz="4" w:space="0" w:color="auto"/>
              <w:bottom w:val="nil"/>
              <w:right w:val="single" w:sz="4" w:space="0" w:color="auto"/>
            </w:tcBorders>
          </w:tcPr>
          <w:p w14:paraId="0FEBABD0" w14:textId="77777777" w:rsidR="0021273B" w:rsidRPr="0021273B" w:rsidRDefault="0021273B" w:rsidP="0021273B">
            <w:pPr>
              <w:ind w:right="454"/>
              <w:jc w:val="right"/>
              <w:rPr>
                <w:rFonts w:eastAsia="Calibri"/>
                <w:sz w:val="18"/>
                <w:szCs w:val="18"/>
                <w:lang w:val="es-ES" w:eastAsia="en-US"/>
              </w:rPr>
            </w:pPr>
            <w:r w:rsidRPr="0021273B">
              <w:rPr>
                <w:rFonts w:eastAsia="Calibri"/>
                <w:sz w:val="18"/>
                <w:szCs w:val="18"/>
                <w:lang w:val="es-ES" w:eastAsia="en-US"/>
              </w:rPr>
              <w:t>-56.2</w:t>
            </w:r>
          </w:p>
        </w:tc>
        <w:tc>
          <w:tcPr>
            <w:tcW w:w="1519" w:type="dxa"/>
            <w:tcBorders>
              <w:top w:val="nil"/>
              <w:left w:val="single" w:sz="4" w:space="0" w:color="auto"/>
              <w:bottom w:val="nil"/>
              <w:right w:val="single" w:sz="4" w:space="0" w:color="auto"/>
            </w:tcBorders>
          </w:tcPr>
          <w:p w14:paraId="5F2B01A2" w14:textId="77777777" w:rsidR="0021273B" w:rsidRPr="0021273B" w:rsidRDefault="0021273B" w:rsidP="0021273B">
            <w:pPr>
              <w:jc w:val="center"/>
              <w:rPr>
                <w:rFonts w:eastAsia="Calibri"/>
                <w:sz w:val="18"/>
                <w:szCs w:val="18"/>
                <w:lang w:val="es-ES" w:eastAsia="en-US"/>
              </w:rPr>
            </w:pPr>
            <w:r w:rsidRPr="0021273B">
              <w:rPr>
                <w:rFonts w:eastAsia="Calibri"/>
                <w:sz w:val="18"/>
                <w:szCs w:val="18"/>
                <w:lang w:val="es-ES" w:eastAsia="en-US"/>
              </w:rPr>
              <w:t>n.s.</w:t>
            </w:r>
          </w:p>
        </w:tc>
      </w:tr>
      <w:tr w:rsidR="0021273B" w:rsidRPr="0021273B" w14:paraId="6C83FEA2" w14:textId="77777777" w:rsidTr="0024633D">
        <w:trPr>
          <w:jc w:val="center"/>
        </w:trPr>
        <w:tc>
          <w:tcPr>
            <w:tcW w:w="3091" w:type="dxa"/>
            <w:tcBorders>
              <w:top w:val="nil"/>
              <w:left w:val="single" w:sz="4" w:space="0" w:color="auto"/>
              <w:bottom w:val="nil"/>
              <w:right w:val="single" w:sz="4" w:space="0" w:color="auto"/>
            </w:tcBorders>
          </w:tcPr>
          <w:p w14:paraId="34CD3F7A" w14:textId="77777777" w:rsidR="0021273B" w:rsidRPr="0021273B" w:rsidRDefault="0021273B" w:rsidP="0021273B">
            <w:pPr>
              <w:jc w:val="both"/>
              <w:rPr>
                <w:rFonts w:eastAsia="Calibri"/>
                <w:sz w:val="18"/>
                <w:szCs w:val="18"/>
                <w:highlight w:val="green"/>
                <w:lang w:val="es-ES" w:eastAsia="en-US"/>
              </w:rPr>
            </w:pPr>
            <w:r w:rsidRPr="0021273B">
              <w:rPr>
                <w:rFonts w:eastAsia="Calibri"/>
                <w:sz w:val="18"/>
                <w:szCs w:val="18"/>
                <w:lang w:val="es-ES" w:eastAsia="en-US"/>
              </w:rPr>
              <w:t xml:space="preserve">        Pemex</w:t>
            </w:r>
          </w:p>
        </w:tc>
        <w:tc>
          <w:tcPr>
            <w:tcW w:w="1523" w:type="dxa"/>
            <w:tcBorders>
              <w:top w:val="nil"/>
              <w:left w:val="single" w:sz="4" w:space="0" w:color="auto"/>
              <w:bottom w:val="nil"/>
              <w:right w:val="single" w:sz="4" w:space="0" w:color="auto"/>
            </w:tcBorders>
          </w:tcPr>
          <w:p w14:paraId="41090B87" w14:textId="77777777" w:rsidR="0021273B" w:rsidRPr="0021273B" w:rsidRDefault="0021273B" w:rsidP="0021273B">
            <w:pPr>
              <w:ind w:right="454"/>
              <w:jc w:val="right"/>
              <w:rPr>
                <w:rFonts w:eastAsia="Calibri"/>
                <w:sz w:val="18"/>
                <w:szCs w:val="18"/>
                <w:lang w:val="es-ES" w:eastAsia="en-US"/>
              </w:rPr>
            </w:pPr>
            <w:r w:rsidRPr="0021273B">
              <w:rPr>
                <w:rFonts w:eastAsia="Calibri"/>
                <w:sz w:val="18"/>
                <w:szCs w:val="18"/>
                <w:lang w:val="es-ES" w:eastAsia="en-US"/>
              </w:rPr>
              <w:t>-35.7</w:t>
            </w:r>
          </w:p>
        </w:tc>
        <w:tc>
          <w:tcPr>
            <w:tcW w:w="1813" w:type="dxa"/>
            <w:tcBorders>
              <w:top w:val="nil"/>
              <w:left w:val="single" w:sz="4" w:space="0" w:color="auto"/>
              <w:bottom w:val="nil"/>
              <w:right w:val="single" w:sz="4" w:space="0" w:color="auto"/>
            </w:tcBorders>
          </w:tcPr>
          <w:p w14:paraId="130C1C94" w14:textId="77777777" w:rsidR="0021273B" w:rsidRPr="0021273B" w:rsidRDefault="0021273B" w:rsidP="0021273B">
            <w:pPr>
              <w:ind w:right="454"/>
              <w:jc w:val="right"/>
              <w:rPr>
                <w:rFonts w:eastAsia="Calibri"/>
                <w:sz w:val="18"/>
                <w:szCs w:val="18"/>
                <w:lang w:val="es-ES" w:eastAsia="en-US"/>
              </w:rPr>
            </w:pPr>
            <w:r w:rsidRPr="0021273B">
              <w:rPr>
                <w:rFonts w:eastAsia="Calibri"/>
                <w:sz w:val="18"/>
                <w:szCs w:val="18"/>
                <w:lang w:val="es-ES" w:eastAsia="en-US"/>
              </w:rPr>
              <w:t>-132.7</w:t>
            </w:r>
          </w:p>
        </w:tc>
        <w:tc>
          <w:tcPr>
            <w:tcW w:w="1519" w:type="dxa"/>
            <w:tcBorders>
              <w:top w:val="nil"/>
              <w:left w:val="single" w:sz="4" w:space="0" w:color="auto"/>
              <w:bottom w:val="nil"/>
              <w:right w:val="single" w:sz="4" w:space="0" w:color="auto"/>
            </w:tcBorders>
          </w:tcPr>
          <w:p w14:paraId="52B107C5" w14:textId="77777777" w:rsidR="0021273B" w:rsidRPr="0021273B" w:rsidRDefault="0021273B" w:rsidP="0021273B">
            <w:pPr>
              <w:jc w:val="center"/>
              <w:rPr>
                <w:rFonts w:eastAsia="Calibri"/>
                <w:sz w:val="18"/>
                <w:szCs w:val="18"/>
                <w:lang w:val="es-ES" w:eastAsia="en-US"/>
              </w:rPr>
            </w:pPr>
            <w:r w:rsidRPr="0021273B">
              <w:rPr>
                <w:rFonts w:eastAsia="Calibri"/>
                <w:sz w:val="18"/>
                <w:szCs w:val="18"/>
                <w:lang w:val="es-ES" w:eastAsia="en-US"/>
              </w:rPr>
              <w:t>n.s.</w:t>
            </w:r>
          </w:p>
        </w:tc>
      </w:tr>
      <w:tr w:rsidR="0021273B" w:rsidRPr="0021273B" w14:paraId="4A2AE806" w14:textId="77777777" w:rsidTr="0024633D">
        <w:trPr>
          <w:jc w:val="center"/>
        </w:trPr>
        <w:tc>
          <w:tcPr>
            <w:tcW w:w="3091" w:type="dxa"/>
            <w:tcBorders>
              <w:top w:val="nil"/>
              <w:left w:val="single" w:sz="4" w:space="0" w:color="auto"/>
              <w:bottom w:val="nil"/>
              <w:right w:val="single" w:sz="4" w:space="0" w:color="auto"/>
            </w:tcBorders>
          </w:tcPr>
          <w:p w14:paraId="1ECC868A" w14:textId="77777777" w:rsidR="0021273B" w:rsidRPr="0021273B" w:rsidRDefault="0021273B" w:rsidP="0021273B">
            <w:pPr>
              <w:jc w:val="both"/>
              <w:rPr>
                <w:rFonts w:eastAsia="Calibri"/>
                <w:sz w:val="18"/>
                <w:szCs w:val="18"/>
                <w:highlight w:val="green"/>
                <w:lang w:val="es-ES" w:eastAsia="en-US"/>
              </w:rPr>
            </w:pPr>
            <w:r w:rsidRPr="0021273B">
              <w:rPr>
                <w:rFonts w:eastAsia="Calibri"/>
                <w:sz w:val="18"/>
                <w:szCs w:val="18"/>
                <w:lang w:val="es-ES" w:eastAsia="en-US"/>
              </w:rPr>
              <w:t xml:space="preserve">        Otras entidades</w:t>
            </w:r>
          </w:p>
        </w:tc>
        <w:tc>
          <w:tcPr>
            <w:tcW w:w="1523" w:type="dxa"/>
            <w:tcBorders>
              <w:top w:val="nil"/>
              <w:left w:val="single" w:sz="4" w:space="0" w:color="auto"/>
              <w:bottom w:val="nil"/>
              <w:right w:val="single" w:sz="4" w:space="0" w:color="auto"/>
            </w:tcBorders>
          </w:tcPr>
          <w:p w14:paraId="27520F03" w14:textId="77777777" w:rsidR="0021273B" w:rsidRPr="0021273B" w:rsidRDefault="0021273B" w:rsidP="0021273B">
            <w:pPr>
              <w:ind w:right="454"/>
              <w:jc w:val="right"/>
              <w:rPr>
                <w:rFonts w:eastAsia="Calibri"/>
                <w:sz w:val="18"/>
                <w:szCs w:val="18"/>
                <w:lang w:val="es-ES" w:eastAsia="en-US"/>
              </w:rPr>
            </w:pPr>
            <w:r w:rsidRPr="0021273B">
              <w:rPr>
                <w:rFonts w:eastAsia="Calibri"/>
                <w:sz w:val="18"/>
                <w:szCs w:val="18"/>
                <w:lang w:val="es-ES" w:eastAsia="en-US"/>
              </w:rPr>
              <w:t>50.8</w:t>
            </w:r>
          </w:p>
        </w:tc>
        <w:tc>
          <w:tcPr>
            <w:tcW w:w="1813" w:type="dxa"/>
            <w:tcBorders>
              <w:top w:val="nil"/>
              <w:left w:val="single" w:sz="4" w:space="0" w:color="auto"/>
              <w:bottom w:val="nil"/>
              <w:right w:val="single" w:sz="4" w:space="0" w:color="auto"/>
            </w:tcBorders>
          </w:tcPr>
          <w:p w14:paraId="1216A662" w14:textId="77777777" w:rsidR="0021273B" w:rsidRPr="0021273B" w:rsidRDefault="0021273B" w:rsidP="0021273B">
            <w:pPr>
              <w:ind w:right="454"/>
              <w:jc w:val="right"/>
              <w:rPr>
                <w:rFonts w:eastAsia="Calibri"/>
                <w:sz w:val="18"/>
                <w:szCs w:val="18"/>
                <w:lang w:val="es-ES" w:eastAsia="en-US"/>
              </w:rPr>
            </w:pPr>
            <w:r w:rsidRPr="0021273B">
              <w:rPr>
                <w:rFonts w:eastAsia="Calibri"/>
                <w:sz w:val="18"/>
                <w:szCs w:val="18"/>
                <w:lang w:val="es-ES" w:eastAsia="en-US"/>
              </w:rPr>
              <w:t>76.5</w:t>
            </w:r>
          </w:p>
        </w:tc>
        <w:tc>
          <w:tcPr>
            <w:tcW w:w="1519" w:type="dxa"/>
            <w:tcBorders>
              <w:top w:val="nil"/>
              <w:left w:val="single" w:sz="4" w:space="0" w:color="auto"/>
              <w:bottom w:val="nil"/>
              <w:right w:val="single" w:sz="4" w:space="0" w:color="auto"/>
            </w:tcBorders>
          </w:tcPr>
          <w:p w14:paraId="09F9AB3D" w14:textId="77777777" w:rsidR="0021273B" w:rsidRPr="0021273B" w:rsidRDefault="0021273B" w:rsidP="0021273B">
            <w:pPr>
              <w:ind w:right="113"/>
              <w:jc w:val="center"/>
              <w:rPr>
                <w:rFonts w:eastAsia="Calibri"/>
                <w:sz w:val="18"/>
                <w:szCs w:val="18"/>
                <w:lang w:val="es-ES" w:eastAsia="en-US"/>
              </w:rPr>
            </w:pPr>
            <w:r w:rsidRPr="0021273B">
              <w:rPr>
                <w:rFonts w:eastAsia="Calibri"/>
                <w:sz w:val="18"/>
                <w:szCs w:val="18"/>
                <w:lang w:val="es-ES" w:eastAsia="en-US"/>
              </w:rPr>
              <w:t>50.6</w:t>
            </w:r>
          </w:p>
        </w:tc>
      </w:tr>
      <w:tr w:rsidR="0021273B" w:rsidRPr="0021273B" w14:paraId="50B6BACD" w14:textId="77777777" w:rsidTr="0024633D">
        <w:trPr>
          <w:jc w:val="center"/>
        </w:trPr>
        <w:tc>
          <w:tcPr>
            <w:tcW w:w="3091" w:type="dxa"/>
            <w:tcBorders>
              <w:top w:val="nil"/>
              <w:left w:val="single" w:sz="4" w:space="0" w:color="auto"/>
              <w:bottom w:val="nil"/>
              <w:right w:val="single" w:sz="4" w:space="0" w:color="auto"/>
            </w:tcBorders>
          </w:tcPr>
          <w:p w14:paraId="6B14161A" w14:textId="77777777" w:rsidR="0021273B" w:rsidRPr="0021273B" w:rsidRDefault="0021273B" w:rsidP="0021273B">
            <w:pPr>
              <w:jc w:val="both"/>
              <w:rPr>
                <w:rFonts w:eastAsia="Calibri"/>
                <w:sz w:val="18"/>
                <w:szCs w:val="18"/>
                <w:highlight w:val="green"/>
                <w:lang w:val="es-ES" w:eastAsia="en-US"/>
              </w:rPr>
            </w:pPr>
            <w:r w:rsidRPr="0021273B">
              <w:rPr>
                <w:rFonts w:eastAsia="Calibri"/>
                <w:sz w:val="18"/>
                <w:szCs w:val="18"/>
                <w:lang w:val="es-ES" w:eastAsia="en-US"/>
              </w:rPr>
              <w:t xml:space="preserve">  Entidades bajo control indirecto</w:t>
            </w:r>
          </w:p>
        </w:tc>
        <w:tc>
          <w:tcPr>
            <w:tcW w:w="1523" w:type="dxa"/>
            <w:tcBorders>
              <w:top w:val="nil"/>
              <w:left w:val="single" w:sz="4" w:space="0" w:color="auto"/>
              <w:bottom w:val="nil"/>
              <w:right w:val="single" w:sz="4" w:space="0" w:color="auto"/>
            </w:tcBorders>
          </w:tcPr>
          <w:p w14:paraId="7CA0E12C" w14:textId="77777777" w:rsidR="0021273B" w:rsidRPr="0021273B" w:rsidRDefault="0021273B" w:rsidP="0021273B">
            <w:pPr>
              <w:ind w:right="454"/>
              <w:jc w:val="right"/>
              <w:rPr>
                <w:rFonts w:eastAsia="Calibri"/>
                <w:sz w:val="18"/>
                <w:szCs w:val="18"/>
                <w:lang w:val="es-ES" w:eastAsia="en-US"/>
              </w:rPr>
            </w:pPr>
            <w:r w:rsidRPr="0021273B">
              <w:rPr>
                <w:rFonts w:eastAsia="Calibri"/>
                <w:sz w:val="18"/>
                <w:szCs w:val="18"/>
                <w:lang w:val="es-ES" w:eastAsia="en-US"/>
              </w:rPr>
              <w:t>3.7</w:t>
            </w:r>
          </w:p>
        </w:tc>
        <w:tc>
          <w:tcPr>
            <w:tcW w:w="1813" w:type="dxa"/>
            <w:tcBorders>
              <w:top w:val="nil"/>
              <w:left w:val="single" w:sz="4" w:space="0" w:color="auto"/>
              <w:bottom w:val="nil"/>
              <w:right w:val="single" w:sz="4" w:space="0" w:color="auto"/>
            </w:tcBorders>
          </w:tcPr>
          <w:p w14:paraId="42EB4D65" w14:textId="77777777" w:rsidR="0021273B" w:rsidRPr="0021273B" w:rsidRDefault="0021273B" w:rsidP="0021273B">
            <w:pPr>
              <w:ind w:right="454"/>
              <w:jc w:val="right"/>
              <w:rPr>
                <w:rFonts w:eastAsia="Calibri"/>
                <w:sz w:val="18"/>
                <w:szCs w:val="18"/>
                <w:lang w:val="es-ES" w:eastAsia="en-US"/>
              </w:rPr>
            </w:pPr>
            <w:r w:rsidRPr="0021273B">
              <w:rPr>
                <w:rFonts w:eastAsia="Calibri"/>
                <w:sz w:val="18"/>
                <w:szCs w:val="18"/>
                <w:lang w:val="es-ES" w:eastAsia="en-US"/>
              </w:rPr>
              <w:t>2.2</w:t>
            </w:r>
          </w:p>
        </w:tc>
        <w:tc>
          <w:tcPr>
            <w:tcW w:w="1519" w:type="dxa"/>
            <w:tcBorders>
              <w:top w:val="nil"/>
              <w:left w:val="single" w:sz="4" w:space="0" w:color="auto"/>
              <w:bottom w:val="nil"/>
              <w:right w:val="single" w:sz="4" w:space="0" w:color="auto"/>
            </w:tcBorders>
          </w:tcPr>
          <w:p w14:paraId="5804F1A2" w14:textId="77777777" w:rsidR="0021273B" w:rsidRPr="0021273B" w:rsidRDefault="0021273B" w:rsidP="0021273B">
            <w:pPr>
              <w:ind w:right="113"/>
              <w:jc w:val="center"/>
              <w:rPr>
                <w:rFonts w:eastAsia="Calibri"/>
                <w:sz w:val="18"/>
                <w:szCs w:val="18"/>
                <w:lang w:val="es-ES" w:eastAsia="en-US"/>
              </w:rPr>
            </w:pPr>
            <w:r w:rsidRPr="0021273B">
              <w:rPr>
                <w:rFonts w:eastAsia="Calibri"/>
                <w:sz w:val="18"/>
                <w:szCs w:val="18"/>
                <w:lang w:val="es-ES" w:eastAsia="en-US"/>
              </w:rPr>
              <w:t>-39.4</w:t>
            </w:r>
          </w:p>
        </w:tc>
      </w:tr>
      <w:tr w:rsidR="0021273B" w:rsidRPr="0021273B" w14:paraId="3B3E9180" w14:textId="77777777" w:rsidTr="0024633D">
        <w:trPr>
          <w:jc w:val="center"/>
        </w:trPr>
        <w:tc>
          <w:tcPr>
            <w:tcW w:w="3091" w:type="dxa"/>
            <w:tcBorders>
              <w:top w:val="nil"/>
              <w:left w:val="single" w:sz="4" w:space="0" w:color="auto"/>
              <w:bottom w:val="nil"/>
              <w:right w:val="single" w:sz="4" w:space="0" w:color="auto"/>
            </w:tcBorders>
          </w:tcPr>
          <w:p w14:paraId="0D293A58" w14:textId="77777777" w:rsidR="0021273B" w:rsidRPr="0021273B" w:rsidRDefault="0021273B" w:rsidP="0021273B">
            <w:pPr>
              <w:jc w:val="both"/>
              <w:rPr>
                <w:rFonts w:eastAsia="Calibri"/>
                <w:sz w:val="18"/>
                <w:szCs w:val="18"/>
                <w:highlight w:val="green"/>
                <w:lang w:val="es-ES" w:eastAsia="en-US"/>
              </w:rPr>
            </w:pPr>
            <w:r w:rsidRPr="0021273B">
              <w:rPr>
                <w:rFonts w:eastAsia="Calibri"/>
                <w:sz w:val="18"/>
                <w:szCs w:val="18"/>
                <w:lang w:val="es-ES" w:eastAsia="en-US"/>
              </w:rPr>
              <w:t xml:space="preserve">Balance primario                                   </w:t>
            </w:r>
          </w:p>
        </w:tc>
        <w:tc>
          <w:tcPr>
            <w:tcW w:w="1523" w:type="dxa"/>
            <w:tcBorders>
              <w:top w:val="nil"/>
              <w:left w:val="single" w:sz="4" w:space="0" w:color="auto"/>
              <w:bottom w:val="nil"/>
              <w:right w:val="single" w:sz="4" w:space="0" w:color="auto"/>
            </w:tcBorders>
          </w:tcPr>
          <w:p w14:paraId="01AFFCB7" w14:textId="77777777" w:rsidR="0021273B" w:rsidRPr="0021273B" w:rsidRDefault="0021273B" w:rsidP="0021273B">
            <w:pPr>
              <w:ind w:right="454"/>
              <w:jc w:val="right"/>
              <w:rPr>
                <w:rFonts w:eastAsia="Calibri"/>
                <w:sz w:val="18"/>
                <w:szCs w:val="18"/>
                <w:lang w:val="es-ES" w:eastAsia="en-US"/>
              </w:rPr>
            </w:pPr>
            <w:r w:rsidRPr="0021273B">
              <w:rPr>
                <w:rFonts w:eastAsia="Calibri"/>
                <w:sz w:val="18"/>
                <w:szCs w:val="18"/>
                <w:lang w:val="es-ES" w:eastAsia="en-US"/>
              </w:rPr>
              <w:t>-60.2</w:t>
            </w:r>
          </w:p>
        </w:tc>
        <w:tc>
          <w:tcPr>
            <w:tcW w:w="1813" w:type="dxa"/>
            <w:tcBorders>
              <w:top w:val="nil"/>
              <w:left w:val="single" w:sz="4" w:space="0" w:color="auto"/>
              <w:bottom w:val="nil"/>
              <w:right w:val="single" w:sz="4" w:space="0" w:color="auto"/>
            </w:tcBorders>
          </w:tcPr>
          <w:p w14:paraId="577EBB8A" w14:textId="77777777" w:rsidR="0021273B" w:rsidRPr="0021273B" w:rsidRDefault="0021273B" w:rsidP="0021273B">
            <w:pPr>
              <w:ind w:right="454"/>
              <w:jc w:val="right"/>
              <w:rPr>
                <w:rFonts w:eastAsia="Calibri"/>
                <w:sz w:val="18"/>
                <w:szCs w:val="18"/>
                <w:lang w:val="es-ES" w:eastAsia="en-US"/>
              </w:rPr>
            </w:pPr>
            <w:r w:rsidRPr="0021273B">
              <w:rPr>
                <w:rFonts w:eastAsia="Calibri"/>
                <w:sz w:val="18"/>
                <w:szCs w:val="18"/>
                <w:lang w:val="es-ES" w:eastAsia="en-US"/>
              </w:rPr>
              <w:t>-193.3</w:t>
            </w:r>
          </w:p>
        </w:tc>
        <w:tc>
          <w:tcPr>
            <w:tcW w:w="1519" w:type="dxa"/>
            <w:tcBorders>
              <w:top w:val="nil"/>
              <w:left w:val="single" w:sz="4" w:space="0" w:color="auto"/>
              <w:bottom w:val="nil"/>
              <w:right w:val="single" w:sz="4" w:space="0" w:color="auto"/>
            </w:tcBorders>
          </w:tcPr>
          <w:p w14:paraId="33ED8CC8" w14:textId="77777777" w:rsidR="0021273B" w:rsidRPr="0021273B" w:rsidRDefault="0021273B" w:rsidP="0021273B">
            <w:pPr>
              <w:jc w:val="center"/>
              <w:rPr>
                <w:rFonts w:eastAsia="Calibri"/>
                <w:sz w:val="18"/>
                <w:szCs w:val="18"/>
                <w:lang w:val="es-ES" w:eastAsia="en-US"/>
              </w:rPr>
            </w:pPr>
            <w:r w:rsidRPr="0021273B">
              <w:rPr>
                <w:rFonts w:eastAsia="Calibri"/>
                <w:sz w:val="18"/>
                <w:szCs w:val="18"/>
                <w:lang w:val="es-ES" w:eastAsia="en-US"/>
              </w:rPr>
              <w:t>n.s.</w:t>
            </w:r>
          </w:p>
        </w:tc>
      </w:tr>
      <w:tr w:rsidR="0021273B" w:rsidRPr="0021273B" w14:paraId="25439FCA" w14:textId="77777777" w:rsidTr="0024633D">
        <w:trPr>
          <w:jc w:val="center"/>
        </w:trPr>
        <w:tc>
          <w:tcPr>
            <w:tcW w:w="3091" w:type="dxa"/>
            <w:tcBorders>
              <w:top w:val="nil"/>
              <w:left w:val="single" w:sz="4" w:space="0" w:color="auto"/>
              <w:bottom w:val="nil"/>
              <w:right w:val="single" w:sz="4" w:space="0" w:color="auto"/>
            </w:tcBorders>
          </w:tcPr>
          <w:p w14:paraId="6A60A1DB" w14:textId="77777777" w:rsidR="0021273B" w:rsidRPr="0021273B" w:rsidRDefault="0021273B" w:rsidP="0021273B">
            <w:pPr>
              <w:jc w:val="both"/>
              <w:rPr>
                <w:rFonts w:eastAsia="Calibri"/>
                <w:sz w:val="18"/>
                <w:szCs w:val="18"/>
                <w:highlight w:val="green"/>
                <w:lang w:val="es-ES" w:eastAsia="en-US"/>
              </w:rPr>
            </w:pPr>
            <w:r w:rsidRPr="0021273B">
              <w:rPr>
                <w:rFonts w:eastAsia="Calibri"/>
                <w:sz w:val="18"/>
                <w:szCs w:val="18"/>
                <w:lang w:val="es-ES" w:eastAsia="en-US"/>
              </w:rPr>
              <w:t xml:space="preserve">  Balance presupuestario                     </w:t>
            </w:r>
          </w:p>
        </w:tc>
        <w:tc>
          <w:tcPr>
            <w:tcW w:w="1523" w:type="dxa"/>
            <w:tcBorders>
              <w:top w:val="nil"/>
              <w:left w:val="single" w:sz="4" w:space="0" w:color="auto"/>
              <w:bottom w:val="nil"/>
              <w:right w:val="single" w:sz="4" w:space="0" w:color="auto"/>
            </w:tcBorders>
          </w:tcPr>
          <w:p w14:paraId="182E3DE8" w14:textId="77777777" w:rsidR="0021273B" w:rsidRPr="0021273B" w:rsidRDefault="0021273B" w:rsidP="0021273B">
            <w:pPr>
              <w:ind w:right="454"/>
              <w:jc w:val="right"/>
              <w:rPr>
                <w:rFonts w:eastAsia="Calibri"/>
                <w:sz w:val="18"/>
                <w:szCs w:val="18"/>
                <w:lang w:val="es-ES" w:eastAsia="en-US"/>
              </w:rPr>
            </w:pPr>
            <w:r w:rsidRPr="0021273B">
              <w:rPr>
                <w:rFonts w:eastAsia="Calibri"/>
                <w:sz w:val="18"/>
                <w:szCs w:val="18"/>
                <w:lang w:val="es-ES" w:eastAsia="en-US"/>
              </w:rPr>
              <w:t>-63.4</w:t>
            </w:r>
          </w:p>
        </w:tc>
        <w:tc>
          <w:tcPr>
            <w:tcW w:w="1813" w:type="dxa"/>
            <w:tcBorders>
              <w:top w:val="nil"/>
              <w:left w:val="single" w:sz="4" w:space="0" w:color="auto"/>
              <w:bottom w:val="nil"/>
              <w:right w:val="single" w:sz="4" w:space="0" w:color="auto"/>
            </w:tcBorders>
          </w:tcPr>
          <w:p w14:paraId="41099D9C" w14:textId="77777777" w:rsidR="0021273B" w:rsidRPr="0021273B" w:rsidRDefault="0021273B" w:rsidP="0021273B">
            <w:pPr>
              <w:ind w:right="454"/>
              <w:jc w:val="right"/>
              <w:rPr>
                <w:rFonts w:eastAsia="Calibri"/>
                <w:sz w:val="18"/>
                <w:szCs w:val="18"/>
                <w:lang w:val="es-ES" w:eastAsia="en-US"/>
              </w:rPr>
            </w:pPr>
            <w:r w:rsidRPr="0021273B">
              <w:rPr>
                <w:rFonts w:eastAsia="Calibri"/>
                <w:sz w:val="18"/>
                <w:szCs w:val="18"/>
                <w:lang w:val="es-ES" w:eastAsia="en-US"/>
              </w:rPr>
              <w:t>-201.2</w:t>
            </w:r>
          </w:p>
        </w:tc>
        <w:tc>
          <w:tcPr>
            <w:tcW w:w="1519" w:type="dxa"/>
            <w:tcBorders>
              <w:top w:val="nil"/>
              <w:left w:val="single" w:sz="4" w:space="0" w:color="auto"/>
              <w:bottom w:val="nil"/>
              <w:right w:val="single" w:sz="4" w:space="0" w:color="auto"/>
            </w:tcBorders>
          </w:tcPr>
          <w:p w14:paraId="28F04995" w14:textId="77777777" w:rsidR="0021273B" w:rsidRPr="0021273B" w:rsidRDefault="0021273B" w:rsidP="0021273B">
            <w:pPr>
              <w:jc w:val="center"/>
              <w:rPr>
                <w:rFonts w:eastAsia="Calibri"/>
                <w:sz w:val="18"/>
                <w:szCs w:val="18"/>
                <w:lang w:val="es-ES" w:eastAsia="en-US"/>
              </w:rPr>
            </w:pPr>
            <w:r w:rsidRPr="0021273B">
              <w:rPr>
                <w:rFonts w:eastAsia="Calibri"/>
                <w:sz w:val="18"/>
                <w:szCs w:val="18"/>
                <w:lang w:val="es-ES" w:eastAsia="en-US"/>
              </w:rPr>
              <w:t>n.s.</w:t>
            </w:r>
          </w:p>
        </w:tc>
      </w:tr>
      <w:tr w:rsidR="0021273B" w:rsidRPr="0021273B" w14:paraId="4AC3DC8D" w14:textId="77777777" w:rsidTr="0024633D">
        <w:trPr>
          <w:jc w:val="center"/>
        </w:trPr>
        <w:tc>
          <w:tcPr>
            <w:tcW w:w="3091" w:type="dxa"/>
            <w:tcBorders>
              <w:top w:val="nil"/>
              <w:left w:val="single" w:sz="4" w:space="0" w:color="auto"/>
              <w:bottom w:val="nil"/>
              <w:right w:val="single" w:sz="4" w:space="0" w:color="auto"/>
            </w:tcBorders>
          </w:tcPr>
          <w:p w14:paraId="2E55C6E0" w14:textId="77777777" w:rsidR="0021273B" w:rsidRPr="0021273B" w:rsidRDefault="0021273B" w:rsidP="0021273B">
            <w:pPr>
              <w:jc w:val="both"/>
              <w:rPr>
                <w:rFonts w:eastAsia="Calibri"/>
                <w:sz w:val="18"/>
                <w:szCs w:val="18"/>
                <w:lang w:val="es-ES" w:eastAsia="en-US"/>
              </w:rPr>
            </w:pPr>
            <w:r w:rsidRPr="0021273B">
              <w:rPr>
                <w:rFonts w:eastAsia="Calibri"/>
                <w:sz w:val="18"/>
                <w:szCs w:val="18"/>
                <w:lang w:val="es-ES" w:eastAsia="en-US"/>
              </w:rPr>
              <w:t xml:space="preserve">    Gobierno Federal</w:t>
            </w:r>
          </w:p>
        </w:tc>
        <w:tc>
          <w:tcPr>
            <w:tcW w:w="1523" w:type="dxa"/>
            <w:tcBorders>
              <w:top w:val="nil"/>
              <w:left w:val="single" w:sz="4" w:space="0" w:color="auto"/>
              <w:bottom w:val="nil"/>
              <w:right w:val="single" w:sz="4" w:space="0" w:color="auto"/>
            </w:tcBorders>
          </w:tcPr>
          <w:p w14:paraId="2BBB4596" w14:textId="77777777" w:rsidR="0021273B" w:rsidRPr="0021273B" w:rsidRDefault="0021273B" w:rsidP="0021273B">
            <w:pPr>
              <w:ind w:right="454"/>
              <w:jc w:val="right"/>
              <w:rPr>
                <w:rFonts w:eastAsia="Calibri"/>
                <w:sz w:val="18"/>
                <w:szCs w:val="18"/>
                <w:lang w:val="es-ES" w:eastAsia="en-US"/>
              </w:rPr>
            </w:pPr>
            <w:r w:rsidRPr="0021273B">
              <w:rPr>
                <w:rFonts w:eastAsia="Calibri"/>
                <w:sz w:val="18"/>
                <w:szCs w:val="18"/>
                <w:lang w:val="es-ES" w:eastAsia="en-US"/>
              </w:rPr>
              <w:t>-122.7</w:t>
            </w:r>
          </w:p>
        </w:tc>
        <w:tc>
          <w:tcPr>
            <w:tcW w:w="1813" w:type="dxa"/>
            <w:tcBorders>
              <w:top w:val="nil"/>
              <w:left w:val="single" w:sz="4" w:space="0" w:color="auto"/>
              <w:bottom w:val="nil"/>
              <w:right w:val="single" w:sz="4" w:space="0" w:color="auto"/>
            </w:tcBorders>
          </w:tcPr>
          <w:p w14:paraId="4A694689" w14:textId="77777777" w:rsidR="0021273B" w:rsidRPr="0021273B" w:rsidRDefault="0021273B" w:rsidP="0021273B">
            <w:pPr>
              <w:ind w:right="454"/>
              <w:jc w:val="right"/>
              <w:rPr>
                <w:rFonts w:eastAsia="Calibri"/>
                <w:sz w:val="18"/>
                <w:szCs w:val="18"/>
                <w:lang w:val="es-ES" w:eastAsia="en-US"/>
              </w:rPr>
            </w:pPr>
            <w:r w:rsidRPr="0021273B">
              <w:rPr>
                <w:rFonts w:eastAsia="Calibri"/>
                <w:sz w:val="18"/>
                <w:szCs w:val="18"/>
                <w:lang w:val="es-ES" w:eastAsia="en-US"/>
              </w:rPr>
              <w:t>-199.2</w:t>
            </w:r>
          </w:p>
        </w:tc>
        <w:tc>
          <w:tcPr>
            <w:tcW w:w="1519" w:type="dxa"/>
            <w:tcBorders>
              <w:top w:val="nil"/>
              <w:left w:val="single" w:sz="4" w:space="0" w:color="auto"/>
              <w:bottom w:val="nil"/>
              <w:right w:val="single" w:sz="4" w:space="0" w:color="auto"/>
            </w:tcBorders>
          </w:tcPr>
          <w:p w14:paraId="43C3D4B4" w14:textId="77777777" w:rsidR="0021273B" w:rsidRPr="0021273B" w:rsidRDefault="0021273B" w:rsidP="0021273B">
            <w:pPr>
              <w:jc w:val="center"/>
              <w:rPr>
                <w:rFonts w:eastAsia="Calibri"/>
                <w:sz w:val="18"/>
                <w:szCs w:val="18"/>
                <w:lang w:val="es-ES" w:eastAsia="en-US"/>
              </w:rPr>
            </w:pPr>
            <w:r w:rsidRPr="0021273B">
              <w:rPr>
                <w:rFonts w:eastAsia="Calibri"/>
                <w:sz w:val="18"/>
                <w:szCs w:val="18"/>
                <w:lang w:val="es-ES" w:eastAsia="en-US"/>
              </w:rPr>
              <w:t>n.s.</w:t>
            </w:r>
          </w:p>
        </w:tc>
      </w:tr>
      <w:tr w:rsidR="0021273B" w:rsidRPr="0021273B" w14:paraId="4032F8DB" w14:textId="77777777" w:rsidTr="0024633D">
        <w:trPr>
          <w:jc w:val="center"/>
        </w:trPr>
        <w:tc>
          <w:tcPr>
            <w:tcW w:w="3091" w:type="dxa"/>
            <w:tcBorders>
              <w:top w:val="nil"/>
              <w:left w:val="single" w:sz="4" w:space="0" w:color="auto"/>
              <w:bottom w:val="nil"/>
              <w:right w:val="single" w:sz="4" w:space="0" w:color="auto"/>
            </w:tcBorders>
          </w:tcPr>
          <w:p w14:paraId="56F0DAEC" w14:textId="77777777" w:rsidR="0021273B" w:rsidRPr="0021273B" w:rsidRDefault="0021273B" w:rsidP="0021273B">
            <w:pPr>
              <w:jc w:val="both"/>
              <w:rPr>
                <w:rFonts w:eastAsia="Calibri"/>
                <w:sz w:val="18"/>
                <w:szCs w:val="18"/>
                <w:lang w:val="es-ES" w:eastAsia="en-US"/>
              </w:rPr>
            </w:pPr>
            <w:r w:rsidRPr="0021273B">
              <w:rPr>
                <w:rFonts w:eastAsia="Calibri"/>
                <w:sz w:val="18"/>
                <w:szCs w:val="18"/>
                <w:lang w:val="es-ES" w:eastAsia="en-US"/>
              </w:rPr>
              <w:t xml:space="preserve">    Organismos  y empresas</w:t>
            </w:r>
          </w:p>
        </w:tc>
        <w:tc>
          <w:tcPr>
            <w:tcW w:w="1523" w:type="dxa"/>
            <w:tcBorders>
              <w:top w:val="nil"/>
              <w:left w:val="single" w:sz="4" w:space="0" w:color="auto"/>
              <w:bottom w:val="nil"/>
              <w:right w:val="single" w:sz="4" w:space="0" w:color="auto"/>
            </w:tcBorders>
          </w:tcPr>
          <w:p w14:paraId="710B776F" w14:textId="77777777" w:rsidR="0021273B" w:rsidRPr="0021273B" w:rsidRDefault="0021273B" w:rsidP="0021273B">
            <w:pPr>
              <w:ind w:right="454"/>
              <w:jc w:val="right"/>
              <w:rPr>
                <w:rFonts w:eastAsia="Calibri"/>
                <w:sz w:val="18"/>
                <w:szCs w:val="18"/>
                <w:lang w:val="es-ES" w:eastAsia="en-US"/>
              </w:rPr>
            </w:pPr>
            <w:r w:rsidRPr="0021273B">
              <w:rPr>
                <w:rFonts w:eastAsia="Calibri"/>
                <w:sz w:val="18"/>
                <w:szCs w:val="18"/>
                <w:lang w:val="es-ES" w:eastAsia="en-US"/>
              </w:rPr>
              <w:t>59.4</w:t>
            </w:r>
          </w:p>
        </w:tc>
        <w:tc>
          <w:tcPr>
            <w:tcW w:w="1813" w:type="dxa"/>
            <w:tcBorders>
              <w:top w:val="nil"/>
              <w:left w:val="single" w:sz="4" w:space="0" w:color="auto"/>
              <w:bottom w:val="nil"/>
              <w:right w:val="single" w:sz="4" w:space="0" w:color="auto"/>
            </w:tcBorders>
          </w:tcPr>
          <w:p w14:paraId="5FF1C626" w14:textId="77777777" w:rsidR="0021273B" w:rsidRPr="0021273B" w:rsidRDefault="0021273B" w:rsidP="0021273B">
            <w:pPr>
              <w:ind w:right="454"/>
              <w:jc w:val="right"/>
              <w:rPr>
                <w:rFonts w:eastAsia="Calibri"/>
                <w:sz w:val="18"/>
                <w:szCs w:val="18"/>
                <w:lang w:val="es-ES" w:eastAsia="en-US"/>
              </w:rPr>
            </w:pPr>
            <w:r w:rsidRPr="0021273B">
              <w:rPr>
                <w:rFonts w:eastAsia="Calibri"/>
                <w:sz w:val="18"/>
                <w:szCs w:val="18"/>
                <w:lang w:val="es-ES" w:eastAsia="en-US"/>
              </w:rPr>
              <w:t>-2.0</w:t>
            </w:r>
          </w:p>
        </w:tc>
        <w:tc>
          <w:tcPr>
            <w:tcW w:w="1519" w:type="dxa"/>
            <w:tcBorders>
              <w:top w:val="nil"/>
              <w:left w:val="single" w:sz="4" w:space="0" w:color="auto"/>
              <w:bottom w:val="nil"/>
              <w:right w:val="single" w:sz="4" w:space="0" w:color="auto"/>
            </w:tcBorders>
          </w:tcPr>
          <w:p w14:paraId="594B7E23" w14:textId="77777777" w:rsidR="0021273B" w:rsidRPr="0021273B" w:rsidRDefault="0021273B" w:rsidP="0021273B">
            <w:pPr>
              <w:jc w:val="center"/>
              <w:rPr>
                <w:rFonts w:eastAsia="Calibri"/>
                <w:sz w:val="18"/>
                <w:szCs w:val="18"/>
                <w:lang w:val="es-ES" w:eastAsia="en-US"/>
              </w:rPr>
            </w:pPr>
            <w:r w:rsidRPr="0021273B">
              <w:rPr>
                <w:rFonts w:eastAsia="Calibri"/>
                <w:sz w:val="18"/>
                <w:szCs w:val="18"/>
                <w:lang w:val="es-ES" w:eastAsia="en-US"/>
              </w:rPr>
              <w:t>n.s.</w:t>
            </w:r>
          </w:p>
        </w:tc>
      </w:tr>
      <w:tr w:rsidR="0021273B" w:rsidRPr="0021273B" w14:paraId="3E9E02C7" w14:textId="77777777" w:rsidTr="0024633D">
        <w:trPr>
          <w:jc w:val="center"/>
        </w:trPr>
        <w:tc>
          <w:tcPr>
            <w:tcW w:w="3091" w:type="dxa"/>
            <w:tcBorders>
              <w:top w:val="nil"/>
              <w:left w:val="single" w:sz="4" w:space="0" w:color="auto"/>
              <w:bottom w:val="nil"/>
              <w:right w:val="single" w:sz="4" w:space="0" w:color="auto"/>
            </w:tcBorders>
          </w:tcPr>
          <w:p w14:paraId="7E81B1DC" w14:textId="77777777" w:rsidR="0021273B" w:rsidRPr="0021273B" w:rsidRDefault="0021273B" w:rsidP="0021273B">
            <w:pPr>
              <w:jc w:val="both"/>
              <w:rPr>
                <w:rFonts w:eastAsia="Calibri"/>
                <w:sz w:val="18"/>
                <w:szCs w:val="18"/>
                <w:lang w:val="es-ES" w:eastAsia="en-US"/>
              </w:rPr>
            </w:pPr>
            <w:r w:rsidRPr="0021273B">
              <w:rPr>
                <w:rFonts w:eastAsia="Calibri"/>
                <w:sz w:val="18"/>
                <w:szCs w:val="18"/>
                <w:lang w:val="es-ES" w:eastAsia="en-US"/>
              </w:rPr>
              <w:t xml:space="preserve">      Pemex</w:t>
            </w:r>
          </w:p>
        </w:tc>
        <w:tc>
          <w:tcPr>
            <w:tcW w:w="1523" w:type="dxa"/>
            <w:tcBorders>
              <w:top w:val="nil"/>
              <w:left w:val="single" w:sz="4" w:space="0" w:color="auto"/>
              <w:bottom w:val="nil"/>
              <w:right w:val="single" w:sz="4" w:space="0" w:color="auto"/>
            </w:tcBorders>
          </w:tcPr>
          <w:p w14:paraId="50914FFD" w14:textId="77777777" w:rsidR="0021273B" w:rsidRPr="0021273B" w:rsidRDefault="0021273B" w:rsidP="0021273B">
            <w:pPr>
              <w:ind w:right="454"/>
              <w:jc w:val="right"/>
              <w:rPr>
                <w:rFonts w:eastAsia="Calibri"/>
                <w:sz w:val="18"/>
                <w:szCs w:val="18"/>
                <w:lang w:val="es-ES" w:eastAsia="en-US"/>
              </w:rPr>
            </w:pPr>
            <w:r w:rsidRPr="0021273B">
              <w:rPr>
                <w:rFonts w:eastAsia="Calibri"/>
                <w:sz w:val="18"/>
                <w:szCs w:val="18"/>
                <w:lang w:val="es-ES" w:eastAsia="en-US"/>
              </w:rPr>
              <w:t>-3.1</w:t>
            </w:r>
          </w:p>
        </w:tc>
        <w:tc>
          <w:tcPr>
            <w:tcW w:w="1813" w:type="dxa"/>
            <w:tcBorders>
              <w:top w:val="nil"/>
              <w:left w:val="single" w:sz="4" w:space="0" w:color="auto"/>
              <w:bottom w:val="nil"/>
              <w:right w:val="single" w:sz="4" w:space="0" w:color="auto"/>
            </w:tcBorders>
          </w:tcPr>
          <w:p w14:paraId="71B67B8B" w14:textId="77777777" w:rsidR="0021273B" w:rsidRPr="0021273B" w:rsidRDefault="0021273B" w:rsidP="0021273B">
            <w:pPr>
              <w:ind w:right="454"/>
              <w:jc w:val="right"/>
              <w:rPr>
                <w:rFonts w:eastAsia="Calibri"/>
                <w:sz w:val="18"/>
                <w:szCs w:val="18"/>
                <w:lang w:val="es-ES" w:eastAsia="en-US"/>
              </w:rPr>
            </w:pPr>
            <w:r w:rsidRPr="0021273B">
              <w:rPr>
                <w:rFonts w:eastAsia="Calibri"/>
                <w:sz w:val="18"/>
                <w:szCs w:val="18"/>
                <w:lang w:val="es-ES" w:eastAsia="en-US"/>
              </w:rPr>
              <w:t>-90.0</w:t>
            </w:r>
          </w:p>
        </w:tc>
        <w:tc>
          <w:tcPr>
            <w:tcW w:w="1519" w:type="dxa"/>
            <w:tcBorders>
              <w:top w:val="nil"/>
              <w:left w:val="single" w:sz="4" w:space="0" w:color="auto"/>
              <w:bottom w:val="nil"/>
              <w:right w:val="single" w:sz="4" w:space="0" w:color="auto"/>
            </w:tcBorders>
          </w:tcPr>
          <w:p w14:paraId="00AE6D26" w14:textId="77777777" w:rsidR="0021273B" w:rsidRPr="0021273B" w:rsidRDefault="0021273B" w:rsidP="0021273B">
            <w:pPr>
              <w:jc w:val="center"/>
              <w:rPr>
                <w:rFonts w:eastAsia="Calibri"/>
                <w:sz w:val="18"/>
                <w:szCs w:val="18"/>
                <w:lang w:val="es-ES" w:eastAsia="en-US"/>
              </w:rPr>
            </w:pPr>
            <w:r w:rsidRPr="0021273B">
              <w:rPr>
                <w:rFonts w:eastAsia="Calibri"/>
                <w:sz w:val="18"/>
                <w:szCs w:val="18"/>
                <w:lang w:val="es-ES" w:eastAsia="en-US"/>
              </w:rPr>
              <w:t>n.s.</w:t>
            </w:r>
          </w:p>
        </w:tc>
      </w:tr>
      <w:tr w:rsidR="0021273B" w:rsidRPr="0021273B" w14:paraId="69E0DB12" w14:textId="77777777" w:rsidTr="0024633D">
        <w:trPr>
          <w:jc w:val="center"/>
        </w:trPr>
        <w:tc>
          <w:tcPr>
            <w:tcW w:w="3091" w:type="dxa"/>
            <w:tcBorders>
              <w:top w:val="nil"/>
              <w:left w:val="single" w:sz="4" w:space="0" w:color="auto"/>
              <w:bottom w:val="nil"/>
              <w:right w:val="single" w:sz="4" w:space="0" w:color="auto"/>
            </w:tcBorders>
          </w:tcPr>
          <w:p w14:paraId="4EDD5A12" w14:textId="77777777" w:rsidR="0021273B" w:rsidRPr="0021273B" w:rsidRDefault="0021273B" w:rsidP="0021273B">
            <w:pPr>
              <w:jc w:val="both"/>
              <w:rPr>
                <w:rFonts w:eastAsia="Calibri"/>
                <w:sz w:val="18"/>
                <w:szCs w:val="18"/>
                <w:lang w:val="es-ES" w:eastAsia="en-US"/>
              </w:rPr>
            </w:pPr>
            <w:r w:rsidRPr="0021273B">
              <w:rPr>
                <w:rFonts w:eastAsia="Calibri"/>
                <w:sz w:val="18"/>
                <w:szCs w:val="18"/>
                <w:lang w:val="es-ES" w:eastAsia="en-US"/>
              </w:rPr>
              <w:t xml:space="preserve">      Otras entidades</w:t>
            </w:r>
          </w:p>
        </w:tc>
        <w:tc>
          <w:tcPr>
            <w:tcW w:w="1523" w:type="dxa"/>
            <w:tcBorders>
              <w:top w:val="nil"/>
              <w:left w:val="single" w:sz="4" w:space="0" w:color="auto"/>
              <w:bottom w:val="nil"/>
              <w:right w:val="single" w:sz="4" w:space="0" w:color="auto"/>
            </w:tcBorders>
          </w:tcPr>
          <w:p w14:paraId="1CD53850" w14:textId="77777777" w:rsidR="0021273B" w:rsidRPr="0021273B" w:rsidRDefault="0021273B" w:rsidP="0021273B">
            <w:pPr>
              <w:ind w:right="454"/>
              <w:jc w:val="right"/>
              <w:rPr>
                <w:rFonts w:eastAsia="Calibri"/>
                <w:sz w:val="18"/>
                <w:szCs w:val="18"/>
                <w:lang w:val="es-ES" w:eastAsia="en-US"/>
              </w:rPr>
            </w:pPr>
            <w:r w:rsidRPr="0021273B">
              <w:rPr>
                <w:rFonts w:eastAsia="Calibri"/>
                <w:sz w:val="18"/>
                <w:szCs w:val="18"/>
                <w:lang w:val="es-ES" w:eastAsia="en-US"/>
              </w:rPr>
              <w:t>62.4</w:t>
            </w:r>
          </w:p>
        </w:tc>
        <w:tc>
          <w:tcPr>
            <w:tcW w:w="1813" w:type="dxa"/>
            <w:tcBorders>
              <w:top w:val="nil"/>
              <w:left w:val="single" w:sz="4" w:space="0" w:color="auto"/>
              <w:bottom w:val="nil"/>
              <w:right w:val="single" w:sz="4" w:space="0" w:color="auto"/>
            </w:tcBorders>
          </w:tcPr>
          <w:p w14:paraId="3ADE0B63" w14:textId="77777777" w:rsidR="0021273B" w:rsidRPr="0021273B" w:rsidRDefault="0021273B" w:rsidP="0021273B">
            <w:pPr>
              <w:ind w:right="454"/>
              <w:jc w:val="right"/>
              <w:rPr>
                <w:rFonts w:eastAsia="Calibri"/>
                <w:sz w:val="18"/>
                <w:szCs w:val="18"/>
                <w:lang w:val="es-ES" w:eastAsia="en-US"/>
              </w:rPr>
            </w:pPr>
            <w:r w:rsidRPr="0021273B">
              <w:rPr>
                <w:rFonts w:eastAsia="Calibri"/>
                <w:sz w:val="18"/>
                <w:szCs w:val="18"/>
                <w:lang w:val="es-ES" w:eastAsia="en-US"/>
              </w:rPr>
              <w:t>87.9</w:t>
            </w:r>
          </w:p>
        </w:tc>
        <w:tc>
          <w:tcPr>
            <w:tcW w:w="1519" w:type="dxa"/>
            <w:tcBorders>
              <w:top w:val="nil"/>
              <w:left w:val="single" w:sz="4" w:space="0" w:color="auto"/>
              <w:bottom w:val="nil"/>
              <w:right w:val="single" w:sz="4" w:space="0" w:color="auto"/>
            </w:tcBorders>
          </w:tcPr>
          <w:p w14:paraId="7367A2E3" w14:textId="77777777" w:rsidR="0021273B" w:rsidRPr="0021273B" w:rsidRDefault="0021273B" w:rsidP="0021273B">
            <w:pPr>
              <w:ind w:right="113"/>
              <w:jc w:val="center"/>
              <w:rPr>
                <w:rFonts w:eastAsia="Calibri"/>
                <w:sz w:val="18"/>
                <w:szCs w:val="18"/>
                <w:lang w:val="es-ES" w:eastAsia="en-US"/>
              </w:rPr>
            </w:pPr>
            <w:r w:rsidRPr="0021273B">
              <w:rPr>
                <w:rFonts w:eastAsia="Calibri"/>
                <w:sz w:val="18"/>
                <w:szCs w:val="18"/>
                <w:lang w:val="es-ES" w:eastAsia="en-US"/>
              </w:rPr>
              <w:t>40.8</w:t>
            </w:r>
          </w:p>
        </w:tc>
      </w:tr>
      <w:tr w:rsidR="0021273B" w:rsidRPr="0021273B" w14:paraId="194ACD1B" w14:textId="77777777" w:rsidTr="0024633D">
        <w:trPr>
          <w:jc w:val="center"/>
        </w:trPr>
        <w:tc>
          <w:tcPr>
            <w:tcW w:w="3091" w:type="dxa"/>
            <w:tcBorders>
              <w:top w:val="nil"/>
              <w:left w:val="single" w:sz="4" w:space="0" w:color="auto"/>
              <w:bottom w:val="single" w:sz="4" w:space="0" w:color="auto"/>
              <w:right w:val="single" w:sz="4" w:space="0" w:color="auto"/>
            </w:tcBorders>
          </w:tcPr>
          <w:p w14:paraId="72411E13" w14:textId="77777777" w:rsidR="0021273B" w:rsidRPr="0021273B" w:rsidRDefault="0021273B" w:rsidP="0021273B">
            <w:pPr>
              <w:jc w:val="both"/>
              <w:rPr>
                <w:rFonts w:eastAsia="Calibri"/>
                <w:sz w:val="18"/>
                <w:szCs w:val="18"/>
                <w:lang w:val="es-ES" w:eastAsia="en-US"/>
              </w:rPr>
            </w:pPr>
            <w:r w:rsidRPr="0021273B">
              <w:rPr>
                <w:rFonts w:eastAsia="Calibri"/>
                <w:sz w:val="18"/>
                <w:szCs w:val="18"/>
                <w:lang w:val="es-ES" w:eastAsia="en-US"/>
              </w:rPr>
              <w:t>Entidades bajo control indirecto</w:t>
            </w:r>
          </w:p>
        </w:tc>
        <w:tc>
          <w:tcPr>
            <w:tcW w:w="1523" w:type="dxa"/>
            <w:tcBorders>
              <w:top w:val="nil"/>
              <w:left w:val="single" w:sz="4" w:space="0" w:color="auto"/>
              <w:bottom w:val="single" w:sz="4" w:space="0" w:color="auto"/>
              <w:right w:val="single" w:sz="4" w:space="0" w:color="auto"/>
            </w:tcBorders>
          </w:tcPr>
          <w:p w14:paraId="472BA541" w14:textId="77777777" w:rsidR="0021273B" w:rsidRPr="0021273B" w:rsidRDefault="0021273B" w:rsidP="0021273B">
            <w:pPr>
              <w:ind w:right="454"/>
              <w:jc w:val="right"/>
              <w:rPr>
                <w:rFonts w:eastAsia="Calibri"/>
                <w:sz w:val="18"/>
                <w:szCs w:val="18"/>
                <w:lang w:val="es-ES" w:eastAsia="en-US"/>
              </w:rPr>
            </w:pPr>
            <w:r w:rsidRPr="0021273B">
              <w:rPr>
                <w:rFonts w:eastAsia="Calibri"/>
                <w:sz w:val="18"/>
                <w:szCs w:val="18"/>
                <w:lang w:val="es-ES" w:eastAsia="en-US"/>
              </w:rPr>
              <w:t>3.1</w:t>
            </w:r>
          </w:p>
        </w:tc>
        <w:tc>
          <w:tcPr>
            <w:tcW w:w="1813" w:type="dxa"/>
            <w:tcBorders>
              <w:top w:val="nil"/>
              <w:left w:val="single" w:sz="4" w:space="0" w:color="auto"/>
              <w:bottom w:val="single" w:sz="4" w:space="0" w:color="auto"/>
              <w:right w:val="single" w:sz="4" w:space="0" w:color="auto"/>
            </w:tcBorders>
          </w:tcPr>
          <w:p w14:paraId="706F8D3F" w14:textId="77777777" w:rsidR="0021273B" w:rsidRPr="0021273B" w:rsidRDefault="0021273B" w:rsidP="0021273B">
            <w:pPr>
              <w:ind w:right="454"/>
              <w:jc w:val="right"/>
              <w:rPr>
                <w:rFonts w:eastAsia="Calibri"/>
                <w:sz w:val="18"/>
                <w:szCs w:val="18"/>
                <w:lang w:val="es-ES" w:eastAsia="en-US"/>
              </w:rPr>
            </w:pPr>
            <w:r w:rsidRPr="0021273B">
              <w:rPr>
                <w:rFonts w:eastAsia="Calibri"/>
                <w:sz w:val="18"/>
                <w:szCs w:val="18"/>
                <w:lang w:val="es-ES" w:eastAsia="en-US"/>
              </w:rPr>
              <w:t>7.9</w:t>
            </w:r>
          </w:p>
        </w:tc>
        <w:tc>
          <w:tcPr>
            <w:tcW w:w="1519" w:type="dxa"/>
            <w:tcBorders>
              <w:top w:val="nil"/>
              <w:left w:val="single" w:sz="4" w:space="0" w:color="auto"/>
              <w:bottom w:val="single" w:sz="4" w:space="0" w:color="auto"/>
              <w:right w:val="single" w:sz="4" w:space="0" w:color="auto"/>
            </w:tcBorders>
          </w:tcPr>
          <w:p w14:paraId="028A938A" w14:textId="77777777" w:rsidR="0021273B" w:rsidRPr="0021273B" w:rsidRDefault="0021273B" w:rsidP="0021273B">
            <w:pPr>
              <w:ind w:right="113"/>
              <w:jc w:val="center"/>
              <w:rPr>
                <w:rFonts w:eastAsia="Calibri"/>
                <w:sz w:val="18"/>
                <w:szCs w:val="18"/>
                <w:lang w:val="es-ES" w:eastAsia="en-US"/>
              </w:rPr>
            </w:pPr>
            <w:r w:rsidRPr="0021273B">
              <w:rPr>
                <w:rFonts w:eastAsia="Calibri"/>
                <w:sz w:val="18"/>
                <w:szCs w:val="18"/>
                <w:lang w:val="es-ES" w:eastAsia="en-US"/>
              </w:rPr>
              <w:t>153.4</w:t>
            </w:r>
          </w:p>
        </w:tc>
      </w:tr>
      <w:tr w:rsidR="0021273B" w:rsidRPr="0021273B" w14:paraId="33464B1C" w14:textId="77777777" w:rsidTr="006A662C">
        <w:trPr>
          <w:jc w:val="center"/>
        </w:trPr>
        <w:tc>
          <w:tcPr>
            <w:tcW w:w="7946" w:type="dxa"/>
            <w:gridSpan w:val="4"/>
            <w:tcBorders>
              <w:top w:val="single" w:sz="4" w:space="0" w:color="auto"/>
              <w:left w:val="nil"/>
              <w:bottom w:val="nil"/>
              <w:right w:val="nil"/>
            </w:tcBorders>
          </w:tcPr>
          <w:p w14:paraId="65AB5296" w14:textId="77777777" w:rsidR="0021273B" w:rsidRPr="0021273B" w:rsidRDefault="0021273B" w:rsidP="0021273B">
            <w:pPr>
              <w:jc w:val="both"/>
              <w:rPr>
                <w:rFonts w:eastAsia="Calibri"/>
                <w:sz w:val="20"/>
                <w:szCs w:val="20"/>
                <w:lang w:val="es-ES" w:eastAsia="en-US"/>
              </w:rPr>
            </w:pPr>
            <w:r w:rsidRPr="0021273B">
              <w:rPr>
                <w:rFonts w:eastAsia="Calibri"/>
                <w:sz w:val="20"/>
                <w:szCs w:val="20"/>
                <w:lang w:val="es-ES" w:eastAsia="en-US"/>
              </w:rPr>
              <w:t>n.s. = no significativo</w:t>
            </w:r>
          </w:p>
          <w:p w14:paraId="788C23CC" w14:textId="77777777" w:rsidR="0021273B" w:rsidRPr="0021273B" w:rsidRDefault="0021273B" w:rsidP="0021273B">
            <w:pPr>
              <w:jc w:val="both"/>
              <w:rPr>
                <w:rFonts w:eastAsia="Calibri"/>
                <w:sz w:val="20"/>
                <w:szCs w:val="20"/>
                <w:highlight w:val="green"/>
                <w:lang w:val="es-ES" w:eastAsia="en-US"/>
              </w:rPr>
            </w:pPr>
            <w:r w:rsidRPr="0021273B">
              <w:rPr>
                <w:rFonts w:eastAsia="Calibri"/>
                <w:sz w:val="20"/>
                <w:szCs w:val="20"/>
                <w:lang w:val="es-ES" w:eastAsia="en-US"/>
              </w:rPr>
              <w:t>FUENTE: BBVA Research con datos de SHCP.</w:t>
            </w:r>
          </w:p>
        </w:tc>
      </w:tr>
    </w:tbl>
    <w:p w14:paraId="2ABC50B5" w14:textId="77777777" w:rsidR="0021273B" w:rsidRPr="0021273B" w:rsidRDefault="0021273B" w:rsidP="0021273B">
      <w:pPr>
        <w:spacing w:after="360" w:line="360" w:lineRule="auto"/>
        <w:ind w:right="-159"/>
        <w:jc w:val="both"/>
        <w:rPr>
          <w:rFonts w:eastAsia="Calibri"/>
          <w:sz w:val="26"/>
          <w:szCs w:val="26"/>
          <w:highlight w:val="green"/>
          <w:lang w:val="es-ES" w:eastAsia="en-US"/>
        </w:rPr>
      </w:pPr>
    </w:p>
    <w:p w14:paraId="1570F9F0" w14:textId="77777777" w:rsidR="0021273B" w:rsidRPr="0021273B" w:rsidRDefault="0021273B" w:rsidP="0021273B">
      <w:pPr>
        <w:spacing w:after="360" w:line="360" w:lineRule="auto"/>
        <w:ind w:right="-159"/>
        <w:jc w:val="both"/>
        <w:rPr>
          <w:rFonts w:eastAsia="Calibri"/>
          <w:sz w:val="26"/>
          <w:szCs w:val="26"/>
          <w:lang w:val="es-ES" w:eastAsia="en-US"/>
        </w:rPr>
      </w:pPr>
      <w:r w:rsidRPr="0021273B">
        <w:rPr>
          <w:rFonts w:eastAsia="Calibri"/>
          <w:sz w:val="26"/>
          <w:szCs w:val="26"/>
          <w:lang w:val="es-ES" w:eastAsia="en-US"/>
        </w:rPr>
        <w:t>Por otra parte, el déficit del balance del sector público de 2014 fue mayor al de 2013, y en términos absolutos aumentó 45.6%. Cabe mencionar que el déficit del balance público de 2014 por 545 mil millones de pesos representa 3.0% del PIB nominal estimado para ese año (cuadro anterior). Ahora bien, si se considera la totalidad de los Requerimientos Financieros del Sector Público (RFSP)</w:t>
      </w:r>
      <w:r w:rsidRPr="0021273B">
        <w:rPr>
          <w:rFonts w:eastAsia="Calibri"/>
          <w:sz w:val="26"/>
          <w:szCs w:val="26"/>
          <w:vertAlign w:val="superscript"/>
          <w:lang w:val="es-ES" w:eastAsia="en-US"/>
        </w:rPr>
        <w:footnoteReference w:id="3"/>
      </w:r>
      <w:r w:rsidRPr="0021273B">
        <w:rPr>
          <w:rFonts w:eastAsia="Calibri"/>
          <w:sz w:val="26"/>
          <w:szCs w:val="26"/>
          <w:lang w:val="es-ES" w:eastAsia="en-US"/>
        </w:rPr>
        <w:t>, el déficit se ampliaría a 678.3 mil millones de pesos, con lo que los RFSP de 2014 como proporción del PIB de ese año aumentan a 3.7 por ciento.</w:t>
      </w:r>
    </w:p>
    <w:p w14:paraId="2A3118EC" w14:textId="1E5AF070" w:rsidR="0021273B" w:rsidRPr="0021273B" w:rsidRDefault="0021273B" w:rsidP="0021273B">
      <w:pPr>
        <w:spacing w:after="360" w:line="360" w:lineRule="auto"/>
        <w:ind w:right="-159"/>
        <w:jc w:val="both"/>
        <w:rPr>
          <w:rFonts w:eastAsia="Calibri"/>
          <w:sz w:val="26"/>
          <w:szCs w:val="26"/>
          <w:lang w:val="es-ES" w:eastAsia="en-US"/>
        </w:rPr>
      </w:pPr>
      <w:r w:rsidRPr="0021273B">
        <w:rPr>
          <w:rFonts w:eastAsia="Calibri"/>
          <w:sz w:val="26"/>
          <w:szCs w:val="26"/>
          <w:lang w:val="es-ES" w:eastAsia="en-US"/>
        </w:rPr>
        <w:t>En la medida en que en 2014</w:t>
      </w:r>
      <w:r w:rsidR="00D63928">
        <w:rPr>
          <w:rFonts w:eastAsia="Calibri"/>
          <w:sz w:val="26"/>
          <w:szCs w:val="26"/>
          <w:lang w:val="es-ES" w:eastAsia="en-US"/>
        </w:rPr>
        <w:t>,</w:t>
      </w:r>
      <w:r w:rsidRPr="0021273B">
        <w:rPr>
          <w:rFonts w:eastAsia="Calibri"/>
          <w:sz w:val="26"/>
          <w:szCs w:val="26"/>
          <w:lang w:val="es-ES" w:eastAsia="en-US"/>
        </w:rPr>
        <w:t xml:space="preserve"> el sector público reportó un déficit significativo en sus cuentas, esto también se vio reflejado en el aumento de la proporción del saldo de la deuda bruta total del sector público o del saldo de los RFSP con respecto al PIB en ese año. De esta forma, de 2013 a 2014</w:t>
      </w:r>
      <w:r w:rsidR="00D63928">
        <w:rPr>
          <w:rFonts w:eastAsia="Calibri"/>
          <w:sz w:val="26"/>
          <w:szCs w:val="26"/>
          <w:lang w:val="es-ES" w:eastAsia="en-US"/>
        </w:rPr>
        <w:t>,</w:t>
      </w:r>
      <w:r w:rsidRPr="0021273B">
        <w:rPr>
          <w:rFonts w:eastAsia="Calibri"/>
          <w:sz w:val="26"/>
          <w:szCs w:val="26"/>
          <w:lang w:val="es-ES" w:eastAsia="en-US"/>
        </w:rPr>
        <w:t xml:space="preserve"> la razón de deuda bruta total a PIB pasó de 37 a </w:t>
      </w:r>
      <w:r w:rsidRPr="0021273B">
        <w:rPr>
          <w:rFonts w:eastAsia="Calibri"/>
          <w:sz w:val="26"/>
          <w:szCs w:val="26"/>
          <w:lang w:val="es-ES" w:eastAsia="en-US"/>
        </w:rPr>
        <w:lastRenderedPageBreak/>
        <w:t>40% del producto. Por su parte, la razón de los RFSP en ese período también aumentó y lo hizo al pasar de 39% en el primer año a 41% en el segundo (gráfica siguiente).</w:t>
      </w:r>
    </w:p>
    <w:tbl>
      <w:tblPr>
        <w:tblW w:w="9209" w:type="dxa"/>
        <w:tblLook w:val="04A0" w:firstRow="1" w:lastRow="0" w:firstColumn="1" w:lastColumn="0" w:noHBand="0" w:noVBand="1"/>
      </w:tblPr>
      <w:tblGrid>
        <w:gridCol w:w="9209"/>
      </w:tblGrid>
      <w:tr w:rsidR="0021273B" w:rsidRPr="0021273B" w14:paraId="3BE0D747" w14:textId="77777777" w:rsidTr="006A662C">
        <w:tc>
          <w:tcPr>
            <w:tcW w:w="9209" w:type="dxa"/>
          </w:tcPr>
          <w:p w14:paraId="3895DA12"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DEUDA BRUTA TOTAL Y REQUERIMIENTOS</w:t>
            </w:r>
          </w:p>
          <w:p w14:paraId="67DBB130"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FINANCIEROS DEL SECTOR PÚBLICO</w:t>
            </w:r>
          </w:p>
          <w:p w14:paraId="722977AB"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-Porcentaje del PIB-</w:t>
            </w:r>
          </w:p>
        </w:tc>
      </w:tr>
      <w:tr w:rsidR="0021273B" w:rsidRPr="0021273B" w14:paraId="5A6291D1" w14:textId="77777777" w:rsidTr="006A662C">
        <w:tc>
          <w:tcPr>
            <w:tcW w:w="9209" w:type="dxa"/>
          </w:tcPr>
          <w:p w14:paraId="3BAF97E2" w14:textId="77777777" w:rsidR="0021273B" w:rsidRPr="0021273B" w:rsidRDefault="0021273B" w:rsidP="0021273B">
            <w:pPr>
              <w:jc w:val="center"/>
              <w:rPr>
                <w:rFonts w:eastAsia="Calibri"/>
                <w:sz w:val="22"/>
                <w:szCs w:val="26"/>
                <w:lang w:val="es-ES" w:eastAsia="en-US"/>
              </w:rPr>
            </w:pPr>
            <w:r w:rsidRPr="0021273B">
              <w:rPr>
                <w:rFonts w:eastAsia="Calibri"/>
                <w:noProof/>
                <w:sz w:val="22"/>
                <w:szCs w:val="26"/>
                <w:lang w:eastAsia="es-MX"/>
              </w:rPr>
              <w:drawing>
                <wp:inline distT="0" distB="0" distL="0" distR="0" wp14:anchorId="53FC8C77" wp14:editId="1AA5A526">
                  <wp:extent cx="5067264" cy="3060000"/>
                  <wp:effectExtent l="0" t="0" r="0" b="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t="8186" b="1227"/>
                          <a:stretch/>
                        </pic:blipFill>
                        <pic:spPr bwMode="auto">
                          <a:xfrm>
                            <a:off x="0" y="0"/>
                            <a:ext cx="5067264" cy="30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1273B" w:rsidRPr="0021273B" w14:paraId="7464A4BC" w14:textId="77777777" w:rsidTr="006A662C">
        <w:tc>
          <w:tcPr>
            <w:tcW w:w="9209" w:type="dxa"/>
          </w:tcPr>
          <w:p w14:paraId="1280DB2A" w14:textId="77777777" w:rsidR="0021273B" w:rsidRPr="0021273B" w:rsidRDefault="0021273B" w:rsidP="0021273B">
            <w:pPr>
              <w:ind w:firstLine="1021"/>
              <w:jc w:val="both"/>
              <w:rPr>
                <w:rFonts w:eastAsia="Calibri"/>
                <w:sz w:val="20"/>
                <w:szCs w:val="26"/>
                <w:lang w:val="es-ES" w:eastAsia="en-US"/>
              </w:rPr>
            </w:pPr>
            <w:r w:rsidRPr="0021273B">
              <w:rPr>
                <w:rFonts w:eastAsia="Calibri"/>
                <w:sz w:val="20"/>
                <w:szCs w:val="26"/>
                <w:lang w:val="es-ES" w:eastAsia="en-US"/>
              </w:rPr>
              <w:t>FUENTE: BBVA Research con información de SHCP.</w:t>
            </w:r>
          </w:p>
        </w:tc>
      </w:tr>
    </w:tbl>
    <w:p w14:paraId="5410AF44" w14:textId="77777777" w:rsidR="0021273B" w:rsidRPr="0021273B" w:rsidRDefault="0021273B" w:rsidP="0021273B">
      <w:pPr>
        <w:spacing w:after="360" w:line="360" w:lineRule="auto"/>
        <w:ind w:right="-159"/>
        <w:jc w:val="both"/>
        <w:rPr>
          <w:rFonts w:eastAsia="Calibri"/>
          <w:sz w:val="26"/>
          <w:szCs w:val="26"/>
          <w:lang w:val="es-ES" w:eastAsia="en-US"/>
        </w:rPr>
      </w:pPr>
    </w:p>
    <w:p w14:paraId="1F209DFE" w14:textId="77777777" w:rsidR="0021273B" w:rsidRPr="0021273B" w:rsidRDefault="0021273B" w:rsidP="0021273B">
      <w:pPr>
        <w:spacing w:after="360" w:line="360" w:lineRule="auto"/>
        <w:ind w:right="-159"/>
        <w:jc w:val="both"/>
        <w:rPr>
          <w:rFonts w:eastAsia="Calibri"/>
          <w:sz w:val="26"/>
          <w:szCs w:val="26"/>
          <w:lang w:val="es-ES" w:eastAsia="en-US"/>
        </w:rPr>
      </w:pPr>
      <w:r w:rsidRPr="0021273B">
        <w:rPr>
          <w:rFonts w:eastAsia="Calibri"/>
          <w:sz w:val="26"/>
          <w:szCs w:val="26"/>
          <w:lang w:val="es-ES" w:eastAsia="en-US"/>
        </w:rPr>
        <w:t>Por otra parte, las expectativas de que perdure por un período prolongado la disminución del precio del barril de petróleo crudo que el país exporta, la cual ha llevado a que éste se haya cotizado en enero de 2015 a menos de 40 dólares, obligó a la SHCP a anunciar el 30 de enero de 2015 que realizará un recorte al gasto público aprobado para este año. El monto del recorte anunciado equivale a 0.7 puntos porcentuales del PIB esperado para 2015 (véase el recuadro siguiente). Esta situación reducirá el impulso que el gasto público habría podido tener para la expansión de la actividad productiva del país en 2015, y posiblemente también en años posteriores si el precio del petróleo crudo de exportación no regresa a niveles en torno a 100 dólares el barril.</w:t>
      </w:r>
    </w:p>
    <w:tbl>
      <w:tblPr>
        <w:tblW w:w="9209" w:type="dxa"/>
        <w:tblLook w:val="04A0" w:firstRow="1" w:lastRow="0" w:firstColumn="1" w:lastColumn="0" w:noHBand="0" w:noVBand="1"/>
      </w:tblPr>
      <w:tblGrid>
        <w:gridCol w:w="9209"/>
      </w:tblGrid>
      <w:tr w:rsidR="0021273B" w:rsidRPr="0021273B" w14:paraId="4FFCE664" w14:textId="77777777" w:rsidTr="006A662C">
        <w:tc>
          <w:tcPr>
            <w:tcW w:w="9209" w:type="dxa"/>
          </w:tcPr>
          <w:p w14:paraId="321B595B"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lastRenderedPageBreak/>
              <w:t>ESTRUCTURA PORCENTUAL DE LA DEUDA TOTAL DEL SECTOR PÚBLICO INTERNA Y EXTERNA</w:t>
            </w:r>
          </w:p>
          <w:p w14:paraId="5E3FC888"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-Porcentaje de la deuda total-</w:t>
            </w:r>
          </w:p>
        </w:tc>
      </w:tr>
      <w:tr w:rsidR="0021273B" w:rsidRPr="0021273B" w14:paraId="35B6DBBF" w14:textId="77777777" w:rsidTr="006A662C">
        <w:tc>
          <w:tcPr>
            <w:tcW w:w="9209" w:type="dxa"/>
          </w:tcPr>
          <w:p w14:paraId="341F7421" w14:textId="77777777" w:rsidR="0021273B" w:rsidRPr="0021273B" w:rsidRDefault="0021273B" w:rsidP="0021273B">
            <w:pPr>
              <w:jc w:val="center"/>
              <w:rPr>
                <w:rFonts w:eastAsia="Calibri"/>
                <w:sz w:val="22"/>
                <w:szCs w:val="26"/>
                <w:lang w:val="es-ES" w:eastAsia="en-US"/>
              </w:rPr>
            </w:pPr>
            <w:r w:rsidRPr="0021273B">
              <w:rPr>
                <w:rFonts w:eastAsia="Calibri"/>
                <w:noProof/>
                <w:sz w:val="22"/>
                <w:szCs w:val="26"/>
                <w:lang w:eastAsia="es-MX"/>
              </w:rPr>
              <w:drawing>
                <wp:inline distT="0" distB="0" distL="0" distR="0" wp14:anchorId="5FBD5634" wp14:editId="7DA0F9F4">
                  <wp:extent cx="5077239" cy="3060000"/>
                  <wp:effectExtent l="0" t="0" r="0" b="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t="8186" b="1406"/>
                          <a:stretch/>
                        </pic:blipFill>
                        <pic:spPr bwMode="auto">
                          <a:xfrm>
                            <a:off x="0" y="0"/>
                            <a:ext cx="5077239" cy="30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1273B" w:rsidRPr="0021273B" w14:paraId="32FB83A1" w14:textId="77777777" w:rsidTr="006A662C">
        <w:tc>
          <w:tcPr>
            <w:tcW w:w="9209" w:type="dxa"/>
          </w:tcPr>
          <w:p w14:paraId="43190C59" w14:textId="77777777" w:rsidR="0021273B" w:rsidRPr="0021273B" w:rsidRDefault="0021273B" w:rsidP="0021273B">
            <w:pPr>
              <w:ind w:firstLine="1021"/>
              <w:jc w:val="both"/>
              <w:rPr>
                <w:rFonts w:eastAsia="Calibri"/>
                <w:sz w:val="20"/>
                <w:szCs w:val="26"/>
                <w:lang w:val="es-ES" w:eastAsia="en-US"/>
              </w:rPr>
            </w:pPr>
            <w:r w:rsidRPr="0021273B">
              <w:rPr>
                <w:rFonts w:eastAsia="Calibri"/>
                <w:sz w:val="20"/>
                <w:szCs w:val="26"/>
                <w:lang w:val="es-ES" w:eastAsia="en-US"/>
              </w:rPr>
              <w:t>FUENTE: BBVA Research con información del INEGI.</w:t>
            </w:r>
          </w:p>
        </w:tc>
      </w:tr>
    </w:tbl>
    <w:p w14:paraId="75F59465" w14:textId="77777777" w:rsidR="0021273B" w:rsidRPr="0021273B" w:rsidRDefault="0021273B" w:rsidP="0021273B">
      <w:pPr>
        <w:spacing w:after="360" w:line="360" w:lineRule="auto"/>
        <w:ind w:right="-159"/>
        <w:jc w:val="both"/>
        <w:rPr>
          <w:rFonts w:eastAsia="Calibri"/>
          <w:sz w:val="26"/>
          <w:szCs w:val="26"/>
          <w:lang w:val="es-ES" w:eastAsia="en-US"/>
        </w:rPr>
      </w:pPr>
    </w:p>
    <w:p w14:paraId="694AEFE2" w14:textId="77777777" w:rsidR="0021273B" w:rsidRPr="0021273B" w:rsidRDefault="0021273B" w:rsidP="0021273B">
      <w:pPr>
        <w:spacing w:after="360" w:line="360" w:lineRule="auto"/>
        <w:ind w:right="-159"/>
        <w:jc w:val="both"/>
        <w:rPr>
          <w:rFonts w:eastAsia="Calibri"/>
          <w:b/>
          <w:sz w:val="26"/>
          <w:szCs w:val="26"/>
          <w:lang w:val="es-ES" w:eastAsia="en-US"/>
        </w:rPr>
      </w:pPr>
      <w:r w:rsidRPr="0021273B">
        <w:rPr>
          <w:rFonts w:eastAsia="Calibri"/>
          <w:b/>
          <w:sz w:val="26"/>
          <w:szCs w:val="26"/>
          <w:lang w:val="es-ES" w:eastAsia="en-US"/>
        </w:rPr>
        <w:t>3.1.5 Perspectivas: la economía avanza en 2015</w:t>
      </w:r>
    </w:p>
    <w:p w14:paraId="7AE1A16A" w14:textId="77777777" w:rsidR="0021273B" w:rsidRPr="0021273B" w:rsidRDefault="0021273B" w:rsidP="0021273B">
      <w:pPr>
        <w:spacing w:after="360" w:line="360" w:lineRule="auto"/>
        <w:ind w:right="-159"/>
        <w:jc w:val="both"/>
        <w:rPr>
          <w:rFonts w:eastAsia="Calibri"/>
          <w:sz w:val="26"/>
          <w:szCs w:val="26"/>
          <w:lang w:val="es-ES" w:eastAsia="en-US"/>
        </w:rPr>
      </w:pPr>
      <w:r w:rsidRPr="0021273B">
        <w:rPr>
          <w:rFonts w:eastAsia="Calibri"/>
          <w:sz w:val="26"/>
          <w:szCs w:val="26"/>
          <w:lang w:val="es-ES" w:eastAsia="en-US"/>
        </w:rPr>
        <w:t xml:space="preserve">BBVA estima un crecimiento económico para 2015 de 3.5% (véase la gráfica siguiente), sin embargo existen varios factores que podrían poner en riesgo la dinámica de la actividad económica. En primer lugar, se espera que en la medida que avancen los proyectos de infraestructura ya iniciados, éste uso eficiente y productivo del gasto público limite el efecto de la reducción en gasto, primordialmente corriente, anunciado. No obstante, hasta ahora los recursos públicos han tenido un efecto marginal sobre el crecimiento económico del país. En segundo lugar, la estimación depende en buena medida de la expectativa de aceleración del crecimiento de la economía de los Estados Unidos de Norteamérica de 2.4% en 2014 a 2.9% en 2015 (véase la gráfica: </w:t>
      </w:r>
      <w:r w:rsidRPr="0021273B">
        <w:rPr>
          <w:rFonts w:eastAsia="Calibri"/>
          <w:i/>
          <w:sz w:val="26"/>
          <w:szCs w:val="26"/>
          <w:lang w:val="es-ES" w:eastAsia="en-US"/>
        </w:rPr>
        <w:t>PIB de México y los Estados Unidos de Norteamérica, 2008-2015</w:t>
      </w:r>
      <w:r w:rsidRPr="0021273B">
        <w:rPr>
          <w:rFonts w:eastAsia="Calibri"/>
          <w:sz w:val="26"/>
          <w:szCs w:val="26"/>
          <w:lang w:val="es-ES" w:eastAsia="en-US"/>
        </w:rPr>
        <w:t>).</w:t>
      </w:r>
    </w:p>
    <w:p w14:paraId="3CFA6A6D" w14:textId="77777777" w:rsidR="0021273B" w:rsidRPr="0021273B" w:rsidRDefault="0021273B" w:rsidP="0021273B">
      <w:pPr>
        <w:spacing w:after="360" w:line="360" w:lineRule="auto"/>
        <w:ind w:right="-159"/>
        <w:jc w:val="both"/>
        <w:rPr>
          <w:rFonts w:eastAsia="Calibri"/>
          <w:sz w:val="26"/>
          <w:szCs w:val="26"/>
          <w:lang w:val="es-ES" w:eastAsia="en-US"/>
        </w:rPr>
      </w:pPr>
    </w:p>
    <w:tbl>
      <w:tblPr>
        <w:tblW w:w="9209" w:type="dxa"/>
        <w:tblLook w:val="04A0" w:firstRow="1" w:lastRow="0" w:firstColumn="1" w:lastColumn="0" w:noHBand="0" w:noVBand="1"/>
      </w:tblPr>
      <w:tblGrid>
        <w:gridCol w:w="9209"/>
      </w:tblGrid>
      <w:tr w:rsidR="0021273B" w:rsidRPr="0021273B" w14:paraId="4106EB15" w14:textId="77777777" w:rsidTr="006A662C">
        <w:tc>
          <w:tcPr>
            <w:tcW w:w="9209" w:type="dxa"/>
          </w:tcPr>
          <w:p w14:paraId="6DD1A871"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lastRenderedPageBreak/>
              <w:t>CRECIMIENTO ANUAL DEL PIB DE MÉXICO, 2010-2015</w:t>
            </w:r>
          </w:p>
          <w:p w14:paraId="1F37F6E1"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-Variación porcentual anual-</w:t>
            </w:r>
          </w:p>
        </w:tc>
      </w:tr>
      <w:tr w:rsidR="0021273B" w:rsidRPr="0021273B" w14:paraId="4E121AA3" w14:textId="77777777" w:rsidTr="006A662C">
        <w:tc>
          <w:tcPr>
            <w:tcW w:w="9209" w:type="dxa"/>
          </w:tcPr>
          <w:p w14:paraId="41755A32" w14:textId="77777777" w:rsidR="0021273B" w:rsidRPr="0021273B" w:rsidRDefault="0021273B" w:rsidP="0021273B">
            <w:pPr>
              <w:jc w:val="center"/>
              <w:rPr>
                <w:rFonts w:eastAsia="Calibri"/>
                <w:sz w:val="22"/>
                <w:szCs w:val="26"/>
                <w:lang w:val="es-ES" w:eastAsia="en-US"/>
              </w:rPr>
            </w:pPr>
            <w:r w:rsidRPr="0021273B">
              <w:rPr>
                <w:rFonts w:eastAsia="Calibri"/>
                <w:noProof/>
                <w:sz w:val="22"/>
                <w:szCs w:val="26"/>
                <w:lang w:eastAsia="es-MX"/>
              </w:rPr>
              <w:drawing>
                <wp:inline distT="0" distB="0" distL="0" distR="0" wp14:anchorId="23A20984" wp14:editId="1A53DACE">
                  <wp:extent cx="4988682" cy="3060000"/>
                  <wp:effectExtent l="0" t="0" r="0" b="762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t="6228" b="1758"/>
                          <a:stretch/>
                        </pic:blipFill>
                        <pic:spPr bwMode="auto">
                          <a:xfrm>
                            <a:off x="0" y="0"/>
                            <a:ext cx="4988682" cy="30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1273B" w:rsidRPr="0021273B" w14:paraId="102FF864" w14:textId="77777777" w:rsidTr="006A662C">
        <w:tc>
          <w:tcPr>
            <w:tcW w:w="9209" w:type="dxa"/>
          </w:tcPr>
          <w:p w14:paraId="2794BD54" w14:textId="77777777" w:rsidR="0021273B" w:rsidRPr="0021273B" w:rsidRDefault="0021273B" w:rsidP="0021273B">
            <w:pPr>
              <w:ind w:firstLine="1021"/>
              <w:jc w:val="both"/>
              <w:rPr>
                <w:rFonts w:eastAsia="Calibri"/>
                <w:sz w:val="20"/>
                <w:szCs w:val="26"/>
                <w:lang w:val="es-ES" w:eastAsia="en-US"/>
              </w:rPr>
            </w:pPr>
            <w:r w:rsidRPr="0021273B">
              <w:rPr>
                <w:rFonts w:eastAsia="Calibri"/>
                <w:sz w:val="20"/>
                <w:szCs w:val="26"/>
                <w:lang w:val="es-ES" w:eastAsia="en-US"/>
              </w:rPr>
              <w:t>FUENTE: BBVA Research con información del INEGI.</w:t>
            </w:r>
          </w:p>
        </w:tc>
      </w:tr>
    </w:tbl>
    <w:p w14:paraId="1B58C2A3" w14:textId="77777777" w:rsidR="0021273B" w:rsidRPr="0021273B" w:rsidRDefault="0021273B" w:rsidP="0021273B">
      <w:pPr>
        <w:spacing w:after="360" w:line="360" w:lineRule="auto"/>
        <w:ind w:right="-159"/>
        <w:jc w:val="both"/>
        <w:rPr>
          <w:rFonts w:eastAsia="Calibri"/>
          <w:sz w:val="26"/>
          <w:szCs w:val="26"/>
          <w:lang w:val="es-ES" w:eastAsia="en-US"/>
        </w:rPr>
      </w:pPr>
    </w:p>
    <w:p w14:paraId="372FA46F" w14:textId="77777777" w:rsidR="0021273B" w:rsidRPr="0021273B" w:rsidRDefault="0021273B" w:rsidP="0021273B">
      <w:pPr>
        <w:spacing w:after="360" w:line="360" w:lineRule="auto"/>
        <w:ind w:right="-159"/>
        <w:jc w:val="both"/>
        <w:rPr>
          <w:rFonts w:eastAsia="Calibri"/>
          <w:sz w:val="26"/>
          <w:szCs w:val="26"/>
          <w:lang w:val="es-ES" w:eastAsia="en-US"/>
        </w:rPr>
      </w:pPr>
      <w:r w:rsidRPr="0021273B">
        <w:rPr>
          <w:rFonts w:eastAsia="Calibri"/>
          <w:sz w:val="26"/>
          <w:szCs w:val="26"/>
          <w:lang w:val="es-ES" w:eastAsia="en-US"/>
        </w:rPr>
        <w:t>En los últimos meses se siguen reportando indicadores mixtos que generan cierta incertidumbre sobre el grado de aceleración en ese país. Por ejemplo, el crecimiento económico de Estados Unidos de Norteamérica en el cuarto trimestre fue de 0.65% trimestral, ajustado por estacionalidad, nivel inferior al 1.22% del trimestre anterior y menor al esperado por el mercado. Es más, aun cuando  se materialice un crecimiento  vigoroso en esa economía,  en México tenemos el reto de aprovechar ese  impulso, lo que podría resultar cada vez más difícil si consideramos que el mayor vínculo entre estas economías está en las manufacturas, las cuales han venido perdiendo peso en la generación del PIB de México en los últimos tres años. En tercer lugar, desde mediados de 2014 y en 2015 han caído los precios internacionales de la mezcla mexicana de petróleo y de la plataforma de producción, lo cual tiene un efecto negativo sobre las finanzas públicas del país y las cuentas externas, sobre todo de cara al 2016 cuando no se dispone de coberturas petroleras para compensar el gasto del país.</w:t>
      </w:r>
    </w:p>
    <w:p w14:paraId="39C3F929" w14:textId="77777777" w:rsidR="0021273B" w:rsidRPr="0021273B" w:rsidRDefault="0021273B" w:rsidP="0021273B">
      <w:pPr>
        <w:spacing w:after="360" w:line="360" w:lineRule="auto"/>
        <w:ind w:right="-159"/>
        <w:jc w:val="both"/>
        <w:rPr>
          <w:rFonts w:eastAsia="Calibri"/>
          <w:sz w:val="26"/>
          <w:szCs w:val="26"/>
          <w:lang w:val="es-ES" w:eastAsia="en-US"/>
        </w:rPr>
      </w:pPr>
    </w:p>
    <w:tbl>
      <w:tblPr>
        <w:tblW w:w="9209" w:type="dxa"/>
        <w:tblLook w:val="04A0" w:firstRow="1" w:lastRow="0" w:firstColumn="1" w:lastColumn="0" w:noHBand="0" w:noVBand="1"/>
      </w:tblPr>
      <w:tblGrid>
        <w:gridCol w:w="9209"/>
      </w:tblGrid>
      <w:tr w:rsidR="0021273B" w:rsidRPr="0021273B" w14:paraId="79BC2E2B" w14:textId="77777777" w:rsidTr="006A662C">
        <w:tc>
          <w:tcPr>
            <w:tcW w:w="9209" w:type="dxa"/>
          </w:tcPr>
          <w:p w14:paraId="2E3A74A2"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lastRenderedPageBreak/>
              <w:t>PIB DE MÉXICO Y LOS ESTADOS UNIDOS DE NORTEAMÉRICA, 2008-2015</w:t>
            </w:r>
          </w:p>
          <w:p w14:paraId="1399436B"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-Variación porcentual anual, ajustada por estacionalidad-</w:t>
            </w:r>
          </w:p>
        </w:tc>
      </w:tr>
      <w:tr w:rsidR="0021273B" w:rsidRPr="0021273B" w14:paraId="27A7879D" w14:textId="77777777" w:rsidTr="006A662C">
        <w:tc>
          <w:tcPr>
            <w:tcW w:w="9209" w:type="dxa"/>
          </w:tcPr>
          <w:p w14:paraId="434420B5" w14:textId="77777777" w:rsidR="0021273B" w:rsidRPr="0021273B" w:rsidRDefault="0021273B" w:rsidP="0021273B">
            <w:pPr>
              <w:jc w:val="center"/>
              <w:rPr>
                <w:rFonts w:eastAsia="Calibri"/>
                <w:sz w:val="22"/>
                <w:szCs w:val="26"/>
                <w:lang w:val="es-ES" w:eastAsia="en-US"/>
              </w:rPr>
            </w:pPr>
            <w:r w:rsidRPr="0021273B">
              <w:rPr>
                <w:rFonts w:eastAsia="Calibri"/>
                <w:noProof/>
                <w:sz w:val="22"/>
                <w:szCs w:val="26"/>
                <w:lang w:eastAsia="es-MX"/>
              </w:rPr>
              <w:drawing>
                <wp:inline distT="0" distB="0" distL="0" distR="0" wp14:anchorId="1DFDE01D" wp14:editId="2F8B72C1">
                  <wp:extent cx="4562988" cy="3060000"/>
                  <wp:effectExtent l="0" t="0" r="0" b="762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t="3356" b="1681"/>
                          <a:stretch/>
                        </pic:blipFill>
                        <pic:spPr bwMode="auto">
                          <a:xfrm>
                            <a:off x="0" y="0"/>
                            <a:ext cx="4562988" cy="30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1273B" w:rsidRPr="0021273B" w14:paraId="63361775" w14:textId="77777777" w:rsidTr="006A662C">
        <w:tc>
          <w:tcPr>
            <w:tcW w:w="9209" w:type="dxa"/>
          </w:tcPr>
          <w:p w14:paraId="610A4CED" w14:textId="77777777" w:rsidR="0021273B" w:rsidRPr="0021273B" w:rsidRDefault="0021273B" w:rsidP="0021273B">
            <w:pPr>
              <w:ind w:firstLine="1021"/>
              <w:jc w:val="both"/>
              <w:rPr>
                <w:rFonts w:eastAsia="Calibri"/>
                <w:sz w:val="20"/>
                <w:szCs w:val="26"/>
                <w:lang w:val="es-ES" w:eastAsia="en-US"/>
              </w:rPr>
            </w:pPr>
            <w:r w:rsidRPr="0021273B">
              <w:rPr>
                <w:rFonts w:eastAsia="Calibri"/>
                <w:sz w:val="20"/>
                <w:szCs w:val="26"/>
                <w:lang w:val="es-ES" w:eastAsia="en-US"/>
              </w:rPr>
              <w:t>FUENTE: BBVA Research con información del INEGI y BEA.</w:t>
            </w:r>
          </w:p>
        </w:tc>
      </w:tr>
    </w:tbl>
    <w:p w14:paraId="2D2ECAE8" w14:textId="77777777" w:rsidR="0021273B" w:rsidRPr="0021273B" w:rsidRDefault="0021273B" w:rsidP="0021273B">
      <w:pPr>
        <w:spacing w:after="360" w:line="360" w:lineRule="auto"/>
        <w:ind w:right="-159"/>
        <w:jc w:val="both"/>
        <w:rPr>
          <w:rFonts w:eastAsia="Calibri"/>
          <w:sz w:val="26"/>
          <w:szCs w:val="26"/>
          <w:lang w:val="es-ES" w:eastAsia="en-US"/>
        </w:rPr>
      </w:pPr>
    </w:p>
    <w:p w14:paraId="772AF33B" w14:textId="77777777" w:rsidR="0021273B" w:rsidRPr="0021273B" w:rsidRDefault="0021273B" w:rsidP="0021273B">
      <w:pPr>
        <w:spacing w:after="360" w:line="360" w:lineRule="auto"/>
        <w:ind w:right="-159"/>
        <w:jc w:val="both"/>
        <w:rPr>
          <w:rFonts w:eastAsia="Calibri"/>
          <w:sz w:val="26"/>
          <w:szCs w:val="26"/>
          <w:lang w:val="es-ES" w:eastAsia="en-US"/>
        </w:rPr>
      </w:pPr>
      <w:r w:rsidRPr="0021273B">
        <w:rPr>
          <w:rFonts w:eastAsia="Calibri"/>
          <w:sz w:val="26"/>
          <w:szCs w:val="26"/>
          <w:lang w:val="es-ES" w:eastAsia="en-US"/>
        </w:rPr>
        <w:t>En conclusión, aun cuando la demanda externa impulsó el crecimiento económico del país en 2014 y se espera continúe haciéndolo en 2015, resulta impostergable fortalecer la demanda interna mediante el apoyo decidido y conjunto del gobierno y del sector privado. Esto requiere de la puesta en marcha de programas que fomenten la creación de empleo formal bien remunerado; el impulso a la inversión productiva y una mayor firmeza en el control del delito, mediante  el fortalecimiento del estado de derecho, una mayor transparencia y la reducción de la corrupción y la impunidad.</w:t>
      </w:r>
    </w:p>
    <w:p w14:paraId="45C20D2D" w14:textId="77777777" w:rsidR="0021273B" w:rsidRPr="0021273B" w:rsidRDefault="0021273B" w:rsidP="0021273B">
      <w:pPr>
        <w:spacing w:after="360" w:line="360" w:lineRule="auto"/>
        <w:ind w:right="-159"/>
        <w:jc w:val="both"/>
        <w:rPr>
          <w:rFonts w:eastAsia="Calibri"/>
          <w:b/>
          <w:sz w:val="26"/>
          <w:szCs w:val="26"/>
          <w:lang w:val="es-ES" w:eastAsia="en-US"/>
        </w:rPr>
      </w:pPr>
      <w:r w:rsidRPr="0021273B">
        <w:rPr>
          <w:rFonts w:eastAsia="Calibri"/>
          <w:b/>
          <w:sz w:val="26"/>
          <w:szCs w:val="26"/>
          <w:lang w:val="es-ES" w:eastAsia="en-US"/>
        </w:rPr>
        <w:t>Anuncio de recorte al gasto del sector público en 2015</w:t>
      </w:r>
    </w:p>
    <w:p w14:paraId="4080632B" w14:textId="7C5D7AAA" w:rsidR="0021273B" w:rsidRPr="0021273B" w:rsidRDefault="0021273B" w:rsidP="0021273B">
      <w:pPr>
        <w:spacing w:after="360" w:line="360" w:lineRule="auto"/>
        <w:ind w:right="-159"/>
        <w:jc w:val="both"/>
        <w:rPr>
          <w:rFonts w:eastAsia="Calibri"/>
          <w:sz w:val="26"/>
          <w:szCs w:val="26"/>
          <w:lang w:val="es-ES" w:eastAsia="en-US"/>
        </w:rPr>
      </w:pPr>
      <w:r w:rsidRPr="0021273B">
        <w:rPr>
          <w:rFonts w:eastAsia="Calibri"/>
          <w:sz w:val="26"/>
          <w:szCs w:val="26"/>
          <w:lang w:val="es-ES" w:eastAsia="en-US"/>
        </w:rPr>
        <w:t>El 30 de enero de 2015</w:t>
      </w:r>
      <w:r w:rsidR="00D63928">
        <w:rPr>
          <w:rFonts w:eastAsia="Calibri"/>
          <w:sz w:val="26"/>
          <w:szCs w:val="26"/>
          <w:lang w:val="es-ES" w:eastAsia="en-US"/>
        </w:rPr>
        <w:t>,</w:t>
      </w:r>
      <w:r w:rsidRPr="0021273B">
        <w:rPr>
          <w:rFonts w:eastAsia="Calibri"/>
          <w:sz w:val="26"/>
          <w:szCs w:val="26"/>
          <w:lang w:val="es-ES" w:eastAsia="en-US"/>
        </w:rPr>
        <w:t xml:space="preserve"> la Secretar</w:t>
      </w:r>
      <w:r w:rsidR="00D63928">
        <w:rPr>
          <w:rFonts w:eastAsia="Calibri"/>
          <w:sz w:val="26"/>
          <w:szCs w:val="26"/>
          <w:lang w:val="es-ES" w:eastAsia="en-US"/>
        </w:rPr>
        <w:t>í</w:t>
      </w:r>
      <w:r w:rsidRPr="0021273B">
        <w:rPr>
          <w:rFonts w:eastAsia="Calibri"/>
          <w:sz w:val="26"/>
          <w:szCs w:val="26"/>
          <w:lang w:val="es-ES" w:eastAsia="en-US"/>
        </w:rPr>
        <w:t xml:space="preserve">a de Hacienda y Crédito Público (SHCP) anunció un recorte al gasto público por 124.3 mil millones de pesos debido a menores ingresos esperados del sector público como resultado de la expectativa de un bajo precio internacional del petróleo por un período prolongado y con el fin de adoptar una posición precautoria para las finanzas públicas en 2016. Este recorte anunciado </w:t>
      </w:r>
      <w:r w:rsidRPr="0021273B">
        <w:rPr>
          <w:rFonts w:eastAsia="Calibri"/>
          <w:sz w:val="26"/>
          <w:szCs w:val="26"/>
          <w:lang w:val="es-ES" w:eastAsia="en-US"/>
        </w:rPr>
        <w:lastRenderedPageBreak/>
        <w:t>representa 2.6% del gasto neto total de la federación, lo que equivale a 0.7% del PIB. Petróleos Mexicanos (Pemex) y Comisión Federal de Electricidad (CFE) concentran el 58% del ajuste al gasto, lo cual equivale a un monto de 72 mil millones de pesos. Los 52 mil millones de pesos restantes serán ajustes en dependencias del Gobierno Federal, de los cuales 65% se realizará al gasto corriente y el restante 35% se efectuará en proyectos de inversión, entre los que destaca la cancelación del tren de pasajeros Transpeninsular y la suspensión del tren México-Querétaro.</w:t>
      </w:r>
    </w:p>
    <w:tbl>
      <w:tblPr>
        <w:tblW w:w="9209" w:type="dxa"/>
        <w:tblLook w:val="04A0" w:firstRow="1" w:lastRow="0" w:firstColumn="1" w:lastColumn="0" w:noHBand="0" w:noVBand="1"/>
      </w:tblPr>
      <w:tblGrid>
        <w:gridCol w:w="9209"/>
      </w:tblGrid>
      <w:tr w:rsidR="0021273B" w:rsidRPr="0021273B" w14:paraId="1A378234" w14:textId="77777777" w:rsidTr="006A662C">
        <w:tc>
          <w:tcPr>
            <w:tcW w:w="9209" w:type="dxa"/>
          </w:tcPr>
          <w:p w14:paraId="18695113"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PRECIO DEL PETRÓLEO Y PESO MEXICANO</w:t>
            </w:r>
          </w:p>
          <w:p w14:paraId="1B580153"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-Dólares por barril y pesos por dólar-</w:t>
            </w:r>
          </w:p>
        </w:tc>
      </w:tr>
      <w:tr w:rsidR="0021273B" w:rsidRPr="0021273B" w14:paraId="0E4517FE" w14:textId="77777777" w:rsidTr="006A662C">
        <w:tc>
          <w:tcPr>
            <w:tcW w:w="9209" w:type="dxa"/>
          </w:tcPr>
          <w:p w14:paraId="5E8ACF71" w14:textId="77777777" w:rsidR="0021273B" w:rsidRPr="0021273B" w:rsidRDefault="0021273B" w:rsidP="0021273B">
            <w:pPr>
              <w:jc w:val="center"/>
              <w:rPr>
                <w:rFonts w:eastAsia="Calibri"/>
                <w:sz w:val="22"/>
                <w:szCs w:val="26"/>
                <w:lang w:val="es-ES" w:eastAsia="en-US"/>
              </w:rPr>
            </w:pPr>
            <w:r w:rsidRPr="0021273B">
              <w:rPr>
                <w:rFonts w:eastAsia="Calibri"/>
                <w:noProof/>
                <w:sz w:val="22"/>
                <w:szCs w:val="26"/>
                <w:lang w:eastAsia="es-MX"/>
              </w:rPr>
              <w:drawing>
                <wp:inline distT="0" distB="0" distL="0" distR="0" wp14:anchorId="13BE3520" wp14:editId="0308CC65">
                  <wp:extent cx="5095581" cy="2880000"/>
                  <wp:effectExtent l="0" t="0" r="0" b="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t="5664" b="1164"/>
                          <a:stretch/>
                        </pic:blipFill>
                        <pic:spPr bwMode="auto">
                          <a:xfrm>
                            <a:off x="0" y="0"/>
                            <a:ext cx="5095581" cy="288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1273B" w:rsidRPr="0021273B" w14:paraId="6436C3E3" w14:textId="77777777" w:rsidTr="006A662C">
        <w:tc>
          <w:tcPr>
            <w:tcW w:w="9209" w:type="dxa"/>
          </w:tcPr>
          <w:p w14:paraId="0BB61B02" w14:textId="77777777" w:rsidR="0021273B" w:rsidRPr="0021273B" w:rsidRDefault="0021273B" w:rsidP="0021273B">
            <w:pPr>
              <w:ind w:firstLine="1021"/>
              <w:jc w:val="both"/>
              <w:rPr>
                <w:rFonts w:eastAsia="Calibri"/>
                <w:sz w:val="20"/>
                <w:szCs w:val="26"/>
                <w:lang w:val="es-ES" w:eastAsia="en-US"/>
              </w:rPr>
            </w:pPr>
            <w:r w:rsidRPr="0021273B">
              <w:rPr>
                <w:rFonts w:eastAsia="Calibri"/>
                <w:sz w:val="20"/>
                <w:szCs w:val="26"/>
                <w:lang w:val="es-ES" w:eastAsia="en-US"/>
              </w:rPr>
              <w:t>FUENTE: BBVA Research con información de Bloomberg.</w:t>
            </w:r>
          </w:p>
        </w:tc>
      </w:tr>
    </w:tbl>
    <w:p w14:paraId="2405C318" w14:textId="77777777" w:rsidR="0021273B" w:rsidRPr="0021273B" w:rsidRDefault="0021273B" w:rsidP="0021273B">
      <w:pPr>
        <w:spacing w:after="360" w:line="360" w:lineRule="auto"/>
        <w:ind w:right="-159"/>
        <w:jc w:val="both"/>
        <w:rPr>
          <w:rFonts w:eastAsia="Calibri"/>
          <w:sz w:val="26"/>
          <w:szCs w:val="26"/>
          <w:lang w:val="es-ES" w:eastAsia="en-US"/>
        </w:rPr>
      </w:pPr>
    </w:p>
    <w:p w14:paraId="0C1A2B37" w14:textId="30BD0553" w:rsidR="0021273B" w:rsidRPr="0021273B" w:rsidRDefault="0021273B" w:rsidP="0021273B">
      <w:pPr>
        <w:spacing w:after="360" w:line="360" w:lineRule="auto"/>
        <w:ind w:right="-159"/>
        <w:jc w:val="both"/>
        <w:rPr>
          <w:rFonts w:eastAsia="Calibri"/>
          <w:sz w:val="26"/>
          <w:szCs w:val="26"/>
          <w:lang w:val="es-ES" w:eastAsia="en-US"/>
        </w:rPr>
      </w:pPr>
      <w:r w:rsidRPr="0021273B">
        <w:rPr>
          <w:rFonts w:eastAsia="Calibri"/>
          <w:sz w:val="26"/>
          <w:szCs w:val="26"/>
          <w:lang w:val="es-ES" w:eastAsia="en-US"/>
        </w:rPr>
        <w:t xml:space="preserve">Los ingresos petroleros representan alrededor de un tercio de los ingresos totales del sector público. En presencia de caídas en los precios del petróleo, los ingresos públicos se reducen.  Sin embargo, coberturas financieras del precio del barril de petróleo contratadas para 2015, precios más altos de la gasolina que se vende en el país en relación </w:t>
      </w:r>
      <w:r w:rsidR="00D63928">
        <w:rPr>
          <w:rFonts w:eastAsia="Calibri"/>
          <w:sz w:val="26"/>
          <w:szCs w:val="26"/>
          <w:lang w:val="es-ES" w:eastAsia="en-US"/>
        </w:rPr>
        <w:t>con e</w:t>
      </w:r>
      <w:r w:rsidRPr="0021273B">
        <w:rPr>
          <w:rFonts w:eastAsia="Calibri"/>
          <w:sz w:val="26"/>
          <w:szCs w:val="26"/>
          <w:lang w:val="es-ES" w:eastAsia="en-US"/>
        </w:rPr>
        <w:t xml:space="preserve">l costo de importarla (50% de la gasolina que se consume en el país es importada y el precio es mayor en México que en Estados Unidos de Norteamérica en alrededor  de 60%), la depreciación cambiaria que aumenta los ingresos en pesos de la </w:t>
      </w:r>
      <w:r w:rsidRPr="0021273B">
        <w:rPr>
          <w:rFonts w:eastAsia="Calibri"/>
          <w:sz w:val="26"/>
          <w:szCs w:val="26"/>
          <w:lang w:val="es-ES" w:eastAsia="en-US"/>
        </w:rPr>
        <w:lastRenderedPageBreak/>
        <w:t>exportación petrolera, y los recursos en el Fondo Petrolero permiten  que se tengan  recursos por un monto  cercano  al previsto en la Ley de Ingresos de 2015. No obstante, en 2016</w:t>
      </w:r>
      <w:r w:rsidR="00D63928">
        <w:rPr>
          <w:rFonts w:eastAsia="Calibri"/>
          <w:sz w:val="26"/>
          <w:szCs w:val="26"/>
          <w:lang w:val="es-ES" w:eastAsia="en-US"/>
        </w:rPr>
        <w:t>,</w:t>
      </w:r>
      <w:r w:rsidRPr="0021273B">
        <w:rPr>
          <w:rFonts w:eastAsia="Calibri"/>
          <w:sz w:val="26"/>
          <w:szCs w:val="26"/>
          <w:lang w:val="es-ES" w:eastAsia="en-US"/>
        </w:rPr>
        <w:t xml:space="preserve"> en ausencia de coberturas sobre el precio del petróleo en caso que los precios de la mezcla mexicana no se recuperaran (i.e. 40 dólares por barril)</w:t>
      </w:r>
      <w:r w:rsidR="00D63928">
        <w:rPr>
          <w:rFonts w:eastAsia="Calibri"/>
          <w:sz w:val="26"/>
          <w:szCs w:val="26"/>
          <w:lang w:val="es-ES" w:eastAsia="en-US"/>
        </w:rPr>
        <w:t>,</w:t>
      </w:r>
      <w:r w:rsidRPr="0021273B">
        <w:rPr>
          <w:rFonts w:eastAsia="Calibri"/>
          <w:sz w:val="26"/>
          <w:szCs w:val="26"/>
          <w:lang w:val="es-ES" w:eastAsia="en-US"/>
        </w:rPr>
        <w:t xml:space="preserve"> BBVA estima que podría haber un faltante en ingresos públicos de entre 0.4 y 0.7% del PIB dependiendo de los recursos disponibles en ese momento en el Fondo Mexicano del Petróleo.</w:t>
      </w:r>
      <w:r w:rsidRPr="0021273B">
        <w:rPr>
          <w:rFonts w:eastAsia="Calibri"/>
          <w:sz w:val="26"/>
          <w:szCs w:val="26"/>
          <w:vertAlign w:val="superscript"/>
          <w:lang w:val="es-ES" w:eastAsia="en-US"/>
        </w:rPr>
        <w:footnoteReference w:id="4"/>
      </w:r>
    </w:p>
    <w:tbl>
      <w:tblPr>
        <w:tblW w:w="9209" w:type="dxa"/>
        <w:tblLook w:val="04A0" w:firstRow="1" w:lastRow="0" w:firstColumn="1" w:lastColumn="0" w:noHBand="0" w:noVBand="1"/>
      </w:tblPr>
      <w:tblGrid>
        <w:gridCol w:w="9209"/>
      </w:tblGrid>
      <w:tr w:rsidR="0021273B" w:rsidRPr="0021273B" w14:paraId="394A8146" w14:textId="77777777" w:rsidTr="006A662C">
        <w:tc>
          <w:tcPr>
            <w:tcW w:w="9209" w:type="dxa"/>
          </w:tcPr>
          <w:p w14:paraId="62F898FF"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PRECIO DE LA GASOLINA DE BAJO OCTANAJE</w:t>
            </w:r>
          </w:p>
          <w:p w14:paraId="76125B6E"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-Pesos-</w:t>
            </w:r>
          </w:p>
        </w:tc>
      </w:tr>
      <w:tr w:rsidR="0021273B" w:rsidRPr="0021273B" w14:paraId="24241928" w14:textId="77777777" w:rsidTr="006A662C">
        <w:tc>
          <w:tcPr>
            <w:tcW w:w="9209" w:type="dxa"/>
          </w:tcPr>
          <w:p w14:paraId="7A4E2D13" w14:textId="2DAD5933" w:rsidR="0021273B" w:rsidRPr="0021273B" w:rsidRDefault="008D29D8" w:rsidP="0021273B">
            <w:pPr>
              <w:jc w:val="center"/>
              <w:rPr>
                <w:rFonts w:eastAsia="Calibri"/>
                <w:sz w:val="22"/>
                <w:szCs w:val="26"/>
                <w:lang w:val="es-ES" w:eastAsia="en-US"/>
              </w:rPr>
            </w:pPr>
            <w:r w:rsidRPr="00BB3420">
              <w:rPr>
                <w:noProof/>
                <w:szCs w:val="26"/>
                <w:lang w:eastAsia="es-MX"/>
              </w:rPr>
              <w:drawing>
                <wp:inline distT="0" distB="0" distL="0" distR="0" wp14:anchorId="6E43BACA" wp14:editId="3761B93D">
                  <wp:extent cx="5113940" cy="2700000"/>
                  <wp:effectExtent l="0" t="0" r="0" b="5715"/>
                  <wp:docPr id="177" name="Imagen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t="2371" b="1703"/>
                          <a:stretch/>
                        </pic:blipFill>
                        <pic:spPr bwMode="auto">
                          <a:xfrm>
                            <a:off x="0" y="0"/>
                            <a:ext cx="5113940" cy="270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1273B" w:rsidRPr="0021273B" w14:paraId="66D0D539" w14:textId="77777777" w:rsidTr="006A662C">
        <w:tc>
          <w:tcPr>
            <w:tcW w:w="9209" w:type="dxa"/>
          </w:tcPr>
          <w:p w14:paraId="17E5D2B3" w14:textId="77777777" w:rsidR="0021273B" w:rsidRPr="0021273B" w:rsidRDefault="0021273B" w:rsidP="0021273B">
            <w:pPr>
              <w:ind w:firstLine="743"/>
              <w:jc w:val="both"/>
              <w:rPr>
                <w:rFonts w:eastAsia="Calibri"/>
                <w:sz w:val="20"/>
                <w:szCs w:val="26"/>
                <w:lang w:val="es-ES" w:eastAsia="en-US"/>
              </w:rPr>
            </w:pPr>
            <w:r w:rsidRPr="0021273B">
              <w:rPr>
                <w:rFonts w:eastAsia="Calibri"/>
                <w:sz w:val="20"/>
                <w:szCs w:val="26"/>
                <w:lang w:val="es-ES" w:eastAsia="en-US"/>
              </w:rPr>
              <w:t>FUENTE: BBVA Research con información de Bloomberg.</w:t>
            </w:r>
          </w:p>
        </w:tc>
      </w:tr>
    </w:tbl>
    <w:p w14:paraId="7490CE62" w14:textId="77777777" w:rsidR="0021273B" w:rsidRPr="0021273B" w:rsidRDefault="0021273B" w:rsidP="0021273B">
      <w:pPr>
        <w:spacing w:after="360" w:line="360" w:lineRule="auto"/>
        <w:ind w:right="-159"/>
        <w:jc w:val="both"/>
        <w:rPr>
          <w:rFonts w:eastAsia="Calibri"/>
          <w:sz w:val="26"/>
          <w:szCs w:val="26"/>
          <w:lang w:val="es-ES" w:eastAsia="en-US"/>
        </w:rPr>
      </w:pPr>
    </w:p>
    <w:p w14:paraId="724A8E45" w14:textId="77777777" w:rsidR="0021273B" w:rsidRPr="0021273B" w:rsidRDefault="0021273B" w:rsidP="0021273B">
      <w:pPr>
        <w:spacing w:after="360" w:line="360" w:lineRule="auto"/>
        <w:ind w:right="-159"/>
        <w:jc w:val="both"/>
        <w:rPr>
          <w:rFonts w:eastAsia="Calibri"/>
          <w:sz w:val="26"/>
          <w:szCs w:val="26"/>
          <w:lang w:val="es-ES" w:eastAsia="en-US"/>
        </w:rPr>
      </w:pPr>
      <w:r w:rsidRPr="0021273B">
        <w:rPr>
          <w:rFonts w:eastAsia="Calibri"/>
          <w:sz w:val="26"/>
          <w:szCs w:val="26"/>
          <w:lang w:val="es-ES" w:eastAsia="en-US"/>
        </w:rPr>
        <w:t>Por otra  parte, dado  que  el recorte  al gasto  se concentra en gasto  corriente, y el gasto  público ha tenido  un efecto muy limitado sobre  el crecimiento  del producto, se estima que  la medida  anunciada  tendría  un efecto  acotado en el crecimiento  del PIB en 2015. No obstante, el impulso que se esperaba del gasto público para la actividad en el primer semestre pudiera verse comprometido si esta reducción al gasto no se compensa parcialmente con un avance relevante en las obras de infraestructura planeadas.</w:t>
      </w:r>
    </w:p>
    <w:tbl>
      <w:tblPr>
        <w:tblW w:w="9209" w:type="dxa"/>
        <w:tblLook w:val="04A0" w:firstRow="1" w:lastRow="0" w:firstColumn="1" w:lastColumn="0" w:noHBand="0" w:noVBand="1"/>
      </w:tblPr>
      <w:tblGrid>
        <w:gridCol w:w="9209"/>
      </w:tblGrid>
      <w:tr w:rsidR="0021273B" w:rsidRPr="0021273B" w14:paraId="2FA70F68" w14:textId="77777777" w:rsidTr="006A662C">
        <w:tc>
          <w:tcPr>
            <w:tcW w:w="9209" w:type="dxa"/>
          </w:tcPr>
          <w:p w14:paraId="3140D2E5"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lastRenderedPageBreak/>
              <w:t>REQUERIMIENTOS FINANCIEROS DEL SECTOR PÚBLICO</w:t>
            </w:r>
          </w:p>
          <w:p w14:paraId="1EE76F57"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-Porcentaje del PIB-</w:t>
            </w:r>
          </w:p>
        </w:tc>
      </w:tr>
      <w:tr w:rsidR="0021273B" w:rsidRPr="0021273B" w14:paraId="1F10F559" w14:textId="77777777" w:rsidTr="006A662C">
        <w:tc>
          <w:tcPr>
            <w:tcW w:w="9209" w:type="dxa"/>
          </w:tcPr>
          <w:p w14:paraId="3706E877" w14:textId="78C7B78F" w:rsidR="0021273B" w:rsidRPr="0021273B" w:rsidRDefault="008D29D8" w:rsidP="0021273B">
            <w:pPr>
              <w:jc w:val="center"/>
              <w:rPr>
                <w:rFonts w:eastAsia="Calibri"/>
                <w:sz w:val="22"/>
                <w:szCs w:val="26"/>
                <w:lang w:val="es-ES" w:eastAsia="en-US"/>
              </w:rPr>
            </w:pPr>
            <w:r w:rsidRPr="00436D39">
              <w:rPr>
                <w:noProof/>
                <w:szCs w:val="26"/>
                <w:lang w:eastAsia="es-MX"/>
              </w:rPr>
              <w:drawing>
                <wp:inline distT="0" distB="0" distL="0" distR="0" wp14:anchorId="20D9D7D8" wp14:editId="603A4CB6">
                  <wp:extent cx="5095706" cy="3240000"/>
                  <wp:effectExtent l="0" t="0" r="0" b="0"/>
                  <wp:docPr id="178" name="Imagen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t="3025" b="1595"/>
                          <a:stretch/>
                        </pic:blipFill>
                        <pic:spPr bwMode="auto">
                          <a:xfrm>
                            <a:off x="0" y="0"/>
                            <a:ext cx="5095706" cy="324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1273B" w:rsidRPr="0021273B" w14:paraId="08A95086" w14:textId="77777777" w:rsidTr="006A662C">
        <w:tc>
          <w:tcPr>
            <w:tcW w:w="9209" w:type="dxa"/>
          </w:tcPr>
          <w:p w14:paraId="68A1222F" w14:textId="77777777" w:rsidR="0021273B" w:rsidRPr="0021273B" w:rsidRDefault="0021273B" w:rsidP="0021273B">
            <w:pPr>
              <w:ind w:firstLine="743"/>
              <w:jc w:val="both"/>
              <w:rPr>
                <w:rFonts w:eastAsia="Calibri"/>
                <w:sz w:val="20"/>
                <w:szCs w:val="26"/>
                <w:lang w:val="es-ES" w:eastAsia="en-US"/>
              </w:rPr>
            </w:pPr>
            <w:r w:rsidRPr="0021273B">
              <w:rPr>
                <w:rFonts w:eastAsia="Calibri"/>
                <w:sz w:val="20"/>
                <w:szCs w:val="26"/>
                <w:lang w:val="es-ES" w:eastAsia="en-US"/>
              </w:rPr>
              <w:t>FUENTE: BBVA Research con información de SHCP.</w:t>
            </w:r>
          </w:p>
        </w:tc>
      </w:tr>
    </w:tbl>
    <w:p w14:paraId="6282EA49" w14:textId="77777777" w:rsidR="0021273B" w:rsidRPr="0021273B" w:rsidRDefault="0021273B" w:rsidP="0021273B">
      <w:pPr>
        <w:spacing w:after="360" w:line="360" w:lineRule="auto"/>
        <w:ind w:right="-159"/>
        <w:jc w:val="both"/>
        <w:rPr>
          <w:rFonts w:eastAsia="Calibri"/>
          <w:sz w:val="26"/>
          <w:szCs w:val="26"/>
          <w:lang w:val="es-ES" w:eastAsia="en-US"/>
        </w:rPr>
      </w:pPr>
    </w:p>
    <w:p w14:paraId="5362E8E8" w14:textId="4BD4A5C0" w:rsidR="0021273B" w:rsidRPr="0021273B" w:rsidRDefault="0021273B" w:rsidP="0021273B">
      <w:pPr>
        <w:spacing w:after="360" w:line="360" w:lineRule="auto"/>
        <w:ind w:right="-159"/>
        <w:jc w:val="both"/>
        <w:rPr>
          <w:rFonts w:eastAsia="Calibri"/>
          <w:sz w:val="26"/>
          <w:szCs w:val="26"/>
          <w:lang w:val="es-ES" w:eastAsia="en-US"/>
        </w:rPr>
      </w:pPr>
      <w:r w:rsidRPr="0021273B">
        <w:rPr>
          <w:rFonts w:eastAsia="Calibri"/>
          <w:sz w:val="26"/>
          <w:szCs w:val="26"/>
          <w:lang w:val="es-ES" w:eastAsia="en-US"/>
        </w:rPr>
        <w:t>De mantenerse en 2015 un monto  de recaudación cercano al previsto  en la Ley de Ingresos  y un crecimiento  del PIB en torno a 3.5%, el recorte  al gasto implicaría que los requerimientos financieros del sector  público en 2015 podrían situarse  en torno  a 3.3% del PIB en lugar del 4.0% estimado previamente,  lo que contribuiría a que la deuda  pública creciera a un menor  ritmo. No obstante,  existen riesgos adicionales sobre  los ingresos  públicos, como  son  la posibilidad de mayores  tasas  de interés, pero en particular una menor plataforma  de producción  petrolera, la cual en los últimos seis meses  se ha situado  por debajo  del nivel considerado en el cálculo de la Ley de Ingresos 2015 de 2 mil</w:t>
      </w:r>
      <w:r w:rsidR="00D63928">
        <w:rPr>
          <w:rFonts w:eastAsia="Calibri"/>
          <w:sz w:val="26"/>
          <w:szCs w:val="26"/>
          <w:lang w:val="es-ES" w:eastAsia="en-US"/>
        </w:rPr>
        <w:t>lones</w:t>
      </w:r>
      <w:r w:rsidRPr="0021273B">
        <w:rPr>
          <w:rFonts w:eastAsia="Calibri"/>
          <w:sz w:val="26"/>
          <w:szCs w:val="26"/>
          <w:lang w:val="es-ES" w:eastAsia="en-US"/>
        </w:rPr>
        <w:t xml:space="preserve"> 400 </w:t>
      </w:r>
      <w:r w:rsidR="00D63928">
        <w:rPr>
          <w:rFonts w:eastAsia="Calibri"/>
          <w:sz w:val="26"/>
          <w:szCs w:val="26"/>
          <w:lang w:val="es-ES" w:eastAsia="en-US"/>
        </w:rPr>
        <w:t xml:space="preserve">mil </w:t>
      </w:r>
      <w:r w:rsidRPr="0021273B">
        <w:rPr>
          <w:rFonts w:eastAsia="Calibri"/>
          <w:sz w:val="26"/>
          <w:szCs w:val="26"/>
          <w:lang w:val="es-ES" w:eastAsia="en-US"/>
        </w:rPr>
        <w:t>barriles diarios.</w:t>
      </w:r>
    </w:p>
    <w:p w14:paraId="148DE5D3" w14:textId="77777777" w:rsidR="0021273B" w:rsidRPr="0021273B" w:rsidRDefault="0021273B" w:rsidP="0021273B">
      <w:pPr>
        <w:spacing w:after="360" w:line="360" w:lineRule="auto"/>
        <w:ind w:right="-159"/>
        <w:jc w:val="both"/>
        <w:rPr>
          <w:rFonts w:eastAsia="Calibri"/>
          <w:sz w:val="26"/>
          <w:szCs w:val="26"/>
          <w:lang w:val="es-ES" w:eastAsia="en-US"/>
        </w:rPr>
      </w:pPr>
    </w:p>
    <w:p w14:paraId="22B68574" w14:textId="77777777" w:rsidR="0021273B" w:rsidRPr="0021273B" w:rsidRDefault="0021273B" w:rsidP="0021273B">
      <w:pPr>
        <w:spacing w:after="360" w:line="360" w:lineRule="auto"/>
        <w:ind w:right="-159"/>
        <w:jc w:val="both"/>
        <w:rPr>
          <w:rFonts w:eastAsia="Calibri"/>
          <w:sz w:val="26"/>
          <w:szCs w:val="26"/>
          <w:lang w:val="es-ES" w:eastAsia="en-US"/>
        </w:rPr>
      </w:pPr>
    </w:p>
    <w:p w14:paraId="4F2A76A7" w14:textId="77777777" w:rsidR="0021273B" w:rsidRPr="0021273B" w:rsidRDefault="0021273B" w:rsidP="0021273B">
      <w:pPr>
        <w:spacing w:after="360" w:line="360" w:lineRule="auto"/>
        <w:ind w:right="-159"/>
        <w:jc w:val="both"/>
        <w:rPr>
          <w:rFonts w:eastAsia="Calibri"/>
          <w:sz w:val="26"/>
          <w:szCs w:val="26"/>
          <w:lang w:val="es-ES" w:eastAsia="en-US"/>
        </w:rPr>
      </w:pPr>
    </w:p>
    <w:tbl>
      <w:tblPr>
        <w:tblW w:w="9209" w:type="dxa"/>
        <w:tblLook w:val="04A0" w:firstRow="1" w:lastRow="0" w:firstColumn="1" w:lastColumn="0" w:noHBand="0" w:noVBand="1"/>
      </w:tblPr>
      <w:tblGrid>
        <w:gridCol w:w="9209"/>
      </w:tblGrid>
      <w:tr w:rsidR="0021273B" w:rsidRPr="0021273B" w14:paraId="4031B814" w14:textId="77777777" w:rsidTr="006A662C">
        <w:tc>
          <w:tcPr>
            <w:tcW w:w="9209" w:type="dxa"/>
          </w:tcPr>
          <w:p w14:paraId="2B16B165"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lastRenderedPageBreak/>
              <w:t>PRODUCCIÓN PETROLERA EN MÉXICO Y SU PRECIO INTERNACIONAL</w:t>
            </w:r>
          </w:p>
          <w:p w14:paraId="20A04988" w14:textId="77777777" w:rsidR="0021273B" w:rsidRPr="0021273B" w:rsidRDefault="0021273B" w:rsidP="0021273B">
            <w:pPr>
              <w:jc w:val="center"/>
              <w:rPr>
                <w:rFonts w:eastAsia="Calibri"/>
                <w:b/>
                <w:sz w:val="22"/>
                <w:szCs w:val="26"/>
                <w:lang w:val="es-ES" w:eastAsia="en-US"/>
              </w:rPr>
            </w:pPr>
            <w:r w:rsidRPr="0021273B">
              <w:rPr>
                <w:rFonts w:eastAsia="Calibri"/>
                <w:b/>
                <w:sz w:val="22"/>
                <w:szCs w:val="26"/>
                <w:lang w:val="es-ES" w:eastAsia="en-US"/>
              </w:rPr>
              <w:t>-Miles de barriles diarios y dólares por barril-</w:t>
            </w:r>
          </w:p>
        </w:tc>
      </w:tr>
      <w:tr w:rsidR="0021273B" w:rsidRPr="0021273B" w14:paraId="2DD8EB42" w14:textId="77777777" w:rsidTr="006A662C">
        <w:tc>
          <w:tcPr>
            <w:tcW w:w="9209" w:type="dxa"/>
          </w:tcPr>
          <w:p w14:paraId="4E6FB0A8" w14:textId="77777777" w:rsidR="0021273B" w:rsidRPr="0021273B" w:rsidRDefault="0021273B" w:rsidP="0021273B">
            <w:pPr>
              <w:jc w:val="center"/>
              <w:rPr>
                <w:rFonts w:eastAsia="Calibri"/>
                <w:sz w:val="22"/>
                <w:szCs w:val="26"/>
                <w:lang w:val="es-ES" w:eastAsia="en-US"/>
              </w:rPr>
            </w:pPr>
            <w:r w:rsidRPr="0021273B">
              <w:rPr>
                <w:rFonts w:eastAsia="Calibri"/>
                <w:noProof/>
                <w:sz w:val="22"/>
                <w:szCs w:val="26"/>
                <w:lang w:eastAsia="es-MX"/>
              </w:rPr>
              <w:drawing>
                <wp:inline distT="0" distB="0" distL="0" distR="0" wp14:anchorId="57604CF3" wp14:editId="2474E583">
                  <wp:extent cx="4966592" cy="3060000"/>
                  <wp:effectExtent l="0" t="0" r="0" b="762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t="5724" b="1248"/>
                          <a:stretch/>
                        </pic:blipFill>
                        <pic:spPr bwMode="auto">
                          <a:xfrm>
                            <a:off x="0" y="0"/>
                            <a:ext cx="4966592" cy="30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1273B" w:rsidRPr="0021273B" w14:paraId="4A2FE7E9" w14:textId="77777777" w:rsidTr="006A662C">
        <w:tc>
          <w:tcPr>
            <w:tcW w:w="9209" w:type="dxa"/>
          </w:tcPr>
          <w:p w14:paraId="75C60EBA" w14:textId="77777777" w:rsidR="0021273B" w:rsidRPr="0021273B" w:rsidRDefault="0021273B" w:rsidP="0021273B">
            <w:pPr>
              <w:ind w:firstLine="1021"/>
              <w:jc w:val="both"/>
              <w:rPr>
                <w:rFonts w:eastAsia="Calibri"/>
                <w:sz w:val="20"/>
                <w:szCs w:val="26"/>
                <w:lang w:val="es-ES" w:eastAsia="en-US"/>
              </w:rPr>
            </w:pPr>
            <w:r w:rsidRPr="0021273B">
              <w:rPr>
                <w:rFonts w:eastAsia="Calibri"/>
                <w:sz w:val="20"/>
                <w:szCs w:val="26"/>
                <w:lang w:val="es-ES" w:eastAsia="en-US"/>
              </w:rPr>
              <w:t>FUENTE: BBVA Research con datos de INEGI, Pemex y Bloomberg.</w:t>
            </w:r>
          </w:p>
        </w:tc>
      </w:tr>
    </w:tbl>
    <w:p w14:paraId="2AE0B6AE" w14:textId="77777777" w:rsidR="0021273B" w:rsidRPr="0021273B" w:rsidRDefault="0021273B" w:rsidP="0021273B">
      <w:pPr>
        <w:spacing w:after="360" w:line="360" w:lineRule="auto"/>
        <w:ind w:right="-159"/>
        <w:jc w:val="both"/>
        <w:rPr>
          <w:rFonts w:eastAsia="Calibri"/>
          <w:sz w:val="26"/>
          <w:szCs w:val="26"/>
          <w:lang w:val="es-ES" w:eastAsia="en-US"/>
        </w:rPr>
      </w:pPr>
    </w:p>
    <w:p w14:paraId="09CCED4F" w14:textId="77777777" w:rsidR="0021273B" w:rsidRPr="0021273B" w:rsidRDefault="0021273B" w:rsidP="0021273B">
      <w:pPr>
        <w:spacing w:after="360" w:line="360" w:lineRule="auto"/>
        <w:ind w:right="-159"/>
        <w:jc w:val="both"/>
        <w:rPr>
          <w:rFonts w:eastAsia="Calibri"/>
          <w:sz w:val="26"/>
          <w:szCs w:val="26"/>
          <w:lang w:val="es-ES" w:eastAsia="en-US"/>
        </w:rPr>
      </w:pPr>
      <w:r w:rsidRPr="0021273B">
        <w:rPr>
          <w:rFonts w:eastAsia="Calibri"/>
          <w:sz w:val="26"/>
          <w:szCs w:val="26"/>
          <w:lang w:val="es-ES" w:eastAsia="en-US"/>
        </w:rPr>
        <w:t>El recorte  al gasto  público representa una medida  positiva en aras de reducir los riesgos fiscales para 2015 y 2016,  procurando  así la estabilidad macroeconómica y mitigando  la posibilidad de tener  que  hacer  una  reducción  drástica  del gasto público en 2016. A fin de mantener la estabilidad y solidez fiscal de mediano plazo, es importante que se reduzca el déficit público en los siguientes años de tal manera que la deuda pública deje de crecer a ritmos elevados.</w:t>
      </w:r>
    </w:p>
    <w:p w14:paraId="15B896BD" w14:textId="77777777" w:rsidR="0021273B" w:rsidRPr="0021273B" w:rsidRDefault="0021273B" w:rsidP="0021273B">
      <w:pPr>
        <w:spacing w:after="360" w:line="360" w:lineRule="auto"/>
        <w:ind w:right="-159"/>
        <w:jc w:val="both"/>
        <w:rPr>
          <w:rFonts w:eastAsia="Calibri"/>
          <w:b/>
          <w:sz w:val="26"/>
          <w:szCs w:val="26"/>
          <w:lang w:val="es-ES" w:eastAsia="en-US"/>
        </w:rPr>
      </w:pPr>
    </w:p>
    <w:p w14:paraId="657B9C7C" w14:textId="77777777" w:rsidR="0021273B" w:rsidRPr="0021273B" w:rsidRDefault="0021273B" w:rsidP="0021273B">
      <w:pPr>
        <w:spacing w:after="360" w:line="360" w:lineRule="auto"/>
        <w:ind w:right="-159"/>
        <w:jc w:val="both"/>
        <w:rPr>
          <w:rFonts w:eastAsia="Calibri"/>
          <w:b/>
          <w:sz w:val="26"/>
          <w:szCs w:val="26"/>
          <w:lang w:val="es-ES" w:eastAsia="en-US"/>
        </w:rPr>
      </w:pPr>
    </w:p>
    <w:p w14:paraId="522F3A5B" w14:textId="77777777" w:rsidR="0021273B" w:rsidRPr="0021273B" w:rsidRDefault="0021273B" w:rsidP="0021273B">
      <w:pPr>
        <w:spacing w:after="360" w:line="360" w:lineRule="auto"/>
        <w:ind w:right="-159"/>
        <w:jc w:val="both"/>
        <w:rPr>
          <w:rFonts w:eastAsia="Calibri"/>
          <w:b/>
          <w:sz w:val="26"/>
          <w:szCs w:val="26"/>
          <w:lang w:val="es-ES" w:eastAsia="en-US"/>
        </w:rPr>
      </w:pPr>
    </w:p>
    <w:p w14:paraId="78DE91D1" w14:textId="77777777" w:rsidR="0021273B" w:rsidRPr="0021273B" w:rsidRDefault="0021273B" w:rsidP="0021273B">
      <w:pPr>
        <w:spacing w:after="360" w:line="360" w:lineRule="auto"/>
        <w:ind w:right="-159"/>
        <w:jc w:val="both"/>
        <w:rPr>
          <w:rFonts w:eastAsia="Calibri"/>
          <w:b/>
          <w:sz w:val="26"/>
          <w:szCs w:val="26"/>
          <w:lang w:val="es-ES" w:eastAsia="en-US"/>
        </w:rPr>
      </w:pPr>
    </w:p>
    <w:p w14:paraId="0D8CFA30" w14:textId="77777777" w:rsidR="0021273B" w:rsidRPr="0021273B" w:rsidRDefault="0021273B" w:rsidP="0021273B">
      <w:pPr>
        <w:spacing w:after="360" w:line="360" w:lineRule="auto"/>
        <w:ind w:right="-159"/>
        <w:jc w:val="both"/>
        <w:rPr>
          <w:rFonts w:eastAsia="Calibri"/>
          <w:b/>
          <w:sz w:val="26"/>
          <w:szCs w:val="26"/>
          <w:lang w:val="es-ES" w:eastAsia="en-US"/>
        </w:rPr>
      </w:pPr>
    </w:p>
    <w:p w14:paraId="7466AF45" w14:textId="77777777" w:rsidR="0021273B" w:rsidRPr="0021273B" w:rsidRDefault="0021273B" w:rsidP="0021273B">
      <w:pPr>
        <w:spacing w:after="360" w:line="360" w:lineRule="auto"/>
        <w:ind w:right="-159"/>
        <w:jc w:val="both"/>
        <w:rPr>
          <w:rFonts w:eastAsia="Calibri"/>
          <w:b/>
          <w:sz w:val="26"/>
          <w:szCs w:val="26"/>
          <w:lang w:val="es-ES" w:eastAsia="en-US"/>
        </w:rPr>
      </w:pPr>
      <w:r w:rsidRPr="0021273B">
        <w:rPr>
          <w:rFonts w:eastAsia="Calibri"/>
          <w:b/>
          <w:sz w:val="26"/>
          <w:szCs w:val="26"/>
          <w:lang w:val="es-ES" w:eastAsia="en-US"/>
        </w:rPr>
        <w:lastRenderedPageBreak/>
        <w:t>4. Previsiones</w:t>
      </w:r>
    </w:p>
    <w:tbl>
      <w:tblPr>
        <w:tblW w:w="8647" w:type="dxa"/>
        <w:jc w:val="center"/>
        <w:tblLayout w:type="fixed"/>
        <w:tblLook w:val="01E0" w:firstRow="1" w:lastRow="1" w:firstColumn="1" w:lastColumn="1" w:noHBand="0" w:noVBand="0"/>
      </w:tblPr>
      <w:tblGrid>
        <w:gridCol w:w="3119"/>
        <w:gridCol w:w="1134"/>
        <w:gridCol w:w="992"/>
        <w:gridCol w:w="1134"/>
        <w:gridCol w:w="1134"/>
        <w:gridCol w:w="1134"/>
      </w:tblGrid>
      <w:tr w:rsidR="0021273B" w:rsidRPr="0021273B" w14:paraId="2A0CBBC1" w14:textId="77777777" w:rsidTr="006A662C">
        <w:trPr>
          <w:jc w:val="center"/>
        </w:trPr>
        <w:tc>
          <w:tcPr>
            <w:tcW w:w="8647" w:type="dxa"/>
            <w:gridSpan w:val="6"/>
            <w:tcBorders>
              <w:bottom w:val="single" w:sz="4" w:space="0" w:color="auto"/>
            </w:tcBorders>
          </w:tcPr>
          <w:p w14:paraId="225ECDDF" w14:textId="77777777" w:rsidR="0021273B" w:rsidRPr="0021273B" w:rsidRDefault="0021273B" w:rsidP="0021273B">
            <w:pPr>
              <w:jc w:val="center"/>
              <w:rPr>
                <w:rFonts w:eastAsia="Times New Roman"/>
                <w:b/>
                <w:sz w:val="20"/>
                <w:szCs w:val="14"/>
                <w:lang w:val="es-ES"/>
              </w:rPr>
            </w:pPr>
            <w:r w:rsidRPr="0021273B">
              <w:rPr>
                <w:rFonts w:eastAsia="Times New Roman"/>
                <w:b/>
                <w:sz w:val="20"/>
                <w:szCs w:val="14"/>
                <w:lang w:val="es-ES"/>
              </w:rPr>
              <w:t>PREVISIONES MACROECONÓMICAS: PRODUCTO INTERNO BRUTO</w:t>
            </w:r>
          </w:p>
        </w:tc>
      </w:tr>
      <w:tr w:rsidR="0021273B" w:rsidRPr="0021273B" w14:paraId="4B246634" w14:textId="77777777" w:rsidTr="006A662C">
        <w:trPr>
          <w:jc w:val="center"/>
        </w:trPr>
        <w:tc>
          <w:tcPr>
            <w:tcW w:w="3119" w:type="dxa"/>
            <w:tcBorders>
              <w:top w:val="single" w:sz="4" w:space="0" w:color="auto"/>
              <w:left w:val="single" w:sz="4" w:space="0" w:color="auto"/>
              <w:right w:val="single" w:sz="4" w:space="0" w:color="auto"/>
            </w:tcBorders>
            <w:vAlign w:val="center"/>
          </w:tcPr>
          <w:p w14:paraId="458BA97D" w14:textId="29034684" w:rsidR="0021273B" w:rsidRPr="0021273B" w:rsidRDefault="0024633D" w:rsidP="0024633D">
            <w:pPr>
              <w:spacing w:before="40" w:after="40"/>
              <w:jc w:val="center"/>
              <w:rPr>
                <w:rFonts w:eastAsia="Times New Roman"/>
                <w:b/>
                <w:sz w:val="16"/>
                <w:szCs w:val="16"/>
                <w:lang w:val="es-ES"/>
              </w:rPr>
            </w:pPr>
            <w:r>
              <w:rPr>
                <w:rFonts w:eastAsia="Times New Roman"/>
                <w:b/>
                <w:sz w:val="16"/>
                <w:szCs w:val="16"/>
                <w:lang w:val="es-ES"/>
              </w:rPr>
              <w:t>-</w:t>
            </w:r>
            <w:r w:rsidR="0021273B" w:rsidRPr="0021273B">
              <w:rPr>
                <w:rFonts w:eastAsia="Times New Roman"/>
                <w:b/>
                <w:sz w:val="16"/>
                <w:szCs w:val="16"/>
                <w:lang w:val="es-ES"/>
              </w:rPr>
              <w:t xml:space="preserve">Tasas anuales, </w:t>
            </w:r>
            <w:r>
              <w:rPr>
                <w:rFonts w:eastAsia="Times New Roman"/>
                <w:b/>
                <w:sz w:val="16"/>
                <w:szCs w:val="16"/>
                <w:lang w:val="es-ES"/>
              </w:rPr>
              <w:t>Porcentaje-</w:t>
            </w:r>
          </w:p>
        </w:tc>
        <w:tc>
          <w:tcPr>
            <w:tcW w:w="1134" w:type="dxa"/>
            <w:tcBorders>
              <w:top w:val="single" w:sz="4" w:space="0" w:color="auto"/>
              <w:left w:val="single" w:sz="4" w:space="0" w:color="auto"/>
              <w:right w:val="single" w:sz="4" w:space="0" w:color="auto"/>
            </w:tcBorders>
            <w:vAlign w:val="center"/>
          </w:tcPr>
          <w:p w14:paraId="19F1FA1A" w14:textId="77777777" w:rsidR="0021273B" w:rsidRPr="0021273B" w:rsidRDefault="0021273B" w:rsidP="0021273B">
            <w:pPr>
              <w:jc w:val="center"/>
              <w:rPr>
                <w:rFonts w:eastAsia="Times New Roman"/>
                <w:b/>
                <w:sz w:val="16"/>
                <w:szCs w:val="16"/>
                <w:lang w:val="es-ES"/>
              </w:rPr>
            </w:pPr>
            <w:r w:rsidRPr="0021273B">
              <w:rPr>
                <w:rFonts w:eastAsia="Times New Roman"/>
                <w:b/>
                <w:sz w:val="16"/>
                <w:szCs w:val="16"/>
                <w:lang w:val="es-ES"/>
              </w:rPr>
              <w:t>2012</w:t>
            </w:r>
          </w:p>
        </w:tc>
        <w:tc>
          <w:tcPr>
            <w:tcW w:w="992" w:type="dxa"/>
            <w:tcBorders>
              <w:top w:val="single" w:sz="4" w:space="0" w:color="auto"/>
              <w:left w:val="single" w:sz="4" w:space="0" w:color="auto"/>
              <w:right w:val="single" w:sz="4" w:space="0" w:color="auto"/>
            </w:tcBorders>
            <w:vAlign w:val="center"/>
          </w:tcPr>
          <w:p w14:paraId="73147B2D" w14:textId="77777777" w:rsidR="0021273B" w:rsidRPr="0021273B" w:rsidRDefault="0021273B" w:rsidP="0021273B">
            <w:pPr>
              <w:jc w:val="center"/>
              <w:rPr>
                <w:rFonts w:eastAsia="Times New Roman"/>
                <w:b/>
                <w:sz w:val="16"/>
                <w:szCs w:val="16"/>
                <w:lang w:val="es-ES"/>
              </w:rPr>
            </w:pPr>
            <w:r w:rsidRPr="0021273B">
              <w:rPr>
                <w:rFonts w:eastAsia="Times New Roman"/>
                <w:b/>
                <w:sz w:val="16"/>
                <w:szCs w:val="16"/>
                <w:lang w:val="es-ES"/>
              </w:rPr>
              <w:t>2013</w:t>
            </w:r>
          </w:p>
        </w:tc>
        <w:tc>
          <w:tcPr>
            <w:tcW w:w="1134" w:type="dxa"/>
            <w:tcBorders>
              <w:top w:val="single" w:sz="4" w:space="0" w:color="auto"/>
              <w:left w:val="single" w:sz="4" w:space="0" w:color="auto"/>
              <w:right w:val="single" w:sz="4" w:space="0" w:color="auto"/>
            </w:tcBorders>
            <w:vAlign w:val="center"/>
          </w:tcPr>
          <w:p w14:paraId="73C67557" w14:textId="77777777" w:rsidR="0021273B" w:rsidRPr="0021273B" w:rsidRDefault="0021273B" w:rsidP="0021273B">
            <w:pPr>
              <w:jc w:val="center"/>
              <w:rPr>
                <w:rFonts w:eastAsia="Times New Roman"/>
                <w:b/>
                <w:sz w:val="16"/>
                <w:szCs w:val="16"/>
                <w:lang w:val="es-ES"/>
              </w:rPr>
            </w:pPr>
            <w:r w:rsidRPr="0021273B">
              <w:rPr>
                <w:rFonts w:eastAsia="Times New Roman"/>
                <w:b/>
                <w:sz w:val="16"/>
                <w:szCs w:val="16"/>
                <w:lang w:val="es-ES"/>
              </w:rPr>
              <w:t>2014</w:t>
            </w:r>
          </w:p>
        </w:tc>
        <w:tc>
          <w:tcPr>
            <w:tcW w:w="1134" w:type="dxa"/>
            <w:tcBorders>
              <w:top w:val="single" w:sz="4" w:space="0" w:color="auto"/>
              <w:left w:val="single" w:sz="4" w:space="0" w:color="auto"/>
              <w:right w:val="single" w:sz="4" w:space="0" w:color="auto"/>
            </w:tcBorders>
            <w:vAlign w:val="center"/>
          </w:tcPr>
          <w:p w14:paraId="1F907E86" w14:textId="77777777" w:rsidR="0021273B" w:rsidRPr="0021273B" w:rsidRDefault="0021273B" w:rsidP="0021273B">
            <w:pPr>
              <w:jc w:val="center"/>
              <w:rPr>
                <w:rFonts w:eastAsia="Times New Roman"/>
                <w:b/>
                <w:sz w:val="16"/>
                <w:szCs w:val="16"/>
                <w:lang w:val="es-ES"/>
              </w:rPr>
            </w:pPr>
            <w:r w:rsidRPr="0021273B">
              <w:rPr>
                <w:rFonts w:eastAsia="Times New Roman"/>
                <w:b/>
                <w:sz w:val="16"/>
                <w:szCs w:val="16"/>
                <w:lang w:val="es-ES"/>
              </w:rPr>
              <w:t>2015</w:t>
            </w:r>
            <w:r w:rsidRPr="0021273B">
              <w:rPr>
                <w:rFonts w:eastAsia="Times New Roman"/>
                <w:b/>
                <w:sz w:val="16"/>
                <w:szCs w:val="16"/>
                <w:u w:val="single"/>
                <w:vertAlign w:val="superscript"/>
                <w:lang w:val="es-ES"/>
              </w:rPr>
              <w:t>e</w:t>
            </w:r>
            <w:r w:rsidRPr="0021273B">
              <w:rPr>
                <w:rFonts w:eastAsia="Times New Roman"/>
                <w:b/>
                <w:sz w:val="16"/>
                <w:szCs w:val="16"/>
                <w:vertAlign w:val="superscript"/>
                <w:lang w:val="es-ES"/>
              </w:rPr>
              <w:t>/</w:t>
            </w:r>
          </w:p>
        </w:tc>
        <w:tc>
          <w:tcPr>
            <w:tcW w:w="1134" w:type="dxa"/>
            <w:tcBorders>
              <w:top w:val="single" w:sz="4" w:space="0" w:color="auto"/>
              <w:left w:val="single" w:sz="4" w:space="0" w:color="auto"/>
              <w:right w:val="single" w:sz="4" w:space="0" w:color="auto"/>
            </w:tcBorders>
            <w:vAlign w:val="center"/>
          </w:tcPr>
          <w:p w14:paraId="05528E29" w14:textId="77777777" w:rsidR="0021273B" w:rsidRPr="0021273B" w:rsidRDefault="0021273B" w:rsidP="0021273B">
            <w:pPr>
              <w:jc w:val="center"/>
              <w:rPr>
                <w:rFonts w:eastAsia="Times New Roman"/>
                <w:b/>
                <w:sz w:val="16"/>
                <w:szCs w:val="16"/>
                <w:lang w:val="es-ES"/>
              </w:rPr>
            </w:pPr>
            <w:r w:rsidRPr="0021273B">
              <w:rPr>
                <w:rFonts w:eastAsia="Times New Roman"/>
                <w:b/>
                <w:sz w:val="16"/>
                <w:szCs w:val="16"/>
                <w:lang w:val="es-ES"/>
              </w:rPr>
              <w:t>2016</w:t>
            </w:r>
            <w:r w:rsidRPr="0021273B">
              <w:rPr>
                <w:rFonts w:eastAsia="Times New Roman"/>
                <w:b/>
                <w:sz w:val="16"/>
                <w:szCs w:val="16"/>
                <w:u w:val="single"/>
                <w:vertAlign w:val="superscript"/>
                <w:lang w:val="es-ES"/>
              </w:rPr>
              <w:t>e</w:t>
            </w:r>
            <w:r w:rsidRPr="0021273B">
              <w:rPr>
                <w:rFonts w:eastAsia="Times New Roman"/>
                <w:b/>
                <w:sz w:val="16"/>
                <w:szCs w:val="16"/>
                <w:vertAlign w:val="superscript"/>
                <w:lang w:val="es-ES"/>
              </w:rPr>
              <w:t>/</w:t>
            </w:r>
          </w:p>
        </w:tc>
      </w:tr>
      <w:tr w:rsidR="0021273B" w:rsidRPr="0021273B" w14:paraId="361C3BDC" w14:textId="77777777" w:rsidTr="006A662C">
        <w:trPr>
          <w:jc w:val="center"/>
        </w:trPr>
        <w:tc>
          <w:tcPr>
            <w:tcW w:w="3119" w:type="dxa"/>
            <w:tcBorders>
              <w:top w:val="single" w:sz="4" w:space="0" w:color="auto"/>
              <w:left w:val="single" w:sz="4" w:space="0" w:color="auto"/>
              <w:right w:val="single" w:sz="4" w:space="0" w:color="auto"/>
            </w:tcBorders>
            <w:vAlign w:val="center"/>
          </w:tcPr>
          <w:p w14:paraId="4E71B248" w14:textId="77777777" w:rsidR="0021273B" w:rsidRPr="0021273B" w:rsidRDefault="0021273B" w:rsidP="0021273B">
            <w:pPr>
              <w:spacing w:before="40" w:after="40"/>
              <w:jc w:val="both"/>
              <w:rPr>
                <w:rFonts w:eastAsia="Times New Roman"/>
                <w:sz w:val="16"/>
                <w:szCs w:val="16"/>
                <w:lang w:val="es-ES"/>
              </w:rPr>
            </w:pPr>
            <w:r w:rsidRPr="0021273B">
              <w:rPr>
                <w:rFonts w:eastAsia="Times New Roman"/>
                <w:sz w:val="16"/>
                <w:szCs w:val="16"/>
                <w:lang w:val="es-ES"/>
              </w:rPr>
              <w:t>Estados Unidos de Norteamérica</w:t>
            </w:r>
          </w:p>
        </w:tc>
        <w:tc>
          <w:tcPr>
            <w:tcW w:w="1134" w:type="dxa"/>
            <w:tcBorders>
              <w:top w:val="single" w:sz="4" w:space="0" w:color="auto"/>
              <w:left w:val="single" w:sz="4" w:space="0" w:color="auto"/>
              <w:right w:val="single" w:sz="4" w:space="0" w:color="auto"/>
            </w:tcBorders>
            <w:vAlign w:val="center"/>
          </w:tcPr>
          <w:p w14:paraId="7AD14261"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2.3</w:t>
            </w:r>
          </w:p>
        </w:tc>
        <w:tc>
          <w:tcPr>
            <w:tcW w:w="992" w:type="dxa"/>
            <w:tcBorders>
              <w:top w:val="single" w:sz="4" w:space="0" w:color="auto"/>
              <w:left w:val="single" w:sz="4" w:space="0" w:color="auto"/>
              <w:right w:val="single" w:sz="4" w:space="0" w:color="auto"/>
            </w:tcBorders>
            <w:vAlign w:val="center"/>
          </w:tcPr>
          <w:p w14:paraId="48EC755B" w14:textId="77777777" w:rsidR="0021273B" w:rsidRPr="0021273B" w:rsidRDefault="0021273B" w:rsidP="00BB7F01">
            <w:pPr>
              <w:ind w:right="284"/>
              <w:jc w:val="right"/>
              <w:rPr>
                <w:rFonts w:eastAsia="Times New Roman"/>
                <w:sz w:val="16"/>
                <w:szCs w:val="16"/>
                <w:lang w:val="es-ES"/>
              </w:rPr>
            </w:pPr>
            <w:r w:rsidRPr="0021273B">
              <w:rPr>
                <w:rFonts w:eastAsia="Times New Roman"/>
                <w:sz w:val="16"/>
                <w:szCs w:val="16"/>
                <w:lang w:val="es-ES"/>
              </w:rPr>
              <w:t>2.2</w:t>
            </w:r>
          </w:p>
        </w:tc>
        <w:tc>
          <w:tcPr>
            <w:tcW w:w="1134" w:type="dxa"/>
            <w:tcBorders>
              <w:top w:val="single" w:sz="4" w:space="0" w:color="auto"/>
              <w:left w:val="single" w:sz="4" w:space="0" w:color="auto"/>
              <w:right w:val="single" w:sz="4" w:space="0" w:color="auto"/>
            </w:tcBorders>
            <w:vAlign w:val="center"/>
          </w:tcPr>
          <w:p w14:paraId="325EF01D"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2.4</w:t>
            </w:r>
          </w:p>
        </w:tc>
        <w:tc>
          <w:tcPr>
            <w:tcW w:w="1134" w:type="dxa"/>
            <w:tcBorders>
              <w:top w:val="single" w:sz="4" w:space="0" w:color="auto"/>
              <w:left w:val="single" w:sz="4" w:space="0" w:color="auto"/>
              <w:right w:val="single" w:sz="4" w:space="0" w:color="auto"/>
            </w:tcBorders>
            <w:vAlign w:val="center"/>
          </w:tcPr>
          <w:p w14:paraId="7F2E4A05"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2.9</w:t>
            </w:r>
          </w:p>
        </w:tc>
        <w:tc>
          <w:tcPr>
            <w:tcW w:w="1134" w:type="dxa"/>
            <w:tcBorders>
              <w:top w:val="single" w:sz="4" w:space="0" w:color="auto"/>
              <w:left w:val="single" w:sz="4" w:space="0" w:color="auto"/>
              <w:right w:val="single" w:sz="4" w:space="0" w:color="auto"/>
            </w:tcBorders>
            <w:vAlign w:val="center"/>
          </w:tcPr>
          <w:p w14:paraId="2DDA9894"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2.8</w:t>
            </w:r>
          </w:p>
        </w:tc>
      </w:tr>
      <w:tr w:rsidR="0021273B" w:rsidRPr="0021273B" w14:paraId="0365C3A3" w14:textId="77777777" w:rsidTr="006A662C">
        <w:trPr>
          <w:jc w:val="center"/>
        </w:trPr>
        <w:tc>
          <w:tcPr>
            <w:tcW w:w="3119" w:type="dxa"/>
            <w:tcBorders>
              <w:left w:val="single" w:sz="4" w:space="0" w:color="auto"/>
              <w:right w:val="single" w:sz="4" w:space="0" w:color="auto"/>
            </w:tcBorders>
            <w:vAlign w:val="center"/>
          </w:tcPr>
          <w:p w14:paraId="74313572" w14:textId="77777777" w:rsidR="0021273B" w:rsidRPr="0021273B" w:rsidRDefault="0021273B" w:rsidP="0021273B">
            <w:pPr>
              <w:spacing w:before="40" w:after="40"/>
              <w:jc w:val="both"/>
              <w:rPr>
                <w:rFonts w:eastAsia="Times New Roman"/>
                <w:sz w:val="16"/>
                <w:szCs w:val="16"/>
                <w:lang w:val="es-ES"/>
              </w:rPr>
            </w:pPr>
            <w:r w:rsidRPr="0021273B">
              <w:rPr>
                <w:rFonts w:eastAsia="Times New Roman"/>
                <w:sz w:val="16"/>
                <w:szCs w:val="16"/>
                <w:lang w:val="es-ES"/>
              </w:rPr>
              <w:t>Unión Económica y Monetaria</w:t>
            </w:r>
          </w:p>
        </w:tc>
        <w:tc>
          <w:tcPr>
            <w:tcW w:w="1134" w:type="dxa"/>
            <w:tcBorders>
              <w:left w:val="single" w:sz="4" w:space="0" w:color="auto"/>
              <w:right w:val="single" w:sz="4" w:space="0" w:color="auto"/>
            </w:tcBorders>
            <w:vAlign w:val="center"/>
          </w:tcPr>
          <w:p w14:paraId="1EDC3E0B"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-0.7</w:t>
            </w:r>
          </w:p>
        </w:tc>
        <w:tc>
          <w:tcPr>
            <w:tcW w:w="992" w:type="dxa"/>
            <w:tcBorders>
              <w:left w:val="single" w:sz="4" w:space="0" w:color="auto"/>
              <w:right w:val="single" w:sz="4" w:space="0" w:color="auto"/>
            </w:tcBorders>
            <w:vAlign w:val="center"/>
          </w:tcPr>
          <w:p w14:paraId="0244E791" w14:textId="77777777" w:rsidR="0021273B" w:rsidRPr="0021273B" w:rsidRDefault="0021273B" w:rsidP="00BB7F01">
            <w:pPr>
              <w:ind w:right="284"/>
              <w:jc w:val="right"/>
              <w:rPr>
                <w:rFonts w:eastAsia="Times New Roman"/>
                <w:sz w:val="16"/>
                <w:szCs w:val="16"/>
                <w:lang w:val="es-ES"/>
              </w:rPr>
            </w:pPr>
            <w:r w:rsidRPr="0021273B">
              <w:rPr>
                <w:rFonts w:eastAsia="Times New Roman"/>
                <w:sz w:val="16"/>
                <w:szCs w:val="16"/>
                <w:lang w:val="es-ES"/>
              </w:rPr>
              <w:t>-0.4</w:t>
            </w:r>
          </w:p>
        </w:tc>
        <w:tc>
          <w:tcPr>
            <w:tcW w:w="1134" w:type="dxa"/>
            <w:tcBorders>
              <w:left w:val="single" w:sz="4" w:space="0" w:color="auto"/>
              <w:right w:val="single" w:sz="4" w:space="0" w:color="auto"/>
            </w:tcBorders>
            <w:vAlign w:val="center"/>
          </w:tcPr>
          <w:p w14:paraId="287468AA"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0.8</w:t>
            </w:r>
          </w:p>
        </w:tc>
        <w:tc>
          <w:tcPr>
            <w:tcW w:w="1134" w:type="dxa"/>
            <w:tcBorders>
              <w:left w:val="single" w:sz="4" w:space="0" w:color="auto"/>
              <w:right w:val="single" w:sz="4" w:space="0" w:color="auto"/>
            </w:tcBorders>
            <w:vAlign w:val="center"/>
          </w:tcPr>
          <w:p w14:paraId="14E00413"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1.3</w:t>
            </w:r>
          </w:p>
        </w:tc>
        <w:tc>
          <w:tcPr>
            <w:tcW w:w="1134" w:type="dxa"/>
            <w:tcBorders>
              <w:left w:val="single" w:sz="4" w:space="0" w:color="auto"/>
              <w:right w:val="single" w:sz="4" w:space="0" w:color="auto"/>
            </w:tcBorders>
            <w:vAlign w:val="center"/>
          </w:tcPr>
          <w:p w14:paraId="71090DDD"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2.2</w:t>
            </w:r>
          </w:p>
        </w:tc>
      </w:tr>
      <w:tr w:rsidR="0021273B" w:rsidRPr="0021273B" w14:paraId="227E7C08" w14:textId="77777777" w:rsidTr="006A662C">
        <w:trPr>
          <w:jc w:val="center"/>
        </w:trPr>
        <w:tc>
          <w:tcPr>
            <w:tcW w:w="3119" w:type="dxa"/>
            <w:tcBorders>
              <w:left w:val="single" w:sz="4" w:space="0" w:color="auto"/>
              <w:right w:val="single" w:sz="4" w:space="0" w:color="auto"/>
            </w:tcBorders>
            <w:vAlign w:val="center"/>
          </w:tcPr>
          <w:p w14:paraId="720EEA80" w14:textId="77777777" w:rsidR="0021273B" w:rsidRPr="0021273B" w:rsidRDefault="0021273B" w:rsidP="0021273B">
            <w:pPr>
              <w:spacing w:before="40" w:after="40"/>
              <w:ind w:left="284"/>
              <w:jc w:val="both"/>
              <w:rPr>
                <w:rFonts w:eastAsia="Times New Roman"/>
                <w:sz w:val="16"/>
                <w:szCs w:val="16"/>
                <w:lang w:val="es-ES"/>
              </w:rPr>
            </w:pPr>
            <w:r w:rsidRPr="0021273B">
              <w:rPr>
                <w:rFonts w:eastAsia="Times New Roman"/>
                <w:sz w:val="16"/>
                <w:szCs w:val="16"/>
                <w:lang w:val="es-ES"/>
              </w:rPr>
              <w:t>Alemania</w:t>
            </w:r>
          </w:p>
        </w:tc>
        <w:tc>
          <w:tcPr>
            <w:tcW w:w="1134" w:type="dxa"/>
            <w:tcBorders>
              <w:left w:val="single" w:sz="4" w:space="0" w:color="auto"/>
              <w:right w:val="single" w:sz="4" w:space="0" w:color="auto"/>
            </w:tcBorders>
            <w:vAlign w:val="center"/>
          </w:tcPr>
          <w:p w14:paraId="414729BC"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0.6</w:t>
            </w:r>
          </w:p>
        </w:tc>
        <w:tc>
          <w:tcPr>
            <w:tcW w:w="992" w:type="dxa"/>
            <w:tcBorders>
              <w:left w:val="single" w:sz="4" w:space="0" w:color="auto"/>
              <w:right w:val="single" w:sz="4" w:space="0" w:color="auto"/>
            </w:tcBorders>
            <w:vAlign w:val="center"/>
          </w:tcPr>
          <w:p w14:paraId="6218E73D" w14:textId="77777777" w:rsidR="0021273B" w:rsidRPr="0021273B" w:rsidRDefault="0021273B" w:rsidP="00BB7F01">
            <w:pPr>
              <w:ind w:right="284"/>
              <w:jc w:val="right"/>
              <w:rPr>
                <w:rFonts w:eastAsia="Times New Roman"/>
                <w:sz w:val="16"/>
                <w:szCs w:val="16"/>
                <w:lang w:val="es-ES"/>
              </w:rPr>
            </w:pPr>
            <w:r w:rsidRPr="0021273B">
              <w:rPr>
                <w:rFonts w:eastAsia="Times New Roman"/>
                <w:sz w:val="16"/>
                <w:szCs w:val="16"/>
                <w:lang w:val="es-ES"/>
              </w:rPr>
              <w:t>0.2</w:t>
            </w:r>
          </w:p>
        </w:tc>
        <w:tc>
          <w:tcPr>
            <w:tcW w:w="1134" w:type="dxa"/>
            <w:tcBorders>
              <w:left w:val="single" w:sz="4" w:space="0" w:color="auto"/>
              <w:right w:val="single" w:sz="4" w:space="0" w:color="auto"/>
            </w:tcBorders>
            <w:vAlign w:val="center"/>
          </w:tcPr>
          <w:p w14:paraId="706BF61C"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1.5</w:t>
            </w:r>
          </w:p>
        </w:tc>
        <w:tc>
          <w:tcPr>
            <w:tcW w:w="1134" w:type="dxa"/>
            <w:tcBorders>
              <w:left w:val="single" w:sz="4" w:space="0" w:color="auto"/>
              <w:right w:val="single" w:sz="4" w:space="0" w:color="auto"/>
            </w:tcBorders>
            <w:vAlign w:val="center"/>
          </w:tcPr>
          <w:p w14:paraId="78CD8009"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1.4</w:t>
            </w:r>
          </w:p>
        </w:tc>
        <w:tc>
          <w:tcPr>
            <w:tcW w:w="1134" w:type="dxa"/>
            <w:tcBorders>
              <w:left w:val="single" w:sz="4" w:space="0" w:color="auto"/>
              <w:right w:val="single" w:sz="4" w:space="0" w:color="auto"/>
            </w:tcBorders>
            <w:vAlign w:val="center"/>
          </w:tcPr>
          <w:p w14:paraId="7EB5E0D0"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2.2</w:t>
            </w:r>
          </w:p>
        </w:tc>
      </w:tr>
      <w:tr w:rsidR="0021273B" w:rsidRPr="0021273B" w14:paraId="5B3ED7E2" w14:textId="77777777" w:rsidTr="006A662C">
        <w:trPr>
          <w:jc w:val="center"/>
        </w:trPr>
        <w:tc>
          <w:tcPr>
            <w:tcW w:w="3119" w:type="dxa"/>
            <w:tcBorders>
              <w:left w:val="single" w:sz="4" w:space="0" w:color="auto"/>
              <w:right w:val="single" w:sz="4" w:space="0" w:color="auto"/>
            </w:tcBorders>
            <w:vAlign w:val="center"/>
          </w:tcPr>
          <w:p w14:paraId="69690B1B" w14:textId="77777777" w:rsidR="0021273B" w:rsidRPr="0021273B" w:rsidRDefault="0021273B" w:rsidP="0021273B">
            <w:pPr>
              <w:spacing w:before="40" w:after="40"/>
              <w:ind w:left="284"/>
              <w:jc w:val="both"/>
              <w:rPr>
                <w:rFonts w:eastAsia="Times New Roman"/>
                <w:sz w:val="16"/>
                <w:szCs w:val="16"/>
                <w:lang w:val="es-ES"/>
              </w:rPr>
            </w:pPr>
            <w:r w:rsidRPr="0021273B">
              <w:rPr>
                <w:rFonts w:eastAsia="Times New Roman"/>
                <w:sz w:val="16"/>
                <w:szCs w:val="16"/>
                <w:lang w:val="es-ES"/>
              </w:rPr>
              <w:t>Francia</w:t>
            </w:r>
          </w:p>
        </w:tc>
        <w:tc>
          <w:tcPr>
            <w:tcW w:w="1134" w:type="dxa"/>
            <w:tcBorders>
              <w:left w:val="single" w:sz="4" w:space="0" w:color="auto"/>
              <w:right w:val="single" w:sz="4" w:space="0" w:color="auto"/>
            </w:tcBorders>
            <w:vAlign w:val="center"/>
          </w:tcPr>
          <w:p w14:paraId="7DDC0098"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0.4</w:t>
            </w:r>
          </w:p>
        </w:tc>
        <w:tc>
          <w:tcPr>
            <w:tcW w:w="992" w:type="dxa"/>
            <w:tcBorders>
              <w:left w:val="single" w:sz="4" w:space="0" w:color="auto"/>
              <w:right w:val="single" w:sz="4" w:space="0" w:color="auto"/>
            </w:tcBorders>
            <w:vAlign w:val="center"/>
          </w:tcPr>
          <w:p w14:paraId="7C0FB5BC" w14:textId="77777777" w:rsidR="0021273B" w:rsidRPr="0021273B" w:rsidRDefault="0021273B" w:rsidP="00BB7F01">
            <w:pPr>
              <w:ind w:right="284"/>
              <w:jc w:val="right"/>
              <w:rPr>
                <w:rFonts w:eastAsia="Times New Roman"/>
                <w:sz w:val="16"/>
                <w:szCs w:val="16"/>
                <w:lang w:val="es-ES"/>
              </w:rPr>
            </w:pPr>
            <w:r w:rsidRPr="0021273B">
              <w:rPr>
                <w:rFonts w:eastAsia="Times New Roman"/>
                <w:sz w:val="16"/>
                <w:szCs w:val="16"/>
                <w:lang w:val="es-ES"/>
              </w:rPr>
              <w:t>0.4</w:t>
            </w:r>
          </w:p>
        </w:tc>
        <w:tc>
          <w:tcPr>
            <w:tcW w:w="1134" w:type="dxa"/>
            <w:tcBorders>
              <w:left w:val="single" w:sz="4" w:space="0" w:color="auto"/>
              <w:right w:val="single" w:sz="4" w:space="0" w:color="auto"/>
            </w:tcBorders>
            <w:vAlign w:val="center"/>
          </w:tcPr>
          <w:p w14:paraId="01BBEA82"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0.4</w:t>
            </w:r>
          </w:p>
        </w:tc>
        <w:tc>
          <w:tcPr>
            <w:tcW w:w="1134" w:type="dxa"/>
            <w:tcBorders>
              <w:left w:val="single" w:sz="4" w:space="0" w:color="auto"/>
              <w:right w:val="single" w:sz="4" w:space="0" w:color="auto"/>
            </w:tcBorders>
            <w:vAlign w:val="center"/>
          </w:tcPr>
          <w:p w14:paraId="21201E6C"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1.0</w:t>
            </w:r>
          </w:p>
        </w:tc>
        <w:tc>
          <w:tcPr>
            <w:tcW w:w="1134" w:type="dxa"/>
            <w:tcBorders>
              <w:left w:val="single" w:sz="4" w:space="0" w:color="auto"/>
              <w:right w:val="single" w:sz="4" w:space="0" w:color="auto"/>
            </w:tcBorders>
            <w:vAlign w:val="center"/>
          </w:tcPr>
          <w:p w14:paraId="683BDA9E"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1.8</w:t>
            </w:r>
          </w:p>
        </w:tc>
      </w:tr>
      <w:tr w:rsidR="0021273B" w:rsidRPr="0021273B" w14:paraId="00CD57E9" w14:textId="77777777" w:rsidTr="006A662C">
        <w:trPr>
          <w:jc w:val="center"/>
        </w:trPr>
        <w:tc>
          <w:tcPr>
            <w:tcW w:w="3119" w:type="dxa"/>
            <w:tcBorders>
              <w:left w:val="single" w:sz="4" w:space="0" w:color="auto"/>
              <w:right w:val="single" w:sz="4" w:space="0" w:color="auto"/>
            </w:tcBorders>
            <w:vAlign w:val="center"/>
          </w:tcPr>
          <w:p w14:paraId="14ECD5F1" w14:textId="77777777" w:rsidR="0021273B" w:rsidRPr="0021273B" w:rsidRDefault="0021273B" w:rsidP="0021273B">
            <w:pPr>
              <w:spacing w:before="40" w:after="40"/>
              <w:ind w:left="284"/>
              <w:jc w:val="both"/>
              <w:rPr>
                <w:rFonts w:eastAsia="Times New Roman"/>
                <w:sz w:val="16"/>
                <w:szCs w:val="16"/>
                <w:lang w:val="es-ES"/>
              </w:rPr>
            </w:pPr>
            <w:r w:rsidRPr="0021273B">
              <w:rPr>
                <w:rFonts w:eastAsia="Times New Roman"/>
                <w:sz w:val="16"/>
                <w:szCs w:val="16"/>
                <w:lang w:val="es-ES"/>
              </w:rPr>
              <w:t>Italia</w:t>
            </w:r>
          </w:p>
        </w:tc>
        <w:tc>
          <w:tcPr>
            <w:tcW w:w="1134" w:type="dxa"/>
            <w:tcBorders>
              <w:left w:val="single" w:sz="4" w:space="0" w:color="auto"/>
              <w:right w:val="single" w:sz="4" w:space="0" w:color="auto"/>
            </w:tcBorders>
            <w:vAlign w:val="center"/>
          </w:tcPr>
          <w:p w14:paraId="5CD8340C"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-2.3</w:t>
            </w:r>
          </w:p>
        </w:tc>
        <w:tc>
          <w:tcPr>
            <w:tcW w:w="992" w:type="dxa"/>
            <w:tcBorders>
              <w:left w:val="single" w:sz="4" w:space="0" w:color="auto"/>
              <w:right w:val="single" w:sz="4" w:space="0" w:color="auto"/>
            </w:tcBorders>
            <w:vAlign w:val="center"/>
          </w:tcPr>
          <w:p w14:paraId="6D51A4B8" w14:textId="77777777" w:rsidR="0021273B" w:rsidRPr="0021273B" w:rsidRDefault="0021273B" w:rsidP="00BB7F01">
            <w:pPr>
              <w:ind w:right="284"/>
              <w:jc w:val="right"/>
              <w:rPr>
                <w:rFonts w:eastAsia="Times New Roman"/>
                <w:sz w:val="16"/>
                <w:szCs w:val="16"/>
                <w:lang w:val="es-ES"/>
              </w:rPr>
            </w:pPr>
            <w:r w:rsidRPr="0021273B">
              <w:rPr>
                <w:rFonts w:eastAsia="Times New Roman"/>
                <w:sz w:val="16"/>
                <w:szCs w:val="16"/>
                <w:lang w:val="es-ES"/>
              </w:rPr>
              <w:t>-1.9</w:t>
            </w:r>
          </w:p>
        </w:tc>
        <w:tc>
          <w:tcPr>
            <w:tcW w:w="1134" w:type="dxa"/>
            <w:tcBorders>
              <w:left w:val="single" w:sz="4" w:space="0" w:color="auto"/>
              <w:right w:val="single" w:sz="4" w:space="0" w:color="auto"/>
            </w:tcBorders>
            <w:vAlign w:val="center"/>
          </w:tcPr>
          <w:p w14:paraId="70292A6A"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-0.4</w:t>
            </w:r>
          </w:p>
        </w:tc>
        <w:tc>
          <w:tcPr>
            <w:tcW w:w="1134" w:type="dxa"/>
            <w:tcBorders>
              <w:left w:val="single" w:sz="4" w:space="0" w:color="auto"/>
              <w:right w:val="single" w:sz="4" w:space="0" w:color="auto"/>
            </w:tcBorders>
            <w:vAlign w:val="center"/>
          </w:tcPr>
          <w:p w14:paraId="764D2335"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0.6</w:t>
            </w:r>
          </w:p>
        </w:tc>
        <w:tc>
          <w:tcPr>
            <w:tcW w:w="1134" w:type="dxa"/>
            <w:tcBorders>
              <w:left w:val="single" w:sz="4" w:space="0" w:color="auto"/>
              <w:right w:val="single" w:sz="4" w:space="0" w:color="auto"/>
            </w:tcBorders>
            <w:vAlign w:val="center"/>
          </w:tcPr>
          <w:p w14:paraId="084CAE74"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1.3</w:t>
            </w:r>
          </w:p>
        </w:tc>
      </w:tr>
      <w:tr w:rsidR="0021273B" w:rsidRPr="0021273B" w14:paraId="6E48A236" w14:textId="77777777" w:rsidTr="006A662C">
        <w:trPr>
          <w:jc w:val="center"/>
        </w:trPr>
        <w:tc>
          <w:tcPr>
            <w:tcW w:w="3119" w:type="dxa"/>
            <w:tcBorders>
              <w:left w:val="single" w:sz="4" w:space="0" w:color="auto"/>
              <w:right w:val="single" w:sz="4" w:space="0" w:color="auto"/>
            </w:tcBorders>
            <w:vAlign w:val="center"/>
          </w:tcPr>
          <w:p w14:paraId="60B228DC" w14:textId="77777777" w:rsidR="0021273B" w:rsidRPr="0021273B" w:rsidRDefault="0021273B" w:rsidP="0021273B">
            <w:pPr>
              <w:spacing w:before="40" w:after="40"/>
              <w:ind w:left="284"/>
              <w:jc w:val="both"/>
              <w:rPr>
                <w:rFonts w:eastAsia="Times New Roman"/>
                <w:sz w:val="16"/>
                <w:szCs w:val="16"/>
                <w:lang w:val="es-ES"/>
              </w:rPr>
            </w:pPr>
            <w:r w:rsidRPr="0021273B">
              <w:rPr>
                <w:rFonts w:eastAsia="Times New Roman"/>
                <w:sz w:val="16"/>
                <w:szCs w:val="16"/>
                <w:lang w:val="es-ES"/>
              </w:rPr>
              <w:t>España</w:t>
            </w:r>
          </w:p>
        </w:tc>
        <w:tc>
          <w:tcPr>
            <w:tcW w:w="1134" w:type="dxa"/>
            <w:tcBorders>
              <w:left w:val="single" w:sz="4" w:space="0" w:color="auto"/>
              <w:right w:val="single" w:sz="4" w:space="0" w:color="auto"/>
            </w:tcBorders>
            <w:vAlign w:val="center"/>
          </w:tcPr>
          <w:p w14:paraId="2DD66800"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-2.1</w:t>
            </w:r>
          </w:p>
        </w:tc>
        <w:tc>
          <w:tcPr>
            <w:tcW w:w="992" w:type="dxa"/>
            <w:tcBorders>
              <w:left w:val="single" w:sz="4" w:space="0" w:color="auto"/>
              <w:right w:val="single" w:sz="4" w:space="0" w:color="auto"/>
            </w:tcBorders>
            <w:vAlign w:val="center"/>
          </w:tcPr>
          <w:p w14:paraId="15609268" w14:textId="77777777" w:rsidR="0021273B" w:rsidRPr="0021273B" w:rsidRDefault="0021273B" w:rsidP="00BB7F01">
            <w:pPr>
              <w:ind w:right="284"/>
              <w:jc w:val="right"/>
              <w:rPr>
                <w:rFonts w:eastAsia="Times New Roman"/>
                <w:sz w:val="16"/>
                <w:szCs w:val="16"/>
                <w:lang w:val="es-ES"/>
              </w:rPr>
            </w:pPr>
            <w:r w:rsidRPr="0021273B">
              <w:rPr>
                <w:rFonts w:eastAsia="Times New Roman"/>
                <w:sz w:val="16"/>
                <w:szCs w:val="16"/>
                <w:lang w:val="es-ES"/>
              </w:rPr>
              <w:t>-1.2</w:t>
            </w:r>
          </w:p>
        </w:tc>
        <w:tc>
          <w:tcPr>
            <w:tcW w:w="1134" w:type="dxa"/>
            <w:tcBorders>
              <w:left w:val="single" w:sz="4" w:space="0" w:color="auto"/>
              <w:right w:val="single" w:sz="4" w:space="0" w:color="auto"/>
            </w:tcBorders>
            <w:vAlign w:val="center"/>
          </w:tcPr>
          <w:p w14:paraId="34DD616B"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1.4</w:t>
            </w:r>
          </w:p>
        </w:tc>
        <w:tc>
          <w:tcPr>
            <w:tcW w:w="1134" w:type="dxa"/>
            <w:tcBorders>
              <w:left w:val="single" w:sz="4" w:space="0" w:color="auto"/>
              <w:right w:val="single" w:sz="4" w:space="0" w:color="auto"/>
            </w:tcBorders>
            <w:vAlign w:val="center"/>
          </w:tcPr>
          <w:p w14:paraId="2BEF2435"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2.7</w:t>
            </w:r>
          </w:p>
        </w:tc>
        <w:tc>
          <w:tcPr>
            <w:tcW w:w="1134" w:type="dxa"/>
            <w:tcBorders>
              <w:left w:val="single" w:sz="4" w:space="0" w:color="auto"/>
              <w:right w:val="single" w:sz="4" w:space="0" w:color="auto"/>
            </w:tcBorders>
            <w:vAlign w:val="center"/>
          </w:tcPr>
          <w:p w14:paraId="104CD308"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2.7</w:t>
            </w:r>
          </w:p>
        </w:tc>
      </w:tr>
      <w:tr w:rsidR="0021273B" w:rsidRPr="0021273B" w14:paraId="362BA470" w14:textId="77777777" w:rsidTr="006A662C">
        <w:trPr>
          <w:jc w:val="center"/>
        </w:trPr>
        <w:tc>
          <w:tcPr>
            <w:tcW w:w="3119" w:type="dxa"/>
            <w:tcBorders>
              <w:left w:val="single" w:sz="4" w:space="0" w:color="auto"/>
              <w:right w:val="single" w:sz="4" w:space="0" w:color="auto"/>
            </w:tcBorders>
            <w:vAlign w:val="center"/>
          </w:tcPr>
          <w:p w14:paraId="7383D651" w14:textId="77777777" w:rsidR="0021273B" w:rsidRPr="0021273B" w:rsidRDefault="0021273B" w:rsidP="0021273B">
            <w:pPr>
              <w:spacing w:before="40" w:after="40"/>
              <w:jc w:val="both"/>
              <w:rPr>
                <w:rFonts w:eastAsia="Times New Roman"/>
                <w:sz w:val="16"/>
                <w:szCs w:val="16"/>
                <w:lang w:val="es-ES"/>
              </w:rPr>
            </w:pPr>
            <w:r w:rsidRPr="0021273B">
              <w:rPr>
                <w:rFonts w:eastAsia="Times New Roman"/>
                <w:sz w:val="16"/>
                <w:szCs w:val="16"/>
                <w:lang w:val="es-ES"/>
              </w:rPr>
              <w:t>Reino Unido</w:t>
            </w:r>
          </w:p>
        </w:tc>
        <w:tc>
          <w:tcPr>
            <w:tcW w:w="1134" w:type="dxa"/>
            <w:tcBorders>
              <w:left w:val="single" w:sz="4" w:space="0" w:color="auto"/>
              <w:right w:val="single" w:sz="4" w:space="0" w:color="auto"/>
            </w:tcBorders>
            <w:vAlign w:val="center"/>
          </w:tcPr>
          <w:p w14:paraId="23C1E66D"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0.7</w:t>
            </w:r>
          </w:p>
        </w:tc>
        <w:tc>
          <w:tcPr>
            <w:tcW w:w="992" w:type="dxa"/>
            <w:tcBorders>
              <w:left w:val="single" w:sz="4" w:space="0" w:color="auto"/>
              <w:right w:val="single" w:sz="4" w:space="0" w:color="auto"/>
            </w:tcBorders>
            <w:vAlign w:val="center"/>
          </w:tcPr>
          <w:p w14:paraId="60B1A6F5" w14:textId="77777777" w:rsidR="0021273B" w:rsidRPr="0021273B" w:rsidRDefault="0021273B" w:rsidP="00BB7F01">
            <w:pPr>
              <w:ind w:right="284"/>
              <w:jc w:val="right"/>
              <w:rPr>
                <w:rFonts w:eastAsia="Times New Roman"/>
                <w:sz w:val="16"/>
                <w:szCs w:val="16"/>
                <w:lang w:val="es-ES"/>
              </w:rPr>
            </w:pPr>
            <w:r w:rsidRPr="0021273B">
              <w:rPr>
                <w:rFonts w:eastAsia="Times New Roman"/>
                <w:sz w:val="16"/>
                <w:szCs w:val="16"/>
                <w:lang w:val="es-ES"/>
              </w:rPr>
              <w:t>1.7</w:t>
            </w:r>
          </w:p>
        </w:tc>
        <w:tc>
          <w:tcPr>
            <w:tcW w:w="1134" w:type="dxa"/>
            <w:tcBorders>
              <w:left w:val="single" w:sz="4" w:space="0" w:color="auto"/>
              <w:right w:val="single" w:sz="4" w:space="0" w:color="auto"/>
            </w:tcBorders>
            <w:vAlign w:val="center"/>
          </w:tcPr>
          <w:p w14:paraId="1A5EEA29"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2.6</w:t>
            </w:r>
          </w:p>
        </w:tc>
        <w:tc>
          <w:tcPr>
            <w:tcW w:w="1134" w:type="dxa"/>
            <w:tcBorders>
              <w:left w:val="single" w:sz="4" w:space="0" w:color="auto"/>
              <w:right w:val="single" w:sz="4" w:space="0" w:color="auto"/>
            </w:tcBorders>
            <w:vAlign w:val="center"/>
          </w:tcPr>
          <w:p w14:paraId="4649E29D"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2.8</w:t>
            </w:r>
          </w:p>
        </w:tc>
        <w:tc>
          <w:tcPr>
            <w:tcW w:w="1134" w:type="dxa"/>
            <w:tcBorders>
              <w:left w:val="single" w:sz="4" w:space="0" w:color="auto"/>
              <w:right w:val="single" w:sz="4" w:space="0" w:color="auto"/>
            </w:tcBorders>
            <w:vAlign w:val="center"/>
          </w:tcPr>
          <w:p w14:paraId="1B8771F6"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2.5</w:t>
            </w:r>
          </w:p>
        </w:tc>
      </w:tr>
      <w:tr w:rsidR="0021273B" w:rsidRPr="0021273B" w14:paraId="129D395C" w14:textId="77777777" w:rsidTr="006A662C">
        <w:trPr>
          <w:jc w:val="center"/>
        </w:trPr>
        <w:tc>
          <w:tcPr>
            <w:tcW w:w="3119" w:type="dxa"/>
            <w:tcBorders>
              <w:left w:val="single" w:sz="4" w:space="0" w:color="auto"/>
              <w:right w:val="single" w:sz="4" w:space="0" w:color="auto"/>
            </w:tcBorders>
            <w:vAlign w:val="center"/>
          </w:tcPr>
          <w:p w14:paraId="43502DC3" w14:textId="77777777" w:rsidR="0021273B" w:rsidRPr="0021273B" w:rsidRDefault="0021273B" w:rsidP="0021273B">
            <w:pPr>
              <w:spacing w:before="40" w:after="40"/>
              <w:jc w:val="both"/>
              <w:rPr>
                <w:rFonts w:eastAsia="Times New Roman"/>
                <w:sz w:val="16"/>
                <w:szCs w:val="16"/>
                <w:lang w:val="es-ES"/>
              </w:rPr>
            </w:pPr>
            <w:r w:rsidRPr="0021273B">
              <w:rPr>
                <w:rFonts w:eastAsia="Times New Roman"/>
                <w:sz w:val="16"/>
                <w:szCs w:val="16"/>
                <w:lang w:val="es-ES"/>
              </w:rPr>
              <w:t>América Latina*</w:t>
            </w:r>
          </w:p>
        </w:tc>
        <w:tc>
          <w:tcPr>
            <w:tcW w:w="1134" w:type="dxa"/>
            <w:tcBorders>
              <w:left w:val="single" w:sz="4" w:space="0" w:color="auto"/>
              <w:right w:val="single" w:sz="4" w:space="0" w:color="auto"/>
            </w:tcBorders>
            <w:vAlign w:val="center"/>
          </w:tcPr>
          <w:p w14:paraId="75F859D8"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2.5</w:t>
            </w:r>
          </w:p>
        </w:tc>
        <w:tc>
          <w:tcPr>
            <w:tcW w:w="992" w:type="dxa"/>
            <w:tcBorders>
              <w:left w:val="single" w:sz="4" w:space="0" w:color="auto"/>
              <w:right w:val="single" w:sz="4" w:space="0" w:color="auto"/>
            </w:tcBorders>
            <w:vAlign w:val="center"/>
          </w:tcPr>
          <w:p w14:paraId="539BA2A9" w14:textId="77777777" w:rsidR="0021273B" w:rsidRPr="0021273B" w:rsidRDefault="0021273B" w:rsidP="00BB7F01">
            <w:pPr>
              <w:ind w:right="284"/>
              <w:jc w:val="right"/>
              <w:rPr>
                <w:rFonts w:eastAsia="Times New Roman"/>
                <w:sz w:val="16"/>
                <w:szCs w:val="16"/>
                <w:lang w:val="es-ES"/>
              </w:rPr>
            </w:pPr>
            <w:r w:rsidRPr="0021273B">
              <w:rPr>
                <w:rFonts w:eastAsia="Times New Roman"/>
                <w:sz w:val="16"/>
                <w:szCs w:val="16"/>
                <w:lang w:val="es-ES"/>
              </w:rPr>
              <w:t>2.5</w:t>
            </w:r>
          </w:p>
        </w:tc>
        <w:tc>
          <w:tcPr>
            <w:tcW w:w="1134" w:type="dxa"/>
            <w:tcBorders>
              <w:left w:val="single" w:sz="4" w:space="0" w:color="auto"/>
              <w:right w:val="single" w:sz="4" w:space="0" w:color="auto"/>
            </w:tcBorders>
            <w:vAlign w:val="center"/>
          </w:tcPr>
          <w:p w14:paraId="14BC1C84"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0.8</w:t>
            </w:r>
          </w:p>
        </w:tc>
        <w:tc>
          <w:tcPr>
            <w:tcW w:w="1134" w:type="dxa"/>
            <w:tcBorders>
              <w:left w:val="single" w:sz="4" w:space="0" w:color="auto"/>
              <w:right w:val="single" w:sz="4" w:space="0" w:color="auto"/>
            </w:tcBorders>
            <w:vAlign w:val="center"/>
          </w:tcPr>
          <w:p w14:paraId="0F9EB5BE"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1.5</w:t>
            </w:r>
          </w:p>
        </w:tc>
        <w:tc>
          <w:tcPr>
            <w:tcW w:w="1134" w:type="dxa"/>
            <w:tcBorders>
              <w:left w:val="single" w:sz="4" w:space="0" w:color="auto"/>
              <w:right w:val="single" w:sz="4" w:space="0" w:color="auto"/>
            </w:tcBorders>
            <w:vAlign w:val="center"/>
          </w:tcPr>
          <w:p w14:paraId="56AEFFEE"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2.4</w:t>
            </w:r>
          </w:p>
        </w:tc>
      </w:tr>
      <w:tr w:rsidR="0021273B" w:rsidRPr="0021273B" w14:paraId="0536F458" w14:textId="77777777" w:rsidTr="006A662C">
        <w:trPr>
          <w:jc w:val="center"/>
        </w:trPr>
        <w:tc>
          <w:tcPr>
            <w:tcW w:w="3119" w:type="dxa"/>
            <w:tcBorders>
              <w:left w:val="single" w:sz="4" w:space="0" w:color="auto"/>
              <w:right w:val="single" w:sz="4" w:space="0" w:color="auto"/>
            </w:tcBorders>
            <w:vAlign w:val="center"/>
          </w:tcPr>
          <w:p w14:paraId="34AE477A" w14:textId="77777777" w:rsidR="0021273B" w:rsidRPr="0021273B" w:rsidRDefault="0021273B" w:rsidP="0021273B">
            <w:pPr>
              <w:spacing w:before="40" w:after="40"/>
              <w:ind w:left="284"/>
              <w:jc w:val="both"/>
              <w:rPr>
                <w:rFonts w:eastAsia="Times New Roman"/>
                <w:sz w:val="16"/>
                <w:szCs w:val="16"/>
                <w:lang w:val="es-ES"/>
              </w:rPr>
            </w:pPr>
            <w:r w:rsidRPr="0021273B">
              <w:rPr>
                <w:rFonts w:eastAsia="Times New Roman"/>
                <w:sz w:val="16"/>
                <w:szCs w:val="16"/>
                <w:lang w:val="es-ES"/>
              </w:rPr>
              <w:t>México</w:t>
            </w:r>
          </w:p>
        </w:tc>
        <w:tc>
          <w:tcPr>
            <w:tcW w:w="1134" w:type="dxa"/>
            <w:tcBorders>
              <w:left w:val="single" w:sz="4" w:space="0" w:color="auto"/>
              <w:right w:val="single" w:sz="4" w:space="0" w:color="auto"/>
            </w:tcBorders>
            <w:vAlign w:val="center"/>
          </w:tcPr>
          <w:p w14:paraId="1CF8F0FC"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3.8</w:t>
            </w:r>
          </w:p>
        </w:tc>
        <w:tc>
          <w:tcPr>
            <w:tcW w:w="992" w:type="dxa"/>
            <w:tcBorders>
              <w:left w:val="single" w:sz="4" w:space="0" w:color="auto"/>
              <w:right w:val="single" w:sz="4" w:space="0" w:color="auto"/>
            </w:tcBorders>
            <w:vAlign w:val="center"/>
          </w:tcPr>
          <w:p w14:paraId="1541A8F9" w14:textId="77777777" w:rsidR="0021273B" w:rsidRPr="0021273B" w:rsidRDefault="0021273B" w:rsidP="00BB7F01">
            <w:pPr>
              <w:ind w:right="284"/>
              <w:jc w:val="right"/>
              <w:rPr>
                <w:rFonts w:eastAsia="Times New Roman"/>
                <w:sz w:val="16"/>
                <w:szCs w:val="16"/>
                <w:lang w:val="es-ES"/>
              </w:rPr>
            </w:pPr>
            <w:r w:rsidRPr="0021273B">
              <w:rPr>
                <w:rFonts w:eastAsia="Times New Roman"/>
                <w:sz w:val="16"/>
                <w:szCs w:val="16"/>
                <w:lang w:val="es-ES"/>
              </w:rPr>
              <w:t>1.7</w:t>
            </w:r>
          </w:p>
        </w:tc>
        <w:tc>
          <w:tcPr>
            <w:tcW w:w="1134" w:type="dxa"/>
            <w:tcBorders>
              <w:left w:val="single" w:sz="4" w:space="0" w:color="auto"/>
              <w:right w:val="single" w:sz="4" w:space="0" w:color="auto"/>
            </w:tcBorders>
            <w:vAlign w:val="center"/>
          </w:tcPr>
          <w:p w14:paraId="12FC1F7E"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2.1</w:t>
            </w:r>
          </w:p>
        </w:tc>
        <w:tc>
          <w:tcPr>
            <w:tcW w:w="1134" w:type="dxa"/>
            <w:tcBorders>
              <w:left w:val="single" w:sz="4" w:space="0" w:color="auto"/>
              <w:right w:val="single" w:sz="4" w:space="0" w:color="auto"/>
            </w:tcBorders>
            <w:vAlign w:val="center"/>
          </w:tcPr>
          <w:p w14:paraId="6D50DFBD"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3.5</w:t>
            </w:r>
          </w:p>
        </w:tc>
        <w:tc>
          <w:tcPr>
            <w:tcW w:w="1134" w:type="dxa"/>
            <w:tcBorders>
              <w:left w:val="single" w:sz="4" w:space="0" w:color="auto"/>
              <w:right w:val="single" w:sz="4" w:space="0" w:color="auto"/>
            </w:tcBorders>
            <w:vAlign w:val="center"/>
          </w:tcPr>
          <w:p w14:paraId="52A453FD"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3.4</w:t>
            </w:r>
          </w:p>
        </w:tc>
      </w:tr>
      <w:tr w:rsidR="0021273B" w:rsidRPr="0021273B" w14:paraId="202A38BE" w14:textId="77777777" w:rsidTr="006A662C">
        <w:trPr>
          <w:jc w:val="center"/>
        </w:trPr>
        <w:tc>
          <w:tcPr>
            <w:tcW w:w="3119" w:type="dxa"/>
            <w:tcBorders>
              <w:left w:val="single" w:sz="4" w:space="0" w:color="auto"/>
              <w:right w:val="single" w:sz="4" w:space="0" w:color="auto"/>
            </w:tcBorders>
            <w:vAlign w:val="center"/>
          </w:tcPr>
          <w:p w14:paraId="284888DF" w14:textId="77777777" w:rsidR="0021273B" w:rsidRPr="0021273B" w:rsidRDefault="0021273B" w:rsidP="0021273B">
            <w:pPr>
              <w:spacing w:before="40" w:after="40"/>
              <w:ind w:left="284"/>
              <w:jc w:val="both"/>
              <w:rPr>
                <w:rFonts w:eastAsia="Times New Roman"/>
                <w:sz w:val="16"/>
                <w:szCs w:val="16"/>
                <w:lang w:val="es-ES"/>
              </w:rPr>
            </w:pPr>
            <w:r w:rsidRPr="0021273B">
              <w:rPr>
                <w:rFonts w:eastAsia="Times New Roman"/>
                <w:sz w:val="16"/>
                <w:szCs w:val="16"/>
                <w:lang w:val="es-ES"/>
              </w:rPr>
              <w:t>Brasil</w:t>
            </w:r>
          </w:p>
        </w:tc>
        <w:tc>
          <w:tcPr>
            <w:tcW w:w="1134" w:type="dxa"/>
            <w:tcBorders>
              <w:left w:val="single" w:sz="4" w:space="0" w:color="auto"/>
              <w:right w:val="single" w:sz="4" w:space="0" w:color="auto"/>
            </w:tcBorders>
            <w:vAlign w:val="center"/>
          </w:tcPr>
          <w:p w14:paraId="01B78FA2"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1.0</w:t>
            </w:r>
          </w:p>
        </w:tc>
        <w:tc>
          <w:tcPr>
            <w:tcW w:w="992" w:type="dxa"/>
            <w:tcBorders>
              <w:left w:val="single" w:sz="4" w:space="0" w:color="auto"/>
              <w:right w:val="single" w:sz="4" w:space="0" w:color="auto"/>
            </w:tcBorders>
            <w:vAlign w:val="center"/>
          </w:tcPr>
          <w:p w14:paraId="7A0DEB4D" w14:textId="77777777" w:rsidR="0021273B" w:rsidRPr="0021273B" w:rsidRDefault="0021273B" w:rsidP="00BB7F01">
            <w:pPr>
              <w:ind w:right="284"/>
              <w:jc w:val="right"/>
              <w:rPr>
                <w:rFonts w:eastAsia="Times New Roman"/>
                <w:sz w:val="16"/>
                <w:szCs w:val="16"/>
                <w:lang w:val="es-ES"/>
              </w:rPr>
            </w:pPr>
            <w:r w:rsidRPr="0021273B">
              <w:rPr>
                <w:rFonts w:eastAsia="Times New Roman"/>
                <w:sz w:val="16"/>
                <w:szCs w:val="16"/>
                <w:lang w:val="es-ES"/>
              </w:rPr>
              <w:t>2.5</w:t>
            </w:r>
          </w:p>
        </w:tc>
        <w:tc>
          <w:tcPr>
            <w:tcW w:w="1134" w:type="dxa"/>
            <w:tcBorders>
              <w:left w:val="single" w:sz="4" w:space="0" w:color="auto"/>
              <w:right w:val="single" w:sz="4" w:space="0" w:color="auto"/>
            </w:tcBorders>
            <w:vAlign w:val="center"/>
          </w:tcPr>
          <w:p w14:paraId="0308E4B0"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0.1</w:t>
            </w:r>
          </w:p>
        </w:tc>
        <w:tc>
          <w:tcPr>
            <w:tcW w:w="1134" w:type="dxa"/>
            <w:tcBorders>
              <w:left w:val="single" w:sz="4" w:space="0" w:color="auto"/>
              <w:right w:val="single" w:sz="4" w:space="0" w:color="auto"/>
            </w:tcBorders>
            <w:vAlign w:val="center"/>
          </w:tcPr>
          <w:p w14:paraId="0739D3C9"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0.6</w:t>
            </w:r>
          </w:p>
        </w:tc>
        <w:tc>
          <w:tcPr>
            <w:tcW w:w="1134" w:type="dxa"/>
            <w:tcBorders>
              <w:left w:val="single" w:sz="4" w:space="0" w:color="auto"/>
              <w:right w:val="single" w:sz="4" w:space="0" w:color="auto"/>
            </w:tcBorders>
            <w:vAlign w:val="center"/>
          </w:tcPr>
          <w:p w14:paraId="507E8111"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1.8</w:t>
            </w:r>
          </w:p>
        </w:tc>
      </w:tr>
      <w:tr w:rsidR="0021273B" w:rsidRPr="0021273B" w14:paraId="1B28A099" w14:textId="77777777" w:rsidTr="006A662C">
        <w:trPr>
          <w:jc w:val="center"/>
        </w:trPr>
        <w:tc>
          <w:tcPr>
            <w:tcW w:w="3119" w:type="dxa"/>
            <w:tcBorders>
              <w:left w:val="single" w:sz="4" w:space="0" w:color="auto"/>
              <w:right w:val="single" w:sz="4" w:space="0" w:color="auto"/>
            </w:tcBorders>
            <w:vAlign w:val="center"/>
          </w:tcPr>
          <w:p w14:paraId="0ECF97D6" w14:textId="77777777" w:rsidR="0021273B" w:rsidRPr="0021273B" w:rsidRDefault="0021273B" w:rsidP="0021273B">
            <w:pPr>
              <w:spacing w:before="40" w:after="40"/>
              <w:jc w:val="both"/>
              <w:rPr>
                <w:rFonts w:eastAsia="Times New Roman"/>
                <w:sz w:val="16"/>
                <w:szCs w:val="16"/>
                <w:lang w:val="es-ES"/>
              </w:rPr>
            </w:pPr>
            <w:r w:rsidRPr="0021273B">
              <w:rPr>
                <w:rFonts w:eastAsia="Times New Roman"/>
                <w:sz w:val="16"/>
                <w:szCs w:val="16"/>
                <w:lang w:val="es-ES"/>
              </w:rPr>
              <w:t>EAGLES**</w:t>
            </w:r>
          </w:p>
        </w:tc>
        <w:tc>
          <w:tcPr>
            <w:tcW w:w="1134" w:type="dxa"/>
            <w:tcBorders>
              <w:left w:val="single" w:sz="4" w:space="0" w:color="auto"/>
              <w:right w:val="single" w:sz="4" w:space="0" w:color="auto"/>
            </w:tcBorders>
            <w:vAlign w:val="center"/>
          </w:tcPr>
          <w:p w14:paraId="4D0092CE"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5.5</w:t>
            </w:r>
          </w:p>
        </w:tc>
        <w:tc>
          <w:tcPr>
            <w:tcW w:w="992" w:type="dxa"/>
            <w:tcBorders>
              <w:left w:val="single" w:sz="4" w:space="0" w:color="auto"/>
              <w:right w:val="single" w:sz="4" w:space="0" w:color="auto"/>
            </w:tcBorders>
            <w:vAlign w:val="center"/>
          </w:tcPr>
          <w:p w14:paraId="2A0CCD2B" w14:textId="77777777" w:rsidR="0021273B" w:rsidRPr="0021273B" w:rsidRDefault="0021273B" w:rsidP="00BB7F01">
            <w:pPr>
              <w:ind w:right="284"/>
              <w:jc w:val="right"/>
              <w:rPr>
                <w:rFonts w:eastAsia="Times New Roman"/>
                <w:sz w:val="16"/>
                <w:szCs w:val="16"/>
                <w:lang w:val="es-ES"/>
              </w:rPr>
            </w:pPr>
            <w:r w:rsidRPr="0021273B">
              <w:rPr>
                <w:rFonts w:eastAsia="Times New Roman"/>
                <w:sz w:val="16"/>
                <w:szCs w:val="16"/>
                <w:lang w:val="es-ES"/>
              </w:rPr>
              <w:t>5.4</w:t>
            </w:r>
          </w:p>
        </w:tc>
        <w:tc>
          <w:tcPr>
            <w:tcW w:w="1134" w:type="dxa"/>
            <w:tcBorders>
              <w:left w:val="single" w:sz="4" w:space="0" w:color="auto"/>
              <w:right w:val="single" w:sz="4" w:space="0" w:color="auto"/>
            </w:tcBorders>
            <w:vAlign w:val="center"/>
          </w:tcPr>
          <w:p w14:paraId="4827A66A"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5.1</w:t>
            </w:r>
          </w:p>
        </w:tc>
        <w:tc>
          <w:tcPr>
            <w:tcW w:w="1134" w:type="dxa"/>
            <w:tcBorders>
              <w:left w:val="single" w:sz="4" w:space="0" w:color="auto"/>
              <w:right w:val="single" w:sz="4" w:space="0" w:color="auto"/>
            </w:tcBorders>
            <w:vAlign w:val="center"/>
          </w:tcPr>
          <w:p w14:paraId="34280866"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5.0</w:t>
            </w:r>
          </w:p>
        </w:tc>
        <w:tc>
          <w:tcPr>
            <w:tcW w:w="1134" w:type="dxa"/>
            <w:tcBorders>
              <w:left w:val="single" w:sz="4" w:space="0" w:color="auto"/>
              <w:right w:val="single" w:sz="4" w:space="0" w:color="auto"/>
            </w:tcBorders>
            <w:vAlign w:val="center"/>
          </w:tcPr>
          <w:p w14:paraId="7ED70D5D"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5.2</w:t>
            </w:r>
          </w:p>
        </w:tc>
      </w:tr>
      <w:tr w:rsidR="0021273B" w:rsidRPr="0021273B" w14:paraId="4759C55B" w14:textId="77777777" w:rsidTr="006A662C">
        <w:trPr>
          <w:jc w:val="center"/>
        </w:trPr>
        <w:tc>
          <w:tcPr>
            <w:tcW w:w="3119" w:type="dxa"/>
            <w:tcBorders>
              <w:left w:val="single" w:sz="4" w:space="0" w:color="auto"/>
              <w:right w:val="single" w:sz="4" w:space="0" w:color="auto"/>
            </w:tcBorders>
            <w:vAlign w:val="center"/>
          </w:tcPr>
          <w:p w14:paraId="00A5D225" w14:textId="77777777" w:rsidR="0021273B" w:rsidRPr="0021273B" w:rsidRDefault="0021273B" w:rsidP="0021273B">
            <w:pPr>
              <w:spacing w:before="40" w:after="40"/>
              <w:ind w:left="284"/>
              <w:jc w:val="both"/>
              <w:rPr>
                <w:rFonts w:eastAsia="Times New Roman"/>
                <w:sz w:val="16"/>
                <w:szCs w:val="16"/>
                <w:lang w:val="es-ES"/>
              </w:rPr>
            </w:pPr>
            <w:r w:rsidRPr="0021273B">
              <w:rPr>
                <w:rFonts w:eastAsia="Times New Roman"/>
                <w:sz w:val="16"/>
                <w:szCs w:val="16"/>
                <w:lang w:val="es-ES"/>
              </w:rPr>
              <w:t>Turquía</w:t>
            </w:r>
          </w:p>
        </w:tc>
        <w:tc>
          <w:tcPr>
            <w:tcW w:w="1134" w:type="dxa"/>
            <w:tcBorders>
              <w:left w:val="single" w:sz="4" w:space="0" w:color="auto"/>
              <w:right w:val="single" w:sz="4" w:space="0" w:color="auto"/>
            </w:tcBorders>
            <w:vAlign w:val="center"/>
          </w:tcPr>
          <w:p w14:paraId="747B90A2"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2.1</w:t>
            </w:r>
          </w:p>
        </w:tc>
        <w:tc>
          <w:tcPr>
            <w:tcW w:w="992" w:type="dxa"/>
            <w:tcBorders>
              <w:left w:val="single" w:sz="4" w:space="0" w:color="auto"/>
              <w:right w:val="single" w:sz="4" w:space="0" w:color="auto"/>
            </w:tcBorders>
            <w:vAlign w:val="center"/>
          </w:tcPr>
          <w:p w14:paraId="436883B9" w14:textId="77777777" w:rsidR="0021273B" w:rsidRPr="0021273B" w:rsidRDefault="0021273B" w:rsidP="00BB7F01">
            <w:pPr>
              <w:ind w:right="284"/>
              <w:jc w:val="right"/>
              <w:rPr>
                <w:rFonts w:eastAsia="Times New Roman"/>
                <w:sz w:val="16"/>
                <w:szCs w:val="16"/>
                <w:lang w:val="es-ES"/>
              </w:rPr>
            </w:pPr>
            <w:r w:rsidRPr="0021273B">
              <w:rPr>
                <w:rFonts w:eastAsia="Times New Roman"/>
                <w:sz w:val="16"/>
                <w:szCs w:val="16"/>
                <w:lang w:val="es-ES"/>
              </w:rPr>
              <w:t>4.1</w:t>
            </w:r>
          </w:p>
        </w:tc>
        <w:tc>
          <w:tcPr>
            <w:tcW w:w="1134" w:type="dxa"/>
            <w:tcBorders>
              <w:left w:val="single" w:sz="4" w:space="0" w:color="auto"/>
              <w:right w:val="single" w:sz="4" w:space="0" w:color="auto"/>
            </w:tcBorders>
            <w:vAlign w:val="center"/>
          </w:tcPr>
          <w:p w14:paraId="1B9232BE"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2.5</w:t>
            </w:r>
          </w:p>
        </w:tc>
        <w:tc>
          <w:tcPr>
            <w:tcW w:w="1134" w:type="dxa"/>
            <w:tcBorders>
              <w:left w:val="single" w:sz="4" w:space="0" w:color="auto"/>
              <w:right w:val="single" w:sz="4" w:space="0" w:color="auto"/>
            </w:tcBorders>
            <w:vAlign w:val="center"/>
          </w:tcPr>
          <w:p w14:paraId="52B15107"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3.7</w:t>
            </w:r>
          </w:p>
        </w:tc>
        <w:tc>
          <w:tcPr>
            <w:tcW w:w="1134" w:type="dxa"/>
            <w:tcBorders>
              <w:left w:val="single" w:sz="4" w:space="0" w:color="auto"/>
              <w:right w:val="single" w:sz="4" w:space="0" w:color="auto"/>
            </w:tcBorders>
            <w:vAlign w:val="center"/>
          </w:tcPr>
          <w:p w14:paraId="777E679C"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4.5</w:t>
            </w:r>
          </w:p>
        </w:tc>
      </w:tr>
      <w:tr w:rsidR="0021273B" w:rsidRPr="0021273B" w14:paraId="37E44279" w14:textId="77777777" w:rsidTr="006A662C">
        <w:trPr>
          <w:jc w:val="center"/>
        </w:trPr>
        <w:tc>
          <w:tcPr>
            <w:tcW w:w="3119" w:type="dxa"/>
            <w:tcBorders>
              <w:left w:val="single" w:sz="4" w:space="0" w:color="auto"/>
              <w:right w:val="single" w:sz="4" w:space="0" w:color="auto"/>
            </w:tcBorders>
            <w:vAlign w:val="center"/>
          </w:tcPr>
          <w:p w14:paraId="59F50D4C" w14:textId="77777777" w:rsidR="0021273B" w:rsidRPr="0021273B" w:rsidRDefault="0021273B" w:rsidP="0021273B">
            <w:pPr>
              <w:spacing w:before="40" w:after="40"/>
              <w:jc w:val="both"/>
              <w:rPr>
                <w:rFonts w:eastAsia="Times New Roman"/>
                <w:sz w:val="16"/>
                <w:szCs w:val="16"/>
                <w:lang w:val="es-ES"/>
              </w:rPr>
            </w:pPr>
            <w:r w:rsidRPr="0021273B">
              <w:rPr>
                <w:rFonts w:eastAsia="Times New Roman"/>
                <w:sz w:val="16"/>
                <w:szCs w:val="16"/>
                <w:lang w:val="es-ES"/>
              </w:rPr>
              <w:t>Asia-Pacífico</w:t>
            </w:r>
          </w:p>
        </w:tc>
        <w:tc>
          <w:tcPr>
            <w:tcW w:w="1134" w:type="dxa"/>
            <w:tcBorders>
              <w:left w:val="single" w:sz="4" w:space="0" w:color="auto"/>
              <w:right w:val="single" w:sz="4" w:space="0" w:color="auto"/>
            </w:tcBorders>
            <w:vAlign w:val="center"/>
          </w:tcPr>
          <w:p w14:paraId="290C0343"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5.5</w:t>
            </w:r>
          </w:p>
        </w:tc>
        <w:tc>
          <w:tcPr>
            <w:tcW w:w="992" w:type="dxa"/>
            <w:tcBorders>
              <w:left w:val="single" w:sz="4" w:space="0" w:color="auto"/>
              <w:right w:val="single" w:sz="4" w:space="0" w:color="auto"/>
            </w:tcBorders>
            <w:vAlign w:val="center"/>
          </w:tcPr>
          <w:p w14:paraId="4CE5F556" w14:textId="77777777" w:rsidR="0021273B" w:rsidRPr="0021273B" w:rsidRDefault="0021273B" w:rsidP="00BB7F01">
            <w:pPr>
              <w:ind w:right="284"/>
              <w:jc w:val="right"/>
              <w:rPr>
                <w:rFonts w:eastAsia="Times New Roman"/>
                <w:sz w:val="16"/>
                <w:szCs w:val="16"/>
                <w:lang w:val="es-ES"/>
              </w:rPr>
            </w:pPr>
            <w:r w:rsidRPr="0021273B">
              <w:rPr>
                <w:rFonts w:eastAsia="Times New Roman"/>
                <w:sz w:val="16"/>
                <w:szCs w:val="16"/>
                <w:lang w:val="es-ES"/>
              </w:rPr>
              <w:t>5.4</w:t>
            </w:r>
          </w:p>
        </w:tc>
        <w:tc>
          <w:tcPr>
            <w:tcW w:w="1134" w:type="dxa"/>
            <w:tcBorders>
              <w:left w:val="single" w:sz="4" w:space="0" w:color="auto"/>
              <w:right w:val="single" w:sz="4" w:space="0" w:color="auto"/>
            </w:tcBorders>
            <w:vAlign w:val="center"/>
          </w:tcPr>
          <w:p w14:paraId="2D01AF79"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5.4</w:t>
            </w:r>
          </w:p>
        </w:tc>
        <w:tc>
          <w:tcPr>
            <w:tcW w:w="1134" w:type="dxa"/>
            <w:tcBorders>
              <w:left w:val="single" w:sz="4" w:space="0" w:color="auto"/>
              <w:right w:val="single" w:sz="4" w:space="0" w:color="auto"/>
            </w:tcBorders>
            <w:vAlign w:val="center"/>
          </w:tcPr>
          <w:p w14:paraId="34B57685"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5.5</w:t>
            </w:r>
          </w:p>
        </w:tc>
        <w:tc>
          <w:tcPr>
            <w:tcW w:w="1134" w:type="dxa"/>
            <w:tcBorders>
              <w:left w:val="single" w:sz="4" w:space="0" w:color="auto"/>
              <w:right w:val="single" w:sz="4" w:space="0" w:color="auto"/>
            </w:tcBorders>
            <w:vAlign w:val="center"/>
          </w:tcPr>
          <w:p w14:paraId="3090A3AF"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5.4</w:t>
            </w:r>
          </w:p>
        </w:tc>
      </w:tr>
      <w:tr w:rsidR="0021273B" w:rsidRPr="0021273B" w14:paraId="7D236440" w14:textId="77777777" w:rsidTr="006A662C">
        <w:trPr>
          <w:jc w:val="center"/>
        </w:trPr>
        <w:tc>
          <w:tcPr>
            <w:tcW w:w="3119" w:type="dxa"/>
            <w:tcBorders>
              <w:left w:val="single" w:sz="4" w:space="0" w:color="auto"/>
              <w:right w:val="single" w:sz="4" w:space="0" w:color="auto"/>
            </w:tcBorders>
            <w:vAlign w:val="center"/>
          </w:tcPr>
          <w:p w14:paraId="4AD6E3E3" w14:textId="77777777" w:rsidR="0021273B" w:rsidRPr="0021273B" w:rsidRDefault="0021273B" w:rsidP="0021273B">
            <w:pPr>
              <w:spacing w:before="40" w:after="40"/>
              <w:ind w:left="284"/>
              <w:jc w:val="both"/>
              <w:rPr>
                <w:rFonts w:eastAsia="Times New Roman"/>
                <w:sz w:val="16"/>
                <w:szCs w:val="16"/>
                <w:lang w:val="es-ES"/>
              </w:rPr>
            </w:pPr>
            <w:r w:rsidRPr="0021273B">
              <w:rPr>
                <w:rFonts w:eastAsia="Times New Roman"/>
                <w:sz w:val="16"/>
                <w:szCs w:val="16"/>
                <w:lang w:val="es-ES"/>
              </w:rPr>
              <w:t>Japón</w:t>
            </w:r>
          </w:p>
        </w:tc>
        <w:tc>
          <w:tcPr>
            <w:tcW w:w="1134" w:type="dxa"/>
            <w:tcBorders>
              <w:left w:val="single" w:sz="4" w:space="0" w:color="auto"/>
              <w:right w:val="single" w:sz="4" w:space="0" w:color="auto"/>
            </w:tcBorders>
            <w:vAlign w:val="center"/>
          </w:tcPr>
          <w:p w14:paraId="30F163B1"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1.5</w:t>
            </w:r>
          </w:p>
        </w:tc>
        <w:tc>
          <w:tcPr>
            <w:tcW w:w="992" w:type="dxa"/>
            <w:tcBorders>
              <w:left w:val="single" w:sz="4" w:space="0" w:color="auto"/>
              <w:right w:val="single" w:sz="4" w:space="0" w:color="auto"/>
            </w:tcBorders>
            <w:vAlign w:val="center"/>
          </w:tcPr>
          <w:p w14:paraId="378A4A2E" w14:textId="77777777" w:rsidR="0021273B" w:rsidRPr="0021273B" w:rsidRDefault="0021273B" w:rsidP="00BB7F01">
            <w:pPr>
              <w:ind w:right="284"/>
              <w:jc w:val="right"/>
              <w:rPr>
                <w:rFonts w:eastAsia="Times New Roman"/>
                <w:sz w:val="16"/>
                <w:szCs w:val="16"/>
                <w:lang w:val="es-ES"/>
              </w:rPr>
            </w:pPr>
            <w:r w:rsidRPr="0021273B">
              <w:rPr>
                <w:rFonts w:eastAsia="Times New Roman"/>
                <w:sz w:val="16"/>
                <w:szCs w:val="16"/>
                <w:lang w:val="es-ES"/>
              </w:rPr>
              <w:t>1.5</w:t>
            </w:r>
          </w:p>
        </w:tc>
        <w:tc>
          <w:tcPr>
            <w:tcW w:w="1134" w:type="dxa"/>
            <w:tcBorders>
              <w:left w:val="single" w:sz="4" w:space="0" w:color="auto"/>
              <w:right w:val="single" w:sz="4" w:space="0" w:color="auto"/>
            </w:tcBorders>
            <w:vAlign w:val="center"/>
          </w:tcPr>
          <w:p w14:paraId="4F4C881F"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0.7</w:t>
            </w:r>
          </w:p>
        </w:tc>
        <w:tc>
          <w:tcPr>
            <w:tcW w:w="1134" w:type="dxa"/>
            <w:tcBorders>
              <w:left w:val="single" w:sz="4" w:space="0" w:color="auto"/>
              <w:right w:val="single" w:sz="4" w:space="0" w:color="auto"/>
            </w:tcBorders>
            <w:vAlign w:val="center"/>
          </w:tcPr>
          <w:p w14:paraId="460EFD0E"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1.3</w:t>
            </w:r>
          </w:p>
        </w:tc>
        <w:tc>
          <w:tcPr>
            <w:tcW w:w="1134" w:type="dxa"/>
            <w:tcBorders>
              <w:left w:val="single" w:sz="4" w:space="0" w:color="auto"/>
              <w:right w:val="single" w:sz="4" w:space="0" w:color="auto"/>
            </w:tcBorders>
            <w:vAlign w:val="center"/>
          </w:tcPr>
          <w:p w14:paraId="480EDC39"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1.2</w:t>
            </w:r>
          </w:p>
        </w:tc>
      </w:tr>
      <w:tr w:rsidR="0021273B" w:rsidRPr="0021273B" w14:paraId="1B31E693" w14:textId="77777777" w:rsidTr="006A662C">
        <w:trPr>
          <w:jc w:val="center"/>
        </w:trPr>
        <w:tc>
          <w:tcPr>
            <w:tcW w:w="3119" w:type="dxa"/>
            <w:tcBorders>
              <w:left w:val="single" w:sz="4" w:space="0" w:color="auto"/>
              <w:right w:val="single" w:sz="4" w:space="0" w:color="auto"/>
            </w:tcBorders>
            <w:vAlign w:val="center"/>
          </w:tcPr>
          <w:p w14:paraId="51C9DA85" w14:textId="77777777" w:rsidR="0021273B" w:rsidRPr="0021273B" w:rsidRDefault="0021273B" w:rsidP="0021273B">
            <w:pPr>
              <w:spacing w:before="40" w:after="40"/>
              <w:ind w:left="284"/>
              <w:jc w:val="both"/>
              <w:rPr>
                <w:rFonts w:eastAsia="Times New Roman"/>
                <w:sz w:val="16"/>
                <w:szCs w:val="16"/>
                <w:lang w:val="es-ES"/>
              </w:rPr>
            </w:pPr>
            <w:r w:rsidRPr="0021273B">
              <w:rPr>
                <w:rFonts w:eastAsia="Times New Roman"/>
                <w:sz w:val="16"/>
                <w:szCs w:val="16"/>
                <w:lang w:val="es-ES"/>
              </w:rPr>
              <w:t>China</w:t>
            </w:r>
          </w:p>
        </w:tc>
        <w:tc>
          <w:tcPr>
            <w:tcW w:w="1134" w:type="dxa"/>
            <w:tcBorders>
              <w:left w:val="single" w:sz="4" w:space="0" w:color="auto"/>
              <w:right w:val="single" w:sz="4" w:space="0" w:color="auto"/>
            </w:tcBorders>
            <w:vAlign w:val="center"/>
          </w:tcPr>
          <w:p w14:paraId="47D0F01D"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7.7</w:t>
            </w:r>
          </w:p>
        </w:tc>
        <w:tc>
          <w:tcPr>
            <w:tcW w:w="992" w:type="dxa"/>
            <w:tcBorders>
              <w:left w:val="single" w:sz="4" w:space="0" w:color="auto"/>
              <w:right w:val="single" w:sz="4" w:space="0" w:color="auto"/>
            </w:tcBorders>
            <w:vAlign w:val="center"/>
          </w:tcPr>
          <w:p w14:paraId="35987389" w14:textId="77777777" w:rsidR="0021273B" w:rsidRPr="0021273B" w:rsidRDefault="0021273B" w:rsidP="00BB7F01">
            <w:pPr>
              <w:ind w:right="284"/>
              <w:jc w:val="right"/>
              <w:rPr>
                <w:rFonts w:eastAsia="Times New Roman"/>
                <w:sz w:val="16"/>
                <w:szCs w:val="16"/>
                <w:lang w:val="es-ES"/>
              </w:rPr>
            </w:pPr>
            <w:r w:rsidRPr="0021273B">
              <w:rPr>
                <w:rFonts w:eastAsia="Times New Roman"/>
                <w:sz w:val="16"/>
                <w:szCs w:val="16"/>
                <w:lang w:val="es-ES"/>
              </w:rPr>
              <w:t>7.7</w:t>
            </w:r>
          </w:p>
        </w:tc>
        <w:tc>
          <w:tcPr>
            <w:tcW w:w="1134" w:type="dxa"/>
            <w:tcBorders>
              <w:left w:val="single" w:sz="4" w:space="0" w:color="auto"/>
              <w:right w:val="single" w:sz="4" w:space="0" w:color="auto"/>
            </w:tcBorders>
            <w:vAlign w:val="center"/>
          </w:tcPr>
          <w:p w14:paraId="349510EF"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7.4</w:t>
            </w:r>
          </w:p>
        </w:tc>
        <w:tc>
          <w:tcPr>
            <w:tcW w:w="1134" w:type="dxa"/>
            <w:tcBorders>
              <w:left w:val="single" w:sz="4" w:space="0" w:color="auto"/>
              <w:right w:val="single" w:sz="4" w:space="0" w:color="auto"/>
            </w:tcBorders>
            <w:vAlign w:val="center"/>
          </w:tcPr>
          <w:p w14:paraId="55B76336"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7.0</w:t>
            </w:r>
          </w:p>
        </w:tc>
        <w:tc>
          <w:tcPr>
            <w:tcW w:w="1134" w:type="dxa"/>
            <w:tcBorders>
              <w:left w:val="single" w:sz="4" w:space="0" w:color="auto"/>
              <w:right w:val="single" w:sz="4" w:space="0" w:color="auto"/>
            </w:tcBorders>
            <w:vAlign w:val="center"/>
          </w:tcPr>
          <w:p w14:paraId="7765E5E8"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6.6</w:t>
            </w:r>
          </w:p>
        </w:tc>
      </w:tr>
      <w:tr w:rsidR="0021273B" w:rsidRPr="0021273B" w14:paraId="322DE2FA" w14:textId="77777777" w:rsidTr="006A662C">
        <w:trPr>
          <w:jc w:val="center"/>
        </w:trPr>
        <w:tc>
          <w:tcPr>
            <w:tcW w:w="3119" w:type="dxa"/>
            <w:tcBorders>
              <w:left w:val="single" w:sz="4" w:space="0" w:color="auto"/>
              <w:right w:val="single" w:sz="4" w:space="0" w:color="auto"/>
            </w:tcBorders>
            <w:vAlign w:val="center"/>
          </w:tcPr>
          <w:p w14:paraId="64676174" w14:textId="77777777" w:rsidR="0021273B" w:rsidRPr="0021273B" w:rsidRDefault="0021273B" w:rsidP="0021273B">
            <w:pPr>
              <w:spacing w:before="40" w:after="40"/>
              <w:ind w:left="284"/>
              <w:jc w:val="both"/>
              <w:rPr>
                <w:rFonts w:eastAsia="Times New Roman"/>
                <w:sz w:val="16"/>
                <w:szCs w:val="16"/>
                <w:lang w:val="es-ES"/>
              </w:rPr>
            </w:pPr>
            <w:r w:rsidRPr="0021273B">
              <w:rPr>
                <w:rFonts w:eastAsia="Times New Roman"/>
                <w:sz w:val="16"/>
                <w:szCs w:val="16"/>
                <w:lang w:val="es-ES"/>
              </w:rPr>
              <w:t>Asia (exc. China)</w:t>
            </w:r>
          </w:p>
        </w:tc>
        <w:tc>
          <w:tcPr>
            <w:tcW w:w="1134" w:type="dxa"/>
            <w:tcBorders>
              <w:left w:val="single" w:sz="4" w:space="0" w:color="auto"/>
              <w:right w:val="single" w:sz="4" w:space="0" w:color="auto"/>
            </w:tcBorders>
            <w:vAlign w:val="center"/>
          </w:tcPr>
          <w:p w14:paraId="6D1286FD"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3.9</w:t>
            </w:r>
          </w:p>
        </w:tc>
        <w:tc>
          <w:tcPr>
            <w:tcW w:w="992" w:type="dxa"/>
            <w:tcBorders>
              <w:left w:val="single" w:sz="4" w:space="0" w:color="auto"/>
              <w:right w:val="single" w:sz="4" w:space="0" w:color="auto"/>
            </w:tcBorders>
            <w:vAlign w:val="center"/>
          </w:tcPr>
          <w:p w14:paraId="7AD18EAB" w14:textId="77777777" w:rsidR="0021273B" w:rsidRPr="0021273B" w:rsidRDefault="0021273B" w:rsidP="00BB7F01">
            <w:pPr>
              <w:ind w:right="284"/>
              <w:jc w:val="right"/>
              <w:rPr>
                <w:rFonts w:eastAsia="Times New Roman"/>
                <w:sz w:val="16"/>
                <w:szCs w:val="16"/>
                <w:lang w:val="es-ES"/>
              </w:rPr>
            </w:pPr>
            <w:r w:rsidRPr="0021273B">
              <w:rPr>
                <w:rFonts w:eastAsia="Times New Roman"/>
                <w:sz w:val="16"/>
                <w:szCs w:val="16"/>
                <w:lang w:val="es-ES"/>
              </w:rPr>
              <w:t>3.7</w:t>
            </w:r>
          </w:p>
        </w:tc>
        <w:tc>
          <w:tcPr>
            <w:tcW w:w="1134" w:type="dxa"/>
            <w:tcBorders>
              <w:left w:val="single" w:sz="4" w:space="0" w:color="auto"/>
              <w:right w:val="single" w:sz="4" w:space="0" w:color="auto"/>
            </w:tcBorders>
            <w:vAlign w:val="center"/>
          </w:tcPr>
          <w:p w14:paraId="545B3293"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3.7</w:t>
            </w:r>
          </w:p>
        </w:tc>
        <w:tc>
          <w:tcPr>
            <w:tcW w:w="1134" w:type="dxa"/>
            <w:tcBorders>
              <w:left w:val="single" w:sz="4" w:space="0" w:color="auto"/>
              <w:right w:val="single" w:sz="4" w:space="0" w:color="auto"/>
            </w:tcBorders>
            <w:vAlign w:val="center"/>
          </w:tcPr>
          <w:p w14:paraId="49B0265D"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4.3</w:t>
            </w:r>
          </w:p>
        </w:tc>
        <w:tc>
          <w:tcPr>
            <w:tcW w:w="1134" w:type="dxa"/>
            <w:tcBorders>
              <w:left w:val="single" w:sz="4" w:space="0" w:color="auto"/>
              <w:right w:val="single" w:sz="4" w:space="0" w:color="auto"/>
            </w:tcBorders>
            <w:vAlign w:val="center"/>
          </w:tcPr>
          <w:p w14:paraId="05BCAC62"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4.4</w:t>
            </w:r>
          </w:p>
        </w:tc>
      </w:tr>
      <w:tr w:rsidR="0021273B" w:rsidRPr="0021273B" w14:paraId="1CB9C60D" w14:textId="77777777" w:rsidTr="006A662C">
        <w:trPr>
          <w:jc w:val="center"/>
        </w:trPr>
        <w:tc>
          <w:tcPr>
            <w:tcW w:w="3119" w:type="dxa"/>
            <w:tcBorders>
              <w:left w:val="single" w:sz="4" w:space="0" w:color="auto"/>
              <w:bottom w:val="single" w:sz="4" w:space="0" w:color="auto"/>
              <w:right w:val="single" w:sz="4" w:space="0" w:color="auto"/>
            </w:tcBorders>
            <w:vAlign w:val="center"/>
          </w:tcPr>
          <w:p w14:paraId="25694D37" w14:textId="77777777" w:rsidR="0021273B" w:rsidRPr="0021273B" w:rsidRDefault="0021273B" w:rsidP="0021273B">
            <w:pPr>
              <w:spacing w:before="40" w:after="40"/>
              <w:jc w:val="both"/>
              <w:rPr>
                <w:rFonts w:eastAsia="Times New Roman"/>
                <w:sz w:val="16"/>
                <w:szCs w:val="16"/>
                <w:lang w:val="es-ES"/>
              </w:rPr>
            </w:pPr>
            <w:r w:rsidRPr="0021273B">
              <w:rPr>
                <w:rFonts w:eastAsia="Times New Roman"/>
                <w:sz w:val="16"/>
                <w:szCs w:val="16"/>
                <w:lang w:val="es-ES"/>
              </w:rPr>
              <w:t>Mundo</w:t>
            </w:r>
          </w:p>
        </w:tc>
        <w:tc>
          <w:tcPr>
            <w:tcW w:w="1134" w:type="dxa"/>
            <w:tcBorders>
              <w:left w:val="single" w:sz="4" w:space="0" w:color="auto"/>
              <w:bottom w:val="single" w:sz="4" w:space="0" w:color="auto"/>
              <w:right w:val="single" w:sz="4" w:space="0" w:color="auto"/>
            </w:tcBorders>
            <w:vAlign w:val="center"/>
          </w:tcPr>
          <w:p w14:paraId="53C3F9E4"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3.3</w:t>
            </w:r>
          </w:p>
        </w:tc>
        <w:tc>
          <w:tcPr>
            <w:tcW w:w="992" w:type="dxa"/>
            <w:tcBorders>
              <w:left w:val="single" w:sz="4" w:space="0" w:color="auto"/>
              <w:bottom w:val="single" w:sz="4" w:space="0" w:color="auto"/>
              <w:right w:val="single" w:sz="4" w:space="0" w:color="auto"/>
            </w:tcBorders>
            <w:vAlign w:val="center"/>
          </w:tcPr>
          <w:p w14:paraId="20568189" w14:textId="77777777" w:rsidR="0021273B" w:rsidRPr="0021273B" w:rsidRDefault="0021273B" w:rsidP="00BB7F01">
            <w:pPr>
              <w:ind w:right="284"/>
              <w:jc w:val="right"/>
              <w:rPr>
                <w:rFonts w:eastAsia="Times New Roman"/>
                <w:sz w:val="16"/>
                <w:szCs w:val="16"/>
                <w:lang w:val="es-ES"/>
              </w:rPr>
            </w:pPr>
            <w:r w:rsidRPr="0021273B">
              <w:rPr>
                <w:rFonts w:eastAsia="Times New Roman"/>
                <w:sz w:val="16"/>
                <w:szCs w:val="16"/>
                <w:lang w:val="es-ES"/>
              </w:rPr>
              <w:t>3.2</w:t>
            </w:r>
          </w:p>
        </w:tc>
        <w:tc>
          <w:tcPr>
            <w:tcW w:w="1134" w:type="dxa"/>
            <w:tcBorders>
              <w:left w:val="single" w:sz="4" w:space="0" w:color="auto"/>
              <w:bottom w:val="single" w:sz="4" w:space="0" w:color="auto"/>
              <w:right w:val="single" w:sz="4" w:space="0" w:color="auto"/>
            </w:tcBorders>
            <w:vAlign w:val="center"/>
          </w:tcPr>
          <w:p w14:paraId="31B43937"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3.3</w:t>
            </w:r>
          </w:p>
        </w:tc>
        <w:tc>
          <w:tcPr>
            <w:tcW w:w="1134" w:type="dxa"/>
            <w:tcBorders>
              <w:left w:val="single" w:sz="4" w:space="0" w:color="auto"/>
              <w:bottom w:val="single" w:sz="4" w:space="0" w:color="auto"/>
              <w:right w:val="single" w:sz="4" w:space="0" w:color="auto"/>
            </w:tcBorders>
            <w:vAlign w:val="center"/>
          </w:tcPr>
          <w:p w14:paraId="6A03C1A7"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3.6</w:t>
            </w:r>
          </w:p>
        </w:tc>
        <w:tc>
          <w:tcPr>
            <w:tcW w:w="1134" w:type="dxa"/>
            <w:tcBorders>
              <w:left w:val="single" w:sz="4" w:space="0" w:color="auto"/>
              <w:bottom w:val="single" w:sz="4" w:space="0" w:color="auto"/>
              <w:right w:val="single" w:sz="4" w:space="0" w:color="auto"/>
            </w:tcBorders>
            <w:vAlign w:val="center"/>
          </w:tcPr>
          <w:p w14:paraId="2D29193B"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3.8</w:t>
            </w:r>
          </w:p>
        </w:tc>
      </w:tr>
      <w:tr w:rsidR="0021273B" w:rsidRPr="0021273B" w14:paraId="4430049E" w14:textId="77777777" w:rsidTr="006A662C">
        <w:trPr>
          <w:jc w:val="center"/>
        </w:trPr>
        <w:tc>
          <w:tcPr>
            <w:tcW w:w="8647" w:type="dxa"/>
            <w:gridSpan w:val="6"/>
            <w:tcBorders>
              <w:top w:val="single" w:sz="4" w:space="0" w:color="auto"/>
            </w:tcBorders>
          </w:tcPr>
          <w:p w14:paraId="1DEF9D7E" w14:textId="2054BEB4" w:rsidR="0021273B" w:rsidRPr="0021273B" w:rsidRDefault="0021273B" w:rsidP="0021273B">
            <w:pPr>
              <w:ind w:right="57"/>
              <w:jc w:val="both"/>
              <w:rPr>
                <w:rFonts w:eastAsia="Times New Roman"/>
                <w:sz w:val="18"/>
                <w:szCs w:val="14"/>
                <w:lang w:val="es-ES"/>
              </w:rPr>
            </w:pPr>
            <w:r w:rsidRPr="0021273B">
              <w:rPr>
                <w:rFonts w:eastAsia="Times New Roman"/>
                <w:sz w:val="18"/>
                <w:szCs w:val="14"/>
                <w:lang w:val="es-ES"/>
              </w:rPr>
              <w:t>*</w:t>
            </w:r>
            <w:r w:rsidR="00BB7F01">
              <w:rPr>
                <w:rFonts w:eastAsia="Times New Roman"/>
                <w:sz w:val="18"/>
                <w:szCs w:val="14"/>
                <w:lang w:val="es-ES"/>
              </w:rPr>
              <w:t xml:space="preserve">   </w:t>
            </w:r>
            <w:r w:rsidRPr="0021273B">
              <w:rPr>
                <w:rFonts w:eastAsia="Times New Roman"/>
                <w:sz w:val="18"/>
                <w:szCs w:val="14"/>
                <w:lang w:val="es-ES"/>
              </w:rPr>
              <w:t>Argentina, Brasil, Chile, Colombia, México, Perú, Venezuela.</w:t>
            </w:r>
          </w:p>
          <w:p w14:paraId="0C79AA2B" w14:textId="77777777" w:rsidR="0021273B" w:rsidRPr="0021273B" w:rsidRDefault="0021273B" w:rsidP="0021273B">
            <w:pPr>
              <w:ind w:right="57"/>
              <w:jc w:val="both"/>
              <w:rPr>
                <w:rFonts w:eastAsia="Times New Roman"/>
                <w:sz w:val="18"/>
                <w:szCs w:val="14"/>
                <w:lang w:val="es-ES"/>
              </w:rPr>
            </w:pPr>
            <w:r w:rsidRPr="0021273B">
              <w:rPr>
                <w:rFonts w:eastAsia="Times New Roman"/>
                <w:sz w:val="18"/>
                <w:szCs w:val="14"/>
                <w:lang w:val="es-ES"/>
              </w:rPr>
              <w:t>** Brasil, Corea, China, India, Indonesia, México, Rusia, Taiwán, Turquía.</w:t>
            </w:r>
          </w:p>
          <w:p w14:paraId="3281DA5C" w14:textId="77777777" w:rsidR="0021273B" w:rsidRPr="0021273B" w:rsidRDefault="0021273B" w:rsidP="0021273B">
            <w:pPr>
              <w:ind w:right="57"/>
              <w:jc w:val="both"/>
              <w:rPr>
                <w:rFonts w:eastAsia="Times New Roman"/>
                <w:sz w:val="18"/>
                <w:szCs w:val="14"/>
                <w:lang w:val="es-ES"/>
              </w:rPr>
            </w:pPr>
            <w:r w:rsidRPr="0021273B">
              <w:rPr>
                <w:rFonts w:eastAsia="Times New Roman"/>
                <w:sz w:val="18"/>
                <w:szCs w:val="14"/>
                <w:u w:val="single"/>
                <w:lang w:val="es-ES"/>
              </w:rPr>
              <w:t>e</w:t>
            </w:r>
            <w:r w:rsidRPr="0021273B">
              <w:rPr>
                <w:rFonts w:eastAsia="Times New Roman"/>
                <w:sz w:val="18"/>
                <w:szCs w:val="14"/>
                <w:lang w:val="es-ES"/>
              </w:rPr>
              <w:t>/ Estimaciones.</w:t>
            </w:r>
          </w:p>
          <w:p w14:paraId="3AA2D1BD" w14:textId="77777777" w:rsidR="0021273B" w:rsidRPr="0021273B" w:rsidRDefault="0021273B" w:rsidP="0021273B">
            <w:pPr>
              <w:ind w:right="57"/>
              <w:jc w:val="both"/>
              <w:rPr>
                <w:rFonts w:eastAsia="Times New Roman"/>
                <w:sz w:val="18"/>
                <w:szCs w:val="14"/>
                <w:lang w:val="es-ES"/>
              </w:rPr>
            </w:pPr>
            <w:r w:rsidRPr="0021273B">
              <w:rPr>
                <w:rFonts w:eastAsia="Times New Roman"/>
                <w:sz w:val="18"/>
                <w:szCs w:val="14"/>
                <w:lang w:val="es-ES"/>
              </w:rPr>
              <w:t>Fecha cierre de previsiones: 6 de febrero de 2015.</w:t>
            </w:r>
          </w:p>
          <w:p w14:paraId="13552318" w14:textId="77777777" w:rsidR="0021273B" w:rsidRPr="0021273B" w:rsidRDefault="0021273B" w:rsidP="0021273B">
            <w:pPr>
              <w:ind w:right="57"/>
              <w:jc w:val="both"/>
              <w:rPr>
                <w:rFonts w:eastAsia="Times New Roman"/>
                <w:sz w:val="18"/>
                <w:szCs w:val="14"/>
                <w:lang w:val="es-ES"/>
              </w:rPr>
            </w:pPr>
            <w:r w:rsidRPr="0021273B">
              <w:rPr>
                <w:rFonts w:eastAsia="Times New Roman"/>
                <w:sz w:val="18"/>
                <w:szCs w:val="14"/>
                <w:lang w:val="es-ES"/>
              </w:rPr>
              <w:t>FUENTE: BBVA Research.</w:t>
            </w:r>
          </w:p>
        </w:tc>
      </w:tr>
    </w:tbl>
    <w:p w14:paraId="012E0462" w14:textId="77777777" w:rsidR="0021273B" w:rsidRPr="0021273B" w:rsidRDefault="0021273B" w:rsidP="0021273B">
      <w:pPr>
        <w:spacing w:after="360" w:line="360" w:lineRule="auto"/>
        <w:ind w:right="-159"/>
        <w:jc w:val="both"/>
        <w:rPr>
          <w:rFonts w:eastAsia="Calibri"/>
          <w:sz w:val="26"/>
          <w:szCs w:val="26"/>
          <w:lang w:val="es-ES" w:eastAsia="en-US"/>
        </w:rPr>
      </w:pPr>
      <w:r w:rsidRPr="0021273B">
        <w:rPr>
          <w:rFonts w:eastAsia="Calibri"/>
          <w:sz w:val="26"/>
          <w:szCs w:val="26"/>
          <w:lang w:val="es-ES" w:eastAsia="en-US"/>
        </w:rPr>
        <w:t xml:space="preserve"> </w:t>
      </w:r>
    </w:p>
    <w:p w14:paraId="5D6AD50E" w14:textId="77777777" w:rsidR="0021273B" w:rsidRPr="0021273B" w:rsidRDefault="0021273B" w:rsidP="0021273B">
      <w:pPr>
        <w:spacing w:after="360" w:line="360" w:lineRule="auto"/>
        <w:ind w:right="-159"/>
        <w:jc w:val="both"/>
        <w:rPr>
          <w:rFonts w:eastAsia="Calibri"/>
          <w:sz w:val="26"/>
          <w:szCs w:val="26"/>
          <w:lang w:val="es-ES" w:eastAsia="en-US"/>
        </w:rPr>
      </w:pPr>
    </w:p>
    <w:p w14:paraId="667C4F6E" w14:textId="77777777" w:rsidR="0021273B" w:rsidRPr="0021273B" w:rsidRDefault="0021273B" w:rsidP="0021273B">
      <w:pPr>
        <w:spacing w:after="360" w:line="360" w:lineRule="auto"/>
        <w:ind w:right="-159"/>
        <w:jc w:val="both"/>
        <w:rPr>
          <w:rFonts w:eastAsia="Calibri"/>
          <w:sz w:val="26"/>
          <w:szCs w:val="26"/>
          <w:lang w:val="es-ES" w:eastAsia="en-US"/>
        </w:rPr>
      </w:pPr>
    </w:p>
    <w:p w14:paraId="4A000FFE" w14:textId="77777777" w:rsidR="0021273B" w:rsidRPr="0021273B" w:rsidRDefault="0021273B" w:rsidP="0021273B">
      <w:pPr>
        <w:spacing w:after="360" w:line="360" w:lineRule="auto"/>
        <w:ind w:right="-159"/>
        <w:jc w:val="both"/>
        <w:rPr>
          <w:rFonts w:eastAsia="Calibri"/>
          <w:sz w:val="26"/>
          <w:szCs w:val="26"/>
          <w:lang w:val="es-ES" w:eastAsia="en-US"/>
        </w:rPr>
      </w:pPr>
    </w:p>
    <w:p w14:paraId="7F7265BA" w14:textId="77777777" w:rsidR="0021273B" w:rsidRPr="0021273B" w:rsidRDefault="0021273B" w:rsidP="0021273B">
      <w:pPr>
        <w:spacing w:after="360" w:line="360" w:lineRule="auto"/>
        <w:ind w:right="-159"/>
        <w:jc w:val="both"/>
        <w:rPr>
          <w:rFonts w:eastAsia="Calibri"/>
          <w:sz w:val="26"/>
          <w:szCs w:val="26"/>
          <w:lang w:val="es-ES" w:eastAsia="en-US"/>
        </w:rPr>
      </w:pPr>
    </w:p>
    <w:p w14:paraId="62B58455" w14:textId="77777777" w:rsidR="0021273B" w:rsidRPr="0021273B" w:rsidRDefault="0021273B" w:rsidP="0021273B">
      <w:pPr>
        <w:spacing w:after="360" w:line="360" w:lineRule="auto"/>
        <w:ind w:right="-159"/>
        <w:jc w:val="both"/>
        <w:rPr>
          <w:rFonts w:eastAsia="Calibri"/>
          <w:sz w:val="26"/>
          <w:szCs w:val="26"/>
          <w:lang w:val="es-ES" w:eastAsia="en-US"/>
        </w:rPr>
      </w:pPr>
    </w:p>
    <w:p w14:paraId="68A2A324" w14:textId="77777777" w:rsidR="0021273B" w:rsidRPr="0021273B" w:rsidRDefault="0021273B" w:rsidP="0021273B">
      <w:pPr>
        <w:spacing w:after="360" w:line="360" w:lineRule="auto"/>
        <w:ind w:right="-159"/>
        <w:jc w:val="both"/>
        <w:rPr>
          <w:rFonts w:eastAsia="Calibri"/>
          <w:sz w:val="26"/>
          <w:szCs w:val="26"/>
          <w:lang w:val="es-ES" w:eastAsia="en-US"/>
        </w:rPr>
      </w:pPr>
    </w:p>
    <w:p w14:paraId="42599C5B" w14:textId="77777777" w:rsidR="0021273B" w:rsidRPr="0021273B" w:rsidRDefault="0021273B" w:rsidP="0021273B">
      <w:pPr>
        <w:spacing w:after="360" w:line="360" w:lineRule="auto"/>
        <w:ind w:right="-159"/>
        <w:jc w:val="both"/>
        <w:rPr>
          <w:rFonts w:eastAsia="Calibri"/>
          <w:sz w:val="26"/>
          <w:szCs w:val="26"/>
          <w:lang w:val="es-ES" w:eastAsia="en-US"/>
        </w:rPr>
      </w:pPr>
    </w:p>
    <w:tbl>
      <w:tblPr>
        <w:tblW w:w="8505" w:type="dxa"/>
        <w:jc w:val="center"/>
        <w:tblLook w:val="01E0" w:firstRow="1" w:lastRow="1" w:firstColumn="1" w:lastColumn="1" w:noHBand="0" w:noVBand="0"/>
      </w:tblPr>
      <w:tblGrid>
        <w:gridCol w:w="2977"/>
        <w:gridCol w:w="1134"/>
        <w:gridCol w:w="992"/>
        <w:gridCol w:w="1134"/>
        <w:gridCol w:w="1134"/>
        <w:gridCol w:w="1134"/>
      </w:tblGrid>
      <w:tr w:rsidR="0021273B" w:rsidRPr="0021273B" w14:paraId="068FD34D" w14:textId="77777777" w:rsidTr="006A662C">
        <w:trPr>
          <w:jc w:val="center"/>
        </w:trPr>
        <w:tc>
          <w:tcPr>
            <w:tcW w:w="8505" w:type="dxa"/>
            <w:gridSpan w:val="6"/>
            <w:tcBorders>
              <w:bottom w:val="single" w:sz="4" w:space="0" w:color="auto"/>
            </w:tcBorders>
          </w:tcPr>
          <w:p w14:paraId="02D027B4" w14:textId="77777777" w:rsidR="0021273B" w:rsidRPr="0021273B" w:rsidRDefault="0021273B" w:rsidP="0021273B">
            <w:pPr>
              <w:jc w:val="center"/>
              <w:rPr>
                <w:rFonts w:eastAsia="Times New Roman"/>
                <w:b/>
                <w:sz w:val="20"/>
                <w:szCs w:val="14"/>
                <w:lang w:val="es-ES"/>
              </w:rPr>
            </w:pPr>
            <w:r w:rsidRPr="0021273B">
              <w:rPr>
                <w:rFonts w:eastAsia="Times New Roman"/>
                <w:b/>
                <w:sz w:val="20"/>
                <w:szCs w:val="14"/>
                <w:lang w:val="es-ES"/>
              </w:rPr>
              <w:lastRenderedPageBreak/>
              <w:t>PREVISIONES MACROECONÓMICAS: INFLACIÓN (PROMEDIO)</w:t>
            </w:r>
          </w:p>
        </w:tc>
      </w:tr>
      <w:tr w:rsidR="0021273B" w:rsidRPr="0021273B" w14:paraId="68B75375" w14:textId="77777777" w:rsidTr="006A662C">
        <w:trPr>
          <w:jc w:val="center"/>
        </w:trPr>
        <w:tc>
          <w:tcPr>
            <w:tcW w:w="2977" w:type="dxa"/>
            <w:tcBorders>
              <w:top w:val="single" w:sz="4" w:space="0" w:color="auto"/>
              <w:left w:val="single" w:sz="4" w:space="0" w:color="auto"/>
              <w:right w:val="single" w:sz="4" w:space="0" w:color="auto"/>
            </w:tcBorders>
            <w:vAlign w:val="center"/>
          </w:tcPr>
          <w:p w14:paraId="56A9D936" w14:textId="741E8D74" w:rsidR="0021273B" w:rsidRPr="0021273B" w:rsidRDefault="006A662C" w:rsidP="006A662C">
            <w:pPr>
              <w:spacing w:before="40" w:after="40"/>
              <w:jc w:val="center"/>
              <w:rPr>
                <w:rFonts w:eastAsia="Times New Roman"/>
                <w:b/>
                <w:sz w:val="16"/>
                <w:szCs w:val="16"/>
                <w:lang w:val="es-ES"/>
              </w:rPr>
            </w:pPr>
            <w:r>
              <w:rPr>
                <w:rFonts w:eastAsia="Times New Roman"/>
                <w:b/>
                <w:sz w:val="16"/>
                <w:szCs w:val="16"/>
                <w:lang w:val="es-ES"/>
              </w:rPr>
              <w:t>-</w:t>
            </w:r>
            <w:r w:rsidR="0021273B" w:rsidRPr="0021273B">
              <w:rPr>
                <w:rFonts w:eastAsia="Times New Roman"/>
                <w:b/>
                <w:sz w:val="16"/>
                <w:szCs w:val="16"/>
                <w:lang w:val="es-ES"/>
              </w:rPr>
              <w:t xml:space="preserve">Tasas anuales, </w:t>
            </w:r>
            <w:r>
              <w:rPr>
                <w:rFonts w:eastAsia="Times New Roman"/>
                <w:b/>
                <w:sz w:val="16"/>
                <w:szCs w:val="16"/>
                <w:lang w:val="es-ES"/>
              </w:rPr>
              <w:t>Porcentaje-</w:t>
            </w:r>
          </w:p>
        </w:tc>
        <w:tc>
          <w:tcPr>
            <w:tcW w:w="1134" w:type="dxa"/>
            <w:tcBorders>
              <w:top w:val="single" w:sz="4" w:space="0" w:color="auto"/>
              <w:left w:val="single" w:sz="4" w:space="0" w:color="auto"/>
              <w:right w:val="single" w:sz="4" w:space="0" w:color="auto"/>
            </w:tcBorders>
            <w:vAlign w:val="center"/>
          </w:tcPr>
          <w:p w14:paraId="4CFECBD7" w14:textId="77777777" w:rsidR="0021273B" w:rsidRPr="0021273B" w:rsidRDefault="0021273B" w:rsidP="0021273B">
            <w:pPr>
              <w:jc w:val="center"/>
              <w:rPr>
                <w:rFonts w:eastAsia="Times New Roman"/>
                <w:b/>
                <w:sz w:val="16"/>
                <w:szCs w:val="16"/>
                <w:lang w:val="es-ES"/>
              </w:rPr>
            </w:pPr>
            <w:r w:rsidRPr="0021273B">
              <w:rPr>
                <w:rFonts w:eastAsia="Times New Roman"/>
                <w:b/>
                <w:sz w:val="16"/>
                <w:szCs w:val="16"/>
                <w:lang w:val="es-ES"/>
              </w:rPr>
              <w:t>2012</w:t>
            </w:r>
          </w:p>
        </w:tc>
        <w:tc>
          <w:tcPr>
            <w:tcW w:w="992" w:type="dxa"/>
            <w:tcBorders>
              <w:top w:val="single" w:sz="4" w:space="0" w:color="auto"/>
              <w:left w:val="single" w:sz="4" w:space="0" w:color="auto"/>
              <w:right w:val="single" w:sz="4" w:space="0" w:color="auto"/>
            </w:tcBorders>
            <w:vAlign w:val="center"/>
          </w:tcPr>
          <w:p w14:paraId="65DEE2DA" w14:textId="77777777" w:rsidR="0021273B" w:rsidRPr="0021273B" w:rsidRDefault="0021273B" w:rsidP="0021273B">
            <w:pPr>
              <w:jc w:val="center"/>
              <w:rPr>
                <w:rFonts w:eastAsia="Times New Roman"/>
                <w:b/>
                <w:sz w:val="16"/>
                <w:szCs w:val="16"/>
                <w:lang w:val="es-ES"/>
              </w:rPr>
            </w:pPr>
            <w:r w:rsidRPr="0021273B">
              <w:rPr>
                <w:rFonts w:eastAsia="Times New Roman"/>
                <w:b/>
                <w:sz w:val="16"/>
                <w:szCs w:val="16"/>
                <w:lang w:val="es-ES"/>
              </w:rPr>
              <w:t>2013</w:t>
            </w:r>
          </w:p>
        </w:tc>
        <w:tc>
          <w:tcPr>
            <w:tcW w:w="1134" w:type="dxa"/>
            <w:tcBorders>
              <w:top w:val="single" w:sz="4" w:space="0" w:color="auto"/>
              <w:left w:val="single" w:sz="4" w:space="0" w:color="auto"/>
              <w:right w:val="single" w:sz="4" w:space="0" w:color="auto"/>
            </w:tcBorders>
            <w:vAlign w:val="center"/>
          </w:tcPr>
          <w:p w14:paraId="32B1A6AE" w14:textId="77777777" w:rsidR="0021273B" w:rsidRPr="0021273B" w:rsidRDefault="0021273B" w:rsidP="0021273B">
            <w:pPr>
              <w:jc w:val="center"/>
              <w:rPr>
                <w:rFonts w:eastAsia="Times New Roman"/>
                <w:b/>
                <w:sz w:val="16"/>
                <w:szCs w:val="16"/>
                <w:lang w:val="es-ES"/>
              </w:rPr>
            </w:pPr>
            <w:r w:rsidRPr="0021273B">
              <w:rPr>
                <w:rFonts w:eastAsia="Times New Roman"/>
                <w:b/>
                <w:sz w:val="16"/>
                <w:szCs w:val="16"/>
                <w:lang w:val="es-ES"/>
              </w:rPr>
              <w:t>2014</w:t>
            </w:r>
          </w:p>
        </w:tc>
        <w:tc>
          <w:tcPr>
            <w:tcW w:w="1134" w:type="dxa"/>
            <w:tcBorders>
              <w:top w:val="single" w:sz="4" w:space="0" w:color="auto"/>
              <w:left w:val="single" w:sz="4" w:space="0" w:color="auto"/>
              <w:right w:val="single" w:sz="4" w:space="0" w:color="auto"/>
            </w:tcBorders>
            <w:vAlign w:val="center"/>
          </w:tcPr>
          <w:p w14:paraId="645420C0" w14:textId="77777777" w:rsidR="0021273B" w:rsidRPr="0021273B" w:rsidRDefault="0021273B" w:rsidP="0021273B">
            <w:pPr>
              <w:jc w:val="center"/>
              <w:rPr>
                <w:rFonts w:eastAsia="Times New Roman"/>
                <w:b/>
                <w:sz w:val="16"/>
                <w:szCs w:val="16"/>
                <w:lang w:val="es-ES"/>
              </w:rPr>
            </w:pPr>
            <w:r w:rsidRPr="0021273B">
              <w:rPr>
                <w:rFonts w:eastAsia="Times New Roman"/>
                <w:b/>
                <w:sz w:val="16"/>
                <w:szCs w:val="16"/>
                <w:lang w:val="es-ES"/>
              </w:rPr>
              <w:t>2015</w:t>
            </w:r>
            <w:r w:rsidRPr="0021273B">
              <w:rPr>
                <w:rFonts w:eastAsia="Times New Roman"/>
                <w:b/>
                <w:sz w:val="16"/>
                <w:szCs w:val="16"/>
                <w:u w:val="single"/>
                <w:vertAlign w:val="superscript"/>
                <w:lang w:val="es-ES"/>
              </w:rPr>
              <w:t>e</w:t>
            </w:r>
            <w:r w:rsidRPr="0021273B">
              <w:rPr>
                <w:rFonts w:eastAsia="Times New Roman"/>
                <w:b/>
                <w:sz w:val="16"/>
                <w:szCs w:val="16"/>
                <w:vertAlign w:val="superscript"/>
                <w:lang w:val="es-ES"/>
              </w:rPr>
              <w:t>/</w:t>
            </w:r>
          </w:p>
        </w:tc>
        <w:tc>
          <w:tcPr>
            <w:tcW w:w="1134" w:type="dxa"/>
            <w:tcBorders>
              <w:top w:val="single" w:sz="4" w:space="0" w:color="auto"/>
              <w:left w:val="single" w:sz="4" w:space="0" w:color="auto"/>
              <w:right w:val="single" w:sz="4" w:space="0" w:color="auto"/>
            </w:tcBorders>
            <w:vAlign w:val="center"/>
          </w:tcPr>
          <w:p w14:paraId="0A7940CB" w14:textId="77777777" w:rsidR="0021273B" w:rsidRPr="0021273B" w:rsidRDefault="0021273B" w:rsidP="0021273B">
            <w:pPr>
              <w:jc w:val="center"/>
              <w:rPr>
                <w:rFonts w:eastAsia="Times New Roman"/>
                <w:b/>
                <w:sz w:val="16"/>
                <w:szCs w:val="16"/>
                <w:lang w:val="es-ES"/>
              </w:rPr>
            </w:pPr>
            <w:r w:rsidRPr="0021273B">
              <w:rPr>
                <w:rFonts w:eastAsia="Times New Roman"/>
                <w:b/>
                <w:sz w:val="16"/>
                <w:szCs w:val="16"/>
                <w:lang w:val="es-ES"/>
              </w:rPr>
              <w:t>2016</w:t>
            </w:r>
            <w:r w:rsidRPr="0021273B">
              <w:rPr>
                <w:rFonts w:eastAsia="Times New Roman"/>
                <w:b/>
                <w:sz w:val="16"/>
                <w:szCs w:val="16"/>
                <w:u w:val="single"/>
                <w:vertAlign w:val="superscript"/>
                <w:lang w:val="es-ES"/>
              </w:rPr>
              <w:t>e</w:t>
            </w:r>
            <w:r w:rsidRPr="0021273B">
              <w:rPr>
                <w:rFonts w:eastAsia="Times New Roman"/>
                <w:b/>
                <w:sz w:val="16"/>
                <w:szCs w:val="16"/>
                <w:vertAlign w:val="superscript"/>
                <w:lang w:val="es-ES"/>
              </w:rPr>
              <w:t>/</w:t>
            </w:r>
          </w:p>
        </w:tc>
      </w:tr>
      <w:tr w:rsidR="0021273B" w:rsidRPr="0021273B" w14:paraId="3F8CD75C" w14:textId="77777777" w:rsidTr="006A662C">
        <w:trPr>
          <w:jc w:val="center"/>
        </w:trPr>
        <w:tc>
          <w:tcPr>
            <w:tcW w:w="2977" w:type="dxa"/>
            <w:tcBorders>
              <w:top w:val="single" w:sz="4" w:space="0" w:color="auto"/>
              <w:left w:val="single" w:sz="4" w:space="0" w:color="auto"/>
              <w:right w:val="single" w:sz="4" w:space="0" w:color="auto"/>
            </w:tcBorders>
            <w:vAlign w:val="center"/>
          </w:tcPr>
          <w:p w14:paraId="5C0993AF" w14:textId="77777777" w:rsidR="0021273B" w:rsidRPr="0021273B" w:rsidRDefault="0021273B" w:rsidP="0021273B">
            <w:pPr>
              <w:spacing w:before="40" w:after="40"/>
              <w:jc w:val="both"/>
              <w:rPr>
                <w:rFonts w:eastAsia="Times New Roman"/>
                <w:sz w:val="16"/>
                <w:szCs w:val="16"/>
                <w:lang w:val="es-ES"/>
              </w:rPr>
            </w:pPr>
            <w:r w:rsidRPr="0021273B">
              <w:rPr>
                <w:rFonts w:eastAsia="Times New Roman"/>
                <w:sz w:val="16"/>
                <w:szCs w:val="16"/>
                <w:lang w:val="es-ES"/>
              </w:rPr>
              <w:t>Estados Unidos de Norteamérica</w:t>
            </w:r>
          </w:p>
        </w:tc>
        <w:tc>
          <w:tcPr>
            <w:tcW w:w="1134" w:type="dxa"/>
            <w:tcBorders>
              <w:top w:val="single" w:sz="4" w:space="0" w:color="auto"/>
              <w:left w:val="single" w:sz="4" w:space="0" w:color="auto"/>
              <w:right w:val="single" w:sz="4" w:space="0" w:color="auto"/>
            </w:tcBorders>
            <w:vAlign w:val="center"/>
          </w:tcPr>
          <w:p w14:paraId="767374CA"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2.1</w:t>
            </w:r>
          </w:p>
        </w:tc>
        <w:tc>
          <w:tcPr>
            <w:tcW w:w="992" w:type="dxa"/>
            <w:tcBorders>
              <w:top w:val="single" w:sz="4" w:space="0" w:color="auto"/>
              <w:left w:val="single" w:sz="4" w:space="0" w:color="auto"/>
              <w:right w:val="single" w:sz="4" w:space="0" w:color="auto"/>
            </w:tcBorders>
            <w:vAlign w:val="center"/>
          </w:tcPr>
          <w:p w14:paraId="46546FE1" w14:textId="77777777" w:rsidR="0021273B" w:rsidRPr="0021273B" w:rsidRDefault="0021273B" w:rsidP="00BB7F01">
            <w:pPr>
              <w:jc w:val="center"/>
              <w:rPr>
                <w:rFonts w:eastAsia="Times New Roman"/>
                <w:sz w:val="16"/>
                <w:szCs w:val="16"/>
                <w:lang w:val="es-ES"/>
              </w:rPr>
            </w:pPr>
            <w:r w:rsidRPr="0021273B">
              <w:rPr>
                <w:rFonts w:eastAsia="Times New Roman"/>
                <w:sz w:val="16"/>
                <w:szCs w:val="16"/>
                <w:lang w:val="es-ES"/>
              </w:rPr>
              <w:t>1.5</w:t>
            </w:r>
          </w:p>
        </w:tc>
        <w:tc>
          <w:tcPr>
            <w:tcW w:w="1134" w:type="dxa"/>
            <w:tcBorders>
              <w:top w:val="single" w:sz="4" w:space="0" w:color="auto"/>
              <w:left w:val="single" w:sz="4" w:space="0" w:color="auto"/>
              <w:right w:val="single" w:sz="4" w:space="0" w:color="auto"/>
            </w:tcBorders>
            <w:vAlign w:val="center"/>
          </w:tcPr>
          <w:p w14:paraId="3054E660"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1.6</w:t>
            </w:r>
          </w:p>
        </w:tc>
        <w:tc>
          <w:tcPr>
            <w:tcW w:w="1134" w:type="dxa"/>
            <w:tcBorders>
              <w:top w:val="single" w:sz="4" w:space="0" w:color="auto"/>
              <w:left w:val="single" w:sz="4" w:space="0" w:color="auto"/>
              <w:right w:val="single" w:sz="4" w:space="0" w:color="auto"/>
            </w:tcBorders>
            <w:vAlign w:val="center"/>
          </w:tcPr>
          <w:p w14:paraId="4416D055"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0.6</w:t>
            </w:r>
          </w:p>
        </w:tc>
        <w:tc>
          <w:tcPr>
            <w:tcW w:w="1134" w:type="dxa"/>
            <w:tcBorders>
              <w:top w:val="single" w:sz="4" w:space="0" w:color="auto"/>
              <w:left w:val="single" w:sz="4" w:space="0" w:color="auto"/>
              <w:right w:val="single" w:sz="4" w:space="0" w:color="auto"/>
            </w:tcBorders>
            <w:vAlign w:val="center"/>
          </w:tcPr>
          <w:p w14:paraId="3A433674"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2.0</w:t>
            </w:r>
          </w:p>
        </w:tc>
      </w:tr>
      <w:tr w:rsidR="0021273B" w:rsidRPr="0021273B" w14:paraId="751DDFAF" w14:textId="77777777" w:rsidTr="006A662C">
        <w:trPr>
          <w:jc w:val="center"/>
        </w:trPr>
        <w:tc>
          <w:tcPr>
            <w:tcW w:w="2977" w:type="dxa"/>
            <w:tcBorders>
              <w:left w:val="single" w:sz="4" w:space="0" w:color="auto"/>
              <w:right w:val="single" w:sz="4" w:space="0" w:color="auto"/>
            </w:tcBorders>
            <w:vAlign w:val="center"/>
          </w:tcPr>
          <w:p w14:paraId="192EA862" w14:textId="77777777" w:rsidR="0021273B" w:rsidRPr="0021273B" w:rsidRDefault="0021273B" w:rsidP="0021273B">
            <w:pPr>
              <w:spacing w:before="40" w:after="40"/>
              <w:jc w:val="both"/>
              <w:rPr>
                <w:rFonts w:eastAsia="Times New Roman"/>
                <w:sz w:val="16"/>
                <w:szCs w:val="16"/>
                <w:lang w:val="es-ES"/>
              </w:rPr>
            </w:pPr>
            <w:r w:rsidRPr="0021273B">
              <w:rPr>
                <w:rFonts w:eastAsia="Times New Roman"/>
                <w:sz w:val="16"/>
                <w:szCs w:val="16"/>
                <w:lang w:val="es-ES"/>
              </w:rPr>
              <w:t>Unión Económica y Monetaria</w:t>
            </w:r>
          </w:p>
        </w:tc>
        <w:tc>
          <w:tcPr>
            <w:tcW w:w="1134" w:type="dxa"/>
            <w:tcBorders>
              <w:left w:val="single" w:sz="4" w:space="0" w:color="auto"/>
              <w:right w:val="single" w:sz="4" w:space="0" w:color="auto"/>
            </w:tcBorders>
            <w:vAlign w:val="center"/>
          </w:tcPr>
          <w:p w14:paraId="2DFE87C7"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2.5</w:t>
            </w:r>
          </w:p>
        </w:tc>
        <w:tc>
          <w:tcPr>
            <w:tcW w:w="992" w:type="dxa"/>
            <w:tcBorders>
              <w:left w:val="single" w:sz="4" w:space="0" w:color="auto"/>
              <w:right w:val="single" w:sz="4" w:space="0" w:color="auto"/>
            </w:tcBorders>
            <w:vAlign w:val="center"/>
          </w:tcPr>
          <w:p w14:paraId="18AB9E69" w14:textId="77777777" w:rsidR="0021273B" w:rsidRPr="0021273B" w:rsidRDefault="0021273B" w:rsidP="00BB7F01">
            <w:pPr>
              <w:jc w:val="center"/>
              <w:rPr>
                <w:rFonts w:eastAsia="Times New Roman"/>
                <w:sz w:val="16"/>
                <w:szCs w:val="16"/>
                <w:lang w:val="es-ES"/>
              </w:rPr>
            </w:pPr>
            <w:r w:rsidRPr="0021273B">
              <w:rPr>
                <w:rFonts w:eastAsia="Times New Roman"/>
                <w:sz w:val="16"/>
                <w:szCs w:val="16"/>
                <w:lang w:val="es-ES"/>
              </w:rPr>
              <w:t>1.4</w:t>
            </w:r>
          </w:p>
        </w:tc>
        <w:tc>
          <w:tcPr>
            <w:tcW w:w="1134" w:type="dxa"/>
            <w:tcBorders>
              <w:left w:val="single" w:sz="4" w:space="0" w:color="auto"/>
              <w:right w:val="single" w:sz="4" w:space="0" w:color="auto"/>
            </w:tcBorders>
            <w:vAlign w:val="center"/>
          </w:tcPr>
          <w:p w14:paraId="0AE8CFB4" w14:textId="476F5BE0" w:rsidR="0021273B" w:rsidRPr="0021273B" w:rsidRDefault="00D63928" w:rsidP="00D63928">
            <w:pPr>
              <w:ind w:right="340"/>
              <w:jc w:val="right"/>
              <w:rPr>
                <w:rFonts w:eastAsia="Times New Roman"/>
                <w:sz w:val="16"/>
                <w:szCs w:val="16"/>
                <w:lang w:val="es-ES"/>
              </w:rPr>
            </w:pPr>
            <w:r>
              <w:rPr>
                <w:rFonts w:eastAsia="Times New Roman"/>
                <w:sz w:val="16"/>
                <w:szCs w:val="16"/>
                <w:lang w:val="es-ES"/>
              </w:rPr>
              <w:t>0</w:t>
            </w:r>
            <w:r w:rsidR="0021273B" w:rsidRPr="0021273B">
              <w:rPr>
                <w:rFonts w:eastAsia="Times New Roman"/>
                <w:sz w:val="16"/>
                <w:szCs w:val="16"/>
                <w:lang w:val="es-ES"/>
              </w:rPr>
              <w:t>.4</w:t>
            </w:r>
          </w:p>
        </w:tc>
        <w:tc>
          <w:tcPr>
            <w:tcW w:w="1134" w:type="dxa"/>
            <w:tcBorders>
              <w:left w:val="single" w:sz="4" w:space="0" w:color="auto"/>
              <w:right w:val="single" w:sz="4" w:space="0" w:color="auto"/>
            </w:tcBorders>
            <w:vAlign w:val="center"/>
          </w:tcPr>
          <w:p w14:paraId="2074F0A7"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0.1</w:t>
            </w:r>
          </w:p>
        </w:tc>
        <w:tc>
          <w:tcPr>
            <w:tcW w:w="1134" w:type="dxa"/>
            <w:tcBorders>
              <w:left w:val="single" w:sz="4" w:space="0" w:color="auto"/>
              <w:right w:val="single" w:sz="4" w:space="0" w:color="auto"/>
            </w:tcBorders>
            <w:vAlign w:val="center"/>
          </w:tcPr>
          <w:p w14:paraId="4140FC5A"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1.0</w:t>
            </w:r>
          </w:p>
        </w:tc>
      </w:tr>
      <w:tr w:rsidR="0021273B" w:rsidRPr="0021273B" w14:paraId="3F785E91" w14:textId="77777777" w:rsidTr="006A662C">
        <w:trPr>
          <w:jc w:val="center"/>
        </w:trPr>
        <w:tc>
          <w:tcPr>
            <w:tcW w:w="2977" w:type="dxa"/>
            <w:tcBorders>
              <w:left w:val="single" w:sz="4" w:space="0" w:color="auto"/>
              <w:right w:val="single" w:sz="4" w:space="0" w:color="auto"/>
            </w:tcBorders>
            <w:vAlign w:val="center"/>
          </w:tcPr>
          <w:p w14:paraId="161B385C" w14:textId="77777777" w:rsidR="0021273B" w:rsidRPr="0021273B" w:rsidRDefault="0021273B" w:rsidP="0021273B">
            <w:pPr>
              <w:spacing w:before="40" w:after="40"/>
              <w:ind w:left="284"/>
              <w:jc w:val="both"/>
              <w:rPr>
                <w:rFonts w:eastAsia="Times New Roman"/>
                <w:sz w:val="16"/>
                <w:szCs w:val="16"/>
                <w:lang w:val="es-ES"/>
              </w:rPr>
            </w:pPr>
            <w:r w:rsidRPr="0021273B">
              <w:rPr>
                <w:rFonts w:eastAsia="Times New Roman"/>
                <w:sz w:val="16"/>
                <w:szCs w:val="16"/>
                <w:lang w:val="es-ES"/>
              </w:rPr>
              <w:t>Alemania</w:t>
            </w:r>
          </w:p>
        </w:tc>
        <w:tc>
          <w:tcPr>
            <w:tcW w:w="1134" w:type="dxa"/>
            <w:tcBorders>
              <w:left w:val="single" w:sz="4" w:space="0" w:color="auto"/>
              <w:right w:val="single" w:sz="4" w:space="0" w:color="auto"/>
            </w:tcBorders>
            <w:vAlign w:val="center"/>
          </w:tcPr>
          <w:p w14:paraId="2D4DD799"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2.1</w:t>
            </w:r>
          </w:p>
        </w:tc>
        <w:tc>
          <w:tcPr>
            <w:tcW w:w="992" w:type="dxa"/>
            <w:tcBorders>
              <w:left w:val="single" w:sz="4" w:space="0" w:color="auto"/>
              <w:right w:val="single" w:sz="4" w:space="0" w:color="auto"/>
            </w:tcBorders>
            <w:vAlign w:val="center"/>
          </w:tcPr>
          <w:p w14:paraId="1E54C893" w14:textId="77777777" w:rsidR="0021273B" w:rsidRPr="0021273B" w:rsidRDefault="0021273B" w:rsidP="00BB7F01">
            <w:pPr>
              <w:jc w:val="center"/>
              <w:rPr>
                <w:rFonts w:eastAsia="Times New Roman"/>
                <w:sz w:val="16"/>
                <w:szCs w:val="16"/>
                <w:lang w:val="es-ES"/>
              </w:rPr>
            </w:pPr>
            <w:r w:rsidRPr="0021273B">
              <w:rPr>
                <w:rFonts w:eastAsia="Times New Roman"/>
                <w:sz w:val="16"/>
                <w:szCs w:val="16"/>
                <w:lang w:val="es-ES"/>
              </w:rPr>
              <w:t>1.6</w:t>
            </w:r>
          </w:p>
        </w:tc>
        <w:tc>
          <w:tcPr>
            <w:tcW w:w="1134" w:type="dxa"/>
            <w:tcBorders>
              <w:left w:val="single" w:sz="4" w:space="0" w:color="auto"/>
              <w:right w:val="single" w:sz="4" w:space="0" w:color="auto"/>
            </w:tcBorders>
            <w:vAlign w:val="center"/>
          </w:tcPr>
          <w:p w14:paraId="359F6786"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0.8</w:t>
            </w:r>
          </w:p>
        </w:tc>
        <w:tc>
          <w:tcPr>
            <w:tcW w:w="1134" w:type="dxa"/>
            <w:tcBorders>
              <w:left w:val="single" w:sz="4" w:space="0" w:color="auto"/>
              <w:right w:val="single" w:sz="4" w:space="0" w:color="auto"/>
            </w:tcBorders>
            <w:vAlign w:val="center"/>
          </w:tcPr>
          <w:p w14:paraId="3F535B64"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0.3</w:t>
            </w:r>
          </w:p>
        </w:tc>
        <w:tc>
          <w:tcPr>
            <w:tcW w:w="1134" w:type="dxa"/>
            <w:tcBorders>
              <w:left w:val="single" w:sz="4" w:space="0" w:color="auto"/>
              <w:right w:val="single" w:sz="4" w:space="0" w:color="auto"/>
            </w:tcBorders>
            <w:vAlign w:val="center"/>
          </w:tcPr>
          <w:p w14:paraId="7BE5F1C0"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1.1</w:t>
            </w:r>
          </w:p>
        </w:tc>
      </w:tr>
      <w:tr w:rsidR="0021273B" w:rsidRPr="0021273B" w14:paraId="2A5BCB04" w14:textId="77777777" w:rsidTr="006A662C">
        <w:trPr>
          <w:jc w:val="center"/>
        </w:trPr>
        <w:tc>
          <w:tcPr>
            <w:tcW w:w="2977" w:type="dxa"/>
            <w:tcBorders>
              <w:left w:val="single" w:sz="4" w:space="0" w:color="auto"/>
              <w:right w:val="single" w:sz="4" w:space="0" w:color="auto"/>
            </w:tcBorders>
            <w:vAlign w:val="center"/>
          </w:tcPr>
          <w:p w14:paraId="07D0B86C" w14:textId="77777777" w:rsidR="0021273B" w:rsidRPr="0021273B" w:rsidRDefault="0021273B" w:rsidP="0021273B">
            <w:pPr>
              <w:spacing w:before="40" w:after="40"/>
              <w:ind w:left="284"/>
              <w:jc w:val="both"/>
              <w:rPr>
                <w:rFonts w:eastAsia="Times New Roman"/>
                <w:sz w:val="16"/>
                <w:szCs w:val="16"/>
                <w:lang w:val="es-ES"/>
              </w:rPr>
            </w:pPr>
            <w:r w:rsidRPr="0021273B">
              <w:rPr>
                <w:rFonts w:eastAsia="Times New Roman"/>
                <w:sz w:val="16"/>
                <w:szCs w:val="16"/>
                <w:lang w:val="es-ES"/>
              </w:rPr>
              <w:t>Francia</w:t>
            </w:r>
          </w:p>
        </w:tc>
        <w:tc>
          <w:tcPr>
            <w:tcW w:w="1134" w:type="dxa"/>
            <w:tcBorders>
              <w:left w:val="single" w:sz="4" w:space="0" w:color="auto"/>
              <w:right w:val="single" w:sz="4" w:space="0" w:color="auto"/>
            </w:tcBorders>
            <w:vAlign w:val="center"/>
          </w:tcPr>
          <w:p w14:paraId="6D3FAF3E"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2.2</w:t>
            </w:r>
          </w:p>
        </w:tc>
        <w:tc>
          <w:tcPr>
            <w:tcW w:w="992" w:type="dxa"/>
            <w:tcBorders>
              <w:left w:val="single" w:sz="4" w:space="0" w:color="auto"/>
              <w:right w:val="single" w:sz="4" w:space="0" w:color="auto"/>
            </w:tcBorders>
            <w:vAlign w:val="center"/>
          </w:tcPr>
          <w:p w14:paraId="3F32DD94" w14:textId="77777777" w:rsidR="0021273B" w:rsidRPr="0021273B" w:rsidRDefault="0021273B" w:rsidP="00BB7F01">
            <w:pPr>
              <w:jc w:val="center"/>
              <w:rPr>
                <w:rFonts w:eastAsia="Times New Roman"/>
                <w:sz w:val="16"/>
                <w:szCs w:val="16"/>
                <w:lang w:val="es-ES"/>
              </w:rPr>
            </w:pPr>
            <w:r w:rsidRPr="0021273B">
              <w:rPr>
                <w:rFonts w:eastAsia="Times New Roman"/>
                <w:sz w:val="16"/>
                <w:szCs w:val="16"/>
                <w:lang w:val="es-ES"/>
              </w:rPr>
              <w:t>1.0</w:t>
            </w:r>
          </w:p>
        </w:tc>
        <w:tc>
          <w:tcPr>
            <w:tcW w:w="1134" w:type="dxa"/>
            <w:tcBorders>
              <w:left w:val="single" w:sz="4" w:space="0" w:color="auto"/>
              <w:right w:val="single" w:sz="4" w:space="0" w:color="auto"/>
            </w:tcBorders>
            <w:vAlign w:val="center"/>
          </w:tcPr>
          <w:p w14:paraId="1D6B3A94"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0.6</w:t>
            </w:r>
          </w:p>
        </w:tc>
        <w:tc>
          <w:tcPr>
            <w:tcW w:w="1134" w:type="dxa"/>
            <w:tcBorders>
              <w:left w:val="single" w:sz="4" w:space="0" w:color="auto"/>
              <w:right w:val="single" w:sz="4" w:space="0" w:color="auto"/>
            </w:tcBorders>
            <w:vAlign w:val="center"/>
          </w:tcPr>
          <w:p w14:paraId="35B30201"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0.1</w:t>
            </w:r>
          </w:p>
        </w:tc>
        <w:tc>
          <w:tcPr>
            <w:tcW w:w="1134" w:type="dxa"/>
            <w:tcBorders>
              <w:left w:val="single" w:sz="4" w:space="0" w:color="auto"/>
              <w:right w:val="single" w:sz="4" w:space="0" w:color="auto"/>
            </w:tcBorders>
            <w:vAlign w:val="center"/>
          </w:tcPr>
          <w:p w14:paraId="2F60A9B8"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0.9</w:t>
            </w:r>
          </w:p>
        </w:tc>
      </w:tr>
      <w:tr w:rsidR="0021273B" w:rsidRPr="0021273B" w14:paraId="6F3A439A" w14:textId="77777777" w:rsidTr="006A662C">
        <w:trPr>
          <w:jc w:val="center"/>
        </w:trPr>
        <w:tc>
          <w:tcPr>
            <w:tcW w:w="2977" w:type="dxa"/>
            <w:tcBorders>
              <w:left w:val="single" w:sz="4" w:space="0" w:color="auto"/>
              <w:right w:val="single" w:sz="4" w:space="0" w:color="auto"/>
            </w:tcBorders>
            <w:vAlign w:val="center"/>
          </w:tcPr>
          <w:p w14:paraId="1E8823C2" w14:textId="77777777" w:rsidR="0021273B" w:rsidRPr="0021273B" w:rsidRDefault="0021273B" w:rsidP="0021273B">
            <w:pPr>
              <w:spacing w:before="40" w:after="40"/>
              <w:ind w:left="284"/>
              <w:jc w:val="both"/>
              <w:rPr>
                <w:rFonts w:eastAsia="Times New Roman"/>
                <w:sz w:val="16"/>
                <w:szCs w:val="16"/>
                <w:lang w:val="es-ES"/>
              </w:rPr>
            </w:pPr>
            <w:r w:rsidRPr="0021273B">
              <w:rPr>
                <w:rFonts w:eastAsia="Times New Roman"/>
                <w:sz w:val="16"/>
                <w:szCs w:val="16"/>
                <w:lang w:val="es-ES"/>
              </w:rPr>
              <w:t>Italia</w:t>
            </w:r>
          </w:p>
        </w:tc>
        <w:tc>
          <w:tcPr>
            <w:tcW w:w="1134" w:type="dxa"/>
            <w:tcBorders>
              <w:left w:val="single" w:sz="4" w:space="0" w:color="auto"/>
              <w:right w:val="single" w:sz="4" w:space="0" w:color="auto"/>
            </w:tcBorders>
            <w:vAlign w:val="center"/>
          </w:tcPr>
          <w:p w14:paraId="67D09201"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3.3</w:t>
            </w:r>
          </w:p>
        </w:tc>
        <w:tc>
          <w:tcPr>
            <w:tcW w:w="992" w:type="dxa"/>
            <w:tcBorders>
              <w:left w:val="single" w:sz="4" w:space="0" w:color="auto"/>
              <w:right w:val="single" w:sz="4" w:space="0" w:color="auto"/>
            </w:tcBorders>
            <w:vAlign w:val="center"/>
          </w:tcPr>
          <w:p w14:paraId="477E29F9" w14:textId="77777777" w:rsidR="0021273B" w:rsidRPr="0021273B" w:rsidRDefault="0021273B" w:rsidP="00BB7F01">
            <w:pPr>
              <w:jc w:val="center"/>
              <w:rPr>
                <w:rFonts w:eastAsia="Times New Roman"/>
                <w:sz w:val="16"/>
                <w:szCs w:val="16"/>
                <w:lang w:val="es-ES"/>
              </w:rPr>
            </w:pPr>
            <w:r w:rsidRPr="0021273B">
              <w:rPr>
                <w:rFonts w:eastAsia="Times New Roman"/>
                <w:sz w:val="16"/>
                <w:szCs w:val="16"/>
                <w:lang w:val="es-ES"/>
              </w:rPr>
              <w:t>1.3</w:t>
            </w:r>
          </w:p>
        </w:tc>
        <w:tc>
          <w:tcPr>
            <w:tcW w:w="1134" w:type="dxa"/>
            <w:tcBorders>
              <w:left w:val="single" w:sz="4" w:space="0" w:color="auto"/>
              <w:right w:val="single" w:sz="4" w:space="0" w:color="auto"/>
            </w:tcBorders>
            <w:vAlign w:val="center"/>
          </w:tcPr>
          <w:p w14:paraId="4E1D07BA"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0.2</w:t>
            </w:r>
          </w:p>
        </w:tc>
        <w:tc>
          <w:tcPr>
            <w:tcW w:w="1134" w:type="dxa"/>
            <w:tcBorders>
              <w:left w:val="single" w:sz="4" w:space="0" w:color="auto"/>
              <w:right w:val="single" w:sz="4" w:space="0" w:color="auto"/>
            </w:tcBorders>
            <w:vAlign w:val="center"/>
          </w:tcPr>
          <w:p w14:paraId="4ABE5558"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-0.2</w:t>
            </w:r>
          </w:p>
        </w:tc>
        <w:tc>
          <w:tcPr>
            <w:tcW w:w="1134" w:type="dxa"/>
            <w:tcBorders>
              <w:left w:val="single" w:sz="4" w:space="0" w:color="auto"/>
              <w:right w:val="single" w:sz="4" w:space="0" w:color="auto"/>
            </w:tcBorders>
            <w:vAlign w:val="center"/>
          </w:tcPr>
          <w:p w14:paraId="02DCE498"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0.6</w:t>
            </w:r>
          </w:p>
        </w:tc>
      </w:tr>
      <w:tr w:rsidR="0021273B" w:rsidRPr="0021273B" w14:paraId="08FA16A7" w14:textId="77777777" w:rsidTr="006A662C">
        <w:trPr>
          <w:jc w:val="center"/>
        </w:trPr>
        <w:tc>
          <w:tcPr>
            <w:tcW w:w="2977" w:type="dxa"/>
            <w:tcBorders>
              <w:left w:val="single" w:sz="4" w:space="0" w:color="auto"/>
              <w:right w:val="single" w:sz="4" w:space="0" w:color="auto"/>
            </w:tcBorders>
            <w:vAlign w:val="center"/>
          </w:tcPr>
          <w:p w14:paraId="2940677B" w14:textId="77777777" w:rsidR="0021273B" w:rsidRPr="0021273B" w:rsidRDefault="0021273B" w:rsidP="0021273B">
            <w:pPr>
              <w:spacing w:before="40" w:after="40"/>
              <w:ind w:left="284"/>
              <w:jc w:val="both"/>
              <w:rPr>
                <w:rFonts w:eastAsia="Times New Roman"/>
                <w:sz w:val="16"/>
                <w:szCs w:val="16"/>
                <w:lang w:val="es-ES"/>
              </w:rPr>
            </w:pPr>
            <w:r w:rsidRPr="0021273B">
              <w:rPr>
                <w:rFonts w:eastAsia="Times New Roman"/>
                <w:sz w:val="16"/>
                <w:szCs w:val="16"/>
                <w:lang w:val="es-ES"/>
              </w:rPr>
              <w:t>España</w:t>
            </w:r>
          </w:p>
        </w:tc>
        <w:tc>
          <w:tcPr>
            <w:tcW w:w="1134" w:type="dxa"/>
            <w:tcBorders>
              <w:left w:val="single" w:sz="4" w:space="0" w:color="auto"/>
              <w:right w:val="single" w:sz="4" w:space="0" w:color="auto"/>
            </w:tcBorders>
            <w:vAlign w:val="center"/>
          </w:tcPr>
          <w:p w14:paraId="26CE9FE5"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2.4</w:t>
            </w:r>
          </w:p>
        </w:tc>
        <w:tc>
          <w:tcPr>
            <w:tcW w:w="992" w:type="dxa"/>
            <w:tcBorders>
              <w:left w:val="single" w:sz="4" w:space="0" w:color="auto"/>
              <w:right w:val="single" w:sz="4" w:space="0" w:color="auto"/>
            </w:tcBorders>
            <w:vAlign w:val="center"/>
          </w:tcPr>
          <w:p w14:paraId="5FD8CF3C" w14:textId="77777777" w:rsidR="0021273B" w:rsidRPr="0021273B" w:rsidRDefault="0021273B" w:rsidP="00BB7F01">
            <w:pPr>
              <w:jc w:val="center"/>
              <w:rPr>
                <w:rFonts w:eastAsia="Times New Roman"/>
                <w:sz w:val="16"/>
                <w:szCs w:val="16"/>
                <w:lang w:val="es-ES"/>
              </w:rPr>
            </w:pPr>
            <w:r w:rsidRPr="0021273B">
              <w:rPr>
                <w:rFonts w:eastAsia="Times New Roman"/>
                <w:sz w:val="16"/>
                <w:szCs w:val="16"/>
                <w:lang w:val="es-ES"/>
              </w:rPr>
              <w:t>1.4</w:t>
            </w:r>
          </w:p>
        </w:tc>
        <w:tc>
          <w:tcPr>
            <w:tcW w:w="1134" w:type="dxa"/>
            <w:tcBorders>
              <w:left w:val="single" w:sz="4" w:space="0" w:color="auto"/>
              <w:right w:val="single" w:sz="4" w:space="0" w:color="auto"/>
            </w:tcBorders>
            <w:vAlign w:val="center"/>
          </w:tcPr>
          <w:p w14:paraId="1B930FBC"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-0.2</w:t>
            </w:r>
          </w:p>
        </w:tc>
        <w:tc>
          <w:tcPr>
            <w:tcW w:w="1134" w:type="dxa"/>
            <w:tcBorders>
              <w:left w:val="single" w:sz="4" w:space="0" w:color="auto"/>
              <w:right w:val="single" w:sz="4" w:space="0" w:color="auto"/>
            </w:tcBorders>
            <w:vAlign w:val="center"/>
          </w:tcPr>
          <w:p w14:paraId="73CF5817"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-0.4</w:t>
            </w:r>
          </w:p>
        </w:tc>
        <w:tc>
          <w:tcPr>
            <w:tcW w:w="1134" w:type="dxa"/>
            <w:tcBorders>
              <w:left w:val="single" w:sz="4" w:space="0" w:color="auto"/>
              <w:right w:val="single" w:sz="4" w:space="0" w:color="auto"/>
            </w:tcBorders>
            <w:vAlign w:val="center"/>
          </w:tcPr>
          <w:p w14:paraId="74735E6B"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1.4</w:t>
            </w:r>
          </w:p>
        </w:tc>
      </w:tr>
      <w:tr w:rsidR="0021273B" w:rsidRPr="0021273B" w14:paraId="449B7230" w14:textId="77777777" w:rsidTr="006A662C">
        <w:trPr>
          <w:jc w:val="center"/>
        </w:trPr>
        <w:tc>
          <w:tcPr>
            <w:tcW w:w="2977" w:type="dxa"/>
            <w:tcBorders>
              <w:left w:val="single" w:sz="4" w:space="0" w:color="auto"/>
              <w:right w:val="single" w:sz="4" w:space="0" w:color="auto"/>
            </w:tcBorders>
            <w:vAlign w:val="center"/>
          </w:tcPr>
          <w:p w14:paraId="7D43A7CE" w14:textId="77777777" w:rsidR="0021273B" w:rsidRPr="0021273B" w:rsidRDefault="0021273B" w:rsidP="0021273B">
            <w:pPr>
              <w:spacing w:before="40" w:after="40"/>
              <w:jc w:val="both"/>
              <w:rPr>
                <w:rFonts w:eastAsia="Times New Roman"/>
                <w:sz w:val="16"/>
                <w:szCs w:val="16"/>
                <w:lang w:val="es-ES"/>
              </w:rPr>
            </w:pPr>
            <w:r w:rsidRPr="0021273B">
              <w:rPr>
                <w:rFonts w:eastAsia="Times New Roman"/>
                <w:sz w:val="16"/>
                <w:szCs w:val="16"/>
                <w:lang w:val="es-ES"/>
              </w:rPr>
              <w:t>Reino Unido</w:t>
            </w:r>
          </w:p>
        </w:tc>
        <w:tc>
          <w:tcPr>
            <w:tcW w:w="1134" w:type="dxa"/>
            <w:tcBorders>
              <w:left w:val="single" w:sz="4" w:space="0" w:color="auto"/>
              <w:right w:val="single" w:sz="4" w:space="0" w:color="auto"/>
            </w:tcBorders>
            <w:vAlign w:val="center"/>
          </w:tcPr>
          <w:p w14:paraId="2789914F"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2.8</w:t>
            </w:r>
          </w:p>
        </w:tc>
        <w:tc>
          <w:tcPr>
            <w:tcW w:w="992" w:type="dxa"/>
            <w:tcBorders>
              <w:left w:val="single" w:sz="4" w:space="0" w:color="auto"/>
              <w:right w:val="single" w:sz="4" w:space="0" w:color="auto"/>
            </w:tcBorders>
            <w:vAlign w:val="center"/>
          </w:tcPr>
          <w:p w14:paraId="639846C2" w14:textId="77777777" w:rsidR="0021273B" w:rsidRPr="0021273B" w:rsidRDefault="0021273B" w:rsidP="00BB7F01">
            <w:pPr>
              <w:jc w:val="center"/>
              <w:rPr>
                <w:rFonts w:eastAsia="Times New Roman"/>
                <w:sz w:val="16"/>
                <w:szCs w:val="16"/>
                <w:lang w:val="es-ES"/>
              </w:rPr>
            </w:pPr>
            <w:r w:rsidRPr="0021273B">
              <w:rPr>
                <w:rFonts w:eastAsia="Times New Roman"/>
                <w:sz w:val="16"/>
                <w:szCs w:val="16"/>
                <w:lang w:val="es-ES"/>
              </w:rPr>
              <w:t>2.6</w:t>
            </w:r>
          </w:p>
        </w:tc>
        <w:tc>
          <w:tcPr>
            <w:tcW w:w="1134" w:type="dxa"/>
            <w:tcBorders>
              <w:left w:val="single" w:sz="4" w:space="0" w:color="auto"/>
              <w:right w:val="single" w:sz="4" w:space="0" w:color="auto"/>
            </w:tcBorders>
            <w:vAlign w:val="center"/>
          </w:tcPr>
          <w:p w14:paraId="63DF701E"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1.5</w:t>
            </w:r>
          </w:p>
        </w:tc>
        <w:tc>
          <w:tcPr>
            <w:tcW w:w="1134" w:type="dxa"/>
            <w:tcBorders>
              <w:left w:val="single" w:sz="4" w:space="0" w:color="auto"/>
              <w:right w:val="single" w:sz="4" w:space="0" w:color="auto"/>
            </w:tcBorders>
            <w:vAlign w:val="center"/>
          </w:tcPr>
          <w:p w14:paraId="0DDD2178"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0.4</w:t>
            </w:r>
          </w:p>
        </w:tc>
        <w:tc>
          <w:tcPr>
            <w:tcW w:w="1134" w:type="dxa"/>
            <w:tcBorders>
              <w:left w:val="single" w:sz="4" w:space="0" w:color="auto"/>
              <w:right w:val="single" w:sz="4" w:space="0" w:color="auto"/>
            </w:tcBorders>
            <w:vAlign w:val="center"/>
          </w:tcPr>
          <w:p w14:paraId="7759A1A7"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1.5</w:t>
            </w:r>
          </w:p>
        </w:tc>
      </w:tr>
      <w:tr w:rsidR="0021273B" w:rsidRPr="0021273B" w14:paraId="678805DF" w14:textId="77777777" w:rsidTr="006A662C">
        <w:trPr>
          <w:jc w:val="center"/>
        </w:trPr>
        <w:tc>
          <w:tcPr>
            <w:tcW w:w="2977" w:type="dxa"/>
            <w:tcBorders>
              <w:left w:val="single" w:sz="4" w:space="0" w:color="auto"/>
              <w:right w:val="single" w:sz="4" w:space="0" w:color="auto"/>
            </w:tcBorders>
            <w:vAlign w:val="center"/>
          </w:tcPr>
          <w:p w14:paraId="1A787248" w14:textId="77777777" w:rsidR="0021273B" w:rsidRPr="0021273B" w:rsidRDefault="0021273B" w:rsidP="0021273B">
            <w:pPr>
              <w:spacing w:before="40" w:after="40"/>
              <w:jc w:val="both"/>
              <w:rPr>
                <w:rFonts w:eastAsia="Times New Roman"/>
                <w:sz w:val="16"/>
                <w:szCs w:val="16"/>
                <w:lang w:val="es-ES"/>
              </w:rPr>
            </w:pPr>
            <w:r w:rsidRPr="0021273B">
              <w:rPr>
                <w:rFonts w:eastAsia="Times New Roman"/>
                <w:sz w:val="16"/>
                <w:szCs w:val="16"/>
                <w:lang w:val="es-ES"/>
              </w:rPr>
              <w:t>América Latina*</w:t>
            </w:r>
          </w:p>
        </w:tc>
        <w:tc>
          <w:tcPr>
            <w:tcW w:w="1134" w:type="dxa"/>
            <w:tcBorders>
              <w:left w:val="single" w:sz="4" w:space="0" w:color="auto"/>
              <w:right w:val="single" w:sz="4" w:space="0" w:color="auto"/>
            </w:tcBorders>
            <w:vAlign w:val="center"/>
          </w:tcPr>
          <w:p w14:paraId="19C4FBA4"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7.8</w:t>
            </w:r>
          </w:p>
        </w:tc>
        <w:tc>
          <w:tcPr>
            <w:tcW w:w="992" w:type="dxa"/>
            <w:tcBorders>
              <w:left w:val="single" w:sz="4" w:space="0" w:color="auto"/>
              <w:right w:val="single" w:sz="4" w:space="0" w:color="auto"/>
            </w:tcBorders>
            <w:vAlign w:val="center"/>
          </w:tcPr>
          <w:p w14:paraId="34F680FF" w14:textId="77777777" w:rsidR="0021273B" w:rsidRPr="0021273B" w:rsidRDefault="0021273B" w:rsidP="00BB7F01">
            <w:pPr>
              <w:jc w:val="center"/>
              <w:rPr>
                <w:rFonts w:eastAsia="Times New Roman"/>
                <w:sz w:val="16"/>
                <w:szCs w:val="16"/>
                <w:lang w:val="es-ES"/>
              </w:rPr>
            </w:pPr>
            <w:r w:rsidRPr="0021273B">
              <w:rPr>
                <w:rFonts w:eastAsia="Times New Roman"/>
                <w:sz w:val="16"/>
                <w:szCs w:val="16"/>
                <w:lang w:val="es-ES"/>
              </w:rPr>
              <w:t>9.3</w:t>
            </w:r>
          </w:p>
        </w:tc>
        <w:tc>
          <w:tcPr>
            <w:tcW w:w="1134" w:type="dxa"/>
            <w:tcBorders>
              <w:left w:val="single" w:sz="4" w:space="0" w:color="auto"/>
              <w:right w:val="single" w:sz="4" w:space="0" w:color="auto"/>
            </w:tcBorders>
            <w:vAlign w:val="center"/>
          </w:tcPr>
          <w:p w14:paraId="6FBF75E0"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12.7</w:t>
            </w:r>
          </w:p>
        </w:tc>
        <w:tc>
          <w:tcPr>
            <w:tcW w:w="1134" w:type="dxa"/>
            <w:tcBorders>
              <w:left w:val="single" w:sz="4" w:space="0" w:color="auto"/>
              <w:right w:val="single" w:sz="4" w:space="0" w:color="auto"/>
            </w:tcBorders>
            <w:vAlign w:val="center"/>
          </w:tcPr>
          <w:p w14:paraId="1F19F7E8"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13.7</w:t>
            </w:r>
          </w:p>
        </w:tc>
        <w:tc>
          <w:tcPr>
            <w:tcW w:w="1134" w:type="dxa"/>
            <w:tcBorders>
              <w:left w:val="single" w:sz="4" w:space="0" w:color="auto"/>
              <w:right w:val="single" w:sz="4" w:space="0" w:color="auto"/>
            </w:tcBorders>
            <w:vAlign w:val="center"/>
          </w:tcPr>
          <w:p w14:paraId="4248378D"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14.0</w:t>
            </w:r>
          </w:p>
        </w:tc>
      </w:tr>
      <w:tr w:rsidR="0021273B" w:rsidRPr="0021273B" w14:paraId="42F1D37E" w14:textId="77777777" w:rsidTr="006A662C">
        <w:trPr>
          <w:jc w:val="center"/>
        </w:trPr>
        <w:tc>
          <w:tcPr>
            <w:tcW w:w="2977" w:type="dxa"/>
            <w:tcBorders>
              <w:left w:val="single" w:sz="4" w:space="0" w:color="auto"/>
              <w:right w:val="single" w:sz="4" w:space="0" w:color="auto"/>
            </w:tcBorders>
            <w:vAlign w:val="center"/>
          </w:tcPr>
          <w:p w14:paraId="68561A32" w14:textId="77777777" w:rsidR="0021273B" w:rsidRPr="0021273B" w:rsidRDefault="0021273B" w:rsidP="0021273B">
            <w:pPr>
              <w:spacing w:before="40" w:after="40"/>
              <w:ind w:left="284"/>
              <w:jc w:val="both"/>
              <w:rPr>
                <w:rFonts w:eastAsia="Times New Roman"/>
                <w:sz w:val="16"/>
                <w:szCs w:val="16"/>
                <w:lang w:val="es-ES"/>
              </w:rPr>
            </w:pPr>
            <w:r w:rsidRPr="0021273B">
              <w:rPr>
                <w:rFonts w:eastAsia="Times New Roman"/>
                <w:sz w:val="16"/>
                <w:szCs w:val="16"/>
                <w:lang w:val="es-ES"/>
              </w:rPr>
              <w:t>México</w:t>
            </w:r>
          </w:p>
        </w:tc>
        <w:tc>
          <w:tcPr>
            <w:tcW w:w="1134" w:type="dxa"/>
            <w:tcBorders>
              <w:left w:val="single" w:sz="4" w:space="0" w:color="auto"/>
              <w:right w:val="single" w:sz="4" w:space="0" w:color="auto"/>
            </w:tcBorders>
            <w:vAlign w:val="center"/>
          </w:tcPr>
          <w:p w14:paraId="4A37D65E"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4.2</w:t>
            </w:r>
          </w:p>
        </w:tc>
        <w:tc>
          <w:tcPr>
            <w:tcW w:w="992" w:type="dxa"/>
            <w:tcBorders>
              <w:left w:val="single" w:sz="4" w:space="0" w:color="auto"/>
              <w:right w:val="single" w:sz="4" w:space="0" w:color="auto"/>
            </w:tcBorders>
            <w:vAlign w:val="center"/>
          </w:tcPr>
          <w:p w14:paraId="5B27A4B2" w14:textId="77777777" w:rsidR="0021273B" w:rsidRPr="0021273B" w:rsidRDefault="0021273B" w:rsidP="00BB7F01">
            <w:pPr>
              <w:jc w:val="center"/>
              <w:rPr>
                <w:rFonts w:eastAsia="Times New Roman"/>
                <w:sz w:val="16"/>
                <w:szCs w:val="16"/>
                <w:lang w:val="es-ES"/>
              </w:rPr>
            </w:pPr>
            <w:r w:rsidRPr="0021273B">
              <w:rPr>
                <w:rFonts w:eastAsia="Times New Roman"/>
                <w:sz w:val="16"/>
                <w:szCs w:val="16"/>
                <w:lang w:val="es-ES"/>
              </w:rPr>
              <w:t>3.8</w:t>
            </w:r>
          </w:p>
        </w:tc>
        <w:tc>
          <w:tcPr>
            <w:tcW w:w="1134" w:type="dxa"/>
            <w:tcBorders>
              <w:left w:val="single" w:sz="4" w:space="0" w:color="auto"/>
              <w:right w:val="single" w:sz="4" w:space="0" w:color="auto"/>
            </w:tcBorders>
            <w:vAlign w:val="center"/>
          </w:tcPr>
          <w:p w14:paraId="1AE6249F"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4.0</w:t>
            </w:r>
          </w:p>
        </w:tc>
        <w:tc>
          <w:tcPr>
            <w:tcW w:w="1134" w:type="dxa"/>
            <w:tcBorders>
              <w:left w:val="single" w:sz="4" w:space="0" w:color="auto"/>
              <w:right w:val="single" w:sz="4" w:space="0" w:color="auto"/>
            </w:tcBorders>
            <w:vAlign w:val="center"/>
          </w:tcPr>
          <w:p w14:paraId="0A17A714"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3.0</w:t>
            </w:r>
          </w:p>
        </w:tc>
        <w:tc>
          <w:tcPr>
            <w:tcW w:w="1134" w:type="dxa"/>
            <w:tcBorders>
              <w:left w:val="single" w:sz="4" w:space="0" w:color="auto"/>
              <w:right w:val="single" w:sz="4" w:space="0" w:color="auto"/>
            </w:tcBorders>
            <w:vAlign w:val="center"/>
          </w:tcPr>
          <w:p w14:paraId="48717066"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3.6</w:t>
            </w:r>
          </w:p>
        </w:tc>
      </w:tr>
      <w:tr w:rsidR="0021273B" w:rsidRPr="0021273B" w14:paraId="6FD88C93" w14:textId="77777777" w:rsidTr="006A662C">
        <w:trPr>
          <w:jc w:val="center"/>
        </w:trPr>
        <w:tc>
          <w:tcPr>
            <w:tcW w:w="2977" w:type="dxa"/>
            <w:tcBorders>
              <w:left w:val="single" w:sz="4" w:space="0" w:color="auto"/>
              <w:right w:val="single" w:sz="4" w:space="0" w:color="auto"/>
            </w:tcBorders>
            <w:vAlign w:val="center"/>
          </w:tcPr>
          <w:p w14:paraId="524B6BD4" w14:textId="77777777" w:rsidR="0021273B" w:rsidRPr="0021273B" w:rsidRDefault="0021273B" w:rsidP="0021273B">
            <w:pPr>
              <w:spacing w:before="40" w:after="40"/>
              <w:ind w:left="284"/>
              <w:jc w:val="both"/>
              <w:rPr>
                <w:rFonts w:eastAsia="Times New Roman"/>
                <w:sz w:val="16"/>
                <w:szCs w:val="16"/>
                <w:lang w:val="es-ES"/>
              </w:rPr>
            </w:pPr>
            <w:r w:rsidRPr="0021273B">
              <w:rPr>
                <w:rFonts w:eastAsia="Times New Roman"/>
                <w:sz w:val="16"/>
                <w:szCs w:val="16"/>
                <w:lang w:val="es-ES"/>
              </w:rPr>
              <w:t>Brasil</w:t>
            </w:r>
          </w:p>
        </w:tc>
        <w:tc>
          <w:tcPr>
            <w:tcW w:w="1134" w:type="dxa"/>
            <w:tcBorders>
              <w:left w:val="single" w:sz="4" w:space="0" w:color="auto"/>
              <w:right w:val="single" w:sz="4" w:space="0" w:color="auto"/>
            </w:tcBorders>
            <w:vAlign w:val="center"/>
          </w:tcPr>
          <w:p w14:paraId="327482CD"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5.4</w:t>
            </w:r>
          </w:p>
        </w:tc>
        <w:tc>
          <w:tcPr>
            <w:tcW w:w="992" w:type="dxa"/>
            <w:tcBorders>
              <w:left w:val="single" w:sz="4" w:space="0" w:color="auto"/>
              <w:right w:val="single" w:sz="4" w:space="0" w:color="auto"/>
            </w:tcBorders>
            <w:vAlign w:val="center"/>
          </w:tcPr>
          <w:p w14:paraId="3ACAC3B2" w14:textId="77777777" w:rsidR="0021273B" w:rsidRPr="0021273B" w:rsidRDefault="0021273B" w:rsidP="00BB7F01">
            <w:pPr>
              <w:jc w:val="center"/>
              <w:rPr>
                <w:rFonts w:eastAsia="Times New Roman"/>
                <w:sz w:val="16"/>
                <w:szCs w:val="16"/>
                <w:lang w:val="es-ES"/>
              </w:rPr>
            </w:pPr>
            <w:r w:rsidRPr="0021273B">
              <w:rPr>
                <w:rFonts w:eastAsia="Times New Roman"/>
                <w:sz w:val="16"/>
                <w:szCs w:val="16"/>
                <w:lang w:val="es-ES"/>
              </w:rPr>
              <w:t>6.2</w:t>
            </w:r>
          </w:p>
        </w:tc>
        <w:tc>
          <w:tcPr>
            <w:tcW w:w="1134" w:type="dxa"/>
            <w:tcBorders>
              <w:left w:val="single" w:sz="4" w:space="0" w:color="auto"/>
              <w:right w:val="single" w:sz="4" w:space="0" w:color="auto"/>
            </w:tcBorders>
            <w:vAlign w:val="center"/>
          </w:tcPr>
          <w:p w14:paraId="0FC2599C"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6.3</w:t>
            </w:r>
          </w:p>
        </w:tc>
        <w:tc>
          <w:tcPr>
            <w:tcW w:w="1134" w:type="dxa"/>
            <w:tcBorders>
              <w:left w:val="single" w:sz="4" w:space="0" w:color="auto"/>
              <w:right w:val="single" w:sz="4" w:space="0" w:color="auto"/>
            </w:tcBorders>
            <w:vAlign w:val="center"/>
          </w:tcPr>
          <w:p w14:paraId="2DF47643"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6.7</w:t>
            </w:r>
          </w:p>
        </w:tc>
        <w:tc>
          <w:tcPr>
            <w:tcW w:w="1134" w:type="dxa"/>
            <w:tcBorders>
              <w:left w:val="single" w:sz="4" w:space="0" w:color="auto"/>
              <w:right w:val="single" w:sz="4" w:space="0" w:color="auto"/>
            </w:tcBorders>
            <w:vAlign w:val="center"/>
          </w:tcPr>
          <w:p w14:paraId="1669B1D9"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5.7</w:t>
            </w:r>
          </w:p>
        </w:tc>
      </w:tr>
      <w:tr w:rsidR="0021273B" w:rsidRPr="0021273B" w14:paraId="6165128C" w14:textId="77777777" w:rsidTr="006A662C">
        <w:trPr>
          <w:jc w:val="center"/>
        </w:trPr>
        <w:tc>
          <w:tcPr>
            <w:tcW w:w="2977" w:type="dxa"/>
            <w:tcBorders>
              <w:left w:val="single" w:sz="4" w:space="0" w:color="auto"/>
              <w:right w:val="single" w:sz="4" w:space="0" w:color="auto"/>
            </w:tcBorders>
            <w:vAlign w:val="center"/>
          </w:tcPr>
          <w:p w14:paraId="6195CCD3" w14:textId="77777777" w:rsidR="0021273B" w:rsidRPr="0021273B" w:rsidRDefault="0021273B" w:rsidP="0021273B">
            <w:pPr>
              <w:spacing w:before="40" w:after="40"/>
              <w:jc w:val="both"/>
              <w:rPr>
                <w:rFonts w:eastAsia="Times New Roman"/>
                <w:sz w:val="16"/>
                <w:szCs w:val="16"/>
                <w:lang w:val="es-ES"/>
              </w:rPr>
            </w:pPr>
            <w:r w:rsidRPr="0021273B">
              <w:rPr>
                <w:rFonts w:eastAsia="Times New Roman"/>
                <w:sz w:val="16"/>
                <w:szCs w:val="16"/>
                <w:lang w:val="es-ES"/>
              </w:rPr>
              <w:t>EAGLES**</w:t>
            </w:r>
          </w:p>
        </w:tc>
        <w:tc>
          <w:tcPr>
            <w:tcW w:w="1134" w:type="dxa"/>
            <w:tcBorders>
              <w:left w:val="single" w:sz="4" w:space="0" w:color="auto"/>
              <w:right w:val="single" w:sz="4" w:space="0" w:color="auto"/>
            </w:tcBorders>
            <w:vAlign w:val="center"/>
          </w:tcPr>
          <w:p w14:paraId="4ADFAA5F"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5.0</w:t>
            </w:r>
          </w:p>
        </w:tc>
        <w:tc>
          <w:tcPr>
            <w:tcW w:w="992" w:type="dxa"/>
            <w:tcBorders>
              <w:left w:val="single" w:sz="4" w:space="0" w:color="auto"/>
              <w:right w:val="single" w:sz="4" w:space="0" w:color="auto"/>
            </w:tcBorders>
            <w:vAlign w:val="center"/>
          </w:tcPr>
          <w:p w14:paraId="0197D1B0" w14:textId="77777777" w:rsidR="0021273B" w:rsidRPr="0021273B" w:rsidRDefault="0021273B" w:rsidP="00BB7F01">
            <w:pPr>
              <w:jc w:val="center"/>
              <w:rPr>
                <w:rFonts w:eastAsia="Times New Roman"/>
                <w:sz w:val="16"/>
                <w:szCs w:val="16"/>
                <w:lang w:val="es-ES"/>
              </w:rPr>
            </w:pPr>
            <w:r w:rsidRPr="0021273B">
              <w:rPr>
                <w:rFonts w:eastAsia="Times New Roman"/>
                <w:sz w:val="16"/>
                <w:szCs w:val="16"/>
                <w:lang w:val="es-ES"/>
              </w:rPr>
              <w:t>5.3</w:t>
            </w:r>
          </w:p>
        </w:tc>
        <w:tc>
          <w:tcPr>
            <w:tcW w:w="1134" w:type="dxa"/>
            <w:tcBorders>
              <w:left w:val="single" w:sz="4" w:space="0" w:color="auto"/>
              <w:right w:val="single" w:sz="4" w:space="0" w:color="auto"/>
            </w:tcBorders>
            <w:vAlign w:val="center"/>
          </w:tcPr>
          <w:p w14:paraId="3853F1E1"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4.6</w:t>
            </w:r>
          </w:p>
        </w:tc>
        <w:tc>
          <w:tcPr>
            <w:tcW w:w="1134" w:type="dxa"/>
            <w:tcBorders>
              <w:left w:val="single" w:sz="4" w:space="0" w:color="auto"/>
              <w:right w:val="single" w:sz="4" w:space="0" w:color="auto"/>
            </w:tcBorders>
            <w:vAlign w:val="center"/>
          </w:tcPr>
          <w:p w14:paraId="07730D46"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4.3</w:t>
            </w:r>
          </w:p>
        </w:tc>
        <w:tc>
          <w:tcPr>
            <w:tcW w:w="1134" w:type="dxa"/>
            <w:tcBorders>
              <w:left w:val="single" w:sz="4" w:space="0" w:color="auto"/>
              <w:right w:val="single" w:sz="4" w:space="0" w:color="auto"/>
            </w:tcBorders>
            <w:vAlign w:val="center"/>
          </w:tcPr>
          <w:p w14:paraId="63D0EEC6"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4.1</w:t>
            </w:r>
          </w:p>
        </w:tc>
      </w:tr>
      <w:tr w:rsidR="0021273B" w:rsidRPr="0021273B" w14:paraId="01BE18D6" w14:textId="77777777" w:rsidTr="006A662C">
        <w:trPr>
          <w:jc w:val="center"/>
        </w:trPr>
        <w:tc>
          <w:tcPr>
            <w:tcW w:w="2977" w:type="dxa"/>
            <w:tcBorders>
              <w:left w:val="single" w:sz="4" w:space="0" w:color="auto"/>
              <w:right w:val="single" w:sz="4" w:space="0" w:color="auto"/>
            </w:tcBorders>
            <w:vAlign w:val="center"/>
          </w:tcPr>
          <w:p w14:paraId="7D855EEB" w14:textId="77777777" w:rsidR="0021273B" w:rsidRPr="0021273B" w:rsidRDefault="0021273B" w:rsidP="0021273B">
            <w:pPr>
              <w:spacing w:before="40" w:after="40"/>
              <w:ind w:left="284"/>
              <w:jc w:val="both"/>
              <w:rPr>
                <w:rFonts w:eastAsia="Times New Roman"/>
                <w:sz w:val="16"/>
                <w:szCs w:val="16"/>
                <w:lang w:val="es-ES"/>
              </w:rPr>
            </w:pPr>
            <w:r w:rsidRPr="0021273B">
              <w:rPr>
                <w:rFonts w:eastAsia="Times New Roman"/>
                <w:sz w:val="16"/>
                <w:szCs w:val="16"/>
                <w:lang w:val="es-ES"/>
              </w:rPr>
              <w:t>Turquía</w:t>
            </w:r>
          </w:p>
        </w:tc>
        <w:tc>
          <w:tcPr>
            <w:tcW w:w="1134" w:type="dxa"/>
            <w:tcBorders>
              <w:left w:val="single" w:sz="4" w:space="0" w:color="auto"/>
              <w:right w:val="single" w:sz="4" w:space="0" w:color="auto"/>
            </w:tcBorders>
            <w:vAlign w:val="center"/>
          </w:tcPr>
          <w:p w14:paraId="00976A51"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8.7</w:t>
            </w:r>
          </w:p>
        </w:tc>
        <w:tc>
          <w:tcPr>
            <w:tcW w:w="992" w:type="dxa"/>
            <w:tcBorders>
              <w:left w:val="single" w:sz="4" w:space="0" w:color="auto"/>
              <w:right w:val="single" w:sz="4" w:space="0" w:color="auto"/>
            </w:tcBorders>
            <w:vAlign w:val="center"/>
          </w:tcPr>
          <w:p w14:paraId="4BD64C2A" w14:textId="77777777" w:rsidR="0021273B" w:rsidRPr="0021273B" w:rsidRDefault="0021273B" w:rsidP="00BB7F01">
            <w:pPr>
              <w:jc w:val="center"/>
              <w:rPr>
                <w:rFonts w:eastAsia="Times New Roman"/>
                <w:sz w:val="16"/>
                <w:szCs w:val="16"/>
                <w:lang w:val="es-ES"/>
              </w:rPr>
            </w:pPr>
            <w:r w:rsidRPr="0021273B">
              <w:rPr>
                <w:rFonts w:eastAsia="Times New Roman"/>
                <w:sz w:val="16"/>
                <w:szCs w:val="16"/>
                <w:lang w:val="es-ES"/>
              </w:rPr>
              <w:t>7.5</w:t>
            </w:r>
          </w:p>
        </w:tc>
        <w:tc>
          <w:tcPr>
            <w:tcW w:w="1134" w:type="dxa"/>
            <w:tcBorders>
              <w:left w:val="single" w:sz="4" w:space="0" w:color="auto"/>
              <w:right w:val="single" w:sz="4" w:space="0" w:color="auto"/>
            </w:tcBorders>
            <w:vAlign w:val="center"/>
          </w:tcPr>
          <w:p w14:paraId="7734BD93"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8.8</w:t>
            </w:r>
          </w:p>
        </w:tc>
        <w:tc>
          <w:tcPr>
            <w:tcW w:w="1134" w:type="dxa"/>
            <w:tcBorders>
              <w:left w:val="single" w:sz="4" w:space="0" w:color="auto"/>
              <w:right w:val="single" w:sz="4" w:space="0" w:color="auto"/>
            </w:tcBorders>
            <w:vAlign w:val="center"/>
          </w:tcPr>
          <w:p w14:paraId="3D599F4C"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6.4</w:t>
            </w:r>
          </w:p>
        </w:tc>
        <w:tc>
          <w:tcPr>
            <w:tcW w:w="1134" w:type="dxa"/>
            <w:tcBorders>
              <w:left w:val="single" w:sz="4" w:space="0" w:color="auto"/>
              <w:right w:val="single" w:sz="4" w:space="0" w:color="auto"/>
            </w:tcBorders>
            <w:vAlign w:val="center"/>
          </w:tcPr>
          <w:p w14:paraId="3240F9DB"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6.6</w:t>
            </w:r>
          </w:p>
        </w:tc>
      </w:tr>
      <w:tr w:rsidR="0021273B" w:rsidRPr="0021273B" w14:paraId="0FDC3432" w14:textId="77777777" w:rsidTr="006A662C">
        <w:trPr>
          <w:jc w:val="center"/>
        </w:trPr>
        <w:tc>
          <w:tcPr>
            <w:tcW w:w="2977" w:type="dxa"/>
            <w:tcBorders>
              <w:left w:val="single" w:sz="4" w:space="0" w:color="auto"/>
              <w:right w:val="single" w:sz="4" w:space="0" w:color="auto"/>
            </w:tcBorders>
            <w:vAlign w:val="center"/>
          </w:tcPr>
          <w:p w14:paraId="74CB67C9" w14:textId="77777777" w:rsidR="0021273B" w:rsidRPr="0021273B" w:rsidRDefault="0021273B" w:rsidP="0021273B">
            <w:pPr>
              <w:spacing w:before="40" w:after="40"/>
              <w:jc w:val="both"/>
              <w:rPr>
                <w:rFonts w:eastAsia="Times New Roman"/>
                <w:sz w:val="16"/>
                <w:szCs w:val="16"/>
                <w:lang w:val="es-ES"/>
              </w:rPr>
            </w:pPr>
            <w:r w:rsidRPr="0021273B">
              <w:rPr>
                <w:rFonts w:eastAsia="Times New Roman"/>
                <w:sz w:val="16"/>
                <w:szCs w:val="16"/>
                <w:lang w:val="es-ES"/>
              </w:rPr>
              <w:t>Asia-Pacífico</w:t>
            </w:r>
          </w:p>
        </w:tc>
        <w:tc>
          <w:tcPr>
            <w:tcW w:w="1134" w:type="dxa"/>
            <w:tcBorders>
              <w:left w:val="single" w:sz="4" w:space="0" w:color="auto"/>
              <w:right w:val="single" w:sz="4" w:space="0" w:color="auto"/>
            </w:tcBorders>
            <w:vAlign w:val="center"/>
          </w:tcPr>
          <w:p w14:paraId="3A598401"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3.7</w:t>
            </w:r>
          </w:p>
        </w:tc>
        <w:tc>
          <w:tcPr>
            <w:tcW w:w="992" w:type="dxa"/>
            <w:tcBorders>
              <w:left w:val="single" w:sz="4" w:space="0" w:color="auto"/>
              <w:right w:val="single" w:sz="4" w:space="0" w:color="auto"/>
            </w:tcBorders>
            <w:vAlign w:val="center"/>
          </w:tcPr>
          <w:p w14:paraId="172A0032" w14:textId="77777777" w:rsidR="0021273B" w:rsidRPr="0021273B" w:rsidRDefault="0021273B" w:rsidP="00BB7F01">
            <w:pPr>
              <w:jc w:val="center"/>
              <w:rPr>
                <w:rFonts w:eastAsia="Times New Roman"/>
                <w:sz w:val="16"/>
                <w:szCs w:val="16"/>
                <w:lang w:val="es-ES"/>
              </w:rPr>
            </w:pPr>
            <w:r w:rsidRPr="0021273B">
              <w:rPr>
                <w:rFonts w:eastAsia="Times New Roman"/>
                <w:sz w:val="16"/>
                <w:szCs w:val="16"/>
                <w:lang w:val="es-ES"/>
              </w:rPr>
              <w:t>4.0</w:t>
            </w:r>
          </w:p>
        </w:tc>
        <w:tc>
          <w:tcPr>
            <w:tcW w:w="1134" w:type="dxa"/>
            <w:tcBorders>
              <w:left w:val="single" w:sz="4" w:space="0" w:color="auto"/>
              <w:right w:val="single" w:sz="4" w:space="0" w:color="auto"/>
            </w:tcBorders>
            <w:vAlign w:val="center"/>
          </w:tcPr>
          <w:p w14:paraId="41562BDF"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3.5</w:t>
            </w:r>
          </w:p>
        </w:tc>
        <w:tc>
          <w:tcPr>
            <w:tcW w:w="1134" w:type="dxa"/>
            <w:tcBorders>
              <w:left w:val="single" w:sz="4" w:space="0" w:color="auto"/>
              <w:right w:val="single" w:sz="4" w:space="0" w:color="auto"/>
            </w:tcBorders>
            <w:vAlign w:val="center"/>
          </w:tcPr>
          <w:p w14:paraId="21DDDC36"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3.2</w:t>
            </w:r>
          </w:p>
        </w:tc>
        <w:tc>
          <w:tcPr>
            <w:tcW w:w="1134" w:type="dxa"/>
            <w:tcBorders>
              <w:left w:val="single" w:sz="4" w:space="0" w:color="auto"/>
              <w:right w:val="single" w:sz="4" w:space="0" w:color="auto"/>
            </w:tcBorders>
            <w:vAlign w:val="center"/>
          </w:tcPr>
          <w:p w14:paraId="5755C10F"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3.3</w:t>
            </w:r>
          </w:p>
        </w:tc>
      </w:tr>
      <w:tr w:rsidR="0021273B" w:rsidRPr="0021273B" w14:paraId="650A8DA1" w14:textId="77777777" w:rsidTr="006A662C">
        <w:trPr>
          <w:jc w:val="center"/>
        </w:trPr>
        <w:tc>
          <w:tcPr>
            <w:tcW w:w="2977" w:type="dxa"/>
            <w:tcBorders>
              <w:left w:val="single" w:sz="4" w:space="0" w:color="auto"/>
              <w:right w:val="single" w:sz="4" w:space="0" w:color="auto"/>
            </w:tcBorders>
            <w:vAlign w:val="center"/>
          </w:tcPr>
          <w:p w14:paraId="0DCB0A2E" w14:textId="77777777" w:rsidR="0021273B" w:rsidRPr="0021273B" w:rsidRDefault="0021273B" w:rsidP="0021273B">
            <w:pPr>
              <w:spacing w:before="40" w:after="40"/>
              <w:ind w:left="284"/>
              <w:jc w:val="both"/>
              <w:rPr>
                <w:rFonts w:eastAsia="Times New Roman"/>
                <w:sz w:val="16"/>
                <w:szCs w:val="16"/>
                <w:lang w:val="es-ES"/>
              </w:rPr>
            </w:pPr>
            <w:r w:rsidRPr="0021273B">
              <w:rPr>
                <w:rFonts w:eastAsia="Times New Roman"/>
                <w:sz w:val="16"/>
                <w:szCs w:val="16"/>
                <w:lang w:val="es-ES"/>
              </w:rPr>
              <w:t>Japón</w:t>
            </w:r>
          </w:p>
        </w:tc>
        <w:tc>
          <w:tcPr>
            <w:tcW w:w="1134" w:type="dxa"/>
            <w:tcBorders>
              <w:left w:val="single" w:sz="4" w:space="0" w:color="auto"/>
              <w:right w:val="single" w:sz="4" w:space="0" w:color="auto"/>
            </w:tcBorders>
            <w:vAlign w:val="center"/>
          </w:tcPr>
          <w:p w14:paraId="41523A09"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-0.1</w:t>
            </w:r>
          </w:p>
        </w:tc>
        <w:tc>
          <w:tcPr>
            <w:tcW w:w="992" w:type="dxa"/>
            <w:tcBorders>
              <w:left w:val="single" w:sz="4" w:space="0" w:color="auto"/>
              <w:right w:val="single" w:sz="4" w:space="0" w:color="auto"/>
            </w:tcBorders>
            <w:vAlign w:val="center"/>
          </w:tcPr>
          <w:p w14:paraId="0A89555F" w14:textId="77777777" w:rsidR="0021273B" w:rsidRPr="0021273B" w:rsidRDefault="0021273B" w:rsidP="00BB7F01">
            <w:pPr>
              <w:jc w:val="center"/>
              <w:rPr>
                <w:rFonts w:eastAsia="Times New Roman"/>
                <w:sz w:val="16"/>
                <w:szCs w:val="16"/>
                <w:lang w:val="es-ES"/>
              </w:rPr>
            </w:pPr>
            <w:r w:rsidRPr="0021273B">
              <w:rPr>
                <w:rFonts w:eastAsia="Times New Roman"/>
                <w:sz w:val="16"/>
                <w:szCs w:val="16"/>
                <w:lang w:val="es-ES"/>
              </w:rPr>
              <w:t>1.6</w:t>
            </w:r>
          </w:p>
        </w:tc>
        <w:tc>
          <w:tcPr>
            <w:tcW w:w="1134" w:type="dxa"/>
            <w:tcBorders>
              <w:left w:val="single" w:sz="4" w:space="0" w:color="auto"/>
              <w:right w:val="single" w:sz="4" w:space="0" w:color="auto"/>
            </w:tcBorders>
            <w:vAlign w:val="center"/>
          </w:tcPr>
          <w:p w14:paraId="519CD8C7"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3.0</w:t>
            </w:r>
          </w:p>
        </w:tc>
        <w:tc>
          <w:tcPr>
            <w:tcW w:w="1134" w:type="dxa"/>
            <w:tcBorders>
              <w:left w:val="single" w:sz="4" w:space="0" w:color="auto"/>
              <w:right w:val="single" w:sz="4" w:space="0" w:color="auto"/>
            </w:tcBorders>
            <w:vAlign w:val="center"/>
          </w:tcPr>
          <w:p w14:paraId="09353E23"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1.3</w:t>
            </w:r>
          </w:p>
        </w:tc>
        <w:tc>
          <w:tcPr>
            <w:tcW w:w="1134" w:type="dxa"/>
            <w:tcBorders>
              <w:left w:val="single" w:sz="4" w:space="0" w:color="auto"/>
              <w:right w:val="single" w:sz="4" w:space="0" w:color="auto"/>
            </w:tcBorders>
            <w:vAlign w:val="center"/>
          </w:tcPr>
          <w:p w14:paraId="5A9D7125"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1.6</w:t>
            </w:r>
          </w:p>
        </w:tc>
      </w:tr>
      <w:tr w:rsidR="0021273B" w:rsidRPr="0021273B" w14:paraId="0E6C321E" w14:textId="77777777" w:rsidTr="006A662C">
        <w:trPr>
          <w:jc w:val="center"/>
        </w:trPr>
        <w:tc>
          <w:tcPr>
            <w:tcW w:w="2977" w:type="dxa"/>
            <w:tcBorders>
              <w:left w:val="single" w:sz="4" w:space="0" w:color="auto"/>
              <w:right w:val="single" w:sz="4" w:space="0" w:color="auto"/>
            </w:tcBorders>
            <w:vAlign w:val="center"/>
          </w:tcPr>
          <w:p w14:paraId="60E8369F" w14:textId="77777777" w:rsidR="0021273B" w:rsidRPr="0021273B" w:rsidRDefault="0021273B" w:rsidP="0021273B">
            <w:pPr>
              <w:spacing w:before="40" w:after="40"/>
              <w:ind w:left="284"/>
              <w:jc w:val="both"/>
              <w:rPr>
                <w:rFonts w:eastAsia="Times New Roman"/>
                <w:sz w:val="16"/>
                <w:szCs w:val="16"/>
                <w:lang w:val="es-ES"/>
              </w:rPr>
            </w:pPr>
            <w:r w:rsidRPr="0021273B">
              <w:rPr>
                <w:rFonts w:eastAsia="Times New Roman"/>
                <w:sz w:val="16"/>
                <w:szCs w:val="16"/>
                <w:lang w:val="es-ES"/>
              </w:rPr>
              <w:t>China</w:t>
            </w:r>
          </w:p>
        </w:tc>
        <w:tc>
          <w:tcPr>
            <w:tcW w:w="1134" w:type="dxa"/>
            <w:tcBorders>
              <w:left w:val="single" w:sz="4" w:space="0" w:color="auto"/>
              <w:right w:val="single" w:sz="4" w:space="0" w:color="auto"/>
            </w:tcBorders>
            <w:vAlign w:val="center"/>
          </w:tcPr>
          <w:p w14:paraId="4784697F"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2.7</w:t>
            </w:r>
          </w:p>
        </w:tc>
        <w:tc>
          <w:tcPr>
            <w:tcW w:w="992" w:type="dxa"/>
            <w:tcBorders>
              <w:left w:val="single" w:sz="4" w:space="0" w:color="auto"/>
              <w:right w:val="single" w:sz="4" w:space="0" w:color="auto"/>
            </w:tcBorders>
            <w:vAlign w:val="center"/>
          </w:tcPr>
          <w:p w14:paraId="3DD01104" w14:textId="77777777" w:rsidR="0021273B" w:rsidRPr="0021273B" w:rsidRDefault="0021273B" w:rsidP="00BB7F01">
            <w:pPr>
              <w:jc w:val="center"/>
              <w:rPr>
                <w:rFonts w:eastAsia="Times New Roman"/>
                <w:sz w:val="16"/>
                <w:szCs w:val="16"/>
                <w:lang w:val="es-ES"/>
              </w:rPr>
            </w:pPr>
            <w:r w:rsidRPr="0021273B">
              <w:rPr>
                <w:rFonts w:eastAsia="Times New Roman"/>
                <w:sz w:val="16"/>
                <w:szCs w:val="16"/>
                <w:lang w:val="es-ES"/>
              </w:rPr>
              <w:t>2.6</w:t>
            </w:r>
          </w:p>
        </w:tc>
        <w:tc>
          <w:tcPr>
            <w:tcW w:w="1134" w:type="dxa"/>
            <w:tcBorders>
              <w:left w:val="single" w:sz="4" w:space="0" w:color="auto"/>
              <w:right w:val="single" w:sz="4" w:space="0" w:color="auto"/>
            </w:tcBorders>
            <w:vAlign w:val="center"/>
          </w:tcPr>
          <w:p w14:paraId="7229A529"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2.1</w:t>
            </w:r>
          </w:p>
        </w:tc>
        <w:tc>
          <w:tcPr>
            <w:tcW w:w="1134" w:type="dxa"/>
            <w:tcBorders>
              <w:left w:val="single" w:sz="4" w:space="0" w:color="auto"/>
              <w:right w:val="single" w:sz="4" w:space="0" w:color="auto"/>
            </w:tcBorders>
            <w:vAlign w:val="center"/>
          </w:tcPr>
          <w:p w14:paraId="42B20683"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2.2</w:t>
            </w:r>
          </w:p>
        </w:tc>
        <w:tc>
          <w:tcPr>
            <w:tcW w:w="1134" w:type="dxa"/>
            <w:tcBorders>
              <w:left w:val="single" w:sz="4" w:space="0" w:color="auto"/>
              <w:right w:val="single" w:sz="4" w:space="0" w:color="auto"/>
            </w:tcBorders>
            <w:vAlign w:val="center"/>
          </w:tcPr>
          <w:p w14:paraId="42B0A9BB"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2.5</w:t>
            </w:r>
          </w:p>
        </w:tc>
      </w:tr>
      <w:tr w:rsidR="0021273B" w:rsidRPr="0021273B" w14:paraId="3583201F" w14:textId="77777777" w:rsidTr="006A662C">
        <w:trPr>
          <w:jc w:val="center"/>
        </w:trPr>
        <w:tc>
          <w:tcPr>
            <w:tcW w:w="2977" w:type="dxa"/>
            <w:tcBorders>
              <w:left w:val="single" w:sz="4" w:space="0" w:color="auto"/>
              <w:right w:val="single" w:sz="4" w:space="0" w:color="auto"/>
            </w:tcBorders>
            <w:vAlign w:val="center"/>
          </w:tcPr>
          <w:p w14:paraId="67CB71CD" w14:textId="77777777" w:rsidR="0021273B" w:rsidRPr="0021273B" w:rsidRDefault="0021273B" w:rsidP="0021273B">
            <w:pPr>
              <w:spacing w:before="40" w:after="40"/>
              <w:ind w:left="284"/>
              <w:jc w:val="both"/>
              <w:rPr>
                <w:rFonts w:eastAsia="Times New Roman"/>
                <w:sz w:val="16"/>
                <w:szCs w:val="16"/>
                <w:lang w:val="es-ES"/>
              </w:rPr>
            </w:pPr>
            <w:r w:rsidRPr="0021273B">
              <w:rPr>
                <w:rFonts w:eastAsia="Times New Roman"/>
                <w:sz w:val="16"/>
                <w:szCs w:val="16"/>
                <w:lang w:val="es-ES"/>
              </w:rPr>
              <w:t>Asia (exc. China)</w:t>
            </w:r>
          </w:p>
        </w:tc>
        <w:tc>
          <w:tcPr>
            <w:tcW w:w="1134" w:type="dxa"/>
            <w:tcBorders>
              <w:left w:val="single" w:sz="4" w:space="0" w:color="auto"/>
              <w:right w:val="single" w:sz="4" w:space="0" w:color="auto"/>
            </w:tcBorders>
            <w:vAlign w:val="center"/>
          </w:tcPr>
          <w:p w14:paraId="02D9BB90"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4.5</w:t>
            </w:r>
          </w:p>
        </w:tc>
        <w:tc>
          <w:tcPr>
            <w:tcW w:w="992" w:type="dxa"/>
            <w:tcBorders>
              <w:left w:val="single" w:sz="4" w:space="0" w:color="auto"/>
              <w:right w:val="single" w:sz="4" w:space="0" w:color="auto"/>
            </w:tcBorders>
            <w:vAlign w:val="center"/>
          </w:tcPr>
          <w:p w14:paraId="75FD40FA" w14:textId="77777777" w:rsidR="0021273B" w:rsidRPr="0021273B" w:rsidRDefault="0021273B" w:rsidP="00BB7F01">
            <w:pPr>
              <w:jc w:val="center"/>
              <w:rPr>
                <w:rFonts w:eastAsia="Times New Roman"/>
                <w:sz w:val="16"/>
                <w:szCs w:val="16"/>
                <w:lang w:val="es-ES"/>
              </w:rPr>
            </w:pPr>
            <w:r w:rsidRPr="0021273B">
              <w:rPr>
                <w:rFonts w:eastAsia="Times New Roman"/>
                <w:sz w:val="16"/>
                <w:szCs w:val="16"/>
                <w:lang w:val="es-ES"/>
              </w:rPr>
              <w:t>5.1</w:t>
            </w:r>
          </w:p>
        </w:tc>
        <w:tc>
          <w:tcPr>
            <w:tcW w:w="1134" w:type="dxa"/>
            <w:tcBorders>
              <w:left w:val="single" w:sz="4" w:space="0" w:color="auto"/>
              <w:right w:val="single" w:sz="4" w:space="0" w:color="auto"/>
            </w:tcBorders>
            <w:vAlign w:val="center"/>
          </w:tcPr>
          <w:p w14:paraId="0FB2A379"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4.5</w:t>
            </w:r>
          </w:p>
        </w:tc>
        <w:tc>
          <w:tcPr>
            <w:tcW w:w="1134" w:type="dxa"/>
            <w:tcBorders>
              <w:left w:val="single" w:sz="4" w:space="0" w:color="auto"/>
              <w:right w:val="single" w:sz="4" w:space="0" w:color="auto"/>
            </w:tcBorders>
            <w:vAlign w:val="center"/>
          </w:tcPr>
          <w:p w14:paraId="53360BAF"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4.0</w:t>
            </w:r>
          </w:p>
        </w:tc>
        <w:tc>
          <w:tcPr>
            <w:tcW w:w="1134" w:type="dxa"/>
            <w:tcBorders>
              <w:left w:val="single" w:sz="4" w:space="0" w:color="auto"/>
              <w:right w:val="single" w:sz="4" w:space="0" w:color="auto"/>
            </w:tcBorders>
            <w:vAlign w:val="center"/>
          </w:tcPr>
          <w:p w14:paraId="5B6B114A"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4.0</w:t>
            </w:r>
          </w:p>
        </w:tc>
      </w:tr>
      <w:tr w:rsidR="0021273B" w:rsidRPr="0021273B" w14:paraId="07D78060" w14:textId="77777777" w:rsidTr="006A662C">
        <w:trPr>
          <w:jc w:val="center"/>
        </w:trPr>
        <w:tc>
          <w:tcPr>
            <w:tcW w:w="2977" w:type="dxa"/>
            <w:tcBorders>
              <w:left w:val="single" w:sz="4" w:space="0" w:color="auto"/>
              <w:bottom w:val="single" w:sz="4" w:space="0" w:color="auto"/>
              <w:right w:val="single" w:sz="4" w:space="0" w:color="auto"/>
            </w:tcBorders>
            <w:vAlign w:val="center"/>
          </w:tcPr>
          <w:p w14:paraId="02740FBF" w14:textId="77777777" w:rsidR="0021273B" w:rsidRPr="0021273B" w:rsidRDefault="0021273B" w:rsidP="0021273B">
            <w:pPr>
              <w:spacing w:before="40" w:after="40"/>
              <w:jc w:val="both"/>
              <w:rPr>
                <w:rFonts w:eastAsia="Times New Roman"/>
                <w:sz w:val="16"/>
                <w:szCs w:val="16"/>
                <w:lang w:val="es-ES"/>
              </w:rPr>
            </w:pPr>
            <w:r w:rsidRPr="0021273B">
              <w:rPr>
                <w:rFonts w:eastAsia="Times New Roman"/>
                <w:sz w:val="16"/>
                <w:szCs w:val="16"/>
                <w:lang w:val="es-ES"/>
              </w:rPr>
              <w:t>Mundo</w:t>
            </w:r>
          </w:p>
        </w:tc>
        <w:tc>
          <w:tcPr>
            <w:tcW w:w="1134" w:type="dxa"/>
            <w:tcBorders>
              <w:left w:val="single" w:sz="4" w:space="0" w:color="auto"/>
              <w:bottom w:val="single" w:sz="4" w:space="0" w:color="auto"/>
              <w:right w:val="single" w:sz="4" w:space="0" w:color="auto"/>
            </w:tcBorders>
            <w:vAlign w:val="center"/>
          </w:tcPr>
          <w:p w14:paraId="398CB4A1"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4.4</w:t>
            </w:r>
          </w:p>
        </w:tc>
        <w:tc>
          <w:tcPr>
            <w:tcW w:w="992" w:type="dxa"/>
            <w:tcBorders>
              <w:left w:val="single" w:sz="4" w:space="0" w:color="auto"/>
              <w:bottom w:val="single" w:sz="4" w:space="0" w:color="auto"/>
              <w:right w:val="single" w:sz="4" w:space="0" w:color="auto"/>
            </w:tcBorders>
            <w:vAlign w:val="center"/>
          </w:tcPr>
          <w:p w14:paraId="65FA5EB4" w14:textId="77777777" w:rsidR="0021273B" w:rsidRPr="0021273B" w:rsidRDefault="0021273B" w:rsidP="00BB7F01">
            <w:pPr>
              <w:jc w:val="center"/>
              <w:rPr>
                <w:rFonts w:eastAsia="Times New Roman"/>
                <w:sz w:val="16"/>
                <w:szCs w:val="16"/>
                <w:lang w:val="es-ES"/>
              </w:rPr>
            </w:pPr>
            <w:r w:rsidRPr="0021273B">
              <w:rPr>
                <w:rFonts w:eastAsia="Times New Roman"/>
                <w:sz w:val="16"/>
                <w:szCs w:val="16"/>
                <w:lang w:val="es-ES"/>
              </w:rPr>
              <w:t>4.2</w:t>
            </w:r>
          </w:p>
        </w:tc>
        <w:tc>
          <w:tcPr>
            <w:tcW w:w="1134" w:type="dxa"/>
            <w:tcBorders>
              <w:left w:val="single" w:sz="4" w:space="0" w:color="auto"/>
              <w:bottom w:val="single" w:sz="4" w:space="0" w:color="auto"/>
              <w:right w:val="single" w:sz="4" w:space="0" w:color="auto"/>
            </w:tcBorders>
            <w:vAlign w:val="center"/>
          </w:tcPr>
          <w:p w14:paraId="5110048B" w14:textId="10B09ECF" w:rsidR="0021273B" w:rsidRPr="0021273B" w:rsidRDefault="0021273B" w:rsidP="00D63928">
            <w:pPr>
              <w:ind w:right="340"/>
              <w:jc w:val="right"/>
              <w:rPr>
                <w:rFonts w:eastAsia="Times New Roman"/>
                <w:sz w:val="16"/>
                <w:szCs w:val="16"/>
                <w:lang w:val="es-ES"/>
              </w:rPr>
            </w:pPr>
            <w:r w:rsidRPr="0021273B">
              <w:rPr>
                <w:rFonts w:eastAsia="Times New Roman"/>
                <w:sz w:val="16"/>
                <w:szCs w:val="16"/>
                <w:lang w:val="es-ES"/>
              </w:rPr>
              <w:t>4.</w:t>
            </w:r>
            <w:r w:rsidR="00D63928">
              <w:rPr>
                <w:rFonts w:eastAsia="Times New Roman"/>
                <w:sz w:val="16"/>
                <w:szCs w:val="16"/>
                <w:lang w:val="es-ES"/>
              </w:rPr>
              <w:t>1</w:t>
            </w:r>
          </w:p>
        </w:tc>
        <w:tc>
          <w:tcPr>
            <w:tcW w:w="1134" w:type="dxa"/>
            <w:tcBorders>
              <w:left w:val="single" w:sz="4" w:space="0" w:color="auto"/>
              <w:bottom w:val="single" w:sz="4" w:space="0" w:color="auto"/>
              <w:right w:val="single" w:sz="4" w:space="0" w:color="auto"/>
            </w:tcBorders>
            <w:vAlign w:val="center"/>
          </w:tcPr>
          <w:p w14:paraId="6E8B2A93"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4.0</w:t>
            </w:r>
          </w:p>
        </w:tc>
        <w:tc>
          <w:tcPr>
            <w:tcW w:w="1134" w:type="dxa"/>
            <w:tcBorders>
              <w:left w:val="single" w:sz="4" w:space="0" w:color="auto"/>
              <w:bottom w:val="single" w:sz="4" w:space="0" w:color="auto"/>
              <w:right w:val="single" w:sz="4" w:space="0" w:color="auto"/>
            </w:tcBorders>
            <w:vAlign w:val="center"/>
          </w:tcPr>
          <w:p w14:paraId="6BED40B0" w14:textId="77777777" w:rsidR="0021273B" w:rsidRPr="0021273B" w:rsidRDefault="0021273B" w:rsidP="0021273B">
            <w:pPr>
              <w:ind w:right="340"/>
              <w:jc w:val="right"/>
              <w:rPr>
                <w:rFonts w:eastAsia="Times New Roman"/>
                <w:sz w:val="16"/>
                <w:szCs w:val="16"/>
                <w:lang w:val="es-ES"/>
              </w:rPr>
            </w:pPr>
            <w:r w:rsidRPr="0021273B">
              <w:rPr>
                <w:rFonts w:eastAsia="Times New Roman"/>
                <w:sz w:val="16"/>
                <w:szCs w:val="16"/>
                <w:lang w:val="es-ES"/>
              </w:rPr>
              <w:t>4.2</w:t>
            </w:r>
          </w:p>
        </w:tc>
      </w:tr>
      <w:tr w:rsidR="0021273B" w:rsidRPr="0021273B" w14:paraId="79538D95" w14:textId="77777777" w:rsidTr="006A662C">
        <w:trPr>
          <w:jc w:val="center"/>
        </w:trPr>
        <w:tc>
          <w:tcPr>
            <w:tcW w:w="8505" w:type="dxa"/>
            <w:gridSpan w:val="6"/>
            <w:tcBorders>
              <w:top w:val="single" w:sz="4" w:space="0" w:color="auto"/>
            </w:tcBorders>
          </w:tcPr>
          <w:p w14:paraId="71648DA8" w14:textId="77777777" w:rsidR="0021273B" w:rsidRPr="0021273B" w:rsidRDefault="0021273B" w:rsidP="0021273B">
            <w:pPr>
              <w:ind w:right="57"/>
              <w:jc w:val="both"/>
              <w:rPr>
                <w:rFonts w:eastAsia="Times New Roman"/>
                <w:sz w:val="18"/>
                <w:szCs w:val="14"/>
                <w:lang w:val="es-ES"/>
              </w:rPr>
            </w:pPr>
            <w:r w:rsidRPr="0021273B">
              <w:rPr>
                <w:rFonts w:eastAsia="Times New Roman"/>
                <w:sz w:val="18"/>
                <w:szCs w:val="14"/>
                <w:lang w:val="es-ES"/>
              </w:rPr>
              <w:t>*Argentina, Brasil, Chile, Colombia, México, Perú, Venezuela.</w:t>
            </w:r>
          </w:p>
          <w:p w14:paraId="399B5B5F" w14:textId="77777777" w:rsidR="0021273B" w:rsidRPr="0021273B" w:rsidRDefault="0021273B" w:rsidP="0021273B">
            <w:pPr>
              <w:ind w:right="57"/>
              <w:jc w:val="both"/>
              <w:rPr>
                <w:rFonts w:eastAsia="Times New Roman"/>
                <w:sz w:val="18"/>
                <w:szCs w:val="14"/>
                <w:lang w:val="es-ES"/>
              </w:rPr>
            </w:pPr>
            <w:r w:rsidRPr="0021273B">
              <w:rPr>
                <w:rFonts w:eastAsia="Times New Roman"/>
                <w:sz w:val="18"/>
                <w:szCs w:val="14"/>
                <w:lang w:val="es-ES"/>
              </w:rPr>
              <w:t>** Brasil, Corea, China, India, Indonesia, México, Rusia, Taiwán, Turquía.</w:t>
            </w:r>
          </w:p>
          <w:p w14:paraId="180D1060" w14:textId="77777777" w:rsidR="0021273B" w:rsidRPr="0021273B" w:rsidRDefault="0021273B" w:rsidP="0021273B">
            <w:pPr>
              <w:ind w:right="57"/>
              <w:jc w:val="both"/>
              <w:rPr>
                <w:rFonts w:eastAsia="Times New Roman"/>
                <w:sz w:val="18"/>
                <w:szCs w:val="14"/>
                <w:lang w:val="es-ES"/>
              </w:rPr>
            </w:pPr>
            <w:r w:rsidRPr="0021273B">
              <w:rPr>
                <w:rFonts w:eastAsia="Times New Roman"/>
                <w:sz w:val="18"/>
                <w:szCs w:val="14"/>
                <w:u w:val="single"/>
                <w:lang w:val="es-ES"/>
              </w:rPr>
              <w:t>e</w:t>
            </w:r>
            <w:r w:rsidRPr="0021273B">
              <w:rPr>
                <w:rFonts w:eastAsia="Times New Roman"/>
                <w:sz w:val="18"/>
                <w:szCs w:val="14"/>
                <w:lang w:val="es-ES"/>
              </w:rPr>
              <w:t>/ Estimaciones.</w:t>
            </w:r>
          </w:p>
          <w:p w14:paraId="4839E394" w14:textId="77777777" w:rsidR="0021273B" w:rsidRPr="0021273B" w:rsidRDefault="0021273B" w:rsidP="0021273B">
            <w:pPr>
              <w:ind w:right="57"/>
              <w:jc w:val="both"/>
              <w:rPr>
                <w:rFonts w:eastAsia="Times New Roman"/>
                <w:sz w:val="18"/>
                <w:szCs w:val="14"/>
                <w:lang w:val="es-ES"/>
              </w:rPr>
            </w:pPr>
            <w:r w:rsidRPr="0021273B">
              <w:rPr>
                <w:rFonts w:eastAsia="Times New Roman"/>
                <w:sz w:val="18"/>
                <w:szCs w:val="14"/>
                <w:lang w:val="es-ES"/>
              </w:rPr>
              <w:t>Fecha cierre de previsiones: 6 de febrero de 2015.</w:t>
            </w:r>
          </w:p>
          <w:p w14:paraId="6FDC8126" w14:textId="77777777" w:rsidR="0021273B" w:rsidRPr="0021273B" w:rsidRDefault="0021273B" w:rsidP="0021273B">
            <w:pPr>
              <w:ind w:right="57"/>
              <w:jc w:val="both"/>
              <w:rPr>
                <w:rFonts w:eastAsia="Times New Roman"/>
                <w:sz w:val="18"/>
                <w:szCs w:val="14"/>
                <w:lang w:val="es-ES"/>
              </w:rPr>
            </w:pPr>
            <w:r w:rsidRPr="0021273B">
              <w:rPr>
                <w:rFonts w:eastAsia="Times New Roman"/>
                <w:sz w:val="18"/>
                <w:szCs w:val="14"/>
                <w:lang w:val="es-ES"/>
              </w:rPr>
              <w:t>FUENTE: BBVA Research.</w:t>
            </w:r>
          </w:p>
        </w:tc>
      </w:tr>
    </w:tbl>
    <w:p w14:paraId="156B73DC" w14:textId="77777777" w:rsidR="0021273B" w:rsidRPr="0021273B" w:rsidRDefault="0021273B" w:rsidP="0021273B">
      <w:pPr>
        <w:spacing w:after="360" w:line="360" w:lineRule="auto"/>
        <w:ind w:right="-159"/>
        <w:jc w:val="both"/>
        <w:rPr>
          <w:rFonts w:eastAsia="Calibri"/>
          <w:sz w:val="26"/>
          <w:szCs w:val="26"/>
          <w:lang w:val="es-ES" w:eastAsia="en-US"/>
        </w:rPr>
      </w:pPr>
    </w:p>
    <w:p w14:paraId="56487398" w14:textId="77777777" w:rsidR="0021273B" w:rsidRPr="0021273B" w:rsidRDefault="0021273B" w:rsidP="0021273B">
      <w:pPr>
        <w:spacing w:before="360"/>
        <w:ind w:right="-159"/>
        <w:jc w:val="both"/>
        <w:rPr>
          <w:rFonts w:eastAsia="Calibri"/>
          <w:b/>
          <w:sz w:val="20"/>
          <w:szCs w:val="20"/>
          <w:lang w:val="es-ES" w:eastAsia="en-US"/>
        </w:rPr>
      </w:pPr>
      <w:r w:rsidRPr="0021273B">
        <w:rPr>
          <w:rFonts w:eastAsia="Calibri"/>
          <w:b/>
          <w:sz w:val="20"/>
          <w:szCs w:val="20"/>
          <w:lang w:val="es-ES" w:eastAsia="en-US"/>
        </w:rPr>
        <w:t>Fuente de información:</w:t>
      </w:r>
    </w:p>
    <w:p w14:paraId="348782A9" w14:textId="77777777" w:rsidR="0021273B" w:rsidRPr="00447800" w:rsidRDefault="0093224F" w:rsidP="00447800">
      <w:pPr>
        <w:spacing w:after="720"/>
        <w:ind w:right="-159"/>
        <w:jc w:val="both"/>
        <w:rPr>
          <w:rFonts w:eastAsia="Calibri"/>
          <w:color w:val="0000FF"/>
          <w:sz w:val="20"/>
          <w:szCs w:val="20"/>
          <w:lang w:eastAsia="en-US"/>
        </w:rPr>
      </w:pPr>
      <w:hyperlink r:id="rId42" w:history="1">
        <w:r w:rsidR="0021273B" w:rsidRPr="00447800">
          <w:rPr>
            <w:rFonts w:eastAsia="Calibri"/>
            <w:color w:val="0000FF"/>
            <w:sz w:val="20"/>
            <w:szCs w:val="20"/>
            <w:u w:val="single"/>
            <w:lang w:eastAsia="en-US"/>
          </w:rPr>
          <w:t>https://www.bbvaresearch.com/wp-content/uploads/2015/02/1502_SituacionMexico_1T15.pdf</w:t>
        </w:r>
      </w:hyperlink>
    </w:p>
    <w:p w14:paraId="0781054C" w14:textId="77777777" w:rsidR="007C397D" w:rsidRPr="007C397D" w:rsidRDefault="007C397D" w:rsidP="007C397D">
      <w:pPr>
        <w:ind w:right="-159"/>
        <w:jc w:val="both"/>
        <w:rPr>
          <w:rFonts w:eastAsia="Calibri"/>
          <w:b/>
          <w:sz w:val="26"/>
          <w:szCs w:val="26"/>
          <w:lang w:eastAsia="en-US"/>
        </w:rPr>
      </w:pPr>
      <w:r w:rsidRPr="007C397D">
        <w:rPr>
          <w:rFonts w:eastAsia="Calibri"/>
          <w:b/>
          <w:sz w:val="26"/>
          <w:szCs w:val="26"/>
          <w:lang w:eastAsia="en-US"/>
        </w:rPr>
        <w:t xml:space="preserve">Ratifican calificación de </w:t>
      </w:r>
      <w:r w:rsidRPr="007C397D">
        <w:rPr>
          <w:rFonts w:eastAsia="Calibri"/>
          <w:b/>
          <w:bCs/>
          <w:sz w:val="26"/>
          <w:szCs w:val="26"/>
          <w:lang w:eastAsia="en-US"/>
        </w:rPr>
        <w:t xml:space="preserve">México </w:t>
      </w:r>
      <w:r w:rsidRPr="007C397D">
        <w:rPr>
          <w:rFonts w:eastAsia="Calibri"/>
          <w:b/>
          <w:sz w:val="26"/>
          <w:szCs w:val="26"/>
          <w:lang w:eastAsia="en-US"/>
        </w:rPr>
        <w:t>en BBB+;</w:t>
      </w:r>
    </w:p>
    <w:p w14:paraId="7BB4E3F6" w14:textId="77777777" w:rsidR="007C397D" w:rsidRPr="007C397D" w:rsidRDefault="007C397D" w:rsidP="007C397D">
      <w:pPr>
        <w:spacing w:after="360" w:line="360" w:lineRule="auto"/>
        <w:ind w:right="-159"/>
        <w:jc w:val="both"/>
        <w:rPr>
          <w:rFonts w:eastAsia="Calibri"/>
          <w:b/>
          <w:sz w:val="26"/>
          <w:szCs w:val="26"/>
          <w:lang w:eastAsia="en-US"/>
        </w:rPr>
      </w:pPr>
      <w:proofErr w:type="gramStart"/>
      <w:r w:rsidRPr="007C397D">
        <w:rPr>
          <w:rFonts w:eastAsia="Calibri"/>
          <w:b/>
          <w:sz w:val="26"/>
          <w:szCs w:val="26"/>
          <w:lang w:eastAsia="en-US"/>
        </w:rPr>
        <w:t>la</w:t>
      </w:r>
      <w:proofErr w:type="gramEnd"/>
      <w:r w:rsidRPr="007C397D">
        <w:rPr>
          <w:rFonts w:eastAsia="Calibri"/>
          <w:b/>
          <w:sz w:val="26"/>
          <w:szCs w:val="26"/>
          <w:lang w:eastAsia="en-US"/>
        </w:rPr>
        <w:t xml:space="preserve"> perspectiva se ubica en “estable” (Fitch)</w:t>
      </w:r>
    </w:p>
    <w:p w14:paraId="659A4CC6" w14:textId="680D3DDD" w:rsidR="007C397D" w:rsidRDefault="007C397D" w:rsidP="007C397D">
      <w:pPr>
        <w:spacing w:after="360" w:line="360" w:lineRule="auto"/>
        <w:ind w:right="-159"/>
        <w:jc w:val="both"/>
        <w:rPr>
          <w:rFonts w:eastAsia="Calibri"/>
          <w:sz w:val="26"/>
          <w:szCs w:val="26"/>
          <w:lang w:eastAsia="en-US"/>
        </w:rPr>
      </w:pPr>
      <w:r w:rsidRPr="007C397D">
        <w:rPr>
          <w:rFonts w:eastAsia="Calibri"/>
          <w:bCs/>
          <w:sz w:val="26"/>
          <w:szCs w:val="26"/>
          <w:lang w:eastAsia="en-US"/>
        </w:rPr>
        <w:t xml:space="preserve">El 25 de febrero de 2015, la casa calificadora </w:t>
      </w:r>
      <w:r w:rsidRPr="007C397D">
        <w:rPr>
          <w:rFonts w:eastAsia="Calibri"/>
          <w:sz w:val="26"/>
          <w:szCs w:val="26"/>
          <w:lang w:eastAsia="en-US"/>
        </w:rPr>
        <w:t>Fitch Ratings afirmó las IDRs de largo plazo en moneda extranjera y local de México en “BBB+” y “A-”, respectivamente. Las calificaciones de emisión de los bonos senior no garantizados en moneda extranjera y local también se afirmaron en “BBB+” y “A-”, respectivamente. Las Perspectivas de Calificación para las IDRs (</w:t>
      </w:r>
      <w:r w:rsidRPr="006B134F">
        <w:rPr>
          <w:rFonts w:eastAsia="Calibri"/>
          <w:i/>
          <w:sz w:val="26"/>
          <w:szCs w:val="26"/>
          <w:lang w:eastAsia="en-US"/>
        </w:rPr>
        <w:t>Issuer Default Ratings</w:t>
      </w:r>
      <w:r w:rsidRPr="007C397D">
        <w:rPr>
          <w:rFonts w:eastAsia="Calibri"/>
          <w:sz w:val="26"/>
          <w:szCs w:val="26"/>
          <w:lang w:eastAsia="en-US"/>
        </w:rPr>
        <w:t>) de largo plazo son “estables”. El Techo País se afirmó en “A” y la IDR de corto plazo en moneda extranjera en “F2”.</w:t>
      </w:r>
    </w:p>
    <w:p w14:paraId="04E5C309" w14:textId="77777777" w:rsidR="00E53D8D" w:rsidRPr="007C397D" w:rsidRDefault="00E53D8D" w:rsidP="007C397D">
      <w:pPr>
        <w:spacing w:after="360" w:line="360" w:lineRule="auto"/>
        <w:ind w:right="-159"/>
        <w:jc w:val="both"/>
        <w:rPr>
          <w:rFonts w:eastAsia="Calibri"/>
          <w:sz w:val="26"/>
          <w:szCs w:val="26"/>
          <w:lang w:eastAsia="en-US"/>
        </w:rPr>
      </w:pPr>
    </w:p>
    <w:p w14:paraId="6B80443C" w14:textId="77777777" w:rsidR="007C397D" w:rsidRPr="007C397D" w:rsidRDefault="007C397D" w:rsidP="007C397D">
      <w:pPr>
        <w:spacing w:after="360" w:line="360" w:lineRule="auto"/>
        <w:ind w:right="-159"/>
        <w:jc w:val="both"/>
        <w:rPr>
          <w:rFonts w:eastAsia="Calibri"/>
          <w:sz w:val="26"/>
          <w:szCs w:val="26"/>
          <w:lang w:eastAsia="en-US"/>
        </w:rPr>
      </w:pPr>
      <w:r w:rsidRPr="007C397D">
        <w:rPr>
          <w:rFonts w:eastAsia="Calibri"/>
          <w:b/>
          <w:bCs/>
          <w:sz w:val="26"/>
          <w:szCs w:val="26"/>
          <w:lang w:eastAsia="en-US"/>
        </w:rPr>
        <w:lastRenderedPageBreak/>
        <w:t>Factores clave de la calificación</w:t>
      </w:r>
    </w:p>
    <w:p w14:paraId="32C698C0" w14:textId="77777777" w:rsidR="007C397D" w:rsidRPr="007C397D" w:rsidRDefault="007C397D" w:rsidP="007C397D">
      <w:pPr>
        <w:spacing w:after="360" w:line="360" w:lineRule="auto"/>
        <w:ind w:right="-159"/>
        <w:jc w:val="both"/>
        <w:rPr>
          <w:rFonts w:eastAsia="Calibri"/>
          <w:sz w:val="26"/>
          <w:szCs w:val="26"/>
          <w:lang w:eastAsia="en-US"/>
        </w:rPr>
      </w:pPr>
      <w:r w:rsidRPr="007C397D">
        <w:rPr>
          <w:rFonts w:eastAsia="Calibri"/>
          <w:sz w:val="26"/>
          <w:szCs w:val="26"/>
          <w:lang w:eastAsia="en-US"/>
        </w:rPr>
        <w:t>Las IDRs de México reflejan los siguientes factores clave:</w:t>
      </w:r>
    </w:p>
    <w:p w14:paraId="07DEC769" w14:textId="77777777" w:rsidR="007C397D" w:rsidRPr="007C397D" w:rsidRDefault="007C397D" w:rsidP="007C397D">
      <w:pPr>
        <w:spacing w:after="360" w:line="360" w:lineRule="auto"/>
        <w:ind w:right="-159"/>
        <w:jc w:val="both"/>
        <w:rPr>
          <w:rFonts w:eastAsia="Calibri"/>
          <w:sz w:val="26"/>
          <w:szCs w:val="26"/>
          <w:lang w:eastAsia="en-US"/>
        </w:rPr>
      </w:pPr>
      <w:r w:rsidRPr="007C397D">
        <w:rPr>
          <w:rFonts w:eastAsia="Calibri"/>
          <w:sz w:val="26"/>
          <w:szCs w:val="26"/>
          <w:lang w:eastAsia="en-US"/>
        </w:rPr>
        <w:t>Las calificaciones de México están respaldadas por sus políticas económicas disciplinadas, su estabilidad macroeconómica bien establecida y sus desequilibrios bajos, así como un sector bancario bien capitalizado. La implementación de amplias reformas económicas bajo la administración de Peña Nieto, si se ejecutan de forma apropiada, mejorarán la competitividad, inversión y perspectiva de crecimiento del país en el mediano plazo. Estas fortalezas compensan suficientemente las limitaciones de la calificación, las cuales incluyen debilidades estructurales en sus finanzas públicas, una intermediación financiera relativamente baja, y debilidades institucionales evidenciadas en la alta incidencia de violencia relacionada con las drogas y corrupción.</w:t>
      </w:r>
    </w:p>
    <w:p w14:paraId="0894A977" w14:textId="672A8033" w:rsidR="007C397D" w:rsidRPr="007C397D" w:rsidRDefault="007C397D" w:rsidP="007C397D">
      <w:pPr>
        <w:spacing w:after="360" w:line="360" w:lineRule="auto"/>
        <w:ind w:right="-159"/>
        <w:jc w:val="both"/>
        <w:rPr>
          <w:rFonts w:eastAsia="Calibri"/>
          <w:sz w:val="26"/>
          <w:szCs w:val="26"/>
          <w:lang w:eastAsia="en-US"/>
        </w:rPr>
      </w:pPr>
      <w:r w:rsidRPr="007C397D">
        <w:rPr>
          <w:rFonts w:eastAsia="Calibri"/>
          <w:sz w:val="26"/>
          <w:szCs w:val="26"/>
          <w:lang w:eastAsia="en-US"/>
        </w:rPr>
        <w:t xml:space="preserve">La flexibilidad de política económica de México facilita un ajuste al nuevo entorno externo de menores precios en las materias primas (petróleo) y del retiro del estímulo monetario en Estados Unidos de Norteamérica. Se permitió que la moneda se depreciara para absorber los choques externos y la Comisión de Cambios de México ha empleado una intervención cambiaria con base en reglas para asegurar una liquidez y un funcionamiento del mercado cambiario apropiados. La creciente participación extranjera en el mercado local de títulos del gobierno representa una fuente de vulnerabilidad. Sin embargo, el aumento del colchón de reservas internacionales desde 2008 y el acceso a una Línea de Crédito Flexible del Fondo Monetario Internacional proveen un soporte adecuado para una sostenida resistencia externa. La estabilidad macroeconómica además se beneficia de una tasa de inflación relativamente moderada (4.1% a fines de 2014), la cual se espera que siga cayendo en 2015, y déficit en cuenta corriente moderados, los cuales se espera que se deterioren levemente, con un promedio de algo más de 2% del </w:t>
      </w:r>
      <w:r w:rsidR="006B134F">
        <w:rPr>
          <w:rFonts w:eastAsia="Calibri"/>
          <w:sz w:val="26"/>
          <w:szCs w:val="26"/>
          <w:lang w:eastAsia="en-US"/>
        </w:rPr>
        <w:t>Producto Interno Bruto (</w:t>
      </w:r>
      <w:r w:rsidRPr="007C397D">
        <w:rPr>
          <w:rFonts w:eastAsia="Calibri"/>
          <w:sz w:val="26"/>
          <w:szCs w:val="26"/>
          <w:lang w:eastAsia="en-US"/>
        </w:rPr>
        <w:t>PIB</w:t>
      </w:r>
      <w:r w:rsidR="006B134F">
        <w:rPr>
          <w:rFonts w:eastAsia="Calibri"/>
          <w:sz w:val="26"/>
          <w:szCs w:val="26"/>
          <w:lang w:eastAsia="en-US"/>
        </w:rPr>
        <w:t>)</w:t>
      </w:r>
      <w:r w:rsidRPr="007C397D">
        <w:rPr>
          <w:rFonts w:eastAsia="Calibri"/>
          <w:sz w:val="26"/>
          <w:szCs w:val="26"/>
          <w:lang w:eastAsia="en-US"/>
        </w:rPr>
        <w:t xml:space="preserve"> durante 2015-2016.</w:t>
      </w:r>
    </w:p>
    <w:p w14:paraId="4A35F50D" w14:textId="77777777" w:rsidR="007C397D" w:rsidRPr="007C397D" w:rsidRDefault="007C397D" w:rsidP="007C397D">
      <w:pPr>
        <w:spacing w:after="360" w:line="360" w:lineRule="auto"/>
        <w:ind w:right="-159"/>
        <w:jc w:val="both"/>
        <w:rPr>
          <w:rFonts w:eastAsia="Calibri"/>
          <w:sz w:val="26"/>
          <w:szCs w:val="26"/>
          <w:lang w:eastAsia="en-US"/>
        </w:rPr>
      </w:pPr>
      <w:r w:rsidRPr="007C397D">
        <w:rPr>
          <w:rFonts w:eastAsia="Calibri"/>
          <w:sz w:val="26"/>
          <w:szCs w:val="26"/>
          <w:lang w:eastAsia="en-US"/>
        </w:rPr>
        <w:lastRenderedPageBreak/>
        <w:t>Se proyecta un crecimiento de 3% para la economía mexicana en 2015, comparado con el 2.1% registrado en 2014 debido a la aceleración económica esperada en Estados Unidos de Norteamérica y la mejora en ciertos factores que habían pesado sobre la confianza y el crecimiento el año pasado. Una mayor confianza y un aumento en los flujos de inversión relacionados con la implementación de reformas estructurales legisladas en los últimos años debería soportar el crecimiento durante 2016 y más adelante. Sin embargo, los menores precios del petróleo, la reducción en el gasto fiscal y la volatilidad internacional ante el esperado retiro de la política monetaria expansiva de Estados Unidos de Norteamérica representan riesgos a la baja para el desempeño económico de México en el corto plazo. Si la actual debilidad en el precio del petróleo persiste, esto podría retrasar y/o reducir los potenciales flujos de inversión hacia el sector petrolero, especialmente para yacimientos de agua profunda y fuentes no tradicionales.</w:t>
      </w:r>
    </w:p>
    <w:p w14:paraId="1306BDC1" w14:textId="77777777" w:rsidR="007C397D" w:rsidRPr="007C397D" w:rsidRDefault="007C397D" w:rsidP="007C397D">
      <w:pPr>
        <w:spacing w:after="360" w:line="360" w:lineRule="auto"/>
        <w:ind w:right="-159"/>
        <w:jc w:val="both"/>
        <w:rPr>
          <w:rFonts w:eastAsia="Calibri"/>
          <w:sz w:val="26"/>
          <w:szCs w:val="26"/>
          <w:lang w:eastAsia="en-US"/>
        </w:rPr>
      </w:pPr>
      <w:r w:rsidRPr="007C397D">
        <w:rPr>
          <w:rFonts w:eastAsia="Calibri"/>
          <w:sz w:val="26"/>
          <w:szCs w:val="26"/>
          <w:lang w:eastAsia="en-US"/>
        </w:rPr>
        <w:t xml:space="preserve">La implementación de medidas para aumentar los ingresos en 2014 resultaron ser oportunas, ya que ayudaron a compensar el menor ingreso petrolero el año pasado, y seguirán contribuyendo de manera positiva a los ingresos en los próximos años. La caída en el precio del petróleo y una menor plataforma de producción de petróleo representan desafíos para la economía mexicana, especialmente para sus cuentas fiscales. La vulnerabilidad de corto plazo de las cuentas fiscales es mitigada por la decisión del gobierno de ejecutar una cobertura de petróleo para proteger el ingreso petrolero del gobierno contra precios significativamente más bajos que los presupuestados, y por el reciente anuncio de reducciones en el gasto fiscal. La reducción preventiva en el gasto fiscal (que alcanza 0.7% del PIB para el sector público) demuestra el compromiso de las autoridades para mantener la estabilidad fiscal ante los menores precios del petróleo y una lenta recuperación económica. Es probable que se requerirán ajustes fiscales adicionales para que el gobierno logre alcanzar sus metas de consolidación fiscal de mediano plazo, especialmente si se mantiene el entorno de precios bajos y/o si la producción de petróleo no aumenta en línea con lo esperado. Los </w:t>
      </w:r>
      <w:r w:rsidRPr="007C397D">
        <w:rPr>
          <w:rFonts w:eastAsia="Calibri"/>
          <w:sz w:val="26"/>
          <w:szCs w:val="26"/>
          <w:lang w:eastAsia="en-US"/>
        </w:rPr>
        <w:lastRenderedPageBreak/>
        <w:t>colchones fiscales en forma de fondos de estabilización del petróleo para enfrentar un choque estructural en el precio del petróleo, son relativamente bajos.</w:t>
      </w:r>
    </w:p>
    <w:p w14:paraId="04AA5A47" w14:textId="77777777" w:rsidR="007C397D" w:rsidRPr="007C397D" w:rsidRDefault="007C397D" w:rsidP="007C397D">
      <w:pPr>
        <w:spacing w:after="360" w:line="360" w:lineRule="auto"/>
        <w:ind w:right="-159"/>
        <w:jc w:val="both"/>
        <w:rPr>
          <w:rFonts w:eastAsia="Calibri"/>
          <w:sz w:val="26"/>
          <w:szCs w:val="26"/>
          <w:lang w:eastAsia="en-US"/>
        </w:rPr>
      </w:pPr>
      <w:r w:rsidRPr="007C397D">
        <w:rPr>
          <w:rFonts w:eastAsia="Calibri"/>
          <w:sz w:val="26"/>
          <w:szCs w:val="26"/>
          <w:lang w:eastAsia="en-US"/>
        </w:rPr>
        <w:t>El gobierno espera consolidar gradualmente sus cuentas fiscales en los próximos años, lo cual debería resultar en una estabilidad amplia en el índice de deuda gubernamental. Sin embargo, riesgos para las trayectorias fiscales y de endeudamiento del gobierno podrían emerger si los bajos precios del petróleo persisten por un período más prolongado, así como ante tendencias adversas en la producción de petróleo y un menor crecimiento económico. La administración de pasivos efectiva, la composición de monedas favorable de la deuda y el excelente acceso de México al mercado de capitales mitigan estos riesgos.</w:t>
      </w:r>
    </w:p>
    <w:p w14:paraId="1655FC02" w14:textId="77777777" w:rsidR="007C397D" w:rsidRPr="007C397D" w:rsidRDefault="007C397D" w:rsidP="007C397D">
      <w:pPr>
        <w:spacing w:after="360" w:line="360" w:lineRule="auto"/>
        <w:ind w:right="-159"/>
        <w:jc w:val="both"/>
        <w:rPr>
          <w:rFonts w:eastAsia="Calibri"/>
          <w:sz w:val="26"/>
          <w:szCs w:val="26"/>
          <w:lang w:eastAsia="en-US"/>
        </w:rPr>
      </w:pPr>
      <w:r w:rsidRPr="007C397D">
        <w:rPr>
          <w:rFonts w:eastAsia="Calibri"/>
          <w:sz w:val="26"/>
          <w:szCs w:val="26"/>
          <w:lang w:eastAsia="en-US"/>
        </w:rPr>
        <w:t>Ciertos escándalos de corrupción de alto perfil y la continua violencia parecen haber reducido la confianza doméstica y resaltan algunas de las debilidades institucionales de México. El país tiene una posición relativamente baja en términos de indicadores de gobernabilidad relacionados con el estado de derecho y el control de corrupción. Fitch considera que el progreso que se logre en estas debilidades institucionales será lento y espera que la violencia seguirá concentrada regionalmente, aunque los costos económicos relacionados con ella permanecerán en el futuro cercano.</w:t>
      </w:r>
    </w:p>
    <w:p w14:paraId="7BB1A4A0" w14:textId="77777777" w:rsidR="007C397D" w:rsidRPr="007C397D" w:rsidRDefault="007C397D" w:rsidP="007C397D">
      <w:pPr>
        <w:spacing w:after="360" w:line="360" w:lineRule="auto"/>
        <w:ind w:right="-159"/>
        <w:jc w:val="both"/>
        <w:rPr>
          <w:rFonts w:eastAsia="Calibri"/>
          <w:sz w:val="26"/>
          <w:szCs w:val="26"/>
          <w:lang w:eastAsia="en-US"/>
        </w:rPr>
      </w:pPr>
      <w:r w:rsidRPr="007C397D">
        <w:rPr>
          <w:rFonts w:eastAsia="Calibri"/>
          <w:b/>
          <w:bCs/>
          <w:sz w:val="26"/>
          <w:szCs w:val="26"/>
          <w:lang w:eastAsia="en-US"/>
        </w:rPr>
        <w:t>Sensibilidad de la calificación</w:t>
      </w:r>
    </w:p>
    <w:p w14:paraId="69058E66" w14:textId="77777777" w:rsidR="007C397D" w:rsidRPr="007C397D" w:rsidRDefault="007C397D" w:rsidP="007C397D">
      <w:pPr>
        <w:spacing w:after="360" w:line="360" w:lineRule="auto"/>
        <w:ind w:right="-159"/>
        <w:jc w:val="both"/>
        <w:rPr>
          <w:rFonts w:eastAsia="Calibri"/>
          <w:sz w:val="26"/>
          <w:szCs w:val="26"/>
          <w:lang w:eastAsia="en-US"/>
        </w:rPr>
      </w:pPr>
      <w:r w:rsidRPr="007C397D">
        <w:rPr>
          <w:rFonts w:eastAsia="Calibri"/>
          <w:sz w:val="26"/>
          <w:szCs w:val="26"/>
          <w:lang w:eastAsia="en-US"/>
        </w:rPr>
        <w:t>La perspectiva “estable” refleja la opinión de Fitch de que los riesgos a la baja y a la alza para las calificaciones actualmente se encuentran equilibrados. El análisis de sensibilidad de Fitch actualmente no anticipa eventos que tengan una alta probabilidad de llevar a un cambio en la calificación.</w:t>
      </w:r>
    </w:p>
    <w:p w14:paraId="1534DE10" w14:textId="77777777" w:rsidR="007C397D" w:rsidRPr="007C397D" w:rsidRDefault="007C397D" w:rsidP="007C397D">
      <w:pPr>
        <w:spacing w:after="360" w:line="360" w:lineRule="auto"/>
        <w:ind w:right="-159"/>
        <w:jc w:val="both"/>
        <w:rPr>
          <w:rFonts w:eastAsia="Calibri"/>
          <w:sz w:val="26"/>
          <w:szCs w:val="26"/>
          <w:lang w:eastAsia="en-US"/>
        </w:rPr>
      </w:pPr>
      <w:r w:rsidRPr="007C397D">
        <w:rPr>
          <w:rFonts w:eastAsia="Calibri"/>
          <w:sz w:val="26"/>
          <w:szCs w:val="26"/>
          <w:lang w:eastAsia="en-US"/>
        </w:rPr>
        <w:t>Los principales factores que, en forma individual o colectiva, podrían desencadenar una acción de calificación positiva, incluyen:</w:t>
      </w:r>
    </w:p>
    <w:p w14:paraId="2837BAB8" w14:textId="77777777" w:rsidR="007C397D" w:rsidRPr="007C397D" w:rsidRDefault="007C397D" w:rsidP="00276F3E">
      <w:pPr>
        <w:numPr>
          <w:ilvl w:val="0"/>
          <w:numId w:val="16"/>
        </w:numPr>
        <w:spacing w:after="360" w:line="360" w:lineRule="auto"/>
        <w:ind w:right="-159"/>
        <w:jc w:val="both"/>
        <w:rPr>
          <w:rFonts w:eastAsia="Calibri"/>
          <w:sz w:val="26"/>
          <w:szCs w:val="26"/>
          <w:lang w:eastAsia="en-US"/>
        </w:rPr>
      </w:pPr>
      <w:r w:rsidRPr="007C397D">
        <w:rPr>
          <w:rFonts w:eastAsia="Calibri"/>
          <w:sz w:val="26"/>
          <w:szCs w:val="26"/>
          <w:lang w:eastAsia="en-US"/>
        </w:rPr>
        <w:lastRenderedPageBreak/>
        <w:t>Trayectorias de inversión y crecimiento más altas que facilitarían la reducción en la deuda del gobierno y que reducirían la brecha de ingresos con soberanos con calificaciones más altas.</w:t>
      </w:r>
    </w:p>
    <w:p w14:paraId="7D02F371" w14:textId="77777777" w:rsidR="007C397D" w:rsidRPr="007C397D" w:rsidRDefault="007C397D" w:rsidP="00276F3E">
      <w:pPr>
        <w:numPr>
          <w:ilvl w:val="0"/>
          <w:numId w:val="16"/>
        </w:numPr>
        <w:spacing w:after="360" w:line="360" w:lineRule="auto"/>
        <w:ind w:right="-159"/>
        <w:jc w:val="both"/>
        <w:rPr>
          <w:rFonts w:eastAsia="Calibri"/>
          <w:sz w:val="26"/>
          <w:szCs w:val="26"/>
          <w:lang w:eastAsia="en-US"/>
        </w:rPr>
      </w:pPr>
      <w:r w:rsidRPr="007C397D">
        <w:rPr>
          <w:rFonts w:eastAsia="Calibri"/>
          <w:sz w:val="26"/>
          <w:szCs w:val="26"/>
          <w:lang w:eastAsia="en-US"/>
        </w:rPr>
        <w:t>Aumentos materiales en la flexibilidad y los colchones fiscales para enfrentar choques.</w:t>
      </w:r>
    </w:p>
    <w:p w14:paraId="754224A4" w14:textId="77777777" w:rsidR="007C397D" w:rsidRPr="00C577E7" w:rsidRDefault="007C397D" w:rsidP="00276F3E">
      <w:pPr>
        <w:pStyle w:val="Prrafodelista"/>
        <w:numPr>
          <w:ilvl w:val="0"/>
          <w:numId w:val="16"/>
        </w:numPr>
        <w:spacing w:after="360" w:line="360" w:lineRule="auto"/>
        <w:ind w:right="-159"/>
        <w:jc w:val="both"/>
        <w:rPr>
          <w:rFonts w:ascii="Times New Roman" w:eastAsia="Calibri" w:hAnsi="Times New Roman" w:cs="Times New Roman"/>
          <w:sz w:val="26"/>
          <w:szCs w:val="26"/>
          <w:lang w:eastAsia="en-US"/>
        </w:rPr>
      </w:pPr>
      <w:r w:rsidRPr="00C577E7">
        <w:rPr>
          <w:rFonts w:ascii="Times New Roman" w:eastAsia="Calibri" w:hAnsi="Times New Roman" w:cs="Times New Roman"/>
          <w:sz w:val="26"/>
          <w:szCs w:val="26"/>
          <w:lang w:eastAsia="en-US"/>
        </w:rPr>
        <w:t>Los principales factores que, en forma individual o colectiva, podrían desencadenar una acción de calificación negativa, incluyen:</w:t>
      </w:r>
    </w:p>
    <w:p w14:paraId="0584ABAE" w14:textId="77777777" w:rsidR="007C397D" w:rsidRPr="007C397D" w:rsidRDefault="007C397D" w:rsidP="00276F3E">
      <w:pPr>
        <w:numPr>
          <w:ilvl w:val="0"/>
          <w:numId w:val="16"/>
        </w:numPr>
        <w:spacing w:after="360" w:line="360" w:lineRule="auto"/>
        <w:ind w:right="-159"/>
        <w:jc w:val="both"/>
        <w:rPr>
          <w:rFonts w:eastAsia="Calibri"/>
          <w:sz w:val="26"/>
          <w:szCs w:val="26"/>
          <w:lang w:eastAsia="en-US"/>
        </w:rPr>
      </w:pPr>
      <w:r w:rsidRPr="007C397D">
        <w:rPr>
          <w:rFonts w:eastAsia="Calibri"/>
          <w:sz w:val="26"/>
          <w:szCs w:val="26"/>
          <w:lang w:eastAsia="en-US"/>
        </w:rPr>
        <w:t>Un desempeño económico débil y un deterioro fiscal material que lleve a un empeoramiento en la dinámica de deuda gubernamental, será negativo.</w:t>
      </w:r>
    </w:p>
    <w:p w14:paraId="4DBAEEAD" w14:textId="77777777" w:rsidR="007C397D" w:rsidRPr="007C397D" w:rsidRDefault="007C397D" w:rsidP="00276F3E">
      <w:pPr>
        <w:numPr>
          <w:ilvl w:val="0"/>
          <w:numId w:val="16"/>
        </w:numPr>
        <w:spacing w:after="360" w:line="360" w:lineRule="auto"/>
        <w:ind w:right="-159"/>
        <w:jc w:val="both"/>
        <w:rPr>
          <w:rFonts w:eastAsia="Calibri"/>
          <w:sz w:val="26"/>
          <w:szCs w:val="26"/>
          <w:lang w:eastAsia="en-US"/>
        </w:rPr>
      </w:pPr>
      <w:r w:rsidRPr="007C397D">
        <w:rPr>
          <w:rFonts w:eastAsia="Calibri"/>
          <w:sz w:val="26"/>
          <w:szCs w:val="26"/>
          <w:lang w:eastAsia="en-US"/>
        </w:rPr>
        <w:t>La falta de una respuesta de política adecuada en caso de una presión sostenida en el ingreso petrolero fiscal que afecte la confianza, flexibilidad y credibilidad de la política fiscal.</w:t>
      </w:r>
    </w:p>
    <w:p w14:paraId="587776F1" w14:textId="77777777" w:rsidR="007C397D" w:rsidRPr="007C397D" w:rsidRDefault="007C397D" w:rsidP="007C397D">
      <w:pPr>
        <w:spacing w:after="360" w:line="360" w:lineRule="auto"/>
        <w:ind w:right="-159"/>
        <w:jc w:val="both"/>
        <w:rPr>
          <w:rFonts w:eastAsia="Calibri"/>
          <w:sz w:val="26"/>
          <w:szCs w:val="26"/>
          <w:lang w:eastAsia="en-US"/>
        </w:rPr>
      </w:pPr>
      <w:r w:rsidRPr="007C397D">
        <w:rPr>
          <w:rFonts w:eastAsia="Calibri"/>
          <w:b/>
          <w:bCs/>
          <w:sz w:val="26"/>
          <w:szCs w:val="26"/>
          <w:lang w:eastAsia="en-US"/>
        </w:rPr>
        <w:t>Supuestos clave:</w:t>
      </w:r>
    </w:p>
    <w:p w14:paraId="7A1AD05E" w14:textId="77777777" w:rsidR="007C397D" w:rsidRPr="007C397D" w:rsidRDefault="007C397D" w:rsidP="007C397D">
      <w:pPr>
        <w:spacing w:after="360" w:line="360" w:lineRule="auto"/>
        <w:ind w:right="-159"/>
        <w:jc w:val="both"/>
        <w:rPr>
          <w:rFonts w:eastAsia="Calibri"/>
          <w:sz w:val="26"/>
          <w:szCs w:val="26"/>
          <w:lang w:eastAsia="en-US"/>
        </w:rPr>
      </w:pPr>
      <w:r w:rsidRPr="007C397D">
        <w:rPr>
          <w:rFonts w:eastAsia="Calibri"/>
          <w:sz w:val="26"/>
          <w:szCs w:val="26"/>
          <w:lang w:eastAsia="en-US"/>
        </w:rPr>
        <w:t>Las Calificaciones y Perspectivas son sensibles a varios supuestos:</w:t>
      </w:r>
    </w:p>
    <w:p w14:paraId="71B897A9" w14:textId="77777777" w:rsidR="007C397D" w:rsidRPr="007C397D" w:rsidRDefault="007C397D" w:rsidP="00276F3E">
      <w:pPr>
        <w:numPr>
          <w:ilvl w:val="0"/>
          <w:numId w:val="17"/>
        </w:numPr>
        <w:spacing w:after="360" w:line="360" w:lineRule="auto"/>
        <w:ind w:left="714" w:right="-159" w:hanging="357"/>
        <w:jc w:val="both"/>
        <w:rPr>
          <w:rFonts w:eastAsia="Calibri"/>
          <w:sz w:val="26"/>
          <w:szCs w:val="26"/>
          <w:lang w:eastAsia="en-US"/>
        </w:rPr>
      </w:pPr>
      <w:r w:rsidRPr="007C397D">
        <w:rPr>
          <w:rFonts w:eastAsia="Calibri"/>
          <w:sz w:val="26"/>
          <w:szCs w:val="26"/>
          <w:lang w:eastAsia="en-US"/>
        </w:rPr>
        <w:t>Fitch asume que el crecimiento económico en Estados Unidos de Norteamérica se acelerará a 3.1 en 2015 y 3% en 2016, entregándole un impulso de demanda externa a la economía mexicana.</w:t>
      </w:r>
    </w:p>
    <w:p w14:paraId="519F35CA" w14:textId="77777777" w:rsidR="007C397D" w:rsidRPr="007C397D" w:rsidRDefault="007C397D" w:rsidP="00276F3E">
      <w:pPr>
        <w:numPr>
          <w:ilvl w:val="0"/>
          <w:numId w:val="17"/>
        </w:numPr>
        <w:spacing w:after="360" w:line="360" w:lineRule="auto"/>
        <w:ind w:left="714" w:right="-159" w:hanging="357"/>
        <w:jc w:val="both"/>
        <w:rPr>
          <w:rFonts w:eastAsia="Calibri"/>
          <w:sz w:val="26"/>
          <w:szCs w:val="26"/>
          <w:lang w:eastAsia="en-US"/>
        </w:rPr>
      </w:pPr>
      <w:r w:rsidRPr="007C397D">
        <w:rPr>
          <w:rFonts w:eastAsia="Calibri"/>
          <w:sz w:val="26"/>
          <w:szCs w:val="26"/>
          <w:lang w:eastAsia="en-US"/>
        </w:rPr>
        <w:t>Fitch preparó sus proyecciones con base en el supuesto de que el precio del petróleo (Brent) alcance un promedio de 70 dólares por barril en 2015 y 80 dólares por barril en 2016, aunque riesgos a la baja persisten para estas proyecciones dado el actual entorno de precios bajos del petróleo.</w:t>
      </w:r>
    </w:p>
    <w:p w14:paraId="63DF68E9" w14:textId="77777777" w:rsidR="007C397D" w:rsidRPr="007C397D" w:rsidRDefault="007C397D" w:rsidP="00276F3E">
      <w:pPr>
        <w:numPr>
          <w:ilvl w:val="0"/>
          <w:numId w:val="17"/>
        </w:numPr>
        <w:spacing w:after="360" w:line="360" w:lineRule="auto"/>
        <w:ind w:left="714" w:right="-159" w:hanging="357"/>
        <w:jc w:val="both"/>
        <w:rPr>
          <w:rFonts w:eastAsia="Calibri"/>
          <w:sz w:val="26"/>
          <w:szCs w:val="26"/>
          <w:lang w:eastAsia="en-US"/>
        </w:rPr>
      </w:pPr>
      <w:r w:rsidRPr="007C397D">
        <w:rPr>
          <w:rFonts w:eastAsia="Calibri"/>
          <w:sz w:val="26"/>
          <w:szCs w:val="26"/>
          <w:lang w:eastAsia="en-US"/>
        </w:rPr>
        <w:lastRenderedPageBreak/>
        <w:t>Fitch asume que el gobierno mexicano se adherirá a su plan de consolidación fiscal de mediano plazo, con el déficit del sector público no financiero (excluyendo las inversiones de Pemex) alcanzando una posición equilibrada en 2017.</w:t>
      </w:r>
    </w:p>
    <w:p w14:paraId="0CC8AD61" w14:textId="77777777" w:rsidR="007C397D" w:rsidRPr="007C397D" w:rsidRDefault="007C397D" w:rsidP="00276F3E">
      <w:pPr>
        <w:numPr>
          <w:ilvl w:val="0"/>
          <w:numId w:val="17"/>
        </w:numPr>
        <w:spacing w:after="360" w:line="360" w:lineRule="auto"/>
        <w:ind w:left="714" w:right="-159" w:hanging="357"/>
        <w:jc w:val="both"/>
        <w:rPr>
          <w:rFonts w:eastAsia="Calibri"/>
          <w:sz w:val="26"/>
          <w:szCs w:val="26"/>
          <w:lang w:eastAsia="en-US"/>
        </w:rPr>
      </w:pPr>
      <w:r w:rsidRPr="007C397D">
        <w:rPr>
          <w:rFonts w:eastAsia="Calibri"/>
          <w:sz w:val="26"/>
          <w:szCs w:val="26"/>
          <w:lang w:eastAsia="en-US"/>
        </w:rPr>
        <w:t>Fitch asume que la violencia relacionada con las drogas no amenazarán en forma significativa la gobernabilidad general de México.</w:t>
      </w:r>
    </w:p>
    <w:p w14:paraId="09B029F3" w14:textId="77777777" w:rsidR="007C397D" w:rsidRPr="007C397D" w:rsidRDefault="007C397D" w:rsidP="007C397D">
      <w:pPr>
        <w:ind w:right="-159"/>
        <w:jc w:val="both"/>
        <w:rPr>
          <w:rFonts w:eastAsia="Calibri"/>
          <w:b/>
          <w:sz w:val="20"/>
          <w:szCs w:val="20"/>
          <w:lang w:eastAsia="en-US"/>
        </w:rPr>
      </w:pPr>
      <w:r w:rsidRPr="007C397D">
        <w:rPr>
          <w:rFonts w:eastAsia="Calibri"/>
          <w:b/>
          <w:sz w:val="20"/>
          <w:szCs w:val="20"/>
          <w:lang w:eastAsia="en-US"/>
        </w:rPr>
        <w:t>Fuente de información:</w:t>
      </w:r>
    </w:p>
    <w:p w14:paraId="4645FC3C" w14:textId="77777777" w:rsidR="007C397D" w:rsidRPr="00447800" w:rsidRDefault="0093224F" w:rsidP="00447800">
      <w:pPr>
        <w:spacing w:after="720"/>
        <w:ind w:right="-159"/>
        <w:jc w:val="both"/>
        <w:rPr>
          <w:rFonts w:eastAsia="Calibri"/>
          <w:color w:val="0000FF"/>
          <w:sz w:val="20"/>
          <w:szCs w:val="20"/>
          <w:lang w:eastAsia="en-US"/>
        </w:rPr>
      </w:pPr>
      <w:hyperlink r:id="rId43" w:history="1">
        <w:r w:rsidR="007C397D" w:rsidRPr="00447800">
          <w:rPr>
            <w:rFonts w:eastAsia="Calibri"/>
            <w:color w:val="0000FF"/>
            <w:sz w:val="20"/>
            <w:szCs w:val="20"/>
            <w:u w:val="single"/>
            <w:lang w:eastAsia="en-US"/>
          </w:rPr>
          <w:t>http://www.fitchratings.mx/ArchivosHTML/Com_13821.pdf</w:t>
        </w:r>
      </w:hyperlink>
      <w:r w:rsidR="007C397D" w:rsidRPr="00447800">
        <w:rPr>
          <w:rFonts w:eastAsia="Calibri"/>
          <w:color w:val="0000FF"/>
          <w:sz w:val="20"/>
          <w:szCs w:val="20"/>
          <w:lang w:eastAsia="en-US"/>
        </w:rPr>
        <w:t xml:space="preserve"> </w:t>
      </w:r>
    </w:p>
    <w:p w14:paraId="6B61DED6" w14:textId="77777777" w:rsidR="0002571C" w:rsidRPr="0002571C" w:rsidRDefault="0002571C" w:rsidP="0002571C">
      <w:pPr>
        <w:spacing w:after="360" w:line="360" w:lineRule="auto"/>
        <w:ind w:right="-159"/>
        <w:jc w:val="both"/>
        <w:rPr>
          <w:b/>
          <w:sz w:val="26"/>
          <w:szCs w:val="26"/>
        </w:rPr>
      </w:pPr>
      <w:r w:rsidRPr="0002571C">
        <w:rPr>
          <w:b/>
          <w:sz w:val="26"/>
          <w:szCs w:val="26"/>
        </w:rPr>
        <w:t>Sistema de Indicadores Cíclicos, al mes de diciembre de 2014 (INEGI)</w:t>
      </w:r>
    </w:p>
    <w:p w14:paraId="24AEB8C5" w14:textId="77777777" w:rsidR="0002571C" w:rsidRPr="0002571C" w:rsidRDefault="0002571C" w:rsidP="0002571C">
      <w:pPr>
        <w:spacing w:after="360" w:line="360" w:lineRule="auto"/>
        <w:ind w:right="-159"/>
        <w:jc w:val="both"/>
        <w:rPr>
          <w:rFonts w:eastAsia="Times New Roman"/>
          <w:sz w:val="26"/>
          <w:szCs w:val="26"/>
        </w:rPr>
      </w:pPr>
      <w:r w:rsidRPr="0002571C">
        <w:rPr>
          <w:rFonts w:eastAsia="Times New Roman"/>
          <w:sz w:val="26"/>
          <w:szCs w:val="26"/>
        </w:rPr>
        <w:t>El 4 de marzo de 2015, el Instituto Nacional de Estadística y Geografía (INEGI) presenta los resultados del Sistema de Indicadores Cíclicos que genera mediante una metodología compatible con la utilizada por la Organización para la Cooperación y el Desarrollo Económicos (OCDE).</w:t>
      </w:r>
    </w:p>
    <w:p w14:paraId="5DF32F50" w14:textId="77777777" w:rsidR="0002571C" w:rsidRPr="0002571C" w:rsidRDefault="0002571C" w:rsidP="0002571C">
      <w:pPr>
        <w:spacing w:after="360" w:line="360" w:lineRule="auto"/>
        <w:ind w:right="-159"/>
        <w:jc w:val="both"/>
        <w:rPr>
          <w:rFonts w:eastAsia="Times New Roman"/>
          <w:sz w:val="26"/>
          <w:szCs w:val="26"/>
        </w:rPr>
      </w:pPr>
      <w:r w:rsidRPr="0002571C">
        <w:rPr>
          <w:rFonts w:eastAsia="Times New Roman"/>
          <w:sz w:val="26"/>
          <w:szCs w:val="26"/>
        </w:rPr>
        <w:t>El Sistema de Indicadores Cíclicos está conformado por dos indicadores compuestos que se denominan coincidente y adelantado. El indicador coincidente refleja el estado general de la economía, mientras que el Adelantado busca señalar anticipadamente la trayectoria del Indicador Coincidente, particularmente los puntos de giro: picos y valles, con base en la información con la que se dispone de sus componentes a una fecha determinada.</w:t>
      </w:r>
    </w:p>
    <w:p w14:paraId="556AF06B" w14:textId="77777777" w:rsidR="0002571C" w:rsidRPr="0002571C" w:rsidRDefault="0002571C" w:rsidP="0002571C">
      <w:pPr>
        <w:spacing w:after="360" w:line="360" w:lineRule="auto"/>
        <w:ind w:right="-159"/>
        <w:jc w:val="both"/>
        <w:rPr>
          <w:rFonts w:eastAsia="Times New Roman"/>
          <w:sz w:val="26"/>
          <w:szCs w:val="26"/>
        </w:rPr>
      </w:pPr>
      <w:r w:rsidRPr="0002571C">
        <w:rPr>
          <w:rFonts w:eastAsia="Times New Roman"/>
          <w:sz w:val="26"/>
          <w:szCs w:val="26"/>
        </w:rPr>
        <w:t xml:space="preserve">El enfoque de “Ciclo de crecimiento” identifica a los ciclos económicos como las desviaciones de la economía respecto a su tendencia de largo plazo. Por tanto, el componente cíclico de las variables que lo conforman cada indicador compuesto se calcula como la desviación de su respectiva tendencia de largo plazo y la del indicador compuesto se obtiene por agregación. </w:t>
      </w:r>
    </w:p>
    <w:p w14:paraId="02962958" w14:textId="77777777" w:rsidR="0002571C" w:rsidRPr="0002571C" w:rsidRDefault="0002571C" w:rsidP="0002571C">
      <w:pPr>
        <w:spacing w:after="360" w:line="360" w:lineRule="auto"/>
        <w:ind w:right="-159"/>
        <w:jc w:val="both"/>
        <w:rPr>
          <w:rFonts w:eastAsia="Times New Roman"/>
          <w:b/>
          <w:sz w:val="26"/>
          <w:szCs w:val="26"/>
        </w:rPr>
      </w:pPr>
      <w:r w:rsidRPr="0002571C">
        <w:rPr>
          <w:rFonts w:eastAsia="Times New Roman"/>
          <w:b/>
          <w:sz w:val="26"/>
          <w:szCs w:val="26"/>
        </w:rPr>
        <w:lastRenderedPageBreak/>
        <w:t>Interpretación de los indicadores cíclicos con enfoque del ciclo de crecimiento</w:t>
      </w:r>
    </w:p>
    <w:p w14:paraId="55BCBABB" w14:textId="77777777" w:rsidR="0002571C" w:rsidRPr="0002571C" w:rsidRDefault="0002571C" w:rsidP="0002571C">
      <w:pPr>
        <w:spacing w:after="360" w:line="360" w:lineRule="auto"/>
        <w:ind w:right="-159"/>
        <w:jc w:val="both"/>
        <w:rPr>
          <w:rFonts w:eastAsia="Times New Roman"/>
          <w:sz w:val="26"/>
          <w:szCs w:val="26"/>
        </w:rPr>
      </w:pPr>
      <w:r w:rsidRPr="0002571C">
        <w:rPr>
          <w:rFonts w:eastAsia="Times New Roman"/>
          <w:sz w:val="26"/>
          <w:szCs w:val="26"/>
        </w:rPr>
        <w:t>El valor de los Indicadores Coincidente y Adelantado, así como su tendencia de largo plazo representada por una línea horizontal igual a 100, permiten identificar cuatro fases del Ciclo Económico:</w:t>
      </w:r>
    </w:p>
    <w:p w14:paraId="445486C1" w14:textId="77777777" w:rsidR="0002571C" w:rsidRPr="0002571C" w:rsidRDefault="0002571C" w:rsidP="00276F3E">
      <w:pPr>
        <w:numPr>
          <w:ilvl w:val="0"/>
          <w:numId w:val="53"/>
        </w:numPr>
        <w:spacing w:after="360" w:line="360" w:lineRule="auto"/>
        <w:ind w:left="714" w:right="-159" w:hanging="357"/>
        <w:jc w:val="both"/>
        <w:rPr>
          <w:rFonts w:eastAsia="Times New Roman"/>
          <w:sz w:val="26"/>
          <w:szCs w:val="26"/>
        </w:rPr>
      </w:pPr>
      <w:r w:rsidRPr="0002571C">
        <w:rPr>
          <w:rFonts w:eastAsia="Times New Roman"/>
          <w:b/>
          <w:noProof/>
          <w:sz w:val="26"/>
          <w:szCs w:val="26"/>
          <w:lang w:eastAsia="es-MX"/>
        </w:rPr>
        <mc:AlternateContent>
          <mc:Choice Requires="wps">
            <w:drawing>
              <wp:anchor distT="0" distB="0" distL="114300" distR="114300" simplePos="0" relativeHeight="251659264" behindDoc="0" locked="0" layoutInCell="1" allowOverlap="1" wp14:anchorId="4DF06589" wp14:editId="1A741B91">
                <wp:simplePos x="0" y="0"/>
                <wp:positionH relativeFrom="column">
                  <wp:posOffset>-31750</wp:posOffset>
                </wp:positionH>
                <wp:positionV relativeFrom="paragraph">
                  <wp:posOffset>8890</wp:posOffset>
                </wp:positionV>
                <wp:extent cx="222421" cy="148281"/>
                <wp:effectExtent l="0" t="0" r="25400" b="23495"/>
                <wp:wrapNone/>
                <wp:docPr id="1473" name="Rectángulo 1473"/>
                <wp:cNvGraphicFramePr/>
                <a:graphic xmlns:a="http://schemas.openxmlformats.org/drawingml/2006/main">
                  <a:graphicData uri="http://schemas.microsoft.com/office/word/2010/wordprocessingShape">
                    <wps:wsp>
                      <wps:cNvSpPr/>
                      <wps:spPr>
                        <a:xfrm>
                          <a:off x="0" y="0"/>
                          <a:ext cx="222421" cy="148281"/>
                        </a:xfrm>
                        <a:prstGeom prst="rect">
                          <a:avLst/>
                        </a:prstGeom>
                        <a:solidFill>
                          <a:srgbClr val="33CC33"/>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8526EB3" id="Rectángulo 1473" o:spid="_x0000_s1026" style="position:absolute;margin-left:-2.5pt;margin-top:.7pt;width:17.5pt;height:11.7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EkrjAIAABkFAAAOAAAAZHJzL2Uyb0RvYy54bWysVM1u2zAMvg/YOwi6r06cZE2NOkWaoMOA&#10;oi3WDj0zsmwL0N8kJU73NnuWvtgo2WnTbqdhPsikSJHix486v9grSXbceWF0SccnI0q4ZqYSuinp&#10;94erT3NKfABdgTSal/SJe3qx+PjhvLMFz01rZMUdwSDaF50taRuCLbLMs5Yr8CfGco3G2jgFAVXX&#10;ZJWDDqMrmeWj0eesM66yzjDuPe6ueyNdpPh1zVm4rWvPA5ElxbuFtLq0buKaLc6haBzYVrDhGvAP&#10;t1AgNCZ9CbWGAGTrxB+hlGDOeFOHE2ZUZupaMJ5qwGrGo3fV3LdgeaoFwfH2BSb//8Kym92dI6LC&#10;3k1PJ5RoUNilb4jb8y/dbKUhaR9h6qwv0Pve3rlB8yjGmve1U/GP1ZB9gvbpBVq+D4ThZp7n03xM&#10;CUPTeDrP5+MIffZ62DofvnCjSBRK6vAGCVDYXfvQux5cYi5vpKiuhJRJcc1mJR3ZAXZ5MlmtJpMh&#10;+hs3qUmH2fPTETKBAbKtlhBQVBbr97qhBGSDNGbBpdxvTvvjJLPLs8v1rHdqoeJ96tkIv0Pm3j3V&#10;+CZOrGINvu2PJFM8AoUSAUdBClXSeQx0iCR1tPJE5gGL2Ise/ShtTPWETXSmZ7e37Epgkmvw4Q4c&#10;0hnLxRENt7jU0iAGZpAoaY37+bf96I8sQyslHY4H4vNjC45TIr9q5N/ZeDqN85SU6ew0R8UdWzbH&#10;Fr1VK4O9QQLg7ZIY/YM8iLUz6hEneRmzogk0w9x9JwZlFfqxxbeA8eUyueEMWQjX+t6yGDziFOF9&#10;2D+CswOTAlLwxhxGCYp3hOp940ltlttgapHY9oordjAqOH+pl8NbEQf8WE9ery/a4jcAAAD//wMA&#10;UEsDBBQABgAIAAAAIQA4R9lW3QAAAAYBAAAPAAAAZHJzL2Rvd25yZXYueG1sTI/BTsMwEETvSPyD&#10;tUjcWofSohDiVAhRlUoIidILNzdekoC9tmy3DX/PcoLj7Kxm3tTL0VlxxJgGTwqupgUIpNabgToF&#10;u7fVpASRsiajrSdU8I0Jls35Wa0r40/0isdt7gSHUKq0gj7nUEmZ2h6dTlMfkNj78NHpzDJ20kR9&#10;4nBn5awobqTTA3FDrwM+9Nh+bQ9OwWfwj/H9drN7KjfPL3llw3qdFkpdXoz3dyAyjvnvGX7xGR0a&#10;Ztr7A5kkrILJgqdkvs9BsH1dsNwrmM1LkE0t/+M3PwAAAP//AwBQSwECLQAUAAYACAAAACEAtoM4&#10;kv4AAADhAQAAEwAAAAAAAAAAAAAAAAAAAAAAW0NvbnRlbnRfVHlwZXNdLnhtbFBLAQItABQABgAI&#10;AAAAIQA4/SH/1gAAAJQBAAALAAAAAAAAAAAAAAAAAC8BAABfcmVscy8ucmVsc1BLAQItABQABgAI&#10;AAAAIQAoPEkrjAIAABkFAAAOAAAAAAAAAAAAAAAAAC4CAABkcnMvZTJvRG9jLnhtbFBLAQItABQA&#10;BgAIAAAAIQA4R9lW3QAAAAYBAAAPAAAAAAAAAAAAAAAAAOYEAABkcnMvZG93bnJldi54bWxQSwUG&#10;AAAAAAQABADzAAAA8AUAAAAA&#10;" fillcolor="#3c3" strokecolor="#41719c" strokeweight="1pt"/>
            </w:pict>
          </mc:Fallback>
        </mc:AlternateContent>
      </w:r>
      <w:r w:rsidRPr="0002571C">
        <w:rPr>
          <w:rFonts w:eastAsia="Times New Roman"/>
          <w:b/>
          <w:sz w:val="26"/>
          <w:szCs w:val="26"/>
        </w:rPr>
        <w:t>Fase de expansión:</w:t>
      </w:r>
      <w:r w:rsidRPr="0002571C">
        <w:rPr>
          <w:rFonts w:eastAsia="Times New Roman"/>
          <w:sz w:val="26"/>
          <w:szCs w:val="26"/>
        </w:rPr>
        <w:t xml:space="preserve"> Cuando el indicador (su componente cíclico) está creciendo y se ubica por arriba de su tendencia de largo plazo. </w:t>
      </w:r>
    </w:p>
    <w:p w14:paraId="79C27D64" w14:textId="77777777" w:rsidR="0002571C" w:rsidRPr="0002571C" w:rsidRDefault="0002571C" w:rsidP="00276F3E">
      <w:pPr>
        <w:numPr>
          <w:ilvl w:val="0"/>
          <w:numId w:val="53"/>
        </w:numPr>
        <w:spacing w:after="360" w:line="360" w:lineRule="auto"/>
        <w:ind w:left="714" w:right="-159" w:hanging="357"/>
        <w:jc w:val="both"/>
        <w:rPr>
          <w:rFonts w:eastAsia="Times New Roman"/>
          <w:sz w:val="26"/>
          <w:szCs w:val="26"/>
        </w:rPr>
      </w:pPr>
      <w:r w:rsidRPr="0002571C">
        <w:rPr>
          <w:rFonts w:eastAsia="Times New Roman"/>
          <w:b/>
          <w:noProof/>
          <w:sz w:val="26"/>
          <w:szCs w:val="26"/>
          <w:lang w:eastAsia="es-MX"/>
        </w:rPr>
        <mc:AlternateContent>
          <mc:Choice Requires="wps">
            <w:drawing>
              <wp:anchor distT="0" distB="0" distL="114300" distR="114300" simplePos="0" relativeHeight="251660288" behindDoc="0" locked="0" layoutInCell="1" allowOverlap="1" wp14:anchorId="73523CED" wp14:editId="34F8333B">
                <wp:simplePos x="0" y="0"/>
                <wp:positionH relativeFrom="column">
                  <wp:posOffset>-13335</wp:posOffset>
                </wp:positionH>
                <wp:positionV relativeFrom="paragraph">
                  <wp:posOffset>46355</wp:posOffset>
                </wp:positionV>
                <wp:extent cx="222250" cy="147955"/>
                <wp:effectExtent l="0" t="0" r="25400" b="23495"/>
                <wp:wrapNone/>
                <wp:docPr id="1474" name="Rectángulo 1474"/>
                <wp:cNvGraphicFramePr/>
                <a:graphic xmlns:a="http://schemas.openxmlformats.org/drawingml/2006/main">
                  <a:graphicData uri="http://schemas.microsoft.com/office/word/2010/wordprocessingShape">
                    <wps:wsp>
                      <wps:cNvSpPr/>
                      <wps:spPr>
                        <a:xfrm>
                          <a:off x="0" y="0"/>
                          <a:ext cx="222250" cy="147955"/>
                        </a:xfrm>
                        <a:prstGeom prst="rect">
                          <a:avLst/>
                        </a:prstGeom>
                        <a:solidFill>
                          <a:srgbClr val="FF6600"/>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F14EB52" id="Rectángulo 1474" o:spid="_x0000_s1026" style="position:absolute;margin-left:-1.05pt;margin-top:3.65pt;width:17.5pt;height:11.6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IdkiQIAABkFAAAOAAAAZHJzL2Uyb0RvYy54bWysVEtu2zAQ3RfoHQjuG9mGlY8ROXBiuCgQ&#10;JEaTImuaoj4AfyVpy+ltepZerI+UnDhpV0W1oGY4wxnOmze8vNorSXbC+dbogo5PRpQIzU3Z6rqg&#10;3x5Xn84p8YHpkkmjRUGfhadX848fLjs7ExPTGFkKRxBE+1lnC9qEYGdZ5nkjFPMnxgoNY2WcYgGq&#10;q7PSsQ7Rlcwmo9Fp1hlXWme48B67y95I5yl+VQke7qvKi0BkQXG3kFaX1k1cs/klm9WO2ablwzXY&#10;P9xCsVYj6UuoJQuMbF37RyjVcme8qcIJNyozVdVykWpANePRu2oeGmZFqgXgePsCk/9/Yfndbu1I&#10;W6J307MpJZopdOkrcPv1U9dbaUjaB0yd9TN4P9i1GzQPMda8r5yKf1RD9gna5xdoxT4Qjs0JvhwN&#10;4DAh4kWeR+iz18PW+fBZGEWiUFCHGyRA2e7Wh9714BJzeSPbctVKmRRXb26kIzuGLq9Wp6ej1FhE&#10;f+MmNemQfXIGM+EMbKskCxCVRf1e15QwWYPGPLiU+81pf5wkv764Xua9U8NK0afOR/iGugb3VOOb&#10;OLGKJfNNfySZehaqNmAUZKsKeh4DHSJJHWsUicwDFrEXPfpR2pjyGU10pme3t3zVIskt82HNHOiM&#10;cjGi4R5LJQ0wMINESWPcj7/tR3+wDFZKOowH8Pm+ZU5QIr9o8O9iPJ3GeUrKND+bQHHHls2xRW/V&#10;jUFvxngMLE9i9A/yIFbOqCdM8iJmhYlpjtx9JwblJvRji7eAi8UiuWGGLAu3+sHyGDziFOF93D8x&#10;ZwcmBVDwzhxGic3eEar3jSe1WWyDqdrEtldc0cGoYP5SL4e3Ig74sZ68Xl+0+W8AAAD//wMAUEsD&#10;BBQABgAIAAAAIQAP0r9B3QAAAAYBAAAPAAAAZHJzL2Rvd25yZXYueG1sTI5BS8NAFITvgv9heYKX&#10;0m6aQq0xmyJiTxXUKPb6unlNgtm3Ibtto7/e50lPwzDDzJevR9epEw2h9WxgPktAEVtftVwbeH/b&#10;TFegQkSusPNMBr4owLq4vMgxq/yZX+lUxlrJCIcMDTQx9pnWwTbkMMx8TyzZwQ8Oo9ih1tWAZxl3&#10;nU6TZKkdtiwPDfb00JD9LI/OwOHR8racbJ9x9/H0vaGJfdmFlTHXV+P9HahIY/wrwy++oEMhTHt/&#10;5CqozsA0nUvTwM0ClMSL9BbUXjRZgi5y/R+/+AEAAP//AwBQSwECLQAUAAYACAAAACEAtoM4kv4A&#10;AADhAQAAEwAAAAAAAAAAAAAAAAAAAAAAW0NvbnRlbnRfVHlwZXNdLnhtbFBLAQItABQABgAIAAAA&#10;IQA4/SH/1gAAAJQBAAALAAAAAAAAAAAAAAAAAC8BAABfcmVscy8ucmVsc1BLAQItABQABgAIAAAA&#10;IQClHIdkiQIAABkFAAAOAAAAAAAAAAAAAAAAAC4CAABkcnMvZTJvRG9jLnhtbFBLAQItABQABgAI&#10;AAAAIQAP0r9B3QAAAAYBAAAPAAAAAAAAAAAAAAAAAOMEAABkcnMvZG93bnJldi54bWxQSwUGAAAA&#10;AAQABADzAAAA7QUAAAAA&#10;" fillcolor="#f60" strokecolor="#41719c" strokeweight="1pt"/>
            </w:pict>
          </mc:Fallback>
        </mc:AlternateContent>
      </w:r>
      <w:r w:rsidRPr="0002571C">
        <w:rPr>
          <w:rFonts w:eastAsia="Times New Roman"/>
          <w:b/>
          <w:sz w:val="26"/>
          <w:szCs w:val="26"/>
        </w:rPr>
        <w:t>Fase de desaceleración:</w:t>
      </w:r>
      <w:r w:rsidRPr="0002571C">
        <w:rPr>
          <w:rFonts w:eastAsia="Times New Roman"/>
          <w:sz w:val="26"/>
          <w:szCs w:val="26"/>
        </w:rPr>
        <w:t xml:space="preserve"> Cuando el componente cíclico del indicador está decreciendo y se ubica por arriba de su tendencia de largo plazo. </w:t>
      </w:r>
    </w:p>
    <w:p w14:paraId="35515905" w14:textId="77777777" w:rsidR="0002571C" w:rsidRPr="0002571C" w:rsidRDefault="0002571C" w:rsidP="00276F3E">
      <w:pPr>
        <w:numPr>
          <w:ilvl w:val="0"/>
          <w:numId w:val="53"/>
        </w:numPr>
        <w:spacing w:after="360" w:line="360" w:lineRule="auto"/>
        <w:ind w:left="714" w:right="-159" w:hanging="357"/>
        <w:jc w:val="both"/>
        <w:rPr>
          <w:rFonts w:eastAsia="Times New Roman"/>
          <w:sz w:val="26"/>
          <w:szCs w:val="26"/>
        </w:rPr>
      </w:pPr>
      <w:r w:rsidRPr="0002571C">
        <w:rPr>
          <w:rFonts w:eastAsia="Times New Roman"/>
          <w:b/>
          <w:noProof/>
          <w:sz w:val="26"/>
          <w:szCs w:val="26"/>
          <w:lang w:eastAsia="es-MX"/>
        </w:rPr>
        <mc:AlternateContent>
          <mc:Choice Requires="wps">
            <w:drawing>
              <wp:anchor distT="0" distB="0" distL="114300" distR="114300" simplePos="0" relativeHeight="251661312" behindDoc="0" locked="0" layoutInCell="1" allowOverlap="1" wp14:anchorId="30D21DE6" wp14:editId="07D1D4A1">
                <wp:simplePos x="0" y="0"/>
                <wp:positionH relativeFrom="column">
                  <wp:posOffset>-23495</wp:posOffset>
                </wp:positionH>
                <wp:positionV relativeFrom="paragraph">
                  <wp:posOffset>49530</wp:posOffset>
                </wp:positionV>
                <wp:extent cx="222250" cy="147955"/>
                <wp:effectExtent l="0" t="0" r="25400" b="23495"/>
                <wp:wrapNone/>
                <wp:docPr id="1475" name="Rectángulo 1475"/>
                <wp:cNvGraphicFramePr/>
                <a:graphic xmlns:a="http://schemas.openxmlformats.org/drawingml/2006/main">
                  <a:graphicData uri="http://schemas.microsoft.com/office/word/2010/wordprocessingShape">
                    <wps:wsp>
                      <wps:cNvSpPr/>
                      <wps:spPr>
                        <a:xfrm>
                          <a:off x="0" y="0"/>
                          <a:ext cx="222250" cy="147955"/>
                        </a:xfrm>
                        <a:prstGeom prst="rect">
                          <a:avLst/>
                        </a:prstGeom>
                        <a:solidFill>
                          <a:srgbClr val="00B0F0"/>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9DB3777" id="Rectángulo 1475" o:spid="_x0000_s1026" style="position:absolute;margin-left:-1.85pt;margin-top:3.9pt;width:17.5pt;height:11.6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CUZiAIAABkFAAAOAAAAZHJzL2Uyb0RvYy54bWysVM1u2zAMvg/YOwi6r3aCeG2DOkXaIMOA&#10;oivWDj0zsmQL0N8kJU73NnuWvdgo2WnTbqdhPsikSJH6PpK6uNxrRXbcB2lNTScnJSXcMNtI09b0&#10;28P6wxklIYJpQFnDa/rEA71cvH930bs5n9rOqoZ7gkFMmPeupl2Mbl4UgXVcQzixjhs0Cus1RFR9&#10;WzQeeoyuVTEty49Fb33jvGU8BNxdDUa6yPGF4Cx+ESLwSFRN8W4xrz6vm7QWiwuYtx5cJ9l4DfiH&#10;W2iQBpM+h1pBBLL18o9QWjJvgxXxhFldWCEk4xkDopmUb9Dcd+B4xoLkBPdMU/h/Ydnt7s4T2WDt&#10;ZqcVJQY0Vukr8vbrp2m3ypK8jzT1LszR+97d+VELKCbMe+F1+iMass/UPj1Ty/eRMNyc4ldhARia&#10;MOJ5VSXqi5fDzof4iVtNklBTjzfIhMLuJsTB9eCScgWrZLOWSmXFt5tr5ckOUpXLq3KdC4vRX7kp&#10;Q3rMPj0t00UAu00oiChqh/iDaSkB1WIbs+hz7lenw3GS6ur8alUNTh00fEhdlfiNuEb3jPFVnIRi&#10;BaEbjmTT0IVaRhwFJXVNz1KgQyRlEkaem3nkItViYD9JG9s8YRG9Hbo7OLaWmOQGQrwDj+2McHFE&#10;4xdchLLIgR0lSjrrf/xtP/ljl6GVkh7HA/n5vgXPKVGfDfbf+WQ2S/OUlVl1OkXFH1s2xxaz1dcW&#10;azPBx8CxLCb/qA6i8FY/4iQvU1Y0gWGYe6jEqFzHYWzxLWB8ucxuOEMO4o25dywFTzwleh/2j+Dd&#10;2EkRW/DWHkYJ5m8aavBNJ41dbqMVMnfbC69YwaTg/OVajm9FGvBjPXu9vGiL3wAAAP//AwBQSwME&#10;FAAGAAgAAAAhAPe/GdbcAAAABgEAAA8AAABkcnMvZG93bnJldi54bWxMj81OwzAQhO9IvIO1SFxQ&#10;6/wIikKcqiDgBogWOG+TJQnEayt22/D2bE9wGq1mNPNtuZzsoPY0ht6xgXSegCKuXdNza+Bt8zC7&#10;BhUicoODYzLwQwGW1elJiUXjDvxK+3VslZRwKNBAF6MvtA51RxbD3Hli8T7daDHKOba6GfEg5XbQ&#10;WZJcaYs9y0KHnu46qr/XO2vA3T76l6fswl1u4vOK0X/cv39lxpyfTasbUJGm+BeGI76gQyVMW7fj&#10;JqjBwCxfSNLAQh4QO09zUNujpqCrUv/Hr34BAAD//wMAUEsBAi0AFAAGAAgAAAAhALaDOJL+AAAA&#10;4QEAABMAAAAAAAAAAAAAAAAAAAAAAFtDb250ZW50X1R5cGVzXS54bWxQSwECLQAUAAYACAAAACEA&#10;OP0h/9YAAACUAQAACwAAAAAAAAAAAAAAAAAvAQAAX3JlbHMvLnJlbHNQSwECLQAUAAYACAAAACEA&#10;ImglGYgCAAAZBQAADgAAAAAAAAAAAAAAAAAuAgAAZHJzL2Uyb0RvYy54bWxQSwECLQAUAAYACAAA&#10;ACEA978Z1twAAAAGAQAADwAAAAAAAAAAAAAAAADiBAAAZHJzL2Rvd25yZXYueG1sUEsFBgAAAAAE&#10;AAQA8wAAAOsFAAAAAA==&#10;" fillcolor="#00b0f0" strokecolor="#41719c" strokeweight="1pt"/>
            </w:pict>
          </mc:Fallback>
        </mc:AlternateContent>
      </w:r>
      <w:r w:rsidRPr="0002571C">
        <w:rPr>
          <w:rFonts w:eastAsia="Times New Roman"/>
          <w:b/>
          <w:noProof/>
          <w:sz w:val="26"/>
          <w:szCs w:val="26"/>
          <w:lang w:eastAsia="es-MX"/>
        </w:rPr>
        <mc:AlternateContent>
          <mc:Choice Requires="wps">
            <w:drawing>
              <wp:anchor distT="0" distB="0" distL="114300" distR="114300" simplePos="0" relativeHeight="251662336" behindDoc="0" locked="0" layoutInCell="1" allowOverlap="1" wp14:anchorId="17D6D053" wp14:editId="2702BD98">
                <wp:simplePos x="0" y="0"/>
                <wp:positionH relativeFrom="column">
                  <wp:posOffset>-21590</wp:posOffset>
                </wp:positionH>
                <wp:positionV relativeFrom="paragraph">
                  <wp:posOffset>851535</wp:posOffset>
                </wp:positionV>
                <wp:extent cx="222250" cy="147955"/>
                <wp:effectExtent l="0" t="0" r="25400" b="23495"/>
                <wp:wrapNone/>
                <wp:docPr id="1476" name="Rectángulo 1476"/>
                <wp:cNvGraphicFramePr/>
                <a:graphic xmlns:a="http://schemas.openxmlformats.org/drawingml/2006/main">
                  <a:graphicData uri="http://schemas.microsoft.com/office/word/2010/wordprocessingShape">
                    <wps:wsp>
                      <wps:cNvSpPr/>
                      <wps:spPr>
                        <a:xfrm>
                          <a:off x="0" y="0"/>
                          <a:ext cx="222250" cy="147955"/>
                        </a:xfrm>
                        <a:prstGeom prst="rect">
                          <a:avLst/>
                        </a:prstGeom>
                        <a:solidFill>
                          <a:srgbClr val="E12FBF"/>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E16DA1" id="Rectángulo 1476" o:spid="_x0000_s1026" style="position:absolute;margin-left:-1.7pt;margin-top:67.05pt;width:17.5pt;height:11.6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kUkiQIAABkFAAAOAAAAZHJzL2Uyb0RvYy54bWysVM1u2zAMvg/YOwi6r06CuD9GnSJtlmFA&#10;0RZrh54ZWbYF6G+SEqd7mz1LX2yU7DRJt9MwH2RSpD6KH0ldXm2VJBvuvDC6pOOTESVcM1MJ3ZT0&#10;+9Py0zklPoCuQBrNS/rCPb2affxw2dmCT0xrZMUdQRDti86WtA3BFlnmWcsV+BNjuUZjbZyCgKpr&#10;sspBh+hKZpPR6DTrjKusM4x7j7uL3khnCb+uOQv3de15ILKkeLeQVpfWVVyz2SUUjQPbCjZcA/7h&#10;FgqExqBvUAsIQNZO/AGlBHPGmzqcMKMyU9eC8ZQDZjMevcvmsQXLUy5IjrdvNPn/B8vuNg+OiApr&#10;Nz07pUSDwip9Q95ef+lmLQ1J+0hTZ32B3o/2wQ2aRzHmvK2din/MhmwTtS9v1PJtIAw3J/jlWACG&#10;JkS8yPNIfbY/bJ0PX7hRJAoldXiDRChsbn3oXXcuMZY3UlRLIWVSXLO6kY5sAKv8eTxZXi8H9CM3&#10;qUmH0Sdno3gRwG6rJQQUlcX8vW4oAdlgG7PgUuyj0/4wSH59cb3Ie6cWKt6Hzkf47SL37inHI5yY&#10;xQJ82x9JpngECiUCjoIUqqTnEWiHJHW08tTMAxexFj37UVqZ6gWL6Ezf3d6ypcAgt+DDAzhsZ0wX&#10;RzTc41JLgxyYQaKkNe7n3/ajP3YZWinpcDyQnx9rcJwS+VVj/12Mp9M4T0mZ5mcTVNyhZXVo0Wt1&#10;Y7A2Y3wMLEti9A9yJ9bOqGec5HmMiibQDGP3lRiUm9CPLb4FjM/nyQ1nyEK41Y+WRfDIU6T3afsM&#10;zg6dFLAF78xulKB411C9bzypzXwdTC1St+15xQpGBecv1XJ4K+KAH+rJa/+izX4DAAD//wMAUEsD&#10;BBQABgAIAAAAIQAzm/Rf3AAAAAkBAAAPAAAAZHJzL2Rvd25yZXYueG1sTI/BTsMwDIbvSHuHyJO4&#10;bWlp2VBpOk0IhHaDsQfIGjet1jhVk3Xl7TEnOPr3p9+fy93sejHhGDpPCtJ1AgKp9qYjq+D09bZ6&#10;AhGiJqN7T6jgGwPsqsVdqQvjb/SJ0zFawSUUCq2gjXEopAx1i06HtR+QeNf40enI42ilGfWNy10v&#10;H5JkI53uiC+0esCXFuvL8eoU2HfT9Nsmm/YHQzaly+sHHk5K3S/n/TOIiHP8g+FXn9WhYqezv5IJ&#10;olewynImOc/yFAQDWboBcebgcZuDrEr5/4PqBwAA//8DAFBLAQItABQABgAIAAAAIQC2gziS/gAA&#10;AOEBAAATAAAAAAAAAAAAAAAAAAAAAABbQ29udGVudF9UeXBlc10ueG1sUEsBAi0AFAAGAAgAAAAh&#10;ADj9If/WAAAAlAEAAAsAAAAAAAAAAAAAAAAALwEAAF9yZWxzLy5yZWxzUEsBAi0AFAAGAAgAAAAh&#10;AEWuRSSJAgAAGQUAAA4AAAAAAAAAAAAAAAAALgIAAGRycy9lMm9Eb2MueG1sUEsBAi0AFAAGAAgA&#10;AAAhADOb9F/cAAAACQEAAA8AAAAAAAAAAAAAAAAA4wQAAGRycy9kb3ducmV2LnhtbFBLBQYAAAAA&#10;BAAEAPMAAADsBQAAAAA=&#10;" fillcolor="#e12fbf" strokecolor="#41719c" strokeweight="1pt"/>
            </w:pict>
          </mc:Fallback>
        </mc:AlternateContent>
      </w:r>
      <w:r w:rsidRPr="0002571C">
        <w:rPr>
          <w:rFonts w:eastAsia="Times New Roman"/>
          <w:b/>
          <w:sz w:val="26"/>
          <w:szCs w:val="26"/>
        </w:rPr>
        <w:t>Fase recesiva:</w:t>
      </w:r>
      <w:r w:rsidRPr="0002571C">
        <w:rPr>
          <w:rFonts w:eastAsia="Times New Roman"/>
          <w:sz w:val="26"/>
          <w:szCs w:val="26"/>
        </w:rPr>
        <w:t xml:space="preserve"> Cuando el componente cíclico del indicador está decreciendo y se ubica por debajo de su tendencia de largo plazo. </w:t>
      </w:r>
    </w:p>
    <w:p w14:paraId="0CD0D9AE" w14:textId="77777777" w:rsidR="0002571C" w:rsidRPr="0002571C" w:rsidRDefault="0002571C" w:rsidP="00276F3E">
      <w:pPr>
        <w:numPr>
          <w:ilvl w:val="0"/>
          <w:numId w:val="53"/>
        </w:numPr>
        <w:spacing w:after="360" w:line="360" w:lineRule="auto"/>
        <w:ind w:left="714" w:right="-159" w:hanging="357"/>
        <w:jc w:val="both"/>
        <w:rPr>
          <w:rFonts w:eastAsia="Times New Roman"/>
          <w:sz w:val="26"/>
          <w:szCs w:val="26"/>
        </w:rPr>
      </w:pPr>
      <w:r w:rsidRPr="0002571C">
        <w:rPr>
          <w:rFonts w:eastAsia="Times New Roman"/>
          <w:b/>
          <w:sz w:val="26"/>
          <w:szCs w:val="26"/>
        </w:rPr>
        <w:t>Fase de recuperación:</w:t>
      </w:r>
      <w:r w:rsidRPr="0002571C">
        <w:rPr>
          <w:rFonts w:eastAsia="Times New Roman"/>
          <w:sz w:val="26"/>
          <w:szCs w:val="26"/>
        </w:rPr>
        <w:t xml:space="preserve"> Cuando el componente cíclico del indicador está creciendo y se ubica por debajo de su tendencia de largo plazo.</w:t>
      </w:r>
    </w:p>
    <w:p w14:paraId="433B98EA" w14:textId="4A04A00B" w:rsidR="0002571C" w:rsidRPr="0002571C" w:rsidRDefault="00402217" w:rsidP="00402217">
      <w:pPr>
        <w:spacing w:after="360" w:line="360" w:lineRule="auto"/>
        <w:ind w:right="-159"/>
        <w:jc w:val="center"/>
        <w:rPr>
          <w:rFonts w:eastAsia="Times New Roman"/>
          <w:sz w:val="26"/>
          <w:szCs w:val="26"/>
        </w:rPr>
      </w:pPr>
      <w:r w:rsidRPr="00402217">
        <w:rPr>
          <w:rFonts w:ascii="Calibri" w:eastAsia="Calibri" w:hAnsi="Calibri"/>
          <w:sz w:val="22"/>
          <w:szCs w:val="22"/>
          <w:lang w:eastAsia="en-US"/>
        </w:rPr>
        <w:fldChar w:fldCharType="begin"/>
      </w:r>
      <w:r w:rsidRPr="00402217">
        <w:rPr>
          <w:rFonts w:ascii="Calibri" w:eastAsia="Calibri" w:hAnsi="Calibri"/>
          <w:sz w:val="22"/>
          <w:szCs w:val="22"/>
          <w:lang w:eastAsia="en-US"/>
        </w:rPr>
        <w:instrText xml:space="preserve"> LINK PowerPoint.Slide.8 "D:\\2015\\MARZO 2014\\GRÁFICAS EN POWER POINT\\11.- GRÁFICAS DE IND. CÍCLICOS.pptx!260" "" \a \p </w:instrText>
      </w:r>
      <w:r w:rsidRPr="00402217">
        <w:rPr>
          <w:rFonts w:ascii="Calibri" w:eastAsia="Calibri" w:hAnsi="Calibri"/>
          <w:sz w:val="22"/>
          <w:szCs w:val="22"/>
          <w:lang w:eastAsia="en-US"/>
        </w:rPr>
        <w:fldChar w:fldCharType="separate"/>
      </w:r>
      <w:r w:rsidRPr="00402217">
        <w:rPr>
          <w:rFonts w:ascii="Calibri" w:eastAsia="Calibri" w:hAnsi="Calibri"/>
          <w:noProof/>
          <w:sz w:val="22"/>
          <w:szCs w:val="22"/>
          <w:lang w:eastAsia="es-MX"/>
        </w:rPr>
        <w:drawing>
          <wp:inline distT="0" distB="0" distL="0" distR="0" wp14:anchorId="112E38F3" wp14:editId="5AA6BF45">
            <wp:extent cx="4559935" cy="2341880"/>
            <wp:effectExtent l="0" t="0" r="0" b="127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
                    <pic:cNvPicPr>
                      <a:picLocks noChangeAspect="1" noChangeArrowheads="1"/>
                    </pic:cNvPicPr>
                  </pic:nvPicPr>
                  <pic:blipFill>
                    <a:blip r:embed="rId44" cstate="print">
                      <a:extLst>
                        <a:ext uri="{28A0092B-C50C-407E-A947-70E740481C1C}">
                          <a14:useLocalDpi xmlns:a14="http://schemas.microsoft.com/office/drawing/2010/main" val="0"/>
                        </a:ext>
                      </a:extLst>
                    </a:blip>
                    <a:srcRect b="31667"/>
                    <a:stretch>
                      <a:fillRect/>
                    </a:stretch>
                  </pic:blipFill>
                  <pic:spPr bwMode="auto">
                    <a:xfrm>
                      <a:off x="0" y="0"/>
                      <a:ext cx="4559935" cy="2341880"/>
                    </a:xfrm>
                    <a:prstGeom prst="rect">
                      <a:avLst/>
                    </a:prstGeom>
                    <a:noFill/>
                    <a:ln>
                      <a:noFill/>
                    </a:ln>
                  </pic:spPr>
                </pic:pic>
              </a:graphicData>
            </a:graphic>
          </wp:inline>
        </w:drawing>
      </w:r>
      <w:r w:rsidRPr="00402217">
        <w:rPr>
          <w:rFonts w:ascii="Calibri" w:eastAsia="Calibri" w:hAnsi="Calibri"/>
          <w:sz w:val="22"/>
          <w:szCs w:val="22"/>
          <w:lang w:eastAsia="en-US"/>
        </w:rPr>
        <w:fldChar w:fldCharType="end"/>
      </w:r>
    </w:p>
    <w:p w14:paraId="60662565" w14:textId="77777777" w:rsidR="0002571C" w:rsidRPr="0002571C" w:rsidRDefault="0002571C" w:rsidP="0002571C">
      <w:pPr>
        <w:spacing w:after="360" w:line="360" w:lineRule="auto"/>
        <w:ind w:right="-159"/>
        <w:jc w:val="both"/>
        <w:rPr>
          <w:rFonts w:eastAsia="Times New Roman"/>
          <w:sz w:val="26"/>
          <w:szCs w:val="26"/>
        </w:rPr>
      </w:pPr>
      <w:r w:rsidRPr="0002571C">
        <w:rPr>
          <w:rFonts w:eastAsia="Times New Roman"/>
          <w:sz w:val="26"/>
          <w:szCs w:val="26"/>
        </w:rPr>
        <w:t xml:space="preserve">Cabe destacar que con estos elementos es posible distinguir la etapa del ciclo económico en la que se encuentra la economía del país, sin embargo no se establece la magnitud de su crecimiento. </w:t>
      </w:r>
    </w:p>
    <w:p w14:paraId="49B56C1B" w14:textId="4A7E093A" w:rsidR="0002571C" w:rsidRPr="0002571C" w:rsidRDefault="0002571C" w:rsidP="0002571C">
      <w:pPr>
        <w:spacing w:after="360" w:line="360" w:lineRule="auto"/>
        <w:ind w:right="-159"/>
        <w:jc w:val="both"/>
        <w:rPr>
          <w:rFonts w:eastAsia="Times New Roman"/>
          <w:sz w:val="26"/>
          <w:szCs w:val="26"/>
        </w:rPr>
      </w:pPr>
      <w:r w:rsidRPr="0002571C">
        <w:rPr>
          <w:rFonts w:eastAsia="Times New Roman"/>
          <w:sz w:val="26"/>
          <w:szCs w:val="26"/>
        </w:rPr>
        <w:lastRenderedPageBreak/>
        <w:t xml:space="preserve">Asimismo, es importante mencionar que para que se detecte un punto de giro (pico o valle) ya sea en los indicadores compuestos o en las variables que los conforman, de acuerdo </w:t>
      </w:r>
      <w:r w:rsidR="00D63928">
        <w:rPr>
          <w:rFonts w:eastAsia="Times New Roman"/>
          <w:sz w:val="26"/>
          <w:szCs w:val="26"/>
        </w:rPr>
        <w:t>con</w:t>
      </w:r>
      <w:r w:rsidRPr="0002571C">
        <w:rPr>
          <w:rFonts w:eastAsia="Times New Roman"/>
          <w:sz w:val="26"/>
          <w:szCs w:val="26"/>
        </w:rPr>
        <w:t xml:space="preserve"> los ciclos que se han presentado en la economía mexicana entre uno y otro debe existir por lo menos un período de nueve meses que los separe y la longitud de los ciclos debe ser de al menos 21 meses, entre otros elementos. Con base en lo anterior, para determinar si la actividad económica entra o se encuentra en recesión, por ejemplo, es necesario considerar no solamente si el indicador coincidente se ubica en la etapa recesiva sino además si ha registrado por lo menos nueve meses desde que inició la desaceleración y se tengan 21 meses mínimo entre el pico actual y el pico anterior. Si esta condición no se presenta, no se podrá afirmar que se ha detectado un punto de giro en el ciclo económico.</w:t>
      </w:r>
    </w:p>
    <w:p w14:paraId="50012E89" w14:textId="58B6CD6D" w:rsidR="0002571C" w:rsidRPr="0002571C" w:rsidRDefault="0002571C" w:rsidP="0002571C">
      <w:pPr>
        <w:spacing w:after="360" w:line="360" w:lineRule="auto"/>
        <w:ind w:right="-159"/>
        <w:jc w:val="both"/>
        <w:rPr>
          <w:rFonts w:eastAsia="Times New Roman"/>
          <w:sz w:val="26"/>
          <w:szCs w:val="26"/>
        </w:rPr>
      </w:pPr>
      <w:r w:rsidRPr="0002571C">
        <w:rPr>
          <w:rFonts w:eastAsia="Times New Roman"/>
          <w:sz w:val="26"/>
          <w:szCs w:val="26"/>
        </w:rPr>
        <w:t xml:space="preserve">Lo mismo ocurre para establecer si la actividad económica entra o se encuentra en expansión, dado que para ello es indispensable considerar no solamente si el indicador coincidente se localiza en la etapa de expansión sino además si ha registrado al menos nueve meses desde que inició la etapa de recuperación y hayan pasado por lo menos  </w:t>
      </w:r>
      <w:r w:rsidR="00646128">
        <w:rPr>
          <w:rFonts w:eastAsia="Times New Roman"/>
          <w:sz w:val="26"/>
          <w:szCs w:val="26"/>
        </w:rPr>
        <w:t xml:space="preserve"> </w:t>
      </w:r>
      <w:r w:rsidRPr="0002571C">
        <w:rPr>
          <w:rFonts w:eastAsia="Times New Roman"/>
          <w:sz w:val="26"/>
          <w:szCs w:val="26"/>
        </w:rPr>
        <w:t>21 meses entre el valle actual y el anterior.</w:t>
      </w:r>
    </w:p>
    <w:p w14:paraId="586318BB" w14:textId="77777777" w:rsidR="0002571C" w:rsidRPr="0002571C" w:rsidRDefault="0002571C" w:rsidP="0002571C">
      <w:pPr>
        <w:spacing w:after="360" w:line="360" w:lineRule="auto"/>
        <w:ind w:right="-159"/>
        <w:jc w:val="both"/>
        <w:rPr>
          <w:rFonts w:eastAsia="Times New Roman"/>
          <w:b/>
          <w:sz w:val="26"/>
          <w:szCs w:val="26"/>
        </w:rPr>
      </w:pPr>
      <w:r w:rsidRPr="0002571C">
        <w:rPr>
          <w:rFonts w:eastAsia="Times New Roman"/>
          <w:b/>
          <w:sz w:val="26"/>
          <w:szCs w:val="26"/>
        </w:rPr>
        <w:t>Resultados del enfoque del ciclo de crecimiento: componentes ciclicos</w:t>
      </w:r>
    </w:p>
    <w:p w14:paraId="6CB8AB67" w14:textId="77777777" w:rsidR="0002571C" w:rsidRPr="0002571C" w:rsidRDefault="0002571C" w:rsidP="0002571C">
      <w:pPr>
        <w:spacing w:after="360" w:line="360" w:lineRule="auto"/>
        <w:ind w:right="-159"/>
        <w:jc w:val="both"/>
        <w:rPr>
          <w:rFonts w:eastAsia="Times New Roman"/>
          <w:b/>
          <w:sz w:val="26"/>
          <w:szCs w:val="26"/>
        </w:rPr>
      </w:pPr>
      <w:r w:rsidRPr="0002571C">
        <w:rPr>
          <w:rFonts w:eastAsia="Times New Roman"/>
          <w:b/>
          <w:sz w:val="26"/>
          <w:szCs w:val="26"/>
        </w:rPr>
        <w:t>Indicador Coincidente</w:t>
      </w:r>
    </w:p>
    <w:p w14:paraId="039476B9" w14:textId="77777777" w:rsidR="0002571C" w:rsidRPr="0002571C" w:rsidRDefault="0002571C" w:rsidP="0002571C">
      <w:pPr>
        <w:spacing w:after="360" w:line="360" w:lineRule="auto"/>
        <w:ind w:right="-159"/>
        <w:jc w:val="both"/>
        <w:rPr>
          <w:rFonts w:eastAsia="Times New Roman"/>
          <w:sz w:val="26"/>
          <w:szCs w:val="26"/>
        </w:rPr>
      </w:pPr>
      <w:r w:rsidRPr="0002571C">
        <w:rPr>
          <w:rFonts w:eastAsia="Times New Roman"/>
          <w:sz w:val="26"/>
          <w:szCs w:val="26"/>
        </w:rPr>
        <w:t>En diciembre de 2014, el Indicador Coincidente se ubicó ligeramente por arriba de su tendencia de largo plazo al registrar un valor de 100.1 puntos y una variación de         0.04 puntos respecto al mes anterior.</w:t>
      </w:r>
    </w:p>
    <w:p w14:paraId="719B44B0" w14:textId="77777777" w:rsidR="0002571C" w:rsidRPr="0002571C" w:rsidRDefault="0002571C" w:rsidP="0002571C">
      <w:pPr>
        <w:jc w:val="center"/>
        <w:rPr>
          <w:b/>
          <w:sz w:val="22"/>
          <w:szCs w:val="22"/>
        </w:rPr>
      </w:pPr>
      <w:r w:rsidRPr="0002571C">
        <w:rPr>
          <w:b/>
          <w:sz w:val="22"/>
          <w:szCs w:val="22"/>
        </w:rPr>
        <w:t>INDICADOR COINCIDENTE</w:t>
      </w:r>
    </w:p>
    <w:p w14:paraId="6CA6F797" w14:textId="77777777" w:rsidR="0002571C" w:rsidRPr="0002571C" w:rsidRDefault="0002571C" w:rsidP="0002571C">
      <w:pPr>
        <w:jc w:val="center"/>
        <w:rPr>
          <w:sz w:val="22"/>
          <w:szCs w:val="22"/>
        </w:rPr>
      </w:pPr>
      <w:r w:rsidRPr="0002571C">
        <w:rPr>
          <w:b/>
          <w:sz w:val="22"/>
          <w:szCs w:val="22"/>
        </w:rPr>
        <w:t>-Diferencia en puntos respecto al mes inmediato anterior-</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6"/>
        <w:gridCol w:w="707"/>
        <w:gridCol w:w="765"/>
        <w:gridCol w:w="652"/>
        <w:gridCol w:w="767"/>
        <w:gridCol w:w="718"/>
        <w:gridCol w:w="707"/>
        <w:gridCol w:w="708"/>
        <w:gridCol w:w="644"/>
        <w:gridCol w:w="709"/>
        <w:gridCol w:w="709"/>
        <w:gridCol w:w="731"/>
      </w:tblGrid>
      <w:tr w:rsidR="0002571C" w:rsidRPr="0002571C" w14:paraId="1AF8189E" w14:textId="77777777" w:rsidTr="001E7D79">
        <w:trPr>
          <w:jc w:val="center"/>
        </w:trPr>
        <w:tc>
          <w:tcPr>
            <w:tcW w:w="8523" w:type="dxa"/>
            <w:gridSpan w:val="12"/>
          </w:tcPr>
          <w:p w14:paraId="5C754C2C" w14:textId="77777777" w:rsidR="0002571C" w:rsidRPr="0002571C" w:rsidRDefault="0002571C" w:rsidP="0002571C">
            <w:pPr>
              <w:jc w:val="center"/>
              <w:rPr>
                <w:b/>
                <w:sz w:val="20"/>
                <w:szCs w:val="20"/>
                <w:lang w:val="es-ES"/>
              </w:rPr>
            </w:pPr>
            <w:r w:rsidRPr="0002571C">
              <w:rPr>
                <w:b/>
                <w:sz w:val="20"/>
                <w:szCs w:val="20"/>
                <w:lang w:val="es-ES"/>
              </w:rPr>
              <w:t>2014</w:t>
            </w:r>
          </w:p>
        </w:tc>
      </w:tr>
      <w:tr w:rsidR="0002571C" w:rsidRPr="0002571C" w14:paraId="43CD1DD5" w14:textId="77777777" w:rsidTr="001E7D79">
        <w:trPr>
          <w:trHeight w:val="50"/>
          <w:jc w:val="center"/>
        </w:trPr>
        <w:tc>
          <w:tcPr>
            <w:tcW w:w="706" w:type="dxa"/>
          </w:tcPr>
          <w:p w14:paraId="3AD516B4" w14:textId="77777777" w:rsidR="0002571C" w:rsidRPr="0002571C" w:rsidRDefault="0002571C" w:rsidP="0002571C">
            <w:pPr>
              <w:jc w:val="center"/>
              <w:rPr>
                <w:b/>
                <w:sz w:val="20"/>
                <w:szCs w:val="20"/>
              </w:rPr>
            </w:pPr>
            <w:r w:rsidRPr="0002571C">
              <w:rPr>
                <w:b/>
                <w:sz w:val="20"/>
                <w:szCs w:val="20"/>
              </w:rPr>
              <w:t>Ene.</w:t>
            </w:r>
          </w:p>
        </w:tc>
        <w:tc>
          <w:tcPr>
            <w:tcW w:w="707" w:type="dxa"/>
          </w:tcPr>
          <w:p w14:paraId="1BD4BECD" w14:textId="77777777" w:rsidR="0002571C" w:rsidRPr="0002571C" w:rsidRDefault="0002571C" w:rsidP="0002571C">
            <w:pPr>
              <w:jc w:val="center"/>
              <w:rPr>
                <w:b/>
                <w:sz w:val="20"/>
                <w:szCs w:val="20"/>
              </w:rPr>
            </w:pPr>
            <w:r w:rsidRPr="0002571C">
              <w:rPr>
                <w:b/>
                <w:sz w:val="20"/>
                <w:szCs w:val="20"/>
              </w:rPr>
              <w:t>Feb.</w:t>
            </w:r>
          </w:p>
        </w:tc>
        <w:tc>
          <w:tcPr>
            <w:tcW w:w="765" w:type="dxa"/>
          </w:tcPr>
          <w:p w14:paraId="4BA875EB" w14:textId="77777777" w:rsidR="0002571C" w:rsidRPr="0002571C" w:rsidRDefault="0002571C" w:rsidP="0002571C">
            <w:pPr>
              <w:jc w:val="center"/>
              <w:rPr>
                <w:b/>
                <w:sz w:val="20"/>
                <w:szCs w:val="20"/>
              </w:rPr>
            </w:pPr>
            <w:r w:rsidRPr="0002571C">
              <w:rPr>
                <w:b/>
                <w:sz w:val="20"/>
                <w:szCs w:val="20"/>
              </w:rPr>
              <w:t>Mar.</w:t>
            </w:r>
          </w:p>
        </w:tc>
        <w:tc>
          <w:tcPr>
            <w:tcW w:w="652" w:type="dxa"/>
          </w:tcPr>
          <w:p w14:paraId="18C0A219" w14:textId="77777777" w:rsidR="0002571C" w:rsidRPr="0002571C" w:rsidRDefault="0002571C" w:rsidP="0002571C">
            <w:pPr>
              <w:jc w:val="center"/>
              <w:rPr>
                <w:b/>
                <w:sz w:val="20"/>
                <w:szCs w:val="20"/>
              </w:rPr>
            </w:pPr>
            <w:r w:rsidRPr="0002571C">
              <w:rPr>
                <w:b/>
                <w:sz w:val="20"/>
                <w:szCs w:val="20"/>
              </w:rPr>
              <w:t>Abr.</w:t>
            </w:r>
          </w:p>
        </w:tc>
        <w:tc>
          <w:tcPr>
            <w:tcW w:w="767" w:type="dxa"/>
          </w:tcPr>
          <w:p w14:paraId="311757E0" w14:textId="77777777" w:rsidR="0002571C" w:rsidRPr="0002571C" w:rsidRDefault="0002571C" w:rsidP="0002571C">
            <w:pPr>
              <w:jc w:val="center"/>
              <w:rPr>
                <w:b/>
                <w:sz w:val="20"/>
                <w:szCs w:val="20"/>
              </w:rPr>
            </w:pPr>
            <w:r w:rsidRPr="0002571C">
              <w:rPr>
                <w:b/>
                <w:sz w:val="20"/>
                <w:szCs w:val="20"/>
              </w:rPr>
              <w:t>May.</w:t>
            </w:r>
          </w:p>
        </w:tc>
        <w:tc>
          <w:tcPr>
            <w:tcW w:w="718" w:type="dxa"/>
          </w:tcPr>
          <w:p w14:paraId="6792E817" w14:textId="77777777" w:rsidR="0002571C" w:rsidRPr="0002571C" w:rsidRDefault="0002571C" w:rsidP="0002571C">
            <w:pPr>
              <w:jc w:val="center"/>
              <w:rPr>
                <w:b/>
                <w:sz w:val="20"/>
                <w:szCs w:val="20"/>
              </w:rPr>
            </w:pPr>
            <w:r w:rsidRPr="0002571C">
              <w:rPr>
                <w:b/>
                <w:sz w:val="20"/>
                <w:szCs w:val="20"/>
              </w:rPr>
              <w:t>Jun.</w:t>
            </w:r>
          </w:p>
        </w:tc>
        <w:tc>
          <w:tcPr>
            <w:tcW w:w="707" w:type="dxa"/>
          </w:tcPr>
          <w:p w14:paraId="09DEB1A5" w14:textId="77777777" w:rsidR="0002571C" w:rsidRPr="0002571C" w:rsidRDefault="0002571C" w:rsidP="0002571C">
            <w:pPr>
              <w:jc w:val="center"/>
              <w:rPr>
                <w:b/>
                <w:sz w:val="20"/>
                <w:szCs w:val="20"/>
              </w:rPr>
            </w:pPr>
            <w:r w:rsidRPr="0002571C">
              <w:rPr>
                <w:b/>
                <w:sz w:val="20"/>
                <w:szCs w:val="20"/>
              </w:rPr>
              <w:t>Jul.</w:t>
            </w:r>
          </w:p>
        </w:tc>
        <w:tc>
          <w:tcPr>
            <w:tcW w:w="708" w:type="dxa"/>
          </w:tcPr>
          <w:p w14:paraId="3F51C103" w14:textId="77777777" w:rsidR="0002571C" w:rsidRPr="0002571C" w:rsidRDefault="0002571C" w:rsidP="0002571C">
            <w:pPr>
              <w:jc w:val="center"/>
              <w:rPr>
                <w:b/>
                <w:sz w:val="20"/>
                <w:szCs w:val="20"/>
              </w:rPr>
            </w:pPr>
            <w:r w:rsidRPr="0002571C">
              <w:rPr>
                <w:b/>
                <w:sz w:val="20"/>
                <w:szCs w:val="20"/>
              </w:rPr>
              <w:t>Ago.</w:t>
            </w:r>
          </w:p>
        </w:tc>
        <w:tc>
          <w:tcPr>
            <w:tcW w:w="644" w:type="dxa"/>
          </w:tcPr>
          <w:p w14:paraId="3E66612A" w14:textId="77777777" w:rsidR="0002571C" w:rsidRPr="0002571C" w:rsidRDefault="0002571C" w:rsidP="0002571C">
            <w:pPr>
              <w:jc w:val="center"/>
              <w:rPr>
                <w:b/>
                <w:sz w:val="20"/>
                <w:szCs w:val="20"/>
              </w:rPr>
            </w:pPr>
            <w:r w:rsidRPr="0002571C">
              <w:rPr>
                <w:b/>
                <w:sz w:val="20"/>
                <w:szCs w:val="20"/>
              </w:rPr>
              <w:t>Sep.</w:t>
            </w:r>
          </w:p>
        </w:tc>
        <w:tc>
          <w:tcPr>
            <w:tcW w:w="709" w:type="dxa"/>
          </w:tcPr>
          <w:p w14:paraId="78AA5043" w14:textId="77777777" w:rsidR="0002571C" w:rsidRPr="0002571C" w:rsidRDefault="0002571C" w:rsidP="0002571C">
            <w:pPr>
              <w:jc w:val="center"/>
              <w:rPr>
                <w:b/>
                <w:sz w:val="20"/>
                <w:szCs w:val="20"/>
              </w:rPr>
            </w:pPr>
            <w:r w:rsidRPr="0002571C">
              <w:rPr>
                <w:b/>
                <w:sz w:val="20"/>
                <w:szCs w:val="20"/>
              </w:rPr>
              <w:t>Oct.</w:t>
            </w:r>
          </w:p>
        </w:tc>
        <w:tc>
          <w:tcPr>
            <w:tcW w:w="709" w:type="dxa"/>
          </w:tcPr>
          <w:p w14:paraId="38D60989" w14:textId="77777777" w:rsidR="0002571C" w:rsidRPr="0002571C" w:rsidRDefault="0002571C" w:rsidP="0002571C">
            <w:pPr>
              <w:jc w:val="center"/>
              <w:rPr>
                <w:b/>
                <w:sz w:val="20"/>
                <w:szCs w:val="20"/>
              </w:rPr>
            </w:pPr>
            <w:r w:rsidRPr="0002571C">
              <w:rPr>
                <w:b/>
                <w:sz w:val="20"/>
                <w:szCs w:val="20"/>
              </w:rPr>
              <w:t>Nov.</w:t>
            </w:r>
          </w:p>
        </w:tc>
        <w:tc>
          <w:tcPr>
            <w:tcW w:w="731" w:type="dxa"/>
          </w:tcPr>
          <w:p w14:paraId="06389587" w14:textId="77777777" w:rsidR="0002571C" w:rsidRPr="0002571C" w:rsidRDefault="0002571C" w:rsidP="0002571C">
            <w:pPr>
              <w:jc w:val="center"/>
              <w:rPr>
                <w:b/>
                <w:sz w:val="20"/>
                <w:szCs w:val="20"/>
              </w:rPr>
            </w:pPr>
            <w:r w:rsidRPr="0002571C">
              <w:rPr>
                <w:b/>
                <w:sz w:val="20"/>
                <w:szCs w:val="20"/>
              </w:rPr>
              <w:t>Dic.</w:t>
            </w:r>
          </w:p>
        </w:tc>
      </w:tr>
      <w:tr w:rsidR="0002571C" w:rsidRPr="0002571C" w14:paraId="4CC38E1C" w14:textId="77777777" w:rsidTr="001E7D79">
        <w:trPr>
          <w:jc w:val="center"/>
        </w:trPr>
        <w:tc>
          <w:tcPr>
            <w:tcW w:w="706" w:type="dxa"/>
            <w:tcBorders>
              <w:bottom w:val="single" w:sz="4" w:space="0" w:color="auto"/>
            </w:tcBorders>
          </w:tcPr>
          <w:p w14:paraId="2EFE3A4A" w14:textId="77777777" w:rsidR="0002571C" w:rsidRPr="0002571C" w:rsidRDefault="0002571C" w:rsidP="0002571C">
            <w:pPr>
              <w:jc w:val="center"/>
              <w:rPr>
                <w:sz w:val="20"/>
                <w:szCs w:val="20"/>
              </w:rPr>
            </w:pPr>
            <w:r w:rsidRPr="0002571C">
              <w:rPr>
                <w:sz w:val="20"/>
                <w:szCs w:val="20"/>
              </w:rPr>
              <w:t>-0.03</w:t>
            </w:r>
          </w:p>
        </w:tc>
        <w:tc>
          <w:tcPr>
            <w:tcW w:w="707" w:type="dxa"/>
            <w:tcBorders>
              <w:bottom w:val="single" w:sz="4" w:space="0" w:color="auto"/>
            </w:tcBorders>
          </w:tcPr>
          <w:p w14:paraId="6A0EEE6A" w14:textId="77777777" w:rsidR="0002571C" w:rsidRPr="0002571C" w:rsidRDefault="0002571C" w:rsidP="0002571C">
            <w:pPr>
              <w:jc w:val="center"/>
              <w:rPr>
                <w:sz w:val="20"/>
                <w:szCs w:val="20"/>
              </w:rPr>
            </w:pPr>
            <w:r w:rsidRPr="0002571C">
              <w:rPr>
                <w:sz w:val="20"/>
                <w:szCs w:val="20"/>
              </w:rPr>
              <w:t>-0.02</w:t>
            </w:r>
          </w:p>
        </w:tc>
        <w:tc>
          <w:tcPr>
            <w:tcW w:w="765" w:type="dxa"/>
            <w:tcBorders>
              <w:bottom w:val="single" w:sz="4" w:space="0" w:color="auto"/>
            </w:tcBorders>
          </w:tcPr>
          <w:p w14:paraId="59DD47ED" w14:textId="77777777" w:rsidR="0002571C" w:rsidRPr="0002571C" w:rsidRDefault="0002571C" w:rsidP="0002571C">
            <w:pPr>
              <w:jc w:val="center"/>
              <w:rPr>
                <w:sz w:val="20"/>
                <w:szCs w:val="20"/>
              </w:rPr>
            </w:pPr>
            <w:r w:rsidRPr="0002571C">
              <w:rPr>
                <w:sz w:val="20"/>
                <w:szCs w:val="20"/>
              </w:rPr>
              <w:t>0.00</w:t>
            </w:r>
          </w:p>
        </w:tc>
        <w:tc>
          <w:tcPr>
            <w:tcW w:w="652" w:type="dxa"/>
            <w:tcBorders>
              <w:bottom w:val="single" w:sz="4" w:space="0" w:color="auto"/>
            </w:tcBorders>
          </w:tcPr>
          <w:p w14:paraId="191D2CC3" w14:textId="77777777" w:rsidR="0002571C" w:rsidRPr="0002571C" w:rsidRDefault="0002571C" w:rsidP="0002571C">
            <w:pPr>
              <w:jc w:val="center"/>
              <w:rPr>
                <w:sz w:val="20"/>
                <w:szCs w:val="20"/>
              </w:rPr>
            </w:pPr>
            <w:r w:rsidRPr="0002571C">
              <w:rPr>
                <w:sz w:val="20"/>
                <w:szCs w:val="20"/>
              </w:rPr>
              <w:t>0.02</w:t>
            </w:r>
          </w:p>
        </w:tc>
        <w:tc>
          <w:tcPr>
            <w:tcW w:w="767" w:type="dxa"/>
            <w:tcBorders>
              <w:bottom w:val="single" w:sz="4" w:space="0" w:color="auto"/>
            </w:tcBorders>
          </w:tcPr>
          <w:p w14:paraId="0F4AEA44" w14:textId="77777777" w:rsidR="0002571C" w:rsidRPr="0002571C" w:rsidRDefault="0002571C" w:rsidP="0002571C">
            <w:pPr>
              <w:jc w:val="center"/>
              <w:rPr>
                <w:sz w:val="20"/>
                <w:szCs w:val="20"/>
              </w:rPr>
            </w:pPr>
            <w:r w:rsidRPr="0002571C">
              <w:rPr>
                <w:sz w:val="20"/>
                <w:szCs w:val="20"/>
              </w:rPr>
              <w:t>0.03</w:t>
            </w:r>
          </w:p>
        </w:tc>
        <w:tc>
          <w:tcPr>
            <w:tcW w:w="718" w:type="dxa"/>
            <w:tcBorders>
              <w:bottom w:val="single" w:sz="4" w:space="0" w:color="auto"/>
            </w:tcBorders>
          </w:tcPr>
          <w:p w14:paraId="4809F9BC" w14:textId="77777777" w:rsidR="0002571C" w:rsidRPr="0002571C" w:rsidRDefault="0002571C" w:rsidP="0002571C">
            <w:pPr>
              <w:jc w:val="center"/>
              <w:rPr>
                <w:sz w:val="20"/>
                <w:szCs w:val="20"/>
              </w:rPr>
            </w:pPr>
            <w:r w:rsidRPr="0002571C">
              <w:rPr>
                <w:sz w:val="20"/>
                <w:szCs w:val="20"/>
              </w:rPr>
              <w:t>0.03</w:t>
            </w:r>
          </w:p>
        </w:tc>
        <w:tc>
          <w:tcPr>
            <w:tcW w:w="707" w:type="dxa"/>
            <w:tcBorders>
              <w:bottom w:val="single" w:sz="4" w:space="0" w:color="auto"/>
            </w:tcBorders>
          </w:tcPr>
          <w:p w14:paraId="41BE82A1" w14:textId="77777777" w:rsidR="0002571C" w:rsidRPr="0002571C" w:rsidRDefault="0002571C" w:rsidP="0002571C">
            <w:pPr>
              <w:jc w:val="center"/>
              <w:rPr>
                <w:sz w:val="20"/>
                <w:szCs w:val="20"/>
              </w:rPr>
            </w:pPr>
            <w:r w:rsidRPr="0002571C">
              <w:rPr>
                <w:sz w:val="20"/>
                <w:szCs w:val="20"/>
              </w:rPr>
              <w:t>0.03</w:t>
            </w:r>
          </w:p>
        </w:tc>
        <w:tc>
          <w:tcPr>
            <w:tcW w:w="708" w:type="dxa"/>
            <w:tcBorders>
              <w:bottom w:val="single" w:sz="4" w:space="0" w:color="auto"/>
            </w:tcBorders>
          </w:tcPr>
          <w:p w14:paraId="44A63274" w14:textId="77777777" w:rsidR="0002571C" w:rsidRPr="0002571C" w:rsidRDefault="0002571C" w:rsidP="0002571C">
            <w:pPr>
              <w:jc w:val="center"/>
              <w:rPr>
                <w:sz w:val="20"/>
                <w:szCs w:val="20"/>
              </w:rPr>
            </w:pPr>
            <w:r w:rsidRPr="0002571C">
              <w:rPr>
                <w:sz w:val="20"/>
                <w:szCs w:val="20"/>
              </w:rPr>
              <w:t>0.03</w:t>
            </w:r>
          </w:p>
        </w:tc>
        <w:tc>
          <w:tcPr>
            <w:tcW w:w="644" w:type="dxa"/>
            <w:tcBorders>
              <w:bottom w:val="single" w:sz="4" w:space="0" w:color="auto"/>
            </w:tcBorders>
          </w:tcPr>
          <w:p w14:paraId="36EA6F6C" w14:textId="77777777" w:rsidR="0002571C" w:rsidRPr="0002571C" w:rsidRDefault="0002571C" w:rsidP="0002571C">
            <w:pPr>
              <w:jc w:val="center"/>
              <w:rPr>
                <w:sz w:val="20"/>
                <w:szCs w:val="20"/>
              </w:rPr>
            </w:pPr>
            <w:r w:rsidRPr="0002571C">
              <w:rPr>
                <w:sz w:val="20"/>
                <w:szCs w:val="20"/>
              </w:rPr>
              <w:t>0.04</w:t>
            </w:r>
          </w:p>
        </w:tc>
        <w:tc>
          <w:tcPr>
            <w:tcW w:w="709" w:type="dxa"/>
            <w:tcBorders>
              <w:bottom w:val="single" w:sz="4" w:space="0" w:color="auto"/>
            </w:tcBorders>
          </w:tcPr>
          <w:p w14:paraId="5AC14F8F" w14:textId="77777777" w:rsidR="0002571C" w:rsidRPr="0002571C" w:rsidRDefault="0002571C" w:rsidP="0002571C">
            <w:pPr>
              <w:jc w:val="center"/>
              <w:rPr>
                <w:sz w:val="20"/>
                <w:szCs w:val="20"/>
              </w:rPr>
            </w:pPr>
            <w:r w:rsidRPr="0002571C">
              <w:rPr>
                <w:sz w:val="20"/>
                <w:szCs w:val="20"/>
              </w:rPr>
              <w:t>0.04</w:t>
            </w:r>
          </w:p>
        </w:tc>
        <w:tc>
          <w:tcPr>
            <w:tcW w:w="709" w:type="dxa"/>
            <w:tcBorders>
              <w:bottom w:val="single" w:sz="4" w:space="0" w:color="auto"/>
            </w:tcBorders>
          </w:tcPr>
          <w:p w14:paraId="45160C2C" w14:textId="77777777" w:rsidR="0002571C" w:rsidRPr="0002571C" w:rsidRDefault="0002571C" w:rsidP="0002571C">
            <w:pPr>
              <w:jc w:val="center"/>
              <w:rPr>
                <w:sz w:val="20"/>
                <w:szCs w:val="20"/>
              </w:rPr>
            </w:pPr>
            <w:r w:rsidRPr="0002571C">
              <w:rPr>
                <w:sz w:val="20"/>
                <w:szCs w:val="20"/>
              </w:rPr>
              <w:t>0.04</w:t>
            </w:r>
          </w:p>
        </w:tc>
        <w:tc>
          <w:tcPr>
            <w:tcW w:w="731" w:type="dxa"/>
            <w:tcBorders>
              <w:bottom w:val="single" w:sz="4" w:space="0" w:color="auto"/>
            </w:tcBorders>
          </w:tcPr>
          <w:p w14:paraId="79DDCB0C" w14:textId="77777777" w:rsidR="0002571C" w:rsidRPr="0002571C" w:rsidRDefault="0002571C" w:rsidP="0002571C">
            <w:pPr>
              <w:jc w:val="center"/>
              <w:rPr>
                <w:sz w:val="20"/>
                <w:szCs w:val="20"/>
              </w:rPr>
            </w:pPr>
            <w:r w:rsidRPr="0002571C">
              <w:rPr>
                <w:sz w:val="20"/>
                <w:szCs w:val="20"/>
              </w:rPr>
              <w:t>0.04</w:t>
            </w:r>
          </w:p>
        </w:tc>
      </w:tr>
    </w:tbl>
    <w:p w14:paraId="052FA0AB" w14:textId="77777777" w:rsidR="0002571C" w:rsidRPr="0002571C" w:rsidRDefault="0002571C" w:rsidP="0002571C">
      <w:pPr>
        <w:spacing w:after="360" w:line="360" w:lineRule="auto"/>
        <w:ind w:right="-159"/>
        <w:jc w:val="both"/>
        <w:rPr>
          <w:rFonts w:eastAsia="Times New Roman"/>
          <w:sz w:val="20"/>
          <w:szCs w:val="20"/>
          <w:lang w:val="es-ES"/>
        </w:rPr>
      </w:pPr>
      <w:r w:rsidRPr="0002571C">
        <w:rPr>
          <w:rFonts w:eastAsia="Times New Roman"/>
          <w:sz w:val="20"/>
          <w:szCs w:val="20"/>
          <w:lang w:val="es-ES"/>
        </w:rPr>
        <w:t xml:space="preserve">   FUENTE: INEGI.</w:t>
      </w:r>
    </w:p>
    <w:p w14:paraId="750F5A0B" w14:textId="7DEF3F76" w:rsidR="006243F1" w:rsidRDefault="00402217" w:rsidP="0002571C">
      <w:pPr>
        <w:spacing w:after="360" w:line="360" w:lineRule="auto"/>
        <w:ind w:right="-159"/>
        <w:jc w:val="center"/>
        <w:rPr>
          <w:noProof/>
          <w:lang w:eastAsia="es-MX"/>
        </w:rPr>
      </w:pPr>
      <w:r w:rsidRPr="00402217">
        <w:rPr>
          <w:rFonts w:ascii="Calibri" w:eastAsia="Calibri" w:hAnsi="Calibri"/>
          <w:sz w:val="22"/>
          <w:szCs w:val="22"/>
          <w:lang w:eastAsia="en-US"/>
        </w:rPr>
        <w:lastRenderedPageBreak/>
        <w:fldChar w:fldCharType="begin"/>
      </w:r>
      <w:r w:rsidRPr="00402217">
        <w:rPr>
          <w:rFonts w:ascii="Calibri" w:eastAsia="Calibri" w:hAnsi="Calibri"/>
          <w:sz w:val="22"/>
          <w:szCs w:val="22"/>
          <w:lang w:eastAsia="en-US"/>
        </w:rPr>
        <w:instrText xml:space="preserve"> LINK PowerPoint.Slide.8 "D:\\2015\\MARZO 2014\\GRÁFICAS EN POWER POINT\\12.- GRÁFICAS II DE IND. CICLICOS.pptx!307" "" \a \p </w:instrText>
      </w:r>
      <w:r w:rsidRPr="00402217">
        <w:rPr>
          <w:rFonts w:ascii="Calibri" w:eastAsia="Calibri" w:hAnsi="Calibri"/>
          <w:sz w:val="22"/>
          <w:szCs w:val="22"/>
          <w:lang w:eastAsia="en-US"/>
        </w:rPr>
        <w:fldChar w:fldCharType="separate"/>
      </w:r>
      <w:r w:rsidRPr="00402217">
        <w:rPr>
          <w:rFonts w:ascii="Calibri" w:eastAsia="Calibri" w:hAnsi="Calibri"/>
          <w:noProof/>
          <w:sz w:val="22"/>
          <w:szCs w:val="22"/>
          <w:lang w:eastAsia="es-MX"/>
        </w:rPr>
        <w:drawing>
          <wp:inline distT="0" distB="0" distL="0" distR="0" wp14:anchorId="1E8DCE52" wp14:editId="36BFFA39">
            <wp:extent cx="5103495" cy="3429000"/>
            <wp:effectExtent l="0" t="0" r="1905"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ChangeAspect="1" noChangeArrowheads="1"/>
                    </pic:cNvPicPr>
                  </pic:nvPicPr>
                  <pic:blipFill>
                    <a:blip r:embed="rId45" cstate="print">
                      <a:extLst>
                        <a:ext uri="{28A0092B-C50C-407E-A947-70E740481C1C}">
                          <a14:useLocalDpi xmlns:a14="http://schemas.microsoft.com/office/drawing/2010/main" val="0"/>
                        </a:ext>
                      </a:extLst>
                    </a:blip>
                    <a:srcRect l="3912" r="12207"/>
                    <a:stretch>
                      <a:fillRect/>
                    </a:stretch>
                  </pic:blipFill>
                  <pic:spPr bwMode="auto">
                    <a:xfrm>
                      <a:off x="0" y="0"/>
                      <a:ext cx="5103495" cy="3429000"/>
                    </a:xfrm>
                    <a:prstGeom prst="rect">
                      <a:avLst/>
                    </a:prstGeom>
                    <a:noFill/>
                    <a:ln>
                      <a:noFill/>
                    </a:ln>
                  </pic:spPr>
                </pic:pic>
              </a:graphicData>
            </a:graphic>
          </wp:inline>
        </w:drawing>
      </w:r>
      <w:r w:rsidRPr="00402217">
        <w:rPr>
          <w:rFonts w:ascii="Calibri" w:eastAsia="Calibri" w:hAnsi="Calibri"/>
          <w:sz w:val="22"/>
          <w:szCs w:val="22"/>
          <w:lang w:eastAsia="en-US"/>
        </w:rPr>
        <w:fldChar w:fldCharType="end"/>
      </w:r>
    </w:p>
    <w:p w14:paraId="41208633" w14:textId="77777777" w:rsidR="0002571C" w:rsidRPr="0002571C" w:rsidRDefault="0002571C" w:rsidP="0002571C">
      <w:pPr>
        <w:spacing w:after="360" w:line="360" w:lineRule="auto"/>
        <w:ind w:right="-159"/>
        <w:jc w:val="both"/>
        <w:rPr>
          <w:sz w:val="26"/>
          <w:szCs w:val="26"/>
        </w:rPr>
      </w:pPr>
      <w:r w:rsidRPr="0002571C">
        <w:rPr>
          <w:sz w:val="26"/>
          <w:szCs w:val="26"/>
        </w:rPr>
        <w:t>El comportamiento del Indicador Coincidente en el pasado mes de diciembre fue resultado de la evolución de los componentes cíclicos que lo integran, los cuales se presentan en el cuadro y las gráficas siguientes.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7"/>
        <w:gridCol w:w="602"/>
        <w:gridCol w:w="1096"/>
        <w:gridCol w:w="987"/>
        <w:gridCol w:w="1553"/>
        <w:gridCol w:w="1215"/>
        <w:gridCol w:w="1159"/>
        <w:gridCol w:w="1203"/>
      </w:tblGrid>
      <w:tr w:rsidR="0002571C" w:rsidRPr="0002571C" w14:paraId="6F487177" w14:textId="77777777" w:rsidTr="001E7D79">
        <w:trPr>
          <w:jc w:val="center"/>
        </w:trPr>
        <w:tc>
          <w:tcPr>
            <w:tcW w:w="8422" w:type="dxa"/>
            <w:gridSpan w:val="8"/>
            <w:tcBorders>
              <w:top w:val="nil"/>
              <w:left w:val="nil"/>
              <w:bottom w:val="single" w:sz="4" w:space="0" w:color="auto"/>
              <w:right w:val="nil"/>
            </w:tcBorders>
          </w:tcPr>
          <w:p w14:paraId="17C91A03" w14:textId="77777777" w:rsidR="0002571C" w:rsidRPr="0002571C" w:rsidRDefault="0002571C" w:rsidP="0002571C">
            <w:pPr>
              <w:jc w:val="center"/>
              <w:rPr>
                <w:rFonts w:eastAsia="Times New Roman"/>
                <w:b/>
                <w:lang w:val="es-ES"/>
              </w:rPr>
            </w:pPr>
            <w:r w:rsidRPr="0002571C">
              <w:rPr>
                <w:sz w:val="26"/>
                <w:szCs w:val="26"/>
              </w:rPr>
              <w:br w:type="page"/>
            </w:r>
            <w:r w:rsidRPr="0002571C">
              <w:rPr>
                <w:rFonts w:eastAsia="Times New Roman"/>
                <w:b/>
                <w:sz w:val="22"/>
                <w:szCs w:val="22"/>
                <w:lang w:val="es-ES"/>
              </w:rPr>
              <w:t>COMPONENTES DEL INDICADOR COINCIDENTE</w:t>
            </w:r>
          </w:p>
          <w:p w14:paraId="18F7A382" w14:textId="77777777" w:rsidR="0002571C" w:rsidRPr="0002571C" w:rsidRDefault="0002571C" w:rsidP="0002571C">
            <w:pPr>
              <w:jc w:val="center"/>
              <w:rPr>
                <w:rFonts w:eastAsia="Times New Roman"/>
                <w:b/>
                <w:lang w:val="es-ES"/>
              </w:rPr>
            </w:pPr>
            <w:r w:rsidRPr="0002571C">
              <w:rPr>
                <w:rFonts w:eastAsia="Times New Roman"/>
                <w:b/>
                <w:sz w:val="22"/>
                <w:szCs w:val="22"/>
                <w:lang w:val="es-ES"/>
              </w:rPr>
              <w:t>-Diferencia en puntos respecto al mes inmediato anterior -</w:t>
            </w:r>
          </w:p>
        </w:tc>
      </w:tr>
      <w:tr w:rsidR="0002571C" w:rsidRPr="0002571C" w14:paraId="0372F122" w14:textId="77777777" w:rsidTr="001E7D79">
        <w:trPr>
          <w:jc w:val="center"/>
        </w:trPr>
        <w:tc>
          <w:tcPr>
            <w:tcW w:w="607" w:type="dxa"/>
            <w:tcBorders>
              <w:top w:val="single" w:sz="4" w:space="0" w:color="auto"/>
              <w:left w:val="single" w:sz="4" w:space="0" w:color="auto"/>
              <w:bottom w:val="single" w:sz="4" w:space="0" w:color="auto"/>
              <w:right w:val="single" w:sz="4" w:space="0" w:color="auto"/>
            </w:tcBorders>
            <w:vAlign w:val="center"/>
          </w:tcPr>
          <w:p w14:paraId="4935C7C2" w14:textId="77777777" w:rsidR="0002571C" w:rsidRPr="0002571C" w:rsidRDefault="0002571C" w:rsidP="0002571C">
            <w:pPr>
              <w:jc w:val="center"/>
              <w:rPr>
                <w:rFonts w:eastAsia="Times New Roman"/>
                <w:b/>
                <w:sz w:val="16"/>
                <w:szCs w:val="16"/>
                <w:lang w:val="es-ES"/>
              </w:rPr>
            </w:pPr>
            <w:r w:rsidRPr="0002571C">
              <w:rPr>
                <w:rFonts w:eastAsia="Times New Roman"/>
                <w:b/>
                <w:sz w:val="16"/>
                <w:szCs w:val="16"/>
                <w:lang w:val="es-ES"/>
              </w:rPr>
              <w:t>Año</w:t>
            </w:r>
          </w:p>
        </w:tc>
        <w:tc>
          <w:tcPr>
            <w:tcW w:w="602" w:type="dxa"/>
            <w:tcBorders>
              <w:top w:val="single" w:sz="4" w:space="0" w:color="auto"/>
              <w:left w:val="single" w:sz="4" w:space="0" w:color="auto"/>
              <w:bottom w:val="single" w:sz="4" w:space="0" w:color="auto"/>
              <w:right w:val="single" w:sz="4" w:space="0" w:color="auto"/>
            </w:tcBorders>
            <w:vAlign w:val="center"/>
          </w:tcPr>
          <w:p w14:paraId="2F3D3C1D" w14:textId="77777777" w:rsidR="0002571C" w:rsidRPr="0002571C" w:rsidRDefault="0002571C" w:rsidP="0002571C">
            <w:pPr>
              <w:jc w:val="center"/>
              <w:rPr>
                <w:rFonts w:eastAsia="Times New Roman"/>
                <w:b/>
                <w:sz w:val="16"/>
                <w:szCs w:val="16"/>
                <w:lang w:val="es-ES"/>
              </w:rPr>
            </w:pPr>
            <w:r w:rsidRPr="0002571C">
              <w:rPr>
                <w:rFonts w:eastAsia="Times New Roman"/>
                <w:b/>
                <w:sz w:val="16"/>
                <w:szCs w:val="16"/>
                <w:lang w:val="es-ES"/>
              </w:rPr>
              <w:t>Mes</w:t>
            </w:r>
          </w:p>
        </w:tc>
        <w:tc>
          <w:tcPr>
            <w:tcW w:w="1096" w:type="dxa"/>
            <w:tcBorders>
              <w:top w:val="single" w:sz="4" w:space="0" w:color="auto"/>
              <w:left w:val="single" w:sz="4" w:space="0" w:color="auto"/>
              <w:bottom w:val="single" w:sz="4" w:space="0" w:color="auto"/>
              <w:right w:val="single" w:sz="4" w:space="0" w:color="auto"/>
            </w:tcBorders>
            <w:vAlign w:val="center"/>
          </w:tcPr>
          <w:p w14:paraId="5B37E7D2" w14:textId="77777777" w:rsidR="0002571C" w:rsidRPr="0002571C" w:rsidRDefault="0002571C" w:rsidP="0002571C">
            <w:pPr>
              <w:jc w:val="center"/>
              <w:rPr>
                <w:rFonts w:eastAsia="Times New Roman"/>
                <w:b/>
                <w:sz w:val="16"/>
                <w:szCs w:val="16"/>
                <w:lang w:val="es-ES"/>
              </w:rPr>
            </w:pPr>
            <w:r w:rsidRPr="0002571C">
              <w:rPr>
                <w:rFonts w:eastAsia="Times New Roman"/>
                <w:b/>
                <w:sz w:val="16"/>
                <w:szCs w:val="16"/>
                <w:lang w:val="es-ES"/>
              </w:rPr>
              <w:t>Indicador de la Actividad Económica Mensual</w:t>
            </w:r>
          </w:p>
        </w:tc>
        <w:tc>
          <w:tcPr>
            <w:tcW w:w="987" w:type="dxa"/>
            <w:tcBorders>
              <w:top w:val="single" w:sz="4" w:space="0" w:color="auto"/>
              <w:left w:val="single" w:sz="4" w:space="0" w:color="auto"/>
              <w:bottom w:val="single" w:sz="4" w:space="0" w:color="auto"/>
              <w:right w:val="single" w:sz="4" w:space="0" w:color="auto"/>
            </w:tcBorders>
            <w:vAlign w:val="center"/>
          </w:tcPr>
          <w:p w14:paraId="0AC5417A" w14:textId="77777777" w:rsidR="0002571C" w:rsidRPr="0002571C" w:rsidRDefault="0002571C" w:rsidP="0002571C">
            <w:pPr>
              <w:jc w:val="center"/>
              <w:rPr>
                <w:rFonts w:eastAsia="Times New Roman"/>
                <w:b/>
                <w:sz w:val="16"/>
                <w:szCs w:val="16"/>
                <w:lang w:val="es-ES"/>
              </w:rPr>
            </w:pPr>
            <w:r w:rsidRPr="0002571C">
              <w:rPr>
                <w:rFonts w:eastAsia="Times New Roman"/>
                <w:b/>
                <w:sz w:val="16"/>
                <w:szCs w:val="16"/>
                <w:lang w:val="es-ES"/>
              </w:rPr>
              <w:t>Indicador de la Actividad Industrial</w:t>
            </w:r>
          </w:p>
        </w:tc>
        <w:tc>
          <w:tcPr>
            <w:tcW w:w="1553" w:type="dxa"/>
            <w:tcBorders>
              <w:top w:val="single" w:sz="4" w:space="0" w:color="auto"/>
              <w:left w:val="single" w:sz="4" w:space="0" w:color="auto"/>
              <w:bottom w:val="single" w:sz="4" w:space="0" w:color="auto"/>
              <w:right w:val="single" w:sz="4" w:space="0" w:color="auto"/>
            </w:tcBorders>
            <w:vAlign w:val="center"/>
          </w:tcPr>
          <w:p w14:paraId="4C6DA529" w14:textId="77777777" w:rsidR="0002571C" w:rsidRPr="0002571C" w:rsidRDefault="0002571C" w:rsidP="0002571C">
            <w:pPr>
              <w:jc w:val="center"/>
              <w:rPr>
                <w:rFonts w:eastAsia="Times New Roman"/>
                <w:b/>
                <w:sz w:val="16"/>
                <w:szCs w:val="16"/>
                <w:lang w:val="es-ES"/>
              </w:rPr>
            </w:pPr>
            <w:r w:rsidRPr="0002571C">
              <w:rPr>
                <w:rFonts w:eastAsia="Times New Roman"/>
                <w:b/>
                <w:sz w:val="16"/>
                <w:szCs w:val="16"/>
                <w:lang w:val="es-ES"/>
              </w:rPr>
              <w:t>Índice de Ingresos por Suministro de Bienes y Servicios al por menor*</w:t>
            </w:r>
          </w:p>
        </w:tc>
        <w:tc>
          <w:tcPr>
            <w:tcW w:w="1215" w:type="dxa"/>
            <w:tcBorders>
              <w:top w:val="single" w:sz="4" w:space="0" w:color="auto"/>
              <w:left w:val="single" w:sz="4" w:space="0" w:color="auto"/>
              <w:bottom w:val="single" w:sz="4" w:space="0" w:color="auto"/>
              <w:right w:val="single" w:sz="4" w:space="0" w:color="auto"/>
            </w:tcBorders>
            <w:vAlign w:val="center"/>
          </w:tcPr>
          <w:p w14:paraId="2565E672" w14:textId="77777777" w:rsidR="0002571C" w:rsidRPr="0002571C" w:rsidRDefault="0002571C" w:rsidP="0002571C">
            <w:pPr>
              <w:jc w:val="center"/>
              <w:rPr>
                <w:rFonts w:eastAsia="Times New Roman"/>
                <w:b/>
                <w:sz w:val="16"/>
                <w:szCs w:val="16"/>
                <w:lang w:val="es-ES"/>
              </w:rPr>
            </w:pPr>
            <w:r w:rsidRPr="0002571C">
              <w:rPr>
                <w:rFonts w:eastAsia="Times New Roman"/>
                <w:b/>
                <w:sz w:val="16"/>
                <w:szCs w:val="16"/>
                <w:lang w:val="es-ES"/>
              </w:rPr>
              <w:t>Número de Asegurados Permanentes en el IMSS</w:t>
            </w:r>
          </w:p>
        </w:tc>
        <w:tc>
          <w:tcPr>
            <w:tcW w:w="1159" w:type="dxa"/>
            <w:tcBorders>
              <w:top w:val="single" w:sz="4" w:space="0" w:color="auto"/>
              <w:left w:val="single" w:sz="4" w:space="0" w:color="auto"/>
              <w:bottom w:val="single" w:sz="4" w:space="0" w:color="auto"/>
              <w:right w:val="single" w:sz="4" w:space="0" w:color="auto"/>
            </w:tcBorders>
            <w:vAlign w:val="center"/>
          </w:tcPr>
          <w:p w14:paraId="51466101" w14:textId="77777777" w:rsidR="0002571C" w:rsidRPr="0002571C" w:rsidRDefault="0002571C" w:rsidP="0002571C">
            <w:pPr>
              <w:jc w:val="center"/>
              <w:rPr>
                <w:rFonts w:eastAsia="Times New Roman"/>
                <w:b/>
                <w:sz w:val="16"/>
                <w:szCs w:val="16"/>
                <w:lang w:val="es-ES"/>
              </w:rPr>
            </w:pPr>
            <w:r w:rsidRPr="0002571C">
              <w:rPr>
                <w:rFonts w:eastAsia="Times New Roman"/>
                <w:b/>
                <w:sz w:val="16"/>
                <w:szCs w:val="16"/>
                <w:lang w:val="es-ES"/>
              </w:rPr>
              <w:t>Tasa de Desocupación Urbana</w:t>
            </w:r>
          </w:p>
        </w:tc>
        <w:tc>
          <w:tcPr>
            <w:tcW w:w="1203" w:type="dxa"/>
            <w:tcBorders>
              <w:top w:val="single" w:sz="4" w:space="0" w:color="auto"/>
              <w:left w:val="single" w:sz="4" w:space="0" w:color="auto"/>
              <w:bottom w:val="single" w:sz="4" w:space="0" w:color="auto"/>
              <w:right w:val="single" w:sz="4" w:space="0" w:color="auto"/>
            </w:tcBorders>
            <w:vAlign w:val="center"/>
          </w:tcPr>
          <w:p w14:paraId="1404490B" w14:textId="77777777" w:rsidR="0002571C" w:rsidRPr="0002571C" w:rsidRDefault="0002571C" w:rsidP="0002571C">
            <w:pPr>
              <w:jc w:val="center"/>
              <w:rPr>
                <w:rFonts w:eastAsia="Times New Roman"/>
                <w:b/>
                <w:sz w:val="16"/>
                <w:szCs w:val="16"/>
                <w:lang w:val="es-ES"/>
              </w:rPr>
            </w:pPr>
            <w:r w:rsidRPr="0002571C">
              <w:rPr>
                <w:rFonts w:eastAsia="Times New Roman"/>
                <w:b/>
                <w:sz w:val="16"/>
                <w:szCs w:val="16"/>
                <w:lang w:val="es-ES"/>
              </w:rPr>
              <w:t>Importaciones Totales</w:t>
            </w:r>
          </w:p>
        </w:tc>
      </w:tr>
      <w:tr w:rsidR="0002571C" w:rsidRPr="0002571C" w14:paraId="123213C2" w14:textId="77777777" w:rsidTr="001E7D79">
        <w:trPr>
          <w:jc w:val="center"/>
        </w:trPr>
        <w:tc>
          <w:tcPr>
            <w:tcW w:w="607" w:type="dxa"/>
            <w:vMerge w:val="restart"/>
            <w:tcBorders>
              <w:top w:val="single" w:sz="4" w:space="0" w:color="auto"/>
              <w:left w:val="single" w:sz="4" w:space="0" w:color="auto"/>
              <w:right w:val="single" w:sz="4" w:space="0" w:color="auto"/>
            </w:tcBorders>
            <w:shd w:val="clear" w:color="auto" w:fill="auto"/>
            <w:vAlign w:val="center"/>
          </w:tcPr>
          <w:p w14:paraId="6B99596D" w14:textId="77777777" w:rsidR="0002571C" w:rsidRPr="0002571C" w:rsidRDefault="0002571C" w:rsidP="0002571C">
            <w:pPr>
              <w:rPr>
                <w:rFonts w:eastAsia="Times New Roman"/>
                <w:sz w:val="16"/>
                <w:szCs w:val="16"/>
                <w:lang w:val="es-ES"/>
              </w:rPr>
            </w:pPr>
            <w:r w:rsidRPr="0002571C">
              <w:rPr>
                <w:rFonts w:eastAsia="Times New Roman"/>
                <w:sz w:val="16"/>
                <w:szCs w:val="16"/>
                <w:lang w:val="es-ES"/>
              </w:rPr>
              <w:t>2014</w:t>
            </w:r>
          </w:p>
        </w:tc>
        <w:tc>
          <w:tcPr>
            <w:tcW w:w="602" w:type="dxa"/>
            <w:tcBorders>
              <w:top w:val="single" w:sz="4" w:space="0" w:color="auto"/>
              <w:left w:val="single" w:sz="4" w:space="0" w:color="auto"/>
              <w:bottom w:val="nil"/>
              <w:right w:val="single" w:sz="4" w:space="0" w:color="auto"/>
            </w:tcBorders>
          </w:tcPr>
          <w:p w14:paraId="75088DA6" w14:textId="77777777" w:rsidR="0002571C" w:rsidRPr="0002571C" w:rsidRDefault="0002571C" w:rsidP="0002571C">
            <w:pPr>
              <w:rPr>
                <w:rFonts w:eastAsia="Times New Roman"/>
                <w:sz w:val="16"/>
                <w:szCs w:val="16"/>
                <w:lang w:val="es-ES"/>
              </w:rPr>
            </w:pPr>
            <w:r w:rsidRPr="0002571C">
              <w:rPr>
                <w:rFonts w:eastAsia="Times New Roman"/>
                <w:sz w:val="16"/>
                <w:szCs w:val="16"/>
                <w:lang w:val="es-ES"/>
              </w:rPr>
              <w:t>Ene.</w:t>
            </w:r>
          </w:p>
        </w:tc>
        <w:tc>
          <w:tcPr>
            <w:tcW w:w="1096" w:type="dxa"/>
            <w:tcBorders>
              <w:top w:val="single" w:sz="4" w:space="0" w:color="auto"/>
              <w:left w:val="single" w:sz="4" w:space="0" w:color="auto"/>
              <w:bottom w:val="nil"/>
              <w:right w:val="single" w:sz="4" w:space="0" w:color="auto"/>
            </w:tcBorders>
          </w:tcPr>
          <w:p w14:paraId="642F1E9A"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-0.03</w:t>
            </w:r>
          </w:p>
        </w:tc>
        <w:tc>
          <w:tcPr>
            <w:tcW w:w="987" w:type="dxa"/>
            <w:tcBorders>
              <w:top w:val="single" w:sz="4" w:space="0" w:color="auto"/>
              <w:left w:val="single" w:sz="4" w:space="0" w:color="auto"/>
              <w:bottom w:val="nil"/>
              <w:right w:val="single" w:sz="4" w:space="0" w:color="auto"/>
            </w:tcBorders>
          </w:tcPr>
          <w:p w14:paraId="7EB5D92D" w14:textId="77777777" w:rsidR="0002571C" w:rsidRPr="0002571C" w:rsidRDefault="0002571C" w:rsidP="0002571C">
            <w:pPr>
              <w:ind w:right="227"/>
              <w:jc w:val="right"/>
              <w:rPr>
                <w:rFonts w:eastAsia="Times New Roman"/>
                <w:sz w:val="16"/>
                <w:szCs w:val="16"/>
                <w:lang w:val="es-ES"/>
              </w:rPr>
            </w:pPr>
            <w:r w:rsidRPr="0002571C">
              <w:rPr>
                <w:rFonts w:eastAsia="Times New Roman"/>
                <w:sz w:val="16"/>
                <w:szCs w:val="16"/>
                <w:lang w:val="es-ES"/>
              </w:rPr>
              <w:t>0.05</w:t>
            </w:r>
          </w:p>
        </w:tc>
        <w:tc>
          <w:tcPr>
            <w:tcW w:w="1553" w:type="dxa"/>
            <w:tcBorders>
              <w:top w:val="single" w:sz="4" w:space="0" w:color="auto"/>
              <w:left w:val="single" w:sz="4" w:space="0" w:color="auto"/>
              <w:bottom w:val="nil"/>
              <w:right w:val="single" w:sz="4" w:space="0" w:color="auto"/>
            </w:tcBorders>
          </w:tcPr>
          <w:p w14:paraId="21598E62" w14:textId="77777777" w:rsidR="0002571C" w:rsidRPr="0002571C" w:rsidRDefault="0002571C" w:rsidP="0002571C">
            <w:pPr>
              <w:jc w:val="center"/>
              <w:rPr>
                <w:rFonts w:eastAsia="Times New Roman"/>
                <w:sz w:val="16"/>
                <w:szCs w:val="16"/>
                <w:lang w:val="es-ES"/>
              </w:rPr>
            </w:pPr>
            <w:r w:rsidRPr="0002571C">
              <w:rPr>
                <w:rFonts w:eastAsia="Times New Roman"/>
                <w:sz w:val="16"/>
                <w:szCs w:val="16"/>
                <w:lang w:val="es-ES"/>
              </w:rPr>
              <w:t>0.01</w:t>
            </w:r>
          </w:p>
        </w:tc>
        <w:tc>
          <w:tcPr>
            <w:tcW w:w="1215" w:type="dxa"/>
            <w:tcBorders>
              <w:top w:val="single" w:sz="4" w:space="0" w:color="auto"/>
              <w:left w:val="single" w:sz="4" w:space="0" w:color="auto"/>
              <w:bottom w:val="nil"/>
              <w:right w:val="single" w:sz="4" w:space="0" w:color="auto"/>
            </w:tcBorders>
          </w:tcPr>
          <w:p w14:paraId="03B802F9"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-0.04</w:t>
            </w:r>
          </w:p>
        </w:tc>
        <w:tc>
          <w:tcPr>
            <w:tcW w:w="1159" w:type="dxa"/>
            <w:tcBorders>
              <w:top w:val="single" w:sz="4" w:space="0" w:color="auto"/>
              <w:left w:val="single" w:sz="4" w:space="0" w:color="auto"/>
              <w:bottom w:val="nil"/>
              <w:right w:val="single" w:sz="4" w:space="0" w:color="auto"/>
            </w:tcBorders>
          </w:tcPr>
          <w:p w14:paraId="4556B4DE"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0.21</w:t>
            </w:r>
          </w:p>
        </w:tc>
        <w:tc>
          <w:tcPr>
            <w:tcW w:w="1203" w:type="dxa"/>
            <w:tcBorders>
              <w:top w:val="single" w:sz="4" w:space="0" w:color="auto"/>
              <w:left w:val="single" w:sz="4" w:space="0" w:color="auto"/>
              <w:bottom w:val="nil"/>
              <w:right w:val="single" w:sz="4" w:space="0" w:color="auto"/>
            </w:tcBorders>
          </w:tcPr>
          <w:p w14:paraId="2A657B25"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0.05</w:t>
            </w:r>
          </w:p>
        </w:tc>
      </w:tr>
      <w:tr w:rsidR="0002571C" w:rsidRPr="0002571C" w14:paraId="6EB26480" w14:textId="77777777" w:rsidTr="001E7D79">
        <w:trPr>
          <w:jc w:val="center"/>
        </w:trPr>
        <w:tc>
          <w:tcPr>
            <w:tcW w:w="607" w:type="dxa"/>
            <w:vMerge/>
            <w:tcBorders>
              <w:left w:val="single" w:sz="4" w:space="0" w:color="auto"/>
              <w:right w:val="single" w:sz="4" w:space="0" w:color="auto"/>
            </w:tcBorders>
            <w:shd w:val="clear" w:color="auto" w:fill="auto"/>
          </w:tcPr>
          <w:p w14:paraId="262CC0BC" w14:textId="77777777" w:rsidR="0002571C" w:rsidRPr="0002571C" w:rsidRDefault="0002571C" w:rsidP="0002571C">
            <w:pPr>
              <w:rPr>
                <w:rFonts w:eastAsia="Times New Roman"/>
                <w:sz w:val="16"/>
                <w:szCs w:val="16"/>
                <w:lang w:val="es-ES"/>
              </w:rPr>
            </w:pPr>
          </w:p>
        </w:tc>
        <w:tc>
          <w:tcPr>
            <w:tcW w:w="602" w:type="dxa"/>
            <w:tcBorders>
              <w:top w:val="nil"/>
              <w:left w:val="single" w:sz="4" w:space="0" w:color="auto"/>
              <w:bottom w:val="nil"/>
              <w:right w:val="single" w:sz="4" w:space="0" w:color="auto"/>
            </w:tcBorders>
          </w:tcPr>
          <w:p w14:paraId="1DEABC2C" w14:textId="77777777" w:rsidR="0002571C" w:rsidRPr="0002571C" w:rsidRDefault="0002571C" w:rsidP="0002571C">
            <w:pPr>
              <w:rPr>
                <w:rFonts w:eastAsia="Times New Roman"/>
                <w:sz w:val="16"/>
                <w:szCs w:val="16"/>
                <w:lang w:val="es-ES"/>
              </w:rPr>
            </w:pPr>
            <w:r w:rsidRPr="0002571C">
              <w:rPr>
                <w:rFonts w:eastAsia="Times New Roman"/>
                <w:sz w:val="16"/>
                <w:szCs w:val="16"/>
                <w:lang w:val="es-ES"/>
              </w:rPr>
              <w:t>Feb</w:t>
            </w:r>
          </w:p>
        </w:tc>
        <w:tc>
          <w:tcPr>
            <w:tcW w:w="1096" w:type="dxa"/>
            <w:tcBorders>
              <w:top w:val="nil"/>
              <w:left w:val="single" w:sz="4" w:space="0" w:color="auto"/>
              <w:bottom w:val="nil"/>
              <w:right w:val="single" w:sz="4" w:space="0" w:color="auto"/>
            </w:tcBorders>
          </w:tcPr>
          <w:p w14:paraId="5141AF96"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-0.02</w:t>
            </w:r>
          </w:p>
        </w:tc>
        <w:tc>
          <w:tcPr>
            <w:tcW w:w="987" w:type="dxa"/>
            <w:tcBorders>
              <w:top w:val="nil"/>
              <w:left w:val="single" w:sz="4" w:space="0" w:color="auto"/>
              <w:bottom w:val="nil"/>
              <w:right w:val="single" w:sz="4" w:space="0" w:color="auto"/>
            </w:tcBorders>
          </w:tcPr>
          <w:p w14:paraId="5FF9F1E5" w14:textId="77777777" w:rsidR="0002571C" w:rsidRPr="0002571C" w:rsidRDefault="0002571C" w:rsidP="0002571C">
            <w:pPr>
              <w:ind w:right="227"/>
              <w:jc w:val="right"/>
              <w:rPr>
                <w:rFonts w:eastAsia="Times New Roman"/>
                <w:sz w:val="16"/>
                <w:szCs w:val="16"/>
                <w:lang w:val="es-ES"/>
              </w:rPr>
            </w:pPr>
            <w:r w:rsidRPr="0002571C">
              <w:rPr>
                <w:rFonts w:eastAsia="Times New Roman"/>
                <w:sz w:val="16"/>
                <w:szCs w:val="16"/>
                <w:lang w:val="es-ES"/>
              </w:rPr>
              <w:t>0.06</w:t>
            </w:r>
          </w:p>
        </w:tc>
        <w:tc>
          <w:tcPr>
            <w:tcW w:w="1553" w:type="dxa"/>
            <w:tcBorders>
              <w:top w:val="nil"/>
              <w:left w:val="single" w:sz="4" w:space="0" w:color="auto"/>
              <w:bottom w:val="nil"/>
              <w:right w:val="single" w:sz="4" w:space="0" w:color="auto"/>
            </w:tcBorders>
          </w:tcPr>
          <w:p w14:paraId="12C1C752" w14:textId="77777777" w:rsidR="0002571C" w:rsidRPr="0002571C" w:rsidRDefault="0002571C" w:rsidP="0002571C">
            <w:pPr>
              <w:jc w:val="center"/>
              <w:rPr>
                <w:rFonts w:eastAsia="Times New Roman"/>
                <w:sz w:val="16"/>
                <w:szCs w:val="16"/>
                <w:lang w:val="es-ES"/>
              </w:rPr>
            </w:pPr>
            <w:r w:rsidRPr="0002571C">
              <w:rPr>
                <w:rFonts w:eastAsia="Times New Roman"/>
                <w:sz w:val="16"/>
                <w:szCs w:val="16"/>
                <w:lang w:val="es-ES"/>
              </w:rPr>
              <w:t>0.02</w:t>
            </w:r>
          </w:p>
        </w:tc>
        <w:tc>
          <w:tcPr>
            <w:tcW w:w="1215" w:type="dxa"/>
            <w:tcBorders>
              <w:top w:val="nil"/>
              <w:left w:val="single" w:sz="4" w:space="0" w:color="auto"/>
              <w:bottom w:val="nil"/>
              <w:right w:val="single" w:sz="4" w:space="0" w:color="auto"/>
            </w:tcBorders>
          </w:tcPr>
          <w:p w14:paraId="2F084232"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-0.02</w:t>
            </w:r>
          </w:p>
        </w:tc>
        <w:tc>
          <w:tcPr>
            <w:tcW w:w="1159" w:type="dxa"/>
            <w:tcBorders>
              <w:top w:val="nil"/>
              <w:left w:val="single" w:sz="4" w:space="0" w:color="auto"/>
              <w:bottom w:val="nil"/>
              <w:right w:val="single" w:sz="4" w:space="0" w:color="auto"/>
            </w:tcBorders>
          </w:tcPr>
          <w:p w14:paraId="6AE054D9"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0.17</w:t>
            </w:r>
          </w:p>
        </w:tc>
        <w:tc>
          <w:tcPr>
            <w:tcW w:w="1203" w:type="dxa"/>
            <w:tcBorders>
              <w:top w:val="nil"/>
              <w:left w:val="single" w:sz="4" w:space="0" w:color="auto"/>
              <w:bottom w:val="nil"/>
              <w:right w:val="single" w:sz="4" w:space="0" w:color="auto"/>
            </w:tcBorders>
          </w:tcPr>
          <w:p w14:paraId="3B23FD1F"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0.06</w:t>
            </w:r>
          </w:p>
        </w:tc>
      </w:tr>
      <w:tr w:rsidR="0002571C" w:rsidRPr="0002571C" w14:paraId="6D5E2235" w14:textId="77777777" w:rsidTr="001E7D79">
        <w:trPr>
          <w:jc w:val="center"/>
        </w:trPr>
        <w:tc>
          <w:tcPr>
            <w:tcW w:w="607" w:type="dxa"/>
            <w:vMerge/>
            <w:tcBorders>
              <w:left w:val="single" w:sz="4" w:space="0" w:color="auto"/>
              <w:right w:val="single" w:sz="4" w:space="0" w:color="auto"/>
            </w:tcBorders>
            <w:shd w:val="clear" w:color="auto" w:fill="auto"/>
          </w:tcPr>
          <w:p w14:paraId="4CC68553" w14:textId="77777777" w:rsidR="0002571C" w:rsidRPr="0002571C" w:rsidRDefault="0002571C" w:rsidP="0002571C">
            <w:pPr>
              <w:rPr>
                <w:rFonts w:eastAsia="Times New Roman"/>
                <w:sz w:val="16"/>
                <w:szCs w:val="16"/>
                <w:lang w:val="es-ES"/>
              </w:rPr>
            </w:pPr>
          </w:p>
        </w:tc>
        <w:tc>
          <w:tcPr>
            <w:tcW w:w="602" w:type="dxa"/>
            <w:tcBorders>
              <w:top w:val="nil"/>
              <w:left w:val="single" w:sz="4" w:space="0" w:color="auto"/>
              <w:bottom w:val="nil"/>
              <w:right w:val="single" w:sz="4" w:space="0" w:color="auto"/>
            </w:tcBorders>
          </w:tcPr>
          <w:p w14:paraId="76F5A0AF" w14:textId="77777777" w:rsidR="0002571C" w:rsidRPr="0002571C" w:rsidRDefault="0002571C" w:rsidP="0002571C">
            <w:pPr>
              <w:rPr>
                <w:rFonts w:eastAsia="Times New Roman"/>
                <w:sz w:val="16"/>
                <w:szCs w:val="16"/>
                <w:lang w:val="es-ES"/>
              </w:rPr>
            </w:pPr>
            <w:r w:rsidRPr="0002571C">
              <w:rPr>
                <w:rFonts w:eastAsia="Times New Roman"/>
                <w:sz w:val="16"/>
                <w:szCs w:val="16"/>
                <w:lang w:val="es-ES"/>
              </w:rPr>
              <w:t>Mar.</w:t>
            </w:r>
          </w:p>
        </w:tc>
        <w:tc>
          <w:tcPr>
            <w:tcW w:w="1096" w:type="dxa"/>
            <w:tcBorders>
              <w:top w:val="nil"/>
              <w:left w:val="single" w:sz="4" w:space="0" w:color="auto"/>
              <w:bottom w:val="nil"/>
              <w:right w:val="single" w:sz="4" w:space="0" w:color="auto"/>
            </w:tcBorders>
          </w:tcPr>
          <w:p w14:paraId="48224A1E"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-0.01</w:t>
            </w:r>
          </w:p>
        </w:tc>
        <w:tc>
          <w:tcPr>
            <w:tcW w:w="987" w:type="dxa"/>
            <w:tcBorders>
              <w:top w:val="nil"/>
              <w:left w:val="single" w:sz="4" w:space="0" w:color="auto"/>
              <w:bottom w:val="nil"/>
              <w:right w:val="single" w:sz="4" w:space="0" w:color="auto"/>
            </w:tcBorders>
          </w:tcPr>
          <w:p w14:paraId="66823424" w14:textId="77777777" w:rsidR="0002571C" w:rsidRPr="0002571C" w:rsidRDefault="0002571C" w:rsidP="0002571C">
            <w:pPr>
              <w:ind w:right="227"/>
              <w:jc w:val="right"/>
              <w:rPr>
                <w:rFonts w:eastAsia="Times New Roman"/>
                <w:sz w:val="16"/>
                <w:szCs w:val="16"/>
                <w:lang w:val="es-ES"/>
              </w:rPr>
            </w:pPr>
            <w:r w:rsidRPr="0002571C">
              <w:rPr>
                <w:rFonts w:eastAsia="Times New Roman"/>
                <w:sz w:val="16"/>
                <w:szCs w:val="16"/>
                <w:lang w:val="es-ES"/>
              </w:rPr>
              <w:t>0.06</w:t>
            </w:r>
          </w:p>
        </w:tc>
        <w:tc>
          <w:tcPr>
            <w:tcW w:w="1553" w:type="dxa"/>
            <w:tcBorders>
              <w:top w:val="nil"/>
              <w:left w:val="single" w:sz="4" w:space="0" w:color="auto"/>
              <w:bottom w:val="nil"/>
              <w:right w:val="single" w:sz="4" w:space="0" w:color="auto"/>
            </w:tcBorders>
          </w:tcPr>
          <w:p w14:paraId="2C1741B7" w14:textId="77777777" w:rsidR="0002571C" w:rsidRPr="0002571C" w:rsidRDefault="0002571C" w:rsidP="0002571C">
            <w:pPr>
              <w:jc w:val="center"/>
              <w:rPr>
                <w:rFonts w:eastAsia="Times New Roman"/>
                <w:sz w:val="16"/>
                <w:szCs w:val="16"/>
                <w:lang w:val="es-ES"/>
              </w:rPr>
            </w:pPr>
            <w:r w:rsidRPr="0002571C">
              <w:rPr>
                <w:rFonts w:eastAsia="Times New Roman"/>
                <w:sz w:val="16"/>
                <w:szCs w:val="16"/>
                <w:lang w:val="es-ES"/>
              </w:rPr>
              <w:t>0.03</w:t>
            </w:r>
          </w:p>
        </w:tc>
        <w:tc>
          <w:tcPr>
            <w:tcW w:w="1215" w:type="dxa"/>
            <w:tcBorders>
              <w:top w:val="nil"/>
              <w:left w:val="single" w:sz="4" w:space="0" w:color="auto"/>
              <w:bottom w:val="nil"/>
              <w:right w:val="single" w:sz="4" w:space="0" w:color="auto"/>
            </w:tcBorders>
          </w:tcPr>
          <w:p w14:paraId="1340CDE5"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0.00</w:t>
            </w:r>
          </w:p>
        </w:tc>
        <w:tc>
          <w:tcPr>
            <w:tcW w:w="1159" w:type="dxa"/>
            <w:tcBorders>
              <w:top w:val="nil"/>
              <w:left w:val="single" w:sz="4" w:space="0" w:color="auto"/>
              <w:bottom w:val="nil"/>
              <w:right w:val="single" w:sz="4" w:space="0" w:color="auto"/>
            </w:tcBorders>
          </w:tcPr>
          <w:p w14:paraId="38277773"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0.13</w:t>
            </w:r>
          </w:p>
        </w:tc>
        <w:tc>
          <w:tcPr>
            <w:tcW w:w="1203" w:type="dxa"/>
            <w:tcBorders>
              <w:top w:val="nil"/>
              <w:left w:val="single" w:sz="4" w:space="0" w:color="auto"/>
              <w:bottom w:val="nil"/>
              <w:right w:val="single" w:sz="4" w:space="0" w:color="auto"/>
            </w:tcBorders>
          </w:tcPr>
          <w:p w14:paraId="5D1E4587"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0.06</w:t>
            </w:r>
          </w:p>
        </w:tc>
      </w:tr>
      <w:tr w:rsidR="0002571C" w:rsidRPr="0002571C" w14:paraId="45C88DBB" w14:textId="77777777" w:rsidTr="001E7D79">
        <w:trPr>
          <w:jc w:val="center"/>
        </w:trPr>
        <w:tc>
          <w:tcPr>
            <w:tcW w:w="607" w:type="dxa"/>
            <w:vMerge/>
            <w:tcBorders>
              <w:left w:val="single" w:sz="4" w:space="0" w:color="auto"/>
              <w:right w:val="single" w:sz="4" w:space="0" w:color="auto"/>
            </w:tcBorders>
            <w:shd w:val="clear" w:color="auto" w:fill="auto"/>
            <w:vAlign w:val="center"/>
          </w:tcPr>
          <w:p w14:paraId="4F53471C" w14:textId="77777777" w:rsidR="0002571C" w:rsidRPr="0002571C" w:rsidRDefault="0002571C" w:rsidP="0002571C">
            <w:pPr>
              <w:rPr>
                <w:rFonts w:eastAsia="Times New Roman"/>
                <w:sz w:val="16"/>
                <w:szCs w:val="16"/>
                <w:lang w:val="es-ES"/>
              </w:rPr>
            </w:pPr>
          </w:p>
        </w:tc>
        <w:tc>
          <w:tcPr>
            <w:tcW w:w="602" w:type="dxa"/>
            <w:tcBorders>
              <w:top w:val="nil"/>
              <w:left w:val="single" w:sz="4" w:space="0" w:color="auto"/>
              <w:bottom w:val="nil"/>
              <w:right w:val="single" w:sz="4" w:space="0" w:color="auto"/>
            </w:tcBorders>
          </w:tcPr>
          <w:p w14:paraId="48DBE0C0" w14:textId="77777777" w:rsidR="0002571C" w:rsidRPr="0002571C" w:rsidRDefault="0002571C" w:rsidP="0002571C">
            <w:pPr>
              <w:rPr>
                <w:rFonts w:eastAsia="Times New Roman"/>
                <w:sz w:val="16"/>
                <w:szCs w:val="16"/>
                <w:lang w:val="es-ES"/>
              </w:rPr>
            </w:pPr>
            <w:r w:rsidRPr="0002571C">
              <w:rPr>
                <w:rFonts w:eastAsia="Times New Roman"/>
                <w:sz w:val="16"/>
                <w:szCs w:val="16"/>
                <w:lang w:val="es-ES"/>
              </w:rPr>
              <w:t>Abr.</w:t>
            </w:r>
          </w:p>
        </w:tc>
        <w:tc>
          <w:tcPr>
            <w:tcW w:w="1096" w:type="dxa"/>
            <w:tcBorders>
              <w:top w:val="nil"/>
              <w:left w:val="single" w:sz="4" w:space="0" w:color="auto"/>
              <w:bottom w:val="nil"/>
              <w:right w:val="single" w:sz="4" w:space="0" w:color="auto"/>
            </w:tcBorders>
          </w:tcPr>
          <w:p w14:paraId="364A0EF3"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0.01</w:t>
            </w:r>
          </w:p>
        </w:tc>
        <w:tc>
          <w:tcPr>
            <w:tcW w:w="987" w:type="dxa"/>
            <w:tcBorders>
              <w:top w:val="nil"/>
              <w:left w:val="single" w:sz="4" w:space="0" w:color="auto"/>
              <w:bottom w:val="nil"/>
              <w:right w:val="single" w:sz="4" w:space="0" w:color="auto"/>
            </w:tcBorders>
          </w:tcPr>
          <w:p w14:paraId="522C5B04" w14:textId="77777777" w:rsidR="0002571C" w:rsidRPr="0002571C" w:rsidRDefault="0002571C" w:rsidP="0002571C">
            <w:pPr>
              <w:ind w:right="227"/>
              <w:jc w:val="right"/>
              <w:rPr>
                <w:rFonts w:eastAsia="Times New Roman"/>
                <w:sz w:val="16"/>
                <w:szCs w:val="16"/>
                <w:lang w:val="es-ES"/>
              </w:rPr>
            </w:pPr>
            <w:r w:rsidRPr="0002571C">
              <w:rPr>
                <w:rFonts w:eastAsia="Times New Roman"/>
                <w:sz w:val="16"/>
                <w:szCs w:val="16"/>
                <w:lang w:val="es-ES"/>
              </w:rPr>
              <w:t>0.06</w:t>
            </w:r>
          </w:p>
        </w:tc>
        <w:tc>
          <w:tcPr>
            <w:tcW w:w="1553" w:type="dxa"/>
            <w:tcBorders>
              <w:top w:val="nil"/>
              <w:left w:val="single" w:sz="4" w:space="0" w:color="auto"/>
              <w:bottom w:val="nil"/>
              <w:right w:val="single" w:sz="4" w:space="0" w:color="auto"/>
            </w:tcBorders>
          </w:tcPr>
          <w:p w14:paraId="0AAC8106" w14:textId="77777777" w:rsidR="0002571C" w:rsidRPr="0002571C" w:rsidRDefault="0002571C" w:rsidP="0002571C">
            <w:pPr>
              <w:jc w:val="center"/>
              <w:rPr>
                <w:rFonts w:eastAsia="Times New Roman"/>
                <w:sz w:val="16"/>
                <w:szCs w:val="16"/>
                <w:lang w:val="es-ES"/>
              </w:rPr>
            </w:pPr>
            <w:r w:rsidRPr="0002571C">
              <w:rPr>
                <w:rFonts w:eastAsia="Times New Roman"/>
                <w:sz w:val="16"/>
                <w:szCs w:val="16"/>
                <w:lang w:val="es-ES"/>
              </w:rPr>
              <w:t>0.04</w:t>
            </w:r>
          </w:p>
        </w:tc>
        <w:tc>
          <w:tcPr>
            <w:tcW w:w="1215" w:type="dxa"/>
            <w:tcBorders>
              <w:top w:val="nil"/>
              <w:left w:val="single" w:sz="4" w:space="0" w:color="auto"/>
              <w:bottom w:val="nil"/>
              <w:right w:val="single" w:sz="4" w:space="0" w:color="auto"/>
            </w:tcBorders>
          </w:tcPr>
          <w:p w14:paraId="16DE6B1F"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0.01</w:t>
            </w:r>
          </w:p>
        </w:tc>
        <w:tc>
          <w:tcPr>
            <w:tcW w:w="1159" w:type="dxa"/>
            <w:tcBorders>
              <w:top w:val="nil"/>
              <w:left w:val="single" w:sz="4" w:space="0" w:color="auto"/>
              <w:bottom w:val="nil"/>
              <w:right w:val="single" w:sz="4" w:space="0" w:color="auto"/>
            </w:tcBorders>
          </w:tcPr>
          <w:p w14:paraId="6DC0309E"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0.08</w:t>
            </w:r>
          </w:p>
        </w:tc>
        <w:tc>
          <w:tcPr>
            <w:tcW w:w="1203" w:type="dxa"/>
            <w:tcBorders>
              <w:top w:val="nil"/>
              <w:left w:val="single" w:sz="4" w:space="0" w:color="auto"/>
              <w:bottom w:val="nil"/>
              <w:right w:val="single" w:sz="4" w:space="0" w:color="auto"/>
            </w:tcBorders>
          </w:tcPr>
          <w:p w14:paraId="01160B9F"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0.05</w:t>
            </w:r>
          </w:p>
        </w:tc>
      </w:tr>
      <w:tr w:rsidR="0002571C" w:rsidRPr="0002571C" w14:paraId="3655513D" w14:textId="77777777" w:rsidTr="001E7D79">
        <w:trPr>
          <w:jc w:val="center"/>
        </w:trPr>
        <w:tc>
          <w:tcPr>
            <w:tcW w:w="607" w:type="dxa"/>
            <w:vMerge/>
            <w:tcBorders>
              <w:left w:val="single" w:sz="4" w:space="0" w:color="auto"/>
              <w:right w:val="single" w:sz="4" w:space="0" w:color="auto"/>
            </w:tcBorders>
            <w:shd w:val="clear" w:color="auto" w:fill="auto"/>
          </w:tcPr>
          <w:p w14:paraId="39F216E7" w14:textId="77777777" w:rsidR="0002571C" w:rsidRPr="0002571C" w:rsidRDefault="0002571C" w:rsidP="0002571C">
            <w:pPr>
              <w:rPr>
                <w:rFonts w:eastAsia="Times New Roman"/>
                <w:sz w:val="16"/>
                <w:szCs w:val="16"/>
                <w:lang w:val="es-ES"/>
              </w:rPr>
            </w:pPr>
          </w:p>
        </w:tc>
        <w:tc>
          <w:tcPr>
            <w:tcW w:w="602" w:type="dxa"/>
            <w:tcBorders>
              <w:top w:val="nil"/>
              <w:left w:val="single" w:sz="4" w:space="0" w:color="auto"/>
              <w:bottom w:val="nil"/>
              <w:right w:val="single" w:sz="4" w:space="0" w:color="auto"/>
            </w:tcBorders>
          </w:tcPr>
          <w:p w14:paraId="1765644D" w14:textId="77777777" w:rsidR="0002571C" w:rsidRPr="0002571C" w:rsidRDefault="0002571C" w:rsidP="0002571C">
            <w:pPr>
              <w:rPr>
                <w:rFonts w:eastAsia="Times New Roman"/>
                <w:sz w:val="16"/>
                <w:szCs w:val="16"/>
                <w:lang w:val="es-ES"/>
              </w:rPr>
            </w:pPr>
            <w:r w:rsidRPr="0002571C">
              <w:rPr>
                <w:rFonts w:eastAsia="Times New Roman"/>
                <w:sz w:val="16"/>
                <w:szCs w:val="16"/>
                <w:lang w:val="es-ES"/>
              </w:rPr>
              <w:t>May.</w:t>
            </w:r>
          </w:p>
        </w:tc>
        <w:tc>
          <w:tcPr>
            <w:tcW w:w="1096" w:type="dxa"/>
            <w:tcBorders>
              <w:top w:val="nil"/>
              <w:left w:val="single" w:sz="4" w:space="0" w:color="auto"/>
              <w:bottom w:val="nil"/>
              <w:right w:val="single" w:sz="4" w:space="0" w:color="auto"/>
            </w:tcBorders>
          </w:tcPr>
          <w:p w14:paraId="27C5A348"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0.02</w:t>
            </w:r>
          </w:p>
        </w:tc>
        <w:tc>
          <w:tcPr>
            <w:tcW w:w="987" w:type="dxa"/>
            <w:tcBorders>
              <w:top w:val="nil"/>
              <w:left w:val="single" w:sz="4" w:space="0" w:color="auto"/>
              <w:bottom w:val="nil"/>
              <w:right w:val="single" w:sz="4" w:space="0" w:color="auto"/>
            </w:tcBorders>
          </w:tcPr>
          <w:p w14:paraId="6415DBAB" w14:textId="77777777" w:rsidR="0002571C" w:rsidRPr="0002571C" w:rsidRDefault="0002571C" w:rsidP="0002571C">
            <w:pPr>
              <w:ind w:right="227"/>
              <w:jc w:val="right"/>
              <w:rPr>
                <w:rFonts w:eastAsia="Times New Roman"/>
                <w:sz w:val="16"/>
                <w:szCs w:val="16"/>
                <w:lang w:val="es-ES"/>
              </w:rPr>
            </w:pPr>
            <w:r w:rsidRPr="0002571C">
              <w:rPr>
                <w:rFonts w:eastAsia="Times New Roman"/>
                <w:sz w:val="16"/>
                <w:szCs w:val="16"/>
                <w:lang w:val="es-ES"/>
              </w:rPr>
              <w:t>0.05</w:t>
            </w:r>
          </w:p>
        </w:tc>
        <w:tc>
          <w:tcPr>
            <w:tcW w:w="1553" w:type="dxa"/>
            <w:tcBorders>
              <w:top w:val="nil"/>
              <w:left w:val="single" w:sz="4" w:space="0" w:color="auto"/>
              <w:bottom w:val="nil"/>
              <w:right w:val="single" w:sz="4" w:space="0" w:color="auto"/>
            </w:tcBorders>
          </w:tcPr>
          <w:p w14:paraId="35991925" w14:textId="77777777" w:rsidR="0002571C" w:rsidRPr="0002571C" w:rsidRDefault="0002571C" w:rsidP="0002571C">
            <w:pPr>
              <w:jc w:val="center"/>
              <w:rPr>
                <w:rFonts w:eastAsia="Times New Roman"/>
                <w:sz w:val="16"/>
                <w:szCs w:val="16"/>
                <w:lang w:val="es-ES"/>
              </w:rPr>
            </w:pPr>
            <w:r w:rsidRPr="0002571C">
              <w:rPr>
                <w:rFonts w:eastAsia="Times New Roman"/>
                <w:sz w:val="16"/>
                <w:szCs w:val="16"/>
                <w:lang w:val="es-ES"/>
              </w:rPr>
              <w:t>0.06</w:t>
            </w:r>
          </w:p>
        </w:tc>
        <w:tc>
          <w:tcPr>
            <w:tcW w:w="1215" w:type="dxa"/>
            <w:tcBorders>
              <w:top w:val="nil"/>
              <w:left w:val="single" w:sz="4" w:space="0" w:color="auto"/>
              <w:bottom w:val="nil"/>
              <w:right w:val="single" w:sz="4" w:space="0" w:color="auto"/>
            </w:tcBorders>
          </w:tcPr>
          <w:p w14:paraId="4D667B1B"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0.02</w:t>
            </w:r>
          </w:p>
        </w:tc>
        <w:tc>
          <w:tcPr>
            <w:tcW w:w="1159" w:type="dxa"/>
            <w:tcBorders>
              <w:top w:val="nil"/>
              <w:left w:val="single" w:sz="4" w:space="0" w:color="auto"/>
              <w:bottom w:val="nil"/>
              <w:right w:val="single" w:sz="4" w:space="0" w:color="auto"/>
            </w:tcBorders>
          </w:tcPr>
          <w:p w14:paraId="6F8D8C67"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0.02</w:t>
            </w:r>
          </w:p>
        </w:tc>
        <w:tc>
          <w:tcPr>
            <w:tcW w:w="1203" w:type="dxa"/>
            <w:tcBorders>
              <w:top w:val="nil"/>
              <w:left w:val="single" w:sz="4" w:space="0" w:color="auto"/>
              <w:bottom w:val="nil"/>
              <w:right w:val="single" w:sz="4" w:space="0" w:color="auto"/>
            </w:tcBorders>
          </w:tcPr>
          <w:p w14:paraId="24504434"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0.03</w:t>
            </w:r>
          </w:p>
        </w:tc>
      </w:tr>
      <w:tr w:rsidR="0002571C" w:rsidRPr="0002571C" w14:paraId="32890CB9" w14:textId="77777777" w:rsidTr="001E7D79">
        <w:trPr>
          <w:jc w:val="center"/>
        </w:trPr>
        <w:tc>
          <w:tcPr>
            <w:tcW w:w="607" w:type="dxa"/>
            <w:vMerge/>
            <w:tcBorders>
              <w:left w:val="single" w:sz="4" w:space="0" w:color="auto"/>
              <w:right w:val="single" w:sz="4" w:space="0" w:color="auto"/>
            </w:tcBorders>
            <w:shd w:val="clear" w:color="auto" w:fill="auto"/>
          </w:tcPr>
          <w:p w14:paraId="021A5C8B" w14:textId="77777777" w:rsidR="0002571C" w:rsidRPr="0002571C" w:rsidRDefault="0002571C" w:rsidP="0002571C">
            <w:pPr>
              <w:rPr>
                <w:rFonts w:eastAsia="Times New Roman"/>
                <w:sz w:val="16"/>
                <w:szCs w:val="16"/>
                <w:lang w:val="es-ES"/>
              </w:rPr>
            </w:pPr>
          </w:p>
        </w:tc>
        <w:tc>
          <w:tcPr>
            <w:tcW w:w="602" w:type="dxa"/>
            <w:tcBorders>
              <w:top w:val="nil"/>
              <w:left w:val="single" w:sz="4" w:space="0" w:color="auto"/>
              <w:bottom w:val="nil"/>
              <w:right w:val="single" w:sz="4" w:space="0" w:color="auto"/>
            </w:tcBorders>
          </w:tcPr>
          <w:p w14:paraId="485CE9A2" w14:textId="77777777" w:rsidR="0002571C" w:rsidRPr="0002571C" w:rsidRDefault="0002571C" w:rsidP="0002571C">
            <w:pPr>
              <w:rPr>
                <w:rFonts w:eastAsia="Times New Roman"/>
                <w:sz w:val="16"/>
                <w:szCs w:val="16"/>
                <w:lang w:val="es-ES"/>
              </w:rPr>
            </w:pPr>
            <w:r w:rsidRPr="0002571C">
              <w:rPr>
                <w:rFonts w:eastAsia="Times New Roman"/>
                <w:sz w:val="16"/>
                <w:szCs w:val="16"/>
                <w:lang w:val="es-ES"/>
              </w:rPr>
              <w:t>Jun.</w:t>
            </w:r>
          </w:p>
        </w:tc>
        <w:tc>
          <w:tcPr>
            <w:tcW w:w="1096" w:type="dxa"/>
            <w:tcBorders>
              <w:top w:val="nil"/>
              <w:left w:val="single" w:sz="4" w:space="0" w:color="auto"/>
              <w:bottom w:val="nil"/>
              <w:right w:val="single" w:sz="4" w:space="0" w:color="auto"/>
            </w:tcBorders>
          </w:tcPr>
          <w:p w14:paraId="2F7BBAFB"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0.01</w:t>
            </w:r>
          </w:p>
        </w:tc>
        <w:tc>
          <w:tcPr>
            <w:tcW w:w="987" w:type="dxa"/>
            <w:tcBorders>
              <w:top w:val="nil"/>
              <w:left w:val="single" w:sz="4" w:space="0" w:color="auto"/>
              <w:bottom w:val="nil"/>
              <w:right w:val="single" w:sz="4" w:space="0" w:color="auto"/>
            </w:tcBorders>
          </w:tcPr>
          <w:p w14:paraId="38C0F278" w14:textId="77777777" w:rsidR="0002571C" w:rsidRPr="0002571C" w:rsidRDefault="0002571C" w:rsidP="0002571C">
            <w:pPr>
              <w:ind w:right="227"/>
              <w:jc w:val="right"/>
              <w:rPr>
                <w:rFonts w:eastAsia="Times New Roman"/>
                <w:sz w:val="16"/>
                <w:szCs w:val="16"/>
                <w:lang w:val="es-ES"/>
              </w:rPr>
            </w:pPr>
            <w:r w:rsidRPr="0002571C">
              <w:rPr>
                <w:rFonts w:eastAsia="Times New Roman"/>
                <w:sz w:val="16"/>
                <w:szCs w:val="16"/>
                <w:lang w:val="es-ES"/>
              </w:rPr>
              <w:t>0.04</w:t>
            </w:r>
          </w:p>
        </w:tc>
        <w:tc>
          <w:tcPr>
            <w:tcW w:w="1553" w:type="dxa"/>
            <w:tcBorders>
              <w:top w:val="nil"/>
              <w:left w:val="single" w:sz="4" w:space="0" w:color="auto"/>
              <w:bottom w:val="nil"/>
              <w:right w:val="single" w:sz="4" w:space="0" w:color="auto"/>
            </w:tcBorders>
          </w:tcPr>
          <w:p w14:paraId="5D22C3C7" w14:textId="77777777" w:rsidR="0002571C" w:rsidRPr="0002571C" w:rsidRDefault="0002571C" w:rsidP="0002571C">
            <w:pPr>
              <w:jc w:val="center"/>
              <w:rPr>
                <w:rFonts w:eastAsia="Times New Roman"/>
                <w:sz w:val="16"/>
                <w:szCs w:val="16"/>
                <w:lang w:val="es-ES"/>
              </w:rPr>
            </w:pPr>
            <w:r w:rsidRPr="0002571C">
              <w:rPr>
                <w:rFonts w:eastAsia="Times New Roman"/>
                <w:sz w:val="16"/>
                <w:szCs w:val="16"/>
                <w:lang w:val="es-ES"/>
              </w:rPr>
              <w:t>0.07</w:t>
            </w:r>
          </w:p>
        </w:tc>
        <w:tc>
          <w:tcPr>
            <w:tcW w:w="1215" w:type="dxa"/>
            <w:tcBorders>
              <w:top w:val="nil"/>
              <w:left w:val="single" w:sz="4" w:space="0" w:color="auto"/>
              <w:bottom w:val="nil"/>
              <w:right w:val="single" w:sz="4" w:space="0" w:color="auto"/>
            </w:tcBorders>
          </w:tcPr>
          <w:p w14:paraId="19BD8F7F"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0.02</w:t>
            </w:r>
          </w:p>
        </w:tc>
        <w:tc>
          <w:tcPr>
            <w:tcW w:w="1159" w:type="dxa"/>
            <w:tcBorders>
              <w:top w:val="nil"/>
              <w:left w:val="single" w:sz="4" w:space="0" w:color="auto"/>
              <w:bottom w:val="nil"/>
              <w:right w:val="single" w:sz="4" w:space="0" w:color="auto"/>
            </w:tcBorders>
          </w:tcPr>
          <w:p w14:paraId="1836CBB0"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-0.03</w:t>
            </w:r>
          </w:p>
        </w:tc>
        <w:tc>
          <w:tcPr>
            <w:tcW w:w="1203" w:type="dxa"/>
            <w:tcBorders>
              <w:top w:val="nil"/>
              <w:left w:val="single" w:sz="4" w:space="0" w:color="auto"/>
              <w:bottom w:val="nil"/>
              <w:right w:val="single" w:sz="4" w:space="0" w:color="auto"/>
            </w:tcBorders>
          </w:tcPr>
          <w:p w14:paraId="0930DC88"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0.00</w:t>
            </w:r>
          </w:p>
        </w:tc>
      </w:tr>
      <w:tr w:rsidR="0002571C" w:rsidRPr="0002571C" w14:paraId="48B16FE7" w14:textId="77777777" w:rsidTr="001E7D79">
        <w:trPr>
          <w:jc w:val="center"/>
        </w:trPr>
        <w:tc>
          <w:tcPr>
            <w:tcW w:w="607" w:type="dxa"/>
            <w:vMerge/>
            <w:tcBorders>
              <w:left w:val="single" w:sz="4" w:space="0" w:color="auto"/>
              <w:right w:val="single" w:sz="4" w:space="0" w:color="auto"/>
            </w:tcBorders>
            <w:shd w:val="clear" w:color="auto" w:fill="auto"/>
          </w:tcPr>
          <w:p w14:paraId="4EB9DB57" w14:textId="77777777" w:rsidR="0002571C" w:rsidRPr="0002571C" w:rsidRDefault="0002571C" w:rsidP="0002571C">
            <w:pPr>
              <w:rPr>
                <w:rFonts w:eastAsia="Times New Roman"/>
                <w:sz w:val="16"/>
                <w:szCs w:val="16"/>
                <w:lang w:val="es-ES"/>
              </w:rPr>
            </w:pPr>
          </w:p>
        </w:tc>
        <w:tc>
          <w:tcPr>
            <w:tcW w:w="602" w:type="dxa"/>
            <w:tcBorders>
              <w:top w:val="nil"/>
              <w:left w:val="single" w:sz="4" w:space="0" w:color="auto"/>
              <w:bottom w:val="nil"/>
              <w:right w:val="single" w:sz="4" w:space="0" w:color="auto"/>
            </w:tcBorders>
          </w:tcPr>
          <w:p w14:paraId="4B20730B" w14:textId="77777777" w:rsidR="0002571C" w:rsidRPr="0002571C" w:rsidRDefault="0002571C" w:rsidP="0002571C">
            <w:pPr>
              <w:rPr>
                <w:rFonts w:eastAsia="Times New Roman"/>
                <w:sz w:val="16"/>
                <w:szCs w:val="16"/>
                <w:lang w:val="es-ES"/>
              </w:rPr>
            </w:pPr>
            <w:r w:rsidRPr="0002571C">
              <w:rPr>
                <w:rFonts w:eastAsia="Times New Roman"/>
                <w:sz w:val="16"/>
                <w:szCs w:val="16"/>
                <w:lang w:val="es-ES"/>
              </w:rPr>
              <w:t>Jul.</w:t>
            </w:r>
          </w:p>
        </w:tc>
        <w:tc>
          <w:tcPr>
            <w:tcW w:w="1096" w:type="dxa"/>
            <w:tcBorders>
              <w:top w:val="nil"/>
              <w:left w:val="single" w:sz="4" w:space="0" w:color="auto"/>
              <w:bottom w:val="nil"/>
              <w:right w:val="single" w:sz="4" w:space="0" w:color="auto"/>
            </w:tcBorders>
          </w:tcPr>
          <w:p w14:paraId="36EA500D"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0.01</w:t>
            </w:r>
          </w:p>
        </w:tc>
        <w:tc>
          <w:tcPr>
            <w:tcW w:w="987" w:type="dxa"/>
            <w:tcBorders>
              <w:top w:val="nil"/>
              <w:left w:val="single" w:sz="4" w:space="0" w:color="auto"/>
              <w:bottom w:val="nil"/>
              <w:right w:val="single" w:sz="4" w:space="0" w:color="auto"/>
            </w:tcBorders>
          </w:tcPr>
          <w:p w14:paraId="560DE182" w14:textId="77777777" w:rsidR="0002571C" w:rsidRPr="0002571C" w:rsidRDefault="0002571C" w:rsidP="0002571C">
            <w:pPr>
              <w:ind w:right="227"/>
              <w:jc w:val="right"/>
              <w:rPr>
                <w:rFonts w:eastAsia="Times New Roman"/>
                <w:sz w:val="16"/>
                <w:szCs w:val="16"/>
                <w:lang w:val="es-ES"/>
              </w:rPr>
            </w:pPr>
            <w:r w:rsidRPr="0002571C">
              <w:rPr>
                <w:rFonts w:eastAsia="Times New Roman"/>
                <w:sz w:val="16"/>
                <w:szCs w:val="16"/>
                <w:lang w:val="es-ES"/>
              </w:rPr>
              <w:t>0.03</w:t>
            </w:r>
          </w:p>
        </w:tc>
        <w:tc>
          <w:tcPr>
            <w:tcW w:w="1553" w:type="dxa"/>
            <w:tcBorders>
              <w:top w:val="nil"/>
              <w:left w:val="single" w:sz="4" w:space="0" w:color="auto"/>
              <w:bottom w:val="nil"/>
              <w:right w:val="single" w:sz="4" w:space="0" w:color="auto"/>
            </w:tcBorders>
          </w:tcPr>
          <w:p w14:paraId="6D910972" w14:textId="77777777" w:rsidR="0002571C" w:rsidRPr="0002571C" w:rsidRDefault="0002571C" w:rsidP="0002571C">
            <w:pPr>
              <w:jc w:val="center"/>
              <w:rPr>
                <w:rFonts w:eastAsia="Times New Roman"/>
                <w:sz w:val="16"/>
                <w:szCs w:val="16"/>
                <w:lang w:val="es-ES"/>
              </w:rPr>
            </w:pPr>
            <w:r w:rsidRPr="0002571C">
              <w:rPr>
                <w:rFonts w:eastAsia="Times New Roman"/>
                <w:sz w:val="16"/>
                <w:szCs w:val="16"/>
                <w:lang w:val="es-ES"/>
              </w:rPr>
              <w:t>0.06</w:t>
            </w:r>
          </w:p>
        </w:tc>
        <w:tc>
          <w:tcPr>
            <w:tcW w:w="1215" w:type="dxa"/>
            <w:tcBorders>
              <w:top w:val="nil"/>
              <w:left w:val="single" w:sz="4" w:space="0" w:color="auto"/>
              <w:bottom w:val="nil"/>
              <w:right w:val="single" w:sz="4" w:space="0" w:color="auto"/>
            </w:tcBorders>
          </w:tcPr>
          <w:p w14:paraId="702456B8"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0.02</w:t>
            </w:r>
          </w:p>
        </w:tc>
        <w:tc>
          <w:tcPr>
            <w:tcW w:w="1159" w:type="dxa"/>
            <w:tcBorders>
              <w:top w:val="nil"/>
              <w:left w:val="single" w:sz="4" w:space="0" w:color="auto"/>
              <w:bottom w:val="nil"/>
              <w:right w:val="single" w:sz="4" w:space="0" w:color="auto"/>
            </w:tcBorders>
          </w:tcPr>
          <w:p w14:paraId="3D1FB7DF"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-0.09</w:t>
            </w:r>
          </w:p>
        </w:tc>
        <w:tc>
          <w:tcPr>
            <w:tcW w:w="1203" w:type="dxa"/>
            <w:tcBorders>
              <w:top w:val="nil"/>
              <w:left w:val="single" w:sz="4" w:space="0" w:color="auto"/>
              <w:bottom w:val="nil"/>
              <w:right w:val="single" w:sz="4" w:space="0" w:color="auto"/>
            </w:tcBorders>
          </w:tcPr>
          <w:p w14:paraId="04DDB690"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-0.03</w:t>
            </w:r>
          </w:p>
        </w:tc>
      </w:tr>
      <w:tr w:rsidR="0002571C" w:rsidRPr="0002571C" w14:paraId="6A4AE6C3" w14:textId="77777777" w:rsidTr="001E7D79">
        <w:trPr>
          <w:trHeight w:val="180"/>
          <w:jc w:val="center"/>
        </w:trPr>
        <w:tc>
          <w:tcPr>
            <w:tcW w:w="607" w:type="dxa"/>
            <w:vMerge/>
            <w:tcBorders>
              <w:left w:val="single" w:sz="4" w:space="0" w:color="auto"/>
              <w:right w:val="single" w:sz="4" w:space="0" w:color="auto"/>
            </w:tcBorders>
            <w:shd w:val="clear" w:color="auto" w:fill="auto"/>
          </w:tcPr>
          <w:p w14:paraId="5A1ED698" w14:textId="77777777" w:rsidR="0002571C" w:rsidRPr="0002571C" w:rsidRDefault="0002571C" w:rsidP="0002571C">
            <w:pPr>
              <w:rPr>
                <w:rFonts w:eastAsia="Times New Roman"/>
                <w:sz w:val="16"/>
                <w:szCs w:val="16"/>
                <w:lang w:val="es-ES"/>
              </w:rPr>
            </w:pPr>
          </w:p>
        </w:tc>
        <w:tc>
          <w:tcPr>
            <w:tcW w:w="602" w:type="dxa"/>
            <w:tcBorders>
              <w:top w:val="nil"/>
              <w:left w:val="single" w:sz="4" w:space="0" w:color="auto"/>
              <w:bottom w:val="nil"/>
              <w:right w:val="single" w:sz="4" w:space="0" w:color="auto"/>
            </w:tcBorders>
          </w:tcPr>
          <w:p w14:paraId="6C1B71B6" w14:textId="77777777" w:rsidR="0002571C" w:rsidRPr="0002571C" w:rsidRDefault="0002571C" w:rsidP="0002571C">
            <w:pPr>
              <w:rPr>
                <w:rFonts w:eastAsia="Times New Roman"/>
                <w:sz w:val="16"/>
                <w:szCs w:val="16"/>
                <w:lang w:val="es-ES"/>
              </w:rPr>
            </w:pPr>
            <w:r w:rsidRPr="0002571C">
              <w:rPr>
                <w:rFonts w:eastAsia="Times New Roman"/>
                <w:sz w:val="16"/>
                <w:szCs w:val="16"/>
                <w:lang w:val="es-ES"/>
              </w:rPr>
              <w:t>Ago.</w:t>
            </w:r>
          </w:p>
        </w:tc>
        <w:tc>
          <w:tcPr>
            <w:tcW w:w="1096" w:type="dxa"/>
            <w:tcBorders>
              <w:top w:val="nil"/>
              <w:left w:val="single" w:sz="4" w:space="0" w:color="auto"/>
              <w:bottom w:val="nil"/>
              <w:right w:val="single" w:sz="4" w:space="0" w:color="auto"/>
            </w:tcBorders>
          </w:tcPr>
          <w:p w14:paraId="73E653EB"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0.00</w:t>
            </w:r>
          </w:p>
        </w:tc>
        <w:tc>
          <w:tcPr>
            <w:tcW w:w="987" w:type="dxa"/>
            <w:tcBorders>
              <w:top w:val="nil"/>
              <w:left w:val="single" w:sz="4" w:space="0" w:color="auto"/>
              <w:bottom w:val="nil"/>
              <w:right w:val="single" w:sz="4" w:space="0" w:color="auto"/>
            </w:tcBorders>
          </w:tcPr>
          <w:p w14:paraId="662E4180" w14:textId="77777777" w:rsidR="0002571C" w:rsidRPr="0002571C" w:rsidRDefault="0002571C" w:rsidP="0002571C">
            <w:pPr>
              <w:ind w:right="227"/>
              <w:jc w:val="right"/>
              <w:rPr>
                <w:rFonts w:eastAsia="Times New Roman"/>
                <w:sz w:val="16"/>
                <w:szCs w:val="16"/>
                <w:lang w:val="es-ES"/>
              </w:rPr>
            </w:pPr>
            <w:r w:rsidRPr="0002571C">
              <w:rPr>
                <w:rFonts w:eastAsia="Times New Roman"/>
                <w:sz w:val="16"/>
                <w:szCs w:val="16"/>
                <w:lang w:val="es-ES"/>
              </w:rPr>
              <w:t>0.02</w:t>
            </w:r>
          </w:p>
        </w:tc>
        <w:tc>
          <w:tcPr>
            <w:tcW w:w="1553" w:type="dxa"/>
            <w:tcBorders>
              <w:top w:val="nil"/>
              <w:left w:val="single" w:sz="4" w:space="0" w:color="auto"/>
              <w:bottom w:val="nil"/>
              <w:right w:val="single" w:sz="4" w:space="0" w:color="auto"/>
            </w:tcBorders>
          </w:tcPr>
          <w:p w14:paraId="1793B155" w14:textId="77777777" w:rsidR="0002571C" w:rsidRPr="0002571C" w:rsidRDefault="0002571C" w:rsidP="0002571C">
            <w:pPr>
              <w:jc w:val="center"/>
              <w:rPr>
                <w:rFonts w:eastAsia="Times New Roman"/>
                <w:sz w:val="16"/>
                <w:szCs w:val="16"/>
                <w:lang w:val="es-ES"/>
              </w:rPr>
            </w:pPr>
            <w:r w:rsidRPr="0002571C">
              <w:rPr>
                <w:rFonts w:eastAsia="Times New Roman"/>
                <w:sz w:val="16"/>
                <w:szCs w:val="16"/>
                <w:lang w:val="es-ES"/>
              </w:rPr>
              <w:t>0.03</w:t>
            </w:r>
          </w:p>
        </w:tc>
        <w:tc>
          <w:tcPr>
            <w:tcW w:w="1215" w:type="dxa"/>
            <w:tcBorders>
              <w:top w:val="nil"/>
              <w:left w:val="single" w:sz="4" w:space="0" w:color="auto"/>
              <w:bottom w:val="nil"/>
              <w:right w:val="single" w:sz="4" w:space="0" w:color="auto"/>
            </w:tcBorders>
          </w:tcPr>
          <w:p w14:paraId="1806B797"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0.02</w:t>
            </w:r>
          </w:p>
        </w:tc>
        <w:tc>
          <w:tcPr>
            <w:tcW w:w="1159" w:type="dxa"/>
            <w:tcBorders>
              <w:top w:val="nil"/>
              <w:left w:val="single" w:sz="4" w:space="0" w:color="auto"/>
              <w:bottom w:val="nil"/>
              <w:right w:val="single" w:sz="4" w:space="0" w:color="auto"/>
            </w:tcBorders>
          </w:tcPr>
          <w:p w14:paraId="54BDC7B0"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-0.17</w:t>
            </w:r>
          </w:p>
        </w:tc>
        <w:tc>
          <w:tcPr>
            <w:tcW w:w="1203" w:type="dxa"/>
            <w:tcBorders>
              <w:top w:val="nil"/>
              <w:left w:val="single" w:sz="4" w:space="0" w:color="auto"/>
              <w:bottom w:val="nil"/>
              <w:right w:val="single" w:sz="4" w:space="0" w:color="auto"/>
            </w:tcBorders>
          </w:tcPr>
          <w:p w14:paraId="0FA28EBF"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-0.04</w:t>
            </w:r>
          </w:p>
        </w:tc>
      </w:tr>
      <w:tr w:rsidR="0002571C" w:rsidRPr="0002571C" w14:paraId="7F29E345" w14:textId="77777777" w:rsidTr="001E7D79">
        <w:trPr>
          <w:jc w:val="center"/>
        </w:trPr>
        <w:tc>
          <w:tcPr>
            <w:tcW w:w="607" w:type="dxa"/>
            <w:vMerge/>
            <w:tcBorders>
              <w:left w:val="single" w:sz="4" w:space="0" w:color="auto"/>
              <w:right w:val="single" w:sz="4" w:space="0" w:color="auto"/>
            </w:tcBorders>
            <w:shd w:val="clear" w:color="auto" w:fill="auto"/>
          </w:tcPr>
          <w:p w14:paraId="5683BB94" w14:textId="77777777" w:rsidR="0002571C" w:rsidRPr="0002571C" w:rsidRDefault="0002571C" w:rsidP="0002571C">
            <w:pPr>
              <w:rPr>
                <w:rFonts w:eastAsia="Times New Roman"/>
                <w:sz w:val="16"/>
                <w:szCs w:val="16"/>
                <w:lang w:val="es-ES"/>
              </w:rPr>
            </w:pPr>
          </w:p>
        </w:tc>
        <w:tc>
          <w:tcPr>
            <w:tcW w:w="602" w:type="dxa"/>
            <w:tcBorders>
              <w:top w:val="nil"/>
              <w:left w:val="single" w:sz="4" w:space="0" w:color="auto"/>
              <w:bottom w:val="nil"/>
              <w:right w:val="single" w:sz="4" w:space="0" w:color="auto"/>
            </w:tcBorders>
          </w:tcPr>
          <w:p w14:paraId="16BFF675" w14:textId="77777777" w:rsidR="0002571C" w:rsidRPr="0002571C" w:rsidRDefault="0002571C" w:rsidP="0002571C">
            <w:pPr>
              <w:rPr>
                <w:rFonts w:eastAsia="Times New Roman"/>
                <w:sz w:val="16"/>
                <w:szCs w:val="16"/>
                <w:lang w:val="es-ES"/>
              </w:rPr>
            </w:pPr>
            <w:r w:rsidRPr="0002571C">
              <w:rPr>
                <w:rFonts w:eastAsia="Times New Roman"/>
                <w:sz w:val="16"/>
                <w:szCs w:val="16"/>
                <w:lang w:val="es-ES"/>
              </w:rPr>
              <w:t>Sep.</w:t>
            </w:r>
          </w:p>
        </w:tc>
        <w:tc>
          <w:tcPr>
            <w:tcW w:w="1096" w:type="dxa"/>
            <w:tcBorders>
              <w:top w:val="nil"/>
              <w:left w:val="single" w:sz="4" w:space="0" w:color="auto"/>
              <w:bottom w:val="nil"/>
              <w:right w:val="single" w:sz="4" w:space="0" w:color="auto"/>
            </w:tcBorders>
          </w:tcPr>
          <w:p w14:paraId="5D5EAA3D"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0.00</w:t>
            </w:r>
          </w:p>
        </w:tc>
        <w:tc>
          <w:tcPr>
            <w:tcW w:w="987" w:type="dxa"/>
            <w:tcBorders>
              <w:top w:val="nil"/>
              <w:left w:val="single" w:sz="4" w:space="0" w:color="auto"/>
              <w:bottom w:val="nil"/>
              <w:right w:val="single" w:sz="4" w:space="0" w:color="auto"/>
            </w:tcBorders>
          </w:tcPr>
          <w:p w14:paraId="13B5C7CB" w14:textId="77777777" w:rsidR="0002571C" w:rsidRPr="0002571C" w:rsidRDefault="0002571C" w:rsidP="0002571C">
            <w:pPr>
              <w:ind w:right="227"/>
              <w:jc w:val="right"/>
              <w:rPr>
                <w:rFonts w:eastAsia="Times New Roman"/>
                <w:sz w:val="16"/>
                <w:szCs w:val="16"/>
                <w:lang w:val="es-ES"/>
              </w:rPr>
            </w:pPr>
            <w:r w:rsidRPr="0002571C">
              <w:rPr>
                <w:rFonts w:eastAsia="Times New Roman"/>
                <w:sz w:val="16"/>
                <w:szCs w:val="16"/>
                <w:lang w:val="es-ES"/>
              </w:rPr>
              <w:t>0.00</w:t>
            </w:r>
          </w:p>
        </w:tc>
        <w:tc>
          <w:tcPr>
            <w:tcW w:w="1553" w:type="dxa"/>
            <w:tcBorders>
              <w:top w:val="nil"/>
              <w:left w:val="single" w:sz="4" w:space="0" w:color="auto"/>
              <w:bottom w:val="nil"/>
              <w:right w:val="single" w:sz="4" w:space="0" w:color="auto"/>
            </w:tcBorders>
          </w:tcPr>
          <w:p w14:paraId="3FBE8439" w14:textId="77777777" w:rsidR="0002571C" w:rsidRPr="0002571C" w:rsidRDefault="0002571C" w:rsidP="0002571C">
            <w:pPr>
              <w:jc w:val="center"/>
              <w:rPr>
                <w:rFonts w:eastAsia="Times New Roman"/>
                <w:sz w:val="16"/>
                <w:szCs w:val="16"/>
                <w:lang w:val="es-ES"/>
              </w:rPr>
            </w:pPr>
            <w:r w:rsidRPr="0002571C">
              <w:rPr>
                <w:rFonts w:eastAsia="Times New Roman"/>
                <w:sz w:val="16"/>
                <w:szCs w:val="16"/>
                <w:lang w:val="es-ES"/>
              </w:rPr>
              <w:t>0.00</w:t>
            </w:r>
          </w:p>
        </w:tc>
        <w:tc>
          <w:tcPr>
            <w:tcW w:w="1215" w:type="dxa"/>
            <w:tcBorders>
              <w:top w:val="nil"/>
              <w:left w:val="single" w:sz="4" w:space="0" w:color="auto"/>
              <w:bottom w:val="nil"/>
              <w:right w:val="single" w:sz="4" w:space="0" w:color="auto"/>
            </w:tcBorders>
          </w:tcPr>
          <w:p w14:paraId="0AE35182"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0.01</w:t>
            </w:r>
          </w:p>
        </w:tc>
        <w:tc>
          <w:tcPr>
            <w:tcW w:w="1159" w:type="dxa"/>
            <w:tcBorders>
              <w:top w:val="nil"/>
              <w:left w:val="single" w:sz="4" w:space="0" w:color="auto"/>
              <w:bottom w:val="nil"/>
              <w:right w:val="single" w:sz="4" w:space="0" w:color="auto"/>
            </w:tcBorders>
          </w:tcPr>
          <w:p w14:paraId="4DBA90B0"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-0.24</w:t>
            </w:r>
          </w:p>
        </w:tc>
        <w:tc>
          <w:tcPr>
            <w:tcW w:w="1203" w:type="dxa"/>
            <w:tcBorders>
              <w:top w:val="nil"/>
              <w:left w:val="single" w:sz="4" w:space="0" w:color="auto"/>
              <w:bottom w:val="nil"/>
              <w:right w:val="single" w:sz="4" w:space="0" w:color="auto"/>
            </w:tcBorders>
          </w:tcPr>
          <w:p w14:paraId="094D8D14"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-0.05</w:t>
            </w:r>
          </w:p>
        </w:tc>
      </w:tr>
      <w:tr w:rsidR="0002571C" w:rsidRPr="0002571C" w14:paraId="64DC4C0E" w14:textId="77777777" w:rsidTr="001E7D79">
        <w:trPr>
          <w:jc w:val="center"/>
        </w:trPr>
        <w:tc>
          <w:tcPr>
            <w:tcW w:w="607" w:type="dxa"/>
            <w:vMerge/>
            <w:tcBorders>
              <w:left w:val="single" w:sz="4" w:space="0" w:color="auto"/>
              <w:right w:val="single" w:sz="4" w:space="0" w:color="auto"/>
            </w:tcBorders>
            <w:shd w:val="clear" w:color="auto" w:fill="auto"/>
          </w:tcPr>
          <w:p w14:paraId="0500D850" w14:textId="77777777" w:rsidR="0002571C" w:rsidRPr="0002571C" w:rsidRDefault="0002571C" w:rsidP="0002571C">
            <w:pPr>
              <w:rPr>
                <w:rFonts w:eastAsia="Times New Roman"/>
                <w:sz w:val="16"/>
                <w:szCs w:val="16"/>
                <w:lang w:val="es-ES"/>
              </w:rPr>
            </w:pPr>
          </w:p>
        </w:tc>
        <w:tc>
          <w:tcPr>
            <w:tcW w:w="602" w:type="dxa"/>
            <w:tcBorders>
              <w:top w:val="nil"/>
              <w:left w:val="single" w:sz="4" w:space="0" w:color="auto"/>
              <w:bottom w:val="nil"/>
              <w:right w:val="single" w:sz="4" w:space="0" w:color="auto"/>
            </w:tcBorders>
          </w:tcPr>
          <w:p w14:paraId="0C772D7D" w14:textId="77777777" w:rsidR="0002571C" w:rsidRPr="0002571C" w:rsidRDefault="0002571C" w:rsidP="0002571C">
            <w:pPr>
              <w:rPr>
                <w:rFonts w:eastAsia="Times New Roman"/>
                <w:sz w:val="16"/>
                <w:szCs w:val="16"/>
                <w:lang w:val="es-ES"/>
              </w:rPr>
            </w:pPr>
            <w:r w:rsidRPr="0002571C">
              <w:rPr>
                <w:rFonts w:eastAsia="Times New Roman"/>
                <w:sz w:val="16"/>
                <w:szCs w:val="16"/>
                <w:lang w:val="es-ES"/>
              </w:rPr>
              <w:t>Oct.</w:t>
            </w:r>
          </w:p>
        </w:tc>
        <w:tc>
          <w:tcPr>
            <w:tcW w:w="1096" w:type="dxa"/>
            <w:tcBorders>
              <w:top w:val="nil"/>
              <w:left w:val="single" w:sz="4" w:space="0" w:color="auto"/>
              <w:bottom w:val="nil"/>
              <w:right w:val="single" w:sz="4" w:space="0" w:color="auto"/>
            </w:tcBorders>
          </w:tcPr>
          <w:p w14:paraId="5318BF45"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0.01</w:t>
            </w:r>
          </w:p>
        </w:tc>
        <w:tc>
          <w:tcPr>
            <w:tcW w:w="987" w:type="dxa"/>
            <w:tcBorders>
              <w:top w:val="nil"/>
              <w:left w:val="single" w:sz="4" w:space="0" w:color="auto"/>
              <w:bottom w:val="nil"/>
              <w:right w:val="single" w:sz="4" w:space="0" w:color="auto"/>
            </w:tcBorders>
          </w:tcPr>
          <w:p w14:paraId="776E9002" w14:textId="77777777" w:rsidR="0002571C" w:rsidRPr="0002571C" w:rsidRDefault="0002571C" w:rsidP="0002571C">
            <w:pPr>
              <w:ind w:right="227"/>
              <w:jc w:val="right"/>
              <w:rPr>
                <w:rFonts w:eastAsia="Times New Roman"/>
                <w:sz w:val="16"/>
                <w:szCs w:val="16"/>
                <w:lang w:val="es-ES"/>
              </w:rPr>
            </w:pPr>
            <w:r w:rsidRPr="0002571C">
              <w:rPr>
                <w:rFonts w:eastAsia="Times New Roman"/>
                <w:sz w:val="16"/>
                <w:szCs w:val="16"/>
                <w:lang w:val="es-ES"/>
              </w:rPr>
              <w:t>-0.01</w:t>
            </w:r>
          </w:p>
        </w:tc>
        <w:tc>
          <w:tcPr>
            <w:tcW w:w="1553" w:type="dxa"/>
            <w:tcBorders>
              <w:top w:val="nil"/>
              <w:left w:val="single" w:sz="4" w:space="0" w:color="auto"/>
              <w:bottom w:val="nil"/>
              <w:right w:val="single" w:sz="4" w:space="0" w:color="auto"/>
            </w:tcBorders>
          </w:tcPr>
          <w:p w14:paraId="679783AD" w14:textId="77777777" w:rsidR="0002571C" w:rsidRPr="0002571C" w:rsidRDefault="0002571C" w:rsidP="0002571C">
            <w:pPr>
              <w:jc w:val="center"/>
              <w:rPr>
                <w:rFonts w:eastAsia="Times New Roman"/>
                <w:sz w:val="16"/>
                <w:szCs w:val="16"/>
                <w:lang w:val="es-ES"/>
              </w:rPr>
            </w:pPr>
            <w:r w:rsidRPr="0002571C">
              <w:rPr>
                <w:rFonts w:eastAsia="Times New Roman"/>
                <w:sz w:val="16"/>
                <w:szCs w:val="16"/>
                <w:lang w:val="es-ES"/>
              </w:rPr>
              <w:t>-0.02</w:t>
            </w:r>
          </w:p>
        </w:tc>
        <w:tc>
          <w:tcPr>
            <w:tcW w:w="1215" w:type="dxa"/>
            <w:tcBorders>
              <w:top w:val="nil"/>
              <w:left w:val="single" w:sz="4" w:space="0" w:color="auto"/>
              <w:bottom w:val="nil"/>
              <w:right w:val="single" w:sz="4" w:space="0" w:color="auto"/>
            </w:tcBorders>
          </w:tcPr>
          <w:p w14:paraId="3AA373DE"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0.00</w:t>
            </w:r>
          </w:p>
        </w:tc>
        <w:tc>
          <w:tcPr>
            <w:tcW w:w="1159" w:type="dxa"/>
            <w:tcBorders>
              <w:top w:val="nil"/>
              <w:left w:val="single" w:sz="4" w:space="0" w:color="auto"/>
              <w:bottom w:val="nil"/>
              <w:right w:val="single" w:sz="4" w:space="0" w:color="auto"/>
            </w:tcBorders>
          </w:tcPr>
          <w:p w14:paraId="2BA0D455"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-0.30</w:t>
            </w:r>
          </w:p>
        </w:tc>
        <w:tc>
          <w:tcPr>
            <w:tcW w:w="1203" w:type="dxa"/>
            <w:tcBorders>
              <w:top w:val="nil"/>
              <w:left w:val="single" w:sz="4" w:space="0" w:color="auto"/>
              <w:bottom w:val="nil"/>
              <w:right w:val="single" w:sz="4" w:space="0" w:color="auto"/>
            </w:tcBorders>
          </w:tcPr>
          <w:p w14:paraId="53FE7BB2"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-0.04</w:t>
            </w:r>
          </w:p>
        </w:tc>
      </w:tr>
      <w:tr w:rsidR="0002571C" w:rsidRPr="0002571C" w14:paraId="734CF812" w14:textId="77777777" w:rsidTr="001E7D79">
        <w:trPr>
          <w:jc w:val="center"/>
        </w:trPr>
        <w:tc>
          <w:tcPr>
            <w:tcW w:w="607" w:type="dxa"/>
            <w:vMerge/>
            <w:tcBorders>
              <w:left w:val="single" w:sz="4" w:space="0" w:color="auto"/>
              <w:right w:val="single" w:sz="4" w:space="0" w:color="auto"/>
            </w:tcBorders>
            <w:shd w:val="clear" w:color="auto" w:fill="auto"/>
          </w:tcPr>
          <w:p w14:paraId="725EA09B" w14:textId="77777777" w:rsidR="0002571C" w:rsidRPr="0002571C" w:rsidRDefault="0002571C" w:rsidP="0002571C">
            <w:pPr>
              <w:rPr>
                <w:rFonts w:eastAsia="Times New Roman"/>
                <w:sz w:val="16"/>
                <w:szCs w:val="16"/>
                <w:lang w:val="es-ES"/>
              </w:rPr>
            </w:pPr>
          </w:p>
        </w:tc>
        <w:tc>
          <w:tcPr>
            <w:tcW w:w="602" w:type="dxa"/>
            <w:tcBorders>
              <w:top w:val="nil"/>
              <w:left w:val="single" w:sz="4" w:space="0" w:color="auto"/>
              <w:bottom w:val="nil"/>
              <w:right w:val="single" w:sz="4" w:space="0" w:color="auto"/>
            </w:tcBorders>
          </w:tcPr>
          <w:p w14:paraId="33444D40" w14:textId="77777777" w:rsidR="0002571C" w:rsidRPr="0002571C" w:rsidRDefault="0002571C" w:rsidP="0002571C">
            <w:pPr>
              <w:rPr>
                <w:rFonts w:eastAsia="Times New Roman"/>
                <w:sz w:val="16"/>
                <w:szCs w:val="16"/>
                <w:lang w:val="es-ES"/>
              </w:rPr>
            </w:pPr>
            <w:r w:rsidRPr="0002571C">
              <w:rPr>
                <w:rFonts w:eastAsia="Times New Roman"/>
                <w:sz w:val="16"/>
                <w:szCs w:val="16"/>
                <w:lang w:val="es-ES"/>
              </w:rPr>
              <w:t>Nov.</w:t>
            </w:r>
          </w:p>
        </w:tc>
        <w:tc>
          <w:tcPr>
            <w:tcW w:w="1096" w:type="dxa"/>
            <w:tcBorders>
              <w:top w:val="nil"/>
              <w:left w:val="single" w:sz="4" w:space="0" w:color="auto"/>
              <w:bottom w:val="nil"/>
              <w:right w:val="single" w:sz="4" w:space="0" w:color="auto"/>
            </w:tcBorders>
          </w:tcPr>
          <w:p w14:paraId="5E545C4D"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0.01</w:t>
            </w:r>
          </w:p>
        </w:tc>
        <w:tc>
          <w:tcPr>
            <w:tcW w:w="987" w:type="dxa"/>
            <w:tcBorders>
              <w:top w:val="nil"/>
              <w:left w:val="single" w:sz="4" w:space="0" w:color="auto"/>
              <w:bottom w:val="nil"/>
              <w:right w:val="single" w:sz="4" w:space="0" w:color="auto"/>
            </w:tcBorders>
          </w:tcPr>
          <w:p w14:paraId="6565DDD2" w14:textId="77777777" w:rsidR="0002571C" w:rsidRPr="0002571C" w:rsidRDefault="0002571C" w:rsidP="0002571C">
            <w:pPr>
              <w:ind w:right="227"/>
              <w:jc w:val="right"/>
              <w:rPr>
                <w:rFonts w:eastAsia="Times New Roman"/>
                <w:sz w:val="16"/>
                <w:szCs w:val="16"/>
                <w:lang w:val="es-ES"/>
              </w:rPr>
            </w:pPr>
            <w:r w:rsidRPr="0002571C">
              <w:rPr>
                <w:rFonts w:eastAsia="Times New Roman"/>
                <w:sz w:val="16"/>
                <w:szCs w:val="16"/>
                <w:lang w:val="es-ES"/>
              </w:rPr>
              <w:t>-0.02</w:t>
            </w:r>
          </w:p>
        </w:tc>
        <w:tc>
          <w:tcPr>
            <w:tcW w:w="1553" w:type="dxa"/>
            <w:tcBorders>
              <w:top w:val="nil"/>
              <w:left w:val="single" w:sz="4" w:space="0" w:color="auto"/>
              <w:bottom w:val="nil"/>
              <w:right w:val="single" w:sz="4" w:space="0" w:color="auto"/>
            </w:tcBorders>
          </w:tcPr>
          <w:p w14:paraId="0FFBB80E" w14:textId="77777777" w:rsidR="0002571C" w:rsidRPr="0002571C" w:rsidRDefault="0002571C" w:rsidP="0002571C">
            <w:pPr>
              <w:jc w:val="center"/>
              <w:rPr>
                <w:rFonts w:eastAsia="Times New Roman"/>
                <w:sz w:val="16"/>
                <w:szCs w:val="16"/>
                <w:lang w:val="es-ES"/>
              </w:rPr>
            </w:pPr>
            <w:r w:rsidRPr="0002571C">
              <w:rPr>
                <w:rFonts w:eastAsia="Times New Roman"/>
                <w:sz w:val="16"/>
                <w:szCs w:val="16"/>
                <w:lang w:val="es-ES"/>
              </w:rPr>
              <w:t>-0.03</w:t>
            </w:r>
          </w:p>
        </w:tc>
        <w:tc>
          <w:tcPr>
            <w:tcW w:w="1215" w:type="dxa"/>
            <w:tcBorders>
              <w:top w:val="nil"/>
              <w:left w:val="single" w:sz="4" w:space="0" w:color="auto"/>
              <w:bottom w:val="nil"/>
              <w:right w:val="single" w:sz="4" w:space="0" w:color="auto"/>
            </w:tcBorders>
          </w:tcPr>
          <w:p w14:paraId="46D0A0BE"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-0.01</w:t>
            </w:r>
          </w:p>
        </w:tc>
        <w:tc>
          <w:tcPr>
            <w:tcW w:w="1159" w:type="dxa"/>
            <w:tcBorders>
              <w:top w:val="nil"/>
              <w:left w:val="single" w:sz="4" w:space="0" w:color="auto"/>
              <w:bottom w:val="nil"/>
              <w:right w:val="single" w:sz="4" w:space="0" w:color="auto"/>
            </w:tcBorders>
          </w:tcPr>
          <w:p w14:paraId="4CB36094"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-0.35</w:t>
            </w:r>
          </w:p>
        </w:tc>
        <w:tc>
          <w:tcPr>
            <w:tcW w:w="1203" w:type="dxa"/>
            <w:tcBorders>
              <w:top w:val="nil"/>
              <w:left w:val="single" w:sz="4" w:space="0" w:color="auto"/>
              <w:bottom w:val="nil"/>
              <w:right w:val="single" w:sz="4" w:space="0" w:color="auto"/>
            </w:tcBorders>
          </w:tcPr>
          <w:p w14:paraId="188CF984"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-0.05</w:t>
            </w:r>
          </w:p>
        </w:tc>
      </w:tr>
      <w:tr w:rsidR="0002571C" w:rsidRPr="0002571C" w14:paraId="169F933D" w14:textId="77777777" w:rsidTr="001E7D79">
        <w:trPr>
          <w:jc w:val="center"/>
        </w:trPr>
        <w:tc>
          <w:tcPr>
            <w:tcW w:w="607" w:type="dxa"/>
            <w:vMerge/>
            <w:tcBorders>
              <w:left w:val="single" w:sz="4" w:space="0" w:color="auto"/>
              <w:bottom w:val="single" w:sz="4" w:space="0" w:color="auto"/>
              <w:right w:val="single" w:sz="4" w:space="0" w:color="auto"/>
            </w:tcBorders>
            <w:shd w:val="clear" w:color="auto" w:fill="auto"/>
          </w:tcPr>
          <w:p w14:paraId="6AD5B070" w14:textId="77777777" w:rsidR="0002571C" w:rsidRPr="0002571C" w:rsidRDefault="0002571C" w:rsidP="0002571C">
            <w:pPr>
              <w:rPr>
                <w:rFonts w:eastAsia="Times New Roman"/>
                <w:sz w:val="16"/>
                <w:szCs w:val="16"/>
                <w:lang w:val="es-ES"/>
              </w:rPr>
            </w:pPr>
          </w:p>
        </w:tc>
        <w:tc>
          <w:tcPr>
            <w:tcW w:w="602" w:type="dxa"/>
            <w:tcBorders>
              <w:top w:val="nil"/>
              <w:left w:val="single" w:sz="4" w:space="0" w:color="auto"/>
              <w:bottom w:val="single" w:sz="4" w:space="0" w:color="auto"/>
              <w:right w:val="single" w:sz="4" w:space="0" w:color="auto"/>
            </w:tcBorders>
          </w:tcPr>
          <w:p w14:paraId="22DEBA17" w14:textId="77777777" w:rsidR="0002571C" w:rsidRPr="0002571C" w:rsidRDefault="0002571C" w:rsidP="0002571C">
            <w:pPr>
              <w:rPr>
                <w:rFonts w:eastAsia="Times New Roman"/>
                <w:sz w:val="16"/>
                <w:szCs w:val="16"/>
                <w:lang w:val="es-ES"/>
              </w:rPr>
            </w:pPr>
            <w:r w:rsidRPr="0002571C">
              <w:rPr>
                <w:rFonts w:eastAsia="Times New Roman"/>
                <w:sz w:val="16"/>
                <w:szCs w:val="16"/>
                <w:lang w:val="es-ES"/>
              </w:rPr>
              <w:t>Dic.</w:t>
            </w:r>
          </w:p>
        </w:tc>
        <w:tc>
          <w:tcPr>
            <w:tcW w:w="1096" w:type="dxa"/>
            <w:tcBorders>
              <w:top w:val="nil"/>
              <w:left w:val="single" w:sz="4" w:space="0" w:color="auto"/>
              <w:bottom w:val="single" w:sz="4" w:space="0" w:color="auto"/>
              <w:right w:val="single" w:sz="4" w:space="0" w:color="auto"/>
            </w:tcBorders>
          </w:tcPr>
          <w:p w14:paraId="5595D281"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0.00</w:t>
            </w:r>
          </w:p>
        </w:tc>
        <w:tc>
          <w:tcPr>
            <w:tcW w:w="987" w:type="dxa"/>
            <w:tcBorders>
              <w:top w:val="nil"/>
              <w:left w:val="single" w:sz="4" w:space="0" w:color="auto"/>
              <w:bottom w:val="single" w:sz="4" w:space="0" w:color="auto"/>
              <w:right w:val="single" w:sz="4" w:space="0" w:color="auto"/>
            </w:tcBorders>
          </w:tcPr>
          <w:p w14:paraId="6FB98A02" w14:textId="77777777" w:rsidR="0002571C" w:rsidRPr="0002571C" w:rsidRDefault="0002571C" w:rsidP="0002571C">
            <w:pPr>
              <w:ind w:right="227"/>
              <w:jc w:val="right"/>
              <w:rPr>
                <w:rFonts w:eastAsia="Times New Roman"/>
                <w:sz w:val="16"/>
                <w:szCs w:val="16"/>
                <w:lang w:val="es-ES"/>
              </w:rPr>
            </w:pPr>
            <w:r w:rsidRPr="0002571C">
              <w:rPr>
                <w:rFonts w:eastAsia="Times New Roman"/>
                <w:sz w:val="16"/>
                <w:szCs w:val="16"/>
                <w:lang w:val="es-ES"/>
              </w:rPr>
              <w:t>-0.04</w:t>
            </w:r>
          </w:p>
        </w:tc>
        <w:tc>
          <w:tcPr>
            <w:tcW w:w="1553" w:type="dxa"/>
            <w:tcBorders>
              <w:top w:val="nil"/>
              <w:left w:val="single" w:sz="4" w:space="0" w:color="auto"/>
              <w:bottom w:val="single" w:sz="4" w:space="0" w:color="auto"/>
              <w:right w:val="single" w:sz="4" w:space="0" w:color="auto"/>
            </w:tcBorders>
          </w:tcPr>
          <w:p w14:paraId="3BF06530" w14:textId="77777777" w:rsidR="0002571C" w:rsidRPr="0002571C" w:rsidRDefault="0002571C" w:rsidP="0002571C">
            <w:pPr>
              <w:jc w:val="center"/>
              <w:rPr>
                <w:rFonts w:eastAsia="Times New Roman"/>
                <w:sz w:val="16"/>
                <w:szCs w:val="16"/>
                <w:lang w:val="es-ES"/>
              </w:rPr>
            </w:pPr>
            <w:r w:rsidRPr="0002571C">
              <w:rPr>
                <w:rFonts w:eastAsia="Times New Roman"/>
                <w:sz w:val="16"/>
                <w:szCs w:val="16"/>
                <w:lang w:val="es-ES"/>
              </w:rPr>
              <w:t>-0.04</w:t>
            </w:r>
          </w:p>
        </w:tc>
        <w:tc>
          <w:tcPr>
            <w:tcW w:w="1215" w:type="dxa"/>
            <w:tcBorders>
              <w:top w:val="nil"/>
              <w:left w:val="single" w:sz="4" w:space="0" w:color="auto"/>
              <w:bottom w:val="single" w:sz="4" w:space="0" w:color="auto"/>
              <w:right w:val="single" w:sz="4" w:space="0" w:color="auto"/>
            </w:tcBorders>
          </w:tcPr>
          <w:p w14:paraId="1066C306"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-0.02</w:t>
            </w:r>
          </w:p>
        </w:tc>
        <w:tc>
          <w:tcPr>
            <w:tcW w:w="1159" w:type="dxa"/>
            <w:tcBorders>
              <w:top w:val="nil"/>
              <w:left w:val="single" w:sz="4" w:space="0" w:color="auto"/>
              <w:bottom w:val="single" w:sz="4" w:space="0" w:color="auto"/>
              <w:right w:val="single" w:sz="4" w:space="0" w:color="auto"/>
            </w:tcBorders>
          </w:tcPr>
          <w:p w14:paraId="515475D3"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-0.37</w:t>
            </w:r>
          </w:p>
        </w:tc>
        <w:tc>
          <w:tcPr>
            <w:tcW w:w="1203" w:type="dxa"/>
            <w:tcBorders>
              <w:top w:val="nil"/>
              <w:left w:val="single" w:sz="4" w:space="0" w:color="auto"/>
              <w:bottom w:val="single" w:sz="4" w:space="0" w:color="auto"/>
              <w:right w:val="single" w:sz="4" w:space="0" w:color="auto"/>
            </w:tcBorders>
          </w:tcPr>
          <w:p w14:paraId="303905C8"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-0.06</w:t>
            </w:r>
          </w:p>
        </w:tc>
      </w:tr>
      <w:tr w:rsidR="0002571C" w:rsidRPr="0002571C" w14:paraId="6903A915" w14:textId="77777777" w:rsidTr="001E7D79">
        <w:trPr>
          <w:jc w:val="center"/>
        </w:trPr>
        <w:tc>
          <w:tcPr>
            <w:tcW w:w="8422" w:type="dxa"/>
            <w:gridSpan w:val="8"/>
            <w:tcBorders>
              <w:top w:val="single" w:sz="4" w:space="0" w:color="auto"/>
              <w:left w:val="nil"/>
              <w:bottom w:val="nil"/>
              <w:right w:val="nil"/>
            </w:tcBorders>
          </w:tcPr>
          <w:p w14:paraId="02E04CE0" w14:textId="77777777" w:rsidR="0002571C" w:rsidRPr="0002571C" w:rsidRDefault="0002571C" w:rsidP="0002571C">
            <w:pPr>
              <w:ind w:left="142" w:hanging="142"/>
              <w:jc w:val="both"/>
              <w:rPr>
                <w:rFonts w:eastAsia="Times New Roman"/>
                <w:sz w:val="16"/>
                <w:szCs w:val="16"/>
                <w:lang w:val="es-ES"/>
              </w:rPr>
            </w:pPr>
            <w:r w:rsidRPr="0002571C">
              <w:rPr>
                <w:rFonts w:eastAsia="Times New Roman"/>
                <w:sz w:val="16"/>
                <w:szCs w:val="16"/>
                <w:lang w:val="es-ES"/>
              </w:rPr>
              <w:t>* Debido al cambio en la Encuesta Mensual sobre Empresas Comerciales, el Índice de Ventas Netas al por menor en los Establecimientos Comerciales fue sustituido por el Índice de Ingresos por Suministro de Bienes y Servicios al por menor.</w:t>
            </w:r>
          </w:p>
          <w:p w14:paraId="71F1EC50" w14:textId="77777777" w:rsidR="0002571C" w:rsidRPr="0002571C" w:rsidRDefault="0002571C" w:rsidP="0002571C">
            <w:pPr>
              <w:rPr>
                <w:rFonts w:eastAsia="Times New Roman"/>
                <w:sz w:val="16"/>
                <w:szCs w:val="16"/>
                <w:lang w:val="es-ES"/>
              </w:rPr>
            </w:pPr>
            <w:r w:rsidRPr="0002571C">
              <w:rPr>
                <w:rFonts w:eastAsia="Times New Roman"/>
                <w:sz w:val="16"/>
                <w:szCs w:val="16"/>
                <w:lang w:val="es-ES"/>
              </w:rPr>
              <w:t>FUENTE: INEGI.</w:t>
            </w:r>
          </w:p>
        </w:tc>
      </w:tr>
    </w:tbl>
    <w:p w14:paraId="4C7A6A50" w14:textId="77777777" w:rsidR="0002571C" w:rsidRPr="0002571C" w:rsidRDefault="0002571C" w:rsidP="0002571C">
      <w:pPr>
        <w:spacing w:after="360" w:line="360" w:lineRule="auto"/>
        <w:ind w:right="159"/>
        <w:jc w:val="center"/>
        <w:rPr>
          <w:rFonts w:eastAsia="Calibri"/>
          <w:sz w:val="22"/>
          <w:szCs w:val="22"/>
          <w:lang w:eastAsia="en-US"/>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402217" w:rsidRPr="00402217" w14:paraId="62AFFD25" w14:textId="77777777" w:rsidTr="0011560C">
        <w:tc>
          <w:tcPr>
            <w:tcW w:w="8838" w:type="dxa"/>
          </w:tcPr>
          <w:p w14:paraId="1DEE86A4" w14:textId="45FB5077" w:rsidR="00402217" w:rsidRPr="00402217" w:rsidRDefault="00402217" w:rsidP="00402217">
            <w:pPr>
              <w:jc w:val="center"/>
              <w:rPr>
                <w:rFonts w:ascii="Calibri" w:eastAsia="Calibri" w:hAnsi="Calibri"/>
                <w:sz w:val="22"/>
                <w:szCs w:val="22"/>
                <w:lang w:eastAsia="en-US"/>
              </w:rPr>
            </w:pPr>
            <w:r w:rsidRPr="00402217">
              <w:rPr>
                <w:rFonts w:ascii="Calibri" w:eastAsia="Calibri" w:hAnsi="Calibri"/>
                <w:sz w:val="22"/>
                <w:szCs w:val="22"/>
                <w:lang w:eastAsia="en-US"/>
              </w:rPr>
              <w:lastRenderedPageBreak/>
              <w:fldChar w:fldCharType="begin"/>
            </w:r>
            <w:r w:rsidRPr="00402217">
              <w:rPr>
                <w:rFonts w:ascii="Calibri" w:eastAsia="Calibri" w:hAnsi="Calibri"/>
                <w:sz w:val="22"/>
                <w:szCs w:val="22"/>
                <w:lang w:eastAsia="en-US"/>
              </w:rPr>
              <w:instrText xml:space="preserve"> LINK PowerPoint.Slide.8 "D:\\2015\\MARZO 2014\\GRÁFICAS EN POWER POINT\\12.- GRÁFICAS II DE IND. CICLICOS.pptx!308" "" \a \p </w:instrText>
            </w:r>
            <w:r w:rsidRPr="00402217">
              <w:rPr>
                <w:rFonts w:ascii="Calibri" w:eastAsia="Calibri" w:hAnsi="Calibri"/>
                <w:sz w:val="22"/>
                <w:szCs w:val="22"/>
                <w:lang w:eastAsia="en-US"/>
              </w:rPr>
              <w:fldChar w:fldCharType="separate"/>
            </w:r>
            <w:r w:rsidRPr="00402217">
              <w:rPr>
                <w:rFonts w:ascii="Calibri" w:eastAsia="Calibri" w:hAnsi="Calibri"/>
                <w:noProof/>
                <w:sz w:val="22"/>
                <w:szCs w:val="22"/>
                <w:lang w:eastAsia="es-MX"/>
              </w:rPr>
              <w:drawing>
                <wp:inline distT="0" distB="0" distL="0" distR="0" wp14:anchorId="57DAFFFB" wp14:editId="22FC5951">
                  <wp:extent cx="5523230" cy="2298065"/>
                  <wp:effectExtent l="0" t="0" r="1270" b="6985"/>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
                          <pic:cNvPicPr>
                            <a:picLocks noChangeAspect="1" noChangeArrowheads="1"/>
                          </pic:cNvPicPr>
                        </pic:nvPicPr>
                        <pic:blipFill>
                          <a:blip r:embed="rId46" cstate="print">
                            <a:extLst>
                              <a:ext uri="{28A0092B-C50C-407E-A947-70E740481C1C}">
                                <a14:useLocalDpi xmlns:a14="http://schemas.microsoft.com/office/drawing/2010/main" val="0"/>
                              </a:ext>
                            </a:extLst>
                          </a:blip>
                          <a:srcRect l="4225" t="11389" r="5008" b="21666"/>
                          <a:stretch>
                            <a:fillRect/>
                          </a:stretch>
                        </pic:blipFill>
                        <pic:spPr bwMode="auto">
                          <a:xfrm>
                            <a:off x="0" y="0"/>
                            <a:ext cx="5523230" cy="2298065"/>
                          </a:xfrm>
                          <a:prstGeom prst="rect">
                            <a:avLst/>
                          </a:prstGeom>
                          <a:noFill/>
                          <a:ln>
                            <a:noFill/>
                          </a:ln>
                        </pic:spPr>
                      </pic:pic>
                    </a:graphicData>
                  </a:graphic>
                </wp:inline>
              </w:drawing>
            </w:r>
            <w:r w:rsidRPr="00402217">
              <w:rPr>
                <w:rFonts w:ascii="Calibri" w:eastAsia="Calibri" w:hAnsi="Calibri"/>
                <w:sz w:val="22"/>
                <w:szCs w:val="22"/>
                <w:lang w:eastAsia="en-US"/>
              </w:rPr>
              <w:fldChar w:fldCharType="end"/>
            </w:r>
          </w:p>
        </w:tc>
      </w:tr>
      <w:tr w:rsidR="00402217" w:rsidRPr="00402217" w14:paraId="5B0DF70E" w14:textId="77777777" w:rsidTr="0011560C">
        <w:tc>
          <w:tcPr>
            <w:tcW w:w="8838" w:type="dxa"/>
          </w:tcPr>
          <w:p w14:paraId="148F5DCB" w14:textId="0FCE03D0" w:rsidR="00402217" w:rsidRPr="00402217" w:rsidRDefault="00402217" w:rsidP="00402217">
            <w:pPr>
              <w:jc w:val="center"/>
              <w:rPr>
                <w:rFonts w:ascii="Calibri" w:eastAsia="Calibri" w:hAnsi="Calibri"/>
                <w:sz w:val="22"/>
                <w:szCs w:val="22"/>
                <w:lang w:eastAsia="en-US"/>
              </w:rPr>
            </w:pPr>
            <w:r w:rsidRPr="00402217">
              <w:rPr>
                <w:rFonts w:ascii="Calibri" w:eastAsia="Calibri" w:hAnsi="Calibri"/>
                <w:sz w:val="22"/>
                <w:szCs w:val="22"/>
                <w:lang w:eastAsia="en-US"/>
              </w:rPr>
              <w:fldChar w:fldCharType="begin"/>
            </w:r>
            <w:r w:rsidRPr="00402217">
              <w:rPr>
                <w:rFonts w:ascii="Calibri" w:eastAsia="Calibri" w:hAnsi="Calibri"/>
                <w:sz w:val="22"/>
                <w:szCs w:val="22"/>
                <w:lang w:eastAsia="en-US"/>
              </w:rPr>
              <w:instrText xml:space="preserve"> LINK PowerPoint.Slide.8 "D:\\2015\\MARZO 2014\\GRÁFICAS EN POWER POINT\\12.- GRÁFICAS II DE IND. CICLICOS.pptx!309" "" \a \p </w:instrText>
            </w:r>
            <w:r w:rsidRPr="00402217">
              <w:rPr>
                <w:rFonts w:ascii="Calibri" w:eastAsia="Calibri" w:hAnsi="Calibri"/>
                <w:sz w:val="22"/>
                <w:szCs w:val="22"/>
                <w:lang w:eastAsia="en-US"/>
              </w:rPr>
              <w:fldChar w:fldCharType="separate"/>
            </w:r>
            <w:r w:rsidRPr="00402217">
              <w:rPr>
                <w:rFonts w:ascii="Calibri" w:eastAsia="Calibri" w:hAnsi="Calibri"/>
                <w:noProof/>
                <w:sz w:val="22"/>
                <w:szCs w:val="22"/>
                <w:lang w:eastAsia="es-MX"/>
              </w:rPr>
              <w:drawing>
                <wp:inline distT="0" distB="0" distL="0" distR="0" wp14:anchorId="079B25A4" wp14:editId="096C037A">
                  <wp:extent cx="5572760" cy="2082165"/>
                  <wp:effectExtent l="0" t="0" r="889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6"/>
                          <pic:cNvPicPr>
                            <a:picLocks noChangeAspect="1" noChangeArrowheads="1"/>
                          </pic:cNvPicPr>
                        </pic:nvPicPr>
                        <pic:blipFill>
                          <a:blip r:embed="rId47" cstate="print">
                            <a:extLst>
                              <a:ext uri="{28A0092B-C50C-407E-A947-70E740481C1C}">
                                <a14:useLocalDpi xmlns:a14="http://schemas.microsoft.com/office/drawing/2010/main" val="0"/>
                              </a:ext>
                            </a:extLst>
                          </a:blip>
                          <a:srcRect l="3755" t="16945" r="4695" b="22221"/>
                          <a:stretch>
                            <a:fillRect/>
                          </a:stretch>
                        </pic:blipFill>
                        <pic:spPr bwMode="auto">
                          <a:xfrm>
                            <a:off x="0" y="0"/>
                            <a:ext cx="5572760" cy="2082165"/>
                          </a:xfrm>
                          <a:prstGeom prst="rect">
                            <a:avLst/>
                          </a:prstGeom>
                          <a:noFill/>
                          <a:ln>
                            <a:noFill/>
                          </a:ln>
                        </pic:spPr>
                      </pic:pic>
                    </a:graphicData>
                  </a:graphic>
                </wp:inline>
              </w:drawing>
            </w:r>
            <w:r w:rsidRPr="00402217">
              <w:rPr>
                <w:rFonts w:ascii="Calibri" w:eastAsia="Calibri" w:hAnsi="Calibri"/>
                <w:sz w:val="22"/>
                <w:szCs w:val="22"/>
                <w:lang w:eastAsia="en-US"/>
              </w:rPr>
              <w:fldChar w:fldCharType="end"/>
            </w:r>
          </w:p>
        </w:tc>
      </w:tr>
      <w:tr w:rsidR="00402217" w:rsidRPr="00402217" w14:paraId="422EDCFB" w14:textId="77777777" w:rsidTr="0011560C">
        <w:tc>
          <w:tcPr>
            <w:tcW w:w="8838" w:type="dxa"/>
          </w:tcPr>
          <w:p w14:paraId="41CBCAC6" w14:textId="6864A43D" w:rsidR="00402217" w:rsidRPr="00402217" w:rsidRDefault="00402217" w:rsidP="00402217">
            <w:pPr>
              <w:jc w:val="center"/>
              <w:rPr>
                <w:rFonts w:ascii="Calibri" w:eastAsia="Calibri" w:hAnsi="Calibri"/>
                <w:sz w:val="22"/>
                <w:szCs w:val="22"/>
                <w:lang w:eastAsia="en-US"/>
              </w:rPr>
            </w:pPr>
            <w:r w:rsidRPr="00402217">
              <w:rPr>
                <w:rFonts w:ascii="Calibri" w:eastAsia="Calibri" w:hAnsi="Calibri"/>
                <w:sz w:val="22"/>
                <w:szCs w:val="22"/>
                <w:lang w:eastAsia="en-US"/>
              </w:rPr>
              <w:fldChar w:fldCharType="begin"/>
            </w:r>
            <w:r w:rsidRPr="00402217">
              <w:rPr>
                <w:rFonts w:ascii="Calibri" w:eastAsia="Calibri" w:hAnsi="Calibri"/>
                <w:sz w:val="22"/>
                <w:szCs w:val="22"/>
                <w:lang w:eastAsia="en-US"/>
              </w:rPr>
              <w:instrText xml:space="preserve"> LINK PowerPoint.Slide.8 "D:\\2015\\MARZO 2014\\GRÁFICAS EN POWER POINT\\12.- GRÁFICAS II DE IND. CICLICOS.pptx!310" "" \a \p </w:instrText>
            </w:r>
            <w:r w:rsidRPr="00402217">
              <w:rPr>
                <w:rFonts w:ascii="Calibri" w:eastAsia="Calibri" w:hAnsi="Calibri"/>
                <w:sz w:val="22"/>
                <w:szCs w:val="22"/>
                <w:lang w:eastAsia="en-US"/>
              </w:rPr>
              <w:fldChar w:fldCharType="separate"/>
            </w:r>
            <w:r w:rsidRPr="00402217">
              <w:rPr>
                <w:rFonts w:ascii="Calibri" w:eastAsia="Calibri" w:hAnsi="Calibri"/>
                <w:noProof/>
                <w:sz w:val="22"/>
                <w:szCs w:val="22"/>
                <w:lang w:eastAsia="es-MX"/>
              </w:rPr>
              <w:drawing>
                <wp:inline distT="0" distB="0" distL="0" distR="0" wp14:anchorId="65FFB5CE" wp14:editId="685D8FDB">
                  <wp:extent cx="5585460" cy="2335530"/>
                  <wp:effectExtent l="0" t="0" r="0" b="762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7"/>
                          <pic:cNvPicPr>
                            <a:picLocks noChangeAspect="1" noChangeArrowheads="1"/>
                          </pic:cNvPicPr>
                        </pic:nvPicPr>
                        <pic:blipFill>
                          <a:blip r:embed="rId48" cstate="print">
                            <a:extLst>
                              <a:ext uri="{28A0092B-C50C-407E-A947-70E740481C1C}">
                                <a14:useLocalDpi xmlns:a14="http://schemas.microsoft.com/office/drawing/2010/main" val="0"/>
                              </a:ext>
                            </a:extLst>
                          </a:blip>
                          <a:srcRect l="3755" t="19722" r="4538" b="12222"/>
                          <a:stretch>
                            <a:fillRect/>
                          </a:stretch>
                        </pic:blipFill>
                        <pic:spPr bwMode="auto">
                          <a:xfrm>
                            <a:off x="0" y="0"/>
                            <a:ext cx="5585460" cy="2335530"/>
                          </a:xfrm>
                          <a:prstGeom prst="rect">
                            <a:avLst/>
                          </a:prstGeom>
                          <a:noFill/>
                          <a:ln>
                            <a:noFill/>
                          </a:ln>
                        </pic:spPr>
                      </pic:pic>
                    </a:graphicData>
                  </a:graphic>
                </wp:inline>
              </w:drawing>
            </w:r>
            <w:r w:rsidRPr="00402217">
              <w:rPr>
                <w:rFonts w:ascii="Calibri" w:eastAsia="Calibri" w:hAnsi="Calibri"/>
                <w:sz w:val="22"/>
                <w:szCs w:val="22"/>
                <w:lang w:eastAsia="en-US"/>
              </w:rPr>
              <w:fldChar w:fldCharType="end"/>
            </w:r>
          </w:p>
        </w:tc>
      </w:tr>
    </w:tbl>
    <w:p w14:paraId="1AE054DD" w14:textId="77777777" w:rsidR="00402217" w:rsidRPr="00402217" w:rsidRDefault="00402217" w:rsidP="00402217">
      <w:pPr>
        <w:spacing w:after="160" w:line="259" w:lineRule="auto"/>
        <w:jc w:val="center"/>
        <w:rPr>
          <w:rFonts w:ascii="Calibri" w:eastAsia="Calibri" w:hAnsi="Calibri"/>
          <w:sz w:val="22"/>
          <w:szCs w:val="22"/>
          <w:lang w:eastAsia="en-US"/>
        </w:rPr>
      </w:pPr>
    </w:p>
    <w:p w14:paraId="25164A91" w14:textId="77777777" w:rsidR="0002571C" w:rsidRPr="0002571C" w:rsidRDefault="0002571C" w:rsidP="0002571C">
      <w:pPr>
        <w:spacing w:after="360" w:line="360" w:lineRule="auto"/>
        <w:ind w:right="-159"/>
        <w:jc w:val="both"/>
        <w:rPr>
          <w:sz w:val="26"/>
          <w:szCs w:val="26"/>
        </w:rPr>
      </w:pPr>
      <w:r w:rsidRPr="0002571C">
        <w:rPr>
          <w:sz w:val="26"/>
          <w:szCs w:val="26"/>
        </w:rPr>
        <w:lastRenderedPageBreak/>
        <w:t>Al incorporar la información de diciembre de 2014, el Indicador Coincidente observó un comportamiento similar al publicado el mes precedente. Esto se puede apreciar en la siguiente gráfica.</w:t>
      </w:r>
    </w:p>
    <w:p w14:paraId="633761C2" w14:textId="77611680" w:rsidR="0002571C" w:rsidRPr="0002571C" w:rsidRDefault="00402217" w:rsidP="00402217">
      <w:pPr>
        <w:spacing w:after="360" w:line="360" w:lineRule="auto"/>
        <w:ind w:right="-159"/>
        <w:jc w:val="center"/>
        <w:rPr>
          <w:sz w:val="26"/>
          <w:szCs w:val="26"/>
        </w:rPr>
      </w:pPr>
      <w:r w:rsidRPr="00402217">
        <w:rPr>
          <w:rFonts w:ascii="Calibri" w:eastAsia="Calibri" w:hAnsi="Calibri"/>
          <w:sz w:val="22"/>
          <w:szCs w:val="22"/>
          <w:lang w:eastAsia="en-US"/>
        </w:rPr>
        <w:fldChar w:fldCharType="begin"/>
      </w:r>
      <w:r w:rsidRPr="00402217">
        <w:rPr>
          <w:rFonts w:ascii="Calibri" w:eastAsia="Calibri" w:hAnsi="Calibri"/>
          <w:sz w:val="22"/>
          <w:szCs w:val="22"/>
          <w:lang w:eastAsia="en-US"/>
        </w:rPr>
        <w:instrText xml:space="preserve"> LINK PowerPoint.Slide.8 "D:\\2015\\MARZO 2014\\GRÁFICAS EN POWER POINT\\11.- GRÁFICAS DE IND. CÍCLICOS.pptx!257" "" \a \p </w:instrText>
      </w:r>
      <w:r w:rsidRPr="00402217">
        <w:rPr>
          <w:rFonts w:ascii="Calibri" w:eastAsia="Calibri" w:hAnsi="Calibri"/>
          <w:sz w:val="22"/>
          <w:szCs w:val="22"/>
          <w:lang w:eastAsia="en-US"/>
        </w:rPr>
        <w:fldChar w:fldCharType="separate"/>
      </w:r>
      <w:r w:rsidRPr="00402217">
        <w:rPr>
          <w:rFonts w:ascii="Calibri" w:eastAsia="Calibri" w:hAnsi="Calibri"/>
          <w:noProof/>
          <w:sz w:val="22"/>
          <w:szCs w:val="22"/>
          <w:lang w:eastAsia="es-MX"/>
        </w:rPr>
        <w:drawing>
          <wp:inline distT="0" distB="0" distL="0" distR="0" wp14:anchorId="238549C0" wp14:editId="5322C15E">
            <wp:extent cx="4312285" cy="3169285"/>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4"/>
                    <pic:cNvPicPr>
                      <a:picLocks noChangeAspect="1" noChangeArrowheads="1"/>
                    </pic:cNvPicPr>
                  </pic:nvPicPr>
                  <pic:blipFill>
                    <a:blip r:embed="rId49" cstate="print">
                      <a:extLst>
                        <a:ext uri="{28A0092B-C50C-407E-A947-70E740481C1C}">
                          <a14:useLocalDpi xmlns:a14="http://schemas.microsoft.com/office/drawing/2010/main" val="0"/>
                        </a:ext>
                      </a:extLst>
                    </a:blip>
                    <a:srcRect l="3967" r="1462" b="7500"/>
                    <a:stretch>
                      <a:fillRect/>
                    </a:stretch>
                  </pic:blipFill>
                  <pic:spPr bwMode="auto">
                    <a:xfrm>
                      <a:off x="0" y="0"/>
                      <a:ext cx="4312285" cy="3169285"/>
                    </a:xfrm>
                    <a:prstGeom prst="rect">
                      <a:avLst/>
                    </a:prstGeom>
                    <a:noFill/>
                    <a:ln>
                      <a:noFill/>
                    </a:ln>
                  </pic:spPr>
                </pic:pic>
              </a:graphicData>
            </a:graphic>
          </wp:inline>
        </w:drawing>
      </w:r>
      <w:r w:rsidRPr="00402217">
        <w:rPr>
          <w:rFonts w:ascii="Calibri" w:eastAsia="Calibri" w:hAnsi="Calibri"/>
          <w:sz w:val="22"/>
          <w:szCs w:val="22"/>
          <w:lang w:eastAsia="en-US"/>
        </w:rPr>
        <w:fldChar w:fldCharType="end"/>
      </w:r>
    </w:p>
    <w:p w14:paraId="5EAE3B72" w14:textId="77777777" w:rsidR="0002571C" w:rsidRPr="0002571C" w:rsidRDefault="0002571C" w:rsidP="0002571C">
      <w:pPr>
        <w:spacing w:after="360" w:line="360" w:lineRule="auto"/>
        <w:ind w:right="-159"/>
        <w:jc w:val="both"/>
        <w:rPr>
          <w:b/>
          <w:sz w:val="26"/>
          <w:szCs w:val="26"/>
        </w:rPr>
      </w:pPr>
      <w:r w:rsidRPr="0002571C">
        <w:rPr>
          <w:b/>
          <w:sz w:val="26"/>
          <w:szCs w:val="26"/>
        </w:rPr>
        <w:t xml:space="preserve">Indicador Adelantado </w:t>
      </w:r>
    </w:p>
    <w:p w14:paraId="5D2B7ACD" w14:textId="77777777" w:rsidR="0002571C" w:rsidRPr="0002571C" w:rsidRDefault="0002571C" w:rsidP="0002571C">
      <w:pPr>
        <w:spacing w:after="360" w:line="360" w:lineRule="auto"/>
        <w:ind w:right="-159"/>
        <w:jc w:val="both"/>
        <w:rPr>
          <w:sz w:val="26"/>
          <w:szCs w:val="26"/>
        </w:rPr>
      </w:pPr>
      <w:r w:rsidRPr="0002571C">
        <w:rPr>
          <w:sz w:val="26"/>
          <w:szCs w:val="26"/>
        </w:rPr>
        <w:t>En el último mes de 2014, el Indicador Adelantado se posicionó ligeramente por arriba de su tendencia de largo plazo al observar un valor de 100.1 puntos y una disminución de 0.09 puntos con relación al mes anterior.</w:t>
      </w:r>
    </w:p>
    <w:p w14:paraId="6812E403" w14:textId="77777777" w:rsidR="0002571C" w:rsidRDefault="0002571C" w:rsidP="0002571C">
      <w:pPr>
        <w:spacing w:after="360" w:line="360" w:lineRule="auto"/>
        <w:ind w:right="-159"/>
        <w:jc w:val="both"/>
        <w:rPr>
          <w:sz w:val="26"/>
          <w:szCs w:val="26"/>
        </w:rPr>
      </w:pPr>
      <w:r w:rsidRPr="0002571C">
        <w:rPr>
          <w:sz w:val="26"/>
          <w:szCs w:val="26"/>
        </w:rPr>
        <w:t>La cifra oportuna del Indicador Adelantado para enero de 2015, indica que éste se localiza en el nivel de su tendencia de largo plazo al registrar un valor de 100.0 puntos y una reducción de 0.07 puntos con respecto al pasado mes de diciembre.</w:t>
      </w:r>
    </w:p>
    <w:p w14:paraId="742AD0F5" w14:textId="77777777" w:rsidR="00E53D8D" w:rsidRDefault="00E53D8D" w:rsidP="0002571C">
      <w:pPr>
        <w:spacing w:after="360" w:line="360" w:lineRule="auto"/>
        <w:ind w:right="-159"/>
        <w:jc w:val="both"/>
        <w:rPr>
          <w:sz w:val="26"/>
          <w:szCs w:val="26"/>
        </w:rPr>
      </w:pPr>
    </w:p>
    <w:p w14:paraId="299F3094" w14:textId="77777777" w:rsidR="00E53D8D" w:rsidRPr="0002571C" w:rsidRDefault="00E53D8D" w:rsidP="0002571C">
      <w:pPr>
        <w:spacing w:after="360" w:line="360" w:lineRule="auto"/>
        <w:ind w:right="-159"/>
        <w:jc w:val="both"/>
        <w:rPr>
          <w:sz w:val="26"/>
          <w:szCs w:val="26"/>
        </w:rPr>
      </w:pPr>
    </w:p>
    <w:tbl>
      <w:tblPr>
        <w:tblW w:w="9606" w:type="dxa"/>
        <w:jc w:val="center"/>
        <w:tblLayout w:type="fixed"/>
        <w:tblLook w:val="04A0" w:firstRow="1" w:lastRow="0" w:firstColumn="1" w:lastColumn="0" w:noHBand="0" w:noVBand="1"/>
      </w:tblPr>
      <w:tblGrid>
        <w:gridCol w:w="709"/>
        <w:gridCol w:w="806"/>
        <w:gridCol w:w="712"/>
        <w:gridCol w:w="750"/>
        <w:gridCol w:w="811"/>
        <w:gridCol w:w="748"/>
        <w:gridCol w:w="709"/>
        <w:gridCol w:w="673"/>
        <w:gridCol w:w="745"/>
        <w:gridCol w:w="708"/>
        <w:gridCol w:w="709"/>
        <w:gridCol w:w="709"/>
        <w:gridCol w:w="817"/>
      </w:tblGrid>
      <w:tr w:rsidR="0002571C" w:rsidRPr="0002571C" w14:paraId="01A8F05B" w14:textId="77777777" w:rsidTr="0002571C">
        <w:trPr>
          <w:jc w:val="center"/>
        </w:trPr>
        <w:tc>
          <w:tcPr>
            <w:tcW w:w="9606" w:type="dxa"/>
            <w:gridSpan w:val="13"/>
            <w:tcBorders>
              <w:top w:val="nil"/>
              <w:left w:val="nil"/>
              <w:bottom w:val="single" w:sz="4" w:space="0" w:color="auto"/>
              <w:right w:val="nil"/>
            </w:tcBorders>
          </w:tcPr>
          <w:p w14:paraId="37C22341" w14:textId="77777777" w:rsidR="0002571C" w:rsidRPr="0002571C" w:rsidRDefault="0002571C" w:rsidP="0002571C">
            <w:pPr>
              <w:tabs>
                <w:tab w:val="left" w:pos="1250"/>
              </w:tabs>
              <w:ind w:right="57"/>
              <w:jc w:val="center"/>
              <w:rPr>
                <w:b/>
                <w:sz w:val="22"/>
                <w:szCs w:val="22"/>
              </w:rPr>
            </w:pPr>
            <w:r w:rsidRPr="0002571C">
              <w:rPr>
                <w:b/>
                <w:sz w:val="22"/>
                <w:szCs w:val="22"/>
              </w:rPr>
              <w:lastRenderedPageBreak/>
              <w:t>INDICADOR ADELANTADO</w:t>
            </w:r>
          </w:p>
          <w:p w14:paraId="2DCF3820" w14:textId="77777777" w:rsidR="0002571C" w:rsidRPr="0002571C" w:rsidRDefault="0002571C" w:rsidP="0002571C">
            <w:pPr>
              <w:tabs>
                <w:tab w:val="left" w:pos="1250"/>
              </w:tabs>
              <w:ind w:right="57"/>
              <w:jc w:val="center"/>
              <w:rPr>
                <w:b/>
                <w:sz w:val="22"/>
                <w:szCs w:val="22"/>
              </w:rPr>
            </w:pPr>
            <w:r w:rsidRPr="0002571C">
              <w:rPr>
                <w:b/>
                <w:sz w:val="22"/>
                <w:szCs w:val="22"/>
              </w:rPr>
              <w:t>-Diferencia en puntos respecto al mes inmediato anterior-</w:t>
            </w:r>
          </w:p>
        </w:tc>
      </w:tr>
      <w:tr w:rsidR="0002571C" w:rsidRPr="0002571C" w14:paraId="20695EE8" w14:textId="77777777" w:rsidTr="0002571C">
        <w:trPr>
          <w:jc w:val="center"/>
        </w:trPr>
        <w:tc>
          <w:tcPr>
            <w:tcW w:w="8789" w:type="dxa"/>
            <w:gridSpan w:val="12"/>
            <w:tcBorders>
              <w:top w:val="single" w:sz="4" w:space="0" w:color="auto"/>
              <w:left w:val="single" w:sz="4" w:space="0" w:color="auto"/>
              <w:bottom w:val="single" w:sz="4" w:space="0" w:color="auto"/>
              <w:right w:val="single" w:sz="4" w:space="0" w:color="auto"/>
            </w:tcBorders>
          </w:tcPr>
          <w:p w14:paraId="49198689" w14:textId="77777777" w:rsidR="0002571C" w:rsidRPr="0002571C" w:rsidRDefault="0002571C" w:rsidP="0002571C">
            <w:pPr>
              <w:tabs>
                <w:tab w:val="left" w:pos="1250"/>
              </w:tabs>
              <w:ind w:right="57"/>
              <w:jc w:val="center"/>
              <w:rPr>
                <w:b/>
                <w:sz w:val="20"/>
                <w:szCs w:val="20"/>
              </w:rPr>
            </w:pPr>
            <w:r w:rsidRPr="0002571C">
              <w:rPr>
                <w:b/>
                <w:sz w:val="20"/>
                <w:szCs w:val="20"/>
              </w:rPr>
              <w:t>2014</w:t>
            </w:r>
          </w:p>
        </w:tc>
        <w:tc>
          <w:tcPr>
            <w:tcW w:w="817" w:type="dxa"/>
            <w:tcBorders>
              <w:top w:val="single" w:sz="4" w:space="0" w:color="auto"/>
              <w:left w:val="single" w:sz="4" w:space="0" w:color="auto"/>
              <w:bottom w:val="single" w:sz="4" w:space="0" w:color="auto"/>
              <w:right w:val="single" w:sz="4" w:space="0" w:color="auto"/>
            </w:tcBorders>
          </w:tcPr>
          <w:p w14:paraId="734B0771" w14:textId="77777777" w:rsidR="0002571C" w:rsidRPr="0002571C" w:rsidRDefault="0002571C" w:rsidP="0002571C">
            <w:pPr>
              <w:tabs>
                <w:tab w:val="left" w:pos="1250"/>
              </w:tabs>
              <w:ind w:right="57"/>
              <w:jc w:val="center"/>
              <w:rPr>
                <w:b/>
                <w:sz w:val="20"/>
                <w:szCs w:val="20"/>
              </w:rPr>
            </w:pPr>
            <w:r w:rsidRPr="0002571C">
              <w:rPr>
                <w:b/>
                <w:sz w:val="20"/>
                <w:szCs w:val="20"/>
              </w:rPr>
              <w:t>2015</w:t>
            </w:r>
          </w:p>
        </w:tc>
      </w:tr>
      <w:tr w:rsidR="0002571C" w:rsidRPr="0002571C" w14:paraId="09C60661" w14:textId="77777777" w:rsidTr="0002571C">
        <w:trPr>
          <w:jc w:val="center"/>
        </w:trPr>
        <w:tc>
          <w:tcPr>
            <w:tcW w:w="709" w:type="dxa"/>
            <w:tcBorders>
              <w:top w:val="single" w:sz="4" w:space="0" w:color="auto"/>
              <w:left w:val="single" w:sz="4" w:space="0" w:color="auto"/>
              <w:bottom w:val="single" w:sz="4" w:space="0" w:color="auto"/>
              <w:right w:val="single" w:sz="4" w:space="0" w:color="auto"/>
            </w:tcBorders>
          </w:tcPr>
          <w:p w14:paraId="056AB0A5" w14:textId="77777777" w:rsidR="0002571C" w:rsidRPr="0002571C" w:rsidRDefault="0002571C" w:rsidP="0002571C">
            <w:pPr>
              <w:tabs>
                <w:tab w:val="left" w:pos="1250"/>
              </w:tabs>
              <w:ind w:right="57"/>
              <w:jc w:val="center"/>
              <w:rPr>
                <w:b/>
                <w:sz w:val="20"/>
                <w:szCs w:val="20"/>
              </w:rPr>
            </w:pPr>
            <w:r w:rsidRPr="0002571C">
              <w:rPr>
                <w:b/>
                <w:sz w:val="20"/>
                <w:szCs w:val="20"/>
              </w:rPr>
              <w:t>Ene.</w:t>
            </w:r>
          </w:p>
        </w:tc>
        <w:tc>
          <w:tcPr>
            <w:tcW w:w="806" w:type="dxa"/>
            <w:tcBorders>
              <w:top w:val="single" w:sz="4" w:space="0" w:color="auto"/>
              <w:left w:val="single" w:sz="4" w:space="0" w:color="auto"/>
              <w:bottom w:val="single" w:sz="4" w:space="0" w:color="auto"/>
              <w:right w:val="single" w:sz="4" w:space="0" w:color="auto"/>
            </w:tcBorders>
          </w:tcPr>
          <w:p w14:paraId="69074C8E" w14:textId="77777777" w:rsidR="0002571C" w:rsidRPr="0002571C" w:rsidRDefault="0002571C" w:rsidP="0002571C">
            <w:pPr>
              <w:tabs>
                <w:tab w:val="left" w:pos="1250"/>
              </w:tabs>
              <w:ind w:right="57"/>
              <w:jc w:val="center"/>
              <w:rPr>
                <w:b/>
                <w:sz w:val="20"/>
                <w:szCs w:val="20"/>
              </w:rPr>
            </w:pPr>
            <w:r w:rsidRPr="0002571C">
              <w:rPr>
                <w:b/>
                <w:sz w:val="20"/>
                <w:szCs w:val="20"/>
              </w:rPr>
              <w:t>Feb.</w:t>
            </w:r>
          </w:p>
        </w:tc>
        <w:tc>
          <w:tcPr>
            <w:tcW w:w="712" w:type="dxa"/>
            <w:tcBorders>
              <w:top w:val="single" w:sz="4" w:space="0" w:color="auto"/>
              <w:left w:val="single" w:sz="4" w:space="0" w:color="auto"/>
              <w:bottom w:val="single" w:sz="4" w:space="0" w:color="auto"/>
              <w:right w:val="single" w:sz="4" w:space="0" w:color="auto"/>
            </w:tcBorders>
          </w:tcPr>
          <w:p w14:paraId="5810E0A4" w14:textId="77777777" w:rsidR="0002571C" w:rsidRPr="0002571C" w:rsidRDefault="0002571C" w:rsidP="0002571C">
            <w:pPr>
              <w:tabs>
                <w:tab w:val="left" w:pos="1250"/>
              </w:tabs>
              <w:ind w:right="57"/>
              <w:jc w:val="center"/>
              <w:rPr>
                <w:b/>
                <w:sz w:val="20"/>
                <w:szCs w:val="20"/>
              </w:rPr>
            </w:pPr>
            <w:r w:rsidRPr="0002571C">
              <w:rPr>
                <w:b/>
                <w:sz w:val="20"/>
                <w:szCs w:val="20"/>
              </w:rPr>
              <w:t>Mar.</w:t>
            </w:r>
          </w:p>
        </w:tc>
        <w:tc>
          <w:tcPr>
            <w:tcW w:w="750" w:type="dxa"/>
            <w:tcBorders>
              <w:top w:val="single" w:sz="4" w:space="0" w:color="auto"/>
              <w:left w:val="single" w:sz="4" w:space="0" w:color="auto"/>
              <w:bottom w:val="single" w:sz="4" w:space="0" w:color="auto"/>
              <w:right w:val="single" w:sz="4" w:space="0" w:color="auto"/>
            </w:tcBorders>
          </w:tcPr>
          <w:p w14:paraId="1A86D37D" w14:textId="77777777" w:rsidR="0002571C" w:rsidRPr="0002571C" w:rsidRDefault="0002571C" w:rsidP="0002571C">
            <w:pPr>
              <w:tabs>
                <w:tab w:val="left" w:pos="1250"/>
              </w:tabs>
              <w:ind w:right="57"/>
              <w:jc w:val="center"/>
              <w:rPr>
                <w:b/>
                <w:sz w:val="20"/>
                <w:szCs w:val="20"/>
              </w:rPr>
            </w:pPr>
            <w:r w:rsidRPr="0002571C">
              <w:rPr>
                <w:b/>
                <w:sz w:val="20"/>
                <w:szCs w:val="20"/>
              </w:rPr>
              <w:t>Abr.</w:t>
            </w:r>
          </w:p>
        </w:tc>
        <w:tc>
          <w:tcPr>
            <w:tcW w:w="811" w:type="dxa"/>
            <w:tcBorders>
              <w:top w:val="single" w:sz="4" w:space="0" w:color="auto"/>
              <w:left w:val="single" w:sz="4" w:space="0" w:color="auto"/>
              <w:bottom w:val="single" w:sz="4" w:space="0" w:color="auto"/>
              <w:right w:val="single" w:sz="4" w:space="0" w:color="auto"/>
            </w:tcBorders>
          </w:tcPr>
          <w:p w14:paraId="416C2911" w14:textId="77777777" w:rsidR="0002571C" w:rsidRPr="0002571C" w:rsidRDefault="0002571C" w:rsidP="0002571C">
            <w:pPr>
              <w:tabs>
                <w:tab w:val="left" w:pos="1250"/>
              </w:tabs>
              <w:ind w:right="57"/>
              <w:jc w:val="center"/>
              <w:rPr>
                <w:b/>
                <w:sz w:val="20"/>
                <w:szCs w:val="20"/>
              </w:rPr>
            </w:pPr>
            <w:r w:rsidRPr="0002571C">
              <w:rPr>
                <w:b/>
                <w:sz w:val="20"/>
                <w:szCs w:val="20"/>
              </w:rPr>
              <w:t>May.</w:t>
            </w:r>
          </w:p>
        </w:tc>
        <w:tc>
          <w:tcPr>
            <w:tcW w:w="748" w:type="dxa"/>
            <w:tcBorders>
              <w:top w:val="single" w:sz="4" w:space="0" w:color="auto"/>
              <w:left w:val="single" w:sz="4" w:space="0" w:color="auto"/>
              <w:bottom w:val="single" w:sz="4" w:space="0" w:color="auto"/>
              <w:right w:val="single" w:sz="4" w:space="0" w:color="auto"/>
            </w:tcBorders>
          </w:tcPr>
          <w:p w14:paraId="6D705607" w14:textId="77777777" w:rsidR="0002571C" w:rsidRPr="0002571C" w:rsidRDefault="0002571C" w:rsidP="0002571C">
            <w:pPr>
              <w:tabs>
                <w:tab w:val="left" w:pos="1250"/>
              </w:tabs>
              <w:ind w:right="57"/>
              <w:jc w:val="center"/>
              <w:rPr>
                <w:b/>
                <w:sz w:val="20"/>
                <w:szCs w:val="20"/>
              </w:rPr>
            </w:pPr>
            <w:r w:rsidRPr="0002571C">
              <w:rPr>
                <w:b/>
                <w:sz w:val="20"/>
                <w:szCs w:val="20"/>
              </w:rPr>
              <w:t>Jun.</w:t>
            </w:r>
          </w:p>
        </w:tc>
        <w:tc>
          <w:tcPr>
            <w:tcW w:w="709" w:type="dxa"/>
            <w:tcBorders>
              <w:top w:val="single" w:sz="4" w:space="0" w:color="auto"/>
              <w:left w:val="single" w:sz="4" w:space="0" w:color="auto"/>
              <w:bottom w:val="single" w:sz="4" w:space="0" w:color="auto"/>
              <w:right w:val="single" w:sz="4" w:space="0" w:color="auto"/>
            </w:tcBorders>
          </w:tcPr>
          <w:p w14:paraId="09A1371E" w14:textId="77777777" w:rsidR="0002571C" w:rsidRPr="0002571C" w:rsidRDefault="0002571C" w:rsidP="0002571C">
            <w:pPr>
              <w:tabs>
                <w:tab w:val="left" w:pos="1250"/>
              </w:tabs>
              <w:ind w:right="57"/>
              <w:jc w:val="center"/>
              <w:rPr>
                <w:b/>
                <w:sz w:val="20"/>
                <w:szCs w:val="20"/>
              </w:rPr>
            </w:pPr>
            <w:r w:rsidRPr="0002571C">
              <w:rPr>
                <w:b/>
                <w:sz w:val="20"/>
                <w:szCs w:val="20"/>
              </w:rPr>
              <w:t>Jul.</w:t>
            </w:r>
          </w:p>
        </w:tc>
        <w:tc>
          <w:tcPr>
            <w:tcW w:w="673" w:type="dxa"/>
            <w:tcBorders>
              <w:top w:val="single" w:sz="4" w:space="0" w:color="auto"/>
              <w:left w:val="single" w:sz="4" w:space="0" w:color="auto"/>
              <w:bottom w:val="single" w:sz="4" w:space="0" w:color="auto"/>
              <w:right w:val="single" w:sz="4" w:space="0" w:color="auto"/>
            </w:tcBorders>
          </w:tcPr>
          <w:p w14:paraId="08CC3505" w14:textId="77777777" w:rsidR="0002571C" w:rsidRPr="0002571C" w:rsidRDefault="0002571C" w:rsidP="0002571C">
            <w:pPr>
              <w:tabs>
                <w:tab w:val="left" w:pos="1250"/>
              </w:tabs>
              <w:ind w:right="57"/>
              <w:jc w:val="center"/>
              <w:rPr>
                <w:b/>
                <w:sz w:val="20"/>
                <w:szCs w:val="20"/>
              </w:rPr>
            </w:pPr>
            <w:r w:rsidRPr="0002571C">
              <w:rPr>
                <w:b/>
                <w:sz w:val="20"/>
                <w:szCs w:val="20"/>
              </w:rPr>
              <w:t>Ago.</w:t>
            </w:r>
          </w:p>
        </w:tc>
        <w:tc>
          <w:tcPr>
            <w:tcW w:w="745" w:type="dxa"/>
            <w:tcBorders>
              <w:top w:val="single" w:sz="4" w:space="0" w:color="auto"/>
              <w:left w:val="single" w:sz="4" w:space="0" w:color="auto"/>
              <w:bottom w:val="single" w:sz="4" w:space="0" w:color="auto"/>
              <w:right w:val="single" w:sz="4" w:space="0" w:color="auto"/>
            </w:tcBorders>
          </w:tcPr>
          <w:p w14:paraId="1D1AC05C" w14:textId="77777777" w:rsidR="0002571C" w:rsidRPr="0002571C" w:rsidRDefault="0002571C" w:rsidP="0002571C">
            <w:pPr>
              <w:tabs>
                <w:tab w:val="left" w:pos="1250"/>
              </w:tabs>
              <w:ind w:right="57"/>
              <w:jc w:val="center"/>
              <w:rPr>
                <w:b/>
                <w:sz w:val="20"/>
                <w:szCs w:val="20"/>
              </w:rPr>
            </w:pPr>
            <w:r w:rsidRPr="0002571C">
              <w:rPr>
                <w:b/>
                <w:sz w:val="20"/>
                <w:szCs w:val="20"/>
              </w:rPr>
              <w:t>Sep.</w:t>
            </w:r>
          </w:p>
        </w:tc>
        <w:tc>
          <w:tcPr>
            <w:tcW w:w="708" w:type="dxa"/>
            <w:tcBorders>
              <w:top w:val="single" w:sz="4" w:space="0" w:color="auto"/>
              <w:left w:val="single" w:sz="4" w:space="0" w:color="auto"/>
              <w:bottom w:val="single" w:sz="4" w:space="0" w:color="auto"/>
              <w:right w:val="single" w:sz="4" w:space="0" w:color="auto"/>
            </w:tcBorders>
          </w:tcPr>
          <w:p w14:paraId="26523E19" w14:textId="77777777" w:rsidR="0002571C" w:rsidRPr="0002571C" w:rsidRDefault="0002571C" w:rsidP="0002571C">
            <w:pPr>
              <w:tabs>
                <w:tab w:val="left" w:pos="1250"/>
              </w:tabs>
              <w:ind w:right="57"/>
              <w:jc w:val="center"/>
              <w:rPr>
                <w:b/>
                <w:sz w:val="20"/>
                <w:szCs w:val="20"/>
              </w:rPr>
            </w:pPr>
            <w:r w:rsidRPr="0002571C">
              <w:rPr>
                <w:b/>
                <w:sz w:val="20"/>
                <w:szCs w:val="20"/>
              </w:rPr>
              <w:t>Oct.</w:t>
            </w:r>
          </w:p>
        </w:tc>
        <w:tc>
          <w:tcPr>
            <w:tcW w:w="709" w:type="dxa"/>
            <w:tcBorders>
              <w:top w:val="single" w:sz="4" w:space="0" w:color="auto"/>
              <w:left w:val="single" w:sz="4" w:space="0" w:color="auto"/>
              <w:bottom w:val="single" w:sz="4" w:space="0" w:color="auto"/>
              <w:right w:val="single" w:sz="4" w:space="0" w:color="auto"/>
            </w:tcBorders>
          </w:tcPr>
          <w:p w14:paraId="3C251328" w14:textId="77777777" w:rsidR="0002571C" w:rsidRPr="0002571C" w:rsidRDefault="0002571C" w:rsidP="0002571C">
            <w:pPr>
              <w:tabs>
                <w:tab w:val="left" w:pos="1250"/>
              </w:tabs>
              <w:ind w:right="57"/>
              <w:jc w:val="center"/>
              <w:rPr>
                <w:b/>
                <w:sz w:val="20"/>
                <w:szCs w:val="20"/>
              </w:rPr>
            </w:pPr>
            <w:r w:rsidRPr="0002571C">
              <w:rPr>
                <w:b/>
                <w:sz w:val="20"/>
                <w:szCs w:val="20"/>
              </w:rPr>
              <w:t>Nov.</w:t>
            </w:r>
          </w:p>
        </w:tc>
        <w:tc>
          <w:tcPr>
            <w:tcW w:w="709" w:type="dxa"/>
            <w:tcBorders>
              <w:top w:val="single" w:sz="4" w:space="0" w:color="auto"/>
              <w:left w:val="single" w:sz="4" w:space="0" w:color="auto"/>
              <w:bottom w:val="single" w:sz="4" w:space="0" w:color="auto"/>
              <w:right w:val="single" w:sz="4" w:space="0" w:color="auto"/>
            </w:tcBorders>
          </w:tcPr>
          <w:p w14:paraId="755CC9B5" w14:textId="77777777" w:rsidR="0002571C" w:rsidRPr="0002571C" w:rsidRDefault="0002571C" w:rsidP="0002571C">
            <w:pPr>
              <w:tabs>
                <w:tab w:val="left" w:pos="1250"/>
              </w:tabs>
              <w:ind w:right="57"/>
              <w:jc w:val="center"/>
              <w:rPr>
                <w:b/>
                <w:sz w:val="20"/>
                <w:szCs w:val="20"/>
              </w:rPr>
            </w:pPr>
            <w:r w:rsidRPr="0002571C">
              <w:rPr>
                <w:b/>
                <w:sz w:val="20"/>
                <w:szCs w:val="20"/>
              </w:rPr>
              <w:t>Dic.</w:t>
            </w:r>
          </w:p>
        </w:tc>
        <w:tc>
          <w:tcPr>
            <w:tcW w:w="817" w:type="dxa"/>
            <w:tcBorders>
              <w:top w:val="single" w:sz="4" w:space="0" w:color="auto"/>
              <w:left w:val="single" w:sz="4" w:space="0" w:color="auto"/>
              <w:bottom w:val="single" w:sz="4" w:space="0" w:color="auto"/>
              <w:right w:val="single" w:sz="4" w:space="0" w:color="auto"/>
            </w:tcBorders>
          </w:tcPr>
          <w:p w14:paraId="03B31F57" w14:textId="77777777" w:rsidR="0002571C" w:rsidRPr="0002571C" w:rsidRDefault="0002571C" w:rsidP="0002571C">
            <w:pPr>
              <w:tabs>
                <w:tab w:val="left" w:pos="1250"/>
              </w:tabs>
              <w:ind w:right="57"/>
              <w:jc w:val="center"/>
              <w:rPr>
                <w:b/>
                <w:sz w:val="20"/>
                <w:szCs w:val="20"/>
              </w:rPr>
            </w:pPr>
            <w:r w:rsidRPr="0002571C">
              <w:rPr>
                <w:b/>
                <w:sz w:val="20"/>
                <w:szCs w:val="20"/>
              </w:rPr>
              <w:t>Ene.</w:t>
            </w:r>
            <w:r w:rsidRPr="0002571C">
              <w:rPr>
                <w:b/>
                <w:sz w:val="20"/>
                <w:szCs w:val="20"/>
                <w:u w:val="single"/>
                <w:vertAlign w:val="superscript"/>
              </w:rPr>
              <w:t>o</w:t>
            </w:r>
            <w:r w:rsidRPr="0002571C">
              <w:rPr>
                <w:b/>
                <w:sz w:val="20"/>
                <w:szCs w:val="20"/>
                <w:vertAlign w:val="superscript"/>
              </w:rPr>
              <w:t>/</w:t>
            </w:r>
          </w:p>
        </w:tc>
      </w:tr>
      <w:tr w:rsidR="0002571C" w:rsidRPr="0002571C" w14:paraId="1C87D4E3" w14:textId="77777777" w:rsidTr="0002571C">
        <w:trPr>
          <w:jc w:val="center"/>
        </w:trPr>
        <w:tc>
          <w:tcPr>
            <w:tcW w:w="709" w:type="dxa"/>
            <w:tcBorders>
              <w:top w:val="single" w:sz="4" w:space="0" w:color="auto"/>
              <w:left w:val="single" w:sz="4" w:space="0" w:color="auto"/>
              <w:bottom w:val="single" w:sz="4" w:space="0" w:color="auto"/>
              <w:right w:val="single" w:sz="4" w:space="0" w:color="auto"/>
            </w:tcBorders>
          </w:tcPr>
          <w:p w14:paraId="0CEF6C71" w14:textId="77777777" w:rsidR="0002571C" w:rsidRPr="0002571C" w:rsidRDefault="0002571C" w:rsidP="0002571C">
            <w:pPr>
              <w:tabs>
                <w:tab w:val="left" w:pos="1250"/>
              </w:tabs>
              <w:ind w:right="57"/>
              <w:jc w:val="center"/>
              <w:rPr>
                <w:sz w:val="20"/>
                <w:szCs w:val="20"/>
              </w:rPr>
            </w:pPr>
            <w:r w:rsidRPr="0002571C">
              <w:rPr>
                <w:sz w:val="20"/>
                <w:szCs w:val="20"/>
              </w:rPr>
              <w:t>-0.04</w:t>
            </w:r>
          </w:p>
        </w:tc>
        <w:tc>
          <w:tcPr>
            <w:tcW w:w="806" w:type="dxa"/>
            <w:tcBorders>
              <w:top w:val="single" w:sz="4" w:space="0" w:color="auto"/>
              <w:left w:val="single" w:sz="4" w:space="0" w:color="auto"/>
              <w:bottom w:val="single" w:sz="4" w:space="0" w:color="auto"/>
              <w:right w:val="single" w:sz="4" w:space="0" w:color="auto"/>
            </w:tcBorders>
          </w:tcPr>
          <w:p w14:paraId="581FDD2D" w14:textId="77777777" w:rsidR="0002571C" w:rsidRPr="0002571C" w:rsidRDefault="0002571C" w:rsidP="0002571C">
            <w:pPr>
              <w:tabs>
                <w:tab w:val="left" w:pos="1250"/>
              </w:tabs>
              <w:ind w:right="57"/>
              <w:jc w:val="center"/>
              <w:rPr>
                <w:sz w:val="20"/>
                <w:szCs w:val="20"/>
              </w:rPr>
            </w:pPr>
            <w:r w:rsidRPr="0002571C">
              <w:rPr>
                <w:sz w:val="20"/>
                <w:szCs w:val="20"/>
              </w:rPr>
              <w:t>-0.02</w:t>
            </w:r>
          </w:p>
        </w:tc>
        <w:tc>
          <w:tcPr>
            <w:tcW w:w="712" w:type="dxa"/>
            <w:tcBorders>
              <w:top w:val="single" w:sz="4" w:space="0" w:color="auto"/>
              <w:left w:val="single" w:sz="4" w:space="0" w:color="auto"/>
              <w:bottom w:val="single" w:sz="4" w:space="0" w:color="auto"/>
              <w:right w:val="single" w:sz="4" w:space="0" w:color="auto"/>
            </w:tcBorders>
          </w:tcPr>
          <w:p w14:paraId="5974F50B" w14:textId="77777777" w:rsidR="0002571C" w:rsidRPr="0002571C" w:rsidRDefault="0002571C" w:rsidP="0002571C">
            <w:pPr>
              <w:tabs>
                <w:tab w:val="left" w:pos="1250"/>
              </w:tabs>
              <w:ind w:right="57"/>
              <w:jc w:val="center"/>
              <w:rPr>
                <w:sz w:val="20"/>
                <w:szCs w:val="20"/>
              </w:rPr>
            </w:pPr>
            <w:r w:rsidRPr="0002571C">
              <w:rPr>
                <w:sz w:val="20"/>
                <w:szCs w:val="20"/>
              </w:rPr>
              <w:t>0.03</w:t>
            </w:r>
          </w:p>
        </w:tc>
        <w:tc>
          <w:tcPr>
            <w:tcW w:w="750" w:type="dxa"/>
            <w:tcBorders>
              <w:top w:val="single" w:sz="4" w:space="0" w:color="auto"/>
              <w:left w:val="single" w:sz="4" w:space="0" w:color="auto"/>
              <w:bottom w:val="single" w:sz="4" w:space="0" w:color="auto"/>
              <w:right w:val="single" w:sz="4" w:space="0" w:color="auto"/>
            </w:tcBorders>
          </w:tcPr>
          <w:p w14:paraId="76E97DD6" w14:textId="77777777" w:rsidR="0002571C" w:rsidRPr="0002571C" w:rsidRDefault="0002571C" w:rsidP="0002571C">
            <w:pPr>
              <w:tabs>
                <w:tab w:val="left" w:pos="1250"/>
              </w:tabs>
              <w:ind w:right="57"/>
              <w:jc w:val="center"/>
              <w:rPr>
                <w:sz w:val="20"/>
                <w:szCs w:val="20"/>
              </w:rPr>
            </w:pPr>
            <w:r w:rsidRPr="0002571C">
              <w:rPr>
                <w:sz w:val="20"/>
                <w:szCs w:val="20"/>
              </w:rPr>
              <w:t>0.07</w:t>
            </w:r>
          </w:p>
        </w:tc>
        <w:tc>
          <w:tcPr>
            <w:tcW w:w="811" w:type="dxa"/>
            <w:tcBorders>
              <w:top w:val="single" w:sz="4" w:space="0" w:color="auto"/>
              <w:left w:val="single" w:sz="4" w:space="0" w:color="auto"/>
              <w:bottom w:val="single" w:sz="4" w:space="0" w:color="auto"/>
              <w:right w:val="single" w:sz="4" w:space="0" w:color="auto"/>
            </w:tcBorders>
          </w:tcPr>
          <w:p w14:paraId="768D6896" w14:textId="77777777" w:rsidR="0002571C" w:rsidRPr="0002571C" w:rsidRDefault="0002571C" w:rsidP="0002571C">
            <w:pPr>
              <w:tabs>
                <w:tab w:val="left" w:pos="1250"/>
              </w:tabs>
              <w:ind w:right="57"/>
              <w:jc w:val="center"/>
              <w:rPr>
                <w:sz w:val="20"/>
                <w:szCs w:val="20"/>
              </w:rPr>
            </w:pPr>
            <w:r w:rsidRPr="0002571C">
              <w:rPr>
                <w:sz w:val="20"/>
                <w:szCs w:val="20"/>
              </w:rPr>
              <w:t>0.10</w:t>
            </w:r>
          </w:p>
        </w:tc>
        <w:tc>
          <w:tcPr>
            <w:tcW w:w="748" w:type="dxa"/>
            <w:tcBorders>
              <w:top w:val="single" w:sz="4" w:space="0" w:color="auto"/>
              <w:left w:val="single" w:sz="4" w:space="0" w:color="auto"/>
              <w:bottom w:val="single" w:sz="4" w:space="0" w:color="auto"/>
              <w:right w:val="single" w:sz="4" w:space="0" w:color="auto"/>
            </w:tcBorders>
          </w:tcPr>
          <w:p w14:paraId="29F2276C" w14:textId="77777777" w:rsidR="0002571C" w:rsidRPr="0002571C" w:rsidRDefault="0002571C" w:rsidP="0002571C">
            <w:pPr>
              <w:tabs>
                <w:tab w:val="left" w:pos="1250"/>
              </w:tabs>
              <w:ind w:right="57"/>
              <w:jc w:val="center"/>
              <w:rPr>
                <w:sz w:val="20"/>
                <w:szCs w:val="20"/>
              </w:rPr>
            </w:pPr>
            <w:r w:rsidRPr="0002571C">
              <w:rPr>
                <w:sz w:val="20"/>
                <w:szCs w:val="20"/>
              </w:rPr>
              <w:t>0.11</w:t>
            </w:r>
          </w:p>
        </w:tc>
        <w:tc>
          <w:tcPr>
            <w:tcW w:w="709" w:type="dxa"/>
            <w:tcBorders>
              <w:top w:val="single" w:sz="4" w:space="0" w:color="auto"/>
              <w:left w:val="single" w:sz="4" w:space="0" w:color="auto"/>
              <w:bottom w:val="single" w:sz="4" w:space="0" w:color="auto"/>
              <w:right w:val="single" w:sz="4" w:space="0" w:color="auto"/>
            </w:tcBorders>
          </w:tcPr>
          <w:p w14:paraId="49DF277C" w14:textId="77777777" w:rsidR="0002571C" w:rsidRPr="0002571C" w:rsidRDefault="0002571C" w:rsidP="0002571C">
            <w:pPr>
              <w:tabs>
                <w:tab w:val="left" w:pos="1250"/>
              </w:tabs>
              <w:ind w:right="57"/>
              <w:jc w:val="center"/>
              <w:rPr>
                <w:sz w:val="20"/>
                <w:szCs w:val="20"/>
              </w:rPr>
            </w:pPr>
            <w:r w:rsidRPr="0002571C">
              <w:rPr>
                <w:sz w:val="20"/>
                <w:szCs w:val="20"/>
              </w:rPr>
              <w:t>0.10</w:t>
            </w:r>
          </w:p>
        </w:tc>
        <w:tc>
          <w:tcPr>
            <w:tcW w:w="673" w:type="dxa"/>
            <w:tcBorders>
              <w:top w:val="single" w:sz="4" w:space="0" w:color="auto"/>
              <w:left w:val="single" w:sz="4" w:space="0" w:color="auto"/>
              <w:bottom w:val="single" w:sz="4" w:space="0" w:color="auto"/>
              <w:right w:val="single" w:sz="4" w:space="0" w:color="auto"/>
            </w:tcBorders>
          </w:tcPr>
          <w:p w14:paraId="10FAA44E" w14:textId="77777777" w:rsidR="0002571C" w:rsidRPr="0002571C" w:rsidRDefault="0002571C" w:rsidP="0002571C">
            <w:pPr>
              <w:tabs>
                <w:tab w:val="left" w:pos="1250"/>
              </w:tabs>
              <w:ind w:right="57"/>
              <w:jc w:val="center"/>
              <w:rPr>
                <w:sz w:val="20"/>
                <w:szCs w:val="20"/>
              </w:rPr>
            </w:pPr>
            <w:r w:rsidRPr="0002571C">
              <w:rPr>
                <w:sz w:val="20"/>
                <w:szCs w:val="20"/>
              </w:rPr>
              <w:t>0.06</w:t>
            </w:r>
          </w:p>
        </w:tc>
        <w:tc>
          <w:tcPr>
            <w:tcW w:w="745" w:type="dxa"/>
            <w:tcBorders>
              <w:top w:val="single" w:sz="4" w:space="0" w:color="auto"/>
              <w:left w:val="single" w:sz="4" w:space="0" w:color="auto"/>
              <w:bottom w:val="single" w:sz="4" w:space="0" w:color="auto"/>
              <w:right w:val="single" w:sz="4" w:space="0" w:color="auto"/>
            </w:tcBorders>
          </w:tcPr>
          <w:p w14:paraId="7A7DF928" w14:textId="77777777" w:rsidR="0002571C" w:rsidRPr="0002571C" w:rsidRDefault="0002571C" w:rsidP="0002571C">
            <w:pPr>
              <w:tabs>
                <w:tab w:val="left" w:pos="1250"/>
              </w:tabs>
              <w:ind w:right="57"/>
              <w:jc w:val="center"/>
              <w:rPr>
                <w:sz w:val="20"/>
                <w:szCs w:val="20"/>
              </w:rPr>
            </w:pPr>
            <w:r w:rsidRPr="0002571C">
              <w:rPr>
                <w:sz w:val="20"/>
                <w:szCs w:val="20"/>
              </w:rPr>
              <w:t>0.02</w:t>
            </w:r>
          </w:p>
        </w:tc>
        <w:tc>
          <w:tcPr>
            <w:tcW w:w="708" w:type="dxa"/>
            <w:tcBorders>
              <w:top w:val="single" w:sz="4" w:space="0" w:color="auto"/>
              <w:left w:val="single" w:sz="4" w:space="0" w:color="auto"/>
              <w:bottom w:val="single" w:sz="4" w:space="0" w:color="auto"/>
              <w:right w:val="single" w:sz="4" w:space="0" w:color="auto"/>
            </w:tcBorders>
          </w:tcPr>
          <w:p w14:paraId="4DCC75E8" w14:textId="77777777" w:rsidR="0002571C" w:rsidRPr="0002571C" w:rsidRDefault="0002571C" w:rsidP="0002571C">
            <w:pPr>
              <w:tabs>
                <w:tab w:val="left" w:pos="1250"/>
              </w:tabs>
              <w:ind w:right="57"/>
              <w:jc w:val="center"/>
              <w:rPr>
                <w:sz w:val="20"/>
                <w:szCs w:val="20"/>
              </w:rPr>
            </w:pPr>
            <w:r w:rsidRPr="0002571C">
              <w:rPr>
                <w:sz w:val="20"/>
                <w:szCs w:val="20"/>
              </w:rPr>
              <w:t>-0.03</w:t>
            </w:r>
          </w:p>
        </w:tc>
        <w:tc>
          <w:tcPr>
            <w:tcW w:w="709" w:type="dxa"/>
            <w:tcBorders>
              <w:top w:val="single" w:sz="4" w:space="0" w:color="auto"/>
              <w:left w:val="single" w:sz="4" w:space="0" w:color="auto"/>
              <w:bottom w:val="single" w:sz="4" w:space="0" w:color="auto"/>
              <w:right w:val="single" w:sz="4" w:space="0" w:color="auto"/>
            </w:tcBorders>
          </w:tcPr>
          <w:p w14:paraId="37D42138" w14:textId="77777777" w:rsidR="0002571C" w:rsidRPr="0002571C" w:rsidRDefault="0002571C" w:rsidP="0002571C">
            <w:pPr>
              <w:tabs>
                <w:tab w:val="left" w:pos="1250"/>
              </w:tabs>
              <w:ind w:right="57"/>
              <w:jc w:val="center"/>
              <w:rPr>
                <w:sz w:val="20"/>
                <w:szCs w:val="20"/>
              </w:rPr>
            </w:pPr>
            <w:r w:rsidRPr="0002571C">
              <w:rPr>
                <w:sz w:val="20"/>
                <w:szCs w:val="20"/>
              </w:rPr>
              <w:t>-0.07</w:t>
            </w:r>
          </w:p>
        </w:tc>
        <w:tc>
          <w:tcPr>
            <w:tcW w:w="709" w:type="dxa"/>
            <w:tcBorders>
              <w:top w:val="single" w:sz="4" w:space="0" w:color="auto"/>
              <w:left w:val="single" w:sz="4" w:space="0" w:color="auto"/>
              <w:bottom w:val="single" w:sz="4" w:space="0" w:color="auto"/>
              <w:right w:val="single" w:sz="4" w:space="0" w:color="auto"/>
            </w:tcBorders>
          </w:tcPr>
          <w:p w14:paraId="600B3650" w14:textId="77777777" w:rsidR="0002571C" w:rsidRPr="0002571C" w:rsidRDefault="0002571C" w:rsidP="0002571C">
            <w:pPr>
              <w:tabs>
                <w:tab w:val="left" w:pos="1250"/>
              </w:tabs>
              <w:ind w:right="57"/>
              <w:jc w:val="center"/>
              <w:rPr>
                <w:sz w:val="20"/>
                <w:szCs w:val="20"/>
              </w:rPr>
            </w:pPr>
            <w:r w:rsidRPr="0002571C">
              <w:rPr>
                <w:sz w:val="20"/>
                <w:szCs w:val="20"/>
              </w:rPr>
              <w:t>-0.09</w:t>
            </w:r>
          </w:p>
        </w:tc>
        <w:tc>
          <w:tcPr>
            <w:tcW w:w="817" w:type="dxa"/>
            <w:tcBorders>
              <w:top w:val="single" w:sz="4" w:space="0" w:color="auto"/>
              <w:left w:val="single" w:sz="4" w:space="0" w:color="auto"/>
              <w:bottom w:val="single" w:sz="4" w:space="0" w:color="auto"/>
              <w:right w:val="single" w:sz="4" w:space="0" w:color="auto"/>
            </w:tcBorders>
          </w:tcPr>
          <w:p w14:paraId="292F7427" w14:textId="77777777" w:rsidR="0002571C" w:rsidRPr="0002571C" w:rsidRDefault="0002571C" w:rsidP="0002571C">
            <w:pPr>
              <w:tabs>
                <w:tab w:val="left" w:pos="1250"/>
              </w:tabs>
              <w:ind w:right="57"/>
              <w:jc w:val="center"/>
              <w:rPr>
                <w:sz w:val="20"/>
                <w:szCs w:val="20"/>
              </w:rPr>
            </w:pPr>
            <w:r w:rsidRPr="0002571C">
              <w:rPr>
                <w:sz w:val="20"/>
                <w:szCs w:val="20"/>
              </w:rPr>
              <w:t>-0.07</w:t>
            </w:r>
          </w:p>
        </w:tc>
      </w:tr>
      <w:tr w:rsidR="0002571C" w:rsidRPr="0002571C" w14:paraId="202835CC" w14:textId="77777777" w:rsidTr="001E7D79">
        <w:trPr>
          <w:jc w:val="center"/>
        </w:trPr>
        <w:tc>
          <w:tcPr>
            <w:tcW w:w="9606" w:type="dxa"/>
            <w:gridSpan w:val="13"/>
            <w:tcBorders>
              <w:left w:val="nil"/>
              <w:bottom w:val="nil"/>
              <w:right w:val="nil"/>
            </w:tcBorders>
          </w:tcPr>
          <w:p w14:paraId="21FEBE57" w14:textId="77777777" w:rsidR="0002571C" w:rsidRPr="0002571C" w:rsidRDefault="0002571C" w:rsidP="0002571C">
            <w:pPr>
              <w:tabs>
                <w:tab w:val="left" w:pos="1250"/>
              </w:tabs>
              <w:ind w:right="57"/>
              <w:rPr>
                <w:sz w:val="20"/>
                <w:szCs w:val="20"/>
              </w:rPr>
            </w:pPr>
            <w:r w:rsidRPr="0002571C">
              <w:rPr>
                <w:sz w:val="20"/>
                <w:szCs w:val="20"/>
                <w:u w:val="single"/>
              </w:rPr>
              <w:t>o</w:t>
            </w:r>
            <w:r w:rsidRPr="0002571C">
              <w:rPr>
                <w:sz w:val="20"/>
                <w:szCs w:val="20"/>
              </w:rPr>
              <w:t>/ Cifra oportuna.</w:t>
            </w:r>
          </w:p>
          <w:p w14:paraId="44D8DA16" w14:textId="77777777" w:rsidR="0002571C" w:rsidRPr="0002571C" w:rsidRDefault="0002571C" w:rsidP="0002571C">
            <w:pPr>
              <w:tabs>
                <w:tab w:val="left" w:pos="1250"/>
              </w:tabs>
              <w:ind w:right="57"/>
              <w:rPr>
                <w:sz w:val="20"/>
                <w:szCs w:val="20"/>
              </w:rPr>
            </w:pPr>
            <w:r w:rsidRPr="0002571C">
              <w:rPr>
                <w:sz w:val="20"/>
                <w:szCs w:val="20"/>
              </w:rPr>
              <w:t>FUENTE: INEGI.</w:t>
            </w:r>
          </w:p>
          <w:p w14:paraId="571FB6B2" w14:textId="77777777" w:rsidR="0002571C" w:rsidRDefault="0002571C" w:rsidP="0002571C">
            <w:pPr>
              <w:tabs>
                <w:tab w:val="left" w:pos="1250"/>
              </w:tabs>
              <w:ind w:right="57"/>
              <w:rPr>
                <w:sz w:val="20"/>
                <w:szCs w:val="20"/>
              </w:rPr>
            </w:pPr>
          </w:p>
          <w:p w14:paraId="4E334699" w14:textId="77777777" w:rsidR="00E53D8D" w:rsidRPr="0002571C" w:rsidRDefault="00E53D8D" w:rsidP="0002571C">
            <w:pPr>
              <w:tabs>
                <w:tab w:val="left" w:pos="1250"/>
              </w:tabs>
              <w:ind w:right="57"/>
              <w:rPr>
                <w:sz w:val="20"/>
                <w:szCs w:val="20"/>
              </w:rPr>
            </w:pPr>
          </w:p>
        </w:tc>
      </w:tr>
    </w:tbl>
    <w:p w14:paraId="41A4A143" w14:textId="7E69C371" w:rsidR="0002571C" w:rsidRPr="0002571C" w:rsidRDefault="00E538A5" w:rsidP="0002571C">
      <w:pPr>
        <w:spacing w:after="360" w:line="360" w:lineRule="auto"/>
        <w:ind w:right="-159"/>
        <w:jc w:val="center"/>
        <w:rPr>
          <w:sz w:val="26"/>
          <w:szCs w:val="26"/>
        </w:rPr>
      </w:pPr>
      <w:r w:rsidRPr="00E538A5">
        <w:rPr>
          <w:rFonts w:ascii="Calibri" w:eastAsia="Calibri" w:hAnsi="Calibri"/>
          <w:sz w:val="22"/>
          <w:szCs w:val="22"/>
          <w:lang w:eastAsia="en-US"/>
        </w:rPr>
        <w:fldChar w:fldCharType="begin"/>
      </w:r>
      <w:r w:rsidRPr="00E538A5">
        <w:rPr>
          <w:rFonts w:ascii="Calibri" w:eastAsia="Calibri" w:hAnsi="Calibri"/>
          <w:sz w:val="22"/>
          <w:szCs w:val="22"/>
          <w:lang w:eastAsia="en-US"/>
        </w:rPr>
        <w:instrText xml:space="preserve"> LINK PowerPoint.Slide.8 "D:\\2015\\MARZO 2014\\GRÁFICAS EN POWER POINT\\12.- GRÁFICAS II DE IND. CICLICOS.pptx!311" "" \a \p </w:instrText>
      </w:r>
      <w:r w:rsidRPr="00E538A5">
        <w:rPr>
          <w:rFonts w:ascii="Calibri" w:eastAsia="Calibri" w:hAnsi="Calibri"/>
          <w:sz w:val="22"/>
          <w:szCs w:val="22"/>
          <w:lang w:eastAsia="en-US"/>
        </w:rPr>
        <w:fldChar w:fldCharType="separate"/>
      </w:r>
      <w:r w:rsidRPr="00E538A5">
        <w:rPr>
          <w:rFonts w:ascii="Calibri" w:eastAsia="Calibri" w:hAnsi="Calibri"/>
          <w:noProof/>
          <w:sz w:val="22"/>
          <w:szCs w:val="22"/>
          <w:lang w:eastAsia="es-MX"/>
        </w:rPr>
        <w:drawing>
          <wp:inline distT="0" distB="0" distL="0" distR="0" wp14:anchorId="4269FFFE" wp14:editId="6C61C905">
            <wp:extent cx="5133975" cy="3429000"/>
            <wp:effectExtent l="0" t="0" r="9525"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6"/>
                    <pic:cNvPicPr>
                      <a:picLocks noChangeAspect="1" noChangeArrowheads="1"/>
                    </pic:cNvPicPr>
                  </pic:nvPicPr>
                  <pic:blipFill>
                    <a:blip r:embed="rId50" cstate="print">
                      <a:extLst>
                        <a:ext uri="{28A0092B-C50C-407E-A947-70E740481C1C}">
                          <a14:useLocalDpi xmlns:a14="http://schemas.microsoft.com/office/drawing/2010/main" val="0"/>
                        </a:ext>
                      </a:extLst>
                    </a:blip>
                    <a:srcRect l="6104" r="9546"/>
                    <a:stretch>
                      <a:fillRect/>
                    </a:stretch>
                  </pic:blipFill>
                  <pic:spPr bwMode="auto">
                    <a:xfrm>
                      <a:off x="0" y="0"/>
                      <a:ext cx="5133975" cy="3429000"/>
                    </a:xfrm>
                    <a:prstGeom prst="rect">
                      <a:avLst/>
                    </a:prstGeom>
                    <a:noFill/>
                    <a:ln>
                      <a:noFill/>
                    </a:ln>
                  </pic:spPr>
                </pic:pic>
              </a:graphicData>
            </a:graphic>
          </wp:inline>
        </w:drawing>
      </w:r>
      <w:r w:rsidRPr="00E538A5">
        <w:rPr>
          <w:rFonts w:ascii="Calibri" w:eastAsia="Calibri" w:hAnsi="Calibri"/>
          <w:sz w:val="22"/>
          <w:szCs w:val="22"/>
          <w:lang w:eastAsia="en-US"/>
        </w:rPr>
        <w:fldChar w:fldCharType="end"/>
      </w:r>
    </w:p>
    <w:p w14:paraId="63CB4C1F" w14:textId="77777777" w:rsidR="0002571C" w:rsidRDefault="0002571C" w:rsidP="0002571C">
      <w:pPr>
        <w:spacing w:after="360" w:line="360" w:lineRule="auto"/>
        <w:ind w:right="-159"/>
        <w:jc w:val="both"/>
        <w:rPr>
          <w:sz w:val="26"/>
          <w:szCs w:val="26"/>
        </w:rPr>
      </w:pPr>
      <w:r w:rsidRPr="0002571C">
        <w:rPr>
          <w:sz w:val="26"/>
          <w:szCs w:val="26"/>
        </w:rPr>
        <w:t>La evolución del Indicador Adelantado en diciembre fue consecuencia del desempeño de los componentes que lo conforman, cuyos resultados se muestran en el cuadro y las gráficas siguientes.</w:t>
      </w:r>
    </w:p>
    <w:p w14:paraId="76B0A0AE" w14:textId="77777777" w:rsidR="00E53D8D" w:rsidRDefault="00E53D8D" w:rsidP="0002571C">
      <w:pPr>
        <w:spacing w:after="360" w:line="360" w:lineRule="auto"/>
        <w:ind w:right="-159"/>
        <w:jc w:val="both"/>
        <w:rPr>
          <w:sz w:val="26"/>
          <w:szCs w:val="26"/>
        </w:rPr>
      </w:pPr>
    </w:p>
    <w:p w14:paraId="71112121" w14:textId="77777777" w:rsidR="00E53D8D" w:rsidRDefault="00E53D8D" w:rsidP="0002571C">
      <w:pPr>
        <w:spacing w:after="360" w:line="360" w:lineRule="auto"/>
        <w:ind w:right="-159"/>
        <w:jc w:val="both"/>
        <w:rPr>
          <w:sz w:val="26"/>
          <w:szCs w:val="26"/>
        </w:rPr>
      </w:pPr>
    </w:p>
    <w:p w14:paraId="3930DAD0" w14:textId="77777777" w:rsidR="00E53D8D" w:rsidRDefault="00E53D8D" w:rsidP="0002571C">
      <w:pPr>
        <w:spacing w:after="360" w:line="360" w:lineRule="auto"/>
        <w:ind w:right="-159"/>
        <w:jc w:val="both"/>
        <w:rPr>
          <w:sz w:val="26"/>
          <w:szCs w:val="26"/>
        </w:rPr>
      </w:pPr>
    </w:p>
    <w:p w14:paraId="22471FBA" w14:textId="77777777" w:rsidR="00E53D8D" w:rsidRPr="0002571C" w:rsidRDefault="00E53D8D" w:rsidP="0002571C">
      <w:pPr>
        <w:spacing w:after="360" w:line="360" w:lineRule="auto"/>
        <w:ind w:right="-159"/>
        <w:jc w:val="both"/>
        <w:rPr>
          <w:sz w:val="26"/>
          <w:szCs w:val="2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
        <w:gridCol w:w="595"/>
        <w:gridCol w:w="1185"/>
        <w:gridCol w:w="1194"/>
        <w:gridCol w:w="1412"/>
        <w:gridCol w:w="1232"/>
        <w:gridCol w:w="1303"/>
        <w:gridCol w:w="1319"/>
      </w:tblGrid>
      <w:tr w:rsidR="0002571C" w:rsidRPr="0002571C" w14:paraId="4F380885" w14:textId="77777777" w:rsidTr="001E7D79">
        <w:trPr>
          <w:jc w:val="center"/>
        </w:trPr>
        <w:tc>
          <w:tcPr>
            <w:tcW w:w="8838" w:type="dxa"/>
            <w:gridSpan w:val="8"/>
            <w:tcBorders>
              <w:top w:val="nil"/>
              <w:left w:val="nil"/>
              <w:bottom w:val="single" w:sz="4" w:space="0" w:color="auto"/>
              <w:right w:val="nil"/>
            </w:tcBorders>
          </w:tcPr>
          <w:p w14:paraId="093437BA" w14:textId="77777777" w:rsidR="0002571C" w:rsidRPr="0002571C" w:rsidRDefault="0002571C" w:rsidP="0002571C">
            <w:pPr>
              <w:jc w:val="center"/>
              <w:rPr>
                <w:rFonts w:eastAsia="Times New Roman"/>
                <w:b/>
                <w:lang w:val="es-ES"/>
              </w:rPr>
            </w:pPr>
            <w:r w:rsidRPr="0002571C">
              <w:rPr>
                <w:rFonts w:eastAsia="Times New Roman"/>
                <w:b/>
                <w:sz w:val="22"/>
                <w:szCs w:val="22"/>
                <w:lang w:val="es-ES"/>
              </w:rPr>
              <w:lastRenderedPageBreak/>
              <w:t>COMPONENTES DEL INDICADOR ADELANTADO</w:t>
            </w:r>
          </w:p>
          <w:p w14:paraId="334A94B7" w14:textId="77777777" w:rsidR="0002571C" w:rsidRPr="0002571C" w:rsidRDefault="0002571C" w:rsidP="0002571C">
            <w:pPr>
              <w:jc w:val="center"/>
              <w:rPr>
                <w:rFonts w:eastAsia="Times New Roman"/>
                <w:b/>
                <w:lang w:val="es-ES"/>
              </w:rPr>
            </w:pPr>
            <w:r w:rsidRPr="0002571C">
              <w:rPr>
                <w:rFonts w:eastAsia="Times New Roman"/>
                <w:b/>
                <w:sz w:val="22"/>
                <w:szCs w:val="22"/>
                <w:lang w:val="es-ES"/>
              </w:rPr>
              <w:t>-Diferencia en puntos respecto al mes inmediato anterior-</w:t>
            </w:r>
          </w:p>
        </w:tc>
      </w:tr>
      <w:tr w:rsidR="0002571C" w:rsidRPr="0002571C" w14:paraId="3706E34E" w14:textId="77777777" w:rsidTr="001E7D79">
        <w:trPr>
          <w:jc w:val="center"/>
        </w:trPr>
        <w:tc>
          <w:tcPr>
            <w:tcW w:w="598" w:type="dxa"/>
            <w:tcBorders>
              <w:bottom w:val="single" w:sz="4" w:space="0" w:color="auto"/>
              <w:right w:val="single" w:sz="4" w:space="0" w:color="auto"/>
            </w:tcBorders>
            <w:vAlign w:val="center"/>
          </w:tcPr>
          <w:p w14:paraId="33ABC091" w14:textId="77777777" w:rsidR="0002571C" w:rsidRPr="0002571C" w:rsidRDefault="0002571C" w:rsidP="0002571C">
            <w:pPr>
              <w:jc w:val="center"/>
              <w:rPr>
                <w:rFonts w:eastAsia="Times New Roman"/>
                <w:b/>
                <w:sz w:val="16"/>
                <w:szCs w:val="16"/>
                <w:lang w:val="es-ES"/>
              </w:rPr>
            </w:pPr>
            <w:r w:rsidRPr="0002571C">
              <w:rPr>
                <w:rFonts w:eastAsia="Times New Roman"/>
                <w:b/>
                <w:sz w:val="16"/>
                <w:szCs w:val="16"/>
                <w:lang w:val="es-ES"/>
              </w:rPr>
              <w:t>Año</w:t>
            </w:r>
          </w:p>
        </w:tc>
        <w:tc>
          <w:tcPr>
            <w:tcW w:w="595" w:type="dxa"/>
            <w:tcBorders>
              <w:left w:val="single" w:sz="4" w:space="0" w:color="auto"/>
              <w:bottom w:val="single" w:sz="4" w:space="0" w:color="auto"/>
              <w:right w:val="single" w:sz="4" w:space="0" w:color="auto"/>
            </w:tcBorders>
            <w:vAlign w:val="center"/>
          </w:tcPr>
          <w:p w14:paraId="5F0743E1" w14:textId="77777777" w:rsidR="0002571C" w:rsidRPr="0002571C" w:rsidRDefault="0002571C" w:rsidP="0002571C">
            <w:pPr>
              <w:jc w:val="center"/>
              <w:rPr>
                <w:rFonts w:eastAsia="Times New Roman"/>
                <w:b/>
                <w:sz w:val="16"/>
                <w:szCs w:val="16"/>
                <w:lang w:val="es-ES"/>
              </w:rPr>
            </w:pPr>
            <w:r w:rsidRPr="0002571C">
              <w:rPr>
                <w:rFonts w:eastAsia="Times New Roman"/>
                <w:b/>
                <w:sz w:val="16"/>
                <w:szCs w:val="16"/>
                <w:lang w:val="es-ES"/>
              </w:rPr>
              <w:t>Mes</w:t>
            </w:r>
          </w:p>
        </w:tc>
        <w:tc>
          <w:tcPr>
            <w:tcW w:w="1185" w:type="dxa"/>
            <w:tcBorders>
              <w:left w:val="single" w:sz="4" w:space="0" w:color="auto"/>
              <w:bottom w:val="single" w:sz="4" w:space="0" w:color="auto"/>
              <w:right w:val="single" w:sz="4" w:space="0" w:color="auto"/>
            </w:tcBorders>
            <w:vAlign w:val="center"/>
          </w:tcPr>
          <w:p w14:paraId="34C3FA56" w14:textId="77777777" w:rsidR="0002571C" w:rsidRPr="0002571C" w:rsidRDefault="0002571C" w:rsidP="0002571C">
            <w:pPr>
              <w:jc w:val="center"/>
              <w:rPr>
                <w:rFonts w:eastAsia="Times New Roman"/>
                <w:b/>
                <w:sz w:val="16"/>
                <w:szCs w:val="16"/>
                <w:lang w:val="es-ES"/>
              </w:rPr>
            </w:pPr>
            <w:r w:rsidRPr="0002571C">
              <w:rPr>
                <w:rFonts w:eastAsia="Times New Roman"/>
                <w:b/>
                <w:sz w:val="16"/>
                <w:szCs w:val="16"/>
                <w:lang w:val="es-ES"/>
              </w:rPr>
              <w:t>Tendencia del Empleo en las Manufacturas</w:t>
            </w:r>
          </w:p>
        </w:tc>
        <w:tc>
          <w:tcPr>
            <w:tcW w:w="1194" w:type="dxa"/>
            <w:tcBorders>
              <w:left w:val="single" w:sz="4" w:space="0" w:color="auto"/>
              <w:bottom w:val="single" w:sz="4" w:space="0" w:color="auto"/>
              <w:right w:val="single" w:sz="4" w:space="0" w:color="auto"/>
            </w:tcBorders>
            <w:vAlign w:val="center"/>
          </w:tcPr>
          <w:p w14:paraId="5D6788C9" w14:textId="77777777" w:rsidR="0002571C" w:rsidRPr="0002571C" w:rsidRDefault="0002571C" w:rsidP="0002571C">
            <w:pPr>
              <w:jc w:val="center"/>
              <w:rPr>
                <w:rFonts w:eastAsia="Times New Roman"/>
                <w:b/>
                <w:sz w:val="16"/>
                <w:szCs w:val="16"/>
                <w:lang w:val="es-ES"/>
              </w:rPr>
            </w:pPr>
            <w:r w:rsidRPr="0002571C">
              <w:rPr>
                <w:rFonts w:eastAsia="Times New Roman"/>
                <w:b/>
                <w:sz w:val="16"/>
                <w:szCs w:val="16"/>
                <w:lang w:val="es-ES"/>
              </w:rPr>
              <w:t>Exportaciones no Petroleras</w:t>
            </w:r>
          </w:p>
        </w:tc>
        <w:tc>
          <w:tcPr>
            <w:tcW w:w="1412" w:type="dxa"/>
            <w:tcBorders>
              <w:left w:val="single" w:sz="4" w:space="0" w:color="auto"/>
              <w:bottom w:val="single" w:sz="4" w:space="0" w:color="auto"/>
              <w:right w:val="single" w:sz="4" w:space="0" w:color="auto"/>
            </w:tcBorders>
            <w:vAlign w:val="center"/>
          </w:tcPr>
          <w:p w14:paraId="67F77529" w14:textId="77777777" w:rsidR="0002571C" w:rsidRPr="0002571C" w:rsidRDefault="0002571C" w:rsidP="0002571C">
            <w:pPr>
              <w:jc w:val="center"/>
              <w:rPr>
                <w:rFonts w:eastAsia="Times New Roman"/>
                <w:b/>
                <w:sz w:val="16"/>
                <w:szCs w:val="16"/>
                <w:lang w:val="es-ES"/>
              </w:rPr>
            </w:pPr>
            <w:r w:rsidRPr="0002571C">
              <w:rPr>
                <w:rFonts w:eastAsia="Times New Roman"/>
                <w:b/>
                <w:sz w:val="16"/>
                <w:szCs w:val="16"/>
                <w:lang w:val="es-ES"/>
              </w:rPr>
              <w:t xml:space="preserve">Índice de Precios y Cotizaciones de </w:t>
            </w:r>
            <w:smartTag w:uri="urn:schemas-microsoft-com:office:smarttags" w:element="PersonName">
              <w:smartTagPr>
                <w:attr w:name="ProductID" w:val="la Bolsa Mexicana"/>
              </w:smartTagPr>
              <w:r w:rsidRPr="0002571C">
                <w:rPr>
                  <w:rFonts w:eastAsia="Times New Roman"/>
                  <w:b/>
                  <w:sz w:val="16"/>
                  <w:szCs w:val="16"/>
                  <w:lang w:val="es-ES"/>
                </w:rPr>
                <w:t>la Bolsa Mexicana</w:t>
              </w:r>
            </w:smartTag>
            <w:r w:rsidRPr="0002571C">
              <w:rPr>
                <w:rFonts w:eastAsia="Times New Roman"/>
                <w:b/>
                <w:sz w:val="16"/>
                <w:szCs w:val="16"/>
                <w:lang w:val="es-ES"/>
              </w:rPr>
              <w:t xml:space="preserve"> de Valores en términos reales</w:t>
            </w:r>
          </w:p>
        </w:tc>
        <w:tc>
          <w:tcPr>
            <w:tcW w:w="1232" w:type="dxa"/>
            <w:tcBorders>
              <w:left w:val="single" w:sz="4" w:space="0" w:color="auto"/>
              <w:bottom w:val="single" w:sz="4" w:space="0" w:color="auto"/>
              <w:right w:val="single" w:sz="4" w:space="0" w:color="auto"/>
            </w:tcBorders>
            <w:vAlign w:val="center"/>
          </w:tcPr>
          <w:p w14:paraId="1B56A68D" w14:textId="77777777" w:rsidR="0002571C" w:rsidRPr="0002571C" w:rsidRDefault="0002571C" w:rsidP="0002571C">
            <w:pPr>
              <w:jc w:val="center"/>
              <w:rPr>
                <w:rFonts w:eastAsia="Times New Roman"/>
                <w:b/>
                <w:sz w:val="16"/>
                <w:szCs w:val="16"/>
                <w:lang w:val="es-ES"/>
              </w:rPr>
            </w:pPr>
            <w:r w:rsidRPr="0002571C">
              <w:rPr>
                <w:rFonts w:eastAsia="Times New Roman"/>
                <w:b/>
                <w:sz w:val="16"/>
                <w:szCs w:val="16"/>
                <w:lang w:val="es-ES"/>
              </w:rPr>
              <w:t>Tipo de Cambio Real</w:t>
            </w:r>
            <w:r w:rsidRPr="0002571C">
              <w:rPr>
                <w:rFonts w:eastAsia="Times New Roman"/>
                <w:b/>
                <w:sz w:val="16"/>
                <w:szCs w:val="16"/>
                <w:u w:val="single"/>
                <w:vertAlign w:val="superscript"/>
                <w:lang w:val="es-ES"/>
              </w:rPr>
              <w:t>*</w:t>
            </w:r>
            <w:r w:rsidRPr="0002571C">
              <w:rPr>
                <w:rFonts w:eastAsia="Times New Roman"/>
                <w:b/>
                <w:sz w:val="16"/>
                <w:szCs w:val="16"/>
                <w:vertAlign w:val="superscript"/>
                <w:lang w:val="es-ES"/>
              </w:rPr>
              <w:t>/</w:t>
            </w:r>
          </w:p>
        </w:tc>
        <w:tc>
          <w:tcPr>
            <w:tcW w:w="1303" w:type="dxa"/>
            <w:tcBorders>
              <w:left w:val="single" w:sz="4" w:space="0" w:color="auto"/>
              <w:bottom w:val="single" w:sz="4" w:space="0" w:color="auto"/>
              <w:right w:val="single" w:sz="4" w:space="0" w:color="auto"/>
            </w:tcBorders>
            <w:vAlign w:val="center"/>
          </w:tcPr>
          <w:p w14:paraId="66401DFA" w14:textId="77777777" w:rsidR="0002571C" w:rsidRPr="0002571C" w:rsidRDefault="0002571C" w:rsidP="0002571C">
            <w:pPr>
              <w:jc w:val="center"/>
              <w:rPr>
                <w:rFonts w:eastAsia="Times New Roman"/>
                <w:b/>
                <w:sz w:val="16"/>
                <w:szCs w:val="16"/>
                <w:lang w:val="es-ES"/>
              </w:rPr>
            </w:pPr>
            <w:r w:rsidRPr="0002571C">
              <w:rPr>
                <w:rFonts w:eastAsia="Times New Roman"/>
                <w:b/>
                <w:sz w:val="16"/>
                <w:szCs w:val="16"/>
                <w:lang w:val="es-ES"/>
              </w:rPr>
              <w:t>Tasa de Interés Interbancaria de Equilibrio</w:t>
            </w:r>
          </w:p>
        </w:tc>
        <w:tc>
          <w:tcPr>
            <w:tcW w:w="1319" w:type="dxa"/>
            <w:tcBorders>
              <w:left w:val="single" w:sz="4" w:space="0" w:color="auto"/>
              <w:bottom w:val="single" w:sz="4" w:space="0" w:color="auto"/>
            </w:tcBorders>
            <w:vAlign w:val="center"/>
          </w:tcPr>
          <w:p w14:paraId="44CAE6D9" w14:textId="77777777" w:rsidR="0002571C" w:rsidRPr="0002571C" w:rsidRDefault="0002571C" w:rsidP="0002571C">
            <w:pPr>
              <w:jc w:val="center"/>
              <w:rPr>
                <w:rFonts w:eastAsia="Times New Roman"/>
                <w:b/>
                <w:sz w:val="16"/>
                <w:szCs w:val="16"/>
                <w:lang w:val="es-ES"/>
              </w:rPr>
            </w:pPr>
            <w:r w:rsidRPr="0002571C">
              <w:rPr>
                <w:rFonts w:eastAsia="Times New Roman"/>
                <w:b/>
                <w:sz w:val="16"/>
                <w:szCs w:val="16"/>
                <w:lang w:val="es-ES"/>
              </w:rPr>
              <w:t>Índice Standard &amp; Poor’s 500 (Índice bursátil de Estados Unidos de Norteamérica)</w:t>
            </w:r>
          </w:p>
        </w:tc>
      </w:tr>
      <w:tr w:rsidR="0002571C" w:rsidRPr="0002571C" w14:paraId="1F172D3C" w14:textId="77777777" w:rsidTr="001E7D79">
        <w:trPr>
          <w:jc w:val="center"/>
        </w:trPr>
        <w:tc>
          <w:tcPr>
            <w:tcW w:w="598" w:type="dxa"/>
            <w:vMerge w:val="restart"/>
            <w:tcBorders>
              <w:right w:val="single" w:sz="4" w:space="0" w:color="auto"/>
            </w:tcBorders>
            <w:shd w:val="clear" w:color="auto" w:fill="auto"/>
            <w:vAlign w:val="center"/>
          </w:tcPr>
          <w:p w14:paraId="1E4B0453" w14:textId="77777777" w:rsidR="0002571C" w:rsidRPr="0002571C" w:rsidRDefault="0002571C" w:rsidP="0002571C">
            <w:pPr>
              <w:rPr>
                <w:rFonts w:eastAsia="Times New Roman"/>
                <w:sz w:val="16"/>
                <w:szCs w:val="16"/>
                <w:lang w:val="es-ES"/>
              </w:rPr>
            </w:pPr>
            <w:r w:rsidRPr="0002571C">
              <w:rPr>
                <w:rFonts w:eastAsia="Times New Roman"/>
                <w:sz w:val="16"/>
                <w:szCs w:val="16"/>
                <w:lang w:val="es-ES"/>
              </w:rPr>
              <w:t>2014</w:t>
            </w:r>
          </w:p>
        </w:tc>
        <w:tc>
          <w:tcPr>
            <w:tcW w:w="595" w:type="dxa"/>
            <w:tcBorders>
              <w:top w:val="single" w:sz="4" w:space="0" w:color="auto"/>
              <w:left w:val="single" w:sz="4" w:space="0" w:color="auto"/>
              <w:bottom w:val="nil"/>
              <w:right w:val="single" w:sz="4" w:space="0" w:color="auto"/>
            </w:tcBorders>
          </w:tcPr>
          <w:p w14:paraId="3EF1A797" w14:textId="77777777" w:rsidR="0002571C" w:rsidRPr="0002571C" w:rsidRDefault="0002571C" w:rsidP="0002571C">
            <w:pPr>
              <w:rPr>
                <w:rFonts w:eastAsia="Times New Roman"/>
                <w:sz w:val="16"/>
                <w:szCs w:val="16"/>
                <w:lang w:val="es-ES"/>
              </w:rPr>
            </w:pPr>
            <w:r w:rsidRPr="0002571C">
              <w:rPr>
                <w:rFonts w:eastAsia="Times New Roman"/>
                <w:sz w:val="16"/>
                <w:szCs w:val="16"/>
                <w:lang w:val="es-ES"/>
              </w:rPr>
              <w:t>Ene.</w:t>
            </w:r>
          </w:p>
        </w:tc>
        <w:tc>
          <w:tcPr>
            <w:tcW w:w="1185" w:type="dxa"/>
            <w:tcBorders>
              <w:top w:val="single" w:sz="4" w:space="0" w:color="auto"/>
              <w:left w:val="single" w:sz="4" w:space="0" w:color="auto"/>
              <w:bottom w:val="nil"/>
              <w:right w:val="single" w:sz="4" w:space="0" w:color="auto"/>
            </w:tcBorders>
          </w:tcPr>
          <w:p w14:paraId="57B7119D" w14:textId="77777777" w:rsidR="0002571C" w:rsidRPr="0002571C" w:rsidRDefault="0002571C" w:rsidP="0002571C">
            <w:pPr>
              <w:ind w:right="284"/>
              <w:jc w:val="right"/>
              <w:rPr>
                <w:rFonts w:eastAsia="Times New Roman"/>
                <w:sz w:val="16"/>
                <w:szCs w:val="16"/>
                <w:lang w:val="es-ES"/>
              </w:rPr>
            </w:pPr>
            <w:r w:rsidRPr="0002571C">
              <w:rPr>
                <w:rFonts w:eastAsia="Times New Roman"/>
                <w:sz w:val="16"/>
                <w:szCs w:val="16"/>
                <w:lang w:val="es-ES"/>
              </w:rPr>
              <w:t>-0.09</w:t>
            </w:r>
          </w:p>
        </w:tc>
        <w:tc>
          <w:tcPr>
            <w:tcW w:w="1194" w:type="dxa"/>
            <w:tcBorders>
              <w:top w:val="single" w:sz="4" w:space="0" w:color="auto"/>
              <w:left w:val="single" w:sz="4" w:space="0" w:color="auto"/>
              <w:bottom w:val="nil"/>
              <w:right w:val="single" w:sz="4" w:space="0" w:color="auto"/>
            </w:tcBorders>
          </w:tcPr>
          <w:p w14:paraId="252B91FF"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-0.03</w:t>
            </w:r>
          </w:p>
        </w:tc>
        <w:tc>
          <w:tcPr>
            <w:tcW w:w="1412" w:type="dxa"/>
            <w:tcBorders>
              <w:top w:val="single" w:sz="4" w:space="0" w:color="auto"/>
              <w:left w:val="single" w:sz="4" w:space="0" w:color="auto"/>
              <w:bottom w:val="nil"/>
              <w:right w:val="single" w:sz="4" w:space="0" w:color="auto"/>
            </w:tcBorders>
          </w:tcPr>
          <w:p w14:paraId="138CB4F0" w14:textId="77777777" w:rsidR="0002571C" w:rsidRPr="0002571C" w:rsidRDefault="0002571C" w:rsidP="0002571C">
            <w:pPr>
              <w:ind w:left="-5216" w:right="454"/>
              <w:jc w:val="right"/>
              <w:rPr>
                <w:rFonts w:eastAsia="Times New Roman"/>
                <w:sz w:val="16"/>
                <w:szCs w:val="16"/>
                <w:lang w:val="es-ES"/>
              </w:rPr>
            </w:pPr>
            <w:r w:rsidRPr="0002571C">
              <w:rPr>
                <w:rFonts w:eastAsia="Times New Roman"/>
                <w:sz w:val="16"/>
                <w:szCs w:val="16"/>
                <w:lang w:val="es-ES"/>
              </w:rPr>
              <w:t>-0.06</w:t>
            </w:r>
          </w:p>
        </w:tc>
        <w:tc>
          <w:tcPr>
            <w:tcW w:w="1232" w:type="dxa"/>
            <w:tcBorders>
              <w:top w:val="single" w:sz="4" w:space="0" w:color="auto"/>
              <w:left w:val="single" w:sz="4" w:space="0" w:color="auto"/>
              <w:bottom w:val="nil"/>
              <w:right w:val="single" w:sz="4" w:space="0" w:color="auto"/>
            </w:tcBorders>
          </w:tcPr>
          <w:p w14:paraId="180611BD" w14:textId="77777777" w:rsidR="0002571C" w:rsidRPr="0002571C" w:rsidRDefault="0002571C" w:rsidP="0002571C">
            <w:pPr>
              <w:ind w:left="-2155" w:right="397"/>
              <w:jc w:val="right"/>
              <w:rPr>
                <w:rFonts w:eastAsia="Times New Roman"/>
                <w:sz w:val="16"/>
                <w:szCs w:val="16"/>
                <w:lang w:val="es-ES"/>
              </w:rPr>
            </w:pPr>
            <w:r w:rsidRPr="0002571C">
              <w:rPr>
                <w:rFonts w:eastAsia="Times New Roman"/>
                <w:sz w:val="16"/>
                <w:szCs w:val="16"/>
                <w:lang w:val="es-ES"/>
              </w:rPr>
              <w:t>0.01</w:t>
            </w:r>
          </w:p>
        </w:tc>
        <w:tc>
          <w:tcPr>
            <w:tcW w:w="1303" w:type="dxa"/>
            <w:tcBorders>
              <w:top w:val="single" w:sz="4" w:space="0" w:color="auto"/>
              <w:left w:val="single" w:sz="4" w:space="0" w:color="auto"/>
              <w:bottom w:val="nil"/>
              <w:right w:val="single" w:sz="4" w:space="0" w:color="auto"/>
            </w:tcBorders>
          </w:tcPr>
          <w:p w14:paraId="3BE33C21" w14:textId="77777777" w:rsidR="0002571C" w:rsidRPr="0002571C" w:rsidRDefault="0002571C" w:rsidP="0002571C">
            <w:pPr>
              <w:ind w:left="-2948" w:right="397"/>
              <w:jc w:val="right"/>
              <w:rPr>
                <w:rFonts w:eastAsia="Times New Roman"/>
                <w:sz w:val="16"/>
                <w:szCs w:val="16"/>
                <w:lang w:val="es-ES"/>
              </w:rPr>
            </w:pPr>
            <w:r w:rsidRPr="0002571C">
              <w:rPr>
                <w:rFonts w:eastAsia="Times New Roman"/>
                <w:sz w:val="16"/>
                <w:szCs w:val="16"/>
                <w:lang w:val="es-ES"/>
              </w:rPr>
              <w:t>-0.01</w:t>
            </w:r>
          </w:p>
        </w:tc>
        <w:tc>
          <w:tcPr>
            <w:tcW w:w="1319" w:type="dxa"/>
            <w:tcBorders>
              <w:top w:val="single" w:sz="4" w:space="0" w:color="auto"/>
              <w:left w:val="single" w:sz="4" w:space="0" w:color="auto"/>
              <w:bottom w:val="nil"/>
            </w:tcBorders>
          </w:tcPr>
          <w:p w14:paraId="178687DF" w14:textId="77777777" w:rsidR="0002571C" w:rsidRPr="0002571C" w:rsidRDefault="0002571C" w:rsidP="0002571C">
            <w:pPr>
              <w:ind w:left="-1588" w:right="397"/>
              <w:jc w:val="right"/>
              <w:rPr>
                <w:rFonts w:eastAsia="Times New Roman"/>
                <w:sz w:val="16"/>
                <w:szCs w:val="16"/>
                <w:lang w:val="es-ES"/>
              </w:rPr>
            </w:pPr>
            <w:r w:rsidRPr="0002571C">
              <w:rPr>
                <w:rFonts w:eastAsia="Times New Roman"/>
                <w:sz w:val="16"/>
                <w:szCs w:val="16"/>
                <w:lang w:val="es-ES"/>
              </w:rPr>
              <w:t>0.03</w:t>
            </w:r>
          </w:p>
        </w:tc>
      </w:tr>
      <w:tr w:rsidR="0002571C" w:rsidRPr="0002571C" w14:paraId="591CBE8E" w14:textId="77777777" w:rsidTr="001E7D79">
        <w:trPr>
          <w:jc w:val="center"/>
        </w:trPr>
        <w:tc>
          <w:tcPr>
            <w:tcW w:w="598" w:type="dxa"/>
            <w:vMerge/>
            <w:tcBorders>
              <w:right w:val="single" w:sz="4" w:space="0" w:color="auto"/>
            </w:tcBorders>
            <w:shd w:val="clear" w:color="auto" w:fill="auto"/>
          </w:tcPr>
          <w:p w14:paraId="572F2B9D" w14:textId="77777777" w:rsidR="0002571C" w:rsidRPr="0002571C" w:rsidRDefault="0002571C" w:rsidP="0002571C">
            <w:pPr>
              <w:rPr>
                <w:rFonts w:eastAsia="Times New Roman"/>
                <w:sz w:val="16"/>
                <w:szCs w:val="16"/>
                <w:lang w:val="es-ES"/>
              </w:rPr>
            </w:pPr>
          </w:p>
        </w:tc>
        <w:tc>
          <w:tcPr>
            <w:tcW w:w="595" w:type="dxa"/>
            <w:tcBorders>
              <w:top w:val="nil"/>
              <w:left w:val="single" w:sz="4" w:space="0" w:color="auto"/>
              <w:bottom w:val="nil"/>
              <w:right w:val="single" w:sz="4" w:space="0" w:color="auto"/>
            </w:tcBorders>
          </w:tcPr>
          <w:p w14:paraId="47A9178D" w14:textId="77777777" w:rsidR="0002571C" w:rsidRPr="0002571C" w:rsidRDefault="0002571C" w:rsidP="0002571C">
            <w:pPr>
              <w:rPr>
                <w:rFonts w:eastAsia="Times New Roman"/>
                <w:sz w:val="16"/>
                <w:szCs w:val="16"/>
                <w:lang w:val="es-ES"/>
              </w:rPr>
            </w:pPr>
            <w:r w:rsidRPr="0002571C">
              <w:rPr>
                <w:rFonts w:eastAsia="Times New Roman"/>
                <w:sz w:val="16"/>
                <w:szCs w:val="16"/>
                <w:lang w:val="es-ES"/>
              </w:rPr>
              <w:t>Feb.</w:t>
            </w:r>
          </w:p>
        </w:tc>
        <w:tc>
          <w:tcPr>
            <w:tcW w:w="1185" w:type="dxa"/>
            <w:tcBorders>
              <w:top w:val="nil"/>
              <w:left w:val="single" w:sz="4" w:space="0" w:color="auto"/>
              <w:bottom w:val="nil"/>
              <w:right w:val="single" w:sz="4" w:space="0" w:color="auto"/>
            </w:tcBorders>
          </w:tcPr>
          <w:p w14:paraId="3CF95D2E" w14:textId="77777777" w:rsidR="0002571C" w:rsidRPr="0002571C" w:rsidRDefault="0002571C" w:rsidP="0002571C">
            <w:pPr>
              <w:ind w:right="284"/>
              <w:jc w:val="right"/>
              <w:rPr>
                <w:rFonts w:eastAsia="Times New Roman"/>
                <w:sz w:val="16"/>
                <w:szCs w:val="16"/>
                <w:lang w:val="es-ES"/>
              </w:rPr>
            </w:pPr>
            <w:r w:rsidRPr="0002571C">
              <w:rPr>
                <w:rFonts w:eastAsia="Times New Roman"/>
                <w:sz w:val="16"/>
                <w:szCs w:val="16"/>
                <w:lang w:val="es-ES"/>
              </w:rPr>
              <w:t>-0.06</w:t>
            </w:r>
          </w:p>
        </w:tc>
        <w:tc>
          <w:tcPr>
            <w:tcW w:w="1194" w:type="dxa"/>
            <w:tcBorders>
              <w:top w:val="nil"/>
              <w:left w:val="single" w:sz="4" w:space="0" w:color="auto"/>
              <w:bottom w:val="nil"/>
              <w:right w:val="single" w:sz="4" w:space="0" w:color="auto"/>
            </w:tcBorders>
          </w:tcPr>
          <w:p w14:paraId="45788933"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0.04</w:t>
            </w:r>
          </w:p>
        </w:tc>
        <w:tc>
          <w:tcPr>
            <w:tcW w:w="1412" w:type="dxa"/>
            <w:tcBorders>
              <w:top w:val="nil"/>
              <w:left w:val="single" w:sz="4" w:space="0" w:color="auto"/>
              <w:bottom w:val="nil"/>
              <w:right w:val="single" w:sz="4" w:space="0" w:color="auto"/>
            </w:tcBorders>
          </w:tcPr>
          <w:p w14:paraId="3C343B0D" w14:textId="77777777" w:rsidR="0002571C" w:rsidRPr="0002571C" w:rsidRDefault="0002571C" w:rsidP="0002571C">
            <w:pPr>
              <w:ind w:left="-5216" w:right="454"/>
              <w:jc w:val="right"/>
              <w:rPr>
                <w:rFonts w:eastAsia="Times New Roman"/>
                <w:sz w:val="16"/>
                <w:szCs w:val="16"/>
                <w:lang w:val="es-ES"/>
              </w:rPr>
            </w:pPr>
            <w:r w:rsidRPr="0002571C">
              <w:rPr>
                <w:rFonts w:eastAsia="Times New Roman"/>
                <w:sz w:val="16"/>
                <w:szCs w:val="16"/>
                <w:lang w:val="es-ES"/>
              </w:rPr>
              <w:t>-0.04</w:t>
            </w:r>
          </w:p>
        </w:tc>
        <w:tc>
          <w:tcPr>
            <w:tcW w:w="1232" w:type="dxa"/>
            <w:tcBorders>
              <w:top w:val="nil"/>
              <w:left w:val="single" w:sz="4" w:space="0" w:color="auto"/>
              <w:bottom w:val="nil"/>
              <w:right w:val="single" w:sz="4" w:space="0" w:color="auto"/>
            </w:tcBorders>
          </w:tcPr>
          <w:p w14:paraId="3ACA2D2D" w14:textId="77777777" w:rsidR="0002571C" w:rsidRPr="0002571C" w:rsidRDefault="0002571C" w:rsidP="0002571C">
            <w:pPr>
              <w:ind w:left="-2155" w:right="397"/>
              <w:jc w:val="right"/>
              <w:rPr>
                <w:rFonts w:eastAsia="Times New Roman"/>
                <w:sz w:val="16"/>
                <w:szCs w:val="16"/>
                <w:lang w:val="es-ES"/>
              </w:rPr>
            </w:pPr>
            <w:r w:rsidRPr="0002571C">
              <w:rPr>
                <w:rFonts w:eastAsia="Times New Roman"/>
                <w:sz w:val="16"/>
                <w:szCs w:val="16"/>
                <w:lang w:val="es-ES"/>
              </w:rPr>
              <w:t>0.02</w:t>
            </w:r>
          </w:p>
        </w:tc>
        <w:tc>
          <w:tcPr>
            <w:tcW w:w="1303" w:type="dxa"/>
            <w:tcBorders>
              <w:top w:val="nil"/>
              <w:left w:val="single" w:sz="4" w:space="0" w:color="auto"/>
              <w:bottom w:val="nil"/>
              <w:right w:val="single" w:sz="4" w:space="0" w:color="auto"/>
            </w:tcBorders>
          </w:tcPr>
          <w:p w14:paraId="7933EDD0" w14:textId="77777777" w:rsidR="0002571C" w:rsidRPr="0002571C" w:rsidRDefault="0002571C" w:rsidP="0002571C">
            <w:pPr>
              <w:ind w:left="-2948" w:right="397"/>
              <w:jc w:val="right"/>
              <w:rPr>
                <w:rFonts w:eastAsia="Times New Roman"/>
                <w:sz w:val="16"/>
                <w:szCs w:val="16"/>
                <w:lang w:val="es-ES"/>
              </w:rPr>
            </w:pPr>
            <w:r w:rsidRPr="0002571C">
              <w:rPr>
                <w:rFonts w:eastAsia="Times New Roman"/>
                <w:sz w:val="16"/>
                <w:szCs w:val="16"/>
                <w:lang w:val="es-ES"/>
              </w:rPr>
              <w:t>-0.01</w:t>
            </w:r>
          </w:p>
        </w:tc>
        <w:tc>
          <w:tcPr>
            <w:tcW w:w="1319" w:type="dxa"/>
            <w:tcBorders>
              <w:top w:val="nil"/>
              <w:left w:val="single" w:sz="4" w:space="0" w:color="auto"/>
              <w:bottom w:val="nil"/>
            </w:tcBorders>
          </w:tcPr>
          <w:p w14:paraId="583735EE" w14:textId="77777777" w:rsidR="0002571C" w:rsidRPr="0002571C" w:rsidRDefault="0002571C" w:rsidP="0002571C">
            <w:pPr>
              <w:ind w:left="-1588" w:right="397"/>
              <w:jc w:val="right"/>
              <w:rPr>
                <w:rFonts w:eastAsia="Times New Roman"/>
                <w:sz w:val="16"/>
                <w:szCs w:val="16"/>
                <w:lang w:val="es-ES"/>
              </w:rPr>
            </w:pPr>
            <w:r w:rsidRPr="0002571C">
              <w:rPr>
                <w:rFonts w:eastAsia="Times New Roman"/>
                <w:sz w:val="16"/>
                <w:szCs w:val="16"/>
                <w:lang w:val="es-ES"/>
              </w:rPr>
              <w:t>0.01</w:t>
            </w:r>
          </w:p>
        </w:tc>
      </w:tr>
      <w:tr w:rsidR="0002571C" w:rsidRPr="0002571C" w14:paraId="54E6064C" w14:textId="77777777" w:rsidTr="001E7D79">
        <w:trPr>
          <w:jc w:val="center"/>
        </w:trPr>
        <w:tc>
          <w:tcPr>
            <w:tcW w:w="598" w:type="dxa"/>
            <w:vMerge/>
            <w:tcBorders>
              <w:right w:val="single" w:sz="4" w:space="0" w:color="auto"/>
            </w:tcBorders>
            <w:shd w:val="clear" w:color="auto" w:fill="auto"/>
          </w:tcPr>
          <w:p w14:paraId="3EC73849" w14:textId="77777777" w:rsidR="0002571C" w:rsidRPr="0002571C" w:rsidRDefault="0002571C" w:rsidP="0002571C">
            <w:pPr>
              <w:rPr>
                <w:rFonts w:eastAsia="Times New Roman"/>
                <w:sz w:val="16"/>
                <w:szCs w:val="16"/>
                <w:lang w:val="es-ES"/>
              </w:rPr>
            </w:pPr>
          </w:p>
        </w:tc>
        <w:tc>
          <w:tcPr>
            <w:tcW w:w="595" w:type="dxa"/>
            <w:tcBorders>
              <w:top w:val="nil"/>
              <w:left w:val="single" w:sz="4" w:space="0" w:color="auto"/>
              <w:bottom w:val="nil"/>
              <w:right w:val="single" w:sz="4" w:space="0" w:color="auto"/>
            </w:tcBorders>
          </w:tcPr>
          <w:p w14:paraId="7BC7152B" w14:textId="77777777" w:rsidR="0002571C" w:rsidRPr="0002571C" w:rsidRDefault="0002571C" w:rsidP="0002571C">
            <w:pPr>
              <w:rPr>
                <w:rFonts w:eastAsia="Times New Roman"/>
                <w:sz w:val="16"/>
                <w:szCs w:val="16"/>
                <w:lang w:val="es-ES"/>
              </w:rPr>
            </w:pPr>
            <w:r w:rsidRPr="0002571C">
              <w:rPr>
                <w:rFonts w:eastAsia="Times New Roman"/>
                <w:sz w:val="16"/>
                <w:szCs w:val="16"/>
                <w:lang w:val="es-ES"/>
              </w:rPr>
              <w:t>Mar.</w:t>
            </w:r>
          </w:p>
        </w:tc>
        <w:tc>
          <w:tcPr>
            <w:tcW w:w="1185" w:type="dxa"/>
            <w:tcBorders>
              <w:top w:val="nil"/>
              <w:left w:val="single" w:sz="4" w:space="0" w:color="auto"/>
              <w:bottom w:val="nil"/>
              <w:right w:val="single" w:sz="4" w:space="0" w:color="auto"/>
            </w:tcBorders>
          </w:tcPr>
          <w:p w14:paraId="1F840BDB" w14:textId="77777777" w:rsidR="0002571C" w:rsidRPr="0002571C" w:rsidRDefault="0002571C" w:rsidP="0002571C">
            <w:pPr>
              <w:ind w:right="284"/>
              <w:jc w:val="right"/>
              <w:rPr>
                <w:rFonts w:eastAsia="Times New Roman"/>
                <w:sz w:val="16"/>
                <w:szCs w:val="16"/>
                <w:lang w:val="es-ES"/>
              </w:rPr>
            </w:pPr>
            <w:r w:rsidRPr="0002571C">
              <w:rPr>
                <w:rFonts w:eastAsia="Times New Roman"/>
                <w:sz w:val="16"/>
                <w:szCs w:val="16"/>
                <w:lang w:val="es-ES"/>
              </w:rPr>
              <w:t>0.02</w:t>
            </w:r>
          </w:p>
        </w:tc>
        <w:tc>
          <w:tcPr>
            <w:tcW w:w="1194" w:type="dxa"/>
            <w:tcBorders>
              <w:top w:val="nil"/>
              <w:left w:val="single" w:sz="4" w:space="0" w:color="auto"/>
              <w:bottom w:val="nil"/>
              <w:right w:val="single" w:sz="4" w:space="0" w:color="auto"/>
            </w:tcBorders>
          </w:tcPr>
          <w:p w14:paraId="27C7A681"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0.08</w:t>
            </w:r>
          </w:p>
        </w:tc>
        <w:tc>
          <w:tcPr>
            <w:tcW w:w="1412" w:type="dxa"/>
            <w:tcBorders>
              <w:top w:val="nil"/>
              <w:left w:val="single" w:sz="4" w:space="0" w:color="auto"/>
              <w:bottom w:val="nil"/>
              <w:right w:val="single" w:sz="4" w:space="0" w:color="auto"/>
            </w:tcBorders>
          </w:tcPr>
          <w:p w14:paraId="314B6374" w14:textId="77777777" w:rsidR="0002571C" w:rsidRPr="0002571C" w:rsidRDefault="0002571C" w:rsidP="0002571C">
            <w:pPr>
              <w:ind w:left="-5216" w:right="454"/>
              <w:jc w:val="right"/>
              <w:rPr>
                <w:rFonts w:eastAsia="Times New Roman"/>
                <w:sz w:val="16"/>
                <w:szCs w:val="16"/>
                <w:lang w:val="es-ES"/>
              </w:rPr>
            </w:pPr>
            <w:r w:rsidRPr="0002571C">
              <w:rPr>
                <w:rFonts w:eastAsia="Times New Roman"/>
                <w:sz w:val="16"/>
                <w:szCs w:val="16"/>
                <w:lang w:val="es-ES"/>
              </w:rPr>
              <w:t>0.01</w:t>
            </w:r>
          </w:p>
        </w:tc>
        <w:tc>
          <w:tcPr>
            <w:tcW w:w="1232" w:type="dxa"/>
            <w:tcBorders>
              <w:top w:val="nil"/>
              <w:left w:val="single" w:sz="4" w:space="0" w:color="auto"/>
              <w:bottom w:val="nil"/>
              <w:right w:val="single" w:sz="4" w:space="0" w:color="auto"/>
            </w:tcBorders>
          </w:tcPr>
          <w:p w14:paraId="343322A5" w14:textId="77777777" w:rsidR="0002571C" w:rsidRPr="0002571C" w:rsidRDefault="0002571C" w:rsidP="0002571C">
            <w:pPr>
              <w:ind w:left="-2155" w:right="397"/>
              <w:jc w:val="right"/>
              <w:rPr>
                <w:rFonts w:eastAsia="Times New Roman"/>
                <w:sz w:val="16"/>
                <w:szCs w:val="16"/>
                <w:lang w:val="es-ES"/>
              </w:rPr>
            </w:pPr>
            <w:r w:rsidRPr="0002571C">
              <w:rPr>
                <w:rFonts w:eastAsia="Times New Roman"/>
                <w:sz w:val="16"/>
                <w:szCs w:val="16"/>
                <w:lang w:val="es-ES"/>
              </w:rPr>
              <w:t>0.01</w:t>
            </w:r>
          </w:p>
        </w:tc>
        <w:tc>
          <w:tcPr>
            <w:tcW w:w="1303" w:type="dxa"/>
            <w:tcBorders>
              <w:top w:val="nil"/>
              <w:left w:val="single" w:sz="4" w:space="0" w:color="auto"/>
              <w:bottom w:val="nil"/>
              <w:right w:val="single" w:sz="4" w:space="0" w:color="auto"/>
            </w:tcBorders>
          </w:tcPr>
          <w:p w14:paraId="28C4F50D" w14:textId="77777777" w:rsidR="0002571C" w:rsidRPr="0002571C" w:rsidRDefault="0002571C" w:rsidP="0002571C">
            <w:pPr>
              <w:ind w:left="-2948" w:right="397"/>
              <w:jc w:val="right"/>
              <w:rPr>
                <w:rFonts w:eastAsia="Times New Roman"/>
                <w:sz w:val="16"/>
                <w:szCs w:val="16"/>
                <w:lang w:val="es-ES"/>
              </w:rPr>
            </w:pPr>
            <w:r w:rsidRPr="0002571C">
              <w:rPr>
                <w:rFonts w:eastAsia="Times New Roman"/>
                <w:sz w:val="16"/>
                <w:szCs w:val="16"/>
                <w:lang w:val="es-ES"/>
              </w:rPr>
              <w:t>-0.01</w:t>
            </w:r>
          </w:p>
        </w:tc>
        <w:tc>
          <w:tcPr>
            <w:tcW w:w="1319" w:type="dxa"/>
            <w:tcBorders>
              <w:top w:val="nil"/>
              <w:left w:val="single" w:sz="4" w:space="0" w:color="auto"/>
              <w:bottom w:val="nil"/>
            </w:tcBorders>
          </w:tcPr>
          <w:p w14:paraId="26F9B6C9" w14:textId="77777777" w:rsidR="0002571C" w:rsidRPr="0002571C" w:rsidRDefault="0002571C" w:rsidP="0002571C">
            <w:pPr>
              <w:ind w:left="-1588" w:right="397"/>
              <w:jc w:val="right"/>
              <w:rPr>
                <w:rFonts w:eastAsia="Times New Roman"/>
                <w:sz w:val="16"/>
                <w:szCs w:val="16"/>
                <w:lang w:val="es-ES"/>
              </w:rPr>
            </w:pPr>
            <w:r w:rsidRPr="0002571C">
              <w:rPr>
                <w:rFonts w:eastAsia="Times New Roman"/>
                <w:sz w:val="16"/>
                <w:szCs w:val="16"/>
                <w:lang w:val="es-ES"/>
              </w:rPr>
              <w:t>0.01</w:t>
            </w:r>
          </w:p>
        </w:tc>
      </w:tr>
      <w:tr w:rsidR="0002571C" w:rsidRPr="0002571C" w14:paraId="67BE9908" w14:textId="77777777" w:rsidTr="001E7D79">
        <w:trPr>
          <w:jc w:val="center"/>
        </w:trPr>
        <w:tc>
          <w:tcPr>
            <w:tcW w:w="598" w:type="dxa"/>
            <w:vMerge/>
            <w:tcBorders>
              <w:right w:val="single" w:sz="4" w:space="0" w:color="auto"/>
            </w:tcBorders>
            <w:shd w:val="clear" w:color="auto" w:fill="auto"/>
            <w:vAlign w:val="center"/>
          </w:tcPr>
          <w:p w14:paraId="178C842D" w14:textId="77777777" w:rsidR="0002571C" w:rsidRPr="0002571C" w:rsidRDefault="0002571C" w:rsidP="0002571C">
            <w:pPr>
              <w:rPr>
                <w:rFonts w:eastAsia="Times New Roman"/>
                <w:sz w:val="16"/>
                <w:szCs w:val="16"/>
                <w:lang w:val="es-ES"/>
              </w:rPr>
            </w:pPr>
          </w:p>
        </w:tc>
        <w:tc>
          <w:tcPr>
            <w:tcW w:w="595" w:type="dxa"/>
            <w:tcBorders>
              <w:top w:val="nil"/>
              <w:left w:val="single" w:sz="4" w:space="0" w:color="auto"/>
              <w:bottom w:val="nil"/>
              <w:right w:val="single" w:sz="4" w:space="0" w:color="auto"/>
            </w:tcBorders>
          </w:tcPr>
          <w:p w14:paraId="04B781C7" w14:textId="77777777" w:rsidR="0002571C" w:rsidRPr="0002571C" w:rsidRDefault="0002571C" w:rsidP="0002571C">
            <w:pPr>
              <w:rPr>
                <w:rFonts w:eastAsia="Times New Roman"/>
                <w:sz w:val="16"/>
                <w:szCs w:val="16"/>
                <w:lang w:val="es-ES"/>
              </w:rPr>
            </w:pPr>
            <w:r w:rsidRPr="0002571C">
              <w:rPr>
                <w:rFonts w:eastAsia="Times New Roman"/>
                <w:sz w:val="16"/>
                <w:szCs w:val="16"/>
                <w:lang w:val="es-ES"/>
              </w:rPr>
              <w:t>Abr.</w:t>
            </w:r>
          </w:p>
        </w:tc>
        <w:tc>
          <w:tcPr>
            <w:tcW w:w="1185" w:type="dxa"/>
            <w:tcBorders>
              <w:top w:val="nil"/>
              <w:left w:val="single" w:sz="4" w:space="0" w:color="auto"/>
              <w:bottom w:val="nil"/>
              <w:right w:val="single" w:sz="4" w:space="0" w:color="auto"/>
            </w:tcBorders>
          </w:tcPr>
          <w:p w14:paraId="0EFA5117" w14:textId="77777777" w:rsidR="0002571C" w:rsidRPr="0002571C" w:rsidRDefault="0002571C" w:rsidP="0002571C">
            <w:pPr>
              <w:ind w:right="284"/>
              <w:jc w:val="right"/>
              <w:rPr>
                <w:rFonts w:eastAsia="Times New Roman"/>
                <w:sz w:val="16"/>
                <w:szCs w:val="16"/>
                <w:lang w:val="es-ES"/>
              </w:rPr>
            </w:pPr>
            <w:r w:rsidRPr="0002571C">
              <w:rPr>
                <w:rFonts w:eastAsia="Times New Roman"/>
                <w:sz w:val="16"/>
                <w:szCs w:val="16"/>
                <w:lang w:val="es-ES"/>
              </w:rPr>
              <w:t>0.07</w:t>
            </w:r>
          </w:p>
        </w:tc>
        <w:tc>
          <w:tcPr>
            <w:tcW w:w="1194" w:type="dxa"/>
            <w:tcBorders>
              <w:top w:val="nil"/>
              <w:left w:val="single" w:sz="4" w:space="0" w:color="auto"/>
              <w:bottom w:val="nil"/>
              <w:right w:val="single" w:sz="4" w:space="0" w:color="auto"/>
            </w:tcBorders>
          </w:tcPr>
          <w:p w14:paraId="34058FC3"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0.09</w:t>
            </w:r>
          </w:p>
        </w:tc>
        <w:tc>
          <w:tcPr>
            <w:tcW w:w="1412" w:type="dxa"/>
            <w:tcBorders>
              <w:top w:val="nil"/>
              <w:left w:val="single" w:sz="4" w:space="0" w:color="auto"/>
              <w:bottom w:val="nil"/>
              <w:right w:val="single" w:sz="4" w:space="0" w:color="auto"/>
            </w:tcBorders>
          </w:tcPr>
          <w:p w14:paraId="5468EC5A" w14:textId="77777777" w:rsidR="0002571C" w:rsidRPr="0002571C" w:rsidRDefault="0002571C" w:rsidP="0002571C">
            <w:pPr>
              <w:ind w:left="-5216" w:right="454"/>
              <w:jc w:val="right"/>
              <w:rPr>
                <w:rFonts w:eastAsia="Times New Roman"/>
                <w:sz w:val="16"/>
                <w:szCs w:val="16"/>
                <w:lang w:val="es-ES"/>
              </w:rPr>
            </w:pPr>
            <w:r w:rsidRPr="0002571C">
              <w:rPr>
                <w:rFonts w:eastAsia="Times New Roman"/>
                <w:sz w:val="16"/>
                <w:szCs w:val="16"/>
                <w:lang w:val="es-ES"/>
              </w:rPr>
              <w:t>0.06</w:t>
            </w:r>
          </w:p>
        </w:tc>
        <w:tc>
          <w:tcPr>
            <w:tcW w:w="1232" w:type="dxa"/>
            <w:tcBorders>
              <w:top w:val="nil"/>
              <w:left w:val="single" w:sz="4" w:space="0" w:color="auto"/>
              <w:bottom w:val="nil"/>
              <w:right w:val="single" w:sz="4" w:space="0" w:color="auto"/>
            </w:tcBorders>
          </w:tcPr>
          <w:p w14:paraId="58402198" w14:textId="77777777" w:rsidR="0002571C" w:rsidRPr="0002571C" w:rsidRDefault="0002571C" w:rsidP="0002571C">
            <w:pPr>
              <w:ind w:left="-2155" w:right="397"/>
              <w:jc w:val="right"/>
              <w:rPr>
                <w:rFonts w:eastAsia="Times New Roman"/>
                <w:sz w:val="16"/>
                <w:szCs w:val="16"/>
                <w:lang w:val="es-ES"/>
              </w:rPr>
            </w:pPr>
            <w:r w:rsidRPr="0002571C">
              <w:rPr>
                <w:rFonts w:eastAsia="Times New Roman"/>
                <w:sz w:val="16"/>
                <w:szCs w:val="16"/>
                <w:lang w:val="es-ES"/>
              </w:rPr>
              <w:t>0.00</w:t>
            </w:r>
          </w:p>
        </w:tc>
        <w:tc>
          <w:tcPr>
            <w:tcW w:w="1303" w:type="dxa"/>
            <w:tcBorders>
              <w:top w:val="nil"/>
              <w:left w:val="single" w:sz="4" w:space="0" w:color="auto"/>
              <w:bottom w:val="nil"/>
              <w:right w:val="single" w:sz="4" w:space="0" w:color="auto"/>
            </w:tcBorders>
          </w:tcPr>
          <w:p w14:paraId="2F55A973" w14:textId="77777777" w:rsidR="0002571C" w:rsidRPr="0002571C" w:rsidRDefault="0002571C" w:rsidP="0002571C">
            <w:pPr>
              <w:ind w:left="-2948" w:right="397"/>
              <w:jc w:val="right"/>
              <w:rPr>
                <w:rFonts w:eastAsia="Times New Roman"/>
                <w:sz w:val="16"/>
                <w:szCs w:val="16"/>
                <w:lang w:val="es-ES"/>
              </w:rPr>
            </w:pPr>
            <w:r w:rsidRPr="0002571C">
              <w:rPr>
                <w:rFonts w:eastAsia="Times New Roman"/>
                <w:sz w:val="16"/>
                <w:szCs w:val="16"/>
                <w:lang w:val="es-ES"/>
              </w:rPr>
              <w:t>-0.04</w:t>
            </w:r>
          </w:p>
        </w:tc>
        <w:tc>
          <w:tcPr>
            <w:tcW w:w="1319" w:type="dxa"/>
            <w:tcBorders>
              <w:top w:val="nil"/>
              <w:left w:val="single" w:sz="4" w:space="0" w:color="auto"/>
              <w:bottom w:val="nil"/>
            </w:tcBorders>
          </w:tcPr>
          <w:p w14:paraId="04526378" w14:textId="77777777" w:rsidR="0002571C" w:rsidRPr="0002571C" w:rsidRDefault="0002571C" w:rsidP="0002571C">
            <w:pPr>
              <w:ind w:left="-1588" w:right="397"/>
              <w:jc w:val="right"/>
              <w:rPr>
                <w:rFonts w:eastAsia="Times New Roman"/>
                <w:sz w:val="16"/>
                <w:szCs w:val="16"/>
                <w:lang w:val="es-ES"/>
              </w:rPr>
            </w:pPr>
            <w:r w:rsidRPr="0002571C">
              <w:rPr>
                <w:rFonts w:eastAsia="Times New Roman"/>
                <w:sz w:val="16"/>
                <w:szCs w:val="16"/>
                <w:lang w:val="es-ES"/>
              </w:rPr>
              <w:t>0.01</w:t>
            </w:r>
          </w:p>
        </w:tc>
      </w:tr>
      <w:tr w:rsidR="0002571C" w:rsidRPr="0002571C" w14:paraId="1A221D2E" w14:textId="77777777" w:rsidTr="001E7D79">
        <w:trPr>
          <w:jc w:val="center"/>
        </w:trPr>
        <w:tc>
          <w:tcPr>
            <w:tcW w:w="598" w:type="dxa"/>
            <w:vMerge/>
            <w:tcBorders>
              <w:right w:val="single" w:sz="4" w:space="0" w:color="auto"/>
            </w:tcBorders>
            <w:shd w:val="clear" w:color="auto" w:fill="auto"/>
          </w:tcPr>
          <w:p w14:paraId="1601A8B7" w14:textId="77777777" w:rsidR="0002571C" w:rsidRPr="0002571C" w:rsidRDefault="0002571C" w:rsidP="0002571C">
            <w:pPr>
              <w:rPr>
                <w:rFonts w:eastAsia="Times New Roman"/>
                <w:sz w:val="16"/>
                <w:szCs w:val="16"/>
                <w:lang w:val="es-ES"/>
              </w:rPr>
            </w:pPr>
          </w:p>
        </w:tc>
        <w:tc>
          <w:tcPr>
            <w:tcW w:w="595" w:type="dxa"/>
            <w:tcBorders>
              <w:top w:val="nil"/>
              <w:left w:val="single" w:sz="4" w:space="0" w:color="auto"/>
              <w:bottom w:val="nil"/>
              <w:right w:val="single" w:sz="4" w:space="0" w:color="auto"/>
            </w:tcBorders>
          </w:tcPr>
          <w:p w14:paraId="58B24208" w14:textId="77777777" w:rsidR="0002571C" w:rsidRPr="0002571C" w:rsidRDefault="0002571C" w:rsidP="0002571C">
            <w:pPr>
              <w:rPr>
                <w:rFonts w:eastAsia="Times New Roman"/>
                <w:sz w:val="16"/>
                <w:szCs w:val="16"/>
                <w:lang w:val="es-ES"/>
              </w:rPr>
            </w:pPr>
            <w:r w:rsidRPr="0002571C">
              <w:rPr>
                <w:rFonts w:eastAsia="Times New Roman"/>
                <w:sz w:val="16"/>
                <w:szCs w:val="16"/>
                <w:lang w:val="es-ES"/>
              </w:rPr>
              <w:t>May.</w:t>
            </w:r>
          </w:p>
        </w:tc>
        <w:tc>
          <w:tcPr>
            <w:tcW w:w="1185" w:type="dxa"/>
            <w:tcBorders>
              <w:top w:val="nil"/>
              <w:left w:val="single" w:sz="4" w:space="0" w:color="auto"/>
              <w:bottom w:val="nil"/>
              <w:right w:val="single" w:sz="4" w:space="0" w:color="auto"/>
            </w:tcBorders>
          </w:tcPr>
          <w:p w14:paraId="499C06AC" w14:textId="77777777" w:rsidR="0002571C" w:rsidRPr="0002571C" w:rsidRDefault="0002571C" w:rsidP="0002571C">
            <w:pPr>
              <w:ind w:right="284"/>
              <w:jc w:val="right"/>
              <w:rPr>
                <w:rFonts w:eastAsia="Times New Roman"/>
                <w:sz w:val="16"/>
                <w:szCs w:val="16"/>
                <w:lang w:val="es-ES"/>
              </w:rPr>
            </w:pPr>
            <w:r w:rsidRPr="0002571C">
              <w:rPr>
                <w:rFonts w:eastAsia="Times New Roman"/>
                <w:sz w:val="16"/>
                <w:szCs w:val="16"/>
                <w:lang w:val="es-ES"/>
              </w:rPr>
              <w:t>0.08</w:t>
            </w:r>
          </w:p>
        </w:tc>
        <w:tc>
          <w:tcPr>
            <w:tcW w:w="1194" w:type="dxa"/>
            <w:tcBorders>
              <w:top w:val="nil"/>
              <w:left w:val="single" w:sz="4" w:space="0" w:color="auto"/>
              <w:bottom w:val="nil"/>
              <w:right w:val="single" w:sz="4" w:space="0" w:color="auto"/>
            </w:tcBorders>
          </w:tcPr>
          <w:p w14:paraId="01B8BF31"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0.08</w:t>
            </w:r>
          </w:p>
        </w:tc>
        <w:tc>
          <w:tcPr>
            <w:tcW w:w="1412" w:type="dxa"/>
            <w:tcBorders>
              <w:top w:val="nil"/>
              <w:left w:val="single" w:sz="4" w:space="0" w:color="auto"/>
              <w:bottom w:val="nil"/>
              <w:right w:val="single" w:sz="4" w:space="0" w:color="auto"/>
            </w:tcBorders>
          </w:tcPr>
          <w:p w14:paraId="278B71F3" w14:textId="77777777" w:rsidR="0002571C" w:rsidRPr="0002571C" w:rsidRDefault="0002571C" w:rsidP="0002571C">
            <w:pPr>
              <w:ind w:left="-5216" w:right="454"/>
              <w:jc w:val="right"/>
              <w:rPr>
                <w:rFonts w:eastAsia="Times New Roman"/>
                <w:sz w:val="16"/>
                <w:szCs w:val="16"/>
                <w:lang w:val="es-ES"/>
              </w:rPr>
            </w:pPr>
            <w:r w:rsidRPr="0002571C">
              <w:rPr>
                <w:rFonts w:eastAsia="Times New Roman"/>
                <w:sz w:val="16"/>
                <w:szCs w:val="16"/>
                <w:lang w:val="es-ES"/>
              </w:rPr>
              <w:t>0.09</w:t>
            </w:r>
          </w:p>
        </w:tc>
        <w:tc>
          <w:tcPr>
            <w:tcW w:w="1232" w:type="dxa"/>
            <w:tcBorders>
              <w:top w:val="nil"/>
              <w:left w:val="single" w:sz="4" w:space="0" w:color="auto"/>
              <w:bottom w:val="nil"/>
              <w:right w:val="single" w:sz="4" w:space="0" w:color="auto"/>
            </w:tcBorders>
          </w:tcPr>
          <w:p w14:paraId="2B9F4522" w14:textId="77777777" w:rsidR="0002571C" w:rsidRPr="0002571C" w:rsidRDefault="0002571C" w:rsidP="0002571C">
            <w:pPr>
              <w:ind w:left="-2155" w:right="397"/>
              <w:jc w:val="right"/>
              <w:rPr>
                <w:rFonts w:eastAsia="Times New Roman"/>
                <w:sz w:val="16"/>
                <w:szCs w:val="16"/>
                <w:lang w:val="es-ES"/>
              </w:rPr>
            </w:pPr>
            <w:r w:rsidRPr="0002571C">
              <w:rPr>
                <w:rFonts w:eastAsia="Times New Roman"/>
                <w:sz w:val="16"/>
                <w:szCs w:val="16"/>
                <w:lang w:val="es-ES"/>
              </w:rPr>
              <w:t>-0.01</w:t>
            </w:r>
          </w:p>
        </w:tc>
        <w:tc>
          <w:tcPr>
            <w:tcW w:w="1303" w:type="dxa"/>
            <w:tcBorders>
              <w:top w:val="nil"/>
              <w:left w:val="single" w:sz="4" w:space="0" w:color="auto"/>
              <w:bottom w:val="nil"/>
              <w:right w:val="single" w:sz="4" w:space="0" w:color="auto"/>
            </w:tcBorders>
          </w:tcPr>
          <w:p w14:paraId="182BE945" w14:textId="77777777" w:rsidR="0002571C" w:rsidRPr="0002571C" w:rsidRDefault="0002571C" w:rsidP="0002571C">
            <w:pPr>
              <w:ind w:left="-2948" w:right="397"/>
              <w:jc w:val="right"/>
              <w:rPr>
                <w:rFonts w:eastAsia="Times New Roman"/>
                <w:sz w:val="16"/>
                <w:szCs w:val="16"/>
                <w:lang w:val="es-ES"/>
              </w:rPr>
            </w:pPr>
            <w:r w:rsidRPr="0002571C">
              <w:rPr>
                <w:rFonts w:eastAsia="Times New Roman"/>
                <w:sz w:val="16"/>
                <w:szCs w:val="16"/>
                <w:lang w:val="es-ES"/>
              </w:rPr>
              <w:t>-0.07</w:t>
            </w:r>
          </w:p>
        </w:tc>
        <w:tc>
          <w:tcPr>
            <w:tcW w:w="1319" w:type="dxa"/>
            <w:tcBorders>
              <w:top w:val="nil"/>
              <w:left w:val="single" w:sz="4" w:space="0" w:color="auto"/>
              <w:bottom w:val="nil"/>
            </w:tcBorders>
          </w:tcPr>
          <w:p w14:paraId="67A0AD38" w14:textId="77777777" w:rsidR="0002571C" w:rsidRPr="0002571C" w:rsidRDefault="0002571C" w:rsidP="0002571C">
            <w:pPr>
              <w:ind w:left="-1588" w:right="397"/>
              <w:jc w:val="right"/>
              <w:rPr>
                <w:rFonts w:eastAsia="Times New Roman"/>
                <w:sz w:val="16"/>
                <w:szCs w:val="16"/>
                <w:lang w:val="es-ES"/>
              </w:rPr>
            </w:pPr>
            <w:r w:rsidRPr="0002571C">
              <w:rPr>
                <w:rFonts w:eastAsia="Times New Roman"/>
                <w:sz w:val="16"/>
                <w:szCs w:val="16"/>
                <w:lang w:val="es-ES"/>
              </w:rPr>
              <w:t>0.01</w:t>
            </w:r>
          </w:p>
        </w:tc>
      </w:tr>
      <w:tr w:rsidR="0002571C" w:rsidRPr="0002571C" w14:paraId="3C7C74A9" w14:textId="77777777" w:rsidTr="001E7D79">
        <w:trPr>
          <w:jc w:val="center"/>
        </w:trPr>
        <w:tc>
          <w:tcPr>
            <w:tcW w:w="598" w:type="dxa"/>
            <w:vMerge/>
            <w:tcBorders>
              <w:right w:val="single" w:sz="4" w:space="0" w:color="auto"/>
            </w:tcBorders>
            <w:shd w:val="clear" w:color="auto" w:fill="auto"/>
          </w:tcPr>
          <w:p w14:paraId="29C62D67" w14:textId="77777777" w:rsidR="0002571C" w:rsidRPr="0002571C" w:rsidRDefault="0002571C" w:rsidP="0002571C">
            <w:pPr>
              <w:rPr>
                <w:rFonts w:eastAsia="Times New Roman"/>
                <w:sz w:val="16"/>
                <w:szCs w:val="16"/>
                <w:lang w:val="es-ES"/>
              </w:rPr>
            </w:pPr>
          </w:p>
        </w:tc>
        <w:tc>
          <w:tcPr>
            <w:tcW w:w="595" w:type="dxa"/>
            <w:tcBorders>
              <w:top w:val="nil"/>
              <w:left w:val="single" w:sz="4" w:space="0" w:color="auto"/>
              <w:bottom w:val="nil"/>
              <w:right w:val="single" w:sz="4" w:space="0" w:color="auto"/>
            </w:tcBorders>
          </w:tcPr>
          <w:p w14:paraId="32C88B08" w14:textId="77777777" w:rsidR="0002571C" w:rsidRPr="0002571C" w:rsidRDefault="0002571C" w:rsidP="0002571C">
            <w:pPr>
              <w:rPr>
                <w:rFonts w:eastAsia="Times New Roman"/>
                <w:sz w:val="16"/>
                <w:szCs w:val="16"/>
                <w:lang w:val="es-ES"/>
              </w:rPr>
            </w:pPr>
            <w:r w:rsidRPr="0002571C">
              <w:rPr>
                <w:rFonts w:eastAsia="Times New Roman"/>
                <w:sz w:val="16"/>
                <w:szCs w:val="16"/>
                <w:lang w:val="es-ES"/>
              </w:rPr>
              <w:t>Jun.</w:t>
            </w:r>
          </w:p>
        </w:tc>
        <w:tc>
          <w:tcPr>
            <w:tcW w:w="1185" w:type="dxa"/>
            <w:tcBorders>
              <w:top w:val="nil"/>
              <w:left w:val="single" w:sz="4" w:space="0" w:color="auto"/>
              <w:bottom w:val="nil"/>
              <w:right w:val="single" w:sz="4" w:space="0" w:color="auto"/>
            </w:tcBorders>
          </w:tcPr>
          <w:p w14:paraId="528A77BD" w14:textId="77777777" w:rsidR="0002571C" w:rsidRPr="0002571C" w:rsidRDefault="0002571C" w:rsidP="0002571C">
            <w:pPr>
              <w:ind w:right="284"/>
              <w:jc w:val="right"/>
              <w:rPr>
                <w:rFonts w:eastAsia="Times New Roman"/>
                <w:sz w:val="16"/>
                <w:szCs w:val="16"/>
                <w:lang w:val="es-ES"/>
              </w:rPr>
            </w:pPr>
            <w:r w:rsidRPr="0002571C">
              <w:rPr>
                <w:rFonts w:eastAsia="Times New Roman"/>
                <w:sz w:val="16"/>
                <w:szCs w:val="16"/>
                <w:lang w:val="es-ES"/>
              </w:rPr>
              <w:t>0.09</w:t>
            </w:r>
          </w:p>
        </w:tc>
        <w:tc>
          <w:tcPr>
            <w:tcW w:w="1194" w:type="dxa"/>
            <w:tcBorders>
              <w:top w:val="nil"/>
              <w:left w:val="single" w:sz="4" w:space="0" w:color="auto"/>
              <w:bottom w:val="nil"/>
              <w:right w:val="single" w:sz="4" w:space="0" w:color="auto"/>
            </w:tcBorders>
          </w:tcPr>
          <w:p w14:paraId="25207297"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0.06</w:t>
            </w:r>
          </w:p>
        </w:tc>
        <w:tc>
          <w:tcPr>
            <w:tcW w:w="1412" w:type="dxa"/>
            <w:tcBorders>
              <w:top w:val="nil"/>
              <w:left w:val="single" w:sz="4" w:space="0" w:color="auto"/>
              <w:bottom w:val="nil"/>
              <w:right w:val="single" w:sz="4" w:space="0" w:color="auto"/>
            </w:tcBorders>
          </w:tcPr>
          <w:p w14:paraId="68D8D808" w14:textId="77777777" w:rsidR="0002571C" w:rsidRPr="0002571C" w:rsidRDefault="0002571C" w:rsidP="0002571C">
            <w:pPr>
              <w:ind w:left="-5216" w:right="454"/>
              <w:jc w:val="right"/>
              <w:rPr>
                <w:rFonts w:eastAsia="Times New Roman"/>
                <w:sz w:val="16"/>
                <w:szCs w:val="16"/>
                <w:lang w:val="es-ES"/>
              </w:rPr>
            </w:pPr>
            <w:r w:rsidRPr="0002571C">
              <w:rPr>
                <w:rFonts w:eastAsia="Times New Roman"/>
                <w:sz w:val="16"/>
                <w:szCs w:val="16"/>
                <w:lang w:val="es-ES"/>
              </w:rPr>
              <w:t>0.11</w:t>
            </w:r>
          </w:p>
        </w:tc>
        <w:tc>
          <w:tcPr>
            <w:tcW w:w="1232" w:type="dxa"/>
            <w:tcBorders>
              <w:top w:val="nil"/>
              <w:left w:val="single" w:sz="4" w:space="0" w:color="auto"/>
              <w:bottom w:val="nil"/>
              <w:right w:val="single" w:sz="4" w:space="0" w:color="auto"/>
            </w:tcBorders>
          </w:tcPr>
          <w:p w14:paraId="61E48831" w14:textId="77777777" w:rsidR="0002571C" w:rsidRPr="0002571C" w:rsidRDefault="0002571C" w:rsidP="0002571C">
            <w:pPr>
              <w:ind w:left="-2155" w:right="397"/>
              <w:jc w:val="right"/>
              <w:rPr>
                <w:rFonts w:eastAsia="Times New Roman"/>
                <w:sz w:val="16"/>
                <w:szCs w:val="16"/>
                <w:lang w:val="es-ES"/>
              </w:rPr>
            </w:pPr>
            <w:r w:rsidRPr="0002571C">
              <w:rPr>
                <w:rFonts w:eastAsia="Times New Roman"/>
                <w:sz w:val="16"/>
                <w:szCs w:val="16"/>
                <w:lang w:val="es-ES"/>
              </w:rPr>
              <w:t>-0.01</w:t>
            </w:r>
          </w:p>
        </w:tc>
        <w:tc>
          <w:tcPr>
            <w:tcW w:w="1303" w:type="dxa"/>
            <w:tcBorders>
              <w:top w:val="nil"/>
              <w:left w:val="single" w:sz="4" w:space="0" w:color="auto"/>
              <w:bottom w:val="nil"/>
              <w:right w:val="single" w:sz="4" w:space="0" w:color="auto"/>
            </w:tcBorders>
          </w:tcPr>
          <w:p w14:paraId="17499F1D" w14:textId="77777777" w:rsidR="0002571C" w:rsidRPr="0002571C" w:rsidRDefault="0002571C" w:rsidP="0002571C">
            <w:pPr>
              <w:ind w:left="-2948" w:right="397"/>
              <w:jc w:val="right"/>
              <w:rPr>
                <w:rFonts w:eastAsia="Times New Roman"/>
                <w:sz w:val="16"/>
                <w:szCs w:val="16"/>
                <w:lang w:val="es-ES"/>
              </w:rPr>
            </w:pPr>
            <w:r w:rsidRPr="0002571C">
              <w:rPr>
                <w:rFonts w:eastAsia="Times New Roman"/>
                <w:sz w:val="16"/>
                <w:szCs w:val="16"/>
                <w:lang w:val="es-ES"/>
              </w:rPr>
              <w:t>-0.10</w:t>
            </w:r>
          </w:p>
        </w:tc>
        <w:tc>
          <w:tcPr>
            <w:tcW w:w="1319" w:type="dxa"/>
            <w:tcBorders>
              <w:top w:val="nil"/>
              <w:left w:val="single" w:sz="4" w:space="0" w:color="auto"/>
              <w:bottom w:val="nil"/>
            </w:tcBorders>
          </w:tcPr>
          <w:p w14:paraId="7E69D0CE" w14:textId="77777777" w:rsidR="0002571C" w:rsidRPr="0002571C" w:rsidRDefault="0002571C" w:rsidP="0002571C">
            <w:pPr>
              <w:ind w:left="-1588" w:right="397"/>
              <w:jc w:val="right"/>
              <w:rPr>
                <w:rFonts w:eastAsia="Times New Roman"/>
                <w:sz w:val="16"/>
                <w:szCs w:val="16"/>
                <w:lang w:val="es-ES"/>
              </w:rPr>
            </w:pPr>
            <w:r w:rsidRPr="0002571C">
              <w:rPr>
                <w:rFonts w:eastAsia="Times New Roman"/>
                <w:sz w:val="16"/>
                <w:szCs w:val="16"/>
                <w:lang w:val="es-ES"/>
              </w:rPr>
              <w:t>0.00</w:t>
            </w:r>
          </w:p>
        </w:tc>
      </w:tr>
      <w:tr w:rsidR="0002571C" w:rsidRPr="0002571C" w14:paraId="11DE0FAF" w14:textId="77777777" w:rsidTr="001E7D79">
        <w:trPr>
          <w:jc w:val="center"/>
        </w:trPr>
        <w:tc>
          <w:tcPr>
            <w:tcW w:w="598" w:type="dxa"/>
            <w:vMerge/>
            <w:tcBorders>
              <w:right w:val="single" w:sz="4" w:space="0" w:color="auto"/>
            </w:tcBorders>
            <w:shd w:val="clear" w:color="auto" w:fill="auto"/>
          </w:tcPr>
          <w:p w14:paraId="0D943AC2" w14:textId="77777777" w:rsidR="0002571C" w:rsidRPr="0002571C" w:rsidRDefault="0002571C" w:rsidP="0002571C">
            <w:pPr>
              <w:rPr>
                <w:rFonts w:eastAsia="Times New Roman"/>
                <w:sz w:val="16"/>
                <w:szCs w:val="16"/>
                <w:lang w:val="es-ES"/>
              </w:rPr>
            </w:pPr>
          </w:p>
        </w:tc>
        <w:tc>
          <w:tcPr>
            <w:tcW w:w="595" w:type="dxa"/>
            <w:tcBorders>
              <w:top w:val="nil"/>
              <w:left w:val="single" w:sz="4" w:space="0" w:color="auto"/>
              <w:bottom w:val="nil"/>
              <w:right w:val="single" w:sz="4" w:space="0" w:color="auto"/>
            </w:tcBorders>
          </w:tcPr>
          <w:p w14:paraId="0A9EE345" w14:textId="77777777" w:rsidR="0002571C" w:rsidRPr="0002571C" w:rsidRDefault="0002571C" w:rsidP="0002571C">
            <w:pPr>
              <w:rPr>
                <w:rFonts w:eastAsia="Times New Roman"/>
                <w:sz w:val="16"/>
                <w:szCs w:val="16"/>
                <w:lang w:val="es-ES"/>
              </w:rPr>
            </w:pPr>
            <w:r w:rsidRPr="0002571C">
              <w:rPr>
                <w:rFonts w:eastAsia="Times New Roman"/>
                <w:sz w:val="16"/>
                <w:szCs w:val="16"/>
                <w:lang w:val="es-ES"/>
              </w:rPr>
              <w:t>Jul.</w:t>
            </w:r>
          </w:p>
        </w:tc>
        <w:tc>
          <w:tcPr>
            <w:tcW w:w="1185" w:type="dxa"/>
            <w:tcBorders>
              <w:top w:val="nil"/>
              <w:left w:val="single" w:sz="4" w:space="0" w:color="auto"/>
              <w:bottom w:val="nil"/>
              <w:right w:val="single" w:sz="4" w:space="0" w:color="auto"/>
            </w:tcBorders>
          </w:tcPr>
          <w:p w14:paraId="0C8189CA" w14:textId="77777777" w:rsidR="0002571C" w:rsidRPr="0002571C" w:rsidRDefault="0002571C" w:rsidP="0002571C">
            <w:pPr>
              <w:ind w:right="284"/>
              <w:jc w:val="right"/>
              <w:rPr>
                <w:rFonts w:eastAsia="Times New Roman"/>
                <w:sz w:val="16"/>
                <w:szCs w:val="16"/>
                <w:lang w:val="es-ES"/>
              </w:rPr>
            </w:pPr>
            <w:r w:rsidRPr="0002571C">
              <w:rPr>
                <w:rFonts w:eastAsia="Times New Roman"/>
                <w:sz w:val="16"/>
                <w:szCs w:val="16"/>
                <w:lang w:val="es-ES"/>
              </w:rPr>
              <w:t>0.11</w:t>
            </w:r>
          </w:p>
        </w:tc>
        <w:tc>
          <w:tcPr>
            <w:tcW w:w="1194" w:type="dxa"/>
            <w:tcBorders>
              <w:top w:val="nil"/>
              <w:left w:val="single" w:sz="4" w:space="0" w:color="auto"/>
              <w:bottom w:val="nil"/>
              <w:right w:val="single" w:sz="4" w:space="0" w:color="auto"/>
            </w:tcBorders>
          </w:tcPr>
          <w:p w14:paraId="608FB4F1"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0.04</w:t>
            </w:r>
          </w:p>
        </w:tc>
        <w:tc>
          <w:tcPr>
            <w:tcW w:w="1412" w:type="dxa"/>
            <w:tcBorders>
              <w:top w:val="nil"/>
              <w:left w:val="single" w:sz="4" w:space="0" w:color="auto"/>
              <w:bottom w:val="nil"/>
              <w:right w:val="single" w:sz="4" w:space="0" w:color="auto"/>
            </w:tcBorders>
          </w:tcPr>
          <w:p w14:paraId="041D61FD" w14:textId="77777777" w:rsidR="0002571C" w:rsidRPr="0002571C" w:rsidRDefault="0002571C" w:rsidP="0002571C">
            <w:pPr>
              <w:ind w:left="-5216" w:right="454"/>
              <w:jc w:val="right"/>
              <w:rPr>
                <w:rFonts w:eastAsia="Times New Roman"/>
                <w:sz w:val="16"/>
                <w:szCs w:val="16"/>
                <w:lang w:val="es-ES"/>
              </w:rPr>
            </w:pPr>
            <w:r w:rsidRPr="0002571C">
              <w:rPr>
                <w:rFonts w:eastAsia="Times New Roman"/>
                <w:sz w:val="16"/>
                <w:szCs w:val="16"/>
                <w:lang w:val="es-ES"/>
              </w:rPr>
              <w:t>0.10</w:t>
            </w:r>
          </w:p>
        </w:tc>
        <w:tc>
          <w:tcPr>
            <w:tcW w:w="1232" w:type="dxa"/>
            <w:tcBorders>
              <w:top w:val="nil"/>
              <w:left w:val="single" w:sz="4" w:space="0" w:color="auto"/>
              <w:bottom w:val="nil"/>
              <w:right w:val="single" w:sz="4" w:space="0" w:color="auto"/>
            </w:tcBorders>
          </w:tcPr>
          <w:p w14:paraId="7644D19E" w14:textId="77777777" w:rsidR="0002571C" w:rsidRPr="0002571C" w:rsidRDefault="0002571C" w:rsidP="0002571C">
            <w:pPr>
              <w:ind w:left="-2155" w:right="397"/>
              <w:jc w:val="right"/>
              <w:rPr>
                <w:rFonts w:eastAsia="Times New Roman"/>
                <w:sz w:val="16"/>
                <w:szCs w:val="16"/>
                <w:lang w:val="es-ES"/>
              </w:rPr>
            </w:pPr>
            <w:r w:rsidRPr="0002571C">
              <w:rPr>
                <w:rFonts w:eastAsia="Times New Roman"/>
                <w:sz w:val="16"/>
                <w:szCs w:val="16"/>
                <w:lang w:val="es-ES"/>
              </w:rPr>
              <w:t>-0.02</w:t>
            </w:r>
          </w:p>
        </w:tc>
        <w:tc>
          <w:tcPr>
            <w:tcW w:w="1303" w:type="dxa"/>
            <w:tcBorders>
              <w:top w:val="nil"/>
              <w:left w:val="single" w:sz="4" w:space="0" w:color="auto"/>
              <w:bottom w:val="nil"/>
              <w:right w:val="single" w:sz="4" w:space="0" w:color="auto"/>
            </w:tcBorders>
          </w:tcPr>
          <w:p w14:paraId="492A88C5" w14:textId="77777777" w:rsidR="0002571C" w:rsidRPr="0002571C" w:rsidRDefault="0002571C" w:rsidP="0002571C">
            <w:pPr>
              <w:ind w:left="-2948" w:right="397"/>
              <w:jc w:val="right"/>
              <w:rPr>
                <w:rFonts w:eastAsia="Times New Roman"/>
                <w:sz w:val="16"/>
                <w:szCs w:val="16"/>
                <w:lang w:val="es-ES"/>
              </w:rPr>
            </w:pPr>
            <w:r w:rsidRPr="0002571C">
              <w:rPr>
                <w:rFonts w:eastAsia="Times New Roman"/>
                <w:sz w:val="16"/>
                <w:szCs w:val="16"/>
                <w:lang w:val="es-ES"/>
              </w:rPr>
              <w:t>-0.09</w:t>
            </w:r>
          </w:p>
        </w:tc>
        <w:tc>
          <w:tcPr>
            <w:tcW w:w="1319" w:type="dxa"/>
            <w:tcBorders>
              <w:top w:val="nil"/>
              <w:left w:val="single" w:sz="4" w:space="0" w:color="auto"/>
              <w:bottom w:val="nil"/>
            </w:tcBorders>
          </w:tcPr>
          <w:p w14:paraId="7FCDB678" w14:textId="77777777" w:rsidR="0002571C" w:rsidRPr="0002571C" w:rsidRDefault="0002571C" w:rsidP="0002571C">
            <w:pPr>
              <w:ind w:left="-1588" w:right="397"/>
              <w:jc w:val="right"/>
              <w:rPr>
                <w:rFonts w:eastAsia="Times New Roman"/>
                <w:sz w:val="16"/>
                <w:szCs w:val="16"/>
                <w:lang w:val="es-ES"/>
              </w:rPr>
            </w:pPr>
            <w:r w:rsidRPr="0002571C">
              <w:rPr>
                <w:rFonts w:eastAsia="Times New Roman"/>
                <w:sz w:val="16"/>
                <w:szCs w:val="16"/>
                <w:lang w:val="es-ES"/>
              </w:rPr>
              <w:t>-0.01</w:t>
            </w:r>
          </w:p>
        </w:tc>
      </w:tr>
      <w:tr w:rsidR="0002571C" w:rsidRPr="0002571C" w14:paraId="3EC018FA" w14:textId="77777777" w:rsidTr="001E7D79">
        <w:trPr>
          <w:jc w:val="center"/>
        </w:trPr>
        <w:tc>
          <w:tcPr>
            <w:tcW w:w="598" w:type="dxa"/>
            <w:vMerge/>
            <w:tcBorders>
              <w:right w:val="single" w:sz="4" w:space="0" w:color="auto"/>
            </w:tcBorders>
            <w:shd w:val="clear" w:color="auto" w:fill="auto"/>
          </w:tcPr>
          <w:p w14:paraId="0F0C6A3E" w14:textId="77777777" w:rsidR="0002571C" w:rsidRPr="0002571C" w:rsidRDefault="0002571C" w:rsidP="0002571C">
            <w:pPr>
              <w:rPr>
                <w:rFonts w:eastAsia="Times New Roman"/>
                <w:sz w:val="16"/>
                <w:szCs w:val="16"/>
                <w:lang w:val="es-ES"/>
              </w:rPr>
            </w:pPr>
          </w:p>
        </w:tc>
        <w:tc>
          <w:tcPr>
            <w:tcW w:w="595" w:type="dxa"/>
            <w:tcBorders>
              <w:top w:val="nil"/>
              <w:left w:val="single" w:sz="4" w:space="0" w:color="auto"/>
              <w:bottom w:val="nil"/>
              <w:right w:val="single" w:sz="4" w:space="0" w:color="auto"/>
            </w:tcBorders>
          </w:tcPr>
          <w:p w14:paraId="6A5492CE" w14:textId="77777777" w:rsidR="0002571C" w:rsidRPr="0002571C" w:rsidRDefault="0002571C" w:rsidP="0002571C">
            <w:pPr>
              <w:rPr>
                <w:rFonts w:eastAsia="Times New Roman"/>
                <w:sz w:val="16"/>
                <w:szCs w:val="16"/>
                <w:lang w:val="es-ES"/>
              </w:rPr>
            </w:pPr>
            <w:r w:rsidRPr="0002571C">
              <w:rPr>
                <w:rFonts w:eastAsia="Times New Roman"/>
                <w:sz w:val="16"/>
                <w:szCs w:val="16"/>
                <w:lang w:val="es-ES"/>
              </w:rPr>
              <w:t>Ago.</w:t>
            </w:r>
          </w:p>
        </w:tc>
        <w:tc>
          <w:tcPr>
            <w:tcW w:w="1185" w:type="dxa"/>
            <w:tcBorders>
              <w:top w:val="nil"/>
              <w:left w:val="single" w:sz="4" w:space="0" w:color="auto"/>
              <w:bottom w:val="nil"/>
              <w:right w:val="single" w:sz="4" w:space="0" w:color="auto"/>
            </w:tcBorders>
          </w:tcPr>
          <w:p w14:paraId="4990D136" w14:textId="77777777" w:rsidR="0002571C" w:rsidRPr="0002571C" w:rsidRDefault="0002571C" w:rsidP="0002571C">
            <w:pPr>
              <w:ind w:right="284"/>
              <w:jc w:val="right"/>
              <w:rPr>
                <w:rFonts w:eastAsia="Times New Roman"/>
                <w:sz w:val="16"/>
                <w:szCs w:val="16"/>
                <w:lang w:val="es-ES"/>
              </w:rPr>
            </w:pPr>
            <w:r w:rsidRPr="0002571C">
              <w:rPr>
                <w:rFonts w:eastAsia="Times New Roman"/>
                <w:sz w:val="16"/>
                <w:szCs w:val="16"/>
                <w:lang w:val="es-ES"/>
              </w:rPr>
              <w:t>0.12</w:t>
            </w:r>
          </w:p>
        </w:tc>
        <w:tc>
          <w:tcPr>
            <w:tcW w:w="1194" w:type="dxa"/>
            <w:tcBorders>
              <w:top w:val="nil"/>
              <w:left w:val="single" w:sz="4" w:space="0" w:color="auto"/>
              <w:bottom w:val="nil"/>
              <w:right w:val="single" w:sz="4" w:space="0" w:color="auto"/>
            </w:tcBorders>
          </w:tcPr>
          <w:p w14:paraId="53B6DF6E"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0.01</w:t>
            </w:r>
          </w:p>
        </w:tc>
        <w:tc>
          <w:tcPr>
            <w:tcW w:w="1412" w:type="dxa"/>
            <w:tcBorders>
              <w:top w:val="nil"/>
              <w:left w:val="single" w:sz="4" w:space="0" w:color="auto"/>
              <w:bottom w:val="nil"/>
              <w:right w:val="single" w:sz="4" w:space="0" w:color="auto"/>
            </w:tcBorders>
          </w:tcPr>
          <w:p w14:paraId="29A65E7F" w14:textId="77777777" w:rsidR="0002571C" w:rsidRPr="0002571C" w:rsidRDefault="0002571C" w:rsidP="0002571C">
            <w:pPr>
              <w:ind w:left="-5216" w:right="454"/>
              <w:jc w:val="right"/>
              <w:rPr>
                <w:rFonts w:eastAsia="Times New Roman"/>
                <w:sz w:val="16"/>
                <w:szCs w:val="16"/>
                <w:lang w:val="es-ES"/>
              </w:rPr>
            </w:pPr>
            <w:r w:rsidRPr="0002571C">
              <w:rPr>
                <w:rFonts w:eastAsia="Times New Roman"/>
                <w:sz w:val="16"/>
                <w:szCs w:val="16"/>
                <w:lang w:val="es-ES"/>
              </w:rPr>
              <w:t>0.06</w:t>
            </w:r>
          </w:p>
        </w:tc>
        <w:tc>
          <w:tcPr>
            <w:tcW w:w="1232" w:type="dxa"/>
            <w:tcBorders>
              <w:top w:val="nil"/>
              <w:left w:val="single" w:sz="4" w:space="0" w:color="auto"/>
              <w:bottom w:val="nil"/>
              <w:right w:val="single" w:sz="4" w:space="0" w:color="auto"/>
            </w:tcBorders>
          </w:tcPr>
          <w:p w14:paraId="6E83F850" w14:textId="77777777" w:rsidR="0002571C" w:rsidRPr="0002571C" w:rsidRDefault="0002571C" w:rsidP="0002571C">
            <w:pPr>
              <w:ind w:left="-2155" w:right="397"/>
              <w:jc w:val="right"/>
              <w:rPr>
                <w:rFonts w:eastAsia="Times New Roman"/>
                <w:sz w:val="16"/>
                <w:szCs w:val="16"/>
                <w:lang w:val="es-ES"/>
              </w:rPr>
            </w:pPr>
            <w:r w:rsidRPr="0002571C">
              <w:rPr>
                <w:rFonts w:eastAsia="Times New Roman"/>
                <w:sz w:val="16"/>
                <w:szCs w:val="16"/>
                <w:lang w:val="es-ES"/>
              </w:rPr>
              <w:t>-0.01</w:t>
            </w:r>
          </w:p>
        </w:tc>
        <w:tc>
          <w:tcPr>
            <w:tcW w:w="1303" w:type="dxa"/>
            <w:tcBorders>
              <w:top w:val="nil"/>
              <w:left w:val="single" w:sz="4" w:space="0" w:color="auto"/>
              <w:bottom w:val="nil"/>
              <w:right w:val="single" w:sz="4" w:space="0" w:color="auto"/>
            </w:tcBorders>
          </w:tcPr>
          <w:p w14:paraId="57DA0E85" w14:textId="77777777" w:rsidR="0002571C" w:rsidRPr="0002571C" w:rsidRDefault="0002571C" w:rsidP="0002571C">
            <w:pPr>
              <w:ind w:left="-2948" w:right="397"/>
              <w:jc w:val="right"/>
              <w:rPr>
                <w:rFonts w:eastAsia="Times New Roman"/>
                <w:sz w:val="16"/>
                <w:szCs w:val="16"/>
                <w:lang w:val="es-ES"/>
              </w:rPr>
            </w:pPr>
            <w:r w:rsidRPr="0002571C">
              <w:rPr>
                <w:rFonts w:eastAsia="Times New Roman"/>
                <w:sz w:val="16"/>
                <w:szCs w:val="16"/>
                <w:lang w:val="es-ES"/>
              </w:rPr>
              <w:t>-0.06</w:t>
            </w:r>
          </w:p>
        </w:tc>
        <w:tc>
          <w:tcPr>
            <w:tcW w:w="1319" w:type="dxa"/>
            <w:tcBorders>
              <w:top w:val="nil"/>
              <w:left w:val="single" w:sz="4" w:space="0" w:color="auto"/>
              <w:bottom w:val="nil"/>
            </w:tcBorders>
          </w:tcPr>
          <w:p w14:paraId="636BEF16" w14:textId="77777777" w:rsidR="0002571C" w:rsidRPr="0002571C" w:rsidRDefault="0002571C" w:rsidP="0002571C">
            <w:pPr>
              <w:ind w:left="-1588" w:right="397"/>
              <w:jc w:val="right"/>
              <w:rPr>
                <w:rFonts w:eastAsia="Times New Roman"/>
                <w:sz w:val="16"/>
                <w:szCs w:val="16"/>
                <w:lang w:val="es-ES"/>
              </w:rPr>
            </w:pPr>
            <w:r w:rsidRPr="0002571C">
              <w:rPr>
                <w:rFonts w:eastAsia="Times New Roman"/>
                <w:sz w:val="16"/>
                <w:szCs w:val="16"/>
                <w:lang w:val="es-ES"/>
              </w:rPr>
              <w:t>-0.03</w:t>
            </w:r>
          </w:p>
        </w:tc>
      </w:tr>
      <w:tr w:rsidR="0002571C" w:rsidRPr="0002571C" w14:paraId="5985814C" w14:textId="77777777" w:rsidTr="001E7D79">
        <w:trPr>
          <w:jc w:val="center"/>
        </w:trPr>
        <w:tc>
          <w:tcPr>
            <w:tcW w:w="598" w:type="dxa"/>
            <w:vMerge/>
            <w:tcBorders>
              <w:right w:val="single" w:sz="4" w:space="0" w:color="auto"/>
            </w:tcBorders>
            <w:shd w:val="clear" w:color="auto" w:fill="auto"/>
          </w:tcPr>
          <w:p w14:paraId="6A8AFD91" w14:textId="77777777" w:rsidR="0002571C" w:rsidRPr="0002571C" w:rsidRDefault="0002571C" w:rsidP="0002571C">
            <w:pPr>
              <w:rPr>
                <w:rFonts w:eastAsia="Times New Roman"/>
                <w:sz w:val="16"/>
                <w:szCs w:val="16"/>
                <w:lang w:val="es-ES"/>
              </w:rPr>
            </w:pPr>
          </w:p>
        </w:tc>
        <w:tc>
          <w:tcPr>
            <w:tcW w:w="595" w:type="dxa"/>
            <w:tcBorders>
              <w:top w:val="nil"/>
              <w:left w:val="single" w:sz="4" w:space="0" w:color="auto"/>
              <w:bottom w:val="nil"/>
              <w:right w:val="single" w:sz="4" w:space="0" w:color="auto"/>
            </w:tcBorders>
          </w:tcPr>
          <w:p w14:paraId="712EA034" w14:textId="77777777" w:rsidR="0002571C" w:rsidRPr="0002571C" w:rsidRDefault="0002571C" w:rsidP="0002571C">
            <w:pPr>
              <w:rPr>
                <w:rFonts w:eastAsia="Times New Roman"/>
                <w:sz w:val="16"/>
                <w:szCs w:val="16"/>
                <w:lang w:val="es-ES"/>
              </w:rPr>
            </w:pPr>
            <w:r w:rsidRPr="0002571C">
              <w:rPr>
                <w:rFonts w:eastAsia="Times New Roman"/>
                <w:sz w:val="16"/>
                <w:szCs w:val="16"/>
                <w:lang w:val="es-ES"/>
              </w:rPr>
              <w:t>Sep.</w:t>
            </w:r>
          </w:p>
        </w:tc>
        <w:tc>
          <w:tcPr>
            <w:tcW w:w="1185" w:type="dxa"/>
            <w:tcBorders>
              <w:top w:val="nil"/>
              <w:left w:val="single" w:sz="4" w:space="0" w:color="auto"/>
              <w:bottom w:val="nil"/>
              <w:right w:val="single" w:sz="4" w:space="0" w:color="auto"/>
            </w:tcBorders>
          </w:tcPr>
          <w:p w14:paraId="24C4E6C0" w14:textId="77777777" w:rsidR="0002571C" w:rsidRPr="0002571C" w:rsidRDefault="0002571C" w:rsidP="0002571C">
            <w:pPr>
              <w:ind w:right="284"/>
              <w:jc w:val="right"/>
              <w:rPr>
                <w:rFonts w:eastAsia="Times New Roman"/>
                <w:sz w:val="16"/>
                <w:szCs w:val="16"/>
                <w:lang w:val="es-ES"/>
              </w:rPr>
            </w:pPr>
            <w:r w:rsidRPr="0002571C">
              <w:rPr>
                <w:rFonts w:eastAsia="Times New Roman"/>
                <w:sz w:val="16"/>
                <w:szCs w:val="16"/>
                <w:lang w:val="es-ES"/>
              </w:rPr>
              <w:t>0.11</w:t>
            </w:r>
          </w:p>
        </w:tc>
        <w:tc>
          <w:tcPr>
            <w:tcW w:w="1194" w:type="dxa"/>
            <w:tcBorders>
              <w:top w:val="nil"/>
              <w:left w:val="single" w:sz="4" w:space="0" w:color="auto"/>
              <w:bottom w:val="nil"/>
              <w:right w:val="single" w:sz="4" w:space="0" w:color="auto"/>
            </w:tcBorders>
          </w:tcPr>
          <w:p w14:paraId="30D510F8"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-0.02</w:t>
            </w:r>
          </w:p>
        </w:tc>
        <w:tc>
          <w:tcPr>
            <w:tcW w:w="1412" w:type="dxa"/>
            <w:tcBorders>
              <w:top w:val="nil"/>
              <w:left w:val="single" w:sz="4" w:space="0" w:color="auto"/>
              <w:bottom w:val="nil"/>
              <w:right w:val="single" w:sz="4" w:space="0" w:color="auto"/>
            </w:tcBorders>
          </w:tcPr>
          <w:p w14:paraId="78F8BCED" w14:textId="77777777" w:rsidR="0002571C" w:rsidRPr="0002571C" w:rsidRDefault="0002571C" w:rsidP="0002571C">
            <w:pPr>
              <w:ind w:left="-5216" w:right="454"/>
              <w:jc w:val="right"/>
              <w:rPr>
                <w:rFonts w:eastAsia="Times New Roman"/>
                <w:sz w:val="16"/>
                <w:szCs w:val="16"/>
                <w:lang w:val="es-ES"/>
              </w:rPr>
            </w:pPr>
            <w:r w:rsidRPr="0002571C">
              <w:rPr>
                <w:rFonts w:eastAsia="Times New Roman"/>
                <w:sz w:val="16"/>
                <w:szCs w:val="16"/>
                <w:lang w:val="es-ES"/>
              </w:rPr>
              <w:t>0.00</w:t>
            </w:r>
          </w:p>
        </w:tc>
        <w:tc>
          <w:tcPr>
            <w:tcW w:w="1232" w:type="dxa"/>
            <w:tcBorders>
              <w:top w:val="nil"/>
              <w:left w:val="single" w:sz="4" w:space="0" w:color="auto"/>
              <w:bottom w:val="nil"/>
              <w:right w:val="single" w:sz="4" w:space="0" w:color="auto"/>
            </w:tcBorders>
          </w:tcPr>
          <w:p w14:paraId="7974D132" w14:textId="77777777" w:rsidR="0002571C" w:rsidRPr="0002571C" w:rsidRDefault="0002571C" w:rsidP="0002571C">
            <w:pPr>
              <w:ind w:left="-2155" w:right="397"/>
              <w:jc w:val="right"/>
              <w:rPr>
                <w:rFonts w:eastAsia="Times New Roman"/>
                <w:sz w:val="16"/>
                <w:szCs w:val="16"/>
                <w:lang w:val="es-ES"/>
              </w:rPr>
            </w:pPr>
            <w:r w:rsidRPr="0002571C">
              <w:rPr>
                <w:rFonts w:eastAsia="Times New Roman"/>
                <w:sz w:val="16"/>
                <w:szCs w:val="16"/>
                <w:lang w:val="es-ES"/>
              </w:rPr>
              <w:t>0.00</w:t>
            </w:r>
          </w:p>
        </w:tc>
        <w:tc>
          <w:tcPr>
            <w:tcW w:w="1303" w:type="dxa"/>
            <w:tcBorders>
              <w:top w:val="nil"/>
              <w:left w:val="single" w:sz="4" w:space="0" w:color="auto"/>
              <w:bottom w:val="nil"/>
              <w:right w:val="single" w:sz="4" w:space="0" w:color="auto"/>
            </w:tcBorders>
          </w:tcPr>
          <w:p w14:paraId="118A6A2C" w14:textId="77777777" w:rsidR="0002571C" w:rsidRPr="0002571C" w:rsidRDefault="0002571C" w:rsidP="0002571C">
            <w:pPr>
              <w:ind w:left="-2948" w:right="397"/>
              <w:jc w:val="right"/>
              <w:rPr>
                <w:rFonts w:eastAsia="Times New Roman"/>
                <w:sz w:val="16"/>
                <w:szCs w:val="16"/>
                <w:lang w:val="es-ES"/>
              </w:rPr>
            </w:pPr>
            <w:r w:rsidRPr="0002571C">
              <w:rPr>
                <w:rFonts w:eastAsia="Times New Roman"/>
                <w:sz w:val="16"/>
                <w:szCs w:val="16"/>
                <w:lang w:val="es-ES"/>
              </w:rPr>
              <w:t>-0.02</w:t>
            </w:r>
          </w:p>
        </w:tc>
        <w:tc>
          <w:tcPr>
            <w:tcW w:w="1319" w:type="dxa"/>
            <w:tcBorders>
              <w:top w:val="nil"/>
              <w:left w:val="single" w:sz="4" w:space="0" w:color="auto"/>
              <w:bottom w:val="nil"/>
            </w:tcBorders>
          </w:tcPr>
          <w:p w14:paraId="0617C8F8" w14:textId="77777777" w:rsidR="0002571C" w:rsidRPr="0002571C" w:rsidRDefault="0002571C" w:rsidP="0002571C">
            <w:pPr>
              <w:ind w:left="-1588" w:right="397"/>
              <w:jc w:val="right"/>
              <w:rPr>
                <w:rFonts w:eastAsia="Times New Roman"/>
                <w:sz w:val="16"/>
                <w:szCs w:val="16"/>
                <w:lang w:val="es-ES"/>
              </w:rPr>
            </w:pPr>
            <w:r w:rsidRPr="0002571C">
              <w:rPr>
                <w:rFonts w:eastAsia="Times New Roman"/>
                <w:sz w:val="16"/>
                <w:szCs w:val="16"/>
                <w:lang w:val="es-ES"/>
              </w:rPr>
              <w:t>-0.04</w:t>
            </w:r>
          </w:p>
        </w:tc>
      </w:tr>
      <w:tr w:rsidR="0002571C" w:rsidRPr="0002571C" w14:paraId="1C74B5DE" w14:textId="77777777" w:rsidTr="001E7D79">
        <w:trPr>
          <w:jc w:val="center"/>
        </w:trPr>
        <w:tc>
          <w:tcPr>
            <w:tcW w:w="598" w:type="dxa"/>
            <w:vMerge/>
            <w:tcBorders>
              <w:right w:val="single" w:sz="4" w:space="0" w:color="auto"/>
            </w:tcBorders>
            <w:shd w:val="clear" w:color="auto" w:fill="auto"/>
          </w:tcPr>
          <w:p w14:paraId="71BE2B14" w14:textId="77777777" w:rsidR="0002571C" w:rsidRPr="0002571C" w:rsidRDefault="0002571C" w:rsidP="0002571C">
            <w:pPr>
              <w:rPr>
                <w:rFonts w:eastAsia="Times New Roman"/>
                <w:sz w:val="16"/>
                <w:szCs w:val="16"/>
                <w:lang w:val="es-ES"/>
              </w:rPr>
            </w:pPr>
          </w:p>
        </w:tc>
        <w:tc>
          <w:tcPr>
            <w:tcW w:w="595" w:type="dxa"/>
            <w:tcBorders>
              <w:top w:val="nil"/>
              <w:left w:val="single" w:sz="4" w:space="0" w:color="auto"/>
              <w:bottom w:val="nil"/>
              <w:right w:val="single" w:sz="4" w:space="0" w:color="auto"/>
            </w:tcBorders>
          </w:tcPr>
          <w:p w14:paraId="2787A2BE" w14:textId="77777777" w:rsidR="0002571C" w:rsidRPr="0002571C" w:rsidRDefault="0002571C" w:rsidP="0002571C">
            <w:pPr>
              <w:rPr>
                <w:rFonts w:eastAsia="Times New Roman"/>
                <w:sz w:val="16"/>
                <w:szCs w:val="16"/>
                <w:lang w:val="es-ES"/>
              </w:rPr>
            </w:pPr>
            <w:r w:rsidRPr="0002571C">
              <w:rPr>
                <w:rFonts w:eastAsia="Times New Roman"/>
                <w:sz w:val="16"/>
                <w:szCs w:val="16"/>
                <w:lang w:val="es-ES"/>
              </w:rPr>
              <w:t>Oct.</w:t>
            </w:r>
          </w:p>
        </w:tc>
        <w:tc>
          <w:tcPr>
            <w:tcW w:w="1185" w:type="dxa"/>
            <w:tcBorders>
              <w:top w:val="nil"/>
              <w:left w:val="single" w:sz="4" w:space="0" w:color="auto"/>
              <w:bottom w:val="nil"/>
              <w:right w:val="single" w:sz="4" w:space="0" w:color="auto"/>
            </w:tcBorders>
          </w:tcPr>
          <w:p w14:paraId="197B0BE6" w14:textId="77777777" w:rsidR="0002571C" w:rsidRPr="0002571C" w:rsidRDefault="0002571C" w:rsidP="0002571C">
            <w:pPr>
              <w:ind w:right="284"/>
              <w:jc w:val="right"/>
              <w:rPr>
                <w:rFonts w:eastAsia="Times New Roman"/>
                <w:sz w:val="16"/>
                <w:szCs w:val="16"/>
                <w:lang w:val="es-ES"/>
              </w:rPr>
            </w:pPr>
            <w:r w:rsidRPr="0002571C">
              <w:rPr>
                <w:rFonts w:eastAsia="Times New Roman"/>
                <w:sz w:val="16"/>
                <w:szCs w:val="16"/>
                <w:lang w:val="es-ES"/>
              </w:rPr>
              <w:t>0.09</w:t>
            </w:r>
          </w:p>
        </w:tc>
        <w:tc>
          <w:tcPr>
            <w:tcW w:w="1194" w:type="dxa"/>
            <w:tcBorders>
              <w:top w:val="nil"/>
              <w:left w:val="single" w:sz="4" w:space="0" w:color="auto"/>
              <w:bottom w:val="nil"/>
              <w:right w:val="single" w:sz="4" w:space="0" w:color="auto"/>
            </w:tcBorders>
          </w:tcPr>
          <w:p w14:paraId="208424DD"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-0.05</w:t>
            </w:r>
          </w:p>
        </w:tc>
        <w:tc>
          <w:tcPr>
            <w:tcW w:w="1412" w:type="dxa"/>
            <w:tcBorders>
              <w:top w:val="nil"/>
              <w:left w:val="single" w:sz="4" w:space="0" w:color="auto"/>
              <w:bottom w:val="nil"/>
              <w:right w:val="single" w:sz="4" w:space="0" w:color="auto"/>
            </w:tcBorders>
          </w:tcPr>
          <w:p w14:paraId="0886EF81" w14:textId="77777777" w:rsidR="0002571C" w:rsidRPr="0002571C" w:rsidRDefault="0002571C" w:rsidP="0002571C">
            <w:pPr>
              <w:ind w:left="-5216" w:right="454"/>
              <w:jc w:val="right"/>
              <w:rPr>
                <w:rFonts w:eastAsia="Times New Roman"/>
                <w:sz w:val="16"/>
                <w:szCs w:val="16"/>
                <w:lang w:val="es-ES"/>
              </w:rPr>
            </w:pPr>
            <w:r w:rsidRPr="0002571C">
              <w:rPr>
                <w:rFonts w:eastAsia="Times New Roman"/>
                <w:sz w:val="16"/>
                <w:szCs w:val="16"/>
                <w:lang w:val="es-ES"/>
              </w:rPr>
              <w:t>-0.06</w:t>
            </w:r>
          </w:p>
        </w:tc>
        <w:tc>
          <w:tcPr>
            <w:tcW w:w="1232" w:type="dxa"/>
            <w:tcBorders>
              <w:top w:val="nil"/>
              <w:left w:val="single" w:sz="4" w:space="0" w:color="auto"/>
              <w:bottom w:val="nil"/>
              <w:right w:val="single" w:sz="4" w:space="0" w:color="auto"/>
            </w:tcBorders>
          </w:tcPr>
          <w:p w14:paraId="3B9EEAB3" w14:textId="77777777" w:rsidR="0002571C" w:rsidRPr="0002571C" w:rsidRDefault="0002571C" w:rsidP="0002571C">
            <w:pPr>
              <w:ind w:left="-2155" w:right="397"/>
              <w:jc w:val="right"/>
              <w:rPr>
                <w:rFonts w:eastAsia="Times New Roman"/>
                <w:sz w:val="16"/>
                <w:szCs w:val="16"/>
                <w:lang w:val="es-ES"/>
              </w:rPr>
            </w:pPr>
            <w:r w:rsidRPr="0002571C">
              <w:rPr>
                <w:rFonts w:eastAsia="Times New Roman"/>
                <w:sz w:val="16"/>
                <w:szCs w:val="16"/>
                <w:lang w:val="es-ES"/>
              </w:rPr>
              <w:t>0.03</w:t>
            </w:r>
          </w:p>
        </w:tc>
        <w:tc>
          <w:tcPr>
            <w:tcW w:w="1303" w:type="dxa"/>
            <w:tcBorders>
              <w:top w:val="nil"/>
              <w:left w:val="single" w:sz="4" w:space="0" w:color="auto"/>
              <w:bottom w:val="nil"/>
              <w:right w:val="single" w:sz="4" w:space="0" w:color="auto"/>
            </w:tcBorders>
          </w:tcPr>
          <w:p w14:paraId="5A9EAFC4" w14:textId="77777777" w:rsidR="0002571C" w:rsidRPr="0002571C" w:rsidRDefault="0002571C" w:rsidP="0002571C">
            <w:pPr>
              <w:ind w:left="-2948" w:right="397"/>
              <w:jc w:val="right"/>
              <w:rPr>
                <w:rFonts w:eastAsia="Times New Roman"/>
                <w:sz w:val="16"/>
                <w:szCs w:val="16"/>
                <w:lang w:val="es-ES"/>
              </w:rPr>
            </w:pPr>
            <w:r w:rsidRPr="0002571C">
              <w:rPr>
                <w:rFonts w:eastAsia="Times New Roman"/>
                <w:sz w:val="16"/>
                <w:szCs w:val="16"/>
                <w:lang w:val="es-ES"/>
              </w:rPr>
              <w:t>0.01</w:t>
            </w:r>
          </w:p>
        </w:tc>
        <w:tc>
          <w:tcPr>
            <w:tcW w:w="1319" w:type="dxa"/>
            <w:tcBorders>
              <w:top w:val="nil"/>
              <w:left w:val="single" w:sz="4" w:space="0" w:color="auto"/>
              <w:bottom w:val="nil"/>
            </w:tcBorders>
          </w:tcPr>
          <w:p w14:paraId="14C9CAC5" w14:textId="77777777" w:rsidR="0002571C" w:rsidRPr="0002571C" w:rsidRDefault="0002571C" w:rsidP="0002571C">
            <w:pPr>
              <w:ind w:left="-1588" w:right="397"/>
              <w:jc w:val="right"/>
              <w:rPr>
                <w:rFonts w:eastAsia="Times New Roman"/>
                <w:sz w:val="16"/>
                <w:szCs w:val="16"/>
                <w:lang w:val="es-ES"/>
              </w:rPr>
            </w:pPr>
            <w:r w:rsidRPr="0002571C">
              <w:rPr>
                <w:rFonts w:eastAsia="Times New Roman"/>
                <w:sz w:val="16"/>
                <w:szCs w:val="16"/>
                <w:lang w:val="es-ES"/>
              </w:rPr>
              <w:t>-0.04</w:t>
            </w:r>
          </w:p>
        </w:tc>
      </w:tr>
      <w:tr w:rsidR="0002571C" w:rsidRPr="0002571C" w14:paraId="59358351" w14:textId="77777777" w:rsidTr="001E7D79">
        <w:trPr>
          <w:jc w:val="center"/>
        </w:trPr>
        <w:tc>
          <w:tcPr>
            <w:tcW w:w="598" w:type="dxa"/>
            <w:vMerge/>
            <w:tcBorders>
              <w:right w:val="single" w:sz="4" w:space="0" w:color="auto"/>
            </w:tcBorders>
            <w:shd w:val="clear" w:color="auto" w:fill="auto"/>
          </w:tcPr>
          <w:p w14:paraId="4471D85F" w14:textId="77777777" w:rsidR="0002571C" w:rsidRPr="0002571C" w:rsidRDefault="0002571C" w:rsidP="0002571C">
            <w:pPr>
              <w:rPr>
                <w:rFonts w:eastAsia="Times New Roman"/>
                <w:sz w:val="16"/>
                <w:szCs w:val="16"/>
                <w:lang w:val="es-ES"/>
              </w:rPr>
            </w:pPr>
          </w:p>
        </w:tc>
        <w:tc>
          <w:tcPr>
            <w:tcW w:w="595" w:type="dxa"/>
            <w:tcBorders>
              <w:top w:val="nil"/>
              <w:left w:val="single" w:sz="4" w:space="0" w:color="auto"/>
              <w:bottom w:val="nil"/>
              <w:right w:val="single" w:sz="4" w:space="0" w:color="auto"/>
            </w:tcBorders>
          </w:tcPr>
          <w:p w14:paraId="5E867C5E" w14:textId="77777777" w:rsidR="0002571C" w:rsidRPr="0002571C" w:rsidRDefault="0002571C" w:rsidP="0002571C">
            <w:pPr>
              <w:rPr>
                <w:rFonts w:eastAsia="Times New Roman"/>
                <w:sz w:val="16"/>
                <w:szCs w:val="16"/>
                <w:lang w:val="es-ES"/>
              </w:rPr>
            </w:pPr>
            <w:r w:rsidRPr="0002571C">
              <w:rPr>
                <w:rFonts w:eastAsia="Times New Roman"/>
                <w:sz w:val="16"/>
                <w:szCs w:val="16"/>
                <w:lang w:val="es-ES"/>
              </w:rPr>
              <w:t>Nov.</w:t>
            </w:r>
          </w:p>
        </w:tc>
        <w:tc>
          <w:tcPr>
            <w:tcW w:w="1185" w:type="dxa"/>
            <w:tcBorders>
              <w:top w:val="nil"/>
              <w:left w:val="single" w:sz="4" w:space="0" w:color="auto"/>
              <w:bottom w:val="nil"/>
              <w:right w:val="single" w:sz="4" w:space="0" w:color="auto"/>
            </w:tcBorders>
          </w:tcPr>
          <w:p w14:paraId="685E0367" w14:textId="77777777" w:rsidR="0002571C" w:rsidRPr="0002571C" w:rsidRDefault="0002571C" w:rsidP="0002571C">
            <w:pPr>
              <w:ind w:right="284"/>
              <w:jc w:val="right"/>
              <w:rPr>
                <w:rFonts w:eastAsia="Times New Roman"/>
                <w:sz w:val="16"/>
                <w:szCs w:val="16"/>
                <w:lang w:val="es-ES"/>
              </w:rPr>
            </w:pPr>
            <w:r w:rsidRPr="0002571C">
              <w:rPr>
                <w:rFonts w:eastAsia="Times New Roman"/>
                <w:sz w:val="16"/>
                <w:szCs w:val="16"/>
                <w:lang w:val="es-ES"/>
              </w:rPr>
              <w:t>0.09</w:t>
            </w:r>
          </w:p>
        </w:tc>
        <w:tc>
          <w:tcPr>
            <w:tcW w:w="1194" w:type="dxa"/>
            <w:tcBorders>
              <w:top w:val="nil"/>
              <w:left w:val="single" w:sz="4" w:space="0" w:color="auto"/>
              <w:bottom w:val="nil"/>
              <w:right w:val="single" w:sz="4" w:space="0" w:color="auto"/>
            </w:tcBorders>
          </w:tcPr>
          <w:p w14:paraId="79B57DC7"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-0.10</w:t>
            </w:r>
          </w:p>
        </w:tc>
        <w:tc>
          <w:tcPr>
            <w:tcW w:w="1412" w:type="dxa"/>
            <w:tcBorders>
              <w:top w:val="nil"/>
              <w:left w:val="single" w:sz="4" w:space="0" w:color="auto"/>
              <w:bottom w:val="nil"/>
              <w:right w:val="single" w:sz="4" w:space="0" w:color="auto"/>
            </w:tcBorders>
          </w:tcPr>
          <w:p w14:paraId="42A722B2" w14:textId="77777777" w:rsidR="0002571C" w:rsidRPr="0002571C" w:rsidRDefault="0002571C" w:rsidP="0002571C">
            <w:pPr>
              <w:ind w:left="-5216" w:right="454"/>
              <w:jc w:val="right"/>
              <w:rPr>
                <w:rFonts w:eastAsia="Times New Roman"/>
                <w:sz w:val="16"/>
                <w:szCs w:val="16"/>
                <w:lang w:val="es-ES"/>
              </w:rPr>
            </w:pPr>
            <w:r w:rsidRPr="0002571C">
              <w:rPr>
                <w:rFonts w:eastAsia="Times New Roman"/>
                <w:sz w:val="16"/>
                <w:szCs w:val="16"/>
                <w:lang w:val="es-ES"/>
              </w:rPr>
              <w:t>-0.12</w:t>
            </w:r>
          </w:p>
        </w:tc>
        <w:tc>
          <w:tcPr>
            <w:tcW w:w="1232" w:type="dxa"/>
            <w:tcBorders>
              <w:top w:val="nil"/>
              <w:left w:val="single" w:sz="4" w:space="0" w:color="auto"/>
              <w:bottom w:val="nil"/>
              <w:right w:val="single" w:sz="4" w:space="0" w:color="auto"/>
            </w:tcBorders>
          </w:tcPr>
          <w:p w14:paraId="20EAD39E" w14:textId="77777777" w:rsidR="0002571C" w:rsidRPr="0002571C" w:rsidRDefault="0002571C" w:rsidP="0002571C">
            <w:pPr>
              <w:ind w:left="-2155" w:right="397"/>
              <w:jc w:val="right"/>
              <w:rPr>
                <w:rFonts w:eastAsia="Times New Roman"/>
                <w:sz w:val="16"/>
                <w:szCs w:val="16"/>
                <w:lang w:val="es-ES"/>
              </w:rPr>
            </w:pPr>
            <w:r w:rsidRPr="0002571C">
              <w:rPr>
                <w:rFonts w:eastAsia="Times New Roman"/>
                <w:sz w:val="16"/>
                <w:szCs w:val="16"/>
                <w:lang w:val="es-ES"/>
              </w:rPr>
              <w:t>0.06</w:t>
            </w:r>
          </w:p>
        </w:tc>
        <w:tc>
          <w:tcPr>
            <w:tcW w:w="1303" w:type="dxa"/>
            <w:tcBorders>
              <w:top w:val="nil"/>
              <w:left w:val="single" w:sz="4" w:space="0" w:color="auto"/>
              <w:bottom w:val="nil"/>
              <w:right w:val="single" w:sz="4" w:space="0" w:color="auto"/>
            </w:tcBorders>
          </w:tcPr>
          <w:p w14:paraId="6BC51CC7" w14:textId="77777777" w:rsidR="0002571C" w:rsidRPr="0002571C" w:rsidRDefault="0002571C" w:rsidP="0002571C">
            <w:pPr>
              <w:ind w:left="-2948" w:right="397"/>
              <w:jc w:val="right"/>
              <w:rPr>
                <w:rFonts w:eastAsia="Times New Roman"/>
                <w:sz w:val="16"/>
                <w:szCs w:val="16"/>
                <w:lang w:val="es-ES"/>
              </w:rPr>
            </w:pPr>
            <w:r w:rsidRPr="0002571C">
              <w:rPr>
                <w:rFonts w:eastAsia="Times New Roman"/>
                <w:sz w:val="16"/>
                <w:szCs w:val="16"/>
                <w:lang w:val="es-ES"/>
              </w:rPr>
              <w:t>0.04</w:t>
            </w:r>
          </w:p>
        </w:tc>
        <w:tc>
          <w:tcPr>
            <w:tcW w:w="1319" w:type="dxa"/>
            <w:tcBorders>
              <w:top w:val="nil"/>
              <w:left w:val="single" w:sz="4" w:space="0" w:color="auto"/>
              <w:bottom w:val="nil"/>
            </w:tcBorders>
          </w:tcPr>
          <w:p w14:paraId="03EDE9F8" w14:textId="77777777" w:rsidR="0002571C" w:rsidRPr="0002571C" w:rsidRDefault="0002571C" w:rsidP="0002571C">
            <w:pPr>
              <w:ind w:left="-1588" w:right="397"/>
              <w:jc w:val="right"/>
              <w:rPr>
                <w:rFonts w:eastAsia="Times New Roman"/>
                <w:sz w:val="16"/>
                <w:szCs w:val="16"/>
                <w:lang w:val="es-ES"/>
              </w:rPr>
            </w:pPr>
            <w:r w:rsidRPr="0002571C">
              <w:rPr>
                <w:rFonts w:eastAsia="Times New Roman"/>
                <w:sz w:val="16"/>
                <w:szCs w:val="16"/>
                <w:lang w:val="es-ES"/>
              </w:rPr>
              <w:t>-0.02</w:t>
            </w:r>
          </w:p>
        </w:tc>
      </w:tr>
      <w:tr w:rsidR="0002571C" w:rsidRPr="0002571C" w14:paraId="3F3D9D26" w14:textId="77777777" w:rsidTr="001E7D79">
        <w:trPr>
          <w:jc w:val="center"/>
        </w:trPr>
        <w:tc>
          <w:tcPr>
            <w:tcW w:w="598" w:type="dxa"/>
            <w:vMerge/>
            <w:tcBorders>
              <w:right w:val="single" w:sz="4" w:space="0" w:color="auto"/>
            </w:tcBorders>
            <w:shd w:val="clear" w:color="auto" w:fill="auto"/>
          </w:tcPr>
          <w:p w14:paraId="74FBAB6A" w14:textId="77777777" w:rsidR="0002571C" w:rsidRPr="0002571C" w:rsidRDefault="0002571C" w:rsidP="0002571C">
            <w:pPr>
              <w:rPr>
                <w:rFonts w:eastAsia="Times New Roman"/>
                <w:sz w:val="16"/>
                <w:szCs w:val="16"/>
                <w:lang w:val="es-ES"/>
              </w:rPr>
            </w:pPr>
          </w:p>
        </w:tc>
        <w:tc>
          <w:tcPr>
            <w:tcW w:w="595" w:type="dxa"/>
            <w:tcBorders>
              <w:top w:val="nil"/>
              <w:left w:val="single" w:sz="4" w:space="0" w:color="auto"/>
              <w:bottom w:val="single" w:sz="4" w:space="0" w:color="auto"/>
              <w:right w:val="single" w:sz="4" w:space="0" w:color="auto"/>
            </w:tcBorders>
          </w:tcPr>
          <w:p w14:paraId="75EBFE69" w14:textId="77777777" w:rsidR="0002571C" w:rsidRPr="0002571C" w:rsidRDefault="0002571C" w:rsidP="0002571C">
            <w:pPr>
              <w:rPr>
                <w:rFonts w:eastAsia="Times New Roman"/>
                <w:sz w:val="16"/>
                <w:szCs w:val="16"/>
                <w:lang w:val="es-ES"/>
              </w:rPr>
            </w:pPr>
            <w:r w:rsidRPr="0002571C">
              <w:rPr>
                <w:rFonts w:eastAsia="Times New Roman"/>
                <w:sz w:val="16"/>
                <w:szCs w:val="16"/>
                <w:lang w:val="es-ES"/>
              </w:rPr>
              <w:t>Dic.</w:t>
            </w:r>
          </w:p>
        </w:tc>
        <w:tc>
          <w:tcPr>
            <w:tcW w:w="1185" w:type="dxa"/>
            <w:tcBorders>
              <w:top w:val="nil"/>
              <w:left w:val="single" w:sz="4" w:space="0" w:color="auto"/>
              <w:bottom w:val="single" w:sz="4" w:space="0" w:color="auto"/>
              <w:right w:val="single" w:sz="4" w:space="0" w:color="auto"/>
            </w:tcBorders>
          </w:tcPr>
          <w:p w14:paraId="798BFA8D" w14:textId="77777777" w:rsidR="0002571C" w:rsidRPr="0002571C" w:rsidRDefault="0002571C" w:rsidP="0002571C">
            <w:pPr>
              <w:ind w:right="284"/>
              <w:jc w:val="right"/>
              <w:rPr>
                <w:rFonts w:eastAsia="Times New Roman"/>
                <w:sz w:val="16"/>
                <w:szCs w:val="16"/>
                <w:lang w:val="es-ES"/>
              </w:rPr>
            </w:pPr>
            <w:r w:rsidRPr="0002571C">
              <w:rPr>
                <w:rFonts w:eastAsia="Times New Roman"/>
                <w:sz w:val="16"/>
                <w:szCs w:val="16"/>
                <w:lang w:val="es-ES"/>
              </w:rPr>
              <w:t>0.15</w:t>
            </w:r>
          </w:p>
        </w:tc>
        <w:tc>
          <w:tcPr>
            <w:tcW w:w="1194" w:type="dxa"/>
            <w:tcBorders>
              <w:top w:val="nil"/>
              <w:left w:val="single" w:sz="4" w:space="0" w:color="auto"/>
              <w:bottom w:val="single" w:sz="4" w:space="0" w:color="auto"/>
              <w:right w:val="single" w:sz="4" w:space="0" w:color="auto"/>
            </w:tcBorders>
          </w:tcPr>
          <w:p w14:paraId="0A17EF88"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-0.12</w:t>
            </w:r>
          </w:p>
        </w:tc>
        <w:tc>
          <w:tcPr>
            <w:tcW w:w="1412" w:type="dxa"/>
            <w:tcBorders>
              <w:top w:val="nil"/>
              <w:left w:val="single" w:sz="4" w:space="0" w:color="auto"/>
              <w:bottom w:val="single" w:sz="4" w:space="0" w:color="auto"/>
              <w:right w:val="single" w:sz="4" w:space="0" w:color="auto"/>
            </w:tcBorders>
          </w:tcPr>
          <w:p w14:paraId="534CF512" w14:textId="77777777" w:rsidR="0002571C" w:rsidRPr="0002571C" w:rsidRDefault="0002571C" w:rsidP="0002571C">
            <w:pPr>
              <w:ind w:left="-5216" w:right="454"/>
              <w:jc w:val="right"/>
              <w:rPr>
                <w:rFonts w:eastAsia="Times New Roman"/>
                <w:sz w:val="16"/>
                <w:szCs w:val="16"/>
                <w:lang w:val="es-ES"/>
              </w:rPr>
            </w:pPr>
            <w:r w:rsidRPr="0002571C">
              <w:rPr>
                <w:rFonts w:eastAsia="Times New Roman"/>
                <w:sz w:val="16"/>
                <w:szCs w:val="16"/>
                <w:lang w:val="es-ES"/>
              </w:rPr>
              <w:t>-0.17</w:t>
            </w:r>
          </w:p>
        </w:tc>
        <w:tc>
          <w:tcPr>
            <w:tcW w:w="1232" w:type="dxa"/>
            <w:tcBorders>
              <w:top w:val="nil"/>
              <w:left w:val="single" w:sz="4" w:space="0" w:color="auto"/>
              <w:bottom w:val="single" w:sz="4" w:space="0" w:color="auto"/>
              <w:right w:val="single" w:sz="4" w:space="0" w:color="auto"/>
            </w:tcBorders>
          </w:tcPr>
          <w:p w14:paraId="4A628403" w14:textId="77777777" w:rsidR="0002571C" w:rsidRPr="0002571C" w:rsidRDefault="0002571C" w:rsidP="0002571C">
            <w:pPr>
              <w:ind w:left="-2155" w:right="397"/>
              <w:jc w:val="right"/>
              <w:rPr>
                <w:rFonts w:eastAsia="Times New Roman"/>
                <w:sz w:val="16"/>
                <w:szCs w:val="16"/>
                <w:lang w:val="es-ES"/>
              </w:rPr>
            </w:pPr>
            <w:r w:rsidRPr="0002571C">
              <w:rPr>
                <w:rFonts w:eastAsia="Times New Roman"/>
                <w:sz w:val="16"/>
                <w:szCs w:val="16"/>
                <w:lang w:val="es-ES"/>
              </w:rPr>
              <w:t>0.10</w:t>
            </w:r>
          </w:p>
        </w:tc>
        <w:tc>
          <w:tcPr>
            <w:tcW w:w="1303" w:type="dxa"/>
            <w:tcBorders>
              <w:top w:val="nil"/>
              <w:left w:val="single" w:sz="4" w:space="0" w:color="auto"/>
              <w:bottom w:val="single" w:sz="4" w:space="0" w:color="auto"/>
              <w:right w:val="single" w:sz="4" w:space="0" w:color="auto"/>
            </w:tcBorders>
          </w:tcPr>
          <w:p w14:paraId="406F4413" w14:textId="77777777" w:rsidR="0002571C" w:rsidRPr="0002571C" w:rsidRDefault="0002571C" w:rsidP="0002571C">
            <w:pPr>
              <w:ind w:left="-2948" w:right="397"/>
              <w:jc w:val="right"/>
              <w:rPr>
                <w:rFonts w:eastAsia="Times New Roman"/>
                <w:sz w:val="16"/>
                <w:szCs w:val="16"/>
                <w:lang w:val="es-ES"/>
              </w:rPr>
            </w:pPr>
            <w:r w:rsidRPr="0002571C">
              <w:rPr>
                <w:rFonts w:eastAsia="Times New Roman"/>
                <w:sz w:val="16"/>
                <w:szCs w:val="16"/>
                <w:lang w:val="es-ES"/>
              </w:rPr>
              <w:t>0.06</w:t>
            </w:r>
          </w:p>
        </w:tc>
        <w:tc>
          <w:tcPr>
            <w:tcW w:w="1319" w:type="dxa"/>
            <w:tcBorders>
              <w:top w:val="nil"/>
              <w:left w:val="single" w:sz="4" w:space="0" w:color="auto"/>
              <w:bottom w:val="single" w:sz="4" w:space="0" w:color="auto"/>
            </w:tcBorders>
          </w:tcPr>
          <w:p w14:paraId="079376B4" w14:textId="77777777" w:rsidR="0002571C" w:rsidRPr="0002571C" w:rsidRDefault="0002571C" w:rsidP="0002571C">
            <w:pPr>
              <w:ind w:left="-1588" w:right="397"/>
              <w:jc w:val="right"/>
              <w:rPr>
                <w:rFonts w:eastAsia="Times New Roman"/>
                <w:sz w:val="16"/>
                <w:szCs w:val="16"/>
                <w:lang w:val="es-ES"/>
              </w:rPr>
            </w:pPr>
            <w:r w:rsidRPr="0002571C">
              <w:rPr>
                <w:rFonts w:eastAsia="Times New Roman"/>
                <w:sz w:val="16"/>
                <w:szCs w:val="16"/>
                <w:lang w:val="es-ES"/>
              </w:rPr>
              <w:t>-0.02</w:t>
            </w:r>
          </w:p>
        </w:tc>
      </w:tr>
      <w:tr w:rsidR="0002571C" w:rsidRPr="0002571C" w14:paraId="59C0777B" w14:textId="77777777" w:rsidTr="001E7D79">
        <w:trPr>
          <w:jc w:val="center"/>
        </w:trPr>
        <w:tc>
          <w:tcPr>
            <w:tcW w:w="598" w:type="dxa"/>
            <w:tcBorders>
              <w:bottom w:val="single" w:sz="4" w:space="0" w:color="auto"/>
              <w:right w:val="single" w:sz="4" w:space="0" w:color="auto"/>
            </w:tcBorders>
            <w:shd w:val="clear" w:color="auto" w:fill="auto"/>
          </w:tcPr>
          <w:p w14:paraId="39C298C4" w14:textId="77777777" w:rsidR="0002571C" w:rsidRPr="0002571C" w:rsidRDefault="0002571C" w:rsidP="0002571C">
            <w:pPr>
              <w:rPr>
                <w:rFonts w:eastAsia="Times New Roman"/>
                <w:sz w:val="16"/>
                <w:szCs w:val="16"/>
                <w:lang w:val="es-ES"/>
              </w:rPr>
            </w:pPr>
            <w:r w:rsidRPr="0002571C">
              <w:rPr>
                <w:rFonts w:eastAsia="Times New Roman"/>
                <w:sz w:val="16"/>
                <w:szCs w:val="16"/>
                <w:lang w:val="es-ES"/>
              </w:rPr>
              <w:t>2015</w:t>
            </w:r>
          </w:p>
        </w:tc>
        <w:tc>
          <w:tcPr>
            <w:tcW w:w="595" w:type="dxa"/>
            <w:tcBorders>
              <w:top w:val="single" w:sz="4" w:space="0" w:color="auto"/>
              <w:left w:val="single" w:sz="4" w:space="0" w:color="auto"/>
              <w:bottom w:val="nil"/>
              <w:right w:val="single" w:sz="4" w:space="0" w:color="auto"/>
            </w:tcBorders>
          </w:tcPr>
          <w:p w14:paraId="796B687F" w14:textId="77777777" w:rsidR="0002571C" w:rsidRPr="0002571C" w:rsidRDefault="0002571C" w:rsidP="0002571C">
            <w:pPr>
              <w:rPr>
                <w:rFonts w:eastAsia="Times New Roman"/>
                <w:sz w:val="16"/>
                <w:szCs w:val="16"/>
                <w:lang w:val="es-ES"/>
              </w:rPr>
            </w:pPr>
            <w:r w:rsidRPr="0002571C">
              <w:rPr>
                <w:rFonts w:eastAsia="Times New Roman"/>
                <w:sz w:val="16"/>
                <w:szCs w:val="16"/>
                <w:lang w:val="es-ES"/>
              </w:rPr>
              <w:t>Ene.</w:t>
            </w:r>
          </w:p>
        </w:tc>
        <w:tc>
          <w:tcPr>
            <w:tcW w:w="1185" w:type="dxa"/>
            <w:tcBorders>
              <w:top w:val="single" w:sz="4" w:space="0" w:color="auto"/>
              <w:left w:val="single" w:sz="4" w:space="0" w:color="auto"/>
              <w:bottom w:val="nil"/>
              <w:right w:val="single" w:sz="4" w:space="0" w:color="auto"/>
            </w:tcBorders>
          </w:tcPr>
          <w:p w14:paraId="2894D36A" w14:textId="77777777" w:rsidR="0002571C" w:rsidRPr="0002571C" w:rsidRDefault="0002571C" w:rsidP="0002571C">
            <w:pPr>
              <w:ind w:right="284"/>
              <w:jc w:val="right"/>
              <w:rPr>
                <w:rFonts w:eastAsia="Times New Roman"/>
                <w:sz w:val="16"/>
                <w:szCs w:val="16"/>
                <w:lang w:val="es-ES"/>
              </w:rPr>
            </w:pPr>
            <w:r w:rsidRPr="0002571C">
              <w:rPr>
                <w:rFonts w:eastAsia="Times New Roman"/>
                <w:sz w:val="16"/>
                <w:szCs w:val="16"/>
                <w:lang w:val="es-ES"/>
              </w:rPr>
              <w:t>0.26</w:t>
            </w:r>
          </w:p>
        </w:tc>
        <w:tc>
          <w:tcPr>
            <w:tcW w:w="1194" w:type="dxa"/>
            <w:tcBorders>
              <w:top w:val="single" w:sz="4" w:space="0" w:color="auto"/>
              <w:left w:val="single" w:sz="4" w:space="0" w:color="auto"/>
              <w:bottom w:val="nil"/>
              <w:right w:val="single" w:sz="4" w:space="0" w:color="auto"/>
            </w:tcBorders>
          </w:tcPr>
          <w:p w14:paraId="707F45F9" w14:textId="77777777" w:rsidR="0002571C" w:rsidRPr="0002571C" w:rsidRDefault="0002571C" w:rsidP="0002571C">
            <w:pPr>
              <w:ind w:right="340"/>
              <w:jc w:val="right"/>
              <w:rPr>
                <w:rFonts w:eastAsia="Times New Roman"/>
                <w:sz w:val="16"/>
                <w:szCs w:val="16"/>
                <w:lang w:val="es-ES"/>
              </w:rPr>
            </w:pPr>
            <w:r w:rsidRPr="0002571C">
              <w:rPr>
                <w:rFonts w:eastAsia="Times New Roman"/>
                <w:sz w:val="16"/>
                <w:szCs w:val="16"/>
                <w:lang w:val="es-ES"/>
              </w:rPr>
              <w:t>-0.14</w:t>
            </w:r>
          </w:p>
        </w:tc>
        <w:tc>
          <w:tcPr>
            <w:tcW w:w="1412" w:type="dxa"/>
            <w:tcBorders>
              <w:top w:val="single" w:sz="4" w:space="0" w:color="auto"/>
              <w:left w:val="single" w:sz="4" w:space="0" w:color="auto"/>
              <w:bottom w:val="nil"/>
              <w:right w:val="single" w:sz="4" w:space="0" w:color="auto"/>
            </w:tcBorders>
          </w:tcPr>
          <w:p w14:paraId="5DAC51B3" w14:textId="77777777" w:rsidR="0002571C" w:rsidRPr="0002571C" w:rsidRDefault="0002571C" w:rsidP="0002571C">
            <w:pPr>
              <w:ind w:left="-5216" w:right="454"/>
              <w:jc w:val="right"/>
              <w:rPr>
                <w:rFonts w:eastAsia="Times New Roman"/>
                <w:sz w:val="16"/>
                <w:szCs w:val="16"/>
                <w:lang w:val="es-ES"/>
              </w:rPr>
            </w:pPr>
            <w:r w:rsidRPr="0002571C">
              <w:rPr>
                <w:rFonts w:eastAsia="Times New Roman"/>
                <w:sz w:val="16"/>
                <w:szCs w:val="16"/>
                <w:lang w:val="es-ES"/>
              </w:rPr>
              <w:t>-0.19</w:t>
            </w:r>
          </w:p>
        </w:tc>
        <w:tc>
          <w:tcPr>
            <w:tcW w:w="1232" w:type="dxa"/>
            <w:tcBorders>
              <w:top w:val="single" w:sz="4" w:space="0" w:color="auto"/>
              <w:left w:val="single" w:sz="4" w:space="0" w:color="auto"/>
              <w:bottom w:val="nil"/>
              <w:right w:val="single" w:sz="4" w:space="0" w:color="auto"/>
            </w:tcBorders>
          </w:tcPr>
          <w:p w14:paraId="36C71DC3" w14:textId="77777777" w:rsidR="0002571C" w:rsidRPr="0002571C" w:rsidRDefault="0002571C" w:rsidP="0002571C">
            <w:pPr>
              <w:ind w:left="-2155" w:right="397"/>
              <w:jc w:val="right"/>
              <w:rPr>
                <w:rFonts w:eastAsia="Times New Roman"/>
                <w:sz w:val="16"/>
                <w:szCs w:val="16"/>
                <w:lang w:val="es-ES"/>
              </w:rPr>
            </w:pPr>
            <w:r w:rsidRPr="0002571C">
              <w:rPr>
                <w:rFonts w:eastAsia="Times New Roman"/>
                <w:sz w:val="16"/>
                <w:szCs w:val="16"/>
                <w:lang w:val="es-ES"/>
              </w:rPr>
              <w:t>0.12</w:t>
            </w:r>
          </w:p>
        </w:tc>
        <w:tc>
          <w:tcPr>
            <w:tcW w:w="1303" w:type="dxa"/>
            <w:tcBorders>
              <w:top w:val="single" w:sz="4" w:space="0" w:color="auto"/>
              <w:left w:val="single" w:sz="4" w:space="0" w:color="auto"/>
              <w:bottom w:val="nil"/>
              <w:right w:val="single" w:sz="4" w:space="0" w:color="auto"/>
            </w:tcBorders>
          </w:tcPr>
          <w:p w14:paraId="0FCDA499" w14:textId="77777777" w:rsidR="0002571C" w:rsidRPr="0002571C" w:rsidRDefault="0002571C" w:rsidP="0002571C">
            <w:pPr>
              <w:ind w:left="-2948" w:right="397"/>
              <w:jc w:val="right"/>
              <w:rPr>
                <w:rFonts w:eastAsia="Times New Roman"/>
                <w:sz w:val="16"/>
                <w:szCs w:val="16"/>
                <w:lang w:val="es-ES"/>
              </w:rPr>
            </w:pPr>
            <w:r w:rsidRPr="0002571C">
              <w:rPr>
                <w:rFonts w:eastAsia="Times New Roman"/>
                <w:sz w:val="16"/>
                <w:szCs w:val="16"/>
                <w:lang w:val="es-ES"/>
              </w:rPr>
              <w:t>0.06</w:t>
            </w:r>
          </w:p>
        </w:tc>
        <w:tc>
          <w:tcPr>
            <w:tcW w:w="1319" w:type="dxa"/>
            <w:tcBorders>
              <w:top w:val="single" w:sz="4" w:space="0" w:color="auto"/>
              <w:left w:val="single" w:sz="4" w:space="0" w:color="auto"/>
              <w:bottom w:val="nil"/>
            </w:tcBorders>
          </w:tcPr>
          <w:p w14:paraId="5F30447E" w14:textId="77777777" w:rsidR="0002571C" w:rsidRPr="0002571C" w:rsidRDefault="0002571C" w:rsidP="0002571C">
            <w:pPr>
              <w:ind w:left="-1588" w:right="397"/>
              <w:jc w:val="right"/>
              <w:rPr>
                <w:rFonts w:eastAsia="Times New Roman"/>
                <w:sz w:val="16"/>
                <w:szCs w:val="16"/>
                <w:lang w:val="es-ES"/>
              </w:rPr>
            </w:pPr>
            <w:r w:rsidRPr="0002571C">
              <w:rPr>
                <w:rFonts w:eastAsia="Times New Roman"/>
                <w:sz w:val="16"/>
                <w:szCs w:val="16"/>
                <w:lang w:val="es-ES"/>
              </w:rPr>
              <w:t>-0.02</w:t>
            </w:r>
          </w:p>
        </w:tc>
      </w:tr>
      <w:tr w:rsidR="0002571C" w:rsidRPr="0002571C" w14:paraId="22D5F6F6" w14:textId="77777777" w:rsidTr="001E7D79">
        <w:trPr>
          <w:jc w:val="center"/>
        </w:trPr>
        <w:tc>
          <w:tcPr>
            <w:tcW w:w="8838" w:type="dxa"/>
            <w:gridSpan w:val="8"/>
            <w:tcBorders>
              <w:left w:val="nil"/>
              <w:bottom w:val="nil"/>
              <w:right w:val="nil"/>
            </w:tcBorders>
          </w:tcPr>
          <w:p w14:paraId="47B47E21" w14:textId="77777777" w:rsidR="0002571C" w:rsidRPr="0002571C" w:rsidRDefault="0002571C" w:rsidP="0002571C">
            <w:pPr>
              <w:ind w:left="170" w:hanging="170"/>
              <w:jc w:val="both"/>
              <w:rPr>
                <w:rFonts w:eastAsia="Times New Roman"/>
                <w:sz w:val="16"/>
                <w:szCs w:val="16"/>
                <w:lang w:val="es-ES"/>
              </w:rPr>
            </w:pPr>
            <w:r w:rsidRPr="0002571C">
              <w:rPr>
                <w:rFonts w:eastAsia="Times New Roman"/>
                <w:sz w:val="16"/>
                <w:szCs w:val="16"/>
                <w:u w:val="single"/>
                <w:lang w:val="es-ES"/>
              </w:rPr>
              <w:t>*</w:t>
            </w:r>
            <w:r w:rsidRPr="0002571C">
              <w:rPr>
                <w:rFonts w:eastAsia="Times New Roman"/>
                <w:sz w:val="16"/>
                <w:szCs w:val="16"/>
                <w:lang w:val="es-ES"/>
              </w:rPr>
              <w:t>/ El dato de enero de 2015 es una cifra oportuna obtenida con base en el tipo de cambio real México-Estados Unidos de Norteamérica.</w:t>
            </w:r>
          </w:p>
          <w:p w14:paraId="725786A9" w14:textId="77777777" w:rsidR="0002571C" w:rsidRPr="0002571C" w:rsidRDefault="0002571C" w:rsidP="0002571C">
            <w:pPr>
              <w:rPr>
                <w:rFonts w:eastAsia="Times New Roman"/>
                <w:sz w:val="16"/>
                <w:szCs w:val="16"/>
                <w:lang w:val="es-ES"/>
              </w:rPr>
            </w:pPr>
            <w:r w:rsidRPr="0002571C">
              <w:rPr>
                <w:rFonts w:eastAsia="Times New Roman"/>
                <w:sz w:val="16"/>
                <w:szCs w:val="16"/>
                <w:lang w:val="es-ES"/>
              </w:rPr>
              <w:t>FUENTE: INEGI.</w:t>
            </w:r>
          </w:p>
        </w:tc>
      </w:tr>
    </w:tbl>
    <w:p w14:paraId="056FEEB2" w14:textId="77777777" w:rsidR="0002571C" w:rsidRPr="0002571C" w:rsidRDefault="0002571C" w:rsidP="0002571C">
      <w:pPr>
        <w:spacing w:after="360" w:line="360" w:lineRule="auto"/>
        <w:ind w:right="-159"/>
        <w:jc w:val="cente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E538A5" w:rsidRPr="00E538A5" w14:paraId="64A4739B" w14:textId="77777777" w:rsidTr="0011560C">
        <w:tc>
          <w:tcPr>
            <w:tcW w:w="8838" w:type="dxa"/>
          </w:tcPr>
          <w:p w14:paraId="450ED23E" w14:textId="65DFE1CA" w:rsidR="00E538A5" w:rsidRPr="00E538A5" w:rsidRDefault="00E538A5" w:rsidP="00E538A5">
            <w:pPr>
              <w:jc w:val="center"/>
              <w:rPr>
                <w:rFonts w:ascii="Calibri" w:eastAsia="Calibri" w:hAnsi="Calibri"/>
                <w:sz w:val="22"/>
                <w:szCs w:val="22"/>
                <w:lang w:eastAsia="en-US"/>
              </w:rPr>
            </w:pPr>
            <w:r w:rsidRPr="00E538A5">
              <w:rPr>
                <w:rFonts w:ascii="Calibri" w:eastAsia="Calibri" w:hAnsi="Calibri"/>
                <w:sz w:val="22"/>
                <w:szCs w:val="22"/>
                <w:lang w:eastAsia="en-US"/>
              </w:rPr>
              <w:fldChar w:fldCharType="begin"/>
            </w:r>
            <w:r w:rsidRPr="00E538A5">
              <w:rPr>
                <w:rFonts w:ascii="Calibri" w:eastAsia="Calibri" w:hAnsi="Calibri"/>
                <w:sz w:val="22"/>
                <w:szCs w:val="22"/>
                <w:lang w:eastAsia="en-US"/>
              </w:rPr>
              <w:instrText xml:space="preserve"> LINK PowerPoint.Slide.8 "D:\\2015\\MARZO 2014\\GRÁFICAS EN POWER POINT\\12.- GRÁFICAS II DE IND. CICLICOS.pptx!298" "" \a \p </w:instrText>
            </w:r>
            <w:r w:rsidRPr="00E538A5">
              <w:rPr>
                <w:rFonts w:ascii="Calibri" w:eastAsia="Calibri" w:hAnsi="Calibri"/>
                <w:sz w:val="22"/>
                <w:szCs w:val="22"/>
                <w:lang w:eastAsia="en-US"/>
              </w:rPr>
              <w:fldChar w:fldCharType="separate"/>
            </w:r>
            <w:r w:rsidRPr="00E538A5">
              <w:rPr>
                <w:rFonts w:ascii="Calibri" w:eastAsia="Calibri" w:hAnsi="Calibri"/>
                <w:noProof/>
                <w:sz w:val="22"/>
                <w:szCs w:val="22"/>
                <w:lang w:eastAsia="es-MX"/>
              </w:rPr>
              <w:drawing>
                <wp:inline distT="0" distB="0" distL="0" distR="0" wp14:anchorId="1B9C5580" wp14:editId="79B312A9">
                  <wp:extent cx="5603875" cy="2360295"/>
                  <wp:effectExtent l="0" t="0" r="0" b="1905"/>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0"/>
                          <pic:cNvPicPr>
                            <a:picLocks noChangeAspect="1" noChangeArrowheads="1"/>
                          </pic:cNvPicPr>
                        </pic:nvPicPr>
                        <pic:blipFill>
                          <a:blip r:embed="rId51" cstate="print">
                            <a:extLst>
                              <a:ext uri="{28A0092B-C50C-407E-A947-70E740481C1C}">
                                <a14:useLocalDpi xmlns:a14="http://schemas.microsoft.com/office/drawing/2010/main" val="0"/>
                              </a:ext>
                            </a:extLst>
                          </a:blip>
                          <a:srcRect l="3287" t="10001" r="4695" b="21111"/>
                          <a:stretch>
                            <a:fillRect/>
                          </a:stretch>
                        </pic:blipFill>
                        <pic:spPr bwMode="auto">
                          <a:xfrm>
                            <a:off x="0" y="0"/>
                            <a:ext cx="5603875" cy="2360295"/>
                          </a:xfrm>
                          <a:prstGeom prst="rect">
                            <a:avLst/>
                          </a:prstGeom>
                          <a:noFill/>
                          <a:ln>
                            <a:noFill/>
                          </a:ln>
                        </pic:spPr>
                      </pic:pic>
                    </a:graphicData>
                  </a:graphic>
                </wp:inline>
              </w:drawing>
            </w:r>
            <w:r w:rsidRPr="00E538A5">
              <w:rPr>
                <w:rFonts w:ascii="Calibri" w:eastAsia="Calibri" w:hAnsi="Calibri"/>
                <w:sz w:val="22"/>
                <w:szCs w:val="22"/>
                <w:lang w:eastAsia="en-US"/>
              </w:rPr>
              <w:fldChar w:fldCharType="end"/>
            </w:r>
          </w:p>
        </w:tc>
      </w:tr>
      <w:tr w:rsidR="00E538A5" w:rsidRPr="00E538A5" w14:paraId="100DD13E" w14:textId="77777777" w:rsidTr="0011560C">
        <w:tc>
          <w:tcPr>
            <w:tcW w:w="8838" w:type="dxa"/>
          </w:tcPr>
          <w:p w14:paraId="13F3EE68" w14:textId="737D04A1" w:rsidR="00E538A5" w:rsidRPr="00E538A5" w:rsidRDefault="00E538A5" w:rsidP="00E538A5">
            <w:pPr>
              <w:jc w:val="center"/>
              <w:rPr>
                <w:rFonts w:ascii="Calibri" w:eastAsia="Calibri" w:hAnsi="Calibri"/>
                <w:sz w:val="22"/>
                <w:szCs w:val="22"/>
                <w:lang w:eastAsia="en-US"/>
              </w:rPr>
            </w:pPr>
            <w:r w:rsidRPr="00E538A5">
              <w:rPr>
                <w:rFonts w:ascii="Calibri" w:eastAsia="Calibri" w:hAnsi="Calibri"/>
                <w:sz w:val="22"/>
                <w:szCs w:val="22"/>
                <w:lang w:eastAsia="en-US"/>
              </w:rPr>
              <w:lastRenderedPageBreak/>
              <w:fldChar w:fldCharType="begin"/>
            </w:r>
            <w:r w:rsidRPr="00E538A5">
              <w:rPr>
                <w:rFonts w:ascii="Calibri" w:eastAsia="Calibri" w:hAnsi="Calibri"/>
                <w:sz w:val="22"/>
                <w:szCs w:val="22"/>
                <w:lang w:eastAsia="en-US"/>
              </w:rPr>
              <w:instrText xml:space="preserve"> LINK PowerPoint.Slide.8 "D:\\2015\\MARZO 2014\\GRÁFICAS EN POWER POINT\\12.- GRÁFICAS II DE IND. CICLICOS.pptx!305" "" \a \p </w:instrText>
            </w:r>
            <w:r w:rsidRPr="00E538A5">
              <w:rPr>
                <w:rFonts w:ascii="Calibri" w:eastAsia="Calibri" w:hAnsi="Calibri"/>
                <w:sz w:val="22"/>
                <w:szCs w:val="22"/>
                <w:lang w:eastAsia="en-US"/>
              </w:rPr>
              <w:fldChar w:fldCharType="separate"/>
            </w:r>
            <w:r w:rsidRPr="00E538A5">
              <w:rPr>
                <w:rFonts w:ascii="Calibri" w:eastAsia="Calibri" w:hAnsi="Calibri"/>
                <w:noProof/>
                <w:sz w:val="22"/>
                <w:szCs w:val="22"/>
                <w:lang w:eastAsia="es-MX"/>
              </w:rPr>
              <w:drawing>
                <wp:inline distT="0" distB="0" distL="0" distR="0" wp14:anchorId="5788C659" wp14:editId="72459BF5">
                  <wp:extent cx="5572760" cy="2168525"/>
                  <wp:effectExtent l="0" t="0" r="8890" b="3175"/>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1"/>
                          <pic:cNvPicPr>
                            <a:picLocks noChangeAspect="1" noChangeArrowheads="1"/>
                          </pic:cNvPicPr>
                        </pic:nvPicPr>
                        <pic:blipFill>
                          <a:blip r:embed="rId52" cstate="print">
                            <a:extLst>
                              <a:ext uri="{28A0092B-C50C-407E-A947-70E740481C1C}">
                                <a14:useLocalDpi xmlns:a14="http://schemas.microsoft.com/office/drawing/2010/main" val="0"/>
                              </a:ext>
                            </a:extLst>
                          </a:blip>
                          <a:srcRect l="4070" t="15834" r="4382" b="20833"/>
                          <a:stretch>
                            <a:fillRect/>
                          </a:stretch>
                        </pic:blipFill>
                        <pic:spPr bwMode="auto">
                          <a:xfrm>
                            <a:off x="0" y="0"/>
                            <a:ext cx="5572760" cy="2168525"/>
                          </a:xfrm>
                          <a:prstGeom prst="rect">
                            <a:avLst/>
                          </a:prstGeom>
                          <a:noFill/>
                          <a:ln>
                            <a:noFill/>
                          </a:ln>
                        </pic:spPr>
                      </pic:pic>
                    </a:graphicData>
                  </a:graphic>
                </wp:inline>
              </w:drawing>
            </w:r>
            <w:r w:rsidRPr="00E538A5">
              <w:rPr>
                <w:rFonts w:ascii="Calibri" w:eastAsia="Calibri" w:hAnsi="Calibri"/>
                <w:sz w:val="22"/>
                <w:szCs w:val="22"/>
                <w:lang w:eastAsia="en-US"/>
              </w:rPr>
              <w:fldChar w:fldCharType="end"/>
            </w:r>
          </w:p>
        </w:tc>
      </w:tr>
      <w:tr w:rsidR="00E538A5" w:rsidRPr="00E538A5" w14:paraId="7514B773" w14:textId="77777777" w:rsidTr="0011560C">
        <w:tc>
          <w:tcPr>
            <w:tcW w:w="8838" w:type="dxa"/>
          </w:tcPr>
          <w:p w14:paraId="7D20F99B" w14:textId="04B580F1" w:rsidR="00E538A5" w:rsidRPr="00E538A5" w:rsidRDefault="00E538A5" w:rsidP="00E538A5">
            <w:pPr>
              <w:jc w:val="center"/>
              <w:rPr>
                <w:rFonts w:ascii="Calibri" w:eastAsia="Calibri" w:hAnsi="Calibri"/>
                <w:sz w:val="22"/>
                <w:szCs w:val="22"/>
                <w:lang w:eastAsia="en-US"/>
              </w:rPr>
            </w:pPr>
            <w:r w:rsidRPr="00E538A5">
              <w:rPr>
                <w:rFonts w:ascii="Calibri" w:eastAsia="Calibri" w:hAnsi="Calibri"/>
                <w:sz w:val="22"/>
                <w:szCs w:val="22"/>
                <w:lang w:eastAsia="en-US"/>
              </w:rPr>
              <w:fldChar w:fldCharType="begin"/>
            </w:r>
            <w:r w:rsidRPr="00E538A5">
              <w:rPr>
                <w:rFonts w:ascii="Calibri" w:eastAsia="Calibri" w:hAnsi="Calibri"/>
                <w:sz w:val="22"/>
                <w:szCs w:val="22"/>
                <w:lang w:eastAsia="en-US"/>
              </w:rPr>
              <w:instrText xml:space="preserve"> LINK PowerPoint.Slide.8 "D:\\2015\\MARZO 2014\\GRÁFICAS EN POWER POINT\\12.- GRÁFICAS II DE IND. CICLICOS.pptx!306" "" \a \p </w:instrText>
            </w:r>
            <w:r w:rsidRPr="00E538A5">
              <w:rPr>
                <w:rFonts w:ascii="Calibri" w:eastAsia="Calibri" w:hAnsi="Calibri"/>
                <w:sz w:val="22"/>
                <w:szCs w:val="22"/>
                <w:lang w:eastAsia="en-US"/>
              </w:rPr>
              <w:fldChar w:fldCharType="separate"/>
            </w:r>
            <w:r w:rsidRPr="00E538A5">
              <w:rPr>
                <w:rFonts w:ascii="Calibri" w:eastAsia="Calibri" w:hAnsi="Calibri"/>
                <w:noProof/>
                <w:sz w:val="22"/>
                <w:szCs w:val="22"/>
                <w:lang w:eastAsia="es-MX"/>
              </w:rPr>
              <w:drawing>
                <wp:inline distT="0" distB="0" distL="0" distR="0" wp14:anchorId="352E1CAC" wp14:editId="32E134DB">
                  <wp:extent cx="5585460" cy="2879090"/>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2"/>
                          <pic:cNvPicPr>
                            <a:picLocks noChangeAspect="1" noChangeArrowheads="1"/>
                          </pic:cNvPicPr>
                        </pic:nvPicPr>
                        <pic:blipFill>
                          <a:blip r:embed="rId53" cstate="print">
                            <a:extLst>
                              <a:ext uri="{28A0092B-C50C-407E-A947-70E740481C1C}">
                                <a14:useLocalDpi xmlns:a14="http://schemas.microsoft.com/office/drawing/2010/main" val="0"/>
                              </a:ext>
                            </a:extLst>
                          </a:blip>
                          <a:srcRect l="4225" t="4723" r="4070" b="11389"/>
                          <a:stretch>
                            <a:fillRect/>
                          </a:stretch>
                        </pic:blipFill>
                        <pic:spPr bwMode="auto">
                          <a:xfrm>
                            <a:off x="0" y="0"/>
                            <a:ext cx="5585460" cy="2879090"/>
                          </a:xfrm>
                          <a:prstGeom prst="rect">
                            <a:avLst/>
                          </a:prstGeom>
                          <a:noFill/>
                          <a:ln>
                            <a:noFill/>
                          </a:ln>
                        </pic:spPr>
                      </pic:pic>
                    </a:graphicData>
                  </a:graphic>
                </wp:inline>
              </w:drawing>
            </w:r>
            <w:r w:rsidRPr="00E538A5">
              <w:rPr>
                <w:rFonts w:ascii="Calibri" w:eastAsia="Calibri" w:hAnsi="Calibri"/>
                <w:sz w:val="22"/>
                <w:szCs w:val="22"/>
                <w:lang w:eastAsia="en-US"/>
              </w:rPr>
              <w:fldChar w:fldCharType="end"/>
            </w:r>
          </w:p>
        </w:tc>
      </w:tr>
    </w:tbl>
    <w:p w14:paraId="3224E667" w14:textId="38C0F9CF" w:rsidR="0002571C" w:rsidRPr="0002571C" w:rsidRDefault="0002571C" w:rsidP="0002571C">
      <w:pPr>
        <w:spacing w:after="360" w:line="360" w:lineRule="auto"/>
        <w:ind w:right="-159"/>
        <w:jc w:val="center"/>
      </w:pPr>
    </w:p>
    <w:p w14:paraId="4CA7B8B0" w14:textId="77777777" w:rsidR="0002571C" w:rsidRPr="0002571C" w:rsidRDefault="0002571C" w:rsidP="0002571C">
      <w:pPr>
        <w:spacing w:after="360" w:line="360" w:lineRule="auto"/>
        <w:ind w:right="-159"/>
        <w:jc w:val="both"/>
        <w:rPr>
          <w:sz w:val="26"/>
          <w:szCs w:val="26"/>
        </w:rPr>
      </w:pPr>
      <w:r w:rsidRPr="0002571C">
        <w:rPr>
          <w:sz w:val="26"/>
          <w:szCs w:val="26"/>
        </w:rPr>
        <w:t>Al incorporar la información de enero de 2015, el Indicador Adelantado registró una disminución mayor a la difundida el mes previo. Esto se puede apreciar en la siguiente gráfica.</w:t>
      </w:r>
    </w:p>
    <w:p w14:paraId="58E60116" w14:textId="1DC16D63" w:rsidR="00E538A5" w:rsidRDefault="00E538A5" w:rsidP="00E538A5">
      <w:pPr>
        <w:spacing w:after="360" w:line="360" w:lineRule="auto"/>
        <w:ind w:right="-159"/>
        <w:jc w:val="center"/>
        <w:rPr>
          <w:sz w:val="26"/>
          <w:szCs w:val="26"/>
        </w:rPr>
      </w:pPr>
      <w:r w:rsidRPr="00E538A5">
        <w:rPr>
          <w:rFonts w:ascii="Calibri" w:eastAsia="Calibri" w:hAnsi="Calibri"/>
          <w:sz w:val="22"/>
          <w:szCs w:val="22"/>
          <w:lang w:eastAsia="en-US"/>
        </w:rPr>
        <w:lastRenderedPageBreak/>
        <w:fldChar w:fldCharType="begin"/>
      </w:r>
      <w:r w:rsidRPr="00E538A5">
        <w:rPr>
          <w:rFonts w:ascii="Calibri" w:eastAsia="Calibri" w:hAnsi="Calibri"/>
          <w:sz w:val="22"/>
          <w:szCs w:val="22"/>
          <w:lang w:eastAsia="en-US"/>
        </w:rPr>
        <w:instrText xml:space="preserve"> LINK PowerPoint.Slide.8 "D:\\2015\\MARZO 2014\\GRÁFICAS EN POWER POINT\\11.- GRÁFICAS DE IND. CÍCLICOS.pptx!262" "" \a \p </w:instrText>
      </w:r>
      <w:r w:rsidRPr="00E538A5">
        <w:rPr>
          <w:rFonts w:ascii="Calibri" w:eastAsia="Calibri" w:hAnsi="Calibri"/>
          <w:sz w:val="22"/>
          <w:szCs w:val="22"/>
          <w:lang w:eastAsia="en-US"/>
        </w:rPr>
        <w:fldChar w:fldCharType="separate"/>
      </w:r>
      <w:r w:rsidRPr="00E538A5">
        <w:rPr>
          <w:rFonts w:ascii="Calibri" w:eastAsia="Calibri" w:hAnsi="Calibri"/>
          <w:noProof/>
          <w:sz w:val="22"/>
          <w:szCs w:val="22"/>
          <w:lang w:eastAsia="es-MX"/>
        </w:rPr>
        <w:drawing>
          <wp:inline distT="0" distB="0" distL="0" distR="0" wp14:anchorId="13612B40" wp14:editId="59E41333">
            <wp:extent cx="4559935" cy="3429000"/>
            <wp:effectExtent l="0" t="0" r="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59935" cy="3429000"/>
                    </a:xfrm>
                    <a:prstGeom prst="rect">
                      <a:avLst/>
                    </a:prstGeom>
                    <a:noFill/>
                    <a:ln>
                      <a:noFill/>
                    </a:ln>
                  </pic:spPr>
                </pic:pic>
              </a:graphicData>
            </a:graphic>
          </wp:inline>
        </w:drawing>
      </w:r>
      <w:r w:rsidRPr="00E538A5">
        <w:rPr>
          <w:rFonts w:ascii="Calibri" w:eastAsia="Calibri" w:hAnsi="Calibri"/>
          <w:sz w:val="22"/>
          <w:szCs w:val="22"/>
          <w:lang w:eastAsia="en-US"/>
        </w:rPr>
        <w:fldChar w:fldCharType="end"/>
      </w:r>
    </w:p>
    <w:p w14:paraId="5965056A" w14:textId="059FC350" w:rsidR="0002571C" w:rsidRDefault="0002571C" w:rsidP="00E538A5">
      <w:pPr>
        <w:spacing w:after="360" w:line="360" w:lineRule="auto"/>
        <w:ind w:right="-159"/>
        <w:jc w:val="center"/>
        <w:rPr>
          <w:sz w:val="26"/>
          <w:szCs w:val="26"/>
        </w:rPr>
      </w:pPr>
    </w:p>
    <w:p w14:paraId="6B6283D3" w14:textId="770BA96E" w:rsidR="00E538A5" w:rsidRPr="0002571C" w:rsidRDefault="00E538A5" w:rsidP="00E538A5">
      <w:pPr>
        <w:spacing w:after="360" w:line="360" w:lineRule="auto"/>
        <w:ind w:right="-159"/>
        <w:jc w:val="center"/>
        <w:rPr>
          <w:sz w:val="26"/>
          <w:szCs w:val="26"/>
        </w:rPr>
      </w:pPr>
      <w:r w:rsidRPr="00E538A5">
        <w:rPr>
          <w:rFonts w:ascii="Calibri" w:eastAsia="Calibri" w:hAnsi="Calibri"/>
          <w:sz w:val="22"/>
          <w:szCs w:val="22"/>
          <w:lang w:eastAsia="en-US"/>
        </w:rPr>
        <w:fldChar w:fldCharType="begin"/>
      </w:r>
      <w:r w:rsidRPr="00E538A5">
        <w:rPr>
          <w:rFonts w:ascii="Calibri" w:eastAsia="Calibri" w:hAnsi="Calibri"/>
          <w:sz w:val="22"/>
          <w:szCs w:val="22"/>
          <w:lang w:eastAsia="en-US"/>
        </w:rPr>
        <w:instrText xml:space="preserve"> LINK PowerPoint.Slide.8 "D:\\2015\\MARZO 2014\\GRÁFICAS EN POWER POINT\\12.- GRÁFICAS II DE IND. CICLICOS.pptx!269" "" \a \p </w:instrText>
      </w:r>
      <w:r w:rsidRPr="00E538A5">
        <w:rPr>
          <w:rFonts w:ascii="Calibri" w:eastAsia="Calibri" w:hAnsi="Calibri"/>
          <w:sz w:val="22"/>
          <w:szCs w:val="22"/>
          <w:lang w:eastAsia="en-US"/>
        </w:rPr>
        <w:fldChar w:fldCharType="separate"/>
      </w:r>
      <w:r w:rsidRPr="00E538A5">
        <w:rPr>
          <w:rFonts w:ascii="Calibri" w:eastAsia="Calibri" w:hAnsi="Calibri"/>
          <w:noProof/>
          <w:sz w:val="22"/>
          <w:szCs w:val="22"/>
          <w:lang w:eastAsia="es-MX"/>
        </w:rPr>
        <w:drawing>
          <wp:inline distT="0" distB="0" distL="0" distR="0" wp14:anchorId="60D82CC8" wp14:editId="33EBC5AF">
            <wp:extent cx="5165090" cy="3429000"/>
            <wp:effectExtent l="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1"/>
                    <pic:cNvPicPr>
                      <a:picLocks noChangeAspect="1" noChangeArrowheads="1"/>
                    </pic:cNvPicPr>
                  </pic:nvPicPr>
                  <pic:blipFill>
                    <a:blip r:embed="rId55" cstate="print">
                      <a:extLst>
                        <a:ext uri="{28A0092B-C50C-407E-A947-70E740481C1C}">
                          <a14:useLocalDpi xmlns:a14="http://schemas.microsoft.com/office/drawing/2010/main" val="0"/>
                        </a:ext>
                      </a:extLst>
                    </a:blip>
                    <a:srcRect l="3130" r="12050"/>
                    <a:stretch>
                      <a:fillRect/>
                    </a:stretch>
                  </pic:blipFill>
                  <pic:spPr bwMode="auto">
                    <a:xfrm>
                      <a:off x="0" y="0"/>
                      <a:ext cx="5165090" cy="3429000"/>
                    </a:xfrm>
                    <a:prstGeom prst="rect">
                      <a:avLst/>
                    </a:prstGeom>
                    <a:noFill/>
                    <a:ln>
                      <a:noFill/>
                    </a:ln>
                  </pic:spPr>
                </pic:pic>
              </a:graphicData>
            </a:graphic>
          </wp:inline>
        </w:drawing>
      </w:r>
      <w:r w:rsidRPr="00E538A5">
        <w:rPr>
          <w:rFonts w:ascii="Calibri" w:eastAsia="Calibri" w:hAnsi="Calibri"/>
          <w:sz w:val="22"/>
          <w:szCs w:val="22"/>
          <w:lang w:eastAsia="en-US"/>
        </w:rPr>
        <w:fldChar w:fldCharType="end"/>
      </w:r>
    </w:p>
    <w:p w14:paraId="1D98E4F6" w14:textId="77777777" w:rsidR="00E53D8D" w:rsidRDefault="00E53D8D" w:rsidP="0002571C">
      <w:pPr>
        <w:spacing w:after="360" w:line="360" w:lineRule="auto"/>
        <w:ind w:right="-159"/>
        <w:jc w:val="both"/>
        <w:rPr>
          <w:b/>
          <w:sz w:val="26"/>
          <w:szCs w:val="26"/>
        </w:rPr>
      </w:pPr>
    </w:p>
    <w:p w14:paraId="37662D29" w14:textId="77777777" w:rsidR="0002571C" w:rsidRPr="0002571C" w:rsidRDefault="0002571C" w:rsidP="0002571C">
      <w:pPr>
        <w:spacing w:after="360" w:line="360" w:lineRule="auto"/>
        <w:ind w:right="-159"/>
        <w:jc w:val="both"/>
        <w:rPr>
          <w:b/>
          <w:sz w:val="26"/>
          <w:szCs w:val="26"/>
        </w:rPr>
      </w:pPr>
      <w:r w:rsidRPr="0002571C">
        <w:rPr>
          <w:b/>
          <w:sz w:val="26"/>
          <w:szCs w:val="26"/>
        </w:rPr>
        <w:lastRenderedPageBreak/>
        <w:t>Interpretación del indicador coincidente con enfoque del ciclo de negocios o clásico</w:t>
      </w:r>
    </w:p>
    <w:p w14:paraId="65DF5B07" w14:textId="77777777" w:rsidR="0002571C" w:rsidRPr="0002571C" w:rsidRDefault="0002571C" w:rsidP="0002571C">
      <w:pPr>
        <w:spacing w:after="360" w:line="360" w:lineRule="auto"/>
        <w:ind w:right="-159"/>
        <w:jc w:val="both"/>
        <w:rPr>
          <w:sz w:val="26"/>
          <w:szCs w:val="26"/>
        </w:rPr>
      </w:pPr>
      <w:r w:rsidRPr="0002571C">
        <w:rPr>
          <w:sz w:val="26"/>
          <w:szCs w:val="26"/>
        </w:rPr>
        <w:t>En la gráfica siguiente se presenta la serie histórica del Indicador Coincidente desde 1980, lo que permite identificar los ciclos de negocios o clásicos de la historia económica reciente del país. Bajo este enfoque, una recesión es un período entre un pico y un valle y una expansión es un período entre un valle y un pico; adicionalmente, una recesión implica una caída significativa y generalizada de la actividad económica.</w:t>
      </w:r>
    </w:p>
    <w:p w14:paraId="44B41347" w14:textId="1E65AE08" w:rsidR="0002571C" w:rsidRPr="0002571C" w:rsidRDefault="00E538A5" w:rsidP="00E538A5">
      <w:pPr>
        <w:spacing w:after="360" w:line="360" w:lineRule="auto"/>
        <w:ind w:right="-159"/>
        <w:jc w:val="center"/>
        <w:rPr>
          <w:sz w:val="26"/>
          <w:szCs w:val="26"/>
        </w:rPr>
      </w:pPr>
      <w:r w:rsidRPr="00E538A5">
        <w:rPr>
          <w:rFonts w:ascii="Calibri" w:eastAsia="Calibri" w:hAnsi="Calibri"/>
          <w:sz w:val="22"/>
          <w:szCs w:val="22"/>
          <w:lang w:eastAsia="en-US"/>
        </w:rPr>
        <w:fldChar w:fldCharType="begin"/>
      </w:r>
      <w:r w:rsidRPr="00E538A5">
        <w:rPr>
          <w:rFonts w:ascii="Calibri" w:eastAsia="Calibri" w:hAnsi="Calibri"/>
          <w:sz w:val="22"/>
          <w:szCs w:val="22"/>
          <w:lang w:eastAsia="en-US"/>
        </w:rPr>
        <w:instrText xml:space="preserve"> LINK PowerPoint.Slide.8 "D:\\2015\\MARZO 2014\\GRÁFICAS EN POWER POINT\\12.- GRÁFICAS II DE IND. CICLICOS.pptx!271" "" \a \p </w:instrText>
      </w:r>
      <w:r w:rsidRPr="00E538A5">
        <w:rPr>
          <w:rFonts w:ascii="Calibri" w:eastAsia="Calibri" w:hAnsi="Calibri"/>
          <w:sz w:val="22"/>
          <w:szCs w:val="22"/>
          <w:lang w:eastAsia="en-US"/>
        </w:rPr>
        <w:fldChar w:fldCharType="separate"/>
      </w:r>
      <w:r w:rsidRPr="00E538A5">
        <w:rPr>
          <w:rFonts w:ascii="Calibri" w:eastAsia="Calibri" w:hAnsi="Calibri"/>
          <w:noProof/>
          <w:sz w:val="22"/>
          <w:szCs w:val="22"/>
          <w:lang w:eastAsia="es-MX"/>
        </w:rPr>
        <w:drawing>
          <wp:inline distT="0" distB="0" distL="0" distR="0" wp14:anchorId="1C5B6B1F" wp14:editId="06419E61">
            <wp:extent cx="5115560" cy="3429000"/>
            <wp:effectExtent l="0" t="0" r="8890" b="0"/>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3"/>
                    <pic:cNvPicPr>
                      <a:picLocks noChangeAspect="1" noChangeArrowheads="1"/>
                    </pic:cNvPicPr>
                  </pic:nvPicPr>
                  <pic:blipFill>
                    <a:blip r:embed="rId56" cstate="print">
                      <a:extLst>
                        <a:ext uri="{28A0092B-C50C-407E-A947-70E740481C1C}">
                          <a14:useLocalDpi xmlns:a14="http://schemas.microsoft.com/office/drawing/2010/main" val="0"/>
                        </a:ext>
                      </a:extLst>
                    </a:blip>
                    <a:srcRect l="3755" r="12207"/>
                    <a:stretch>
                      <a:fillRect/>
                    </a:stretch>
                  </pic:blipFill>
                  <pic:spPr bwMode="auto">
                    <a:xfrm>
                      <a:off x="0" y="0"/>
                      <a:ext cx="5115560" cy="3429000"/>
                    </a:xfrm>
                    <a:prstGeom prst="rect">
                      <a:avLst/>
                    </a:prstGeom>
                    <a:noFill/>
                    <a:ln>
                      <a:noFill/>
                    </a:ln>
                  </pic:spPr>
                </pic:pic>
              </a:graphicData>
            </a:graphic>
          </wp:inline>
        </w:drawing>
      </w:r>
      <w:r w:rsidRPr="00E538A5">
        <w:rPr>
          <w:rFonts w:ascii="Calibri" w:eastAsia="Calibri" w:hAnsi="Calibri"/>
          <w:sz w:val="22"/>
          <w:szCs w:val="22"/>
          <w:lang w:eastAsia="en-US"/>
        </w:rPr>
        <w:fldChar w:fldCharType="end"/>
      </w:r>
    </w:p>
    <w:p w14:paraId="4B546EAC" w14:textId="77777777" w:rsidR="0002571C" w:rsidRPr="0002571C" w:rsidRDefault="0002571C" w:rsidP="0002571C">
      <w:pPr>
        <w:spacing w:after="360" w:line="360" w:lineRule="auto"/>
        <w:ind w:right="-159"/>
        <w:jc w:val="both"/>
        <w:rPr>
          <w:sz w:val="26"/>
          <w:szCs w:val="26"/>
        </w:rPr>
      </w:pPr>
      <w:r w:rsidRPr="0002571C">
        <w:rPr>
          <w:sz w:val="26"/>
          <w:szCs w:val="26"/>
        </w:rPr>
        <w:t>En la siguiente gráfica se presenta el Indicador coincidente bajo los dos enfoques: ciclo clásico o de negocios y ciclo de crecimiento.</w:t>
      </w:r>
    </w:p>
    <w:p w14:paraId="01269B33" w14:textId="33F493AD" w:rsidR="0002571C" w:rsidRPr="0002571C" w:rsidRDefault="00E538A5" w:rsidP="00E538A5">
      <w:pPr>
        <w:spacing w:after="360" w:line="360" w:lineRule="auto"/>
        <w:ind w:right="-159"/>
        <w:jc w:val="center"/>
        <w:rPr>
          <w:sz w:val="26"/>
          <w:szCs w:val="26"/>
        </w:rPr>
      </w:pPr>
      <w:r w:rsidRPr="00E538A5">
        <w:rPr>
          <w:rFonts w:ascii="Calibri" w:eastAsia="Calibri" w:hAnsi="Calibri"/>
          <w:sz w:val="22"/>
          <w:szCs w:val="22"/>
          <w:lang w:eastAsia="en-US"/>
        </w:rPr>
        <w:lastRenderedPageBreak/>
        <w:fldChar w:fldCharType="begin"/>
      </w:r>
      <w:r w:rsidRPr="00E538A5">
        <w:rPr>
          <w:rFonts w:ascii="Calibri" w:eastAsia="Calibri" w:hAnsi="Calibri"/>
          <w:sz w:val="22"/>
          <w:szCs w:val="22"/>
          <w:lang w:eastAsia="en-US"/>
        </w:rPr>
        <w:instrText xml:space="preserve"> LINK PowerPoint.Slide.8 "D:\\2015\\MARZO 2014\\GRÁFICAS EN POWER POINT\\12.- GRÁFICAS II DE IND. CICLICOS.pptx!301" "" \a \p </w:instrText>
      </w:r>
      <w:r w:rsidRPr="00E538A5">
        <w:rPr>
          <w:rFonts w:ascii="Calibri" w:eastAsia="Calibri" w:hAnsi="Calibri"/>
          <w:sz w:val="22"/>
          <w:szCs w:val="22"/>
          <w:lang w:eastAsia="en-US"/>
        </w:rPr>
        <w:fldChar w:fldCharType="separate"/>
      </w:r>
      <w:r w:rsidRPr="00E538A5">
        <w:rPr>
          <w:rFonts w:ascii="Calibri" w:eastAsia="Calibri" w:hAnsi="Calibri"/>
          <w:noProof/>
          <w:sz w:val="22"/>
          <w:szCs w:val="22"/>
          <w:lang w:eastAsia="es-MX"/>
        </w:rPr>
        <w:drawing>
          <wp:inline distT="0" distB="0" distL="0" distR="0" wp14:anchorId="7FD75106" wp14:editId="647D3F5C">
            <wp:extent cx="5097145" cy="3429000"/>
            <wp:effectExtent l="0" t="0" r="8255" b="0"/>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5"/>
                    <pic:cNvPicPr>
                      <a:picLocks noChangeAspect="1" noChangeArrowheads="1"/>
                    </pic:cNvPicPr>
                  </pic:nvPicPr>
                  <pic:blipFill>
                    <a:blip r:embed="rId57" cstate="print">
                      <a:extLst>
                        <a:ext uri="{28A0092B-C50C-407E-A947-70E740481C1C}">
                          <a14:useLocalDpi xmlns:a14="http://schemas.microsoft.com/office/drawing/2010/main" val="0"/>
                        </a:ext>
                      </a:extLst>
                    </a:blip>
                    <a:srcRect l="5946" r="10329"/>
                    <a:stretch>
                      <a:fillRect/>
                    </a:stretch>
                  </pic:blipFill>
                  <pic:spPr bwMode="auto">
                    <a:xfrm>
                      <a:off x="0" y="0"/>
                      <a:ext cx="5097145" cy="3429000"/>
                    </a:xfrm>
                    <a:prstGeom prst="rect">
                      <a:avLst/>
                    </a:prstGeom>
                    <a:noFill/>
                    <a:ln>
                      <a:noFill/>
                    </a:ln>
                  </pic:spPr>
                </pic:pic>
              </a:graphicData>
            </a:graphic>
          </wp:inline>
        </w:drawing>
      </w:r>
      <w:r w:rsidRPr="00E538A5">
        <w:rPr>
          <w:rFonts w:ascii="Calibri" w:eastAsia="Calibri" w:hAnsi="Calibri"/>
          <w:sz w:val="22"/>
          <w:szCs w:val="22"/>
          <w:lang w:eastAsia="en-US"/>
        </w:rPr>
        <w:fldChar w:fldCharType="end"/>
      </w:r>
    </w:p>
    <w:p w14:paraId="411C976B" w14:textId="77777777" w:rsidR="0002571C" w:rsidRPr="0002571C" w:rsidRDefault="0002571C" w:rsidP="0002571C">
      <w:pPr>
        <w:spacing w:after="360" w:line="360" w:lineRule="auto"/>
        <w:ind w:right="-159"/>
        <w:jc w:val="both"/>
        <w:rPr>
          <w:sz w:val="26"/>
          <w:szCs w:val="26"/>
        </w:rPr>
      </w:pPr>
      <w:r w:rsidRPr="0002571C">
        <w:rPr>
          <w:sz w:val="26"/>
          <w:szCs w:val="26"/>
        </w:rPr>
        <w:t>En esta gráfica, el indicador coincidente del ciclo clásico (que considera la tendencia de largo plazo y el componente cíclico en el mismo indicador) continúa creciendo y se ubica en el nivel de su tendencia de largo plazo; mientras que el Indicador Coincidente del ciclo de crecimiento (que considera solamente el componente cíclico) sigue recuperándose, con un valor ligeramente por debajo de su tendencia de largo plazo. Cabe señalar que la posición de ambos indicadores con relación a su tendencia de largo plazo puede diferir debido a los distintos procedimientos de cálculo utilizados.</w:t>
      </w:r>
    </w:p>
    <w:p w14:paraId="00E9BDF1" w14:textId="77777777" w:rsidR="0002571C" w:rsidRPr="0002571C" w:rsidRDefault="0002571C" w:rsidP="0002571C">
      <w:pPr>
        <w:ind w:right="-159"/>
        <w:jc w:val="both"/>
        <w:rPr>
          <w:b/>
          <w:sz w:val="20"/>
          <w:szCs w:val="20"/>
        </w:rPr>
      </w:pPr>
      <w:r w:rsidRPr="0002571C">
        <w:rPr>
          <w:b/>
          <w:sz w:val="20"/>
          <w:szCs w:val="20"/>
        </w:rPr>
        <w:t>Fuente de información:</w:t>
      </w:r>
    </w:p>
    <w:p w14:paraId="22286BDE" w14:textId="77777777" w:rsidR="0002571C" w:rsidRPr="00447800" w:rsidRDefault="0093224F" w:rsidP="00447800">
      <w:pPr>
        <w:spacing w:after="720"/>
        <w:rPr>
          <w:color w:val="0000FF"/>
          <w:sz w:val="20"/>
          <w:szCs w:val="20"/>
        </w:rPr>
      </w:pPr>
      <w:hyperlink r:id="rId58" w:history="1">
        <w:r w:rsidR="0002571C" w:rsidRPr="00447800">
          <w:rPr>
            <w:color w:val="0000FF"/>
            <w:sz w:val="20"/>
            <w:szCs w:val="20"/>
            <w:u w:val="single"/>
          </w:rPr>
          <w:t>http://www.inegi.org.mx/saladeprensa/boletines/2015/sic_cya/sic_cya2015_03.pdf</w:t>
        </w:r>
      </w:hyperlink>
    </w:p>
    <w:p w14:paraId="06A5F6EA" w14:textId="77777777" w:rsidR="00BC6B56" w:rsidRPr="003C69EB" w:rsidRDefault="00BC6B56" w:rsidP="00BC6B56">
      <w:pPr>
        <w:spacing w:after="360" w:line="360" w:lineRule="auto"/>
        <w:ind w:right="-159"/>
        <w:jc w:val="both"/>
        <w:rPr>
          <w:b/>
          <w:sz w:val="26"/>
          <w:szCs w:val="26"/>
        </w:rPr>
      </w:pPr>
      <w:r w:rsidRPr="009300D7">
        <w:rPr>
          <w:b/>
          <w:sz w:val="26"/>
          <w:szCs w:val="26"/>
        </w:rPr>
        <w:t>Reporte sobre las economías regionales</w:t>
      </w:r>
      <w:r w:rsidRPr="00445D66">
        <w:rPr>
          <w:b/>
          <w:sz w:val="26"/>
          <w:szCs w:val="26"/>
        </w:rPr>
        <w:t xml:space="preserve"> </w:t>
      </w:r>
      <w:r>
        <w:rPr>
          <w:b/>
          <w:sz w:val="26"/>
          <w:szCs w:val="26"/>
        </w:rPr>
        <w:t>Octubre-Diciembre 2014 (Banxico</w:t>
      </w:r>
      <w:r w:rsidRPr="003C69EB">
        <w:rPr>
          <w:b/>
          <w:sz w:val="26"/>
          <w:szCs w:val="26"/>
        </w:rPr>
        <w:t>)</w:t>
      </w:r>
    </w:p>
    <w:p w14:paraId="27FE35AB" w14:textId="77777777" w:rsidR="00BC6B56" w:rsidRPr="009C2EB5" w:rsidRDefault="00BC6B56" w:rsidP="00BC6B56">
      <w:pPr>
        <w:spacing w:after="360" w:line="360" w:lineRule="auto"/>
        <w:ind w:right="-159"/>
        <w:jc w:val="both"/>
        <w:rPr>
          <w:sz w:val="26"/>
          <w:szCs w:val="26"/>
          <w:lang w:val="es-ES"/>
        </w:rPr>
      </w:pPr>
      <w:r w:rsidRPr="00CE3E06">
        <w:rPr>
          <w:sz w:val="26"/>
          <w:szCs w:val="26"/>
          <w:lang w:val="es-ES"/>
        </w:rPr>
        <w:t>El 12 de marzo de</w:t>
      </w:r>
      <w:r>
        <w:rPr>
          <w:sz w:val="26"/>
          <w:szCs w:val="26"/>
          <w:lang w:val="es-ES"/>
        </w:rPr>
        <w:t xml:space="preserve"> 2015, el Banco de México (Banxico) dio a conocer el “</w:t>
      </w:r>
      <w:r w:rsidRPr="00F152F2">
        <w:rPr>
          <w:sz w:val="26"/>
          <w:szCs w:val="26"/>
          <w:lang w:val="es-ES"/>
        </w:rPr>
        <w:t>Reporte sobre las economías regionales Octubre-Diciembre 2014</w:t>
      </w:r>
      <w:r>
        <w:rPr>
          <w:sz w:val="26"/>
          <w:szCs w:val="26"/>
          <w:lang w:val="es-ES"/>
        </w:rPr>
        <w:t>”. A continuación se presenta el contenido.</w:t>
      </w:r>
    </w:p>
    <w:p w14:paraId="5E5D9F9C" w14:textId="77777777" w:rsidR="00BC6B56" w:rsidRDefault="00BC6B56" w:rsidP="00BC6B56">
      <w:pPr>
        <w:spacing w:after="360" w:line="360" w:lineRule="auto"/>
        <w:ind w:right="-159"/>
        <w:jc w:val="both"/>
        <w:rPr>
          <w:sz w:val="26"/>
          <w:szCs w:val="26"/>
          <w:lang w:val="es-ES"/>
        </w:rPr>
      </w:pPr>
      <w:r w:rsidRPr="009C2EB5">
        <w:rPr>
          <w:sz w:val="26"/>
          <w:szCs w:val="26"/>
          <w:lang w:val="es-ES"/>
        </w:rPr>
        <w:lastRenderedPageBreak/>
        <w:t xml:space="preserve">Este documento presenta los indicadores y el análisis que el Banco de México produce sobre las distintas regiones del país en tres vertientes: la evolución de la actividad económica, la inflación, y las expectativas </w:t>
      </w:r>
      <w:r w:rsidRPr="007C7D97">
        <w:rPr>
          <w:sz w:val="26"/>
          <w:szCs w:val="26"/>
          <w:lang w:val="es-ES"/>
        </w:rPr>
        <w:t>de los agentes económicos. El Reporte refleja el compromiso de la Junta de Gobierno del Banco de México de promover un entendimiento más amplio y profundo sobre el desempeño de las economías regionales. La información que se presenta es considerada por la Junta de Gobierno del Banco de México para complementar su visión sobre la situación económica y los pronósticos de la economía nacional.</w:t>
      </w:r>
    </w:p>
    <w:p w14:paraId="48C1103E" w14:textId="77777777" w:rsidR="00BC6B56" w:rsidRDefault="00BC6B56" w:rsidP="00BC6B56">
      <w:pPr>
        <w:spacing w:after="360" w:line="360" w:lineRule="auto"/>
        <w:ind w:right="-159"/>
        <w:jc w:val="both"/>
        <w:rPr>
          <w:b/>
          <w:sz w:val="26"/>
          <w:szCs w:val="26"/>
          <w:lang w:val="es-ES"/>
        </w:rPr>
      </w:pPr>
      <w:r w:rsidRPr="00944566">
        <w:rPr>
          <w:b/>
          <w:sz w:val="26"/>
          <w:szCs w:val="26"/>
          <w:lang w:val="es-ES"/>
        </w:rPr>
        <w:t>Resumen</w:t>
      </w:r>
    </w:p>
    <w:p w14:paraId="3198FBEE" w14:textId="77777777" w:rsidR="00BC6B56" w:rsidRPr="008A65D4" w:rsidRDefault="00BC6B56" w:rsidP="00BC6B56">
      <w:pPr>
        <w:spacing w:after="360" w:line="360" w:lineRule="auto"/>
        <w:ind w:right="-159"/>
        <w:jc w:val="both"/>
        <w:rPr>
          <w:sz w:val="26"/>
          <w:szCs w:val="26"/>
          <w:lang w:val="es-ES"/>
        </w:rPr>
      </w:pPr>
      <w:r w:rsidRPr="008A65D4">
        <w:rPr>
          <w:sz w:val="26"/>
          <w:szCs w:val="26"/>
          <w:lang w:val="es-ES"/>
        </w:rPr>
        <w:t>Las economías regionales continuaron mostrando una recuperación moderada durante el cuarto trimestre de 2014. La actividad industrial en las regiones norte, centro norte y centro siguió presentando una tendencia al alza impulsada principalmente por la producción manufacturera y la construcción privada. Por su parte, en la región sur la actividad industrial siguió debilitándose principalmente como reflejo del desempeño de la minería petrolera, si bien las manufacturas y la construcción privada tuvieron un comportamiento favorab</w:t>
      </w:r>
      <w:r>
        <w:rPr>
          <w:sz w:val="26"/>
          <w:szCs w:val="26"/>
          <w:lang w:val="es-ES"/>
        </w:rPr>
        <w:t>le en esta región. En relación con</w:t>
      </w:r>
      <w:r w:rsidRPr="008A65D4">
        <w:rPr>
          <w:sz w:val="26"/>
          <w:szCs w:val="26"/>
          <w:lang w:val="es-ES"/>
        </w:rPr>
        <w:t xml:space="preserve"> la actividad en el sector servicios, durante el trimestre de referencia destacó el dinamismo que registró el turismo en la mayoría de las regiones. Por su parte, la producción agropecuaria registró variaciones anuales positivas durante el cuarto trimestre de 2014 en la mayoría de los casos, si bien a menores tasas que las registradas en el trimestre previo. Finalmente, en el trimestre que se analiza, el número de trabajadores afiliados al </w:t>
      </w:r>
      <w:r>
        <w:rPr>
          <w:sz w:val="26"/>
          <w:szCs w:val="26"/>
          <w:lang w:val="es-ES"/>
        </w:rPr>
        <w:t>instituto mexicano del seguro social (</w:t>
      </w:r>
      <w:r w:rsidRPr="008A65D4">
        <w:rPr>
          <w:sz w:val="26"/>
          <w:szCs w:val="26"/>
          <w:lang w:val="es-ES"/>
        </w:rPr>
        <w:t>IMSS</w:t>
      </w:r>
      <w:r>
        <w:rPr>
          <w:sz w:val="26"/>
          <w:szCs w:val="26"/>
          <w:lang w:val="es-ES"/>
        </w:rPr>
        <w:t>)</w:t>
      </w:r>
      <w:r w:rsidRPr="008A65D4">
        <w:rPr>
          <w:sz w:val="26"/>
          <w:szCs w:val="26"/>
          <w:lang w:val="es-ES"/>
        </w:rPr>
        <w:t xml:space="preserve"> continuó acelerándose en las regione</w:t>
      </w:r>
      <w:r>
        <w:rPr>
          <w:sz w:val="26"/>
          <w:szCs w:val="26"/>
          <w:lang w:val="es-ES"/>
        </w:rPr>
        <w:t>s norte, centro norte y centro.</w:t>
      </w:r>
      <w:r>
        <w:rPr>
          <w:rStyle w:val="Refdenotaalpie"/>
          <w:sz w:val="26"/>
          <w:szCs w:val="26"/>
          <w:lang w:val="es-ES"/>
        </w:rPr>
        <w:footnoteReference w:id="5"/>
      </w:r>
    </w:p>
    <w:p w14:paraId="5505B865" w14:textId="77777777" w:rsidR="00BC6B56" w:rsidRPr="008A65D4" w:rsidRDefault="00BC6B56" w:rsidP="00BC6B56">
      <w:pPr>
        <w:spacing w:after="360" w:line="360" w:lineRule="auto"/>
        <w:ind w:right="-159"/>
        <w:jc w:val="both"/>
        <w:rPr>
          <w:sz w:val="26"/>
          <w:szCs w:val="26"/>
          <w:lang w:val="es-ES"/>
        </w:rPr>
      </w:pPr>
      <w:r w:rsidRPr="008A65D4">
        <w:rPr>
          <w:sz w:val="26"/>
          <w:szCs w:val="26"/>
          <w:lang w:val="es-ES"/>
        </w:rPr>
        <w:lastRenderedPageBreak/>
        <w:t>Los directivos empresariales entrevistados para este Reporte en las cuatro regiones del país manifestaron, en general, que la demanda por sus bienes y servicios aumentó en el cuarto trimestre de 2014. En la mayoría de los casos mencionaron que el dinamismo de dicha demanda fue mayor que el observado en el trimestre previo. Los directivos atribuyeron este desempeño principalmente al impulso de la demanda externa y a una mejoría gradual de l</w:t>
      </w:r>
      <w:r>
        <w:rPr>
          <w:sz w:val="26"/>
          <w:szCs w:val="26"/>
          <w:lang w:val="es-ES"/>
        </w:rPr>
        <w:t>a demanda interna. En relación con</w:t>
      </w:r>
      <w:r w:rsidRPr="008A65D4">
        <w:rPr>
          <w:sz w:val="26"/>
          <w:szCs w:val="26"/>
          <w:lang w:val="es-ES"/>
        </w:rPr>
        <w:t xml:space="preserve"> esta última, destacaron la recuperación de la construcción privada en el segmento residencial. En efecto, como se muestra en </w:t>
      </w:r>
      <w:r w:rsidRPr="00410C5B">
        <w:rPr>
          <w:sz w:val="26"/>
          <w:szCs w:val="26"/>
          <w:lang w:val="es-ES"/>
        </w:rPr>
        <w:t xml:space="preserve">el Recuadro: </w:t>
      </w:r>
      <w:r w:rsidRPr="00410C5B">
        <w:rPr>
          <w:i/>
          <w:sz w:val="26"/>
          <w:szCs w:val="26"/>
          <w:lang w:val="es-ES"/>
        </w:rPr>
        <w:t>Recuperación de la Construcción Residencial en México por Región</w:t>
      </w:r>
      <w:r w:rsidRPr="008A65D4">
        <w:rPr>
          <w:sz w:val="26"/>
          <w:szCs w:val="26"/>
          <w:lang w:val="es-ES"/>
        </w:rPr>
        <w:t xml:space="preserve"> de este Reporte, la construcción en dicho segmento fue uno de los factores que impulsaron a la demanda en todas las regiones del país.</w:t>
      </w:r>
    </w:p>
    <w:p w14:paraId="577FD9D9" w14:textId="77777777" w:rsidR="00BC6B56" w:rsidRPr="008A65D4" w:rsidRDefault="00BC6B56" w:rsidP="00BC6B56">
      <w:pPr>
        <w:spacing w:after="360" w:line="360" w:lineRule="auto"/>
        <w:ind w:right="-159"/>
        <w:jc w:val="both"/>
        <w:rPr>
          <w:sz w:val="26"/>
          <w:szCs w:val="26"/>
          <w:lang w:val="es-ES"/>
        </w:rPr>
      </w:pPr>
      <w:r w:rsidRPr="008A65D4">
        <w:rPr>
          <w:sz w:val="26"/>
          <w:szCs w:val="26"/>
          <w:lang w:val="es-ES"/>
        </w:rPr>
        <w:t>La inflación general anual alcanzó su nivel máximo reciente en la mayoría de las regiones del país en octubre de 2014. Ello obedeció a los efectos de las modificaciones fiscales que entraron en vigor a inicios del año y de choques transitorios que afectaron el componente no subyacente. Posteriormente, a partir de noviembre la inflación general anual comenzó a mostrar una tendencia a la baja en las cuatro regiones, misma que se intensificó con una importante disminución adicional en enero de 2015. Esta reducción obedeció a que no se volvieron a presentar los incrementos de precios que el año previo tuvieron lugar a raíz de las modificaciones fiscales, a las disminuciones en los precios de los servicios de telecomunicaciones y a menores aumentos en los precios de los energéticos. Adicionalmente, los incrementos en los precios de las mercancías y en los de los servicios fueron, en general, menores que los observados en el año previo. En febrero de 2015 la inflación general anual se mantuvo estable y cerca de 3</w:t>
      </w:r>
      <w:r>
        <w:rPr>
          <w:sz w:val="26"/>
          <w:szCs w:val="26"/>
          <w:lang w:val="es-ES"/>
        </w:rPr>
        <w:t>%</w:t>
      </w:r>
      <w:r w:rsidRPr="008A65D4">
        <w:rPr>
          <w:sz w:val="26"/>
          <w:szCs w:val="26"/>
          <w:lang w:val="es-ES"/>
        </w:rPr>
        <w:t xml:space="preserve"> en todas las regiones.</w:t>
      </w:r>
    </w:p>
    <w:p w14:paraId="5ED54DE5" w14:textId="77777777" w:rsidR="00BC6B56" w:rsidRPr="008A65D4" w:rsidRDefault="00BC6B56" w:rsidP="00BC6B56">
      <w:pPr>
        <w:spacing w:after="360" w:line="360" w:lineRule="auto"/>
        <w:ind w:right="-159"/>
        <w:jc w:val="both"/>
        <w:rPr>
          <w:sz w:val="26"/>
          <w:szCs w:val="26"/>
          <w:lang w:val="es-ES"/>
        </w:rPr>
      </w:pPr>
      <w:r w:rsidRPr="008A65D4">
        <w:rPr>
          <w:sz w:val="26"/>
          <w:szCs w:val="26"/>
          <w:lang w:val="es-ES"/>
        </w:rPr>
        <w:t xml:space="preserve">Las expectativas de los directivos entrevistados son, en general, moderadamente optimistas y apuntan a que la recuperación económica de sus regiones continúe durante los siguientes doce meses. La expectativa de expansión está sujeta, en opinión de los referidos directivos, a riesgos tanto al alza como a la baja. Entre los riesgos al alza, el </w:t>
      </w:r>
      <w:r w:rsidRPr="008A65D4">
        <w:rPr>
          <w:sz w:val="26"/>
          <w:szCs w:val="26"/>
          <w:lang w:val="es-ES"/>
        </w:rPr>
        <w:lastRenderedPageBreak/>
        <w:t>desempeño de la demanda</w:t>
      </w:r>
      <w:r>
        <w:rPr>
          <w:sz w:val="26"/>
          <w:szCs w:val="26"/>
          <w:lang w:val="es-ES"/>
        </w:rPr>
        <w:t xml:space="preserve"> </w:t>
      </w:r>
      <w:r w:rsidRPr="008A65D4">
        <w:rPr>
          <w:sz w:val="26"/>
          <w:szCs w:val="26"/>
          <w:lang w:val="es-ES"/>
        </w:rPr>
        <w:t>externa, especialmente la de Estados Unidos</w:t>
      </w:r>
      <w:r>
        <w:rPr>
          <w:sz w:val="26"/>
          <w:szCs w:val="26"/>
          <w:lang w:val="es-ES"/>
        </w:rPr>
        <w:t xml:space="preserve"> de Norteamérica</w:t>
      </w:r>
      <w:r w:rsidRPr="008A65D4">
        <w:rPr>
          <w:sz w:val="26"/>
          <w:szCs w:val="26"/>
          <w:lang w:val="es-ES"/>
        </w:rPr>
        <w:t>, fue mencionado en todas las regiones. También señalaron que el dinamismo de la demanda interna, particularmente de la inversión privada, podría ser mejor al anticipado. Esto último en referencia a la inversión en sectores tales como el automotriz y el energético. Adicionalmente, en algunas regiones destacaron que la implementación de las reformas estructurales podría ser un factor que dinamice a las economías regionales y que la actividad turística durante 2015 podría resultar más vigorosa que la prevista.</w:t>
      </w:r>
    </w:p>
    <w:p w14:paraId="381A31E5" w14:textId="77777777" w:rsidR="00BC6B56" w:rsidRPr="008A65D4" w:rsidRDefault="00BC6B56" w:rsidP="00BC6B56">
      <w:pPr>
        <w:spacing w:after="360" w:line="360" w:lineRule="auto"/>
        <w:ind w:right="-159"/>
        <w:jc w:val="both"/>
        <w:rPr>
          <w:sz w:val="26"/>
          <w:szCs w:val="26"/>
          <w:lang w:val="es-ES"/>
        </w:rPr>
      </w:pPr>
      <w:r w:rsidRPr="008A65D4">
        <w:rPr>
          <w:sz w:val="26"/>
          <w:szCs w:val="26"/>
          <w:lang w:val="es-ES"/>
        </w:rPr>
        <w:t xml:space="preserve">Por otro lado, entre los riesgos a la baja para la actividad económica regional los directivos consultados en las cuatro regiones hicieron referencia a la posibilidad de que tuviera lugar un deterioro adicional en la percepción sobre la seguridad pública. En el sur, por su parte, también destacaron como factor de riesgo un eventual empeoramiento de los conflictos sociales. En relación </w:t>
      </w:r>
      <w:r>
        <w:rPr>
          <w:sz w:val="26"/>
          <w:szCs w:val="26"/>
          <w:lang w:val="es-ES"/>
        </w:rPr>
        <w:t>con</w:t>
      </w:r>
      <w:r w:rsidRPr="008A65D4">
        <w:rPr>
          <w:sz w:val="26"/>
          <w:szCs w:val="26"/>
          <w:lang w:val="es-ES"/>
        </w:rPr>
        <w:t xml:space="preserve"> esto último, algunos directivos entrevistados para la elaboración de reportes anteriores han enfatizado la importancia que tiene la impartición de justicia y el estado de derecho, en general, para el desarrollo económico de sus regiones. En este contexto, en el </w:t>
      </w:r>
      <w:r w:rsidRPr="00410C5B">
        <w:rPr>
          <w:sz w:val="26"/>
          <w:szCs w:val="26"/>
          <w:lang w:val="es-ES"/>
        </w:rPr>
        <w:t>Recuadro</w:t>
      </w:r>
      <w:r>
        <w:rPr>
          <w:sz w:val="26"/>
          <w:szCs w:val="26"/>
          <w:lang w:val="es-ES"/>
        </w:rPr>
        <w:t>:</w:t>
      </w:r>
      <w:r w:rsidRPr="00410C5B">
        <w:rPr>
          <w:sz w:val="26"/>
          <w:szCs w:val="26"/>
          <w:lang w:val="es-ES"/>
        </w:rPr>
        <w:t xml:space="preserve"> </w:t>
      </w:r>
      <w:r w:rsidRPr="00410C5B">
        <w:rPr>
          <w:i/>
          <w:sz w:val="26"/>
          <w:szCs w:val="26"/>
          <w:lang w:val="es-ES"/>
        </w:rPr>
        <w:t xml:space="preserve">Tiempo de Resolución de Disputas Comerciales y Desempeño Económico Regional </w:t>
      </w:r>
      <w:r w:rsidRPr="008A65D4">
        <w:rPr>
          <w:sz w:val="26"/>
          <w:szCs w:val="26"/>
          <w:lang w:val="es-ES"/>
        </w:rPr>
        <w:t>de este Reporte se analiza la relación estadística entre el crecimiento económico de las regiones y un indicador de impartición de justicia. En particular, se utiliza información referente al tiempo que tardan las resoluciones judiciales de disputas comerciales y se analiza su relación con el crecimiento económico regional. Los resultados muestran que menores tiempos de resolución están asociados con mayores tasas de crecimiento económico. Finalmente, en la mayoría de las regiones también mencionaron como riesgo a la baja para la actividad económica que los incrementos en los precios de algunos insumos aumenten ante la reciente depreciación del tipo de cambio.</w:t>
      </w:r>
    </w:p>
    <w:p w14:paraId="5FF8E0A7" w14:textId="77777777" w:rsidR="00BC6B56" w:rsidRDefault="00BC6B56" w:rsidP="00BC6B56">
      <w:pPr>
        <w:spacing w:after="360" w:line="360" w:lineRule="auto"/>
        <w:ind w:right="-159"/>
        <w:jc w:val="both"/>
        <w:rPr>
          <w:sz w:val="26"/>
          <w:szCs w:val="26"/>
          <w:lang w:val="es-ES"/>
        </w:rPr>
      </w:pPr>
      <w:r w:rsidRPr="008A65D4">
        <w:rPr>
          <w:sz w:val="26"/>
          <w:szCs w:val="26"/>
          <w:lang w:val="es-ES"/>
        </w:rPr>
        <w:t xml:space="preserve">En cuanto a las expectativas de inflación para los siguientes doce meses, la mayoría de los directivos entrevistados en las cuatro regiones del país anticipa que los precios de </w:t>
      </w:r>
      <w:r w:rsidRPr="008A65D4">
        <w:rPr>
          <w:sz w:val="26"/>
          <w:szCs w:val="26"/>
          <w:lang w:val="es-ES"/>
        </w:rPr>
        <w:lastRenderedPageBreak/>
        <w:t>venta de los bienes y servicios que ofrecen registrarán variaciones porcentuales anuales menores a las del año previo. Adicionalmente, sus expectativas para la tasa de crecimiento anual de los precios de sus insumos y de sus costos salariales ubican a éstas en niveles por debajo de los registrados el año anterior, aunque cada vez más cerca de los mismos.</w:t>
      </w:r>
    </w:p>
    <w:p w14:paraId="69CF44ED" w14:textId="77777777" w:rsidR="00BC6B56" w:rsidRDefault="00BC6B56" w:rsidP="00BC6B56">
      <w:pPr>
        <w:spacing w:after="360" w:line="360" w:lineRule="auto"/>
        <w:ind w:right="-159"/>
        <w:jc w:val="both"/>
        <w:rPr>
          <w:b/>
          <w:sz w:val="26"/>
          <w:szCs w:val="26"/>
          <w:lang w:val="es-ES"/>
        </w:rPr>
      </w:pPr>
      <w:r w:rsidRPr="000D7949">
        <w:rPr>
          <w:b/>
          <w:sz w:val="26"/>
          <w:szCs w:val="26"/>
          <w:lang w:val="es-ES"/>
        </w:rPr>
        <w:t>1. Actividad Económica Regional</w:t>
      </w:r>
    </w:p>
    <w:p w14:paraId="4F942544" w14:textId="77777777" w:rsidR="00BC6B56" w:rsidRPr="008A65D4" w:rsidRDefault="00BC6B56" w:rsidP="00BC6B56">
      <w:pPr>
        <w:spacing w:after="360" w:line="360" w:lineRule="auto"/>
        <w:ind w:right="-159"/>
        <w:jc w:val="both"/>
        <w:rPr>
          <w:sz w:val="26"/>
          <w:szCs w:val="26"/>
          <w:lang w:val="es-ES"/>
        </w:rPr>
      </w:pPr>
      <w:r w:rsidRPr="008A65D4">
        <w:rPr>
          <w:sz w:val="26"/>
          <w:szCs w:val="26"/>
          <w:lang w:val="es-ES"/>
        </w:rPr>
        <w:t>Las economías regionales continuaron mostrando una recuperación moderada durante el cuarto trimestre de 2014. En las regiones norte, centro norte y centro, la actividad industrial siguió presentando una tendencia al alza impulsada principalmente por la producción manufacturera y la construcción privada. Por su parte, en la región sur la actividad industrial siguió debilitándose principalmente como reflejo del desempeño de la minería petrolera, aunque la construcción privada y las manufacturas tuvieron un comportamiento favorable. Por otro lado, la actividad comercial al menudeo también presentó, en general, una expansión aunque a una tasa de crecimiento anual menor que en el trimestre previo. Finalmente, la actividad agropecuaria y el turismo se expandieron en la mayoría de las</w:t>
      </w:r>
      <w:r>
        <w:rPr>
          <w:sz w:val="26"/>
          <w:szCs w:val="26"/>
          <w:lang w:val="es-ES"/>
        </w:rPr>
        <w:t xml:space="preserve"> regiones respecto al mismo perí</w:t>
      </w:r>
      <w:r w:rsidRPr="008A65D4">
        <w:rPr>
          <w:sz w:val="26"/>
          <w:szCs w:val="26"/>
          <w:lang w:val="es-ES"/>
        </w:rPr>
        <w:t>odo del año previo.</w:t>
      </w:r>
    </w:p>
    <w:p w14:paraId="0166947F" w14:textId="77777777" w:rsidR="00BC6B56" w:rsidRPr="008A65D4" w:rsidRDefault="00BC6B56" w:rsidP="00BC6B56">
      <w:pPr>
        <w:spacing w:after="360" w:line="360" w:lineRule="auto"/>
        <w:ind w:right="-159"/>
        <w:jc w:val="both"/>
        <w:rPr>
          <w:sz w:val="26"/>
          <w:szCs w:val="26"/>
          <w:lang w:val="es-ES"/>
        </w:rPr>
      </w:pPr>
      <w:r w:rsidRPr="008A65D4">
        <w:rPr>
          <w:sz w:val="26"/>
          <w:szCs w:val="26"/>
          <w:lang w:val="es-ES"/>
        </w:rPr>
        <w:t>De manera congruente con lo anterior, los directivos empresariales entrevistados para este Reporte en todas las regiones del país entre el 15 de diciembre de 2014 y el 23 de enero de 2015 comentaron que en el cuarto trimestre de 2014 la demanda por sus bienes y servicios fue, en general, más dinámica con resp</w:t>
      </w:r>
      <w:r>
        <w:rPr>
          <w:sz w:val="26"/>
          <w:szCs w:val="26"/>
          <w:lang w:val="es-ES"/>
        </w:rPr>
        <w:t>ecto a la del trimestre previo.</w:t>
      </w:r>
      <w:r>
        <w:rPr>
          <w:rStyle w:val="Refdenotaalpie"/>
          <w:sz w:val="26"/>
          <w:szCs w:val="26"/>
          <w:lang w:val="es-ES"/>
        </w:rPr>
        <w:footnoteReference w:id="6"/>
      </w:r>
      <w:r w:rsidRPr="008A65D4">
        <w:rPr>
          <w:sz w:val="26"/>
          <w:szCs w:val="26"/>
          <w:lang w:val="es-ES"/>
        </w:rPr>
        <w:t xml:space="preserve"> Los directivos atribuyeron este desempeño principalmente al impulso sostenido de la demanda externa y a una mejoría gradual de la demanda interna.</w:t>
      </w:r>
    </w:p>
    <w:p w14:paraId="575B8A1A" w14:textId="77777777" w:rsidR="00BC6B56" w:rsidRPr="008A65D4" w:rsidRDefault="00BC6B56" w:rsidP="00BC6B56">
      <w:pPr>
        <w:spacing w:after="360" w:line="360" w:lineRule="auto"/>
        <w:ind w:right="-159"/>
        <w:jc w:val="both"/>
        <w:rPr>
          <w:sz w:val="26"/>
          <w:szCs w:val="26"/>
          <w:lang w:val="es-ES"/>
        </w:rPr>
      </w:pPr>
      <w:r w:rsidRPr="008A65D4">
        <w:rPr>
          <w:sz w:val="26"/>
          <w:szCs w:val="26"/>
          <w:lang w:val="es-ES"/>
        </w:rPr>
        <w:lastRenderedPageBreak/>
        <w:t xml:space="preserve">En relación </w:t>
      </w:r>
      <w:r>
        <w:rPr>
          <w:sz w:val="26"/>
          <w:szCs w:val="26"/>
          <w:lang w:val="es-ES"/>
        </w:rPr>
        <w:t>con</w:t>
      </w:r>
      <w:r w:rsidRPr="008A65D4">
        <w:rPr>
          <w:sz w:val="26"/>
          <w:szCs w:val="26"/>
          <w:lang w:val="es-ES"/>
        </w:rPr>
        <w:t xml:space="preserve"> la demanda externa, los directivos referidos destacaron el impulso asociado al dinamismo de la economía de Estados Unidos </w:t>
      </w:r>
      <w:r>
        <w:rPr>
          <w:sz w:val="26"/>
          <w:szCs w:val="26"/>
          <w:lang w:val="es-ES"/>
        </w:rPr>
        <w:t xml:space="preserve">de Norteamérica </w:t>
      </w:r>
      <w:r w:rsidRPr="008A65D4">
        <w:rPr>
          <w:sz w:val="26"/>
          <w:szCs w:val="26"/>
          <w:lang w:val="es-ES"/>
        </w:rPr>
        <w:t>que apoyó la actividad manufacturera, los servicios asociados con las exportaciones, el turismo y el sector agropecuario en el país. Entre los factores externos que limitaron la actividad económica de sus empresas, algunos directivos citaron el efecto de la depreciación del peso sobre los precios de bienes importados para consumo final o sobre los costos de ciertos insumos. No obstante, otros directivos comentaron que esto último fue en parte compensado por la tendencia a la baja que se registró en los precios de las principales materias primas y, en particular, de los energéticos.</w:t>
      </w:r>
    </w:p>
    <w:p w14:paraId="6DCDE99A" w14:textId="77777777" w:rsidR="00BC6B56" w:rsidRPr="008A65D4" w:rsidRDefault="00BC6B56" w:rsidP="00BC6B56">
      <w:pPr>
        <w:spacing w:after="360" w:line="360" w:lineRule="auto"/>
        <w:ind w:right="-159"/>
        <w:jc w:val="both"/>
        <w:rPr>
          <w:sz w:val="26"/>
          <w:szCs w:val="26"/>
          <w:lang w:val="es-ES"/>
        </w:rPr>
      </w:pPr>
      <w:r w:rsidRPr="008A65D4">
        <w:rPr>
          <w:sz w:val="26"/>
          <w:szCs w:val="26"/>
          <w:lang w:val="es-ES"/>
        </w:rPr>
        <w:t>Respecto a la demanda interna, los directivos consultados en todas las regiones destacaron el aumento de la inversión privada, nacional y extranjera, en los sectores manufactureros de exportación, así como la recuperación de la construcción privada en el segmento residencial. En las regiones centro norte y centro adicionalmente mencionaron cierta mejoría en el dinamismo de la obra pública. En todas las regiones comentaron que la confianza de los consumidores aumentó en el margen, y destacaron que el financiamiento de la banca comercial a las empresas se expandió, aunque a un ritmo moderado.</w:t>
      </w:r>
    </w:p>
    <w:p w14:paraId="0F879C4E" w14:textId="77777777" w:rsidR="00BC6B56" w:rsidRPr="005175CE" w:rsidRDefault="00BC6B56" w:rsidP="00BC6B56">
      <w:pPr>
        <w:spacing w:after="360" w:line="360" w:lineRule="auto"/>
        <w:ind w:right="-159"/>
        <w:jc w:val="both"/>
        <w:rPr>
          <w:b/>
          <w:sz w:val="26"/>
          <w:szCs w:val="26"/>
          <w:lang w:val="es-ES"/>
        </w:rPr>
      </w:pPr>
      <w:r w:rsidRPr="005175CE">
        <w:rPr>
          <w:b/>
          <w:sz w:val="26"/>
          <w:szCs w:val="26"/>
          <w:lang w:val="es-ES"/>
        </w:rPr>
        <w:t xml:space="preserve">1.1 </w:t>
      </w:r>
      <w:r w:rsidRPr="003A66F2">
        <w:rPr>
          <w:b/>
          <w:sz w:val="26"/>
          <w:szCs w:val="26"/>
          <w:lang w:val="es-ES"/>
        </w:rPr>
        <w:t>Indicador Trimestral de la Actividad Económica Regional</w:t>
      </w:r>
    </w:p>
    <w:p w14:paraId="60840A6A" w14:textId="77777777" w:rsidR="00BC6B56" w:rsidRPr="008A65D4" w:rsidRDefault="00BC6B56" w:rsidP="00BC6B56">
      <w:pPr>
        <w:spacing w:after="360" w:line="360" w:lineRule="auto"/>
        <w:ind w:right="-159"/>
        <w:jc w:val="both"/>
        <w:rPr>
          <w:sz w:val="26"/>
          <w:szCs w:val="26"/>
          <w:lang w:val="es-ES"/>
        </w:rPr>
      </w:pPr>
      <w:r w:rsidRPr="008A65D4">
        <w:rPr>
          <w:sz w:val="26"/>
          <w:szCs w:val="26"/>
          <w:lang w:val="es-ES"/>
        </w:rPr>
        <w:t>En el cuarto trimestre de 2014 el Indicador Trimestral de la Actividad</w:t>
      </w:r>
      <w:r>
        <w:rPr>
          <w:sz w:val="26"/>
          <w:szCs w:val="26"/>
          <w:lang w:val="es-ES"/>
        </w:rPr>
        <w:t xml:space="preserve"> </w:t>
      </w:r>
      <w:r w:rsidRPr="008A65D4">
        <w:rPr>
          <w:sz w:val="26"/>
          <w:szCs w:val="26"/>
          <w:lang w:val="es-ES"/>
        </w:rPr>
        <w:t>Económica Regional (ITAER), medida de la actividad económica agregada a</w:t>
      </w:r>
      <w:r>
        <w:rPr>
          <w:sz w:val="26"/>
          <w:szCs w:val="26"/>
          <w:lang w:val="es-ES"/>
        </w:rPr>
        <w:t xml:space="preserve"> </w:t>
      </w:r>
      <w:r w:rsidRPr="008A65D4">
        <w:rPr>
          <w:sz w:val="26"/>
          <w:szCs w:val="26"/>
          <w:lang w:val="es-ES"/>
        </w:rPr>
        <w:t>nivel regional, continuó presentando una tendencia al alza en la mayoría de</w:t>
      </w:r>
      <w:r>
        <w:rPr>
          <w:sz w:val="26"/>
          <w:szCs w:val="26"/>
          <w:lang w:val="es-ES"/>
        </w:rPr>
        <w:t xml:space="preserve"> </w:t>
      </w:r>
      <w:r w:rsidRPr="008A65D4">
        <w:rPr>
          <w:sz w:val="26"/>
          <w:szCs w:val="26"/>
          <w:lang w:val="es-ES"/>
        </w:rPr>
        <w:t>las regiones del país (</w:t>
      </w:r>
      <w:r>
        <w:rPr>
          <w:sz w:val="26"/>
          <w:szCs w:val="26"/>
          <w:lang w:val="es-ES"/>
        </w:rPr>
        <w:t>g</w:t>
      </w:r>
      <w:r w:rsidRPr="008A65D4">
        <w:rPr>
          <w:sz w:val="26"/>
          <w:szCs w:val="26"/>
          <w:lang w:val="es-ES"/>
        </w:rPr>
        <w:t xml:space="preserve">ráfica </w:t>
      </w:r>
      <w:r>
        <w:rPr>
          <w:sz w:val="26"/>
          <w:szCs w:val="26"/>
          <w:lang w:val="es-ES"/>
        </w:rPr>
        <w:t>siguiente</w:t>
      </w:r>
      <w:r w:rsidRPr="008A65D4">
        <w:rPr>
          <w:sz w:val="26"/>
          <w:szCs w:val="26"/>
          <w:lang w:val="es-ES"/>
        </w:rPr>
        <w:t>).</w:t>
      </w:r>
    </w:p>
    <w:p w14:paraId="4490798C" w14:textId="77777777" w:rsidR="00BC6B56" w:rsidRDefault="00BC6B56" w:rsidP="00BC6B56">
      <w:pPr>
        <w:spacing w:after="360" w:line="360" w:lineRule="auto"/>
        <w:ind w:right="-159"/>
        <w:jc w:val="both"/>
        <w:rPr>
          <w:sz w:val="26"/>
          <w:szCs w:val="26"/>
          <w:lang w:val="es-ES"/>
        </w:rPr>
      </w:pPr>
      <w:r w:rsidRPr="008A65D4">
        <w:rPr>
          <w:sz w:val="26"/>
          <w:szCs w:val="26"/>
          <w:lang w:val="es-ES"/>
        </w:rPr>
        <w:t>El ritmo de expansión de la actividad económica se fortaleció en las regiones</w:t>
      </w:r>
      <w:r>
        <w:rPr>
          <w:sz w:val="26"/>
          <w:szCs w:val="26"/>
          <w:lang w:val="es-ES"/>
        </w:rPr>
        <w:t xml:space="preserve"> </w:t>
      </w:r>
      <w:r w:rsidRPr="008A65D4">
        <w:rPr>
          <w:sz w:val="26"/>
          <w:szCs w:val="26"/>
          <w:lang w:val="es-ES"/>
        </w:rPr>
        <w:t>del norte, centro norte y centro. Por su parte, si bien en el sur la actividad</w:t>
      </w:r>
      <w:r>
        <w:rPr>
          <w:sz w:val="26"/>
          <w:szCs w:val="26"/>
          <w:lang w:val="es-ES"/>
        </w:rPr>
        <w:t xml:space="preserve"> </w:t>
      </w:r>
      <w:r w:rsidRPr="008A65D4">
        <w:rPr>
          <w:sz w:val="26"/>
          <w:szCs w:val="26"/>
          <w:lang w:val="es-ES"/>
        </w:rPr>
        <w:t>económica también creció, ésta presentó un menor dinamismo. Ello es</w:t>
      </w:r>
      <w:r>
        <w:rPr>
          <w:sz w:val="26"/>
          <w:szCs w:val="26"/>
          <w:lang w:val="es-ES"/>
        </w:rPr>
        <w:t xml:space="preserve"> </w:t>
      </w:r>
      <w:r w:rsidRPr="008A65D4">
        <w:rPr>
          <w:sz w:val="26"/>
          <w:szCs w:val="26"/>
          <w:lang w:val="es-ES"/>
        </w:rPr>
        <w:t>congruente con el impulso proveniente principalmente de la demanda</w:t>
      </w:r>
      <w:r>
        <w:rPr>
          <w:sz w:val="26"/>
          <w:szCs w:val="26"/>
          <w:lang w:val="es-ES"/>
        </w:rPr>
        <w:t xml:space="preserve"> </w:t>
      </w:r>
      <w:r w:rsidRPr="008A65D4">
        <w:rPr>
          <w:sz w:val="26"/>
          <w:szCs w:val="26"/>
          <w:lang w:val="es-ES"/>
        </w:rPr>
        <w:t xml:space="preserve">externa y la continuación de una actividad </w:t>
      </w:r>
      <w:r w:rsidRPr="008A65D4">
        <w:rPr>
          <w:sz w:val="26"/>
          <w:szCs w:val="26"/>
          <w:lang w:val="es-ES"/>
        </w:rPr>
        <w:lastRenderedPageBreak/>
        <w:t>industrial débil en el sur del país.</w:t>
      </w:r>
      <w:r>
        <w:rPr>
          <w:sz w:val="26"/>
          <w:szCs w:val="26"/>
          <w:lang w:val="es-ES"/>
        </w:rPr>
        <w:t xml:space="preserve"> </w:t>
      </w:r>
      <w:r w:rsidRPr="008A65D4">
        <w:rPr>
          <w:sz w:val="26"/>
          <w:szCs w:val="26"/>
          <w:lang w:val="es-ES"/>
        </w:rPr>
        <w:t>En esta última región la producción industrial está asociada mayormente a la</w:t>
      </w:r>
      <w:r>
        <w:rPr>
          <w:sz w:val="26"/>
          <w:szCs w:val="26"/>
          <w:lang w:val="es-ES"/>
        </w:rPr>
        <w:t xml:space="preserve"> </w:t>
      </w:r>
      <w:r w:rsidRPr="008A65D4">
        <w:rPr>
          <w:sz w:val="26"/>
          <w:szCs w:val="26"/>
          <w:lang w:val="es-ES"/>
        </w:rPr>
        <w:t>minería petrolera.</w:t>
      </w:r>
    </w:p>
    <w:tbl>
      <w:tblPr>
        <w:tblStyle w:val="Tablaconcuadrcula"/>
        <w:tblW w:w="920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09"/>
      </w:tblGrid>
      <w:tr w:rsidR="00BC6B56" w:rsidRPr="00200185" w14:paraId="134554F2" w14:textId="77777777" w:rsidTr="00447800">
        <w:trPr>
          <w:jc w:val="center"/>
        </w:trPr>
        <w:tc>
          <w:tcPr>
            <w:tcW w:w="9209" w:type="dxa"/>
          </w:tcPr>
          <w:p w14:paraId="7593BF0E" w14:textId="77777777" w:rsidR="00BC6B56" w:rsidRPr="00200185" w:rsidRDefault="00BC6B56" w:rsidP="00447800">
            <w:pPr>
              <w:jc w:val="center"/>
              <w:rPr>
                <w:b/>
                <w:szCs w:val="26"/>
                <w:lang w:val="es-ES"/>
              </w:rPr>
            </w:pPr>
            <w:r w:rsidRPr="00F152F2">
              <w:rPr>
                <w:b/>
                <w:szCs w:val="26"/>
                <w:lang w:val="es-ES"/>
              </w:rPr>
              <w:t>INDICADOR TRIMESTRAL DE LA ACTIVIDAD ECONÓMICA REGIONAL</w:t>
            </w:r>
            <w:r w:rsidRPr="00200185">
              <w:rPr>
                <w:b/>
                <w:szCs w:val="26"/>
                <w:u w:val="single"/>
                <w:vertAlign w:val="superscript"/>
                <w:lang w:val="es-ES"/>
              </w:rPr>
              <w:t>1</w:t>
            </w:r>
            <w:r w:rsidRPr="00200185">
              <w:rPr>
                <w:b/>
                <w:szCs w:val="26"/>
                <w:vertAlign w:val="superscript"/>
                <w:lang w:val="es-ES"/>
              </w:rPr>
              <w:t>/</w:t>
            </w:r>
          </w:p>
          <w:p w14:paraId="40157C10" w14:textId="77777777" w:rsidR="00BC6B56" w:rsidRPr="00200185" w:rsidRDefault="00BC6B56" w:rsidP="00447800">
            <w:pPr>
              <w:jc w:val="center"/>
              <w:rPr>
                <w:b/>
                <w:szCs w:val="26"/>
                <w:lang w:val="es-ES"/>
              </w:rPr>
            </w:pPr>
            <w:r>
              <w:rPr>
                <w:b/>
                <w:szCs w:val="26"/>
                <w:lang w:val="es-ES"/>
              </w:rPr>
              <w:t>-Índice</w:t>
            </w:r>
            <w:r w:rsidRPr="00200185">
              <w:rPr>
                <w:b/>
                <w:szCs w:val="26"/>
                <w:lang w:val="es-ES"/>
              </w:rPr>
              <w:t xml:space="preserve"> 2008=100</w:t>
            </w:r>
            <w:r>
              <w:rPr>
                <w:b/>
                <w:szCs w:val="26"/>
                <w:lang w:val="es-ES"/>
              </w:rPr>
              <w:t>-</w:t>
            </w:r>
          </w:p>
        </w:tc>
      </w:tr>
      <w:tr w:rsidR="00BC6B56" w:rsidRPr="00DB2C4F" w14:paraId="3ECB8870" w14:textId="77777777" w:rsidTr="00447800">
        <w:trPr>
          <w:jc w:val="center"/>
        </w:trPr>
        <w:tc>
          <w:tcPr>
            <w:tcW w:w="9209" w:type="dxa"/>
          </w:tcPr>
          <w:p w14:paraId="65D8874D" w14:textId="77777777" w:rsidR="00BC6B56" w:rsidRPr="00DB2C4F" w:rsidRDefault="00BC6B56" w:rsidP="00447800">
            <w:pPr>
              <w:jc w:val="center"/>
              <w:rPr>
                <w:szCs w:val="26"/>
                <w:lang w:val="es-ES"/>
              </w:rPr>
            </w:pPr>
            <w:r w:rsidRPr="00F152F2">
              <w:rPr>
                <w:noProof/>
                <w:szCs w:val="26"/>
                <w:lang w:eastAsia="es-MX"/>
              </w:rPr>
              <w:drawing>
                <wp:inline distT="0" distB="0" distL="0" distR="0" wp14:anchorId="23F9F2AD" wp14:editId="46DFA081">
                  <wp:extent cx="4942867" cy="2700000"/>
                  <wp:effectExtent l="0" t="0" r="0" b="0"/>
                  <wp:docPr id="1663" name="Imagen 1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t="7311" b="1581"/>
                          <a:stretch/>
                        </pic:blipFill>
                        <pic:spPr bwMode="auto">
                          <a:xfrm>
                            <a:off x="0" y="0"/>
                            <a:ext cx="4942867" cy="270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C6B56" w:rsidRPr="00DB2C4F" w14:paraId="7C1C0B01" w14:textId="77777777" w:rsidTr="00447800">
        <w:trPr>
          <w:jc w:val="center"/>
        </w:trPr>
        <w:tc>
          <w:tcPr>
            <w:tcW w:w="9209" w:type="dxa"/>
          </w:tcPr>
          <w:p w14:paraId="213E0702" w14:textId="77777777" w:rsidR="00BC6B56" w:rsidRPr="00F152F2" w:rsidRDefault="00BC6B56" w:rsidP="00447800">
            <w:pPr>
              <w:ind w:left="885" w:right="596" w:hanging="284"/>
              <w:jc w:val="both"/>
              <w:rPr>
                <w:sz w:val="20"/>
                <w:szCs w:val="26"/>
                <w:lang w:val="es-ES"/>
              </w:rPr>
            </w:pPr>
            <w:r w:rsidRPr="00C076D8">
              <w:rPr>
                <w:sz w:val="20"/>
                <w:szCs w:val="26"/>
                <w:u w:val="single"/>
                <w:lang w:val="es-ES"/>
              </w:rPr>
              <w:t>1</w:t>
            </w:r>
            <w:r w:rsidRPr="00C076D8">
              <w:rPr>
                <w:sz w:val="20"/>
                <w:szCs w:val="26"/>
                <w:lang w:val="es-ES"/>
              </w:rPr>
              <w:t xml:space="preserve">/ </w:t>
            </w:r>
            <w:r w:rsidRPr="00F152F2">
              <w:rPr>
                <w:sz w:val="20"/>
                <w:szCs w:val="26"/>
                <w:lang w:val="es-ES"/>
              </w:rPr>
              <w:t>Los valores del Indicador Trimestral de la Actividad Económica Regional en el cuarto trimestre de 2014 son</w:t>
            </w:r>
            <w:r>
              <w:rPr>
                <w:sz w:val="20"/>
                <w:szCs w:val="26"/>
                <w:lang w:val="es-ES"/>
              </w:rPr>
              <w:t xml:space="preserve"> </w:t>
            </w:r>
            <w:r w:rsidRPr="00F152F2">
              <w:rPr>
                <w:sz w:val="20"/>
                <w:szCs w:val="26"/>
                <w:lang w:val="es-ES"/>
              </w:rPr>
              <w:t>preliminares.</w:t>
            </w:r>
          </w:p>
          <w:p w14:paraId="639F94CB" w14:textId="77777777" w:rsidR="00BC6B56" w:rsidRPr="00DB2C4F" w:rsidRDefault="00BC6B56" w:rsidP="00447800">
            <w:pPr>
              <w:ind w:left="885" w:right="596" w:hanging="284"/>
              <w:jc w:val="both"/>
              <w:rPr>
                <w:sz w:val="20"/>
                <w:szCs w:val="26"/>
                <w:lang w:val="es-ES"/>
              </w:rPr>
            </w:pPr>
            <w:r w:rsidRPr="00F152F2">
              <w:rPr>
                <w:sz w:val="20"/>
                <w:szCs w:val="26"/>
                <w:lang w:val="es-ES"/>
              </w:rPr>
              <w:t>FUENTE: Estimaciones del Banco de México con base en datos del INEGI.</w:t>
            </w:r>
          </w:p>
        </w:tc>
      </w:tr>
    </w:tbl>
    <w:p w14:paraId="5ADF2EB5" w14:textId="77777777" w:rsidR="00BC6B56" w:rsidRDefault="00BC6B56" w:rsidP="00BC6B56">
      <w:pPr>
        <w:spacing w:after="360" w:line="360" w:lineRule="auto"/>
        <w:ind w:right="-159"/>
        <w:jc w:val="both"/>
        <w:rPr>
          <w:sz w:val="26"/>
          <w:szCs w:val="26"/>
          <w:highlight w:val="yellow"/>
          <w:lang w:val="es-ES"/>
        </w:rPr>
      </w:pPr>
    </w:p>
    <w:p w14:paraId="3F0FADA5" w14:textId="77777777" w:rsidR="00BC6B56" w:rsidRDefault="00BC6B56" w:rsidP="00BC6B56">
      <w:pPr>
        <w:spacing w:after="360" w:line="360" w:lineRule="auto"/>
        <w:ind w:right="-159"/>
        <w:jc w:val="both"/>
        <w:rPr>
          <w:b/>
          <w:sz w:val="26"/>
          <w:szCs w:val="26"/>
          <w:lang w:val="es-ES"/>
        </w:rPr>
      </w:pPr>
      <w:r w:rsidRPr="00893CA7">
        <w:rPr>
          <w:b/>
          <w:sz w:val="26"/>
          <w:szCs w:val="26"/>
          <w:lang w:val="es-ES"/>
        </w:rPr>
        <w:t>1.2 Otros Indicadores</w:t>
      </w:r>
    </w:p>
    <w:p w14:paraId="57856F40" w14:textId="77777777" w:rsidR="00BC6B56" w:rsidRPr="00893CA7" w:rsidRDefault="00BC6B56" w:rsidP="00BC6B56">
      <w:pPr>
        <w:spacing w:after="360" w:line="360" w:lineRule="auto"/>
        <w:ind w:right="-159"/>
        <w:jc w:val="both"/>
        <w:rPr>
          <w:b/>
          <w:sz w:val="26"/>
          <w:szCs w:val="26"/>
          <w:lang w:val="es-ES"/>
        </w:rPr>
      </w:pPr>
      <w:r w:rsidRPr="003A66F2">
        <w:rPr>
          <w:b/>
          <w:sz w:val="26"/>
          <w:szCs w:val="26"/>
          <w:lang w:val="es-ES"/>
        </w:rPr>
        <w:t>1.2.1 Actividad Industrial</w:t>
      </w:r>
    </w:p>
    <w:p w14:paraId="3509E210" w14:textId="77777777" w:rsidR="00BC6B56" w:rsidRPr="008A65D4" w:rsidRDefault="00BC6B56" w:rsidP="00BC6B56">
      <w:pPr>
        <w:spacing w:after="360" w:line="360" w:lineRule="auto"/>
        <w:ind w:right="-159"/>
        <w:jc w:val="both"/>
        <w:rPr>
          <w:sz w:val="26"/>
          <w:szCs w:val="26"/>
          <w:lang w:val="es-ES"/>
        </w:rPr>
      </w:pPr>
      <w:r w:rsidRPr="008A65D4">
        <w:rPr>
          <w:sz w:val="26"/>
          <w:szCs w:val="26"/>
          <w:lang w:val="es-ES"/>
        </w:rPr>
        <w:t>Durante el cuarto trimestre de 2014, la actividad industrial continuó creciendo</w:t>
      </w:r>
      <w:r>
        <w:rPr>
          <w:sz w:val="26"/>
          <w:szCs w:val="26"/>
          <w:lang w:val="es-ES"/>
        </w:rPr>
        <w:t xml:space="preserve"> </w:t>
      </w:r>
      <w:r w:rsidRPr="008A65D4">
        <w:rPr>
          <w:sz w:val="26"/>
          <w:szCs w:val="26"/>
          <w:lang w:val="es-ES"/>
        </w:rPr>
        <w:t>a un ritmo relativamente elevado en las regiones norte, centro norte y centro,</w:t>
      </w:r>
      <w:r>
        <w:rPr>
          <w:sz w:val="26"/>
          <w:szCs w:val="26"/>
          <w:lang w:val="es-ES"/>
        </w:rPr>
        <w:t xml:space="preserve"> </w:t>
      </w:r>
      <w:r w:rsidRPr="008A65D4">
        <w:rPr>
          <w:sz w:val="26"/>
          <w:szCs w:val="26"/>
          <w:lang w:val="es-ES"/>
        </w:rPr>
        <w:t>debido al dinamismo de las manufacturas y a la recuperación de la</w:t>
      </w:r>
      <w:r>
        <w:rPr>
          <w:sz w:val="26"/>
          <w:szCs w:val="26"/>
          <w:lang w:val="es-ES"/>
        </w:rPr>
        <w:t xml:space="preserve"> </w:t>
      </w:r>
      <w:r w:rsidRPr="008A65D4">
        <w:rPr>
          <w:sz w:val="26"/>
          <w:szCs w:val="26"/>
          <w:lang w:val="es-ES"/>
        </w:rPr>
        <w:t>construcción, principalmente la privada (sector que se analiza en detalle por</w:t>
      </w:r>
      <w:r>
        <w:rPr>
          <w:sz w:val="26"/>
          <w:szCs w:val="26"/>
          <w:lang w:val="es-ES"/>
        </w:rPr>
        <w:t xml:space="preserve"> </w:t>
      </w:r>
      <w:r w:rsidRPr="008A65D4">
        <w:rPr>
          <w:sz w:val="26"/>
          <w:szCs w:val="26"/>
          <w:lang w:val="es-ES"/>
        </w:rPr>
        <w:t>separado en la subsección 1.2.2). Así, la variación anual del Indicador</w:t>
      </w:r>
      <w:r>
        <w:rPr>
          <w:sz w:val="26"/>
          <w:szCs w:val="26"/>
          <w:lang w:val="es-ES"/>
        </w:rPr>
        <w:t xml:space="preserve"> </w:t>
      </w:r>
      <w:r w:rsidRPr="008A65D4">
        <w:rPr>
          <w:sz w:val="26"/>
          <w:szCs w:val="26"/>
          <w:lang w:val="es-ES"/>
        </w:rPr>
        <w:t>Regional de Actividad Industrial en el trimestre que se analiza fue 3.9, 6.3 y</w:t>
      </w:r>
      <w:r>
        <w:rPr>
          <w:sz w:val="26"/>
          <w:szCs w:val="26"/>
          <w:lang w:val="es-ES"/>
        </w:rPr>
        <w:t xml:space="preserve"> </w:t>
      </w:r>
      <w:r w:rsidRPr="008A65D4">
        <w:rPr>
          <w:sz w:val="26"/>
          <w:szCs w:val="26"/>
          <w:lang w:val="es-ES"/>
        </w:rPr>
        <w:t>6.4</w:t>
      </w:r>
      <w:r>
        <w:rPr>
          <w:sz w:val="26"/>
          <w:szCs w:val="26"/>
          <w:lang w:val="es-ES"/>
        </w:rPr>
        <w:t>%</w:t>
      </w:r>
      <w:r w:rsidRPr="008A65D4">
        <w:rPr>
          <w:sz w:val="26"/>
          <w:szCs w:val="26"/>
          <w:lang w:val="es-ES"/>
        </w:rPr>
        <w:t xml:space="preserve"> en las regiones referidas, respectivamente (las cifras</w:t>
      </w:r>
      <w:r>
        <w:rPr>
          <w:sz w:val="26"/>
          <w:szCs w:val="26"/>
          <w:lang w:val="es-ES"/>
        </w:rPr>
        <w:t xml:space="preserve"> </w:t>
      </w:r>
      <w:r w:rsidRPr="008A65D4">
        <w:rPr>
          <w:sz w:val="26"/>
          <w:szCs w:val="26"/>
          <w:lang w:val="es-ES"/>
        </w:rPr>
        <w:t>correspondientes al trimestre previo fueron 4.6, 4.6 y 1.9</w:t>
      </w:r>
      <w:r>
        <w:rPr>
          <w:sz w:val="26"/>
          <w:szCs w:val="26"/>
          <w:lang w:val="es-ES"/>
        </w:rPr>
        <w:t>%</w:t>
      </w:r>
      <w:r w:rsidRPr="008A65D4">
        <w:rPr>
          <w:sz w:val="26"/>
          <w:szCs w:val="26"/>
          <w:lang w:val="es-ES"/>
        </w:rPr>
        <w:t>; (</w:t>
      </w:r>
      <w:r>
        <w:rPr>
          <w:sz w:val="26"/>
          <w:szCs w:val="26"/>
          <w:lang w:val="es-ES"/>
        </w:rPr>
        <w:t>g</w:t>
      </w:r>
      <w:r w:rsidRPr="008A65D4">
        <w:rPr>
          <w:sz w:val="26"/>
          <w:szCs w:val="26"/>
          <w:lang w:val="es-ES"/>
        </w:rPr>
        <w:t>ráfica</w:t>
      </w:r>
      <w:r>
        <w:rPr>
          <w:sz w:val="26"/>
          <w:szCs w:val="26"/>
          <w:lang w:val="es-ES"/>
        </w:rPr>
        <w:t xml:space="preserve"> siguiente</w:t>
      </w:r>
      <w:r w:rsidRPr="008A65D4">
        <w:rPr>
          <w:sz w:val="26"/>
          <w:szCs w:val="26"/>
          <w:lang w:val="es-ES"/>
        </w:rPr>
        <w:t>)).</w:t>
      </w:r>
    </w:p>
    <w:p w14:paraId="5732444C" w14:textId="77777777" w:rsidR="00BC6B56" w:rsidRPr="003A66F2" w:rsidRDefault="00BC6B56" w:rsidP="00BC6B56">
      <w:pPr>
        <w:spacing w:after="360" w:line="360" w:lineRule="auto"/>
        <w:ind w:right="-159"/>
        <w:jc w:val="both"/>
        <w:rPr>
          <w:sz w:val="26"/>
          <w:szCs w:val="26"/>
          <w:lang w:val="es-ES"/>
        </w:rPr>
      </w:pPr>
      <w:r w:rsidRPr="008A65D4">
        <w:rPr>
          <w:sz w:val="26"/>
          <w:szCs w:val="26"/>
          <w:lang w:val="es-ES"/>
        </w:rPr>
        <w:lastRenderedPageBreak/>
        <w:t>En el norte los directivos consultados destacaron el aumento en la actividad</w:t>
      </w:r>
      <w:r>
        <w:rPr>
          <w:sz w:val="26"/>
          <w:szCs w:val="26"/>
          <w:lang w:val="es-ES"/>
        </w:rPr>
        <w:t xml:space="preserve"> </w:t>
      </w:r>
      <w:r w:rsidRPr="008A65D4">
        <w:rPr>
          <w:sz w:val="26"/>
          <w:szCs w:val="26"/>
          <w:lang w:val="es-ES"/>
        </w:rPr>
        <w:t>manufacturera en diversos sectores. Figuraron la producción del sector</w:t>
      </w:r>
      <w:r>
        <w:rPr>
          <w:sz w:val="26"/>
          <w:szCs w:val="26"/>
          <w:lang w:val="es-ES"/>
        </w:rPr>
        <w:t xml:space="preserve"> </w:t>
      </w:r>
      <w:r w:rsidRPr="003A66F2">
        <w:rPr>
          <w:sz w:val="26"/>
          <w:szCs w:val="26"/>
          <w:lang w:val="es-ES"/>
        </w:rPr>
        <w:t>automotriz, la fabricación de productos de minerales no metálicos, de plásticos y de papel, y de otras manufacturas, como artículos de línea blanca de exportación, alimentos y productos de higiene personal. En el centro norte mencionaron el incremento de la actividad en el sector automotriz y en las industrias electrónica, textil y de la madera. Por su parte, en el centro destacaron el crecimiento de las manufacturas del sector automotriz y de los sectores relacionados con éstas, como el textil.</w:t>
      </w:r>
    </w:p>
    <w:p w14:paraId="3E72F233" w14:textId="77777777" w:rsidR="00BC6B56" w:rsidRPr="003A66F2" w:rsidRDefault="00BC6B56" w:rsidP="00BC6B56">
      <w:pPr>
        <w:spacing w:after="360" w:line="360" w:lineRule="auto"/>
        <w:ind w:right="-159"/>
        <w:jc w:val="both"/>
        <w:rPr>
          <w:sz w:val="26"/>
          <w:szCs w:val="26"/>
          <w:lang w:val="es-ES"/>
        </w:rPr>
      </w:pPr>
      <w:r w:rsidRPr="003A66F2">
        <w:rPr>
          <w:sz w:val="26"/>
          <w:szCs w:val="26"/>
          <w:lang w:val="es-ES"/>
        </w:rPr>
        <w:t>Los directivos comentaron que, en general, la actividad minera en las tres regiones referidas se mantuvo débil o se deterioró. Atribuyeron esto último principalmente al bajo dinamismo de las inversiones en este sector. En su opinión, factores como los bajos precios internacionales de los metales preciosos y del acero, así como el establecimiento de nuevos derechos sobre la minería al inicio de 2014 afectaron a dichas inversiones.</w:t>
      </w:r>
    </w:p>
    <w:p w14:paraId="5AC25928" w14:textId="77777777" w:rsidR="00BC6B56" w:rsidRPr="003A66F2" w:rsidRDefault="00BC6B56" w:rsidP="00BC6B56">
      <w:pPr>
        <w:spacing w:after="360" w:line="360" w:lineRule="auto"/>
        <w:ind w:right="-159"/>
        <w:jc w:val="both"/>
        <w:rPr>
          <w:sz w:val="26"/>
          <w:szCs w:val="26"/>
          <w:lang w:val="es-ES"/>
        </w:rPr>
      </w:pPr>
      <w:r w:rsidRPr="003A66F2">
        <w:rPr>
          <w:sz w:val="26"/>
          <w:szCs w:val="26"/>
          <w:lang w:val="es-ES"/>
        </w:rPr>
        <w:t>En la región sur, por su parte, la actividad industrial siguió presentando una tendencia negativa, derivada principalmente del comportamiento</w:t>
      </w:r>
      <w:r>
        <w:rPr>
          <w:sz w:val="26"/>
          <w:szCs w:val="26"/>
          <w:lang w:val="es-ES"/>
        </w:rPr>
        <w:t xml:space="preserve"> </w:t>
      </w:r>
      <w:r w:rsidRPr="003A66F2">
        <w:rPr>
          <w:sz w:val="26"/>
          <w:szCs w:val="26"/>
          <w:lang w:val="es-ES"/>
        </w:rPr>
        <w:t>desfavorable de la minería petrolera y de la construcción pública. No obstante, cabe señalar que la actividad manufacturera y la construcción privada se expandieron a un mayor ritmo que el trimestre anterior. De esta manera, la variación anual del indicador regional de actividad industrial en los trimestres tercero y cuarto del año fue 0.6 y 3.5</w:t>
      </w:r>
      <w:r>
        <w:rPr>
          <w:sz w:val="26"/>
          <w:szCs w:val="26"/>
          <w:lang w:val="es-ES"/>
        </w:rPr>
        <w:t>% negativo</w:t>
      </w:r>
      <w:r w:rsidRPr="003A66F2">
        <w:rPr>
          <w:sz w:val="26"/>
          <w:szCs w:val="26"/>
          <w:lang w:val="es-ES"/>
        </w:rPr>
        <w:t>, respectivamente (</w:t>
      </w:r>
      <w:r>
        <w:rPr>
          <w:sz w:val="26"/>
          <w:szCs w:val="26"/>
          <w:lang w:val="es-ES"/>
        </w:rPr>
        <w:t>g</w:t>
      </w:r>
      <w:r w:rsidRPr="003A66F2">
        <w:rPr>
          <w:sz w:val="26"/>
          <w:szCs w:val="26"/>
          <w:lang w:val="es-ES"/>
        </w:rPr>
        <w:t xml:space="preserve">ráfica </w:t>
      </w:r>
      <w:r>
        <w:rPr>
          <w:sz w:val="26"/>
          <w:szCs w:val="26"/>
          <w:lang w:val="es-ES"/>
        </w:rPr>
        <w:t>siguiente</w:t>
      </w:r>
      <w:r w:rsidRPr="003A66F2">
        <w:rPr>
          <w:sz w:val="26"/>
          <w:szCs w:val="26"/>
          <w:lang w:val="es-ES"/>
        </w:rPr>
        <w:t>).</w:t>
      </w:r>
    </w:p>
    <w:p w14:paraId="6CE32A12" w14:textId="77777777" w:rsidR="00BC6B56" w:rsidRDefault="00BC6B56" w:rsidP="00BC6B56">
      <w:pPr>
        <w:spacing w:after="360" w:line="360" w:lineRule="auto"/>
        <w:ind w:right="-159"/>
        <w:jc w:val="both"/>
        <w:rPr>
          <w:sz w:val="26"/>
          <w:szCs w:val="26"/>
          <w:lang w:val="es-ES"/>
        </w:rPr>
      </w:pPr>
      <w:r w:rsidRPr="003A66F2">
        <w:rPr>
          <w:sz w:val="26"/>
          <w:szCs w:val="26"/>
          <w:lang w:val="es-ES"/>
        </w:rPr>
        <w:t xml:space="preserve">En lo que respecta a la actividad manufacturera en el sur, los directivos entrevistados en esa región señalaron que las manufacturas destinadas a la exportación o a la demanda interna en los sectores automotriz y turístico, presentaron una expansión. Citaron la producción de materiales para la construcción, de productos de madera y de papel, así como de alimentos. Por otro lado, las manufacturas metálicas para la industria petrolera registraron menor actividad. En relación </w:t>
      </w:r>
      <w:r>
        <w:rPr>
          <w:sz w:val="26"/>
          <w:szCs w:val="26"/>
          <w:lang w:val="es-ES"/>
        </w:rPr>
        <w:t>con</w:t>
      </w:r>
      <w:r w:rsidRPr="003A66F2">
        <w:rPr>
          <w:sz w:val="26"/>
          <w:szCs w:val="26"/>
          <w:lang w:val="es-ES"/>
        </w:rPr>
        <w:t xml:space="preserve"> esto último, directivos relacionados con </w:t>
      </w:r>
      <w:r w:rsidRPr="003A66F2">
        <w:rPr>
          <w:sz w:val="26"/>
          <w:szCs w:val="26"/>
          <w:lang w:val="es-ES"/>
        </w:rPr>
        <w:lastRenderedPageBreak/>
        <w:t>las actividades de dicha industria también señalaron que tuvieron una menor demanda. Comentaron que ello se debió, principalmente, a un número de licitaciones menor al anticipado, lo que asociaron a la disminución de la producción de petróleo y al bajo precio de éste.</w:t>
      </w:r>
    </w:p>
    <w:tbl>
      <w:tblPr>
        <w:tblStyle w:val="Tablaconcuadrcula"/>
        <w:tblW w:w="920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09"/>
      </w:tblGrid>
      <w:tr w:rsidR="00BC6B56" w:rsidRPr="00200185" w14:paraId="3A444D47" w14:textId="77777777" w:rsidTr="00447800">
        <w:trPr>
          <w:jc w:val="center"/>
        </w:trPr>
        <w:tc>
          <w:tcPr>
            <w:tcW w:w="9209" w:type="dxa"/>
          </w:tcPr>
          <w:p w14:paraId="61D1ECDF" w14:textId="77777777" w:rsidR="00BC6B56" w:rsidRPr="00394A53" w:rsidRDefault="00BC6B56" w:rsidP="00447800">
            <w:pPr>
              <w:jc w:val="center"/>
              <w:rPr>
                <w:b/>
                <w:szCs w:val="26"/>
                <w:lang w:val="es-ES"/>
              </w:rPr>
            </w:pPr>
            <w:r w:rsidRPr="00394A53">
              <w:rPr>
                <w:b/>
                <w:szCs w:val="26"/>
                <w:lang w:val="es-ES"/>
              </w:rPr>
              <w:t>INDICADOR REGIONAL DE ACTIVIDAD INDUSTRIAL</w:t>
            </w:r>
            <w:r w:rsidRPr="00200185">
              <w:rPr>
                <w:b/>
                <w:szCs w:val="26"/>
                <w:u w:val="single"/>
                <w:vertAlign w:val="superscript"/>
                <w:lang w:val="es-ES"/>
              </w:rPr>
              <w:t>1</w:t>
            </w:r>
            <w:r w:rsidRPr="00200185">
              <w:rPr>
                <w:b/>
                <w:szCs w:val="26"/>
                <w:vertAlign w:val="superscript"/>
                <w:lang w:val="es-ES"/>
              </w:rPr>
              <w:t>/</w:t>
            </w:r>
          </w:p>
          <w:p w14:paraId="4D791C6D" w14:textId="77777777" w:rsidR="00BC6B56" w:rsidRPr="00200185" w:rsidRDefault="00BC6B56" w:rsidP="00447800">
            <w:pPr>
              <w:jc w:val="center"/>
              <w:rPr>
                <w:b/>
                <w:szCs w:val="26"/>
                <w:lang w:val="es-ES"/>
              </w:rPr>
            </w:pPr>
            <w:r>
              <w:rPr>
                <w:b/>
                <w:szCs w:val="26"/>
                <w:lang w:val="es-ES"/>
              </w:rPr>
              <w:t>-</w:t>
            </w:r>
            <w:r w:rsidRPr="00394A53">
              <w:rPr>
                <w:b/>
                <w:szCs w:val="26"/>
                <w:lang w:val="es-ES"/>
              </w:rPr>
              <w:t>Variación anual en por ciento</w:t>
            </w:r>
            <w:r>
              <w:rPr>
                <w:b/>
                <w:szCs w:val="26"/>
                <w:lang w:val="es-ES"/>
              </w:rPr>
              <w:t>-</w:t>
            </w:r>
          </w:p>
        </w:tc>
      </w:tr>
      <w:tr w:rsidR="00BC6B56" w:rsidRPr="00DB2C4F" w14:paraId="0B95DA7B" w14:textId="77777777" w:rsidTr="00447800">
        <w:trPr>
          <w:jc w:val="center"/>
        </w:trPr>
        <w:tc>
          <w:tcPr>
            <w:tcW w:w="9209" w:type="dxa"/>
          </w:tcPr>
          <w:p w14:paraId="695561CD" w14:textId="77777777" w:rsidR="00BC6B56" w:rsidRPr="00DB2C4F" w:rsidRDefault="00BC6B56" w:rsidP="00447800">
            <w:pPr>
              <w:jc w:val="center"/>
              <w:rPr>
                <w:szCs w:val="26"/>
                <w:lang w:val="es-ES"/>
              </w:rPr>
            </w:pPr>
            <w:r w:rsidRPr="00394A53">
              <w:rPr>
                <w:noProof/>
                <w:szCs w:val="26"/>
                <w:lang w:eastAsia="es-MX"/>
              </w:rPr>
              <w:drawing>
                <wp:inline distT="0" distB="0" distL="0" distR="0" wp14:anchorId="0C1D3D8C" wp14:editId="58CEDEAD">
                  <wp:extent cx="5123888" cy="3240000"/>
                  <wp:effectExtent l="0" t="0" r="0" b="0"/>
                  <wp:docPr id="1664" name="Imagen 1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t="2491" b="2654"/>
                          <a:stretch/>
                        </pic:blipFill>
                        <pic:spPr bwMode="auto">
                          <a:xfrm>
                            <a:off x="0" y="0"/>
                            <a:ext cx="5123888" cy="324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C6B56" w:rsidRPr="00DB2C4F" w14:paraId="246B7660" w14:textId="77777777" w:rsidTr="00447800">
        <w:trPr>
          <w:jc w:val="center"/>
        </w:trPr>
        <w:tc>
          <w:tcPr>
            <w:tcW w:w="9209" w:type="dxa"/>
          </w:tcPr>
          <w:p w14:paraId="0EEB4E78" w14:textId="77777777" w:rsidR="00BC6B56" w:rsidRPr="00394A53" w:rsidRDefault="00BC6B56" w:rsidP="00447800">
            <w:pPr>
              <w:ind w:left="885" w:right="596" w:hanging="284"/>
              <w:jc w:val="both"/>
              <w:rPr>
                <w:sz w:val="20"/>
                <w:szCs w:val="26"/>
                <w:lang w:val="es-ES"/>
              </w:rPr>
            </w:pPr>
            <w:r w:rsidRPr="00C076D8">
              <w:rPr>
                <w:sz w:val="20"/>
                <w:szCs w:val="26"/>
                <w:u w:val="single"/>
                <w:lang w:val="es-ES"/>
              </w:rPr>
              <w:t>1</w:t>
            </w:r>
            <w:r w:rsidRPr="00C076D8">
              <w:rPr>
                <w:sz w:val="20"/>
                <w:szCs w:val="26"/>
                <w:lang w:val="es-ES"/>
              </w:rPr>
              <w:t xml:space="preserve">/ </w:t>
            </w:r>
            <w:r w:rsidRPr="00394A53">
              <w:rPr>
                <w:sz w:val="20"/>
                <w:szCs w:val="26"/>
                <w:lang w:val="es-ES"/>
              </w:rPr>
              <w:t>Los valores del indicador en el cuarto trimestre de 2014 son preliminares.</w:t>
            </w:r>
          </w:p>
          <w:p w14:paraId="742E0464" w14:textId="77777777" w:rsidR="00BC6B56" w:rsidRPr="00DB2C4F" w:rsidRDefault="00BC6B56" w:rsidP="00447800">
            <w:pPr>
              <w:ind w:left="1502" w:right="879" w:hanging="901"/>
              <w:jc w:val="both"/>
              <w:rPr>
                <w:sz w:val="20"/>
                <w:szCs w:val="26"/>
                <w:lang w:val="es-ES"/>
              </w:rPr>
            </w:pPr>
            <w:r w:rsidRPr="00394A53">
              <w:rPr>
                <w:sz w:val="20"/>
                <w:szCs w:val="26"/>
                <w:lang w:val="es-ES"/>
              </w:rPr>
              <w:t>FUENTE: Estimaciones del Banco de México con base en datos del INE</w:t>
            </w:r>
            <w:r>
              <w:rPr>
                <w:sz w:val="20"/>
                <w:szCs w:val="26"/>
                <w:lang w:val="es-ES"/>
              </w:rPr>
              <w:t>GI ajustados por estacionalidad.</w:t>
            </w:r>
          </w:p>
        </w:tc>
      </w:tr>
    </w:tbl>
    <w:p w14:paraId="49A91911" w14:textId="77777777" w:rsidR="00BC6B56" w:rsidRDefault="00BC6B56" w:rsidP="00BC6B56">
      <w:pPr>
        <w:spacing w:after="360" w:line="360" w:lineRule="auto"/>
        <w:ind w:right="-159"/>
        <w:jc w:val="both"/>
        <w:rPr>
          <w:sz w:val="26"/>
          <w:szCs w:val="26"/>
          <w:lang w:val="es-ES"/>
        </w:rPr>
      </w:pPr>
    </w:p>
    <w:p w14:paraId="773372FF" w14:textId="77777777" w:rsidR="00BC6B56" w:rsidRPr="00BB50C3" w:rsidRDefault="00BC6B56" w:rsidP="00BC6B56">
      <w:pPr>
        <w:spacing w:after="360" w:line="360" w:lineRule="auto"/>
        <w:ind w:right="-159"/>
        <w:jc w:val="both"/>
        <w:rPr>
          <w:b/>
          <w:sz w:val="26"/>
          <w:szCs w:val="26"/>
          <w:lang w:val="es-ES"/>
        </w:rPr>
      </w:pPr>
      <w:r w:rsidRPr="00BB50C3">
        <w:rPr>
          <w:b/>
          <w:sz w:val="26"/>
          <w:szCs w:val="26"/>
          <w:lang w:val="es-ES"/>
        </w:rPr>
        <w:t>1.2.2 Construcción</w:t>
      </w:r>
    </w:p>
    <w:p w14:paraId="0BCF87F7" w14:textId="77777777" w:rsidR="00BC6B56" w:rsidRDefault="00BC6B56" w:rsidP="00BC6B56">
      <w:pPr>
        <w:spacing w:after="360" w:line="360" w:lineRule="auto"/>
        <w:ind w:right="-159"/>
        <w:jc w:val="both"/>
        <w:rPr>
          <w:sz w:val="26"/>
          <w:szCs w:val="26"/>
          <w:lang w:val="es-ES"/>
        </w:rPr>
      </w:pPr>
      <w:r w:rsidRPr="001C7546">
        <w:rPr>
          <w:sz w:val="26"/>
          <w:szCs w:val="26"/>
          <w:lang w:val="es-ES"/>
        </w:rPr>
        <w:t>En el cuarto trimestre de 2014 la reactivación de la actividad en el sector de</w:t>
      </w:r>
      <w:r>
        <w:rPr>
          <w:sz w:val="26"/>
          <w:szCs w:val="26"/>
          <w:lang w:val="es-ES"/>
        </w:rPr>
        <w:t xml:space="preserve"> </w:t>
      </w:r>
      <w:r w:rsidRPr="001C7546">
        <w:rPr>
          <w:sz w:val="26"/>
          <w:szCs w:val="26"/>
          <w:lang w:val="es-ES"/>
        </w:rPr>
        <w:t>la construcción, que se había observado en las regiones norte y centro en el</w:t>
      </w:r>
      <w:r>
        <w:rPr>
          <w:sz w:val="26"/>
          <w:szCs w:val="26"/>
          <w:lang w:val="es-ES"/>
        </w:rPr>
        <w:t xml:space="preserve"> </w:t>
      </w:r>
      <w:r w:rsidRPr="001C7546">
        <w:rPr>
          <w:sz w:val="26"/>
          <w:szCs w:val="26"/>
          <w:lang w:val="es-ES"/>
        </w:rPr>
        <w:t>trimestre previo, se extendió a la región centro norte. Por su parte, en la</w:t>
      </w:r>
      <w:r>
        <w:rPr>
          <w:sz w:val="26"/>
          <w:szCs w:val="26"/>
          <w:lang w:val="es-ES"/>
        </w:rPr>
        <w:t xml:space="preserve"> </w:t>
      </w:r>
      <w:r w:rsidRPr="001C7546">
        <w:rPr>
          <w:sz w:val="26"/>
          <w:szCs w:val="26"/>
          <w:lang w:val="es-ES"/>
        </w:rPr>
        <w:t>región sur la actividad, en general, continuó debilitándose (</w:t>
      </w:r>
      <w:r>
        <w:rPr>
          <w:sz w:val="26"/>
          <w:szCs w:val="26"/>
          <w:lang w:val="es-ES"/>
        </w:rPr>
        <w:t>g</w:t>
      </w:r>
      <w:r w:rsidRPr="001C7546">
        <w:rPr>
          <w:sz w:val="26"/>
          <w:szCs w:val="26"/>
          <w:lang w:val="es-ES"/>
        </w:rPr>
        <w:t>ráfica</w:t>
      </w:r>
      <w:r>
        <w:rPr>
          <w:sz w:val="26"/>
          <w:szCs w:val="26"/>
          <w:lang w:val="es-ES"/>
        </w:rPr>
        <w:t xml:space="preserve"> siguiente, sección a)</w:t>
      </w:r>
      <w:r w:rsidRPr="001C7546">
        <w:rPr>
          <w:sz w:val="26"/>
          <w:szCs w:val="26"/>
          <w:lang w:val="es-ES"/>
        </w:rPr>
        <w:t>). Así,</w:t>
      </w:r>
      <w:r>
        <w:rPr>
          <w:sz w:val="26"/>
          <w:szCs w:val="26"/>
          <w:lang w:val="es-ES"/>
        </w:rPr>
        <w:t xml:space="preserve"> </w:t>
      </w:r>
      <w:r w:rsidRPr="001C7546">
        <w:rPr>
          <w:sz w:val="26"/>
          <w:szCs w:val="26"/>
          <w:lang w:val="es-ES"/>
        </w:rPr>
        <w:t>la variación anual del valor real de la producción en la industria de la</w:t>
      </w:r>
      <w:r>
        <w:rPr>
          <w:sz w:val="26"/>
          <w:szCs w:val="26"/>
          <w:lang w:val="es-ES"/>
        </w:rPr>
        <w:t xml:space="preserve"> </w:t>
      </w:r>
      <w:r w:rsidRPr="001C7546">
        <w:rPr>
          <w:sz w:val="26"/>
          <w:szCs w:val="26"/>
          <w:lang w:val="es-ES"/>
        </w:rPr>
        <w:t>construcción durante el trimestre de referencia en las regiones norte, centro</w:t>
      </w:r>
      <w:r>
        <w:rPr>
          <w:sz w:val="26"/>
          <w:szCs w:val="26"/>
          <w:lang w:val="es-ES"/>
        </w:rPr>
        <w:t xml:space="preserve"> </w:t>
      </w:r>
      <w:r w:rsidRPr="001C7546">
        <w:rPr>
          <w:sz w:val="26"/>
          <w:szCs w:val="26"/>
          <w:lang w:val="es-ES"/>
        </w:rPr>
        <w:t>norte, centro y sur fue 5.9, 2.8, 17.8</w:t>
      </w:r>
      <w:r>
        <w:rPr>
          <w:sz w:val="26"/>
          <w:szCs w:val="26"/>
          <w:lang w:val="es-ES"/>
        </w:rPr>
        <w:t>%</w:t>
      </w:r>
      <w:r w:rsidRPr="001C7546">
        <w:rPr>
          <w:sz w:val="26"/>
          <w:szCs w:val="26"/>
          <w:lang w:val="es-ES"/>
        </w:rPr>
        <w:t xml:space="preserve"> y 14.0</w:t>
      </w:r>
      <w:r>
        <w:rPr>
          <w:sz w:val="26"/>
          <w:szCs w:val="26"/>
          <w:lang w:val="es-ES"/>
        </w:rPr>
        <w:t xml:space="preserve">% </w:t>
      </w:r>
      <w:r>
        <w:rPr>
          <w:sz w:val="26"/>
          <w:szCs w:val="26"/>
          <w:lang w:val="es-ES"/>
        </w:rPr>
        <w:lastRenderedPageBreak/>
        <w:t>negativo</w:t>
      </w:r>
      <w:r w:rsidRPr="001C7546">
        <w:rPr>
          <w:sz w:val="26"/>
          <w:szCs w:val="26"/>
          <w:lang w:val="es-ES"/>
        </w:rPr>
        <w:t>, respectivamente</w:t>
      </w:r>
      <w:r>
        <w:rPr>
          <w:sz w:val="26"/>
          <w:szCs w:val="26"/>
          <w:lang w:val="es-ES"/>
        </w:rPr>
        <w:t xml:space="preserve"> </w:t>
      </w:r>
      <w:r w:rsidRPr="001C7546">
        <w:rPr>
          <w:sz w:val="26"/>
          <w:szCs w:val="26"/>
          <w:lang w:val="es-ES"/>
        </w:rPr>
        <w:t>(</w:t>
      </w:r>
      <w:r>
        <w:rPr>
          <w:sz w:val="26"/>
          <w:szCs w:val="26"/>
          <w:lang w:val="es-ES"/>
        </w:rPr>
        <w:t>g</w:t>
      </w:r>
      <w:r w:rsidRPr="001C7546">
        <w:rPr>
          <w:sz w:val="26"/>
          <w:szCs w:val="26"/>
          <w:lang w:val="es-ES"/>
        </w:rPr>
        <w:t>ráfica</w:t>
      </w:r>
      <w:r w:rsidRPr="00A61990">
        <w:rPr>
          <w:sz w:val="26"/>
          <w:szCs w:val="26"/>
          <w:lang w:val="es-ES"/>
        </w:rPr>
        <w:t xml:space="preserve"> </w:t>
      </w:r>
      <w:r>
        <w:rPr>
          <w:sz w:val="26"/>
          <w:szCs w:val="26"/>
          <w:lang w:val="es-ES"/>
        </w:rPr>
        <w:t>siguiente, sección a)</w:t>
      </w:r>
      <w:r w:rsidRPr="001C7546">
        <w:rPr>
          <w:sz w:val="26"/>
          <w:szCs w:val="26"/>
          <w:lang w:val="es-ES"/>
        </w:rPr>
        <w:t>). En las tres primeras regiones referidas, el impulso a la actividad</w:t>
      </w:r>
      <w:r>
        <w:rPr>
          <w:sz w:val="26"/>
          <w:szCs w:val="26"/>
          <w:lang w:val="es-ES"/>
        </w:rPr>
        <w:t xml:space="preserve"> </w:t>
      </w:r>
      <w:r w:rsidRPr="001C7546">
        <w:rPr>
          <w:sz w:val="26"/>
          <w:szCs w:val="26"/>
          <w:lang w:val="es-ES"/>
        </w:rPr>
        <w:t>provino principalmente de la construcción privada. Por su parte, la</w:t>
      </w:r>
      <w:r>
        <w:rPr>
          <w:sz w:val="26"/>
          <w:szCs w:val="26"/>
          <w:lang w:val="es-ES"/>
        </w:rPr>
        <w:t xml:space="preserve"> </w:t>
      </w:r>
      <w:r w:rsidRPr="001C7546">
        <w:rPr>
          <w:sz w:val="26"/>
          <w:szCs w:val="26"/>
          <w:lang w:val="es-ES"/>
        </w:rPr>
        <w:t>construcción pública también presentó una mejoría en las regiones centrales,</w:t>
      </w:r>
      <w:r>
        <w:rPr>
          <w:sz w:val="26"/>
          <w:szCs w:val="26"/>
          <w:lang w:val="es-ES"/>
        </w:rPr>
        <w:t xml:space="preserve"> </w:t>
      </w:r>
      <w:r w:rsidRPr="001C7546">
        <w:rPr>
          <w:sz w:val="26"/>
          <w:szCs w:val="26"/>
          <w:lang w:val="es-ES"/>
        </w:rPr>
        <w:t>principalmente en la región centro (</w:t>
      </w:r>
      <w:r>
        <w:rPr>
          <w:sz w:val="26"/>
          <w:szCs w:val="26"/>
          <w:lang w:val="es-ES"/>
        </w:rPr>
        <w:t>g</w:t>
      </w:r>
      <w:r w:rsidRPr="001C7546">
        <w:rPr>
          <w:sz w:val="26"/>
          <w:szCs w:val="26"/>
          <w:lang w:val="es-ES"/>
        </w:rPr>
        <w:t>ráfica</w:t>
      </w:r>
      <w:r>
        <w:rPr>
          <w:sz w:val="26"/>
          <w:szCs w:val="26"/>
          <w:lang w:val="es-ES"/>
        </w:rPr>
        <w:t xml:space="preserve"> siguiente, secciones a)</w:t>
      </w:r>
      <w:r w:rsidRPr="00BD034A">
        <w:rPr>
          <w:i/>
          <w:sz w:val="26"/>
          <w:szCs w:val="26"/>
          <w:lang w:val="es-ES"/>
        </w:rPr>
        <w:t xml:space="preserve"> </w:t>
      </w:r>
      <w:r w:rsidRPr="001C7546">
        <w:rPr>
          <w:sz w:val="26"/>
          <w:szCs w:val="26"/>
          <w:lang w:val="es-ES"/>
        </w:rPr>
        <w:t>y</w:t>
      </w:r>
      <w:r>
        <w:rPr>
          <w:sz w:val="26"/>
          <w:szCs w:val="26"/>
          <w:lang w:val="es-ES"/>
        </w:rPr>
        <w:t xml:space="preserve"> b)</w:t>
      </w:r>
      <w:r w:rsidRPr="00A61990">
        <w:rPr>
          <w:sz w:val="26"/>
          <w:szCs w:val="26"/>
          <w:lang w:val="es-ES"/>
        </w:rPr>
        <w:t>)</w:t>
      </w:r>
      <w:r w:rsidRPr="00BD034A">
        <w:rPr>
          <w:i/>
          <w:sz w:val="26"/>
          <w:szCs w:val="26"/>
          <w:lang w:val="es-ES"/>
        </w:rPr>
        <w:t xml:space="preserve">. </w:t>
      </w:r>
      <w:r w:rsidRPr="001C7546">
        <w:rPr>
          <w:sz w:val="26"/>
          <w:szCs w:val="26"/>
          <w:lang w:val="es-ES"/>
        </w:rPr>
        <w:t>Por otro lado, en</w:t>
      </w:r>
      <w:r>
        <w:rPr>
          <w:sz w:val="26"/>
          <w:szCs w:val="26"/>
          <w:lang w:val="es-ES"/>
        </w:rPr>
        <w:t xml:space="preserve"> </w:t>
      </w:r>
      <w:r w:rsidRPr="001C7546">
        <w:rPr>
          <w:sz w:val="26"/>
          <w:szCs w:val="26"/>
          <w:lang w:val="es-ES"/>
        </w:rPr>
        <w:t>la región sur la debilidad de la actividad se explicó en gran medida por la</w:t>
      </w:r>
      <w:r>
        <w:rPr>
          <w:sz w:val="26"/>
          <w:szCs w:val="26"/>
          <w:lang w:val="es-ES"/>
        </w:rPr>
        <w:t xml:space="preserve"> </w:t>
      </w:r>
      <w:r w:rsidRPr="001C7546">
        <w:rPr>
          <w:sz w:val="26"/>
          <w:szCs w:val="26"/>
          <w:lang w:val="es-ES"/>
        </w:rPr>
        <w:t>trayectoria de la construcción pública que más que compensó la evolución</w:t>
      </w:r>
      <w:r>
        <w:rPr>
          <w:sz w:val="26"/>
          <w:szCs w:val="26"/>
          <w:lang w:val="es-ES"/>
        </w:rPr>
        <w:t xml:space="preserve"> </w:t>
      </w:r>
      <w:r w:rsidRPr="001C7546">
        <w:rPr>
          <w:sz w:val="26"/>
          <w:szCs w:val="26"/>
          <w:lang w:val="es-ES"/>
        </w:rPr>
        <w:t>favorable registrada por la construcción privada en dicha región (</w:t>
      </w:r>
      <w:r>
        <w:rPr>
          <w:sz w:val="26"/>
          <w:szCs w:val="26"/>
          <w:lang w:val="es-ES"/>
        </w:rPr>
        <w:t>g</w:t>
      </w:r>
      <w:r w:rsidRPr="001C7546">
        <w:rPr>
          <w:sz w:val="26"/>
          <w:szCs w:val="26"/>
          <w:lang w:val="es-ES"/>
        </w:rPr>
        <w:t>ráfica</w:t>
      </w:r>
      <w:r w:rsidRPr="00A61990">
        <w:rPr>
          <w:sz w:val="26"/>
          <w:szCs w:val="26"/>
          <w:lang w:val="es-ES"/>
        </w:rPr>
        <w:t xml:space="preserve"> </w:t>
      </w:r>
      <w:r>
        <w:rPr>
          <w:sz w:val="26"/>
          <w:szCs w:val="26"/>
          <w:lang w:val="es-ES"/>
        </w:rPr>
        <w:t>siguiente, secciones a)</w:t>
      </w:r>
      <w:r w:rsidRPr="00BD034A">
        <w:rPr>
          <w:i/>
          <w:sz w:val="26"/>
          <w:szCs w:val="26"/>
          <w:lang w:val="es-ES"/>
        </w:rPr>
        <w:t xml:space="preserve"> </w:t>
      </w:r>
      <w:r w:rsidRPr="001C7546">
        <w:rPr>
          <w:sz w:val="26"/>
          <w:szCs w:val="26"/>
          <w:lang w:val="es-ES"/>
        </w:rPr>
        <w:t>y</w:t>
      </w:r>
      <w:r>
        <w:rPr>
          <w:sz w:val="26"/>
          <w:szCs w:val="26"/>
          <w:lang w:val="es-ES"/>
        </w:rPr>
        <w:t xml:space="preserve"> b)</w:t>
      </w:r>
      <w:r w:rsidRPr="001C7546">
        <w:rPr>
          <w:sz w:val="26"/>
          <w:szCs w:val="26"/>
          <w:lang w:val="es-ES"/>
        </w:rPr>
        <w:t>).</w:t>
      </w:r>
    </w:p>
    <w:tbl>
      <w:tblPr>
        <w:tblStyle w:val="Tablaconcuadrcula"/>
        <w:tblW w:w="920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94"/>
      </w:tblGrid>
      <w:tr w:rsidR="00BC6B56" w:rsidRPr="00200185" w14:paraId="67A220EB" w14:textId="77777777" w:rsidTr="00447800">
        <w:trPr>
          <w:jc w:val="center"/>
        </w:trPr>
        <w:tc>
          <w:tcPr>
            <w:tcW w:w="9209" w:type="dxa"/>
          </w:tcPr>
          <w:p w14:paraId="339FD4CA" w14:textId="77777777" w:rsidR="00BC6B56" w:rsidRDefault="00BC6B56" w:rsidP="00447800">
            <w:pPr>
              <w:jc w:val="center"/>
              <w:rPr>
                <w:b/>
                <w:szCs w:val="26"/>
                <w:lang w:val="es-ES"/>
              </w:rPr>
            </w:pPr>
            <w:r w:rsidRPr="00A61990">
              <w:rPr>
                <w:b/>
                <w:szCs w:val="26"/>
                <w:lang w:val="es-ES"/>
              </w:rPr>
              <w:t>VALOR REAL DE LA PRODUCCIÓN EN LA INDUSTRIA</w:t>
            </w:r>
          </w:p>
          <w:p w14:paraId="15B31CDB" w14:textId="77777777" w:rsidR="00BC6B56" w:rsidRDefault="00BC6B56" w:rsidP="00447800">
            <w:pPr>
              <w:jc w:val="center"/>
              <w:rPr>
                <w:b/>
                <w:szCs w:val="26"/>
                <w:lang w:val="es-ES"/>
              </w:rPr>
            </w:pPr>
            <w:r w:rsidRPr="00A61990">
              <w:rPr>
                <w:b/>
                <w:szCs w:val="26"/>
                <w:lang w:val="es-ES"/>
              </w:rPr>
              <w:t>DE LA CONSTRUCCIÓN POR REGIÓN</w:t>
            </w:r>
          </w:p>
          <w:p w14:paraId="1366BE60" w14:textId="77777777" w:rsidR="00BC6B56" w:rsidRPr="00200185" w:rsidRDefault="00BC6B56" w:rsidP="00447800">
            <w:pPr>
              <w:jc w:val="center"/>
              <w:rPr>
                <w:b/>
                <w:szCs w:val="26"/>
                <w:lang w:val="es-ES"/>
              </w:rPr>
            </w:pPr>
            <w:r>
              <w:rPr>
                <w:b/>
                <w:szCs w:val="26"/>
                <w:lang w:val="es-ES"/>
              </w:rPr>
              <w:t>-</w:t>
            </w:r>
            <w:r w:rsidRPr="00394A53">
              <w:rPr>
                <w:b/>
                <w:szCs w:val="26"/>
                <w:lang w:val="es-ES"/>
              </w:rPr>
              <w:t>Variación anual en por ciento</w:t>
            </w:r>
            <w:r>
              <w:rPr>
                <w:b/>
                <w:szCs w:val="26"/>
                <w:lang w:val="es-ES"/>
              </w:rPr>
              <w:t>-</w:t>
            </w:r>
          </w:p>
        </w:tc>
      </w:tr>
      <w:tr w:rsidR="00BC6B56" w:rsidRPr="00DB2C4F" w14:paraId="12F87CDF" w14:textId="77777777" w:rsidTr="00447800">
        <w:trPr>
          <w:jc w:val="center"/>
        </w:trPr>
        <w:tc>
          <w:tcPr>
            <w:tcW w:w="9209" w:type="dxa"/>
          </w:tcPr>
          <w:p w14:paraId="51D5D27A" w14:textId="77777777" w:rsidR="00BC6B56" w:rsidRPr="00DB2C4F" w:rsidRDefault="00BC6B56" w:rsidP="00447800">
            <w:pPr>
              <w:jc w:val="center"/>
              <w:rPr>
                <w:szCs w:val="26"/>
                <w:lang w:val="es-ES"/>
              </w:rPr>
            </w:pPr>
            <w:r w:rsidRPr="00A61990">
              <w:rPr>
                <w:noProof/>
                <w:szCs w:val="26"/>
                <w:lang w:eastAsia="es-MX"/>
              </w:rPr>
              <w:drawing>
                <wp:inline distT="0" distB="0" distL="0" distR="0" wp14:anchorId="1341833E" wp14:editId="5354A6AE">
                  <wp:extent cx="6717614" cy="2088000"/>
                  <wp:effectExtent l="0" t="0" r="0" b="7620"/>
                  <wp:docPr id="1665" name="Imagen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t="1132" b="1"/>
                          <a:stretch/>
                        </pic:blipFill>
                        <pic:spPr bwMode="auto">
                          <a:xfrm>
                            <a:off x="0" y="0"/>
                            <a:ext cx="6717614" cy="2088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C6B56" w:rsidRPr="00DB2C4F" w14:paraId="31A8FBAF" w14:textId="77777777" w:rsidTr="00447800">
        <w:trPr>
          <w:jc w:val="center"/>
        </w:trPr>
        <w:tc>
          <w:tcPr>
            <w:tcW w:w="9209" w:type="dxa"/>
          </w:tcPr>
          <w:p w14:paraId="61DB35BA" w14:textId="77777777" w:rsidR="00BC6B56" w:rsidRPr="00DB2C4F" w:rsidRDefault="00BC6B56" w:rsidP="00447800">
            <w:pPr>
              <w:ind w:left="1502" w:right="879" w:hanging="1468"/>
              <w:jc w:val="both"/>
              <w:rPr>
                <w:sz w:val="20"/>
                <w:szCs w:val="26"/>
                <w:lang w:val="es-ES"/>
              </w:rPr>
            </w:pPr>
            <w:r w:rsidRPr="00394A53">
              <w:rPr>
                <w:sz w:val="20"/>
                <w:szCs w:val="26"/>
                <w:lang w:val="es-ES"/>
              </w:rPr>
              <w:t>FUENTE: Estimaciones del Banco de México con base en datos del INE</w:t>
            </w:r>
            <w:r>
              <w:rPr>
                <w:sz w:val="20"/>
                <w:szCs w:val="26"/>
                <w:lang w:val="es-ES"/>
              </w:rPr>
              <w:t>GI ajustados por estacionalidad.</w:t>
            </w:r>
          </w:p>
        </w:tc>
      </w:tr>
    </w:tbl>
    <w:p w14:paraId="3ACC3D9E" w14:textId="77777777" w:rsidR="00BC6B56" w:rsidRDefault="00BC6B56" w:rsidP="00BC6B56">
      <w:pPr>
        <w:spacing w:after="360" w:line="360" w:lineRule="auto"/>
        <w:ind w:right="-159"/>
        <w:jc w:val="both"/>
        <w:rPr>
          <w:sz w:val="26"/>
          <w:szCs w:val="26"/>
          <w:lang w:val="es-ES"/>
        </w:rPr>
      </w:pPr>
    </w:p>
    <w:p w14:paraId="4864B675" w14:textId="77777777" w:rsidR="00BC6B56" w:rsidRDefault="00BC6B56" w:rsidP="00BC6B56">
      <w:pPr>
        <w:spacing w:after="360" w:line="360" w:lineRule="auto"/>
        <w:ind w:right="-159"/>
        <w:jc w:val="both"/>
        <w:rPr>
          <w:sz w:val="26"/>
          <w:szCs w:val="26"/>
          <w:lang w:val="es-ES"/>
        </w:rPr>
      </w:pPr>
      <w:r w:rsidRPr="001C7546">
        <w:rPr>
          <w:sz w:val="26"/>
          <w:szCs w:val="26"/>
          <w:lang w:val="es-ES"/>
        </w:rPr>
        <w:t>En todas las regiones, los directivos consultados mencionaron la mejoría en</w:t>
      </w:r>
      <w:r>
        <w:rPr>
          <w:sz w:val="26"/>
          <w:szCs w:val="26"/>
          <w:lang w:val="es-ES"/>
        </w:rPr>
        <w:t xml:space="preserve"> </w:t>
      </w:r>
      <w:r w:rsidRPr="001C7546">
        <w:rPr>
          <w:sz w:val="26"/>
          <w:szCs w:val="26"/>
          <w:lang w:val="es-ES"/>
        </w:rPr>
        <w:t>la construcción privada. Éstos destacaron el rubro no residencial. En dicho</w:t>
      </w:r>
      <w:r>
        <w:rPr>
          <w:sz w:val="26"/>
          <w:szCs w:val="26"/>
          <w:lang w:val="es-ES"/>
        </w:rPr>
        <w:t xml:space="preserve"> </w:t>
      </w:r>
      <w:r w:rsidRPr="001C7546">
        <w:rPr>
          <w:sz w:val="26"/>
          <w:szCs w:val="26"/>
          <w:lang w:val="es-ES"/>
        </w:rPr>
        <w:t>rubro se observó una expansión en la construcción de edificios industriales,</w:t>
      </w:r>
      <w:r>
        <w:rPr>
          <w:sz w:val="26"/>
          <w:szCs w:val="26"/>
          <w:lang w:val="es-ES"/>
        </w:rPr>
        <w:t xml:space="preserve"> </w:t>
      </w:r>
      <w:r w:rsidRPr="001C7546">
        <w:rPr>
          <w:sz w:val="26"/>
          <w:szCs w:val="26"/>
          <w:lang w:val="es-ES"/>
        </w:rPr>
        <w:t>comerciales y de servicios, escuelas y centros de atención médica, así como</w:t>
      </w:r>
      <w:r>
        <w:rPr>
          <w:sz w:val="26"/>
          <w:szCs w:val="26"/>
          <w:lang w:val="es-ES"/>
        </w:rPr>
        <w:t xml:space="preserve"> </w:t>
      </w:r>
      <w:r w:rsidRPr="001C7546">
        <w:rPr>
          <w:sz w:val="26"/>
          <w:szCs w:val="26"/>
          <w:lang w:val="es-ES"/>
        </w:rPr>
        <w:t>obras de riego, electricidad y comunicaciones. Asimismo, mencionaron que</w:t>
      </w:r>
      <w:r>
        <w:rPr>
          <w:sz w:val="26"/>
          <w:szCs w:val="26"/>
          <w:lang w:val="es-ES"/>
        </w:rPr>
        <w:t xml:space="preserve"> </w:t>
      </w:r>
      <w:r w:rsidRPr="001C7546">
        <w:rPr>
          <w:sz w:val="26"/>
          <w:szCs w:val="26"/>
          <w:lang w:val="es-ES"/>
        </w:rPr>
        <w:t xml:space="preserve">la actividad en el sector residencial también mostró una expansión. En </w:t>
      </w:r>
      <w:r w:rsidRPr="00410C5B">
        <w:rPr>
          <w:sz w:val="26"/>
          <w:szCs w:val="26"/>
          <w:lang w:val="es-ES"/>
        </w:rPr>
        <w:t>el Recuadro</w:t>
      </w:r>
      <w:r>
        <w:rPr>
          <w:sz w:val="26"/>
          <w:szCs w:val="26"/>
          <w:lang w:val="es-ES"/>
        </w:rPr>
        <w:t>:</w:t>
      </w:r>
      <w:r w:rsidRPr="00410C5B">
        <w:rPr>
          <w:i/>
          <w:sz w:val="26"/>
          <w:szCs w:val="26"/>
          <w:lang w:val="es-ES"/>
        </w:rPr>
        <w:t xml:space="preserve"> Recuperación de la Construcción Residencial en México por Región</w:t>
      </w:r>
      <w:r w:rsidRPr="00410C5B">
        <w:rPr>
          <w:sz w:val="26"/>
          <w:szCs w:val="26"/>
          <w:lang w:val="es-ES"/>
        </w:rPr>
        <w:t xml:space="preserve"> de</w:t>
      </w:r>
      <w:r w:rsidRPr="001C7546">
        <w:rPr>
          <w:sz w:val="26"/>
          <w:szCs w:val="26"/>
          <w:lang w:val="es-ES"/>
        </w:rPr>
        <w:t xml:space="preserve"> este Reporte se profundiza el análisis de la evolución reciente</w:t>
      </w:r>
      <w:r>
        <w:rPr>
          <w:sz w:val="26"/>
          <w:szCs w:val="26"/>
          <w:lang w:val="es-ES"/>
        </w:rPr>
        <w:t xml:space="preserve"> </w:t>
      </w:r>
      <w:r w:rsidRPr="001C7546">
        <w:rPr>
          <w:sz w:val="26"/>
          <w:szCs w:val="26"/>
          <w:lang w:val="es-ES"/>
        </w:rPr>
        <w:t>de la construcción privada residencial en las regiones del país con base en</w:t>
      </w:r>
      <w:r>
        <w:rPr>
          <w:sz w:val="26"/>
          <w:szCs w:val="26"/>
          <w:lang w:val="es-ES"/>
        </w:rPr>
        <w:t xml:space="preserve"> </w:t>
      </w:r>
      <w:r w:rsidRPr="001C7546">
        <w:rPr>
          <w:sz w:val="26"/>
          <w:szCs w:val="26"/>
          <w:lang w:val="es-ES"/>
        </w:rPr>
        <w:t>diversos indicadores. Por otro lado, en opinión de los directivos, la</w:t>
      </w:r>
      <w:r>
        <w:rPr>
          <w:sz w:val="26"/>
          <w:szCs w:val="26"/>
          <w:lang w:val="es-ES"/>
        </w:rPr>
        <w:t xml:space="preserve"> </w:t>
      </w:r>
      <w:r w:rsidRPr="001C7546">
        <w:rPr>
          <w:sz w:val="26"/>
          <w:szCs w:val="26"/>
          <w:lang w:val="es-ES"/>
        </w:rPr>
        <w:t xml:space="preserve">construcción </w:t>
      </w:r>
      <w:r w:rsidRPr="001C7546">
        <w:rPr>
          <w:sz w:val="26"/>
          <w:szCs w:val="26"/>
          <w:lang w:val="es-ES"/>
        </w:rPr>
        <w:lastRenderedPageBreak/>
        <w:t>pública continuó débil. No obstante, en el norte, centro norte y</w:t>
      </w:r>
      <w:r>
        <w:rPr>
          <w:sz w:val="26"/>
          <w:szCs w:val="26"/>
          <w:lang w:val="es-ES"/>
        </w:rPr>
        <w:t xml:space="preserve"> </w:t>
      </w:r>
      <w:r w:rsidRPr="001C7546">
        <w:rPr>
          <w:sz w:val="26"/>
          <w:szCs w:val="26"/>
          <w:lang w:val="es-ES"/>
        </w:rPr>
        <w:t>centro siguieron realizándose las obras iniciadas en los trimestres anteriores.</w:t>
      </w:r>
      <w:r>
        <w:rPr>
          <w:sz w:val="26"/>
          <w:szCs w:val="26"/>
          <w:lang w:val="es-ES"/>
        </w:rPr>
        <w:t xml:space="preserve"> </w:t>
      </w:r>
      <w:r w:rsidRPr="001C7546">
        <w:rPr>
          <w:sz w:val="26"/>
          <w:szCs w:val="26"/>
          <w:lang w:val="es-ES"/>
        </w:rPr>
        <w:t>En el sur, por su parte, la construcción pública continuó debilitándose</w:t>
      </w:r>
      <w:r>
        <w:rPr>
          <w:sz w:val="26"/>
          <w:szCs w:val="26"/>
          <w:lang w:val="es-ES"/>
        </w:rPr>
        <w:t xml:space="preserve"> </w:t>
      </w:r>
      <w:r w:rsidRPr="001C7546">
        <w:rPr>
          <w:sz w:val="26"/>
          <w:szCs w:val="26"/>
          <w:lang w:val="es-ES"/>
        </w:rPr>
        <w:t>principalmente en el rubro de obras asociadas a las actividades de extracción</w:t>
      </w:r>
      <w:r>
        <w:rPr>
          <w:sz w:val="26"/>
          <w:szCs w:val="26"/>
          <w:lang w:val="es-ES"/>
        </w:rPr>
        <w:t xml:space="preserve"> </w:t>
      </w:r>
      <w:r w:rsidRPr="001C7546">
        <w:rPr>
          <w:sz w:val="26"/>
          <w:szCs w:val="26"/>
          <w:lang w:val="es-ES"/>
        </w:rPr>
        <w:t>de petróleo, si bien se destacó la realización de obras públicas en los</w:t>
      </w:r>
      <w:r>
        <w:rPr>
          <w:sz w:val="26"/>
          <w:szCs w:val="26"/>
          <w:lang w:val="es-ES"/>
        </w:rPr>
        <w:t xml:space="preserve"> </w:t>
      </w:r>
      <w:r w:rsidRPr="001C7546">
        <w:rPr>
          <w:sz w:val="26"/>
          <w:szCs w:val="26"/>
          <w:lang w:val="es-ES"/>
        </w:rPr>
        <w:t>segmentos de riego, saneamiento y transporte.</w:t>
      </w:r>
    </w:p>
    <w:p w14:paraId="5AB87B19" w14:textId="77777777" w:rsidR="00BC6B56" w:rsidRDefault="00BC6B56" w:rsidP="00BC6B56">
      <w:pPr>
        <w:spacing w:after="360" w:line="360" w:lineRule="auto"/>
        <w:ind w:right="-159"/>
        <w:jc w:val="both"/>
        <w:rPr>
          <w:b/>
          <w:sz w:val="26"/>
          <w:szCs w:val="26"/>
          <w:lang w:val="es-ES"/>
        </w:rPr>
      </w:pPr>
      <w:r w:rsidRPr="001C7546">
        <w:rPr>
          <w:b/>
          <w:sz w:val="26"/>
          <w:szCs w:val="26"/>
          <w:lang w:val="es-ES"/>
        </w:rPr>
        <w:t>Recuperación de la Construcción Residencial en México por Región</w:t>
      </w:r>
    </w:p>
    <w:p w14:paraId="72574AB1" w14:textId="77777777" w:rsidR="00BC6B56" w:rsidRPr="00605696" w:rsidRDefault="00BC6B56" w:rsidP="00BC6B56">
      <w:pPr>
        <w:spacing w:after="360" w:line="360" w:lineRule="auto"/>
        <w:ind w:right="-159"/>
        <w:jc w:val="both"/>
        <w:rPr>
          <w:b/>
          <w:sz w:val="26"/>
          <w:szCs w:val="26"/>
          <w:lang w:val="es-ES"/>
        </w:rPr>
      </w:pPr>
      <w:r w:rsidRPr="00605696">
        <w:rPr>
          <w:b/>
          <w:sz w:val="26"/>
          <w:szCs w:val="26"/>
          <w:lang w:val="es-ES"/>
        </w:rPr>
        <w:t>1. Introducción</w:t>
      </w:r>
    </w:p>
    <w:p w14:paraId="19D955A0" w14:textId="77777777" w:rsidR="00BC6B56" w:rsidRPr="001C7546" w:rsidRDefault="00BC6B56" w:rsidP="00BC6B56">
      <w:pPr>
        <w:spacing w:after="360" w:line="360" w:lineRule="auto"/>
        <w:ind w:right="-159"/>
        <w:jc w:val="both"/>
        <w:rPr>
          <w:sz w:val="26"/>
          <w:szCs w:val="26"/>
          <w:lang w:val="es-ES"/>
        </w:rPr>
      </w:pPr>
      <w:r w:rsidRPr="001C7546">
        <w:rPr>
          <w:sz w:val="26"/>
          <w:szCs w:val="26"/>
          <w:lang w:val="es-ES"/>
        </w:rPr>
        <w:t>Durante 2014, la construcción privada en México</w:t>
      </w:r>
      <w:r>
        <w:rPr>
          <w:sz w:val="26"/>
          <w:szCs w:val="26"/>
          <w:lang w:val="es-ES"/>
        </w:rPr>
        <w:t xml:space="preserve"> </w:t>
      </w:r>
      <w:r w:rsidRPr="001C7546">
        <w:rPr>
          <w:sz w:val="26"/>
          <w:szCs w:val="26"/>
          <w:lang w:val="es-ES"/>
        </w:rPr>
        <w:t>presentó una recuperación con respecto al año</w:t>
      </w:r>
      <w:r>
        <w:rPr>
          <w:sz w:val="26"/>
          <w:szCs w:val="26"/>
          <w:lang w:val="es-ES"/>
        </w:rPr>
        <w:t xml:space="preserve"> </w:t>
      </w:r>
      <w:r w:rsidRPr="001C7546">
        <w:rPr>
          <w:sz w:val="26"/>
          <w:szCs w:val="26"/>
          <w:lang w:val="es-ES"/>
        </w:rPr>
        <w:t>previo. En particular, la variación porcentual anual</w:t>
      </w:r>
      <w:r>
        <w:rPr>
          <w:sz w:val="26"/>
          <w:szCs w:val="26"/>
          <w:lang w:val="es-ES"/>
        </w:rPr>
        <w:t xml:space="preserve"> </w:t>
      </w:r>
      <w:r w:rsidRPr="001C7546">
        <w:rPr>
          <w:sz w:val="26"/>
          <w:szCs w:val="26"/>
          <w:lang w:val="es-ES"/>
        </w:rPr>
        <w:t>del valor real de la producción en el rubro de la</w:t>
      </w:r>
      <w:r>
        <w:rPr>
          <w:sz w:val="26"/>
          <w:szCs w:val="26"/>
          <w:lang w:val="es-ES"/>
        </w:rPr>
        <w:t xml:space="preserve"> </w:t>
      </w:r>
      <w:r w:rsidRPr="001C7546">
        <w:rPr>
          <w:sz w:val="26"/>
          <w:szCs w:val="26"/>
          <w:lang w:val="es-ES"/>
        </w:rPr>
        <w:t>construcción privada fue 8.2</w:t>
      </w:r>
      <w:r>
        <w:rPr>
          <w:sz w:val="26"/>
          <w:szCs w:val="26"/>
          <w:lang w:val="es-ES"/>
        </w:rPr>
        <w:t>%</w:t>
      </w:r>
      <w:r w:rsidRPr="001C7546">
        <w:rPr>
          <w:sz w:val="26"/>
          <w:szCs w:val="26"/>
          <w:lang w:val="es-ES"/>
        </w:rPr>
        <w:t xml:space="preserve"> en 2014 y</w:t>
      </w:r>
      <w:r>
        <w:rPr>
          <w:sz w:val="26"/>
          <w:szCs w:val="26"/>
          <w:lang w:val="es-ES"/>
        </w:rPr>
        <w:t xml:space="preserve"> </w:t>
      </w:r>
      <w:r w:rsidRPr="001C7546">
        <w:rPr>
          <w:sz w:val="26"/>
          <w:szCs w:val="26"/>
          <w:lang w:val="es-ES"/>
        </w:rPr>
        <w:t>1.2</w:t>
      </w:r>
      <w:r>
        <w:rPr>
          <w:sz w:val="26"/>
          <w:szCs w:val="26"/>
          <w:lang w:val="es-ES"/>
        </w:rPr>
        <w:t>%</w:t>
      </w:r>
      <w:r w:rsidRPr="001C7546">
        <w:rPr>
          <w:sz w:val="26"/>
          <w:szCs w:val="26"/>
          <w:lang w:val="es-ES"/>
        </w:rPr>
        <w:t xml:space="preserve"> en 2013. Como se muestra en este</w:t>
      </w:r>
      <w:r>
        <w:rPr>
          <w:sz w:val="26"/>
          <w:szCs w:val="26"/>
          <w:lang w:val="es-ES"/>
        </w:rPr>
        <w:t xml:space="preserve"> </w:t>
      </w:r>
      <w:r w:rsidRPr="001C7546">
        <w:rPr>
          <w:sz w:val="26"/>
          <w:szCs w:val="26"/>
          <w:lang w:val="es-ES"/>
        </w:rPr>
        <w:t>Recuadro, diversos indicadores sugieren que el</w:t>
      </w:r>
      <w:r>
        <w:rPr>
          <w:sz w:val="26"/>
          <w:szCs w:val="26"/>
          <w:lang w:val="es-ES"/>
        </w:rPr>
        <w:t xml:space="preserve"> </w:t>
      </w:r>
      <w:r w:rsidRPr="001C7546">
        <w:rPr>
          <w:sz w:val="26"/>
          <w:szCs w:val="26"/>
          <w:lang w:val="es-ES"/>
        </w:rPr>
        <w:t>segmento residencial de la construcción privada se</w:t>
      </w:r>
      <w:r>
        <w:rPr>
          <w:sz w:val="26"/>
          <w:szCs w:val="26"/>
          <w:lang w:val="es-ES"/>
        </w:rPr>
        <w:t xml:space="preserve"> </w:t>
      </w:r>
      <w:r w:rsidRPr="001C7546">
        <w:rPr>
          <w:sz w:val="26"/>
          <w:szCs w:val="26"/>
          <w:lang w:val="es-ES"/>
        </w:rPr>
        <w:t>ha fortalecido en las distintas regiones del país.</w:t>
      </w:r>
    </w:p>
    <w:p w14:paraId="41B68F33" w14:textId="77777777" w:rsidR="00BC6B56" w:rsidRPr="00605696" w:rsidRDefault="00BC6B56" w:rsidP="00BC6B56">
      <w:pPr>
        <w:spacing w:after="360" w:line="360" w:lineRule="auto"/>
        <w:ind w:right="-159"/>
        <w:jc w:val="both"/>
        <w:rPr>
          <w:b/>
          <w:sz w:val="26"/>
          <w:szCs w:val="26"/>
          <w:lang w:val="es-ES"/>
        </w:rPr>
      </w:pPr>
      <w:r w:rsidRPr="00605696">
        <w:rPr>
          <w:b/>
          <w:sz w:val="26"/>
          <w:szCs w:val="26"/>
          <w:lang w:val="es-ES"/>
        </w:rPr>
        <w:t>2. Construcción Residencial Privada por Región</w:t>
      </w:r>
    </w:p>
    <w:p w14:paraId="13A07A96" w14:textId="77777777" w:rsidR="00BC6B56" w:rsidRDefault="00BC6B56" w:rsidP="00BC6B56">
      <w:pPr>
        <w:spacing w:after="360" w:line="360" w:lineRule="auto"/>
        <w:ind w:right="-159"/>
        <w:jc w:val="both"/>
        <w:rPr>
          <w:sz w:val="26"/>
          <w:szCs w:val="26"/>
          <w:lang w:val="es-ES"/>
        </w:rPr>
      </w:pPr>
      <w:r w:rsidRPr="001C7546">
        <w:rPr>
          <w:sz w:val="26"/>
          <w:szCs w:val="26"/>
          <w:lang w:val="es-ES"/>
        </w:rPr>
        <w:t>En el per</w:t>
      </w:r>
      <w:r>
        <w:rPr>
          <w:sz w:val="26"/>
          <w:szCs w:val="26"/>
          <w:lang w:val="es-ES"/>
        </w:rPr>
        <w:t>ío</w:t>
      </w:r>
      <w:r w:rsidRPr="001C7546">
        <w:rPr>
          <w:sz w:val="26"/>
          <w:szCs w:val="26"/>
          <w:lang w:val="es-ES"/>
        </w:rPr>
        <w:t>do 2008-2013 el sector de la construcción</w:t>
      </w:r>
      <w:r>
        <w:rPr>
          <w:sz w:val="26"/>
          <w:szCs w:val="26"/>
          <w:lang w:val="es-ES"/>
        </w:rPr>
        <w:t xml:space="preserve"> </w:t>
      </w:r>
      <w:r w:rsidRPr="001C7546">
        <w:rPr>
          <w:sz w:val="26"/>
          <w:szCs w:val="26"/>
          <w:lang w:val="es-ES"/>
        </w:rPr>
        <w:t>residencial en México enfrentó diversos obstáculos</w:t>
      </w:r>
      <w:r>
        <w:rPr>
          <w:sz w:val="26"/>
          <w:szCs w:val="26"/>
          <w:lang w:val="es-ES"/>
        </w:rPr>
        <w:t xml:space="preserve"> </w:t>
      </w:r>
      <w:r w:rsidRPr="001C7546">
        <w:rPr>
          <w:sz w:val="26"/>
          <w:szCs w:val="26"/>
          <w:lang w:val="es-ES"/>
        </w:rPr>
        <w:t>que, en mayor o menor medida, afectaron su</w:t>
      </w:r>
      <w:r>
        <w:rPr>
          <w:sz w:val="26"/>
          <w:szCs w:val="26"/>
          <w:lang w:val="es-ES"/>
        </w:rPr>
        <w:t xml:space="preserve"> </w:t>
      </w:r>
      <w:r w:rsidRPr="001C7546">
        <w:rPr>
          <w:sz w:val="26"/>
          <w:szCs w:val="26"/>
          <w:lang w:val="es-ES"/>
        </w:rPr>
        <w:t>desempeño.</w:t>
      </w:r>
      <w:r>
        <w:rPr>
          <w:rStyle w:val="Refdenotaalpie"/>
          <w:sz w:val="26"/>
          <w:szCs w:val="26"/>
          <w:lang w:val="es-ES"/>
        </w:rPr>
        <w:footnoteReference w:id="7"/>
      </w:r>
      <w:r w:rsidRPr="001C7546">
        <w:rPr>
          <w:sz w:val="26"/>
          <w:szCs w:val="26"/>
          <w:lang w:val="es-ES"/>
        </w:rPr>
        <w:t xml:space="preserve"> No obstante, en 2014 algunos</w:t>
      </w:r>
      <w:r>
        <w:rPr>
          <w:sz w:val="26"/>
          <w:szCs w:val="26"/>
          <w:lang w:val="es-ES"/>
        </w:rPr>
        <w:t xml:space="preserve"> </w:t>
      </w:r>
      <w:r w:rsidRPr="001C7546">
        <w:rPr>
          <w:sz w:val="26"/>
          <w:szCs w:val="26"/>
          <w:lang w:val="es-ES"/>
        </w:rPr>
        <w:t>indicadores de la construcción residencial privada</w:t>
      </w:r>
      <w:r>
        <w:rPr>
          <w:sz w:val="26"/>
          <w:szCs w:val="26"/>
          <w:lang w:val="es-ES"/>
        </w:rPr>
        <w:t xml:space="preserve"> </w:t>
      </w:r>
      <w:r w:rsidRPr="001C7546">
        <w:rPr>
          <w:sz w:val="26"/>
          <w:szCs w:val="26"/>
          <w:lang w:val="es-ES"/>
        </w:rPr>
        <w:t>revelan una recuperación del sector. A nivel</w:t>
      </w:r>
      <w:r>
        <w:rPr>
          <w:sz w:val="26"/>
          <w:szCs w:val="26"/>
          <w:lang w:val="es-ES"/>
        </w:rPr>
        <w:t xml:space="preserve"> </w:t>
      </w:r>
      <w:r w:rsidRPr="001C7546">
        <w:rPr>
          <w:sz w:val="26"/>
          <w:szCs w:val="26"/>
          <w:lang w:val="es-ES"/>
        </w:rPr>
        <w:t>nacional, por ejemplo, la recuperación del sector</w:t>
      </w:r>
      <w:r>
        <w:rPr>
          <w:sz w:val="26"/>
          <w:szCs w:val="26"/>
          <w:lang w:val="es-ES"/>
        </w:rPr>
        <w:t xml:space="preserve"> </w:t>
      </w:r>
      <w:r w:rsidRPr="001C7546">
        <w:rPr>
          <w:sz w:val="26"/>
          <w:szCs w:val="26"/>
          <w:lang w:val="es-ES"/>
        </w:rPr>
        <w:t>residencial se reflejó en el indicador de inversión fija</w:t>
      </w:r>
      <w:r>
        <w:rPr>
          <w:sz w:val="26"/>
          <w:szCs w:val="26"/>
          <w:lang w:val="es-ES"/>
        </w:rPr>
        <w:t xml:space="preserve"> </w:t>
      </w:r>
      <w:r w:rsidRPr="001C7546">
        <w:rPr>
          <w:sz w:val="26"/>
          <w:szCs w:val="26"/>
          <w:lang w:val="es-ES"/>
        </w:rPr>
        <w:t>bruta residencial, el cual muestra una tendencia</w:t>
      </w:r>
      <w:r>
        <w:rPr>
          <w:sz w:val="26"/>
          <w:szCs w:val="26"/>
          <w:lang w:val="es-ES"/>
        </w:rPr>
        <w:t xml:space="preserve"> </w:t>
      </w:r>
      <w:r w:rsidRPr="001C7546">
        <w:rPr>
          <w:sz w:val="26"/>
          <w:szCs w:val="26"/>
          <w:lang w:val="es-ES"/>
        </w:rPr>
        <w:t>ascendente a lo largo del 2014 (</w:t>
      </w:r>
      <w:r>
        <w:rPr>
          <w:sz w:val="26"/>
          <w:szCs w:val="26"/>
          <w:lang w:val="es-ES"/>
        </w:rPr>
        <w:t>g</w:t>
      </w:r>
      <w:r w:rsidRPr="001C7546">
        <w:rPr>
          <w:sz w:val="26"/>
          <w:szCs w:val="26"/>
          <w:lang w:val="es-ES"/>
        </w:rPr>
        <w:t xml:space="preserve">ráfica </w:t>
      </w:r>
      <w:r>
        <w:rPr>
          <w:sz w:val="26"/>
          <w:szCs w:val="26"/>
          <w:lang w:val="es-ES"/>
        </w:rPr>
        <w:t>siguiente</w:t>
      </w:r>
      <w:r w:rsidRPr="001C7546">
        <w:rPr>
          <w:sz w:val="26"/>
          <w:szCs w:val="26"/>
          <w:lang w:val="es-ES"/>
        </w:rPr>
        <w:t>).</w:t>
      </w:r>
    </w:p>
    <w:p w14:paraId="0E8B84EB" w14:textId="77777777" w:rsidR="00BC6B56" w:rsidRDefault="00BC6B56" w:rsidP="00BC6B56">
      <w:pPr>
        <w:spacing w:after="360" w:line="360" w:lineRule="auto"/>
        <w:ind w:right="-159"/>
        <w:jc w:val="both"/>
        <w:rPr>
          <w:sz w:val="26"/>
          <w:szCs w:val="26"/>
          <w:lang w:val="es-ES"/>
        </w:rPr>
      </w:pPr>
    </w:p>
    <w:p w14:paraId="1976D63C" w14:textId="77777777" w:rsidR="00BC6B56" w:rsidRDefault="00BC6B56" w:rsidP="00BC6B56">
      <w:pPr>
        <w:spacing w:after="360" w:line="360" w:lineRule="auto"/>
        <w:ind w:right="-159"/>
        <w:jc w:val="both"/>
        <w:rPr>
          <w:sz w:val="26"/>
          <w:szCs w:val="26"/>
          <w:lang w:val="es-ES"/>
        </w:rPr>
      </w:pPr>
    </w:p>
    <w:tbl>
      <w:tblPr>
        <w:tblStyle w:val="Tablaconcuadrcula"/>
        <w:tblW w:w="920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09"/>
      </w:tblGrid>
      <w:tr w:rsidR="00BC6B56" w:rsidRPr="00200185" w14:paraId="636E8D2A" w14:textId="77777777" w:rsidTr="00447800">
        <w:trPr>
          <w:jc w:val="center"/>
        </w:trPr>
        <w:tc>
          <w:tcPr>
            <w:tcW w:w="9209" w:type="dxa"/>
          </w:tcPr>
          <w:p w14:paraId="7F056B5F" w14:textId="77777777" w:rsidR="00BC6B56" w:rsidRPr="00A61990" w:rsidRDefault="00BC6B56" w:rsidP="00447800">
            <w:pPr>
              <w:jc w:val="center"/>
              <w:rPr>
                <w:b/>
                <w:szCs w:val="26"/>
                <w:lang w:val="es-ES"/>
              </w:rPr>
            </w:pPr>
            <w:r w:rsidRPr="00A61990">
              <w:rPr>
                <w:b/>
                <w:szCs w:val="26"/>
                <w:lang w:val="es-ES"/>
              </w:rPr>
              <w:lastRenderedPageBreak/>
              <w:t>INVERSIÓN FIJA BRUTA EN CONSTRUCCIÓN RESIDENCIAL</w:t>
            </w:r>
          </w:p>
          <w:p w14:paraId="0DF528D4" w14:textId="77777777" w:rsidR="00BC6B56" w:rsidRPr="00A61990" w:rsidRDefault="00BC6B56" w:rsidP="00447800">
            <w:pPr>
              <w:jc w:val="center"/>
              <w:rPr>
                <w:b/>
                <w:szCs w:val="26"/>
                <w:lang w:val="es-ES"/>
              </w:rPr>
            </w:pPr>
            <w:r w:rsidRPr="00A61990">
              <w:rPr>
                <w:b/>
                <w:szCs w:val="26"/>
                <w:lang w:val="es-ES"/>
              </w:rPr>
              <w:t>ÍNDICE DE VOLUMEN FÍSICO</w:t>
            </w:r>
          </w:p>
          <w:p w14:paraId="112C16AC" w14:textId="77777777" w:rsidR="00BC6B56" w:rsidRPr="00200185" w:rsidRDefault="00BC6B56" w:rsidP="00447800">
            <w:pPr>
              <w:jc w:val="center"/>
              <w:rPr>
                <w:b/>
                <w:szCs w:val="26"/>
                <w:lang w:val="es-ES"/>
              </w:rPr>
            </w:pPr>
            <w:r>
              <w:rPr>
                <w:b/>
                <w:szCs w:val="26"/>
                <w:lang w:val="es-ES"/>
              </w:rPr>
              <w:t>-</w:t>
            </w:r>
            <w:r w:rsidRPr="00A61990">
              <w:rPr>
                <w:b/>
                <w:szCs w:val="26"/>
                <w:lang w:val="es-ES"/>
              </w:rPr>
              <w:t>Índice (2008=100)</w:t>
            </w:r>
            <w:r>
              <w:rPr>
                <w:b/>
                <w:szCs w:val="26"/>
                <w:lang w:val="es-ES"/>
              </w:rPr>
              <w:t>-</w:t>
            </w:r>
          </w:p>
        </w:tc>
      </w:tr>
      <w:tr w:rsidR="00BC6B56" w:rsidRPr="00DB2C4F" w14:paraId="2C826A15" w14:textId="77777777" w:rsidTr="00447800">
        <w:trPr>
          <w:jc w:val="center"/>
        </w:trPr>
        <w:tc>
          <w:tcPr>
            <w:tcW w:w="9209" w:type="dxa"/>
          </w:tcPr>
          <w:p w14:paraId="232A6571" w14:textId="77777777" w:rsidR="00BC6B56" w:rsidRPr="00DB2C4F" w:rsidRDefault="00BC6B56" w:rsidP="00447800">
            <w:pPr>
              <w:jc w:val="center"/>
              <w:rPr>
                <w:szCs w:val="26"/>
                <w:lang w:val="es-ES"/>
              </w:rPr>
            </w:pPr>
            <w:r w:rsidRPr="00A61990">
              <w:rPr>
                <w:noProof/>
                <w:szCs w:val="26"/>
                <w:lang w:eastAsia="es-MX"/>
              </w:rPr>
              <w:drawing>
                <wp:inline distT="0" distB="0" distL="0" distR="0" wp14:anchorId="718B5426" wp14:editId="09282813">
                  <wp:extent cx="4858267" cy="2700000"/>
                  <wp:effectExtent l="0" t="0" r="0" b="0"/>
                  <wp:docPr id="1666" name="Imagen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t="10111" b="2057"/>
                          <a:stretch/>
                        </pic:blipFill>
                        <pic:spPr bwMode="auto">
                          <a:xfrm>
                            <a:off x="0" y="0"/>
                            <a:ext cx="4858267" cy="270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C6B56" w:rsidRPr="00DB2C4F" w14:paraId="1D564DF6" w14:textId="77777777" w:rsidTr="00447800">
        <w:trPr>
          <w:jc w:val="center"/>
        </w:trPr>
        <w:tc>
          <w:tcPr>
            <w:tcW w:w="9209" w:type="dxa"/>
          </w:tcPr>
          <w:p w14:paraId="222C6CCA" w14:textId="77777777" w:rsidR="00BC6B56" w:rsidRPr="00DB2C4F" w:rsidRDefault="00BC6B56" w:rsidP="00447800">
            <w:pPr>
              <w:ind w:left="1502" w:right="879" w:hanging="901"/>
              <w:jc w:val="both"/>
              <w:rPr>
                <w:sz w:val="20"/>
                <w:szCs w:val="26"/>
                <w:lang w:val="es-ES"/>
              </w:rPr>
            </w:pPr>
            <w:r w:rsidRPr="00394A53">
              <w:rPr>
                <w:sz w:val="20"/>
                <w:szCs w:val="26"/>
                <w:lang w:val="es-ES"/>
              </w:rPr>
              <w:t>FUENTE: INE</w:t>
            </w:r>
            <w:r>
              <w:rPr>
                <w:sz w:val="20"/>
                <w:szCs w:val="26"/>
                <w:lang w:val="es-ES"/>
              </w:rPr>
              <w:t>GI.</w:t>
            </w:r>
          </w:p>
        </w:tc>
      </w:tr>
    </w:tbl>
    <w:p w14:paraId="12F9A246" w14:textId="77777777" w:rsidR="00BC6B56" w:rsidRDefault="00BC6B56" w:rsidP="00BC6B56">
      <w:pPr>
        <w:spacing w:after="360" w:line="360" w:lineRule="auto"/>
        <w:ind w:right="-159"/>
        <w:jc w:val="both"/>
        <w:rPr>
          <w:sz w:val="26"/>
          <w:szCs w:val="26"/>
          <w:lang w:val="es-ES"/>
        </w:rPr>
      </w:pPr>
    </w:p>
    <w:p w14:paraId="0DD30AFC" w14:textId="77777777" w:rsidR="00BC6B56" w:rsidRDefault="00BC6B56" w:rsidP="00BC6B56">
      <w:pPr>
        <w:spacing w:after="360" w:line="360" w:lineRule="auto"/>
        <w:ind w:right="-159"/>
        <w:jc w:val="both"/>
        <w:rPr>
          <w:sz w:val="26"/>
          <w:szCs w:val="26"/>
          <w:lang w:val="es-ES"/>
        </w:rPr>
      </w:pPr>
      <w:r w:rsidRPr="001C7546">
        <w:rPr>
          <w:sz w:val="26"/>
          <w:szCs w:val="26"/>
          <w:lang w:val="es-ES"/>
        </w:rPr>
        <w:t>Desde una perspectiva regional, los indicadores de</w:t>
      </w:r>
      <w:r>
        <w:rPr>
          <w:sz w:val="26"/>
          <w:szCs w:val="26"/>
          <w:lang w:val="es-ES"/>
        </w:rPr>
        <w:t xml:space="preserve"> </w:t>
      </w:r>
      <w:r w:rsidRPr="001C7546">
        <w:rPr>
          <w:sz w:val="26"/>
          <w:szCs w:val="26"/>
          <w:lang w:val="es-ES"/>
        </w:rPr>
        <w:t>permisos e inicios de vivienda revelan que la</w:t>
      </w:r>
      <w:r>
        <w:rPr>
          <w:sz w:val="26"/>
          <w:szCs w:val="26"/>
          <w:lang w:val="es-ES"/>
        </w:rPr>
        <w:t xml:space="preserve"> </w:t>
      </w:r>
      <w:r w:rsidRPr="001C7546">
        <w:rPr>
          <w:sz w:val="26"/>
          <w:szCs w:val="26"/>
          <w:lang w:val="es-ES"/>
        </w:rPr>
        <w:t>construcción residencial experimentó una</w:t>
      </w:r>
      <w:r>
        <w:rPr>
          <w:sz w:val="26"/>
          <w:szCs w:val="26"/>
          <w:lang w:val="es-ES"/>
        </w:rPr>
        <w:t xml:space="preserve"> </w:t>
      </w:r>
      <w:r w:rsidRPr="001C7546">
        <w:rPr>
          <w:sz w:val="26"/>
          <w:szCs w:val="26"/>
          <w:lang w:val="es-ES"/>
        </w:rPr>
        <w:t>recuperación en las cuatro regiones del país</w:t>
      </w:r>
      <w:r>
        <w:rPr>
          <w:sz w:val="26"/>
          <w:szCs w:val="26"/>
          <w:lang w:val="es-ES"/>
        </w:rPr>
        <w:t xml:space="preserve"> </w:t>
      </w:r>
      <w:r w:rsidRPr="001C7546">
        <w:rPr>
          <w:sz w:val="26"/>
          <w:szCs w:val="26"/>
          <w:lang w:val="es-ES"/>
        </w:rPr>
        <w:t>(</w:t>
      </w:r>
      <w:r>
        <w:rPr>
          <w:sz w:val="26"/>
          <w:szCs w:val="26"/>
          <w:lang w:val="es-ES"/>
        </w:rPr>
        <w:t>g</w:t>
      </w:r>
      <w:r w:rsidRPr="001C7546">
        <w:rPr>
          <w:sz w:val="26"/>
          <w:szCs w:val="26"/>
          <w:lang w:val="es-ES"/>
        </w:rPr>
        <w:t xml:space="preserve">ráficas </w:t>
      </w:r>
      <w:r>
        <w:rPr>
          <w:sz w:val="26"/>
          <w:szCs w:val="26"/>
          <w:lang w:val="es-ES"/>
        </w:rPr>
        <w:t>siguientes</w:t>
      </w:r>
      <w:r w:rsidRPr="001C7546">
        <w:rPr>
          <w:sz w:val="26"/>
          <w:szCs w:val="26"/>
          <w:lang w:val="es-ES"/>
        </w:rPr>
        <w:t>). Dicha recuperación fue más fuerte</w:t>
      </w:r>
      <w:r>
        <w:rPr>
          <w:sz w:val="26"/>
          <w:szCs w:val="26"/>
          <w:lang w:val="es-ES"/>
        </w:rPr>
        <w:t xml:space="preserve"> </w:t>
      </w:r>
      <w:r w:rsidRPr="001C7546">
        <w:rPr>
          <w:sz w:val="26"/>
          <w:szCs w:val="26"/>
          <w:lang w:val="es-ES"/>
        </w:rPr>
        <w:t>y sostenida en la región norte, en tanto que en el</w:t>
      </w:r>
      <w:r>
        <w:rPr>
          <w:sz w:val="26"/>
          <w:szCs w:val="26"/>
          <w:lang w:val="es-ES"/>
        </w:rPr>
        <w:t xml:space="preserve"> </w:t>
      </w:r>
      <w:r w:rsidRPr="001C7546">
        <w:rPr>
          <w:sz w:val="26"/>
          <w:szCs w:val="26"/>
          <w:lang w:val="es-ES"/>
        </w:rPr>
        <w:t>resto de las regiones fue más notoria en el segundo</w:t>
      </w:r>
      <w:r>
        <w:rPr>
          <w:sz w:val="26"/>
          <w:szCs w:val="26"/>
          <w:lang w:val="es-ES"/>
        </w:rPr>
        <w:t xml:space="preserve"> </w:t>
      </w:r>
      <w:r w:rsidRPr="001C7546">
        <w:rPr>
          <w:sz w:val="26"/>
          <w:szCs w:val="26"/>
          <w:lang w:val="es-ES"/>
        </w:rPr>
        <w:t>semestre.</w:t>
      </w:r>
    </w:p>
    <w:p w14:paraId="745917D2" w14:textId="77777777" w:rsidR="00BC6B56" w:rsidRDefault="00BC6B56" w:rsidP="00BC6B56">
      <w:pPr>
        <w:spacing w:after="360" w:line="360" w:lineRule="auto"/>
        <w:ind w:right="-159"/>
        <w:jc w:val="both"/>
        <w:rPr>
          <w:sz w:val="26"/>
          <w:szCs w:val="26"/>
          <w:lang w:val="es-ES"/>
        </w:rPr>
      </w:pPr>
    </w:p>
    <w:p w14:paraId="18F3CEEC" w14:textId="77777777" w:rsidR="00BC6B56" w:rsidRDefault="00BC6B56" w:rsidP="00BC6B56">
      <w:pPr>
        <w:spacing w:after="360" w:line="360" w:lineRule="auto"/>
        <w:ind w:right="-159"/>
        <w:jc w:val="both"/>
        <w:rPr>
          <w:sz w:val="26"/>
          <w:szCs w:val="26"/>
          <w:lang w:val="es-ES"/>
        </w:rPr>
      </w:pPr>
    </w:p>
    <w:p w14:paraId="5C56027C" w14:textId="77777777" w:rsidR="00BC6B56" w:rsidRDefault="00BC6B56" w:rsidP="00BC6B56">
      <w:pPr>
        <w:spacing w:after="360" w:line="360" w:lineRule="auto"/>
        <w:ind w:right="-159"/>
        <w:jc w:val="both"/>
        <w:rPr>
          <w:sz w:val="26"/>
          <w:szCs w:val="26"/>
          <w:lang w:val="es-ES"/>
        </w:rPr>
      </w:pPr>
    </w:p>
    <w:p w14:paraId="6AAA2536" w14:textId="77777777" w:rsidR="00BC6B56" w:rsidRDefault="00BC6B56" w:rsidP="00BC6B56">
      <w:pPr>
        <w:spacing w:after="360" w:line="360" w:lineRule="auto"/>
        <w:ind w:right="-159"/>
        <w:jc w:val="both"/>
        <w:rPr>
          <w:sz w:val="26"/>
          <w:szCs w:val="26"/>
          <w:lang w:val="es-ES"/>
        </w:rPr>
      </w:pPr>
    </w:p>
    <w:p w14:paraId="1C62847A" w14:textId="77777777" w:rsidR="00BC6B56" w:rsidRDefault="00BC6B56" w:rsidP="00BC6B56">
      <w:pPr>
        <w:spacing w:after="360" w:line="360" w:lineRule="auto"/>
        <w:ind w:right="-159"/>
        <w:jc w:val="both"/>
        <w:rPr>
          <w:sz w:val="26"/>
          <w:szCs w:val="26"/>
          <w:lang w:val="es-ES"/>
        </w:rPr>
      </w:pPr>
    </w:p>
    <w:tbl>
      <w:tblPr>
        <w:tblStyle w:val="Tablaconcuadrcula"/>
        <w:tblW w:w="920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09"/>
      </w:tblGrid>
      <w:tr w:rsidR="00BC6B56" w:rsidRPr="00200185" w14:paraId="3CC9CBF1" w14:textId="77777777" w:rsidTr="00447800">
        <w:trPr>
          <w:jc w:val="center"/>
        </w:trPr>
        <w:tc>
          <w:tcPr>
            <w:tcW w:w="9209" w:type="dxa"/>
          </w:tcPr>
          <w:p w14:paraId="0A80F977" w14:textId="77777777" w:rsidR="00BC6B56" w:rsidRPr="00F618C8" w:rsidRDefault="00BC6B56" w:rsidP="00447800">
            <w:pPr>
              <w:jc w:val="center"/>
              <w:rPr>
                <w:b/>
                <w:szCs w:val="26"/>
                <w:lang w:val="es-ES"/>
              </w:rPr>
            </w:pPr>
            <w:r w:rsidRPr="00F618C8">
              <w:rPr>
                <w:b/>
                <w:szCs w:val="26"/>
                <w:lang w:val="es-ES"/>
              </w:rPr>
              <w:lastRenderedPageBreak/>
              <w:t>PERMISOS DE VIVIENDA POR REGIÓN</w:t>
            </w:r>
          </w:p>
          <w:p w14:paraId="10EF061A" w14:textId="77777777" w:rsidR="00BC6B56" w:rsidRPr="00200185" w:rsidRDefault="00BC6B56" w:rsidP="00447800">
            <w:pPr>
              <w:jc w:val="center"/>
              <w:rPr>
                <w:b/>
                <w:szCs w:val="26"/>
                <w:lang w:val="es-ES"/>
              </w:rPr>
            </w:pPr>
            <w:r>
              <w:rPr>
                <w:b/>
                <w:szCs w:val="26"/>
                <w:lang w:val="es-ES"/>
              </w:rPr>
              <w:t>-</w:t>
            </w:r>
            <w:r w:rsidRPr="00F618C8">
              <w:rPr>
                <w:b/>
                <w:szCs w:val="26"/>
                <w:lang w:val="es-ES"/>
              </w:rPr>
              <w:t>Miles</w:t>
            </w:r>
            <w:r>
              <w:rPr>
                <w:b/>
                <w:szCs w:val="26"/>
                <w:lang w:val="es-ES"/>
              </w:rPr>
              <w:t>-</w:t>
            </w:r>
          </w:p>
        </w:tc>
      </w:tr>
      <w:tr w:rsidR="00BC6B56" w:rsidRPr="00DB2C4F" w14:paraId="6A9FAED8" w14:textId="77777777" w:rsidTr="00447800">
        <w:trPr>
          <w:jc w:val="center"/>
        </w:trPr>
        <w:tc>
          <w:tcPr>
            <w:tcW w:w="9209" w:type="dxa"/>
          </w:tcPr>
          <w:p w14:paraId="24A1B4BE" w14:textId="77777777" w:rsidR="00BC6B56" w:rsidRPr="00DB2C4F" w:rsidRDefault="00BC6B56" w:rsidP="00447800">
            <w:pPr>
              <w:jc w:val="center"/>
              <w:rPr>
                <w:szCs w:val="26"/>
                <w:lang w:val="es-ES"/>
              </w:rPr>
            </w:pPr>
            <w:r w:rsidRPr="00F618C8">
              <w:rPr>
                <w:noProof/>
                <w:szCs w:val="26"/>
                <w:lang w:eastAsia="es-MX"/>
              </w:rPr>
              <w:drawing>
                <wp:inline distT="0" distB="0" distL="0" distR="0" wp14:anchorId="64961487" wp14:editId="6C9E5EA6">
                  <wp:extent cx="4677173" cy="2880000"/>
                  <wp:effectExtent l="0" t="0" r="0" b="0"/>
                  <wp:docPr id="1667" name="Imagen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t="4805" b="2827"/>
                          <a:stretch/>
                        </pic:blipFill>
                        <pic:spPr bwMode="auto">
                          <a:xfrm>
                            <a:off x="0" y="0"/>
                            <a:ext cx="4677173" cy="288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C6B56" w:rsidRPr="00DB2C4F" w14:paraId="1FB10718" w14:textId="77777777" w:rsidTr="00447800">
        <w:trPr>
          <w:jc w:val="center"/>
        </w:trPr>
        <w:tc>
          <w:tcPr>
            <w:tcW w:w="9209" w:type="dxa"/>
          </w:tcPr>
          <w:p w14:paraId="0B037BCC" w14:textId="77777777" w:rsidR="00BC6B56" w:rsidRPr="00DB2C4F" w:rsidRDefault="00BC6B56" w:rsidP="00447800">
            <w:pPr>
              <w:ind w:left="1502" w:right="879" w:hanging="617"/>
              <w:jc w:val="both"/>
              <w:rPr>
                <w:sz w:val="20"/>
                <w:szCs w:val="26"/>
                <w:lang w:val="es-ES"/>
              </w:rPr>
            </w:pPr>
            <w:r w:rsidRPr="00394A53">
              <w:rPr>
                <w:sz w:val="20"/>
                <w:szCs w:val="26"/>
                <w:lang w:val="es-ES"/>
              </w:rPr>
              <w:t xml:space="preserve">FUENTE: </w:t>
            </w:r>
            <w:r w:rsidRPr="00F618C8">
              <w:rPr>
                <w:sz w:val="20"/>
                <w:szCs w:val="26"/>
                <w:lang w:val="es-ES"/>
              </w:rPr>
              <w:t>Estimaciones del Banco de México con datos del</w:t>
            </w:r>
            <w:r>
              <w:rPr>
                <w:sz w:val="20"/>
                <w:szCs w:val="26"/>
                <w:lang w:val="es-ES"/>
              </w:rPr>
              <w:t xml:space="preserve"> </w:t>
            </w:r>
            <w:r w:rsidRPr="00F618C8">
              <w:rPr>
                <w:sz w:val="20"/>
                <w:szCs w:val="26"/>
                <w:lang w:val="es-ES"/>
              </w:rPr>
              <w:t>Registro Único de Vivienda</w:t>
            </w:r>
            <w:r>
              <w:rPr>
                <w:sz w:val="20"/>
                <w:szCs w:val="26"/>
                <w:lang w:val="es-ES"/>
              </w:rPr>
              <w:t>.</w:t>
            </w:r>
          </w:p>
        </w:tc>
      </w:tr>
    </w:tbl>
    <w:p w14:paraId="6569F038" w14:textId="77777777" w:rsidR="00BC6B56" w:rsidRDefault="00BC6B56" w:rsidP="00BC6B56">
      <w:pPr>
        <w:spacing w:after="360" w:line="360" w:lineRule="auto"/>
        <w:ind w:right="-159"/>
        <w:jc w:val="both"/>
        <w:rPr>
          <w:sz w:val="26"/>
          <w:szCs w:val="26"/>
          <w:lang w:val="es-ES"/>
        </w:rPr>
      </w:pPr>
    </w:p>
    <w:tbl>
      <w:tblPr>
        <w:tblStyle w:val="Tablaconcuadrcula"/>
        <w:tblW w:w="920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09"/>
      </w:tblGrid>
      <w:tr w:rsidR="00BC6B56" w:rsidRPr="00200185" w14:paraId="0524234E" w14:textId="77777777" w:rsidTr="00447800">
        <w:trPr>
          <w:jc w:val="center"/>
        </w:trPr>
        <w:tc>
          <w:tcPr>
            <w:tcW w:w="9209" w:type="dxa"/>
          </w:tcPr>
          <w:p w14:paraId="2C317FA5" w14:textId="77777777" w:rsidR="00BC6B56" w:rsidRPr="00F618C8" w:rsidRDefault="00BC6B56" w:rsidP="00447800">
            <w:pPr>
              <w:jc w:val="center"/>
              <w:rPr>
                <w:b/>
                <w:szCs w:val="26"/>
                <w:lang w:val="es-ES"/>
              </w:rPr>
            </w:pPr>
            <w:r>
              <w:rPr>
                <w:b/>
                <w:szCs w:val="26"/>
                <w:lang w:val="es-ES"/>
              </w:rPr>
              <w:t>INICIOS</w:t>
            </w:r>
            <w:r w:rsidRPr="00F618C8">
              <w:rPr>
                <w:b/>
                <w:szCs w:val="26"/>
                <w:lang w:val="es-ES"/>
              </w:rPr>
              <w:t xml:space="preserve"> DE VIVIENDA POR REGIÓN</w:t>
            </w:r>
          </w:p>
          <w:p w14:paraId="01FA949E" w14:textId="77777777" w:rsidR="00BC6B56" w:rsidRPr="00200185" w:rsidRDefault="00BC6B56" w:rsidP="00447800">
            <w:pPr>
              <w:jc w:val="center"/>
              <w:rPr>
                <w:b/>
                <w:szCs w:val="26"/>
                <w:lang w:val="es-ES"/>
              </w:rPr>
            </w:pPr>
            <w:r>
              <w:rPr>
                <w:b/>
                <w:szCs w:val="26"/>
                <w:lang w:val="es-ES"/>
              </w:rPr>
              <w:t>-</w:t>
            </w:r>
            <w:r w:rsidRPr="00F618C8">
              <w:rPr>
                <w:b/>
                <w:szCs w:val="26"/>
                <w:lang w:val="es-ES"/>
              </w:rPr>
              <w:t>Miles</w:t>
            </w:r>
            <w:r>
              <w:rPr>
                <w:b/>
                <w:szCs w:val="26"/>
                <w:lang w:val="es-ES"/>
              </w:rPr>
              <w:t>-</w:t>
            </w:r>
          </w:p>
        </w:tc>
      </w:tr>
      <w:tr w:rsidR="00BC6B56" w:rsidRPr="00DB2C4F" w14:paraId="65C84809" w14:textId="77777777" w:rsidTr="00447800">
        <w:trPr>
          <w:jc w:val="center"/>
        </w:trPr>
        <w:tc>
          <w:tcPr>
            <w:tcW w:w="9209" w:type="dxa"/>
          </w:tcPr>
          <w:p w14:paraId="566B19C4" w14:textId="77777777" w:rsidR="00BC6B56" w:rsidRPr="00DB2C4F" w:rsidRDefault="00BC6B56" w:rsidP="00447800">
            <w:pPr>
              <w:jc w:val="center"/>
              <w:rPr>
                <w:szCs w:val="26"/>
                <w:lang w:val="es-ES"/>
              </w:rPr>
            </w:pPr>
            <w:r w:rsidRPr="00F618C8">
              <w:rPr>
                <w:noProof/>
                <w:szCs w:val="26"/>
                <w:lang w:eastAsia="es-MX"/>
              </w:rPr>
              <w:drawing>
                <wp:inline distT="0" distB="0" distL="0" distR="0" wp14:anchorId="12A1FDD2" wp14:editId="6B9309F9">
                  <wp:extent cx="4668178" cy="2880000"/>
                  <wp:effectExtent l="0" t="0" r="0" b="0"/>
                  <wp:docPr id="1668" name="Imagen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t="4805" b="2649"/>
                          <a:stretch/>
                        </pic:blipFill>
                        <pic:spPr bwMode="auto">
                          <a:xfrm>
                            <a:off x="0" y="0"/>
                            <a:ext cx="4668178" cy="288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C6B56" w:rsidRPr="00DB2C4F" w14:paraId="0F21FA13" w14:textId="77777777" w:rsidTr="00447800">
        <w:trPr>
          <w:jc w:val="center"/>
        </w:trPr>
        <w:tc>
          <w:tcPr>
            <w:tcW w:w="9209" w:type="dxa"/>
          </w:tcPr>
          <w:p w14:paraId="4F807C00" w14:textId="77777777" w:rsidR="00BC6B56" w:rsidRPr="00DB2C4F" w:rsidRDefault="00BC6B56" w:rsidP="00447800">
            <w:pPr>
              <w:ind w:left="1502" w:right="879" w:hanging="901"/>
              <w:jc w:val="both"/>
              <w:rPr>
                <w:sz w:val="20"/>
                <w:szCs w:val="26"/>
                <w:lang w:val="es-ES"/>
              </w:rPr>
            </w:pPr>
            <w:r w:rsidRPr="00394A53">
              <w:rPr>
                <w:sz w:val="20"/>
                <w:szCs w:val="26"/>
                <w:lang w:val="es-ES"/>
              </w:rPr>
              <w:t xml:space="preserve">FUENTE: </w:t>
            </w:r>
            <w:r w:rsidRPr="00F618C8">
              <w:rPr>
                <w:sz w:val="20"/>
                <w:szCs w:val="26"/>
                <w:lang w:val="es-ES"/>
              </w:rPr>
              <w:t>Estimaciones del Banco de México con datos del</w:t>
            </w:r>
            <w:r>
              <w:rPr>
                <w:sz w:val="20"/>
                <w:szCs w:val="26"/>
                <w:lang w:val="es-ES"/>
              </w:rPr>
              <w:t xml:space="preserve"> </w:t>
            </w:r>
            <w:r w:rsidRPr="00F618C8">
              <w:rPr>
                <w:sz w:val="20"/>
                <w:szCs w:val="26"/>
                <w:lang w:val="es-ES"/>
              </w:rPr>
              <w:t>Registro Único de Vivienda</w:t>
            </w:r>
            <w:r>
              <w:rPr>
                <w:sz w:val="20"/>
                <w:szCs w:val="26"/>
                <w:lang w:val="es-ES"/>
              </w:rPr>
              <w:t>.</w:t>
            </w:r>
          </w:p>
        </w:tc>
      </w:tr>
    </w:tbl>
    <w:p w14:paraId="258357DC" w14:textId="77777777" w:rsidR="00BC6B56" w:rsidRDefault="00BC6B56" w:rsidP="00BC6B56">
      <w:pPr>
        <w:spacing w:after="360" w:line="360" w:lineRule="auto"/>
        <w:ind w:right="-159"/>
        <w:jc w:val="both"/>
        <w:rPr>
          <w:sz w:val="26"/>
          <w:szCs w:val="26"/>
          <w:lang w:val="es-ES"/>
        </w:rPr>
      </w:pPr>
    </w:p>
    <w:p w14:paraId="3ACE6C2A" w14:textId="77777777" w:rsidR="00BC6B56" w:rsidRPr="001C7546" w:rsidRDefault="00BC6B56" w:rsidP="00BC6B56">
      <w:pPr>
        <w:spacing w:after="360" w:line="360" w:lineRule="auto"/>
        <w:ind w:right="-159"/>
        <w:jc w:val="both"/>
        <w:rPr>
          <w:sz w:val="26"/>
          <w:szCs w:val="26"/>
          <w:lang w:val="es-ES"/>
        </w:rPr>
      </w:pPr>
      <w:r w:rsidRPr="001C7546">
        <w:rPr>
          <w:sz w:val="26"/>
          <w:szCs w:val="26"/>
          <w:lang w:val="es-ES"/>
        </w:rPr>
        <w:t>Otra señal de recuperación del sector se aprecia en</w:t>
      </w:r>
      <w:r>
        <w:rPr>
          <w:sz w:val="26"/>
          <w:szCs w:val="26"/>
          <w:lang w:val="es-ES"/>
        </w:rPr>
        <w:t xml:space="preserve"> </w:t>
      </w:r>
      <w:r w:rsidRPr="001C7546">
        <w:rPr>
          <w:sz w:val="26"/>
          <w:szCs w:val="26"/>
          <w:lang w:val="es-ES"/>
        </w:rPr>
        <w:t>las cifras de financiamiento total destinado a la</w:t>
      </w:r>
      <w:r>
        <w:rPr>
          <w:sz w:val="26"/>
          <w:szCs w:val="26"/>
          <w:lang w:val="es-ES"/>
        </w:rPr>
        <w:t xml:space="preserve"> </w:t>
      </w:r>
      <w:r w:rsidRPr="001C7546">
        <w:rPr>
          <w:sz w:val="26"/>
          <w:szCs w:val="26"/>
          <w:lang w:val="es-ES"/>
        </w:rPr>
        <w:t>vivienda por región. Estas cifras muestran un</w:t>
      </w:r>
      <w:r>
        <w:rPr>
          <w:sz w:val="26"/>
          <w:szCs w:val="26"/>
          <w:lang w:val="es-ES"/>
        </w:rPr>
        <w:t xml:space="preserve"> </w:t>
      </w:r>
      <w:r w:rsidRPr="001C7546">
        <w:rPr>
          <w:sz w:val="26"/>
          <w:szCs w:val="26"/>
          <w:lang w:val="es-ES"/>
        </w:rPr>
        <w:t xml:space="preserve">repunte en dicho </w:t>
      </w:r>
      <w:r w:rsidRPr="001C7546">
        <w:rPr>
          <w:sz w:val="26"/>
          <w:szCs w:val="26"/>
          <w:lang w:val="es-ES"/>
        </w:rPr>
        <w:lastRenderedPageBreak/>
        <w:t>financiamiento durante 2014</w:t>
      </w:r>
      <w:r>
        <w:rPr>
          <w:sz w:val="26"/>
          <w:szCs w:val="26"/>
          <w:lang w:val="es-ES"/>
        </w:rPr>
        <w:t xml:space="preserve"> </w:t>
      </w:r>
      <w:r w:rsidRPr="001C7546">
        <w:rPr>
          <w:sz w:val="26"/>
          <w:szCs w:val="26"/>
          <w:lang w:val="es-ES"/>
        </w:rPr>
        <w:t>respecto al año previo (</w:t>
      </w:r>
      <w:r>
        <w:rPr>
          <w:sz w:val="26"/>
          <w:szCs w:val="26"/>
          <w:lang w:val="es-ES"/>
        </w:rPr>
        <w:t>g</w:t>
      </w:r>
      <w:r w:rsidRPr="001C7546">
        <w:rPr>
          <w:sz w:val="26"/>
          <w:szCs w:val="26"/>
          <w:lang w:val="es-ES"/>
        </w:rPr>
        <w:t xml:space="preserve">ráfica </w:t>
      </w:r>
      <w:r>
        <w:rPr>
          <w:sz w:val="26"/>
          <w:szCs w:val="26"/>
          <w:lang w:val="es-ES"/>
        </w:rPr>
        <w:t>siguiente</w:t>
      </w:r>
      <w:r w:rsidRPr="001C7546">
        <w:rPr>
          <w:sz w:val="26"/>
          <w:szCs w:val="26"/>
          <w:lang w:val="es-ES"/>
        </w:rPr>
        <w:t>). Es de destacar</w:t>
      </w:r>
      <w:r>
        <w:rPr>
          <w:sz w:val="26"/>
          <w:szCs w:val="26"/>
          <w:lang w:val="es-ES"/>
        </w:rPr>
        <w:t xml:space="preserve"> </w:t>
      </w:r>
      <w:r w:rsidRPr="001C7546">
        <w:rPr>
          <w:sz w:val="26"/>
          <w:szCs w:val="26"/>
          <w:lang w:val="es-ES"/>
        </w:rPr>
        <w:t>que este repunte se concentró, principalmente, en</w:t>
      </w:r>
      <w:r>
        <w:rPr>
          <w:sz w:val="26"/>
          <w:szCs w:val="26"/>
          <w:lang w:val="es-ES"/>
        </w:rPr>
        <w:t xml:space="preserve"> </w:t>
      </w:r>
      <w:r w:rsidRPr="001C7546">
        <w:rPr>
          <w:sz w:val="26"/>
          <w:szCs w:val="26"/>
          <w:lang w:val="es-ES"/>
        </w:rPr>
        <w:t>las regiones norte y centro del país.</w:t>
      </w:r>
    </w:p>
    <w:p w14:paraId="1C18478C" w14:textId="77777777" w:rsidR="00BC6B56" w:rsidRDefault="00BC6B56" w:rsidP="00BC6B56">
      <w:pPr>
        <w:spacing w:after="360" w:line="360" w:lineRule="auto"/>
        <w:ind w:right="-159"/>
        <w:jc w:val="both"/>
        <w:rPr>
          <w:sz w:val="26"/>
          <w:szCs w:val="26"/>
          <w:lang w:val="es-ES"/>
        </w:rPr>
      </w:pPr>
      <w:r w:rsidRPr="001C7546">
        <w:rPr>
          <w:sz w:val="26"/>
          <w:szCs w:val="26"/>
          <w:lang w:val="es-ES"/>
        </w:rPr>
        <w:t>Es importante señalar que uno de los motores de</w:t>
      </w:r>
      <w:r>
        <w:rPr>
          <w:sz w:val="26"/>
          <w:szCs w:val="26"/>
          <w:lang w:val="es-ES"/>
        </w:rPr>
        <w:t xml:space="preserve"> </w:t>
      </w:r>
      <w:r w:rsidRPr="001C7546">
        <w:rPr>
          <w:sz w:val="26"/>
          <w:szCs w:val="26"/>
          <w:lang w:val="es-ES"/>
        </w:rPr>
        <w:t>esta recuperación es el nuevo modelo de desarrollo</w:t>
      </w:r>
      <w:r>
        <w:rPr>
          <w:sz w:val="26"/>
          <w:szCs w:val="26"/>
          <w:lang w:val="es-ES"/>
        </w:rPr>
        <w:t xml:space="preserve"> </w:t>
      </w:r>
      <w:r w:rsidRPr="001C7546">
        <w:rPr>
          <w:sz w:val="26"/>
          <w:szCs w:val="26"/>
          <w:lang w:val="es-ES"/>
        </w:rPr>
        <w:t>de vivienda plasmado en el Programa Nacional de</w:t>
      </w:r>
      <w:r>
        <w:rPr>
          <w:sz w:val="26"/>
          <w:szCs w:val="26"/>
          <w:lang w:val="es-ES"/>
        </w:rPr>
        <w:t xml:space="preserve"> </w:t>
      </w:r>
      <w:r w:rsidRPr="001C7546">
        <w:rPr>
          <w:sz w:val="26"/>
          <w:szCs w:val="26"/>
          <w:lang w:val="es-ES"/>
        </w:rPr>
        <w:t>Vivienda 2014-2018, el cual pretende, entre otras</w:t>
      </w:r>
      <w:r>
        <w:rPr>
          <w:sz w:val="26"/>
          <w:szCs w:val="26"/>
          <w:lang w:val="es-ES"/>
        </w:rPr>
        <w:t xml:space="preserve"> </w:t>
      </w:r>
      <w:r w:rsidRPr="001C7546">
        <w:rPr>
          <w:sz w:val="26"/>
          <w:szCs w:val="26"/>
          <w:lang w:val="es-ES"/>
        </w:rPr>
        <w:t>cosas, que las ciudades del país sean más</w:t>
      </w:r>
      <w:r>
        <w:rPr>
          <w:sz w:val="26"/>
          <w:szCs w:val="26"/>
          <w:lang w:val="es-ES"/>
        </w:rPr>
        <w:t xml:space="preserve"> </w:t>
      </w:r>
      <w:r w:rsidRPr="001C7546">
        <w:rPr>
          <w:sz w:val="26"/>
          <w:szCs w:val="26"/>
          <w:lang w:val="es-ES"/>
        </w:rPr>
        <w:t>compactas, mejor conectadas y más ordenadas.</w:t>
      </w:r>
      <w:r>
        <w:rPr>
          <w:sz w:val="26"/>
          <w:szCs w:val="26"/>
          <w:lang w:val="es-ES"/>
        </w:rPr>
        <w:t xml:space="preserve"> </w:t>
      </w:r>
      <w:r w:rsidRPr="001C7546">
        <w:rPr>
          <w:sz w:val="26"/>
          <w:szCs w:val="26"/>
          <w:lang w:val="es-ES"/>
        </w:rPr>
        <w:t>Así, la definición de esta estrategia ha dado mayor</w:t>
      </w:r>
      <w:r>
        <w:rPr>
          <w:sz w:val="26"/>
          <w:szCs w:val="26"/>
          <w:lang w:val="es-ES"/>
        </w:rPr>
        <w:t xml:space="preserve"> </w:t>
      </w:r>
      <w:r w:rsidRPr="001C7546">
        <w:rPr>
          <w:sz w:val="26"/>
          <w:szCs w:val="26"/>
          <w:lang w:val="es-ES"/>
        </w:rPr>
        <w:t>certidumbre a los participantes del sector,</w:t>
      </w:r>
      <w:r>
        <w:rPr>
          <w:sz w:val="26"/>
          <w:szCs w:val="26"/>
          <w:lang w:val="es-ES"/>
        </w:rPr>
        <w:t xml:space="preserve"> </w:t>
      </w:r>
      <w:r w:rsidRPr="001C7546">
        <w:rPr>
          <w:sz w:val="26"/>
          <w:szCs w:val="26"/>
          <w:lang w:val="es-ES"/>
        </w:rPr>
        <w:t>reanimando tanto la oferta como la demanda de</w:t>
      </w:r>
      <w:r>
        <w:rPr>
          <w:sz w:val="26"/>
          <w:szCs w:val="26"/>
          <w:lang w:val="es-ES"/>
        </w:rPr>
        <w:t xml:space="preserve"> </w:t>
      </w:r>
      <w:r w:rsidRPr="001C7546">
        <w:rPr>
          <w:sz w:val="26"/>
          <w:szCs w:val="26"/>
          <w:lang w:val="es-ES"/>
        </w:rPr>
        <w:t>vivienda. Lo anterior es congruente con los</w:t>
      </w:r>
      <w:r>
        <w:rPr>
          <w:sz w:val="26"/>
          <w:szCs w:val="26"/>
          <w:lang w:val="es-ES"/>
        </w:rPr>
        <w:t xml:space="preserve"> </w:t>
      </w:r>
      <w:r w:rsidRPr="001C7546">
        <w:rPr>
          <w:sz w:val="26"/>
          <w:szCs w:val="26"/>
          <w:lang w:val="es-ES"/>
        </w:rPr>
        <w:t>mensajes derivados de entrevistas con directivos</w:t>
      </w:r>
      <w:r>
        <w:rPr>
          <w:sz w:val="26"/>
          <w:szCs w:val="26"/>
          <w:lang w:val="es-ES"/>
        </w:rPr>
        <w:t xml:space="preserve"> </w:t>
      </w:r>
      <w:r w:rsidRPr="001C7546">
        <w:rPr>
          <w:sz w:val="26"/>
          <w:szCs w:val="26"/>
          <w:lang w:val="es-ES"/>
        </w:rPr>
        <w:t>empresariales consultados por el Banco de México</w:t>
      </w:r>
      <w:r>
        <w:rPr>
          <w:sz w:val="26"/>
          <w:szCs w:val="26"/>
          <w:lang w:val="es-ES"/>
        </w:rPr>
        <w:t xml:space="preserve"> </w:t>
      </w:r>
      <w:r w:rsidRPr="001C7546">
        <w:rPr>
          <w:sz w:val="26"/>
          <w:szCs w:val="26"/>
          <w:lang w:val="es-ES"/>
        </w:rPr>
        <w:t>para la elaboración de este Reporte.</w:t>
      </w:r>
    </w:p>
    <w:p w14:paraId="6A7D99DA" w14:textId="77777777" w:rsidR="00BC6B56" w:rsidRDefault="00BC6B56" w:rsidP="00BC6B56">
      <w:pPr>
        <w:spacing w:after="360" w:line="360" w:lineRule="auto"/>
        <w:ind w:right="-159"/>
        <w:jc w:val="both"/>
        <w:rPr>
          <w:sz w:val="26"/>
          <w:szCs w:val="26"/>
          <w:lang w:val="es-ES"/>
        </w:rPr>
      </w:pPr>
      <w:r w:rsidRPr="001C7546">
        <w:rPr>
          <w:sz w:val="26"/>
          <w:szCs w:val="26"/>
          <w:lang w:val="es-ES"/>
        </w:rPr>
        <w:t>En particular, los directivos consultados destacaron</w:t>
      </w:r>
      <w:r>
        <w:rPr>
          <w:sz w:val="26"/>
          <w:szCs w:val="26"/>
          <w:lang w:val="es-ES"/>
        </w:rPr>
        <w:t xml:space="preserve"> </w:t>
      </w:r>
      <w:r w:rsidRPr="001C7546">
        <w:rPr>
          <w:sz w:val="26"/>
          <w:szCs w:val="26"/>
          <w:lang w:val="es-ES"/>
        </w:rPr>
        <w:t>que la recuperación del sector durante 2014 se dio</w:t>
      </w:r>
      <w:r>
        <w:rPr>
          <w:sz w:val="26"/>
          <w:szCs w:val="26"/>
          <w:lang w:val="es-ES"/>
        </w:rPr>
        <w:t xml:space="preserve"> </w:t>
      </w:r>
      <w:r w:rsidRPr="001C7546">
        <w:rPr>
          <w:sz w:val="26"/>
          <w:szCs w:val="26"/>
          <w:lang w:val="es-ES"/>
        </w:rPr>
        <w:t>en un contexto de mayores facilidades para la</w:t>
      </w:r>
      <w:r>
        <w:rPr>
          <w:sz w:val="26"/>
          <w:szCs w:val="26"/>
          <w:lang w:val="es-ES"/>
        </w:rPr>
        <w:t xml:space="preserve"> </w:t>
      </w:r>
      <w:r w:rsidRPr="001C7546">
        <w:rPr>
          <w:sz w:val="26"/>
          <w:szCs w:val="26"/>
          <w:lang w:val="es-ES"/>
        </w:rPr>
        <w:t>obtención de créditos destinados a la adquisición y</w:t>
      </w:r>
      <w:r>
        <w:rPr>
          <w:sz w:val="26"/>
          <w:szCs w:val="26"/>
          <w:lang w:val="es-ES"/>
        </w:rPr>
        <w:t xml:space="preserve"> </w:t>
      </w:r>
      <w:r w:rsidRPr="001C7546">
        <w:rPr>
          <w:sz w:val="26"/>
          <w:szCs w:val="26"/>
          <w:lang w:val="es-ES"/>
        </w:rPr>
        <w:t>mejoramiento de vivienda, así como de mayor</w:t>
      </w:r>
      <w:r>
        <w:rPr>
          <w:sz w:val="26"/>
          <w:szCs w:val="26"/>
          <w:lang w:val="es-ES"/>
        </w:rPr>
        <w:t xml:space="preserve"> </w:t>
      </w:r>
      <w:r w:rsidRPr="001C7546">
        <w:rPr>
          <w:sz w:val="26"/>
          <w:szCs w:val="26"/>
          <w:lang w:val="es-ES"/>
        </w:rPr>
        <w:t>financiamiento para los desarrolladores.</w:t>
      </w:r>
    </w:p>
    <w:p w14:paraId="6F8431C9" w14:textId="77777777" w:rsidR="00BC6B56" w:rsidRDefault="00BC6B56" w:rsidP="00BC6B56">
      <w:pPr>
        <w:spacing w:after="360" w:line="360" w:lineRule="auto"/>
        <w:ind w:right="-159"/>
        <w:jc w:val="both"/>
        <w:rPr>
          <w:sz w:val="26"/>
          <w:szCs w:val="26"/>
          <w:lang w:val="es-ES"/>
        </w:rPr>
      </w:pPr>
    </w:p>
    <w:p w14:paraId="3D76D3F2" w14:textId="77777777" w:rsidR="00BC6B56" w:rsidRDefault="00BC6B56" w:rsidP="00BC6B56">
      <w:pPr>
        <w:spacing w:after="360" w:line="360" w:lineRule="auto"/>
        <w:ind w:right="-159"/>
        <w:jc w:val="both"/>
        <w:rPr>
          <w:sz w:val="26"/>
          <w:szCs w:val="26"/>
          <w:lang w:val="es-ES"/>
        </w:rPr>
      </w:pPr>
    </w:p>
    <w:p w14:paraId="12ADC25C" w14:textId="77777777" w:rsidR="00BC6B56" w:rsidRDefault="00BC6B56" w:rsidP="00BC6B56">
      <w:pPr>
        <w:spacing w:after="360" w:line="360" w:lineRule="auto"/>
        <w:ind w:right="-159"/>
        <w:jc w:val="both"/>
        <w:rPr>
          <w:sz w:val="26"/>
          <w:szCs w:val="26"/>
          <w:lang w:val="es-ES"/>
        </w:rPr>
      </w:pPr>
    </w:p>
    <w:p w14:paraId="2F05F5ED" w14:textId="77777777" w:rsidR="00BC6B56" w:rsidRDefault="00BC6B56" w:rsidP="00BC6B56">
      <w:pPr>
        <w:spacing w:after="360" w:line="360" w:lineRule="auto"/>
        <w:ind w:right="-159"/>
        <w:jc w:val="both"/>
        <w:rPr>
          <w:sz w:val="26"/>
          <w:szCs w:val="26"/>
          <w:lang w:val="es-ES"/>
        </w:rPr>
      </w:pPr>
    </w:p>
    <w:p w14:paraId="12B848E9" w14:textId="77777777" w:rsidR="00BC6B56" w:rsidRDefault="00BC6B56" w:rsidP="00BC6B56">
      <w:pPr>
        <w:spacing w:after="360" w:line="360" w:lineRule="auto"/>
        <w:ind w:right="-159"/>
        <w:jc w:val="both"/>
        <w:rPr>
          <w:sz w:val="26"/>
          <w:szCs w:val="26"/>
          <w:lang w:val="es-ES"/>
        </w:rPr>
      </w:pPr>
    </w:p>
    <w:p w14:paraId="42D1D4E2" w14:textId="77777777" w:rsidR="00BC6B56" w:rsidRDefault="00BC6B56" w:rsidP="00BC6B56">
      <w:pPr>
        <w:spacing w:after="360" w:line="360" w:lineRule="auto"/>
        <w:ind w:right="-159"/>
        <w:jc w:val="both"/>
        <w:rPr>
          <w:sz w:val="26"/>
          <w:szCs w:val="26"/>
          <w:lang w:val="es-ES"/>
        </w:rPr>
      </w:pPr>
    </w:p>
    <w:p w14:paraId="06E0AB76" w14:textId="77777777" w:rsidR="00BC6B56" w:rsidRDefault="00BC6B56" w:rsidP="00BC6B56">
      <w:pPr>
        <w:spacing w:after="360" w:line="360" w:lineRule="auto"/>
        <w:ind w:right="-159"/>
        <w:jc w:val="both"/>
        <w:rPr>
          <w:sz w:val="26"/>
          <w:szCs w:val="26"/>
          <w:lang w:val="es-ES"/>
        </w:rPr>
      </w:pPr>
    </w:p>
    <w:tbl>
      <w:tblPr>
        <w:tblStyle w:val="Tablaconcuadrcula"/>
        <w:tblW w:w="920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09"/>
      </w:tblGrid>
      <w:tr w:rsidR="00BC6B56" w:rsidRPr="00200185" w14:paraId="697342C5" w14:textId="77777777" w:rsidTr="00447800">
        <w:trPr>
          <w:jc w:val="center"/>
        </w:trPr>
        <w:tc>
          <w:tcPr>
            <w:tcW w:w="9209" w:type="dxa"/>
          </w:tcPr>
          <w:p w14:paraId="741E7AAC" w14:textId="77777777" w:rsidR="00BC6B56" w:rsidRPr="008A4614" w:rsidRDefault="00BC6B56" w:rsidP="00447800">
            <w:pPr>
              <w:jc w:val="center"/>
              <w:rPr>
                <w:b/>
                <w:szCs w:val="26"/>
                <w:lang w:val="es-ES"/>
              </w:rPr>
            </w:pPr>
            <w:r w:rsidRPr="008A4614">
              <w:rPr>
                <w:b/>
                <w:szCs w:val="26"/>
                <w:lang w:val="es-ES"/>
              </w:rPr>
              <w:lastRenderedPageBreak/>
              <w:t>FINANCIAMIENTO TOTAL DE ORGANISMOS DE VIVIENDA</w:t>
            </w:r>
            <w:r w:rsidRPr="008A4614">
              <w:rPr>
                <w:b/>
                <w:szCs w:val="26"/>
                <w:u w:val="single"/>
                <w:vertAlign w:val="superscript"/>
                <w:lang w:val="es-ES"/>
              </w:rPr>
              <w:t>1</w:t>
            </w:r>
            <w:r w:rsidRPr="008A4614">
              <w:rPr>
                <w:b/>
                <w:szCs w:val="26"/>
                <w:vertAlign w:val="superscript"/>
                <w:lang w:val="es-ES"/>
              </w:rPr>
              <w:t>/</w:t>
            </w:r>
          </w:p>
          <w:p w14:paraId="50550A26" w14:textId="77777777" w:rsidR="00BC6B56" w:rsidRPr="00200185" w:rsidRDefault="00BC6B56" w:rsidP="00447800">
            <w:pPr>
              <w:jc w:val="center"/>
              <w:rPr>
                <w:b/>
                <w:szCs w:val="26"/>
                <w:lang w:val="es-ES"/>
              </w:rPr>
            </w:pPr>
            <w:r>
              <w:rPr>
                <w:b/>
                <w:szCs w:val="26"/>
                <w:lang w:val="es-ES"/>
              </w:rPr>
              <w:t>-</w:t>
            </w:r>
            <w:r w:rsidRPr="008A4614">
              <w:rPr>
                <w:b/>
                <w:szCs w:val="26"/>
                <w:lang w:val="es-ES"/>
              </w:rPr>
              <w:t>Miles de millones de pesos a precios de la segunda</w:t>
            </w:r>
            <w:r>
              <w:rPr>
                <w:b/>
                <w:szCs w:val="26"/>
                <w:lang w:val="es-ES"/>
              </w:rPr>
              <w:t xml:space="preserve"> </w:t>
            </w:r>
            <w:r w:rsidRPr="008A4614">
              <w:rPr>
                <w:b/>
                <w:szCs w:val="26"/>
                <w:lang w:val="es-ES"/>
              </w:rPr>
              <w:t>quincena de diciembre 2010</w:t>
            </w:r>
            <w:r>
              <w:rPr>
                <w:b/>
                <w:szCs w:val="26"/>
                <w:lang w:val="es-ES"/>
              </w:rPr>
              <w:t>-</w:t>
            </w:r>
          </w:p>
        </w:tc>
      </w:tr>
      <w:tr w:rsidR="00BC6B56" w:rsidRPr="00DB2C4F" w14:paraId="6AA1D997" w14:textId="77777777" w:rsidTr="00447800">
        <w:trPr>
          <w:jc w:val="center"/>
        </w:trPr>
        <w:tc>
          <w:tcPr>
            <w:tcW w:w="9209" w:type="dxa"/>
          </w:tcPr>
          <w:p w14:paraId="05D58026" w14:textId="77777777" w:rsidR="00BC6B56" w:rsidRPr="00DB2C4F" w:rsidRDefault="00BC6B56" w:rsidP="00447800">
            <w:pPr>
              <w:jc w:val="center"/>
              <w:rPr>
                <w:szCs w:val="26"/>
                <w:lang w:val="es-ES"/>
              </w:rPr>
            </w:pPr>
            <w:r w:rsidRPr="008A4614">
              <w:rPr>
                <w:noProof/>
                <w:szCs w:val="26"/>
                <w:lang w:eastAsia="es-MX"/>
              </w:rPr>
              <w:drawing>
                <wp:inline distT="0" distB="0" distL="0" distR="0" wp14:anchorId="02F28781" wp14:editId="2D44FEA9">
                  <wp:extent cx="4922729" cy="3060000"/>
                  <wp:effectExtent l="0" t="0" r="0" b="0"/>
                  <wp:docPr id="1669" name="Imagen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t="4272" b="2483"/>
                          <a:stretch/>
                        </pic:blipFill>
                        <pic:spPr bwMode="auto">
                          <a:xfrm>
                            <a:off x="0" y="0"/>
                            <a:ext cx="4922729" cy="30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C6B56" w:rsidRPr="00DB2C4F" w14:paraId="3E4E1660" w14:textId="77777777" w:rsidTr="00447800">
        <w:trPr>
          <w:jc w:val="center"/>
        </w:trPr>
        <w:tc>
          <w:tcPr>
            <w:tcW w:w="9209" w:type="dxa"/>
          </w:tcPr>
          <w:p w14:paraId="5E256100" w14:textId="77777777" w:rsidR="00BC6B56" w:rsidRPr="008A4614" w:rsidRDefault="00BC6B56" w:rsidP="00447800">
            <w:pPr>
              <w:ind w:left="802" w:right="879" w:hanging="201"/>
              <w:jc w:val="both"/>
              <w:rPr>
                <w:sz w:val="20"/>
                <w:szCs w:val="26"/>
                <w:lang w:val="es-ES"/>
              </w:rPr>
            </w:pPr>
            <w:r w:rsidRPr="008A4614">
              <w:rPr>
                <w:sz w:val="20"/>
                <w:szCs w:val="26"/>
                <w:u w:val="single"/>
                <w:lang w:val="es-ES"/>
              </w:rPr>
              <w:t>1</w:t>
            </w:r>
            <w:r w:rsidRPr="008A4614">
              <w:rPr>
                <w:sz w:val="20"/>
                <w:szCs w:val="26"/>
                <w:lang w:val="es-ES"/>
              </w:rPr>
              <w:t>/ Incluye el financiamiento otorgado por INFONAVIT,</w:t>
            </w:r>
            <w:r>
              <w:rPr>
                <w:sz w:val="20"/>
                <w:szCs w:val="26"/>
                <w:lang w:val="es-ES"/>
              </w:rPr>
              <w:t xml:space="preserve"> </w:t>
            </w:r>
            <w:r w:rsidRPr="008A4614">
              <w:rPr>
                <w:sz w:val="20"/>
                <w:szCs w:val="26"/>
                <w:lang w:val="es-ES"/>
              </w:rPr>
              <w:t>FOVISSSTE, SHF, Banca Comercial, FONHAPO y otros</w:t>
            </w:r>
            <w:r>
              <w:rPr>
                <w:sz w:val="20"/>
                <w:szCs w:val="26"/>
                <w:lang w:val="es-ES"/>
              </w:rPr>
              <w:t xml:space="preserve"> </w:t>
            </w:r>
            <w:r w:rsidRPr="008A4614">
              <w:rPr>
                <w:sz w:val="20"/>
                <w:szCs w:val="26"/>
                <w:lang w:val="es-ES"/>
              </w:rPr>
              <w:t>organismos (ISSFAM, Orevis, Hábitat de México, Banjercito,</w:t>
            </w:r>
            <w:r>
              <w:rPr>
                <w:sz w:val="20"/>
                <w:szCs w:val="26"/>
                <w:lang w:val="es-ES"/>
              </w:rPr>
              <w:t xml:space="preserve"> </w:t>
            </w:r>
            <w:r w:rsidRPr="008A4614">
              <w:rPr>
                <w:sz w:val="20"/>
                <w:szCs w:val="26"/>
                <w:lang w:val="es-ES"/>
              </w:rPr>
              <w:t>CFE y Pemex).</w:t>
            </w:r>
          </w:p>
          <w:p w14:paraId="5B073376" w14:textId="77777777" w:rsidR="00BC6B56" w:rsidRPr="00DB2C4F" w:rsidRDefault="00BC6B56" w:rsidP="00447800">
            <w:pPr>
              <w:ind w:left="1502" w:right="879" w:hanging="901"/>
              <w:jc w:val="both"/>
              <w:rPr>
                <w:sz w:val="20"/>
                <w:szCs w:val="26"/>
                <w:lang w:val="es-ES"/>
              </w:rPr>
            </w:pPr>
            <w:r w:rsidRPr="008A4614">
              <w:rPr>
                <w:sz w:val="20"/>
                <w:szCs w:val="26"/>
                <w:lang w:val="es-ES"/>
              </w:rPr>
              <w:t>FUENTE: CONAVI.</w:t>
            </w:r>
          </w:p>
        </w:tc>
      </w:tr>
    </w:tbl>
    <w:p w14:paraId="54BD38EA" w14:textId="77777777" w:rsidR="00BC6B56" w:rsidRDefault="00BC6B56" w:rsidP="00BC6B56">
      <w:pPr>
        <w:spacing w:after="360" w:line="360" w:lineRule="auto"/>
        <w:ind w:right="-159"/>
        <w:jc w:val="both"/>
        <w:rPr>
          <w:sz w:val="26"/>
          <w:szCs w:val="26"/>
          <w:lang w:val="es-ES"/>
        </w:rPr>
      </w:pPr>
    </w:p>
    <w:p w14:paraId="7A3D5341" w14:textId="77777777" w:rsidR="00BC6B56" w:rsidRPr="001C7546" w:rsidRDefault="00BC6B56" w:rsidP="00BC6B56">
      <w:pPr>
        <w:spacing w:after="360" w:line="360" w:lineRule="auto"/>
        <w:ind w:right="-159"/>
        <w:jc w:val="both"/>
        <w:rPr>
          <w:b/>
          <w:sz w:val="26"/>
          <w:szCs w:val="26"/>
          <w:lang w:val="es-ES"/>
        </w:rPr>
      </w:pPr>
      <w:r w:rsidRPr="001C7546">
        <w:rPr>
          <w:b/>
          <w:sz w:val="26"/>
          <w:szCs w:val="26"/>
          <w:lang w:val="es-ES"/>
        </w:rPr>
        <w:t>3. Perspectivas del Sector Vivienda</w:t>
      </w:r>
    </w:p>
    <w:p w14:paraId="1DAFD42F" w14:textId="77777777" w:rsidR="00BC6B56" w:rsidRDefault="00BC6B56" w:rsidP="00BC6B56">
      <w:pPr>
        <w:spacing w:after="360" w:line="360" w:lineRule="auto"/>
        <w:ind w:right="-159"/>
        <w:jc w:val="both"/>
        <w:rPr>
          <w:sz w:val="26"/>
          <w:szCs w:val="26"/>
          <w:lang w:val="es-ES"/>
        </w:rPr>
      </w:pPr>
      <w:r w:rsidRPr="001C7546">
        <w:rPr>
          <w:sz w:val="26"/>
          <w:szCs w:val="26"/>
          <w:lang w:val="es-ES"/>
        </w:rPr>
        <w:t>En el contexto descrito, resulta relevante el anuncio</w:t>
      </w:r>
      <w:r>
        <w:rPr>
          <w:sz w:val="26"/>
          <w:szCs w:val="26"/>
          <w:lang w:val="es-ES"/>
        </w:rPr>
        <w:t xml:space="preserve"> </w:t>
      </w:r>
      <w:r w:rsidRPr="001C7546">
        <w:rPr>
          <w:sz w:val="26"/>
          <w:szCs w:val="26"/>
          <w:lang w:val="es-ES"/>
        </w:rPr>
        <w:t>realizado por el Gobierno Federal al inicio de 2015</w:t>
      </w:r>
      <w:r>
        <w:rPr>
          <w:sz w:val="26"/>
          <w:szCs w:val="26"/>
          <w:lang w:val="es-ES"/>
        </w:rPr>
        <w:t xml:space="preserve"> </w:t>
      </w:r>
      <w:r w:rsidRPr="001C7546">
        <w:rPr>
          <w:sz w:val="26"/>
          <w:szCs w:val="26"/>
          <w:lang w:val="es-ES"/>
        </w:rPr>
        <w:t>referente a la aplicación de una nueva serie de</w:t>
      </w:r>
      <w:r>
        <w:rPr>
          <w:sz w:val="26"/>
          <w:szCs w:val="26"/>
          <w:lang w:val="es-ES"/>
        </w:rPr>
        <w:t xml:space="preserve"> </w:t>
      </w:r>
      <w:r w:rsidRPr="001C7546">
        <w:rPr>
          <w:sz w:val="26"/>
          <w:szCs w:val="26"/>
          <w:lang w:val="es-ES"/>
        </w:rPr>
        <w:t>medidas que, en principio, vendrían a reforzar el</w:t>
      </w:r>
      <w:r>
        <w:rPr>
          <w:sz w:val="26"/>
          <w:szCs w:val="26"/>
          <w:lang w:val="es-ES"/>
        </w:rPr>
        <w:t xml:space="preserve"> </w:t>
      </w:r>
      <w:r w:rsidRPr="001C7546">
        <w:rPr>
          <w:sz w:val="26"/>
          <w:szCs w:val="26"/>
          <w:lang w:val="es-ES"/>
        </w:rPr>
        <w:t>impulso retomado por el sector de la construcción</w:t>
      </w:r>
      <w:r>
        <w:rPr>
          <w:sz w:val="26"/>
          <w:szCs w:val="26"/>
          <w:lang w:val="es-ES"/>
        </w:rPr>
        <w:t xml:space="preserve"> </w:t>
      </w:r>
      <w:r w:rsidRPr="001C7546">
        <w:rPr>
          <w:sz w:val="26"/>
          <w:szCs w:val="26"/>
          <w:lang w:val="es-ES"/>
        </w:rPr>
        <w:t>residencial el año anterior. En el primer grupo están</w:t>
      </w:r>
      <w:r>
        <w:rPr>
          <w:sz w:val="26"/>
          <w:szCs w:val="26"/>
          <w:lang w:val="es-ES"/>
        </w:rPr>
        <w:t xml:space="preserve"> </w:t>
      </w:r>
      <w:r w:rsidRPr="001C7546">
        <w:rPr>
          <w:sz w:val="26"/>
          <w:szCs w:val="26"/>
          <w:lang w:val="es-ES"/>
        </w:rPr>
        <w:t>aquellas medidas dedicadas a impulsar la</w:t>
      </w:r>
      <w:r>
        <w:rPr>
          <w:sz w:val="26"/>
          <w:szCs w:val="26"/>
          <w:lang w:val="es-ES"/>
        </w:rPr>
        <w:t xml:space="preserve"> </w:t>
      </w:r>
      <w:r w:rsidRPr="001C7546">
        <w:rPr>
          <w:sz w:val="26"/>
          <w:szCs w:val="26"/>
          <w:lang w:val="es-ES"/>
        </w:rPr>
        <w:t>adquisición de vivienda mediante una simplificación</w:t>
      </w:r>
      <w:r>
        <w:rPr>
          <w:sz w:val="26"/>
          <w:szCs w:val="26"/>
          <w:lang w:val="es-ES"/>
        </w:rPr>
        <w:t xml:space="preserve"> </w:t>
      </w:r>
      <w:r w:rsidRPr="001C7546">
        <w:rPr>
          <w:sz w:val="26"/>
          <w:szCs w:val="26"/>
          <w:lang w:val="es-ES"/>
        </w:rPr>
        <w:t>de trámites y reducción de tasas de interés, así</w:t>
      </w:r>
      <w:r>
        <w:rPr>
          <w:sz w:val="26"/>
          <w:szCs w:val="26"/>
          <w:lang w:val="es-ES"/>
        </w:rPr>
        <w:t xml:space="preserve"> </w:t>
      </w:r>
      <w:r w:rsidRPr="001C7546">
        <w:rPr>
          <w:sz w:val="26"/>
          <w:szCs w:val="26"/>
          <w:lang w:val="es-ES"/>
        </w:rPr>
        <w:t>como el otorgamiento de subsidios. El segundo</w:t>
      </w:r>
      <w:r>
        <w:rPr>
          <w:sz w:val="26"/>
          <w:szCs w:val="26"/>
          <w:lang w:val="es-ES"/>
        </w:rPr>
        <w:t xml:space="preserve"> </w:t>
      </w:r>
      <w:r w:rsidRPr="001C7546">
        <w:rPr>
          <w:sz w:val="26"/>
          <w:szCs w:val="26"/>
          <w:lang w:val="es-ES"/>
        </w:rPr>
        <w:t>paquete considera medidas para que las personas</w:t>
      </w:r>
      <w:r>
        <w:rPr>
          <w:sz w:val="26"/>
          <w:szCs w:val="26"/>
          <w:lang w:val="es-ES"/>
        </w:rPr>
        <w:t xml:space="preserve"> </w:t>
      </w:r>
      <w:r w:rsidRPr="001C7546">
        <w:rPr>
          <w:sz w:val="26"/>
          <w:szCs w:val="26"/>
          <w:lang w:val="es-ES"/>
        </w:rPr>
        <w:t>que se integren al sector formal tengan acceso a</w:t>
      </w:r>
      <w:r>
        <w:rPr>
          <w:sz w:val="26"/>
          <w:szCs w:val="26"/>
          <w:lang w:val="es-ES"/>
        </w:rPr>
        <w:t xml:space="preserve"> </w:t>
      </w:r>
      <w:r w:rsidRPr="001C7546">
        <w:rPr>
          <w:sz w:val="26"/>
          <w:szCs w:val="26"/>
          <w:lang w:val="es-ES"/>
        </w:rPr>
        <w:t>créditos para mejorar su vivienda o para construir en</w:t>
      </w:r>
      <w:r>
        <w:rPr>
          <w:sz w:val="26"/>
          <w:szCs w:val="26"/>
          <w:lang w:val="es-ES"/>
        </w:rPr>
        <w:t xml:space="preserve"> </w:t>
      </w:r>
      <w:r w:rsidRPr="001C7546">
        <w:rPr>
          <w:sz w:val="26"/>
          <w:szCs w:val="26"/>
          <w:lang w:val="es-ES"/>
        </w:rPr>
        <w:t>terreno propio. El tercer paquete fomenta la</w:t>
      </w:r>
      <w:r>
        <w:rPr>
          <w:sz w:val="26"/>
          <w:szCs w:val="26"/>
          <w:lang w:val="es-ES"/>
        </w:rPr>
        <w:t xml:space="preserve"> </w:t>
      </w:r>
      <w:r w:rsidRPr="001C7546">
        <w:rPr>
          <w:sz w:val="26"/>
          <w:szCs w:val="26"/>
          <w:lang w:val="es-ES"/>
        </w:rPr>
        <w:t>adquisición de vivienda entre grupos poblacionales</w:t>
      </w:r>
      <w:r>
        <w:rPr>
          <w:sz w:val="26"/>
          <w:szCs w:val="26"/>
          <w:lang w:val="es-ES"/>
        </w:rPr>
        <w:t xml:space="preserve"> </w:t>
      </w:r>
      <w:r w:rsidRPr="001C7546">
        <w:rPr>
          <w:sz w:val="26"/>
          <w:szCs w:val="26"/>
          <w:lang w:val="es-ES"/>
        </w:rPr>
        <w:t>específicos. Finalmente, el último grupo contempla</w:t>
      </w:r>
      <w:r>
        <w:rPr>
          <w:sz w:val="26"/>
          <w:szCs w:val="26"/>
          <w:lang w:val="es-ES"/>
        </w:rPr>
        <w:t xml:space="preserve"> </w:t>
      </w:r>
      <w:r w:rsidRPr="001C7546">
        <w:rPr>
          <w:sz w:val="26"/>
          <w:szCs w:val="26"/>
          <w:lang w:val="es-ES"/>
        </w:rPr>
        <w:t>estímulos fiscales a las empresas constructoras</w:t>
      </w:r>
      <w:r>
        <w:rPr>
          <w:sz w:val="26"/>
          <w:szCs w:val="26"/>
          <w:lang w:val="es-ES"/>
        </w:rPr>
        <w:t xml:space="preserve"> </w:t>
      </w:r>
      <w:r w:rsidRPr="001C7546">
        <w:rPr>
          <w:sz w:val="26"/>
          <w:szCs w:val="26"/>
          <w:lang w:val="es-ES"/>
        </w:rPr>
        <w:t>para la edificación de vivienda nueva.</w:t>
      </w:r>
    </w:p>
    <w:p w14:paraId="7D6BD461" w14:textId="77777777" w:rsidR="00BC6B56" w:rsidRPr="00605696" w:rsidRDefault="00BC6B56" w:rsidP="00BC6B56">
      <w:pPr>
        <w:spacing w:after="360" w:line="360" w:lineRule="auto"/>
        <w:ind w:right="-159"/>
        <w:jc w:val="both"/>
        <w:rPr>
          <w:b/>
          <w:sz w:val="26"/>
          <w:szCs w:val="26"/>
          <w:lang w:val="es-ES"/>
        </w:rPr>
      </w:pPr>
      <w:r w:rsidRPr="00605696">
        <w:rPr>
          <w:b/>
          <w:sz w:val="26"/>
          <w:szCs w:val="26"/>
          <w:lang w:val="es-ES"/>
        </w:rPr>
        <w:lastRenderedPageBreak/>
        <w:t>4. Consideraciones Finales</w:t>
      </w:r>
    </w:p>
    <w:p w14:paraId="2CBF8E1E" w14:textId="77777777" w:rsidR="00BC6B56" w:rsidRDefault="00BC6B56" w:rsidP="00BC6B56">
      <w:pPr>
        <w:spacing w:after="360" w:line="360" w:lineRule="auto"/>
        <w:ind w:right="-159"/>
        <w:jc w:val="both"/>
        <w:rPr>
          <w:sz w:val="26"/>
          <w:szCs w:val="26"/>
          <w:lang w:val="es-ES"/>
        </w:rPr>
      </w:pPr>
      <w:r w:rsidRPr="001C7546">
        <w:rPr>
          <w:sz w:val="26"/>
          <w:szCs w:val="26"/>
          <w:lang w:val="es-ES"/>
        </w:rPr>
        <w:t>Diversos indicadores señalan una recuperación de</w:t>
      </w:r>
      <w:r>
        <w:rPr>
          <w:sz w:val="26"/>
          <w:szCs w:val="26"/>
          <w:lang w:val="es-ES"/>
        </w:rPr>
        <w:t xml:space="preserve"> </w:t>
      </w:r>
      <w:r w:rsidRPr="001C7546">
        <w:rPr>
          <w:sz w:val="26"/>
          <w:szCs w:val="26"/>
          <w:lang w:val="es-ES"/>
        </w:rPr>
        <w:t>la construcción privada residencial durante 2014 en</w:t>
      </w:r>
      <w:r>
        <w:rPr>
          <w:sz w:val="26"/>
          <w:szCs w:val="26"/>
          <w:lang w:val="es-ES"/>
        </w:rPr>
        <w:t xml:space="preserve"> </w:t>
      </w:r>
      <w:r w:rsidRPr="001C7546">
        <w:rPr>
          <w:sz w:val="26"/>
          <w:szCs w:val="26"/>
          <w:lang w:val="es-ES"/>
        </w:rPr>
        <w:t>todas las regiones del país. Dicha recuperación se</w:t>
      </w:r>
      <w:r>
        <w:rPr>
          <w:sz w:val="26"/>
          <w:szCs w:val="26"/>
          <w:lang w:val="es-ES"/>
        </w:rPr>
        <w:t xml:space="preserve"> </w:t>
      </w:r>
      <w:r w:rsidRPr="001C7546">
        <w:rPr>
          <w:sz w:val="26"/>
          <w:szCs w:val="26"/>
          <w:lang w:val="es-ES"/>
        </w:rPr>
        <w:t>observó principalmente en el segundo semestre de</w:t>
      </w:r>
      <w:r>
        <w:rPr>
          <w:sz w:val="26"/>
          <w:szCs w:val="26"/>
          <w:lang w:val="es-ES"/>
        </w:rPr>
        <w:t xml:space="preserve"> </w:t>
      </w:r>
      <w:r w:rsidRPr="001C7546">
        <w:rPr>
          <w:sz w:val="26"/>
          <w:szCs w:val="26"/>
          <w:lang w:val="es-ES"/>
        </w:rPr>
        <w:t>ese año. Adicionalmente, es previsible que la</w:t>
      </w:r>
      <w:r>
        <w:rPr>
          <w:sz w:val="26"/>
          <w:szCs w:val="26"/>
          <w:lang w:val="es-ES"/>
        </w:rPr>
        <w:t xml:space="preserve"> </w:t>
      </w:r>
      <w:r w:rsidRPr="001C7546">
        <w:rPr>
          <w:sz w:val="26"/>
          <w:szCs w:val="26"/>
          <w:lang w:val="es-ES"/>
        </w:rPr>
        <w:t>adecuada instrumentación de las medidas de</w:t>
      </w:r>
      <w:r>
        <w:rPr>
          <w:sz w:val="26"/>
          <w:szCs w:val="26"/>
          <w:lang w:val="es-ES"/>
        </w:rPr>
        <w:t xml:space="preserve"> </w:t>
      </w:r>
      <w:r w:rsidRPr="001C7546">
        <w:rPr>
          <w:sz w:val="26"/>
          <w:szCs w:val="26"/>
          <w:lang w:val="es-ES"/>
        </w:rPr>
        <w:t>impulso al sector anunciadas recientemente por el</w:t>
      </w:r>
      <w:r>
        <w:rPr>
          <w:sz w:val="26"/>
          <w:szCs w:val="26"/>
          <w:lang w:val="es-ES"/>
        </w:rPr>
        <w:t xml:space="preserve"> </w:t>
      </w:r>
      <w:r w:rsidRPr="001C7546">
        <w:rPr>
          <w:sz w:val="26"/>
          <w:szCs w:val="26"/>
          <w:lang w:val="es-ES"/>
        </w:rPr>
        <w:t>Gobierno Federal coadyuve en dicha consolidación.</w:t>
      </w:r>
    </w:p>
    <w:p w14:paraId="4BBBD88F" w14:textId="77777777" w:rsidR="00BC6B56" w:rsidRPr="00605696" w:rsidRDefault="00BC6B56" w:rsidP="00BC6B56">
      <w:pPr>
        <w:spacing w:after="360" w:line="360" w:lineRule="auto"/>
        <w:ind w:right="-159"/>
        <w:jc w:val="both"/>
        <w:rPr>
          <w:b/>
          <w:sz w:val="26"/>
          <w:szCs w:val="26"/>
          <w:lang w:val="es-ES"/>
        </w:rPr>
      </w:pPr>
      <w:r w:rsidRPr="00605696">
        <w:rPr>
          <w:b/>
          <w:sz w:val="26"/>
          <w:szCs w:val="26"/>
          <w:lang w:val="es-ES"/>
        </w:rPr>
        <w:t>1.2.3 Actividad Comercial</w:t>
      </w:r>
    </w:p>
    <w:p w14:paraId="006FC09E" w14:textId="77777777" w:rsidR="00BC6B56" w:rsidRDefault="00BC6B56" w:rsidP="00BC6B56">
      <w:pPr>
        <w:spacing w:after="360" w:line="360" w:lineRule="auto"/>
        <w:ind w:right="-159"/>
        <w:jc w:val="both"/>
        <w:rPr>
          <w:sz w:val="26"/>
          <w:szCs w:val="26"/>
          <w:lang w:val="es-ES"/>
        </w:rPr>
      </w:pPr>
      <w:r w:rsidRPr="001C7546">
        <w:rPr>
          <w:sz w:val="26"/>
          <w:szCs w:val="26"/>
          <w:lang w:val="es-ES"/>
        </w:rPr>
        <w:t>La actividad comercial al menudeo registró una expansión en el cuarto trimestre de</w:t>
      </w:r>
      <w:r>
        <w:rPr>
          <w:sz w:val="26"/>
          <w:szCs w:val="26"/>
          <w:lang w:val="es-ES"/>
        </w:rPr>
        <w:t xml:space="preserve"> 2014 respecto al mismo perí</w:t>
      </w:r>
      <w:r w:rsidRPr="001C7546">
        <w:rPr>
          <w:sz w:val="26"/>
          <w:szCs w:val="26"/>
          <w:lang w:val="es-ES"/>
        </w:rPr>
        <w:t>odo del año previo, aunque a un ritmo menor que el</w:t>
      </w:r>
      <w:r>
        <w:rPr>
          <w:sz w:val="26"/>
          <w:szCs w:val="26"/>
          <w:lang w:val="es-ES"/>
        </w:rPr>
        <w:t xml:space="preserve"> </w:t>
      </w:r>
      <w:r w:rsidRPr="001C7546">
        <w:rPr>
          <w:sz w:val="26"/>
          <w:szCs w:val="26"/>
          <w:lang w:val="es-ES"/>
        </w:rPr>
        <w:t>registrado en el trimestre anterior, comportamiento que se observa tanto a nivel</w:t>
      </w:r>
      <w:r>
        <w:rPr>
          <w:sz w:val="26"/>
          <w:szCs w:val="26"/>
          <w:lang w:val="es-ES"/>
        </w:rPr>
        <w:t xml:space="preserve"> </w:t>
      </w:r>
      <w:r w:rsidRPr="001C7546">
        <w:rPr>
          <w:sz w:val="26"/>
          <w:szCs w:val="26"/>
          <w:lang w:val="es-ES"/>
        </w:rPr>
        <w:t>regional como a nivel nacional (</w:t>
      </w:r>
      <w:r>
        <w:rPr>
          <w:sz w:val="26"/>
          <w:szCs w:val="26"/>
          <w:lang w:val="es-ES"/>
        </w:rPr>
        <w:t>g</w:t>
      </w:r>
      <w:r w:rsidRPr="001C7546">
        <w:rPr>
          <w:sz w:val="26"/>
          <w:szCs w:val="26"/>
          <w:lang w:val="es-ES"/>
        </w:rPr>
        <w:t xml:space="preserve">ráfica </w:t>
      </w:r>
      <w:r>
        <w:rPr>
          <w:sz w:val="26"/>
          <w:szCs w:val="26"/>
          <w:lang w:val="es-ES"/>
        </w:rPr>
        <w:t>siguiente</w:t>
      </w:r>
      <w:r w:rsidRPr="001C7546">
        <w:rPr>
          <w:sz w:val="26"/>
          <w:szCs w:val="26"/>
          <w:lang w:val="es-ES"/>
        </w:rPr>
        <w:t>). Al respecto, la percepción de los</w:t>
      </w:r>
      <w:r>
        <w:rPr>
          <w:sz w:val="26"/>
          <w:szCs w:val="26"/>
          <w:lang w:val="es-ES"/>
        </w:rPr>
        <w:t xml:space="preserve"> </w:t>
      </w:r>
      <w:r w:rsidRPr="001C7546">
        <w:rPr>
          <w:sz w:val="26"/>
          <w:szCs w:val="26"/>
          <w:lang w:val="es-ES"/>
        </w:rPr>
        <w:t>directivos empresariales consultados por el Banco de México fue que, a pesar de</w:t>
      </w:r>
      <w:r>
        <w:rPr>
          <w:sz w:val="26"/>
          <w:szCs w:val="26"/>
          <w:lang w:val="es-ES"/>
        </w:rPr>
        <w:t xml:space="preserve"> </w:t>
      </w:r>
      <w:r w:rsidRPr="001C7546">
        <w:rPr>
          <w:sz w:val="26"/>
          <w:szCs w:val="26"/>
          <w:lang w:val="es-ES"/>
        </w:rPr>
        <w:t>factores estacionales favorables como el programa de promociones denominado</w:t>
      </w:r>
      <w:r>
        <w:rPr>
          <w:sz w:val="26"/>
          <w:szCs w:val="26"/>
          <w:lang w:val="es-ES"/>
        </w:rPr>
        <w:t xml:space="preserve"> </w:t>
      </w:r>
      <w:r w:rsidRPr="001C7546">
        <w:rPr>
          <w:sz w:val="26"/>
          <w:szCs w:val="26"/>
          <w:lang w:val="es-ES"/>
        </w:rPr>
        <w:t>“El Buen Fin” y las ventas de la temporada decembrina, la actividad comercial en</w:t>
      </w:r>
      <w:r>
        <w:rPr>
          <w:sz w:val="26"/>
          <w:szCs w:val="26"/>
          <w:lang w:val="es-ES"/>
        </w:rPr>
        <w:t xml:space="preserve"> </w:t>
      </w:r>
      <w:r w:rsidRPr="001C7546">
        <w:rPr>
          <w:sz w:val="26"/>
          <w:szCs w:val="26"/>
          <w:lang w:val="es-ES"/>
        </w:rPr>
        <w:t>general mostró un desempeño débil durante el cuarto trimestre de 2014. Así, en la</w:t>
      </w:r>
      <w:r>
        <w:rPr>
          <w:sz w:val="26"/>
          <w:szCs w:val="26"/>
          <w:lang w:val="es-ES"/>
        </w:rPr>
        <w:t xml:space="preserve"> </w:t>
      </w:r>
      <w:r w:rsidRPr="001C7546">
        <w:rPr>
          <w:sz w:val="26"/>
          <w:szCs w:val="26"/>
          <w:lang w:val="es-ES"/>
        </w:rPr>
        <w:t>mayoría de las regiones comentaron que dichos factores estacionales beneficiaron,</w:t>
      </w:r>
      <w:r>
        <w:rPr>
          <w:sz w:val="26"/>
          <w:szCs w:val="26"/>
          <w:lang w:val="es-ES"/>
        </w:rPr>
        <w:t xml:space="preserve"> </w:t>
      </w:r>
      <w:r w:rsidRPr="001C7546">
        <w:rPr>
          <w:sz w:val="26"/>
          <w:szCs w:val="26"/>
          <w:lang w:val="es-ES"/>
        </w:rPr>
        <w:t>principalmente, a las tiendas departamentales y propiciaron una mejoría en las</w:t>
      </w:r>
      <w:r>
        <w:rPr>
          <w:sz w:val="26"/>
          <w:szCs w:val="26"/>
          <w:lang w:val="es-ES"/>
        </w:rPr>
        <w:t xml:space="preserve"> </w:t>
      </w:r>
      <w:r w:rsidRPr="001C7546">
        <w:rPr>
          <w:sz w:val="26"/>
          <w:szCs w:val="26"/>
          <w:lang w:val="es-ES"/>
        </w:rPr>
        <w:t>ventas de automóviles nuevos. Entre los factores que limitaron la actividad</w:t>
      </w:r>
      <w:r>
        <w:rPr>
          <w:sz w:val="26"/>
          <w:szCs w:val="26"/>
          <w:lang w:val="es-ES"/>
        </w:rPr>
        <w:t xml:space="preserve"> </w:t>
      </w:r>
      <w:r w:rsidRPr="001C7546">
        <w:rPr>
          <w:sz w:val="26"/>
          <w:szCs w:val="26"/>
          <w:lang w:val="es-ES"/>
        </w:rPr>
        <w:t>comercial durante el trimestre de referencia citaron un nivel de confianza de los</w:t>
      </w:r>
      <w:r>
        <w:rPr>
          <w:sz w:val="26"/>
          <w:szCs w:val="26"/>
          <w:lang w:val="es-ES"/>
        </w:rPr>
        <w:t xml:space="preserve"> </w:t>
      </w:r>
      <w:r w:rsidRPr="001C7546">
        <w:rPr>
          <w:sz w:val="26"/>
          <w:szCs w:val="26"/>
          <w:lang w:val="es-ES"/>
        </w:rPr>
        <w:t>consumidores relativamente bajo y los efectos negativos del huracán “Odile”</w:t>
      </w:r>
      <w:r>
        <w:rPr>
          <w:sz w:val="26"/>
          <w:szCs w:val="26"/>
          <w:lang w:val="es-ES"/>
        </w:rPr>
        <w:t xml:space="preserve"> </w:t>
      </w:r>
      <w:r w:rsidRPr="001C7546">
        <w:rPr>
          <w:sz w:val="26"/>
          <w:szCs w:val="26"/>
          <w:lang w:val="es-ES"/>
        </w:rPr>
        <w:t>(región centro norte).</w:t>
      </w:r>
    </w:p>
    <w:p w14:paraId="5A3D18A1" w14:textId="77777777" w:rsidR="00BC6B56" w:rsidRDefault="00BC6B56" w:rsidP="00BC6B56">
      <w:pPr>
        <w:spacing w:after="360" w:line="360" w:lineRule="auto"/>
        <w:ind w:right="-159"/>
        <w:jc w:val="both"/>
        <w:rPr>
          <w:sz w:val="26"/>
          <w:szCs w:val="26"/>
          <w:lang w:val="es-ES"/>
        </w:rPr>
      </w:pPr>
    </w:p>
    <w:p w14:paraId="74E6D145" w14:textId="77777777" w:rsidR="00BC6B56" w:rsidRDefault="00BC6B56" w:rsidP="00BC6B56">
      <w:pPr>
        <w:spacing w:after="360" w:line="360" w:lineRule="auto"/>
        <w:ind w:right="-159"/>
        <w:jc w:val="both"/>
        <w:rPr>
          <w:sz w:val="26"/>
          <w:szCs w:val="26"/>
          <w:lang w:val="es-ES"/>
        </w:rPr>
      </w:pPr>
    </w:p>
    <w:p w14:paraId="55F7483D" w14:textId="77777777" w:rsidR="00BC6B56" w:rsidRDefault="00BC6B56" w:rsidP="00BC6B56">
      <w:pPr>
        <w:spacing w:after="360" w:line="360" w:lineRule="auto"/>
        <w:ind w:right="-159"/>
        <w:jc w:val="both"/>
        <w:rPr>
          <w:sz w:val="26"/>
          <w:szCs w:val="26"/>
          <w:lang w:val="es-ES"/>
        </w:rPr>
      </w:pPr>
    </w:p>
    <w:p w14:paraId="0A9B35E3" w14:textId="77777777" w:rsidR="00BC6B56" w:rsidRDefault="00BC6B56" w:rsidP="00BC6B56">
      <w:pPr>
        <w:spacing w:after="360" w:line="360" w:lineRule="auto"/>
        <w:ind w:right="-159"/>
        <w:jc w:val="both"/>
        <w:rPr>
          <w:sz w:val="26"/>
          <w:szCs w:val="26"/>
          <w:lang w:val="es-ES"/>
        </w:rPr>
      </w:pPr>
    </w:p>
    <w:tbl>
      <w:tblPr>
        <w:tblStyle w:val="Tablaconcuadrcula"/>
        <w:tblW w:w="920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09"/>
      </w:tblGrid>
      <w:tr w:rsidR="00BC6B56" w:rsidRPr="00200185" w14:paraId="4E1764A9" w14:textId="77777777" w:rsidTr="00447800">
        <w:trPr>
          <w:jc w:val="center"/>
        </w:trPr>
        <w:tc>
          <w:tcPr>
            <w:tcW w:w="9209" w:type="dxa"/>
          </w:tcPr>
          <w:p w14:paraId="7F6F0440" w14:textId="77777777" w:rsidR="00BC6B56" w:rsidRPr="00DB4682" w:rsidRDefault="00BC6B56" w:rsidP="00447800">
            <w:pPr>
              <w:jc w:val="center"/>
              <w:rPr>
                <w:b/>
                <w:szCs w:val="26"/>
                <w:lang w:val="es-ES"/>
              </w:rPr>
            </w:pPr>
            <w:r w:rsidRPr="00DB4682">
              <w:rPr>
                <w:b/>
                <w:szCs w:val="26"/>
                <w:lang w:val="es-ES"/>
              </w:rPr>
              <w:t>INDICADOR REGIONAL DE ACTIVIDAD COMERCIAL AL MENUDEO</w:t>
            </w:r>
          </w:p>
          <w:p w14:paraId="610313B1" w14:textId="77777777" w:rsidR="00BC6B56" w:rsidRPr="00200185" w:rsidRDefault="00BC6B56" w:rsidP="00447800">
            <w:pPr>
              <w:jc w:val="center"/>
              <w:rPr>
                <w:b/>
                <w:szCs w:val="26"/>
                <w:lang w:val="es-ES"/>
              </w:rPr>
            </w:pPr>
            <w:r>
              <w:rPr>
                <w:b/>
                <w:szCs w:val="26"/>
                <w:lang w:val="es-ES"/>
              </w:rPr>
              <w:t>-</w:t>
            </w:r>
            <w:r w:rsidRPr="00DB4682">
              <w:rPr>
                <w:b/>
                <w:szCs w:val="26"/>
                <w:lang w:val="es-ES"/>
              </w:rPr>
              <w:t>Índice 2008=100, promedio trimestral</w:t>
            </w:r>
            <w:r>
              <w:rPr>
                <w:b/>
                <w:szCs w:val="26"/>
                <w:lang w:val="es-ES"/>
              </w:rPr>
              <w:t>-</w:t>
            </w:r>
          </w:p>
        </w:tc>
      </w:tr>
      <w:tr w:rsidR="00BC6B56" w:rsidRPr="00DB2C4F" w14:paraId="55DBF50F" w14:textId="77777777" w:rsidTr="00447800">
        <w:trPr>
          <w:jc w:val="center"/>
        </w:trPr>
        <w:tc>
          <w:tcPr>
            <w:tcW w:w="9209" w:type="dxa"/>
          </w:tcPr>
          <w:p w14:paraId="727D8ECB" w14:textId="77777777" w:rsidR="00BC6B56" w:rsidRPr="00DB2C4F" w:rsidRDefault="00BC6B56" w:rsidP="00447800">
            <w:pPr>
              <w:jc w:val="center"/>
              <w:rPr>
                <w:szCs w:val="26"/>
                <w:lang w:val="es-ES"/>
              </w:rPr>
            </w:pPr>
            <w:r w:rsidRPr="00DB4682">
              <w:rPr>
                <w:noProof/>
                <w:szCs w:val="26"/>
                <w:lang w:eastAsia="es-MX"/>
              </w:rPr>
              <w:drawing>
                <wp:inline distT="0" distB="0" distL="0" distR="0" wp14:anchorId="4AEA65F9" wp14:editId="1D56E45D">
                  <wp:extent cx="4906629" cy="2880000"/>
                  <wp:effectExtent l="0" t="0" r="8890" b="0"/>
                  <wp:docPr id="1670" name="Imagen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l="474" t="3275" b="1719"/>
                          <a:stretch/>
                        </pic:blipFill>
                        <pic:spPr bwMode="auto">
                          <a:xfrm>
                            <a:off x="0" y="0"/>
                            <a:ext cx="4906629" cy="288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C6B56" w:rsidRPr="00DB2C4F" w14:paraId="49033658" w14:textId="77777777" w:rsidTr="00447800">
        <w:trPr>
          <w:jc w:val="center"/>
        </w:trPr>
        <w:tc>
          <w:tcPr>
            <w:tcW w:w="9209" w:type="dxa"/>
          </w:tcPr>
          <w:p w14:paraId="72552F44" w14:textId="77777777" w:rsidR="00BC6B56" w:rsidRPr="00DB2C4F" w:rsidRDefault="00BC6B56" w:rsidP="00447800">
            <w:pPr>
              <w:ind w:left="1502" w:right="879" w:hanging="901"/>
              <w:jc w:val="both"/>
              <w:rPr>
                <w:sz w:val="20"/>
                <w:szCs w:val="26"/>
                <w:lang w:val="es-ES"/>
              </w:rPr>
            </w:pPr>
            <w:r w:rsidRPr="008A4614">
              <w:rPr>
                <w:sz w:val="20"/>
                <w:szCs w:val="26"/>
                <w:lang w:val="es-ES"/>
              </w:rPr>
              <w:t xml:space="preserve">FUENTE: </w:t>
            </w:r>
            <w:r w:rsidRPr="00DB4682">
              <w:rPr>
                <w:sz w:val="20"/>
                <w:szCs w:val="26"/>
                <w:lang w:val="es-ES"/>
              </w:rPr>
              <w:t>Estimaciones del Banco de México con base en datos del INEGI ajustados por estacionalidad</w:t>
            </w:r>
            <w:r w:rsidRPr="008A4614">
              <w:rPr>
                <w:sz w:val="20"/>
                <w:szCs w:val="26"/>
                <w:lang w:val="es-ES"/>
              </w:rPr>
              <w:t>.</w:t>
            </w:r>
          </w:p>
        </w:tc>
      </w:tr>
    </w:tbl>
    <w:p w14:paraId="1B48A483" w14:textId="77777777" w:rsidR="00BC6B56" w:rsidRDefault="00BC6B56" w:rsidP="00BC6B56">
      <w:pPr>
        <w:spacing w:after="360" w:line="360" w:lineRule="auto"/>
        <w:ind w:right="-159"/>
        <w:jc w:val="both"/>
        <w:rPr>
          <w:sz w:val="26"/>
          <w:szCs w:val="26"/>
          <w:lang w:val="es-ES"/>
        </w:rPr>
      </w:pPr>
    </w:p>
    <w:p w14:paraId="4CDC0790" w14:textId="77777777" w:rsidR="00BC6B56" w:rsidRPr="00893CA7" w:rsidRDefault="00BC6B56" w:rsidP="00BC6B56">
      <w:pPr>
        <w:spacing w:after="360" w:line="360" w:lineRule="auto"/>
        <w:ind w:right="-159"/>
        <w:jc w:val="both"/>
        <w:rPr>
          <w:b/>
          <w:sz w:val="26"/>
          <w:szCs w:val="26"/>
          <w:lang w:val="es-ES"/>
        </w:rPr>
      </w:pPr>
      <w:r w:rsidRPr="00764E54">
        <w:rPr>
          <w:b/>
          <w:sz w:val="26"/>
          <w:szCs w:val="26"/>
          <w:lang w:val="es-ES"/>
        </w:rPr>
        <w:t>1.2.4 Sector Agropecuario</w:t>
      </w:r>
    </w:p>
    <w:p w14:paraId="301AEE37" w14:textId="77777777" w:rsidR="00BC6B56" w:rsidRPr="0052618F" w:rsidRDefault="00BC6B56" w:rsidP="00BC6B56">
      <w:pPr>
        <w:spacing w:after="360" w:line="360" w:lineRule="auto"/>
        <w:ind w:right="-159"/>
        <w:jc w:val="both"/>
        <w:rPr>
          <w:sz w:val="26"/>
          <w:szCs w:val="26"/>
          <w:lang w:val="es-ES"/>
        </w:rPr>
      </w:pPr>
      <w:r w:rsidRPr="0052618F">
        <w:rPr>
          <w:sz w:val="26"/>
          <w:szCs w:val="26"/>
          <w:lang w:val="es-ES"/>
        </w:rPr>
        <w:t>La producción agropecuaria en las regiones norte, centro norte y sur se expandió</w:t>
      </w:r>
      <w:r>
        <w:rPr>
          <w:sz w:val="26"/>
          <w:szCs w:val="26"/>
          <w:lang w:val="es-ES"/>
        </w:rPr>
        <w:t xml:space="preserve"> </w:t>
      </w:r>
      <w:r w:rsidRPr="0052618F">
        <w:rPr>
          <w:sz w:val="26"/>
          <w:szCs w:val="26"/>
          <w:lang w:val="es-ES"/>
        </w:rPr>
        <w:t>durante el cuarto trimestre de 2014 respecto al mismo per</w:t>
      </w:r>
      <w:r>
        <w:rPr>
          <w:sz w:val="26"/>
          <w:szCs w:val="26"/>
          <w:lang w:val="es-ES"/>
        </w:rPr>
        <w:t>í</w:t>
      </w:r>
      <w:r w:rsidRPr="0052618F">
        <w:rPr>
          <w:sz w:val="26"/>
          <w:szCs w:val="26"/>
          <w:lang w:val="es-ES"/>
        </w:rPr>
        <w:t>odo del año previo. No</w:t>
      </w:r>
      <w:r>
        <w:rPr>
          <w:sz w:val="26"/>
          <w:szCs w:val="26"/>
          <w:lang w:val="es-ES"/>
        </w:rPr>
        <w:t xml:space="preserve"> </w:t>
      </w:r>
      <w:r w:rsidRPr="0052618F">
        <w:rPr>
          <w:sz w:val="26"/>
          <w:szCs w:val="26"/>
          <w:lang w:val="es-ES"/>
        </w:rPr>
        <w:t>obstante, la tasa de crecimiento fue menor que la registrada en el tercer trimestre.</w:t>
      </w:r>
      <w:r>
        <w:rPr>
          <w:sz w:val="26"/>
          <w:szCs w:val="26"/>
          <w:lang w:val="es-ES"/>
        </w:rPr>
        <w:t xml:space="preserve"> </w:t>
      </w:r>
      <w:r w:rsidRPr="0052618F">
        <w:rPr>
          <w:sz w:val="26"/>
          <w:szCs w:val="26"/>
          <w:lang w:val="es-ES"/>
        </w:rPr>
        <w:t>Por su parte, en el centro la producción agropecuaria continuó presentando cierto</w:t>
      </w:r>
      <w:r>
        <w:rPr>
          <w:sz w:val="26"/>
          <w:szCs w:val="26"/>
          <w:lang w:val="es-ES"/>
        </w:rPr>
        <w:t xml:space="preserve"> </w:t>
      </w:r>
      <w:r w:rsidRPr="0052618F">
        <w:rPr>
          <w:sz w:val="26"/>
          <w:szCs w:val="26"/>
          <w:lang w:val="es-ES"/>
        </w:rPr>
        <w:t>estancamiento (</w:t>
      </w:r>
      <w:r>
        <w:rPr>
          <w:sz w:val="26"/>
          <w:szCs w:val="26"/>
          <w:lang w:val="es-ES"/>
        </w:rPr>
        <w:t>g</w:t>
      </w:r>
      <w:r w:rsidRPr="0052618F">
        <w:rPr>
          <w:sz w:val="26"/>
          <w:szCs w:val="26"/>
          <w:lang w:val="es-ES"/>
        </w:rPr>
        <w:t xml:space="preserve">ráfica </w:t>
      </w:r>
      <w:r>
        <w:rPr>
          <w:sz w:val="26"/>
          <w:szCs w:val="26"/>
          <w:lang w:val="es-ES"/>
        </w:rPr>
        <w:t>siguiente</w:t>
      </w:r>
      <w:r w:rsidRPr="0052618F">
        <w:rPr>
          <w:sz w:val="26"/>
          <w:szCs w:val="26"/>
          <w:lang w:val="es-ES"/>
        </w:rPr>
        <w:t>).</w:t>
      </w:r>
    </w:p>
    <w:p w14:paraId="143171B9" w14:textId="77777777" w:rsidR="00BC6B56" w:rsidRDefault="00BC6B56" w:rsidP="00BC6B56">
      <w:pPr>
        <w:spacing w:after="360" w:line="360" w:lineRule="auto"/>
        <w:ind w:right="-159"/>
        <w:jc w:val="both"/>
        <w:rPr>
          <w:sz w:val="26"/>
          <w:szCs w:val="26"/>
          <w:lang w:val="es-ES"/>
        </w:rPr>
      </w:pPr>
      <w:r w:rsidRPr="0052618F">
        <w:rPr>
          <w:sz w:val="26"/>
          <w:szCs w:val="26"/>
          <w:lang w:val="es-ES"/>
        </w:rPr>
        <w:t>En las regiones norte, centro norte y sur, la actividad agrícola se expandió debido</w:t>
      </w:r>
      <w:r>
        <w:rPr>
          <w:sz w:val="26"/>
          <w:szCs w:val="26"/>
          <w:lang w:val="es-ES"/>
        </w:rPr>
        <w:t xml:space="preserve"> </w:t>
      </w:r>
      <w:r w:rsidRPr="0052618F">
        <w:rPr>
          <w:sz w:val="26"/>
          <w:szCs w:val="26"/>
          <w:lang w:val="es-ES"/>
        </w:rPr>
        <w:t>a una mayor producción de frutas, hortalizas y tubérculos (principalmente chile</w:t>
      </w:r>
      <w:r>
        <w:rPr>
          <w:sz w:val="26"/>
          <w:szCs w:val="26"/>
          <w:lang w:val="es-ES"/>
        </w:rPr>
        <w:t xml:space="preserve"> </w:t>
      </w:r>
      <w:r w:rsidRPr="0052618F">
        <w:rPr>
          <w:sz w:val="26"/>
          <w:szCs w:val="26"/>
          <w:lang w:val="es-ES"/>
        </w:rPr>
        <w:t>verde, jitomate, cebolla, naranja, papaya y mango). Aunado a lo anterior, las</w:t>
      </w:r>
      <w:r>
        <w:rPr>
          <w:sz w:val="26"/>
          <w:szCs w:val="26"/>
          <w:lang w:val="es-ES"/>
        </w:rPr>
        <w:t xml:space="preserve"> </w:t>
      </w:r>
      <w:r w:rsidRPr="0052618F">
        <w:rPr>
          <w:sz w:val="26"/>
          <w:szCs w:val="26"/>
          <w:lang w:val="es-ES"/>
        </w:rPr>
        <w:t>regiones norte y centro norte presentaron una mayor expansión en el rubro de</w:t>
      </w:r>
      <w:r>
        <w:rPr>
          <w:sz w:val="26"/>
          <w:szCs w:val="26"/>
          <w:lang w:val="es-ES"/>
        </w:rPr>
        <w:t xml:space="preserve"> </w:t>
      </w:r>
      <w:r w:rsidRPr="0052618F">
        <w:rPr>
          <w:sz w:val="26"/>
          <w:szCs w:val="26"/>
          <w:lang w:val="es-ES"/>
        </w:rPr>
        <w:t xml:space="preserve">cereales y leguminosas </w:t>
      </w:r>
      <w:r w:rsidRPr="0052618F">
        <w:rPr>
          <w:sz w:val="26"/>
          <w:szCs w:val="26"/>
          <w:lang w:val="es-ES"/>
        </w:rPr>
        <w:lastRenderedPageBreak/>
        <w:t>(principalmente maíz), mientras que en el centro norte y en</w:t>
      </w:r>
      <w:r>
        <w:rPr>
          <w:sz w:val="26"/>
          <w:szCs w:val="26"/>
          <w:lang w:val="es-ES"/>
        </w:rPr>
        <w:t xml:space="preserve"> </w:t>
      </w:r>
      <w:r w:rsidRPr="0052618F">
        <w:rPr>
          <w:sz w:val="26"/>
          <w:szCs w:val="26"/>
          <w:lang w:val="es-ES"/>
        </w:rPr>
        <w:t>el sur, se incrementó la producción de industriales y forrajes (principalmente sorgo).</w:t>
      </w:r>
    </w:p>
    <w:tbl>
      <w:tblPr>
        <w:tblStyle w:val="Tablaconcuadrcula"/>
        <w:tblW w:w="920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09"/>
      </w:tblGrid>
      <w:tr w:rsidR="00BC6B56" w:rsidRPr="00200185" w14:paraId="593D94AA" w14:textId="77777777" w:rsidTr="00447800">
        <w:trPr>
          <w:jc w:val="center"/>
        </w:trPr>
        <w:tc>
          <w:tcPr>
            <w:tcW w:w="9209" w:type="dxa"/>
          </w:tcPr>
          <w:p w14:paraId="47E49375" w14:textId="77777777" w:rsidR="00BC6B56" w:rsidRPr="00DB4682" w:rsidRDefault="00BC6B56" w:rsidP="00447800">
            <w:pPr>
              <w:jc w:val="center"/>
              <w:rPr>
                <w:b/>
                <w:szCs w:val="26"/>
                <w:lang w:val="es-ES"/>
              </w:rPr>
            </w:pPr>
            <w:r w:rsidRPr="00DB4682">
              <w:rPr>
                <w:b/>
                <w:szCs w:val="26"/>
                <w:lang w:val="es-ES"/>
              </w:rPr>
              <w:t>ÍNDICE DE PRODUCCIÓN AGROPECUARIA REGIONAL</w:t>
            </w:r>
          </w:p>
          <w:p w14:paraId="26F9D3C3" w14:textId="77777777" w:rsidR="00BC6B56" w:rsidRPr="00200185" w:rsidRDefault="00BC6B56" w:rsidP="00447800">
            <w:pPr>
              <w:jc w:val="center"/>
              <w:rPr>
                <w:b/>
                <w:szCs w:val="26"/>
                <w:lang w:val="es-ES"/>
              </w:rPr>
            </w:pPr>
            <w:r>
              <w:rPr>
                <w:b/>
                <w:szCs w:val="26"/>
                <w:lang w:val="es-ES"/>
              </w:rPr>
              <w:t>-</w:t>
            </w:r>
            <w:r w:rsidRPr="00DB4682">
              <w:rPr>
                <w:b/>
                <w:szCs w:val="26"/>
                <w:lang w:val="es-ES"/>
              </w:rPr>
              <w:t>Variación anual en por ciento</w:t>
            </w:r>
            <w:r>
              <w:rPr>
                <w:b/>
                <w:szCs w:val="26"/>
                <w:lang w:val="es-ES"/>
              </w:rPr>
              <w:t>-</w:t>
            </w:r>
          </w:p>
        </w:tc>
      </w:tr>
      <w:tr w:rsidR="00BC6B56" w:rsidRPr="00DB2C4F" w14:paraId="1C527682" w14:textId="77777777" w:rsidTr="00447800">
        <w:trPr>
          <w:jc w:val="center"/>
        </w:trPr>
        <w:tc>
          <w:tcPr>
            <w:tcW w:w="9209" w:type="dxa"/>
          </w:tcPr>
          <w:p w14:paraId="2A7D19C5" w14:textId="77777777" w:rsidR="00BC6B56" w:rsidRPr="00DB2C4F" w:rsidRDefault="00BC6B56" w:rsidP="00447800">
            <w:pPr>
              <w:jc w:val="center"/>
              <w:rPr>
                <w:szCs w:val="26"/>
                <w:lang w:val="es-ES"/>
              </w:rPr>
            </w:pPr>
            <w:r w:rsidRPr="00DB4682">
              <w:rPr>
                <w:noProof/>
                <w:szCs w:val="26"/>
                <w:lang w:eastAsia="es-MX"/>
              </w:rPr>
              <w:drawing>
                <wp:inline distT="0" distB="0" distL="0" distR="0" wp14:anchorId="298394A2" wp14:editId="37E9E451">
                  <wp:extent cx="4981433" cy="3239770"/>
                  <wp:effectExtent l="0" t="0" r="0" b="0"/>
                  <wp:docPr id="1671" name="Imagen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t="3737" r="4237" b="2835"/>
                          <a:stretch/>
                        </pic:blipFill>
                        <pic:spPr bwMode="auto">
                          <a:xfrm>
                            <a:off x="0" y="0"/>
                            <a:ext cx="4981787" cy="324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C6B56" w:rsidRPr="00DB2C4F" w14:paraId="63CE4F77" w14:textId="77777777" w:rsidTr="00447800">
        <w:trPr>
          <w:jc w:val="center"/>
        </w:trPr>
        <w:tc>
          <w:tcPr>
            <w:tcW w:w="9209" w:type="dxa"/>
          </w:tcPr>
          <w:p w14:paraId="229907D6" w14:textId="77777777" w:rsidR="00BC6B56" w:rsidRPr="00DB2C4F" w:rsidRDefault="00BC6B56" w:rsidP="00447800">
            <w:pPr>
              <w:ind w:left="1502" w:right="879" w:hanging="901"/>
              <w:jc w:val="both"/>
              <w:rPr>
                <w:sz w:val="20"/>
                <w:szCs w:val="26"/>
                <w:lang w:val="es-ES"/>
              </w:rPr>
            </w:pPr>
            <w:r w:rsidRPr="008A4614">
              <w:rPr>
                <w:sz w:val="20"/>
                <w:szCs w:val="26"/>
                <w:lang w:val="es-ES"/>
              </w:rPr>
              <w:t xml:space="preserve">FUENTE: </w:t>
            </w:r>
            <w:r w:rsidRPr="00DB4682">
              <w:rPr>
                <w:sz w:val="20"/>
                <w:szCs w:val="26"/>
                <w:lang w:val="es-ES"/>
              </w:rPr>
              <w:t>Estimaciones del Banco de México con base en datos de la SAGARPA</w:t>
            </w:r>
            <w:r w:rsidRPr="008A4614">
              <w:rPr>
                <w:sz w:val="20"/>
                <w:szCs w:val="26"/>
                <w:lang w:val="es-ES"/>
              </w:rPr>
              <w:t>.</w:t>
            </w:r>
          </w:p>
        </w:tc>
      </w:tr>
    </w:tbl>
    <w:p w14:paraId="7CCB874E" w14:textId="77777777" w:rsidR="00BC6B56" w:rsidRDefault="00BC6B56" w:rsidP="00BC6B56">
      <w:pPr>
        <w:spacing w:after="360" w:line="360" w:lineRule="auto"/>
        <w:ind w:right="-159"/>
        <w:jc w:val="both"/>
        <w:rPr>
          <w:sz w:val="26"/>
          <w:szCs w:val="26"/>
          <w:lang w:val="es-ES"/>
        </w:rPr>
      </w:pPr>
    </w:p>
    <w:p w14:paraId="2712BDF0" w14:textId="77777777" w:rsidR="00BC6B56" w:rsidRPr="0052618F" w:rsidRDefault="00BC6B56" w:rsidP="00BC6B56">
      <w:pPr>
        <w:spacing w:after="360" w:line="360" w:lineRule="auto"/>
        <w:ind w:right="-159"/>
        <w:jc w:val="both"/>
        <w:rPr>
          <w:sz w:val="26"/>
          <w:szCs w:val="26"/>
          <w:lang w:val="es-ES"/>
        </w:rPr>
      </w:pPr>
      <w:r w:rsidRPr="0052618F">
        <w:rPr>
          <w:sz w:val="26"/>
          <w:szCs w:val="26"/>
          <w:lang w:val="es-ES"/>
        </w:rPr>
        <w:t>Los factores que incidieron en la expansión de la producción agrícola en estas</w:t>
      </w:r>
      <w:r>
        <w:rPr>
          <w:sz w:val="26"/>
          <w:szCs w:val="26"/>
          <w:lang w:val="es-ES"/>
        </w:rPr>
        <w:t xml:space="preserve"> </w:t>
      </w:r>
      <w:r w:rsidRPr="0052618F">
        <w:rPr>
          <w:sz w:val="26"/>
          <w:szCs w:val="26"/>
          <w:lang w:val="es-ES"/>
        </w:rPr>
        <w:t>regiones respecto al año previo fueron los siguientes. En primer lugar, una mayor</w:t>
      </w:r>
      <w:r>
        <w:rPr>
          <w:sz w:val="26"/>
          <w:szCs w:val="26"/>
          <w:lang w:val="es-ES"/>
        </w:rPr>
        <w:t xml:space="preserve"> </w:t>
      </w:r>
      <w:r w:rsidRPr="0052618F">
        <w:rPr>
          <w:sz w:val="26"/>
          <w:szCs w:val="26"/>
          <w:lang w:val="es-ES"/>
        </w:rPr>
        <w:t>superficie sembrada. En segundo lugar, mejores condiciones climáticas, las cuales</w:t>
      </w:r>
      <w:r>
        <w:rPr>
          <w:sz w:val="26"/>
          <w:szCs w:val="26"/>
          <w:lang w:val="es-ES"/>
        </w:rPr>
        <w:t xml:space="preserve"> </w:t>
      </w:r>
      <w:r w:rsidRPr="0052618F">
        <w:rPr>
          <w:sz w:val="26"/>
          <w:szCs w:val="26"/>
          <w:lang w:val="es-ES"/>
        </w:rPr>
        <w:t>fueron favorecidas por la ausencia de sequías y de inundaciones importantes,</w:t>
      </w:r>
      <w:r>
        <w:rPr>
          <w:sz w:val="26"/>
          <w:szCs w:val="26"/>
          <w:lang w:val="es-ES"/>
        </w:rPr>
        <w:t xml:space="preserve"> </w:t>
      </w:r>
      <w:r w:rsidRPr="0052618F">
        <w:rPr>
          <w:sz w:val="26"/>
          <w:szCs w:val="26"/>
          <w:lang w:val="es-ES"/>
        </w:rPr>
        <w:t>como las ocasionadas por el huracán “Manuel”, y que afectaron a diversos cultivos</w:t>
      </w:r>
      <w:r>
        <w:rPr>
          <w:sz w:val="26"/>
          <w:szCs w:val="26"/>
          <w:lang w:val="es-ES"/>
        </w:rPr>
        <w:t xml:space="preserve"> </w:t>
      </w:r>
      <w:r w:rsidRPr="0052618F">
        <w:rPr>
          <w:sz w:val="26"/>
          <w:szCs w:val="26"/>
          <w:lang w:val="es-ES"/>
        </w:rPr>
        <w:t>de la región sur durante el tercer y cuarto trimestre del año previo. Por su parte, en</w:t>
      </w:r>
      <w:r>
        <w:rPr>
          <w:sz w:val="26"/>
          <w:szCs w:val="26"/>
          <w:lang w:val="es-ES"/>
        </w:rPr>
        <w:t xml:space="preserve"> </w:t>
      </w:r>
      <w:r w:rsidRPr="0052618F">
        <w:rPr>
          <w:sz w:val="26"/>
          <w:szCs w:val="26"/>
          <w:lang w:val="es-ES"/>
        </w:rPr>
        <w:t>el centro, el rubro con menor crecimiento en su producción fue el de cereales y</w:t>
      </w:r>
      <w:r>
        <w:rPr>
          <w:sz w:val="26"/>
          <w:szCs w:val="26"/>
          <w:lang w:val="es-ES"/>
        </w:rPr>
        <w:t xml:space="preserve"> </w:t>
      </w:r>
      <w:r w:rsidRPr="0052618F">
        <w:rPr>
          <w:sz w:val="26"/>
          <w:szCs w:val="26"/>
          <w:lang w:val="es-ES"/>
        </w:rPr>
        <w:t>leguminosas, debido a una menor superficie sembrada de maíz. Finalmente, la</w:t>
      </w:r>
      <w:r>
        <w:rPr>
          <w:sz w:val="26"/>
          <w:szCs w:val="26"/>
          <w:lang w:val="es-ES"/>
        </w:rPr>
        <w:t xml:space="preserve"> </w:t>
      </w:r>
      <w:r w:rsidRPr="0052618F">
        <w:rPr>
          <w:sz w:val="26"/>
          <w:szCs w:val="26"/>
          <w:lang w:val="es-ES"/>
        </w:rPr>
        <w:t>producción pecuaria registró variaciones porcentuales anuales positivas en las</w:t>
      </w:r>
      <w:r>
        <w:rPr>
          <w:sz w:val="26"/>
          <w:szCs w:val="26"/>
          <w:lang w:val="es-ES"/>
        </w:rPr>
        <w:t xml:space="preserve"> </w:t>
      </w:r>
      <w:r w:rsidRPr="0052618F">
        <w:rPr>
          <w:sz w:val="26"/>
          <w:szCs w:val="26"/>
          <w:lang w:val="es-ES"/>
        </w:rPr>
        <w:t>regiones norte, centro y sur. Esta expansión obedeció principalmente a una mayor</w:t>
      </w:r>
      <w:r>
        <w:rPr>
          <w:sz w:val="26"/>
          <w:szCs w:val="26"/>
          <w:lang w:val="es-ES"/>
        </w:rPr>
        <w:t xml:space="preserve"> </w:t>
      </w:r>
      <w:r w:rsidRPr="0052618F">
        <w:rPr>
          <w:sz w:val="26"/>
          <w:szCs w:val="26"/>
          <w:lang w:val="es-ES"/>
        </w:rPr>
        <w:t>producción de carne de bovino en el norte, así como de carne de ave en el centro,</w:t>
      </w:r>
      <w:r>
        <w:rPr>
          <w:sz w:val="26"/>
          <w:szCs w:val="26"/>
          <w:lang w:val="es-ES"/>
        </w:rPr>
        <w:t xml:space="preserve"> </w:t>
      </w:r>
      <w:r w:rsidRPr="0052618F">
        <w:rPr>
          <w:sz w:val="26"/>
          <w:szCs w:val="26"/>
          <w:lang w:val="es-ES"/>
        </w:rPr>
        <w:t>y de carne de porcino en el sur.</w:t>
      </w:r>
    </w:p>
    <w:p w14:paraId="150D6ABE" w14:textId="77777777" w:rsidR="00BC6B56" w:rsidRDefault="00BC6B56" w:rsidP="00BC6B56">
      <w:pPr>
        <w:spacing w:after="360" w:line="360" w:lineRule="auto"/>
        <w:ind w:right="-159"/>
        <w:jc w:val="both"/>
        <w:rPr>
          <w:sz w:val="26"/>
          <w:szCs w:val="26"/>
          <w:lang w:val="es-ES"/>
        </w:rPr>
      </w:pPr>
      <w:r w:rsidRPr="0052618F">
        <w:rPr>
          <w:sz w:val="26"/>
          <w:szCs w:val="26"/>
          <w:lang w:val="es-ES"/>
        </w:rPr>
        <w:lastRenderedPageBreak/>
        <w:t>Los comentarios de los directivos del sector agropecuario consultados por el Banco</w:t>
      </w:r>
      <w:r>
        <w:rPr>
          <w:sz w:val="26"/>
          <w:szCs w:val="26"/>
          <w:lang w:val="es-ES"/>
        </w:rPr>
        <w:t xml:space="preserve"> </w:t>
      </w:r>
      <w:r w:rsidRPr="0052618F">
        <w:rPr>
          <w:sz w:val="26"/>
          <w:szCs w:val="26"/>
          <w:lang w:val="es-ES"/>
        </w:rPr>
        <w:t>de México para este Reporte revelaron en general un entorno de negocios</w:t>
      </w:r>
      <w:r>
        <w:rPr>
          <w:sz w:val="26"/>
          <w:szCs w:val="26"/>
          <w:lang w:val="es-ES"/>
        </w:rPr>
        <w:t xml:space="preserve"> </w:t>
      </w:r>
      <w:r w:rsidRPr="0052618F">
        <w:rPr>
          <w:sz w:val="26"/>
          <w:szCs w:val="26"/>
          <w:lang w:val="es-ES"/>
        </w:rPr>
        <w:t>favorable para los productores nacionales. Por un lado, los productos de</w:t>
      </w:r>
      <w:r>
        <w:rPr>
          <w:sz w:val="26"/>
          <w:szCs w:val="26"/>
          <w:lang w:val="es-ES"/>
        </w:rPr>
        <w:t xml:space="preserve"> </w:t>
      </w:r>
      <w:r w:rsidRPr="0052618F">
        <w:rPr>
          <w:sz w:val="26"/>
          <w:szCs w:val="26"/>
          <w:lang w:val="es-ES"/>
        </w:rPr>
        <w:t>exportación (frutas y hortalizas, azúcar, café y carne de res) tuvieron un buen</w:t>
      </w:r>
      <w:r>
        <w:rPr>
          <w:sz w:val="26"/>
          <w:szCs w:val="26"/>
          <w:lang w:val="es-ES"/>
        </w:rPr>
        <w:t xml:space="preserve"> </w:t>
      </w:r>
      <w:r w:rsidRPr="0052618F">
        <w:rPr>
          <w:sz w:val="26"/>
          <w:szCs w:val="26"/>
          <w:lang w:val="es-ES"/>
        </w:rPr>
        <w:t>desempeño. Por otro, la disponibilidad y precios bajos de los granos beneficiaron</w:t>
      </w:r>
      <w:r>
        <w:rPr>
          <w:sz w:val="26"/>
          <w:szCs w:val="26"/>
          <w:lang w:val="es-ES"/>
        </w:rPr>
        <w:t xml:space="preserve"> </w:t>
      </w:r>
      <w:r w:rsidRPr="0052618F">
        <w:rPr>
          <w:sz w:val="26"/>
          <w:szCs w:val="26"/>
          <w:lang w:val="es-ES"/>
        </w:rPr>
        <w:t>al sector agroindustrial. No obstante, los directivos comentaron que la depreciación</w:t>
      </w:r>
      <w:r>
        <w:rPr>
          <w:sz w:val="26"/>
          <w:szCs w:val="26"/>
          <w:lang w:val="es-ES"/>
        </w:rPr>
        <w:t xml:space="preserve"> </w:t>
      </w:r>
      <w:r w:rsidRPr="0052618F">
        <w:rPr>
          <w:sz w:val="26"/>
          <w:szCs w:val="26"/>
          <w:lang w:val="es-ES"/>
        </w:rPr>
        <w:t>del tipo de cambio encareció algunos de los insumos que importan para realizar su</w:t>
      </w:r>
      <w:r>
        <w:rPr>
          <w:sz w:val="26"/>
          <w:szCs w:val="26"/>
          <w:lang w:val="es-ES"/>
        </w:rPr>
        <w:t xml:space="preserve"> </w:t>
      </w:r>
      <w:r w:rsidRPr="0052618F">
        <w:rPr>
          <w:sz w:val="26"/>
          <w:szCs w:val="26"/>
          <w:lang w:val="es-ES"/>
        </w:rPr>
        <w:t>actividad.</w:t>
      </w:r>
    </w:p>
    <w:p w14:paraId="3EC4CA99" w14:textId="77777777" w:rsidR="00BC6B56" w:rsidRPr="0052618F" w:rsidRDefault="00BC6B56" w:rsidP="00BC6B56">
      <w:pPr>
        <w:spacing w:after="360" w:line="360" w:lineRule="auto"/>
        <w:ind w:right="-159"/>
        <w:jc w:val="both"/>
        <w:rPr>
          <w:b/>
          <w:sz w:val="26"/>
          <w:szCs w:val="26"/>
          <w:lang w:val="es-ES"/>
        </w:rPr>
      </w:pPr>
      <w:r w:rsidRPr="0052618F">
        <w:rPr>
          <w:b/>
          <w:sz w:val="26"/>
          <w:szCs w:val="26"/>
          <w:lang w:val="es-ES"/>
        </w:rPr>
        <w:t>1.2.5 Turismo</w:t>
      </w:r>
    </w:p>
    <w:p w14:paraId="1E9D25AD" w14:textId="77777777" w:rsidR="00BC6B56" w:rsidRDefault="00BC6B56" w:rsidP="00BC6B56">
      <w:pPr>
        <w:spacing w:after="360" w:line="360" w:lineRule="auto"/>
        <w:ind w:right="-159"/>
        <w:jc w:val="both"/>
        <w:rPr>
          <w:sz w:val="26"/>
          <w:szCs w:val="26"/>
          <w:lang w:val="es-ES"/>
        </w:rPr>
      </w:pPr>
      <w:r w:rsidRPr="00D26EC4">
        <w:rPr>
          <w:sz w:val="26"/>
          <w:szCs w:val="26"/>
          <w:lang w:val="es-ES"/>
        </w:rPr>
        <w:t>El ritmo de expansión de la actividad turística repuntó en el cuarto trimestre de 2014</w:t>
      </w:r>
      <w:r>
        <w:rPr>
          <w:sz w:val="26"/>
          <w:szCs w:val="26"/>
          <w:lang w:val="es-ES"/>
        </w:rPr>
        <w:t xml:space="preserve"> </w:t>
      </w:r>
      <w:r w:rsidRPr="00D26EC4">
        <w:rPr>
          <w:sz w:val="26"/>
          <w:szCs w:val="26"/>
          <w:lang w:val="es-ES"/>
        </w:rPr>
        <w:t>en todas las regiones, excepto en el centro norte. Ello se observó en la ocupación</w:t>
      </w:r>
      <w:r>
        <w:rPr>
          <w:sz w:val="26"/>
          <w:szCs w:val="26"/>
          <w:lang w:val="es-ES"/>
        </w:rPr>
        <w:t xml:space="preserve"> </w:t>
      </w:r>
      <w:r w:rsidRPr="00D26EC4">
        <w:rPr>
          <w:sz w:val="26"/>
          <w:szCs w:val="26"/>
          <w:lang w:val="es-ES"/>
        </w:rPr>
        <w:t>hotelera de los destinos turísticos de ciudad y playa, así como en el arribo de</w:t>
      </w:r>
      <w:r>
        <w:rPr>
          <w:sz w:val="26"/>
          <w:szCs w:val="26"/>
          <w:lang w:val="es-ES"/>
        </w:rPr>
        <w:t xml:space="preserve"> </w:t>
      </w:r>
      <w:r w:rsidRPr="00D26EC4">
        <w:rPr>
          <w:sz w:val="26"/>
          <w:szCs w:val="26"/>
          <w:lang w:val="es-ES"/>
        </w:rPr>
        <w:t>pasajeros nacionales e internacionales. En la región centro norte, las afectaciones</w:t>
      </w:r>
      <w:r>
        <w:rPr>
          <w:sz w:val="26"/>
          <w:szCs w:val="26"/>
          <w:lang w:val="es-ES"/>
        </w:rPr>
        <w:t xml:space="preserve"> </w:t>
      </w:r>
      <w:r w:rsidRPr="00D26EC4">
        <w:rPr>
          <w:sz w:val="26"/>
          <w:szCs w:val="26"/>
          <w:lang w:val="es-ES"/>
        </w:rPr>
        <w:t>por el huracán “Odile” impactaron sobre los niveles de ocupación y arribo de</w:t>
      </w:r>
      <w:r>
        <w:rPr>
          <w:sz w:val="26"/>
          <w:szCs w:val="26"/>
          <w:lang w:val="es-ES"/>
        </w:rPr>
        <w:t xml:space="preserve"> </w:t>
      </w:r>
      <w:r w:rsidRPr="00D26EC4">
        <w:rPr>
          <w:sz w:val="26"/>
          <w:szCs w:val="26"/>
          <w:lang w:val="es-ES"/>
        </w:rPr>
        <w:t>pasajeros internacionales en Los Cabos durante el mes de octubre y parte de</w:t>
      </w:r>
      <w:r>
        <w:rPr>
          <w:sz w:val="26"/>
          <w:szCs w:val="26"/>
          <w:lang w:val="es-ES"/>
        </w:rPr>
        <w:t xml:space="preserve"> </w:t>
      </w:r>
      <w:r w:rsidRPr="00D26EC4">
        <w:rPr>
          <w:sz w:val="26"/>
          <w:szCs w:val="26"/>
          <w:lang w:val="es-ES"/>
        </w:rPr>
        <w:t>noviembre. No obstante, en el resto de la región centro norte la dinámica del</w:t>
      </w:r>
      <w:r>
        <w:rPr>
          <w:sz w:val="26"/>
          <w:szCs w:val="26"/>
          <w:lang w:val="es-ES"/>
        </w:rPr>
        <w:t xml:space="preserve"> </w:t>
      </w:r>
      <w:r w:rsidRPr="00D26EC4">
        <w:rPr>
          <w:sz w:val="26"/>
          <w:szCs w:val="26"/>
          <w:lang w:val="es-ES"/>
        </w:rPr>
        <w:t>turismo fue similar a la registrada a nivel nacional. De esta manera, en las regiones</w:t>
      </w:r>
      <w:r>
        <w:rPr>
          <w:sz w:val="26"/>
          <w:szCs w:val="26"/>
          <w:lang w:val="es-ES"/>
        </w:rPr>
        <w:t xml:space="preserve"> </w:t>
      </w:r>
      <w:r w:rsidRPr="00D26EC4">
        <w:rPr>
          <w:sz w:val="26"/>
          <w:szCs w:val="26"/>
          <w:lang w:val="es-ES"/>
        </w:rPr>
        <w:t>norte, centro y sur, la ocupación hotelera presentó una variación anual de 13.5, 1.8</w:t>
      </w:r>
      <w:r>
        <w:rPr>
          <w:sz w:val="26"/>
          <w:szCs w:val="26"/>
          <w:lang w:val="es-ES"/>
        </w:rPr>
        <w:t xml:space="preserve"> </w:t>
      </w:r>
      <w:r w:rsidRPr="00D26EC4">
        <w:rPr>
          <w:sz w:val="26"/>
          <w:szCs w:val="26"/>
          <w:lang w:val="es-ES"/>
        </w:rPr>
        <w:t>y 5.6</w:t>
      </w:r>
      <w:r>
        <w:rPr>
          <w:sz w:val="26"/>
          <w:szCs w:val="26"/>
          <w:lang w:val="es-ES"/>
        </w:rPr>
        <w:t>%</w:t>
      </w:r>
      <w:r w:rsidRPr="00D26EC4">
        <w:rPr>
          <w:sz w:val="26"/>
          <w:szCs w:val="26"/>
          <w:lang w:val="es-ES"/>
        </w:rPr>
        <w:t xml:space="preserve"> (</w:t>
      </w:r>
      <w:r>
        <w:rPr>
          <w:sz w:val="26"/>
          <w:szCs w:val="26"/>
          <w:lang w:val="es-ES"/>
        </w:rPr>
        <w:t>g</w:t>
      </w:r>
      <w:r w:rsidRPr="00D26EC4">
        <w:rPr>
          <w:sz w:val="26"/>
          <w:szCs w:val="26"/>
          <w:lang w:val="es-ES"/>
        </w:rPr>
        <w:t>ráfica</w:t>
      </w:r>
      <w:r>
        <w:rPr>
          <w:sz w:val="26"/>
          <w:szCs w:val="26"/>
          <w:lang w:val="es-ES"/>
        </w:rPr>
        <w:t xml:space="preserve"> siguiente, sección a)</w:t>
      </w:r>
      <w:r w:rsidRPr="00D26EC4">
        <w:rPr>
          <w:sz w:val="26"/>
          <w:szCs w:val="26"/>
          <w:lang w:val="es-ES"/>
        </w:rPr>
        <w:t>), mientras que el arribo de pasajeros creció a tasas</w:t>
      </w:r>
      <w:r>
        <w:rPr>
          <w:sz w:val="26"/>
          <w:szCs w:val="26"/>
          <w:lang w:val="es-ES"/>
        </w:rPr>
        <w:t xml:space="preserve"> </w:t>
      </w:r>
      <w:r w:rsidRPr="00D26EC4">
        <w:rPr>
          <w:sz w:val="26"/>
          <w:szCs w:val="26"/>
          <w:lang w:val="es-ES"/>
        </w:rPr>
        <w:t>anuales de 8.7, 8.6 y 12.5</w:t>
      </w:r>
      <w:r>
        <w:rPr>
          <w:sz w:val="26"/>
          <w:szCs w:val="26"/>
          <w:lang w:val="es-ES"/>
        </w:rPr>
        <w:t>%</w:t>
      </w:r>
      <w:r w:rsidRPr="00D26EC4">
        <w:rPr>
          <w:sz w:val="26"/>
          <w:szCs w:val="26"/>
          <w:lang w:val="es-ES"/>
        </w:rPr>
        <w:t>, respectivamente (</w:t>
      </w:r>
      <w:r>
        <w:rPr>
          <w:sz w:val="26"/>
          <w:szCs w:val="26"/>
          <w:lang w:val="es-ES"/>
        </w:rPr>
        <w:t>g</w:t>
      </w:r>
      <w:r w:rsidRPr="00D26EC4">
        <w:rPr>
          <w:sz w:val="26"/>
          <w:szCs w:val="26"/>
          <w:lang w:val="es-ES"/>
        </w:rPr>
        <w:t>ráfica</w:t>
      </w:r>
      <w:r>
        <w:rPr>
          <w:sz w:val="26"/>
          <w:szCs w:val="26"/>
          <w:lang w:val="es-ES"/>
        </w:rPr>
        <w:t xml:space="preserve"> siguiente, sección b)</w:t>
      </w:r>
      <w:r w:rsidRPr="00D26EC4">
        <w:rPr>
          <w:sz w:val="26"/>
          <w:szCs w:val="26"/>
          <w:lang w:val="es-ES"/>
        </w:rPr>
        <w:t>). En contraste,</w:t>
      </w:r>
      <w:r>
        <w:rPr>
          <w:sz w:val="26"/>
          <w:szCs w:val="26"/>
          <w:lang w:val="es-ES"/>
        </w:rPr>
        <w:t xml:space="preserve"> </w:t>
      </w:r>
      <w:r w:rsidRPr="00D26EC4">
        <w:rPr>
          <w:sz w:val="26"/>
          <w:szCs w:val="26"/>
          <w:lang w:val="es-ES"/>
        </w:rPr>
        <w:t>en el centro norte las variaciones anuales correspondientes a ambos indicadores</w:t>
      </w:r>
      <w:r>
        <w:rPr>
          <w:sz w:val="26"/>
          <w:szCs w:val="26"/>
          <w:lang w:val="es-ES"/>
        </w:rPr>
        <w:t xml:space="preserve"> </w:t>
      </w:r>
      <w:r w:rsidRPr="00D26EC4">
        <w:rPr>
          <w:sz w:val="26"/>
          <w:szCs w:val="26"/>
          <w:lang w:val="es-ES"/>
        </w:rPr>
        <w:t>fueron 1.1 y 1.7</w:t>
      </w:r>
      <w:r>
        <w:rPr>
          <w:sz w:val="26"/>
          <w:szCs w:val="26"/>
          <w:lang w:val="es-ES"/>
        </w:rPr>
        <w:t>%</w:t>
      </w:r>
      <w:r w:rsidRPr="00D26EC4">
        <w:rPr>
          <w:sz w:val="26"/>
          <w:szCs w:val="26"/>
          <w:lang w:val="es-ES"/>
        </w:rPr>
        <w:t>, respectivamente.</w:t>
      </w:r>
    </w:p>
    <w:p w14:paraId="0DBB2C60" w14:textId="77777777" w:rsidR="00BC6B56" w:rsidRDefault="00BC6B56" w:rsidP="00BC6B56">
      <w:pPr>
        <w:spacing w:after="360" w:line="360" w:lineRule="auto"/>
        <w:ind w:right="-159"/>
        <w:jc w:val="both"/>
        <w:rPr>
          <w:sz w:val="26"/>
          <w:szCs w:val="26"/>
          <w:lang w:val="es-ES"/>
        </w:rPr>
      </w:pPr>
    </w:p>
    <w:p w14:paraId="60A22023" w14:textId="77777777" w:rsidR="00BC6B56" w:rsidRDefault="00BC6B56" w:rsidP="00BC6B56">
      <w:pPr>
        <w:spacing w:after="360" w:line="360" w:lineRule="auto"/>
        <w:ind w:right="-159"/>
        <w:jc w:val="both"/>
        <w:rPr>
          <w:sz w:val="26"/>
          <w:szCs w:val="26"/>
          <w:lang w:val="es-ES"/>
        </w:rPr>
      </w:pPr>
    </w:p>
    <w:p w14:paraId="46B7C092" w14:textId="77777777" w:rsidR="00BC6B56" w:rsidRDefault="00BC6B56" w:rsidP="00BC6B56">
      <w:pPr>
        <w:spacing w:after="360" w:line="360" w:lineRule="auto"/>
        <w:ind w:right="-159"/>
        <w:jc w:val="both"/>
        <w:rPr>
          <w:sz w:val="26"/>
          <w:szCs w:val="26"/>
          <w:lang w:val="es-ES"/>
        </w:rPr>
      </w:pPr>
    </w:p>
    <w:tbl>
      <w:tblPr>
        <w:tblStyle w:val="Tablaconcuadrcula"/>
        <w:tblW w:w="994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46"/>
      </w:tblGrid>
      <w:tr w:rsidR="00BC6B56" w:rsidRPr="00200185" w14:paraId="023C0F75" w14:textId="77777777" w:rsidTr="00DF77F2">
        <w:trPr>
          <w:jc w:val="center"/>
        </w:trPr>
        <w:tc>
          <w:tcPr>
            <w:tcW w:w="9946" w:type="dxa"/>
          </w:tcPr>
          <w:p w14:paraId="65E24C11" w14:textId="77777777" w:rsidR="00BC6B56" w:rsidRPr="00DB4682" w:rsidRDefault="00BC6B56" w:rsidP="00447800">
            <w:pPr>
              <w:jc w:val="center"/>
              <w:rPr>
                <w:b/>
                <w:szCs w:val="26"/>
                <w:lang w:val="es-ES"/>
              </w:rPr>
            </w:pPr>
            <w:r w:rsidRPr="004752BF">
              <w:rPr>
                <w:b/>
                <w:szCs w:val="26"/>
                <w:lang w:val="es-ES"/>
              </w:rPr>
              <w:lastRenderedPageBreak/>
              <w:t>INDICADORES REGIONALES DE ACTIVIDAD EN EL SECTOR TURÍSTICO</w:t>
            </w:r>
          </w:p>
          <w:p w14:paraId="358D211C" w14:textId="77777777" w:rsidR="00BC6B56" w:rsidRPr="00200185" w:rsidRDefault="00BC6B56" w:rsidP="00447800">
            <w:pPr>
              <w:jc w:val="center"/>
              <w:rPr>
                <w:b/>
                <w:szCs w:val="26"/>
                <w:lang w:val="es-ES"/>
              </w:rPr>
            </w:pPr>
            <w:r>
              <w:rPr>
                <w:b/>
                <w:szCs w:val="26"/>
                <w:lang w:val="es-ES"/>
              </w:rPr>
              <w:t>-</w:t>
            </w:r>
            <w:r w:rsidRPr="00DB4682">
              <w:rPr>
                <w:b/>
                <w:szCs w:val="26"/>
                <w:lang w:val="es-ES"/>
              </w:rPr>
              <w:t>Variación anual en por ciento</w:t>
            </w:r>
            <w:r>
              <w:rPr>
                <w:b/>
                <w:szCs w:val="26"/>
                <w:lang w:val="es-ES"/>
              </w:rPr>
              <w:t>-</w:t>
            </w:r>
          </w:p>
        </w:tc>
      </w:tr>
      <w:tr w:rsidR="00BC6B56" w:rsidRPr="00DB2C4F" w14:paraId="3D8369D4" w14:textId="77777777" w:rsidTr="00DF77F2">
        <w:trPr>
          <w:jc w:val="center"/>
        </w:trPr>
        <w:tc>
          <w:tcPr>
            <w:tcW w:w="9946" w:type="dxa"/>
          </w:tcPr>
          <w:p w14:paraId="5529BEA4" w14:textId="77777777" w:rsidR="00BC6B56" w:rsidRPr="00DB2C4F" w:rsidRDefault="00BC6B56" w:rsidP="00447800">
            <w:pPr>
              <w:jc w:val="center"/>
              <w:rPr>
                <w:szCs w:val="26"/>
                <w:lang w:val="es-ES"/>
              </w:rPr>
            </w:pPr>
            <w:r w:rsidRPr="004752BF">
              <w:rPr>
                <w:noProof/>
                <w:szCs w:val="26"/>
                <w:lang w:eastAsia="es-MX"/>
              </w:rPr>
              <w:drawing>
                <wp:inline distT="0" distB="0" distL="0" distR="0" wp14:anchorId="22E8CC9F" wp14:editId="57FEB764">
                  <wp:extent cx="6178668" cy="3060000"/>
                  <wp:effectExtent l="0" t="0" r="0" b="7620"/>
                  <wp:docPr id="1672" name="Imagen 1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t="697" b="2095"/>
                          <a:stretch/>
                        </pic:blipFill>
                        <pic:spPr bwMode="auto">
                          <a:xfrm>
                            <a:off x="0" y="0"/>
                            <a:ext cx="6178668" cy="30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C6B56" w:rsidRPr="00DB2C4F" w14:paraId="4252B12E" w14:textId="77777777" w:rsidTr="00DF77F2">
        <w:trPr>
          <w:jc w:val="center"/>
        </w:trPr>
        <w:tc>
          <w:tcPr>
            <w:tcW w:w="9946" w:type="dxa"/>
          </w:tcPr>
          <w:p w14:paraId="757FC919" w14:textId="77777777" w:rsidR="00BC6B56" w:rsidRPr="00DB2C4F" w:rsidRDefault="00BC6B56" w:rsidP="00447800">
            <w:pPr>
              <w:ind w:left="1026" w:right="199" w:hanging="850"/>
              <w:jc w:val="both"/>
              <w:rPr>
                <w:sz w:val="20"/>
                <w:szCs w:val="26"/>
                <w:lang w:val="es-ES"/>
              </w:rPr>
            </w:pPr>
            <w:r w:rsidRPr="008A4614">
              <w:rPr>
                <w:sz w:val="20"/>
                <w:szCs w:val="26"/>
                <w:lang w:val="es-ES"/>
              </w:rPr>
              <w:t xml:space="preserve">FUENTE: </w:t>
            </w:r>
            <w:r w:rsidRPr="004752BF">
              <w:rPr>
                <w:sz w:val="20"/>
                <w:szCs w:val="26"/>
                <w:lang w:val="es-ES"/>
              </w:rPr>
              <w:t>Estimaciones del Banco de México con base en datos de la Secretaría de Turismo del Gobierno Federal y Aeropuertos y</w:t>
            </w:r>
            <w:r>
              <w:rPr>
                <w:sz w:val="20"/>
                <w:szCs w:val="26"/>
                <w:lang w:val="es-ES"/>
              </w:rPr>
              <w:t xml:space="preserve"> </w:t>
            </w:r>
            <w:r w:rsidRPr="004752BF">
              <w:rPr>
                <w:sz w:val="20"/>
                <w:szCs w:val="26"/>
                <w:lang w:val="es-ES"/>
              </w:rPr>
              <w:t>Servicios Auxiliares (ASA) ajustados por estacionalidad.</w:t>
            </w:r>
          </w:p>
        </w:tc>
      </w:tr>
    </w:tbl>
    <w:p w14:paraId="7963F72B" w14:textId="77777777" w:rsidR="00BC6B56" w:rsidRPr="00D26EC4" w:rsidRDefault="00BC6B56" w:rsidP="00BC6B56">
      <w:pPr>
        <w:spacing w:after="360" w:line="360" w:lineRule="auto"/>
        <w:ind w:right="-159"/>
        <w:jc w:val="both"/>
        <w:rPr>
          <w:sz w:val="26"/>
          <w:szCs w:val="26"/>
          <w:lang w:val="es-ES"/>
        </w:rPr>
      </w:pPr>
    </w:p>
    <w:p w14:paraId="0B0E1513" w14:textId="77777777" w:rsidR="00BC6B56" w:rsidRPr="0052618F" w:rsidRDefault="00BC6B56" w:rsidP="00BC6B56">
      <w:pPr>
        <w:spacing w:after="360" w:line="360" w:lineRule="auto"/>
        <w:ind w:right="-159"/>
        <w:jc w:val="both"/>
        <w:rPr>
          <w:sz w:val="26"/>
          <w:szCs w:val="26"/>
          <w:lang w:val="es-ES"/>
        </w:rPr>
      </w:pPr>
      <w:r w:rsidRPr="0052618F">
        <w:rPr>
          <w:sz w:val="26"/>
          <w:szCs w:val="26"/>
          <w:lang w:val="es-ES"/>
        </w:rPr>
        <w:t>Los directivos empresariales del sector turismo en las cuatro regiones destacaron</w:t>
      </w:r>
      <w:r>
        <w:rPr>
          <w:sz w:val="26"/>
          <w:szCs w:val="26"/>
          <w:lang w:val="es-ES"/>
        </w:rPr>
        <w:t xml:space="preserve"> </w:t>
      </w:r>
      <w:r w:rsidRPr="0052618F">
        <w:rPr>
          <w:sz w:val="26"/>
          <w:szCs w:val="26"/>
          <w:lang w:val="es-ES"/>
        </w:rPr>
        <w:t>el buen desempeño que tuvo el segmento del turismo de negocios. En el norte lo</w:t>
      </w:r>
      <w:r>
        <w:rPr>
          <w:sz w:val="26"/>
          <w:szCs w:val="26"/>
          <w:lang w:val="es-ES"/>
        </w:rPr>
        <w:t xml:space="preserve"> </w:t>
      </w:r>
      <w:r w:rsidRPr="0052618F">
        <w:rPr>
          <w:sz w:val="26"/>
          <w:szCs w:val="26"/>
          <w:lang w:val="es-ES"/>
        </w:rPr>
        <w:t>atribuyeron al dinamismo del sector automotriz y a las perspectivas de inversión en</w:t>
      </w:r>
      <w:r>
        <w:rPr>
          <w:sz w:val="26"/>
          <w:szCs w:val="26"/>
          <w:lang w:val="es-ES"/>
        </w:rPr>
        <w:t xml:space="preserve"> </w:t>
      </w:r>
      <w:r w:rsidRPr="0052618F">
        <w:rPr>
          <w:sz w:val="26"/>
          <w:szCs w:val="26"/>
          <w:lang w:val="es-ES"/>
        </w:rPr>
        <w:t>ese sector, así como en el energético, durante el próximo año. En el centro norte y</w:t>
      </w:r>
      <w:r>
        <w:rPr>
          <w:sz w:val="26"/>
          <w:szCs w:val="26"/>
          <w:lang w:val="es-ES"/>
        </w:rPr>
        <w:t xml:space="preserve"> </w:t>
      </w:r>
      <w:r w:rsidRPr="0052618F">
        <w:rPr>
          <w:sz w:val="26"/>
          <w:szCs w:val="26"/>
          <w:lang w:val="es-ES"/>
        </w:rPr>
        <w:t>en el centro lo asociaron con diversos factores. Entre éstos figuraron las</w:t>
      </w:r>
      <w:r>
        <w:rPr>
          <w:sz w:val="26"/>
          <w:szCs w:val="26"/>
          <w:lang w:val="es-ES"/>
        </w:rPr>
        <w:t xml:space="preserve"> </w:t>
      </w:r>
      <w:r w:rsidRPr="0052618F">
        <w:rPr>
          <w:sz w:val="26"/>
          <w:szCs w:val="26"/>
          <w:lang w:val="es-ES"/>
        </w:rPr>
        <w:t>inversiones extranjeras realizadas o por realizar en el sector automotriz, el</w:t>
      </w:r>
      <w:r>
        <w:rPr>
          <w:sz w:val="26"/>
          <w:szCs w:val="26"/>
          <w:lang w:val="es-ES"/>
        </w:rPr>
        <w:t xml:space="preserve"> </w:t>
      </w:r>
      <w:r w:rsidRPr="0052618F">
        <w:rPr>
          <w:sz w:val="26"/>
          <w:szCs w:val="26"/>
          <w:lang w:val="es-ES"/>
        </w:rPr>
        <w:t>dinamismo exportador del sector agropecuario, y la realización de congresos y</w:t>
      </w:r>
      <w:r>
        <w:rPr>
          <w:sz w:val="26"/>
          <w:szCs w:val="26"/>
          <w:lang w:val="es-ES"/>
        </w:rPr>
        <w:t xml:space="preserve"> </w:t>
      </w:r>
      <w:r w:rsidRPr="0052618F">
        <w:rPr>
          <w:sz w:val="26"/>
          <w:szCs w:val="26"/>
          <w:lang w:val="es-ES"/>
        </w:rPr>
        <w:t>convenciones. En el sur también señalaron el buen resultado que presentó el</w:t>
      </w:r>
      <w:r>
        <w:rPr>
          <w:sz w:val="26"/>
          <w:szCs w:val="26"/>
          <w:lang w:val="es-ES"/>
        </w:rPr>
        <w:t xml:space="preserve"> </w:t>
      </w:r>
      <w:r w:rsidRPr="0052618F">
        <w:rPr>
          <w:sz w:val="26"/>
          <w:szCs w:val="26"/>
          <w:lang w:val="es-ES"/>
        </w:rPr>
        <w:t>turismo de negocios, debido especialmente a la celebración de los Juegos</w:t>
      </w:r>
      <w:r>
        <w:rPr>
          <w:sz w:val="26"/>
          <w:szCs w:val="26"/>
          <w:lang w:val="es-ES"/>
        </w:rPr>
        <w:t xml:space="preserve"> </w:t>
      </w:r>
      <w:r w:rsidRPr="0052618F">
        <w:rPr>
          <w:sz w:val="26"/>
          <w:szCs w:val="26"/>
          <w:lang w:val="es-ES"/>
        </w:rPr>
        <w:t>Centroamericanos. Finalmente, en todos los destinos de playa destacaron como</w:t>
      </w:r>
      <w:r>
        <w:rPr>
          <w:sz w:val="26"/>
          <w:szCs w:val="26"/>
          <w:lang w:val="es-ES"/>
        </w:rPr>
        <w:t xml:space="preserve"> </w:t>
      </w:r>
      <w:r w:rsidRPr="0052618F">
        <w:rPr>
          <w:sz w:val="26"/>
          <w:szCs w:val="26"/>
          <w:lang w:val="es-ES"/>
        </w:rPr>
        <w:t>aspectos positivos para el sector turístico la depreciación del peso frente al dólar,</w:t>
      </w:r>
      <w:r>
        <w:rPr>
          <w:sz w:val="26"/>
          <w:szCs w:val="26"/>
          <w:lang w:val="es-ES"/>
        </w:rPr>
        <w:t xml:space="preserve"> </w:t>
      </w:r>
      <w:r w:rsidRPr="0052618F">
        <w:rPr>
          <w:sz w:val="26"/>
          <w:szCs w:val="26"/>
          <w:lang w:val="es-ES"/>
        </w:rPr>
        <w:t>las buenas condiciones climáticas (con excepción de Los Cabos) y una mejoría</w:t>
      </w:r>
      <w:r>
        <w:rPr>
          <w:sz w:val="26"/>
          <w:szCs w:val="26"/>
          <w:lang w:val="es-ES"/>
        </w:rPr>
        <w:t xml:space="preserve"> </w:t>
      </w:r>
      <w:r w:rsidRPr="0052618F">
        <w:rPr>
          <w:sz w:val="26"/>
          <w:szCs w:val="26"/>
          <w:lang w:val="es-ES"/>
        </w:rPr>
        <w:t>marginal en la percepción sobre la seguridad. No obstante, algunos directivos en</w:t>
      </w:r>
      <w:r>
        <w:rPr>
          <w:sz w:val="26"/>
          <w:szCs w:val="26"/>
          <w:lang w:val="es-ES"/>
        </w:rPr>
        <w:t xml:space="preserve"> </w:t>
      </w:r>
      <w:r w:rsidRPr="0052618F">
        <w:rPr>
          <w:sz w:val="26"/>
          <w:szCs w:val="26"/>
          <w:lang w:val="es-ES"/>
        </w:rPr>
        <w:t>Acapulco y Oaxaca mencionaron los efectos negativos que sobre la actividad</w:t>
      </w:r>
      <w:r>
        <w:rPr>
          <w:sz w:val="26"/>
          <w:szCs w:val="26"/>
          <w:lang w:val="es-ES"/>
        </w:rPr>
        <w:t xml:space="preserve"> </w:t>
      </w:r>
      <w:r w:rsidRPr="0052618F">
        <w:rPr>
          <w:sz w:val="26"/>
          <w:szCs w:val="26"/>
          <w:lang w:val="es-ES"/>
        </w:rPr>
        <w:t>comercial tuvieron los conflictos sociales allí registrados.</w:t>
      </w:r>
    </w:p>
    <w:p w14:paraId="364B3579" w14:textId="77777777" w:rsidR="00BC6B56" w:rsidRPr="007E40B8" w:rsidRDefault="00BC6B56" w:rsidP="00BC6B56">
      <w:pPr>
        <w:spacing w:after="360" w:line="360" w:lineRule="auto"/>
        <w:ind w:right="-159"/>
        <w:jc w:val="both"/>
        <w:rPr>
          <w:b/>
          <w:sz w:val="26"/>
          <w:szCs w:val="26"/>
          <w:lang w:val="es-ES"/>
        </w:rPr>
      </w:pPr>
      <w:r w:rsidRPr="007E40B8">
        <w:rPr>
          <w:b/>
          <w:sz w:val="26"/>
          <w:szCs w:val="26"/>
          <w:lang w:val="es-ES"/>
        </w:rPr>
        <w:lastRenderedPageBreak/>
        <w:t>1.2.6 Financiamiento</w:t>
      </w:r>
    </w:p>
    <w:p w14:paraId="7E4F25F0" w14:textId="77777777" w:rsidR="00BC6B56" w:rsidRDefault="00BC6B56" w:rsidP="00BC6B56">
      <w:pPr>
        <w:spacing w:after="360" w:line="360" w:lineRule="auto"/>
        <w:ind w:right="-159"/>
        <w:jc w:val="both"/>
        <w:rPr>
          <w:sz w:val="26"/>
          <w:szCs w:val="26"/>
          <w:lang w:val="es-ES"/>
        </w:rPr>
      </w:pPr>
      <w:r w:rsidRPr="0052618F">
        <w:rPr>
          <w:sz w:val="26"/>
          <w:szCs w:val="26"/>
          <w:lang w:val="es-ES"/>
        </w:rPr>
        <w:t>Durante el cuarto trimestre de 2014, de acuerdo con los resultados regionales de</w:t>
      </w:r>
      <w:r>
        <w:rPr>
          <w:sz w:val="26"/>
          <w:szCs w:val="26"/>
          <w:lang w:val="es-ES"/>
        </w:rPr>
        <w:t xml:space="preserve"> </w:t>
      </w:r>
      <w:r w:rsidRPr="0052618F">
        <w:rPr>
          <w:sz w:val="26"/>
          <w:szCs w:val="26"/>
          <w:lang w:val="es-ES"/>
        </w:rPr>
        <w:t>la Encuesta de Evaluación Coyuntural del Mercado Crediticio que levanta el Banco</w:t>
      </w:r>
      <w:r>
        <w:rPr>
          <w:sz w:val="26"/>
          <w:szCs w:val="26"/>
          <w:lang w:val="es-ES"/>
        </w:rPr>
        <w:t xml:space="preserve"> </w:t>
      </w:r>
      <w:r w:rsidRPr="0052618F">
        <w:rPr>
          <w:sz w:val="26"/>
          <w:szCs w:val="26"/>
          <w:lang w:val="es-ES"/>
        </w:rPr>
        <w:t>de México, el indicador de uso del financiamiento por parte de las empresas</w:t>
      </w:r>
      <w:r>
        <w:rPr>
          <w:sz w:val="26"/>
          <w:szCs w:val="26"/>
          <w:lang w:val="es-ES"/>
        </w:rPr>
        <w:t xml:space="preserve"> </w:t>
      </w:r>
      <w:r w:rsidRPr="0052618F">
        <w:rPr>
          <w:sz w:val="26"/>
          <w:szCs w:val="26"/>
          <w:lang w:val="es-ES"/>
        </w:rPr>
        <w:t>presentó diferencias entre las regiones, así como entre las principales fuentes de</w:t>
      </w:r>
      <w:r>
        <w:rPr>
          <w:sz w:val="26"/>
          <w:szCs w:val="26"/>
          <w:lang w:val="es-ES"/>
        </w:rPr>
        <w:t xml:space="preserve"> </w:t>
      </w:r>
      <w:r w:rsidRPr="0052618F">
        <w:rPr>
          <w:sz w:val="26"/>
          <w:szCs w:val="26"/>
          <w:lang w:val="es-ES"/>
        </w:rPr>
        <w:t>financiamiento. Por un lado, la expansión del financiamiento con recursos propios</w:t>
      </w:r>
      <w:r>
        <w:rPr>
          <w:sz w:val="26"/>
          <w:szCs w:val="26"/>
          <w:lang w:val="es-ES"/>
        </w:rPr>
        <w:t xml:space="preserve"> </w:t>
      </w:r>
      <w:r w:rsidRPr="0052618F">
        <w:rPr>
          <w:sz w:val="26"/>
          <w:szCs w:val="26"/>
          <w:lang w:val="es-ES"/>
        </w:rPr>
        <w:t>se fortaleció en las cuatro regiones del país (</w:t>
      </w:r>
      <w:r>
        <w:rPr>
          <w:sz w:val="26"/>
          <w:szCs w:val="26"/>
          <w:lang w:val="es-ES"/>
        </w:rPr>
        <w:t>g</w:t>
      </w:r>
      <w:r w:rsidRPr="0052618F">
        <w:rPr>
          <w:sz w:val="26"/>
          <w:szCs w:val="26"/>
          <w:lang w:val="es-ES"/>
        </w:rPr>
        <w:t>ráfica</w:t>
      </w:r>
      <w:r>
        <w:rPr>
          <w:sz w:val="26"/>
          <w:szCs w:val="26"/>
          <w:lang w:val="es-ES"/>
        </w:rPr>
        <w:t xml:space="preserve"> siguiente, sección a)</w:t>
      </w:r>
      <w:r w:rsidRPr="0052618F">
        <w:rPr>
          <w:sz w:val="26"/>
          <w:szCs w:val="26"/>
          <w:lang w:val="es-ES"/>
        </w:rPr>
        <w:t>). Por otro lado, los</w:t>
      </w:r>
      <w:r>
        <w:rPr>
          <w:sz w:val="26"/>
          <w:szCs w:val="26"/>
          <w:lang w:val="es-ES"/>
        </w:rPr>
        <w:t xml:space="preserve"> </w:t>
      </w:r>
      <w:r w:rsidRPr="0052618F">
        <w:rPr>
          <w:sz w:val="26"/>
          <w:szCs w:val="26"/>
          <w:lang w:val="es-ES"/>
        </w:rPr>
        <w:t>indicadores de uso del financiamiento de proveedores y de uso del crédito de la</w:t>
      </w:r>
      <w:r>
        <w:rPr>
          <w:sz w:val="26"/>
          <w:szCs w:val="26"/>
          <w:lang w:val="es-ES"/>
        </w:rPr>
        <w:t xml:space="preserve"> </w:t>
      </w:r>
      <w:r w:rsidRPr="0052618F">
        <w:rPr>
          <w:sz w:val="26"/>
          <w:szCs w:val="26"/>
          <w:lang w:val="es-ES"/>
        </w:rPr>
        <w:t>banca comercial, en general, se debilitaron (</w:t>
      </w:r>
      <w:r>
        <w:rPr>
          <w:sz w:val="26"/>
          <w:szCs w:val="26"/>
          <w:lang w:val="es-ES"/>
        </w:rPr>
        <w:t>g</w:t>
      </w:r>
      <w:r w:rsidRPr="0052618F">
        <w:rPr>
          <w:sz w:val="26"/>
          <w:szCs w:val="26"/>
          <w:lang w:val="es-ES"/>
        </w:rPr>
        <w:t>ráfica</w:t>
      </w:r>
      <w:r>
        <w:rPr>
          <w:sz w:val="26"/>
          <w:szCs w:val="26"/>
          <w:lang w:val="es-ES"/>
        </w:rPr>
        <w:t xml:space="preserve"> siguiente, secciones b) y c)</w:t>
      </w:r>
      <w:r w:rsidRPr="0052618F">
        <w:rPr>
          <w:sz w:val="26"/>
          <w:szCs w:val="26"/>
          <w:lang w:val="es-ES"/>
        </w:rPr>
        <w:t>).</w:t>
      </w:r>
    </w:p>
    <w:tbl>
      <w:tblPr>
        <w:tblStyle w:val="Tablaconcuadrcula"/>
        <w:tblW w:w="920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276"/>
      </w:tblGrid>
      <w:tr w:rsidR="00BC6B56" w:rsidRPr="00200185" w14:paraId="73741D9C" w14:textId="77777777" w:rsidTr="00447800">
        <w:trPr>
          <w:jc w:val="center"/>
        </w:trPr>
        <w:tc>
          <w:tcPr>
            <w:tcW w:w="9209" w:type="dxa"/>
          </w:tcPr>
          <w:p w14:paraId="3D6F773A" w14:textId="77777777" w:rsidR="00BC6B56" w:rsidRPr="00230D77" w:rsidRDefault="00BC6B56" w:rsidP="00447800">
            <w:pPr>
              <w:jc w:val="center"/>
              <w:rPr>
                <w:b/>
                <w:szCs w:val="26"/>
                <w:lang w:val="es-ES"/>
              </w:rPr>
            </w:pPr>
            <w:r w:rsidRPr="00230D77">
              <w:rPr>
                <w:b/>
                <w:szCs w:val="26"/>
                <w:lang w:val="es-ES"/>
              </w:rPr>
              <w:t>USO DE LAS PRINCIPALES FUENTES DE FINANCIAMIENTO</w:t>
            </w:r>
          </w:p>
          <w:p w14:paraId="783DBC77" w14:textId="77777777" w:rsidR="00BC6B56" w:rsidRPr="00200185" w:rsidRDefault="00BC6B56" w:rsidP="00447800">
            <w:pPr>
              <w:jc w:val="center"/>
              <w:rPr>
                <w:b/>
                <w:szCs w:val="26"/>
                <w:lang w:val="es-ES"/>
              </w:rPr>
            </w:pPr>
            <w:r>
              <w:rPr>
                <w:b/>
                <w:szCs w:val="26"/>
                <w:lang w:val="es-ES"/>
              </w:rPr>
              <w:t>-</w:t>
            </w:r>
            <w:r w:rsidRPr="00230D77">
              <w:rPr>
                <w:b/>
                <w:szCs w:val="26"/>
                <w:lang w:val="es-ES"/>
              </w:rPr>
              <w:t>Índice de difusión</w:t>
            </w:r>
            <w:r>
              <w:rPr>
                <w:b/>
                <w:szCs w:val="26"/>
                <w:lang w:val="es-ES"/>
              </w:rPr>
              <w:t>-</w:t>
            </w:r>
          </w:p>
        </w:tc>
      </w:tr>
      <w:tr w:rsidR="00BC6B56" w:rsidRPr="00DB2C4F" w14:paraId="5D7BA7AD" w14:textId="77777777" w:rsidTr="00447800">
        <w:trPr>
          <w:jc w:val="center"/>
        </w:trPr>
        <w:tc>
          <w:tcPr>
            <w:tcW w:w="9209" w:type="dxa"/>
          </w:tcPr>
          <w:p w14:paraId="48A0D797" w14:textId="77777777" w:rsidR="00BC6B56" w:rsidRPr="00DB2C4F" w:rsidRDefault="00BC6B56" w:rsidP="00447800">
            <w:pPr>
              <w:jc w:val="center"/>
              <w:rPr>
                <w:szCs w:val="26"/>
                <w:lang w:val="es-ES"/>
              </w:rPr>
            </w:pPr>
            <w:r w:rsidRPr="00230D77">
              <w:rPr>
                <w:noProof/>
                <w:szCs w:val="26"/>
                <w:lang w:eastAsia="es-MX"/>
              </w:rPr>
              <w:drawing>
                <wp:inline distT="0" distB="0" distL="0" distR="0" wp14:anchorId="61CE6A0B" wp14:editId="46C7055B">
                  <wp:extent cx="7023349" cy="1908000"/>
                  <wp:effectExtent l="0" t="0" r="0" b="0"/>
                  <wp:docPr id="1673" name="Imagen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t="1717"/>
                          <a:stretch/>
                        </pic:blipFill>
                        <pic:spPr bwMode="auto">
                          <a:xfrm>
                            <a:off x="0" y="0"/>
                            <a:ext cx="7023349" cy="1908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C6B56" w:rsidRPr="00DB2C4F" w14:paraId="0532C565" w14:textId="77777777" w:rsidTr="00447800">
        <w:trPr>
          <w:jc w:val="center"/>
        </w:trPr>
        <w:tc>
          <w:tcPr>
            <w:tcW w:w="9209" w:type="dxa"/>
          </w:tcPr>
          <w:p w14:paraId="6BDC804C" w14:textId="77777777" w:rsidR="00BC6B56" w:rsidRPr="00DB2C4F" w:rsidRDefault="00BC6B56" w:rsidP="00447800">
            <w:pPr>
              <w:ind w:left="1026" w:right="199" w:hanging="850"/>
              <w:jc w:val="both"/>
              <w:rPr>
                <w:sz w:val="20"/>
                <w:szCs w:val="26"/>
                <w:lang w:val="es-ES"/>
              </w:rPr>
            </w:pPr>
            <w:r w:rsidRPr="008A4614">
              <w:rPr>
                <w:sz w:val="20"/>
                <w:szCs w:val="26"/>
                <w:lang w:val="es-ES"/>
              </w:rPr>
              <w:t xml:space="preserve">FUENTE: </w:t>
            </w:r>
            <w:r w:rsidRPr="00230D77">
              <w:rPr>
                <w:sz w:val="20"/>
                <w:szCs w:val="26"/>
                <w:lang w:val="es-ES"/>
              </w:rPr>
              <w:t>Banco de México</w:t>
            </w:r>
            <w:r w:rsidRPr="004752BF">
              <w:rPr>
                <w:sz w:val="20"/>
                <w:szCs w:val="26"/>
                <w:lang w:val="es-ES"/>
              </w:rPr>
              <w:t>.</w:t>
            </w:r>
          </w:p>
        </w:tc>
      </w:tr>
    </w:tbl>
    <w:p w14:paraId="07CB68D2" w14:textId="77777777" w:rsidR="00BC6B56" w:rsidRDefault="00BC6B56" w:rsidP="00BC6B56">
      <w:pPr>
        <w:spacing w:after="360" w:line="360" w:lineRule="auto"/>
        <w:ind w:right="-159"/>
        <w:jc w:val="both"/>
        <w:rPr>
          <w:sz w:val="26"/>
          <w:szCs w:val="26"/>
          <w:lang w:val="es-ES"/>
        </w:rPr>
      </w:pPr>
    </w:p>
    <w:p w14:paraId="2180EB73" w14:textId="77777777" w:rsidR="00BC6B56" w:rsidRPr="00F126AB" w:rsidRDefault="00BC6B56" w:rsidP="00BC6B56">
      <w:pPr>
        <w:spacing w:after="360" w:line="360" w:lineRule="auto"/>
        <w:ind w:right="-159"/>
        <w:jc w:val="both"/>
        <w:rPr>
          <w:b/>
          <w:sz w:val="26"/>
          <w:szCs w:val="26"/>
          <w:lang w:val="es-ES"/>
        </w:rPr>
      </w:pPr>
      <w:r w:rsidRPr="00F126AB">
        <w:rPr>
          <w:b/>
          <w:sz w:val="26"/>
          <w:szCs w:val="26"/>
          <w:lang w:val="es-ES"/>
        </w:rPr>
        <w:t>1.2.7 Número de Trabajadores Afiliados al IMSS</w:t>
      </w:r>
    </w:p>
    <w:p w14:paraId="69D5663A" w14:textId="77777777" w:rsidR="00BC6B56" w:rsidRDefault="00BC6B56" w:rsidP="00BC6B56">
      <w:pPr>
        <w:spacing w:after="360" w:line="360" w:lineRule="auto"/>
        <w:ind w:right="-159"/>
        <w:jc w:val="both"/>
        <w:rPr>
          <w:sz w:val="26"/>
          <w:szCs w:val="26"/>
          <w:lang w:val="es-ES"/>
        </w:rPr>
      </w:pPr>
      <w:r w:rsidRPr="00BB50C3">
        <w:rPr>
          <w:sz w:val="26"/>
          <w:szCs w:val="26"/>
          <w:lang w:val="es-ES"/>
        </w:rPr>
        <w:t>En el cuarto trimestre de 2014 el número de trabajadores afiliados al IMSS continuó</w:t>
      </w:r>
      <w:r>
        <w:rPr>
          <w:sz w:val="26"/>
          <w:szCs w:val="26"/>
          <w:lang w:val="es-ES"/>
        </w:rPr>
        <w:t xml:space="preserve"> </w:t>
      </w:r>
      <w:r w:rsidRPr="00BB50C3">
        <w:rPr>
          <w:sz w:val="26"/>
          <w:szCs w:val="26"/>
          <w:lang w:val="es-ES"/>
        </w:rPr>
        <w:t>creciendo, incluso a un ritmo algo más elevado que en el trimestre previo en el caso</w:t>
      </w:r>
      <w:r>
        <w:rPr>
          <w:sz w:val="26"/>
          <w:szCs w:val="26"/>
          <w:lang w:val="es-ES"/>
        </w:rPr>
        <w:t xml:space="preserve"> </w:t>
      </w:r>
      <w:r w:rsidRPr="00BB50C3">
        <w:rPr>
          <w:sz w:val="26"/>
          <w:szCs w:val="26"/>
          <w:lang w:val="es-ES"/>
        </w:rPr>
        <w:t>de las regiones norte, centro norte y centro. La variación anual del indicador en el</w:t>
      </w:r>
      <w:r>
        <w:rPr>
          <w:sz w:val="26"/>
          <w:szCs w:val="26"/>
          <w:lang w:val="es-ES"/>
        </w:rPr>
        <w:t xml:space="preserve"> </w:t>
      </w:r>
      <w:r w:rsidRPr="00BB50C3">
        <w:rPr>
          <w:sz w:val="26"/>
          <w:szCs w:val="26"/>
          <w:lang w:val="es-ES"/>
        </w:rPr>
        <w:t>norte, centro norte, centro y sur fue 4.6, 4.2, 4.6 y 2.2</w:t>
      </w:r>
      <w:r>
        <w:rPr>
          <w:sz w:val="26"/>
          <w:szCs w:val="26"/>
          <w:lang w:val="es-ES"/>
        </w:rPr>
        <w:t>%</w:t>
      </w:r>
      <w:r w:rsidRPr="00BB50C3">
        <w:rPr>
          <w:sz w:val="26"/>
          <w:szCs w:val="26"/>
          <w:lang w:val="es-ES"/>
        </w:rPr>
        <w:t>, respectivamente</w:t>
      </w:r>
      <w:r>
        <w:rPr>
          <w:sz w:val="26"/>
          <w:szCs w:val="26"/>
          <w:lang w:val="es-ES"/>
        </w:rPr>
        <w:t xml:space="preserve"> </w:t>
      </w:r>
      <w:r w:rsidRPr="00BB50C3">
        <w:rPr>
          <w:sz w:val="26"/>
          <w:szCs w:val="26"/>
          <w:lang w:val="es-ES"/>
        </w:rPr>
        <w:t>(4.2, 3.8, 3.9 y 2.4</w:t>
      </w:r>
      <w:r>
        <w:rPr>
          <w:sz w:val="26"/>
          <w:szCs w:val="26"/>
          <w:lang w:val="es-ES"/>
        </w:rPr>
        <w:t>%</w:t>
      </w:r>
      <w:r w:rsidRPr="00BB50C3">
        <w:rPr>
          <w:sz w:val="26"/>
          <w:szCs w:val="26"/>
          <w:lang w:val="es-ES"/>
        </w:rPr>
        <w:t xml:space="preserve"> en el trimestre de previo, </w:t>
      </w:r>
      <w:r>
        <w:rPr>
          <w:sz w:val="26"/>
          <w:szCs w:val="26"/>
          <w:lang w:val="es-ES"/>
        </w:rPr>
        <w:t>g</w:t>
      </w:r>
      <w:r w:rsidRPr="00BB50C3">
        <w:rPr>
          <w:sz w:val="26"/>
          <w:szCs w:val="26"/>
          <w:lang w:val="es-ES"/>
        </w:rPr>
        <w:t xml:space="preserve">ráfica </w:t>
      </w:r>
      <w:r>
        <w:rPr>
          <w:sz w:val="26"/>
          <w:szCs w:val="26"/>
          <w:lang w:val="es-ES"/>
        </w:rPr>
        <w:t>siguiente</w:t>
      </w:r>
      <w:r w:rsidRPr="00BB50C3">
        <w:rPr>
          <w:sz w:val="26"/>
          <w:szCs w:val="26"/>
          <w:lang w:val="es-ES"/>
        </w:rPr>
        <w:t>). En las tres</w:t>
      </w:r>
      <w:r>
        <w:rPr>
          <w:sz w:val="26"/>
          <w:szCs w:val="26"/>
          <w:lang w:val="es-ES"/>
        </w:rPr>
        <w:t xml:space="preserve"> </w:t>
      </w:r>
      <w:r w:rsidRPr="00BB50C3">
        <w:rPr>
          <w:sz w:val="26"/>
          <w:szCs w:val="26"/>
          <w:lang w:val="es-ES"/>
        </w:rPr>
        <w:t>primeras regiones referidas la aceleración del indicador se observó en el sector</w:t>
      </w:r>
      <w:r>
        <w:rPr>
          <w:sz w:val="26"/>
          <w:szCs w:val="26"/>
          <w:lang w:val="es-ES"/>
        </w:rPr>
        <w:t xml:space="preserve"> </w:t>
      </w:r>
      <w:r w:rsidRPr="00BB50C3">
        <w:rPr>
          <w:sz w:val="26"/>
          <w:szCs w:val="26"/>
          <w:lang w:val="es-ES"/>
        </w:rPr>
        <w:t xml:space="preserve">manufacturero y en el de </w:t>
      </w:r>
      <w:r w:rsidRPr="00BB50C3">
        <w:rPr>
          <w:sz w:val="26"/>
          <w:szCs w:val="26"/>
          <w:lang w:val="es-ES"/>
        </w:rPr>
        <w:lastRenderedPageBreak/>
        <w:t>comunicaciones y transporte. Adicionalmente, en el norte</w:t>
      </w:r>
      <w:r>
        <w:rPr>
          <w:sz w:val="26"/>
          <w:szCs w:val="26"/>
          <w:lang w:val="es-ES"/>
        </w:rPr>
        <w:t xml:space="preserve"> </w:t>
      </w:r>
      <w:r w:rsidRPr="00BB50C3">
        <w:rPr>
          <w:sz w:val="26"/>
          <w:szCs w:val="26"/>
          <w:lang w:val="es-ES"/>
        </w:rPr>
        <w:t>y en el centro norte la referida aceleración se observó en los sectores agropecuario,</w:t>
      </w:r>
      <w:r>
        <w:rPr>
          <w:sz w:val="26"/>
          <w:szCs w:val="26"/>
          <w:lang w:val="es-ES"/>
        </w:rPr>
        <w:t xml:space="preserve"> </w:t>
      </w:r>
      <w:r w:rsidRPr="00BB50C3">
        <w:rPr>
          <w:sz w:val="26"/>
          <w:szCs w:val="26"/>
          <w:lang w:val="es-ES"/>
        </w:rPr>
        <w:t>comercial y de servicios sociales, y en el centro norte y en el centro, en la</w:t>
      </w:r>
      <w:r>
        <w:rPr>
          <w:sz w:val="26"/>
          <w:szCs w:val="26"/>
          <w:lang w:val="es-ES"/>
        </w:rPr>
        <w:t xml:space="preserve"> </w:t>
      </w:r>
      <w:r w:rsidRPr="00BB50C3">
        <w:rPr>
          <w:sz w:val="26"/>
          <w:szCs w:val="26"/>
          <w:lang w:val="es-ES"/>
        </w:rPr>
        <w:t>construcción. El menor dinamismo en el sur se asoció principalmente con la</w:t>
      </w:r>
      <w:r>
        <w:rPr>
          <w:sz w:val="26"/>
          <w:szCs w:val="26"/>
          <w:lang w:val="es-ES"/>
        </w:rPr>
        <w:t xml:space="preserve"> </w:t>
      </w:r>
      <w:r w:rsidRPr="00BB50C3">
        <w:rPr>
          <w:sz w:val="26"/>
          <w:szCs w:val="26"/>
          <w:lang w:val="es-ES"/>
        </w:rPr>
        <w:t>trayectoria del indicador en el sector de la minería y en el agropecuario.</w:t>
      </w:r>
    </w:p>
    <w:tbl>
      <w:tblPr>
        <w:tblStyle w:val="Tablaconcuadrcula"/>
        <w:tblW w:w="920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09"/>
      </w:tblGrid>
      <w:tr w:rsidR="00BC6B56" w:rsidRPr="00200185" w14:paraId="3771CBC1" w14:textId="77777777" w:rsidTr="00447800">
        <w:trPr>
          <w:jc w:val="center"/>
        </w:trPr>
        <w:tc>
          <w:tcPr>
            <w:tcW w:w="9209" w:type="dxa"/>
          </w:tcPr>
          <w:p w14:paraId="3ABFBBE7" w14:textId="77777777" w:rsidR="00BC6B56" w:rsidRPr="00F83CCF" w:rsidRDefault="00BC6B56" w:rsidP="00447800">
            <w:pPr>
              <w:jc w:val="center"/>
              <w:rPr>
                <w:b/>
                <w:szCs w:val="26"/>
                <w:lang w:val="es-ES"/>
              </w:rPr>
            </w:pPr>
            <w:r w:rsidRPr="00F83CCF">
              <w:rPr>
                <w:b/>
                <w:szCs w:val="26"/>
                <w:lang w:val="es-ES"/>
              </w:rPr>
              <w:t>NÚMERO DE TRABAJADORES AFILIADOS AL IMSS</w:t>
            </w:r>
          </w:p>
          <w:p w14:paraId="689857EB" w14:textId="77777777" w:rsidR="00BC6B56" w:rsidRPr="00200185" w:rsidRDefault="00BC6B56" w:rsidP="00447800">
            <w:pPr>
              <w:jc w:val="center"/>
              <w:rPr>
                <w:b/>
                <w:szCs w:val="26"/>
                <w:lang w:val="es-ES"/>
              </w:rPr>
            </w:pPr>
            <w:r>
              <w:rPr>
                <w:b/>
                <w:szCs w:val="26"/>
                <w:lang w:val="es-ES"/>
              </w:rPr>
              <w:t>-</w:t>
            </w:r>
            <w:r w:rsidRPr="00F83CCF">
              <w:rPr>
                <w:b/>
                <w:szCs w:val="26"/>
                <w:lang w:val="es-ES"/>
              </w:rPr>
              <w:t>Variación anual en por ciento</w:t>
            </w:r>
            <w:r>
              <w:rPr>
                <w:b/>
                <w:szCs w:val="26"/>
                <w:lang w:val="es-ES"/>
              </w:rPr>
              <w:t>-</w:t>
            </w:r>
          </w:p>
        </w:tc>
      </w:tr>
      <w:tr w:rsidR="00BC6B56" w:rsidRPr="00DB2C4F" w14:paraId="2E4EC53E" w14:textId="77777777" w:rsidTr="00447800">
        <w:trPr>
          <w:jc w:val="center"/>
        </w:trPr>
        <w:tc>
          <w:tcPr>
            <w:tcW w:w="9209" w:type="dxa"/>
          </w:tcPr>
          <w:p w14:paraId="23A28ED8" w14:textId="77777777" w:rsidR="00BC6B56" w:rsidRPr="00DB2C4F" w:rsidRDefault="00BC6B56" w:rsidP="00447800">
            <w:pPr>
              <w:jc w:val="center"/>
              <w:rPr>
                <w:szCs w:val="26"/>
                <w:lang w:val="es-ES"/>
              </w:rPr>
            </w:pPr>
            <w:r w:rsidRPr="00F83CCF">
              <w:rPr>
                <w:noProof/>
                <w:szCs w:val="26"/>
                <w:lang w:eastAsia="es-MX"/>
              </w:rPr>
              <w:drawing>
                <wp:inline distT="0" distB="0" distL="0" distR="0" wp14:anchorId="5C255A56" wp14:editId="20076CC3">
                  <wp:extent cx="5116001" cy="3168000"/>
                  <wp:effectExtent l="0" t="0" r="0" b="0"/>
                  <wp:docPr id="1674" name="Imagen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70" cstate="print">
                            <a:extLst>
                              <a:ext uri="{28A0092B-C50C-407E-A947-70E740481C1C}">
                                <a14:useLocalDpi xmlns:a14="http://schemas.microsoft.com/office/drawing/2010/main" val="0"/>
                              </a:ext>
                            </a:extLst>
                          </a:blip>
                          <a:srcRect t="4272" b="2839"/>
                          <a:stretch/>
                        </pic:blipFill>
                        <pic:spPr bwMode="auto">
                          <a:xfrm>
                            <a:off x="0" y="0"/>
                            <a:ext cx="5116001" cy="3168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C6B56" w:rsidRPr="00DB2C4F" w14:paraId="38ADCF22" w14:textId="77777777" w:rsidTr="00447800">
        <w:trPr>
          <w:jc w:val="center"/>
        </w:trPr>
        <w:tc>
          <w:tcPr>
            <w:tcW w:w="9209" w:type="dxa"/>
          </w:tcPr>
          <w:p w14:paraId="1EF1AE06" w14:textId="77777777" w:rsidR="00BC6B56" w:rsidRPr="00DB2C4F" w:rsidRDefault="00BC6B56" w:rsidP="00447800">
            <w:pPr>
              <w:ind w:left="1502" w:right="879" w:hanging="901"/>
              <w:jc w:val="both"/>
              <w:rPr>
                <w:sz w:val="20"/>
                <w:szCs w:val="26"/>
                <w:lang w:val="es-ES"/>
              </w:rPr>
            </w:pPr>
            <w:r w:rsidRPr="008A4614">
              <w:rPr>
                <w:sz w:val="20"/>
                <w:szCs w:val="26"/>
                <w:lang w:val="es-ES"/>
              </w:rPr>
              <w:t xml:space="preserve">FUENTE: </w:t>
            </w:r>
            <w:r w:rsidRPr="00F83CCF">
              <w:rPr>
                <w:sz w:val="20"/>
                <w:szCs w:val="26"/>
                <w:lang w:val="es-ES"/>
              </w:rPr>
              <w:t>Estimaciones del Banco de México con base en datos del IMSS ajustados por estacionalidad</w:t>
            </w:r>
            <w:r w:rsidRPr="004752BF">
              <w:rPr>
                <w:sz w:val="20"/>
                <w:szCs w:val="26"/>
                <w:lang w:val="es-ES"/>
              </w:rPr>
              <w:t>.</w:t>
            </w:r>
          </w:p>
        </w:tc>
      </w:tr>
    </w:tbl>
    <w:p w14:paraId="7EF0129B" w14:textId="77777777" w:rsidR="00BC6B56" w:rsidRDefault="00BC6B56" w:rsidP="00BC6B56">
      <w:pPr>
        <w:spacing w:after="360" w:line="360" w:lineRule="auto"/>
        <w:ind w:right="-159"/>
        <w:jc w:val="both"/>
        <w:rPr>
          <w:sz w:val="26"/>
          <w:szCs w:val="26"/>
          <w:lang w:val="es-ES"/>
        </w:rPr>
      </w:pPr>
    </w:p>
    <w:p w14:paraId="5B06BA8B" w14:textId="77777777" w:rsidR="00BC6B56" w:rsidRPr="006273E9" w:rsidRDefault="00BC6B56" w:rsidP="00BC6B56">
      <w:pPr>
        <w:spacing w:after="360" w:line="360" w:lineRule="auto"/>
        <w:ind w:right="-159"/>
        <w:jc w:val="both"/>
        <w:rPr>
          <w:b/>
          <w:sz w:val="26"/>
          <w:szCs w:val="26"/>
          <w:lang w:val="es-ES"/>
        </w:rPr>
      </w:pPr>
      <w:r w:rsidRPr="006273E9">
        <w:rPr>
          <w:b/>
          <w:sz w:val="26"/>
          <w:szCs w:val="26"/>
          <w:lang w:val="es-ES"/>
        </w:rPr>
        <w:t>1.3 Confianza de los Consumidores</w:t>
      </w:r>
    </w:p>
    <w:p w14:paraId="2C2F589D" w14:textId="77777777" w:rsidR="00BC6B56" w:rsidRDefault="00BC6B56" w:rsidP="00BC6B56">
      <w:pPr>
        <w:spacing w:after="360" w:line="360" w:lineRule="auto"/>
        <w:ind w:right="-159"/>
        <w:jc w:val="both"/>
        <w:rPr>
          <w:sz w:val="26"/>
          <w:szCs w:val="26"/>
          <w:lang w:val="es-ES"/>
        </w:rPr>
      </w:pPr>
      <w:r w:rsidRPr="00BB50C3">
        <w:rPr>
          <w:sz w:val="26"/>
          <w:szCs w:val="26"/>
          <w:lang w:val="es-ES"/>
        </w:rPr>
        <w:t>Durante el cuarto trimestre de 2014 la confianza de los consumidores presentó una</w:t>
      </w:r>
      <w:r>
        <w:rPr>
          <w:sz w:val="26"/>
          <w:szCs w:val="26"/>
          <w:lang w:val="es-ES"/>
        </w:rPr>
        <w:t xml:space="preserve"> </w:t>
      </w:r>
      <w:r w:rsidRPr="00BB50C3">
        <w:rPr>
          <w:sz w:val="26"/>
          <w:szCs w:val="26"/>
          <w:lang w:val="es-ES"/>
        </w:rPr>
        <w:t>mejoría en las cuatro regiones del país, si bien el indicador continuó ubicándose</w:t>
      </w:r>
      <w:r>
        <w:rPr>
          <w:sz w:val="26"/>
          <w:szCs w:val="26"/>
          <w:lang w:val="es-ES"/>
        </w:rPr>
        <w:t xml:space="preserve"> </w:t>
      </w:r>
      <w:r w:rsidRPr="00BB50C3">
        <w:rPr>
          <w:sz w:val="26"/>
          <w:szCs w:val="26"/>
          <w:lang w:val="es-ES"/>
        </w:rPr>
        <w:t>por debajo del nivel que alcanzó al inicio de 2013. Dicha mejoría fue más notoria</w:t>
      </w:r>
      <w:r>
        <w:rPr>
          <w:sz w:val="26"/>
          <w:szCs w:val="26"/>
          <w:lang w:val="es-ES"/>
        </w:rPr>
        <w:t xml:space="preserve"> </w:t>
      </w:r>
      <w:r w:rsidRPr="00BB50C3">
        <w:rPr>
          <w:sz w:val="26"/>
          <w:szCs w:val="26"/>
          <w:lang w:val="es-ES"/>
        </w:rPr>
        <w:t>en el caso de las regiones norte y sur, y relativamente baja en el caso de las</w:t>
      </w:r>
      <w:r>
        <w:rPr>
          <w:sz w:val="26"/>
          <w:szCs w:val="26"/>
          <w:lang w:val="es-ES"/>
        </w:rPr>
        <w:t xml:space="preserve"> </w:t>
      </w:r>
      <w:r w:rsidRPr="00BB50C3">
        <w:rPr>
          <w:sz w:val="26"/>
          <w:szCs w:val="26"/>
          <w:lang w:val="es-ES"/>
        </w:rPr>
        <w:t>regiones centrales (</w:t>
      </w:r>
      <w:r>
        <w:rPr>
          <w:sz w:val="26"/>
          <w:szCs w:val="26"/>
          <w:lang w:val="es-ES"/>
        </w:rPr>
        <w:t>g</w:t>
      </w:r>
      <w:r w:rsidRPr="00BB50C3">
        <w:rPr>
          <w:sz w:val="26"/>
          <w:szCs w:val="26"/>
          <w:lang w:val="es-ES"/>
        </w:rPr>
        <w:t xml:space="preserve">ráfica </w:t>
      </w:r>
      <w:r>
        <w:rPr>
          <w:sz w:val="26"/>
          <w:szCs w:val="26"/>
          <w:lang w:val="es-ES"/>
        </w:rPr>
        <w:t>siguiente</w:t>
      </w:r>
      <w:r w:rsidRPr="00BB50C3">
        <w:rPr>
          <w:sz w:val="26"/>
          <w:szCs w:val="26"/>
          <w:lang w:val="es-ES"/>
        </w:rPr>
        <w:t>). En todas las regiones se observó un mayor</w:t>
      </w:r>
      <w:r>
        <w:rPr>
          <w:sz w:val="26"/>
          <w:szCs w:val="26"/>
          <w:lang w:val="es-ES"/>
        </w:rPr>
        <w:t xml:space="preserve"> </w:t>
      </w:r>
      <w:r w:rsidRPr="00BB50C3">
        <w:rPr>
          <w:sz w:val="26"/>
          <w:szCs w:val="26"/>
          <w:lang w:val="es-ES"/>
        </w:rPr>
        <w:t>optimismo de los hogares respecto a su situación económica, tanto actual como</w:t>
      </w:r>
      <w:r>
        <w:rPr>
          <w:sz w:val="26"/>
          <w:szCs w:val="26"/>
          <w:lang w:val="es-ES"/>
        </w:rPr>
        <w:t xml:space="preserve"> </w:t>
      </w:r>
      <w:r w:rsidRPr="00BB50C3">
        <w:rPr>
          <w:sz w:val="26"/>
          <w:szCs w:val="26"/>
          <w:lang w:val="es-ES"/>
        </w:rPr>
        <w:t xml:space="preserve">esperada. Adicionalmente, en la </w:t>
      </w:r>
      <w:r w:rsidRPr="00BB50C3">
        <w:rPr>
          <w:sz w:val="26"/>
          <w:szCs w:val="26"/>
          <w:lang w:val="es-ES"/>
        </w:rPr>
        <w:lastRenderedPageBreak/>
        <w:t>región norte se observó una mejoría notoria en</w:t>
      </w:r>
      <w:r>
        <w:rPr>
          <w:sz w:val="26"/>
          <w:szCs w:val="26"/>
          <w:lang w:val="es-ES"/>
        </w:rPr>
        <w:t xml:space="preserve"> </w:t>
      </w:r>
      <w:r w:rsidRPr="00BB50C3">
        <w:rPr>
          <w:sz w:val="26"/>
          <w:szCs w:val="26"/>
          <w:lang w:val="es-ES"/>
        </w:rPr>
        <w:t>torno a las perspectivas sobre la situación económica actual y futura del país.</w:t>
      </w:r>
    </w:p>
    <w:tbl>
      <w:tblPr>
        <w:tblStyle w:val="Tablaconcuadrcula"/>
        <w:tblW w:w="920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09"/>
      </w:tblGrid>
      <w:tr w:rsidR="00BC6B56" w:rsidRPr="00200185" w14:paraId="58D42EFA" w14:textId="77777777" w:rsidTr="00447800">
        <w:trPr>
          <w:jc w:val="center"/>
        </w:trPr>
        <w:tc>
          <w:tcPr>
            <w:tcW w:w="9209" w:type="dxa"/>
          </w:tcPr>
          <w:p w14:paraId="2F674B04" w14:textId="77777777" w:rsidR="00BC6B56" w:rsidRPr="00654F26" w:rsidRDefault="00BC6B56" w:rsidP="00447800">
            <w:pPr>
              <w:jc w:val="center"/>
              <w:rPr>
                <w:b/>
                <w:szCs w:val="26"/>
                <w:lang w:val="es-ES"/>
              </w:rPr>
            </w:pPr>
            <w:r w:rsidRPr="00654F26">
              <w:rPr>
                <w:b/>
                <w:szCs w:val="26"/>
                <w:lang w:val="es-ES"/>
              </w:rPr>
              <w:t>ÍNDICE REGIONAL DE CONFIANZA DEL CONSUMIDOR</w:t>
            </w:r>
          </w:p>
          <w:p w14:paraId="28B592F9" w14:textId="77777777" w:rsidR="00BC6B56" w:rsidRPr="00200185" w:rsidRDefault="00BC6B56" w:rsidP="00447800">
            <w:pPr>
              <w:jc w:val="center"/>
              <w:rPr>
                <w:b/>
                <w:szCs w:val="26"/>
                <w:lang w:val="es-ES"/>
              </w:rPr>
            </w:pPr>
            <w:r>
              <w:rPr>
                <w:b/>
                <w:szCs w:val="26"/>
                <w:lang w:val="es-ES"/>
              </w:rPr>
              <w:t>-</w:t>
            </w:r>
            <w:r w:rsidRPr="00654F26">
              <w:rPr>
                <w:b/>
                <w:szCs w:val="26"/>
                <w:lang w:val="es-ES"/>
              </w:rPr>
              <w:t>Base junio 2008 = 100</w:t>
            </w:r>
            <w:r>
              <w:rPr>
                <w:b/>
                <w:szCs w:val="26"/>
                <w:lang w:val="es-ES"/>
              </w:rPr>
              <w:t>-</w:t>
            </w:r>
          </w:p>
        </w:tc>
      </w:tr>
      <w:tr w:rsidR="00BC6B56" w:rsidRPr="00DB2C4F" w14:paraId="2A3A5A4F" w14:textId="77777777" w:rsidTr="00447800">
        <w:trPr>
          <w:jc w:val="center"/>
        </w:trPr>
        <w:tc>
          <w:tcPr>
            <w:tcW w:w="9209" w:type="dxa"/>
          </w:tcPr>
          <w:p w14:paraId="5F1B0276" w14:textId="77777777" w:rsidR="00BC6B56" w:rsidRPr="00DB2C4F" w:rsidRDefault="00BC6B56" w:rsidP="00447800">
            <w:pPr>
              <w:jc w:val="center"/>
              <w:rPr>
                <w:szCs w:val="26"/>
                <w:lang w:val="es-ES"/>
              </w:rPr>
            </w:pPr>
            <w:r w:rsidRPr="00654F26">
              <w:rPr>
                <w:noProof/>
                <w:szCs w:val="26"/>
                <w:lang w:eastAsia="es-MX"/>
              </w:rPr>
              <w:drawing>
                <wp:inline distT="0" distB="0" distL="0" distR="0" wp14:anchorId="57E42E4F" wp14:editId="67D172C0">
                  <wp:extent cx="5530757" cy="2700000"/>
                  <wp:effectExtent l="0" t="0" r="0" b="5715"/>
                  <wp:docPr id="1675" name="Imagen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71" cstate="print">
                            <a:extLst>
                              <a:ext uri="{28A0092B-C50C-407E-A947-70E740481C1C}">
                                <a14:useLocalDpi xmlns:a14="http://schemas.microsoft.com/office/drawing/2010/main" val="0"/>
                              </a:ext>
                            </a:extLst>
                          </a:blip>
                          <a:srcRect t="4762" b="1806"/>
                          <a:stretch/>
                        </pic:blipFill>
                        <pic:spPr bwMode="auto">
                          <a:xfrm>
                            <a:off x="0" y="0"/>
                            <a:ext cx="5530757" cy="270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C6B56" w:rsidRPr="00DB2C4F" w14:paraId="7F81D98B" w14:textId="77777777" w:rsidTr="00447800">
        <w:trPr>
          <w:jc w:val="center"/>
        </w:trPr>
        <w:tc>
          <w:tcPr>
            <w:tcW w:w="9209" w:type="dxa"/>
          </w:tcPr>
          <w:p w14:paraId="1BA762B1" w14:textId="77777777" w:rsidR="00BC6B56" w:rsidRPr="00DB2C4F" w:rsidRDefault="00BC6B56" w:rsidP="00447800">
            <w:pPr>
              <w:ind w:left="1110" w:right="170" w:hanging="934"/>
              <w:jc w:val="both"/>
              <w:rPr>
                <w:sz w:val="20"/>
                <w:szCs w:val="26"/>
                <w:lang w:val="es-ES"/>
              </w:rPr>
            </w:pPr>
            <w:r w:rsidRPr="008A4614">
              <w:rPr>
                <w:sz w:val="20"/>
                <w:szCs w:val="26"/>
                <w:lang w:val="es-ES"/>
              </w:rPr>
              <w:t xml:space="preserve">FUENTE: </w:t>
            </w:r>
            <w:r w:rsidRPr="00654F26">
              <w:rPr>
                <w:sz w:val="20"/>
                <w:szCs w:val="26"/>
                <w:lang w:val="es-ES"/>
              </w:rPr>
              <w:t>Estimaciones del Banco de México con base en datos propios y del INEGI ajustados por estacionalidad</w:t>
            </w:r>
            <w:r w:rsidRPr="004752BF">
              <w:rPr>
                <w:sz w:val="20"/>
                <w:szCs w:val="26"/>
                <w:lang w:val="es-ES"/>
              </w:rPr>
              <w:t>.</w:t>
            </w:r>
          </w:p>
        </w:tc>
      </w:tr>
    </w:tbl>
    <w:p w14:paraId="3383A102" w14:textId="77777777" w:rsidR="00BC6B56" w:rsidRDefault="00BC6B56" w:rsidP="00BC6B56">
      <w:pPr>
        <w:spacing w:after="360" w:line="360" w:lineRule="auto"/>
        <w:ind w:right="-159"/>
        <w:jc w:val="both"/>
        <w:rPr>
          <w:sz w:val="26"/>
          <w:szCs w:val="26"/>
          <w:lang w:val="es-ES"/>
        </w:rPr>
      </w:pPr>
    </w:p>
    <w:p w14:paraId="5BC498C6" w14:textId="77777777" w:rsidR="00BC6B56" w:rsidRPr="006273E9" w:rsidRDefault="00BC6B56" w:rsidP="00BC6B56">
      <w:pPr>
        <w:spacing w:after="360" w:line="360" w:lineRule="auto"/>
        <w:ind w:right="-159"/>
        <w:jc w:val="both"/>
        <w:rPr>
          <w:b/>
          <w:sz w:val="26"/>
          <w:szCs w:val="26"/>
          <w:lang w:val="es-ES"/>
        </w:rPr>
      </w:pPr>
      <w:r w:rsidRPr="006273E9">
        <w:rPr>
          <w:b/>
          <w:sz w:val="26"/>
          <w:szCs w:val="26"/>
          <w:lang w:val="es-ES"/>
        </w:rPr>
        <w:t>2. Inflación Regional</w:t>
      </w:r>
    </w:p>
    <w:p w14:paraId="2025D5F9" w14:textId="77777777" w:rsidR="00BC6B56" w:rsidRDefault="00BC6B56" w:rsidP="00BC6B56">
      <w:pPr>
        <w:spacing w:after="360" w:line="360" w:lineRule="auto"/>
        <w:ind w:right="-159"/>
        <w:jc w:val="both"/>
        <w:rPr>
          <w:sz w:val="26"/>
          <w:szCs w:val="26"/>
          <w:lang w:val="es-ES"/>
        </w:rPr>
      </w:pPr>
      <w:r w:rsidRPr="00BB50C3">
        <w:rPr>
          <w:sz w:val="26"/>
          <w:szCs w:val="26"/>
          <w:lang w:val="es-ES"/>
        </w:rPr>
        <w:t>La inflación general anual alcanzó su nivel máximo reciente en la mayoría de las</w:t>
      </w:r>
      <w:r>
        <w:rPr>
          <w:sz w:val="26"/>
          <w:szCs w:val="26"/>
          <w:lang w:val="es-ES"/>
        </w:rPr>
        <w:t xml:space="preserve"> </w:t>
      </w:r>
      <w:r w:rsidRPr="00BB50C3">
        <w:rPr>
          <w:sz w:val="26"/>
          <w:szCs w:val="26"/>
          <w:lang w:val="es-ES"/>
        </w:rPr>
        <w:t>regiones del país en octubre de 2014. Ello obedeció a los efectos de las</w:t>
      </w:r>
      <w:r>
        <w:rPr>
          <w:sz w:val="26"/>
          <w:szCs w:val="26"/>
          <w:lang w:val="es-ES"/>
        </w:rPr>
        <w:t xml:space="preserve"> </w:t>
      </w:r>
      <w:r w:rsidRPr="00BB50C3">
        <w:rPr>
          <w:sz w:val="26"/>
          <w:szCs w:val="26"/>
          <w:lang w:val="es-ES"/>
        </w:rPr>
        <w:t>modificaciones fiscales que entraron en vigor a inicios del año y de choques</w:t>
      </w:r>
      <w:r>
        <w:rPr>
          <w:sz w:val="26"/>
          <w:szCs w:val="26"/>
          <w:lang w:val="es-ES"/>
        </w:rPr>
        <w:t xml:space="preserve"> </w:t>
      </w:r>
      <w:r w:rsidRPr="00BB50C3">
        <w:rPr>
          <w:sz w:val="26"/>
          <w:szCs w:val="26"/>
          <w:lang w:val="es-ES"/>
        </w:rPr>
        <w:t>transitorios que afectaron el componente no subyacente, mayormente durante el</w:t>
      </w:r>
      <w:r>
        <w:rPr>
          <w:sz w:val="26"/>
          <w:szCs w:val="26"/>
          <w:lang w:val="es-ES"/>
        </w:rPr>
        <w:t xml:space="preserve"> </w:t>
      </w:r>
      <w:r w:rsidRPr="00BB50C3">
        <w:rPr>
          <w:sz w:val="26"/>
          <w:szCs w:val="26"/>
          <w:lang w:val="es-ES"/>
        </w:rPr>
        <w:t>tercer trimestre. A partir de noviembre de 2014 la inflación general comenzó a</w:t>
      </w:r>
      <w:r>
        <w:rPr>
          <w:sz w:val="26"/>
          <w:szCs w:val="26"/>
          <w:lang w:val="es-ES"/>
        </w:rPr>
        <w:t xml:space="preserve"> </w:t>
      </w:r>
      <w:r w:rsidRPr="00BB50C3">
        <w:rPr>
          <w:sz w:val="26"/>
          <w:szCs w:val="26"/>
          <w:lang w:val="es-ES"/>
        </w:rPr>
        <w:t>mostrar una tendencia a la baja en las cuatro regiones del país. Así, al cierre del</w:t>
      </w:r>
      <w:r>
        <w:rPr>
          <w:sz w:val="26"/>
          <w:szCs w:val="26"/>
          <w:lang w:val="es-ES"/>
        </w:rPr>
        <w:t xml:space="preserve"> </w:t>
      </w:r>
      <w:r w:rsidRPr="00BB50C3">
        <w:rPr>
          <w:sz w:val="26"/>
          <w:szCs w:val="26"/>
          <w:lang w:val="es-ES"/>
        </w:rPr>
        <w:t>año la inflación en el norte, centro norte, centro y sur</w:t>
      </w:r>
      <w:r>
        <w:rPr>
          <w:sz w:val="26"/>
          <w:szCs w:val="26"/>
          <w:lang w:val="es-ES"/>
        </w:rPr>
        <w:t xml:space="preserve"> fue 3.44, 3.89, 4.39 y 4.49% (g</w:t>
      </w:r>
      <w:r w:rsidRPr="00BB50C3">
        <w:rPr>
          <w:sz w:val="26"/>
          <w:szCs w:val="26"/>
          <w:lang w:val="es-ES"/>
        </w:rPr>
        <w:t xml:space="preserve">ráfica </w:t>
      </w:r>
      <w:r>
        <w:rPr>
          <w:sz w:val="26"/>
          <w:szCs w:val="26"/>
          <w:lang w:val="es-ES"/>
        </w:rPr>
        <w:t>siguiente</w:t>
      </w:r>
      <w:r w:rsidRPr="00BB50C3">
        <w:rPr>
          <w:sz w:val="26"/>
          <w:szCs w:val="26"/>
          <w:lang w:val="es-ES"/>
        </w:rPr>
        <w:t>). Dicha tendencia a la baja se intensificó con una importante</w:t>
      </w:r>
      <w:r>
        <w:rPr>
          <w:sz w:val="26"/>
          <w:szCs w:val="26"/>
          <w:lang w:val="es-ES"/>
        </w:rPr>
        <w:t xml:space="preserve"> </w:t>
      </w:r>
      <w:r w:rsidRPr="00BB50C3">
        <w:rPr>
          <w:sz w:val="26"/>
          <w:szCs w:val="26"/>
          <w:lang w:val="es-ES"/>
        </w:rPr>
        <w:t>disminución adicional en enero de 2015. Ello se debió a que no se volvieron a</w:t>
      </w:r>
      <w:r>
        <w:rPr>
          <w:sz w:val="26"/>
          <w:szCs w:val="26"/>
          <w:lang w:val="es-ES"/>
        </w:rPr>
        <w:t xml:space="preserve"> </w:t>
      </w:r>
      <w:r w:rsidRPr="00BB50C3">
        <w:rPr>
          <w:sz w:val="26"/>
          <w:szCs w:val="26"/>
          <w:lang w:val="es-ES"/>
        </w:rPr>
        <w:t>presentar los incrementos de precios que el año previo tuvieron lugar a raíz de las</w:t>
      </w:r>
      <w:r>
        <w:rPr>
          <w:sz w:val="26"/>
          <w:szCs w:val="26"/>
          <w:lang w:val="es-ES"/>
        </w:rPr>
        <w:t xml:space="preserve"> </w:t>
      </w:r>
      <w:r w:rsidRPr="00BB50C3">
        <w:rPr>
          <w:sz w:val="26"/>
          <w:szCs w:val="26"/>
          <w:lang w:val="es-ES"/>
        </w:rPr>
        <w:t>modificaciones fiscales, a las reducciones de precio en los servicios de telefonía y</w:t>
      </w:r>
      <w:r>
        <w:rPr>
          <w:sz w:val="26"/>
          <w:szCs w:val="26"/>
          <w:lang w:val="es-ES"/>
        </w:rPr>
        <w:t xml:space="preserve"> </w:t>
      </w:r>
      <w:r w:rsidRPr="00BB50C3">
        <w:rPr>
          <w:sz w:val="26"/>
          <w:szCs w:val="26"/>
          <w:lang w:val="es-ES"/>
        </w:rPr>
        <w:t xml:space="preserve">a menores incrementos en los precios de los energéticos, destacando </w:t>
      </w:r>
      <w:r w:rsidRPr="00BB50C3">
        <w:rPr>
          <w:sz w:val="26"/>
          <w:szCs w:val="26"/>
          <w:lang w:val="es-ES"/>
        </w:rPr>
        <w:lastRenderedPageBreak/>
        <w:t>aquéllos de</w:t>
      </w:r>
      <w:r>
        <w:rPr>
          <w:sz w:val="26"/>
          <w:szCs w:val="26"/>
          <w:lang w:val="es-ES"/>
        </w:rPr>
        <w:t xml:space="preserve"> </w:t>
      </w:r>
      <w:r w:rsidRPr="00BB50C3">
        <w:rPr>
          <w:sz w:val="26"/>
          <w:szCs w:val="26"/>
          <w:lang w:val="es-ES"/>
        </w:rPr>
        <w:t>las gasolinas. Posteriormente, en febrero de 2015 la inflación general anual registró</w:t>
      </w:r>
      <w:r>
        <w:rPr>
          <w:sz w:val="26"/>
          <w:szCs w:val="26"/>
          <w:lang w:val="es-ES"/>
        </w:rPr>
        <w:t xml:space="preserve"> </w:t>
      </w:r>
      <w:r w:rsidRPr="00BB50C3">
        <w:rPr>
          <w:sz w:val="26"/>
          <w:szCs w:val="26"/>
          <w:lang w:val="es-ES"/>
        </w:rPr>
        <w:t>valores similares a los de enero y se situó en 1.80, 2.93, 3.55 y 3.48</w:t>
      </w:r>
      <w:r>
        <w:rPr>
          <w:sz w:val="26"/>
          <w:szCs w:val="26"/>
          <w:lang w:val="es-ES"/>
        </w:rPr>
        <w:t>%</w:t>
      </w:r>
      <w:r w:rsidRPr="00BB50C3">
        <w:rPr>
          <w:sz w:val="26"/>
          <w:szCs w:val="26"/>
          <w:lang w:val="es-ES"/>
        </w:rPr>
        <w:t>, en</w:t>
      </w:r>
      <w:r>
        <w:rPr>
          <w:sz w:val="26"/>
          <w:szCs w:val="26"/>
          <w:lang w:val="es-ES"/>
        </w:rPr>
        <w:t xml:space="preserve"> </w:t>
      </w:r>
      <w:r w:rsidRPr="00BB50C3">
        <w:rPr>
          <w:sz w:val="26"/>
          <w:szCs w:val="26"/>
          <w:lang w:val="es-ES"/>
        </w:rPr>
        <w:t>las regiones norte, centro norte, centro y sur, respectivamente.</w:t>
      </w:r>
    </w:p>
    <w:tbl>
      <w:tblPr>
        <w:tblStyle w:val="Tablaconcuadrcula"/>
        <w:tblW w:w="920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09"/>
      </w:tblGrid>
      <w:tr w:rsidR="00BC6B56" w:rsidRPr="00200185" w14:paraId="41D409F1" w14:textId="77777777" w:rsidTr="00447800">
        <w:trPr>
          <w:jc w:val="center"/>
        </w:trPr>
        <w:tc>
          <w:tcPr>
            <w:tcW w:w="9209" w:type="dxa"/>
          </w:tcPr>
          <w:p w14:paraId="668E7677" w14:textId="77777777" w:rsidR="00BC6B56" w:rsidRPr="00BA59AA" w:rsidRDefault="00BC6B56" w:rsidP="00447800">
            <w:pPr>
              <w:jc w:val="center"/>
              <w:rPr>
                <w:b/>
                <w:szCs w:val="26"/>
                <w:lang w:val="es-ES"/>
              </w:rPr>
            </w:pPr>
            <w:r w:rsidRPr="00BA59AA">
              <w:rPr>
                <w:b/>
                <w:szCs w:val="26"/>
                <w:lang w:val="es-ES"/>
              </w:rPr>
              <w:t>INFLACIÓN GENERAL ANUAL POR REGIÓN</w:t>
            </w:r>
          </w:p>
          <w:p w14:paraId="0263983D" w14:textId="77777777" w:rsidR="00BC6B56" w:rsidRPr="00200185" w:rsidRDefault="00BC6B56" w:rsidP="00447800">
            <w:pPr>
              <w:jc w:val="center"/>
              <w:rPr>
                <w:b/>
                <w:szCs w:val="26"/>
                <w:lang w:val="es-ES"/>
              </w:rPr>
            </w:pPr>
            <w:r>
              <w:rPr>
                <w:b/>
                <w:szCs w:val="26"/>
                <w:lang w:val="es-ES"/>
              </w:rPr>
              <w:t>-</w:t>
            </w:r>
            <w:r w:rsidRPr="00BA59AA">
              <w:rPr>
                <w:b/>
                <w:szCs w:val="26"/>
                <w:lang w:val="es-ES"/>
              </w:rPr>
              <w:t>Cifras en por ciento</w:t>
            </w:r>
            <w:r>
              <w:rPr>
                <w:b/>
                <w:szCs w:val="26"/>
                <w:lang w:val="es-ES"/>
              </w:rPr>
              <w:t>-</w:t>
            </w:r>
          </w:p>
        </w:tc>
      </w:tr>
      <w:tr w:rsidR="00BC6B56" w:rsidRPr="00DB2C4F" w14:paraId="3195D22B" w14:textId="77777777" w:rsidTr="00447800">
        <w:trPr>
          <w:jc w:val="center"/>
        </w:trPr>
        <w:tc>
          <w:tcPr>
            <w:tcW w:w="9209" w:type="dxa"/>
          </w:tcPr>
          <w:p w14:paraId="7E8E3BB7" w14:textId="77777777" w:rsidR="00BC6B56" w:rsidRPr="00DB2C4F" w:rsidRDefault="00BC6B56" w:rsidP="00447800">
            <w:pPr>
              <w:jc w:val="center"/>
              <w:rPr>
                <w:szCs w:val="26"/>
                <w:lang w:val="es-ES"/>
              </w:rPr>
            </w:pPr>
            <w:r w:rsidRPr="00BA59AA">
              <w:rPr>
                <w:noProof/>
                <w:szCs w:val="26"/>
                <w:lang w:eastAsia="es-MX"/>
              </w:rPr>
              <w:drawing>
                <wp:inline distT="0" distB="0" distL="0" distR="0" wp14:anchorId="692C18B9" wp14:editId="5BBD5D67">
                  <wp:extent cx="5335468" cy="2880000"/>
                  <wp:effectExtent l="0" t="0" r="0" b="0"/>
                  <wp:docPr id="1676" name="Imagen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72" cstate="print">
                            <a:extLst>
                              <a:ext uri="{28A0092B-C50C-407E-A947-70E740481C1C}">
                                <a14:useLocalDpi xmlns:a14="http://schemas.microsoft.com/office/drawing/2010/main" val="0"/>
                              </a:ext>
                            </a:extLst>
                          </a:blip>
                          <a:srcRect t="5882" b="1821"/>
                          <a:stretch/>
                        </pic:blipFill>
                        <pic:spPr bwMode="auto">
                          <a:xfrm>
                            <a:off x="0" y="0"/>
                            <a:ext cx="5335468" cy="288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C6B56" w:rsidRPr="00DB2C4F" w14:paraId="0550B42A" w14:textId="77777777" w:rsidTr="00447800">
        <w:trPr>
          <w:jc w:val="center"/>
        </w:trPr>
        <w:tc>
          <w:tcPr>
            <w:tcW w:w="9209" w:type="dxa"/>
          </w:tcPr>
          <w:p w14:paraId="5BAC8AAB" w14:textId="77777777" w:rsidR="00BC6B56" w:rsidRPr="00DB2C4F" w:rsidRDefault="00BC6B56" w:rsidP="00447800">
            <w:pPr>
              <w:ind w:left="1110" w:right="170" w:hanging="792"/>
              <w:jc w:val="both"/>
              <w:rPr>
                <w:sz w:val="20"/>
                <w:szCs w:val="26"/>
                <w:lang w:val="es-ES"/>
              </w:rPr>
            </w:pPr>
            <w:r w:rsidRPr="008A4614">
              <w:rPr>
                <w:sz w:val="20"/>
                <w:szCs w:val="26"/>
                <w:lang w:val="es-ES"/>
              </w:rPr>
              <w:t xml:space="preserve">FUENTE: </w:t>
            </w:r>
            <w:r w:rsidRPr="00654F26">
              <w:rPr>
                <w:sz w:val="20"/>
                <w:szCs w:val="26"/>
                <w:lang w:val="es-ES"/>
              </w:rPr>
              <w:t>Estimaciones del Banco de México con base en datos propios y del INEGI</w:t>
            </w:r>
            <w:r w:rsidRPr="004752BF">
              <w:rPr>
                <w:sz w:val="20"/>
                <w:szCs w:val="26"/>
                <w:lang w:val="es-ES"/>
              </w:rPr>
              <w:t>.</w:t>
            </w:r>
          </w:p>
        </w:tc>
      </w:tr>
    </w:tbl>
    <w:p w14:paraId="041C7445" w14:textId="77777777" w:rsidR="00BC6B56" w:rsidRDefault="00BC6B56" w:rsidP="00BC6B56">
      <w:pPr>
        <w:spacing w:after="360" w:line="360" w:lineRule="auto"/>
        <w:ind w:right="-159"/>
        <w:jc w:val="both"/>
        <w:rPr>
          <w:sz w:val="26"/>
          <w:szCs w:val="26"/>
          <w:lang w:val="es-ES"/>
        </w:rPr>
      </w:pPr>
    </w:p>
    <w:p w14:paraId="52A539B5" w14:textId="77777777" w:rsidR="00BC6B56" w:rsidRDefault="00BC6B56" w:rsidP="00BC6B56">
      <w:pPr>
        <w:spacing w:after="360" w:line="360" w:lineRule="auto"/>
        <w:ind w:right="-159"/>
        <w:jc w:val="both"/>
        <w:rPr>
          <w:sz w:val="26"/>
          <w:szCs w:val="26"/>
          <w:lang w:val="es-ES"/>
        </w:rPr>
      </w:pPr>
      <w:r w:rsidRPr="00CB3443">
        <w:rPr>
          <w:sz w:val="26"/>
          <w:szCs w:val="26"/>
          <w:lang w:val="es-ES"/>
        </w:rPr>
        <w:t>La inflación subyacente anual durante el cuarto trimestre de 2014 disminuyó en las</w:t>
      </w:r>
      <w:r>
        <w:rPr>
          <w:sz w:val="26"/>
          <w:szCs w:val="26"/>
          <w:lang w:val="es-ES"/>
        </w:rPr>
        <w:t xml:space="preserve"> </w:t>
      </w:r>
      <w:r w:rsidRPr="00CB3443">
        <w:rPr>
          <w:sz w:val="26"/>
          <w:szCs w:val="26"/>
          <w:lang w:val="es-ES"/>
        </w:rPr>
        <w:t>cuatro regiones del país, excepto en la región norte, donde se mantuvo estable y</w:t>
      </w:r>
      <w:r>
        <w:rPr>
          <w:sz w:val="26"/>
          <w:szCs w:val="26"/>
          <w:lang w:val="es-ES"/>
        </w:rPr>
        <w:t xml:space="preserve"> </w:t>
      </w:r>
      <w:r w:rsidRPr="00CB3443">
        <w:rPr>
          <w:sz w:val="26"/>
          <w:szCs w:val="26"/>
          <w:lang w:val="es-ES"/>
        </w:rPr>
        <w:t>por debajo del 3</w:t>
      </w:r>
      <w:r>
        <w:rPr>
          <w:sz w:val="26"/>
          <w:szCs w:val="26"/>
          <w:lang w:val="es-ES"/>
        </w:rPr>
        <w:t>%</w:t>
      </w:r>
      <w:r w:rsidRPr="00CB3443">
        <w:rPr>
          <w:sz w:val="26"/>
          <w:szCs w:val="26"/>
          <w:lang w:val="es-ES"/>
        </w:rPr>
        <w:t xml:space="preserve"> (</w:t>
      </w:r>
      <w:r>
        <w:rPr>
          <w:sz w:val="26"/>
          <w:szCs w:val="26"/>
          <w:lang w:val="es-ES"/>
        </w:rPr>
        <w:t>g</w:t>
      </w:r>
      <w:r w:rsidRPr="00CB3443">
        <w:rPr>
          <w:sz w:val="26"/>
          <w:szCs w:val="26"/>
          <w:lang w:val="es-ES"/>
        </w:rPr>
        <w:t>ráfica</w:t>
      </w:r>
      <w:r>
        <w:rPr>
          <w:sz w:val="26"/>
          <w:szCs w:val="26"/>
          <w:lang w:val="es-ES"/>
        </w:rPr>
        <w:t xml:space="preserve"> siguiente, sección a)</w:t>
      </w:r>
      <w:r w:rsidRPr="00CB3443">
        <w:rPr>
          <w:sz w:val="26"/>
          <w:szCs w:val="26"/>
          <w:lang w:val="es-ES"/>
        </w:rPr>
        <w:t>). Así, en diciembre de 2014 la inflación</w:t>
      </w:r>
      <w:r>
        <w:rPr>
          <w:sz w:val="26"/>
          <w:szCs w:val="26"/>
          <w:lang w:val="es-ES"/>
        </w:rPr>
        <w:t xml:space="preserve"> </w:t>
      </w:r>
      <w:r w:rsidRPr="00CB3443">
        <w:rPr>
          <w:sz w:val="26"/>
          <w:szCs w:val="26"/>
          <w:lang w:val="es-ES"/>
        </w:rPr>
        <w:t>subyacente anual en el norte, centro norte, centro y sur fue 2.79, 3.01, 3.51 y 3.50</w:t>
      </w:r>
      <w:r>
        <w:rPr>
          <w:sz w:val="26"/>
          <w:szCs w:val="26"/>
          <w:lang w:val="es-ES"/>
        </w:rPr>
        <w:t>%</w:t>
      </w:r>
      <w:r w:rsidRPr="00CB3443">
        <w:rPr>
          <w:sz w:val="26"/>
          <w:szCs w:val="26"/>
          <w:lang w:val="es-ES"/>
        </w:rPr>
        <w:t>, respectivamente. En la mayoría de las regiones la disminución de la</w:t>
      </w:r>
      <w:r>
        <w:rPr>
          <w:sz w:val="26"/>
          <w:szCs w:val="26"/>
          <w:lang w:val="es-ES"/>
        </w:rPr>
        <w:t xml:space="preserve"> </w:t>
      </w:r>
      <w:r w:rsidRPr="00CB3443">
        <w:rPr>
          <w:sz w:val="26"/>
          <w:szCs w:val="26"/>
          <w:lang w:val="es-ES"/>
        </w:rPr>
        <w:t>inflación subyacente entre octubre y diciembre de 2014 se debió al comportamiento</w:t>
      </w:r>
      <w:r>
        <w:rPr>
          <w:sz w:val="26"/>
          <w:szCs w:val="26"/>
          <w:lang w:val="es-ES"/>
        </w:rPr>
        <w:t xml:space="preserve"> </w:t>
      </w:r>
      <w:r w:rsidRPr="00CB3443">
        <w:rPr>
          <w:sz w:val="26"/>
          <w:szCs w:val="26"/>
          <w:lang w:val="es-ES"/>
        </w:rPr>
        <w:t>favorable tanto del subíndice de precios de las mercancías como del subíndice de</w:t>
      </w:r>
      <w:r>
        <w:rPr>
          <w:sz w:val="26"/>
          <w:szCs w:val="26"/>
          <w:lang w:val="es-ES"/>
        </w:rPr>
        <w:t xml:space="preserve"> </w:t>
      </w:r>
      <w:r w:rsidRPr="00CB3443">
        <w:rPr>
          <w:sz w:val="26"/>
          <w:szCs w:val="26"/>
          <w:lang w:val="es-ES"/>
        </w:rPr>
        <w:t>precios de los servicios (</w:t>
      </w:r>
      <w:r>
        <w:rPr>
          <w:sz w:val="26"/>
          <w:szCs w:val="26"/>
          <w:lang w:val="es-ES"/>
        </w:rPr>
        <w:t>g</w:t>
      </w:r>
      <w:r w:rsidRPr="00CB3443">
        <w:rPr>
          <w:sz w:val="26"/>
          <w:szCs w:val="26"/>
          <w:lang w:val="es-ES"/>
        </w:rPr>
        <w:t>ráfica</w:t>
      </w:r>
      <w:r>
        <w:rPr>
          <w:sz w:val="26"/>
          <w:szCs w:val="26"/>
          <w:lang w:val="es-ES"/>
        </w:rPr>
        <w:t>:</w:t>
      </w:r>
      <w:r w:rsidRPr="00CB3443">
        <w:rPr>
          <w:i/>
          <w:sz w:val="26"/>
          <w:szCs w:val="26"/>
          <w:lang w:val="es-ES"/>
        </w:rPr>
        <w:t xml:space="preserve"> Inflación Subyacente Anual por Rubro y Región</w:t>
      </w:r>
      <w:r w:rsidRPr="0052757A">
        <w:rPr>
          <w:sz w:val="26"/>
          <w:szCs w:val="26"/>
          <w:lang w:val="es-ES"/>
        </w:rPr>
        <w:t>, secciones a) y b)</w:t>
      </w:r>
      <w:r w:rsidRPr="00CB3443">
        <w:rPr>
          <w:sz w:val="26"/>
          <w:szCs w:val="26"/>
          <w:lang w:val="es-ES"/>
        </w:rPr>
        <w:t>). En el primer grupo destacó la</w:t>
      </w:r>
      <w:r>
        <w:rPr>
          <w:sz w:val="26"/>
          <w:szCs w:val="26"/>
          <w:lang w:val="es-ES"/>
        </w:rPr>
        <w:t xml:space="preserve"> </w:t>
      </w:r>
      <w:r w:rsidRPr="00CB3443">
        <w:rPr>
          <w:sz w:val="26"/>
          <w:szCs w:val="26"/>
          <w:lang w:val="es-ES"/>
        </w:rPr>
        <w:t>moderada tasa de crecimiento en el precio de las mercancías alimenticias y no</w:t>
      </w:r>
      <w:r>
        <w:rPr>
          <w:sz w:val="26"/>
          <w:szCs w:val="26"/>
          <w:lang w:val="es-ES"/>
        </w:rPr>
        <w:t xml:space="preserve"> </w:t>
      </w:r>
      <w:r w:rsidRPr="00CB3443">
        <w:rPr>
          <w:sz w:val="26"/>
          <w:szCs w:val="26"/>
          <w:lang w:val="es-ES"/>
        </w:rPr>
        <w:t xml:space="preserve">alimenticias. En el segundo, fue notoria la menor </w:t>
      </w:r>
      <w:r w:rsidRPr="00CB3443">
        <w:rPr>
          <w:sz w:val="26"/>
          <w:szCs w:val="26"/>
          <w:lang w:val="es-ES"/>
        </w:rPr>
        <w:lastRenderedPageBreak/>
        <w:t>incidencia de los precios de los</w:t>
      </w:r>
      <w:r>
        <w:rPr>
          <w:sz w:val="26"/>
          <w:szCs w:val="26"/>
          <w:lang w:val="es-ES"/>
        </w:rPr>
        <w:t xml:space="preserve"> </w:t>
      </w:r>
      <w:r w:rsidRPr="00CB3443">
        <w:rPr>
          <w:sz w:val="26"/>
          <w:szCs w:val="26"/>
          <w:lang w:val="es-ES"/>
        </w:rPr>
        <w:t>servicios distintos a la vivienda y a la educación, debido principalmente a bajas en</w:t>
      </w:r>
      <w:r>
        <w:rPr>
          <w:sz w:val="26"/>
          <w:szCs w:val="26"/>
          <w:lang w:val="es-ES"/>
        </w:rPr>
        <w:t xml:space="preserve"> </w:t>
      </w:r>
      <w:r w:rsidRPr="00CB3443">
        <w:rPr>
          <w:sz w:val="26"/>
          <w:szCs w:val="26"/>
          <w:lang w:val="es-ES"/>
        </w:rPr>
        <w:t>las tarifas de telefonía móvil.</w:t>
      </w:r>
    </w:p>
    <w:tbl>
      <w:tblPr>
        <w:tblStyle w:val="Tablaconcuadrcula"/>
        <w:tblW w:w="920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27"/>
      </w:tblGrid>
      <w:tr w:rsidR="00BC6B56" w:rsidRPr="00200185" w14:paraId="4BBF6A87" w14:textId="77777777" w:rsidTr="00447800">
        <w:trPr>
          <w:jc w:val="center"/>
        </w:trPr>
        <w:tc>
          <w:tcPr>
            <w:tcW w:w="9209" w:type="dxa"/>
          </w:tcPr>
          <w:p w14:paraId="27A3A8E6" w14:textId="77777777" w:rsidR="00BC6B56" w:rsidRPr="00BA59AA" w:rsidRDefault="00BC6B56" w:rsidP="00447800">
            <w:pPr>
              <w:jc w:val="center"/>
              <w:rPr>
                <w:b/>
                <w:szCs w:val="26"/>
                <w:lang w:val="es-ES"/>
              </w:rPr>
            </w:pPr>
            <w:r w:rsidRPr="009B5AAC">
              <w:rPr>
                <w:b/>
                <w:szCs w:val="26"/>
                <w:lang w:val="es-ES"/>
              </w:rPr>
              <w:t>INFLACIÓN SUBYACENTE Y NO SUBYACENTE ANUAL POR REGIÓN</w:t>
            </w:r>
          </w:p>
          <w:p w14:paraId="4C9358B8" w14:textId="77777777" w:rsidR="00BC6B56" w:rsidRPr="00200185" w:rsidRDefault="00BC6B56" w:rsidP="00447800">
            <w:pPr>
              <w:jc w:val="center"/>
              <w:rPr>
                <w:b/>
                <w:szCs w:val="26"/>
                <w:lang w:val="es-ES"/>
              </w:rPr>
            </w:pPr>
            <w:r>
              <w:rPr>
                <w:b/>
                <w:szCs w:val="26"/>
                <w:lang w:val="es-ES"/>
              </w:rPr>
              <w:t>-</w:t>
            </w:r>
            <w:r w:rsidRPr="00BA59AA">
              <w:rPr>
                <w:b/>
                <w:szCs w:val="26"/>
                <w:lang w:val="es-ES"/>
              </w:rPr>
              <w:t>Cifras en por ciento</w:t>
            </w:r>
            <w:r>
              <w:rPr>
                <w:b/>
                <w:szCs w:val="26"/>
                <w:lang w:val="es-ES"/>
              </w:rPr>
              <w:t>-</w:t>
            </w:r>
          </w:p>
        </w:tc>
      </w:tr>
      <w:tr w:rsidR="00BC6B56" w:rsidRPr="00DB2C4F" w14:paraId="3F7510C0" w14:textId="77777777" w:rsidTr="00447800">
        <w:trPr>
          <w:jc w:val="center"/>
        </w:trPr>
        <w:tc>
          <w:tcPr>
            <w:tcW w:w="9209" w:type="dxa"/>
          </w:tcPr>
          <w:p w14:paraId="0966952A" w14:textId="77777777" w:rsidR="00BC6B56" w:rsidRPr="00DB2C4F" w:rsidRDefault="00BC6B56" w:rsidP="00447800">
            <w:pPr>
              <w:jc w:val="center"/>
              <w:rPr>
                <w:szCs w:val="26"/>
                <w:lang w:val="es-ES"/>
              </w:rPr>
            </w:pPr>
            <w:r w:rsidRPr="009B5AAC">
              <w:rPr>
                <w:noProof/>
                <w:szCs w:val="26"/>
                <w:lang w:eastAsia="es-MX"/>
              </w:rPr>
              <w:drawing>
                <wp:inline distT="0" distB="0" distL="0" distR="0" wp14:anchorId="0AB51D5A" wp14:editId="6133AC82">
                  <wp:extent cx="5849167" cy="2880000"/>
                  <wp:effectExtent l="0" t="0" r="0" b="0"/>
                  <wp:docPr id="1677" name="Imagen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t="705" b="1629"/>
                          <a:stretch/>
                        </pic:blipFill>
                        <pic:spPr bwMode="auto">
                          <a:xfrm>
                            <a:off x="0" y="0"/>
                            <a:ext cx="5849167" cy="288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C6B56" w:rsidRPr="00DB2C4F" w14:paraId="5379895A" w14:textId="77777777" w:rsidTr="00447800">
        <w:trPr>
          <w:jc w:val="center"/>
        </w:trPr>
        <w:tc>
          <w:tcPr>
            <w:tcW w:w="9209" w:type="dxa"/>
          </w:tcPr>
          <w:p w14:paraId="09105AD6" w14:textId="77777777" w:rsidR="00BC6B56" w:rsidRPr="00DB2C4F" w:rsidRDefault="00BC6B56" w:rsidP="00447800">
            <w:pPr>
              <w:ind w:left="1110" w:right="170" w:hanging="1076"/>
              <w:jc w:val="both"/>
              <w:rPr>
                <w:sz w:val="20"/>
                <w:szCs w:val="26"/>
                <w:lang w:val="es-ES"/>
              </w:rPr>
            </w:pPr>
            <w:r w:rsidRPr="008A4614">
              <w:rPr>
                <w:sz w:val="20"/>
                <w:szCs w:val="26"/>
                <w:lang w:val="es-ES"/>
              </w:rPr>
              <w:t xml:space="preserve">FUENTE: </w:t>
            </w:r>
            <w:r w:rsidRPr="00654F26">
              <w:rPr>
                <w:sz w:val="20"/>
                <w:szCs w:val="26"/>
                <w:lang w:val="es-ES"/>
              </w:rPr>
              <w:t>Estimaciones del Banco de México con base en datos propios y del INEGI</w:t>
            </w:r>
            <w:r w:rsidRPr="004752BF">
              <w:rPr>
                <w:sz w:val="20"/>
                <w:szCs w:val="26"/>
                <w:lang w:val="es-ES"/>
              </w:rPr>
              <w:t>.</w:t>
            </w:r>
          </w:p>
        </w:tc>
      </w:tr>
    </w:tbl>
    <w:p w14:paraId="789711B7" w14:textId="77777777" w:rsidR="00BC6B56" w:rsidRDefault="00BC6B56" w:rsidP="00BC6B56">
      <w:pPr>
        <w:spacing w:after="360" w:line="360" w:lineRule="auto"/>
        <w:ind w:right="-159"/>
        <w:jc w:val="both"/>
        <w:rPr>
          <w:sz w:val="26"/>
          <w:szCs w:val="26"/>
          <w:lang w:val="es-ES"/>
        </w:rPr>
      </w:pPr>
    </w:p>
    <w:p w14:paraId="568F9962" w14:textId="77777777" w:rsidR="00BC6B56" w:rsidRDefault="00BC6B56" w:rsidP="00BC6B56">
      <w:pPr>
        <w:spacing w:after="360" w:line="360" w:lineRule="auto"/>
        <w:ind w:right="-159"/>
        <w:jc w:val="both"/>
        <w:rPr>
          <w:sz w:val="26"/>
          <w:szCs w:val="26"/>
          <w:lang w:val="es-ES"/>
        </w:rPr>
      </w:pPr>
      <w:r w:rsidRPr="00DC4966">
        <w:rPr>
          <w:sz w:val="26"/>
          <w:szCs w:val="26"/>
          <w:lang w:val="es-ES"/>
        </w:rPr>
        <w:t>Adicionalmente, en enero de 2015 la inflación subyacente registró una disminución</w:t>
      </w:r>
      <w:r>
        <w:rPr>
          <w:sz w:val="26"/>
          <w:szCs w:val="26"/>
          <w:lang w:val="es-ES"/>
        </w:rPr>
        <w:t xml:space="preserve"> </w:t>
      </w:r>
      <w:r w:rsidRPr="00DC4966">
        <w:rPr>
          <w:sz w:val="26"/>
          <w:szCs w:val="26"/>
          <w:lang w:val="es-ES"/>
        </w:rPr>
        <w:t>importante en las cuatro regiones. Ello se debió a la dinámica de los precios tanto</w:t>
      </w:r>
      <w:r>
        <w:rPr>
          <w:sz w:val="26"/>
          <w:szCs w:val="26"/>
          <w:lang w:val="es-ES"/>
        </w:rPr>
        <w:t xml:space="preserve"> </w:t>
      </w:r>
      <w:r w:rsidRPr="00DC4966">
        <w:rPr>
          <w:sz w:val="26"/>
          <w:szCs w:val="26"/>
          <w:lang w:val="es-ES"/>
        </w:rPr>
        <w:t>de mercancías como de servicios. En el caso de las mercancías, la referida</w:t>
      </w:r>
      <w:r>
        <w:rPr>
          <w:sz w:val="26"/>
          <w:szCs w:val="26"/>
          <w:lang w:val="es-ES"/>
        </w:rPr>
        <w:t xml:space="preserve"> </w:t>
      </w:r>
      <w:r w:rsidRPr="00DC4966">
        <w:rPr>
          <w:sz w:val="26"/>
          <w:szCs w:val="26"/>
          <w:lang w:val="es-ES"/>
        </w:rPr>
        <w:t>disminución se explicó por el desvanecimiento de los efectos de las modificaciones</w:t>
      </w:r>
      <w:r>
        <w:rPr>
          <w:sz w:val="26"/>
          <w:szCs w:val="26"/>
          <w:lang w:val="es-ES"/>
        </w:rPr>
        <w:t xml:space="preserve"> </w:t>
      </w:r>
      <w:r w:rsidRPr="00DC4966">
        <w:rPr>
          <w:sz w:val="26"/>
          <w:szCs w:val="26"/>
          <w:lang w:val="es-ES"/>
        </w:rPr>
        <w:t>tributarias ya mencionados. En el caso de los servicios destacó la eliminación del</w:t>
      </w:r>
      <w:r>
        <w:rPr>
          <w:sz w:val="26"/>
          <w:szCs w:val="26"/>
          <w:lang w:val="es-ES"/>
        </w:rPr>
        <w:t xml:space="preserve"> </w:t>
      </w:r>
      <w:r w:rsidRPr="00DC4966">
        <w:rPr>
          <w:sz w:val="26"/>
          <w:szCs w:val="26"/>
          <w:lang w:val="es-ES"/>
        </w:rPr>
        <w:t>cobro de la larga distancia nacional, las reducciones de precio en el servicio de</w:t>
      </w:r>
      <w:r>
        <w:rPr>
          <w:sz w:val="26"/>
          <w:szCs w:val="26"/>
          <w:lang w:val="es-ES"/>
        </w:rPr>
        <w:t xml:space="preserve"> </w:t>
      </w:r>
      <w:r w:rsidRPr="00DC4966">
        <w:rPr>
          <w:sz w:val="26"/>
          <w:szCs w:val="26"/>
          <w:lang w:val="es-ES"/>
        </w:rPr>
        <w:t>telefonía local fija, así como la disminución de los precios de los servicios turísticos.</w:t>
      </w:r>
      <w:r>
        <w:rPr>
          <w:sz w:val="26"/>
          <w:szCs w:val="26"/>
          <w:lang w:val="es-ES"/>
        </w:rPr>
        <w:t xml:space="preserve"> </w:t>
      </w:r>
      <w:r w:rsidRPr="00DC4966">
        <w:rPr>
          <w:sz w:val="26"/>
          <w:szCs w:val="26"/>
          <w:lang w:val="es-ES"/>
        </w:rPr>
        <w:t>Por último, en febrero de 2015 la inflación subyacente anual aumentó ligeramente</w:t>
      </w:r>
      <w:r>
        <w:rPr>
          <w:sz w:val="26"/>
          <w:szCs w:val="26"/>
          <w:lang w:val="es-ES"/>
        </w:rPr>
        <w:t xml:space="preserve"> </w:t>
      </w:r>
      <w:r w:rsidRPr="00DC4966">
        <w:rPr>
          <w:sz w:val="26"/>
          <w:szCs w:val="26"/>
          <w:lang w:val="es-ES"/>
        </w:rPr>
        <w:t>respecto a la de enero en cada región. Ello se debió, principalmente, a un</w:t>
      </w:r>
      <w:r>
        <w:rPr>
          <w:sz w:val="26"/>
          <w:szCs w:val="26"/>
          <w:lang w:val="es-ES"/>
        </w:rPr>
        <w:t xml:space="preserve"> </w:t>
      </w:r>
      <w:r w:rsidRPr="00DC4966">
        <w:rPr>
          <w:sz w:val="26"/>
          <w:szCs w:val="26"/>
          <w:lang w:val="es-ES"/>
        </w:rPr>
        <w:t>incremento en la variación anual de ciertas mercancías no alimenticias. Así, en</w:t>
      </w:r>
      <w:r>
        <w:rPr>
          <w:sz w:val="26"/>
          <w:szCs w:val="26"/>
          <w:lang w:val="es-ES"/>
        </w:rPr>
        <w:t xml:space="preserve"> </w:t>
      </w:r>
      <w:r w:rsidRPr="00DC4966">
        <w:rPr>
          <w:sz w:val="26"/>
          <w:szCs w:val="26"/>
          <w:lang w:val="es-ES"/>
        </w:rPr>
        <w:t>dicho mes la inflación subyacente anual fue en el norte, centro norte, centro y sur,</w:t>
      </w:r>
      <w:r>
        <w:rPr>
          <w:sz w:val="26"/>
          <w:szCs w:val="26"/>
          <w:lang w:val="es-ES"/>
        </w:rPr>
        <w:t xml:space="preserve"> </w:t>
      </w:r>
      <w:r w:rsidRPr="00DC4966">
        <w:rPr>
          <w:sz w:val="26"/>
          <w:szCs w:val="26"/>
          <w:lang w:val="es-ES"/>
        </w:rPr>
        <w:t>1.87, 2.22, 2.77 y 2.36</w:t>
      </w:r>
      <w:r>
        <w:rPr>
          <w:sz w:val="26"/>
          <w:szCs w:val="26"/>
          <w:lang w:val="es-ES"/>
        </w:rPr>
        <w:t>%</w:t>
      </w:r>
      <w:r w:rsidRPr="00DC4966">
        <w:rPr>
          <w:sz w:val="26"/>
          <w:szCs w:val="26"/>
          <w:lang w:val="es-ES"/>
        </w:rPr>
        <w:t>, respectivamente.</w:t>
      </w:r>
    </w:p>
    <w:p w14:paraId="5DFC20D6" w14:textId="77777777" w:rsidR="00BC6B56" w:rsidRDefault="00BC6B56" w:rsidP="00BC6B56">
      <w:pPr>
        <w:spacing w:after="360" w:line="360" w:lineRule="auto"/>
        <w:ind w:right="-159"/>
        <w:jc w:val="both"/>
        <w:rPr>
          <w:sz w:val="26"/>
          <w:szCs w:val="26"/>
          <w:lang w:val="es-ES"/>
        </w:rPr>
      </w:pPr>
    </w:p>
    <w:tbl>
      <w:tblPr>
        <w:tblStyle w:val="Tablaconcuadrcula"/>
        <w:tblW w:w="920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61"/>
      </w:tblGrid>
      <w:tr w:rsidR="00BC6B56" w:rsidRPr="00200185" w14:paraId="708F224B" w14:textId="77777777" w:rsidTr="00447800">
        <w:trPr>
          <w:jc w:val="center"/>
        </w:trPr>
        <w:tc>
          <w:tcPr>
            <w:tcW w:w="9209" w:type="dxa"/>
          </w:tcPr>
          <w:p w14:paraId="2C84A296" w14:textId="77777777" w:rsidR="00BC6B56" w:rsidRPr="00BA59AA" w:rsidRDefault="00BC6B56" w:rsidP="00447800">
            <w:pPr>
              <w:jc w:val="center"/>
              <w:rPr>
                <w:b/>
                <w:szCs w:val="26"/>
                <w:lang w:val="es-ES"/>
              </w:rPr>
            </w:pPr>
            <w:r w:rsidRPr="009B5AAC">
              <w:rPr>
                <w:b/>
                <w:szCs w:val="26"/>
                <w:lang w:val="es-ES"/>
              </w:rPr>
              <w:lastRenderedPageBreak/>
              <w:t>INFLACIÓN SUBYACENTE ANUAL POR</w:t>
            </w:r>
            <w:r>
              <w:rPr>
                <w:b/>
                <w:szCs w:val="26"/>
                <w:lang w:val="es-ES"/>
              </w:rPr>
              <w:t xml:space="preserve"> RUBRO Y</w:t>
            </w:r>
            <w:r w:rsidRPr="009B5AAC">
              <w:rPr>
                <w:b/>
                <w:szCs w:val="26"/>
                <w:lang w:val="es-ES"/>
              </w:rPr>
              <w:t xml:space="preserve"> REGIÓN</w:t>
            </w:r>
          </w:p>
          <w:p w14:paraId="775E1D18" w14:textId="77777777" w:rsidR="00BC6B56" w:rsidRPr="00200185" w:rsidRDefault="00BC6B56" w:rsidP="00447800">
            <w:pPr>
              <w:jc w:val="center"/>
              <w:rPr>
                <w:b/>
                <w:szCs w:val="26"/>
                <w:lang w:val="es-ES"/>
              </w:rPr>
            </w:pPr>
            <w:r>
              <w:rPr>
                <w:b/>
                <w:szCs w:val="26"/>
                <w:lang w:val="es-ES"/>
              </w:rPr>
              <w:t>-</w:t>
            </w:r>
            <w:r w:rsidRPr="00BA59AA">
              <w:rPr>
                <w:b/>
                <w:szCs w:val="26"/>
                <w:lang w:val="es-ES"/>
              </w:rPr>
              <w:t>Cifras en por ciento</w:t>
            </w:r>
            <w:r>
              <w:rPr>
                <w:b/>
                <w:szCs w:val="26"/>
                <w:lang w:val="es-ES"/>
              </w:rPr>
              <w:t>-</w:t>
            </w:r>
          </w:p>
        </w:tc>
      </w:tr>
      <w:tr w:rsidR="00BC6B56" w:rsidRPr="00DB2C4F" w14:paraId="74B57CB2" w14:textId="77777777" w:rsidTr="00447800">
        <w:trPr>
          <w:jc w:val="center"/>
        </w:trPr>
        <w:tc>
          <w:tcPr>
            <w:tcW w:w="9209" w:type="dxa"/>
          </w:tcPr>
          <w:p w14:paraId="3E238BC3" w14:textId="77777777" w:rsidR="00BC6B56" w:rsidRPr="00DB2C4F" w:rsidRDefault="00BC6B56" w:rsidP="00447800">
            <w:pPr>
              <w:jc w:val="center"/>
              <w:rPr>
                <w:szCs w:val="26"/>
                <w:lang w:val="es-ES"/>
              </w:rPr>
            </w:pPr>
            <w:r w:rsidRPr="0029067C">
              <w:rPr>
                <w:noProof/>
                <w:szCs w:val="26"/>
                <w:lang w:eastAsia="es-MX"/>
              </w:rPr>
              <w:drawing>
                <wp:inline distT="0" distB="0" distL="0" distR="0" wp14:anchorId="166DD484" wp14:editId="0E7E84E7">
                  <wp:extent cx="5870746" cy="2880000"/>
                  <wp:effectExtent l="0" t="0" r="0" b="0"/>
                  <wp:docPr id="1678" name="Imagen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t="470" b="2338"/>
                          <a:stretch/>
                        </pic:blipFill>
                        <pic:spPr bwMode="auto">
                          <a:xfrm>
                            <a:off x="0" y="0"/>
                            <a:ext cx="5870746" cy="288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C6B56" w:rsidRPr="00DB2C4F" w14:paraId="7EBF9340" w14:textId="77777777" w:rsidTr="00447800">
        <w:trPr>
          <w:jc w:val="center"/>
        </w:trPr>
        <w:tc>
          <w:tcPr>
            <w:tcW w:w="9209" w:type="dxa"/>
          </w:tcPr>
          <w:p w14:paraId="717DB617" w14:textId="77777777" w:rsidR="00BC6B56" w:rsidRPr="00DB2C4F" w:rsidRDefault="00BC6B56" w:rsidP="00447800">
            <w:pPr>
              <w:ind w:left="1110" w:right="170" w:hanging="1076"/>
              <w:jc w:val="both"/>
              <w:rPr>
                <w:sz w:val="20"/>
                <w:szCs w:val="26"/>
                <w:lang w:val="es-ES"/>
              </w:rPr>
            </w:pPr>
            <w:r w:rsidRPr="008A4614">
              <w:rPr>
                <w:sz w:val="20"/>
                <w:szCs w:val="26"/>
                <w:lang w:val="es-ES"/>
              </w:rPr>
              <w:t xml:space="preserve">FUENTE: </w:t>
            </w:r>
            <w:r w:rsidRPr="00654F26">
              <w:rPr>
                <w:sz w:val="20"/>
                <w:szCs w:val="26"/>
                <w:lang w:val="es-ES"/>
              </w:rPr>
              <w:t>Estimaciones del Banco de México con base en datos propios y del INEGI</w:t>
            </w:r>
            <w:r w:rsidRPr="004752BF">
              <w:rPr>
                <w:sz w:val="20"/>
                <w:szCs w:val="26"/>
                <w:lang w:val="es-ES"/>
              </w:rPr>
              <w:t>.</w:t>
            </w:r>
          </w:p>
        </w:tc>
      </w:tr>
    </w:tbl>
    <w:p w14:paraId="16810B0B" w14:textId="77777777" w:rsidR="00BC6B56" w:rsidRDefault="00BC6B56" w:rsidP="00BC6B56">
      <w:pPr>
        <w:spacing w:after="360" w:line="360" w:lineRule="auto"/>
        <w:ind w:right="-159"/>
        <w:jc w:val="both"/>
        <w:rPr>
          <w:sz w:val="26"/>
          <w:szCs w:val="26"/>
          <w:lang w:val="es-ES"/>
        </w:rPr>
      </w:pPr>
    </w:p>
    <w:p w14:paraId="6F916428" w14:textId="77777777" w:rsidR="00BC6B56" w:rsidRDefault="00BC6B56" w:rsidP="00BC6B56">
      <w:pPr>
        <w:spacing w:after="360" w:line="360" w:lineRule="auto"/>
        <w:ind w:right="-159"/>
        <w:jc w:val="both"/>
        <w:rPr>
          <w:sz w:val="26"/>
          <w:szCs w:val="26"/>
          <w:lang w:val="es-ES"/>
        </w:rPr>
      </w:pPr>
      <w:r w:rsidRPr="00DC4966">
        <w:rPr>
          <w:sz w:val="26"/>
          <w:szCs w:val="26"/>
          <w:lang w:val="es-ES"/>
        </w:rPr>
        <w:t>La inflación no subyacente anual durante el cuarto trimestre de 2014 disminuyó en</w:t>
      </w:r>
      <w:r>
        <w:rPr>
          <w:sz w:val="26"/>
          <w:szCs w:val="26"/>
          <w:lang w:val="es-ES"/>
        </w:rPr>
        <w:t xml:space="preserve"> </w:t>
      </w:r>
      <w:r w:rsidRPr="00DC4966">
        <w:rPr>
          <w:sz w:val="26"/>
          <w:szCs w:val="26"/>
          <w:lang w:val="es-ES"/>
        </w:rPr>
        <w:t>las cuatro regiones del país, excepto en el centro norte. En esta última región dicha</w:t>
      </w:r>
      <w:r>
        <w:rPr>
          <w:sz w:val="26"/>
          <w:szCs w:val="26"/>
          <w:lang w:val="es-ES"/>
        </w:rPr>
        <w:t xml:space="preserve"> </w:t>
      </w:r>
      <w:r w:rsidRPr="00DC4966">
        <w:rPr>
          <w:sz w:val="26"/>
          <w:szCs w:val="26"/>
          <w:lang w:val="es-ES"/>
        </w:rPr>
        <w:t>inflación se situó ligeramente por encima del valor observado a nivel nacional</w:t>
      </w:r>
      <w:r>
        <w:rPr>
          <w:sz w:val="26"/>
          <w:szCs w:val="26"/>
          <w:lang w:val="es-ES"/>
        </w:rPr>
        <w:t xml:space="preserve"> </w:t>
      </w:r>
      <w:r w:rsidRPr="00DC4966">
        <w:rPr>
          <w:sz w:val="26"/>
          <w:szCs w:val="26"/>
          <w:lang w:val="es-ES"/>
        </w:rPr>
        <w:t>(</w:t>
      </w:r>
      <w:r>
        <w:rPr>
          <w:sz w:val="26"/>
          <w:szCs w:val="26"/>
          <w:lang w:val="es-ES"/>
        </w:rPr>
        <w:t>g</w:t>
      </w:r>
      <w:r w:rsidRPr="00DC4966">
        <w:rPr>
          <w:sz w:val="26"/>
          <w:szCs w:val="26"/>
          <w:lang w:val="es-ES"/>
        </w:rPr>
        <w:t>ráfica</w:t>
      </w:r>
      <w:r>
        <w:rPr>
          <w:sz w:val="26"/>
          <w:szCs w:val="26"/>
          <w:lang w:val="es-ES"/>
        </w:rPr>
        <w:t>:</w:t>
      </w:r>
      <w:r w:rsidRPr="00DC4966">
        <w:rPr>
          <w:i/>
          <w:sz w:val="26"/>
          <w:szCs w:val="26"/>
          <w:lang w:val="es-ES"/>
        </w:rPr>
        <w:t xml:space="preserve"> Inflación Subyacente y No Subyacente Anual por Región</w:t>
      </w:r>
      <w:r>
        <w:rPr>
          <w:i/>
          <w:sz w:val="26"/>
          <w:szCs w:val="26"/>
          <w:lang w:val="es-ES"/>
        </w:rPr>
        <w:t>,</w:t>
      </w:r>
      <w:r w:rsidRPr="00946424">
        <w:rPr>
          <w:sz w:val="26"/>
          <w:szCs w:val="26"/>
          <w:lang w:val="es-ES"/>
        </w:rPr>
        <w:t xml:space="preserve"> sección b)</w:t>
      </w:r>
      <w:r w:rsidRPr="00DC4966">
        <w:rPr>
          <w:sz w:val="26"/>
          <w:szCs w:val="26"/>
          <w:lang w:val="es-ES"/>
        </w:rPr>
        <w:t>). Así, en diciembre de 2014 la inflación no subyacente anual en el</w:t>
      </w:r>
      <w:r>
        <w:rPr>
          <w:sz w:val="26"/>
          <w:szCs w:val="26"/>
          <w:lang w:val="es-ES"/>
        </w:rPr>
        <w:t xml:space="preserve"> </w:t>
      </w:r>
      <w:r w:rsidRPr="00DC4966">
        <w:rPr>
          <w:sz w:val="26"/>
          <w:szCs w:val="26"/>
          <w:lang w:val="es-ES"/>
        </w:rPr>
        <w:t>norte, centro norte, centro y sur fue 5.27, 6.86, 7.27 y 7.46</w:t>
      </w:r>
      <w:r>
        <w:rPr>
          <w:sz w:val="26"/>
          <w:szCs w:val="26"/>
          <w:lang w:val="es-ES"/>
        </w:rPr>
        <w:t>%</w:t>
      </w:r>
      <w:r w:rsidRPr="00DC4966">
        <w:rPr>
          <w:sz w:val="26"/>
          <w:szCs w:val="26"/>
          <w:lang w:val="es-ES"/>
        </w:rPr>
        <w:t>,</w:t>
      </w:r>
      <w:r>
        <w:rPr>
          <w:sz w:val="26"/>
          <w:szCs w:val="26"/>
          <w:lang w:val="es-ES"/>
        </w:rPr>
        <w:t xml:space="preserve"> </w:t>
      </w:r>
      <w:r w:rsidRPr="00DC4966">
        <w:rPr>
          <w:sz w:val="26"/>
          <w:szCs w:val="26"/>
          <w:lang w:val="es-ES"/>
        </w:rPr>
        <w:t>respectivamente. El comportamiento de la inflación no subyacente en el centro</w:t>
      </w:r>
      <w:r>
        <w:rPr>
          <w:sz w:val="26"/>
          <w:szCs w:val="26"/>
          <w:lang w:val="es-ES"/>
        </w:rPr>
        <w:t xml:space="preserve"> </w:t>
      </w:r>
      <w:r w:rsidRPr="00DC4966">
        <w:rPr>
          <w:sz w:val="26"/>
          <w:szCs w:val="26"/>
          <w:lang w:val="es-ES"/>
        </w:rPr>
        <w:t>norte se debió principalmente a la dinámica de los precios de los productos</w:t>
      </w:r>
      <w:r>
        <w:rPr>
          <w:sz w:val="26"/>
          <w:szCs w:val="26"/>
          <w:lang w:val="es-ES"/>
        </w:rPr>
        <w:t xml:space="preserve"> </w:t>
      </w:r>
      <w:r w:rsidRPr="00DC4966">
        <w:rPr>
          <w:sz w:val="26"/>
          <w:szCs w:val="26"/>
          <w:lang w:val="es-ES"/>
        </w:rPr>
        <w:t>agropecuarios. En el norte también se observó un repunte en la inflación de dichos</w:t>
      </w:r>
      <w:r>
        <w:rPr>
          <w:sz w:val="26"/>
          <w:szCs w:val="26"/>
          <w:lang w:val="es-ES"/>
        </w:rPr>
        <w:t xml:space="preserve"> </w:t>
      </w:r>
      <w:r w:rsidRPr="00DC4966">
        <w:rPr>
          <w:sz w:val="26"/>
          <w:szCs w:val="26"/>
          <w:lang w:val="es-ES"/>
        </w:rPr>
        <w:t>precios; fenómeno que no se registró ni en el centro ni en el sur (</w:t>
      </w:r>
      <w:r>
        <w:rPr>
          <w:sz w:val="26"/>
          <w:szCs w:val="26"/>
          <w:lang w:val="es-ES"/>
        </w:rPr>
        <w:t>g</w:t>
      </w:r>
      <w:r w:rsidRPr="00DC4966">
        <w:rPr>
          <w:sz w:val="26"/>
          <w:szCs w:val="26"/>
          <w:lang w:val="es-ES"/>
        </w:rPr>
        <w:t>ráfica</w:t>
      </w:r>
      <w:r>
        <w:rPr>
          <w:sz w:val="26"/>
          <w:szCs w:val="26"/>
          <w:lang w:val="es-ES"/>
        </w:rPr>
        <w:t xml:space="preserve"> siguiente</w:t>
      </w:r>
      <w:r>
        <w:rPr>
          <w:i/>
          <w:sz w:val="26"/>
          <w:szCs w:val="26"/>
          <w:lang w:val="es-ES"/>
        </w:rPr>
        <w:t>,</w:t>
      </w:r>
      <w:r w:rsidRPr="00DC4966">
        <w:rPr>
          <w:i/>
          <w:sz w:val="26"/>
          <w:szCs w:val="26"/>
          <w:lang w:val="es-ES"/>
        </w:rPr>
        <w:t xml:space="preserve"> </w:t>
      </w:r>
      <w:r w:rsidRPr="00946424">
        <w:rPr>
          <w:sz w:val="26"/>
          <w:szCs w:val="26"/>
          <w:lang w:val="es-ES"/>
        </w:rPr>
        <w:t xml:space="preserve">sección </w:t>
      </w:r>
      <w:r>
        <w:rPr>
          <w:sz w:val="26"/>
          <w:szCs w:val="26"/>
          <w:lang w:val="es-ES"/>
        </w:rPr>
        <w:t>a</w:t>
      </w:r>
      <w:r w:rsidRPr="00946424">
        <w:rPr>
          <w:sz w:val="26"/>
          <w:szCs w:val="26"/>
          <w:lang w:val="es-ES"/>
        </w:rPr>
        <w:t>)</w:t>
      </w:r>
      <w:r w:rsidRPr="00DC4966">
        <w:rPr>
          <w:sz w:val="26"/>
          <w:szCs w:val="26"/>
          <w:lang w:val="es-ES"/>
        </w:rPr>
        <w:t>). En</w:t>
      </w:r>
      <w:r>
        <w:rPr>
          <w:sz w:val="26"/>
          <w:szCs w:val="26"/>
          <w:lang w:val="es-ES"/>
        </w:rPr>
        <w:t xml:space="preserve"> </w:t>
      </w:r>
      <w:r w:rsidRPr="00DC4966">
        <w:rPr>
          <w:sz w:val="26"/>
          <w:szCs w:val="26"/>
          <w:lang w:val="es-ES"/>
        </w:rPr>
        <w:t>el sur, la disminución de la inflación no subyacente se debió, en gran medida, a la</w:t>
      </w:r>
      <w:r>
        <w:rPr>
          <w:sz w:val="26"/>
          <w:szCs w:val="26"/>
          <w:lang w:val="es-ES"/>
        </w:rPr>
        <w:t xml:space="preserve"> </w:t>
      </w:r>
      <w:r w:rsidRPr="00DC4966">
        <w:rPr>
          <w:sz w:val="26"/>
          <w:szCs w:val="26"/>
          <w:lang w:val="es-ES"/>
        </w:rPr>
        <w:t>caída del subíndice de frutas y verduras. Por su parte, la tasa de crecimiento del</w:t>
      </w:r>
      <w:r>
        <w:rPr>
          <w:sz w:val="26"/>
          <w:szCs w:val="26"/>
          <w:lang w:val="es-ES"/>
        </w:rPr>
        <w:t xml:space="preserve"> </w:t>
      </w:r>
      <w:r w:rsidRPr="00DC4966">
        <w:rPr>
          <w:sz w:val="26"/>
          <w:szCs w:val="26"/>
          <w:lang w:val="es-ES"/>
        </w:rPr>
        <w:t>subíndice de energéticos y tarifas autorizadas por el gobierno presentó una</w:t>
      </w:r>
      <w:r>
        <w:rPr>
          <w:sz w:val="26"/>
          <w:szCs w:val="26"/>
          <w:lang w:val="es-ES"/>
        </w:rPr>
        <w:t xml:space="preserve"> </w:t>
      </w:r>
      <w:r w:rsidRPr="00DC4966">
        <w:rPr>
          <w:sz w:val="26"/>
          <w:szCs w:val="26"/>
          <w:lang w:val="es-ES"/>
        </w:rPr>
        <w:t>trayectoria descendente en todas las regiones. A esto contribuyeron reducciones</w:t>
      </w:r>
      <w:r>
        <w:rPr>
          <w:sz w:val="26"/>
          <w:szCs w:val="26"/>
          <w:lang w:val="es-ES"/>
        </w:rPr>
        <w:t xml:space="preserve"> </w:t>
      </w:r>
      <w:r w:rsidRPr="00DC4966">
        <w:rPr>
          <w:sz w:val="26"/>
          <w:szCs w:val="26"/>
          <w:lang w:val="es-ES"/>
        </w:rPr>
        <w:t>en el precio de los energéticos, principalmente en los precios de las gasolinas de</w:t>
      </w:r>
      <w:r>
        <w:rPr>
          <w:sz w:val="26"/>
          <w:szCs w:val="26"/>
          <w:lang w:val="es-ES"/>
        </w:rPr>
        <w:t xml:space="preserve"> </w:t>
      </w:r>
      <w:r w:rsidRPr="00DC4966">
        <w:rPr>
          <w:sz w:val="26"/>
          <w:szCs w:val="26"/>
          <w:lang w:val="es-ES"/>
        </w:rPr>
        <w:t xml:space="preserve">la frontera, </w:t>
      </w:r>
      <w:r w:rsidRPr="00DC4966">
        <w:rPr>
          <w:sz w:val="26"/>
          <w:szCs w:val="26"/>
          <w:lang w:val="es-ES"/>
        </w:rPr>
        <w:lastRenderedPageBreak/>
        <w:t>así como, en diciembre, el desvanecimiento del efecto del aumento del</w:t>
      </w:r>
      <w:r>
        <w:rPr>
          <w:sz w:val="26"/>
          <w:szCs w:val="26"/>
          <w:lang w:val="es-ES"/>
        </w:rPr>
        <w:t xml:space="preserve"> </w:t>
      </w:r>
      <w:r w:rsidRPr="00DC4966">
        <w:rPr>
          <w:sz w:val="26"/>
          <w:szCs w:val="26"/>
          <w:lang w:val="es-ES"/>
        </w:rPr>
        <w:t>metro en la región centro (</w:t>
      </w:r>
      <w:r>
        <w:rPr>
          <w:sz w:val="26"/>
          <w:szCs w:val="26"/>
          <w:lang w:val="es-ES"/>
        </w:rPr>
        <w:t>g</w:t>
      </w:r>
      <w:r w:rsidRPr="00DC4966">
        <w:rPr>
          <w:sz w:val="26"/>
          <w:szCs w:val="26"/>
          <w:lang w:val="es-ES"/>
        </w:rPr>
        <w:t>ráfica</w:t>
      </w:r>
      <w:r w:rsidRPr="00946424">
        <w:rPr>
          <w:sz w:val="26"/>
          <w:szCs w:val="26"/>
          <w:lang w:val="es-ES"/>
        </w:rPr>
        <w:t xml:space="preserve"> </w:t>
      </w:r>
      <w:r>
        <w:rPr>
          <w:sz w:val="26"/>
          <w:szCs w:val="26"/>
          <w:lang w:val="es-ES"/>
        </w:rPr>
        <w:t>siguiente,</w:t>
      </w:r>
      <w:r w:rsidRPr="00DC4966">
        <w:rPr>
          <w:i/>
          <w:sz w:val="26"/>
          <w:szCs w:val="26"/>
          <w:lang w:val="es-ES"/>
        </w:rPr>
        <w:t xml:space="preserve"> </w:t>
      </w:r>
      <w:r w:rsidRPr="00946424">
        <w:rPr>
          <w:sz w:val="26"/>
          <w:szCs w:val="26"/>
          <w:lang w:val="es-ES"/>
        </w:rPr>
        <w:t>sección b)</w:t>
      </w:r>
      <w:r w:rsidRPr="00DC4966">
        <w:rPr>
          <w:sz w:val="26"/>
          <w:szCs w:val="26"/>
          <w:lang w:val="es-ES"/>
        </w:rPr>
        <w:t>).</w:t>
      </w:r>
    </w:p>
    <w:tbl>
      <w:tblPr>
        <w:tblStyle w:val="Tablaconcuadrcula"/>
        <w:tblW w:w="920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73"/>
      </w:tblGrid>
      <w:tr w:rsidR="00BC6B56" w:rsidRPr="00200185" w14:paraId="2B641D57" w14:textId="77777777" w:rsidTr="00447800">
        <w:trPr>
          <w:jc w:val="center"/>
        </w:trPr>
        <w:tc>
          <w:tcPr>
            <w:tcW w:w="9209" w:type="dxa"/>
          </w:tcPr>
          <w:p w14:paraId="37BC5774" w14:textId="77777777" w:rsidR="00BC6B56" w:rsidRPr="00BA59AA" w:rsidRDefault="00BC6B56" w:rsidP="00447800">
            <w:pPr>
              <w:jc w:val="center"/>
              <w:rPr>
                <w:b/>
                <w:szCs w:val="26"/>
                <w:lang w:val="es-ES"/>
              </w:rPr>
            </w:pPr>
            <w:r w:rsidRPr="009B5AAC">
              <w:rPr>
                <w:b/>
                <w:szCs w:val="26"/>
                <w:lang w:val="es-ES"/>
              </w:rPr>
              <w:t xml:space="preserve">INFLACIÓN </w:t>
            </w:r>
            <w:r>
              <w:rPr>
                <w:b/>
                <w:szCs w:val="26"/>
                <w:lang w:val="es-ES"/>
              </w:rPr>
              <w:t xml:space="preserve">NO </w:t>
            </w:r>
            <w:r w:rsidRPr="009B5AAC">
              <w:rPr>
                <w:b/>
                <w:szCs w:val="26"/>
                <w:lang w:val="es-ES"/>
              </w:rPr>
              <w:t>SUBYACENTE ANUAL POR</w:t>
            </w:r>
            <w:r>
              <w:rPr>
                <w:b/>
                <w:szCs w:val="26"/>
                <w:lang w:val="es-ES"/>
              </w:rPr>
              <w:t xml:space="preserve"> RUBRO Y</w:t>
            </w:r>
            <w:r w:rsidRPr="009B5AAC">
              <w:rPr>
                <w:b/>
                <w:szCs w:val="26"/>
                <w:lang w:val="es-ES"/>
              </w:rPr>
              <w:t xml:space="preserve"> REGIÓN</w:t>
            </w:r>
          </w:p>
          <w:p w14:paraId="4F73DFF8" w14:textId="77777777" w:rsidR="00BC6B56" w:rsidRPr="00200185" w:rsidRDefault="00BC6B56" w:rsidP="00447800">
            <w:pPr>
              <w:jc w:val="center"/>
              <w:rPr>
                <w:b/>
                <w:szCs w:val="26"/>
                <w:lang w:val="es-ES"/>
              </w:rPr>
            </w:pPr>
            <w:r>
              <w:rPr>
                <w:b/>
                <w:szCs w:val="26"/>
                <w:lang w:val="es-ES"/>
              </w:rPr>
              <w:t>-</w:t>
            </w:r>
            <w:r w:rsidRPr="00BA59AA">
              <w:rPr>
                <w:b/>
                <w:szCs w:val="26"/>
                <w:lang w:val="es-ES"/>
              </w:rPr>
              <w:t>Cifras en por ciento</w:t>
            </w:r>
            <w:r>
              <w:rPr>
                <w:b/>
                <w:szCs w:val="26"/>
                <w:lang w:val="es-ES"/>
              </w:rPr>
              <w:t>-</w:t>
            </w:r>
          </w:p>
        </w:tc>
      </w:tr>
      <w:tr w:rsidR="00BC6B56" w:rsidRPr="00DB2C4F" w14:paraId="640B1ED5" w14:textId="77777777" w:rsidTr="00447800">
        <w:trPr>
          <w:jc w:val="center"/>
        </w:trPr>
        <w:tc>
          <w:tcPr>
            <w:tcW w:w="9209" w:type="dxa"/>
          </w:tcPr>
          <w:p w14:paraId="3AC649D4" w14:textId="77777777" w:rsidR="00BC6B56" w:rsidRPr="00DB2C4F" w:rsidRDefault="00BC6B56" w:rsidP="00447800">
            <w:pPr>
              <w:jc w:val="center"/>
              <w:rPr>
                <w:szCs w:val="26"/>
                <w:lang w:val="es-ES"/>
              </w:rPr>
            </w:pPr>
            <w:r w:rsidRPr="00946424">
              <w:rPr>
                <w:noProof/>
                <w:szCs w:val="26"/>
                <w:lang w:eastAsia="es-MX"/>
              </w:rPr>
              <w:drawing>
                <wp:inline distT="0" distB="0" distL="0" distR="0" wp14:anchorId="26BD4732" wp14:editId="46610242">
                  <wp:extent cx="5878461" cy="2880000"/>
                  <wp:effectExtent l="0" t="0" r="0" b="0"/>
                  <wp:docPr id="1679" name="Imagen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t="933" b="2793"/>
                          <a:stretch/>
                        </pic:blipFill>
                        <pic:spPr bwMode="auto">
                          <a:xfrm>
                            <a:off x="0" y="0"/>
                            <a:ext cx="5878461" cy="288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C6B56" w:rsidRPr="00DB2C4F" w14:paraId="4703AC26" w14:textId="77777777" w:rsidTr="00447800">
        <w:trPr>
          <w:jc w:val="center"/>
        </w:trPr>
        <w:tc>
          <w:tcPr>
            <w:tcW w:w="9209" w:type="dxa"/>
          </w:tcPr>
          <w:p w14:paraId="19AAC2E6" w14:textId="77777777" w:rsidR="00BC6B56" w:rsidRPr="00DB2C4F" w:rsidRDefault="00BC6B56" w:rsidP="00447800">
            <w:pPr>
              <w:ind w:left="1110" w:right="170" w:hanging="1076"/>
              <w:jc w:val="both"/>
              <w:rPr>
                <w:sz w:val="20"/>
                <w:szCs w:val="26"/>
                <w:lang w:val="es-ES"/>
              </w:rPr>
            </w:pPr>
            <w:r w:rsidRPr="008A4614">
              <w:rPr>
                <w:sz w:val="20"/>
                <w:szCs w:val="26"/>
                <w:lang w:val="es-ES"/>
              </w:rPr>
              <w:t xml:space="preserve">FUENTE: </w:t>
            </w:r>
            <w:r w:rsidRPr="00654F26">
              <w:rPr>
                <w:sz w:val="20"/>
                <w:szCs w:val="26"/>
                <w:lang w:val="es-ES"/>
              </w:rPr>
              <w:t>Estimaciones del Banco de México con base en datos propios y del INEGI</w:t>
            </w:r>
            <w:r w:rsidRPr="004752BF">
              <w:rPr>
                <w:sz w:val="20"/>
                <w:szCs w:val="26"/>
                <w:lang w:val="es-ES"/>
              </w:rPr>
              <w:t>.</w:t>
            </w:r>
          </w:p>
        </w:tc>
      </w:tr>
    </w:tbl>
    <w:p w14:paraId="72F0094A" w14:textId="77777777" w:rsidR="00BC6B56" w:rsidRPr="00DC4966" w:rsidRDefault="00BC6B56" w:rsidP="00BC6B56">
      <w:pPr>
        <w:spacing w:after="360" w:line="360" w:lineRule="auto"/>
        <w:ind w:right="-159"/>
        <w:jc w:val="both"/>
        <w:rPr>
          <w:sz w:val="26"/>
          <w:szCs w:val="26"/>
          <w:lang w:val="es-ES"/>
        </w:rPr>
      </w:pPr>
    </w:p>
    <w:p w14:paraId="7DA153C4" w14:textId="77777777" w:rsidR="00BC6B56" w:rsidRDefault="00BC6B56" w:rsidP="00BC6B56">
      <w:pPr>
        <w:spacing w:after="360" w:line="360" w:lineRule="auto"/>
        <w:ind w:right="-159"/>
        <w:jc w:val="both"/>
        <w:rPr>
          <w:sz w:val="26"/>
          <w:szCs w:val="26"/>
          <w:lang w:val="es-ES"/>
        </w:rPr>
      </w:pPr>
      <w:r w:rsidRPr="00DC4966">
        <w:rPr>
          <w:sz w:val="26"/>
          <w:szCs w:val="26"/>
          <w:lang w:val="es-ES"/>
        </w:rPr>
        <w:t>En enero y febrero de 2015, la inflación del componente no subyacente registró</w:t>
      </w:r>
      <w:r>
        <w:rPr>
          <w:sz w:val="26"/>
          <w:szCs w:val="26"/>
          <w:lang w:val="es-ES"/>
        </w:rPr>
        <w:t xml:space="preserve"> </w:t>
      </w:r>
      <w:r w:rsidRPr="00DC4966">
        <w:rPr>
          <w:sz w:val="26"/>
          <w:szCs w:val="26"/>
          <w:lang w:val="es-ES"/>
        </w:rPr>
        <w:t>una notable disminución en las cuatro regiones. En este último mes se ubicó en</w:t>
      </w:r>
      <w:r>
        <w:rPr>
          <w:sz w:val="26"/>
          <w:szCs w:val="26"/>
          <w:lang w:val="es-ES"/>
        </w:rPr>
        <w:t xml:space="preserve"> </w:t>
      </w:r>
      <w:r w:rsidRPr="00DC4966">
        <w:rPr>
          <w:sz w:val="26"/>
          <w:szCs w:val="26"/>
          <w:lang w:val="es-ES"/>
        </w:rPr>
        <w:t>1.59, 5.32, 6.13 y 6.87</w:t>
      </w:r>
      <w:r>
        <w:rPr>
          <w:sz w:val="26"/>
          <w:szCs w:val="26"/>
          <w:lang w:val="es-ES"/>
        </w:rPr>
        <w:t>%</w:t>
      </w:r>
      <w:r w:rsidRPr="00DC4966">
        <w:rPr>
          <w:sz w:val="26"/>
          <w:szCs w:val="26"/>
          <w:lang w:val="es-ES"/>
        </w:rPr>
        <w:t xml:space="preserve"> en el norte, centro norte, centro y sur,</w:t>
      </w:r>
      <w:r>
        <w:rPr>
          <w:sz w:val="26"/>
          <w:szCs w:val="26"/>
          <w:lang w:val="es-ES"/>
        </w:rPr>
        <w:t xml:space="preserve"> </w:t>
      </w:r>
      <w:r w:rsidRPr="00DC4966">
        <w:rPr>
          <w:sz w:val="26"/>
          <w:szCs w:val="26"/>
          <w:lang w:val="es-ES"/>
        </w:rPr>
        <w:t>respectivamente. Esto se debió principalmente al comportamiento del subíndice de</w:t>
      </w:r>
      <w:r>
        <w:rPr>
          <w:sz w:val="26"/>
          <w:szCs w:val="26"/>
          <w:lang w:val="es-ES"/>
        </w:rPr>
        <w:t xml:space="preserve"> </w:t>
      </w:r>
      <w:r w:rsidRPr="00DC4966">
        <w:rPr>
          <w:sz w:val="26"/>
          <w:szCs w:val="26"/>
          <w:lang w:val="es-ES"/>
        </w:rPr>
        <w:t>precios de energéticos y tarifas autorizadas por el gobierno. En particular, ello se</w:t>
      </w:r>
      <w:r>
        <w:rPr>
          <w:sz w:val="26"/>
          <w:szCs w:val="26"/>
          <w:lang w:val="es-ES"/>
        </w:rPr>
        <w:t xml:space="preserve"> </w:t>
      </w:r>
      <w:r w:rsidRPr="00DC4966">
        <w:rPr>
          <w:sz w:val="26"/>
          <w:szCs w:val="26"/>
          <w:lang w:val="es-ES"/>
        </w:rPr>
        <w:t>explica por la reducción en las tarifas de electricidad y de gas natural, así como por</w:t>
      </w:r>
      <w:r>
        <w:rPr>
          <w:sz w:val="26"/>
          <w:szCs w:val="26"/>
          <w:lang w:val="es-ES"/>
        </w:rPr>
        <w:t xml:space="preserve"> </w:t>
      </w:r>
      <w:r w:rsidRPr="00DC4966">
        <w:rPr>
          <w:sz w:val="26"/>
          <w:szCs w:val="26"/>
          <w:lang w:val="es-ES"/>
        </w:rPr>
        <w:t>las de la gasolina en las ciudades de la frontera norte (</w:t>
      </w:r>
      <w:r>
        <w:rPr>
          <w:sz w:val="26"/>
          <w:szCs w:val="26"/>
          <w:lang w:val="es-ES"/>
        </w:rPr>
        <w:t>g</w:t>
      </w:r>
      <w:r w:rsidRPr="00DC4966">
        <w:rPr>
          <w:sz w:val="26"/>
          <w:szCs w:val="26"/>
          <w:lang w:val="es-ES"/>
        </w:rPr>
        <w:t>ráfica</w:t>
      </w:r>
      <w:r>
        <w:rPr>
          <w:sz w:val="26"/>
          <w:szCs w:val="26"/>
          <w:lang w:val="es-ES"/>
        </w:rPr>
        <w:t xml:space="preserve"> anterior, sección b)</w:t>
      </w:r>
      <w:r w:rsidRPr="00DC4966">
        <w:rPr>
          <w:sz w:val="26"/>
          <w:szCs w:val="26"/>
          <w:lang w:val="es-ES"/>
        </w:rPr>
        <w:t>).</w:t>
      </w:r>
    </w:p>
    <w:p w14:paraId="31177805" w14:textId="77777777" w:rsidR="00BC6B56" w:rsidRPr="00274BD9" w:rsidRDefault="00BC6B56" w:rsidP="00BC6B56">
      <w:pPr>
        <w:spacing w:after="360" w:line="360" w:lineRule="auto"/>
        <w:ind w:right="-159"/>
        <w:jc w:val="both"/>
        <w:rPr>
          <w:b/>
          <w:sz w:val="26"/>
          <w:szCs w:val="26"/>
          <w:lang w:val="es-ES"/>
        </w:rPr>
      </w:pPr>
      <w:r w:rsidRPr="00274BD9">
        <w:rPr>
          <w:b/>
          <w:sz w:val="26"/>
          <w:szCs w:val="26"/>
          <w:lang w:val="es-ES"/>
        </w:rPr>
        <w:t>3. Perspectivas sobre las Economías Regionales</w:t>
      </w:r>
    </w:p>
    <w:p w14:paraId="6C642E5B" w14:textId="77777777" w:rsidR="00BC6B56" w:rsidRDefault="00BC6B56" w:rsidP="00BC6B56">
      <w:pPr>
        <w:spacing w:after="360" w:line="360" w:lineRule="auto"/>
        <w:ind w:right="-159"/>
        <w:jc w:val="both"/>
        <w:rPr>
          <w:sz w:val="26"/>
          <w:szCs w:val="26"/>
          <w:lang w:val="es-ES"/>
        </w:rPr>
      </w:pPr>
      <w:r w:rsidRPr="00BB3567">
        <w:rPr>
          <w:sz w:val="26"/>
          <w:szCs w:val="26"/>
          <w:lang w:val="es-ES"/>
        </w:rPr>
        <w:t>En esta sección se presentan las perspectivas sobre la actividad económica y la</w:t>
      </w:r>
      <w:r>
        <w:rPr>
          <w:sz w:val="26"/>
          <w:szCs w:val="26"/>
          <w:lang w:val="es-ES"/>
        </w:rPr>
        <w:t xml:space="preserve"> </w:t>
      </w:r>
      <w:r w:rsidRPr="00BB3567">
        <w:rPr>
          <w:sz w:val="26"/>
          <w:szCs w:val="26"/>
          <w:lang w:val="es-ES"/>
        </w:rPr>
        <w:t>inflación en las cuatro regiones del país, así como los riesgos que podrían incidir</w:t>
      </w:r>
      <w:r>
        <w:rPr>
          <w:sz w:val="26"/>
          <w:szCs w:val="26"/>
          <w:lang w:val="es-ES"/>
        </w:rPr>
        <w:t xml:space="preserve"> </w:t>
      </w:r>
      <w:r w:rsidRPr="00BB3567">
        <w:rPr>
          <w:sz w:val="26"/>
          <w:szCs w:val="26"/>
          <w:lang w:val="es-ES"/>
        </w:rPr>
        <w:t>en el desempeño de dichas variables en los próximos meses. La información</w:t>
      </w:r>
      <w:r>
        <w:rPr>
          <w:sz w:val="26"/>
          <w:szCs w:val="26"/>
          <w:lang w:val="es-ES"/>
        </w:rPr>
        <w:t xml:space="preserve"> </w:t>
      </w:r>
      <w:r w:rsidRPr="00BB3567">
        <w:rPr>
          <w:sz w:val="26"/>
          <w:szCs w:val="26"/>
          <w:lang w:val="es-ES"/>
        </w:rPr>
        <w:t xml:space="preserve">analizada proviene de dos </w:t>
      </w:r>
      <w:r w:rsidRPr="00BB3567">
        <w:rPr>
          <w:sz w:val="26"/>
          <w:szCs w:val="26"/>
          <w:lang w:val="es-ES"/>
        </w:rPr>
        <w:lastRenderedPageBreak/>
        <w:t>fuentes: la primera es la Encuesta Mensual de Actividad</w:t>
      </w:r>
      <w:r>
        <w:rPr>
          <w:sz w:val="26"/>
          <w:szCs w:val="26"/>
          <w:lang w:val="es-ES"/>
        </w:rPr>
        <w:t xml:space="preserve"> </w:t>
      </w:r>
      <w:r w:rsidRPr="00BB3567">
        <w:rPr>
          <w:sz w:val="26"/>
          <w:szCs w:val="26"/>
          <w:lang w:val="es-ES"/>
        </w:rPr>
        <w:t>Económica Regional que levanta el Banco de México entre empresas del sector</w:t>
      </w:r>
      <w:r>
        <w:rPr>
          <w:sz w:val="26"/>
          <w:szCs w:val="26"/>
          <w:lang w:val="es-ES"/>
        </w:rPr>
        <w:t xml:space="preserve"> </w:t>
      </w:r>
      <w:r w:rsidRPr="00BB3567">
        <w:rPr>
          <w:sz w:val="26"/>
          <w:szCs w:val="26"/>
          <w:lang w:val="es-ES"/>
        </w:rPr>
        <w:t>manufacturero para los propósitos específicos de este Reporte. La segunda fuente,</w:t>
      </w:r>
      <w:r>
        <w:rPr>
          <w:sz w:val="26"/>
          <w:szCs w:val="26"/>
          <w:lang w:val="es-ES"/>
        </w:rPr>
        <w:t xml:space="preserve"> </w:t>
      </w:r>
      <w:r w:rsidRPr="00BB3567">
        <w:rPr>
          <w:sz w:val="26"/>
          <w:szCs w:val="26"/>
          <w:lang w:val="es-ES"/>
        </w:rPr>
        <w:t>ya referida en la Sección 1, corresponde a las entrevistas que realizó el Banco de</w:t>
      </w:r>
      <w:r>
        <w:rPr>
          <w:sz w:val="26"/>
          <w:szCs w:val="26"/>
          <w:lang w:val="es-ES"/>
        </w:rPr>
        <w:t xml:space="preserve"> </w:t>
      </w:r>
      <w:r w:rsidRPr="00BB3567">
        <w:rPr>
          <w:sz w:val="26"/>
          <w:szCs w:val="26"/>
          <w:lang w:val="es-ES"/>
        </w:rPr>
        <w:t>México entre el 15 de diciembre de 2014 y el 23 de enero de 2015 a directivos</w:t>
      </w:r>
      <w:r>
        <w:rPr>
          <w:sz w:val="26"/>
          <w:szCs w:val="26"/>
          <w:lang w:val="es-ES"/>
        </w:rPr>
        <w:t xml:space="preserve"> </w:t>
      </w:r>
      <w:r w:rsidRPr="00BB3567">
        <w:rPr>
          <w:sz w:val="26"/>
          <w:szCs w:val="26"/>
          <w:lang w:val="es-ES"/>
        </w:rPr>
        <w:t>empresariales d</w:t>
      </w:r>
      <w:r>
        <w:rPr>
          <w:sz w:val="26"/>
          <w:szCs w:val="26"/>
          <w:lang w:val="es-ES"/>
        </w:rPr>
        <w:t>e diversos sectores económicos.</w:t>
      </w:r>
      <w:r>
        <w:rPr>
          <w:rStyle w:val="Refdenotaalpie"/>
          <w:sz w:val="26"/>
          <w:szCs w:val="26"/>
          <w:lang w:val="es-ES"/>
        </w:rPr>
        <w:footnoteReference w:id="8"/>
      </w:r>
    </w:p>
    <w:p w14:paraId="5A535164" w14:textId="77777777" w:rsidR="00BC6B56" w:rsidRPr="003A1033" w:rsidRDefault="00BC6B56" w:rsidP="00BC6B56">
      <w:pPr>
        <w:spacing w:after="360" w:line="360" w:lineRule="auto"/>
        <w:ind w:right="-159"/>
        <w:jc w:val="both"/>
        <w:rPr>
          <w:b/>
          <w:sz w:val="26"/>
          <w:szCs w:val="26"/>
          <w:lang w:val="es-ES"/>
        </w:rPr>
      </w:pPr>
      <w:r w:rsidRPr="003A1033">
        <w:rPr>
          <w:b/>
          <w:sz w:val="26"/>
          <w:szCs w:val="26"/>
          <w:lang w:val="es-ES"/>
        </w:rPr>
        <w:t>3.1 Actividad Económica</w:t>
      </w:r>
    </w:p>
    <w:p w14:paraId="49665EBE" w14:textId="77777777" w:rsidR="00BC6B56" w:rsidRDefault="00BC6B56" w:rsidP="00BC6B56">
      <w:pPr>
        <w:spacing w:after="360" w:line="360" w:lineRule="auto"/>
        <w:ind w:right="-159"/>
        <w:jc w:val="both"/>
        <w:rPr>
          <w:sz w:val="26"/>
          <w:szCs w:val="26"/>
          <w:lang w:val="es-ES"/>
        </w:rPr>
      </w:pPr>
      <w:r w:rsidRPr="00BB3567">
        <w:rPr>
          <w:sz w:val="26"/>
          <w:szCs w:val="26"/>
          <w:lang w:val="es-ES"/>
        </w:rPr>
        <w:t>El Índice Regional de Pedidos Manufactureros, que se deriva de la Encuesta</w:t>
      </w:r>
      <w:r>
        <w:rPr>
          <w:sz w:val="26"/>
          <w:szCs w:val="26"/>
          <w:lang w:val="es-ES"/>
        </w:rPr>
        <w:t xml:space="preserve"> </w:t>
      </w:r>
      <w:r w:rsidRPr="00BB3567">
        <w:rPr>
          <w:sz w:val="26"/>
          <w:szCs w:val="26"/>
          <w:lang w:val="es-ES"/>
        </w:rPr>
        <w:t>Mensual de Actividad Económica, muestra que las empresas consultadas en</w:t>
      </w:r>
      <w:r>
        <w:rPr>
          <w:sz w:val="26"/>
          <w:szCs w:val="26"/>
          <w:lang w:val="es-ES"/>
        </w:rPr>
        <w:t xml:space="preserve"> </w:t>
      </w:r>
      <w:r w:rsidRPr="00BB3567">
        <w:rPr>
          <w:sz w:val="26"/>
          <w:szCs w:val="26"/>
          <w:lang w:val="es-ES"/>
        </w:rPr>
        <w:t>general anticipan mayores niveles de actividad manufacturera en las cuatro</w:t>
      </w:r>
      <w:r>
        <w:rPr>
          <w:sz w:val="26"/>
          <w:szCs w:val="26"/>
          <w:lang w:val="es-ES"/>
        </w:rPr>
        <w:t xml:space="preserve"> </w:t>
      </w:r>
      <w:r w:rsidRPr="00BB3567">
        <w:rPr>
          <w:sz w:val="26"/>
          <w:szCs w:val="26"/>
          <w:lang w:val="es-ES"/>
        </w:rPr>
        <w:t>regiones durante los siguientes tres meses (</w:t>
      </w:r>
      <w:r>
        <w:rPr>
          <w:sz w:val="26"/>
          <w:szCs w:val="26"/>
          <w:lang w:val="es-ES"/>
        </w:rPr>
        <w:t>gráfica siguiente</w:t>
      </w:r>
      <w:r w:rsidRPr="00BB3567">
        <w:rPr>
          <w:sz w:val="26"/>
          <w:szCs w:val="26"/>
          <w:lang w:val="es-ES"/>
        </w:rPr>
        <w:t>). Dicha expectativa de</w:t>
      </w:r>
      <w:r>
        <w:rPr>
          <w:sz w:val="26"/>
          <w:szCs w:val="26"/>
          <w:lang w:val="es-ES"/>
        </w:rPr>
        <w:t xml:space="preserve"> </w:t>
      </w:r>
      <w:r w:rsidRPr="00BB3567">
        <w:rPr>
          <w:sz w:val="26"/>
          <w:szCs w:val="26"/>
          <w:lang w:val="es-ES"/>
        </w:rPr>
        <w:t>expansión de la actividad manufacturera se sustenta principalmente en el aumento</w:t>
      </w:r>
      <w:r>
        <w:rPr>
          <w:sz w:val="26"/>
          <w:szCs w:val="26"/>
          <w:lang w:val="es-ES"/>
        </w:rPr>
        <w:t xml:space="preserve"> </w:t>
      </w:r>
      <w:r w:rsidRPr="00BB3567">
        <w:rPr>
          <w:sz w:val="26"/>
          <w:szCs w:val="26"/>
          <w:lang w:val="es-ES"/>
        </w:rPr>
        <w:t>que esperan en la producción, en los pedidos nacionales y en el personal ocupado.</w:t>
      </w:r>
      <w:r>
        <w:rPr>
          <w:sz w:val="26"/>
          <w:szCs w:val="26"/>
          <w:lang w:val="es-ES"/>
        </w:rPr>
        <w:t xml:space="preserve"> </w:t>
      </w:r>
      <w:r w:rsidRPr="00BB3567">
        <w:rPr>
          <w:sz w:val="26"/>
          <w:szCs w:val="26"/>
          <w:lang w:val="es-ES"/>
        </w:rPr>
        <w:t>Por regiones, también anticipan incrementos en los pedidos de exportación en el</w:t>
      </w:r>
      <w:r>
        <w:rPr>
          <w:sz w:val="26"/>
          <w:szCs w:val="26"/>
          <w:lang w:val="es-ES"/>
        </w:rPr>
        <w:t xml:space="preserve"> </w:t>
      </w:r>
      <w:r w:rsidRPr="00BB3567">
        <w:rPr>
          <w:sz w:val="26"/>
          <w:szCs w:val="26"/>
          <w:lang w:val="es-ES"/>
        </w:rPr>
        <w:t>norte y en el sur, disminuciones en los inventarios en las regiones centro norte y</w:t>
      </w:r>
      <w:r>
        <w:rPr>
          <w:sz w:val="26"/>
          <w:szCs w:val="26"/>
          <w:lang w:val="es-ES"/>
        </w:rPr>
        <w:t xml:space="preserve"> </w:t>
      </w:r>
      <w:r w:rsidRPr="00BB3567">
        <w:rPr>
          <w:sz w:val="26"/>
          <w:szCs w:val="26"/>
          <w:lang w:val="es-ES"/>
        </w:rPr>
        <w:t>centro y aumentos en los tiempos de entrega de insumos en las regiones centro</w:t>
      </w:r>
      <w:r>
        <w:rPr>
          <w:sz w:val="26"/>
          <w:szCs w:val="26"/>
          <w:lang w:val="es-ES"/>
        </w:rPr>
        <w:t xml:space="preserve"> </w:t>
      </w:r>
      <w:r w:rsidRPr="00BB3567">
        <w:rPr>
          <w:sz w:val="26"/>
          <w:szCs w:val="26"/>
          <w:lang w:val="es-ES"/>
        </w:rPr>
        <w:t>norte y sur.</w:t>
      </w:r>
    </w:p>
    <w:p w14:paraId="774D6AB3" w14:textId="77777777" w:rsidR="00BC6B56" w:rsidRDefault="00BC6B56" w:rsidP="00BC6B56">
      <w:pPr>
        <w:spacing w:after="360" w:line="360" w:lineRule="auto"/>
        <w:ind w:right="-159"/>
        <w:jc w:val="both"/>
        <w:rPr>
          <w:sz w:val="26"/>
          <w:szCs w:val="26"/>
          <w:lang w:val="es-ES"/>
        </w:rPr>
      </w:pPr>
    </w:p>
    <w:p w14:paraId="70034066" w14:textId="77777777" w:rsidR="00BC6B56" w:rsidRDefault="00BC6B56" w:rsidP="00BC6B56">
      <w:pPr>
        <w:spacing w:after="360" w:line="360" w:lineRule="auto"/>
        <w:ind w:right="-159"/>
        <w:jc w:val="both"/>
        <w:rPr>
          <w:sz w:val="26"/>
          <w:szCs w:val="26"/>
          <w:lang w:val="es-ES"/>
        </w:rPr>
      </w:pPr>
    </w:p>
    <w:p w14:paraId="47CA6E22" w14:textId="77777777" w:rsidR="00BC6B56" w:rsidRDefault="00BC6B56" w:rsidP="00BC6B56">
      <w:pPr>
        <w:spacing w:after="360" w:line="360" w:lineRule="auto"/>
        <w:ind w:right="-159"/>
        <w:jc w:val="both"/>
        <w:rPr>
          <w:sz w:val="26"/>
          <w:szCs w:val="26"/>
          <w:lang w:val="es-ES"/>
        </w:rPr>
      </w:pPr>
    </w:p>
    <w:p w14:paraId="3BEFE98A" w14:textId="77777777" w:rsidR="00BC6B56" w:rsidRDefault="00BC6B56" w:rsidP="00BC6B56">
      <w:pPr>
        <w:spacing w:after="360" w:line="360" w:lineRule="auto"/>
        <w:ind w:right="-159"/>
        <w:jc w:val="both"/>
        <w:rPr>
          <w:sz w:val="26"/>
          <w:szCs w:val="26"/>
          <w:lang w:val="es-ES"/>
        </w:rPr>
      </w:pPr>
    </w:p>
    <w:tbl>
      <w:tblPr>
        <w:tblStyle w:val="Tablaconcuadrcula"/>
        <w:tblW w:w="920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09"/>
      </w:tblGrid>
      <w:tr w:rsidR="00BC6B56" w:rsidRPr="00200185" w14:paraId="3965C1E8" w14:textId="77777777" w:rsidTr="00447800">
        <w:trPr>
          <w:jc w:val="center"/>
        </w:trPr>
        <w:tc>
          <w:tcPr>
            <w:tcW w:w="9209" w:type="dxa"/>
          </w:tcPr>
          <w:p w14:paraId="44102325" w14:textId="77777777" w:rsidR="00DF77F2" w:rsidRDefault="00DF77F2" w:rsidP="00447800">
            <w:pPr>
              <w:jc w:val="center"/>
              <w:rPr>
                <w:b/>
                <w:szCs w:val="26"/>
                <w:lang w:val="es-ES"/>
              </w:rPr>
            </w:pPr>
          </w:p>
          <w:p w14:paraId="3A210F52" w14:textId="77777777" w:rsidR="00DF77F2" w:rsidRDefault="00DF77F2" w:rsidP="00447800">
            <w:pPr>
              <w:jc w:val="center"/>
              <w:rPr>
                <w:b/>
                <w:szCs w:val="26"/>
                <w:lang w:val="es-ES"/>
              </w:rPr>
            </w:pPr>
          </w:p>
          <w:p w14:paraId="5703B048" w14:textId="77777777" w:rsidR="00BC6B56" w:rsidRPr="00946424" w:rsidRDefault="00BC6B56" w:rsidP="00447800">
            <w:pPr>
              <w:jc w:val="center"/>
              <w:rPr>
                <w:b/>
                <w:szCs w:val="26"/>
                <w:lang w:val="es-ES"/>
              </w:rPr>
            </w:pPr>
            <w:r w:rsidRPr="00946424">
              <w:rPr>
                <w:b/>
                <w:szCs w:val="26"/>
                <w:lang w:val="es-ES"/>
              </w:rPr>
              <w:lastRenderedPageBreak/>
              <w:t>ÍNDICE REGIONAL DE PEDIDOS MANUFACTUREROS: EXPECTATIVAS</w:t>
            </w:r>
          </w:p>
          <w:p w14:paraId="438E9A4A" w14:textId="77777777" w:rsidR="00BC6B56" w:rsidRPr="00946424" w:rsidRDefault="00BC6B56" w:rsidP="00447800">
            <w:pPr>
              <w:jc w:val="center"/>
              <w:rPr>
                <w:b/>
                <w:szCs w:val="26"/>
                <w:lang w:val="es-ES"/>
              </w:rPr>
            </w:pPr>
            <w:r w:rsidRPr="00946424">
              <w:rPr>
                <w:b/>
                <w:szCs w:val="26"/>
                <w:lang w:val="es-ES"/>
              </w:rPr>
              <w:t>SOBRE LA ACTIVIDAD EN LOS PRÓXIMOS 3 MESES</w:t>
            </w:r>
            <w:r w:rsidRPr="00946424">
              <w:rPr>
                <w:b/>
                <w:szCs w:val="26"/>
                <w:u w:val="single"/>
                <w:vertAlign w:val="superscript"/>
                <w:lang w:val="es-ES"/>
              </w:rPr>
              <w:t>1</w:t>
            </w:r>
            <w:r w:rsidRPr="00946424">
              <w:rPr>
                <w:b/>
                <w:szCs w:val="26"/>
                <w:vertAlign w:val="superscript"/>
                <w:lang w:val="es-ES"/>
              </w:rPr>
              <w:t>/</w:t>
            </w:r>
          </w:p>
          <w:p w14:paraId="50C1E472" w14:textId="77777777" w:rsidR="00BC6B56" w:rsidRPr="00200185" w:rsidRDefault="00BC6B56" w:rsidP="00447800">
            <w:pPr>
              <w:jc w:val="center"/>
              <w:rPr>
                <w:b/>
                <w:szCs w:val="26"/>
                <w:lang w:val="es-ES"/>
              </w:rPr>
            </w:pPr>
            <w:r>
              <w:rPr>
                <w:b/>
                <w:szCs w:val="26"/>
                <w:lang w:val="es-ES"/>
              </w:rPr>
              <w:t>-</w:t>
            </w:r>
            <w:r w:rsidRPr="00946424">
              <w:rPr>
                <w:b/>
                <w:szCs w:val="26"/>
                <w:lang w:val="es-ES"/>
              </w:rPr>
              <w:t>Índice de difusión</w:t>
            </w:r>
            <w:r>
              <w:rPr>
                <w:b/>
                <w:szCs w:val="26"/>
                <w:lang w:val="es-ES"/>
              </w:rPr>
              <w:t>-</w:t>
            </w:r>
          </w:p>
        </w:tc>
      </w:tr>
      <w:tr w:rsidR="00BC6B56" w:rsidRPr="00DB2C4F" w14:paraId="396D65E1" w14:textId="77777777" w:rsidTr="00447800">
        <w:trPr>
          <w:jc w:val="center"/>
        </w:trPr>
        <w:tc>
          <w:tcPr>
            <w:tcW w:w="9209" w:type="dxa"/>
          </w:tcPr>
          <w:p w14:paraId="0FCCA89E" w14:textId="77777777" w:rsidR="00BC6B56" w:rsidRPr="00DB2C4F" w:rsidRDefault="00BC6B56" w:rsidP="00447800">
            <w:pPr>
              <w:jc w:val="center"/>
              <w:rPr>
                <w:szCs w:val="26"/>
                <w:lang w:val="es-ES"/>
              </w:rPr>
            </w:pPr>
            <w:r w:rsidRPr="002A232D">
              <w:rPr>
                <w:noProof/>
                <w:szCs w:val="26"/>
                <w:lang w:eastAsia="es-MX"/>
              </w:rPr>
              <w:lastRenderedPageBreak/>
              <w:drawing>
                <wp:inline distT="0" distB="0" distL="0" distR="0" wp14:anchorId="12A0878E" wp14:editId="337D0371">
                  <wp:extent cx="4992778" cy="3240000"/>
                  <wp:effectExtent l="0" t="0" r="0" b="0"/>
                  <wp:docPr id="1680" name="Imagen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t="1070" b="1423"/>
                          <a:stretch/>
                        </pic:blipFill>
                        <pic:spPr bwMode="auto">
                          <a:xfrm>
                            <a:off x="0" y="0"/>
                            <a:ext cx="4992778" cy="324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C6B56" w:rsidRPr="00DB2C4F" w14:paraId="5BF2BFDD" w14:textId="77777777" w:rsidTr="00447800">
        <w:trPr>
          <w:jc w:val="center"/>
        </w:trPr>
        <w:tc>
          <w:tcPr>
            <w:tcW w:w="9209" w:type="dxa"/>
          </w:tcPr>
          <w:p w14:paraId="34EA3039" w14:textId="77777777" w:rsidR="00BC6B56" w:rsidRDefault="00BC6B56" w:rsidP="00447800">
            <w:pPr>
              <w:ind w:left="1110" w:right="170" w:hanging="1076"/>
              <w:jc w:val="both"/>
              <w:rPr>
                <w:sz w:val="20"/>
                <w:szCs w:val="26"/>
                <w:lang w:val="es-ES"/>
              </w:rPr>
            </w:pPr>
            <w:r w:rsidRPr="00946424">
              <w:rPr>
                <w:sz w:val="20"/>
                <w:szCs w:val="26"/>
                <w:u w:val="single"/>
                <w:lang w:val="es-ES"/>
              </w:rPr>
              <w:t>1</w:t>
            </w:r>
            <w:r w:rsidRPr="00946424">
              <w:rPr>
                <w:sz w:val="20"/>
                <w:szCs w:val="26"/>
                <w:lang w:val="es-ES"/>
              </w:rPr>
              <w:t>/ Cifras ajustadas por estacionalidad.</w:t>
            </w:r>
          </w:p>
          <w:p w14:paraId="1748B920" w14:textId="77777777" w:rsidR="00BC6B56" w:rsidRPr="00DB2C4F" w:rsidRDefault="00BC6B56" w:rsidP="00447800">
            <w:pPr>
              <w:ind w:left="1110" w:right="170" w:hanging="1076"/>
              <w:jc w:val="both"/>
              <w:rPr>
                <w:sz w:val="20"/>
                <w:szCs w:val="26"/>
                <w:lang w:val="es-ES"/>
              </w:rPr>
            </w:pPr>
            <w:r w:rsidRPr="008A4614">
              <w:rPr>
                <w:sz w:val="20"/>
                <w:szCs w:val="26"/>
                <w:lang w:val="es-ES"/>
              </w:rPr>
              <w:t xml:space="preserve">FUENTE: </w:t>
            </w:r>
            <w:r w:rsidRPr="00654F26">
              <w:rPr>
                <w:sz w:val="20"/>
                <w:szCs w:val="26"/>
                <w:lang w:val="es-ES"/>
              </w:rPr>
              <w:t>Banco de México</w:t>
            </w:r>
            <w:r w:rsidRPr="004752BF">
              <w:rPr>
                <w:sz w:val="20"/>
                <w:szCs w:val="26"/>
                <w:lang w:val="es-ES"/>
              </w:rPr>
              <w:t>.</w:t>
            </w:r>
          </w:p>
        </w:tc>
      </w:tr>
    </w:tbl>
    <w:p w14:paraId="0AB766D1" w14:textId="77777777" w:rsidR="00BC6B56" w:rsidRDefault="00BC6B56" w:rsidP="00BC6B56">
      <w:pPr>
        <w:spacing w:after="360" w:line="360" w:lineRule="auto"/>
        <w:ind w:right="-159"/>
        <w:jc w:val="both"/>
        <w:rPr>
          <w:sz w:val="26"/>
          <w:szCs w:val="26"/>
          <w:lang w:val="es-ES"/>
        </w:rPr>
      </w:pPr>
    </w:p>
    <w:p w14:paraId="38F0181F" w14:textId="77777777" w:rsidR="00BC6B56" w:rsidRPr="00BB3567" w:rsidRDefault="00BC6B56" w:rsidP="00BC6B56">
      <w:pPr>
        <w:spacing w:after="360" w:line="360" w:lineRule="auto"/>
        <w:ind w:right="-159"/>
        <w:jc w:val="both"/>
        <w:rPr>
          <w:sz w:val="26"/>
          <w:szCs w:val="26"/>
          <w:lang w:val="es-ES"/>
        </w:rPr>
      </w:pPr>
      <w:r w:rsidRPr="00BB3567">
        <w:rPr>
          <w:sz w:val="26"/>
          <w:szCs w:val="26"/>
          <w:lang w:val="es-ES"/>
        </w:rPr>
        <w:t>Las expectativas de los directivos empresariales entrevistados por el Banco de México sobre la actividad económica regional son moderadamente optimistas y apuntan a que la recuperación de la demanda por sus bienes y servicios continúe durante los próximos doce meses (</w:t>
      </w:r>
      <w:r>
        <w:rPr>
          <w:sz w:val="26"/>
          <w:szCs w:val="26"/>
          <w:lang w:val="es-ES"/>
        </w:rPr>
        <w:t>g</w:t>
      </w:r>
      <w:r w:rsidRPr="00BB3567">
        <w:rPr>
          <w:sz w:val="26"/>
          <w:szCs w:val="26"/>
          <w:lang w:val="es-ES"/>
        </w:rPr>
        <w:t>ráfica</w:t>
      </w:r>
      <w:r>
        <w:rPr>
          <w:sz w:val="26"/>
          <w:szCs w:val="26"/>
          <w:lang w:val="es-ES"/>
        </w:rPr>
        <w:t xml:space="preserve"> siguiente, sección a)</w:t>
      </w:r>
      <w:r w:rsidRPr="00BB3567">
        <w:rPr>
          <w:sz w:val="26"/>
          <w:szCs w:val="26"/>
          <w:lang w:val="es-ES"/>
        </w:rPr>
        <w:t>).</w:t>
      </w:r>
    </w:p>
    <w:p w14:paraId="6DDA3FF1" w14:textId="77777777" w:rsidR="00BC6B56" w:rsidRDefault="00BC6B56" w:rsidP="00BC6B56">
      <w:pPr>
        <w:spacing w:after="360" w:line="360" w:lineRule="auto"/>
        <w:ind w:right="-159"/>
        <w:jc w:val="both"/>
        <w:rPr>
          <w:sz w:val="26"/>
          <w:szCs w:val="26"/>
          <w:lang w:val="es-ES"/>
        </w:rPr>
      </w:pPr>
      <w:r w:rsidRPr="00BB3567">
        <w:rPr>
          <w:sz w:val="26"/>
          <w:szCs w:val="26"/>
          <w:lang w:val="es-ES"/>
        </w:rPr>
        <w:t>Los directivos consultados sostuvieron que sus expectativas se basan en las buenas perspectivas que tienen sobre la economía de Estados Unidos</w:t>
      </w:r>
      <w:r>
        <w:rPr>
          <w:sz w:val="26"/>
          <w:szCs w:val="26"/>
          <w:lang w:val="es-ES"/>
        </w:rPr>
        <w:t xml:space="preserve"> de Norteamérica</w:t>
      </w:r>
      <w:r w:rsidRPr="00BB3567">
        <w:rPr>
          <w:sz w:val="26"/>
          <w:szCs w:val="26"/>
          <w:lang w:val="es-ES"/>
        </w:rPr>
        <w:t xml:space="preserve">. Asimismo, en todas las regiones, esperan un dinamismo de la inversión privada mayor que el observado en 2014. Por un lado, destacaron las inversiones que anticipan en ciertos rubros de las manufacturas, la construcción y los servicios vinculados a las exportaciones y al turismo, así como en el sector agropecuario. Por otro lado, mencionaron las inversiones asociadas a la construcción privada residencial y a la </w:t>
      </w:r>
      <w:r w:rsidRPr="00BB3567">
        <w:rPr>
          <w:sz w:val="26"/>
          <w:szCs w:val="26"/>
          <w:lang w:val="es-ES"/>
        </w:rPr>
        <w:lastRenderedPageBreak/>
        <w:t>continuación de las obras de infraestructura pública que se iniciaron durante el año previo.</w:t>
      </w:r>
    </w:p>
    <w:tbl>
      <w:tblPr>
        <w:tblStyle w:val="Tablaconcuadrcula"/>
        <w:tblW w:w="920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873"/>
      </w:tblGrid>
      <w:tr w:rsidR="00BC6B56" w:rsidRPr="00200185" w14:paraId="1E179709" w14:textId="77777777" w:rsidTr="00447800">
        <w:trPr>
          <w:jc w:val="center"/>
        </w:trPr>
        <w:tc>
          <w:tcPr>
            <w:tcW w:w="9209" w:type="dxa"/>
          </w:tcPr>
          <w:p w14:paraId="68D3E2DB" w14:textId="77777777" w:rsidR="00BC6B56" w:rsidRPr="00946424" w:rsidRDefault="00BC6B56" w:rsidP="00447800">
            <w:pPr>
              <w:jc w:val="center"/>
              <w:rPr>
                <w:b/>
                <w:szCs w:val="26"/>
                <w:lang w:val="es-ES"/>
              </w:rPr>
            </w:pPr>
            <w:r w:rsidRPr="00343977">
              <w:rPr>
                <w:b/>
                <w:szCs w:val="26"/>
                <w:lang w:val="es-ES"/>
              </w:rPr>
              <w:t>EXPECTATIVAS DE DIRECTIVOS EMPRESARIALES: DEMANDA, PERSONAL CONTRATADO Y</w:t>
            </w:r>
            <w:r>
              <w:rPr>
                <w:b/>
                <w:szCs w:val="26"/>
                <w:lang w:val="es-ES"/>
              </w:rPr>
              <w:t xml:space="preserve"> </w:t>
            </w:r>
            <w:r w:rsidRPr="00343977">
              <w:rPr>
                <w:b/>
                <w:szCs w:val="26"/>
                <w:lang w:val="es-ES"/>
              </w:rPr>
              <w:t>ACERVO DE CAPITAL FÍSICO EN LOS PRÓXIMOS 12 MESES</w:t>
            </w:r>
            <w:r w:rsidRPr="00946424">
              <w:rPr>
                <w:b/>
                <w:szCs w:val="26"/>
                <w:u w:val="single"/>
                <w:vertAlign w:val="superscript"/>
                <w:lang w:val="es-ES"/>
              </w:rPr>
              <w:t>1</w:t>
            </w:r>
            <w:r w:rsidRPr="00946424">
              <w:rPr>
                <w:b/>
                <w:szCs w:val="26"/>
                <w:vertAlign w:val="superscript"/>
                <w:lang w:val="es-ES"/>
              </w:rPr>
              <w:t>/</w:t>
            </w:r>
          </w:p>
          <w:p w14:paraId="23B2D163" w14:textId="77777777" w:rsidR="00BC6B56" w:rsidRPr="00200185" w:rsidRDefault="00BC6B56" w:rsidP="00447800">
            <w:pPr>
              <w:jc w:val="center"/>
              <w:rPr>
                <w:b/>
                <w:szCs w:val="26"/>
                <w:lang w:val="es-ES"/>
              </w:rPr>
            </w:pPr>
            <w:r>
              <w:rPr>
                <w:b/>
                <w:szCs w:val="26"/>
                <w:lang w:val="es-ES"/>
              </w:rPr>
              <w:t>-</w:t>
            </w:r>
            <w:r w:rsidRPr="00946424">
              <w:rPr>
                <w:b/>
                <w:szCs w:val="26"/>
                <w:lang w:val="es-ES"/>
              </w:rPr>
              <w:t>Índice de difusión</w:t>
            </w:r>
            <w:r>
              <w:rPr>
                <w:b/>
                <w:szCs w:val="26"/>
                <w:lang w:val="es-ES"/>
              </w:rPr>
              <w:t>-</w:t>
            </w:r>
          </w:p>
        </w:tc>
      </w:tr>
      <w:tr w:rsidR="00BC6B56" w:rsidRPr="00DB2C4F" w14:paraId="3DA6E709" w14:textId="77777777" w:rsidTr="00447800">
        <w:trPr>
          <w:jc w:val="center"/>
        </w:trPr>
        <w:tc>
          <w:tcPr>
            <w:tcW w:w="9209" w:type="dxa"/>
          </w:tcPr>
          <w:p w14:paraId="0A0A0678" w14:textId="77777777" w:rsidR="00BC6B56" w:rsidRPr="00DB2C4F" w:rsidRDefault="00BC6B56" w:rsidP="00447800">
            <w:pPr>
              <w:jc w:val="center"/>
              <w:rPr>
                <w:szCs w:val="26"/>
                <w:lang w:val="es-ES"/>
              </w:rPr>
            </w:pPr>
            <w:r w:rsidRPr="00343977">
              <w:rPr>
                <w:noProof/>
                <w:szCs w:val="26"/>
                <w:lang w:eastAsia="es-MX"/>
              </w:rPr>
              <w:drawing>
                <wp:inline distT="0" distB="0" distL="0" distR="0" wp14:anchorId="5DF9CA02" wp14:editId="52C7A543">
                  <wp:extent cx="6767694" cy="2160000"/>
                  <wp:effectExtent l="0" t="0" r="0" b="0"/>
                  <wp:docPr id="1681" name="Imagen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t="6141" b="2042"/>
                          <a:stretch/>
                        </pic:blipFill>
                        <pic:spPr bwMode="auto">
                          <a:xfrm>
                            <a:off x="0" y="0"/>
                            <a:ext cx="6767694" cy="21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C6B56" w:rsidRPr="00DB2C4F" w14:paraId="2BA147EC" w14:textId="77777777" w:rsidTr="00447800">
        <w:trPr>
          <w:jc w:val="center"/>
        </w:trPr>
        <w:tc>
          <w:tcPr>
            <w:tcW w:w="9209" w:type="dxa"/>
          </w:tcPr>
          <w:p w14:paraId="46FA1C03" w14:textId="77777777" w:rsidR="00BC6B56" w:rsidRDefault="00BC6B56" w:rsidP="00447800">
            <w:pPr>
              <w:ind w:left="1110" w:right="170" w:hanging="1076"/>
              <w:jc w:val="both"/>
              <w:rPr>
                <w:sz w:val="20"/>
                <w:szCs w:val="26"/>
                <w:lang w:val="es-ES"/>
              </w:rPr>
            </w:pPr>
            <w:r w:rsidRPr="00946424">
              <w:rPr>
                <w:sz w:val="20"/>
                <w:szCs w:val="26"/>
                <w:u w:val="single"/>
                <w:lang w:val="es-ES"/>
              </w:rPr>
              <w:t>1</w:t>
            </w:r>
            <w:r w:rsidRPr="00946424">
              <w:rPr>
                <w:sz w:val="20"/>
                <w:szCs w:val="26"/>
                <w:lang w:val="es-ES"/>
              </w:rPr>
              <w:t xml:space="preserve">/ </w:t>
            </w:r>
            <w:r w:rsidRPr="00343977">
              <w:rPr>
                <w:sz w:val="20"/>
                <w:szCs w:val="26"/>
                <w:lang w:val="es-ES"/>
              </w:rPr>
              <w:t>Resultados obtenidos de las entrevistas que condujo el Banco de México.</w:t>
            </w:r>
          </w:p>
          <w:p w14:paraId="04116D78" w14:textId="77777777" w:rsidR="00BC6B56" w:rsidRPr="00DB2C4F" w:rsidRDefault="00BC6B56" w:rsidP="00447800">
            <w:pPr>
              <w:ind w:left="1110" w:right="170" w:hanging="1076"/>
              <w:jc w:val="both"/>
              <w:rPr>
                <w:sz w:val="20"/>
                <w:szCs w:val="26"/>
                <w:lang w:val="es-ES"/>
              </w:rPr>
            </w:pPr>
            <w:r w:rsidRPr="008A4614">
              <w:rPr>
                <w:sz w:val="20"/>
                <w:szCs w:val="26"/>
                <w:lang w:val="es-ES"/>
              </w:rPr>
              <w:t xml:space="preserve">FUENTE: </w:t>
            </w:r>
            <w:r w:rsidRPr="00654F26">
              <w:rPr>
                <w:sz w:val="20"/>
                <w:szCs w:val="26"/>
                <w:lang w:val="es-ES"/>
              </w:rPr>
              <w:t>Banco de México</w:t>
            </w:r>
            <w:r w:rsidRPr="004752BF">
              <w:rPr>
                <w:sz w:val="20"/>
                <w:szCs w:val="26"/>
                <w:lang w:val="es-ES"/>
              </w:rPr>
              <w:t>.</w:t>
            </w:r>
          </w:p>
        </w:tc>
      </w:tr>
    </w:tbl>
    <w:p w14:paraId="6550EC78" w14:textId="77777777" w:rsidR="00BC6B56" w:rsidRDefault="00BC6B56" w:rsidP="00BC6B56">
      <w:pPr>
        <w:spacing w:after="360" w:line="360" w:lineRule="auto"/>
        <w:ind w:right="-159"/>
        <w:jc w:val="both"/>
        <w:rPr>
          <w:sz w:val="26"/>
          <w:szCs w:val="26"/>
          <w:lang w:val="es-ES"/>
        </w:rPr>
      </w:pPr>
    </w:p>
    <w:p w14:paraId="6C8C9939" w14:textId="77777777" w:rsidR="00BC6B56" w:rsidRPr="00BB3567" w:rsidRDefault="00BC6B56" w:rsidP="00BC6B56">
      <w:pPr>
        <w:spacing w:after="360" w:line="360" w:lineRule="auto"/>
        <w:ind w:right="-159"/>
        <w:jc w:val="both"/>
        <w:rPr>
          <w:sz w:val="26"/>
          <w:szCs w:val="26"/>
          <w:lang w:val="es-ES"/>
        </w:rPr>
      </w:pPr>
      <w:r w:rsidRPr="00BB3567">
        <w:rPr>
          <w:sz w:val="26"/>
          <w:szCs w:val="26"/>
          <w:lang w:val="es-ES"/>
        </w:rPr>
        <w:t>Cabe agregar que, en lo que respecta a las inversiones, las fuentes consultadas en el sur del país señalaron que a raíz de los bajos precios del petróleo se ha ajustado la expectativa para la inversión privada en los rubros de exploración y extracción del hidrocarburo en esa región. Adicionalmente, comentaron que esta situación también afectará la demanda de manufacturas elaboradas en el sur para la industria energética.</w:t>
      </w:r>
    </w:p>
    <w:p w14:paraId="68DF138B" w14:textId="77777777" w:rsidR="00BC6B56" w:rsidRPr="00BB3567" w:rsidRDefault="00BC6B56" w:rsidP="00BC6B56">
      <w:pPr>
        <w:spacing w:after="360" w:line="360" w:lineRule="auto"/>
        <w:ind w:right="-159"/>
        <w:jc w:val="both"/>
        <w:rPr>
          <w:sz w:val="26"/>
          <w:szCs w:val="26"/>
          <w:lang w:val="es-ES"/>
        </w:rPr>
      </w:pPr>
      <w:r w:rsidRPr="00BB3567">
        <w:rPr>
          <w:sz w:val="26"/>
          <w:szCs w:val="26"/>
          <w:lang w:val="es-ES"/>
        </w:rPr>
        <w:t>En las cuatro regiones los directivos consultados en general proyectan incrementar la plantilla laboral de sus empresas durante los siguientes doce meses (</w:t>
      </w:r>
      <w:r>
        <w:rPr>
          <w:sz w:val="26"/>
          <w:szCs w:val="26"/>
          <w:lang w:val="es-ES"/>
        </w:rPr>
        <w:t>g</w:t>
      </w:r>
      <w:r w:rsidRPr="00BB3567">
        <w:rPr>
          <w:sz w:val="26"/>
          <w:szCs w:val="26"/>
          <w:lang w:val="es-ES"/>
        </w:rPr>
        <w:t>ráfica</w:t>
      </w:r>
      <w:r>
        <w:rPr>
          <w:sz w:val="26"/>
          <w:szCs w:val="26"/>
          <w:lang w:val="es-ES"/>
        </w:rPr>
        <w:t xml:space="preserve"> anterior, sección b)</w:t>
      </w:r>
      <w:r w:rsidRPr="00BB3567">
        <w:rPr>
          <w:sz w:val="26"/>
          <w:szCs w:val="26"/>
          <w:lang w:val="es-ES"/>
        </w:rPr>
        <w:t xml:space="preserve">). Al respecto, en el norte comentaron que dicha expectativa se deriva del incremento que esperan en el empleo en la construcción y las manufacturas, en especial las automotrices, así como en el comercio y los servicios. Por su parte, en la región centro norte señalaron al sector construcción y los servicios, con excepción del subsector del transporte. En el centro mencionaron que las nuevas contrataciones se observarán en la industria automotriz y sectores afines, en la construcción, en el </w:t>
      </w:r>
      <w:r w:rsidRPr="00BB3567">
        <w:rPr>
          <w:sz w:val="26"/>
          <w:szCs w:val="26"/>
          <w:lang w:val="es-ES"/>
        </w:rPr>
        <w:lastRenderedPageBreak/>
        <w:t>comercio y en algunos servicios. Por último, los contactos empresariales del sur destacaron las expectativas de generación de empleo en el</w:t>
      </w:r>
      <w:r>
        <w:rPr>
          <w:sz w:val="26"/>
          <w:szCs w:val="26"/>
          <w:lang w:val="es-ES"/>
        </w:rPr>
        <w:t xml:space="preserve"> </w:t>
      </w:r>
      <w:r w:rsidRPr="00BB3567">
        <w:rPr>
          <w:sz w:val="26"/>
          <w:szCs w:val="26"/>
          <w:lang w:val="es-ES"/>
        </w:rPr>
        <w:t>sector manufacturero, en la construcción, el comercio y los servicios asociados a la actividad turística.</w:t>
      </w:r>
    </w:p>
    <w:p w14:paraId="50FDB4CE" w14:textId="77777777" w:rsidR="00BC6B56" w:rsidRDefault="00BC6B56" w:rsidP="00BC6B56">
      <w:pPr>
        <w:spacing w:after="360" w:line="360" w:lineRule="auto"/>
        <w:ind w:right="-159"/>
        <w:jc w:val="both"/>
        <w:rPr>
          <w:sz w:val="26"/>
          <w:szCs w:val="26"/>
          <w:lang w:val="es-ES"/>
        </w:rPr>
      </w:pPr>
      <w:r w:rsidRPr="00BB3567">
        <w:rPr>
          <w:sz w:val="26"/>
          <w:szCs w:val="26"/>
          <w:lang w:val="es-ES"/>
        </w:rPr>
        <w:t>La mayoría de los directivos consultados en todas las regiones mencionó la intención de realizar inversiones para mantener o expandir el acervo de capital físico de sus empresas (</w:t>
      </w:r>
      <w:r>
        <w:rPr>
          <w:sz w:val="26"/>
          <w:szCs w:val="26"/>
          <w:lang w:val="es-ES"/>
        </w:rPr>
        <w:t>g</w:t>
      </w:r>
      <w:r w:rsidRPr="00BB3567">
        <w:rPr>
          <w:sz w:val="26"/>
          <w:szCs w:val="26"/>
          <w:lang w:val="es-ES"/>
        </w:rPr>
        <w:t>ráfica</w:t>
      </w:r>
      <w:r>
        <w:rPr>
          <w:sz w:val="26"/>
          <w:szCs w:val="26"/>
          <w:lang w:val="es-ES"/>
        </w:rPr>
        <w:t xml:space="preserve"> anterior, sección c)</w:t>
      </w:r>
      <w:r w:rsidRPr="00BB3567">
        <w:rPr>
          <w:sz w:val="26"/>
          <w:szCs w:val="26"/>
          <w:lang w:val="es-ES"/>
        </w:rPr>
        <w:t>). El rubro mencionado más frecuentemente en las cuatro regiones fue la inversión en maquinaria y equipo, incluyendo maquinaria industrial, agrícola, equipo de cómputo, dispositivos móviles y licencias de operación de éstos. En segundo lugar, señalaron las inversiones tanto en mantenimiento y remodelación, como en nueva infraestructura de operación, principalmente en rubros tales como oficinas, almacenes, bodegas y hoteles, etc</w:t>
      </w:r>
      <w:r>
        <w:rPr>
          <w:sz w:val="26"/>
          <w:szCs w:val="26"/>
          <w:lang w:val="es-ES"/>
        </w:rPr>
        <w:t>étera</w:t>
      </w:r>
      <w:r w:rsidRPr="00BB3567">
        <w:rPr>
          <w:sz w:val="26"/>
          <w:szCs w:val="26"/>
          <w:lang w:val="es-ES"/>
        </w:rPr>
        <w:t>. En tercer lugar figuró el equipo de transporte para la operación y producción de las empresas. Adicionalmente, en las regiones centro norte y centro destacaron las inversiones en infraestructura de ventas, como sucursales de tiendas, plazas comerciales y centros de distribución. Finalmente, en el norte y en el sur también mencionaron la intención de destinar recursos a la construcción de nuevas instalaciones para la producción.</w:t>
      </w:r>
    </w:p>
    <w:p w14:paraId="300E1F99" w14:textId="77777777" w:rsidR="00BC6B56" w:rsidRPr="00BB3567" w:rsidRDefault="00BC6B56" w:rsidP="00BC6B56">
      <w:pPr>
        <w:spacing w:after="360" w:line="360" w:lineRule="auto"/>
        <w:ind w:right="-159"/>
        <w:jc w:val="both"/>
        <w:rPr>
          <w:sz w:val="26"/>
          <w:szCs w:val="26"/>
          <w:lang w:val="es-ES"/>
        </w:rPr>
      </w:pPr>
      <w:r w:rsidRPr="00BB3567">
        <w:rPr>
          <w:sz w:val="26"/>
          <w:szCs w:val="26"/>
          <w:lang w:val="es-ES"/>
        </w:rPr>
        <w:t>A continuación se detallan los principales factores que, en opinión de las fuentes</w:t>
      </w:r>
      <w:r>
        <w:rPr>
          <w:sz w:val="26"/>
          <w:szCs w:val="26"/>
          <w:lang w:val="es-ES"/>
        </w:rPr>
        <w:t xml:space="preserve"> </w:t>
      </w:r>
      <w:r w:rsidRPr="00BB3567">
        <w:rPr>
          <w:sz w:val="26"/>
          <w:szCs w:val="26"/>
          <w:lang w:val="es-ES"/>
        </w:rPr>
        <w:t>consultadas, impulsarán el fortalecimiento de la recuperación económica en cada</w:t>
      </w:r>
      <w:r>
        <w:rPr>
          <w:sz w:val="26"/>
          <w:szCs w:val="26"/>
          <w:lang w:val="es-ES"/>
        </w:rPr>
        <w:t xml:space="preserve"> </w:t>
      </w:r>
      <w:r w:rsidRPr="00BB3567">
        <w:rPr>
          <w:sz w:val="26"/>
          <w:szCs w:val="26"/>
          <w:lang w:val="es-ES"/>
        </w:rPr>
        <w:t>región durante los siguientes meses.</w:t>
      </w:r>
    </w:p>
    <w:p w14:paraId="28DF057A" w14:textId="77777777" w:rsidR="00BC6B56" w:rsidRPr="003A1033" w:rsidRDefault="00BC6B56" w:rsidP="00BC6B56">
      <w:pPr>
        <w:spacing w:after="360" w:line="360" w:lineRule="auto"/>
        <w:ind w:right="-159"/>
        <w:jc w:val="both"/>
        <w:rPr>
          <w:b/>
          <w:sz w:val="26"/>
          <w:szCs w:val="26"/>
          <w:lang w:val="es-ES"/>
        </w:rPr>
      </w:pPr>
      <w:r w:rsidRPr="003A1033">
        <w:rPr>
          <w:b/>
          <w:sz w:val="26"/>
          <w:szCs w:val="26"/>
          <w:lang w:val="es-ES"/>
        </w:rPr>
        <w:t>Región Norte</w:t>
      </w:r>
    </w:p>
    <w:p w14:paraId="0EE1EB72" w14:textId="77777777" w:rsidR="00BC6B56" w:rsidRPr="00BB3567" w:rsidRDefault="00BC6B56" w:rsidP="00BC6B56">
      <w:pPr>
        <w:spacing w:after="360" w:line="360" w:lineRule="auto"/>
        <w:ind w:right="-159"/>
        <w:jc w:val="both"/>
        <w:rPr>
          <w:sz w:val="26"/>
          <w:szCs w:val="26"/>
          <w:lang w:val="es-ES"/>
        </w:rPr>
      </w:pPr>
      <w:r w:rsidRPr="00BB3567">
        <w:rPr>
          <w:sz w:val="26"/>
          <w:szCs w:val="26"/>
          <w:lang w:val="es-ES"/>
        </w:rPr>
        <w:t>En la región norte la mayoría de los directivos consultados anticipa un mayor ritmo</w:t>
      </w:r>
      <w:r>
        <w:rPr>
          <w:sz w:val="26"/>
          <w:szCs w:val="26"/>
          <w:lang w:val="es-ES"/>
        </w:rPr>
        <w:t xml:space="preserve"> </w:t>
      </w:r>
      <w:r w:rsidRPr="00BB3567">
        <w:rPr>
          <w:sz w:val="26"/>
          <w:szCs w:val="26"/>
          <w:lang w:val="es-ES"/>
        </w:rPr>
        <w:t>en la actividad productiva, no obstante, esperan que el dinamismo sea moderado,</w:t>
      </w:r>
      <w:r>
        <w:rPr>
          <w:sz w:val="26"/>
          <w:szCs w:val="26"/>
          <w:lang w:val="es-ES"/>
        </w:rPr>
        <w:t xml:space="preserve"> </w:t>
      </w:r>
      <w:r w:rsidRPr="00BB3567">
        <w:rPr>
          <w:sz w:val="26"/>
          <w:szCs w:val="26"/>
          <w:lang w:val="es-ES"/>
        </w:rPr>
        <w:t>al menos en el corto plazo. Para un horizonte más largo, sin embargo, la</w:t>
      </w:r>
      <w:r>
        <w:rPr>
          <w:sz w:val="26"/>
          <w:szCs w:val="26"/>
          <w:lang w:val="es-ES"/>
        </w:rPr>
        <w:t xml:space="preserve"> </w:t>
      </w:r>
      <w:r w:rsidRPr="00BB3567">
        <w:rPr>
          <w:sz w:val="26"/>
          <w:szCs w:val="26"/>
          <w:lang w:val="es-ES"/>
        </w:rPr>
        <w:t>expectativa de dichos directivos es de un mayor ritmo de crecimiento en la actividad</w:t>
      </w:r>
      <w:r>
        <w:rPr>
          <w:sz w:val="26"/>
          <w:szCs w:val="26"/>
          <w:lang w:val="es-ES"/>
        </w:rPr>
        <w:t xml:space="preserve"> </w:t>
      </w:r>
      <w:r w:rsidRPr="00BB3567">
        <w:rPr>
          <w:sz w:val="26"/>
          <w:szCs w:val="26"/>
          <w:lang w:val="es-ES"/>
        </w:rPr>
        <w:t>económica. Ello estaría sustentado en un repunte del sector de la construcción</w:t>
      </w:r>
      <w:r>
        <w:rPr>
          <w:sz w:val="26"/>
          <w:szCs w:val="26"/>
          <w:lang w:val="es-ES"/>
        </w:rPr>
        <w:t xml:space="preserve"> </w:t>
      </w:r>
      <w:r w:rsidRPr="00BB3567">
        <w:rPr>
          <w:sz w:val="26"/>
          <w:szCs w:val="26"/>
          <w:lang w:val="es-ES"/>
        </w:rPr>
        <w:t>privada, sobre todo del segmento no residencial y, en menor grado, de la vivienda.</w:t>
      </w:r>
      <w:r>
        <w:rPr>
          <w:sz w:val="26"/>
          <w:szCs w:val="26"/>
          <w:lang w:val="es-ES"/>
        </w:rPr>
        <w:t xml:space="preserve"> </w:t>
      </w:r>
      <w:r w:rsidRPr="00BB3567">
        <w:rPr>
          <w:sz w:val="26"/>
          <w:szCs w:val="26"/>
          <w:lang w:val="es-ES"/>
        </w:rPr>
        <w:t xml:space="preserve">También contribuirían mayores </w:t>
      </w:r>
      <w:r w:rsidRPr="00BB3567">
        <w:rPr>
          <w:sz w:val="26"/>
          <w:szCs w:val="26"/>
          <w:lang w:val="es-ES"/>
        </w:rPr>
        <w:lastRenderedPageBreak/>
        <w:t>niveles de inversión extranjera directa, así como la</w:t>
      </w:r>
      <w:r>
        <w:rPr>
          <w:sz w:val="26"/>
          <w:szCs w:val="26"/>
          <w:lang w:val="es-ES"/>
        </w:rPr>
        <w:t xml:space="preserve"> </w:t>
      </w:r>
      <w:r w:rsidRPr="00BB3567">
        <w:rPr>
          <w:sz w:val="26"/>
          <w:szCs w:val="26"/>
          <w:lang w:val="es-ES"/>
        </w:rPr>
        <w:t>recuperación paulatina del consumo doméstico asociada al crecimiento del empleo</w:t>
      </w:r>
      <w:r>
        <w:rPr>
          <w:sz w:val="26"/>
          <w:szCs w:val="26"/>
          <w:lang w:val="es-ES"/>
        </w:rPr>
        <w:t xml:space="preserve"> </w:t>
      </w:r>
      <w:r w:rsidRPr="00BB3567">
        <w:rPr>
          <w:sz w:val="26"/>
          <w:szCs w:val="26"/>
          <w:lang w:val="es-ES"/>
        </w:rPr>
        <w:t>formal. Así, prevén que la actividad productiva seguirá expandiéndose apoyada por</w:t>
      </w:r>
      <w:r>
        <w:rPr>
          <w:sz w:val="26"/>
          <w:szCs w:val="26"/>
          <w:lang w:val="es-ES"/>
        </w:rPr>
        <w:t xml:space="preserve"> </w:t>
      </w:r>
      <w:r w:rsidRPr="00BB3567">
        <w:rPr>
          <w:sz w:val="26"/>
          <w:szCs w:val="26"/>
          <w:lang w:val="es-ES"/>
        </w:rPr>
        <w:t>los factores de demanda interna arriba señalados, los cuales vendrían a sumarse</w:t>
      </w:r>
      <w:r>
        <w:rPr>
          <w:sz w:val="26"/>
          <w:szCs w:val="26"/>
          <w:lang w:val="es-ES"/>
        </w:rPr>
        <w:t xml:space="preserve"> </w:t>
      </w:r>
      <w:r w:rsidRPr="00BB3567">
        <w:rPr>
          <w:sz w:val="26"/>
          <w:szCs w:val="26"/>
          <w:lang w:val="es-ES"/>
        </w:rPr>
        <w:t>al impulso exportador que se ha visto fortalecido por la recuperación de la</w:t>
      </w:r>
      <w:r>
        <w:rPr>
          <w:sz w:val="26"/>
          <w:szCs w:val="26"/>
          <w:lang w:val="es-ES"/>
        </w:rPr>
        <w:t xml:space="preserve"> </w:t>
      </w:r>
      <w:r w:rsidRPr="00BB3567">
        <w:rPr>
          <w:sz w:val="26"/>
          <w:szCs w:val="26"/>
          <w:lang w:val="es-ES"/>
        </w:rPr>
        <w:t xml:space="preserve">economía de Estados Unidos </w:t>
      </w:r>
      <w:r>
        <w:rPr>
          <w:sz w:val="26"/>
          <w:szCs w:val="26"/>
          <w:lang w:val="es-ES"/>
        </w:rPr>
        <w:t xml:space="preserve">de Norteamérica </w:t>
      </w:r>
      <w:r w:rsidRPr="00BB3567">
        <w:rPr>
          <w:sz w:val="26"/>
          <w:szCs w:val="26"/>
          <w:lang w:val="es-ES"/>
        </w:rPr>
        <w:t>y la reciente depreciación de la moneda doméstica.</w:t>
      </w:r>
      <w:r>
        <w:rPr>
          <w:sz w:val="26"/>
          <w:szCs w:val="26"/>
          <w:lang w:val="es-ES"/>
        </w:rPr>
        <w:t xml:space="preserve"> </w:t>
      </w:r>
      <w:r w:rsidRPr="00BB3567">
        <w:rPr>
          <w:sz w:val="26"/>
          <w:szCs w:val="26"/>
          <w:lang w:val="es-ES"/>
        </w:rPr>
        <w:t>Desde una perspectiva sectorial, los directivos empresariales continuaron</w:t>
      </w:r>
      <w:r>
        <w:rPr>
          <w:sz w:val="26"/>
          <w:szCs w:val="26"/>
          <w:lang w:val="es-ES"/>
        </w:rPr>
        <w:t xml:space="preserve"> </w:t>
      </w:r>
      <w:r w:rsidRPr="00BB3567">
        <w:rPr>
          <w:sz w:val="26"/>
          <w:szCs w:val="26"/>
          <w:lang w:val="es-ES"/>
        </w:rPr>
        <w:t>manifestando optimismo en el desempeño de la industria automotriz y de</w:t>
      </w:r>
      <w:r>
        <w:rPr>
          <w:sz w:val="26"/>
          <w:szCs w:val="26"/>
          <w:lang w:val="es-ES"/>
        </w:rPr>
        <w:t xml:space="preserve"> </w:t>
      </w:r>
      <w:r w:rsidRPr="00BB3567">
        <w:rPr>
          <w:sz w:val="26"/>
          <w:szCs w:val="26"/>
          <w:lang w:val="es-ES"/>
        </w:rPr>
        <w:t>autopartes, especialmente por la próxima instalación de una armadora importante</w:t>
      </w:r>
      <w:r>
        <w:rPr>
          <w:sz w:val="26"/>
          <w:szCs w:val="26"/>
          <w:lang w:val="es-ES"/>
        </w:rPr>
        <w:t xml:space="preserve"> </w:t>
      </w:r>
      <w:r w:rsidRPr="00BB3567">
        <w:rPr>
          <w:sz w:val="26"/>
          <w:szCs w:val="26"/>
          <w:lang w:val="es-ES"/>
        </w:rPr>
        <w:t>en Nuevo León, así como del conjunto de empresas de proveeduría que</w:t>
      </w:r>
      <w:r>
        <w:rPr>
          <w:sz w:val="26"/>
          <w:szCs w:val="26"/>
          <w:lang w:val="es-ES"/>
        </w:rPr>
        <w:t xml:space="preserve"> </w:t>
      </w:r>
      <w:r w:rsidRPr="00BB3567">
        <w:rPr>
          <w:sz w:val="26"/>
          <w:szCs w:val="26"/>
          <w:lang w:val="es-ES"/>
        </w:rPr>
        <w:t>acompañarán a la misma. Asimismo, anticipan buenos resultados en los</w:t>
      </w:r>
      <w:r>
        <w:rPr>
          <w:sz w:val="26"/>
          <w:szCs w:val="26"/>
          <w:lang w:val="es-ES"/>
        </w:rPr>
        <w:t xml:space="preserve"> </w:t>
      </w:r>
      <w:r w:rsidRPr="00BB3567">
        <w:rPr>
          <w:sz w:val="26"/>
          <w:szCs w:val="26"/>
          <w:lang w:val="es-ES"/>
        </w:rPr>
        <w:t>subsectores de fabricación de maquinaria y equipo, de productos metálicos y</w:t>
      </w:r>
      <w:r>
        <w:rPr>
          <w:sz w:val="26"/>
          <w:szCs w:val="26"/>
          <w:lang w:val="es-ES"/>
        </w:rPr>
        <w:t xml:space="preserve"> </w:t>
      </w:r>
      <w:r w:rsidRPr="00BB3567">
        <w:rPr>
          <w:sz w:val="26"/>
          <w:szCs w:val="26"/>
          <w:lang w:val="es-ES"/>
        </w:rPr>
        <w:t>minerales no metálicos, así como en la industria alimentaria y en la del papel. La</w:t>
      </w:r>
      <w:r>
        <w:rPr>
          <w:sz w:val="26"/>
          <w:szCs w:val="26"/>
          <w:lang w:val="es-ES"/>
        </w:rPr>
        <w:t xml:space="preserve"> </w:t>
      </w:r>
      <w:r w:rsidRPr="00BB3567">
        <w:rPr>
          <w:sz w:val="26"/>
          <w:szCs w:val="26"/>
          <w:lang w:val="es-ES"/>
        </w:rPr>
        <w:t>expectativa de mayor crecimiento también se manifestó en los servicios</w:t>
      </w:r>
      <w:r>
        <w:rPr>
          <w:sz w:val="26"/>
          <w:szCs w:val="26"/>
          <w:lang w:val="es-ES"/>
        </w:rPr>
        <w:t xml:space="preserve"> </w:t>
      </w:r>
      <w:r w:rsidRPr="00BB3567">
        <w:rPr>
          <w:sz w:val="26"/>
          <w:szCs w:val="26"/>
          <w:lang w:val="es-ES"/>
        </w:rPr>
        <w:t>financieros, de publicidad y mercadotecnia y de alojamiento temporal</w:t>
      </w:r>
      <w:r>
        <w:rPr>
          <w:sz w:val="26"/>
          <w:szCs w:val="26"/>
          <w:lang w:val="es-ES"/>
        </w:rPr>
        <w:t xml:space="preserve"> —</w:t>
      </w:r>
      <w:r w:rsidRPr="00BB3567">
        <w:rPr>
          <w:sz w:val="26"/>
          <w:szCs w:val="26"/>
          <w:lang w:val="es-ES"/>
        </w:rPr>
        <w:t>especialmente los vinculados al turismo de negocios que se espera estará</w:t>
      </w:r>
      <w:r>
        <w:rPr>
          <w:sz w:val="26"/>
          <w:szCs w:val="26"/>
          <w:lang w:val="es-ES"/>
        </w:rPr>
        <w:t xml:space="preserve"> </w:t>
      </w:r>
      <w:r w:rsidRPr="00BB3567">
        <w:rPr>
          <w:sz w:val="26"/>
          <w:szCs w:val="26"/>
          <w:lang w:val="es-ES"/>
        </w:rPr>
        <w:t>impulsado por las inversiones automotrices y del sector energético, así como en</w:t>
      </w:r>
      <w:r>
        <w:rPr>
          <w:sz w:val="26"/>
          <w:szCs w:val="26"/>
          <w:lang w:val="es-ES"/>
        </w:rPr>
        <w:t xml:space="preserve"> </w:t>
      </w:r>
      <w:r w:rsidRPr="00BB3567">
        <w:rPr>
          <w:sz w:val="26"/>
          <w:szCs w:val="26"/>
          <w:lang w:val="es-ES"/>
        </w:rPr>
        <w:t>los servicios de transporte de pasajeros y de carga, tanto terrestre como marítima</w:t>
      </w:r>
      <w:r>
        <w:rPr>
          <w:sz w:val="26"/>
          <w:szCs w:val="26"/>
          <w:lang w:val="es-ES"/>
        </w:rPr>
        <w:t>—</w:t>
      </w:r>
      <w:r w:rsidRPr="00BB3567">
        <w:rPr>
          <w:sz w:val="26"/>
          <w:szCs w:val="26"/>
          <w:lang w:val="es-ES"/>
        </w:rPr>
        <w:t>.</w:t>
      </w:r>
      <w:r>
        <w:rPr>
          <w:sz w:val="26"/>
          <w:szCs w:val="26"/>
          <w:lang w:val="es-ES"/>
        </w:rPr>
        <w:t xml:space="preserve"> </w:t>
      </w:r>
      <w:r w:rsidRPr="00BB3567">
        <w:rPr>
          <w:sz w:val="26"/>
          <w:szCs w:val="26"/>
          <w:lang w:val="es-ES"/>
        </w:rPr>
        <w:t>Por su parte, en opinión de los directivos consultados, se espera una evolución</w:t>
      </w:r>
      <w:r>
        <w:rPr>
          <w:sz w:val="26"/>
          <w:szCs w:val="26"/>
          <w:lang w:val="es-ES"/>
        </w:rPr>
        <w:t xml:space="preserve"> </w:t>
      </w:r>
      <w:r w:rsidRPr="00BB3567">
        <w:rPr>
          <w:sz w:val="26"/>
          <w:szCs w:val="26"/>
          <w:lang w:val="es-ES"/>
        </w:rPr>
        <w:t>favorable en la actividad agropecuaria ya que, por un lado, la agricultura cuenta</w:t>
      </w:r>
      <w:r>
        <w:rPr>
          <w:sz w:val="26"/>
          <w:szCs w:val="26"/>
          <w:lang w:val="es-ES"/>
        </w:rPr>
        <w:t xml:space="preserve"> </w:t>
      </w:r>
      <w:r w:rsidRPr="00BB3567">
        <w:rPr>
          <w:sz w:val="26"/>
          <w:szCs w:val="26"/>
          <w:lang w:val="es-ES"/>
        </w:rPr>
        <w:t>con niveles</w:t>
      </w:r>
      <w:r>
        <w:rPr>
          <w:sz w:val="26"/>
          <w:szCs w:val="26"/>
          <w:lang w:val="es-ES"/>
        </w:rPr>
        <w:t xml:space="preserve"> </w:t>
      </w:r>
      <w:r w:rsidRPr="00BB3567">
        <w:rPr>
          <w:sz w:val="26"/>
          <w:szCs w:val="26"/>
          <w:lang w:val="es-ES"/>
        </w:rPr>
        <w:t>adecuados de agua para los próximos ciclos de siembras y, por el otro, la ganadería continúa su proceso de repoblación de los hatos mermados por la sequía de años pasados, en un contexto de precios internacionales relativamente elevados para sus productos.</w:t>
      </w:r>
    </w:p>
    <w:p w14:paraId="0C122AE4" w14:textId="77777777" w:rsidR="00BC6B56" w:rsidRPr="003A1033" w:rsidRDefault="00BC6B56" w:rsidP="00BC6B56">
      <w:pPr>
        <w:spacing w:after="360" w:line="360" w:lineRule="auto"/>
        <w:ind w:right="-159"/>
        <w:jc w:val="both"/>
        <w:rPr>
          <w:b/>
          <w:sz w:val="26"/>
          <w:szCs w:val="26"/>
          <w:lang w:val="es-ES"/>
        </w:rPr>
      </w:pPr>
      <w:r w:rsidRPr="003A1033">
        <w:rPr>
          <w:b/>
          <w:sz w:val="26"/>
          <w:szCs w:val="26"/>
          <w:lang w:val="es-ES"/>
        </w:rPr>
        <w:t>Región Centro Norte</w:t>
      </w:r>
    </w:p>
    <w:p w14:paraId="30042254" w14:textId="77777777" w:rsidR="00BC6B56" w:rsidRPr="00BB3567" w:rsidRDefault="00BC6B56" w:rsidP="00BC6B56">
      <w:pPr>
        <w:spacing w:after="360" w:line="360" w:lineRule="auto"/>
        <w:ind w:right="-159"/>
        <w:jc w:val="both"/>
        <w:rPr>
          <w:sz w:val="26"/>
          <w:szCs w:val="26"/>
          <w:lang w:val="es-ES"/>
        </w:rPr>
      </w:pPr>
      <w:r w:rsidRPr="00BB3567">
        <w:rPr>
          <w:sz w:val="26"/>
          <w:szCs w:val="26"/>
          <w:lang w:val="es-ES"/>
        </w:rPr>
        <w:t xml:space="preserve">En opinión de los directivos empresariales consultados en el centro norte, la recuperación de la actividad económica en la mayoría de los sectores se sustentará tanto en fuentes externas como internas. En el primer caso, esperan que el desempeño favorable de la economía de Estados Unidos </w:t>
      </w:r>
      <w:r>
        <w:rPr>
          <w:sz w:val="26"/>
          <w:szCs w:val="26"/>
          <w:lang w:val="es-ES"/>
        </w:rPr>
        <w:t xml:space="preserve">de Norteamérica </w:t>
      </w:r>
      <w:r w:rsidRPr="00BB3567">
        <w:rPr>
          <w:sz w:val="26"/>
          <w:szCs w:val="26"/>
          <w:lang w:val="es-ES"/>
        </w:rPr>
        <w:t xml:space="preserve">beneficie a la exportación </w:t>
      </w:r>
      <w:r w:rsidRPr="00BB3567">
        <w:rPr>
          <w:sz w:val="26"/>
          <w:szCs w:val="26"/>
          <w:lang w:val="es-ES"/>
        </w:rPr>
        <w:lastRenderedPageBreak/>
        <w:t>de equipo de transporte y productos electrónicos, y estimulará el turismo internacional. En el segundo, prevén un impulso asociado a la continuación de la construcción de diversas obras de infraestructura de transporte y energéticas iniciadas durante el año previo, así como a la recuperación de la construcción de viviendas. Asimismo, señalaron que el sector automotriz continuará impulsando la economía de la región a través de nuevas inversiones en varias de las entidades federativas. Este sector también impactará, en opinión de los directivos consultados, de manera positiva a las actividades de logística y transporte, en particular las desarrolladas en los puertos de Lázaro Cárdenas y Manzanillo, así como al turismo de negocios. Entre los proyectos estratégicos que continuarán desarrollándose durante 2015 destacaron la ampliación de la Línea 1 y la construcción de la Línea 3 del tren ligero en Guadalajara, el libramiento de Morelia, así como la terminal de usos múltiples y la terminal especializada de contenedores en Manzanillo. Finalmente señalaron que dichos proyectos, aunados a la reciente puesta en operación de la nueva terminal ferroviaria de carga en Durango y el libramiento de Mazatlán derivarán en menores costos y en ganancias en eficiencia para las empresas de la región.</w:t>
      </w:r>
    </w:p>
    <w:p w14:paraId="29A5BE85" w14:textId="77777777" w:rsidR="00BC6B56" w:rsidRPr="004029F8" w:rsidRDefault="00BC6B56" w:rsidP="00BC6B56">
      <w:pPr>
        <w:spacing w:after="360" w:line="360" w:lineRule="auto"/>
        <w:ind w:right="-159"/>
        <w:jc w:val="both"/>
        <w:rPr>
          <w:b/>
          <w:sz w:val="26"/>
          <w:szCs w:val="26"/>
          <w:lang w:val="es-ES"/>
        </w:rPr>
      </w:pPr>
      <w:r w:rsidRPr="004029F8">
        <w:rPr>
          <w:b/>
          <w:sz w:val="26"/>
          <w:szCs w:val="26"/>
          <w:lang w:val="es-ES"/>
        </w:rPr>
        <w:t>Región Centro</w:t>
      </w:r>
    </w:p>
    <w:p w14:paraId="568AAB2A" w14:textId="77777777" w:rsidR="00BC6B56" w:rsidRDefault="00BC6B56" w:rsidP="00BC6B56">
      <w:pPr>
        <w:spacing w:after="360" w:line="360" w:lineRule="auto"/>
        <w:ind w:right="-159"/>
        <w:jc w:val="both"/>
        <w:rPr>
          <w:sz w:val="26"/>
          <w:szCs w:val="26"/>
          <w:lang w:val="es-ES"/>
        </w:rPr>
      </w:pPr>
      <w:r w:rsidRPr="00BB3567">
        <w:rPr>
          <w:sz w:val="26"/>
          <w:szCs w:val="26"/>
          <w:lang w:val="es-ES"/>
        </w:rPr>
        <w:t>Para la región centro, la mayoría de los directivos consultados anticipa un mayor dinamismo de la actividad económica durante los siguientes seis y doce meses respecto al registrado durante el cuarto trimestre de 2014. El ritmo de crecimiento dependerá, en opinión de dichos directivos, principalmente de la demanda externa, en concreto de la demanda proveniente de los Estados Unidos</w:t>
      </w:r>
      <w:r>
        <w:rPr>
          <w:sz w:val="26"/>
          <w:szCs w:val="26"/>
          <w:lang w:val="es-ES"/>
        </w:rPr>
        <w:t xml:space="preserve"> de Norteamérica</w:t>
      </w:r>
      <w:r w:rsidRPr="00BB3567">
        <w:rPr>
          <w:sz w:val="26"/>
          <w:szCs w:val="26"/>
          <w:lang w:val="es-ES"/>
        </w:rPr>
        <w:t xml:space="preserve">. Asimismo, los directivos entrevistados en el centro mencionaron el impulso de la inversión extranjera directa como un factor detrás de la dinámica esperada en esta región. Desde la perspectiva sectorial, los directivos entrevistados manifestaron su confianza sobre el desempeño futuro del sector automotriz, sustentando esta expectativa sobre la base de un sólido crecimiento de la economía estadounidense. Asimismo, esperan que las ventas de </w:t>
      </w:r>
      <w:r w:rsidRPr="00BB3567">
        <w:rPr>
          <w:sz w:val="26"/>
          <w:szCs w:val="26"/>
          <w:lang w:val="es-ES"/>
        </w:rPr>
        <w:lastRenderedPageBreak/>
        <w:t>autopartes, pinturas y textiles se vean favorecidas indirectamente por la demanda de dicho sector. Por su parte, estiman que el sector de la construcción registre una aceleración en su actividad apoyada principalmente en el fortalecimiento del segmento residencial. Asimismo, prevén que las ventas de materiales para la construcción y muebles en general, se</w:t>
      </w:r>
      <w:r>
        <w:rPr>
          <w:sz w:val="26"/>
          <w:szCs w:val="26"/>
          <w:lang w:val="es-ES"/>
        </w:rPr>
        <w:t xml:space="preserve"> </w:t>
      </w:r>
      <w:r w:rsidRPr="00BB3567">
        <w:rPr>
          <w:sz w:val="26"/>
          <w:szCs w:val="26"/>
          <w:lang w:val="es-ES"/>
        </w:rPr>
        <w:t>beneficien ante el repunte del sector. Respecto al comercio, los directivos consultados dijeron que se implementarán medidas internas como descuentos y promociones, mercadotecnia o publicidad y un esfuerzo adicional de su fuerza de ventas para lograr los objetivos planteados para este año. Ello debido a que persiste cierta debilidad en la demanda del sector, que atribuyeron en parte a las modificaciones fiscales implementadas a principios del año pasado.</w:t>
      </w:r>
    </w:p>
    <w:p w14:paraId="20D5429A" w14:textId="77777777" w:rsidR="00BC6B56" w:rsidRPr="001510F6" w:rsidRDefault="00BC6B56" w:rsidP="00BC6B56">
      <w:pPr>
        <w:spacing w:after="360" w:line="360" w:lineRule="auto"/>
        <w:ind w:right="-159"/>
        <w:jc w:val="both"/>
        <w:rPr>
          <w:b/>
          <w:sz w:val="26"/>
          <w:szCs w:val="26"/>
          <w:lang w:val="es-ES"/>
        </w:rPr>
      </w:pPr>
      <w:r w:rsidRPr="001510F6">
        <w:rPr>
          <w:b/>
          <w:sz w:val="26"/>
          <w:szCs w:val="26"/>
          <w:lang w:val="es-ES"/>
        </w:rPr>
        <w:t>Región Sur</w:t>
      </w:r>
    </w:p>
    <w:p w14:paraId="3068C757" w14:textId="77777777" w:rsidR="00BC6B56" w:rsidRPr="002D4D48" w:rsidRDefault="00BC6B56" w:rsidP="00BC6B56">
      <w:pPr>
        <w:spacing w:after="360" w:line="360" w:lineRule="auto"/>
        <w:ind w:right="-159"/>
        <w:jc w:val="both"/>
        <w:rPr>
          <w:sz w:val="26"/>
          <w:szCs w:val="26"/>
          <w:lang w:val="es-ES"/>
        </w:rPr>
      </w:pPr>
      <w:r w:rsidRPr="002D4D48">
        <w:rPr>
          <w:sz w:val="26"/>
          <w:szCs w:val="26"/>
          <w:lang w:val="es-ES"/>
        </w:rPr>
        <w:t>En la región sur la mayoría de los directivos empresariales consultados estimaron una expansión en el nivel de la actividad económica para los próximos seis y doce meses. No obstante, el optimismo fue menor respecto al registrado en las entrevistas realizadas en los trimestres previos. La expectativa sobre el desempeño económico en la región la asociaron con factores de demanda interna y externa. En ese sentido, continuó influyendo de forma importante la continuidad de proyectos como la presa Chicoasén II en Chiapas, la ampliación y remodelación de puertos en los estados de Veracruz y Quintana Roo, el distribuidor vial en Puerto Progreso, Yuc</w:t>
      </w:r>
      <w:r>
        <w:rPr>
          <w:sz w:val="26"/>
          <w:szCs w:val="26"/>
          <w:lang w:val="es-ES"/>
        </w:rPr>
        <w:t>atán</w:t>
      </w:r>
      <w:r w:rsidRPr="002D4D48">
        <w:rPr>
          <w:sz w:val="26"/>
          <w:szCs w:val="26"/>
          <w:lang w:val="es-ES"/>
        </w:rPr>
        <w:t xml:space="preserve">, obras pluviales en Oaxaca, Chiapas y Tabasco, así como el programa de rescate del Acapulco tradicional. Adicionalmente, existe optimismo sobre el desempeño de la construcción privada. En especial, la construcción de vivienda para estratos medios y altos, así como la construcción comercial, industrial y de servicios de hotelería y esparcimiento. Por su parte, directivos de empresas manufactureras comentaron una buena perspectiva para las industrias alimenticia, cosmética, y las proveedoras del sector automotriz y de la industria de la construcción. En contraste, directivos de empresas de la industria metal-mecánica que proveen insumos a la industria energética de los Estados Unidos </w:t>
      </w:r>
      <w:r>
        <w:rPr>
          <w:sz w:val="26"/>
          <w:szCs w:val="26"/>
          <w:lang w:val="es-ES"/>
        </w:rPr>
        <w:t xml:space="preserve">de </w:t>
      </w:r>
      <w:r>
        <w:rPr>
          <w:sz w:val="26"/>
          <w:szCs w:val="26"/>
          <w:lang w:val="es-ES"/>
        </w:rPr>
        <w:lastRenderedPageBreak/>
        <w:t xml:space="preserve">Norteamérica </w:t>
      </w:r>
      <w:r w:rsidRPr="002D4D48">
        <w:rPr>
          <w:sz w:val="26"/>
          <w:szCs w:val="26"/>
          <w:lang w:val="es-ES"/>
        </w:rPr>
        <w:t xml:space="preserve">manifestaron un deterioro en su perspectiva. De acuerdo </w:t>
      </w:r>
      <w:r>
        <w:rPr>
          <w:sz w:val="26"/>
          <w:szCs w:val="26"/>
          <w:lang w:val="es-ES"/>
        </w:rPr>
        <w:t>con</w:t>
      </w:r>
      <w:r w:rsidRPr="002D4D48">
        <w:rPr>
          <w:sz w:val="26"/>
          <w:szCs w:val="26"/>
          <w:lang w:val="es-ES"/>
        </w:rPr>
        <w:t xml:space="preserve"> los contactos empresariales, ello parece estar influenciado por la menor rentabilidad en ese sector derivado de la baja en el precio internacional del petróleo. De igual forma, existen señales positivas para la actividad turística, las que se sustentan en el incremento en la conectividad aérea nacional e internacional, los nuevos convenios con agencias de viajes, la mayor oferta de cuartos, una mejor paridad cambiaria y un mayor flujo de turistas nacionales ante una eventual mejoría de la economía nacional. Por otro lado, directivos del sector agropecuario manifestaron que esperan se mantenga la rentabilidad de sus actividades, ello en función de mejores precios de venta y por la solución al conflicto por </w:t>
      </w:r>
      <w:r w:rsidRPr="00784D21">
        <w:rPr>
          <w:i/>
          <w:sz w:val="26"/>
          <w:szCs w:val="26"/>
          <w:lang w:val="es-ES"/>
        </w:rPr>
        <w:t>dumping</w:t>
      </w:r>
      <w:r w:rsidRPr="002D4D48">
        <w:rPr>
          <w:sz w:val="26"/>
          <w:szCs w:val="26"/>
          <w:lang w:val="es-ES"/>
        </w:rPr>
        <w:t xml:space="preserve"> para el azúcar nacional en Estados Unidos</w:t>
      </w:r>
      <w:r>
        <w:rPr>
          <w:sz w:val="26"/>
          <w:szCs w:val="26"/>
          <w:lang w:val="es-ES"/>
        </w:rPr>
        <w:t xml:space="preserve"> de Norteamérica</w:t>
      </w:r>
      <w:r w:rsidRPr="002D4D48">
        <w:rPr>
          <w:sz w:val="26"/>
          <w:szCs w:val="26"/>
          <w:lang w:val="es-ES"/>
        </w:rPr>
        <w:t>. En contraparte, directivos del sector energético en el sur comentaron que se debilitaron sus perspectivas para el corto y mediano plazo. Esta situación obedece a la caída en los precios internacionales del petróleo, lo cual repercutió en las expectativas de rentabilidad de las inversiones en el sector y en las perspectivas para la construcción de infraestructura industrial relacionada a la producción de derivados del petróleo.</w:t>
      </w:r>
    </w:p>
    <w:p w14:paraId="3EB433B1" w14:textId="77777777" w:rsidR="00BC6B56" w:rsidRPr="002D4D48" w:rsidRDefault="00BC6B56" w:rsidP="00BC6B56">
      <w:pPr>
        <w:spacing w:after="360" w:line="360" w:lineRule="auto"/>
        <w:ind w:right="-159"/>
        <w:jc w:val="both"/>
        <w:rPr>
          <w:sz w:val="26"/>
          <w:szCs w:val="26"/>
          <w:lang w:val="es-ES"/>
        </w:rPr>
      </w:pPr>
      <w:r w:rsidRPr="002D4D48">
        <w:rPr>
          <w:sz w:val="26"/>
          <w:szCs w:val="26"/>
          <w:lang w:val="es-ES"/>
        </w:rPr>
        <w:t>Los directivos empresariales también comentaron sobre los riesgos al alza y a la baja para el crecimiento económico que esperan en los próximos meses en su región. Entre los riesgos al alza, los directivos en todas las regiones mencionaron el desempeño de la demanda externa, especialmente la de Estados Unidos</w:t>
      </w:r>
      <w:r>
        <w:rPr>
          <w:sz w:val="26"/>
          <w:szCs w:val="26"/>
          <w:lang w:val="es-ES"/>
        </w:rPr>
        <w:t xml:space="preserve"> de Norteamérica</w:t>
      </w:r>
      <w:r w:rsidRPr="002D4D48">
        <w:rPr>
          <w:sz w:val="26"/>
          <w:szCs w:val="26"/>
          <w:lang w:val="es-ES"/>
        </w:rPr>
        <w:t>. En particular, destacaron el ritmo de la actividad industrial en ese país. Asimismo, mencionaron un dinamismo de la demanda interna, particularmente de la inversión privada, que sea mejor al anticipado. Ello en referencia a la inversión, principalmente, en los sectores automotriz y energético. En las regiones norte y centro destacaron que la implementación de las reformas estructurales aprobadas durante el año previo podría ser un factor que dinamice a las economías regionales. En el centro norte y en el sur manifestaron que la actividad turística durante 2015 podría resultar más vigorosa que lo que se prevé.</w:t>
      </w:r>
    </w:p>
    <w:p w14:paraId="222FD409" w14:textId="77777777" w:rsidR="00BC6B56" w:rsidRDefault="00BC6B56" w:rsidP="00BC6B56">
      <w:pPr>
        <w:spacing w:after="360" w:line="360" w:lineRule="auto"/>
        <w:ind w:right="-159"/>
        <w:jc w:val="both"/>
        <w:rPr>
          <w:sz w:val="26"/>
          <w:szCs w:val="26"/>
          <w:lang w:val="es-ES"/>
        </w:rPr>
      </w:pPr>
      <w:r w:rsidRPr="002D4D48">
        <w:rPr>
          <w:sz w:val="26"/>
          <w:szCs w:val="26"/>
          <w:lang w:val="es-ES"/>
        </w:rPr>
        <w:lastRenderedPageBreak/>
        <w:t>Por otro lado, el riesgo a la baja señalado más frecuentemente por los directivos consultados en las cuatro regiones para la actividad económica regional, fue la posibilidad de que tenga lugar un deterioro adicional en la percepción sobre la</w:t>
      </w:r>
      <w:r>
        <w:rPr>
          <w:sz w:val="26"/>
          <w:szCs w:val="26"/>
          <w:lang w:val="es-ES"/>
        </w:rPr>
        <w:t xml:space="preserve"> </w:t>
      </w:r>
      <w:r w:rsidRPr="002D4D48">
        <w:rPr>
          <w:sz w:val="26"/>
          <w:szCs w:val="26"/>
          <w:lang w:val="es-ES"/>
        </w:rPr>
        <w:t xml:space="preserve">seguridad pública. En el sur, por su parte, también destacaron un eventual empeoramiento de los conflictos sociales. En relación </w:t>
      </w:r>
      <w:r>
        <w:rPr>
          <w:sz w:val="26"/>
          <w:szCs w:val="26"/>
          <w:lang w:val="es-ES"/>
        </w:rPr>
        <w:t>con</w:t>
      </w:r>
      <w:r w:rsidRPr="002D4D48">
        <w:rPr>
          <w:sz w:val="26"/>
          <w:szCs w:val="26"/>
          <w:lang w:val="es-ES"/>
        </w:rPr>
        <w:t xml:space="preserve"> esto último, algunos directivos entrevistados para la elaboración de Reportes sobre las Economías Regionales previos han enfatizado la importancia que tiene la impartición de justicia, en general, para el desarrollo económico de sus regiones. En este contexto, </w:t>
      </w:r>
      <w:r w:rsidRPr="00410C5B">
        <w:rPr>
          <w:sz w:val="26"/>
          <w:szCs w:val="26"/>
          <w:lang w:val="es-ES"/>
        </w:rPr>
        <w:t>en el Recuadro</w:t>
      </w:r>
      <w:r>
        <w:rPr>
          <w:sz w:val="26"/>
          <w:szCs w:val="26"/>
          <w:lang w:val="es-ES"/>
        </w:rPr>
        <w:t>:</w:t>
      </w:r>
      <w:r w:rsidRPr="00410C5B">
        <w:rPr>
          <w:sz w:val="26"/>
          <w:szCs w:val="26"/>
          <w:lang w:val="es-ES"/>
        </w:rPr>
        <w:t xml:space="preserve"> </w:t>
      </w:r>
      <w:r w:rsidRPr="00410C5B">
        <w:rPr>
          <w:i/>
          <w:sz w:val="26"/>
          <w:szCs w:val="26"/>
          <w:lang w:val="es-ES"/>
        </w:rPr>
        <w:t xml:space="preserve">Tiempo de Resolución de Disputas Comerciales y Desempeño Económico Regional </w:t>
      </w:r>
      <w:r w:rsidRPr="00410C5B">
        <w:rPr>
          <w:sz w:val="26"/>
          <w:szCs w:val="26"/>
          <w:lang w:val="es-ES"/>
        </w:rPr>
        <w:t>de</w:t>
      </w:r>
      <w:r w:rsidRPr="002D4D48">
        <w:rPr>
          <w:sz w:val="26"/>
          <w:szCs w:val="26"/>
          <w:lang w:val="es-ES"/>
        </w:rPr>
        <w:t xml:space="preserve"> este Reporte se analiza la relación estadística entre el crecimiento económico de las regiones y un indicador de impartición de justicia. En particular, se utiliza información referente al tiempo que tardan las resoluciones judiciales de disputas comerciales y se analiza su relación con el crecimiento económico regional. Los resultados muestran que menores tiempos de resolución están asociados con mayores tasas de crecimiento promedio. Finalmente, en la mayoría de las regiones también mencionaron como riesgo a la baja para la actividad económica que los precios de algunos insumos aumenten ante la reciente depreciación del tipo de cambio.</w:t>
      </w:r>
    </w:p>
    <w:p w14:paraId="1FE622BB" w14:textId="77777777" w:rsidR="00BC6B56" w:rsidRDefault="00BC6B56" w:rsidP="00BC6B56">
      <w:pPr>
        <w:spacing w:after="360" w:line="360" w:lineRule="auto"/>
        <w:ind w:right="-159"/>
        <w:jc w:val="both"/>
        <w:rPr>
          <w:b/>
          <w:sz w:val="26"/>
          <w:szCs w:val="26"/>
          <w:lang w:val="es-ES"/>
        </w:rPr>
      </w:pPr>
      <w:r w:rsidRPr="002D4D48">
        <w:rPr>
          <w:b/>
          <w:sz w:val="26"/>
          <w:szCs w:val="26"/>
          <w:lang w:val="es-ES"/>
        </w:rPr>
        <w:t>Tiempo de Resolución de Disputas Comerciales y Desempeño Económico Regional</w:t>
      </w:r>
    </w:p>
    <w:p w14:paraId="5ACF2205" w14:textId="77777777" w:rsidR="00BC6B56" w:rsidRPr="00BC4BC0" w:rsidRDefault="00BC6B56" w:rsidP="00BC6B56">
      <w:pPr>
        <w:spacing w:after="360" w:line="360" w:lineRule="auto"/>
        <w:ind w:right="-159"/>
        <w:jc w:val="both"/>
        <w:rPr>
          <w:b/>
          <w:sz w:val="26"/>
          <w:szCs w:val="26"/>
          <w:lang w:val="es-ES"/>
        </w:rPr>
      </w:pPr>
      <w:r w:rsidRPr="00BC4BC0">
        <w:rPr>
          <w:b/>
          <w:sz w:val="26"/>
          <w:szCs w:val="26"/>
          <w:lang w:val="es-ES"/>
        </w:rPr>
        <w:t>1. Introducción</w:t>
      </w:r>
    </w:p>
    <w:p w14:paraId="5758FB99" w14:textId="77777777" w:rsidR="00BC6B56" w:rsidRPr="002D4D48" w:rsidRDefault="00BC6B56" w:rsidP="00BC6B56">
      <w:pPr>
        <w:spacing w:after="360" w:line="360" w:lineRule="auto"/>
        <w:ind w:right="-159"/>
        <w:jc w:val="both"/>
        <w:rPr>
          <w:sz w:val="26"/>
          <w:szCs w:val="26"/>
          <w:lang w:val="es-ES"/>
        </w:rPr>
      </w:pPr>
      <w:r w:rsidRPr="002D4D48">
        <w:rPr>
          <w:sz w:val="26"/>
          <w:szCs w:val="26"/>
          <w:lang w:val="es-ES"/>
        </w:rPr>
        <w:t>Diversos trabajos en la literatura han vinculado</w:t>
      </w:r>
      <w:r>
        <w:rPr>
          <w:sz w:val="26"/>
          <w:szCs w:val="26"/>
          <w:lang w:val="es-ES"/>
        </w:rPr>
        <w:t xml:space="preserve"> </w:t>
      </w:r>
      <w:r w:rsidRPr="002D4D48">
        <w:rPr>
          <w:sz w:val="26"/>
          <w:szCs w:val="26"/>
          <w:lang w:val="es-ES"/>
        </w:rPr>
        <w:t>positivamente el crecimiento económico con el estado</w:t>
      </w:r>
      <w:r>
        <w:rPr>
          <w:sz w:val="26"/>
          <w:szCs w:val="26"/>
          <w:lang w:val="es-ES"/>
        </w:rPr>
        <w:t xml:space="preserve"> </w:t>
      </w:r>
      <w:r w:rsidRPr="002D4D48">
        <w:rPr>
          <w:sz w:val="26"/>
          <w:szCs w:val="26"/>
          <w:lang w:val="es-ES"/>
        </w:rPr>
        <w:t xml:space="preserve">de derecho </w:t>
      </w:r>
      <w:r>
        <w:rPr>
          <w:sz w:val="26"/>
          <w:szCs w:val="26"/>
          <w:lang w:val="es-ES"/>
        </w:rPr>
        <w:t>(</w:t>
      </w:r>
      <w:r w:rsidRPr="002D4D48">
        <w:rPr>
          <w:sz w:val="26"/>
          <w:szCs w:val="26"/>
          <w:lang w:val="es-ES"/>
        </w:rPr>
        <w:t>véase North (1990), Barro (1996), Rodrik,</w:t>
      </w:r>
      <w:r>
        <w:rPr>
          <w:sz w:val="26"/>
          <w:szCs w:val="26"/>
          <w:lang w:val="es-ES"/>
        </w:rPr>
        <w:t xml:space="preserve"> </w:t>
      </w:r>
      <w:r w:rsidRPr="002D4D48">
        <w:rPr>
          <w:sz w:val="26"/>
          <w:szCs w:val="26"/>
          <w:lang w:val="es-ES"/>
        </w:rPr>
        <w:t>Subramanian y Trebbi (2002) y Acemoglu y Robinson</w:t>
      </w:r>
      <w:r>
        <w:rPr>
          <w:sz w:val="26"/>
          <w:szCs w:val="26"/>
          <w:lang w:val="es-ES"/>
        </w:rPr>
        <w:t xml:space="preserve"> </w:t>
      </w:r>
      <w:r w:rsidRPr="002D4D48">
        <w:rPr>
          <w:sz w:val="26"/>
          <w:szCs w:val="26"/>
          <w:lang w:val="es-ES"/>
        </w:rPr>
        <w:t>(2008), entre otros</w:t>
      </w:r>
      <w:r>
        <w:rPr>
          <w:sz w:val="26"/>
          <w:szCs w:val="26"/>
          <w:lang w:val="es-ES"/>
        </w:rPr>
        <w:t>)</w:t>
      </w:r>
      <w:r w:rsidRPr="002D4D48">
        <w:rPr>
          <w:sz w:val="26"/>
          <w:szCs w:val="26"/>
          <w:lang w:val="es-ES"/>
        </w:rPr>
        <w:t>.</w:t>
      </w:r>
      <w:r>
        <w:rPr>
          <w:rStyle w:val="Refdenotaalpie"/>
          <w:sz w:val="26"/>
          <w:szCs w:val="26"/>
          <w:lang w:val="es-ES"/>
        </w:rPr>
        <w:footnoteReference w:id="9"/>
      </w:r>
      <w:r w:rsidRPr="002D4D48">
        <w:rPr>
          <w:sz w:val="26"/>
          <w:szCs w:val="26"/>
          <w:lang w:val="es-ES"/>
        </w:rPr>
        <w:t xml:space="preserve"> En estos estudios el estado de</w:t>
      </w:r>
      <w:r>
        <w:rPr>
          <w:sz w:val="26"/>
          <w:szCs w:val="26"/>
          <w:lang w:val="es-ES"/>
        </w:rPr>
        <w:t xml:space="preserve"> </w:t>
      </w:r>
      <w:r w:rsidRPr="002D4D48">
        <w:rPr>
          <w:sz w:val="26"/>
          <w:szCs w:val="26"/>
          <w:lang w:val="es-ES"/>
        </w:rPr>
        <w:t>derecho es una variable multidimensional que se</w:t>
      </w:r>
      <w:r>
        <w:rPr>
          <w:sz w:val="26"/>
          <w:szCs w:val="26"/>
          <w:lang w:val="es-ES"/>
        </w:rPr>
        <w:t xml:space="preserve"> </w:t>
      </w:r>
      <w:r w:rsidRPr="002D4D48">
        <w:rPr>
          <w:sz w:val="26"/>
          <w:szCs w:val="26"/>
          <w:lang w:val="es-ES"/>
        </w:rPr>
        <w:t xml:space="preserve">aproxima </w:t>
      </w:r>
      <w:r w:rsidRPr="002D4D48">
        <w:rPr>
          <w:sz w:val="26"/>
          <w:szCs w:val="26"/>
          <w:lang w:val="es-ES"/>
        </w:rPr>
        <w:lastRenderedPageBreak/>
        <w:t>regularmente con indicadores de derechos de</w:t>
      </w:r>
      <w:r>
        <w:rPr>
          <w:sz w:val="26"/>
          <w:szCs w:val="26"/>
          <w:lang w:val="es-ES"/>
        </w:rPr>
        <w:t xml:space="preserve"> </w:t>
      </w:r>
      <w:r w:rsidRPr="002D4D48">
        <w:rPr>
          <w:sz w:val="26"/>
          <w:szCs w:val="26"/>
          <w:lang w:val="es-ES"/>
        </w:rPr>
        <w:t>propiedad, eficiencia e independencia del sistema</w:t>
      </w:r>
      <w:r>
        <w:rPr>
          <w:sz w:val="26"/>
          <w:szCs w:val="26"/>
          <w:lang w:val="es-ES"/>
        </w:rPr>
        <w:t xml:space="preserve"> </w:t>
      </w:r>
      <w:r w:rsidRPr="002D4D48">
        <w:rPr>
          <w:sz w:val="26"/>
          <w:szCs w:val="26"/>
          <w:lang w:val="es-ES"/>
        </w:rPr>
        <w:t>judicial, combate a la corrupción, estabilidad política,</w:t>
      </w:r>
      <w:r>
        <w:rPr>
          <w:sz w:val="26"/>
          <w:szCs w:val="26"/>
          <w:lang w:val="es-ES"/>
        </w:rPr>
        <w:t xml:space="preserve"> </w:t>
      </w:r>
      <w:r w:rsidRPr="002D4D48">
        <w:rPr>
          <w:sz w:val="26"/>
          <w:szCs w:val="26"/>
          <w:lang w:val="es-ES"/>
        </w:rPr>
        <w:t>etc</w:t>
      </w:r>
      <w:r>
        <w:rPr>
          <w:sz w:val="26"/>
          <w:szCs w:val="26"/>
          <w:lang w:val="es-ES"/>
        </w:rPr>
        <w:t>étera.</w:t>
      </w:r>
    </w:p>
    <w:p w14:paraId="0BB8F800" w14:textId="77777777" w:rsidR="00BC6B56" w:rsidRPr="002D4D48" w:rsidRDefault="00BC6B56" w:rsidP="00BC6B56">
      <w:pPr>
        <w:spacing w:after="360" w:line="360" w:lineRule="auto"/>
        <w:ind w:right="-159"/>
        <w:jc w:val="both"/>
        <w:rPr>
          <w:sz w:val="26"/>
          <w:szCs w:val="26"/>
          <w:lang w:val="es-ES"/>
        </w:rPr>
      </w:pPr>
      <w:r w:rsidRPr="002D4D48">
        <w:rPr>
          <w:sz w:val="26"/>
          <w:szCs w:val="26"/>
          <w:lang w:val="es-ES"/>
        </w:rPr>
        <w:t>En este Recuadro se analiza la relación estadística</w:t>
      </w:r>
      <w:r>
        <w:rPr>
          <w:sz w:val="26"/>
          <w:szCs w:val="26"/>
          <w:lang w:val="es-ES"/>
        </w:rPr>
        <w:t xml:space="preserve"> </w:t>
      </w:r>
      <w:r w:rsidRPr="002D4D48">
        <w:rPr>
          <w:sz w:val="26"/>
          <w:szCs w:val="26"/>
          <w:lang w:val="es-ES"/>
        </w:rPr>
        <w:t>entre el crecimiento económico y un indicador de</w:t>
      </w:r>
      <w:r>
        <w:rPr>
          <w:sz w:val="26"/>
          <w:szCs w:val="26"/>
          <w:lang w:val="es-ES"/>
        </w:rPr>
        <w:t xml:space="preserve"> </w:t>
      </w:r>
      <w:r w:rsidRPr="002D4D48">
        <w:rPr>
          <w:sz w:val="26"/>
          <w:szCs w:val="26"/>
          <w:lang w:val="es-ES"/>
        </w:rPr>
        <w:t>impartición de justicia en las entidades federativas de</w:t>
      </w:r>
      <w:r>
        <w:rPr>
          <w:sz w:val="26"/>
          <w:szCs w:val="26"/>
          <w:lang w:val="es-ES"/>
        </w:rPr>
        <w:t xml:space="preserve"> </w:t>
      </w:r>
      <w:r w:rsidRPr="002D4D48">
        <w:rPr>
          <w:sz w:val="26"/>
          <w:szCs w:val="26"/>
          <w:lang w:val="es-ES"/>
        </w:rPr>
        <w:t>México. En particular, se utiliza información referente al</w:t>
      </w:r>
      <w:r>
        <w:rPr>
          <w:sz w:val="26"/>
          <w:szCs w:val="26"/>
          <w:lang w:val="es-ES"/>
        </w:rPr>
        <w:t xml:space="preserve"> </w:t>
      </w:r>
      <w:r w:rsidRPr="002D4D48">
        <w:rPr>
          <w:sz w:val="26"/>
          <w:szCs w:val="26"/>
          <w:lang w:val="es-ES"/>
        </w:rPr>
        <w:t>tiempo que tardan las resoluciones judiciales de</w:t>
      </w:r>
      <w:r>
        <w:rPr>
          <w:sz w:val="26"/>
          <w:szCs w:val="26"/>
          <w:lang w:val="es-ES"/>
        </w:rPr>
        <w:t xml:space="preserve"> </w:t>
      </w:r>
      <w:r w:rsidRPr="002D4D48">
        <w:rPr>
          <w:sz w:val="26"/>
          <w:szCs w:val="26"/>
          <w:lang w:val="es-ES"/>
        </w:rPr>
        <w:t>disputas comerciales y se analiza su relación con el</w:t>
      </w:r>
      <w:r>
        <w:rPr>
          <w:sz w:val="26"/>
          <w:szCs w:val="26"/>
          <w:lang w:val="es-ES"/>
        </w:rPr>
        <w:t xml:space="preserve"> </w:t>
      </w:r>
      <w:r w:rsidRPr="002D4D48">
        <w:rPr>
          <w:sz w:val="26"/>
          <w:szCs w:val="26"/>
          <w:lang w:val="es-ES"/>
        </w:rPr>
        <w:t>crecimiento económico regional. En principio sería de</w:t>
      </w:r>
      <w:r>
        <w:rPr>
          <w:sz w:val="26"/>
          <w:szCs w:val="26"/>
          <w:lang w:val="es-ES"/>
        </w:rPr>
        <w:t xml:space="preserve"> </w:t>
      </w:r>
      <w:r w:rsidRPr="002D4D48">
        <w:rPr>
          <w:sz w:val="26"/>
          <w:szCs w:val="26"/>
          <w:lang w:val="es-ES"/>
        </w:rPr>
        <w:t>esperarse que un menor tiempo de resolución judicial</w:t>
      </w:r>
      <w:r>
        <w:rPr>
          <w:sz w:val="26"/>
          <w:szCs w:val="26"/>
          <w:lang w:val="es-ES"/>
        </w:rPr>
        <w:t xml:space="preserve"> </w:t>
      </w:r>
      <w:r w:rsidRPr="002D4D48">
        <w:rPr>
          <w:sz w:val="26"/>
          <w:szCs w:val="26"/>
          <w:lang w:val="es-ES"/>
        </w:rPr>
        <w:t>de disputas comerciales esté asociado con un mayor</w:t>
      </w:r>
      <w:r>
        <w:rPr>
          <w:sz w:val="26"/>
          <w:szCs w:val="26"/>
          <w:lang w:val="es-ES"/>
        </w:rPr>
        <w:t xml:space="preserve"> </w:t>
      </w:r>
      <w:r w:rsidRPr="002D4D48">
        <w:rPr>
          <w:sz w:val="26"/>
          <w:szCs w:val="26"/>
          <w:lang w:val="es-ES"/>
        </w:rPr>
        <w:t>crecimiento de las regiones. Esto debido a que con la</w:t>
      </w:r>
      <w:r>
        <w:rPr>
          <w:sz w:val="26"/>
          <w:szCs w:val="26"/>
          <w:lang w:val="es-ES"/>
        </w:rPr>
        <w:t xml:space="preserve"> </w:t>
      </w:r>
      <w:r w:rsidRPr="002D4D48">
        <w:rPr>
          <w:sz w:val="26"/>
          <w:szCs w:val="26"/>
          <w:lang w:val="es-ES"/>
        </w:rPr>
        <w:t>prolongación de los procesos judiciales se incrementan</w:t>
      </w:r>
      <w:r>
        <w:rPr>
          <w:sz w:val="26"/>
          <w:szCs w:val="26"/>
          <w:lang w:val="es-ES"/>
        </w:rPr>
        <w:t xml:space="preserve"> </w:t>
      </w:r>
      <w:r w:rsidRPr="002D4D48">
        <w:rPr>
          <w:sz w:val="26"/>
          <w:szCs w:val="26"/>
          <w:lang w:val="es-ES"/>
        </w:rPr>
        <w:t>los costos de transacción de las empresas, lo que se</w:t>
      </w:r>
      <w:r>
        <w:rPr>
          <w:sz w:val="26"/>
          <w:szCs w:val="26"/>
          <w:lang w:val="es-ES"/>
        </w:rPr>
        <w:t xml:space="preserve"> </w:t>
      </w:r>
      <w:r w:rsidRPr="002D4D48">
        <w:rPr>
          <w:sz w:val="26"/>
          <w:szCs w:val="26"/>
          <w:lang w:val="es-ES"/>
        </w:rPr>
        <w:t>podría traducir en menores niveles de inversión.</w:t>
      </w:r>
    </w:p>
    <w:p w14:paraId="520EBC31" w14:textId="77777777" w:rsidR="00BC6B56" w:rsidRPr="002D4D48" w:rsidRDefault="00BC6B56" w:rsidP="00BC6B56">
      <w:pPr>
        <w:spacing w:after="360" w:line="360" w:lineRule="auto"/>
        <w:ind w:right="-159"/>
        <w:jc w:val="both"/>
        <w:rPr>
          <w:sz w:val="26"/>
          <w:szCs w:val="26"/>
          <w:lang w:val="es-ES"/>
        </w:rPr>
      </w:pPr>
      <w:r w:rsidRPr="002D4D48">
        <w:rPr>
          <w:sz w:val="26"/>
          <w:szCs w:val="26"/>
          <w:lang w:val="es-ES"/>
        </w:rPr>
        <w:t>Los resultados muestran que la tasa de crecimiento del</w:t>
      </w:r>
      <w:r>
        <w:rPr>
          <w:sz w:val="26"/>
          <w:szCs w:val="26"/>
          <w:lang w:val="es-ES"/>
        </w:rPr>
        <w:t xml:space="preserve"> </w:t>
      </w:r>
      <w:r w:rsidRPr="002D4D48">
        <w:rPr>
          <w:sz w:val="26"/>
          <w:szCs w:val="26"/>
          <w:lang w:val="es-ES"/>
        </w:rPr>
        <w:t>Producto Interno Bruto por entidad federativa per cápita</w:t>
      </w:r>
      <w:r>
        <w:rPr>
          <w:sz w:val="26"/>
          <w:szCs w:val="26"/>
          <w:lang w:val="es-ES"/>
        </w:rPr>
        <w:t xml:space="preserve"> </w:t>
      </w:r>
      <w:r w:rsidRPr="002D4D48">
        <w:rPr>
          <w:sz w:val="26"/>
          <w:szCs w:val="26"/>
          <w:lang w:val="es-ES"/>
        </w:rPr>
        <w:t>presenta una relación negativa con el número de días</w:t>
      </w:r>
      <w:r>
        <w:rPr>
          <w:sz w:val="26"/>
          <w:szCs w:val="26"/>
          <w:lang w:val="es-ES"/>
        </w:rPr>
        <w:t xml:space="preserve"> </w:t>
      </w:r>
      <w:r w:rsidRPr="002D4D48">
        <w:rPr>
          <w:sz w:val="26"/>
          <w:szCs w:val="26"/>
          <w:lang w:val="es-ES"/>
        </w:rPr>
        <w:t>que toma resolver disputas comerciales.</w:t>
      </w:r>
    </w:p>
    <w:p w14:paraId="1A567361" w14:textId="77777777" w:rsidR="00BC6B56" w:rsidRPr="003D0F89" w:rsidRDefault="00BC6B56" w:rsidP="00BC6B56">
      <w:pPr>
        <w:spacing w:after="360" w:line="360" w:lineRule="auto"/>
        <w:ind w:right="-159"/>
        <w:jc w:val="both"/>
        <w:rPr>
          <w:b/>
          <w:sz w:val="26"/>
          <w:szCs w:val="26"/>
          <w:lang w:val="es-ES"/>
        </w:rPr>
      </w:pPr>
      <w:r w:rsidRPr="003D0F89">
        <w:rPr>
          <w:b/>
          <w:sz w:val="26"/>
          <w:szCs w:val="26"/>
          <w:lang w:val="es-ES"/>
        </w:rPr>
        <w:t>2. Tiempo de Resolución de Disputas Comerciales</w:t>
      </w:r>
    </w:p>
    <w:p w14:paraId="0194FFF9" w14:textId="77777777" w:rsidR="00BC6B56" w:rsidRDefault="00BC6B56" w:rsidP="00BC6B56">
      <w:pPr>
        <w:spacing w:after="360" w:line="360" w:lineRule="auto"/>
        <w:ind w:right="-159"/>
        <w:jc w:val="both"/>
        <w:rPr>
          <w:sz w:val="26"/>
          <w:szCs w:val="26"/>
          <w:lang w:val="es-ES"/>
        </w:rPr>
      </w:pPr>
      <w:r w:rsidRPr="002D4D48">
        <w:rPr>
          <w:sz w:val="26"/>
          <w:szCs w:val="26"/>
          <w:lang w:val="es-ES"/>
        </w:rPr>
        <w:t>El funcionamiento de los tribunales de justicia es uno</w:t>
      </w:r>
      <w:r>
        <w:rPr>
          <w:sz w:val="26"/>
          <w:szCs w:val="26"/>
          <w:lang w:val="es-ES"/>
        </w:rPr>
        <w:t xml:space="preserve"> </w:t>
      </w:r>
      <w:r w:rsidRPr="002D4D48">
        <w:rPr>
          <w:sz w:val="26"/>
          <w:szCs w:val="26"/>
          <w:lang w:val="es-ES"/>
        </w:rPr>
        <w:t>de los diversos factores que determinan el estado de</w:t>
      </w:r>
      <w:r>
        <w:rPr>
          <w:sz w:val="26"/>
          <w:szCs w:val="26"/>
          <w:lang w:val="es-ES"/>
        </w:rPr>
        <w:t xml:space="preserve"> </w:t>
      </w:r>
      <w:r w:rsidRPr="002D4D48">
        <w:rPr>
          <w:sz w:val="26"/>
          <w:szCs w:val="26"/>
          <w:lang w:val="es-ES"/>
        </w:rPr>
        <w:t>derecho. Entre dichos tribunales, por su efecto</w:t>
      </w:r>
      <w:r>
        <w:rPr>
          <w:sz w:val="26"/>
          <w:szCs w:val="26"/>
          <w:lang w:val="es-ES"/>
        </w:rPr>
        <w:t xml:space="preserve"> </w:t>
      </w:r>
      <w:r w:rsidRPr="002D4D48">
        <w:rPr>
          <w:sz w:val="26"/>
          <w:szCs w:val="26"/>
          <w:lang w:val="es-ES"/>
        </w:rPr>
        <w:t>potencial sobre la actividad económica, destacan</w:t>
      </w:r>
      <w:r>
        <w:rPr>
          <w:sz w:val="26"/>
          <w:szCs w:val="26"/>
          <w:lang w:val="es-ES"/>
        </w:rPr>
        <w:t xml:space="preserve"> </w:t>
      </w:r>
      <w:r w:rsidRPr="002D4D48">
        <w:rPr>
          <w:sz w:val="26"/>
          <w:szCs w:val="26"/>
          <w:lang w:val="es-ES"/>
        </w:rPr>
        <w:t>aquéllos que resuelven disputas comerciales. En</w:t>
      </w:r>
      <w:r>
        <w:rPr>
          <w:sz w:val="26"/>
          <w:szCs w:val="26"/>
          <w:lang w:val="es-ES"/>
        </w:rPr>
        <w:t xml:space="preserve"> </w:t>
      </w:r>
      <w:r w:rsidRPr="002D4D48">
        <w:rPr>
          <w:sz w:val="26"/>
          <w:szCs w:val="26"/>
          <w:lang w:val="es-ES"/>
        </w:rPr>
        <w:t>particular, el tiempo en días que en promedio tarda en</w:t>
      </w:r>
      <w:r>
        <w:rPr>
          <w:sz w:val="26"/>
          <w:szCs w:val="26"/>
          <w:lang w:val="es-ES"/>
        </w:rPr>
        <w:t xml:space="preserve"> </w:t>
      </w:r>
      <w:r w:rsidRPr="002D4D48">
        <w:rPr>
          <w:sz w:val="26"/>
          <w:szCs w:val="26"/>
          <w:lang w:val="es-ES"/>
        </w:rPr>
        <w:t>resolverse una disputa comercial entre dos sociedades</w:t>
      </w:r>
      <w:r>
        <w:rPr>
          <w:sz w:val="26"/>
          <w:szCs w:val="26"/>
          <w:lang w:val="es-ES"/>
        </w:rPr>
        <w:t xml:space="preserve"> </w:t>
      </w:r>
      <w:r w:rsidRPr="002D4D48">
        <w:rPr>
          <w:sz w:val="26"/>
          <w:szCs w:val="26"/>
          <w:lang w:val="es-ES"/>
        </w:rPr>
        <w:t>mercantiles en tribunales locales es un indicador del</w:t>
      </w:r>
      <w:r>
        <w:rPr>
          <w:sz w:val="26"/>
          <w:szCs w:val="26"/>
          <w:lang w:val="es-ES"/>
        </w:rPr>
        <w:t xml:space="preserve"> </w:t>
      </w:r>
      <w:r w:rsidRPr="002D4D48">
        <w:rPr>
          <w:sz w:val="26"/>
          <w:szCs w:val="26"/>
          <w:lang w:val="es-ES"/>
        </w:rPr>
        <w:t>costo que enfrentan las empresas cuando tienen una</w:t>
      </w:r>
      <w:r>
        <w:rPr>
          <w:sz w:val="26"/>
          <w:szCs w:val="26"/>
          <w:lang w:val="es-ES"/>
        </w:rPr>
        <w:t xml:space="preserve"> </w:t>
      </w:r>
      <w:r w:rsidRPr="002D4D48">
        <w:rPr>
          <w:sz w:val="26"/>
          <w:szCs w:val="26"/>
          <w:lang w:val="es-ES"/>
        </w:rPr>
        <w:t>querella por</w:t>
      </w:r>
      <w:r>
        <w:rPr>
          <w:sz w:val="26"/>
          <w:szCs w:val="26"/>
          <w:lang w:val="es-ES"/>
        </w:rPr>
        <w:t xml:space="preserve"> un incumplimiento de contrato.</w:t>
      </w:r>
      <w:r>
        <w:rPr>
          <w:rStyle w:val="Refdenotaalpie"/>
          <w:sz w:val="26"/>
          <w:szCs w:val="26"/>
          <w:lang w:val="es-ES"/>
        </w:rPr>
        <w:footnoteReference w:id="10"/>
      </w:r>
    </w:p>
    <w:p w14:paraId="4C2C9B9E" w14:textId="77777777" w:rsidR="00BC6B56" w:rsidRPr="002D4D48" w:rsidRDefault="00BC6B56" w:rsidP="00BC6B56">
      <w:pPr>
        <w:spacing w:after="360" w:line="360" w:lineRule="auto"/>
        <w:ind w:right="-159"/>
        <w:jc w:val="both"/>
        <w:rPr>
          <w:sz w:val="26"/>
          <w:szCs w:val="26"/>
          <w:lang w:val="es-ES"/>
        </w:rPr>
      </w:pPr>
      <w:r w:rsidRPr="002D4D48">
        <w:rPr>
          <w:sz w:val="26"/>
          <w:szCs w:val="26"/>
          <w:lang w:val="es-ES"/>
        </w:rPr>
        <w:lastRenderedPageBreak/>
        <w:t>Mientras más tiempo toma resolver las disputas</w:t>
      </w:r>
      <w:r>
        <w:rPr>
          <w:sz w:val="26"/>
          <w:szCs w:val="26"/>
          <w:lang w:val="es-ES"/>
        </w:rPr>
        <w:t xml:space="preserve"> </w:t>
      </w:r>
      <w:r w:rsidRPr="002D4D48">
        <w:rPr>
          <w:sz w:val="26"/>
          <w:szCs w:val="26"/>
          <w:lang w:val="es-ES"/>
        </w:rPr>
        <w:t>comerciales, mayor el costo para las empresas, lo que</w:t>
      </w:r>
      <w:r>
        <w:rPr>
          <w:sz w:val="26"/>
          <w:szCs w:val="26"/>
          <w:lang w:val="es-ES"/>
        </w:rPr>
        <w:t xml:space="preserve"> </w:t>
      </w:r>
      <w:r w:rsidRPr="002D4D48">
        <w:rPr>
          <w:sz w:val="26"/>
          <w:szCs w:val="26"/>
          <w:lang w:val="es-ES"/>
        </w:rPr>
        <w:t>genera un efecto negativo sobre la actividad</w:t>
      </w:r>
      <w:r>
        <w:rPr>
          <w:sz w:val="26"/>
          <w:szCs w:val="26"/>
          <w:lang w:val="es-ES"/>
        </w:rPr>
        <w:t xml:space="preserve"> </w:t>
      </w:r>
      <w:r w:rsidRPr="002D4D48">
        <w:rPr>
          <w:sz w:val="26"/>
          <w:szCs w:val="26"/>
          <w:lang w:val="es-ES"/>
        </w:rPr>
        <w:t>económica.</w:t>
      </w:r>
    </w:p>
    <w:p w14:paraId="665AE406" w14:textId="77777777" w:rsidR="00BC6B56" w:rsidRDefault="00BC6B56" w:rsidP="00BC6B56">
      <w:pPr>
        <w:spacing w:after="360" w:line="360" w:lineRule="auto"/>
        <w:ind w:right="-159"/>
        <w:jc w:val="both"/>
        <w:rPr>
          <w:sz w:val="26"/>
          <w:szCs w:val="26"/>
          <w:lang w:val="es-ES"/>
        </w:rPr>
      </w:pPr>
      <w:r w:rsidRPr="002D4D48">
        <w:rPr>
          <w:sz w:val="26"/>
          <w:szCs w:val="26"/>
          <w:lang w:val="es-ES"/>
        </w:rPr>
        <w:t>De acuerdo con la información del Banco Mundial, la</w:t>
      </w:r>
      <w:r>
        <w:rPr>
          <w:sz w:val="26"/>
          <w:szCs w:val="26"/>
          <w:lang w:val="es-ES"/>
        </w:rPr>
        <w:t xml:space="preserve"> </w:t>
      </w:r>
      <w:r w:rsidRPr="002D4D48">
        <w:rPr>
          <w:sz w:val="26"/>
          <w:szCs w:val="26"/>
          <w:lang w:val="es-ES"/>
        </w:rPr>
        <w:t>rapidez con que se resuelven judicialmente las disputas</w:t>
      </w:r>
      <w:r>
        <w:rPr>
          <w:sz w:val="26"/>
          <w:szCs w:val="26"/>
          <w:lang w:val="es-ES"/>
        </w:rPr>
        <w:t xml:space="preserve"> </w:t>
      </w:r>
      <w:r w:rsidRPr="002D4D48">
        <w:rPr>
          <w:sz w:val="26"/>
          <w:szCs w:val="26"/>
          <w:lang w:val="es-ES"/>
        </w:rPr>
        <w:t>comerciales en México varía entre las regiones del</w:t>
      </w:r>
      <w:r>
        <w:rPr>
          <w:sz w:val="26"/>
          <w:szCs w:val="26"/>
          <w:lang w:val="es-ES"/>
        </w:rPr>
        <w:t xml:space="preserve"> </w:t>
      </w:r>
      <w:r w:rsidRPr="002D4D48">
        <w:rPr>
          <w:sz w:val="26"/>
          <w:szCs w:val="26"/>
          <w:lang w:val="es-ES"/>
        </w:rPr>
        <w:t xml:space="preserve">país. La </w:t>
      </w:r>
      <w:r>
        <w:rPr>
          <w:sz w:val="26"/>
          <w:szCs w:val="26"/>
          <w:lang w:val="es-ES"/>
        </w:rPr>
        <w:t>g</w:t>
      </w:r>
      <w:r w:rsidRPr="002D4D48">
        <w:rPr>
          <w:sz w:val="26"/>
          <w:szCs w:val="26"/>
          <w:lang w:val="es-ES"/>
        </w:rPr>
        <w:t xml:space="preserve">ráfica </w:t>
      </w:r>
      <w:r>
        <w:rPr>
          <w:sz w:val="26"/>
          <w:szCs w:val="26"/>
          <w:lang w:val="es-ES"/>
        </w:rPr>
        <w:t>siguiente</w:t>
      </w:r>
      <w:r w:rsidRPr="002D4D48">
        <w:rPr>
          <w:sz w:val="26"/>
          <w:szCs w:val="26"/>
          <w:lang w:val="es-ES"/>
        </w:rPr>
        <w:t xml:space="preserve"> muestra el promedio de días por</w:t>
      </w:r>
      <w:r>
        <w:rPr>
          <w:sz w:val="26"/>
          <w:szCs w:val="26"/>
          <w:lang w:val="es-ES"/>
        </w:rPr>
        <w:t xml:space="preserve"> </w:t>
      </w:r>
      <w:r w:rsidRPr="002D4D48">
        <w:rPr>
          <w:sz w:val="26"/>
          <w:szCs w:val="26"/>
          <w:lang w:val="es-ES"/>
        </w:rPr>
        <w:t>región que tomó resolver dichas disputas en 2013. Se</w:t>
      </w:r>
      <w:r>
        <w:rPr>
          <w:sz w:val="26"/>
          <w:szCs w:val="26"/>
          <w:lang w:val="es-ES"/>
        </w:rPr>
        <w:t xml:space="preserve"> </w:t>
      </w:r>
      <w:r w:rsidRPr="002D4D48">
        <w:rPr>
          <w:sz w:val="26"/>
          <w:szCs w:val="26"/>
          <w:lang w:val="es-ES"/>
        </w:rPr>
        <w:t>observa que existe una gran heterogeneidad entre las</w:t>
      </w:r>
      <w:r>
        <w:rPr>
          <w:sz w:val="26"/>
          <w:szCs w:val="26"/>
          <w:lang w:val="es-ES"/>
        </w:rPr>
        <w:t xml:space="preserve"> </w:t>
      </w:r>
      <w:r w:rsidRPr="002D4D48">
        <w:rPr>
          <w:sz w:val="26"/>
          <w:szCs w:val="26"/>
          <w:lang w:val="es-ES"/>
        </w:rPr>
        <w:t>regiones. La región norte es donde toma, en promedio,</w:t>
      </w:r>
      <w:r>
        <w:rPr>
          <w:sz w:val="26"/>
          <w:szCs w:val="26"/>
          <w:lang w:val="es-ES"/>
        </w:rPr>
        <w:t xml:space="preserve"> </w:t>
      </w:r>
      <w:r w:rsidRPr="002D4D48">
        <w:rPr>
          <w:sz w:val="26"/>
          <w:szCs w:val="26"/>
          <w:lang w:val="es-ES"/>
        </w:rPr>
        <w:t>menos tiempo resolver disputas, seguida por las</w:t>
      </w:r>
      <w:r>
        <w:rPr>
          <w:sz w:val="26"/>
          <w:szCs w:val="26"/>
          <w:lang w:val="es-ES"/>
        </w:rPr>
        <w:t xml:space="preserve"> </w:t>
      </w:r>
      <w:r w:rsidRPr="002D4D48">
        <w:rPr>
          <w:sz w:val="26"/>
          <w:szCs w:val="26"/>
          <w:lang w:val="es-ES"/>
        </w:rPr>
        <w:t>regiones centro norte, centro y, al final, la región sur. La</w:t>
      </w:r>
      <w:r>
        <w:rPr>
          <w:sz w:val="26"/>
          <w:szCs w:val="26"/>
          <w:lang w:val="es-ES"/>
        </w:rPr>
        <w:t xml:space="preserve"> </w:t>
      </w:r>
      <w:r w:rsidRPr="002D4D48">
        <w:rPr>
          <w:sz w:val="26"/>
          <w:szCs w:val="26"/>
          <w:lang w:val="es-ES"/>
        </w:rPr>
        <w:t>diferencia entre el norte y el sur en lo que respecta a</w:t>
      </w:r>
      <w:r>
        <w:rPr>
          <w:sz w:val="26"/>
          <w:szCs w:val="26"/>
          <w:lang w:val="es-ES"/>
        </w:rPr>
        <w:t xml:space="preserve"> </w:t>
      </w:r>
      <w:r w:rsidRPr="002D4D48">
        <w:rPr>
          <w:sz w:val="26"/>
          <w:szCs w:val="26"/>
          <w:lang w:val="es-ES"/>
        </w:rPr>
        <w:t>este indicador es de 97 días, lo que representa un</w:t>
      </w:r>
      <w:r>
        <w:rPr>
          <w:sz w:val="26"/>
          <w:szCs w:val="26"/>
          <w:lang w:val="es-ES"/>
        </w:rPr>
        <w:t xml:space="preserve"> </w:t>
      </w:r>
      <w:r w:rsidRPr="002D4D48">
        <w:rPr>
          <w:sz w:val="26"/>
          <w:szCs w:val="26"/>
          <w:lang w:val="es-ES"/>
        </w:rPr>
        <w:t>proceso 25</w:t>
      </w:r>
      <w:r>
        <w:rPr>
          <w:sz w:val="26"/>
          <w:szCs w:val="26"/>
          <w:lang w:val="es-ES"/>
        </w:rPr>
        <w:t>%</w:t>
      </w:r>
      <w:r w:rsidRPr="002D4D48">
        <w:rPr>
          <w:sz w:val="26"/>
          <w:szCs w:val="26"/>
          <w:lang w:val="es-ES"/>
        </w:rPr>
        <w:t xml:space="preserve"> más corto.</w:t>
      </w:r>
    </w:p>
    <w:tbl>
      <w:tblPr>
        <w:tblStyle w:val="Tablaconcuadrcula"/>
        <w:tblW w:w="920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09"/>
      </w:tblGrid>
      <w:tr w:rsidR="00BC6B56" w:rsidRPr="00200185" w14:paraId="04890160" w14:textId="77777777" w:rsidTr="00447800">
        <w:trPr>
          <w:jc w:val="center"/>
        </w:trPr>
        <w:tc>
          <w:tcPr>
            <w:tcW w:w="9209" w:type="dxa"/>
          </w:tcPr>
          <w:p w14:paraId="47EAA780" w14:textId="77777777" w:rsidR="00BC6B56" w:rsidRPr="00946424" w:rsidRDefault="00BC6B56" w:rsidP="00447800">
            <w:pPr>
              <w:jc w:val="center"/>
              <w:rPr>
                <w:b/>
                <w:szCs w:val="26"/>
                <w:lang w:val="es-ES"/>
              </w:rPr>
            </w:pPr>
            <w:r w:rsidRPr="00343977">
              <w:rPr>
                <w:b/>
                <w:szCs w:val="26"/>
                <w:lang w:val="es-ES"/>
              </w:rPr>
              <w:t>TIEMPO DE RESOLUCIÓN DE UNA DISPUTA COMERCIAL</w:t>
            </w:r>
            <w:r w:rsidRPr="00946424">
              <w:rPr>
                <w:b/>
                <w:szCs w:val="26"/>
                <w:u w:val="single"/>
                <w:vertAlign w:val="superscript"/>
                <w:lang w:val="es-ES"/>
              </w:rPr>
              <w:t>1</w:t>
            </w:r>
            <w:r w:rsidRPr="00946424">
              <w:rPr>
                <w:b/>
                <w:szCs w:val="26"/>
                <w:vertAlign w:val="superscript"/>
                <w:lang w:val="es-ES"/>
              </w:rPr>
              <w:t>/</w:t>
            </w:r>
          </w:p>
          <w:p w14:paraId="1028B3DE" w14:textId="77777777" w:rsidR="00BC6B56" w:rsidRPr="00200185" w:rsidRDefault="00BC6B56" w:rsidP="00447800">
            <w:pPr>
              <w:jc w:val="center"/>
              <w:rPr>
                <w:b/>
                <w:szCs w:val="26"/>
                <w:lang w:val="es-ES"/>
              </w:rPr>
            </w:pPr>
            <w:r>
              <w:rPr>
                <w:b/>
                <w:szCs w:val="26"/>
                <w:lang w:val="es-ES"/>
              </w:rPr>
              <w:t>-</w:t>
            </w:r>
            <w:r w:rsidRPr="00343977">
              <w:rPr>
                <w:b/>
                <w:szCs w:val="26"/>
                <w:lang w:val="es-ES"/>
              </w:rPr>
              <w:t>Promedio por Región (en Días, 2013)</w:t>
            </w:r>
            <w:r>
              <w:rPr>
                <w:b/>
                <w:szCs w:val="26"/>
                <w:lang w:val="es-ES"/>
              </w:rPr>
              <w:t>-</w:t>
            </w:r>
          </w:p>
        </w:tc>
      </w:tr>
      <w:tr w:rsidR="00BC6B56" w:rsidRPr="00DB2C4F" w14:paraId="6EDFE5B7" w14:textId="77777777" w:rsidTr="00447800">
        <w:trPr>
          <w:jc w:val="center"/>
        </w:trPr>
        <w:tc>
          <w:tcPr>
            <w:tcW w:w="9209" w:type="dxa"/>
          </w:tcPr>
          <w:p w14:paraId="17067C6B" w14:textId="77777777" w:rsidR="00BC6B56" w:rsidRPr="00DB2C4F" w:rsidRDefault="00BC6B56" w:rsidP="00447800">
            <w:pPr>
              <w:jc w:val="center"/>
              <w:rPr>
                <w:szCs w:val="26"/>
                <w:lang w:val="es-ES"/>
              </w:rPr>
            </w:pPr>
            <w:r w:rsidRPr="00343977">
              <w:rPr>
                <w:noProof/>
                <w:szCs w:val="26"/>
                <w:lang w:eastAsia="es-MX"/>
              </w:rPr>
              <w:drawing>
                <wp:inline distT="0" distB="0" distL="0" distR="0" wp14:anchorId="501BE2D1" wp14:editId="58D93FD8">
                  <wp:extent cx="4872711" cy="3060000"/>
                  <wp:effectExtent l="0" t="0" r="0" b="0"/>
                  <wp:docPr id="1682" name="Imagen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t="3737" b="1945"/>
                          <a:stretch/>
                        </pic:blipFill>
                        <pic:spPr bwMode="auto">
                          <a:xfrm>
                            <a:off x="0" y="0"/>
                            <a:ext cx="4872711" cy="30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C6B56" w:rsidRPr="00DB2C4F" w14:paraId="2F4D3C91" w14:textId="77777777" w:rsidTr="00447800">
        <w:trPr>
          <w:jc w:val="center"/>
        </w:trPr>
        <w:tc>
          <w:tcPr>
            <w:tcW w:w="9209" w:type="dxa"/>
          </w:tcPr>
          <w:p w14:paraId="1E7C9D4F" w14:textId="77777777" w:rsidR="00BC6B56" w:rsidRPr="00343977" w:rsidRDefault="00BC6B56" w:rsidP="00447800">
            <w:pPr>
              <w:ind w:left="1110" w:right="1021" w:hanging="225"/>
              <w:jc w:val="both"/>
              <w:rPr>
                <w:sz w:val="20"/>
                <w:szCs w:val="26"/>
                <w:lang w:val="es-ES"/>
              </w:rPr>
            </w:pPr>
            <w:r w:rsidRPr="00946424">
              <w:rPr>
                <w:sz w:val="20"/>
                <w:szCs w:val="26"/>
                <w:u w:val="single"/>
                <w:lang w:val="es-ES"/>
              </w:rPr>
              <w:t>1</w:t>
            </w:r>
            <w:r w:rsidRPr="00946424">
              <w:rPr>
                <w:sz w:val="20"/>
                <w:szCs w:val="26"/>
                <w:lang w:val="es-ES"/>
              </w:rPr>
              <w:t xml:space="preserve">/ </w:t>
            </w:r>
            <w:r w:rsidRPr="00343977">
              <w:rPr>
                <w:sz w:val="20"/>
                <w:szCs w:val="26"/>
                <w:lang w:val="es-ES"/>
              </w:rPr>
              <w:t>Promedio de los valores por entidad federativa ponderados por la</w:t>
            </w:r>
            <w:r>
              <w:rPr>
                <w:sz w:val="20"/>
                <w:szCs w:val="26"/>
                <w:lang w:val="es-ES"/>
              </w:rPr>
              <w:t xml:space="preserve"> </w:t>
            </w:r>
            <w:r w:rsidRPr="00343977">
              <w:rPr>
                <w:sz w:val="20"/>
                <w:szCs w:val="26"/>
                <w:lang w:val="es-ES"/>
              </w:rPr>
              <w:t>participación de la entidad en el PIB regional.</w:t>
            </w:r>
          </w:p>
          <w:p w14:paraId="2DABB50B" w14:textId="77777777" w:rsidR="00BC6B56" w:rsidRPr="00DB2C4F" w:rsidRDefault="00BC6B56" w:rsidP="00447800">
            <w:pPr>
              <w:ind w:left="1110" w:right="1021" w:hanging="225"/>
              <w:jc w:val="both"/>
              <w:rPr>
                <w:sz w:val="20"/>
                <w:szCs w:val="26"/>
                <w:lang w:val="es-ES"/>
              </w:rPr>
            </w:pPr>
            <w:r w:rsidRPr="00343977">
              <w:rPr>
                <w:sz w:val="20"/>
                <w:szCs w:val="26"/>
                <w:lang w:val="es-ES"/>
              </w:rPr>
              <w:t>FUENTE: Estimación del Banco de México con datos del Banco Mundial y</w:t>
            </w:r>
            <w:r>
              <w:rPr>
                <w:sz w:val="20"/>
                <w:szCs w:val="26"/>
                <w:lang w:val="es-ES"/>
              </w:rPr>
              <w:t xml:space="preserve"> </w:t>
            </w:r>
            <w:r w:rsidRPr="00343977">
              <w:rPr>
                <w:sz w:val="20"/>
                <w:szCs w:val="26"/>
                <w:lang w:val="es-ES"/>
              </w:rPr>
              <w:t>del INEGI.</w:t>
            </w:r>
          </w:p>
        </w:tc>
      </w:tr>
    </w:tbl>
    <w:p w14:paraId="41194AC9" w14:textId="77777777" w:rsidR="00BC6B56" w:rsidRDefault="00BC6B56" w:rsidP="00BC6B56">
      <w:pPr>
        <w:spacing w:after="360" w:line="360" w:lineRule="auto"/>
        <w:ind w:right="-159"/>
        <w:jc w:val="both"/>
        <w:rPr>
          <w:sz w:val="26"/>
          <w:szCs w:val="26"/>
          <w:lang w:val="es-ES"/>
        </w:rPr>
      </w:pPr>
    </w:p>
    <w:p w14:paraId="0256DF22" w14:textId="77777777" w:rsidR="00BC6B56" w:rsidRDefault="00BC6B56" w:rsidP="00BC6B56">
      <w:pPr>
        <w:spacing w:after="360" w:line="360" w:lineRule="auto"/>
        <w:ind w:right="-159"/>
        <w:jc w:val="both"/>
        <w:rPr>
          <w:sz w:val="26"/>
          <w:szCs w:val="26"/>
          <w:lang w:val="es-ES"/>
        </w:rPr>
      </w:pPr>
      <w:r w:rsidRPr="002D4D48">
        <w:rPr>
          <w:sz w:val="26"/>
          <w:szCs w:val="26"/>
          <w:lang w:val="es-ES"/>
        </w:rPr>
        <w:t>Directivos empresariales consultados para este</w:t>
      </w:r>
      <w:r>
        <w:rPr>
          <w:sz w:val="26"/>
          <w:szCs w:val="26"/>
          <w:lang w:val="es-ES"/>
        </w:rPr>
        <w:t xml:space="preserve"> </w:t>
      </w:r>
      <w:r w:rsidRPr="002D4D48">
        <w:rPr>
          <w:sz w:val="26"/>
          <w:szCs w:val="26"/>
          <w:lang w:val="es-ES"/>
        </w:rPr>
        <w:t>Reporte acerca del mayor problema que consideran</w:t>
      </w:r>
      <w:r>
        <w:rPr>
          <w:sz w:val="26"/>
          <w:szCs w:val="26"/>
          <w:lang w:val="es-ES"/>
        </w:rPr>
        <w:t xml:space="preserve"> </w:t>
      </w:r>
      <w:r w:rsidRPr="002D4D48">
        <w:rPr>
          <w:sz w:val="26"/>
          <w:szCs w:val="26"/>
          <w:lang w:val="es-ES"/>
        </w:rPr>
        <w:t>enfrenta su región respecto a la relación entre estado</w:t>
      </w:r>
      <w:r>
        <w:rPr>
          <w:sz w:val="26"/>
          <w:szCs w:val="26"/>
          <w:lang w:val="es-ES"/>
        </w:rPr>
        <w:t xml:space="preserve"> </w:t>
      </w:r>
      <w:r w:rsidRPr="002D4D48">
        <w:rPr>
          <w:sz w:val="26"/>
          <w:szCs w:val="26"/>
          <w:lang w:val="es-ES"/>
        </w:rPr>
        <w:t xml:space="preserve">de derecho y actividad </w:t>
      </w:r>
      <w:r w:rsidRPr="002D4D48">
        <w:rPr>
          <w:sz w:val="26"/>
          <w:szCs w:val="26"/>
          <w:lang w:val="es-ES"/>
        </w:rPr>
        <w:lastRenderedPageBreak/>
        <w:t>económica, efectivamente</w:t>
      </w:r>
      <w:r>
        <w:rPr>
          <w:sz w:val="26"/>
          <w:szCs w:val="26"/>
          <w:lang w:val="es-ES"/>
        </w:rPr>
        <w:t xml:space="preserve"> </w:t>
      </w:r>
      <w:r w:rsidRPr="002D4D48">
        <w:rPr>
          <w:sz w:val="26"/>
          <w:szCs w:val="26"/>
          <w:lang w:val="es-ES"/>
        </w:rPr>
        <w:t>ubicaron la procuración e impartición de justicia en</w:t>
      </w:r>
      <w:r>
        <w:rPr>
          <w:sz w:val="26"/>
          <w:szCs w:val="26"/>
          <w:lang w:val="es-ES"/>
        </w:rPr>
        <w:t xml:space="preserve"> </w:t>
      </w:r>
      <w:r w:rsidRPr="002D4D48">
        <w:rPr>
          <w:sz w:val="26"/>
          <w:szCs w:val="26"/>
          <w:lang w:val="es-ES"/>
        </w:rPr>
        <w:t>segundo lugar, sólo después de las afectaciones</w:t>
      </w:r>
      <w:r>
        <w:rPr>
          <w:sz w:val="26"/>
          <w:szCs w:val="26"/>
          <w:lang w:val="es-ES"/>
        </w:rPr>
        <w:t xml:space="preserve"> </w:t>
      </w:r>
      <w:r w:rsidRPr="002D4D48">
        <w:rPr>
          <w:sz w:val="26"/>
          <w:szCs w:val="26"/>
          <w:lang w:val="es-ES"/>
        </w:rPr>
        <w:t>económicas derivadas de la inseguridad. Destacó que</w:t>
      </w:r>
      <w:r>
        <w:rPr>
          <w:sz w:val="26"/>
          <w:szCs w:val="26"/>
          <w:lang w:val="es-ES"/>
        </w:rPr>
        <w:t xml:space="preserve"> </w:t>
      </w:r>
      <w:r w:rsidRPr="002D4D48">
        <w:rPr>
          <w:sz w:val="26"/>
          <w:szCs w:val="26"/>
          <w:lang w:val="es-ES"/>
        </w:rPr>
        <w:t>en el sur la impartición de justicia fue mencionada en</w:t>
      </w:r>
      <w:r>
        <w:rPr>
          <w:sz w:val="26"/>
          <w:szCs w:val="26"/>
          <w:lang w:val="es-ES"/>
        </w:rPr>
        <w:t xml:space="preserve"> </w:t>
      </w:r>
      <w:r w:rsidRPr="002D4D48">
        <w:rPr>
          <w:sz w:val="26"/>
          <w:szCs w:val="26"/>
          <w:lang w:val="es-ES"/>
        </w:rPr>
        <w:t>primer lugar (</w:t>
      </w:r>
      <w:r>
        <w:rPr>
          <w:sz w:val="26"/>
          <w:szCs w:val="26"/>
          <w:lang w:val="es-ES"/>
        </w:rPr>
        <w:t>g</w:t>
      </w:r>
      <w:r w:rsidRPr="002D4D48">
        <w:rPr>
          <w:sz w:val="26"/>
          <w:szCs w:val="26"/>
          <w:lang w:val="es-ES"/>
        </w:rPr>
        <w:t>ráfica</w:t>
      </w:r>
      <w:r>
        <w:rPr>
          <w:sz w:val="26"/>
          <w:szCs w:val="26"/>
          <w:lang w:val="es-ES"/>
        </w:rPr>
        <w:t xml:space="preserve"> siguiente</w:t>
      </w:r>
      <w:r w:rsidRPr="002D4D48">
        <w:rPr>
          <w:sz w:val="26"/>
          <w:szCs w:val="26"/>
          <w:lang w:val="es-ES"/>
        </w:rPr>
        <w:t>). Esto último en congruencia con</w:t>
      </w:r>
      <w:r>
        <w:rPr>
          <w:sz w:val="26"/>
          <w:szCs w:val="26"/>
          <w:lang w:val="es-ES"/>
        </w:rPr>
        <w:t xml:space="preserve"> </w:t>
      </w:r>
      <w:r w:rsidRPr="002D4D48">
        <w:rPr>
          <w:sz w:val="26"/>
          <w:szCs w:val="26"/>
          <w:lang w:val="es-ES"/>
        </w:rPr>
        <w:t>lo comentado sobre el tiempo de resolución de disputas</w:t>
      </w:r>
      <w:r>
        <w:rPr>
          <w:sz w:val="26"/>
          <w:szCs w:val="26"/>
          <w:lang w:val="es-ES"/>
        </w:rPr>
        <w:t xml:space="preserve"> </w:t>
      </w:r>
      <w:r w:rsidRPr="002D4D48">
        <w:rPr>
          <w:sz w:val="26"/>
          <w:szCs w:val="26"/>
          <w:lang w:val="es-ES"/>
        </w:rPr>
        <w:t>comerciales en dicha región (</w:t>
      </w:r>
      <w:r>
        <w:rPr>
          <w:sz w:val="26"/>
          <w:szCs w:val="26"/>
          <w:lang w:val="es-ES"/>
        </w:rPr>
        <w:t>g</w:t>
      </w:r>
      <w:r w:rsidRPr="002D4D48">
        <w:rPr>
          <w:sz w:val="26"/>
          <w:szCs w:val="26"/>
          <w:lang w:val="es-ES"/>
        </w:rPr>
        <w:t>ráfica</w:t>
      </w:r>
      <w:r>
        <w:rPr>
          <w:sz w:val="26"/>
          <w:szCs w:val="26"/>
          <w:lang w:val="es-ES"/>
        </w:rPr>
        <w:t xml:space="preserve"> anterior</w:t>
      </w:r>
      <w:r w:rsidRPr="002D4D48">
        <w:rPr>
          <w:sz w:val="26"/>
          <w:szCs w:val="26"/>
          <w:lang w:val="es-ES"/>
        </w:rPr>
        <w:t>).</w:t>
      </w:r>
    </w:p>
    <w:p w14:paraId="59BAD439" w14:textId="77777777" w:rsidR="00BC6B56" w:rsidRDefault="00BC6B56" w:rsidP="00BC6B56">
      <w:pPr>
        <w:spacing w:after="360" w:line="360" w:lineRule="auto"/>
        <w:ind w:right="-159"/>
        <w:jc w:val="both"/>
        <w:rPr>
          <w:sz w:val="26"/>
          <w:szCs w:val="26"/>
          <w:lang w:val="es-ES"/>
        </w:rPr>
      </w:pPr>
    </w:p>
    <w:tbl>
      <w:tblPr>
        <w:tblStyle w:val="Tablaconcuadrcula"/>
        <w:tblW w:w="920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09"/>
      </w:tblGrid>
      <w:tr w:rsidR="00BC6B56" w:rsidRPr="00200185" w14:paraId="4B3C04C7" w14:textId="77777777" w:rsidTr="00447800">
        <w:trPr>
          <w:jc w:val="center"/>
        </w:trPr>
        <w:tc>
          <w:tcPr>
            <w:tcW w:w="9209" w:type="dxa"/>
          </w:tcPr>
          <w:p w14:paraId="6F6C6360" w14:textId="77777777" w:rsidR="00BC6B56" w:rsidRPr="00343977" w:rsidRDefault="00BC6B56" w:rsidP="00447800">
            <w:pPr>
              <w:jc w:val="center"/>
              <w:rPr>
                <w:b/>
                <w:szCs w:val="26"/>
                <w:lang w:val="es-ES"/>
              </w:rPr>
            </w:pPr>
            <w:r w:rsidRPr="00343977">
              <w:rPr>
                <w:b/>
                <w:szCs w:val="26"/>
                <w:lang w:val="es-ES"/>
              </w:rPr>
              <w:t>OPINIÓN DE DIRECTIVOS: ASPECTOS DEL ESTADO DE DERECHO</w:t>
            </w:r>
          </w:p>
          <w:p w14:paraId="2C2D5476" w14:textId="77777777" w:rsidR="00BC6B56" w:rsidRPr="00343977" w:rsidRDefault="00BC6B56" w:rsidP="00447800">
            <w:pPr>
              <w:jc w:val="center"/>
              <w:rPr>
                <w:b/>
                <w:szCs w:val="26"/>
                <w:lang w:val="es-ES"/>
              </w:rPr>
            </w:pPr>
            <w:r w:rsidRPr="00343977">
              <w:rPr>
                <w:b/>
                <w:szCs w:val="26"/>
                <w:lang w:val="es-ES"/>
              </w:rPr>
              <w:t>QUE LIMITAN EL CRECIMIENTO ECONÓMICO REGIONAL</w:t>
            </w:r>
          </w:p>
          <w:p w14:paraId="620DECA3" w14:textId="77777777" w:rsidR="00BC6B56" w:rsidRPr="00200185" w:rsidRDefault="00BC6B56" w:rsidP="00447800">
            <w:pPr>
              <w:jc w:val="center"/>
              <w:rPr>
                <w:b/>
                <w:szCs w:val="26"/>
                <w:lang w:val="es-ES"/>
              </w:rPr>
            </w:pPr>
            <w:r>
              <w:rPr>
                <w:b/>
                <w:szCs w:val="26"/>
                <w:lang w:val="es-ES"/>
              </w:rPr>
              <w:t>-</w:t>
            </w:r>
            <w:r w:rsidRPr="00343977">
              <w:rPr>
                <w:b/>
                <w:szCs w:val="26"/>
                <w:lang w:val="es-ES"/>
              </w:rPr>
              <w:t>Porcentaje</w:t>
            </w:r>
            <w:r>
              <w:rPr>
                <w:b/>
                <w:szCs w:val="26"/>
                <w:lang w:val="es-ES"/>
              </w:rPr>
              <w:t>-</w:t>
            </w:r>
          </w:p>
        </w:tc>
      </w:tr>
      <w:tr w:rsidR="00BC6B56" w:rsidRPr="00DB2C4F" w14:paraId="2BF9CC5A" w14:textId="77777777" w:rsidTr="00447800">
        <w:trPr>
          <w:jc w:val="center"/>
        </w:trPr>
        <w:tc>
          <w:tcPr>
            <w:tcW w:w="9209" w:type="dxa"/>
          </w:tcPr>
          <w:p w14:paraId="58901EC8" w14:textId="77777777" w:rsidR="00BC6B56" w:rsidRPr="00DB2C4F" w:rsidRDefault="00BC6B56" w:rsidP="00447800">
            <w:pPr>
              <w:jc w:val="center"/>
              <w:rPr>
                <w:szCs w:val="26"/>
                <w:lang w:val="es-ES"/>
              </w:rPr>
            </w:pPr>
            <w:r w:rsidRPr="00343977">
              <w:rPr>
                <w:noProof/>
                <w:szCs w:val="26"/>
                <w:lang w:eastAsia="es-MX"/>
              </w:rPr>
              <w:drawing>
                <wp:inline distT="0" distB="0" distL="0" distR="0" wp14:anchorId="21732C18" wp14:editId="5A6F5A67">
                  <wp:extent cx="5143154" cy="3240000"/>
                  <wp:effectExtent l="0" t="0" r="0" b="0"/>
                  <wp:docPr id="1683" name="Imagen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t="3915" b="1586"/>
                          <a:stretch/>
                        </pic:blipFill>
                        <pic:spPr bwMode="auto">
                          <a:xfrm>
                            <a:off x="0" y="0"/>
                            <a:ext cx="5143154" cy="324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C6B56" w:rsidRPr="00DB2C4F" w14:paraId="02C0C89E" w14:textId="77777777" w:rsidTr="00447800">
        <w:trPr>
          <w:jc w:val="center"/>
        </w:trPr>
        <w:tc>
          <w:tcPr>
            <w:tcW w:w="9209" w:type="dxa"/>
          </w:tcPr>
          <w:p w14:paraId="29216F8A" w14:textId="77777777" w:rsidR="00BC6B56" w:rsidRPr="00DB2C4F" w:rsidRDefault="00BC6B56" w:rsidP="00447800">
            <w:pPr>
              <w:ind w:left="1110" w:right="1021" w:hanging="225"/>
              <w:jc w:val="both"/>
              <w:rPr>
                <w:sz w:val="20"/>
                <w:szCs w:val="26"/>
                <w:lang w:val="es-ES"/>
              </w:rPr>
            </w:pPr>
            <w:r w:rsidRPr="00343977">
              <w:rPr>
                <w:sz w:val="20"/>
                <w:szCs w:val="26"/>
                <w:lang w:val="es-ES"/>
              </w:rPr>
              <w:t>FUENTE: Banco de México. Entrevistas a Directivos Empresariales.</w:t>
            </w:r>
          </w:p>
        </w:tc>
      </w:tr>
    </w:tbl>
    <w:p w14:paraId="38DD13D1" w14:textId="77777777" w:rsidR="00BC6B56" w:rsidRDefault="00BC6B56" w:rsidP="00BC6B56">
      <w:pPr>
        <w:spacing w:after="360" w:line="360" w:lineRule="auto"/>
        <w:ind w:right="-159"/>
        <w:jc w:val="both"/>
        <w:rPr>
          <w:sz w:val="26"/>
          <w:szCs w:val="26"/>
          <w:lang w:val="es-ES"/>
        </w:rPr>
      </w:pPr>
    </w:p>
    <w:p w14:paraId="7BD5C688" w14:textId="77777777" w:rsidR="00DF77F2" w:rsidRDefault="00DF77F2" w:rsidP="00BC6B56">
      <w:pPr>
        <w:spacing w:after="360" w:line="360" w:lineRule="auto"/>
        <w:ind w:right="-159"/>
        <w:jc w:val="both"/>
        <w:rPr>
          <w:sz w:val="26"/>
          <w:szCs w:val="26"/>
          <w:lang w:val="es-ES"/>
        </w:rPr>
      </w:pPr>
    </w:p>
    <w:p w14:paraId="532E4C03" w14:textId="77777777" w:rsidR="00DF77F2" w:rsidRDefault="00DF77F2" w:rsidP="00BC6B56">
      <w:pPr>
        <w:spacing w:after="360" w:line="360" w:lineRule="auto"/>
        <w:ind w:right="-159"/>
        <w:jc w:val="both"/>
        <w:rPr>
          <w:sz w:val="26"/>
          <w:szCs w:val="26"/>
          <w:lang w:val="es-ES"/>
        </w:rPr>
      </w:pPr>
    </w:p>
    <w:p w14:paraId="3226EBA1" w14:textId="77777777" w:rsidR="00DF77F2" w:rsidRDefault="00DF77F2" w:rsidP="00BC6B56">
      <w:pPr>
        <w:spacing w:after="360" w:line="360" w:lineRule="auto"/>
        <w:ind w:right="-159"/>
        <w:jc w:val="both"/>
        <w:rPr>
          <w:sz w:val="26"/>
          <w:szCs w:val="26"/>
          <w:lang w:val="es-ES"/>
        </w:rPr>
      </w:pPr>
    </w:p>
    <w:p w14:paraId="144DF82C" w14:textId="77777777" w:rsidR="00BC6B56" w:rsidRPr="00166D52" w:rsidRDefault="00BC6B56" w:rsidP="00BC6B56">
      <w:pPr>
        <w:spacing w:after="360"/>
        <w:ind w:left="284" w:right="-159" w:hanging="284"/>
        <w:jc w:val="both"/>
        <w:rPr>
          <w:b/>
          <w:sz w:val="26"/>
          <w:szCs w:val="26"/>
          <w:lang w:val="es-ES"/>
        </w:rPr>
      </w:pPr>
      <w:r w:rsidRPr="001352FF">
        <w:rPr>
          <w:b/>
          <w:sz w:val="26"/>
          <w:szCs w:val="26"/>
          <w:lang w:val="es-ES"/>
        </w:rPr>
        <w:lastRenderedPageBreak/>
        <w:t>3. Tiempo que Toma Resolver una Disputa</w:t>
      </w:r>
      <w:r>
        <w:rPr>
          <w:b/>
          <w:sz w:val="26"/>
          <w:szCs w:val="26"/>
          <w:lang w:val="es-ES"/>
        </w:rPr>
        <w:t xml:space="preserve"> </w:t>
      </w:r>
      <w:r w:rsidRPr="002D4D48">
        <w:rPr>
          <w:sz w:val="26"/>
          <w:szCs w:val="26"/>
          <w:lang w:val="es-ES"/>
        </w:rPr>
        <w:t>Comercial y Crecimiento en las Entidades</w:t>
      </w:r>
      <w:r>
        <w:rPr>
          <w:sz w:val="26"/>
          <w:szCs w:val="26"/>
          <w:lang w:val="es-ES"/>
        </w:rPr>
        <w:t xml:space="preserve"> </w:t>
      </w:r>
      <w:r w:rsidRPr="00166D52">
        <w:rPr>
          <w:b/>
          <w:sz w:val="26"/>
          <w:szCs w:val="26"/>
          <w:lang w:val="es-ES"/>
        </w:rPr>
        <w:t>Federativas</w:t>
      </w:r>
    </w:p>
    <w:p w14:paraId="0E365FCB" w14:textId="77777777" w:rsidR="00BC6B56" w:rsidRPr="002D4D48" w:rsidRDefault="00BC6B56" w:rsidP="00BC6B56">
      <w:pPr>
        <w:spacing w:after="360" w:line="360" w:lineRule="auto"/>
        <w:ind w:right="-159"/>
        <w:jc w:val="both"/>
        <w:rPr>
          <w:sz w:val="26"/>
          <w:szCs w:val="26"/>
          <w:lang w:val="es-ES"/>
        </w:rPr>
      </w:pPr>
      <w:r w:rsidRPr="002D4D48">
        <w:rPr>
          <w:sz w:val="26"/>
          <w:szCs w:val="26"/>
          <w:lang w:val="es-ES"/>
        </w:rPr>
        <w:t>La relación estadística entre la tasa de crecimiento</w:t>
      </w:r>
      <w:r>
        <w:rPr>
          <w:sz w:val="26"/>
          <w:szCs w:val="26"/>
          <w:lang w:val="es-ES"/>
        </w:rPr>
        <w:t xml:space="preserve"> </w:t>
      </w:r>
      <w:r w:rsidRPr="002D4D48">
        <w:rPr>
          <w:sz w:val="26"/>
          <w:szCs w:val="26"/>
          <w:lang w:val="es-ES"/>
        </w:rPr>
        <w:t>promedio del PIB per cápita de las entidades</w:t>
      </w:r>
      <w:r>
        <w:rPr>
          <w:sz w:val="26"/>
          <w:szCs w:val="26"/>
          <w:lang w:val="es-ES"/>
        </w:rPr>
        <w:t xml:space="preserve"> </w:t>
      </w:r>
      <w:r w:rsidRPr="002D4D48">
        <w:rPr>
          <w:sz w:val="26"/>
          <w:szCs w:val="26"/>
          <w:lang w:val="es-ES"/>
        </w:rPr>
        <w:t>federativas en el per</w:t>
      </w:r>
      <w:r>
        <w:rPr>
          <w:sz w:val="26"/>
          <w:szCs w:val="26"/>
          <w:lang w:val="es-ES"/>
        </w:rPr>
        <w:t>í</w:t>
      </w:r>
      <w:r w:rsidRPr="002D4D48">
        <w:rPr>
          <w:sz w:val="26"/>
          <w:szCs w:val="26"/>
          <w:lang w:val="es-ES"/>
        </w:rPr>
        <w:t>odo 2006-2013 y el tiempo</w:t>
      </w:r>
      <w:r>
        <w:rPr>
          <w:sz w:val="26"/>
          <w:szCs w:val="26"/>
          <w:lang w:val="es-ES"/>
        </w:rPr>
        <w:t xml:space="preserve"> </w:t>
      </w:r>
      <w:r w:rsidRPr="002D4D48">
        <w:rPr>
          <w:sz w:val="26"/>
          <w:szCs w:val="26"/>
          <w:lang w:val="es-ES"/>
        </w:rPr>
        <w:t>promedio que tomó resolver conflictos comerciales en</w:t>
      </w:r>
      <w:r>
        <w:rPr>
          <w:sz w:val="26"/>
          <w:szCs w:val="26"/>
          <w:lang w:val="es-ES"/>
        </w:rPr>
        <w:t xml:space="preserve"> </w:t>
      </w:r>
      <w:r w:rsidRPr="002D4D48">
        <w:rPr>
          <w:sz w:val="26"/>
          <w:szCs w:val="26"/>
          <w:lang w:val="es-ES"/>
        </w:rPr>
        <w:t>ellas durante ese per</w:t>
      </w:r>
      <w:r>
        <w:rPr>
          <w:sz w:val="26"/>
          <w:szCs w:val="26"/>
          <w:lang w:val="es-ES"/>
        </w:rPr>
        <w:t>í</w:t>
      </w:r>
      <w:r w:rsidRPr="002D4D48">
        <w:rPr>
          <w:sz w:val="26"/>
          <w:szCs w:val="26"/>
          <w:lang w:val="es-ES"/>
        </w:rPr>
        <w:t xml:space="preserve">odo se muestra en la </w:t>
      </w:r>
      <w:r>
        <w:rPr>
          <w:sz w:val="26"/>
          <w:szCs w:val="26"/>
          <w:lang w:val="es-ES"/>
        </w:rPr>
        <w:t>g</w:t>
      </w:r>
      <w:r w:rsidRPr="002D4D48">
        <w:rPr>
          <w:sz w:val="26"/>
          <w:szCs w:val="26"/>
          <w:lang w:val="es-ES"/>
        </w:rPr>
        <w:t>ráfica</w:t>
      </w:r>
      <w:r>
        <w:rPr>
          <w:sz w:val="26"/>
          <w:szCs w:val="26"/>
          <w:lang w:val="es-ES"/>
        </w:rPr>
        <w:t xml:space="preserve"> siguiente</w:t>
      </w:r>
      <w:r w:rsidRPr="002D4D48">
        <w:rPr>
          <w:sz w:val="26"/>
          <w:szCs w:val="26"/>
          <w:lang w:val="es-ES"/>
        </w:rPr>
        <w:t>.</w:t>
      </w:r>
    </w:p>
    <w:p w14:paraId="57059DE0" w14:textId="77777777" w:rsidR="00BC6B56" w:rsidRDefault="00BC6B56" w:rsidP="00BC6B56">
      <w:pPr>
        <w:spacing w:after="360" w:line="360" w:lineRule="auto"/>
        <w:ind w:right="-159"/>
        <w:jc w:val="both"/>
        <w:rPr>
          <w:sz w:val="26"/>
          <w:szCs w:val="26"/>
          <w:lang w:val="es-ES"/>
        </w:rPr>
      </w:pPr>
      <w:r w:rsidRPr="002D4D48">
        <w:rPr>
          <w:sz w:val="26"/>
          <w:szCs w:val="26"/>
          <w:lang w:val="es-ES"/>
        </w:rPr>
        <w:t>Se puede observar una clara vinculación negativa entre</w:t>
      </w:r>
      <w:r>
        <w:rPr>
          <w:sz w:val="26"/>
          <w:szCs w:val="26"/>
          <w:lang w:val="es-ES"/>
        </w:rPr>
        <w:t xml:space="preserve"> </w:t>
      </w:r>
      <w:r w:rsidRPr="002D4D48">
        <w:rPr>
          <w:sz w:val="26"/>
          <w:szCs w:val="26"/>
          <w:lang w:val="es-ES"/>
        </w:rPr>
        <w:t>las dos variables, lo cual es congruente con la hipótesis</w:t>
      </w:r>
      <w:r>
        <w:rPr>
          <w:sz w:val="26"/>
          <w:szCs w:val="26"/>
          <w:lang w:val="es-ES"/>
        </w:rPr>
        <w:t xml:space="preserve"> </w:t>
      </w:r>
      <w:r w:rsidRPr="002D4D48">
        <w:rPr>
          <w:sz w:val="26"/>
          <w:szCs w:val="26"/>
          <w:lang w:val="es-ES"/>
        </w:rPr>
        <w:t>de que la mayor duración de los juicios mercantiles</w:t>
      </w:r>
      <w:r>
        <w:rPr>
          <w:sz w:val="26"/>
          <w:szCs w:val="26"/>
          <w:lang w:val="es-ES"/>
        </w:rPr>
        <w:t xml:space="preserve"> </w:t>
      </w:r>
      <w:r w:rsidRPr="002D4D48">
        <w:rPr>
          <w:sz w:val="26"/>
          <w:szCs w:val="26"/>
          <w:lang w:val="es-ES"/>
        </w:rPr>
        <w:t>tiene un efecto desfavorable sobre la actividad</w:t>
      </w:r>
      <w:r>
        <w:rPr>
          <w:sz w:val="26"/>
          <w:szCs w:val="26"/>
          <w:lang w:val="es-ES"/>
        </w:rPr>
        <w:t xml:space="preserve"> </w:t>
      </w:r>
      <w:r w:rsidRPr="002D4D48">
        <w:rPr>
          <w:sz w:val="26"/>
          <w:szCs w:val="26"/>
          <w:lang w:val="es-ES"/>
        </w:rPr>
        <w:t>económica de las empresas a través de un incremento</w:t>
      </w:r>
      <w:r>
        <w:rPr>
          <w:sz w:val="26"/>
          <w:szCs w:val="26"/>
          <w:lang w:val="es-ES"/>
        </w:rPr>
        <w:t xml:space="preserve"> </w:t>
      </w:r>
      <w:r w:rsidRPr="002D4D48">
        <w:rPr>
          <w:sz w:val="26"/>
          <w:szCs w:val="26"/>
          <w:lang w:val="es-ES"/>
        </w:rPr>
        <w:t>en sus costos, que se refleja en su desempeño y, por</w:t>
      </w:r>
      <w:r>
        <w:rPr>
          <w:sz w:val="26"/>
          <w:szCs w:val="26"/>
          <w:lang w:val="es-ES"/>
        </w:rPr>
        <w:t xml:space="preserve"> </w:t>
      </w:r>
      <w:r w:rsidRPr="002D4D48">
        <w:rPr>
          <w:sz w:val="26"/>
          <w:szCs w:val="26"/>
          <w:lang w:val="es-ES"/>
        </w:rPr>
        <w:t>ende, en el de las e</w:t>
      </w:r>
      <w:r>
        <w:rPr>
          <w:sz w:val="26"/>
          <w:szCs w:val="26"/>
          <w:lang w:val="es-ES"/>
        </w:rPr>
        <w:t>ntidades donde éstas se ubican.</w:t>
      </w:r>
      <w:r>
        <w:rPr>
          <w:rStyle w:val="Refdenotaalpie"/>
          <w:sz w:val="26"/>
          <w:szCs w:val="26"/>
          <w:lang w:val="es-ES"/>
        </w:rPr>
        <w:footnoteReference w:id="11"/>
      </w:r>
      <w:r>
        <w:rPr>
          <w:sz w:val="26"/>
          <w:szCs w:val="26"/>
          <w:lang w:val="es-ES"/>
        </w:rPr>
        <w:t xml:space="preserve"> </w:t>
      </w:r>
      <w:r w:rsidRPr="002D4D48">
        <w:rPr>
          <w:sz w:val="26"/>
          <w:szCs w:val="26"/>
          <w:lang w:val="es-ES"/>
        </w:rPr>
        <w:t>Dicha relación se mantiene aun controlando por el PIB</w:t>
      </w:r>
      <w:r>
        <w:rPr>
          <w:sz w:val="26"/>
          <w:szCs w:val="26"/>
          <w:lang w:val="es-ES"/>
        </w:rPr>
        <w:t xml:space="preserve"> </w:t>
      </w:r>
      <w:r w:rsidRPr="002D4D48">
        <w:rPr>
          <w:sz w:val="26"/>
          <w:szCs w:val="26"/>
          <w:lang w:val="es-ES"/>
        </w:rPr>
        <w:t>per cápita de la entid</w:t>
      </w:r>
      <w:r>
        <w:rPr>
          <w:sz w:val="26"/>
          <w:szCs w:val="26"/>
          <w:lang w:val="es-ES"/>
        </w:rPr>
        <w:t>ad federativa al inicio del perí</w:t>
      </w:r>
      <w:r w:rsidRPr="002D4D48">
        <w:rPr>
          <w:sz w:val="26"/>
          <w:szCs w:val="26"/>
          <w:lang w:val="es-ES"/>
        </w:rPr>
        <w:t>odo</w:t>
      </w:r>
      <w:r>
        <w:rPr>
          <w:sz w:val="26"/>
          <w:szCs w:val="26"/>
          <w:lang w:val="es-ES"/>
        </w:rPr>
        <w:t xml:space="preserve"> </w:t>
      </w:r>
      <w:r w:rsidRPr="002D4D48">
        <w:rPr>
          <w:sz w:val="26"/>
          <w:szCs w:val="26"/>
          <w:lang w:val="es-ES"/>
        </w:rPr>
        <w:t>estudiado (2006), así como por un índice que captura</w:t>
      </w:r>
      <w:r>
        <w:rPr>
          <w:sz w:val="26"/>
          <w:szCs w:val="26"/>
          <w:lang w:val="es-ES"/>
        </w:rPr>
        <w:t xml:space="preserve"> </w:t>
      </w:r>
      <w:r w:rsidRPr="002D4D48">
        <w:rPr>
          <w:sz w:val="26"/>
          <w:szCs w:val="26"/>
          <w:lang w:val="es-ES"/>
        </w:rPr>
        <w:t>el nivel de desarrollo de la entidad en términos de</w:t>
      </w:r>
      <w:r>
        <w:rPr>
          <w:sz w:val="26"/>
          <w:szCs w:val="26"/>
          <w:lang w:val="es-ES"/>
        </w:rPr>
        <w:t xml:space="preserve"> </w:t>
      </w:r>
      <w:r w:rsidRPr="002D4D48">
        <w:rPr>
          <w:sz w:val="26"/>
          <w:szCs w:val="26"/>
          <w:lang w:val="es-ES"/>
        </w:rPr>
        <w:t>diferentes indicadores</w:t>
      </w:r>
      <w:r>
        <w:rPr>
          <w:sz w:val="26"/>
          <w:szCs w:val="26"/>
          <w:lang w:val="es-ES"/>
        </w:rPr>
        <w:t xml:space="preserve"> sociales y de infraestructura.</w:t>
      </w:r>
      <w:r>
        <w:rPr>
          <w:rStyle w:val="Refdenotaalpie"/>
          <w:sz w:val="26"/>
          <w:szCs w:val="26"/>
          <w:lang w:val="es-ES"/>
        </w:rPr>
        <w:footnoteReference w:id="12"/>
      </w:r>
      <w:r>
        <w:rPr>
          <w:sz w:val="26"/>
          <w:szCs w:val="26"/>
          <w:lang w:val="es-ES"/>
        </w:rPr>
        <w:t xml:space="preserve"> </w:t>
      </w:r>
      <w:r w:rsidRPr="002D4D48">
        <w:rPr>
          <w:sz w:val="26"/>
          <w:szCs w:val="26"/>
          <w:lang w:val="es-ES"/>
        </w:rPr>
        <w:t>Esta evidencia está en línea con lo argumentado por</w:t>
      </w:r>
      <w:r>
        <w:rPr>
          <w:sz w:val="26"/>
          <w:szCs w:val="26"/>
          <w:lang w:val="es-ES"/>
        </w:rPr>
        <w:t xml:space="preserve"> </w:t>
      </w:r>
      <w:r w:rsidRPr="002D4D48">
        <w:rPr>
          <w:sz w:val="26"/>
          <w:szCs w:val="26"/>
          <w:lang w:val="es-ES"/>
        </w:rPr>
        <w:t>North (1990), quien afirma que un sistema judicial</w:t>
      </w:r>
      <w:r>
        <w:rPr>
          <w:sz w:val="26"/>
          <w:szCs w:val="26"/>
          <w:lang w:val="es-ES"/>
        </w:rPr>
        <w:t xml:space="preserve"> </w:t>
      </w:r>
      <w:r w:rsidRPr="002D4D48">
        <w:rPr>
          <w:sz w:val="26"/>
          <w:szCs w:val="26"/>
          <w:lang w:val="es-ES"/>
        </w:rPr>
        <w:t>eficaz para hacer cumplir contratos es un determinante</w:t>
      </w:r>
      <w:r>
        <w:rPr>
          <w:sz w:val="26"/>
          <w:szCs w:val="26"/>
          <w:lang w:val="es-ES"/>
        </w:rPr>
        <w:t xml:space="preserve"> </w:t>
      </w:r>
      <w:r w:rsidRPr="002D4D48">
        <w:rPr>
          <w:sz w:val="26"/>
          <w:szCs w:val="26"/>
          <w:lang w:val="es-ES"/>
        </w:rPr>
        <w:t>del desempeño económico.</w:t>
      </w:r>
    </w:p>
    <w:p w14:paraId="1A2A3F7B" w14:textId="77777777" w:rsidR="00DF77F2" w:rsidRDefault="00DF77F2" w:rsidP="00BC6B56">
      <w:pPr>
        <w:spacing w:after="360" w:line="360" w:lineRule="auto"/>
        <w:ind w:right="-159"/>
        <w:jc w:val="both"/>
        <w:rPr>
          <w:sz w:val="26"/>
          <w:szCs w:val="26"/>
          <w:lang w:val="es-ES"/>
        </w:rPr>
      </w:pPr>
    </w:p>
    <w:p w14:paraId="61D209CE" w14:textId="77777777" w:rsidR="00DF77F2" w:rsidRDefault="00DF77F2" w:rsidP="00BC6B56">
      <w:pPr>
        <w:spacing w:after="360" w:line="360" w:lineRule="auto"/>
        <w:ind w:right="-159"/>
        <w:jc w:val="both"/>
        <w:rPr>
          <w:sz w:val="26"/>
          <w:szCs w:val="26"/>
          <w:lang w:val="es-ES"/>
        </w:rPr>
      </w:pPr>
    </w:p>
    <w:p w14:paraId="51CEFF8C" w14:textId="77777777" w:rsidR="00DF77F2" w:rsidRDefault="00DF77F2" w:rsidP="00BC6B56">
      <w:pPr>
        <w:spacing w:after="360" w:line="360" w:lineRule="auto"/>
        <w:ind w:right="-159"/>
        <w:jc w:val="both"/>
        <w:rPr>
          <w:sz w:val="26"/>
          <w:szCs w:val="26"/>
          <w:lang w:val="es-ES"/>
        </w:rPr>
      </w:pPr>
    </w:p>
    <w:tbl>
      <w:tblPr>
        <w:tblStyle w:val="Tablaconcuadrcula"/>
        <w:tblW w:w="920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09"/>
      </w:tblGrid>
      <w:tr w:rsidR="00BC6B56" w:rsidRPr="00200185" w14:paraId="2B61E2FC" w14:textId="77777777" w:rsidTr="00447800">
        <w:trPr>
          <w:jc w:val="center"/>
        </w:trPr>
        <w:tc>
          <w:tcPr>
            <w:tcW w:w="9209" w:type="dxa"/>
          </w:tcPr>
          <w:p w14:paraId="4C95C9F9" w14:textId="77777777" w:rsidR="00DF77F2" w:rsidRDefault="00DF77F2" w:rsidP="00447800">
            <w:pPr>
              <w:jc w:val="center"/>
              <w:rPr>
                <w:b/>
                <w:szCs w:val="26"/>
                <w:lang w:val="es-ES"/>
              </w:rPr>
            </w:pPr>
          </w:p>
          <w:p w14:paraId="503B42AD" w14:textId="77777777" w:rsidR="00DF77F2" w:rsidRDefault="00DF77F2" w:rsidP="00447800">
            <w:pPr>
              <w:jc w:val="center"/>
              <w:rPr>
                <w:b/>
                <w:szCs w:val="26"/>
                <w:lang w:val="es-ES"/>
              </w:rPr>
            </w:pPr>
          </w:p>
          <w:p w14:paraId="0D867DE2" w14:textId="77777777" w:rsidR="00BC6B56" w:rsidRPr="00604CF9" w:rsidRDefault="00BC6B56" w:rsidP="00447800">
            <w:pPr>
              <w:jc w:val="center"/>
              <w:rPr>
                <w:b/>
                <w:szCs w:val="26"/>
                <w:lang w:val="es-ES"/>
              </w:rPr>
            </w:pPr>
            <w:r w:rsidRPr="00604CF9">
              <w:rPr>
                <w:b/>
                <w:szCs w:val="26"/>
                <w:lang w:val="es-ES"/>
              </w:rPr>
              <w:lastRenderedPageBreak/>
              <w:t>TASA DE CRECIMIENTO DEL PIB PER CÁPITA Y TIEMPO</w:t>
            </w:r>
          </w:p>
          <w:p w14:paraId="7B9802F7" w14:textId="77777777" w:rsidR="00BC6B56" w:rsidRPr="00604CF9" w:rsidRDefault="00BC6B56" w:rsidP="00447800">
            <w:pPr>
              <w:jc w:val="center"/>
              <w:rPr>
                <w:b/>
                <w:szCs w:val="26"/>
                <w:lang w:val="es-ES"/>
              </w:rPr>
            </w:pPr>
            <w:r w:rsidRPr="00604CF9">
              <w:rPr>
                <w:b/>
                <w:szCs w:val="26"/>
                <w:lang w:val="es-ES"/>
              </w:rPr>
              <w:t>PROMEDIO QUE TOMA RESOLVER UNA DISPUTA COMERCIAL:</w:t>
            </w:r>
          </w:p>
          <w:p w14:paraId="11B6C2F5" w14:textId="77777777" w:rsidR="00BC6B56" w:rsidRPr="00200185" w:rsidRDefault="00BC6B56" w:rsidP="00447800">
            <w:pPr>
              <w:jc w:val="center"/>
              <w:rPr>
                <w:b/>
                <w:szCs w:val="26"/>
                <w:lang w:val="es-ES"/>
              </w:rPr>
            </w:pPr>
            <w:r>
              <w:rPr>
                <w:b/>
                <w:szCs w:val="26"/>
                <w:lang w:val="es-ES"/>
              </w:rPr>
              <w:t>-</w:t>
            </w:r>
            <w:r w:rsidRPr="00604CF9">
              <w:rPr>
                <w:b/>
                <w:szCs w:val="26"/>
                <w:lang w:val="es-ES"/>
              </w:rPr>
              <w:t>Entidades Federativas, 2006-2013</w:t>
            </w:r>
            <w:r w:rsidRPr="00604CF9">
              <w:rPr>
                <w:b/>
                <w:szCs w:val="26"/>
                <w:u w:val="single"/>
                <w:vertAlign w:val="superscript"/>
                <w:lang w:val="es-ES"/>
              </w:rPr>
              <w:t>1</w:t>
            </w:r>
            <w:r w:rsidRPr="00604CF9">
              <w:rPr>
                <w:b/>
                <w:szCs w:val="26"/>
                <w:vertAlign w:val="superscript"/>
                <w:lang w:val="es-ES"/>
              </w:rPr>
              <w:t>/</w:t>
            </w:r>
            <w:r>
              <w:rPr>
                <w:b/>
                <w:szCs w:val="26"/>
                <w:lang w:val="es-ES"/>
              </w:rPr>
              <w:t>-</w:t>
            </w:r>
          </w:p>
        </w:tc>
      </w:tr>
      <w:tr w:rsidR="00BC6B56" w:rsidRPr="00DB2C4F" w14:paraId="6CA47AA2" w14:textId="77777777" w:rsidTr="00447800">
        <w:trPr>
          <w:jc w:val="center"/>
        </w:trPr>
        <w:tc>
          <w:tcPr>
            <w:tcW w:w="9209" w:type="dxa"/>
          </w:tcPr>
          <w:p w14:paraId="654D96F1" w14:textId="77777777" w:rsidR="00BC6B56" w:rsidRPr="00DB2C4F" w:rsidRDefault="00BC6B56" w:rsidP="00447800">
            <w:pPr>
              <w:jc w:val="center"/>
              <w:rPr>
                <w:szCs w:val="26"/>
                <w:lang w:val="es-ES"/>
              </w:rPr>
            </w:pPr>
            <w:r w:rsidRPr="00D6239B">
              <w:rPr>
                <w:noProof/>
                <w:szCs w:val="26"/>
                <w:lang w:eastAsia="es-MX"/>
              </w:rPr>
              <w:lastRenderedPageBreak/>
              <w:drawing>
                <wp:inline distT="0" distB="0" distL="0" distR="0" wp14:anchorId="7CEBF868" wp14:editId="03A5A991">
                  <wp:extent cx="5476097" cy="3060000"/>
                  <wp:effectExtent l="0" t="0" r="0" b="7620"/>
                  <wp:docPr id="1684" name="Imagen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t="5918" b="1166"/>
                          <a:stretch/>
                        </pic:blipFill>
                        <pic:spPr bwMode="auto">
                          <a:xfrm>
                            <a:off x="0" y="0"/>
                            <a:ext cx="5476097" cy="30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C6B56" w:rsidRPr="00DB2C4F" w14:paraId="496394D2" w14:textId="77777777" w:rsidTr="00447800">
        <w:trPr>
          <w:jc w:val="center"/>
        </w:trPr>
        <w:tc>
          <w:tcPr>
            <w:tcW w:w="9209" w:type="dxa"/>
          </w:tcPr>
          <w:p w14:paraId="7D0185F2" w14:textId="77777777" w:rsidR="00BC6B56" w:rsidRPr="00D6239B" w:rsidRDefault="00BC6B56" w:rsidP="00447800">
            <w:pPr>
              <w:ind w:left="1110" w:right="1021" w:hanging="225"/>
              <w:jc w:val="both"/>
              <w:rPr>
                <w:sz w:val="20"/>
                <w:szCs w:val="26"/>
                <w:lang w:val="es-ES"/>
              </w:rPr>
            </w:pPr>
            <w:r w:rsidRPr="00D6239B">
              <w:rPr>
                <w:sz w:val="20"/>
                <w:szCs w:val="26"/>
                <w:u w:val="single"/>
                <w:lang w:val="es-ES"/>
              </w:rPr>
              <w:t>1</w:t>
            </w:r>
            <w:r w:rsidRPr="00D6239B">
              <w:rPr>
                <w:sz w:val="20"/>
                <w:szCs w:val="26"/>
                <w:lang w:val="es-ES"/>
              </w:rPr>
              <w:t>/ La tasa de crecimiento es la del PIB de las entidades federativas sin</w:t>
            </w:r>
            <w:r>
              <w:rPr>
                <w:sz w:val="20"/>
                <w:szCs w:val="26"/>
                <w:lang w:val="es-ES"/>
              </w:rPr>
              <w:t xml:space="preserve"> </w:t>
            </w:r>
            <w:r w:rsidRPr="00D6239B">
              <w:rPr>
                <w:sz w:val="20"/>
                <w:szCs w:val="26"/>
                <w:lang w:val="es-ES"/>
              </w:rPr>
              <w:t>petróleo. El estadístico entre paréntesis corresponde al error</w:t>
            </w:r>
            <w:r>
              <w:rPr>
                <w:sz w:val="20"/>
                <w:szCs w:val="26"/>
                <w:lang w:val="es-ES"/>
              </w:rPr>
              <w:t xml:space="preserve"> </w:t>
            </w:r>
            <w:r w:rsidRPr="00D6239B">
              <w:rPr>
                <w:sz w:val="20"/>
                <w:szCs w:val="26"/>
                <w:lang w:val="es-ES"/>
              </w:rPr>
              <w:t>estándar robusto del coeficiente.</w:t>
            </w:r>
          </w:p>
          <w:p w14:paraId="3E7C80BC" w14:textId="77777777" w:rsidR="00BC6B56" w:rsidRPr="00DB2C4F" w:rsidRDefault="00BC6B56" w:rsidP="00447800">
            <w:pPr>
              <w:ind w:left="1110" w:right="1021" w:hanging="225"/>
              <w:jc w:val="both"/>
              <w:rPr>
                <w:sz w:val="20"/>
                <w:szCs w:val="26"/>
                <w:lang w:val="es-ES"/>
              </w:rPr>
            </w:pPr>
            <w:r w:rsidRPr="00D6239B">
              <w:rPr>
                <w:sz w:val="20"/>
                <w:szCs w:val="26"/>
                <w:lang w:val="es-ES"/>
              </w:rPr>
              <w:t>FUENTE: Estimación del Banco de México con datos del Banco</w:t>
            </w:r>
            <w:r>
              <w:rPr>
                <w:sz w:val="20"/>
                <w:szCs w:val="26"/>
                <w:lang w:val="es-ES"/>
              </w:rPr>
              <w:t xml:space="preserve"> </w:t>
            </w:r>
            <w:r w:rsidRPr="00D6239B">
              <w:rPr>
                <w:sz w:val="20"/>
                <w:szCs w:val="26"/>
                <w:lang w:val="es-ES"/>
              </w:rPr>
              <w:t>Mundial, del Consejo Nacional de Población (CONAPO) e</w:t>
            </w:r>
            <w:r>
              <w:rPr>
                <w:sz w:val="20"/>
                <w:szCs w:val="26"/>
                <w:lang w:val="es-ES"/>
              </w:rPr>
              <w:t xml:space="preserve"> </w:t>
            </w:r>
            <w:r w:rsidRPr="00D6239B">
              <w:rPr>
                <w:sz w:val="20"/>
                <w:szCs w:val="26"/>
                <w:lang w:val="es-ES"/>
              </w:rPr>
              <w:t>INEGI.</w:t>
            </w:r>
          </w:p>
        </w:tc>
      </w:tr>
    </w:tbl>
    <w:p w14:paraId="0C51250B" w14:textId="77777777" w:rsidR="00BC6B56" w:rsidRDefault="00BC6B56" w:rsidP="00BC6B56">
      <w:pPr>
        <w:spacing w:after="360" w:line="360" w:lineRule="auto"/>
        <w:ind w:right="-159"/>
        <w:jc w:val="both"/>
        <w:rPr>
          <w:sz w:val="26"/>
          <w:szCs w:val="26"/>
          <w:lang w:val="es-ES"/>
        </w:rPr>
      </w:pPr>
    </w:p>
    <w:p w14:paraId="2006C7ED" w14:textId="77777777" w:rsidR="00BC6B56" w:rsidRPr="003B4835" w:rsidRDefault="00BC6B56" w:rsidP="00BC6B56">
      <w:pPr>
        <w:spacing w:after="360" w:line="360" w:lineRule="auto"/>
        <w:ind w:right="-159"/>
        <w:jc w:val="both"/>
        <w:rPr>
          <w:b/>
          <w:sz w:val="26"/>
          <w:szCs w:val="26"/>
          <w:lang w:val="es-ES"/>
        </w:rPr>
      </w:pPr>
      <w:r w:rsidRPr="007F38D6">
        <w:rPr>
          <w:b/>
          <w:sz w:val="26"/>
          <w:szCs w:val="26"/>
          <w:lang w:val="es-ES"/>
        </w:rPr>
        <w:t>4. Consideraciones Finales</w:t>
      </w:r>
    </w:p>
    <w:p w14:paraId="3F309A07" w14:textId="77777777" w:rsidR="00BC6B56" w:rsidRDefault="00BC6B56" w:rsidP="00BC6B56">
      <w:pPr>
        <w:spacing w:after="360" w:line="360" w:lineRule="auto"/>
        <w:ind w:right="-159"/>
        <w:jc w:val="both"/>
        <w:rPr>
          <w:sz w:val="26"/>
          <w:szCs w:val="26"/>
          <w:lang w:val="es-ES"/>
        </w:rPr>
      </w:pPr>
      <w:r w:rsidRPr="002D4D48">
        <w:rPr>
          <w:sz w:val="26"/>
          <w:szCs w:val="26"/>
          <w:lang w:val="es-ES"/>
        </w:rPr>
        <w:t>Los datos y las estimaciones presentadas en este</w:t>
      </w:r>
      <w:r>
        <w:rPr>
          <w:sz w:val="26"/>
          <w:szCs w:val="26"/>
          <w:lang w:val="es-ES"/>
        </w:rPr>
        <w:t xml:space="preserve"> </w:t>
      </w:r>
      <w:r w:rsidRPr="002D4D48">
        <w:rPr>
          <w:sz w:val="26"/>
          <w:szCs w:val="26"/>
          <w:lang w:val="es-ES"/>
        </w:rPr>
        <w:t>Recuadro ilustran la importancia que para el desarrollo</w:t>
      </w:r>
      <w:r>
        <w:rPr>
          <w:sz w:val="26"/>
          <w:szCs w:val="26"/>
          <w:lang w:val="es-ES"/>
        </w:rPr>
        <w:t xml:space="preserve"> </w:t>
      </w:r>
      <w:r w:rsidRPr="002D4D48">
        <w:rPr>
          <w:sz w:val="26"/>
          <w:szCs w:val="26"/>
          <w:lang w:val="es-ES"/>
        </w:rPr>
        <w:t>económico de las regiones tienen las instituciones, en</w:t>
      </w:r>
      <w:r>
        <w:rPr>
          <w:sz w:val="26"/>
          <w:szCs w:val="26"/>
          <w:lang w:val="es-ES"/>
        </w:rPr>
        <w:t xml:space="preserve"> </w:t>
      </w:r>
      <w:r w:rsidRPr="002D4D48">
        <w:rPr>
          <w:sz w:val="26"/>
          <w:szCs w:val="26"/>
          <w:lang w:val="es-ES"/>
        </w:rPr>
        <w:t>particular el fortalecimiento del estado de derecho. Las</w:t>
      </w:r>
      <w:r>
        <w:rPr>
          <w:sz w:val="26"/>
          <w:szCs w:val="26"/>
          <w:lang w:val="es-ES"/>
        </w:rPr>
        <w:t xml:space="preserve"> </w:t>
      </w:r>
      <w:r w:rsidRPr="002D4D48">
        <w:rPr>
          <w:sz w:val="26"/>
          <w:szCs w:val="26"/>
          <w:lang w:val="es-ES"/>
        </w:rPr>
        <w:t>diferencias que se observan entre las entidades</w:t>
      </w:r>
      <w:r>
        <w:rPr>
          <w:sz w:val="26"/>
          <w:szCs w:val="26"/>
          <w:lang w:val="es-ES"/>
        </w:rPr>
        <w:t xml:space="preserve"> </w:t>
      </w:r>
      <w:r w:rsidRPr="002D4D48">
        <w:rPr>
          <w:sz w:val="26"/>
          <w:szCs w:val="26"/>
          <w:lang w:val="es-ES"/>
        </w:rPr>
        <w:t>federativas y regiones del país en el tiempo de</w:t>
      </w:r>
      <w:r>
        <w:rPr>
          <w:sz w:val="26"/>
          <w:szCs w:val="26"/>
          <w:lang w:val="es-ES"/>
        </w:rPr>
        <w:t xml:space="preserve"> </w:t>
      </w:r>
      <w:r w:rsidRPr="002D4D48">
        <w:rPr>
          <w:sz w:val="26"/>
          <w:szCs w:val="26"/>
          <w:lang w:val="es-ES"/>
        </w:rPr>
        <w:t>resolución de disputas comerciales sugieren que existe</w:t>
      </w:r>
      <w:r>
        <w:rPr>
          <w:sz w:val="26"/>
          <w:szCs w:val="26"/>
          <w:lang w:val="es-ES"/>
        </w:rPr>
        <w:t xml:space="preserve"> </w:t>
      </w:r>
      <w:r w:rsidRPr="002D4D48">
        <w:rPr>
          <w:sz w:val="26"/>
          <w:szCs w:val="26"/>
          <w:lang w:val="es-ES"/>
        </w:rPr>
        <w:t>espacio para alcanzar un mayor crecimiento económico</w:t>
      </w:r>
      <w:r>
        <w:rPr>
          <w:sz w:val="26"/>
          <w:szCs w:val="26"/>
          <w:lang w:val="es-ES"/>
        </w:rPr>
        <w:t xml:space="preserve"> </w:t>
      </w:r>
      <w:r w:rsidRPr="002D4D48">
        <w:rPr>
          <w:sz w:val="26"/>
          <w:szCs w:val="26"/>
          <w:lang w:val="es-ES"/>
        </w:rPr>
        <w:t>implementando mejoras en esta dimensión de las</w:t>
      </w:r>
      <w:r>
        <w:rPr>
          <w:sz w:val="26"/>
          <w:szCs w:val="26"/>
          <w:lang w:val="es-ES"/>
        </w:rPr>
        <w:t xml:space="preserve"> </w:t>
      </w:r>
      <w:r w:rsidRPr="002D4D48">
        <w:rPr>
          <w:sz w:val="26"/>
          <w:szCs w:val="26"/>
          <w:lang w:val="es-ES"/>
        </w:rPr>
        <w:t>políticas públicas. Por ello, es necesario continuar</w:t>
      </w:r>
      <w:r>
        <w:rPr>
          <w:sz w:val="26"/>
          <w:szCs w:val="26"/>
          <w:lang w:val="es-ES"/>
        </w:rPr>
        <w:t xml:space="preserve"> </w:t>
      </w:r>
      <w:r w:rsidRPr="002D4D48">
        <w:rPr>
          <w:sz w:val="26"/>
          <w:szCs w:val="26"/>
          <w:lang w:val="es-ES"/>
        </w:rPr>
        <w:t>fortaleciendo las instituciones del país.</w:t>
      </w:r>
    </w:p>
    <w:p w14:paraId="0C79B72D" w14:textId="77777777" w:rsidR="00DF77F2" w:rsidRDefault="00DF77F2" w:rsidP="00BC6B56">
      <w:pPr>
        <w:spacing w:after="360" w:line="360" w:lineRule="auto"/>
        <w:ind w:right="-159"/>
        <w:jc w:val="both"/>
        <w:rPr>
          <w:b/>
          <w:bCs/>
          <w:sz w:val="26"/>
          <w:szCs w:val="26"/>
        </w:rPr>
      </w:pPr>
    </w:p>
    <w:p w14:paraId="3474F90A" w14:textId="77777777" w:rsidR="00DF77F2" w:rsidRDefault="00DF77F2" w:rsidP="00BC6B56">
      <w:pPr>
        <w:spacing w:after="360" w:line="360" w:lineRule="auto"/>
        <w:ind w:right="-159"/>
        <w:jc w:val="both"/>
        <w:rPr>
          <w:b/>
          <w:bCs/>
          <w:sz w:val="26"/>
          <w:szCs w:val="26"/>
        </w:rPr>
      </w:pPr>
    </w:p>
    <w:p w14:paraId="4691CA98" w14:textId="77777777" w:rsidR="00BC6B56" w:rsidRPr="00343977" w:rsidRDefault="00BC6B56" w:rsidP="00BC6B56">
      <w:pPr>
        <w:spacing w:after="360" w:line="360" w:lineRule="auto"/>
        <w:ind w:right="-159"/>
        <w:jc w:val="both"/>
        <w:rPr>
          <w:sz w:val="26"/>
          <w:szCs w:val="26"/>
        </w:rPr>
      </w:pPr>
      <w:r w:rsidRPr="00343977">
        <w:rPr>
          <w:b/>
          <w:bCs/>
          <w:sz w:val="26"/>
          <w:szCs w:val="26"/>
        </w:rPr>
        <w:lastRenderedPageBreak/>
        <w:t xml:space="preserve">Referencias Bibliográficas </w:t>
      </w:r>
    </w:p>
    <w:p w14:paraId="62161111" w14:textId="77777777" w:rsidR="00BC6B56" w:rsidRPr="004A3A0F" w:rsidRDefault="00BC6B56" w:rsidP="00BC6B56">
      <w:pPr>
        <w:spacing w:after="360"/>
        <w:ind w:right="-159"/>
        <w:jc w:val="both"/>
        <w:rPr>
          <w:szCs w:val="26"/>
        </w:rPr>
      </w:pPr>
      <w:r w:rsidRPr="004A3A0F">
        <w:rPr>
          <w:szCs w:val="26"/>
        </w:rPr>
        <w:t xml:space="preserve">Acemoglu D., y J. Robinson (2008). “The Role of Institutions in Growth and Development”, Working Paper 10, World Bank. </w:t>
      </w:r>
    </w:p>
    <w:p w14:paraId="0399AFF1" w14:textId="77777777" w:rsidR="00BC6B56" w:rsidRPr="004A3A0F" w:rsidRDefault="00BC6B56" w:rsidP="00BC6B56">
      <w:pPr>
        <w:spacing w:after="360"/>
        <w:ind w:right="-159"/>
        <w:jc w:val="both"/>
        <w:rPr>
          <w:szCs w:val="26"/>
        </w:rPr>
      </w:pPr>
      <w:r w:rsidRPr="004A3A0F">
        <w:rPr>
          <w:szCs w:val="26"/>
        </w:rPr>
        <w:t xml:space="preserve">Banco Mundial (2007, 2009, 2012, 2014). </w:t>
      </w:r>
      <w:r w:rsidRPr="004A3A0F">
        <w:rPr>
          <w:i/>
          <w:iCs/>
          <w:szCs w:val="26"/>
        </w:rPr>
        <w:t>Doing Business in Mexico</w:t>
      </w:r>
      <w:r w:rsidRPr="004A3A0F">
        <w:rPr>
          <w:szCs w:val="26"/>
        </w:rPr>
        <w:t xml:space="preserve">. </w:t>
      </w:r>
    </w:p>
    <w:p w14:paraId="39FF6035" w14:textId="77777777" w:rsidR="00BC6B56" w:rsidRPr="004A3A0F" w:rsidRDefault="00BC6B56" w:rsidP="00BC6B56">
      <w:pPr>
        <w:spacing w:after="360"/>
        <w:ind w:right="-159"/>
        <w:jc w:val="both"/>
        <w:rPr>
          <w:szCs w:val="26"/>
        </w:rPr>
      </w:pPr>
      <w:r w:rsidRPr="004A3A0F">
        <w:rPr>
          <w:szCs w:val="26"/>
        </w:rPr>
        <w:t xml:space="preserve">Barro, R. (1996). “Democracy and Growth”. </w:t>
      </w:r>
      <w:r w:rsidRPr="004A3A0F">
        <w:rPr>
          <w:i/>
          <w:iCs/>
          <w:szCs w:val="26"/>
        </w:rPr>
        <w:t>Journal of Economic Growth</w:t>
      </w:r>
      <w:r w:rsidRPr="004A3A0F">
        <w:rPr>
          <w:szCs w:val="26"/>
        </w:rPr>
        <w:t xml:space="preserve">, Vol. 1, Issue 1, pp. 1-27. </w:t>
      </w:r>
    </w:p>
    <w:p w14:paraId="151A98D0" w14:textId="77777777" w:rsidR="00BC6B56" w:rsidRPr="004A3A0F" w:rsidRDefault="00BC6B56" w:rsidP="00BC6B56">
      <w:pPr>
        <w:spacing w:after="360"/>
        <w:ind w:right="-159"/>
        <w:jc w:val="both"/>
        <w:rPr>
          <w:szCs w:val="26"/>
        </w:rPr>
      </w:pPr>
      <w:r w:rsidRPr="004A3A0F">
        <w:rPr>
          <w:szCs w:val="26"/>
        </w:rPr>
        <w:t xml:space="preserve">North, D. (1990). </w:t>
      </w:r>
      <w:r w:rsidRPr="004A3A0F">
        <w:rPr>
          <w:i/>
          <w:iCs/>
          <w:szCs w:val="26"/>
        </w:rPr>
        <w:t>Institutions, Institutional Change, and Economic Performance</w:t>
      </w:r>
      <w:r w:rsidRPr="004A3A0F">
        <w:rPr>
          <w:szCs w:val="26"/>
        </w:rPr>
        <w:t xml:space="preserve">. New York: Cambridge University Press. </w:t>
      </w:r>
    </w:p>
    <w:p w14:paraId="386528F2" w14:textId="77777777" w:rsidR="00BC6B56" w:rsidRPr="004A3A0F" w:rsidRDefault="00BC6B56" w:rsidP="00BC6B56">
      <w:pPr>
        <w:spacing w:after="360"/>
        <w:ind w:right="-159"/>
        <w:jc w:val="both"/>
        <w:rPr>
          <w:sz w:val="20"/>
          <w:szCs w:val="20"/>
          <w:lang w:val="es-ES"/>
        </w:rPr>
      </w:pPr>
      <w:r w:rsidRPr="004A3A0F">
        <w:rPr>
          <w:sz w:val="20"/>
          <w:szCs w:val="20"/>
        </w:rPr>
        <w:t>Rodrik D., A. Subramanian y F. Trebbi (2002). “Intitutions Rule: The Primacy of Institutions Over Geography and Integrations in Economic Development”, Working Paper 9305, NBER.</w:t>
      </w:r>
    </w:p>
    <w:p w14:paraId="0682B73F" w14:textId="77777777" w:rsidR="00DF77F2" w:rsidRDefault="00DF77F2" w:rsidP="00BC6B56">
      <w:pPr>
        <w:spacing w:after="360" w:line="360" w:lineRule="auto"/>
        <w:ind w:right="-159"/>
        <w:jc w:val="both"/>
        <w:rPr>
          <w:b/>
          <w:sz w:val="26"/>
          <w:szCs w:val="26"/>
          <w:lang w:val="es-ES"/>
        </w:rPr>
      </w:pPr>
    </w:p>
    <w:p w14:paraId="1BE0AD66" w14:textId="77777777" w:rsidR="00BC6B56" w:rsidRPr="007F38D6" w:rsidRDefault="00BC6B56" w:rsidP="00BC6B56">
      <w:pPr>
        <w:spacing w:after="360" w:line="360" w:lineRule="auto"/>
        <w:ind w:right="-159"/>
        <w:jc w:val="both"/>
        <w:rPr>
          <w:b/>
          <w:sz w:val="26"/>
          <w:szCs w:val="26"/>
          <w:lang w:val="es-ES"/>
        </w:rPr>
      </w:pPr>
      <w:r w:rsidRPr="007F38D6">
        <w:rPr>
          <w:b/>
          <w:sz w:val="26"/>
          <w:szCs w:val="26"/>
          <w:lang w:val="es-ES"/>
        </w:rPr>
        <w:t>3.2 Costo de Insumos, Salarios e Inflación</w:t>
      </w:r>
    </w:p>
    <w:p w14:paraId="1568E199" w14:textId="77777777" w:rsidR="00BC6B56" w:rsidRDefault="00BC6B56" w:rsidP="00BC6B56">
      <w:pPr>
        <w:spacing w:after="360" w:line="360" w:lineRule="auto"/>
        <w:ind w:right="-159"/>
        <w:jc w:val="both"/>
        <w:rPr>
          <w:sz w:val="26"/>
          <w:szCs w:val="26"/>
          <w:lang w:val="es-ES"/>
        </w:rPr>
      </w:pPr>
      <w:r w:rsidRPr="002D4D48">
        <w:rPr>
          <w:sz w:val="26"/>
          <w:szCs w:val="26"/>
          <w:lang w:val="es-ES"/>
        </w:rPr>
        <w:t>En lo que respecta a los precios de venta de los bienes y servicios que</w:t>
      </w:r>
      <w:r>
        <w:rPr>
          <w:sz w:val="26"/>
          <w:szCs w:val="26"/>
          <w:lang w:val="es-ES"/>
        </w:rPr>
        <w:t xml:space="preserve"> </w:t>
      </w:r>
      <w:r w:rsidRPr="002D4D48">
        <w:rPr>
          <w:sz w:val="26"/>
          <w:szCs w:val="26"/>
          <w:lang w:val="es-ES"/>
        </w:rPr>
        <w:t>ofrecen, en todas las regiones los directivos empresariales consultados por</w:t>
      </w:r>
      <w:r>
        <w:rPr>
          <w:sz w:val="26"/>
          <w:szCs w:val="26"/>
          <w:lang w:val="es-ES"/>
        </w:rPr>
        <w:t xml:space="preserve"> </w:t>
      </w:r>
      <w:r w:rsidRPr="002D4D48">
        <w:rPr>
          <w:sz w:val="26"/>
          <w:szCs w:val="26"/>
          <w:lang w:val="es-ES"/>
        </w:rPr>
        <w:t>el Banco de México anticipan, en general, para los próximos doce meses</w:t>
      </w:r>
      <w:r>
        <w:rPr>
          <w:sz w:val="26"/>
          <w:szCs w:val="26"/>
          <w:lang w:val="es-ES"/>
        </w:rPr>
        <w:t xml:space="preserve"> </w:t>
      </w:r>
      <w:r w:rsidRPr="002D4D48">
        <w:rPr>
          <w:sz w:val="26"/>
          <w:szCs w:val="26"/>
          <w:lang w:val="es-ES"/>
        </w:rPr>
        <w:t>variaciones anuales menores a las del año previo. Así, el índice de difusión</w:t>
      </w:r>
      <w:r>
        <w:rPr>
          <w:sz w:val="26"/>
          <w:szCs w:val="26"/>
          <w:lang w:val="es-ES"/>
        </w:rPr>
        <w:t xml:space="preserve"> </w:t>
      </w:r>
      <w:r w:rsidRPr="002D4D48">
        <w:rPr>
          <w:sz w:val="26"/>
          <w:szCs w:val="26"/>
          <w:lang w:val="es-ES"/>
        </w:rPr>
        <w:t>de la tasa de crecimiento esperada de los precios de venta se ubica por</w:t>
      </w:r>
      <w:r>
        <w:rPr>
          <w:sz w:val="26"/>
          <w:szCs w:val="26"/>
          <w:lang w:val="es-ES"/>
        </w:rPr>
        <w:t xml:space="preserve"> </w:t>
      </w:r>
      <w:r w:rsidRPr="002D4D48">
        <w:rPr>
          <w:sz w:val="26"/>
          <w:szCs w:val="26"/>
          <w:lang w:val="es-ES"/>
        </w:rPr>
        <w:t>debajo de 50 (</w:t>
      </w:r>
      <w:r>
        <w:rPr>
          <w:sz w:val="26"/>
          <w:szCs w:val="26"/>
          <w:lang w:val="es-ES"/>
        </w:rPr>
        <w:t>g</w:t>
      </w:r>
      <w:r w:rsidRPr="002D4D48">
        <w:rPr>
          <w:sz w:val="26"/>
          <w:szCs w:val="26"/>
          <w:lang w:val="es-ES"/>
        </w:rPr>
        <w:t>ráfica</w:t>
      </w:r>
      <w:r>
        <w:rPr>
          <w:sz w:val="26"/>
          <w:szCs w:val="26"/>
          <w:lang w:val="es-ES"/>
        </w:rPr>
        <w:t xml:space="preserve"> siguiente, sección a)</w:t>
      </w:r>
      <w:r w:rsidRPr="002D4D48">
        <w:rPr>
          <w:sz w:val="26"/>
          <w:szCs w:val="26"/>
          <w:lang w:val="es-ES"/>
        </w:rPr>
        <w:t>), mientras que los índices de difusión</w:t>
      </w:r>
      <w:r>
        <w:rPr>
          <w:sz w:val="26"/>
          <w:szCs w:val="26"/>
          <w:lang w:val="es-ES"/>
        </w:rPr>
        <w:t xml:space="preserve"> </w:t>
      </w:r>
      <w:r w:rsidRPr="002D4D48">
        <w:rPr>
          <w:sz w:val="26"/>
          <w:szCs w:val="26"/>
          <w:lang w:val="es-ES"/>
        </w:rPr>
        <w:t>correspondientes a la inflación esperada de los precios de insumos y costos</w:t>
      </w:r>
      <w:r>
        <w:rPr>
          <w:sz w:val="26"/>
          <w:szCs w:val="26"/>
          <w:lang w:val="es-ES"/>
        </w:rPr>
        <w:t xml:space="preserve"> </w:t>
      </w:r>
      <w:r w:rsidRPr="002D4D48">
        <w:rPr>
          <w:sz w:val="26"/>
          <w:szCs w:val="26"/>
          <w:lang w:val="es-ES"/>
        </w:rPr>
        <w:t>salariales se acercan a 50 puntos (</w:t>
      </w:r>
      <w:r>
        <w:rPr>
          <w:sz w:val="26"/>
          <w:szCs w:val="26"/>
          <w:lang w:val="es-ES"/>
        </w:rPr>
        <w:t>g</w:t>
      </w:r>
      <w:r w:rsidRPr="002D4D48">
        <w:rPr>
          <w:sz w:val="26"/>
          <w:szCs w:val="26"/>
          <w:lang w:val="es-ES"/>
        </w:rPr>
        <w:t>ráfica</w:t>
      </w:r>
      <w:r>
        <w:rPr>
          <w:sz w:val="26"/>
          <w:szCs w:val="26"/>
          <w:lang w:val="es-ES"/>
        </w:rPr>
        <w:t xml:space="preserve"> siguiente, secciones b) y c)</w:t>
      </w:r>
      <w:r w:rsidRPr="002D4D48">
        <w:rPr>
          <w:sz w:val="26"/>
          <w:szCs w:val="26"/>
          <w:lang w:val="es-ES"/>
        </w:rPr>
        <w:t>). De lo anterior,</w:t>
      </w:r>
      <w:r>
        <w:rPr>
          <w:sz w:val="26"/>
          <w:szCs w:val="26"/>
          <w:lang w:val="es-ES"/>
        </w:rPr>
        <w:t xml:space="preserve"> </w:t>
      </w:r>
      <w:r w:rsidRPr="002D4D48">
        <w:rPr>
          <w:sz w:val="26"/>
          <w:szCs w:val="26"/>
          <w:lang w:val="es-ES"/>
        </w:rPr>
        <w:t>se infiere que sus expectativas para las tasas de crecimiento de los precios</w:t>
      </w:r>
      <w:r>
        <w:rPr>
          <w:sz w:val="26"/>
          <w:szCs w:val="26"/>
          <w:lang w:val="es-ES"/>
        </w:rPr>
        <w:t xml:space="preserve"> </w:t>
      </w:r>
      <w:r w:rsidRPr="002D4D48">
        <w:rPr>
          <w:sz w:val="26"/>
          <w:szCs w:val="26"/>
          <w:lang w:val="es-ES"/>
        </w:rPr>
        <w:t>de sus insumos y costos salariales ubican a éstas en niveles por debajo de</w:t>
      </w:r>
      <w:r>
        <w:rPr>
          <w:sz w:val="26"/>
          <w:szCs w:val="26"/>
          <w:lang w:val="es-ES"/>
        </w:rPr>
        <w:t xml:space="preserve"> </w:t>
      </w:r>
      <w:r w:rsidRPr="002D4D48">
        <w:rPr>
          <w:sz w:val="26"/>
          <w:szCs w:val="26"/>
          <w:lang w:val="es-ES"/>
        </w:rPr>
        <w:t>los registrados el año anterior, aunque cerca de los mismos.</w:t>
      </w:r>
    </w:p>
    <w:p w14:paraId="5FBCB1B8" w14:textId="77777777" w:rsidR="00DF77F2" w:rsidRDefault="00DF77F2" w:rsidP="00BC6B56">
      <w:pPr>
        <w:spacing w:after="360" w:line="360" w:lineRule="auto"/>
        <w:ind w:right="-159"/>
        <w:jc w:val="both"/>
        <w:rPr>
          <w:sz w:val="26"/>
          <w:szCs w:val="26"/>
          <w:lang w:val="es-ES"/>
        </w:rPr>
      </w:pPr>
    </w:p>
    <w:p w14:paraId="64FAC4C5" w14:textId="77777777" w:rsidR="00DF77F2" w:rsidRDefault="00DF77F2" w:rsidP="00BC6B56">
      <w:pPr>
        <w:spacing w:after="360" w:line="360" w:lineRule="auto"/>
        <w:ind w:right="-159"/>
        <w:jc w:val="both"/>
        <w:rPr>
          <w:sz w:val="26"/>
          <w:szCs w:val="26"/>
          <w:lang w:val="es-ES"/>
        </w:rPr>
      </w:pPr>
    </w:p>
    <w:tbl>
      <w:tblPr>
        <w:tblStyle w:val="Tablaconcuadrcula"/>
        <w:tblW w:w="920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849"/>
      </w:tblGrid>
      <w:tr w:rsidR="00BC6B56" w:rsidRPr="00200185" w14:paraId="3B866BA1" w14:textId="77777777" w:rsidTr="00447800">
        <w:trPr>
          <w:jc w:val="center"/>
        </w:trPr>
        <w:tc>
          <w:tcPr>
            <w:tcW w:w="9209" w:type="dxa"/>
          </w:tcPr>
          <w:p w14:paraId="73A35F41" w14:textId="77777777" w:rsidR="00BC6B56" w:rsidRDefault="00BC6B56" w:rsidP="00447800">
            <w:pPr>
              <w:jc w:val="center"/>
              <w:rPr>
                <w:b/>
                <w:szCs w:val="26"/>
                <w:lang w:val="es-ES"/>
              </w:rPr>
            </w:pPr>
            <w:r w:rsidRPr="007B0E51">
              <w:rPr>
                <w:b/>
                <w:szCs w:val="26"/>
                <w:lang w:val="es-ES"/>
              </w:rPr>
              <w:lastRenderedPageBreak/>
              <w:t>EXPECTATIVAS DE DIRECTIVOS EMPRESARIALES: DINÁMICA DE LA</w:t>
            </w:r>
          </w:p>
          <w:p w14:paraId="5D8A350D" w14:textId="77777777" w:rsidR="00BC6B56" w:rsidRDefault="00BC6B56" w:rsidP="00447800">
            <w:pPr>
              <w:jc w:val="center"/>
              <w:rPr>
                <w:b/>
                <w:szCs w:val="26"/>
                <w:lang w:val="es-ES"/>
              </w:rPr>
            </w:pPr>
            <w:r w:rsidRPr="007B0E51">
              <w:rPr>
                <w:b/>
                <w:szCs w:val="26"/>
                <w:lang w:val="es-ES"/>
              </w:rPr>
              <w:t>INFLACIÓN DE SUS PRECIOS DE VENTA,</w:t>
            </w:r>
            <w:r>
              <w:rPr>
                <w:b/>
                <w:szCs w:val="26"/>
                <w:lang w:val="es-ES"/>
              </w:rPr>
              <w:t xml:space="preserve"> </w:t>
            </w:r>
            <w:r w:rsidRPr="007B0E51">
              <w:rPr>
                <w:b/>
                <w:szCs w:val="26"/>
                <w:lang w:val="es-ES"/>
              </w:rPr>
              <w:t>INSUMOS Y COSTOS SALARIALES</w:t>
            </w:r>
          </w:p>
          <w:p w14:paraId="1A22180E" w14:textId="77777777" w:rsidR="00BC6B56" w:rsidRPr="007B0E51" w:rsidRDefault="00BC6B56" w:rsidP="00447800">
            <w:pPr>
              <w:jc w:val="center"/>
              <w:rPr>
                <w:b/>
                <w:szCs w:val="26"/>
                <w:lang w:val="es-ES"/>
              </w:rPr>
            </w:pPr>
            <w:r w:rsidRPr="007B0E51">
              <w:rPr>
                <w:b/>
                <w:szCs w:val="26"/>
                <w:lang w:val="es-ES"/>
              </w:rPr>
              <w:t xml:space="preserve"> EN LOS PRÓXIMOS 12 MESES</w:t>
            </w:r>
            <w:r w:rsidRPr="007B0E51">
              <w:rPr>
                <w:b/>
                <w:szCs w:val="26"/>
                <w:u w:val="single"/>
                <w:vertAlign w:val="superscript"/>
                <w:lang w:val="es-ES"/>
              </w:rPr>
              <w:t>1</w:t>
            </w:r>
            <w:r w:rsidRPr="007B0E51">
              <w:rPr>
                <w:b/>
                <w:szCs w:val="26"/>
                <w:vertAlign w:val="superscript"/>
                <w:lang w:val="es-ES"/>
              </w:rPr>
              <w:t>/</w:t>
            </w:r>
          </w:p>
          <w:p w14:paraId="29018CE1" w14:textId="77777777" w:rsidR="00BC6B56" w:rsidRPr="00200185" w:rsidRDefault="00BC6B56" w:rsidP="00447800">
            <w:pPr>
              <w:jc w:val="center"/>
              <w:rPr>
                <w:b/>
                <w:szCs w:val="26"/>
                <w:lang w:val="es-ES"/>
              </w:rPr>
            </w:pPr>
            <w:r>
              <w:rPr>
                <w:b/>
                <w:szCs w:val="26"/>
                <w:lang w:val="es-ES"/>
              </w:rPr>
              <w:t>-</w:t>
            </w:r>
            <w:r w:rsidRPr="007B0E51">
              <w:rPr>
                <w:b/>
                <w:szCs w:val="26"/>
                <w:lang w:val="es-ES"/>
              </w:rPr>
              <w:t>Índices de difusión</w:t>
            </w:r>
            <w:r>
              <w:rPr>
                <w:b/>
                <w:szCs w:val="26"/>
                <w:lang w:val="es-ES"/>
              </w:rPr>
              <w:t>-</w:t>
            </w:r>
          </w:p>
        </w:tc>
      </w:tr>
      <w:tr w:rsidR="00BC6B56" w:rsidRPr="00DB2C4F" w14:paraId="438C18EB" w14:textId="77777777" w:rsidTr="00447800">
        <w:trPr>
          <w:jc w:val="center"/>
        </w:trPr>
        <w:tc>
          <w:tcPr>
            <w:tcW w:w="9209" w:type="dxa"/>
          </w:tcPr>
          <w:p w14:paraId="2EDBDBCD" w14:textId="77777777" w:rsidR="00BC6B56" w:rsidRPr="00DB2C4F" w:rsidRDefault="00BC6B56" w:rsidP="00447800">
            <w:pPr>
              <w:jc w:val="center"/>
              <w:rPr>
                <w:szCs w:val="26"/>
                <w:lang w:val="es-ES"/>
              </w:rPr>
            </w:pPr>
            <w:r w:rsidRPr="00604CF9">
              <w:rPr>
                <w:noProof/>
                <w:szCs w:val="26"/>
                <w:lang w:eastAsia="es-MX"/>
              </w:rPr>
              <w:drawing>
                <wp:inline distT="0" distB="0" distL="0" distR="0" wp14:anchorId="0566D5DA" wp14:editId="5526CC2F">
                  <wp:extent cx="6752110" cy="2160000"/>
                  <wp:effectExtent l="0" t="0" r="0" b="0"/>
                  <wp:docPr id="1685" name="Imagen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81" cstate="print">
                            <a:extLst>
                              <a:ext uri="{28A0092B-C50C-407E-A947-70E740481C1C}">
                                <a14:useLocalDpi xmlns:a14="http://schemas.microsoft.com/office/drawing/2010/main" val="0"/>
                              </a:ext>
                            </a:extLst>
                          </a:blip>
                          <a:srcRect b="2536"/>
                          <a:stretch/>
                        </pic:blipFill>
                        <pic:spPr bwMode="auto">
                          <a:xfrm>
                            <a:off x="0" y="0"/>
                            <a:ext cx="6752110" cy="21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C6B56" w:rsidRPr="00DB2C4F" w14:paraId="657D4B87" w14:textId="77777777" w:rsidTr="00447800">
        <w:trPr>
          <w:jc w:val="center"/>
        </w:trPr>
        <w:tc>
          <w:tcPr>
            <w:tcW w:w="9209" w:type="dxa"/>
          </w:tcPr>
          <w:p w14:paraId="70A4DA37" w14:textId="77777777" w:rsidR="00BC6B56" w:rsidRDefault="00BC6B56" w:rsidP="00447800">
            <w:pPr>
              <w:ind w:left="1110" w:right="1021" w:hanging="225"/>
              <w:jc w:val="both"/>
              <w:rPr>
                <w:sz w:val="20"/>
                <w:szCs w:val="26"/>
                <w:lang w:val="es-ES"/>
              </w:rPr>
            </w:pPr>
            <w:r w:rsidRPr="009D1D83">
              <w:rPr>
                <w:sz w:val="20"/>
                <w:szCs w:val="26"/>
                <w:u w:val="single"/>
                <w:lang w:val="es-ES"/>
              </w:rPr>
              <w:t>1</w:t>
            </w:r>
            <w:r w:rsidRPr="009D1D83">
              <w:rPr>
                <w:sz w:val="20"/>
                <w:szCs w:val="26"/>
                <w:lang w:val="es-ES"/>
              </w:rPr>
              <w:t>/ Resultados obtenidos de las entrevistas que condujo el Banco de México.</w:t>
            </w:r>
          </w:p>
          <w:p w14:paraId="7F5470EE" w14:textId="77777777" w:rsidR="00BC6B56" w:rsidRPr="00DB2C4F" w:rsidRDefault="00BC6B56" w:rsidP="00447800">
            <w:pPr>
              <w:ind w:left="1110" w:right="1021" w:hanging="225"/>
              <w:jc w:val="both"/>
              <w:rPr>
                <w:sz w:val="20"/>
                <w:szCs w:val="26"/>
                <w:lang w:val="es-ES"/>
              </w:rPr>
            </w:pPr>
            <w:r w:rsidRPr="00343977">
              <w:rPr>
                <w:sz w:val="20"/>
                <w:szCs w:val="26"/>
                <w:lang w:val="es-ES"/>
              </w:rPr>
              <w:t>FUENTE: Banco de México.</w:t>
            </w:r>
          </w:p>
        </w:tc>
      </w:tr>
    </w:tbl>
    <w:p w14:paraId="12C757A2" w14:textId="77777777" w:rsidR="00BC6B56" w:rsidRPr="002D4D48" w:rsidRDefault="00BC6B56" w:rsidP="00BC6B56">
      <w:pPr>
        <w:spacing w:after="360" w:line="360" w:lineRule="auto"/>
        <w:ind w:right="-159"/>
        <w:jc w:val="both"/>
        <w:rPr>
          <w:sz w:val="26"/>
          <w:szCs w:val="26"/>
          <w:lang w:val="es-ES"/>
        </w:rPr>
      </w:pPr>
    </w:p>
    <w:p w14:paraId="04799050" w14:textId="77777777" w:rsidR="00BC6B56" w:rsidRDefault="00BC6B56" w:rsidP="00BC6B56">
      <w:pPr>
        <w:spacing w:after="360" w:line="360" w:lineRule="auto"/>
        <w:ind w:right="-159"/>
        <w:jc w:val="both"/>
        <w:rPr>
          <w:sz w:val="26"/>
          <w:szCs w:val="26"/>
          <w:lang w:val="es-ES"/>
        </w:rPr>
      </w:pPr>
      <w:r w:rsidRPr="002D4D48">
        <w:rPr>
          <w:sz w:val="26"/>
          <w:szCs w:val="26"/>
          <w:lang w:val="es-ES"/>
        </w:rPr>
        <w:t>Las opiniones sobre la dinámica esperada para los precios de insumos y</w:t>
      </w:r>
      <w:r>
        <w:rPr>
          <w:sz w:val="26"/>
          <w:szCs w:val="26"/>
          <w:lang w:val="es-ES"/>
        </w:rPr>
        <w:t xml:space="preserve"> </w:t>
      </w:r>
      <w:r w:rsidRPr="002D4D48">
        <w:rPr>
          <w:sz w:val="26"/>
          <w:szCs w:val="26"/>
          <w:lang w:val="es-ES"/>
        </w:rPr>
        <w:t>materias primas en los próximos doce meses estuvieron dominadas por</w:t>
      </w:r>
      <w:r>
        <w:rPr>
          <w:sz w:val="26"/>
          <w:szCs w:val="26"/>
          <w:lang w:val="es-ES"/>
        </w:rPr>
        <w:t xml:space="preserve"> </w:t>
      </w:r>
      <w:r w:rsidRPr="002D4D48">
        <w:rPr>
          <w:sz w:val="26"/>
          <w:szCs w:val="26"/>
          <w:lang w:val="es-ES"/>
        </w:rPr>
        <w:t>factores diferentes entre las regiones. En el centro norte y el sur ponderaron</w:t>
      </w:r>
      <w:r>
        <w:rPr>
          <w:sz w:val="26"/>
          <w:szCs w:val="26"/>
          <w:lang w:val="es-ES"/>
        </w:rPr>
        <w:t xml:space="preserve"> </w:t>
      </w:r>
      <w:r w:rsidRPr="002D4D48">
        <w:rPr>
          <w:sz w:val="26"/>
          <w:szCs w:val="26"/>
          <w:lang w:val="es-ES"/>
        </w:rPr>
        <w:t>más la caída reciente en los precios del petróleo y de otras materias primas.</w:t>
      </w:r>
      <w:r>
        <w:rPr>
          <w:sz w:val="26"/>
          <w:szCs w:val="26"/>
          <w:lang w:val="es-ES"/>
        </w:rPr>
        <w:t xml:space="preserve"> </w:t>
      </w:r>
      <w:r w:rsidRPr="002D4D48">
        <w:rPr>
          <w:sz w:val="26"/>
          <w:szCs w:val="26"/>
          <w:lang w:val="es-ES"/>
        </w:rPr>
        <w:t>Por otro lado, en el norte y en el centro consideraron que la depreciación del</w:t>
      </w:r>
      <w:r>
        <w:rPr>
          <w:sz w:val="26"/>
          <w:szCs w:val="26"/>
          <w:lang w:val="es-ES"/>
        </w:rPr>
        <w:t xml:space="preserve"> </w:t>
      </w:r>
      <w:r w:rsidRPr="002D4D48">
        <w:rPr>
          <w:sz w:val="26"/>
          <w:szCs w:val="26"/>
          <w:lang w:val="es-ES"/>
        </w:rPr>
        <w:t>peso podría afectar la dinámica de los precios de sus insumos. Respecto a</w:t>
      </w:r>
      <w:r>
        <w:rPr>
          <w:sz w:val="26"/>
          <w:szCs w:val="26"/>
          <w:lang w:val="es-ES"/>
        </w:rPr>
        <w:t xml:space="preserve"> </w:t>
      </w:r>
      <w:r w:rsidRPr="002D4D48">
        <w:rPr>
          <w:sz w:val="26"/>
          <w:szCs w:val="26"/>
          <w:lang w:val="es-ES"/>
        </w:rPr>
        <w:t>los costos salariales, la mayoría de los directivos consultados señaló que</w:t>
      </w:r>
      <w:r>
        <w:rPr>
          <w:sz w:val="26"/>
          <w:szCs w:val="26"/>
          <w:lang w:val="es-ES"/>
        </w:rPr>
        <w:t xml:space="preserve"> </w:t>
      </w:r>
      <w:r w:rsidRPr="002D4D48">
        <w:rPr>
          <w:sz w:val="26"/>
          <w:szCs w:val="26"/>
          <w:lang w:val="es-ES"/>
        </w:rPr>
        <w:t>prevén que en la contratación de nuevo personal no enfrentarán mayores</w:t>
      </w:r>
      <w:r>
        <w:rPr>
          <w:sz w:val="26"/>
          <w:szCs w:val="26"/>
          <w:lang w:val="es-ES"/>
        </w:rPr>
        <w:t xml:space="preserve"> </w:t>
      </w:r>
      <w:r w:rsidRPr="002D4D48">
        <w:rPr>
          <w:sz w:val="26"/>
          <w:szCs w:val="26"/>
          <w:lang w:val="es-ES"/>
        </w:rPr>
        <w:t>dificultades (</w:t>
      </w:r>
      <w:r>
        <w:rPr>
          <w:sz w:val="26"/>
          <w:szCs w:val="26"/>
          <w:lang w:val="es-ES"/>
        </w:rPr>
        <w:t>g</w:t>
      </w:r>
      <w:r w:rsidRPr="002D4D48">
        <w:rPr>
          <w:sz w:val="26"/>
          <w:szCs w:val="26"/>
          <w:lang w:val="es-ES"/>
        </w:rPr>
        <w:t>ráfica</w:t>
      </w:r>
      <w:r>
        <w:rPr>
          <w:sz w:val="26"/>
          <w:szCs w:val="26"/>
          <w:lang w:val="es-ES"/>
        </w:rPr>
        <w:t xml:space="preserve"> siguiente</w:t>
      </w:r>
      <w:r w:rsidRPr="002D4D48">
        <w:rPr>
          <w:sz w:val="26"/>
          <w:szCs w:val="26"/>
          <w:lang w:val="es-ES"/>
        </w:rPr>
        <w:t>).</w:t>
      </w:r>
    </w:p>
    <w:p w14:paraId="46A1F1DA" w14:textId="77777777" w:rsidR="00BC6B56" w:rsidRDefault="00BC6B56" w:rsidP="00BC6B56">
      <w:pPr>
        <w:spacing w:after="360" w:line="360" w:lineRule="auto"/>
        <w:ind w:right="-159"/>
        <w:jc w:val="both"/>
        <w:rPr>
          <w:sz w:val="26"/>
          <w:szCs w:val="26"/>
          <w:lang w:val="es-ES"/>
        </w:rPr>
      </w:pPr>
    </w:p>
    <w:p w14:paraId="4DC81927" w14:textId="77777777" w:rsidR="00BC6B56" w:rsidRDefault="00BC6B56" w:rsidP="00BC6B56">
      <w:pPr>
        <w:spacing w:after="360" w:line="360" w:lineRule="auto"/>
        <w:ind w:right="-159"/>
        <w:jc w:val="both"/>
        <w:rPr>
          <w:sz w:val="26"/>
          <w:szCs w:val="26"/>
          <w:lang w:val="es-ES"/>
        </w:rPr>
      </w:pPr>
    </w:p>
    <w:p w14:paraId="1079C8A9" w14:textId="77777777" w:rsidR="00BC6B56" w:rsidRDefault="00BC6B56" w:rsidP="00BC6B56">
      <w:pPr>
        <w:spacing w:after="360" w:line="360" w:lineRule="auto"/>
        <w:ind w:right="-159"/>
        <w:jc w:val="both"/>
        <w:rPr>
          <w:sz w:val="26"/>
          <w:szCs w:val="26"/>
          <w:lang w:val="es-ES"/>
        </w:rPr>
      </w:pPr>
    </w:p>
    <w:p w14:paraId="035BAD1C" w14:textId="77777777" w:rsidR="00DF77F2" w:rsidRDefault="00DF77F2" w:rsidP="00BC6B56">
      <w:pPr>
        <w:spacing w:after="360" w:line="360" w:lineRule="auto"/>
        <w:ind w:right="-159"/>
        <w:jc w:val="both"/>
        <w:rPr>
          <w:sz w:val="26"/>
          <w:szCs w:val="26"/>
          <w:lang w:val="es-ES"/>
        </w:rPr>
      </w:pPr>
    </w:p>
    <w:tbl>
      <w:tblPr>
        <w:tblStyle w:val="Tablaconcuadrcula"/>
        <w:tblW w:w="920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27"/>
      </w:tblGrid>
      <w:tr w:rsidR="00BC6B56" w:rsidRPr="00200185" w14:paraId="35E41773" w14:textId="77777777" w:rsidTr="00447800">
        <w:trPr>
          <w:jc w:val="center"/>
        </w:trPr>
        <w:tc>
          <w:tcPr>
            <w:tcW w:w="9209" w:type="dxa"/>
          </w:tcPr>
          <w:p w14:paraId="2B13A68E" w14:textId="77777777" w:rsidR="00BC6B56" w:rsidRDefault="00BC6B56" w:rsidP="00447800">
            <w:pPr>
              <w:jc w:val="center"/>
              <w:rPr>
                <w:b/>
                <w:szCs w:val="26"/>
                <w:lang w:val="es-ES"/>
              </w:rPr>
            </w:pPr>
            <w:r w:rsidRPr="004A3A0F">
              <w:rPr>
                <w:b/>
                <w:szCs w:val="26"/>
                <w:lang w:val="es-ES"/>
              </w:rPr>
              <w:lastRenderedPageBreak/>
              <w:t>EXPECTATIVA DE DIFICULTAD EN LA CONTRATACIÓN DE PERSONAL,</w:t>
            </w:r>
          </w:p>
          <w:p w14:paraId="2BE9610A" w14:textId="77777777" w:rsidR="00BC6B56" w:rsidRPr="004A3A0F" w:rsidRDefault="00BC6B56" w:rsidP="00447800">
            <w:pPr>
              <w:jc w:val="center"/>
              <w:rPr>
                <w:b/>
                <w:szCs w:val="26"/>
                <w:vertAlign w:val="superscript"/>
                <w:lang w:val="es-ES"/>
              </w:rPr>
            </w:pPr>
            <w:r w:rsidRPr="004A3A0F">
              <w:rPr>
                <w:b/>
                <w:szCs w:val="26"/>
                <w:lang w:val="es-ES"/>
              </w:rPr>
              <w:t>PRÓXIMOS 6 MESES</w:t>
            </w:r>
            <w:r w:rsidRPr="004A3A0F">
              <w:rPr>
                <w:b/>
                <w:szCs w:val="26"/>
                <w:u w:val="single"/>
                <w:vertAlign w:val="superscript"/>
                <w:lang w:val="es-ES"/>
              </w:rPr>
              <w:t>1</w:t>
            </w:r>
            <w:r w:rsidRPr="004A3A0F">
              <w:rPr>
                <w:b/>
                <w:szCs w:val="26"/>
                <w:vertAlign w:val="superscript"/>
                <w:lang w:val="es-ES"/>
              </w:rPr>
              <w:t>/</w:t>
            </w:r>
          </w:p>
          <w:p w14:paraId="333C931A" w14:textId="77777777" w:rsidR="00BC6B56" w:rsidRPr="00200185" w:rsidRDefault="00BC6B56" w:rsidP="00447800">
            <w:pPr>
              <w:jc w:val="center"/>
              <w:rPr>
                <w:b/>
                <w:szCs w:val="26"/>
                <w:lang w:val="es-ES"/>
              </w:rPr>
            </w:pPr>
            <w:r>
              <w:rPr>
                <w:b/>
                <w:szCs w:val="26"/>
                <w:lang w:val="es-ES"/>
              </w:rPr>
              <w:t>-</w:t>
            </w:r>
            <w:r w:rsidRPr="004A3A0F">
              <w:rPr>
                <w:b/>
                <w:szCs w:val="26"/>
                <w:lang w:val="es-ES"/>
              </w:rPr>
              <w:t>Distribución porcentual de respuestas</w:t>
            </w:r>
            <w:r>
              <w:rPr>
                <w:b/>
                <w:szCs w:val="26"/>
                <w:lang w:val="es-ES"/>
              </w:rPr>
              <w:t>-</w:t>
            </w:r>
          </w:p>
        </w:tc>
      </w:tr>
      <w:tr w:rsidR="00BC6B56" w:rsidRPr="00DB2C4F" w14:paraId="493B9AD7" w14:textId="77777777" w:rsidTr="00447800">
        <w:trPr>
          <w:jc w:val="center"/>
        </w:trPr>
        <w:tc>
          <w:tcPr>
            <w:tcW w:w="9209" w:type="dxa"/>
          </w:tcPr>
          <w:p w14:paraId="0A6469CD" w14:textId="77777777" w:rsidR="00BC6B56" w:rsidRPr="00DB2C4F" w:rsidRDefault="00BC6B56" w:rsidP="00447800">
            <w:pPr>
              <w:jc w:val="center"/>
              <w:rPr>
                <w:szCs w:val="26"/>
                <w:lang w:val="es-ES"/>
              </w:rPr>
            </w:pPr>
            <w:r w:rsidRPr="0090675C">
              <w:rPr>
                <w:noProof/>
                <w:szCs w:val="26"/>
                <w:lang w:eastAsia="es-MX"/>
              </w:rPr>
              <w:drawing>
                <wp:inline distT="0" distB="0" distL="0" distR="0" wp14:anchorId="4C74058F" wp14:editId="1A061AAA">
                  <wp:extent cx="6445196" cy="2520000"/>
                  <wp:effectExtent l="0" t="0" r="0" b="0"/>
                  <wp:docPr id="1686" name="Imagen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82" cstate="print">
                            <a:extLst>
                              <a:ext uri="{28A0092B-C50C-407E-A947-70E740481C1C}">
                                <a14:useLocalDpi xmlns:a14="http://schemas.microsoft.com/office/drawing/2010/main" val="0"/>
                              </a:ext>
                            </a:extLst>
                          </a:blip>
                          <a:srcRect t="1493"/>
                          <a:stretch/>
                        </pic:blipFill>
                        <pic:spPr bwMode="auto">
                          <a:xfrm>
                            <a:off x="0" y="0"/>
                            <a:ext cx="6445196" cy="252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C6B56" w:rsidRPr="00DB2C4F" w14:paraId="10385C3D" w14:textId="77777777" w:rsidTr="00447800">
        <w:trPr>
          <w:jc w:val="center"/>
        </w:trPr>
        <w:tc>
          <w:tcPr>
            <w:tcW w:w="9209" w:type="dxa"/>
          </w:tcPr>
          <w:p w14:paraId="0EAFFAE2" w14:textId="77777777" w:rsidR="00BC6B56" w:rsidRPr="00DB2C4F" w:rsidRDefault="00BC6B56" w:rsidP="00447800">
            <w:pPr>
              <w:jc w:val="center"/>
              <w:rPr>
                <w:szCs w:val="26"/>
                <w:lang w:val="es-ES"/>
              </w:rPr>
            </w:pPr>
            <w:r w:rsidRPr="0090675C">
              <w:rPr>
                <w:noProof/>
                <w:szCs w:val="26"/>
                <w:lang w:eastAsia="es-MX"/>
              </w:rPr>
              <w:drawing>
                <wp:inline distT="0" distB="0" distL="0" distR="0" wp14:anchorId="7739ABD2" wp14:editId="7A817CBD">
                  <wp:extent cx="6484496" cy="2520000"/>
                  <wp:effectExtent l="0" t="0" r="0" b="0"/>
                  <wp:docPr id="1687" name="Imagen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t="2089"/>
                          <a:stretch/>
                        </pic:blipFill>
                        <pic:spPr bwMode="auto">
                          <a:xfrm>
                            <a:off x="0" y="0"/>
                            <a:ext cx="6484496" cy="252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C6B56" w:rsidRPr="00DB2C4F" w14:paraId="74D8199E" w14:textId="77777777" w:rsidTr="00447800">
        <w:trPr>
          <w:jc w:val="center"/>
        </w:trPr>
        <w:tc>
          <w:tcPr>
            <w:tcW w:w="9209" w:type="dxa"/>
          </w:tcPr>
          <w:p w14:paraId="5D37431C" w14:textId="77777777" w:rsidR="00BC6B56" w:rsidRDefault="00BC6B56" w:rsidP="00447800">
            <w:pPr>
              <w:ind w:left="802" w:right="396" w:hanging="201"/>
              <w:jc w:val="both"/>
              <w:rPr>
                <w:sz w:val="20"/>
                <w:szCs w:val="26"/>
                <w:lang w:val="es-ES"/>
              </w:rPr>
            </w:pPr>
            <w:r w:rsidRPr="009D1D83">
              <w:rPr>
                <w:sz w:val="20"/>
                <w:szCs w:val="26"/>
                <w:u w:val="single"/>
                <w:lang w:val="es-ES"/>
              </w:rPr>
              <w:t>1</w:t>
            </w:r>
            <w:r w:rsidRPr="009D1D83">
              <w:rPr>
                <w:sz w:val="20"/>
                <w:szCs w:val="26"/>
                <w:lang w:val="es-ES"/>
              </w:rPr>
              <w:t xml:space="preserve">/ </w:t>
            </w:r>
            <w:r w:rsidRPr="00EB0C7F">
              <w:rPr>
                <w:sz w:val="20"/>
                <w:szCs w:val="26"/>
                <w:lang w:val="es-ES"/>
              </w:rPr>
              <w:t>Resultados obtenidos de las entrevistas que condujo el Banco de México entre el 15 de diciembre de 2014 y el 23 de enero de</w:t>
            </w:r>
            <w:r>
              <w:rPr>
                <w:sz w:val="20"/>
                <w:szCs w:val="26"/>
                <w:lang w:val="es-ES"/>
              </w:rPr>
              <w:t xml:space="preserve"> </w:t>
            </w:r>
            <w:r w:rsidRPr="00EB0C7F">
              <w:rPr>
                <w:sz w:val="20"/>
                <w:szCs w:val="26"/>
                <w:lang w:val="es-ES"/>
              </w:rPr>
              <w:t>2015.</w:t>
            </w:r>
          </w:p>
          <w:p w14:paraId="2C1676CB" w14:textId="77777777" w:rsidR="00BC6B56" w:rsidRPr="00DB2C4F" w:rsidRDefault="00BC6B56" w:rsidP="00447800">
            <w:pPr>
              <w:ind w:left="1110" w:right="1021" w:hanging="509"/>
              <w:jc w:val="both"/>
              <w:rPr>
                <w:sz w:val="20"/>
                <w:szCs w:val="26"/>
                <w:lang w:val="es-ES"/>
              </w:rPr>
            </w:pPr>
            <w:r w:rsidRPr="00343977">
              <w:rPr>
                <w:sz w:val="20"/>
                <w:szCs w:val="26"/>
                <w:lang w:val="es-ES"/>
              </w:rPr>
              <w:t>FUENTE: Banco de México.</w:t>
            </w:r>
          </w:p>
        </w:tc>
      </w:tr>
    </w:tbl>
    <w:p w14:paraId="215BB45E" w14:textId="77777777" w:rsidR="00BC6B56" w:rsidRDefault="00BC6B56" w:rsidP="00BC6B56">
      <w:pPr>
        <w:spacing w:after="360" w:line="360" w:lineRule="auto"/>
        <w:ind w:right="-159"/>
        <w:jc w:val="both"/>
        <w:rPr>
          <w:sz w:val="26"/>
          <w:szCs w:val="26"/>
          <w:lang w:val="es-ES"/>
        </w:rPr>
      </w:pPr>
    </w:p>
    <w:p w14:paraId="56233843" w14:textId="77777777" w:rsidR="00BC6B56" w:rsidRPr="006F537D" w:rsidRDefault="00BC6B56" w:rsidP="00BC6B56">
      <w:pPr>
        <w:spacing w:after="360" w:line="360" w:lineRule="auto"/>
        <w:ind w:right="-159"/>
        <w:jc w:val="both"/>
        <w:rPr>
          <w:b/>
          <w:sz w:val="26"/>
          <w:szCs w:val="26"/>
          <w:lang w:val="es-ES"/>
        </w:rPr>
      </w:pPr>
      <w:r w:rsidRPr="006F537D">
        <w:rPr>
          <w:b/>
          <w:sz w:val="26"/>
          <w:szCs w:val="26"/>
          <w:lang w:val="es-ES"/>
        </w:rPr>
        <w:t>4. Consideraciones Finales</w:t>
      </w:r>
    </w:p>
    <w:p w14:paraId="2032526F" w14:textId="77777777" w:rsidR="00BC6B56" w:rsidRPr="002D4D48" w:rsidRDefault="00BC6B56" w:rsidP="00BC6B56">
      <w:pPr>
        <w:spacing w:after="360" w:line="360" w:lineRule="auto"/>
        <w:ind w:right="-159"/>
        <w:jc w:val="both"/>
        <w:rPr>
          <w:sz w:val="26"/>
          <w:szCs w:val="26"/>
          <w:lang w:val="es-ES"/>
        </w:rPr>
      </w:pPr>
      <w:r w:rsidRPr="002D4D48">
        <w:rPr>
          <w:sz w:val="26"/>
          <w:szCs w:val="26"/>
          <w:lang w:val="es-ES"/>
        </w:rPr>
        <w:t xml:space="preserve">Durante el cuarto trimestre de 2014 las economías regionales continuaron presentando una recuperación moderada. En las regiones norte, centro norte y centro, la actividad industrial siguió mostrando una tendencia al alza y la tasa de crecimiento del número de trabajadores asegurados en el IMSS continuó acelerándose. En contraste, en el sur </w:t>
      </w:r>
      <w:r w:rsidRPr="002D4D48">
        <w:rPr>
          <w:sz w:val="26"/>
          <w:szCs w:val="26"/>
          <w:lang w:val="es-ES"/>
        </w:rPr>
        <w:lastRenderedPageBreak/>
        <w:t>la actividad industrial siguió debilitándose y la expansión del número de trabajadores asegurados en el IMSS presentó un menor dinamismo que en el resto de las regiones. Por otro lado, la actividad comercial en general siguió presentando señales de debilidad en las cuatro regiones.</w:t>
      </w:r>
    </w:p>
    <w:p w14:paraId="45913BF9" w14:textId="77777777" w:rsidR="00BC6B56" w:rsidRPr="002D4D48" w:rsidRDefault="00BC6B56" w:rsidP="00BC6B56">
      <w:pPr>
        <w:spacing w:after="360" w:line="360" w:lineRule="auto"/>
        <w:ind w:right="-159"/>
        <w:jc w:val="both"/>
        <w:rPr>
          <w:sz w:val="26"/>
          <w:szCs w:val="26"/>
          <w:lang w:val="es-ES"/>
        </w:rPr>
      </w:pPr>
      <w:r w:rsidRPr="002D4D48">
        <w:rPr>
          <w:sz w:val="26"/>
          <w:szCs w:val="26"/>
          <w:lang w:val="es-ES"/>
        </w:rPr>
        <w:t>La inflación general anual presentó una tendencia descendente a partir de noviembre de 2014 en las cuatro regiones del país. Ésta se intensificó con una importante disminución adicional en enero de 2015, para posteriormente mantenerse en febrero cerca de 3</w:t>
      </w:r>
      <w:r>
        <w:rPr>
          <w:sz w:val="26"/>
          <w:szCs w:val="26"/>
          <w:lang w:val="es-ES"/>
        </w:rPr>
        <w:t>%</w:t>
      </w:r>
      <w:r w:rsidRPr="002D4D48">
        <w:rPr>
          <w:sz w:val="26"/>
          <w:szCs w:val="26"/>
          <w:lang w:val="es-ES"/>
        </w:rPr>
        <w:t xml:space="preserve"> en todas las regiones.</w:t>
      </w:r>
    </w:p>
    <w:p w14:paraId="6FB69C84" w14:textId="77777777" w:rsidR="00BC6B56" w:rsidRDefault="00BC6B56" w:rsidP="00BC6B56">
      <w:pPr>
        <w:spacing w:after="360" w:line="360" w:lineRule="auto"/>
        <w:ind w:right="-159"/>
        <w:jc w:val="both"/>
        <w:rPr>
          <w:sz w:val="26"/>
          <w:szCs w:val="26"/>
          <w:lang w:val="es-ES"/>
        </w:rPr>
      </w:pPr>
      <w:r w:rsidRPr="002D4D48">
        <w:rPr>
          <w:sz w:val="26"/>
          <w:szCs w:val="26"/>
          <w:lang w:val="es-ES"/>
        </w:rPr>
        <w:t>La expectativa de los directivos empresariales consultados por el Banco de México respecto a la actividad económica en las cuatro regiones del país durante los siguientes doce meses es moderadamente optimista. En particular, destacaron el impulso de la demanda externa y un mayor dinamismo de la inversión privada como factores que apoyarán el crecimiento económico en sus regiones. En lo que se refiere a la inflación, los directivos citados anticipan incrementos en sus precios de venta menores que los observados en el año previo.</w:t>
      </w:r>
    </w:p>
    <w:p w14:paraId="4B9F64B8" w14:textId="77777777" w:rsidR="00BC6B56" w:rsidRPr="00B9746E" w:rsidRDefault="00BC6B56" w:rsidP="00BC6B56">
      <w:pPr>
        <w:ind w:right="-159"/>
        <w:jc w:val="both"/>
        <w:rPr>
          <w:b/>
          <w:sz w:val="20"/>
          <w:szCs w:val="20"/>
        </w:rPr>
      </w:pPr>
      <w:r w:rsidRPr="00B9746E">
        <w:rPr>
          <w:b/>
          <w:sz w:val="20"/>
          <w:szCs w:val="20"/>
        </w:rPr>
        <w:t>Fuente de información:</w:t>
      </w:r>
    </w:p>
    <w:p w14:paraId="3CE7CEEB" w14:textId="77777777" w:rsidR="00BC6B56" w:rsidRPr="00EC1E89" w:rsidRDefault="0093224F" w:rsidP="00DF77F2">
      <w:pPr>
        <w:spacing w:after="720"/>
        <w:ind w:right="-159"/>
        <w:jc w:val="both"/>
        <w:rPr>
          <w:sz w:val="26"/>
          <w:szCs w:val="26"/>
          <w:lang w:val="es-ES"/>
        </w:rPr>
      </w:pPr>
      <w:hyperlink r:id="rId84" w:history="1">
        <w:r w:rsidR="00BC6B56" w:rsidRPr="00745169">
          <w:rPr>
            <w:rStyle w:val="Hipervnculo"/>
            <w:sz w:val="20"/>
            <w:szCs w:val="20"/>
            <w:lang w:val="es-ES"/>
          </w:rPr>
          <w:t>http://www.banxico.org.mx/publicaciones-y-discursos/publicaciones/informes-periodicos/reportes-sobre-las-economias-regionales/%7BFE0349BD-B3E7-40D0-2CB1-4F41F319933F%7D.pdf</w:t>
        </w:r>
      </w:hyperlink>
    </w:p>
    <w:p w14:paraId="2860775A" w14:textId="77777777" w:rsidR="00763870" w:rsidRPr="00763870" w:rsidRDefault="00763870" w:rsidP="00763870">
      <w:pPr>
        <w:spacing w:after="360" w:line="360" w:lineRule="auto"/>
        <w:ind w:right="-159"/>
        <w:jc w:val="both"/>
        <w:rPr>
          <w:rFonts w:eastAsia="Calibri"/>
          <w:b/>
          <w:sz w:val="26"/>
          <w:szCs w:val="26"/>
          <w:lang w:eastAsia="en-US"/>
        </w:rPr>
      </w:pPr>
      <w:r w:rsidRPr="00763870">
        <w:rPr>
          <w:rFonts w:eastAsia="Calibri"/>
          <w:b/>
          <w:sz w:val="26"/>
          <w:szCs w:val="26"/>
          <w:lang w:eastAsia="en-US"/>
        </w:rPr>
        <w:t>Análisis Económico Ejecutivo (CEESP)</w:t>
      </w:r>
    </w:p>
    <w:p w14:paraId="17CF809A" w14:textId="77777777" w:rsidR="00763870" w:rsidRDefault="00763870" w:rsidP="00763870">
      <w:pPr>
        <w:spacing w:after="360" w:line="360" w:lineRule="auto"/>
        <w:ind w:right="-159"/>
        <w:jc w:val="both"/>
        <w:rPr>
          <w:rFonts w:eastAsia="Calibri"/>
          <w:sz w:val="26"/>
          <w:szCs w:val="26"/>
          <w:lang w:val="es-ES" w:eastAsia="en-US"/>
        </w:rPr>
      </w:pPr>
      <w:r w:rsidRPr="00763870">
        <w:rPr>
          <w:rFonts w:eastAsia="Calibri"/>
          <w:sz w:val="26"/>
          <w:szCs w:val="26"/>
          <w:lang w:val="es-ES" w:eastAsia="en-US"/>
        </w:rPr>
        <w:t>El 16 de marzo de 2015, el Centro de Estudios Económicos del Sector Privado A.C. (CEESP) dio a conocer su “Análisis Económico Ejecutivo”</w:t>
      </w:r>
      <w:r w:rsidRPr="00763870">
        <w:rPr>
          <w:rFonts w:eastAsia="Calibri"/>
          <w:i/>
          <w:sz w:val="26"/>
          <w:szCs w:val="26"/>
          <w:lang w:val="es-ES" w:eastAsia="en-US"/>
        </w:rPr>
        <w:t>,</w:t>
      </w:r>
      <w:r w:rsidRPr="00763870">
        <w:rPr>
          <w:rFonts w:eastAsia="Calibri"/>
          <w:sz w:val="26"/>
          <w:szCs w:val="26"/>
          <w:lang w:val="es-ES" w:eastAsia="en-US"/>
        </w:rPr>
        <w:t xml:space="preserve"> el cual se presenta a continuación.</w:t>
      </w:r>
    </w:p>
    <w:p w14:paraId="53177132" w14:textId="77777777" w:rsidR="00DF77F2" w:rsidRDefault="00DF77F2" w:rsidP="00763870">
      <w:pPr>
        <w:spacing w:after="360" w:line="360" w:lineRule="auto"/>
        <w:ind w:right="-159"/>
        <w:jc w:val="both"/>
        <w:rPr>
          <w:rFonts w:eastAsia="Calibri"/>
          <w:sz w:val="26"/>
          <w:szCs w:val="26"/>
          <w:lang w:val="es-ES" w:eastAsia="en-US"/>
        </w:rPr>
      </w:pPr>
    </w:p>
    <w:p w14:paraId="455E6275" w14:textId="77777777" w:rsidR="00DF77F2" w:rsidRPr="00763870" w:rsidRDefault="00DF77F2" w:rsidP="00763870">
      <w:pPr>
        <w:spacing w:after="360" w:line="360" w:lineRule="auto"/>
        <w:ind w:right="-159"/>
        <w:jc w:val="both"/>
        <w:rPr>
          <w:rFonts w:eastAsia="Calibri"/>
          <w:sz w:val="26"/>
          <w:szCs w:val="26"/>
          <w:lang w:val="es-ES" w:eastAsia="en-US"/>
        </w:rPr>
      </w:pPr>
    </w:p>
    <w:p w14:paraId="0E8563AC" w14:textId="77777777" w:rsidR="00763870" w:rsidRPr="00763870" w:rsidRDefault="00763870" w:rsidP="00763870">
      <w:pPr>
        <w:spacing w:after="360" w:line="360" w:lineRule="auto"/>
        <w:ind w:right="-159"/>
        <w:jc w:val="both"/>
        <w:rPr>
          <w:rFonts w:eastAsia="Calibri"/>
          <w:b/>
          <w:sz w:val="26"/>
          <w:szCs w:val="26"/>
          <w:lang w:val="es-ES" w:eastAsia="en-US"/>
        </w:rPr>
      </w:pPr>
      <w:r w:rsidRPr="00763870">
        <w:rPr>
          <w:rFonts w:eastAsia="Calibri"/>
          <w:b/>
          <w:sz w:val="26"/>
          <w:szCs w:val="26"/>
          <w:lang w:val="es-ES" w:eastAsia="en-US"/>
        </w:rPr>
        <w:lastRenderedPageBreak/>
        <w:t>Panorama General</w:t>
      </w:r>
    </w:p>
    <w:p w14:paraId="2E4D7B27" w14:textId="77777777" w:rsidR="00763870" w:rsidRPr="00763870" w:rsidRDefault="00763870" w:rsidP="00763870">
      <w:pPr>
        <w:spacing w:after="360" w:line="360" w:lineRule="auto"/>
        <w:ind w:right="-159"/>
        <w:jc w:val="both"/>
        <w:rPr>
          <w:rFonts w:eastAsia="Calibri"/>
          <w:b/>
          <w:sz w:val="26"/>
          <w:szCs w:val="26"/>
          <w:lang w:val="es-ES" w:eastAsia="en-US"/>
        </w:rPr>
      </w:pPr>
      <w:r w:rsidRPr="00763870">
        <w:rPr>
          <w:rFonts w:eastAsia="Calibri"/>
          <w:b/>
          <w:sz w:val="26"/>
          <w:szCs w:val="26"/>
          <w:lang w:val="es-ES" w:eastAsia="en-US"/>
        </w:rPr>
        <w:t>Crisis de confianza</w:t>
      </w:r>
    </w:p>
    <w:p w14:paraId="6D7A4D73" w14:textId="77777777" w:rsidR="00763870" w:rsidRPr="00763870" w:rsidRDefault="00763870" w:rsidP="00763870">
      <w:pPr>
        <w:spacing w:after="360" w:line="360" w:lineRule="auto"/>
        <w:ind w:right="-159"/>
        <w:jc w:val="both"/>
        <w:rPr>
          <w:rFonts w:eastAsia="Calibri"/>
          <w:sz w:val="26"/>
          <w:szCs w:val="26"/>
          <w:lang w:val="es-ES" w:eastAsia="en-US"/>
        </w:rPr>
      </w:pPr>
      <w:r w:rsidRPr="00763870">
        <w:rPr>
          <w:rFonts w:eastAsia="Calibri"/>
          <w:sz w:val="26"/>
          <w:szCs w:val="26"/>
          <w:lang w:val="es-ES" w:eastAsia="en-US"/>
        </w:rPr>
        <w:t>La confianza es un factor fundamental en el desempeño de la economía en su conjunto. Si no existe un ambiente en el que no haya obstáculos ni limitaciones para estimular la inversión y la productividad, entonces tampoco habrá el incentivo para que empresas y personas se desarrollen eficientemente.</w:t>
      </w:r>
    </w:p>
    <w:p w14:paraId="07FA1D28" w14:textId="77777777" w:rsidR="00763870" w:rsidRPr="00763870" w:rsidRDefault="00763870" w:rsidP="00763870">
      <w:pPr>
        <w:spacing w:after="360" w:line="360" w:lineRule="auto"/>
        <w:ind w:right="-159"/>
        <w:jc w:val="both"/>
        <w:rPr>
          <w:rFonts w:eastAsia="Calibri"/>
          <w:sz w:val="26"/>
          <w:szCs w:val="26"/>
          <w:lang w:val="es-ES" w:eastAsia="en-US"/>
        </w:rPr>
      </w:pPr>
      <w:r w:rsidRPr="00763870">
        <w:rPr>
          <w:rFonts w:eastAsia="Calibri"/>
          <w:sz w:val="26"/>
          <w:szCs w:val="26"/>
          <w:lang w:val="es-ES" w:eastAsia="en-US"/>
        </w:rPr>
        <w:t>Junto con el buen desempeño de las reformas aprobadas, es indispensable que existan reglas claras y certeza jurídica, además de instituciones sólidas que hagan respetar la ley. Es por ello que el fortalecimiento del Estado de Derecho es un requisito para que la economía se desarrolle eficientemente. Para que el mercado funcione lo mejor posible, es necesario que todos los agentes económicos estén seguros de tener garantizados sus derechos.</w:t>
      </w:r>
    </w:p>
    <w:p w14:paraId="213D3C0F" w14:textId="77777777" w:rsidR="00763870" w:rsidRDefault="00763870" w:rsidP="00763870">
      <w:pPr>
        <w:spacing w:after="360" w:line="360" w:lineRule="auto"/>
        <w:ind w:right="-159"/>
        <w:jc w:val="both"/>
        <w:rPr>
          <w:rFonts w:eastAsia="Calibri"/>
          <w:sz w:val="26"/>
          <w:szCs w:val="26"/>
          <w:lang w:val="es-ES" w:eastAsia="en-US"/>
        </w:rPr>
      </w:pPr>
      <w:r w:rsidRPr="00763870">
        <w:rPr>
          <w:rFonts w:eastAsia="Calibri"/>
          <w:sz w:val="26"/>
          <w:szCs w:val="26"/>
          <w:lang w:val="es-ES" w:eastAsia="en-US"/>
        </w:rPr>
        <w:t>Un entorno en el que se conjugan factores como la debilidad de las finanzas públicas como resultado de insuficientes ingresos, dispendio de los recursos y una política de mayor deuda; altos niveles de corrupción e impunidad que hacen que la delincuencia en todos sus niveles sea poco riesgosa, dada la mínima probabilidad de que los causantes de algún delito sean castigados, sin duda genera un ambiente de incertidumbre que puede tener consecuencias importantes en los niveles de inversión productiva, inhibiendo la posibilidad de lograr mayores tasas de crecimiento y más empleos mejor remunerados en beneficio de los hogares del país.</w:t>
      </w:r>
    </w:p>
    <w:p w14:paraId="6A2058F1" w14:textId="77777777" w:rsidR="00E40866" w:rsidRDefault="00E40866" w:rsidP="00763870">
      <w:pPr>
        <w:spacing w:after="360" w:line="360" w:lineRule="auto"/>
        <w:ind w:right="-159"/>
        <w:jc w:val="both"/>
        <w:rPr>
          <w:rFonts w:eastAsia="Calibri"/>
          <w:sz w:val="26"/>
          <w:szCs w:val="26"/>
          <w:lang w:val="es-ES" w:eastAsia="en-US"/>
        </w:rPr>
      </w:pPr>
    </w:p>
    <w:p w14:paraId="7600FD40" w14:textId="77777777" w:rsidR="00E40866" w:rsidRDefault="00E40866" w:rsidP="00763870">
      <w:pPr>
        <w:spacing w:after="360" w:line="360" w:lineRule="auto"/>
        <w:ind w:right="-159"/>
        <w:jc w:val="both"/>
        <w:rPr>
          <w:rFonts w:eastAsia="Calibri"/>
          <w:sz w:val="26"/>
          <w:szCs w:val="26"/>
          <w:lang w:val="es-ES" w:eastAsia="en-US"/>
        </w:rPr>
      </w:pPr>
    </w:p>
    <w:p w14:paraId="1F006914" w14:textId="77777777" w:rsidR="00E40866" w:rsidRPr="00763870" w:rsidRDefault="00E40866" w:rsidP="00763870">
      <w:pPr>
        <w:spacing w:after="360" w:line="360" w:lineRule="auto"/>
        <w:ind w:right="-159"/>
        <w:jc w:val="both"/>
        <w:rPr>
          <w:rFonts w:eastAsia="Calibri"/>
          <w:sz w:val="26"/>
          <w:szCs w:val="26"/>
          <w:lang w:val="es-ES" w:eastAsia="en-US"/>
        </w:rPr>
      </w:pPr>
    </w:p>
    <w:tbl>
      <w:tblPr>
        <w:tblW w:w="9209" w:type="dxa"/>
        <w:tblLook w:val="04A0" w:firstRow="1" w:lastRow="0" w:firstColumn="1" w:lastColumn="0" w:noHBand="0" w:noVBand="1"/>
      </w:tblPr>
      <w:tblGrid>
        <w:gridCol w:w="9209"/>
      </w:tblGrid>
      <w:tr w:rsidR="00763870" w:rsidRPr="00763870" w14:paraId="3B4B557B" w14:textId="77777777" w:rsidTr="00D55DE3">
        <w:tc>
          <w:tcPr>
            <w:tcW w:w="9209" w:type="dxa"/>
          </w:tcPr>
          <w:p w14:paraId="4535CB96" w14:textId="77777777" w:rsidR="00763870" w:rsidRPr="00763870" w:rsidRDefault="00763870" w:rsidP="00763870">
            <w:pPr>
              <w:jc w:val="center"/>
              <w:rPr>
                <w:rFonts w:eastAsia="Calibri"/>
                <w:b/>
                <w:sz w:val="22"/>
                <w:szCs w:val="26"/>
                <w:lang w:val="es-ES" w:eastAsia="en-US"/>
              </w:rPr>
            </w:pPr>
            <w:r w:rsidRPr="00763870">
              <w:rPr>
                <w:rFonts w:eastAsia="Calibri"/>
                <w:b/>
                <w:sz w:val="22"/>
                <w:szCs w:val="26"/>
                <w:lang w:val="es-ES" w:eastAsia="en-US"/>
              </w:rPr>
              <w:lastRenderedPageBreak/>
              <w:t>FACTORES QUE INHIBEN UN BUEN ENTORNO DE NEGOCIOS</w:t>
            </w:r>
          </w:p>
          <w:p w14:paraId="3BD025EA" w14:textId="77777777" w:rsidR="00763870" w:rsidRPr="00763870" w:rsidRDefault="00763870" w:rsidP="00763870">
            <w:pPr>
              <w:jc w:val="center"/>
              <w:rPr>
                <w:rFonts w:eastAsia="Calibri"/>
                <w:b/>
                <w:sz w:val="22"/>
                <w:szCs w:val="26"/>
                <w:lang w:val="es-ES" w:eastAsia="en-US"/>
              </w:rPr>
            </w:pPr>
            <w:r w:rsidRPr="00763870">
              <w:rPr>
                <w:rFonts w:eastAsia="Calibri"/>
                <w:b/>
                <w:sz w:val="22"/>
                <w:szCs w:val="26"/>
                <w:lang w:val="es-ES" w:eastAsia="en-US"/>
              </w:rPr>
              <w:t>-Porcentaje de respuestas-</w:t>
            </w:r>
          </w:p>
        </w:tc>
      </w:tr>
      <w:tr w:rsidR="00763870" w:rsidRPr="00763870" w14:paraId="2D54B68C" w14:textId="77777777" w:rsidTr="00D55DE3">
        <w:tc>
          <w:tcPr>
            <w:tcW w:w="9209" w:type="dxa"/>
          </w:tcPr>
          <w:p w14:paraId="541B107F" w14:textId="77777777" w:rsidR="00763870" w:rsidRPr="00763870" w:rsidRDefault="00763870" w:rsidP="00763870">
            <w:pPr>
              <w:jc w:val="center"/>
              <w:rPr>
                <w:rFonts w:eastAsia="Calibri"/>
                <w:sz w:val="22"/>
                <w:szCs w:val="26"/>
                <w:lang w:val="es-ES" w:eastAsia="en-US"/>
              </w:rPr>
            </w:pPr>
            <w:r w:rsidRPr="00763870">
              <w:rPr>
                <w:rFonts w:eastAsia="Calibri"/>
                <w:noProof/>
                <w:sz w:val="22"/>
                <w:szCs w:val="26"/>
                <w:lang w:eastAsia="es-MX"/>
              </w:rPr>
              <w:drawing>
                <wp:inline distT="0" distB="0" distL="0" distR="0" wp14:anchorId="2E5B65BB" wp14:editId="035A9340">
                  <wp:extent cx="4821527" cy="3060000"/>
                  <wp:effectExtent l="0" t="0" r="0" b="0"/>
                  <wp:docPr id="1617" name="Imagen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t="3559" b="1238"/>
                          <a:stretch/>
                        </pic:blipFill>
                        <pic:spPr bwMode="auto">
                          <a:xfrm>
                            <a:off x="0" y="0"/>
                            <a:ext cx="4821527" cy="30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63870" w:rsidRPr="00763870" w14:paraId="6707177E" w14:textId="77777777" w:rsidTr="00D55DE3">
        <w:tc>
          <w:tcPr>
            <w:tcW w:w="9209" w:type="dxa"/>
          </w:tcPr>
          <w:p w14:paraId="25EBED9B" w14:textId="77777777" w:rsidR="00763870" w:rsidRPr="00763870" w:rsidRDefault="00763870" w:rsidP="00763870">
            <w:pPr>
              <w:ind w:firstLine="1163"/>
              <w:jc w:val="both"/>
              <w:rPr>
                <w:rFonts w:eastAsia="Calibri"/>
                <w:sz w:val="20"/>
                <w:szCs w:val="26"/>
                <w:lang w:val="es-ES" w:eastAsia="en-US"/>
              </w:rPr>
            </w:pPr>
            <w:r w:rsidRPr="00763870">
              <w:rPr>
                <w:rFonts w:eastAsia="Calibri"/>
                <w:sz w:val="20"/>
                <w:szCs w:val="26"/>
                <w:lang w:val="es-ES" w:eastAsia="en-US"/>
              </w:rPr>
              <w:t>FUENTE: Elaborado por el CEESP con datos de World Economic Forum (WEF).</w:t>
            </w:r>
          </w:p>
        </w:tc>
      </w:tr>
    </w:tbl>
    <w:p w14:paraId="161D21DB" w14:textId="77777777" w:rsidR="00763870" w:rsidRPr="00763870" w:rsidRDefault="00763870" w:rsidP="00763870">
      <w:pPr>
        <w:spacing w:after="360" w:line="360" w:lineRule="auto"/>
        <w:ind w:right="-159"/>
        <w:jc w:val="both"/>
        <w:rPr>
          <w:rFonts w:eastAsia="Calibri"/>
          <w:sz w:val="26"/>
          <w:szCs w:val="26"/>
          <w:lang w:val="es-ES" w:eastAsia="en-US"/>
        </w:rPr>
      </w:pPr>
      <w:r w:rsidRPr="00763870">
        <w:rPr>
          <w:rFonts w:eastAsia="Calibri"/>
          <w:sz w:val="26"/>
          <w:szCs w:val="26"/>
          <w:lang w:val="es-ES" w:eastAsia="en-US"/>
        </w:rPr>
        <w:t xml:space="preserve"> </w:t>
      </w:r>
    </w:p>
    <w:p w14:paraId="76A8834E" w14:textId="77777777" w:rsidR="00763870" w:rsidRPr="00763870" w:rsidRDefault="00763870" w:rsidP="00763870">
      <w:pPr>
        <w:spacing w:after="360" w:line="360" w:lineRule="auto"/>
        <w:ind w:right="-159"/>
        <w:jc w:val="both"/>
        <w:rPr>
          <w:rFonts w:eastAsia="Calibri"/>
          <w:sz w:val="26"/>
          <w:szCs w:val="26"/>
          <w:lang w:val="es-ES" w:eastAsia="en-US"/>
        </w:rPr>
      </w:pPr>
      <w:r w:rsidRPr="00763870">
        <w:rPr>
          <w:rFonts w:eastAsia="Calibri"/>
          <w:sz w:val="26"/>
          <w:szCs w:val="26"/>
          <w:lang w:val="es-ES" w:eastAsia="en-US"/>
        </w:rPr>
        <w:t>Un mercado interno debilitado por el deterioro del ingreso disponible originado por factores estructurales y sin señales de mejorar en el corto plazo, pese a todas las reformas estructurales aprobadas, tampoco es una fuente importante de confianza para la inversión.</w:t>
      </w:r>
    </w:p>
    <w:p w14:paraId="39C242BE" w14:textId="77777777" w:rsidR="00763870" w:rsidRPr="00763870" w:rsidRDefault="00763870" w:rsidP="00763870">
      <w:pPr>
        <w:spacing w:after="360" w:line="360" w:lineRule="auto"/>
        <w:ind w:right="-159"/>
        <w:jc w:val="both"/>
        <w:rPr>
          <w:rFonts w:eastAsia="Calibri"/>
          <w:sz w:val="26"/>
          <w:szCs w:val="26"/>
          <w:lang w:val="es-ES" w:eastAsia="en-US"/>
        </w:rPr>
      </w:pPr>
      <w:r w:rsidRPr="00763870">
        <w:rPr>
          <w:rFonts w:eastAsia="Calibri"/>
          <w:sz w:val="26"/>
          <w:szCs w:val="26"/>
          <w:lang w:val="es-ES" w:eastAsia="en-US"/>
        </w:rPr>
        <w:t>La Secretaría de Hacienda plantea que no existe ni el espacio ni las condiciones para reducir los impuestos, como consecuencia de la disminución de los precios del petróleo. Sin embargo, dado el impacto tan negativo que tuvo en el 2014 la reforma fiscal, el sector privado, familias y empresas, están convencidos de que una reducción en impuestos y una revisión de las exenciones eliminadas, podría recuperar la actividad económica y la inversión. Con lo que indudablemente la recaudación también mejoraría.</w:t>
      </w:r>
    </w:p>
    <w:p w14:paraId="6C875327" w14:textId="77777777" w:rsidR="00763870" w:rsidRPr="00763870" w:rsidRDefault="00763870" w:rsidP="00763870">
      <w:pPr>
        <w:spacing w:after="360" w:line="360" w:lineRule="auto"/>
        <w:ind w:right="-159"/>
        <w:jc w:val="both"/>
        <w:rPr>
          <w:rFonts w:eastAsia="Calibri"/>
          <w:sz w:val="26"/>
          <w:szCs w:val="26"/>
          <w:lang w:val="es-ES" w:eastAsia="en-US"/>
        </w:rPr>
      </w:pPr>
      <w:r w:rsidRPr="00763870">
        <w:rPr>
          <w:rFonts w:eastAsia="Calibri"/>
          <w:sz w:val="26"/>
          <w:szCs w:val="26"/>
          <w:lang w:val="es-ES" w:eastAsia="en-US"/>
        </w:rPr>
        <w:t xml:space="preserve">Una muestra de que el efecto es favorable es la decisión de ampliar los descuentos fiscales para los participantes en el Régimen de Incorporación Fiscal (RIF). Como parte </w:t>
      </w:r>
      <w:r w:rsidRPr="00763870">
        <w:rPr>
          <w:rFonts w:eastAsia="Calibri"/>
          <w:sz w:val="26"/>
          <w:szCs w:val="26"/>
          <w:lang w:val="es-ES" w:eastAsia="en-US"/>
        </w:rPr>
        <w:lastRenderedPageBreak/>
        <w:t>de este programa, las empresas que se incorporen al RIF tendrán un descuento de 100% en el pago del Impuesto sobre la Renta (ISR), Impuesto sobre el Valor Agregado (IVA) e Impuesto Especial sobre Producción y Servicios (IEPS) en 2015, en lugar del 90% contemplado originalmente para quienes participan desde el año pasado. Además, tendrán el beneficio de un descuento de 50% en las cuotas de seguridad social durante 2015 y 2016. Los menores impuestos permiten al sector privado, familias y empresas, emprender y llevar a cabo parte de la obra y la actividad económica que no realice el sector público.</w:t>
      </w:r>
    </w:p>
    <w:p w14:paraId="1E8E0119" w14:textId="77777777" w:rsidR="00763870" w:rsidRPr="00763870" w:rsidRDefault="00763870" w:rsidP="00763870">
      <w:pPr>
        <w:spacing w:after="360" w:line="360" w:lineRule="auto"/>
        <w:ind w:right="-159"/>
        <w:jc w:val="both"/>
        <w:rPr>
          <w:rFonts w:eastAsia="Calibri"/>
          <w:sz w:val="26"/>
          <w:szCs w:val="26"/>
          <w:lang w:val="es-ES" w:eastAsia="en-US"/>
        </w:rPr>
      </w:pPr>
      <w:r w:rsidRPr="00763870">
        <w:rPr>
          <w:rFonts w:eastAsia="Calibri"/>
          <w:sz w:val="26"/>
          <w:szCs w:val="26"/>
          <w:lang w:val="es-ES" w:eastAsia="en-US"/>
        </w:rPr>
        <w:t>El espíritu para invertir y para consumir requiere confianza, por lo que es urgente recuperarla. Es evidente la estrecha correlación entre confianza empresarial e inversión.</w:t>
      </w:r>
    </w:p>
    <w:p w14:paraId="48CCCE5C" w14:textId="77777777" w:rsidR="00763870" w:rsidRDefault="00763870" w:rsidP="00763870">
      <w:pPr>
        <w:spacing w:after="360" w:line="360" w:lineRule="auto"/>
        <w:ind w:right="-159"/>
        <w:jc w:val="both"/>
        <w:rPr>
          <w:rFonts w:eastAsia="Calibri"/>
          <w:sz w:val="26"/>
          <w:szCs w:val="26"/>
          <w:lang w:val="es-ES" w:eastAsia="en-US"/>
        </w:rPr>
      </w:pPr>
      <w:r w:rsidRPr="00763870">
        <w:rPr>
          <w:rFonts w:eastAsia="Calibri"/>
          <w:sz w:val="26"/>
          <w:szCs w:val="26"/>
          <w:lang w:val="es-ES" w:eastAsia="en-US"/>
        </w:rPr>
        <w:t>De varios indicadores se desprende que el complicado entorno que vive el país se ha ido reflejando en la confianza de los directivos empresariales para invertir. De acuerdo con los datos del índice de confianza empresarial, el indicador que recoge la opinión acerca de si éste es un buen momento para invertir, muestra una tendencia a la baja desde mediados del año pasado, respondiendo en buena medida, a la entrada en vigor de la reforma fiscal aprobada por el Congreso y del ambiente de corrupción, impunidad e inseguridad que se ha venido fortaleciendo</w:t>
      </w:r>
    </w:p>
    <w:p w14:paraId="6DCBDC3C" w14:textId="77777777" w:rsidR="00E40866" w:rsidRDefault="00E40866" w:rsidP="00763870">
      <w:pPr>
        <w:spacing w:after="360" w:line="360" w:lineRule="auto"/>
        <w:ind w:right="-159"/>
        <w:jc w:val="both"/>
        <w:rPr>
          <w:rFonts w:eastAsia="Calibri"/>
          <w:sz w:val="26"/>
          <w:szCs w:val="26"/>
          <w:lang w:val="es-ES" w:eastAsia="en-US"/>
        </w:rPr>
      </w:pPr>
    </w:p>
    <w:p w14:paraId="40CCDDF0" w14:textId="77777777" w:rsidR="00E40866" w:rsidRDefault="00E40866" w:rsidP="00763870">
      <w:pPr>
        <w:spacing w:after="360" w:line="360" w:lineRule="auto"/>
        <w:ind w:right="-159"/>
        <w:jc w:val="both"/>
        <w:rPr>
          <w:rFonts w:eastAsia="Calibri"/>
          <w:sz w:val="26"/>
          <w:szCs w:val="26"/>
          <w:lang w:val="es-ES" w:eastAsia="en-US"/>
        </w:rPr>
      </w:pPr>
    </w:p>
    <w:p w14:paraId="0E6B08A6" w14:textId="77777777" w:rsidR="00E40866" w:rsidRDefault="00E40866" w:rsidP="00763870">
      <w:pPr>
        <w:spacing w:after="360" w:line="360" w:lineRule="auto"/>
        <w:ind w:right="-159"/>
        <w:jc w:val="both"/>
        <w:rPr>
          <w:rFonts w:eastAsia="Calibri"/>
          <w:sz w:val="26"/>
          <w:szCs w:val="26"/>
          <w:lang w:val="es-ES" w:eastAsia="en-US"/>
        </w:rPr>
      </w:pPr>
    </w:p>
    <w:p w14:paraId="3B376E38" w14:textId="77777777" w:rsidR="00E40866" w:rsidRDefault="00E40866" w:rsidP="00763870">
      <w:pPr>
        <w:spacing w:after="360" w:line="360" w:lineRule="auto"/>
        <w:ind w:right="-159"/>
        <w:jc w:val="both"/>
        <w:rPr>
          <w:rFonts w:eastAsia="Calibri"/>
          <w:sz w:val="26"/>
          <w:szCs w:val="26"/>
          <w:lang w:val="es-ES" w:eastAsia="en-US"/>
        </w:rPr>
      </w:pPr>
    </w:p>
    <w:p w14:paraId="588C30BC" w14:textId="77777777" w:rsidR="00E40866" w:rsidRDefault="00E40866" w:rsidP="00763870">
      <w:pPr>
        <w:spacing w:after="360" w:line="360" w:lineRule="auto"/>
        <w:ind w:right="-159"/>
        <w:jc w:val="both"/>
        <w:rPr>
          <w:rFonts w:eastAsia="Calibri"/>
          <w:sz w:val="26"/>
          <w:szCs w:val="26"/>
          <w:lang w:val="es-ES" w:eastAsia="en-US"/>
        </w:rPr>
      </w:pPr>
    </w:p>
    <w:tbl>
      <w:tblPr>
        <w:tblW w:w="9209" w:type="dxa"/>
        <w:tblLook w:val="04A0" w:firstRow="1" w:lastRow="0" w:firstColumn="1" w:lastColumn="0" w:noHBand="0" w:noVBand="1"/>
      </w:tblPr>
      <w:tblGrid>
        <w:gridCol w:w="9209"/>
      </w:tblGrid>
      <w:tr w:rsidR="00763870" w:rsidRPr="00763870" w14:paraId="566CFE39" w14:textId="77777777" w:rsidTr="00D55DE3">
        <w:tc>
          <w:tcPr>
            <w:tcW w:w="9209" w:type="dxa"/>
          </w:tcPr>
          <w:p w14:paraId="50F3ED6E" w14:textId="77777777" w:rsidR="00DF77F2" w:rsidRDefault="00DF77F2" w:rsidP="00763870">
            <w:pPr>
              <w:jc w:val="center"/>
              <w:rPr>
                <w:rFonts w:eastAsia="Calibri"/>
                <w:b/>
                <w:sz w:val="22"/>
                <w:szCs w:val="26"/>
                <w:lang w:val="es-ES" w:eastAsia="en-US"/>
              </w:rPr>
            </w:pPr>
          </w:p>
          <w:p w14:paraId="741574B0" w14:textId="77777777" w:rsidR="00763870" w:rsidRPr="00763870" w:rsidRDefault="00763870" w:rsidP="00763870">
            <w:pPr>
              <w:jc w:val="center"/>
              <w:rPr>
                <w:rFonts w:eastAsia="Calibri"/>
                <w:b/>
                <w:sz w:val="22"/>
                <w:szCs w:val="26"/>
                <w:lang w:val="es-ES" w:eastAsia="en-US"/>
              </w:rPr>
            </w:pPr>
            <w:r w:rsidRPr="00763870">
              <w:rPr>
                <w:rFonts w:eastAsia="Calibri"/>
                <w:b/>
                <w:sz w:val="22"/>
                <w:szCs w:val="26"/>
                <w:lang w:val="es-ES" w:eastAsia="en-US"/>
              </w:rPr>
              <w:lastRenderedPageBreak/>
              <w:t>ÍNDICE DE CONFIANZA EMPRESARIAL</w:t>
            </w:r>
          </w:p>
          <w:p w14:paraId="762A78E6" w14:textId="77777777" w:rsidR="00763870" w:rsidRPr="00763870" w:rsidRDefault="00763870" w:rsidP="00763870">
            <w:pPr>
              <w:jc w:val="center"/>
              <w:rPr>
                <w:rFonts w:eastAsia="Calibri"/>
                <w:b/>
                <w:sz w:val="22"/>
                <w:szCs w:val="26"/>
                <w:lang w:val="es-ES" w:eastAsia="en-US"/>
              </w:rPr>
            </w:pPr>
            <w:r w:rsidRPr="00763870">
              <w:rPr>
                <w:rFonts w:eastAsia="Calibri"/>
                <w:b/>
                <w:sz w:val="22"/>
                <w:szCs w:val="26"/>
                <w:lang w:val="es-ES" w:eastAsia="en-US"/>
              </w:rPr>
              <w:t>-Momento adecuado para invertir-</w:t>
            </w:r>
          </w:p>
        </w:tc>
      </w:tr>
      <w:tr w:rsidR="00763870" w:rsidRPr="00763870" w14:paraId="757C3BA6" w14:textId="77777777" w:rsidTr="00D55DE3">
        <w:tc>
          <w:tcPr>
            <w:tcW w:w="9209" w:type="dxa"/>
          </w:tcPr>
          <w:p w14:paraId="2E61B57D" w14:textId="77777777" w:rsidR="00763870" w:rsidRPr="00763870" w:rsidRDefault="00763870" w:rsidP="00763870">
            <w:pPr>
              <w:jc w:val="center"/>
              <w:rPr>
                <w:rFonts w:eastAsia="Calibri"/>
                <w:sz w:val="22"/>
                <w:szCs w:val="26"/>
                <w:lang w:val="es-ES" w:eastAsia="en-US"/>
              </w:rPr>
            </w:pPr>
            <w:r w:rsidRPr="00763870">
              <w:rPr>
                <w:rFonts w:eastAsia="Calibri"/>
                <w:noProof/>
                <w:sz w:val="22"/>
                <w:szCs w:val="26"/>
                <w:lang w:eastAsia="es-MX"/>
              </w:rPr>
              <w:lastRenderedPageBreak/>
              <w:drawing>
                <wp:inline distT="0" distB="0" distL="0" distR="0" wp14:anchorId="44CFA955" wp14:editId="6DA00CB9">
                  <wp:extent cx="5116724" cy="2880000"/>
                  <wp:effectExtent l="0" t="0" r="0" b="0"/>
                  <wp:docPr id="1618" name="Imagen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t="8729" b="1122"/>
                          <a:stretch/>
                        </pic:blipFill>
                        <pic:spPr bwMode="auto">
                          <a:xfrm>
                            <a:off x="0" y="0"/>
                            <a:ext cx="5116724" cy="288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63870" w:rsidRPr="00763870" w14:paraId="0E3CAE04" w14:textId="77777777" w:rsidTr="00D55DE3">
        <w:tc>
          <w:tcPr>
            <w:tcW w:w="9209" w:type="dxa"/>
          </w:tcPr>
          <w:p w14:paraId="3A0934D5" w14:textId="77777777" w:rsidR="00763870" w:rsidRPr="00763870" w:rsidRDefault="00763870" w:rsidP="00763870">
            <w:pPr>
              <w:ind w:firstLine="601"/>
              <w:jc w:val="both"/>
              <w:rPr>
                <w:rFonts w:eastAsia="Calibri"/>
                <w:sz w:val="20"/>
                <w:szCs w:val="26"/>
                <w:lang w:val="es-ES" w:eastAsia="en-US"/>
              </w:rPr>
            </w:pPr>
            <w:r w:rsidRPr="00763870">
              <w:rPr>
                <w:rFonts w:eastAsia="Calibri"/>
                <w:sz w:val="20"/>
                <w:szCs w:val="26"/>
                <w:lang w:val="es-ES" w:eastAsia="en-US"/>
              </w:rPr>
              <w:t>FUENTE: Elaborado por el CEESP con datos de INEGI.</w:t>
            </w:r>
          </w:p>
        </w:tc>
      </w:tr>
    </w:tbl>
    <w:p w14:paraId="48EC92BD" w14:textId="77777777" w:rsidR="00763870" w:rsidRPr="00763870" w:rsidRDefault="00763870" w:rsidP="00763870">
      <w:pPr>
        <w:spacing w:after="360" w:line="360" w:lineRule="auto"/>
        <w:ind w:right="-159"/>
        <w:jc w:val="both"/>
        <w:rPr>
          <w:rFonts w:eastAsia="Calibri"/>
          <w:sz w:val="26"/>
          <w:szCs w:val="26"/>
          <w:lang w:val="es-ES" w:eastAsia="en-US"/>
        </w:rPr>
      </w:pPr>
    </w:p>
    <w:p w14:paraId="36C63AD9" w14:textId="77777777" w:rsidR="00763870" w:rsidRDefault="00763870" w:rsidP="00763870">
      <w:pPr>
        <w:spacing w:after="360" w:line="360" w:lineRule="auto"/>
        <w:ind w:right="-159"/>
        <w:jc w:val="both"/>
        <w:rPr>
          <w:rFonts w:eastAsia="Calibri"/>
          <w:sz w:val="26"/>
          <w:szCs w:val="26"/>
          <w:lang w:val="es-ES" w:eastAsia="en-US"/>
        </w:rPr>
      </w:pPr>
      <w:r w:rsidRPr="00763870">
        <w:rPr>
          <w:rFonts w:eastAsia="Calibri"/>
          <w:sz w:val="26"/>
          <w:szCs w:val="26"/>
          <w:lang w:val="es-ES" w:eastAsia="en-US"/>
        </w:rPr>
        <w:t>Se puede observar en la gráfica que incluye la inversión, cómo ésta sigue invariablemente a la confianza empresarial.</w:t>
      </w:r>
    </w:p>
    <w:tbl>
      <w:tblPr>
        <w:tblW w:w="9209" w:type="dxa"/>
        <w:tblLook w:val="04A0" w:firstRow="1" w:lastRow="0" w:firstColumn="1" w:lastColumn="0" w:noHBand="0" w:noVBand="1"/>
      </w:tblPr>
      <w:tblGrid>
        <w:gridCol w:w="9209"/>
      </w:tblGrid>
      <w:tr w:rsidR="00763870" w:rsidRPr="00763870" w14:paraId="6D6A77EF" w14:textId="77777777" w:rsidTr="00D55DE3">
        <w:tc>
          <w:tcPr>
            <w:tcW w:w="9209" w:type="dxa"/>
          </w:tcPr>
          <w:p w14:paraId="6DCC56AB" w14:textId="77777777" w:rsidR="00763870" w:rsidRPr="00763870" w:rsidRDefault="00763870" w:rsidP="00763870">
            <w:pPr>
              <w:jc w:val="center"/>
              <w:rPr>
                <w:rFonts w:eastAsia="Calibri"/>
                <w:b/>
                <w:sz w:val="22"/>
                <w:szCs w:val="26"/>
                <w:lang w:val="es-ES" w:eastAsia="en-US"/>
              </w:rPr>
            </w:pPr>
            <w:r w:rsidRPr="00763870">
              <w:rPr>
                <w:rFonts w:eastAsia="Calibri"/>
                <w:b/>
                <w:sz w:val="22"/>
                <w:szCs w:val="26"/>
                <w:lang w:val="es-ES" w:eastAsia="en-US"/>
              </w:rPr>
              <w:t>INDICADORES DE CONFIANZA EMPRESARIAL E INVERSIÓN PRIVADA</w:t>
            </w:r>
          </w:p>
          <w:p w14:paraId="5325D508" w14:textId="77777777" w:rsidR="00763870" w:rsidRPr="00763870" w:rsidRDefault="00763870" w:rsidP="00763870">
            <w:pPr>
              <w:jc w:val="center"/>
              <w:rPr>
                <w:rFonts w:eastAsia="Calibri"/>
                <w:b/>
                <w:sz w:val="22"/>
                <w:szCs w:val="26"/>
                <w:lang w:val="es-ES" w:eastAsia="en-US"/>
              </w:rPr>
            </w:pPr>
            <w:r w:rsidRPr="00763870">
              <w:rPr>
                <w:rFonts w:eastAsia="Calibri"/>
                <w:b/>
                <w:sz w:val="22"/>
                <w:szCs w:val="26"/>
                <w:lang w:val="es-ES" w:eastAsia="en-US"/>
              </w:rPr>
              <w:t>-Variación anual en puntos-</w:t>
            </w:r>
          </w:p>
        </w:tc>
      </w:tr>
      <w:tr w:rsidR="00763870" w:rsidRPr="00763870" w14:paraId="0353FC1F" w14:textId="77777777" w:rsidTr="00D55DE3">
        <w:tc>
          <w:tcPr>
            <w:tcW w:w="9209" w:type="dxa"/>
          </w:tcPr>
          <w:p w14:paraId="2887F879" w14:textId="77777777" w:rsidR="00763870" w:rsidRPr="00763870" w:rsidRDefault="00763870" w:rsidP="00763870">
            <w:pPr>
              <w:jc w:val="center"/>
              <w:rPr>
                <w:rFonts w:eastAsia="Calibri"/>
                <w:sz w:val="22"/>
                <w:szCs w:val="26"/>
                <w:lang w:val="es-ES" w:eastAsia="en-US"/>
              </w:rPr>
            </w:pPr>
            <w:r w:rsidRPr="00763870">
              <w:rPr>
                <w:rFonts w:eastAsia="Calibri"/>
                <w:noProof/>
                <w:sz w:val="22"/>
                <w:szCs w:val="26"/>
                <w:lang w:eastAsia="es-MX"/>
              </w:rPr>
              <w:drawing>
                <wp:inline distT="0" distB="0" distL="0" distR="0" wp14:anchorId="30151629" wp14:editId="33FFED99">
                  <wp:extent cx="5213445" cy="3059430"/>
                  <wp:effectExtent l="0" t="0" r="6350" b="0"/>
                  <wp:docPr id="1619" name="Imagen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t="4167" r="3890" b="1380"/>
                          <a:stretch/>
                        </pic:blipFill>
                        <pic:spPr bwMode="auto">
                          <a:xfrm>
                            <a:off x="0" y="0"/>
                            <a:ext cx="5214416" cy="30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63870" w:rsidRPr="00763870" w14:paraId="27BEFE9A" w14:textId="77777777" w:rsidTr="00D55DE3">
        <w:tc>
          <w:tcPr>
            <w:tcW w:w="9209" w:type="dxa"/>
          </w:tcPr>
          <w:p w14:paraId="47FBF3A6" w14:textId="77777777" w:rsidR="00763870" w:rsidRPr="00763870" w:rsidRDefault="00763870" w:rsidP="00763870">
            <w:pPr>
              <w:ind w:firstLine="601"/>
              <w:jc w:val="both"/>
              <w:rPr>
                <w:rFonts w:eastAsia="Calibri"/>
                <w:sz w:val="20"/>
                <w:szCs w:val="26"/>
                <w:lang w:val="es-ES" w:eastAsia="en-US"/>
              </w:rPr>
            </w:pPr>
            <w:r w:rsidRPr="00763870">
              <w:rPr>
                <w:rFonts w:eastAsia="Calibri"/>
                <w:sz w:val="20"/>
                <w:szCs w:val="26"/>
                <w:lang w:val="es-ES" w:eastAsia="en-US"/>
              </w:rPr>
              <w:t>FUENTE: Elaborado por el CEESP con datos de INEGI.</w:t>
            </w:r>
          </w:p>
        </w:tc>
      </w:tr>
    </w:tbl>
    <w:p w14:paraId="00582BF1" w14:textId="77777777" w:rsidR="00763870" w:rsidRPr="00763870" w:rsidRDefault="00763870" w:rsidP="00763870">
      <w:pPr>
        <w:spacing w:after="360" w:line="360" w:lineRule="auto"/>
        <w:ind w:right="-159"/>
        <w:jc w:val="both"/>
        <w:rPr>
          <w:rFonts w:eastAsia="Calibri"/>
          <w:sz w:val="26"/>
          <w:szCs w:val="26"/>
          <w:lang w:val="es-ES" w:eastAsia="en-US"/>
        </w:rPr>
      </w:pPr>
      <w:r w:rsidRPr="00763870">
        <w:rPr>
          <w:rFonts w:eastAsia="Calibri"/>
          <w:sz w:val="26"/>
          <w:szCs w:val="26"/>
          <w:lang w:val="es-ES" w:eastAsia="en-US"/>
        </w:rPr>
        <w:lastRenderedPageBreak/>
        <w:t>Crear un clima de confianza y certidumbre jurídica mostrará que en nuestro país las condiciones para hacer negocios son favorables y estables. Los inversionistas siempre están atentos al marco institucional que rodea los mercados hacia donde van a canalizar sus recursos.</w:t>
      </w:r>
    </w:p>
    <w:p w14:paraId="519A7EDD" w14:textId="77777777" w:rsidR="00763870" w:rsidRPr="00763870" w:rsidRDefault="00763870" w:rsidP="00763870">
      <w:pPr>
        <w:spacing w:after="360" w:line="360" w:lineRule="auto"/>
        <w:ind w:right="-159"/>
        <w:jc w:val="both"/>
        <w:rPr>
          <w:rFonts w:eastAsia="Calibri"/>
          <w:sz w:val="26"/>
          <w:szCs w:val="26"/>
          <w:lang w:val="es-ES" w:eastAsia="en-US"/>
        </w:rPr>
      </w:pPr>
      <w:r w:rsidRPr="00763870">
        <w:rPr>
          <w:rFonts w:eastAsia="Calibri"/>
          <w:sz w:val="26"/>
          <w:szCs w:val="26"/>
          <w:lang w:val="es-ES" w:eastAsia="en-US"/>
        </w:rPr>
        <w:t>No hay que olvidar que la fuente de financiamiento de capital físico y humano es la inversión, cuidarla y procurarla es deber de los poderes ejecutivo, judicial y legislativo.</w:t>
      </w:r>
    </w:p>
    <w:p w14:paraId="2F01B49C" w14:textId="77777777" w:rsidR="00763870" w:rsidRPr="00763870" w:rsidRDefault="00763870" w:rsidP="00763870">
      <w:pPr>
        <w:spacing w:after="360" w:line="360" w:lineRule="auto"/>
        <w:ind w:right="-159"/>
        <w:jc w:val="both"/>
        <w:rPr>
          <w:rFonts w:eastAsia="Calibri"/>
          <w:b/>
          <w:sz w:val="26"/>
          <w:szCs w:val="26"/>
          <w:lang w:val="es-ES" w:eastAsia="en-US"/>
        </w:rPr>
      </w:pPr>
      <w:r w:rsidRPr="00763870">
        <w:rPr>
          <w:rFonts w:eastAsia="Calibri"/>
          <w:b/>
          <w:sz w:val="26"/>
          <w:szCs w:val="26"/>
          <w:lang w:val="es-ES" w:eastAsia="en-US"/>
        </w:rPr>
        <w:t>México</w:t>
      </w:r>
    </w:p>
    <w:p w14:paraId="6F7AA21B" w14:textId="4D658771" w:rsidR="00763870" w:rsidRDefault="00763870" w:rsidP="00763870">
      <w:pPr>
        <w:spacing w:after="360" w:line="360" w:lineRule="auto"/>
        <w:ind w:right="-159"/>
        <w:jc w:val="both"/>
        <w:rPr>
          <w:rFonts w:eastAsia="Calibri"/>
          <w:sz w:val="26"/>
          <w:szCs w:val="26"/>
          <w:lang w:val="es-ES" w:eastAsia="en-US"/>
        </w:rPr>
      </w:pPr>
      <w:r w:rsidRPr="00763870">
        <w:rPr>
          <w:rFonts w:eastAsia="Calibri"/>
          <w:sz w:val="26"/>
          <w:szCs w:val="26"/>
          <w:lang w:val="es-ES" w:eastAsia="en-US"/>
        </w:rPr>
        <w:t xml:space="preserve">La actividad productiva de nuestro país siguió mostrando debilidad en el primer mes del presente año, lo que parece anticipar que al menos durante el primer trimestre seguiremos viendo tasas de crecimiento bajas. De acuerdo con el Instituto Nacional de Estadística y Geografía (INEGI), y utilizando cifras desestacionalizadas, durante enero la producción industrial reportó una caída mensual de 0.4%, con lo que acumuló dos meses consecutivos con variaciones negativas. En términos anuales tuvo una ganancia de 0.8%, sin embargo, mantiene una tendencia a la baja. El mayor deterioro lo tuvo la industria de la construcción al reportar una caída mensual de 1.5%, tras un descenso de 3.0% en la parte de edificación y de 1.5% en la de obra civil (infraestructura). Por su parte, la minería se contrajo 0.5% y la manufactura 0.1% mensual. Si bien en términos anuales los grandes rubros de la actividad industrial tuvieron avances, </w:t>
      </w:r>
      <w:r w:rsidR="009177B7">
        <w:rPr>
          <w:rFonts w:eastAsia="Calibri"/>
          <w:sz w:val="26"/>
          <w:szCs w:val="26"/>
          <w:lang w:val="es-ES" w:eastAsia="en-US"/>
        </w:rPr>
        <w:t>é</w:t>
      </w:r>
      <w:r w:rsidRPr="00763870">
        <w:rPr>
          <w:rFonts w:eastAsia="Calibri"/>
          <w:sz w:val="26"/>
          <w:szCs w:val="26"/>
          <w:lang w:val="es-ES" w:eastAsia="en-US"/>
        </w:rPr>
        <w:t>stos fueron menores a los del mes previo.</w:t>
      </w:r>
    </w:p>
    <w:p w14:paraId="0AA38A50" w14:textId="77777777" w:rsidR="009177B7" w:rsidRDefault="009177B7" w:rsidP="00763870">
      <w:pPr>
        <w:spacing w:after="360" w:line="360" w:lineRule="auto"/>
        <w:ind w:right="-159"/>
        <w:jc w:val="both"/>
        <w:rPr>
          <w:rFonts w:eastAsia="Calibri"/>
          <w:sz w:val="26"/>
          <w:szCs w:val="26"/>
          <w:lang w:val="es-ES" w:eastAsia="en-US"/>
        </w:rPr>
      </w:pPr>
    </w:p>
    <w:p w14:paraId="3EFDE86B" w14:textId="77777777" w:rsidR="009177B7" w:rsidRDefault="009177B7" w:rsidP="00763870">
      <w:pPr>
        <w:spacing w:after="360" w:line="360" w:lineRule="auto"/>
        <w:ind w:right="-159"/>
        <w:jc w:val="both"/>
        <w:rPr>
          <w:rFonts w:eastAsia="Calibri"/>
          <w:sz w:val="26"/>
          <w:szCs w:val="26"/>
          <w:lang w:val="es-ES" w:eastAsia="en-US"/>
        </w:rPr>
      </w:pPr>
    </w:p>
    <w:p w14:paraId="2DCA240B" w14:textId="77777777" w:rsidR="009177B7" w:rsidRDefault="009177B7" w:rsidP="00763870">
      <w:pPr>
        <w:spacing w:after="360" w:line="360" w:lineRule="auto"/>
        <w:ind w:right="-159"/>
        <w:jc w:val="both"/>
        <w:rPr>
          <w:rFonts w:eastAsia="Calibri"/>
          <w:sz w:val="26"/>
          <w:szCs w:val="26"/>
          <w:lang w:val="es-ES" w:eastAsia="en-US"/>
        </w:rPr>
      </w:pPr>
    </w:p>
    <w:p w14:paraId="3ED5854D" w14:textId="77777777" w:rsidR="009177B7" w:rsidRDefault="009177B7" w:rsidP="00763870">
      <w:pPr>
        <w:spacing w:after="360" w:line="360" w:lineRule="auto"/>
        <w:ind w:right="-159"/>
        <w:jc w:val="both"/>
        <w:rPr>
          <w:rFonts w:eastAsia="Calibri"/>
          <w:sz w:val="26"/>
          <w:szCs w:val="26"/>
          <w:lang w:val="es-ES" w:eastAsia="en-US"/>
        </w:rPr>
      </w:pPr>
    </w:p>
    <w:tbl>
      <w:tblPr>
        <w:tblW w:w="9209" w:type="dxa"/>
        <w:tblLook w:val="04A0" w:firstRow="1" w:lastRow="0" w:firstColumn="1" w:lastColumn="0" w:noHBand="0" w:noVBand="1"/>
      </w:tblPr>
      <w:tblGrid>
        <w:gridCol w:w="9209"/>
      </w:tblGrid>
      <w:tr w:rsidR="00763870" w:rsidRPr="00763870" w14:paraId="37B675A2" w14:textId="77777777" w:rsidTr="00D55DE3">
        <w:tc>
          <w:tcPr>
            <w:tcW w:w="9209" w:type="dxa"/>
          </w:tcPr>
          <w:p w14:paraId="4EA9D30E" w14:textId="77777777" w:rsidR="00763870" w:rsidRPr="00763870" w:rsidRDefault="00763870" w:rsidP="00763870">
            <w:pPr>
              <w:jc w:val="center"/>
              <w:rPr>
                <w:rFonts w:eastAsia="Calibri"/>
                <w:b/>
                <w:sz w:val="22"/>
                <w:szCs w:val="26"/>
                <w:lang w:val="es-ES" w:eastAsia="en-US"/>
              </w:rPr>
            </w:pPr>
            <w:r w:rsidRPr="00763870">
              <w:rPr>
                <w:rFonts w:eastAsia="Calibri"/>
                <w:b/>
                <w:sz w:val="22"/>
                <w:szCs w:val="26"/>
                <w:lang w:val="es-ES" w:eastAsia="en-US"/>
              </w:rPr>
              <w:lastRenderedPageBreak/>
              <w:t>PRODUCCIÓN INDUSTRIAL</w:t>
            </w:r>
          </w:p>
          <w:p w14:paraId="641293A1" w14:textId="77777777" w:rsidR="00763870" w:rsidRPr="00763870" w:rsidRDefault="00763870" w:rsidP="00763870">
            <w:pPr>
              <w:jc w:val="center"/>
              <w:rPr>
                <w:rFonts w:eastAsia="Calibri"/>
                <w:b/>
                <w:sz w:val="22"/>
                <w:szCs w:val="26"/>
                <w:lang w:val="es-ES" w:eastAsia="en-US"/>
              </w:rPr>
            </w:pPr>
            <w:r w:rsidRPr="00763870">
              <w:rPr>
                <w:rFonts w:eastAsia="Calibri"/>
                <w:b/>
                <w:sz w:val="22"/>
                <w:szCs w:val="26"/>
                <w:lang w:val="es-ES" w:eastAsia="en-US"/>
              </w:rPr>
              <w:t>-Cifras desestacionalizadas-</w:t>
            </w:r>
          </w:p>
        </w:tc>
      </w:tr>
      <w:tr w:rsidR="00763870" w:rsidRPr="00763870" w14:paraId="38181433" w14:textId="77777777" w:rsidTr="00D55DE3">
        <w:tc>
          <w:tcPr>
            <w:tcW w:w="9209" w:type="dxa"/>
          </w:tcPr>
          <w:p w14:paraId="6DCBA223" w14:textId="77777777" w:rsidR="00763870" w:rsidRPr="00763870" w:rsidRDefault="00763870" w:rsidP="00763870">
            <w:pPr>
              <w:jc w:val="center"/>
              <w:rPr>
                <w:rFonts w:eastAsia="Calibri"/>
                <w:sz w:val="22"/>
                <w:szCs w:val="26"/>
                <w:lang w:val="es-ES" w:eastAsia="en-US"/>
              </w:rPr>
            </w:pPr>
            <w:r w:rsidRPr="00763870">
              <w:rPr>
                <w:rFonts w:eastAsia="Calibri"/>
                <w:noProof/>
                <w:sz w:val="22"/>
                <w:szCs w:val="26"/>
                <w:lang w:eastAsia="es-MX"/>
              </w:rPr>
              <w:drawing>
                <wp:inline distT="0" distB="0" distL="0" distR="0" wp14:anchorId="7C4AE417" wp14:editId="601D3A91">
                  <wp:extent cx="5074249" cy="2880000"/>
                  <wp:effectExtent l="0" t="0" r="0" b="0"/>
                  <wp:docPr id="1620" name="Imagen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88" cstate="print">
                            <a:extLst>
                              <a:ext uri="{28A0092B-C50C-407E-A947-70E740481C1C}">
                                <a14:useLocalDpi xmlns:a14="http://schemas.microsoft.com/office/drawing/2010/main" val="0"/>
                              </a:ext>
                            </a:extLst>
                          </a:blip>
                          <a:srcRect t="8458" b="1496"/>
                          <a:stretch/>
                        </pic:blipFill>
                        <pic:spPr bwMode="auto">
                          <a:xfrm>
                            <a:off x="0" y="0"/>
                            <a:ext cx="5074249" cy="288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63870" w:rsidRPr="00763870" w14:paraId="36268D46" w14:textId="77777777" w:rsidTr="00D55DE3">
        <w:tc>
          <w:tcPr>
            <w:tcW w:w="9209" w:type="dxa"/>
          </w:tcPr>
          <w:p w14:paraId="0ECBA932" w14:textId="77777777" w:rsidR="00763870" w:rsidRPr="00763870" w:rsidRDefault="00763870" w:rsidP="00763870">
            <w:pPr>
              <w:ind w:firstLine="601"/>
              <w:jc w:val="both"/>
              <w:rPr>
                <w:rFonts w:eastAsia="Calibri"/>
                <w:sz w:val="20"/>
                <w:szCs w:val="26"/>
                <w:lang w:val="es-ES" w:eastAsia="en-US"/>
              </w:rPr>
            </w:pPr>
            <w:r w:rsidRPr="00763870">
              <w:rPr>
                <w:rFonts w:eastAsia="Calibri"/>
                <w:sz w:val="20"/>
                <w:szCs w:val="26"/>
                <w:lang w:val="es-ES" w:eastAsia="en-US"/>
              </w:rPr>
              <w:t>FUENTE: Elaborado por el CEESP con datos de INEGI.</w:t>
            </w:r>
          </w:p>
        </w:tc>
      </w:tr>
    </w:tbl>
    <w:p w14:paraId="0006936C" w14:textId="77777777" w:rsidR="00763870" w:rsidRPr="00763870" w:rsidRDefault="00763870" w:rsidP="00763870">
      <w:pPr>
        <w:spacing w:after="360" w:line="360" w:lineRule="auto"/>
        <w:ind w:right="-159"/>
        <w:jc w:val="both"/>
        <w:rPr>
          <w:rFonts w:eastAsia="Calibri"/>
          <w:sz w:val="26"/>
          <w:szCs w:val="26"/>
          <w:lang w:val="es-ES" w:eastAsia="en-US"/>
        </w:rPr>
      </w:pPr>
    </w:p>
    <w:p w14:paraId="1752334F" w14:textId="0019293C" w:rsidR="00763870" w:rsidRDefault="00763870" w:rsidP="00763870">
      <w:pPr>
        <w:spacing w:after="360" w:line="360" w:lineRule="auto"/>
        <w:ind w:right="-159"/>
        <w:jc w:val="both"/>
        <w:rPr>
          <w:rFonts w:eastAsia="Calibri"/>
          <w:sz w:val="26"/>
          <w:szCs w:val="26"/>
          <w:lang w:val="es-ES" w:eastAsia="en-US"/>
        </w:rPr>
      </w:pPr>
      <w:r w:rsidRPr="00763870">
        <w:rPr>
          <w:rFonts w:eastAsia="Calibri"/>
          <w:sz w:val="26"/>
          <w:szCs w:val="26"/>
          <w:lang w:val="es-ES" w:eastAsia="en-US"/>
        </w:rPr>
        <w:t>El INEGI informó que durante febrero del 2015</w:t>
      </w:r>
      <w:r w:rsidR="009177B7">
        <w:rPr>
          <w:rFonts w:eastAsia="Calibri"/>
          <w:sz w:val="26"/>
          <w:szCs w:val="26"/>
          <w:lang w:val="es-ES" w:eastAsia="en-US"/>
        </w:rPr>
        <w:t>,</w:t>
      </w:r>
      <w:r w:rsidRPr="00763870">
        <w:rPr>
          <w:rFonts w:eastAsia="Calibri"/>
          <w:sz w:val="26"/>
          <w:szCs w:val="26"/>
          <w:lang w:val="es-ES" w:eastAsia="en-US"/>
        </w:rPr>
        <w:t xml:space="preserve"> los precios al consumidor aumentaron a un ritmo mensual de 0.19%, lo que provocó que la inflación anual se ubicará en 3.0%. Esta situación provino del aumento mensual de 0.34% en el indicador de precios subyacente, que respondió </w:t>
      </w:r>
      <w:r w:rsidR="009177B7">
        <w:rPr>
          <w:rFonts w:eastAsia="Calibri"/>
          <w:sz w:val="26"/>
          <w:szCs w:val="26"/>
          <w:lang w:val="es-ES" w:eastAsia="en-US"/>
        </w:rPr>
        <w:t>a</w:t>
      </w:r>
      <w:r w:rsidRPr="00763870">
        <w:rPr>
          <w:rFonts w:eastAsia="Calibri"/>
          <w:sz w:val="26"/>
          <w:szCs w:val="26"/>
          <w:lang w:val="es-ES" w:eastAsia="en-US"/>
        </w:rPr>
        <w:t>l alza de 0.35% en el rubro de servicios y de 0.33% en el de mercancías (0.33%). El indicador no subyacente mostró un descenso mensual de 0.27%, principalmente por la caída de 0.88% en los precios agropecuarios, dentro del cual sobresale la disminución de 3.61% en los precios de frutas y verduras. El rubro de precios de energéticos y tarifas autorizadas por el gobierno tuvo un aumento mensual de 0.11%. De esta manera, la inflación anual subyacente se ubicó en 2.40%, mientras la no subyacente fue de 4.88 por ciento.</w:t>
      </w:r>
    </w:p>
    <w:p w14:paraId="604F9FF0" w14:textId="77777777" w:rsidR="009177B7" w:rsidRDefault="009177B7" w:rsidP="00763870">
      <w:pPr>
        <w:spacing w:after="360" w:line="360" w:lineRule="auto"/>
        <w:ind w:right="-159"/>
        <w:jc w:val="both"/>
        <w:rPr>
          <w:rFonts w:eastAsia="Calibri"/>
          <w:sz w:val="26"/>
          <w:szCs w:val="26"/>
          <w:lang w:val="es-ES" w:eastAsia="en-US"/>
        </w:rPr>
      </w:pPr>
    </w:p>
    <w:p w14:paraId="69B79C6B" w14:textId="77777777" w:rsidR="009177B7" w:rsidRDefault="009177B7" w:rsidP="00763870">
      <w:pPr>
        <w:spacing w:after="360" w:line="360" w:lineRule="auto"/>
        <w:ind w:right="-159"/>
        <w:jc w:val="both"/>
        <w:rPr>
          <w:rFonts w:eastAsia="Calibri"/>
          <w:sz w:val="26"/>
          <w:szCs w:val="26"/>
          <w:lang w:val="es-ES" w:eastAsia="en-US"/>
        </w:rPr>
      </w:pPr>
    </w:p>
    <w:p w14:paraId="43F8A15E" w14:textId="77777777" w:rsidR="009177B7" w:rsidRPr="00763870" w:rsidRDefault="009177B7" w:rsidP="00763870">
      <w:pPr>
        <w:spacing w:after="360" w:line="360" w:lineRule="auto"/>
        <w:ind w:right="-159"/>
        <w:jc w:val="both"/>
        <w:rPr>
          <w:rFonts w:eastAsia="Calibri"/>
          <w:sz w:val="26"/>
          <w:szCs w:val="26"/>
          <w:lang w:val="es-ES" w:eastAsia="en-US"/>
        </w:rPr>
      </w:pPr>
    </w:p>
    <w:tbl>
      <w:tblPr>
        <w:tblW w:w="9209" w:type="dxa"/>
        <w:tblLook w:val="04A0" w:firstRow="1" w:lastRow="0" w:firstColumn="1" w:lastColumn="0" w:noHBand="0" w:noVBand="1"/>
      </w:tblPr>
      <w:tblGrid>
        <w:gridCol w:w="9209"/>
      </w:tblGrid>
      <w:tr w:rsidR="00763870" w:rsidRPr="00763870" w14:paraId="054B0FF1" w14:textId="77777777" w:rsidTr="00D55DE3">
        <w:tc>
          <w:tcPr>
            <w:tcW w:w="9209" w:type="dxa"/>
          </w:tcPr>
          <w:p w14:paraId="47872375" w14:textId="77777777" w:rsidR="00763870" w:rsidRPr="00763870" w:rsidRDefault="00763870" w:rsidP="00763870">
            <w:pPr>
              <w:jc w:val="center"/>
              <w:rPr>
                <w:rFonts w:eastAsia="Calibri"/>
                <w:b/>
                <w:sz w:val="22"/>
                <w:szCs w:val="26"/>
                <w:lang w:val="es-ES" w:eastAsia="en-US"/>
              </w:rPr>
            </w:pPr>
            <w:r w:rsidRPr="00763870">
              <w:rPr>
                <w:rFonts w:eastAsia="Calibri"/>
                <w:b/>
                <w:sz w:val="22"/>
                <w:szCs w:val="26"/>
                <w:lang w:val="es-ES" w:eastAsia="en-US"/>
              </w:rPr>
              <w:lastRenderedPageBreak/>
              <w:t>PRECIOS AL CONSUMIDOR</w:t>
            </w:r>
          </w:p>
          <w:p w14:paraId="26682B1F" w14:textId="77777777" w:rsidR="00763870" w:rsidRPr="00763870" w:rsidRDefault="00763870" w:rsidP="00763870">
            <w:pPr>
              <w:jc w:val="center"/>
              <w:rPr>
                <w:rFonts w:eastAsia="Calibri"/>
                <w:b/>
                <w:sz w:val="22"/>
                <w:szCs w:val="26"/>
                <w:lang w:val="es-ES" w:eastAsia="en-US"/>
              </w:rPr>
            </w:pPr>
            <w:r w:rsidRPr="00763870">
              <w:rPr>
                <w:rFonts w:eastAsia="Calibri"/>
                <w:b/>
                <w:sz w:val="22"/>
                <w:szCs w:val="26"/>
                <w:lang w:val="es-ES" w:eastAsia="en-US"/>
              </w:rPr>
              <w:t>-Variación porcentual anual-</w:t>
            </w:r>
          </w:p>
        </w:tc>
      </w:tr>
      <w:tr w:rsidR="00763870" w:rsidRPr="00763870" w14:paraId="007233F5" w14:textId="77777777" w:rsidTr="00D55DE3">
        <w:tc>
          <w:tcPr>
            <w:tcW w:w="9209" w:type="dxa"/>
          </w:tcPr>
          <w:p w14:paraId="2BAF5590" w14:textId="77777777" w:rsidR="00763870" w:rsidRPr="00763870" w:rsidRDefault="00763870" w:rsidP="00763870">
            <w:pPr>
              <w:jc w:val="center"/>
              <w:rPr>
                <w:rFonts w:eastAsia="Calibri"/>
                <w:sz w:val="22"/>
                <w:szCs w:val="26"/>
                <w:lang w:val="es-ES" w:eastAsia="en-US"/>
              </w:rPr>
            </w:pPr>
            <w:r w:rsidRPr="00763870">
              <w:rPr>
                <w:rFonts w:eastAsia="Calibri"/>
                <w:noProof/>
                <w:sz w:val="22"/>
                <w:szCs w:val="26"/>
                <w:lang w:eastAsia="es-MX"/>
              </w:rPr>
              <w:drawing>
                <wp:inline distT="0" distB="0" distL="0" distR="0" wp14:anchorId="5C5CC263" wp14:editId="6D9A3783">
                  <wp:extent cx="5005727" cy="2880000"/>
                  <wp:effectExtent l="0" t="0" r="0" b="0"/>
                  <wp:docPr id="1621" name="Imagen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89" cstate="print">
                            <a:extLst>
                              <a:ext uri="{28A0092B-C50C-407E-A947-70E740481C1C}">
                                <a14:useLocalDpi xmlns:a14="http://schemas.microsoft.com/office/drawing/2010/main" val="0"/>
                              </a:ext>
                            </a:extLst>
                          </a:blip>
                          <a:srcRect t="3907" b="1365"/>
                          <a:stretch/>
                        </pic:blipFill>
                        <pic:spPr bwMode="auto">
                          <a:xfrm>
                            <a:off x="0" y="0"/>
                            <a:ext cx="5005727" cy="288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63870" w:rsidRPr="00763870" w14:paraId="07455730" w14:textId="77777777" w:rsidTr="00D55DE3">
        <w:tc>
          <w:tcPr>
            <w:tcW w:w="9209" w:type="dxa"/>
          </w:tcPr>
          <w:p w14:paraId="383FEBC9" w14:textId="77777777" w:rsidR="00763870" w:rsidRPr="00763870" w:rsidRDefault="00763870" w:rsidP="00763870">
            <w:pPr>
              <w:ind w:firstLine="601"/>
              <w:jc w:val="both"/>
              <w:rPr>
                <w:rFonts w:eastAsia="Calibri"/>
                <w:sz w:val="20"/>
                <w:szCs w:val="26"/>
                <w:lang w:val="es-ES" w:eastAsia="en-US"/>
              </w:rPr>
            </w:pPr>
            <w:r w:rsidRPr="00763870">
              <w:rPr>
                <w:rFonts w:eastAsia="Calibri"/>
                <w:sz w:val="20"/>
                <w:szCs w:val="26"/>
                <w:lang w:val="es-ES" w:eastAsia="en-US"/>
              </w:rPr>
              <w:t>FUENTE: Elaborado por el CEESP con datos de INEGI.</w:t>
            </w:r>
          </w:p>
        </w:tc>
      </w:tr>
    </w:tbl>
    <w:p w14:paraId="0A2E913A" w14:textId="77777777" w:rsidR="00763870" w:rsidRPr="00763870" w:rsidRDefault="00763870" w:rsidP="00763870">
      <w:pPr>
        <w:spacing w:after="360" w:line="360" w:lineRule="auto"/>
        <w:ind w:right="-159"/>
        <w:jc w:val="both"/>
        <w:rPr>
          <w:rFonts w:eastAsia="Calibri"/>
          <w:sz w:val="26"/>
          <w:szCs w:val="26"/>
          <w:lang w:val="es-ES" w:eastAsia="en-US"/>
        </w:rPr>
      </w:pPr>
    </w:p>
    <w:p w14:paraId="378607CE" w14:textId="34536D97" w:rsidR="00763870" w:rsidRDefault="00763870" w:rsidP="00763870">
      <w:pPr>
        <w:spacing w:after="360" w:line="360" w:lineRule="auto"/>
        <w:ind w:right="-159"/>
        <w:jc w:val="both"/>
        <w:rPr>
          <w:rFonts w:eastAsia="Calibri"/>
          <w:sz w:val="26"/>
          <w:szCs w:val="26"/>
          <w:lang w:val="es-ES" w:eastAsia="en-US"/>
        </w:rPr>
      </w:pPr>
      <w:r w:rsidRPr="00763870">
        <w:rPr>
          <w:rFonts w:eastAsia="Calibri"/>
          <w:sz w:val="26"/>
          <w:szCs w:val="26"/>
          <w:lang w:val="es-ES" w:eastAsia="en-US"/>
        </w:rPr>
        <w:t>El Instituto Mexicano del Seguro Social (IMSS) informó que durante febrero el número de trabajadores registrados aumentó en 133 mil 691, lo que significó la cifra más alta para el mismo mes en los últimos tres años. De esta manera, en el primer bimestre d</w:t>
      </w:r>
      <w:r w:rsidR="009177B7">
        <w:rPr>
          <w:rFonts w:eastAsia="Calibri"/>
          <w:sz w:val="26"/>
          <w:szCs w:val="26"/>
          <w:lang w:val="es-ES" w:eastAsia="en-US"/>
        </w:rPr>
        <w:t>e</w:t>
      </w:r>
      <w:r w:rsidRPr="00763870">
        <w:rPr>
          <w:rFonts w:eastAsia="Calibri"/>
          <w:sz w:val="26"/>
          <w:szCs w:val="26"/>
          <w:lang w:val="es-ES" w:eastAsia="en-US"/>
        </w:rPr>
        <w:t>l año se acumuló un aumento de 193 mil 475 registros. Sin embargo, es importante tener en cuenta que este avance no necesariamente representa la creación de nuevos empleos, toda vez que pueden ser personas que ya estaban ocupadas sin registro.</w:t>
      </w:r>
    </w:p>
    <w:p w14:paraId="7F9FF68B" w14:textId="77777777" w:rsidR="009177B7" w:rsidRDefault="009177B7" w:rsidP="00763870">
      <w:pPr>
        <w:spacing w:after="360" w:line="360" w:lineRule="auto"/>
        <w:ind w:right="-159"/>
        <w:jc w:val="both"/>
        <w:rPr>
          <w:rFonts w:eastAsia="Calibri"/>
          <w:sz w:val="26"/>
          <w:szCs w:val="26"/>
          <w:lang w:val="es-ES" w:eastAsia="en-US"/>
        </w:rPr>
      </w:pPr>
    </w:p>
    <w:p w14:paraId="36C237A5" w14:textId="77777777" w:rsidR="009177B7" w:rsidRDefault="009177B7" w:rsidP="00763870">
      <w:pPr>
        <w:spacing w:after="360" w:line="360" w:lineRule="auto"/>
        <w:ind w:right="-159"/>
        <w:jc w:val="both"/>
        <w:rPr>
          <w:rFonts w:eastAsia="Calibri"/>
          <w:sz w:val="26"/>
          <w:szCs w:val="26"/>
          <w:lang w:val="es-ES" w:eastAsia="en-US"/>
        </w:rPr>
      </w:pPr>
    </w:p>
    <w:p w14:paraId="53DD863D" w14:textId="77777777" w:rsidR="009177B7" w:rsidRDefault="009177B7" w:rsidP="00763870">
      <w:pPr>
        <w:spacing w:after="360" w:line="360" w:lineRule="auto"/>
        <w:ind w:right="-159"/>
        <w:jc w:val="both"/>
        <w:rPr>
          <w:rFonts w:eastAsia="Calibri"/>
          <w:sz w:val="26"/>
          <w:szCs w:val="26"/>
          <w:lang w:val="es-ES" w:eastAsia="en-US"/>
        </w:rPr>
      </w:pPr>
    </w:p>
    <w:p w14:paraId="7473AF12" w14:textId="77777777" w:rsidR="009177B7" w:rsidRDefault="009177B7" w:rsidP="00763870">
      <w:pPr>
        <w:spacing w:after="360" w:line="360" w:lineRule="auto"/>
        <w:ind w:right="-159"/>
        <w:jc w:val="both"/>
        <w:rPr>
          <w:rFonts w:eastAsia="Calibri"/>
          <w:sz w:val="26"/>
          <w:szCs w:val="26"/>
          <w:lang w:val="es-ES" w:eastAsia="en-US"/>
        </w:rPr>
      </w:pPr>
    </w:p>
    <w:p w14:paraId="1510285F" w14:textId="77777777" w:rsidR="009177B7" w:rsidRPr="00763870" w:rsidRDefault="009177B7" w:rsidP="00763870">
      <w:pPr>
        <w:spacing w:after="360" w:line="360" w:lineRule="auto"/>
        <w:ind w:right="-159"/>
        <w:jc w:val="both"/>
        <w:rPr>
          <w:rFonts w:eastAsia="Calibri"/>
          <w:sz w:val="26"/>
          <w:szCs w:val="26"/>
          <w:lang w:val="es-ES" w:eastAsia="en-US"/>
        </w:rPr>
      </w:pPr>
    </w:p>
    <w:tbl>
      <w:tblPr>
        <w:tblW w:w="9209" w:type="dxa"/>
        <w:tblLook w:val="04A0" w:firstRow="1" w:lastRow="0" w:firstColumn="1" w:lastColumn="0" w:noHBand="0" w:noVBand="1"/>
      </w:tblPr>
      <w:tblGrid>
        <w:gridCol w:w="9209"/>
      </w:tblGrid>
      <w:tr w:rsidR="00763870" w:rsidRPr="00763870" w14:paraId="6E9709C7" w14:textId="77777777" w:rsidTr="00D55DE3">
        <w:tc>
          <w:tcPr>
            <w:tcW w:w="9209" w:type="dxa"/>
          </w:tcPr>
          <w:p w14:paraId="032438FB" w14:textId="77777777" w:rsidR="00763870" w:rsidRPr="00763870" w:rsidRDefault="00763870" w:rsidP="00763870">
            <w:pPr>
              <w:jc w:val="center"/>
              <w:rPr>
                <w:rFonts w:eastAsia="Calibri"/>
                <w:b/>
                <w:sz w:val="22"/>
                <w:szCs w:val="26"/>
                <w:lang w:val="es-ES" w:eastAsia="en-US"/>
              </w:rPr>
            </w:pPr>
            <w:r w:rsidRPr="00763870">
              <w:rPr>
                <w:rFonts w:eastAsia="Calibri"/>
                <w:b/>
                <w:sz w:val="22"/>
                <w:szCs w:val="26"/>
                <w:lang w:val="es-ES" w:eastAsia="en-US"/>
              </w:rPr>
              <w:lastRenderedPageBreak/>
              <w:t>EVOLUCIÓN DE TRABAJADORES AFILIADOS AL IMSS</w:t>
            </w:r>
          </w:p>
          <w:p w14:paraId="1FAA9807" w14:textId="77777777" w:rsidR="00763870" w:rsidRPr="00763870" w:rsidRDefault="00763870" w:rsidP="00763870">
            <w:pPr>
              <w:jc w:val="center"/>
              <w:rPr>
                <w:rFonts w:eastAsia="Calibri"/>
                <w:b/>
                <w:sz w:val="22"/>
                <w:szCs w:val="26"/>
                <w:lang w:val="es-ES" w:eastAsia="en-US"/>
              </w:rPr>
            </w:pPr>
            <w:r w:rsidRPr="00763870">
              <w:rPr>
                <w:rFonts w:eastAsia="Calibri"/>
                <w:b/>
                <w:sz w:val="22"/>
                <w:szCs w:val="26"/>
                <w:lang w:val="es-ES" w:eastAsia="en-US"/>
              </w:rPr>
              <w:t>-Miles-</w:t>
            </w:r>
          </w:p>
        </w:tc>
      </w:tr>
      <w:tr w:rsidR="00763870" w:rsidRPr="00763870" w14:paraId="5ED67A55" w14:textId="77777777" w:rsidTr="00D55DE3">
        <w:tc>
          <w:tcPr>
            <w:tcW w:w="9209" w:type="dxa"/>
          </w:tcPr>
          <w:p w14:paraId="335F01D8" w14:textId="77777777" w:rsidR="00763870" w:rsidRPr="00763870" w:rsidRDefault="00763870" w:rsidP="00763870">
            <w:pPr>
              <w:jc w:val="center"/>
              <w:rPr>
                <w:rFonts w:eastAsia="Calibri"/>
                <w:sz w:val="22"/>
                <w:szCs w:val="26"/>
                <w:lang w:val="es-ES" w:eastAsia="en-US"/>
              </w:rPr>
            </w:pPr>
            <w:r w:rsidRPr="00763870">
              <w:rPr>
                <w:rFonts w:eastAsia="Calibri"/>
                <w:noProof/>
                <w:sz w:val="22"/>
                <w:szCs w:val="26"/>
                <w:lang w:eastAsia="es-MX"/>
              </w:rPr>
              <w:drawing>
                <wp:inline distT="0" distB="0" distL="0" distR="0" wp14:anchorId="50509DD7" wp14:editId="3FC427AF">
                  <wp:extent cx="4821152" cy="3060000"/>
                  <wp:effectExtent l="0" t="0" r="0" b="0"/>
                  <wp:docPr id="1622" name="Imagen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90" cstate="print">
                            <a:extLst>
                              <a:ext uri="{28A0092B-C50C-407E-A947-70E740481C1C}">
                                <a14:useLocalDpi xmlns:a14="http://schemas.microsoft.com/office/drawing/2010/main" val="0"/>
                              </a:ext>
                            </a:extLst>
                          </a:blip>
                          <a:srcRect t="1779" b="3010"/>
                          <a:stretch/>
                        </pic:blipFill>
                        <pic:spPr bwMode="auto">
                          <a:xfrm>
                            <a:off x="0" y="0"/>
                            <a:ext cx="4821152" cy="30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63870" w:rsidRPr="00763870" w14:paraId="16773244" w14:textId="77777777" w:rsidTr="00D55DE3">
        <w:tc>
          <w:tcPr>
            <w:tcW w:w="9209" w:type="dxa"/>
          </w:tcPr>
          <w:p w14:paraId="651FF7ED" w14:textId="77777777" w:rsidR="00763870" w:rsidRPr="00763870" w:rsidRDefault="00763870" w:rsidP="00763870">
            <w:pPr>
              <w:ind w:firstLine="885"/>
              <w:jc w:val="both"/>
              <w:rPr>
                <w:rFonts w:eastAsia="Calibri"/>
                <w:sz w:val="20"/>
                <w:szCs w:val="26"/>
                <w:lang w:val="es-ES" w:eastAsia="en-US"/>
              </w:rPr>
            </w:pPr>
            <w:r w:rsidRPr="00763870">
              <w:rPr>
                <w:rFonts w:eastAsia="Calibri"/>
                <w:sz w:val="20"/>
                <w:szCs w:val="26"/>
                <w:lang w:val="es-ES" w:eastAsia="en-US"/>
              </w:rPr>
              <w:t>FUENTE: Elaborado por el CEESP con datos del IMSS.</w:t>
            </w:r>
          </w:p>
        </w:tc>
      </w:tr>
    </w:tbl>
    <w:p w14:paraId="75D01525" w14:textId="77777777" w:rsidR="00763870" w:rsidRPr="00763870" w:rsidRDefault="00763870" w:rsidP="00763870">
      <w:pPr>
        <w:spacing w:after="360" w:line="360" w:lineRule="auto"/>
        <w:ind w:right="-159"/>
        <w:jc w:val="both"/>
        <w:rPr>
          <w:rFonts w:eastAsia="Calibri"/>
          <w:sz w:val="26"/>
          <w:szCs w:val="26"/>
          <w:lang w:val="es-ES" w:eastAsia="en-US"/>
        </w:rPr>
      </w:pPr>
    </w:p>
    <w:p w14:paraId="4AC8205B" w14:textId="77777777" w:rsidR="00763870" w:rsidRPr="00763870" w:rsidRDefault="00763870" w:rsidP="00763870">
      <w:pPr>
        <w:spacing w:after="360" w:line="360" w:lineRule="auto"/>
        <w:ind w:right="-159"/>
        <w:jc w:val="both"/>
        <w:rPr>
          <w:rFonts w:eastAsia="Calibri"/>
          <w:b/>
          <w:sz w:val="26"/>
          <w:szCs w:val="26"/>
          <w:lang w:val="es-ES" w:eastAsia="en-US"/>
        </w:rPr>
      </w:pPr>
      <w:r w:rsidRPr="00763870">
        <w:rPr>
          <w:rFonts w:eastAsia="Calibri"/>
          <w:b/>
          <w:sz w:val="26"/>
          <w:szCs w:val="26"/>
          <w:lang w:val="es-ES" w:eastAsia="en-US"/>
        </w:rPr>
        <w:t xml:space="preserve">Estados Unidos de Norteamérica </w:t>
      </w:r>
    </w:p>
    <w:p w14:paraId="7A8E1CE5" w14:textId="77777777" w:rsidR="00763870" w:rsidRPr="00763870" w:rsidRDefault="00763870" w:rsidP="00763870">
      <w:pPr>
        <w:spacing w:after="360" w:line="360" w:lineRule="auto"/>
        <w:ind w:right="-159"/>
        <w:jc w:val="both"/>
        <w:rPr>
          <w:rFonts w:eastAsia="Calibri"/>
          <w:sz w:val="26"/>
          <w:szCs w:val="26"/>
          <w:lang w:val="es-ES" w:eastAsia="en-US"/>
        </w:rPr>
      </w:pPr>
      <w:r w:rsidRPr="00763870">
        <w:rPr>
          <w:rFonts w:eastAsia="Calibri"/>
          <w:sz w:val="26"/>
          <w:szCs w:val="26"/>
          <w:lang w:val="es-ES" w:eastAsia="en-US"/>
        </w:rPr>
        <w:t>Contrario a la expectativa del mercado, que anticipaba un aumento de 0.4% en las ventas al menudeo durante enero, el Departamento de Comercio informó que estas tuvieron un descenso de 0.6%, con lo que acumularon tres meses consecutivos con variaciones negativas. Si bien no hay un factor que determine claramente este resultado, este comportamiento puede estar simplemente reflejando que los consumidores continúan fortaleciendo su ahorro en lugar de gastar. Las mayores caídas se observaron en los rubros de ventas de vehículos (2.5%) y de materiales de construcción y equipo de jardín (2.3%). Excluyendo la venta de vehículos, las ventas totales disminuyeron 0.1% mensual.</w:t>
      </w:r>
    </w:p>
    <w:p w14:paraId="38F7753A" w14:textId="77777777" w:rsidR="00763870" w:rsidRPr="00763870" w:rsidRDefault="00763870" w:rsidP="00763870">
      <w:pPr>
        <w:spacing w:after="360" w:line="360" w:lineRule="auto"/>
        <w:ind w:right="-159"/>
        <w:jc w:val="both"/>
        <w:rPr>
          <w:rFonts w:eastAsia="Calibri"/>
          <w:sz w:val="26"/>
          <w:szCs w:val="26"/>
          <w:lang w:val="es-ES" w:eastAsia="en-US"/>
        </w:rPr>
      </w:pPr>
    </w:p>
    <w:p w14:paraId="08590B9D" w14:textId="77777777" w:rsidR="00763870" w:rsidRPr="00763870" w:rsidRDefault="00763870" w:rsidP="00763870">
      <w:pPr>
        <w:spacing w:after="360" w:line="360" w:lineRule="auto"/>
        <w:ind w:right="-159"/>
        <w:jc w:val="both"/>
        <w:rPr>
          <w:rFonts w:eastAsia="Calibri"/>
          <w:sz w:val="26"/>
          <w:szCs w:val="26"/>
          <w:lang w:val="es-ES" w:eastAsia="en-US"/>
        </w:rPr>
      </w:pPr>
    </w:p>
    <w:tbl>
      <w:tblPr>
        <w:tblW w:w="9209" w:type="dxa"/>
        <w:tblLook w:val="04A0" w:firstRow="1" w:lastRow="0" w:firstColumn="1" w:lastColumn="0" w:noHBand="0" w:noVBand="1"/>
      </w:tblPr>
      <w:tblGrid>
        <w:gridCol w:w="9209"/>
      </w:tblGrid>
      <w:tr w:rsidR="00763870" w:rsidRPr="00763870" w14:paraId="41123E57" w14:textId="77777777" w:rsidTr="00D55DE3">
        <w:tc>
          <w:tcPr>
            <w:tcW w:w="9209" w:type="dxa"/>
          </w:tcPr>
          <w:p w14:paraId="58474440" w14:textId="77777777" w:rsidR="00763870" w:rsidRPr="00763870" w:rsidRDefault="00763870" w:rsidP="00763870">
            <w:pPr>
              <w:jc w:val="center"/>
              <w:rPr>
                <w:rFonts w:eastAsia="Calibri"/>
                <w:b/>
                <w:sz w:val="22"/>
                <w:szCs w:val="26"/>
                <w:lang w:val="es-ES" w:eastAsia="en-US"/>
              </w:rPr>
            </w:pPr>
            <w:r w:rsidRPr="00763870">
              <w:rPr>
                <w:rFonts w:eastAsia="Calibri"/>
                <w:b/>
                <w:sz w:val="22"/>
                <w:szCs w:val="26"/>
                <w:lang w:val="es-ES" w:eastAsia="en-US"/>
              </w:rPr>
              <w:lastRenderedPageBreak/>
              <w:t>ESTADOS UNIDOS DE NORTEAMÉRICA: VENTAS AL MENUDEO</w:t>
            </w:r>
          </w:p>
        </w:tc>
      </w:tr>
      <w:tr w:rsidR="00763870" w:rsidRPr="00763870" w14:paraId="1C500C17" w14:textId="77777777" w:rsidTr="00D55DE3">
        <w:tc>
          <w:tcPr>
            <w:tcW w:w="9209" w:type="dxa"/>
          </w:tcPr>
          <w:p w14:paraId="73EE6971" w14:textId="77777777" w:rsidR="00763870" w:rsidRPr="00763870" w:rsidRDefault="00763870" w:rsidP="00763870">
            <w:pPr>
              <w:jc w:val="center"/>
              <w:rPr>
                <w:rFonts w:eastAsia="Calibri"/>
                <w:sz w:val="22"/>
                <w:szCs w:val="26"/>
                <w:lang w:val="es-ES" w:eastAsia="en-US"/>
              </w:rPr>
            </w:pPr>
            <w:r w:rsidRPr="00763870">
              <w:rPr>
                <w:rFonts w:eastAsia="Calibri"/>
                <w:noProof/>
                <w:sz w:val="22"/>
                <w:szCs w:val="26"/>
                <w:lang w:eastAsia="es-MX"/>
              </w:rPr>
              <w:drawing>
                <wp:inline distT="0" distB="0" distL="0" distR="0" wp14:anchorId="63333199" wp14:editId="3E02B04B">
                  <wp:extent cx="5064012" cy="2880000"/>
                  <wp:effectExtent l="0" t="0" r="0" b="0"/>
                  <wp:docPr id="1623" name="Imagen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91" cstate="print">
                            <a:extLst>
                              <a:ext uri="{28A0092B-C50C-407E-A947-70E740481C1C}">
                                <a14:useLocalDpi xmlns:a14="http://schemas.microsoft.com/office/drawing/2010/main" val="0"/>
                              </a:ext>
                            </a:extLst>
                          </a:blip>
                          <a:srcRect t="3945" b="1372"/>
                          <a:stretch/>
                        </pic:blipFill>
                        <pic:spPr bwMode="auto">
                          <a:xfrm>
                            <a:off x="0" y="0"/>
                            <a:ext cx="5064012" cy="288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63870" w:rsidRPr="00763870" w14:paraId="1D321A92" w14:textId="77777777" w:rsidTr="00D55DE3">
        <w:tc>
          <w:tcPr>
            <w:tcW w:w="9209" w:type="dxa"/>
          </w:tcPr>
          <w:p w14:paraId="45EC8188" w14:textId="77777777" w:rsidR="00763870" w:rsidRPr="00763870" w:rsidRDefault="00763870" w:rsidP="00763870">
            <w:pPr>
              <w:ind w:firstLine="885"/>
              <w:jc w:val="both"/>
              <w:rPr>
                <w:rFonts w:eastAsia="Calibri"/>
                <w:sz w:val="20"/>
                <w:szCs w:val="26"/>
                <w:lang w:val="es-ES" w:eastAsia="en-US"/>
              </w:rPr>
            </w:pPr>
            <w:r w:rsidRPr="00763870">
              <w:rPr>
                <w:rFonts w:eastAsia="Calibri"/>
                <w:sz w:val="20"/>
                <w:szCs w:val="26"/>
                <w:lang w:val="es-ES" w:eastAsia="en-US"/>
              </w:rPr>
              <w:t>FUENTE: Elaborado por el CEESP con datos del Departamento de Comercio.</w:t>
            </w:r>
          </w:p>
        </w:tc>
      </w:tr>
    </w:tbl>
    <w:p w14:paraId="2632168D" w14:textId="77777777" w:rsidR="00763870" w:rsidRPr="00763870" w:rsidRDefault="00763870" w:rsidP="00763870">
      <w:pPr>
        <w:spacing w:after="360" w:line="360" w:lineRule="auto"/>
        <w:ind w:right="-159"/>
        <w:jc w:val="both"/>
        <w:rPr>
          <w:rFonts w:eastAsia="Calibri"/>
          <w:sz w:val="26"/>
          <w:szCs w:val="26"/>
          <w:lang w:val="es-ES" w:eastAsia="en-US"/>
        </w:rPr>
      </w:pPr>
    </w:p>
    <w:p w14:paraId="6A97EBF2" w14:textId="77777777" w:rsidR="00763870" w:rsidRPr="00763870" w:rsidRDefault="00763870" w:rsidP="00763870">
      <w:pPr>
        <w:spacing w:after="360" w:line="360" w:lineRule="auto"/>
        <w:ind w:right="-159"/>
        <w:jc w:val="both"/>
        <w:rPr>
          <w:rFonts w:eastAsia="Calibri"/>
          <w:sz w:val="26"/>
          <w:szCs w:val="26"/>
          <w:lang w:val="es-ES" w:eastAsia="en-US"/>
        </w:rPr>
      </w:pPr>
      <w:r w:rsidRPr="00763870">
        <w:rPr>
          <w:rFonts w:eastAsia="Calibri"/>
          <w:sz w:val="26"/>
          <w:szCs w:val="26"/>
          <w:lang w:val="es-ES" w:eastAsia="en-US"/>
        </w:rPr>
        <w:t>El Departamento del Trabajo informó que durante febrero, los precios al productor registraron una disminución de 0.5%, contrario a la expectativa del mercado que anticipaba un repunte de 0.3%. De esta manera, el indicador de precios acumuló cuatro meses consecutivos con variaciones negativas. En esta ocasión, mientras que los precios del rubro de energía se mantuvieron sin cambio, después de una caída de 103%, un mes antes, el segmento de alimentos reportó una disminución de 1.6%, lo que significó su tercera baja consecutiva. Excluyendo alimentos y energía, el indicador subyacente registró una disminución mensual de 0.1%, después de una baja de 0.2% del mes pasado.</w:t>
      </w:r>
    </w:p>
    <w:p w14:paraId="6143A31D" w14:textId="77777777" w:rsidR="00763870" w:rsidRPr="00763870" w:rsidRDefault="00763870" w:rsidP="00763870">
      <w:pPr>
        <w:spacing w:after="360" w:line="360" w:lineRule="auto"/>
        <w:ind w:right="-159"/>
        <w:jc w:val="both"/>
        <w:rPr>
          <w:rFonts w:eastAsia="Calibri"/>
          <w:sz w:val="26"/>
          <w:szCs w:val="26"/>
          <w:lang w:val="es-ES" w:eastAsia="en-US"/>
        </w:rPr>
      </w:pPr>
    </w:p>
    <w:p w14:paraId="7AD58791" w14:textId="77777777" w:rsidR="00763870" w:rsidRDefault="00763870" w:rsidP="00763870">
      <w:pPr>
        <w:spacing w:after="360" w:line="360" w:lineRule="auto"/>
        <w:ind w:right="-159"/>
        <w:jc w:val="both"/>
        <w:rPr>
          <w:rFonts w:eastAsia="Calibri"/>
          <w:sz w:val="26"/>
          <w:szCs w:val="26"/>
          <w:lang w:val="es-ES" w:eastAsia="en-US"/>
        </w:rPr>
      </w:pPr>
    </w:p>
    <w:p w14:paraId="27E98E78" w14:textId="77777777" w:rsidR="009177B7" w:rsidRPr="00763870" w:rsidRDefault="009177B7" w:rsidP="00763870">
      <w:pPr>
        <w:spacing w:after="360" w:line="360" w:lineRule="auto"/>
        <w:ind w:right="-159"/>
        <w:jc w:val="both"/>
        <w:rPr>
          <w:rFonts w:eastAsia="Calibri"/>
          <w:sz w:val="26"/>
          <w:szCs w:val="26"/>
          <w:lang w:val="es-ES" w:eastAsia="en-US"/>
        </w:rPr>
      </w:pPr>
    </w:p>
    <w:p w14:paraId="6CBEC56D" w14:textId="77777777" w:rsidR="00763870" w:rsidRPr="00763870" w:rsidRDefault="00763870" w:rsidP="00763870">
      <w:pPr>
        <w:spacing w:after="360" w:line="360" w:lineRule="auto"/>
        <w:ind w:right="-159"/>
        <w:jc w:val="both"/>
        <w:rPr>
          <w:rFonts w:eastAsia="Calibri"/>
          <w:sz w:val="26"/>
          <w:szCs w:val="26"/>
          <w:lang w:val="es-ES" w:eastAsia="en-US"/>
        </w:rPr>
      </w:pPr>
    </w:p>
    <w:tbl>
      <w:tblPr>
        <w:tblW w:w="0" w:type="auto"/>
        <w:jc w:val="center"/>
        <w:tblLayout w:type="fixed"/>
        <w:tblLook w:val="04A0" w:firstRow="1" w:lastRow="0" w:firstColumn="1" w:lastColumn="0" w:noHBand="0" w:noVBand="1"/>
      </w:tblPr>
      <w:tblGrid>
        <w:gridCol w:w="1812"/>
        <w:gridCol w:w="1449"/>
        <w:gridCol w:w="1559"/>
        <w:gridCol w:w="1559"/>
        <w:gridCol w:w="1559"/>
      </w:tblGrid>
      <w:tr w:rsidR="00763870" w:rsidRPr="00763870" w14:paraId="7F71499C" w14:textId="77777777" w:rsidTr="00763870">
        <w:trPr>
          <w:jc w:val="center"/>
        </w:trPr>
        <w:tc>
          <w:tcPr>
            <w:tcW w:w="7938" w:type="dxa"/>
            <w:gridSpan w:val="5"/>
            <w:tcBorders>
              <w:top w:val="nil"/>
              <w:left w:val="nil"/>
              <w:bottom w:val="single" w:sz="4" w:space="0" w:color="auto"/>
              <w:right w:val="nil"/>
            </w:tcBorders>
            <w:vAlign w:val="center"/>
          </w:tcPr>
          <w:p w14:paraId="6DA8DB42" w14:textId="77777777" w:rsidR="00763870" w:rsidRPr="00763870" w:rsidRDefault="00763870" w:rsidP="00763870">
            <w:pPr>
              <w:jc w:val="center"/>
              <w:rPr>
                <w:rFonts w:eastAsia="Calibri"/>
                <w:b/>
                <w:sz w:val="22"/>
                <w:szCs w:val="22"/>
                <w:lang w:val="es-ES" w:eastAsia="en-US"/>
              </w:rPr>
            </w:pPr>
            <w:r w:rsidRPr="00763870">
              <w:rPr>
                <w:rFonts w:eastAsia="Calibri"/>
                <w:b/>
                <w:sz w:val="22"/>
                <w:szCs w:val="22"/>
                <w:lang w:val="es-ES" w:eastAsia="en-US"/>
              </w:rPr>
              <w:lastRenderedPageBreak/>
              <w:t>ESTADOS UNIDOS DE NORTEAMÉRICA: PRECIOS AL PRODUCTOR</w:t>
            </w:r>
          </w:p>
          <w:p w14:paraId="01F06C24" w14:textId="77777777" w:rsidR="00763870" w:rsidRPr="00763870" w:rsidRDefault="00763870" w:rsidP="00763870">
            <w:pPr>
              <w:jc w:val="center"/>
              <w:rPr>
                <w:rFonts w:eastAsia="Calibri"/>
                <w:b/>
                <w:sz w:val="22"/>
                <w:szCs w:val="22"/>
                <w:lang w:val="es-ES" w:eastAsia="en-US"/>
              </w:rPr>
            </w:pPr>
            <w:r w:rsidRPr="00763870">
              <w:rPr>
                <w:rFonts w:eastAsia="Calibri"/>
                <w:b/>
                <w:sz w:val="22"/>
                <w:szCs w:val="22"/>
                <w:lang w:val="es-ES" w:eastAsia="en-US"/>
              </w:rPr>
              <w:t>-Variación % mensual-</w:t>
            </w:r>
          </w:p>
        </w:tc>
      </w:tr>
      <w:tr w:rsidR="00763870" w:rsidRPr="00763870" w14:paraId="100B3137" w14:textId="77777777" w:rsidTr="00D55DE3">
        <w:trPr>
          <w:jc w:val="center"/>
        </w:trPr>
        <w:tc>
          <w:tcPr>
            <w:tcW w:w="1812" w:type="dxa"/>
            <w:tcBorders>
              <w:top w:val="single" w:sz="4" w:space="0" w:color="auto"/>
              <w:left w:val="single" w:sz="4" w:space="0" w:color="auto"/>
              <w:bottom w:val="single" w:sz="4" w:space="0" w:color="auto"/>
              <w:right w:val="single" w:sz="4" w:space="0" w:color="auto"/>
            </w:tcBorders>
            <w:vAlign w:val="center"/>
          </w:tcPr>
          <w:p w14:paraId="3821F024" w14:textId="77777777" w:rsidR="00763870" w:rsidRPr="00763870" w:rsidRDefault="00763870" w:rsidP="00763870">
            <w:pPr>
              <w:jc w:val="center"/>
              <w:rPr>
                <w:rFonts w:eastAsia="Calibri"/>
                <w:b/>
                <w:sz w:val="18"/>
                <w:szCs w:val="18"/>
                <w:lang w:val="es-ES" w:eastAsia="en-US"/>
              </w:rPr>
            </w:pPr>
            <w:r w:rsidRPr="00763870">
              <w:rPr>
                <w:rFonts w:eastAsia="Calibri"/>
                <w:b/>
                <w:sz w:val="18"/>
                <w:szCs w:val="18"/>
                <w:lang w:val="es-ES" w:eastAsia="en-US"/>
              </w:rPr>
              <w:t>Mes</w:t>
            </w:r>
          </w:p>
        </w:tc>
        <w:tc>
          <w:tcPr>
            <w:tcW w:w="1449" w:type="dxa"/>
            <w:vMerge w:val="restart"/>
            <w:tcBorders>
              <w:top w:val="single" w:sz="4" w:space="0" w:color="auto"/>
              <w:left w:val="single" w:sz="4" w:space="0" w:color="auto"/>
              <w:right w:val="single" w:sz="4" w:space="0" w:color="auto"/>
            </w:tcBorders>
            <w:vAlign w:val="center"/>
          </w:tcPr>
          <w:p w14:paraId="09067969" w14:textId="77777777" w:rsidR="00763870" w:rsidRPr="00763870" w:rsidRDefault="00763870" w:rsidP="00763870">
            <w:pPr>
              <w:jc w:val="center"/>
              <w:rPr>
                <w:rFonts w:eastAsia="Calibri"/>
                <w:b/>
                <w:sz w:val="18"/>
                <w:szCs w:val="18"/>
                <w:lang w:val="es-ES" w:eastAsia="en-US"/>
              </w:rPr>
            </w:pPr>
            <w:r w:rsidRPr="00763870">
              <w:rPr>
                <w:rFonts w:eastAsia="Calibri"/>
                <w:b/>
                <w:sz w:val="18"/>
                <w:szCs w:val="18"/>
                <w:lang w:val="es-ES" w:eastAsia="en-US"/>
              </w:rPr>
              <w:t>Total</w:t>
            </w:r>
          </w:p>
        </w:tc>
        <w:tc>
          <w:tcPr>
            <w:tcW w:w="1559" w:type="dxa"/>
            <w:vMerge w:val="restart"/>
            <w:tcBorders>
              <w:top w:val="single" w:sz="4" w:space="0" w:color="auto"/>
              <w:left w:val="single" w:sz="4" w:space="0" w:color="auto"/>
              <w:right w:val="single" w:sz="4" w:space="0" w:color="auto"/>
            </w:tcBorders>
            <w:vAlign w:val="center"/>
          </w:tcPr>
          <w:p w14:paraId="586C6CF0" w14:textId="77777777" w:rsidR="00763870" w:rsidRPr="00763870" w:rsidRDefault="00763870" w:rsidP="00763870">
            <w:pPr>
              <w:jc w:val="center"/>
              <w:rPr>
                <w:rFonts w:eastAsia="Calibri"/>
                <w:b/>
                <w:sz w:val="18"/>
                <w:szCs w:val="18"/>
                <w:lang w:val="es-ES" w:eastAsia="en-US"/>
              </w:rPr>
            </w:pPr>
            <w:r w:rsidRPr="00763870">
              <w:rPr>
                <w:rFonts w:eastAsia="Calibri"/>
                <w:b/>
                <w:sz w:val="18"/>
                <w:szCs w:val="18"/>
                <w:lang w:val="es-ES" w:eastAsia="en-US"/>
              </w:rPr>
              <w:t>Alimentos</w:t>
            </w:r>
          </w:p>
        </w:tc>
        <w:tc>
          <w:tcPr>
            <w:tcW w:w="1559" w:type="dxa"/>
            <w:vMerge w:val="restart"/>
            <w:tcBorders>
              <w:top w:val="single" w:sz="4" w:space="0" w:color="auto"/>
              <w:left w:val="single" w:sz="4" w:space="0" w:color="auto"/>
              <w:right w:val="single" w:sz="4" w:space="0" w:color="auto"/>
            </w:tcBorders>
            <w:vAlign w:val="center"/>
          </w:tcPr>
          <w:p w14:paraId="529C0B14" w14:textId="77777777" w:rsidR="00763870" w:rsidRPr="00763870" w:rsidRDefault="00763870" w:rsidP="00763870">
            <w:pPr>
              <w:jc w:val="center"/>
              <w:rPr>
                <w:rFonts w:eastAsia="Calibri"/>
                <w:b/>
                <w:sz w:val="18"/>
                <w:szCs w:val="18"/>
                <w:lang w:val="es-ES" w:eastAsia="en-US"/>
              </w:rPr>
            </w:pPr>
            <w:r w:rsidRPr="00763870">
              <w:rPr>
                <w:rFonts w:eastAsia="Calibri"/>
                <w:b/>
                <w:sz w:val="18"/>
                <w:szCs w:val="18"/>
                <w:lang w:val="es-ES" w:eastAsia="en-US"/>
              </w:rPr>
              <w:t>Energía</w:t>
            </w:r>
          </w:p>
        </w:tc>
        <w:tc>
          <w:tcPr>
            <w:tcW w:w="1559" w:type="dxa"/>
            <w:vMerge w:val="restart"/>
            <w:tcBorders>
              <w:top w:val="single" w:sz="4" w:space="0" w:color="auto"/>
              <w:left w:val="single" w:sz="4" w:space="0" w:color="auto"/>
              <w:right w:val="single" w:sz="4" w:space="0" w:color="auto"/>
            </w:tcBorders>
            <w:vAlign w:val="center"/>
          </w:tcPr>
          <w:p w14:paraId="4761DA94" w14:textId="77777777" w:rsidR="00763870" w:rsidRPr="00763870" w:rsidRDefault="00763870" w:rsidP="00763870">
            <w:pPr>
              <w:jc w:val="center"/>
              <w:rPr>
                <w:rFonts w:eastAsia="Calibri"/>
                <w:b/>
                <w:sz w:val="18"/>
                <w:szCs w:val="18"/>
                <w:lang w:val="es-ES" w:eastAsia="en-US"/>
              </w:rPr>
            </w:pPr>
            <w:r w:rsidRPr="00763870">
              <w:rPr>
                <w:rFonts w:eastAsia="Calibri"/>
                <w:b/>
                <w:sz w:val="18"/>
                <w:szCs w:val="18"/>
                <w:lang w:val="es-ES" w:eastAsia="en-US"/>
              </w:rPr>
              <w:t>Subyacente</w:t>
            </w:r>
          </w:p>
        </w:tc>
      </w:tr>
      <w:tr w:rsidR="00763870" w:rsidRPr="00763870" w14:paraId="742C8715" w14:textId="77777777" w:rsidTr="00D55DE3">
        <w:trPr>
          <w:jc w:val="center"/>
        </w:trPr>
        <w:tc>
          <w:tcPr>
            <w:tcW w:w="1812" w:type="dxa"/>
            <w:tcBorders>
              <w:top w:val="single" w:sz="4" w:space="0" w:color="auto"/>
              <w:left w:val="single" w:sz="4" w:space="0" w:color="auto"/>
              <w:bottom w:val="single" w:sz="4" w:space="0" w:color="auto"/>
              <w:right w:val="single" w:sz="4" w:space="0" w:color="auto"/>
            </w:tcBorders>
            <w:vAlign w:val="center"/>
          </w:tcPr>
          <w:p w14:paraId="186BCF78" w14:textId="77777777" w:rsidR="00763870" w:rsidRPr="00763870" w:rsidRDefault="00763870" w:rsidP="00763870">
            <w:pPr>
              <w:jc w:val="both"/>
              <w:rPr>
                <w:rFonts w:eastAsia="Calibri"/>
                <w:b/>
                <w:sz w:val="18"/>
                <w:szCs w:val="18"/>
                <w:lang w:val="es-ES" w:eastAsia="en-US"/>
              </w:rPr>
            </w:pPr>
            <w:r w:rsidRPr="00763870">
              <w:rPr>
                <w:rFonts w:eastAsia="Calibri"/>
                <w:b/>
                <w:sz w:val="18"/>
                <w:szCs w:val="18"/>
                <w:lang w:val="es-ES" w:eastAsia="en-US"/>
              </w:rPr>
              <w:t>2014</w:t>
            </w:r>
          </w:p>
        </w:tc>
        <w:tc>
          <w:tcPr>
            <w:tcW w:w="1449" w:type="dxa"/>
            <w:vMerge/>
            <w:tcBorders>
              <w:left w:val="single" w:sz="4" w:space="0" w:color="auto"/>
              <w:bottom w:val="single" w:sz="4" w:space="0" w:color="auto"/>
              <w:right w:val="single" w:sz="4" w:space="0" w:color="auto"/>
            </w:tcBorders>
            <w:vAlign w:val="center"/>
          </w:tcPr>
          <w:p w14:paraId="7B02E2D1" w14:textId="77777777" w:rsidR="00763870" w:rsidRPr="00763870" w:rsidRDefault="00763870" w:rsidP="00763870">
            <w:pPr>
              <w:jc w:val="both"/>
              <w:rPr>
                <w:rFonts w:eastAsia="Calibri"/>
                <w:sz w:val="18"/>
                <w:szCs w:val="18"/>
                <w:lang w:val="es-ES" w:eastAsia="en-US"/>
              </w:rPr>
            </w:pPr>
          </w:p>
        </w:tc>
        <w:tc>
          <w:tcPr>
            <w:tcW w:w="1559" w:type="dxa"/>
            <w:vMerge/>
            <w:tcBorders>
              <w:left w:val="single" w:sz="4" w:space="0" w:color="auto"/>
              <w:bottom w:val="single" w:sz="4" w:space="0" w:color="auto"/>
              <w:right w:val="single" w:sz="4" w:space="0" w:color="auto"/>
            </w:tcBorders>
            <w:vAlign w:val="center"/>
          </w:tcPr>
          <w:p w14:paraId="38C45CEB" w14:textId="77777777" w:rsidR="00763870" w:rsidRPr="00763870" w:rsidRDefault="00763870" w:rsidP="00763870">
            <w:pPr>
              <w:jc w:val="both"/>
              <w:rPr>
                <w:rFonts w:eastAsia="Calibri"/>
                <w:sz w:val="18"/>
                <w:szCs w:val="18"/>
                <w:lang w:val="es-ES" w:eastAsia="en-US"/>
              </w:rPr>
            </w:pPr>
          </w:p>
        </w:tc>
        <w:tc>
          <w:tcPr>
            <w:tcW w:w="1559" w:type="dxa"/>
            <w:vMerge/>
            <w:tcBorders>
              <w:left w:val="single" w:sz="4" w:space="0" w:color="auto"/>
              <w:bottom w:val="single" w:sz="4" w:space="0" w:color="auto"/>
              <w:right w:val="single" w:sz="4" w:space="0" w:color="auto"/>
            </w:tcBorders>
            <w:vAlign w:val="center"/>
          </w:tcPr>
          <w:p w14:paraId="602D79E9" w14:textId="77777777" w:rsidR="00763870" w:rsidRPr="00763870" w:rsidRDefault="00763870" w:rsidP="00763870">
            <w:pPr>
              <w:jc w:val="both"/>
              <w:rPr>
                <w:rFonts w:eastAsia="Calibri"/>
                <w:sz w:val="18"/>
                <w:szCs w:val="18"/>
                <w:lang w:val="es-ES" w:eastAsia="en-US"/>
              </w:rPr>
            </w:pPr>
          </w:p>
        </w:tc>
        <w:tc>
          <w:tcPr>
            <w:tcW w:w="1559" w:type="dxa"/>
            <w:vMerge/>
            <w:tcBorders>
              <w:left w:val="single" w:sz="4" w:space="0" w:color="auto"/>
              <w:bottom w:val="single" w:sz="4" w:space="0" w:color="auto"/>
              <w:right w:val="single" w:sz="4" w:space="0" w:color="auto"/>
            </w:tcBorders>
            <w:vAlign w:val="center"/>
          </w:tcPr>
          <w:p w14:paraId="4BAAD7FB" w14:textId="77777777" w:rsidR="00763870" w:rsidRPr="00763870" w:rsidRDefault="00763870" w:rsidP="00763870">
            <w:pPr>
              <w:jc w:val="both"/>
              <w:rPr>
                <w:rFonts w:eastAsia="Calibri"/>
                <w:sz w:val="18"/>
                <w:szCs w:val="18"/>
                <w:lang w:val="es-ES" w:eastAsia="en-US"/>
              </w:rPr>
            </w:pPr>
          </w:p>
        </w:tc>
      </w:tr>
      <w:tr w:rsidR="00763870" w:rsidRPr="00763870" w14:paraId="3166E48F" w14:textId="77777777" w:rsidTr="00763870">
        <w:trPr>
          <w:jc w:val="center"/>
        </w:trPr>
        <w:tc>
          <w:tcPr>
            <w:tcW w:w="1812" w:type="dxa"/>
            <w:tcBorders>
              <w:top w:val="single" w:sz="4" w:space="0" w:color="auto"/>
              <w:left w:val="single" w:sz="4" w:space="0" w:color="auto"/>
              <w:bottom w:val="nil"/>
              <w:right w:val="single" w:sz="4" w:space="0" w:color="auto"/>
            </w:tcBorders>
            <w:vAlign w:val="center"/>
          </w:tcPr>
          <w:p w14:paraId="6B4714BB" w14:textId="77777777" w:rsidR="00763870" w:rsidRPr="00763870" w:rsidRDefault="00763870" w:rsidP="00763870">
            <w:pPr>
              <w:jc w:val="both"/>
              <w:rPr>
                <w:rFonts w:eastAsia="Calibri"/>
                <w:sz w:val="18"/>
                <w:szCs w:val="18"/>
                <w:lang w:val="es-ES" w:eastAsia="en-US"/>
              </w:rPr>
            </w:pPr>
            <w:r w:rsidRPr="00763870">
              <w:rPr>
                <w:rFonts w:eastAsia="Calibri"/>
                <w:sz w:val="18"/>
                <w:szCs w:val="18"/>
                <w:lang w:val="es-ES" w:eastAsia="en-US"/>
              </w:rPr>
              <w:t xml:space="preserve">Enero </w:t>
            </w:r>
          </w:p>
        </w:tc>
        <w:tc>
          <w:tcPr>
            <w:tcW w:w="1449" w:type="dxa"/>
            <w:tcBorders>
              <w:top w:val="single" w:sz="4" w:space="0" w:color="auto"/>
              <w:left w:val="single" w:sz="4" w:space="0" w:color="auto"/>
              <w:bottom w:val="nil"/>
              <w:right w:val="single" w:sz="4" w:space="0" w:color="auto"/>
            </w:tcBorders>
            <w:vAlign w:val="center"/>
          </w:tcPr>
          <w:p w14:paraId="20F33D8D" w14:textId="77777777" w:rsidR="00763870" w:rsidRPr="00763870" w:rsidRDefault="00763870" w:rsidP="00763870">
            <w:pPr>
              <w:ind w:right="423"/>
              <w:jc w:val="right"/>
              <w:rPr>
                <w:rFonts w:eastAsia="Calibri"/>
                <w:sz w:val="18"/>
                <w:szCs w:val="18"/>
                <w:lang w:val="es-ES" w:eastAsia="en-US"/>
              </w:rPr>
            </w:pPr>
            <w:r w:rsidRPr="00763870">
              <w:rPr>
                <w:rFonts w:eastAsia="Calibri"/>
                <w:sz w:val="18"/>
                <w:szCs w:val="18"/>
                <w:lang w:val="es-ES" w:eastAsia="en-US"/>
              </w:rPr>
              <w:t>0.3</w:t>
            </w:r>
          </w:p>
        </w:tc>
        <w:tc>
          <w:tcPr>
            <w:tcW w:w="1559" w:type="dxa"/>
            <w:tcBorders>
              <w:top w:val="single" w:sz="4" w:space="0" w:color="auto"/>
              <w:left w:val="single" w:sz="4" w:space="0" w:color="auto"/>
              <w:bottom w:val="nil"/>
              <w:right w:val="single" w:sz="4" w:space="0" w:color="auto"/>
            </w:tcBorders>
            <w:vAlign w:val="center"/>
          </w:tcPr>
          <w:p w14:paraId="2E8D0831" w14:textId="77777777" w:rsidR="00763870" w:rsidRPr="00763870" w:rsidRDefault="00763870" w:rsidP="00763870">
            <w:pPr>
              <w:ind w:right="523"/>
              <w:jc w:val="right"/>
              <w:rPr>
                <w:rFonts w:eastAsia="Calibri"/>
                <w:sz w:val="18"/>
                <w:szCs w:val="18"/>
                <w:lang w:val="es-ES" w:eastAsia="en-US"/>
              </w:rPr>
            </w:pPr>
            <w:r w:rsidRPr="00763870">
              <w:rPr>
                <w:rFonts w:eastAsia="Calibri"/>
                <w:sz w:val="18"/>
                <w:szCs w:val="18"/>
                <w:lang w:val="es-ES" w:eastAsia="en-US"/>
              </w:rPr>
              <w:t>0.7</w:t>
            </w:r>
          </w:p>
        </w:tc>
        <w:tc>
          <w:tcPr>
            <w:tcW w:w="1559" w:type="dxa"/>
            <w:tcBorders>
              <w:top w:val="single" w:sz="4" w:space="0" w:color="auto"/>
              <w:left w:val="single" w:sz="4" w:space="0" w:color="auto"/>
              <w:bottom w:val="nil"/>
              <w:right w:val="single" w:sz="4" w:space="0" w:color="auto"/>
            </w:tcBorders>
            <w:vAlign w:val="center"/>
          </w:tcPr>
          <w:p w14:paraId="737FFB97" w14:textId="77777777" w:rsidR="00763870" w:rsidRPr="00763870" w:rsidRDefault="00763870" w:rsidP="00763870">
            <w:pPr>
              <w:ind w:right="522"/>
              <w:jc w:val="right"/>
              <w:rPr>
                <w:rFonts w:eastAsia="Calibri"/>
                <w:sz w:val="18"/>
                <w:szCs w:val="18"/>
                <w:lang w:val="es-ES" w:eastAsia="en-US"/>
              </w:rPr>
            </w:pPr>
            <w:r w:rsidRPr="00763870">
              <w:rPr>
                <w:rFonts w:eastAsia="Calibri"/>
                <w:sz w:val="18"/>
                <w:szCs w:val="18"/>
                <w:lang w:val="es-ES" w:eastAsia="en-US"/>
              </w:rPr>
              <w:t>0.8</w:t>
            </w:r>
          </w:p>
        </w:tc>
        <w:tc>
          <w:tcPr>
            <w:tcW w:w="1559" w:type="dxa"/>
            <w:tcBorders>
              <w:top w:val="single" w:sz="4" w:space="0" w:color="auto"/>
              <w:left w:val="single" w:sz="4" w:space="0" w:color="auto"/>
              <w:bottom w:val="nil"/>
              <w:right w:val="single" w:sz="4" w:space="0" w:color="auto"/>
            </w:tcBorders>
            <w:vAlign w:val="center"/>
          </w:tcPr>
          <w:p w14:paraId="0FE3CE1D" w14:textId="77777777" w:rsidR="00763870" w:rsidRPr="00763870" w:rsidRDefault="00763870" w:rsidP="00763870">
            <w:pPr>
              <w:ind w:right="523"/>
              <w:jc w:val="right"/>
              <w:rPr>
                <w:rFonts w:eastAsia="Calibri"/>
                <w:sz w:val="18"/>
                <w:szCs w:val="18"/>
                <w:lang w:val="es-ES" w:eastAsia="en-US"/>
              </w:rPr>
            </w:pPr>
            <w:r w:rsidRPr="00763870">
              <w:rPr>
                <w:rFonts w:eastAsia="Calibri"/>
                <w:sz w:val="18"/>
                <w:szCs w:val="18"/>
                <w:lang w:val="es-ES" w:eastAsia="en-US"/>
              </w:rPr>
              <w:t>0.5</w:t>
            </w:r>
          </w:p>
        </w:tc>
      </w:tr>
      <w:tr w:rsidR="00763870" w:rsidRPr="00763870" w14:paraId="3ED20FCA" w14:textId="77777777" w:rsidTr="00763870">
        <w:trPr>
          <w:jc w:val="center"/>
        </w:trPr>
        <w:tc>
          <w:tcPr>
            <w:tcW w:w="1812" w:type="dxa"/>
            <w:tcBorders>
              <w:top w:val="nil"/>
              <w:left w:val="single" w:sz="4" w:space="0" w:color="auto"/>
              <w:bottom w:val="nil"/>
              <w:right w:val="single" w:sz="4" w:space="0" w:color="auto"/>
            </w:tcBorders>
            <w:vAlign w:val="center"/>
          </w:tcPr>
          <w:p w14:paraId="535B1A5D" w14:textId="77777777" w:rsidR="00763870" w:rsidRPr="00763870" w:rsidRDefault="00763870" w:rsidP="00763870">
            <w:pPr>
              <w:jc w:val="both"/>
              <w:rPr>
                <w:rFonts w:eastAsia="Calibri"/>
                <w:sz w:val="18"/>
                <w:szCs w:val="18"/>
                <w:lang w:val="es-ES" w:eastAsia="en-US"/>
              </w:rPr>
            </w:pPr>
            <w:r w:rsidRPr="00763870">
              <w:rPr>
                <w:rFonts w:eastAsia="Calibri"/>
                <w:sz w:val="18"/>
                <w:szCs w:val="18"/>
                <w:lang w:val="es-ES" w:eastAsia="en-US"/>
              </w:rPr>
              <w:t xml:space="preserve">Febrero </w:t>
            </w:r>
          </w:p>
        </w:tc>
        <w:tc>
          <w:tcPr>
            <w:tcW w:w="1449" w:type="dxa"/>
            <w:tcBorders>
              <w:top w:val="nil"/>
              <w:left w:val="single" w:sz="4" w:space="0" w:color="auto"/>
              <w:bottom w:val="nil"/>
              <w:right w:val="single" w:sz="4" w:space="0" w:color="auto"/>
            </w:tcBorders>
            <w:vAlign w:val="center"/>
          </w:tcPr>
          <w:p w14:paraId="690F4882" w14:textId="77777777" w:rsidR="00763870" w:rsidRPr="00763870" w:rsidRDefault="00763870" w:rsidP="00763870">
            <w:pPr>
              <w:ind w:right="423"/>
              <w:jc w:val="right"/>
              <w:rPr>
                <w:rFonts w:eastAsia="Calibri"/>
                <w:sz w:val="18"/>
                <w:szCs w:val="18"/>
                <w:lang w:val="es-ES" w:eastAsia="en-US"/>
              </w:rPr>
            </w:pPr>
            <w:r w:rsidRPr="00763870">
              <w:rPr>
                <w:rFonts w:eastAsia="Calibri"/>
                <w:sz w:val="18"/>
                <w:szCs w:val="18"/>
                <w:lang w:val="es-ES" w:eastAsia="en-US"/>
              </w:rPr>
              <w:t>0.2</w:t>
            </w:r>
          </w:p>
        </w:tc>
        <w:tc>
          <w:tcPr>
            <w:tcW w:w="1559" w:type="dxa"/>
            <w:tcBorders>
              <w:top w:val="nil"/>
              <w:left w:val="single" w:sz="4" w:space="0" w:color="auto"/>
              <w:bottom w:val="nil"/>
              <w:right w:val="single" w:sz="4" w:space="0" w:color="auto"/>
            </w:tcBorders>
            <w:vAlign w:val="center"/>
          </w:tcPr>
          <w:p w14:paraId="0A5DA48E" w14:textId="77777777" w:rsidR="00763870" w:rsidRPr="00763870" w:rsidRDefault="00763870" w:rsidP="00763870">
            <w:pPr>
              <w:ind w:right="523"/>
              <w:jc w:val="right"/>
              <w:rPr>
                <w:rFonts w:eastAsia="Calibri"/>
                <w:sz w:val="18"/>
                <w:szCs w:val="18"/>
                <w:lang w:val="es-ES" w:eastAsia="en-US"/>
              </w:rPr>
            </w:pPr>
            <w:r w:rsidRPr="00763870">
              <w:rPr>
                <w:rFonts w:eastAsia="Calibri"/>
                <w:sz w:val="18"/>
                <w:szCs w:val="18"/>
                <w:lang w:val="es-ES" w:eastAsia="en-US"/>
              </w:rPr>
              <w:t>0.5</w:t>
            </w:r>
          </w:p>
        </w:tc>
        <w:tc>
          <w:tcPr>
            <w:tcW w:w="1559" w:type="dxa"/>
            <w:tcBorders>
              <w:top w:val="nil"/>
              <w:left w:val="single" w:sz="4" w:space="0" w:color="auto"/>
              <w:bottom w:val="nil"/>
              <w:right w:val="single" w:sz="4" w:space="0" w:color="auto"/>
            </w:tcBorders>
            <w:vAlign w:val="center"/>
          </w:tcPr>
          <w:p w14:paraId="457EA2B1" w14:textId="77777777" w:rsidR="00763870" w:rsidRPr="00763870" w:rsidRDefault="00763870" w:rsidP="00763870">
            <w:pPr>
              <w:ind w:right="523"/>
              <w:jc w:val="right"/>
              <w:rPr>
                <w:rFonts w:eastAsia="Calibri"/>
                <w:sz w:val="18"/>
                <w:szCs w:val="18"/>
                <w:lang w:val="es-ES" w:eastAsia="en-US"/>
              </w:rPr>
            </w:pPr>
            <w:r w:rsidRPr="00763870">
              <w:rPr>
                <w:rFonts w:eastAsia="Calibri"/>
                <w:sz w:val="18"/>
                <w:szCs w:val="18"/>
                <w:lang w:val="es-ES" w:eastAsia="en-US"/>
              </w:rPr>
              <w:t>-0.5</w:t>
            </w:r>
          </w:p>
        </w:tc>
        <w:tc>
          <w:tcPr>
            <w:tcW w:w="1559" w:type="dxa"/>
            <w:tcBorders>
              <w:top w:val="nil"/>
              <w:left w:val="single" w:sz="4" w:space="0" w:color="auto"/>
              <w:bottom w:val="nil"/>
              <w:right w:val="single" w:sz="4" w:space="0" w:color="auto"/>
            </w:tcBorders>
            <w:vAlign w:val="center"/>
          </w:tcPr>
          <w:p w14:paraId="2634489A" w14:textId="77777777" w:rsidR="00763870" w:rsidRPr="00763870" w:rsidRDefault="00763870" w:rsidP="00763870">
            <w:pPr>
              <w:ind w:right="523"/>
              <w:jc w:val="right"/>
              <w:rPr>
                <w:rFonts w:eastAsia="Calibri"/>
                <w:sz w:val="18"/>
                <w:szCs w:val="18"/>
                <w:lang w:val="es-ES" w:eastAsia="en-US"/>
              </w:rPr>
            </w:pPr>
            <w:r w:rsidRPr="00763870">
              <w:rPr>
                <w:rFonts w:eastAsia="Calibri"/>
                <w:sz w:val="18"/>
                <w:szCs w:val="18"/>
                <w:lang w:val="es-ES" w:eastAsia="en-US"/>
              </w:rPr>
              <w:t>0.1</w:t>
            </w:r>
          </w:p>
        </w:tc>
      </w:tr>
      <w:tr w:rsidR="00763870" w:rsidRPr="00763870" w14:paraId="06FB6C86" w14:textId="77777777" w:rsidTr="00763870">
        <w:trPr>
          <w:jc w:val="center"/>
        </w:trPr>
        <w:tc>
          <w:tcPr>
            <w:tcW w:w="1812" w:type="dxa"/>
            <w:tcBorders>
              <w:top w:val="nil"/>
              <w:left w:val="single" w:sz="4" w:space="0" w:color="auto"/>
              <w:bottom w:val="nil"/>
              <w:right w:val="single" w:sz="4" w:space="0" w:color="auto"/>
            </w:tcBorders>
            <w:vAlign w:val="center"/>
          </w:tcPr>
          <w:p w14:paraId="1BB49C0A" w14:textId="77777777" w:rsidR="00763870" w:rsidRPr="00763870" w:rsidRDefault="00763870" w:rsidP="00763870">
            <w:pPr>
              <w:jc w:val="both"/>
              <w:rPr>
                <w:rFonts w:eastAsia="Calibri"/>
                <w:sz w:val="18"/>
                <w:szCs w:val="18"/>
                <w:lang w:val="es-ES" w:eastAsia="en-US"/>
              </w:rPr>
            </w:pPr>
            <w:r w:rsidRPr="00763870">
              <w:rPr>
                <w:rFonts w:eastAsia="Calibri"/>
                <w:sz w:val="18"/>
                <w:szCs w:val="18"/>
                <w:lang w:val="es-ES" w:eastAsia="en-US"/>
              </w:rPr>
              <w:t>Marzo</w:t>
            </w:r>
          </w:p>
        </w:tc>
        <w:tc>
          <w:tcPr>
            <w:tcW w:w="1449" w:type="dxa"/>
            <w:tcBorders>
              <w:top w:val="nil"/>
              <w:left w:val="single" w:sz="4" w:space="0" w:color="auto"/>
              <w:bottom w:val="nil"/>
              <w:right w:val="single" w:sz="4" w:space="0" w:color="auto"/>
            </w:tcBorders>
            <w:vAlign w:val="center"/>
          </w:tcPr>
          <w:p w14:paraId="7AD2F56F" w14:textId="77777777" w:rsidR="00763870" w:rsidRPr="00763870" w:rsidRDefault="00763870" w:rsidP="00763870">
            <w:pPr>
              <w:ind w:right="423"/>
              <w:jc w:val="right"/>
              <w:rPr>
                <w:rFonts w:eastAsia="Calibri"/>
                <w:sz w:val="18"/>
                <w:szCs w:val="18"/>
                <w:lang w:val="es-ES" w:eastAsia="en-US"/>
              </w:rPr>
            </w:pPr>
            <w:r w:rsidRPr="00763870">
              <w:rPr>
                <w:rFonts w:eastAsia="Calibri"/>
                <w:sz w:val="18"/>
                <w:szCs w:val="18"/>
                <w:lang w:val="es-ES" w:eastAsia="en-US"/>
              </w:rPr>
              <w:t>0.3</w:t>
            </w:r>
          </w:p>
        </w:tc>
        <w:tc>
          <w:tcPr>
            <w:tcW w:w="1559" w:type="dxa"/>
            <w:tcBorders>
              <w:top w:val="nil"/>
              <w:left w:val="single" w:sz="4" w:space="0" w:color="auto"/>
              <w:bottom w:val="nil"/>
              <w:right w:val="single" w:sz="4" w:space="0" w:color="auto"/>
            </w:tcBorders>
            <w:vAlign w:val="center"/>
          </w:tcPr>
          <w:p w14:paraId="0A1EA04F" w14:textId="77777777" w:rsidR="00763870" w:rsidRPr="00763870" w:rsidRDefault="00763870" w:rsidP="00763870">
            <w:pPr>
              <w:ind w:right="523"/>
              <w:jc w:val="right"/>
              <w:rPr>
                <w:rFonts w:eastAsia="Calibri"/>
                <w:sz w:val="18"/>
                <w:szCs w:val="18"/>
                <w:lang w:val="es-ES" w:eastAsia="en-US"/>
              </w:rPr>
            </w:pPr>
            <w:r w:rsidRPr="00763870">
              <w:rPr>
                <w:rFonts w:eastAsia="Calibri"/>
                <w:sz w:val="18"/>
                <w:szCs w:val="18"/>
                <w:lang w:val="es-ES" w:eastAsia="en-US"/>
              </w:rPr>
              <w:t>1.2</w:t>
            </w:r>
          </w:p>
        </w:tc>
        <w:tc>
          <w:tcPr>
            <w:tcW w:w="1559" w:type="dxa"/>
            <w:tcBorders>
              <w:top w:val="nil"/>
              <w:left w:val="single" w:sz="4" w:space="0" w:color="auto"/>
              <w:bottom w:val="nil"/>
              <w:right w:val="single" w:sz="4" w:space="0" w:color="auto"/>
            </w:tcBorders>
            <w:vAlign w:val="center"/>
          </w:tcPr>
          <w:p w14:paraId="53F8A946" w14:textId="77777777" w:rsidR="00763870" w:rsidRPr="00763870" w:rsidRDefault="00763870" w:rsidP="00763870">
            <w:pPr>
              <w:ind w:right="523"/>
              <w:jc w:val="right"/>
              <w:rPr>
                <w:rFonts w:eastAsia="Calibri"/>
                <w:sz w:val="18"/>
                <w:szCs w:val="18"/>
                <w:lang w:val="es-ES" w:eastAsia="en-US"/>
              </w:rPr>
            </w:pPr>
            <w:r w:rsidRPr="00763870">
              <w:rPr>
                <w:rFonts w:eastAsia="Calibri"/>
                <w:sz w:val="18"/>
                <w:szCs w:val="18"/>
                <w:lang w:val="es-ES" w:eastAsia="en-US"/>
              </w:rPr>
              <w:t>0.4</w:t>
            </w:r>
          </w:p>
        </w:tc>
        <w:tc>
          <w:tcPr>
            <w:tcW w:w="1559" w:type="dxa"/>
            <w:tcBorders>
              <w:top w:val="nil"/>
              <w:left w:val="single" w:sz="4" w:space="0" w:color="auto"/>
              <w:bottom w:val="nil"/>
              <w:right w:val="single" w:sz="4" w:space="0" w:color="auto"/>
            </w:tcBorders>
            <w:vAlign w:val="center"/>
          </w:tcPr>
          <w:p w14:paraId="0582D393" w14:textId="77777777" w:rsidR="00763870" w:rsidRPr="00763870" w:rsidRDefault="00763870" w:rsidP="00763870">
            <w:pPr>
              <w:ind w:right="523"/>
              <w:jc w:val="right"/>
              <w:rPr>
                <w:rFonts w:eastAsia="Calibri"/>
                <w:sz w:val="18"/>
                <w:szCs w:val="18"/>
                <w:lang w:val="es-ES" w:eastAsia="en-US"/>
              </w:rPr>
            </w:pPr>
            <w:r w:rsidRPr="00763870">
              <w:rPr>
                <w:rFonts w:eastAsia="Calibri"/>
                <w:sz w:val="18"/>
                <w:szCs w:val="18"/>
                <w:lang w:val="es-ES" w:eastAsia="en-US"/>
              </w:rPr>
              <w:t>0.0</w:t>
            </w:r>
          </w:p>
        </w:tc>
      </w:tr>
      <w:tr w:rsidR="00763870" w:rsidRPr="00763870" w14:paraId="76E0B73E" w14:textId="77777777" w:rsidTr="00763870">
        <w:trPr>
          <w:jc w:val="center"/>
        </w:trPr>
        <w:tc>
          <w:tcPr>
            <w:tcW w:w="1812" w:type="dxa"/>
            <w:tcBorders>
              <w:top w:val="nil"/>
              <w:left w:val="single" w:sz="4" w:space="0" w:color="auto"/>
              <w:bottom w:val="nil"/>
              <w:right w:val="single" w:sz="4" w:space="0" w:color="auto"/>
            </w:tcBorders>
            <w:vAlign w:val="center"/>
          </w:tcPr>
          <w:p w14:paraId="767EF40B" w14:textId="77777777" w:rsidR="00763870" w:rsidRPr="00763870" w:rsidRDefault="00763870" w:rsidP="00763870">
            <w:pPr>
              <w:jc w:val="both"/>
              <w:rPr>
                <w:rFonts w:eastAsia="Calibri"/>
                <w:sz w:val="18"/>
                <w:szCs w:val="18"/>
                <w:lang w:val="es-ES" w:eastAsia="en-US"/>
              </w:rPr>
            </w:pPr>
            <w:r w:rsidRPr="00763870">
              <w:rPr>
                <w:rFonts w:eastAsia="Calibri"/>
                <w:sz w:val="18"/>
                <w:szCs w:val="18"/>
                <w:lang w:val="es-ES" w:eastAsia="en-US"/>
              </w:rPr>
              <w:t>Abril</w:t>
            </w:r>
          </w:p>
        </w:tc>
        <w:tc>
          <w:tcPr>
            <w:tcW w:w="1449" w:type="dxa"/>
            <w:tcBorders>
              <w:top w:val="nil"/>
              <w:left w:val="single" w:sz="4" w:space="0" w:color="auto"/>
              <w:bottom w:val="nil"/>
              <w:right w:val="single" w:sz="4" w:space="0" w:color="auto"/>
            </w:tcBorders>
            <w:vAlign w:val="center"/>
          </w:tcPr>
          <w:p w14:paraId="7F654001" w14:textId="77777777" w:rsidR="00763870" w:rsidRPr="00763870" w:rsidRDefault="00763870" w:rsidP="00763870">
            <w:pPr>
              <w:ind w:right="423"/>
              <w:jc w:val="right"/>
              <w:rPr>
                <w:rFonts w:eastAsia="Calibri"/>
                <w:sz w:val="18"/>
                <w:szCs w:val="18"/>
                <w:lang w:val="es-ES" w:eastAsia="en-US"/>
              </w:rPr>
            </w:pPr>
            <w:r w:rsidRPr="00763870">
              <w:rPr>
                <w:rFonts w:eastAsia="Calibri"/>
                <w:sz w:val="18"/>
                <w:szCs w:val="18"/>
                <w:lang w:val="es-ES" w:eastAsia="en-US"/>
              </w:rPr>
              <w:t>0.1</w:t>
            </w:r>
          </w:p>
        </w:tc>
        <w:tc>
          <w:tcPr>
            <w:tcW w:w="1559" w:type="dxa"/>
            <w:tcBorders>
              <w:top w:val="nil"/>
              <w:left w:val="single" w:sz="4" w:space="0" w:color="auto"/>
              <w:bottom w:val="nil"/>
              <w:right w:val="single" w:sz="4" w:space="0" w:color="auto"/>
            </w:tcBorders>
            <w:vAlign w:val="center"/>
          </w:tcPr>
          <w:p w14:paraId="6A5569DC" w14:textId="77777777" w:rsidR="00763870" w:rsidRPr="00763870" w:rsidRDefault="00763870" w:rsidP="00763870">
            <w:pPr>
              <w:ind w:right="523"/>
              <w:jc w:val="right"/>
              <w:rPr>
                <w:rFonts w:eastAsia="Calibri"/>
                <w:sz w:val="18"/>
                <w:szCs w:val="18"/>
                <w:lang w:val="es-ES" w:eastAsia="en-US"/>
              </w:rPr>
            </w:pPr>
            <w:r w:rsidRPr="00763870">
              <w:rPr>
                <w:rFonts w:eastAsia="Calibri"/>
                <w:sz w:val="18"/>
                <w:szCs w:val="18"/>
                <w:lang w:val="es-ES" w:eastAsia="en-US"/>
              </w:rPr>
              <w:t>1.8</w:t>
            </w:r>
          </w:p>
        </w:tc>
        <w:tc>
          <w:tcPr>
            <w:tcW w:w="1559" w:type="dxa"/>
            <w:tcBorders>
              <w:top w:val="nil"/>
              <w:left w:val="single" w:sz="4" w:space="0" w:color="auto"/>
              <w:bottom w:val="nil"/>
              <w:right w:val="single" w:sz="4" w:space="0" w:color="auto"/>
            </w:tcBorders>
            <w:vAlign w:val="center"/>
          </w:tcPr>
          <w:p w14:paraId="69CB14BB" w14:textId="77777777" w:rsidR="00763870" w:rsidRPr="00763870" w:rsidRDefault="00763870" w:rsidP="00763870">
            <w:pPr>
              <w:ind w:right="523"/>
              <w:jc w:val="right"/>
              <w:rPr>
                <w:rFonts w:eastAsia="Calibri"/>
                <w:sz w:val="18"/>
                <w:szCs w:val="18"/>
                <w:lang w:val="es-ES" w:eastAsia="en-US"/>
              </w:rPr>
            </w:pPr>
            <w:r w:rsidRPr="00763870">
              <w:rPr>
                <w:rFonts w:eastAsia="Calibri"/>
                <w:sz w:val="18"/>
                <w:szCs w:val="18"/>
                <w:lang w:val="es-ES" w:eastAsia="en-US"/>
              </w:rPr>
              <w:t>-0.5</w:t>
            </w:r>
          </w:p>
        </w:tc>
        <w:tc>
          <w:tcPr>
            <w:tcW w:w="1559" w:type="dxa"/>
            <w:tcBorders>
              <w:top w:val="nil"/>
              <w:left w:val="single" w:sz="4" w:space="0" w:color="auto"/>
              <w:bottom w:val="nil"/>
              <w:right w:val="single" w:sz="4" w:space="0" w:color="auto"/>
            </w:tcBorders>
            <w:vAlign w:val="center"/>
          </w:tcPr>
          <w:p w14:paraId="2EE734C8" w14:textId="77777777" w:rsidR="00763870" w:rsidRPr="00763870" w:rsidRDefault="00763870" w:rsidP="00763870">
            <w:pPr>
              <w:ind w:right="523"/>
              <w:jc w:val="right"/>
              <w:rPr>
                <w:rFonts w:eastAsia="Calibri"/>
                <w:sz w:val="18"/>
                <w:szCs w:val="18"/>
                <w:lang w:val="es-ES" w:eastAsia="en-US"/>
              </w:rPr>
            </w:pPr>
            <w:r w:rsidRPr="00763870">
              <w:rPr>
                <w:rFonts w:eastAsia="Calibri"/>
                <w:sz w:val="18"/>
                <w:szCs w:val="18"/>
                <w:lang w:val="es-ES" w:eastAsia="en-US"/>
              </w:rPr>
              <w:t>0.2</w:t>
            </w:r>
          </w:p>
        </w:tc>
      </w:tr>
      <w:tr w:rsidR="00763870" w:rsidRPr="00763870" w14:paraId="2ED68C32" w14:textId="77777777" w:rsidTr="00763870">
        <w:trPr>
          <w:jc w:val="center"/>
        </w:trPr>
        <w:tc>
          <w:tcPr>
            <w:tcW w:w="1812" w:type="dxa"/>
            <w:tcBorders>
              <w:top w:val="nil"/>
              <w:left w:val="single" w:sz="4" w:space="0" w:color="auto"/>
              <w:bottom w:val="nil"/>
              <w:right w:val="single" w:sz="4" w:space="0" w:color="auto"/>
            </w:tcBorders>
            <w:vAlign w:val="center"/>
          </w:tcPr>
          <w:p w14:paraId="25E2B684" w14:textId="77777777" w:rsidR="00763870" w:rsidRPr="00763870" w:rsidRDefault="00763870" w:rsidP="00763870">
            <w:pPr>
              <w:jc w:val="both"/>
              <w:rPr>
                <w:rFonts w:eastAsia="Calibri"/>
                <w:sz w:val="18"/>
                <w:szCs w:val="18"/>
                <w:lang w:val="es-ES" w:eastAsia="en-US"/>
              </w:rPr>
            </w:pPr>
            <w:r w:rsidRPr="00763870">
              <w:rPr>
                <w:rFonts w:eastAsia="Calibri"/>
                <w:sz w:val="18"/>
                <w:szCs w:val="18"/>
                <w:lang w:val="es-ES" w:eastAsia="en-US"/>
              </w:rPr>
              <w:t>Mayo</w:t>
            </w:r>
          </w:p>
        </w:tc>
        <w:tc>
          <w:tcPr>
            <w:tcW w:w="1449" w:type="dxa"/>
            <w:tcBorders>
              <w:top w:val="nil"/>
              <w:left w:val="single" w:sz="4" w:space="0" w:color="auto"/>
              <w:bottom w:val="nil"/>
              <w:right w:val="single" w:sz="4" w:space="0" w:color="auto"/>
            </w:tcBorders>
            <w:vAlign w:val="center"/>
          </w:tcPr>
          <w:p w14:paraId="0580BC80" w14:textId="77777777" w:rsidR="00763870" w:rsidRPr="00763870" w:rsidRDefault="00763870" w:rsidP="00763870">
            <w:pPr>
              <w:ind w:right="423"/>
              <w:jc w:val="right"/>
              <w:rPr>
                <w:rFonts w:eastAsia="Calibri"/>
                <w:sz w:val="18"/>
                <w:szCs w:val="18"/>
                <w:lang w:val="es-ES" w:eastAsia="en-US"/>
              </w:rPr>
            </w:pPr>
            <w:r w:rsidRPr="00763870">
              <w:rPr>
                <w:rFonts w:eastAsia="Calibri"/>
                <w:sz w:val="18"/>
                <w:szCs w:val="18"/>
                <w:lang w:val="es-ES" w:eastAsia="en-US"/>
              </w:rPr>
              <w:t>0.3</w:t>
            </w:r>
          </w:p>
        </w:tc>
        <w:tc>
          <w:tcPr>
            <w:tcW w:w="1559" w:type="dxa"/>
            <w:tcBorders>
              <w:top w:val="nil"/>
              <w:left w:val="single" w:sz="4" w:space="0" w:color="auto"/>
              <w:bottom w:val="nil"/>
              <w:right w:val="single" w:sz="4" w:space="0" w:color="auto"/>
            </w:tcBorders>
            <w:vAlign w:val="center"/>
          </w:tcPr>
          <w:p w14:paraId="36CC261C" w14:textId="77777777" w:rsidR="00763870" w:rsidRPr="00763870" w:rsidRDefault="00763870" w:rsidP="00763870">
            <w:pPr>
              <w:ind w:right="523"/>
              <w:jc w:val="right"/>
              <w:rPr>
                <w:rFonts w:eastAsia="Calibri"/>
                <w:sz w:val="18"/>
                <w:szCs w:val="18"/>
                <w:lang w:val="es-ES" w:eastAsia="en-US"/>
              </w:rPr>
            </w:pPr>
            <w:r w:rsidRPr="00763870">
              <w:rPr>
                <w:rFonts w:eastAsia="Calibri"/>
                <w:sz w:val="18"/>
                <w:szCs w:val="18"/>
                <w:lang w:val="es-ES" w:eastAsia="en-US"/>
              </w:rPr>
              <w:t>-0.1</w:t>
            </w:r>
          </w:p>
        </w:tc>
        <w:tc>
          <w:tcPr>
            <w:tcW w:w="1559" w:type="dxa"/>
            <w:tcBorders>
              <w:top w:val="nil"/>
              <w:left w:val="single" w:sz="4" w:space="0" w:color="auto"/>
              <w:bottom w:val="nil"/>
              <w:right w:val="single" w:sz="4" w:space="0" w:color="auto"/>
            </w:tcBorders>
            <w:vAlign w:val="center"/>
          </w:tcPr>
          <w:p w14:paraId="50DECF12" w14:textId="77777777" w:rsidR="00763870" w:rsidRPr="00763870" w:rsidRDefault="00763870" w:rsidP="00763870">
            <w:pPr>
              <w:ind w:right="523"/>
              <w:jc w:val="right"/>
              <w:rPr>
                <w:rFonts w:eastAsia="Calibri"/>
                <w:sz w:val="18"/>
                <w:szCs w:val="18"/>
                <w:lang w:val="es-ES" w:eastAsia="en-US"/>
              </w:rPr>
            </w:pPr>
            <w:r w:rsidRPr="00763870">
              <w:rPr>
                <w:rFonts w:eastAsia="Calibri"/>
                <w:sz w:val="18"/>
                <w:szCs w:val="18"/>
                <w:lang w:val="es-ES" w:eastAsia="en-US"/>
              </w:rPr>
              <w:t>0.4</w:t>
            </w:r>
          </w:p>
        </w:tc>
        <w:tc>
          <w:tcPr>
            <w:tcW w:w="1559" w:type="dxa"/>
            <w:tcBorders>
              <w:top w:val="nil"/>
              <w:left w:val="single" w:sz="4" w:space="0" w:color="auto"/>
              <w:bottom w:val="nil"/>
              <w:right w:val="single" w:sz="4" w:space="0" w:color="auto"/>
            </w:tcBorders>
            <w:vAlign w:val="center"/>
          </w:tcPr>
          <w:p w14:paraId="0EBAC9A6" w14:textId="77777777" w:rsidR="00763870" w:rsidRPr="00763870" w:rsidRDefault="00763870" w:rsidP="00763870">
            <w:pPr>
              <w:ind w:right="523"/>
              <w:jc w:val="right"/>
              <w:rPr>
                <w:rFonts w:eastAsia="Calibri"/>
                <w:sz w:val="18"/>
                <w:szCs w:val="18"/>
                <w:lang w:val="es-ES" w:eastAsia="en-US"/>
              </w:rPr>
            </w:pPr>
            <w:r w:rsidRPr="00763870">
              <w:rPr>
                <w:rFonts w:eastAsia="Calibri"/>
                <w:sz w:val="18"/>
                <w:szCs w:val="18"/>
                <w:lang w:val="es-ES" w:eastAsia="en-US"/>
              </w:rPr>
              <w:t>0.1</w:t>
            </w:r>
          </w:p>
        </w:tc>
      </w:tr>
      <w:tr w:rsidR="00763870" w:rsidRPr="00763870" w14:paraId="1880AA09" w14:textId="77777777" w:rsidTr="00763870">
        <w:trPr>
          <w:jc w:val="center"/>
        </w:trPr>
        <w:tc>
          <w:tcPr>
            <w:tcW w:w="1812" w:type="dxa"/>
            <w:tcBorders>
              <w:top w:val="nil"/>
              <w:left w:val="single" w:sz="4" w:space="0" w:color="auto"/>
              <w:bottom w:val="nil"/>
              <w:right w:val="single" w:sz="4" w:space="0" w:color="auto"/>
            </w:tcBorders>
            <w:vAlign w:val="center"/>
          </w:tcPr>
          <w:p w14:paraId="77CD180D" w14:textId="77777777" w:rsidR="00763870" w:rsidRPr="00763870" w:rsidRDefault="00763870" w:rsidP="00763870">
            <w:pPr>
              <w:jc w:val="both"/>
              <w:rPr>
                <w:rFonts w:eastAsia="Calibri"/>
                <w:sz w:val="18"/>
                <w:szCs w:val="18"/>
                <w:lang w:val="es-ES" w:eastAsia="en-US"/>
              </w:rPr>
            </w:pPr>
            <w:r w:rsidRPr="00763870">
              <w:rPr>
                <w:rFonts w:eastAsia="Calibri"/>
                <w:sz w:val="18"/>
                <w:szCs w:val="18"/>
                <w:lang w:val="es-ES" w:eastAsia="en-US"/>
              </w:rPr>
              <w:t>Junio</w:t>
            </w:r>
          </w:p>
        </w:tc>
        <w:tc>
          <w:tcPr>
            <w:tcW w:w="1449" w:type="dxa"/>
            <w:tcBorders>
              <w:top w:val="nil"/>
              <w:left w:val="single" w:sz="4" w:space="0" w:color="auto"/>
              <w:bottom w:val="nil"/>
              <w:right w:val="single" w:sz="4" w:space="0" w:color="auto"/>
            </w:tcBorders>
            <w:vAlign w:val="center"/>
          </w:tcPr>
          <w:p w14:paraId="1220AC47" w14:textId="77777777" w:rsidR="00763870" w:rsidRPr="00763870" w:rsidRDefault="00763870" w:rsidP="00763870">
            <w:pPr>
              <w:ind w:right="423"/>
              <w:jc w:val="right"/>
              <w:rPr>
                <w:rFonts w:eastAsia="Calibri"/>
                <w:sz w:val="18"/>
                <w:szCs w:val="18"/>
                <w:lang w:val="es-ES" w:eastAsia="en-US"/>
              </w:rPr>
            </w:pPr>
            <w:r w:rsidRPr="00763870">
              <w:rPr>
                <w:rFonts w:eastAsia="Calibri"/>
                <w:sz w:val="18"/>
                <w:szCs w:val="18"/>
                <w:lang w:val="es-ES" w:eastAsia="en-US"/>
              </w:rPr>
              <w:t>0.1</w:t>
            </w:r>
          </w:p>
        </w:tc>
        <w:tc>
          <w:tcPr>
            <w:tcW w:w="1559" w:type="dxa"/>
            <w:tcBorders>
              <w:top w:val="nil"/>
              <w:left w:val="single" w:sz="4" w:space="0" w:color="auto"/>
              <w:bottom w:val="nil"/>
              <w:right w:val="single" w:sz="4" w:space="0" w:color="auto"/>
            </w:tcBorders>
            <w:vAlign w:val="center"/>
          </w:tcPr>
          <w:p w14:paraId="0A7DD585" w14:textId="77777777" w:rsidR="00763870" w:rsidRPr="00763870" w:rsidRDefault="00763870" w:rsidP="00763870">
            <w:pPr>
              <w:ind w:right="523"/>
              <w:jc w:val="right"/>
              <w:rPr>
                <w:rFonts w:eastAsia="Calibri"/>
                <w:sz w:val="18"/>
                <w:szCs w:val="18"/>
                <w:lang w:val="es-ES" w:eastAsia="en-US"/>
              </w:rPr>
            </w:pPr>
            <w:r w:rsidRPr="00763870">
              <w:rPr>
                <w:rFonts w:eastAsia="Calibri"/>
                <w:sz w:val="18"/>
                <w:szCs w:val="18"/>
                <w:lang w:val="es-ES" w:eastAsia="en-US"/>
              </w:rPr>
              <w:t>0.1</w:t>
            </w:r>
          </w:p>
        </w:tc>
        <w:tc>
          <w:tcPr>
            <w:tcW w:w="1559" w:type="dxa"/>
            <w:tcBorders>
              <w:top w:val="nil"/>
              <w:left w:val="single" w:sz="4" w:space="0" w:color="auto"/>
              <w:bottom w:val="nil"/>
              <w:right w:val="single" w:sz="4" w:space="0" w:color="auto"/>
            </w:tcBorders>
            <w:vAlign w:val="center"/>
          </w:tcPr>
          <w:p w14:paraId="18750BDC" w14:textId="77777777" w:rsidR="00763870" w:rsidRPr="00763870" w:rsidRDefault="00763870" w:rsidP="00763870">
            <w:pPr>
              <w:ind w:right="523"/>
              <w:jc w:val="right"/>
              <w:rPr>
                <w:rFonts w:eastAsia="Calibri"/>
                <w:sz w:val="18"/>
                <w:szCs w:val="18"/>
                <w:lang w:val="es-ES" w:eastAsia="en-US"/>
              </w:rPr>
            </w:pPr>
            <w:r w:rsidRPr="00763870">
              <w:rPr>
                <w:rFonts w:eastAsia="Calibri"/>
                <w:sz w:val="18"/>
                <w:szCs w:val="18"/>
                <w:lang w:val="es-ES" w:eastAsia="en-US"/>
              </w:rPr>
              <w:t>0.7</w:t>
            </w:r>
          </w:p>
        </w:tc>
        <w:tc>
          <w:tcPr>
            <w:tcW w:w="1559" w:type="dxa"/>
            <w:tcBorders>
              <w:top w:val="nil"/>
              <w:left w:val="single" w:sz="4" w:space="0" w:color="auto"/>
              <w:bottom w:val="nil"/>
              <w:right w:val="single" w:sz="4" w:space="0" w:color="auto"/>
            </w:tcBorders>
            <w:vAlign w:val="center"/>
          </w:tcPr>
          <w:p w14:paraId="5D54C7C5" w14:textId="77777777" w:rsidR="00763870" w:rsidRPr="00763870" w:rsidRDefault="00763870" w:rsidP="00763870">
            <w:pPr>
              <w:ind w:right="523"/>
              <w:jc w:val="right"/>
              <w:rPr>
                <w:rFonts w:eastAsia="Calibri"/>
                <w:sz w:val="18"/>
                <w:szCs w:val="18"/>
                <w:lang w:val="es-ES" w:eastAsia="en-US"/>
              </w:rPr>
            </w:pPr>
            <w:r w:rsidRPr="00763870">
              <w:rPr>
                <w:rFonts w:eastAsia="Calibri"/>
                <w:sz w:val="18"/>
                <w:szCs w:val="18"/>
                <w:lang w:val="es-ES" w:eastAsia="en-US"/>
              </w:rPr>
              <w:t>0.1</w:t>
            </w:r>
          </w:p>
        </w:tc>
      </w:tr>
      <w:tr w:rsidR="00763870" w:rsidRPr="00763870" w14:paraId="1B786BA2" w14:textId="77777777" w:rsidTr="00763870">
        <w:trPr>
          <w:jc w:val="center"/>
        </w:trPr>
        <w:tc>
          <w:tcPr>
            <w:tcW w:w="1812" w:type="dxa"/>
            <w:tcBorders>
              <w:top w:val="nil"/>
              <w:left w:val="single" w:sz="4" w:space="0" w:color="auto"/>
              <w:bottom w:val="nil"/>
              <w:right w:val="single" w:sz="4" w:space="0" w:color="auto"/>
            </w:tcBorders>
            <w:vAlign w:val="center"/>
          </w:tcPr>
          <w:p w14:paraId="1B07CA1A" w14:textId="77777777" w:rsidR="00763870" w:rsidRPr="00763870" w:rsidRDefault="00763870" w:rsidP="00763870">
            <w:pPr>
              <w:jc w:val="both"/>
              <w:rPr>
                <w:rFonts w:eastAsia="Calibri"/>
                <w:sz w:val="18"/>
                <w:szCs w:val="18"/>
                <w:lang w:val="es-ES" w:eastAsia="en-US"/>
              </w:rPr>
            </w:pPr>
            <w:r w:rsidRPr="00763870">
              <w:rPr>
                <w:rFonts w:eastAsia="Calibri"/>
                <w:sz w:val="18"/>
                <w:szCs w:val="18"/>
                <w:lang w:val="es-ES" w:eastAsia="en-US"/>
              </w:rPr>
              <w:t>Julio</w:t>
            </w:r>
          </w:p>
        </w:tc>
        <w:tc>
          <w:tcPr>
            <w:tcW w:w="1449" w:type="dxa"/>
            <w:tcBorders>
              <w:top w:val="nil"/>
              <w:left w:val="single" w:sz="4" w:space="0" w:color="auto"/>
              <w:bottom w:val="nil"/>
              <w:right w:val="single" w:sz="4" w:space="0" w:color="auto"/>
            </w:tcBorders>
            <w:vAlign w:val="center"/>
          </w:tcPr>
          <w:p w14:paraId="14E10F14" w14:textId="77777777" w:rsidR="00763870" w:rsidRPr="00763870" w:rsidRDefault="00763870" w:rsidP="00763870">
            <w:pPr>
              <w:ind w:right="423"/>
              <w:jc w:val="right"/>
              <w:rPr>
                <w:rFonts w:eastAsia="Calibri"/>
                <w:sz w:val="18"/>
                <w:szCs w:val="18"/>
                <w:lang w:val="es-ES" w:eastAsia="en-US"/>
              </w:rPr>
            </w:pPr>
            <w:r w:rsidRPr="00763870">
              <w:rPr>
                <w:rFonts w:eastAsia="Calibri"/>
                <w:sz w:val="18"/>
                <w:szCs w:val="18"/>
                <w:lang w:val="es-ES" w:eastAsia="en-US"/>
              </w:rPr>
              <w:t>0.3</w:t>
            </w:r>
          </w:p>
        </w:tc>
        <w:tc>
          <w:tcPr>
            <w:tcW w:w="1559" w:type="dxa"/>
            <w:tcBorders>
              <w:top w:val="nil"/>
              <w:left w:val="single" w:sz="4" w:space="0" w:color="auto"/>
              <w:bottom w:val="nil"/>
              <w:right w:val="single" w:sz="4" w:space="0" w:color="auto"/>
            </w:tcBorders>
            <w:vAlign w:val="center"/>
          </w:tcPr>
          <w:p w14:paraId="190C3E9F" w14:textId="77777777" w:rsidR="00763870" w:rsidRPr="00763870" w:rsidRDefault="00763870" w:rsidP="00763870">
            <w:pPr>
              <w:ind w:right="523"/>
              <w:jc w:val="right"/>
              <w:rPr>
                <w:rFonts w:eastAsia="Calibri"/>
                <w:sz w:val="18"/>
                <w:szCs w:val="18"/>
                <w:lang w:val="es-ES" w:eastAsia="en-US"/>
              </w:rPr>
            </w:pPr>
            <w:r w:rsidRPr="00763870">
              <w:rPr>
                <w:rFonts w:eastAsia="Calibri"/>
                <w:sz w:val="18"/>
                <w:szCs w:val="18"/>
                <w:lang w:val="es-ES" w:eastAsia="en-US"/>
              </w:rPr>
              <w:t>-0.2</w:t>
            </w:r>
          </w:p>
        </w:tc>
        <w:tc>
          <w:tcPr>
            <w:tcW w:w="1559" w:type="dxa"/>
            <w:tcBorders>
              <w:top w:val="nil"/>
              <w:left w:val="single" w:sz="4" w:space="0" w:color="auto"/>
              <w:bottom w:val="nil"/>
              <w:right w:val="single" w:sz="4" w:space="0" w:color="auto"/>
            </w:tcBorders>
            <w:vAlign w:val="center"/>
          </w:tcPr>
          <w:p w14:paraId="05CB10C3" w14:textId="77777777" w:rsidR="00763870" w:rsidRPr="00763870" w:rsidRDefault="00763870" w:rsidP="00763870">
            <w:pPr>
              <w:ind w:right="523"/>
              <w:jc w:val="right"/>
              <w:rPr>
                <w:rFonts w:eastAsia="Calibri"/>
                <w:sz w:val="18"/>
                <w:szCs w:val="18"/>
                <w:lang w:val="es-ES" w:eastAsia="en-US"/>
              </w:rPr>
            </w:pPr>
            <w:r w:rsidRPr="00763870">
              <w:rPr>
                <w:rFonts w:eastAsia="Calibri"/>
                <w:sz w:val="18"/>
                <w:szCs w:val="18"/>
                <w:lang w:val="es-ES" w:eastAsia="en-US"/>
              </w:rPr>
              <w:t>-0.8</w:t>
            </w:r>
          </w:p>
        </w:tc>
        <w:tc>
          <w:tcPr>
            <w:tcW w:w="1559" w:type="dxa"/>
            <w:tcBorders>
              <w:top w:val="nil"/>
              <w:left w:val="single" w:sz="4" w:space="0" w:color="auto"/>
              <w:bottom w:val="nil"/>
              <w:right w:val="single" w:sz="4" w:space="0" w:color="auto"/>
            </w:tcBorders>
            <w:vAlign w:val="center"/>
          </w:tcPr>
          <w:p w14:paraId="5A4EC8C1" w14:textId="77777777" w:rsidR="00763870" w:rsidRPr="00763870" w:rsidRDefault="00763870" w:rsidP="00763870">
            <w:pPr>
              <w:ind w:right="523"/>
              <w:jc w:val="right"/>
              <w:rPr>
                <w:rFonts w:eastAsia="Calibri"/>
                <w:sz w:val="18"/>
                <w:szCs w:val="18"/>
                <w:lang w:val="es-ES" w:eastAsia="en-US"/>
              </w:rPr>
            </w:pPr>
            <w:r w:rsidRPr="00763870">
              <w:rPr>
                <w:rFonts w:eastAsia="Calibri"/>
                <w:sz w:val="18"/>
                <w:szCs w:val="18"/>
                <w:lang w:val="es-ES" w:eastAsia="en-US"/>
              </w:rPr>
              <w:t>0.2</w:t>
            </w:r>
          </w:p>
        </w:tc>
      </w:tr>
      <w:tr w:rsidR="00763870" w:rsidRPr="00763870" w14:paraId="62C560B0" w14:textId="77777777" w:rsidTr="00763870">
        <w:trPr>
          <w:jc w:val="center"/>
        </w:trPr>
        <w:tc>
          <w:tcPr>
            <w:tcW w:w="1812" w:type="dxa"/>
            <w:tcBorders>
              <w:top w:val="nil"/>
              <w:left w:val="single" w:sz="4" w:space="0" w:color="auto"/>
              <w:bottom w:val="nil"/>
              <w:right w:val="single" w:sz="4" w:space="0" w:color="auto"/>
            </w:tcBorders>
            <w:vAlign w:val="center"/>
          </w:tcPr>
          <w:p w14:paraId="75C5DF52" w14:textId="77777777" w:rsidR="00763870" w:rsidRPr="00763870" w:rsidRDefault="00763870" w:rsidP="00763870">
            <w:pPr>
              <w:jc w:val="both"/>
              <w:rPr>
                <w:rFonts w:eastAsia="Calibri"/>
                <w:sz w:val="18"/>
                <w:szCs w:val="18"/>
                <w:lang w:val="es-ES" w:eastAsia="en-US"/>
              </w:rPr>
            </w:pPr>
            <w:r w:rsidRPr="00763870">
              <w:rPr>
                <w:rFonts w:eastAsia="Calibri"/>
                <w:sz w:val="18"/>
                <w:szCs w:val="18"/>
                <w:lang w:val="es-ES" w:eastAsia="en-US"/>
              </w:rPr>
              <w:t>Agosto</w:t>
            </w:r>
          </w:p>
        </w:tc>
        <w:tc>
          <w:tcPr>
            <w:tcW w:w="1449" w:type="dxa"/>
            <w:tcBorders>
              <w:top w:val="nil"/>
              <w:left w:val="single" w:sz="4" w:space="0" w:color="auto"/>
              <w:bottom w:val="nil"/>
              <w:right w:val="single" w:sz="4" w:space="0" w:color="auto"/>
            </w:tcBorders>
            <w:vAlign w:val="center"/>
          </w:tcPr>
          <w:p w14:paraId="431532D7" w14:textId="77777777" w:rsidR="00763870" w:rsidRPr="00763870" w:rsidRDefault="00763870" w:rsidP="00763870">
            <w:pPr>
              <w:ind w:right="423"/>
              <w:jc w:val="right"/>
              <w:rPr>
                <w:rFonts w:eastAsia="Calibri"/>
                <w:sz w:val="18"/>
                <w:szCs w:val="18"/>
                <w:lang w:val="es-ES" w:eastAsia="en-US"/>
              </w:rPr>
            </w:pPr>
            <w:r w:rsidRPr="00763870">
              <w:rPr>
                <w:rFonts w:eastAsia="Calibri"/>
                <w:sz w:val="18"/>
                <w:szCs w:val="18"/>
                <w:lang w:val="es-ES" w:eastAsia="en-US"/>
              </w:rPr>
              <w:t>-0.1</w:t>
            </w:r>
          </w:p>
        </w:tc>
        <w:tc>
          <w:tcPr>
            <w:tcW w:w="1559" w:type="dxa"/>
            <w:tcBorders>
              <w:top w:val="nil"/>
              <w:left w:val="single" w:sz="4" w:space="0" w:color="auto"/>
              <w:bottom w:val="nil"/>
              <w:right w:val="single" w:sz="4" w:space="0" w:color="auto"/>
            </w:tcBorders>
            <w:vAlign w:val="center"/>
          </w:tcPr>
          <w:p w14:paraId="1F4C4B3B" w14:textId="77777777" w:rsidR="00763870" w:rsidRPr="00763870" w:rsidRDefault="00763870" w:rsidP="00763870">
            <w:pPr>
              <w:ind w:right="523"/>
              <w:jc w:val="right"/>
              <w:rPr>
                <w:rFonts w:eastAsia="Calibri"/>
                <w:sz w:val="18"/>
                <w:szCs w:val="18"/>
                <w:lang w:val="es-ES" w:eastAsia="en-US"/>
              </w:rPr>
            </w:pPr>
            <w:r w:rsidRPr="00763870">
              <w:rPr>
                <w:rFonts w:eastAsia="Calibri"/>
                <w:sz w:val="18"/>
                <w:szCs w:val="18"/>
                <w:lang w:val="es-ES" w:eastAsia="en-US"/>
              </w:rPr>
              <w:t>-0.2</w:t>
            </w:r>
          </w:p>
        </w:tc>
        <w:tc>
          <w:tcPr>
            <w:tcW w:w="1559" w:type="dxa"/>
            <w:tcBorders>
              <w:top w:val="nil"/>
              <w:left w:val="single" w:sz="4" w:space="0" w:color="auto"/>
              <w:bottom w:val="nil"/>
              <w:right w:val="single" w:sz="4" w:space="0" w:color="auto"/>
            </w:tcBorders>
            <w:vAlign w:val="center"/>
          </w:tcPr>
          <w:p w14:paraId="4CEEEA34" w14:textId="77777777" w:rsidR="00763870" w:rsidRPr="00763870" w:rsidRDefault="00763870" w:rsidP="00763870">
            <w:pPr>
              <w:ind w:right="523"/>
              <w:jc w:val="right"/>
              <w:rPr>
                <w:rFonts w:eastAsia="Calibri"/>
                <w:sz w:val="18"/>
                <w:szCs w:val="18"/>
                <w:lang w:val="es-ES" w:eastAsia="en-US"/>
              </w:rPr>
            </w:pPr>
            <w:r w:rsidRPr="00763870">
              <w:rPr>
                <w:rFonts w:eastAsia="Calibri"/>
                <w:sz w:val="18"/>
                <w:szCs w:val="18"/>
                <w:lang w:val="es-ES" w:eastAsia="en-US"/>
              </w:rPr>
              <w:t>-1.0</w:t>
            </w:r>
          </w:p>
        </w:tc>
        <w:tc>
          <w:tcPr>
            <w:tcW w:w="1559" w:type="dxa"/>
            <w:tcBorders>
              <w:top w:val="nil"/>
              <w:left w:val="single" w:sz="4" w:space="0" w:color="auto"/>
              <w:bottom w:val="nil"/>
              <w:right w:val="single" w:sz="4" w:space="0" w:color="auto"/>
            </w:tcBorders>
            <w:vAlign w:val="center"/>
          </w:tcPr>
          <w:p w14:paraId="049BA995" w14:textId="77777777" w:rsidR="00763870" w:rsidRPr="00763870" w:rsidRDefault="00763870" w:rsidP="00763870">
            <w:pPr>
              <w:ind w:right="523"/>
              <w:jc w:val="right"/>
              <w:rPr>
                <w:rFonts w:eastAsia="Calibri"/>
                <w:sz w:val="18"/>
                <w:szCs w:val="18"/>
                <w:lang w:val="es-ES" w:eastAsia="en-US"/>
              </w:rPr>
            </w:pPr>
            <w:r w:rsidRPr="00763870">
              <w:rPr>
                <w:rFonts w:eastAsia="Calibri"/>
                <w:sz w:val="18"/>
                <w:szCs w:val="18"/>
                <w:lang w:val="es-ES" w:eastAsia="en-US"/>
              </w:rPr>
              <w:t>0.0</w:t>
            </w:r>
          </w:p>
        </w:tc>
      </w:tr>
      <w:tr w:rsidR="00763870" w:rsidRPr="00763870" w14:paraId="37FC3AE6" w14:textId="77777777" w:rsidTr="00763870">
        <w:trPr>
          <w:jc w:val="center"/>
        </w:trPr>
        <w:tc>
          <w:tcPr>
            <w:tcW w:w="1812" w:type="dxa"/>
            <w:tcBorders>
              <w:top w:val="nil"/>
              <w:left w:val="single" w:sz="4" w:space="0" w:color="auto"/>
              <w:bottom w:val="nil"/>
              <w:right w:val="single" w:sz="4" w:space="0" w:color="auto"/>
            </w:tcBorders>
            <w:vAlign w:val="center"/>
          </w:tcPr>
          <w:p w14:paraId="491B3C8B" w14:textId="77777777" w:rsidR="00763870" w:rsidRPr="00763870" w:rsidRDefault="00763870" w:rsidP="00763870">
            <w:pPr>
              <w:jc w:val="both"/>
              <w:rPr>
                <w:rFonts w:eastAsia="Calibri"/>
                <w:sz w:val="18"/>
                <w:szCs w:val="18"/>
                <w:lang w:val="es-ES" w:eastAsia="en-US"/>
              </w:rPr>
            </w:pPr>
            <w:r w:rsidRPr="00763870">
              <w:rPr>
                <w:rFonts w:eastAsia="Calibri"/>
                <w:sz w:val="18"/>
                <w:szCs w:val="18"/>
                <w:lang w:val="es-ES" w:eastAsia="en-US"/>
              </w:rPr>
              <w:t>Septiembre</w:t>
            </w:r>
          </w:p>
        </w:tc>
        <w:tc>
          <w:tcPr>
            <w:tcW w:w="1449" w:type="dxa"/>
            <w:tcBorders>
              <w:top w:val="nil"/>
              <w:left w:val="single" w:sz="4" w:space="0" w:color="auto"/>
              <w:bottom w:val="nil"/>
              <w:right w:val="single" w:sz="4" w:space="0" w:color="auto"/>
            </w:tcBorders>
            <w:vAlign w:val="center"/>
          </w:tcPr>
          <w:p w14:paraId="34EE7CF5" w14:textId="77777777" w:rsidR="00763870" w:rsidRPr="00763870" w:rsidRDefault="00763870" w:rsidP="00763870">
            <w:pPr>
              <w:ind w:right="423"/>
              <w:jc w:val="right"/>
              <w:rPr>
                <w:rFonts w:eastAsia="Calibri"/>
                <w:sz w:val="18"/>
                <w:szCs w:val="18"/>
                <w:lang w:val="es-ES" w:eastAsia="en-US"/>
              </w:rPr>
            </w:pPr>
            <w:r w:rsidRPr="00763870">
              <w:rPr>
                <w:rFonts w:eastAsia="Calibri"/>
                <w:sz w:val="18"/>
                <w:szCs w:val="18"/>
                <w:lang w:val="es-ES" w:eastAsia="en-US"/>
              </w:rPr>
              <w:t>-0.2</w:t>
            </w:r>
          </w:p>
        </w:tc>
        <w:tc>
          <w:tcPr>
            <w:tcW w:w="1559" w:type="dxa"/>
            <w:tcBorders>
              <w:top w:val="nil"/>
              <w:left w:val="single" w:sz="4" w:space="0" w:color="auto"/>
              <w:bottom w:val="nil"/>
              <w:right w:val="single" w:sz="4" w:space="0" w:color="auto"/>
            </w:tcBorders>
            <w:vAlign w:val="center"/>
          </w:tcPr>
          <w:p w14:paraId="3C3CA263" w14:textId="77777777" w:rsidR="00763870" w:rsidRPr="00763870" w:rsidRDefault="00763870" w:rsidP="00763870">
            <w:pPr>
              <w:ind w:right="523"/>
              <w:jc w:val="right"/>
              <w:rPr>
                <w:rFonts w:eastAsia="Calibri"/>
                <w:sz w:val="18"/>
                <w:szCs w:val="18"/>
                <w:lang w:val="es-ES" w:eastAsia="en-US"/>
              </w:rPr>
            </w:pPr>
            <w:r w:rsidRPr="00763870">
              <w:rPr>
                <w:rFonts w:eastAsia="Calibri"/>
                <w:sz w:val="18"/>
                <w:szCs w:val="18"/>
                <w:lang w:val="es-ES" w:eastAsia="en-US"/>
              </w:rPr>
              <w:t>-0.1</w:t>
            </w:r>
          </w:p>
        </w:tc>
        <w:tc>
          <w:tcPr>
            <w:tcW w:w="1559" w:type="dxa"/>
            <w:tcBorders>
              <w:top w:val="nil"/>
              <w:left w:val="single" w:sz="4" w:space="0" w:color="auto"/>
              <w:bottom w:val="nil"/>
              <w:right w:val="single" w:sz="4" w:space="0" w:color="auto"/>
            </w:tcBorders>
            <w:vAlign w:val="center"/>
          </w:tcPr>
          <w:p w14:paraId="7D2E9291" w14:textId="77777777" w:rsidR="00763870" w:rsidRPr="00763870" w:rsidRDefault="00763870" w:rsidP="00763870">
            <w:pPr>
              <w:ind w:right="523"/>
              <w:jc w:val="right"/>
              <w:rPr>
                <w:rFonts w:eastAsia="Calibri"/>
                <w:sz w:val="18"/>
                <w:szCs w:val="18"/>
                <w:lang w:val="es-ES" w:eastAsia="en-US"/>
              </w:rPr>
            </w:pPr>
            <w:r w:rsidRPr="00763870">
              <w:rPr>
                <w:rFonts w:eastAsia="Calibri"/>
                <w:sz w:val="18"/>
                <w:szCs w:val="18"/>
                <w:lang w:val="es-ES" w:eastAsia="en-US"/>
              </w:rPr>
              <w:t>-0.9</w:t>
            </w:r>
          </w:p>
        </w:tc>
        <w:tc>
          <w:tcPr>
            <w:tcW w:w="1559" w:type="dxa"/>
            <w:tcBorders>
              <w:top w:val="nil"/>
              <w:left w:val="single" w:sz="4" w:space="0" w:color="auto"/>
              <w:bottom w:val="nil"/>
              <w:right w:val="single" w:sz="4" w:space="0" w:color="auto"/>
            </w:tcBorders>
            <w:vAlign w:val="center"/>
          </w:tcPr>
          <w:p w14:paraId="7EB9C660" w14:textId="77777777" w:rsidR="00763870" w:rsidRPr="00763870" w:rsidRDefault="00763870" w:rsidP="00763870">
            <w:pPr>
              <w:ind w:right="523"/>
              <w:jc w:val="right"/>
              <w:rPr>
                <w:rFonts w:eastAsia="Calibri"/>
                <w:sz w:val="18"/>
                <w:szCs w:val="18"/>
                <w:lang w:val="es-ES" w:eastAsia="en-US"/>
              </w:rPr>
            </w:pPr>
            <w:r w:rsidRPr="00763870">
              <w:rPr>
                <w:rFonts w:eastAsia="Calibri"/>
                <w:sz w:val="18"/>
                <w:szCs w:val="18"/>
                <w:lang w:val="es-ES" w:eastAsia="en-US"/>
              </w:rPr>
              <w:t>0.2</w:t>
            </w:r>
          </w:p>
        </w:tc>
      </w:tr>
      <w:tr w:rsidR="00763870" w:rsidRPr="00763870" w14:paraId="1B6C9226" w14:textId="77777777" w:rsidTr="00763870">
        <w:trPr>
          <w:jc w:val="center"/>
        </w:trPr>
        <w:tc>
          <w:tcPr>
            <w:tcW w:w="1812" w:type="dxa"/>
            <w:tcBorders>
              <w:top w:val="nil"/>
              <w:left w:val="single" w:sz="4" w:space="0" w:color="auto"/>
              <w:bottom w:val="nil"/>
              <w:right w:val="single" w:sz="4" w:space="0" w:color="auto"/>
            </w:tcBorders>
            <w:vAlign w:val="center"/>
          </w:tcPr>
          <w:p w14:paraId="626C644B" w14:textId="77777777" w:rsidR="00763870" w:rsidRPr="00763870" w:rsidRDefault="00763870" w:rsidP="00763870">
            <w:pPr>
              <w:jc w:val="both"/>
              <w:rPr>
                <w:rFonts w:eastAsia="Calibri"/>
                <w:sz w:val="18"/>
                <w:szCs w:val="18"/>
                <w:lang w:val="es-ES" w:eastAsia="en-US"/>
              </w:rPr>
            </w:pPr>
            <w:r w:rsidRPr="00763870">
              <w:rPr>
                <w:rFonts w:eastAsia="Calibri"/>
                <w:sz w:val="18"/>
                <w:szCs w:val="18"/>
                <w:lang w:val="es-ES" w:eastAsia="en-US"/>
              </w:rPr>
              <w:t xml:space="preserve">Octubre </w:t>
            </w:r>
          </w:p>
        </w:tc>
        <w:tc>
          <w:tcPr>
            <w:tcW w:w="1449" w:type="dxa"/>
            <w:tcBorders>
              <w:top w:val="nil"/>
              <w:left w:val="single" w:sz="4" w:space="0" w:color="auto"/>
              <w:bottom w:val="nil"/>
              <w:right w:val="single" w:sz="4" w:space="0" w:color="auto"/>
            </w:tcBorders>
            <w:vAlign w:val="center"/>
          </w:tcPr>
          <w:p w14:paraId="735069CF" w14:textId="77777777" w:rsidR="00763870" w:rsidRPr="00763870" w:rsidRDefault="00763870" w:rsidP="00763870">
            <w:pPr>
              <w:ind w:right="423"/>
              <w:jc w:val="right"/>
              <w:rPr>
                <w:rFonts w:eastAsia="Calibri"/>
                <w:sz w:val="18"/>
                <w:szCs w:val="18"/>
                <w:lang w:val="es-ES" w:eastAsia="en-US"/>
              </w:rPr>
            </w:pPr>
            <w:r w:rsidRPr="00763870">
              <w:rPr>
                <w:rFonts w:eastAsia="Calibri"/>
                <w:sz w:val="18"/>
                <w:szCs w:val="18"/>
                <w:lang w:val="es-ES" w:eastAsia="en-US"/>
              </w:rPr>
              <w:t>0.3</w:t>
            </w:r>
          </w:p>
        </w:tc>
        <w:tc>
          <w:tcPr>
            <w:tcW w:w="1559" w:type="dxa"/>
            <w:tcBorders>
              <w:top w:val="nil"/>
              <w:left w:val="single" w:sz="4" w:space="0" w:color="auto"/>
              <w:bottom w:val="nil"/>
              <w:right w:val="single" w:sz="4" w:space="0" w:color="auto"/>
            </w:tcBorders>
            <w:vAlign w:val="center"/>
          </w:tcPr>
          <w:p w14:paraId="6EF81EDC" w14:textId="77777777" w:rsidR="00763870" w:rsidRPr="00763870" w:rsidRDefault="00763870" w:rsidP="00763870">
            <w:pPr>
              <w:ind w:right="523"/>
              <w:jc w:val="right"/>
              <w:rPr>
                <w:rFonts w:eastAsia="Calibri"/>
                <w:sz w:val="18"/>
                <w:szCs w:val="18"/>
                <w:lang w:val="es-ES" w:eastAsia="en-US"/>
              </w:rPr>
            </w:pPr>
            <w:r w:rsidRPr="00763870">
              <w:rPr>
                <w:rFonts w:eastAsia="Calibri"/>
                <w:sz w:val="18"/>
                <w:szCs w:val="18"/>
                <w:lang w:val="es-ES" w:eastAsia="en-US"/>
              </w:rPr>
              <w:t>0.6</w:t>
            </w:r>
          </w:p>
        </w:tc>
        <w:tc>
          <w:tcPr>
            <w:tcW w:w="1559" w:type="dxa"/>
            <w:tcBorders>
              <w:top w:val="nil"/>
              <w:left w:val="single" w:sz="4" w:space="0" w:color="auto"/>
              <w:bottom w:val="nil"/>
              <w:right w:val="single" w:sz="4" w:space="0" w:color="auto"/>
            </w:tcBorders>
            <w:vAlign w:val="center"/>
          </w:tcPr>
          <w:p w14:paraId="3FC4D715" w14:textId="77777777" w:rsidR="00763870" w:rsidRPr="00763870" w:rsidRDefault="00763870" w:rsidP="00763870">
            <w:pPr>
              <w:ind w:right="523"/>
              <w:jc w:val="right"/>
              <w:rPr>
                <w:rFonts w:eastAsia="Calibri"/>
                <w:sz w:val="18"/>
                <w:szCs w:val="18"/>
                <w:lang w:val="es-ES" w:eastAsia="en-US"/>
              </w:rPr>
            </w:pPr>
            <w:r w:rsidRPr="00763870">
              <w:rPr>
                <w:rFonts w:eastAsia="Calibri"/>
                <w:sz w:val="18"/>
                <w:szCs w:val="18"/>
                <w:lang w:val="es-ES" w:eastAsia="en-US"/>
              </w:rPr>
              <w:t>-2.6</w:t>
            </w:r>
          </w:p>
        </w:tc>
        <w:tc>
          <w:tcPr>
            <w:tcW w:w="1559" w:type="dxa"/>
            <w:tcBorders>
              <w:top w:val="nil"/>
              <w:left w:val="single" w:sz="4" w:space="0" w:color="auto"/>
              <w:bottom w:val="nil"/>
              <w:right w:val="single" w:sz="4" w:space="0" w:color="auto"/>
            </w:tcBorders>
            <w:vAlign w:val="center"/>
          </w:tcPr>
          <w:p w14:paraId="7D7C0F86" w14:textId="77777777" w:rsidR="00763870" w:rsidRPr="00763870" w:rsidRDefault="00763870" w:rsidP="00763870">
            <w:pPr>
              <w:ind w:right="523"/>
              <w:jc w:val="right"/>
              <w:rPr>
                <w:rFonts w:eastAsia="Calibri"/>
                <w:sz w:val="18"/>
                <w:szCs w:val="18"/>
                <w:lang w:val="es-ES" w:eastAsia="en-US"/>
              </w:rPr>
            </w:pPr>
            <w:r w:rsidRPr="00763870">
              <w:rPr>
                <w:rFonts w:eastAsia="Calibri"/>
                <w:sz w:val="18"/>
                <w:szCs w:val="18"/>
                <w:lang w:val="es-ES" w:eastAsia="en-US"/>
              </w:rPr>
              <w:t>-0.1</w:t>
            </w:r>
          </w:p>
        </w:tc>
      </w:tr>
      <w:tr w:rsidR="00763870" w:rsidRPr="00763870" w14:paraId="1658C27B" w14:textId="77777777" w:rsidTr="00763870">
        <w:trPr>
          <w:jc w:val="center"/>
        </w:trPr>
        <w:tc>
          <w:tcPr>
            <w:tcW w:w="1812" w:type="dxa"/>
            <w:tcBorders>
              <w:top w:val="nil"/>
              <w:left w:val="single" w:sz="4" w:space="0" w:color="auto"/>
              <w:bottom w:val="nil"/>
              <w:right w:val="single" w:sz="4" w:space="0" w:color="auto"/>
            </w:tcBorders>
            <w:vAlign w:val="center"/>
          </w:tcPr>
          <w:p w14:paraId="2F2F890F" w14:textId="77777777" w:rsidR="00763870" w:rsidRPr="00763870" w:rsidRDefault="00763870" w:rsidP="00763870">
            <w:pPr>
              <w:jc w:val="both"/>
              <w:rPr>
                <w:rFonts w:eastAsia="Calibri"/>
                <w:sz w:val="18"/>
                <w:szCs w:val="18"/>
                <w:lang w:val="es-ES" w:eastAsia="en-US"/>
              </w:rPr>
            </w:pPr>
            <w:r w:rsidRPr="00763870">
              <w:rPr>
                <w:rFonts w:eastAsia="Calibri"/>
                <w:sz w:val="18"/>
                <w:szCs w:val="18"/>
                <w:lang w:val="es-ES" w:eastAsia="en-US"/>
              </w:rPr>
              <w:t>Noviembre</w:t>
            </w:r>
          </w:p>
        </w:tc>
        <w:tc>
          <w:tcPr>
            <w:tcW w:w="1449" w:type="dxa"/>
            <w:tcBorders>
              <w:top w:val="nil"/>
              <w:left w:val="single" w:sz="4" w:space="0" w:color="auto"/>
              <w:bottom w:val="nil"/>
              <w:right w:val="single" w:sz="4" w:space="0" w:color="auto"/>
            </w:tcBorders>
            <w:vAlign w:val="center"/>
          </w:tcPr>
          <w:p w14:paraId="4DA9C257" w14:textId="77777777" w:rsidR="00763870" w:rsidRPr="00763870" w:rsidRDefault="00763870" w:rsidP="00763870">
            <w:pPr>
              <w:ind w:right="423"/>
              <w:jc w:val="right"/>
              <w:rPr>
                <w:rFonts w:eastAsia="Calibri"/>
                <w:sz w:val="18"/>
                <w:szCs w:val="18"/>
                <w:lang w:val="es-ES" w:eastAsia="en-US"/>
              </w:rPr>
            </w:pPr>
            <w:r w:rsidRPr="00763870">
              <w:rPr>
                <w:rFonts w:eastAsia="Calibri"/>
                <w:sz w:val="18"/>
                <w:szCs w:val="18"/>
                <w:lang w:val="es-ES" w:eastAsia="en-US"/>
              </w:rPr>
              <w:t>-0.3</w:t>
            </w:r>
          </w:p>
        </w:tc>
        <w:tc>
          <w:tcPr>
            <w:tcW w:w="1559" w:type="dxa"/>
            <w:tcBorders>
              <w:top w:val="nil"/>
              <w:left w:val="single" w:sz="4" w:space="0" w:color="auto"/>
              <w:bottom w:val="nil"/>
              <w:right w:val="single" w:sz="4" w:space="0" w:color="auto"/>
            </w:tcBorders>
            <w:vAlign w:val="center"/>
          </w:tcPr>
          <w:p w14:paraId="04915ECC" w14:textId="77777777" w:rsidR="00763870" w:rsidRPr="00763870" w:rsidRDefault="00763870" w:rsidP="00763870">
            <w:pPr>
              <w:ind w:right="523"/>
              <w:jc w:val="right"/>
              <w:rPr>
                <w:rFonts w:eastAsia="Calibri"/>
                <w:sz w:val="18"/>
                <w:szCs w:val="18"/>
                <w:lang w:val="es-ES" w:eastAsia="en-US"/>
              </w:rPr>
            </w:pPr>
            <w:r w:rsidRPr="00763870">
              <w:rPr>
                <w:rFonts w:eastAsia="Calibri"/>
                <w:sz w:val="18"/>
                <w:szCs w:val="18"/>
                <w:lang w:val="es-ES" w:eastAsia="en-US"/>
              </w:rPr>
              <w:t>0.2</w:t>
            </w:r>
          </w:p>
        </w:tc>
        <w:tc>
          <w:tcPr>
            <w:tcW w:w="1559" w:type="dxa"/>
            <w:tcBorders>
              <w:top w:val="nil"/>
              <w:left w:val="single" w:sz="4" w:space="0" w:color="auto"/>
              <w:bottom w:val="nil"/>
              <w:right w:val="single" w:sz="4" w:space="0" w:color="auto"/>
            </w:tcBorders>
            <w:vAlign w:val="center"/>
          </w:tcPr>
          <w:p w14:paraId="57EE6DC2" w14:textId="77777777" w:rsidR="00763870" w:rsidRPr="00763870" w:rsidRDefault="00763870" w:rsidP="00763870">
            <w:pPr>
              <w:ind w:right="523"/>
              <w:jc w:val="right"/>
              <w:rPr>
                <w:rFonts w:eastAsia="Calibri"/>
                <w:sz w:val="18"/>
                <w:szCs w:val="18"/>
                <w:lang w:val="es-ES" w:eastAsia="en-US"/>
              </w:rPr>
            </w:pPr>
            <w:r w:rsidRPr="00763870">
              <w:rPr>
                <w:rFonts w:eastAsia="Calibri"/>
                <w:sz w:val="18"/>
                <w:szCs w:val="18"/>
                <w:lang w:val="es-ES" w:eastAsia="en-US"/>
              </w:rPr>
              <w:t>-3.7</w:t>
            </w:r>
          </w:p>
        </w:tc>
        <w:tc>
          <w:tcPr>
            <w:tcW w:w="1559" w:type="dxa"/>
            <w:tcBorders>
              <w:top w:val="nil"/>
              <w:left w:val="single" w:sz="4" w:space="0" w:color="auto"/>
              <w:bottom w:val="nil"/>
              <w:right w:val="single" w:sz="4" w:space="0" w:color="auto"/>
            </w:tcBorders>
            <w:vAlign w:val="center"/>
          </w:tcPr>
          <w:p w14:paraId="70F58769" w14:textId="77777777" w:rsidR="00763870" w:rsidRPr="00763870" w:rsidRDefault="00763870" w:rsidP="00763870">
            <w:pPr>
              <w:ind w:right="523"/>
              <w:jc w:val="right"/>
              <w:rPr>
                <w:rFonts w:eastAsia="Calibri"/>
                <w:sz w:val="18"/>
                <w:szCs w:val="18"/>
                <w:lang w:val="es-ES" w:eastAsia="en-US"/>
              </w:rPr>
            </w:pPr>
            <w:r w:rsidRPr="00763870">
              <w:rPr>
                <w:rFonts w:eastAsia="Calibri"/>
                <w:sz w:val="18"/>
                <w:szCs w:val="18"/>
                <w:lang w:val="es-ES" w:eastAsia="en-US"/>
              </w:rPr>
              <w:t>0.0</w:t>
            </w:r>
          </w:p>
        </w:tc>
      </w:tr>
      <w:tr w:rsidR="00763870" w:rsidRPr="00763870" w14:paraId="4A3B8BB6" w14:textId="77777777" w:rsidTr="00763870">
        <w:trPr>
          <w:jc w:val="center"/>
        </w:trPr>
        <w:tc>
          <w:tcPr>
            <w:tcW w:w="1812" w:type="dxa"/>
            <w:tcBorders>
              <w:top w:val="nil"/>
              <w:left w:val="single" w:sz="4" w:space="0" w:color="auto"/>
              <w:bottom w:val="nil"/>
              <w:right w:val="single" w:sz="4" w:space="0" w:color="auto"/>
            </w:tcBorders>
            <w:vAlign w:val="center"/>
          </w:tcPr>
          <w:p w14:paraId="66299B8F" w14:textId="77777777" w:rsidR="00763870" w:rsidRPr="00763870" w:rsidRDefault="00763870" w:rsidP="00763870">
            <w:pPr>
              <w:jc w:val="both"/>
              <w:rPr>
                <w:rFonts w:eastAsia="Calibri"/>
                <w:sz w:val="18"/>
                <w:szCs w:val="18"/>
                <w:lang w:val="es-ES" w:eastAsia="en-US"/>
              </w:rPr>
            </w:pPr>
            <w:r w:rsidRPr="00763870">
              <w:rPr>
                <w:rFonts w:eastAsia="Calibri"/>
                <w:sz w:val="18"/>
                <w:szCs w:val="18"/>
                <w:lang w:val="es-ES" w:eastAsia="en-US"/>
              </w:rPr>
              <w:t>Diciembre</w:t>
            </w:r>
          </w:p>
        </w:tc>
        <w:tc>
          <w:tcPr>
            <w:tcW w:w="1449" w:type="dxa"/>
            <w:tcBorders>
              <w:top w:val="nil"/>
              <w:left w:val="single" w:sz="4" w:space="0" w:color="auto"/>
              <w:bottom w:val="nil"/>
              <w:right w:val="single" w:sz="4" w:space="0" w:color="auto"/>
            </w:tcBorders>
            <w:vAlign w:val="center"/>
          </w:tcPr>
          <w:p w14:paraId="6541A399" w14:textId="77777777" w:rsidR="00763870" w:rsidRPr="00763870" w:rsidRDefault="00763870" w:rsidP="00763870">
            <w:pPr>
              <w:ind w:right="423"/>
              <w:jc w:val="right"/>
              <w:rPr>
                <w:rFonts w:eastAsia="Calibri"/>
                <w:sz w:val="18"/>
                <w:szCs w:val="18"/>
                <w:lang w:val="es-ES" w:eastAsia="en-US"/>
              </w:rPr>
            </w:pPr>
            <w:r w:rsidRPr="00763870">
              <w:rPr>
                <w:rFonts w:eastAsia="Calibri"/>
                <w:sz w:val="18"/>
                <w:szCs w:val="18"/>
                <w:lang w:val="es-ES" w:eastAsia="en-US"/>
              </w:rPr>
              <w:t>-0.2</w:t>
            </w:r>
          </w:p>
        </w:tc>
        <w:tc>
          <w:tcPr>
            <w:tcW w:w="1559" w:type="dxa"/>
            <w:tcBorders>
              <w:top w:val="nil"/>
              <w:left w:val="single" w:sz="4" w:space="0" w:color="auto"/>
              <w:bottom w:val="nil"/>
              <w:right w:val="single" w:sz="4" w:space="0" w:color="auto"/>
            </w:tcBorders>
            <w:vAlign w:val="center"/>
          </w:tcPr>
          <w:p w14:paraId="222E1EF1" w14:textId="77777777" w:rsidR="00763870" w:rsidRPr="00763870" w:rsidRDefault="00763870" w:rsidP="00763870">
            <w:pPr>
              <w:ind w:right="523"/>
              <w:jc w:val="right"/>
              <w:rPr>
                <w:rFonts w:eastAsia="Calibri"/>
                <w:sz w:val="18"/>
                <w:szCs w:val="18"/>
                <w:lang w:val="es-ES" w:eastAsia="en-US"/>
              </w:rPr>
            </w:pPr>
            <w:r w:rsidRPr="00763870">
              <w:rPr>
                <w:rFonts w:eastAsia="Calibri"/>
                <w:sz w:val="18"/>
                <w:szCs w:val="18"/>
                <w:lang w:val="es-ES" w:eastAsia="en-US"/>
              </w:rPr>
              <w:t>-0.1</w:t>
            </w:r>
          </w:p>
        </w:tc>
        <w:tc>
          <w:tcPr>
            <w:tcW w:w="1559" w:type="dxa"/>
            <w:tcBorders>
              <w:top w:val="nil"/>
              <w:left w:val="single" w:sz="4" w:space="0" w:color="auto"/>
              <w:bottom w:val="nil"/>
              <w:right w:val="single" w:sz="4" w:space="0" w:color="auto"/>
            </w:tcBorders>
            <w:vAlign w:val="center"/>
          </w:tcPr>
          <w:p w14:paraId="5E65CEC7" w14:textId="77777777" w:rsidR="00763870" w:rsidRPr="00763870" w:rsidRDefault="00763870" w:rsidP="00763870">
            <w:pPr>
              <w:ind w:right="523"/>
              <w:jc w:val="right"/>
              <w:rPr>
                <w:rFonts w:eastAsia="Calibri"/>
                <w:sz w:val="18"/>
                <w:szCs w:val="18"/>
                <w:lang w:val="es-ES" w:eastAsia="en-US"/>
              </w:rPr>
            </w:pPr>
            <w:r w:rsidRPr="00763870">
              <w:rPr>
                <w:rFonts w:eastAsia="Calibri"/>
                <w:sz w:val="18"/>
                <w:szCs w:val="18"/>
                <w:lang w:val="es-ES" w:eastAsia="en-US"/>
              </w:rPr>
              <w:t>-6.2</w:t>
            </w:r>
          </w:p>
        </w:tc>
        <w:tc>
          <w:tcPr>
            <w:tcW w:w="1559" w:type="dxa"/>
            <w:tcBorders>
              <w:top w:val="nil"/>
              <w:left w:val="single" w:sz="4" w:space="0" w:color="auto"/>
              <w:bottom w:val="nil"/>
              <w:right w:val="single" w:sz="4" w:space="0" w:color="auto"/>
            </w:tcBorders>
            <w:vAlign w:val="center"/>
          </w:tcPr>
          <w:p w14:paraId="02BA9039" w14:textId="77777777" w:rsidR="00763870" w:rsidRPr="00763870" w:rsidRDefault="00763870" w:rsidP="00763870">
            <w:pPr>
              <w:ind w:right="523"/>
              <w:jc w:val="right"/>
              <w:rPr>
                <w:rFonts w:eastAsia="Calibri"/>
                <w:sz w:val="18"/>
                <w:szCs w:val="18"/>
                <w:lang w:val="es-ES" w:eastAsia="en-US"/>
              </w:rPr>
            </w:pPr>
            <w:r w:rsidRPr="00763870">
              <w:rPr>
                <w:rFonts w:eastAsia="Calibri"/>
                <w:sz w:val="18"/>
                <w:szCs w:val="18"/>
                <w:lang w:val="es-ES" w:eastAsia="en-US"/>
              </w:rPr>
              <w:t>0.1</w:t>
            </w:r>
          </w:p>
        </w:tc>
      </w:tr>
      <w:tr w:rsidR="00763870" w:rsidRPr="00763870" w14:paraId="36CA9C05" w14:textId="77777777" w:rsidTr="00763870">
        <w:trPr>
          <w:jc w:val="center"/>
        </w:trPr>
        <w:tc>
          <w:tcPr>
            <w:tcW w:w="1812" w:type="dxa"/>
            <w:tcBorders>
              <w:top w:val="nil"/>
              <w:left w:val="single" w:sz="4" w:space="0" w:color="auto"/>
              <w:bottom w:val="nil"/>
              <w:right w:val="single" w:sz="4" w:space="0" w:color="auto"/>
            </w:tcBorders>
            <w:vAlign w:val="center"/>
          </w:tcPr>
          <w:p w14:paraId="696B9704" w14:textId="77777777" w:rsidR="00763870" w:rsidRPr="00763870" w:rsidRDefault="00763870" w:rsidP="00763870">
            <w:pPr>
              <w:jc w:val="both"/>
              <w:rPr>
                <w:rFonts w:eastAsia="Calibri"/>
                <w:b/>
                <w:sz w:val="18"/>
                <w:szCs w:val="18"/>
                <w:lang w:val="es-ES" w:eastAsia="en-US"/>
              </w:rPr>
            </w:pPr>
            <w:r w:rsidRPr="00763870">
              <w:rPr>
                <w:rFonts w:eastAsia="Calibri"/>
                <w:b/>
                <w:sz w:val="18"/>
                <w:szCs w:val="18"/>
                <w:lang w:val="es-ES" w:eastAsia="en-US"/>
              </w:rPr>
              <w:t>2015</w:t>
            </w:r>
          </w:p>
        </w:tc>
        <w:tc>
          <w:tcPr>
            <w:tcW w:w="1449" w:type="dxa"/>
            <w:tcBorders>
              <w:top w:val="nil"/>
              <w:left w:val="single" w:sz="4" w:space="0" w:color="auto"/>
              <w:bottom w:val="nil"/>
              <w:right w:val="single" w:sz="4" w:space="0" w:color="auto"/>
            </w:tcBorders>
            <w:vAlign w:val="center"/>
          </w:tcPr>
          <w:p w14:paraId="5F8D5363" w14:textId="77777777" w:rsidR="00763870" w:rsidRPr="00763870" w:rsidRDefault="00763870" w:rsidP="00763870">
            <w:pPr>
              <w:ind w:right="423"/>
              <w:jc w:val="right"/>
              <w:rPr>
                <w:rFonts w:eastAsia="Calibri"/>
                <w:sz w:val="18"/>
                <w:szCs w:val="18"/>
                <w:lang w:val="es-ES" w:eastAsia="en-US"/>
              </w:rPr>
            </w:pPr>
          </w:p>
        </w:tc>
        <w:tc>
          <w:tcPr>
            <w:tcW w:w="1559" w:type="dxa"/>
            <w:tcBorders>
              <w:top w:val="nil"/>
              <w:left w:val="single" w:sz="4" w:space="0" w:color="auto"/>
              <w:bottom w:val="nil"/>
              <w:right w:val="single" w:sz="4" w:space="0" w:color="auto"/>
            </w:tcBorders>
            <w:vAlign w:val="center"/>
          </w:tcPr>
          <w:p w14:paraId="4BC4DC20" w14:textId="77777777" w:rsidR="00763870" w:rsidRPr="00763870" w:rsidRDefault="00763870" w:rsidP="00763870">
            <w:pPr>
              <w:ind w:right="523"/>
              <w:jc w:val="right"/>
              <w:rPr>
                <w:rFonts w:eastAsia="Calibri"/>
                <w:sz w:val="18"/>
                <w:szCs w:val="18"/>
                <w:lang w:val="es-ES" w:eastAsia="en-US"/>
              </w:rPr>
            </w:pPr>
          </w:p>
        </w:tc>
        <w:tc>
          <w:tcPr>
            <w:tcW w:w="1559" w:type="dxa"/>
            <w:tcBorders>
              <w:top w:val="nil"/>
              <w:left w:val="single" w:sz="4" w:space="0" w:color="auto"/>
              <w:bottom w:val="nil"/>
              <w:right w:val="single" w:sz="4" w:space="0" w:color="auto"/>
            </w:tcBorders>
            <w:vAlign w:val="center"/>
          </w:tcPr>
          <w:p w14:paraId="5A3D8553" w14:textId="77777777" w:rsidR="00763870" w:rsidRPr="00763870" w:rsidRDefault="00763870" w:rsidP="00763870">
            <w:pPr>
              <w:ind w:right="523"/>
              <w:jc w:val="right"/>
              <w:rPr>
                <w:rFonts w:eastAsia="Calibri"/>
                <w:sz w:val="18"/>
                <w:szCs w:val="18"/>
                <w:lang w:val="es-ES" w:eastAsia="en-US"/>
              </w:rPr>
            </w:pPr>
          </w:p>
        </w:tc>
        <w:tc>
          <w:tcPr>
            <w:tcW w:w="1559" w:type="dxa"/>
            <w:tcBorders>
              <w:top w:val="nil"/>
              <w:left w:val="single" w:sz="4" w:space="0" w:color="auto"/>
              <w:bottom w:val="nil"/>
              <w:right w:val="single" w:sz="4" w:space="0" w:color="auto"/>
            </w:tcBorders>
            <w:vAlign w:val="center"/>
          </w:tcPr>
          <w:p w14:paraId="0530A8DB" w14:textId="77777777" w:rsidR="00763870" w:rsidRPr="00763870" w:rsidRDefault="00763870" w:rsidP="00763870">
            <w:pPr>
              <w:ind w:right="523"/>
              <w:jc w:val="right"/>
              <w:rPr>
                <w:rFonts w:eastAsia="Calibri"/>
                <w:sz w:val="18"/>
                <w:szCs w:val="18"/>
                <w:lang w:val="es-ES" w:eastAsia="en-US"/>
              </w:rPr>
            </w:pPr>
          </w:p>
        </w:tc>
      </w:tr>
      <w:tr w:rsidR="00763870" w:rsidRPr="00763870" w14:paraId="32153D04" w14:textId="77777777" w:rsidTr="00763870">
        <w:trPr>
          <w:jc w:val="center"/>
        </w:trPr>
        <w:tc>
          <w:tcPr>
            <w:tcW w:w="1812" w:type="dxa"/>
            <w:tcBorders>
              <w:top w:val="nil"/>
              <w:left w:val="single" w:sz="4" w:space="0" w:color="auto"/>
              <w:bottom w:val="nil"/>
              <w:right w:val="single" w:sz="4" w:space="0" w:color="auto"/>
            </w:tcBorders>
            <w:vAlign w:val="center"/>
          </w:tcPr>
          <w:p w14:paraId="15D04A14" w14:textId="77777777" w:rsidR="00763870" w:rsidRPr="00763870" w:rsidRDefault="00763870" w:rsidP="00763870">
            <w:pPr>
              <w:jc w:val="both"/>
              <w:rPr>
                <w:rFonts w:eastAsia="Calibri"/>
                <w:sz w:val="18"/>
                <w:szCs w:val="18"/>
                <w:lang w:val="es-ES" w:eastAsia="en-US"/>
              </w:rPr>
            </w:pPr>
            <w:r w:rsidRPr="00763870">
              <w:rPr>
                <w:rFonts w:eastAsia="Calibri"/>
                <w:sz w:val="18"/>
                <w:szCs w:val="18"/>
                <w:lang w:val="es-ES" w:eastAsia="en-US"/>
              </w:rPr>
              <w:t xml:space="preserve">Enero </w:t>
            </w:r>
          </w:p>
        </w:tc>
        <w:tc>
          <w:tcPr>
            <w:tcW w:w="1449" w:type="dxa"/>
            <w:tcBorders>
              <w:top w:val="nil"/>
              <w:left w:val="single" w:sz="4" w:space="0" w:color="auto"/>
              <w:bottom w:val="nil"/>
              <w:right w:val="single" w:sz="4" w:space="0" w:color="auto"/>
            </w:tcBorders>
            <w:vAlign w:val="center"/>
          </w:tcPr>
          <w:p w14:paraId="72B6A812" w14:textId="77777777" w:rsidR="00763870" w:rsidRPr="00763870" w:rsidRDefault="00763870" w:rsidP="00763870">
            <w:pPr>
              <w:ind w:right="423"/>
              <w:jc w:val="right"/>
              <w:rPr>
                <w:rFonts w:eastAsia="Calibri"/>
                <w:sz w:val="18"/>
                <w:szCs w:val="18"/>
                <w:lang w:val="es-ES" w:eastAsia="en-US"/>
              </w:rPr>
            </w:pPr>
            <w:r w:rsidRPr="00763870">
              <w:rPr>
                <w:rFonts w:eastAsia="Calibri"/>
                <w:sz w:val="18"/>
                <w:szCs w:val="18"/>
                <w:lang w:val="es-ES" w:eastAsia="en-US"/>
              </w:rPr>
              <w:t>-0.8</w:t>
            </w:r>
          </w:p>
        </w:tc>
        <w:tc>
          <w:tcPr>
            <w:tcW w:w="1559" w:type="dxa"/>
            <w:tcBorders>
              <w:top w:val="nil"/>
              <w:left w:val="single" w:sz="4" w:space="0" w:color="auto"/>
              <w:bottom w:val="nil"/>
              <w:right w:val="single" w:sz="4" w:space="0" w:color="auto"/>
            </w:tcBorders>
            <w:vAlign w:val="center"/>
          </w:tcPr>
          <w:p w14:paraId="645AAD54" w14:textId="77777777" w:rsidR="00763870" w:rsidRPr="00763870" w:rsidRDefault="00763870" w:rsidP="00763870">
            <w:pPr>
              <w:ind w:right="523"/>
              <w:jc w:val="right"/>
              <w:rPr>
                <w:rFonts w:eastAsia="Calibri"/>
                <w:sz w:val="18"/>
                <w:szCs w:val="18"/>
                <w:lang w:val="es-ES" w:eastAsia="en-US"/>
              </w:rPr>
            </w:pPr>
            <w:r w:rsidRPr="00763870">
              <w:rPr>
                <w:rFonts w:eastAsia="Calibri"/>
                <w:sz w:val="18"/>
                <w:szCs w:val="18"/>
                <w:lang w:val="es-ES" w:eastAsia="en-US"/>
              </w:rPr>
              <w:t>-1.1</w:t>
            </w:r>
          </w:p>
        </w:tc>
        <w:tc>
          <w:tcPr>
            <w:tcW w:w="1559" w:type="dxa"/>
            <w:tcBorders>
              <w:top w:val="nil"/>
              <w:left w:val="single" w:sz="4" w:space="0" w:color="auto"/>
              <w:bottom w:val="nil"/>
              <w:right w:val="single" w:sz="4" w:space="0" w:color="auto"/>
            </w:tcBorders>
            <w:vAlign w:val="center"/>
          </w:tcPr>
          <w:p w14:paraId="05B853D9" w14:textId="77777777" w:rsidR="00763870" w:rsidRPr="00763870" w:rsidRDefault="00763870" w:rsidP="00763870">
            <w:pPr>
              <w:ind w:right="523"/>
              <w:jc w:val="right"/>
              <w:rPr>
                <w:rFonts w:eastAsia="Calibri"/>
                <w:sz w:val="18"/>
                <w:szCs w:val="18"/>
                <w:lang w:val="es-ES" w:eastAsia="en-US"/>
              </w:rPr>
            </w:pPr>
            <w:r w:rsidRPr="00763870">
              <w:rPr>
                <w:rFonts w:eastAsia="Calibri"/>
                <w:sz w:val="18"/>
                <w:szCs w:val="18"/>
                <w:lang w:val="es-ES" w:eastAsia="en-US"/>
              </w:rPr>
              <w:t>-10.3</w:t>
            </w:r>
          </w:p>
        </w:tc>
        <w:tc>
          <w:tcPr>
            <w:tcW w:w="1559" w:type="dxa"/>
            <w:tcBorders>
              <w:top w:val="nil"/>
              <w:left w:val="single" w:sz="4" w:space="0" w:color="auto"/>
              <w:bottom w:val="nil"/>
              <w:right w:val="single" w:sz="4" w:space="0" w:color="auto"/>
            </w:tcBorders>
            <w:vAlign w:val="center"/>
          </w:tcPr>
          <w:p w14:paraId="0B7567A1" w14:textId="77777777" w:rsidR="00763870" w:rsidRPr="00763870" w:rsidRDefault="00763870" w:rsidP="00763870">
            <w:pPr>
              <w:ind w:right="523"/>
              <w:jc w:val="right"/>
              <w:rPr>
                <w:rFonts w:eastAsia="Calibri"/>
                <w:sz w:val="18"/>
                <w:szCs w:val="18"/>
                <w:lang w:val="es-ES" w:eastAsia="en-US"/>
              </w:rPr>
            </w:pPr>
            <w:r w:rsidRPr="00763870">
              <w:rPr>
                <w:rFonts w:eastAsia="Calibri"/>
                <w:sz w:val="18"/>
                <w:szCs w:val="18"/>
                <w:lang w:val="es-ES" w:eastAsia="en-US"/>
              </w:rPr>
              <w:t>-0.2</w:t>
            </w:r>
          </w:p>
        </w:tc>
      </w:tr>
      <w:tr w:rsidR="00763870" w:rsidRPr="00763870" w14:paraId="4ED91472" w14:textId="77777777" w:rsidTr="00763870">
        <w:trPr>
          <w:jc w:val="center"/>
        </w:trPr>
        <w:tc>
          <w:tcPr>
            <w:tcW w:w="1812" w:type="dxa"/>
            <w:tcBorders>
              <w:top w:val="nil"/>
              <w:left w:val="single" w:sz="4" w:space="0" w:color="auto"/>
              <w:bottom w:val="single" w:sz="4" w:space="0" w:color="auto"/>
              <w:right w:val="single" w:sz="4" w:space="0" w:color="auto"/>
            </w:tcBorders>
            <w:vAlign w:val="center"/>
          </w:tcPr>
          <w:p w14:paraId="73D29EC3" w14:textId="77777777" w:rsidR="00763870" w:rsidRPr="00763870" w:rsidRDefault="00763870" w:rsidP="00763870">
            <w:pPr>
              <w:jc w:val="both"/>
              <w:rPr>
                <w:rFonts w:eastAsia="Calibri"/>
                <w:sz w:val="18"/>
                <w:szCs w:val="18"/>
                <w:lang w:val="es-ES" w:eastAsia="en-US"/>
              </w:rPr>
            </w:pPr>
            <w:r w:rsidRPr="00763870">
              <w:rPr>
                <w:rFonts w:eastAsia="Calibri"/>
                <w:sz w:val="18"/>
                <w:szCs w:val="18"/>
                <w:lang w:val="es-ES" w:eastAsia="en-US"/>
              </w:rPr>
              <w:t xml:space="preserve">Febrero </w:t>
            </w:r>
          </w:p>
        </w:tc>
        <w:tc>
          <w:tcPr>
            <w:tcW w:w="1449" w:type="dxa"/>
            <w:tcBorders>
              <w:top w:val="nil"/>
              <w:left w:val="single" w:sz="4" w:space="0" w:color="auto"/>
              <w:bottom w:val="single" w:sz="4" w:space="0" w:color="auto"/>
              <w:right w:val="single" w:sz="4" w:space="0" w:color="auto"/>
            </w:tcBorders>
            <w:vAlign w:val="center"/>
          </w:tcPr>
          <w:p w14:paraId="722196A6" w14:textId="77777777" w:rsidR="00763870" w:rsidRPr="00763870" w:rsidRDefault="00763870" w:rsidP="00763870">
            <w:pPr>
              <w:ind w:right="423"/>
              <w:jc w:val="right"/>
              <w:rPr>
                <w:rFonts w:eastAsia="Calibri"/>
                <w:sz w:val="18"/>
                <w:szCs w:val="18"/>
                <w:lang w:val="es-ES" w:eastAsia="en-US"/>
              </w:rPr>
            </w:pPr>
            <w:r w:rsidRPr="00763870">
              <w:rPr>
                <w:rFonts w:eastAsia="Calibri"/>
                <w:sz w:val="18"/>
                <w:szCs w:val="18"/>
                <w:lang w:val="es-ES" w:eastAsia="en-US"/>
              </w:rPr>
              <w:t>-0.5</w:t>
            </w:r>
          </w:p>
        </w:tc>
        <w:tc>
          <w:tcPr>
            <w:tcW w:w="1559" w:type="dxa"/>
            <w:tcBorders>
              <w:top w:val="nil"/>
              <w:left w:val="single" w:sz="4" w:space="0" w:color="auto"/>
              <w:bottom w:val="single" w:sz="4" w:space="0" w:color="auto"/>
              <w:right w:val="single" w:sz="4" w:space="0" w:color="auto"/>
            </w:tcBorders>
            <w:vAlign w:val="center"/>
          </w:tcPr>
          <w:p w14:paraId="0D9D493B" w14:textId="77777777" w:rsidR="00763870" w:rsidRPr="00763870" w:rsidRDefault="00763870" w:rsidP="00763870">
            <w:pPr>
              <w:ind w:right="523"/>
              <w:jc w:val="right"/>
              <w:rPr>
                <w:rFonts w:eastAsia="Calibri"/>
                <w:sz w:val="18"/>
                <w:szCs w:val="18"/>
                <w:lang w:val="es-ES" w:eastAsia="en-US"/>
              </w:rPr>
            </w:pPr>
            <w:r w:rsidRPr="00763870">
              <w:rPr>
                <w:rFonts w:eastAsia="Calibri"/>
                <w:sz w:val="18"/>
                <w:szCs w:val="18"/>
                <w:lang w:val="es-ES" w:eastAsia="en-US"/>
              </w:rPr>
              <w:t>-1.6</w:t>
            </w:r>
          </w:p>
        </w:tc>
        <w:tc>
          <w:tcPr>
            <w:tcW w:w="1559" w:type="dxa"/>
            <w:tcBorders>
              <w:top w:val="nil"/>
              <w:left w:val="single" w:sz="4" w:space="0" w:color="auto"/>
              <w:bottom w:val="single" w:sz="4" w:space="0" w:color="auto"/>
              <w:right w:val="single" w:sz="4" w:space="0" w:color="auto"/>
            </w:tcBorders>
            <w:vAlign w:val="center"/>
          </w:tcPr>
          <w:p w14:paraId="660F17B3" w14:textId="77777777" w:rsidR="00763870" w:rsidRPr="00763870" w:rsidRDefault="00763870" w:rsidP="00763870">
            <w:pPr>
              <w:ind w:right="523"/>
              <w:jc w:val="right"/>
              <w:rPr>
                <w:rFonts w:eastAsia="Calibri"/>
                <w:sz w:val="18"/>
                <w:szCs w:val="18"/>
                <w:lang w:val="es-ES" w:eastAsia="en-US"/>
              </w:rPr>
            </w:pPr>
            <w:r w:rsidRPr="00763870">
              <w:rPr>
                <w:rFonts w:eastAsia="Calibri"/>
                <w:sz w:val="18"/>
                <w:szCs w:val="18"/>
                <w:lang w:val="es-ES" w:eastAsia="en-US"/>
              </w:rPr>
              <w:t>0.0</w:t>
            </w:r>
          </w:p>
        </w:tc>
        <w:tc>
          <w:tcPr>
            <w:tcW w:w="1559" w:type="dxa"/>
            <w:tcBorders>
              <w:top w:val="nil"/>
              <w:left w:val="single" w:sz="4" w:space="0" w:color="auto"/>
              <w:bottom w:val="single" w:sz="4" w:space="0" w:color="auto"/>
              <w:right w:val="single" w:sz="4" w:space="0" w:color="auto"/>
            </w:tcBorders>
            <w:vAlign w:val="center"/>
          </w:tcPr>
          <w:p w14:paraId="6C0D21DD" w14:textId="77777777" w:rsidR="00763870" w:rsidRPr="00763870" w:rsidRDefault="00763870" w:rsidP="00763870">
            <w:pPr>
              <w:ind w:right="523"/>
              <w:jc w:val="right"/>
              <w:rPr>
                <w:rFonts w:eastAsia="Calibri"/>
                <w:sz w:val="18"/>
                <w:szCs w:val="18"/>
                <w:lang w:val="es-ES" w:eastAsia="en-US"/>
              </w:rPr>
            </w:pPr>
            <w:r w:rsidRPr="00763870">
              <w:rPr>
                <w:rFonts w:eastAsia="Calibri"/>
                <w:sz w:val="18"/>
                <w:szCs w:val="18"/>
                <w:lang w:val="es-ES" w:eastAsia="en-US"/>
              </w:rPr>
              <w:t>-0.1</w:t>
            </w:r>
          </w:p>
        </w:tc>
      </w:tr>
      <w:tr w:rsidR="00763870" w:rsidRPr="00763870" w14:paraId="7D01692A" w14:textId="77777777" w:rsidTr="00763870">
        <w:trPr>
          <w:jc w:val="center"/>
        </w:trPr>
        <w:tc>
          <w:tcPr>
            <w:tcW w:w="7938" w:type="dxa"/>
            <w:gridSpan w:val="5"/>
            <w:tcBorders>
              <w:top w:val="single" w:sz="4" w:space="0" w:color="auto"/>
              <w:left w:val="nil"/>
              <w:bottom w:val="nil"/>
              <w:right w:val="nil"/>
            </w:tcBorders>
            <w:vAlign w:val="center"/>
          </w:tcPr>
          <w:p w14:paraId="78F2284F" w14:textId="77777777" w:rsidR="00763870" w:rsidRPr="00763870" w:rsidRDefault="00763870" w:rsidP="00763870">
            <w:pPr>
              <w:jc w:val="both"/>
              <w:rPr>
                <w:rFonts w:eastAsia="Calibri"/>
                <w:sz w:val="20"/>
                <w:szCs w:val="20"/>
                <w:lang w:val="es-ES" w:eastAsia="en-US"/>
              </w:rPr>
            </w:pPr>
            <w:r w:rsidRPr="00763870">
              <w:rPr>
                <w:rFonts w:eastAsia="Calibri"/>
                <w:sz w:val="20"/>
                <w:szCs w:val="20"/>
                <w:lang w:val="es-ES" w:eastAsia="en-US"/>
              </w:rPr>
              <w:t>FUENTE: Elaborado por el CEESP con datos del Departamento del Trabajo.</w:t>
            </w:r>
          </w:p>
        </w:tc>
      </w:tr>
    </w:tbl>
    <w:p w14:paraId="3A2C63DF" w14:textId="77777777" w:rsidR="00763870" w:rsidRPr="00763870" w:rsidRDefault="00763870" w:rsidP="00763870">
      <w:pPr>
        <w:spacing w:after="360" w:line="360" w:lineRule="auto"/>
        <w:ind w:right="-159"/>
        <w:jc w:val="both"/>
        <w:rPr>
          <w:rFonts w:eastAsia="Calibri"/>
          <w:sz w:val="26"/>
          <w:szCs w:val="26"/>
          <w:lang w:val="es-ES" w:eastAsia="en-US"/>
        </w:rPr>
      </w:pPr>
    </w:p>
    <w:p w14:paraId="54004657" w14:textId="77777777" w:rsidR="00763870" w:rsidRPr="00763870" w:rsidRDefault="00763870" w:rsidP="00763870">
      <w:pPr>
        <w:ind w:right="-159"/>
        <w:jc w:val="both"/>
        <w:rPr>
          <w:rFonts w:eastAsia="Calibri"/>
          <w:b/>
          <w:sz w:val="20"/>
          <w:szCs w:val="20"/>
          <w:lang w:val="es-ES" w:eastAsia="en-US"/>
        </w:rPr>
      </w:pPr>
      <w:r w:rsidRPr="00763870">
        <w:rPr>
          <w:rFonts w:eastAsia="Calibri"/>
          <w:b/>
          <w:sz w:val="20"/>
          <w:szCs w:val="20"/>
          <w:lang w:val="es-ES" w:eastAsia="en-US"/>
        </w:rPr>
        <w:t>Fuente de información:</w:t>
      </w:r>
    </w:p>
    <w:p w14:paraId="299759C3" w14:textId="77777777" w:rsidR="00763870" w:rsidRPr="009177B7" w:rsidRDefault="0093224F" w:rsidP="009177B7">
      <w:pPr>
        <w:spacing w:after="720"/>
        <w:ind w:right="-159"/>
        <w:jc w:val="both"/>
        <w:rPr>
          <w:rFonts w:eastAsia="Calibri"/>
          <w:b/>
          <w:color w:val="0000FF"/>
          <w:sz w:val="20"/>
          <w:szCs w:val="20"/>
          <w:lang w:val="es-ES" w:eastAsia="en-US"/>
        </w:rPr>
      </w:pPr>
      <w:hyperlink r:id="rId92" w:history="1">
        <w:r w:rsidR="00763870" w:rsidRPr="009177B7">
          <w:rPr>
            <w:rFonts w:eastAsia="Calibri"/>
            <w:color w:val="0000FF"/>
            <w:sz w:val="20"/>
            <w:szCs w:val="20"/>
            <w:u w:val="single"/>
            <w:lang w:val="es-ES" w:eastAsia="en-US"/>
          </w:rPr>
          <w:t>http://www.ceesp.org.mx/aeje/AEJE_16Mar2015.pdf</w:t>
        </w:r>
      </w:hyperlink>
    </w:p>
    <w:p w14:paraId="6A7379EC" w14:textId="77777777" w:rsidR="00BC6CC2" w:rsidRPr="00BC6CC2" w:rsidRDefault="00BC6CC2" w:rsidP="00BC6CC2">
      <w:pPr>
        <w:ind w:right="-159"/>
        <w:jc w:val="both"/>
        <w:rPr>
          <w:rFonts w:eastAsia="Calibri"/>
          <w:b/>
          <w:sz w:val="26"/>
          <w:szCs w:val="26"/>
          <w:lang w:eastAsia="en-US"/>
        </w:rPr>
      </w:pPr>
      <w:r w:rsidRPr="00BC6CC2">
        <w:rPr>
          <w:rFonts w:eastAsia="Calibri"/>
          <w:b/>
          <w:sz w:val="26"/>
          <w:szCs w:val="26"/>
          <w:lang w:eastAsia="en-US"/>
        </w:rPr>
        <w:t>Pronunciamiento conjunto de  los sectores  obrero</w:t>
      </w:r>
    </w:p>
    <w:p w14:paraId="6B19497E" w14:textId="77777777" w:rsidR="00BC6CC2" w:rsidRPr="00BC6CC2" w:rsidRDefault="00BC6CC2" w:rsidP="00BC6CC2">
      <w:pPr>
        <w:spacing w:after="360" w:line="360" w:lineRule="auto"/>
        <w:ind w:right="-159"/>
        <w:jc w:val="both"/>
        <w:rPr>
          <w:rFonts w:eastAsia="Calibri"/>
          <w:b/>
          <w:sz w:val="26"/>
          <w:szCs w:val="26"/>
          <w:lang w:eastAsia="en-US"/>
        </w:rPr>
      </w:pPr>
      <w:r w:rsidRPr="00BC6CC2">
        <w:rPr>
          <w:rFonts w:eastAsia="Calibri"/>
          <w:b/>
          <w:sz w:val="26"/>
          <w:szCs w:val="26"/>
          <w:lang w:eastAsia="en-US"/>
        </w:rPr>
        <w:t>y patronal y del Gobierno de la República (STPS)</w:t>
      </w:r>
    </w:p>
    <w:p w14:paraId="44256328" w14:textId="38D2C5C0" w:rsidR="00BC6CC2" w:rsidRPr="00BC6CC2" w:rsidRDefault="00BC6CC2" w:rsidP="00BC6CC2">
      <w:pPr>
        <w:spacing w:after="360" w:line="360" w:lineRule="auto"/>
        <w:ind w:right="-159"/>
        <w:jc w:val="both"/>
        <w:rPr>
          <w:rFonts w:eastAsia="Calibri"/>
          <w:sz w:val="26"/>
          <w:szCs w:val="26"/>
          <w:lang w:eastAsia="en-US"/>
        </w:rPr>
      </w:pPr>
      <w:r w:rsidRPr="00BC6CC2">
        <w:rPr>
          <w:rFonts w:eastAsia="Calibri"/>
          <w:sz w:val="26"/>
          <w:szCs w:val="26"/>
          <w:lang w:eastAsia="en-US"/>
        </w:rPr>
        <w:t xml:space="preserve">El 19 de marzo de 2015, la Secretaría del Trabajo y Previsión Social (STPS) publicó el “Pronunciamiento conjunto de los sectores obrero y patronal y del Gobierno de la República”. Con dicho acto, se incrementará el salario mínimo en 1.82 pesos en zona geográfica B a partir de abril. A continuación </w:t>
      </w:r>
      <w:r>
        <w:rPr>
          <w:rFonts w:eastAsia="Calibri"/>
          <w:sz w:val="26"/>
          <w:szCs w:val="26"/>
          <w:lang w:eastAsia="en-US"/>
        </w:rPr>
        <w:t>se presenta la información</w:t>
      </w:r>
      <w:r w:rsidRPr="00BC6CC2">
        <w:rPr>
          <w:rFonts w:eastAsia="Calibri"/>
          <w:sz w:val="26"/>
          <w:szCs w:val="26"/>
          <w:lang w:eastAsia="en-US"/>
        </w:rPr>
        <w:t>.</w:t>
      </w:r>
    </w:p>
    <w:p w14:paraId="6959BD16" w14:textId="77777777" w:rsidR="00BC6CC2" w:rsidRPr="00BC6CC2" w:rsidRDefault="00BC6CC2" w:rsidP="00BC6CC2">
      <w:pPr>
        <w:spacing w:after="360" w:line="360" w:lineRule="auto"/>
        <w:ind w:right="-159"/>
        <w:jc w:val="both"/>
        <w:rPr>
          <w:rFonts w:eastAsia="Calibri"/>
          <w:b/>
          <w:sz w:val="26"/>
          <w:szCs w:val="26"/>
          <w:lang w:eastAsia="en-US"/>
        </w:rPr>
      </w:pPr>
      <w:r w:rsidRPr="00BC6CC2">
        <w:rPr>
          <w:rFonts w:eastAsia="Calibri"/>
          <w:b/>
          <w:sz w:val="26"/>
          <w:szCs w:val="26"/>
          <w:lang w:eastAsia="en-US"/>
        </w:rPr>
        <w:t>Pronunciamiento conjunto de los sectores obrero y patronal y del Gobierno de la República</w:t>
      </w:r>
    </w:p>
    <w:p w14:paraId="32B7E0BD" w14:textId="77777777" w:rsidR="00BC6CC2" w:rsidRPr="00BC6CC2" w:rsidRDefault="00BC6CC2" w:rsidP="00BC6CC2">
      <w:pPr>
        <w:spacing w:after="360" w:line="360" w:lineRule="auto"/>
        <w:ind w:right="-159"/>
        <w:jc w:val="both"/>
        <w:rPr>
          <w:rFonts w:eastAsia="Calibri"/>
          <w:sz w:val="26"/>
          <w:szCs w:val="26"/>
          <w:lang w:eastAsia="en-US"/>
        </w:rPr>
      </w:pPr>
      <w:r w:rsidRPr="00BC6CC2">
        <w:rPr>
          <w:rFonts w:eastAsia="Calibri"/>
          <w:sz w:val="26"/>
          <w:szCs w:val="26"/>
          <w:lang w:eastAsia="en-US"/>
        </w:rPr>
        <w:t xml:space="preserve">“El 12 de agosto de 2014, los sectores productivos del país nos pronunciamos a favor de mantener una discusión pública, responsable y seria sobre el incremento de los ingresos de los trabajadores y en especial de los salarios mínimos, y convenimos que esta discusión se realizaría dentro de los marcos institucionales establecidos por nuestra Carta Magna, tomando en cuenta indicadores como el incremento de la productividad, </w:t>
      </w:r>
      <w:r w:rsidRPr="00BC6CC2">
        <w:rPr>
          <w:rFonts w:eastAsia="Calibri"/>
          <w:sz w:val="26"/>
          <w:szCs w:val="26"/>
          <w:lang w:eastAsia="en-US"/>
        </w:rPr>
        <w:lastRenderedPageBreak/>
        <w:t>la formalización del empleo y la desvinculación del salario mínimo como unidad de cuenta y referencia en leyes y reglamentaciones federales, estatales y municipales que así lo utilizaban.</w:t>
      </w:r>
    </w:p>
    <w:p w14:paraId="53359424" w14:textId="77777777" w:rsidR="00BC6CC2" w:rsidRPr="00BC6CC2" w:rsidRDefault="00BC6CC2" w:rsidP="00BC6CC2">
      <w:pPr>
        <w:spacing w:after="360" w:line="360" w:lineRule="auto"/>
        <w:ind w:right="-159"/>
        <w:jc w:val="both"/>
        <w:rPr>
          <w:rFonts w:eastAsia="Calibri"/>
          <w:sz w:val="26"/>
          <w:szCs w:val="26"/>
          <w:lang w:eastAsia="en-US"/>
        </w:rPr>
      </w:pPr>
      <w:r w:rsidRPr="00BC6CC2">
        <w:rPr>
          <w:rFonts w:eastAsia="Calibri"/>
          <w:sz w:val="26"/>
          <w:szCs w:val="26"/>
          <w:lang w:eastAsia="en-US"/>
        </w:rPr>
        <w:t>Los sectores obrero y patronal y el Gobierno de la República nos comprometimos a que a partir del diálogo social construir políticas públicas que promuevan de manera permanente la formalidad, la productividad de las empresas y los trabajadores y la competitividad, así como a mantener e incrementar las inversiones, impulsar la generación de más y mejores empleos que eleven la calidad de vida de los trabajadores y sus familias y trabajar responsablemente para mejorar los niveles de ingreso salarial.</w:t>
      </w:r>
    </w:p>
    <w:p w14:paraId="49810EFB" w14:textId="77777777" w:rsidR="00BC6CC2" w:rsidRPr="00BC6CC2" w:rsidRDefault="00BC6CC2" w:rsidP="00BC6CC2">
      <w:pPr>
        <w:spacing w:after="360" w:line="360" w:lineRule="auto"/>
        <w:ind w:right="-159"/>
        <w:jc w:val="both"/>
        <w:rPr>
          <w:rFonts w:eastAsia="Calibri"/>
          <w:sz w:val="26"/>
          <w:szCs w:val="26"/>
          <w:lang w:eastAsia="en-US"/>
        </w:rPr>
      </w:pPr>
      <w:r w:rsidRPr="00BC6CC2">
        <w:rPr>
          <w:rFonts w:eastAsia="Calibri"/>
          <w:sz w:val="26"/>
          <w:szCs w:val="26"/>
          <w:lang w:eastAsia="en-US"/>
        </w:rPr>
        <w:t>Los sectores productivos reconocemos que gracias al diálogo permanente entre trabajadores, empleadores y gobierno, se han logrado avances en torno a los compromisos que asumimos, tales como el incremento del empleo formal, la disminución de la informalidad, una mayor productividad laboral de la economía, mejor capacitación para el trabajo y la conciliación eficaz por la vía de la negociación y el diálogo, con lo que se ha mantenido la paz laboral, la inversión y la actividad productiva.</w:t>
      </w:r>
    </w:p>
    <w:p w14:paraId="77288E38" w14:textId="77777777" w:rsidR="00BC6CC2" w:rsidRPr="00BC6CC2" w:rsidRDefault="00BC6CC2" w:rsidP="00BC6CC2">
      <w:pPr>
        <w:spacing w:after="360" w:line="360" w:lineRule="auto"/>
        <w:ind w:right="-159"/>
        <w:jc w:val="both"/>
        <w:rPr>
          <w:rFonts w:eastAsia="Calibri"/>
          <w:sz w:val="26"/>
          <w:szCs w:val="26"/>
          <w:lang w:eastAsia="en-US"/>
        </w:rPr>
      </w:pPr>
      <w:r w:rsidRPr="00BC6CC2">
        <w:rPr>
          <w:rFonts w:eastAsia="Calibri"/>
          <w:sz w:val="26"/>
          <w:szCs w:val="26"/>
          <w:lang w:eastAsia="en-US"/>
        </w:rPr>
        <w:t>Todo ello son avances importantes pero debemos seguir redoblando esfuerzos porque México requiere la creación de al menos 800 mil empleos cada año para absorber a la población que se incorpora al mercado laboral y de un proceso de recuperación del poder adquisitivo de los salarios, para seguirnos posicionando como un país competitivo para atraer inversión productiva.</w:t>
      </w:r>
    </w:p>
    <w:p w14:paraId="69E4EEC8" w14:textId="77777777" w:rsidR="00BC6CC2" w:rsidRPr="00BC6CC2" w:rsidRDefault="00BC6CC2" w:rsidP="00BC6CC2">
      <w:pPr>
        <w:spacing w:after="360" w:line="360" w:lineRule="auto"/>
        <w:ind w:right="-159"/>
        <w:jc w:val="both"/>
        <w:rPr>
          <w:rFonts w:eastAsia="Calibri"/>
          <w:sz w:val="26"/>
          <w:szCs w:val="26"/>
          <w:lang w:eastAsia="en-US"/>
        </w:rPr>
      </w:pPr>
      <w:r w:rsidRPr="00BC6CC2">
        <w:rPr>
          <w:rFonts w:eastAsia="Calibri"/>
          <w:sz w:val="26"/>
          <w:szCs w:val="26"/>
          <w:lang w:eastAsia="en-US"/>
        </w:rPr>
        <w:t>Ello sólo es posible con un compromiso claro de todos los agentes económicos para preservar la planta laboral y continuar los esfuerzos de formalización del empleo, que se traduzca en el compromiso de elevar la productividad en los centros de trabajo, bajo un enfoque de responsabilidades compartidas y la distribución más equitativa de los beneficios.</w:t>
      </w:r>
    </w:p>
    <w:p w14:paraId="0EA952FD" w14:textId="77777777" w:rsidR="00BC6CC2" w:rsidRPr="00BC6CC2" w:rsidRDefault="00BC6CC2" w:rsidP="00BC6CC2">
      <w:pPr>
        <w:spacing w:after="360" w:line="360" w:lineRule="auto"/>
        <w:ind w:right="-159"/>
        <w:jc w:val="both"/>
        <w:rPr>
          <w:rFonts w:eastAsia="Calibri"/>
          <w:sz w:val="26"/>
          <w:szCs w:val="26"/>
          <w:lang w:eastAsia="en-US"/>
        </w:rPr>
      </w:pPr>
      <w:r w:rsidRPr="00BC6CC2">
        <w:rPr>
          <w:rFonts w:eastAsia="Calibri"/>
          <w:sz w:val="26"/>
          <w:szCs w:val="26"/>
          <w:lang w:eastAsia="en-US"/>
        </w:rPr>
        <w:lastRenderedPageBreak/>
        <w:t>Coincidimos en sumar voluntades con el propósito de avanzar en la gradual reducción de las diferencias entre las áreas geográficas del salario mínimo, hasta alcanzar uno solo para todo el país, y con ello recuperar el poder adquisitivo de los trabajadores, especialmente de quienes menos ganan.</w:t>
      </w:r>
    </w:p>
    <w:p w14:paraId="10E16FB5" w14:textId="77777777" w:rsidR="00BC6CC2" w:rsidRPr="00BC6CC2" w:rsidRDefault="00BC6CC2" w:rsidP="00BC6CC2">
      <w:pPr>
        <w:spacing w:after="360" w:line="360" w:lineRule="auto"/>
        <w:ind w:right="-159"/>
        <w:jc w:val="both"/>
        <w:rPr>
          <w:rFonts w:eastAsia="Calibri"/>
          <w:sz w:val="26"/>
          <w:szCs w:val="26"/>
          <w:lang w:eastAsia="en-US"/>
        </w:rPr>
      </w:pPr>
      <w:r w:rsidRPr="00BC6CC2">
        <w:rPr>
          <w:rFonts w:eastAsia="Calibri"/>
          <w:sz w:val="26"/>
          <w:szCs w:val="26"/>
          <w:lang w:eastAsia="en-US"/>
        </w:rPr>
        <w:t>Reconocemos y apoyamos los trabajos de la CONASAMI en su responsabilidad social y constitucional de mejorar los salarios mínimos de los trabajadores de nuestro país, en particular en la legítima demanda de homologar las áreas geográficas A y B, en un 50%, como un primer esfuerzo en el mes de abril próximo y si las condiciones económicas lo permiten, poder cerrar la brecha entre áreas en este mismo año, sin que ello afecte la inflación y el empleo productivo del país, para tener por primera vez un solo salario mínimo para todo el país.</w:t>
      </w:r>
    </w:p>
    <w:p w14:paraId="33872448" w14:textId="77777777" w:rsidR="00BC6CC2" w:rsidRPr="00BC6CC2" w:rsidRDefault="00BC6CC2" w:rsidP="00BC6CC2">
      <w:pPr>
        <w:spacing w:after="360" w:line="360" w:lineRule="auto"/>
        <w:ind w:right="-159"/>
        <w:jc w:val="both"/>
        <w:rPr>
          <w:rFonts w:eastAsia="Calibri"/>
          <w:sz w:val="26"/>
          <w:szCs w:val="26"/>
          <w:lang w:eastAsia="en-US"/>
        </w:rPr>
      </w:pPr>
      <w:r w:rsidRPr="00BC6CC2">
        <w:rPr>
          <w:rFonts w:eastAsia="Calibri"/>
          <w:sz w:val="26"/>
          <w:szCs w:val="26"/>
          <w:lang w:eastAsia="en-US"/>
        </w:rPr>
        <w:t>Reiteramos nuestra convicción y compromiso de trabajar por México.</w:t>
      </w:r>
    </w:p>
    <w:p w14:paraId="6287BA77" w14:textId="77777777" w:rsidR="00BC6CC2" w:rsidRPr="00BC6CC2" w:rsidRDefault="00BC6CC2" w:rsidP="00BC6CC2">
      <w:pPr>
        <w:spacing w:after="360" w:line="360" w:lineRule="auto"/>
        <w:ind w:right="-159"/>
        <w:jc w:val="both"/>
        <w:rPr>
          <w:rFonts w:eastAsia="Calibri"/>
          <w:sz w:val="26"/>
          <w:szCs w:val="26"/>
          <w:lang w:eastAsia="en-US"/>
        </w:rPr>
      </w:pPr>
      <w:r w:rsidRPr="00BC6CC2">
        <w:rPr>
          <w:rFonts w:eastAsia="Calibri"/>
          <w:sz w:val="26"/>
          <w:szCs w:val="26"/>
          <w:lang w:eastAsia="en-US"/>
        </w:rPr>
        <w:t>Ciudad de México a 19 de marzo de 2015.”</w:t>
      </w:r>
    </w:p>
    <w:p w14:paraId="0C095F0B" w14:textId="77777777" w:rsidR="00BC6CC2" w:rsidRPr="00BC6CC2" w:rsidRDefault="00BC6CC2" w:rsidP="00BC6CC2">
      <w:pPr>
        <w:rPr>
          <w:rFonts w:eastAsia="Calibri"/>
          <w:sz w:val="20"/>
          <w:szCs w:val="20"/>
          <w:lang w:eastAsia="en-US"/>
        </w:rPr>
      </w:pPr>
      <w:r w:rsidRPr="00BC6CC2">
        <w:rPr>
          <w:rFonts w:eastAsia="Calibri"/>
          <w:b/>
          <w:sz w:val="20"/>
          <w:szCs w:val="20"/>
          <w:lang w:eastAsia="en-US"/>
        </w:rPr>
        <w:t>Fuente de información</w:t>
      </w:r>
      <w:r w:rsidRPr="00BC6CC2">
        <w:rPr>
          <w:rFonts w:eastAsia="Calibri"/>
          <w:sz w:val="20"/>
          <w:szCs w:val="20"/>
          <w:lang w:eastAsia="en-US"/>
        </w:rPr>
        <w:t>:</w:t>
      </w:r>
    </w:p>
    <w:p w14:paraId="5E8FED7B" w14:textId="77777777" w:rsidR="00BC6CC2" w:rsidRPr="009177B7" w:rsidRDefault="0093224F" w:rsidP="00BC6CC2">
      <w:pPr>
        <w:rPr>
          <w:rFonts w:eastAsia="Calibri"/>
          <w:color w:val="0000FF"/>
          <w:sz w:val="20"/>
          <w:szCs w:val="20"/>
          <w:u w:val="single"/>
          <w:lang w:eastAsia="en-US"/>
        </w:rPr>
      </w:pPr>
      <w:hyperlink r:id="rId93" w:history="1">
        <w:r w:rsidR="00BC6CC2" w:rsidRPr="009177B7">
          <w:rPr>
            <w:rFonts w:eastAsia="Calibri"/>
            <w:color w:val="0000FF"/>
            <w:sz w:val="20"/>
            <w:szCs w:val="20"/>
            <w:u w:val="single"/>
            <w:lang w:eastAsia="en-US"/>
          </w:rPr>
          <w:t>http://www.stps.gob.mx/bp/secciones/sala_prensa/boletines/2015/marzo/pronunciamiento_conjunto.pdf</w:t>
        </w:r>
      </w:hyperlink>
    </w:p>
    <w:p w14:paraId="52966245" w14:textId="77777777" w:rsidR="00BC6CC2" w:rsidRPr="009177B7" w:rsidRDefault="0093224F" w:rsidP="00BC6CC2">
      <w:pPr>
        <w:rPr>
          <w:rFonts w:eastAsia="Calibri"/>
          <w:color w:val="0000FF"/>
          <w:sz w:val="20"/>
          <w:szCs w:val="20"/>
          <w:lang w:eastAsia="en-US"/>
        </w:rPr>
      </w:pPr>
      <w:hyperlink r:id="rId94" w:history="1">
        <w:r w:rsidR="00BC6CC2" w:rsidRPr="009177B7">
          <w:rPr>
            <w:rFonts w:eastAsia="Calibri"/>
            <w:color w:val="0000FF"/>
            <w:sz w:val="20"/>
            <w:szCs w:val="20"/>
            <w:u w:val="single"/>
            <w:lang w:eastAsia="en-US"/>
          </w:rPr>
          <w:t>http://www.stps.gob.mx/bp/secciones/sala_prensa/boletines/2015/marzo/pronunciamiento.html</w:t>
        </w:r>
      </w:hyperlink>
      <w:r w:rsidR="00BC6CC2" w:rsidRPr="009177B7">
        <w:rPr>
          <w:rFonts w:eastAsia="Calibri"/>
          <w:color w:val="0000FF"/>
          <w:sz w:val="20"/>
          <w:szCs w:val="20"/>
          <w:lang w:eastAsia="en-US"/>
        </w:rPr>
        <w:t xml:space="preserve"> </w:t>
      </w:r>
    </w:p>
    <w:p w14:paraId="6E44E20E" w14:textId="77777777" w:rsidR="00BC6CC2" w:rsidRPr="00BC6CC2" w:rsidRDefault="00BC6CC2" w:rsidP="00BC6CC2">
      <w:pPr>
        <w:spacing w:after="160" w:line="259" w:lineRule="auto"/>
        <w:rPr>
          <w:rFonts w:eastAsia="Calibri"/>
          <w:sz w:val="22"/>
          <w:szCs w:val="22"/>
          <w:lang w:eastAsia="en-US"/>
        </w:rPr>
      </w:pPr>
    </w:p>
    <w:p w14:paraId="1C30381B" w14:textId="77777777" w:rsidR="00BC6CC2" w:rsidRDefault="00BC6CC2" w:rsidP="00CA65EC">
      <w:pPr>
        <w:spacing w:after="360" w:line="360" w:lineRule="auto"/>
        <w:ind w:right="-159"/>
        <w:jc w:val="both"/>
        <w:rPr>
          <w:rFonts w:eastAsia="Calibri"/>
          <w:sz w:val="26"/>
          <w:szCs w:val="26"/>
          <w:lang w:eastAsia="en-US"/>
        </w:rPr>
      </w:pPr>
    </w:p>
    <w:p w14:paraId="00E5314A" w14:textId="77777777" w:rsidR="00BC6CC2" w:rsidRPr="00CA65EC" w:rsidRDefault="00BC6CC2" w:rsidP="00CA65EC">
      <w:pPr>
        <w:spacing w:after="360" w:line="360" w:lineRule="auto"/>
        <w:ind w:right="-159"/>
        <w:jc w:val="both"/>
        <w:rPr>
          <w:rFonts w:eastAsia="Calibri"/>
          <w:sz w:val="26"/>
          <w:szCs w:val="26"/>
          <w:lang w:eastAsia="en-US"/>
        </w:rPr>
      </w:pPr>
    </w:p>
    <w:p w14:paraId="0C881CF0" w14:textId="47709B12" w:rsidR="00E538A5" w:rsidRDefault="00E538A5">
      <w:pPr>
        <w:rPr>
          <w:rFonts w:eastAsia="Times New Roman"/>
          <w:sz w:val="26"/>
          <w:szCs w:val="26"/>
        </w:rPr>
      </w:pPr>
      <w:r>
        <w:rPr>
          <w:rFonts w:eastAsia="Times New Roman"/>
          <w:sz w:val="26"/>
          <w:szCs w:val="26"/>
        </w:rPr>
        <w:br w:type="page"/>
      </w:r>
    </w:p>
    <w:p w14:paraId="50D078F9" w14:textId="68BDDA92" w:rsidR="0069103C" w:rsidRPr="00B35BB9" w:rsidRDefault="0069103C" w:rsidP="0069103C">
      <w:pPr>
        <w:spacing w:after="360" w:line="360" w:lineRule="auto"/>
        <w:ind w:right="-159"/>
        <w:jc w:val="both"/>
        <w:rPr>
          <w:rFonts w:eastAsia="Times New Roman"/>
          <w:b/>
          <w:color w:val="0000FF"/>
          <w:sz w:val="28"/>
          <w:szCs w:val="28"/>
          <w:lang w:eastAsia="en-US"/>
        </w:rPr>
      </w:pPr>
      <w:r w:rsidRPr="00B35BB9">
        <w:rPr>
          <w:rFonts w:eastAsia="Times New Roman"/>
          <w:b/>
          <w:color w:val="0000FF"/>
          <w:sz w:val="28"/>
          <w:szCs w:val="28"/>
          <w:lang w:eastAsia="en-US"/>
        </w:rPr>
        <w:lastRenderedPageBreak/>
        <w:t>SECTOR PRIMARIO</w:t>
      </w:r>
    </w:p>
    <w:p w14:paraId="545E53FC" w14:textId="1BBFE97B" w:rsidR="00B46740" w:rsidRDefault="00B46740" w:rsidP="00B46740">
      <w:pPr>
        <w:autoSpaceDE w:val="0"/>
        <w:autoSpaceDN w:val="0"/>
        <w:adjustRightInd w:val="0"/>
        <w:spacing w:after="360" w:line="360" w:lineRule="auto"/>
        <w:ind w:right="-159"/>
        <w:jc w:val="both"/>
        <w:rPr>
          <w:rFonts w:eastAsia="Calibri"/>
          <w:b/>
          <w:sz w:val="26"/>
          <w:szCs w:val="26"/>
          <w:lang w:eastAsia="en-US"/>
        </w:rPr>
      </w:pPr>
      <w:r w:rsidRPr="000E3A45">
        <w:rPr>
          <w:rFonts w:eastAsia="Calibri"/>
          <w:b/>
          <w:sz w:val="26"/>
          <w:szCs w:val="26"/>
          <w:lang w:eastAsia="en-US"/>
        </w:rPr>
        <w:t>Subsector agrícola</w:t>
      </w:r>
    </w:p>
    <w:p w14:paraId="10193365" w14:textId="77777777" w:rsidR="00CB3A3F" w:rsidRPr="00CB3A3F" w:rsidRDefault="00CB3A3F" w:rsidP="00CB3A3F">
      <w:pPr>
        <w:rPr>
          <w:rFonts w:eastAsia="Calibri"/>
          <w:b/>
          <w:sz w:val="26"/>
          <w:szCs w:val="26"/>
          <w:lang w:eastAsia="en-US"/>
        </w:rPr>
      </w:pPr>
      <w:r w:rsidRPr="00CB3A3F">
        <w:rPr>
          <w:rFonts w:eastAsia="Calibri"/>
          <w:b/>
          <w:sz w:val="26"/>
          <w:szCs w:val="26"/>
          <w:lang w:eastAsia="en-US"/>
        </w:rPr>
        <w:t>Se   destinarán   al   campo   más  de 10 mil 400</w:t>
      </w:r>
    </w:p>
    <w:p w14:paraId="31D56A5B" w14:textId="77777777" w:rsidR="00CB3A3F" w:rsidRPr="00CB3A3F" w:rsidRDefault="00CB3A3F" w:rsidP="00CB3A3F">
      <w:pPr>
        <w:spacing w:after="360" w:line="360" w:lineRule="auto"/>
        <w:ind w:right="-159"/>
        <w:jc w:val="both"/>
        <w:rPr>
          <w:rFonts w:eastAsia="Calibri"/>
          <w:b/>
          <w:sz w:val="26"/>
          <w:szCs w:val="26"/>
          <w:lang w:eastAsia="en-US"/>
        </w:rPr>
      </w:pPr>
      <w:r w:rsidRPr="00CB3A3F">
        <w:rPr>
          <w:rFonts w:eastAsia="Calibri"/>
          <w:b/>
          <w:sz w:val="26"/>
          <w:szCs w:val="26"/>
          <w:lang w:eastAsia="en-US"/>
        </w:rPr>
        <w:t>millones de pesos (Presidencia de la República)</w:t>
      </w:r>
    </w:p>
    <w:p w14:paraId="635DF588" w14:textId="27D93B41" w:rsidR="00CB3A3F" w:rsidRPr="00CB3A3F" w:rsidRDefault="00CB3A3F" w:rsidP="00CB3A3F">
      <w:pPr>
        <w:spacing w:after="360" w:line="360" w:lineRule="auto"/>
        <w:ind w:right="-159"/>
        <w:jc w:val="both"/>
        <w:rPr>
          <w:rFonts w:eastAsia="Calibri"/>
          <w:sz w:val="26"/>
          <w:szCs w:val="26"/>
          <w:lang w:eastAsia="en-US"/>
        </w:rPr>
      </w:pPr>
      <w:r w:rsidRPr="00CB3A3F">
        <w:rPr>
          <w:rFonts w:eastAsia="Calibri"/>
          <w:sz w:val="26"/>
          <w:szCs w:val="26"/>
          <w:lang w:eastAsia="en-US"/>
        </w:rPr>
        <w:t>El 6 de marzo de 2015, el Presidente de la República</w:t>
      </w:r>
      <w:r w:rsidRPr="00CB3A3F">
        <w:rPr>
          <w:rFonts w:eastAsia="Calibri"/>
          <w:sz w:val="26"/>
          <w:szCs w:val="26"/>
          <w:vertAlign w:val="superscript"/>
          <w:lang w:eastAsia="en-US"/>
        </w:rPr>
        <w:footnoteReference w:id="13"/>
      </w:r>
      <w:r w:rsidRPr="00CB3A3F">
        <w:rPr>
          <w:rFonts w:eastAsia="Calibri"/>
          <w:sz w:val="26"/>
          <w:szCs w:val="26"/>
          <w:lang w:eastAsia="en-US"/>
        </w:rPr>
        <w:t xml:space="preserve"> comunicó </w:t>
      </w:r>
      <w:r w:rsidR="00BC772A">
        <w:rPr>
          <w:rFonts w:eastAsia="Calibri"/>
          <w:sz w:val="26"/>
          <w:szCs w:val="26"/>
          <w:lang w:eastAsia="en-US"/>
        </w:rPr>
        <w:t xml:space="preserve">que </w:t>
      </w:r>
      <w:r w:rsidRPr="00CB3A3F">
        <w:rPr>
          <w:rFonts w:eastAsia="Calibri"/>
          <w:sz w:val="26"/>
          <w:szCs w:val="26"/>
          <w:lang w:eastAsia="en-US"/>
        </w:rPr>
        <w:t xml:space="preserve">más de 10 mil </w:t>
      </w:r>
      <w:r>
        <w:rPr>
          <w:rFonts w:eastAsia="Calibri"/>
          <w:sz w:val="26"/>
          <w:szCs w:val="26"/>
          <w:lang w:eastAsia="en-US"/>
        </w:rPr>
        <w:t xml:space="preserve">               </w:t>
      </w:r>
      <w:r w:rsidRPr="00CB3A3F">
        <w:rPr>
          <w:rFonts w:eastAsia="Calibri"/>
          <w:sz w:val="26"/>
          <w:szCs w:val="26"/>
          <w:lang w:eastAsia="en-US"/>
        </w:rPr>
        <w:t xml:space="preserve">400 millones de pesos se destinan a apoyar al campo mexicano en las distintas entidades federativas. </w:t>
      </w:r>
      <w:r>
        <w:rPr>
          <w:rFonts w:eastAsia="Calibri"/>
          <w:sz w:val="26"/>
          <w:szCs w:val="26"/>
          <w:lang w:eastAsia="en-US"/>
        </w:rPr>
        <w:t>A continuación se presenta la información</w:t>
      </w:r>
      <w:r w:rsidRPr="00CB3A3F">
        <w:rPr>
          <w:rFonts w:eastAsia="Calibri"/>
          <w:sz w:val="26"/>
          <w:szCs w:val="26"/>
          <w:lang w:eastAsia="en-US"/>
        </w:rPr>
        <w:t>.</w:t>
      </w:r>
    </w:p>
    <w:p w14:paraId="26A13F65" w14:textId="77777777" w:rsidR="00CB3A3F" w:rsidRPr="00CB3A3F" w:rsidRDefault="00CB3A3F" w:rsidP="00CB3A3F">
      <w:pPr>
        <w:spacing w:after="360" w:line="360" w:lineRule="auto"/>
        <w:ind w:right="-159"/>
        <w:jc w:val="both"/>
        <w:rPr>
          <w:rFonts w:eastAsia="Calibri"/>
          <w:sz w:val="26"/>
          <w:szCs w:val="26"/>
          <w:lang w:eastAsia="en-US"/>
        </w:rPr>
      </w:pPr>
      <w:r w:rsidRPr="00CB3A3F">
        <w:rPr>
          <w:rFonts w:eastAsia="Calibri"/>
          <w:sz w:val="26"/>
          <w:szCs w:val="26"/>
          <w:lang w:eastAsia="en-US"/>
        </w:rPr>
        <w:t>Al agradecer a los productores del campo la aportación que hacen diariamente para que los mexicanos puedan tener en sus mesas alimentos nutritivos producidos en el país, el Presidente de la República subrayó que más de 10 mil 400 millones de pesos se destinan a apoyar al campo nacional en las distintas entidades federativas.</w:t>
      </w:r>
    </w:p>
    <w:p w14:paraId="1309C921" w14:textId="77777777" w:rsidR="00CB3A3F" w:rsidRPr="00CB3A3F" w:rsidRDefault="00CB3A3F" w:rsidP="00CB3A3F">
      <w:pPr>
        <w:spacing w:after="360" w:line="360" w:lineRule="auto"/>
        <w:ind w:right="-159"/>
        <w:jc w:val="both"/>
        <w:rPr>
          <w:rFonts w:eastAsia="Calibri"/>
          <w:sz w:val="26"/>
          <w:szCs w:val="26"/>
          <w:lang w:eastAsia="en-US"/>
        </w:rPr>
      </w:pPr>
      <w:r w:rsidRPr="00CB3A3F">
        <w:rPr>
          <w:rFonts w:eastAsia="Calibri"/>
          <w:sz w:val="26"/>
          <w:szCs w:val="26"/>
          <w:lang w:eastAsia="en-US"/>
        </w:rPr>
        <w:t>Dijo que ello requiere también de la participación de los gobiernos estatales dado que es una mezcla de recursos: el 80% lo aporta el Gobierno Federal y el 20% restante los gobiernos estatales.</w:t>
      </w:r>
    </w:p>
    <w:p w14:paraId="7975BCBE" w14:textId="77777777" w:rsidR="00CB3A3F" w:rsidRPr="00CB3A3F" w:rsidRDefault="00CB3A3F" w:rsidP="00CB3A3F">
      <w:pPr>
        <w:spacing w:after="360" w:line="360" w:lineRule="auto"/>
        <w:ind w:right="-159"/>
        <w:jc w:val="both"/>
        <w:rPr>
          <w:rFonts w:eastAsia="Calibri"/>
          <w:sz w:val="26"/>
          <w:szCs w:val="26"/>
          <w:lang w:eastAsia="en-US"/>
        </w:rPr>
      </w:pPr>
      <w:r w:rsidRPr="00CB3A3F">
        <w:rPr>
          <w:rFonts w:eastAsia="Calibri"/>
          <w:sz w:val="26"/>
          <w:szCs w:val="26"/>
          <w:lang w:eastAsia="en-US"/>
        </w:rPr>
        <w:t>En el evento en el que entregó incentivos agropecuarios para la zona centro “Con los pies en la Tierra”, e inauguró un distribuidor vial en avenida 5 de mayo y prolongación Salvador Díaz Mirón, el Primer Mandatario expresó su reconocimiento al Gobernador del Estado de México, porque una vez firmado el acuerdo para dedicar estos recursos al campo hace apenas unos días, esta entidad ya aseguró que el campo mexiquense cuente con este apoyo.</w:t>
      </w:r>
    </w:p>
    <w:p w14:paraId="34D6C959" w14:textId="77777777" w:rsidR="00CB3A3F" w:rsidRPr="00CB3A3F" w:rsidRDefault="00CB3A3F" w:rsidP="00CB3A3F">
      <w:pPr>
        <w:spacing w:after="360" w:line="360" w:lineRule="auto"/>
        <w:ind w:right="-159"/>
        <w:jc w:val="both"/>
        <w:rPr>
          <w:rFonts w:eastAsia="Calibri"/>
          <w:sz w:val="26"/>
          <w:szCs w:val="26"/>
          <w:lang w:eastAsia="en-US"/>
        </w:rPr>
      </w:pPr>
      <w:r w:rsidRPr="00CB3A3F">
        <w:rPr>
          <w:rFonts w:eastAsia="Calibri"/>
          <w:sz w:val="26"/>
          <w:szCs w:val="26"/>
          <w:lang w:eastAsia="en-US"/>
        </w:rPr>
        <w:t xml:space="preserve">El Presidente de México expresó que “nuestro campo tiene necesidad de contar con más apoyos para producir más”, para generar mejores ingresos a las familias que viven </w:t>
      </w:r>
      <w:r w:rsidRPr="00CB3A3F">
        <w:rPr>
          <w:rFonts w:eastAsia="Calibri"/>
          <w:sz w:val="26"/>
          <w:szCs w:val="26"/>
          <w:lang w:eastAsia="en-US"/>
        </w:rPr>
        <w:lastRenderedPageBreak/>
        <w:t>de él, pero sobre todo, también para arraigar a las nuevas generaciones, que encuentren en esta actividad una que sea realmente generadora de ingresos dignos, y que los alimentos que producen lleguen a todas las mesas de las familias mexicanas.</w:t>
      </w:r>
    </w:p>
    <w:p w14:paraId="2EF72CC8" w14:textId="77777777" w:rsidR="00CB3A3F" w:rsidRPr="00CB3A3F" w:rsidRDefault="00CB3A3F" w:rsidP="00CB3A3F">
      <w:pPr>
        <w:spacing w:after="360" w:line="360" w:lineRule="auto"/>
        <w:ind w:right="-159"/>
        <w:jc w:val="both"/>
        <w:rPr>
          <w:rFonts w:eastAsia="Calibri"/>
          <w:b/>
          <w:sz w:val="26"/>
          <w:szCs w:val="26"/>
          <w:lang w:eastAsia="en-US"/>
        </w:rPr>
      </w:pPr>
      <w:r w:rsidRPr="00CB3A3F">
        <w:rPr>
          <w:rFonts w:eastAsia="Calibri"/>
          <w:b/>
          <w:sz w:val="26"/>
          <w:szCs w:val="26"/>
          <w:lang w:eastAsia="en-US"/>
        </w:rPr>
        <w:t>Más obras y resultados para elevar el bienestar de los mexiquenses</w:t>
      </w:r>
    </w:p>
    <w:p w14:paraId="5B7DB924" w14:textId="77777777" w:rsidR="00CB3A3F" w:rsidRPr="00CB3A3F" w:rsidRDefault="00CB3A3F" w:rsidP="00CB3A3F">
      <w:pPr>
        <w:spacing w:after="360" w:line="360" w:lineRule="auto"/>
        <w:ind w:right="-159"/>
        <w:jc w:val="both"/>
        <w:rPr>
          <w:rFonts w:eastAsia="Calibri"/>
          <w:sz w:val="26"/>
          <w:szCs w:val="26"/>
          <w:lang w:eastAsia="en-US"/>
        </w:rPr>
      </w:pPr>
      <w:r w:rsidRPr="00CB3A3F">
        <w:rPr>
          <w:rFonts w:eastAsia="Calibri"/>
          <w:sz w:val="26"/>
          <w:szCs w:val="26"/>
          <w:lang w:eastAsia="en-US"/>
        </w:rPr>
        <w:t>En el Parque Ambiental Bicentenario, ante cerca de 10 mil personas, el Presidente de México reiteró que el Gobierno de la República “está impulsando y está dedicando esfuerzos a un gran y ambicioso plan de infraestructura para todo el país”, especialmente en las vías de comunicación.</w:t>
      </w:r>
    </w:p>
    <w:p w14:paraId="013474AC" w14:textId="77777777" w:rsidR="00CB3A3F" w:rsidRPr="00CB3A3F" w:rsidRDefault="00CB3A3F" w:rsidP="00CB3A3F">
      <w:pPr>
        <w:spacing w:after="360" w:line="360" w:lineRule="auto"/>
        <w:ind w:right="-159"/>
        <w:jc w:val="both"/>
        <w:rPr>
          <w:rFonts w:eastAsia="Calibri"/>
          <w:sz w:val="26"/>
          <w:szCs w:val="26"/>
          <w:lang w:eastAsia="en-US"/>
        </w:rPr>
      </w:pPr>
      <w:r w:rsidRPr="00CB3A3F">
        <w:rPr>
          <w:rFonts w:eastAsia="Calibri"/>
          <w:sz w:val="26"/>
          <w:szCs w:val="26"/>
          <w:lang w:eastAsia="en-US"/>
        </w:rPr>
        <w:t>Destacó que el corredor de la zona metropolitana de Toluca concentra una importante población de poco más de dos millones de habitantes. Señaló que el distribuidor vial que hoy se entrega y las obras que están en proceso en la entidad, “sin duda, van a cambiar el rostro de modernidad del Estado de México y muy señaladamente, la conectividad de esta importante zona metropolitana, con la más importante, que es la del Valle de México y en donde está la capital del país, en el Distrito Federal”.</w:t>
      </w:r>
    </w:p>
    <w:p w14:paraId="546C8EC0" w14:textId="77777777" w:rsidR="00CB3A3F" w:rsidRPr="00CB3A3F" w:rsidRDefault="00CB3A3F" w:rsidP="00CB3A3F">
      <w:pPr>
        <w:spacing w:after="360" w:line="360" w:lineRule="auto"/>
        <w:ind w:right="-159"/>
        <w:jc w:val="both"/>
        <w:rPr>
          <w:rFonts w:eastAsia="Calibri"/>
          <w:sz w:val="26"/>
          <w:szCs w:val="26"/>
          <w:lang w:eastAsia="en-US"/>
        </w:rPr>
      </w:pPr>
      <w:r w:rsidRPr="00CB3A3F">
        <w:rPr>
          <w:rFonts w:eastAsia="Calibri"/>
          <w:sz w:val="26"/>
          <w:szCs w:val="26"/>
          <w:lang w:eastAsia="en-US"/>
        </w:rPr>
        <w:t>El distribuidor vial, “sin duda, permitirá modernizar y acercar de mejor manera a estas dos concentraciones de población que tenemos en México y, sobre todo, hacer que esta región sea mucho más productiva, más moderna, más competitiva, más segura, con más y mejores vialidades para todos sus habitantes”, añadió.</w:t>
      </w:r>
    </w:p>
    <w:p w14:paraId="63AD324B" w14:textId="77777777" w:rsidR="00CB3A3F" w:rsidRPr="00CB3A3F" w:rsidRDefault="00CB3A3F" w:rsidP="00CB3A3F">
      <w:pPr>
        <w:spacing w:after="360" w:line="360" w:lineRule="auto"/>
        <w:ind w:right="-159"/>
        <w:jc w:val="both"/>
        <w:rPr>
          <w:rFonts w:eastAsia="Calibri"/>
          <w:sz w:val="26"/>
          <w:szCs w:val="26"/>
          <w:lang w:eastAsia="en-US"/>
        </w:rPr>
      </w:pPr>
      <w:r w:rsidRPr="00CB3A3F">
        <w:rPr>
          <w:rFonts w:eastAsia="Calibri"/>
          <w:sz w:val="26"/>
          <w:szCs w:val="26"/>
          <w:lang w:eastAsia="en-US"/>
        </w:rPr>
        <w:t>Detalló otras obras de infraestructura para el Estado de México como son el libramiento de Acambay, la conexión ampliada que va desde Toluca hasta Palmillas, en una carretera moderna por vía libre y otra por vía de cuota.</w:t>
      </w:r>
    </w:p>
    <w:p w14:paraId="066F44AF" w14:textId="77777777" w:rsidR="00CB3A3F" w:rsidRPr="00CB3A3F" w:rsidRDefault="00CB3A3F" w:rsidP="00CB3A3F">
      <w:pPr>
        <w:spacing w:after="360" w:line="360" w:lineRule="auto"/>
        <w:ind w:right="-159"/>
        <w:jc w:val="both"/>
        <w:rPr>
          <w:rFonts w:eastAsia="Calibri"/>
          <w:sz w:val="26"/>
          <w:szCs w:val="26"/>
          <w:lang w:eastAsia="en-US"/>
        </w:rPr>
      </w:pPr>
      <w:r w:rsidRPr="00CB3A3F">
        <w:rPr>
          <w:rFonts w:eastAsia="Calibri"/>
          <w:sz w:val="26"/>
          <w:szCs w:val="26"/>
          <w:lang w:eastAsia="en-US"/>
        </w:rPr>
        <w:t>Así como la conectividad en la Autopista Toluca-Naucalpan, Toluca-México, y “el tren interurbano que estamos también en proceso de construcción, lo cual, sin duda, dará un rostro de mayor modernidad a todo el Estado de México.”</w:t>
      </w:r>
    </w:p>
    <w:p w14:paraId="2CA3BAD7" w14:textId="77777777" w:rsidR="00CB3A3F" w:rsidRPr="00CB3A3F" w:rsidRDefault="00CB3A3F" w:rsidP="00CB3A3F">
      <w:pPr>
        <w:spacing w:after="360" w:line="360" w:lineRule="auto"/>
        <w:ind w:right="-159"/>
        <w:jc w:val="both"/>
        <w:rPr>
          <w:rFonts w:eastAsia="Calibri"/>
          <w:b/>
          <w:sz w:val="26"/>
          <w:szCs w:val="26"/>
          <w:lang w:eastAsia="en-US"/>
        </w:rPr>
      </w:pPr>
      <w:r w:rsidRPr="00CB3A3F">
        <w:rPr>
          <w:rFonts w:eastAsia="Calibri"/>
          <w:b/>
          <w:sz w:val="26"/>
          <w:szCs w:val="26"/>
          <w:lang w:eastAsia="en-US"/>
        </w:rPr>
        <w:lastRenderedPageBreak/>
        <w:t>El mundo reconoce los esfuerzos transformadores de México</w:t>
      </w:r>
    </w:p>
    <w:p w14:paraId="20438D3E" w14:textId="77777777" w:rsidR="00CB3A3F" w:rsidRPr="00CB3A3F" w:rsidRDefault="00CB3A3F" w:rsidP="00CB3A3F">
      <w:pPr>
        <w:spacing w:after="360" w:line="360" w:lineRule="auto"/>
        <w:ind w:right="-159"/>
        <w:jc w:val="both"/>
        <w:rPr>
          <w:rFonts w:eastAsia="Calibri"/>
          <w:sz w:val="26"/>
          <w:szCs w:val="26"/>
          <w:lang w:eastAsia="en-US"/>
        </w:rPr>
      </w:pPr>
      <w:r w:rsidRPr="00CB3A3F">
        <w:rPr>
          <w:rFonts w:eastAsia="Calibri"/>
          <w:sz w:val="26"/>
          <w:szCs w:val="26"/>
          <w:lang w:eastAsia="en-US"/>
        </w:rPr>
        <w:t>El Presidente de México afirmó que el propósito de la Visita de Estado que realizó a Reino Unido es que el mundo voltee sus ojos a México; “hoy el mundo está reconociendo los esfuerzos transformadores, los cambios estructurales que nuestro país ha venido impulsando en democracia, en pluralidad, en reconocimiento a las distintas expresiones políticas”, precisó.</w:t>
      </w:r>
    </w:p>
    <w:p w14:paraId="5A8E53C5" w14:textId="77777777" w:rsidR="00CB3A3F" w:rsidRPr="00CB3A3F" w:rsidRDefault="00CB3A3F" w:rsidP="00CB3A3F">
      <w:pPr>
        <w:spacing w:after="360" w:line="360" w:lineRule="auto"/>
        <w:ind w:right="-159"/>
        <w:jc w:val="both"/>
        <w:rPr>
          <w:rFonts w:eastAsia="Calibri"/>
          <w:sz w:val="26"/>
          <w:szCs w:val="26"/>
          <w:lang w:eastAsia="en-US"/>
        </w:rPr>
      </w:pPr>
      <w:r w:rsidRPr="00CB3A3F">
        <w:rPr>
          <w:rFonts w:eastAsia="Calibri"/>
          <w:sz w:val="26"/>
          <w:szCs w:val="26"/>
          <w:lang w:eastAsia="en-US"/>
        </w:rPr>
        <w:t>Apuntó que el escuchar a las distintas fuerzas políticas “ha hecho posible que impulsemos y logremos una nueva agenda transformadora que, sin duda, deparará para México mayor desarrollo, mayor progreso, y lo más importante, bienestar y prosperidad para la sociedad mexicana”.</w:t>
      </w:r>
    </w:p>
    <w:p w14:paraId="21309B03" w14:textId="77777777" w:rsidR="00CB3A3F" w:rsidRPr="00CB3A3F" w:rsidRDefault="00CB3A3F" w:rsidP="00CB3A3F">
      <w:pPr>
        <w:spacing w:after="360" w:line="360" w:lineRule="auto"/>
        <w:ind w:right="-159"/>
        <w:jc w:val="both"/>
        <w:rPr>
          <w:rFonts w:eastAsia="Calibri"/>
          <w:sz w:val="26"/>
          <w:szCs w:val="26"/>
          <w:lang w:eastAsia="en-US"/>
        </w:rPr>
      </w:pPr>
      <w:r w:rsidRPr="00CB3A3F">
        <w:rPr>
          <w:rFonts w:eastAsia="Calibri"/>
          <w:sz w:val="26"/>
          <w:szCs w:val="26"/>
          <w:lang w:eastAsia="en-US"/>
        </w:rPr>
        <w:t>Subrayó la importancia, por ello, de que las inversiones extranjeras vengan, para que haya inversión productiva que genere empleos, “que aproveche las fortalezas de nuestro país, y nos permita entrar en una dinámica económica de mayor desarrollo y prosperidad para la sociedad mexicana”.</w:t>
      </w:r>
    </w:p>
    <w:p w14:paraId="60B791E3" w14:textId="77777777" w:rsidR="00CB3A3F" w:rsidRPr="00CB3A3F" w:rsidRDefault="00CB3A3F" w:rsidP="00CB3A3F">
      <w:pPr>
        <w:spacing w:after="360" w:line="360" w:lineRule="auto"/>
        <w:ind w:right="-159"/>
        <w:jc w:val="both"/>
        <w:rPr>
          <w:rFonts w:eastAsia="Calibri"/>
          <w:sz w:val="26"/>
          <w:szCs w:val="26"/>
          <w:lang w:eastAsia="en-US"/>
        </w:rPr>
      </w:pPr>
      <w:r w:rsidRPr="00CB3A3F">
        <w:rPr>
          <w:rFonts w:eastAsia="Calibri"/>
          <w:sz w:val="26"/>
          <w:szCs w:val="26"/>
          <w:lang w:eastAsia="en-US"/>
        </w:rPr>
        <w:t>Añadió que la Reina Isabel II y distintas autoridades de ese país reconocieron los esfuerzos que México ha hecho; “ese es el propósito de estas giras de trabajo, proyectar a México en otros escenarios, en otras latitudes, y en otros países, que se reconozca el esfuerzo de las y los mexicanos, los avances que estamos teniendo como país”.</w:t>
      </w:r>
    </w:p>
    <w:p w14:paraId="7D649C76" w14:textId="53C2FB10" w:rsidR="00CB3A3F" w:rsidRDefault="00CB3A3F" w:rsidP="00CB3A3F">
      <w:pPr>
        <w:spacing w:after="360" w:line="360" w:lineRule="auto"/>
        <w:ind w:right="-159"/>
        <w:jc w:val="both"/>
        <w:rPr>
          <w:rFonts w:eastAsia="Calibri"/>
          <w:sz w:val="26"/>
          <w:szCs w:val="26"/>
          <w:lang w:eastAsia="en-US"/>
        </w:rPr>
      </w:pPr>
      <w:r w:rsidRPr="00CB3A3F">
        <w:rPr>
          <w:rFonts w:eastAsia="Calibri"/>
          <w:sz w:val="26"/>
          <w:szCs w:val="26"/>
          <w:lang w:eastAsia="en-US"/>
        </w:rPr>
        <w:t>Expresó su beneplácito por retornar de esta gira de trabajo internacional en la que se mostró al mundo y, sobre todo, a</w:t>
      </w:r>
      <w:r w:rsidR="00BC772A">
        <w:rPr>
          <w:rFonts w:eastAsia="Calibri"/>
          <w:sz w:val="26"/>
          <w:szCs w:val="26"/>
          <w:lang w:eastAsia="en-US"/>
        </w:rPr>
        <w:t>l</w:t>
      </w:r>
      <w:r w:rsidRPr="00CB3A3F">
        <w:rPr>
          <w:rFonts w:eastAsia="Calibri"/>
          <w:sz w:val="26"/>
          <w:szCs w:val="26"/>
          <w:lang w:eastAsia="en-US"/>
        </w:rPr>
        <w:t xml:space="preserve"> Reino Unido, “lo que México está teniendo en avance, en progreso, y lo que se proyecta tendrá a partir de los cambios que se han impulsado”.</w:t>
      </w:r>
    </w:p>
    <w:p w14:paraId="56C14CEC" w14:textId="77777777" w:rsidR="00E53D8D" w:rsidRDefault="00E53D8D" w:rsidP="00CB3A3F">
      <w:pPr>
        <w:spacing w:after="360" w:line="360" w:lineRule="auto"/>
        <w:ind w:right="-159"/>
        <w:jc w:val="both"/>
        <w:rPr>
          <w:rFonts w:eastAsia="Calibri"/>
          <w:sz w:val="26"/>
          <w:szCs w:val="26"/>
          <w:lang w:eastAsia="en-US"/>
        </w:rPr>
      </w:pPr>
    </w:p>
    <w:p w14:paraId="50B0F07F" w14:textId="77777777" w:rsidR="00E53D8D" w:rsidRPr="00CB3A3F" w:rsidRDefault="00E53D8D" w:rsidP="00CB3A3F">
      <w:pPr>
        <w:spacing w:after="360" w:line="360" w:lineRule="auto"/>
        <w:ind w:right="-159"/>
        <w:jc w:val="both"/>
        <w:rPr>
          <w:rFonts w:eastAsia="Calibri"/>
          <w:sz w:val="26"/>
          <w:szCs w:val="26"/>
          <w:lang w:eastAsia="en-US"/>
        </w:rPr>
      </w:pPr>
    </w:p>
    <w:p w14:paraId="4289826E" w14:textId="77777777" w:rsidR="00CB3A3F" w:rsidRPr="00CB3A3F" w:rsidRDefault="00CB3A3F" w:rsidP="00CB3A3F">
      <w:pPr>
        <w:spacing w:after="360" w:line="360" w:lineRule="auto"/>
        <w:ind w:right="-159"/>
        <w:jc w:val="both"/>
        <w:rPr>
          <w:rFonts w:eastAsia="Calibri"/>
          <w:b/>
          <w:sz w:val="26"/>
          <w:szCs w:val="26"/>
          <w:lang w:eastAsia="en-US"/>
        </w:rPr>
      </w:pPr>
      <w:r w:rsidRPr="00CB3A3F">
        <w:rPr>
          <w:rFonts w:eastAsia="Calibri"/>
          <w:b/>
          <w:sz w:val="26"/>
          <w:szCs w:val="26"/>
          <w:lang w:eastAsia="en-US"/>
        </w:rPr>
        <w:lastRenderedPageBreak/>
        <w:t>Diversas intervenciones:</w:t>
      </w:r>
    </w:p>
    <w:p w14:paraId="305D7CC5" w14:textId="77777777" w:rsidR="00CB3A3F" w:rsidRPr="00CB3A3F" w:rsidRDefault="00CB3A3F" w:rsidP="00276F3E">
      <w:pPr>
        <w:numPr>
          <w:ilvl w:val="0"/>
          <w:numId w:val="96"/>
        </w:numPr>
        <w:spacing w:after="360"/>
        <w:ind w:left="357" w:right="-159" w:hanging="357"/>
        <w:jc w:val="both"/>
        <w:rPr>
          <w:rFonts w:eastAsia="Calibri"/>
          <w:b/>
          <w:sz w:val="26"/>
          <w:szCs w:val="26"/>
          <w:lang w:eastAsia="en-US"/>
        </w:rPr>
      </w:pPr>
      <w:r w:rsidRPr="00CB3A3F">
        <w:rPr>
          <w:rFonts w:eastAsia="Calibri"/>
          <w:b/>
          <w:sz w:val="26"/>
          <w:szCs w:val="26"/>
          <w:lang w:eastAsia="en-US"/>
        </w:rPr>
        <w:t>El Gobierno de la República ejecuta el programa de caminos rurales más importante de la historia</w:t>
      </w:r>
    </w:p>
    <w:p w14:paraId="0D885DFF" w14:textId="77777777" w:rsidR="00CB3A3F" w:rsidRPr="00CB3A3F" w:rsidRDefault="00CB3A3F" w:rsidP="00CB3A3F">
      <w:pPr>
        <w:spacing w:after="360" w:line="360" w:lineRule="auto"/>
        <w:ind w:right="-159"/>
        <w:jc w:val="both"/>
        <w:rPr>
          <w:rFonts w:eastAsia="Calibri"/>
          <w:sz w:val="26"/>
          <w:szCs w:val="26"/>
          <w:lang w:eastAsia="en-US"/>
        </w:rPr>
      </w:pPr>
      <w:r w:rsidRPr="00CB3A3F">
        <w:rPr>
          <w:rFonts w:eastAsia="Calibri"/>
          <w:sz w:val="26"/>
          <w:szCs w:val="26"/>
          <w:lang w:eastAsia="en-US"/>
        </w:rPr>
        <w:t>El Secretario de Comunicaciones y Transportes</w:t>
      </w:r>
      <w:r w:rsidRPr="00CB3A3F">
        <w:rPr>
          <w:rFonts w:eastAsia="Calibri"/>
          <w:sz w:val="26"/>
          <w:szCs w:val="26"/>
          <w:vertAlign w:val="superscript"/>
          <w:lang w:eastAsia="en-US"/>
        </w:rPr>
        <w:footnoteReference w:id="14"/>
      </w:r>
      <w:r w:rsidRPr="00CB3A3F">
        <w:rPr>
          <w:rFonts w:eastAsia="Calibri"/>
          <w:sz w:val="26"/>
          <w:szCs w:val="26"/>
          <w:lang w:eastAsia="en-US"/>
        </w:rPr>
        <w:t xml:space="preserve"> destacó que en el actual sexenio se está haciendo el programa de caminos rurales más importante de la historia.</w:t>
      </w:r>
    </w:p>
    <w:p w14:paraId="438ABD9A" w14:textId="77777777" w:rsidR="00CB3A3F" w:rsidRPr="00CB3A3F" w:rsidRDefault="00CB3A3F" w:rsidP="00CB3A3F">
      <w:pPr>
        <w:spacing w:after="360" w:line="360" w:lineRule="auto"/>
        <w:ind w:right="-159"/>
        <w:jc w:val="both"/>
        <w:rPr>
          <w:rFonts w:eastAsia="Calibri"/>
          <w:sz w:val="26"/>
          <w:szCs w:val="26"/>
          <w:lang w:eastAsia="en-US"/>
        </w:rPr>
      </w:pPr>
      <w:r w:rsidRPr="00CB3A3F">
        <w:rPr>
          <w:rFonts w:eastAsia="Calibri"/>
          <w:sz w:val="26"/>
          <w:szCs w:val="26"/>
          <w:lang w:eastAsia="en-US"/>
        </w:rPr>
        <w:t>Al dirigirse a los trabajadores del campo, les dijo que “se construyen prácticamente 100 mil kilómetros de caminos rurales. Son caminos que van a beneficiarlos porque los acercan a las poblaciones urbanas, les permiten sacar sus productos del campo con mayor rapidez, les permiten circular con mayor seguridad y, sobre todo, les permiten tener esos ingresos y ese trabajo merecido que todos los días realizan ustedes”.</w:t>
      </w:r>
    </w:p>
    <w:p w14:paraId="3C989F1A" w14:textId="77777777" w:rsidR="00CB3A3F" w:rsidRPr="00CB3A3F" w:rsidRDefault="00CB3A3F" w:rsidP="00CB3A3F">
      <w:pPr>
        <w:spacing w:after="360" w:line="360" w:lineRule="auto"/>
        <w:ind w:right="-159"/>
        <w:jc w:val="both"/>
        <w:rPr>
          <w:rFonts w:eastAsia="Calibri"/>
          <w:sz w:val="26"/>
          <w:szCs w:val="26"/>
          <w:lang w:eastAsia="en-US"/>
        </w:rPr>
      </w:pPr>
      <w:r w:rsidRPr="00CB3A3F">
        <w:rPr>
          <w:rFonts w:eastAsia="Calibri"/>
          <w:sz w:val="26"/>
          <w:szCs w:val="26"/>
          <w:lang w:eastAsia="en-US"/>
        </w:rPr>
        <w:t>Aseveró que con este tipo de obras se eleva la competitividad de las regiones y la del campo, “se contribuye al crecimiento de la economía, se generan miles de empleos para los mexicanos pero, sin duda, se mueve a México”, concluyó.</w:t>
      </w:r>
    </w:p>
    <w:p w14:paraId="461C8056" w14:textId="77777777" w:rsidR="00CB3A3F" w:rsidRPr="00CB3A3F" w:rsidRDefault="00CB3A3F" w:rsidP="00276F3E">
      <w:pPr>
        <w:numPr>
          <w:ilvl w:val="0"/>
          <w:numId w:val="96"/>
        </w:numPr>
        <w:spacing w:after="360" w:line="360" w:lineRule="auto"/>
        <w:ind w:left="357" w:right="-159" w:hanging="357"/>
        <w:jc w:val="both"/>
        <w:rPr>
          <w:rFonts w:eastAsia="Calibri"/>
          <w:b/>
          <w:sz w:val="26"/>
          <w:szCs w:val="26"/>
          <w:lang w:eastAsia="en-US"/>
        </w:rPr>
      </w:pPr>
      <w:r w:rsidRPr="00CB3A3F">
        <w:rPr>
          <w:rFonts w:eastAsia="Calibri"/>
          <w:b/>
          <w:sz w:val="26"/>
          <w:szCs w:val="26"/>
          <w:lang w:eastAsia="en-US"/>
        </w:rPr>
        <w:t>Entrega temprana de los recursos para la siembra</w:t>
      </w:r>
    </w:p>
    <w:p w14:paraId="4E743F8E" w14:textId="77777777" w:rsidR="00CB3A3F" w:rsidRPr="00CB3A3F" w:rsidRDefault="00CB3A3F" w:rsidP="00CB3A3F">
      <w:pPr>
        <w:spacing w:after="360" w:line="360" w:lineRule="auto"/>
        <w:ind w:right="-159"/>
        <w:jc w:val="both"/>
        <w:rPr>
          <w:rFonts w:eastAsia="Calibri"/>
          <w:sz w:val="26"/>
          <w:szCs w:val="26"/>
          <w:lang w:eastAsia="en-US"/>
        </w:rPr>
      </w:pPr>
      <w:r w:rsidRPr="00CB3A3F">
        <w:rPr>
          <w:rFonts w:eastAsia="Calibri"/>
          <w:sz w:val="26"/>
          <w:szCs w:val="26"/>
          <w:lang w:eastAsia="en-US"/>
        </w:rPr>
        <w:t>El Secretario de Agricultura, Ganadería, Desarrollo Rural, Pesca y Alimentación</w:t>
      </w:r>
      <w:r w:rsidRPr="00CB3A3F">
        <w:rPr>
          <w:rFonts w:eastAsia="Calibri"/>
          <w:sz w:val="26"/>
          <w:szCs w:val="26"/>
          <w:vertAlign w:val="superscript"/>
          <w:lang w:eastAsia="en-US"/>
        </w:rPr>
        <w:footnoteReference w:id="15"/>
      </w:r>
      <w:r w:rsidRPr="00CB3A3F">
        <w:rPr>
          <w:rFonts w:eastAsia="Calibri"/>
          <w:sz w:val="26"/>
          <w:szCs w:val="26"/>
          <w:lang w:eastAsia="en-US"/>
        </w:rPr>
        <w:t xml:space="preserve"> resaltó que, con la instrucción del Presidente de la República, se hace la entrega y la dispersión de los recursos en una fecha tan temprana de los programas de concurrencia.</w:t>
      </w:r>
    </w:p>
    <w:p w14:paraId="5CB6FC08" w14:textId="77777777" w:rsidR="00CB3A3F" w:rsidRPr="00CB3A3F" w:rsidRDefault="00CB3A3F" w:rsidP="00CB3A3F">
      <w:pPr>
        <w:spacing w:after="360" w:line="360" w:lineRule="auto"/>
        <w:ind w:right="-159"/>
        <w:jc w:val="both"/>
        <w:rPr>
          <w:rFonts w:eastAsia="Calibri"/>
          <w:sz w:val="26"/>
          <w:szCs w:val="26"/>
          <w:lang w:eastAsia="en-US"/>
        </w:rPr>
      </w:pPr>
      <w:r w:rsidRPr="00CB3A3F">
        <w:rPr>
          <w:rFonts w:eastAsia="Calibri"/>
          <w:sz w:val="26"/>
          <w:szCs w:val="26"/>
          <w:lang w:eastAsia="en-US"/>
        </w:rPr>
        <w:t>“Históricamente estos programas de concurrencia se empezaban a dispersar en agosto y ya no nos daba oportunidad para que llegara oportunamente el recurso para la siembra, y por eso se tenían subejercicios presupuestales muy grandes”, refirió.</w:t>
      </w:r>
    </w:p>
    <w:p w14:paraId="72EFA9C0" w14:textId="77777777" w:rsidR="00CB3A3F" w:rsidRPr="00CB3A3F" w:rsidRDefault="00CB3A3F" w:rsidP="00CB3A3F">
      <w:pPr>
        <w:spacing w:after="360" w:line="360" w:lineRule="auto"/>
        <w:ind w:right="-159"/>
        <w:jc w:val="both"/>
        <w:rPr>
          <w:rFonts w:eastAsia="Calibri"/>
          <w:sz w:val="26"/>
          <w:szCs w:val="26"/>
          <w:lang w:eastAsia="en-US"/>
        </w:rPr>
      </w:pPr>
      <w:r w:rsidRPr="00CB3A3F">
        <w:rPr>
          <w:rFonts w:eastAsia="Calibri"/>
          <w:sz w:val="26"/>
          <w:szCs w:val="26"/>
          <w:lang w:eastAsia="en-US"/>
        </w:rPr>
        <w:lastRenderedPageBreak/>
        <w:t>Añadió que en la agricultura, “la naturaleza fija los tiempos y los ciclos son muy exactos, y no podemos por burocratismos e ineficiencias dejar que pase la oportunidad de la siembra”.</w:t>
      </w:r>
    </w:p>
    <w:p w14:paraId="6F502BB3" w14:textId="77777777" w:rsidR="00CB3A3F" w:rsidRPr="00CB3A3F" w:rsidRDefault="00CB3A3F" w:rsidP="00276F3E">
      <w:pPr>
        <w:numPr>
          <w:ilvl w:val="0"/>
          <w:numId w:val="96"/>
        </w:numPr>
        <w:spacing w:after="360" w:line="360" w:lineRule="auto"/>
        <w:ind w:left="357" w:right="-159" w:hanging="357"/>
        <w:jc w:val="both"/>
        <w:rPr>
          <w:rFonts w:eastAsia="Calibri"/>
          <w:b/>
          <w:sz w:val="26"/>
          <w:szCs w:val="26"/>
          <w:lang w:eastAsia="en-US"/>
        </w:rPr>
      </w:pPr>
      <w:r w:rsidRPr="00CB3A3F">
        <w:rPr>
          <w:rFonts w:eastAsia="Calibri"/>
          <w:b/>
          <w:sz w:val="26"/>
          <w:szCs w:val="26"/>
          <w:lang w:eastAsia="en-US"/>
        </w:rPr>
        <w:t>Con obras como éstas, se genera inversión y empleo</w:t>
      </w:r>
    </w:p>
    <w:p w14:paraId="71A96317" w14:textId="77777777" w:rsidR="00CB3A3F" w:rsidRPr="00CB3A3F" w:rsidRDefault="00CB3A3F" w:rsidP="00CB3A3F">
      <w:pPr>
        <w:spacing w:after="360" w:line="360" w:lineRule="auto"/>
        <w:ind w:right="-159"/>
        <w:jc w:val="both"/>
        <w:rPr>
          <w:rFonts w:eastAsia="Calibri"/>
          <w:sz w:val="26"/>
          <w:szCs w:val="26"/>
          <w:lang w:eastAsia="en-US"/>
        </w:rPr>
      </w:pPr>
      <w:r w:rsidRPr="00CB3A3F">
        <w:rPr>
          <w:rFonts w:eastAsia="Calibri"/>
          <w:sz w:val="26"/>
          <w:szCs w:val="26"/>
          <w:lang w:eastAsia="en-US"/>
        </w:rPr>
        <w:t>El Gobernador del Estado de México agradeció al Presidente de México el apoyo para la construcción del Distribuidor Vial en Avenida 5 Mayo y Prolongación Salvador Díaz Mirón, que cuenta con más de 260 millones de pesos de inversión del Gobierno Federal y con el cual se cumple un compromiso presidencial que beneficiará a la gente que lleva a cabo actividades agrícolas, comerciales, de industria. Esto, dijo, nos permite “ser más atractivos para los inversionistas, y así puedan llegar más empleos aquí, al Estado de México”.</w:t>
      </w:r>
    </w:p>
    <w:p w14:paraId="0A4B6D4F" w14:textId="77777777" w:rsidR="00CB3A3F" w:rsidRPr="00CB3A3F" w:rsidRDefault="00CB3A3F" w:rsidP="00CB3A3F">
      <w:pPr>
        <w:spacing w:after="360" w:line="360" w:lineRule="auto"/>
        <w:ind w:right="-159"/>
        <w:jc w:val="both"/>
        <w:rPr>
          <w:rFonts w:eastAsia="Calibri"/>
          <w:sz w:val="26"/>
          <w:szCs w:val="26"/>
          <w:lang w:eastAsia="en-US"/>
        </w:rPr>
      </w:pPr>
      <w:r w:rsidRPr="00CB3A3F">
        <w:rPr>
          <w:rFonts w:eastAsia="Calibri"/>
          <w:sz w:val="26"/>
          <w:szCs w:val="26"/>
          <w:lang w:eastAsia="en-US"/>
        </w:rPr>
        <w:t>Aseveró además que para impulsar diferentes acciones para el bien del campo en la entidad, se cuenta con más de 870 millones de pesos, entre recursos federales, estatales y de los propios productores, para impulsar diferentes acciones para bien del campo de la entidad.</w:t>
      </w:r>
    </w:p>
    <w:p w14:paraId="0AAD1E3C" w14:textId="77777777" w:rsidR="00CB3A3F" w:rsidRPr="00CB3A3F" w:rsidRDefault="00CB3A3F" w:rsidP="00CB3A3F">
      <w:pPr>
        <w:spacing w:after="360" w:line="360" w:lineRule="auto"/>
        <w:ind w:right="-159"/>
        <w:jc w:val="both"/>
        <w:rPr>
          <w:rFonts w:eastAsia="Calibri"/>
          <w:sz w:val="26"/>
          <w:szCs w:val="26"/>
          <w:lang w:eastAsia="en-US"/>
        </w:rPr>
      </w:pPr>
      <w:r w:rsidRPr="00CB3A3F">
        <w:rPr>
          <w:rFonts w:eastAsia="Calibri"/>
          <w:sz w:val="26"/>
          <w:szCs w:val="26"/>
          <w:lang w:eastAsia="en-US"/>
        </w:rPr>
        <w:t>(…)</w:t>
      </w:r>
    </w:p>
    <w:p w14:paraId="2E6D8F8E" w14:textId="77777777" w:rsidR="00CB3A3F" w:rsidRPr="009177B7" w:rsidRDefault="00CB3A3F" w:rsidP="00CB3A3F">
      <w:pPr>
        <w:ind w:right="-159"/>
        <w:jc w:val="both"/>
        <w:rPr>
          <w:rFonts w:eastAsia="Calibri"/>
          <w:sz w:val="20"/>
          <w:szCs w:val="20"/>
          <w:lang w:eastAsia="en-US"/>
        </w:rPr>
      </w:pPr>
      <w:r w:rsidRPr="009177B7">
        <w:rPr>
          <w:rFonts w:eastAsia="Calibri"/>
          <w:b/>
          <w:sz w:val="20"/>
          <w:szCs w:val="20"/>
          <w:lang w:eastAsia="en-US"/>
        </w:rPr>
        <w:t>Fuente de información</w:t>
      </w:r>
      <w:r w:rsidRPr="009177B7">
        <w:rPr>
          <w:rFonts w:eastAsia="Calibri"/>
          <w:sz w:val="20"/>
          <w:szCs w:val="20"/>
          <w:lang w:eastAsia="en-US"/>
        </w:rPr>
        <w:t>:</w:t>
      </w:r>
    </w:p>
    <w:p w14:paraId="3C29176C" w14:textId="77777777" w:rsidR="00CB3A3F" w:rsidRPr="009177B7" w:rsidRDefault="0093224F" w:rsidP="00CB3A3F">
      <w:pPr>
        <w:ind w:right="-159"/>
        <w:jc w:val="both"/>
        <w:rPr>
          <w:rFonts w:eastAsia="Calibri"/>
          <w:color w:val="0000FF"/>
          <w:sz w:val="20"/>
          <w:szCs w:val="20"/>
          <w:u w:val="single"/>
          <w:lang w:eastAsia="en-US"/>
        </w:rPr>
      </w:pPr>
      <w:hyperlink r:id="rId95" w:history="1">
        <w:r w:rsidR="00CB3A3F" w:rsidRPr="009177B7">
          <w:rPr>
            <w:rFonts w:eastAsia="Calibri"/>
            <w:color w:val="0000FF"/>
            <w:sz w:val="20"/>
            <w:szCs w:val="20"/>
            <w:u w:val="single"/>
            <w:lang w:eastAsia="en-US"/>
          </w:rPr>
          <w:t>http://www.presidencia.gob.mx/articulos-prensa/se-destinaran-al-campo-mas-de-10-mil-400-millones-de-pesos-enrique-pena-nieto/</w:t>
        </w:r>
      </w:hyperlink>
    </w:p>
    <w:p w14:paraId="0F74661A" w14:textId="77777777" w:rsidR="00CB3A3F" w:rsidRPr="009177B7" w:rsidRDefault="00CB3A3F" w:rsidP="00CB3A3F">
      <w:pPr>
        <w:ind w:right="-159"/>
        <w:jc w:val="both"/>
        <w:rPr>
          <w:rFonts w:eastAsia="Calibri"/>
          <w:sz w:val="20"/>
          <w:szCs w:val="20"/>
          <w:lang w:eastAsia="en-US"/>
        </w:rPr>
      </w:pPr>
      <w:r w:rsidRPr="009177B7">
        <w:rPr>
          <w:rFonts w:eastAsia="Calibri"/>
          <w:sz w:val="20"/>
          <w:szCs w:val="20"/>
          <w:lang w:eastAsia="en-US"/>
        </w:rPr>
        <w:t>Para tener acceso a información adicional o relacionada visite:</w:t>
      </w:r>
    </w:p>
    <w:p w14:paraId="7F7D9B14" w14:textId="77777777" w:rsidR="00CB3A3F" w:rsidRPr="009177B7" w:rsidRDefault="00CB3A3F" w:rsidP="00CB3A3F">
      <w:pPr>
        <w:ind w:right="-159"/>
        <w:jc w:val="both"/>
        <w:rPr>
          <w:rFonts w:eastAsia="Calibri"/>
          <w:color w:val="0000FF"/>
          <w:sz w:val="20"/>
          <w:szCs w:val="20"/>
          <w:u w:val="single"/>
          <w:lang w:eastAsia="en-US"/>
        </w:rPr>
      </w:pPr>
      <w:r w:rsidRPr="009177B7">
        <w:rPr>
          <w:rFonts w:eastAsia="Calibri"/>
          <w:color w:val="0000FF"/>
          <w:sz w:val="20"/>
          <w:szCs w:val="20"/>
          <w:u w:val="single"/>
          <w:lang w:eastAsia="en-US"/>
        </w:rPr>
        <w:t>http://www.sct.gob.mx/despliega-noticias/article/gira-de-trabajo-por-el-estado-de-mexico/</w:t>
      </w:r>
    </w:p>
    <w:p w14:paraId="10B351D8" w14:textId="77777777" w:rsidR="00CB3A3F" w:rsidRPr="009177B7" w:rsidRDefault="0093224F" w:rsidP="00CB3A3F">
      <w:pPr>
        <w:ind w:right="-159"/>
        <w:jc w:val="both"/>
        <w:rPr>
          <w:rFonts w:eastAsia="Calibri"/>
          <w:color w:val="0000FF"/>
          <w:sz w:val="20"/>
          <w:szCs w:val="20"/>
          <w:u w:val="single"/>
          <w:lang w:eastAsia="en-US"/>
        </w:rPr>
      </w:pPr>
      <w:hyperlink r:id="rId96" w:history="1">
        <w:r w:rsidR="00CB3A3F" w:rsidRPr="009177B7">
          <w:rPr>
            <w:rFonts w:eastAsia="Calibri"/>
            <w:color w:val="0000FF"/>
            <w:sz w:val="20"/>
            <w:szCs w:val="20"/>
            <w:u w:val="single"/>
            <w:lang w:eastAsia="en-US"/>
          </w:rPr>
          <w:t>http://www.sct.gob.mx/despliega-noticias/article/palabras-del-srio-gerardo-ruiz-esparza-durante-la-inauguracion-del-distribuidor-vial-5-de-mayo-pr/</w:t>
        </w:r>
      </w:hyperlink>
      <w:r w:rsidR="00CB3A3F" w:rsidRPr="009177B7">
        <w:rPr>
          <w:rFonts w:eastAsia="Calibri"/>
          <w:color w:val="0000FF"/>
          <w:sz w:val="20"/>
          <w:szCs w:val="20"/>
          <w:u w:val="single"/>
          <w:lang w:eastAsia="en-US"/>
        </w:rPr>
        <w:t xml:space="preserve"> </w:t>
      </w:r>
    </w:p>
    <w:p w14:paraId="4A577D72" w14:textId="77777777" w:rsidR="00CB3A3F" w:rsidRPr="009177B7" w:rsidRDefault="0093224F" w:rsidP="00CB3A3F">
      <w:pPr>
        <w:ind w:right="-159"/>
        <w:jc w:val="both"/>
        <w:rPr>
          <w:rFonts w:eastAsia="Calibri"/>
          <w:color w:val="0000FF"/>
          <w:sz w:val="20"/>
          <w:szCs w:val="20"/>
          <w:u w:val="single"/>
          <w:lang w:eastAsia="en-US"/>
        </w:rPr>
      </w:pPr>
      <w:hyperlink r:id="rId97" w:history="1">
        <w:r w:rsidR="00CB3A3F" w:rsidRPr="009177B7">
          <w:rPr>
            <w:rFonts w:eastAsia="Calibri"/>
            <w:color w:val="0000FF"/>
            <w:sz w:val="20"/>
            <w:szCs w:val="20"/>
            <w:u w:val="single"/>
            <w:lang w:eastAsia="en-US"/>
          </w:rPr>
          <w:t>http://www.sct.gob.mx/despliega-noticias/article/soluciona-sct-congestion-vehicular-en-el-valle-de-toluca/</w:t>
        </w:r>
      </w:hyperlink>
      <w:r w:rsidR="00CB3A3F" w:rsidRPr="009177B7">
        <w:rPr>
          <w:rFonts w:eastAsia="Calibri"/>
          <w:color w:val="0000FF"/>
          <w:sz w:val="20"/>
          <w:szCs w:val="20"/>
          <w:u w:val="single"/>
          <w:lang w:eastAsia="en-US"/>
        </w:rPr>
        <w:t xml:space="preserve"> </w:t>
      </w:r>
    </w:p>
    <w:p w14:paraId="19745E2D" w14:textId="77777777" w:rsidR="00CB3A3F" w:rsidRPr="009177B7" w:rsidRDefault="0093224F" w:rsidP="00CB3A3F">
      <w:pPr>
        <w:ind w:right="-159"/>
        <w:jc w:val="both"/>
        <w:rPr>
          <w:rFonts w:eastAsia="Calibri"/>
          <w:color w:val="0000FF"/>
          <w:sz w:val="20"/>
          <w:szCs w:val="20"/>
          <w:u w:val="single"/>
          <w:lang w:eastAsia="en-US"/>
        </w:rPr>
      </w:pPr>
      <w:hyperlink r:id="rId98" w:history="1">
        <w:r w:rsidR="00CB3A3F" w:rsidRPr="009177B7">
          <w:rPr>
            <w:rFonts w:eastAsia="Calibri"/>
            <w:color w:val="0000FF"/>
            <w:sz w:val="20"/>
            <w:szCs w:val="20"/>
            <w:u w:val="single"/>
            <w:lang w:eastAsia="en-US"/>
          </w:rPr>
          <w:t>http://www.sagarpa.gob.mx/saladeprensa/2012/Paginas/2015D003.aspx</w:t>
        </w:r>
      </w:hyperlink>
      <w:r w:rsidR="00CB3A3F" w:rsidRPr="009177B7">
        <w:rPr>
          <w:rFonts w:eastAsia="Calibri"/>
          <w:color w:val="0000FF"/>
          <w:sz w:val="20"/>
          <w:szCs w:val="20"/>
          <w:u w:val="single"/>
          <w:lang w:eastAsia="en-US"/>
        </w:rPr>
        <w:t xml:space="preserve"> </w:t>
      </w:r>
    </w:p>
    <w:p w14:paraId="204D9D12" w14:textId="77777777" w:rsidR="00CB3A3F" w:rsidRPr="009177B7" w:rsidRDefault="0093224F" w:rsidP="00CB3A3F">
      <w:pPr>
        <w:ind w:right="-159"/>
        <w:jc w:val="both"/>
        <w:rPr>
          <w:rFonts w:eastAsia="Calibri"/>
          <w:color w:val="0000FF"/>
          <w:sz w:val="20"/>
          <w:szCs w:val="20"/>
          <w:u w:val="single"/>
          <w:lang w:eastAsia="en-US"/>
        </w:rPr>
      </w:pPr>
      <w:hyperlink r:id="rId99" w:history="1">
        <w:r w:rsidR="00CB3A3F" w:rsidRPr="009177B7">
          <w:rPr>
            <w:rFonts w:eastAsia="Calibri"/>
            <w:color w:val="0000FF"/>
            <w:sz w:val="20"/>
            <w:szCs w:val="20"/>
            <w:u w:val="single"/>
            <w:lang w:eastAsia="en-US"/>
          </w:rPr>
          <w:t>http://www.presidencia.gob.mx/gira-de-trabajo-por-el-estado-de-mexico/</w:t>
        </w:r>
      </w:hyperlink>
      <w:r w:rsidR="00CB3A3F" w:rsidRPr="009177B7">
        <w:rPr>
          <w:rFonts w:eastAsia="Calibri"/>
          <w:color w:val="0000FF"/>
          <w:sz w:val="20"/>
          <w:szCs w:val="20"/>
          <w:u w:val="single"/>
          <w:lang w:eastAsia="en-US"/>
        </w:rPr>
        <w:t xml:space="preserve"> </w:t>
      </w:r>
    </w:p>
    <w:p w14:paraId="5C8F8245" w14:textId="77777777" w:rsidR="00CB3A3F" w:rsidRPr="009177B7" w:rsidRDefault="00CB3A3F" w:rsidP="00CB3A3F">
      <w:pPr>
        <w:ind w:right="-159"/>
        <w:jc w:val="both"/>
        <w:rPr>
          <w:rFonts w:eastAsia="Calibri"/>
          <w:sz w:val="20"/>
          <w:szCs w:val="20"/>
          <w:lang w:eastAsia="en-US"/>
        </w:rPr>
      </w:pPr>
    </w:p>
    <w:p w14:paraId="1C8CD6AC" w14:textId="77777777" w:rsidR="00CB3A3F" w:rsidRPr="00CB3A3F" w:rsidRDefault="00CB3A3F" w:rsidP="00B46740">
      <w:pPr>
        <w:autoSpaceDE w:val="0"/>
        <w:autoSpaceDN w:val="0"/>
        <w:adjustRightInd w:val="0"/>
        <w:spacing w:after="360" w:line="360" w:lineRule="auto"/>
        <w:ind w:right="-159"/>
        <w:jc w:val="both"/>
        <w:rPr>
          <w:rFonts w:eastAsia="Calibri"/>
          <w:sz w:val="26"/>
          <w:szCs w:val="26"/>
          <w:lang w:eastAsia="en-US"/>
        </w:rPr>
      </w:pPr>
    </w:p>
    <w:p w14:paraId="62144C44" w14:textId="77777777" w:rsidR="00CB3A3F" w:rsidRPr="00CB3A3F" w:rsidRDefault="00CB3A3F" w:rsidP="00B46740">
      <w:pPr>
        <w:autoSpaceDE w:val="0"/>
        <w:autoSpaceDN w:val="0"/>
        <w:adjustRightInd w:val="0"/>
        <w:spacing w:after="360" w:line="360" w:lineRule="auto"/>
        <w:ind w:right="-159"/>
        <w:jc w:val="both"/>
        <w:rPr>
          <w:rFonts w:eastAsia="Calibri"/>
          <w:sz w:val="26"/>
          <w:szCs w:val="26"/>
          <w:lang w:eastAsia="en-US"/>
        </w:rPr>
      </w:pPr>
    </w:p>
    <w:p w14:paraId="6BE82FAE" w14:textId="77777777" w:rsidR="009C291E" w:rsidRPr="009C291E" w:rsidRDefault="009C291E" w:rsidP="009C291E">
      <w:pPr>
        <w:ind w:right="-159"/>
        <w:jc w:val="both"/>
        <w:rPr>
          <w:rFonts w:eastAsia="Calibri"/>
          <w:b/>
          <w:sz w:val="26"/>
          <w:szCs w:val="26"/>
          <w:lang w:eastAsia="en-US"/>
        </w:rPr>
      </w:pPr>
      <w:r w:rsidRPr="009C291E">
        <w:rPr>
          <w:rFonts w:eastAsia="Calibri"/>
          <w:b/>
          <w:sz w:val="26"/>
          <w:szCs w:val="26"/>
          <w:lang w:eastAsia="en-US"/>
        </w:rPr>
        <w:lastRenderedPageBreak/>
        <w:t>La  investigación  e  innovación  tecnológica,</w:t>
      </w:r>
    </w:p>
    <w:p w14:paraId="457A08E4" w14:textId="77777777" w:rsidR="009C291E" w:rsidRPr="009C291E" w:rsidRDefault="009C291E" w:rsidP="009C291E">
      <w:pPr>
        <w:ind w:right="-159"/>
        <w:jc w:val="both"/>
        <w:rPr>
          <w:rFonts w:eastAsia="Calibri"/>
          <w:b/>
          <w:sz w:val="26"/>
          <w:szCs w:val="26"/>
          <w:lang w:eastAsia="en-US"/>
        </w:rPr>
      </w:pPr>
      <w:r w:rsidRPr="009C291E">
        <w:rPr>
          <w:rFonts w:eastAsia="Calibri"/>
          <w:b/>
          <w:sz w:val="26"/>
          <w:szCs w:val="26"/>
          <w:lang w:eastAsia="en-US"/>
        </w:rPr>
        <w:t>imprescindibles para propiciar el desarrollo</w:t>
      </w:r>
    </w:p>
    <w:p w14:paraId="75B3F535" w14:textId="77777777" w:rsidR="009C291E" w:rsidRPr="009C291E" w:rsidRDefault="009C291E" w:rsidP="009C291E">
      <w:pPr>
        <w:spacing w:after="360" w:line="360" w:lineRule="auto"/>
        <w:ind w:right="-159"/>
        <w:jc w:val="both"/>
        <w:rPr>
          <w:rFonts w:eastAsia="Calibri"/>
          <w:b/>
          <w:sz w:val="26"/>
          <w:szCs w:val="26"/>
          <w:lang w:eastAsia="en-US"/>
        </w:rPr>
      </w:pPr>
      <w:r w:rsidRPr="009C291E">
        <w:rPr>
          <w:rFonts w:eastAsia="Calibri"/>
          <w:b/>
          <w:sz w:val="26"/>
          <w:szCs w:val="26"/>
          <w:lang w:eastAsia="en-US"/>
        </w:rPr>
        <w:t>de  la  pesca  y  la  acuacultura (SAGARPA)</w:t>
      </w:r>
    </w:p>
    <w:p w14:paraId="13D2DF0E" w14:textId="2D6B75FA" w:rsidR="009C291E" w:rsidRPr="009C291E" w:rsidRDefault="009C291E" w:rsidP="009C291E">
      <w:pPr>
        <w:spacing w:after="360" w:line="360" w:lineRule="auto"/>
        <w:ind w:right="-159"/>
        <w:jc w:val="both"/>
        <w:rPr>
          <w:rFonts w:eastAsia="Calibri"/>
          <w:sz w:val="26"/>
          <w:szCs w:val="26"/>
          <w:lang w:eastAsia="en-US"/>
        </w:rPr>
      </w:pPr>
      <w:r w:rsidRPr="009C291E">
        <w:rPr>
          <w:rFonts w:eastAsia="Calibri"/>
          <w:sz w:val="26"/>
          <w:szCs w:val="26"/>
          <w:lang w:eastAsia="en-US"/>
        </w:rPr>
        <w:t xml:space="preserve">El 24 de febrero de 2015, la Secretaría de Agricultura, Ganadería, Desarrollo Rural, Pesca y Alimentación (SAGARPA) informó que la investigación e innovación tecnológica, </w:t>
      </w:r>
      <w:r w:rsidR="00D63928">
        <w:rPr>
          <w:rFonts w:eastAsia="Calibri"/>
          <w:sz w:val="26"/>
          <w:szCs w:val="26"/>
          <w:lang w:eastAsia="en-US"/>
        </w:rPr>
        <w:t xml:space="preserve">son </w:t>
      </w:r>
      <w:r w:rsidRPr="009C291E">
        <w:rPr>
          <w:rFonts w:eastAsia="Calibri"/>
          <w:sz w:val="26"/>
          <w:szCs w:val="26"/>
          <w:lang w:eastAsia="en-US"/>
        </w:rPr>
        <w:t xml:space="preserve">imprescindibles para propiciar el desarrollo de la pesca y la acuacultura. A continuación se presenta la información. </w:t>
      </w:r>
    </w:p>
    <w:p w14:paraId="1BC3C5AC" w14:textId="77777777" w:rsidR="009C291E" w:rsidRPr="009C291E" w:rsidRDefault="009C291E" w:rsidP="009C291E">
      <w:pPr>
        <w:spacing w:after="360" w:line="360" w:lineRule="auto"/>
        <w:ind w:right="-159"/>
        <w:jc w:val="both"/>
        <w:rPr>
          <w:rFonts w:eastAsia="Calibri"/>
          <w:sz w:val="26"/>
          <w:szCs w:val="26"/>
          <w:lang w:eastAsia="en-US"/>
        </w:rPr>
      </w:pPr>
      <w:r w:rsidRPr="009C291E">
        <w:rPr>
          <w:rFonts w:eastAsia="Calibri"/>
          <w:sz w:val="26"/>
          <w:szCs w:val="26"/>
          <w:lang w:eastAsia="en-US"/>
        </w:rPr>
        <w:t xml:space="preserve">El Instituto Nacional de Pesca (INAPESCA) y la Comisión Nacional de Acuacultura y Pesca (CONAPESCA) coinciden en su objetivo de propiciar un mayor desarrollo de los sectores pesquero y acuícola para generar mayor producción de alimentos de alta calidad nutricional, afirmó el Titular de la CONAPESCA, al inaugurar el Encuentro Regional para el Intercambio de Innovaciones y Tecnologías Aplicadas en la pesca y la acuacultura, organizado por el INAPESCA en Mazatlán, Sinaloa. </w:t>
      </w:r>
    </w:p>
    <w:p w14:paraId="40832A0E" w14:textId="77777777" w:rsidR="009C291E" w:rsidRPr="009C291E" w:rsidRDefault="009C291E" w:rsidP="009C291E">
      <w:pPr>
        <w:spacing w:after="360" w:line="360" w:lineRule="auto"/>
        <w:ind w:right="-159"/>
        <w:jc w:val="both"/>
        <w:rPr>
          <w:rFonts w:eastAsia="Calibri"/>
          <w:sz w:val="26"/>
          <w:szCs w:val="26"/>
          <w:lang w:eastAsia="en-US"/>
        </w:rPr>
      </w:pPr>
      <w:r w:rsidRPr="009C291E">
        <w:rPr>
          <w:rFonts w:eastAsia="Calibri"/>
          <w:sz w:val="26"/>
          <w:szCs w:val="26"/>
          <w:lang w:eastAsia="en-US"/>
        </w:rPr>
        <w:t xml:space="preserve">Destacó el Titular de la CONAPESCA que la investigación e innovación tecnológica son imprescindibles para propiciar el desarrollo de la pesca y la acuacultura, y en consecuencia, incrementar la disponibilidad de productos que demandan los consumidores. </w:t>
      </w:r>
    </w:p>
    <w:p w14:paraId="02F13B5F" w14:textId="77777777" w:rsidR="009C291E" w:rsidRPr="009C291E" w:rsidRDefault="009C291E" w:rsidP="009C291E">
      <w:pPr>
        <w:spacing w:after="360" w:line="360" w:lineRule="auto"/>
        <w:ind w:right="-159"/>
        <w:jc w:val="both"/>
        <w:rPr>
          <w:rFonts w:eastAsia="Calibri"/>
          <w:sz w:val="26"/>
          <w:szCs w:val="26"/>
          <w:lang w:eastAsia="en-US"/>
        </w:rPr>
      </w:pPr>
      <w:r w:rsidRPr="009C291E">
        <w:rPr>
          <w:rFonts w:eastAsia="Calibri"/>
          <w:sz w:val="26"/>
          <w:szCs w:val="26"/>
          <w:lang w:eastAsia="en-US"/>
        </w:rPr>
        <w:t xml:space="preserve">Señaló que por ello, es necesario detectar y reconocer cuáles son las necesidades de innovación y cambio tecnológico que se requieren en estos sectores productivos y que los propios pescadores y acuicultores pueden proponer. </w:t>
      </w:r>
    </w:p>
    <w:p w14:paraId="7B7F6EA5" w14:textId="0E99C23B" w:rsidR="009C291E" w:rsidRPr="009C291E" w:rsidRDefault="009C291E" w:rsidP="009C291E">
      <w:pPr>
        <w:spacing w:after="360" w:line="360" w:lineRule="auto"/>
        <w:ind w:right="-159"/>
        <w:jc w:val="both"/>
        <w:rPr>
          <w:rFonts w:eastAsia="Calibri"/>
          <w:sz w:val="26"/>
          <w:szCs w:val="26"/>
          <w:lang w:eastAsia="en-US"/>
        </w:rPr>
      </w:pPr>
      <w:r w:rsidRPr="009C291E">
        <w:rPr>
          <w:rFonts w:eastAsia="Calibri"/>
          <w:sz w:val="26"/>
          <w:szCs w:val="26"/>
          <w:lang w:eastAsia="en-US"/>
        </w:rPr>
        <w:t xml:space="preserve">El Titular de la CONAPESCA dijo que el Presidente de la República ha dejado en claro en varias ocasiones su compromiso de respaldar al sector y de que el gobierno siga trabajando de la mano con los productores para vencer los retos y avanzar en el desarrollo del sector y consecuentemente en aumentar la producción de alimentos más sanos y nutritivos para la población. </w:t>
      </w:r>
    </w:p>
    <w:p w14:paraId="62C4A68E" w14:textId="3BBD03B6" w:rsidR="009C291E" w:rsidRPr="009C291E" w:rsidRDefault="009C291E" w:rsidP="009C291E">
      <w:pPr>
        <w:spacing w:after="360" w:line="360" w:lineRule="auto"/>
        <w:ind w:right="-159"/>
        <w:jc w:val="both"/>
        <w:rPr>
          <w:rFonts w:eastAsia="Calibri"/>
          <w:sz w:val="26"/>
          <w:szCs w:val="26"/>
          <w:lang w:eastAsia="en-US"/>
        </w:rPr>
      </w:pPr>
      <w:r w:rsidRPr="009C291E">
        <w:rPr>
          <w:rFonts w:eastAsia="Calibri"/>
          <w:sz w:val="26"/>
          <w:szCs w:val="26"/>
          <w:lang w:eastAsia="en-US"/>
        </w:rPr>
        <w:lastRenderedPageBreak/>
        <w:t xml:space="preserve">Por su parte, el Director General del INAPESCA expuso que este Encuentro Regional en el que participan el sector académico, productores y los tres niveles de gobierno, tiene el objetivo de promover el intercambio de ideas e innovaciones tecnológicas, así como para dar a conocer las investigaciones que realiza la dependencia a su cargo y otras instituciones a fin de propiciar el desarrollo de los sectores pesquero y acuícola. </w:t>
      </w:r>
    </w:p>
    <w:p w14:paraId="2D3674AC" w14:textId="77777777" w:rsidR="009C291E" w:rsidRPr="009C291E" w:rsidRDefault="009C291E" w:rsidP="009C291E">
      <w:pPr>
        <w:spacing w:after="360" w:line="360" w:lineRule="auto"/>
        <w:ind w:right="-159"/>
        <w:jc w:val="both"/>
        <w:rPr>
          <w:rFonts w:eastAsia="Calibri"/>
          <w:sz w:val="26"/>
          <w:szCs w:val="26"/>
          <w:lang w:eastAsia="en-US"/>
        </w:rPr>
      </w:pPr>
      <w:r w:rsidRPr="009C291E">
        <w:rPr>
          <w:rFonts w:eastAsia="Calibri"/>
          <w:sz w:val="26"/>
          <w:szCs w:val="26"/>
          <w:lang w:eastAsia="en-US"/>
        </w:rPr>
        <w:t xml:space="preserve">Reiteró la necesidad de que los propios productores expongan cuáles son sus requerimientos y a la vez conozcan lo que hace el Instituto en materia de investigación y transferencia de tecnología, tanto en el sector acuícola como en el pesquero, donde el INAPESCA ha contribuido con innovaciones para mejorar los procesos de pesca y acuacultura con lo que ha impulsado la sustentabilidad y la conservación de las especies. </w:t>
      </w:r>
    </w:p>
    <w:p w14:paraId="1D26B138" w14:textId="77777777" w:rsidR="009C291E" w:rsidRPr="009C291E" w:rsidRDefault="009C291E" w:rsidP="009C291E">
      <w:pPr>
        <w:spacing w:after="360" w:line="360" w:lineRule="auto"/>
        <w:ind w:right="-159"/>
        <w:jc w:val="both"/>
        <w:rPr>
          <w:rFonts w:eastAsia="Calibri"/>
          <w:sz w:val="26"/>
          <w:szCs w:val="26"/>
          <w:lang w:eastAsia="en-US"/>
        </w:rPr>
      </w:pPr>
      <w:r w:rsidRPr="009C291E">
        <w:rPr>
          <w:rFonts w:eastAsia="Calibri"/>
          <w:sz w:val="26"/>
          <w:szCs w:val="26"/>
          <w:lang w:eastAsia="en-US"/>
        </w:rPr>
        <w:t xml:space="preserve">Recalcó que para lograr mayores resultados en la aplicación de nuevas tecnologías, se trabaja coordinadamente con otras instituciones, particularmente con la Comisión Nacional de Acuacultura y Pesca. </w:t>
      </w:r>
    </w:p>
    <w:p w14:paraId="706976CD" w14:textId="77777777" w:rsidR="009C291E" w:rsidRPr="009C291E" w:rsidRDefault="009C291E" w:rsidP="009C291E">
      <w:pPr>
        <w:spacing w:after="360" w:line="360" w:lineRule="auto"/>
        <w:ind w:right="-159"/>
        <w:jc w:val="both"/>
        <w:rPr>
          <w:rFonts w:eastAsia="Calibri"/>
          <w:sz w:val="26"/>
          <w:szCs w:val="26"/>
          <w:lang w:eastAsia="en-US"/>
        </w:rPr>
      </w:pPr>
      <w:r w:rsidRPr="009C291E">
        <w:rPr>
          <w:rFonts w:eastAsia="Calibri"/>
          <w:sz w:val="26"/>
          <w:szCs w:val="26"/>
          <w:lang w:eastAsia="en-US"/>
        </w:rPr>
        <w:t>Al señalar que es importante la credibilidad en la investigación, afirmó que ésta es fundamental para propiciar mayor desarrollo del país, en particular, de los sectores pesquero y acuícola.</w:t>
      </w:r>
    </w:p>
    <w:p w14:paraId="18FF7EED" w14:textId="77777777" w:rsidR="009C291E" w:rsidRPr="009C291E" w:rsidRDefault="009C291E" w:rsidP="009C291E">
      <w:pPr>
        <w:spacing w:after="360" w:line="360" w:lineRule="auto"/>
        <w:ind w:right="-159"/>
        <w:jc w:val="both"/>
        <w:rPr>
          <w:rFonts w:eastAsia="Calibri"/>
          <w:sz w:val="26"/>
          <w:szCs w:val="26"/>
          <w:lang w:eastAsia="en-US"/>
        </w:rPr>
      </w:pPr>
      <w:r w:rsidRPr="009C291E">
        <w:rPr>
          <w:rFonts w:eastAsia="Calibri"/>
          <w:sz w:val="26"/>
          <w:szCs w:val="26"/>
          <w:lang w:eastAsia="en-US"/>
        </w:rPr>
        <w:t>“Tenemos que invertir en mejor investigación, que sea creíble y sustentable en modelos y desarrollo tecnológico aplicables, que sirvan para aumentar la producción de alimentos provenientes del mar y la acuacultura, y al mismo tiempo incrementar su valor agregado, en favor de los pescadores y sus familias”, enfatizó.</w:t>
      </w:r>
    </w:p>
    <w:p w14:paraId="1CB505AB" w14:textId="5D443262" w:rsidR="009C291E" w:rsidRPr="009C291E" w:rsidRDefault="009C291E" w:rsidP="009C291E">
      <w:pPr>
        <w:spacing w:after="360" w:line="360" w:lineRule="auto"/>
        <w:ind w:right="-159"/>
        <w:jc w:val="both"/>
        <w:rPr>
          <w:rFonts w:eastAsia="Calibri"/>
          <w:sz w:val="26"/>
          <w:szCs w:val="26"/>
          <w:lang w:eastAsia="en-US"/>
        </w:rPr>
      </w:pPr>
      <w:r w:rsidRPr="009C291E">
        <w:rPr>
          <w:rFonts w:eastAsia="Calibri"/>
          <w:sz w:val="26"/>
          <w:szCs w:val="26"/>
          <w:lang w:eastAsia="en-US"/>
        </w:rPr>
        <w:t xml:space="preserve">A su vez, el subsecretario de pesca del Gobierno del Estado de Sinaloa destacó que la coordinación de acciones con el INAPESCA y la CONAPESCA se lleva a cabo con el objetivo de lograr una pesca sustentable, ordenamiento y para la toma de decisiones en el caso de establecimiento de vedas, las cuales se deben establecer con el sustento </w:t>
      </w:r>
      <w:r w:rsidRPr="009C291E">
        <w:rPr>
          <w:rFonts w:eastAsia="Calibri"/>
          <w:sz w:val="26"/>
          <w:szCs w:val="26"/>
          <w:lang w:eastAsia="en-US"/>
        </w:rPr>
        <w:lastRenderedPageBreak/>
        <w:t>técnico del Instituto para propiciar mejor producción con base en la investigación aplicada.</w:t>
      </w:r>
    </w:p>
    <w:p w14:paraId="67A7341B" w14:textId="77777777" w:rsidR="009C291E" w:rsidRPr="009C291E" w:rsidRDefault="009C291E" w:rsidP="009C291E">
      <w:pPr>
        <w:ind w:right="-159"/>
        <w:jc w:val="both"/>
        <w:rPr>
          <w:rFonts w:eastAsia="Calibri"/>
          <w:b/>
          <w:sz w:val="20"/>
          <w:szCs w:val="20"/>
          <w:lang w:eastAsia="en-US"/>
        </w:rPr>
      </w:pPr>
      <w:r w:rsidRPr="009C291E">
        <w:rPr>
          <w:rFonts w:eastAsia="Calibri"/>
          <w:b/>
          <w:sz w:val="20"/>
          <w:szCs w:val="20"/>
          <w:lang w:eastAsia="en-US"/>
        </w:rPr>
        <w:t>Fuente de información:</w:t>
      </w:r>
    </w:p>
    <w:p w14:paraId="1486D87D" w14:textId="77777777" w:rsidR="009C291E" w:rsidRPr="009177B7" w:rsidRDefault="0093224F" w:rsidP="009177B7">
      <w:pPr>
        <w:spacing w:after="720"/>
        <w:ind w:right="-159"/>
        <w:jc w:val="both"/>
        <w:rPr>
          <w:rFonts w:eastAsia="Calibri"/>
          <w:color w:val="0000FF"/>
          <w:sz w:val="20"/>
          <w:szCs w:val="20"/>
          <w:lang w:eastAsia="en-US"/>
        </w:rPr>
      </w:pPr>
      <w:hyperlink r:id="rId100" w:history="1">
        <w:r w:rsidR="009C291E" w:rsidRPr="009177B7">
          <w:rPr>
            <w:rFonts w:eastAsia="Calibri"/>
            <w:color w:val="0000FF"/>
            <w:sz w:val="20"/>
            <w:szCs w:val="20"/>
            <w:u w:val="single"/>
            <w:lang w:eastAsia="en-US"/>
          </w:rPr>
          <w:t>http://www.sagarpa.gob.mx/saladeprensa/2012/Paginas/2015B142.aspx</w:t>
        </w:r>
      </w:hyperlink>
      <w:r w:rsidR="009C291E" w:rsidRPr="009177B7">
        <w:rPr>
          <w:rFonts w:eastAsia="Calibri"/>
          <w:color w:val="0000FF"/>
          <w:sz w:val="20"/>
          <w:szCs w:val="20"/>
          <w:lang w:eastAsia="en-US"/>
        </w:rPr>
        <w:t xml:space="preserve"> </w:t>
      </w:r>
    </w:p>
    <w:p w14:paraId="341066AE" w14:textId="77777777" w:rsidR="00DE0252" w:rsidRPr="00DE0252" w:rsidRDefault="00DE0252" w:rsidP="00DE0252">
      <w:pPr>
        <w:rPr>
          <w:rFonts w:eastAsia="Calibri"/>
          <w:b/>
          <w:sz w:val="26"/>
          <w:szCs w:val="26"/>
          <w:lang w:eastAsia="en-US"/>
        </w:rPr>
      </w:pPr>
      <w:r w:rsidRPr="00DE0252">
        <w:rPr>
          <w:rFonts w:eastAsia="Calibri"/>
          <w:b/>
          <w:sz w:val="26"/>
          <w:szCs w:val="26"/>
          <w:lang w:eastAsia="en-US"/>
        </w:rPr>
        <w:t>Colaboran México y Japón para impulsar cultivos</w:t>
      </w:r>
    </w:p>
    <w:p w14:paraId="743FED8F" w14:textId="77777777" w:rsidR="00DE0252" w:rsidRPr="00DE0252" w:rsidRDefault="00DE0252" w:rsidP="00DE0252">
      <w:pPr>
        <w:spacing w:after="360" w:line="360" w:lineRule="auto"/>
        <w:ind w:right="-159"/>
        <w:jc w:val="both"/>
        <w:rPr>
          <w:rFonts w:eastAsia="Calibri"/>
          <w:b/>
          <w:sz w:val="26"/>
          <w:szCs w:val="26"/>
          <w:lang w:eastAsia="en-US"/>
        </w:rPr>
      </w:pPr>
      <w:r w:rsidRPr="00DE0252">
        <w:rPr>
          <w:rFonts w:eastAsia="Calibri"/>
          <w:b/>
          <w:sz w:val="26"/>
          <w:szCs w:val="26"/>
          <w:lang w:eastAsia="en-US"/>
        </w:rPr>
        <w:t>resistentes al cambio climático (SAGARPA)</w:t>
      </w:r>
    </w:p>
    <w:p w14:paraId="1A27E4AD" w14:textId="4BD51E78" w:rsidR="00DE0252" w:rsidRPr="00DE0252" w:rsidRDefault="00DE0252" w:rsidP="00DE0252">
      <w:pPr>
        <w:spacing w:after="360" w:line="360" w:lineRule="auto"/>
        <w:ind w:right="-159"/>
        <w:jc w:val="both"/>
        <w:rPr>
          <w:rFonts w:eastAsia="Calibri"/>
          <w:sz w:val="26"/>
          <w:szCs w:val="26"/>
          <w:lang w:eastAsia="en-US"/>
        </w:rPr>
      </w:pPr>
      <w:r w:rsidRPr="00DE0252">
        <w:rPr>
          <w:rFonts w:eastAsia="Calibri"/>
          <w:sz w:val="26"/>
          <w:szCs w:val="26"/>
          <w:lang w:eastAsia="en-US"/>
        </w:rPr>
        <w:t xml:space="preserve">El 8 de marzo de 2015, la Secretaría de Agricultura, Ganadería, Desarrollo Rural, Pesca y Alimentación (SAGARPA) comunicó que trabaja de manera estrecha con instituciones académicas y de investigación de Japón, con el objetivo de mejorar e impulsar cultivos con resistencia al cambio climático. A continuación </w:t>
      </w:r>
      <w:r>
        <w:rPr>
          <w:rFonts w:eastAsia="Calibri"/>
          <w:sz w:val="26"/>
          <w:szCs w:val="26"/>
          <w:lang w:eastAsia="en-US"/>
        </w:rPr>
        <w:t xml:space="preserve">se presentan </w:t>
      </w:r>
      <w:r w:rsidRPr="00DE0252">
        <w:rPr>
          <w:rFonts w:eastAsia="Calibri"/>
          <w:sz w:val="26"/>
          <w:szCs w:val="26"/>
          <w:lang w:eastAsia="en-US"/>
        </w:rPr>
        <w:t>los detalles.</w:t>
      </w:r>
    </w:p>
    <w:p w14:paraId="077C814A" w14:textId="77777777" w:rsidR="00DE0252" w:rsidRPr="00DE0252" w:rsidRDefault="00DE0252" w:rsidP="00DE0252">
      <w:pPr>
        <w:spacing w:after="360" w:line="360" w:lineRule="auto"/>
        <w:ind w:right="-159"/>
        <w:jc w:val="both"/>
        <w:rPr>
          <w:rFonts w:eastAsia="Calibri"/>
          <w:sz w:val="26"/>
          <w:szCs w:val="26"/>
          <w:lang w:eastAsia="en-US"/>
        </w:rPr>
      </w:pPr>
      <w:r w:rsidRPr="00DE0252">
        <w:rPr>
          <w:rFonts w:eastAsia="Calibri"/>
          <w:sz w:val="26"/>
          <w:szCs w:val="26"/>
          <w:lang w:eastAsia="en-US"/>
        </w:rPr>
        <w:t>La SAGARPA trabaja de manera estrecha con instituciones académicas y de investigación de Japón, con el objetivo de mejorar e impulsar cultivos con resistencia al cambio climático.</w:t>
      </w:r>
    </w:p>
    <w:p w14:paraId="4E78AF73" w14:textId="77777777" w:rsidR="00DE0252" w:rsidRPr="00DE0252" w:rsidRDefault="00DE0252" w:rsidP="00DE0252">
      <w:pPr>
        <w:spacing w:after="360" w:line="360" w:lineRule="auto"/>
        <w:ind w:right="-159"/>
        <w:jc w:val="both"/>
        <w:rPr>
          <w:rFonts w:eastAsia="Calibri"/>
          <w:sz w:val="26"/>
          <w:szCs w:val="26"/>
          <w:lang w:eastAsia="en-US"/>
        </w:rPr>
      </w:pPr>
      <w:r w:rsidRPr="00DE0252">
        <w:rPr>
          <w:rFonts w:eastAsia="Calibri"/>
          <w:sz w:val="26"/>
          <w:szCs w:val="26"/>
          <w:lang w:eastAsia="en-US"/>
        </w:rPr>
        <w:t>El INIFAP, organismo descentralizado de la SAGARPA, y la Universidad de Tsukuba, de Japón, se reunieron para definir acciones del “Proyecto Valoración de la Diversidad y Desarrollo del Uso Sustentable de los Recursos Genéticos de México (DIGEM)”.</w:t>
      </w:r>
    </w:p>
    <w:p w14:paraId="06EFB821" w14:textId="77777777" w:rsidR="00DE0252" w:rsidRPr="00DE0252" w:rsidRDefault="00DE0252" w:rsidP="00DE0252">
      <w:pPr>
        <w:spacing w:after="360" w:line="360" w:lineRule="auto"/>
        <w:ind w:right="-159"/>
        <w:jc w:val="both"/>
        <w:rPr>
          <w:rFonts w:eastAsia="Calibri"/>
          <w:sz w:val="26"/>
          <w:szCs w:val="26"/>
          <w:lang w:eastAsia="en-US"/>
        </w:rPr>
      </w:pPr>
      <w:r w:rsidRPr="00DE0252">
        <w:rPr>
          <w:rFonts w:eastAsia="Calibri"/>
          <w:sz w:val="26"/>
          <w:szCs w:val="26"/>
          <w:lang w:eastAsia="en-US"/>
        </w:rPr>
        <w:t>Esta iniciativa, que se desarrolla en colaboración con investigadores del Centro Nacional de Recursos Genéticos (CNRG) —ubicado en Tepatitlán, Jalisco— y expertos japoneses, tiene el propósito de continuar y fortalecer los trabajos de colaboración en materia agroalimentaria entre las dos naciones.</w:t>
      </w:r>
    </w:p>
    <w:p w14:paraId="35778C4D" w14:textId="77777777" w:rsidR="00DE0252" w:rsidRPr="00DE0252" w:rsidRDefault="00DE0252" w:rsidP="00DE0252">
      <w:pPr>
        <w:spacing w:after="360" w:line="360" w:lineRule="auto"/>
        <w:ind w:right="-159"/>
        <w:jc w:val="both"/>
        <w:rPr>
          <w:rFonts w:eastAsia="Calibri"/>
          <w:sz w:val="26"/>
          <w:szCs w:val="26"/>
          <w:lang w:eastAsia="en-US"/>
        </w:rPr>
      </w:pPr>
      <w:r w:rsidRPr="00DE0252">
        <w:rPr>
          <w:rFonts w:eastAsia="Calibri"/>
          <w:sz w:val="26"/>
          <w:szCs w:val="26"/>
          <w:lang w:eastAsia="en-US"/>
        </w:rPr>
        <w:t xml:space="preserve">El Director General del INIFAP manifestó que el proyecto busca el establecimiento de un sistema de caracterización y conservación de especies mexicanas, así como el </w:t>
      </w:r>
      <w:r w:rsidRPr="00DE0252">
        <w:rPr>
          <w:rFonts w:eastAsia="Calibri"/>
          <w:sz w:val="26"/>
          <w:szCs w:val="26"/>
          <w:lang w:eastAsia="en-US"/>
        </w:rPr>
        <w:lastRenderedPageBreak/>
        <w:t>mejoramiento de los métodos de preservación a largo plazo del germoplasma que se resguarda en el CNRG.</w:t>
      </w:r>
    </w:p>
    <w:p w14:paraId="464E364C" w14:textId="77777777" w:rsidR="00DE0252" w:rsidRPr="00DE0252" w:rsidRDefault="00DE0252" w:rsidP="00DE0252">
      <w:pPr>
        <w:spacing w:after="360" w:line="360" w:lineRule="auto"/>
        <w:ind w:right="-159"/>
        <w:jc w:val="both"/>
        <w:rPr>
          <w:rFonts w:eastAsia="Calibri"/>
          <w:sz w:val="26"/>
          <w:szCs w:val="26"/>
          <w:lang w:eastAsia="en-US"/>
        </w:rPr>
      </w:pPr>
      <w:r w:rsidRPr="00DE0252">
        <w:rPr>
          <w:rFonts w:eastAsia="Calibri"/>
          <w:sz w:val="26"/>
          <w:szCs w:val="26"/>
          <w:lang w:eastAsia="en-US"/>
        </w:rPr>
        <w:t>Detalló que estas acciones permitirán el manejo de nuevos genotipos para adaptarse a los cambios ambientales, reducir la erosión genética en poblaciones de alto valor y, en consecuencia, apoyar la producción agrícola, así como aumentar el reconocimiento del valor histórico y cultural de los recursos genéticos de México.</w:t>
      </w:r>
    </w:p>
    <w:p w14:paraId="4185D0A9" w14:textId="77777777" w:rsidR="00DE0252" w:rsidRPr="00DE0252" w:rsidRDefault="00DE0252" w:rsidP="00DE0252">
      <w:pPr>
        <w:spacing w:after="360" w:line="360" w:lineRule="auto"/>
        <w:ind w:right="-159"/>
        <w:jc w:val="both"/>
        <w:rPr>
          <w:rFonts w:eastAsia="Calibri"/>
          <w:sz w:val="26"/>
          <w:szCs w:val="26"/>
          <w:lang w:eastAsia="en-US"/>
        </w:rPr>
      </w:pPr>
      <w:r w:rsidRPr="00DE0252">
        <w:rPr>
          <w:rFonts w:eastAsia="Calibri"/>
          <w:sz w:val="26"/>
          <w:szCs w:val="26"/>
          <w:lang w:eastAsia="en-US"/>
        </w:rPr>
        <w:t>Esta colaboración técnica y científica, precisó, forma parte de una estrategia de cooperación con el Gobierno de Japón, coordinada por la Agencia Japonesa de Ciencia y Tecnología y la Agencia de Cooperación Internacional del Japón (JICA, por sus siglas en idioma inglés).</w:t>
      </w:r>
    </w:p>
    <w:p w14:paraId="45A2AF12" w14:textId="77777777" w:rsidR="00DE0252" w:rsidRPr="00DE0252" w:rsidRDefault="00DE0252" w:rsidP="00DE0252">
      <w:pPr>
        <w:spacing w:after="360" w:line="360" w:lineRule="auto"/>
        <w:ind w:right="-159"/>
        <w:jc w:val="both"/>
        <w:rPr>
          <w:rFonts w:eastAsia="Calibri"/>
          <w:sz w:val="26"/>
          <w:szCs w:val="26"/>
          <w:lang w:eastAsia="en-US"/>
        </w:rPr>
      </w:pPr>
      <w:r w:rsidRPr="00DE0252">
        <w:rPr>
          <w:rFonts w:eastAsia="Calibri"/>
          <w:sz w:val="26"/>
          <w:szCs w:val="26"/>
          <w:lang w:eastAsia="en-US"/>
        </w:rPr>
        <w:t>El titular del INIFAP indicó que se apoyará el intercambio de información y se fortalecerá la innovación de prácticas y esquemas de capacitación para obtener una estrecha colaboración con Japón, toda vez que el CNRG tiene una gran variedad de recursos genéticos y una amplia gama de aplicaciones.</w:t>
      </w:r>
    </w:p>
    <w:p w14:paraId="0D2330EA" w14:textId="77777777" w:rsidR="00DE0252" w:rsidRPr="00DE0252" w:rsidRDefault="00DE0252" w:rsidP="00DE0252">
      <w:pPr>
        <w:spacing w:after="360" w:line="360" w:lineRule="auto"/>
        <w:ind w:right="-159"/>
        <w:jc w:val="both"/>
        <w:rPr>
          <w:rFonts w:eastAsia="Calibri"/>
          <w:sz w:val="26"/>
          <w:szCs w:val="26"/>
          <w:lang w:eastAsia="en-US"/>
        </w:rPr>
      </w:pPr>
      <w:r w:rsidRPr="00DE0252">
        <w:rPr>
          <w:rFonts w:eastAsia="Calibri"/>
          <w:sz w:val="26"/>
          <w:szCs w:val="26"/>
          <w:lang w:eastAsia="en-US"/>
        </w:rPr>
        <w:t>El catedrático de la Universidad de Tsukuba, Kazuo Watanabe, explicó que es relevante trabajar con especies originarias de México, ya que son reconocidas a nivel mundial.</w:t>
      </w:r>
    </w:p>
    <w:p w14:paraId="1A183FA7" w14:textId="77777777" w:rsidR="00DE0252" w:rsidRPr="00DE0252" w:rsidRDefault="00DE0252" w:rsidP="00DE0252">
      <w:pPr>
        <w:spacing w:after="360" w:line="360" w:lineRule="auto"/>
        <w:ind w:right="-159"/>
        <w:jc w:val="both"/>
        <w:rPr>
          <w:rFonts w:eastAsia="Calibri"/>
          <w:sz w:val="26"/>
          <w:szCs w:val="26"/>
          <w:lang w:eastAsia="en-US"/>
        </w:rPr>
      </w:pPr>
      <w:r w:rsidRPr="00DE0252">
        <w:rPr>
          <w:rFonts w:eastAsia="Calibri"/>
          <w:sz w:val="26"/>
          <w:szCs w:val="26"/>
          <w:lang w:eastAsia="en-US"/>
        </w:rPr>
        <w:t>Resaltó también la experiencia de los investigadores mexicanos, así como su amplío banco de germoplasmas y material genético, resguardado por el INIFAP.</w:t>
      </w:r>
    </w:p>
    <w:p w14:paraId="2F4E9773" w14:textId="77777777" w:rsidR="00DE0252" w:rsidRPr="00DE0252" w:rsidRDefault="00DE0252" w:rsidP="00DE0252">
      <w:pPr>
        <w:spacing w:after="360" w:line="360" w:lineRule="auto"/>
        <w:ind w:right="-159"/>
        <w:jc w:val="both"/>
        <w:rPr>
          <w:rFonts w:eastAsia="Calibri"/>
          <w:sz w:val="26"/>
          <w:szCs w:val="26"/>
          <w:lang w:eastAsia="en-US"/>
        </w:rPr>
      </w:pPr>
      <w:r w:rsidRPr="00DE0252">
        <w:rPr>
          <w:rFonts w:eastAsia="Calibri"/>
          <w:sz w:val="26"/>
          <w:szCs w:val="26"/>
          <w:lang w:eastAsia="en-US"/>
        </w:rPr>
        <w:t>Por su parte, el Director General del JICA en México propuso reforzar los trabajos en materia cambio climático, mitigación de plagas, adaptación de cultivos y prevención de desastres naturales.</w:t>
      </w:r>
    </w:p>
    <w:p w14:paraId="7514EFF0" w14:textId="77777777" w:rsidR="00DE0252" w:rsidRPr="00DE0252" w:rsidRDefault="00DE0252" w:rsidP="00DE0252">
      <w:pPr>
        <w:spacing w:after="360" w:line="360" w:lineRule="auto"/>
        <w:ind w:right="-159"/>
        <w:jc w:val="both"/>
        <w:rPr>
          <w:rFonts w:eastAsia="Calibri"/>
          <w:sz w:val="26"/>
          <w:szCs w:val="26"/>
          <w:lang w:eastAsia="en-US"/>
        </w:rPr>
      </w:pPr>
      <w:r w:rsidRPr="00DE0252">
        <w:rPr>
          <w:rFonts w:eastAsia="Calibri"/>
          <w:sz w:val="26"/>
          <w:szCs w:val="26"/>
          <w:lang w:eastAsia="en-US"/>
        </w:rPr>
        <w:t xml:space="preserve">Otros participantes en el proyecto también son el Banco de Genes del Instituto Nacional de Ciencias Agrobiológicas, el Centro Internacional de Investigación en Ciencias </w:t>
      </w:r>
      <w:r w:rsidRPr="00DE0252">
        <w:rPr>
          <w:rFonts w:eastAsia="Calibri"/>
          <w:sz w:val="26"/>
          <w:szCs w:val="26"/>
          <w:lang w:eastAsia="en-US"/>
        </w:rPr>
        <w:lastRenderedPageBreak/>
        <w:t>Agrícolas del Japón, la Universidad de Tottori, la Universidad de la Ciudad de Yokohama y la Universidad de Osaka.</w:t>
      </w:r>
    </w:p>
    <w:p w14:paraId="3F45D03C" w14:textId="77777777" w:rsidR="00DE0252" w:rsidRPr="00DE0252" w:rsidRDefault="00DE0252" w:rsidP="00DE0252">
      <w:pPr>
        <w:spacing w:after="360" w:line="360" w:lineRule="auto"/>
        <w:ind w:right="-159"/>
        <w:jc w:val="both"/>
        <w:rPr>
          <w:rFonts w:eastAsia="Calibri"/>
          <w:sz w:val="26"/>
          <w:szCs w:val="26"/>
          <w:lang w:eastAsia="en-US"/>
        </w:rPr>
      </w:pPr>
      <w:r w:rsidRPr="00DE0252">
        <w:rPr>
          <w:rFonts w:eastAsia="Calibri"/>
          <w:sz w:val="26"/>
          <w:szCs w:val="26"/>
          <w:lang w:eastAsia="en-US"/>
        </w:rPr>
        <w:t>En la reunión participaron la Directora de la Unidad de Apoyo Técnico de la Dirección General del INIFAP, el Director Regional del Centro de Investigación Pacífico Centro, el Director General del CNRG, el Oficial en Programas de Cooperación Técnica de la JICA en México, entre otros.</w:t>
      </w:r>
    </w:p>
    <w:p w14:paraId="745265FC" w14:textId="77777777" w:rsidR="00DE0252" w:rsidRPr="00DE0252" w:rsidRDefault="00DE0252" w:rsidP="00DE0252">
      <w:pPr>
        <w:ind w:right="-159"/>
        <w:jc w:val="both"/>
        <w:rPr>
          <w:rFonts w:eastAsia="Calibri"/>
          <w:sz w:val="20"/>
          <w:szCs w:val="20"/>
          <w:lang w:eastAsia="en-US"/>
        </w:rPr>
      </w:pPr>
      <w:r w:rsidRPr="00DE0252">
        <w:rPr>
          <w:rFonts w:eastAsia="Calibri"/>
          <w:b/>
          <w:sz w:val="20"/>
          <w:szCs w:val="20"/>
          <w:lang w:eastAsia="en-US"/>
        </w:rPr>
        <w:t>Fuente de información</w:t>
      </w:r>
      <w:r w:rsidRPr="00DE0252">
        <w:rPr>
          <w:rFonts w:eastAsia="Calibri"/>
          <w:sz w:val="20"/>
          <w:szCs w:val="20"/>
          <w:lang w:eastAsia="en-US"/>
        </w:rPr>
        <w:t>:</w:t>
      </w:r>
    </w:p>
    <w:p w14:paraId="181F6CBC" w14:textId="77777777" w:rsidR="00DE0252" w:rsidRPr="009177B7" w:rsidRDefault="0093224F" w:rsidP="00DE0252">
      <w:pPr>
        <w:ind w:right="-159"/>
        <w:jc w:val="both"/>
        <w:rPr>
          <w:rFonts w:eastAsia="Calibri"/>
          <w:color w:val="0000FF"/>
          <w:sz w:val="20"/>
          <w:szCs w:val="20"/>
          <w:u w:val="single"/>
          <w:lang w:eastAsia="en-US"/>
        </w:rPr>
      </w:pPr>
      <w:hyperlink r:id="rId101" w:history="1">
        <w:r w:rsidR="00DE0252" w:rsidRPr="009177B7">
          <w:rPr>
            <w:rFonts w:eastAsia="Calibri"/>
            <w:color w:val="0000FF"/>
            <w:sz w:val="20"/>
            <w:szCs w:val="20"/>
            <w:u w:val="single"/>
            <w:lang w:eastAsia="en-US"/>
          </w:rPr>
          <w:t>http://www.sagarpa.gob.mx/saladeprensa/2012/Paginas/2015B181.aspx</w:t>
        </w:r>
      </w:hyperlink>
    </w:p>
    <w:p w14:paraId="089B2943" w14:textId="77777777" w:rsidR="00DE0252" w:rsidRPr="00DE0252" w:rsidRDefault="00DE0252" w:rsidP="00DE0252">
      <w:pPr>
        <w:ind w:right="-159"/>
        <w:jc w:val="both"/>
        <w:rPr>
          <w:rFonts w:eastAsia="Calibri"/>
          <w:color w:val="0563C1"/>
          <w:sz w:val="20"/>
          <w:szCs w:val="20"/>
          <w:u w:val="single"/>
          <w:lang w:eastAsia="en-US"/>
        </w:rPr>
      </w:pPr>
      <w:r w:rsidRPr="00DE0252">
        <w:rPr>
          <w:rFonts w:eastAsia="Calibri"/>
          <w:sz w:val="20"/>
          <w:szCs w:val="20"/>
          <w:lang w:eastAsia="en-US"/>
        </w:rPr>
        <w:t>Para tener acceso a información relacionada visite:</w:t>
      </w:r>
    </w:p>
    <w:p w14:paraId="438AB553" w14:textId="77777777" w:rsidR="00DE0252" w:rsidRPr="009177B7" w:rsidRDefault="0093224F" w:rsidP="009177B7">
      <w:pPr>
        <w:spacing w:after="720"/>
        <w:ind w:right="-159"/>
        <w:jc w:val="both"/>
        <w:rPr>
          <w:rFonts w:eastAsia="Calibri"/>
          <w:color w:val="0000FF"/>
          <w:sz w:val="20"/>
          <w:szCs w:val="20"/>
          <w:lang w:eastAsia="en-US"/>
        </w:rPr>
      </w:pPr>
      <w:hyperlink r:id="rId102" w:history="1">
        <w:r w:rsidR="00DE0252" w:rsidRPr="009177B7">
          <w:rPr>
            <w:rFonts w:eastAsia="Calibri"/>
            <w:color w:val="0000FF"/>
            <w:sz w:val="20"/>
            <w:szCs w:val="20"/>
            <w:u w:val="single"/>
            <w:lang w:eastAsia="en-US"/>
          </w:rPr>
          <w:t>https://www.wto.org/spanish/tratop_s/tpr_s/tp410_s.htm</w:t>
        </w:r>
      </w:hyperlink>
      <w:r w:rsidR="00DE0252" w:rsidRPr="009177B7">
        <w:rPr>
          <w:rFonts w:eastAsia="Calibri"/>
          <w:color w:val="0000FF"/>
          <w:sz w:val="20"/>
          <w:szCs w:val="20"/>
          <w:lang w:eastAsia="en-US"/>
        </w:rPr>
        <w:t xml:space="preserve"> </w:t>
      </w:r>
    </w:p>
    <w:p w14:paraId="31CE5A52" w14:textId="77777777" w:rsidR="0074473B" w:rsidRPr="0074473B" w:rsidRDefault="0074473B" w:rsidP="0074473B">
      <w:pPr>
        <w:rPr>
          <w:rFonts w:eastAsia="Calibri"/>
          <w:b/>
          <w:sz w:val="26"/>
          <w:szCs w:val="26"/>
          <w:lang w:eastAsia="en-US"/>
        </w:rPr>
      </w:pPr>
      <w:r w:rsidRPr="0074473B">
        <w:rPr>
          <w:rFonts w:eastAsia="Calibri"/>
          <w:b/>
          <w:sz w:val="26"/>
          <w:szCs w:val="26"/>
          <w:lang w:eastAsia="en-US"/>
        </w:rPr>
        <w:t>Reformas  estructurales  y nueva  visión</w:t>
      </w:r>
    </w:p>
    <w:p w14:paraId="546BD028" w14:textId="79B1C528" w:rsidR="0074473B" w:rsidRPr="0074473B" w:rsidRDefault="0074473B" w:rsidP="0074473B">
      <w:pPr>
        <w:rPr>
          <w:rFonts w:eastAsia="Calibri"/>
          <w:b/>
          <w:sz w:val="26"/>
          <w:szCs w:val="26"/>
          <w:lang w:eastAsia="en-US"/>
        </w:rPr>
      </w:pPr>
      <w:r w:rsidRPr="0074473B">
        <w:rPr>
          <w:rFonts w:eastAsia="Calibri"/>
          <w:b/>
          <w:sz w:val="26"/>
          <w:szCs w:val="26"/>
          <w:lang w:eastAsia="en-US"/>
        </w:rPr>
        <w:t xml:space="preserve">gubernamental </w:t>
      </w:r>
      <w:r w:rsidR="009177B7">
        <w:rPr>
          <w:rFonts w:eastAsia="Calibri"/>
          <w:b/>
          <w:sz w:val="26"/>
          <w:szCs w:val="26"/>
          <w:lang w:eastAsia="en-US"/>
        </w:rPr>
        <w:t xml:space="preserve"> </w:t>
      </w:r>
      <w:r w:rsidRPr="0074473B">
        <w:rPr>
          <w:rFonts w:eastAsia="Calibri"/>
          <w:b/>
          <w:sz w:val="26"/>
          <w:szCs w:val="26"/>
          <w:lang w:eastAsia="en-US"/>
        </w:rPr>
        <w:t xml:space="preserve">detonan </w:t>
      </w:r>
      <w:r w:rsidR="009177B7">
        <w:rPr>
          <w:rFonts w:eastAsia="Calibri"/>
          <w:b/>
          <w:sz w:val="26"/>
          <w:szCs w:val="26"/>
          <w:lang w:eastAsia="en-US"/>
        </w:rPr>
        <w:t xml:space="preserve"> </w:t>
      </w:r>
      <w:r w:rsidRPr="0074473B">
        <w:rPr>
          <w:rFonts w:eastAsia="Calibri"/>
          <w:b/>
          <w:sz w:val="26"/>
          <w:szCs w:val="26"/>
          <w:lang w:eastAsia="en-US"/>
        </w:rPr>
        <w:t>productividad</w:t>
      </w:r>
    </w:p>
    <w:p w14:paraId="471D7C9A" w14:textId="77777777" w:rsidR="0074473B" w:rsidRPr="0074473B" w:rsidRDefault="0074473B" w:rsidP="0074473B">
      <w:pPr>
        <w:spacing w:after="360" w:line="360" w:lineRule="auto"/>
        <w:ind w:right="-159"/>
        <w:jc w:val="both"/>
        <w:rPr>
          <w:rFonts w:eastAsia="Calibri"/>
          <w:b/>
          <w:sz w:val="26"/>
          <w:szCs w:val="26"/>
          <w:lang w:eastAsia="en-US"/>
        </w:rPr>
      </w:pPr>
      <w:r w:rsidRPr="0074473B">
        <w:rPr>
          <w:rFonts w:eastAsia="Calibri"/>
          <w:b/>
          <w:sz w:val="26"/>
          <w:szCs w:val="26"/>
          <w:lang w:eastAsia="en-US"/>
        </w:rPr>
        <w:t>en el campo (SAGARPA)</w:t>
      </w:r>
    </w:p>
    <w:p w14:paraId="5141F344" w14:textId="77777777" w:rsidR="0074473B" w:rsidRPr="0074473B" w:rsidRDefault="0074473B" w:rsidP="0074473B">
      <w:pPr>
        <w:spacing w:after="360" w:line="360" w:lineRule="auto"/>
        <w:ind w:right="-159"/>
        <w:jc w:val="both"/>
        <w:rPr>
          <w:rFonts w:eastAsia="Calibri"/>
          <w:sz w:val="26"/>
          <w:szCs w:val="26"/>
          <w:lang w:eastAsia="en-US"/>
        </w:rPr>
      </w:pPr>
      <w:r w:rsidRPr="0074473B">
        <w:rPr>
          <w:rFonts w:eastAsia="Calibri"/>
          <w:sz w:val="26"/>
          <w:szCs w:val="26"/>
          <w:lang w:eastAsia="en-US"/>
        </w:rPr>
        <w:t>El 5 de marzo de 2015, el Titular de la Secretaría de Agricultura, Ganadería, Desarrollo Rural, Pesca y Alimentación (SAGARPA) aseveró que las reformas estructurales y la visión del Gobierno de la República en torno al campo están dando un giro que permitirá dejar atrás el rezago y ver el nuevo rostro del sector con productores competitivos. A continuación se presentan los detalles.</w:t>
      </w:r>
    </w:p>
    <w:p w14:paraId="6A1E50F1" w14:textId="77777777" w:rsidR="0074473B" w:rsidRPr="0074473B" w:rsidRDefault="0074473B" w:rsidP="0074473B">
      <w:pPr>
        <w:spacing w:after="360" w:line="360" w:lineRule="auto"/>
        <w:ind w:right="-159"/>
        <w:jc w:val="both"/>
        <w:rPr>
          <w:rFonts w:eastAsia="Calibri"/>
          <w:sz w:val="26"/>
          <w:szCs w:val="26"/>
          <w:lang w:eastAsia="en-US"/>
        </w:rPr>
      </w:pPr>
      <w:r w:rsidRPr="0074473B">
        <w:rPr>
          <w:rFonts w:eastAsia="Calibri"/>
          <w:sz w:val="26"/>
          <w:szCs w:val="26"/>
          <w:lang w:eastAsia="en-US"/>
        </w:rPr>
        <w:t>Las reformas estructurales y la visión del Gobierno de la República en torno al campo están dando un giro que permitirá dejar atrás el rezago y ver el nuevo rostro del sector con productores competitivos, capaces de abastecer el mercado nacional e incursionar en el comercio internacional con alimentos suficientes, sanos e inocuos, aseguró el titular de la SAGARPA.</w:t>
      </w:r>
    </w:p>
    <w:p w14:paraId="28141434" w14:textId="77777777" w:rsidR="0074473B" w:rsidRPr="0074473B" w:rsidRDefault="0074473B" w:rsidP="0074473B">
      <w:pPr>
        <w:spacing w:after="360" w:line="360" w:lineRule="auto"/>
        <w:ind w:right="-159"/>
        <w:jc w:val="both"/>
        <w:rPr>
          <w:rFonts w:eastAsia="Calibri"/>
          <w:sz w:val="26"/>
          <w:szCs w:val="26"/>
          <w:lang w:eastAsia="en-US"/>
        </w:rPr>
      </w:pPr>
      <w:r w:rsidRPr="0074473B">
        <w:rPr>
          <w:rFonts w:eastAsia="Calibri"/>
          <w:sz w:val="26"/>
          <w:szCs w:val="26"/>
          <w:lang w:eastAsia="en-US"/>
        </w:rPr>
        <w:t xml:space="preserve">Lo anterior al presentar su ponencia “Avance y Perspectiva del Sector Agroalimentario”, en el marco de la maestría en Seguridad Nacional, impartida por el Centro de Estudios Navales de la Secretaría de Marina, donde analizaron la influencia </w:t>
      </w:r>
      <w:r w:rsidRPr="0074473B">
        <w:rPr>
          <w:rFonts w:eastAsia="Calibri"/>
          <w:sz w:val="26"/>
          <w:szCs w:val="26"/>
          <w:lang w:eastAsia="en-US"/>
        </w:rPr>
        <w:lastRenderedPageBreak/>
        <w:t>de la SAGARPA en el campo económico y social, dentro del concepto de Seguridad Nacional.</w:t>
      </w:r>
    </w:p>
    <w:p w14:paraId="2557E2E3" w14:textId="77777777" w:rsidR="0074473B" w:rsidRPr="0074473B" w:rsidRDefault="0074473B" w:rsidP="0074473B">
      <w:pPr>
        <w:spacing w:after="360" w:line="360" w:lineRule="auto"/>
        <w:ind w:right="-159"/>
        <w:jc w:val="both"/>
        <w:rPr>
          <w:rFonts w:eastAsia="Calibri"/>
          <w:sz w:val="26"/>
          <w:szCs w:val="26"/>
          <w:lang w:eastAsia="en-US"/>
        </w:rPr>
      </w:pPr>
      <w:r w:rsidRPr="0074473B">
        <w:rPr>
          <w:rFonts w:eastAsia="Calibri"/>
          <w:sz w:val="26"/>
          <w:szCs w:val="26"/>
          <w:lang w:eastAsia="en-US"/>
        </w:rPr>
        <w:t>Expresó que el crecimiento del ámbito agroalimentario es una realidad que se refleja en los resultados económicos y productivos de los últimos dos años.</w:t>
      </w:r>
    </w:p>
    <w:p w14:paraId="37A7E9B2" w14:textId="77777777" w:rsidR="0074473B" w:rsidRPr="0074473B" w:rsidRDefault="0074473B" w:rsidP="0074473B">
      <w:pPr>
        <w:spacing w:after="360" w:line="360" w:lineRule="auto"/>
        <w:ind w:right="-159"/>
        <w:jc w:val="both"/>
        <w:rPr>
          <w:rFonts w:eastAsia="Calibri"/>
          <w:sz w:val="26"/>
          <w:szCs w:val="26"/>
          <w:lang w:eastAsia="en-US"/>
        </w:rPr>
      </w:pPr>
      <w:r w:rsidRPr="0074473B">
        <w:rPr>
          <w:rFonts w:eastAsia="Calibri"/>
          <w:sz w:val="26"/>
          <w:szCs w:val="26"/>
          <w:lang w:eastAsia="en-US"/>
        </w:rPr>
        <w:t>Afirmó que en 2013, el sector primario se mantuvo en la línea de la productividad, a pesar de las adversidades como sequías e inundaciones en gran parte del país; en 2014, dijo, con mejores condiciones climáticas se refrendó el potencial del campo.</w:t>
      </w:r>
    </w:p>
    <w:p w14:paraId="3FBD133A" w14:textId="77777777" w:rsidR="0074473B" w:rsidRPr="0074473B" w:rsidRDefault="0074473B" w:rsidP="0074473B">
      <w:pPr>
        <w:spacing w:after="360" w:line="360" w:lineRule="auto"/>
        <w:ind w:right="-159"/>
        <w:jc w:val="both"/>
        <w:rPr>
          <w:rFonts w:eastAsia="Calibri"/>
          <w:sz w:val="26"/>
          <w:szCs w:val="26"/>
          <w:lang w:eastAsia="en-US"/>
        </w:rPr>
      </w:pPr>
      <w:r w:rsidRPr="0074473B">
        <w:rPr>
          <w:rFonts w:eastAsia="Calibri"/>
          <w:sz w:val="26"/>
          <w:szCs w:val="26"/>
          <w:lang w:eastAsia="en-US"/>
        </w:rPr>
        <w:t>Recordó que el producto interno bruto (PIB) primario aumentó alrededor de 3% en 2014, superior al promedio nacional y al resto de las actividades económicas, lo que refleja el dinamismo del ámbito primario y sus productores.</w:t>
      </w:r>
    </w:p>
    <w:p w14:paraId="53976F70" w14:textId="77777777" w:rsidR="0074473B" w:rsidRPr="0074473B" w:rsidRDefault="0074473B" w:rsidP="0074473B">
      <w:pPr>
        <w:spacing w:after="360" w:line="360" w:lineRule="auto"/>
        <w:ind w:right="-159"/>
        <w:jc w:val="both"/>
        <w:rPr>
          <w:rFonts w:eastAsia="Calibri"/>
          <w:sz w:val="26"/>
          <w:szCs w:val="26"/>
          <w:lang w:eastAsia="en-US"/>
        </w:rPr>
      </w:pPr>
      <w:r w:rsidRPr="0074473B">
        <w:rPr>
          <w:rFonts w:eastAsia="Calibri"/>
          <w:sz w:val="26"/>
          <w:szCs w:val="26"/>
          <w:lang w:eastAsia="en-US"/>
        </w:rPr>
        <w:t>En lo que se refiere al comercio exterior, recordó que el año pasado se registró un nuevo récord en las exportaciones agroalimentarias, superior a los 25 mil 600 millones de dólares, y una reducción en los últimos dos años del déficit crónico de la balanza comercial agroalimentaria de más de tres mil millones de dólares.</w:t>
      </w:r>
    </w:p>
    <w:p w14:paraId="739AED95" w14:textId="77777777" w:rsidR="0074473B" w:rsidRPr="0074473B" w:rsidRDefault="0074473B" w:rsidP="0074473B">
      <w:pPr>
        <w:spacing w:after="360" w:line="360" w:lineRule="auto"/>
        <w:ind w:right="-159"/>
        <w:jc w:val="both"/>
        <w:rPr>
          <w:rFonts w:eastAsia="Calibri"/>
          <w:sz w:val="26"/>
          <w:szCs w:val="26"/>
          <w:lang w:eastAsia="en-US"/>
        </w:rPr>
      </w:pPr>
      <w:r w:rsidRPr="0074473B">
        <w:rPr>
          <w:rFonts w:eastAsia="Calibri"/>
          <w:sz w:val="26"/>
          <w:szCs w:val="26"/>
          <w:lang w:eastAsia="en-US"/>
        </w:rPr>
        <w:t>Esta tendencia de crecimiento, añadió, se refrenda este año al registrarse un incremento de 15% en las ventas internacionales de bienes agropecuarios en enero de 2015, las cuales cerraron en mil 232 millones de dólares.</w:t>
      </w:r>
    </w:p>
    <w:p w14:paraId="19995B6D" w14:textId="77777777" w:rsidR="0074473B" w:rsidRPr="0074473B" w:rsidRDefault="0074473B" w:rsidP="0074473B">
      <w:pPr>
        <w:spacing w:after="360" w:line="360" w:lineRule="auto"/>
        <w:ind w:right="-159"/>
        <w:jc w:val="both"/>
        <w:rPr>
          <w:rFonts w:eastAsia="Calibri"/>
          <w:sz w:val="26"/>
          <w:szCs w:val="26"/>
          <w:lang w:eastAsia="en-US"/>
        </w:rPr>
      </w:pPr>
      <w:r w:rsidRPr="0074473B">
        <w:rPr>
          <w:rFonts w:eastAsia="Calibri"/>
          <w:sz w:val="26"/>
          <w:szCs w:val="26"/>
          <w:lang w:eastAsia="en-US"/>
        </w:rPr>
        <w:t>El titular de la SAGARPA subrayó que estos resultados son reflejo del compromiso del Presidente de la República, por ubicar al ámbito primario como una prioridad de su gobierno.</w:t>
      </w:r>
    </w:p>
    <w:p w14:paraId="2B552676" w14:textId="77777777" w:rsidR="0074473B" w:rsidRPr="0074473B" w:rsidRDefault="0074473B" w:rsidP="0074473B">
      <w:pPr>
        <w:spacing w:after="360" w:line="360" w:lineRule="auto"/>
        <w:ind w:right="-159"/>
        <w:jc w:val="both"/>
        <w:rPr>
          <w:rFonts w:eastAsia="Calibri"/>
          <w:sz w:val="26"/>
          <w:szCs w:val="26"/>
          <w:lang w:eastAsia="en-US"/>
        </w:rPr>
      </w:pPr>
      <w:r w:rsidRPr="0074473B">
        <w:rPr>
          <w:rFonts w:eastAsia="Calibri"/>
          <w:sz w:val="26"/>
          <w:szCs w:val="26"/>
          <w:lang w:eastAsia="en-US"/>
        </w:rPr>
        <w:t>Esto, añade, al fijar el objetivo de convertir al campo en un sector más productivo, sustentable, competitivo y rentable.</w:t>
      </w:r>
    </w:p>
    <w:p w14:paraId="7CB149BE" w14:textId="77777777" w:rsidR="0074473B" w:rsidRPr="0074473B" w:rsidRDefault="0074473B" w:rsidP="0074473B">
      <w:pPr>
        <w:spacing w:after="360" w:line="360" w:lineRule="auto"/>
        <w:ind w:right="-159"/>
        <w:jc w:val="both"/>
        <w:rPr>
          <w:rFonts w:eastAsia="Calibri"/>
          <w:sz w:val="26"/>
          <w:szCs w:val="26"/>
          <w:lang w:eastAsia="en-US"/>
        </w:rPr>
      </w:pPr>
      <w:r w:rsidRPr="0074473B">
        <w:rPr>
          <w:rFonts w:eastAsia="Calibri"/>
          <w:sz w:val="26"/>
          <w:szCs w:val="26"/>
          <w:lang w:eastAsia="en-US"/>
        </w:rPr>
        <w:lastRenderedPageBreak/>
        <w:t>Agregó que con las Reformas promovidas por el Ejecutivo Federal, hoy el ámbito primario cuenta con mejores condiciones de financiamiento y producirá por primera vez, en dos décadas, los fertilizantes necesarios para las actividades agrícolas, lo que contribuirá a reducir el costo de los insumos para los productores.</w:t>
      </w:r>
    </w:p>
    <w:p w14:paraId="3866E5CD" w14:textId="77777777" w:rsidR="0074473B" w:rsidRPr="0074473B" w:rsidRDefault="0074473B" w:rsidP="0074473B">
      <w:pPr>
        <w:spacing w:after="360" w:line="360" w:lineRule="auto"/>
        <w:ind w:right="-159"/>
        <w:jc w:val="both"/>
        <w:rPr>
          <w:rFonts w:eastAsia="Calibri"/>
          <w:sz w:val="26"/>
          <w:szCs w:val="26"/>
          <w:lang w:eastAsia="en-US"/>
        </w:rPr>
      </w:pPr>
      <w:r w:rsidRPr="0074473B">
        <w:rPr>
          <w:rFonts w:eastAsia="Calibri"/>
          <w:sz w:val="26"/>
          <w:szCs w:val="26"/>
          <w:lang w:eastAsia="en-US"/>
        </w:rPr>
        <w:t>Puntualizó que el Gobierno de la República dio un gran paso al transitar de los subsidios, como era el caso del PROCAMPO, hacia los incentivos a la producción.</w:t>
      </w:r>
    </w:p>
    <w:p w14:paraId="5E8AB2FA" w14:textId="77777777" w:rsidR="0074473B" w:rsidRPr="0074473B" w:rsidRDefault="0074473B" w:rsidP="0074473B">
      <w:pPr>
        <w:spacing w:after="360" w:line="360" w:lineRule="auto"/>
        <w:ind w:right="-159"/>
        <w:jc w:val="both"/>
        <w:rPr>
          <w:rFonts w:eastAsia="Calibri"/>
          <w:sz w:val="26"/>
          <w:szCs w:val="26"/>
          <w:lang w:eastAsia="en-US"/>
        </w:rPr>
      </w:pPr>
      <w:r w:rsidRPr="0074473B">
        <w:rPr>
          <w:rFonts w:eastAsia="Calibri"/>
          <w:sz w:val="26"/>
          <w:szCs w:val="26"/>
          <w:lang w:eastAsia="en-US"/>
        </w:rPr>
        <w:t>Por primera vez, indicó, en el PROAGRO y en el PROGAN se solicita a los productores que justifiquen la inversión de los recursos en acciones que detonen la productividad.</w:t>
      </w:r>
    </w:p>
    <w:p w14:paraId="0A0101EE" w14:textId="77777777" w:rsidR="0074473B" w:rsidRPr="0074473B" w:rsidRDefault="0074473B" w:rsidP="0074473B">
      <w:pPr>
        <w:ind w:right="-159"/>
        <w:jc w:val="both"/>
        <w:rPr>
          <w:rFonts w:eastAsia="Calibri"/>
          <w:b/>
          <w:sz w:val="20"/>
          <w:szCs w:val="20"/>
          <w:lang w:eastAsia="en-US"/>
        </w:rPr>
      </w:pPr>
      <w:r w:rsidRPr="0074473B">
        <w:rPr>
          <w:rFonts w:eastAsia="Calibri"/>
          <w:b/>
          <w:sz w:val="20"/>
          <w:szCs w:val="20"/>
          <w:lang w:eastAsia="en-US"/>
        </w:rPr>
        <w:t>Fuente de información:</w:t>
      </w:r>
    </w:p>
    <w:p w14:paraId="63B3CA85" w14:textId="77777777" w:rsidR="0074473B" w:rsidRPr="009177B7" w:rsidRDefault="0093224F" w:rsidP="009177B7">
      <w:pPr>
        <w:spacing w:after="720"/>
        <w:ind w:right="-159"/>
        <w:jc w:val="both"/>
        <w:rPr>
          <w:rFonts w:eastAsia="Calibri"/>
          <w:color w:val="0000FF"/>
          <w:sz w:val="20"/>
          <w:szCs w:val="20"/>
          <w:lang w:eastAsia="en-US"/>
        </w:rPr>
      </w:pPr>
      <w:hyperlink r:id="rId103" w:history="1">
        <w:r w:rsidR="0074473B" w:rsidRPr="009177B7">
          <w:rPr>
            <w:rFonts w:eastAsia="Calibri"/>
            <w:color w:val="0000FF"/>
            <w:sz w:val="20"/>
            <w:szCs w:val="20"/>
            <w:u w:val="single"/>
            <w:lang w:eastAsia="en-US"/>
          </w:rPr>
          <w:t>http://www.sagarpa.gob.mx/saladeprensa/2012/Paginas/2015B172.aspx</w:t>
        </w:r>
      </w:hyperlink>
    </w:p>
    <w:p w14:paraId="5AA6B3FD" w14:textId="77777777" w:rsidR="00361351" w:rsidRPr="00361351" w:rsidRDefault="00361351" w:rsidP="00361351">
      <w:pPr>
        <w:rPr>
          <w:rFonts w:eastAsia="Calibri"/>
          <w:b/>
          <w:sz w:val="26"/>
          <w:szCs w:val="26"/>
          <w:lang w:eastAsia="en-US"/>
        </w:rPr>
      </w:pPr>
      <w:r w:rsidRPr="00361351">
        <w:rPr>
          <w:rFonts w:eastAsia="Calibri"/>
          <w:b/>
          <w:sz w:val="26"/>
          <w:szCs w:val="26"/>
          <w:lang w:eastAsia="en-US"/>
        </w:rPr>
        <w:t>Día Internacional de la Mujer: las agricultoras son</w:t>
      </w:r>
    </w:p>
    <w:p w14:paraId="4853D05F" w14:textId="77777777" w:rsidR="00361351" w:rsidRPr="00361351" w:rsidRDefault="00361351" w:rsidP="00361351">
      <w:pPr>
        <w:spacing w:after="360" w:line="360" w:lineRule="auto"/>
        <w:ind w:right="-159"/>
        <w:jc w:val="both"/>
        <w:rPr>
          <w:rFonts w:eastAsia="Calibri"/>
          <w:b/>
          <w:sz w:val="26"/>
          <w:szCs w:val="26"/>
          <w:lang w:eastAsia="en-US"/>
        </w:rPr>
      </w:pPr>
      <w:r w:rsidRPr="00361351">
        <w:rPr>
          <w:rFonts w:eastAsia="Calibri"/>
          <w:b/>
          <w:sz w:val="26"/>
          <w:szCs w:val="26"/>
          <w:lang w:eastAsia="en-US"/>
        </w:rPr>
        <w:t>fundamentales en la lucha contra el hambre (FAO)</w:t>
      </w:r>
    </w:p>
    <w:p w14:paraId="526DA6B9" w14:textId="77777777" w:rsidR="00361351" w:rsidRPr="00361351" w:rsidRDefault="00361351" w:rsidP="00361351">
      <w:pPr>
        <w:spacing w:after="360" w:line="360" w:lineRule="auto"/>
        <w:ind w:right="-159"/>
        <w:jc w:val="both"/>
        <w:rPr>
          <w:rFonts w:eastAsia="Calibri"/>
          <w:sz w:val="26"/>
          <w:szCs w:val="26"/>
          <w:lang w:eastAsia="en-US"/>
        </w:rPr>
      </w:pPr>
      <w:r w:rsidRPr="00361351">
        <w:rPr>
          <w:rFonts w:eastAsia="Calibri"/>
          <w:sz w:val="26"/>
          <w:szCs w:val="26"/>
          <w:lang w:eastAsia="en-US"/>
        </w:rPr>
        <w:t>El 6 de marzo de 2015, la Organización de las Naciones Unidas para la Alimentación y la Agricultura (FAO) comunicó que para conmemorar el “Día Internacional de la Mujer 2015”, los líderes de los tres organismos de las Naciones Unidas dedicados a la alimentación con sede en Roma se reunieron para recordar al mundo que las mujeres agricultoras desempeñan una función vital en el logro de la seguridad alimentaria y nutricional.</w:t>
      </w:r>
    </w:p>
    <w:p w14:paraId="53A1FBB8" w14:textId="77777777" w:rsidR="00361351" w:rsidRPr="00361351" w:rsidRDefault="00361351" w:rsidP="00361351">
      <w:pPr>
        <w:spacing w:after="360" w:line="360" w:lineRule="auto"/>
        <w:ind w:right="-159"/>
        <w:jc w:val="both"/>
        <w:rPr>
          <w:rFonts w:eastAsia="Calibri"/>
          <w:sz w:val="26"/>
          <w:szCs w:val="26"/>
          <w:lang w:eastAsia="en-US"/>
        </w:rPr>
      </w:pPr>
      <w:r w:rsidRPr="00361351">
        <w:rPr>
          <w:rFonts w:eastAsia="Calibri"/>
          <w:sz w:val="26"/>
          <w:szCs w:val="26"/>
          <w:lang w:eastAsia="en-US"/>
        </w:rPr>
        <w:t xml:space="preserve">En el acto de Roma, los líderes de la Organización de las Naciones Unidas para la Alimentación y la Agricultura (FAO), el Fondo Internacional de Desarrollo Agrícola (FIDA) y el Programa Mundial de Alimentos (PMA) compartieron sus experiencias sobre las intervenciones innovadoras que habían llevado a cabo para dotar de mayores capacidades a las mujeres rurales y, que al hacerlo, habían contribuido a la seguridad alimentaria y nutricional. También pusieron de relieve que la promoción de la igualdad </w:t>
      </w:r>
      <w:r w:rsidRPr="00361351">
        <w:rPr>
          <w:rFonts w:eastAsia="Calibri"/>
          <w:sz w:val="26"/>
          <w:szCs w:val="26"/>
          <w:lang w:eastAsia="en-US"/>
        </w:rPr>
        <w:lastRenderedPageBreak/>
        <w:t>entre los géneros y la emancipación de las mujeres pueden fortalecer considerablemente las iniciativas para reducir la pobreza rural.</w:t>
      </w:r>
    </w:p>
    <w:p w14:paraId="0842ACFF" w14:textId="77777777" w:rsidR="00361351" w:rsidRPr="00361351" w:rsidRDefault="00361351" w:rsidP="00361351">
      <w:pPr>
        <w:spacing w:after="360" w:line="360" w:lineRule="auto"/>
        <w:ind w:right="-159"/>
        <w:jc w:val="both"/>
        <w:rPr>
          <w:rFonts w:eastAsia="Calibri"/>
          <w:sz w:val="26"/>
          <w:szCs w:val="26"/>
          <w:lang w:eastAsia="en-US"/>
        </w:rPr>
      </w:pPr>
      <w:r w:rsidRPr="00361351">
        <w:rPr>
          <w:rFonts w:eastAsia="Calibri"/>
          <w:sz w:val="26"/>
          <w:szCs w:val="26"/>
          <w:lang w:eastAsia="en-US"/>
        </w:rPr>
        <w:t>El acto de este año conmemora el vigésimo aniversario de un acontecimiento histórico: la celebración en Beijing de la Cuarta Conferencia Mundial sobre la Mujer en 1995, (Beijing+20).</w:t>
      </w:r>
    </w:p>
    <w:p w14:paraId="00F35C60" w14:textId="77777777" w:rsidR="00361351" w:rsidRPr="00361351" w:rsidRDefault="00361351" w:rsidP="00361351">
      <w:pPr>
        <w:spacing w:after="360" w:line="360" w:lineRule="auto"/>
        <w:ind w:right="-159"/>
        <w:jc w:val="both"/>
        <w:rPr>
          <w:rFonts w:eastAsia="Calibri"/>
          <w:sz w:val="26"/>
          <w:szCs w:val="26"/>
          <w:lang w:eastAsia="en-US"/>
        </w:rPr>
      </w:pPr>
      <w:r w:rsidRPr="00361351">
        <w:rPr>
          <w:rFonts w:eastAsia="Calibri"/>
          <w:sz w:val="26"/>
          <w:szCs w:val="26"/>
          <w:lang w:eastAsia="en-US"/>
        </w:rPr>
        <w:t>El Presidente del FIDA pronunció el discurso de apertura en el que destacó que a medida que los hombres de las zonas rurales migran a zonas urbanas o cambian a trabajos mejor remunerados, se ha ido produciendo una “feminización de la agricultura”, de modo que en la actualidad aproximadamente la mitad de la fuerza de trabajo agrícola de todo el mundo está formada por mujeres.</w:t>
      </w:r>
    </w:p>
    <w:p w14:paraId="132B8906" w14:textId="77777777" w:rsidR="00361351" w:rsidRPr="00361351" w:rsidRDefault="00361351" w:rsidP="00361351">
      <w:pPr>
        <w:spacing w:after="360" w:line="360" w:lineRule="auto"/>
        <w:ind w:right="-159"/>
        <w:jc w:val="both"/>
        <w:rPr>
          <w:rFonts w:eastAsia="Calibri"/>
          <w:sz w:val="26"/>
          <w:szCs w:val="26"/>
          <w:lang w:eastAsia="en-US"/>
        </w:rPr>
      </w:pPr>
      <w:r w:rsidRPr="00361351">
        <w:rPr>
          <w:rFonts w:eastAsia="Calibri"/>
          <w:sz w:val="26"/>
          <w:szCs w:val="26"/>
          <w:lang w:eastAsia="en-US"/>
        </w:rPr>
        <w:t>“Las mujeres son el pilar de las comunidades rurales, ya que cultivan y elaboran los alimentos y se aseguran de que sus familias estén bien alimentadas y bien nutridas”, manifestó.</w:t>
      </w:r>
    </w:p>
    <w:p w14:paraId="08345CDD" w14:textId="30756293" w:rsidR="00361351" w:rsidRPr="00361351" w:rsidRDefault="00361351" w:rsidP="00361351">
      <w:pPr>
        <w:spacing w:after="360" w:line="360" w:lineRule="auto"/>
        <w:ind w:right="-159"/>
        <w:jc w:val="both"/>
        <w:rPr>
          <w:rFonts w:eastAsia="Calibri"/>
          <w:sz w:val="26"/>
          <w:szCs w:val="26"/>
          <w:lang w:eastAsia="en-US"/>
        </w:rPr>
      </w:pPr>
      <w:r w:rsidRPr="00361351">
        <w:rPr>
          <w:rFonts w:eastAsia="Calibri"/>
          <w:sz w:val="26"/>
          <w:szCs w:val="26"/>
          <w:lang w:eastAsia="en-US"/>
        </w:rPr>
        <w:t>“Con demasiada frecuencia, son las mujeres rurales quienes llevan a cabo las labores más pesadas. Para mejorar la consideración social y económica de las mujeres, es necesario aumentar el reconocimiento del importante papel que desempeñan en la economía rural. Las mujeres rurales necesitan más oportunidades de participar, mejorar sus conocimientos especializados, obtener acceso a los activos e intervenir en la producción y la comercialización de productos agrícolas. Colaboremos para dota</w:t>
      </w:r>
      <w:r w:rsidR="00BC772A">
        <w:rPr>
          <w:rFonts w:eastAsia="Calibri"/>
          <w:sz w:val="26"/>
          <w:szCs w:val="26"/>
          <w:lang w:eastAsia="en-US"/>
        </w:rPr>
        <w:t>r</w:t>
      </w:r>
      <w:r w:rsidRPr="00361351">
        <w:rPr>
          <w:rFonts w:eastAsia="Calibri"/>
          <w:sz w:val="26"/>
          <w:szCs w:val="26"/>
          <w:lang w:eastAsia="en-US"/>
        </w:rPr>
        <w:t xml:space="preserve"> de mayores capacidades a las mujeres a fin de lograr la seguridad alimentaria y nutricional. Por ellas y por sus familias y sus comunidades.”</w:t>
      </w:r>
    </w:p>
    <w:p w14:paraId="5BDB334F" w14:textId="77777777" w:rsidR="00361351" w:rsidRPr="00361351" w:rsidRDefault="00361351" w:rsidP="00361351">
      <w:pPr>
        <w:spacing w:after="360" w:line="360" w:lineRule="auto"/>
        <w:ind w:right="-159"/>
        <w:jc w:val="both"/>
        <w:rPr>
          <w:rFonts w:eastAsia="Calibri"/>
          <w:sz w:val="26"/>
          <w:szCs w:val="26"/>
          <w:lang w:eastAsia="en-US"/>
        </w:rPr>
      </w:pPr>
      <w:r w:rsidRPr="00361351">
        <w:rPr>
          <w:rFonts w:eastAsia="Calibri"/>
          <w:sz w:val="26"/>
          <w:szCs w:val="26"/>
          <w:lang w:eastAsia="en-US"/>
        </w:rPr>
        <w:t>La Directora Ejecutiva del PMA destacó la importancia de la innovadora Iniciativa “Compras para el Progreso”, que conecta a los pequeños agricultores con los mercados y que en cinco años ha triplicado la participación de las mujeres en las organizaciones de agricultores que reciben apoyo de esa Iniciativa en 20 países.</w:t>
      </w:r>
    </w:p>
    <w:p w14:paraId="034C358F" w14:textId="77777777" w:rsidR="00361351" w:rsidRPr="00361351" w:rsidRDefault="00361351" w:rsidP="00361351">
      <w:pPr>
        <w:spacing w:after="360" w:line="360" w:lineRule="auto"/>
        <w:ind w:right="-159"/>
        <w:jc w:val="both"/>
        <w:rPr>
          <w:rFonts w:eastAsia="Calibri"/>
          <w:sz w:val="26"/>
          <w:szCs w:val="26"/>
          <w:lang w:eastAsia="en-US"/>
        </w:rPr>
      </w:pPr>
      <w:r w:rsidRPr="00361351">
        <w:rPr>
          <w:rFonts w:eastAsia="Calibri"/>
          <w:sz w:val="26"/>
          <w:szCs w:val="26"/>
          <w:lang w:eastAsia="en-US"/>
        </w:rPr>
        <w:lastRenderedPageBreak/>
        <w:t>“Utilizando su poder de mercado, el PMA ha influido de forma directa y positiva en la vida de 300 mil mujeres,” aseveró. “Al comprar productos agrícolas que por tradición cultivan las mujeres, como frijoles y soja, el PMA ha demostrado la función crucial que desempeñan las mujeres rurales según colaboramos para lograr el objetivo del “hambre cero” en el mundo. Sin dejar de reconocer los buenos resultados de este programa, tenemos que ampliar la escala de las enseñanzas extraídas para lograr que las mujeres tengan más oportunidades.”</w:t>
      </w:r>
    </w:p>
    <w:p w14:paraId="1DAF4E46" w14:textId="77777777" w:rsidR="00361351" w:rsidRPr="00361351" w:rsidRDefault="00361351" w:rsidP="00361351">
      <w:pPr>
        <w:spacing w:after="360" w:line="360" w:lineRule="auto"/>
        <w:ind w:right="-159"/>
        <w:jc w:val="both"/>
        <w:rPr>
          <w:rFonts w:eastAsia="Calibri"/>
          <w:sz w:val="26"/>
          <w:szCs w:val="26"/>
          <w:lang w:eastAsia="en-US"/>
        </w:rPr>
      </w:pPr>
      <w:r w:rsidRPr="00361351">
        <w:rPr>
          <w:rFonts w:eastAsia="Calibri"/>
          <w:sz w:val="26"/>
          <w:szCs w:val="26"/>
          <w:lang w:eastAsia="en-US"/>
        </w:rPr>
        <w:t>La Directora de la Oficina de Asociaciones, Promoción Institucional y Desarrollo de la Capacidad de la FAO, puso de relieve que la seguridad alimentaria mejoraría considerablemente si las mujeres contaran con mayores capacidades y tuvieran acceso a las mismas oportunidades que tienen los hombres, y alertó sobre la situación de las mujeres rurales en particular.</w:t>
      </w:r>
    </w:p>
    <w:p w14:paraId="695A840F" w14:textId="77777777" w:rsidR="00361351" w:rsidRPr="00361351" w:rsidRDefault="00361351" w:rsidP="00361351">
      <w:pPr>
        <w:spacing w:after="360" w:line="360" w:lineRule="auto"/>
        <w:ind w:right="-159"/>
        <w:jc w:val="both"/>
        <w:rPr>
          <w:rFonts w:eastAsia="Calibri"/>
          <w:sz w:val="26"/>
          <w:szCs w:val="26"/>
          <w:lang w:eastAsia="en-US"/>
        </w:rPr>
      </w:pPr>
      <w:r w:rsidRPr="00361351">
        <w:rPr>
          <w:rFonts w:eastAsia="Calibri"/>
          <w:sz w:val="26"/>
          <w:szCs w:val="26"/>
          <w:lang w:eastAsia="en-US"/>
        </w:rPr>
        <w:t>“Es cierto que se han logrado muchos avances en mejorar la vida de las mujeres desde que se celebró la conferencia de Beijing, pero nos preocupa que las mujeres rurales sigan quedándose atrás en todos los indicadores de desarrollo, por detrás de los hombres rurales y de las mujeres urbanas”, agregó. “En los 20 años transcurridos desde que se celebró esa conferencia, no hemos conseguido avances suficientes para este grupo de mujeres, cuya función como proveedoras de alimentos es tan importante, y debemos intensificar nuestros esfuerzos para que puedan hacer realidad todo su potencial”.</w:t>
      </w:r>
    </w:p>
    <w:p w14:paraId="50891FDF" w14:textId="77777777" w:rsidR="00361351" w:rsidRPr="00361351" w:rsidRDefault="00361351" w:rsidP="00361351">
      <w:pPr>
        <w:spacing w:after="360" w:line="360" w:lineRule="auto"/>
        <w:ind w:right="-159"/>
        <w:jc w:val="both"/>
        <w:rPr>
          <w:rFonts w:eastAsia="Calibri"/>
          <w:sz w:val="26"/>
          <w:szCs w:val="26"/>
          <w:lang w:eastAsia="en-US"/>
        </w:rPr>
      </w:pPr>
      <w:r w:rsidRPr="00361351">
        <w:rPr>
          <w:rFonts w:eastAsia="Calibri"/>
          <w:sz w:val="26"/>
          <w:szCs w:val="26"/>
          <w:lang w:eastAsia="en-US"/>
        </w:rPr>
        <w:t>Las mujeres rurales suelen tener menos acceso que los hombres a los recursos y servicios productivos. Esta diferencia supone costos reales para la sociedad debido a las pérdidas que causa en la producción agrícola, la seguridad alimentaria y el crecimiento económico.</w:t>
      </w:r>
    </w:p>
    <w:p w14:paraId="3798817C" w14:textId="77777777" w:rsidR="00361351" w:rsidRPr="00361351" w:rsidRDefault="00361351" w:rsidP="00361351">
      <w:pPr>
        <w:spacing w:after="360" w:line="360" w:lineRule="auto"/>
        <w:ind w:right="-159"/>
        <w:jc w:val="both"/>
        <w:rPr>
          <w:rFonts w:eastAsia="Calibri"/>
          <w:sz w:val="26"/>
          <w:szCs w:val="26"/>
          <w:lang w:eastAsia="en-US"/>
        </w:rPr>
      </w:pPr>
      <w:r w:rsidRPr="00361351">
        <w:rPr>
          <w:rFonts w:eastAsia="Calibri"/>
          <w:sz w:val="26"/>
          <w:szCs w:val="26"/>
          <w:lang w:eastAsia="en-US"/>
        </w:rPr>
        <w:t xml:space="preserve">Los actos que se van a celebrar este año para conmemorar Beijing+20 son una oportunidad para que los organismos de las Naciones Unidas con sede en Roma, la comunidad internacional en su conjunto y los gobiernos nacionales reflexionen sobre </w:t>
      </w:r>
      <w:r w:rsidRPr="00361351">
        <w:rPr>
          <w:rFonts w:eastAsia="Calibri"/>
          <w:sz w:val="26"/>
          <w:szCs w:val="26"/>
          <w:lang w:eastAsia="en-US"/>
        </w:rPr>
        <w:lastRenderedPageBreak/>
        <w:t>los progresos realizados, señalen las carencias que todavía existen y renueven sus compromisos con la igualdad de género y el empoderamiento de la mujer.</w:t>
      </w:r>
    </w:p>
    <w:p w14:paraId="70AC32DB" w14:textId="77777777" w:rsidR="00361351" w:rsidRPr="00361351" w:rsidRDefault="00361351" w:rsidP="00361351">
      <w:pPr>
        <w:spacing w:after="360" w:line="360" w:lineRule="auto"/>
        <w:ind w:right="-159"/>
        <w:jc w:val="both"/>
        <w:rPr>
          <w:rFonts w:eastAsia="Calibri"/>
          <w:sz w:val="26"/>
          <w:szCs w:val="26"/>
          <w:lang w:eastAsia="en-US"/>
        </w:rPr>
      </w:pPr>
      <w:r w:rsidRPr="00361351">
        <w:rPr>
          <w:rFonts w:eastAsia="Calibri"/>
          <w:sz w:val="26"/>
          <w:szCs w:val="26"/>
          <w:lang w:eastAsia="en-US"/>
        </w:rPr>
        <w:t>A pesar del acuerdo histórico entre 189 gobiernos que supuso la Plataforma de Acción de Beijing de 1995, todavía no se ha logrado la igualdad de género en ningún país del mundo. La diferencia salarial entre hombres y mujeres no es más que un ejemplo de las desigualdades que afectan a las mujeres en todo el mundo.</w:t>
      </w:r>
    </w:p>
    <w:p w14:paraId="19280056" w14:textId="77777777" w:rsidR="00361351" w:rsidRPr="00361351" w:rsidRDefault="00361351" w:rsidP="00361351">
      <w:pPr>
        <w:ind w:right="-159"/>
        <w:jc w:val="both"/>
        <w:rPr>
          <w:rFonts w:eastAsia="Calibri"/>
          <w:sz w:val="20"/>
          <w:szCs w:val="20"/>
          <w:lang w:eastAsia="en-US"/>
        </w:rPr>
      </w:pPr>
      <w:r w:rsidRPr="00361351">
        <w:rPr>
          <w:rFonts w:eastAsia="Calibri"/>
          <w:b/>
          <w:sz w:val="20"/>
          <w:szCs w:val="20"/>
          <w:lang w:eastAsia="en-US"/>
        </w:rPr>
        <w:t>Fuente de información</w:t>
      </w:r>
      <w:r w:rsidRPr="00361351">
        <w:rPr>
          <w:rFonts w:eastAsia="Calibri"/>
          <w:sz w:val="20"/>
          <w:szCs w:val="20"/>
          <w:lang w:eastAsia="en-US"/>
        </w:rPr>
        <w:t>:</w:t>
      </w:r>
    </w:p>
    <w:p w14:paraId="2EA191A0" w14:textId="77777777" w:rsidR="00361351" w:rsidRPr="009177B7" w:rsidRDefault="0093224F" w:rsidP="009177B7">
      <w:pPr>
        <w:spacing w:after="720"/>
        <w:ind w:right="-159"/>
        <w:jc w:val="both"/>
        <w:rPr>
          <w:rFonts w:eastAsia="Calibri"/>
          <w:color w:val="0000FF"/>
          <w:sz w:val="20"/>
          <w:szCs w:val="20"/>
          <w:lang w:eastAsia="en-US"/>
        </w:rPr>
      </w:pPr>
      <w:hyperlink r:id="rId104" w:history="1">
        <w:r w:rsidR="00361351" w:rsidRPr="009177B7">
          <w:rPr>
            <w:rFonts w:eastAsia="Calibri"/>
            <w:color w:val="0000FF"/>
            <w:sz w:val="20"/>
            <w:szCs w:val="20"/>
            <w:u w:val="single"/>
            <w:lang w:eastAsia="en-US"/>
          </w:rPr>
          <w:t>http://www.fao.org/news/story/es/item/279611/icode/</w:t>
        </w:r>
      </w:hyperlink>
    </w:p>
    <w:p w14:paraId="6844ADCA" w14:textId="77777777" w:rsidR="006B79E5" w:rsidRPr="000E3A45" w:rsidRDefault="006B79E5" w:rsidP="006B79E5">
      <w:pPr>
        <w:autoSpaceDE w:val="0"/>
        <w:autoSpaceDN w:val="0"/>
        <w:adjustRightInd w:val="0"/>
        <w:spacing w:after="360" w:line="360" w:lineRule="auto"/>
        <w:ind w:right="-159"/>
        <w:jc w:val="both"/>
        <w:rPr>
          <w:b/>
          <w:sz w:val="28"/>
          <w:szCs w:val="28"/>
        </w:rPr>
      </w:pPr>
      <w:r w:rsidRPr="000E3A45">
        <w:rPr>
          <w:rFonts w:eastAsia="Calibri"/>
          <w:b/>
          <w:sz w:val="26"/>
          <w:szCs w:val="26"/>
          <w:lang w:eastAsia="en-US"/>
        </w:rPr>
        <w:t>Subsector Pecuario (SAGARPA)</w:t>
      </w:r>
    </w:p>
    <w:p w14:paraId="0267910E" w14:textId="77777777" w:rsidR="00F80A79" w:rsidRPr="00F80A79" w:rsidRDefault="00F80A79" w:rsidP="00F80A79">
      <w:pPr>
        <w:spacing w:after="360" w:line="360" w:lineRule="auto"/>
        <w:ind w:right="-159"/>
        <w:jc w:val="both"/>
        <w:rPr>
          <w:sz w:val="26"/>
          <w:szCs w:val="26"/>
        </w:rPr>
      </w:pPr>
      <w:r w:rsidRPr="00F80A79">
        <w:rPr>
          <w:sz w:val="26"/>
          <w:szCs w:val="26"/>
        </w:rPr>
        <w:t>De conformidad con información del Sistema de Información Agropecuaria (SIAP) de la Secretaría de Agricultura, Ganadería, Desarrollo Rural, Pesca y Alimentación (SAGARPA) señala que durante enero de 2015, la producción de leche de bovino y caprino fue de 905 mil 544 litros, cantidad que significó un aumento de 2.0% con relación a enero del año anterior. Específicamente, la producción de leche de bovino registró un aumento de 2.0% y contribuyó con el 98.6% del total del rubro, mientras que la de caprino creció 1.4% y participó con el 1.4% restante.</w:t>
      </w:r>
    </w:p>
    <w:p w14:paraId="5A347750" w14:textId="77777777" w:rsidR="00F80A79" w:rsidRPr="00F80A79" w:rsidRDefault="00F80A79" w:rsidP="00F80A79">
      <w:pPr>
        <w:spacing w:after="360" w:line="400" w:lineRule="exact"/>
        <w:ind w:right="-159"/>
        <w:jc w:val="both"/>
        <w:rPr>
          <w:sz w:val="26"/>
          <w:szCs w:val="26"/>
        </w:rPr>
      </w:pPr>
      <w:r w:rsidRPr="00F80A79">
        <w:rPr>
          <w:sz w:val="26"/>
          <w:szCs w:val="26"/>
        </w:rPr>
        <w:t>En enero del presente año, la producción total de carne en canal fue 500 mil 113 toneladas, cantidad 1.9% mayor a la observada en igual período de 2013. En particular, la producción de carne de aves fue de 234 mil 310 toneladas, lo que representó un aumento de 1.6% respecto a lo reportado en el mismo período del año anterior, y contribuyó con el 46.9% del total del rubro; por su parte, la producción de carne de porcino aumentó 2.7% y la de ovino 2.9%, participando con el 21.6 y 0.9%, en cada caso. Asimismo, la producción de carne de bovino registró un incremento de 1.8%, con una participación de 29.8%. Por el contrario la producción de carne de caprino disminuyó en 0.2%, con una participación de 0.6% y la producción de carne de guajolote disminuyó en 7.8% y contribuyó con el 0.3% del total.</w:t>
      </w:r>
    </w:p>
    <w:p w14:paraId="29D21EDE" w14:textId="40A0D99E" w:rsidR="00F80A79" w:rsidRPr="00F80A79" w:rsidRDefault="00F80A79" w:rsidP="00F80A79">
      <w:pPr>
        <w:spacing w:after="360" w:line="360" w:lineRule="auto"/>
        <w:ind w:right="-159"/>
        <w:jc w:val="both"/>
        <w:rPr>
          <w:sz w:val="26"/>
          <w:szCs w:val="26"/>
        </w:rPr>
      </w:pPr>
      <w:r w:rsidRPr="00F80A79">
        <w:rPr>
          <w:sz w:val="26"/>
          <w:szCs w:val="26"/>
        </w:rPr>
        <w:lastRenderedPageBreak/>
        <w:t xml:space="preserve">Por otro lado, en enero de 2015, la producción de huevo para plato aumentó 2.3%, la de miel </w:t>
      </w:r>
      <w:r w:rsidR="002C730F">
        <w:rPr>
          <w:sz w:val="26"/>
          <w:szCs w:val="26"/>
        </w:rPr>
        <w:t>se elevó</w:t>
      </w:r>
      <w:r w:rsidRPr="00F80A79">
        <w:rPr>
          <w:sz w:val="26"/>
          <w:szCs w:val="26"/>
        </w:rPr>
        <w:t xml:space="preserve"> 9.6% y la de cera en greña </w:t>
      </w:r>
      <w:r w:rsidR="002C730F">
        <w:rPr>
          <w:sz w:val="26"/>
          <w:szCs w:val="26"/>
        </w:rPr>
        <w:t>creció</w:t>
      </w:r>
      <w:r w:rsidRPr="00F80A79">
        <w:rPr>
          <w:sz w:val="26"/>
          <w:szCs w:val="26"/>
        </w:rPr>
        <w:t xml:space="preserve"> 23.0%. Por el contrario</w:t>
      </w:r>
      <w:r w:rsidR="002C730F">
        <w:rPr>
          <w:sz w:val="26"/>
          <w:szCs w:val="26"/>
        </w:rPr>
        <w:t>,</w:t>
      </w:r>
      <w:r w:rsidRPr="00F80A79">
        <w:rPr>
          <w:sz w:val="26"/>
          <w:szCs w:val="26"/>
        </w:rPr>
        <w:t xml:space="preserve"> la producción de lana sucia disminuyó en 1.1% respectivamente.</w:t>
      </w:r>
    </w:p>
    <w:tbl>
      <w:tblPr>
        <w:tblW w:w="88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73"/>
        <w:gridCol w:w="1515"/>
        <w:gridCol w:w="1453"/>
        <w:gridCol w:w="1440"/>
        <w:gridCol w:w="1080"/>
        <w:gridCol w:w="1080"/>
      </w:tblGrid>
      <w:tr w:rsidR="00F80A79" w:rsidRPr="00F80A79" w14:paraId="684D10FD" w14:textId="77777777" w:rsidTr="007907BD">
        <w:trPr>
          <w:jc w:val="center"/>
        </w:trPr>
        <w:tc>
          <w:tcPr>
            <w:tcW w:w="8841" w:type="dxa"/>
            <w:gridSpan w:val="6"/>
            <w:tcBorders>
              <w:top w:val="nil"/>
              <w:left w:val="nil"/>
              <w:bottom w:val="single" w:sz="4" w:space="0" w:color="auto"/>
              <w:right w:val="nil"/>
            </w:tcBorders>
          </w:tcPr>
          <w:p w14:paraId="11A1763F" w14:textId="77777777" w:rsidR="00F80A79" w:rsidRPr="00F80A79" w:rsidRDefault="00F80A79" w:rsidP="00F80A79">
            <w:pPr>
              <w:jc w:val="center"/>
              <w:rPr>
                <w:b/>
                <w:sz w:val="22"/>
                <w:szCs w:val="22"/>
              </w:rPr>
            </w:pPr>
            <w:r w:rsidRPr="00F80A79">
              <w:rPr>
                <w:b/>
                <w:sz w:val="22"/>
                <w:szCs w:val="22"/>
              </w:rPr>
              <w:t>PRODUCCIÓN PECUARIA</w:t>
            </w:r>
          </w:p>
          <w:p w14:paraId="7A4212D8" w14:textId="77777777" w:rsidR="00F80A79" w:rsidRPr="00F80A79" w:rsidRDefault="00F80A79" w:rsidP="00F80A79">
            <w:pPr>
              <w:jc w:val="center"/>
              <w:rPr>
                <w:b/>
                <w:sz w:val="22"/>
                <w:szCs w:val="22"/>
              </w:rPr>
            </w:pPr>
            <w:r w:rsidRPr="00F80A79">
              <w:rPr>
                <w:b/>
                <w:sz w:val="22"/>
                <w:szCs w:val="22"/>
              </w:rPr>
              <w:t>Enero 2014-2015</w:t>
            </w:r>
          </w:p>
          <w:p w14:paraId="53D9DF01" w14:textId="77777777" w:rsidR="00F80A79" w:rsidRPr="00F80A79" w:rsidRDefault="00F80A79" w:rsidP="00F80A79">
            <w:pPr>
              <w:ind w:right="-159"/>
              <w:jc w:val="center"/>
              <w:rPr>
                <w:b/>
                <w:sz w:val="20"/>
                <w:szCs w:val="20"/>
              </w:rPr>
            </w:pPr>
            <w:r w:rsidRPr="00F80A79">
              <w:rPr>
                <w:b/>
                <w:sz w:val="22"/>
                <w:szCs w:val="22"/>
              </w:rPr>
              <w:t>-Toneladas-</w:t>
            </w:r>
          </w:p>
        </w:tc>
      </w:tr>
      <w:tr w:rsidR="00F80A79" w:rsidRPr="00F80A79" w14:paraId="356D15D6" w14:textId="77777777" w:rsidTr="007907BD">
        <w:trPr>
          <w:jc w:val="center"/>
        </w:trPr>
        <w:tc>
          <w:tcPr>
            <w:tcW w:w="2273" w:type="dxa"/>
            <w:vMerge w:val="restart"/>
            <w:tcBorders>
              <w:top w:val="single" w:sz="4" w:space="0" w:color="auto"/>
              <w:left w:val="single" w:sz="4" w:space="0" w:color="auto"/>
              <w:bottom w:val="nil"/>
              <w:right w:val="single" w:sz="4" w:space="0" w:color="auto"/>
            </w:tcBorders>
            <w:vAlign w:val="center"/>
          </w:tcPr>
          <w:p w14:paraId="6F919BC4" w14:textId="77777777" w:rsidR="00F80A79" w:rsidRPr="00F80A79" w:rsidRDefault="00F80A79" w:rsidP="00F80A79">
            <w:pPr>
              <w:jc w:val="center"/>
              <w:rPr>
                <w:b/>
                <w:sz w:val="20"/>
                <w:szCs w:val="20"/>
              </w:rPr>
            </w:pPr>
            <w:bookmarkStart w:id="5" w:name="_Hlk259467240"/>
            <w:bookmarkStart w:id="6" w:name="_Hlk289423212"/>
            <w:bookmarkStart w:id="7" w:name="_Hlk297548133"/>
            <w:bookmarkStart w:id="8" w:name="_Hlk224117081"/>
            <w:r w:rsidRPr="00F80A79">
              <w:rPr>
                <w:b/>
                <w:sz w:val="20"/>
                <w:szCs w:val="20"/>
              </w:rPr>
              <w:t>Concepto</w:t>
            </w:r>
          </w:p>
        </w:tc>
        <w:tc>
          <w:tcPr>
            <w:tcW w:w="1515" w:type="dxa"/>
            <w:vMerge w:val="restart"/>
            <w:tcBorders>
              <w:top w:val="single" w:sz="4" w:space="0" w:color="auto"/>
              <w:left w:val="single" w:sz="4" w:space="0" w:color="auto"/>
              <w:bottom w:val="nil"/>
              <w:right w:val="single" w:sz="4" w:space="0" w:color="auto"/>
            </w:tcBorders>
            <w:vAlign w:val="center"/>
          </w:tcPr>
          <w:p w14:paraId="40119096" w14:textId="77777777" w:rsidR="00F80A79" w:rsidRPr="00F80A79" w:rsidRDefault="00F80A79" w:rsidP="00F80A79">
            <w:pPr>
              <w:jc w:val="center"/>
              <w:rPr>
                <w:b/>
                <w:sz w:val="20"/>
                <w:szCs w:val="20"/>
              </w:rPr>
            </w:pPr>
            <w:r w:rsidRPr="00F80A79">
              <w:rPr>
                <w:b/>
                <w:sz w:val="20"/>
                <w:szCs w:val="20"/>
              </w:rPr>
              <w:t>Pronóstico</w:t>
            </w:r>
          </w:p>
          <w:p w14:paraId="7CE490FF" w14:textId="77777777" w:rsidR="00F80A79" w:rsidRPr="00F80A79" w:rsidRDefault="00F80A79" w:rsidP="00F80A79">
            <w:pPr>
              <w:jc w:val="center"/>
              <w:rPr>
                <w:b/>
                <w:sz w:val="20"/>
                <w:szCs w:val="20"/>
              </w:rPr>
            </w:pPr>
            <w:r w:rsidRPr="00F80A79">
              <w:rPr>
                <w:b/>
                <w:sz w:val="20"/>
                <w:szCs w:val="20"/>
              </w:rPr>
              <w:t>2015</w:t>
            </w:r>
          </w:p>
        </w:tc>
        <w:tc>
          <w:tcPr>
            <w:tcW w:w="2893" w:type="dxa"/>
            <w:gridSpan w:val="2"/>
            <w:tcBorders>
              <w:top w:val="single" w:sz="4" w:space="0" w:color="auto"/>
              <w:left w:val="single" w:sz="4" w:space="0" w:color="auto"/>
              <w:bottom w:val="single" w:sz="4" w:space="0" w:color="auto"/>
              <w:right w:val="single" w:sz="4" w:space="0" w:color="auto"/>
            </w:tcBorders>
          </w:tcPr>
          <w:p w14:paraId="679B83EA" w14:textId="77777777" w:rsidR="00F80A79" w:rsidRPr="00F80A79" w:rsidRDefault="00F80A79" w:rsidP="00F80A79">
            <w:pPr>
              <w:jc w:val="center"/>
              <w:rPr>
                <w:b/>
                <w:sz w:val="20"/>
                <w:szCs w:val="20"/>
              </w:rPr>
            </w:pPr>
            <w:r w:rsidRPr="00F80A79">
              <w:rPr>
                <w:b/>
                <w:sz w:val="20"/>
                <w:szCs w:val="20"/>
              </w:rPr>
              <w:t>Enero</w:t>
            </w:r>
          </w:p>
        </w:tc>
        <w:tc>
          <w:tcPr>
            <w:tcW w:w="1080" w:type="dxa"/>
            <w:vMerge w:val="restart"/>
            <w:tcBorders>
              <w:top w:val="single" w:sz="4" w:space="0" w:color="auto"/>
              <w:left w:val="single" w:sz="4" w:space="0" w:color="auto"/>
              <w:right w:val="single" w:sz="4" w:space="0" w:color="auto"/>
            </w:tcBorders>
          </w:tcPr>
          <w:p w14:paraId="54209CD2" w14:textId="77777777" w:rsidR="00F80A79" w:rsidRPr="00F80A79" w:rsidRDefault="00F80A79" w:rsidP="00F80A79">
            <w:pPr>
              <w:jc w:val="center"/>
              <w:rPr>
                <w:b/>
                <w:sz w:val="20"/>
                <w:szCs w:val="20"/>
              </w:rPr>
            </w:pPr>
            <w:r w:rsidRPr="00F80A79">
              <w:rPr>
                <w:b/>
                <w:sz w:val="20"/>
                <w:szCs w:val="20"/>
              </w:rPr>
              <w:t>Variación %</w:t>
            </w:r>
          </w:p>
        </w:tc>
        <w:tc>
          <w:tcPr>
            <w:tcW w:w="1080" w:type="dxa"/>
            <w:vMerge w:val="restart"/>
            <w:tcBorders>
              <w:top w:val="single" w:sz="4" w:space="0" w:color="auto"/>
              <w:left w:val="single" w:sz="4" w:space="0" w:color="auto"/>
              <w:right w:val="single" w:sz="4" w:space="0" w:color="auto"/>
            </w:tcBorders>
            <w:vAlign w:val="center"/>
          </w:tcPr>
          <w:p w14:paraId="022D04F3" w14:textId="77777777" w:rsidR="00F80A79" w:rsidRPr="00F80A79" w:rsidRDefault="00F80A79" w:rsidP="00F80A79">
            <w:pPr>
              <w:jc w:val="center"/>
              <w:rPr>
                <w:b/>
                <w:sz w:val="20"/>
                <w:szCs w:val="20"/>
              </w:rPr>
            </w:pPr>
            <w:r w:rsidRPr="00F80A79">
              <w:rPr>
                <w:b/>
                <w:sz w:val="20"/>
                <w:szCs w:val="20"/>
              </w:rPr>
              <w:t>% de</w:t>
            </w:r>
          </w:p>
          <w:p w14:paraId="14239DE5" w14:textId="77777777" w:rsidR="00F80A79" w:rsidRPr="00F80A79" w:rsidRDefault="00F80A79" w:rsidP="00F80A79">
            <w:pPr>
              <w:jc w:val="center"/>
              <w:rPr>
                <w:b/>
                <w:sz w:val="20"/>
                <w:szCs w:val="20"/>
              </w:rPr>
            </w:pPr>
            <w:r w:rsidRPr="00F80A79">
              <w:rPr>
                <w:b/>
                <w:sz w:val="20"/>
                <w:szCs w:val="20"/>
              </w:rPr>
              <w:t>Avance</w:t>
            </w:r>
          </w:p>
        </w:tc>
      </w:tr>
      <w:tr w:rsidR="00F80A79" w:rsidRPr="00F80A79" w14:paraId="2E9E79A4" w14:textId="77777777" w:rsidTr="007907BD">
        <w:trPr>
          <w:jc w:val="center"/>
        </w:trPr>
        <w:tc>
          <w:tcPr>
            <w:tcW w:w="2273" w:type="dxa"/>
            <w:vMerge/>
            <w:tcBorders>
              <w:top w:val="nil"/>
              <w:left w:val="single" w:sz="4" w:space="0" w:color="auto"/>
              <w:bottom w:val="nil"/>
              <w:right w:val="single" w:sz="4" w:space="0" w:color="auto"/>
            </w:tcBorders>
          </w:tcPr>
          <w:p w14:paraId="34EB93B3" w14:textId="77777777" w:rsidR="00F80A79" w:rsidRPr="00F80A79" w:rsidRDefault="00F80A79" w:rsidP="00F80A79">
            <w:pPr>
              <w:jc w:val="center"/>
              <w:rPr>
                <w:b/>
                <w:sz w:val="20"/>
                <w:szCs w:val="20"/>
              </w:rPr>
            </w:pPr>
          </w:p>
        </w:tc>
        <w:tc>
          <w:tcPr>
            <w:tcW w:w="1515" w:type="dxa"/>
            <w:vMerge/>
            <w:tcBorders>
              <w:top w:val="nil"/>
              <w:left w:val="single" w:sz="4" w:space="0" w:color="auto"/>
              <w:bottom w:val="nil"/>
              <w:right w:val="single" w:sz="4" w:space="0" w:color="auto"/>
            </w:tcBorders>
            <w:vAlign w:val="center"/>
          </w:tcPr>
          <w:p w14:paraId="4C8E1584" w14:textId="77777777" w:rsidR="00F80A79" w:rsidRPr="00F80A79" w:rsidRDefault="00F80A79" w:rsidP="00F80A79">
            <w:pPr>
              <w:jc w:val="center"/>
              <w:rPr>
                <w:b/>
                <w:sz w:val="20"/>
                <w:szCs w:val="20"/>
              </w:rPr>
            </w:pPr>
          </w:p>
        </w:tc>
        <w:tc>
          <w:tcPr>
            <w:tcW w:w="1453" w:type="dxa"/>
            <w:tcBorders>
              <w:top w:val="single" w:sz="4" w:space="0" w:color="auto"/>
              <w:left w:val="single" w:sz="4" w:space="0" w:color="auto"/>
              <w:bottom w:val="nil"/>
              <w:right w:val="single" w:sz="4" w:space="0" w:color="auto"/>
            </w:tcBorders>
          </w:tcPr>
          <w:p w14:paraId="01DC3A7B" w14:textId="77777777" w:rsidR="00F80A79" w:rsidRPr="00F80A79" w:rsidRDefault="00F80A79" w:rsidP="00F80A79">
            <w:pPr>
              <w:jc w:val="center"/>
              <w:rPr>
                <w:b/>
                <w:sz w:val="20"/>
                <w:szCs w:val="20"/>
              </w:rPr>
            </w:pPr>
            <w:r w:rsidRPr="00F80A79">
              <w:rPr>
                <w:b/>
                <w:sz w:val="20"/>
                <w:szCs w:val="20"/>
              </w:rPr>
              <w:t>2014</w:t>
            </w:r>
          </w:p>
        </w:tc>
        <w:tc>
          <w:tcPr>
            <w:tcW w:w="1440" w:type="dxa"/>
            <w:tcBorders>
              <w:top w:val="single" w:sz="4" w:space="0" w:color="auto"/>
              <w:left w:val="single" w:sz="4" w:space="0" w:color="auto"/>
              <w:bottom w:val="nil"/>
              <w:right w:val="single" w:sz="4" w:space="0" w:color="auto"/>
            </w:tcBorders>
          </w:tcPr>
          <w:p w14:paraId="78BC25C5" w14:textId="77777777" w:rsidR="00F80A79" w:rsidRPr="00F80A79" w:rsidRDefault="00F80A79" w:rsidP="00F80A79">
            <w:pPr>
              <w:jc w:val="center"/>
              <w:rPr>
                <w:b/>
                <w:sz w:val="20"/>
                <w:szCs w:val="20"/>
              </w:rPr>
            </w:pPr>
            <w:r w:rsidRPr="00F80A79">
              <w:rPr>
                <w:b/>
                <w:sz w:val="20"/>
                <w:szCs w:val="20"/>
              </w:rPr>
              <w:t>2015*</w:t>
            </w:r>
          </w:p>
        </w:tc>
        <w:tc>
          <w:tcPr>
            <w:tcW w:w="1080" w:type="dxa"/>
            <w:vMerge/>
            <w:tcBorders>
              <w:left w:val="single" w:sz="4" w:space="0" w:color="auto"/>
              <w:bottom w:val="nil"/>
              <w:right w:val="single" w:sz="4" w:space="0" w:color="auto"/>
            </w:tcBorders>
          </w:tcPr>
          <w:p w14:paraId="6501F366" w14:textId="77777777" w:rsidR="00F80A79" w:rsidRPr="00F80A79" w:rsidRDefault="00F80A79" w:rsidP="00F80A79">
            <w:pPr>
              <w:jc w:val="center"/>
              <w:rPr>
                <w:b/>
                <w:sz w:val="20"/>
                <w:szCs w:val="20"/>
              </w:rPr>
            </w:pPr>
          </w:p>
        </w:tc>
        <w:tc>
          <w:tcPr>
            <w:tcW w:w="1080" w:type="dxa"/>
            <w:vMerge/>
            <w:tcBorders>
              <w:left w:val="single" w:sz="4" w:space="0" w:color="auto"/>
              <w:right w:val="single" w:sz="4" w:space="0" w:color="auto"/>
            </w:tcBorders>
          </w:tcPr>
          <w:p w14:paraId="16E37223" w14:textId="77777777" w:rsidR="00F80A79" w:rsidRPr="00F80A79" w:rsidRDefault="00F80A79" w:rsidP="00F80A79">
            <w:pPr>
              <w:jc w:val="center"/>
              <w:rPr>
                <w:b/>
                <w:sz w:val="20"/>
                <w:szCs w:val="20"/>
              </w:rPr>
            </w:pPr>
          </w:p>
        </w:tc>
      </w:tr>
      <w:tr w:rsidR="00F80A79" w:rsidRPr="00F80A79" w14:paraId="37F15335" w14:textId="77777777" w:rsidTr="007907BD">
        <w:trPr>
          <w:jc w:val="center"/>
        </w:trPr>
        <w:tc>
          <w:tcPr>
            <w:tcW w:w="2273" w:type="dxa"/>
            <w:vMerge/>
            <w:tcBorders>
              <w:top w:val="nil"/>
              <w:left w:val="single" w:sz="4" w:space="0" w:color="auto"/>
              <w:bottom w:val="single" w:sz="4" w:space="0" w:color="auto"/>
              <w:right w:val="single" w:sz="4" w:space="0" w:color="auto"/>
            </w:tcBorders>
          </w:tcPr>
          <w:p w14:paraId="10AD42A7" w14:textId="77777777" w:rsidR="00F80A79" w:rsidRPr="00F80A79" w:rsidRDefault="00F80A79" w:rsidP="00F80A79">
            <w:pPr>
              <w:jc w:val="center"/>
              <w:rPr>
                <w:b/>
                <w:sz w:val="20"/>
                <w:szCs w:val="20"/>
              </w:rPr>
            </w:pPr>
          </w:p>
        </w:tc>
        <w:tc>
          <w:tcPr>
            <w:tcW w:w="1515" w:type="dxa"/>
            <w:vMerge/>
            <w:tcBorders>
              <w:top w:val="nil"/>
              <w:left w:val="single" w:sz="4" w:space="0" w:color="auto"/>
              <w:bottom w:val="single" w:sz="4" w:space="0" w:color="auto"/>
              <w:right w:val="single" w:sz="4" w:space="0" w:color="auto"/>
            </w:tcBorders>
            <w:vAlign w:val="center"/>
          </w:tcPr>
          <w:p w14:paraId="61E2AB60" w14:textId="77777777" w:rsidR="00F80A79" w:rsidRPr="00F80A79" w:rsidRDefault="00F80A79" w:rsidP="00F80A79">
            <w:pPr>
              <w:jc w:val="center"/>
              <w:rPr>
                <w:b/>
                <w:sz w:val="20"/>
                <w:szCs w:val="20"/>
              </w:rPr>
            </w:pPr>
          </w:p>
        </w:tc>
        <w:tc>
          <w:tcPr>
            <w:tcW w:w="1453" w:type="dxa"/>
            <w:tcBorders>
              <w:top w:val="nil"/>
              <w:left w:val="single" w:sz="4" w:space="0" w:color="auto"/>
              <w:bottom w:val="single" w:sz="4" w:space="0" w:color="auto"/>
              <w:right w:val="single" w:sz="4" w:space="0" w:color="auto"/>
            </w:tcBorders>
          </w:tcPr>
          <w:p w14:paraId="4FD5703E" w14:textId="77777777" w:rsidR="00F80A79" w:rsidRPr="00F80A79" w:rsidRDefault="00F80A79" w:rsidP="00F80A79">
            <w:pPr>
              <w:jc w:val="center"/>
              <w:rPr>
                <w:b/>
                <w:sz w:val="20"/>
                <w:szCs w:val="20"/>
              </w:rPr>
            </w:pPr>
            <w:r w:rsidRPr="00F80A79">
              <w:rPr>
                <w:b/>
                <w:sz w:val="20"/>
                <w:szCs w:val="20"/>
              </w:rPr>
              <w:t>(a)</w:t>
            </w:r>
          </w:p>
        </w:tc>
        <w:tc>
          <w:tcPr>
            <w:tcW w:w="1440" w:type="dxa"/>
            <w:tcBorders>
              <w:top w:val="nil"/>
              <w:left w:val="single" w:sz="4" w:space="0" w:color="auto"/>
              <w:bottom w:val="single" w:sz="4" w:space="0" w:color="auto"/>
              <w:right w:val="single" w:sz="4" w:space="0" w:color="auto"/>
            </w:tcBorders>
          </w:tcPr>
          <w:p w14:paraId="4A3FE9B7" w14:textId="77777777" w:rsidR="00F80A79" w:rsidRPr="00F80A79" w:rsidRDefault="00F80A79" w:rsidP="00F80A79">
            <w:pPr>
              <w:jc w:val="center"/>
              <w:rPr>
                <w:b/>
                <w:sz w:val="20"/>
                <w:szCs w:val="20"/>
              </w:rPr>
            </w:pPr>
            <w:r w:rsidRPr="00F80A79">
              <w:rPr>
                <w:b/>
                <w:sz w:val="20"/>
                <w:szCs w:val="20"/>
              </w:rPr>
              <w:t>(b)</w:t>
            </w:r>
          </w:p>
        </w:tc>
        <w:tc>
          <w:tcPr>
            <w:tcW w:w="1080" w:type="dxa"/>
            <w:tcBorders>
              <w:top w:val="nil"/>
              <w:left w:val="single" w:sz="4" w:space="0" w:color="auto"/>
              <w:bottom w:val="single" w:sz="4" w:space="0" w:color="auto"/>
              <w:right w:val="single" w:sz="4" w:space="0" w:color="auto"/>
            </w:tcBorders>
          </w:tcPr>
          <w:p w14:paraId="10F6009A" w14:textId="77777777" w:rsidR="00F80A79" w:rsidRPr="00F80A79" w:rsidRDefault="00F80A79" w:rsidP="00F80A79">
            <w:pPr>
              <w:jc w:val="center"/>
              <w:rPr>
                <w:b/>
                <w:sz w:val="20"/>
                <w:szCs w:val="20"/>
              </w:rPr>
            </w:pPr>
            <w:r w:rsidRPr="00F80A79">
              <w:rPr>
                <w:b/>
                <w:sz w:val="20"/>
                <w:szCs w:val="20"/>
              </w:rPr>
              <w:t>(b)/(a)</w:t>
            </w:r>
          </w:p>
        </w:tc>
        <w:tc>
          <w:tcPr>
            <w:tcW w:w="1080" w:type="dxa"/>
            <w:vMerge/>
            <w:tcBorders>
              <w:left w:val="single" w:sz="4" w:space="0" w:color="auto"/>
              <w:bottom w:val="single" w:sz="4" w:space="0" w:color="auto"/>
              <w:right w:val="single" w:sz="4" w:space="0" w:color="auto"/>
            </w:tcBorders>
          </w:tcPr>
          <w:p w14:paraId="4881D5BB" w14:textId="77777777" w:rsidR="00F80A79" w:rsidRPr="00F80A79" w:rsidRDefault="00F80A79" w:rsidP="00F80A79">
            <w:pPr>
              <w:jc w:val="center"/>
              <w:rPr>
                <w:b/>
                <w:sz w:val="20"/>
                <w:szCs w:val="20"/>
              </w:rPr>
            </w:pPr>
          </w:p>
        </w:tc>
      </w:tr>
      <w:tr w:rsidR="00F80A79" w:rsidRPr="00F80A79" w14:paraId="1DC7C2BC" w14:textId="77777777" w:rsidTr="007907BD">
        <w:trPr>
          <w:jc w:val="center"/>
        </w:trPr>
        <w:tc>
          <w:tcPr>
            <w:tcW w:w="2273" w:type="dxa"/>
            <w:tcBorders>
              <w:top w:val="single" w:sz="4" w:space="0" w:color="auto"/>
              <w:left w:val="single" w:sz="4" w:space="0" w:color="auto"/>
              <w:bottom w:val="nil"/>
              <w:right w:val="single" w:sz="4" w:space="0" w:color="auto"/>
            </w:tcBorders>
          </w:tcPr>
          <w:p w14:paraId="4011DDCA" w14:textId="77777777" w:rsidR="00F80A79" w:rsidRPr="00F80A79" w:rsidRDefault="00F80A79" w:rsidP="00F80A79">
            <w:pPr>
              <w:rPr>
                <w:b/>
                <w:sz w:val="20"/>
                <w:szCs w:val="20"/>
              </w:rPr>
            </w:pPr>
            <w:bookmarkStart w:id="9" w:name="_Hlk204668249"/>
            <w:bookmarkEnd w:id="5"/>
            <w:r w:rsidRPr="00F80A79">
              <w:rPr>
                <w:b/>
                <w:sz w:val="20"/>
                <w:szCs w:val="20"/>
              </w:rPr>
              <w:t>Leche (miles de litros)</w:t>
            </w:r>
          </w:p>
        </w:tc>
        <w:tc>
          <w:tcPr>
            <w:tcW w:w="1515" w:type="dxa"/>
            <w:tcBorders>
              <w:top w:val="single" w:sz="4" w:space="0" w:color="auto"/>
              <w:left w:val="single" w:sz="4" w:space="0" w:color="auto"/>
              <w:bottom w:val="nil"/>
              <w:right w:val="single" w:sz="4" w:space="0" w:color="auto"/>
            </w:tcBorders>
          </w:tcPr>
          <w:p w14:paraId="08765771" w14:textId="77777777" w:rsidR="00F80A79" w:rsidRPr="00F80A79" w:rsidRDefault="00F80A79" w:rsidP="00F80A79">
            <w:pPr>
              <w:ind w:right="227"/>
              <w:jc w:val="right"/>
              <w:rPr>
                <w:b/>
                <w:sz w:val="20"/>
                <w:szCs w:val="20"/>
              </w:rPr>
            </w:pPr>
            <w:r w:rsidRPr="00F80A79">
              <w:rPr>
                <w:b/>
                <w:sz w:val="20"/>
                <w:szCs w:val="20"/>
              </w:rPr>
              <w:t>11 497 988</w:t>
            </w:r>
          </w:p>
        </w:tc>
        <w:tc>
          <w:tcPr>
            <w:tcW w:w="1453" w:type="dxa"/>
            <w:tcBorders>
              <w:top w:val="single" w:sz="4" w:space="0" w:color="auto"/>
              <w:left w:val="single" w:sz="4" w:space="0" w:color="auto"/>
              <w:bottom w:val="nil"/>
              <w:right w:val="single" w:sz="4" w:space="0" w:color="auto"/>
            </w:tcBorders>
          </w:tcPr>
          <w:p w14:paraId="3F054159" w14:textId="77777777" w:rsidR="00F80A79" w:rsidRPr="00F80A79" w:rsidRDefault="00F80A79" w:rsidP="00F80A79">
            <w:pPr>
              <w:ind w:right="227"/>
              <w:jc w:val="right"/>
              <w:rPr>
                <w:b/>
                <w:sz w:val="20"/>
                <w:szCs w:val="20"/>
              </w:rPr>
            </w:pPr>
            <w:r w:rsidRPr="00F80A79">
              <w:rPr>
                <w:b/>
                <w:sz w:val="20"/>
                <w:szCs w:val="20"/>
              </w:rPr>
              <w:t>887 670</w:t>
            </w:r>
          </w:p>
        </w:tc>
        <w:tc>
          <w:tcPr>
            <w:tcW w:w="1440" w:type="dxa"/>
            <w:tcBorders>
              <w:top w:val="single" w:sz="4" w:space="0" w:color="auto"/>
              <w:left w:val="single" w:sz="4" w:space="0" w:color="auto"/>
              <w:bottom w:val="nil"/>
              <w:right w:val="single" w:sz="4" w:space="0" w:color="auto"/>
            </w:tcBorders>
          </w:tcPr>
          <w:p w14:paraId="47A8CF1E" w14:textId="77777777" w:rsidR="00F80A79" w:rsidRPr="00F80A79" w:rsidRDefault="00F80A79" w:rsidP="00F80A79">
            <w:pPr>
              <w:ind w:right="227"/>
              <w:jc w:val="right"/>
              <w:rPr>
                <w:b/>
                <w:sz w:val="20"/>
                <w:szCs w:val="20"/>
              </w:rPr>
            </w:pPr>
            <w:r w:rsidRPr="00F80A79">
              <w:rPr>
                <w:b/>
                <w:sz w:val="20"/>
                <w:szCs w:val="20"/>
              </w:rPr>
              <w:t>905 544</w:t>
            </w:r>
          </w:p>
        </w:tc>
        <w:tc>
          <w:tcPr>
            <w:tcW w:w="1080" w:type="dxa"/>
            <w:tcBorders>
              <w:top w:val="single" w:sz="4" w:space="0" w:color="auto"/>
              <w:left w:val="single" w:sz="4" w:space="0" w:color="auto"/>
              <w:bottom w:val="nil"/>
              <w:right w:val="single" w:sz="4" w:space="0" w:color="auto"/>
            </w:tcBorders>
          </w:tcPr>
          <w:p w14:paraId="321E9F4B" w14:textId="77777777" w:rsidR="00F80A79" w:rsidRPr="00F80A79" w:rsidRDefault="00F80A79" w:rsidP="00F80A79">
            <w:pPr>
              <w:ind w:right="284"/>
              <w:jc w:val="right"/>
              <w:rPr>
                <w:b/>
                <w:sz w:val="20"/>
                <w:szCs w:val="20"/>
              </w:rPr>
            </w:pPr>
            <w:r w:rsidRPr="00F80A79">
              <w:rPr>
                <w:b/>
                <w:sz w:val="20"/>
                <w:szCs w:val="20"/>
              </w:rPr>
              <w:t>2.0</w:t>
            </w:r>
          </w:p>
        </w:tc>
        <w:tc>
          <w:tcPr>
            <w:tcW w:w="1080" w:type="dxa"/>
            <w:tcBorders>
              <w:top w:val="single" w:sz="4" w:space="0" w:color="auto"/>
              <w:left w:val="single" w:sz="4" w:space="0" w:color="auto"/>
              <w:bottom w:val="nil"/>
              <w:right w:val="single" w:sz="4" w:space="0" w:color="auto"/>
            </w:tcBorders>
          </w:tcPr>
          <w:p w14:paraId="5BD1E194" w14:textId="77777777" w:rsidR="00F80A79" w:rsidRPr="00F80A79" w:rsidRDefault="00F80A79" w:rsidP="00F80A79">
            <w:pPr>
              <w:ind w:right="284"/>
              <w:jc w:val="right"/>
              <w:rPr>
                <w:b/>
                <w:sz w:val="20"/>
                <w:szCs w:val="20"/>
              </w:rPr>
            </w:pPr>
            <w:r w:rsidRPr="00F80A79">
              <w:rPr>
                <w:b/>
                <w:sz w:val="20"/>
                <w:szCs w:val="20"/>
              </w:rPr>
              <w:t>7.9</w:t>
            </w:r>
          </w:p>
        </w:tc>
      </w:tr>
      <w:tr w:rsidR="00F80A79" w:rsidRPr="00F80A79" w14:paraId="198413D4" w14:textId="77777777" w:rsidTr="007907BD">
        <w:trPr>
          <w:jc w:val="center"/>
        </w:trPr>
        <w:tc>
          <w:tcPr>
            <w:tcW w:w="2273" w:type="dxa"/>
            <w:tcBorders>
              <w:top w:val="nil"/>
              <w:left w:val="single" w:sz="4" w:space="0" w:color="auto"/>
              <w:bottom w:val="nil"/>
              <w:right w:val="single" w:sz="4" w:space="0" w:color="auto"/>
            </w:tcBorders>
          </w:tcPr>
          <w:p w14:paraId="13866337" w14:textId="77777777" w:rsidR="00F80A79" w:rsidRPr="00F80A79" w:rsidRDefault="00F80A79" w:rsidP="00F80A79">
            <w:pPr>
              <w:ind w:left="113"/>
              <w:rPr>
                <w:sz w:val="20"/>
                <w:szCs w:val="20"/>
              </w:rPr>
            </w:pPr>
            <w:r w:rsidRPr="00F80A79">
              <w:rPr>
                <w:sz w:val="20"/>
                <w:szCs w:val="20"/>
              </w:rPr>
              <w:t>Bovino</w:t>
            </w:r>
          </w:p>
        </w:tc>
        <w:tc>
          <w:tcPr>
            <w:tcW w:w="1515" w:type="dxa"/>
            <w:tcBorders>
              <w:top w:val="nil"/>
              <w:left w:val="single" w:sz="4" w:space="0" w:color="auto"/>
              <w:bottom w:val="nil"/>
              <w:right w:val="single" w:sz="4" w:space="0" w:color="auto"/>
            </w:tcBorders>
          </w:tcPr>
          <w:p w14:paraId="2599024F" w14:textId="77777777" w:rsidR="00F80A79" w:rsidRPr="00F80A79" w:rsidRDefault="00F80A79" w:rsidP="00F80A79">
            <w:pPr>
              <w:ind w:right="227"/>
              <w:jc w:val="right"/>
              <w:rPr>
                <w:sz w:val="20"/>
                <w:szCs w:val="20"/>
              </w:rPr>
            </w:pPr>
            <w:r w:rsidRPr="00F80A79">
              <w:rPr>
                <w:sz w:val="20"/>
                <w:szCs w:val="20"/>
              </w:rPr>
              <w:t>11 342 273</w:t>
            </w:r>
          </w:p>
        </w:tc>
        <w:tc>
          <w:tcPr>
            <w:tcW w:w="1453" w:type="dxa"/>
            <w:tcBorders>
              <w:top w:val="nil"/>
              <w:left w:val="single" w:sz="4" w:space="0" w:color="auto"/>
              <w:bottom w:val="nil"/>
              <w:right w:val="single" w:sz="4" w:space="0" w:color="auto"/>
            </w:tcBorders>
          </w:tcPr>
          <w:p w14:paraId="79FA558E" w14:textId="77777777" w:rsidR="00F80A79" w:rsidRPr="00F80A79" w:rsidRDefault="00F80A79" w:rsidP="00F80A79">
            <w:pPr>
              <w:ind w:right="227"/>
              <w:jc w:val="right"/>
              <w:rPr>
                <w:sz w:val="20"/>
                <w:szCs w:val="20"/>
              </w:rPr>
            </w:pPr>
            <w:r w:rsidRPr="00F80A79">
              <w:rPr>
                <w:sz w:val="20"/>
                <w:szCs w:val="20"/>
              </w:rPr>
              <w:t>875 046</w:t>
            </w:r>
          </w:p>
        </w:tc>
        <w:tc>
          <w:tcPr>
            <w:tcW w:w="1440" w:type="dxa"/>
            <w:tcBorders>
              <w:top w:val="nil"/>
              <w:left w:val="single" w:sz="4" w:space="0" w:color="auto"/>
              <w:bottom w:val="nil"/>
              <w:right w:val="single" w:sz="4" w:space="0" w:color="auto"/>
            </w:tcBorders>
          </w:tcPr>
          <w:p w14:paraId="13B12605" w14:textId="77777777" w:rsidR="00F80A79" w:rsidRPr="00F80A79" w:rsidRDefault="00F80A79" w:rsidP="00F80A79">
            <w:pPr>
              <w:ind w:right="227"/>
              <w:jc w:val="right"/>
              <w:rPr>
                <w:sz w:val="20"/>
                <w:szCs w:val="20"/>
              </w:rPr>
            </w:pPr>
            <w:r w:rsidRPr="00F80A79">
              <w:rPr>
                <w:sz w:val="20"/>
                <w:szCs w:val="20"/>
              </w:rPr>
              <w:t>892 746</w:t>
            </w:r>
          </w:p>
        </w:tc>
        <w:tc>
          <w:tcPr>
            <w:tcW w:w="1080" w:type="dxa"/>
            <w:tcBorders>
              <w:top w:val="nil"/>
              <w:left w:val="single" w:sz="4" w:space="0" w:color="auto"/>
              <w:bottom w:val="nil"/>
              <w:right w:val="single" w:sz="4" w:space="0" w:color="auto"/>
            </w:tcBorders>
          </w:tcPr>
          <w:p w14:paraId="0E0C43FE" w14:textId="77777777" w:rsidR="00F80A79" w:rsidRPr="00F80A79" w:rsidRDefault="00F80A79" w:rsidP="00F80A79">
            <w:pPr>
              <w:ind w:right="284"/>
              <w:jc w:val="right"/>
              <w:rPr>
                <w:sz w:val="20"/>
                <w:szCs w:val="20"/>
              </w:rPr>
            </w:pPr>
            <w:r w:rsidRPr="00F80A79">
              <w:rPr>
                <w:sz w:val="20"/>
                <w:szCs w:val="20"/>
              </w:rPr>
              <w:t>2.0</w:t>
            </w:r>
          </w:p>
        </w:tc>
        <w:tc>
          <w:tcPr>
            <w:tcW w:w="1080" w:type="dxa"/>
            <w:tcBorders>
              <w:top w:val="nil"/>
              <w:left w:val="single" w:sz="4" w:space="0" w:color="auto"/>
              <w:bottom w:val="nil"/>
              <w:right w:val="single" w:sz="4" w:space="0" w:color="auto"/>
            </w:tcBorders>
          </w:tcPr>
          <w:p w14:paraId="07992744" w14:textId="77777777" w:rsidR="00F80A79" w:rsidRPr="00F80A79" w:rsidRDefault="00F80A79" w:rsidP="00F80A79">
            <w:pPr>
              <w:ind w:right="284"/>
              <w:jc w:val="right"/>
              <w:rPr>
                <w:sz w:val="20"/>
                <w:szCs w:val="20"/>
              </w:rPr>
            </w:pPr>
            <w:r w:rsidRPr="00F80A79">
              <w:rPr>
                <w:sz w:val="20"/>
                <w:szCs w:val="20"/>
              </w:rPr>
              <w:t>7.9</w:t>
            </w:r>
          </w:p>
        </w:tc>
      </w:tr>
      <w:tr w:rsidR="00F80A79" w:rsidRPr="00F80A79" w14:paraId="38710A82" w14:textId="77777777" w:rsidTr="007907BD">
        <w:trPr>
          <w:jc w:val="center"/>
        </w:trPr>
        <w:tc>
          <w:tcPr>
            <w:tcW w:w="2273" w:type="dxa"/>
            <w:tcBorders>
              <w:top w:val="nil"/>
              <w:left w:val="single" w:sz="4" w:space="0" w:color="auto"/>
              <w:bottom w:val="nil"/>
              <w:right w:val="single" w:sz="4" w:space="0" w:color="auto"/>
            </w:tcBorders>
          </w:tcPr>
          <w:p w14:paraId="7AF9615C" w14:textId="77777777" w:rsidR="00F80A79" w:rsidRPr="00F80A79" w:rsidRDefault="00F80A79" w:rsidP="00F80A79">
            <w:pPr>
              <w:ind w:left="113"/>
              <w:rPr>
                <w:sz w:val="20"/>
                <w:szCs w:val="20"/>
              </w:rPr>
            </w:pPr>
            <w:r w:rsidRPr="00F80A79">
              <w:rPr>
                <w:sz w:val="20"/>
                <w:szCs w:val="20"/>
              </w:rPr>
              <w:t>Caprino</w:t>
            </w:r>
          </w:p>
        </w:tc>
        <w:tc>
          <w:tcPr>
            <w:tcW w:w="1515" w:type="dxa"/>
            <w:tcBorders>
              <w:top w:val="nil"/>
              <w:left w:val="single" w:sz="4" w:space="0" w:color="auto"/>
              <w:bottom w:val="nil"/>
              <w:right w:val="single" w:sz="4" w:space="0" w:color="auto"/>
            </w:tcBorders>
          </w:tcPr>
          <w:p w14:paraId="4C191336" w14:textId="77777777" w:rsidR="00F80A79" w:rsidRPr="00F80A79" w:rsidRDefault="00F80A79" w:rsidP="00F80A79">
            <w:pPr>
              <w:ind w:right="227"/>
              <w:jc w:val="right"/>
              <w:rPr>
                <w:sz w:val="20"/>
                <w:szCs w:val="20"/>
              </w:rPr>
            </w:pPr>
            <w:r w:rsidRPr="00F80A79">
              <w:rPr>
                <w:sz w:val="20"/>
                <w:szCs w:val="20"/>
              </w:rPr>
              <w:t>155 715</w:t>
            </w:r>
          </w:p>
        </w:tc>
        <w:tc>
          <w:tcPr>
            <w:tcW w:w="1453" w:type="dxa"/>
            <w:tcBorders>
              <w:top w:val="nil"/>
              <w:left w:val="single" w:sz="4" w:space="0" w:color="auto"/>
              <w:bottom w:val="nil"/>
              <w:right w:val="single" w:sz="4" w:space="0" w:color="auto"/>
            </w:tcBorders>
          </w:tcPr>
          <w:p w14:paraId="7902E424" w14:textId="77777777" w:rsidR="00F80A79" w:rsidRPr="00F80A79" w:rsidRDefault="00F80A79" w:rsidP="00F80A79">
            <w:pPr>
              <w:ind w:right="227"/>
              <w:jc w:val="right"/>
              <w:rPr>
                <w:sz w:val="20"/>
                <w:szCs w:val="20"/>
              </w:rPr>
            </w:pPr>
            <w:r w:rsidRPr="00F80A79">
              <w:rPr>
                <w:sz w:val="20"/>
                <w:szCs w:val="20"/>
              </w:rPr>
              <w:t>12 624</w:t>
            </w:r>
          </w:p>
        </w:tc>
        <w:tc>
          <w:tcPr>
            <w:tcW w:w="1440" w:type="dxa"/>
            <w:tcBorders>
              <w:top w:val="nil"/>
              <w:left w:val="single" w:sz="4" w:space="0" w:color="auto"/>
              <w:bottom w:val="nil"/>
              <w:right w:val="single" w:sz="4" w:space="0" w:color="auto"/>
            </w:tcBorders>
          </w:tcPr>
          <w:p w14:paraId="7EF73DFF" w14:textId="77777777" w:rsidR="00F80A79" w:rsidRPr="00F80A79" w:rsidRDefault="00F80A79" w:rsidP="00F80A79">
            <w:pPr>
              <w:ind w:right="227"/>
              <w:jc w:val="right"/>
              <w:rPr>
                <w:sz w:val="20"/>
                <w:szCs w:val="20"/>
              </w:rPr>
            </w:pPr>
            <w:r w:rsidRPr="00F80A79">
              <w:rPr>
                <w:sz w:val="20"/>
                <w:szCs w:val="20"/>
              </w:rPr>
              <w:t>12 798</w:t>
            </w:r>
          </w:p>
        </w:tc>
        <w:tc>
          <w:tcPr>
            <w:tcW w:w="1080" w:type="dxa"/>
            <w:tcBorders>
              <w:top w:val="nil"/>
              <w:left w:val="single" w:sz="4" w:space="0" w:color="auto"/>
              <w:bottom w:val="nil"/>
              <w:right w:val="single" w:sz="4" w:space="0" w:color="auto"/>
            </w:tcBorders>
          </w:tcPr>
          <w:p w14:paraId="6E1268D4" w14:textId="77777777" w:rsidR="00F80A79" w:rsidRPr="00F80A79" w:rsidRDefault="00F80A79" w:rsidP="00F80A79">
            <w:pPr>
              <w:ind w:right="284"/>
              <w:jc w:val="right"/>
              <w:rPr>
                <w:sz w:val="20"/>
                <w:szCs w:val="20"/>
              </w:rPr>
            </w:pPr>
            <w:r w:rsidRPr="00F80A79">
              <w:rPr>
                <w:sz w:val="20"/>
                <w:szCs w:val="20"/>
              </w:rPr>
              <w:t>1.4</w:t>
            </w:r>
          </w:p>
        </w:tc>
        <w:tc>
          <w:tcPr>
            <w:tcW w:w="1080" w:type="dxa"/>
            <w:tcBorders>
              <w:top w:val="nil"/>
              <w:left w:val="single" w:sz="4" w:space="0" w:color="auto"/>
              <w:bottom w:val="nil"/>
              <w:right w:val="single" w:sz="4" w:space="0" w:color="auto"/>
            </w:tcBorders>
          </w:tcPr>
          <w:p w14:paraId="534C7D55" w14:textId="77777777" w:rsidR="00F80A79" w:rsidRPr="00F80A79" w:rsidRDefault="00F80A79" w:rsidP="00F80A79">
            <w:pPr>
              <w:ind w:right="284"/>
              <w:jc w:val="right"/>
              <w:rPr>
                <w:sz w:val="20"/>
                <w:szCs w:val="20"/>
              </w:rPr>
            </w:pPr>
            <w:r w:rsidRPr="00F80A79">
              <w:rPr>
                <w:sz w:val="20"/>
                <w:szCs w:val="20"/>
              </w:rPr>
              <w:t>8.2</w:t>
            </w:r>
          </w:p>
        </w:tc>
      </w:tr>
      <w:tr w:rsidR="00F80A79" w:rsidRPr="00F80A79" w14:paraId="55397E30" w14:textId="77777777" w:rsidTr="007907BD">
        <w:trPr>
          <w:jc w:val="center"/>
        </w:trPr>
        <w:tc>
          <w:tcPr>
            <w:tcW w:w="2273" w:type="dxa"/>
            <w:tcBorders>
              <w:top w:val="nil"/>
              <w:left w:val="single" w:sz="4" w:space="0" w:color="auto"/>
              <w:bottom w:val="nil"/>
              <w:right w:val="single" w:sz="4" w:space="0" w:color="auto"/>
            </w:tcBorders>
          </w:tcPr>
          <w:p w14:paraId="63ACF4E4" w14:textId="77777777" w:rsidR="00F80A79" w:rsidRPr="00F80A79" w:rsidRDefault="00F80A79" w:rsidP="00F80A79">
            <w:pPr>
              <w:rPr>
                <w:b/>
                <w:sz w:val="20"/>
                <w:szCs w:val="20"/>
              </w:rPr>
            </w:pPr>
            <w:r w:rsidRPr="00F80A79">
              <w:rPr>
                <w:b/>
                <w:sz w:val="20"/>
                <w:szCs w:val="20"/>
              </w:rPr>
              <w:t>Carne en canal</w:t>
            </w:r>
          </w:p>
        </w:tc>
        <w:tc>
          <w:tcPr>
            <w:tcW w:w="1515" w:type="dxa"/>
            <w:tcBorders>
              <w:top w:val="nil"/>
              <w:left w:val="single" w:sz="4" w:space="0" w:color="auto"/>
              <w:bottom w:val="nil"/>
              <w:right w:val="single" w:sz="4" w:space="0" w:color="auto"/>
            </w:tcBorders>
          </w:tcPr>
          <w:p w14:paraId="7D3BBC98" w14:textId="77777777" w:rsidR="00F80A79" w:rsidRPr="00F80A79" w:rsidRDefault="00F80A79" w:rsidP="00F80A79">
            <w:pPr>
              <w:ind w:right="227"/>
              <w:jc w:val="right"/>
              <w:rPr>
                <w:b/>
                <w:sz w:val="20"/>
                <w:szCs w:val="20"/>
              </w:rPr>
            </w:pPr>
            <w:r w:rsidRPr="00F80A79">
              <w:rPr>
                <w:b/>
                <w:sz w:val="20"/>
                <w:szCs w:val="20"/>
              </w:rPr>
              <w:t>6 254 475</w:t>
            </w:r>
          </w:p>
        </w:tc>
        <w:tc>
          <w:tcPr>
            <w:tcW w:w="1453" w:type="dxa"/>
            <w:tcBorders>
              <w:top w:val="nil"/>
              <w:left w:val="single" w:sz="4" w:space="0" w:color="auto"/>
              <w:bottom w:val="nil"/>
              <w:right w:val="single" w:sz="4" w:space="0" w:color="auto"/>
            </w:tcBorders>
          </w:tcPr>
          <w:p w14:paraId="77BF1764" w14:textId="77777777" w:rsidR="00F80A79" w:rsidRPr="00F80A79" w:rsidRDefault="00F80A79" w:rsidP="00F80A79">
            <w:pPr>
              <w:ind w:right="227"/>
              <w:jc w:val="right"/>
              <w:rPr>
                <w:b/>
                <w:sz w:val="20"/>
                <w:szCs w:val="20"/>
              </w:rPr>
            </w:pPr>
            <w:r w:rsidRPr="00F80A79">
              <w:rPr>
                <w:b/>
                <w:sz w:val="20"/>
                <w:szCs w:val="20"/>
              </w:rPr>
              <w:t>490 965</w:t>
            </w:r>
          </w:p>
        </w:tc>
        <w:tc>
          <w:tcPr>
            <w:tcW w:w="1440" w:type="dxa"/>
            <w:tcBorders>
              <w:top w:val="nil"/>
              <w:left w:val="single" w:sz="4" w:space="0" w:color="auto"/>
              <w:bottom w:val="nil"/>
              <w:right w:val="single" w:sz="4" w:space="0" w:color="auto"/>
            </w:tcBorders>
          </w:tcPr>
          <w:p w14:paraId="78F1410C" w14:textId="77777777" w:rsidR="00F80A79" w:rsidRPr="00F80A79" w:rsidRDefault="00F80A79" w:rsidP="00F80A79">
            <w:pPr>
              <w:ind w:right="227"/>
              <w:jc w:val="right"/>
              <w:rPr>
                <w:b/>
                <w:sz w:val="20"/>
                <w:szCs w:val="20"/>
              </w:rPr>
            </w:pPr>
            <w:r w:rsidRPr="00F80A79">
              <w:rPr>
                <w:b/>
                <w:sz w:val="20"/>
                <w:szCs w:val="20"/>
              </w:rPr>
              <w:t>500 113</w:t>
            </w:r>
          </w:p>
        </w:tc>
        <w:tc>
          <w:tcPr>
            <w:tcW w:w="1080" w:type="dxa"/>
            <w:tcBorders>
              <w:top w:val="nil"/>
              <w:left w:val="single" w:sz="4" w:space="0" w:color="auto"/>
              <w:bottom w:val="nil"/>
              <w:right w:val="single" w:sz="4" w:space="0" w:color="auto"/>
            </w:tcBorders>
          </w:tcPr>
          <w:p w14:paraId="5A5974F3" w14:textId="77777777" w:rsidR="00F80A79" w:rsidRPr="00F80A79" w:rsidRDefault="00F80A79" w:rsidP="00F80A79">
            <w:pPr>
              <w:ind w:right="284"/>
              <w:jc w:val="right"/>
              <w:rPr>
                <w:b/>
                <w:sz w:val="20"/>
                <w:szCs w:val="20"/>
              </w:rPr>
            </w:pPr>
            <w:r w:rsidRPr="00F80A79">
              <w:rPr>
                <w:b/>
                <w:sz w:val="20"/>
                <w:szCs w:val="20"/>
              </w:rPr>
              <w:t>1.9</w:t>
            </w:r>
          </w:p>
        </w:tc>
        <w:tc>
          <w:tcPr>
            <w:tcW w:w="1080" w:type="dxa"/>
            <w:tcBorders>
              <w:top w:val="nil"/>
              <w:left w:val="single" w:sz="4" w:space="0" w:color="auto"/>
              <w:bottom w:val="nil"/>
              <w:right w:val="single" w:sz="4" w:space="0" w:color="auto"/>
            </w:tcBorders>
          </w:tcPr>
          <w:p w14:paraId="34E87767" w14:textId="77777777" w:rsidR="00F80A79" w:rsidRPr="00F80A79" w:rsidRDefault="00F80A79" w:rsidP="00F80A79">
            <w:pPr>
              <w:ind w:right="284"/>
              <w:jc w:val="right"/>
              <w:rPr>
                <w:b/>
                <w:sz w:val="20"/>
                <w:szCs w:val="20"/>
              </w:rPr>
            </w:pPr>
            <w:r w:rsidRPr="00F80A79">
              <w:rPr>
                <w:b/>
                <w:sz w:val="20"/>
                <w:szCs w:val="20"/>
              </w:rPr>
              <w:t>8.0</w:t>
            </w:r>
          </w:p>
        </w:tc>
      </w:tr>
      <w:tr w:rsidR="00F80A79" w:rsidRPr="00F80A79" w14:paraId="670F81D4" w14:textId="77777777" w:rsidTr="007907BD">
        <w:trPr>
          <w:jc w:val="center"/>
        </w:trPr>
        <w:tc>
          <w:tcPr>
            <w:tcW w:w="2273" w:type="dxa"/>
            <w:tcBorders>
              <w:top w:val="nil"/>
              <w:left w:val="single" w:sz="4" w:space="0" w:color="auto"/>
              <w:bottom w:val="nil"/>
              <w:right w:val="single" w:sz="4" w:space="0" w:color="auto"/>
            </w:tcBorders>
          </w:tcPr>
          <w:p w14:paraId="19AAD420" w14:textId="77777777" w:rsidR="00F80A79" w:rsidRPr="00F80A79" w:rsidRDefault="00F80A79" w:rsidP="00F80A79">
            <w:pPr>
              <w:ind w:left="113"/>
              <w:rPr>
                <w:sz w:val="20"/>
                <w:szCs w:val="20"/>
              </w:rPr>
            </w:pPr>
            <w:r w:rsidRPr="00F80A79">
              <w:rPr>
                <w:sz w:val="20"/>
                <w:szCs w:val="20"/>
              </w:rPr>
              <w:t>Bovino</w:t>
            </w:r>
          </w:p>
        </w:tc>
        <w:tc>
          <w:tcPr>
            <w:tcW w:w="1515" w:type="dxa"/>
            <w:tcBorders>
              <w:top w:val="nil"/>
              <w:left w:val="single" w:sz="4" w:space="0" w:color="auto"/>
              <w:bottom w:val="nil"/>
              <w:right w:val="single" w:sz="4" w:space="0" w:color="auto"/>
            </w:tcBorders>
          </w:tcPr>
          <w:p w14:paraId="49989D8D" w14:textId="77777777" w:rsidR="00F80A79" w:rsidRPr="00F80A79" w:rsidRDefault="00F80A79" w:rsidP="00F80A79">
            <w:pPr>
              <w:ind w:right="227"/>
              <w:jc w:val="right"/>
              <w:rPr>
                <w:sz w:val="20"/>
                <w:szCs w:val="20"/>
              </w:rPr>
            </w:pPr>
            <w:r w:rsidRPr="00F80A79">
              <w:rPr>
                <w:sz w:val="20"/>
                <w:szCs w:val="20"/>
              </w:rPr>
              <w:t>1 878 989</w:t>
            </w:r>
          </w:p>
        </w:tc>
        <w:tc>
          <w:tcPr>
            <w:tcW w:w="1453" w:type="dxa"/>
            <w:tcBorders>
              <w:top w:val="nil"/>
              <w:left w:val="single" w:sz="4" w:space="0" w:color="auto"/>
              <w:bottom w:val="nil"/>
              <w:right w:val="single" w:sz="4" w:space="0" w:color="auto"/>
            </w:tcBorders>
          </w:tcPr>
          <w:p w14:paraId="7EE10076" w14:textId="77777777" w:rsidR="00F80A79" w:rsidRPr="00F80A79" w:rsidRDefault="00F80A79" w:rsidP="00F80A79">
            <w:pPr>
              <w:ind w:right="227"/>
              <w:jc w:val="right"/>
              <w:rPr>
                <w:sz w:val="20"/>
                <w:szCs w:val="20"/>
              </w:rPr>
            </w:pPr>
            <w:r w:rsidRPr="00F80A79">
              <w:rPr>
                <w:sz w:val="20"/>
                <w:szCs w:val="20"/>
              </w:rPr>
              <w:t>146 321</w:t>
            </w:r>
          </w:p>
        </w:tc>
        <w:tc>
          <w:tcPr>
            <w:tcW w:w="1440" w:type="dxa"/>
            <w:tcBorders>
              <w:top w:val="nil"/>
              <w:left w:val="single" w:sz="4" w:space="0" w:color="auto"/>
              <w:bottom w:val="nil"/>
              <w:right w:val="single" w:sz="4" w:space="0" w:color="auto"/>
            </w:tcBorders>
          </w:tcPr>
          <w:p w14:paraId="18DBB1B2" w14:textId="77777777" w:rsidR="00F80A79" w:rsidRPr="00F80A79" w:rsidRDefault="00F80A79" w:rsidP="00F80A79">
            <w:pPr>
              <w:ind w:right="227"/>
              <w:jc w:val="right"/>
              <w:rPr>
                <w:sz w:val="20"/>
                <w:szCs w:val="20"/>
              </w:rPr>
            </w:pPr>
            <w:r w:rsidRPr="00F80A79">
              <w:rPr>
                <w:sz w:val="20"/>
                <w:szCs w:val="20"/>
              </w:rPr>
              <w:t>148 933</w:t>
            </w:r>
          </w:p>
        </w:tc>
        <w:tc>
          <w:tcPr>
            <w:tcW w:w="1080" w:type="dxa"/>
            <w:tcBorders>
              <w:top w:val="nil"/>
              <w:left w:val="single" w:sz="4" w:space="0" w:color="auto"/>
              <w:bottom w:val="nil"/>
              <w:right w:val="single" w:sz="4" w:space="0" w:color="auto"/>
            </w:tcBorders>
          </w:tcPr>
          <w:p w14:paraId="3F3CB2D6" w14:textId="77777777" w:rsidR="00F80A79" w:rsidRPr="00F80A79" w:rsidRDefault="00F80A79" w:rsidP="00F80A79">
            <w:pPr>
              <w:ind w:right="284"/>
              <w:jc w:val="right"/>
              <w:rPr>
                <w:sz w:val="20"/>
                <w:szCs w:val="20"/>
              </w:rPr>
            </w:pPr>
            <w:r w:rsidRPr="00F80A79">
              <w:rPr>
                <w:sz w:val="20"/>
                <w:szCs w:val="20"/>
              </w:rPr>
              <w:t>1.8</w:t>
            </w:r>
          </w:p>
        </w:tc>
        <w:tc>
          <w:tcPr>
            <w:tcW w:w="1080" w:type="dxa"/>
            <w:tcBorders>
              <w:top w:val="nil"/>
              <w:left w:val="single" w:sz="4" w:space="0" w:color="auto"/>
              <w:bottom w:val="nil"/>
              <w:right w:val="single" w:sz="4" w:space="0" w:color="auto"/>
            </w:tcBorders>
          </w:tcPr>
          <w:p w14:paraId="16A585ED" w14:textId="77777777" w:rsidR="00F80A79" w:rsidRPr="00F80A79" w:rsidRDefault="00F80A79" w:rsidP="00F80A79">
            <w:pPr>
              <w:ind w:right="284"/>
              <w:jc w:val="right"/>
              <w:rPr>
                <w:sz w:val="20"/>
                <w:szCs w:val="20"/>
              </w:rPr>
            </w:pPr>
            <w:r w:rsidRPr="00F80A79">
              <w:rPr>
                <w:sz w:val="20"/>
                <w:szCs w:val="20"/>
              </w:rPr>
              <w:t>7.9</w:t>
            </w:r>
          </w:p>
        </w:tc>
      </w:tr>
      <w:tr w:rsidR="00F80A79" w:rsidRPr="00F80A79" w14:paraId="0A58F364" w14:textId="77777777" w:rsidTr="007907BD">
        <w:trPr>
          <w:jc w:val="center"/>
        </w:trPr>
        <w:tc>
          <w:tcPr>
            <w:tcW w:w="2273" w:type="dxa"/>
            <w:tcBorders>
              <w:top w:val="nil"/>
              <w:left w:val="single" w:sz="4" w:space="0" w:color="auto"/>
              <w:bottom w:val="nil"/>
              <w:right w:val="single" w:sz="4" w:space="0" w:color="auto"/>
            </w:tcBorders>
          </w:tcPr>
          <w:p w14:paraId="58F48CB6" w14:textId="77777777" w:rsidR="00F80A79" w:rsidRPr="00F80A79" w:rsidRDefault="00F80A79" w:rsidP="00F80A79">
            <w:pPr>
              <w:ind w:left="113"/>
              <w:rPr>
                <w:sz w:val="20"/>
                <w:szCs w:val="20"/>
              </w:rPr>
            </w:pPr>
            <w:r w:rsidRPr="00F80A79">
              <w:rPr>
                <w:sz w:val="20"/>
                <w:szCs w:val="20"/>
              </w:rPr>
              <w:t>Porcino</w:t>
            </w:r>
          </w:p>
        </w:tc>
        <w:tc>
          <w:tcPr>
            <w:tcW w:w="1515" w:type="dxa"/>
            <w:tcBorders>
              <w:top w:val="nil"/>
              <w:left w:val="single" w:sz="4" w:space="0" w:color="auto"/>
              <w:bottom w:val="nil"/>
              <w:right w:val="single" w:sz="4" w:space="0" w:color="auto"/>
            </w:tcBorders>
          </w:tcPr>
          <w:p w14:paraId="38C71522" w14:textId="77777777" w:rsidR="00F80A79" w:rsidRPr="00F80A79" w:rsidRDefault="00F80A79" w:rsidP="00F80A79">
            <w:pPr>
              <w:ind w:right="227"/>
              <w:jc w:val="right"/>
              <w:rPr>
                <w:sz w:val="20"/>
                <w:szCs w:val="20"/>
              </w:rPr>
            </w:pPr>
            <w:r w:rsidRPr="00F80A79">
              <w:rPr>
                <w:sz w:val="20"/>
                <w:szCs w:val="20"/>
              </w:rPr>
              <w:t>1 315 794</w:t>
            </w:r>
          </w:p>
        </w:tc>
        <w:tc>
          <w:tcPr>
            <w:tcW w:w="1453" w:type="dxa"/>
            <w:tcBorders>
              <w:top w:val="nil"/>
              <w:left w:val="single" w:sz="4" w:space="0" w:color="auto"/>
              <w:bottom w:val="nil"/>
              <w:right w:val="single" w:sz="4" w:space="0" w:color="auto"/>
            </w:tcBorders>
          </w:tcPr>
          <w:p w14:paraId="48828C39" w14:textId="77777777" w:rsidR="00F80A79" w:rsidRPr="00F80A79" w:rsidRDefault="00F80A79" w:rsidP="00F80A79">
            <w:pPr>
              <w:ind w:right="227"/>
              <w:jc w:val="right"/>
              <w:rPr>
                <w:sz w:val="20"/>
                <w:szCs w:val="20"/>
              </w:rPr>
            </w:pPr>
            <w:r w:rsidRPr="00F80A79">
              <w:rPr>
                <w:sz w:val="20"/>
                <w:szCs w:val="20"/>
              </w:rPr>
              <w:t>105 170</w:t>
            </w:r>
          </w:p>
        </w:tc>
        <w:tc>
          <w:tcPr>
            <w:tcW w:w="1440" w:type="dxa"/>
            <w:tcBorders>
              <w:top w:val="nil"/>
              <w:left w:val="single" w:sz="4" w:space="0" w:color="auto"/>
              <w:bottom w:val="nil"/>
              <w:right w:val="single" w:sz="4" w:space="0" w:color="auto"/>
            </w:tcBorders>
          </w:tcPr>
          <w:p w14:paraId="534A3C80" w14:textId="77777777" w:rsidR="00F80A79" w:rsidRPr="00F80A79" w:rsidRDefault="00F80A79" w:rsidP="00F80A79">
            <w:pPr>
              <w:ind w:right="227"/>
              <w:jc w:val="right"/>
              <w:rPr>
                <w:sz w:val="20"/>
                <w:szCs w:val="20"/>
              </w:rPr>
            </w:pPr>
            <w:r w:rsidRPr="00F80A79">
              <w:rPr>
                <w:sz w:val="20"/>
                <w:szCs w:val="20"/>
              </w:rPr>
              <w:t>107 995</w:t>
            </w:r>
          </w:p>
        </w:tc>
        <w:tc>
          <w:tcPr>
            <w:tcW w:w="1080" w:type="dxa"/>
            <w:tcBorders>
              <w:top w:val="nil"/>
              <w:left w:val="single" w:sz="4" w:space="0" w:color="auto"/>
              <w:bottom w:val="nil"/>
              <w:right w:val="single" w:sz="4" w:space="0" w:color="auto"/>
            </w:tcBorders>
          </w:tcPr>
          <w:p w14:paraId="61FFD383" w14:textId="77777777" w:rsidR="00F80A79" w:rsidRPr="00F80A79" w:rsidRDefault="00F80A79" w:rsidP="00F80A79">
            <w:pPr>
              <w:ind w:right="284"/>
              <w:jc w:val="right"/>
              <w:rPr>
                <w:sz w:val="20"/>
                <w:szCs w:val="20"/>
              </w:rPr>
            </w:pPr>
            <w:r w:rsidRPr="00F80A79">
              <w:rPr>
                <w:sz w:val="20"/>
                <w:szCs w:val="20"/>
              </w:rPr>
              <w:t>2.7</w:t>
            </w:r>
          </w:p>
        </w:tc>
        <w:tc>
          <w:tcPr>
            <w:tcW w:w="1080" w:type="dxa"/>
            <w:tcBorders>
              <w:top w:val="nil"/>
              <w:left w:val="single" w:sz="4" w:space="0" w:color="auto"/>
              <w:bottom w:val="nil"/>
              <w:right w:val="single" w:sz="4" w:space="0" w:color="auto"/>
            </w:tcBorders>
          </w:tcPr>
          <w:p w14:paraId="2E6240B4" w14:textId="77777777" w:rsidR="00F80A79" w:rsidRPr="00F80A79" w:rsidRDefault="00F80A79" w:rsidP="00F80A79">
            <w:pPr>
              <w:ind w:right="284"/>
              <w:jc w:val="right"/>
              <w:rPr>
                <w:sz w:val="20"/>
                <w:szCs w:val="20"/>
              </w:rPr>
            </w:pPr>
            <w:r w:rsidRPr="00F80A79">
              <w:rPr>
                <w:sz w:val="20"/>
                <w:szCs w:val="20"/>
              </w:rPr>
              <w:t>8.2</w:t>
            </w:r>
          </w:p>
        </w:tc>
      </w:tr>
      <w:tr w:rsidR="00F80A79" w:rsidRPr="00F80A79" w14:paraId="23AAC1CD" w14:textId="77777777" w:rsidTr="007907BD">
        <w:trPr>
          <w:jc w:val="center"/>
        </w:trPr>
        <w:tc>
          <w:tcPr>
            <w:tcW w:w="2273" w:type="dxa"/>
            <w:tcBorders>
              <w:top w:val="nil"/>
              <w:left w:val="single" w:sz="4" w:space="0" w:color="auto"/>
              <w:bottom w:val="nil"/>
              <w:right w:val="single" w:sz="4" w:space="0" w:color="auto"/>
            </w:tcBorders>
          </w:tcPr>
          <w:p w14:paraId="117DE712" w14:textId="77777777" w:rsidR="00F80A79" w:rsidRPr="00F80A79" w:rsidRDefault="00F80A79" w:rsidP="00F80A79">
            <w:pPr>
              <w:ind w:left="113"/>
              <w:rPr>
                <w:sz w:val="20"/>
                <w:szCs w:val="20"/>
              </w:rPr>
            </w:pPr>
            <w:r w:rsidRPr="00F80A79">
              <w:rPr>
                <w:sz w:val="20"/>
                <w:szCs w:val="20"/>
              </w:rPr>
              <w:t>Ovino</w:t>
            </w:r>
          </w:p>
        </w:tc>
        <w:tc>
          <w:tcPr>
            <w:tcW w:w="1515" w:type="dxa"/>
            <w:tcBorders>
              <w:top w:val="nil"/>
              <w:left w:val="single" w:sz="4" w:space="0" w:color="auto"/>
              <w:bottom w:val="nil"/>
              <w:right w:val="single" w:sz="4" w:space="0" w:color="auto"/>
            </w:tcBorders>
          </w:tcPr>
          <w:p w14:paraId="261669AB" w14:textId="77777777" w:rsidR="00F80A79" w:rsidRPr="00F80A79" w:rsidRDefault="00F80A79" w:rsidP="00F80A79">
            <w:pPr>
              <w:ind w:right="227"/>
              <w:jc w:val="right"/>
              <w:rPr>
                <w:sz w:val="20"/>
                <w:szCs w:val="20"/>
              </w:rPr>
            </w:pPr>
            <w:r w:rsidRPr="00F80A79">
              <w:rPr>
                <w:sz w:val="20"/>
                <w:szCs w:val="20"/>
              </w:rPr>
              <w:t>59 632</w:t>
            </w:r>
          </w:p>
        </w:tc>
        <w:tc>
          <w:tcPr>
            <w:tcW w:w="1453" w:type="dxa"/>
            <w:tcBorders>
              <w:top w:val="nil"/>
              <w:left w:val="single" w:sz="4" w:space="0" w:color="auto"/>
              <w:bottom w:val="nil"/>
              <w:right w:val="single" w:sz="4" w:space="0" w:color="auto"/>
            </w:tcBorders>
          </w:tcPr>
          <w:p w14:paraId="44E08D94" w14:textId="77777777" w:rsidR="00F80A79" w:rsidRPr="00F80A79" w:rsidRDefault="00F80A79" w:rsidP="00F80A79">
            <w:pPr>
              <w:ind w:right="227"/>
              <w:jc w:val="right"/>
              <w:rPr>
                <w:sz w:val="20"/>
                <w:szCs w:val="20"/>
              </w:rPr>
            </w:pPr>
            <w:r w:rsidRPr="00F80A79">
              <w:rPr>
                <w:sz w:val="20"/>
                <w:szCs w:val="20"/>
              </w:rPr>
              <w:t>4 511</w:t>
            </w:r>
          </w:p>
        </w:tc>
        <w:tc>
          <w:tcPr>
            <w:tcW w:w="1440" w:type="dxa"/>
            <w:tcBorders>
              <w:top w:val="nil"/>
              <w:left w:val="single" w:sz="4" w:space="0" w:color="auto"/>
              <w:bottom w:val="nil"/>
              <w:right w:val="single" w:sz="4" w:space="0" w:color="auto"/>
            </w:tcBorders>
          </w:tcPr>
          <w:p w14:paraId="75A4330A" w14:textId="77777777" w:rsidR="00F80A79" w:rsidRPr="00F80A79" w:rsidRDefault="00F80A79" w:rsidP="00F80A79">
            <w:pPr>
              <w:ind w:right="227"/>
              <w:jc w:val="right"/>
              <w:rPr>
                <w:sz w:val="20"/>
                <w:szCs w:val="20"/>
              </w:rPr>
            </w:pPr>
            <w:r w:rsidRPr="00F80A79">
              <w:rPr>
                <w:sz w:val="20"/>
                <w:szCs w:val="20"/>
              </w:rPr>
              <w:t>4 640</w:t>
            </w:r>
          </w:p>
        </w:tc>
        <w:tc>
          <w:tcPr>
            <w:tcW w:w="1080" w:type="dxa"/>
            <w:tcBorders>
              <w:top w:val="nil"/>
              <w:left w:val="single" w:sz="4" w:space="0" w:color="auto"/>
              <w:bottom w:val="nil"/>
              <w:right w:val="single" w:sz="4" w:space="0" w:color="auto"/>
            </w:tcBorders>
          </w:tcPr>
          <w:p w14:paraId="37470364" w14:textId="77777777" w:rsidR="00F80A79" w:rsidRPr="00F80A79" w:rsidRDefault="00F80A79" w:rsidP="00F80A79">
            <w:pPr>
              <w:ind w:right="284"/>
              <w:jc w:val="right"/>
              <w:rPr>
                <w:sz w:val="20"/>
                <w:szCs w:val="20"/>
              </w:rPr>
            </w:pPr>
            <w:r w:rsidRPr="00F80A79">
              <w:rPr>
                <w:sz w:val="20"/>
                <w:szCs w:val="20"/>
              </w:rPr>
              <w:t>2.9</w:t>
            </w:r>
          </w:p>
        </w:tc>
        <w:tc>
          <w:tcPr>
            <w:tcW w:w="1080" w:type="dxa"/>
            <w:tcBorders>
              <w:top w:val="nil"/>
              <w:left w:val="single" w:sz="4" w:space="0" w:color="auto"/>
              <w:bottom w:val="nil"/>
              <w:right w:val="single" w:sz="4" w:space="0" w:color="auto"/>
            </w:tcBorders>
          </w:tcPr>
          <w:p w14:paraId="3A59D770" w14:textId="77777777" w:rsidR="00F80A79" w:rsidRPr="00F80A79" w:rsidRDefault="00F80A79" w:rsidP="00F80A79">
            <w:pPr>
              <w:ind w:right="284"/>
              <w:jc w:val="right"/>
              <w:rPr>
                <w:sz w:val="20"/>
                <w:szCs w:val="20"/>
              </w:rPr>
            </w:pPr>
            <w:r w:rsidRPr="00F80A79">
              <w:rPr>
                <w:sz w:val="20"/>
                <w:szCs w:val="20"/>
              </w:rPr>
              <w:t>7.8</w:t>
            </w:r>
          </w:p>
        </w:tc>
      </w:tr>
      <w:tr w:rsidR="00F80A79" w:rsidRPr="00F80A79" w14:paraId="13B83361" w14:textId="77777777" w:rsidTr="007907BD">
        <w:trPr>
          <w:jc w:val="center"/>
        </w:trPr>
        <w:tc>
          <w:tcPr>
            <w:tcW w:w="2273" w:type="dxa"/>
            <w:tcBorders>
              <w:top w:val="nil"/>
              <w:left w:val="single" w:sz="4" w:space="0" w:color="auto"/>
              <w:bottom w:val="nil"/>
              <w:right w:val="single" w:sz="4" w:space="0" w:color="auto"/>
            </w:tcBorders>
          </w:tcPr>
          <w:p w14:paraId="68D98E57" w14:textId="77777777" w:rsidR="00F80A79" w:rsidRPr="00F80A79" w:rsidRDefault="00F80A79" w:rsidP="00F80A79">
            <w:pPr>
              <w:ind w:left="113"/>
              <w:rPr>
                <w:sz w:val="20"/>
                <w:szCs w:val="20"/>
              </w:rPr>
            </w:pPr>
            <w:r w:rsidRPr="00F80A79">
              <w:rPr>
                <w:sz w:val="20"/>
                <w:szCs w:val="20"/>
              </w:rPr>
              <w:t>Caprino</w:t>
            </w:r>
          </w:p>
        </w:tc>
        <w:tc>
          <w:tcPr>
            <w:tcW w:w="1515" w:type="dxa"/>
            <w:tcBorders>
              <w:top w:val="nil"/>
              <w:left w:val="single" w:sz="4" w:space="0" w:color="auto"/>
              <w:bottom w:val="nil"/>
              <w:right w:val="single" w:sz="4" w:space="0" w:color="auto"/>
            </w:tcBorders>
          </w:tcPr>
          <w:p w14:paraId="7D369AA2" w14:textId="77777777" w:rsidR="00F80A79" w:rsidRPr="00F80A79" w:rsidRDefault="00F80A79" w:rsidP="00F80A79">
            <w:pPr>
              <w:ind w:right="227"/>
              <w:jc w:val="right"/>
              <w:rPr>
                <w:sz w:val="20"/>
                <w:szCs w:val="20"/>
              </w:rPr>
            </w:pPr>
            <w:r w:rsidRPr="00F80A79">
              <w:rPr>
                <w:sz w:val="20"/>
                <w:szCs w:val="20"/>
              </w:rPr>
              <w:t>40 161</w:t>
            </w:r>
          </w:p>
        </w:tc>
        <w:tc>
          <w:tcPr>
            <w:tcW w:w="1453" w:type="dxa"/>
            <w:tcBorders>
              <w:top w:val="nil"/>
              <w:left w:val="single" w:sz="4" w:space="0" w:color="auto"/>
              <w:bottom w:val="nil"/>
              <w:right w:val="single" w:sz="4" w:space="0" w:color="auto"/>
            </w:tcBorders>
          </w:tcPr>
          <w:p w14:paraId="32D742CC" w14:textId="77777777" w:rsidR="00F80A79" w:rsidRPr="00F80A79" w:rsidRDefault="00F80A79" w:rsidP="00F80A79">
            <w:pPr>
              <w:ind w:right="227"/>
              <w:jc w:val="right"/>
              <w:rPr>
                <w:sz w:val="20"/>
                <w:szCs w:val="20"/>
              </w:rPr>
            </w:pPr>
            <w:r w:rsidRPr="00F80A79">
              <w:rPr>
                <w:sz w:val="20"/>
                <w:szCs w:val="20"/>
              </w:rPr>
              <w:t>3 120</w:t>
            </w:r>
          </w:p>
        </w:tc>
        <w:tc>
          <w:tcPr>
            <w:tcW w:w="1440" w:type="dxa"/>
            <w:tcBorders>
              <w:top w:val="nil"/>
              <w:left w:val="single" w:sz="4" w:space="0" w:color="auto"/>
              <w:bottom w:val="nil"/>
              <w:right w:val="single" w:sz="4" w:space="0" w:color="auto"/>
            </w:tcBorders>
          </w:tcPr>
          <w:p w14:paraId="072A4F06" w14:textId="77777777" w:rsidR="00F80A79" w:rsidRPr="00F80A79" w:rsidRDefault="00F80A79" w:rsidP="00F80A79">
            <w:pPr>
              <w:ind w:right="227"/>
              <w:jc w:val="right"/>
              <w:rPr>
                <w:sz w:val="20"/>
                <w:szCs w:val="20"/>
              </w:rPr>
            </w:pPr>
            <w:r w:rsidRPr="00F80A79">
              <w:rPr>
                <w:sz w:val="20"/>
                <w:szCs w:val="20"/>
              </w:rPr>
              <w:t>3 114</w:t>
            </w:r>
          </w:p>
        </w:tc>
        <w:tc>
          <w:tcPr>
            <w:tcW w:w="1080" w:type="dxa"/>
            <w:tcBorders>
              <w:top w:val="nil"/>
              <w:left w:val="single" w:sz="4" w:space="0" w:color="auto"/>
              <w:bottom w:val="nil"/>
              <w:right w:val="single" w:sz="4" w:space="0" w:color="auto"/>
            </w:tcBorders>
          </w:tcPr>
          <w:p w14:paraId="7D265485" w14:textId="77777777" w:rsidR="00F80A79" w:rsidRPr="00F80A79" w:rsidRDefault="00F80A79" w:rsidP="00F80A79">
            <w:pPr>
              <w:ind w:right="284"/>
              <w:jc w:val="right"/>
              <w:rPr>
                <w:sz w:val="20"/>
                <w:szCs w:val="20"/>
              </w:rPr>
            </w:pPr>
            <w:r w:rsidRPr="00F80A79">
              <w:rPr>
                <w:sz w:val="20"/>
                <w:szCs w:val="20"/>
              </w:rPr>
              <w:t>-0.2</w:t>
            </w:r>
          </w:p>
        </w:tc>
        <w:tc>
          <w:tcPr>
            <w:tcW w:w="1080" w:type="dxa"/>
            <w:tcBorders>
              <w:top w:val="nil"/>
              <w:left w:val="single" w:sz="4" w:space="0" w:color="auto"/>
              <w:bottom w:val="nil"/>
              <w:right w:val="single" w:sz="4" w:space="0" w:color="auto"/>
            </w:tcBorders>
          </w:tcPr>
          <w:p w14:paraId="42856D20" w14:textId="77777777" w:rsidR="00F80A79" w:rsidRPr="00F80A79" w:rsidRDefault="00F80A79" w:rsidP="00F80A79">
            <w:pPr>
              <w:ind w:right="284"/>
              <w:jc w:val="right"/>
              <w:rPr>
                <w:sz w:val="20"/>
                <w:szCs w:val="20"/>
              </w:rPr>
            </w:pPr>
            <w:r w:rsidRPr="00F80A79">
              <w:rPr>
                <w:sz w:val="20"/>
                <w:szCs w:val="20"/>
              </w:rPr>
              <w:t>7.8</w:t>
            </w:r>
          </w:p>
        </w:tc>
      </w:tr>
      <w:tr w:rsidR="00F80A79" w:rsidRPr="00F80A79" w14:paraId="38C40D8D" w14:textId="77777777" w:rsidTr="007907BD">
        <w:trPr>
          <w:jc w:val="center"/>
        </w:trPr>
        <w:tc>
          <w:tcPr>
            <w:tcW w:w="2273" w:type="dxa"/>
            <w:tcBorders>
              <w:top w:val="nil"/>
              <w:left w:val="single" w:sz="4" w:space="0" w:color="auto"/>
              <w:bottom w:val="nil"/>
              <w:right w:val="single" w:sz="4" w:space="0" w:color="auto"/>
            </w:tcBorders>
          </w:tcPr>
          <w:p w14:paraId="1C97C00C" w14:textId="77777777" w:rsidR="00F80A79" w:rsidRPr="00F80A79" w:rsidRDefault="00F80A79" w:rsidP="00F80A79">
            <w:pPr>
              <w:ind w:left="113"/>
              <w:rPr>
                <w:sz w:val="20"/>
                <w:szCs w:val="20"/>
              </w:rPr>
            </w:pPr>
            <w:r w:rsidRPr="00F80A79">
              <w:rPr>
                <w:sz w:val="20"/>
                <w:szCs w:val="20"/>
              </w:rPr>
              <w:t>Ave</w:t>
            </w:r>
            <w:r w:rsidRPr="00F80A79">
              <w:rPr>
                <w:sz w:val="20"/>
                <w:szCs w:val="20"/>
                <w:u w:val="single"/>
                <w:vertAlign w:val="superscript"/>
              </w:rPr>
              <w:t>1</w:t>
            </w:r>
            <w:r w:rsidRPr="00F80A79">
              <w:rPr>
                <w:sz w:val="20"/>
                <w:szCs w:val="20"/>
                <w:vertAlign w:val="superscript"/>
              </w:rPr>
              <w:t>/</w:t>
            </w:r>
          </w:p>
        </w:tc>
        <w:tc>
          <w:tcPr>
            <w:tcW w:w="1515" w:type="dxa"/>
            <w:tcBorders>
              <w:top w:val="nil"/>
              <w:left w:val="single" w:sz="4" w:space="0" w:color="auto"/>
              <w:bottom w:val="nil"/>
              <w:right w:val="single" w:sz="4" w:space="0" w:color="auto"/>
            </w:tcBorders>
          </w:tcPr>
          <w:p w14:paraId="04AF3B7E" w14:textId="77777777" w:rsidR="00F80A79" w:rsidRPr="00F80A79" w:rsidRDefault="00F80A79" w:rsidP="00F80A79">
            <w:pPr>
              <w:ind w:right="227"/>
              <w:jc w:val="right"/>
              <w:rPr>
                <w:sz w:val="20"/>
                <w:szCs w:val="20"/>
              </w:rPr>
            </w:pPr>
            <w:r w:rsidRPr="00F80A79">
              <w:rPr>
                <w:sz w:val="20"/>
                <w:szCs w:val="20"/>
              </w:rPr>
              <w:t>2 940 386</w:t>
            </w:r>
          </w:p>
        </w:tc>
        <w:tc>
          <w:tcPr>
            <w:tcW w:w="1453" w:type="dxa"/>
            <w:tcBorders>
              <w:top w:val="nil"/>
              <w:left w:val="single" w:sz="4" w:space="0" w:color="auto"/>
              <w:bottom w:val="nil"/>
              <w:right w:val="single" w:sz="4" w:space="0" w:color="auto"/>
            </w:tcBorders>
          </w:tcPr>
          <w:p w14:paraId="518A0DEA" w14:textId="77777777" w:rsidR="00F80A79" w:rsidRPr="00F80A79" w:rsidRDefault="00F80A79" w:rsidP="00F80A79">
            <w:pPr>
              <w:ind w:right="227"/>
              <w:jc w:val="right"/>
              <w:rPr>
                <w:sz w:val="20"/>
                <w:szCs w:val="20"/>
              </w:rPr>
            </w:pPr>
            <w:r w:rsidRPr="00F80A79">
              <w:rPr>
                <w:sz w:val="20"/>
                <w:szCs w:val="20"/>
              </w:rPr>
              <w:t>230 626</w:t>
            </w:r>
          </w:p>
        </w:tc>
        <w:tc>
          <w:tcPr>
            <w:tcW w:w="1440" w:type="dxa"/>
            <w:tcBorders>
              <w:top w:val="nil"/>
              <w:left w:val="single" w:sz="4" w:space="0" w:color="auto"/>
              <w:bottom w:val="nil"/>
              <w:right w:val="single" w:sz="4" w:space="0" w:color="auto"/>
            </w:tcBorders>
          </w:tcPr>
          <w:p w14:paraId="3844AC3D" w14:textId="77777777" w:rsidR="00F80A79" w:rsidRPr="00F80A79" w:rsidRDefault="00F80A79" w:rsidP="00F80A79">
            <w:pPr>
              <w:ind w:right="227"/>
              <w:jc w:val="right"/>
              <w:rPr>
                <w:sz w:val="20"/>
                <w:szCs w:val="20"/>
              </w:rPr>
            </w:pPr>
            <w:r w:rsidRPr="00F80A79">
              <w:rPr>
                <w:sz w:val="20"/>
                <w:szCs w:val="20"/>
              </w:rPr>
              <w:t>234 310</w:t>
            </w:r>
          </w:p>
        </w:tc>
        <w:tc>
          <w:tcPr>
            <w:tcW w:w="1080" w:type="dxa"/>
            <w:tcBorders>
              <w:top w:val="nil"/>
              <w:left w:val="single" w:sz="4" w:space="0" w:color="auto"/>
              <w:bottom w:val="nil"/>
              <w:right w:val="single" w:sz="4" w:space="0" w:color="auto"/>
            </w:tcBorders>
          </w:tcPr>
          <w:p w14:paraId="3D907F05" w14:textId="77777777" w:rsidR="00F80A79" w:rsidRPr="00F80A79" w:rsidRDefault="00F80A79" w:rsidP="00F80A79">
            <w:pPr>
              <w:ind w:right="284"/>
              <w:jc w:val="right"/>
              <w:rPr>
                <w:sz w:val="20"/>
                <w:szCs w:val="20"/>
              </w:rPr>
            </w:pPr>
            <w:r w:rsidRPr="00F80A79">
              <w:rPr>
                <w:sz w:val="20"/>
                <w:szCs w:val="20"/>
              </w:rPr>
              <w:t>1.6</w:t>
            </w:r>
          </w:p>
        </w:tc>
        <w:tc>
          <w:tcPr>
            <w:tcW w:w="1080" w:type="dxa"/>
            <w:tcBorders>
              <w:top w:val="nil"/>
              <w:left w:val="single" w:sz="4" w:space="0" w:color="auto"/>
              <w:bottom w:val="nil"/>
              <w:right w:val="single" w:sz="4" w:space="0" w:color="auto"/>
            </w:tcBorders>
          </w:tcPr>
          <w:p w14:paraId="6B65BB01" w14:textId="77777777" w:rsidR="00F80A79" w:rsidRPr="00F80A79" w:rsidRDefault="00F80A79" w:rsidP="00F80A79">
            <w:pPr>
              <w:ind w:right="284"/>
              <w:jc w:val="right"/>
              <w:rPr>
                <w:sz w:val="20"/>
                <w:szCs w:val="20"/>
              </w:rPr>
            </w:pPr>
            <w:r w:rsidRPr="00F80A79">
              <w:rPr>
                <w:sz w:val="20"/>
                <w:szCs w:val="20"/>
              </w:rPr>
              <w:t>8.0</w:t>
            </w:r>
          </w:p>
        </w:tc>
      </w:tr>
      <w:tr w:rsidR="00F80A79" w:rsidRPr="00F80A79" w14:paraId="0EB5B3CE" w14:textId="77777777" w:rsidTr="007907BD">
        <w:trPr>
          <w:jc w:val="center"/>
        </w:trPr>
        <w:tc>
          <w:tcPr>
            <w:tcW w:w="2273" w:type="dxa"/>
            <w:tcBorders>
              <w:top w:val="nil"/>
              <w:left w:val="single" w:sz="4" w:space="0" w:color="auto"/>
              <w:bottom w:val="nil"/>
              <w:right w:val="single" w:sz="4" w:space="0" w:color="auto"/>
            </w:tcBorders>
          </w:tcPr>
          <w:p w14:paraId="54489B2F" w14:textId="77777777" w:rsidR="00F80A79" w:rsidRPr="00F80A79" w:rsidRDefault="00F80A79" w:rsidP="00F80A79">
            <w:pPr>
              <w:ind w:left="113"/>
              <w:rPr>
                <w:sz w:val="20"/>
                <w:szCs w:val="20"/>
              </w:rPr>
            </w:pPr>
            <w:r w:rsidRPr="00F80A79">
              <w:rPr>
                <w:sz w:val="20"/>
                <w:szCs w:val="20"/>
              </w:rPr>
              <w:t>Guajolote</w:t>
            </w:r>
          </w:p>
        </w:tc>
        <w:tc>
          <w:tcPr>
            <w:tcW w:w="1515" w:type="dxa"/>
            <w:tcBorders>
              <w:top w:val="nil"/>
              <w:left w:val="single" w:sz="4" w:space="0" w:color="auto"/>
              <w:bottom w:val="nil"/>
              <w:right w:val="single" w:sz="4" w:space="0" w:color="auto"/>
            </w:tcBorders>
          </w:tcPr>
          <w:p w14:paraId="0076466D" w14:textId="77777777" w:rsidR="00F80A79" w:rsidRPr="00F80A79" w:rsidRDefault="00F80A79" w:rsidP="00F80A79">
            <w:pPr>
              <w:ind w:right="227"/>
              <w:jc w:val="right"/>
              <w:rPr>
                <w:sz w:val="20"/>
                <w:szCs w:val="20"/>
              </w:rPr>
            </w:pPr>
            <w:r w:rsidRPr="00F80A79">
              <w:rPr>
                <w:sz w:val="20"/>
                <w:szCs w:val="20"/>
              </w:rPr>
              <w:t>19 512</w:t>
            </w:r>
          </w:p>
        </w:tc>
        <w:tc>
          <w:tcPr>
            <w:tcW w:w="1453" w:type="dxa"/>
            <w:tcBorders>
              <w:top w:val="nil"/>
              <w:left w:val="single" w:sz="4" w:space="0" w:color="auto"/>
              <w:bottom w:val="nil"/>
              <w:right w:val="single" w:sz="4" w:space="0" w:color="auto"/>
            </w:tcBorders>
          </w:tcPr>
          <w:p w14:paraId="547869BC" w14:textId="77777777" w:rsidR="00F80A79" w:rsidRPr="00F80A79" w:rsidRDefault="00F80A79" w:rsidP="00F80A79">
            <w:pPr>
              <w:ind w:right="227"/>
              <w:jc w:val="right"/>
              <w:rPr>
                <w:sz w:val="20"/>
                <w:szCs w:val="20"/>
              </w:rPr>
            </w:pPr>
            <w:r w:rsidRPr="00F80A79">
              <w:rPr>
                <w:sz w:val="20"/>
                <w:szCs w:val="20"/>
              </w:rPr>
              <w:t>1 217</w:t>
            </w:r>
          </w:p>
        </w:tc>
        <w:tc>
          <w:tcPr>
            <w:tcW w:w="1440" w:type="dxa"/>
            <w:tcBorders>
              <w:top w:val="nil"/>
              <w:left w:val="single" w:sz="4" w:space="0" w:color="auto"/>
              <w:bottom w:val="nil"/>
              <w:right w:val="single" w:sz="4" w:space="0" w:color="auto"/>
            </w:tcBorders>
          </w:tcPr>
          <w:p w14:paraId="2A7D3C99" w14:textId="77777777" w:rsidR="00F80A79" w:rsidRPr="00F80A79" w:rsidRDefault="00F80A79" w:rsidP="00F80A79">
            <w:pPr>
              <w:ind w:right="227"/>
              <w:jc w:val="right"/>
              <w:rPr>
                <w:sz w:val="20"/>
                <w:szCs w:val="20"/>
              </w:rPr>
            </w:pPr>
            <w:r w:rsidRPr="00F80A79">
              <w:rPr>
                <w:sz w:val="20"/>
                <w:szCs w:val="20"/>
              </w:rPr>
              <w:t>1 122</w:t>
            </w:r>
          </w:p>
        </w:tc>
        <w:tc>
          <w:tcPr>
            <w:tcW w:w="1080" w:type="dxa"/>
            <w:tcBorders>
              <w:top w:val="nil"/>
              <w:left w:val="single" w:sz="4" w:space="0" w:color="auto"/>
              <w:bottom w:val="nil"/>
              <w:right w:val="single" w:sz="4" w:space="0" w:color="auto"/>
            </w:tcBorders>
          </w:tcPr>
          <w:p w14:paraId="218A7CB8" w14:textId="77777777" w:rsidR="00F80A79" w:rsidRPr="00F80A79" w:rsidRDefault="00F80A79" w:rsidP="00F80A79">
            <w:pPr>
              <w:ind w:right="284"/>
              <w:jc w:val="right"/>
              <w:rPr>
                <w:sz w:val="20"/>
                <w:szCs w:val="20"/>
              </w:rPr>
            </w:pPr>
            <w:r w:rsidRPr="00F80A79">
              <w:rPr>
                <w:sz w:val="20"/>
                <w:szCs w:val="20"/>
              </w:rPr>
              <w:t>-7.8</w:t>
            </w:r>
          </w:p>
        </w:tc>
        <w:tc>
          <w:tcPr>
            <w:tcW w:w="1080" w:type="dxa"/>
            <w:tcBorders>
              <w:top w:val="nil"/>
              <w:left w:val="single" w:sz="4" w:space="0" w:color="auto"/>
              <w:bottom w:val="nil"/>
              <w:right w:val="single" w:sz="4" w:space="0" w:color="auto"/>
            </w:tcBorders>
          </w:tcPr>
          <w:p w14:paraId="58DF6F17" w14:textId="77777777" w:rsidR="00F80A79" w:rsidRPr="00F80A79" w:rsidRDefault="00F80A79" w:rsidP="00F80A79">
            <w:pPr>
              <w:ind w:right="284"/>
              <w:jc w:val="right"/>
              <w:rPr>
                <w:sz w:val="20"/>
                <w:szCs w:val="20"/>
              </w:rPr>
            </w:pPr>
            <w:r w:rsidRPr="00F80A79">
              <w:rPr>
                <w:sz w:val="20"/>
                <w:szCs w:val="20"/>
              </w:rPr>
              <w:t>5.8</w:t>
            </w:r>
          </w:p>
        </w:tc>
      </w:tr>
      <w:tr w:rsidR="002C730F" w:rsidRPr="002C730F" w14:paraId="29C613E1" w14:textId="77777777" w:rsidTr="007907BD">
        <w:trPr>
          <w:jc w:val="center"/>
        </w:trPr>
        <w:tc>
          <w:tcPr>
            <w:tcW w:w="2273" w:type="dxa"/>
            <w:tcBorders>
              <w:top w:val="nil"/>
              <w:left w:val="single" w:sz="4" w:space="0" w:color="auto"/>
              <w:bottom w:val="nil"/>
              <w:right w:val="single" w:sz="4" w:space="0" w:color="auto"/>
            </w:tcBorders>
          </w:tcPr>
          <w:p w14:paraId="778A1864" w14:textId="2EF56433" w:rsidR="002C730F" w:rsidRPr="002C730F" w:rsidRDefault="002C730F" w:rsidP="00F80A79">
            <w:pPr>
              <w:rPr>
                <w:b/>
                <w:sz w:val="20"/>
                <w:szCs w:val="20"/>
              </w:rPr>
            </w:pPr>
            <w:r w:rsidRPr="002C730F">
              <w:rPr>
                <w:b/>
                <w:sz w:val="20"/>
                <w:szCs w:val="20"/>
              </w:rPr>
              <w:t>Otros productos</w:t>
            </w:r>
          </w:p>
        </w:tc>
        <w:tc>
          <w:tcPr>
            <w:tcW w:w="1515" w:type="dxa"/>
            <w:tcBorders>
              <w:top w:val="nil"/>
              <w:left w:val="single" w:sz="4" w:space="0" w:color="auto"/>
              <w:bottom w:val="nil"/>
              <w:right w:val="single" w:sz="4" w:space="0" w:color="auto"/>
            </w:tcBorders>
          </w:tcPr>
          <w:p w14:paraId="07D6B9DB" w14:textId="77777777" w:rsidR="002C730F" w:rsidRPr="002C730F" w:rsidRDefault="002C730F" w:rsidP="00F80A79">
            <w:pPr>
              <w:ind w:right="227"/>
              <w:jc w:val="right"/>
              <w:rPr>
                <w:b/>
                <w:sz w:val="20"/>
                <w:szCs w:val="20"/>
              </w:rPr>
            </w:pPr>
          </w:p>
        </w:tc>
        <w:tc>
          <w:tcPr>
            <w:tcW w:w="1453" w:type="dxa"/>
            <w:tcBorders>
              <w:top w:val="nil"/>
              <w:left w:val="single" w:sz="4" w:space="0" w:color="auto"/>
              <w:bottom w:val="nil"/>
              <w:right w:val="single" w:sz="4" w:space="0" w:color="auto"/>
            </w:tcBorders>
          </w:tcPr>
          <w:p w14:paraId="53A4AE0C" w14:textId="77777777" w:rsidR="002C730F" w:rsidRPr="002C730F" w:rsidRDefault="002C730F" w:rsidP="00F80A79">
            <w:pPr>
              <w:ind w:right="227"/>
              <w:jc w:val="right"/>
              <w:rPr>
                <w:b/>
                <w:sz w:val="20"/>
                <w:szCs w:val="20"/>
              </w:rPr>
            </w:pPr>
          </w:p>
        </w:tc>
        <w:tc>
          <w:tcPr>
            <w:tcW w:w="1440" w:type="dxa"/>
            <w:tcBorders>
              <w:top w:val="nil"/>
              <w:left w:val="single" w:sz="4" w:space="0" w:color="auto"/>
              <w:bottom w:val="nil"/>
              <w:right w:val="single" w:sz="4" w:space="0" w:color="auto"/>
            </w:tcBorders>
          </w:tcPr>
          <w:p w14:paraId="6FB5D1A2" w14:textId="77777777" w:rsidR="002C730F" w:rsidRPr="002C730F" w:rsidRDefault="002C730F" w:rsidP="00F80A79">
            <w:pPr>
              <w:ind w:right="227"/>
              <w:jc w:val="right"/>
              <w:rPr>
                <w:b/>
                <w:sz w:val="20"/>
                <w:szCs w:val="20"/>
              </w:rPr>
            </w:pPr>
          </w:p>
        </w:tc>
        <w:tc>
          <w:tcPr>
            <w:tcW w:w="1080" w:type="dxa"/>
            <w:tcBorders>
              <w:top w:val="nil"/>
              <w:left w:val="single" w:sz="4" w:space="0" w:color="auto"/>
              <w:bottom w:val="nil"/>
              <w:right w:val="single" w:sz="4" w:space="0" w:color="auto"/>
            </w:tcBorders>
          </w:tcPr>
          <w:p w14:paraId="2D381470" w14:textId="77777777" w:rsidR="002C730F" w:rsidRPr="002C730F" w:rsidRDefault="002C730F" w:rsidP="00F80A79">
            <w:pPr>
              <w:ind w:right="284"/>
              <w:jc w:val="right"/>
              <w:rPr>
                <w:b/>
                <w:sz w:val="20"/>
                <w:szCs w:val="20"/>
              </w:rPr>
            </w:pPr>
          </w:p>
        </w:tc>
        <w:tc>
          <w:tcPr>
            <w:tcW w:w="1080" w:type="dxa"/>
            <w:tcBorders>
              <w:top w:val="nil"/>
              <w:left w:val="single" w:sz="4" w:space="0" w:color="auto"/>
              <w:bottom w:val="nil"/>
              <w:right w:val="single" w:sz="4" w:space="0" w:color="auto"/>
            </w:tcBorders>
          </w:tcPr>
          <w:p w14:paraId="5B74C568" w14:textId="77777777" w:rsidR="002C730F" w:rsidRPr="002C730F" w:rsidRDefault="002C730F" w:rsidP="00F80A79">
            <w:pPr>
              <w:ind w:right="284"/>
              <w:jc w:val="right"/>
              <w:rPr>
                <w:b/>
                <w:sz w:val="20"/>
                <w:szCs w:val="20"/>
              </w:rPr>
            </w:pPr>
          </w:p>
        </w:tc>
      </w:tr>
      <w:bookmarkEnd w:id="9"/>
      <w:tr w:rsidR="00F80A79" w:rsidRPr="00F80A79" w14:paraId="57CD6C5C" w14:textId="77777777" w:rsidTr="007907BD">
        <w:trPr>
          <w:jc w:val="center"/>
        </w:trPr>
        <w:tc>
          <w:tcPr>
            <w:tcW w:w="2273" w:type="dxa"/>
            <w:tcBorders>
              <w:top w:val="nil"/>
              <w:left w:val="single" w:sz="4" w:space="0" w:color="auto"/>
              <w:bottom w:val="nil"/>
              <w:right w:val="single" w:sz="4" w:space="0" w:color="auto"/>
            </w:tcBorders>
          </w:tcPr>
          <w:p w14:paraId="6BBF8F45" w14:textId="77777777" w:rsidR="00F80A79" w:rsidRPr="00F80A79" w:rsidRDefault="00F80A79" w:rsidP="00F80A79">
            <w:pPr>
              <w:rPr>
                <w:sz w:val="20"/>
                <w:szCs w:val="20"/>
              </w:rPr>
            </w:pPr>
            <w:r w:rsidRPr="00F80A79">
              <w:rPr>
                <w:sz w:val="20"/>
                <w:szCs w:val="20"/>
              </w:rPr>
              <w:t>Huevo para plato</w:t>
            </w:r>
          </w:p>
        </w:tc>
        <w:tc>
          <w:tcPr>
            <w:tcW w:w="1515" w:type="dxa"/>
            <w:tcBorders>
              <w:top w:val="nil"/>
              <w:left w:val="single" w:sz="4" w:space="0" w:color="auto"/>
              <w:bottom w:val="nil"/>
              <w:right w:val="single" w:sz="4" w:space="0" w:color="auto"/>
            </w:tcBorders>
          </w:tcPr>
          <w:p w14:paraId="2EE83511" w14:textId="77777777" w:rsidR="00F80A79" w:rsidRPr="00F80A79" w:rsidRDefault="00F80A79" w:rsidP="00F80A79">
            <w:pPr>
              <w:ind w:right="227"/>
              <w:jc w:val="right"/>
              <w:rPr>
                <w:sz w:val="20"/>
                <w:szCs w:val="20"/>
              </w:rPr>
            </w:pPr>
            <w:r w:rsidRPr="00F80A79">
              <w:rPr>
                <w:sz w:val="20"/>
                <w:szCs w:val="20"/>
              </w:rPr>
              <w:t>2 618 795</w:t>
            </w:r>
          </w:p>
        </w:tc>
        <w:tc>
          <w:tcPr>
            <w:tcW w:w="1453" w:type="dxa"/>
            <w:tcBorders>
              <w:top w:val="nil"/>
              <w:left w:val="single" w:sz="4" w:space="0" w:color="auto"/>
              <w:bottom w:val="nil"/>
              <w:right w:val="single" w:sz="4" w:space="0" w:color="auto"/>
            </w:tcBorders>
          </w:tcPr>
          <w:p w14:paraId="1D488F57" w14:textId="77777777" w:rsidR="00F80A79" w:rsidRPr="00F80A79" w:rsidRDefault="00F80A79" w:rsidP="00F80A79">
            <w:pPr>
              <w:ind w:right="227"/>
              <w:jc w:val="right"/>
              <w:rPr>
                <w:sz w:val="20"/>
                <w:szCs w:val="20"/>
              </w:rPr>
            </w:pPr>
            <w:r w:rsidRPr="00F80A79">
              <w:rPr>
                <w:sz w:val="20"/>
                <w:szCs w:val="20"/>
              </w:rPr>
              <w:t>203 350</w:t>
            </w:r>
          </w:p>
        </w:tc>
        <w:tc>
          <w:tcPr>
            <w:tcW w:w="1440" w:type="dxa"/>
            <w:tcBorders>
              <w:top w:val="nil"/>
              <w:left w:val="single" w:sz="4" w:space="0" w:color="auto"/>
              <w:bottom w:val="nil"/>
              <w:right w:val="single" w:sz="4" w:space="0" w:color="auto"/>
            </w:tcBorders>
          </w:tcPr>
          <w:p w14:paraId="03AFBEFF" w14:textId="77777777" w:rsidR="00F80A79" w:rsidRPr="00F80A79" w:rsidRDefault="00F80A79" w:rsidP="00F80A79">
            <w:pPr>
              <w:ind w:right="227"/>
              <w:jc w:val="right"/>
              <w:rPr>
                <w:sz w:val="20"/>
                <w:szCs w:val="20"/>
              </w:rPr>
            </w:pPr>
            <w:r w:rsidRPr="00F80A79">
              <w:rPr>
                <w:sz w:val="20"/>
                <w:szCs w:val="20"/>
              </w:rPr>
              <w:t>207 936</w:t>
            </w:r>
          </w:p>
        </w:tc>
        <w:tc>
          <w:tcPr>
            <w:tcW w:w="1080" w:type="dxa"/>
            <w:tcBorders>
              <w:top w:val="nil"/>
              <w:left w:val="single" w:sz="4" w:space="0" w:color="auto"/>
              <w:bottom w:val="nil"/>
              <w:right w:val="single" w:sz="4" w:space="0" w:color="auto"/>
            </w:tcBorders>
          </w:tcPr>
          <w:p w14:paraId="083EED92" w14:textId="77777777" w:rsidR="00F80A79" w:rsidRPr="00F80A79" w:rsidRDefault="00F80A79" w:rsidP="00F80A79">
            <w:pPr>
              <w:ind w:right="284"/>
              <w:jc w:val="right"/>
              <w:rPr>
                <w:sz w:val="20"/>
                <w:szCs w:val="20"/>
              </w:rPr>
            </w:pPr>
            <w:r w:rsidRPr="00F80A79">
              <w:rPr>
                <w:sz w:val="20"/>
                <w:szCs w:val="20"/>
              </w:rPr>
              <w:t>2.3</w:t>
            </w:r>
          </w:p>
        </w:tc>
        <w:tc>
          <w:tcPr>
            <w:tcW w:w="1080" w:type="dxa"/>
            <w:tcBorders>
              <w:top w:val="nil"/>
              <w:left w:val="single" w:sz="4" w:space="0" w:color="auto"/>
              <w:bottom w:val="nil"/>
              <w:right w:val="single" w:sz="4" w:space="0" w:color="auto"/>
            </w:tcBorders>
          </w:tcPr>
          <w:p w14:paraId="712C9E9A" w14:textId="77777777" w:rsidR="00F80A79" w:rsidRPr="00F80A79" w:rsidRDefault="00F80A79" w:rsidP="00F80A79">
            <w:pPr>
              <w:ind w:right="284"/>
              <w:jc w:val="right"/>
              <w:rPr>
                <w:sz w:val="20"/>
                <w:szCs w:val="20"/>
              </w:rPr>
            </w:pPr>
            <w:r w:rsidRPr="00F80A79">
              <w:rPr>
                <w:sz w:val="20"/>
                <w:szCs w:val="20"/>
              </w:rPr>
              <w:t>7.9</w:t>
            </w:r>
          </w:p>
        </w:tc>
      </w:tr>
      <w:tr w:rsidR="00F80A79" w:rsidRPr="00F80A79" w14:paraId="348F1191" w14:textId="77777777" w:rsidTr="007907BD">
        <w:trPr>
          <w:jc w:val="center"/>
        </w:trPr>
        <w:tc>
          <w:tcPr>
            <w:tcW w:w="2273" w:type="dxa"/>
            <w:tcBorders>
              <w:top w:val="nil"/>
              <w:left w:val="single" w:sz="4" w:space="0" w:color="auto"/>
              <w:bottom w:val="nil"/>
              <w:right w:val="single" w:sz="4" w:space="0" w:color="auto"/>
            </w:tcBorders>
          </w:tcPr>
          <w:p w14:paraId="7EC2ED58" w14:textId="77777777" w:rsidR="00F80A79" w:rsidRPr="00F80A79" w:rsidRDefault="00F80A79" w:rsidP="00F80A79">
            <w:pPr>
              <w:rPr>
                <w:sz w:val="20"/>
                <w:szCs w:val="20"/>
              </w:rPr>
            </w:pPr>
            <w:r w:rsidRPr="00F80A79">
              <w:rPr>
                <w:sz w:val="20"/>
                <w:szCs w:val="20"/>
              </w:rPr>
              <w:t>Miel</w:t>
            </w:r>
          </w:p>
        </w:tc>
        <w:tc>
          <w:tcPr>
            <w:tcW w:w="1515" w:type="dxa"/>
            <w:tcBorders>
              <w:top w:val="nil"/>
              <w:left w:val="single" w:sz="4" w:space="0" w:color="auto"/>
              <w:bottom w:val="nil"/>
              <w:right w:val="single" w:sz="4" w:space="0" w:color="auto"/>
            </w:tcBorders>
          </w:tcPr>
          <w:p w14:paraId="171846B4" w14:textId="77777777" w:rsidR="00F80A79" w:rsidRPr="00F80A79" w:rsidRDefault="00F80A79" w:rsidP="00F80A79">
            <w:pPr>
              <w:ind w:right="227"/>
              <w:jc w:val="right"/>
              <w:rPr>
                <w:sz w:val="20"/>
                <w:szCs w:val="20"/>
              </w:rPr>
            </w:pPr>
            <w:r w:rsidRPr="00F80A79">
              <w:rPr>
                <w:sz w:val="20"/>
                <w:szCs w:val="20"/>
              </w:rPr>
              <w:t>64 436</w:t>
            </w:r>
          </w:p>
        </w:tc>
        <w:tc>
          <w:tcPr>
            <w:tcW w:w="1453" w:type="dxa"/>
            <w:tcBorders>
              <w:top w:val="nil"/>
              <w:left w:val="single" w:sz="4" w:space="0" w:color="auto"/>
              <w:bottom w:val="nil"/>
              <w:right w:val="single" w:sz="4" w:space="0" w:color="auto"/>
            </w:tcBorders>
          </w:tcPr>
          <w:p w14:paraId="195D1314" w14:textId="77777777" w:rsidR="00F80A79" w:rsidRPr="00F80A79" w:rsidRDefault="00F80A79" w:rsidP="00F80A79">
            <w:pPr>
              <w:ind w:right="227"/>
              <w:jc w:val="right"/>
              <w:rPr>
                <w:sz w:val="20"/>
                <w:szCs w:val="20"/>
              </w:rPr>
            </w:pPr>
            <w:r w:rsidRPr="00F80A79">
              <w:rPr>
                <w:sz w:val="20"/>
                <w:szCs w:val="20"/>
              </w:rPr>
              <w:t>1 999</w:t>
            </w:r>
          </w:p>
        </w:tc>
        <w:tc>
          <w:tcPr>
            <w:tcW w:w="1440" w:type="dxa"/>
            <w:tcBorders>
              <w:top w:val="nil"/>
              <w:left w:val="single" w:sz="4" w:space="0" w:color="auto"/>
              <w:bottom w:val="nil"/>
              <w:right w:val="single" w:sz="4" w:space="0" w:color="auto"/>
            </w:tcBorders>
          </w:tcPr>
          <w:p w14:paraId="22B195C6" w14:textId="77777777" w:rsidR="00F80A79" w:rsidRPr="00F80A79" w:rsidRDefault="00F80A79" w:rsidP="00F80A79">
            <w:pPr>
              <w:ind w:right="227"/>
              <w:jc w:val="right"/>
              <w:rPr>
                <w:sz w:val="20"/>
                <w:szCs w:val="20"/>
              </w:rPr>
            </w:pPr>
            <w:r w:rsidRPr="00F80A79">
              <w:rPr>
                <w:sz w:val="20"/>
                <w:szCs w:val="20"/>
              </w:rPr>
              <w:t>2 191</w:t>
            </w:r>
          </w:p>
        </w:tc>
        <w:tc>
          <w:tcPr>
            <w:tcW w:w="1080" w:type="dxa"/>
            <w:tcBorders>
              <w:top w:val="nil"/>
              <w:left w:val="single" w:sz="4" w:space="0" w:color="auto"/>
              <w:bottom w:val="nil"/>
              <w:right w:val="single" w:sz="4" w:space="0" w:color="auto"/>
            </w:tcBorders>
          </w:tcPr>
          <w:p w14:paraId="11CB868D" w14:textId="77777777" w:rsidR="00F80A79" w:rsidRPr="00F80A79" w:rsidRDefault="00F80A79" w:rsidP="00F80A79">
            <w:pPr>
              <w:ind w:right="284"/>
              <w:jc w:val="right"/>
              <w:rPr>
                <w:sz w:val="20"/>
                <w:szCs w:val="20"/>
              </w:rPr>
            </w:pPr>
            <w:r w:rsidRPr="00F80A79">
              <w:rPr>
                <w:sz w:val="20"/>
                <w:szCs w:val="20"/>
              </w:rPr>
              <w:t>9.6</w:t>
            </w:r>
          </w:p>
        </w:tc>
        <w:tc>
          <w:tcPr>
            <w:tcW w:w="1080" w:type="dxa"/>
            <w:tcBorders>
              <w:top w:val="nil"/>
              <w:left w:val="single" w:sz="4" w:space="0" w:color="auto"/>
              <w:bottom w:val="nil"/>
              <w:right w:val="single" w:sz="4" w:space="0" w:color="auto"/>
            </w:tcBorders>
          </w:tcPr>
          <w:p w14:paraId="47F59CD9" w14:textId="77777777" w:rsidR="00F80A79" w:rsidRPr="00F80A79" w:rsidRDefault="00F80A79" w:rsidP="00F80A79">
            <w:pPr>
              <w:ind w:right="284"/>
              <w:jc w:val="right"/>
              <w:rPr>
                <w:sz w:val="20"/>
                <w:szCs w:val="20"/>
              </w:rPr>
            </w:pPr>
            <w:r w:rsidRPr="00F80A79">
              <w:rPr>
                <w:sz w:val="20"/>
                <w:szCs w:val="20"/>
              </w:rPr>
              <w:t>3.4</w:t>
            </w:r>
          </w:p>
        </w:tc>
      </w:tr>
      <w:tr w:rsidR="00F80A79" w:rsidRPr="00F80A79" w14:paraId="303A1DF6" w14:textId="77777777" w:rsidTr="007907BD">
        <w:trPr>
          <w:jc w:val="center"/>
        </w:trPr>
        <w:tc>
          <w:tcPr>
            <w:tcW w:w="2273" w:type="dxa"/>
            <w:tcBorders>
              <w:top w:val="nil"/>
              <w:left w:val="single" w:sz="4" w:space="0" w:color="auto"/>
              <w:bottom w:val="nil"/>
              <w:right w:val="single" w:sz="4" w:space="0" w:color="auto"/>
            </w:tcBorders>
          </w:tcPr>
          <w:p w14:paraId="6FA1AE41" w14:textId="77777777" w:rsidR="00F80A79" w:rsidRPr="00F80A79" w:rsidRDefault="00F80A79" w:rsidP="00F80A79">
            <w:pPr>
              <w:rPr>
                <w:sz w:val="20"/>
                <w:szCs w:val="20"/>
              </w:rPr>
            </w:pPr>
            <w:r w:rsidRPr="00F80A79">
              <w:rPr>
                <w:sz w:val="20"/>
                <w:szCs w:val="20"/>
              </w:rPr>
              <w:t>Cera en greña</w:t>
            </w:r>
          </w:p>
        </w:tc>
        <w:tc>
          <w:tcPr>
            <w:tcW w:w="1515" w:type="dxa"/>
            <w:tcBorders>
              <w:top w:val="nil"/>
              <w:left w:val="single" w:sz="4" w:space="0" w:color="auto"/>
              <w:bottom w:val="nil"/>
              <w:right w:val="single" w:sz="4" w:space="0" w:color="auto"/>
            </w:tcBorders>
          </w:tcPr>
          <w:p w14:paraId="28A6F7DD" w14:textId="77777777" w:rsidR="00F80A79" w:rsidRPr="00F80A79" w:rsidRDefault="00F80A79" w:rsidP="00F80A79">
            <w:pPr>
              <w:ind w:right="227"/>
              <w:jc w:val="right"/>
              <w:rPr>
                <w:sz w:val="20"/>
                <w:szCs w:val="20"/>
              </w:rPr>
            </w:pPr>
            <w:r w:rsidRPr="00F80A79">
              <w:rPr>
                <w:sz w:val="20"/>
                <w:szCs w:val="20"/>
              </w:rPr>
              <w:t>2 125</w:t>
            </w:r>
          </w:p>
        </w:tc>
        <w:tc>
          <w:tcPr>
            <w:tcW w:w="1453" w:type="dxa"/>
            <w:tcBorders>
              <w:top w:val="nil"/>
              <w:left w:val="single" w:sz="4" w:space="0" w:color="auto"/>
              <w:bottom w:val="nil"/>
              <w:right w:val="single" w:sz="4" w:space="0" w:color="auto"/>
            </w:tcBorders>
          </w:tcPr>
          <w:p w14:paraId="287FA3B1" w14:textId="77777777" w:rsidR="00F80A79" w:rsidRPr="00F80A79" w:rsidRDefault="00F80A79" w:rsidP="00F80A79">
            <w:pPr>
              <w:ind w:right="227"/>
              <w:jc w:val="right"/>
              <w:rPr>
                <w:sz w:val="20"/>
                <w:szCs w:val="20"/>
              </w:rPr>
            </w:pPr>
            <w:r w:rsidRPr="00F80A79">
              <w:rPr>
                <w:sz w:val="20"/>
                <w:szCs w:val="20"/>
              </w:rPr>
              <w:t>48</w:t>
            </w:r>
          </w:p>
        </w:tc>
        <w:tc>
          <w:tcPr>
            <w:tcW w:w="1440" w:type="dxa"/>
            <w:tcBorders>
              <w:top w:val="nil"/>
              <w:left w:val="single" w:sz="4" w:space="0" w:color="auto"/>
              <w:bottom w:val="nil"/>
              <w:right w:val="single" w:sz="4" w:space="0" w:color="auto"/>
            </w:tcBorders>
          </w:tcPr>
          <w:p w14:paraId="43B77EF0" w14:textId="77777777" w:rsidR="00F80A79" w:rsidRPr="00F80A79" w:rsidRDefault="00F80A79" w:rsidP="00F80A79">
            <w:pPr>
              <w:ind w:right="227"/>
              <w:jc w:val="right"/>
              <w:rPr>
                <w:sz w:val="20"/>
                <w:szCs w:val="20"/>
              </w:rPr>
            </w:pPr>
            <w:r w:rsidRPr="00F80A79">
              <w:rPr>
                <w:sz w:val="20"/>
                <w:szCs w:val="20"/>
              </w:rPr>
              <w:t>59</w:t>
            </w:r>
          </w:p>
        </w:tc>
        <w:tc>
          <w:tcPr>
            <w:tcW w:w="1080" w:type="dxa"/>
            <w:tcBorders>
              <w:top w:val="nil"/>
              <w:left w:val="single" w:sz="4" w:space="0" w:color="auto"/>
              <w:bottom w:val="nil"/>
              <w:right w:val="single" w:sz="4" w:space="0" w:color="auto"/>
            </w:tcBorders>
          </w:tcPr>
          <w:p w14:paraId="718D9B85" w14:textId="77777777" w:rsidR="00F80A79" w:rsidRPr="00F80A79" w:rsidRDefault="00F80A79" w:rsidP="00F80A79">
            <w:pPr>
              <w:ind w:right="284"/>
              <w:jc w:val="right"/>
              <w:rPr>
                <w:sz w:val="20"/>
                <w:szCs w:val="20"/>
              </w:rPr>
            </w:pPr>
            <w:r w:rsidRPr="00F80A79">
              <w:rPr>
                <w:sz w:val="20"/>
                <w:szCs w:val="20"/>
              </w:rPr>
              <w:t>23.0</w:t>
            </w:r>
          </w:p>
        </w:tc>
        <w:tc>
          <w:tcPr>
            <w:tcW w:w="1080" w:type="dxa"/>
            <w:tcBorders>
              <w:top w:val="nil"/>
              <w:left w:val="single" w:sz="4" w:space="0" w:color="auto"/>
              <w:bottom w:val="nil"/>
              <w:right w:val="single" w:sz="4" w:space="0" w:color="auto"/>
            </w:tcBorders>
          </w:tcPr>
          <w:p w14:paraId="60943174" w14:textId="77777777" w:rsidR="00F80A79" w:rsidRPr="00F80A79" w:rsidRDefault="00F80A79" w:rsidP="00F80A79">
            <w:pPr>
              <w:ind w:right="284"/>
              <w:jc w:val="right"/>
              <w:rPr>
                <w:sz w:val="20"/>
                <w:szCs w:val="20"/>
              </w:rPr>
            </w:pPr>
            <w:r w:rsidRPr="00F80A79">
              <w:rPr>
                <w:sz w:val="20"/>
                <w:szCs w:val="20"/>
              </w:rPr>
              <w:t>2.8</w:t>
            </w:r>
          </w:p>
        </w:tc>
      </w:tr>
      <w:tr w:rsidR="00F80A79" w:rsidRPr="00F80A79" w14:paraId="011D8178" w14:textId="77777777" w:rsidTr="007907BD">
        <w:trPr>
          <w:jc w:val="center"/>
        </w:trPr>
        <w:tc>
          <w:tcPr>
            <w:tcW w:w="2273" w:type="dxa"/>
            <w:tcBorders>
              <w:top w:val="nil"/>
              <w:left w:val="single" w:sz="4" w:space="0" w:color="auto"/>
              <w:bottom w:val="single" w:sz="4" w:space="0" w:color="auto"/>
              <w:right w:val="single" w:sz="4" w:space="0" w:color="auto"/>
            </w:tcBorders>
          </w:tcPr>
          <w:p w14:paraId="409C32A5" w14:textId="77777777" w:rsidR="00F80A79" w:rsidRPr="00F80A79" w:rsidRDefault="00F80A79" w:rsidP="00F80A79">
            <w:pPr>
              <w:rPr>
                <w:sz w:val="20"/>
                <w:szCs w:val="20"/>
              </w:rPr>
            </w:pPr>
            <w:r w:rsidRPr="00F80A79">
              <w:rPr>
                <w:sz w:val="20"/>
                <w:szCs w:val="20"/>
              </w:rPr>
              <w:t>Lana sucia</w:t>
            </w:r>
          </w:p>
        </w:tc>
        <w:tc>
          <w:tcPr>
            <w:tcW w:w="1515" w:type="dxa"/>
            <w:tcBorders>
              <w:top w:val="nil"/>
              <w:left w:val="single" w:sz="4" w:space="0" w:color="auto"/>
              <w:bottom w:val="single" w:sz="4" w:space="0" w:color="auto"/>
              <w:right w:val="single" w:sz="4" w:space="0" w:color="auto"/>
            </w:tcBorders>
          </w:tcPr>
          <w:p w14:paraId="434FBA55" w14:textId="77777777" w:rsidR="00F80A79" w:rsidRPr="00F80A79" w:rsidRDefault="00F80A79" w:rsidP="00F80A79">
            <w:pPr>
              <w:ind w:right="227"/>
              <w:jc w:val="right"/>
              <w:rPr>
                <w:sz w:val="20"/>
                <w:szCs w:val="20"/>
              </w:rPr>
            </w:pPr>
            <w:r w:rsidRPr="00F80A79">
              <w:rPr>
                <w:sz w:val="20"/>
                <w:szCs w:val="20"/>
              </w:rPr>
              <w:t>5 084</w:t>
            </w:r>
          </w:p>
        </w:tc>
        <w:tc>
          <w:tcPr>
            <w:tcW w:w="1453" w:type="dxa"/>
            <w:tcBorders>
              <w:top w:val="nil"/>
              <w:left w:val="single" w:sz="4" w:space="0" w:color="auto"/>
              <w:bottom w:val="single" w:sz="4" w:space="0" w:color="auto"/>
              <w:right w:val="single" w:sz="4" w:space="0" w:color="auto"/>
            </w:tcBorders>
          </w:tcPr>
          <w:p w14:paraId="64AC3946" w14:textId="77777777" w:rsidR="00F80A79" w:rsidRPr="00F80A79" w:rsidRDefault="00F80A79" w:rsidP="00F80A79">
            <w:pPr>
              <w:ind w:right="227"/>
              <w:jc w:val="right"/>
              <w:rPr>
                <w:sz w:val="20"/>
                <w:szCs w:val="20"/>
              </w:rPr>
            </w:pPr>
            <w:r w:rsidRPr="00F80A79">
              <w:rPr>
                <w:sz w:val="20"/>
                <w:szCs w:val="20"/>
              </w:rPr>
              <w:t>16</w:t>
            </w:r>
          </w:p>
        </w:tc>
        <w:tc>
          <w:tcPr>
            <w:tcW w:w="1440" w:type="dxa"/>
            <w:tcBorders>
              <w:top w:val="nil"/>
              <w:left w:val="single" w:sz="4" w:space="0" w:color="auto"/>
              <w:bottom w:val="single" w:sz="4" w:space="0" w:color="auto"/>
              <w:right w:val="single" w:sz="4" w:space="0" w:color="auto"/>
            </w:tcBorders>
          </w:tcPr>
          <w:p w14:paraId="3E1E2FEF" w14:textId="77777777" w:rsidR="00F80A79" w:rsidRPr="00F80A79" w:rsidRDefault="00F80A79" w:rsidP="00F80A79">
            <w:pPr>
              <w:ind w:right="227"/>
              <w:jc w:val="right"/>
              <w:rPr>
                <w:sz w:val="20"/>
                <w:szCs w:val="20"/>
              </w:rPr>
            </w:pPr>
            <w:r w:rsidRPr="00F80A79">
              <w:rPr>
                <w:sz w:val="20"/>
                <w:szCs w:val="20"/>
              </w:rPr>
              <w:t>16</w:t>
            </w:r>
          </w:p>
        </w:tc>
        <w:tc>
          <w:tcPr>
            <w:tcW w:w="1080" w:type="dxa"/>
            <w:tcBorders>
              <w:top w:val="nil"/>
              <w:left w:val="single" w:sz="4" w:space="0" w:color="auto"/>
              <w:bottom w:val="single" w:sz="4" w:space="0" w:color="auto"/>
              <w:right w:val="single" w:sz="4" w:space="0" w:color="auto"/>
            </w:tcBorders>
          </w:tcPr>
          <w:p w14:paraId="2721C72E" w14:textId="77777777" w:rsidR="00F80A79" w:rsidRPr="00F80A79" w:rsidRDefault="00F80A79" w:rsidP="00F80A79">
            <w:pPr>
              <w:ind w:right="284"/>
              <w:jc w:val="right"/>
              <w:rPr>
                <w:sz w:val="20"/>
                <w:szCs w:val="20"/>
              </w:rPr>
            </w:pPr>
            <w:r w:rsidRPr="00F80A79">
              <w:rPr>
                <w:sz w:val="20"/>
                <w:szCs w:val="20"/>
              </w:rPr>
              <w:t>-1.1</w:t>
            </w:r>
          </w:p>
        </w:tc>
        <w:tc>
          <w:tcPr>
            <w:tcW w:w="1080" w:type="dxa"/>
            <w:tcBorders>
              <w:top w:val="nil"/>
              <w:left w:val="single" w:sz="4" w:space="0" w:color="auto"/>
              <w:bottom w:val="single" w:sz="4" w:space="0" w:color="auto"/>
              <w:right w:val="single" w:sz="4" w:space="0" w:color="auto"/>
            </w:tcBorders>
          </w:tcPr>
          <w:p w14:paraId="55E30401" w14:textId="77777777" w:rsidR="00F80A79" w:rsidRPr="00F80A79" w:rsidRDefault="00F80A79" w:rsidP="00F80A79">
            <w:pPr>
              <w:ind w:right="284"/>
              <w:jc w:val="right"/>
              <w:rPr>
                <w:sz w:val="20"/>
                <w:szCs w:val="20"/>
              </w:rPr>
            </w:pPr>
            <w:r w:rsidRPr="00F80A79">
              <w:rPr>
                <w:sz w:val="20"/>
                <w:szCs w:val="20"/>
              </w:rPr>
              <w:t>0.3</w:t>
            </w:r>
          </w:p>
        </w:tc>
      </w:tr>
      <w:tr w:rsidR="00F80A79" w:rsidRPr="00F80A79" w14:paraId="2D1844DC" w14:textId="77777777" w:rsidTr="007907BD">
        <w:trPr>
          <w:jc w:val="center"/>
        </w:trPr>
        <w:tc>
          <w:tcPr>
            <w:tcW w:w="8841" w:type="dxa"/>
            <w:gridSpan w:val="6"/>
            <w:tcBorders>
              <w:top w:val="single" w:sz="4" w:space="0" w:color="auto"/>
              <w:left w:val="nil"/>
              <w:bottom w:val="nil"/>
              <w:right w:val="nil"/>
            </w:tcBorders>
          </w:tcPr>
          <w:p w14:paraId="63FC89AB" w14:textId="77777777" w:rsidR="00F80A79" w:rsidRPr="00F80A79" w:rsidRDefault="00F80A79" w:rsidP="00F80A79">
            <w:pPr>
              <w:ind w:left="510" w:hanging="510"/>
              <w:jc w:val="both"/>
              <w:rPr>
                <w:sz w:val="20"/>
                <w:szCs w:val="20"/>
              </w:rPr>
            </w:pPr>
            <w:r w:rsidRPr="00F80A79">
              <w:rPr>
                <w:sz w:val="20"/>
                <w:szCs w:val="20"/>
              </w:rPr>
              <w:t>Nota: Los totales de leche y carne en canal podrían no coincidir con la suma de las cifras por producto debido a que los decimales están redondeados a enteros.</w:t>
            </w:r>
          </w:p>
          <w:p w14:paraId="6A3A6459" w14:textId="77777777" w:rsidR="00F80A79" w:rsidRPr="00F80A79" w:rsidRDefault="00F80A79" w:rsidP="00F80A79">
            <w:pPr>
              <w:jc w:val="both"/>
              <w:rPr>
                <w:sz w:val="20"/>
                <w:szCs w:val="20"/>
              </w:rPr>
            </w:pPr>
            <w:r w:rsidRPr="00F80A79">
              <w:rPr>
                <w:sz w:val="20"/>
                <w:szCs w:val="20"/>
              </w:rPr>
              <w:t>*   Cifras preliminares.</w:t>
            </w:r>
          </w:p>
          <w:p w14:paraId="5D289FF8" w14:textId="77777777" w:rsidR="00F80A79" w:rsidRPr="00F80A79" w:rsidRDefault="00F80A79" w:rsidP="00F80A79">
            <w:pPr>
              <w:jc w:val="both"/>
              <w:rPr>
                <w:sz w:val="20"/>
                <w:szCs w:val="20"/>
              </w:rPr>
            </w:pPr>
            <w:r w:rsidRPr="00F80A79">
              <w:rPr>
                <w:sz w:val="20"/>
                <w:szCs w:val="20"/>
                <w:u w:val="single"/>
              </w:rPr>
              <w:t>1</w:t>
            </w:r>
            <w:r w:rsidRPr="00F80A79">
              <w:rPr>
                <w:sz w:val="20"/>
                <w:szCs w:val="20"/>
              </w:rPr>
              <w:t>/  Se refiere a pollo, gallina ligera y pesada que ha finalizado su ciclo productivo.</w:t>
            </w:r>
          </w:p>
          <w:p w14:paraId="7A8DCDAC" w14:textId="77777777" w:rsidR="00F80A79" w:rsidRPr="00F80A79" w:rsidRDefault="00F80A79" w:rsidP="00F80A79">
            <w:pPr>
              <w:ind w:left="936" w:right="340" w:hanging="936"/>
              <w:jc w:val="both"/>
              <w:rPr>
                <w:sz w:val="20"/>
                <w:szCs w:val="20"/>
              </w:rPr>
            </w:pPr>
            <w:r w:rsidRPr="00F80A79">
              <w:rPr>
                <w:sz w:val="20"/>
                <w:szCs w:val="20"/>
              </w:rPr>
              <w:t>FUENTE: Servicio de Información Agroalimentaria y Pesquera (SIAP) con información de las Delegaciones de la SAGARPA.</w:t>
            </w:r>
          </w:p>
        </w:tc>
      </w:tr>
      <w:bookmarkEnd w:id="6"/>
      <w:bookmarkEnd w:id="7"/>
      <w:bookmarkEnd w:id="8"/>
    </w:tbl>
    <w:p w14:paraId="17166BB0" w14:textId="77777777" w:rsidR="00F80A79" w:rsidRPr="00F80A79" w:rsidRDefault="00F80A79" w:rsidP="00F80A79">
      <w:pPr>
        <w:spacing w:after="120"/>
        <w:ind w:right="-159"/>
        <w:jc w:val="both"/>
        <w:rPr>
          <w:b/>
          <w:sz w:val="20"/>
          <w:szCs w:val="20"/>
        </w:rPr>
      </w:pPr>
    </w:p>
    <w:p w14:paraId="522E0884" w14:textId="77777777" w:rsidR="00F80A79" w:rsidRPr="00F80A79" w:rsidRDefault="00F80A79" w:rsidP="00F80A79">
      <w:pPr>
        <w:ind w:right="-159"/>
        <w:jc w:val="both"/>
        <w:rPr>
          <w:b/>
          <w:sz w:val="20"/>
          <w:szCs w:val="20"/>
        </w:rPr>
      </w:pPr>
      <w:r w:rsidRPr="00F80A79">
        <w:rPr>
          <w:b/>
          <w:sz w:val="20"/>
          <w:szCs w:val="20"/>
        </w:rPr>
        <w:t xml:space="preserve">Fuente de información: </w:t>
      </w:r>
    </w:p>
    <w:p w14:paraId="4B099807" w14:textId="6CB15D41" w:rsidR="00F80A79" w:rsidRPr="009177B7" w:rsidRDefault="0093224F" w:rsidP="009177B7">
      <w:pPr>
        <w:spacing w:after="720"/>
        <w:ind w:right="-159"/>
        <w:jc w:val="both"/>
        <w:rPr>
          <w:color w:val="0000FF"/>
          <w:sz w:val="20"/>
          <w:szCs w:val="20"/>
        </w:rPr>
      </w:pPr>
      <w:hyperlink r:id="rId105" w:history="1">
        <w:r w:rsidR="00F80A79" w:rsidRPr="009177B7">
          <w:rPr>
            <w:color w:val="0000FF"/>
            <w:sz w:val="20"/>
            <w:szCs w:val="20"/>
            <w:u w:val="single"/>
          </w:rPr>
          <w:t>http://www.siap.gob.mx/ganaderia-avance-comparativo/</w:t>
        </w:r>
      </w:hyperlink>
    </w:p>
    <w:p w14:paraId="46B8145F" w14:textId="77777777" w:rsidR="0074473B" w:rsidRPr="0074473B" w:rsidRDefault="0074473B" w:rsidP="0074473B">
      <w:pPr>
        <w:rPr>
          <w:rFonts w:eastAsia="Calibri"/>
          <w:b/>
          <w:sz w:val="26"/>
          <w:szCs w:val="26"/>
          <w:lang w:eastAsia="en-US"/>
        </w:rPr>
      </w:pPr>
      <w:r w:rsidRPr="0074473B">
        <w:rPr>
          <w:rFonts w:eastAsia="Calibri"/>
          <w:b/>
          <w:sz w:val="26"/>
          <w:szCs w:val="26"/>
          <w:lang w:eastAsia="en-US"/>
        </w:rPr>
        <w:t>Crean Unión Nacional de Apicultores</w:t>
      </w:r>
    </w:p>
    <w:p w14:paraId="1EF24F1D" w14:textId="77777777" w:rsidR="0074473B" w:rsidRPr="0074473B" w:rsidRDefault="0074473B" w:rsidP="0074473B">
      <w:pPr>
        <w:rPr>
          <w:rFonts w:eastAsia="Calibri"/>
          <w:b/>
          <w:sz w:val="26"/>
          <w:szCs w:val="26"/>
          <w:lang w:eastAsia="en-US"/>
        </w:rPr>
      </w:pPr>
      <w:r w:rsidRPr="0074473B">
        <w:rPr>
          <w:rFonts w:eastAsia="Calibri"/>
          <w:b/>
          <w:sz w:val="26"/>
          <w:szCs w:val="26"/>
          <w:lang w:eastAsia="en-US"/>
        </w:rPr>
        <w:t>para impulsar producción y comercio</w:t>
      </w:r>
    </w:p>
    <w:p w14:paraId="50D1D3C4" w14:textId="77777777" w:rsidR="0074473B" w:rsidRPr="0074473B" w:rsidRDefault="0074473B" w:rsidP="0074473B">
      <w:pPr>
        <w:spacing w:after="360" w:line="360" w:lineRule="auto"/>
        <w:ind w:right="-159"/>
        <w:jc w:val="both"/>
        <w:rPr>
          <w:rFonts w:eastAsia="Calibri"/>
          <w:b/>
          <w:sz w:val="26"/>
          <w:szCs w:val="26"/>
          <w:lang w:eastAsia="en-US"/>
        </w:rPr>
      </w:pPr>
      <w:r w:rsidRPr="0074473B">
        <w:rPr>
          <w:rFonts w:eastAsia="Calibri"/>
          <w:b/>
          <w:sz w:val="26"/>
          <w:szCs w:val="26"/>
          <w:lang w:eastAsia="en-US"/>
        </w:rPr>
        <w:t>de miel (SAGARPA)</w:t>
      </w:r>
    </w:p>
    <w:p w14:paraId="1CB5E3F1" w14:textId="77777777" w:rsidR="0074473B" w:rsidRPr="0074473B" w:rsidRDefault="0074473B" w:rsidP="0074473B">
      <w:pPr>
        <w:spacing w:after="360" w:line="360" w:lineRule="auto"/>
        <w:ind w:right="-159"/>
        <w:jc w:val="both"/>
        <w:rPr>
          <w:rFonts w:eastAsia="Calibri"/>
          <w:sz w:val="26"/>
          <w:szCs w:val="26"/>
          <w:lang w:eastAsia="en-US"/>
        </w:rPr>
      </w:pPr>
      <w:r w:rsidRPr="0074473B">
        <w:rPr>
          <w:rFonts w:eastAsia="Calibri"/>
          <w:sz w:val="26"/>
          <w:szCs w:val="26"/>
          <w:lang w:eastAsia="en-US"/>
        </w:rPr>
        <w:t xml:space="preserve">El 6 de marzo de 2015, la Secretaría de Agricultura, Ganadería, Desarrollo Rural, Pesca y Alimentación (SAGARPA) informó que quedó constituida la Unión Nacional de Asociaciones de Apicultores de México (UNAAMEX), con el fin de abastecer de </w:t>
      </w:r>
      <w:r w:rsidRPr="0074473B">
        <w:rPr>
          <w:rFonts w:eastAsia="Calibri"/>
          <w:sz w:val="26"/>
          <w:szCs w:val="26"/>
          <w:lang w:eastAsia="en-US"/>
        </w:rPr>
        <w:lastRenderedPageBreak/>
        <w:t>manera oportuna y con calidad el creciente mercado nacional e internacional de miel mexicana. A continuación se presenta la información.</w:t>
      </w:r>
    </w:p>
    <w:p w14:paraId="08F650F2" w14:textId="77777777" w:rsidR="0074473B" w:rsidRPr="0074473B" w:rsidRDefault="0074473B" w:rsidP="0074473B">
      <w:pPr>
        <w:spacing w:after="360" w:line="360" w:lineRule="auto"/>
        <w:ind w:right="-159"/>
        <w:jc w:val="both"/>
        <w:rPr>
          <w:rFonts w:eastAsia="Calibri"/>
          <w:sz w:val="26"/>
          <w:szCs w:val="26"/>
          <w:lang w:eastAsia="en-US"/>
        </w:rPr>
      </w:pPr>
      <w:r w:rsidRPr="0074473B">
        <w:rPr>
          <w:rFonts w:eastAsia="Calibri"/>
          <w:sz w:val="26"/>
          <w:szCs w:val="26"/>
          <w:lang w:eastAsia="en-US"/>
        </w:rPr>
        <w:t>Con el fin de abastecer de manera oportuna y con calidad el creciente mercado nacional e internacional de miel mexicana, quedó constituida la Unión Nacional de Asociaciones de Apicultores de México (UNAAMEX) con representantes de los estados Guanajuato, Jalisco, Michoacán, San Luis Potosí, Tamaulipas, Veracruz, Yucatán, Puebla, Estado de México y el estado anfitrión Querétaro.</w:t>
      </w:r>
    </w:p>
    <w:p w14:paraId="6C8C16D3" w14:textId="77777777" w:rsidR="0074473B" w:rsidRPr="0074473B" w:rsidRDefault="0074473B" w:rsidP="0074473B">
      <w:pPr>
        <w:spacing w:after="360" w:line="360" w:lineRule="auto"/>
        <w:ind w:right="-159"/>
        <w:jc w:val="both"/>
        <w:rPr>
          <w:rFonts w:eastAsia="Calibri"/>
          <w:sz w:val="26"/>
          <w:szCs w:val="26"/>
          <w:lang w:eastAsia="en-US"/>
        </w:rPr>
      </w:pPr>
      <w:r w:rsidRPr="0074473B">
        <w:rPr>
          <w:rFonts w:eastAsia="Calibri"/>
          <w:sz w:val="26"/>
          <w:szCs w:val="26"/>
          <w:lang w:eastAsia="en-US"/>
        </w:rPr>
        <w:t>La ceremonia constitutiva se llevó a cabo en el Aula Magna de la Facultad de Filosofía de la Universidad de Querétaro, en donde, el Coordinador General de Ganadería de la SAGARPA tomó la protesta de ley a los integrantes de la mesa directiva de la organización.</w:t>
      </w:r>
    </w:p>
    <w:p w14:paraId="55547E5C" w14:textId="77777777" w:rsidR="0074473B" w:rsidRPr="0074473B" w:rsidRDefault="0074473B" w:rsidP="0074473B">
      <w:pPr>
        <w:spacing w:after="360" w:line="360" w:lineRule="auto"/>
        <w:ind w:right="-159"/>
        <w:jc w:val="both"/>
        <w:rPr>
          <w:rFonts w:eastAsia="Calibri"/>
          <w:sz w:val="26"/>
          <w:szCs w:val="26"/>
          <w:lang w:eastAsia="en-US"/>
        </w:rPr>
      </w:pPr>
      <w:r w:rsidRPr="0074473B">
        <w:rPr>
          <w:rFonts w:eastAsia="Calibri"/>
          <w:sz w:val="26"/>
          <w:szCs w:val="26"/>
          <w:lang w:eastAsia="en-US"/>
        </w:rPr>
        <w:t>El funcionario federal manifestó que actualmente la apicultura en México desempeña un papel importante como generadora de divisas, ya que se han registrado marcas históricas en materia de producción y exportación.</w:t>
      </w:r>
    </w:p>
    <w:p w14:paraId="258063DE" w14:textId="77777777" w:rsidR="0074473B" w:rsidRPr="0074473B" w:rsidRDefault="0074473B" w:rsidP="0074473B">
      <w:pPr>
        <w:spacing w:after="360" w:line="360" w:lineRule="auto"/>
        <w:ind w:right="-159"/>
        <w:jc w:val="both"/>
        <w:rPr>
          <w:rFonts w:eastAsia="Calibri"/>
          <w:sz w:val="26"/>
          <w:szCs w:val="26"/>
          <w:lang w:eastAsia="en-US"/>
        </w:rPr>
      </w:pPr>
      <w:r w:rsidRPr="0074473B">
        <w:rPr>
          <w:rFonts w:eastAsia="Calibri"/>
          <w:sz w:val="26"/>
          <w:szCs w:val="26"/>
          <w:lang w:eastAsia="en-US"/>
        </w:rPr>
        <w:t>Precisó que la actividad apícola nacional se sustenta en un inventario compuesto por 1.9 millones de colmenas y en el sector laboran alrededor de 45 mil apicultores de todo el país.</w:t>
      </w:r>
    </w:p>
    <w:p w14:paraId="49840A53" w14:textId="77777777" w:rsidR="0074473B" w:rsidRPr="0074473B" w:rsidRDefault="0074473B" w:rsidP="0074473B">
      <w:pPr>
        <w:spacing w:after="360" w:line="360" w:lineRule="auto"/>
        <w:ind w:right="-159"/>
        <w:jc w:val="both"/>
        <w:rPr>
          <w:rFonts w:eastAsia="Calibri"/>
          <w:sz w:val="26"/>
          <w:szCs w:val="26"/>
          <w:lang w:eastAsia="en-US"/>
        </w:rPr>
      </w:pPr>
      <w:r w:rsidRPr="0074473B">
        <w:rPr>
          <w:rFonts w:eastAsia="Calibri"/>
          <w:sz w:val="26"/>
          <w:szCs w:val="26"/>
          <w:lang w:eastAsia="en-US"/>
        </w:rPr>
        <w:t>La producción de miel, en promedio, durante los últimos cinco años es de 57 mil 200 toneladas; México se encuentra en el quinto lugar, después de China, Argentina, Estados Unidos de Norteamérica y Turquía, agregó.</w:t>
      </w:r>
    </w:p>
    <w:p w14:paraId="698CE159" w14:textId="77777777" w:rsidR="0074473B" w:rsidRPr="0074473B" w:rsidRDefault="0074473B" w:rsidP="0074473B">
      <w:pPr>
        <w:spacing w:after="360" w:line="360" w:lineRule="auto"/>
        <w:ind w:right="-159"/>
        <w:jc w:val="both"/>
        <w:rPr>
          <w:rFonts w:eastAsia="Calibri"/>
          <w:sz w:val="26"/>
          <w:szCs w:val="26"/>
          <w:lang w:eastAsia="en-US"/>
        </w:rPr>
      </w:pPr>
      <w:r w:rsidRPr="0074473B">
        <w:rPr>
          <w:rFonts w:eastAsia="Calibri"/>
          <w:sz w:val="26"/>
          <w:szCs w:val="26"/>
          <w:lang w:eastAsia="en-US"/>
        </w:rPr>
        <w:t>Los principales estados productores de miel son: Yucatán con nueve mil 654 toneladas; Campeche, siete mil 74; Jalisco, siete mil 76;  Chiapas; cinco mil 117, y Veracruz, cuatro mil 124 toneladas.</w:t>
      </w:r>
    </w:p>
    <w:p w14:paraId="5CAE134F" w14:textId="77777777" w:rsidR="0074473B" w:rsidRPr="0074473B" w:rsidRDefault="0074473B" w:rsidP="0074473B">
      <w:pPr>
        <w:spacing w:after="360" w:line="360" w:lineRule="auto"/>
        <w:ind w:right="-159"/>
        <w:jc w:val="both"/>
        <w:rPr>
          <w:rFonts w:eastAsia="Calibri"/>
          <w:sz w:val="26"/>
          <w:szCs w:val="26"/>
          <w:lang w:eastAsia="en-US"/>
        </w:rPr>
      </w:pPr>
      <w:r w:rsidRPr="0074473B">
        <w:rPr>
          <w:rFonts w:eastAsia="Calibri"/>
          <w:sz w:val="26"/>
          <w:szCs w:val="26"/>
          <w:lang w:eastAsia="en-US"/>
        </w:rPr>
        <w:lastRenderedPageBreak/>
        <w:t>Esto, con un valor de la producción estimado en dos mil 168 millones de pesos, de acuerdo con el Servicio de Información Agroalimentaria y Pesquera.</w:t>
      </w:r>
    </w:p>
    <w:p w14:paraId="1D27A0D5" w14:textId="77777777" w:rsidR="0074473B" w:rsidRPr="0074473B" w:rsidRDefault="0074473B" w:rsidP="0074473B">
      <w:pPr>
        <w:spacing w:after="360" w:line="360" w:lineRule="auto"/>
        <w:ind w:right="-159"/>
        <w:jc w:val="both"/>
        <w:rPr>
          <w:rFonts w:eastAsia="Calibri"/>
          <w:sz w:val="26"/>
          <w:szCs w:val="26"/>
          <w:lang w:eastAsia="en-US"/>
        </w:rPr>
      </w:pPr>
      <w:r w:rsidRPr="0074473B">
        <w:rPr>
          <w:rFonts w:eastAsia="Calibri"/>
          <w:sz w:val="26"/>
          <w:szCs w:val="26"/>
          <w:lang w:eastAsia="en-US"/>
        </w:rPr>
        <w:t>En lo que respecta a la miel orgánica, indicó que se tiene registrada una producción promedio anual de cuatro mil toneladas, la cual se envía casi en su totalidad a los mercados de la Unión Europea.</w:t>
      </w:r>
    </w:p>
    <w:p w14:paraId="1451CAC5" w14:textId="77777777" w:rsidR="0074473B" w:rsidRPr="0074473B" w:rsidRDefault="0074473B" w:rsidP="0074473B">
      <w:pPr>
        <w:spacing w:after="360" w:line="360" w:lineRule="auto"/>
        <w:ind w:right="-159"/>
        <w:jc w:val="both"/>
        <w:rPr>
          <w:rFonts w:eastAsia="Calibri"/>
          <w:sz w:val="26"/>
          <w:szCs w:val="26"/>
          <w:lang w:eastAsia="en-US"/>
        </w:rPr>
      </w:pPr>
      <w:r w:rsidRPr="0074473B">
        <w:rPr>
          <w:rFonts w:eastAsia="Calibri"/>
          <w:sz w:val="26"/>
          <w:szCs w:val="26"/>
          <w:lang w:eastAsia="en-US"/>
        </w:rPr>
        <w:t>En el rubro de exportación, abundó, se reporta un promedio de 32 mil 354 toneladas de miel en los últimos cinco años, consolidándose México en el tercer lugar mundial como exportador, después de China y Argentina.</w:t>
      </w:r>
    </w:p>
    <w:p w14:paraId="20DCB4AB" w14:textId="77777777" w:rsidR="0074473B" w:rsidRPr="0074473B" w:rsidRDefault="0074473B" w:rsidP="0074473B">
      <w:pPr>
        <w:spacing w:after="360" w:line="360" w:lineRule="auto"/>
        <w:ind w:right="-159"/>
        <w:jc w:val="both"/>
        <w:rPr>
          <w:rFonts w:eastAsia="Calibri"/>
          <w:sz w:val="26"/>
          <w:szCs w:val="26"/>
          <w:lang w:eastAsia="en-US"/>
        </w:rPr>
      </w:pPr>
      <w:r w:rsidRPr="0074473B">
        <w:rPr>
          <w:rFonts w:eastAsia="Calibri"/>
          <w:sz w:val="26"/>
          <w:szCs w:val="26"/>
          <w:lang w:eastAsia="en-US"/>
        </w:rPr>
        <w:t>Los principales países de destino en 2014 fueron Alemania con 16 mil 739 toneladas; Estados Unidos de Norteamérica, siete mil 278; Bélgica, cinco mil 29; Arabia Saudita, cuatro mil 109, y Reino Unido, tres mil 233, acotó.</w:t>
      </w:r>
    </w:p>
    <w:p w14:paraId="4E0BDA70" w14:textId="77777777" w:rsidR="0074473B" w:rsidRPr="0074473B" w:rsidRDefault="0074473B" w:rsidP="0074473B">
      <w:pPr>
        <w:spacing w:after="360" w:line="360" w:lineRule="auto"/>
        <w:ind w:right="-159"/>
        <w:jc w:val="both"/>
        <w:rPr>
          <w:rFonts w:eastAsia="Calibri"/>
          <w:sz w:val="26"/>
          <w:szCs w:val="26"/>
          <w:lang w:eastAsia="en-US"/>
        </w:rPr>
      </w:pPr>
      <w:r w:rsidRPr="0074473B">
        <w:rPr>
          <w:rFonts w:eastAsia="Calibri"/>
          <w:sz w:val="26"/>
          <w:szCs w:val="26"/>
          <w:lang w:eastAsia="en-US"/>
        </w:rPr>
        <w:t>Desataca el crecimiento de las exportaciones en los últimos años a Estados Unidos de Norteamérica y los Emiratos Árabes Unidos.</w:t>
      </w:r>
    </w:p>
    <w:p w14:paraId="37C7DE1E" w14:textId="77777777" w:rsidR="0074473B" w:rsidRPr="0074473B" w:rsidRDefault="0074473B" w:rsidP="0074473B">
      <w:pPr>
        <w:ind w:right="-159"/>
        <w:jc w:val="both"/>
        <w:rPr>
          <w:rFonts w:eastAsia="Calibri"/>
          <w:sz w:val="20"/>
          <w:szCs w:val="20"/>
          <w:lang w:eastAsia="en-US"/>
        </w:rPr>
      </w:pPr>
      <w:r w:rsidRPr="0074473B">
        <w:rPr>
          <w:rFonts w:eastAsia="Calibri"/>
          <w:b/>
          <w:sz w:val="20"/>
          <w:szCs w:val="20"/>
          <w:lang w:eastAsia="en-US"/>
        </w:rPr>
        <w:t>Fuente de información</w:t>
      </w:r>
      <w:r w:rsidRPr="0074473B">
        <w:rPr>
          <w:rFonts w:eastAsia="Calibri"/>
          <w:sz w:val="20"/>
          <w:szCs w:val="20"/>
          <w:lang w:eastAsia="en-US"/>
        </w:rPr>
        <w:t>:</w:t>
      </w:r>
    </w:p>
    <w:p w14:paraId="09A1002A" w14:textId="77777777" w:rsidR="0074473B" w:rsidRPr="009177B7" w:rsidRDefault="0093224F" w:rsidP="009177B7">
      <w:pPr>
        <w:spacing w:after="720"/>
        <w:ind w:right="-159"/>
        <w:jc w:val="both"/>
        <w:rPr>
          <w:rFonts w:eastAsia="Calibri"/>
          <w:color w:val="0000FF"/>
          <w:sz w:val="20"/>
          <w:szCs w:val="20"/>
          <w:lang w:eastAsia="en-US"/>
        </w:rPr>
      </w:pPr>
      <w:hyperlink r:id="rId106" w:history="1">
        <w:r w:rsidR="0074473B" w:rsidRPr="009177B7">
          <w:rPr>
            <w:rFonts w:eastAsia="Calibri"/>
            <w:color w:val="0000FF"/>
            <w:sz w:val="20"/>
            <w:szCs w:val="20"/>
            <w:u w:val="single"/>
            <w:lang w:eastAsia="en-US"/>
          </w:rPr>
          <w:t>http://www.sagarpa.gob.mx/saladeprensa/2012/Paginas/2015B178.aspx</w:t>
        </w:r>
      </w:hyperlink>
    </w:p>
    <w:p w14:paraId="182FEA57" w14:textId="77777777" w:rsidR="00DE0252" w:rsidRPr="00DE0252" w:rsidRDefault="00DE0252" w:rsidP="00DE0252">
      <w:pPr>
        <w:rPr>
          <w:rFonts w:eastAsia="Calibri"/>
          <w:b/>
          <w:sz w:val="26"/>
          <w:szCs w:val="26"/>
          <w:lang w:eastAsia="en-US"/>
        </w:rPr>
      </w:pPr>
      <w:r w:rsidRPr="00DE0252">
        <w:rPr>
          <w:rFonts w:eastAsia="Calibri"/>
          <w:b/>
          <w:sz w:val="26"/>
          <w:szCs w:val="26"/>
          <w:lang w:eastAsia="en-US"/>
        </w:rPr>
        <w:t>Proponen   crear   un   frente    común    del    sector</w:t>
      </w:r>
    </w:p>
    <w:p w14:paraId="013DC71A" w14:textId="77777777" w:rsidR="00DE0252" w:rsidRPr="00DE0252" w:rsidRDefault="00DE0252" w:rsidP="00DE0252">
      <w:pPr>
        <w:spacing w:after="360" w:line="360" w:lineRule="auto"/>
        <w:ind w:right="-159"/>
        <w:jc w:val="both"/>
        <w:rPr>
          <w:rFonts w:eastAsia="Calibri"/>
          <w:b/>
          <w:sz w:val="26"/>
          <w:szCs w:val="26"/>
          <w:lang w:eastAsia="en-US"/>
        </w:rPr>
      </w:pPr>
      <w:r w:rsidRPr="00DE0252">
        <w:rPr>
          <w:rFonts w:eastAsia="Calibri"/>
          <w:b/>
          <w:sz w:val="26"/>
          <w:szCs w:val="26"/>
          <w:lang w:eastAsia="en-US"/>
        </w:rPr>
        <w:t>pesquero y acuícola en Centroamérica (SAGARPA)</w:t>
      </w:r>
    </w:p>
    <w:p w14:paraId="3A0BEC77" w14:textId="1055F9C3" w:rsidR="00DE0252" w:rsidRPr="00DE0252" w:rsidRDefault="00DE0252" w:rsidP="00DE0252">
      <w:pPr>
        <w:spacing w:after="360" w:line="360" w:lineRule="auto"/>
        <w:ind w:right="-159"/>
        <w:jc w:val="both"/>
        <w:rPr>
          <w:rFonts w:eastAsia="Calibri"/>
          <w:sz w:val="26"/>
          <w:szCs w:val="26"/>
          <w:lang w:eastAsia="en-US"/>
        </w:rPr>
      </w:pPr>
      <w:r w:rsidRPr="00DE0252">
        <w:rPr>
          <w:rFonts w:eastAsia="Calibri"/>
          <w:sz w:val="26"/>
          <w:szCs w:val="26"/>
          <w:lang w:eastAsia="en-US"/>
        </w:rPr>
        <w:t xml:space="preserve">El 7 de marzo de 2015, la Secretaría de Agricultura, Ganadería, Desarrollo Rural, Pesca y Alimentación (SAGARPA) comunicó que el Comisionado Nacional de Acuacultura y Pesca participó en la V Reunión Extraordinaria del Comité de Dirección del Sistema de Integración Centroamericana (SICA) / Organización del Sector Pesquero y Acuícola del Istmo Centroamericano (OSPESCA), donde se pronunció por la conformación de un frente común para afrontar conjuntamente temas que afectan a los países en </w:t>
      </w:r>
      <w:r w:rsidRPr="00DE0252">
        <w:rPr>
          <w:rFonts w:eastAsia="Calibri"/>
          <w:sz w:val="26"/>
          <w:szCs w:val="26"/>
          <w:lang w:eastAsia="en-US"/>
        </w:rPr>
        <w:lastRenderedPageBreak/>
        <w:t>desarrollo en los foros pesqueros internacionales. A continuación</w:t>
      </w:r>
      <w:r w:rsidR="00E40866">
        <w:rPr>
          <w:rFonts w:eastAsia="Calibri"/>
          <w:sz w:val="26"/>
          <w:szCs w:val="26"/>
          <w:lang w:eastAsia="en-US"/>
        </w:rPr>
        <w:t xml:space="preserve"> se presentan</w:t>
      </w:r>
      <w:r w:rsidRPr="00DE0252">
        <w:rPr>
          <w:rFonts w:eastAsia="Calibri"/>
          <w:sz w:val="26"/>
          <w:szCs w:val="26"/>
          <w:lang w:eastAsia="en-US"/>
        </w:rPr>
        <w:t xml:space="preserve"> los detalles.</w:t>
      </w:r>
    </w:p>
    <w:p w14:paraId="767B57A9" w14:textId="77777777" w:rsidR="00DE0252" w:rsidRPr="00DE0252" w:rsidRDefault="00DE0252" w:rsidP="00DE0252">
      <w:pPr>
        <w:spacing w:after="360" w:line="360" w:lineRule="auto"/>
        <w:ind w:right="-159"/>
        <w:jc w:val="both"/>
        <w:rPr>
          <w:rFonts w:eastAsia="Calibri"/>
          <w:sz w:val="26"/>
          <w:szCs w:val="26"/>
          <w:lang w:eastAsia="en-US"/>
        </w:rPr>
      </w:pPr>
      <w:r w:rsidRPr="00DE0252">
        <w:rPr>
          <w:rFonts w:eastAsia="Calibri"/>
          <w:sz w:val="26"/>
          <w:szCs w:val="26"/>
          <w:lang w:eastAsia="en-US"/>
        </w:rPr>
        <w:t>El Comisionado Nacional de Acuacultura y Pesca participó en la V Reunión Extraordinaria del Comité de Dirección del Sistema de Integración Centroamericana (SICA) / Organización del Sector Pesquero y Acuícola del Istmo Centroamericano (OSPESCA), donde se pronunció por la conformación de un frente común para afrontar conjuntamente temas que afectan a los países en desarrollo en los foros pesqueros internacionales, como la pesca ilegal, la no regulada, y la no documentada, así como fortalecer la cooperación regional.</w:t>
      </w:r>
    </w:p>
    <w:p w14:paraId="74DEF02B" w14:textId="77777777" w:rsidR="00DE0252" w:rsidRPr="00DE0252" w:rsidRDefault="00DE0252" w:rsidP="00DE0252">
      <w:pPr>
        <w:spacing w:after="360" w:line="360" w:lineRule="auto"/>
        <w:ind w:right="-159"/>
        <w:jc w:val="both"/>
        <w:rPr>
          <w:rFonts w:eastAsia="Calibri"/>
          <w:sz w:val="26"/>
          <w:szCs w:val="26"/>
          <w:lang w:eastAsia="en-US"/>
        </w:rPr>
      </w:pPr>
      <w:r w:rsidRPr="00DE0252">
        <w:rPr>
          <w:rFonts w:eastAsia="Calibri"/>
          <w:sz w:val="26"/>
          <w:szCs w:val="26"/>
          <w:lang w:eastAsia="en-US"/>
        </w:rPr>
        <w:t>Con el objetivo de impulsar la cooperación y los mecanismos de integración regional que permitan el desarrollo de actividades conjuntas, en particular en la pesca artesanal y la acuacultura, el titular de este organismo de la SAGARPA puso a disposición de los países miembros de la OSPESCA los conocimientos y experiencias que México ha adquirido.</w:t>
      </w:r>
    </w:p>
    <w:p w14:paraId="27B0928A" w14:textId="77777777" w:rsidR="00DE0252" w:rsidRPr="00DE0252" w:rsidRDefault="00DE0252" w:rsidP="00DE0252">
      <w:pPr>
        <w:spacing w:after="360" w:line="360" w:lineRule="auto"/>
        <w:ind w:right="-159"/>
        <w:jc w:val="both"/>
        <w:rPr>
          <w:rFonts w:eastAsia="Calibri"/>
          <w:sz w:val="26"/>
          <w:szCs w:val="26"/>
          <w:lang w:eastAsia="en-US"/>
        </w:rPr>
      </w:pPr>
      <w:r w:rsidRPr="00DE0252">
        <w:rPr>
          <w:rFonts w:eastAsia="Calibri"/>
          <w:sz w:val="26"/>
          <w:szCs w:val="26"/>
          <w:lang w:eastAsia="en-US"/>
        </w:rPr>
        <w:t>En el encuentro, en el que se discuten temas como el avance de la Política de Integración de la Pesca a fin de fortalecer las relaciones relativas al sector pesquero y acuícola con los países centroamericanos, se acordó formar un frente común de integración regional que coadyuve a superar los rezagos sociales y potenciar las áreas de oportunidad en la región.</w:t>
      </w:r>
    </w:p>
    <w:p w14:paraId="3BF287C8" w14:textId="77777777" w:rsidR="00DE0252" w:rsidRPr="00DE0252" w:rsidRDefault="00DE0252" w:rsidP="00DE0252">
      <w:pPr>
        <w:spacing w:after="360" w:line="360" w:lineRule="auto"/>
        <w:ind w:right="-159"/>
        <w:jc w:val="both"/>
        <w:rPr>
          <w:rFonts w:eastAsia="Calibri"/>
          <w:sz w:val="26"/>
          <w:szCs w:val="26"/>
          <w:lang w:eastAsia="en-US"/>
        </w:rPr>
      </w:pPr>
      <w:r w:rsidRPr="00DE0252">
        <w:rPr>
          <w:rFonts w:eastAsia="Calibri"/>
          <w:sz w:val="26"/>
          <w:szCs w:val="26"/>
          <w:lang w:eastAsia="en-US"/>
        </w:rPr>
        <w:t>La reunión estuvo presidida por el Ministro de Agricultura de Guatemala, Presidente Protempore de la Organización, con la participación de los Viceministros de Panamá, República Dominicana, Belice, El Salvador, Nicaragua, Costa Rica y Honduras, además del Director Regional de OSPESCA.</w:t>
      </w:r>
    </w:p>
    <w:p w14:paraId="624FE0B7" w14:textId="77777777" w:rsidR="00DE0252" w:rsidRPr="00DE0252" w:rsidRDefault="00DE0252" w:rsidP="00DE0252">
      <w:pPr>
        <w:spacing w:after="360" w:line="360" w:lineRule="auto"/>
        <w:ind w:right="-159"/>
        <w:jc w:val="both"/>
        <w:rPr>
          <w:rFonts w:eastAsia="Calibri"/>
          <w:sz w:val="26"/>
          <w:szCs w:val="26"/>
          <w:lang w:eastAsia="en-US"/>
        </w:rPr>
      </w:pPr>
      <w:r w:rsidRPr="00DE0252">
        <w:rPr>
          <w:rFonts w:eastAsia="Calibri"/>
          <w:sz w:val="26"/>
          <w:szCs w:val="26"/>
          <w:lang w:eastAsia="en-US"/>
        </w:rPr>
        <w:lastRenderedPageBreak/>
        <w:t>En esta oportunidad el titular de la Comisión Nacional de Acuacultura y Pesca (CONAPESCA) explicó a los ministros de OSPESCA las particularidades de los cinco ejes estratégicos de política pública en materia pesquera y acuícola en México.</w:t>
      </w:r>
    </w:p>
    <w:p w14:paraId="2D6CBD40" w14:textId="77777777" w:rsidR="00DE0252" w:rsidRPr="00DE0252" w:rsidRDefault="00DE0252" w:rsidP="00DE0252">
      <w:pPr>
        <w:spacing w:after="360" w:line="360" w:lineRule="auto"/>
        <w:ind w:right="-159"/>
        <w:jc w:val="both"/>
        <w:rPr>
          <w:rFonts w:eastAsia="Calibri"/>
          <w:sz w:val="26"/>
          <w:szCs w:val="26"/>
          <w:lang w:eastAsia="en-US"/>
        </w:rPr>
      </w:pPr>
      <w:r w:rsidRPr="00DE0252">
        <w:rPr>
          <w:rFonts w:eastAsia="Calibri"/>
          <w:sz w:val="26"/>
          <w:szCs w:val="26"/>
          <w:lang w:eastAsia="en-US"/>
        </w:rPr>
        <w:t>Detalló que los ejes son: Ordenamiento Pesquero y Acuícola en forma integral y sustentable, Cumplimiento y Observancia Normativa, Desarrollo Estratégico de la Acuacultura, Impulso a la Capitalización Pesquera y Acuícola, y Fomento al consumo de productos pesqueros y acuícolas, puestos en marcha por el Gobierno de la República, para contribuir a la seguridad alimentaria y la sustentabilidad.</w:t>
      </w:r>
    </w:p>
    <w:p w14:paraId="3FA501E3" w14:textId="77777777" w:rsidR="00DE0252" w:rsidRPr="00DE0252" w:rsidRDefault="00DE0252" w:rsidP="00DE0252">
      <w:pPr>
        <w:spacing w:after="360" w:line="360" w:lineRule="auto"/>
        <w:ind w:right="-159"/>
        <w:jc w:val="both"/>
        <w:rPr>
          <w:rFonts w:eastAsia="Calibri"/>
          <w:sz w:val="26"/>
          <w:szCs w:val="26"/>
          <w:lang w:eastAsia="en-US"/>
        </w:rPr>
      </w:pPr>
      <w:r w:rsidRPr="00DE0252">
        <w:rPr>
          <w:rFonts w:eastAsia="Calibri"/>
          <w:sz w:val="26"/>
          <w:szCs w:val="26"/>
          <w:lang w:eastAsia="en-US"/>
        </w:rPr>
        <w:t>El comisionado manifestó la disposición del Gobierno de México por colaborar y poder establecer un programa de cooperación científico-técnica y de capacitación en temas de mutuo interés que beneficien e incidan en el mejor desarrollo de los sectores pesquero y acuícola de ambos países.</w:t>
      </w:r>
    </w:p>
    <w:p w14:paraId="38463FCD" w14:textId="77777777" w:rsidR="00DE0252" w:rsidRPr="00DE0252" w:rsidRDefault="00DE0252" w:rsidP="00DE0252">
      <w:pPr>
        <w:spacing w:after="360" w:line="360" w:lineRule="auto"/>
        <w:ind w:right="-159"/>
        <w:jc w:val="both"/>
        <w:rPr>
          <w:rFonts w:eastAsia="Calibri"/>
          <w:sz w:val="26"/>
          <w:szCs w:val="26"/>
          <w:lang w:eastAsia="en-US"/>
        </w:rPr>
      </w:pPr>
      <w:r w:rsidRPr="00DE0252">
        <w:rPr>
          <w:rFonts w:eastAsia="Calibri"/>
          <w:sz w:val="26"/>
          <w:szCs w:val="26"/>
          <w:lang w:eastAsia="en-US"/>
        </w:rPr>
        <w:t>Agregó que México tiene importantes experiencias en estos campos que pueden ser capitalizadas en la región de Centroamericana.</w:t>
      </w:r>
    </w:p>
    <w:p w14:paraId="7A0A693F" w14:textId="77777777" w:rsidR="00DE0252" w:rsidRDefault="00DE0252" w:rsidP="00DE0252">
      <w:pPr>
        <w:spacing w:after="360" w:line="360" w:lineRule="auto"/>
        <w:ind w:right="-159"/>
        <w:jc w:val="both"/>
        <w:rPr>
          <w:rFonts w:eastAsia="Calibri"/>
          <w:sz w:val="26"/>
          <w:szCs w:val="26"/>
          <w:lang w:eastAsia="en-US"/>
        </w:rPr>
      </w:pPr>
      <w:r w:rsidRPr="00DE0252">
        <w:rPr>
          <w:rFonts w:eastAsia="Calibri"/>
          <w:sz w:val="26"/>
          <w:szCs w:val="26"/>
          <w:lang w:eastAsia="en-US"/>
        </w:rPr>
        <w:t>Uno de los temas principales en dicha reunión es continuar con los trabajos para una próxima suscripción a nivel Ministerial del Acuerdo de Cooperación entre México y la OSPESCA, cuya finalidad es impulsar la cooperación conjunta entre las partes, promoviendo acciones de interés común para asegurar el uso sostenible de los recursos pesqueros y acuícolas.</w:t>
      </w:r>
    </w:p>
    <w:p w14:paraId="4D5B67D5" w14:textId="77777777" w:rsidR="00E40866" w:rsidRDefault="00E40866" w:rsidP="00DE0252">
      <w:pPr>
        <w:spacing w:after="360" w:line="360" w:lineRule="auto"/>
        <w:ind w:right="-159"/>
        <w:jc w:val="both"/>
        <w:rPr>
          <w:rFonts w:eastAsia="Calibri"/>
          <w:sz w:val="26"/>
          <w:szCs w:val="26"/>
          <w:lang w:eastAsia="en-US"/>
        </w:rPr>
      </w:pPr>
    </w:p>
    <w:p w14:paraId="46AB46D9" w14:textId="77777777" w:rsidR="00E40866" w:rsidRDefault="00E40866" w:rsidP="00DE0252">
      <w:pPr>
        <w:spacing w:after="360" w:line="360" w:lineRule="auto"/>
        <w:ind w:right="-159"/>
        <w:jc w:val="both"/>
        <w:rPr>
          <w:rFonts w:eastAsia="Calibri"/>
          <w:sz w:val="26"/>
          <w:szCs w:val="26"/>
          <w:lang w:eastAsia="en-US"/>
        </w:rPr>
      </w:pPr>
    </w:p>
    <w:p w14:paraId="33C9BEF6" w14:textId="77777777" w:rsidR="00E40866" w:rsidRPr="00DE0252" w:rsidRDefault="00E40866" w:rsidP="00DE0252">
      <w:pPr>
        <w:spacing w:after="360" w:line="360" w:lineRule="auto"/>
        <w:ind w:right="-159"/>
        <w:jc w:val="both"/>
        <w:rPr>
          <w:rFonts w:eastAsia="Calibri"/>
          <w:sz w:val="26"/>
          <w:szCs w:val="26"/>
          <w:lang w:eastAsia="en-US"/>
        </w:rPr>
      </w:pPr>
    </w:p>
    <w:p w14:paraId="7C74848D" w14:textId="77777777" w:rsidR="00DE0252" w:rsidRPr="00DE0252" w:rsidRDefault="00DE0252" w:rsidP="00DE0252">
      <w:pPr>
        <w:spacing w:after="360" w:line="360" w:lineRule="auto"/>
        <w:ind w:right="-159"/>
        <w:jc w:val="both"/>
        <w:rPr>
          <w:rFonts w:eastAsia="Calibri"/>
          <w:sz w:val="26"/>
          <w:szCs w:val="26"/>
          <w:lang w:eastAsia="en-US"/>
        </w:rPr>
      </w:pPr>
      <w:r w:rsidRPr="00DE0252">
        <w:rPr>
          <w:rFonts w:eastAsia="Calibri"/>
          <w:sz w:val="26"/>
          <w:szCs w:val="26"/>
          <w:lang w:eastAsia="en-US"/>
        </w:rPr>
        <w:lastRenderedPageBreak/>
        <w:t>La OSPESCA es una organización integrada por ocho países de Centroamérica (Belice, Costa Rica, El Salvador, Guatemala, Honduras, Nicaragua, Panamá y República Dominicana) y cuyo principal objetivo es promover un desarrollo sostenible y coordinado de la pesca y la acuicultura, en el marco del proceso de integración centroamericana, definiendo, aprobando y poniendo en marcha políticas, estrategias, programas y proyectos regionales de pesca y acuicultura.</w:t>
      </w:r>
    </w:p>
    <w:p w14:paraId="1D0E205E" w14:textId="77777777" w:rsidR="00DE0252" w:rsidRPr="00DE0252" w:rsidRDefault="00DE0252" w:rsidP="00DE0252">
      <w:pPr>
        <w:ind w:right="-159"/>
        <w:jc w:val="both"/>
        <w:rPr>
          <w:rFonts w:eastAsia="Calibri"/>
          <w:sz w:val="20"/>
          <w:szCs w:val="20"/>
          <w:lang w:eastAsia="en-US"/>
        </w:rPr>
      </w:pPr>
      <w:r w:rsidRPr="00DE0252">
        <w:rPr>
          <w:rFonts w:eastAsia="Calibri"/>
          <w:b/>
          <w:sz w:val="20"/>
          <w:szCs w:val="20"/>
          <w:lang w:eastAsia="en-US"/>
        </w:rPr>
        <w:t>Fuente de información</w:t>
      </w:r>
      <w:r w:rsidRPr="00DE0252">
        <w:rPr>
          <w:rFonts w:eastAsia="Calibri"/>
          <w:sz w:val="20"/>
          <w:szCs w:val="20"/>
          <w:lang w:eastAsia="en-US"/>
        </w:rPr>
        <w:t>:</w:t>
      </w:r>
    </w:p>
    <w:p w14:paraId="41FC7577" w14:textId="77777777" w:rsidR="00DE0252" w:rsidRPr="009177B7" w:rsidRDefault="0093224F" w:rsidP="00DE0252">
      <w:pPr>
        <w:ind w:right="-159"/>
        <w:jc w:val="both"/>
        <w:rPr>
          <w:rFonts w:eastAsia="Calibri"/>
          <w:color w:val="0000FF"/>
          <w:sz w:val="20"/>
          <w:szCs w:val="20"/>
          <w:lang w:eastAsia="en-US"/>
        </w:rPr>
      </w:pPr>
      <w:hyperlink r:id="rId107" w:history="1">
        <w:r w:rsidR="00DE0252" w:rsidRPr="009177B7">
          <w:rPr>
            <w:rFonts w:eastAsia="Calibri"/>
            <w:color w:val="0000FF"/>
            <w:sz w:val="20"/>
            <w:szCs w:val="20"/>
            <w:u w:val="single"/>
            <w:lang w:eastAsia="en-US"/>
          </w:rPr>
          <w:t>http://www.sagarpa.gob.mx/saladeprensa/2012/Paginas/2015B180.aspx</w:t>
        </w:r>
      </w:hyperlink>
    </w:p>
    <w:p w14:paraId="0D331C5E" w14:textId="77777777" w:rsidR="00DE0252" w:rsidRPr="00DE0252" w:rsidRDefault="00DE0252" w:rsidP="00DE0252">
      <w:pPr>
        <w:spacing w:after="360" w:line="360" w:lineRule="auto"/>
        <w:ind w:right="-159"/>
        <w:jc w:val="both"/>
        <w:rPr>
          <w:rFonts w:eastAsia="Calibri"/>
          <w:sz w:val="26"/>
          <w:szCs w:val="26"/>
          <w:lang w:eastAsia="en-US"/>
        </w:rPr>
      </w:pPr>
    </w:p>
    <w:p w14:paraId="5B388CFD" w14:textId="77777777" w:rsidR="0074473B" w:rsidRDefault="0074473B" w:rsidP="0074473B">
      <w:pPr>
        <w:spacing w:after="360" w:line="360" w:lineRule="auto"/>
        <w:ind w:right="-159"/>
        <w:jc w:val="both"/>
        <w:rPr>
          <w:sz w:val="26"/>
          <w:szCs w:val="26"/>
        </w:rPr>
      </w:pPr>
    </w:p>
    <w:p w14:paraId="2385B5A1" w14:textId="77777777" w:rsidR="0074473B" w:rsidRDefault="0074473B" w:rsidP="0074473B">
      <w:pPr>
        <w:spacing w:after="360" w:line="360" w:lineRule="auto"/>
        <w:ind w:right="-159"/>
        <w:jc w:val="both"/>
        <w:rPr>
          <w:sz w:val="26"/>
          <w:szCs w:val="26"/>
        </w:rPr>
      </w:pPr>
    </w:p>
    <w:p w14:paraId="5B95B4A8" w14:textId="77777777" w:rsidR="0074473B" w:rsidRDefault="0074473B" w:rsidP="0074473B">
      <w:pPr>
        <w:spacing w:after="360" w:line="360" w:lineRule="auto"/>
        <w:ind w:right="-159"/>
        <w:jc w:val="both"/>
        <w:rPr>
          <w:sz w:val="26"/>
          <w:szCs w:val="26"/>
        </w:rPr>
      </w:pPr>
    </w:p>
    <w:p w14:paraId="194082B3" w14:textId="77777777" w:rsidR="0074473B" w:rsidRPr="000E3A45" w:rsidRDefault="0074473B" w:rsidP="0074473B">
      <w:pPr>
        <w:spacing w:after="360" w:line="360" w:lineRule="auto"/>
        <w:ind w:right="-159"/>
        <w:jc w:val="both"/>
        <w:rPr>
          <w:sz w:val="26"/>
          <w:szCs w:val="26"/>
        </w:rPr>
      </w:pPr>
    </w:p>
    <w:p w14:paraId="4185B2EE" w14:textId="032F90A7" w:rsidR="003E0CD3" w:rsidRPr="000E3A45" w:rsidRDefault="003E0CD3">
      <w:pPr>
        <w:rPr>
          <w:rFonts w:eastAsia="Calibri"/>
          <w:sz w:val="26"/>
          <w:szCs w:val="26"/>
          <w:lang w:eastAsia="en-US"/>
        </w:rPr>
      </w:pPr>
      <w:r w:rsidRPr="000E3A45">
        <w:rPr>
          <w:rFonts w:eastAsia="Calibri"/>
          <w:sz w:val="26"/>
          <w:szCs w:val="26"/>
          <w:lang w:eastAsia="en-US"/>
        </w:rPr>
        <w:br w:type="page"/>
      </w:r>
    </w:p>
    <w:bookmarkEnd w:id="3"/>
    <w:bookmarkEnd w:id="4"/>
    <w:p w14:paraId="2988EF13" w14:textId="77777777" w:rsidR="00DF468F" w:rsidRPr="00B35BB9" w:rsidRDefault="00DF468F" w:rsidP="008B714D">
      <w:pPr>
        <w:spacing w:after="360" w:line="360" w:lineRule="auto"/>
        <w:ind w:right="-159"/>
        <w:jc w:val="both"/>
        <w:rPr>
          <w:b/>
          <w:color w:val="0000FF"/>
          <w:sz w:val="28"/>
          <w:szCs w:val="28"/>
        </w:rPr>
      </w:pPr>
      <w:r w:rsidRPr="00B35BB9">
        <w:rPr>
          <w:b/>
          <w:color w:val="0000FF"/>
          <w:sz w:val="28"/>
          <w:szCs w:val="28"/>
        </w:rPr>
        <w:lastRenderedPageBreak/>
        <w:t>SECTOR SECUNDARIO</w:t>
      </w:r>
    </w:p>
    <w:p w14:paraId="2B64FB7C" w14:textId="7DB88C2F" w:rsidR="00434CCC" w:rsidRPr="00434CCC" w:rsidRDefault="00434CCC" w:rsidP="00434CCC">
      <w:pPr>
        <w:spacing w:after="360" w:line="360" w:lineRule="auto"/>
        <w:ind w:right="-159"/>
        <w:jc w:val="both"/>
        <w:rPr>
          <w:b/>
          <w:sz w:val="28"/>
          <w:szCs w:val="28"/>
        </w:rPr>
      </w:pPr>
      <w:r w:rsidRPr="00434CCC">
        <w:rPr>
          <w:b/>
          <w:sz w:val="28"/>
          <w:szCs w:val="28"/>
        </w:rPr>
        <w:t xml:space="preserve">Actividad Industrial en México, durante </w:t>
      </w:r>
      <w:r>
        <w:rPr>
          <w:b/>
          <w:sz w:val="28"/>
          <w:szCs w:val="28"/>
        </w:rPr>
        <w:t>e</w:t>
      </w:r>
      <w:r w:rsidRPr="00434CCC">
        <w:rPr>
          <w:b/>
          <w:sz w:val="28"/>
          <w:szCs w:val="28"/>
        </w:rPr>
        <w:t>nero de 2015 (INEGI)</w:t>
      </w:r>
    </w:p>
    <w:p w14:paraId="5C1091D2" w14:textId="77777777" w:rsidR="00434CCC" w:rsidRPr="00434CCC" w:rsidRDefault="00434CCC" w:rsidP="00434CCC">
      <w:pPr>
        <w:spacing w:after="360" w:line="360" w:lineRule="auto"/>
        <w:ind w:right="-159"/>
        <w:jc w:val="both"/>
        <w:rPr>
          <w:rFonts w:eastAsia="Calibri"/>
          <w:sz w:val="26"/>
          <w:szCs w:val="26"/>
          <w:lang w:eastAsia="en-US"/>
        </w:rPr>
      </w:pPr>
      <w:r w:rsidRPr="00434CCC">
        <w:rPr>
          <w:rFonts w:eastAsia="Calibri"/>
          <w:sz w:val="26"/>
          <w:szCs w:val="26"/>
          <w:lang w:eastAsia="en-US"/>
        </w:rPr>
        <w:t>El 13 de marzo de 2015, el Instituto Nacional de Estadística y Geografía (INEGI) dio a conocer la “Información Oportuna sobre la Actividad Industrial en México durante enero de 2015”, a continuación se presenta la información.</w:t>
      </w:r>
    </w:p>
    <w:tbl>
      <w:tblPr>
        <w:tblStyle w:val="Tablaconcuadrcula"/>
        <w:tblW w:w="0" w:type="auto"/>
        <w:jc w:val="center"/>
        <w:tblLook w:val="04A0" w:firstRow="1" w:lastRow="0" w:firstColumn="1" w:lastColumn="0" w:noHBand="0" w:noVBand="1"/>
      </w:tblPr>
      <w:tblGrid>
        <w:gridCol w:w="3402"/>
        <w:gridCol w:w="1407"/>
        <w:gridCol w:w="1570"/>
      </w:tblGrid>
      <w:tr w:rsidR="00434CCC" w:rsidRPr="00434CCC" w14:paraId="50F43864" w14:textId="77777777" w:rsidTr="00AF5CB1">
        <w:trPr>
          <w:jc w:val="center"/>
        </w:trPr>
        <w:tc>
          <w:tcPr>
            <w:tcW w:w="6379" w:type="dxa"/>
            <w:gridSpan w:val="3"/>
            <w:tcBorders>
              <w:top w:val="nil"/>
              <w:left w:val="nil"/>
              <w:right w:val="nil"/>
            </w:tcBorders>
          </w:tcPr>
          <w:p w14:paraId="02B713F6" w14:textId="77777777" w:rsidR="00434CCC" w:rsidRPr="00434CCC" w:rsidRDefault="00434CCC" w:rsidP="00434CCC">
            <w:pPr>
              <w:jc w:val="center"/>
              <w:rPr>
                <w:rFonts w:eastAsia="Calibri"/>
                <w:b/>
                <w:sz w:val="22"/>
                <w:szCs w:val="22"/>
                <w:lang w:val="es-ES_tradnl" w:eastAsia="en-US"/>
              </w:rPr>
            </w:pPr>
            <w:r w:rsidRPr="00434CCC">
              <w:rPr>
                <w:rFonts w:eastAsia="Calibri"/>
                <w:b/>
                <w:sz w:val="22"/>
                <w:szCs w:val="22"/>
                <w:lang w:val="es-ES_tradnl" w:eastAsia="en-US"/>
              </w:rPr>
              <w:t>PRODUCCIÓN INDUSTRIAL A ENERO DE 2015</w:t>
            </w:r>
          </w:p>
          <w:p w14:paraId="448582B5" w14:textId="77777777" w:rsidR="00434CCC" w:rsidRPr="00434CCC" w:rsidRDefault="00434CCC" w:rsidP="00434CCC">
            <w:pPr>
              <w:jc w:val="center"/>
              <w:rPr>
                <w:rFonts w:eastAsia="Calibri"/>
                <w:b/>
                <w:sz w:val="22"/>
                <w:szCs w:val="22"/>
                <w:lang w:val="es-ES_tradnl" w:eastAsia="en-US"/>
              </w:rPr>
            </w:pPr>
            <w:r w:rsidRPr="00434CCC">
              <w:rPr>
                <w:rFonts w:eastAsia="Calibri"/>
                <w:b/>
                <w:sz w:val="22"/>
                <w:szCs w:val="22"/>
                <w:lang w:val="es-ES_tradnl" w:eastAsia="en-US"/>
              </w:rPr>
              <w:t>Cifras desestacionalizadas</w:t>
            </w:r>
          </w:p>
        </w:tc>
      </w:tr>
      <w:tr w:rsidR="00434CCC" w:rsidRPr="00434CCC" w14:paraId="142E9BA9" w14:textId="77777777" w:rsidTr="00AF5CB1">
        <w:trPr>
          <w:jc w:val="center"/>
        </w:trPr>
        <w:tc>
          <w:tcPr>
            <w:tcW w:w="3402" w:type="dxa"/>
            <w:tcBorders>
              <w:bottom w:val="single" w:sz="4" w:space="0" w:color="auto"/>
            </w:tcBorders>
            <w:vAlign w:val="center"/>
          </w:tcPr>
          <w:p w14:paraId="44242E9E" w14:textId="77777777" w:rsidR="00434CCC" w:rsidRPr="00434CCC" w:rsidRDefault="00434CCC" w:rsidP="00434CCC">
            <w:pPr>
              <w:jc w:val="both"/>
              <w:rPr>
                <w:rFonts w:eastAsia="Calibri"/>
                <w:b/>
                <w:sz w:val="20"/>
                <w:szCs w:val="20"/>
                <w:lang w:val="es-ES_tradnl" w:eastAsia="en-US"/>
              </w:rPr>
            </w:pPr>
            <w:r w:rsidRPr="00434CCC">
              <w:rPr>
                <w:rFonts w:eastAsia="Calibri"/>
                <w:b/>
                <w:sz w:val="20"/>
                <w:szCs w:val="20"/>
                <w:lang w:val="es-ES_tradnl" w:eastAsia="en-US"/>
              </w:rPr>
              <w:t>Concepto</w:t>
            </w:r>
          </w:p>
        </w:tc>
        <w:tc>
          <w:tcPr>
            <w:tcW w:w="1407" w:type="dxa"/>
            <w:tcBorders>
              <w:bottom w:val="single" w:sz="4" w:space="0" w:color="auto"/>
            </w:tcBorders>
          </w:tcPr>
          <w:p w14:paraId="3B1D3885" w14:textId="77777777" w:rsidR="00434CCC" w:rsidRPr="00434CCC" w:rsidRDefault="00434CCC" w:rsidP="00434CCC">
            <w:pPr>
              <w:jc w:val="center"/>
              <w:rPr>
                <w:rFonts w:eastAsia="Calibri"/>
                <w:b/>
                <w:sz w:val="20"/>
                <w:szCs w:val="20"/>
                <w:lang w:val="es-ES_tradnl" w:eastAsia="en-US"/>
              </w:rPr>
            </w:pPr>
            <w:r w:rsidRPr="00434CCC">
              <w:rPr>
                <w:rFonts w:eastAsia="Calibri"/>
                <w:b/>
                <w:sz w:val="20"/>
                <w:szCs w:val="20"/>
                <w:lang w:val="es-ES_tradnl" w:eastAsia="en-US"/>
              </w:rPr>
              <w:t>Variación % respecto al mes previo</w:t>
            </w:r>
          </w:p>
        </w:tc>
        <w:tc>
          <w:tcPr>
            <w:tcW w:w="1570" w:type="dxa"/>
            <w:tcBorders>
              <w:bottom w:val="single" w:sz="4" w:space="0" w:color="auto"/>
            </w:tcBorders>
          </w:tcPr>
          <w:p w14:paraId="6B0E06FA" w14:textId="77777777" w:rsidR="00434CCC" w:rsidRPr="00434CCC" w:rsidRDefault="00434CCC" w:rsidP="00434CCC">
            <w:pPr>
              <w:jc w:val="center"/>
              <w:rPr>
                <w:rFonts w:eastAsia="Calibri"/>
                <w:b/>
                <w:sz w:val="20"/>
                <w:szCs w:val="20"/>
                <w:lang w:val="es-ES_tradnl" w:eastAsia="en-US"/>
              </w:rPr>
            </w:pPr>
            <w:r w:rsidRPr="00434CCC">
              <w:rPr>
                <w:rFonts w:eastAsia="Calibri"/>
                <w:b/>
                <w:sz w:val="20"/>
                <w:szCs w:val="20"/>
                <w:lang w:val="es-ES_tradnl" w:eastAsia="en-US"/>
              </w:rPr>
              <w:t>Variación % respecto a igual mes de 2014</w:t>
            </w:r>
          </w:p>
        </w:tc>
      </w:tr>
      <w:tr w:rsidR="00434CCC" w:rsidRPr="00434CCC" w14:paraId="5C9DE9E0" w14:textId="77777777" w:rsidTr="00AF5CB1">
        <w:trPr>
          <w:jc w:val="center"/>
        </w:trPr>
        <w:tc>
          <w:tcPr>
            <w:tcW w:w="3402" w:type="dxa"/>
            <w:tcBorders>
              <w:bottom w:val="nil"/>
            </w:tcBorders>
          </w:tcPr>
          <w:p w14:paraId="5B16592A" w14:textId="77777777" w:rsidR="00434CCC" w:rsidRPr="00434CCC" w:rsidRDefault="00434CCC" w:rsidP="00434CCC">
            <w:pPr>
              <w:jc w:val="both"/>
              <w:rPr>
                <w:rFonts w:eastAsia="Calibri"/>
                <w:b/>
                <w:sz w:val="20"/>
                <w:szCs w:val="20"/>
                <w:lang w:val="es-ES_tradnl" w:eastAsia="en-US"/>
              </w:rPr>
            </w:pPr>
            <w:r w:rsidRPr="00434CCC">
              <w:rPr>
                <w:rFonts w:eastAsia="Calibri"/>
                <w:b/>
                <w:sz w:val="20"/>
                <w:szCs w:val="20"/>
                <w:lang w:val="es-ES_tradnl" w:eastAsia="en-US"/>
              </w:rPr>
              <w:t>Actividad Industrial Total</w:t>
            </w:r>
          </w:p>
        </w:tc>
        <w:tc>
          <w:tcPr>
            <w:tcW w:w="1407" w:type="dxa"/>
            <w:tcBorders>
              <w:bottom w:val="nil"/>
            </w:tcBorders>
          </w:tcPr>
          <w:p w14:paraId="036797FF" w14:textId="77777777" w:rsidR="00434CCC" w:rsidRPr="00434CCC" w:rsidRDefault="00434CCC" w:rsidP="00434CCC">
            <w:pPr>
              <w:ind w:right="454"/>
              <w:jc w:val="right"/>
              <w:rPr>
                <w:rFonts w:eastAsia="Calibri"/>
                <w:b/>
                <w:sz w:val="20"/>
                <w:szCs w:val="20"/>
                <w:lang w:val="es-ES_tradnl" w:eastAsia="en-US"/>
              </w:rPr>
            </w:pPr>
            <w:r w:rsidRPr="00434CCC">
              <w:rPr>
                <w:rFonts w:eastAsia="Calibri"/>
                <w:b/>
                <w:sz w:val="20"/>
                <w:szCs w:val="20"/>
                <w:lang w:val="es-ES_tradnl" w:eastAsia="en-US"/>
              </w:rPr>
              <w:t>-0.4</w:t>
            </w:r>
          </w:p>
        </w:tc>
        <w:tc>
          <w:tcPr>
            <w:tcW w:w="1570" w:type="dxa"/>
            <w:tcBorders>
              <w:bottom w:val="nil"/>
            </w:tcBorders>
          </w:tcPr>
          <w:p w14:paraId="383ECF27" w14:textId="77777777" w:rsidR="00434CCC" w:rsidRPr="00434CCC" w:rsidRDefault="00434CCC" w:rsidP="00434CCC">
            <w:pPr>
              <w:ind w:right="567"/>
              <w:jc w:val="right"/>
              <w:rPr>
                <w:rFonts w:eastAsia="Calibri"/>
                <w:b/>
                <w:sz w:val="20"/>
                <w:szCs w:val="20"/>
                <w:lang w:val="es-ES_tradnl" w:eastAsia="en-US"/>
              </w:rPr>
            </w:pPr>
            <w:r w:rsidRPr="00434CCC">
              <w:rPr>
                <w:rFonts w:eastAsia="Calibri"/>
                <w:b/>
                <w:sz w:val="20"/>
                <w:szCs w:val="20"/>
                <w:lang w:val="es-ES_tradnl" w:eastAsia="en-US"/>
              </w:rPr>
              <w:t>0.8</w:t>
            </w:r>
          </w:p>
        </w:tc>
      </w:tr>
      <w:tr w:rsidR="00434CCC" w:rsidRPr="00434CCC" w14:paraId="4476C251" w14:textId="77777777" w:rsidTr="00AF5CB1">
        <w:trPr>
          <w:jc w:val="center"/>
        </w:trPr>
        <w:tc>
          <w:tcPr>
            <w:tcW w:w="3402" w:type="dxa"/>
            <w:tcBorders>
              <w:top w:val="nil"/>
              <w:bottom w:val="nil"/>
            </w:tcBorders>
          </w:tcPr>
          <w:p w14:paraId="312226FE" w14:textId="77777777" w:rsidR="00434CCC" w:rsidRPr="00434CCC" w:rsidRDefault="00434CCC" w:rsidP="00434CCC">
            <w:pPr>
              <w:jc w:val="both"/>
              <w:rPr>
                <w:rFonts w:eastAsia="Calibri"/>
                <w:sz w:val="20"/>
                <w:szCs w:val="20"/>
                <w:lang w:val="es-ES_tradnl" w:eastAsia="en-US"/>
              </w:rPr>
            </w:pPr>
            <w:r w:rsidRPr="00434CCC">
              <w:rPr>
                <w:rFonts w:eastAsia="Calibri"/>
                <w:sz w:val="20"/>
                <w:szCs w:val="20"/>
                <w:lang w:val="es-ES_tradnl" w:eastAsia="en-US"/>
              </w:rPr>
              <w:t>Minería</w:t>
            </w:r>
          </w:p>
        </w:tc>
        <w:tc>
          <w:tcPr>
            <w:tcW w:w="1407" w:type="dxa"/>
            <w:tcBorders>
              <w:top w:val="nil"/>
              <w:bottom w:val="nil"/>
            </w:tcBorders>
          </w:tcPr>
          <w:p w14:paraId="063EB857" w14:textId="77777777" w:rsidR="00434CCC" w:rsidRPr="00434CCC" w:rsidRDefault="00434CCC" w:rsidP="00434CCC">
            <w:pPr>
              <w:ind w:right="454"/>
              <w:jc w:val="right"/>
              <w:rPr>
                <w:rFonts w:eastAsia="Calibri"/>
                <w:sz w:val="20"/>
                <w:szCs w:val="20"/>
                <w:lang w:val="es-ES_tradnl" w:eastAsia="en-US"/>
              </w:rPr>
            </w:pPr>
            <w:r w:rsidRPr="00434CCC">
              <w:rPr>
                <w:rFonts w:eastAsia="Calibri"/>
                <w:sz w:val="20"/>
                <w:szCs w:val="20"/>
                <w:lang w:val="es-ES_tradnl" w:eastAsia="en-US"/>
              </w:rPr>
              <w:t>-0.5</w:t>
            </w:r>
          </w:p>
        </w:tc>
        <w:tc>
          <w:tcPr>
            <w:tcW w:w="1570" w:type="dxa"/>
            <w:tcBorders>
              <w:top w:val="nil"/>
              <w:bottom w:val="nil"/>
            </w:tcBorders>
          </w:tcPr>
          <w:p w14:paraId="2F32A1D2" w14:textId="77777777" w:rsidR="00434CCC" w:rsidRPr="00434CCC" w:rsidRDefault="00434CCC" w:rsidP="00434CCC">
            <w:pPr>
              <w:ind w:right="567"/>
              <w:jc w:val="right"/>
              <w:rPr>
                <w:rFonts w:eastAsia="Calibri"/>
                <w:sz w:val="20"/>
                <w:szCs w:val="20"/>
                <w:lang w:val="es-ES_tradnl" w:eastAsia="en-US"/>
              </w:rPr>
            </w:pPr>
            <w:r w:rsidRPr="00434CCC">
              <w:rPr>
                <w:rFonts w:eastAsia="Calibri"/>
                <w:sz w:val="20"/>
                <w:szCs w:val="20"/>
                <w:lang w:val="es-ES_tradnl" w:eastAsia="en-US"/>
              </w:rPr>
              <w:t>-5.9</w:t>
            </w:r>
          </w:p>
        </w:tc>
      </w:tr>
      <w:tr w:rsidR="00434CCC" w:rsidRPr="00434CCC" w14:paraId="71D9D38A" w14:textId="77777777" w:rsidTr="00AF5CB1">
        <w:trPr>
          <w:jc w:val="center"/>
        </w:trPr>
        <w:tc>
          <w:tcPr>
            <w:tcW w:w="3402" w:type="dxa"/>
            <w:tcBorders>
              <w:top w:val="nil"/>
              <w:bottom w:val="nil"/>
            </w:tcBorders>
          </w:tcPr>
          <w:p w14:paraId="1B096CC7" w14:textId="77777777" w:rsidR="00434CCC" w:rsidRPr="00434CCC" w:rsidRDefault="00434CCC" w:rsidP="00434CCC">
            <w:pPr>
              <w:jc w:val="both"/>
              <w:rPr>
                <w:rFonts w:eastAsia="Calibri"/>
                <w:sz w:val="20"/>
                <w:szCs w:val="20"/>
                <w:lang w:val="es-ES_tradnl" w:eastAsia="en-US"/>
              </w:rPr>
            </w:pPr>
            <w:r w:rsidRPr="00434CCC">
              <w:rPr>
                <w:rFonts w:eastAsia="Calibri"/>
                <w:sz w:val="20"/>
                <w:szCs w:val="20"/>
                <w:lang w:val="es-ES_tradnl" w:eastAsia="en-US"/>
              </w:rPr>
              <w:t>Generación, transmisión y distribución de energía eléctrica, suministro de agua y de gas por ductos al consumidor final</w:t>
            </w:r>
          </w:p>
        </w:tc>
        <w:tc>
          <w:tcPr>
            <w:tcW w:w="1407" w:type="dxa"/>
            <w:tcBorders>
              <w:top w:val="nil"/>
              <w:bottom w:val="nil"/>
            </w:tcBorders>
            <w:vAlign w:val="center"/>
          </w:tcPr>
          <w:p w14:paraId="539ECF7B" w14:textId="77777777" w:rsidR="00434CCC" w:rsidRPr="00434CCC" w:rsidRDefault="00434CCC" w:rsidP="00434CCC">
            <w:pPr>
              <w:ind w:right="454"/>
              <w:jc w:val="right"/>
              <w:rPr>
                <w:rFonts w:eastAsia="Calibri"/>
                <w:sz w:val="20"/>
                <w:szCs w:val="20"/>
                <w:lang w:val="es-ES_tradnl" w:eastAsia="en-US"/>
              </w:rPr>
            </w:pPr>
            <w:r w:rsidRPr="00434CCC">
              <w:rPr>
                <w:rFonts w:eastAsia="Calibri"/>
                <w:sz w:val="20"/>
                <w:szCs w:val="20"/>
                <w:lang w:val="es-ES_tradnl" w:eastAsia="en-US"/>
              </w:rPr>
              <w:t>0.4</w:t>
            </w:r>
          </w:p>
        </w:tc>
        <w:tc>
          <w:tcPr>
            <w:tcW w:w="1570" w:type="dxa"/>
            <w:tcBorders>
              <w:top w:val="nil"/>
              <w:bottom w:val="nil"/>
            </w:tcBorders>
            <w:vAlign w:val="center"/>
          </w:tcPr>
          <w:p w14:paraId="0E8A7C93" w14:textId="77777777" w:rsidR="00434CCC" w:rsidRPr="00434CCC" w:rsidRDefault="00434CCC" w:rsidP="00434CCC">
            <w:pPr>
              <w:ind w:right="567"/>
              <w:jc w:val="right"/>
              <w:rPr>
                <w:rFonts w:eastAsia="Calibri"/>
                <w:sz w:val="20"/>
                <w:szCs w:val="20"/>
                <w:lang w:val="es-ES_tradnl" w:eastAsia="en-US"/>
              </w:rPr>
            </w:pPr>
            <w:r w:rsidRPr="00434CCC">
              <w:rPr>
                <w:rFonts w:eastAsia="Calibri"/>
                <w:sz w:val="20"/>
                <w:szCs w:val="20"/>
                <w:lang w:val="es-ES_tradnl" w:eastAsia="en-US"/>
              </w:rPr>
              <w:t>2.9</w:t>
            </w:r>
          </w:p>
        </w:tc>
      </w:tr>
      <w:tr w:rsidR="00434CCC" w:rsidRPr="00434CCC" w14:paraId="6538CAA3" w14:textId="77777777" w:rsidTr="00AF5CB1">
        <w:trPr>
          <w:jc w:val="center"/>
        </w:trPr>
        <w:tc>
          <w:tcPr>
            <w:tcW w:w="3402" w:type="dxa"/>
            <w:tcBorders>
              <w:top w:val="nil"/>
              <w:bottom w:val="nil"/>
            </w:tcBorders>
          </w:tcPr>
          <w:p w14:paraId="4C95418E" w14:textId="77777777" w:rsidR="00434CCC" w:rsidRPr="00434CCC" w:rsidRDefault="00434CCC" w:rsidP="00434CCC">
            <w:pPr>
              <w:jc w:val="both"/>
              <w:rPr>
                <w:rFonts w:eastAsia="Calibri"/>
                <w:sz w:val="20"/>
                <w:szCs w:val="20"/>
                <w:lang w:val="es-ES_tradnl" w:eastAsia="en-US"/>
              </w:rPr>
            </w:pPr>
            <w:r w:rsidRPr="00434CCC">
              <w:rPr>
                <w:rFonts w:eastAsia="Calibri"/>
                <w:sz w:val="20"/>
                <w:szCs w:val="20"/>
                <w:lang w:val="es-ES_tradnl" w:eastAsia="en-US"/>
              </w:rPr>
              <w:t>Construcción</w:t>
            </w:r>
          </w:p>
        </w:tc>
        <w:tc>
          <w:tcPr>
            <w:tcW w:w="1407" w:type="dxa"/>
            <w:tcBorders>
              <w:top w:val="nil"/>
              <w:bottom w:val="nil"/>
            </w:tcBorders>
          </w:tcPr>
          <w:p w14:paraId="1500B822" w14:textId="77777777" w:rsidR="00434CCC" w:rsidRPr="00434CCC" w:rsidRDefault="00434CCC" w:rsidP="00434CCC">
            <w:pPr>
              <w:ind w:right="454"/>
              <w:jc w:val="right"/>
              <w:rPr>
                <w:rFonts w:eastAsia="Calibri"/>
                <w:sz w:val="20"/>
                <w:szCs w:val="20"/>
                <w:lang w:val="es-ES_tradnl" w:eastAsia="en-US"/>
              </w:rPr>
            </w:pPr>
            <w:r w:rsidRPr="00434CCC">
              <w:rPr>
                <w:rFonts w:eastAsia="Calibri"/>
                <w:sz w:val="20"/>
                <w:szCs w:val="20"/>
                <w:lang w:val="es-ES_tradnl" w:eastAsia="en-US"/>
              </w:rPr>
              <w:t>-1.5</w:t>
            </w:r>
          </w:p>
        </w:tc>
        <w:tc>
          <w:tcPr>
            <w:tcW w:w="1570" w:type="dxa"/>
            <w:tcBorders>
              <w:top w:val="nil"/>
              <w:bottom w:val="nil"/>
            </w:tcBorders>
          </w:tcPr>
          <w:p w14:paraId="57A4B822" w14:textId="77777777" w:rsidR="00434CCC" w:rsidRPr="00434CCC" w:rsidRDefault="00434CCC" w:rsidP="00434CCC">
            <w:pPr>
              <w:ind w:right="567"/>
              <w:jc w:val="right"/>
              <w:rPr>
                <w:rFonts w:eastAsia="Calibri"/>
                <w:sz w:val="20"/>
                <w:szCs w:val="20"/>
                <w:lang w:val="es-ES_tradnl" w:eastAsia="en-US"/>
              </w:rPr>
            </w:pPr>
            <w:r w:rsidRPr="00434CCC">
              <w:rPr>
                <w:rFonts w:eastAsia="Calibri"/>
                <w:sz w:val="20"/>
                <w:szCs w:val="20"/>
                <w:lang w:val="es-ES_tradnl" w:eastAsia="en-US"/>
              </w:rPr>
              <w:t>4.7</w:t>
            </w:r>
          </w:p>
        </w:tc>
      </w:tr>
      <w:tr w:rsidR="00434CCC" w:rsidRPr="00434CCC" w14:paraId="3B7023EB" w14:textId="77777777" w:rsidTr="00AF5CB1">
        <w:trPr>
          <w:jc w:val="center"/>
        </w:trPr>
        <w:tc>
          <w:tcPr>
            <w:tcW w:w="3402" w:type="dxa"/>
            <w:tcBorders>
              <w:top w:val="nil"/>
              <w:bottom w:val="single" w:sz="4" w:space="0" w:color="auto"/>
            </w:tcBorders>
          </w:tcPr>
          <w:p w14:paraId="4EC2CAB2" w14:textId="77777777" w:rsidR="00434CCC" w:rsidRPr="00434CCC" w:rsidRDefault="00434CCC" w:rsidP="00434CCC">
            <w:pPr>
              <w:jc w:val="both"/>
              <w:rPr>
                <w:rFonts w:eastAsia="Calibri"/>
                <w:sz w:val="20"/>
                <w:szCs w:val="20"/>
                <w:lang w:val="es-ES_tradnl" w:eastAsia="en-US"/>
              </w:rPr>
            </w:pPr>
            <w:r w:rsidRPr="00434CCC">
              <w:rPr>
                <w:rFonts w:eastAsia="Calibri"/>
                <w:sz w:val="20"/>
                <w:szCs w:val="20"/>
                <w:lang w:val="es-ES_tradnl" w:eastAsia="en-US"/>
              </w:rPr>
              <w:t>Industrias Manufacturera</w:t>
            </w:r>
          </w:p>
        </w:tc>
        <w:tc>
          <w:tcPr>
            <w:tcW w:w="1407" w:type="dxa"/>
            <w:tcBorders>
              <w:top w:val="nil"/>
              <w:bottom w:val="single" w:sz="4" w:space="0" w:color="auto"/>
            </w:tcBorders>
          </w:tcPr>
          <w:p w14:paraId="21E6F5B1" w14:textId="77777777" w:rsidR="00434CCC" w:rsidRPr="00434CCC" w:rsidRDefault="00434CCC" w:rsidP="00434CCC">
            <w:pPr>
              <w:ind w:right="454"/>
              <w:jc w:val="right"/>
              <w:rPr>
                <w:rFonts w:eastAsia="Calibri"/>
                <w:sz w:val="20"/>
                <w:szCs w:val="20"/>
                <w:lang w:val="es-ES_tradnl" w:eastAsia="en-US"/>
              </w:rPr>
            </w:pPr>
            <w:r w:rsidRPr="00434CCC">
              <w:rPr>
                <w:rFonts w:eastAsia="Calibri"/>
                <w:sz w:val="20"/>
                <w:szCs w:val="20"/>
                <w:lang w:val="es-ES_tradnl" w:eastAsia="en-US"/>
              </w:rPr>
              <w:t>-0.1</w:t>
            </w:r>
          </w:p>
        </w:tc>
        <w:tc>
          <w:tcPr>
            <w:tcW w:w="1570" w:type="dxa"/>
            <w:tcBorders>
              <w:top w:val="nil"/>
              <w:bottom w:val="single" w:sz="4" w:space="0" w:color="auto"/>
            </w:tcBorders>
          </w:tcPr>
          <w:p w14:paraId="346C57C6" w14:textId="77777777" w:rsidR="00434CCC" w:rsidRPr="00434CCC" w:rsidRDefault="00434CCC" w:rsidP="00434CCC">
            <w:pPr>
              <w:ind w:right="567"/>
              <w:jc w:val="right"/>
              <w:rPr>
                <w:rFonts w:eastAsia="Calibri"/>
                <w:sz w:val="20"/>
                <w:szCs w:val="20"/>
                <w:lang w:val="es-ES_tradnl" w:eastAsia="en-US"/>
              </w:rPr>
            </w:pPr>
            <w:r w:rsidRPr="00434CCC">
              <w:rPr>
                <w:rFonts w:eastAsia="Calibri"/>
                <w:sz w:val="20"/>
                <w:szCs w:val="20"/>
                <w:lang w:val="es-ES_tradnl" w:eastAsia="en-US"/>
              </w:rPr>
              <w:t>2.5</w:t>
            </w:r>
          </w:p>
        </w:tc>
      </w:tr>
      <w:tr w:rsidR="00434CCC" w:rsidRPr="00434CCC" w14:paraId="61DBEFF6" w14:textId="77777777" w:rsidTr="00AF5CB1">
        <w:trPr>
          <w:jc w:val="center"/>
        </w:trPr>
        <w:tc>
          <w:tcPr>
            <w:tcW w:w="6379" w:type="dxa"/>
            <w:gridSpan w:val="3"/>
            <w:tcBorders>
              <w:left w:val="nil"/>
              <w:bottom w:val="nil"/>
              <w:right w:val="nil"/>
            </w:tcBorders>
          </w:tcPr>
          <w:p w14:paraId="581EB1CE" w14:textId="77777777" w:rsidR="00434CCC" w:rsidRPr="00434CCC" w:rsidRDefault="00434CCC" w:rsidP="00434CCC">
            <w:pPr>
              <w:jc w:val="both"/>
              <w:rPr>
                <w:rFonts w:eastAsia="Calibri"/>
                <w:sz w:val="20"/>
                <w:szCs w:val="20"/>
                <w:lang w:val="es-ES_tradnl" w:eastAsia="en-US"/>
              </w:rPr>
            </w:pPr>
          </w:p>
          <w:p w14:paraId="2C9817F5" w14:textId="77777777" w:rsidR="00434CCC" w:rsidRPr="00434CCC" w:rsidRDefault="00434CCC" w:rsidP="00434CCC">
            <w:pPr>
              <w:jc w:val="both"/>
              <w:rPr>
                <w:rFonts w:eastAsia="Calibri"/>
                <w:sz w:val="20"/>
                <w:szCs w:val="20"/>
                <w:lang w:val="es-ES_tradnl" w:eastAsia="en-US"/>
              </w:rPr>
            </w:pPr>
            <w:r w:rsidRPr="00434CCC">
              <w:rPr>
                <w:rFonts w:eastAsia="Calibri"/>
                <w:sz w:val="20"/>
                <w:szCs w:val="20"/>
                <w:lang w:val="es-ES_tradnl" w:eastAsia="en-US"/>
              </w:rPr>
              <w:t>FUENTE: INEGI.</w:t>
            </w:r>
          </w:p>
        </w:tc>
      </w:tr>
    </w:tbl>
    <w:p w14:paraId="4D91A807" w14:textId="77777777" w:rsidR="00434CCC" w:rsidRPr="00434CCC" w:rsidRDefault="00434CCC" w:rsidP="00434CCC">
      <w:pPr>
        <w:spacing w:after="360" w:line="360" w:lineRule="auto"/>
        <w:ind w:right="-159"/>
        <w:jc w:val="both"/>
        <w:rPr>
          <w:rFonts w:eastAsia="Calibri"/>
          <w:sz w:val="26"/>
          <w:szCs w:val="26"/>
          <w:lang w:eastAsia="en-US"/>
        </w:rPr>
      </w:pPr>
    </w:p>
    <w:p w14:paraId="67E7F174" w14:textId="77777777" w:rsidR="00434CCC" w:rsidRPr="00434CCC" w:rsidRDefault="00434CCC" w:rsidP="00434CCC">
      <w:pPr>
        <w:spacing w:after="360" w:line="360" w:lineRule="auto"/>
        <w:ind w:right="-159"/>
        <w:jc w:val="both"/>
        <w:rPr>
          <w:rFonts w:eastAsia="Calibri"/>
          <w:b/>
          <w:sz w:val="26"/>
          <w:szCs w:val="26"/>
          <w:lang w:eastAsia="en-US"/>
        </w:rPr>
      </w:pPr>
      <w:r w:rsidRPr="00434CCC">
        <w:rPr>
          <w:rFonts w:eastAsia="Calibri"/>
          <w:b/>
          <w:sz w:val="26"/>
          <w:szCs w:val="26"/>
          <w:lang w:eastAsia="en-US"/>
        </w:rPr>
        <w:t>Principales resultados</w:t>
      </w:r>
    </w:p>
    <w:p w14:paraId="4826D1F9" w14:textId="77777777" w:rsidR="00434CCC" w:rsidRPr="00434CCC" w:rsidRDefault="00434CCC" w:rsidP="00434CCC">
      <w:pPr>
        <w:spacing w:after="360" w:line="360" w:lineRule="auto"/>
        <w:ind w:right="-159"/>
        <w:jc w:val="both"/>
        <w:rPr>
          <w:rFonts w:eastAsia="Calibri"/>
          <w:sz w:val="26"/>
          <w:szCs w:val="26"/>
          <w:lang w:eastAsia="en-US"/>
        </w:rPr>
      </w:pPr>
      <w:r w:rsidRPr="00434CCC">
        <w:rPr>
          <w:rFonts w:eastAsia="Calibri"/>
          <w:sz w:val="26"/>
          <w:szCs w:val="26"/>
          <w:lang w:eastAsia="en-US"/>
        </w:rPr>
        <w:t>Con base en cifras desestacionalizadas, la Actividad Industrial en México (Minería; Generación, transmisión y distribución de energía eléctrica, suministro de agua y de gas por ductos al consumidor final; Construcción, y las Industrias manufactureras) mostró una variación negativa de 0.4% durante enero de 2015 respecto al mes previo.</w:t>
      </w:r>
    </w:p>
    <w:p w14:paraId="14520757" w14:textId="77777777" w:rsidR="00434CCC" w:rsidRPr="00434CCC" w:rsidRDefault="00434CCC" w:rsidP="00434CCC">
      <w:pPr>
        <w:spacing w:after="360" w:line="360" w:lineRule="auto"/>
        <w:ind w:right="-159"/>
        <w:jc w:val="center"/>
        <w:rPr>
          <w:rFonts w:eastAsia="Calibri"/>
          <w:sz w:val="26"/>
          <w:szCs w:val="26"/>
          <w:lang w:eastAsia="en-US"/>
        </w:rPr>
      </w:pPr>
      <w:r w:rsidRPr="00434CCC">
        <w:rPr>
          <w:rFonts w:ascii="Calibri" w:eastAsia="Calibri" w:hAnsi="Calibri"/>
          <w:sz w:val="22"/>
          <w:szCs w:val="22"/>
          <w:lang w:eastAsia="en-US"/>
        </w:rPr>
        <w:lastRenderedPageBreak/>
        <w:fldChar w:fldCharType="begin"/>
      </w:r>
      <w:r w:rsidRPr="00434CCC">
        <w:rPr>
          <w:rFonts w:ascii="Calibri" w:eastAsia="Calibri" w:hAnsi="Calibri"/>
          <w:sz w:val="22"/>
          <w:szCs w:val="22"/>
          <w:lang w:eastAsia="en-US"/>
        </w:rPr>
        <w:instrText xml:space="preserve"> LINK PowerPoint.Slide.8 "D:\\2015\\MARZO 2014\\GRÁFICAS EN POWER POINT\\23.- GRÁFICAS ACTIVIDAD INDUSTRIAL.pptx!268" "" \a \p </w:instrText>
      </w:r>
      <w:r w:rsidRPr="00434CCC">
        <w:rPr>
          <w:rFonts w:ascii="Calibri" w:eastAsia="Calibri" w:hAnsi="Calibri"/>
          <w:sz w:val="22"/>
          <w:szCs w:val="22"/>
          <w:lang w:eastAsia="en-US"/>
        </w:rPr>
        <w:fldChar w:fldCharType="separate"/>
      </w:r>
      <w:r w:rsidRPr="00434CCC">
        <w:rPr>
          <w:rFonts w:ascii="Calibri" w:eastAsia="Calibri" w:hAnsi="Calibri"/>
          <w:noProof/>
          <w:sz w:val="22"/>
          <w:szCs w:val="22"/>
          <w:lang w:eastAsia="es-MX"/>
        </w:rPr>
        <w:drawing>
          <wp:inline distT="0" distB="0" distL="0" distR="0" wp14:anchorId="0269913C" wp14:editId="26F56BC3">
            <wp:extent cx="4590415" cy="3218815"/>
            <wp:effectExtent l="0" t="0" r="635" b="635"/>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
                    <pic:cNvPicPr>
                      <a:picLocks noChangeAspect="1" noChangeArrowheads="1"/>
                    </pic:cNvPicPr>
                  </pic:nvPicPr>
                  <pic:blipFill>
                    <a:blip r:embed="rId108" cstate="print">
                      <a:extLst>
                        <a:ext uri="{28A0092B-C50C-407E-A947-70E740481C1C}">
                          <a14:useLocalDpi xmlns:a14="http://schemas.microsoft.com/office/drawing/2010/main" val="0"/>
                        </a:ext>
                      </a:extLst>
                    </a:blip>
                    <a:srcRect l="9929" t="1520" r="14618" b="4524"/>
                    <a:stretch>
                      <a:fillRect/>
                    </a:stretch>
                  </pic:blipFill>
                  <pic:spPr bwMode="auto">
                    <a:xfrm>
                      <a:off x="0" y="0"/>
                      <a:ext cx="4590415" cy="3218815"/>
                    </a:xfrm>
                    <a:prstGeom prst="rect">
                      <a:avLst/>
                    </a:prstGeom>
                    <a:noFill/>
                    <a:ln>
                      <a:noFill/>
                    </a:ln>
                  </pic:spPr>
                </pic:pic>
              </a:graphicData>
            </a:graphic>
          </wp:inline>
        </w:drawing>
      </w:r>
      <w:r w:rsidRPr="00434CCC">
        <w:rPr>
          <w:rFonts w:ascii="Calibri" w:eastAsia="Calibri" w:hAnsi="Calibri"/>
          <w:sz w:val="22"/>
          <w:szCs w:val="22"/>
          <w:lang w:eastAsia="en-US"/>
        </w:rPr>
        <w:fldChar w:fldCharType="end"/>
      </w:r>
    </w:p>
    <w:p w14:paraId="29F04BD4" w14:textId="77777777" w:rsidR="00434CCC" w:rsidRPr="00434CCC" w:rsidRDefault="00434CCC" w:rsidP="00434CCC">
      <w:pPr>
        <w:spacing w:after="360" w:line="360" w:lineRule="auto"/>
        <w:ind w:right="-159"/>
        <w:jc w:val="both"/>
        <w:rPr>
          <w:rFonts w:eastAsia="Calibri"/>
          <w:sz w:val="26"/>
          <w:szCs w:val="26"/>
          <w:lang w:val="es-ES_tradnl" w:eastAsia="en-US"/>
        </w:rPr>
      </w:pPr>
      <w:r w:rsidRPr="00434CCC">
        <w:rPr>
          <w:rFonts w:eastAsia="Calibri"/>
          <w:sz w:val="26"/>
          <w:szCs w:val="26"/>
          <w:lang w:val="es-ES_tradnl" w:eastAsia="en-US"/>
        </w:rPr>
        <w:t xml:space="preserve">Por sector de actividad económica, la Construcción descendió 1.5%; la Minería 0.5% y las Industrias manufactureras 0.1%; mientras que la Generación, transmisión y distribución de energía eléctrica, suministro de agua y de gas por ductos al consumidor final se incrementó 0.4% durante enero pasado frente al mes precedente. </w:t>
      </w:r>
    </w:p>
    <w:p w14:paraId="0299D8D7" w14:textId="77777777" w:rsidR="00434CCC" w:rsidRPr="00434CCC" w:rsidRDefault="00434CCC" w:rsidP="00434CCC">
      <w:pPr>
        <w:spacing w:after="160" w:line="259" w:lineRule="auto"/>
        <w:jc w:val="center"/>
        <w:rPr>
          <w:rFonts w:ascii="Calibri" w:eastAsia="Calibri" w:hAnsi="Calibri"/>
          <w:sz w:val="22"/>
          <w:szCs w:val="22"/>
          <w:lang w:eastAsia="en-US"/>
        </w:rPr>
      </w:pPr>
      <w:r w:rsidRPr="00434CCC">
        <w:rPr>
          <w:rFonts w:ascii="Calibri" w:eastAsia="Calibri" w:hAnsi="Calibri"/>
          <w:sz w:val="22"/>
          <w:szCs w:val="22"/>
          <w:lang w:eastAsia="en-US"/>
        </w:rPr>
        <w:fldChar w:fldCharType="begin"/>
      </w:r>
      <w:r w:rsidRPr="00434CCC">
        <w:rPr>
          <w:rFonts w:ascii="Calibri" w:eastAsia="Calibri" w:hAnsi="Calibri"/>
          <w:sz w:val="22"/>
          <w:szCs w:val="22"/>
          <w:lang w:eastAsia="en-US"/>
        </w:rPr>
        <w:instrText xml:space="preserve"> LINK PowerPoint.Slide.8 "D:\\2015\\MARZO 2014\\GRÁFICAS EN POWER POINT\\23.- GRÁFICAS ACTIVIDAD INDUSTRIAL.pptx!271" "" \a \p </w:instrText>
      </w:r>
      <w:r w:rsidRPr="00434CCC">
        <w:rPr>
          <w:rFonts w:ascii="Calibri" w:eastAsia="Calibri" w:hAnsi="Calibri"/>
          <w:sz w:val="22"/>
          <w:szCs w:val="22"/>
          <w:lang w:eastAsia="en-US"/>
        </w:rPr>
        <w:fldChar w:fldCharType="separate"/>
      </w:r>
      <w:r w:rsidRPr="00434CCC">
        <w:rPr>
          <w:rFonts w:ascii="Calibri" w:eastAsia="Calibri" w:hAnsi="Calibri"/>
          <w:noProof/>
          <w:sz w:val="22"/>
          <w:szCs w:val="22"/>
          <w:lang w:eastAsia="es-MX"/>
        </w:rPr>
        <w:drawing>
          <wp:inline distT="0" distB="0" distL="0" distR="0" wp14:anchorId="3033DDD4" wp14:editId="50D1CB28">
            <wp:extent cx="4621530" cy="3268345"/>
            <wp:effectExtent l="0" t="0" r="7620" b="8255"/>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ChangeAspect="1" noChangeArrowheads="1"/>
                    </pic:cNvPicPr>
                  </pic:nvPicPr>
                  <pic:blipFill>
                    <a:blip r:embed="rId109" cstate="print">
                      <a:extLst>
                        <a:ext uri="{28A0092B-C50C-407E-A947-70E740481C1C}">
                          <a14:useLocalDpi xmlns:a14="http://schemas.microsoft.com/office/drawing/2010/main" val="0"/>
                        </a:ext>
                      </a:extLst>
                    </a:blip>
                    <a:srcRect l="9782" r="14191" b="4524"/>
                    <a:stretch>
                      <a:fillRect/>
                    </a:stretch>
                  </pic:blipFill>
                  <pic:spPr bwMode="auto">
                    <a:xfrm>
                      <a:off x="0" y="0"/>
                      <a:ext cx="4621530" cy="3268345"/>
                    </a:xfrm>
                    <a:prstGeom prst="rect">
                      <a:avLst/>
                    </a:prstGeom>
                    <a:noFill/>
                    <a:ln>
                      <a:noFill/>
                    </a:ln>
                  </pic:spPr>
                </pic:pic>
              </a:graphicData>
            </a:graphic>
          </wp:inline>
        </w:drawing>
      </w:r>
      <w:r w:rsidRPr="00434CCC">
        <w:rPr>
          <w:rFonts w:ascii="Calibri" w:eastAsia="Calibri" w:hAnsi="Calibri"/>
          <w:sz w:val="22"/>
          <w:szCs w:val="22"/>
          <w:lang w:eastAsia="en-US"/>
        </w:rPr>
        <w:fldChar w:fldCharType="end"/>
      </w:r>
    </w:p>
    <w:p w14:paraId="632054E5" w14:textId="77777777" w:rsidR="00434CCC" w:rsidRPr="00434CCC" w:rsidRDefault="00434CCC" w:rsidP="00434CCC">
      <w:pPr>
        <w:spacing w:after="160" w:line="259" w:lineRule="auto"/>
        <w:jc w:val="center"/>
        <w:rPr>
          <w:rFonts w:ascii="Calibri" w:eastAsia="Calibri" w:hAnsi="Calibri"/>
          <w:sz w:val="22"/>
          <w:szCs w:val="22"/>
          <w:lang w:eastAsia="en-US"/>
        </w:rPr>
      </w:pPr>
    </w:p>
    <w:p w14:paraId="6A65B626" w14:textId="77777777" w:rsidR="00434CCC" w:rsidRPr="00434CCC" w:rsidRDefault="00434CCC" w:rsidP="00434CCC">
      <w:pPr>
        <w:spacing w:after="160" w:line="259" w:lineRule="auto"/>
        <w:jc w:val="center"/>
        <w:rPr>
          <w:rFonts w:ascii="Calibri" w:eastAsia="Calibri" w:hAnsi="Calibri"/>
          <w:sz w:val="22"/>
          <w:szCs w:val="22"/>
          <w:lang w:eastAsia="en-US"/>
        </w:rPr>
      </w:pPr>
      <w:r w:rsidRPr="00434CCC">
        <w:rPr>
          <w:rFonts w:ascii="Calibri" w:eastAsia="Calibri" w:hAnsi="Calibri"/>
          <w:sz w:val="22"/>
          <w:szCs w:val="22"/>
          <w:lang w:eastAsia="en-US"/>
        </w:rPr>
        <w:fldChar w:fldCharType="begin"/>
      </w:r>
      <w:r w:rsidRPr="00434CCC">
        <w:rPr>
          <w:rFonts w:ascii="Calibri" w:eastAsia="Calibri" w:hAnsi="Calibri"/>
          <w:sz w:val="22"/>
          <w:szCs w:val="22"/>
          <w:lang w:eastAsia="en-US"/>
        </w:rPr>
        <w:instrText xml:space="preserve"> LINK PowerPoint.Slide.8 "D:\\2015\\MARZO 2014\\GRÁFICAS EN POWER POINT\\23.- GRÁFICAS ACTIVIDAD INDUSTRIAL.pptx!274" "" \a \p </w:instrText>
      </w:r>
      <w:r w:rsidRPr="00434CCC">
        <w:rPr>
          <w:rFonts w:ascii="Calibri" w:eastAsia="Calibri" w:hAnsi="Calibri"/>
          <w:sz w:val="22"/>
          <w:szCs w:val="22"/>
          <w:lang w:eastAsia="en-US"/>
        </w:rPr>
        <w:fldChar w:fldCharType="separate"/>
      </w:r>
      <w:r w:rsidRPr="00434CCC">
        <w:rPr>
          <w:rFonts w:ascii="Calibri" w:eastAsia="Calibri" w:hAnsi="Calibri"/>
          <w:noProof/>
          <w:sz w:val="22"/>
          <w:szCs w:val="22"/>
          <w:lang w:eastAsia="es-MX"/>
        </w:rPr>
        <w:drawing>
          <wp:inline distT="0" distB="0" distL="0" distR="0" wp14:anchorId="1B6B9FC4" wp14:editId="0ADCDAB4">
            <wp:extent cx="4578350" cy="3422650"/>
            <wp:effectExtent l="0" t="0" r="0" b="6350"/>
            <wp:docPr id="139" name="Imagen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
                    <pic:cNvPicPr>
                      <a:picLocks noChangeAspect="1" noChangeArrowheads="1"/>
                    </pic:cNvPicPr>
                  </pic:nvPicPr>
                  <pic:blipFill>
                    <a:blip r:embed="rId110" cstate="print">
                      <a:extLst>
                        <a:ext uri="{28A0092B-C50C-407E-A947-70E740481C1C}">
                          <a14:useLocalDpi xmlns:a14="http://schemas.microsoft.com/office/drawing/2010/main" val="0"/>
                        </a:ext>
                      </a:extLst>
                    </a:blip>
                    <a:srcRect l="9648" r="15036"/>
                    <a:stretch>
                      <a:fillRect/>
                    </a:stretch>
                  </pic:blipFill>
                  <pic:spPr bwMode="auto">
                    <a:xfrm>
                      <a:off x="0" y="0"/>
                      <a:ext cx="4578350" cy="3422650"/>
                    </a:xfrm>
                    <a:prstGeom prst="rect">
                      <a:avLst/>
                    </a:prstGeom>
                    <a:noFill/>
                    <a:ln>
                      <a:noFill/>
                    </a:ln>
                  </pic:spPr>
                </pic:pic>
              </a:graphicData>
            </a:graphic>
          </wp:inline>
        </w:drawing>
      </w:r>
      <w:r w:rsidRPr="00434CCC">
        <w:rPr>
          <w:rFonts w:ascii="Calibri" w:eastAsia="Calibri" w:hAnsi="Calibri"/>
          <w:sz w:val="22"/>
          <w:szCs w:val="22"/>
          <w:lang w:eastAsia="en-US"/>
        </w:rPr>
        <w:fldChar w:fldCharType="end"/>
      </w:r>
    </w:p>
    <w:p w14:paraId="5B09C24B" w14:textId="77777777" w:rsidR="00434CCC" w:rsidRPr="00434CCC" w:rsidRDefault="00434CCC" w:rsidP="00434CCC">
      <w:pPr>
        <w:spacing w:after="160" w:line="259" w:lineRule="auto"/>
        <w:jc w:val="center"/>
        <w:rPr>
          <w:rFonts w:ascii="Calibri" w:eastAsia="Calibri" w:hAnsi="Calibri"/>
          <w:sz w:val="22"/>
          <w:szCs w:val="22"/>
          <w:lang w:eastAsia="en-US"/>
        </w:rPr>
      </w:pPr>
    </w:p>
    <w:p w14:paraId="206FA611" w14:textId="77777777" w:rsidR="00434CCC" w:rsidRPr="00434CCC" w:rsidRDefault="00434CCC" w:rsidP="00434CCC">
      <w:pPr>
        <w:spacing w:after="160" w:line="259" w:lineRule="auto"/>
        <w:jc w:val="center"/>
        <w:rPr>
          <w:rFonts w:ascii="Calibri" w:eastAsia="Calibri" w:hAnsi="Calibri"/>
          <w:sz w:val="22"/>
          <w:szCs w:val="22"/>
          <w:lang w:eastAsia="en-US"/>
        </w:rPr>
      </w:pPr>
      <w:r w:rsidRPr="00434CCC">
        <w:rPr>
          <w:rFonts w:ascii="Calibri" w:eastAsia="Calibri" w:hAnsi="Calibri"/>
          <w:sz w:val="22"/>
          <w:szCs w:val="22"/>
          <w:lang w:eastAsia="en-US"/>
        </w:rPr>
        <w:fldChar w:fldCharType="begin"/>
      </w:r>
      <w:r w:rsidRPr="00434CCC">
        <w:rPr>
          <w:rFonts w:ascii="Calibri" w:eastAsia="Calibri" w:hAnsi="Calibri"/>
          <w:sz w:val="22"/>
          <w:szCs w:val="22"/>
          <w:lang w:eastAsia="en-US"/>
        </w:rPr>
        <w:instrText xml:space="preserve"> LINK PowerPoint.Slide.8 "D:\\2015\\MARZO 2014\\GRÁFICAS EN POWER POINT\\23.- GRÁFICAS ACTIVIDAD INDUSTRIAL.pptx!272" "" \a \p </w:instrText>
      </w:r>
      <w:r w:rsidRPr="00434CCC">
        <w:rPr>
          <w:rFonts w:ascii="Calibri" w:eastAsia="Calibri" w:hAnsi="Calibri"/>
          <w:sz w:val="22"/>
          <w:szCs w:val="22"/>
          <w:lang w:eastAsia="en-US"/>
        </w:rPr>
        <w:fldChar w:fldCharType="separate"/>
      </w:r>
      <w:r w:rsidRPr="00434CCC">
        <w:rPr>
          <w:rFonts w:ascii="Calibri" w:eastAsia="Calibri" w:hAnsi="Calibri"/>
          <w:noProof/>
          <w:sz w:val="22"/>
          <w:szCs w:val="22"/>
          <w:lang w:eastAsia="es-MX"/>
        </w:rPr>
        <w:drawing>
          <wp:inline distT="0" distB="0" distL="0" distR="0" wp14:anchorId="55BEDD38" wp14:editId="16397F2B">
            <wp:extent cx="4485640" cy="3256280"/>
            <wp:effectExtent l="0" t="0" r="0" b="1270"/>
            <wp:docPr id="1583" name="Imagen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
                    <pic:cNvPicPr>
                      <a:picLocks noChangeAspect="1" noChangeArrowheads="1"/>
                    </pic:cNvPicPr>
                  </pic:nvPicPr>
                  <pic:blipFill>
                    <a:blip r:embed="rId111" cstate="print">
                      <a:extLst>
                        <a:ext uri="{28A0092B-C50C-407E-A947-70E740481C1C}">
                          <a14:useLocalDpi xmlns:a14="http://schemas.microsoft.com/office/drawing/2010/main" val="0"/>
                        </a:ext>
                      </a:extLst>
                    </a:blip>
                    <a:srcRect l="10922" r="15318" b="5043"/>
                    <a:stretch>
                      <a:fillRect/>
                    </a:stretch>
                  </pic:blipFill>
                  <pic:spPr bwMode="auto">
                    <a:xfrm>
                      <a:off x="0" y="0"/>
                      <a:ext cx="4485640" cy="3256280"/>
                    </a:xfrm>
                    <a:prstGeom prst="rect">
                      <a:avLst/>
                    </a:prstGeom>
                    <a:noFill/>
                    <a:ln>
                      <a:noFill/>
                    </a:ln>
                  </pic:spPr>
                </pic:pic>
              </a:graphicData>
            </a:graphic>
          </wp:inline>
        </w:drawing>
      </w:r>
      <w:r w:rsidRPr="00434CCC">
        <w:rPr>
          <w:rFonts w:ascii="Calibri" w:eastAsia="Calibri" w:hAnsi="Calibri"/>
          <w:sz w:val="22"/>
          <w:szCs w:val="22"/>
          <w:lang w:eastAsia="en-US"/>
        </w:rPr>
        <w:fldChar w:fldCharType="end"/>
      </w:r>
    </w:p>
    <w:p w14:paraId="7642A673" w14:textId="77777777" w:rsidR="00434CCC" w:rsidRPr="00434CCC" w:rsidRDefault="00434CCC" w:rsidP="00434CCC">
      <w:pPr>
        <w:spacing w:after="160" w:line="259" w:lineRule="auto"/>
        <w:jc w:val="center"/>
        <w:rPr>
          <w:rFonts w:ascii="Calibri" w:eastAsia="Calibri" w:hAnsi="Calibri"/>
          <w:sz w:val="22"/>
          <w:szCs w:val="22"/>
          <w:lang w:eastAsia="en-US"/>
        </w:rPr>
      </w:pPr>
    </w:p>
    <w:p w14:paraId="75F88688" w14:textId="77777777" w:rsidR="00434CCC" w:rsidRPr="00434CCC" w:rsidRDefault="00434CCC" w:rsidP="00434CCC">
      <w:pPr>
        <w:spacing w:after="160" w:line="259" w:lineRule="auto"/>
        <w:jc w:val="center"/>
        <w:rPr>
          <w:rFonts w:ascii="Calibri" w:eastAsia="Calibri" w:hAnsi="Calibri"/>
          <w:sz w:val="22"/>
          <w:szCs w:val="22"/>
          <w:lang w:eastAsia="en-US"/>
        </w:rPr>
      </w:pPr>
      <w:r w:rsidRPr="00434CCC">
        <w:rPr>
          <w:rFonts w:ascii="Calibri" w:eastAsia="Calibri" w:hAnsi="Calibri"/>
          <w:sz w:val="22"/>
          <w:szCs w:val="22"/>
          <w:lang w:eastAsia="en-US"/>
        </w:rPr>
        <w:lastRenderedPageBreak/>
        <w:fldChar w:fldCharType="begin"/>
      </w:r>
      <w:r w:rsidRPr="00434CCC">
        <w:rPr>
          <w:rFonts w:ascii="Calibri" w:eastAsia="Calibri" w:hAnsi="Calibri"/>
          <w:sz w:val="22"/>
          <w:szCs w:val="22"/>
          <w:lang w:eastAsia="en-US"/>
        </w:rPr>
        <w:instrText xml:space="preserve"> LINK PowerPoint.Slide.8 "D:\\2015\\MARZO 2014\\GRÁFICAS EN POWER POINT\\23.- GRÁFICAS ACTIVIDAD INDUSTRIAL.pptx!273" "" \a \p </w:instrText>
      </w:r>
      <w:r w:rsidRPr="00434CCC">
        <w:rPr>
          <w:rFonts w:ascii="Calibri" w:eastAsia="Calibri" w:hAnsi="Calibri"/>
          <w:sz w:val="22"/>
          <w:szCs w:val="22"/>
          <w:lang w:eastAsia="en-US"/>
        </w:rPr>
        <w:fldChar w:fldCharType="separate"/>
      </w:r>
      <w:r w:rsidRPr="00434CCC">
        <w:rPr>
          <w:rFonts w:ascii="Calibri" w:eastAsia="Calibri" w:hAnsi="Calibri"/>
          <w:noProof/>
          <w:sz w:val="22"/>
          <w:szCs w:val="22"/>
          <w:lang w:eastAsia="es-MX"/>
        </w:rPr>
        <w:drawing>
          <wp:inline distT="0" distB="0" distL="0" distR="0" wp14:anchorId="36D05596" wp14:editId="71702179">
            <wp:extent cx="4516120" cy="3256280"/>
            <wp:effectExtent l="0" t="0" r="0" b="1270"/>
            <wp:docPr id="1584" name="Imagen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6"/>
                    <pic:cNvPicPr>
                      <a:picLocks noChangeAspect="1" noChangeArrowheads="1"/>
                    </pic:cNvPicPr>
                  </pic:nvPicPr>
                  <pic:blipFill>
                    <a:blip r:embed="rId112" cstate="print">
                      <a:extLst>
                        <a:ext uri="{28A0092B-C50C-407E-A947-70E740481C1C}">
                          <a14:useLocalDpi xmlns:a14="http://schemas.microsoft.com/office/drawing/2010/main" val="0"/>
                        </a:ext>
                      </a:extLst>
                    </a:blip>
                    <a:srcRect l="10356" r="15329" b="5025"/>
                    <a:stretch>
                      <a:fillRect/>
                    </a:stretch>
                  </pic:blipFill>
                  <pic:spPr bwMode="auto">
                    <a:xfrm>
                      <a:off x="0" y="0"/>
                      <a:ext cx="4516120" cy="3256280"/>
                    </a:xfrm>
                    <a:prstGeom prst="rect">
                      <a:avLst/>
                    </a:prstGeom>
                    <a:noFill/>
                    <a:ln>
                      <a:noFill/>
                    </a:ln>
                  </pic:spPr>
                </pic:pic>
              </a:graphicData>
            </a:graphic>
          </wp:inline>
        </w:drawing>
      </w:r>
      <w:r w:rsidRPr="00434CCC">
        <w:rPr>
          <w:rFonts w:ascii="Calibri" w:eastAsia="Calibri" w:hAnsi="Calibri"/>
          <w:sz w:val="22"/>
          <w:szCs w:val="22"/>
          <w:lang w:eastAsia="en-US"/>
        </w:rPr>
        <w:fldChar w:fldCharType="end"/>
      </w:r>
    </w:p>
    <w:p w14:paraId="5A4DF9E1" w14:textId="77777777" w:rsidR="00434CCC" w:rsidRPr="00434CCC" w:rsidRDefault="00434CCC" w:rsidP="00434CCC">
      <w:pPr>
        <w:spacing w:after="360" w:line="360" w:lineRule="auto"/>
        <w:ind w:right="-159"/>
        <w:jc w:val="center"/>
        <w:rPr>
          <w:rFonts w:eastAsia="Calibri"/>
          <w:sz w:val="26"/>
          <w:szCs w:val="26"/>
          <w:lang w:val="es-ES_tradnl" w:eastAsia="en-US"/>
        </w:rPr>
      </w:pPr>
    </w:p>
    <w:p w14:paraId="7C780AEB" w14:textId="77777777" w:rsidR="00434CCC" w:rsidRPr="00434CCC" w:rsidRDefault="00434CCC" w:rsidP="00434CCC">
      <w:pPr>
        <w:spacing w:after="360" w:line="360" w:lineRule="auto"/>
        <w:ind w:right="-159"/>
        <w:jc w:val="both"/>
        <w:rPr>
          <w:rFonts w:eastAsia="Calibri"/>
          <w:b/>
          <w:sz w:val="26"/>
          <w:szCs w:val="26"/>
          <w:lang w:val="es-ES_tradnl" w:eastAsia="en-US"/>
        </w:rPr>
      </w:pPr>
      <w:r w:rsidRPr="00434CCC">
        <w:rPr>
          <w:rFonts w:eastAsia="Calibri"/>
          <w:b/>
          <w:sz w:val="26"/>
          <w:szCs w:val="26"/>
          <w:lang w:val="es-ES_tradnl" w:eastAsia="en-US"/>
        </w:rPr>
        <w:t xml:space="preserve">Cifras originales </w:t>
      </w:r>
    </w:p>
    <w:p w14:paraId="2447E5F0" w14:textId="23E5929F" w:rsidR="00434CCC" w:rsidRPr="00434CCC" w:rsidRDefault="00434CCC" w:rsidP="00434CCC">
      <w:pPr>
        <w:spacing w:after="360" w:line="360" w:lineRule="auto"/>
        <w:ind w:right="-159"/>
        <w:jc w:val="both"/>
        <w:rPr>
          <w:rFonts w:eastAsia="Calibri"/>
          <w:sz w:val="26"/>
          <w:szCs w:val="26"/>
          <w:lang w:val="es-ES_tradnl" w:eastAsia="en-US"/>
        </w:rPr>
      </w:pPr>
      <w:r w:rsidRPr="00434CCC">
        <w:rPr>
          <w:rFonts w:eastAsia="Calibri"/>
          <w:sz w:val="26"/>
          <w:szCs w:val="26"/>
          <w:lang w:val="es-ES_tradnl" w:eastAsia="en-US"/>
        </w:rPr>
        <w:t>En su comparación anual y con cifras originales, la Actividad Industrial avanzó 0.3% en términos reales durante el primer mes de 2015 respec</w:t>
      </w:r>
      <w:r w:rsidR="000473E8">
        <w:rPr>
          <w:rFonts w:eastAsia="Calibri"/>
          <w:sz w:val="26"/>
          <w:szCs w:val="26"/>
          <w:lang w:val="es-ES_tradnl" w:eastAsia="en-US"/>
        </w:rPr>
        <w:t xml:space="preserve">to a igual mes del año anterior, </w:t>
      </w:r>
      <w:r w:rsidRPr="00434CCC">
        <w:rPr>
          <w:rFonts w:eastAsia="Calibri"/>
          <w:sz w:val="26"/>
          <w:szCs w:val="26"/>
          <w:lang w:val="es-ES_tradnl" w:eastAsia="en-US"/>
        </w:rPr>
        <w:t>debido a los incrementos mostrados en tres de los cuatro sectores que la conforman.</w:t>
      </w:r>
    </w:p>
    <w:p w14:paraId="754CF8BC" w14:textId="77777777" w:rsidR="00434CCC" w:rsidRPr="00434CCC" w:rsidRDefault="00434CCC" w:rsidP="00434CCC">
      <w:pPr>
        <w:spacing w:after="360" w:line="360" w:lineRule="auto"/>
        <w:ind w:right="-159"/>
        <w:jc w:val="center"/>
        <w:rPr>
          <w:rFonts w:eastAsia="Calibri"/>
          <w:sz w:val="26"/>
          <w:szCs w:val="26"/>
          <w:lang w:val="es-ES_tradnl" w:eastAsia="en-US"/>
        </w:rPr>
      </w:pPr>
      <w:r w:rsidRPr="00434CCC">
        <w:rPr>
          <w:rFonts w:ascii="Calibri" w:eastAsia="Calibri" w:hAnsi="Calibri"/>
          <w:sz w:val="22"/>
          <w:szCs w:val="22"/>
          <w:lang w:eastAsia="en-US"/>
        </w:rPr>
        <w:lastRenderedPageBreak/>
        <w:fldChar w:fldCharType="begin"/>
      </w:r>
      <w:r w:rsidRPr="00434CCC">
        <w:rPr>
          <w:rFonts w:ascii="Calibri" w:eastAsia="Calibri" w:hAnsi="Calibri"/>
          <w:sz w:val="22"/>
          <w:szCs w:val="22"/>
          <w:lang w:eastAsia="en-US"/>
        </w:rPr>
        <w:instrText xml:space="preserve"> LINK PowerPoint.Slide.8 "D:\\2015\\MARZO 2014\\GRÁFICAS EN POWER POINT\\24.-GRÁFICAS DE ACTIVIDAD INDUSTRIAL II.pptx!290" "" \a \p </w:instrText>
      </w:r>
      <w:r w:rsidRPr="00434CCC">
        <w:rPr>
          <w:rFonts w:ascii="Calibri" w:eastAsia="Calibri" w:hAnsi="Calibri"/>
          <w:sz w:val="22"/>
          <w:szCs w:val="22"/>
          <w:lang w:eastAsia="en-US"/>
        </w:rPr>
        <w:fldChar w:fldCharType="separate"/>
      </w:r>
      <w:r w:rsidRPr="00434CCC">
        <w:rPr>
          <w:rFonts w:ascii="Calibri" w:eastAsia="Calibri" w:hAnsi="Calibri"/>
          <w:noProof/>
          <w:sz w:val="22"/>
          <w:szCs w:val="22"/>
          <w:lang w:eastAsia="es-MX"/>
        </w:rPr>
        <w:drawing>
          <wp:inline distT="0" distB="0" distL="0" distR="0" wp14:anchorId="75C111D2" wp14:editId="0AD590AA">
            <wp:extent cx="4355465" cy="2983865"/>
            <wp:effectExtent l="0" t="0" r="6985" b="6985"/>
            <wp:docPr id="1585" name="Imagen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4"/>
                    <pic:cNvPicPr>
                      <a:picLocks noChangeAspect="1" noChangeArrowheads="1"/>
                    </pic:cNvPicPr>
                  </pic:nvPicPr>
                  <pic:blipFill>
                    <a:blip r:embed="rId113" cstate="print">
                      <a:extLst>
                        <a:ext uri="{28A0092B-C50C-407E-A947-70E740481C1C}">
                          <a14:useLocalDpi xmlns:a14="http://schemas.microsoft.com/office/drawing/2010/main" val="0"/>
                        </a:ext>
                      </a:extLst>
                    </a:blip>
                    <a:srcRect l="2644" t="4785" r="1892" b="8047"/>
                    <a:stretch>
                      <a:fillRect/>
                    </a:stretch>
                  </pic:blipFill>
                  <pic:spPr bwMode="auto">
                    <a:xfrm>
                      <a:off x="0" y="0"/>
                      <a:ext cx="4355465" cy="2983865"/>
                    </a:xfrm>
                    <a:prstGeom prst="rect">
                      <a:avLst/>
                    </a:prstGeom>
                    <a:noFill/>
                    <a:ln>
                      <a:noFill/>
                    </a:ln>
                  </pic:spPr>
                </pic:pic>
              </a:graphicData>
            </a:graphic>
          </wp:inline>
        </w:drawing>
      </w:r>
      <w:r w:rsidRPr="00434CCC">
        <w:rPr>
          <w:rFonts w:ascii="Calibri" w:eastAsia="Calibri" w:hAnsi="Calibri"/>
          <w:sz w:val="22"/>
          <w:szCs w:val="22"/>
          <w:lang w:eastAsia="en-US"/>
        </w:rPr>
        <w:fldChar w:fldCharType="end"/>
      </w:r>
    </w:p>
    <w:p w14:paraId="24EF2841" w14:textId="77777777" w:rsidR="00434CCC" w:rsidRPr="00434CCC" w:rsidRDefault="00434CCC" w:rsidP="00434CCC">
      <w:pPr>
        <w:spacing w:after="360" w:line="360" w:lineRule="auto"/>
        <w:ind w:right="-159"/>
        <w:jc w:val="both"/>
        <w:rPr>
          <w:rFonts w:eastAsia="Calibri"/>
          <w:sz w:val="26"/>
          <w:szCs w:val="26"/>
          <w:lang w:val="es-ES_tradnl" w:eastAsia="en-US"/>
        </w:rPr>
      </w:pPr>
    </w:p>
    <w:p w14:paraId="05E80515" w14:textId="77777777" w:rsidR="00434CCC" w:rsidRPr="00434CCC" w:rsidRDefault="00434CCC" w:rsidP="00434CCC">
      <w:pPr>
        <w:spacing w:after="360" w:line="360" w:lineRule="auto"/>
        <w:ind w:right="-159"/>
        <w:jc w:val="center"/>
        <w:rPr>
          <w:rFonts w:eastAsia="Calibri"/>
          <w:sz w:val="26"/>
          <w:szCs w:val="26"/>
          <w:lang w:val="es-ES_tradnl" w:eastAsia="en-US"/>
        </w:rPr>
      </w:pPr>
      <w:r w:rsidRPr="00434CCC">
        <w:rPr>
          <w:rFonts w:ascii="Calibri" w:eastAsia="Calibri" w:hAnsi="Calibri"/>
          <w:sz w:val="22"/>
          <w:szCs w:val="22"/>
          <w:lang w:eastAsia="en-US"/>
        </w:rPr>
        <w:fldChar w:fldCharType="begin"/>
      </w:r>
      <w:r w:rsidRPr="00434CCC">
        <w:rPr>
          <w:rFonts w:ascii="Calibri" w:eastAsia="Calibri" w:hAnsi="Calibri"/>
          <w:sz w:val="22"/>
          <w:szCs w:val="22"/>
          <w:lang w:eastAsia="en-US"/>
        </w:rPr>
        <w:instrText xml:space="preserve"> LINK PowerPoint.Slide.8 "D:\\2015\\MARZO 2014\\GRÁFICAS EN POWER POINT\\24.-GRÁFICAS DE ACTIVIDAD INDUSTRIAL II.pptx!292" "" \a \p </w:instrText>
      </w:r>
      <w:r w:rsidRPr="00434CCC">
        <w:rPr>
          <w:rFonts w:ascii="Calibri" w:eastAsia="Calibri" w:hAnsi="Calibri"/>
          <w:sz w:val="22"/>
          <w:szCs w:val="22"/>
          <w:lang w:eastAsia="en-US"/>
        </w:rPr>
        <w:fldChar w:fldCharType="separate"/>
      </w:r>
      <w:r w:rsidRPr="00434CCC">
        <w:rPr>
          <w:rFonts w:ascii="Calibri" w:eastAsia="Calibri" w:hAnsi="Calibri"/>
          <w:noProof/>
          <w:sz w:val="22"/>
          <w:szCs w:val="22"/>
          <w:lang w:eastAsia="es-MX"/>
        </w:rPr>
        <w:drawing>
          <wp:inline distT="0" distB="0" distL="0" distR="0" wp14:anchorId="3E1B8879" wp14:editId="414F6512">
            <wp:extent cx="4015740" cy="3422650"/>
            <wp:effectExtent l="0" t="0" r="3810" b="6350"/>
            <wp:docPr id="1586" name="Imagen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6"/>
                    <pic:cNvPicPr>
                      <a:picLocks noChangeAspect="1" noChangeArrowheads="1"/>
                    </pic:cNvPicPr>
                  </pic:nvPicPr>
                  <pic:blipFill>
                    <a:blip r:embed="rId114" cstate="print">
                      <a:extLst>
                        <a:ext uri="{28A0092B-C50C-407E-A947-70E740481C1C}">
                          <a14:useLocalDpi xmlns:a14="http://schemas.microsoft.com/office/drawing/2010/main" val="0"/>
                        </a:ext>
                      </a:extLst>
                    </a:blip>
                    <a:srcRect l="3979" r="7945"/>
                    <a:stretch>
                      <a:fillRect/>
                    </a:stretch>
                  </pic:blipFill>
                  <pic:spPr bwMode="auto">
                    <a:xfrm>
                      <a:off x="0" y="0"/>
                      <a:ext cx="4015740" cy="3422650"/>
                    </a:xfrm>
                    <a:prstGeom prst="rect">
                      <a:avLst/>
                    </a:prstGeom>
                    <a:noFill/>
                    <a:ln>
                      <a:noFill/>
                    </a:ln>
                  </pic:spPr>
                </pic:pic>
              </a:graphicData>
            </a:graphic>
          </wp:inline>
        </w:drawing>
      </w:r>
      <w:r w:rsidRPr="00434CCC">
        <w:rPr>
          <w:rFonts w:ascii="Calibri" w:eastAsia="Calibri" w:hAnsi="Calibri"/>
          <w:sz w:val="22"/>
          <w:szCs w:val="22"/>
          <w:lang w:eastAsia="en-US"/>
        </w:rPr>
        <w:fldChar w:fldCharType="end"/>
      </w:r>
    </w:p>
    <w:p w14:paraId="3117A456" w14:textId="77777777" w:rsidR="00434CCC" w:rsidRDefault="00434CCC" w:rsidP="00434CCC">
      <w:pPr>
        <w:spacing w:after="360" w:line="360" w:lineRule="auto"/>
        <w:ind w:right="-159"/>
        <w:jc w:val="both"/>
        <w:rPr>
          <w:rFonts w:eastAsia="Calibri"/>
          <w:sz w:val="26"/>
          <w:szCs w:val="26"/>
          <w:lang w:val="es-ES_tradnl" w:eastAsia="en-US"/>
        </w:rPr>
      </w:pPr>
    </w:p>
    <w:p w14:paraId="4ABB76EC" w14:textId="77777777" w:rsidR="00F21FCE" w:rsidRPr="00F21FCE" w:rsidRDefault="00F21FCE" w:rsidP="00F21FCE">
      <w:pPr>
        <w:spacing w:after="360" w:line="360" w:lineRule="auto"/>
        <w:ind w:right="-159"/>
        <w:jc w:val="both"/>
        <w:rPr>
          <w:rFonts w:eastAsia="Calibri"/>
          <w:b/>
          <w:sz w:val="26"/>
          <w:szCs w:val="26"/>
          <w:lang w:val="es-ES_tradnl" w:eastAsia="en-US"/>
        </w:rPr>
      </w:pPr>
      <w:r w:rsidRPr="00F21FCE">
        <w:rPr>
          <w:rFonts w:eastAsia="Calibri"/>
          <w:b/>
          <w:sz w:val="26"/>
          <w:szCs w:val="26"/>
          <w:lang w:val="es-ES_tradnl" w:eastAsia="en-US"/>
        </w:rPr>
        <w:lastRenderedPageBreak/>
        <w:t>Industria de la Construcción</w:t>
      </w:r>
    </w:p>
    <w:p w14:paraId="0CA51D92" w14:textId="4358BA48" w:rsidR="00434CCC" w:rsidRDefault="00F21FCE" w:rsidP="00F21FCE">
      <w:pPr>
        <w:spacing w:after="360" w:line="360" w:lineRule="auto"/>
        <w:ind w:right="-159"/>
        <w:jc w:val="both"/>
        <w:rPr>
          <w:rFonts w:eastAsia="Calibri"/>
          <w:sz w:val="26"/>
          <w:szCs w:val="26"/>
          <w:lang w:val="es-ES_tradnl" w:eastAsia="en-US"/>
        </w:rPr>
      </w:pPr>
      <w:r>
        <w:rPr>
          <w:rFonts w:eastAsia="Calibri"/>
          <w:sz w:val="26"/>
          <w:szCs w:val="26"/>
          <w:lang w:val="es-ES_tradnl" w:eastAsia="en-US"/>
        </w:rPr>
        <w:t>En enero de 2015, l</w:t>
      </w:r>
      <w:r w:rsidRPr="00F21FCE">
        <w:rPr>
          <w:rFonts w:eastAsia="Calibri"/>
          <w:sz w:val="26"/>
          <w:szCs w:val="26"/>
          <w:lang w:val="es-ES_tradnl" w:eastAsia="en-US"/>
        </w:rPr>
        <w:t xml:space="preserve">a Industria de la Construcción </w:t>
      </w:r>
      <w:r>
        <w:rPr>
          <w:rFonts w:eastAsia="Calibri"/>
          <w:sz w:val="26"/>
          <w:szCs w:val="26"/>
          <w:lang w:val="es-ES_tradnl" w:eastAsia="en-US"/>
        </w:rPr>
        <w:t>creció</w:t>
      </w:r>
      <w:r w:rsidRPr="00F21FCE">
        <w:rPr>
          <w:rFonts w:eastAsia="Calibri"/>
          <w:sz w:val="26"/>
          <w:szCs w:val="26"/>
          <w:lang w:val="es-ES_tradnl" w:eastAsia="en-US"/>
        </w:rPr>
        <w:t xml:space="preserve"> </w:t>
      </w:r>
      <w:r>
        <w:rPr>
          <w:rFonts w:eastAsia="Calibri"/>
          <w:sz w:val="26"/>
          <w:szCs w:val="26"/>
          <w:lang w:val="es-ES_tradnl" w:eastAsia="en-US"/>
        </w:rPr>
        <w:t>4.2</w:t>
      </w:r>
      <w:r w:rsidRPr="00F21FCE">
        <w:rPr>
          <w:rFonts w:eastAsia="Calibri"/>
          <w:sz w:val="26"/>
          <w:szCs w:val="26"/>
          <w:lang w:val="es-ES_tradnl" w:eastAsia="en-US"/>
        </w:rPr>
        <w:t xml:space="preserve">% </w:t>
      </w:r>
      <w:r>
        <w:rPr>
          <w:rFonts w:eastAsia="Calibri"/>
          <w:sz w:val="26"/>
          <w:szCs w:val="26"/>
          <w:lang w:val="es-ES_tradnl" w:eastAsia="en-US"/>
        </w:rPr>
        <w:t xml:space="preserve">con respecto al mismo mes de </w:t>
      </w:r>
      <w:r w:rsidRPr="00F21FCE">
        <w:rPr>
          <w:rFonts w:eastAsia="Calibri"/>
          <w:sz w:val="26"/>
          <w:szCs w:val="26"/>
          <w:lang w:val="es-ES_tradnl" w:eastAsia="en-US"/>
        </w:rPr>
        <w:t>201</w:t>
      </w:r>
      <w:r>
        <w:rPr>
          <w:rFonts w:eastAsia="Calibri"/>
          <w:sz w:val="26"/>
          <w:szCs w:val="26"/>
          <w:lang w:val="es-ES_tradnl" w:eastAsia="en-US"/>
        </w:rPr>
        <w:t>4.</w:t>
      </w:r>
    </w:p>
    <w:p w14:paraId="1E363766" w14:textId="20BCF8E5" w:rsidR="00434CCC" w:rsidRPr="00434CCC" w:rsidRDefault="00434CCC" w:rsidP="00434CCC">
      <w:pPr>
        <w:spacing w:after="160" w:line="259" w:lineRule="auto"/>
        <w:jc w:val="center"/>
        <w:rPr>
          <w:rFonts w:ascii="Calibri" w:eastAsia="Calibri" w:hAnsi="Calibri"/>
          <w:sz w:val="22"/>
          <w:szCs w:val="22"/>
          <w:lang w:eastAsia="en-US"/>
        </w:rPr>
      </w:pPr>
      <w:r w:rsidRPr="00434CCC">
        <w:rPr>
          <w:rFonts w:ascii="Calibri" w:eastAsia="Calibri" w:hAnsi="Calibri"/>
          <w:sz w:val="22"/>
          <w:szCs w:val="22"/>
          <w:lang w:eastAsia="en-US"/>
        </w:rPr>
        <w:fldChar w:fldCharType="begin"/>
      </w:r>
      <w:r w:rsidRPr="00434CCC">
        <w:rPr>
          <w:rFonts w:ascii="Calibri" w:eastAsia="Calibri" w:hAnsi="Calibri"/>
          <w:sz w:val="22"/>
          <w:szCs w:val="22"/>
          <w:lang w:eastAsia="en-US"/>
        </w:rPr>
        <w:instrText xml:space="preserve"> LINK PowerPoint.Slide.8 "D:\\2015\\MARZO 2014\\GRÁFICAS EN POWER POINT\\24.-GRÁFICAS DE ACTIVIDAD INDUSTRIAL II.pptx!334" "" \a \p </w:instrText>
      </w:r>
      <w:r w:rsidRPr="00434CCC">
        <w:rPr>
          <w:rFonts w:ascii="Calibri" w:eastAsia="Calibri" w:hAnsi="Calibri"/>
          <w:sz w:val="22"/>
          <w:szCs w:val="22"/>
          <w:lang w:eastAsia="en-US"/>
        </w:rPr>
        <w:fldChar w:fldCharType="separate"/>
      </w:r>
      <w:r w:rsidRPr="00434CCC">
        <w:rPr>
          <w:rFonts w:ascii="Calibri" w:eastAsia="Calibri" w:hAnsi="Calibri"/>
          <w:noProof/>
          <w:sz w:val="22"/>
          <w:szCs w:val="22"/>
          <w:lang w:eastAsia="es-MX"/>
        </w:rPr>
        <w:drawing>
          <wp:inline distT="0" distB="0" distL="0" distR="0" wp14:anchorId="0FA9D4C6" wp14:editId="1C9BD166">
            <wp:extent cx="4399280" cy="3138805"/>
            <wp:effectExtent l="0" t="0" r="1270" b="4445"/>
            <wp:docPr id="1590" name="Imagen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ChangeAspect="1" noChangeArrowheads="1"/>
                    </pic:cNvPicPr>
                  </pic:nvPicPr>
                  <pic:blipFill>
                    <a:blip r:embed="rId115" cstate="print">
                      <a:extLst>
                        <a:ext uri="{28A0092B-C50C-407E-A947-70E740481C1C}">
                          <a14:useLocalDpi xmlns:a14="http://schemas.microsoft.com/office/drawing/2010/main" val="0"/>
                        </a:ext>
                      </a:extLst>
                    </a:blip>
                    <a:srcRect l="2463" r="1128" b="8307"/>
                    <a:stretch>
                      <a:fillRect/>
                    </a:stretch>
                  </pic:blipFill>
                  <pic:spPr bwMode="auto">
                    <a:xfrm>
                      <a:off x="0" y="0"/>
                      <a:ext cx="4399280" cy="3138805"/>
                    </a:xfrm>
                    <a:prstGeom prst="rect">
                      <a:avLst/>
                    </a:prstGeom>
                    <a:noFill/>
                    <a:ln>
                      <a:noFill/>
                    </a:ln>
                  </pic:spPr>
                </pic:pic>
              </a:graphicData>
            </a:graphic>
          </wp:inline>
        </w:drawing>
      </w:r>
      <w:r w:rsidRPr="00434CCC">
        <w:rPr>
          <w:rFonts w:ascii="Calibri" w:eastAsia="Calibri" w:hAnsi="Calibri"/>
          <w:sz w:val="22"/>
          <w:szCs w:val="22"/>
          <w:lang w:eastAsia="en-US"/>
        </w:rPr>
        <w:fldChar w:fldCharType="end"/>
      </w:r>
    </w:p>
    <w:p w14:paraId="6051255F" w14:textId="77777777" w:rsidR="00434CCC" w:rsidRDefault="00434CCC" w:rsidP="00434CCC">
      <w:pPr>
        <w:spacing w:after="360" w:line="360" w:lineRule="auto"/>
        <w:ind w:right="-159"/>
        <w:jc w:val="both"/>
        <w:rPr>
          <w:rFonts w:eastAsia="Calibri"/>
          <w:sz w:val="26"/>
          <w:szCs w:val="26"/>
          <w:lang w:val="es-ES_tradnl" w:eastAsia="en-US"/>
        </w:rPr>
      </w:pPr>
    </w:p>
    <w:p w14:paraId="6675F97E" w14:textId="77777777" w:rsidR="00D84072" w:rsidRPr="00D84072" w:rsidRDefault="00D84072" w:rsidP="00D84072">
      <w:pPr>
        <w:spacing w:after="360" w:line="360" w:lineRule="auto"/>
        <w:ind w:right="-159"/>
        <w:jc w:val="both"/>
        <w:rPr>
          <w:rFonts w:eastAsia="Calibri"/>
          <w:b/>
          <w:sz w:val="26"/>
          <w:szCs w:val="26"/>
          <w:lang w:val="es-ES_tradnl" w:eastAsia="en-US"/>
        </w:rPr>
      </w:pPr>
      <w:r w:rsidRPr="00D84072">
        <w:rPr>
          <w:rFonts w:eastAsia="Calibri"/>
          <w:b/>
          <w:sz w:val="26"/>
          <w:szCs w:val="26"/>
          <w:lang w:val="es-ES_tradnl" w:eastAsia="en-US"/>
        </w:rPr>
        <w:t xml:space="preserve">Industrias Manufactureras </w:t>
      </w:r>
    </w:p>
    <w:p w14:paraId="24139BBC" w14:textId="54F4F528" w:rsidR="00434CCC" w:rsidRDefault="00D84072" w:rsidP="00D84072">
      <w:pPr>
        <w:spacing w:after="360" w:line="360" w:lineRule="auto"/>
        <w:ind w:right="-159"/>
        <w:jc w:val="both"/>
        <w:rPr>
          <w:rFonts w:eastAsia="Calibri"/>
          <w:sz w:val="26"/>
          <w:szCs w:val="26"/>
          <w:lang w:val="es-ES_tradnl" w:eastAsia="en-US"/>
        </w:rPr>
      </w:pPr>
      <w:r w:rsidRPr="00D84072">
        <w:rPr>
          <w:rFonts w:eastAsia="Calibri"/>
          <w:sz w:val="26"/>
          <w:szCs w:val="26"/>
          <w:lang w:val="es-ES_tradnl" w:eastAsia="en-US"/>
        </w:rPr>
        <w:t xml:space="preserve">El sector de las Industrias Manufactureras aumentó </w:t>
      </w:r>
      <w:r w:rsidR="00F21FCE">
        <w:rPr>
          <w:rFonts w:eastAsia="Calibri"/>
          <w:sz w:val="26"/>
          <w:szCs w:val="26"/>
          <w:lang w:val="es-ES_tradnl" w:eastAsia="en-US"/>
        </w:rPr>
        <w:t>1.2</w:t>
      </w:r>
      <w:r w:rsidRPr="00D84072">
        <w:rPr>
          <w:rFonts w:eastAsia="Calibri"/>
          <w:sz w:val="26"/>
          <w:szCs w:val="26"/>
          <w:lang w:val="es-ES_tradnl" w:eastAsia="en-US"/>
        </w:rPr>
        <w:t>% a tasa anual durante enero del 201</w:t>
      </w:r>
      <w:r w:rsidR="00F21FCE">
        <w:rPr>
          <w:rFonts w:eastAsia="Calibri"/>
          <w:sz w:val="26"/>
          <w:szCs w:val="26"/>
          <w:lang w:val="es-ES_tradnl" w:eastAsia="en-US"/>
        </w:rPr>
        <w:t>5, con relación al mismo mes del año previo</w:t>
      </w:r>
      <w:r>
        <w:rPr>
          <w:rFonts w:eastAsia="Calibri"/>
          <w:sz w:val="26"/>
          <w:szCs w:val="26"/>
          <w:lang w:val="es-ES_tradnl" w:eastAsia="en-US"/>
        </w:rPr>
        <w:t>.</w:t>
      </w:r>
    </w:p>
    <w:p w14:paraId="6604F560" w14:textId="6FE5DCE9" w:rsidR="00434CCC" w:rsidRPr="00434CCC" w:rsidRDefault="00434CCC" w:rsidP="00434CCC">
      <w:pPr>
        <w:spacing w:after="160" w:line="259" w:lineRule="auto"/>
        <w:jc w:val="center"/>
        <w:rPr>
          <w:rFonts w:ascii="Calibri" w:eastAsia="Calibri" w:hAnsi="Calibri"/>
          <w:sz w:val="22"/>
          <w:szCs w:val="22"/>
          <w:lang w:eastAsia="en-US"/>
        </w:rPr>
      </w:pPr>
      <w:r w:rsidRPr="00434CCC">
        <w:rPr>
          <w:rFonts w:ascii="Calibri" w:eastAsia="Calibri" w:hAnsi="Calibri"/>
          <w:sz w:val="22"/>
          <w:szCs w:val="22"/>
          <w:lang w:eastAsia="en-US"/>
        </w:rPr>
        <w:lastRenderedPageBreak/>
        <w:fldChar w:fldCharType="begin"/>
      </w:r>
      <w:r w:rsidRPr="00434CCC">
        <w:rPr>
          <w:rFonts w:ascii="Calibri" w:eastAsia="Calibri" w:hAnsi="Calibri"/>
          <w:sz w:val="22"/>
          <w:szCs w:val="22"/>
          <w:lang w:eastAsia="en-US"/>
        </w:rPr>
        <w:instrText xml:space="preserve"> LINK PowerPoint.Slide.8 "D:\\2015\\MARZO 2014\\GRÁFICAS EN POWER POINT\\24.-GRÁFICAS DE ACTIVIDAD INDUSTRIAL II.pptx!335" "" \a \p </w:instrText>
      </w:r>
      <w:r w:rsidRPr="00434CCC">
        <w:rPr>
          <w:rFonts w:ascii="Calibri" w:eastAsia="Calibri" w:hAnsi="Calibri"/>
          <w:sz w:val="22"/>
          <w:szCs w:val="22"/>
          <w:lang w:eastAsia="en-US"/>
        </w:rPr>
        <w:fldChar w:fldCharType="separate"/>
      </w:r>
      <w:r w:rsidRPr="00434CCC">
        <w:rPr>
          <w:rFonts w:ascii="Calibri" w:eastAsia="Calibri" w:hAnsi="Calibri"/>
          <w:noProof/>
          <w:sz w:val="22"/>
          <w:szCs w:val="22"/>
          <w:lang w:eastAsia="es-MX"/>
        </w:rPr>
        <w:drawing>
          <wp:inline distT="0" distB="0" distL="0" distR="0" wp14:anchorId="01547ACA" wp14:editId="353C9326">
            <wp:extent cx="4399280" cy="3076575"/>
            <wp:effectExtent l="0" t="0" r="1270" b="9525"/>
            <wp:docPr id="1589" name="Imagen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
                    <pic:cNvPicPr>
                      <a:picLocks noChangeAspect="1" noChangeArrowheads="1"/>
                    </pic:cNvPicPr>
                  </pic:nvPicPr>
                  <pic:blipFill>
                    <a:blip r:embed="rId116" cstate="print">
                      <a:extLst>
                        <a:ext uri="{28A0092B-C50C-407E-A947-70E740481C1C}">
                          <a14:useLocalDpi xmlns:a14="http://schemas.microsoft.com/office/drawing/2010/main" val="0"/>
                        </a:ext>
                      </a:extLst>
                    </a:blip>
                    <a:srcRect l="2269" t="2263" r="1321" b="7806"/>
                    <a:stretch>
                      <a:fillRect/>
                    </a:stretch>
                  </pic:blipFill>
                  <pic:spPr bwMode="auto">
                    <a:xfrm>
                      <a:off x="0" y="0"/>
                      <a:ext cx="4399280" cy="3076575"/>
                    </a:xfrm>
                    <a:prstGeom prst="rect">
                      <a:avLst/>
                    </a:prstGeom>
                    <a:noFill/>
                    <a:ln>
                      <a:noFill/>
                    </a:ln>
                  </pic:spPr>
                </pic:pic>
              </a:graphicData>
            </a:graphic>
          </wp:inline>
        </w:drawing>
      </w:r>
      <w:r w:rsidRPr="00434CCC">
        <w:rPr>
          <w:rFonts w:ascii="Calibri" w:eastAsia="Calibri" w:hAnsi="Calibri"/>
          <w:sz w:val="22"/>
          <w:szCs w:val="22"/>
          <w:lang w:eastAsia="en-US"/>
        </w:rPr>
        <w:fldChar w:fldCharType="end"/>
      </w:r>
    </w:p>
    <w:p w14:paraId="48ED5DF6" w14:textId="77777777" w:rsidR="00F21FCE" w:rsidRPr="00F21FCE" w:rsidRDefault="00F21FCE" w:rsidP="00F21FCE">
      <w:pPr>
        <w:ind w:right="-159"/>
        <w:jc w:val="both"/>
        <w:rPr>
          <w:rFonts w:eastAsia="Calibri"/>
          <w:b/>
          <w:sz w:val="26"/>
          <w:szCs w:val="26"/>
          <w:lang w:val="es-ES_tradnl" w:eastAsia="en-US"/>
        </w:rPr>
      </w:pPr>
      <w:r w:rsidRPr="00F21FCE">
        <w:rPr>
          <w:rFonts w:eastAsia="Calibri"/>
          <w:b/>
          <w:sz w:val="26"/>
          <w:szCs w:val="26"/>
          <w:lang w:val="es-ES_tradnl" w:eastAsia="en-US"/>
        </w:rPr>
        <w:t>Generación, transmisión y distribución de energía eléctrica, suministro de agua y de gas por ductos al consumidor final</w:t>
      </w:r>
    </w:p>
    <w:p w14:paraId="553A81B4" w14:textId="77777777" w:rsidR="00F21FCE" w:rsidRPr="00F21FCE" w:rsidRDefault="00F21FCE" w:rsidP="00F21FCE">
      <w:pPr>
        <w:ind w:right="-159"/>
        <w:jc w:val="both"/>
        <w:rPr>
          <w:rFonts w:eastAsia="Calibri"/>
          <w:b/>
          <w:sz w:val="26"/>
          <w:szCs w:val="26"/>
          <w:lang w:val="es-ES_tradnl" w:eastAsia="en-US"/>
        </w:rPr>
      </w:pPr>
    </w:p>
    <w:p w14:paraId="72F77554" w14:textId="23AC920A" w:rsidR="00434CCC" w:rsidRDefault="00F21FCE" w:rsidP="00F21FCE">
      <w:pPr>
        <w:spacing w:after="360" w:line="360" w:lineRule="auto"/>
        <w:ind w:right="-159"/>
        <w:jc w:val="both"/>
        <w:rPr>
          <w:rFonts w:eastAsia="Calibri"/>
          <w:sz w:val="26"/>
          <w:szCs w:val="26"/>
          <w:lang w:val="es-ES_tradnl" w:eastAsia="en-US"/>
        </w:rPr>
      </w:pPr>
      <w:r w:rsidRPr="00F21FCE">
        <w:rPr>
          <w:rFonts w:eastAsia="Calibri"/>
          <w:sz w:val="26"/>
          <w:szCs w:val="26"/>
          <w:lang w:val="es-ES_tradnl" w:eastAsia="en-US"/>
        </w:rPr>
        <w:t>La Generación, transmisión y distribución de energía eléctrica, suministro de agua y de gas por ductos al consumidor final observó un crecimiento de 3</w:t>
      </w:r>
      <w:r>
        <w:rPr>
          <w:rFonts w:eastAsia="Calibri"/>
          <w:sz w:val="26"/>
          <w:szCs w:val="26"/>
          <w:lang w:val="es-ES_tradnl" w:eastAsia="en-US"/>
        </w:rPr>
        <w:t>.1</w:t>
      </w:r>
      <w:r w:rsidRPr="00F21FCE">
        <w:rPr>
          <w:rFonts w:eastAsia="Calibri"/>
          <w:sz w:val="26"/>
          <w:szCs w:val="26"/>
          <w:lang w:val="es-ES_tradnl" w:eastAsia="en-US"/>
        </w:rPr>
        <w:t xml:space="preserve">% a tasa anual en el </w:t>
      </w:r>
      <w:r>
        <w:rPr>
          <w:rFonts w:eastAsia="Calibri"/>
          <w:sz w:val="26"/>
          <w:szCs w:val="26"/>
          <w:lang w:val="es-ES_tradnl" w:eastAsia="en-US"/>
        </w:rPr>
        <w:t>enero de 2015</w:t>
      </w:r>
      <w:r w:rsidRPr="00F21FCE">
        <w:rPr>
          <w:rFonts w:eastAsia="Calibri"/>
          <w:sz w:val="26"/>
          <w:szCs w:val="26"/>
          <w:lang w:val="es-ES_tradnl" w:eastAsia="en-US"/>
        </w:rPr>
        <w:t>.</w:t>
      </w:r>
    </w:p>
    <w:p w14:paraId="1A5D195E" w14:textId="77777777" w:rsidR="00434CCC" w:rsidRDefault="00434CCC" w:rsidP="00434CCC">
      <w:pPr>
        <w:spacing w:after="360" w:line="360" w:lineRule="auto"/>
        <w:ind w:right="-159"/>
        <w:jc w:val="both"/>
        <w:rPr>
          <w:rFonts w:eastAsia="Calibri"/>
          <w:sz w:val="26"/>
          <w:szCs w:val="26"/>
          <w:lang w:val="es-ES_tradnl" w:eastAsia="en-US"/>
        </w:rPr>
      </w:pPr>
    </w:p>
    <w:p w14:paraId="0F6F27FD" w14:textId="0CFA33F1" w:rsidR="00434CCC" w:rsidRPr="00434CCC" w:rsidRDefault="00434CCC" w:rsidP="00434CCC">
      <w:pPr>
        <w:spacing w:after="160" w:line="259" w:lineRule="auto"/>
        <w:jc w:val="center"/>
        <w:rPr>
          <w:rFonts w:ascii="Calibri" w:eastAsia="Calibri" w:hAnsi="Calibri"/>
          <w:sz w:val="22"/>
          <w:szCs w:val="22"/>
          <w:lang w:eastAsia="en-US"/>
        </w:rPr>
      </w:pPr>
      <w:r w:rsidRPr="00434CCC">
        <w:rPr>
          <w:rFonts w:ascii="Calibri" w:eastAsia="Calibri" w:hAnsi="Calibri"/>
          <w:sz w:val="22"/>
          <w:szCs w:val="22"/>
          <w:lang w:eastAsia="en-US"/>
        </w:rPr>
        <w:lastRenderedPageBreak/>
        <w:fldChar w:fldCharType="begin"/>
      </w:r>
      <w:r w:rsidRPr="00434CCC">
        <w:rPr>
          <w:rFonts w:ascii="Calibri" w:eastAsia="Calibri" w:hAnsi="Calibri"/>
          <w:sz w:val="22"/>
          <w:szCs w:val="22"/>
          <w:lang w:eastAsia="en-US"/>
        </w:rPr>
        <w:instrText xml:space="preserve"> LINK PowerPoint.Slide.8 "D:\\2015\\MARZO 2014\\GRÁFICAS EN POWER POINT\\24.-GRÁFICAS DE ACTIVIDAD INDUSTRIAL II.pptx!336" "" \a \p </w:instrText>
      </w:r>
      <w:r w:rsidRPr="00434CCC">
        <w:rPr>
          <w:rFonts w:ascii="Calibri" w:eastAsia="Calibri" w:hAnsi="Calibri"/>
          <w:sz w:val="22"/>
          <w:szCs w:val="22"/>
          <w:lang w:eastAsia="en-US"/>
        </w:rPr>
        <w:fldChar w:fldCharType="separate"/>
      </w:r>
      <w:r w:rsidRPr="00434CCC">
        <w:rPr>
          <w:rFonts w:ascii="Calibri" w:eastAsia="Calibri" w:hAnsi="Calibri"/>
          <w:noProof/>
          <w:sz w:val="22"/>
          <w:szCs w:val="22"/>
          <w:lang w:eastAsia="es-MX"/>
        </w:rPr>
        <w:drawing>
          <wp:inline distT="0" distB="0" distL="0" distR="0" wp14:anchorId="20F7361B" wp14:editId="70C692CA">
            <wp:extent cx="4423410" cy="3175635"/>
            <wp:effectExtent l="0" t="0" r="0" b="5715"/>
            <wp:docPr id="1588" name="Imagen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
                    <pic:cNvPicPr>
                      <a:picLocks noChangeAspect="1" noChangeArrowheads="1"/>
                    </pic:cNvPicPr>
                  </pic:nvPicPr>
                  <pic:blipFill>
                    <a:blip r:embed="rId117" cstate="print">
                      <a:extLst>
                        <a:ext uri="{28A0092B-C50C-407E-A947-70E740481C1C}">
                          <a14:useLocalDpi xmlns:a14="http://schemas.microsoft.com/office/drawing/2010/main" val="0"/>
                        </a:ext>
                      </a:extLst>
                    </a:blip>
                    <a:srcRect l="3020" b="7306"/>
                    <a:stretch>
                      <a:fillRect/>
                    </a:stretch>
                  </pic:blipFill>
                  <pic:spPr bwMode="auto">
                    <a:xfrm>
                      <a:off x="0" y="0"/>
                      <a:ext cx="4423410" cy="3175635"/>
                    </a:xfrm>
                    <a:prstGeom prst="rect">
                      <a:avLst/>
                    </a:prstGeom>
                    <a:noFill/>
                    <a:ln>
                      <a:noFill/>
                    </a:ln>
                  </pic:spPr>
                </pic:pic>
              </a:graphicData>
            </a:graphic>
          </wp:inline>
        </w:drawing>
      </w:r>
      <w:r w:rsidRPr="00434CCC">
        <w:rPr>
          <w:rFonts w:ascii="Calibri" w:eastAsia="Calibri" w:hAnsi="Calibri"/>
          <w:sz w:val="22"/>
          <w:szCs w:val="22"/>
          <w:lang w:eastAsia="en-US"/>
        </w:rPr>
        <w:fldChar w:fldCharType="end"/>
      </w:r>
    </w:p>
    <w:p w14:paraId="33B4A6DD" w14:textId="77777777" w:rsidR="00434CCC" w:rsidRDefault="00434CCC" w:rsidP="00434CCC">
      <w:pPr>
        <w:spacing w:after="360" w:line="360" w:lineRule="auto"/>
        <w:ind w:right="-159"/>
        <w:jc w:val="both"/>
        <w:rPr>
          <w:rFonts w:eastAsia="Calibri"/>
          <w:sz w:val="26"/>
          <w:szCs w:val="26"/>
          <w:lang w:val="es-ES_tradnl" w:eastAsia="en-US"/>
        </w:rPr>
      </w:pPr>
    </w:p>
    <w:p w14:paraId="79575ECD" w14:textId="77777777" w:rsidR="00F21FCE" w:rsidRPr="00F21FCE" w:rsidRDefault="00F21FCE" w:rsidP="00F21FCE">
      <w:pPr>
        <w:spacing w:after="360" w:line="360" w:lineRule="auto"/>
        <w:ind w:right="-159"/>
        <w:jc w:val="both"/>
        <w:rPr>
          <w:rFonts w:eastAsia="Calibri"/>
          <w:b/>
          <w:sz w:val="26"/>
          <w:szCs w:val="26"/>
          <w:lang w:val="es-ES_tradnl" w:eastAsia="en-US"/>
        </w:rPr>
      </w:pPr>
      <w:r w:rsidRPr="00F21FCE">
        <w:rPr>
          <w:rFonts w:eastAsia="Calibri"/>
          <w:b/>
          <w:sz w:val="26"/>
          <w:szCs w:val="26"/>
          <w:lang w:val="es-ES_tradnl" w:eastAsia="en-US"/>
        </w:rPr>
        <w:t>Minería</w:t>
      </w:r>
    </w:p>
    <w:p w14:paraId="27DCC55A" w14:textId="26DD010C" w:rsidR="00F21FCE" w:rsidRPr="00F21FCE" w:rsidRDefault="00F21FCE" w:rsidP="00F21FCE">
      <w:pPr>
        <w:spacing w:after="360" w:line="360" w:lineRule="auto"/>
        <w:ind w:right="-159"/>
        <w:jc w:val="both"/>
        <w:rPr>
          <w:rFonts w:eastAsia="Calibri"/>
          <w:sz w:val="26"/>
          <w:szCs w:val="26"/>
          <w:lang w:val="es-ES_tradnl" w:eastAsia="en-US"/>
        </w:rPr>
      </w:pPr>
      <w:r w:rsidRPr="00F21FCE">
        <w:rPr>
          <w:rFonts w:eastAsia="Calibri"/>
          <w:sz w:val="26"/>
          <w:szCs w:val="26"/>
          <w:lang w:val="es-ES_tradnl" w:eastAsia="en-US"/>
        </w:rPr>
        <w:t xml:space="preserve">La Minería cayó </w:t>
      </w:r>
      <w:r>
        <w:rPr>
          <w:rFonts w:eastAsia="Calibri"/>
          <w:sz w:val="26"/>
          <w:szCs w:val="26"/>
          <w:lang w:val="es-ES_tradnl" w:eastAsia="en-US"/>
        </w:rPr>
        <w:t>5.9</w:t>
      </w:r>
      <w:r w:rsidRPr="00F21FCE">
        <w:rPr>
          <w:rFonts w:eastAsia="Calibri"/>
          <w:sz w:val="26"/>
          <w:szCs w:val="26"/>
          <w:lang w:val="es-ES_tradnl" w:eastAsia="en-US"/>
        </w:rPr>
        <w:t>% en el primer mes de 201</w:t>
      </w:r>
      <w:r>
        <w:rPr>
          <w:rFonts w:eastAsia="Calibri"/>
          <w:sz w:val="26"/>
          <w:szCs w:val="26"/>
          <w:lang w:val="es-ES_tradnl" w:eastAsia="en-US"/>
        </w:rPr>
        <w:t>5</w:t>
      </w:r>
      <w:r w:rsidRPr="00F21FCE">
        <w:rPr>
          <w:rFonts w:eastAsia="Calibri"/>
          <w:sz w:val="26"/>
          <w:szCs w:val="26"/>
          <w:lang w:val="es-ES_tradnl" w:eastAsia="en-US"/>
        </w:rPr>
        <w:t xml:space="preserve"> respecto al mismo mes del año anterior, como consecuencia del descenso reportado en la minería petrolera de 7</w:t>
      </w:r>
      <w:r>
        <w:rPr>
          <w:rFonts w:eastAsia="Calibri"/>
          <w:sz w:val="26"/>
          <w:szCs w:val="26"/>
          <w:lang w:val="es-ES_tradnl" w:eastAsia="en-US"/>
        </w:rPr>
        <w:t>.5</w:t>
      </w:r>
      <w:r w:rsidRPr="00F21FCE">
        <w:rPr>
          <w:rFonts w:eastAsia="Calibri"/>
          <w:sz w:val="26"/>
          <w:szCs w:val="26"/>
          <w:lang w:val="es-ES_tradnl" w:eastAsia="en-US"/>
        </w:rPr>
        <w:t xml:space="preserve">%; en tanto que la no petrolera avanzó </w:t>
      </w:r>
      <w:r>
        <w:rPr>
          <w:rFonts w:eastAsia="Calibri"/>
          <w:sz w:val="26"/>
          <w:szCs w:val="26"/>
          <w:lang w:val="es-ES_tradnl" w:eastAsia="en-US"/>
        </w:rPr>
        <w:t>0.1 por ciento</w:t>
      </w:r>
      <w:r w:rsidRPr="00F21FCE">
        <w:rPr>
          <w:rFonts w:eastAsia="Calibri"/>
          <w:sz w:val="26"/>
          <w:szCs w:val="26"/>
          <w:lang w:val="es-ES_tradnl" w:eastAsia="en-US"/>
        </w:rPr>
        <w:t>.</w:t>
      </w:r>
    </w:p>
    <w:p w14:paraId="34722BC0" w14:textId="77777777" w:rsidR="00434CCC" w:rsidRDefault="00434CCC" w:rsidP="00434CCC">
      <w:pPr>
        <w:spacing w:after="360" w:line="360" w:lineRule="auto"/>
        <w:ind w:right="-159"/>
        <w:jc w:val="both"/>
        <w:rPr>
          <w:rFonts w:eastAsia="Calibri"/>
          <w:sz w:val="26"/>
          <w:szCs w:val="26"/>
          <w:lang w:val="es-ES_tradnl" w:eastAsia="en-US"/>
        </w:rPr>
      </w:pPr>
    </w:p>
    <w:p w14:paraId="476FE90A" w14:textId="7F2EB142" w:rsidR="00434CCC" w:rsidRPr="00434CCC" w:rsidRDefault="00434CCC" w:rsidP="00434CCC">
      <w:pPr>
        <w:spacing w:after="160" w:line="259" w:lineRule="auto"/>
        <w:jc w:val="center"/>
        <w:rPr>
          <w:rFonts w:ascii="Calibri" w:eastAsia="Calibri" w:hAnsi="Calibri"/>
          <w:sz w:val="22"/>
          <w:szCs w:val="22"/>
          <w:lang w:eastAsia="en-US"/>
        </w:rPr>
      </w:pPr>
      <w:r w:rsidRPr="00434CCC">
        <w:rPr>
          <w:rFonts w:ascii="Calibri" w:eastAsia="Calibri" w:hAnsi="Calibri"/>
          <w:sz w:val="22"/>
          <w:szCs w:val="22"/>
          <w:lang w:eastAsia="en-US"/>
        </w:rPr>
        <w:lastRenderedPageBreak/>
        <w:fldChar w:fldCharType="begin"/>
      </w:r>
      <w:r w:rsidRPr="00434CCC">
        <w:rPr>
          <w:rFonts w:ascii="Calibri" w:eastAsia="Calibri" w:hAnsi="Calibri"/>
          <w:sz w:val="22"/>
          <w:szCs w:val="22"/>
          <w:lang w:eastAsia="en-US"/>
        </w:rPr>
        <w:instrText xml:space="preserve"> LINK PowerPoint.Slide.8 "D:\\2015\\MARZO 2014\\GRÁFICAS EN POWER POINT\\24.-GRÁFICAS DE ACTIVIDAD INDUSTRIAL II.pptx!338" "" \a \p </w:instrText>
      </w:r>
      <w:r w:rsidRPr="00434CCC">
        <w:rPr>
          <w:rFonts w:ascii="Calibri" w:eastAsia="Calibri" w:hAnsi="Calibri"/>
          <w:sz w:val="22"/>
          <w:szCs w:val="22"/>
          <w:lang w:eastAsia="en-US"/>
        </w:rPr>
        <w:fldChar w:fldCharType="separate"/>
      </w:r>
      <w:r w:rsidRPr="00434CCC">
        <w:rPr>
          <w:rFonts w:ascii="Calibri" w:eastAsia="Calibri" w:hAnsi="Calibri"/>
          <w:noProof/>
          <w:sz w:val="22"/>
          <w:szCs w:val="22"/>
          <w:lang w:eastAsia="es-MX"/>
        </w:rPr>
        <w:drawing>
          <wp:inline distT="0" distB="0" distL="0" distR="0" wp14:anchorId="46E36F6B" wp14:editId="42061A60">
            <wp:extent cx="4559935" cy="3046095"/>
            <wp:effectExtent l="0" t="0" r="0" b="1905"/>
            <wp:docPr id="1587" name="Imagen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6"/>
                    <pic:cNvPicPr>
                      <a:picLocks noChangeAspect="1" noChangeArrowheads="1"/>
                    </pic:cNvPicPr>
                  </pic:nvPicPr>
                  <pic:blipFill>
                    <a:blip r:embed="rId118" cstate="print">
                      <a:extLst>
                        <a:ext uri="{28A0092B-C50C-407E-A947-70E740481C1C}">
                          <a14:useLocalDpi xmlns:a14="http://schemas.microsoft.com/office/drawing/2010/main" val="0"/>
                        </a:ext>
                      </a:extLst>
                    </a:blip>
                    <a:srcRect b="11070"/>
                    <a:stretch>
                      <a:fillRect/>
                    </a:stretch>
                  </pic:blipFill>
                  <pic:spPr bwMode="auto">
                    <a:xfrm>
                      <a:off x="0" y="0"/>
                      <a:ext cx="4559935" cy="3046095"/>
                    </a:xfrm>
                    <a:prstGeom prst="rect">
                      <a:avLst/>
                    </a:prstGeom>
                    <a:noFill/>
                    <a:ln>
                      <a:noFill/>
                    </a:ln>
                  </pic:spPr>
                </pic:pic>
              </a:graphicData>
            </a:graphic>
          </wp:inline>
        </w:drawing>
      </w:r>
      <w:r w:rsidRPr="00434CCC">
        <w:rPr>
          <w:rFonts w:ascii="Calibri" w:eastAsia="Calibri" w:hAnsi="Calibri"/>
          <w:sz w:val="22"/>
          <w:szCs w:val="22"/>
          <w:lang w:eastAsia="en-US"/>
        </w:rPr>
        <w:fldChar w:fldCharType="end"/>
      </w:r>
    </w:p>
    <w:p w14:paraId="01220C14" w14:textId="77777777" w:rsidR="00434CCC" w:rsidRDefault="00434CCC" w:rsidP="00434CCC">
      <w:pPr>
        <w:spacing w:after="360" w:line="360" w:lineRule="auto"/>
        <w:ind w:right="-159"/>
        <w:jc w:val="center"/>
        <w:rPr>
          <w:rFonts w:eastAsia="Calibri"/>
          <w:sz w:val="26"/>
          <w:szCs w:val="26"/>
          <w:lang w:val="es-ES_tradnl" w:eastAsia="en-US"/>
        </w:rPr>
      </w:pPr>
    </w:p>
    <w:tbl>
      <w:tblPr>
        <w:tblStyle w:val="Tablaconcuadrcula"/>
        <w:tblW w:w="0" w:type="auto"/>
        <w:jc w:val="center"/>
        <w:tblLayout w:type="fixed"/>
        <w:tblLook w:val="04A0" w:firstRow="1" w:lastRow="0" w:firstColumn="1" w:lastColumn="0" w:noHBand="0" w:noVBand="1"/>
      </w:tblPr>
      <w:tblGrid>
        <w:gridCol w:w="5104"/>
        <w:gridCol w:w="993"/>
      </w:tblGrid>
      <w:tr w:rsidR="00434CCC" w:rsidRPr="00434CCC" w14:paraId="14964455" w14:textId="77777777" w:rsidTr="00AF5CB1">
        <w:trPr>
          <w:jc w:val="center"/>
        </w:trPr>
        <w:tc>
          <w:tcPr>
            <w:tcW w:w="6097" w:type="dxa"/>
            <w:gridSpan w:val="2"/>
            <w:tcBorders>
              <w:top w:val="nil"/>
              <w:left w:val="nil"/>
              <w:right w:val="nil"/>
            </w:tcBorders>
          </w:tcPr>
          <w:p w14:paraId="1FF6317F" w14:textId="77777777" w:rsidR="00434CCC" w:rsidRPr="00434CCC" w:rsidRDefault="00434CCC" w:rsidP="00434CCC">
            <w:pPr>
              <w:jc w:val="center"/>
              <w:rPr>
                <w:rFonts w:eastAsia="Calibri"/>
                <w:b/>
                <w:sz w:val="22"/>
                <w:szCs w:val="22"/>
                <w:lang w:val="es-ES_tradnl" w:eastAsia="en-US"/>
              </w:rPr>
            </w:pPr>
            <w:r w:rsidRPr="00434CCC">
              <w:rPr>
                <w:rFonts w:eastAsia="Calibri"/>
                <w:b/>
                <w:sz w:val="22"/>
                <w:szCs w:val="22"/>
                <w:lang w:val="es-ES_tradnl" w:eastAsia="en-US"/>
              </w:rPr>
              <w:t>PRODUCCIÓN INDUSTRIAL DURANTE ENERO DE 2015</w:t>
            </w:r>
          </w:p>
          <w:p w14:paraId="42D58684" w14:textId="77777777" w:rsidR="00434CCC" w:rsidRPr="00434CCC" w:rsidRDefault="00434CCC" w:rsidP="00434CCC">
            <w:pPr>
              <w:jc w:val="center"/>
              <w:rPr>
                <w:rFonts w:eastAsia="Calibri"/>
                <w:b/>
                <w:sz w:val="22"/>
                <w:szCs w:val="22"/>
                <w:lang w:val="es-ES_tradnl" w:eastAsia="en-US"/>
              </w:rPr>
            </w:pPr>
            <w:r w:rsidRPr="00434CCC">
              <w:rPr>
                <w:rFonts w:eastAsia="Calibri"/>
                <w:b/>
                <w:sz w:val="22"/>
                <w:szCs w:val="22"/>
                <w:lang w:val="es-ES_tradnl" w:eastAsia="en-US"/>
              </w:rPr>
              <w:t>-Variación porcentual real respecto al mismo período del año anterior-</w:t>
            </w:r>
          </w:p>
        </w:tc>
      </w:tr>
      <w:tr w:rsidR="00434CCC" w:rsidRPr="00434CCC" w14:paraId="7B28738A" w14:textId="77777777" w:rsidTr="00AF5CB1">
        <w:trPr>
          <w:jc w:val="center"/>
        </w:trPr>
        <w:tc>
          <w:tcPr>
            <w:tcW w:w="5104" w:type="dxa"/>
            <w:tcBorders>
              <w:bottom w:val="single" w:sz="4" w:space="0" w:color="auto"/>
            </w:tcBorders>
          </w:tcPr>
          <w:p w14:paraId="63C82434" w14:textId="77777777" w:rsidR="00434CCC" w:rsidRPr="00434CCC" w:rsidRDefault="00434CCC" w:rsidP="00434CCC">
            <w:pPr>
              <w:jc w:val="center"/>
              <w:rPr>
                <w:rFonts w:eastAsia="Calibri"/>
                <w:b/>
                <w:sz w:val="20"/>
                <w:szCs w:val="20"/>
                <w:lang w:val="es-ES_tradnl" w:eastAsia="en-US"/>
              </w:rPr>
            </w:pPr>
            <w:r w:rsidRPr="00434CCC">
              <w:rPr>
                <w:rFonts w:eastAsia="Calibri"/>
                <w:b/>
                <w:sz w:val="20"/>
                <w:szCs w:val="20"/>
                <w:lang w:val="es-ES_tradnl" w:eastAsia="en-US"/>
              </w:rPr>
              <w:t>Concepto</w:t>
            </w:r>
          </w:p>
        </w:tc>
        <w:tc>
          <w:tcPr>
            <w:tcW w:w="993" w:type="dxa"/>
            <w:tcBorders>
              <w:bottom w:val="single" w:sz="4" w:space="0" w:color="auto"/>
            </w:tcBorders>
          </w:tcPr>
          <w:p w14:paraId="1021C8FE" w14:textId="77777777" w:rsidR="00434CCC" w:rsidRPr="00434CCC" w:rsidRDefault="00434CCC" w:rsidP="00434CCC">
            <w:pPr>
              <w:jc w:val="center"/>
              <w:rPr>
                <w:rFonts w:eastAsia="Calibri"/>
                <w:b/>
                <w:sz w:val="20"/>
                <w:szCs w:val="20"/>
                <w:lang w:val="es-ES_tradnl" w:eastAsia="en-US"/>
              </w:rPr>
            </w:pPr>
            <w:r w:rsidRPr="00434CCC">
              <w:rPr>
                <w:rFonts w:eastAsia="Calibri"/>
                <w:b/>
                <w:sz w:val="20"/>
                <w:szCs w:val="20"/>
                <w:lang w:val="es-ES_tradnl" w:eastAsia="en-US"/>
              </w:rPr>
              <w:t>Enero</w:t>
            </w:r>
            <w:r w:rsidRPr="00434CCC">
              <w:rPr>
                <w:rFonts w:eastAsia="Calibri"/>
                <w:b/>
                <w:sz w:val="20"/>
                <w:szCs w:val="20"/>
                <w:u w:val="single"/>
                <w:vertAlign w:val="superscript"/>
                <w:lang w:val="es-ES_tradnl" w:eastAsia="en-US"/>
              </w:rPr>
              <w:t>p</w:t>
            </w:r>
            <w:r w:rsidRPr="00434CCC">
              <w:rPr>
                <w:rFonts w:eastAsia="Calibri"/>
                <w:b/>
                <w:sz w:val="20"/>
                <w:szCs w:val="20"/>
                <w:vertAlign w:val="superscript"/>
                <w:lang w:val="es-ES_tradnl" w:eastAsia="en-US"/>
              </w:rPr>
              <w:t>/</w:t>
            </w:r>
          </w:p>
        </w:tc>
      </w:tr>
      <w:tr w:rsidR="00434CCC" w:rsidRPr="00434CCC" w14:paraId="786BAB2D" w14:textId="77777777" w:rsidTr="00AF5CB1">
        <w:trPr>
          <w:jc w:val="center"/>
        </w:trPr>
        <w:tc>
          <w:tcPr>
            <w:tcW w:w="5104" w:type="dxa"/>
            <w:tcBorders>
              <w:bottom w:val="nil"/>
            </w:tcBorders>
          </w:tcPr>
          <w:p w14:paraId="59E568F9" w14:textId="77777777" w:rsidR="00434CCC" w:rsidRPr="00434CCC" w:rsidRDefault="00434CCC" w:rsidP="00434CCC">
            <w:pPr>
              <w:jc w:val="both"/>
              <w:rPr>
                <w:rFonts w:eastAsia="Calibri"/>
                <w:b/>
                <w:sz w:val="20"/>
                <w:szCs w:val="20"/>
                <w:lang w:val="es-ES_tradnl" w:eastAsia="en-US"/>
              </w:rPr>
            </w:pPr>
            <w:r w:rsidRPr="00434CCC">
              <w:rPr>
                <w:rFonts w:eastAsia="Calibri"/>
                <w:b/>
                <w:sz w:val="20"/>
                <w:szCs w:val="20"/>
                <w:lang w:val="es-ES_tradnl" w:eastAsia="en-US"/>
              </w:rPr>
              <w:t>Actividad Industrial Total</w:t>
            </w:r>
          </w:p>
        </w:tc>
        <w:tc>
          <w:tcPr>
            <w:tcW w:w="993" w:type="dxa"/>
            <w:tcBorders>
              <w:bottom w:val="nil"/>
            </w:tcBorders>
          </w:tcPr>
          <w:p w14:paraId="50F8EB67" w14:textId="77777777" w:rsidR="00434CCC" w:rsidRPr="00434CCC" w:rsidRDefault="00434CCC" w:rsidP="00434CCC">
            <w:pPr>
              <w:ind w:right="284"/>
              <w:jc w:val="right"/>
              <w:rPr>
                <w:rFonts w:eastAsia="Calibri"/>
                <w:b/>
                <w:sz w:val="20"/>
                <w:szCs w:val="20"/>
                <w:lang w:val="es-ES_tradnl" w:eastAsia="en-US"/>
              </w:rPr>
            </w:pPr>
            <w:r w:rsidRPr="00434CCC">
              <w:rPr>
                <w:rFonts w:eastAsia="Calibri"/>
                <w:b/>
                <w:sz w:val="20"/>
                <w:szCs w:val="20"/>
                <w:lang w:val="es-ES_tradnl" w:eastAsia="en-US"/>
              </w:rPr>
              <w:t>0.3</w:t>
            </w:r>
          </w:p>
        </w:tc>
      </w:tr>
      <w:tr w:rsidR="00434CCC" w:rsidRPr="00434CCC" w14:paraId="12C42CAC" w14:textId="77777777" w:rsidTr="00AF5CB1">
        <w:trPr>
          <w:jc w:val="center"/>
        </w:trPr>
        <w:tc>
          <w:tcPr>
            <w:tcW w:w="5104" w:type="dxa"/>
            <w:tcBorders>
              <w:top w:val="nil"/>
              <w:bottom w:val="nil"/>
            </w:tcBorders>
          </w:tcPr>
          <w:p w14:paraId="5592D89B" w14:textId="77777777" w:rsidR="00434CCC" w:rsidRPr="00434CCC" w:rsidRDefault="00434CCC" w:rsidP="00434CCC">
            <w:pPr>
              <w:jc w:val="both"/>
              <w:rPr>
                <w:rFonts w:eastAsia="Calibri"/>
                <w:sz w:val="20"/>
                <w:szCs w:val="20"/>
                <w:lang w:val="es-ES_tradnl" w:eastAsia="en-US"/>
              </w:rPr>
            </w:pPr>
            <w:r w:rsidRPr="00434CCC">
              <w:rPr>
                <w:rFonts w:eastAsia="Calibri"/>
                <w:sz w:val="20"/>
                <w:szCs w:val="20"/>
                <w:lang w:val="es-ES_tradnl" w:eastAsia="en-US"/>
              </w:rPr>
              <w:t>Minería</w:t>
            </w:r>
          </w:p>
        </w:tc>
        <w:tc>
          <w:tcPr>
            <w:tcW w:w="993" w:type="dxa"/>
            <w:tcBorders>
              <w:top w:val="nil"/>
              <w:bottom w:val="nil"/>
            </w:tcBorders>
          </w:tcPr>
          <w:p w14:paraId="7D8C8480" w14:textId="77777777" w:rsidR="00434CCC" w:rsidRPr="00434CCC" w:rsidRDefault="00434CCC" w:rsidP="00434CCC">
            <w:pPr>
              <w:ind w:right="284"/>
              <w:jc w:val="right"/>
              <w:rPr>
                <w:rFonts w:eastAsia="Calibri"/>
                <w:sz w:val="20"/>
                <w:szCs w:val="20"/>
                <w:lang w:val="es-ES_tradnl" w:eastAsia="en-US"/>
              </w:rPr>
            </w:pPr>
            <w:r w:rsidRPr="00434CCC">
              <w:rPr>
                <w:rFonts w:eastAsia="Calibri"/>
                <w:sz w:val="20"/>
                <w:szCs w:val="20"/>
                <w:lang w:val="es-ES_tradnl" w:eastAsia="en-US"/>
              </w:rPr>
              <w:t>-5.9</w:t>
            </w:r>
          </w:p>
        </w:tc>
      </w:tr>
      <w:tr w:rsidR="00434CCC" w:rsidRPr="00434CCC" w14:paraId="30203416" w14:textId="77777777" w:rsidTr="00AF5CB1">
        <w:trPr>
          <w:jc w:val="center"/>
        </w:trPr>
        <w:tc>
          <w:tcPr>
            <w:tcW w:w="5104" w:type="dxa"/>
            <w:tcBorders>
              <w:top w:val="nil"/>
              <w:bottom w:val="nil"/>
            </w:tcBorders>
          </w:tcPr>
          <w:p w14:paraId="0AF273DE" w14:textId="77777777" w:rsidR="00434CCC" w:rsidRPr="00434CCC" w:rsidRDefault="00434CCC" w:rsidP="00434CCC">
            <w:pPr>
              <w:ind w:left="284"/>
              <w:jc w:val="both"/>
              <w:rPr>
                <w:rFonts w:eastAsia="Calibri"/>
                <w:sz w:val="20"/>
                <w:szCs w:val="20"/>
                <w:lang w:val="es-ES_tradnl" w:eastAsia="en-US"/>
              </w:rPr>
            </w:pPr>
            <w:r w:rsidRPr="00434CCC">
              <w:rPr>
                <w:rFonts w:eastAsia="Calibri"/>
                <w:sz w:val="20"/>
                <w:szCs w:val="20"/>
                <w:lang w:val="es-ES_tradnl" w:eastAsia="en-US"/>
              </w:rPr>
              <w:t>Petrolera</w:t>
            </w:r>
          </w:p>
        </w:tc>
        <w:tc>
          <w:tcPr>
            <w:tcW w:w="993" w:type="dxa"/>
            <w:tcBorders>
              <w:top w:val="nil"/>
              <w:bottom w:val="nil"/>
            </w:tcBorders>
          </w:tcPr>
          <w:p w14:paraId="1253B3AA" w14:textId="77777777" w:rsidR="00434CCC" w:rsidRPr="00434CCC" w:rsidRDefault="00434CCC" w:rsidP="00434CCC">
            <w:pPr>
              <w:ind w:right="284"/>
              <w:jc w:val="right"/>
              <w:rPr>
                <w:rFonts w:eastAsia="Calibri"/>
                <w:sz w:val="20"/>
                <w:szCs w:val="20"/>
                <w:lang w:val="es-ES_tradnl" w:eastAsia="en-US"/>
              </w:rPr>
            </w:pPr>
            <w:r w:rsidRPr="00434CCC">
              <w:rPr>
                <w:rFonts w:eastAsia="Calibri"/>
                <w:sz w:val="20"/>
                <w:szCs w:val="20"/>
                <w:lang w:val="es-ES_tradnl" w:eastAsia="en-US"/>
              </w:rPr>
              <w:t>-7.5</w:t>
            </w:r>
          </w:p>
        </w:tc>
      </w:tr>
      <w:tr w:rsidR="00434CCC" w:rsidRPr="00434CCC" w14:paraId="4678805E" w14:textId="77777777" w:rsidTr="00AF5CB1">
        <w:trPr>
          <w:jc w:val="center"/>
        </w:trPr>
        <w:tc>
          <w:tcPr>
            <w:tcW w:w="5104" w:type="dxa"/>
            <w:tcBorders>
              <w:top w:val="nil"/>
              <w:bottom w:val="nil"/>
            </w:tcBorders>
          </w:tcPr>
          <w:p w14:paraId="5E7AF3BA" w14:textId="77777777" w:rsidR="00434CCC" w:rsidRPr="00434CCC" w:rsidRDefault="00434CCC" w:rsidP="00434CCC">
            <w:pPr>
              <w:ind w:left="284"/>
              <w:jc w:val="both"/>
              <w:rPr>
                <w:rFonts w:eastAsia="Calibri"/>
                <w:sz w:val="20"/>
                <w:szCs w:val="20"/>
                <w:lang w:val="es-ES_tradnl" w:eastAsia="en-US"/>
              </w:rPr>
            </w:pPr>
            <w:r w:rsidRPr="00434CCC">
              <w:rPr>
                <w:rFonts w:eastAsia="Calibri"/>
                <w:sz w:val="20"/>
                <w:szCs w:val="20"/>
                <w:lang w:val="es-ES_tradnl" w:eastAsia="en-US"/>
              </w:rPr>
              <w:t>No petrolera</w:t>
            </w:r>
          </w:p>
        </w:tc>
        <w:tc>
          <w:tcPr>
            <w:tcW w:w="993" w:type="dxa"/>
            <w:tcBorders>
              <w:top w:val="nil"/>
              <w:bottom w:val="nil"/>
            </w:tcBorders>
          </w:tcPr>
          <w:p w14:paraId="2DE50834" w14:textId="77777777" w:rsidR="00434CCC" w:rsidRPr="00434CCC" w:rsidRDefault="00434CCC" w:rsidP="00434CCC">
            <w:pPr>
              <w:ind w:right="284"/>
              <w:jc w:val="right"/>
              <w:rPr>
                <w:rFonts w:eastAsia="Calibri"/>
                <w:sz w:val="20"/>
                <w:szCs w:val="20"/>
                <w:lang w:val="es-ES_tradnl" w:eastAsia="en-US"/>
              </w:rPr>
            </w:pPr>
            <w:r w:rsidRPr="00434CCC">
              <w:rPr>
                <w:rFonts w:eastAsia="Calibri"/>
                <w:sz w:val="20"/>
                <w:szCs w:val="20"/>
                <w:lang w:val="es-ES_tradnl" w:eastAsia="en-US"/>
              </w:rPr>
              <w:t>0.1</w:t>
            </w:r>
          </w:p>
        </w:tc>
      </w:tr>
      <w:tr w:rsidR="00434CCC" w:rsidRPr="00434CCC" w14:paraId="066B61CD" w14:textId="77777777" w:rsidTr="00AF5CB1">
        <w:trPr>
          <w:jc w:val="center"/>
        </w:trPr>
        <w:tc>
          <w:tcPr>
            <w:tcW w:w="5104" w:type="dxa"/>
            <w:tcBorders>
              <w:top w:val="nil"/>
              <w:bottom w:val="nil"/>
            </w:tcBorders>
          </w:tcPr>
          <w:p w14:paraId="17E168F2" w14:textId="77777777" w:rsidR="00434CCC" w:rsidRPr="00434CCC" w:rsidRDefault="00434CCC" w:rsidP="00434CCC">
            <w:pPr>
              <w:jc w:val="both"/>
              <w:rPr>
                <w:rFonts w:eastAsia="Calibri"/>
                <w:sz w:val="20"/>
                <w:szCs w:val="20"/>
                <w:lang w:val="es-ES_tradnl" w:eastAsia="en-US"/>
              </w:rPr>
            </w:pPr>
            <w:r w:rsidRPr="00434CCC">
              <w:rPr>
                <w:rFonts w:eastAsia="Calibri"/>
                <w:sz w:val="20"/>
                <w:szCs w:val="20"/>
                <w:lang w:val="es-ES_tradnl" w:eastAsia="en-US"/>
              </w:rPr>
              <w:t>Generación, transmisión y distribución de energía eléctrica, suministro de agua y de gas por ductos al consumidor final</w:t>
            </w:r>
          </w:p>
        </w:tc>
        <w:tc>
          <w:tcPr>
            <w:tcW w:w="993" w:type="dxa"/>
            <w:tcBorders>
              <w:top w:val="nil"/>
              <w:bottom w:val="nil"/>
            </w:tcBorders>
            <w:vAlign w:val="center"/>
          </w:tcPr>
          <w:p w14:paraId="3D83DABD" w14:textId="77777777" w:rsidR="00434CCC" w:rsidRPr="00434CCC" w:rsidRDefault="00434CCC" w:rsidP="00434CCC">
            <w:pPr>
              <w:ind w:right="284"/>
              <w:jc w:val="right"/>
              <w:rPr>
                <w:rFonts w:eastAsia="Calibri"/>
                <w:sz w:val="20"/>
                <w:szCs w:val="20"/>
                <w:lang w:val="es-ES_tradnl" w:eastAsia="en-US"/>
              </w:rPr>
            </w:pPr>
            <w:r w:rsidRPr="00434CCC">
              <w:rPr>
                <w:rFonts w:eastAsia="Calibri"/>
                <w:sz w:val="20"/>
                <w:szCs w:val="20"/>
                <w:lang w:val="es-ES_tradnl" w:eastAsia="en-US"/>
              </w:rPr>
              <w:t>3.1</w:t>
            </w:r>
          </w:p>
        </w:tc>
      </w:tr>
      <w:tr w:rsidR="00434CCC" w:rsidRPr="00434CCC" w14:paraId="4CB7DD05" w14:textId="77777777" w:rsidTr="00AF5CB1">
        <w:trPr>
          <w:jc w:val="center"/>
        </w:trPr>
        <w:tc>
          <w:tcPr>
            <w:tcW w:w="5104" w:type="dxa"/>
            <w:tcBorders>
              <w:top w:val="nil"/>
              <w:bottom w:val="nil"/>
            </w:tcBorders>
          </w:tcPr>
          <w:p w14:paraId="6093A07B" w14:textId="77777777" w:rsidR="00434CCC" w:rsidRPr="00434CCC" w:rsidRDefault="00434CCC" w:rsidP="00434CCC">
            <w:pPr>
              <w:jc w:val="both"/>
              <w:rPr>
                <w:rFonts w:eastAsia="Calibri"/>
                <w:sz w:val="20"/>
                <w:szCs w:val="20"/>
                <w:lang w:val="es-ES_tradnl" w:eastAsia="en-US"/>
              </w:rPr>
            </w:pPr>
            <w:r w:rsidRPr="00434CCC">
              <w:rPr>
                <w:rFonts w:eastAsia="Calibri"/>
                <w:sz w:val="20"/>
                <w:szCs w:val="20"/>
                <w:lang w:val="es-ES_tradnl" w:eastAsia="en-US"/>
              </w:rPr>
              <w:t>Construcción</w:t>
            </w:r>
          </w:p>
        </w:tc>
        <w:tc>
          <w:tcPr>
            <w:tcW w:w="993" w:type="dxa"/>
            <w:tcBorders>
              <w:top w:val="nil"/>
              <w:bottom w:val="nil"/>
            </w:tcBorders>
          </w:tcPr>
          <w:p w14:paraId="1A807291" w14:textId="77777777" w:rsidR="00434CCC" w:rsidRPr="00434CCC" w:rsidRDefault="00434CCC" w:rsidP="00434CCC">
            <w:pPr>
              <w:ind w:right="284"/>
              <w:jc w:val="right"/>
              <w:rPr>
                <w:rFonts w:eastAsia="Calibri"/>
                <w:sz w:val="20"/>
                <w:szCs w:val="20"/>
                <w:lang w:val="es-ES_tradnl" w:eastAsia="en-US"/>
              </w:rPr>
            </w:pPr>
            <w:r w:rsidRPr="00434CCC">
              <w:rPr>
                <w:rFonts w:eastAsia="Calibri"/>
                <w:sz w:val="20"/>
                <w:szCs w:val="20"/>
                <w:lang w:val="es-ES_tradnl" w:eastAsia="en-US"/>
              </w:rPr>
              <w:t>4.2</w:t>
            </w:r>
          </w:p>
        </w:tc>
      </w:tr>
      <w:tr w:rsidR="00434CCC" w:rsidRPr="00434CCC" w14:paraId="4928498B" w14:textId="77777777" w:rsidTr="00AF5CB1">
        <w:trPr>
          <w:jc w:val="center"/>
        </w:trPr>
        <w:tc>
          <w:tcPr>
            <w:tcW w:w="5104" w:type="dxa"/>
            <w:tcBorders>
              <w:top w:val="nil"/>
              <w:bottom w:val="single" w:sz="4" w:space="0" w:color="auto"/>
            </w:tcBorders>
          </w:tcPr>
          <w:p w14:paraId="44A6F96F" w14:textId="756168C1" w:rsidR="00434CCC" w:rsidRPr="00434CCC" w:rsidRDefault="00434CCC" w:rsidP="00434CCC">
            <w:pPr>
              <w:jc w:val="both"/>
              <w:rPr>
                <w:rFonts w:eastAsia="Calibri"/>
                <w:sz w:val="20"/>
                <w:szCs w:val="20"/>
                <w:lang w:val="es-ES_tradnl" w:eastAsia="en-US"/>
              </w:rPr>
            </w:pPr>
            <w:r w:rsidRPr="00434CCC">
              <w:rPr>
                <w:rFonts w:eastAsia="Calibri"/>
                <w:sz w:val="20"/>
                <w:szCs w:val="20"/>
                <w:lang w:val="es-ES_tradnl" w:eastAsia="en-US"/>
              </w:rPr>
              <w:t>Industrias Manufacturera</w:t>
            </w:r>
            <w:r w:rsidR="00B32098">
              <w:rPr>
                <w:rFonts w:eastAsia="Calibri"/>
                <w:sz w:val="20"/>
                <w:szCs w:val="20"/>
                <w:lang w:val="es-ES_tradnl" w:eastAsia="en-US"/>
              </w:rPr>
              <w:t>s</w:t>
            </w:r>
          </w:p>
        </w:tc>
        <w:tc>
          <w:tcPr>
            <w:tcW w:w="993" w:type="dxa"/>
            <w:tcBorders>
              <w:top w:val="nil"/>
              <w:bottom w:val="single" w:sz="4" w:space="0" w:color="auto"/>
            </w:tcBorders>
          </w:tcPr>
          <w:p w14:paraId="54BBF163" w14:textId="77777777" w:rsidR="00434CCC" w:rsidRPr="00434CCC" w:rsidRDefault="00434CCC" w:rsidP="00434CCC">
            <w:pPr>
              <w:ind w:right="284"/>
              <w:jc w:val="right"/>
              <w:rPr>
                <w:rFonts w:eastAsia="Calibri"/>
                <w:sz w:val="20"/>
                <w:szCs w:val="20"/>
                <w:lang w:val="es-ES_tradnl" w:eastAsia="en-US"/>
              </w:rPr>
            </w:pPr>
            <w:r w:rsidRPr="00434CCC">
              <w:rPr>
                <w:rFonts w:eastAsia="Calibri"/>
                <w:sz w:val="20"/>
                <w:szCs w:val="20"/>
                <w:lang w:val="es-ES_tradnl" w:eastAsia="en-US"/>
              </w:rPr>
              <w:t>1.2</w:t>
            </w:r>
          </w:p>
        </w:tc>
      </w:tr>
      <w:tr w:rsidR="00434CCC" w:rsidRPr="00434CCC" w14:paraId="29EE9E18" w14:textId="77777777" w:rsidTr="00AF5CB1">
        <w:trPr>
          <w:jc w:val="center"/>
        </w:trPr>
        <w:tc>
          <w:tcPr>
            <w:tcW w:w="6097" w:type="dxa"/>
            <w:gridSpan w:val="2"/>
            <w:tcBorders>
              <w:left w:val="nil"/>
              <w:bottom w:val="nil"/>
              <w:right w:val="nil"/>
            </w:tcBorders>
          </w:tcPr>
          <w:p w14:paraId="299A2686" w14:textId="77777777" w:rsidR="00434CCC" w:rsidRPr="00434CCC" w:rsidRDefault="00434CCC" w:rsidP="00434CCC">
            <w:pPr>
              <w:jc w:val="both"/>
              <w:rPr>
                <w:rFonts w:eastAsia="Calibri"/>
                <w:sz w:val="20"/>
                <w:szCs w:val="20"/>
                <w:lang w:val="es-ES_tradnl" w:eastAsia="en-US"/>
              </w:rPr>
            </w:pPr>
            <w:r w:rsidRPr="00434CCC">
              <w:rPr>
                <w:rFonts w:eastAsia="Calibri"/>
                <w:sz w:val="20"/>
                <w:szCs w:val="20"/>
                <w:u w:val="single"/>
                <w:lang w:val="es-ES_tradnl" w:eastAsia="en-US"/>
              </w:rPr>
              <w:t>p</w:t>
            </w:r>
            <w:r w:rsidRPr="00434CCC">
              <w:rPr>
                <w:rFonts w:eastAsia="Calibri"/>
                <w:sz w:val="20"/>
                <w:szCs w:val="20"/>
                <w:lang w:val="es-ES_tradnl" w:eastAsia="en-US"/>
              </w:rPr>
              <w:t>/ Cifras preliminares.</w:t>
            </w:r>
          </w:p>
          <w:p w14:paraId="19C4B208" w14:textId="77777777" w:rsidR="00434CCC" w:rsidRPr="00434CCC" w:rsidRDefault="00434CCC" w:rsidP="00434CCC">
            <w:pPr>
              <w:jc w:val="both"/>
              <w:rPr>
                <w:rFonts w:eastAsia="Calibri"/>
                <w:sz w:val="20"/>
                <w:szCs w:val="20"/>
                <w:lang w:val="es-ES_tradnl" w:eastAsia="en-US"/>
              </w:rPr>
            </w:pPr>
            <w:r w:rsidRPr="00434CCC">
              <w:rPr>
                <w:rFonts w:eastAsia="Calibri"/>
                <w:sz w:val="20"/>
                <w:szCs w:val="20"/>
                <w:lang w:val="es-ES_tradnl" w:eastAsia="en-US"/>
              </w:rPr>
              <w:t>FUENTE: INEGI.</w:t>
            </w:r>
          </w:p>
        </w:tc>
      </w:tr>
    </w:tbl>
    <w:p w14:paraId="4233D99B" w14:textId="77777777" w:rsidR="00434CCC" w:rsidRPr="00434CCC" w:rsidRDefault="00434CCC" w:rsidP="00434CCC">
      <w:pPr>
        <w:spacing w:after="360" w:line="360" w:lineRule="auto"/>
        <w:ind w:right="-159"/>
        <w:jc w:val="both"/>
        <w:rPr>
          <w:rFonts w:eastAsia="Calibri"/>
          <w:sz w:val="26"/>
          <w:szCs w:val="26"/>
          <w:lang w:val="es-ES_tradnl" w:eastAsia="en-US"/>
        </w:rPr>
      </w:pPr>
    </w:p>
    <w:p w14:paraId="5A2FF5CF" w14:textId="77777777" w:rsidR="00434CCC" w:rsidRPr="00434CCC" w:rsidRDefault="00434CCC" w:rsidP="00434CCC">
      <w:pPr>
        <w:ind w:right="-159"/>
        <w:jc w:val="both"/>
        <w:rPr>
          <w:rFonts w:eastAsia="Calibri"/>
          <w:b/>
          <w:sz w:val="20"/>
          <w:szCs w:val="20"/>
          <w:lang w:val="es-ES_tradnl" w:eastAsia="en-US"/>
        </w:rPr>
      </w:pPr>
      <w:r w:rsidRPr="00434CCC">
        <w:rPr>
          <w:rFonts w:eastAsia="Calibri"/>
          <w:b/>
          <w:sz w:val="20"/>
          <w:szCs w:val="20"/>
          <w:lang w:val="es-ES_tradnl" w:eastAsia="en-US"/>
        </w:rPr>
        <w:t>Fuente de información:</w:t>
      </w:r>
    </w:p>
    <w:p w14:paraId="7CF5F29E" w14:textId="77777777" w:rsidR="00434CCC" w:rsidRPr="00B32098" w:rsidRDefault="0093224F" w:rsidP="00434CCC">
      <w:pPr>
        <w:rPr>
          <w:color w:val="0000FF"/>
          <w:sz w:val="20"/>
          <w:szCs w:val="20"/>
          <w:lang w:val="es-ES_tradnl"/>
        </w:rPr>
      </w:pPr>
      <w:hyperlink r:id="rId119" w:history="1">
        <w:r w:rsidR="00434CCC" w:rsidRPr="00B32098">
          <w:rPr>
            <w:color w:val="0000FF"/>
            <w:sz w:val="20"/>
            <w:szCs w:val="20"/>
            <w:u w:val="single"/>
          </w:rPr>
          <w:t>http://www.inegi.org.mx/saladeprensa/boletines/2015/actind/actind2015_03.pdf</w:t>
        </w:r>
      </w:hyperlink>
      <w:r w:rsidR="00434CCC" w:rsidRPr="00B32098">
        <w:rPr>
          <w:color w:val="0000FF"/>
          <w:sz w:val="20"/>
          <w:szCs w:val="20"/>
        </w:rPr>
        <w:t xml:space="preserve"> </w:t>
      </w:r>
    </w:p>
    <w:p w14:paraId="76797270" w14:textId="77777777" w:rsidR="007907BD" w:rsidRDefault="007907BD" w:rsidP="00880B42">
      <w:pPr>
        <w:spacing w:after="360" w:line="360" w:lineRule="auto"/>
        <w:ind w:right="-159"/>
        <w:jc w:val="both"/>
        <w:rPr>
          <w:rFonts w:eastAsia="Calibri"/>
          <w:sz w:val="26"/>
          <w:szCs w:val="26"/>
          <w:lang w:eastAsia="en-US"/>
        </w:rPr>
      </w:pPr>
    </w:p>
    <w:p w14:paraId="0A86A434" w14:textId="77777777" w:rsidR="00BB7F01" w:rsidRDefault="00BB7F01" w:rsidP="00880B42">
      <w:pPr>
        <w:spacing w:after="360" w:line="360" w:lineRule="auto"/>
        <w:ind w:right="-159"/>
        <w:jc w:val="both"/>
        <w:rPr>
          <w:rFonts w:eastAsia="Calibri"/>
          <w:sz w:val="26"/>
          <w:szCs w:val="26"/>
          <w:lang w:eastAsia="en-US"/>
        </w:rPr>
      </w:pPr>
    </w:p>
    <w:p w14:paraId="6A5602DB" w14:textId="77777777" w:rsidR="00BB7F01" w:rsidRDefault="00BB7F01" w:rsidP="00880B42">
      <w:pPr>
        <w:spacing w:after="360" w:line="360" w:lineRule="auto"/>
        <w:ind w:right="-159"/>
        <w:jc w:val="both"/>
        <w:rPr>
          <w:rFonts w:eastAsia="Calibri"/>
          <w:sz w:val="26"/>
          <w:szCs w:val="26"/>
          <w:lang w:eastAsia="en-US"/>
        </w:rPr>
      </w:pPr>
    </w:p>
    <w:p w14:paraId="65421F33" w14:textId="77777777" w:rsidR="00B8222A" w:rsidRPr="00B8222A" w:rsidRDefault="00B8222A" w:rsidP="00B8222A">
      <w:pPr>
        <w:rPr>
          <w:rFonts w:eastAsia="Calibri"/>
          <w:b/>
          <w:sz w:val="26"/>
          <w:szCs w:val="26"/>
          <w:lang w:eastAsia="en-US"/>
        </w:rPr>
      </w:pPr>
      <w:r w:rsidRPr="00B8222A">
        <w:rPr>
          <w:rFonts w:eastAsia="Calibri"/>
          <w:b/>
          <w:sz w:val="26"/>
          <w:szCs w:val="26"/>
          <w:lang w:eastAsia="en-US"/>
        </w:rPr>
        <w:lastRenderedPageBreak/>
        <w:t>Informe de Avances de la Reforma en materia</w:t>
      </w:r>
    </w:p>
    <w:p w14:paraId="34B3D4C6" w14:textId="77777777" w:rsidR="00B8222A" w:rsidRPr="00B8222A" w:rsidRDefault="00B8222A" w:rsidP="00B8222A">
      <w:pPr>
        <w:spacing w:after="360" w:line="360" w:lineRule="auto"/>
        <w:ind w:right="-159"/>
        <w:jc w:val="both"/>
        <w:rPr>
          <w:rFonts w:eastAsia="Calibri"/>
          <w:b/>
          <w:sz w:val="26"/>
          <w:szCs w:val="26"/>
          <w:lang w:eastAsia="en-US"/>
        </w:rPr>
      </w:pPr>
      <w:r w:rsidRPr="00B8222A">
        <w:rPr>
          <w:rFonts w:eastAsia="Calibri"/>
          <w:b/>
          <w:sz w:val="26"/>
          <w:szCs w:val="26"/>
          <w:lang w:eastAsia="en-US"/>
        </w:rPr>
        <w:t>de Telecomunicaciones y Radiodifusión (SCT)</w:t>
      </w:r>
    </w:p>
    <w:p w14:paraId="71F68352" w14:textId="6A0CCE81"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El 10 de marzo de 2015, el Titular de la Secretaría de Comunicaciones y Transportes (SCT) ofreció un mensaje durante el “Informe de Avances de la Reforma en Materia de Telecomunicaciones y Radiodifusión</w:t>
      </w:r>
      <w:r w:rsidR="00BC772A">
        <w:rPr>
          <w:rFonts w:eastAsia="Calibri"/>
          <w:sz w:val="26"/>
          <w:szCs w:val="26"/>
          <w:lang w:eastAsia="en-US"/>
        </w:rPr>
        <w:t>”</w:t>
      </w:r>
      <w:r w:rsidRPr="00B8222A">
        <w:rPr>
          <w:rFonts w:eastAsia="Calibri"/>
          <w:sz w:val="26"/>
          <w:szCs w:val="26"/>
          <w:lang w:eastAsia="en-US"/>
        </w:rPr>
        <w:t>. A continuación se presenta el discurso del funcionario.</w:t>
      </w:r>
    </w:p>
    <w:p w14:paraId="1918E75D"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El Secretario de Comunicaciones y Transportes:</w:t>
      </w:r>
    </w:p>
    <w:p w14:paraId="6B7096F3"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“Buenas días tengan todos ustedes. En primer lugar agradezco de manera especial la presencia de todas, de todos ustedes, de los medios de comunicación aquí presentes y agradezco también de manera especial los comentarios que escucharemos una vez terminado este informe de la señora Secretaria de Desarrollo Social, del señor Secretario de Educación y del señor  Secretario de Economía, así como del Presidente Comisionado del Instituto Federal de Telecomunicaciones sobre temas relevantes en cada uno de los sectores.</w:t>
      </w:r>
    </w:p>
    <w:p w14:paraId="595BE302"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Me da mucho gusto estar aquí esta mañana, ser portador de un afectuoso saludo del señor Presidente de la República, del licenciado Enrique Peña Nieto, y por instrucciones de él, del señor Presidente, el Gobierno de la República está informando a la sociedad mexicana sobre los avances más relevantes de las 11 reformas estructurales impulsadas por esta administración.</w:t>
      </w:r>
    </w:p>
    <w:p w14:paraId="3520B1F2"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Hoy es el día designado para informar sobre la Reforma de Telecomunicaciones y Radiodifusión, una reforma que está transformando a México y sobre todo que está trayendo beneficios concretos e inmediatos a las familias mexicanas, a la economía de las familias mexicanas.</w:t>
      </w:r>
    </w:p>
    <w:p w14:paraId="4257722C"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lastRenderedPageBreak/>
        <w:t>Durante muchos años en México se habló de las reformas estructurales que necesitaba nuestro país, con una visión clara, de futuro, el Gobierno del Presidente Peña Nieto se decidió a superar obstáculos y dejar atrás inercias.</w:t>
      </w:r>
    </w:p>
    <w:p w14:paraId="2FC3D2FC"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Así surge el Pacto por México, con el concurso de los principales partidos políticos, del PAN, del PRI, del PRD, del Partido Verde, comenzó la difícil, pero indispensable construcción de consensos, a fin de aprobar las reformas.</w:t>
      </w:r>
    </w:p>
    <w:p w14:paraId="0681CE97"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En el Pacto por México se recogieron puntos de vista de las distintas corrientes políticas, se consultó a los mejores especialistas en esta materia, se promovió un enriquecedor intercambio de ideas con la libre participación de múltiples voces.</w:t>
      </w:r>
    </w:p>
    <w:p w14:paraId="3CDF1D72"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De este modo se fueron construyendo las iniciativas que dieron lugar a las reformas transformadoras. Las 11 reformas estructurales implementadas en los dos primeros años de gobierno han sido reconocidas por otros países y por organismos internacionales por su alcance, por su audacia y por su integralidad.</w:t>
      </w:r>
    </w:p>
    <w:p w14:paraId="567966CB"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Una de las más profundas ha sido, sin duda, la Reforma al Sector de las Telecomunicaciones.</w:t>
      </w:r>
    </w:p>
    <w:p w14:paraId="0A69656C"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¿Por qué es tan importante esta reforma? Porque todo un país que aspire al desarrollo debe tener un sector de las telecomunicaciones moderno, competitivo y eficiente.</w:t>
      </w:r>
    </w:p>
    <w:p w14:paraId="08649463"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Vivimos en la sociedad de la información y del conocimiento, en donde las telecomunicaciones han revolucionado la forma en la que los jóvenes estudian y aprenden.</w:t>
      </w:r>
    </w:p>
    <w:p w14:paraId="159D5DA1"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En este aspecto convergen la Reforma Educativa y la de Telecomunicaciones en favor de una educación de calidad.</w:t>
      </w:r>
    </w:p>
    <w:p w14:paraId="511D9DCA"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lastRenderedPageBreak/>
        <w:t>Las telecomunicaciones han cambiado los medios de producción y comercio de las empresas; han modificado, para siempre, la forma en la que todos nos relacionamos con el mundo y en la que nos relacionamos entre cada uno de nosotros.</w:t>
      </w:r>
    </w:p>
    <w:p w14:paraId="783B1FFA"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Con las telecomunicaciones se facilitan los trámites de gobierno, la comunicación entre autoridades y ciudadanos, la difusión de ideas y opiniones, así como la comunicación entre los propios ciudadanos.</w:t>
      </w:r>
    </w:p>
    <w:p w14:paraId="0F46B29C"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Crear condiciones para el acceso universal a las telecomunicaciones fortalece la democracia y abre oportunidades para una mejor calidad de vida.</w:t>
      </w:r>
    </w:p>
    <w:p w14:paraId="263EB6A8"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Las telecomunicaciones son, sin duda, la industria del siglo XXI.</w:t>
      </w:r>
    </w:p>
    <w:p w14:paraId="4EF21669"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¿Qué necesitábamos hacer para poner a México al día? Necesitábamos fortalecer derechos fundamentales de los mexicanos, como la libertad de expresión y el derecho a la información.</w:t>
      </w:r>
    </w:p>
    <w:p w14:paraId="385289A5" w14:textId="77777777" w:rsid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Había que hacer efectivo el derecho de todo mexicano para acceder a las tecnologías de la información, incluidas las de banca ancha y el internet.</w:t>
      </w:r>
    </w:p>
    <w:p w14:paraId="51774E11"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Necesitamos cambiar las cosas y cambiarlas a fondo.</w:t>
      </w:r>
    </w:p>
    <w:p w14:paraId="68FAB4D2"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México se encontraba rezagado en la cobertura de servicios de telecomunicaciones, sobre todo de telefonía, banda ancha e internet.</w:t>
      </w:r>
    </w:p>
    <w:p w14:paraId="74F7C38A"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Esto afectaba la competitividad de nuestras empresas y nuestras capacidades como sociedad.</w:t>
      </w:r>
    </w:p>
    <w:p w14:paraId="60156A82"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Nuestra industria de telecomunicaciones presentaba altos índices de concentración en pocos prestadores del servicio.</w:t>
      </w:r>
    </w:p>
    <w:p w14:paraId="30A3F44A"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lastRenderedPageBreak/>
        <w:t>Las prácticas monopólicas eran frecuentes.</w:t>
      </w:r>
    </w:p>
    <w:p w14:paraId="1CDF866A"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El resultado era un servicio limitado en la calidad y con altos precios.</w:t>
      </w:r>
    </w:p>
    <w:p w14:paraId="46344794"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Los consumidores tenían pocos mecanismos para hacer valer sus derechos.</w:t>
      </w:r>
    </w:p>
    <w:p w14:paraId="5EAAE602"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Con este diagnóstico ratificado por organismos internacionales, como la OCDE, era evidente que se requería una Reforma Constitucional.</w:t>
      </w:r>
    </w:p>
    <w:p w14:paraId="5D46D47C"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La Reforma de Telecomunicaciones y Radiodifusión cimentó un cambio para el país y trae consigo tres beneficios muy claros: Mejor conectividad, lo que permite mayor comunicación y cercanía entre los mexicanos.</w:t>
      </w:r>
    </w:p>
    <w:p w14:paraId="01527942"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Más competencia, que se traduce en ahorros para las familias de México, en ahorros para sus bolsillos.</w:t>
      </w:r>
    </w:p>
    <w:p w14:paraId="54029525" w14:textId="77777777" w:rsid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Y apertura del sector, lo que significa acercarle a nuestros niños, a nuestros jóvenes las herramientas que necesitan para estar mejor preparados y llegar cada vez más lejos.</w:t>
      </w:r>
    </w:p>
    <w:p w14:paraId="022080D1"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Así se planteó una reforma ambiciosa en seis ejes.</w:t>
      </w:r>
    </w:p>
    <w:p w14:paraId="33FA7EBC"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b/>
          <w:sz w:val="26"/>
          <w:szCs w:val="26"/>
          <w:lang w:eastAsia="en-US"/>
        </w:rPr>
        <w:t>Uno</w:t>
      </w:r>
      <w:r w:rsidRPr="00B8222A">
        <w:rPr>
          <w:rFonts w:eastAsia="Calibri"/>
          <w:sz w:val="26"/>
          <w:szCs w:val="26"/>
          <w:lang w:eastAsia="en-US"/>
        </w:rPr>
        <w:t>. Actualizar el marco legal.</w:t>
      </w:r>
    </w:p>
    <w:p w14:paraId="2BDCBD9B"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b/>
          <w:sz w:val="26"/>
          <w:szCs w:val="26"/>
          <w:lang w:eastAsia="en-US"/>
        </w:rPr>
        <w:t>Dos</w:t>
      </w:r>
      <w:r w:rsidRPr="00B8222A">
        <w:rPr>
          <w:rFonts w:eastAsia="Calibri"/>
          <w:sz w:val="26"/>
          <w:szCs w:val="26"/>
          <w:lang w:eastAsia="en-US"/>
        </w:rPr>
        <w:t>. Ampliar, como ya expliqué, derechos fundamentales de los ciudadanos.</w:t>
      </w:r>
    </w:p>
    <w:p w14:paraId="4E629C7A"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b/>
          <w:sz w:val="26"/>
          <w:szCs w:val="26"/>
          <w:lang w:eastAsia="en-US"/>
        </w:rPr>
        <w:t>Tres</w:t>
      </w:r>
      <w:r w:rsidRPr="00B8222A">
        <w:rPr>
          <w:rFonts w:eastAsia="Calibri"/>
          <w:sz w:val="26"/>
          <w:szCs w:val="26"/>
          <w:lang w:eastAsia="en-US"/>
        </w:rPr>
        <w:t>. Crear un órgano regulador autónomo y dotado de instrumentos efectivos.</w:t>
      </w:r>
    </w:p>
    <w:p w14:paraId="3819E4DD" w14:textId="77777777" w:rsidR="00B8222A" w:rsidRDefault="00B8222A" w:rsidP="00B8222A">
      <w:pPr>
        <w:spacing w:after="360" w:line="360" w:lineRule="auto"/>
        <w:ind w:right="-159"/>
        <w:jc w:val="both"/>
        <w:rPr>
          <w:rFonts w:eastAsia="Calibri"/>
          <w:sz w:val="26"/>
          <w:szCs w:val="26"/>
          <w:lang w:eastAsia="en-US"/>
        </w:rPr>
      </w:pPr>
      <w:r w:rsidRPr="00B8222A">
        <w:rPr>
          <w:rFonts w:eastAsia="Calibri"/>
          <w:b/>
          <w:sz w:val="26"/>
          <w:szCs w:val="26"/>
          <w:lang w:eastAsia="en-US"/>
        </w:rPr>
        <w:t>Cuatro</w:t>
      </w:r>
      <w:r w:rsidRPr="00B8222A">
        <w:rPr>
          <w:rFonts w:eastAsia="Calibri"/>
          <w:sz w:val="26"/>
          <w:szCs w:val="26"/>
          <w:lang w:eastAsia="en-US"/>
        </w:rPr>
        <w:t>. Impulsar la competencia equitativa entre proveedores de servicio. Éste fue un principio esencial de la reforma.</w:t>
      </w:r>
    </w:p>
    <w:p w14:paraId="5DAFABD2" w14:textId="77777777" w:rsidR="00E40866" w:rsidRPr="00B8222A" w:rsidRDefault="00E40866" w:rsidP="00B8222A">
      <w:pPr>
        <w:spacing w:after="360" w:line="360" w:lineRule="auto"/>
        <w:ind w:right="-159"/>
        <w:jc w:val="both"/>
        <w:rPr>
          <w:rFonts w:eastAsia="Calibri"/>
          <w:sz w:val="26"/>
          <w:szCs w:val="26"/>
          <w:lang w:eastAsia="en-US"/>
        </w:rPr>
      </w:pPr>
    </w:p>
    <w:p w14:paraId="546DC561"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b/>
          <w:sz w:val="26"/>
          <w:szCs w:val="26"/>
          <w:lang w:eastAsia="en-US"/>
        </w:rPr>
        <w:lastRenderedPageBreak/>
        <w:t>Cinco</w:t>
      </w:r>
      <w:r w:rsidRPr="00B8222A">
        <w:rPr>
          <w:rFonts w:eastAsia="Calibri"/>
          <w:sz w:val="26"/>
          <w:szCs w:val="26"/>
          <w:lang w:eastAsia="en-US"/>
        </w:rPr>
        <w:t>. Promover una ampliación sustancial de la infraestructura.</w:t>
      </w:r>
    </w:p>
    <w:p w14:paraId="123A04F0"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b/>
          <w:sz w:val="26"/>
          <w:szCs w:val="26"/>
          <w:lang w:eastAsia="en-US"/>
        </w:rPr>
        <w:t>Seis</w:t>
      </w:r>
      <w:r w:rsidRPr="00B8222A">
        <w:rPr>
          <w:rFonts w:eastAsia="Calibri"/>
          <w:sz w:val="26"/>
          <w:szCs w:val="26"/>
          <w:lang w:eastAsia="en-US"/>
        </w:rPr>
        <w:t>. Establecer las líneas de una política de inclusión digital, que redujera la brecha entre quienes tienen acceso a los servicios y quienes no lo tienen o no saben cómo utilizarlos.</w:t>
      </w:r>
    </w:p>
    <w:p w14:paraId="56DC37D7"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La reforma ha comenzado a cumplir las expectativas con las que fue aprobada.</w:t>
      </w:r>
    </w:p>
    <w:p w14:paraId="595705FA"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b/>
          <w:sz w:val="26"/>
          <w:szCs w:val="26"/>
          <w:lang w:eastAsia="en-US"/>
        </w:rPr>
        <w:t>En primer luga</w:t>
      </w:r>
      <w:r w:rsidRPr="00B8222A">
        <w:rPr>
          <w:rFonts w:eastAsia="Calibri"/>
          <w:sz w:val="26"/>
          <w:szCs w:val="26"/>
          <w:lang w:eastAsia="en-US"/>
        </w:rPr>
        <w:t>r, se fortaleció el marco institucional para la regulación del sector.</w:t>
      </w:r>
    </w:p>
    <w:p w14:paraId="7A8D1D9C"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Se creó el Instituto Federal de Telecomunicaciones como órgano autónomo.</w:t>
      </w:r>
    </w:p>
    <w:p w14:paraId="12B5E90E"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Estamos hablando de una institución que da certeza jurídica, operativa y administrativa al sector.</w:t>
      </w:r>
    </w:p>
    <w:p w14:paraId="67BA6978"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Al regirse autónomamente por un marco normativo moderno y completo, se despolitizan las decisiones del regulador. Esto brinda credibilidad y confianza a los inversionistas y a la ciudadanía.</w:t>
      </w:r>
    </w:p>
    <w:p w14:paraId="756D00F3"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El IFT ha comenzado decididamente su tarea regulatoria, las decisiones del Instituto han impuesto regulaciones asimétricas a agentes preponderantes, emparejando el terreno de la competencia entre las empresas de todos los tamaños, lo que trae beneficios a toda la economía nacional.</w:t>
      </w:r>
    </w:p>
    <w:p w14:paraId="71CA5ABE"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b/>
          <w:sz w:val="26"/>
          <w:szCs w:val="26"/>
          <w:lang w:eastAsia="en-US"/>
        </w:rPr>
        <w:t>En segundo lugar</w:t>
      </w:r>
      <w:r w:rsidRPr="00B8222A">
        <w:rPr>
          <w:rFonts w:eastAsia="Calibri"/>
          <w:sz w:val="26"/>
          <w:szCs w:val="26"/>
          <w:lang w:eastAsia="en-US"/>
        </w:rPr>
        <w:t>, se modernizaron nuestras leyes.</w:t>
      </w:r>
    </w:p>
    <w:p w14:paraId="7B081D96"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En 2104 se promulgaron la Ley Federal de Telecomunicaciones y Radiodifusión y la Ley Federal del Sistema Público de Radiodifusión.</w:t>
      </w:r>
    </w:p>
    <w:p w14:paraId="0163F95C"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Estas nuevas leyes brindan certeza jurídica a la inversión y permiten a las empresas planificar a largo plazo.</w:t>
      </w:r>
    </w:p>
    <w:p w14:paraId="7361E741"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b/>
          <w:sz w:val="26"/>
          <w:szCs w:val="26"/>
          <w:lang w:eastAsia="en-US"/>
        </w:rPr>
        <w:lastRenderedPageBreak/>
        <w:t>En tercer lugar</w:t>
      </w:r>
      <w:r w:rsidRPr="00B8222A">
        <w:rPr>
          <w:rFonts w:eastAsia="Calibri"/>
          <w:sz w:val="26"/>
          <w:szCs w:val="26"/>
          <w:lang w:eastAsia="en-US"/>
        </w:rPr>
        <w:t>, se está fortaleciendo la industria con nuevas opciones de información para el público mexicano.</w:t>
      </w:r>
    </w:p>
    <w:p w14:paraId="0DF1A898"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Se ha iniciado ya la licitación de dos nuevas cadenas de televisión abierta y están próximos a conocerse los resultados de la misma.</w:t>
      </w:r>
    </w:p>
    <w:p w14:paraId="0ADD9787"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Por mandato de la Reforma se creó el Sistema Público de Radiodifusión del Estado Mexicano. Así se asegura el acceso de más personas a contenidos diversos y plurales de Radio y Televisión Digital, de alta calidad y cobertura nacional.</w:t>
      </w:r>
    </w:p>
    <w:p w14:paraId="720AD461"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b/>
          <w:sz w:val="26"/>
          <w:szCs w:val="26"/>
          <w:lang w:eastAsia="en-US"/>
        </w:rPr>
        <w:t>En cuarto lugar</w:t>
      </w:r>
      <w:r w:rsidRPr="00B8222A">
        <w:rPr>
          <w:rFonts w:eastAsia="Calibri"/>
          <w:sz w:val="26"/>
          <w:szCs w:val="26"/>
          <w:lang w:eastAsia="en-US"/>
        </w:rPr>
        <w:t>, la Reforma está atrayendo más inversiones a México, lo que fortalece la economía y genera más empleos.</w:t>
      </w:r>
    </w:p>
    <w:p w14:paraId="2482923D"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Con las nuevas Leyes se ampliaron las posibilidades de inversión extranjera hasta cien por ciento en Telecomunicaciones y hasta 49% en Radiodifusión.</w:t>
      </w:r>
    </w:p>
    <w:p w14:paraId="4030F185"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De esta manera han empezado a formalizarse importantes nuevas inversiones por más de seis mil millones de dólares de firmas de calidad mundial como son ATT, EutelSat, British Movil y otras más</w:t>
      </w:r>
      <w:r w:rsidRPr="00B8222A">
        <w:rPr>
          <w:rFonts w:eastAsia="Calibri"/>
          <w:sz w:val="26"/>
          <w:szCs w:val="26"/>
          <w:vertAlign w:val="superscript"/>
          <w:lang w:eastAsia="en-US"/>
        </w:rPr>
        <w:footnoteReference w:id="16"/>
      </w:r>
      <w:r w:rsidRPr="00B8222A">
        <w:rPr>
          <w:rFonts w:eastAsia="Calibri"/>
          <w:sz w:val="26"/>
          <w:szCs w:val="26"/>
          <w:lang w:eastAsia="en-US"/>
        </w:rPr>
        <w:t xml:space="preserve"> de las que nos hablará el Secretario de Economía.</w:t>
      </w:r>
    </w:p>
    <w:p w14:paraId="30AE6079"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Esto es positivo porque nuevas inversiones significan mejores servicios, precios más competitivos y más empleos para los mexicanos.</w:t>
      </w:r>
    </w:p>
    <w:p w14:paraId="2CB7BDAD"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Pasemos a ver el siguiente testimonial, si son tan amables.</w:t>
      </w:r>
    </w:p>
    <w:p w14:paraId="1FF466C6"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(Proyección de video)</w:t>
      </w:r>
    </w:p>
    <w:p w14:paraId="7E1773FF"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lastRenderedPageBreak/>
        <w:t>Los ojos del mundo están puestos en México como uno de los países con más oportunidades para las actividades económicas y el desarrollo.</w:t>
      </w:r>
    </w:p>
    <w:p w14:paraId="64C9F512"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Como recientemente lo ha señalado la OCDE, la regulación de las Telecomunicaciones en México es ahora significativamente menos restrictiva, incluso situándose por debajo del promedio de los países miembros de esta organización.</w:t>
      </w:r>
    </w:p>
    <w:p w14:paraId="32CBA20F"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Amigas y amigos:</w:t>
      </w:r>
    </w:p>
    <w:p w14:paraId="4914F037"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Los beneficios de las transformaciones en el Sector de las Telecomunicaciones comienzan ya a sentirse: Gracias a la Reforma, tenemos más personas conectadas a internet.</w:t>
      </w:r>
    </w:p>
    <w:p w14:paraId="435054DB" w14:textId="085B2261"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De acuerdo con datos del IFT, de diciembre de 2012 a junio de 2014</w:t>
      </w:r>
      <w:r w:rsidR="00BC772A">
        <w:rPr>
          <w:rFonts w:eastAsia="Calibri"/>
          <w:sz w:val="26"/>
          <w:szCs w:val="26"/>
          <w:lang w:eastAsia="en-US"/>
        </w:rPr>
        <w:t>,</w:t>
      </w:r>
      <w:r w:rsidRPr="00B8222A">
        <w:rPr>
          <w:rFonts w:eastAsia="Calibri"/>
          <w:sz w:val="26"/>
          <w:szCs w:val="26"/>
          <w:lang w:eastAsia="en-US"/>
        </w:rPr>
        <w:t xml:space="preserve"> la penetración de la banda ancha inalámbrica se duplicó al llegar a 39.9 suscriptores por cada cien habitantes; es decir, prácticamente 40 suscriptores por cada cien habitantes. Esto se debe a una mayor oferta y a precios más accesibles.</w:t>
      </w:r>
    </w:p>
    <w:p w14:paraId="7BD43E74"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Lo anterior ubica a México en niveles de penetración superiores a países como Grecia, Hungría, Portugal y Turquía, que antes de la Reforma nos superaban.</w:t>
      </w:r>
    </w:p>
    <w:p w14:paraId="186CF3BC"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El número de usuarios de internet se incrementó 16% entre 2012 y 2014; este resultado se alcanzó, en buena medida, por la conexión a internet de más de 65 mil espacios públicos a través del Programa México Conectado.</w:t>
      </w:r>
    </w:p>
    <w:p w14:paraId="26CF360F"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Hasta ahora, el 74% de los sitios conectados son escuelas, de todos los niveles, desde el preescolar hasta el universitario, 12% son hospitales y clínicas, 9% bibliotecas y 5% oficinas de gobierno.</w:t>
      </w:r>
    </w:p>
    <w:p w14:paraId="7659B137"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En los alrededores de estos sitios, la conexión inalámbrica es gratuita.</w:t>
      </w:r>
    </w:p>
    <w:p w14:paraId="69F08E07"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lastRenderedPageBreak/>
        <w:t>De los lugares conectados, un elevado porcentaje se encuentra en municipios incluidos en la Cruzada Nacional Contra el Hambre, es decir, en localidades con altos índices de marginación social.</w:t>
      </w:r>
    </w:p>
    <w:p w14:paraId="4C8596E8"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Procedamos a ver este testimonial.</w:t>
      </w:r>
    </w:p>
    <w:p w14:paraId="3BFB1F7E"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(Proyección de video)</w:t>
      </w:r>
    </w:p>
    <w:p w14:paraId="2BF3FD1E"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Para el presente año, con México Conectado, un beneficio más de la Reforma de Telecomunicaciones, nos hemos propuesto llegar a 100 mil sitios públicos, de un total de 250 mil, que beneficiarán a 28 millones de mexicanos estos 100 mil sitios públicos.</w:t>
      </w:r>
    </w:p>
    <w:p w14:paraId="4A42214B" w14:textId="77777777" w:rsid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Gracias a la Reforma en Telecomunicaciones, las familias y empresas están gastando menos en telefonía, ya que desapareció el cobro de larga distancia nacional, fija y celular.</w:t>
      </w:r>
    </w:p>
    <w:p w14:paraId="66041954"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Les pido veamos este testimonial, si son tan amables.</w:t>
      </w:r>
    </w:p>
    <w:p w14:paraId="464C989C"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(Proyección de video)</w:t>
      </w:r>
    </w:p>
    <w:p w14:paraId="0387847F"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Además los usuarios de telefonía celular de pre-pago pueden consultar sus saldos sin costo alguno y éstos tienen ahora una vigencia de un año, que anterior era mucho más reducida, y se puede cambiar de compañía telefónica en tan sólo 24 horas conservando el mismo número, si es lo que uno quiere.</w:t>
      </w:r>
    </w:p>
    <w:p w14:paraId="00F2BE3A"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Si son tan amables veamos este testimonial, por favor.</w:t>
      </w:r>
    </w:p>
    <w:p w14:paraId="7B78727C"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(Proyección de video)</w:t>
      </w:r>
    </w:p>
    <w:p w14:paraId="56CD00D3"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Cuando se presentan fallas en el servicio o cobros indebidos, los consumidores podrán reclamar una bonificación.</w:t>
      </w:r>
    </w:p>
    <w:p w14:paraId="11A574C0"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lastRenderedPageBreak/>
        <w:t>Adicionalmente se ha registrado una baja de precios en los demás servicios telefónicos.</w:t>
      </w:r>
    </w:p>
    <w:p w14:paraId="137C91EA"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De enero de 2014 a enero de 2015, los precios al consumidor de larga distancia internacional disminuyeron 40.7%; los de telefonía móvil bajaron 16.4% y los de telefonía fija se redujeron 4.5 por ciento.</w:t>
      </w:r>
    </w:p>
    <w:p w14:paraId="2CF67F46"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Gracias a la Reforma en Telecomunicaciones hay mejores servicios para nuestra gente.</w:t>
      </w:r>
    </w:p>
    <w:p w14:paraId="077D5BED"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Se han aplicado regulaciones asimétricas como la interconexión cero y la obligación de compartir infraestructuras. Lo cual, sin duda, influye en estos resultados.</w:t>
      </w:r>
    </w:p>
    <w:p w14:paraId="6F3C4F1D"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El servicio de internet tiene hoy un mayor ancho de banda por los mismos precios.</w:t>
      </w:r>
    </w:p>
    <w:p w14:paraId="77B3F854"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Las señales de televisión abierta son retrasmitidas por las compañías de televisión de paga por cable o por satélite, sin costo para los suscriptores.</w:t>
      </w:r>
    </w:p>
    <w:p w14:paraId="4E4AA4D4"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Los prestadores del servicio deberán contar con equipos o transmitir contenidos, de manera que las personas con discapacidad puedan usar los equipos y comprendan mejor los contenidos.</w:t>
      </w:r>
    </w:p>
    <w:p w14:paraId="20A22BAA"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Gracias a la reforma será posible realizar la transición de la televisión analógica a la digital. Esto ofrecerá al público mejor calidad en audio, video y más contenidos.</w:t>
      </w:r>
    </w:p>
    <w:p w14:paraId="0871D9A6" w14:textId="32FBEEE8"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 xml:space="preserve">La fecha para concluir esta transición, de acuerdo </w:t>
      </w:r>
      <w:r w:rsidR="00BC772A">
        <w:rPr>
          <w:rFonts w:eastAsia="Calibri"/>
          <w:sz w:val="26"/>
          <w:szCs w:val="26"/>
          <w:lang w:eastAsia="en-US"/>
        </w:rPr>
        <w:t>con la</w:t>
      </w:r>
      <w:r w:rsidRPr="00B8222A">
        <w:rPr>
          <w:rFonts w:eastAsia="Calibri"/>
          <w:sz w:val="26"/>
          <w:szCs w:val="26"/>
          <w:lang w:eastAsia="en-US"/>
        </w:rPr>
        <w:t xml:space="preserve"> disposición constitucional, será el 31 de diciembre de este año.</w:t>
      </w:r>
    </w:p>
    <w:p w14:paraId="12B77453"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Para tal efecto, de mayo de 2014 a la fecha se han entregado más de 2.4 millones de aparatos de televisión en hogares de escasos recursos de 20 estados.</w:t>
      </w:r>
    </w:p>
    <w:p w14:paraId="22F63E6A"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Se trata de familias inscritas en los padrones de los programas de la Secretaría de Desarrollo Social. La meta es llegar a 10 millones durante el presente 2015.</w:t>
      </w:r>
    </w:p>
    <w:p w14:paraId="5BC52D11"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lastRenderedPageBreak/>
        <w:t>Si son tan amables, vemos este testimonial.</w:t>
      </w:r>
    </w:p>
    <w:p w14:paraId="365EC6BC"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(Proyección de video)</w:t>
      </w:r>
    </w:p>
    <w:p w14:paraId="6CFAE0CD"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Gracias a la Reforma en Telecomunicaciones se está cerrando la brecha digital; se construyó una red troncal de fibra óptica que duplicará la capacidad actual y tendrá cobertura nacional para que más población tenga acceso a servicios de banda ancha.</w:t>
      </w:r>
    </w:p>
    <w:p w14:paraId="6F8F15C0"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Ya fue suscrito el Convenio a través del cual CFE, la Comisión Federal de Electricidad, transferirá el próximo mes de junio a TELECOM —dependiente de la Secretaría— el título de concesión de la red.</w:t>
      </w:r>
    </w:p>
    <w:p w14:paraId="5F425B90"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La banda de 700 megahertz quedará liberada con el apagón analógico, lo que permitirá una red compartida inalámbrica; el desarrollo de esta red generará importantes inversiones privadas calculadas en más de 10 mil millones de dólares y una mejor cobertura de internet, telefonía celular y calidad de los servicios.</w:t>
      </w:r>
    </w:p>
    <w:p w14:paraId="0FBF840C"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En colaboración con el IFT se trabaja en la elaboración de un modelo de negocios y ya se firmó el Convenio correspondiente.</w:t>
      </w:r>
    </w:p>
    <w:p w14:paraId="413986F1"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Quiero aprovechar este foro para anunciar que el día de mañana se publica en el Portal de la Secretaría de Comunicaciones y Transportes la solicitud de manifestaciones de interés para el desarrollo de la Red Compartida, con lo cual dan inicio los pasos formales para la licitación de esta importantísima Red en México.</w:t>
      </w:r>
    </w:p>
    <w:p w14:paraId="56FAA96F"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Otro elemento integral de la Política de Telecomunicaciones es el Sistema de Satélites MexSat, conformado por tres satélites de última generación: Uno para comunicación fija y dos para comunicación móvil. Antes de que termine este año se habrán puesto en órbita y en operación los Satélites “Centenario” —en abril— y “Morelos III” entre octubre y diciembre, además del Bicentenario que ya se encuentra en órbita.</w:t>
      </w:r>
    </w:p>
    <w:p w14:paraId="6942F804"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lastRenderedPageBreak/>
        <w:t>En resumen, la Reforma de Telecomunicación está revolucionando de raíz el sector, que será pieza fundamental para el desarrollo económico, social y político del país.</w:t>
      </w:r>
    </w:p>
    <w:p w14:paraId="4931927C"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Señoras y señores, los invito a pensar en el joven de la comunidad rural que hoy ya tiene acceso a Internet para estudiar y aprender. Los invito a imaginarse a la pequeña empresa, que hoy puede vender sus productos en el exterior, a través de las redes.</w:t>
      </w:r>
    </w:p>
    <w:p w14:paraId="0DCD8182"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Los invito a pensar en la jefa de familia que hoy tiene un empleo en una nueva empresa de telecomunicaciones que ha invertido en México.</w:t>
      </w:r>
    </w:p>
    <w:p w14:paraId="1FEDFF44"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Estas son las historias verdaderas, de carne y hueso, que hoy podemos contar a lo largo y ancho de México gracias a la Reforma de Telecomunicaciones.</w:t>
      </w:r>
    </w:p>
    <w:p w14:paraId="08669F89"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Estoy seguro de que cada día habrá más de esas historias en todos los rincones de nuestro país.</w:t>
      </w:r>
    </w:p>
    <w:p w14:paraId="6402F75A"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La Reforma de Telecomunicaciones es buena para México porque está trayendo  inversiones que generan empleos y bienestar.</w:t>
      </w:r>
    </w:p>
    <w:p w14:paraId="60D81474"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La Reforma de Telecomunicaciones es buena para México, porque está generando condiciones de competencia que reducen los costos para las empresas y ayudan a los bolsillos de las familias mexicanas.</w:t>
      </w:r>
    </w:p>
    <w:p w14:paraId="5C95A165"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La Reforma de Telecomunicaciones es buena para México, porque permite la entrada de la tecnología más avanzada y pone al servicio de todos los mexicanos la misma.</w:t>
      </w:r>
    </w:p>
    <w:p w14:paraId="735D982C"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En suma, la Reforma de Telecomunicaciones es buena para México, porque ha puesto los cimientos de una sociedad más informada que da pasos firmes hacia el futuro.</w:t>
      </w:r>
    </w:p>
    <w:p w14:paraId="68A3D32F"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lastRenderedPageBreak/>
        <w:t>Ya están puestas las bases, ya están claras las reglas y las metas, ya sabemos a dónde queremos llegar. Tenemos la visión y el rumbo correctos; es momento de trabajar unidos, es momento de avanzar con mayor determinación.</w:t>
      </w:r>
    </w:p>
    <w:p w14:paraId="6FE98E02"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Sigamos adelante con la instrumentación de estas grandes reformas, reformas que marcan un antes y un después en la vida de México; sigamos adelante, convencidos de que sólo con el trabajo y el esfuerzo de todos, podremos construir el país más fuerte y más próspero que todos queremos ver, el México que anhelamos tener.</w:t>
      </w:r>
    </w:p>
    <w:p w14:paraId="6DF9DE0E" w14:textId="77777777" w:rsid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Sigamos, sigamos moviendo a México.</w:t>
      </w:r>
    </w:p>
    <w:p w14:paraId="25C8BEB1" w14:textId="77777777" w:rsidR="00B8222A" w:rsidRPr="00B8222A" w:rsidRDefault="00B8222A" w:rsidP="00B8222A">
      <w:pPr>
        <w:spacing w:after="360" w:line="360" w:lineRule="auto"/>
        <w:ind w:right="-159"/>
        <w:jc w:val="both"/>
        <w:rPr>
          <w:rFonts w:eastAsia="Calibri"/>
          <w:sz w:val="26"/>
          <w:szCs w:val="26"/>
          <w:lang w:eastAsia="en-US"/>
        </w:rPr>
      </w:pPr>
      <w:r w:rsidRPr="00B8222A">
        <w:rPr>
          <w:rFonts w:eastAsia="Calibri"/>
          <w:sz w:val="26"/>
          <w:szCs w:val="26"/>
          <w:lang w:eastAsia="en-US"/>
        </w:rPr>
        <w:t>Muchas gracias.”</w:t>
      </w:r>
    </w:p>
    <w:p w14:paraId="21484CAB" w14:textId="77777777" w:rsidR="00B8222A" w:rsidRPr="00B8222A" w:rsidRDefault="00B8222A" w:rsidP="00B8222A">
      <w:pPr>
        <w:ind w:right="-159"/>
        <w:jc w:val="both"/>
        <w:rPr>
          <w:rFonts w:eastAsia="Calibri"/>
          <w:sz w:val="20"/>
          <w:szCs w:val="20"/>
          <w:lang w:eastAsia="en-US"/>
        </w:rPr>
      </w:pPr>
      <w:r w:rsidRPr="00B8222A">
        <w:rPr>
          <w:rFonts w:eastAsia="Calibri"/>
          <w:b/>
          <w:sz w:val="20"/>
          <w:szCs w:val="20"/>
          <w:lang w:eastAsia="en-US"/>
        </w:rPr>
        <w:t>Fuente de información</w:t>
      </w:r>
      <w:r w:rsidRPr="00B8222A">
        <w:rPr>
          <w:rFonts w:eastAsia="Calibri"/>
          <w:sz w:val="20"/>
          <w:szCs w:val="20"/>
          <w:lang w:eastAsia="en-US"/>
        </w:rPr>
        <w:t>:</w:t>
      </w:r>
    </w:p>
    <w:p w14:paraId="6DB1F0B8" w14:textId="77777777" w:rsidR="00B8222A" w:rsidRPr="00660E71" w:rsidRDefault="0093224F" w:rsidP="00B8222A">
      <w:pPr>
        <w:ind w:right="-159"/>
        <w:jc w:val="both"/>
        <w:rPr>
          <w:rFonts w:eastAsia="Calibri"/>
          <w:color w:val="0000FF"/>
          <w:sz w:val="20"/>
          <w:szCs w:val="20"/>
          <w:lang w:eastAsia="en-US"/>
        </w:rPr>
      </w:pPr>
      <w:hyperlink r:id="rId120" w:history="1">
        <w:r w:rsidR="00B8222A" w:rsidRPr="00660E71">
          <w:rPr>
            <w:rFonts w:eastAsia="Calibri"/>
            <w:color w:val="0000FF"/>
            <w:sz w:val="20"/>
            <w:szCs w:val="20"/>
            <w:u w:val="single"/>
            <w:lang w:eastAsia="en-US"/>
          </w:rPr>
          <w:t>http://www.sct.gob.mx/despliega-noticias/article/palabras-del-srio-gerardo-ruiz-esparza-durante-el-informe-de-avances-de-la-reforma-en-materia-de-t/</w:t>
        </w:r>
      </w:hyperlink>
      <w:r w:rsidR="00B8222A" w:rsidRPr="00660E71">
        <w:rPr>
          <w:rFonts w:eastAsia="Calibri"/>
          <w:color w:val="0000FF"/>
          <w:sz w:val="20"/>
          <w:szCs w:val="20"/>
          <w:u w:val="single"/>
          <w:lang w:eastAsia="en-US"/>
        </w:rPr>
        <w:t xml:space="preserve"> </w:t>
      </w:r>
    </w:p>
    <w:p w14:paraId="5E6CB050" w14:textId="77777777" w:rsidR="00B8222A" w:rsidRPr="00660E71" w:rsidRDefault="00B8222A" w:rsidP="00B8222A">
      <w:pPr>
        <w:ind w:right="-159"/>
        <w:jc w:val="both"/>
        <w:rPr>
          <w:rFonts w:eastAsia="Calibri"/>
          <w:sz w:val="20"/>
          <w:szCs w:val="20"/>
          <w:lang w:eastAsia="en-US"/>
        </w:rPr>
      </w:pPr>
      <w:r w:rsidRPr="00660E71">
        <w:rPr>
          <w:rFonts w:eastAsia="Calibri"/>
          <w:sz w:val="20"/>
          <w:szCs w:val="20"/>
          <w:lang w:eastAsia="en-US"/>
        </w:rPr>
        <w:t>Para tener acceso a información relacionada, visitar:</w:t>
      </w:r>
    </w:p>
    <w:p w14:paraId="0AB4D571" w14:textId="77777777" w:rsidR="00B8222A" w:rsidRPr="00660E71" w:rsidRDefault="0093224F" w:rsidP="00B8222A">
      <w:pPr>
        <w:ind w:right="-159"/>
        <w:jc w:val="both"/>
        <w:rPr>
          <w:rFonts w:eastAsia="Calibri"/>
          <w:color w:val="0000FF"/>
          <w:sz w:val="20"/>
          <w:szCs w:val="20"/>
          <w:lang w:eastAsia="en-US"/>
        </w:rPr>
      </w:pPr>
      <w:hyperlink r:id="rId121" w:history="1">
        <w:r w:rsidR="00B8222A" w:rsidRPr="00660E71">
          <w:rPr>
            <w:rFonts w:eastAsia="Calibri"/>
            <w:color w:val="0000FF"/>
            <w:sz w:val="20"/>
            <w:szCs w:val="20"/>
            <w:u w:val="single"/>
            <w:lang w:eastAsia="en-US"/>
          </w:rPr>
          <w:t>http://www.sct.gob.mx/despliega-noticias/article/la-reforma-de-telecomunicaciones-ya-genera-beneficios/</w:t>
        </w:r>
      </w:hyperlink>
      <w:r w:rsidR="00B8222A" w:rsidRPr="00660E71">
        <w:rPr>
          <w:rFonts w:eastAsia="Calibri"/>
          <w:color w:val="0000FF"/>
          <w:sz w:val="20"/>
          <w:szCs w:val="20"/>
          <w:u w:val="single"/>
          <w:lang w:eastAsia="en-US"/>
        </w:rPr>
        <w:t xml:space="preserve"> </w:t>
      </w:r>
    </w:p>
    <w:p w14:paraId="566D0480" w14:textId="77777777" w:rsidR="00B8222A" w:rsidRPr="00660E71" w:rsidRDefault="0093224F" w:rsidP="00B8222A">
      <w:pPr>
        <w:ind w:right="-159"/>
        <w:jc w:val="both"/>
        <w:rPr>
          <w:rFonts w:eastAsia="Calibri"/>
          <w:color w:val="0000FF"/>
          <w:sz w:val="20"/>
          <w:szCs w:val="20"/>
          <w:u w:val="single"/>
          <w:lang w:eastAsia="en-US"/>
        </w:rPr>
      </w:pPr>
      <w:hyperlink r:id="rId122" w:history="1">
        <w:r w:rsidR="00B8222A" w:rsidRPr="00660E71">
          <w:rPr>
            <w:rFonts w:eastAsia="Calibri"/>
            <w:color w:val="0000FF"/>
            <w:sz w:val="20"/>
            <w:szCs w:val="20"/>
            <w:u w:val="single"/>
            <w:lang w:eastAsia="en-US"/>
          </w:rPr>
          <w:t>http://www.sct.gob.mx/despliega-noticias/article/reforma-de-telecomunicaciones-mas-productividad-y-crecimiento-con-mayor-equidad-social/</w:t>
        </w:r>
      </w:hyperlink>
      <w:r w:rsidR="00B8222A" w:rsidRPr="00660E71">
        <w:rPr>
          <w:rFonts w:eastAsia="Calibri"/>
          <w:color w:val="0000FF"/>
          <w:sz w:val="20"/>
          <w:szCs w:val="20"/>
          <w:u w:val="single"/>
          <w:lang w:eastAsia="en-US"/>
        </w:rPr>
        <w:t xml:space="preserve"> </w:t>
      </w:r>
    </w:p>
    <w:p w14:paraId="2F528209" w14:textId="77777777" w:rsidR="00B8222A" w:rsidRPr="00660E71" w:rsidRDefault="0093224F" w:rsidP="00B8222A">
      <w:pPr>
        <w:ind w:right="-159"/>
        <w:jc w:val="both"/>
        <w:rPr>
          <w:rFonts w:eastAsia="Calibri"/>
          <w:color w:val="0000FF"/>
          <w:sz w:val="20"/>
          <w:szCs w:val="20"/>
          <w:u w:val="single"/>
          <w:lang w:eastAsia="en-US"/>
        </w:rPr>
      </w:pPr>
      <w:hyperlink r:id="rId123" w:history="1">
        <w:r w:rsidR="00B8222A" w:rsidRPr="00660E71">
          <w:rPr>
            <w:rFonts w:eastAsia="Calibri"/>
            <w:color w:val="0000FF"/>
            <w:sz w:val="20"/>
            <w:szCs w:val="20"/>
            <w:u w:val="single"/>
            <w:lang w:eastAsia="en-US"/>
          </w:rPr>
          <w:t>http://www.sct.gob.mx/despliega-noticias/article/pasos-firmes-de-mexico-hacia-el-futuro-con-la-reforma-de-telecomunicaciones-gre/</w:t>
        </w:r>
      </w:hyperlink>
      <w:r w:rsidR="00B8222A" w:rsidRPr="00660E71">
        <w:rPr>
          <w:rFonts w:eastAsia="Calibri"/>
          <w:color w:val="0000FF"/>
          <w:sz w:val="20"/>
          <w:szCs w:val="20"/>
          <w:u w:val="single"/>
          <w:lang w:eastAsia="en-US"/>
        </w:rPr>
        <w:t xml:space="preserve"> </w:t>
      </w:r>
    </w:p>
    <w:p w14:paraId="0B535D74" w14:textId="77777777" w:rsidR="00B8222A" w:rsidRPr="00660E71" w:rsidRDefault="0093224F" w:rsidP="00660E71">
      <w:pPr>
        <w:spacing w:after="720"/>
        <w:ind w:right="-159"/>
        <w:jc w:val="both"/>
        <w:rPr>
          <w:rFonts w:eastAsia="Calibri"/>
          <w:color w:val="0000FF"/>
          <w:sz w:val="20"/>
          <w:szCs w:val="20"/>
          <w:u w:val="single"/>
          <w:lang w:eastAsia="en-US"/>
        </w:rPr>
      </w:pPr>
      <w:hyperlink r:id="rId124" w:history="1">
        <w:r w:rsidR="00B8222A" w:rsidRPr="00660E71">
          <w:rPr>
            <w:rFonts w:eastAsia="Calibri"/>
            <w:color w:val="0000FF"/>
            <w:sz w:val="20"/>
            <w:szCs w:val="20"/>
            <w:u w:val="single"/>
            <w:lang w:eastAsia="en-US"/>
          </w:rPr>
          <w:t>http://www.sct.gob.mx/despliega-noticias/article/logra-sct-inversion-extranjera-directa-por-seis-mil-mdd-producto-de-la-reforma-de-telecomunicacion/</w:t>
        </w:r>
      </w:hyperlink>
      <w:r w:rsidR="00B8222A" w:rsidRPr="00660E71">
        <w:rPr>
          <w:rFonts w:eastAsia="Calibri"/>
          <w:color w:val="0000FF"/>
          <w:sz w:val="20"/>
          <w:szCs w:val="20"/>
          <w:u w:val="single"/>
          <w:lang w:eastAsia="en-US"/>
        </w:rPr>
        <w:t xml:space="preserve"> </w:t>
      </w:r>
    </w:p>
    <w:p w14:paraId="6AB96A36" w14:textId="77777777" w:rsidR="00F1765F" w:rsidRPr="00F1765F" w:rsidRDefault="00F1765F" w:rsidP="00F1765F">
      <w:pPr>
        <w:ind w:right="-159"/>
        <w:jc w:val="both"/>
        <w:rPr>
          <w:rFonts w:eastAsia="Times New Roman"/>
          <w:b/>
          <w:bCs/>
          <w:sz w:val="26"/>
          <w:szCs w:val="26"/>
          <w:lang w:val="es-ES"/>
        </w:rPr>
      </w:pPr>
      <w:r w:rsidRPr="00F1765F">
        <w:rPr>
          <w:rFonts w:eastAsia="Times New Roman"/>
          <w:b/>
          <w:bCs/>
          <w:sz w:val="26"/>
          <w:szCs w:val="26"/>
          <w:lang w:val="es-ES"/>
        </w:rPr>
        <w:t>Asigna calificación en escala global a emisión</w:t>
      </w:r>
    </w:p>
    <w:p w14:paraId="662C7AB9" w14:textId="7E3DE931" w:rsidR="00F1765F" w:rsidRPr="00F1765F" w:rsidRDefault="00F1765F" w:rsidP="00F1765F">
      <w:pPr>
        <w:spacing w:after="360" w:line="360" w:lineRule="auto"/>
        <w:ind w:right="-159"/>
        <w:jc w:val="both"/>
        <w:rPr>
          <w:rFonts w:eastAsia="Times New Roman"/>
          <w:b/>
          <w:bCs/>
          <w:sz w:val="26"/>
          <w:szCs w:val="26"/>
          <w:lang w:val="es-ES"/>
        </w:rPr>
      </w:pPr>
      <w:r w:rsidRPr="00F1765F">
        <w:rPr>
          <w:rFonts w:eastAsia="Times New Roman"/>
          <w:b/>
          <w:bCs/>
          <w:sz w:val="26"/>
          <w:szCs w:val="26"/>
          <w:lang w:val="es-ES"/>
        </w:rPr>
        <w:t>propuesta de notas de CEMEX (F</w:t>
      </w:r>
      <w:r w:rsidR="00BB7F01">
        <w:rPr>
          <w:rFonts w:eastAsia="Times New Roman"/>
          <w:b/>
          <w:bCs/>
          <w:sz w:val="26"/>
          <w:szCs w:val="26"/>
          <w:lang w:val="es-ES"/>
        </w:rPr>
        <w:t>itch)</w:t>
      </w:r>
    </w:p>
    <w:p w14:paraId="536CF4A1" w14:textId="77777777" w:rsidR="00F1765F" w:rsidRPr="00F1765F" w:rsidRDefault="00F1765F" w:rsidP="00F1765F">
      <w:pPr>
        <w:spacing w:after="360" w:line="360" w:lineRule="auto"/>
        <w:ind w:right="-159"/>
        <w:jc w:val="both"/>
        <w:rPr>
          <w:rFonts w:eastAsia="Times New Roman"/>
          <w:bCs/>
          <w:sz w:val="26"/>
          <w:szCs w:val="26"/>
          <w:lang w:val="es-ES"/>
        </w:rPr>
      </w:pPr>
      <w:r w:rsidRPr="00F1765F">
        <w:rPr>
          <w:rFonts w:eastAsia="Times New Roman"/>
          <w:bCs/>
          <w:sz w:val="26"/>
          <w:szCs w:val="26"/>
          <w:lang w:val="es-ES"/>
        </w:rPr>
        <w:t xml:space="preserve">El 26 de febrero de 2015, la casa calificadora Fitch Ratings asignó la calificación de “BB-/RR3(EXP)” en escala global a una emisión propuesta de notas denominadas en dólares estadounidenses con vencimiento en 2025 y notas denominadas en Euros con vencimiento en 2023 de Cemex, S.A.B. de C.V. (Cemex). Los recursos obtenidos de la emisión de notas denominadas en dólares y Euros serán utilizados para propósitos corporativos generales, incluyendo el refinanciamiento de notas a tasa variable con </w:t>
      </w:r>
      <w:r w:rsidRPr="00F1765F">
        <w:rPr>
          <w:rFonts w:eastAsia="Times New Roman"/>
          <w:bCs/>
          <w:sz w:val="26"/>
          <w:szCs w:val="26"/>
          <w:lang w:val="es-ES"/>
        </w:rPr>
        <w:lastRenderedPageBreak/>
        <w:t>vencimiento en 2015 así como la recompra de una porción de los bonos vigentes con vencimientos en 2018 y 2020.</w:t>
      </w:r>
    </w:p>
    <w:p w14:paraId="15F1B422" w14:textId="77777777" w:rsidR="00F1765F" w:rsidRDefault="00F1765F" w:rsidP="00F1765F">
      <w:pPr>
        <w:spacing w:after="360" w:line="360" w:lineRule="auto"/>
        <w:ind w:right="-159"/>
        <w:jc w:val="both"/>
        <w:rPr>
          <w:rFonts w:eastAsia="Times New Roman"/>
          <w:bCs/>
          <w:sz w:val="26"/>
          <w:szCs w:val="26"/>
          <w:lang w:val="es-ES"/>
        </w:rPr>
      </w:pPr>
      <w:r w:rsidRPr="00F1765F">
        <w:rPr>
          <w:rFonts w:eastAsia="Times New Roman"/>
          <w:bCs/>
          <w:sz w:val="26"/>
          <w:szCs w:val="26"/>
          <w:lang w:val="es-ES"/>
        </w:rPr>
        <w:t>Ambas emisiones estarán avaladas por CEMEX México, S.A. de C.V., CEMEX Concretos, S.A. de C.V.; Empresas Tolteca de México, S.A. de C.V.; New Sunward Holding B.V.; CEMEX España, S.A.; CEMEX Asia B.V.; CEMEX Corp.; CEMEX Finance LLC; CEMEX Egyptian Investments B.V.; CEMEX Egyptian Investments II B.V.; CEMEX France Gestion (S.A.S.); CEMEX Research Group AG; CEMEX Shipping B.V.; y CEMEX UK. Las notas compartirán el mismo paquete de garantías colaterales con los acreedores del contrato de crédito (Facilities Agreement) actual.</w:t>
      </w:r>
    </w:p>
    <w:p w14:paraId="7498488D" w14:textId="77777777" w:rsidR="00F1765F" w:rsidRPr="00F1765F" w:rsidRDefault="00F1765F" w:rsidP="00F1765F">
      <w:pPr>
        <w:spacing w:after="360" w:line="360" w:lineRule="auto"/>
        <w:ind w:right="-159"/>
        <w:jc w:val="both"/>
        <w:rPr>
          <w:rFonts w:eastAsia="Times New Roman"/>
          <w:bCs/>
          <w:sz w:val="26"/>
          <w:szCs w:val="26"/>
          <w:lang w:val="es-ES"/>
        </w:rPr>
      </w:pPr>
      <w:r w:rsidRPr="00F1765F">
        <w:rPr>
          <w:rFonts w:eastAsia="Times New Roman"/>
          <w:bCs/>
          <w:sz w:val="26"/>
          <w:szCs w:val="26"/>
          <w:lang w:val="es-ES"/>
        </w:rPr>
        <w:t>La perspectiva de las calificaciones de CEMEX es “estable”.</w:t>
      </w:r>
    </w:p>
    <w:p w14:paraId="11243F03" w14:textId="77777777" w:rsidR="00F1765F" w:rsidRPr="00F1765F" w:rsidRDefault="00F1765F" w:rsidP="00F1765F">
      <w:pPr>
        <w:spacing w:after="360" w:line="360" w:lineRule="auto"/>
        <w:ind w:right="-159"/>
        <w:jc w:val="both"/>
        <w:rPr>
          <w:rFonts w:eastAsia="Times New Roman"/>
          <w:b/>
          <w:bCs/>
          <w:sz w:val="26"/>
          <w:szCs w:val="26"/>
          <w:lang w:val="es-ES"/>
        </w:rPr>
      </w:pPr>
      <w:r w:rsidRPr="00F1765F">
        <w:rPr>
          <w:rFonts w:eastAsia="Times New Roman"/>
          <w:b/>
          <w:bCs/>
          <w:sz w:val="26"/>
          <w:szCs w:val="26"/>
          <w:lang w:val="es-ES"/>
        </w:rPr>
        <w:t>Factores clave de la calificación</w:t>
      </w:r>
    </w:p>
    <w:p w14:paraId="36921E3F" w14:textId="77777777" w:rsidR="00F1765F" w:rsidRPr="00F1765F" w:rsidRDefault="00F1765F" w:rsidP="00F1765F">
      <w:pPr>
        <w:spacing w:after="360" w:line="360" w:lineRule="auto"/>
        <w:ind w:right="-159"/>
        <w:jc w:val="both"/>
        <w:rPr>
          <w:rFonts w:eastAsia="Times New Roman"/>
          <w:bCs/>
          <w:sz w:val="26"/>
          <w:szCs w:val="26"/>
          <w:lang w:val="es-ES"/>
        </w:rPr>
      </w:pPr>
      <w:r w:rsidRPr="00F1765F">
        <w:rPr>
          <w:rFonts w:eastAsia="Times New Roman"/>
          <w:b/>
          <w:bCs/>
          <w:sz w:val="26"/>
          <w:szCs w:val="26"/>
          <w:lang w:val="es-ES"/>
        </w:rPr>
        <w:t xml:space="preserve">Posición de negocios fuerte: </w:t>
      </w:r>
      <w:r w:rsidRPr="00F1765F">
        <w:rPr>
          <w:rFonts w:eastAsia="Times New Roman"/>
          <w:bCs/>
          <w:sz w:val="26"/>
          <w:szCs w:val="26"/>
          <w:lang w:val="es-ES"/>
        </w:rPr>
        <w:t>Las calificaciones IDR en “B+” de CEMEX continúan reflejando su posición de negocios fuerte y diversificada. La compañía es uno de los mayores productores de cemento, concreto y agregados en el mundo. Sus mercados principales incluyen Estados Unidos de Norteamérica, México, Colombia, Panamá, España, Egipto, Alemania, Francia, Polonia y Reino Unido. La diversificación geográfica y de producto de la compañía compensa, de cierta forma, la volatilidad inherente a la industria de productos de construcción.</w:t>
      </w:r>
    </w:p>
    <w:p w14:paraId="1E9F2DA8" w14:textId="33090986" w:rsidR="00F1765F" w:rsidRPr="00F1765F" w:rsidRDefault="00F1765F" w:rsidP="00F1765F">
      <w:pPr>
        <w:spacing w:after="360" w:line="360" w:lineRule="auto"/>
        <w:ind w:right="-159"/>
        <w:jc w:val="both"/>
        <w:rPr>
          <w:rFonts w:eastAsia="Times New Roman"/>
          <w:bCs/>
          <w:sz w:val="26"/>
          <w:szCs w:val="26"/>
          <w:lang w:val="es-ES"/>
        </w:rPr>
      </w:pPr>
      <w:r w:rsidRPr="00F1765F">
        <w:rPr>
          <w:rFonts w:eastAsia="Times New Roman"/>
          <w:b/>
          <w:bCs/>
          <w:sz w:val="26"/>
          <w:szCs w:val="26"/>
          <w:lang w:val="es-ES"/>
        </w:rPr>
        <w:t>Apalancamiento alto limita la calificación:</w:t>
      </w:r>
      <w:r w:rsidRPr="00F1765F">
        <w:rPr>
          <w:rFonts w:eastAsia="Times New Roman"/>
          <w:bCs/>
          <w:sz w:val="26"/>
          <w:szCs w:val="26"/>
          <w:lang w:val="es-ES"/>
        </w:rPr>
        <w:t xml:space="preserve"> Las calificaciones de CEMEX están limitadas por el apalancamiento alto de la compañía. Al 31 de diciembre de 2014</w:t>
      </w:r>
      <w:r w:rsidR="003076D2">
        <w:rPr>
          <w:rFonts w:eastAsia="Times New Roman"/>
          <w:bCs/>
          <w:sz w:val="26"/>
          <w:szCs w:val="26"/>
          <w:lang w:val="es-ES"/>
        </w:rPr>
        <w:t>,</w:t>
      </w:r>
      <w:r w:rsidRPr="00F1765F">
        <w:rPr>
          <w:rFonts w:eastAsia="Times New Roman"/>
          <w:bCs/>
          <w:sz w:val="26"/>
          <w:szCs w:val="26"/>
          <w:lang w:val="es-ES"/>
        </w:rPr>
        <w:t xml:space="preserve"> el saldo de deuda neta de CEMEX fue de 15.4 mil millones de dólares. Esta cifra compara desfavorablemente con 2.7 mil millones de dólares de EBITDA durante 2014. Lo anterior resulta en una razón deuda neta/EBITDA de 5.9 veces. Este indicador mejoró desde 6.3 veces en 2013 como reflejo de un crecimiento de 4% año contra año en EBITDA y una reducción en los niveles de deuda total de 7%. El incremento continuo </w:t>
      </w:r>
      <w:r w:rsidRPr="00F1765F">
        <w:rPr>
          <w:rFonts w:eastAsia="Times New Roman"/>
          <w:bCs/>
          <w:sz w:val="26"/>
          <w:szCs w:val="26"/>
          <w:lang w:val="es-ES"/>
        </w:rPr>
        <w:lastRenderedPageBreak/>
        <w:t>del EBITDA en mercados clave como Estados Unidos de Norteamérica y un cambio de tendencia de las operaciones lentas en México, el Mediterráneo y Sudamérica ayudaría a una reducción mayor del apalancamiento hacia adelante.</w:t>
      </w:r>
    </w:p>
    <w:p w14:paraId="5BA7468B" w14:textId="77777777" w:rsidR="00F1765F" w:rsidRPr="00F1765F" w:rsidRDefault="00F1765F" w:rsidP="00F1765F">
      <w:pPr>
        <w:spacing w:after="360" w:line="360" w:lineRule="auto"/>
        <w:ind w:right="-159"/>
        <w:jc w:val="both"/>
        <w:rPr>
          <w:rFonts w:eastAsia="Times New Roman"/>
          <w:bCs/>
          <w:sz w:val="26"/>
          <w:szCs w:val="26"/>
          <w:lang w:val="es-ES"/>
        </w:rPr>
      </w:pPr>
      <w:r w:rsidRPr="00F1765F">
        <w:rPr>
          <w:rFonts w:eastAsia="Times New Roman"/>
          <w:b/>
          <w:bCs/>
          <w:sz w:val="26"/>
          <w:szCs w:val="26"/>
          <w:lang w:val="es-ES"/>
        </w:rPr>
        <w:t xml:space="preserve">Mejoría crediticia modesta hacia adelante: </w:t>
      </w:r>
      <w:r w:rsidRPr="00F1765F">
        <w:rPr>
          <w:rFonts w:eastAsia="Times New Roman"/>
          <w:bCs/>
          <w:sz w:val="26"/>
          <w:szCs w:val="26"/>
          <w:lang w:val="es-ES"/>
        </w:rPr>
        <w:t>Fitch estima que CEMEX generará aproximadamente 2.9 mil millones de dólares de EBITDA en 2015, 3.2 mil millones de dólares en 2016 y que la razón de deuda neta/EBITDA será de alrededor de 5.1 y 4.0 veces respectivamente. Las proyecciones de Fitch toman en cuenta ventas modestas de activos equivalentes a 100 millones de dólares por año. Un fortalecimiento de la demanda de cemento en Estados Unidos de Norteamérica y México es el impulsor principal de la mejora prevista por Fitch en el desempeño operativo de CEMEX. Fitch toma en cuenta que la razón de inversión (medida como inversiones en activos –capex– a depreciación) ha sido baja en alrededor de 0.5 veces. Desafíos que pueden retrasar la baja en apalancamiento más allá de 2015 incluyen: incrementos en los requerimientos de capital de trabajo, impuestos mayores en mercados claves incluyendo a México y tener un capex creciente.</w:t>
      </w:r>
    </w:p>
    <w:p w14:paraId="01636E6D" w14:textId="77777777" w:rsidR="00F1765F" w:rsidRPr="00F1765F" w:rsidRDefault="00F1765F" w:rsidP="00F1765F">
      <w:pPr>
        <w:spacing w:after="360" w:line="360" w:lineRule="auto"/>
        <w:ind w:right="-159"/>
        <w:jc w:val="both"/>
        <w:rPr>
          <w:rFonts w:eastAsia="Times New Roman"/>
          <w:bCs/>
          <w:sz w:val="26"/>
          <w:szCs w:val="26"/>
          <w:lang w:val="es-ES"/>
        </w:rPr>
      </w:pPr>
      <w:r w:rsidRPr="00F1765F">
        <w:rPr>
          <w:rFonts w:eastAsia="Times New Roman"/>
          <w:b/>
          <w:bCs/>
          <w:sz w:val="26"/>
          <w:szCs w:val="26"/>
          <w:lang w:val="es-ES"/>
        </w:rPr>
        <w:t xml:space="preserve">Perfil de amortización de deuda manejable: </w:t>
      </w:r>
      <w:r w:rsidRPr="00F1765F">
        <w:rPr>
          <w:rFonts w:eastAsia="Times New Roman"/>
          <w:bCs/>
          <w:sz w:val="26"/>
          <w:szCs w:val="26"/>
          <w:lang w:val="es-ES"/>
        </w:rPr>
        <w:t>CEMEX mantiene un perfil de amortización de deuda manejable gracias a sus esfuerzos agresivos de refinanciamiento durante los últimos años. Al 31 de diciembre de 2014, el saldo de efectivo e inversiones temporales de CEMEX fue de 855 millones de dólares. La mayor parte de las inversiones temporales con las que cuenta la empresa están en bonos del gobierno de Estados Unidos de Norteamérica y México. CEMEX enfrentará amortizaciones de deuda hacia finales de 2015 por 1.4 mil millones de dólares; la mayoría de la deuda de corto plazo se refinanciaría con la emisión de notas propuesta.</w:t>
      </w:r>
    </w:p>
    <w:p w14:paraId="5E8FF209" w14:textId="77777777" w:rsidR="00F1765F" w:rsidRPr="00F1765F" w:rsidRDefault="00F1765F" w:rsidP="00F1765F">
      <w:pPr>
        <w:spacing w:after="360" w:line="360" w:lineRule="auto"/>
        <w:ind w:right="-159"/>
        <w:jc w:val="both"/>
        <w:rPr>
          <w:rFonts w:eastAsia="Times New Roman"/>
          <w:bCs/>
          <w:sz w:val="26"/>
          <w:szCs w:val="26"/>
          <w:lang w:val="es-ES"/>
        </w:rPr>
      </w:pPr>
      <w:r w:rsidRPr="00F1765F">
        <w:rPr>
          <w:rFonts w:eastAsia="Times New Roman"/>
          <w:bCs/>
          <w:sz w:val="26"/>
          <w:szCs w:val="26"/>
          <w:lang w:val="es-ES"/>
        </w:rPr>
        <w:t xml:space="preserve">La compañía emitió en septiembre de 2014 notas por 400 millones de euros con vencimiento en 2022 y 1.1 mil millones de dólares con vencimiento en 2025. Estos recursos se utilizaron para recomprar 593 millones de dólares de notas con vencimiento </w:t>
      </w:r>
      <w:r w:rsidRPr="00F1765F">
        <w:rPr>
          <w:rFonts w:eastAsia="Times New Roman"/>
          <w:bCs/>
          <w:sz w:val="26"/>
          <w:szCs w:val="26"/>
          <w:lang w:val="es-ES"/>
        </w:rPr>
        <w:lastRenderedPageBreak/>
        <w:t>en 2018, 365 millones de dólares de notas con vencimiento en 2020 y 603 millones de dólares de notas con vencimiento en 2018. El resto de los fondos se utilizó para propósitos corporativos generales como pagos bajo el contrato de crédito (Facilities Agreement). Estos refinanciamientos bajaron el costo de la deuda de la compañía ya que los cupones nuevos están por debajo de 6%, y los de las notas recompradas eran superiores a 9%. La disminución en el costo de la deuda en conjunto con el flujo creciente de caja operativo deberá generar una mejora en la razón de cobertura de FGO a cargos fijos de la compañía a alrededor de 1.7 veces en 2015 desde 1.3 veces durante 2013.</w:t>
      </w:r>
    </w:p>
    <w:p w14:paraId="53452414" w14:textId="77777777" w:rsidR="00F1765F" w:rsidRPr="00F1765F" w:rsidRDefault="00F1765F" w:rsidP="00F1765F">
      <w:pPr>
        <w:spacing w:after="360" w:line="360" w:lineRule="auto"/>
        <w:ind w:right="-159"/>
        <w:jc w:val="both"/>
        <w:rPr>
          <w:rFonts w:eastAsia="Times New Roman"/>
          <w:bCs/>
          <w:sz w:val="26"/>
          <w:szCs w:val="26"/>
          <w:lang w:val="es-ES"/>
        </w:rPr>
      </w:pPr>
      <w:r w:rsidRPr="00F1765F">
        <w:rPr>
          <w:rFonts w:eastAsia="Times New Roman"/>
          <w:b/>
          <w:bCs/>
          <w:sz w:val="26"/>
          <w:szCs w:val="26"/>
          <w:lang w:val="es-ES"/>
        </w:rPr>
        <w:t xml:space="preserve">Mercado Norteamericano clave para recuperación: </w:t>
      </w:r>
      <w:r w:rsidRPr="00F1765F">
        <w:rPr>
          <w:rFonts w:eastAsia="Times New Roman"/>
          <w:bCs/>
          <w:sz w:val="26"/>
          <w:szCs w:val="26"/>
          <w:lang w:val="es-ES"/>
        </w:rPr>
        <w:t>En términos de EBITDA, durante 2014, los mercados principales de CEMEX fueron México (36%), Centro y Sudamérica (27%), Estados Unidos de Norteamérica (15%), Europa del Norte (13%), el Mediterráneo (12%) y Asia (5%). Las operaciones de CEMEX en Estados Unidos de Norteamérica continúan mejorando; el EBITDA creció a 421 millones de dólares en 2014 desde 255 millones de dólares en 2013. Sin embargo, las operaciones de la empresa en Estados Unidos de Norteamérica continúan muy por debajo de su capacidad potencial. Sobre una base pro-forma, Fitch estima que las operaciones estadounidenses de la compañía generaron alrededor de 2.3 mil millones de dólares de EBITDA durante 2006. Mientras que la demanda de cemento en Estados Unidos de Norteamérica se espera se haya recuperado a 89 millones de toneladas métricas en 2014 desde un mínimo de 71 millones de toneladas en 2009, ésta sigue estando muy por debajo de las 127 millones de toneladas demandadas en 2006.</w:t>
      </w:r>
    </w:p>
    <w:p w14:paraId="1E85EC48" w14:textId="77777777" w:rsidR="00F1765F" w:rsidRPr="00F1765F" w:rsidRDefault="00F1765F" w:rsidP="00F1765F">
      <w:pPr>
        <w:spacing w:after="360" w:line="360" w:lineRule="auto"/>
        <w:ind w:right="-159"/>
        <w:jc w:val="both"/>
        <w:rPr>
          <w:rFonts w:eastAsia="Times New Roman"/>
          <w:bCs/>
          <w:sz w:val="26"/>
          <w:szCs w:val="26"/>
          <w:lang w:val="es-ES"/>
        </w:rPr>
      </w:pPr>
      <w:r w:rsidRPr="00F1765F">
        <w:rPr>
          <w:rFonts w:eastAsia="Times New Roman"/>
          <w:b/>
          <w:bCs/>
          <w:sz w:val="26"/>
          <w:szCs w:val="26"/>
          <w:lang w:val="es-ES"/>
        </w:rPr>
        <w:t xml:space="preserve">Prospectos de recuperación en caso de estrés superiores al promedio: </w:t>
      </w:r>
      <w:r w:rsidRPr="00F1765F">
        <w:rPr>
          <w:rFonts w:eastAsia="Times New Roman"/>
          <w:bCs/>
          <w:sz w:val="26"/>
          <w:szCs w:val="26"/>
          <w:lang w:val="es-ES"/>
        </w:rPr>
        <w:t xml:space="preserve">CEMEX y sus subsidiarias han emitido deuda a través de entidades localizadas en México, Estados Unidos de Norteamérica, Islas Vírgenes Británicas, Holanda y España. Además los garantes de estos instrumentos están domiciliados en diversos países. Como resultado de la complejidad en la estructura de deuda y capital de la compañía así como las </w:t>
      </w:r>
      <w:r w:rsidRPr="00F1765F">
        <w:rPr>
          <w:rFonts w:eastAsia="Times New Roman"/>
          <w:bCs/>
          <w:sz w:val="26"/>
          <w:szCs w:val="26"/>
          <w:lang w:val="es-ES"/>
        </w:rPr>
        <w:lastRenderedPageBreak/>
        <w:t>distintas jurisdicciones legales, Fitch no considera un escenario de liquidación (quiebra) o insolvencia (concurso mercantil) para CEMEX en caso de presiones financieras mayores. Esto, dado que los acreedores probablemente no llegarían a un proceso con incertidumbre alta en el resultado final.</w:t>
      </w:r>
    </w:p>
    <w:p w14:paraId="12C657E8" w14:textId="77777777" w:rsidR="00F1765F" w:rsidRPr="00F1765F" w:rsidRDefault="00F1765F" w:rsidP="00F1765F">
      <w:pPr>
        <w:spacing w:after="360" w:line="360" w:lineRule="auto"/>
        <w:ind w:right="-159"/>
        <w:jc w:val="both"/>
        <w:rPr>
          <w:rFonts w:eastAsia="Times New Roman"/>
          <w:bCs/>
          <w:sz w:val="26"/>
          <w:szCs w:val="26"/>
          <w:lang w:val="es-ES"/>
        </w:rPr>
      </w:pPr>
      <w:r w:rsidRPr="00F1765F">
        <w:rPr>
          <w:rFonts w:eastAsia="Times New Roman"/>
          <w:bCs/>
          <w:sz w:val="26"/>
          <w:szCs w:val="26"/>
          <w:lang w:val="es-ES"/>
        </w:rPr>
        <w:t>Para llegar a una valuación estresada que lleve a determinar la recuperación esperada bajo este escenario, Fitch descontó el EBITDA de la compañía para los últimos 12 meses (UDM) a 2.1 mil millones de dólares. Dicho nivel sólo cubriría arrendamientos operativos, gastos financieros y capex de mantenimiento. Al mismo tiempo aplicó un múltiplo conservador de 6 veces al EBITDA resultante. Este cálculo deriva en una recuperación esperada de 76% para la deuda garantizada de la compañía que sería consistente con un nivel de RR2.</w:t>
      </w:r>
    </w:p>
    <w:p w14:paraId="5E271946" w14:textId="77777777" w:rsidR="00F1765F" w:rsidRPr="00F1765F" w:rsidRDefault="00F1765F" w:rsidP="00F1765F">
      <w:pPr>
        <w:spacing w:after="360" w:line="360" w:lineRule="auto"/>
        <w:ind w:right="-159"/>
        <w:jc w:val="both"/>
        <w:rPr>
          <w:rFonts w:eastAsia="Times New Roman"/>
          <w:bCs/>
          <w:sz w:val="26"/>
          <w:szCs w:val="26"/>
          <w:lang w:val="es-ES"/>
        </w:rPr>
      </w:pPr>
      <w:r w:rsidRPr="00F1765F">
        <w:rPr>
          <w:rFonts w:eastAsia="Times New Roman"/>
          <w:bCs/>
          <w:sz w:val="26"/>
          <w:szCs w:val="26"/>
          <w:lang w:val="es-ES"/>
        </w:rPr>
        <w:t>Las perspectivas de recuperación de los acreedores senior están respaldadas por 1.7 mil millones de dólares en notas subordinadas convertibles, que sólo pueden ser sustituidas por acciones o instrumentos de cuasi-capital similares, de acuerdo con el contrato de crédito (Facilities Agreement). Típicamente, Fitch limita los niveles de recuperación (RR) para corporativos mexicanos al nivel RR3 considerando factores distintos en el marco regulatorio y trato de acreedores. Lo anterior aún y cuando el análisis indica que podría ser mayor. La calificación de CEMEX ha sido limitada al nivel RR3, consistente con una recuperación en el rango de 50 y 70% en caso de incumplimiento.</w:t>
      </w:r>
    </w:p>
    <w:p w14:paraId="1D0182E6" w14:textId="77777777" w:rsidR="00F1765F" w:rsidRPr="00F1765F" w:rsidRDefault="00F1765F" w:rsidP="00F1765F">
      <w:pPr>
        <w:spacing w:after="360" w:line="360" w:lineRule="auto"/>
        <w:ind w:right="-159"/>
        <w:jc w:val="both"/>
        <w:rPr>
          <w:rFonts w:eastAsia="Times New Roman"/>
          <w:b/>
          <w:bCs/>
          <w:sz w:val="26"/>
          <w:szCs w:val="26"/>
          <w:lang w:val="es-ES"/>
        </w:rPr>
      </w:pPr>
      <w:r w:rsidRPr="00F1765F">
        <w:rPr>
          <w:rFonts w:eastAsia="Times New Roman"/>
          <w:b/>
          <w:bCs/>
          <w:sz w:val="26"/>
          <w:szCs w:val="26"/>
          <w:lang w:val="es-ES"/>
        </w:rPr>
        <w:t>Sensibilidad de la calificación</w:t>
      </w:r>
    </w:p>
    <w:p w14:paraId="5E077DAE" w14:textId="77777777" w:rsidR="00F1765F" w:rsidRPr="00F1765F" w:rsidRDefault="00F1765F" w:rsidP="00F1765F">
      <w:pPr>
        <w:spacing w:after="360" w:line="360" w:lineRule="auto"/>
        <w:ind w:right="-159"/>
        <w:jc w:val="both"/>
        <w:rPr>
          <w:rFonts w:eastAsia="Times New Roman"/>
          <w:bCs/>
          <w:sz w:val="26"/>
          <w:szCs w:val="26"/>
          <w:lang w:val="es-ES"/>
        </w:rPr>
      </w:pPr>
      <w:r w:rsidRPr="00F1765F">
        <w:rPr>
          <w:rFonts w:eastAsia="Times New Roman"/>
          <w:bCs/>
          <w:sz w:val="26"/>
          <w:szCs w:val="26"/>
          <w:lang w:val="es-ES"/>
        </w:rPr>
        <w:t>Los desarrollos futuros que puedan, individual o colectivamente, dar lugar a una acción de calificación positiva incluyen:</w:t>
      </w:r>
    </w:p>
    <w:p w14:paraId="606D6B07" w14:textId="77777777" w:rsidR="00F1765F" w:rsidRPr="00F1765F" w:rsidRDefault="00F1765F" w:rsidP="00276F3E">
      <w:pPr>
        <w:numPr>
          <w:ilvl w:val="0"/>
          <w:numId w:val="30"/>
        </w:numPr>
        <w:spacing w:after="360" w:line="360" w:lineRule="auto"/>
        <w:ind w:left="811" w:right="-159" w:hanging="454"/>
        <w:jc w:val="both"/>
        <w:rPr>
          <w:rFonts w:eastAsia="Times New Roman"/>
          <w:bCs/>
          <w:sz w:val="26"/>
          <w:szCs w:val="26"/>
          <w:lang w:val="es-ES"/>
        </w:rPr>
      </w:pPr>
      <w:r w:rsidRPr="00F1765F">
        <w:rPr>
          <w:rFonts w:eastAsia="Times New Roman"/>
          <w:bCs/>
          <w:sz w:val="26"/>
          <w:szCs w:val="26"/>
          <w:lang w:val="es-ES"/>
        </w:rPr>
        <w:t xml:space="preserve">La estimación, por parte de Fitch, de que el EBITDA de CEMEX en sus operaciones dentro de Estados Unidos de Norteamérica crecerá a 550 millones de dólares en 2015 a partir de 421 millones de dólares en 2014. Esta proyección </w:t>
      </w:r>
      <w:r w:rsidRPr="00F1765F">
        <w:rPr>
          <w:rFonts w:eastAsia="Times New Roman"/>
          <w:bCs/>
          <w:sz w:val="26"/>
          <w:szCs w:val="26"/>
          <w:lang w:val="es-ES"/>
        </w:rPr>
        <w:lastRenderedPageBreak/>
        <w:t>incorpora la expectativa de que los inicios de casas unifamiliares y multifamiliares en Estados Unidos de Norteamérica ascenderán a un total de 1.1 millón en 2015. Un crecimiento más allá de estas cifras sería positivo para los negocios de la compañía en Estados Unidos de Norteamérica y aceleraría su proceso de desapalancamiento.</w:t>
      </w:r>
    </w:p>
    <w:p w14:paraId="60AFDE2E" w14:textId="77777777" w:rsidR="00F1765F" w:rsidRPr="00F1765F" w:rsidRDefault="00F1765F" w:rsidP="00276F3E">
      <w:pPr>
        <w:numPr>
          <w:ilvl w:val="0"/>
          <w:numId w:val="30"/>
        </w:numPr>
        <w:spacing w:after="360" w:line="360" w:lineRule="auto"/>
        <w:ind w:left="811" w:right="-159" w:hanging="454"/>
        <w:jc w:val="both"/>
        <w:rPr>
          <w:rFonts w:eastAsia="Times New Roman"/>
          <w:bCs/>
          <w:sz w:val="26"/>
          <w:szCs w:val="26"/>
          <w:lang w:val="es-ES"/>
        </w:rPr>
      </w:pPr>
      <w:r w:rsidRPr="00F1765F">
        <w:rPr>
          <w:rFonts w:eastAsia="Times New Roman"/>
          <w:bCs/>
          <w:sz w:val="26"/>
          <w:szCs w:val="26"/>
          <w:lang w:val="es-ES"/>
        </w:rPr>
        <w:t>La demanda de cemento en México ha sido inferior a las expectativas de Fitch desde 2013. Esto ha contrarrestado las mejoras en el flujo de caja operativo en Europa del Norte, así como en Estados Unidos de Norteamérica. El EBITDA generado por CEMEX en México se mantuvo estable en 999 millones de dólares en 2014 desde 1.0 mil millones de dólares en 2013. Fitch prevé que el EBITDA de la compañía en este mercado debería repuntar a 1.1 mil millones de dólares en 2015. Crecimiento más rápido que este ritmo también podría acelerar la reducción de la deuda.</w:t>
      </w:r>
    </w:p>
    <w:p w14:paraId="55EB8777" w14:textId="49759605" w:rsidR="00F1765F" w:rsidRPr="00F1765F" w:rsidRDefault="00F1765F" w:rsidP="00276F3E">
      <w:pPr>
        <w:numPr>
          <w:ilvl w:val="0"/>
          <w:numId w:val="30"/>
        </w:numPr>
        <w:spacing w:after="360" w:line="360" w:lineRule="auto"/>
        <w:ind w:left="811" w:right="-159" w:hanging="454"/>
        <w:jc w:val="both"/>
        <w:rPr>
          <w:rFonts w:eastAsia="Times New Roman"/>
          <w:bCs/>
          <w:sz w:val="26"/>
          <w:szCs w:val="26"/>
          <w:lang w:val="es-ES"/>
        </w:rPr>
      </w:pPr>
      <w:r w:rsidRPr="00F1765F">
        <w:rPr>
          <w:rFonts w:eastAsia="Times New Roman"/>
          <w:bCs/>
          <w:sz w:val="26"/>
          <w:szCs w:val="26"/>
          <w:lang w:val="es-ES"/>
        </w:rPr>
        <w:t xml:space="preserve">Las acciones de CEMEX cotizan en niveles de 10 de dólares por ADS. La compañía ha emitido obligaciones convertibles subordinadas con vencimiento en 2015 (320 millones de dólares), 2016 (978 millones de dólares) y 2018 </w:t>
      </w:r>
      <w:r w:rsidR="00A8424C">
        <w:rPr>
          <w:rFonts w:eastAsia="Times New Roman"/>
          <w:bCs/>
          <w:sz w:val="26"/>
          <w:szCs w:val="26"/>
          <w:lang w:val="es-ES"/>
        </w:rPr>
        <w:t xml:space="preserve">                  </w:t>
      </w:r>
      <w:r w:rsidRPr="00F1765F">
        <w:rPr>
          <w:rFonts w:eastAsia="Times New Roman"/>
          <w:bCs/>
          <w:sz w:val="26"/>
          <w:szCs w:val="26"/>
          <w:lang w:val="es-ES"/>
        </w:rPr>
        <w:t xml:space="preserve">(690 millones de dólares). Los precios de conversión, para estas notas, son 11.18 de dólares/ADS, 9.65 de dólares /ADS y 9.65 de dólares/ADS, respectivamente. Las notas al 2015 contienen un mecanismo contingente que muy probablemente extendería su vencimiento a </w:t>
      </w:r>
      <w:r w:rsidR="009775BF">
        <w:rPr>
          <w:rFonts w:eastAsia="Times New Roman"/>
          <w:bCs/>
          <w:sz w:val="26"/>
          <w:szCs w:val="26"/>
          <w:lang w:val="es-ES"/>
        </w:rPr>
        <w:t>cinco</w:t>
      </w:r>
      <w:r w:rsidRPr="00F1765F">
        <w:rPr>
          <w:rFonts w:eastAsia="Times New Roman"/>
          <w:bCs/>
          <w:sz w:val="26"/>
          <w:szCs w:val="26"/>
          <w:lang w:val="es-ES"/>
        </w:rPr>
        <w:t xml:space="preserve"> años adicionales. Si la compañía tiene éxito en la conversión de las notas a acciones en 2016, Fitch proyecta que el indicador de deuda neta/EBITDA de CEMEX estaría por debajo de 3.8 veces para finales de 2016; lo que podría dar lugar a un incremento en las calificaciones IDR de la compañía.</w:t>
      </w:r>
    </w:p>
    <w:p w14:paraId="47B8CAA1" w14:textId="77777777" w:rsidR="00F1765F" w:rsidRPr="00F1765F" w:rsidRDefault="00F1765F" w:rsidP="00BB7F01">
      <w:pPr>
        <w:spacing w:after="360" w:line="360" w:lineRule="auto"/>
        <w:ind w:right="-159"/>
        <w:jc w:val="both"/>
        <w:rPr>
          <w:rFonts w:eastAsia="Times New Roman"/>
          <w:bCs/>
          <w:sz w:val="26"/>
          <w:szCs w:val="26"/>
          <w:lang w:val="es-ES"/>
        </w:rPr>
      </w:pPr>
      <w:r w:rsidRPr="00F1765F">
        <w:rPr>
          <w:rFonts w:eastAsia="Times New Roman"/>
          <w:bCs/>
          <w:sz w:val="26"/>
          <w:szCs w:val="26"/>
          <w:lang w:val="es-ES"/>
        </w:rPr>
        <w:t>Los desarrollos futuros que pueden, individual o colectivamente, dar lugar a una acción de calificación negativa incluyen:</w:t>
      </w:r>
    </w:p>
    <w:p w14:paraId="174259A2" w14:textId="77777777" w:rsidR="00F1765F" w:rsidRPr="00F1765F" w:rsidRDefault="00F1765F" w:rsidP="00276F3E">
      <w:pPr>
        <w:numPr>
          <w:ilvl w:val="0"/>
          <w:numId w:val="29"/>
        </w:numPr>
        <w:spacing w:after="360" w:line="360" w:lineRule="auto"/>
        <w:ind w:left="811" w:right="-159" w:hanging="454"/>
        <w:jc w:val="both"/>
        <w:rPr>
          <w:rFonts w:eastAsia="Times New Roman"/>
          <w:bCs/>
          <w:sz w:val="26"/>
          <w:szCs w:val="26"/>
          <w:lang w:val="es-ES"/>
        </w:rPr>
      </w:pPr>
      <w:r w:rsidRPr="00F1765F">
        <w:rPr>
          <w:rFonts w:eastAsia="Times New Roman"/>
          <w:bCs/>
          <w:sz w:val="26"/>
          <w:szCs w:val="26"/>
          <w:lang w:val="es-ES"/>
        </w:rPr>
        <w:lastRenderedPageBreak/>
        <w:t>Bajas en las calificaciones son poco probables durante 2015. Esto, puesto que las medidas de protección de crédito de CEMEX son fuertes para las calificaciones actuales. Lo anterior, dada la posición fuerte de negocios global de la empresa así como la lentitud del mercado en Estados Unidos de Norteamérica con respecto a su potencial de largo plazo.</w:t>
      </w:r>
    </w:p>
    <w:p w14:paraId="677558D7" w14:textId="77777777" w:rsidR="00F1765F" w:rsidRPr="00F1765F" w:rsidRDefault="00F1765F" w:rsidP="00276F3E">
      <w:pPr>
        <w:numPr>
          <w:ilvl w:val="0"/>
          <w:numId w:val="29"/>
        </w:numPr>
        <w:spacing w:after="360" w:line="360" w:lineRule="auto"/>
        <w:ind w:left="811" w:right="-159" w:hanging="454"/>
        <w:jc w:val="both"/>
        <w:rPr>
          <w:rFonts w:eastAsia="Times New Roman"/>
          <w:bCs/>
          <w:sz w:val="26"/>
          <w:szCs w:val="26"/>
          <w:lang w:val="es-ES"/>
        </w:rPr>
      </w:pPr>
      <w:r w:rsidRPr="00F1765F">
        <w:rPr>
          <w:rFonts w:eastAsia="Times New Roman"/>
          <w:bCs/>
          <w:sz w:val="26"/>
          <w:szCs w:val="26"/>
          <w:lang w:val="es-ES"/>
        </w:rPr>
        <w:t>CEMEX recibió un fallo desfavorable por las autoridades fiscales españolas durante 2014 que podría dar lugar a un pago de 455 millones de euros. Si la empresa no tiene éxito en su apelación, esto traería dificultades en su capacidad para reducir el apalancamiento al mismo tiempo que daría lugar a una acción de calificación negativa si el pago coincide con lentitud continua en otros mercados clave.</w:t>
      </w:r>
    </w:p>
    <w:p w14:paraId="1BDE2AC4" w14:textId="77777777" w:rsidR="00F1765F" w:rsidRPr="00F1765F" w:rsidRDefault="00F1765F" w:rsidP="00276F3E">
      <w:pPr>
        <w:numPr>
          <w:ilvl w:val="0"/>
          <w:numId w:val="29"/>
        </w:numPr>
        <w:spacing w:after="360" w:line="360" w:lineRule="auto"/>
        <w:ind w:left="811" w:right="-159" w:hanging="454"/>
        <w:jc w:val="both"/>
        <w:rPr>
          <w:rFonts w:eastAsia="Times New Roman"/>
          <w:bCs/>
          <w:sz w:val="26"/>
          <w:szCs w:val="26"/>
          <w:lang w:val="es-ES"/>
        </w:rPr>
      </w:pPr>
      <w:r w:rsidRPr="00F1765F">
        <w:rPr>
          <w:rFonts w:eastAsia="Times New Roman"/>
          <w:bCs/>
          <w:sz w:val="26"/>
          <w:szCs w:val="26"/>
          <w:lang w:val="es-ES"/>
        </w:rPr>
        <w:t>Una pérdida del impulso positivo en el mercado estadounidense tendría un impacto significativo sobre la capacidad de la empresa para reducir el apalancamiento a menos de 4.5 veces para 2015. Fitch consideraría un cambio en la calificación o la perspectiva, si las tendencias de apalancamiento de CEMEX se invirtieran y el apalancamiento neto superase 6.5 veces.</w:t>
      </w:r>
    </w:p>
    <w:p w14:paraId="351B61F1" w14:textId="77777777" w:rsidR="00F1765F" w:rsidRPr="00F1765F" w:rsidRDefault="00F1765F" w:rsidP="00F1765F">
      <w:pPr>
        <w:spacing w:after="360" w:line="360" w:lineRule="auto"/>
        <w:ind w:right="-159"/>
        <w:jc w:val="both"/>
        <w:rPr>
          <w:rFonts w:eastAsia="Times New Roman"/>
          <w:b/>
          <w:bCs/>
          <w:sz w:val="26"/>
          <w:szCs w:val="26"/>
          <w:lang w:val="es-ES"/>
        </w:rPr>
      </w:pPr>
      <w:r w:rsidRPr="00F1765F">
        <w:rPr>
          <w:rFonts w:eastAsia="Times New Roman"/>
          <w:b/>
          <w:bCs/>
          <w:sz w:val="26"/>
          <w:szCs w:val="26"/>
          <w:lang w:val="es-ES"/>
        </w:rPr>
        <w:t>Supuestos clave:</w:t>
      </w:r>
    </w:p>
    <w:p w14:paraId="768931FD" w14:textId="77777777" w:rsidR="00F1765F" w:rsidRPr="00F1765F" w:rsidRDefault="00F1765F" w:rsidP="00276F3E">
      <w:pPr>
        <w:numPr>
          <w:ilvl w:val="0"/>
          <w:numId w:val="28"/>
        </w:numPr>
        <w:spacing w:after="360" w:line="360" w:lineRule="auto"/>
        <w:ind w:left="811" w:right="-159" w:hanging="454"/>
        <w:jc w:val="both"/>
        <w:rPr>
          <w:rFonts w:eastAsia="Times New Roman"/>
          <w:bCs/>
          <w:sz w:val="26"/>
          <w:szCs w:val="26"/>
          <w:lang w:val="es-ES"/>
        </w:rPr>
      </w:pPr>
      <w:r w:rsidRPr="00F1765F">
        <w:rPr>
          <w:rFonts w:eastAsia="Times New Roman"/>
          <w:bCs/>
          <w:sz w:val="26"/>
          <w:szCs w:val="26"/>
          <w:lang w:val="es-ES"/>
        </w:rPr>
        <w:t>Los volúmenes de venta de cemento en Estados Unidos de Norteamérica aumentan 5% en 2015;</w:t>
      </w:r>
    </w:p>
    <w:p w14:paraId="084FB624" w14:textId="77777777" w:rsidR="00F1765F" w:rsidRPr="00F1765F" w:rsidRDefault="00F1765F" w:rsidP="00276F3E">
      <w:pPr>
        <w:numPr>
          <w:ilvl w:val="0"/>
          <w:numId w:val="28"/>
        </w:numPr>
        <w:spacing w:after="360" w:line="360" w:lineRule="auto"/>
        <w:ind w:left="811" w:right="-159" w:hanging="454"/>
        <w:jc w:val="both"/>
        <w:rPr>
          <w:rFonts w:eastAsia="Times New Roman"/>
          <w:bCs/>
          <w:sz w:val="26"/>
          <w:szCs w:val="26"/>
          <w:lang w:val="es-ES"/>
        </w:rPr>
      </w:pPr>
      <w:r w:rsidRPr="00F1765F">
        <w:rPr>
          <w:rFonts w:eastAsia="Times New Roman"/>
          <w:bCs/>
          <w:sz w:val="26"/>
          <w:szCs w:val="26"/>
          <w:lang w:val="es-ES"/>
        </w:rPr>
        <w:t>Los volúmenes de venta de cemento en México aumentan 2% en 2015;</w:t>
      </w:r>
    </w:p>
    <w:p w14:paraId="750B4709" w14:textId="77777777" w:rsidR="00F1765F" w:rsidRPr="00F1765F" w:rsidRDefault="00F1765F" w:rsidP="00276F3E">
      <w:pPr>
        <w:numPr>
          <w:ilvl w:val="0"/>
          <w:numId w:val="28"/>
        </w:numPr>
        <w:spacing w:after="360" w:line="360" w:lineRule="auto"/>
        <w:ind w:left="811" w:right="-159" w:hanging="454"/>
        <w:jc w:val="both"/>
        <w:rPr>
          <w:rFonts w:eastAsia="Times New Roman"/>
          <w:bCs/>
          <w:sz w:val="26"/>
          <w:szCs w:val="26"/>
          <w:lang w:val="es-ES"/>
        </w:rPr>
      </w:pPr>
      <w:r w:rsidRPr="00F1765F">
        <w:rPr>
          <w:rFonts w:eastAsia="Times New Roman"/>
          <w:bCs/>
          <w:sz w:val="26"/>
          <w:szCs w:val="26"/>
          <w:lang w:val="es-ES"/>
        </w:rPr>
        <w:t>Los volúmenes de ventas consolidados serán inferiores a los esperados por la administración;</w:t>
      </w:r>
    </w:p>
    <w:p w14:paraId="4CB11ACE" w14:textId="77777777" w:rsidR="00F1765F" w:rsidRPr="00F1765F" w:rsidRDefault="00F1765F" w:rsidP="00276F3E">
      <w:pPr>
        <w:numPr>
          <w:ilvl w:val="0"/>
          <w:numId w:val="28"/>
        </w:numPr>
        <w:spacing w:after="360" w:line="360" w:lineRule="auto"/>
        <w:ind w:left="811" w:right="-159" w:hanging="454"/>
        <w:jc w:val="both"/>
        <w:rPr>
          <w:rFonts w:eastAsia="Times New Roman"/>
          <w:bCs/>
          <w:sz w:val="26"/>
          <w:szCs w:val="26"/>
          <w:lang w:val="es-ES"/>
        </w:rPr>
      </w:pPr>
      <w:r w:rsidRPr="00F1765F">
        <w:rPr>
          <w:rFonts w:eastAsia="Times New Roman"/>
          <w:bCs/>
          <w:sz w:val="26"/>
          <w:szCs w:val="26"/>
          <w:lang w:val="es-ES"/>
        </w:rPr>
        <w:lastRenderedPageBreak/>
        <w:t>La deuda neta se reducirá aproximadamente 700 millones de dólares durante 2015;</w:t>
      </w:r>
    </w:p>
    <w:p w14:paraId="415E3876" w14:textId="77777777" w:rsidR="00F1765F" w:rsidRPr="00F1765F" w:rsidRDefault="00F1765F" w:rsidP="00276F3E">
      <w:pPr>
        <w:numPr>
          <w:ilvl w:val="0"/>
          <w:numId w:val="28"/>
        </w:numPr>
        <w:spacing w:after="360" w:line="360" w:lineRule="auto"/>
        <w:ind w:left="811" w:right="-159" w:hanging="454"/>
        <w:jc w:val="both"/>
        <w:rPr>
          <w:rFonts w:eastAsia="Times New Roman"/>
          <w:bCs/>
          <w:sz w:val="26"/>
          <w:szCs w:val="26"/>
          <w:lang w:val="es-ES"/>
        </w:rPr>
      </w:pPr>
      <w:r w:rsidRPr="00F1765F">
        <w:rPr>
          <w:rFonts w:eastAsia="Times New Roman"/>
          <w:bCs/>
          <w:sz w:val="26"/>
          <w:szCs w:val="26"/>
          <w:lang w:val="es-ES"/>
        </w:rPr>
        <w:t>Las inversiones en capex serán de aproximadamente 700 millones de dólares en 2015;</w:t>
      </w:r>
    </w:p>
    <w:p w14:paraId="56A8E8B9" w14:textId="77777777" w:rsidR="00F1765F" w:rsidRPr="00F1765F" w:rsidRDefault="00F1765F" w:rsidP="00276F3E">
      <w:pPr>
        <w:numPr>
          <w:ilvl w:val="0"/>
          <w:numId w:val="28"/>
        </w:numPr>
        <w:spacing w:after="360" w:line="360" w:lineRule="auto"/>
        <w:ind w:left="811" w:right="-159" w:hanging="454"/>
        <w:jc w:val="both"/>
        <w:rPr>
          <w:rFonts w:eastAsia="Times New Roman"/>
          <w:bCs/>
          <w:sz w:val="26"/>
          <w:szCs w:val="26"/>
          <w:lang w:val="es-ES"/>
        </w:rPr>
      </w:pPr>
      <w:r w:rsidRPr="00F1765F">
        <w:rPr>
          <w:rFonts w:eastAsia="Times New Roman"/>
          <w:bCs/>
          <w:sz w:val="26"/>
          <w:szCs w:val="26"/>
          <w:lang w:val="es-ES"/>
        </w:rPr>
        <w:t>Las ventas de activos serán de aproximadamente 100 millones de dólares en 2015.</w:t>
      </w:r>
    </w:p>
    <w:p w14:paraId="28F4E397" w14:textId="77777777" w:rsidR="00F1765F" w:rsidRPr="00F1765F" w:rsidRDefault="00F1765F" w:rsidP="00F1765F">
      <w:pPr>
        <w:spacing w:after="360" w:line="360" w:lineRule="auto"/>
        <w:ind w:right="-159"/>
        <w:jc w:val="both"/>
        <w:rPr>
          <w:rFonts w:eastAsia="Times New Roman"/>
          <w:bCs/>
          <w:sz w:val="26"/>
          <w:szCs w:val="26"/>
          <w:lang w:val="es-ES"/>
        </w:rPr>
      </w:pPr>
      <w:r w:rsidRPr="00F1765F">
        <w:rPr>
          <w:rFonts w:eastAsia="Times New Roman"/>
          <w:bCs/>
          <w:sz w:val="26"/>
          <w:szCs w:val="26"/>
          <w:lang w:val="es-ES"/>
        </w:rPr>
        <w:t>Actualmente Fitch califica a CEMEX como sigue:</w:t>
      </w:r>
    </w:p>
    <w:p w14:paraId="55CBDE49" w14:textId="77777777" w:rsidR="00F1765F" w:rsidRPr="00F1765F" w:rsidRDefault="00F1765F" w:rsidP="00F1765F">
      <w:pPr>
        <w:spacing w:after="360" w:line="360" w:lineRule="auto"/>
        <w:ind w:right="-159"/>
        <w:jc w:val="both"/>
        <w:rPr>
          <w:rFonts w:eastAsia="Times New Roman"/>
          <w:b/>
          <w:bCs/>
          <w:sz w:val="26"/>
          <w:szCs w:val="26"/>
          <w:lang w:val="es-ES"/>
        </w:rPr>
      </w:pPr>
      <w:r w:rsidRPr="00F1765F">
        <w:rPr>
          <w:rFonts w:eastAsia="Times New Roman"/>
          <w:b/>
          <w:bCs/>
          <w:sz w:val="26"/>
          <w:szCs w:val="26"/>
          <w:lang w:val="es-ES"/>
        </w:rPr>
        <w:t>CEMEX</w:t>
      </w:r>
    </w:p>
    <w:p w14:paraId="091B8CD6" w14:textId="77777777" w:rsidR="00F1765F" w:rsidRPr="00F1765F" w:rsidRDefault="00F1765F" w:rsidP="00276F3E">
      <w:pPr>
        <w:numPr>
          <w:ilvl w:val="0"/>
          <w:numId w:val="27"/>
        </w:numPr>
        <w:spacing w:after="360" w:line="360" w:lineRule="auto"/>
        <w:ind w:left="811" w:right="-159" w:hanging="454"/>
        <w:jc w:val="both"/>
        <w:rPr>
          <w:rFonts w:eastAsia="Times New Roman"/>
          <w:bCs/>
          <w:sz w:val="26"/>
          <w:szCs w:val="26"/>
          <w:lang w:val="es-ES"/>
        </w:rPr>
      </w:pPr>
      <w:r w:rsidRPr="00F1765F">
        <w:rPr>
          <w:rFonts w:eastAsia="Times New Roman"/>
          <w:bCs/>
          <w:sz w:val="26"/>
          <w:szCs w:val="26"/>
          <w:lang w:val="es-ES"/>
        </w:rPr>
        <w:t>Calificación IDR en escala global en moneda extranjera y local “B+”’;</w:t>
      </w:r>
    </w:p>
    <w:p w14:paraId="00F699F4" w14:textId="77777777" w:rsidR="00F1765F" w:rsidRPr="00F1765F" w:rsidRDefault="00F1765F" w:rsidP="00276F3E">
      <w:pPr>
        <w:numPr>
          <w:ilvl w:val="0"/>
          <w:numId w:val="27"/>
        </w:numPr>
        <w:spacing w:after="360" w:line="360" w:lineRule="auto"/>
        <w:ind w:left="811" w:right="-159" w:hanging="454"/>
        <w:jc w:val="both"/>
        <w:rPr>
          <w:rFonts w:eastAsia="Times New Roman"/>
          <w:bCs/>
          <w:sz w:val="26"/>
          <w:szCs w:val="26"/>
          <w:lang w:val="es-ES"/>
        </w:rPr>
      </w:pPr>
      <w:r w:rsidRPr="00F1765F">
        <w:rPr>
          <w:rFonts w:eastAsia="Times New Roman"/>
          <w:bCs/>
          <w:sz w:val="26"/>
          <w:szCs w:val="26"/>
          <w:lang w:val="es-ES"/>
        </w:rPr>
        <w:t>Calificación en escala global para Notas Senior garantizadas “BB-/RR3”;</w:t>
      </w:r>
    </w:p>
    <w:p w14:paraId="0F7CDF90" w14:textId="77777777" w:rsidR="00F1765F" w:rsidRPr="00F1765F" w:rsidRDefault="00F1765F" w:rsidP="00276F3E">
      <w:pPr>
        <w:numPr>
          <w:ilvl w:val="0"/>
          <w:numId w:val="27"/>
        </w:numPr>
        <w:spacing w:after="360" w:line="360" w:lineRule="auto"/>
        <w:ind w:left="811" w:right="-159" w:hanging="454"/>
        <w:jc w:val="both"/>
        <w:rPr>
          <w:rFonts w:eastAsia="Times New Roman"/>
          <w:bCs/>
          <w:sz w:val="26"/>
          <w:szCs w:val="26"/>
          <w:lang w:val="es-ES"/>
        </w:rPr>
      </w:pPr>
      <w:r w:rsidRPr="00F1765F">
        <w:rPr>
          <w:rFonts w:eastAsia="Times New Roman"/>
          <w:bCs/>
          <w:sz w:val="26"/>
          <w:szCs w:val="26"/>
          <w:lang w:val="es-ES"/>
        </w:rPr>
        <w:t>Calificación en Escala Nacional de Largo Plazo y emisiones de Certificados Bursátiles “BBB(mex)”;</w:t>
      </w:r>
    </w:p>
    <w:p w14:paraId="44995A73" w14:textId="77777777" w:rsidR="00F1765F" w:rsidRPr="00F1765F" w:rsidRDefault="00F1765F" w:rsidP="00276F3E">
      <w:pPr>
        <w:numPr>
          <w:ilvl w:val="0"/>
          <w:numId w:val="27"/>
        </w:numPr>
        <w:spacing w:after="360" w:line="360" w:lineRule="auto"/>
        <w:ind w:left="811" w:right="-159" w:hanging="454"/>
        <w:jc w:val="both"/>
        <w:rPr>
          <w:rFonts w:eastAsia="Times New Roman"/>
          <w:bCs/>
          <w:sz w:val="26"/>
          <w:szCs w:val="26"/>
          <w:lang w:val="es-ES"/>
        </w:rPr>
      </w:pPr>
      <w:r w:rsidRPr="00F1765F">
        <w:rPr>
          <w:rFonts w:eastAsia="Times New Roman"/>
          <w:bCs/>
          <w:sz w:val="26"/>
          <w:szCs w:val="26"/>
          <w:lang w:val="es-ES"/>
        </w:rPr>
        <w:t>Calificación en Escala Nacional de Corto Plazo “F3(mex)”.</w:t>
      </w:r>
    </w:p>
    <w:p w14:paraId="4A2FC987" w14:textId="77777777" w:rsidR="00F1765F" w:rsidRPr="00F1765F" w:rsidRDefault="00F1765F" w:rsidP="00BB7F01">
      <w:pPr>
        <w:spacing w:after="360" w:line="360" w:lineRule="auto"/>
        <w:ind w:left="811" w:right="-159" w:hanging="454"/>
        <w:jc w:val="both"/>
        <w:rPr>
          <w:rFonts w:eastAsia="Times New Roman"/>
          <w:bCs/>
          <w:sz w:val="26"/>
          <w:szCs w:val="26"/>
          <w:lang w:val="es-ES"/>
        </w:rPr>
      </w:pPr>
      <w:r w:rsidRPr="00F1765F">
        <w:rPr>
          <w:rFonts w:eastAsia="Times New Roman"/>
          <w:bCs/>
          <w:sz w:val="26"/>
          <w:szCs w:val="26"/>
          <w:lang w:val="es-ES"/>
        </w:rPr>
        <w:t>Además de las calificaciones mencionadas, Fitch califica en “BB-/RR3” en escala global los instrumentos de deuda emitidos por las siguientes entidades:</w:t>
      </w:r>
    </w:p>
    <w:p w14:paraId="265316D0" w14:textId="77777777" w:rsidR="00F1765F" w:rsidRPr="00F1765F" w:rsidRDefault="00F1765F" w:rsidP="00276F3E">
      <w:pPr>
        <w:numPr>
          <w:ilvl w:val="1"/>
          <w:numId w:val="31"/>
        </w:numPr>
        <w:spacing w:after="360" w:line="360" w:lineRule="auto"/>
        <w:ind w:left="811" w:right="-159" w:hanging="454"/>
        <w:jc w:val="both"/>
        <w:rPr>
          <w:rFonts w:eastAsia="Times New Roman"/>
          <w:bCs/>
          <w:sz w:val="26"/>
          <w:szCs w:val="26"/>
          <w:lang w:val="es-ES"/>
        </w:rPr>
      </w:pPr>
      <w:r w:rsidRPr="00F1765F">
        <w:rPr>
          <w:rFonts w:eastAsia="Times New Roman"/>
          <w:bCs/>
          <w:sz w:val="26"/>
          <w:szCs w:val="26"/>
          <w:lang w:val="es-ES"/>
        </w:rPr>
        <w:t>CEMEX España S.A. (CEMEX España);</w:t>
      </w:r>
    </w:p>
    <w:p w14:paraId="5C9EEA13" w14:textId="77777777" w:rsidR="00F1765F" w:rsidRPr="00F1765F" w:rsidRDefault="00F1765F" w:rsidP="00276F3E">
      <w:pPr>
        <w:numPr>
          <w:ilvl w:val="1"/>
          <w:numId w:val="31"/>
        </w:numPr>
        <w:spacing w:after="360" w:line="360" w:lineRule="auto"/>
        <w:ind w:left="811" w:right="-159" w:hanging="454"/>
        <w:jc w:val="both"/>
        <w:rPr>
          <w:rFonts w:eastAsia="Times New Roman"/>
          <w:bCs/>
          <w:sz w:val="26"/>
          <w:szCs w:val="26"/>
          <w:lang w:val="es-ES"/>
        </w:rPr>
      </w:pPr>
      <w:r w:rsidRPr="00F1765F">
        <w:rPr>
          <w:rFonts w:eastAsia="Times New Roman"/>
          <w:bCs/>
          <w:sz w:val="26"/>
          <w:szCs w:val="26"/>
          <w:lang w:val="es-ES"/>
        </w:rPr>
        <w:t>CEMEX Finance LLC, compañía de responsabilidad limitada domiciliada en Estados Unidos de Norteamérica;</w:t>
      </w:r>
    </w:p>
    <w:p w14:paraId="5786C3CD" w14:textId="77777777" w:rsidR="00F1765F" w:rsidRPr="00F1765F" w:rsidRDefault="00F1765F" w:rsidP="00276F3E">
      <w:pPr>
        <w:numPr>
          <w:ilvl w:val="1"/>
          <w:numId w:val="31"/>
        </w:numPr>
        <w:spacing w:after="360" w:line="360" w:lineRule="auto"/>
        <w:ind w:left="811" w:right="-159" w:hanging="454"/>
        <w:jc w:val="both"/>
        <w:rPr>
          <w:rFonts w:eastAsia="Times New Roman"/>
          <w:bCs/>
          <w:sz w:val="26"/>
          <w:szCs w:val="26"/>
          <w:lang w:val="es-ES"/>
        </w:rPr>
      </w:pPr>
      <w:r w:rsidRPr="00F1765F">
        <w:rPr>
          <w:rFonts w:eastAsia="Times New Roman"/>
          <w:bCs/>
          <w:sz w:val="26"/>
          <w:szCs w:val="26"/>
          <w:lang w:val="es-ES"/>
        </w:rPr>
        <w:lastRenderedPageBreak/>
        <w:t>CEMEX Materials Corporation, compañía de responsabilidad limitada domiciliada en Estados Unidos de Norteamérica;</w:t>
      </w:r>
    </w:p>
    <w:p w14:paraId="681274B3" w14:textId="77777777" w:rsidR="00F1765F" w:rsidRPr="00F1765F" w:rsidRDefault="00F1765F" w:rsidP="00276F3E">
      <w:pPr>
        <w:numPr>
          <w:ilvl w:val="1"/>
          <w:numId w:val="31"/>
        </w:numPr>
        <w:spacing w:after="360" w:line="360" w:lineRule="auto"/>
        <w:ind w:left="811" w:right="-159" w:hanging="454"/>
        <w:jc w:val="both"/>
        <w:rPr>
          <w:rFonts w:eastAsia="Times New Roman"/>
          <w:bCs/>
          <w:sz w:val="26"/>
          <w:szCs w:val="26"/>
          <w:lang w:val="es-ES"/>
        </w:rPr>
      </w:pPr>
      <w:r w:rsidRPr="00F1765F">
        <w:rPr>
          <w:rFonts w:eastAsia="Times New Roman"/>
          <w:bCs/>
          <w:sz w:val="26"/>
          <w:szCs w:val="26"/>
          <w:lang w:val="es-ES"/>
        </w:rPr>
        <w:t>C5 Capital (SPV) Limited, compañía de propósito limitado domiciliada en las Islas Vírgenes Británicas;</w:t>
      </w:r>
    </w:p>
    <w:p w14:paraId="2713E014" w14:textId="77777777" w:rsidR="00F1765F" w:rsidRPr="00F1765F" w:rsidRDefault="00F1765F" w:rsidP="00276F3E">
      <w:pPr>
        <w:numPr>
          <w:ilvl w:val="1"/>
          <w:numId w:val="31"/>
        </w:numPr>
        <w:spacing w:after="360" w:line="360" w:lineRule="auto"/>
        <w:ind w:left="811" w:right="-159" w:hanging="454"/>
        <w:jc w:val="both"/>
        <w:rPr>
          <w:rFonts w:eastAsia="Times New Roman"/>
          <w:bCs/>
          <w:sz w:val="26"/>
          <w:szCs w:val="26"/>
          <w:lang w:val="es-ES"/>
        </w:rPr>
      </w:pPr>
      <w:r w:rsidRPr="00F1765F">
        <w:rPr>
          <w:rFonts w:eastAsia="Times New Roman"/>
          <w:bCs/>
          <w:sz w:val="26"/>
          <w:szCs w:val="26"/>
          <w:lang w:val="es-ES"/>
        </w:rPr>
        <w:t>C8 Capital (SPV) Limited, compañía de propósito limitado domiciliada en las Islas Vírgenes Británicas;</w:t>
      </w:r>
    </w:p>
    <w:p w14:paraId="40882C11" w14:textId="77777777" w:rsidR="00F1765F" w:rsidRDefault="00F1765F" w:rsidP="00276F3E">
      <w:pPr>
        <w:numPr>
          <w:ilvl w:val="1"/>
          <w:numId w:val="31"/>
        </w:numPr>
        <w:spacing w:after="360" w:line="360" w:lineRule="auto"/>
        <w:ind w:left="811" w:right="-159" w:hanging="454"/>
        <w:jc w:val="both"/>
        <w:rPr>
          <w:rFonts w:eastAsia="Times New Roman"/>
          <w:bCs/>
          <w:sz w:val="26"/>
          <w:szCs w:val="26"/>
          <w:lang w:val="es-ES"/>
        </w:rPr>
      </w:pPr>
      <w:r w:rsidRPr="00F1765F">
        <w:rPr>
          <w:rFonts w:eastAsia="Times New Roman"/>
          <w:bCs/>
          <w:sz w:val="26"/>
          <w:szCs w:val="26"/>
          <w:lang w:val="es-ES"/>
        </w:rPr>
        <w:t>C10 Capital (SPV) Limited, compañía de propósito limitado domiciliada en las Islas Vírgenes Británicas;</w:t>
      </w:r>
    </w:p>
    <w:p w14:paraId="430F68FC" w14:textId="77777777" w:rsidR="00F1765F" w:rsidRPr="00F1765F" w:rsidRDefault="00F1765F" w:rsidP="00276F3E">
      <w:pPr>
        <w:numPr>
          <w:ilvl w:val="1"/>
          <w:numId w:val="31"/>
        </w:numPr>
        <w:spacing w:after="360" w:line="360" w:lineRule="auto"/>
        <w:ind w:left="811" w:right="-159" w:hanging="454"/>
        <w:jc w:val="both"/>
        <w:rPr>
          <w:rFonts w:eastAsia="Times New Roman"/>
          <w:bCs/>
          <w:sz w:val="26"/>
          <w:szCs w:val="26"/>
          <w:lang w:val="es-ES"/>
        </w:rPr>
      </w:pPr>
      <w:r w:rsidRPr="00F1765F">
        <w:rPr>
          <w:rFonts w:eastAsia="Times New Roman"/>
          <w:bCs/>
          <w:sz w:val="26"/>
          <w:szCs w:val="26"/>
          <w:lang w:val="es-ES"/>
        </w:rPr>
        <w:t>C-10 Euro Capital (SPV) Limited, compañía de propósito limitado domiciliada en las Islas Vírgenes Británicas.</w:t>
      </w:r>
    </w:p>
    <w:p w14:paraId="413B5919" w14:textId="77777777" w:rsidR="00F1765F" w:rsidRPr="00F1765F" w:rsidRDefault="00F1765F" w:rsidP="00F1765F">
      <w:pPr>
        <w:ind w:right="-159"/>
        <w:jc w:val="both"/>
        <w:rPr>
          <w:rFonts w:eastAsia="Calibri"/>
          <w:b/>
          <w:sz w:val="20"/>
          <w:szCs w:val="20"/>
          <w:lang w:val="es-ES" w:eastAsia="en-US"/>
        </w:rPr>
      </w:pPr>
      <w:r w:rsidRPr="00F1765F">
        <w:rPr>
          <w:rFonts w:eastAsia="Calibri"/>
          <w:b/>
          <w:sz w:val="20"/>
          <w:szCs w:val="20"/>
          <w:lang w:val="es-ES" w:eastAsia="en-US"/>
        </w:rPr>
        <w:t>Fuente de información:</w:t>
      </w:r>
    </w:p>
    <w:p w14:paraId="1CD5EDD9" w14:textId="77777777" w:rsidR="00F1765F" w:rsidRPr="00660E71" w:rsidRDefault="0093224F" w:rsidP="00F1765F">
      <w:pPr>
        <w:ind w:right="-159"/>
        <w:jc w:val="both"/>
        <w:rPr>
          <w:rFonts w:eastAsia="Calibri"/>
          <w:color w:val="0000FF"/>
          <w:sz w:val="20"/>
          <w:szCs w:val="20"/>
          <w:lang w:eastAsia="en-US"/>
        </w:rPr>
      </w:pPr>
      <w:hyperlink r:id="rId125" w:history="1">
        <w:r w:rsidR="00F1765F" w:rsidRPr="00660E71">
          <w:rPr>
            <w:rFonts w:eastAsia="Calibri"/>
            <w:color w:val="0000FF"/>
            <w:sz w:val="20"/>
            <w:szCs w:val="20"/>
            <w:u w:val="single"/>
            <w:lang w:eastAsia="en-US"/>
          </w:rPr>
          <w:t>http://www.fitchratings.mx/ArchivosHTML/Com_13822.html</w:t>
        </w:r>
      </w:hyperlink>
      <w:r w:rsidR="00F1765F" w:rsidRPr="00660E71">
        <w:rPr>
          <w:rFonts w:eastAsia="Calibri"/>
          <w:color w:val="0000FF"/>
          <w:sz w:val="20"/>
          <w:szCs w:val="20"/>
          <w:lang w:eastAsia="en-US"/>
        </w:rPr>
        <w:t xml:space="preserve"> </w:t>
      </w:r>
    </w:p>
    <w:p w14:paraId="56126889" w14:textId="77777777" w:rsidR="00F1765F" w:rsidRPr="00660E71" w:rsidRDefault="0093224F" w:rsidP="00660E71">
      <w:pPr>
        <w:spacing w:after="720"/>
        <w:ind w:right="-159"/>
        <w:jc w:val="both"/>
        <w:rPr>
          <w:rFonts w:eastAsia="Calibri"/>
          <w:color w:val="0000FF"/>
          <w:sz w:val="20"/>
          <w:szCs w:val="20"/>
          <w:lang w:eastAsia="en-US"/>
        </w:rPr>
      </w:pPr>
      <w:hyperlink r:id="rId126" w:history="1">
        <w:r w:rsidR="00F1765F" w:rsidRPr="00660E71">
          <w:rPr>
            <w:rFonts w:eastAsia="Calibri"/>
            <w:color w:val="0000FF"/>
            <w:sz w:val="20"/>
            <w:szCs w:val="20"/>
            <w:u w:val="single"/>
            <w:lang w:eastAsia="en-US"/>
          </w:rPr>
          <w:t>http://www.fitchratings.mx/ArchivosHTML/Com_13822.pdf</w:t>
        </w:r>
      </w:hyperlink>
      <w:r w:rsidR="00F1765F" w:rsidRPr="00660E71">
        <w:rPr>
          <w:rFonts w:eastAsia="Calibri"/>
          <w:color w:val="0000FF"/>
          <w:sz w:val="20"/>
          <w:szCs w:val="20"/>
          <w:lang w:eastAsia="en-US"/>
        </w:rPr>
        <w:t xml:space="preserve"> </w:t>
      </w:r>
      <w:hyperlink r:id="rId127" w:history="1"/>
    </w:p>
    <w:p w14:paraId="04B26C89" w14:textId="77777777" w:rsidR="00814220" w:rsidRPr="00814220" w:rsidRDefault="00814220" w:rsidP="00814220">
      <w:pPr>
        <w:spacing w:after="360" w:line="360" w:lineRule="auto"/>
        <w:ind w:right="-159"/>
        <w:jc w:val="both"/>
        <w:rPr>
          <w:rFonts w:eastAsia="Calibri"/>
          <w:b/>
          <w:sz w:val="26"/>
          <w:szCs w:val="26"/>
          <w:lang w:eastAsia="en-US"/>
        </w:rPr>
      </w:pPr>
      <w:r w:rsidRPr="00814220">
        <w:rPr>
          <w:rFonts w:eastAsia="Calibri"/>
          <w:b/>
          <w:sz w:val="26"/>
          <w:szCs w:val="26"/>
          <w:lang w:eastAsia="en-US"/>
        </w:rPr>
        <w:t xml:space="preserve">Pondrán en marcha el fondo minero (SEDATU) </w:t>
      </w:r>
    </w:p>
    <w:p w14:paraId="4BFA6603" w14:textId="77777777" w:rsidR="00814220" w:rsidRPr="00814220" w:rsidRDefault="00814220" w:rsidP="00814220">
      <w:pPr>
        <w:spacing w:after="360" w:line="360" w:lineRule="auto"/>
        <w:ind w:right="-159"/>
        <w:jc w:val="both"/>
        <w:rPr>
          <w:rFonts w:eastAsia="Calibri"/>
          <w:sz w:val="26"/>
          <w:szCs w:val="26"/>
          <w:lang w:eastAsia="en-US"/>
        </w:rPr>
      </w:pPr>
      <w:r w:rsidRPr="00814220">
        <w:rPr>
          <w:rFonts w:eastAsia="Calibri"/>
          <w:sz w:val="26"/>
          <w:szCs w:val="26"/>
          <w:lang w:eastAsia="en-US"/>
        </w:rPr>
        <w:t>El 20 de febrero de 2015, la Secretaría de Desarrollo Agrario, Territorial y Urbano (SEDATU) dio a conocer su intención de poner en marcha el Fondo Minero, el cual se aplicará por primera vez en el país. A continuación se presenta la información.</w:t>
      </w:r>
    </w:p>
    <w:p w14:paraId="60285B4D" w14:textId="77777777" w:rsidR="00814220" w:rsidRPr="00814220" w:rsidRDefault="00814220" w:rsidP="00814220">
      <w:pPr>
        <w:spacing w:after="360" w:line="360" w:lineRule="auto"/>
        <w:ind w:right="-159"/>
        <w:jc w:val="both"/>
        <w:rPr>
          <w:rFonts w:eastAsia="Calibri"/>
          <w:sz w:val="26"/>
          <w:szCs w:val="26"/>
          <w:lang w:eastAsia="en-US"/>
        </w:rPr>
      </w:pPr>
      <w:r w:rsidRPr="00814220">
        <w:rPr>
          <w:rFonts w:eastAsia="Calibri"/>
          <w:sz w:val="26"/>
          <w:szCs w:val="26"/>
          <w:lang w:eastAsia="en-US"/>
        </w:rPr>
        <w:t>La SEDATU pondrá en marcha el Fondo Minero, el cual se aplicará por primera vez en el país, y será la responsable de vigilar que su funcionamiento se dé en un marco de transparencia, mediante el consenso, y siempre encaminado a atender las necesidades históricas de las comunidades, en materia de servicios.</w:t>
      </w:r>
    </w:p>
    <w:p w14:paraId="07438D7D" w14:textId="77777777" w:rsidR="00814220" w:rsidRPr="00814220" w:rsidRDefault="00814220" w:rsidP="00814220">
      <w:pPr>
        <w:spacing w:after="360" w:line="360" w:lineRule="auto"/>
        <w:ind w:right="-159"/>
        <w:jc w:val="both"/>
        <w:rPr>
          <w:rFonts w:eastAsia="Calibri"/>
          <w:sz w:val="26"/>
          <w:szCs w:val="26"/>
          <w:lang w:eastAsia="en-US"/>
        </w:rPr>
      </w:pPr>
      <w:r w:rsidRPr="00814220">
        <w:rPr>
          <w:rFonts w:eastAsia="Calibri"/>
          <w:sz w:val="26"/>
          <w:szCs w:val="26"/>
          <w:lang w:eastAsia="en-US"/>
        </w:rPr>
        <w:lastRenderedPageBreak/>
        <w:t>Así lo dio a conocer el responsable del tema de Minas y Contratos de Explotación, quien precisó que este Fondo Minero proviene de los nuevos derechos que deberán cubrir todas las empresas que tengan operación minera en México, los cuales se denominan como: adicionales, especiales y extraordinarios.</w:t>
      </w:r>
    </w:p>
    <w:p w14:paraId="4597B932" w14:textId="77777777" w:rsidR="00814220" w:rsidRPr="00814220" w:rsidRDefault="00814220" w:rsidP="00814220">
      <w:pPr>
        <w:spacing w:after="360" w:line="360" w:lineRule="auto"/>
        <w:ind w:right="-159"/>
        <w:jc w:val="both"/>
        <w:rPr>
          <w:rFonts w:eastAsia="Calibri"/>
          <w:sz w:val="26"/>
          <w:szCs w:val="26"/>
          <w:lang w:eastAsia="en-US"/>
        </w:rPr>
      </w:pPr>
      <w:r w:rsidRPr="00814220">
        <w:rPr>
          <w:rFonts w:eastAsia="Calibri"/>
          <w:sz w:val="26"/>
          <w:szCs w:val="26"/>
          <w:lang w:eastAsia="en-US"/>
        </w:rPr>
        <w:t>Del total de esos impuestos, el 80% de la recaudación se va al Fondo y el 20% restante se queda en Hacienda. Ahora bien, los recursos del Fondo serán distribuidos de la siguiente manera: 37.5% lo manejará el estado y 62.5% las autoridades de aquellos municipios donde se da la explotación de la minería.</w:t>
      </w:r>
    </w:p>
    <w:p w14:paraId="68A88343" w14:textId="77777777" w:rsidR="00814220" w:rsidRPr="00814220" w:rsidRDefault="00814220" w:rsidP="00814220">
      <w:pPr>
        <w:spacing w:after="360" w:line="360" w:lineRule="auto"/>
        <w:ind w:right="-159"/>
        <w:jc w:val="both"/>
        <w:rPr>
          <w:rFonts w:eastAsia="Calibri"/>
          <w:sz w:val="26"/>
          <w:szCs w:val="26"/>
          <w:lang w:eastAsia="en-US"/>
        </w:rPr>
      </w:pPr>
      <w:r w:rsidRPr="00814220">
        <w:rPr>
          <w:rFonts w:eastAsia="Calibri"/>
          <w:sz w:val="26"/>
          <w:szCs w:val="26"/>
          <w:lang w:eastAsia="en-US"/>
        </w:rPr>
        <w:t>El impuesto adicional significa el 7.5% sobre el valor de las utilidades de las empresas mineras, el cual será pagado por éstas además de las obligaciones fiscales con las que cumplen hasta ahora; el especial es un gravamen que se paga por las concesiones mineras, mismo que depende del número de hectáreas concesionadas a las empresas mineras, y que no estén trabajando, en exploración o explotación; el extraordinario representa el 0.5% de los ingresos de las empresas por la extracción de oro, plata y platino.</w:t>
      </w:r>
    </w:p>
    <w:p w14:paraId="23C081D9" w14:textId="77777777" w:rsidR="00814220" w:rsidRPr="00814220" w:rsidRDefault="00814220" w:rsidP="00814220">
      <w:pPr>
        <w:spacing w:after="360" w:line="360" w:lineRule="auto"/>
        <w:ind w:right="-159"/>
        <w:jc w:val="both"/>
        <w:rPr>
          <w:rFonts w:eastAsia="Calibri"/>
          <w:sz w:val="26"/>
          <w:szCs w:val="26"/>
          <w:lang w:eastAsia="en-US"/>
        </w:rPr>
      </w:pPr>
      <w:r w:rsidRPr="00814220">
        <w:rPr>
          <w:rFonts w:eastAsia="Calibri"/>
          <w:sz w:val="26"/>
          <w:szCs w:val="26"/>
          <w:lang w:eastAsia="en-US"/>
        </w:rPr>
        <w:t>La SEDATU es la encargada de vigilar que los beneficios de este Fondo Minero se conviertan en diferentes obras y acciones, como aquellas que busquen el cuidado y tratamiento del agua, creación de drenajes, electrificación, caminos, clínicas de salud, y en acciones en materia educativa, como equipamiento y entrega de computadoras a las escuelas de los municipios en cuestión.</w:t>
      </w:r>
    </w:p>
    <w:p w14:paraId="2B4239E0" w14:textId="77777777" w:rsidR="00814220" w:rsidRPr="00814220" w:rsidRDefault="00814220" w:rsidP="00814220">
      <w:pPr>
        <w:spacing w:after="360" w:line="360" w:lineRule="auto"/>
        <w:ind w:right="-159"/>
        <w:jc w:val="both"/>
        <w:rPr>
          <w:rFonts w:eastAsia="Calibri"/>
          <w:sz w:val="26"/>
          <w:szCs w:val="26"/>
          <w:lang w:eastAsia="en-US"/>
        </w:rPr>
      </w:pPr>
      <w:r w:rsidRPr="00814220">
        <w:rPr>
          <w:rFonts w:eastAsia="Calibri"/>
          <w:sz w:val="26"/>
          <w:szCs w:val="26"/>
          <w:lang w:eastAsia="en-US"/>
        </w:rPr>
        <w:t>“Se pretende que los beneficios lleguen a las zonas mineras para incorporarlas al desarrollo que tienen las zonas urbanas. Se atenderán las demandas históricas y que son muy necesarias, pero que varias generaciones han demandado sin verlas hechas realidad”, agregó el responsable del tema de Minas y Contratos de Explotación.</w:t>
      </w:r>
    </w:p>
    <w:p w14:paraId="26B30A43" w14:textId="77777777" w:rsidR="00814220" w:rsidRPr="00814220" w:rsidRDefault="00814220" w:rsidP="00814220">
      <w:pPr>
        <w:spacing w:after="360" w:line="360" w:lineRule="auto"/>
        <w:ind w:right="-159"/>
        <w:jc w:val="both"/>
        <w:rPr>
          <w:rFonts w:eastAsia="Calibri"/>
          <w:sz w:val="26"/>
          <w:szCs w:val="26"/>
          <w:lang w:eastAsia="en-US"/>
        </w:rPr>
      </w:pPr>
      <w:r w:rsidRPr="00814220">
        <w:rPr>
          <w:rFonts w:eastAsia="Calibri"/>
          <w:sz w:val="26"/>
          <w:szCs w:val="26"/>
          <w:lang w:eastAsia="en-US"/>
        </w:rPr>
        <w:lastRenderedPageBreak/>
        <w:t>Explicó que son 24 estados de la República en los que se concentra la actividad minera y por su importancia, con base en el valor de la producción minera, destacan Sonora, Zacatecas, Chihuahua, Coahuila, Durango, Michoacán, San Luis Potosí, Guerrero, Colima y Estado de México, de acuerdo con la información de la Secretaría de Economía.</w:t>
      </w:r>
    </w:p>
    <w:p w14:paraId="3D9D758C" w14:textId="77777777" w:rsidR="00814220" w:rsidRPr="00814220" w:rsidRDefault="00814220" w:rsidP="00814220">
      <w:pPr>
        <w:spacing w:after="360" w:line="360" w:lineRule="auto"/>
        <w:ind w:right="-159"/>
        <w:jc w:val="both"/>
        <w:rPr>
          <w:rFonts w:eastAsia="Calibri"/>
          <w:sz w:val="26"/>
          <w:szCs w:val="26"/>
          <w:lang w:eastAsia="en-US"/>
        </w:rPr>
      </w:pPr>
      <w:r w:rsidRPr="00814220">
        <w:rPr>
          <w:rFonts w:eastAsia="Calibri"/>
          <w:sz w:val="26"/>
          <w:szCs w:val="26"/>
          <w:lang w:eastAsia="en-US"/>
        </w:rPr>
        <w:t>El objetivo es que en cada municipio donde se explota la minería, dentro de esos 24 estados, se lleven a cabo acciones que impulsen el desarrollo humano y propicien un mejor nivel de vida para sus habitantes, para lo cual “todo el proceso estará sujeto a una fiscalización muy puntual, y ello significa que los municipios no podrán usar estos recursos para cuestiones administrativas o para compromisos financieros de otra índole. El recurso no está diseñado para oxigenar las tesorerías municipales, sino para que el recurso baje contra el avance de obra, lo cual generará una mayor confianza”, asevera agregó el responsable del tema de Minas y Contratos de Explotación, colaborador de la SEDATU.</w:t>
      </w:r>
    </w:p>
    <w:p w14:paraId="5CB34117" w14:textId="77777777" w:rsidR="00814220" w:rsidRPr="00814220" w:rsidRDefault="00814220" w:rsidP="00814220">
      <w:pPr>
        <w:spacing w:after="360" w:line="360" w:lineRule="auto"/>
        <w:ind w:right="-159"/>
        <w:jc w:val="both"/>
        <w:rPr>
          <w:rFonts w:eastAsia="Calibri"/>
          <w:sz w:val="26"/>
          <w:szCs w:val="26"/>
          <w:lang w:eastAsia="en-US"/>
        </w:rPr>
      </w:pPr>
      <w:r w:rsidRPr="00814220">
        <w:rPr>
          <w:rFonts w:eastAsia="Calibri"/>
          <w:sz w:val="26"/>
          <w:szCs w:val="26"/>
          <w:lang w:eastAsia="en-US"/>
        </w:rPr>
        <w:t>El procedimiento para aplicar el Fondo, continuó, es democrático e incluyente, porque en los comités en los que se definirán qué proyectos van a obtener recursos, participan representantes de la comunidad o núcleo ejidal, de los gobiernos municipal y estatal, así como de las compañías mineras que trabajan en la zona y el Gobierno de la República, a través de la SEDATU, y las decisiones se tomarán por mayoría de votos, es decir, por consensos, lo que garantiza que no sean obras con un interés político dirigido.</w:t>
      </w:r>
    </w:p>
    <w:p w14:paraId="63D50943" w14:textId="77777777" w:rsidR="00814220" w:rsidRPr="00814220" w:rsidRDefault="00814220" w:rsidP="00814220">
      <w:pPr>
        <w:spacing w:after="360" w:line="360" w:lineRule="auto"/>
        <w:ind w:right="-159"/>
        <w:jc w:val="both"/>
        <w:rPr>
          <w:rFonts w:eastAsia="Calibri"/>
          <w:sz w:val="26"/>
          <w:szCs w:val="26"/>
          <w:lang w:eastAsia="en-US"/>
        </w:rPr>
      </w:pPr>
      <w:r w:rsidRPr="00814220">
        <w:rPr>
          <w:rFonts w:eastAsia="Calibri"/>
          <w:sz w:val="26"/>
          <w:szCs w:val="26"/>
          <w:lang w:eastAsia="en-US"/>
        </w:rPr>
        <w:t xml:space="preserve">De hecho, apuntó, la SEDATU ha estado avanzando en el proceso de capacitación a los actores que participarán en el proceso de aplicación del Fondo Minero, es decir, funcionarios municipales, estatales, federales y empresas mineras, a fin de que la aplicación se realice en términos de acuerdos entre los diferentes actores. “Esto </w:t>
      </w:r>
      <w:r w:rsidRPr="00814220">
        <w:rPr>
          <w:rFonts w:eastAsia="Calibri"/>
          <w:sz w:val="26"/>
          <w:szCs w:val="26"/>
          <w:lang w:eastAsia="en-US"/>
        </w:rPr>
        <w:lastRenderedPageBreak/>
        <w:t>significa que la toma de decisiones en los comités será incluyente, y no habrá imposiciones en la definición de proyectos y de obras.</w:t>
      </w:r>
    </w:p>
    <w:p w14:paraId="7ED13D7B" w14:textId="77777777" w:rsidR="00814220" w:rsidRPr="00814220" w:rsidRDefault="00814220" w:rsidP="00814220">
      <w:pPr>
        <w:spacing w:after="360" w:line="360" w:lineRule="auto"/>
        <w:ind w:right="-159"/>
        <w:jc w:val="both"/>
        <w:rPr>
          <w:rFonts w:eastAsia="Calibri"/>
          <w:sz w:val="26"/>
          <w:szCs w:val="26"/>
          <w:lang w:eastAsia="en-US"/>
        </w:rPr>
      </w:pPr>
      <w:r w:rsidRPr="00814220">
        <w:rPr>
          <w:rFonts w:eastAsia="Calibri"/>
          <w:sz w:val="26"/>
          <w:szCs w:val="26"/>
          <w:lang w:eastAsia="en-US"/>
        </w:rPr>
        <w:t>El funcionario precisó, además, que se le dará prioridad a las obras que representen mayor beneficio social, y que otro de los objetivos es realizarlas con una visión dirigida a proteger y preservar el medio ambiente.</w:t>
      </w:r>
    </w:p>
    <w:p w14:paraId="3C309856" w14:textId="77777777" w:rsidR="00814220" w:rsidRPr="00814220" w:rsidRDefault="00814220" w:rsidP="00814220">
      <w:pPr>
        <w:ind w:right="-159"/>
        <w:jc w:val="both"/>
        <w:rPr>
          <w:rFonts w:eastAsia="Calibri"/>
          <w:sz w:val="20"/>
          <w:szCs w:val="20"/>
          <w:lang w:eastAsia="en-US"/>
        </w:rPr>
      </w:pPr>
      <w:r w:rsidRPr="00814220">
        <w:rPr>
          <w:rFonts w:eastAsia="Calibri"/>
          <w:b/>
          <w:sz w:val="20"/>
          <w:szCs w:val="20"/>
          <w:lang w:eastAsia="en-US"/>
        </w:rPr>
        <w:t>Fuente de información</w:t>
      </w:r>
      <w:r w:rsidRPr="00814220">
        <w:rPr>
          <w:rFonts w:eastAsia="Calibri"/>
          <w:sz w:val="20"/>
          <w:szCs w:val="20"/>
          <w:lang w:eastAsia="en-US"/>
        </w:rPr>
        <w:t>:</w:t>
      </w:r>
    </w:p>
    <w:p w14:paraId="2F50F070" w14:textId="77777777" w:rsidR="00814220" w:rsidRPr="00660E71" w:rsidRDefault="0093224F" w:rsidP="00660E71">
      <w:pPr>
        <w:spacing w:after="720"/>
        <w:ind w:right="-159"/>
        <w:jc w:val="both"/>
        <w:rPr>
          <w:rFonts w:eastAsia="Calibri"/>
          <w:color w:val="0000FF"/>
          <w:sz w:val="20"/>
          <w:szCs w:val="20"/>
          <w:lang w:eastAsia="en-US"/>
        </w:rPr>
      </w:pPr>
      <w:hyperlink r:id="rId128" w:history="1">
        <w:r w:rsidR="00814220" w:rsidRPr="00660E71">
          <w:rPr>
            <w:rFonts w:eastAsia="Calibri"/>
            <w:color w:val="0000FF"/>
            <w:sz w:val="20"/>
            <w:szCs w:val="20"/>
            <w:u w:val="single"/>
            <w:lang w:eastAsia="en-US"/>
          </w:rPr>
          <w:t>http://www.sedatu.gob.mx/sraweb/noticias/noticias-2015/febrero-2015/21044/</w:t>
        </w:r>
      </w:hyperlink>
    </w:p>
    <w:p w14:paraId="1B69BA13" w14:textId="77777777" w:rsidR="00C21F0E" w:rsidRPr="00C21F0E" w:rsidRDefault="00C21F0E" w:rsidP="00C21F0E">
      <w:pPr>
        <w:spacing w:after="360" w:line="360" w:lineRule="auto"/>
        <w:ind w:right="-159"/>
        <w:jc w:val="both"/>
        <w:rPr>
          <w:rFonts w:eastAsia="Calibri"/>
          <w:b/>
          <w:sz w:val="26"/>
          <w:szCs w:val="26"/>
          <w:lang w:eastAsia="en-US"/>
        </w:rPr>
      </w:pPr>
      <w:r w:rsidRPr="00C21F0E">
        <w:rPr>
          <w:rFonts w:eastAsia="Calibri"/>
          <w:b/>
          <w:sz w:val="26"/>
          <w:szCs w:val="26"/>
          <w:lang w:eastAsia="en-US"/>
        </w:rPr>
        <w:t>Industria Minerometalúrgica, cifras a diciembre de 2014 (INEGI)</w:t>
      </w:r>
    </w:p>
    <w:p w14:paraId="42143621" w14:textId="77777777" w:rsidR="00C21F0E" w:rsidRPr="00C21F0E" w:rsidRDefault="00C21F0E" w:rsidP="00C21F0E">
      <w:pPr>
        <w:spacing w:after="360" w:line="360" w:lineRule="auto"/>
        <w:ind w:right="-159"/>
        <w:jc w:val="both"/>
        <w:rPr>
          <w:rFonts w:eastAsia="Calibri"/>
          <w:sz w:val="26"/>
          <w:szCs w:val="26"/>
          <w:lang w:eastAsia="en-US"/>
        </w:rPr>
      </w:pPr>
      <w:r w:rsidRPr="00C21F0E">
        <w:rPr>
          <w:rFonts w:eastAsia="Calibri"/>
          <w:sz w:val="26"/>
          <w:szCs w:val="26"/>
          <w:lang w:eastAsia="en-US"/>
        </w:rPr>
        <w:t>El 27 de febrero de 2015, el Instituto Nacional de Estadística y Geografía (INEGI) publicó la “Estadística de la Industria Minerometalúrgica con cifras a diciembre de 2014”. A continuación se presentan la información.</w:t>
      </w:r>
    </w:p>
    <w:p w14:paraId="1C6D77EB" w14:textId="77777777" w:rsidR="00C21F0E" w:rsidRPr="00C21F0E" w:rsidRDefault="00C21F0E" w:rsidP="00C21F0E">
      <w:pPr>
        <w:spacing w:after="360" w:line="360" w:lineRule="auto"/>
        <w:ind w:right="-159"/>
        <w:jc w:val="both"/>
        <w:rPr>
          <w:rFonts w:eastAsia="Calibri"/>
          <w:sz w:val="26"/>
          <w:szCs w:val="26"/>
          <w:lang w:eastAsia="en-US"/>
        </w:rPr>
      </w:pPr>
      <w:r w:rsidRPr="00C21F0E">
        <w:rPr>
          <w:rFonts w:eastAsia="Calibri"/>
          <w:sz w:val="26"/>
          <w:szCs w:val="26"/>
          <w:lang w:eastAsia="en-US"/>
        </w:rPr>
        <w:t>El índice de volumen físico de la Producción Minerometalúrgica del país (referida a las actividades de extracción, beneficio, fundición y afinación de minerales metálicos y no metálicos) creció 1.33% con base en cifras desestacionalizadas en el último mes de 2014 frente al mes inmediato anterior.</w:t>
      </w:r>
    </w:p>
    <w:p w14:paraId="2E9E2360" w14:textId="0EB888C3" w:rsidR="00C21F0E" w:rsidRPr="00C21F0E" w:rsidRDefault="00C21F0E" w:rsidP="00C21F0E">
      <w:pPr>
        <w:spacing w:after="360" w:line="360" w:lineRule="auto"/>
        <w:ind w:right="-159"/>
        <w:jc w:val="center"/>
        <w:rPr>
          <w:rFonts w:eastAsia="Calibri"/>
          <w:sz w:val="26"/>
          <w:szCs w:val="26"/>
          <w:lang w:eastAsia="en-US"/>
        </w:rPr>
      </w:pPr>
      <w:r w:rsidRPr="00C21F0E">
        <w:rPr>
          <w:rFonts w:eastAsia="Calibri"/>
          <w:sz w:val="26"/>
          <w:szCs w:val="26"/>
          <w:lang w:eastAsia="en-US"/>
        </w:rPr>
        <w:lastRenderedPageBreak/>
        <w:fldChar w:fldCharType="begin"/>
      </w:r>
      <w:r w:rsidRPr="00C21F0E">
        <w:rPr>
          <w:rFonts w:eastAsia="Calibri"/>
          <w:sz w:val="26"/>
          <w:szCs w:val="26"/>
          <w:lang w:eastAsia="en-US"/>
        </w:rPr>
        <w:instrText xml:space="preserve"> LINK PowerPoint.Slide.8 "D:\\2015\\MARZO 2014\\GRÁFICAS EN POWER POINT\\3.- GRÁFICAS DE MINERÍA.pptx!264" "" \a \p </w:instrText>
      </w:r>
      <w:r w:rsidRPr="00C21F0E">
        <w:rPr>
          <w:rFonts w:eastAsia="Calibri"/>
          <w:sz w:val="26"/>
          <w:szCs w:val="26"/>
          <w:lang w:eastAsia="en-US"/>
        </w:rPr>
        <w:fldChar w:fldCharType="separate"/>
      </w:r>
      <w:r w:rsidRPr="00C21F0E">
        <w:rPr>
          <w:rFonts w:eastAsia="Calibri"/>
          <w:noProof/>
          <w:sz w:val="26"/>
          <w:szCs w:val="26"/>
          <w:lang w:eastAsia="es-MX"/>
        </w:rPr>
        <w:drawing>
          <wp:inline distT="0" distB="0" distL="0" distR="0" wp14:anchorId="697C04B3" wp14:editId="5B029FC7">
            <wp:extent cx="4794250" cy="3076575"/>
            <wp:effectExtent l="0" t="0" r="6350" b="9525"/>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
                    <pic:cNvPicPr>
                      <a:picLocks noChangeAspect="1" noChangeArrowheads="1"/>
                    </pic:cNvPicPr>
                  </pic:nvPicPr>
                  <pic:blipFill>
                    <a:blip r:embed="rId129" cstate="print">
                      <a:extLst>
                        <a:ext uri="{28A0092B-C50C-407E-A947-70E740481C1C}">
                          <a14:useLocalDpi xmlns:a14="http://schemas.microsoft.com/office/drawing/2010/main" val="0"/>
                        </a:ext>
                      </a:extLst>
                    </a:blip>
                    <a:srcRect l="8981" t="1984" r="12230" b="8174"/>
                    <a:stretch>
                      <a:fillRect/>
                    </a:stretch>
                  </pic:blipFill>
                  <pic:spPr bwMode="auto">
                    <a:xfrm>
                      <a:off x="0" y="0"/>
                      <a:ext cx="4794250" cy="3076575"/>
                    </a:xfrm>
                    <a:prstGeom prst="rect">
                      <a:avLst/>
                    </a:prstGeom>
                    <a:noFill/>
                    <a:ln>
                      <a:noFill/>
                    </a:ln>
                  </pic:spPr>
                </pic:pic>
              </a:graphicData>
            </a:graphic>
          </wp:inline>
        </w:drawing>
      </w:r>
      <w:r w:rsidRPr="00C21F0E">
        <w:rPr>
          <w:rFonts w:eastAsia="Calibri"/>
          <w:sz w:val="26"/>
          <w:szCs w:val="26"/>
          <w:lang w:eastAsia="en-US"/>
        </w:rPr>
        <w:fldChar w:fldCharType="end"/>
      </w:r>
    </w:p>
    <w:p w14:paraId="03BFEBC7" w14:textId="77777777" w:rsidR="00C21F0E" w:rsidRPr="00C21F0E" w:rsidRDefault="00C21F0E" w:rsidP="00C21F0E">
      <w:pPr>
        <w:spacing w:after="360" w:line="360" w:lineRule="auto"/>
        <w:ind w:right="-159"/>
        <w:jc w:val="both"/>
        <w:rPr>
          <w:rFonts w:eastAsia="Calibri"/>
          <w:sz w:val="26"/>
          <w:szCs w:val="26"/>
          <w:lang w:eastAsia="en-US"/>
        </w:rPr>
      </w:pPr>
      <w:r w:rsidRPr="00C21F0E">
        <w:rPr>
          <w:rFonts w:eastAsia="Calibri"/>
          <w:sz w:val="26"/>
          <w:szCs w:val="26"/>
          <w:lang w:eastAsia="en-US"/>
        </w:rPr>
        <w:t>En su comparación anual, la producción minerometalúrgica reportó una variación en términos reales de 3.7% durante diciembre de 2014 con relación a igual mes de 2013. A su interior, aumentó la producción de cobre, yeso, carbón no coquizable y oro; en tanto que disminuyó la de azufre, zinc, coque, plomo, flourita, plata y pellets de fierro.</w:t>
      </w:r>
    </w:p>
    <w:p w14:paraId="3DDA2A26" w14:textId="2E683570" w:rsidR="00C21F0E" w:rsidRPr="00C21F0E" w:rsidRDefault="00C21F0E" w:rsidP="00C21F0E">
      <w:pPr>
        <w:spacing w:after="360" w:line="360" w:lineRule="auto"/>
        <w:ind w:right="-159"/>
        <w:jc w:val="center"/>
        <w:rPr>
          <w:rFonts w:eastAsia="Calibri"/>
          <w:sz w:val="26"/>
          <w:szCs w:val="26"/>
          <w:lang w:eastAsia="en-US"/>
        </w:rPr>
      </w:pPr>
      <w:r w:rsidRPr="00C21F0E">
        <w:rPr>
          <w:rFonts w:eastAsia="Calibri"/>
          <w:sz w:val="26"/>
          <w:szCs w:val="26"/>
          <w:lang w:eastAsia="en-US"/>
        </w:rPr>
        <w:fldChar w:fldCharType="begin"/>
      </w:r>
      <w:r w:rsidRPr="00C21F0E">
        <w:rPr>
          <w:rFonts w:eastAsia="Calibri"/>
          <w:sz w:val="26"/>
          <w:szCs w:val="26"/>
          <w:lang w:eastAsia="en-US"/>
        </w:rPr>
        <w:instrText xml:space="preserve"> LINK PowerPoint.Slide.8 "D:\\2015\\MARZO 2014\\GRÁFICAS EN POWER POINT\\3.- GRÁFICAS DE MINERÍA.pptx!262" "" \a \p </w:instrText>
      </w:r>
      <w:r w:rsidRPr="00C21F0E">
        <w:rPr>
          <w:rFonts w:eastAsia="Calibri"/>
          <w:sz w:val="26"/>
          <w:szCs w:val="26"/>
          <w:lang w:eastAsia="en-US"/>
        </w:rPr>
        <w:fldChar w:fldCharType="separate"/>
      </w:r>
      <w:r w:rsidRPr="00C21F0E">
        <w:rPr>
          <w:rFonts w:eastAsia="Calibri"/>
          <w:noProof/>
          <w:sz w:val="26"/>
          <w:szCs w:val="26"/>
          <w:lang w:eastAsia="es-MX"/>
        </w:rPr>
        <w:drawing>
          <wp:inline distT="0" distB="0" distL="0" distR="0" wp14:anchorId="55CD46A1" wp14:editId="2E73E014">
            <wp:extent cx="5276215" cy="3082925"/>
            <wp:effectExtent l="0" t="0" r="635" b="3175"/>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
                    <pic:cNvPicPr>
                      <a:picLocks noChangeAspect="1" noChangeArrowheads="1"/>
                    </pic:cNvPicPr>
                  </pic:nvPicPr>
                  <pic:blipFill>
                    <a:blip r:embed="rId130" cstate="print">
                      <a:extLst>
                        <a:ext uri="{28A0092B-C50C-407E-A947-70E740481C1C}">
                          <a14:useLocalDpi xmlns:a14="http://schemas.microsoft.com/office/drawing/2010/main" val="0"/>
                        </a:ext>
                      </a:extLst>
                    </a:blip>
                    <a:srcRect l="5952" t="2391" r="7185" b="7562"/>
                    <a:stretch>
                      <a:fillRect/>
                    </a:stretch>
                  </pic:blipFill>
                  <pic:spPr bwMode="auto">
                    <a:xfrm>
                      <a:off x="0" y="0"/>
                      <a:ext cx="5276215" cy="3082925"/>
                    </a:xfrm>
                    <a:prstGeom prst="rect">
                      <a:avLst/>
                    </a:prstGeom>
                    <a:noFill/>
                    <a:ln>
                      <a:noFill/>
                    </a:ln>
                  </pic:spPr>
                </pic:pic>
              </a:graphicData>
            </a:graphic>
          </wp:inline>
        </w:drawing>
      </w:r>
      <w:r w:rsidRPr="00C21F0E">
        <w:rPr>
          <w:rFonts w:eastAsia="Calibri"/>
          <w:sz w:val="26"/>
          <w:szCs w:val="26"/>
          <w:lang w:eastAsia="en-US"/>
        </w:rPr>
        <w:fldChar w:fldCharType="end"/>
      </w:r>
    </w:p>
    <w:tbl>
      <w:tblPr>
        <w:tblW w:w="37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2150"/>
        <w:gridCol w:w="1646"/>
        <w:gridCol w:w="1511"/>
        <w:gridCol w:w="1235"/>
      </w:tblGrid>
      <w:tr w:rsidR="00C21F0E" w:rsidRPr="00C21F0E" w14:paraId="7E6404AF" w14:textId="77777777" w:rsidTr="00F559D9">
        <w:trPr>
          <w:trHeight w:val="561"/>
          <w:jc w:val="center"/>
        </w:trPr>
        <w:tc>
          <w:tcPr>
            <w:tcW w:w="5000" w:type="pct"/>
            <w:gridSpan w:val="4"/>
            <w:tcBorders>
              <w:top w:val="nil"/>
              <w:left w:val="nil"/>
              <w:bottom w:val="single" w:sz="4" w:space="0" w:color="auto"/>
              <w:right w:val="nil"/>
            </w:tcBorders>
            <w:shd w:val="clear" w:color="auto" w:fill="auto"/>
            <w:hideMark/>
          </w:tcPr>
          <w:p w14:paraId="26E29ADC" w14:textId="77777777" w:rsidR="00C21F0E" w:rsidRPr="00F559D9" w:rsidRDefault="00C21F0E" w:rsidP="00C21F0E">
            <w:pPr>
              <w:autoSpaceDE w:val="0"/>
              <w:autoSpaceDN w:val="0"/>
              <w:adjustRightInd w:val="0"/>
              <w:spacing w:line="276" w:lineRule="auto"/>
              <w:jc w:val="center"/>
              <w:rPr>
                <w:rFonts w:eastAsia="Calibri"/>
                <w:b/>
                <w:bCs/>
                <w:sz w:val="22"/>
                <w:szCs w:val="22"/>
                <w:lang w:eastAsia="en-US"/>
              </w:rPr>
            </w:pPr>
            <w:r w:rsidRPr="00F559D9">
              <w:rPr>
                <w:rFonts w:eastAsia="Calibri"/>
                <w:b/>
                <w:bCs/>
                <w:sz w:val="22"/>
                <w:szCs w:val="22"/>
                <w:lang w:eastAsia="en-US"/>
              </w:rPr>
              <w:lastRenderedPageBreak/>
              <w:t>PRODUCCIÓN MINEROMETALÚRGICA</w:t>
            </w:r>
          </w:p>
          <w:p w14:paraId="5E5BAF61" w14:textId="77777777" w:rsidR="00C21F0E" w:rsidRPr="00F559D9" w:rsidRDefault="00C21F0E" w:rsidP="00C21F0E">
            <w:pPr>
              <w:autoSpaceDE w:val="0"/>
              <w:autoSpaceDN w:val="0"/>
              <w:adjustRightInd w:val="0"/>
              <w:spacing w:line="276" w:lineRule="auto"/>
              <w:jc w:val="center"/>
              <w:rPr>
                <w:rFonts w:eastAsia="Calibri"/>
                <w:b/>
                <w:sz w:val="20"/>
                <w:szCs w:val="20"/>
                <w:lang w:eastAsia="en-US"/>
              </w:rPr>
            </w:pPr>
            <w:r w:rsidRPr="00F559D9">
              <w:rPr>
                <w:rFonts w:eastAsia="Calibri"/>
                <w:b/>
                <w:sz w:val="22"/>
                <w:szCs w:val="22"/>
                <w:lang w:eastAsia="en-US"/>
              </w:rPr>
              <w:t xml:space="preserve">-Toneladas </w:t>
            </w:r>
            <w:r w:rsidRPr="00F559D9">
              <w:rPr>
                <w:rFonts w:eastAsia="Calibri"/>
                <w:b/>
                <w:sz w:val="22"/>
                <w:szCs w:val="22"/>
                <w:u w:val="single"/>
                <w:vertAlign w:val="superscript"/>
                <w:lang w:eastAsia="en-US"/>
              </w:rPr>
              <w:t>1</w:t>
            </w:r>
            <w:r w:rsidRPr="00F559D9">
              <w:rPr>
                <w:rFonts w:eastAsia="Calibri"/>
                <w:b/>
                <w:sz w:val="22"/>
                <w:szCs w:val="22"/>
                <w:vertAlign w:val="superscript"/>
                <w:lang w:eastAsia="en-US"/>
              </w:rPr>
              <w:t>/</w:t>
            </w:r>
            <w:r w:rsidRPr="00F559D9">
              <w:rPr>
                <w:rFonts w:eastAsia="Calibri"/>
                <w:b/>
                <w:sz w:val="22"/>
                <w:szCs w:val="22"/>
                <w:lang w:eastAsia="en-US"/>
              </w:rPr>
              <w:t>-</w:t>
            </w:r>
          </w:p>
        </w:tc>
      </w:tr>
      <w:tr w:rsidR="00C21F0E" w:rsidRPr="00C21F0E" w14:paraId="2F3CB7DF" w14:textId="77777777" w:rsidTr="00F559D9">
        <w:trPr>
          <w:trHeight w:val="419"/>
          <w:jc w:val="center"/>
        </w:trPr>
        <w:tc>
          <w:tcPr>
            <w:tcW w:w="164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14B5B8" w14:textId="77777777" w:rsidR="00C21F0E" w:rsidRPr="00F559D9" w:rsidRDefault="00C21F0E" w:rsidP="00C21F0E">
            <w:pPr>
              <w:rPr>
                <w:rFonts w:eastAsia="Calibri"/>
                <w:b/>
                <w:sz w:val="20"/>
                <w:szCs w:val="20"/>
                <w:lang w:eastAsia="en-US"/>
              </w:rPr>
            </w:pPr>
            <w:r w:rsidRPr="00F559D9">
              <w:rPr>
                <w:rFonts w:eastAsia="Calibri"/>
                <w:b/>
                <w:sz w:val="20"/>
                <w:szCs w:val="20"/>
                <w:lang w:eastAsia="en-US"/>
              </w:rPr>
              <w:t>Mineral</w:t>
            </w:r>
          </w:p>
        </w:tc>
        <w:tc>
          <w:tcPr>
            <w:tcW w:w="2413"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B8C2F54" w14:textId="77777777" w:rsidR="00C21F0E" w:rsidRPr="00F559D9" w:rsidRDefault="00C21F0E" w:rsidP="00C21F0E">
            <w:pPr>
              <w:jc w:val="center"/>
              <w:rPr>
                <w:rFonts w:eastAsia="Calibri"/>
                <w:b/>
                <w:sz w:val="20"/>
                <w:szCs w:val="20"/>
                <w:lang w:eastAsia="en-US"/>
              </w:rPr>
            </w:pPr>
            <w:r w:rsidRPr="00F559D9">
              <w:rPr>
                <w:rFonts w:eastAsia="Calibri"/>
                <w:b/>
                <w:sz w:val="20"/>
                <w:szCs w:val="20"/>
                <w:lang w:eastAsia="en-US"/>
              </w:rPr>
              <w:t>Diciembre</w:t>
            </w:r>
          </w:p>
        </w:tc>
        <w:tc>
          <w:tcPr>
            <w:tcW w:w="94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00A167" w14:textId="77777777" w:rsidR="00C21F0E" w:rsidRPr="00F559D9" w:rsidRDefault="00C21F0E" w:rsidP="00C21F0E">
            <w:pPr>
              <w:jc w:val="center"/>
              <w:rPr>
                <w:rFonts w:eastAsia="Calibri"/>
                <w:b/>
                <w:sz w:val="20"/>
                <w:szCs w:val="20"/>
                <w:lang w:eastAsia="en-US"/>
              </w:rPr>
            </w:pPr>
            <w:r w:rsidRPr="00F559D9">
              <w:rPr>
                <w:rFonts w:eastAsia="Calibri"/>
                <w:b/>
                <w:sz w:val="20"/>
                <w:szCs w:val="20"/>
                <w:lang w:eastAsia="en-US"/>
              </w:rPr>
              <w:t>Variación porcentual anual</w:t>
            </w:r>
          </w:p>
        </w:tc>
      </w:tr>
      <w:tr w:rsidR="00C21F0E" w:rsidRPr="00C21F0E" w14:paraId="7061CA11" w14:textId="77777777" w:rsidTr="00F559D9">
        <w:trPr>
          <w:trHeight w:val="525"/>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766BC7B" w14:textId="77777777" w:rsidR="00C21F0E" w:rsidRPr="00F559D9" w:rsidRDefault="00C21F0E" w:rsidP="00C21F0E">
            <w:pPr>
              <w:rPr>
                <w:rFonts w:eastAsia="Calibri"/>
                <w:b/>
                <w:sz w:val="20"/>
                <w:szCs w:val="20"/>
                <w:lang w:eastAsia="en-US"/>
              </w:rPr>
            </w:pPr>
          </w:p>
        </w:tc>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5985B0" w14:textId="77777777" w:rsidR="00C21F0E" w:rsidRPr="00F559D9" w:rsidRDefault="00C21F0E" w:rsidP="00C21F0E">
            <w:pPr>
              <w:jc w:val="center"/>
              <w:rPr>
                <w:rFonts w:eastAsia="Calibri"/>
                <w:b/>
                <w:sz w:val="20"/>
                <w:szCs w:val="20"/>
                <w:lang w:eastAsia="en-US"/>
              </w:rPr>
            </w:pPr>
            <w:r w:rsidRPr="00F559D9">
              <w:rPr>
                <w:rFonts w:eastAsia="Calibri"/>
                <w:b/>
                <w:sz w:val="20"/>
                <w:szCs w:val="20"/>
                <w:lang w:eastAsia="en-US"/>
              </w:rPr>
              <w:t>2013</w:t>
            </w:r>
          </w:p>
        </w:tc>
        <w:tc>
          <w:tcPr>
            <w:tcW w:w="11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6A83F5" w14:textId="77777777" w:rsidR="00C21F0E" w:rsidRPr="00F559D9" w:rsidRDefault="00C21F0E" w:rsidP="00C21F0E">
            <w:pPr>
              <w:jc w:val="center"/>
              <w:rPr>
                <w:rFonts w:eastAsia="Calibri"/>
                <w:b/>
                <w:sz w:val="20"/>
                <w:szCs w:val="20"/>
                <w:lang w:eastAsia="en-US"/>
              </w:rPr>
            </w:pPr>
            <w:r w:rsidRPr="00F559D9">
              <w:rPr>
                <w:rFonts w:eastAsia="Calibri"/>
                <w:b/>
                <w:sz w:val="20"/>
                <w:szCs w:val="20"/>
                <w:lang w:eastAsia="en-US"/>
              </w:rPr>
              <w:t>2014</w:t>
            </w:r>
            <w:r w:rsidRPr="00F559D9">
              <w:rPr>
                <w:rFonts w:eastAsia="Calibri"/>
                <w:b/>
                <w:sz w:val="20"/>
                <w:szCs w:val="20"/>
                <w:u w:val="single"/>
                <w:vertAlign w:val="superscript"/>
                <w:lang w:eastAsia="en-US"/>
              </w:rPr>
              <w:t>p</w:t>
            </w:r>
            <w:r w:rsidRPr="00F559D9">
              <w:rPr>
                <w:rFonts w:eastAsia="Calibri"/>
                <w:b/>
                <w:sz w:val="20"/>
                <w:szCs w:val="20"/>
                <w:vertAlign w:val="superscript"/>
                <w:lang w:eastAsia="en-US"/>
              </w:rPr>
              <w:t>/</w:t>
            </w:r>
            <w:r w:rsidRPr="00F559D9">
              <w:rPr>
                <w:rFonts w:eastAsia="Calibri"/>
                <w:b/>
                <w:sz w:val="20"/>
                <w:szCs w:val="20"/>
                <w:lang w:eastAsia="en-US"/>
              </w:rPr>
              <w:t xml:space="preserve"> </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55531BC" w14:textId="77777777" w:rsidR="00C21F0E" w:rsidRPr="00F559D9" w:rsidRDefault="00C21F0E" w:rsidP="00C21F0E">
            <w:pPr>
              <w:rPr>
                <w:rFonts w:eastAsia="Calibri"/>
                <w:b/>
                <w:sz w:val="20"/>
                <w:szCs w:val="20"/>
                <w:lang w:eastAsia="en-US"/>
              </w:rPr>
            </w:pPr>
          </w:p>
        </w:tc>
      </w:tr>
      <w:tr w:rsidR="00C21F0E" w:rsidRPr="00C21F0E" w14:paraId="5D013AD2" w14:textId="77777777" w:rsidTr="00F559D9">
        <w:trPr>
          <w:trHeight w:val="148"/>
          <w:jc w:val="center"/>
        </w:trPr>
        <w:tc>
          <w:tcPr>
            <w:tcW w:w="1643" w:type="pct"/>
            <w:tcBorders>
              <w:top w:val="nil"/>
              <w:left w:val="single" w:sz="4" w:space="0" w:color="auto"/>
              <w:bottom w:val="nil"/>
              <w:right w:val="single" w:sz="4" w:space="0" w:color="auto"/>
            </w:tcBorders>
            <w:shd w:val="clear" w:color="auto" w:fill="auto"/>
            <w:vAlign w:val="center"/>
          </w:tcPr>
          <w:p w14:paraId="7291E708" w14:textId="77777777" w:rsidR="00C21F0E" w:rsidRPr="00F559D9" w:rsidRDefault="00C21F0E" w:rsidP="00C21F0E">
            <w:pPr>
              <w:rPr>
                <w:rFonts w:eastAsia="Calibri"/>
                <w:sz w:val="20"/>
                <w:szCs w:val="20"/>
                <w:lang w:eastAsia="en-US"/>
              </w:rPr>
            </w:pPr>
            <w:r w:rsidRPr="00F559D9">
              <w:rPr>
                <w:rFonts w:eastAsia="Calibri"/>
                <w:sz w:val="20"/>
                <w:szCs w:val="20"/>
                <w:lang w:eastAsia="en-US"/>
              </w:rPr>
              <w:t>Cobre</w:t>
            </w:r>
          </w:p>
        </w:tc>
        <w:tc>
          <w:tcPr>
            <w:tcW w:w="1258" w:type="pct"/>
            <w:tcBorders>
              <w:top w:val="nil"/>
              <w:left w:val="single" w:sz="4" w:space="0" w:color="auto"/>
              <w:bottom w:val="nil"/>
              <w:right w:val="single" w:sz="4" w:space="0" w:color="auto"/>
            </w:tcBorders>
            <w:shd w:val="clear" w:color="auto" w:fill="auto"/>
          </w:tcPr>
          <w:p w14:paraId="62591DA8" w14:textId="77777777" w:rsidR="00C21F0E" w:rsidRPr="00F559D9" w:rsidRDefault="00C21F0E" w:rsidP="00C21F0E">
            <w:pPr>
              <w:ind w:right="340"/>
              <w:jc w:val="right"/>
              <w:rPr>
                <w:rFonts w:eastAsia="Calibri"/>
                <w:sz w:val="20"/>
                <w:szCs w:val="20"/>
                <w:lang w:eastAsia="en-US"/>
              </w:rPr>
            </w:pPr>
            <w:r w:rsidRPr="00F559D9">
              <w:rPr>
                <w:rFonts w:eastAsia="Calibri"/>
                <w:sz w:val="20"/>
                <w:szCs w:val="20"/>
                <w:lang w:eastAsia="en-US"/>
              </w:rPr>
              <w:t>26 559</w:t>
            </w:r>
          </w:p>
        </w:tc>
        <w:tc>
          <w:tcPr>
            <w:tcW w:w="1155" w:type="pct"/>
            <w:tcBorders>
              <w:top w:val="nil"/>
              <w:left w:val="single" w:sz="4" w:space="0" w:color="auto"/>
              <w:bottom w:val="nil"/>
              <w:right w:val="single" w:sz="4" w:space="0" w:color="auto"/>
            </w:tcBorders>
            <w:shd w:val="clear" w:color="auto" w:fill="auto"/>
          </w:tcPr>
          <w:p w14:paraId="0FD3AAB3" w14:textId="77777777" w:rsidR="00C21F0E" w:rsidRPr="00F559D9" w:rsidRDefault="00C21F0E" w:rsidP="00C21F0E">
            <w:pPr>
              <w:ind w:right="284"/>
              <w:jc w:val="right"/>
              <w:rPr>
                <w:rFonts w:eastAsia="Calibri"/>
                <w:sz w:val="20"/>
                <w:szCs w:val="20"/>
                <w:lang w:eastAsia="en-US"/>
              </w:rPr>
            </w:pPr>
            <w:r w:rsidRPr="00F559D9">
              <w:rPr>
                <w:rFonts w:eastAsia="Calibri"/>
                <w:sz w:val="20"/>
                <w:szCs w:val="20"/>
                <w:lang w:eastAsia="en-US"/>
              </w:rPr>
              <w:t>38 732</w:t>
            </w:r>
          </w:p>
        </w:tc>
        <w:tc>
          <w:tcPr>
            <w:tcW w:w="944" w:type="pct"/>
            <w:tcBorders>
              <w:top w:val="nil"/>
              <w:left w:val="single" w:sz="4" w:space="0" w:color="auto"/>
              <w:bottom w:val="nil"/>
              <w:right w:val="single" w:sz="4" w:space="0" w:color="auto"/>
            </w:tcBorders>
            <w:shd w:val="clear" w:color="auto" w:fill="auto"/>
          </w:tcPr>
          <w:p w14:paraId="46484163" w14:textId="77777777" w:rsidR="00C21F0E" w:rsidRPr="00F559D9" w:rsidRDefault="00C21F0E" w:rsidP="00C21F0E">
            <w:pPr>
              <w:ind w:right="397"/>
              <w:jc w:val="right"/>
              <w:rPr>
                <w:rFonts w:eastAsia="Calibri"/>
                <w:sz w:val="20"/>
                <w:szCs w:val="20"/>
                <w:lang w:eastAsia="en-US"/>
              </w:rPr>
            </w:pPr>
            <w:r w:rsidRPr="00F559D9">
              <w:rPr>
                <w:rFonts w:eastAsia="Calibri"/>
                <w:sz w:val="20"/>
                <w:szCs w:val="20"/>
                <w:lang w:eastAsia="en-US"/>
              </w:rPr>
              <w:t>45.8</w:t>
            </w:r>
          </w:p>
        </w:tc>
      </w:tr>
      <w:tr w:rsidR="00C21F0E" w:rsidRPr="00C21F0E" w14:paraId="0E1C9E2C" w14:textId="77777777" w:rsidTr="00F559D9">
        <w:trPr>
          <w:trHeight w:val="148"/>
          <w:jc w:val="center"/>
        </w:trPr>
        <w:tc>
          <w:tcPr>
            <w:tcW w:w="1643" w:type="pct"/>
            <w:tcBorders>
              <w:top w:val="nil"/>
              <w:left w:val="single" w:sz="4" w:space="0" w:color="auto"/>
              <w:bottom w:val="nil"/>
              <w:right w:val="single" w:sz="4" w:space="0" w:color="auto"/>
            </w:tcBorders>
            <w:shd w:val="clear" w:color="auto" w:fill="auto"/>
            <w:vAlign w:val="center"/>
          </w:tcPr>
          <w:p w14:paraId="133A6B8D" w14:textId="77777777" w:rsidR="00C21F0E" w:rsidRPr="00F559D9" w:rsidRDefault="00C21F0E" w:rsidP="00C21F0E">
            <w:pPr>
              <w:rPr>
                <w:rFonts w:eastAsia="Calibri"/>
                <w:sz w:val="20"/>
                <w:szCs w:val="20"/>
                <w:lang w:eastAsia="en-US"/>
              </w:rPr>
            </w:pPr>
            <w:r w:rsidRPr="00F559D9">
              <w:rPr>
                <w:rFonts w:eastAsia="Calibri"/>
                <w:sz w:val="20"/>
                <w:szCs w:val="20"/>
                <w:lang w:eastAsia="en-US"/>
              </w:rPr>
              <w:t>Yeso</w:t>
            </w:r>
          </w:p>
        </w:tc>
        <w:tc>
          <w:tcPr>
            <w:tcW w:w="1258" w:type="pct"/>
            <w:tcBorders>
              <w:top w:val="nil"/>
              <w:left w:val="single" w:sz="4" w:space="0" w:color="auto"/>
              <w:bottom w:val="nil"/>
              <w:right w:val="single" w:sz="4" w:space="0" w:color="auto"/>
            </w:tcBorders>
            <w:shd w:val="clear" w:color="auto" w:fill="auto"/>
          </w:tcPr>
          <w:p w14:paraId="433CAADB" w14:textId="77777777" w:rsidR="00C21F0E" w:rsidRPr="00F559D9" w:rsidRDefault="00C21F0E" w:rsidP="00C21F0E">
            <w:pPr>
              <w:ind w:right="340"/>
              <w:jc w:val="right"/>
              <w:rPr>
                <w:rFonts w:eastAsia="Calibri"/>
                <w:sz w:val="20"/>
                <w:szCs w:val="20"/>
                <w:lang w:eastAsia="en-US"/>
              </w:rPr>
            </w:pPr>
            <w:r w:rsidRPr="00F559D9">
              <w:rPr>
                <w:rFonts w:eastAsia="Calibri"/>
                <w:sz w:val="20"/>
                <w:szCs w:val="20"/>
                <w:lang w:eastAsia="en-US"/>
              </w:rPr>
              <w:t>378 312</w:t>
            </w:r>
          </w:p>
        </w:tc>
        <w:tc>
          <w:tcPr>
            <w:tcW w:w="1155" w:type="pct"/>
            <w:tcBorders>
              <w:top w:val="nil"/>
              <w:left w:val="single" w:sz="4" w:space="0" w:color="auto"/>
              <w:bottom w:val="nil"/>
              <w:right w:val="single" w:sz="4" w:space="0" w:color="auto"/>
            </w:tcBorders>
            <w:shd w:val="clear" w:color="auto" w:fill="auto"/>
          </w:tcPr>
          <w:p w14:paraId="09737AF7" w14:textId="77777777" w:rsidR="00C21F0E" w:rsidRPr="00F559D9" w:rsidRDefault="00C21F0E" w:rsidP="00C21F0E">
            <w:pPr>
              <w:ind w:right="284"/>
              <w:jc w:val="right"/>
              <w:rPr>
                <w:rFonts w:eastAsia="Calibri"/>
                <w:sz w:val="20"/>
                <w:szCs w:val="20"/>
                <w:lang w:eastAsia="en-US"/>
              </w:rPr>
            </w:pPr>
            <w:r w:rsidRPr="00F559D9">
              <w:rPr>
                <w:rFonts w:eastAsia="Calibri"/>
                <w:sz w:val="20"/>
                <w:szCs w:val="20"/>
                <w:lang w:eastAsia="en-US"/>
              </w:rPr>
              <w:t>419 805</w:t>
            </w:r>
          </w:p>
        </w:tc>
        <w:tc>
          <w:tcPr>
            <w:tcW w:w="944" w:type="pct"/>
            <w:tcBorders>
              <w:top w:val="nil"/>
              <w:left w:val="single" w:sz="4" w:space="0" w:color="auto"/>
              <w:bottom w:val="nil"/>
              <w:right w:val="single" w:sz="4" w:space="0" w:color="auto"/>
            </w:tcBorders>
            <w:shd w:val="clear" w:color="auto" w:fill="auto"/>
          </w:tcPr>
          <w:p w14:paraId="2E40FC52" w14:textId="77777777" w:rsidR="00C21F0E" w:rsidRPr="00F559D9" w:rsidRDefault="00C21F0E" w:rsidP="00C21F0E">
            <w:pPr>
              <w:ind w:right="397"/>
              <w:jc w:val="right"/>
              <w:rPr>
                <w:rFonts w:eastAsia="Calibri"/>
                <w:sz w:val="20"/>
                <w:szCs w:val="20"/>
                <w:lang w:eastAsia="en-US"/>
              </w:rPr>
            </w:pPr>
            <w:r w:rsidRPr="00F559D9">
              <w:rPr>
                <w:rFonts w:eastAsia="Calibri"/>
                <w:sz w:val="20"/>
                <w:szCs w:val="20"/>
                <w:lang w:eastAsia="en-US"/>
              </w:rPr>
              <w:t>11.0</w:t>
            </w:r>
          </w:p>
        </w:tc>
      </w:tr>
      <w:tr w:rsidR="00C21F0E" w:rsidRPr="00C21F0E" w14:paraId="5A3FE3DA" w14:textId="77777777" w:rsidTr="00F559D9">
        <w:trPr>
          <w:trHeight w:val="148"/>
          <w:jc w:val="center"/>
        </w:trPr>
        <w:tc>
          <w:tcPr>
            <w:tcW w:w="1643" w:type="pct"/>
            <w:tcBorders>
              <w:top w:val="nil"/>
              <w:left w:val="single" w:sz="4" w:space="0" w:color="auto"/>
              <w:bottom w:val="nil"/>
              <w:right w:val="single" w:sz="4" w:space="0" w:color="auto"/>
            </w:tcBorders>
            <w:shd w:val="clear" w:color="auto" w:fill="auto"/>
            <w:vAlign w:val="center"/>
          </w:tcPr>
          <w:p w14:paraId="7AECC34A" w14:textId="77777777" w:rsidR="00C21F0E" w:rsidRPr="00F559D9" w:rsidRDefault="00C21F0E" w:rsidP="00C21F0E">
            <w:pPr>
              <w:rPr>
                <w:rFonts w:eastAsia="Calibri"/>
                <w:sz w:val="20"/>
                <w:szCs w:val="20"/>
                <w:lang w:eastAsia="en-US"/>
              </w:rPr>
            </w:pPr>
            <w:r w:rsidRPr="00F559D9">
              <w:rPr>
                <w:rFonts w:eastAsia="Calibri"/>
                <w:sz w:val="20"/>
                <w:szCs w:val="20"/>
                <w:lang w:eastAsia="en-US"/>
              </w:rPr>
              <w:t>Carbón no coquizable</w:t>
            </w:r>
          </w:p>
        </w:tc>
        <w:tc>
          <w:tcPr>
            <w:tcW w:w="1258" w:type="pct"/>
            <w:tcBorders>
              <w:top w:val="nil"/>
              <w:left w:val="single" w:sz="4" w:space="0" w:color="auto"/>
              <w:bottom w:val="nil"/>
              <w:right w:val="single" w:sz="4" w:space="0" w:color="auto"/>
            </w:tcBorders>
            <w:shd w:val="clear" w:color="auto" w:fill="auto"/>
          </w:tcPr>
          <w:p w14:paraId="680CEEC2" w14:textId="77777777" w:rsidR="00C21F0E" w:rsidRPr="00F559D9" w:rsidRDefault="00C21F0E" w:rsidP="00C21F0E">
            <w:pPr>
              <w:ind w:right="340"/>
              <w:jc w:val="right"/>
              <w:rPr>
                <w:rFonts w:eastAsia="Calibri"/>
                <w:sz w:val="20"/>
                <w:szCs w:val="20"/>
                <w:lang w:eastAsia="en-US"/>
              </w:rPr>
            </w:pPr>
            <w:r w:rsidRPr="00F559D9">
              <w:rPr>
                <w:rFonts w:eastAsia="Calibri"/>
                <w:sz w:val="20"/>
                <w:szCs w:val="20"/>
                <w:lang w:eastAsia="en-US"/>
              </w:rPr>
              <w:t>933 929</w:t>
            </w:r>
          </w:p>
        </w:tc>
        <w:tc>
          <w:tcPr>
            <w:tcW w:w="1155" w:type="pct"/>
            <w:tcBorders>
              <w:top w:val="nil"/>
              <w:left w:val="single" w:sz="4" w:space="0" w:color="auto"/>
              <w:bottom w:val="nil"/>
              <w:right w:val="single" w:sz="4" w:space="0" w:color="auto"/>
            </w:tcBorders>
            <w:shd w:val="clear" w:color="auto" w:fill="auto"/>
          </w:tcPr>
          <w:p w14:paraId="53307280" w14:textId="77777777" w:rsidR="00C21F0E" w:rsidRPr="00F559D9" w:rsidRDefault="00C21F0E" w:rsidP="00C21F0E">
            <w:pPr>
              <w:ind w:right="284"/>
              <w:jc w:val="right"/>
              <w:rPr>
                <w:rFonts w:eastAsia="Calibri"/>
                <w:sz w:val="20"/>
                <w:szCs w:val="20"/>
                <w:lang w:eastAsia="en-US"/>
              </w:rPr>
            </w:pPr>
            <w:r w:rsidRPr="00F559D9">
              <w:rPr>
                <w:rFonts w:eastAsia="Calibri"/>
                <w:sz w:val="20"/>
                <w:szCs w:val="20"/>
                <w:lang w:eastAsia="en-US"/>
              </w:rPr>
              <w:t>998 612</w:t>
            </w:r>
          </w:p>
        </w:tc>
        <w:tc>
          <w:tcPr>
            <w:tcW w:w="944" w:type="pct"/>
            <w:tcBorders>
              <w:top w:val="nil"/>
              <w:left w:val="single" w:sz="4" w:space="0" w:color="auto"/>
              <w:bottom w:val="nil"/>
              <w:right w:val="single" w:sz="4" w:space="0" w:color="auto"/>
            </w:tcBorders>
            <w:shd w:val="clear" w:color="auto" w:fill="auto"/>
          </w:tcPr>
          <w:p w14:paraId="04A5732B" w14:textId="77777777" w:rsidR="00C21F0E" w:rsidRPr="00F559D9" w:rsidRDefault="00C21F0E" w:rsidP="00C21F0E">
            <w:pPr>
              <w:ind w:right="397"/>
              <w:jc w:val="right"/>
              <w:rPr>
                <w:rFonts w:eastAsia="Calibri"/>
                <w:sz w:val="20"/>
                <w:szCs w:val="20"/>
                <w:lang w:eastAsia="en-US"/>
              </w:rPr>
            </w:pPr>
            <w:r w:rsidRPr="00F559D9">
              <w:rPr>
                <w:rFonts w:eastAsia="Calibri"/>
                <w:sz w:val="20"/>
                <w:szCs w:val="20"/>
                <w:lang w:eastAsia="en-US"/>
              </w:rPr>
              <w:t>6.9</w:t>
            </w:r>
          </w:p>
        </w:tc>
      </w:tr>
      <w:tr w:rsidR="00C21F0E" w:rsidRPr="00C21F0E" w14:paraId="11F92472" w14:textId="77777777" w:rsidTr="00F559D9">
        <w:trPr>
          <w:trHeight w:val="148"/>
          <w:jc w:val="center"/>
        </w:trPr>
        <w:tc>
          <w:tcPr>
            <w:tcW w:w="1643" w:type="pct"/>
            <w:tcBorders>
              <w:top w:val="nil"/>
              <w:left w:val="single" w:sz="4" w:space="0" w:color="auto"/>
              <w:bottom w:val="nil"/>
              <w:right w:val="single" w:sz="4" w:space="0" w:color="auto"/>
            </w:tcBorders>
            <w:shd w:val="clear" w:color="auto" w:fill="auto"/>
            <w:vAlign w:val="center"/>
          </w:tcPr>
          <w:p w14:paraId="60151AFA" w14:textId="77777777" w:rsidR="00C21F0E" w:rsidRPr="00F559D9" w:rsidRDefault="00C21F0E" w:rsidP="00C21F0E">
            <w:pPr>
              <w:rPr>
                <w:rFonts w:eastAsia="Calibri"/>
                <w:sz w:val="20"/>
                <w:szCs w:val="20"/>
                <w:lang w:eastAsia="en-US"/>
              </w:rPr>
            </w:pPr>
            <w:r w:rsidRPr="00F559D9">
              <w:rPr>
                <w:rFonts w:eastAsia="Calibri"/>
                <w:sz w:val="20"/>
                <w:szCs w:val="20"/>
                <w:lang w:eastAsia="en-US"/>
              </w:rPr>
              <w:t>Oro</w:t>
            </w:r>
          </w:p>
        </w:tc>
        <w:tc>
          <w:tcPr>
            <w:tcW w:w="1258" w:type="pct"/>
            <w:tcBorders>
              <w:top w:val="nil"/>
              <w:left w:val="single" w:sz="4" w:space="0" w:color="auto"/>
              <w:bottom w:val="nil"/>
              <w:right w:val="single" w:sz="4" w:space="0" w:color="auto"/>
            </w:tcBorders>
            <w:shd w:val="clear" w:color="auto" w:fill="auto"/>
          </w:tcPr>
          <w:p w14:paraId="24B8E188" w14:textId="77777777" w:rsidR="00C21F0E" w:rsidRPr="00F559D9" w:rsidRDefault="00C21F0E" w:rsidP="00C21F0E">
            <w:pPr>
              <w:ind w:right="340"/>
              <w:jc w:val="right"/>
              <w:rPr>
                <w:rFonts w:eastAsia="Calibri"/>
                <w:sz w:val="20"/>
                <w:szCs w:val="20"/>
                <w:lang w:eastAsia="en-US"/>
              </w:rPr>
            </w:pPr>
            <w:r w:rsidRPr="00F559D9">
              <w:rPr>
                <w:rFonts w:eastAsia="Calibri"/>
                <w:sz w:val="20"/>
                <w:szCs w:val="20"/>
                <w:lang w:eastAsia="en-US"/>
              </w:rPr>
              <w:t>8 490</w:t>
            </w:r>
          </w:p>
        </w:tc>
        <w:tc>
          <w:tcPr>
            <w:tcW w:w="1155" w:type="pct"/>
            <w:tcBorders>
              <w:top w:val="nil"/>
              <w:left w:val="single" w:sz="4" w:space="0" w:color="auto"/>
              <w:bottom w:val="nil"/>
              <w:right w:val="single" w:sz="4" w:space="0" w:color="auto"/>
            </w:tcBorders>
            <w:shd w:val="clear" w:color="auto" w:fill="auto"/>
          </w:tcPr>
          <w:p w14:paraId="63B0E9C8" w14:textId="77777777" w:rsidR="00C21F0E" w:rsidRPr="00F559D9" w:rsidRDefault="00C21F0E" w:rsidP="00C21F0E">
            <w:pPr>
              <w:ind w:right="284"/>
              <w:jc w:val="right"/>
              <w:rPr>
                <w:rFonts w:eastAsia="Calibri"/>
                <w:sz w:val="20"/>
                <w:szCs w:val="20"/>
                <w:lang w:eastAsia="en-US"/>
              </w:rPr>
            </w:pPr>
            <w:r w:rsidRPr="00F559D9">
              <w:rPr>
                <w:rFonts w:eastAsia="Calibri"/>
                <w:sz w:val="20"/>
                <w:szCs w:val="20"/>
                <w:lang w:eastAsia="en-US"/>
              </w:rPr>
              <w:t>8 828</w:t>
            </w:r>
          </w:p>
        </w:tc>
        <w:tc>
          <w:tcPr>
            <w:tcW w:w="944" w:type="pct"/>
            <w:tcBorders>
              <w:top w:val="nil"/>
              <w:left w:val="single" w:sz="4" w:space="0" w:color="auto"/>
              <w:bottom w:val="nil"/>
              <w:right w:val="single" w:sz="4" w:space="0" w:color="auto"/>
            </w:tcBorders>
            <w:shd w:val="clear" w:color="auto" w:fill="auto"/>
          </w:tcPr>
          <w:p w14:paraId="15059385" w14:textId="77777777" w:rsidR="00C21F0E" w:rsidRPr="00F559D9" w:rsidRDefault="00C21F0E" w:rsidP="00C21F0E">
            <w:pPr>
              <w:ind w:right="397"/>
              <w:jc w:val="right"/>
              <w:rPr>
                <w:rFonts w:eastAsia="Calibri"/>
                <w:sz w:val="20"/>
                <w:szCs w:val="20"/>
                <w:lang w:eastAsia="en-US"/>
              </w:rPr>
            </w:pPr>
            <w:r w:rsidRPr="00F559D9">
              <w:rPr>
                <w:rFonts w:eastAsia="Calibri"/>
                <w:sz w:val="20"/>
                <w:szCs w:val="20"/>
                <w:lang w:eastAsia="en-US"/>
              </w:rPr>
              <w:t>4.0</w:t>
            </w:r>
          </w:p>
        </w:tc>
      </w:tr>
      <w:tr w:rsidR="00C21F0E" w:rsidRPr="00C21F0E" w14:paraId="43BE9D6A" w14:textId="77777777" w:rsidTr="00F559D9">
        <w:trPr>
          <w:trHeight w:val="148"/>
          <w:jc w:val="center"/>
        </w:trPr>
        <w:tc>
          <w:tcPr>
            <w:tcW w:w="1643" w:type="pct"/>
            <w:tcBorders>
              <w:top w:val="nil"/>
              <w:left w:val="single" w:sz="4" w:space="0" w:color="auto"/>
              <w:bottom w:val="nil"/>
              <w:right w:val="single" w:sz="4" w:space="0" w:color="auto"/>
            </w:tcBorders>
            <w:shd w:val="clear" w:color="auto" w:fill="auto"/>
            <w:vAlign w:val="center"/>
          </w:tcPr>
          <w:p w14:paraId="1DF7D5B3" w14:textId="77777777" w:rsidR="00C21F0E" w:rsidRPr="00F559D9" w:rsidRDefault="00C21F0E" w:rsidP="00C21F0E">
            <w:pPr>
              <w:rPr>
                <w:rFonts w:eastAsia="Calibri"/>
                <w:sz w:val="20"/>
                <w:szCs w:val="20"/>
                <w:lang w:eastAsia="en-US"/>
              </w:rPr>
            </w:pPr>
            <w:r w:rsidRPr="00F559D9">
              <w:rPr>
                <w:rFonts w:eastAsia="Calibri"/>
                <w:sz w:val="20"/>
                <w:szCs w:val="20"/>
                <w:lang w:eastAsia="en-US"/>
              </w:rPr>
              <w:t>Pellets de fierro</w:t>
            </w:r>
          </w:p>
        </w:tc>
        <w:tc>
          <w:tcPr>
            <w:tcW w:w="1258" w:type="pct"/>
            <w:tcBorders>
              <w:top w:val="nil"/>
              <w:left w:val="single" w:sz="4" w:space="0" w:color="auto"/>
              <w:bottom w:val="nil"/>
              <w:right w:val="single" w:sz="4" w:space="0" w:color="auto"/>
            </w:tcBorders>
            <w:shd w:val="clear" w:color="auto" w:fill="auto"/>
          </w:tcPr>
          <w:p w14:paraId="47CDF4EA" w14:textId="77777777" w:rsidR="00C21F0E" w:rsidRPr="00F559D9" w:rsidRDefault="00C21F0E" w:rsidP="00C21F0E">
            <w:pPr>
              <w:ind w:right="340"/>
              <w:jc w:val="right"/>
              <w:rPr>
                <w:rFonts w:eastAsia="Calibri"/>
                <w:sz w:val="20"/>
                <w:szCs w:val="20"/>
                <w:lang w:eastAsia="en-US"/>
              </w:rPr>
            </w:pPr>
            <w:r w:rsidRPr="00F559D9">
              <w:rPr>
                <w:rFonts w:eastAsia="Calibri"/>
                <w:sz w:val="20"/>
                <w:szCs w:val="20"/>
                <w:lang w:eastAsia="en-US"/>
              </w:rPr>
              <w:t>668 075</w:t>
            </w:r>
          </w:p>
        </w:tc>
        <w:tc>
          <w:tcPr>
            <w:tcW w:w="1155" w:type="pct"/>
            <w:tcBorders>
              <w:top w:val="nil"/>
              <w:left w:val="single" w:sz="4" w:space="0" w:color="auto"/>
              <w:bottom w:val="nil"/>
              <w:right w:val="single" w:sz="4" w:space="0" w:color="auto"/>
            </w:tcBorders>
            <w:shd w:val="clear" w:color="auto" w:fill="auto"/>
          </w:tcPr>
          <w:p w14:paraId="43399A63" w14:textId="77777777" w:rsidR="00C21F0E" w:rsidRPr="00F559D9" w:rsidRDefault="00C21F0E" w:rsidP="00C21F0E">
            <w:pPr>
              <w:ind w:right="284"/>
              <w:jc w:val="right"/>
              <w:rPr>
                <w:rFonts w:eastAsia="Calibri"/>
                <w:sz w:val="20"/>
                <w:szCs w:val="20"/>
                <w:lang w:eastAsia="en-US"/>
              </w:rPr>
            </w:pPr>
            <w:r w:rsidRPr="00F559D9">
              <w:rPr>
                <w:rFonts w:eastAsia="Calibri"/>
                <w:sz w:val="20"/>
                <w:szCs w:val="20"/>
                <w:lang w:eastAsia="en-US"/>
              </w:rPr>
              <w:t>663 236</w:t>
            </w:r>
          </w:p>
        </w:tc>
        <w:tc>
          <w:tcPr>
            <w:tcW w:w="944" w:type="pct"/>
            <w:tcBorders>
              <w:top w:val="nil"/>
              <w:left w:val="single" w:sz="4" w:space="0" w:color="auto"/>
              <w:bottom w:val="nil"/>
              <w:right w:val="single" w:sz="4" w:space="0" w:color="auto"/>
            </w:tcBorders>
            <w:shd w:val="clear" w:color="auto" w:fill="auto"/>
          </w:tcPr>
          <w:p w14:paraId="13E49897" w14:textId="77777777" w:rsidR="00C21F0E" w:rsidRPr="00F559D9" w:rsidRDefault="00C21F0E" w:rsidP="00C21F0E">
            <w:pPr>
              <w:ind w:right="397"/>
              <w:jc w:val="right"/>
              <w:rPr>
                <w:rFonts w:eastAsia="Calibri"/>
                <w:sz w:val="20"/>
                <w:szCs w:val="20"/>
                <w:lang w:eastAsia="en-US"/>
              </w:rPr>
            </w:pPr>
            <w:r w:rsidRPr="00F559D9">
              <w:rPr>
                <w:rFonts w:eastAsia="Calibri"/>
                <w:sz w:val="20"/>
                <w:szCs w:val="20"/>
                <w:lang w:eastAsia="en-US"/>
              </w:rPr>
              <w:t>-0.7</w:t>
            </w:r>
          </w:p>
        </w:tc>
      </w:tr>
      <w:tr w:rsidR="00C21F0E" w:rsidRPr="00C21F0E" w14:paraId="791E5AA9" w14:textId="77777777" w:rsidTr="00F559D9">
        <w:trPr>
          <w:trHeight w:val="148"/>
          <w:jc w:val="center"/>
        </w:trPr>
        <w:tc>
          <w:tcPr>
            <w:tcW w:w="1643" w:type="pct"/>
            <w:tcBorders>
              <w:top w:val="nil"/>
              <w:left w:val="single" w:sz="4" w:space="0" w:color="auto"/>
              <w:bottom w:val="nil"/>
              <w:right w:val="single" w:sz="4" w:space="0" w:color="auto"/>
            </w:tcBorders>
            <w:shd w:val="clear" w:color="auto" w:fill="auto"/>
            <w:vAlign w:val="center"/>
          </w:tcPr>
          <w:p w14:paraId="02A9CD12" w14:textId="77777777" w:rsidR="00C21F0E" w:rsidRPr="00F559D9" w:rsidRDefault="00C21F0E" w:rsidP="00C21F0E">
            <w:pPr>
              <w:rPr>
                <w:rFonts w:eastAsia="Calibri"/>
                <w:sz w:val="20"/>
                <w:szCs w:val="20"/>
                <w:lang w:eastAsia="en-US"/>
              </w:rPr>
            </w:pPr>
            <w:r w:rsidRPr="00F559D9">
              <w:rPr>
                <w:rFonts w:eastAsia="Calibri"/>
                <w:sz w:val="20"/>
                <w:szCs w:val="20"/>
                <w:lang w:eastAsia="en-US"/>
              </w:rPr>
              <w:t>Plata</w:t>
            </w:r>
          </w:p>
        </w:tc>
        <w:tc>
          <w:tcPr>
            <w:tcW w:w="1258" w:type="pct"/>
            <w:tcBorders>
              <w:top w:val="nil"/>
              <w:left w:val="single" w:sz="4" w:space="0" w:color="auto"/>
              <w:bottom w:val="nil"/>
              <w:right w:val="single" w:sz="4" w:space="0" w:color="auto"/>
            </w:tcBorders>
            <w:shd w:val="clear" w:color="auto" w:fill="auto"/>
          </w:tcPr>
          <w:p w14:paraId="472CCBAF" w14:textId="77777777" w:rsidR="00C21F0E" w:rsidRPr="00F559D9" w:rsidRDefault="00C21F0E" w:rsidP="00C21F0E">
            <w:pPr>
              <w:ind w:right="340"/>
              <w:jc w:val="right"/>
              <w:rPr>
                <w:rFonts w:eastAsia="Calibri"/>
                <w:sz w:val="20"/>
                <w:szCs w:val="20"/>
                <w:lang w:eastAsia="en-US"/>
              </w:rPr>
            </w:pPr>
            <w:r w:rsidRPr="00F559D9">
              <w:rPr>
                <w:rFonts w:eastAsia="Calibri"/>
                <w:sz w:val="20"/>
                <w:szCs w:val="20"/>
                <w:lang w:eastAsia="en-US"/>
              </w:rPr>
              <w:t>426 302</w:t>
            </w:r>
          </w:p>
        </w:tc>
        <w:tc>
          <w:tcPr>
            <w:tcW w:w="1155" w:type="pct"/>
            <w:tcBorders>
              <w:top w:val="nil"/>
              <w:left w:val="single" w:sz="4" w:space="0" w:color="auto"/>
              <w:bottom w:val="nil"/>
              <w:right w:val="single" w:sz="4" w:space="0" w:color="auto"/>
            </w:tcBorders>
            <w:shd w:val="clear" w:color="auto" w:fill="auto"/>
          </w:tcPr>
          <w:p w14:paraId="1C8ECF7F" w14:textId="77777777" w:rsidR="00C21F0E" w:rsidRPr="00F559D9" w:rsidRDefault="00C21F0E" w:rsidP="00C21F0E">
            <w:pPr>
              <w:ind w:right="284"/>
              <w:jc w:val="right"/>
              <w:rPr>
                <w:rFonts w:eastAsia="Calibri"/>
                <w:sz w:val="20"/>
                <w:szCs w:val="20"/>
                <w:lang w:eastAsia="en-US"/>
              </w:rPr>
            </w:pPr>
            <w:r w:rsidRPr="00F559D9">
              <w:rPr>
                <w:rFonts w:eastAsia="Calibri"/>
                <w:sz w:val="20"/>
                <w:szCs w:val="20"/>
                <w:lang w:eastAsia="en-US"/>
              </w:rPr>
              <w:t>419 467</w:t>
            </w:r>
          </w:p>
        </w:tc>
        <w:tc>
          <w:tcPr>
            <w:tcW w:w="944" w:type="pct"/>
            <w:tcBorders>
              <w:top w:val="nil"/>
              <w:left w:val="single" w:sz="4" w:space="0" w:color="auto"/>
              <w:bottom w:val="nil"/>
              <w:right w:val="single" w:sz="4" w:space="0" w:color="auto"/>
            </w:tcBorders>
            <w:shd w:val="clear" w:color="auto" w:fill="auto"/>
          </w:tcPr>
          <w:p w14:paraId="2DBAFA3A" w14:textId="77777777" w:rsidR="00C21F0E" w:rsidRPr="00F559D9" w:rsidRDefault="00C21F0E" w:rsidP="00C21F0E">
            <w:pPr>
              <w:ind w:right="397"/>
              <w:jc w:val="right"/>
              <w:rPr>
                <w:rFonts w:eastAsia="Calibri"/>
                <w:sz w:val="20"/>
                <w:szCs w:val="20"/>
                <w:lang w:eastAsia="en-US"/>
              </w:rPr>
            </w:pPr>
            <w:r w:rsidRPr="00F559D9">
              <w:rPr>
                <w:rFonts w:eastAsia="Calibri"/>
                <w:sz w:val="20"/>
                <w:szCs w:val="20"/>
                <w:lang w:eastAsia="en-US"/>
              </w:rPr>
              <w:t>-1.6</w:t>
            </w:r>
          </w:p>
        </w:tc>
      </w:tr>
      <w:tr w:rsidR="00C21F0E" w:rsidRPr="00C21F0E" w14:paraId="1E153D85" w14:textId="77777777" w:rsidTr="00F559D9">
        <w:trPr>
          <w:trHeight w:val="148"/>
          <w:jc w:val="center"/>
        </w:trPr>
        <w:tc>
          <w:tcPr>
            <w:tcW w:w="1643" w:type="pct"/>
            <w:tcBorders>
              <w:top w:val="nil"/>
              <w:left w:val="single" w:sz="4" w:space="0" w:color="auto"/>
              <w:bottom w:val="nil"/>
              <w:right w:val="single" w:sz="4" w:space="0" w:color="auto"/>
            </w:tcBorders>
            <w:shd w:val="clear" w:color="auto" w:fill="auto"/>
            <w:vAlign w:val="center"/>
          </w:tcPr>
          <w:p w14:paraId="1C88EC33" w14:textId="77777777" w:rsidR="00C21F0E" w:rsidRPr="00F559D9" w:rsidRDefault="00C21F0E" w:rsidP="00C21F0E">
            <w:pPr>
              <w:rPr>
                <w:rFonts w:eastAsia="Calibri"/>
                <w:sz w:val="20"/>
                <w:szCs w:val="20"/>
                <w:lang w:eastAsia="en-US"/>
              </w:rPr>
            </w:pPr>
            <w:r w:rsidRPr="00F559D9">
              <w:rPr>
                <w:rFonts w:eastAsia="Calibri"/>
                <w:sz w:val="20"/>
                <w:szCs w:val="20"/>
                <w:lang w:eastAsia="en-US"/>
              </w:rPr>
              <w:t>Fluorita</w:t>
            </w:r>
          </w:p>
        </w:tc>
        <w:tc>
          <w:tcPr>
            <w:tcW w:w="1258" w:type="pct"/>
            <w:tcBorders>
              <w:top w:val="nil"/>
              <w:left w:val="single" w:sz="4" w:space="0" w:color="auto"/>
              <w:bottom w:val="nil"/>
              <w:right w:val="single" w:sz="4" w:space="0" w:color="auto"/>
            </w:tcBorders>
            <w:shd w:val="clear" w:color="auto" w:fill="auto"/>
            <w:vAlign w:val="center"/>
          </w:tcPr>
          <w:p w14:paraId="4BDA1C18" w14:textId="77777777" w:rsidR="00C21F0E" w:rsidRPr="00F559D9" w:rsidRDefault="00C21F0E" w:rsidP="00C21F0E">
            <w:pPr>
              <w:ind w:right="340"/>
              <w:jc w:val="right"/>
              <w:rPr>
                <w:rFonts w:eastAsia="Calibri"/>
                <w:sz w:val="20"/>
                <w:szCs w:val="20"/>
                <w:lang w:eastAsia="en-US"/>
              </w:rPr>
            </w:pPr>
            <w:r w:rsidRPr="00F559D9">
              <w:rPr>
                <w:rFonts w:eastAsia="Calibri"/>
                <w:sz w:val="20"/>
                <w:szCs w:val="20"/>
                <w:lang w:eastAsia="en-US"/>
              </w:rPr>
              <w:t>100 676</w:t>
            </w:r>
          </w:p>
        </w:tc>
        <w:tc>
          <w:tcPr>
            <w:tcW w:w="1155" w:type="pct"/>
            <w:tcBorders>
              <w:top w:val="nil"/>
              <w:left w:val="single" w:sz="4" w:space="0" w:color="auto"/>
              <w:bottom w:val="nil"/>
              <w:right w:val="single" w:sz="4" w:space="0" w:color="auto"/>
            </w:tcBorders>
            <w:shd w:val="clear" w:color="auto" w:fill="auto"/>
            <w:vAlign w:val="center"/>
          </w:tcPr>
          <w:p w14:paraId="0974AE12" w14:textId="77777777" w:rsidR="00C21F0E" w:rsidRPr="00F559D9" w:rsidRDefault="00C21F0E" w:rsidP="00C21F0E">
            <w:pPr>
              <w:ind w:right="284"/>
              <w:jc w:val="right"/>
              <w:rPr>
                <w:rFonts w:eastAsia="Calibri"/>
                <w:sz w:val="20"/>
                <w:szCs w:val="20"/>
                <w:lang w:eastAsia="en-US"/>
              </w:rPr>
            </w:pPr>
            <w:r w:rsidRPr="00F559D9">
              <w:rPr>
                <w:rFonts w:eastAsia="Calibri"/>
                <w:sz w:val="20"/>
                <w:szCs w:val="20"/>
                <w:lang w:eastAsia="en-US"/>
              </w:rPr>
              <w:t>97 251</w:t>
            </w:r>
          </w:p>
        </w:tc>
        <w:tc>
          <w:tcPr>
            <w:tcW w:w="944" w:type="pct"/>
            <w:tcBorders>
              <w:top w:val="nil"/>
              <w:left w:val="single" w:sz="4" w:space="0" w:color="auto"/>
              <w:bottom w:val="nil"/>
              <w:right w:val="single" w:sz="4" w:space="0" w:color="auto"/>
            </w:tcBorders>
            <w:shd w:val="clear" w:color="auto" w:fill="auto"/>
          </w:tcPr>
          <w:p w14:paraId="5C46AAD9" w14:textId="77777777" w:rsidR="00C21F0E" w:rsidRPr="00F559D9" w:rsidRDefault="00C21F0E" w:rsidP="00C21F0E">
            <w:pPr>
              <w:ind w:right="397"/>
              <w:jc w:val="right"/>
              <w:rPr>
                <w:rFonts w:eastAsia="Calibri"/>
                <w:sz w:val="20"/>
                <w:szCs w:val="20"/>
                <w:lang w:eastAsia="en-US"/>
              </w:rPr>
            </w:pPr>
            <w:r w:rsidRPr="00F559D9">
              <w:rPr>
                <w:rFonts w:eastAsia="Calibri"/>
                <w:sz w:val="20"/>
                <w:szCs w:val="20"/>
                <w:lang w:eastAsia="en-US"/>
              </w:rPr>
              <w:t>-3.4</w:t>
            </w:r>
          </w:p>
        </w:tc>
      </w:tr>
      <w:tr w:rsidR="00C21F0E" w:rsidRPr="00C21F0E" w14:paraId="7D9C2337" w14:textId="77777777" w:rsidTr="00F559D9">
        <w:trPr>
          <w:trHeight w:val="148"/>
          <w:jc w:val="center"/>
        </w:trPr>
        <w:tc>
          <w:tcPr>
            <w:tcW w:w="1643" w:type="pct"/>
            <w:tcBorders>
              <w:top w:val="nil"/>
              <w:left w:val="single" w:sz="4" w:space="0" w:color="auto"/>
              <w:bottom w:val="nil"/>
              <w:right w:val="single" w:sz="4" w:space="0" w:color="auto"/>
            </w:tcBorders>
            <w:shd w:val="clear" w:color="auto" w:fill="auto"/>
            <w:vAlign w:val="center"/>
          </w:tcPr>
          <w:p w14:paraId="2FE5E65E" w14:textId="77777777" w:rsidR="00C21F0E" w:rsidRPr="00F559D9" w:rsidRDefault="00C21F0E" w:rsidP="00C21F0E">
            <w:pPr>
              <w:rPr>
                <w:rFonts w:eastAsia="Calibri"/>
                <w:sz w:val="20"/>
                <w:szCs w:val="20"/>
                <w:lang w:eastAsia="en-US"/>
              </w:rPr>
            </w:pPr>
            <w:r w:rsidRPr="00F559D9">
              <w:rPr>
                <w:rFonts w:eastAsia="Calibri"/>
                <w:sz w:val="20"/>
                <w:szCs w:val="20"/>
                <w:lang w:eastAsia="en-US"/>
              </w:rPr>
              <w:t>Plomo</w:t>
            </w:r>
          </w:p>
        </w:tc>
        <w:tc>
          <w:tcPr>
            <w:tcW w:w="1258" w:type="pct"/>
            <w:tcBorders>
              <w:top w:val="nil"/>
              <w:left w:val="single" w:sz="4" w:space="0" w:color="auto"/>
              <w:bottom w:val="nil"/>
              <w:right w:val="single" w:sz="4" w:space="0" w:color="auto"/>
            </w:tcBorders>
            <w:shd w:val="clear" w:color="auto" w:fill="auto"/>
          </w:tcPr>
          <w:p w14:paraId="21C36FD4" w14:textId="77777777" w:rsidR="00C21F0E" w:rsidRPr="00F559D9" w:rsidRDefault="00C21F0E" w:rsidP="00C21F0E">
            <w:pPr>
              <w:ind w:right="340"/>
              <w:jc w:val="right"/>
              <w:rPr>
                <w:rFonts w:eastAsia="Calibri"/>
                <w:sz w:val="20"/>
                <w:szCs w:val="20"/>
                <w:lang w:eastAsia="en-US"/>
              </w:rPr>
            </w:pPr>
            <w:r w:rsidRPr="00F559D9">
              <w:rPr>
                <w:rFonts w:eastAsia="Calibri"/>
                <w:sz w:val="20"/>
                <w:szCs w:val="20"/>
                <w:lang w:eastAsia="en-US"/>
              </w:rPr>
              <w:t>16 766</w:t>
            </w:r>
          </w:p>
        </w:tc>
        <w:tc>
          <w:tcPr>
            <w:tcW w:w="1155" w:type="pct"/>
            <w:tcBorders>
              <w:top w:val="nil"/>
              <w:left w:val="single" w:sz="4" w:space="0" w:color="auto"/>
              <w:bottom w:val="nil"/>
              <w:right w:val="single" w:sz="4" w:space="0" w:color="auto"/>
            </w:tcBorders>
            <w:shd w:val="clear" w:color="auto" w:fill="auto"/>
          </w:tcPr>
          <w:p w14:paraId="61A5DD06" w14:textId="77777777" w:rsidR="00C21F0E" w:rsidRPr="00F559D9" w:rsidRDefault="00C21F0E" w:rsidP="00C21F0E">
            <w:pPr>
              <w:ind w:right="284"/>
              <w:jc w:val="right"/>
              <w:rPr>
                <w:rFonts w:eastAsia="Calibri"/>
                <w:sz w:val="20"/>
                <w:szCs w:val="20"/>
                <w:lang w:eastAsia="en-US"/>
              </w:rPr>
            </w:pPr>
            <w:r w:rsidRPr="00F559D9">
              <w:rPr>
                <w:rFonts w:eastAsia="Calibri"/>
                <w:sz w:val="20"/>
                <w:szCs w:val="20"/>
                <w:lang w:eastAsia="en-US"/>
              </w:rPr>
              <w:t>16 051</w:t>
            </w:r>
          </w:p>
        </w:tc>
        <w:tc>
          <w:tcPr>
            <w:tcW w:w="944" w:type="pct"/>
            <w:tcBorders>
              <w:top w:val="nil"/>
              <w:left w:val="single" w:sz="4" w:space="0" w:color="auto"/>
              <w:bottom w:val="nil"/>
              <w:right w:val="single" w:sz="4" w:space="0" w:color="auto"/>
            </w:tcBorders>
            <w:shd w:val="clear" w:color="auto" w:fill="auto"/>
          </w:tcPr>
          <w:p w14:paraId="331D142F" w14:textId="77777777" w:rsidR="00C21F0E" w:rsidRPr="00F559D9" w:rsidRDefault="00C21F0E" w:rsidP="00C21F0E">
            <w:pPr>
              <w:ind w:right="397"/>
              <w:jc w:val="right"/>
              <w:rPr>
                <w:rFonts w:eastAsia="Calibri"/>
                <w:sz w:val="20"/>
                <w:szCs w:val="20"/>
                <w:lang w:eastAsia="en-US"/>
              </w:rPr>
            </w:pPr>
            <w:r w:rsidRPr="00F559D9">
              <w:rPr>
                <w:rFonts w:eastAsia="Calibri"/>
                <w:sz w:val="20"/>
                <w:szCs w:val="20"/>
                <w:lang w:eastAsia="en-US"/>
              </w:rPr>
              <w:t>-4.3</w:t>
            </w:r>
          </w:p>
        </w:tc>
      </w:tr>
      <w:tr w:rsidR="00C21F0E" w:rsidRPr="00C21F0E" w14:paraId="16427128" w14:textId="77777777" w:rsidTr="00F559D9">
        <w:trPr>
          <w:trHeight w:val="148"/>
          <w:jc w:val="center"/>
        </w:trPr>
        <w:tc>
          <w:tcPr>
            <w:tcW w:w="1643" w:type="pct"/>
            <w:tcBorders>
              <w:top w:val="nil"/>
              <w:left w:val="single" w:sz="4" w:space="0" w:color="auto"/>
              <w:bottom w:val="nil"/>
              <w:right w:val="single" w:sz="4" w:space="0" w:color="auto"/>
            </w:tcBorders>
            <w:shd w:val="clear" w:color="auto" w:fill="auto"/>
            <w:vAlign w:val="center"/>
          </w:tcPr>
          <w:p w14:paraId="69FFF482" w14:textId="77777777" w:rsidR="00C21F0E" w:rsidRPr="00F559D9" w:rsidRDefault="00C21F0E" w:rsidP="00C21F0E">
            <w:pPr>
              <w:rPr>
                <w:rFonts w:ascii="Calibri" w:eastAsia="Calibri" w:hAnsi="Calibri"/>
                <w:sz w:val="22"/>
                <w:szCs w:val="22"/>
                <w:lang w:eastAsia="en-US"/>
              </w:rPr>
            </w:pPr>
            <w:r w:rsidRPr="00F559D9">
              <w:rPr>
                <w:rFonts w:eastAsia="Calibri"/>
                <w:sz w:val="20"/>
                <w:szCs w:val="20"/>
                <w:lang w:eastAsia="en-US"/>
              </w:rPr>
              <w:t>Coque</w:t>
            </w:r>
          </w:p>
        </w:tc>
        <w:tc>
          <w:tcPr>
            <w:tcW w:w="1258" w:type="pct"/>
            <w:tcBorders>
              <w:top w:val="nil"/>
              <w:left w:val="single" w:sz="4" w:space="0" w:color="auto"/>
              <w:bottom w:val="nil"/>
              <w:right w:val="single" w:sz="4" w:space="0" w:color="auto"/>
            </w:tcBorders>
            <w:shd w:val="clear" w:color="auto" w:fill="auto"/>
          </w:tcPr>
          <w:p w14:paraId="1B53FF10" w14:textId="77777777" w:rsidR="00C21F0E" w:rsidRPr="00F559D9" w:rsidRDefault="00C21F0E" w:rsidP="00C21F0E">
            <w:pPr>
              <w:ind w:right="340"/>
              <w:jc w:val="right"/>
              <w:rPr>
                <w:rFonts w:eastAsia="Calibri"/>
                <w:sz w:val="20"/>
                <w:szCs w:val="20"/>
                <w:lang w:eastAsia="en-US"/>
              </w:rPr>
            </w:pPr>
            <w:r w:rsidRPr="00F559D9">
              <w:rPr>
                <w:rFonts w:eastAsia="Calibri"/>
                <w:sz w:val="20"/>
                <w:szCs w:val="20"/>
                <w:lang w:eastAsia="en-US"/>
              </w:rPr>
              <w:t>192 771</w:t>
            </w:r>
          </w:p>
        </w:tc>
        <w:tc>
          <w:tcPr>
            <w:tcW w:w="1155" w:type="pct"/>
            <w:tcBorders>
              <w:top w:val="nil"/>
              <w:left w:val="single" w:sz="4" w:space="0" w:color="auto"/>
              <w:bottom w:val="nil"/>
              <w:right w:val="single" w:sz="4" w:space="0" w:color="auto"/>
            </w:tcBorders>
            <w:shd w:val="clear" w:color="auto" w:fill="auto"/>
          </w:tcPr>
          <w:p w14:paraId="006CC881" w14:textId="77777777" w:rsidR="00C21F0E" w:rsidRPr="00F559D9" w:rsidRDefault="00C21F0E" w:rsidP="00C21F0E">
            <w:pPr>
              <w:ind w:right="284"/>
              <w:jc w:val="right"/>
              <w:rPr>
                <w:rFonts w:eastAsia="Calibri"/>
                <w:sz w:val="20"/>
                <w:szCs w:val="20"/>
                <w:lang w:eastAsia="en-US"/>
              </w:rPr>
            </w:pPr>
            <w:r w:rsidRPr="00F559D9">
              <w:rPr>
                <w:rFonts w:eastAsia="Calibri"/>
                <w:sz w:val="20"/>
                <w:szCs w:val="20"/>
                <w:lang w:eastAsia="en-US"/>
              </w:rPr>
              <w:t>180 188</w:t>
            </w:r>
          </w:p>
        </w:tc>
        <w:tc>
          <w:tcPr>
            <w:tcW w:w="944" w:type="pct"/>
            <w:tcBorders>
              <w:top w:val="nil"/>
              <w:left w:val="single" w:sz="4" w:space="0" w:color="auto"/>
              <w:bottom w:val="nil"/>
              <w:right w:val="single" w:sz="4" w:space="0" w:color="auto"/>
            </w:tcBorders>
            <w:shd w:val="clear" w:color="auto" w:fill="auto"/>
          </w:tcPr>
          <w:p w14:paraId="6854BF79" w14:textId="77777777" w:rsidR="00C21F0E" w:rsidRPr="00F559D9" w:rsidRDefault="00C21F0E" w:rsidP="00C21F0E">
            <w:pPr>
              <w:ind w:right="397"/>
              <w:jc w:val="right"/>
              <w:rPr>
                <w:rFonts w:eastAsia="Calibri"/>
                <w:sz w:val="20"/>
                <w:szCs w:val="20"/>
                <w:lang w:eastAsia="en-US"/>
              </w:rPr>
            </w:pPr>
            <w:r w:rsidRPr="00F559D9">
              <w:rPr>
                <w:rFonts w:eastAsia="Calibri"/>
                <w:sz w:val="20"/>
                <w:szCs w:val="20"/>
                <w:lang w:eastAsia="en-US"/>
              </w:rPr>
              <w:t>-6.5</w:t>
            </w:r>
          </w:p>
        </w:tc>
      </w:tr>
      <w:tr w:rsidR="00C21F0E" w:rsidRPr="00C21F0E" w14:paraId="31124766" w14:textId="77777777" w:rsidTr="00F559D9">
        <w:trPr>
          <w:trHeight w:val="148"/>
          <w:jc w:val="center"/>
        </w:trPr>
        <w:tc>
          <w:tcPr>
            <w:tcW w:w="1643" w:type="pct"/>
            <w:tcBorders>
              <w:top w:val="nil"/>
              <w:left w:val="single" w:sz="4" w:space="0" w:color="auto"/>
              <w:bottom w:val="nil"/>
              <w:right w:val="single" w:sz="4" w:space="0" w:color="auto"/>
            </w:tcBorders>
            <w:shd w:val="clear" w:color="auto" w:fill="auto"/>
            <w:vAlign w:val="center"/>
          </w:tcPr>
          <w:p w14:paraId="0DFBD590" w14:textId="77777777" w:rsidR="00C21F0E" w:rsidRPr="00F559D9" w:rsidRDefault="00C21F0E" w:rsidP="00C21F0E">
            <w:pPr>
              <w:rPr>
                <w:rFonts w:eastAsia="Calibri"/>
                <w:sz w:val="20"/>
                <w:szCs w:val="20"/>
                <w:lang w:eastAsia="en-US"/>
              </w:rPr>
            </w:pPr>
            <w:r w:rsidRPr="00F559D9">
              <w:rPr>
                <w:rFonts w:eastAsia="Calibri"/>
                <w:sz w:val="20"/>
                <w:szCs w:val="20"/>
                <w:lang w:eastAsia="en-US"/>
              </w:rPr>
              <w:t>Zinc</w:t>
            </w:r>
          </w:p>
        </w:tc>
        <w:tc>
          <w:tcPr>
            <w:tcW w:w="1258" w:type="pct"/>
            <w:tcBorders>
              <w:top w:val="nil"/>
              <w:left w:val="single" w:sz="4" w:space="0" w:color="auto"/>
              <w:bottom w:val="nil"/>
              <w:right w:val="single" w:sz="4" w:space="0" w:color="auto"/>
            </w:tcBorders>
            <w:shd w:val="clear" w:color="auto" w:fill="auto"/>
          </w:tcPr>
          <w:p w14:paraId="113CBA79" w14:textId="77777777" w:rsidR="00C21F0E" w:rsidRPr="00F559D9" w:rsidRDefault="00C21F0E" w:rsidP="00C21F0E">
            <w:pPr>
              <w:ind w:right="340"/>
              <w:jc w:val="right"/>
              <w:rPr>
                <w:rFonts w:eastAsia="Calibri"/>
                <w:sz w:val="20"/>
                <w:szCs w:val="20"/>
                <w:lang w:eastAsia="en-US"/>
              </w:rPr>
            </w:pPr>
            <w:r w:rsidRPr="00F559D9">
              <w:rPr>
                <w:rFonts w:eastAsia="Calibri"/>
                <w:sz w:val="20"/>
                <w:szCs w:val="20"/>
                <w:lang w:eastAsia="en-US"/>
              </w:rPr>
              <w:t>43 125</w:t>
            </w:r>
          </w:p>
        </w:tc>
        <w:tc>
          <w:tcPr>
            <w:tcW w:w="1155" w:type="pct"/>
            <w:tcBorders>
              <w:top w:val="nil"/>
              <w:left w:val="single" w:sz="4" w:space="0" w:color="auto"/>
              <w:bottom w:val="nil"/>
              <w:right w:val="single" w:sz="4" w:space="0" w:color="auto"/>
            </w:tcBorders>
            <w:shd w:val="clear" w:color="auto" w:fill="auto"/>
          </w:tcPr>
          <w:p w14:paraId="61CA8088" w14:textId="77777777" w:rsidR="00C21F0E" w:rsidRPr="00F559D9" w:rsidRDefault="00C21F0E" w:rsidP="00C21F0E">
            <w:pPr>
              <w:ind w:right="284"/>
              <w:jc w:val="right"/>
              <w:rPr>
                <w:rFonts w:eastAsia="Calibri"/>
                <w:sz w:val="20"/>
                <w:szCs w:val="20"/>
                <w:lang w:eastAsia="en-US"/>
              </w:rPr>
            </w:pPr>
            <w:r w:rsidRPr="00F559D9">
              <w:rPr>
                <w:rFonts w:eastAsia="Calibri"/>
                <w:sz w:val="20"/>
                <w:szCs w:val="20"/>
                <w:lang w:eastAsia="en-US"/>
              </w:rPr>
              <w:t>37 988</w:t>
            </w:r>
          </w:p>
        </w:tc>
        <w:tc>
          <w:tcPr>
            <w:tcW w:w="944" w:type="pct"/>
            <w:tcBorders>
              <w:top w:val="nil"/>
              <w:left w:val="single" w:sz="4" w:space="0" w:color="auto"/>
              <w:bottom w:val="nil"/>
              <w:right w:val="single" w:sz="4" w:space="0" w:color="auto"/>
            </w:tcBorders>
            <w:shd w:val="clear" w:color="auto" w:fill="auto"/>
          </w:tcPr>
          <w:p w14:paraId="30B1D3AC" w14:textId="77777777" w:rsidR="00C21F0E" w:rsidRPr="00F559D9" w:rsidRDefault="00C21F0E" w:rsidP="00C21F0E">
            <w:pPr>
              <w:ind w:right="397"/>
              <w:jc w:val="right"/>
              <w:rPr>
                <w:rFonts w:eastAsia="Calibri"/>
                <w:sz w:val="20"/>
                <w:szCs w:val="20"/>
                <w:lang w:eastAsia="en-US"/>
              </w:rPr>
            </w:pPr>
            <w:r w:rsidRPr="00F559D9">
              <w:rPr>
                <w:rFonts w:eastAsia="Calibri"/>
                <w:sz w:val="20"/>
                <w:szCs w:val="20"/>
                <w:lang w:eastAsia="en-US"/>
              </w:rPr>
              <w:t>-11.9</w:t>
            </w:r>
          </w:p>
        </w:tc>
      </w:tr>
      <w:tr w:rsidR="00C21F0E" w:rsidRPr="00C21F0E" w14:paraId="0D7933C1" w14:textId="77777777" w:rsidTr="00F559D9">
        <w:trPr>
          <w:trHeight w:val="148"/>
          <w:jc w:val="center"/>
        </w:trPr>
        <w:tc>
          <w:tcPr>
            <w:tcW w:w="1643" w:type="pct"/>
            <w:tcBorders>
              <w:top w:val="nil"/>
              <w:left w:val="single" w:sz="4" w:space="0" w:color="auto"/>
              <w:bottom w:val="nil"/>
              <w:right w:val="single" w:sz="4" w:space="0" w:color="auto"/>
            </w:tcBorders>
            <w:shd w:val="clear" w:color="auto" w:fill="auto"/>
            <w:vAlign w:val="center"/>
          </w:tcPr>
          <w:p w14:paraId="2549ECB2" w14:textId="77777777" w:rsidR="00C21F0E" w:rsidRPr="00F559D9" w:rsidRDefault="00C21F0E" w:rsidP="00C21F0E">
            <w:pPr>
              <w:rPr>
                <w:rFonts w:eastAsia="Calibri"/>
                <w:sz w:val="20"/>
                <w:szCs w:val="20"/>
                <w:lang w:eastAsia="en-US"/>
              </w:rPr>
            </w:pPr>
            <w:r w:rsidRPr="00F559D9">
              <w:rPr>
                <w:rFonts w:eastAsia="Calibri"/>
                <w:sz w:val="20"/>
                <w:szCs w:val="20"/>
                <w:lang w:eastAsia="en-US"/>
              </w:rPr>
              <w:t>Azufre</w:t>
            </w:r>
          </w:p>
        </w:tc>
        <w:tc>
          <w:tcPr>
            <w:tcW w:w="1258" w:type="pct"/>
            <w:tcBorders>
              <w:top w:val="nil"/>
              <w:left w:val="single" w:sz="4" w:space="0" w:color="auto"/>
              <w:bottom w:val="nil"/>
              <w:right w:val="single" w:sz="4" w:space="0" w:color="auto"/>
            </w:tcBorders>
            <w:shd w:val="clear" w:color="auto" w:fill="auto"/>
          </w:tcPr>
          <w:p w14:paraId="200A3DEF" w14:textId="77777777" w:rsidR="00C21F0E" w:rsidRPr="00F559D9" w:rsidRDefault="00C21F0E" w:rsidP="00C21F0E">
            <w:pPr>
              <w:ind w:right="340"/>
              <w:jc w:val="right"/>
              <w:rPr>
                <w:rFonts w:eastAsia="Calibri"/>
                <w:sz w:val="20"/>
                <w:szCs w:val="20"/>
                <w:lang w:eastAsia="en-US"/>
              </w:rPr>
            </w:pPr>
            <w:r w:rsidRPr="00F559D9">
              <w:rPr>
                <w:rFonts w:eastAsia="Calibri"/>
                <w:sz w:val="20"/>
                <w:szCs w:val="20"/>
                <w:lang w:eastAsia="en-US"/>
              </w:rPr>
              <w:t>91 477</w:t>
            </w:r>
          </w:p>
        </w:tc>
        <w:tc>
          <w:tcPr>
            <w:tcW w:w="1155" w:type="pct"/>
            <w:tcBorders>
              <w:top w:val="nil"/>
              <w:left w:val="single" w:sz="4" w:space="0" w:color="auto"/>
              <w:bottom w:val="nil"/>
              <w:right w:val="single" w:sz="4" w:space="0" w:color="auto"/>
            </w:tcBorders>
            <w:shd w:val="clear" w:color="auto" w:fill="auto"/>
          </w:tcPr>
          <w:p w14:paraId="43F6C86D" w14:textId="77777777" w:rsidR="00C21F0E" w:rsidRPr="00F559D9" w:rsidRDefault="00C21F0E" w:rsidP="00C21F0E">
            <w:pPr>
              <w:ind w:right="284"/>
              <w:jc w:val="right"/>
              <w:rPr>
                <w:rFonts w:eastAsia="Calibri"/>
                <w:sz w:val="20"/>
                <w:szCs w:val="20"/>
                <w:lang w:eastAsia="en-US"/>
              </w:rPr>
            </w:pPr>
            <w:r w:rsidRPr="00F559D9">
              <w:rPr>
                <w:rFonts w:eastAsia="Calibri"/>
                <w:sz w:val="20"/>
                <w:szCs w:val="20"/>
                <w:lang w:eastAsia="en-US"/>
              </w:rPr>
              <w:t>74 571</w:t>
            </w:r>
          </w:p>
        </w:tc>
        <w:tc>
          <w:tcPr>
            <w:tcW w:w="944" w:type="pct"/>
            <w:tcBorders>
              <w:top w:val="nil"/>
              <w:left w:val="single" w:sz="4" w:space="0" w:color="auto"/>
              <w:bottom w:val="nil"/>
              <w:right w:val="single" w:sz="4" w:space="0" w:color="auto"/>
            </w:tcBorders>
            <w:shd w:val="clear" w:color="auto" w:fill="auto"/>
          </w:tcPr>
          <w:p w14:paraId="6D73C5D3" w14:textId="77777777" w:rsidR="00C21F0E" w:rsidRPr="00F559D9" w:rsidRDefault="00C21F0E" w:rsidP="00C21F0E">
            <w:pPr>
              <w:ind w:right="397"/>
              <w:jc w:val="right"/>
              <w:rPr>
                <w:rFonts w:eastAsia="Calibri"/>
                <w:sz w:val="20"/>
                <w:szCs w:val="20"/>
                <w:lang w:eastAsia="en-US"/>
              </w:rPr>
            </w:pPr>
            <w:r w:rsidRPr="00F559D9">
              <w:rPr>
                <w:rFonts w:eastAsia="Calibri"/>
                <w:sz w:val="20"/>
                <w:szCs w:val="20"/>
                <w:lang w:eastAsia="en-US"/>
              </w:rPr>
              <w:t>-18.5</w:t>
            </w:r>
          </w:p>
        </w:tc>
      </w:tr>
      <w:tr w:rsidR="00C21F0E" w:rsidRPr="00C21F0E" w14:paraId="2F634CA0" w14:textId="77777777" w:rsidTr="00F559D9">
        <w:trPr>
          <w:trHeight w:val="148"/>
          <w:jc w:val="center"/>
        </w:trPr>
        <w:tc>
          <w:tcPr>
            <w:tcW w:w="5000" w:type="pct"/>
            <w:gridSpan w:val="4"/>
            <w:tcBorders>
              <w:top w:val="single" w:sz="4" w:space="0" w:color="auto"/>
              <w:left w:val="nil"/>
              <w:bottom w:val="nil"/>
              <w:right w:val="nil"/>
            </w:tcBorders>
            <w:shd w:val="clear" w:color="auto" w:fill="auto"/>
            <w:hideMark/>
          </w:tcPr>
          <w:p w14:paraId="7DC32F94" w14:textId="77777777" w:rsidR="00C21F0E" w:rsidRPr="00F559D9" w:rsidRDefault="00C21F0E" w:rsidP="00C21F0E">
            <w:pPr>
              <w:spacing w:before="120"/>
              <w:jc w:val="both"/>
              <w:rPr>
                <w:rFonts w:eastAsia="Calibri"/>
                <w:sz w:val="20"/>
                <w:szCs w:val="20"/>
                <w:u w:val="single"/>
                <w:lang w:eastAsia="en-US"/>
              </w:rPr>
            </w:pPr>
            <w:r w:rsidRPr="00F559D9">
              <w:rPr>
                <w:rFonts w:eastAsia="Calibri"/>
                <w:sz w:val="20"/>
                <w:szCs w:val="20"/>
                <w:u w:val="single"/>
                <w:lang w:eastAsia="en-US"/>
              </w:rPr>
              <w:t>p</w:t>
            </w:r>
            <w:r w:rsidRPr="00F559D9">
              <w:rPr>
                <w:rFonts w:eastAsia="Calibri"/>
                <w:sz w:val="20"/>
                <w:szCs w:val="20"/>
                <w:lang w:eastAsia="en-US"/>
              </w:rPr>
              <w:t>/ Cifras preliminares.</w:t>
            </w:r>
          </w:p>
          <w:p w14:paraId="44053102" w14:textId="77777777" w:rsidR="00C21F0E" w:rsidRPr="00F559D9" w:rsidRDefault="00C21F0E" w:rsidP="00C21F0E">
            <w:pPr>
              <w:jc w:val="both"/>
              <w:rPr>
                <w:rFonts w:eastAsia="Calibri"/>
                <w:sz w:val="20"/>
                <w:szCs w:val="20"/>
                <w:lang w:eastAsia="en-US"/>
              </w:rPr>
            </w:pPr>
            <w:r w:rsidRPr="00F559D9">
              <w:rPr>
                <w:rFonts w:eastAsia="Calibri"/>
                <w:sz w:val="20"/>
                <w:szCs w:val="20"/>
                <w:u w:val="single"/>
                <w:lang w:eastAsia="en-US"/>
              </w:rPr>
              <w:t>1</w:t>
            </w:r>
            <w:r w:rsidRPr="00F559D9">
              <w:rPr>
                <w:rFonts w:eastAsia="Calibri"/>
                <w:sz w:val="20"/>
                <w:szCs w:val="20"/>
                <w:lang w:eastAsia="en-US"/>
              </w:rPr>
              <w:t>/ Excepto el oro y la plata que son kilogramos.</w:t>
            </w:r>
          </w:p>
          <w:p w14:paraId="1635F777" w14:textId="77777777" w:rsidR="00C21F0E" w:rsidRPr="00F559D9" w:rsidRDefault="00C21F0E" w:rsidP="00C21F0E">
            <w:pPr>
              <w:jc w:val="both"/>
              <w:rPr>
                <w:rFonts w:eastAsia="Calibri"/>
                <w:sz w:val="20"/>
                <w:szCs w:val="20"/>
                <w:lang w:eastAsia="en-US"/>
              </w:rPr>
            </w:pPr>
            <w:r w:rsidRPr="00F559D9">
              <w:rPr>
                <w:rFonts w:eastAsia="Calibri"/>
                <w:sz w:val="20"/>
                <w:szCs w:val="20"/>
                <w:lang w:eastAsia="en-US"/>
              </w:rPr>
              <w:t>FUENTE: INEGI.</w:t>
            </w:r>
          </w:p>
        </w:tc>
      </w:tr>
    </w:tbl>
    <w:p w14:paraId="0F7F590A" w14:textId="77777777" w:rsidR="00C21F0E" w:rsidRPr="00C21F0E" w:rsidRDefault="00C21F0E" w:rsidP="00C21F0E">
      <w:pPr>
        <w:spacing w:after="360" w:line="360" w:lineRule="auto"/>
        <w:ind w:right="-159"/>
        <w:jc w:val="center"/>
        <w:rPr>
          <w:rFonts w:eastAsia="Calibri"/>
          <w:sz w:val="26"/>
          <w:szCs w:val="26"/>
          <w:lang w:eastAsia="en-US"/>
        </w:rPr>
      </w:pPr>
    </w:p>
    <w:p w14:paraId="23878FFA" w14:textId="77777777" w:rsidR="00C21F0E" w:rsidRPr="00C21F0E" w:rsidRDefault="00C21F0E" w:rsidP="00C21F0E">
      <w:pPr>
        <w:spacing w:after="360" w:line="360" w:lineRule="auto"/>
        <w:ind w:right="-159"/>
        <w:jc w:val="both"/>
        <w:rPr>
          <w:rFonts w:eastAsia="Calibri"/>
          <w:sz w:val="26"/>
          <w:szCs w:val="26"/>
          <w:lang w:eastAsia="en-US"/>
        </w:rPr>
      </w:pPr>
      <w:r w:rsidRPr="00C21F0E">
        <w:rPr>
          <w:rFonts w:eastAsia="Calibri"/>
          <w:sz w:val="26"/>
          <w:szCs w:val="26"/>
          <w:lang w:eastAsia="en-US"/>
        </w:rPr>
        <w:t>Durante el año pasado, el índice de volumen físico de la producción minerometalúrgica disminuyó 1.7% respecto a 2013, debido a una menor producción de oro, plomo, carbón no coquizable, plata, pellets de fierro, fluorita y zinc. Por su parte, creció la de cobre, yeso, coque y azufre en el período de referencia.</w:t>
      </w:r>
    </w:p>
    <w:p w14:paraId="22AB3E44" w14:textId="6E96245C" w:rsidR="00C21F0E" w:rsidRPr="00C21F0E" w:rsidRDefault="00C21F0E" w:rsidP="00C21F0E">
      <w:pPr>
        <w:spacing w:after="360" w:line="360" w:lineRule="auto"/>
        <w:ind w:right="-159"/>
        <w:jc w:val="center"/>
        <w:rPr>
          <w:rFonts w:eastAsia="Calibri"/>
          <w:sz w:val="26"/>
          <w:szCs w:val="26"/>
          <w:lang w:eastAsia="en-US"/>
        </w:rPr>
      </w:pPr>
      <w:r w:rsidRPr="00C21F0E">
        <w:rPr>
          <w:rFonts w:eastAsia="Calibri"/>
          <w:sz w:val="26"/>
          <w:szCs w:val="26"/>
          <w:lang w:eastAsia="en-US"/>
        </w:rPr>
        <w:lastRenderedPageBreak/>
        <w:fldChar w:fldCharType="begin"/>
      </w:r>
      <w:r w:rsidRPr="00C21F0E">
        <w:rPr>
          <w:rFonts w:eastAsia="Calibri"/>
          <w:sz w:val="26"/>
          <w:szCs w:val="26"/>
          <w:lang w:eastAsia="en-US"/>
        </w:rPr>
        <w:instrText xml:space="preserve"> LINK PowerPoint.Slide.8 "D:\\2015\\MARZO 2014\\GRÁFICAS EN POWER POINT\\3.- GRÁFICAS DE MINERÍA.pptx!266" "" \a \p </w:instrText>
      </w:r>
      <w:r w:rsidRPr="00C21F0E">
        <w:rPr>
          <w:rFonts w:eastAsia="Calibri"/>
          <w:sz w:val="26"/>
          <w:szCs w:val="26"/>
          <w:lang w:eastAsia="en-US"/>
        </w:rPr>
        <w:fldChar w:fldCharType="separate"/>
      </w:r>
      <w:r w:rsidRPr="00C21F0E">
        <w:rPr>
          <w:rFonts w:eastAsia="Calibri"/>
          <w:noProof/>
          <w:sz w:val="26"/>
          <w:szCs w:val="26"/>
          <w:lang w:eastAsia="es-MX"/>
        </w:rPr>
        <w:drawing>
          <wp:inline distT="0" distB="0" distL="0" distR="0" wp14:anchorId="3F1B7524" wp14:editId="058586EF">
            <wp:extent cx="5313680" cy="3422650"/>
            <wp:effectExtent l="0" t="0" r="1270" b="635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ChangeAspect="1" noChangeArrowheads="1"/>
                    </pic:cNvPicPr>
                  </pic:nvPicPr>
                  <pic:blipFill>
                    <a:blip r:embed="rId131" cstate="print">
                      <a:extLst>
                        <a:ext uri="{28A0092B-C50C-407E-A947-70E740481C1C}">
                          <a14:useLocalDpi xmlns:a14="http://schemas.microsoft.com/office/drawing/2010/main" val="0"/>
                        </a:ext>
                      </a:extLst>
                    </a:blip>
                    <a:srcRect l="4596" r="7968"/>
                    <a:stretch>
                      <a:fillRect/>
                    </a:stretch>
                  </pic:blipFill>
                  <pic:spPr bwMode="auto">
                    <a:xfrm>
                      <a:off x="0" y="0"/>
                      <a:ext cx="5313680" cy="3422650"/>
                    </a:xfrm>
                    <a:prstGeom prst="rect">
                      <a:avLst/>
                    </a:prstGeom>
                    <a:noFill/>
                    <a:ln>
                      <a:noFill/>
                    </a:ln>
                  </pic:spPr>
                </pic:pic>
              </a:graphicData>
            </a:graphic>
          </wp:inline>
        </w:drawing>
      </w:r>
      <w:r w:rsidRPr="00C21F0E">
        <w:rPr>
          <w:rFonts w:eastAsia="Calibri"/>
          <w:sz w:val="26"/>
          <w:szCs w:val="26"/>
          <w:lang w:eastAsia="en-US"/>
        </w:rPr>
        <w:fldChar w:fldCharType="end"/>
      </w:r>
    </w:p>
    <w:p w14:paraId="1E808561" w14:textId="77777777" w:rsidR="00C21F0E" w:rsidRPr="00C21F0E" w:rsidRDefault="00C21F0E" w:rsidP="00C21F0E">
      <w:pPr>
        <w:spacing w:after="360" w:line="360" w:lineRule="auto"/>
        <w:ind w:right="-159"/>
        <w:jc w:val="both"/>
        <w:rPr>
          <w:rFonts w:eastAsia="Calibri"/>
          <w:sz w:val="26"/>
          <w:szCs w:val="26"/>
          <w:lang w:eastAsia="en-US"/>
        </w:rPr>
      </w:pPr>
      <w:r w:rsidRPr="00C21F0E">
        <w:rPr>
          <w:rFonts w:eastAsia="Calibri"/>
          <w:sz w:val="26"/>
          <w:szCs w:val="26"/>
          <w:lang w:eastAsia="en-US"/>
        </w:rPr>
        <w:t>La Producción Minera por Entidad Federativa (referida únicamente a las actividades de extracción y beneficio de minerales metálicos y no metálicos) mostró los siguientes resultados en el mes en cuestión, de los principales metales y minerales:</w:t>
      </w:r>
    </w:p>
    <w:p w14:paraId="4389A970" w14:textId="77777777" w:rsidR="00C21F0E" w:rsidRPr="00C21F0E" w:rsidRDefault="00C21F0E" w:rsidP="00C21F0E">
      <w:pPr>
        <w:spacing w:after="360" w:line="360" w:lineRule="auto"/>
        <w:ind w:right="-159"/>
        <w:jc w:val="both"/>
        <w:rPr>
          <w:rFonts w:eastAsia="Calibri"/>
          <w:sz w:val="26"/>
          <w:szCs w:val="26"/>
          <w:lang w:eastAsia="en-US"/>
        </w:rPr>
      </w:pPr>
      <w:r w:rsidRPr="00C21F0E">
        <w:rPr>
          <w:rFonts w:eastAsia="Calibri"/>
          <w:sz w:val="26"/>
          <w:szCs w:val="26"/>
          <w:lang w:eastAsia="en-US"/>
        </w:rPr>
        <w:t>La mayor producción de oro se concentró en Zacatecas que aportó 26.4% del total nacional, Sonora 24.3%, Chihuahua 17.4%, Durango 11.2% y Guerrero 7.5%; mientras que Guanajuato, Estado de México, Oaxaca, San Luis Potosí, Sinaloa y otras entidades produjeron en forma conjunta 13.2 por ciento.</w:t>
      </w:r>
    </w:p>
    <w:p w14:paraId="1336074E" w14:textId="77777777" w:rsidR="00C21F0E" w:rsidRDefault="00C21F0E" w:rsidP="00C21F0E">
      <w:pPr>
        <w:spacing w:after="360" w:line="360" w:lineRule="auto"/>
        <w:ind w:right="-159"/>
        <w:jc w:val="both"/>
        <w:rPr>
          <w:rFonts w:eastAsia="Calibri"/>
          <w:sz w:val="26"/>
          <w:szCs w:val="26"/>
          <w:lang w:eastAsia="en-US"/>
        </w:rPr>
      </w:pPr>
      <w:r w:rsidRPr="00C21F0E">
        <w:rPr>
          <w:rFonts w:eastAsia="Calibri"/>
          <w:sz w:val="26"/>
          <w:szCs w:val="26"/>
          <w:lang w:eastAsia="en-US"/>
        </w:rPr>
        <w:t>La extracción y beneficio de plata se realizó en cuatro estados, principalmente: Zacatecas que contribuyó con 45.2%, Chihuahua 17%, Durango 11.7% y Sonora 6%; en tanto que el 20.1% se reportó en Coahuila de Zaragoza, Guanajuato, Guerrero, Estado de México, Oaxaca, San Luis Potosí, Sinaloa y otros estados.</w:t>
      </w:r>
    </w:p>
    <w:p w14:paraId="3E26DDCA" w14:textId="77777777" w:rsidR="00E53D8D" w:rsidRPr="00C21F0E" w:rsidRDefault="00E53D8D" w:rsidP="00C21F0E">
      <w:pPr>
        <w:spacing w:after="360" w:line="360" w:lineRule="auto"/>
        <w:ind w:right="-159"/>
        <w:jc w:val="both"/>
        <w:rPr>
          <w:rFonts w:eastAsia="Calibri"/>
          <w:sz w:val="26"/>
          <w:szCs w:val="26"/>
          <w:lang w:eastAsia="en-US"/>
        </w:rPr>
      </w:pPr>
    </w:p>
    <w:tbl>
      <w:tblPr>
        <w:tblW w:w="0" w:type="auto"/>
        <w:jc w:val="center"/>
        <w:tblLook w:val="04A0" w:firstRow="1" w:lastRow="0" w:firstColumn="1" w:lastColumn="0" w:noHBand="0" w:noVBand="1"/>
      </w:tblPr>
      <w:tblGrid>
        <w:gridCol w:w="2922"/>
        <w:gridCol w:w="1418"/>
        <w:gridCol w:w="1330"/>
        <w:gridCol w:w="1679"/>
      </w:tblGrid>
      <w:tr w:rsidR="00C21F0E" w:rsidRPr="00C21F0E" w14:paraId="54F53ECE" w14:textId="77777777" w:rsidTr="001E7D79">
        <w:trPr>
          <w:trHeight w:val="602"/>
          <w:jc w:val="center"/>
        </w:trPr>
        <w:tc>
          <w:tcPr>
            <w:tcW w:w="7349" w:type="dxa"/>
            <w:gridSpan w:val="4"/>
            <w:tcBorders>
              <w:top w:val="nil"/>
              <w:left w:val="nil"/>
              <w:bottom w:val="single" w:sz="4" w:space="0" w:color="auto"/>
              <w:right w:val="nil"/>
            </w:tcBorders>
          </w:tcPr>
          <w:p w14:paraId="1AC2F81B" w14:textId="77777777" w:rsidR="00C21F0E" w:rsidRPr="00C21F0E" w:rsidRDefault="00C21F0E" w:rsidP="00C21F0E">
            <w:pPr>
              <w:autoSpaceDE w:val="0"/>
              <w:autoSpaceDN w:val="0"/>
              <w:adjustRightInd w:val="0"/>
              <w:spacing w:line="0" w:lineRule="atLeast"/>
              <w:jc w:val="center"/>
              <w:rPr>
                <w:rFonts w:eastAsia="Calibri"/>
                <w:b/>
                <w:bCs/>
                <w:sz w:val="20"/>
                <w:szCs w:val="20"/>
                <w:lang w:eastAsia="en-US"/>
              </w:rPr>
            </w:pPr>
            <w:r w:rsidRPr="00C21F0E">
              <w:rPr>
                <w:rFonts w:eastAsia="Calibri"/>
                <w:b/>
                <w:bCs/>
                <w:sz w:val="20"/>
                <w:szCs w:val="20"/>
                <w:lang w:eastAsia="en-US"/>
              </w:rPr>
              <w:lastRenderedPageBreak/>
              <w:t>PRODUCCIÓN MINERA SEGÚN</w:t>
            </w:r>
          </w:p>
          <w:p w14:paraId="44B4E333" w14:textId="77777777" w:rsidR="00C21F0E" w:rsidRPr="00C21F0E" w:rsidRDefault="00C21F0E" w:rsidP="00C21F0E">
            <w:pPr>
              <w:autoSpaceDE w:val="0"/>
              <w:autoSpaceDN w:val="0"/>
              <w:adjustRightInd w:val="0"/>
              <w:spacing w:line="0" w:lineRule="atLeast"/>
              <w:jc w:val="center"/>
              <w:rPr>
                <w:rFonts w:eastAsia="Calibri"/>
                <w:b/>
                <w:bCs/>
                <w:sz w:val="20"/>
                <w:szCs w:val="20"/>
                <w:lang w:eastAsia="en-US"/>
              </w:rPr>
            </w:pPr>
            <w:r w:rsidRPr="00C21F0E">
              <w:rPr>
                <w:rFonts w:eastAsia="Calibri"/>
                <w:b/>
                <w:bCs/>
                <w:sz w:val="20"/>
                <w:szCs w:val="20"/>
                <w:lang w:eastAsia="en-US"/>
              </w:rPr>
              <w:t>PRINCIPALES ESTADOS PRODUCTORES</w:t>
            </w:r>
          </w:p>
          <w:p w14:paraId="6A7CE8A0" w14:textId="77777777" w:rsidR="00C21F0E" w:rsidRPr="00C21F0E" w:rsidRDefault="00C21F0E" w:rsidP="00C21F0E">
            <w:pPr>
              <w:jc w:val="center"/>
              <w:rPr>
                <w:rFonts w:eastAsia="Calibri"/>
                <w:sz w:val="20"/>
                <w:szCs w:val="20"/>
                <w:lang w:eastAsia="en-US"/>
              </w:rPr>
            </w:pPr>
            <w:r w:rsidRPr="00C21F0E">
              <w:rPr>
                <w:rFonts w:eastAsia="Calibri"/>
                <w:b/>
                <w:sz w:val="20"/>
                <w:szCs w:val="20"/>
                <w:lang w:eastAsia="en-US"/>
              </w:rPr>
              <w:t xml:space="preserve">-Toneladas </w:t>
            </w:r>
            <w:r w:rsidRPr="00C21F0E">
              <w:rPr>
                <w:rFonts w:eastAsia="Calibri"/>
                <w:b/>
                <w:sz w:val="20"/>
                <w:szCs w:val="20"/>
                <w:u w:val="single"/>
                <w:vertAlign w:val="superscript"/>
                <w:lang w:eastAsia="en-US"/>
              </w:rPr>
              <w:t>1</w:t>
            </w:r>
            <w:r w:rsidRPr="00C21F0E">
              <w:rPr>
                <w:rFonts w:eastAsia="Calibri"/>
                <w:b/>
                <w:sz w:val="20"/>
                <w:szCs w:val="20"/>
                <w:vertAlign w:val="superscript"/>
                <w:lang w:eastAsia="en-US"/>
              </w:rPr>
              <w:t>/</w:t>
            </w:r>
            <w:r w:rsidRPr="00C21F0E">
              <w:rPr>
                <w:rFonts w:eastAsia="Calibri"/>
                <w:b/>
                <w:sz w:val="20"/>
                <w:szCs w:val="20"/>
                <w:lang w:eastAsia="en-US"/>
              </w:rPr>
              <w:t>-</w:t>
            </w:r>
          </w:p>
        </w:tc>
      </w:tr>
      <w:tr w:rsidR="00C21F0E" w:rsidRPr="00C21F0E" w14:paraId="4737B702" w14:textId="77777777" w:rsidTr="001E7D79">
        <w:trPr>
          <w:jc w:val="center"/>
        </w:trPr>
        <w:tc>
          <w:tcPr>
            <w:tcW w:w="2922" w:type="dxa"/>
            <w:vMerge w:val="restart"/>
            <w:tcBorders>
              <w:top w:val="single" w:sz="4" w:space="0" w:color="auto"/>
              <w:left w:val="single" w:sz="4" w:space="0" w:color="auto"/>
              <w:bottom w:val="single" w:sz="4" w:space="0" w:color="auto"/>
              <w:right w:val="single" w:sz="4" w:space="0" w:color="auto"/>
            </w:tcBorders>
            <w:vAlign w:val="center"/>
          </w:tcPr>
          <w:p w14:paraId="5F774844" w14:textId="77777777" w:rsidR="00C21F0E" w:rsidRPr="00C21F0E" w:rsidRDefault="00C21F0E" w:rsidP="00BB7F01">
            <w:pPr>
              <w:jc w:val="center"/>
              <w:rPr>
                <w:rFonts w:eastAsia="Calibri"/>
                <w:sz w:val="18"/>
                <w:szCs w:val="18"/>
                <w:lang w:eastAsia="en-US"/>
              </w:rPr>
            </w:pPr>
            <w:r w:rsidRPr="00C21F0E">
              <w:rPr>
                <w:rFonts w:eastAsia="Calibri"/>
                <w:b/>
                <w:sz w:val="18"/>
                <w:szCs w:val="18"/>
                <w:lang w:eastAsia="en-US"/>
              </w:rPr>
              <w:t>Mineral/Estado</w:t>
            </w:r>
          </w:p>
        </w:tc>
        <w:tc>
          <w:tcPr>
            <w:tcW w:w="2748" w:type="dxa"/>
            <w:gridSpan w:val="2"/>
            <w:tcBorders>
              <w:top w:val="single" w:sz="4" w:space="0" w:color="auto"/>
              <w:left w:val="single" w:sz="4" w:space="0" w:color="auto"/>
              <w:bottom w:val="single" w:sz="4" w:space="0" w:color="auto"/>
              <w:right w:val="single" w:sz="4" w:space="0" w:color="auto"/>
            </w:tcBorders>
            <w:vAlign w:val="center"/>
          </w:tcPr>
          <w:p w14:paraId="7E1C33F6" w14:textId="77777777" w:rsidR="00C21F0E" w:rsidRPr="00C21F0E" w:rsidRDefault="00C21F0E" w:rsidP="00C21F0E">
            <w:pPr>
              <w:jc w:val="center"/>
              <w:rPr>
                <w:rFonts w:eastAsia="Calibri"/>
                <w:b/>
                <w:sz w:val="18"/>
                <w:szCs w:val="18"/>
                <w:lang w:eastAsia="en-US"/>
              </w:rPr>
            </w:pPr>
            <w:r w:rsidRPr="00C21F0E">
              <w:rPr>
                <w:rFonts w:eastAsia="Calibri"/>
                <w:b/>
                <w:sz w:val="18"/>
                <w:szCs w:val="18"/>
                <w:lang w:eastAsia="en-US"/>
              </w:rPr>
              <w:t>Diciembre</w:t>
            </w:r>
          </w:p>
        </w:tc>
        <w:tc>
          <w:tcPr>
            <w:tcW w:w="1679" w:type="dxa"/>
            <w:vMerge w:val="restart"/>
            <w:tcBorders>
              <w:top w:val="single" w:sz="4" w:space="0" w:color="auto"/>
              <w:left w:val="single" w:sz="4" w:space="0" w:color="auto"/>
              <w:bottom w:val="single" w:sz="4" w:space="0" w:color="auto"/>
              <w:right w:val="single" w:sz="4" w:space="0" w:color="auto"/>
            </w:tcBorders>
            <w:vAlign w:val="center"/>
          </w:tcPr>
          <w:p w14:paraId="1B026DB7" w14:textId="77777777" w:rsidR="00C21F0E" w:rsidRPr="00C21F0E" w:rsidRDefault="00C21F0E" w:rsidP="00C21F0E">
            <w:pPr>
              <w:jc w:val="center"/>
              <w:rPr>
                <w:rFonts w:eastAsia="Calibri"/>
                <w:b/>
                <w:sz w:val="18"/>
                <w:szCs w:val="18"/>
                <w:lang w:eastAsia="en-US"/>
              </w:rPr>
            </w:pPr>
            <w:r w:rsidRPr="00C21F0E">
              <w:rPr>
                <w:rFonts w:eastAsia="Calibri"/>
                <w:b/>
                <w:sz w:val="18"/>
                <w:szCs w:val="18"/>
                <w:lang w:eastAsia="en-US"/>
              </w:rPr>
              <w:t>Variación porcentual anual</w:t>
            </w:r>
          </w:p>
        </w:tc>
      </w:tr>
      <w:tr w:rsidR="00C21F0E" w:rsidRPr="00C21F0E" w14:paraId="48EF0FFF" w14:textId="77777777" w:rsidTr="001E7D79">
        <w:trPr>
          <w:jc w:val="center"/>
        </w:trPr>
        <w:tc>
          <w:tcPr>
            <w:tcW w:w="2922" w:type="dxa"/>
            <w:vMerge/>
            <w:tcBorders>
              <w:top w:val="single" w:sz="4" w:space="0" w:color="auto"/>
              <w:left w:val="single" w:sz="4" w:space="0" w:color="auto"/>
              <w:bottom w:val="single" w:sz="4" w:space="0" w:color="auto"/>
              <w:right w:val="single" w:sz="4" w:space="0" w:color="auto"/>
            </w:tcBorders>
          </w:tcPr>
          <w:p w14:paraId="3F74A40A" w14:textId="77777777" w:rsidR="00C21F0E" w:rsidRPr="00C21F0E" w:rsidRDefault="00C21F0E" w:rsidP="00C21F0E">
            <w:pPr>
              <w:rPr>
                <w:rFonts w:eastAsia="Calibri"/>
                <w:sz w:val="18"/>
                <w:szCs w:val="18"/>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78C5E514" w14:textId="77777777" w:rsidR="00C21F0E" w:rsidRPr="00C21F0E" w:rsidRDefault="00C21F0E" w:rsidP="00C21F0E">
            <w:pPr>
              <w:jc w:val="center"/>
              <w:rPr>
                <w:rFonts w:eastAsia="Calibri"/>
                <w:b/>
                <w:sz w:val="18"/>
                <w:szCs w:val="18"/>
                <w:lang w:eastAsia="en-US"/>
              </w:rPr>
            </w:pPr>
            <w:r w:rsidRPr="00C21F0E">
              <w:rPr>
                <w:rFonts w:eastAsia="Calibri"/>
                <w:b/>
                <w:sz w:val="18"/>
                <w:szCs w:val="18"/>
                <w:lang w:eastAsia="en-US"/>
              </w:rPr>
              <w:t>2013</w:t>
            </w:r>
          </w:p>
        </w:tc>
        <w:tc>
          <w:tcPr>
            <w:tcW w:w="1330" w:type="dxa"/>
            <w:tcBorders>
              <w:top w:val="single" w:sz="4" w:space="0" w:color="auto"/>
              <w:left w:val="single" w:sz="4" w:space="0" w:color="auto"/>
              <w:bottom w:val="single" w:sz="4" w:space="0" w:color="auto"/>
              <w:right w:val="single" w:sz="4" w:space="0" w:color="auto"/>
            </w:tcBorders>
            <w:vAlign w:val="center"/>
          </w:tcPr>
          <w:p w14:paraId="5AF21B1D" w14:textId="77777777" w:rsidR="00C21F0E" w:rsidRPr="00C21F0E" w:rsidRDefault="00C21F0E" w:rsidP="00C21F0E">
            <w:pPr>
              <w:jc w:val="center"/>
              <w:rPr>
                <w:rFonts w:eastAsia="Calibri"/>
                <w:b/>
                <w:sz w:val="18"/>
                <w:szCs w:val="18"/>
                <w:lang w:eastAsia="en-US"/>
              </w:rPr>
            </w:pPr>
            <w:r w:rsidRPr="00C21F0E">
              <w:rPr>
                <w:rFonts w:eastAsia="Calibri"/>
                <w:b/>
                <w:sz w:val="18"/>
                <w:szCs w:val="18"/>
                <w:lang w:eastAsia="en-US"/>
              </w:rPr>
              <w:t>2014</w:t>
            </w:r>
            <w:r w:rsidRPr="00C21F0E">
              <w:rPr>
                <w:rFonts w:eastAsia="Calibri"/>
                <w:b/>
                <w:sz w:val="20"/>
                <w:szCs w:val="20"/>
                <w:vertAlign w:val="superscript"/>
                <w:lang w:eastAsia="en-US"/>
              </w:rPr>
              <w:t xml:space="preserve"> </w:t>
            </w:r>
            <w:r w:rsidRPr="00C21F0E">
              <w:rPr>
                <w:rFonts w:eastAsia="Calibri"/>
                <w:b/>
                <w:sz w:val="20"/>
                <w:szCs w:val="20"/>
                <w:u w:val="single"/>
                <w:vertAlign w:val="superscript"/>
                <w:lang w:eastAsia="en-US"/>
              </w:rPr>
              <w:t>p</w:t>
            </w:r>
            <w:r w:rsidRPr="00C21F0E">
              <w:rPr>
                <w:rFonts w:eastAsia="Calibri"/>
                <w:b/>
                <w:sz w:val="20"/>
                <w:szCs w:val="20"/>
                <w:vertAlign w:val="superscript"/>
                <w:lang w:eastAsia="en-US"/>
              </w:rPr>
              <w:t>/</w:t>
            </w:r>
          </w:p>
        </w:tc>
        <w:tc>
          <w:tcPr>
            <w:tcW w:w="1679" w:type="dxa"/>
            <w:vMerge/>
            <w:tcBorders>
              <w:top w:val="single" w:sz="4" w:space="0" w:color="auto"/>
              <w:left w:val="single" w:sz="4" w:space="0" w:color="auto"/>
              <w:bottom w:val="single" w:sz="4" w:space="0" w:color="auto"/>
              <w:right w:val="single" w:sz="4" w:space="0" w:color="auto"/>
            </w:tcBorders>
          </w:tcPr>
          <w:p w14:paraId="15070247" w14:textId="77777777" w:rsidR="00C21F0E" w:rsidRPr="00C21F0E" w:rsidRDefault="00C21F0E" w:rsidP="00C21F0E">
            <w:pPr>
              <w:rPr>
                <w:rFonts w:eastAsia="Calibri"/>
                <w:sz w:val="18"/>
                <w:szCs w:val="18"/>
                <w:lang w:eastAsia="en-US"/>
              </w:rPr>
            </w:pPr>
          </w:p>
        </w:tc>
      </w:tr>
      <w:tr w:rsidR="00C21F0E" w:rsidRPr="00C21F0E" w14:paraId="6679437A" w14:textId="77777777" w:rsidTr="001E7D79">
        <w:trPr>
          <w:jc w:val="center"/>
        </w:trPr>
        <w:tc>
          <w:tcPr>
            <w:tcW w:w="2922" w:type="dxa"/>
            <w:tcBorders>
              <w:top w:val="single" w:sz="4" w:space="0" w:color="auto"/>
              <w:left w:val="single" w:sz="4" w:space="0" w:color="auto"/>
              <w:right w:val="single" w:sz="4" w:space="0" w:color="auto"/>
            </w:tcBorders>
            <w:vAlign w:val="center"/>
          </w:tcPr>
          <w:p w14:paraId="164577F1" w14:textId="77777777" w:rsidR="00C21F0E" w:rsidRPr="00C21F0E" w:rsidRDefault="00C21F0E" w:rsidP="00C21F0E">
            <w:pPr>
              <w:spacing w:line="0" w:lineRule="atLeast"/>
              <w:rPr>
                <w:rFonts w:eastAsia="Calibri"/>
                <w:b/>
                <w:sz w:val="18"/>
                <w:szCs w:val="18"/>
                <w:lang w:eastAsia="en-US"/>
              </w:rPr>
            </w:pPr>
            <w:r w:rsidRPr="00C21F0E">
              <w:rPr>
                <w:rFonts w:eastAsia="Calibri"/>
                <w:b/>
                <w:sz w:val="18"/>
                <w:szCs w:val="18"/>
                <w:lang w:eastAsia="en-US"/>
              </w:rPr>
              <w:t>Oro</w:t>
            </w:r>
          </w:p>
        </w:tc>
        <w:tc>
          <w:tcPr>
            <w:tcW w:w="1418" w:type="dxa"/>
            <w:tcBorders>
              <w:top w:val="single" w:sz="4" w:space="0" w:color="auto"/>
              <w:left w:val="single" w:sz="4" w:space="0" w:color="auto"/>
              <w:right w:val="single" w:sz="4" w:space="0" w:color="auto"/>
            </w:tcBorders>
            <w:vAlign w:val="center"/>
          </w:tcPr>
          <w:p w14:paraId="021704EA" w14:textId="77777777" w:rsidR="00C21F0E" w:rsidRPr="00C21F0E" w:rsidRDefault="00C21F0E" w:rsidP="00C21F0E">
            <w:pPr>
              <w:spacing w:line="0" w:lineRule="atLeast"/>
              <w:ind w:right="227"/>
              <w:jc w:val="right"/>
              <w:rPr>
                <w:rFonts w:eastAsia="Calibri"/>
                <w:b/>
                <w:sz w:val="18"/>
                <w:szCs w:val="18"/>
                <w:lang w:eastAsia="en-US"/>
              </w:rPr>
            </w:pPr>
            <w:r w:rsidRPr="00C21F0E">
              <w:rPr>
                <w:rFonts w:eastAsia="Calibri"/>
                <w:b/>
                <w:sz w:val="18"/>
                <w:szCs w:val="18"/>
                <w:lang w:eastAsia="en-US"/>
              </w:rPr>
              <w:t>11 447</w:t>
            </w:r>
          </w:p>
        </w:tc>
        <w:tc>
          <w:tcPr>
            <w:tcW w:w="1330" w:type="dxa"/>
            <w:tcBorders>
              <w:top w:val="single" w:sz="4" w:space="0" w:color="auto"/>
              <w:left w:val="single" w:sz="4" w:space="0" w:color="auto"/>
              <w:right w:val="single" w:sz="4" w:space="0" w:color="auto"/>
            </w:tcBorders>
          </w:tcPr>
          <w:p w14:paraId="48242680" w14:textId="77777777" w:rsidR="00C21F0E" w:rsidRPr="00C21F0E" w:rsidRDefault="00C21F0E" w:rsidP="00C21F0E">
            <w:pPr>
              <w:spacing w:line="0" w:lineRule="atLeast"/>
              <w:ind w:right="227"/>
              <w:jc w:val="right"/>
              <w:rPr>
                <w:rFonts w:eastAsia="Calibri"/>
                <w:b/>
                <w:sz w:val="18"/>
                <w:szCs w:val="18"/>
                <w:lang w:eastAsia="en-US"/>
              </w:rPr>
            </w:pPr>
            <w:r w:rsidRPr="00C21F0E">
              <w:rPr>
                <w:rFonts w:eastAsia="Calibri"/>
                <w:b/>
                <w:sz w:val="18"/>
                <w:szCs w:val="18"/>
                <w:lang w:eastAsia="en-US"/>
              </w:rPr>
              <w:t>11 410</w:t>
            </w:r>
          </w:p>
        </w:tc>
        <w:tc>
          <w:tcPr>
            <w:tcW w:w="1679" w:type="dxa"/>
            <w:tcBorders>
              <w:top w:val="single" w:sz="4" w:space="0" w:color="auto"/>
              <w:left w:val="single" w:sz="4" w:space="0" w:color="auto"/>
              <w:right w:val="single" w:sz="4" w:space="0" w:color="auto"/>
            </w:tcBorders>
          </w:tcPr>
          <w:p w14:paraId="2DE5DDC3" w14:textId="77777777" w:rsidR="00C21F0E" w:rsidRPr="00C21F0E" w:rsidRDefault="00C21F0E" w:rsidP="00C21F0E">
            <w:pPr>
              <w:spacing w:line="0" w:lineRule="atLeast"/>
              <w:ind w:right="510"/>
              <w:jc w:val="right"/>
              <w:rPr>
                <w:rFonts w:eastAsia="Calibri"/>
                <w:b/>
                <w:sz w:val="18"/>
                <w:szCs w:val="18"/>
                <w:lang w:eastAsia="en-US"/>
              </w:rPr>
            </w:pPr>
            <w:r w:rsidRPr="00C21F0E">
              <w:rPr>
                <w:rFonts w:eastAsia="Calibri"/>
                <w:b/>
                <w:sz w:val="18"/>
                <w:szCs w:val="18"/>
                <w:lang w:eastAsia="en-US"/>
              </w:rPr>
              <w:t>-0.3</w:t>
            </w:r>
          </w:p>
        </w:tc>
      </w:tr>
      <w:tr w:rsidR="00C21F0E" w:rsidRPr="00C21F0E" w14:paraId="00473250" w14:textId="77777777" w:rsidTr="001E7D79">
        <w:trPr>
          <w:jc w:val="center"/>
        </w:trPr>
        <w:tc>
          <w:tcPr>
            <w:tcW w:w="2922" w:type="dxa"/>
            <w:tcBorders>
              <w:left w:val="single" w:sz="4" w:space="0" w:color="auto"/>
              <w:right w:val="single" w:sz="4" w:space="0" w:color="auto"/>
            </w:tcBorders>
            <w:vAlign w:val="center"/>
          </w:tcPr>
          <w:p w14:paraId="551E7DA7" w14:textId="77777777" w:rsidR="00C21F0E" w:rsidRPr="00C21F0E" w:rsidRDefault="00C21F0E" w:rsidP="00C21F0E">
            <w:pPr>
              <w:spacing w:line="0" w:lineRule="atLeast"/>
              <w:rPr>
                <w:rFonts w:eastAsia="Calibri"/>
                <w:sz w:val="18"/>
                <w:szCs w:val="18"/>
                <w:lang w:eastAsia="en-US"/>
              </w:rPr>
            </w:pPr>
            <w:r w:rsidRPr="00C21F0E">
              <w:rPr>
                <w:rFonts w:eastAsia="Calibri"/>
                <w:sz w:val="18"/>
                <w:szCs w:val="18"/>
                <w:lang w:eastAsia="en-US"/>
              </w:rPr>
              <w:t>Zacatecas</w:t>
            </w:r>
          </w:p>
        </w:tc>
        <w:tc>
          <w:tcPr>
            <w:tcW w:w="1418" w:type="dxa"/>
            <w:tcBorders>
              <w:left w:val="single" w:sz="4" w:space="0" w:color="auto"/>
              <w:right w:val="single" w:sz="4" w:space="0" w:color="auto"/>
            </w:tcBorders>
            <w:vAlign w:val="center"/>
          </w:tcPr>
          <w:p w14:paraId="0DC763CF"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2 066</w:t>
            </w:r>
          </w:p>
        </w:tc>
        <w:tc>
          <w:tcPr>
            <w:tcW w:w="1330" w:type="dxa"/>
            <w:tcBorders>
              <w:left w:val="single" w:sz="4" w:space="0" w:color="auto"/>
              <w:right w:val="single" w:sz="4" w:space="0" w:color="auto"/>
            </w:tcBorders>
          </w:tcPr>
          <w:p w14:paraId="354CC482"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3 015</w:t>
            </w:r>
          </w:p>
        </w:tc>
        <w:tc>
          <w:tcPr>
            <w:tcW w:w="1679" w:type="dxa"/>
            <w:tcBorders>
              <w:left w:val="single" w:sz="4" w:space="0" w:color="auto"/>
              <w:right w:val="single" w:sz="4" w:space="0" w:color="auto"/>
            </w:tcBorders>
          </w:tcPr>
          <w:p w14:paraId="5D1B6D91" w14:textId="77777777" w:rsidR="00C21F0E" w:rsidRPr="00C21F0E" w:rsidRDefault="00C21F0E" w:rsidP="00C21F0E">
            <w:pPr>
              <w:spacing w:line="0" w:lineRule="atLeast"/>
              <w:ind w:right="510"/>
              <w:jc w:val="right"/>
              <w:rPr>
                <w:rFonts w:eastAsia="Calibri"/>
                <w:sz w:val="18"/>
                <w:szCs w:val="18"/>
                <w:lang w:eastAsia="en-US"/>
              </w:rPr>
            </w:pPr>
            <w:r w:rsidRPr="00C21F0E">
              <w:rPr>
                <w:rFonts w:eastAsia="Calibri"/>
                <w:sz w:val="18"/>
                <w:szCs w:val="18"/>
                <w:lang w:eastAsia="en-US"/>
              </w:rPr>
              <w:t>45.9</w:t>
            </w:r>
          </w:p>
        </w:tc>
      </w:tr>
      <w:tr w:rsidR="00C21F0E" w:rsidRPr="00C21F0E" w14:paraId="26C62D4E" w14:textId="77777777" w:rsidTr="001E7D79">
        <w:trPr>
          <w:jc w:val="center"/>
        </w:trPr>
        <w:tc>
          <w:tcPr>
            <w:tcW w:w="2922" w:type="dxa"/>
            <w:tcBorders>
              <w:left w:val="single" w:sz="4" w:space="0" w:color="auto"/>
              <w:right w:val="single" w:sz="4" w:space="0" w:color="auto"/>
            </w:tcBorders>
            <w:vAlign w:val="center"/>
          </w:tcPr>
          <w:p w14:paraId="4661EA59" w14:textId="77777777" w:rsidR="00C21F0E" w:rsidRPr="00C21F0E" w:rsidRDefault="00C21F0E" w:rsidP="00C21F0E">
            <w:pPr>
              <w:spacing w:line="0" w:lineRule="atLeast"/>
              <w:rPr>
                <w:rFonts w:eastAsia="Calibri"/>
                <w:sz w:val="18"/>
                <w:szCs w:val="18"/>
                <w:lang w:eastAsia="en-US"/>
              </w:rPr>
            </w:pPr>
            <w:r w:rsidRPr="00C21F0E">
              <w:rPr>
                <w:rFonts w:eastAsia="Calibri"/>
                <w:sz w:val="18"/>
                <w:szCs w:val="18"/>
                <w:lang w:eastAsia="en-US"/>
              </w:rPr>
              <w:t>Sonora</w:t>
            </w:r>
          </w:p>
        </w:tc>
        <w:tc>
          <w:tcPr>
            <w:tcW w:w="1418" w:type="dxa"/>
            <w:tcBorders>
              <w:left w:val="single" w:sz="4" w:space="0" w:color="auto"/>
              <w:right w:val="single" w:sz="4" w:space="0" w:color="auto"/>
            </w:tcBorders>
          </w:tcPr>
          <w:p w14:paraId="35683685"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3 322</w:t>
            </w:r>
          </w:p>
        </w:tc>
        <w:tc>
          <w:tcPr>
            <w:tcW w:w="1330" w:type="dxa"/>
            <w:tcBorders>
              <w:left w:val="single" w:sz="4" w:space="0" w:color="auto"/>
              <w:right w:val="single" w:sz="4" w:space="0" w:color="auto"/>
            </w:tcBorders>
          </w:tcPr>
          <w:p w14:paraId="7A005A8A"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2 768</w:t>
            </w:r>
          </w:p>
        </w:tc>
        <w:tc>
          <w:tcPr>
            <w:tcW w:w="1679" w:type="dxa"/>
            <w:tcBorders>
              <w:left w:val="single" w:sz="4" w:space="0" w:color="auto"/>
              <w:right w:val="single" w:sz="4" w:space="0" w:color="auto"/>
            </w:tcBorders>
          </w:tcPr>
          <w:p w14:paraId="7A9E523F" w14:textId="77777777" w:rsidR="00C21F0E" w:rsidRPr="00C21F0E" w:rsidRDefault="00C21F0E" w:rsidP="00C21F0E">
            <w:pPr>
              <w:spacing w:line="0" w:lineRule="atLeast"/>
              <w:ind w:right="510"/>
              <w:jc w:val="right"/>
              <w:rPr>
                <w:rFonts w:eastAsia="Calibri"/>
                <w:sz w:val="18"/>
                <w:szCs w:val="18"/>
                <w:lang w:eastAsia="en-US"/>
              </w:rPr>
            </w:pPr>
            <w:r w:rsidRPr="00C21F0E">
              <w:rPr>
                <w:rFonts w:eastAsia="Calibri"/>
                <w:sz w:val="18"/>
                <w:szCs w:val="18"/>
                <w:lang w:eastAsia="en-US"/>
              </w:rPr>
              <w:t>-16.7</w:t>
            </w:r>
          </w:p>
        </w:tc>
      </w:tr>
      <w:tr w:rsidR="00C21F0E" w:rsidRPr="00C21F0E" w14:paraId="54084DE1" w14:textId="77777777" w:rsidTr="001E7D79">
        <w:trPr>
          <w:jc w:val="center"/>
        </w:trPr>
        <w:tc>
          <w:tcPr>
            <w:tcW w:w="2922" w:type="dxa"/>
            <w:tcBorders>
              <w:left w:val="single" w:sz="4" w:space="0" w:color="auto"/>
              <w:right w:val="single" w:sz="4" w:space="0" w:color="auto"/>
            </w:tcBorders>
            <w:vAlign w:val="center"/>
          </w:tcPr>
          <w:p w14:paraId="1BC4CAE7" w14:textId="77777777" w:rsidR="00C21F0E" w:rsidRPr="00C21F0E" w:rsidRDefault="00C21F0E" w:rsidP="00C21F0E">
            <w:pPr>
              <w:spacing w:line="0" w:lineRule="atLeast"/>
              <w:rPr>
                <w:rFonts w:eastAsia="Calibri"/>
                <w:sz w:val="18"/>
                <w:szCs w:val="18"/>
                <w:lang w:eastAsia="en-US"/>
              </w:rPr>
            </w:pPr>
            <w:r w:rsidRPr="00C21F0E">
              <w:rPr>
                <w:rFonts w:eastAsia="Calibri"/>
                <w:sz w:val="18"/>
                <w:szCs w:val="18"/>
                <w:lang w:eastAsia="en-US"/>
              </w:rPr>
              <w:t>Chihuahua</w:t>
            </w:r>
          </w:p>
        </w:tc>
        <w:tc>
          <w:tcPr>
            <w:tcW w:w="1418" w:type="dxa"/>
            <w:tcBorders>
              <w:left w:val="single" w:sz="4" w:space="0" w:color="auto"/>
              <w:right w:val="single" w:sz="4" w:space="0" w:color="auto"/>
            </w:tcBorders>
            <w:vAlign w:val="center"/>
          </w:tcPr>
          <w:p w14:paraId="67A8B0EB"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2 101</w:t>
            </w:r>
          </w:p>
        </w:tc>
        <w:tc>
          <w:tcPr>
            <w:tcW w:w="1330" w:type="dxa"/>
            <w:tcBorders>
              <w:left w:val="single" w:sz="4" w:space="0" w:color="auto"/>
              <w:right w:val="single" w:sz="4" w:space="0" w:color="auto"/>
            </w:tcBorders>
            <w:vAlign w:val="center"/>
          </w:tcPr>
          <w:p w14:paraId="4D981FA1"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1 980</w:t>
            </w:r>
          </w:p>
        </w:tc>
        <w:tc>
          <w:tcPr>
            <w:tcW w:w="1679" w:type="dxa"/>
            <w:tcBorders>
              <w:left w:val="single" w:sz="4" w:space="0" w:color="auto"/>
              <w:right w:val="single" w:sz="4" w:space="0" w:color="auto"/>
            </w:tcBorders>
            <w:vAlign w:val="center"/>
          </w:tcPr>
          <w:p w14:paraId="600251C8" w14:textId="77777777" w:rsidR="00C21F0E" w:rsidRPr="00C21F0E" w:rsidRDefault="00C21F0E" w:rsidP="00C21F0E">
            <w:pPr>
              <w:spacing w:line="0" w:lineRule="atLeast"/>
              <w:ind w:right="510"/>
              <w:jc w:val="right"/>
              <w:rPr>
                <w:rFonts w:eastAsia="Calibri"/>
                <w:sz w:val="18"/>
                <w:szCs w:val="18"/>
                <w:lang w:eastAsia="en-US"/>
              </w:rPr>
            </w:pPr>
            <w:r w:rsidRPr="00C21F0E">
              <w:rPr>
                <w:rFonts w:eastAsia="Calibri"/>
                <w:sz w:val="18"/>
                <w:szCs w:val="18"/>
                <w:lang w:eastAsia="en-US"/>
              </w:rPr>
              <w:t>-5.8</w:t>
            </w:r>
          </w:p>
        </w:tc>
      </w:tr>
      <w:tr w:rsidR="00C21F0E" w:rsidRPr="00C21F0E" w14:paraId="6BA42F9D" w14:textId="77777777" w:rsidTr="001E7D79">
        <w:trPr>
          <w:jc w:val="center"/>
        </w:trPr>
        <w:tc>
          <w:tcPr>
            <w:tcW w:w="2922" w:type="dxa"/>
            <w:tcBorders>
              <w:left w:val="single" w:sz="4" w:space="0" w:color="auto"/>
              <w:right w:val="single" w:sz="4" w:space="0" w:color="auto"/>
            </w:tcBorders>
            <w:vAlign w:val="center"/>
          </w:tcPr>
          <w:p w14:paraId="5DA0A3FA" w14:textId="77777777" w:rsidR="00C21F0E" w:rsidRPr="00C21F0E" w:rsidRDefault="00C21F0E" w:rsidP="00C21F0E">
            <w:pPr>
              <w:spacing w:line="0" w:lineRule="atLeast"/>
              <w:rPr>
                <w:rFonts w:eastAsia="Calibri"/>
                <w:sz w:val="18"/>
                <w:szCs w:val="18"/>
                <w:lang w:eastAsia="en-US"/>
              </w:rPr>
            </w:pPr>
            <w:r w:rsidRPr="00C21F0E">
              <w:rPr>
                <w:rFonts w:eastAsia="Calibri"/>
                <w:sz w:val="18"/>
                <w:szCs w:val="18"/>
                <w:lang w:eastAsia="en-US"/>
              </w:rPr>
              <w:t>Durango</w:t>
            </w:r>
          </w:p>
        </w:tc>
        <w:tc>
          <w:tcPr>
            <w:tcW w:w="1418" w:type="dxa"/>
            <w:tcBorders>
              <w:left w:val="single" w:sz="4" w:space="0" w:color="auto"/>
              <w:right w:val="single" w:sz="4" w:space="0" w:color="auto"/>
            </w:tcBorders>
          </w:tcPr>
          <w:p w14:paraId="76BF9598"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1 354</w:t>
            </w:r>
          </w:p>
        </w:tc>
        <w:tc>
          <w:tcPr>
            <w:tcW w:w="1330" w:type="dxa"/>
            <w:tcBorders>
              <w:left w:val="single" w:sz="4" w:space="0" w:color="auto"/>
              <w:right w:val="single" w:sz="4" w:space="0" w:color="auto"/>
            </w:tcBorders>
          </w:tcPr>
          <w:p w14:paraId="2EDAD803"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1 278</w:t>
            </w:r>
          </w:p>
        </w:tc>
        <w:tc>
          <w:tcPr>
            <w:tcW w:w="1679" w:type="dxa"/>
            <w:tcBorders>
              <w:left w:val="single" w:sz="4" w:space="0" w:color="auto"/>
              <w:right w:val="single" w:sz="4" w:space="0" w:color="auto"/>
            </w:tcBorders>
          </w:tcPr>
          <w:p w14:paraId="1C9DC53B" w14:textId="77777777" w:rsidR="00C21F0E" w:rsidRPr="00C21F0E" w:rsidRDefault="00C21F0E" w:rsidP="00C21F0E">
            <w:pPr>
              <w:spacing w:line="0" w:lineRule="atLeast"/>
              <w:ind w:right="510"/>
              <w:jc w:val="right"/>
              <w:rPr>
                <w:rFonts w:eastAsia="Calibri"/>
                <w:sz w:val="18"/>
                <w:szCs w:val="18"/>
                <w:lang w:eastAsia="en-US"/>
              </w:rPr>
            </w:pPr>
            <w:r w:rsidRPr="00C21F0E">
              <w:rPr>
                <w:rFonts w:eastAsia="Calibri"/>
                <w:sz w:val="18"/>
                <w:szCs w:val="18"/>
                <w:lang w:eastAsia="en-US"/>
              </w:rPr>
              <w:t>-5.6</w:t>
            </w:r>
          </w:p>
        </w:tc>
      </w:tr>
      <w:tr w:rsidR="00C21F0E" w:rsidRPr="00C21F0E" w14:paraId="0E81F463" w14:textId="77777777" w:rsidTr="001E7D79">
        <w:trPr>
          <w:jc w:val="center"/>
        </w:trPr>
        <w:tc>
          <w:tcPr>
            <w:tcW w:w="2922" w:type="dxa"/>
            <w:tcBorders>
              <w:left w:val="single" w:sz="4" w:space="0" w:color="auto"/>
              <w:right w:val="single" w:sz="4" w:space="0" w:color="auto"/>
            </w:tcBorders>
            <w:vAlign w:val="center"/>
          </w:tcPr>
          <w:p w14:paraId="14C3894E" w14:textId="77777777" w:rsidR="00C21F0E" w:rsidRPr="00C21F0E" w:rsidRDefault="00C21F0E" w:rsidP="00C21F0E">
            <w:pPr>
              <w:spacing w:line="0" w:lineRule="atLeast"/>
              <w:rPr>
                <w:rFonts w:eastAsia="Calibri"/>
                <w:sz w:val="18"/>
                <w:szCs w:val="18"/>
                <w:lang w:eastAsia="en-US"/>
              </w:rPr>
            </w:pPr>
            <w:r w:rsidRPr="00C21F0E">
              <w:rPr>
                <w:rFonts w:eastAsia="Calibri"/>
                <w:sz w:val="18"/>
                <w:szCs w:val="18"/>
                <w:lang w:eastAsia="en-US"/>
              </w:rPr>
              <w:t>Guerrero</w:t>
            </w:r>
          </w:p>
        </w:tc>
        <w:tc>
          <w:tcPr>
            <w:tcW w:w="1418" w:type="dxa"/>
            <w:tcBorders>
              <w:left w:val="single" w:sz="4" w:space="0" w:color="auto"/>
              <w:right w:val="single" w:sz="4" w:space="0" w:color="auto"/>
            </w:tcBorders>
          </w:tcPr>
          <w:p w14:paraId="2C774523"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1 173</w:t>
            </w:r>
          </w:p>
        </w:tc>
        <w:tc>
          <w:tcPr>
            <w:tcW w:w="1330" w:type="dxa"/>
            <w:tcBorders>
              <w:left w:val="single" w:sz="4" w:space="0" w:color="auto"/>
              <w:right w:val="single" w:sz="4" w:space="0" w:color="auto"/>
            </w:tcBorders>
          </w:tcPr>
          <w:p w14:paraId="76A41459"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859</w:t>
            </w:r>
          </w:p>
        </w:tc>
        <w:tc>
          <w:tcPr>
            <w:tcW w:w="1679" w:type="dxa"/>
            <w:tcBorders>
              <w:left w:val="single" w:sz="4" w:space="0" w:color="auto"/>
              <w:right w:val="single" w:sz="4" w:space="0" w:color="auto"/>
            </w:tcBorders>
          </w:tcPr>
          <w:p w14:paraId="0FAD82DC" w14:textId="77777777" w:rsidR="00C21F0E" w:rsidRPr="00C21F0E" w:rsidRDefault="00C21F0E" w:rsidP="00C21F0E">
            <w:pPr>
              <w:spacing w:line="0" w:lineRule="atLeast"/>
              <w:ind w:right="510"/>
              <w:jc w:val="right"/>
              <w:rPr>
                <w:rFonts w:eastAsia="Calibri"/>
                <w:sz w:val="18"/>
                <w:szCs w:val="18"/>
                <w:lang w:eastAsia="en-US"/>
              </w:rPr>
            </w:pPr>
            <w:r w:rsidRPr="00C21F0E">
              <w:rPr>
                <w:rFonts w:eastAsia="Calibri"/>
                <w:sz w:val="18"/>
                <w:szCs w:val="18"/>
                <w:lang w:eastAsia="en-US"/>
              </w:rPr>
              <w:t>-26.8</w:t>
            </w:r>
          </w:p>
        </w:tc>
      </w:tr>
      <w:tr w:rsidR="00C21F0E" w:rsidRPr="00C21F0E" w14:paraId="114C81BA" w14:textId="77777777" w:rsidTr="001E7D79">
        <w:trPr>
          <w:jc w:val="center"/>
        </w:trPr>
        <w:tc>
          <w:tcPr>
            <w:tcW w:w="2922" w:type="dxa"/>
            <w:tcBorders>
              <w:left w:val="single" w:sz="4" w:space="0" w:color="auto"/>
              <w:right w:val="single" w:sz="4" w:space="0" w:color="auto"/>
            </w:tcBorders>
            <w:vAlign w:val="center"/>
          </w:tcPr>
          <w:p w14:paraId="2A8931DD" w14:textId="77777777" w:rsidR="00C21F0E" w:rsidRPr="00C21F0E" w:rsidRDefault="00C21F0E" w:rsidP="00C21F0E">
            <w:pPr>
              <w:spacing w:line="0" w:lineRule="atLeast"/>
              <w:rPr>
                <w:rFonts w:eastAsia="Calibri"/>
                <w:b/>
                <w:sz w:val="18"/>
                <w:szCs w:val="18"/>
                <w:lang w:eastAsia="en-US"/>
              </w:rPr>
            </w:pPr>
            <w:r w:rsidRPr="00C21F0E">
              <w:rPr>
                <w:rFonts w:eastAsia="Calibri"/>
                <w:b/>
                <w:sz w:val="18"/>
                <w:szCs w:val="18"/>
                <w:lang w:eastAsia="en-US"/>
              </w:rPr>
              <w:t>Plata</w:t>
            </w:r>
          </w:p>
        </w:tc>
        <w:tc>
          <w:tcPr>
            <w:tcW w:w="1418" w:type="dxa"/>
            <w:tcBorders>
              <w:left w:val="single" w:sz="4" w:space="0" w:color="auto"/>
              <w:right w:val="single" w:sz="4" w:space="0" w:color="auto"/>
            </w:tcBorders>
          </w:tcPr>
          <w:p w14:paraId="6C4AB217" w14:textId="77777777" w:rsidR="00C21F0E" w:rsidRPr="00C21F0E" w:rsidRDefault="00C21F0E" w:rsidP="00C21F0E">
            <w:pPr>
              <w:spacing w:line="0" w:lineRule="atLeast"/>
              <w:ind w:right="227"/>
              <w:jc w:val="right"/>
              <w:rPr>
                <w:rFonts w:eastAsia="Calibri"/>
                <w:b/>
                <w:sz w:val="18"/>
                <w:szCs w:val="18"/>
                <w:lang w:eastAsia="en-US"/>
              </w:rPr>
            </w:pPr>
            <w:r w:rsidRPr="00C21F0E">
              <w:rPr>
                <w:rFonts w:eastAsia="Calibri"/>
                <w:b/>
                <w:sz w:val="18"/>
                <w:szCs w:val="18"/>
                <w:lang w:eastAsia="en-US"/>
              </w:rPr>
              <w:t>552 076</w:t>
            </w:r>
          </w:p>
        </w:tc>
        <w:tc>
          <w:tcPr>
            <w:tcW w:w="1330" w:type="dxa"/>
            <w:tcBorders>
              <w:left w:val="single" w:sz="4" w:space="0" w:color="auto"/>
              <w:right w:val="single" w:sz="4" w:space="0" w:color="auto"/>
            </w:tcBorders>
          </w:tcPr>
          <w:p w14:paraId="089F0F26" w14:textId="77777777" w:rsidR="00C21F0E" w:rsidRPr="00C21F0E" w:rsidRDefault="00C21F0E" w:rsidP="00C21F0E">
            <w:pPr>
              <w:spacing w:line="0" w:lineRule="atLeast"/>
              <w:ind w:right="227"/>
              <w:jc w:val="right"/>
              <w:rPr>
                <w:rFonts w:eastAsia="Calibri"/>
                <w:b/>
                <w:sz w:val="18"/>
                <w:szCs w:val="18"/>
                <w:lang w:eastAsia="en-US"/>
              </w:rPr>
            </w:pPr>
            <w:r w:rsidRPr="00C21F0E">
              <w:rPr>
                <w:rFonts w:eastAsia="Calibri"/>
                <w:b/>
                <w:sz w:val="18"/>
                <w:szCs w:val="18"/>
                <w:lang w:eastAsia="en-US"/>
              </w:rPr>
              <w:t>546 544</w:t>
            </w:r>
          </w:p>
        </w:tc>
        <w:tc>
          <w:tcPr>
            <w:tcW w:w="1679" w:type="dxa"/>
            <w:tcBorders>
              <w:left w:val="single" w:sz="4" w:space="0" w:color="auto"/>
              <w:right w:val="single" w:sz="4" w:space="0" w:color="auto"/>
            </w:tcBorders>
          </w:tcPr>
          <w:p w14:paraId="5914E2C5" w14:textId="77777777" w:rsidR="00C21F0E" w:rsidRPr="00C21F0E" w:rsidRDefault="00C21F0E" w:rsidP="00C21F0E">
            <w:pPr>
              <w:spacing w:line="0" w:lineRule="atLeast"/>
              <w:ind w:right="510"/>
              <w:jc w:val="right"/>
              <w:rPr>
                <w:rFonts w:eastAsia="Calibri"/>
                <w:b/>
                <w:sz w:val="18"/>
                <w:szCs w:val="18"/>
                <w:lang w:eastAsia="en-US"/>
              </w:rPr>
            </w:pPr>
            <w:r w:rsidRPr="00C21F0E">
              <w:rPr>
                <w:rFonts w:eastAsia="Calibri"/>
                <w:b/>
                <w:sz w:val="18"/>
                <w:szCs w:val="18"/>
                <w:lang w:eastAsia="en-US"/>
              </w:rPr>
              <w:t>-1.0</w:t>
            </w:r>
          </w:p>
        </w:tc>
      </w:tr>
      <w:tr w:rsidR="00C21F0E" w:rsidRPr="00C21F0E" w14:paraId="5B57BCE6" w14:textId="77777777" w:rsidTr="001E7D79">
        <w:trPr>
          <w:jc w:val="center"/>
        </w:trPr>
        <w:tc>
          <w:tcPr>
            <w:tcW w:w="2922" w:type="dxa"/>
            <w:tcBorders>
              <w:left w:val="single" w:sz="4" w:space="0" w:color="auto"/>
              <w:right w:val="single" w:sz="4" w:space="0" w:color="auto"/>
            </w:tcBorders>
            <w:vAlign w:val="center"/>
          </w:tcPr>
          <w:p w14:paraId="3F196E19" w14:textId="77777777" w:rsidR="00C21F0E" w:rsidRPr="00C21F0E" w:rsidRDefault="00C21F0E" w:rsidP="00C21F0E">
            <w:pPr>
              <w:spacing w:line="0" w:lineRule="atLeast"/>
              <w:rPr>
                <w:rFonts w:eastAsia="Calibri"/>
                <w:sz w:val="18"/>
                <w:szCs w:val="18"/>
                <w:lang w:eastAsia="en-US"/>
              </w:rPr>
            </w:pPr>
            <w:r w:rsidRPr="00C21F0E">
              <w:rPr>
                <w:rFonts w:eastAsia="Calibri"/>
                <w:sz w:val="18"/>
                <w:szCs w:val="18"/>
                <w:lang w:eastAsia="en-US"/>
              </w:rPr>
              <w:t>Zacatecas</w:t>
            </w:r>
          </w:p>
        </w:tc>
        <w:tc>
          <w:tcPr>
            <w:tcW w:w="1418" w:type="dxa"/>
            <w:tcBorders>
              <w:left w:val="single" w:sz="4" w:space="0" w:color="auto"/>
              <w:right w:val="single" w:sz="4" w:space="0" w:color="auto"/>
            </w:tcBorders>
          </w:tcPr>
          <w:p w14:paraId="4DA19165"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214 041</w:t>
            </w:r>
          </w:p>
        </w:tc>
        <w:tc>
          <w:tcPr>
            <w:tcW w:w="1330" w:type="dxa"/>
            <w:tcBorders>
              <w:left w:val="single" w:sz="4" w:space="0" w:color="auto"/>
              <w:right w:val="single" w:sz="4" w:space="0" w:color="auto"/>
            </w:tcBorders>
          </w:tcPr>
          <w:p w14:paraId="4A53A123"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247 230</w:t>
            </w:r>
          </w:p>
        </w:tc>
        <w:tc>
          <w:tcPr>
            <w:tcW w:w="1679" w:type="dxa"/>
            <w:tcBorders>
              <w:left w:val="single" w:sz="4" w:space="0" w:color="auto"/>
              <w:right w:val="single" w:sz="4" w:space="0" w:color="auto"/>
            </w:tcBorders>
          </w:tcPr>
          <w:p w14:paraId="0559A691" w14:textId="77777777" w:rsidR="00C21F0E" w:rsidRPr="00C21F0E" w:rsidRDefault="00C21F0E" w:rsidP="00C21F0E">
            <w:pPr>
              <w:spacing w:line="0" w:lineRule="atLeast"/>
              <w:ind w:right="510"/>
              <w:jc w:val="right"/>
              <w:rPr>
                <w:rFonts w:eastAsia="Calibri"/>
                <w:sz w:val="18"/>
                <w:szCs w:val="18"/>
                <w:lang w:eastAsia="en-US"/>
              </w:rPr>
            </w:pPr>
            <w:r w:rsidRPr="00C21F0E">
              <w:rPr>
                <w:rFonts w:eastAsia="Calibri"/>
                <w:sz w:val="18"/>
                <w:szCs w:val="18"/>
                <w:lang w:eastAsia="en-US"/>
              </w:rPr>
              <w:t>15.5</w:t>
            </w:r>
          </w:p>
        </w:tc>
      </w:tr>
      <w:tr w:rsidR="00C21F0E" w:rsidRPr="00C21F0E" w14:paraId="7942662C" w14:textId="77777777" w:rsidTr="001E7D79">
        <w:trPr>
          <w:jc w:val="center"/>
        </w:trPr>
        <w:tc>
          <w:tcPr>
            <w:tcW w:w="2922" w:type="dxa"/>
            <w:tcBorders>
              <w:left w:val="single" w:sz="4" w:space="0" w:color="auto"/>
              <w:right w:val="single" w:sz="4" w:space="0" w:color="auto"/>
            </w:tcBorders>
            <w:vAlign w:val="center"/>
          </w:tcPr>
          <w:p w14:paraId="4FF6B48C" w14:textId="77777777" w:rsidR="00C21F0E" w:rsidRPr="00C21F0E" w:rsidRDefault="00C21F0E" w:rsidP="00C21F0E">
            <w:pPr>
              <w:spacing w:line="0" w:lineRule="atLeast"/>
              <w:rPr>
                <w:rFonts w:eastAsia="Calibri"/>
                <w:sz w:val="18"/>
                <w:szCs w:val="18"/>
                <w:lang w:eastAsia="en-US"/>
              </w:rPr>
            </w:pPr>
            <w:r w:rsidRPr="00C21F0E">
              <w:rPr>
                <w:rFonts w:eastAsia="Calibri"/>
                <w:sz w:val="18"/>
                <w:szCs w:val="18"/>
                <w:lang w:eastAsia="en-US"/>
              </w:rPr>
              <w:t>Chihuahua</w:t>
            </w:r>
          </w:p>
        </w:tc>
        <w:tc>
          <w:tcPr>
            <w:tcW w:w="1418" w:type="dxa"/>
            <w:tcBorders>
              <w:left w:val="single" w:sz="4" w:space="0" w:color="auto"/>
              <w:right w:val="single" w:sz="4" w:space="0" w:color="auto"/>
            </w:tcBorders>
          </w:tcPr>
          <w:p w14:paraId="46793567"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84 357</w:t>
            </w:r>
          </w:p>
        </w:tc>
        <w:tc>
          <w:tcPr>
            <w:tcW w:w="1330" w:type="dxa"/>
            <w:tcBorders>
              <w:left w:val="single" w:sz="4" w:space="0" w:color="auto"/>
              <w:right w:val="single" w:sz="4" w:space="0" w:color="auto"/>
            </w:tcBorders>
          </w:tcPr>
          <w:p w14:paraId="33028264"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93 068</w:t>
            </w:r>
          </w:p>
        </w:tc>
        <w:tc>
          <w:tcPr>
            <w:tcW w:w="1679" w:type="dxa"/>
            <w:tcBorders>
              <w:left w:val="single" w:sz="4" w:space="0" w:color="auto"/>
              <w:right w:val="single" w:sz="4" w:space="0" w:color="auto"/>
            </w:tcBorders>
          </w:tcPr>
          <w:p w14:paraId="0251053B" w14:textId="77777777" w:rsidR="00C21F0E" w:rsidRPr="00C21F0E" w:rsidRDefault="00C21F0E" w:rsidP="00C21F0E">
            <w:pPr>
              <w:spacing w:line="0" w:lineRule="atLeast"/>
              <w:ind w:right="510"/>
              <w:jc w:val="right"/>
              <w:rPr>
                <w:rFonts w:eastAsia="Calibri"/>
                <w:sz w:val="18"/>
                <w:szCs w:val="18"/>
                <w:lang w:eastAsia="en-US"/>
              </w:rPr>
            </w:pPr>
            <w:r w:rsidRPr="00C21F0E">
              <w:rPr>
                <w:rFonts w:eastAsia="Calibri"/>
                <w:sz w:val="18"/>
                <w:szCs w:val="18"/>
                <w:lang w:eastAsia="en-US"/>
              </w:rPr>
              <w:t>10.3</w:t>
            </w:r>
          </w:p>
        </w:tc>
      </w:tr>
      <w:tr w:rsidR="00C21F0E" w:rsidRPr="00C21F0E" w14:paraId="2FE62425" w14:textId="77777777" w:rsidTr="001E7D79">
        <w:trPr>
          <w:jc w:val="center"/>
        </w:trPr>
        <w:tc>
          <w:tcPr>
            <w:tcW w:w="2922" w:type="dxa"/>
            <w:tcBorders>
              <w:left w:val="single" w:sz="4" w:space="0" w:color="auto"/>
              <w:right w:val="single" w:sz="4" w:space="0" w:color="auto"/>
            </w:tcBorders>
            <w:vAlign w:val="center"/>
          </w:tcPr>
          <w:p w14:paraId="0356999B" w14:textId="77777777" w:rsidR="00C21F0E" w:rsidRPr="00C21F0E" w:rsidRDefault="00C21F0E" w:rsidP="00C21F0E">
            <w:pPr>
              <w:spacing w:line="0" w:lineRule="atLeast"/>
              <w:rPr>
                <w:rFonts w:eastAsia="Calibri"/>
                <w:sz w:val="18"/>
                <w:szCs w:val="18"/>
                <w:lang w:eastAsia="en-US"/>
              </w:rPr>
            </w:pPr>
            <w:r w:rsidRPr="00C21F0E">
              <w:rPr>
                <w:rFonts w:eastAsia="Calibri"/>
                <w:sz w:val="18"/>
                <w:szCs w:val="18"/>
                <w:lang w:eastAsia="en-US"/>
              </w:rPr>
              <w:t>Durango</w:t>
            </w:r>
          </w:p>
        </w:tc>
        <w:tc>
          <w:tcPr>
            <w:tcW w:w="1418" w:type="dxa"/>
            <w:tcBorders>
              <w:left w:val="single" w:sz="4" w:space="0" w:color="auto"/>
              <w:right w:val="single" w:sz="4" w:space="0" w:color="auto"/>
            </w:tcBorders>
          </w:tcPr>
          <w:p w14:paraId="2C4F7DD7"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62 013</w:t>
            </w:r>
          </w:p>
        </w:tc>
        <w:tc>
          <w:tcPr>
            <w:tcW w:w="1330" w:type="dxa"/>
            <w:tcBorders>
              <w:left w:val="single" w:sz="4" w:space="0" w:color="auto"/>
              <w:right w:val="single" w:sz="4" w:space="0" w:color="auto"/>
            </w:tcBorders>
          </w:tcPr>
          <w:p w14:paraId="009B733B"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64 057</w:t>
            </w:r>
          </w:p>
        </w:tc>
        <w:tc>
          <w:tcPr>
            <w:tcW w:w="1679" w:type="dxa"/>
            <w:tcBorders>
              <w:left w:val="single" w:sz="4" w:space="0" w:color="auto"/>
              <w:right w:val="single" w:sz="4" w:space="0" w:color="auto"/>
            </w:tcBorders>
          </w:tcPr>
          <w:p w14:paraId="66A054E8" w14:textId="77777777" w:rsidR="00C21F0E" w:rsidRPr="00C21F0E" w:rsidRDefault="00C21F0E" w:rsidP="00C21F0E">
            <w:pPr>
              <w:spacing w:line="0" w:lineRule="atLeast"/>
              <w:ind w:right="510"/>
              <w:jc w:val="right"/>
              <w:rPr>
                <w:rFonts w:eastAsia="Calibri"/>
                <w:sz w:val="18"/>
                <w:szCs w:val="18"/>
                <w:lang w:eastAsia="en-US"/>
              </w:rPr>
            </w:pPr>
            <w:r w:rsidRPr="00C21F0E">
              <w:rPr>
                <w:rFonts w:eastAsia="Calibri"/>
                <w:sz w:val="18"/>
                <w:szCs w:val="18"/>
                <w:lang w:eastAsia="en-US"/>
              </w:rPr>
              <w:t>3.3</w:t>
            </w:r>
          </w:p>
        </w:tc>
      </w:tr>
      <w:tr w:rsidR="00C21F0E" w:rsidRPr="00C21F0E" w14:paraId="5F7415A2" w14:textId="77777777" w:rsidTr="001E7D79">
        <w:trPr>
          <w:jc w:val="center"/>
        </w:trPr>
        <w:tc>
          <w:tcPr>
            <w:tcW w:w="2922" w:type="dxa"/>
            <w:tcBorders>
              <w:left w:val="single" w:sz="4" w:space="0" w:color="auto"/>
              <w:right w:val="single" w:sz="4" w:space="0" w:color="auto"/>
            </w:tcBorders>
            <w:vAlign w:val="center"/>
          </w:tcPr>
          <w:p w14:paraId="2B0578E8" w14:textId="77777777" w:rsidR="00C21F0E" w:rsidRPr="00C21F0E" w:rsidRDefault="00C21F0E" w:rsidP="00C21F0E">
            <w:pPr>
              <w:spacing w:line="0" w:lineRule="atLeast"/>
              <w:rPr>
                <w:rFonts w:eastAsia="Calibri"/>
                <w:sz w:val="18"/>
                <w:szCs w:val="18"/>
                <w:lang w:eastAsia="en-US"/>
              </w:rPr>
            </w:pPr>
            <w:r w:rsidRPr="00C21F0E">
              <w:rPr>
                <w:rFonts w:eastAsia="Calibri"/>
                <w:sz w:val="18"/>
                <w:szCs w:val="18"/>
                <w:lang w:eastAsia="en-US"/>
              </w:rPr>
              <w:t>Sonora</w:t>
            </w:r>
          </w:p>
        </w:tc>
        <w:tc>
          <w:tcPr>
            <w:tcW w:w="1418" w:type="dxa"/>
            <w:tcBorders>
              <w:left w:val="single" w:sz="4" w:space="0" w:color="auto"/>
              <w:right w:val="single" w:sz="4" w:space="0" w:color="auto"/>
            </w:tcBorders>
          </w:tcPr>
          <w:p w14:paraId="0BFC317A"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90 442</w:t>
            </w:r>
          </w:p>
        </w:tc>
        <w:tc>
          <w:tcPr>
            <w:tcW w:w="1330" w:type="dxa"/>
            <w:tcBorders>
              <w:left w:val="single" w:sz="4" w:space="0" w:color="auto"/>
              <w:right w:val="single" w:sz="4" w:space="0" w:color="auto"/>
            </w:tcBorders>
          </w:tcPr>
          <w:p w14:paraId="6502DCF3"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32 860</w:t>
            </w:r>
          </w:p>
        </w:tc>
        <w:tc>
          <w:tcPr>
            <w:tcW w:w="1679" w:type="dxa"/>
            <w:tcBorders>
              <w:left w:val="single" w:sz="4" w:space="0" w:color="auto"/>
              <w:right w:val="single" w:sz="4" w:space="0" w:color="auto"/>
            </w:tcBorders>
          </w:tcPr>
          <w:p w14:paraId="39E348FE" w14:textId="77777777" w:rsidR="00C21F0E" w:rsidRPr="00C21F0E" w:rsidRDefault="00C21F0E" w:rsidP="00C21F0E">
            <w:pPr>
              <w:spacing w:line="0" w:lineRule="atLeast"/>
              <w:ind w:right="510"/>
              <w:jc w:val="right"/>
              <w:rPr>
                <w:rFonts w:eastAsia="Calibri"/>
                <w:sz w:val="18"/>
                <w:szCs w:val="18"/>
                <w:lang w:eastAsia="en-US"/>
              </w:rPr>
            </w:pPr>
            <w:r w:rsidRPr="00C21F0E">
              <w:rPr>
                <w:rFonts w:eastAsia="Calibri"/>
                <w:sz w:val="18"/>
                <w:szCs w:val="18"/>
                <w:lang w:eastAsia="en-US"/>
              </w:rPr>
              <w:t>-63.7</w:t>
            </w:r>
          </w:p>
        </w:tc>
      </w:tr>
      <w:tr w:rsidR="00C21F0E" w:rsidRPr="00C21F0E" w14:paraId="709A4E74" w14:textId="77777777" w:rsidTr="001E7D79">
        <w:trPr>
          <w:jc w:val="center"/>
        </w:trPr>
        <w:tc>
          <w:tcPr>
            <w:tcW w:w="2922" w:type="dxa"/>
            <w:tcBorders>
              <w:left w:val="single" w:sz="4" w:space="0" w:color="auto"/>
              <w:right w:val="single" w:sz="4" w:space="0" w:color="auto"/>
            </w:tcBorders>
            <w:vAlign w:val="center"/>
          </w:tcPr>
          <w:p w14:paraId="036ECE22" w14:textId="77777777" w:rsidR="00C21F0E" w:rsidRPr="00C21F0E" w:rsidRDefault="00C21F0E" w:rsidP="00C21F0E">
            <w:pPr>
              <w:spacing w:line="0" w:lineRule="atLeast"/>
              <w:rPr>
                <w:rFonts w:eastAsia="Calibri"/>
                <w:b/>
                <w:sz w:val="18"/>
                <w:szCs w:val="18"/>
                <w:lang w:eastAsia="en-US"/>
              </w:rPr>
            </w:pPr>
            <w:r w:rsidRPr="00C21F0E">
              <w:rPr>
                <w:rFonts w:eastAsia="Calibri"/>
                <w:b/>
                <w:sz w:val="18"/>
                <w:szCs w:val="18"/>
                <w:lang w:eastAsia="en-US"/>
              </w:rPr>
              <w:t>Plomo</w:t>
            </w:r>
          </w:p>
        </w:tc>
        <w:tc>
          <w:tcPr>
            <w:tcW w:w="1418" w:type="dxa"/>
            <w:tcBorders>
              <w:left w:val="single" w:sz="4" w:space="0" w:color="auto"/>
              <w:right w:val="single" w:sz="4" w:space="0" w:color="auto"/>
            </w:tcBorders>
            <w:vAlign w:val="center"/>
          </w:tcPr>
          <w:p w14:paraId="4CE69F81" w14:textId="77777777" w:rsidR="00C21F0E" w:rsidRPr="00C21F0E" w:rsidRDefault="00C21F0E" w:rsidP="00C21F0E">
            <w:pPr>
              <w:spacing w:line="0" w:lineRule="atLeast"/>
              <w:ind w:right="227"/>
              <w:jc w:val="right"/>
              <w:rPr>
                <w:rFonts w:eastAsia="Calibri"/>
                <w:b/>
                <w:sz w:val="18"/>
                <w:szCs w:val="18"/>
                <w:lang w:eastAsia="en-US"/>
              </w:rPr>
            </w:pPr>
            <w:r w:rsidRPr="00C21F0E">
              <w:rPr>
                <w:rFonts w:eastAsia="Calibri"/>
                <w:b/>
                <w:sz w:val="18"/>
                <w:szCs w:val="18"/>
                <w:lang w:eastAsia="en-US"/>
              </w:rPr>
              <w:t>23 856</w:t>
            </w:r>
          </w:p>
        </w:tc>
        <w:tc>
          <w:tcPr>
            <w:tcW w:w="1330" w:type="dxa"/>
            <w:tcBorders>
              <w:left w:val="single" w:sz="4" w:space="0" w:color="auto"/>
              <w:right w:val="single" w:sz="4" w:space="0" w:color="auto"/>
            </w:tcBorders>
          </w:tcPr>
          <w:p w14:paraId="4681F7B2" w14:textId="77777777" w:rsidR="00C21F0E" w:rsidRPr="00C21F0E" w:rsidRDefault="00C21F0E" w:rsidP="00C21F0E">
            <w:pPr>
              <w:spacing w:line="0" w:lineRule="atLeast"/>
              <w:ind w:right="227"/>
              <w:jc w:val="right"/>
              <w:rPr>
                <w:rFonts w:eastAsia="Calibri"/>
                <w:b/>
                <w:sz w:val="18"/>
                <w:szCs w:val="18"/>
                <w:lang w:eastAsia="en-US"/>
              </w:rPr>
            </w:pPr>
            <w:r w:rsidRPr="00C21F0E">
              <w:rPr>
                <w:rFonts w:eastAsia="Calibri"/>
                <w:b/>
                <w:sz w:val="18"/>
                <w:szCs w:val="18"/>
                <w:lang w:eastAsia="en-US"/>
              </w:rPr>
              <w:t>20 299</w:t>
            </w:r>
          </w:p>
        </w:tc>
        <w:tc>
          <w:tcPr>
            <w:tcW w:w="1679" w:type="dxa"/>
            <w:tcBorders>
              <w:left w:val="single" w:sz="4" w:space="0" w:color="auto"/>
              <w:right w:val="single" w:sz="4" w:space="0" w:color="auto"/>
            </w:tcBorders>
          </w:tcPr>
          <w:p w14:paraId="03084DB8" w14:textId="77777777" w:rsidR="00C21F0E" w:rsidRPr="00C21F0E" w:rsidRDefault="00C21F0E" w:rsidP="00C21F0E">
            <w:pPr>
              <w:spacing w:line="0" w:lineRule="atLeast"/>
              <w:ind w:right="510"/>
              <w:jc w:val="right"/>
              <w:rPr>
                <w:rFonts w:eastAsia="Calibri"/>
                <w:b/>
                <w:sz w:val="18"/>
                <w:szCs w:val="18"/>
                <w:lang w:eastAsia="en-US"/>
              </w:rPr>
            </w:pPr>
            <w:r w:rsidRPr="00C21F0E">
              <w:rPr>
                <w:rFonts w:eastAsia="Calibri"/>
                <w:b/>
                <w:sz w:val="18"/>
                <w:szCs w:val="18"/>
                <w:lang w:eastAsia="en-US"/>
              </w:rPr>
              <w:t>-14.9</w:t>
            </w:r>
          </w:p>
        </w:tc>
      </w:tr>
      <w:tr w:rsidR="00C21F0E" w:rsidRPr="00C21F0E" w14:paraId="56EBD536" w14:textId="77777777" w:rsidTr="001E7D79">
        <w:trPr>
          <w:jc w:val="center"/>
        </w:trPr>
        <w:tc>
          <w:tcPr>
            <w:tcW w:w="2922" w:type="dxa"/>
            <w:tcBorders>
              <w:left w:val="single" w:sz="4" w:space="0" w:color="auto"/>
              <w:right w:val="single" w:sz="4" w:space="0" w:color="auto"/>
            </w:tcBorders>
            <w:vAlign w:val="center"/>
          </w:tcPr>
          <w:p w14:paraId="6AC0A456" w14:textId="77777777" w:rsidR="00C21F0E" w:rsidRPr="00C21F0E" w:rsidRDefault="00C21F0E" w:rsidP="00C21F0E">
            <w:pPr>
              <w:spacing w:line="0" w:lineRule="atLeast"/>
              <w:rPr>
                <w:rFonts w:eastAsia="Calibri"/>
                <w:sz w:val="18"/>
                <w:szCs w:val="18"/>
                <w:lang w:eastAsia="en-US"/>
              </w:rPr>
            </w:pPr>
            <w:r w:rsidRPr="00C21F0E">
              <w:rPr>
                <w:rFonts w:eastAsia="Calibri"/>
                <w:sz w:val="18"/>
                <w:szCs w:val="18"/>
                <w:lang w:eastAsia="en-US"/>
              </w:rPr>
              <w:t>Zacatecas</w:t>
            </w:r>
          </w:p>
        </w:tc>
        <w:tc>
          <w:tcPr>
            <w:tcW w:w="1418" w:type="dxa"/>
            <w:tcBorders>
              <w:left w:val="single" w:sz="4" w:space="0" w:color="auto"/>
              <w:right w:val="single" w:sz="4" w:space="0" w:color="auto"/>
            </w:tcBorders>
            <w:vAlign w:val="center"/>
          </w:tcPr>
          <w:p w14:paraId="7B6D733F"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13 841</w:t>
            </w:r>
          </w:p>
        </w:tc>
        <w:tc>
          <w:tcPr>
            <w:tcW w:w="1330" w:type="dxa"/>
            <w:tcBorders>
              <w:left w:val="single" w:sz="4" w:space="0" w:color="auto"/>
              <w:right w:val="single" w:sz="4" w:space="0" w:color="auto"/>
            </w:tcBorders>
          </w:tcPr>
          <w:p w14:paraId="30EB2954"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10 660</w:t>
            </w:r>
          </w:p>
        </w:tc>
        <w:tc>
          <w:tcPr>
            <w:tcW w:w="1679" w:type="dxa"/>
            <w:tcBorders>
              <w:left w:val="single" w:sz="4" w:space="0" w:color="auto"/>
              <w:right w:val="single" w:sz="4" w:space="0" w:color="auto"/>
            </w:tcBorders>
          </w:tcPr>
          <w:p w14:paraId="489D55A7" w14:textId="77777777" w:rsidR="00C21F0E" w:rsidRPr="00C21F0E" w:rsidRDefault="00C21F0E" w:rsidP="00C21F0E">
            <w:pPr>
              <w:spacing w:line="0" w:lineRule="atLeast"/>
              <w:ind w:right="510"/>
              <w:jc w:val="right"/>
              <w:rPr>
                <w:rFonts w:eastAsia="Calibri"/>
                <w:sz w:val="18"/>
                <w:szCs w:val="18"/>
                <w:lang w:eastAsia="en-US"/>
              </w:rPr>
            </w:pPr>
            <w:r w:rsidRPr="00C21F0E">
              <w:rPr>
                <w:rFonts w:eastAsia="Calibri"/>
                <w:sz w:val="18"/>
                <w:szCs w:val="18"/>
                <w:lang w:eastAsia="en-US"/>
              </w:rPr>
              <w:t>-23.0</w:t>
            </w:r>
          </w:p>
        </w:tc>
      </w:tr>
      <w:tr w:rsidR="00C21F0E" w:rsidRPr="00C21F0E" w14:paraId="61244EC0" w14:textId="77777777" w:rsidTr="001E7D79">
        <w:trPr>
          <w:jc w:val="center"/>
        </w:trPr>
        <w:tc>
          <w:tcPr>
            <w:tcW w:w="2922" w:type="dxa"/>
            <w:tcBorders>
              <w:left w:val="single" w:sz="4" w:space="0" w:color="auto"/>
              <w:right w:val="single" w:sz="4" w:space="0" w:color="auto"/>
            </w:tcBorders>
            <w:vAlign w:val="center"/>
          </w:tcPr>
          <w:p w14:paraId="305F67E3" w14:textId="77777777" w:rsidR="00C21F0E" w:rsidRPr="00C21F0E" w:rsidRDefault="00C21F0E" w:rsidP="00C21F0E">
            <w:pPr>
              <w:spacing w:line="0" w:lineRule="atLeast"/>
              <w:rPr>
                <w:rFonts w:eastAsia="Calibri"/>
                <w:sz w:val="18"/>
                <w:szCs w:val="18"/>
                <w:lang w:eastAsia="en-US"/>
              </w:rPr>
            </w:pPr>
            <w:r w:rsidRPr="00C21F0E">
              <w:rPr>
                <w:rFonts w:eastAsia="Calibri"/>
                <w:sz w:val="18"/>
                <w:szCs w:val="18"/>
                <w:lang w:eastAsia="en-US"/>
              </w:rPr>
              <w:t>Chihuahua</w:t>
            </w:r>
          </w:p>
        </w:tc>
        <w:tc>
          <w:tcPr>
            <w:tcW w:w="1418" w:type="dxa"/>
            <w:tcBorders>
              <w:left w:val="single" w:sz="4" w:space="0" w:color="auto"/>
              <w:right w:val="single" w:sz="4" w:space="0" w:color="auto"/>
            </w:tcBorders>
          </w:tcPr>
          <w:p w14:paraId="57213F30"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4 420</w:t>
            </w:r>
          </w:p>
        </w:tc>
        <w:tc>
          <w:tcPr>
            <w:tcW w:w="1330" w:type="dxa"/>
            <w:tcBorders>
              <w:left w:val="single" w:sz="4" w:space="0" w:color="auto"/>
              <w:right w:val="single" w:sz="4" w:space="0" w:color="auto"/>
            </w:tcBorders>
          </w:tcPr>
          <w:p w14:paraId="3181F878"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5 142</w:t>
            </w:r>
          </w:p>
        </w:tc>
        <w:tc>
          <w:tcPr>
            <w:tcW w:w="1679" w:type="dxa"/>
            <w:tcBorders>
              <w:left w:val="single" w:sz="4" w:space="0" w:color="auto"/>
              <w:right w:val="single" w:sz="4" w:space="0" w:color="auto"/>
            </w:tcBorders>
          </w:tcPr>
          <w:p w14:paraId="6225D9E0" w14:textId="77777777" w:rsidR="00C21F0E" w:rsidRPr="00C21F0E" w:rsidRDefault="00C21F0E" w:rsidP="00C21F0E">
            <w:pPr>
              <w:spacing w:line="0" w:lineRule="atLeast"/>
              <w:ind w:right="510"/>
              <w:jc w:val="right"/>
              <w:rPr>
                <w:rFonts w:eastAsia="Calibri"/>
                <w:sz w:val="18"/>
                <w:szCs w:val="18"/>
                <w:lang w:eastAsia="en-US"/>
              </w:rPr>
            </w:pPr>
            <w:r w:rsidRPr="00C21F0E">
              <w:rPr>
                <w:rFonts w:eastAsia="Calibri"/>
                <w:sz w:val="18"/>
                <w:szCs w:val="18"/>
                <w:lang w:eastAsia="en-US"/>
              </w:rPr>
              <w:t>16.3</w:t>
            </w:r>
          </w:p>
        </w:tc>
      </w:tr>
      <w:tr w:rsidR="00C21F0E" w:rsidRPr="00C21F0E" w14:paraId="64FA3F83" w14:textId="77777777" w:rsidTr="001E7D79">
        <w:trPr>
          <w:jc w:val="center"/>
        </w:trPr>
        <w:tc>
          <w:tcPr>
            <w:tcW w:w="2922" w:type="dxa"/>
            <w:tcBorders>
              <w:left w:val="single" w:sz="4" w:space="0" w:color="auto"/>
              <w:right w:val="single" w:sz="4" w:space="0" w:color="auto"/>
            </w:tcBorders>
            <w:vAlign w:val="center"/>
          </w:tcPr>
          <w:p w14:paraId="48EDF690" w14:textId="77777777" w:rsidR="00C21F0E" w:rsidRPr="00C21F0E" w:rsidRDefault="00C21F0E" w:rsidP="00C21F0E">
            <w:pPr>
              <w:spacing w:line="0" w:lineRule="atLeast"/>
              <w:rPr>
                <w:rFonts w:eastAsia="Calibri"/>
                <w:b/>
                <w:sz w:val="18"/>
                <w:szCs w:val="18"/>
                <w:lang w:eastAsia="en-US"/>
              </w:rPr>
            </w:pPr>
            <w:r w:rsidRPr="00C21F0E">
              <w:rPr>
                <w:rFonts w:eastAsia="Calibri"/>
                <w:sz w:val="18"/>
                <w:szCs w:val="18"/>
                <w:lang w:eastAsia="en-US"/>
              </w:rPr>
              <w:t>Durango</w:t>
            </w:r>
          </w:p>
        </w:tc>
        <w:tc>
          <w:tcPr>
            <w:tcW w:w="1418" w:type="dxa"/>
            <w:tcBorders>
              <w:left w:val="single" w:sz="4" w:space="0" w:color="auto"/>
              <w:right w:val="single" w:sz="4" w:space="0" w:color="auto"/>
            </w:tcBorders>
            <w:vAlign w:val="center"/>
          </w:tcPr>
          <w:p w14:paraId="6C18D1D8"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2 363</w:t>
            </w:r>
          </w:p>
        </w:tc>
        <w:tc>
          <w:tcPr>
            <w:tcW w:w="1330" w:type="dxa"/>
            <w:tcBorders>
              <w:left w:val="single" w:sz="4" w:space="0" w:color="auto"/>
              <w:right w:val="single" w:sz="4" w:space="0" w:color="auto"/>
            </w:tcBorders>
            <w:vAlign w:val="center"/>
          </w:tcPr>
          <w:p w14:paraId="0F373C04"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2 166</w:t>
            </w:r>
          </w:p>
        </w:tc>
        <w:tc>
          <w:tcPr>
            <w:tcW w:w="1679" w:type="dxa"/>
            <w:tcBorders>
              <w:left w:val="single" w:sz="4" w:space="0" w:color="auto"/>
              <w:right w:val="single" w:sz="4" w:space="0" w:color="auto"/>
            </w:tcBorders>
            <w:vAlign w:val="center"/>
          </w:tcPr>
          <w:p w14:paraId="55061256" w14:textId="77777777" w:rsidR="00C21F0E" w:rsidRPr="00C21F0E" w:rsidRDefault="00C21F0E" w:rsidP="00C21F0E">
            <w:pPr>
              <w:spacing w:line="0" w:lineRule="atLeast"/>
              <w:ind w:right="510"/>
              <w:jc w:val="right"/>
              <w:rPr>
                <w:rFonts w:eastAsia="Calibri"/>
                <w:sz w:val="18"/>
                <w:szCs w:val="18"/>
                <w:lang w:eastAsia="en-US"/>
              </w:rPr>
            </w:pPr>
            <w:r w:rsidRPr="00C21F0E">
              <w:rPr>
                <w:rFonts w:eastAsia="Calibri"/>
                <w:sz w:val="18"/>
                <w:szCs w:val="18"/>
                <w:lang w:eastAsia="en-US"/>
              </w:rPr>
              <w:t>-8.3</w:t>
            </w:r>
          </w:p>
        </w:tc>
      </w:tr>
      <w:tr w:rsidR="00C21F0E" w:rsidRPr="00C21F0E" w14:paraId="3A30C9E5" w14:textId="77777777" w:rsidTr="001E7D79">
        <w:trPr>
          <w:jc w:val="center"/>
        </w:trPr>
        <w:tc>
          <w:tcPr>
            <w:tcW w:w="2922" w:type="dxa"/>
            <w:tcBorders>
              <w:left w:val="single" w:sz="4" w:space="0" w:color="auto"/>
              <w:right w:val="single" w:sz="4" w:space="0" w:color="auto"/>
            </w:tcBorders>
            <w:vAlign w:val="center"/>
          </w:tcPr>
          <w:p w14:paraId="6F636F5C" w14:textId="77777777" w:rsidR="00C21F0E" w:rsidRPr="00C21F0E" w:rsidRDefault="00C21F0E" w:rsidP="00C21F0E">
            <w:pPr>
              <w:spacing w:line="0" w:lineRule="atLeast"/>
              <w:rPr>
                <w:rFonts w:eastAsia="Calibri"/>
                <w:b/>
                <w:sz w:val="18"/>
                <w:szCs w:val="18"/>
                <w:lang w:eastAsia="en-US"/>
              </w:rPr>
            </w:pPr>
            <w:r w:rsidRPr="00C21F0E">
              <w:rPr>
                <w:rFonts w:eastAsia="Calibri"/>
                <w:b/>
                <w:sz w:val="18"/>
                <w:szCs w:val="18"/>
                <w:lang w:eastAsia="en-US"/>
              </w:rPr>
              <w:t>Cobre</w:t>
            </w:r>
          </w:p>
        </w:tc>
        <w:tc>
          <w:tcPr>
            <w:tcW w:w="1418" w:type="dxa"/>
            <w:tcBorders>
              <w:left w:val="single" w:sz="4" w:space="0" w:color="auto"/>
              <w:right w:val="single" w:sz="4" w:space="0" w:color="auto"/>
            </w:tcBorders>
            <w:vAlign w:val="center"/>
          </w:tcPr>
          <w:p w14:paraId="54B41667" w14:textId="77777777" w:rsidR="00C21F0E" w:rsidRPr="00C21F0E" w:rsidRDefault="00C21F0E" w:rsidP="00C21F0E">
            <w:pPr>
              <w:spacing w:line="0" w:lineRule="atLeast"/>
              <w:ind w:right="227"/>
              <w:jc w:val="right"/>
              <w:rPr>
                <w:rFonts w:eastAsia="Calibri"/>
                <w:b/>
                <w:sz w:val="18"/>
                <w:szCs w:val="18"/>
                <w:lang w:eastAsia="en-US"/>
              </w:rPr>
            </w:pPr>
            <w:r w:rsidRPr="00C21F0E">
              <w:rPr>
                <w:rFonts w:eastAsia="Calibri"/>
                <w:b/>
                <w:sz w:val="18"/>
                <w:szCs w:val="18"/>
                <w:lang w:eastAsia="en-US"/>
              </w:rPr>
              <w:t>43 719</w:t>
            </w:r>
          </w:p>
        </w:tc>
        <w:tc>
          <w:tcPr>
            <w:tcW w:w="1330" w:type="dxa"/>
            <w:tcBorders>
              <w:left w:val="single" w:sz="4" w:space="0" w:color="auto"/>
              <w:right w:val="single" w:sz="4" w:space="0" w:color="auto"/>
            </w:tcBorders>
            <w:vAlign w:val="center"/>
          </w:tcPr>
          <w:p w14:paraId="1BCC6289" w14:textId="77777777" w:rsidR="00C21F0E" w:rsidRPr="00C21F0E" w:rsidRDefault="00C21F0E" w:rsidP="00C21F0E">
            <w:pPr>
              <w:spacing w:line="0" w:lineRule="atLeast"/>
              <w:ind w:right="227"/>
              <w:jc w:val="right"/>
              <w:rPr>
                <w:rFonts w:eastAsia="Calibri"/>
                <w:b/>
                <w:sz w:val="18"/>
                <w:szCs w:val="18"/>
                <w:lang w:eastAsia="en-US"/>
              </w:rPr>
            </w:pPr>
            <w:r w:rsidRPr="00C21F0E">
              <w:rPr>
                <w:rFonts w:eastAsia="Calibri"/>
                <w:b/>
                <w:sz w:val="18"/>
                <w:szCs w:val="18"/>
                <w:lang w:eastAsia="en-US"/>
              </w:rPr>
              <w:t>44 188</w:t>
            </w:r>
          </w:p>
        </w:tc>
        <w:tc>
          <w:tcPr>
            <w:tcW w:w="1679" w:type="dxa"/>
            <w:tcBorders>
              <w:left w:val="single" w:sz="4" w:space="0" w:color="auto"/>
              <w:right w:val="single" w:sz="4" w:space="0" w:color="auto"/>
            </w:tcBorders>
            <w:vAlign w:val="center"/>
          </w:tcPr>
          <w:p w14:paraId="0AECD194" w14:textId="77777777" w:rsidR="00C21F0E" w:rsidRPr="00C21F0E" w:rsidRDefault="00C21F0E" w:rsidP="00C21F0E">
            <w:pPr>
              <w:spacing w:line="0" w:lineRule="atLeast"/>
              <w:ind w:right="510"/>
              <w:jc w:val="right"/>
              <w:rPr>
                <w:rFonts w:eastAsia="Calibri"/>
                <w:b/>
                <w:sz w:val="18"/>
                <w:szCs w:val="18"/>
                <w:lang w:eastAsia="en-US"/>
              </w:rPr>
            </w:pPr>
            <w:r w:rsidRPr="00C21F0E">
              <w:rPr>
                <w:rFonts w:eastAsia="Calibri"/>
                <w:b/>
                <w:sz w:val="18"/>
                <w:szCs w:val="18"/>
                <w:lang w:eastAsia="en-US"/>
              </w:rPr>
              <w:t>1.1</w:t>
            </w:r>
          </w:p>
        </w:tc>
      </w:tr>
      <w:tr w:rsidR="00C21F0E" w:rsidRPr="00C21F0E" w14:paraId="073FADB9" w14:textId="77777777" w:rsidTr="001E7D79">
        <w:trPr>
          <w:jc w:val="center"/>
        </w:trPr>
        <w:tc>
          <w:tcPr>
            <w:tcW w:w="2922" w:type="dxa"/>
            <w:tcBorders>
              <w:left w:val="single" w:sz="4" w:space="0" w:color="auto"/>
              <w:right w:val="single" w:sz="4" w:space="0" w:color="auto"/>
            </w:tcBorders>
            <w:vAlign w:val="center"/>
          </w:tcPr>
          <w:p w14:paraId="7CBE39B1" w14:textId="77777777" w:rsidR="00C21F0E" w:rsidRPr="00C21F0E" w:rsidRDefault="00C21F0E" w:rsidP="00C21F0E">
            <w:pPr>
              <w:spacing w:line="0" w:lineRule="atLeast"/>
              <w:rPr>
                <w:rFonts w:eastAsia="Calibri"/>
                <w:sz w:val="18"/>
                <w:szCs w:val="18"/>
                <w:lang w:eastAsia="en-US"/>
              </w:rPr>
            </w:pPr>
            <w:r w:rsidRPr="00C21F0E">
              <w:rPr>
                <w:rFonts w:eastAsia="Calibri"/>
                <w:sz w:val="18"/>
                <w:szCs w:val="18"/>
                <w:lang w:eastAsia="en-US"/>
              </w:rPr>
              <w:t>Sonora</w:t>
            </w:r>
          </w:p>
        </w:tc>
        <w:tc>
          <w:tcPr>
            <w:tcW w:w="1418" w:type="dxa"/>
            <w:tcBorders>
              <w:left w:val="single" w:sz="4" w:space="0" w:color="auto"/>
              <w:right w:val="single" w:sz="4" w:space="0" w:color="auto"/>
            </w:tcBorders>
          </w:tcPr>
          <w:p w14:paraId="28B843E6"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33 420</w:t>
            </w:r>
          </w:p>
        </w:tc>
        <w:tc>
          <w:tcPr>
            <w:tcW w:w="1330" w:type="dxa"/>
            <w:tcBorders>
              <w:left w:val="single" w:sz="4" w:space="0" w:color="auto"/>
              <w:right w:val="single" w:sz="4" w:space="0" w:color="auto"/>
            </w:tcBorders>
          </w:tcPr>
          <w:p w14:paraId="40118720"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35 276</w:t>
            </w:r>
          </w:p>
        </w:tc>
        <w:tc>
          <w:tcPr>
            <w:tcW w:w="1679" w:type="dxa"/>
            <w:tcBorders>
              <w:left w:val="single" w:sz="4" w:space="0" w:color="auto"/>
              <w:right w:val="single" w:sz="4" w:space="0" w:color="auto"/>
            </w:tcBorders>
          </w:tcPr>
          <w:p w14:paraId="7B79B5C8" w14:textId="77777777" w:rsidR="00C21F0E" w:rsidRPr="00C21F0E" w:rsidRDefault="00C21F0E" w:rsidP="00C21F0E">
            <w:pPr>
              <w:spacing w:line="0" w:lineRule="atLeast"/>
              <w:ind w:right="510"/>
              <w:jc w:val="right"/>
              <w:rPr>
                <w:rFonts w:eastAsia="Calibri"/>
                <w:sz w:val="18"/>
                <w:szCs w:val="18"/>
                <w:lang w:eastAsia="en-US"/>
              </w:rPr>
            </w:pPr>
            <w:r w:rsidRPr="00C21F0E">
              <w:rPr>
                <w:rFonts w:eastAsia="Calibri"/>
                <w:sz w:val="18"/>
                <w:szCs w:val="18"/>
                <w:lang w:eastAsia="en-US"/>
              </w:rPr>
              <w:t>5.6</w:t>
            </w:r>
          </w:p>
        </w:tc>
      </w:tr>
      <w:tr w:rsidR="00C21F0E" w:rsidRPr="00C21F0E" w14:paraId="454B1634" w14:textId="77777777" w:rsidTr="001E7D79">
        <w:trPr>
          <w:jc w:val="center"/>
        </w:trPr>
        <w:tc>
          <w:tcPr>
            <w:tcW w:w="2922" w:type="dxa"/>
            <w:tcBorders>
              <w:left w:val="single" w:sz="4" w:space="0" w:color="auto"/>
              <w:right w:val="single" w:sz="4" w:space="0" w:color="auto"/>
            </w:tcBorders>
            <w:vAlign w:val="center"/>
          </w:tcPr>
          <w:p w14:paraId="30F8539F" w14:textId="77777777" w:rsidR="00C21F0E" w:rsidRPr="00C21F0E" w:rsidRDefault="00C21F0E" w:rsidP="00C21F0E">
            <w:pPr>
              <w:spacing w:line="0" w:lineRule="atLeast"/>
              <w:rPr>
                <w:rFonts w:eastAsia="Calibri"/>
                <w:sz w:val="18"/>
                <w:szCs w:val="18"/>
                <w:lang w:eastAsia="en-US"/>
              </w:rPr>
            </w:pPr>
            <w:r w:rsidRPr="00C21F0E">
              <w:rPr>
                <w:rFonts w:eastAsia="Calibri"/>
                <w:sz w:val="18"/>
                <w:szCs w:val="18"/>
                <w:lang w:eastAsia="en-US"/>
              </w:rPr>
              <w:t>Zacatecas</w:t>
            </w:r>
          </w:p>
        </w:tc>
        <w:tc>
          <w:tcPr>
            <w:tcW w:w="1418" w:type="dxa"/>
            <w:tcBorders>
              <w:left w:val="single" w:sz="4" w:space="0" w:color="auto"/>
              <w:right w:val="single" w:sz="4" w:space="0" w:color="auto"/>
            </w:tcBorders>
          </w:tcPr>
          <w:p w14:paraId="41ACC431"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4 612</w:t>
            </w:r>
          </w:p>
        </w:tc>
        <w:tc>
          <w:tcPr>
            <w:tcW w:w="1330" w:type="dxa"/>
            <w:tcBorders>
              <w:left w:val="single" w:sz="4" w:space="0" w:color="auto"/>
              <w:right w:val="single" w:sz="4" w:space="0" w:color="auto"/>
            </w:tcBorders>
          </w:tcPr>
          <w:p w14:paraId="1BEF65F1"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3 781</w:t>
            </w:r>
          </w:p>
        </w:tc>
        <w:tc>
          <w:tcPr>
            <w:tcW w:w="1679" w:type="dxa"/>
            <w:tcBorders>
              <w:left w:val="single" w:sz="4" w:space="0" w:color="auto"/>
              <w:right w:val="single" w:sz="4" w:space="0" w:color="auto"/>
            </w:tcBorders>
          </w:tcPr>
          <w:p w14:paraId="4A2695BB" w14:textId="77777777" w:rsidR="00C21F0E" w:rsidRPr="00C21F0E" w:rsidRDefault="00C21F0E" w:rsidP="00C21F0E">
            <w:pPr>
              <w:spacing w:line="0" w:lineRule="atLeast"/>
              <w:ind w:right="510"/>
              <w:jc w:val="right"/>
              <w:rPr>
                <w:rFonts w:eastAsia="Calibri"/>
                <w:sz w:val="18"/>
                <w:szCs w:val="18"/>
                <w:lang w:eastAsia="en-US"/>
              </w:rPr>
            </w:pPr>
            <w:r w:rsidRPr="00C21F0E">
              <w:rPr>
                <w:rFonts w:eastAsia="Calibri"/>
                <w:sz w:val="18"/>
                <w:szCs w:val="18"/>
                <w:lang w:eastAsia="en-US"/>
              </w:rPr>
              <w:t>-18.0</w:t>
            </w:r>
          </w:p>
        </w:tc>
      </w:tr>
      <w:tr w:rsidR="00C21F0E" w:rsidRPr="00C21F0E" w14:paraId="35763D71" w14:textId="77777777" w:rsidTr="001E7D79">
        <w:trPr>
          <w:jc w:val="center"/>
        </w:trPr>
        <w:tc>
          <w:tcPr>
            <w:tcW w:w="2922" w:type="dxa"/>
            <w:tcBorders>
              <w:left w:val="single" w:sz="4" w:space="0" w:color="auto"/>
              <w:right w:val="single" w:sz="4" w:space="0" w:color="auto"/>
            </w:tcBorders>
            <w:vAlign w:val="center"/>
          </w:tcPr>
          <w:p w14:paraId="6C9F989D" w14:textId="77777777" w:rsidR="00C21F0E" w:rsidRPr="00C21F0E" w:rsidRDefault="00C21F0E" w:rsidP="00C21F0E">
            <w:pPr>
              <w:spacing w:line="0" w:lineRule="atLeast"/>
              <w:rPr>
                <w:rFonts w:eastAsia="Calibri"/>
                <w:sz w:val="18"/>
                <w:szCs w:val="18"/>
                <w:lang w:eastAsia="en-US"/>
              </w:rPr>
            </w:pPr>
            <w:r w:rsidRPr="00C21F0E">
              <w:rPr>
                <w:rFonts w:eastAsia="Calibri"/>
                <w:sz w:val="18"/>
                <w:szCs w:val="18"/>
                <w:lang w:eastAsia="en-US"/>
              </w:rPr>
              <w:t>San Luis Potosí</w:t>
            </w:r>
          </w:p>
        </w:tc>
        <w:tc>
          <w:tcPr>
            <w:tcW w:w="1418" w:type="dxa"/>
            <w:tcBorders>
              <w:left w:val="single" w:sz="4" w:space="0" w:color="auto"/>
              <w:right w:val="single" w:sz="4" w:space="0" w:color="auto"/>
            </w:tcBorders>
          </w:tcPr>
          <w:p w14:paraId="41AEA311"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2 108</w:t>
            </w:r>
          </w:p>
        </w:tc>
        <w:tc>
          <w:tcPr>
            <w:tcW w:w="1330" w:type="dxa"/>
            <w:tcBorders>
              <w:left w:val="single" w:sz="4" w:space="0" w:color="auto"/>
              <w:right w:val="single" w:sz="4" w:space="0" w:color="auto"/>
            </w:tcBorders>
          </w:tcPr>
          <w:p w14:paraId="63B28988"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2 168</w:t>
            </w:r>
          </w:p>
        </w:tc>
        <w:tc>
          <w:tcPr>
            <w:tcW w:w="1679" w:type="dxa"/>
            <w:tcBorders>
              <w:left w:val="single" w:sz="4" w:space="0" w:color="auto"/>
              <w:right w:val="single" w:sz="4" w:space="0" w:color="auto"/>
            </w:tcBorders>
          </w:tcPr>
          <w:p w14:paraId="535315C0" w14:textId="77777777" w:rsidR="00C21F0E" w:rsidRPr="00C21F0E" w:rsidRDefault="00C21F0E" w:rsidP="00C21F0E">
            <w:pPr>
              <w:spacing w:line="0" w:lineRule="atLeast"/>
              <w:ind w:right="510"/>
              <w:jc w:val="right"/>
              <w:rPr>
                <w:rFonts w:eastAsia="Calibri"/>
                <w:sz w:val="18"/>
                <w:szCs w:val="18"/>
                <w:lang w:eastAsia="en-US"/>
              </w:rPr>
            </w:pPr>
            <w:r w:rsidRPr="00C21F0E">
              <w:rPr>
                <w:rFonts w:eastAsia="Calibri"/>
                <w:sz w:val="18"/>
                <w:szCs w:val="18"/>
                <w:lang w:eastAsia="en-US"/>
              </w:rPr>
              <w:t>2.8</w:t>
            </w:r>
          </w:p>
        </w:tc>
      </w:tr>
      <w:tr w:rsidR="00C21F0E" w:rsidRPr="00C21F0E" w14:paraId="101FAABB" w14:textId="77777777" w:rsidTr="001E7D79">
        <w:trPr>
          <w:jc w:val="center"/>
        </w:trPr>
        <w:tc>
          <w:tcPr>
            <w:tcW w:w="2922" w:type="dxa"/>
            <w:tcBorders>
              <w:left w:val="single" w:sz="4" w:space="0" w:color="auto"/>
              <w:right w:val="single" w:sz="4" w:space="0" w:color="auto"/>
            </w:tcBorders>
            <w:vAlign w:val="center"/>
          </w:tcPr>
          <w:p w14:paraId="141FF7F6" w14:textId="77777777" w:rsidR="00C21F0E" w:rsidRPr="00C21F0E" w:rsidRDefault="00C21F0E" w:rsidP="00C21F0E">
            <w:pPr>
              <w:spacing w:line="0" w:lineRule="atLeast"/>
              <w:rPr>
                <w:rFonts w:eastAsia="Calibri"/>
                <w:b/>
                <w:sz w:val="18"/>
                <w:szCs w:val="18"/>
                <w:lang w:eastAsia="en-US"/>
              </w:rPr>
            </w:pPr>
            <w:r w:rsidRPr="00C21F0E">
              <w:rPr>
                <w:rFonts w:eastAsia="Calibri"/>
                <w:b/>
                <w:sz w:val="18"/>
                <w:szCs w:val="18"/>
                <w:lang w:eastAsia="en-US"/>
              </w:rPr>
              <w:t>Zinc</w:t>
            </w:r>
          </w:p>
        </w:tc>
        <w:tc>
          <w:tcPr>
            <w:tcW w:w="1418" w:type="dxa"/>
            <w:tcBorders>
              <w:left w:val="single" w:sz="4" w:space="0" w:color="auto"/>
              <w:right w:val="single" w:sz="4" w:space="0" w:color="auto"/>
            </w:tcBorders>
          </w:tcPr>
          <w:p w14:paraId="29785F07" w14:textId="77777777" w:rsidR="00C21F0E" w:rsidRPr="00C21F0E" w:rsidRDefault="00C21F0E" w:rsidP="00C21F0E">
            <w:pPr>
              <w:spacing w:line="0" w:lineRule="atLeast"/>
              <w:ind w:right="227"/>
              <w:jc w:val="right"/>
              <w:rPr>
                <w:rFonts w:eastAsia="Calibri"/>
                <w:b/>
                <w:sz w:val="18"/>
                <w:szCs w:val="18"/>
                <w:lang w:eastAsia="en-US"/>
              </w:rPr>
            </w:pPr>
            <w:r w:rsidRPr="00C21F0E">
              <w:rPr>
                <w:rFonts w:eastAsia="Calibri"/>
                <w:b/>
                <w:sz w:val="18"/>
                <w:szCs w:val="18"/>
                <w:lang w:eastAsia="en-US"/>
              </w:rPr>
              <w:t>58 700</w:t>
            </w:r>
          </w:p>
        </w:tc>
        <w:tc>
          <w:tcPr>
            <w:tcW w:w="1330" w:type="dxa"/>
            <w:tcBorders>
              <w:left w:val="single" w:sz="4" w:space="0" w:color="auto"/>
              <w:right w:val="single" w:sz="4" w:space="0" w:color="auto"/>
            </w:tcBorders>
          </w:tcPr>
          <w:p w14:paraId="09E24E09" w14:textId="77777777" w:rsidR="00C21F0E" w:rsidRPr="00C21F0E" w:rsidRDefault="00C21F0E" w:rsidP="00C21F0E">
            <w:pPr>
              <w:spacing w:line="0" w:lineRule="atLeast"/>
              <w:ind w:right="227"/>
              <w:jc w:val="right"/>
              <w:rPr>
                <w:rFonts w:eastAsia="Calibri"/>
                <w:b/>
                <w:sz w:val="18"/>
                <w:szCs w:val="18"/>
                <w:lang w:eastAsia="en-US"/>
              </w:rPr>
            </w:pPr>
            <w:r w:rsidRPr="00C21F0E">
              <w:rPr>
                <w:rFonts w:eastAsia="Calibri"/>
                <w:b/>
                <w:sz w:val="18"/>
                <w:szCs w:val="18"/>
                <w:lang w:eastAsia="en-US"/>
              </w:rPr>
              <w:t>54 193</w:t>
            </w:r>
          </w:p>
        </w:tc>
        <w:tc>
          <w:tcPr>
            <w:tcW w:w="1679" w:type="dxa"/>
            <w:tcBorders>
              <w:left w:val="single" w:sz="4" w:space="0" w:color="auto"/>
              <w:right w:val="single" w:sz="4" w:space="0" w:color="auto"/>
            </w:tcBorders>
          </w:tcPr>
          <w:p w14:paraId="49D8757A" w14:textId="77777777" w:rsidR="00C21F0E" w:rsidRPr="00C21F0E" w:rsidRDefault="00C21F0E" w:rsidP="00C21F0E">
            <w:pPr>
              <w:spacing w:line="0" w:lineRule="atLeast"/>
              <w:ind w:right="510"/>
              <w:jc w:val="right"/>
              <w:rPr>
                <w:rFonts w:eastAsia="Calibri"/>
                <w:b/>
                <w:sz w:val="18"/>
                <w:szCs w:val="18"/>
                <w:lang w:eastAsia="en-US"/>
              </w:rPr>
            </w:pPr>
            <w:r w:rsidRPr="00C21F0E">
              <w:rPr>
                <w:rFonts w:eastAsia="Calibri"/>
                <w:b/>
                <w:sz w:val="18"/>
                <w:szCs w:val="18"/>
                <w:lang w:eastAsia="en-US"/>
              </w:rPr>
              <w:t>-7.7</w:t>
            </w:r>
          </w:p>
        </w:tc>
      </w:tr>
      <w:tr w:rsidR="00C21F0E" w:rsidRPr="00C21F0E" w14:paraId="65AE8383" w14:textId="77777777" w:rsidTr="001E7D79">
        <w:trPr>
          <w:jc w:val="center"/>
        </w:trPr>
        <w:tc>
          <w:tcPr>
            <w:tcW w:w="2922" w:type="dxa"/>
            <w:tcBorders>
              <w:left w:val="single" w:sz="4" w:space="0" w:color="auto"/>
              <w:right w:val="single" w:sz="4" w:space="0" w:color="auto"/>
            </w:tcBorders>
            <w:vAlign w:val="center"/>
          </w:tcPr>
          <w:p w14:paraId="29E58082" w14:textId="77777777" w:rsidR="00C21F0E" w:rsidRPr="00C21F0E" w:rsidRDefault="00C21F0E" w:rsidP="00C21F0E">
            <w:pPr>
              <w:spacing w:line="0" w:lineRule="atLeast"/>
              <w:rPr>
                <w:rFonts w:eastAsia="Calibri"/>
                <w:sz w:val="18"/>
                <w:szCs w:val="18"/>
                <w:lang w:eastAsia="en-US"/>
              </w:rPr>
            </w:pPr>
            <w:r w:rsidRPr="00C21F0E">
              <w:rPr>
                <w:rFonts w:eastAsia="Calibri"/>
                <w:sz w:val="18"/>
                <w:szCs w:val="18"/>
                <w:lang w:eastAsia="en-US"/>
              </w:rPr>
              <w:t>Zacatecas</w:t>
            </w:r>
          </w:p>
        </w:tc>
        <w:tc>
          <w:tcPr>
            <w:tcW w:w="1418" w:type="dxa"/>
            <w:tcBorders>
              <w:left w:val="single" w:sz="4" w:space="0" w:color="auto"/>
              <w:right w:val="single" w:sz="4" w:space="0" w:color="auto"/>
            </w:tcBorders>
          </w:tcPr>
          <w:p w14:paraId="647FB405"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24 977</w:t>
            </w:r>
          </w:p>
        </w:tc>
        <w:tc>
          <w:tcPr>
            <w:tcW w:w="1330" w:type="dxa"/>
            <w:tcBorders>
              <w:left w:val="single" w:sz="4" w:space="0" w:color="auto"/>
              <w:right w:val="single" w:sz="4" w:space="0" w:color="auto"/>
            </w:tcBorders>
          </w:tcPr>
          <w:p w14:paraId="122A17E2"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22 205</w:t>
            </w:r>
          </w:p>
        </w:tc>
        <w:tc>
          <w:tcPr>
            <w:tcW w:w="1679" w:type="dxa"/>
            <w:tcBorders>
              <w:left w:val="single" w:sz="4" w:space="0" w:color="auto"/>
              <w:right w:val="single" w:sz="4" w:space="0" w:color="auto"/>
            </w:tcBorders>
          </w:tcPr>
          <w:p w14:paraId="73E2FA70" w14:textId="77777777" w:rsidR="00C21F0E" w:rsidRPr="00C21F0E" w:rsidRDefault="00C21F0E" w:rsidP="00C21F0E">
            <w:pPr>
              <w:spacing w:line="0" w:lineRule="atLeast"/>
              <w:ind w:right="510"/>
              <w:jc w:val="right"/>
              <w:rPr>
                <w:rFonts w:eastAsia="Calibri"/>
                <w:sz w:val="18"/>
                <w:szCs w:val="18"/>
                <w:lang w:eastAsia="en-US"/>
              </w:rPr>
            </w:pPr>
            <w:r w:rsidRPr="00C21F0E">
              <w:rPr>
                <w:rFonts w:eastAsia="Calibri"/>
                <w:sz w:val="18"/>
                <w:szCs w:val="18"/>
                <w:lang w:eastAsia="en-US"/>
              </w:rPr>
              <w:t>-11.1</w:t>
            </w:r>
          </w:p>
        </w:tc>
      </w:tr>
      <w:tr w:rsidR="00C21F0E" w:rsidRPr="00C21F0E" w14:paraId="0B44EA94" w14:textId="77777777" w:rsidTr="001E7D79">
        <w:trPr>
          <w:jc w:val="center"/>
        </w:trPr>
        <w:tc>
          <w:tcPr>
            <w:tcW w:w="2922" w:type="dxa"/>
            <w:tcBorders>
              <w:left w:val="single" w:sz="4" w:space="0" w:color="auto"/>
              <w:right w:val="single" w:sz="4" w:space="0" w:color="auto"/>
            </w:tcBorders>
            <w:vAlign w:val="center"/>
          </w:tcPr>
          <w:p w14:paraId="72F816EC" w14:textId="77777777" w:rsidR="00C21F0E" w:rsidRPr="00C21F0E" w:rsidRDefault="00C21F0E" w:rsidP="00C21F0E">
            <w:pPr>
              <w:spacing w:line="0" w:lineRule="atLeast"/>
              <w:rPr>
                <w:rFonts w:eastAsia="Calibri"/>
                <w:sz w:val="18"/>
                <w:szCs w:val="18"/>
                <w:lang w:eastAsia="en-US"/>
              </w:rPr>
            </w:pPr>
            <w:r w:rsidRPr="00C21F0E">
              <w:rPr>
                <w:rFonts w:eastAsia="Calibri"/>
                <w:sz w:val="18"/>
                <w:szCs w:val="18"/>
                <w:lang w:eastAsia="en-US"/>
              </w:rPr>
              <w:t>Chihuahua</w:t>
            </w:r>
          </w:p>
        </w:tc>
        <w:tc>
          <w:tcPr>
            <w:tcW w:w="1418" w:type="dxa"/>
            <w:tcBorders>
              <w:left w:val="single" w:sz="4" w:space="0" w:color="auto"/>
              <w:right w:val="single" w:sz="4" w:space="0" w:color="auto"/>
            </w:tcBorders>
          </w:tcPr>
          <w:p w14:paraId="32944FE0"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10 642</w:t>
            </w:r>
          </w:p>
        </w:tc>
        <w:tc>
          <w:tcPr>
            <w:tcW w:w="1330" w:type="dxa"/>
            <w:tcBorders>
              <w:left w:val="single" w:sz="4" w:space="0" w:color="auto"/>
              <w:right w:val="single" w:sz="4" w:space="0" w:color="auto"/>
            </w:tcBorders>
            <w:vAlign w:val="center"/>
          </w:tcPr>
          <w:p w14:paraId="7EC90CD4"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11 711</w:t>
            </w:r>
          </w:p>
        </w:tc>
        <w:tc>
          <w:tcPr>
            <w:tcW w:w="1679" w:type="dxa"/>
            <w:tcBorders>
              <w:left w:val="single" w:sz="4" w:space="0" w:color="auto"/>
              <w:right w:val="single" w:sz="4" w:space="0" w:color="auto"/>
            </w:tcBorders>
            <w:vAlign w:val="center"/>
          </w:tcPr>
          <w:p w14:paraId="01FE13A9" w14:textId="77777777" w:rsidR="00C21F0E" w:rsidRPr="00C21F0E" w:rsidRDefault="00C21F0E" w:rsidP="00C21F0E">
            <w:pPr>
              <w:spacing w:line="0" w:lineRule="atLeast"/>
              <w:ind w:right="510"/>
              <w:jc w:val="right"/>
              <w:rPr>
                <w:rFonts w:eastAsia="Calibri"/>
                <w:sz w:val="18"/>
                <w:szCs w:val="18"/>
                <w:lang w:eastAsia="en-US"/>
              </w:rPr>
            </w:pPr>
            <w:r w:rsidRPr="00C21F0E">
              <w:rPr>
                <w:rFonts w:eastAsia="Calibri"/>
                <w:sz w:val="18"/>
                <w:szCs w:val="18"/>
                <w:lang w:eastAsia="en-US"/>
              </w:rPr>
              <w:t>10.0</w:t>
            </w:r>
          </w:p>
        </w:tc>
      </w:tr>
      <w:tr w:rsidR="00C21F0E" w:rsidRPr="00C21F0E" w14:paraId="1D2A60BD" w14:textId="77777777" w:rsidTr="001E7D79">
        <w:trPr>
          <w:jc w:val="center"/>
        </w:trPr>
        <w:tc>
          <w:tcPr>
            <w:tcW w:w="2922" w:type="dxa"/>
            <w:tcBorders>
              <w:left w:val="single" w:sz="4" w:space="0" w:color="auto"/>
              <w:right w:val="single" w:sz="4" w:space="0" w:color="auto"/>
            </w:tcBorders>
            <w:vAlign w:val="center"/>
          </w:tcPr>
          <w:p w14:paraId="6DE7DB60" w14:textId="77777777" w:rsidR="00C21F0E" w:rsidRPr="00C21F0E" w:rsidRDefault="00C21F0E" w:rsidP="00C21F0E">
            <w:pPr>
              <w:spacing w:line="0" w:lineRule="atLeast"/>
              <w:rPr>
                <w:rFonts w:eastAsia="Calibri"/>
                <w:sz w:val="18"/>
                <w:szCs w:val="18"/>
                <w:lang w:eastAsia="en-US"/>
              </w:rPr>
            </w:pPr>
            <w:r w:rsidRPr="00C21F0E">
              <w:rPr>
                <w:rFonts w:eastAsia="Calibri"/>
                <w:sz w:val="18"/>
                <w:szCs w:val="18"/>
                <w:lang w:eastAsia="en-US"/>
              </w:rPr>
              <w:t>Durango</w:t>
            </w:r>
          </w:p>
        </w:tc>
        <w:tc>
          <w:tcPr>
            <w:tcW w:w="1418" w:type="dxa"/>
            <w:tcBorders>
              <w:left w:val="single" w:sz="4" w:space="0" w:color="auto"/>
              <w:right w:val="single" w:sz="4" w:space="0" w:color="auto"/>
            </w:tcBorders>
          </w:tcPr>
          <w:p w14:paraId="72D7D7C4"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7 859</w:t>
            </w:r>
          </w:p>
        </w:tc>
        <w:tc>
          <w:tcPr>
            <w:tcW w:w="1330" w:type="dxa"/>
            <w:tcBorders>
              <w:left w:val="single" w:sz="4" w:space="0" w:color="auto"/>
              <w:right w:val="single" w:sz="4" w:space="0" w:color="auto"/>
            </w:tcBorders>
          </w:tcPr>
          <w:p w14:paraId="5D7D6C78"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8 781</w:t>
            </w:r>
          </w:p>
        </w:tc>
        <w:tc>
          <w:tcPr>
            <w:tcW w:w="1679" w:type="dxa"/>
            <w:tcBorders>
              <w:left w:val="single" w:sz="4" w:space="0" w:color="auto"/>
              <w:right w:val="single" w:sz="4" w:space="0" w:color="auto"/>
            </w:tcBorders>
          </w:tcPr>
          <w:p w14:paraId="2FB71195" w14:textId="77777777" w:rsidR="00C21F0E" w:rsidRPr="00C21F0E" w:rsidRDefault="00C21F0E" w:rsidP="00C21F0E">
            <w:pPr>
              <w:spacing w:line="0" w:lineRule="atLeast"/>
              <w:ind w:right="510"/>
              <w:jc w:val="right"/>
              <w:rPr>
                <w:rFonts w:eastAsia="Calibri"/>
                <w:sz w:val="18"/>
                <w:szCs w:val="18"/>
                <w:lang w:eastAsia="en-US"/>
              </w:rPr>
            </w:pPr>
            <w:r w:rsidRPr="00C21F0E">
              <w:rPr>
                <w:rFonts w:eastAsia="Calibri"/>
                <w:sz w:val="18"/>
                <w:szCs w:val="18"/>
                <w:lang w:eastAsia="en-US"/>
              </w:rPr>
              <w:t>11.7</w:t>
            </w:r>
          </w:p>
        </w:tc>
      </w:tr>
      <w:tr w:rsidR="00C21F0E" w:rsidRPr="00C21F0E" w14:paraId="683F402C" w14:textId="77777777" w:rsidTr="001E7D79">
        <w:trPr>
          <w:jc w:val="center"/>
        </w:trPr>
        <w:tc>
          <w:tcPr>
            <w:tcW w:w="2922" w:type="dxa"/>
            <w:tcBorders>
              <w:left w:val="single" w:sz="4" w:space="0" w:color="auto"/>
              <w:right w:val="single" w:sz="4" w:space="0" w:color="auto"/>
            </w:tcBorders>
            <w:vAlign w:val="center"/>
          </w:tcPr>
          <w:p w14:paraId="7DCE03CE" w14:textId="77777777" w:rsidR="00C21F0E" w:rsidRPr="00C21F0E" w:rsidRDefault="00C21F0E" w:rsidP="00C21F0E">
            <w:pPr>
              <w:spacing w:line="0" w:lineRule="atLeast"/>
              <w:rPr>
                <w:rFonts w:eastAsia="Calibri"/>
                <w:sz w:val="18"/>
                <w:szCs w:val="18"/>
                <w:lang w:eastAsia="en-US"/>
              </w:rPr>
            </w:pPr>
            <w:r w:rsidRPr="00C21F0E">
              <w:rPr>
                <w:rFonts w:eastAsia="Calibri"/>
                <w:sz w:val="18"/>
                <w:szCs w:val="18"/>
                <w:lang w:eastAsia="en-US"/>
              </w:rPr>
              <w:t>Estado de México</w:t>
            </w:r>
          </w:p>
        </w:tc>
        <w:tc>
          <w:tcPr>
            <w:tcW w:w="1418" w:type="dxa"/>
            <w:tcBorders>
              <w:left w:val="single" w:sz="4" w:space="0" w:color="auto"/>
              <w:right w:val="single" w:sz="4" w:space="0" w:color="auto"/>
            </w:tcBorders>
          </w:tcPr>
          <w:p w14:paraId="6374EB2C"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3 581</w:t>
            </w:r>
          </w:p>
        </w:tc>
        <w:tc>
          <w:tcPr>
            <w:tcW w:w="1330" w:type="dxa"/>
            <w:tcBorders>
              <w:left w:val="single" w:sz="4" w:space="0" w:color="auto"/>
              <w:right w:val="single" w:sz="4" w:space="0" w:color="auto"/>
            </w:tcBorders>
          </w:tcPr>
          <w:p w14:paraId="176EE236"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3 419</w:t>
            </w:r>
          </w:p>
        </w:tc>
        <w:tc>
          <w:tcPr>
            <w:tcW w:w="1679" w:type="dxa"/>
            <w:tcBorders>
              <w:left w:val="single" w:sz="4" w:space="0" w:color="auto"/>
              <w:right w:val="single" w:sz="4" w:space="0" w:color="auto"/>
            </w:tcBorders>
          </w:tcPr>
          <w:p w14:paraId="13E8E253" w14:textId="77777777" w:rsidR="00C21F0E" w:rsidRPr="00C21F0E" w:rsidRDefault="00C21F0E" w:rsidP="00C21F0E">
            <w:pPr>
              <w:spacing w:line="0" w:lineRule="atLeast"/>
              <w:ind w:right="510"/>
              <w:jc w:val="right"/>
              <w:rPr>
                <w:rFonts w:eastAsia="Calibri"/>
                <w:sz w:val="18"/>
                <w:szCs w:val="18"/>
                <w:lang w:eastAsia="en-US"/>
              </w:rPr>
            </w:pPr>
            <w:r w:rsidRPr="00C21F0E">
              <w:rPr>
                <w:rFonts w:eastAsia="Calibri"/>
                <w:sz w:val="18"/>
                <w:szCs w:val="18"/>
                <w:lang w:eastAsia="en-US"/>
              </w:rPr>
              <w:t>-4.5</w:t>
            </w:r>
          </w:p>
        </w:tc>
      </w:tr>
      <w:tr w:rsidR="00C21F0E" w:rsidRPr="00C21F0E" w14:paraId="332D21E0" w14:textId="77777777" w:rsidTr="001E7D79">
        <w:trPr>
          <w:jc w:val="center"/>
        </w:trPr>
        <w:tc>
          <w:tcPr>
            <w:tcW w:w="2922" w:type="dxa"/>
            <w:tcBorders>
              <w:left w:val="single" w:sz="4" w:space="0" w:color="auto"/>
              <w:right w:val="single" w:sz="4" w:space="0" w:color="auto"/>
            </w:tcBorders>
            <w:vAlign w:val="center"/>
          </w:tcPr>
          <w:p w14:paraId="5D8DD6C3" w14:textId="77777777" w:rsidR="00C21F0E" w:rsidRPr="00C21F0E" w:rsidRDefault="00C21F0E" w:rsidP="00C21F0E">
            <w:pPr>
              <w:spacing w:line="0" w:lineRule="atLeast"/>
              <w:rPr>
                <w:rFonts w:eastAsia="Calibri"/>
                <w:b/>
                <w:sz w:val="18"/>
                <w:szCs w:val="18"/>
                <w:lang w:eastAsia="en-US"/>
              </w:rPr>
            </w:pPr>
            <w:r w:rsidRPr="00C21F0E">
              <w:rPr>
                <w:rFonts w:eastAsia="Calibri"/>
                <w:b/>
                <w:sz w:val="18"/>
                <w:szCs w:val="18"/>
                <w:lang w:eastAsia="en-US"/>
              </w:rPr>
              <w:t>Coque</w:t>
            </w:r>
          </w:p>
        </w:tc>
        <w:tc>
          <w:tcPr>
            <w:tcW w:w="1418" w:type="dxa"/>
            <w:tcBorders>
              <w:left w:val="single" w:sz="4" w:space="0" w:color="auto"/>
              <w:right w:val="single" w:sz="4" w:space="0" w:color="auto"/>
            </w:tcBorders>
          </w:tcPr>
          <w:p w14:paraId="2574DD92" w14:textId="77777777" w:rsidR="00C21F0E" w:rsidRPr="00C21F0E" w:rsidRDefault="00C21F0E" w:rsidP="00C21F0E">
            <w:pPr>
              <w:spacing w:line="0" w:lineRule="atLeast"/>
              <w:ind w:right="227"/>
              <w:jc w:val="right"/>
              <w:rPr>
                <w:rFonts w:eastAsia="Calibri"/>
                <w:b/>
                <w:sz w:val="18"/>
                <w:szCs w:val="18"/>
                <w:lang w:eastAsia="en-US"/>
              </w:rPr>
            </w:pPr>
            <w:r w:rsidRPr="00C21F0E">
              <w:rPr>
                <w:rFonts w:eastAsia="Calibri"/>
                <w:b/>
                <w:sz w:val="18"/>
                <w:szCs w:val="18"/>
                <w:lang w:eastAsia="en-US"/>
              </w:rPr>
              <w:t>192 771</w:t>
            </w:r>
          </w:p>
        </w:tc>
        <w:tc>
          <w:tcPr>
            <w:tcW w:w="1330" w:type="dxa"/>
            <w:tcBorders>
              <w:left w:val="single" w:sz="4" w:space="0" w:color="auto"/>
              <w:right w:val="single" w:sz="4" w:space="0" w:color="auto"/>
            </w:tcBorders>
          </w:tcPr>
          <w:p w14:paraId="0F64DEA4" w14:textId="77777777" w:rsidR="00C21F0E" w:rsidRPr="00C21F0E" w:rsidRDefault="00C21F0E" w:rsidP="00C21F0E">
            <w:pPr>
              <w:spacing w:line="0" w:lineRule="atLeast"/>
              <w:ind w:right="227"/>
              <w:jc w:val="right"/>
              <w:rPr>
                <w:rFonts w:eastAsia="Calibri"/>
                <w:b/>
                <w:sz w:val="18"/>
                <w:szCs w:val="18"/>
                <w:lang w:eastAsia="en-US"/>
              </w:rPr>
            </w:pPr>
            <w:r w:rsidRPr="00C21F0E">
              <w:rPr>
                <w:rFonts w:eastAsia="Calibri"/>
                <w:b/>
                <w:sz w:val="18"/>
                <w:szCs w:val="18"/>
                <w:lang w:eastAsia="en-US"/>
              </w:rPr>
              <w:t>180 188</w:t>
            </w:r>
          </w:p>
        </w:tc>
        <w:tc>
          <w:tcPr>
            <w:tcW w:w="1679" w:type="dxa"/>
            <w:tcBorders>
              <w:left w:val="single" w:sz="4" w:space="0" w:color="auto"/>
              <w:right w:val="single" w:sz="4" w:space="0" w:color="auto"/>
            </w:tcBorders>
          </w:tcPr>
          <w:p w14:paraId="2BBE00B0" w14:textId="77777777" w:rsidR="00C21F0E" w:rsidRPr="00C21F0E" w:rsidRDefault="00C21F0E" w:rsidP="00C21F0E">
            <w:pPr>
              <w:spacing w:line="0" w:lineRule="atLeast"/>
              <w:ind w:right="510"/>
              <w:jc w:val="right"/>
              <w:rPr>
                <w:rFonts w:eastAsia="Calibri"/>
                <w:b/>
                <w:sz w:val="18"/>
                <w:szCs w:val="18"/>
                <w:lang w:eastAsia="en-US"/>
              </w:rPr>
            </w:pPr>
            <w:r w:rsidRPr="00C21F0E">
              <w:rPr>
                <w:rFonts w:eastAsia="Calibri"/>
                <w:b/>
                <w:sz w:val="18"/>
                <w:szCs w:val="18"/>
                <w:lang w:eastAsia="en-US"/>
              </w:rPr>
              <w:t>-6.5</w:t>
            </w:r>
          </w:p>
        </w:tc>
      </w:tr>
      <w:tr w:rsidR="00C21F0E" w:rsidRPr="00C21F0E" w14:paraId="098016F5" w14:textId="77777777" w:rsidTr="001E7D79">
        <w:trPr>
          <w:jc w:val="center"/>
        </w:trPr>
        <w:tc>
          <w:tcPr>
            <w:tcW w:w="2922" w:type="dxa"/>
            <w:tcBorders>
              <w:left w:val="single" w:sz="4" w:space="0" w:color="auto"/>
              <w:right w:val="single" w:sz="4" w:space="0" w:color="auto"/>
            </w:tcBorders>
            <w:vAlign w:val="center"/>
          </w:tcPr>
          <w:p w14:paraId="65796238" w14:textId="77777777" w:rsidR="00C21F0E" w:rsidRPr="00C21F0E" w:rsidRDefault="00C21F0E" w:rsidP="00C21F0E">
            <w:pPr>
              <w:spacing w:line="0" w:lineRule="atLeast"/>
              <w:rPr>
                <w:rFonts w:eastAsia="Calibri"/>
                <w:sz w:val="18"/>
                <w:szCs w:val="18"/>
                <w:lang w:eastAsia="en-US"/>
              </w:rPr>
            </w:pPr>
            <w:r w:rsidRPr="00C21F0E">
              <w:rPr>
                <w:rFonts w:eastAsia="Calibri"/>
                <w:sz w:val="18"/>
                <w:szCs w:val="18"/>
                <w:lang w:eastAsia="en-US"/>
              </w:rPr>
              <w:t>Coahuila de Zaragoza</w:t>
            </w:r>
          </w:p>
        </w:tc>
        <w:tc>
          <w:tcPr>
            <w:tcW w:w="1418" w:type="dxa"/>
            <w:tcBorders>
              <w:left w:val="single" w:sz="4" w:space="0" w:color="auto"/>
              <w:right w:val="single" w:sz="4" w:space="0" w:color="auto"/>
            </w:tcBorders>
          </w:tcPr>
          <w:p w14:paraId="7CB9E1FF"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158 236</w:t>
            </w:r>
          </w:p>
        </w:tc>
        <w:tc>
          <w:tcPr>
            <w:tcW w:w="1330" w:type="dxa"/>
            <w:tcBorders>
              <w:left w:val="single" w:sz="4" w:space="0" w:color="auto"/>
              <w:right w:val="single" w:sz="4" w:space="0" w:color="auto"/>
            </w:tcBorders>
          </w:tcPr>
          <w:p w14:paraId="021FE3CF"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150 085</w:t>
            </w:r>
          </w:p>
        </w:tc>
        <w:tc>
          <w:tcPr>
            <w:tcW w:w="1679" w:type="dxa"/>
            <w:tcBorders>
              <w:left w:val="single" w:sz="4" w:space="0" w:color="auto"/>
              <w:right w:val="single" w:sz="4" w:space="0" w:color="auto"/>
            </w:tcBorders>
          </w:tcPr>
          <w:p w14:paraId="1C732C88" w14:textId="77777777" w:rsidR="00C21F0E" w:rsidRPr="00C21F0E" w:rsidRDefault="00C21F0E" w:rsidP="00C21F0E">
            <w:pPr>
              <w:spacing w:line="0" w:lineRule="atLeast"/>
              <w:ind w:right="510"/>
              <w:jc w:val="right"/>
              <w:rPr>
                <w:rFonts w:eastAsia="Calibri"/>
                <w:sz w:val="18"/>
                <w:szCs w:val="18"/>
                <w:lang w:eastAsia="en-US"/>
              </w:rPr>
            </w:pPr>
            <w:r w:rsidRPr="00C21F0E">
              <w:rPr>
                <w:rFonts w:eastAsia="Calibri"/>
                <w:sz w:val="18"/>
                <w:szCs w:val="18"/>
                <w:lang w:eastAsia="en-US"/>
              </w:rPr>
              <w:t>-5.2</w:t>
            </w:r>
          </w:p>
        </w:tc>
      </w:tr>
      <w:tr w:rsidR="00C21F0E" w:rsidRPr="00C21F0E" w14:paraId="6C2AFFEF" w14:textId="77777777" w:rsidTr="001E7D79">
        <w:trPr>
          <w:jc w:val="center"/>
        </w:trPr>
        <w:tc>
          <w:tcPr>
            <w:tcW w:w="2922" w:type="dxa"/>
            <w:tcBorders>
              <w:left w:val="single" w:sz="4" w:space="0" w:color="auto"/>
              <w:right w:val="single" w:sz="4" w:space="0" w:color="auto"/>
            </w:tcBorders>
            <w:vAlign w:val="center"/>
          </w:tcPr>
          <w:p w14:paraId="11FD6C4E" w14:textId="77777777" w:rsidR="00C21F0E" w:rsidRPr="00C21F0E" w:rsidRDefault="00C21F0E" w:rsidP="00C21F0E">
            <w:pPr>
              <w:spacing w:line="0" w:lineRule="atLeast"/>
              <w:rPr>
                <w:rFonts w:eastAsia="Calibri"/>
                <w:b/>
                <w:sz w:val="18"/>
                <w:szCs w:val="18"/>
                <w:lang w:eastAsia="en-US"/>
              </w:rPr>
            </w:pPr>
            <w:r w:rsidRPr="00C21F0E">
              <w:rPr>
                <w:rFonts w:eastAsia="Calibri"/>
                <w:b/>
                <w:sz w:val="18"/>
                <w:szCs w:val="18"/>
                <w:lang w:eastAsia="en-US"/>
              </w:rPr>
              <w:t>Fierro</w:t>
            </w:r>
          </w:p>
        </w:tc>
        <w:tc>
          <w:tcPr>
            <w:tcW w:w="1418" w:type="dxa"/>
            <w:tcBorders>
              <w:left w:val="single" w:sz="4" w:space="0" w:color="auto"/>
              <w:right w:val="single" w:sz="4" w:space="0" w:color="auto"/>
            </w:tcBorders>
          </w:tcPr>
          <w:p w14:paraId="4230A1C3" w14:textId="77777777" w:rsidR="00C21F0E" w:rsidRPr="00C21F0E" w:rsidRDefault="00C21F0E" w:rsidP="00C21F0E">
            <w:pPr>
              <w:spacing w:line="0" w:lineRule="atLeast"/>
              <w:ind w:right="227"/>
              <w:jc w:val="right"/>
              <w:rPr>
                <w:rFonts w:eastAsia="Calibri"/>
                <w:b/>
                <w:sz w:val="18"/>
                <w:szCs w:val="18"/>
                <w:lang w:eastAsia="en-US"/>
              </w:rPr>
            </w:pPr>
            <w:r w:rsidRPr="00C21F0E">
              <w:rPr>
                <w:rFonts w:eastAsia="Calibri"/>
                <w:b/>
                <w:sz w:val="18"/>
                <w:szCs w:val="18"/>
                <w:lang w:eastAsia="en-US"/>
              </w:rPr>
              <w:t>1 679 178</w:t>
            </w:r>
          </w:p>
        </w:tc>
        <w:tc>
          <w:tcPr>
            <w:tcW w:w="1330" w:type="dxa"/>
            <w:tcBorders>
              <w:left w:val="single" w:sz="4" w:space="0" w:color="auto"/>
              <w:right w:val="single" w:sz="4" w:space="0" w:color="auto"/>
            </w:tcBorders>
          </w:tcPr>
          <w:p w14:paraId="5EBA7CDF" w14:textId="77777777" w:rsidR="00C21F0E" w:rsidRPr="00C21F0E" w:rsidRDefault="00C21F0E" w:rsidP="00C21F0E">
            <w:pPr>
              <w:spacing w:line="0" w:lineRule="atLeast"/>
              <w:ind w:right="227"/>
              <w:jc w:val="right"/>
              <w:rPr>
                <w:rFonts w:eastAsia="Calibri"/>
                <w:b/>
                <w:sz w:val="18"/>
                <w:szCs w:val="18"/>
                <w:lang w:eastAsia="en-US"/>
              </w:rPr>
            </w:pPr>
            <w:r w:rsidRPr="00C21F0E">
              <w:rPr>
                <w:rFonts w:eastAsia="Calibri"/>
                <w:b/>
                <w:sz w:val="18"/>
                <w:szCs w:val="18"/>
                <w:lang w:eastAsia="en-US"/>
              </w:rPr>
              <w:t>1 416 125</w:t>
            </w:r>
          </w:p>
        </w:tc>
        <w:tc>
          <w:tcPr>
            <w:tcW w:w="1679" w:type="dxa"/>
            <w:tcBorders>
              <w:left w:val="single" w:sz="4" w:space="0" w:color="auto"/>
              <w:right w:val="single" w:sz="4" w:space="0" w:color="auto"/>
            </w:tcBorders>
          </w:tcPr>
          <w:p w14:paraId="33555858" w14:textId="77777777" w:rsidR="00C21F0E" w:rsidRPr="00C21F0E" w:rsidRDefault="00C21F0E" w:rsidP="00C21F0E">
            <w:pPr>
              <w:spacing w:line="0" w:lineRule="atLeast"/>
              <w:ind w:right="510"/>
              <w:jc w:val="right"/>
              <w:rPr>
                <w:rFonts w:eastAsia="Calibri"/>
                <w:b/>
                <w:sz w:val="18"/>
                <w:szCs w:val="18"/>
                <w:lang w:eastAsia="en-US"/>
              </w:rPr>
            </w:pPr>
            <w:r w:rsidRPr="00C21F0E">
              <w:rPr>
                <w:rFonts w:eastAsia="Calibri"/>
                <w:b/>
                <w:sz w:val="18"/>
                <w:szCs w:val="18"/>
                <w:lang w:eastAsia="en-US"/>
              </w:rPr>
              <w:t>-15.7</w:t>
            </w:r>
          </w:p>
        </w:tc>
      </w:tr>
      <w:tr w:rsidR="00C21F0E" w:rsidRPr="00C21F0E" w14:paraId="51826D42" w14:textId="77777777" w:rsidTr="001E7D79">
        <w:trPr>
          <w:jc w:val="center"/>
        </w:trPr>
        <w:tc>
          <w:tcPr>
            <w:tcW w:w="2922" w:type="dxa"/>
            <w:tcBorders>
              <w:left w:val="single" w:sz="4" w:space="0" w:color="auto"/>
              <w:right w:val="single" w:sz="4" w:space="0" w:color="auto"/>
            </w:tcBorders>
            <w:vAlign w:val="center"/>
          </w:tcPr>
          <w:p w14:paraId="48A9571B" w14:textId="77777777" w:rsidR="00C21F0E" w:rsidRPr="00C21F0E" w:rsidRDefault="00C21F0E" w:rsidP="00C21F0E">
            <w:pPr>
              <w:spacing w:line="0" w:lineRule="atLeast"/>
              <w:rPr>
                <w:rFonts w:eastAsia="Calibri"/>
                <w:sz w:val="18"/>
                <w:szCs w:val="18"/>
                <w:lang w:eastAsia="en-US"/>
              </w:rPr>
            </w:pPr>
            <w:r w:rsidRPr="00C21F0E">
              <w:rPr>
                <w:rFonts w:eastAsia="Calibri"/>
                <w:sz w:val="18"/>
                <w:szCs w:val="18"/>
                <w:lang w:eastAsia="en-US"/>
              </w:rPr>
              <w:t>Michoacán de Ocampo</w:t>
            </w:r>
          </w:p>
        </w:tc>
        <w:tc>
          <w:tcPr>
            <w:tcW w:w="1418" w:type="dxa"/>
            <w:tcBorders>
              <w:left w:val="single" w:sz="4" w:space="0" w:color="auto"/>
              <w:right w:val="single" w:sz="4" w:space="0" w:color="auto"/>
            </w:tcBorders>
          </w:tcPr>
          <w:p w14:paraId="237F7436"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685 265</w:t>
            </w:r>
          </w:p>
        </w:tc>
        <w:tc>
          <w:tcPr>
            <w:tcW w:w="1330" w:type="dxa"/>
            <w:tcBorders>
              <w:left w:val="single" w:sz="4" w:space="0" w:color="auto"/>
              <w:right w:val="single" w:sz="4" w:space="0" w:color="auto"/>
            </w:tcBorders>
          </w:tcPr>
          <w:p w14:paraId="6B9A0771"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419 469</w:t>
            </w:r>
          </w:p>
        </w:tc>
        <w:tc>
          <w:tcPr>
            <w:tcW w:w="1679" w:type="dxa"/>
            <w:tcBorders>
              <w:left w:val="single" w:sz="4" w:space="0" w:color="auto"/>
              <w:right w:val="single" w:sz="4" w:space="0" w:color="auto"/>
            </w:tcBorders>
          </w:tcPr>
          <w:p w14:paraId="0F1C735D" w14:textId="77777777" w:rsidR="00C21F0E" w:rsidRPr="00C21F0E" w:rsidRDefault="00C21F0E" w:rsidP="00C21F0E">
            <w:pPr>
              <w:spacing w:line="0" w:lineRule="atLeast"/>
              <w:ind w:right="510"/>
              <w:jc w:val="right"/>
              <w:rPr>
                <w:rFonts w:eastAsia="Calibri"/>
                <w:sz w:val="18"/>
                <w:szCs w:val="18"/>
                <w:lang w:eastAsia="en-US"/>
              </w:rPr>
            </w:pPr>
            <w:r w:rsidRPr="00C21F0E">
              <w:rPr>
                <w:rFonts w:eastAsia="Calibri"/>
                <w:sz w:val="18"/>
                <w:szCs w:val="18"/>
                <w:lang w:eastAsia="en-US"/>
              </w:rPr>
              <w:t>-38.8</w:t>
            </w:r>
          </w:p>
        </w:tc>
      </w:tr>
      <w:tr w:rsidR="00C21F0E" w:rsidRPr="00C21F0E" w14:paraId="25A5FD4B" w14:textId="77777777" w:rsidTr="001E7D79">
        <w:trPr>
          <w:jc w:val="center"/>
        </w:trPr>
        <w:tc>
          <w:tcPr>
            <w:tcW w:w="2922" w:type="dxa"/>
            <w:tcBorders>
              <w:left w:val="single" w:sz="4" w:space="0" w:color="auto"/>
              <w:right w:val="single" w:sz="4" w:space="0" w:color="auto"/>
            </w:tcBorders>
            <w:vAlign w:val="center"/>
          </w:tcPr>
          <w:p w14:paraId="13A658D7" w14:textId="77777777" w:rsidR="00C21F0E" w:rsidRPr="00C21F0E" w:rsidRDefault="00C21F0E" w:rsidP="00C21F0E">
            <w:pPr>
              <w:spacing w:line="0" w:lineRule="atLeast"/>
              <w:rPr>
                <w:rFonts w:eastAsia="Calibri"/>
                <w:sz w:val="18"/>
                <w:szCs w:val="18"/>
                <w:lang w:eastAsia="en-US"/>
              </w:rPr>
            </w:pPr>
            <w:r w:rsidRPr="00C21F0E">
              <w:rPr>
                <w:rFonts w:eastAsia="Calibri"/>
                <w:sz w:val="18"/>
                <w:szCs w:val="18"/>
                <w:lang w:eastAsia="en-US"/>
              </w:rPr>
              <w:t>Coahuila de Zaragoza</w:t>
            </w:r>
          </w:p>
        </w:tc>
        <w:tc>
          <w:tcPr>
            <w:tcW w:w="1418" w:type="dxa"/>
            <w:tcBorders>
              <w:left w:val="single" w:sz="4" w:space="0" w:color="auto"/>
              <w:right w:val="single" w:sz="4" w:space="0" w:color="auto"/>
            </w:tcBorders>
          </w:tcPr>
          <w:p w14:paraId="6FAAFE1A"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282 074</w:t>
            </w:r>
          </w:p>
        </w:tc>
        <w:tc>
          <w:tcPr>
            <w:tcW w:w="1330" w:type="dxa"/>
            <w:tcBorders>
              <w:left w:val="single" w:sz="4" w:space="0" w:color="auto"/>
              <w:right w:val="single" w:sz="4" w:space="0" w:color="auto"/>
            </w:tcBorders>
          </w:tcPr>
          <w:p w14:paraId="0DE32F06"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312 587</w:t>
            </w:r>
          </w:p>
        </w:tc>
        <w:tc>
          <w:tcPr>
            <w:tcW w:w="1679" w:type="dxa"/>
            <w:tcBorders>
              <w:left w:val="single" w:sz="4" w:space="0" w:color="auto"/>
              <w:right w:val="single" w:sz="4" w:space="0" w:color="auto"/>
            </w:tcBorders>
          </w:tcPr>
          <w:p w14:paraId="5F8FAB28" w14:textId="3E31094F" w:rsidR="00C21F0E" w:rsidRPr="00C21F0E" w:rsidRDefault="00C21F0E" w:rsidP="00C21F0E">
            <w:pPr>
              <w:spacing w:line="0" w:lineRule="atLeast"/>
              <w:ind w:right="510"/>
              <w:jc w:val="right"/>
              <w:rPr>
                <w:rFonts w:eastAsia="Calibri"/>
                <w:sz w:val="18"/>
                <w:szCs w:val="18"/>
                <w:lang w:eastAsia="en-US"/>
              </w:rPr>
            </w:pPr>
            <w:r w:rsidRPr="00C21F0E">
              <w:rPr>
                <w:rFonts w:eastAsia="Calibri"/>
                <w:sz w:val="18"/>
                <w:szCs w:val="18"/>
                <w:lang w:eastAsia="en-US"/>
              </w:rPr>
              <w:t>10</w:t>
            </w:r>
            <w:r w:rsidR="00A8424C">
              <w:rPr>
                <w:rFonts w:eastAsia="Calibri"/>
                <w:sz w:val="18"/>
                <w:szCs w:val="18"/>
                <w:lang w:eastAsia="en-US"/>
              </w:rPr>
              <w:t>.</w:t>
            </w:r>
            <w:r w:rsidRPr="00C21F0E">
              <w:rPr>
                <w:rFonts w:eastAsia="Calibri"/>
                <w:sz w:val="18"/>
                <w:szCs w:val="18"/>
                <w:lang w:eastAsia="en-US"/>
              </w:rPr>
              <w:t>8</w:t>
            </w:r>
          </w:p>
        </w:tc>
      </w:tr>
      <w:tr w:rsidR="00C21F0E" w:rsidRPr="00C21F0E" w14:paraId="32CC6190" w14:textId="77777777" w:rsidTr="001E7D79">
        <w:trPr>
          <w:jc w:val="center"/>
        </w:trPr>
        <w:tc>
          <w:tcPr>
            <w:tcW w:w="2922" w:type="dxa"/>
            <w:tcBorders>
              <w:left w:val="single" w:sz="4" w:space="0" w:color="auto"/>
              <w:right w:val="single" w:sz="4" w:space="0" w:color="auto"/>
            </w:tcBorders>
            <w:vAlign w:val="center"/>
          </w:tcPr>
          <w:p w14:paraId="6BF2DEF7" w14:textId="77777777" w:rsidR="00C21F0E" w:rsidRPr="00C21F0E" w:rsidRDefault="00C21F0E" w:rsidP="00C21F0E">
            <w:pPr>
              <w:spacing w:line="0" w:lineRule="atLeast"/>
              <w:rPr>
                <w:rFonts w:eastAsia="Calibri"/>
                <w:sz w:val="18"/>
                <w:szCs w:val="18"/>
                <w:lang w:eastAsia="en-US"/>
              </w:rPr>
            </w:pPr>
            <w:r w:rsidRPr="00C21F0E">
              <w:rPr>
                <w:rFonts w:eastAsia="Calibri"/>
                <w:sz w:val="18"/>
                <w:szCs w:val="18"/>
                <w:lang w:eastAsia="en-US"/>
              </w:rPr>
              <w:t>Colima</w:t>
            </w:r>
          </w:p>
        </w:tc>
        <w:tc>
          <w:tcPr>
            <w:tcW w:w="1418" w:type="dxa"/>
            <w:tcBorders>
              <w:left w:val="single" w:sz="4" w:space="0" w:color="auto"/>
              <w:right w:val="single" w:sz="4" w:space="0" w:color="auto"/>
            </w:tcBorders>
          </w:tcPr>
          <w:p w14:paraId="5F6096D3"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235 507</w:t>
            </w:r>
          </w:p>
        </w:tc>
        <w:tc>
          <w:tcPr>
            <w:tcW w:w="1330" w:type="dxa"/>
            <w:tcBorders>
              <w:left w:val="single" w:sz="4" w:space="0" w:color="auto"/>
              <w:right w:val="single" w:sz="4" w:space="0" w:color="auto"/>
            </w:tcBorders>
          </w:tcPr>
          <w:p w14:paraId="1787087A"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212 863</w:t>
            </w:r>
          </w:p>
        </w:tc>
        <w:tc>
          <w:tcPr>
            <w:tcW w:w="1679" w:type="dxa"/>
            <w:tcBorders>
              <w:left w:val="single" w:sz="4" w:space="0" w:color="auto"/>
              <w:right w:val="single" w:sz="4" w:space="0" w:color="auto"/>
            </w:tcBorders>
          </w:tcPr>
          <w:p w14:paraId="325CF269" w14:textId="77777777" w:rsidR="00C21F0E" w:rsidRPr="00C21F0E" w:rsidRDefault="00C21F0E" w:rsidP="00C21F0E">
            <w:pPr>
              <w:spacing w:line="0" w:lineRule="atLeast"/>
              <w:ind w:right="510"/>
              <w:jc w:val="right"/>
              <w:rPr>
                <w:rFonts w:eastAsia="Calibri"/>
                <w:sz w:val="18"/>
                <w:szCs w:val="18"/>
                <w:lang w:eastAsia="en-US"/>
              </w:rPr>
            </w:pPr>
            <w:r w:rsidRPr="00C21F0E">
              <w:rPr>
                <w:rFonts w:eastAsia="Calibri"/>
                <w:sz w:val="18"/>
                <w:szCs w:val="18"/>
                <w:lang w:eastAsia="en-US"/>
              </w:rPr>
              <w:t>-9.6</w:t>
            </w:r>
          </w:p>
        </w:tc>
      </w:tr>
      <w:tr w:rsidR="00C21F0E" w:rsidRPr="00C21F0E" w14:paraId="39C5654A" w14:textId="77777777" w:rsidTr="001E7D79">
        <w:trPr>
          <w:jc w:val="center"/>
        </w:trPr>
        <w:tc>
          <w:tcPr>
            <w:tcW w:w="2922" w:type="dxa"/>
            <w:tcBorders>
              <w:left w:val="single" w:sz="4" w:space="0" w:color="auto"/>
              <w:right w:val="single" w:sz="4" w:space="0" w:color="auto"/>
            </w:tcBorders>
            <w:vAlign w:val="center"/>
          </w:tcPr>
          <w:p w14:paraId="65C7ACB9" w14:textId="77777777" w:rsidR="00C21F0E" w:rsidRPr="00C21F0E" w:rsidRDefault="00C21F0E" w:rsidP="00C21F0E">
            <w:pPr>
              <w:spacing w:line="0" w:lineRule="atLeast"/>
              <w:rPr>
                <w:rFonts w:eastAsia="Calibri"/>
                <w:b/>
                <w:sz w:val="18"/>
                <w:szCs w:val="18"/>
                <w:lang w:eastAsia="en-US"/>
              </w:rPr>
            </w:pPr>
            <w:r w:rsidRPr="00C21F0E">
              <w:rPr>
                <w:rFonts w:eastAsia="Calibri"/>
                <w:b/>
                <w:sz w:val="18"/>
                <w:szCs w:val="18"/>
                <w:lang w:eastAsia="en-US"/>
              </w:rPr>
              <w:t>Azufre</w:t>
            </w:r>
          </w:p>
        </w:tc>
        <w:tc>
          <w:tcPr>
            <w:tcW w:w="1418" w:type="dxa"/>
            <w:tcBorders>
              <w:left w:val="single" w:sz="4" w:space="0" w:color="auto"/>
              <w:right w:val="single" w:sz="4" w:space="0" w:color="auto"/>
            </w:tcBorders>
          </w:tcPr>
          <w:p w14:paraId="383A2620" w14:textId="77777777" w:rsidR="00C21F0E" w:rsidRPr="00C21F0E" w:rsidRDefault="00C21F0E" w:rsidP="00C21F0E">
            <w:pPr>
              <w:spacing w:line="0" w:lineRule="atLeast"/>
              <w:ind w:right="227"/>
              <w:jc w:val="right"/>
              <w:rPr>
                <w:rFonts w:eastAsia="Calibri"/>
                <w:b/>
                <w:sz w:val="18"/>
                <w:szCs w:val="18"/>
                <w:lang w:eastAsia="en-US"/>
              </w:rPr>
            </w:pPr>
            <w:r w:rsidRPr="00C21F0E">
              <w:rPr>
                <w:rFonts w:eastAsia="Calibri"/>
                <w:b/>
                <w:sz w:val="18"/>
                <w:szCs w:val="18"/>
                <w:lang w:eastAsia="en-US"/>
              </w:rPr>
              <w:t>91 477</w:t>
            </w:r>
          </w:p>
        </w:tc>
        <w:tc>
          <w:tcPr>
            <w:tcW w:w="1330" w:type="dxa"/>
            <w:tcBorders>
              <w:left w:val="single" w:sz="4" w:space="0" w:color="auto"/>
              <w:right w:val="single" w:sz="4" w:space="0" w:color="auto"/>
            </w:tcBorders>
          </w:tcPr>
          <w:p w14:paraId="29D56933" w14:textId="77777777" w:rsidR="00C21F0E" w:rsidRPr="00C21F0E" w:rsidRDefault="00C21F0E" w:rsidP="00C21F0E">
            <w:pPr>
              <w:spacing w:line="0" w:lineRule="atLeast"/>
              <w:ind w:right="227"/>
              <w:jc w:val="right"/>
              <w:rPr>
                <w:rFonts w:eastAsia="Calibri"/>
                <w:b/>
                <w:sz w:val="18"/>
                <w:szCs w:val="18"/>
                <w:lang w:eastAsia="en-US"/>
              </w:rPr>
            </w:pPr>
            <w:r w:rsidRPr="00C21F0E">
              <w:rPr>
                <w:rFonts w:eastAsia="Calibri"/>
                <w:b/>
                <w:sz w:val="18"/>
                <w:szCs w:val="18"/>
                <w:lang w:eastAsia="en-US"/>
              </w:rPr>
              <w:t>74 571</w:t>
            </w:r>
          </w:p>
        </w:tc>
        <w:tc>
          <w:tcPr>
            <w:tcW w:w="1679" w:type="dxa"/>
            <w:tcBorders>
              <w:left w:val="single" w:sz="4" w:space="0" w:color="auto"/>
              <w:right w:val="single" w:sz="4" w:space="0" w:color="auto"/>
            </w:tcBorders>
          </w:tcPr>
          <w:p w14:paraId="7B319F9E" w14:textId="77777777" w:rsidR="00C21F0E" w:rsidRPr="00C21F0E" w:rsidRDefault="00C21F0E" w:rsidP="00C21F0E">
            <w:pPr>
              <w:spacing w:line="0" w:lineRule="atLeast"/>
              <w:ind w:right="510"/>
              <w:jc w:val="right"/>
              <w:rPr>
                <w:rFonts w:eastAsia="Calibri"/>
                <w:b/>
                <w:sz w:val="18"/>
                <w:szCs w:val="18"/>
                <w:lang w:eastAsia="en-US"/>
              </w:rPr>
            </w:pPr>
            <w:r w:rsidRPr="00C21F0E">
              <w:rPr>
                <w:rFonts w:eastAsia="Calibri"/>
                <w:b/>
                <w:sz w:val="18"/>
                <w:szCs w:val="18"/>
                <w:lang w:eastAsia="en-US"/>
              </w:rPr>
              <w:t>-18.5</w:t>
            </w:r>
          </w:p>
        </w:tc>
      </w:tr>
      <w:tr w:rsidR="00C21F0E" w:rsidRPr="00C21F0E" w14:paraId="4633B493" w14:textId="77777777" w:rsidTr="001E7D79">
        <w:trPr>
          <w:jc w:val="center"/>
        </w:trPr>
        <w:tc>
          <w:tcPr>
            <w:tcW w:w="2922" w:type="dxa"/>
            <w:tcBorders>
              <w:left w:val="single" w:sz="4" w:space="0" w:color="auto"/>
              <w:right w:val="single" w:sz="4" w:space="0" w:color="auto"/>
            </w:tcBorders>
            <w:vAlign w:val="center"/>
          </w:tcPr>
          <w:p w14:paraId="64CB8925" w14:textId="77777777" w:rsidR="00C21F0E" w:rsidRPr="00C21F0E" w:rsidRDefault="00C21F0E" w:rsidP="00C21F0E">
            <w:pPr>
              <w:spacing w:line="0" w:lineRule="atLeast"/>
              <w:rPr>
                <w:rFonts w:eastAsia="Calibri"/>
                <w:sz w:val="18"/>
                <w:szCs w:val="18"/>
                <w:lang w:eastAsia="en-US"/>
              </w:rPr>
            </w:pPr>
            <w:r w:rsidRPr="00C21F0E">
              <w:rPr>
                <w:rFonts w:eastAsia="Calibri"/>
                <w:sz w:val="18"/>
                <w:szCs w:val="18"/>
                <w:lang w:eastAsia="en-US"/>
              </w:rPr>
              <w:t>Chiapas</w:t>
            </w:r>
          </w:p>
        </w:tc>
        <w:tc>
          <w:tcPr>
            <w:tcW w:w="1418" w:type="dxa"/>
            <w:tcBorders>
              <w:left w:val="single" w:sz="4" w:space="0" w:color="auto"/>
              <w:right w:val="single" w:sz="4" w:space="0" w:color="auto"/>
            </w:tcBorders>
          </w:tcPr>
          <w:p w14:paraId="6F59324C"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25 101</w:t>
            </w:r>
          </w:p>
        </w:tc>
        <w:tc>
          <w:tcPr>
            <w:tcW w:w="1330" w:type="dxa"/>
            <w:tcBorders>
              <w:left w:val="single" w:sz="4" w:space="0" w:color="auto"/>
              <w:right w:val="single" w:sz="4" w:space="0" w:color="auto"/>
            </w:tcBorders>
            <w:vAlign w:val="center"/>
          </w:tcPr>
          <w:p w14:paraId="4BEB6FFD"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23 594</w:t>
            </w:r>
          </w:p>
        </w:tc>
        <w:tc>
          <w:tcPr>
            <w:tcW w:w="1679" w:type="dxa"/>
            <w:tcBorders>
              <w:left w:val="single" w:sz="4" w:space="0" w:color="auto"/>
              <w:right w:val="single" w:sz="4" w:space="0" w:color="auto"/>
            </w:tcBorders>
          </w:tcPr>
          <w:p w14:paraId="223429C8" w14:textId="77777777" w:rsidR="00C21F0E" w:rsidRPr="00C21F0E" w:rsidRDefault="00C21F0E" w:rsidP="00C21F0E">
            <w:pPr>
              <w:spacing w:line="0" w:lineRule="atLeast"/>
              <w:ind w:right="510"/>
              <w:jc w:val="right"/>
              <w:rPr>
                <w:rFonts w:eastAsia="Calibri"/>
                <w:sz w:val="18"/>
                <w:szCs w:val="18"/>
                <w:lang w:eastAsia="en-US"/>
              </w:rPr>
            </w:pPr>
            <w:r w:rsidRPr="00C21F0E">
              <w:rPr>
                <w:rFonts w:eastAsia="Calibri"/>
                <w:sz w:val="18"/>
                <w:szCs w:val="18"/>
                <w:lang w:eastAsia="en-US"/>
              </w:rPr>
              <w:t>-6.0</w:t>
            </w:r>
          </w:p>
        </w:tc>
      </w:tr>
      <w:tr w:rsidR="00C21F0E" w:rsidRPr="00C21F0E" w14:paraId="45BBE83A" w14:textId="77777777" w:rsidTr="001E7D79">
        <w:trPr>
          <w:jc w:val="center"/>
        </w:trPr>
        <w:tc>
          <w:tcPr>
            <w:tcW w:w="2922" w:type="dxa"/>
            <w:tcBorders>
              <w:left w:val="single" w:sz="4" w:space="0" w:color="auto"/>
              <w:right w:val="single" w:sz="4" w:space="0" w:color="auto"/>
            </w:tcBorders>
            <w:vAlign w:val="center"/>
          </w:tcPr>
          <w:p w14:paraId="48A339DA" w14:textId="77777777" w:rsidR="00C21F0E" w:rsidRPr="00C21F0E" w:rsidRDefault="00C21F0E" w:rsidP="00C21F0E">
            <w:pPr>
              <w:spacing w:line="0" w:lineRule="atLeast"/>
              <w:rPr>
                <w:rFonts w:eastAsia="Calibri"/>
                <w:sz w:val="18"/>
                <w:szCs w:val="18"/>
                <w:lang w:eastAsia="en-US"/>
              </w:rPr>
            </w:pPr>
            <w:r w:rsidRPr="00C21F0E">
              <w:rPr>
                <w:rFonts w:eastAsia="Calibri"/>
                <w:sz w:val="18"/>
                <w:szCs w:val="18"/>
                <w:lang w:eastAsia="en-US"/>
              </w:rPr>
              <w:t>Tabasco</w:t>
            </w:r>
          </w:p>
        </w:tc>
        <w:tc>
          <w:tcPr>
            <w:tcW w:w="1418" w:type="dxa"/>
            <w:tcBorders>
              <w:left w:val="single" w:sz="4" w:space="0" w:color="auto"/>
              <w:right w:val="single" w:sz="4" w:space="0" w:color="auto"/>
            </w:tcBorders>
            <w:vAlign w:val="center"/>
          </w:tcPr>
          <w:p w14:paraId="38EF40DB"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27 244</w:t>
            </w:r>
          </w:p>
        </w:tc>
        <w:tc>
          <w:tcPr>
            <w:tcW w:w="1330" w:type="dxa"/>
            <w:tcBorders>
              <w:left w:val="single" w:sz="4" w:space="0" w:color="auto"/>
              <w:right w:val="single" w:sz="4" w:space="0" w:color="auto"/>
            </w:tcBorders>
          </w:tcPr>
          <w:p w14:paraId="4D97D12C"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20 765</w:t>
            </w:r>
          </w:p>
        </w:tc>
        <w:tc>
          <w:tcPr>
            <w:tcW w:w="1679" w:type="dxa"/>
            <w:tcBorders>
              <w:left w:val="single" w:sz="4" w:space="0" w:color="auto"/>
              <w:right w:val="single" w:sz="4" w:space="0" w:color="auto"/>
            </w:tcBorders>
            <w:vAlign w:val="center"/>
          </w:tcPr>
          <w:p w14:paraId="544066FD" w14:textId="77777777" w:rsidR="00C21F0E" w:rsidRPr="00C21F0E" w:rsidRDefault="00C21F0E" w:rsidP="00C21F0E">
            <w:pPr>
              <w:spacing w:line="0" w:lineRule="atLeast"/>
              <w:ind w:right="510"/>
              <w:jc w:val="right"/>
              <w:rPr>
                <w:rFonts w:eastAsia="Calibri"/>
                <w:sz w:val="18"/>
                <w:szCs w:val="18"/>
                <w:lang w:eastAsia="en-US"/>
              </w:rPr>
            </w:pPr>
            <w:r w:rsidRPr="00C21F0E">
              <w:rPr>
                <w:rFonts w:eastAsia="Calibri"/>
                <w:sz w:val="18"/>
                <w:szCs w:val="18"/>
                <w:lang w:eastAsia="en-US"/>
              </w:rPr>
              <w:t>-23.8</w:t>
            </w:r>
          </w:p>
        </w:tc>
      </w:tr>
      <w:tr w:rsidR="00C21F0E" w:rsidRPr="00C21F0E" w14:paraId="029C8BB1" w14:textId="77777777" w:rsidTr="001E7D79">
        <w:trPr>
          <w:jc w:val="center"/>
        </w:trPr>
        <w:tc>
          <w:tcPr>
            <w:tcW w:w="2922" w:type="dxa"/>
            <w:tcBorders>
              <w:left w:val="single" w:sz="4" w:space="0" w:color="auto"/>
              <w:right w:val="single" w:sz="4" w:space="0" w:color="auto"/>
            </w:tcBorders>
            <w:vAlign w:val="center"/>
          </w:tcPr>
          <w:p w14:paraId="54C8DDA0" w14:textId="77777777" w:rsidR="00C21F0E" w:rsidRPr="00C21F0E" w:rsidRDefault="00C21F0E" w:rsidP="00C21F0E">
            <w:pPr>
              <w:spacing w:line="0" w:lineRule="atLeast"/>
              <w:rPr>
                <w:rFonts w:eastAsia="Calibri"/>
                <w:sz w:val="18"/>
                <w:szCs w:val="18"/>
                <w:lang w:eastAsia="en-US"/>
              </w:rPr>
            </w:pPr>
            <w:r w:rsidRPr="00C21F0E">
              <w:rPr>
                <w:rFonts w:eastAsia="Calibri"/>
                <w:sz w:val="18"/>
                <w:szCs w:val="18"/>
                <w:lang w:eastAsia="en-US"/>
              </w:rPr>
              <w:t>Veracruz de Ignacio de la llave</w:t>
            </w:r>
          </w:p>
        </w:tc>
        <w:tc>
          <w:tcPr>
            <w:tcW w:w="1418" w:type="dxa"/>
            <w:tcBorders>
              <w:left w:val="single" w:sz="4" w:space="0" w:color="auto"/>
              <w:right w:val="single" w:sz="4" w:space="0" w:color="auto"/>
            </w:tcBorders>
            <w:vAlign w:val="center"/>
          </w:tcPr>
          <w:p w14:paraId="38EB13D3"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9 995</w:t>
            </w:r>
          </w:p>
        </w:tc>
        <w:tc>
          <w:tcPr>
            <w:tcW w:w="1330" w:type="dxa"/>
            <w:tcBorders>
              <w:left w:val="single" w:sz="4" w:space="0" w:color="auto"/>
              <w:right w:val="single" w:sz="4" w:space="0" w:color="auto"/>
            </w:tcBorders>
            <w:vAlign w:val="center"/>
          </w:tcPr>
          <w:p w14:paraId="2D64512E"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9 968</w:t>
            </w:r>
          </w:p>
        </w:tc>
        <w:tc>
          <w:tcPr>
            <w:tcW w:w="1679" w:type="dxa"/>
            <w:tcBorders>
              <w:left w:val="single" w:sz="4" w:space="0" w:color="auto"/>
              <w:right w:val="single" w:sz="4" w:space="0" w:color="auto"/>
            </w:tcBorders>
            <w:vAlign w:val="center"/>
          </w:tcPr>
          <w:p w14:paraId="7C8B2F25" w14:textId="77777777" w:rsidR="00C21F0E" w:rsidRPr="00C21F0E" w:rsidRDefault="00C21F0E" w:rsidP="00C21F0E">
            <w:pPr>
              <w:spacing w:line="0" w:lineRule="atLeast"/>
              <w:ind w:right="510"/>
              <w:jc w:val="right"/>
              <w:rPr>
                <w:rFonts w:eastAsia="Calibri"/>
                <w:sz w:val="18"/>
                <w:szCs w:val="18"/>
                <w:lang w:eastAsia="en-US"/>
              </w:rPr>
            </w:pPr>
            <w:r w:rsidRPr="00C21F0E">
              <w:rPr>
                <w:rFonts w:eastAsia="Calibri"/>
                <w:sz w:val="18"/>
                <w:szCs w:val="18"/>
                <w:lang w:eastAsia="en-US"/>
              </w:rPr>
              <w:t>-0.3</w:t>
            </w:r>
          </w:p>
        </w:tc>
      </w:tr>
      <w:tr w:rsidR="00C21F0E" w:rsidRPr="00C21F0E" w14:paraId="44A48B9A" w14:textId="77777777" w:rsidTr="001E7D79">
        <w:trPr>
          <w:jc w:val="center"/>
        </w:trPr>
        <w:tc>
          <w:tcPr>
            <w:tcW w:w="2922" w:type="dxa"/>
            <w:tcBorders>
              <w:left w:val="single" w:sz="4" w:space="0" w:color="auto"/>
              <w:right w:val="single" w:sz="4" w:space="0" w:color="auto"/>
            </w:tcBorders>
            <w:vAlign w:val="center"/>
          </w:tcPr>
          <w:p w14:paraId="4AA7B27B" w14:textId="77777777" w:rsidR="00C21F0E" w:rsidRPr="00C21F0E" w:rsidRDefault="00C21F0E" w:rsidP="00C21F0E">
            <w:pPr>
              <w:spacing w:line="0" w:lineRule="atLeast"/>
              <w:rPr>
                <w:rFonts w:eastAsia="Calibri"/>
                <w:sz w:val="18"/>
                <w:szCs w:val="18"/>
                <w:lang w:eastAsia="en-US"/>
              </w:rPr>
            </w:pPr>
            <w:r w:rsidRPr="00C21F0E">
              <w:rPr>
                <w:rFonts w:eastAsia="Calibri"/>
                <w:sz w:val="18"/>
                <w:szCs w:val="18"/>
                <w:lang w:eastAsia="en-US"/>
              </w:rPr>
              <w:t>Nuevo León</w:t>
            </w:r>
          </w:p>
        </w:tc>
        <w:tc>
          <w:tcPr>
            <w:tcW w:w="1418" w:type="dxa"/>
            <w:tcBorders>
              <w:left w:val="single" w:sz="4" w:space="0" w:color="auto"/>
              <w:right w:val="single" w:sz="4" w:space="0" w:color="auto"/>
            </w:tcBorders>
            <w:vAlign w:val="center"/>
          </w:tcPr>
          <w:p w14:paraId="1E7706D5"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8 594</w:t>
            </w:r>
          </w:p>
        </w:tc>
        <w:tc>
          <w:tcPr>
            <w:tcW w:w="1330" w:type="dxa"/>
            <w:tcBorders>
              <w:left w:val="single" w:sz="4" w:space="0" w:color="auto"/>
              <w:right w:val="single" w:sz="4" w:space="0" w:color="auto"/>
            </w:tcBorders>
            <w:vAlign w:val="center"/>
          </w:tcPr>
          <w:p w14:paraId="574DE44E"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8 073</w:t>
            </w:r>
          </w:p>
        </w:tc>
        <w:tc>
          <w:tcPr>
            <w:tcW w:w="1679" w:type="dxa"/>
            <w:tcBorders>
              <w:left w:val="single" w:sz="4" w:space="0" w:color="auto"/>
              <w:right w:val="single" w:sz="4" w:space="0" w:color="auto"/>
            </w:tcBorders>
            <w:vAlign w:val="center"/>
          </w:tcPr>
          <w:p w14:paraId="623C76C0" w14:textId="77777777" w:rsidR="00C21F0E" w:rsidRPr="00C21F0E" w:rsidRDefault="00C21F0E" w:rsidP="00C21F0E">
            <w:pPr>
              <w:spacing w:line="0" w:lineRule="atLeast"/>
              <w:ind w:right="510"/>
              <w:jc w:val="right"/>
              <w:rPr>
                <w:rFonts w:eastAsia="Calibri"/>
                <w:sz w:val="18"/>
                <w:szCs w:val="18"/>
                <w:lang w:eastAsia="en-US"/>
              </w:rPr>
            </w:pPr>
            <w:r w:rsidRPr="00C21F0E">
              <w:rPr>
                <w:rFonts w:eastAsia="Calibri"/>
                <w:sz w:val="18"/>
                <w:szCs w:val="18"/>
                <w:lang w:eastAsia="en-US"/>
              </w:rPr>
              <w:t>-6.1</w:t>
            </w:r>
          </w:p>
        </w:tc>
      </w:tr>
      <w:tr w:rsidR="00C21F0E" w:rsidRPr="00C21F0E" w14:paraId="4C33FD4D" w14:textId="77777777" w:rsidTr="001E7D79">
        <w:trPr>
          <w:jc w:val="center"/>
        </w:trPr>
        <w:tc>
          <w:tcPr>
            <w:tcW w:w="2922" w:type="dxa"/>
            <w:tcBorders>
              <w:left w:val="single" w:sz="4" w:space="0" w:color="auto"/>
              <w:right w:val="single" w:sz="4" w:space="0" w:color="auto"/>
            </w:tcBorders>
            <w:vAlign w:val="center"/>
          </w:tcPr>
          <w:p w14:paraId="778C6357" w14:textId="77777777" w:rsidR="00C21F0E" w:rsidRPr="00C21F0E" w:rsidRDefault="00C21F0E" w:rsidP="00C21F0E">
            <w:pPr>
              <w:spacing w:line="0" w:lineRule="atLeast"/>
              <w:rPr>
                <w:rFonts w:eastAsia="Calibri"/>
                <w:sz w:val="18"/>
                <w:szCs w:val="18"/>
                <w:lang w:eastAsia="en-US"/>
              </w:rPr>
            </w:pPr>
            <w:r w:rsidRPr="00C21F0E">
              <w:rPr>
                <w:rFonts w:eastAsia="Calibri"/>
                <w:sz w:val="18"/>
                <w:szCs w:val="18"/>
                <w:lang w:eastAsia="en-US"/>
              </w:rPr>
              <w:t>Tamaulipas</w:t>
            </w:r>
          </w:p>
        </w:tc>
        <w:tc>
          <w:tcPr>
            <w:tcW w:w="1418" w:type="dxa"/>
            <w:tcBorders>
              <w:left w:val="single" w:sz="4" w:space="0" w:color="auto"/>
              <w:right w:val="single" w:sz="4" w:space="0" w:color="auto"/>
            </w:tcBorders>
            <w:vAlign w:val="center"/>
          </w:tcPr>
          <w:p w14:paraId="5FCBFCFC"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10 325</w:t>
            </w:r>
          </w:p>
        </w:tc>
        <w:tc>
          <w:tcPr>
            <w:tcW w:w="1330" w:type="dxa"/>
            <w:tcBorders>
              <w:left w:val="single" w:sz="4" w:space="0" w:color="auto"/>
              <w:right w:val="single" w:sz="4" w:space="0" w:color="auto"/>
            </w:tcBorders>
            <w:vAlign w:val="center"/>
          </w:tcPr>
          <w:p w14:paraId="2FB53D78"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5 071</w:t>
            </w:r>
          </w:p>
        </w:tc>
        <w:tc>
          <w:tcPr>
            <w:tcW w:w="1679" w:type="dxa"/>
            <w:tcBorders>
              <w:left w:val="single" w:sz="4" w:space="0" w:color="auto"/>
              <w:right w:val="single" w:sz="4" w:space="0" w:color="auto"/>
            </w:tcBorders>
            <w:vAlign w:val="center"/>
          </w:tcPr>
          <w:p w14:paraId="5703E9FA" w14:textId="77777777" w:rsidR="00C21F0E" w:rsidRPr="00C21F0E" w:rsidRDefault="00C21F0E" w:rsidP="00C21F0E">
            <w:pPr>
              <w:spacing w:line="0" w:lineRule="atLeast"/>
              <w:ind w:right="510"/>
              <w:jc w:val="right"/>
              <w:rPr>
                <w:rFonts w:eastAsia="Calibri"/>
                <w:sz w:val="18"/>
                <w:szCs w:val="18"/>
                <w:lang w:eastAsia="en-US"/>
              </w:rPr>
            </w:pPr>
            <w:r w:rsidRPr="00C21F0E">
              <w:rPr>
                <w:rFonts w:eastAsia="Calibri"/>
                <w:sz w:val="18"/>
                <w:szCs w:val="18"/>
                <w:lang w:eastAsia="en-US"/>
              </w:rPr>
              <w:t>-50.9</w:t>
            </w:r>
          </w:p>
        </w:tc>
      </w:tr>
      <w:tr w:rsidR="00C21F0E" w:rsidRPr="00C21F0E" w14:paraId="4E346311" w14:textId="77777777" w:rsidTr="001E7D79">
        <w:trPr>
          <w:jc w:val="center"/>
        </w:trPr>
        <w:tc>
          <w:tcPr>
            <w:tcW w:w="2922" w:type="dxa"/>
            <w:tcBorders>
              <w:left w:val="single" w:sz="4" w:space="0" w:color="auto"/>
              <w:right w:val="single" w:sz="4" w:space="0" w:color="auto"/>
            </w:tcBorders>
            <w:vAlign w:val="center"/>
          </w:tcPr>
          <w:p w14:paraId="018958E1" w14:textId="77777777" w:rsidR="00C21F0E" w:rsidRPr="00C21F0E" w:rsidRDefault="00C21F0E" w:rsidP="00C21F0E">
            <w:pPr>
              <w:spacing w:line="0" w:lineRule="atLeast"/>
              <w:rPr>
                <w:rFonts w:eastAsia="Calibri"/>
                <w:b/>
                <w:sz w:val="18"/>
                <w:szCs w:val="18"/>
                <w:lang w:eastAsia="en-US"/>
              </w:rPr>
            </w:pPr>
            <w:r w:rsidRPr="00C21F0E">
              <w:rPr>
                <w:rFonts w:eastAsia="Calibri"/>
                <w:b/>
                <w:sz w:val="18"/>
                <w:szCs w:val="18"/>
                <w:lang w:eastAsia="en-US"/>
              </w:rPr>
              <w:t>Fluorita</w:t>
            </w:r>
          </w:p>
        </w:tc>
        <w:tc>
          <w:tcPr>
            <w:tcW w:w="1418" w:type="dxa"/>
            <w:tcBorders>
              <w:left w:val="single" w:sz="4" w:space="0" w:color="auto"/>
              <w:right w:val="single" w:sz="4" w:space="0" w:color="auto"/>
            </w:tcBorders>
            <w:vAlign w:val="center"/>
          </w:tcPr>
          <w:p w14:paraId="0D23646B" w14:textId="77777777" w:rsidR="00C21F0E" w:rsidRPr="00C21F0E" w:rsidRDefault="00C21F0E" w:rsidP="00C21F0E">
            <w:pPr>
              <w:spacing w:line="0" w:lineRule="atLeast"/>
              <w:ind w:right="227"/>
              <w:jc w:val="right"/>
              <w:rPr>
                <w:rFonts w:eastAsia="Calibri"/>
                <w:b/>
                <w:sz w:val="18"/>
                <w:szCs w:val="18"/>
                <w:lang w:eastAsia="en-US"/>
              </w:rPr>
            </w:pPr>
            <w:r w:rsidRPr="00C21F0E">
              <w:rPr>
                <w:rFonts w:eastAsia="Calibri"/>
                <w:b/>
                <w:sz w:val="18"/>
                <w:szCs w:val="18"/>
                <w:lang w:eastAsia="en-US"/>
              </w:rPr>
              <w:t>100 676</w:t>
            </w:r>
          </w:p>
        </w:tc>
        <w:tc>
          <w:tcPr>
            <w:tcW w:w="1330" w:type="dxa"/>
            <w:tcBorders>
              <w:left w:val="single" w:sz="4" w:space="0" w:color="auto"/>
              <w:right w:val="single" w:sz="4" w:space="0" w:color="auto"/>
            </w:tcBorders>
            <w:vAlign w:val="center"/>
          </w:tcPr>
          <w:p w14:paraId="21D00496" w14:textId="77777777" w:rsidR="00C21F0E" w:rsidRPr="00C21F0E" w:rsidRDefault="00C21F0E" w:rsidP="00C21F0E">
            <w:pPr>
              <w:spacing w:line="0" w:lineRule="atLeast"/>
              <w:ind w:right="227"/>
              <w:jc w:val="right"/>
              <w:rPr>
                <w:rFonts w:eastAsia="Calibri"/>
                <w:b/>
                <w:sz w:val="18"/>
                <w:szCs w:val="18"/>
                <w:lang w:eastAsia="en-US"/>
              </w:rPr>
            </w:pPr>
            <w:r w:rsidRPr="00C21F0E">
              <w:rPr>
                <w:rFonts w:eastAsia="Calibri"/>
                <w:b/>
                <w:sz w:val="18"/>
                <w:szCs w:val="18"/>
                <w:lang w:eastAsia="en-US"/>
              </w:rPr>
              <w:t>97 251</w:t>
            </w:r>
          </w:p>
        </w:tc>
        <w:tc>
          <w:tcPr>
            <w:tcW w:w="1679" w:type="dxa"/>
            <w:tcBorders>
              <w:left w:val="single" w:sz="4" w:space="0" w:color="auto"/>
              <w:right w:val="single" w:sz="4" w:space="0" w:color="auto"/>
            </w:tcBorders>
          </w:tcPr>
          <w:p w14:paraId="444CB7CF" w14:textId="77777777" w:rsidR="00C21F0E" w:rsidRPr="00C21F0E" w:rsidRDefault="00C21F0E" w:rsidP="00C21F0E">
            <w:pPr>
              <w:spacing w:line="0" w:lineRule="atLeast"/>
              <w:ind w:right="510"/>
              <w:jc w:val="right"/>
              <w:rPr>
                <w:rFonts w:eastAsia="Calibri"/>
                <w:b/>
                <w:sz w:val="18"/>
                <w:szCs w:val="18"/>
                <w:lang w:eastAsia="en-US"/>
              </w:rPr>
            </w:pPr>
            <w:r w:rsidRPr="00C21F0E">
              <w:rPr>
                <w:rFonts w:eastAsia="Calibri"/>
                <w:b/>
                <w:sz w:val="18"/>
                <w:szCs w:val="18"/>
                <w:lang w:eastAsia="en-US"/>
              </w:rPr>
              <w:t>-3.4</w:t>
            </w:r>
          </w:p>
        </w:tc>
      </w:tr>
      <w:tr w:rsidR="00C21F0E" w:rsidRPr="00C21F0E" w14:paraId="0390BACF" w14:textId="77777777" w:rsidTr="001E7D79">
        <w:trPr>
          <w:jc w:val="center"/>
        </w:trPr>
        <w:tc>
          <w:tcPr>
            <w:tcW w:w="2922" w:type="dxa"/>
            <w:tcBorders>
              <w:left w:val="single" w:sz="4" w:space="0" w:color="auto"/>
              <w:right w:val="single" w:sz="4" w:space="0" w:color="auto"/>
            </w:tcBorders>
            <w:vAlign w:val="center"/>
          </w:tcPr>
          <w:p w14:paraId="4AC963AF" w14:textId="77777777" w:rsidR="00C21F0E" w:rsidRPr="00C21F0E" w:rsidRDefault="00C21F0E" w:rsidP="00C21F0E">
            <w:pPr>
              <w:spacing w:line="0" w:lineRule="atLeast"/>
              <w:rPr>
                <w:rFonts w:eastAsia="Calibri"/>
                <w:sz w:val="18"/>
                <w:szCs w:val="18"/>
                <w:lang w:eastAsia="en-US"/>
              </w:rPr>
            </w:pPr>
            <w:r w:rsidRPr="00C21F0E">
              <w:rPr>
                <w:rFonts w:eastAsia="Calibri"/>
                <w:sz w:val="18"/>
                <w:szCs w:val="18"/>
                <w:lang w:eastAsia="en-US"/>
              </w:rPr>
              <w:t>San Luis Potosí</w:t>
            </w:r>
          </w:p>
        </w:tc>
        <w:tc>
          <w:tcPr>
            <w:tcW w:w="1418" w:type="dxa"/>
            <w:tcBorders>
              <w:left w:val="single" w:sz="4" w:space="0" w:color="auto"/>
              <w:right w:val="single" w:sz="4" w:space="0" w:color="auto"/>
            </w:tcBorders>
          </w:tcPr>
          <w:p w14:paraId="2B02089E"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94 434</w:t>
            </w:r>
          </w:p>
        </w:tc>
        <w:tc>
          <w:tcPr>
            <w:tcW w:w="1330" w:type="dxa"/>
            <w:tcBorders>
              <w:left w:val="single" w:sz="4" w:space="0" w:color="auto"/>
              <w:right w:val="single" w:sz="4" w:space="0" w:color="auto"/>
            </w:tcBorders>
          </w:tcPr>
          <w:p w14:paraId="0811594A"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93 490</w:t>
            </w:r>
          </w:p>
        </w:tc>
        <w:tc>
          <w:tcPr>
            <w:tcW w:w="1679" w:type="dxa"/>
            <w:tcBorders>
              <w:left w:val="single" w:sz="4" w:space="0" w:color="auto"/>
              <w:right w:val="single" w:sz="4" w:space="0" w:color="auto"/>
            </w:tcBorders>
          </w:tcPr>
          <w:p w14:paraId="1C9B0EBA" w14:textId="77777777" w:rsidR="00C21F0E" w:rsidRPr="00C21F0E" w:rsidRDefault="00C21F0E" w:rsidP="00C21F0E">
            <w:pPr>
              <w:spacing w:line="0" w:lineRule="atLeast"/>
              <w:ind w:right="510"/>
              <w:jc w:val="right"/>
              <w:rPr>
                <w:rFonts w:eastAsia="Calibri"/>
                <w:sz w:val="18"/>
                <w:szCs w:val="18"/>
                <w:lang w:eastAsia="en-US"/>
              </w:rPr>
            </w:pPr>
            <w:r w:rsidRPr="00C21F0E">
              <w:rPr>
                <w:rFonts w:eastAsia="Calibri"/>
                <w:sz w:val="18"/>
                <w:szCs w:val="18"/>
                <w:lang w:eastAsia="en-US"/>
              </w:rPr>
              <w:t>-1.0</w:t>
            </w:r>
          </w:p>
        </w:tc>
      </w:tr>
      <w:tr w:rsidR="00C21F0E" w:rsidRPr="00C21F0E" w14:paraId="5F4135F0" w14:textId="77777777" w:rsidTr="001E7D79">
        <w:trPr>
          <w:jc w:val="center"/>
        </w:trPr>
        <w:tc>
          <w:tcPr>
            <w:tcW w:w="2922" w:type="dxa"/>
            <w:tcBorders>
              <w:left w:val="single" w:sz="4" w:space="0" w:color="auto"/>
              <w:bottom w:val="single" w:sz="4" w:space="0" w:color="auto"/>
              <w:right w:val="single" w:sz="4" w:space="0" w:color="auto"/>
            </w:tcBorders>
            <w:vAlign w:val="center"/>
          </w:tcPr>
          <w:p w14:paraId="625B4461" w14:textId="77777777" w:rsidR="00C21F0E" w:rsidRPr="00C21F0E" w:rsidRDefault="00C21F0E" w:rsidP="00C21F0E">
            <w:pPr>
              <w:spacing w:line="0" w:lineRule="atLeast"/>
              <w:rPr>
                <w:rFonts w:eastAsia="Calibri"/>
                <w:sz w:val="18"/>
                <w:szCs w:val="18"/>
                <w:lang w:eastAsia="en-US"/>
              </w:rPr>
            </w:pPr>
            <w:r w:rsidRPr="00C21F0E">
              <w:rPr>
                <w:rFonts w:eastAsia="Calibri"/>
                <w:sz w:val="18"/>
                <w:szCs w:val="18"/>
                <w:lang w:eastAsia="en-US"/>
              </w:rPr>
              <w:t>Coahuila de Zaragoza</w:t>
            </w:r>
          </w:p>
        </w:tc>
        <w:tc>
          <w:tcPr>
            <w:tcW w:w="1418" w:type="dxa"/>
            <w:tcBorders>
              <w:left w:val="single" w:sz="4" w:space="0" w:color="auto"/>
              <w:bottom w:val="single" w:sz="4" w:space="0" w:color="auto"/>
              <w:right w:val="single" w:sz="4" w:space="0" w:color="auto"/>
            </w:tcBorders>
          </w:tcPr>
          <w:p w14:paraId="625B2B62"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6 202</w:t>
            </w:r>
          </w:p>
        </w:tc>
        <w:tc>
          <w:tcPr>
            <w:tcW w:w="1330" w:type="dxa"/>
            <w:tcBorders>
              <w:left w:val="single" w:sz="4" w:space="0" w:color="auto"/>
              <w:bottom w:val="single" w:sz="4" w:space="0" w:color="auto"/>
              <w:right w:val="single" w:sz="4" w:space="0" w:color="auto"/>
            </w:tcBorders>
          </w:tcPr>
          <w:p w14:paraId="5E9C28E3" w14:textId="77777777" w:rsidR="00C21F0E" w:rsidRPr="00C21F0E" w:rsidRDefault="00C21F0E" w:rsidP="00C21F0E">
            <w:pPr>
              <w:spacing w:line="0" w:lineRule="atLeast"/>
              <w:ind w:right="227"/>
              <w:jc w:val="right"/>
              <w:rPr>
                <w:rFonts w:eastAsia="Calibri"/>
                <w:sz w:val="18"/>
                <w:szCs w:val="18"/>
                <w:lang w:eastAsia="en-US"/>
              </w:rPr>
            </w:pPr>
            <w:r w:rsidRPr="00C21F0E">
              <w:rPr>
                <w:rFonts w:eastAsia="Calibri"/>
                <w:sz w:val="18"/>
                <w:szCs w:val="18"/>
                <w:lang w:eastAsia="en-US"/>
              </w:rPr>
              <w:t>3 721</w:t>
            </w:r>
          </w:p>
        </w:tc>
        <w:tc>
          <w:tcPr>
            <w:tcW w:w="1679" w:type="dxa"/>
            <w:tcBorders>
              <w:left w:val="single" w:sz="4" w:space="0" w:color="auto"/>
              <w:bottom w:val="single" w:sz="4" w:space="0" w:color="auto"/>
              <w:right w:val="single" w:sz="4" w:space="0" w:color="auto"/>
            </w:tcBorders>
          </w:tcPr>
          <w:p w14:paraId="27D987F3" w14:textId="77777777" w:rsidR="00C21F0E" w:rsidRPr="00C21F0E" w:rsidRDefault="00C21F0E" w:rsidP="00C21F0E">
            <w:pPr>
              <w:spacing w:line="0" w:lineRule="atLeast"/>
              <w:ind w:right="510"/>
              <w:jc w:val="right"/>
              <w:rPr>
                <w:rFonts w:eastAsia="Calibri"/>
                <w:sz w:val="18"/>
                <w:szCs w:val="18"/>
                <w:lang w:eastAsia="en-US"/>
              </w:rPr>
            </w:pPr>
            <w:r w:rsidRPr="00C21F0E">
              <w:rPr>
                <w:rFonts w:eastAsia="Calibri"/>
                <w:sz w:val="18"/>
                <w:szCs w:val="18"/>
                <w:lang w:eastAsia="en-US"/>
              </w:rPr>
              <w:t>-40.0</w:t>
            </w:r>
          </w:p>
        </w:tc>
      </w:tr>
      <w:tr w:rsidR="00C21F0E" w:rsidRPr="00C21F0E" w14:paraId="3B204C35" w14:textId="77777777" w:rsidTr="002F1869">
        <w:trPr>
          <w:jc w:val="center"/>
        </w:trPr>
        <w:tc>
          <w:tcPr>
            <w:tcW w:w="7349" w:type="dxa"/>
            <w:gridSpan w:val="4"/>
            <w:tcBorders>
              <w:top w:val="single" w:sz="4" w:space="0" w:color="auto"/>
              <w:left w:val="nil"/>
              <w:bottom w:val="nil"/>
              <w:right w:val="nil"/>
            </w:tcBorders>
            <w:vAlign w:val="center"/>
          </w:tcPr>
          <w:p w14:paraId="63BF2F06" w14:textId="77777777" w:rsidR="00C21F0E" w:rsidRPr="00C21F0E" w:rsidRDefault="00C21F0E" w:rsidP="00C21F0E">
            <w:pPr>
              <w:spacing w:line="0" w:lineRule="atLeast"/>
              <w:jc w:val="both"/>
              <w:rPr>
                <w:rFonts w:eastAsia="Calibri"/>
                <w:sz w:val="18"/>
                <w:szCs w:val="18"/>
                <w:u w:val="single"/>
                <w:lang w:eastAsia="en-US"/>
              </w:rPr>
            </w:pPr>
            <w:r w:rsidRPr="00C21F0E">
              <w:rPr>
                <w:rFonts w:eastAsia="Calibri"/>
                <w:sz w:val="18"/>
                <w:szCs w:val="18"/>
                <w:u w:val="single"/>
                <w:lang w:eastAsia="en-US"/>
              </w:rPr>
              <w:t>p</w:t>
            </w:r>
            <w:r w:rsidRPr="00C21F0E">
              <w:rPr>
                <w:rFonts w:eastAsia="Calibri"/>
                <w:sz w:val="18"/>
                <w:szCs w:val="18"/>
                <w:lang w:eastAsia="en-US"/>
              </w:rPr>
              <w:t>/ Cifras preliminares.</w:t>
            </w:r>
          </w:p>
          <w:p w14:paraId="387BD62B" w14:textId="77777777" w:rsidR="00C21F0E" w:rsidRPr="00C21F0E" w:rsidRDefault="00C21F0E" w:rsidP="00C21F0E">
            <w:pPr>
              <w:spacing w:line="0" w:lineRule="atLeast"/>
              <w:jc w:val="both"/>
              <w:rPr>
                <w:rFonts w:eastAsia="Calibri"/>
                <w:sz w:val="18"/>
                <w:szCs w:val="18"/>
                <w:lang w:eastAsia="en-US"/>
              </w:rPr>
            </w:pPr>
            <w:r w:rsidRPr="00C21F0E">
              <w:rPr>
                <w:rFonts w:eastAsia="Calibri"/>
                <w:sz w:val="18"/>
                <w:szCs w:val="18"/>
                <w:u w:val="single"/>
                <w:lang w:eastAsia="en-US"/>
              </w:rPr>
              <w:t>1/</w:t>
            </w:r>
            <w:r w:rsidRPr="00C21F0E">
              <w:rPr>
                <w:rFonts w:eastAsia="Calibri"/>
                <w:sz w:val="18"/>
                <w:szCs w:val="18"/>
                <w:lang w:eastAsia="en-US"/>
              </w:rPr>
              <w:t xml:space="preserve"> Excepto el oro y la plata que son kilogramos.</w:t>
            </w:r>
          </w:p>
          <w:p w14:paraId="01D3F310" w14:textId="77777777" w:rsidR="00C21F0E" w:rsidRPr="00C21F0E" w:rsidRDefault="00C21F0E" w:rsidP="00C21F0E">
            <w:pPr>
              <w:spacing w:line="0" w:lineRule="atLeast"/>
              <w:jc w:val="both"/>
              <w:rPr>
                <w:rFonts w:eastAsia="Calibri"/>
                <w:sz w:val="18"/>
                <w:szCs w:val="18"/>
                <w:lang w:eastAsia="en-US"/>
              </w:rPr>
            </w:pPr>
            <w:r w:rsidRPr="00C21F0E">
              <w:rPr>
                <w:rFonts w:eastAsia="Calibri"/>
                <w:sz w:val="18"/>
                <w:szCs w:val="18"/>
                <w:lang w:eastAsia="en-US"/>
              </w:rPr>
              <w:t>FUENTE: INEGI.</w:t>
            </w:r>
          </w:p>
        </w:tc>
      </w:tr>
    </w:tbl>
    <w:p w14:paraId="61186B37" w14:textId="77777777" w:rsidR="00C21F0E" w:rsidRPr="00C21F0E" w:rsidRDefault="00C21F0E" w:rsidP="00C21F0E">
      <w:pPr>
        <w:spacing w:after="360" w:line="360" w:lineRule="auto"/>
        <w:ind w:right="-159"/>
        <w:jc w:val="center"/>
        <w:rPr>
          <w:rFonts w:eastAsia="Calibri"/>
          <w:sz w:val="26"/>
          <w:szCs w:val="26"/>
          <w:lang w:eastAsia="en-US"/>
        </w:rPr>
      </w:pPr>
    </w:p>
    <w:p w14:paraId="00D60549" w14:textId="77777777" w:rsidR="00C21F0E" w:rsidRPr="00C21F0E" w:rsidRDefault="00C21F0E" w:rsidP="00C21F0E">
      <w:pPr>
        <w:spacing w:after="360" w:line="360" w:lineRule="auto"/>
        <w:ind w:right="-159"/>
        <w:jc w:val="both"/>
        <w:rPr>
          <w:rFonts w:eastAsia="Calibri"/>
          <w:sz w:val="26"/>
          <w:szCs w:val="26"/>
          <w:lang w:eastAsia="en-US"/>
        </w:rPr>
      </w:pPr>
      <w:r w:rsidRPr="00C21F0E">
        <w:rPr>
          <w:rFonts w:eastAsia="Calibri"/>
          <w:sz w:val="26"/>
          <w:szCs w:val="26"/>
          <w:lang w:eastAsia="en-US"/>
        </w:rPr>
        <w:t>Por lo que se refiere a la producción de plomo, sobresalió la de Zacatecas con 52.5%, Chihuahua 25.3% y Durango con 10.7%; por su parte, Guerrero, Estado de México, Querétaro, San Luis Potosí, Sinaloa y otras entidades generaron 11.5% en el último mes de 2014.</w:t>
      </w:r>
    </w:p>
    <w:p w14:paraId="2D956F01" w14:textId="145CB126" w:rsidR="00C21F0E" w:rsidRPr="00C21F0E" w:rsidRDefault="00C21F0E" w:rsidP="00C21F0E">
      <w:pPr>
        <w:spacing w:after="360" w:line="360" w:lineRule="auto"/>
        <w:ind w:right="-159"/>
        <w:jc w:val="both"/>
        <w:rPr>
          <w:rFonts w:eastAsia="Calibri"/>
          <w:sz w:val="26"/>
          <w:szCs w:val="26"/>
          <w:lang w:eastAsia="en-US"/>
        </w:rPr>
      </w:pPr>
      <w:r w:rsidRPr="00C21F0E">
        <w:rPr>
          <w:rFonts w:eastAsia="Calibri"/>
          <w:sz w:val="26"/>
          <w:szCs w:val="26"/>
          <w:lang w:eastAsia="en-US"/>
        </w:rPr>
        <w:lastRenderedPageBreak/>
        <w:t xml:space="preserve">La producción de cobre se llevó a cabo básicamente en Sonora con una participación de 79.8%, continuando Zacatecas con 8.6%, San Luis Potosí 4.9% y Chihuahua con </w:t>
      </w:r>
      <w:r w:rsidR="00A8424C">
        <w:rPr>
          <w:rFonts w:eastAsia="Calibri"/>
          <w:sz w:val="26"/>
          <w:szCs w:val="26"/>
          <w:lang w:eastAsia="en-US"/>
        </w:rPr>
        <w:t xml:space="preserve">   </w:t>
      </w:r>
      <w:r w:rsidRPr="00C21F0E">
        <w:rPr>
          <w:rFonts w:eastAsia="Calibri"/>
          <w:sz w:val="26"/>
          <w:szCs w:val="26"/>
          <w:lang w:eastAsia="en-US"/>
        </w:rPr>
        <w:t>3.2</w:t>
      </w:r>
      <w:r w:rsidR="00A8424C">
        <w:rPr>
          <w:rFonts w:eastAsia="Calibri"/>
          <w:sz w:val="26"/>
          <w:szCs w:val="26"/>
          <w:lang w:eastAsia="en-US"/>
        </w:rPr>
        <w:t>%</w:t>
      </w:r>
      <w:r w:rsidRPr="00C21F0E">
        <w:rPr>
          <w:rFonts w:eastAsia="Calibri"/>
          <w:sz w:val="26"/>
          <w:szCs w:val="26"/>
          <w:lang w:eastAsia="en-US"/>
        </w:rPr>
        <w:t>. El 3.5% restante se registró en Durango, Guerrero, Estado de México, Michoacán de Ocampo, Querétaro, Sinaloa y otras entidades.</w:t>
      </w:r>
    </w:p>
    <w:p w14:paraId="58D036A8" w14:textId="77777777" w:rsidR="00C21F0E" w:rsidRPr="00C21F0E" w:rsidRDefault="00C21F0E" w:rsidP="00C21F0E">
      <w:pPr>
        <w:spacing w:after="360" w:line="360" w:lineRule="auto"/>
        <w:ind w:right="-159"/>
        <w:jc w:val="both"/>
        <w:rPr>
          <w:rFonts w:eastAsia="Calibri"/>
          <w:sz w:val="26"/>
          <w:szCs w:val="26"/>
          <w:lang w:eastAsia="en-US"/>
        </w:rPr>
      </w:pPr>
      <w:r w:rsidRPr="00C21F0E">
        <w:rPr>
          <w:rFonts w:eastAsia="Calibri"/>
          <w:sz w:val="26"/>
          <w:szCs w:val="26"/>
          <w:lang w:eastAsia="en-US"/>
        </w:rPr>
        <w:t>En cuanto a la extracción y beneficio de zinc, la de Zacatecas significó 41% del total nacional durante diciembre de 2014; seguido de Chihuahua con 21.6%, Durango 16.2%, Estado de México 6.3% y San Luis Potosí 4.9 por ciento. El complemento de 10% se originó de manera agregada en los estados de Guerrero, Querétaro, Sinaloa y otros.</w:t>
      </w:r>
    </w:p>
    <w:p w14:paraId="46CDA056" w14:textId="77777777" w:rsidR="00C21F0E" w:rsidRPr="00C21F0E" w:rsidRDefault="00C21F0E" w:rsidP="00C21F0E">
      <w:pPr>
        <w:spacing w:after="360" w:line="360" w:lineRule="auto"/>
        <w:ind w:right="-159"/>
        <w:jc w:val="both"/>
        <w:rPr>
          <w:rFonts w:eastAsia="Calibri"/>
          <w:sz w:val="26"/>
          <w:szCs w:val="26"/>
          <w:lang w:eastAsia="en-US"/>
        </w:rPr>
      </w:pPr>
      <w:r w:rsidRPr="00C21F0E">
        <w:rPr>
          <w:rFonts w:eastAsia="Calibri"/>
          <w:sz w:val="26"/>
          <w:szCs w:val="26"/>
          <w:lang w:eastAsia="en-US"/>
        </w:rPr>
        <w:t>La producción de coque se logró en Coahuila de Zaragoza con una aportación de 83.3% y en Michoacán de Ocampo 16.7%; la de fierro en los estados de Michoacán de Ocampo, Coahuila de Zaragoza y Colima que contribuyeron con 29.6, 22.1 y 15% en ese orden, y el 33.3% se ubicó en Chihuahua, Durango y otras entidades.</w:t>
      </w:r>
    </w:p>
    <w:p w14:paraId="598CE88B" w14:textId="51F2A91B" w:rsidR="00C21F0E" w:rsidRPr="00C21F0E" w:rsidRDefault="00C21F0E" w:rsidP="00C21F0E">
      <w:pPr>
        <w:spacing w:after="360" w:line="360" w:lineRule="auto"/>
        <w:ind w:right="-159"/>
        <w:jc w:val="both"/>
        <w:rPr>
          <w:rFonts w:eastAsia="Calibri"/>
          <w:sz w:val="26"/>
          <w:szCs w:val="26"/>
          <w:lang w:eastAsia="en-US"/>
        </w:rPr>
      </w:pPr>
      <w:r w:rsidRPr="00C21F0E">
        <w:rPr>
          <w:rFonts w:eastAsia="Calibri"/>
          <w:sz w:val="26"/>
          <w:szCs w:val="26"/>
          <w:lang w:eastAsia="en-US"/>
        </w:rPr>
        <w:t>El azufre se produjo en los estados de Chiapas, Tabasco, Veracruz de Ignacio de la Llave, Nuevo León y Tamaulipas con 31.6, 27.9, 13.4, 10.8 y 6.8%, respectivamente; seguidos de Hidalgo con 4.2%, Oaxaca 3.7% y Guanajuato 1.6 por ciento. Por lo que toca a la fluorita, San Luis Potosí obtuvo 96.2% y Coahuila de Zaragoza 3.8% en el mes de referencia.</w:t>
      </w:r>
    </w:p>
    <w:p w14:paraId="0DC20C84" w14:textId="77777777" w:rsidR="00C21F0E" w:rsidRPr="00C21F0E" w:rsidRDefault="00C21F0E" w:rsidP="00C21F0E">
      <w:pPr>
        <w:ind w:right="-159"/>
        <w:jc w:val="both"/>
        <w:rPr>
          <w:rFonts w:eastAsia="Calibri"/>
          <w:b/>
          <w:sz w:val="20"/>
          <w:szCs w:val="20"/>
          <w:lang w:eastAsia="en-US"/>
        </w:rPr>
      </w:pPr>
      <w:r w:rsidRPr="00C21F0E">
        <w:rPr>
          <w:rFonts w:eastAsia="Calibri"/>
          <w:b/>
          <w:sz w:val="20"/>
          <w:szCs w:val="20"/>
          <w:lang w:eastAsia="en-US"/>
        </w:rPr>
        <w:t>Fuente de información:</w:t>
      </w:r>
    </w:p>
    <w:p w14:paraId="6866ECA2" w14:textId="77777777" w:rsidR="00C21F0E" w:rsidRPr="00660E71" w:rsidRDefault="0093224F" w:rsidP="00C21F0E">
      <w:pPr>
        <w:spacing w:after="360" w:line="360" w:lineRule="auto"/>
        <w:ind w:right="-159"/>
        <w:jc w:val="both"/>
        <w:rPr>
          <w:rFonts w:eastAsia="Calibri"/>
          <w:color w:val="0000FF"/>
          <w:sz w:val="20"/>
          <w:szCs w:val="20"/>
          <w:lang w:eastAsia="en-US"/>
        </w:rPr>
      </w:pPr>
      <w:hyperlink r:id="rId132" w:history="1">
        <w:r w:rsidR="00C21F0E" w:rsidRPr="00660E71">
          <w:rPr>
            <w:rFonts w:eastAsia="Calibri"/>
            <w:color w:val="0000FF"/>
            <w:sz w:val="20"/>
            <w:szCs w:val="20"/>
            <w:u w:val="single"/>
            <w:lang w:eastAsia="en-US"/>
          </w:rPr>
          <w:t>http://www.inegi.org.mx/inegi/contenidos/notasinformativas/ind_miner/NI-IM.pdf</w:t>
        </w:r>
      </w:hyperlink>
    </w:p>
    <w:p w14:paraId="54A1F5A6" w14:textId="3B2DDCCA" w:rsidR="00886B22" w:rsidRDefault="00886B22" w:rsidP="00886B22">
      <w:pPr>
        <w:spacing w:after="360" w:line="360" w:lineRule="auto"/>
        <w:ind w:right="-159"/>
        <w:jc w:val="both"/>
        <w:rPr>
          <w:rFonts w:eastAsia="Calibri"/>
          <w:sz w:val="26"/>
          <w:szCs w:val="26"/>
          <w:lang w:eastAsia="en-US"/>
        </w:rPr>
      </w:pPr>
    </w:p>
    <w:p w14:paraId="74176EF6" w14:textId="77777777" w:rsidR="00E53D8D" w:rsidRDefault="00E53D8D" w:rsidP="00886B22">
      <w:pPr>
        <w:spacing w:after="360" w:line="360" w:lineRule="auto"/>
        <w:ind w:right="-159"/>
        <w:jc w:val="both"/>
        <w:rPr>
          <w:rFonts w:eastAsia="Calibri"/>
          <w:sz w:val="26"/>
          <w:szCs w:val="26"/>
          <w:lang w:eastAsia="en-US"/>
        </w:rPr>
      </w:pPr>
    </w:p>
    <w:p w14:paraId="4208D8BD" w14:textId="77777777" w:rsidR="00E53D8D" w:rsidRDefault="00E53D8D" w:rsidP="00886B22">
      <w:pPr>
        <w:spacing w:after="360" w:line="360" w:lineRule="auto"/>
        <w:ind w:right="-159"/>
        <w:jc w:val="both"/>
        <w:rPr>
          <w:rFonts w:eastAsia="Calibri"/>
          <w:sz w:val="26"/>
          <w:szCs w:val="26"/>
          <w:lang w:eastAsia="en-US"/>
        </w:rPr>
      </w:pPr>
    </w:p>
    <w:p w14:paraId="13AD324E" w14:textId="5FDB9820" w:rsidR="0069103C" w:rsidRDefault="0069103C" w:rsidP="004D0324">
      <w:pPr>
        <w:spacing w:after="360" w:line="360" w:lineRule="auto"/>
        <w:ind w:right="-159"/>
        <w:jc w:val="both"/>
        <w:rPr>
          <w:rFonts w:eastAsia="Calibri"/>
          <w:b/>
          <w:sz w:val="28"/>
          <w:szCs w:val="28"/>
          <w:lang w:eastAsia="en-US"/>
        </w:rPr>
      </w:pPr>
      <w:r w:rsidRPr="000E3A45">
        <w:rPr>
          <w:rFonts w:eastAsia="Calibri"/>
          <w:b/>
          <w:sz w:val="28"/>
          <w:szCs w:val="28"/>
          <w:lang w:eastAsia="en-US"/>
        </w:rPr>
        <w:lastRenderedPageBreak/>
        <w:t xml:space="preserve">INVERSIÓN </w:t>
      </w:r>
      <w:r w:rsidR="003F4A5C">
        <w:rPr>
          <w:rFonts w:eastAsia="Calibri"/>
          <w:b/>
          <w:sz w:val="28"/>
          <w:szCs w:val="28"/>
          <w:lang w:eastAsia="en-US"/>
        </w:rPr>
        <w:t>PÚBLICA Y PRIVADA</w:t>
      </w:r>
      <w:r w:rsidR="005C3360">
        <w:rPr>
          <w:rFonts w:eastAsia="Calibri"/>
          <w:b/>
          <w:sz w:val="28"/>
          <w:szCs w:val="28"/>
          <w:lang w:eastAsia="en-US"/>
        </w:rPr>
        <w:t xml:space="preserve"> </w:t>
      </w:r>
      <w:r w:rsidRPr="000E3A45">
        <w:rPr>
          <w:rFonts w:eastAsia="Calibri"/>
          <w:b/>
          <w:sz w:val="28"/>
          <w:szCs w:val="28"/>
          <w:lang w:eastAsia="en-US"/>
        </w:rPr>
        <w:t>EN INFRAESTRUCTURA</w:t>
      </w:r>
    </w:p>
    <w:p w14:paraId="3F6F3E59" w14:textId="77777777" w:rsidR="003F4A5C" w:rsidRPr="003F4A5C" w:rsidRDefault="003F4A5C" w:rsidP="003F4A5C">
      <w:pPr>
        <w:rPr>
          <w:rFonts w:eastAsia="Calibri"/>
          <w:b/>
          <w:sz w:val="26"/>
          <w:szCs w:val="26"/>
          <w:lang w:eastAsia="en-US"/>
        </w:rPr>
      </w:pPr>
      <w:r w:rsidRPr="003F4A5C">
        <w:rPr>
          <w:rFonts w:eastAsia="Calibri"/>
          <w:b/>
          <w:sz w:val="26"/>
          <w:szCs w:val="26"/>
          <w:lang w:eastAsia="en-US"/>
        </w:rPr>
        <w:t>Inversión y empleos prioridad de</w:t>
      </w:r>
    </w:p>
    <w:p w14:paraId="29B7B9EB" w14:textId="77777777" w:rsidR="003F4A5C" w:rsidRPr="003F4A5C" w:rsidRDefault="003F4A5C" w:rsidP="003F4A5C">
      <w:pPr>
        <w:spacing w:after="360" w:line="360" w:lineRule="auto"/>
        <w:ind w:right="-159"/>
        <w:jc w:val="both"/>
        <w:rPr>
          <w:rFonts w:eastAsia="Calibri"/>
          <w:b/>
          <w:sz w:val="26"/>
          <w:szCs w:val="26"/>
          <w:lang w:eastAsia="en-US"/>
        </w:rPr>
      </w:pPr>
      <w:r w:rsidRPr="003F4A5C">
        <w:rPr>
          <w:rFonts w:eastAsia="Calibri"/>
          <w:b/>
          <w:sz w:val="26"/>
          <w:szCs w:val="26"/>
          <w:lang w:eastAsia="en-US"/>
        </w:rPr>
        <w:t>la presente administración (SCT)</w:t>
      </w:r>
    </w:p>
    <w:p w14:paraId="08644132" w14:textId="77777777" w:rsidR="003F4A5C" w:rsidRPr="003F4A5C" w:rsidRDefault="003F4A5C" w:rsidP="003F4A5C">
      <w:pPr>
        <w:spacing w:after="360" w:line="360" w:lineRule="auto"/>
        <w:ind w:right="-159"/>
        <w:jc w:val="both"/>
        <w:rPr>
          <w:rFonts w:eastAsia="Calibri"/>
          <w:sz w:val="26"/>
          <w:szCs w:val="26"/>
          <w:lang w:eastAsia="en-US"/>
        </w:rPr>
      </w:pPr>
      <w:r w:rsidRPr="003F4A5C">
        <w:rPr>
          <w:rFonts w:eastAsia="Calibri"/>
          <w:sz w:val="26"/>
          <w:szCs w:val="26"/>
          <w:lang w:eastAsia="en-US"/>
        </w:rPr>
        <w:t>El 27 de febrero de 2015, la Secretaría de Comunicaciones y Transportes (SCT) comunicó que el Coordinador General de Puertos y Marina Mercante colocó la primera piedra para la edificación de la empresa Aircrete México, cuyas actividades en la industria de la construcción contribuirán a crear en México un nodo logístico global. A continuación se presenta la información.</w:t>
      </w:r>
    </w:p>
    <w:p w14:paraId="0925BFF5" w14:textId="77777777" w:rsidR="003F4A5C" w:rsidRPr="003F4A5C" w:rsidRDefault="003F4A5C" w:rsidP="003F4A5C">
      <w:pPr>
        <w:spacing w:after="360" w:line="360" w:lineRule="auto"/>
        <w:ind w:right="-159"/>
        <w:jc w:val="both"/>
        <w:rPr>
          <w:rFonts w:eastAsia="Calibri"/>
          <w:sz w:val="26"/>
          <w:szCs w:val="26"/>
          <w:lang w:eastAsia="en-US"/>
        </w:rPr>
      </w:pPr>
      <w:r w:rsidRPr="003F4A5C">
        <w:rPr>
          <w:rFonts w:eastAsia="Calibri"/>
          <w:sz w:val="26"/>
          <w:szCs w:val="26"/>
          <w:lang w:eastAsia="en-US"/>
        </w:rPr>
        <w:t>El Coordinador General de Puertos y Marina Mercante de la SCT colocó la primera piedra para la edificación de la empresa Aircrete México, cuyas actividades en la industria de la construcción contribuirán a crear en México un nodo logístico global, uno de los objetivos del Presidente de la República.</w:t>
      </w:r>
    </w:p>
    <w:p w14:paraId="0841D49A" w14:textId="77777777" w:rsidR="003F4A5C" w:rsidRPr="003F4A5C" w:rsidRDefault="003F4A5C" w:rsidP="003F4A5C">
      <w:pPr>
        <w:spacing w:after="360" w:line="360" w:lineRule="auto"/>
        <w:ind w:right="-159"/>
        <w:jc w:val="both"/>
        <w:rPr>
          <w:rFonts w:eastAsia="Calibri"/>
          <w:sz w:val="26"/>
          <w:szCs w:val="26"/>
          <w:lang w:eastAsia="en-US"/>
        </w:rPr>
      </w:pPr>
      <w:r w:rsidRPr="003F4A5C">
        <w:rPr>
          <w:rFonts w:eastAsia="Calibri"/>
          <w:sz w:val="26"/>
          <w:szCs w:val="26"/>
          <w:lang w:eastAsia="en-US"/>
        </w:rPr>
        <w:t>Acompañado por el Gobernador de Hidalgo, destacó que se trata de edificar centros    —como el que hoy se inicia— para generar riqueza, empleo e inversión en la región y, por ende, en toda la República Mexicana, a través de la exportación de productos a diversas partes del mundo.</w:t>
      </w:r>
    </w:p>
    <w:p w14:paraId="6085CD11" w14:textId="77777777" w:rsidR="003F4A5C" w:rsidRPr="003F4A5C" w:rsidRDefault="003F4A5C" w:rsidP="003F4A5C">
      <w:pPr>
        <w:spacing w:after="360" w:line="360" w:lineRule="auto"/>
        <w:ind w:right="-159"/>
        <w:jc w:val="both"/>
        <w:rPr>
          <w:rFonts w:eastAsia="Calibri"/>
          <w:sz w:val="26"/>
          <w:szCs w:val="26"/>
          <w:lang w:eastAsia="en-US"/>
        </w:rPr>
      </w:pPr>
      <w:r w:rsidRPr="003F4A5C">
        <w:rPr>
          <w:rFonts w:eastAsia="Calibri"/>
          <w:sz w:val="26"/>
          <w:szCs w:val="26"/>
          <w:lang w:eastAsia="en-US"/>
        </w:rPr>
        <w:t>Este proyecto que se ubicará en Hidalgo —estratégico porque se sitúa en el centro del país, el cual registra el consumo más importante— creará 10 mil empleos directos y 40 mil indirectos, además de que se localizará a sólo dos horas del Puerto de Veracruz, el más importante en América Latina una vez que concluya su modernización en la que se invierten 35 mil millones de pesos, precisó.</w:t>
      </w:r>
    </w:p>
    <w:p w14:paraId="0818FD11" w14:textId="77777777" w:rsidR="003F4A5C" w:rsidRPr="003F4A5C" w:rsidRDefault="003F4A5C" w:rsidP="003F4A5C">
      <w:pPr>
        <w:spacing w:after="360" w:line="360" w:lineRule="auto"/>
        <w:ind w:right="-159"/>
        <w:jc w:val="both"/>
        <w:rPr>
          <w:rFonts w:eastAsia="Calibri"/>
          <w:sz w:val="26"/>
          <w:szCs w:val="26"/>
          <w:lang w:eastAsia="en-US"/>
        </w:rPr>
      </w:pPr>
      <w:r w:rsidRPr="003F4A5C">
        <w:rPr>
          <w:rFonts w:eastAsia="Calibri"/>
          <w:sz w:val="26"/>
          <w:szCs w:val="26"/>
          <w:lang w:eastAsia="en-US"/>
        </w:rPr>
        <w:t xml:space="preserve">El objetivo del Gobierno de la República, dijo, es convertir a México en un nodo logístico global y México cuenta con las condiciones por su geografía y cercanía con el principal consumidor del mundo: Estados Unidos de Norteamérica. De esta manera, </w:t>
      </w:r>
      <w:r w:rsidRPr="003F4A5C">
        <w:rPr>
          <w:rFonts w:eastAsia="Calibri"/>
          <w:sz w:val="26"/>
          <w:szCs w:val="26"/>
          <w:lang w:eastAsia="en-US"/>
        </w:rPr>
        <w:lastRenderedPageBreak/>
        <w:t>añadió, nuestra nación cuenta con la infraestructura a todo lo largo de su territorio para que las empresas mexicana y extranjera inviertan.</w:t>
      </w:r>
    </w:p>
    <w:p w14:paraId="41B11A44" w14:textId="77777777" w:rsidR="003F4A5C" w:rsidRPr="003F4A5C" w:rsidRDefault="003F4A5C" w:rsidP="003F4A5C">
      <w:pPr>
        <w:spacing w:after="360" w:line="360" w:lineRule="auto"/>
        <w:ind w:right="-159"/>
        <w:jc w:val="both"/>
        <w:rPr>
          <w:rFonts w:eastAsia="Calibri"/>
          <w:sz w:val="26"/>
          <w:szCs w:val="26"/>
          <w:lang w:eastAsia="en-US"/>
        </w:rPr>
      </w:pPr>
      <w:r w:rsidRPr="003F4A5C">
        <w:rPr>
          <w:rFonts w:eastAsia="Calibri"/>
          <w:sz w:val="26"/>
          <w:szCs w:val="26"/>
          <w:lang w:eastAsia="en-US"/>
        </w:rPr>
        <w:t>Así, manifestó, destaca el corredor Mazatlán-Durango-Matamoros con dos puertos a cada lado, y en medio las terminales portuarias de Manzanillo y Lázaro Cárdenas que se une con Tuxpan y Veracruz; el centro portuario de Salina Cruz que se une con el de Coatzacoalcos, en su enlace con carreteras y el ferrocarril.</w:t>
      </w:r>
    </w:p>
    <w:p w14:paraId="4249792C" w14:textId="77777777" w:rsidR="003F4A5C" w:rsidRPr="003F4A5C" w:rsidRDefault="003F4A5C" w:rsidP="003F4A5C">
      <w:pPr>
        <w:spacing w:after="360" w:line="360" w:lineRule="auto"/>
        <w:ind w:right="-159"/>
        <w:jc w:val="both"/>
        <w:rPr>
          <w:rFonts w:eastAsia="Calibri"/>
          <w:sz w:val="26"/>
          <w:szCs w:val="26"/>
          <w:lang w:eastAsia="en-US"/>
        </w:rPr>
      </w:pPr>
      <w:r w:rsidRPr="003F4A5C">
        <w:rPr>
          <w:rFonts w:eastAsia="Calibri"/>
          <w:sz w:val="26"/>
          <w:szCs w:val="26"/>
          <w:lang w:eastAsia="en-US"/>
        </w:rPr>
        <w:t>Por su parte, el Gobernador de la entidad subrayó que el arranque de esta compañía atraerá a otras para concretar un parque industrial estratégico por su cercanía con el Valle de México.</w:t>
      </w:r>
    </w:p>
    <w:p w14:paraId="17BA57FE" w14:textId="77777777" w:rsidR="003F4A5C" w:rsidRPr="003F4A5C" w:rsidRDefault="003F4A5C" w:rsidP="003F4A5C">
      <w:pPr>
        <w:spacing w:after="360" w:line="360" w:lineRule="auto"/>
        <w:ind w:right="-159"/>
        <w:jc w:val="both"/>
        <w:rPr>
          <w:rFonts w:eastAsia="Calibri"/>
          <w:sz w:val="26"/>
          <w:szCs w:val="26"/>
          <w:lang w:eastAsia="en-US"/>
        </w:rPr>
      </w:pPr>
      <w:r w:rsidRPr="003F4A5C">
        <w:rPr>
          <w:rFonts w:eastAsia="Calibri"/>
          <w:sz w:val="26"/>
          <w:szCs w:val="26"/>
          <w:lang w:eastAsia="en-US"/>
        </w:rPr>
        <w:t>Con este proyecto, aseveró, el Presidente de México cumple con su palabra de generar un polo de desarrollo en esta entidad y anticipó que con el uso de la más alta tecnología la nueva empresa iniciará operaciones en octubre próximo.</w:t>
      </w:r>
    </w:p>
    <w:p w14:paraId="62CE57EE" w14:textId="77777777" w:rsidR="003F4A5C" w:rsidRPr="003F4A5C" w:rsidRDefault="003F4A5C" w:rsidP="003F4A5C">
      <w:pPr>
        <w:spacing w:after="360" w:line="360" w:lineRule="auto"/>
        <w:ind w:right="-159"/>
        <w:jc w:val="both"/>
        <w:rPr>
          <w:rFonts w:eastAsia="Calibri"/>
          <w:sz w:val="26"/>
          <w:szCs w:val="26"/>
          <w:lang w:eastAsia="en-US"/>
        </w:rPr>
      </w:pPr>
      <w:r w:rsidRPr="003F4A5C">
        <w:rPr>
          <w:rFonts w:eastAsia="Calibri"/>
          <w:sz w:val="26"/>
          <w:szCs w:val="26"/>
          <w:lang w:eastAsia="en-US"/>
        </w:rPr>
        <w:t>En el acto también estuvieron presentes: el Director General del Centro SCT Hidalgo, el socio y fundador de “Artha Capital”, así como la Presidenta Municipal de Villa de Tezontepec, entre otros.</w:t>
      </w:r>
    </w:p>
    <w:p w14:paraId="21102931" w14:textId="77777777" w:rsidR="003F4A5C" w:rsidRPr="003F4A5C" w:rsidRDefault="003F4A5C" w:rsidP="003F4A5C">
      <w:pPr>
        <w:ind w:right="-159"/>
        <w:jc w:val="both"/>
        <w:rPr>
          <w:rFonts w:eastAsia="Calibri"/>
          <w:sz w:val="20"/>
          <w:szCs w:val="20"/>
          <w:lang w:eastAsia="en-US"/>
        </w:rPr>
      </w:pPr>
      <w:r w:rsidRPr="003F4A5C">
        <w:rPr>
          <w:rFonts w:eastAsia="Calibri"/>
          <w:b/>
          <w:sz w:val="20"/>
          <w:szCs w:val="20"/>
          <w:lang w:eastAsia="en-US"/>
        </w:rPr>
        <w:t>Fuente de información</w:t>
      </w:r>
      <w:r w:rsidRPr="003F4A5C">
        <w:rPr>
          <w:rFonts w:eastAsia="Calibri"/>
          <w:sz w:val="20"/>
          <w:szCs w:val="20"/>
          <w:lang w:eastAsia="en-US"/>
        </w:rPr>
        <w:t>:</w:t>
      </w:r>
    </w:p>
    <w:p w14:paraId="04090D94" w14:textId="77777777" w:rsidR="003F4A5C" w:rsidRPr="00660E71" w:rsidRDefault="0093224F" w:rsidP="00660E71">
      <w:pPr>
        <w:spacing w:after="720"/>
        <w:ind w:right="-159"/>
        <w:jc w:val="both"/>
        <w:rPr>
          <w:rFonts w:eastAsia="Calibri"/>
          <w:color w:val="0000FF"/>
          <w:sz w:val="20"/>
          <w:szCs w:val="20"/>
          <w:lang w:eastAsia="en-US"/>
        </w:rPr>
      </w:pPr>
      <w:hyperlink r:id="rId133" w:history="1">
        <w:r w:rsidR="003F4A5C" w:rsidRPr="00660E71">
          <w:rPr>
            <w:rFonts w:eastAsia="Calibri"/>
            <w:color w:val="0000FF"/>
            <w:sz w:val="20"/>
            <w:szCs w:val="20"/>
            <w:u w:val="single"/>
            <w:lang w:eastAsia="en-US"/>
          </w:rPr>
          <w:t>http://www.sct.gob.mx/despliega-noticias/article/inversion-y-empleos-prioridad-de-la-presente-administracion-guillermo-ruiz-de-teresa/</w:t>
        </w:r>
      </w:hyperlink>
    </w:p>
    <w:p w14:paraId="3616AF86" w14:textId="77777777" w:rsidR="003F4A5C" w:rsidRPr="003F4A5C" w:rsidRDefault="003F4A5C" w:rsidP="003F4A5C">
      <w:pPr>
        <w:rPr>
          <w:rFonts w:eastAsia="Calibri"/>
          <w:b/>
          <w:sz w:val="26"/>
          <w:szCs w:val="26"/>
          <w:lang w:eastAsia="en-US"/>
        </w:rPr>
      </w:pPr>
      <w:r w:rsidRPr="003F4A5C">
        <w:rPr>
          <w:rFonts w:eastAsia="Calibri"/>
          <w:b/>
          <w:sz w:val="26"/>
          <w:szCs w:val="26"/>
          <w:lang w:eastAsia="en-US"/>
        </w:rPr>
        <w:t>Avanzan proyectos de Reforma</w:t>
      </w:r>
    </w:p>
    <w:p w14:paraId="1F587DED" w14:textId="77777777" w:rsidR="003F4A5C" w:rsidRPr="003F4A5C" w:rsidRDefault="003F4A5C" w:rsidP="003F4A5C">
      <w:pPr>
        <w:spacing w:after="360" w:line="360" w:lineRule="auto"/>
        <w:ind w:right="-159"/>
        <w:jc w:val="both"/>
        <w:rPr>
          <w:rFonts w:eastAsia="Calibri"/>
          <w:b/>
          <w:sz w:val="26"/>
          <w:szCs w:val="26"/>
          <w:lang w:eastAsia="en-US"/>
        </w:rPr>
      </w:pPr>
      <w:r w:rsidRPr="003F4A5C">
        <w:rPr>
          <w:rFonts w:eastAsia="Calibri"/>
          <w:b/>
          <w:sz w:val="26"/>
          <w:szCs w:val="26"/>
          <w:lang w:eastAsia="en-US"/>
        </w:rPr>
        <w:t>en Telecomunicaciones (SCT)</w:t>
      </w:r>
    </w:p>
    <w:p w14:paraId="20E3A333" w14:textId="77777777" w:rsidR="003F4A5C" w:rsidRPr="003F4A5C" w:rsidRDefault="003F4A5C" w:rsidP="003F4A5C">
      <w:pPr>
        <w:spacing w:after="360" w:line="360" w:lineRule="auto"/>
        <w:ind w:right="-159"/>
        <w:jc w:val="both"/>
        <w:rPr>
          <w:rFonts w:eastAsia="Calibri"/>
          <w:sz w:val="26"/>
          <w:szCs w:val="26"/>
          <w:lang w:eastAsia="en-US"/>
        </w:rPr>
      </w:pPr>
      <w:r w:rsidRPr="003F4A5C">
        <w:rPr>
          <w:rFonts w:eastAsia="Calibri"/>
          <w:sz w:val="26"/>
          <w:szCs w:val="26"/>
          <w:lang w:eastAsia="en-US"/>
        </w:rPr>
        <w:t>El 1º de marzo de 2015, la Secretaría de Comunicaciones y Transportes (SCT) dio a conocer los avances en la implementación de diversos proyectos que redundan en beneficios concretos para la población en general derivados de la Reforma en Telecomunicaciones. A continuación se presenta la información.</w:t>
      </w:r>
    </w:p>
    <w:p w14:paraId="57F8948C" w14:textId="77777777" w:rsidR="003F4A5C" w:rsidRPr="003F4A5C" w:rsidRDefault="003F4A5C" w:rsidP="003F4A5C">
      <w:pPr>
        <w:spacing w:after="360" w:line="360" w:lineRule="auto"/>
        <w:ind w:right="-159"/>
        <w:jc w:val="both"/>
        <w:rPr>
          <w:rFonts w:eastAsia="Calibri"/>
          <w:sz w:val="26"/>
          <w:szCs w:val="26"/>
          <w:lang w:eastAsia="en-US"/>
        </w:rPr>
      </w:pPr>
      <w:r w:rsidRPr="003F4A5C">
        <w:rPr>
          <w:rFonts w:eastAsia="Calibri"/>
          <w:sz w:val="26"/>
          <w:szCs w:val="26"/>
          <w:lang w:eastAsia="en-US"/>
        </w:rPr>
        <w:lastRenderedPageBreak/>
        <w:t>Con el propósito de dar cumplimiento al modelo integral de acceso universal a los servicios de telecomunicaciones, la SCT avanza en la implementación de diversos proyectos que redundan en beneficios concretos para la población en general, derivados de la Reforma en Telecomunicaciones.</w:t>
      </w:r>
    </w:p>
    <w:p w14:paraId="7667A176" w14:textId="77777777" w:rsidR="003F4A5C" w:rsidRPr="003F4A5C" w:rsidRDefault="003F4A5C" w:rsidP="003F4A5C">
      <w:pPr>
        <w:spacing w:after="360" w:line="360" w:lineRule="auto"/>
        <w:ind w:right="-159"/>
        <w:jc w:val="both"/>
        <w:rPr>
          <w:rFonts w:eastAsia="Calibri"/>
          <w:sz w:val="26"/>
          <w:szCs w:val="26"/>
          <w:lang w:eastAsia="en-US"/>
        </w:rPr>
      </w:pPr>
      <w:r w:rsidRPr="003F4A5C">
        <w:rPr>
          <w:rFonts w:eastAsia="Calibri"/>
          <w:sz w:val="26"/>
          <w:szCs w:val="26"/>
          <w:lang w:eastAsia="en-US"/>
        </w:rPr>
        <w:t>Específicamente se trata de los proyectos Programa para la Transición a la Televisión digital terrestre (TDT), acceso a Internet en sitios públicos a través del proyecto México Conectado, Red compartida y Red troncal.</w:t>
      </w:r>
    </w:p>
    <w:p w14:paraId="00AA2D92" w14:textId="77777777" w:rsidR="003F4A5C" w:rsidRPr="003F4A5C" w:rsidRDefault="003F4A5C" w:rsidP="003F4A5C">
      <w:pPr>
        <w:spacing w:after="360" w:line="360" w:lineRule="auto"/>
        <w:ind w:right="-159"/>
        <w:jc w:val="both"/>
        <w:rPr>
          <w:rFonts w:eastAsia="Calibri"/>
          <w:b/>
          <w:sz w:val="26"/>
          <w:szCs w:val="26"/>
          <w:lang w:eastAsia="en-US"/>
        </w:rPr>
      </w:pPr>
      <w:r w:rsidRPr="003F4A5C">
        <w:rPr>
          <w:rFonts w:eastAsia="Calibri"/>
          <w:b/>
          <w:sz w:val="26"/>
          <w:szCs w:val="26"/>
          <w:lang w:eastAsia="en-US"/>
        </w:rPr>
        <w:t>Televisión digital terrestre (TDT)</w:t>
      </w:r>
    </w:p>
    <w:p w14:paraId="1BA2FDB4" w14:textId="77777777" w:rsidR="003F4A5C" w:rsidRPr="003F4A5C" w:rsidRDefault="003F4A5C" w:rsidP="003F4A5C">
      <w:pPr>
        <w:spacing w:after="360" w:line="360" w:lineRule="auto"/>
        <w:ind w:right="-159"/>
        <w:jc w:val="both"/>
        <w:rPr>
          <w:rFonts w:eastAsia="Calibri"/>
          <w:sz w:val="26"/>
          <w:szCs w:val="26"/>
          <w:lang w:eastAsia="en-US"/>
        </w:rPr>
      </w:pPr>
      <w:r w:rsidRPr="003F4A5C">
        <w:rPr>
          <w:rFonts w:eastAsia="Calibri"/>
          <w:sz w:val="26"/>
          <w:szCs w:val="26"/>
          <w:lang w:eastAsia="en-US"/>
        </w:rPr>
        <w:t>A lo largo de diez meses, entre mayo de 2014 y febrero de 2015, se han entregado más de 2.3 millones de televisores en hogares de bajos recursos en 20 estados del país, de acuerdo con el listado de beneficiarios de la Secretaría de Desarrollo Social (SEDESOL).</w:t>
      </w:r>
    </w:p>
    <w:p w14:paraId="56EB96B1" w14:textId="77777777" w:rsidR="003F4A5C" w:rsidRPr="003F4A5C" w:rsidRDefault="003F4A5C" w:rsidP="003F4A5C">
      <w:pPr>
        <w:spacing w:after="360" w:line="360" w:lineRule="auto"/>
        <w:ind w:right="-159"/>
        <w:jc w:val="both"/>
        <w:rPr>
          <w:rFonts w:eastAsia="Calibri"/>
          <w:sz w:val="26"/>
          <w:szCs w:val="26"/>
          <w:lang w:eastAsia="en-US"/>
        </w:rPr>
      </w:pPr>
      <w:r w:rsidRPr="003F4A5C">
        <w:rPr>
          <w:rFonts w:eastAsia="Calibri"/>
          <w:sz w:val="26"/>
          <w:szCs w:val="26"/>
          <w:lang w:eastAsia="en-US"/>
        </w:rPr>
        <w:t>Como resultado de este progreso, el pasado 14 de enero, el Instituto Federal de Telecomunicaciones (IFT) realizó el “apagón analógico” en la región de la frontera Noroeste del país, que comprende 12 municipios de Tamaulipas, cuatro de Nuevo León y uno de Coahuila.</w:t>
      </w:r>
    </w:p>
    <w:p w14:paraId="2700E167" w14:textId="77777777" w:rsidR="003F4A5C" w:rsidRPr="003F4A5C" w:rsidRDefault="003F4A5C" w:rsidP="003F4A5C">
      <w:pPr>
        <w:spacing w:after="360" w:line="360" w:lineRule="auto"/>
        <w:ind w:right="-159"/>
        <w:jc w:val="both"/>
        <w:rPr>
          <w:rFonts w:eastAsia="Calibri"/>
          <w:b/>
          <w:sz w:val="26"/>
          <w:szCs w:val="26"/>
          <w:lang w:eastAsia="en-US"/>
        </w:rPr>
      </w:pPr>
      <w:r w:rsidRPr="003F4A5C">
        <w:rPr>
          <w:rFonts w:eastAsia="Calibri"/>
          <w:b/>
          <w:sz w:val="26"/>
          <w:szCs w:val="26"/>
          <w:lang w:eastAsia="en-US"/>
        </w:rPr>
        <w:t>México conectado: Acceso a Internet en sitios y espacios públicos</w:t>
      </w:r>
    </w:p>
    <w:p w14:paraId="67D3E729" w14:textId="77777777" w:rsidR="003F4A5C" w:rsidRPr="003F4A5C" w:rsidRDefault="003F4A5C" w:rsidP="003F4A5C">
      <w:pPr>
        <w:spacing w:after="360" w:line="360" w:lineRule="auto"/>
        <w:ind w:right="-159"/>
        <w:jc w:val="both"/>
        <w:rPr>
          <w:rFonts w:eastAsia="Calibri"/>
          <w:sz w:val="26"/>
          <w:szCs w:val="26"/>
          <w:lang w:eastAsia="en-US"/>
        </w:rPr>
      </w:pPr>
      <w:r w:rsidRPr="003F4A5C">
        <w:rPr>
          <w:rFonts w:eastAsia="Calibri"/>
          <w:sz w:val="26"/>
          <w:szCs w:val="26"/>
          <w:lang w:eastAsia="en-US"/>
        </w:rPr>
        <w:t>Más de 18 millones de personas son beneficiarias del acceso a Internet en los sitios públicos de “México conectado”, mediante más de 65 mil sitios y espacios públicos en todo el país, que ya cuentan con acceso a Internet contratado por la SCT.</w:t>
      </w:r>
    </w:p>
    <w:p w14:paraId="4757F952" w14:textId="77777777" w:rsidR="003F4A5C" w:rsidRPr="003F4A5C" w:rsidRDefault="003F4A5C" w:rsidP="003F4A5C">
      <w:pPr>
        <w:spacing w:after="360" w:line="360" w:lineRule="auto"/>
        <w:ind w:right="-159"/>
        <w:jc w:val="both"/>
        <w:rPr>
          <w:rFonts w:eastAsia="Calibri"/>
          <w:sz w:val="26"/>
          <w:szCs w:val="26"/>
          <w:lang w:eastAsia="en-US"/>
        </w:rPr>
      </w:pPr>
      <w:r w:rsidRPr="003F4A5C">
        <w:rPr>
          <w:rFonts w:eastAsia="Calibri"/>
          <w:sz w:val="26"/>
          <w:szCs w:val="26"/>
          <w:lang w:eastAsia="en-US"/>
        </w:rPr>
        <w:t>Esto es resultado del trabajo de 14 mesas estatales de coordinación instaladas en: Morelos, Colima, Tabasco, Estado de México, Sonora, Puebla, Yucatán, Quintana Roo, Michoacán, Sinaloa, Hidalgo, Campeche, Coahuila y Jalisco.</w:t>
      </w:r>
    </w:p>
    <w:p w14:paraId="15048812" w14:textId="77777777" w:rsidR="003F4A5C" w:rsidRPr="003F4A5C" w:rsidRDefault="003F4A5C" w:rsidP="003F4A5C">
      <w:pPr>
        <w:spacing w:after="360" w:line="360" w:lineRule="auto"/>
        <w:ind w:right="-159"/>
        <w:jc w:val="both"/>
        <w:rPr>
          <w:rFonts w:eastAsia="Calibri"/>
          <w:sz w:val="26"/>
          <w:szCs w:val="26"/>
          <w:lang w:eastAsia="en-US"/>
        </w:rPr>
      </w:pPr>
      <w:r w:rsidRPr="003F4A5C">
        <w:rPr>
          <w:rFonts w:eastAsia="Calibri"/>
          <w:sz w:val="26"/>
          <w:szCs w:val="26"/>
          <w:lang w:eastAsia="en-US"/>
        </w:rPr>
        <w:lastRenderedPageBreak/>
        <w:t>El 75% de los sitios públicos con acceso a Internet están ubicados en los municipios considerados en la Cruzada Nacional sin Hambre y más del 40% de esos mismos sitios públicos cuentan con una antena Wi-Fi en el exterior, lo que permite el acceso a internet desde cualquier dispositivo móvil del que disponga cualquier miembro de la comunidad.</w:t>
      </w:r>
    </w:p>
    <w:p w14:paraId="0D74D673" w14:textId="77777777" w:rsidR="003F4A5C" w:rsidRPr="003F4A5C" w:rsidRDefault="003F4A5C" w:rsidP="003F4A5C">
      <w:pPr>
        <w:spacing w:after="360" w:line="360" w:lineRule="auto"/>
        <w:ind w:right="-159"/>
        <w:jc w:val="both"/>
        <w:rPr>
          <w:rFonts w:eastAsia="Calibri"/>
          <w:b/>
          <w:sz w:val="26"/>
          <w:szCs w:val="26"/>
          <w:lang w:eastAsia="en-US"/>
        </w:rPr>
      </w:pPr>
      <w:r w:rsidRPr="003F4A5C">
        <w:rPr>
          <w:rFonts w:eastAsia="Calibri"/>
          <w:b/>
          <w:sz w:val="26"/>
          <w:szCs w:val="26"/>
          <w:lang w:eastAsia="en-US"/>
        </w:rPr>
        <w:t>Red troncal</w:t>
      </w:r>
    </w:p>
    <w:p w14:paraId="5653C1EF" w14:textId="4B98E479" w:rsidR="003F4A5C" w:rsidRPr="003F4A5C" w:rsidRDefault="003F4A5C" w:rsidP="003F4A5C">
      <w:pPr>
        <w:spacing w:after="360" w:line="360" w:lineRule="auto"/>
        <w:ind w:right="-159"/>
        <w:jc w:val="both"/>
        <w:rPr>
          <w:rFonts w:eastAsia="Calibri"/>
          <w:sz w:val="26"/>
          <w:szCs w:val="26"/>
          <w:lang w:eastAsia="en-US"/>
        </w:rPr>
      </w:pPr>
      <w:r w:rsidRPr="003F4A5C">
        <w:rPr>
          <w:rFonts w:eastAsia="Calibri"/>
          <w:sz w:val="26"/>
          <w:szCs w:val="26"/>
          <w:lang w:eastAsia="en-US"/>
        </w:rPr>
        <w:t>El 17 de diciembre pasado</w:t>
      </w:r>
      <w:r w:rsidR="003076D2">
        <w:rPr>
          <w:rFonts w:eastAsia="Calibri"/>
          <w:sz w:val="26"/>
          <w:szCs w:val="26"/>
          <w:lang w:eastAsia="en-US"/>
        </w:rPr>
        <w:t>,</w:t>
      </w:r>
      <w:r w:rsidRPr="003F4A5C">
        <w:rPr>
          <w:rFonts w:eastAsia="Calibri"/>
          <w:sz w:val="26"/>
          <w:szCs w:val="26"/>
          <w:lang w:eastAsia="en-US"/>
        </w:rPr>
        <w:t xml:space="preserve"> la Comisión Federal de Electricidad (CFE) entregó al Pleno del IFT, la solicitud de cesión del título de concesión para operar y explotar una red pública de telecomunicaciones, a favor de Telecomm.</w:t>
      </w:r>
    </w:p>
    <w:p w14:paraId="6643C497" w14:textId="70407990" w:rsidR="003F4A5C" w:rsidRPr="003F4A5C" w:rsidRDefault="003F4A5C" w:rsidP="003F4A5C">
      <w:pPr>
        <w:spacing w:after="360" w:line="360" w:lineRule="auto"/>
        <w:ind w:right="-159"/>
        <w:jc w:val="both"/>
        <w:rPr>
          <w:rFonts w:eastAsia="Calibri"/>
          <w:sz w:val="26"/>
          <w:szCs w:val="26"/>
          <w:lang w:eastAsia="en-US"/>
        </w:rPr>
      </w:pPr>
      <w:r w:rsidRPr="003F4A5C">
        <w:rPr>
          <w:rFonts w:eastAsia="Calibri"/>
          <w:sz w:val="26"/>
          <w:szCs w:val="26"/>
          <w:lang w:eastAsia="en-US"/>
        </w:rPr>
        <w:t>Para el efecto, se prevé que a finales de marzo de este año, el IFT resuelva y emita el dictamen correspondiente; mientras tanto, la CFE y Telecomm analizan y preparan los términos de la cesión y los demás instrumentos necesarios para su ejecución.</w:t>
      </w:r>
    </w:p>
    <w:p w14:paraId="50D9BBBB" w14:textId="77777777" w:rsidR="003F4A5C" w:rsidRPr="003F4A5C" w:rsidRDefault="003F4A5C" w:rsidP="003F4A5C">
      <w:pPr>
        <w:spacing w:after="360" w:line="360" w:lineRule="auto"/>
        <w:ind w:right="-159"/>
        <w:jc w:val="both"/>
        <w:rPr>
          <w:rFonts w:eastAsia="Calibri"/>
          <w:sz w:val="26"/>
          <w:szCs w:val="26"/>
          <w:lang w:eastAsia="en-US"/>
        </w:rPr>
      </w:pPr>
      <w:r w:rsidRPr="003F4A5C">
        <w:rPr>
          <w:rFonts w:eastAsia="Calibri"/>
          <w:sz w:val="26"/>
          <w:szCs w:val="26"/>
          <w:lang w:eastAsia="en-US"/>
        </w:rPr>
        <w:t>Durante el segundo semestre de 2014 se realizó una auditoría técnica y administrativa a la CFE y a Telecomm.</w:t>
      </w:r>
    </w:p>
    <w:p w14:paraId="4C03DDD5" w14:textId="77777777" w:rsidR="003F4A5C" w:rsidRPr="003F4A5C" w:rsidRDefault="003F4A5C" w:rsidP="003F4A5C">
      <w:pPr>
        <w:spacing w:after="360" w:line="360" w:lineRule="auto"/>
        <w:ind w:right="-159"/>
        <w:jc w:val="both"/>
        <w:rPr>
          <w:rFonts w:eastAsia="Calibri"/>
          <w:sz w:val="26"/>
          <w:szCs w:val="26"/>
          <w:lang w:eastAsia="en-US"/>
        </w:rPr>
      </w:pPr>
      <w:r w:rsidRPr="003F4A5C">
        <w:rPr>
          <w:rFonts w:eastAsia="Calibri"/>
          <w:sz w:val="26"/>
          <w:szCs w:val="26"/>
          <w:lang w:eastAsia="en-US"/>
        </w:rPr>
        <w:t>La información generada permitió conocer el estado de los activos de la CFE relacionados con su título de concesión para operar una red de telecomunicaciones, así como el estado actual de Telecomm para recibir, operar y explotar la concesión que se le otorgará, con el objeto de garantizar que la cesión del título se lleve a cabo de manera ordenada y eficiente.</w:t>
      </w:r>
    </w:p>
    <w:p w14:paraId="4B62199B" w14:textId="77777777" w:rsidR="003F4A5C" w:rsidRPr="003F4A5C" w:rsidRDefault="003F4A5C" w:rsidP="003F4A5C">
      <w:pPr>
        <w:spacing w:after="360" w:line="360" w:lineRule="auto"/>
        <w:ind w:right="-159"/>
        <w:jc w:val="both"/>
        <w:rPr>
          <w:rFonts w:eastAsia="Calibri"/>
          <w:sz w:val="26"/>
          <w:szCs w:val="26"/>
          <w:lang w:eastAsia="en-US"/>
        </w:rPr>
      </w:pPr>
      <w:r w:rsidRPr="003F4A5C">
        <w:rPr>
          <w:rFonts w:eastAsia="Calibri"/>
          <w:sz w:val="26"/>
          <w:szCs w:val="26"/>
          <w:lang w:eastAsia="en-US"/>
        </w:rPr>
        <w:t>Paralelamente, la SCT ha contratado la elaboración de un plan de expansión y operación de la red, en el cual se considerará el crecimiento de su capacidad y cobertura, de manera que México cuente con una robusta red troncal de telecomunicaciones, en los términos ordenados por la Constitución.</w:t>
      </w:r>
    </w:p>
    <w:p w14:paraId="0D7D385D" w14:textId="77777777" w:rsidR="003F4A5C" w:rsidRPr="003F4A5C" w:rsidRDefault="003F4A5C" w:rsidP="003F4A5C">
      <w:pPr>
        <w:spacing w:after="360" w:line="360" w:lineRule="auto"/>
        <w:ind w:right="-159"/>
        <w:jc w:val="both"/>
        <w:rPr>
          <w:rFonts w:eastAsia="Calibri"/>
          <w:b/>
          <w:sz w:val="26"/>
          <w:szCs w:val="26"/>
          <w:lang w:eastAsia="en-US"/>
        </w:rPr>
      </w:pPr>
      <w:r w:rsidRPr="003F4A5C">
        <w:rPr>
          <w:rFonts w:eastAsia="Calibri"/>
          <w:b/>
          <w:sz w:val="26"/>
          <w:szCs w:val="26"/>
          <w:lang w:eastAsia="en-US"/>
        </w:rPr>
        <w:lastRenderedPageBreak/>
        <w:t>Red compartida</w:t>
      </w:r>
    </w:p>
    <w:p w14:paraId="17E7EE3A" w14:textId="77777777" w:rsidR="003F4A5C" w:rsidRPr="003F4A5C" w:rsidRDefault="003F4A5C" w:rsidP="003F4A5C">
      <w:pPr>
        <w:spacing w:after="360" w:line="360" w:lineRule="auto"/>
        <w:ind w:right="-159"/>
        <w:jc w:val="both"/>
        <w:rPr>
          <w:rFonts w:eastAsia="Calibri"/>
          <w:sz w:val="26"/>
          <w:szCs w:val="26"/>
          <w:lang w:eastAsia="en-US"/>
        </w:rPr>
      </w:pPr>
      <w:r w:rsidRPr="003F4A5C">
        <w:rPr>
          <w:rFonts w:eastAsia="Calibri"/>
          <w:sz w:val="26"/>
          <w:szCs w:val="26"/>
          <w:lang w:eastAsia="en-US"/>
        </w:rPr>
        <w:t>Se realizaron pruebas de campo de la tecnología Long Term Evolution (LTE) en 90 Megahertz (MHz) de la banda de frecuencias de 700 MHz, con la finalidad de iniciar el despliegue de la red compartida mayorista. Las pruebas estuvieron a cargo de Huawei Technologies, Nokia Solutions and Networks, Alcatel-Lucent y Ericsson. Para su desarrollo estos proveedores emplearon recursos propios.</w:t>
      </w:r>
    </w:p>
    <w:p w14:paraId="37AAE184" w14:textId="77777777" w:rsidR="003F4A5C" w:rsidRPr="003F4A5C" w:rsidRDefault="003F4A5C" w:rsidP="003F4A5C">
      <w:pPr>
        <w:spacing w:after="360" w:line="360" w:lineRule="auto"/>
        <w:ind w:right="-159"/>
        <w:jc w:val="both"/>
        <w:rPr>
          <w:rFonts w:eastAsia="Calibri"/>
          <w:sz w:val="26"/>
          <w:szCs w:val="26"/>
          <w:lang w:eastAsia="en-US"/>
        </w:rPr>
      </w:pPr>
      <w:r w:rsidRPr="003F4A5C">
        <w:rPr>
          <w:rFonts w:eastAsia="Calibri"/>
          <w:sz w:val="26"/>
          <w:szCs w:val="26"/>
          <w:lang w:eastAsia="en-US"/>
        </w:rPr>
        <w:t>Adicionalmente, se contrataron servicios de asesoría especializada en materia técnica, administrativa, económico-financiera y de rentabilidad social para el diseño del proceso y la elaboración de insumos para las bases de la licitación para el despliegue y operación de la Red compartida.</w:t>
      </w:r>
    </w:p>
    <w:p w14:paraId="319A5281" w14:textId="77777777" w:rsidR="003F4A5C" w:rsidRPr="003F4A5C" w:rsidRDefault="003F4A5C" w:rsidP="003F4A5C">
      <w:pPr>
        <w:spacing w:after="360" w:line="360" w:lineRule="auto"/>
        <w:ind w:right="-159"/>
        <w:jc w:val="both"/>
        <w:rPr>
          <w:rFonts w:eastAsia="Calibri"/>
          <w:sz w:val="26"/>
          <w:szCs w:val="26"/>
          <w:lang w:eastAsia="en-US"/>
        </w:rPr>
      </w:pPr>
      <w:r w:rsidRPr="003F4A5C">
        <w:rPr>
          <w:rFonts w:eastAsia="Calibri"/>
          <w:sz w:val="26"/>
          <w:szCs w:val="26"/>
          <w:lang w:eastAsia="en-US"/>
        </w:rPr>
        <w:t>La Red compartida requerirá una inversión estimada de 10 mil millones de dólares por 10 años. El esquema planteado por la SCT no será una presión para las finanzas públicas, pues será financiada, desplegada y operada por un particular.</w:t>
      </w:r>
    </w:p>
    <w:p w14:paraId="085BF8A2" w14:textId="77777777" w:rsidR="003F4A5C" w:rsidRPr="003F4A5C" w:rsidRDefault="003F4A5C" w:rsidP="003F4A5C">
      <w:pPr>
        <w:spacing w:after="360" w:line="360" w:lineRule="auto"/>
        <w:ind w:right="-159"/>
        <w:jc w:val="both"/>
        <w:rPr>
          <w:rFonts w:eastAsia="Calibri"/>
          <w:sz w:val="26"/>
          <w:szCs w:val="26"/>
          <w:lang w:eastAsia="en-US"/>
        </w:rPr>
      </w:pPr>
      <w:r w:rsidRPr="003F4A5C">
        <w:rPr>
          <w:rFonts w:eastAsia="Calibri"/>
          <w:sz w:val="26"/>
          <w:szCs w:val="26"/>
          <w:lang w:eastAsia="en-US"/>
        </w:rPr>
        <w:t>Este proyecto será licitado buscando maximizar su beneficio para el Estado Mexicano, tanto en términos recaudatorios como en cuanto a las obligaciones de cobertura y calidad que se impondrán al licitante ganador.</w:t>
      </w:r>
    </w:p>
    <w:p w14:paraId="4B5E0331" w14:textId="77777777" w:rsidR="003F4A5C" w:rsidRPr="003F4A5C" w:rsidRDefault="003F4A5C" w:rsidP="003F4A5C">
      <w:pPr>
        <w:spacing w:after="360" w:line="360" w:lineRule="auto"/>
        <w:ind w:right="-159"/>
        <w:jc w:val="both"/>
        <w:rPr>
          <w:rFonts w:eastAsia="Calibri"/>
          <w:sz w:val="26"/>
          <w:szCs w:val="26"/>
          <w:lang w:eastAsia="en-US"/>
        </w:rPr>
      </w:pPr>
      <w:r w:rsidRPr="003F4A5C">
        <w:rPr>
          <w:rFonts w:eastAsia="Calibri"/>
          <w:sz w:val="26"/>
          <w:szCs w:val="26"/>
          <w:lang w:eastAsia="en-US"/>
        </w:rPr>
        <w:t>Con estos proyectos, la SCT trabaja para acercar los beneficios de las nuevas tecnologías a todos los mexicanos y así cumplir con lo establecido en la Reforma Constitucional en materia de Telecomunicaciones y la Estrategia Digital Nacional.</w:t>
      </w:r>
    </w:p>
    <w:p w14:paraId="70AD4C4F" w14:textId="77777777" w:rsidR="003F4A5C" w:rsidRPr="003F4A5C" w:rsidRDefault="003F4A5C" w:rsidP="003F4A5C">
      <w:pPr>
        <w:ind w:right="-159"/>
        <w:jc w:val="both"/>
        <w:rPr>
          <w:rFonts w:eastAsia="Calibri"/>
          <w:sz w:val="20"/>
          <w:szCs w:val="20"/>
          <w:lang w:eastAsia="en-US"/>
        </w:rPr>
      </w:pPr>
      <w:r w:rsidRPr="003F4A5C">
        <w:rPr>
          <w:rFonts w:eastAsia="Calibri"/>
          <w:b/>
          <w:sz w:val="20"/>
          <w:szCs w:val="20"/>
          <w:lang w:eastAsia="en-US"/>
        </w:rPr>
        <w:t>Fuente de información</w:t>
      </w:r>
      <w:r w:rsidRPr="003F4A5C">
        <w:rPr>
          <w:rFonts w:eastAsia="Calibri"/>
          <w:sz w:val="20"/>
          <w:szCs w:val="20"/>
          <w:lang w:eastAsia="en-US"/>
        </w:rPr>
        <w:t>:</w:t>
      </w:r>
    </w:p>
    <w:p w14:paraId="435566EA" w14:textId="77777777" w:rsidR="003F4A5C" w:rsidRPr="00660E71" w:rsidRDefault="0093224F" w:rsidP="003F4A5C">
      <w:pPr>
        <w:ind w:right="-159"/>
        <w:jc w:val="both"/>
        <w:rPr>
          <w:rFonts w:eastAsia="Calibri"/>
          <w:color w:val="0000FF"/>
          <w:sz w:val="20"/>
          <w:szCs w:val="20"/>
          <w:lang w:eastAsia="en-US"/>
        </w:rPr>
      </w:pPr>
      <w:hyperlink r:id="rId134" w:history="1">
        <w:r w:rsidR="003F4A5C" w:rsidRPr="00660E71">
          <w:rPr>
            <w:rFonts w:eastAsia="Calibri"/>
            <w:color w:val="0000FF"/>
            <w:sz w:val="20"/>
            <w:szCs w:val="20"/>
            <w:u w:val="single"/>
            <w:lang w:eastAsia="en-US"/>
          </w:rPr>
          <w:t>http://www.sct.gob.mx/despliega-noticias/article/avanzan-proyectos-de-reforma-en-telecomunicaciones-primeros-beneficios-a-la-vista/</w:t>
        </w:r>
      </w:hyperlink>
    </w:p>
    <w:p w14:paraId="5008FF1E" w14:textId="77777777" w:rsidR="00903378" w:rsidRDefault="00903378" w:rsidP="00814B78">
      <w:pPr>
        <w:spacing w:after="360" w:line="360" w:lineRule="auto"/>
        <w:ind w:right="-159"/>
        <w:jc w:val="both"/>
        <w:rPr>
          <w:rFonts w:eastAsia="Calibri"/>
          <w:sz w:val="26"/>
          <w:szCs w:val="26"/>
          <w:lang w:eastAsia="en-US"/>
        </w:rPr>
      </w:pPr>
    </w:p>
    <w:p w14:paraId="686FB0C9" w14:textId="77777777" w:rsidR="00E53D8D" w:rsidRDefault="00E53D8D" w:rsidP="00814B78">
      <w:pPr>
        <w:spacing w:after="360" w:line="360" w:lineRule="auto"/>
        <w:ind w:right="-159"/>
        <w:jc w:val="both"/>
        <w:rPr>
          <w:rFonts w:eastAsia="Calibri"/>
          <w:sz w:val="26"/>
          <w:szCs w:val="26"/>
          <w:lang w:eastAsia="en-US"/>
        </w:rPr>
      </w:pPr>
    </w:p>
    <w:p w14:paraId="15F55EF9" w14:textId="77777777" w:rsidR="00CE300C" w:rsidRPr="00CE300C" w:rsidRDefault="00CE300C" w:rsidP="00CE300C">
      <w:pPr>
        <w:rPr>
          <w:rFonts w:eastAsia="Calibri"/>
          <w:b/>
          <w:sz w:val="26"/>
          <w:szCs w:val="26"/>
          <w:lang w:eastAsia="en-US"/>
        </w:rPr>
      </w:pPr>
      <w:r w:rsidRPr="00CE300C">
        <w:rPr>
          <w:rFonts w:eastAsia="Calibri"/>
          <w:b/>
          <w:sz w:val="26"/>
          <w:szCs w:val="26"/>
          <w:lang w:eastAsia="en-US"/>
        </w:rPr>
        <w:lastRenderedPageBreak/>
        <w:t>Logran inversión extranjera directa por</w:t>
      </w:r>
    </w:p>
    <w:p w14:paraId="014942E3" w14:textId="77777777" w:rsidR="00CE300C" w:rsidRPr="00CE300C" w:rsidRDefault="00CE300C" w:rsidP="00CE300C">
      <w:pPr>
        <w:spacing w:after="360" w:line="360" w:lineRule="auto"/>
        <w:ind w:right="-146"/>
        <w:jc w:val="both"/>
        <w:rPr>
          <w:rFonts w:eastAsia="Calibri"/>
          <w:b/>
          <w:sz w:val="26"/>
          <w:szCs w:val="26"/>
          <w:lang w:eastAsia="en-US"/>
        </w:rPr>
      </w:pPr>
      <w:r w:rsidRPr="00CE300C">
        <w:rPr>
          <w:rFonts w:eastAsia="Calibri"/>
          <w:b/>
          <w:sz w:val="26"/>
          <w:szCs w:val="26"/>
          <w:lang w:eastAsia="en-US"/>
        </w:rPr>
        <w:t>seis mil millones de dólares (SCT)</w:t>
      </w:r>
    </w:p>
    <w:p w14:paraId="7297BC6E" w14:textId="77777777" w:rsidR="00CE300C" w:rsidRPr="00CE300C" w:rsidRDefault="00CE300C" w:rsidP="00CE300C">
      <w:pPr>
        <w:spacing w:after="360" w:line="360" w:lineRule="auto"/>
        <w:ind w:right="-146"/>
        <w:jc w:val="both"/>
        <w:rPr>
          <w:rFonts w:eastAsia="Calibri"/>
          <w:sz w:val="26"/>
          <w:szCs w:val="26"/>
          <w:lang w:eastAsia="en-US"/>
        </w:rPr>
      </w:pPr>
      <w:r w:rsidRPr="00CE300C">
        <w:rPr>
          <w:rFonts w:eastAsia="Calibri"/>
          <w:sz w:val="26"/>
          <w:szCs w:val="26"/>
          <w:lang w:eastAsia="en-US"/>
        </w:rPr>
        <w:t>El 8 de marzo de 2015, la Secretaría de comunicaciones y Trasportes (SCT) informó que la Titular de la Coordinadora de la Sociedad de la Información y el Conocimiento de la Secretaría de Comunicaciones y Transportes (SCT) dio a conocer que gracias a la Reforma en Telecomunicaciones y Radiodifusión, el Gobierno Federal a través de la SCT, logró inversiones extranjeras directas por seis mil millones de dólares aproximadamente.</w:t>
      </w:r>
    </w:p>
    <w:p w14:paraId="4224AA1E" w14:textId="77777777" w:rsidR="00CE300C" w:rsidRPr="00CE300C" w:rsidRDefault="00CE300C" w:rsidP="00CE300C">
      <w:pPr>
        <w:spacing w:after="360" w:line="360" w:lineRule="auto"/>
        <w:ind w:right="-146"/>
        <w:jc w:val="both"/>
        <w:rPr>
          <w:rFonts w:eastAsia="Calibri"/>
          <w:sz w:val="26"/>
          <w:szCs w:val="26"/>
          <w:lang w:eastAsia="en-US"/>
        </w:rPr>
      </w:pPr>
      <w:r w:rsidRPr="00CE300C">
        <w:rPr>
          <w:rFonts w:eastAsia="Calibri"/>
          <w:sz w:val="26"/>
          <w:szCs w:val="26"/>
          <w:lang w:eastAsia="en-US"/>
        </w:rPr>
        <w:t>Durante su gira de trabajo por España, participó en el Congreso Mundial Móvil GSMA 2015 y sostuvo diferentes  reuniones con autoridades y representantes de corporativos con los adelantos más recientes en el sector.</w:t>
      </w:r>
    </w:p>
    <w:p w14:paraId="139F2455" w14:textId="77777777" w:rsidR="00CE300C" w:rsidRPr="00CE300C" w:rsidRDefault="00CE300C" w:rsidP="00CE300C">
      <w:pPr>
        <w:spacing w:after="360" w:line="360" w:lineRule="auto"/>
        <w:ind w:right="-146"/>
        <w:jc w:val="both"/>
        <w:rPr>
          <w:rFonts w:eastAsia="Calibri"/>
          <w:sz w:val="26"/>
          <w:szCs w:val="26"/>
          <w:lang w:eastAsia="en-US"/>
        </w:rPr>
      </w:pPr>
      <w:r w:rsidRPr="00CE300C">
        <w:rPr>
          <w:rFonts w:eastAsia="Calibri"/>
          <w:sz w:val="26"/>
          <w:szCs w:val="26"/>
          <w:lang w:eastAsia="en-US"/>
        </w:rPr>
        <w:t xml:space="preserve">En la ciudad de Barcelona, ante los Presidentes y Directores Generales de las empresas </w:t>
      </w:r>
      <w:r w:rsidRPr="00CE300C">
        <w:rPr>
          <w:rFonts w:eastAsia="Calibri"/>
          <w:i/>
          <w:sz w:val="26"/>
          <w:szCs w:val="26"/>
          <w:lang w:eastAsia="en-US"/>
        </w:rPr>
        <w:t>CISCO Systems</w:t>
      </w:r>
      <w:r w:rsidRPr="00CE300C">
        <w:rPr>
          <w:rFonts w:eastAsia="Calibri"/>
          <w:sz w:val="26"/>
          <w:szCs w:val="26"/>
          <w:lang w:eastAsia="en-US"/>
        </w:rPr>
        <w:t xml:space="preserve"> y </w:t>
      </w:r>
      <w:r w:rsidRPr="00CE300C">
        <w:rPr>
          <w:rFonts w:eastAsia="Calibri"/>
          <w:i/>
          <w:sz w:val="26"/>
          <w:szCs w:val="26"/>
          <w:lang w:eastAsia="en-US"/>
        </w:rPr>
        <w:t>AT&amp;T</w:t>
      </w:r>
      <w:r w:rsidRPr="00CE300C">
        <w:rPr>
          <w:rFonts w:eastAsia="Calibri"/>
          <w:sz w:val="26"/>
          <w:szCs w:val="26"/>
          <w:lang w:eastAsia="en-US"/>
        </w:rPr>
        <w:t>, John Chambers y Ralph de la Vega, respectivamente, la Coordinadora de la SCT resaltó que después de la reforma, la firma estadounidense AT&amp;T invirtió dos mil 500 millones de dólares por la compra de Iusacelly, mil 875 millones de dólares para la adquisición de Nextel, transacción que aún está en proceso de autorización.</w:t>
      </w:r>
    </w:p>
    <w:p w14:paraId="5B4185C7" w14:textId="77777777" w:rsidR="00CE300C" w:rsidRPr="00CE300C" w:rsidRDefault="00CE300C" w:rsidP="00CE300C">
      <w:pPr>
        <w:spacing w:after="360" w:line="360" w:lineRule="auto"/>
        <w:ind w:right="-146"/>
        <w:jc w:val="both"/>
        <w:rPr>
          <w:rFonts w:eastAsia="Calibri"/>
          <w:sz w:val="26"/>
          <w:szCs w:val="26"/>
          <w:lang w:eastAsia="en-US"/>
        </w:rPr>
      </w:pPr>
      <w:r w:rsidRPr="00CE300C">
        <w:rPr>
          <w:rFonts w:eastAsia="Calibri"/>
          <w:sz w:val="26"/>
          <w:szCs w:val="26"/>
          <w:lang w:eastAsia="en-US"/>
        </w:rPr>
        <w:t xml:space="preserve">Asimismo, la compañía francesa, </w:t>
      </w:r>
      <w:r w:rsidRPr="00CE300C">
        <w:rPr>
          <w:rFonts w:eastAsia="Calibri"/>
          <w:i/>
          <w:sz w:val="26"/>
          <w:szCs w:val="26"/>
          <w:lang w:eastAsia="en-US"/>
        </w:rPr>
        <w:t>Eutelsat Communications</w:t>
      </w:r>
      <w:r w:rsidRPr="00CE300C">
        <w:rPr>
          <w:rFonts w:eastAsia="Calibri"/>
          <w:sz w:val="26"/>
          <w:szCs w:val="26"/>
          <w:lang w:eastAsia="en-US"/>
        </w:rPr>
        <w:t xml:space="preserve"> adquirió Satmex por 831 millones de dólares, y la británica </w:t>
      </w:r>
      <w:r w:rsidRPr="0071435D">
        <w:rPr>
          <w:rFonts w:eastAsia="Calibri"/>
          <w:i/>
          <w:sz w:val="26"/>
          <w:szCs w:val="26"/>
          <w:lang w:eastAsia="en-US"/>
        </w:rPr>
        <w:t>Virgin Mobile</w:t>
      </w:r>
      <w:r w:rsidRPr="00CE300C">
        <w:rPr>
          <w:rFonts w:eastAsia="Calibri"/>
          <w:sz w:val="26"/>
          <w:szCs w:val="26"/>
          <w:lang w:eastAsia="en-US"/>
        </w:rPr>
        <w:t>, abrió operaciones en México con un monto de 45 millones de dólares, que junto otras inversiones alcanzan los seis mil millones de dólares, explicó.</w:t>
      </w:r>
    </w:p>
    <w:p w14:paraId="7BB60645" w14:textId="77777777" w:rsidR="00CE300C" w:rsidRPr="00CE300C" w:rsidRDefault="00CE300C" w:rsidP="00CE300C">
      <w:pPr>
        <w:spacing w:after="360" w:line="360" w:lineRule="auto"/>
        <w:ind w:right="-146"/>
        <w:jc w:val="both"/>
        <w:rPr>
          <w:rFonts w:eastAsia="Calibri"/>
          <w:sz w:val="26"/>
          <w:szCs w:val="26"/>
          <w:lang w:eastAsia="en-US"/>
        </w:rPr>
      </w:pPr>
      <w:r w:rsidRPr="00CE300C">
        <w:rPr>
          <w:rFonts w:eastAsia="Calibri"/>
          <w:sz w:val="26"/>
          <w:szCs w:val="26"/>
          <w:lang w:eastAsia="en-US"/>
        </w:rPr>
        <w:t xml:space="preserve">Estas inversiones, además de incrementar la competencia y multiplicar las opciones de servicios para los usuarios, generan más y mejores empleos, toda vez que demandan mano de obra calificada. También, mejora el panorama de México, que a pesar de ser </w:t>
      </w:r>
      <w:r w:rsidRPr="00CE300C">
        <w:rPr>
          <w:rFonts w:eastAsia="Calibri"/>
          <w:sz w:val="26"/>
          <w:szCs w:val="26"/>
          <w:lang w:eastAsia="en-US"/>
        </w:rPr>
        <w:lastRenderedPageBreak/>
        <w:t>la segunda economía en América Latina, ocupa entre el décimo y vigésimo lugar en los indicadores de Telecomunicaciones, afirmó.</w:t>
      </w:r>
    </w:p>
    <w:p w14:paraId="111B8340" w14:textId="77777777" w:rsidR="00CE300C" w:rsidRPr="00CE300C" w:rsidRDefault="00CE300C" w:rsidP="00CE300C">
      <w:pPr>
        <w:spacing w:after="360" w:line="360" w:lineRule="auto"/>
        <w:ind w:right="-146"/>
        <w:jc w:val="both"/>
        <w:rPr>
          <w:rFonts w:eastAsia="Calibri"/>
          <w:sz w:val="26"/>
          <w:szCs w:val="26"/>
          <w:lang w:eastAsia="en-US"/>
        </w:rPr>
      </w:pPr>
      <w:r w:rsidRPr="00CE300C">
        <w:rPr>
          <w:rFonts w:eastAsia="Calibri"/>
          <w:sz w:val="26"/>
          <w:szCs w:val="26"/>
          <w:lang w:eastAsia="en-US"/>
        </w:rPr>
        <w:t xml:space="preserve">De esta manera, los casos de éxito de </w:t>
      </w:r>
      <w:r w:rsidRPr="00CE300C">
        <w:rPr>
          <w:rFonts w:eastAsia="Calibri"/>
          <w:i/>
          <w:sz w:val="26"/>
          <w:szCs w:val="26"/>
          <w:lang w:eastAsia="en-US"/>
        </w:rPr>
        <w:t>AT&amp;T</w:t>
      </w:r>
      <w:r w:rsidRPr="00CE300C">
        <w:rPr>
          <w:rFonts w:eastAsia="Calibri"/>
          <w:sz w:val="26"/>
          <w:szCs w:val="26"/>
          <w:lang w:eastAsia="en-US"/>
        </w:rPr>
        <w:t xml:space="preserve"> y </w:t>
      </w:r>
      <w:r w:rsidRPr="00CE300C">
        <w:rPr>
          <w:rFonts w:eastAsia="Calibri"/>
          <w:i/>
          <w:sz w:val="26"/>
          <w:szCs w:val="26"/>
          <w:lang w:eastAsia="en-US"/>
        </w:rPr>
        <w:t>CISCO Systems</w:t>
      </w:r>
      <w:r w:rsidRPr="00CE300C">
        <w:rPr>
          <w:rFonts w:eastAsia="Calibri"/>
          <w:sz w:val="26"/>
          <w:szCs w:val="26"/>
          <w:lang w:eastAsia="en-US"/>
        </w:rPr>
        <w:t xml:space="preserve"> reflejan las oportunidades que plantea la reforma de telecomunicaciones que brinda nuevos mecanismos para generar competencia y condiciones de certidumbre para la inversión en el sector, refirió.</w:t>
      </w:r>
    </w:p>
    <w:p w14:paraId="6786DD3A" w14:textId="77777777" w:rsidR="00CE300C" w:rsidRPr="00CE300C" w:rsidRDefault="00CE300C" w:rsidP="00CE300C">
      <w:pPr>
        <w:spacing w:after="360" w:line="360" w:lineRule="auto"/>
        <w:ind w:right="-146"/>
        <w:jc w:val="both"/>
        <w:rPr>
          <w:rFonts w:eastAsia="Calibri"/>
          <w:sz w:val="26"/>
          <w:szCs w:val="26"/>
          <w:lang w:eastAsia="en-US"/>
        </w:rPr>
      </w:pPr>
      <w:r w:rsidRPr="00CE300C">
        <w:rPr>
          <w:rFonts w:eastAsia="Calibri"/>
          <w:sz w:val="26"/>
          <w:szCs w:val="26"/>
          <w:lang w:eastAsia="en-US"/>
        </w:rPr>
        <w:t>Ante ello, el Presidente y Director Ejecutivo de AT&amp;T enfatizó que todas las reformas impulsadas por el Presidente de la República, aunadas a las características macroeconómica de México, hacen del país un polo atractivo para la inversión extranjera, Además, felicitó al Instituto Federal de Telecomunicaciones (IFT) por la rápida y oportuna implementación de un nuevo marco regulatorio que fomenta la competencia en el sector.</w:t>
      </w:r>
    </w:p>
    <w:p w14:paraId="3BE1F601" w14:textId="0609036A" w:rsidR="00CE300C" w:rsidRPr="00CE300C" w:rsidRDefault="00CE300C" w:rsidP="00CE300C">
      <w:pPr>
        <w:spacing w:after="360" w:line="360" w:lineRule="auto"/>
        <w:ind w:right="-146"/>
        <w:jc w:val="both"/>
        <w:rPr>
          <w:rFonts w:eastAsia="Calibri"/>
          <w:sz w:val="26"/>
          <w:szCs w:val="26"/>
          <w:lang w:eastAsia="en-US"/>
        </w:rPr>
      </w:pPr>
      <w:r w:rsidRPr="00CE300C">
        <w:rPr>
          <w:rFonts w:eastAsia="Calibri"/>
          <w:sz w:val="26"/>
          <w:szCs w:val="26"/>
          <w:lang w:eastAsia="en-US"/>
        </w:rPr>
        <w:t>La Titular de la Sociedad de la Información y el Conocimiento representó a la SCT en diferentes reuniones, en las que expuso la situación de la Red Compartida, Red Troncal, México Conectado, así como el programa para la transición a la Televisión Digital Terrestre (TDT), proyectos que conforman el modelo integral hacia el acceso universal a los servicios de telecomunicaciones en nuestro país.</w:t>
      </w:r>
    </w:p>
    <w:p w14:paraId="66A74879" w14:textId="77777777" w:rsidR="00CE300C" w:rsidRPr="00CE300C" w:rsidRDefault="00CE300C" w:rsidP="00CE300C">
      <w:pPr>
        <w:spacing w:after="360" w:line="360" w:lineRule="auto"/>
        <w:ind w:right="-146"/>
        <w:jc w:val="both"/>
        <w:rPr>
          <w:rFonts w:eastAsia="Calibri"/>
          <w:sz w:val="26"/>
          <w:szCs w:val="26"/>
          <w:lang w:eastAsia="en-US"/>
        </w:rPr>
      </w:pPr>
      <w:r w:rsidRPr="00CE300C">
        <w:rPr>
          <w:rFonts w:eastAsia="Calibri"/>
          <w:sz w:val="26"/>
          <w:szCs w:val="26"/>
          <w:lang w:eastAsia="en-US"/>
        </w:rPr>
        <w:t>Entre las reuniones, destaca la que mantuvo con el Presidente de la Comisión Federal de Comunicaciones de Estados Unidos de Norteamérica en la cual se discutió un esquema de coordinación bilateral de planes de banda ancha, específicamente la para Red Compartida.</w:t>
      </w:r>
    </w:p>
    <w:p w14:paraId="3A942811" w14:textId="77777777" w:rsidR="00CE300C" w:rsidRPr="00CE300C" w:rsidRDefault="00CE300C" w:rsidP="00CE300C">
      <w:pPr>
        <w:ind w:right="-147"/>
        <w:jc w:val="both"/>
        <w:rPr>
          <w:rFonts w:eastAsia="Calibri"/>
          <w:sz w:val="20"/>
          <w:szCs w:val="20"/>
          <w:lang w:eastAsia="en-US"/>
        </w:rPr>
      </w:pPr>
      <w:r w:rsidRPr="00CE300C">
        <w:rPr>
          <w:rFonts w:eastAsia="Calibri"/>
          <w:b/>
          <w:sz w:val="20"/>
          <w:szCs w:val="20"/>
          <w:lang w:eastAsia="en-US"/>
        </w:rPr>
        <w:t>Fuente de información</w:t>
      </w:r>
      <w:r w:rsidRPr="00CE300C">
        <w:rPr>
          <w:rFonts w:eastAsia="Calibri"/>
          <w:sz w:val="20"/>
          <w:szCs w:val="20"/>
          <w:lang w:eastAsia="en-US"/>
        </w:rPr>
        <w:t>:</w:t>
      </w:r>
    </w:p>
    <w:p w14:paraId="60D1F368" w14:textId="77777777" w:rsidR="00CE300C" w:rsidRPr="00660E71" w:rsidRDefault="0093224F" w:rsidP="00CE300C">
      <w:pPr>
        <w:ind w:right="-147"/>
        <w:jc w:val="both"/>
        <w:rPr>
          <w:rFonts w:eastAsia="Calibri"/>
          <w:color w:val="0000FF"/>
          <w:sz w:val="20"/>
          <w:szCs w:val="20"/>
          <w:u w:val="single"/>
          <w:lang w:eastAsia="en-US"/>
        </w:rPr>
      </w:pPr>
      <w:hyperlink r:id="rId135" w:history="1">
        <w:r w:rsidR="00CE300C" w:rsidRPr="00660E71">
          <w:rPr>
            <w:rFonts w:eastAsia="Calibri"/>
            <w:color w:val="0000FF"/>
            <w:sz w:val="20"/>
            <w:szCs w:val="20"/>
            <w:u w:val="single"/>
            <w:lang w:eastAsia="en-US"/>
          </w:rPr>
          <w:t>http://www.sct.gob.mx/despliega-noticias/article/logra-sct-inversion-extranjera-directa-por-seis-mil-mdd-producto-de-la-reforma-de-telecomunicacion/</w:t>
        </w:r>
      </w:hyperlink>
    </w:p>
    <w:p w14:paraId="7BCF4D59" w14:textId="77777777" w:rsidR="00CE300C" w:rsidRDefault="00CE300C" w:rsidP="00814B78">
      <w:pPr>
        <w:spacing w:after="360" w:line="360" w:lineRule="auto"/>
        <w:ind w:right="-159"/>
        <w:jc w:val="both"/>
        <w:rPr>
          <w:rFonts w:eastAsia="Calibri"/>
          <w:sz w:val="26"/>
          <w:szCs w:val="26"/>
          <w:lang w:eastAsia="en-US"/>
        </w:rPr>
      </w:pPr>
    </w:p>
    <w:p w14:paraId="7ECFD412" w14:textId="77777777" w:rsidR="00CF2E9C" w:rsidRPr="00CF2E9C" w:rsidRDefault="00CF2E9C" w:rsidP="00CF2E9C">
      <w:pPr>
        <w:rPr>
          <w:rFonts w:eastAsia="Calibri"/>
          <w:b/>
          <w:sz w:val="26"/>
          <w:szCs w:val="26"/>
          <w:lang w:eastAsia="en-US"/>
        </w:rPr>
      </w:pPr>
      <w:r w:rsidRPr="00CF2E9C">
        <w:rPr>
          <w:rFonts w:eastAsia="Calibri"/>
          <w:b/>
          <w:sz w:val="26"/>
          <w:szCs w:val="26"/>
          <w:lang w:eastAsia="en-US"/>
        </w:rPr>
        <w:lastRenderedPageBreak/>
        <w:t>Firman  memorándum  de entendimiento para</w:t>
      </w:r>
    </w:p>
    <w:p w14:paraId="0607A5D0" w14:textId="77777777" w:rsidR="00CF2E9C" w:rsidRPr="00CF2E9C" w:rsidRDefault="00CF2E9C" w:rsidP="00CF2E9C">
      <w:pPr>
        <w:spacing w:after="360" w:line="360" w:lineRule="auto"/>
        <w:ind w:right="-159"/>
        <w:jc w:val="both"/>
        <w:rPr>
          <w:rFonts w:eastAsia="Calibri"/>
          <w:b/>
          <w:sz w:val="26"/>
          <w:szCs w:val="26"/>
          <w:lang w:eastAsia="en-US"/>
        </w:rPr>
      </w:pPr>
      <w:r w:rsidRPr="00CF2E9C">
        <w:rPr>
          <w:rFonts w:eastAsia="Calibri"/>
          <w:b/>
          <w:sz w:val="26"/>
          <w:szCs w:val="26"/>
          <w:lang w:eastAsia="en-US"/>
        </w:rPr>
        <w:t>la atracción de inversión japonesa (ProMéxico)</w:t>
      </w:r>
    </w:p>
    <w:p w14:paraId="6E70C5FF" w14:textId="77777777" w:rsidR="00CF2E9C" w:rsidRPr="00CF2E9C" w:rsidRDefault="00CF2E9C" w:rsidP="00CF2E9C">
      <w:pPr>
        <w:spacing w:after="360" w:line="360" w:lineRule="auto"/>
        <w:ind w:right="-159"/>
        <w:jc w:val="both"/>
        <w:rPr>
          <w:rFonts w:eastAsia="Calibri"/>
          <w:sz w:val="26"/>
          <w:szCs w:val="26"/>
          <w:lang w:eastAsia="en-US"/>
        </w:rPr>
      </w:pPr>
      <w:r w:rsidRPr="00CF2E9C">
        <w:rPr>
          <w:rFonts w:eastAsia="Calibri"/>
          <w:sz w:val="26"/>
          <w:szCs w:val="26"/>
          <w:lang w:eastAsia="en-US"/>
        </w:rPr>
        <w:t>El 9 de marzo de 2015, ProMéxico</w:t>
      </w:r>
      <w:r w:rsidRPr="00CF2E9C">
        <w:rPr>
          <w:rFonts w:eastAsia="Calibri"/>
          <w:sz w:val="26"/>
          <w:szCs w:val="26"/>
          <w:vertAlign w:val="superscript"/>
          <w:lang w:eastAsia="en-US"/>
        </w:rPr>
        <w:footnoteReference w:id="17"/>
      </w:r>
      <w:r w:rsidRPr="00CF2E9C">
        <w:rPr>
          <w:rFonts w:eastAsia="Calibri"/>
          <w:sz w:val="26"/>
          <w:szCs w:val="26"/>
          <w:lang w:eastAsia="en-US"/>
        </w:rPr>
        <w:t xml:space="preserve"> y Mizuho Bank Ltd. firmaron un memorándum de entendimiento con el objeto de trabajar en forma coordinada la promoción y atracción de inversión japonesa a México. A continuación se presenta la información.</w:t>
      </w:r>
    </w:p>
    <w:p w14:paraId="7768B2A2" w14:textId="1AB33561" w:rsidR="00CF2E9C" w:rsidRPr="00CF2E9C" w:rsidRDefault="00CF2E9C" w:rsidP="00CF2E9C">
      <w:pPr>
        <w:spacing w:after="360" w:line="360" w:lineRule="auto"/>
        <w:ind w:right="-159"/>
        <w:jc w:val="both"/>
        <w:rPr>
          <w:rFonts w:eastAsia="Calibri"/>
          <w:sz w:val="26"/>
          <w:szCs w:val="26"/>
          <w:lang w:eastAsia="en-US"/>
        </w:rPr>
      </w:pPr>
      <w:r w:rsidRPr="00CF2E9C">
        <w:rPr>
          <w:rFonts w:eastAsia="Calibri"/>
          <w:sz w:val="26"/>
          <w:szCs w:val="26"/>
          <w:lang w:eastAsia="en-US"/>
        </w:rPr>
        <w:t>ProMéxico</w:t>
      </w:r>
      <w:r w:rsidRPr="00CF2E9C">
        <w:rPr>
          <w:rFonts w:eastAsia="Calibri"/>
          <w:sz w:val="26"/>
          <w:szCs w:val="26"/>
          <w:vertAlign w:val="superscript"/>
          <w:lang w:eastAsia="en-US"/>
        </w:rPr>
        <w:footnoteReference w:id="18"/>
      </w:r>
      <w:r w:rsidRPr="00CF2E9C">
        <w:rPr>
          <w:rFonts w:eastAsia="Calibri"/>
          <w:sz w:val="26"/>
          <w:szCs w:val="26"/>
          <w:lang w:eastAsia="en-US"/>
        </w:rPr>
        <w:t xml:space="preserve"> y Mizuho Bank Ltd. firmaron un memor</w:t>
      </w:r>
      <w:r w:rsidR="004E3116">
        <w:rPr>
          <w:rFonts w:eastAsia="Calibri"/>
          <w:sz w:val="26"/>
          <w:szCs w:val="26"/>
          <w:lang w:eastAsia="en-US"/>
        </w:rPr>
        <w:t>á</w:t>
      </w:r>
      <w:r w:rsidRPr="00CF2E9C">
        <w:rPr>
          <w:rFonts w:eastAsia="Calibri"/>
          <w:sz w:val="26"/>
          <w:szCs w:val="26"/>
          <w:lang w:eastAsia="en-US"/>
        </w:rPr>
        <w:t>nd</w:t>
      </w:r>
      <w:r w:rsidR="004E3116">
        <w:rPr>
          <w:rFonts w:eastAsia="Calibri"/>
          <w:sz w:val="26"/>
          <w:szCs w:val="26"/>
          <w:lang w:eastAsia="en-US"/>
        </w:rPr>
        <w:t>um</w:t>
      </w:r>
      <w:r w:rsidRPr="00CF2E9C">
        <w:rPr>
          <w:rFonts w:eastAsia="Calibri"/>
          <w:sz w:val="26"/>
          <w:szCs w:val="26"/>
          <w:lang w:eastAsia="en-US"/>
        </w:rPr>
        <w:t xml:space="preserve"> de entendimiento con el objeto de trabajar en forma coordinada la promoción y atracción de inversión japonesa a México.</w:t>
      </w:r>
    </w:p>
    <w:p w14:paraId="0699D961" w14:textId="77777777" w:rsidR="00CF2E9C" w:rsidRPr="00CF2E9C" w:rsidRDefault="00CF2E9C" w:rsidP="00CF2E9C">
      <w:pPr>
        <w:spacing w:after="360" w:line="360" w:lineRule="auto"/>
        <w:ind w:right="-159"/>
        <w:jc w:val="both"/>
        <w:rPr>
          <w:rFonts w:eastAsia="Calibri"/>
          <w:sz w:val="26"/>
          <w:szCs w:val="26"/>
          <w:lang w:eastAsia="en-US"/>
        </w:rPr>
      </w:pPr>
      <w:r w:rsidRPr="00CF2E9C">
        <w:rPr>
          <w:rFonts w:eastAsia="Calibri"/>
          <w:sz w:val="26"/>
          <w:szCs w:val="26"/>
          <w:lang w:eastAsia="en-US"/>
        </w:rPr>
        <w:t>Mizuho Bank Ltd. (MHBK) pertenece al Mizuho Financial Group, banco pionero en créditos asiáticos sindicados para instituciones latinoamericanas. Mantiene acuerdos de cooperación de negocios con Banorte y Santander México, por medio de los cuales participa en proyectos de desarrollo en México.</w:t>
      </w:r>
    </w:p>
    <w:p w14:paraId="573520B3" w14:textId="77777777" w:rsidR="00CF2E9C" w:rsidRPr="00CF2E9C" w:rsidRDefault="00CF2E9C" w:rsidP="00CF2E9C">
      <w:pPr>
        <w:spacing w:after="360" w:line="360" w:lineRule="auto"/>
        <w:ind w:right="-159"/>
        <w:jc w:val="both"/>
        <w:rPr>
          <w:rFonts w:eastAsia="Calibri"/>
          <w:sz w:val="26"/>
          <w:szCs w:val="26"/>
          <w:lang w:eastAsia="en-US"/>
        </w:rPr>
      </w:pPr>
      <w:r w:rsidRPr="00CF2E9C">
        <w:rPr>
          <w:rFonts w:eastAsia="Calibri"/>
          <w:sz w:val="26"/>
          <w:szCs w:val="26"/>
          <w:lang w:eastAsia="en-US"/>
        </w:rPr>
        <w:t xml:space="preserve">“La oficina de ProMéxico en Japón ha encontrado en el Banco Mizuho un aliado, tanto para la promoción e inversión en proyectos de infraestructura en México, como para el apoyo financiero a las empresas del sector privado japonés con planes de inversión en </w:t>
      </w:r>
      <w:r w:rsidRPr="00BB7F01">
        <w:rPr>
          <w:rFonts w:eastAsia="Calibri"/>
          <w:sz w:val="26"/>
          <w:szCs w:val="26"/>
          <w:lang w:eastAsia="en-US"/>
        </w:rPr>
        <w:t>nuestro país”, comenta Francisco n. González Díaz, el Director General de la institución</w:t>
      </w:r>
      <w:r w:rsidRPr="00CF2E9C">
        <w:rPr>
          <w:rFonts w:eastAsia="Calibri"/>
          <w:sz w:val="26"/>
          <w:szCs w:val="26"/>
          <w:lang w:eastAsia="en-US"/>
        </w:rPr>
        <w:t xml:space="preserve"> durante la reunión de la firma del MOU.</w:t>
      </w:r>
    </w:p>
    <w:p w14:paraId="2C34514A" w14:textId="77777777" w:rsidR="00CF2E9C" w:rsidRPr="00CF2E9C" w:rsidRDefault="00CF2E9C" w:rsidP="00CF2E9C">
      <w:pPr>
        <w:spacing w:after="360" w:line="360" w:lineRule="auto"/>
        <w:ind w:right="-159"/>
        <w:jc w:val="both"/>
        <w:rPr>
          <w:rFonts w:eastAsia="Calibri"/>
          <w:sz w:val="26"/>
          <w:szCs w:val="26"/>
          <w:lang w:eastAsia="en-US"/>
        </w:rPr>
      </w:pPr>
      <w:r w:rsidRPr="00CF2E9C">
        <w:rPr>
          <w:rFonts w:eastAsia="Calibri"/>
          <w:sz w:val="26"/>
          <w:szCs w:val="26"/>
          <w:lang w:eastAsia="en-US"/>
        </w:rPr>
        <w:t xml:space="preserve">ProMéxico y Mizuho trabajarán de manera conjunta para promover mayores oportunidades de negocio en materia de comercio e inversión entre México y Japón. Los esfuerzos de cooperación estarán orientados a sectores de interés para ambas naciones como el automotriz y el energético —incluyendo las industrias de tecnologías </w:t>
      </w:r>
      <w:r w:rsidRPr="00CF2E9C">
        <w:rPr>
          <w:rFonts w:eastAsia="Calibri"/>
          <w:sz w:val="26"/>
          <w:szCs w:val="26"/>
          <w:lang w:eastAsia="en-US"/>
        </w:rPr>
        <w:lastRenderedPageBreak/>
        <w:t>para fuentes de energía renovables y petroquímica—, así como a algunos proyectos de infraestructura.</w:t>
      </w:r>
    </w:p>
    <w:p w14:paraId="6E1F4AB0" w14:textId="77777777" w:rsidR="00CF2E9C" w:rsidRPr="00CF2E9C" w:rsidRDefault="00CF2E9C" w:rsidP="00CF2E9C">
      <w:pPr>
        <w:spacing w:after="360" w:line="360" w:lineRule="auto"/>
        <w:ind w:right="-159"/>
        <w:jc w:val="both"/>
        <w:rPr>
          <w:rFonts w:eastAsia="Calibri"/>
          <w:sz w:val="26"/>
          <w:szCs w:val="26"/>
          <w:lang w:eastAsia="en-US"/>
        </w:rPr>
      </w:pPr>
      <w:r w:rsidRPr="00CF2E9C">
        <w:rPr>
          <w:rFonts w:eastAsia="Calibri"/>
          <w:sz w:val="26"/>
          <w:szCs w:val="26"/>
          <w:lang w:eastAsia="en-US"/>
        </w:rPr>
        <w:t>Ambas instituciones informaron que también impulsarán la organización de una serie de seminarios de promoción de inversiones en varias ciudades de Japón, con el objeto de informar a las empresas asiáticas sobre el ambiente de negocios en México.</w:t>
      </w:r>
    </w:p>
    <w:p w14:paraId="418134BA" w14:textId="77777777" w:rsidR="00CF2E9C" w:rsidRPr="00CF2E9C" w:rsidRDefault="00CF2E9C" w:rsidP="00CF2E9C">
      <w:pPr>
        <w:spacing w:after="360" w:line="360" w:lineRule="auto"/>
        <w:ind w:right="-159"/>
        <w:jc w:val="both"/>
        <w:rPr>
          <w:rFonts w:eastAsia="Calibri"/>
          <w:sz w:val="26"/>
          <w:szCs w:val="26"/>
          <w:lang w:eastAsia="en-US"/>
        </w:rPr>
      </w:pPr>
      <w:r w:rsidRPr="00CF2E9C">
        <w:rPr>
          <w:rFonts w:eastAsia="Calibri"/>
          <w:sz w:val="26"/>
          <w:szCs w:val="26"/>
          <w:lang w:eastAsia="en-US"/>
        </w:rPr>
        <w:t>El intercambio comercial entre México y Japón creció 71% entre 2004 y 2014, por lo que el último año superó los 20 mil millones de dólares. En los últimos quince años la inversión japonesa en México sumó más de nueve mil millones de dólares.</w:t>
      </w:r>
    </w:p>
    <w:p w14:paraId="14D0A7E7" w14:textId="77777777" w:rsidR="00CF2E9C" w:rsidRPr="00CF2E9C" w:rsidRDefault="00CF2E9C" w:rsidP="00CF2E9C">
      <w:pPr>
        <w:spacing w:after="360" w:line="360" w:lineRule="auto"/>
        <w:ind w:right="-159"/>
        <w:jc w:val="both"/>
        <w:rPr>
          <w:rFonts w:eastAsia="Calibri"/>
          <w:sz w:val="26"/>
          <w:szCs w:val="26"/>
          <w:lang w:eastAsia="en-US"/>
        </w:rPr>
      </w:pPr>
      <w:r w:rsidRPr="00CF2E9C">
        <w:rPr>
          <w:rFonts w:eastAsia="Calibri"/>
          <w:sz w:val="26"/>
          <w:szCs w:val="26"/>
          <w:lang w:eastAsia="en-US"/>
        </w:rPr>
        <w:t>Entre las principales empresas japonesas que mantienen inversiones en México destacan Nissan, Toyota, Honda Motor, Sony y NR Finance. Por parte de México, compañías como Metalsa, Mexichem Flúor, Grupo Bocar, Kidzania y Grupo Altex han realizado inversiones en Japón.</w:t>
      </w:r>
    </w:p>
    <w:p w14:paraId="23C604B6" w14:textId="77777777" w:rsidR="00CF2E9C" w:rsidRPr="00CF2E9C" w:rsidRDefault="00CF2E9C" w:rsidP="00CF2E9C">
      <w:pPr>
        <w:ind w:right="-159"/>
        <w:jc w:val="both"/>
        <w:rPr>
          <w:rFonts w:eastAsia="Calibri"/>
          <w:sz w:val="20"/>
          <w:szCs w:val="20"/>
          <w:lang w:eastAsia="en-US"/>
        </w:rPr>
      </w:pPr>
      <w:r w:rsidRPr="00CF2E9C">
        <w:rPr>
          <w:rFonts w:eastAsia="Calibri"/>
          <w:b/>
          <w:sz w:val="20"/>
          <w:szCs w:val="20"/>
          <w:lang w:eastAsia="en-US"/>
        </w:rPr>
        <w:t>Fuente de información</w:t>
      </w:r>
      <w:r w:rsidRPr="00CF2E9C">
        <w:rPr>
          <w:rFonts w:eastAsia="Calibri"/>
          <w:sz w:val="20"/>
          <w:szCs w:val="20"/>
          <w:lang w:eastAsia="en-US"/>
        </w:rPr>
        <w:t>:</w:t>
      </w:r>
    </w:p>
    <w:p w14:paraId="7EAF9201" w14:textId="77777777" w:rsidR="00CF2E9C" w:rsidRPr="00660E71" w:rsidRDefault="0093224F" w:rsidP="00CF2E9C">
      <w:pPr>
        <w:ind w:right="-159"/>
        <w:jc w:val="both"/>
        <w:rPr>
          <w:rFonts w:eastAsia="Calibri"/>
          <w:color w:val="0000FF"/>
          <w:sz w:val="20"/>
          <w:szCs w:val="20"/>
          <w:lang w:eastAsia="en-US"/>
        </w:rPr>
      </w:pPr>
      <w:hyperlink r:id="rId136" w:history="1">
        <w:r w:rsidR="00CF2E9C" w:rsidRPr="00660E71">
          <w:rPr>
            <w:rFonts w:eastAsia="Calibri"/>
            <w:color w:val="0000FF"/>
            <w:sz w:val="20"/>
            <w:szCs w:val="20"/>
            <w:u w:val="single"/>
            <w:lang w:eastAsia="en-US"/>
          </w:rPr>
          <w:t>http://www.promexico.gob.mx/documentos/boletines-prensa/Boletin-Prensa-10-15.pdf</w:t>
        </w:r>
      </w:hyperlink>
    </w:p>
    <w:p w14:paraId="3081330A" w14:textId="77777777" w:rsidR="00CF2E9C" w:rsidRPr="00660E71" w:rsidRDefault="0093224F" w:rsidP="00660E71">
      <w:pPr>
        <w:spacing w:after="720"/>
        <w:ind w:right="-159"/>
        <w:jc w:val="both"/>
        <w:rPr>
          <w:rFonts w:eastAsia="Calibri"/>
          <w:color w:val="0000FF"/>
          <w:sz w:val="20"/>
          <w:szCs w:val="20"/>
          <w:lang w:eastAsia="en-US"/>
        </w:rPr>
      </w:pPr>
      <w:hyperlink r:id="rId137" w:history="1">
        <w:r w:rsidR="00CF2E9C" w:rsidRPr="00660E71">
          <w:rPr>
            <w:rFonts w:eastAsia="Calibri"/>
            <w:color w:val="0000FF"/>
            <w:sz w:val="20"/>
            <w:szCs w:val="20"/>
            <w:u w:val="single"/>
            <w:lang w:eastAsia="en-US"/>
          </w:rPr>
          <w:t>http://www.promexico.gob.mx/es/mx/boletin-prensa-10-15</w:t>
        </w:r>
      </w:hyperlink>
    </w:p>
    <w:p w14:paraId="4E9F5118" w14:textId="77777777" w:rsidR="00936745" w:rsidRPr="00936745" w:rsidRDefault="00936745" w:rsidP="00936745">
      <w:pPr>
        <w:ind w:right="-159"/>
        <w:jc w:val="both"/>
        <w:rPr>
          <w:rFonts w:eastAsia="Calibri"/>
          <w:b/>
          <w:sz w:val="26"/>
          <w:szCs w:val="26"/>
          <w:lang w:eastAsia="en-US"/>
        </w:rPr>
      </w:pPr>
      <w:r w:rsidRPr="00936745">
        <w:rPr>
          <w:rFonts w:eastAsia="Calibri"/>
          <w:b/>
          <w:sz w:val="26"/>
          <w:szCs w:val="26"/>
          <w:lang w:eastAsia="en-US"/>
        </w:rPr>
        <w:t>Anuncio de Inversión de Heineken</w:t>
      </w:r>
    </w:p>
    <w:p w14:paraId="50F6D9F0" w14:textId="77777777" w:rsidR="00936745" w:rsidRPr="00936745" w:rsidRDefault="00936745" w:rsidP="00936745">
      <w:pPr>
        <w:spacing w:after="360" w:line="360" w:lineRule="auto"/>
        <w:ind w:right="-159"/>
        <w:jc w:val="both"/>
        <w:rPr>
          <w:rFonts w:eastAsia="Calibri"/>
          <w:b/>
          <w:sz w:val="26"/>
          <w:szCs w:val="26"/>
          <w:lang w:eastAsia="en-US"/>
        </w:rPr>
      </w:pPr>
      <w:r w:rsidRPr="00936745">
        <w:rPr>
          <w:rFonts w:eastAsia="Calibri"/>
          <w:b/>
          <w:sz w:val="26"/>
          <w:szCs w:val="26"/>
          <w:lang w:eastAsia="en-US"/>
        </w:rPr>
        <w:t>(Presidencia de la República)</w:t>
      </w:r>
    </w:p>
    <w:p w14:paraId="2913AC52" w14:textId="77777777" w:rsidR="00936745" w:rsidRPr="00936745" w:rsidRDefault="00936745" w:rsidP="00936745">
      <w:pPr>
        <w:spacing w:after="360" w:line="360" w:lineRule="auto"/>
        <w:ind w:right="-159"/>
        <w:jc w:val="both"/>
        <w:rPr>
          <w:rFonts w:eastAsia="Calibri"/>
          <w:sz w:val="26"/>
          <w:szCs w:val="26"/>
          <w:lang w:eastAsia="en-US"/>
        </w:rPr>
      </w:pPr>
      <w:r w:rsidRPr="00936745">
        <w:rPr>
          <w:rFonts w:eastAsia="Calibri"/>
          <w:sz w:val="26"/>
          <w:szCs w:val="26"/>
          <w:lang w:eastAsia="en-US"/>
        </w:rPr>
        <w:t>El 10 de marzo de 2015, Presidencia de la República dio a conocer las palabras del Presidente de los Estados Unidos Mexicanos, durante el Anuncio de Inversión de Heineken. A continuación se presentan los detalles.</w:t>
      </w:r>
    </w:p>
    <w:p w14:paraId="72C6A159" w14:textId="77777777" w:rsidR="00936745" w:rsidRPr="00936745" w:rsidRDefault="00936745" w:rsidP="00936745">
      <w:pPr>
        <w:spacing w:after="360" w:line="360" w:lineRule="auto"/>
        <w:ind w:right="-159"/>
        <w:jc w:val="both"/>
        <w:rPr>
          <w:rFonts w:eastAsia="Calibri"/>
          <w:sz w:val="26"/>
          <w:szCs w:val="26"/>
          <w:lang w:eastAsia="en-US"/>
        </w:rPr>
      </w:pPr>
      <w:r w:rsidRPr="00936745">
        <w:rPr>
          <w:rFonts w:eastAsia="Calibri"/>
          <w:sz w:val="26"/>
          <w:szCs w:val="26"/>
          <w:lang w:eastAsia="en-US"/>
        </w:rPr>
        <w:t>“Señoras y señores:</w:t>
      </w:r>
    </w:p>
    <w:p w14:paraId="4928D22F" w14:textId="77777777" w:rsidR="00936745" w:rsidRPr="00936745" w:rsidRDefault="00936745" w:rsidP="00936745">
      <w:pPr>
        <w:spacing w:after="360" w:line="360" w:lineRule="auto"/>
        <w:ind w:right="-159"/>
        <w:jc w:val="both"/>
        <w:rPr>
          <w:rFonts w:eastAsia="Calibri"/>
          <w:sz w:val="26"/>
          <w:szCs w:val="26"/>
          <w:lang w:eastAsia="en-US"/>
        </w:rPr>
      </w:pPr>
      <w:r w:rsidRPr="00936745">
        <w:rPr>
          <w:rFonts w:eastAsia="Calibri"/>
          <w:sz w:val="26"/>
          <w:szCs w:val="26"/>
          <w:lang w:eastAsia="en-US"/>
        </w:rPr>
        <w:t>Muy buenas tardes a todas y a todos ustedes.</w:t>
      </w:r>
    </w:p>
    <w:p w14:paraId="3E1442D8" w14:textId="77777777" w:rsidR="00936745" w:rsidRPr="00936745" w:rsidRDefault="00936745" w:rsidP="00936745">
      <w:pPr>
        <w:spacing w:after="360" w:line="360" w:lineRule="auto"/>
        <w:ind w:right="-159"/>
        <w:jc w:val="both"/>
        <w:rPr>
          <w:rFonts w:eastAsia="Calibri"/>
          <w:sz w:val="26"/>
          <w:szCs w:val="26"/>
          <w:lang w:eastAsia="en-US"/>
        </w:rPr>
      </w:pPr>
      <w:r w:rsidRPr="00936745">
        <w:rPr>
          <w:rFonts w:eastAsia="Calibri"/>
          <w:sz w:val="26"/>
          <w:szCs w:val="26"/>
          <w:lang w:eastAsia="en-US"/>
        </w:rPr>
        <w:t>Me da mucho gusto saludar en este acto al señor Gobernador del Estado de Chihuahua.</w:t>
      </w:r>
    </w:p>
    <w:p w14:paraId="2A553648" w14:textId="77777777" w:rsidR="00936745" w:rsidRPr="00936745" w:rsidRDefault="00936745" w:rsidP="00936745">
      <w:pPr>
        <w:spacing w:after="360" w:line="360" w:lineRule="auto"/>
        <w:ind w:right="-159"/>
        <w:jc w:val="both"/>
        <w:rPr>
          <w:rFonts w:eastAsia="Calibri"/>
          <w:sz w:val="26"/>
          <w:szCs w:val="26"/>
          <w:lang w:eastAsia="en-US"/>
        </w:rPr>
      </w:pPr>
      <w:r w:rsidRPr="00936745">
        <w:rPr>
          <w:rFonts w:eastAsia="Calibri"/>
          <w:sz w:val="26"/>
          <w:szCs w:val="26"/>
          <w:lang w:eastAsia="en-US"/>
        </w:rPr>
        <w:lastRenderedPageBreak/>
        <w:t>Agradecer sus comentarios y, sobre todo, proyectar en su mensaje, sin duda, la relevancia que tiene, las condiciones que están generando en su estado, precisamente para atraer inversiones, la que hoy anuncia esta importante empresa global con presencia en distintos países.</w:t>
      </w:r>
    </w:p>
    <w:p w14:paraId="22102B85" w14:textId="77777777" w:rsidR="00936745" w:rsidRPr="00936745" w:rsidRDefault="00936745" w:rsidP="00936745">
      <w:pPr>
        <w:spacing w:after="360" w:line="360" w:lineRule="auto"/>
        <w:ind w:right="-159"/>
        <w:jc w:val="both"/>
        <w:rPr>
          <w:rFonts w:eastAsia="Calibri"/>
          <w:sz w:val="26"/>
          <w:szCs w:val="26"/>
          <w:lang w:eastAsia="en-US"/>
        </w:rPr>
      </w:pPr>
      <w:r w:rsidRPr="00936745">
        <w:rPr>
          <w:rFonts w:eastAsia="Calibri"/>
          <w:sz w:val="26"/>
          <w:szCs w:val="26"/>
          <w:lang w:eastAsia="en-US"/>
        </w:rPr>
        <w:t>Ya con presencia de hace muchos años en México, pero que hoy está decidiendo construir su séptima planta, precisamente, en Chihuahua.</w:t>
      </w:r>
    </w:p>
    <w:p w14:paraId="61624C1B" w14:textId="77777777" w:rsidR="00936745" w:rsidRPr="00936745" w:rsidRDefault="00936745" w:rsidP="00936745">
      <w:pPr>
        <w:spacing w:after="360" w:line="360" w:lineRule="auto"/>
        <w:ind w:right="-159"/>
        <w:jc w:val="both"/>
        <w:rPr>
          <w:rFonts w:eastAsia="Calibri"/>
          <w:sz w:val="26"/>
          <w:szCs w:val="26"/>
          <w:lang w:eastAsia="en-US"/>
        </w:rPr>
      </w:pPr>
      <w:r w:rsidRPr="00936745">
        <w:rPr>
          <w:rFonts w:eastAsia="Calibri"/>
          <w:sz w:val="26"/>
          <w:szCs w:val="26"/>
          <w:lang w:eastAsia="en-US"/>
        </w:rPr>
        <w:t>Por eso es que me da mucho gusto saludar a los altos Directivos de Cuauhtémoc Moctezuma-Heineken, esta asociación que permite consolidar la industria cervecera de nuestro país.</w:t>
      </w:r>
    </w:p>
    <w:p w14:paraId="130E89E5" w14:textId="77777777" w:rsidR="00936745" w:rsidRPr="00936745" w:rsidRDefault="00936745" w:rsidP="00936745">
      <w:pPr>
        <w:spacing w:after="360" w:line="360" w:lineRule="auto"/>
        <w:ind w:right="-159"/>
        <w:jc w:val="both"/>
        <w:rPr>
          <w:rFonts w:eastAsia="Calibri"/>
          <w:sz w:val="26"/>
          <w:szCs w:val="26"/>
          <w:lang w:eastAsia="en-US"/>
        </w:rPr>
      </w:pPr>
      <w:r w:rsidRPr="00936745">
        <w:rPr>
          <w:rFonts w:eastAsia="Calibri"/>
          <w:sz w:val="26"/>
          <w:szCs w:val="26"/>
          <w:lang w:eastAsia="en-US"/>
        </w:rPr>
        <w:t>Y que, sin duda, nos proyecta al mundo a través de esta importante industria, que tiene enorme relevancia, y a la cual habré de referirme.</w:t>
      </w:r>
    </w:p>
    <w:p w14:paraId="2FCCC0C1" w14:textId="77777777" w:rsidR="00936745" w:rsidRPr="00936745" w:rsidRDefault="00936745" w:rsidP="00936745">
      <w:pPr>
        <w:spacing w:after="360" w:line="360" w:lineRule="auto"/>
        <w:ind w:right="-159"/>
        <w:jc w:val="both"/>
        <w:rPr>
          <w:rFonts w:eastAsia="Calibri"/>
          <w:sz w:val="26"/>
          <w:szCs w:val="26"/>
          <w:lang w:eastAsia="en-US"/>
        </w:rPr>
      </w:pPr>
      <w:r w:rsidRPr="00936745">
        <w:rPr>
          <w:rFonts w:eastAsia="Calibri"/>
          <w:sz w:val="26"/>
          <w:szCs w:val="26"/>
          <w:lang w:eastAsia="en-US"/>
        </w:rPr>
        <w:t>Saludo a los distintos funcionarios del Gobierno de la República.</w:t>
      </w:r>
    </w:p>
    <w:p w14:paraId="5D0B662E" w14:textId="77777777" w:rsidR="00936745" w:rsidRPr="00936745" w:rsidRDefault="00936745" w:rsidP="00936745">
      <w:pPr>
        <w:spacing w:after="360" w:line="360" w:lineRule="auto"/>
        <w:ind w:right="-159"/>
        <w:jc w:val="both"/>
        <w:rPr>
          <w:rFonts w:eastAsia="Calibri"/>
          <w:sz w:val="26"/>
          <w:szCs w:val="26"/>
          <w:lang w:eastAsia="en-US"/>
        </w:rPr>
      </w:pPr>
      <w:r w:rsidRPr="00936745">
        <w:rPr>
          <w:rFonts w:eastAsia="Calibri"/>
          <w:sz w:val="26"/>
          <w:szCs w:val="26"/>
          <w:lang w:eastAsia="en-US"/>
        </w:rPr>
        <w:t>Del gobierno del estado de Chihuahua.</w:t>
      </w:r>
    </w:p>
    <w:p w14:paraId="195BEA26" w14:textId="77777777" w:rsidR="00936745" w:rsidRPr="00936745" w:rsidRDefault="00936745" w:rsidP="00936745">
      <w:pPr>
        <w:spacing w:after="360" w:line="360" w:lineRule="auto"/>
        <w:ind w:right="-159"/>
        <w:jc w:val="both"/>
        <w:rPr>
          <w:rFonts w:eastAsia="Calibri"/>
          <w:sz w:val="26"/>
          <w:szCs w:val="26"/>
          <w:lang w:eastAsia="en-US"/>
        </w:rPr>
      </w:pPr>
      <w:r w:rsidRPr="00936745">
        <w:rPr>
          <w:rFonts w:eastAsia="Calibri"/>
          <w:sz w:val="26"/>
          <w:szCs w:val="26"/>
          <w:lang w:eastAsia="en-US"/>
        </w:rPr>
        <w:t>Del gobierno del Presidente Municipal de Meoqui, donde se habrá de hacer la inversión.</w:t>
      </w:r>
    </w:p>
    <w:p w14:paraId="76327BCF" w14:textId="77777777" w:rsidR="00936745" w:rsidRPr="00936745" w:rsidRDefault="00936745" w:rsidP="00936745">
      <w:pPr>
        <w:spacing w:after="360" w:line="360" w:lineRule="auto"/>
        <w:ind w:right="-159"/>
        <w:jc w:val="both"/>
        <w:rPr>
          <w:rFonts w:eastAsia="Calibri"/>
          <w:sz w:val="26"/>
          <w:szCs w:val="26"/>
          <w:lang w:eastAsia="en-US"/>
        </w:rPr>
      </w:pPr>
      <w:r w:rsidRPr="00936745">
        <w:rPr>
          <w:rFonts w:eastAsia="Calibri"/>
          <w:sz w:val="26"/>
          <w:szCs w:val="26"/>
          <w:lang w:eastAsia="en-US"/>
        </w:rPr>
        <w:t>A las y los Legisladores Federales.</w:t>
      </w:r>
    </w:p>
    <w:p w14:paraId="09C4A365" w14:textId="77777777" w:rsidR="00936745" w:rsidRPr="00936745" w:rsidRDefault="00936745" w:rsidP="00936745">
      <w:pPr>
        <w:spacing w:after="360" w:line="360" w:lineRule="auto"/>
        <w:ind w:right="-159"/>
        <w:jc w:val="both"/>
        <w:rPr>
          <w:rFonts w:eastAsia="Calibri"/>
          <w:sz w:val="26"/>
          <w:szCs w:val="26"/>
          <w:lang w:eastAsia="en-US"/>
        </w:rPr>
      </w:pPr>
      <w:r w:rsidRPr="00936745">
        <w:rPr>
          <w:rFonts w:eastAsia="Calibri"/>
          <w:sz w:val="26"/>
          <w:szCs w:val="26"/>
          <w:lang w:eastAsia="en-US"/>
        </w:rPr>
        <w:t>Me da mucho gusto saludar aquí, a las Senadoras y Senadores de la República, del Estado de Chihuahua.</w:t>
      </w:r>
    </w:p>
    <w:p w14:paraId="57BD2272" w14:textId="77777777" w:rsidR="00936745" w:rsidRPr="00936745" w:rsidRDefault="00936745" w:rsidP="00936745">
      <w:pPr>
        <w:spacing w:after="360" w:line="360" w:lineRule="auto"/>
        <w:ind w:right="-159"/>
        <w:jc w:val="both"/>
        <w:rPr>
          <w:rFonts w:eastAsia="Calibri"/>
          <w:sz w:val="26"/>
          <w:szCs w:val="26"/>
          <w:lang w:eastAsia="en-US"/>
        </w:rPr>
      </w:pPr>
      <w:r w:rsidRPr="00936745">
        <w:rPr>
          <w:rFonts w:eastAsia="Calibri"/>
          <w:sz w:val="26"/>
          <w:szCs w:val="26"/>
          <w:lang w:eastAsia="en-US"/>
        </w:rPr>
        <w:t>A las y los Diputados Federales.</w:t>
      </w:r>
    </w:p>
    <w:p w14:paraId="0DDF5791" w14:textId="77777777" w:rsidR="00936745" w:rsidRPr="00936745" w:rsidRDefault="00936745" w:rsidP="00936745">
      <w:pPr>
        <w:spacing w:after="360" w:line="360" w:lineRule="auto"/>
        <w:ind w:right="-159"/>
        <w:jc w:val="both"/>
        <w:rPr>
          <w:rFonts w:eastAsia="Calibri"/>
          <w:sz w:val="26"/>
          <w:szCs w:val="26"/>
          <w:lang w:eastAsia="en-US"/>
        </w:rPr>
      </w:pPr>
      <w:r w:rsidRPr="00936745">
        <w:rPr>
          <w:rFonts w:eastAsia="Calibri"/>
          <w:sz w:val="26"/>
          <w:szCs w:val="26"/>
          <w:lang w:eastAsia="en-US"/>
        </w:rPr>
        <w:t>Autoridades locales.</w:t>
      </w:r>
    </w:p>
    <w:p w14:paraId="4C2F1B95" w14:textId="77777777" w:rsidR="00936745" w:rsidRPr="00936745" w:rsidRDefault="00936745" w:rsidP="00936745">
      <w:pPr>
        <w:spacing w:after="360" w:line="360" w:lineRule="auto"/>
        <w:ind w:right="-159"/>
        <w:jc w:val="both"/>
        <w:rPr>
          <w:rFonts w:eastAsia="Calibri"/>
          <w:sz w:val="26"/>
          <w:szCs w:val="26"/>
          <w:lang w:eastAsia="en-US"/>
        </w:rPr>
      </w:pPr>
      <w:r w:rsidRPr="00936745">
        <w:rPr>
          <w:rFonts w:eastAsia="Calibri"/>
          <w:sz w:val="26"/>
          <w:szCs w:val="26"/>
          <w:lang w:eastAsia="en-US"/>
        </w:rPr>
        <w:t>A esta representación de la sociedad de Chihuahua.</w:t>
      </w:r>
    </w:p>
    <w:p w14:paraId="46420F07" w14:textId="77777777" w:rsidR="00936745" w:rsidRPr="00936745" w:rsidRDefault="00936745" w:rsidP="00936745">
      <w:pPr>
        <w:spacing w:after="360" w:line="360" w:lineRule="auto"/>
        <w:ind w:right="-159"/>
        <w:jc w:val="both"/>
        <w:rPr>
          <w:rFonts w:eastAsia="Calibri"/>
          <w:sz w:val="26"/>
          <w:szCs w:val="26"/>
          <w:lang w:eastAsia="en-US"/>
        </w:rPr>
      </w:pPr>
      <w:r w:rsidRPr="00936745">
        <w:rPr>
          <w:rFonts w:eastAsia="Calibri"/>
          <w:sz w:val="26"/>
          <w:szCs w:val="26"/>
          <w:lang w:eastAsia="en-US"/>
        </w:rPr>
        <w:lastRenderedPageBreak/>
        <w:t>A sus empresarios.</w:t>
      </w:r>
    </w:p>
    <w:p w14:paraId="6F474898" w14:textId="77777777" w:rsidR="00936745" w:rsidRPr="00936745" w:rsidRDefault="00936745" w:rsidP="00936745">
      <w:pPr>
        <w:spacing w:after="360" w:line="360" w:lineRule="auto"/>
        <w:ind w:right="-159"/>
        <w:jc w:val="both"/>
        <w:rPr>
          <w:rFonts w:eastAsia="Calibri"/>
          <w:sz w:val="26"/>
          <w:szCs w:val="26"/>
          <w:lang w:eastAsia="en-US"/>
        </w:rPr>
      </w:pPr>
      <w:r w:rsidRPr="00936745">
        <w:rPr>
          <w:rFonts w:eastAsia="Calibri"/>
          <w:sz w:val="26"/>
          <w:szCs w:val="26"/>
          <w:lang w:eastAsia="en-US"/>
        </w:rPr>
        <w:t>A sus mujeres y hombres de trabajo que hoy están aquí presentes, precisamente para compartir y, sobre todo, ser testigos de este importante anuncio, de esta importante inversión, que se realiza en el estado de Chihuahua.</w:t>
      </w:r>
    </w:p>
    <w:p w14:paraId="1CB8F33F" w14:textId="77777777" w:rsidR="00936745" w:rsidRPr="00936745" w:rsidRDefault="00936745" w:rsidP="00936745">
      <w:pPr>
        <w:spacing w:after="360" w:line="360" w:lineRule="auto"/>
        <w:ind w:right="-159"/>
        <w:jc w:val="both"/>
        <w:rPr>
          <w:rFonts w:eastAsia="Calibri"/>
          <w:sz w:val="26"/>
          <w:szCs w:val="26"/>
          <w:lang w:eastAsia="en-US"/>
        </w:rPr>
      </w:pPr>
      <w:r w:rsidRPr="00936745">
        <w:rPr>
          <w:rFonts w:eastAsia="Calibri"/>
          <w:sz w:val="26"/>
          <w:szCs w:val="26"/>
          <w:lang w:eastAsia="en-US"/>
        </w:rPr>
        <w:t>A todas y a todos les saludo con enorme respeto, con afecto.</w:t>
      </w:r>
    </w:p>
    <w:p w14:paraId="7E586D75" w14:textId="77777777" w:rsidR="00936745" w:rsidRPr="00936745" w:rsidRDefault="00936745" w:rsidP="00936745">
      <w:pPr>
        <w:spacing w:after="360" w:line="360" w:lineRule="auto"/>
        <w:ind w:right="-159"/>
        <w:jc w:val="both"/>
        <w:rPr>
          <w:rFonts w:eastAsia="Calibri"/>
          <w:sz w:val="26"/>
          <w:szCs w:val="26"/>
          <w:lang w:eastAsia="en-US"/>
        </w:rPr>
      </w:pPr>
      <w:r w:rsidRPr="00936745">
        <w:rPr>
          <w:rFonts w:eastAsia="Calibri"/>
          <w:sz w:val="26"/>
          <w:szCs w:val="26"/>
          <w:lang w:eastAsia="en-US"/>
        </w:rPr>
        <w:t>Les extiendo la más cordial bienvenida aquí, a este salón de Los Pinos y, sobre todo, es para mí motivo de enorme satisfacción acompañar este importante anuncio de inversión, que habrá de generar empleo en Chihuahua y, en consecuencia, en México.</w:t>
      </w:r>
    </w:p>
    <w:p w14:paraId="216C1CD7" w14:textId="77777777" w:rsidR="00936745" w:rsidRPr="00936745" w:rsidRDefault="00936745" w:rsidP="00936745">
      <w:pPr>
        <w:spacing w:after="360" w:line="360" w:lineRule="auto"/>
        <w:ind w:right="-159"/>
        <w:jc w:val="both"/>
        <w:rPr>
          <w:rFonts w:eastAsia="Calibri"/>
          <w:sz w:val="26"/>
          <w:szCs w:val="26"/>
          <w:lang w:eastAsia="en-US"/>
        </w:rPr>
      </w:pPr>
      <w:r w:rsidRPr="00936745">
        <w:rPr>
          <w:rFonts w:eastAsia="Calibri"/>
          <w:sz w:val="26"/>
          <w:szCs w:val="26"/>
          <w:lang w:eastAsia="en-US"/>
        </w:rPr>
        <w:t>Déjenme decirles y ojalá, y antes de abandonar este espacio, cuando salga, quizá por eso nos tomó un poquito más de tiempo el inicio de este acto, estaba previsto que tuviera un saludo a los altos directivos y que me mostraran algunos de los productos que hace esta empresa aquí, en México.</w:t>
      </w:r>
    </w:p>
    <w:p w14:paraId="4B9B16FB" w14:textId="77777777" w:rsidR="00936745" w:rsidRPr="00936745" w:rsidRDefault="00936745" w:rsidP="00936745">
      <w:pPr>
        <w:spacing w:after="360" w:line="360" w:lineRule="auto"/>
        <w:ind w:right="-159"/>
        <w:jc w:val="both"/>
        <w:rPr>
          <w:rFonts w:eastAsia="Calibri"/>
          <w:sz w:val="26"/>
          <w:szCs w:val="26"/>
          <w:lang w:eastAsia="en-US"/>
        </w:rPr>
      </w:pPr>
      <w:r w:rsidRPr="00936745">
        <w:rPr>
          <w:rFonts w:eastAsia="Calibri"/>
          <w:sz w:val="26"/>
          <w:szCs w:val="26"/>
          <w:lang w:eastAsia="en-US"/>
        </w:rPr>
        <w:t>Y está justamente en el salón contiguo. Para mí fue una sorpresa ver lo que montaron, no fue una exhibición. Yo pensé encontrarme ahí con algunas cervezas. Es auténticamente todo un bar, bien puesto, que ojalá lo dejaran aquí, como legado para Los Pinos.</w:t>
      </w:r>
    </w:p>
    <w:p w14:paraId="17CD81D7" w14:textId="77777777" w:rsidR="00936745" w:rsidRPr="00936745" w:rsidRDefault="00936745" w:rsidP="00936745">
      <w:pPr>
        <w:spacing w:after="360" w:line="360" w:lineRule="auto"/>
        <w:ind w:right="-159"/>
        <w:jc w:val="both"/>
        <w:rPr>
          <w:rFonts w:eastAsia="Calibri"/>
          <w:sz w:val="26"/>
          <w:szCs w:val="26"/>
          <w:lang w:eastAsia="en-US"/>
        </w:rPr>
      </w:pPr>
      <w:r w:rsidRPr="00936745">
        <w:rPr>
          <w:rFonts w:eastAsia="Calibri"/>
          <w:sz w:val="26"/>
          <w:szCs w:val="26"/>
          <w:lang w:eastAsia="en-US"/>
        </w:rPr>
        <w:t>Aunque a la competencia quizá no le guste. Pero, la verdad, es que está muy bien montado, vale la pena que lo visiten. Es una muy buena y, verdaderamente, sorprendente exposición de los productos que hace esta empresa en el mundo y en México.</w:t>
      </w:r>
    </w:p>
    <w:p w14:paraId="41FAC2BD" w14:textId="77777777" w:rsidR="00936745" w:rsidRPr="00936745" w:rsidRDefault="00936745" w:rsidP="00936745">
      <w:pPr>
        <w:spacing w:after="360" w:line="360" w:lineRule="auto"/>
        <w:ind w:right="-159"/>
        <w:jc w:val="both"/>
        <w:rPr>
          <w:rFonts w:eastAsia="Calibri"/>
          <w:sz w:val="26"/>
          <w:szCs w:val="26"/>
          <w:lang w:eastAsia="en-US"/>
        </w:rPr>
      </w:pPr>
      <w:r w:rsidRPr="00936745">
        <w:rPr>
          <w:rFonts w:eastAsia="Calibri"/>
          <w:sz w:val="26"/>
          <w:szCs w:val="26"/>
          <w:lang w:eastAsia="en-US"/>
        </w:rPr>
        <w:t>A mí realmente me da enorme satisfacción ver cómo cada día más empresas globales están decididas a invertir en nuestro país.</w:t>
      </w:r>
    </w:p>
    <w:p w14:paraId="4C0D97E3" w14:textId="77777777" w:rsidR="00936745" w:rsidRPr="00936745" w:rsidRDefault="00936745" w:rsidP="00936745">
      <w:pPr>
        <w:spacing w:after="360" w:line="360" w:lineRule="auto"/>
        <w:ind w:right="-159"/>
        <w:jc w:val="both"/>
        <w:rPr>
          <w:rFonts w:eastAsia="Calibri"/>
          <w:sz w:val="26"/>
          <w:szCs w:val="26"/>
          <w:lang w:eastAsia="en-US"/>
        </w:rPr>
      </w:pPr>
      <w:r w:rsidRPr="00936745">
        <w:rPr>
          <w:rFonts w:eastAsia="Calibri"/>
          <w:sz w:val="26"/>
          <w:szCs w:val="26"/>
          <w:lang w:eastAsia="en-US"/>
        </w:rPr>
        <w:lastRenderedPageBreak/>
        <w:t>Me da mucho gusto haber escuchado del Director General, lo que ha dicho de México. Es un testimonio que, sin duda, son de los muchos que quisiéramos recoger, de lo que aprecian de México.</w:t>
      </w:r>
    </w:p>
    <w:p w14:paraId="4088C764" w14:textId="77777777" w:rsidR="00936745" w:rsidRPr="00936745" w:rsidRDefault="00936745" w:rsidP="00936745">
      <w:pPr>
        <w:spacing w:after="360" w:line="360" w:lineRule="auto"/>
        <w:ind w:right="-159"/>
        <w:jc w:val="both"/>
        <w:rPr>
          <w:rFonts w:eastAsia="Calibri"/>
          <w:sz w:val="26"/>
          <w:szCs w:val="26"/>
          <w:lang w:eastAsia="en-US"/>
        </w:rPr>
      </w:pPr>
      <w:r w:rsidRPr="00936745">
        <w:rPr>
          <w:rFonts w:eastAsia="Calibri"/>
          <w:sz w:val="26"/>
          <w:szCs w:val="26"/>
          <w:lang w:eastAsia="en-US"/>
        </w:rPr>
        <w:t>México es un destino confiable. México es un destino que, sin duda, tiene importantes fortalezas para atraer inversiones, para generar empleo y para contribuir a su desarrollo económico y social.</w:t>
      </w:r>
    </w:p>
    <w:p w14:paraId="5A561EB1" w14:textId="77777777" w:rsidR="00936745" w:rsidRPr="00936745" w:rsidRDefault="00936745" w:rsidP="00936745">
      <w:pPr>
        <w:spacing w:after="360" w:line="360" w:lineRule="auto"/>
        <w:ind w:right="-159"/>
        <w:jc w:val="both"/>
        <w:rPr>
          <w:rFonts w:eastAsia="Calibri"/>
          <w:sz w:val="26"/>
          <w:szCs w:val="26"/>
          <w:lang w:eastAsia="en-US"/>
        </w:rPr>
      </w:pPr>
      <w:r w:rsidRPr="00936745">
        <w:rPr>
          <w:rFonts w:eastAsia="Calibri"/>
          <w:sz w:val="26"/>
          <w:szCs w:val="26"/>
          <w:lang w:eastAsia="en-US"/>
        </w:rPr>
        <w:t>Lo único que nos permitirá arribar a mejores condiciones como Nación, será la capacidad que tengamos de propiciar un muy buen ambiente, óptimo para invertir, para generar empleo, para generar oportunidades de desarrollo, para ampliar las opciones que las y los mexicanos tengan en dónde dedicar sus esfuerzos diarios, a qué dedicarse, en dónde ocuparse y en dónde tener una fuente de ingresos digno.</w:t>
      </w:r>
    </w:p>
    <w:p w14:paraId="34E46490" w14:textId="77777777" w:rsidR="00936745" w:rsidRPr="00936745" w:rsidRDefault="00936745" w:rsidP="00936745">
      <w:pPr>
        <w:spacing w:after="360" w:line="360" w:lineRule="auto"/>
        <w:ind w:right="-159"/>
        <w:jc w:val="both"/>
        <w:rPr>
          <w:rFonts w:eastAsia="Calibri"/>
          <w:sz w:val="26"/>
          <w:szCs w:val="26"/>
          <w:lang w:eastAsia="en-US"/>
        </w:rPr>
      </w:pPr>
      <w:r w:rsidRPr="00936745">
        <w:rPr>
          <w:rFonts w:eastAsia="Calibri"/>
          <w:sz w:val="26"/>
          <w:szCs w:val="26"/>
          <w:lang w:eastAsia="en-US"/>
        </w:rPr>
        <w:t>Esto es lo que tenemos que buscar y estamos trabajando para ello. Y México, sin duda, está en esa ruta.</w:t>
      </w:r>
    </w:p>
    <w:p w14:paraId="38F2B03F" w14:textId="77777777" w:rsidR="00936745" w:rsidRPr="00936745" w:rsidRDefault="00936745" w:rsidP="00936745">
      <w:pPr>
        <w:spacing w:after="360" w:line="360" w:lineRule="auto"/>
        <w:ind w:right="-159"/>
        <w:jc w:val="both"/>
        <w:rPr>
          <w:rFonts w:eastAsia="Calibri"/>
          <w:sz w:val="26"/>
          <w:szCs w:val="26"/>
          <w:lang w:eastAsia="en-US"/>
        </w:rPr>
      </w:pPr>
      <w:r w:rsidRPr="00936745">
        <w:rPr>
          <w:rFonts w:eastAsia="Calibri"/>
          <w:sz w:val="26"/>
          <w:szCs w:val="26"/>
          <w:lang w:eastAsia="en-US"/>
        </w:rPr>
        <w:t>Quiero decirles que esta Administración es una dedicada, especialmente, a generar o haber impulsado reformas, como ustedes lo han escuchado, de orden estructural, que posibiliten que nuestro país pueda crecer de manera más acelerada.</w:t>
      </w:r>
    </w:p>
    <w:p w14:paraId="516022BF" w14:textId="77777777" w:rsidR="00936745" w:rsidRPr="00936745" w:rsidRDefault="00936745" w:rsidP="00936745">
      <w:pPr>
        <w:spacing w:after="360" w:line="360" w:lineRule="auto"/>
        <w:ind w:right="-159"/>
        <w:jc w:val="both"/>
        <w:rPr>
          <w:rFonts w:eastAsia="Calibri"/>
          <w:sz w:val="26"/>
          <w:szCs w:val="26"/>
          <w:lang w:eastAsia="en-US"/>
        </w:rPr>
      </w:pPr>
      <w:r w:rsidRPr="00936745">
        <w:rPr>
          <w:rFonts w:eastAsia="Calibri"/>
          <w:sz w:val="26"/>
          <w:szCs w:val="26"/>
          <w:lang w:eastAsia="en-US"/>
        </w:rPr>
        <w:t>Si bien México, y es algo que a veces no apreciamos suficientemente, México lleva décadas de gran estabilidad política y social. Pocos países en el mundo pueden preciarse de ello.</w:t>
      </w:r>
    </w:p>
    <w:p w14:paraId="7021ECA0" w14:textId="77777777" w:rsidR="00936745" w:rsidRPr="00936745" w:rsidRDefault="00936745" w:rsidP="00936745">
      <w:pPr>
        <w:spacing w:after="360" w:line="360" w:lineRule="auto"/>
        <w:ind w:right="-159"/>
        <w:jc w:val="both"/>
        <w:rPr>
          <w:rFonts w:eastAsia="Calibri"/>
          <w:sz w:val="26"/>
          <w:szCs w:val="26"/>
          <w:lang w:eastAsia="en-US"/>
        </w:rPr>
      </w:pPr>
      <w:r w:rsidRPr="00936745">
        <w:rPr>
          <w:rFonts w:eastAsia="Calibri"/>
          <w:sz w:val="26"/>
          <w:szCs w:val="26"/>
          <w:lang w:eastAsia="en-US"/>
        </w:rPr>
        <w:t>Y México, desde hace más de 80 años, ha tenido estabilidad política; un relevo en el Ejecutivo Federal, cada seis años, con estabilidad política; ha venido consolidando su democracia. Y todo ello, sin duda, genera confianza en el mundo.</w:t>
      </w:r>
    </w:p>
    <w:p w14:paraId="607F9DE6" w14:textId="77777777" w:rsidR="00936745" w:rsidRPr="00936745" w:rsidRDefault="00936745" w:rsidP="00936745">
      <w:pPr>
        <w:spacing w:after="360" w:line="360" w:lineRule="auto"/>
        <w:ind w:right="-159"/>
        <w:jc w:val="both"/>
        <w:rPr>
          <w:rFonts w:eastAsia="Calibri"/>
          <w:sz w:val="26"/>
          <w:szCs w:val="26"/>
          <w:lang w:eastAsia="en-US"/>
        </w:rPr>
      </w:pPr>
      <w:r w:rsidRPr="00936745">
        <w:rPr>
          <w:rFonts w:eastAsia="Calibri"/>
          <w:sz w:val="26"/>
          <w:szCs w:val="26"/>
          <w:lang w:eastAsia="en-US"/>
        </w:rPr>
        <w:lastRenderedPageBreak/>
        <w:t>Y esta condición política que hemos logrado como sociedad, y que ahora potenciamos, a partir de hacer ajustes al marco legal, que hagan posible que en distintos ámbitos podamos generar y detonar mayores inversiones de orden productivo.</w:t>
      </w:r>
    </w:p>
    <w:p w14:paraId="1AD9706D" w14:textId="77777777" w:rsidR="00936745" w:rsidRPr="00936745" w:rsidRDefault="00936745" w:rsidP="00936745">
      <w:pPr>
        <w:spacing w:after="360" w:line="360" w:lineRule="auto"/>
        <w:ind w:right="-159"/>
        <w:jc w:val="both"/>
        <w:rPr>
          <w:rFonts w:eastAsia="Calibri"/>
          <w:sz w:val="26"/>
          <w:szCs w:val="26"/>
          <w:lang w:eastAsia="en-US"/>
        </w:rPr>
      </w:pPr>
      <w:r w:rsidRPr="00936745">
        <w:rPr>
          <w:rFonts w:eastAsia="Calibri"/>
          <w:sz w:val="26"/>
          <w:szCs w:val="26"/>
          <w:lang w:eastAsia="en-US"/>
        </w:rPr>
        <w:t>Eso es lo que nos hemos propuesto hacer, a partir de esta condición, de esta fortaleza. De reconocer que si bien hemos venido creciendo por varias décadas, lo que es un hecho es que el ritmo de crecimiento que México tenía y ha tenido en las últimas dos o tres décadas, ha sido insuficiente para generar más empleos para los mexicanos y mayores oportunidades de desarrollo individual y colectivo para la sociedad mexicana.</w:t>
      </w:r>
    </w:p>
    <w:p w14:paraId="22BAC058" w14:textId="77777777" w:rsidR="00936745" w:rsidRPr="00936745" w:rsidRDefault="00936745" w:rsidP="00936745">
      <w:pPr>
        <w:spacing w:after="360" w:line="360" w:lineRule="auto"/>
        <w:ind w:right="-159"/>
        <w:jc w:val="both"/>
        <w:rPr>
          <w:rFonts w:eastAsia="Calibri"/>
          <w:sz w:val="26"/>
          <w:szCs w:val="26"/>
          <w:lang w:eastAsia="en-US"/>
        </w:rPr>
      </w:pPr>
      <w:r w:rsidRPr="00936745">
        <w:rPr>
          <w:rFonts w:eastAsia="Calibri"/>
          <w:sz w:val="26"/>
          <w:szCs w:val="26"/>
          <w:lang w:eastAsia="en-US"/>
        </w:rPr>
        <w:t>En consecuencia, decidimos hacer ajustes de carácter estructural. Y dentro de esos ajustes, dentro de las varias reformas, 11 que ustedes han conocido, seis inciden de manera específica en detonar crecimiento económico, o están dedicadas a impulsar y detonar el crecimiento económico.</w:t>
      </w:r>
    </w:p>
    <w:p w14:paraId="7171B307" w14:textId="77777777" w:rsidR="00936745" w:rsidRPr="00936745" w:rsidRDefault="00936745" w:rsidP="00936745">
      <w:pPr>
        <w:spacing w:after="360" w:line="360" w:lineRule="auto"/>
        <w:ind w:right="-159"/>
        <w:jc w:val="both"/>
        <w:rPr>
          <w:rFonts w:eastAsia="Calibri"/>
          <w:sz w:val="26"/>
          <w:szCs w:val="26"/>
          <w:lang w:eastAsia="en-US"/>
        </w:rPr>
      </w:pPr>
      <w:r w:rsidRPr="00936745">
        <w:rPr>
          <w:rFonts w:eastAsia="Calibri"/>
          <w:sz w:val="26"/>
          <w:szCs w:val="26"/>
          <w:lang w:eastAsia="en-US"/>
        </w:rPr>
        <w:t>Esto es lo que hemos venido proyectando al mundo y el mundo así lo está apreciando. Somos una economía emergente, como varios otros países, y cada uno de estos países, que somos economías emergentes; es decir, economías que estamos consolidando nuestro desarrollo, que estamos en etapa de crecimiento, de lograr una sociedad media, mayor y más amplia, estamos en esa etapa.</w:t>
      </w:r>
    </w:p>
    <w:p w14:paraId="31EE0330" w14:textId="77777777" w:rsidR="00936745" w:rsidRPr="00936745" w:rsidRDefault="00936745" w:rsidP="00936745">
      <w:pPr>
        <w:spacing w:after="360" w:line="360" w:lineRule="auto"/>
        <w:ind w:right="-159"/>
        <w:jc w:val="both"/>
        <w:rPr>
          <w:rFonts w:eastAsia="Calibri"/>
          <w:sz w:val="26"/>
          <w:szCs w:val="26"/>
          <w:lang w:eastAsia="en-US"/>
        </w:rPr>
      </w:pPr>
      <w:r w:rsidRPr="00936745">
        <w:rPr>
          <w:rFonts w:eastAsia="Calibri"/>
          <w:sz w:val="26"/>
          <w:szCs w:val="26"/>
          <w:lang w:eastAsia="en-US"/>
        </w:rPr>
        <w:t>Sin duda, México tiene fortalezas muy particulares, dada nuestra ubicación geográfica, nuestra estabilidad política, nuestra estabilidad macroeconómica, con la cual además estamos mayormente comprometidos.</w:t>
      </w:r>
    </w:p>
    <w:p w14:paraId="12FD14CB" w14:textId="77777777" w:rsidR="00936745" w:rsidRPr="00936745" w:rsidRDefault="00936745" w:rsidP="00936745">
      <w:pPr>
        <w:spacing w:after="360" w:line="360" w:lineRule="auto"/>
        <w:ind w:right="-159"/>
        <w:jc w:val="both"/>
        <w:rPr>
          <w:rFonts w:eastAsia="Calibri"/>
          <w:sz w:val="26"/>
          <w:szCs w:val="26"/>
          <w:lang w:eastAsia="en-US"/>
        </w:rPr>
      </w:pPr>
      <w:r w:rsidRPr="00936745">
        <w:rPr>
          <w:rFonts w:eastAsia="Calibri"/>
          <w:sz w:val="26"/>
          <w:szCs w:val="26"/>
          <w:lang w:eastAsia="en-US"/>
        </w:rPr>
        <w:t>Lo he señalado en varias de mis intervenciones, para el Gobierno de la República algo que es fundamental es mantener la estabilidad macroeconómica del país; tener un manejo responsable en las finanzas públicas, que precisamente generen esta certeza y confianza que no podemos perder y, al contrario, tenemos que alentar para que siga viniendo más inversión.</w:t>
      </w:r>
    </w:p>
    <w:p w14:paraId="121366BF" w14:textId="77777777" w:rsidR="00936745" w:rsidRPr="00936745" w:rsidRDefault="00936745" w:rsidP="00936745">
      <w:pPr>
        <w:spacing w:after="360" w:line="360" w:lineRule="auto"/>
        <w:ind w:right="-159"/>
        <w:jc w:val="both"/>
        <w:rPr>
          <w:rFonts w:eastAsia="Calibri"/>
          <w:sz w:val="26"/>
          <w:szCs w:val="26"/>
          <w:lang w:eastAsia="en-US"/>
        </w:rPr>
      </w:pPr>
      <w:r w:rsidRPr="00936745">
        <w:rPr>
          <w:rFonts w:eastAsia="Calibri"/>
          <w:sz w:val="26"/>
          <w:szCs w:val="26"/>
          <w:lang w:eastAsia="en-US"/>
        </w:rPr>
        <w:lastRenderedPageBreak/>
        <w:t>Y en este marco, en este impulso transformador, en generar una mejor plataforma para que México crezca, para mí resulta muy grato darle hoy la más amplia bienvenida a esta decisión tomada por esta empresa global, por Heineken, porque deciden invertir en México más de 7 mil millones de pesos, generando empleos temporales durante la construcción de este proyecto, de esta planta, y empleos permanentes, directos e indirectos que, sin duda, contribuirán a la generación de empleo y al desarrollo económico del Estado de Chihuahua. Inversiones como éstas son las que queremos se sigan multiplicando en México.</w:t>
      </w:r>
    </w:p>
    <w:p w14:paraId="0D596D4E" w14:textId="77777777" w:rsidR="00936745" w:rsidRPr="00936745" w:rsidRDefault="00936745" w:rsidP="00936745">
      <w:pPr>
        <w:spacing w:after="360" w:line="360" w:lineRule="auto"/>
        <w:ind w:right="-159"/>
        <w:jc w:val="both"/>
        <w:rPr>
          <w:rFonts w:eastAsia="Calibri"/>
          <w:sz w:val="26"/>
          <w:szCs w:val="26"/>
          <w:lang w:eastAsia="en-US"/>
        </w:rPr>
      </w:pPr>
      <w:r w:rsidRPr="00936745">
        <w:rPr>
          <w:rFonts w:eastAsia="Calibri"/>
          <w:sz w:val="26"/>
          <w:szCs w:val="26"/>
          <w:lang w:eastAsia="en-US"/>
        </w:rPr>
        <w:t>Ayer observamos y conocimos de otras inversiones anunciadas por una empresa automotriz. Y día a día, estamos conociendo de cómo empresas globales, empresas con presencia en distintas partes del mundo e inversionistas nacionales confían en México, apuestan por México, invierten en México.</w:t>
      </w:r>
    </w:p>
    <w:p w14:paraId="3AC2FA7D" w14:textId="77777777" w:rsidR="00936745" w:rsidRPr="00936745" w:rsidRDefault="00936745" w:rsidP="00936745">
      <w:pPr>
        <w:spacing w:after="360" w:line="360" w:lineRule="auto"/>
        <w:ind w:right="-159"/>
        <w:jc w:val="both"/>
        <w:rPr>
          <w:rFonts w:eastAsia="Calibri"/>
          <w:sz w:val="26"/>
          <w:szCs w:val="26"/>
          <w:lang w:eastAsia="en-US"/>
        </w:rPr>
      </w:pPr>
      <w:r w:rsidRPr="00936745">
        <w:rPr>
          <w:rFonts w:eastAsia="Calibri"/>
          <w:sz w:val="26"/>
          <w:szCs w:val="26"/>
          <w:lang w:eastAsia="en-US"/>
        </w:rPr>
        <w:t>Lo que el Gobierno de la República está trabajando y decidido a seguir consolidando y concretando es, precisamente, ese espacio óptimo, de confianza, de apoyo, de alianza con quienes son motores, precisamente, de nuestro crecimiento económico, que son los empresarios, los emprendedores nacionales y extranjeros.</w:t>
      </w:r>
    </w:p>
    <w:p w14:paraId="65106D3E" w14:textId="77777777" w:rsidR="00936745" w:rsidRPr="00936745" w:rsidRDefault="00936745" w:rsidP="00936745">
      <w:pPr>
        <w:spacing w:after="360" w:line="360" w:lineRule="auto"/>
        <w:ind w:right="-159"/>
        <w:jc w:val="both"/>
        <w:rPr>
          <w:rFonts w:eastAsia="Calibri"/>
          <w:sz w:val="26"/>
          <w:szCs w:val="26"/>
          <w:lang w:eastAsia="en-US"/>
        </w:rPr>
      </w:pPr>
      <w:r w:rsidRPr="00936745">
        <w:rPr>
          <w:rFonts w:eastAsia="Calibri"/>
          <w:sz w:val="26"/>
          <w:szCs w:val="26"/>
          <w:lang w:eastAsia="en-US"/>
        </w:rPr>
        <w:t>En ellos recae, precisamente, esta tarea. En ser ellos el motor del desarrollo de nuestra economía, y al Gobierno le corresponde aliarnos, adherirnos y, sobre todo, a apoyar en alcance a nuestros esfuerzos, a nuestras capacidades y a todas las políticas que tiene el Gobierno de la República en apoyo, precisamente, a decisiones de aquellos que quieren invertir y crecer en México.</w:t>
      </w:r>
    </w:p>
    <w:p w14:paraId="423BC993" w14:textId="77777777" w:rsidR="00936745" w:rsidRPr="00936745" w:rsidRDefault="00936745" w:rsidP="00936745">
      <w:pPr>
        <w:spacing w:after="360" w:line="360" w:lineRule="auto"/>
        <w:ind w:right="-159"/>
        <w:jc w:val="both"/>
        <w:rPr>
          <w:rFonts w:eastAsia="Calibri"/>
          <w:sz w:val="26"/>
          <w:szCs w:val="26"/>
          <w:lang w:eastAsia="en-US"/>
        </w:rPr>
      </w:pPr>
      <w:r w:rsidRPr="00936745">
        <w:rPr>
          <w:rFonts w:eastAsia="Calibri"/>
          <w:sz w:val="26"/>
          <w:szCs w:val="26"/>
          <w:lang w:eastAsia="en-US"/>
        </w:rPr>
        <w:t>Porque al hacerlo ustedes, como empresas, también contribuyen a que México crezca como Nación; a que la sociedad mexicana tenga mayores espacios a donde emplearse y a donde dedicar sus empeños diarios.</w:t>
      </w:r>
    </w:p>
    <w:p w14:paraId="0AB0F561" w14:textId="77777777" w:rsidR="00936745" w:rsidRPr="00936745" w:rsidRDefault="00936745" w:rsidP="00936745">
      <w:pPr>
        <w:spacing w:after="360" w:line="360" w:lineRule="auto"/>
        <w:ind w:right="-159"/>
        <w:jc w:val="both"/>
        <w:rPr>
          <w:rFonts w:eastAsia="Calibri"/>
          <w:sz w:val="26"/>
          <w:szCs w:val="26"/>
          <w:lang w:eastAsia="en-US"/>
        </w:rPr>
      </w:pPr>
      <w:r w:rsidRPr="00936745">
        <w:rPr>
          <w:rFonts w:eastAsia="Calibri"/>
          <w:sz w:val="26"/>
          <w:szCs w:val="26"/>
          <w:lang w:eastAsia="en-US"/>
        </w:rPr>
        <w:lastRenderedPageBreak/>
        <w:t>Por eso, la industria cervecera, sin duda, es una de las que se ha venido consolidando en nuestro país, tanto para el orden nacional como para el orden externo.</w:t>
      </w:r>
    </w:p>
    <w:p w14:paraId="41C25012" w14:textId="77777777" w:rsidR="00936745" w:rsidRPr="00936745" w:rsidRDefault="00936745" w:rsidP="00936745">
      <w:pPr>
        <w:spacing w:after="360" w:line="360" w:lineRule="auto"/>
        <w:ind w:right="-159"/>
        <w:jc w:val="both"/>
        <w:rPr>
          <w:rFonts w:eastAsia="Calibri"/>
          <w:sz w:val="26"/>
          <w:szCs w:val="26"/>
          <w:lang w:eastAsia="en-US"/>
        </w:rPr>
      </w:pPr>
      <w:r w:rsidRPr="00936745">
        <w:rPr>
          <w:rFonts w:eastAsia="Calibri"/>
          <w:sz w:val="26"/>
          <w:szCs w:val="26"/>
          <w:lang w:eastAsia="en-US"/>
        </w:rPr>
        <w:t xml:space="preserve">Somos, como decía el Secretario de Economía, una de las industrias, la cervecera, de las que más ha crecido en los últimos años. </w:t>
      </w:r>
    </w:p>
    <w:p w14:paraId="5686A777" w14:textId="77777777" w:rsidR="00936745" w:rsidRPr="00936745" w:rsidRDefault="00936745" w:rsidP="00936745">
      <w:pPr>
        <w:spacing w:after="360" w:line="360" w:lineRule="auto"/>
        <w:ind w:right="-159"/>
        <w:jc w:val="both"/>
        <w:rPr>
          <w:rFonts w:eastAsia="Calibri"/>
          <w:sz w:val="26"/>
          <w:szCs w:val="26"/>
          <w:lang w:eastAsia="en-US"/>
        </w:rPr>
      </w:pPr>
      <w:r w:rsidRPr="00936745">
        <w:rPr>
          <w:rFonts w:eastAsia="Calibri"/>
          <w:sz w:val="26"/>
          <w:szCs w:val="26"/>
          <w:lang w:eastAsia="en-US"/>
        </w:rPr>
        <w:t>Muchas, buena parte de las cervezas que hoy se consumen en el mundo, en más de     180 países, son producidas en México.</w:t>
      </w:r>
    </w:p>
    <w:p w14:paraId="06D373C6" w14:textId="77777777" w:rsidR="00936745" w:rsidRPr="00936745" w:rsidRDefault="00936745" w:rsidP="00936745">
      <w:pPr>
        <w:spacing w:after="360" w:line="360" w:lineRule="auto"/>
        <w:ind w:right="-159"/>
        <w:jc w:val="both"/>
        <w:rPr>
          <w:rFonts w:eastAsia="Calibri"/>
          <w:sz w:val="26"/>
          <w:szCs w:val="26"/>
          <w:lang w:eastAsia="en-US"/>
        </w:rPr>
      </w:pPr>
      <w:r w:rsidRPr="00936745">
        <w:rPr>
          <w:rFonts w:eastAsia="Calibri"/>
          <w:sz w:val="26"/>
          <w:szCs w:val="26"/>
          <w:lang w:eastAsia="en-US"/>
        </w:rPr>
        <w:t>Esta industria genera más de 55 mil empleos directos, 2.5 millones de empleos indirectos; contribuye con el 0.6% de la riqueza nacional y, sobre todo, también apoya a uno de los sectores más importantes de nuestra economía: el sector primario, el de la agricultura, en la producción de cebada, de arroz, de maíz.</w:t>
      </w:r>
    </w:p>
    <w:p w14:paraId="790D29D9" w14:textId="77777777" w:rsidR="00936745" w:rsidRPr="00936745" w:rsidRDefault="00936745" w:rsidP="00936745">
      <w:pPr>
        <w:spacing w:after="360" w:line="360" w:lineRule="auto"/>
        <w:ind w:right="-159"/>
        <w:jc w:val="both"/>
        <w:rPr>
          <w:rFonts w:eastAsia="Calibri"/>
          <w:sz w:val="26"/>
          <w:szCs w:val="26"/>
          <w:lang w:eastAsia="en-US"/>
        </w:rPr>
      </w:pPr>
      <w:r w:rsidRPr="00936745">
        <w:rPr>
          <w:rFonts w:eastAsia="Calibri"/>
          <w:sz w:val="26"/>
          <w:szCs w:val="26"/>
          <w:lang w:eastAsia="en-US"/>
        </w:rPr>
        <w:t>Ahí, también, esta industria apoya y contribuye a que este sector siga extendiéndose y se siga ampliando.</w:t>
      </w:r>
    </w:p>
    <w:p w14:paraId="090B6F82" w14:textId="77777777" w:rsidR="00936745" w:rsidRPr="00936745" w:rsidRDefault="00936745" w:rsidP="00936745">
      <w:pPr>
        <w:spacing w:after="360" w:line="360" w:lineRule="auto"/>
        <w:ind w:right="-159"/>
        <w:jc w:val="both"/>
        <w:rPr>
          <w:rFonts w:eastAsia="Calibri"/>
          <w:sz w:val="26"/>
          <w:szCs w:val="26"/>
          <w:lang w:eastAsia="en-US"/>
        </w:rPr>
      </w:pPr>
      <w:r w:rsidRPr="00936745">
        <w:rPr>
          <w:rFonts w:eastAsia="Calibri"/>
          <w:sz w:val="26"/>
          <w:szCs w:val="26"/>
          <w:lang w:eastAsia="en-US"/>
        </w:rPr>
        <w:t>No tengo más palabras, más que felicitarles por esta decisión.</w:t>
      </w:r>
    </w:p>
    <w:p w14:paraId="16C18381" w14:textId="77777777" w:rsidR="00936745" w:rsidRPr="00936745" w:rsidRDefault="00936745" w:rsidP="00936745">
      <w:pPr>
        <w:spacing w:after="360" w:line="360" w:lineRule="auto"/>
        <w:ind w:right="-159"/>
        <w:jc w:val="both"/>
        <w:rPr>
          <w:rFonts w:eastAsia="Calibri"/>
          <w:sz w:val="26"/>
          <w:szCs w:val="26"/>
          <w:lang w:eastAsia="en-US"/>
        </w:rPr>
      </w:pPr>
      <w:r w:rsidRPr="00936745">
        <w:rPr>
          <w:rFonts w:eastAsia="Calibri"/>
          <w:sz w:val="26"/>
          <w:szCs w:val="26"/>
          <w:lang w:eastAsia="en-US"/>
        </w:rPr>
        <w:t>Agradecer la confianza puesta en México, la confianza que depositan en el Estado de Chihuahua, en sus autoridades locales, la que tienen con las autoridades del Gobierno de la República pero, sobre todo, a la confianza que tienen de seguir ampliándose, creciendo y hacerlo aquí, en México.</w:t>
      </w:r>
    </w:p>
    <w:p w14:paraId="18DEA4F6" w14:textId="77777777" w:rsidR="00936745" w:rsidRPr="00936745" w:rsidRDefault="00936745" w:rsidP="00936745">
      <w:pPr>
        <w:spacing w:after="360" w:line="360" w:lineRule="auto"/>
        <w:ind w:right="-159"/>
        <w:jc w:val="both"/>
        <w:rPr>
          <w:rFonts w:eastAsia="Calibri"/>
          <w:sz w:val="26"/>
          <w:szCs w:val="26"/>
          <w:lang w:eastAsia="en-US"/>
        </w:rPr>
      </w:pPr>
      <w:r w:rsidRPr="00936745">
        <w:rPr>
          <w:rFonts w:eastAsia="Calibri"/>
          <w:sz w:val="26"/>
          <w:szCs w:val="26"/>
          <w:lang w:eastAsia="en-US"/>
        </w:rPr>
        <w:t>Bien por ustedes.</w:t>
      </w:r>
    </w:p>
    <w:p w14:paraId="306B3494" w14:textId="77777777" w:rsidR="00936745" w:rsidRPr="00936745" w:rsidRDefault="00936745" w:rsidP="00936745">
      <w:pPr>
        <w:spacing w:after="360" w:line="360" w:lineRule="auto"/>
        <w:ind w:right="-159"/>
        <w:jc w:val="both"/>
        <w:rPr>
          <w:rFonts w:eastAsia="Calibri"/>
          <w:sz w:val="26"/>
          <w:szCs w:val="26"/>
          <w:lang w:eastAsia="en-US"/>
        </w:rPr>
      </w:pPr>
      <w:r w:rsidRPr="00936745">
        <w:rPr>
          <w:rFonts w:eastAsia="Calibri"/>
          <w:sz w:val="26"/>
          <w:szCs w:val="26"/>
          <w:lang w:eastAsia="en-US"/>
        </w:rPr>
        <w:t>Bien por México.</w:t>
      </w:r>
    </w:p>
    <w:p w14:paraId="1BCCE8FC" w14:textId="77777777" w:rsidR="00936745" w:rsidRPr="00936745" w:rsidRDefault="00936745" w:rsidP="00936745">
      <w:pPr>
        <w:spacing w:after="360" w:line="360" w:lineRule="auto"/>
        <w:ind w:right="-159"/>
        <w:jc w:val="both"/>
        <w:rPr>
          <w:rFonts w:eastAsia="Calibri"/>
          <w:sz w:val="26"/>
          <w:szCs w:val="26"/>
          <w:lang w:eastAsia="en-US"/>
        </w:rPr>
      </w:pPr>
      <w:r w:rsidRPr="00936745">
        <w:rPr>
          <w:rFonts w:eastAsia="Calibri"/>
          <w:sz w:val="26"/>
          <w:szCs w:val="26"/>
          <w:lang w:eastAsia="en-US"/>
        </w:rPr>
        <w:t>Y gracias por aportar y apostar al crecimiento y desarrollo que, como Nación, queremos tener.</w:t>
      </w:r>
    </w:p>
    <w:p w14:paraId="1F12CF82" w14:textId="77777777" w:rsidR="00936745" w:rsidRPr="00936745" w:rsidRDefault="00936745" w:rsidP="00936745">
      <w:pPr>
        <w:spacing w:after="360" w:line="360" w:lineRule="auto"/>
        <w:ind w:right="-159"/>
        <w:jc w:val="both"/>
        <w:rPr>
          <w:rFonts w:eastAsia="Calibri"/>
          <w:sz w:val="26"/>
          <w:szCs w:val="26"/>
          <w:lang w:eastAsia="en-US"/>
        </w:rPr>
      </w:pPr>
      <w:r w:rsidRPr="00936745">
        <w:rPr>
          <w:rFonts w:eastAsia="Calibri"/>
          <w:sz w:val="26"/>
          <w:szCs w:val="26"/>
          <w:lang w:eastAsia="en-US"/>
        </w:rPr>
        <w:lastRenderedPageBreak/>
        <w:t>Muchísimas felicidades, y muchas gracias.”</w:t>
      </w:r>
    </w:p>
    <w:p w14:paraId="2FAF7E67" w14:textId="77777777" w:rsidR="00936745" w:rsidRPr="00936745" w:rsidRDefault="00936745" w:rsidP="00936745">
      <w:pPr>
        <w:ind w:right="-159"/>
        <w:jc w:val="both"/>
        <w:rPr>
          <w:rFonts w:eastAsia="Calibri"/>
          <w:b/>
          <w:sz w:val="20"/>
          <w:szCs w:val="20"/>
          <w:lang w:eastAsia="en-US"/>
        </w:rPr>
      </w:pPr>
      <w:r w:rsidRPr="00936745">
        <w:rPr>
          <w:rFonts w:eastAsia="Calibri"/>
          <w:b/>
          <w:sz w:val="20"/>
          <w:szCs w:val="20"/>
          <w:lang w:eastAsia="en-US"/>
        </w:rPr>
        <w:t>Fuente de información:</w:t>
      </w:r>
    </w:p>
    <w:p w14:paraId="7A90F687" w14:textId="77777777" w:rsidR="00936745" w:rsidRPr="00660E71" w:rsidRDefault="0093224F" w:rsidP="00660E71">
      <w:pPr>
        <w:spacing w:after="720"/>
        <w:ind w:right="-159"/>
        <w:jc w:val="both"/>
        <w:rPr>
          <w:rFonts w:eastAsia="Calibri"/>
          <w:color w:val="0000FF"/>
          <w:sz w:val="20"/>
          <w:szCs w:val="20"/>
          <w:lang w:eastAsia="en-US"/>
        </w:rPr>
      </w:pPr>
      <w:hyperlink r:id="rId138" w:history="1">
        <w:r w:rsidR="00936745" w:rsidRPr="00660E71">
          <w:rPr>
            <w:rFonts w:eastAsia="Calibri"/>
            <w:color w:val="0000FF"/>
            <w:sz w:val="20"/>
            <w:szCs w:val="20"/>
            <w:u w:val="single"/>
            <w:lang w:eastAsia="en-US"/>
          </w:rPr>
          <w:t>http://www.presidencia.gob.mx/articulos-prensa/palabras-del-presidente-de-los-estados-unidos-mexicanos-licenciado-enrique-pena-nieto-durante-el-anuncio-de-inversion-de-heineken/</w:t>
        </w:r>
      </w:hyperlink>
      <w:r w:rsidR="00936745" w:rsidRPr="00660E71">
        <w:rPr>
          <w:rFonts w:eastAsia="Calibri"/>
          <w:color w:val="0000FF"/>
          <w:sz w:val="20"/>
          <w:szCs w:val="20"/>
          <w:lang w:eastAsia="en-US"/>
        </w:rPr>
        <w:t xml:space="preserve"> </w:t>
      </w:r>
    </w:p>
    <w:p w14:paraId="62681ED2" w14:textId="77777777" w:rsidR="00C314BD" w:rsidRPr="00C314BD" w:rsidRDefault="00C314BD" w:rsidP="00C314BD">
      <w:pPr>
        <w:ind w:right="-159"/>
        <w:jc w:val="both"/>
        <w:rPr>
          <w:rFonts w:eastAsia="Calibri"/>
          <w:b/>
          <w:sz w:val="26"/>
          <w:szCs w:val="26"/>
          <w:lang w:eastAsia="en-US"/>
        </w:rPr>
      </w:pPr>
      <w:r w:rsidRPr="00C314BD">
        <w:rPr>
          <w:rFonts w:eastAsia="Calibri"/>
          <w:b/>
          <w:sz w:val="26"/>
          <w:szCs w:val="26"/>
          <w:lang w:eastAsia="en-US"/>
        </w:rPr>
        <w:t>Heineken construirá por 7 mil 350 millones de pesos</w:t>
      </w:r>
    </w:p>
    <w:p w14:paraId="4F734218" w14:textId="77777777" w:rsidR="00C314BD" w:rsidRPr="00C314BD" w:rsidRDefault="00C314BD" w:rsidP="00C314BD">
      <w:pPr>
        <w:spacing w:after="360" w:line="360" w:lineRule="auto"/>
        <w:ind w:right="-159"/>
        <w:jc w:val="both"/>
        <w:rPr>
          <w:rFonts w:eastAsia="Calibri"/>
          <w:b/>
          <w:sz w:val="26"/>
          <w:szCs w:val="26"/>
          <w:lang w:eastAsia="en-US"/>
        </w:rPr>
      </w:pPr>
      <w:r w:rsidRPr="00C314BD">
        <w:rPr>
          <w:rFonts w:eastAsia="Calibri"/>
          <w:b/>
          <w:sz w:val="26"/>
          <w:szCs w:val="26"/>
          <w:lang w:eastAsia="en-US"/>
        </w:rPr>
        <w:t>nueva    planta    en    Chihuahua    (Sentido Común)</w:t>
      </w:r>
    </w:p>
    <w:p w14:paraId="13BB6A76" w14:textId="1FDDFEF7" w:rsidR="00C314BD" w:rsidRPr="00C314BD" w:rsidRDefault="00C314BD" w:rsidP="00C314BD">
      <w:pPr>
        <w:spacing w:after="360" w:line="360" w:lineRule="auto"/>
        <w:ind w:right="-159"/>
        <w:jc w:val="both"/>
        <w:rPr>
          <w:rFonts w:eastAsia="Calibri"/>
          <w:sz w:val="26"/>
          <w:szCs w:val="26"/>
          <w:lang w:eastAsia="en-US"/>
        </w:rPr>
      </w:pPr>
      <w:r w:rsidRPr="00C314BD">
        <w:rPr>
          <w:rFonts w:eastAsia="Calibri"/>
          <w:sz w:val="26"/>
          <w:szCs w:val="26"/>
          <w:lang w:eastAsia="en-US"/>
        </w:rPr>
        <w:t>El 10 de marzo de 2015, la revista electrónica Sentido Común informó que Heineken, la tercera cervecera más grande del mundo que llegó al país hace poco más de cinco años, dijo que invertirá 7 mil 350 millones de pesos (475 millones de dólares) en el país para edificar su séptima planta cervecera, una clara señal de confianza en el futuro conómico del país.</w:t>
      </w:r>
    </w:p>
    <w:p w14:paraId="17EFFF3F" w14:textId="77777777" w:rsidR="00C314BD" w:rsidRPr="00C314BD" w:rsidRDefault="00C314BD" w:rsidP="00C314BD">
      <w:pPr>
        <w:spacing w:after="360" w:line="360" w:lineRule="auto"/>
        <w:ind w:right="-159"/>
        <w:jc w:val="both"/>
        <w:rPr>
          <w:rFonts w:eastAsia="Calibri"/>
          <w:sz w:val="26"/>
          <w:szCs w:val="26"/>
          <w:lang w:eastAsia="en-US"/>
        </w:rPr>
      </w:pPr>
      <w:r w:rsidRPr="00C314BD">
        <w:rPr>
          <w:rFonts w:eastAsia="Calibri"/>
          <w:sz w:val="26"/>
          <w:szCs w:val="26"/>
          <w:lang w:eastAsia="en-US"/>
        </w:rPr>
        <w:t>“Heineken tiene operaciones en más de 120 países pero pocos, muy pocos pueden ofrecer lo que ofrece México”, dijo Marc Busain, Director General de Heineken al anunciar en la residencia oficial de Los Pinos el proyecto de inversión de la compañía holandesa.</w:t>
      </w:r>
    </w:p>
    <w:p w14:paraId="6D1FC736" w14:textId="77777777" w:rsidR="00C314BD" w:rsidRPr="00C314BD" w:rsidRDefault="00C314BD" w:rsidP="00C314BD">
      <w:pPr>
        <w:spacing w:after="360" w:line="360" w:lineRule="auto"/>
        <w:ind w:right="-159"/>
        <w:jc w:val="both"/>
        <w:rPr>
          <w:rFonts w:eastAsia="Calibri"/>
          <w:sz w:val="26"/>
          <w:szCs w:val="26"/>
          <w:lang w:eastAsia="en-US"/>
        </w:rPr>
      </w:pPr>
      <w:r w:rsidRPr="00C314BD">
        <w:rPr>
          <w:rFonts w:eastAsia="Calibri"/>
          <w:sz w:val="26"/>
          <w:szCs w:val="26"/>
          <w:lang w:eastAsia="en-US"/>
        </w:rPr>
        <w:t>La nueva cervecería, que se edificará en el municipio de Meoqui, en el estado Chihuahua, tendrá una capacidad de producción de cinco millones de hectolitros al año, con la posibilidad de llegar a producir hasta 10 millones.</w:t>
      </w:r>
    </w:p>
    <w:p w14:paraId="772A4CB6" w14:textId="77777777" w:rsidR="00C314BD" w:rsidRPr="00C314BD" w:rsidRDefault="00C314BD" w:rsidP="00C314BD">
      <w:pPr>
        <w:spacing w:after="360" w:line="360" w:lineRule="auto"/>
        <w:ind w:right="-159"/>
        <w:jc w:val="both"/>
        <w:rPr>
          <w:rFonts w:eastAsia="Calibri"/>
          <w:sz w:val="26"/>
          <w:szCs w:val="26"/>
          <w:lang w:eastAsia="en-US"/>
        </w:rPr>
      </w:pPr>
      <w:r w:rsidRPr="00C314BD">
        <w:rPr>
          <w:rFonts w:eastAsia="Calibri"/>
          <w:sz w:val="26"/>
          <w:szCs w:val="26"/>
          <w:lang w:eastAsia="en-US"/>
        </w:rPr>
        <w:t xml:space="preserve">La empresa holandesa, que en México opera bajo el nombre de Cervecería Cuauhtémoc Moctezuma y que compró al conglomerado mexicano Fomento Económico Mexicano (Femsa) por casi 7 mil 400 millones de dólares en enero de 2010, dijo que la construcción de la nueva planta generará cerca de dos mil empleos durante su edificación, mientras que el centro de trabajo contará con 500 trabajadores permanentes en su inicio. </w:t>
      </w:r>
    </w:p>
    <w:p w14:paraId="2CCDEA1D" w14:textId="77777777" w:rsidR="00C314BD" w:rsidRPr="00C314BD" w:rsidRDefault="00C314BD" w:rsidP="00C314BD">
      <w:pPr>
        <w:spacing w:after="360" w:line="360" w:lineRule="auto"/>
        <w:ind w:right="-159"/>
        <w:jc w:val="both"/>
        <w:rPr>
          <w:rFonts w:eastAsia="Calibri"/>
          <w:sz w:val="26"/>
          <w:szCs w:val="26"/>
          <w:lang w:eastAsia="en-US"/>
        </w:rPr>
      </w:pPr>
      <w:r w:rsidRPr="00C314BD">
        <w:rPr>
          <w:rFonts w:eastAsia="Calibri"/>
          <w:sz w:val="26"/>
          <w:szCs w:val="26"/>
          <w:lang w:eastAsia="en-US"/>
        </w:rPr>
        <w:lastRenderedPageBreak/>
        <w:t>El anuncio es el segundo en materia de inversión que hace una compañía cervecera este año en el país luego que Grupo Modelo, la filial de la empresa internacional Anheuser-Busch InBev, o AB InBev, anunció a mediados de enero que invertiría 2 mil 200 millones de pesos (150 millones de dólares) para construir una nueva planta en la península de Yucatán.</w:t>
      </w:r>
    </w:p>
    <w:p w14:paraId="729B2815" w14:textId="77777777" w:rsidR="00C314BD" w:rsidRPr="00C314BD" w:rsidRDefault="00C314BD" w:rsidP="00C314BD">
      <w:pPr>
        <w:spacing w:after="360" w:line="360" w:lineRule="auto"/>
        <w:ind w:right="-159"/>
        <w:jc w:val="both"/>
        <w:rPr>
          <w:rFonts w:eastAsia="Calibri"/>
          <w:sz w:val="26"/>
          <w:szCs w:val="26"/>
          <w:lang w:eastAsia="en-US"/>
        </w:rPr>
      </w:pPr>
      <w:r w:rsidRPr="00C314BD">
        <w:rPr>
          <w:rFonts w:eastAsia="Calibri"/>
          <w:sz w:val="26"/>
          <w:szCs w:val="26"/>
          <w:lang w:eastAsia="en-US"/>
        </w:rPr>
        <w:t>En este caso la nueva planta de Modelo será la número ocho de la compañía en el país y tendrá una capacidad de producción también de cinco millones de hectolitros, con lo que Modelo incrementará en 8% su producción actual.</w:t>
      </w:r>
    </w:p>
    <w:p w14:paraId="455DADC2" w14:textId="69956701" w:rsidR="00C314BD" w:rsidRPr="00C314BD" w:rsidRDefault="00C314BD" w:rsidP="00C314BD">
      <w:pPr>
        <w:spacing w:after="360" w:line="360" w:lineRule="auto"/>
        <w:ind w:right="-159"/>
        <w:jc w:val="both"/>
        <w:rPr>
          <w:rFonts w:eastAsia="Calibri"/>
          <w:sz w:val="26"/>
          <w:szCs w:val="26"/>
          <w:lang w:eastAsia="en-US"/>
        </w:rPr>
      </w:pPr>
      <w:r w:rsidRPr="00C314BD">
        <w:rPr>
          <w:rFonts w:eastAsia="Calibri"/>
          <w:sz w:val="26"/>
          <w:szCs w:val="26"/>
          <w:lang w:eastAsia="en-US"/>
        </w:rPr>
        <w:t>Heineken, por su parte, dijo que su nueva planta servirá para atender el mercado local y para exportar sus cervezas a Estados Unidos</w:t>
      </w:r>
      <w:r w:rsidR="00BC772A">
        <w:rPr>
          <w:rFonts w:eastAsia="Calibri"/>
          <w:sz w:val="26"/>
          <w:szCs w:val="26"/>
          <w:lang w:eastAsia="en-US"/>
        </w:rPr>
        <w:t xml:space="preserve"> de Norteamérica</w:t>
      </w:r>
      <w:r w:rsidRPr="00C314BD">
        <w:rPr>
          <w:rFonts w:eastAsia="Calibri"/>
          <w:sz w:val="26"/>
          <w:szCs w:val="26"/>
          <w:lang w:eastAsia="en-US"/>
        </w:rPr>
        <w:t>, el principal destino de la múltiples marcas de cervezas que hacen Modelo y Heineken en el país y que venden allá.</w:t>
      </w:r>
    </w:p>
    <w:p w14:paraId="35DFB655" w14:textId="77777777" w:rsidR="00C314BD" w:rsidRPr="00C314BD" w:rsidRDefault="00C314BD" w:rsidP="00C314BD">
      <w:pPr>
        <w:spacing w:after="360" w:line="360" w:lineRule="auto"/>
        <w:ind w:right="-159"/>
        <w:jc w:val="both"/>
        <w:rPr>
          <w:rFonts w:eastAsia="Calibri"/>
          <w:sz w:val="26"/>
          <w:szCs w:val="26"/>
          <w:lang w:eastAsia="en-US"/>
        </w:rPr>
      </w:pPr>
      <w:r w:rsidRPr="00C314BD">
        <w:rPr>
          <w:rFonts w:eastAsia="Calibri"/>
          <w:sz w:val="26"/>
          <w:szCs w:val="26"/>
          <w:lang w:eastAsia="en-US"/>
        </w:rPr>
        <w:t>La fábrica de Heineken tendrá además la capacidad de producir cerveza en lata, botellas o barriles.</w:t>
      </w:r>
    </w:p>
    <w:p w14:paraId="62629FF6" w14:textId="77777777" w:rsidR="00C314BD" w:rsidRPr="00C314BD" w:rsidRDefault="00C314BD" w:rsidP="00C314BD">
      <w:pPr>
        <w:spacing w:after="360" w:line="360" w:lineRule="auto"/>
        <w:ind w:right="-159"/>
        <w:jc w:val="both"/>
        <w:rPr>
          <w:rFonts w:eastAsia="Calibri"/>
          <w:sz w:val="26"/>
          <w:szCs w:val="26"/>
          <w:lang w:eastAsia="en-US"/>
        </w:rPr>
      </w:pPr>
      <w:r w:rsidRPr="00C314BD">
        <w:rPr>
          <w:rFonts w:eastAsia="Calibri"/>
          <w:sz w:val="26"/>
          <w:szCs w:val="26"/>
          <w:lang w:eastAsia="en-US"/>
        </w:rPr>
        <w:t>“En México, hemos encontrado gente talentosa, trabajadora y comprometida con su trabajo y su familia y su país”, agregó Busain. “En México hemos trabajado un gobierno que cumple lo que promete, en donde la certeza jurídica y fiscal no está en juego. En donde el gobierno más que una autoridad es un aliado para generar condiciones de mayor bienestar económico, pero también social”.</w:t>
      </w:r>
    </w:p>
    <w:p w14:paraId="7C9F8C56" w14:textId="77777777" w:rsidR="00C314BD" w:rsidRPr="00C314BD" w:rsidRDefault="00C314BD" w:rsidP="00C314BD">
      <w:pPr>
        <w:ind w:right="-159"/>
        <w:jc w:val="both"/>
        <w:rPr>
          <w:rFonts w:eastAsia="Calibri"/>
          <w:b/>
          <w:sz w:val="20"/>
          <w:szCs w:val="20"/>
          <w:lang w:eastAsia="en-US"/>
        </w:rPr>
      </w:pPr>
      <w:r w:rsidRPr="00C314BD">
        <w:rPr>
          <w:rFonts w:eastAsia="Calibri"/>
          <w:b/>
          <w:sz w:val="20"/>
          <w:szCs w:val="20"/>
          <w:lang w:eastAsia="en-US"/>
        </w:rPr>
        <w:t>Fuente de información:</w:t>
      </w:r>
    </w:p>
    <w:p w14:paraId="0FD7B5A2" w14:textId="08918D85" w:rsidR="00C314BD" w:rsidRPr="00660E71" w:rsidRDefault="0093224F" w:rsidP="00660E71">
      <w:pPr>
        <w:spacing w:after="720"/>
        <w:ind w:right="-159"/>
        <w:jc w:val="both"/>
        <w:rPr>
          <w:rFonts w:eastAsia="Calibri"/>
          <w:color w:val="0000FF"/>
          <w:sz w:val="20"/>
          <w:szCs w:val="20"/>
          <w:lang w:eastAsia="en-US"/>
        </w:rPr>
      </w:pPr>
      <w:hyperlink r:id="rId139" w:history="1">
        <w:r w:rsidR="00C314BD" w:rsidRPr="00660E71">
          <w:rPr>
            <w:rStyle w:val="Hipervnculo"/>
            <w:rFonts w:eastAsia="Calibri"/>
            <w:sz w:val="20"/>
            <w:szCs w:val="20"/>
            <w:lang w:eastAsia="en-US"/>
          </w:rPr>
          <w:t>http://www.sentidocomun.com.mx/articulo.phtml?id=18322</w:t>
        </w:r>
      </w:hyperlink>
    </w:p>
    <w:p w14:paraId="74CF8568" w14:textId="77777777" w:rsidR="00DF70C5" w:rsidRDefault="00DF70C5" w:rsidP="00814B78">
      <w:pPr>
        <w:spacing w:after="360" w:line="360" w:lineRule="auto"/>
        <w:ind w:right="-159"/>
        <w:jc w:val="both"/>
        <w:rPr>
          <w:rFonts w:eastAsia="Calibri"/>
          <w:sz w:val="26"/>
          <w:szCs w:val="26"/>
          <w:lang w:eastAsia="en-US"/>
        </w:rPr>
      </w:pPr>
    </w:p>
    <w:p w14:paraId="59251256" w14:textId="77777777" w:rsidR="00660E71" w:rsidRDefault="00660E71" w:rsidP="00814B78">
      <w:pPr>
        <w:spacing w:after="360" w:line="360" w:lineRule="auto"/>
        <w:ind w:right="-159"/>
        <w:jc w:val="both"/>
        <w:rPr>
          <w:rFonts w:eastAsia="Calibri"/>
          <w:sz w:val="26"/>
          <w:szCs w:val="26"/>
          <w:lang w:eastAsia="en-US"/>
        </w:rPr>
      </w:pPr>
    </w:p>
    <w:p w14:paraId="1A1F7637" w14:textId="77777777" w:rsidR="00996F8A" w:rsidRPr="00996F8A" w:rsidRDefault="00996F8A" w:rsidP="00996F8A">
      <w:pPr>
        <w:spacing w:after="360" w:line="360" w:lineRule="auto"/>
        <w:ind w:right="-159"/>
        <w:jc w:val="both"/>
        <w:rPr>
          <w:rFonts w:eastAsia="Calibri"/>
          <w:b/>
          <w:sz w:val="26"/>
          <w:szCs w:val="26"/>
          <w:lang w:eastAsia="en-US"/>
        </w:rPr>
      </w:pPr>
      <w:r w:rsidRPr="00996F8A">
        <w:rPr>
          <w:rFonts w:eastAsia="Calibri"/>
          <w:b/>
          <w:sz w:val="26"/>
          <w:szCs w:val="26"/>
          <w:lang w:eastAsia="en-US"/>
        </w:rPr>
        <w:lastRenderedPageBreak/>
        <w:t>Inversión pública, ¿para qué? (Project Syndicate)</w:t>
      </w:r>
    </w:p>
    <w:p w14:paraId="4406EB68" w14:textId="77777777" w:rsidR="00996F8A" w:rsidRPr="00996F8A" w:rsidRDefault="00996F8A" w:rsidP="00996F8A">
      <w:pPr>
        <w:spacing w:after="360" w:line="360" w:lineRule="auto"/>
        <w:ind w:right="-159"/>
        <w:jc w:val="both"/>
        <w:rPr>
          <w:rFonts w:eastAsia="Calibri"/>
          <w:sz w:val="26"/>
          <w:szCs w:val="26"/>
          <w:lang w:eastAsia="en-US"/>
        </w:rPr>
      </w:pPr>
      <w:r w:rsidRPr="00996F8A">
        <w:rPr>
          <w:rFonts w:eastAsia="Calibri"/>
          <w:sz w:val="26"/>
          <w:szCs w:val="26"/>
          <w:lang w:eastAsia="en-US"/>
        </w:rPr>
        <w:t>El 20 de febrero de 2015, la organización Project Syndicate publicó el artículo “Inversión pública, ¿para qué?”, elaborado por Michael Spence</w:t>
      </w:r>
      <w:r w:rsidRPr="00996F8A">
        <w:rPr>
          <w:rFonts w:eastAsia="Calibri"/>
          <w:sz w:val="26"/>
          <w:szCs w:val="26"/>
          <w:vertAlign w:val="superscript"/>
          <w:lang w:eastAsia="en-US"/>
        </w:rPr>
        <w:footnoteReference w:id="19"/>
      </w:r>
      <w:r w:rsidRPr="00996F8A">
        <w:rPr>
          <w:rFonts w:eastAsia="Calibri"/>
          <w:sz w:val="26"/>
          <w:szCs w:val="26"/>
          <w:lang w:eastAsia="en-US"/>
        </w:rPr>
        <w:t>. A continuación se incluye el contenido.</w:t>
      </w:r>
    </w:p>
    <w:p w14:paraId="5881BCF0" w14:textId="77777777" w:rsidR="00996F8A" w:rsidRPr="00996F8A" w:rsidRDefault="00996F8A" w:rsidP="00996F8A">
      <w:pPr>
        <w:spacing w:after="360" w:line="360" w:lineRule="auto"/>
        <w:ind w:right="-159"/>
        <w:jc w:val="both"/>
        <w:rPr>
          <w:rFonts w:eastAsia="Calibri"/>
          <w:sz w:val="26"/>
          <w:szCs w:val="26"/>
          <w:lang w:eastAsia="en-US"/>
        </w:rPr>
      </w:pPr>
      <w:r w:rsidRPr="00996F8A">
        <w:rPr>
          <w:rFonts w:eastAsia="Calibri"/>
          <w:sz w:val="26"/>
          <w:szCs w:val="26"/>
          <w:lang w:eastAsia="en-US"/>
        </w:rPr>
        <w:t>El mundo enfrenta la perspectiva de un prolongado período de débil crecimiento económico. Pero se trata de un riesgo, no del destino. La mejor forma de evitar un resultado de ese tipo es descubrir la forma de canalizar las grandes reservas de ahorro hacia inversiones del sector público que mejoren la productividad.</w:t>
      </w:r>
    </w:p>
    <w:p w14:paraId="043A19F5" w14:textId="77777777" w:rsidR="00996F8A" w:rsidRPr="00996F8A" w:rsidRDefault="00996F8A" w:rsidP="00996F8A">
      <w:pPr>
        <w:spacing w:after="360" w:line="360" w:lineRule="auto"/>
        <w:ind w:right="-159"/>
        <w:jc w:val="both"/>
        <w:rPr>
          <w:rFonts w:eastAsia="Calibri"/>
          <w:sz w:val="26"/>
          <w:szCs w:val="26"/>
          <w:lang w:eastAsia="en-US"/>
        </w:rPr>
      </w:pPr>
      <w:r w:rsidRPr="00996F8A">
        <w:rPr>
          <w:rFonts w:eastAsia="Calibri"/>
          <w:sz w:val="26"/>
          <w:szCs w:val="26"/>
          <w:lang w:eastAsia="en-US"/>
        </w:rPr>
        <w:t>Las mejoras de la productividad son fundamentales para el crecimiento a largo plazo, ya que habitualmente se traducen en mayores ingresos que, a su vez, impulsan la demanda. Por supuesto, es un proceso que lleva tiempo (especialmente si, por ejemplo, quienes inicialmente reciben ese mayor ingreso ya tienen una elevada tasa de ahorro), pero con abundantes inversiones en las áreas adecuadas, se puede sostener el crecimiento de la productividad.</w:t>
      </w:r>
    </w:p>
    <w:p w14:paraId="44028C84" w14:textId="77777777" w:rsidR="00996F8A" w:rsidRPr="00996F8A" w:rsidRDefault="00996F8A" w:rsidP="00996F8A">
      <w:pPr>
        <w:spacing w:after="360" w:line="360" w:lineRule="auto"/>
        <w:ind w:right="-159"/>
        <w:jc w:val="both"/>
        <w:rPr>
          <w:rFonts w:eastAsia="Calibri"/>
          <w:sz w:val="26"/>
          <w:szCs w:val="26"/>
          <w:lang w:eastAsia="en-US"/>
        </w:rPr>
      </w:pPr>
      <w:r w:rsidRPr="00996F8A">
        <w:rPr>
          <w:rFonts w:eastAsia="Calibri"/>
          <w:sz w:val="26"/>
          <w:szCs w:val="26"/>
          <w:lang w:eastAsia="en-US"/>
        </w:rPr>
        <w:t>El peligro reside en las inversiones basadas en deuda que desplazan la demanda del futuro hacia el presente sin estimular el aumento de la productividad. Este enfoque inevitablemente conduce a una desaceleración del crecimiento y hasta puede dar lugar a una crisis financiera como la que recientemente hizo temblar a Estados Unidos de Norteamérica y Europa.</w:t>
      </w:r>
    </w:p>
    <w:p w14:paraId="30D58CDB" w14:textId="5237D64C" w:rsidR="00996F8A" w:rsidRPr="00996F8A" w:rsidRDefault="00996F8A" w:rsidP="00996F8A">
      <w:pPr>
        <w:spacing w:after="360" w:line="360" w:lineRule="auto"/>
        <w:ind w:right="-159"/>
        <w:jc w:val="both"/>
        <w:rPr>
          <w:rFonts w:eastAsia="Calibri"/>
          <w:sz w:val="26"/>
          <w:szCs w:val="26"/>
          <w:lang w:eastAsia="en-US"/>
        </w:rPr>
      </w:pPr>
      <w:r w:rsidRPr="00996F8A">
        <w:rPr>
          <w:rFonts w:eastAsia="Calibri"/>
          <w:sz w:val="26"/>
          <w:szCs w:val="26"/>
          <w:lang w:eastAsia="en-US"/>
        </w:rPr>
        <w:lastRenderedPageBreak/>
        <w:t xml:space="preserve">Esas crisis causan grandes </w:t>
      </w:r>
      <w:r>
        <w:rPr>
          <w:rFonts w:eastAsia="Calibri"/>
          <w:sz w:val="26"/>
          <w:szCs w:val="26"/>
          <w:lang w:eastAsia="en-US"/>
        </w:rPr>
        <w:t>choque</w:t>
      </w:r>
      <w:r w:rsidRPr="00996F8A">
        <w:rPr>
          <w:rFonts w:eastAsia="Calibri"/>
          <w:sz w:val="26"/>
          <w:szCs w:val="26"/>
          <w:lang w:eastAsia="en-US"/>
        </w:rPr>
        <w:t xml:space="preserve"> de demanda negativa cuando los excesos de deuda y las caídas de los precios de los activos perjudican los balances, que luego necesitan un aumento del ahorro para recuperarse: una combinación letal para el crecimiento. Si la crisis tiene lugar en una economía con importancia sistémica, como Estados Unidos de Norteamérica o Europa (los dos mayores mercados externos para las economías emergentes), el resultado es un déficit mundial de demanda agregada.</w:t>
      </w:r>
    </w:p>
    <w:p w14:paraId="0B896C6D" w14:textId="77777777" w:rsidR="00996F8A" w:rsidRPr="00996F8A" w:rsidRDefault="00996F8A" w:rsidP="00996F8A">
      <w:pPr>
        <w:spacing w:after="360" w:line="360" w:lineRule="auto"/>
        <w:ind w:right="-159"/>
        <w:jc w:val="both"/>
        <w:rPr>
          <w:rFonts w:eastAsia="Calibri"/>
          <w:sz w:val="26"/>
          <w:szCs w:val="26"/>
          <w:lang w:eastAsia="en-US"/>
        </w:rPr>
      </w:pPr>
      <w:r w:rsidRPr="00996F8A">
        <w:rPr>
          <w:rFonts w:eastAsia="Calibri"/>
          <w:sz w:val="26"/>
          <w:szCs w:val="26"/>
          <w:lang w:eastAsia="en-US"/>
        </w:rPr>
        <w:t>De hecho, las graves restricciones a la demanda son una característica clave del actual entorno económico mundial. Si bien Estados Unidos de Norteamérica finalmente está saliendo de un prolongado período durante el cual el producto potencial superó a la demanda, el elevado desempleo continúa reprimiendo la demanda en Europa. Una de las principales víctimas es el sector de los transables en China, donde la demanda interna aún es inadecuada para cubrir el déficit y evitar una desaceleración del crecimiento del Producto Interno Bruto (PIB).</w:t>
      </w:r>
    </w:p>
    <w:p w14:paraId="32115449" w14:textId="77777777" w:rsidR="00996F8A" w:rsidRPr="00996F8A" w:rsidRDefault="00996F8A" w:rsidP="00996F8A">
      <w:pPr>
        <w:spacing w:after="360" w:line="360" w:lineRule="auto"/>
        <w:ind w:right="-159"/>
        <w:jc w:val="both"/>
        <w:rPr>
          <w:rFonts w:eastAsia="Calibri"/>
          <w:sz w:val="26"/>
          <w:szCs w:val="26"/>
          <w:lang w:eastAsia="en-US"/>
        </w:rPr>
      </w:pPr>
      <w:r w:rsidRPr="00996F8A">
        <w:rPr>
          <w:rFonts w:eastAsia="Calibri"/>
          <w:sz w:val="26"/>
          <w:szCs w:val="26"/>
          <w:lang w:eastAsia="en-US"/>
        </w:rPr>
        <w:t>Otra tendencia notable es que las economías se están recuperando de los recientes shocks de demanda con ritmos diferentes: aquellas más flexibles y dinámicas, como las de Estados Unidos de Norteamérica y China, muestran un mejor desempeño que sus contrapartes en los mundos desarrollado y emergente. La excesiva regulación del sector de no transables en Japón ha limitado el crecimiento de su PIB durante años, mientras que las rigideces estructurales en las economías europeas impiden la adaptación a los avances tecnológicos y a las fuerzas de los mercados globales.</w:t>
      </w:r>
    </w:p>
    <w:p w14:paraId="5DDB4152" w14:textId="77777777" w:rsidR="00996F8A" w:rsidRPr="00996F8A" w:rsidRDefault="00996F8A" w:rsidP="00996F8A">
      <w:pPr>
        <w:spacing w:after="360" w:line="360" w:lineRule="auto"/>
        <w:ind w:right="-159"/>
        <w:jc w:val="both"/>
        <w:rPr>
          <w:rFonts w:eastAsia="Calibri"/>
          <w:sz w:val="26"/>
          <w:szCs w:val="26"/>
          <w:lang w:eastAsia="en-US"/>
        </w:rPr>
      </w:pPr>
      <w:r w:rsidRPr="00996F8A">
        <w:rPr>
          <w:rFonts w:eastAsia="Calibri"/>
          <w:sz w:val="26"/>
          <w:szCs w:val="26"/>
          <w:lang w:eastAsia="en-US"/>
        </w:rPr>
        <w:t>Las reformas orientadas a aumentar la flexibilidad de una economía siempre son difíciles —más aún en tiempos de escaso crecimiento—, porque requieren eliminar protecciones de los intereses creados en el corto plazo para lograr una mayor prosperidad en el largo plazo. Considerando esto, resulta fundamental encontrar maneras de impulsar la demanda para facilitar las reformas estructurales en las economías relevantes.</w:t>
      </w:r>
    </w:p>
    <w:p w14:paraId="3F65C799" w14:textId="77777777" w:rsidR="00996F8A" w:rsidRPr="00996F8A" w:rsidRDefault="00996F8A" w:rsidP="00996F8A">
      <w:pPr>
        <w:spacing w:after="360" w:line="360" w:lineRule="auto"/>
        <w:ind w:right="-159"/>
        <w:jc w:val="both"/>
        <w:rPr>
          <w:rFonts w:eastAsia="Calibri"/>
          <w:sz w:val="26"/>
          <w:szCs w:val="26"/>
          <w:lang w:eastAsia="en-US"/>
        </w:rPr>
      </w:pPr>
      <w:r w:rsidRPr="00996F8A">
        <w:rPr>
          <w:rFonts w:eastAsia="Calibri"/>
          <w:sz w:val="26"/>
          <w:szCs w:val="26"/>
          <w:lang w:eastAsia="en-US"/>
        </w:rPr>
        <w:lastRenderedPageBreak/>
        <w:t>Eso nos lleva al tercer factor detrás del anémico desempeño de la economía mundial: la infrainversión, especialmente del sector público. En Estados Unidos de Norteamérica la inversión en infraestructura se mantiene por debajo de los niveles óptimos y la inversión en la base de conocimiento y tecnología de la economía está decayendo, en parte porque la presión para mantener el liderazgo en esas áreas se ha desvanecido con el fin de la Guerra Fría. Europa, por su parte, se ve limitada por su excesiva deuda pública y sus débiles posiciones fiscales.</w:t>
      </w:r>
    </w:p>
    <w:p w14:paraId="3EA70622" w14:textId="77777777" w:rsidR="00996F8A" w:rsidRPr="00996F8A" w:rsidRDefault="00996F8A" w:rsidP="00996F8A">
      <w:pPr>
        <w:spacing w:after="360" w:line="360" w:lineRule="auto"/>
        <w:ind w:right="-159"/>
        <w:jc w:val="both"/>
        <w:rPr>
          <w:rFonts w:eastAsia="Calibri"/>
          <w:sz w:val="26"/>
          <w:szCs w:val="26"/>
          <w:lang w:eastAsia="en-US"/>
        </w:rPr>
      </w:pPr>
      <w:r w:rsidRPr="00996F8A">
        <w:rPr>
          <w:rFonts w:eastAsia="Calibri"/>
          <w:sz w:val="26"/>
          <w:szCs w:val="26"/>
          <w:lang w:eastAsia="en-US"/>
        </w:rPr>
        <w:t>En el mundo emergente, India y Brasil son apenas dos casos en que la inversión inadecuada ha mantenido al crecimiento por debajo de su potencial (aunque eso puede estar cambiando en la India). La notable excepción es China, que ha mantenido niveles elevados (tal vez a veces excesivos) de inversión pública durante el período poscrisis.</w:t>
      </w:r>
    </w:p>
    <w:p w14:paraId="28A3201E" w14:textId="77777777" w:rsidR="00996F8A" w:rsidRPr="00996F8A" w:rsidRDefault="00996F8A" w:rsidP="00996F8A">
      <w:pPr>
        <w:spacing w:after="360" w:line="360" w:lineRule="auto"/>
        <w:ind w:right="-159"/>
        <w:jc w:val="both"/>
        <w:rPr>
          <w:rFonts w:eastAsia="Calibri"/>
          <w:sz w:val="26"/>
          <w:szCs w:val="26"/>
          <w:lang w:eastAsia="en-US"/>
        </w:rPr>
      </w:pPr>
      <w:r w:rsidRPr="00996F8A">
        <w:rPr>
          <w:rFonts w:eastAsia="Calibri"/>
          <w:sz w:val="26"/>
          <w:szCs w:val="26"/>
          <w:lang w:eastAsia="en-US"/>
        </w:rPr>
        <w:t>Las inversiones públicas adecuadamente dirigidas pueden ayudar mucho a impulsar el desempeño económico: generan demanda agregada rápidamente, alimentan el crecimiento de la productividad al mejorar el capital humano, fomentan la innovación tecnológica y estimulan la inversión del sector privado al aumentar los rendimientos. Si bien la inversión pública no puede solucionar una gran brecha en la demanda de la noche a la mañana, sí puede acelerar la recuperación y establecer patrones de crecimiento más sostenibles.</w:t>
      </w:r>
    </w:p>
    <w:p w14:paraId="1513E99B" w14:textId="77777777" w:rsidR="00996F8A" w:rsidRPr="00996F8A" w:rsidRDefault="00996F8A" w:rsidP="00996F8A">
      <w:pPr>
        <w:spacing w:after="360" w:line="360" w:lineRule="auto"/>
        <w:ind w:right="-159"/>
        <w:jc w:val="both"/>
        <w:rPr>
          <w:rFonts w:eastAsia="Calibri"/>
          <w:sz w:val="26"/>
          <w:szCs w:val="26"/>
          <w:lang w:eastAsia="en-US"/>
        </w:rPr>
      </w:pPr>
      <w:r w:rsidRPr="00996F8A">
        <w:rPr>
          <w:rFonts w:eastAsia="Calibri"/>
          <w:sz w:val="26"/>
          <w:szCs w:val="26"/>
          <w:lang w:eastAsia="en-US"/>
        </w:rPr>
        <w:t>El problema es que las políticas monetarias no convencionales en algunas de las economías más importantes han creado un entorno de bajos rendimientos y dejaron a los inversores un tanto desesperados por opciones de alto rendimiento. Muchos fondos de pensión tienen patrimonios negativos, porque los rendimientos necesarios para cubrir sus pasivos de largo plazo parecen imposibles de lograr. Mientras tanto, el capital se acumula en los balances de los adinerados y en los fondos soberanos de inversión patrimonial</w:t>
      </w:r>
    </w:p>
    <w:p w14:paraId="37F59675" w14:textId="77777777" w:rsidR="00996F8A" w:rsidRPr="00996F8A" w:rsidRDefault="00996F8A" w:rsidP="00996F8A">
      <w:pPr>
        <w:spacing w:after="360" w:line="360" w:lineRule="auto"/>
        <w:ind w:right="-159"/>
        <w:jc w:val="both"/>
        <w:rPr>
          <w:rFonts w:eastAsia="Calibri"/>
          <w:sz w:val="26"/>
          <w:szCs w:val="26"/>
          <w:lang w:eastAsia="en-US"/>
        </w:rPr>
      </w:pPr>
      <w:r w:rsidRPr="00996F8A">
        <w:rPr>
          <w:rFonts w:eastAsia="Calibri"/>
          <w:sz w:val="26"/>
          <w:szCs w:val="26"/>
          <w:lang w:eastAsia="en-US"/>
        </w:rPr>
        <w:lastRenderedPageBreak/>
        <w:t>Si bien el estímulo monetario es importante para facilitar el desapalancamiento, evitar las disfunciones en el sistema financiero y mejorar la confianza de los inversores, no puede colocar a una economía en una senda de crecimiento sostenible por sí solo, algo que los funcionarios de los bancos centrales han enfatizado en reiteradas ocasiones. Las reformas estructurales, junto con una mayor inversión, también son necesarias.</w:t>
      </w:r>
    </w:p>
    <w:p w14:paraId="6399D45A" w14:textId="77777777" w:rsidR="00996F8A" w:rsidRPr="00996F8A" w:rsidRDefault="00996F8A" w:rsidP="00996F8A">
      <w:pPr>
        <w:spacing w:after="360" w:line="360" w:lineRule="auto"/>
        <w:ind w:right="-159"/>
        <w:jc w:val="both"/>
        <w:rPr>
          <w:rFonts w:eastAsia="Calibri"/>
          <w:sz w:val="26"/>
          <w:szCs w:val="26"/>
          <w:lang w:eastAsia="en-US"/>
        </w:rPr>
      </w:pPr>
      <w:r w:rsidRPr="00996F8A">
        <w:rPr>
          <w:rFonts w:eastAsia="Calibri"/>
          <w:sz w:val="26"/>
          <w:szCs w:val="26"/>
          <w:lang w:eastAsia="en-US"/>
        </w:rPr>
        <w:t>Dado el grado en que la demanda insuficiente está limitando al crecimiento, la inversión debe llegar primero. Frente a las fuertes limitaciones fiscales (y políticas), los responsables de la elaboración de las políticas deben abandonar la errónea noción de que las inversiones con amplios —y, en alguna medida no apropiables— beneficios públicos deben ser financiadas solo con fondos públicos. En lugar de ello, debe establecer canales de intermediación para el financiamiento a largo plazo.</w:t>
      </w:r>
    </w:p>
    <w:p w14:paraId="1F747656" w14:textId="77777777" w:rsidR="00996F8A" w:rsidRPr="00996F8A" w:rsidRDefault="00996F8A" w:rsidP="00996F8A">
      <w:pPr>
        <w:spacing w:after="360" w:line="360" w:lineRule="auto"/>
        <w:ind w:right="-159"/>
        <w:jc w:val="both"/>
        <w:rPr>
          <w:rFonts w:eastAsia="Calibri"/>
          <w:sz w:val="26"/>
          <w:szCs w:val="26"/>
          <w:lang w:eastAsia="en-US"/>
        </w:rPr>
      </w:pPr>
      <w:r w:rsidRPr="00996F8A">
        <w:rPr>
          <w:rFonts w:eastAsia="Calibri"/>
          <w:sz w:val="26"/>
          <w:szCs w:val="26"/>
          <w:lang w:eastAsia="en-US"/>
        </w:rPr>
        <w:t>Al mismo tiempo, este enfoque implica que los responsables de las políticas deben encontrar formas para garantizar que la inversión pública genere rentabilidad para los inversores privados. Afortunadamente, existen modelos, como los aplicados a los puertos, las carreteras y los sistemas ferroviarios, además del sistema de derechos de propiedad intelectual.</w:t>
      </w:r>
    </w:p>
    <w:p w14:paraId="51EC7B76" w14:textId="77777777" w:rsidR="00996F8A" w:rsidRPr="00996F8A" w:rsidRDefault="00996F8A" w:rsidP="00996F8A">
      <w:pPr>
        <w:spacing w:after="360" w:line="360" w:lineRule="auto"/>
        <w:ind w:right="-159"/>
        <w:jc w:val="both"/>
        <w:rPr>
          <w:rFonts w:eastAsia="Calibri"/>
          <w:sz w:val="26"/>
          <w:szCs w:val="26"/>
          <w:lang w:eastAsia="en-US"/>
        </w:rPr>
      </w:pPr>
      <w:r w:rsidRPr="00996F8A">
        <w:rPr>
          <w:rFonts w:eastAsia="Calibri"/>
          <w:sz w:val="26"/>
          <w:szCs w:val="26"/>
          <w:lang w:eastAsia="en-US"/>
        </w:rPr>
        <w:t>Esos esfuerzos no deben verse limitados por las fronteras internacionales. Dado que aproximadamente un tercio del producto de las economías avanzadas es transable —una proporción que no hará más que aumentar, ya que los avances tecnológicos permiten el intercambio de más servicios— los beneficios de un programa para canalizar ahorros hacia la inversión pública se derramarían hacia otras economías.</w:t>
      </w:r>
    </w:p>
    <w:p w14:paraId="78493CE0" w14:textId="1B490287" w:rsidR="00996F8A" w:rsidRPr="00996F8A" w:rsidRDefault="002F48E0" w:rsidP="00996F8A">
      <w:pPr>
        <w:spacing w:after="360" w:line="360" w:lineRule="auto"/>
        <w:ind w:right="-159"/>
        <w:jc w:val="both"/>
        <w:rPr>
          <w:rFonts w:eastAsia="Calibri"/>
          <w:sz w:val="26"/>
          <w:szCs w:val="26"/>
          <w:lang w:eastAsia="en-US"/>
        </w:rPr>
      </w:pPr>
      <w:r>
        <w:rPr>
          <w:rFonts w:eastAsia="Calibri"/>
          <w:sz w:val="26"/>
          <w:szCs w:val="26"/>
          <w:lang w:eastAsia="en-US"/>
        </w:rPr>
        <w:t>É</w:t>
      </w:r>
      <w:r w:rsidR="00996F8A" w:rsidRPr="00996F8A">
        <w:rPr>
          <w:rFonts w:eastAsia="Calibri"/>
          <w:sz w:val="26"/>
          <w:szCs w:val="26"/>
          <w:lang w:eastAsia="en-US"/>
        </w:rPr>
        <w:t xml:space="preserve">ste es el motivo por el cual el </w:t>
      </w:r>
      <w:r w:rsidR="002C730F">
        <w:rPr>
          <w:rFonts w:eastAsia="Calibri"/>
          <w:sz w:val="26"/>
          <w:szCs w:val="26"/>
          <w:lang w:eastAsia="en-US"/>
        </w:rPr>
        <w:t>G-20</w:t>
      </w:r>
      <w:r w:rsidR="00996F8A" w:rsidRPr="00996F8A">
        <w:rPr>
          <w:rFonts w:eastAsia="Calibri"/>
          <w:sz w:val="26"/>
          <w:szCs w:val="26"/>
          <w:lang w:eastAsia="en-US"/>
        </w:rPr>
        <w:t xml:space="preserve"> debiera fomentar la inversión pública de sus países miembros, mientras que las instituciones financieras internacionales, los bancos de desarrollo y los gobiernos nacionales debieran canalizar el capital privado hacia la inversión pública, con rentabilidades adecuadas. Con un enfoque de ese tipo, la “nueva </w:t>
      </w:r>
      <w:r w:rsidR="00996F8A" w:rsidRPr="00996F8A">
        <w:rPr>
          <w:rFonts w:eastAsia="Calibri"/>
          <w:sz w:val="26"/>
          <w:szCs w:val="26"/>
          <w:lang w:eastAsia="en-US"/>
        </w:rPr>
        <w:lastRenderedPageBreak/>
        <w:t>normalidad” de la economía podría pasar de su actual trayectoria mediocre a una de sólido crecimiento sostenible.</w:t>
      </w:r>
    </w:p>
    <w:p w14:paraId="2CB14381" w14:textId="77777777" w:rsidR="00996F8A" w:rsidRPr="00996F8A" w:rsidRDefault="00996F8A" w:rsidP="00996F8A">
      <w:pPr>
        <w:ind w:right="-159"/>
        <w:jc w:val="both"/>
        <w:rPr>
          <w:rFonts w:eastAsia="Calibri"/>
          <w:b/>
          <w:sz w:val="20"/>
          <w:szCs w:val="26"/>
          <w:lang w:eastAsia="en-US"/>
        </w:rPr>
      </w:pPr>
      <w:r w:rsidRPr="00996F8A">
        <w:rPr>
          <w:rFonts w:eastAsia="Calibri"/>
          <w:b/>
          <w:sz w:val="20"/>
          <w:szCs w:val="26"/>
          <w:lang w:eastAsia="en-US"/>
        </w:rPr>
        <w:t>Fuente de información:</w:t>
      </w:r>
    </w:p>
    <w:p w14:paraId="27777585" w14:textId="77777777" w:rsidR="00996F8A" w:rsidRPr="00660E71" w:rsidRDefault="0093224F" w:rsidP="00660E71">
      <w:pPr>
        <w:spacing w:after="720"/>
        <w:ind w:right="-159"/>
        <w:jc w:val="both"/>
        <w:rPr>
          <w:rFonts w:eastAsia="Calibri"/>
          <w:color w:val="0000FF"/>
          <w:sz w:val="20"/>
          <w:szCs w:val="20"/>
          <w:lang w:eastAsia="en-US"/>
        </w:rPr>
      </w:pPr>
      <w:hyperlink r:id="rId140" w:history="1">
        <w:r w:rsidR="00996F8A" w:rsidRPr="00660E71">
          <w:rPr>
            <w:rFonts w:eastAsia="Calibri"/>
            <w:color w:val="0000FF"/>
            <w:sz w:val="20"/>
            <w:szCs w:val="20"/>
            <w:u w:val="single"/>
            <w:lang w:eastAsia="en-US"/>
          </w:rPr>
          <w:t>http://www.project-syndicate.org/commentary/public-investment-economic-growth-by-michael-spence-2015-02/spanish</w:t>
        </w:r>
      </w:hyperlink>
      <w:r w:rsidR="00996F8A" w:rsidRPr="00660E71">
        <w:rPr>
          <w:rFonts w:eastAsia="Calibri"/>
          <w:color w:val="0000FF"/>
          <w:sz w:val="20"/>
          <w:szCs w:val="20"/>
          <w:lang w:eastAsia="en-US"/>
        </w:rPr>
        <w:t xml:space="preserve"> </w:t>
      </w:r>
    </w:p>
    <w:p w14:paraId="3E24B430" w14:textId="5160A8BB" w:rsidR="00A60DAA" w:rsidRPr="00A60DAA" w:rsidRDefault="00A60DAA" w:rsidP="00A60DAA">
      <w:pPr>
        <w:ind w:right="-159"/>
        <w:jc w:val="both"/>
        <w:rPr>
          <w:rFonts w:eastAsia="Times New Roman"/>
          <w:b/>
          <w:sz w:val="26"/>
          <w:szCs w:val="26"/>
          <w:lang w:val="es-ES"/>
        </w:rPr>
      </w:pPr>
      <w:r w:rsidRPr="00A60DAA">
        <w:rPr>
          <w:rFonts w:eastAsia="Times New Roman"/>
          <w:b/>
          <w:sz w:val="26"/>
          <w:szCs w:val="26"/>
          <w:lang w:val="es-ES"/>
        </w:rPr>
        <w:t xml:space="preserve">Indicador </w:t>
      </w:r>
      <w:r>
        <w:rPr>
          <w:rFonts w:eastAsia="Times New Roman"/>
          <w:b/>
          <w:sz w:val="26"/>
          <w:szCs w:val="26"/>
          <w:lang w:val="es-ES"/>
        </w:rPr>
        <w:t xml:space="preserve">    </w:t>
      </w:r>
      <w:r w:rsidRPr="00A60DAA">
        <w:rPr>
          <w:rFonts w:eastAsia="Times New Roman"/>
          <w:b/>
          <w:sz w:val="26"/>
          <w:szCs w:val="26"/>
          <w:lang w:val="es-ES"/>
        </w:rPr>
        <w:t xml:space="preserve">mensual </w:t>
      </w:r>
      <w:r>
        <w:rPr>
          <w:rFonts w:eastAsia="Times New Roman"/>
          <w:b/>
          <w:sz w:val="26"/>
          <w:szCs w:val="26"/>
          <w:lang w:val="es-ES"/>
        </w:rPr>
        <w:t xml:space="preserve">     </w:t>
      </w:r>
      <w:r w:rsidRPr="00A60DAA">
        <w:rPr>
          <w:rFonts w:eastAsia="Times New Roman"/>
          <w:b/>
          <w:sz w:val="26"/>
          <w:szCs w:val="26"/>
          <w:lang w:val="es-ES"/>
        </w:rPr>
        <w:t xml:space="preserve">del </w:t>
      </w:r>
      <w:r>
        <w:rPr>
          <w:rFonts w:eastAsia="Times New Roman"/>
          <w:b/>
          <w:sz w:val="26"/>
          <w:szCs w:val="26"/>
          <w:lang w:val="es-ES"/>
        </w:rPr>
        <w:t xml:space="preserve">    </w:t>
      </w:r>
      <w:r w:rsidRPr="00A60DAA">
        <w:rPr>
          <w:rFonts w:eastAsia="Times New Roman"/>
          <w:b/>
          <w:sz w:val="26"/>
          <w:szCs w:val="26"/>
          <w:lang w:val="es-ES"/>
        </w:rPr>
        <w:t>consumo</w:t>
      </w:r>
    </w:p>
    <w:p w14:paraId="21216910" w14:textId="5439557C" w:rsidR="00A60DAA" w:rsidRPr="00A60DAA" w:rsidRDefault="00A60DAA" w:rsidP="00A60DAA">
      <w:pPr>
        <w:spacing w:after="360" w:line="360" w:lineRule="auto"/>
        <w:ind w:right="-159"/>
        <w:jc w:val="both"/>
        <w:rPr>
          <w:rFonts w:eastAsia="Times New Roman"/>
          <w:b/>
          <w:sz w:val="26"/>
          <w:szCs w:val="26"/>
          <w:lang w:val="es-ES"/>
        </w:rPr>
      </w:pPr>
      <w:r>
        <w:rPr>
          <w:rFonts w:eastAsia="Times New Roman"/>
          <w:b/>
          <w:sz w:val="26"/>
          <w:szCs w:val="26"/>
          <w:lang w:val="es-ES"/>
        </w:rPr>
        <w:t xml:space="preserve">privado </w:t>
      </w:r>
      <w:r w:rsidRPr="00A60DAA">
        <w:rPr>
          <w:rFonts w:eastAsia="Times New Roman"/>
          <w:b/>
          <w:sz w:val="26"/>
          <w:szCs w:val="26"/>
          <w:lang w:val="es-ES"/>
        </w:rPr>
        <w:t>en el</w:t>
      </w:r>
      <w:r>
        <w:rPr>
          <w:rFonts w:eastAsia="Times New Roman"/>
          <w:b/>
          <w:sz w:val="26"/>
          <w:szCs w:val="26"/>
          <w:lang w:val="es-ES"/>
        </w:rPr>
        <w:t xml:space="preserve"> </w:t>
      </w:r>
      <w:r w:rsidRPr="00A60DAA">
        <w:rPr>
          <w:rFonts w:eastAsia="Times New Roman"/>
          <w:b/>
          <w:sz w:val="26"/>
          <w:szCs w:val="26"/>
          <w:lang w:val="es-ES"/>
        </w:rPr>
        <w:t>mercado interior (INEGI)</w:t>
      </w:r>
    </w:p>
    <w:p w14:paraId="19C84A34" w14:textId="12F7C544" w:rsidR="00A60DAA" w:rsidRPr="00A60DAA" w:rsidRDefault="00A60DAA" w:rsidP="00A60DAA">
      <w:pPr>
        <w:spacing w:after="360" w:line="360" w:lineRule="auto"/>
        <w:ind w:right="-159"/>
        <w:jc w:val="both"/>
        <w:rPr>
          <w:rFonts w:eastAsia="Times New Roman"/>
          <w:sz w:val="26"/>
          <w:szCs w:val="26"/>
        </w:rPr>
      </w:pPr>
      <w:r w:rsidRPr="00A60DAA">
        <w:rPr>
          <w:rFonts w:eastAsia="Times New Roman"/>
          <w:sz w:val="26"/>
          <w:szCs w:val="26"/>
        </w:rPr>
        <w:t xml:space="preserve">El </w:t>
      </w:r>
      <w:r w:rsidRPr="00A60DAA">
        <w:rPr>
          <w:rFonts w:eastAsia="Times New Roman"/>
          <w:bCs/>
          <w:sz w:val="26"/>
          <w:szCs w:val="26"/>
        </w:rPr>
        <w:t xml:space="preserve">4 de marzo de 2015, el Instituto Nacional de Estadística y Geografía (INEGI) publicó </w:t>
      </w:r>
      <w:r w:rsidRPr="00A60DAA">
        <w:rPr>
          <w:rFonts w:eastAsia="Times New Roman"/>
          <w:bCs/>
          <w:iCs/>
          <w:sz w:val="26"/>
          <w:szCs w:val="26"/>
        </w:rPr>
        <w:t>cifras desestacionalizadas</w:t>
      </w:r>
      <w:r w:rsidRPr="00A60DAA">
        <w:rPr>
          <w:rFonts w:eastAsia="Times New Roman"/>
          <w:bCs/>
          <w:sz w:val="26"/>
          <w:szCs w:val="26"/>
        </w:rPr>
        <w:t xml:space="preserve"> del Indicador mensual del consumo privado en el mercado interior</w:t>
      </w:r>
      <w:r w:rsidRPr="00A60DAA">
        <w:rPr>
          <w:rFonts w:eastAsia="Times New Roman"/>
          <w:sz w:val="26"/>
          <w:szCs w:val="26"/>
          <w:vertAlign w:val="superscript"/>
          <w:lang w:val="es-ES"/>
        </w:rPr>
        <w:footnoteReference w:id="20"/>
      </w:r>
      <w:r w:rsidRPr="00A60DAA">
        <w:rPr>
          <w:rFonts w:eastAsia="Times New Roman"/>
          <w:bCs/>
          <w:sz w:val="26"/>
          <w:szCs w:val="26"/>
        </w:rPr>
        <w:t xml:space="preserve"> durante diciembre de 2014. </w:t>
      </w:r>
      <w:r w:rsidR="007721AA">
        <w:rPr>
          <w:rFonts w:eastAsia="Times New Roman"/>
          <w:bCs/>
          <w:sz w:val="26"/>
          <w:szCs w:val="26"/>
        </w:rPr>
        <w:t>A continuación se presenta la información.</w:t>
      </w:r>
    </w:p>
    <w:p w14:paraId="33D379FE" w14:textId="706DE443" w:rsidR="00A60DAA" w:rsidRPr="00A60DAA" w:rsidRDefault="00A60DAA" w:rsidP="00276F3E">
      <w:pPr>
        <w:numPr>
          <w:ilvl w:val="0"/>
          <w:numId w:val="54"/>
        </w:numPr>
        <w:spacing w:after="360" w:line="360" w:lineRule="auto"/>
        <w:ind w:left="714" w:right="-159" w:hanging="357"/>
        <w:jc w:val="both"/>
        <w:rPr>
          <w:rFonts w:eastAsia="Times New Roman"/>
          <w:sz w:val="26"/>
          <w:szCs w:val="26"/>
          <w:lang w:val="es-ES"/>
        </w:rPr>
      </w:pPr>
      <w:r w:rsidRPr="00A60DAA">
        <w:rPr>
          <w:rFonts w:eastAsia="Times New Roman"/>
          <w:sz w:val="26"/>
          <w:szCs w:val="26"/>
          <w:lang w:val="es-ES"/>
        </w:rPr>
        <w:t>El Indicador mensual del consumo privado en el mercado interior (IMCPMI) disminuyó 0.5% durante diciembre de 2014 frente al mes inmediato anterior, con cifras desestacionalizadas</w:t>
      </w:r>
      <w:r w:rsidRPr="00A60DAA">
        <w:rPr>
          <w:rFonts w:eastAsia="Times New Roman"/>
          <w:sz w:val="26"/>
          <w:szCs w:val="26"/>
          <w:vertAlign w:val="superscript"/>
          <w:lang w:val="es-ES"/>
        </w:rPr>
        <w:footnoteReference w:id="21"/>
      </w:r>
      <w:r w:rsidR="0051422E">
        <w:rPr>
          <w:rFonts w:eastAsia="Times New Roman"/>
          <w:sz w:val="26"/>
          <w:szCs w:val="26"/>
          <w:lang w:val="es-ES"/>
        </w:rPr>
        <w:t>.</w:t>
      </w:r>
    </w:p>
    <w:p w14:paraId="52FBDB97" w14:textId="04501854" w:rsidR="00A60DAA" w:rsidRPr="00A60DAA" w:rsidRDefault="00A60DAA" w:rsidP="00276F3E">
      <w:pPr>
        <w:numPr>
          <w:ilvl w:val="0"/>
          <w:numId w:val="54"/>
        </w:numPr>
        <w:spacing w:after="360" w:line="360" w:lineRule="auto"/>
        <w:ind w:left="714" w:right="-159" w:hanging="357"/>
        <w:jc w:val="both"/>
        <w:rPr>
          <w:rFonts w:eastAsia="Times New Roman"/>
          <w:sz w:val="26"/>
          <w:szCs w:val="26"/>
          <w:lang w:val="es-ES"/>
        </w:rPr>
      </w:pPr>
      <w:r w:rsidRPr="00A60DAA">
        <w:rPr>
          <w:rFonts w:eastAsia="Times New Roman"/>
          <w:sz w:val="26"/>
          <w:szCs w:val="26"/>
          <w:lang w:val="es-ES"/>
        </w:rPr>
        <w:t>Por componentes, el consumo de Bienes de origen importado fue inferior en 1.9% y el consumo de Bienes y Servicios de origen nacional en 0.5% en el último mes de 2014 respecto al mes precedente, según datos ajustados por estacionalidad.</w:t>
      </w:r>
    </w:p>
    <w:p w14:paraId="2324134A" w14:textId="2CE9A8F4" w:rsidR="00A60DAA" w:rsidRPr="00A60DAA" w:rsidRDefault="00A60DAA" w:rsidP="00276F3E">
      <w:pPr>
        <w:numPr>
          <w:ilvl w:val="0"/>
          <w:numId w:val="54"/>
        </w:numPr>
        <w:spacing w:after="360" w:line="360" w:lineRule="auto"/>
        <w:ind w:left="714" w:right="-159" w:hanging="357"/>
        <w:jc w:val="both"/>
        <w:rPr>
          <w:rFonts w:eastAsia="Times New Roman"/>
          <w:sz w:val="26"/>
          <w:szCs w:val="26"/>
          <w:lang w:val="es-ES"/>
        </w:rPr>
      </w:pPr>
      <w:r w:rsidRPr="00A60DAA">
        <w:rPr>
          <w:rFonts w:eastAsia="Times New Roman"/>
          <w:sz w:val="26"/>
          <w:szCs w:val="26"/>
          <w:lang w:val="es-ES"/>
        </w:rPr>
        <w:t>En su comparación anual</w:t>
      </w:r>
      <w:r w:rsidRPr="00A60DAA">
        <w:rPr>
          <w:rFonts w:eastAsia="Times New Roman"/>
          <w:sz w:val="26"/>
          <w:szCs w:val="26"/>
          <w:vertAlign w:val="superscript"/>
          <w:lang w:val="es-ES"/>
        </w:rPr>
        <w:footnoteReference w:id="22"/>
      </w:r>
      <w:r w:rsidR="002F48E0">
        <w:rPr>
          <w:rFonts w:eastAsia="Times New Roman"/>
          <w:sz w:val="26"/>
          <w:szCs w:val="26"/>
          <w:lang w:val="es-ES"/>
        </w:rPr>
        <w:t>,</w:t>
      </w:r>
      <w:r w:rsidRPr="00A60DAA">
        <w:rPr>
          <w:rFonts w:eastAsia="Times New Roman"/>
          <w:sz w:val="26"/>
          <w:szCs w:val="26"/>
          <w:lang w:val="es-ES"/>
        </w:rPr>
        <w:t xml:space="preserve"> el IMCPMI avanzó 2.1% en términos reales en el mes en cuestión. A su interior, los gastos en Bienes y Servicios de origen nacional crecieron 2.3% (los de Bienes fueron mayores en 3.4% y los de </w:t>
      </w:r>
      <w:r w:rsidRPr="00A60DAA">
        <w:rPr>
          <w:rFonts w:eastAsia="Times New Roman"/>
          <w:sz w:val="26"/>
          <w:szCs w:val="26"/>
          <w:lang w:val="es-ES"/>
        </w:rPr>
        <w:lastRenderedPageBreak/>
        <w:t>Servicios en 1.2%) y los gastos en Bienes importados se incrementaron 0.3 por ciento.</w:t>
      </w:r>
    </w:p>
    <w:tbl>
      <w:tblPr>
        <w:tblW w:w="0" w:type="auto"/>
        <w:jc w:val="center"/>
        <w:tblLayout w:type="fixed"/>
        <w:tblCellMar>
          <w:left w:w="107" w:type="dxa"/>
          <w:right w:w="107" w:type="dxa"/>
        </w:tblCellMar>
        <w:tblLook w:val="0000" w:firstRow="0" w:lastRow="0" w:firstColumn="0" w:lastColumn="0" w:noHBand="0" w:noVBand="0"/>
      </w:tblPr>
      <w:tblGrid>
        <w:gridCol w:w="2694"/>
        <w:gridCol w:w="2111"/>
        <w:gridCol w:w="2141"/>
      </w:tblGrid>
      <w:tr w:rsidR="00A60DAA" w:rsidRPr="00A60DAA" w14:paraId="0B37F37F" w14:textId="77777777" w:rsidTr="007721AA">
        <w:trPr>
          <w:cantSplit/>
          <w:trHeight w:val="558"/>
          <w:jc w:val="center"/>
        </w:trPr>
        <w:tc>
          <w:tcPr>
            <w:tcW w:w="6946" w:type="dxa"/>
            <w:gridSpan w:val="3"/>
            <w:tcBorders>
              <w:bottom w:val="single" w:sz="2" w:space="0" w:color="auto"/>
            </w:tcBorders>
            <w:shd w:val="clear" w:color="auto" w:fill="auto"/>
            <w:vAlign w:val="center"/>
          </w:tcPr>
          <w:p w14:paraId="58F51AD1" w14:textId="77777777" w:rsidR="00A60DAA" w:rsidRPr="00A60DAA" w:rsidRDefault="00A60DAA" w:rsidP="007721AA">
            <w:pPr>
              <w:widowControl w:val="0"/>
              <w:jc w:val="center"/>
              <w:rPr>
                <w:rFonts w:eastAsia="Times New Roman"/>
                <w:b/>
                <w:smallCaps/>
                <w:sz w:val="22"/>
                <w:szCs w:val="22"/>
              </w:rPr>
            </w:pPr>
            <w:r w:rsidRPr="00A60DAA">
              <w:rPr>
                <w:rFonts w:eastAsia="Times New Roman"/>
                <w:b/>
                <w:smallCaps/>
                <w:sz w:val="22"/>
                <w:szCs w:val="22"/>
              </w:rPr>
              <w:t>INDICADOR MENSUAL DEL CONSUMO PRIVADO EN EL MERCADO INTERIOR A DICIEMBRE DE 2014</w:t>
            </w:r>
          </w:p>
          <w:p w14:paraId="3DB95D2A" w14:textId="46578F67" w:rsidR="00A60DAA" w:rsidRPr="00A60DAA" w:rsidRDefault="00A60DAA" w:rsidP="007721AA">
            <w:pPr>
              <w:widowControl w:val="0"/>
              <w:jc w:val="center"/>
              <w:rPr>
                <w:rFonts w:eastAsia="Times New Roman"/>
                <w:sz w:val="22"/>
                <w:szCs w:val="22"/>
              </w:rPr>
            </w:pPr>
            <w:r w:rsidRPr="00A60DAA">
              <w:rPr>
                <w:rFonts w:eastAsia="Times New Roman"/>
                <w:b/>
                <w:smallCaps/>
                <w:sz w:val="22"/>
                <w:szCs w:val="22"/>
              </w:rPr>
              <w:t>-</w:t>
            </w:r>
            <w:r w:rsidRPr="00A60DAA">
              <w:rPr>
                <w:rFonts w:ascii="Arial" w:eastAsia="Times New Roman" w:hAnsi="Arial"/>
                <w:szCs w:val="20"/>
              </w:rPr>
              <w:t xml:space="preserve"> </w:t>
            </w:r>
            <w:r w:rsidRPr="00A60DAA">
              <w:rPr>
                <w:rFonts w:eastAsia="Times New Roman"/>
                <w:b/>
                <w:sz w:val="22"/>
                <w:szCs w:val="22"/>
              </w:rPr>
              <w:t>Cifras desestacionalizadas por componente-</w:t>
            </w:r>
          </w:p>
        </w:tc>
      </w:tr>
      <w:tr w:rsidR="00A60DAA" w:rsidRPr="00A60DAA" w14:paraId="4EA9328C" w14:textId="77777777" w:rsidTr="007721AA">
        <w:trPr>
          <w:cantSplit/>
          <w:trHeight w:val="20"/>
          <w:jc w:val="center"/>
        </w:trPr>
        <w:tc>
          <w:tcPr>
            <w:tcW w:w="2694" w:type="dxa"/>
            <w:tcBorders>
              <w:top w:val="single" w:sz="2" w:space="0" w:color="auto"/>
              <w:left w:val="single" w:sz="2" w:space="0" w:color="auto"/>
              <w:bottom w:val="single" w:sz="2" w:space="0" w:color="auto"/>
              <w:right w:val="single" w:sz="2" w:space="0" w:color="auto"/>
            </w:tcBorders>
            <w:shd w:val="clear" w:color="auto" w:fill="auto"/>
            <w:vAlign w:val="center"/>
          </w:tcPr>
          <w:p w14:paraId="7C84FD70" w14:textId="77777777" w:rsidR="00A60DAA" w:rsidRPr="00A60DAA" w:rsidRDefault="00A60DAA" w:rsidP="007721AA">
            <w:pPr>
              <w:widowControl w:val="0"/>
              <w:tabs>
                <w:tab w:val="left" w:pos="546"/>
              </w:tabs>
              <w:jc w:val="center"/>
              <w:rPr>
                <w:rFonts w:eastAsia="Times New Roman"/>
                <w:b/>
                <w:sz w:val="20"/>
                <w:szCs w:val="20"/>
              </w:rPr>
            </w:pPr>
            <w:r w:rsidRPr="00A60DAA">
              <w:rPr>
                <w:rFonts w:eastAsia="Times New Roman"/>
                <w:b/>
                <w:sz w:val="20"/>
                <w:szCs w:val="20"/>
              </w:rPr>
              <w:t>Concepto</w:t>
            </w:r>
          </w:p>
        </w:tc>
        <w:tc>
          <w:tcPr>
            <w:tcW w:w="2111" w:type="dxa"/>
            <w:tcBorders>
              <w:top w:val="single" w:sz="2" w:space="0" w:color="auto"/>
              <w:left w:val="single" w:sz="2" w:space="0" w:color="auto"/>
              <w:bottom w:val="single" w:sz="2" w:space="0" w:color="auto"/>
              <w:right w:val="single" w:sz="2" w:space="0" w:color="auto"/>
            </w:tcBorders>
            <w:shd w:val="clear" w:color="auto" w:fill="auto"/>
          </w:tcPr>
          <w:p w14:paraId="14FBBBA2" w14:textId="77777777" w:rsidR="00A60DAA" w:rsidRPr="00A60DAA" w:rsidRDefault="00A60DAA" w:rsidP="007721AA">
            <w:pPr>
              <w:keepNext/>
              <w:widowControl w:val="0"/>
              <w:jc w:val="center"/>
              <w:rPr>
                <w:rFonts w:eastAsia="Times New Roman"/>
                <w:b/>
                <w:sz w:val="20"/>
                <w:szCs w:val="20"/>
              </w:rPr>
            </w:pPr>
            <w:r w:rsidRPr="00A60DAA">
              <w:rPr>
                <w:rFonts w:eastAsia="Times New Roman"/>
                <w:b/>
                <w:sz w:val="20"/>
                <w:szCs w:val="20"/>
              </w:rPr>
              <w:t>Variación % respecto al mes previo</w:t>
            </w:r>
          </w:p>
        </w:tc>
        <w:tc>
          <w:tcPr>
            <w:tcW w:w="2141" w:type="dxa"/>
            <w:tcBorders>
              <w:top w:val="single" w:sz="2" w:space="0" w:color="auto"/>
              <w:left w:val="single" w:sz="2" w:space="0" w:color="auto"/>
              <w:bottom w:val="single" w:sz="2" w:space="0" w:color="auto"/>
              <w:right w:val="single" w:sz="2" w:space="0" w:color="auto"/>
            </w:tcBorders>
            <w:shd w:val="clear" w:color="auto" w:fill="auto"/>
          </w:tcPr>
          <w:p w14:paraId="1859F8C4" w14:textId="77777777" w:rsidR="00A60DAA" w:rsidRPr="00A60DAA" w:rsidRDefault="00A60DAA" w:rsidP="007721AA">
            <w:pPr>
              <w:keepNext/>
              <w:widowControl w:val="0"/>
              <w:jc w:val="center"/>
              <w:rPr>
                <w:rFonts w:eastAsia="Times New Roman"/>
                <w:b/>
                <w:sz w:val="20"/>
                <w:szCs w:val="20"/>
              </w:rPr>
            </w:pPr>
            <w:r w:rsidRPr="00A60DAA">
              <w:rPr>
                <w:rFonts w:eastAsia="Times New Roman"/>
                <w:b/>
                <w:sz w:val="20"/>
                <w:szCs w:val="20"/>
              </w:rPr>
              <w:t>Variación % respecto a igual mes de 2013</w:t>
            </w:r>
          </w:p>
        </w:tc>
      </w:tr>
      <w:tr w:rsidR="00A60DAA" w:rsidRPr="00A60DAA" w14:paraId="1D547E93" w14:textId="77777777" w:rsidTr="007721AA">
        <w:trPr>
          <w:cantSplit/>
          <w:trHeight w:val="20"/>
          <w:jc w:val="center"/>
        </w:trPr>
        <w:tc>
          <w:tcPr>
            <w:tcW w:w="2694" w:type="dxa"/>
            <w:tcBorders>
              <w:top w:val="single" w:sz="2" w:space="0" w:color="auto"/>
              <w:left w:val="single" w:sz="2" w:space="0" w:color="auto"/>
              <w:right w:val="single" w:sz="2" w:space="0" w:color="auto"/>
            </w:tcBorders>
            <w:shd w:val="clear" w:color="auto" w:fill="auto"/>
          </w:tcPr>
          <w:p w14:paraId="4C04F94E" w14:textId="77777777" w:rsidR="00A60DAA" w:rsidRPr="00A60DAA" w:rsidRDefault="00A60DAA" w:rsidP="007721AA">
            <w:pPr>
              <w:widowControl w:val="0"/>
              <w:jc w:val="both"/>
              <w:rPr>
                <w:rFonts w:eastAsia="Times New Roman"/>
                <w:b/>
                <w:sz w:val="20"/>
                <w:szCs w:val="20"/>
              </w:rPr>
            </w:pPr>
            <w:r w:rsidRPr="00A60DAA">
              <w:rPr>
                <w:rFonts w:eastAsia="Times New Roman"/>
                <w:sz w:val="20"/>
                <w:szCs w:val="20"/>
              </w:rPr>
              <w:br w:type="page"/>
            </w:r>
            <w:r w:rsidRPr="00A60DAA">
              <w:rPr>
                <w:rFonts w:eastAsia="Times New Roman"/>
                <w:b/>
                <w:sz w:val="20"/>
                <w:szCs w:val="20"/>
              </w:rPr>
              <w:t>Total</w:t>
            </w:r>
          </w:p>
        </w:tc>
        <w:tc>
          <w:tcPr>
            <w:tcW w:w="2111" w:type="dxa"/>
            <w:tcBorders>
              <w:top w:val="single" w:sz="2" w:space="0" w:color="auto"/>
              <w:left w:val="single" w:sz="2" w:space="0" w:color="auto"/>
              <w:right w:val="single" w:sz="2" w:space="0" w:color="auto"/>
            </w:tcBorders>
            <w:shd w:val="clear" w:color="auto" w:fill="auto"/>
          </w:tcPr>
          <w:p w14:paraId="75DCF402" w14:textId="03DBF261" w:rsidR="00A60DAA" w:rsidRPr="00A60DAA" w:rsidRDefault="00A60DAA" w:rsidP="009775BF">
            <w:pPr>
              <w:tabs>
                <w:tab w:val="left" w:pos="307"/>
                <w:tab w:val="decimal" w:pos="881"/>
              </w:tabs>
              <w:ind w:right="794"/>
              <w:jc w:val="right"/>
              <w:rPr>
                <w:rFonts w:eastAsia="Calibri"/>
                <w:b/>
                <w:sz w:val="20"/>
                <w:szCs w:val="20"/>
                <w:lang w:eastAsia="en-US"/>
              </w:rPr>
            </w:pPr>
            <w:r w:rsidRPr="00A60DAA">
              <w:rPr>
                <w:rFonts w:eastAsia="Calibri"/>
                <w:b/>
                <w:sz w:val="20"/>
                <w:szCs w:val="20"/>
                <w:lang w:eastAsia="en-US"/>
              </w:rPr>
              <w:t>-0.5</w:t>
            </w:r>
          </w:p>
        </w:tc>
        <w:tc>
          <w:tcPr>
            <w:tcW w:w="2141" w:type="dxa"/>
            <w:tcBorders>
              <w:top w:val="single" w:sz="2" w:space="0" w:color="auto"/>
              <w:left w:val="single" w:sz="2" w:space="0" w:color="auto"/>
              <w:right w:val="single" w:sz="2" w:space="0" w:color="auto"/>
            </w:tcBorders>
            <w:shd w:val="clear" w:color="auto" w:fill="auto"/>
          </w:tcPr>
          <w:p w14:paraId="3889E64A" w14:textId="77777777" w:rsidR="00A60DAA" w:rsidRPr="00A60DAA" w:rsidRDefault="00A60DAA" w:rsidP="009775BF">
            <w:pPr>
              <w:tabs>
                <w:tab w:val="left" w:pos="307"/>
                <w:tab w:val="decimal" w:pos="881"/>
              </w:tabs>
              <w:ind w:right="794"/>
              <w:jc w:val="right"/>
              <w:rPr>
                <w:rFonts w:eastAsia="Calibri"/>
                <w:b/>
                <w:sz w:val="20"/>
                <w:szCs w:val="20"/>
                <w:lang w:eastAsia="en-US"/>
              </w:rPr>
            </w:pPr>
            <w:r w:rsidRPr="00A60DAA">
              <w:rPr>
                <w:rFonts w:eastAsia="Calibri"/>
                <w:b/>
                <w:sz w:val="20"/>
                <w:szCs w:val="20"/>
                <w:lang w:eastAsia="en-US"/>
              </w:rPr>
              <w:t>2.1</w:t>
            </w:r>
          </w:p>
        </w:tc>
      </w:tr>
      <w:tr w:rsidR="00A60DAA" w:rsidRPr="00A60DAA" w14:paraId="0FAA8400" w14:textId="77777777" w:rsidTr="007721AA">
        <w:trPr>
          <w:cantSplit/>
          <w:trHeight w:val="20"/>
          <w:jc w:val="center"/>
        </w:trPr>
        <w:tc>
          <w:tcPr>
            <w:tcW w:w="2694" w:type="dxa"/>
            <w:tcBorders>
              <w:left w:val="single" w:sz="2" w:space="0" w:color="auto"/>
              <w:right w:val="single" w:sz="2" w:space="0" w:color="auto"/>
            </w:tcBorders>
            <w:shd w:val="clear" w:color="auto" w:fill="auto"/>
          </w:tcPr>
          <w:p w14:paraId="4D889123" w14:textId="77777777" w:rsidR="00A60DAA" w:rsidRPr="00A60DAA" w:rsidRDefault="00A60DAA" w:rsidP="007721AA">
            <w:pPr>
              <w:widowControl w:val="0"/>
              <w:jc w:val="both"/>
              <w:rPr>
                <w:rFonts w:eastAsia="Times New Roman"/>
                <w:b/>
                <w:sz w:val="20"/>
                <w:szCs w:val="20"/>
              </w:rPr>
            </w:pPr>
            <w:r w:rsidRPr="00A60DAA">
              <w:rPr>
                <w:rFonts w:eastAsia="Times New Roman"/>
                <w:b/>
                <w:sz w:val="20"/>
                <w:szCs w:val="20"/>
              </w:rPr>
              <w:t>Nacional</w:t>
            </w:r>
          </w:p>
        </w:tc>
        <w:tc>
          <w:tcPr>
            <w:tcW w:w="2111" w:type="dxa"/>
            <w:tcBorders>
              <w:left w:val="single" w:sz="2" w:space="0" w:color="auto"/>
              <w:right w:val="single" w:sz="2" w:space="0" w:color="auto"/>
            </w:tcBorders>
            <w:shd w:val="clear" w:color="auto" w:fill="auto"/>
          </w:tcPr>
          <w:p w14:paraId="0B34CD5A" w14:textId="2DA090B3" w:rsidR="00A60DAA" w:rsidRPr="00A60DAA" w:rsidRDefault="00A60DAA" w:rsidP="009775BF">
            <w:pPr>
              <w:tabs>
                <w:tab w:val="left" w:pos="307"/>
              </w:tabs>
              <w:ind w:right="794"/>
              <w:jc w:val="right"/>
              <w:rPr>
                <w:rFonts w:eastAsia="Calibri"/>
                <w:b/>
                <w:sz w:val="20"/>
                <w:szCs w:val="20"/>
                <w:lang w:eastAsia="en-US"/>
              </w:rPr>
            </w:pPr>
            <w:r w:rsidRPr="00A60DAA">
              <w:rPr>
                <w:rFonts w:eastAsia="Calibri"/>
                <w:b/>
                <w:sz w:val="20"/>
                <w:szCs w:val="20"/>
                <w:lang w:eastAsia="en-US"/>
              </w:rPr>
              <w:t>-0.5</w:t>
            </w:r>
          </w:p>
        </w:tc>
        <w:tc>
          <w:tcPr>
            <w:tcW w:w="2141" w:type="dxa"/>
            <w:tcBorders>
              <w:left w:val="single" w:sz="2" w:space="0" w:color="auto"/>
              <w:right w:val="single" w:sz="2" w:space="0" w:color="auto"/>
            </w:tcBorders>
            <w:shd w:val="clear" w:color="auto" w:fill="auto"/>
          </w:tcPr>
          <w:p w14:paraId="03B69CD0" w14:textId="77777777" w:rsidR="00A60DAA" w:rsidRPr="00A60DAA" w:rsidRDefault="00A60DAA" w:rsidP="009775BF">
            <w:pPr>
              <w:tabs>
                <w:tab w:val="left" w:pos="307"/>
                <w:tab w:val="decimal" w:pos="881"/>
              </w:tabs>
              <w:ind w:right="794"/>
              <w:jc w:val="right"/>
              <w:rPr>
                <w:rFonts w:eastAsia="Calibri"/>
                <w:b/>
                <w:sz w:val="20"/>
                <w:szCs w:val="20"/>
                <w:lang w:eastAsia="en-US"/>
              </w:rPr>
            </w:pPr>
            <w:r w:rsidRPr="00A60DAA">
              <w:rPr>
                <w:rFonts w:eastAsia="Calibri"/>
                <w:b/>
                <w:sz w:val="20"/>
                <w:szCs w:val="20"/>
                <w:lang w:eastAsia="en-US"/>
              </w:rPr>
              <w:t>2.3</w:t>
            </w:r>
          </w:p>
        </w:tc>
      </w:tr>
      <w:tr w:rsidR="00A60DAA" w:rsidRPr="00A60DAA" w14:paraId="6FB1C353" w14:textId="77777777" w:rsidTr="007721AA">
        <w:trPr>
          <w:cantSplit/>
          <w:trHeight w:val="20"/>
          <w:jc w:val="center"/>
        </w:trPr>
        <w:tc>
          <w:tcPr>
            <w:tcW w:w="2694" w:type="dxa"/>
            <w:tcBorders>
              <w:left w:val="single" w:sz="2" w:space="0" w:color="auto"/>
              <w:right w:val="single" w:sz="2" w:space="0" w:color="auto"/>
            </w:tcBorders>
            <w:shd w:val="clear" w:color="auto" w:fill="auto"/>
          </w:tcPr>
          <w:p w14:paraId="1B969C77" w14:textId="77777777" w:rsidR="00A60DAA" w:rsidRPr="00A60DAA" w:rsidRDefault="00A60DAA" w:rsidP="00276F3E">
            <w:pPr>
              <w:widowControl w:val="0"/>
              <w:numPr>
                <w:ilvl w:val="0"/>
                <w:numId w:val="55"/>
              </w:numPr>
              <w:ind w:left="454" w:hanging="284"/>
              <w:jc w:val="both"/>
              <w:rPr>
                <w:rFonts w:eastAsia="Times New Roman"/>
                <w:sz w:val="20"/>
                <w:szCs w:val="20"/>
              </w:rPr>
            </w:pPr>
            <w:r w:rsidRPr="00A60DAA">
              <w:rPr>
                <w:rFonts w:eastAsia="Times New Roman"/>
                <w:sz w:val="20"/>
                <w:szCs w:val="20"/>
              </w:rPr>
              <w:t>Bienes</w:t>
            </w:r>
          </w:p>
        </w:tc>
        <w:tc>
          <w:tcPr>
            <w:tcW w:w="2111" w:type="dxa"/>
            <w:tcBorders>
              <w:left w:val="single" w:sz="2" w:space="0" w:color="auto"/>
              <w:right w:val="single" w:sz="2" w:space="0" w:color="auto"/>
            </w:tcBorders>
            <w:shd w:val="clear" w:color="auto" w:fill="auto"/>
          </w:tcPr>
          <w:p w14:paraId="7BFD3800" w14:textId="7257CEAC" w:rsidR="00A60DAA" w:rsidRPr="00A60DAA" w:rsidRDefault="00A60DAA" w:rsidP="009775BF">
            <w:pPr>
              <w:tabs>
                <w:tab w:val="left" w:pos="307"/>
              </w:tabs>
              <w:ind w:right="794"/>
              <w:jc w:val="right"/>
              <w:rPr>
                <w:rFonts w:eastAsia="Calibri"/>
                <w:sz w:val="20"/>
                <w:szCs w:val="20"/>
                <w:lang w:eastAsia="en-US"/>
              </w:rPr>
            </w:pPr>
            <w:r w:rsidRPr="00A60DAA">
              <w:rPr>
                <w:rFonts w:eastAsia="Calibri"/>
                <w:sz w:val="20"/>
                <w:szCs w:val="20"/>
                <w:lang w:eastAsia="en-US"/>
              </w:rPr>
              <w:t>-0.7</w:t>
            </w:r>
          </w:p>
        </w:tc>
        <w:tc>
          <w:tcPr>
            <w:tcW w:w="2141" w:type="dxa"/>
            <w:tcBorders>
              <w:left w:val="single" w:sz="2" w:space="0" w:color="auto"/>
              <w:right w:val="single" w:sz="2" w:space="0" w:color="auto"/>
            </w:tcBorders>
            <w:shd w:val="clear" w:color="auto" w:fill="auto"/>
          </w:tcPr>
          <w:p w14:paraId="3C5A4FBC" w14:textId="77777777" w:rsidR="00A60DAA" w:rsidRPr="00A60DAA" w:rsidRDefault="00A60DAA" w:rsidP="009775BF">
            <w:pPr>
              <w:tabs>
                <w:tab w:val="left" w:pos="307"/>
                <w:tab w:val="decimal" w:pos="881"/>
              </w:tabs>
              <w:ind w:right="794"/>
              <w:jc w:val="right"/>
              <w:rPr>
                <w:rFonts w:eastAsia="Calibri"/>
                <w:sz w:val="20"/>
                <w:szCs w:val="20"/>
                <w:lang w:eastAsia="en-US"/>
              </w:rPr>
            </w:pPr>
            <w:r w:rsidRPr="00A60DAA">
              <w:rPr>
                <w:rFonts w:eastAsia="Calibri"/>
                <w:sz w:val="20"/>
                <w:szCs w:val="20"/>
                <w:lang w:eastAsia="en-US"/>
              </w:rPr>
              <w:t>3.4</w:t>
            </w:r>
          </w:p>
        </w:tc>
      </w:tr>
      <w:tr w:rsidR="00A60DAA" w:rsidRPr="00A60DAA" w14:paraId="31C8C73D" w14:textId="77777777" w:rsidTr="007721AA">
        <w:trPr>
          <w:cantSplit/>
          <w:trHeight w:val="20"/>
          <w:jc w:val="center"/>
        </w:trPr>
        <w:tc>
          <w:tcPr>
            <w:tcW w:w="2694" w:type="dxa"/>
            <w:tcBorders>
              <w:left w:val="single" w:sz="2" w:space="0" w:color="auto"/>
              <w:right w:val="single" w:sz="2" w:space="0" w:color="auto"/>
            </w:tcBorders>
            <w:shd w:val="clear" w:color="auto" w:fill="auto"/>
          </w:tcPr>
          <w:p w14:paraId="119F33CD" w14:textId="77777777" w:rsidR="00A60DAA" w:rsidRPr="00A60DAA" w:rsidRDefault="00A60DAA" w:rsidP="00276F3E">
            <w:pPr>
              <w:widowControl w:val="0"/>
              <w:numPr>
                <w:ilvl w:val="0"/>
                <w:numId w:val="55"/>
              </w:numPr>
              <w:ind w:left="454" w:hanging="284"/>
              <w:jc w:val="both"/>
              <w:rPr>
                <w:rFonts w:eastAsia="Times New Roman"/>
                <w:sz w:val="20"/>
                <w:szCs w:val="20"/>
              </w:rPr>
            </w:pPr>
            <w:r w:rsidRPr="00A60DAA">
              <w:rPr>
                <w:rFonts w:eastAsia="Times New Roman"/>
                <w:sz w:val="20"/>
                <w:szCs w:val="20"/>
              </w:rPr>
              <w:t>Servicios</w:t>
            </w:r>
          </w:p>
        </w:tc>
        <w:tc>
          <w:tcPr>
            <w:tcW w:w="2111" w:type="dxa"/>
            <w:tcBorders>
              <w:left w:val="single" w:sz="2" w:space="0" w:color="auto"/>
              <w:right w:val="single" w:sz="2" w:space="0" w:color="auto"/>
            </w:tcBorders>
            <w:shd w:val="clear" w:color="auto" w:fill="auto"/>
          </w:tcPr>
          <w:p w14:paraId="239301A3" w14:textId="77777777" w:rsidR="00A60DAA" w:rsidRPr="00A60DAA" w:rsidRDefault="00A60DAA" w:rsidP="009775BF">
            <w:pPr>
              <w:tabs>
                <w:tab w:val="left" w:pos="307"/>
              </w:tabs>
              <w:ind w:right="794"/>
              <w:jc w:val="right"/>
              <w:rPr>
                <w:rFonts w:eastAsia="Calibri"/>
                <w:sz w:val="20"/>
                <w:szCs w:val="20"/>
                <w:lang w:eastAsia="en-US"/>
              </w:rPr>
            </w:pPr>
            <w:r w:rsidRPr="00A60DAA">
              <w:rPr>
                <w:rFonts w:eastAsia="Calibri"/>
                <w:sz w:val="20"/>
                <w:szCs w:val="20"/>
                <w:lang w:eastAsia="en-US"/>
              </w:rPr>
              <w:t>0.0</w:t>
            </w:r>
          </w:p>
        </w:tc>
        <w:tc>
          <w:tcPr>
            <w:tcW w:w="2141" w:type="dxa"/>
            <w:tcBorders>
              <w:left w:val="single" w:sz="2" w:space="0" w:color="auto"/>
              <w:right w:val="single" w:sz="2" w:space="0" w:color="auto"/>
            </w:tcBorders>
            <w:shd w:val="clear" w:color="auto" w:fill="auto"/>
          </w:tcPr>
          <w:p w14:paraId="59B28C9A" w14:textId="77777777" w:rsidR="00A60DAA" w:rsidRPr="00A60DAA" w:rsidRDefault="00A60DAA" w:rsidP="009775BF">
            <w:pPr>
              <w:tabs>
                <w:tab w:val="left" w:pos="307"/>
                <w:tab w:val="decimal" w:pos="881"/>
              </w:tabs>
              <w:ind w:right="794"/>
              <w:jc w:val="right"/>
              <w:rPr>
                <w:rFonts w:eastAsia="Calibri"/>
                <w:sz w:val="20"/>
                <w:szCs w:val="20"/>
                <w:lang w:eastAsia="en-US"/>
              </w:rPr>
            </w:pPr>
            <w:r w:rsidRPr="00A60DAA">
              <w:rPr>
                <w:rFonts w:eastAsia="Calibri"/>
                <w:sz w:val="20"/>
                <w:szCs w:val="20"/>
                <w:lang w:eastAsia="en-US"/>
              </w:rPr>
              <w:t>1.2</w:t>
            </w:r>
          </w:p>
        </w:tc>
      </w:tr>
      <w:tr w:rsidR="00A60DAA" w:rsidRPr="00A60DAA" w14:paraId="22B73033" w14:textId="77777777" w:rsidTr="007721AA">
        <w:trPr>
          <w:cantSplit/>
          <w:trHeight w:val="20"/>
          <w:jc w:val="center"/>
        </w:trPr>
        <w:tc>
          <w:tcPr>
            <w:tcW w:w="2694" w:type="dxa"/>
            <w:tcBorders>
              <w:left w:val="single" w:sz="2" w:space="0" w:color="auto"/>
              <w:right w:val="single" w:sz="2" w:space="0" w:color="auto"/>
            </w:tcBorders>
            <w:shd w:val="clear" w:color="auto" w:fill="auto"/>
          </w:tcPr>
          <w:p w14:paraId="7E903A16" w14:textId="77777777" w:rsidR="00A60DAA" w:rsidRPr="00A60DAA" w:rsidRDefault="00A60DAA" w:rsidP="007721AA">
            <w:pPr>
              <w:widowControl w:val="0"/>
              <w:jc w:val="both"/>
              <w:rPr>
                <w:rFonts w:eastAsia="Times New Roman"/>
                <w:b/>
                <w:sz w:val="20"/>
                <w:szCs w:val="20"/>
              </w:rPr>
            </w:pPr>
            <w:r w:rsidRPr="00A60DAA">
              <w:rPr>
                <w:rFonts w:eastAsia="Times New Roman"/>
                <w:b/>
                <w:sz w:val="20"/>
                <w:szCs w:val="20"/>
              </w:rPr>
              <w:t>Importado</w:t>
            </w:r>
          </w:p>
        </w:tc>
        <w:tc>
          <w:tcPr>
            <w:tcW w:w="2111" w:type="dxa"/>
            <w:tcBorders>
              <w:left w:val="single" w:sz="2" w:space="0" w:color="auto"/>
              <w:right w:val="single" w:sz="2" w:space="0" w:color="auto"/>
            </w:tcBorders>
            <w:shd w:val="clear" w:color="auto" w:fill="auto"/>
          </w:tcPr>
          <w:p w14:paraId="7E115067" w14:textId="50D40F32" w:rsidR="00A60DAA" w:rsidRPr="00A60DAA" w:rsidRDefault="00A60DAA" w:rsidP="009775BF">
            <w:pPr>
              <w:tabs>
                <w:tab w:val="left" w:pos="307"/>
                <w:tab w:val="decimal" w:pos="881"/>
              </w:tabs>
              <w:ind w:right="794"/>
              <w:jc w:val="right"/>
              <w:rPr>
                <w:rFonts w:eastAsia="Calibri"/>
                <w:b/>
                <w:sz w:val="20"/>
                <w:szCs w:val="20"/>
                <w:lang w:eastAsia="en-US"/>
              </w:rPr>
            </w:pPr>
            <w:r w:rsidRPr="00A60DAA">
              <w:rPr>
                <w:rFonts w:eastAsia="Calibri"/>
                <w:b/>
                <w:sz w:val="20"/>
                <w:szCs w:val="20"/>
                <w:lang w:eastAsia="en-US"/>
              </w:rPr>
              <w:t>-1.9</w:t>
            </w:r>
          </w:p>
        </w:tc>
        <w:tc>
          <w:tcPr>
            <w:tcW w:w="2141" w:type="dxa"/>
            <w:tcBorders>
              <w:left w:val="single" w:sz="2" w:space="0" w:color="auto"/>
              <w:right w:val="single" w:sz="2" w:space="0" w:color="auto"/>
            </w:tcBorders>
            <w:shd w:val="clear" w:color="auto" w:fill="auto"/>
          </w:tcPr>
          <w:p w14:paraId="79468DB4" w14:textId="77777777" w:rsidR="00A60DAA" w:rsidRPr="00A60DAA" w:rsidRDefault="00A60DAA" w:rsidP="009775BF">
            <w:pPr>
              <w:tabs>
                <w:tab w:val="left" w:pos="307"/>
                <w:tab w:val="decimal" w:pos="881"/>
              </w:tabs>
              <w:ind w:right="794"/>
              <w:jc w:val="right"/>
              <w:rPr>
                <w:rFonts w:eastAsia="Calibri"/>
                <w:b/>
                <w:sz w:val="20"/>
                <w:szCs w:val="20"/>
                <w:lang w:eastAsia="en-US"/>
              </w:rPr>
            </w:pPr>
            <w:r w:rsidRPr="00A60DAA">
              <w:rPr>
                <w:rFonts w:eastAsia="Calibri"/>
                <w:b/>
                <w:sz w:val="20"/>
                <w:szCs w:val="20"/>
                <w:lang w:eastAsia="en-US"/>
              </w:rPr>
              <w:t>0.3</w:t>
            </w:r>
          </w:p>
        </w:tc>
      </w:tr>
      <w:tr w:rsidR="00A60DAA" w:rsidRPr="00A60DAA" w14:paraId="3B712930" w14:textId="77777777" w:rsidTr="007721AA">
        <w:trPr>
          <w:cantSplit/>
          <w:trHeight w:val="20"/>
          <w:jc w:val="center"/>
        </w:trPr>
        <w:tc>
          <w:tcPr>
            <w:tcW w:w="2694" w:type="dxa"/>
            <w:tcBorders>
              <w:left w:val="single" w:sz="2" w:space="0" w:color="auto"/>
              <w:bottom w:val="single" w:sz="2" w:space="0" w:color="auto"/>
              <w:right w:val="single" w:sz="2" w:space="0" w:color="auto"/>
            </w:tcBorders>
            <w:shd w:val="clear" w:color="auto" w:fill="auto"/>
          </w:tcPr>
          <w:p w14:paraId="68C0C71A" w14:textId="77777777" w:rsidR="00A60DAA" w:rsidRPr="00A60DAA" w:rsidRDefault="00A60DAA" w:rsidP="00276F3E">
            <w:pPr>
              <w:widowControl w:val="0"/>
              <w:numPr>
                <w:ilvl w:val="0"/>
                <w:numId w:val="55"/>
              </w:numPr>
              <w:ind w:left="454" w:hanging="284"/>
              <w:jc w:val="both"/>
              <w:rPr>
                <w:rFonts w:eastAsia="Times New Roman"/>
                <w:sz w:val="20"/>
                <w:szCs w:val="20"/>
              </w:rPr>
            </w:pPr>
            <w:r w:rsidRPr="00A60DAA">
              <w:rPr>
                <w:rFonts w:eastAsia="Times New Roman"/>
                <w:sz w:val="20"/>
                <w:szCs w:val="20"/>
              </w:rPr>
              <w:t>Bienes</w:t>
            </w:r>
          </w:p>
        </w:tc>
        <w:tc>
          <w:tcPr>
            <w:tcW w:w="2111" w:type="dxa"/>
            <w:tcBorders>
              <w:left w:val="single" w:sz="2" w:space="0" w:color="auto"/>
              <w:bottom w:val="single" w:sz="2" w:space="0" w:color="auto"/>
              <w:right w:val="single" w:sz="2" w:space="0" w:color="auto"/>
            </w:tcBorders>
            <w:shd w:val="clear" w:color="auto" w:fill="auto"/>
          </w:tcPr>
          <w:p w14:paraId="46A32196" w14:textId="4C44BF8C" w:rsidR="00A60DAA" w:rsidRPr="00660E71" w:rsidRDefault="00A60DAA" w:rsidP="009775BF">
            <w:pPr>
              <w:tabs>
                <w:tab w:val="left" w:pos="307"/>
                <w:tab w:val="decimal" w:pos="881"/>
              </w:tabs>
              <w:ind w:right="794"/>
              <w:jc w:val="right"/>
              <w:rPr>
                <w:rFonts w:eastAsia="Calibri"/>
                <w:sz w:val="20"/>
                <w:szCs w:val="20"/>
                <w:lang w:eastAsia="en-US"/>
              </w:rPr>
            </w:pPr>
            <w:r w:rsidRPr="00660E71">
              <w:rPr>
                <w:rFonts w:eastAsia="Calibri"/>
                <w:sz w:val="20"/>
                <w:szCs w:val="20"/>
                <w:lang w:eastAsia="en-US"/>
              </w:rPr>
              <w:t>-1.9</w:t>
            </w:r>
          </w:p>
        </w:tc>
        <w:tc>
          <w:tcPr>
            <w:tcW w:w="2141" w:type="dxa"/>
            <w:tcBorders>
              <w:left w:val="single" w:sz="2" w:space="0" w:color="auto"/>
              <w:bottom w:val="single" w:sz="2" w:space="0" w:color="auto"/>
              <w:right w:val="single" w:sz="2" w:space="0" w:color="auto"/>
            </w:tcBorders>
            <w:shd w:val="clear" w:color="auto" w:fill="auto"/>
          </w:tcPr>
          <w:p w14:paraId="7B4C5BF8" w14:textId="77777777" w:rsidR="00A60DAA" w:rsidRPr="00660E71" w:rsidRDefault="00A60DAA" w:rsidP="009775BF">
            <w:pPr>
              <w:tabs>
                <w:tab w:val="left" w:pos="307"/>
                <w:tab w:val="decimal" w:pos="881"/>
              </w:tabs>
              <w:ind w:right="794"/>
              <w:jc w:val="right"/>
              <w:rPr>
                <w:rFonts w:eastAsia="Calibri"/>
                <w:sz w:val="20"/>
                <w:szCs w:val="20"/>
                <w:lang w:eastAsia="en-US"/>
              </w:rPr>
            </w:pPr>
            <w:r w:rsidRPr="00660E71">
              <w:rPr>
                <w:rFonts w:eastAsia="Calibri"/>
                <w:sz w:val="20"/>
                <w:szCs w:val="20"/>
                <w:lang w:eastAsia="en-US"/>
              </w:rPr>
              <w:t>0.3</w:t>
            </w:r>
          </w:p>
        </w:tc>
      </w:tr>
      <w:tr w:rsidR="00A60DAA" w:rsidRPr="00A60DAA" w14:paraId="3798B70E" w14:textId="77777777" w:rsidTr="007721AA">
        <w:trPr>
          <w:cantSplit/>
          <w:trHeight w:val="20"/>
          <w:jc w:val="center"/>
        </w:trPr>
        <w:tc>
          <w:tcPr>
            <w:tcW w:w="6946" w:type="dxa"/>
            <w:gridSpan w:val="3"/>
            <w:tcBorders>
              <w:top w:val="single" w:sz="2" w:space="0" w:color="auto"/>
            </w:tcBorders>
            <w:shd w:val="clear" w:color="auto" w:fill="auto"/>
          </w:tcPr>
          <w:p w14:paraId="7F45E615" w14:textId="77777777" w:rsidR="00A60DAA" w:rsidRPr="00A60DAA" w:rsidRDefault="00A60DAA" w:rsidP="007721AA">
            <w:pPr>
              <w:ind w:right="-159"/>
              <w:jc w:val="both"/>
              <w:rPr>
                <w:rFonts w:eastAsia="Times New Roman"/>
                <w:sz w:val="20"/>
                <w:szCs w:val="20"/>
                <w:lang w:val="es-ES"/>
              </w:rPr>
            </w:pPr>
            <w:r w:rsidRPr="00A60DAA">
              <w:rPr>
                <w:rFonts w:eastAsia="Times New Roman"/>
                <w:sz w:val="20"/>
                <w:szCs w:val="20"/>
                <w:lang w:val="es-ES"/>
              </w:rPr>
              <w:t>FUENTE: INEGI.</w:t>
            </w:r>
          </w:p>
        </w:tc>
      </w:tr>
    </w:tbl>
    <w:p w14:paraId="78B35EA3" w14:textId="77777777" w:rsidR="00A60DAA" w:rsidRPr="00A60DAA" w:rsidRDefault="00A60DAA" w:rsidP="00A60DAA">
      <w:pPr>
        <w:spacing w:before="360" w:after="360" w:line="360" w:lineRule="auto"/>
        <w:ind w:right="-159"/>
        <w:jc w:val="both"/>
        <w:rPr>
          <w:rFonts w:eastAsia="Times New Roman"/>
          <w:b/>
          <w:sz w:val="26"/>
          <w:szCs w:val="26"/>
          <w:lang w:val="es-ES"/>
        </w:rPr>
      </w:pPr>
      <w:r w:rsidRPr="00A60DAA">
        <w:rPr>
          <w:rFonts w:eastAsia="Times New Roman"/>
          <w:b/>
          <w:sz w:val="26"/>
          <w:szCs w:val="26"/>
          <w:lang w:val="es-ES"/>
        </w:rPr>
        <w:t>Principales resultados</w:t>
      </w:r>
    </w:p>
    <w:p w14:paraId="14428928" w14:textId="65549350" w:rsidR="00A60DAA" w:rsidRPr="00A60DAA" w:rsidRDefault="00A60DAA" w:rsidP="00A60DAA">
      <w:pPr>
        <w:spacing w:after="360" w:line="360" w:lineRule="auto"/>
        <w:ind w:right="-159"/>
        <w:jc w:val="both"/>
        <w:rPr>
          <w:rFonts w:eastAsia="Times New Roman"/>
          <w:sz w:val="26"/>
          <w:szCs w:val="26"/>
          <w:lang w:val="es-ES"/>
        </w:rPr>
      </w:pPr>
      <w:r w:rsidRPr="00A60DAA">
        <w:rPr>
          <w:rFonts w:eastAsia="Times New Roman"/>
          <w:sz w:val="26"/>
          <w:szCs w:val="26"/>
          <w:lang w:val="es-ES"/>
        </w:rPr>
        <w:t xml:space="preserve">Con base en cifras desestacionalizadas, el Indicador Mensual del Consumo Privado en el Mercado Interior (IMCPMI) mostró una </w:t>
      </w:r>
      <w:r w:rsidR="007721AA">
        <w:rPr>
          <w:rFonts w:eastAsia="Times New Roman"/>
          <w:sz w:val="26"/>
          <w:szCs w:val="26"/>
          <w:lang w:val="es-ES"/>
        </w:rPr>
        <w:t xml:space="preserve">reducción </w:t>
      </w:r>
      <w:r w:rsidRPr="00A60DAA">
        <w:rPr>
          <w:rFonts w:eastAsia="Times New Roman"/>
          <w:sz w:val="26"/>
          <w:szCs w:val="26"/>
          <w:lang w:val="es-ES"/>
        </w:rPr>
        <w:t>de 0.5% durante diciembre de 2014 con relación al nivel registrado en el mes inmediato anterior.</w:t>
      </w:r>
    </w:p>
    <w:p w14:paraId="57947369" w14:textId="77777777" w:rsidR="00A60DAA" w:rsidRPr="00A60DAA" w:rsidRDefault="00A60DAA" w:rsidP="00A60DAA">
      <w:pPr>
        <w:spacing w:after="360" w:line="360" w:lineRule="auto"/>
        <w:ind w:right="-159"/>
        <w:jc w:val="center"/>
        <w:rPr>
          <w:rFonts w:eastAsia="Times New Roman"/>
          <w:sz w:val="26"/>
          <w:szCs w:val="26"/>
          <w:lang w:val="es-ES"/>
        </w:rPr>
      </w:pPr>
      <w:r w:rsidRPr="00A60DAA">
        <w:rPr>
          <w:rFonts w:ascii="Arial" w:eastAsia="Times New Roman" w:hAnsi="Arial" w:cs="Arial"/>
          <w:noProof/>
          <w:sz w:val="18"/>
          <w:szCs w:val="20"/>
          <w:lang w:eastAsia="es-MX"/>
        </w:rPr>
        <w:drawing>
          <wp:inline distT="0" distB="0" distL="0" distR="0" wp14:anchorId="7415A8BC" wp14:editId="7DF739AA">
            <wp:extent cx="4559300" cy="3076092"/>
            <wp:effectExtent l="0" t="0" r="0" b="0"/>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1" cstate="print">
                      <a:extLst>
                        <a:ext uri="{28A0092B-C50C-407E-A947-70E740481C1C}">
                          <a14:useLocalDpi xmlns:a14="http://schemas.microsoft.com/office/drawing/2010/main" val="0"/>
                        </a:ext>
                      </a:extLst>
                    </a:blip>
                    <a:srcRect b="10325"/>
                    <a:stretch/>
                  </pic:blipFill>
                  <pic:spPr bwMode="auto">
                    <a:xfrm>
                      <a:off x="0" y="0"/>
                      <a:ext cx="4559300" cy="3076092"/>
                    </a:xfrm>
                    <a:prstGeom prst="rect">
                      <a:avLst/>
                    </a:prstGeom>
                    <a:noFill/>
                    <a:ln>
                      <a:noFill/>
                    </a:ln>
                    <a:extLst>
                      <a:ext uri="{53640926-AAD7-44D8-BBD7-CCE9431645EC}">
                        <a14:shadowObscured xmlns:a14="http://schemas.microsoft.com/office/drawing/2010/main"/>
                      </a:ext>
                    </a:extLst>
                  </pic:spPr>
                </pic:pic>
              </a:graphicData>
            </a:graphic>
          </wp:inline>
        </w:drawing>
      </w:r>
    </w:p>
    <w:p w14:paraId="751C5F9A" w14:textId="77777777" w:rsidR="00A60DAA" w:rsidRPr="00A60DAA" w:rsidRDefault="00A60DAA" w:rsidP="00A60DAA">
      <w:pPr>
        <w:spacing w:after="360" w:line="360" w:lineRule="auto"/>
        <w:ind w:right="-159"/>
        <w:jc w:val="both"/>
        <w:rPr>
          <w:rFonts w:eastAsia="Times New Roman"/>
          <w:sz w:val="26"/>
          <w:szCs w:val="26"/>
          <w:lang w:val="es-ES"/>
        </w:rPr>
      </w:pPr>
      <w:r w:rsidRPr="00A60DAA">
        <w:rPr>
          <w:rFonts w:eastAsia="Times New Roman"/>
          <w:sz w:val="26"/>
          <w:szCs w:val="26"/>
          <w:lang w:val="es-ES"/>
        </w:rPr>
        <w:lastRenderedPageBreak/>
        <w:t>Por componentes, el consumo de Bienes de origen importado fue inferior en (-)1.9% y el consumo de Bienes y Servicios de origen nacional en (-)0.5% en el último mes de 2014 respecto al mes precedente, según datos ajustados por estacionalidad.</w:t>
      </w:r>
    </w:p>
    <w:p w14:paraId="5C8C9CB1" w14:textId="3F328ECC" w:rsidR="00A60DAA" w:rsidRPr="00A60DAA" w:rsidRDefault="0063761A" w:rsidP="00A60DAA">
      <w:pPr>
        <w:spacing w:after="360" w:line="360" w:lineRule="auto"/>
        <w:ind w:right="-159"/>
        <w:jc w:val="center"/>
        <w:rPr>
          <w:rFonts w:eastAsia="Times New Roman"/>
          <w:sz w:val="26"/>
          <w:szCs w:val="26"/>
          <w:lang w:val="es-ES"/>
        </w:rPr>
      </w:pPr>
      <w:r w:rsidRPr="0063761A">
        <w:rPr>
          <w:rFonts w:ascii="Calibri" w:eastAsia="Calibri" w:hAnsi="Calibri"/>
          <w:noProof/>
          <w:sz w:val="22"/>
          <w:szCs w:val="22"/>
          <w:lang w:eastAsia="es-MX"/>
        </w:rPr>
        <w:drawing>
          <wp:inline distT="0" distB="0" distL="0" distR="0" wp14:anchorId="119CF00B" wp14:editId="4CB197DC">
            <wp:extent cx="4559300" cy="2865401"/>
            <wp:effectExtent l="0" t="0" r="0" b="0"/>
            <wp:docPr id="172" name="Imagen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2" cstate="print">
                      <a:extLst>
                        <a:ext uri="{28A0092B-C50C-407E-A947-70E740481C1C}">
                          <a14:useLocalDpi xmlns:a14="http://schemas.microsoft.com/office/drawing/2010/main" val="0"/>
                        </a:ext>
                      </a:extLst>
                    </a:blip>
                    <a:srcRect b="16467"/>
                    <a:stretch/>
                  </pic:blipFill>
                  <pic:spPr bwMode="auto">
                    <a:xfrm>
                      <a:off x="0" y="0"/>
                      <a:ext cx="4559300" cy="2865401"/>
                    </a:xfrm>
                    <a:prstGeom prst="rect">
                      <a:avLst/>
                    </a:prstGeom>
                    <a:noFill/>
                    <a:ln>
                      <a:noFill/>
                    </a:ln>
                    <a:extLst>
                      <a:ext uri="{53640926-AAD7-44D8-BBD7-CCE9431645EC}">
                        <a14:shadowObscured xmlns:a14="http://schemas.microsoft.com/office/drawing/2010/main"/>
                      </a:ext>
                    </a:extLst>
                  </pic:spPr>
                </pic:pic>
              </a:graphicData>
            </a:graphic>
          </wp:inline>
        </w:drawing>
      </w:r>
    </w:p>
    <w:p w14:paraId="196414FC" w14:textId="77777777" w:rsidR="00A60DAA" w:rsidRPr="00A60DAA" w:rsidRDefault="00A60DAA" w:rsidP="00A60DAA">
      <w:pPr>
        <w:spacing w:after="360" w:line="360" w:lineRule="auto"/>
        <w:ind w:right="-159"/>
        <w:jc w:val="center"/>
        <w:rPr>
          <w:rFonts w:eastAsia="Times New Roman"/>
          <w:sz w:val="26"/>
          <w:szCs w:val="26"/>
          <w:lang w:val="es-ES"/>
        </w:rPr>
      </w:pPr>
    </w:p>
    <w:p w14:paraId="2F85C37E" w14:textId="30B9FAE9" w:rsidR="00A60DAA" w:rsidRPr="00A60DAA" w:rsidRDefault="0063761A" w:rsidP="00A60DAA">
      <w:pPr>
        <w:spacing w:after="360" w:line="360" w:lineRule="auto"/>
        <w:ind w:right="-159"/>
        <w:jc w:val="center"/>
        <w:rPr>
          <w:rFonts w:eastAsia="Times New Roman"/>
          <w:sz w:val="26"/>
          <w:szCs w:val="26"/>
          <w:lang w:val="es-ES"/>
        </w:rPr>
      </w:pPr>
      <w:r w:rsidRPr="0063761A">
        <w:rPr>
          <w:rFonts w:ascii="Calibri" w:eastAsia="Calibri" w:hAnsi="Calibri"/>
          <w:noProof/>
          <w:sz w:val="22"/>
          <w:szCs w:val="22"/>
          <w:lang w:eastAsia="es-MX"/>
        </w:rPr>
        <w:drawing>
          <wp:inline distT="0" distB="0" distL="0" distR="0" wp14:anchorId="69DB7F67" wp14:editId="24B38C8E">
            <wp:extent cx="4559295" cy="2663134"/>
            <wp:effectExtent l="0" t="0" r="0" b="4445"/>
            <wp:docPr id="173" name="Imagen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3" cstate="print">
                      <a:extLst>
                        <a:ext uri="{28A0092B-C50C-407E-A947-70E740481C1C}">
                          <a14:useLocalDpi xmlns:a14="http://schemas.microsoft.com/office/drawing/2010/main" val="0"/>
                        </a:ext>
                      </a:extLst>
                    </a:blip>
                    <a:srcRect t="983" b="21381"/>
                    <a:stretch/>
                  </pic:blipFill>
                  <pic:spPr bwMode="auto">
                    <a:xfrm>
                      <a:off x="0" y="0"/>
                      <a:ext cx="4559300" cy="2663137"/>
                    </a:xfrm>
                    <a:prstGeom prst="rect">
                      <a:avLst/>
                    </a:prstGeom>
                    <a:noFill/>
                    <a:ln>
                      <a:noFill/>
                    </a:ln>
                    <a:extLst>
                      <a:ext uri="{53640926-AAD7-44D8-BBD7-CCE9431645EC}">
                        <a14:shadowObscured xmlns:a14="http://schemas.microsoft.com/office/drawing/2010/main"/>
                      </a:ext>
                    </a:extLst>
                  </pic:spPr>
                </pic:pic>
              </a:graphicData>
            </a:graphic>
          </wp:inline>
        </w:drawing>
      </w:r>
    </w:p>
    <w:p w14:paraId="39A9783D" w14:textId="77777777" w:rsidR="00A60DAA" w:rsidRDefault="00A60DAA" w:rsidP="00E53D8D">
      <w:pPr>
        <w:spacing w:after="240"/>
        <w:ind w:right="-159"/>
        <w:jc w:val="both"/>
        <w:rPr>
          <w:rFonts w:eastAsia="Times New Roman"/>
          <w:sz w:val="26"/>
          <w:szCs w:val="26"/>
          <w:lang w:val="es-ES"/>
        </w:rPr>
      </w:pPr>
    </w:p>
    <w:p w14:paraId="3576903B" w14:textId="77777777" w:rsidR="00A60DAA" w:rsidRPr="00A60DAA" w:rsidRDefault="00A60DAA" w:rsidP="00A60DAA">
      <w:pPr>
        <w:spacing w:after="360" w:line="360" w:lineRule="auto"/>
        <w:ind w:right="-159"/>
        <w:jc w:val="both"/>
        <w:rPr>
          <w:rFonts w:eastAsia="Times New Roman"/>
          <w:b/>
          <w:sz w:val="26"/>
          <w:szCs w:val="26"/>
          <w:lang w:val="es-ES"/>
        </w:rPr>
      </w:pPr>
      <w:r w:rsidRPr="00A60DAA">
        <w:rPr>
          <w:rFonts w:eastAsia="Times New Roman"/>
          <w:b/>
          <w:sz w:val="26"/>
          <w:szCs w:val="26"/>
          <w:lang w:val="es-ES"/>
        </w:rPr>
        <w:lastRenderedPageBreak/>
        <w:t>Cifras originales</w:t>
      </w:r>
    </w:p>
    <w:tbl>
      <w:tblPr>
        <w:tblW w:w="0" w:type="auto"/>
        <w:jc w:val="center"/>
        <w:tblLayout w:type="fixed"/>
        <w:tblCellMar>
          <w:left w:w="107" w:type="dxa"/>
          <w:right w:w="107" w:type="dxa"/>
        </w:tblCellMar>
        <w:tblLook w:val="0000" w:firstRow="0" w:lastRow="0" w:firstColumn="0" w:lastColumn="0" w:noHBand="0" w:noVBand="0"/>
      </w:tblPr>
      <w:tblGrid>
        <w:gridCol w:w="2127"/>
        <w:gridCol w:w="2111"/>
        <w:gridCol w:w="2141"/>
      </w:tblGrid>
      <w:tr w:rsidR="00A60DAA" w:rsidRPr="00A60DAA" w14:paraId="3E1DFD49" w14:textId="77777777" w:rsidTr="00BB7F01">
        <w:trPr>
          <w:cantSplit/>
          <w:trHeight w:val="558"/>
          <w:jc w:val="center"/>
        </w:trPr>
        <w:tc>
          <w:tcPr>
            <w:tcW w:w="6379" w:type="dxa"/>
            <w:gridSpan w:val="3"/>
            <w:tcBorders>
              <w:bottom w:val="single" w:sz="2" w:space="0" w:color="auto"/>
            </w:tcBorders>
            <w:shd w:val="clear" w:color="auto" w:fill="auto"/>
            <w:vAlign w:val="center"/>
          </w:tcPr>
          <w:p w14:paraId="2087F9A2" w14:textId="77777777" w:rsidR="00A60DAA" w:rsidRPr="00A60DAA" w:rsidRDefault="00A60DAA" w:rsidP="007721AA">
            <w:pPr>
              <w:widowControl w:val="0"/>
              <w:jc w:val="center"/>
              <w:rPr>
                <w:rFonts w:eastAsia="Times New Roman"/>
                <w:b/>
                <w:smallCaps/>
                <w:sz w:val="22"/>
                <w:szCs w:val="22"/>
              </w:rPr>
            </w:pPr>
            <w:r w:rsidRPr="00A60DAA">
              <w:rPr>
                <w:rFonts w:eastAsia="Times New Roman"/>
                <w:b/>
                <w:smallCaps/>
                <w:sz w:val="22"/>
                <w:szCs w:val="22"/>
              </w:rPr>
              <w:t xml:space="preserve">INDICADOR MENSUAL DEL CONSUMO PRIVADO EN EL MERCADO INTERIOR A </w:t>
            </w:r>
            <w:r w:rsidRPr="00A60DAA">
              <w:rPr>
                <w:rFonts w:eastAsia="Times New Roman"/>
                <w:b/>
                <w:bCs/>
                <w:smallCaps/>
                <w:sz w:val="22"/>
                <w:szCs w:val="22"/>
              </w:rPr>
              <w:t>DICIEMBRE DE 2014</w:t>
            </w:r>
          </w:p>
          <w:p w14:paraId="2ABA09FD" w14:textId="461E1AE0" w:rsidR="00A60DAA" w:rsidRPr="00A60DAA" w:rsidRDefault="00A60DAA" w:rsidP="007721AA">
            <w:pPr>
              <w:widowControl w:val="0"/>
              <w:jc w:val="center"/>
              <w:rPr>
                <w:rFonts w:eastAsia="Times New Roman"/>
                <w:sz w:val="22"/>
                <w:szCs w:val="22"/>
              </w:rPr>
            </w:pPr>
            <w:r w:rsidRPr="00A60DAA">
              <w:rPr>
                <w:rFonts w:eastAsia="Times New Roman"/>
                <w:b/>
                <w:smallCaps/>
                <w:sz w:val="22"/>
                <w:szCs w:val="22"/>
              </w:rPr>
              <w:t>-</w:t>
            </w:r>
            <w:r w:rsidRPr="00A60DAA">
              <w:rPr>
                <w:rFonts w:eastAsia="Times New Roman"/>
                <w:b/>
                <w:sz w:val="22"/>
                <w:szCs w:val="22"/>
              </w:rPr>
              <w:t>Variación porcentual real respecto al mismo período del año anterior-</w:t>
            </w:r>
          </w:p>
        </w:tc>
      </w:tr>
      <w:tr w:rsidR="00A60DAA" w:rsidRPr="00A60DAA" w14:paraId="6E3DFBFD" w14:textId="77777777" w:rsidTr="00BB7F01">
        <w:trPr>
          <w:cantSplit/>
          <w:trHeight w:val="20"/>
          <w:jc w:val="center"/>
        </w:trPr>
        <w:tc>
          <w:tcPr>
            <w:tcW w:w="2127" w:type="dxa"/>
            <w:tcBorders>
              <w:top w:val="single" w:sz="2" w:space="0" w:color="auto"/>
              <w:left w:val="single" w:sz="2" w:space="0" w:color="auto"/>
              <w:bottom w:val="single" w:sz="2" w:space="0" w:color="auto"/>
              <w:right w:val="single" w:sz="2" w:space="0" w:color="auto"/>
            </w:tcBorders>
            <w:shd w:val="clear" w:color="auto" w:fill="auto"/>
            <w:vAlign w:val="center"/>
          </w:tcPr>
          <w:p w14:paraId="1F8AB336" w14:textId="77777777" w:rsidR="00A60DAA" w:rsidRPr="00A60DAA" w:rsidRDefault="00A60DAA" w:rsidP="007721AA">
            <w:pPr>
              <w:widowControl w:val="0"/>
              <w:tabs>
                <w:tab w:val="left" w:pos="546"/>
              </w:tabs>
              <w:jc w:val="center"/>
              <w:rPr>
                <w:rFonts w:eastAsia="Times New Roman"/>
                <w:b/>
                <w:sz w:val="20"/>
                <w:szCs w:val="20"/>
              </w:rPr>
            </w:pPr>
            <w:r w:rsidRPr="00A60DAA">
              <w:rPr>
                <w:rFonts w:eastAsia="Times New Roman"/>
                <w:b/>
                <w:sz w:val="20"/>
                <w:szCs w:val="20"/>
              </w:rPr>
              <w:t>Concepto</w:t>
            </w:r>
          </w:p>
        </w:tc>
        <w:tc>
          <w:tcPr>
            <w:tcW w:w="2111" w:type="dxa"/>
            <w:tcBorders>
              <w:top w:val="single" w:sz="2" w:space="0" w:color="auto"/>
              <w:left w:val="single" w:sz="2" w:space="0" w:color="auto"/>
              <w:bottom w:val="single" w:sz="2" w:space="0" w:color="auto"/>
              <w:right w:val="single" w:sz="2" w:space="0" w:color="auto"/>
            </w:tcBorders>
            <w:shd w:val="clear" w:color="auto" w:fill="auto"/>
          </w:tcPr>
          <w:p w14:paraId="2709E25B" w14:textId="77777777" w:rsidR="00A60DAA" w:rsidRPr="00A60DAA" w:rsidRDefault="00A60DAA" w:rsidP="007721AA">
            <w:pPr>
              <w:keepNext/>
              <w:widowControl w:val="0"/>
              <w:jc w:val="center"/>
              <w:rPr>
                <w:rFonts w:eastAsia="Times New Roman"/>
                <w:b/>
                <w:sz w:val="20"/>
                <w:szCs w:val="20"/>
              </w:rPr>
            </w:pPr>
            <w:r w:rsidRPr="00A60DAA">
              <w:rPr>
                <w:rFonts w:eastAsia="Times New Roman"/>
                <w:b/>
                <w:sz w:val="20"/>
                <w:szCs w:val="20"/>
              </w:rPr>
              <w:t>Diciembre</w:t>
            </w:r>
            <w:r w:rsidRPr="00A60DAA">
              <w:rPr>
                <w:rFonts w:eastAsia="Times New Roman"/>
                <w:b/>
                <w:sz w:val="20"/>
                <w:szCs w:val="20"/>
                <w:u w:val="single"/>
                <w:vertAlign w:val="superscript"/>
              </w:rPr>
              <w:t>p</w:t>
            </w:r>
            <w:r w:rsidRPr="00A60DAA">
              <w:rPr>
                <w:rFonts w:eastAsia="Times New Roman"/>
                <w:b/>
                <w:sz w:val="20"/>
                <w:szCs w:val="20"/>
                <w:vertAlign w:val="superscript"/>
              </w:rPr>
              <w:t>/</w:t>
            </w:r>
          </w:p>
        </w:tc>
        <w:tc>
          <w:tcPr>
            <w:tcW w:w="2141" w:type="dxa"/>
            <w:tcBorders>
              <w:top w:val="single" w:sz="2" w:space="0" w:color="auto"/>
              <w:left w:val="single" w:sz="2" w:space="0" w:color="auto"/>
              <w:bottom w:val="single" w:sz="2" w:space="0" w:color="auto"/>
              <w:right w:val="single" w:sz="2" w:space="0" w:color="auto"/>
            </w:tcBorders>
            <w:shd w:val="clear" w:color="auto" w:fill="auto"/>
          </w:tcPr>
          <w:p w14:paraId="413D7854" w14:textId="77777777" w:rsidR="00A60DAA" w:rsidRPr="00A60DAA" w:rsidRDefault="00A60DAA" w:rsidP="007721AA">
            <w:pPr>
              <w:keepNext/>
              <w:widowControl w:val="0"/>
              <w:jc w:val="center"/>
              <w:rPr>
                <w:rFonts w:eastAsia="Times New Roman"/>
                <w:b/>
                <w:sz w:val="20"/>
                <w:szCs w:val="20"/>
              </w:rPr>
            </w:pPr>
            <w:r w:rsidRPr="00A60DAA">
              <w:rPr>
                <w:rFonts w:eastAsia="Times New Roman"/>
                <w:b/>
                <w:sz w:val="20"/>
                <w:szCs w:val="20"/>
              </w:rPr>
              <w:t>Enero-diciembre</w:t>
            </w:r>
            <w:r w:rsidRPr="00A60DAA">
              <w:rPr>
                <w:rFonts w:eastAsia="Times New Roman"/>
                <w:b/>
                <w:sz w:val="20"/>
                <w:szCs w:val="20"/>
                <w:u w:val="single"/>
                <w:vertAlign w:val="superscript"/>
              </w:rPr>
              <w:t>p</w:t>
            </w:r>
            <w:r w:rsidRPr="00A60DAA">
              <w:rPr>
                <w:rFonts w:eastAsia="Times New Roman"/>
                <w:b/>
                <w:sz w:val="20"/>
                <w:szCs w:val="20"/>
                <w:vertAlign w:val="superscript"/>
              </w:rPr>
              <w:t>/</w:t>
            </w:r>
          </w:p>
        </w:tc>
      </w:tr>
      <w:tr w:rsidR="00A60DAA" w:rsidRPr="00A60DAA" w14:paraId="7FD157FE" w14:textId="77777777" w:rsidTr="00BB7F01">
        <w:trPr>
          <w:cantSplit/>
          <w:trHeight w:val="20"/>
          <w:jc w:val="center"/>
        </w:trPr>
        <w:tc>
          <w:tcPr>
            <w:tcW w:w="2127" w:type="dxa"/>
            <w:tcBorders>
              <w:top w:val="single" w:sz="2" w:space="0" w:color="auto"/>
              <w:left w:val="single" w:sz="2" w:space="0" w:color="auto"/>
              <w:right w:val="single" w:sz="2" w:space="0" w:color="auto"/>
            </w:tcBorders>
            <w:shd w:val="clear" w:color="auto" w:fill="auto"/>
          </w:tcPr>
          <w:p w14:paraId="5AF91211" w14:textId="77777777" w:rsidR="00A60DAA" w:rsidRPr="00A60DAA" w:rsidRDefault="00A60DAA" w:rsidP="007721AA">
            <w:pPr>
              <w:widowControl w:val="0"/>
              <w:jc w:val="both"/>
              <w:rPr>
                <w:rFonts w:eastAsia="Times New Roman"/>
                <w:b/>
                <w:sz w:val="20"/>
                <w:szCs w:val="20"/>
              </w:rPr>
            </w:pPr>
            <w:r w:rsidRPr="00A60DAA">
              <w:rPr>
                <w:rFonts w:eastAsia="Times New Roman"/>
                <w:sz w:val="20"/>
                <w:szCs w:val="20"/>
              </w:rPr>
              <w:br w:type="page"/>
            </w:r>
            <w:r w:rsidRPr="00A60DAA">
              <w:rPr>
                <w:rFonts w:eastAsia="Times New Roman"/>
                <w:b/>
                <w:sz w:val="20"/>
                <w:szCs w:val="20"/>
              </w:rPr>
              <w:t>Total</w:t>
            </w:r>
          </w:p>
        </w:tc>
        <w:tc>
          <w:tcPr>
            <w:tcW w:w="2111" w:type="dxa"/>
            <w:tcBorders>
              <w:top w:val="single" w:sz="2" w:space="0" w:color="auto"/>
              <w:left w:val="single" w:sz="2" w:space="0" w:color="auto"/>
              <w:right w:val="single" w:sz="2" w:space="0" w:color="auto"/>
            </w:tcBorders>
            <w:shd w:val="clear" w:color="auto" w:fill="auto"/>
          </w:tcPr>
          <w:p w14:paraId="20370B71" w14:textId="77777777" w:rsidR="00A60DAA" w:rsidRPr="00A60DAA" w:rsidRDefault="00A60DAA" w:rsidP="009775BF">
            <w:pPr>
              <w:tabs>
                <w:tab w:val="left" w:pos="307"/>
                <w:tab w:val="decimal" w:pos="881"/>
              </w:tabs>
              <w:ind w:right="794"/>
              <w:jc w:val="right"/>
              <w:rPr>
                <w:rFonts w:eastAsia="Calibri"/>
                <w:b/>
                <w:sz w:val="20"/>
                <w:szCs w:val="20"/>
                <w:lang w:eastAsia="en-US"/>
              </w:rPr>
            </w:pPr>
            <w:r w:rsidRPr="00A60DAA">
              <w:rPr>
                <w:rFonts w:eastAsia="Calibri"/>
                <w:b/>
                <w:sz w:val="20"/>
                <w:szCs w:val="20"/>
                <w:lang w:eastAsia="en-US"/>
              </w:rPr>
              <w:t>3.2</w:t>
            </w:r>
          </w:p>
        </w:tc>
        <w:tc>
          <w:tcPr>
            <w:tcW w:w="2141" w:type="dxa"/>
            <w:tcBorders>
              <w:top w:val="single" w:sz="2" w:space="0" w:color="auto"/>
              <w:left w:val="single" w:sz="2" w:space="0" w:color="auto"/>
              <w:right w:val="single" w:sz="2" w:space="0" w:color="auto"/>
            </w:tcBorders>
            <w:shd w:val="clear" w:color="auto" w:fill="auto"/>
          </w:tcPr>
          <w:p w14:paraId="7ABEABCA" w14:textId="77777777" w:rsidR="00A60DAA" w:rsidRPr="00A60DAA" w:rsidRDefault="00A60DAA" w:rsidP="009775BF">
            <w:pPr>
              <w:tabs>
                <w:tab w:val="left" w:pos="307"/>
                <w:tab w:val="decimal" w:pos="881"/>
              </w:tabs>
              <w:ind w:right="794"/>
              <w:jc w:val="right"/>
              <w:rPr>
                <w:rFonts w:eastAsia="Calibri"/>
                <w:b/>
                <w:sz w:val="20"/>
                <w:szCs w:val="20"/>
                <w:lang w:eastAsia="en-US"/>
              </w:rPr>
            </w:pPr>
            <w:r w:rsidRPr="00A60DAA">
              <w:rPr>
                <w:rFonts w:eastAsia="Calibri"/>
                <w:b/>
                <w:sz w:val="20"/>
                <w:szCs w:val="20"/>
                <w:lang w:eastAsia="en-US"/>
              </w:rPr>
              <w:t>2.2</w:t>
            </w:r>
          </w:p>
        </w:tc>
      </w:tr>
      <w:tr w:rsidR="00A60DAA" w:rsidRPr="00A60DAA" w14:paraId="3F852B43" w14:textId="77777777" w:rsidTr="00BB7F01">
        <w:trPr>
          <w:cantSplit/>
          <w:trHeight w:val="20"/>
          <w:jc w:val="center"/>
        </w:trPr>
        <w:tc>
          <w:tcPr>
            <w:tcW w:w="2127" w:type="dxa"/>
            <w:tcBorders>
              <w:left w:val="single" w:sz="2" w:space="0" w:color="auto"/>
              <w:right w:val="single" w:sz="2" w:space="0" w:color="auto"/>
            </w:tcBorders>
            <w:shd w:val="clear" w:color="auto" w:fill="auto"/>
          </w:tcPr>
          <w:p w14:paraId="1D29B5F8" w14:textId="77777777" w:rsidR="00A60DAA" w:rsidRPr="00A60DAA" w:rsidRDefault="00A60DAA" w:rsidP="007721AA">
            <w:pPr>
              <w:widowControl w:val="0"/>
              <w:jc w:val="both"/>
              <w:rPr>
                <w:rFonts w:eastAsia="Times New Roman"/>
                <w:b/>
                <w:sz w:val="20"/>
                <w:szCs w:val="20"/>
              </w:rPr>
            </w:pPr>
            <w:r w:rsidRPr="00A60DAA">
              <w:rPr>
                <w:rFonts w:eastAsia="Times New Roman"/>
                <w:b/>
                <w:sz w:val="20"/>
                <w:szCs w:val="20"/>
              </w:rPr>
              <w:t>Nacional</w:t>
            </w:r>
          </w:p>
        </w:tc>
        <w:tc>
          <w:tcPr>
            <w:tcW w:w="2111" w:type="dxa"/>
            <w:tcBorders>
              <w:left w:val="single" w:sz="2" w:space="0" w:color="auto"/>
              <w:right w:val="single" w:sz="2" w:space="0" w:color="auto"/>
            </w:tcBorders>
            <w:shd w:val="clear" w:color="auto" w:fill="auto"/>
          </w:tcPr>
          <w:p w14:paraId="6436A6F6" w14:textId="77777777" w:rsidR="00A60DAA" w:rsidRPr="00A60DAA" w:rsidRDefault="00A60DAA" w:rsidP="009775BF">
            <w:pPr>
              <w:tabs>
                <w:tab w:val="left" w:pos="307"/>
              </w:tabs>
              <w:ind w:right="794"/>
              <w:jc w:val="right"/>
              <w:rPr>
                <w:rFonts w:eastAsia="Calibri"/>
                <w:b/>
                <w:sz w:val="20"/>
                <w:szCs w:val="20"/>
                <w:lang w:eastAsia="en-US"/>
              </w:rPr>
            </w:pPr>
            <w:r w:rsidRPr="00A60DAA">
              <w:rPr>
                <w:rFonts w:eastAsia="Calibri"/>
                <w:b/>
                <w:sz w:val="20"/>
                <w:szCs w:val="20"/>
                <w:lang w:eastAsia="en-US"/>
              </w:rPr>
              <w:t>3.2</w:t>
            </w:r>
          </w:p>
        </w:tc>
        <w:tc>
          <w:tcPr>
            <w:tcW w:w="2141" w:type="dxa"/>
            <w:tcBorders>
              <w:left w:val="single" w:sz="2" w:space="0" w:color="auto"/>
              <w:right w:val="single" w:sz="2" w:space="0" w:color="auto"/>
            </w:tcBorders>
            <w:shd w:val="clear" w:color="auto" w:fill="auto"/>
          </w:tcPr>
          <w:p w14:paraId="1FB00A3B" w14:textId="77777777" w:rsidR="00A60DAA" w:rsidRPr="00A60DAA" w:rsidRDefault="00A60DAA" w:rsidP="009775BF">
            <w:pPr>
              <w:tabs>
                <w:tab w:val="left" w:pos="307"/>
                <w:tab w:val="decimal" w:pos="881"/>
              </w:tabs>
              <w:ind w:right="794"/>
              <w:jc w:val="right"/>
              <w:rPr>
                <w:rFonts w:eastAsia="Calibri"/>
                <w:b/>
                <w:sz w:val="20"/>
                <w:szCs w:val="20"/>
                <w:lang w:eastAsia="en-US"/>
              </w:rPr>
            </w:pPr>
            <w:r w:rsidRPr="00A60DAA">
              <w:rPr>
                <w:rFonts w:eastAsia="Calibri"/>
                <w:b/>
                <w:sz w:val="20"/>
                <w:szCs w:val="20"/>
                <w:lang w:eastAsia="en-US"/>
              </w:rPr>
              <w:t>2.2</w:t>
            </w:r>
          </w:p>
        </w:tc>
      </w:tr>
      <w:tr w:rsidR="00A60DAA" w:rsidRPr="00A60DAA" w14:paraId="68F015AC" w14:textId="77777777" w:rsidTr="00BB7F01">
        <w:trPr>
          <w:cantSplit/>
          <w:trHeight w:val="20"/>
          <w:jc w:val="center"/>
        </w:trPr>
        <w:tc>
          <w:tcPr>
            <w:tcW w:w="2127" w:type="dxa"/>
            <w:tcBorders>
              <w:left w:val="single" w:sz="2" w:space="0" w:color="auto"/>
              <w:right w:val="single" w:sz="2" w:space="0" w:color="auto"/>
            </w:tcBorders>
            <w:shd w:val="clear" w:color="auto" w:fill="auto"/>
          </w:tcPr>
          <w:p w14:paraId="72D97B29" w14:textId="77777777" w:rsidR="00A60DAA" w:rsidRPr="00A60DAA" w:rsidRDefault="00A60DAA" w:rsidP="00276F3E">
            <w:pPr>
              <w:widowControl w:val="0"/>
              <w:numPr>
                <w:ilvl w:val="0"/>
                <w:numId w:val="55"/>
              </w:numPr>
              <w:ind w:left="454" w:hanging="284"/>
              <w:jc w:val="both"/>
              <w:rPr>
                <w:rFonts w:eastAsia="Times New Roman"/>
                <w:sz w:val="20"/>
                <w:szCs w:val="20"/>
              </w:rPr>
            </w:pPr>
            <w:r w:rsidRPr="00A60DAA">
              <w:rPr>
                <w:rFonts w:eastAsia="Times New Roman"/>
                <w:sz w:val="20"/>
                <w:szCs w:val="20"/>
              </w:rPr>
              <w:t>Bienes</w:t>
            </w:r>
          </w:p>
        </w:tc>
        <w:tc>
          <w:tcPr>
            <w:tcW w:w="2111" w:type="dxa"/>
            <w:tcBorders>
              <w:left w:val="single" w:sz="2" w:space="0" w:color="auto"/>
              <w:right w:val="single" w:sz="2" w:space="0" w:color="auto"/>
            </w:tcBorders>
            <w:shd w:val="clear" w:color="auto" w:fill="auto"/>
          </w:tcPr>
          <w:p w14:paraId="1C56BB39" w14:textId="77777777" w:rsidR="00A60DAA" w:rsidRPr="00A60DAA" w:rsidRDefault="00A60DAA" w:rsidP="009775BF">
            <w:pPr>
              <w:tabs>
                <w:tab w:val="left" w:pos="307"/>
              </w:tabs>
              <w:ind w:right="794"/>
              <w:jc w:val="right"/>
              <w:rPr>
                <w:rFonts w:eastAsia="Calibri"/>
                <w:sz w:val="20"/>
                <w:szCs w:val="20"/>
                <w:lang w:eastAsia="en-US"/>
              </w:rPr>
            </w:pPr>
            <w:r w:rsidRPr="00A60DAA">
              <w:rPr>
                <w:rFonts w:eastAsia="Calibri"/>
                <w:sz w:val="20"/>
                <w:szCs w:val="20"/>
                <w:lang w:eastAsia="en-US"/>
              </w:rPr>
              <w:t>5.1</w:t>
            </w:r>
          </w:p>
        </w:tc>
        <w:tc>
          <w:tcPr>
            <w:tcW w:w="2141" w:type="dxa"/>
            <w:tcBorders>
              <w:left w:val="single" w:sz="2" w:space="0" w:color="auto"/>
              <w:right w:val="single" w:sz="2" w:space="0" w:color="auto"/>
            </w:tcBorders>
            <w:shd w:val="clear" w:color="auto" w:fill="auto"/>
          </w:tcPr>
          <w:p w14:paraId="46593FC4" w14:textId="77777777" w:rsidR="00A60DAA" w:rsidRPr="00A60DAA" w:rsidRDefault="00A60DAA" w:rsidP="009775BF">
            <w:pPr>
              <w:tabs>
                <w:tab w:val="left" w:pos="307"/>
                <w:tab w:val="decimal" w:pos="881"/>
              </w:tabs>
              <w:ind w:right="794"/>
              <w:jc w:val="right"/>
              <w:rPr>
                <w:rFonts w:eastAsia="Calibri"/>
                <w:sz w:val="20"/>
                <w:szCs w:val="20"/>
                <w:lang w:eastAsia="en-US"/>
              </w:rPr>
            </w:pPr>
            <w:r w:rsidRPr="00A60DAA">
              <w:rPr>
                <w:rFonts w:eastAsia="Calibri"/>
                <w:sz w:val="20"/>
                <w:szCs w:val="20"/>
                <w:lang w:eastAsia="en-US"/>
              </w:rPr>
              <w:t>2.9</w:t>
            </w:r>
          </w:p>
        </w:tc>
      </w:tr>
      <w:tr w:rsidR="00A60DAA" w:rsidRPr="00A60DAA" w14:paraId="431C1E50" w14:textId="77777777" w:rsidTr="00BB7F01">
        <w:trPr>
          <w:cantSplit/>
          <w:trHeight w:val="20"/>
          <w:jc w:val="center"/>
        </w:trPr>
        <w:tc>
          <w:tcPr>
            <w:tcW w:w="2127" w:type="dxa"/>
            <w:tcBorders>
              <w:left w:val="single" w:sz="2" w:space="0" w:color="auto"/>
              <w:right w:val="single" w:sz="2" w:space="0" w:color="auto"/>
            </w:tcBorders>
            <w:shd w:val="clear" w:color="auto" w:fill="auto"/>
          </w:tcPr>
          <w:p w14:paraId="5D7C4EA9" w14:textId="77777777" w:rsidR="00A60DAA" w:rsidRPr="00A60DAA" w:rsidRDefault="00A60DAA" w:rsidP="00276F3E">
            <w:pPr>
              <w:widowControl w:val="0"/>
              <w:numPr>
                <w:ilvl w:val="0"/>
                <w:numId w:val="55"/>
              </w:numPr>
              <w:ind w:left="454" w:hanging="284"/>
              <w:jc w:val="both"/>
              <w:rPr>
                <w:rFonts w:eastAsia="Times New Roman"/>
                <w:sz w:val="20"/>
                <w:szCs w:val="20"/>
              </w:rPr>
            </w:pPr>
            <w:r w:rsidRPr="00A60DAA">
              <w:rPr>
                <w:rFonts w:eastAsia="Times New Roman"/>
                <w:sz w:val="20"/>
                <w:szCs w:val="20"/>
              </w:rPr>
              <w:t>Servicios</w:t>
            </w:r>
          </w:p>
        </w:tc>
        <w:tc>
          <w:tcPr>
            <w:tcW w:w="2111" w:type="dxa"/>
            <w:tcBorders>
              <w:left w:val="single" w:sz="2" w:space="0" w:color="auto"/>
              <w:right w:val="single" w:sz="2" w:space="0" w:color="auto"/>
            </w:tcBorders>
            <w:shd w:val="clear" w:color="auto" w:fill="auto"/>
          </w:tcPr>
          <w:p w14:paraId="04E287CF" w14:textId="77777777" w:rsidR="00A60DAA" w:rsidRPr="00A60DAA" w:rsidRDefault="00A60DAA" w:rsidP="009775BF">
            <w:pPr>
              <w:tabs>
                <w:tab w:val="left" w:pos="307"/>
              </w:tabs>
              <w:ind w:right="794"/>
              <w:jc w:val="right"/>
              <w:rPr>
                <w:rFonts w:eastAsia="Calibri"/>
                <w:sz w:val="20"/>
                <w:szCs w:val="20"/>
                <w:lang w:eastAsia="en-US"/>
              </w:rPr>
            </w:pPr>
            <w:r w:rsidRPr="00A60DAA">
              <w:rPr>
                <w:rFonts w:eastAsia="Calibri"/>
                <w:sz w:val="20"/>
                <w:szCs w:val="20"/>
                <w:lang w:eastAsia="en-US"/>
              </w:rPr>
              <w:t>1.3</w:t>
            </w:r>
          </w:p>
        </w:tc>
        <w:tc>
          <w:tcPr>
            <w:tcW w:w="2141" w:type="dxa"/>
            <w:tcBorders>
              <w:left w:val="single" w:sz="2" w:space="0" w:color="auto"/>
              <w:right w:val="single" w:sz="2" w:space="0" w:color="auto"/>
            </w:tcBorders>
            <w:shd w:val="clear" w:color="auto" w:fill="auto"/>
          </w:tcPr>
          <w:p w14:paraId="0180BE95" w14:textId="77777777" w:rsidR="00A60DAA" w:rsidRPr="00A60DAA" w:rsidRDefault="00A60DAA" w:rsidP="009775BF">
            <w:pPr>
              <w:tabs>
                <w:tab w:val="left" w:pos="307"/>
                <w:tab w:val="decimal" w:pos="881"/>
              </w:tabs>
              <w:ind w:right="794"/>
              <w:jc w:val="right"/>
              <w:rPr>
                <w:rFonts w:eastAsia="Calibri"/>
                <w:sz w:val="20"/>
                <w:szCs w:val="20"/>
                <w:lang w:eastAsia="en-US"/>
              </w:rPr>
            </w:pPr>
            <w:r w:rsidRPr="00A60DAA">
              <w:rPr>
                <w:rFonts w:eastAsia="Calibri"/>
                <w:sz w:val="20"/>
                <w:szCs w:val="20"/>
                <w:lang w:eastAsia="en-US"/>
              </w:rPr>
              <w:t>1.6</w:t>
            </w:r>
          </w:p>
        </w:tc>
      </w:tr>
      <w:tr w:rsidR="00A60DAA" w:rsidRPr="00A60DAA" w14:paraId="6AC5ABCC" w14:textId="77777777" w:rsidTr="00BB7F01">
        <w:trPr>
          <w:cantSplit/>
          <w:trHeight w:val="20"/>
          <w:jc w:val="center"/>
        </w:trPr>
        <w:tc>
          <w:tcPr>
            <w:tcW w:w="2127" w:type="dxa"/>
            <w:tcBorders>
              <w:left w:val="single" w:sz="2" w:space="0" w:color="auto"/>
              <w:right w:val="single" w:sz="2" w:space="0" w:color="auto"/>
            </w:tcBorders>
            <w:shd w:val="clear" w:color="auto" w:fill="auto"/>
          </w:tcPr>
          <w:p w14:paraId="28C3C825" w14:textId="77777777" w:rsidR="00A60DAA" w:rsidRPr="00A60DAA" w:rsidRDefault="00A60DAA" w:rsidP="007721AA">
            <w:pPr>
              <w:widowControl w:val="0"/>
              <w:jc w:val="both"/>
              <w:rPr>
                <w:rFonts w:eastAsia="Times New Roman"/>
                <w:b/>
                <w:sz w:val="20"/>
                <w:szCs w:val="20"/>
              </w:rPr>
            </w:pPr>
            <w:r w:rsidRPr="00A60DAA">
              <w:rPr>
                <w:rFonts w:eastAsia="Times New Roman"/>
                <w:b/>
                <w:sz w:val="20"/>
                <w:szCs w:val="20"/>
              </w:rPr>
              <w:t>Importado</w:t>
            </w:r>
          </w:p>
        </w:tc>
        <w:tc>
          <w:tcPr>
            <w:tcW w:w="2111" w:type="dxa"/>
            <w:tcBorders>
              <w:left w:val="single" w:sz="2" w:space="0" w:color="auto"/>
              <w:right w:val="single" w:sz="2" w:space="0" w:color="auto"/>
            </w:tcBorders>
            <w:shd w:val="clear" w:color="auto" w:fill="auto"/>
          </w:tcPr>
          <w:p w14:paraId="79E1F3A7" w14:textId="77777777" w:rsidR="00A60DAA" w:rsidRPr="00A60DAA" w:rsidRDefault="00A60DAA" w:rsidP="009775BF">
            <w:pPr>
              <w:tabs>
                <w:tab w:val="left" w:pos="307"/>
                <w:tab w:val="decimal" w:pos="881"/>
              </w:tabs>
              <w:ind w:right="794"/>
              <w:jc w:val="right"/>
              <w:rPr>
                <w:rFonts w:eastAsia="Calibri"/>
                <w:b/>
                <w:sz w:val="20"/>
                <w:szCs w:val="20"/>
                <w:lang w:eastAsia="en-US"/>
              </w:rPr>
            </w:pPr>
            <w:r w:rsidRPr="00A60DAA">
              <w:rPr>
                <w:rFonts w:eastAsia="Calibri"/>
                <w:b/>
                <w:sz w:val="20"/>
                <w:szCs w:val="20"/>
                <w:lang w:eastAsia="en-US"/>
              </w:rPr>
              <w:t>3.6</w:t>
            </w:r>
          </w:p>
        </w:tc>
        <w:tc>
          <w:tcPr>
            <w:tcW w:w="2141" w:type="dxa"/>
            <w:tcBorders>
              <w:left w:val="single" w:sz="2" w:space="0" w:color="auto"/>
              <w:right w:val="single" w:sz="2" w:space="0" w:color="auto"/>
            </w:tcBorders>
            <w:shd w:val="clear" w:color="auto" w:fill="auto"/>
          </w:tcPr>
          <w:p w14:paraId="6C4D410E" w14:textId="77777777" w:rsidR="00A60DAA" w:rsidRPr="00A60DAA" w:rsidRDefault="00A60DAA" w:rsidP="009775BF">
            <w:pPr>
              <w:tabs>
                <w:tab w:val="left" w:pos="307"/>
                <w:tab w:val="decimal" w:pos="881"/>
              </w:tabs>
              <w:ind w:right="794"/>
              <w:jc w:val="right"/>
              <w:rPr>
                <w:rFonts w:eastAsia="Calibri"/>
                <w:b/>
                <w:sz w:val="20"/>
                <w:szCs w:val="20"/>
                <w:lang w:eastAsia="en-US"/>
              </w:rPr>
            </w:pPr>
            <w:r w:rsidRPr="00A60DAA">
              <w:rPr>
                <w:rFonts w:eastAsia="Calibri"/>
                <w:b/>
                <w:sz w:val="20"/>
                <w:szCs w:val="20"/>
                <w:lang w:eastAsia="en-US"/>
              </w:rPr>
              <w:t>1.8</w:t>
            </w:r>
          </w:p>
        </w:tc>
      </w:tr>
      <w:tr w:rsidR="00A60DAA" w:rsidRPr="00A60DAA" w14:paraId="07F2D98D" w14:textId="77777777" w:rsidTr="00BB7F01">
        <w:trPr>
          <w:cantSplit/>
          <w:trHeight w:val="20"/>
          <w:jc w:val="center"/>
        </w:trPr>
        <w:tc>
          <w:tcPr>
            <w:tcW w:w="2127" w:type="dxa"/>
            <w:tcBorders>
              <w:left w:val="single" w:sz="2" w:space="0" w:color="auto"/>
              <w:bottom w:val="single" w:sz="2" w:space="0" w:color="auto"/>
              <w:right w:val="single" w:sz="2" w:space="0" w:color="auto"/>
            </w:tcBorders>
            <w:shd w:val="clear" w:color="auto" w:fill="auto"/>
          </w:tcPr>
          <w:p w14:paraId="3C5C98BC" w14:textId="77777777" w:rsidR="00A60DAA" w:rsidRPr="00A60DAA" w:rsidRDefault="00A60DAA" w:rsidP="00276F3E">
            <w:pPr>
              <w:widowControl w:val="0"/>
              <w:numPr>
                <w:ilvl w:val="0"/>
                <w:numId w:val="55"/>
              </w:numPr>
              <w:ind w:left="454" w:hanging="284"/>
              <w:jc w:val="both"/>
              <w:rPr>
                <w:rFonts w:eastAsia="Times New Roman"/>
                <w:sz w:val="20"/>
                <w:szCs w:val="20"/>
              </w:rPr>
            </w:pPr>
            <w:r w:rsidRPr="00A60DAA">
              <w:rPr>
                <w:rFonts w:eastAsia="Times New Roman"/>
                <w:sz w:val="20"/>
                <w:szCs w:val="20"/>
              </w:rPr>
              <w:t>Bienes</w:t>
            </w:r>
          </w:p>
        </w:tc>
        <w:tc>
          <w:tcPr>
            <w:tcW w:w="2111" w:type="dxa"/>
            <w:tcBorders>
              <w:left w:val="single" w:sz="2" w:space="0" w:color="auto"/>
              <w:bottom w:val="single" w:sz="2" w:space="0" w:color="auto"/>
              <w:right w:val="single" w:sz="2" w:space="0" w:color="auto"/>
            </w:tcBorders>
            <w:shd w:val="clear" w:color="auto" w:fill="auto"/>
          </w:tcPr>
          <w:p w14:paraId="475C463A" w14:textId="77777777" w:rsidR="00A60DAA" w:rsidRPr="00A60DAA" w:rsidRDefault="00A60DAA" w:rsidP="009775BF">
            <w:pPr>
              <w:tabs>
                <w:tab w:val="left" w:pos="307"/>
                <w:tab w:val="decimal" w:pos="881"/>
              </w:tabs>
              <w:ind w:right="794"/>
              <w:jc w:val="right"/>
              <w:rPr>
                <w:rFonts w:eastAsia="Calibri"/>
                <w:sz w:val="20"/>
                <w:szCs w:val="20"/>
                <w:lang w:eastAsia="en-US"/>
              </w:rPr>
            </w:pPr>
            <w:r w:rsidRPr="00A60DAA">
              <w:rPr>
                <w:rFonts w:eastAsia="Calibri"/>
                <w:sz w:val="20"/>
                <w:szCs w:val="20"/>
                <w:lang w:eastAsia="en-US"/>
              </w:rPr>
              <w:t>3.6</w:t>
            </w:r>
          </w:p>
        </w:tc>
        <w:tc>
          <w:tcPr>
            <w:tcW w:w="2141" w:type="dxa"/>
            <w:tcBorders>
              <w:left w:val="single" w:sz="2" w:space="0" w:color="auto"/>
              <w:bottom w:val="single" w:sz="2" w:space="0" w:color="auto"/>
              <w:right w:val="single" w:sz="2" w:space="0" w:color="auto"/>
            </w:tcBorders>
            <w:shd w:val="clear" w:color="auto" w:fill="auto"/>
          </w:tcPr>
          <w:p w14:paraId="39FF086C" w14:textId="77777777" w:rsidR="00A60DAA" w:rsidRPr="00BC772A" w:rsidRDefault="00A60DAA" w:rsidP="002F48E0">
            <w:pPr>
              <w:tabs>
                <w:tab w:val="left" w:pos="307"/>
                <w:tab w:val="decimal" w:pos="881"/>
              </w:tabs>
              <w:ind w:right="794"/>
              <w:jc w:val="right"/>
              <w:rPr>
                <w:rFonts w:eastAsia="Calibri"/>
                <w:sz w:val="20"/>
                <w:szCs w:val="20"/>
                <w:lang w:eastAsia="en-US"/>
              </w:rPr>
            </w:pPr>
            <w:r w:rsidRPr="00BC772A">
              <w:rPr>
                <w:rFonts w:eastAsia="Calibri"/>
                <w:sz w:val="20"/>
                <w:szCs w:val="20"/>
                <w:lang w:eastAsia="en-US"/>
              </w:rPr>
              <w:t>1.8</w:t>
            </w:r>
          </w:p>
        </w:tc>
      </w:tr>
      <w:tr w:rsidR="00A60DAA" w:rsidRPr="00A60DAA" w14:paraId="5551694D" w14:textId="77777777" w:rsidTr="00BB7F01">
        <w:trPr>
          <w:cantSplit/>
          <w:trHeight w:val="20"/>
          <w:jc w:val="center"/>
        </w:trPr>
        <w:tc>
          <w:tcPr>
            <w:tcW w:w="6379" w:type="dxa"/>
            <w:gridSpan w:val="3"/>
            <w:tcBorders>
              <w:top w:val="single" w:sz="2" w:space="0" w:color="auto"/>
            </w:tcBorders>
            <w:shd w:val="clear" w:color="auto" w:fill="auto"/>
          </w:tcPr>
          <w:p w14:paraId="0A90A030" w14:textId="77777777" w:rsidR="00A60DAA" w:rsidRPr="00A60DAA" w:rsidRDefault="00A60DAA" w:rsidP="007721AA">
            <w:pPr>
              <w:ind w:right="-91"/>
              <w:outlineLvl w:val="3"/>
              <w:rPr>
                <w:rFonts w:eastAsia="Calibri"/>
                <w:sz w:val="20"/>
                <w:szCs w:val="20"/>
                <w:lang w:eastAsia="en-US"/>
              </w:rPr>
            </w:pPr>
            <w:r w:rsidRPr="00A60DAA">
              <w:rPr>
                <w:rFonts w:eastAsia="Calibri"/>
                <w:sz w:val="20"/>
                <w:szCs w:val="20"/>
                <w:u w:val="single"/>
                <w:lang w:eastAsia="en-US"/>
              </w:rPr>
              <w:t>p</w:t>
            </w:r>
            <w:r w:rsidRPr="00A60DAA">
              <w:rPr>
                <w:rFonts w:eastAsia="Calibri"/>
                <w:sz w:val="20"/>
                <w:szCs w:val="20"/>
                <w:lang w:eastAsia="en-US"/>
              </w:rPr>
              <w:t>/ Cifras preliminares.</w:t>
            </w:r>
          </w:p>
          <w:p w14:paraId="695DFA1F" w14:textId="77777777" w:rsidR="00A60DAA" w:rsidRPr="00A60DAA" w:rsidRDefault="00A60DAA" w:rsidP="007721AA">
            <w:pPr>
              <w:keepNext/>
              <w:keepLines/>
              <w:ind w:right="584"/>
              <w:rPr>
                <w:rFonts w:eastAsia="Times New Roman"/>
                <w:sz w:val="20"/>
                <w:szCs w:val="20"/>
                <w:lang w:val="es-ES_tradnl"/>
              </w:rPr>
            </w:pPr>
            <w:r w:rsidRPr="00A60DAA">
              <w:rPr>
                <w:rFonts w:eastAsia="Times New Roman"/>
                <w:sz w:val="20"/>
                <w:szCs w:val="20"/>
                <w:lang w:val="es-ES_tradnl"/>
              </w:rPr>
              <w:t>FUENTE: INEGI.</w:t>
            </w:r>
          </w:p>
        </w:tc>
      </w:tr>
    </w:tbl>
    <w:p w14:paraId="2F419A59" w14:textId="77777777" w:rsidR="00A60DAA" w:rsidRPr="00A60DAA" w:rsidRDefault="00A60DAA" w:rsidP="00A60DAA">
      <w:pPr>
        <w:spacing w:after="360" w:line="360" w:lineRule="auto"/>
        <w:ind w:right="-159"/>
        <w:jc w:val="both"/>
        <w:rPr>
          <w:rFonts w:eastAsia="Times New Roman"/>
          <w:sz w:val="26"/>
          <w:szCs w:val="26"/>
          <w:lang w:val="es-ES"/>
        </w:rPr>
      </w:pPr>
    </w:p>
    <w:p w14:paraId="0E44605D" w14:textId="77777777" w:rsidR="00A60DAA" w:rsidRPr="00A60DAA" w:rsidRDefault="00A60DAA" w:rsidP="00A60DAA">
      <w:pPr>
        <w:ind w:right="-159"/>
        <w:jc w:val="both"/>
        <w:rPr>
          <w:rFonts w:eastAsia="Calibri"/>
          <w:b/>
          <w:sz w:val="20"/>
          <w:szCs w:val="20"/>
          <w:lang w:val="es-ES" w:eastAsia="en-US"/>
        </w:rPr>
      </w:pPr>
      <w:r w:rsidRPr="00A60DAA">
        <w:rPr>
          <w:rFonts w:eastAsia="Calibri"/>
          <w:b/>
          <w:sz w:val="20"/>
          <w:szCs w:val="20"/>
          <w:lang w:val="es-ES" w:eastAsia="en-US"/>
        </w:rPr>
        <w:t>Fuente de información:</w:t>
      </w:r>
    </w:p>
    <w:p w14:paraId="70317639" w14:textId="77777777" w:rsidR="00A60DAA" w:rsidRPr="00660E71" w:rsidRDefault="0093224F" w:rsidP="00A60DAA">
      <w:pPr>
        <w:ind w:right="-159"/>
        <w:jc w:val="both"/>
        <w:rPr>
          <w:rFonts w:eastAsia="Calibri"/>
          <w:color w:val="0000FF"/>
          <w:sz w:val="20"/>
          <w:szCs w:val="20"/>
          <w:lang w:eastAsia="en-US"/>
        </w:rPr>
      </w:pPr>
      <w:hyperlink r:id="rId144" w:history="1">
        <w:r w:rsidR="00A60DAA" w:rsidRPr="00660E71">
          <w:rPr>
            <w:rFonts w:eastAsia="Calibri"/>
            <w:color w:val="0000FF"/>
            <w:sz w:val="20"/>
            <w:szCs w:val="20"/>
            <w:u w:val="single"/>
            <w:lang w:eastAsia="en-US"/>
          </w:rPr>
          <w:t>http://www.inegi.org.mx/saladeprensa/boletines/2015/imcpmi/imcpmi2015_03.pdf</w:t>
        </w:r>
      </w:hyperlink>
      <w:r w:rsidR="00A60DAA" w:rsidRPr="00660E71">
        <w:rPr>
          <w:rFonts w:eastAsia="Calibri"/>
          <w:color w:val="0000FF"/>
          <w:sz w:val="20"/>
          <w:szCs w:val="20"/>
          <w:lang w:eastAsia="en-US"/>
        </w:rPr>
        <w:t xml:space="preserve"> </w:t>
      </w:r>
    </w:p>
    <w:p w14:paraId="34914984" w14:textId="77777777" w:rsidR="00A60DAA" w:rsidRPr="00660E71" w:rsidRDefault="00A60DAA" w:rsidP="00A60DAA">
      <w:pPr>
        <w:ind w:right="-159"/>
        <w:jc w:val="both"/>
        <w:rPr>
          <w:rFonts w:eastAsia="Calibri"/>
          <w:sz w:val="20"/>
          <w:szCs w:val="20"/>
          <w:lang w:eastAsia="en-US"/>
        </w:rPr>
      </w:pPr>
      <w:r w:rsidRPr="00660E71">
        <w:rPr>
          <w:rFonts w:eastAsia="Calibri"/>
          <w:sz w:val="20"/>
          <w:szCs w:val="20"/>
          <w:lang w:eastAsia="en-US"/>
        </w:rPr>
        <w:t>Para tener acceso a información relacionada visite:</w:t>
      </w:r>
    </w:p>
    <w:p w14:paraId="44BE1A81" w14:textId="77777777" w:rsidR="00A60DAA" w:rsidRPr="00660E71" w:rsidRDefault="0093224F" w:rsidP="00A60DAA">
      <w:pPr>
        <w:ind w:right="-159"/>
        <w:jc w:val="both"/>
        <w:rPr>
          <w:rFonts w:eastAsia="Calibri"/>
          <w:color w:val="0000FF"/>
          <w:sz w:val="20"/>
          <w:szCs w:val="20"/>
          <w:lang w:eastAsia="en-US"/>
        </w:rPr>
      </w:pPr>
      <w:hyperlink r:id="rId145" w:history="1">
        <w:r w:rsidR="00A60DAA" w:rsidRPr="00660E71">
          <w:rPr>
            <w:rFonts w:eastAsia="Calibri"/>
            <w:color w:val="0000FF"/>
            <w:sz w:val="20"/>
            <w:szCs w:val="20"/>
            <w:u w:val="single"/>
            <w:lang w:eastAsia="en-US"/>
          </w:rPr>
          <w:t>http://www.inegi.org.mx/prod_serv/contenidos/espanol/bvinegi/productos/metodologias/ajus_estacional/Metodajustestacional.pdf</w:t>
        </w:r>
      </w:hyperlink>
      <w:r w:rsidR="00A60DAA" w:rsidRPr="00660E71">
        <w:rPr>
          <w:rFonts w:eastAsia="Calibri"/>
          <w:color w:val="0000FF"/>
          <w:sz w:val="20"/>
          <w:szCs w:val="20"/>
          <w:lang w:eastAsia="en-US"/>
        </w:rPr>
        <w:t xml:space="preserve"> </w:t>
      </w:r>
    </w:p>
    <w:p w14:paraId="4C0BA0A1" w14:textId="77777777" w:rsidR="00A60DAA" w:rsidRPr="00660E71" w:rsidRDefault="00A60DAA" w:rsidP="00A60DAA">
      <w:pPr>
        <w:ind w:right="-159"/>
        <w:jc w:val="both"/>
        <w:rPr>
          <w:rFonts w:eastAsia="Calibri"/>
          <w:sz w:val="20"/>
          <w:szCs w:val="20"/>
          <w:lang w:eastAsia="en-US"/>
        </w:rPr>
      </w:pPr>
      <w:r w:rsidRPr="00660E71">
        <w:rPr>
          <w:rFonts w:eastAsia="Calibri"/>
          <w:sz w:val="20"/>
          <w:szCs w:val="20"/>
          <w:lang w:eastAsia="en-US"/>
        </w:rPr>
        <w:t>Para tener acceso al “</w:t>
      </w:r>
      <w:r w:rsidRPr="00660E71">
        <w:rPr>
          <w:rFonts w:eastAsia="Calibri"/>
          <w:sz w:val="20"/>
          <w:szCs w:val="20"/>
          <w:lang w:val="es-ES" w:eastAsia="en-US"/>
        </w:rPr>
        <w:t>Tabulado resumen del indicador mensual del consumo privado en el mercado interior” ‏visite:</w:t>
      </w:r>
    </w:p>
    <w:p w14:paraId="751E0B30" w14:textId="77777777" w:rsidR="00A60DAA" w:rsidRPr="00660E71" w:rsidRDefault="0093224F" w:rsidP="00A60DAA">
      <w:pPr>
        <w:ind w:right="-159"/>
        <w:jc w:val="both"/>
        <w:rPr>
          <w:rFonts w:eastAsia="Calibri"/>
          <w:color w:val="0000FF"/>
          <w:sz w:val="20"/>
          <w:szCs w:val="20"/>
          <w:lang w:eastAsia="en-US"/>
        </w:rPr>
      </w:pPr>
      <w:hyperlink r:id="rId146" w:history="1">
        <w:r w:rsidR="00A60DAA" w:rsidRPr="00660E71">
          <w:rPr>
            <w:rFonts w:eastAsia="Calibri"/>
            <w:color w:val="0000FF"/>
            <w:sz w:val="20"/>
            <w:szCs w:val="20"/>
            <w:u w:val="single"/>
            <w:lang w:eastAsia="en-US"/>
          </w:rPr>
          <w:t>http://www.inegi.org.mx/saladeprensa/boletines/2015/imcpmi/imcpmi2015_03.xls</w:t>
        </w:r>
      </w:hyperlink>
      <w:r w:rsidR="00A60DAA" w:rsidRPr="00660E71">
        <w:rPr>
          <w:rFonts w:eastAsia="Calibri"/>
          <w:color w:val="0000FF"/>
          <w:sz w:val="20"/>
          <w:szCs w:val="20"/>
          <w:lang w:eastAsia="en-US"/>
        </w:rPr>
        <w:t xml:space="preserve"> </w:t>
      </w:r>
    </w:p>
    <w:p w14:paraId="1CA03450" w14:textId="77777777" w:rsidR="00A60DAA" w:rsidRPr="00660E71" w:rsidRDefault="00A60DAA" w:rsidP="00A60DAA">
      <w:pPr>
        <w:ind w:right="-159"/>
        <w:jc w:val="both"/>
        <w:rPr>
          <w:rFonts w:eastAsia="Calibri"/>
          <w:sz w:val="20"/>
          <w:szCs w:val="20"/>
          <w:lang w:eastAsia="en-US"/>
        </w:rPr>
      </w:pPr>
      <w:r w:rsidRPr="00660E71">
        <w:rPr>
          <w:rFonts w:eastAsia="Calibri"/>
          <w:sz w:val="20"/>
          <w:szCs w:val="20"/>
          <w:lang w:eastAsia="en-US"/>
        </w:rPr>
        <w:t>Para tener acceso a información adicional visite:</w:t>
      </w:r>
    </w:p>
    <w:p w14:paraId="4903AEEA" w14:textId="77777777" w:rsidR="00A60DAA" w:rsidRPr="00660E71" w:rsidRDefault="0093224F" w:rsidP="00660E71">
      <w:pPr>
        <w:spacing w:after="720"/>
        <w:ind w:right="-159"/>
        <w:jc w:val="both"/>
        <w:rPr>
          <w:rFonts w:eastAsia="Calibri"/>
          <w:color w:val="0000FF"/>
          <w:sz w:val="20"/>
          <w:szCs w:val="20"/>
          <w:lang w:eastAsia="en-US"/>
        </w:rPr>
      </w:pPr>
      <w:hyperlink r:id="rId147" w:history="1">
        <w:r w:rsidR="00A60DAA" w:rsidRPr="00660E71">
          <w:rPr>
            <w:rFonts w:eastAsia="Calibri"/>
            <w:color w:val="0000FF"/>
            <w:sz w:val="20"/>
            <w:szCs w:val="20"/>
            <w:u w:val="single"/>
            <w:lang w:eastAsia="en-US"/>
          </w:rPr>
          <w:t>http://www.inegi.org.mx/est/contenidos/proyectos/graficas_temas/economia/Graficas/imcpmi/cptotal1.htm?s=est&amp;c=34000</w:t>
        </w:r>
      </w:hyperlink>
      <w:r w:rsidR="00A60DAA" w:rsidRPr="00660E71">
        <w:rPr>
          <w:rFonts w:eastAsia="Calibri"/>
          <w:color w:val="0000FF"/>
          <w:sz w:val="20"/>
          <w:szCs w:val="20"/>
          <w:lang w:eastAsia="en-US"/>
        </w:rPr>
        <w:t xml:space="preserve"> </w:t>
      </w:r>
    </w:p>
    <w:p w14:paraId="22FBCFC8" w14:textId="77777777" w:rsidR="004E5D04" w:rsidRPr="004E5D04" w:rsidRDefault="004E5D04" w:rsidP="004E5D04">
      <w:pPr>
        <w:spacing w:after="360" w:line="360" w:lineRule="auto"/>
        <w:ind w:right="-159"/>
        <w:jc w:val="both"/>
        <w:rPr>
          <w:rFonts w:eastAsia="Times New Roman"/>
          <w:b/>
          <w:sz w:val="26"/>
          <w:szCs w:val="26"/>
        </w:rPr>
      </w:pPr>
      <w:r w:rsidRPr="004E5D04">
        <w:rPr>
          <w:rFonts w:eastAsia="Times New Roman"/>
          <w:b/>
          <w:sz w:val="26"/>
          <w:szCs w:val="26"/>
        </w:rPr>
        <w:t>Inversión Fija Bruta, durante diciembre de 2014 (INEGI)</w:t>
      </w:r>
    </w:p>
    <w:p w14:paraId="315EDDEF" w14:textId="77777777" w:rsidR="004E5D04" w:rsidRPr="004E5D04" w:rsidRDefault="004E5D04" w:rsidP="004E5D04">
      <w:pPr>
        <w:spacing w:after="360" w:line="360" w:lineRule="auto"/>
        <w:ind w:right="-159"/>
        <w:jc w:val="both"/>
        <w:rPr>
          <w:rFonts w:eastAsia="Times New Roman"/>
          <w:sz w:val="26"/>
          <w:szCs w:val="26"/>
        </w:rPr>
      </w:pPr>
      <w:r w:rsidRPr="004E5D04">
        <w:rPr>
          <w:rFonts w:eastAsia="Times New Roman"/>
          <w:sz w:val="26"/>
          <w:szCs w:val="26"/>
        </w:rPr>
        <w:t>El 3 de marzo de 2015, el Instituto Nacional de Estadística y Geografía (INEGI) dio a conocer el “Indicador Mensual de la Inversión Fija Bruta en México”, con cifras durante diciembre de 2014</w:t>
      </w:r>
      <w:r w:rsidRPr="004E5D04">
        <w:rPr>
          <w:rFonts w:eastAsia="Times New Roman"/>
          <w:i/>
          <w:sz w:val="26"/>
          <w:szCs w:val="26"/>
        </w:rPr>
        <w:t>.</w:t>
      </w:r>
      <w:r w:rsidRPr="004E5D04">
        <w:rPr>
          <w:rFonts w:eastAsia="Times New Roman"/>
          <w:sz w:val="26"/>
          <w:szCs w:val="26"/>
        </w:rPr>
        <w:t xml:space="preserve"> A continuación se presenta la información.</w:t>
      </w:r>
    </w:p>
    <w:tbl>
      <w:tblPr>
        <w:tblW w:w="0" w:type="auto"/>
        <w:jc w:val="center"/>
        <w:tblLayout w:type="fixed"/>
        <w:tblLook w:val="04A0" w:firstRow="1" w:lastRow="0" w:firstColumn="1" w:lastColumn="0" w:noHBand="0" w:noVBand="1"/>
      </w:tblPr>
      <w:tblGrid>
        <w:gridCol w:w="2268"/>
        <w:gridCol w:w="2127"/>
        <w:gridCol w:w="2126"/>
      </w:tblGrid>
      <w:tr w:rsidR="004E5D04" w:rsidRPr="004E5D04" w14:paraId="379B2405" w14:textId="77777777" w:rsidTr="00E23F0E">
        <w:trPr>
          <w:jc w:val="center"/>
        </w:trPr>
        <w:tc>
          <w:tcPr>
            <w:tcW w:w="6521" w:type="dxa"/>
            <w:gridSpan w:val="3"/>
            <w:tcBorders>
              <w:top w:val="nil"/>
              <w:left w:val="nil"/>
              <w:bottom w:val="single" w:sz="4" w:space="0" w:color="auto"/>
              <w:right w:val="nil"/>
            </w:tcBorders>
          </w:tcPr>
          <w:p w14:paraId="1F74EF18" w14:textId="77777777" w:rsidR="004E5D04" w:rsidRPr="004E5D04" w:rsidRDefault="004E5D04" w:rsidP="004E5D04">
            <w:pPr>
              <w:jc w:val="center"/>
              <w:rPr>
                <w:rFonts w:eastAsia="Times New Roman"/>
                <w:b/>
                <w:sz w:val="22"/>
                <w:szCs w:val="26"/>
              </w:rPr>
            </w:pPr>
            <w:r w:rsidRPr="004E5D04">
              <w:rPr>
                <w:rFonts w:eastAsia="Times New Roman"/>
                <w:b/>
                <w:sz w:val="22"/>
                <w:szCs w:val="26"/>
              </w:rPr>
              <w:t>INVERSIÓN FIJA BRUTA A DICIEMBRE DE 2014</w:t>
            </w:r>
          </w:p>
          <w:p w14:paraId="64053A51" w14:textId="77777777" w:rsidR="004E5D04" w:rsidRPr="004E5D04" w:rsidRDefault="004E5D04" w:rsidP="004E5D04">
            <w:pPr>
              <w:jc w:val="center"/>
              <w:rPr>
                <w:rFonts w:eastAsia="Times New Roman"/>
                <w:b/>
                <w:sz w:val="22"/>
                <w:szCs w:val="26"/>
              </w:rPr>
            </w:pPr>
            <w:r w:rsidRPr="004E5D04">
              <w:rPr>
                <w:rFonts w:eastAsia="Times New Roman"/>
                <w:b/>
                <w:sz w:val="22"/>
                <w:szCs w:val="26"/>
              </w:rPr>
              <w:t>Cifras desestacionalizadas por componente</w:t>
            </w:r>
          </w:p>
        </w:tc>
      </w:tr>
      <w:tr w:rsidR="004E5D04" w:rsidRPr="004E5D04" w14:paraId="7F992A6D" w14:textId="77777777" w:rsidTr="00E23F0E">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55C1B18D" w14:textId="77777777" w:rsidR="004E5D04" w:rsidRPr="004E5D04" w:rsidRDefault="004E5D04" w:rsidP="004E5D04">
            <w:pPr>
              <w:jc w:val="center"/>
              <w:rPr>
                <w:rFonts w:eastAsia="Times New Roman"/>
                <w:b/>
                <w:sz w:val="20"/>
                <w:szCs w:val="26"/>
              </w:rPr>
            </w:pPr>
            <w:r w:rsidRPr="004E5D04">
              <w:rPr>
                <w:rFonts w:eastAsia="Times New Roman"/>
                <w:b/>
                <w:sz w:val="20"/>
                <w:szCs w:val="26"/>
              </w:rPr>
              <w:t>Concepto</w:t>
            </w:r>
          </w:p>
        </w:tc>
        <w:tc>
          <w:tcPr>
            <w:tcW w:w="2127" w:type="dxa"/>
            <w:tcBorders>
              <w:top w:val="single" w:sz="4" w:space="0" w:color="auto"/>
              <w:left w:val="single" w:sz="4" w:space="0" w:color="auto"/>
              <w:bottom w:val="single" w:sz="4" w:space="0" w:color="auto"/>
              <w:right w:val="single" w:sz="4" w:space="0" w:color="auto"/>
            </w:tcBorders>
          </w:tcPr>
          <w:p w14:paraId="02C550FB" w14:textId="77777777" w:rsidR="004E5D04" w:rsidRPr="004E5D04" w:rsidRDefault="004E5D04" w:rsidP="004E5D04">
            <w:pPr>
              <w:jc w:val="center"/>
              <w:rPr>
                <w:rFonts w:eastAsia="Times New Roman"/>
                <w:b/>
                <w:sz w:val="20"/>
                <w:szCs w:val="26"/>
              </w:rPr>
            </w:pPr>
            <w:r w:rsidRPr="004E5D04">
              <w:rPr>
                <w:rFonts w:eastAsia="Times New Roman"/>
                <w:b/>
                <w:sz w:val="20"/>
                <w:szCs w:val="26"/>
              </w:rPr>
              <w:t>Variación % respecto al mes previo</w:t>
            </w:r>
          </w:p>
        </w:tc>
        <w:tc>
          <w:tcPr>
            <w:tcW w:w="2126" w:type="dxa"/>
            <w:tcBorders>
              <w:top w:val="single" w:sz="4" w:space="0" w:color="auto"/>
              <w:left w:val="single" w:sz="4" w:space="0" w:color="auto"/>
              <w:bottom w:val="single" w:sz="4" w:space="0" w:color="auto"/>
              <w:right w:val="single" w:sz="4" w:space="0" w:color="auto"/>
            </w:tcBorders>
          </w:tcPr>
          <w:p w14:paraId="66C07018" w14:textId="77777777" w:rsidR="004E5D04" w:rsidRPr="004E5D04" w:rsidRDefault="004E5D04" w:rsidP="004E5D04">
            <w:pPr>
              <w:jc w:val="center"/>
              <w:rPr>
                <w:rFonts w:eastAsia="Times New Roman"/>
                <w:b/>
                <w:sz w:val="20"/>
                <w:szCs w:val="26"/>
              </w:rPr>
            </w:pPr>
            <w:r w:rsidRPr="004E5D04">
              <w:rPr>
                <w:rFonts w:eastAsia="Times New Roman"/>
                <w:b/>
                <w:sz w:val="20"/>
                <w:szCs w:val="26"/>
              </w:rPr>
              <w:t>Variación % respecto a igual mes de 2013</w:t>
            </w:r>
          </w:p>
        </w:tc>
      </w:tr>
      <w:tr w:rsidR="004E5D04" w:rsidRPr="004E5D04" w14:paraId="73AA6637" w14:textId="77777777" w:rsidTr="00E23F0E">
        <w:trPr>
          <w:jc w:val="center"/>
        </w:trPr>
        <w:tc>
          <w:tcPr>
            <w:tcW w:w="2268" w:type="dxa"/>
            <w:tcBorders>
              <w:top w:val="single" w:sz="4" w:space="0" w:color="auto"/>
              <w:left w:val="single" w:sz="4" w:space="0" w:color="auto"/>
              <w:right w:val="single" w:sz="4" w:space="0" w:color="auto"/>
            </w:tcBorders>
          </w:tcPr>
          <w:p w14:paraId="31FD830C" w14:textId="77777777" w:rsidR="004E5D04" w:rsidRPr="004E5D04" w:rsidRDefault="004E5D04" w:rsidP="004E5D04">
            <w:pPr>
              <w:jc w:val="both"/>
              <w:rPr>
                <w:rFonts w:eastAsia="Times New Roman"/>
                <w:b/>
                <w:sz w:val="20"/>
                <w:szCs w:val="26"/>
              </w:rPr>
            </w:pPr>
            <w:r w:rsidRPr="004E5D04">
              <w:rPr>
                <w:rFonts w:eastAsia="Times New Roman"/>
                <w:b/>
                <w:sz w:val="20"/>
                <w:szCs w:val="26"/>
              </w:rPr>
              <w:t>Inversión Fija Bruta</w:t>
            </w:r>
          </w:p>
        </w:tc>
        <w:tc>
          <w:tcPr>
            <w:tcW w:w="2127" w:type="dxa"/>
            <w:tcBorders>
              <w:top w:val="single" w:sz="4" w:space="0" w:color="auto"/>
              <w:left w:val="single" w:sz="4" w:space="0" w:color="auto"/>
              <w:right w:val="single" w:sz="4" w:space="0" w:color="auto"/>
            </w:tcBorders>
          </w:tcPr>
          <w:p w14:paraId="6599291E" w14:textId="77777777" w:rsidR="004E5D04" w:rsidRPr="004E5D04" w:rsidRDefault="004E5D04" w:rsidP="004E5D04">
            <w:pPr>
              <w:jc w:val="center"/>
              <w:rPr>
                <w:rFonts w:eastAsia="Times New Roman"/>
                <w:b/>
                <w:sz w:val="20"/>
                <w:szCs w:val="26"/>
              </w:rPr>
            </w:pPr>
            <w:r w:rsidRPr="004E5D04">
              <w:rPr>
                <w:rFonts w:eastAsia="Times New Roman"/>
                <w:b/>
                <w:sz w:val="20"/>
                <w:szCs w:val="26"/>
              </w:rPr>
              <w:t>-1.0</w:t>
            </w:r>
          </w:p>
        </w:tc>
        <w:tc>
          <w:tcPr>
            <w:tcW w:w="2126" w:type="dxa"/>
            <w:tcBorders>
              <w:top w:val="single" w:sz="4" w:space="0" w:color="auto"/>
              <w:left w:val="single" w:sz="4" w:space="0" w:color="auto"/>
              <w:right w:val="single" w:sz="4" w:space="0" w:color="auto"/>
            </w:tcBorders>
          </w:tcPr>
          <w:p w14:paraId="3FCB41DC" w14:textId="77777777" w:rsidR="004E5D04" w:rsidRPr="004E5D04" w:rsidRDefault="004E5D04" w:rsidP="004E5D04">
            <w:pPr>
              <w:ind w:right="851"/>
              <w:jc w:val="right"/>
              <w:rPr>
                <w:rFonts w:eastAsia="Times New Roman"/>
                <w:b/>
                <w:sz w:val="20"/>
                <w:szCs w:val="26"/>
              </w:rPr>
            </w:pPr>
            <w:r w:rsidRPr="004E5D04">
              <w:rPr>
                <w:rFonts w:eastAsia="Times New Roman"/>
                <w:b/>
                <w:sz w:val="20"/>
                <w:szCs w:val="26"/>
              </w:rPr>
              <w:t>4.6</w:t>
            </w:r>
          </w:p>
        </w:tc>
      </w:tr>
      <w:tr w:rsidR="004E5D04" w:rsidRPr="004E5D04" w14:paraId="2F4C28B4" w14:textId="77777777" w:rsidTr="00E23F0E">
        <w:trPr>
          <w:jc w:val="center"/>
        </w:trPr>
        <w:tc>
          <w:tcPr>
            <w:tcW w:w="2268" w:type="dxa"/>
            <w:tcBorders>
              <w:left w:val="single" w:sz="4" w:space="0" w:color="auto"/>
              <w:right w:val="single" w:sz="4" w:space="0" w:color="auto"/>
            </w:tcBorders>
          </w:tcPr>
          <w:p w14:paraId="6B204F41" w14:textId="77777777" w:rsidR="004E5D04" w:rsidRPr="004E5D04" w:rsidRDefault="004E5D04" w:rsidP="004E5D04">
            <w:pPr>
              <w:jc w:val="both"/>
              <w:rPr>
                <w:rFonts w:eastAsia="Times New Roman"/>
                <w:b/>
                <w:sz w:val="20"/>
                <w:szCs w:val="26"/>
              </w:rPr>
            </w:pPr>
            <w:r w:rsidRPr="004E5D04">
              <w:rPr>
                <w:rFonts w:eastAsia="Times New Roman"/>
                <w:b/>
                <w:sz w:val="20"/>
                <w:szCs w:val="26"/>
              </w:rPr>
              <w:t>Construcción</w:t>
            </w:r>
          </w:p>
        </w:tc>
        <w:tc>
          <w:tcPr>
            <w:tcW w:w="2127" w:type="dxa"/>
            <w:tcBorders>
              <w:left w:val="single" w:sz="4" w:space="0" w:color="auto"/>
              <w:right w:val="single" w:sz="4" w:space="0" w:color="auto"/>
            </w:tcBorders>
          </w:tcPr>
          <w:p w14:paraId="518D5371" w14:textId="77777777" w:rsidR="004E5D04" w:rsidRPr="004E5D04" w:rsidRDefault="004E5D04" w:rsidP="004E5D04">
            <w:pPr>
              <w:jc w:val="center"/>
              <w:rPr>
                <w:rFonts w:eastAsia="Times New Roman"/>
                <w:b/>
                <w:sz w:val="20"/>
                <w:szCs w:val="26"/>
              </w:rPr>
            </w:pPr>
            <w:r w:rsidRPr="004E5D04">
              <w:rPr>
                <w:rFonts w:eastAsia="Times New Roman"/>
                <w:b/>
                <w:sz w:val="20"/>
                <w:szCs w:val="26"/>
              </w:rPr>
              <w:t>-0.4</w:t>
            </w:r>
          </w:p>
        </w:tc>
        <w:tc>
          <w:tcPr>
            <w:tcW w:w="2126" w:type="dxa"/>
            <w:tcBorders>
              <w:left w:val="single" w:sz="4" w:space="0" w:color="auto"/>
              <w:right w:val="single" w:sz="4" w:space="0" w:color="auto"/>
            </w:tcBorders>
          </w:tcPr>
          <w:p w14:paraId="35C7065F" w14:textId="77777777" w:rsidR="004E5D04" w:rsidRPr="004E5D04" w:rsidRDefault="004E5D04" w:rsidP="004E5D04">
            <w:pPr>
              <w:ind w:right="851"/>
              <w:jc w:val="right"/>
              <w:rPr>
                <w:rFonts w:eastAsia="Times New Roman"/>
                <w:b/>
                <w:sz w:val="20"/>
                <w:szCs w:val="26"/>
              </w:rPr>
            </w:pPr>
            <w:r w:rsidRPr="004E5D04">
              <w:rPr>
                <w:rFonts w:eastAsia="Times New Roman"/>
                <w:b/>
                <w:sz w:val="20"/>
                <w:szCs w:val="26"/>
              </w:rPr>
              <w:t>3.2</w:t>
            </w:r>
          </w:p>
        </w:tc>
      </w:tr>
      <w:tr w:rsidR="004E5D04" w:rsidRPr="004E5D04" w14:paraId="0781E305" w14:textId="77777777" w:rsidTr="00E23F0E">
        <w:trPr>
          <w:jc w:val="center"/>
        </w:trPr>
        <w:tc>
          <w:tcPr>
            <w:tcW w:w="2268" w:type="dxa"/>
            <w:tcBorders>
              <w:left w:val="single" w:sz="4" w:space="0" w:color="auto"/>
              <w:right w:val="single" w:sz="4" w:space="0" w:color="auto"/>
            </w:tcBorders>
          </w:tcPr>
          <w:p w14:paraId="17C25217" w14:textId="77777777" w:rsidR="004E5D04" w:rsidRPr="004E5D04" w:rsidRDefault="004E5D04" w:rsidP="004E5D04">
            <w:pPr>
              <w:jc w:val="both"/>
              <w:rPr>
                <w:rFonts w:eastAsia="Times New Roman"/>
                <w:b/>
                <w:sz w:val="20"/>
                <w:szCs w:val="26"/>
              </w:rPr>
            </w:pPr>
            <w:r w:rsidRPr="004E5D04">
              <w:rPr>
                <w:rFonts w:eastAsia="Times New Roman"/>
                <w:b/>
                <w:sz w:val="20"/>
                <w:szCs w:val="26"/>
              </w:rPr>
              <w:t>Maquinaria y Equipo</w:t>
            </w:r>
          </w:p>
        </w:tc>
        <w:tc>
          <w:tcPr>
            <w:tcW w:w="2127" w:type="dxa"/>
            <w:tcBorders>
              <w:left w:val="single" w:sz="4" w:space="0" w:color="auto"/>
              <w:right w:val="single" w:sz="4" w:space="0" w:color="auto"/>
            </w:tcBorders>
          </w:tcPr>
          <w:p w14:paraId="14D407E3" w14:textId="77777777" w:rsidR="004E5D04" w:rsidRPr="004E5D04" w:rsidRDefault="004E5D04" w:rsidP="004E5D04">
            <w:pPr>
              <w:jc w:val="center"/>
              <w:rPr>
                <w:rFonts w:eastAsia="Times New Roman"/>
                <w:b/>
                <w:sz w:val="20"/>
                <w:szCs w:val="26"/>
              </w:rPr>
            </w:pPr>
            <w:r w:rsidRPr="004E5D04">
              <w:rPr>
                <w:rFonts w:eastAsia="Times New Roman"/>
                <w:b/>
                <w:sz w:val="20"/>
                <w:szCs w:val="26"/>
              </w:rPr>
              <w:t>-3.1</w:t>
            </w:r>
          </w:p>
        </w:tc>
        <w:tc>
          <w:tcPr>
            <w:tcW w:w="2126" w:type="dxa"/>
            <w:tcBorders>
              <w:left w:val="single" w:sz="4" w:space="0" w:color="auto"/>
              <w:right w:val="single" w:sz="4" w:space="0" w:color="auto"/>
            </w:tcBorders>
          </w:tcPr>
          <w:p w14:paraId="253F468A" w14:textId="77777777" w:rsidR="004E5D04" w:rsidRPr="004E5D04" w:rsidRDefault="004E5D04" w:rsidP="004E5D04">
            <w:pPr>
              <w:ind w:right="851"/>
              <w:jc w:val="right"/>
              <w:rPr>
                <w:rFonts w:eastAsia="Times New Roman"/>
                <w:b/>
                <w:sz w:val="20"/>
                <w:szCs w:val="26"/>
              </w:rPr>
            </w:pPr>
            <w:r w:rsidRPr="004E5D04">
              <w:rPr>
                <w:rFonts w:eastAsia="Times New Roman"/>
                <w:b/>
                <w:sz w:val="20"/>
                <w:szCs w:val="26"/>
              </w:rPr>
              <w:t>6.5</w:t>
            </w:r>
          </w:p>
        </w:tc>
      </w:tr>
      <w:tr w:rsidR="004E5D04" w:rsidRPr="004E5D04" w14:paraId="121075A1" w14:textId="77777777" w:rsidTr="00E23F0E">
        <w:trPr>
          <w:jc w:val="center"/>
        </w:trPr>
        <w:tc>
          <w:tcPr>
            <w:tcW w:w="2268" w:type="dxa"/>
            <w:tcBorders>
              <w:left w:val="single" w:sz="4" w:space="0" w:color="auto"/>
              <w:right w:val="single" w:sz="4" w:space="0" w:color="auto"/>
            </w:tcBorders>
          </w:tcPr>
          <w:p w14:paraId="1CEEE3DA" w14:textId="77777777" w:rsidR="004E5D04" w:rsidRPr="004E5D04" w:rsidRDefault="004E5D04" w:rsidP="004E5D04">
            <w:pPr>
              <w:ind w:left="170"/>
              <w:jc w:val="both"/>
              <w:rPr>
                <w:rFonts w:eastAsia="Times New Roman"/>
                <w:sz w:val="20"/>
                <w:szCs w:val="26"/>
              </w:rPr>
            </w:pPr>
            <w:r w:rsidRPr="004E5D04">
              <w:rPr>
                <w:rFonts w:eastAsia="Times New Roman"/>
                <w:sz w:val="20"/>
                <w:szCs w:val="26"/>
              </w:rPr>
              <w:t>Nacional</w:t>
            </w:r>
          </w:p>
        </w:tc>
        <w:tc>
          <w:tcPr>
            <w:tcW w:w="2127" w:type="dxa"/>
            <w:tcBorders>
              <w:left w:val="single" w:sz="4" w:space="0" w:color="auto"/>
              <w:right w:val="single" w:sz="4" w:space="0" w:color="auto"/>
            </w:tcBorders>
          </w:tcPr>
          <w:p w14:paraId="13A7DC0B" w14:textId="77777777" w:rsidR="004E5D04" w:rsidRPr="004E5D04" w:rsidRDefault="004E5D04" w:rsidP="004E5D04">
            <w:pPr>
              <w:jc w:val="center"/>
              <w:rPr>
                <w:rFonts w:eastAsia="Times New Roman"/>
                <w:sz w:val="20"/>
                <w:szCs w:val="26"/>
              </w:rPr>
            </w:pPr>
            <w:r w:rsidRPr="004E5D04">
              <w:rPr>
                <w:rFonts w:eastAsia="Times New Roman"/>
                <w:sz w:val="20"/>
                <w:szCs w:val="26"/>
              </w:rPr>
              <w:t>-5.2</w:t>
            </w:r>
          </w:p>
        </w:tc>
        <w:tc>
          <w:tcPr>
            <w:tcW w:w="2126" w:type="dxa"/>
            <w:tcBorders>
              <w:left w:val="single" w:sz="4" w:space="0" w:color="auto"/>
              <w:right w:val="single" w:sz="4" w:space="0" w:color="auto"/>
            </w:tcBorders>
          </w:tcPr>
          <w:p w14:paraId="29B14E2A" w14:textId="77777777" w:rsidR="004E5D04" w:rsidRPr="004E5D04" w:rsidRDefault="004E5D04" w:rsidP="004E5D04">
            <w:pPr>
              <w:ind w:right="851"/>
              <w:jc w:val="right"/>
              <w:rPr>
                <w:rFonts w:eastAsia="Times New Roman"/>
                <w:sz w:val="20"/>
                <w:szCs w:val="26"/>
              </w:rPr>
            </w:pPr>
            <w:r w:rsidRPr="004E5D04">
              <w:rPr>
                <w:rFonts w:eastAsia="Times New Roman"/>
                <w:sz w:val="20"/>
                <w:szCs w:val="26"/>
              </w:rPr>
              <w:t>10.2</w:t>
            </w:r>
          </w:p>
        </w:tc>
      </w:tr>
      <w:tr w:rsidR="004E5D04" w:rsidRPr="004E5D04" w14:paraId="6512732B" w14:textId="77777777" w:rsidTr="00E23F0E">
        <w:trPr>
          <w:jc w:val="center"/>
        </w:trPr>
        <w:tc>
          <w:tcPr>
            <w:tcW w:w="2268" w:type="dxa"/>
            <w:tcBorders>
              <w:left w:val="single" w:sz="4" w:space="0" w:color="auto"/>
              <w:bottom w:val="single" w:sz="4" w:space="0" w:color="auto"/>
              <w:right w:val="single" w:sz="4" w:space="0" w:color="auto"/>
            </w:tcBorders>
          </w:tcPr>
          <w:p w14:paraId="1C7D6932" w14:textId="77777777" w:rsidR="004E5D04" w:rsidRPr="004E5D04" w:rsidRDefault="004E5D04" w:rsidP="004E5D04">
            <w:pPr>
              <w:ind w:left="170"/>
              <w:jc w:val="both"/>
              <w:rPr>
                <w:rFonts w:eastAsia="Times New Roman"/>
                <w:sz w:val="20"/>
                <w:szCs w:val="26"/>
              </w:rPr>
            </w:pPr>
            <w:r w:rsidRPr="004E5D04">
              <w:rPr>
                <w:rFonts w:eastAsia="Times New Roman"/>
                <w:sz w:val="20"/>
                <w:szCs w:val="26"/>
              </w:rPr>
              <w:t>Importado</w:t>
            </w:r>
          </w:p>
        </w:tc>
        <w:tc>
          <w:tcPr>
            <w:tcW w:w="2127" w:type="dxa"/>
            <w:tcBorders>
              <w:left w:val="single" w:sz="4" w:space="0" w:color="auto"/>
              <w:bottom w:val="single" w:sz="4" w:space="0" w:color="auto"/>
              <w:right w:val="single" w:sz="4" w:space="0" w:color="auto"/>
            </w:tcBorders>
          </w:tcPr>
          <w:p w14:paraId="1239767D" w14:textId="77777777" w:rsidR="004E5D04" w:rsidRPr="004E5D04" w:rsidRDefault="004E5D04" w:rsidP="004E5D04">
            <w:pPr>
              <w:jc w:val="center"/>
              <w:rPr>
                <w:rFonts w:eastAsia="Times New Roman"/>
                <w:sz w:val="20"/>
                <w:szCs w:val="26"/>
              </w:rPr>
            </w:pPr>
            <w:r w:rsidRPr="004E5D04">
              <w:rPr>
                <w:rFonts w:eastAsia="Times New Roman"/>
                <w:sz w:val="20"/>
                <w:szCs w:val="26"/>
              </w:rPr>
              <w:t>-2.3</w:t>
            </w:r>
          </w:p>
        </w:tc>
        <w:tc>
          <w:tcPr>
            <w:tcW w:w="2126" w:type="dxa"/>
            <w:tcBorders>
              <w:left w:val="single" w:sz="4" w:space="0" w:color="auto"/>
              <w:bottom w:val="single" w:sz="4" w:space="0" w:color="auto"/>
              <w:right w:val="single" w:sz="4" w:space="0" w:color="auto"/>
            </w:tcBorders>
          </w:tcPr>
          <w:p w14:paraId="41834C49" w14:textId="77777777" w:rsidR="004E5D04" w:rsidRPr="004E5D04" w:rsidRDefault="004E5D04" w:rsidP="004E5D04">
            <w:pPr>
              <w:ind w:right="851"/>
              <w:jc w:val="right"/>
              <w:rPr>
                <w:rFonts w:eastAsia="Times New Roman"/>
                <w:sz w:val="20"/>
                <w:szCs w:val="26"/>
              </w:rPr>
            </w:pPr>
            <w:r w:rsidRPr="004E5D04">
              <w:rPr>
                <w:rFonts w:eastAsia="Times New Roman"/>
                <w:sz w:val="20"/>
                <w:szCs w:val="26"/>
              </w:rPr>
              <w:t>4.2</w:t>
            </w:r>
          </w:p>
        </w:tc>
      </w:tr>
      <w:tr w:rsidR="004E5D04" w:rsidRPr="004E5D04" w14:paraId="1A85926A" w14:textId="77777777" w:rsidTr="001E7D79">
        <w:trPr>
          <w:jc w:val="center"/>
        </w:trPr>
        <w:tc>
          <w:tcPr>
            <w:tcW w:w="6521" w:type="dxa"/>
            <w:gridSpan w:val="3"/>
            <w:tcBorders>
              <w:left w:val="nil"/>
              <w:bottom w:val="nil"/>
              <w:right w:val="nil"/>
            </w:tcBorders>
          </w:tcPr>
          <w:p w14:paraId="0FD932FB" w14:textId="77777777" w:rsidR="004E5D04" w:rsidRPr="004E5D04" w:rsidRDefault="004E5D04" w:rsidP="004E5D04">
            <w:pPr>
              <w:jc w:val="both"/>
              <w:rPr>
                <w:rFonts w:eastAsia="Times New Roman"/>
                <w:sz w:val="20"/>
                <w:szCs w:val="26"/>
              </w:rPr>
            </w:pPr>
            <w:r w:rsidRPr="004E5D04">
              <w:rPr>
                <w:rFonts w:eastAsia="Times New Roman"/>
                <w:sz w:val="20"/>
                <w:szCs w:val="26"/>
              </w:rPr>
              <w:t>FUENTE: INEGI.</w:t>
            </w:r>
          </w:p>
        </w:tc>
      </w:tr>
    </w:tbl>
    <w:p w14:paraId="1278BFE9" w14:textId="77777777" w:rsidR="004E5D04" w:rsidRPr="004E5D04" w:rsidRDefault="004E5D04" w:rsidP="004E5D04">
      <w:pPr>
        <w:spacing w:after="360" w:line="360" w:lineRule="auto"/>
        <w:ind w:right="-159"/>
        <w:jc w:val="both"/>
        <w:rPr>
          <w:rFonts w:eastAsia="Times New Roman"/>
          <w:b/>
          <w:sz w:val="26"/>
          <w:szCs w:val="26"/>
        </w:rPr>
      </w:pPr>
      <w:r w:rsidRPr="004E5D04">
        <w:rPr>
          <w:rFonts w:eastAsia="Times New Roman"/>
          <w:b/>
          <w:sz w:val="26"/>
          <w:szCs w:val="26"/>
        </w:rPr>
        <w:lastRenderedPageBreak/>
        <w:t>Principales Resultados</w:t>
      </w:r>
    </w:p>
    <w:p w14:paraId="3D66F92E" w14:textId="77777777" w:rsidR="004E5D04" w:rsidRPr="004E5D04" w:rsidRDefault="004E5D04" w:rsidP="004E5D04">
      <w:pPr>
        <w:spacing w:after="360" w:line="360" w:lineRule="auto"/>
        <w:ind w:right="-159"/>
        <w:jc w:val="both"/>
        <w:rPr>
          <w:rFonts w:eastAsia="Times New Roman"/>
          <w:sz w:val="26"/>
          <w:szCs w:val="26"/>
        </w:rPr>
      </w:pPr>
      <w:r w:rsidRPr="004E5D04">
        <w:rPr>
          <w:rFonts w:eastAsia="Times New Roman"/>
          <w:sz w:val="26"/>
          <w:szCs w:val="26"/>
        </w:rPr>
        <w:t xml:space="preserve">Con base en cifras desestacionalizadas, la Inversión Fija Bruta (Formación Bruta de Capital Fijo) mostró una reducción de 1.0% durante diciembre de 2014 respecto al nivel registrado en el mes inmediato anterior. </w:t>
      </w:r>
    </w:p>
    <w:p w14:paraId="327221A5" w14:textId="77777777" w:rsidR="004E5D04" w:rsidRPr="004E5D04" w:rsidRDefault="004E5D04" w:rsidP="004E5D04">
      <w:pPr>
        <w:spacing w:after="360" w:line="360" w:lineRule="auto"/>
        <w:ind w:right="-159"/>
        <w:jc w:val="center"/>
        <w:rPr>
          <w:rFonts w:eastAsia="Times New Roman"/>
          <w:sz w:val="26"/>
          <w:szCs w:val="26"/>
        </w:rPr>
      </w:pPr>
      <w:r w:rsidRPr="004E5D04">
        <w:fldChar w:fldCharType="begin"/>
      </w:r>
      <w:r w:rsidRPr="004E5D04">
        <w:instrText xml:space="preserve"> LINK PowerPoint.Slide.8 "D:\\2015\\MARZO 2014\\GRÁFICAS EN POWER POINT\\10.- GRÁFICAS IFB.pptx!267" "" \a \p </w:instrText>
      </w:r>
      <w:r w:rsidRPr="004E5D04">
        <w:fldChar w:fldCharType="separate"/>
      </w:r>
      <w:r w:rsidRPr="004E5D04">
        <w:rPr>
          <w:noProof/>
          <w:lang w:eastAsia="es-MX"/>
        </w:rPr>
        <w:drawing>
          <wp:inline distT="0" distB="0" distL="0" distR="0" wp14:anchorId="6A2415E3" wp14:editId="056896FC">
            <wp:extent cx="4930140" cy="3175635"/>
            <wp:effectExtent l="0" t="0" r="3810" b="5715"/>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
                    <pic:cNvPicPr>
                      <a:picLocks noChangeAspect="1" noChangeArrowheads="1"/>
                    </pic:cNvPicPr>
                  </pic:nvPicPr>
                  <pic:blipFill>
                    <a:blip r:embed="rId148" cstate="print">
                      <a:extLst>
                        <a:ext uri="{28A0092B-C50C-407E-A947-70E740481C1C}">
                          <a14:useLocalDpi xmlns:a14="http://schemas.microsoft.com/office/drawing/2010/main" val="0"/>
                        </a:ext>
                      </a:extLst>
                    </a:blip>
                    <a:srcRect l="6985" t="4655" r="11891" b="2467"/>
                    <a:stretch>
                      <a:fillRect/>
                    </a:stretch>
                  </pic:blipFill>
                  <pic:spPr bwMode="auto">
                    <a:xfrm>
                      <a:off x="0" y="0"/>
                      <a:ext cx="4930140" cy="3175635"/>
                    </a:xfrm>
                    <a:prstGeom prst="rect">
                      <a:avLst/>
                    </a:prstGeom>
                    <a:noFill/>
                    <a:ln>
                      <a:noFill/>
                    </a:ln>
                  </pic:spPr>
                </pic:pic>
              </a:graphicData>
            </a:graphic>
          </wp:inline>
        </w:drawing>
      </w:r>
      <w:r w:rsidRPr="004E5D04">
        <w:fldChar w:fldCharType="end"/>
      </w:r>
    </w:p>
    <w:p w14:paraId="5F8178CD" w14:textId="77777777" w:rsidR="004E5D04" w:rsidRPr="004E5D04" w:rsidRDefault="004E5D04" w:rsidP="004E5D04">
      <w:pPr>
        <w:spacing w:after="360" w:line="360" w:lineRule="auto"/>
        <w:ind w:right="-159"/>
        <w:jc w:val="both"/>
        <w:rPr>
          <w:rFonts w:eastAsia="Times New Roman"/>
          <w:sz w:val="26"/>
          <w:szCs w:val="26"/>
        </w:rPr>
      </w:pPr>
      <w:r w:rsidRPr="004E5D04">
        <w:rPr>
          <w:rFonts w:eastAsia="Times New Roman"/>
          <w:sz w:val="26"/>
          <w:szCs w:val="26"/>
        </w:rPr>
        <w:t xml:space="preserve">Por componentes, los gastos efectuados en Maquinaria y equipo total descendieron 3.1% y los de la Construcción 0.4% durante diciembre del año pasado respecto a los del mes precedente, según datos ajustados por estacionalidad. </w:t>
      </w:r>
    </w:p>
    <w:p w14:paraId="050443B7" w14:textId="77777777" w:rsidR="004E5D04" w:rsidRPr="004E5D04" w:rsidRDefault="004E5D04" w:rsidP="004E5D04">
      <w:pPr>
        <w:spacing w:after="160" w:line="259" w:lineRule="auto"/>
        <w:jc w:val="center"/>
        <w:rPr>
          <w:rFonts w:ascii="Calibri" w:eastAsia="Calibri" w:hAnsi="Calibri"/>
          <w:sz w:val="22"/>
          <w:szCs w:val="22"/>
          <w:lang w:eastAsia="en-US"/>
        </w:rPr>
      </w:pPr>
      <w:r w:rsidRPr="004E5D04">
        <w:rPr>
          <w:rFonts w:ascii="Calibri" w:eastAsia="Calibri" w:hAnsi="Calibri"/>
          <w:sz w:val="22"/>
          <w:szCs w:val="22"/>
          <w:lang w:eastAsia="en-US"/>
        </w:rPr>
        <w:lastRenderedPageBreak/>
        <w:fldChar w:fldCharType="begin"/>
      </w:r>
      <w:r w:rsidRPr="004E5D04">
        <w:rPr>
          <w:rFonts w:ascii="Calibri" w:eastAsia="Calibri" w:hAnsi="Calibri"/>
          <w:sz w:val="22"/>
          <w:szCs w:val="22"/>
          <w:lang w:eastAsia="en-US"/>
        </w:rPr>
        <w:instrText xml:space="preserve"> LINK PowerPoint.Slide.8 "D:\\2015\\MARZO 2014\\GRÁFICAS EN POWER POINT\\10.- GRÁFICAS IFB.pptx!271" "" \a \p </w:instrText>
      </w:r>
      <w:r w:rsidRPr="004E5D04">
        <w:rPr>
          <w:rFonts w:ascii="Calibri" w:eastAsia="Calibri" w:hAnsi="Calibri"/>
          <w:sz w:val="22"/>
          <w:szCs w:val="22"/>
          <w:lang w:eastAsia="en-US"/>
        </w:rPr>
        <w:fldChar w:fldCharType="separate"/>
      </w:r>
      <w:r w:rsidRPr="004E5D04">
        <w:rPr>
          <w:rFonts w:ascii="Calibri" w:eastAsia="Calibri" w:hAnsi="Calibri"/>
          <w:noProof/>
          <w:sz w:val="22"/>
          <w:szCs w:val="22"/>
          <w:lang w:eastAsia="es-MX"/>
        </w:rPr>
        <w:drawing>
          <wp:inline distT="0" distB="0" distL="0" distR="0" wp14:anchorId="1874FC25" wp14:editId="5AF9CC90">
            <wp:extent cx="4911725" cy="3200400"/>
            <wp:effectExtent l="0" t="0" r="3175" b="0"/>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ChangeAspect="1" noChangeArrowheads="1"/>
                    </pic:cNvPicPr>
                  </pic:nvPicPr>
                  <pic:blipFill>
                    <a:blip r:embed="rId149" cstate="print">
                      <a:extLst>
                        <a:ext uri="{28A0092B-C50C-407E-A947-70E740481C1C}">
                          <a14:useLocalDpi xmlns:a14="http://schemas.microsoft.com/office/drawing/2010/main" val="0"/>
                        </a:ext>
                      </a:extLst>
                    </a:blip>
                    <a:srcRect l="6119" t="4340" r="13103" b="2188"/>
                    <a:stretch>
                      <a:fillRect/>
                    </a:stretch>
                  </pic:blipFill>
                  <pic:spPr bwMode="auto">
                    <a:xfrm>
                      <a:off x="0" y="0"/>
                      <a:ext cx="4911725" cy="3200400"/>
                    </a:xfrm>
                    <a:prstGeom prst="rect">
                      <a:avLst/>
                    </a:prstGeom>
                    <a:noFill/>
                    <a:ln>
                      <a:noFill/>
                    </a:ln>
                  </pic:spPr>
                </pic:pic>
              </a:graphicData>
            </a:graphic>
          </wp:inline>
        </w:drawing>
      </w:r>
      <w:r w:rsidRPr="004E5D04">
        <w:rPr>
          <w:rFonts w:ascii="Calibri" w:eastAsia="Calibri" w:hAnsi="Calibri"/>
          <w:sz w:val="22"/>
          <w:szCs w:val="22"/>
          <w:lang w:eastAsia="en-US"/>
        </w:rPr>
        <w:fldChar w:fldCharType="end"/>
      </w:r>
    </w:p>
    <w:p w14:paraId="0FA684E5" w14:textId="77777777" w:rsidR="004E5D04" w:rsidRPr="004E5D04" w:rsidRDefault="004E5D04" w:rsidP="004E5D04">
      <w:pPr>
        <w:spacing w:after="160" w:line="259" w:lineRule="auto"/>
        <w:jc w:val="center"/>
        <w:rPr>
          <w:rFonts w:ascii="Calibri" w:eastAsia="Calibri" w:hAnsi="Calibri"/>
          <w:sz w:val="22"/>
          <w:szCs w:val="22"/>
          <w:lang w:eastAsia="en-US"/>
        </w:rPr>
      </w:pPr>
    </w:p>
    <w:p w14:paraId="02450EA0" w14:textId="77777777" w:rsidR="004E5D04" w:rsidRPr="004E5D04" w:rsidRDefault="004E5D04" w:rsidP="004E5D04">
      <w:pPr>
        <w:spacing w:after="160" w:line="259" w:lineRule="auto"/>
        <w:jc w:val="center"/>
        <w:rPr>
          <w:rFonts w:ascii="Calibri" w:eastAsia="Calibri" w:hAnsi="Calibri"/>
          <w:sz w:val="22"/>
          <w:szCs w:val="22"/>
          <w:lang w:eastAsia="en-US"/>
        </w:rPr>
      </w:pPr>
      <w:r w:rsidRPr="004E5D04">
        <w:rPr>
          <w:rFonts w:ascii="Calibri" w:eastAsia="Calibri" w:hAnsi="Calibri"/>
          <w:sz w:val="22"/>
          <w:szCs w:val="22"/>
          <w:lang w:eastAsia="en-US"/>
        </w:rPr>
        <w:fldChar w:fldCharType="begin"/>
      </w:r>
      <w:r w:rsidRPr="004E5D04">
        <w:rPr>
          <w:rFonts w:ascii="Calibri" w:eastAsia="Calibri" w:hAnsi="Calibri"/>
          <w:sz w:val="22"/>
          <w:szCs w:val="22"/>
          <w:lang w:eastAsia="en-US"/>
        </w:rPr>
        <w:instrText xml:space="preserve"> LINK PowerPoint.Slide.8 "D:\\2015\\MARZO 2014\\GRÁFICAS EN POWER POINT\\10.- GRÁFICAS IFB.pptx!272" "" \a \p </w:instrText>
      </w:r>
      <w:r w:rsidRPr="004E5D04">
        <w:rPr>
          <w:rFonts w:ascii="Calibri" w:eastAsia="Calibri" w:hAnsi="Calibri"/>
          <w:sz w:val="22"/>
          <w:szCs w:val="22"/>
          <w:lang w:eastAsia="en-US"/>
        </w:rPr>
        <w:fldChar w:fldCharType="separate"/>
      </w:r>
      <w:r w:rsidRPr="004E5D04">
        <w:rPr>
          <w:rFonts w:ascii="Calibri" w:eastAsia="Calibri" w:hAnsi="Calibri"/>
          <w:noProof/>
          <w:sz w:val="22"/>
          <w:szCs w:val="22"/>
          <w:lang w:eastAsia="es-MX"/>
        </w:rPr>
        <w:drawing>
          <wp:inline distT="0" distB="0" distL="0" distR="0" wp14:anchorId="3C29A833" wp14:editId="252677FB">
            <wp:extent cx="4930140" cy="3188335"/>
            <wp:effectExtent l="0" t="0" r="3810" b="0"/>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
                    <pic:cNvPicPr>
                      <a:picLocks noChangeAspect="1" noChangeArrowheads="1"/>
                    </pic:cNvPicPr>
                  </pic:nvPicPr>
                  <pic:blipFill>
                    <a:blip r:embed="rId150" cstate="print">
                      <a:extLst>
                        <a:ext uri="{28A0092B-C50C-407E-A947-70E740481C1C}">
                          <a14:useLocalDpi xmlns:a14="http://schemas.microsoft.com/office/drawing/2010/main" val="0"/>
                        </a:ext>
                      </a:extLst>
                    </a:blip>
                    <a:srcRect l="6641" t="3412" r="12236" b="3413"/>
                    <a:stretch>
                      <a:fillRect/>
                    </a:stretch>
                  </pic:blipFill>
                  <pic:spPr bwMode="auto">
                    <a:xfrm>
                      <a:off x="0" y="0"/>
                      <a:ext cx="4930140" cy="3188335"/>
                    </a:xfrm>
                    <a:prstGeom prst="rect">
                      <a:avLst/>
                    </a:prstGeom>
                    <a:noFill/>
                    <a:ln>
                      <a:noFill/>
                    </a:ln>
                  </pic:spPr>
                </pic:pic>
              </a:graphicData>
            </a:graphic>
          </wp:inline>
        </w:drawing>
      </w:r>
      <w:r w:rsidRPr="004E5D04">
        <w:rPr>
          <w:rFonts w:ascii="Calibri" w:eastAsia="Calibri" w:hAnsi="Calibri"/>
          <w:sz w:val="22"/>
          <w:szCs w:val="22"/>
          <w:lang w:eastAsia="en-US"/>
        </w:rPr>
        <w:fldChar w:fldCharType="end"/>
      </w:r>
    </w:p>
    <w:p w14:paraId="2E4EC3E7" w14:textId="77777777" w:rsidR="004E5D04" w:rsidRDefault="004E5D04" w:rsidP="004E5D04">
      <w:pPr>
        <w:spacing w:after="360" w:line="360" w:lineRule="auto"/>
        <w:ind w:right="-159"/>
        <w:jc w:val="both"/>
        <w:rPr>
          <w:rFonts w:eastAsia="Times New Roman"/>
          <w:b/>
          <w:sz w:val="26"/>
          <w:szCs w:val="26"/>
        </w:rPr>
      </w:pPr>
    </w:p>
    <w:p w14:paraId="4340F765" w14:textId="77777777" w:rsidR="00BB7F01" w:rsidRDefault="00BB7F01" w:rsidP="004E5D04">
      <w:pPr>
        <w:spacing w:after="360" w:line="360" w:lineRule="auto"/>
        <w:ind w:right="-159"/>
        <w:jc w:val="both"/>
        <w:rPr>
          <w:rFonts w:eastAsia="Times New Roman"/>
          <w:b/>
          <w:sz w:val="26"/>
          <w:szCs w:val="26"/>
        </w:rPr>
      </w:pPr>
    </w:p>
    <w:p w14:paraId="2E5FC3E5" w14:textId="77777777" w:rsidR="00BB7F01" w:rsidRDefault="00BB7F01" w:rsidP="004E5D04">
      <w:pPr>
        <w:spacing w:after="360" w:line="360" w:lineRule="auto"/>
        <w:ind w:right="-159"/>
        <w:jc w:val="both"/>
        <w:rPr>
          <w:rFonts w:eastAsia="Times New Roman"/>
          <w:b/>
          <w:sz w:val="26"/>
          <w:szCs w:val="26"/>
        </w:rPr>
      </w:pPr>
    </w:p>
    <w:p w14:paraId="1EBE3C1B" w14:textId="77777777" w:rsidR="004E5D04" w:rsidRPr="004E5D04" w:rsidRDefault="004E5D04" w:rsidP="004E5D04">
      <w:pPr>
        <w:spacing w:after="360" w:line="360" w:lineRule="auto"/>
        <w:ind w:right="-159"/>
        <w:jc w:val="both"/>
        <w:rPr>
          <w:rFonts w:eastAsia="Times New Roman"/>
          <w:b/>
          <w:sz w:val="26"/>
          <w:szCs w:val="26"/>
        </w:rPr>
      </w:pPr>
      <w:r w:rsidRPr="004E5D04">
        <w:rPr>
          <w:rFonts w:eastAsia="Times New Roman"/>
          <w:b/>
          <w:sz w:val="26"/>
          <w:szCs w:val="26"/>
        </w:rPr>
        <w:lastRenderedPageBreak/>
        <w:t>Cifras originales</w:t>
      </w:r>
    </w:p>
    <w:p w14:paraId="0314915C" w14:textId="77777777" w:rsidR="004E5D04" w:rsidRPr="004E5D04" w:rsidRDefault="004E5D04" w:rsidP="004E5D04">
      <w:pPr>
        <w:spacing w:after="360" w:line="360" w:lineRule="auto"/>
        <w:ind w:right="-159"/>
        <w:jc w:val="both"/>
        <w:rPr>
          <w:rFonts w:eastAsia="Times New Roman"/>
          <w:sz w:val="26"/>
          <w:szCs w:val="26"/>
        </w:rPr>
      </w:pPr>
      <w:r w:rsidRPr="004E5D04">
        <w:rPr>
          <w:rFonts w:eastAsia="Times New Roman"/>
          <w:sz w:val="26"/>
          <w:szCs w:val="26"/>
        </w:rPr>
        <w:t>En su comparación anual y con cifras originales, la Inversión Fija Bruta creció 5.5% durante diciembre de 2014, respecto a la de igual mes de 2013. Con ello, se acumulan ocho meses consecutivos de crecimiento de la inversión.</w:t>
      </w:r>
    </w:p>
    <w:p w14:paraId="28894F57" w14:textId="77777777" w:rsidR="004E5D04" w:rsidRPr="004E5D04" w:rsidRDefault="004E5D04" w:rsidP="004E5D04">
      <w:pPr>
        <w:spacing w:after="360" w:line="360" w:lineRule="auto"/>
        <w:ind w:right="-159"/>
        <w:jc w:val="center"/>
      </w:pPr>
      <w:r w:rsidRPr="004E5D04">
        <w:fldChar w:fldCharType="begin"/>
      </w:r>
      <w:r w:rsidRPr="004E5D04">
        <w:instrText xml:space="preserve"> LINK PowerPoint.Slide.8 "D:\\2015\\MARZO 2014\\GRÁFICAS EN POWER POINT\\10.- GRÁFICAS IFB.pptx!268" "" \a \p </w:instrText>
      </w:r>
      <w:r w:rsidRPr="004E5D04">
        <w:fldChar w:fldCharType="separate"/>
      </w:r>
      <w:r w:rsidRPr="004E5D04">
        <w:rPr>
          <w:noProof/>
          <w:lang w:eastAsia="es-MX"/>
        </w:rPr>
        <w:drawing>
          <wp:inline distT="0" distB="0" distL="0" distR="0" wp14:anchorId="4FD5AEA6" wp14:editId="539A07AC">
            <wp:extent cx="5177790" cy="3293110"/>
            <wp:effectExtent l="0" t="0" r="3810" b="2540"/>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0"/>
                    <pic:cNvPicPr>
                      <a:picLocks noChangeAspect="1" noChangeArrowheads="1"/>
                    </pic:cNvPicPr>
                  </pic:nvPicPr>
                  <pic:blipFill>
                    <a:blip r:embed="rId151" cstate="print">
                      <a:extLst>
                        <a:ext uri="{28A0092B-C50C-407E-A947-70E740481C1C}">
                          <a14:useLocalDpi xmlns:a14="http://schemas.microsoft.com/office/drawing/2010/main" val="0"/>
                        </a:ext>
                      </a:extLst>
                    </a:blip>
                    <a:srcRect l="8385" t="3728" r="6462"/>
                    <a:stretch>
                      <a:fillRect/>
                    </a:stretch>
                  </pic:blipFill>
                  <pic:spPr bwMode="auto">
                    <a:xfrm>
                      <a:off x="0" y="0"/>
                      <a:ext cx="5177790" cy="3293110"/>
                    </a:xfrm>
                    <a:prstGeom prst="rect">
                      <a:avLst/>
                    </a:prstGeom>
                    <a:noFill/>
                    <a:ln>
                      <a:noFill/>
                    </a:ln>
                  </pic:spPr>
                </pic:pic>
              </a:graphicData>
            </a:graphic>
          </wp:inline>
        </w:drawing>
      </w:r>
      <w:r w:rsidRPr="004E5D04">
        <w:fldChar w:fldCharType="end"/>
      </w:r>
    </w:p>
    <w:p w14:paraId="36B57374" w14:textId="77777777" w:rsidR="004E5D04" w:rsidRPr="004E5D04" w:rsidRDefault="004E5D04" w:rsidP="004E5D04">
      <w:pPr>
        <w:spacing w:after="360" w:line="360" w:lineRule="auto"/>
        <w:ind w:right="-159"/>
        <w:jc w:val="both"/>
      </w:pPr>
      <w:r w:rsidRPr="004E5D04">
        <w:rPr>
          <w:rFonts w:eastAsia="Times New Roman"/>
          <w:sz w:val="26"/>
          <w:szCs w:val="26"/>
        </w:rPr>
        <w:t>La Inversión Fija Bruta creció 5.5% en diciembre de 2014, producto de los resultados por componentes que fueron los siguientes: los gastos de inversión en Maquinaria y equipo total se incrementaron 8.9% (los de origen importado aumentaron 7.2% y los nacionales 12.4%) y los de Construcción 3.6% derivado del avance de 10.0% en la residencial y de la disminución de 1.1% en la no residencial.</w:t>
      </w:r>
    </w:p>
    <w:p w14:paraId="6A1B017B" w14:textId="77777777" w:rsidR="004E5D04" w:rsidRPr="004E5D04" w:rsidRDefault="004E5D04" w:rsidP="004E5D04">
      <w:pPr>
        <w:spacing w:after="360" w:line="360" w:lineRule="auto"/>
        <w:ind w:right="-159"/>
        <w:jc w:val="center"/>
        <w:rPr>
          <w:rFonts w:eastAsia="Times New Roman"/>
          <w:sz w:val="26"/>
          <w:szCs w:val="26"/>
        </w:rPr>
      </w:pPr>
      <w:r w:rsidRPr="004E5D04">
        <w:lastRenderedPageBreak/>
        <w:fldChar w:fldCharType="begin"/>
      </w:r>
      <w:r w:rsidRPr="004E5D04">
        <w:instrText xml:space="preserve"> LINK PowerPoint.Slide.8 "D:\\2015\\MARZO 2014\\GRÁFICAS EN POWER POINT\\10.- GRÁFICAS IFB.pptx!269" "" \a \p </w:instrText>
      </w:r>
      <w:r w:rsidRPr="004E5D04">
        <w:fldChar w:fldCharType="separate"/>
      </w:r>
      <w:r w:rsidRPr="004E5D04">
        <w:rPr>
          <w:noProof/>
          <w:lang w:eastAsia="es-MX"/>
        </w:rPr>
        <w:drawing>
          <wp:inline distT="0" distB="0" distL="0" distR="0" wp14:anchorId="57252481" wp14:editId="46F64C98">
            <wp:extent cx="4701540" cy="3422650"/>
            <wp:effectExtent l="0" t="0" r="3810" b="6350"/>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2"/>
                    <pic:cNvPicPr>
                      <a:picLocks noChangeAspect="1" noChangeArrowheads="1"/>
                    </pic:cNvPicPr>
                  </pic:nvPicPr>
                  <pic:blipFill>
                    <a:blip r:embed="rId152" cstate="print">
                      <a:extLst>
                        <a:ext uri="{28A0092B-C50C-407E-A947-70E740481C1C}">
                          <a14:useLocalDpi xmlns:a14="http://schemas.microsoft.com/office/drawing/2010/main" val="0"/>
                        </a:ext>
                      </a:extLst>
                    </a:blip>
                    <a:srcRect l="10316" r="12404"/>
                    <a:stretch>
                      <a:fillRect/>
                    </a:stretch>
                  </pic:blipFill>
                  <pic:spPr bwMode="auto">
                    <a:xfrm>
                      <a:off x="0" y="0"/>
                      <a:ext cx="4701540" cy="3422650"/>
                    </a:xfrm>
                    <a:prstGeom prst="rect">
                      <a:avLst/>
                    </a:prstGeom>
                    <a:noFill/>
                    <a:ln>
                      <a:noFill/>
                    </a:ln>
                  </pic:spPr>
                </pic:pic>
              </a:graphicData>
            </a:graphic>
          </wp:inline>
        </w:drawing>
      </w:r>
      <w:r w:rsidRPr="004E5D04">
        <w:fldChar w:fldCharType="end"/>
      </w:r>
    </w:p>
    <w:p w14:paraId="2914AB72" w14:textId="77777777" w:rsidR="004E5D04" w:rsidRPr="004E5D04" w:rsidRDefault="004E5D04" w:rsidP="004E5D04">
      <w:pPr>
        <w:spacing w:after="360" w:line="360" w:lineRule="auto"/>
        <w:ind w:right="-159"/>
        <w:jc w:val="center"/>
        <w:rPr>
          <w:rFonts w:eastAsia="Times New Roman"/>
          <w:sz w:val="26"/>
          <w:szCs w:val="26"/>
        </w:rPr>
      </w:pPr>
    </w:p>
    <w:p w14:paraId="1901ED23" w14:textId="77777777" w:rsidR="004E5D04" w:rsidRPr="004E5D04" w:rsidRDefault="004E5D04" w:rsidP="004E5D04">
      <w:pPr>
        <w:spacing w:after="360" w:line="360" w:lineRule="auto"/>
        <w:ind w:right="-159"/>
        <w:jc w:val="both"/>
        <w:rPr>
          <w:rFonts w:eastAsia="Times New Roman"/>
          <w:sz w:val="26"/>
          <w:szCs w:val="26"/>
        </w:rPr>
      </w:pPr>
      <w:r w:rsidRPr="004E5D04">
        <w:rPr>
          <w:rFonts w:eastAsia="Times New Roman"/>
          <w:sz w:val="26"/>
          <w:szCs w:val="26"/>
        </w:rPr>
        <w:t>Asimismo, la Inversión Fija Bruta creció 2.3% durante 2014 con relación a 2013. Los resultados por componentes fueron los siguientes: los gastos de inversión en Maquinaria y equipo total se incrementaron 5.5% (los de origen importado aumentaron 5.9% y los nacionales 4.7%) y los de Construcción 0.5% en el lapso de referencia, producto del avance de 3.0% en la residencial y del descenso de 1.4% en la no residencial.</w:t>
      </w:r>
    </w:p>
    <w:p w14:paraId="79F31E72" w14:textId="77777777" w:rsidR="004E5D04" w:rsidRPr="004E5D04" w:rsidRDefault="004E5D04" w:rsidP="004E5D04">
      <w:pPr>
        <w:spacing w:after="360" w:line="360" w:lineRule="auto"/>
        <w:ind w:right="-159"/>
        <w:jc w:val="center"/>
        <w:rPr>
          <w:rFonts w:eastAsia="Times New Roman"/>
          <w:sz w:val="26"/>
          <w:szCs w:val="26"/>
        </w:rPr>
      </w:pPr>
      <w:r w:rsidRPr="004E5D04">
        <w:lastRenderedPageBreak/>
        <w:fldChar w:fldCharType="begin"/>
      </w:r>
      <w:r w:rsidRPr="004E5D04">
        <w:instrText xml:space="preserve"> LINK PowerPoint.Slide.8 "D:\\2015\\MARZO 2014\\GRÁFICAS EN POWER POINT\\10.- GRÁFICAS IFB.pptx!270" "" \a \p </w:instrText>
      </w:r>
      <w:r w:rsidRPr="004E5D04">
        <w:fldChar w:fldCharType="separate"/>
      </w:r>
      <w:r w:rsidRPr="004E5D04">
        <w:rPr>
          <w:noProof/>
          <w:lang w:eastAsia="es-MX"/>
        </w:rPr>
        <w:drawing>
          <wp:inline distT="0" distB="0" distL="0" distR="0" wp14:anchorId="71E533FD" wp14:editId="010869C6">
            <wp:extent cx="4603115" cy="3422650"/>
            <wp:effectExtent l="0" t="0" r="6985" b="6350"/>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4"/>
                    <pic:cNvPicPr>
                      <a:picLocks noChangeAspect="1" noChangeArrowheads="1"/>
                    </pic:cNvPicPr>
                  </pic:nvPicPr>
                  <pic:blipFill>
                    <a:blip r:embed="rId153" cstate="print">
                      <a:extLst>
                        <a:ext uri="{28A0092B-C50C-407E-A947-70E740481C1C}">
                          <a14:useLocalDpi xmlns:a14="http://schemas.microsoft.com/office/drawing/2010/main" val="0"/>
                        </a:ext>
                      </a:extLst>
                    </a:blip>
                    <a:srcRect l="12059" r="12236"/>
                    <a:stretch>
                      <a:fillRect/>
                    </a:stretch>
                  </pic:blipFill>
                  <pic:spPr bwMode="auto">
                    <a:xfrm>
                      <a:off x="0" y="0"/>
                      <a:ext cx="4603115" cy="3422650"/>
                    </a:xfrm>
                    <a:prstGeom prst="rect">
                      <a:avLst/>
                    </a:prstGeom>
                    <a:noFill/>
                    <a:ln>
                      <a:noFill/>
                    </a:ln>
                  </pic:spPr>
                </pic:pic>
              </a:graphicData>
            </a:graphic>
          </wp:inline>
        </w:drawing>
      </w:r>
      <w:r w:rsidRPr="004E5D04">
        <w:fldChar w:fldCharType="end"/>
      </w:r>
    </w:p>
    <w:p w14:paraId="7EE3E73B" w14:textId="77777777" w:rsidR="004E5D04" w:rsidRPr="004E5D04" w:rsidRDefault="004E5D04" w:rsidP="004E5D04">
      <w:pPr>
        <w:spacing w:after="360" w:line="360" w:lineRule="auto"/>
        <w:ind w:right="-159"/>
        <w:rPr>
          <w:rFonts w:eastAsia="Times New Roman"/>
          <w:sz w:val="26"/>
          <w:szCs w:val="26"/>
        </w:rPr>
      </w:pPr>
    </w:p>
    <w:tbl>
      <w:tblPr>
        <w:tblW w:w="0" w:type="auto"/>
        <w:jc w:val="center"/>
        <w:tblLayout w:type="fixed"/>
        <w:tblLook w:val="04A0" w:firstRow="1" w:lastRow="0" w:firstColumn="1" w:lastColumn="0" w:noHBand="0" w:noVBand="1"/>
      </w:tblPr>
      <w:tblGrid>
        <w:gridCol w:w="3539"/>
        <w:gridCol w:w="1281"/>
        <w:gridCol w:w="1134"/>
      </w:tblGrid>
      <w:tr w:rsidR="004E5D04" w:rsidRPr="004E5D04" w14:paraId="25A2A84C" w14:textId="77777777" w:rsidTr="00E23F0E">
        <w:trPr>
          <w:jc w:val="center"/>
        </w:trPr>
        <w:tc>
          <w:tcPr>
            <w:tcW w:w="5954" w:type="dxa"/>
            <w:gridSpan w:val="3"/>
            <w:tcBorders>
              <w:top w:val="nil"/>
              <w:left w:val="nil"/>
              <w:bottom w:val="single" w:sz="4" w:space="0" w:color="auto"/>
              <w:right w:val="nil"/>
            </w:tcBorders>
          </w:tcPr>
          <w:p w14:paraId="082AD153" w14:textId="77777777" w:rsidR="004E5D04" w:rsidRPr="004E5D04" w:rsidRDefault="004E5D04" w:rsidP="004E5D04">
            <w:pPr>
              <w:jc w:val="center"/>
              <w:rPr>
                <w:rFonts w:eastAsia="Times New Roman"/>
                <w:b/>
                <w:sz w:val="22"/>
                <w:szCs w:val="22"/>
              </w:rPr>
            </w:pPr>
            <w:r w:rsidRPr="004E5D04">
              <w:rPr>
                <w:rFonts w:eastAsia="Times New Roman"/>
                <w:b/>
                <w:sz w:val="22"/>
                <w:szCs w:val="22"/>
              </w:rPr>
              <w:t>INVERSIÓN FIJA BRUTA A DICIEMBRE DE 2014</w:t>
            </w:r>
          </w:p>
          <w:p w14:paraId="6DAD1F9C" w14:textId="77777777" w:rsidR="004E5D04" w:rsidRPr="004E5D04" w:rsidRDefault="004E5D04" w:rsidP="004E5D04">
            <w:pPr>
              <w:jc w:val="center"/>
              <w:rPr>
                <w:rFonts w:eastAsia="Times New Roman"/>
                <w:b/>
                <w:sz w:val="20"/>
                <w:szCs w:val="20"/>
              </w:rPr>
            </w:pPr>
            <w:r w:rsidRPr="004E5D04">
              <w:rPr>
                <w:rFonts w:eastAsia="Times New Roman"/>
                <w:b/>
                <w:sz w:val="22"/>
                <w:szCs w:val="22"/>
              </w:rPr>
              <w:t>-Variación porcentual real respecto al mismo período del año anterior-</w:t>
            </w:r>
          </w:p>
        </w:tc>
      </w:tr>
      <w:tr w:rsidR="004E5D04" w:rsidRPr="004E5D04" w14:paraId="43BB3B7E" w14:textId="77777777" w:rsidTr="00E23F0E">
        <w:trPr>
          <w:jc w:val="center"/>
        </w:trPr>
        <w:tc>
          <w:tcPr>
            <w:tcW w:w="3539" w:type="dxa"/>
            <w:tcBorders>
              <w:top w:val="single" w:sz="4" w:space="0" w:color="auto"/>
              <w:left w:val="single" w:sz="4" w:space="0" w:color="auto"/>
              <w:bottom w:val="single" w:sz="4" w:space="0" w:color="auto"/>
              <w:right w:val="single" w:sz="4" w:space="0" w:color="auto"/>
            </w:tcBorders>
          </w:tcPr>
          <w:p w14:paraId="6C1F3290" w14:textId="77777777" w:rsidR="004E5D04" w:rsidRPr="004E5D04" w:rsidRDefault="004E5D04" w:rsidP="004E5D04">
            <w:pPr>
              <w:jc w:val="center"/>
              <w:rPr>
                <w:rFonts w:eastAsia="Times New Roman"/>
                <w:b/>
                <w:sz w:val="20"/>
                <w:szCs w:val="20"/>
              </w:rPr>
            </w:pPr>
            <w:r w:rsidRPr="004E5D04">
              <w:rPr>
                <w:rFonts w:eastAsia="Times New Roman"/>
                <w:b/>
                <w:sz w:val="20"/>
                <w:szCs w:val="20"/>
              </w:rPr>
              <w:t>Concepto</w:t>
            </w:r>
          </w:p>
        </w:tc>
        <w:tc>
          <w:tcPr>
            <w:tcW w:w="1281" w:type="dxa"/>
            <w:tcBorders>
              <w:top w:val="single" w:sz="4" w:space="0" w:color="auto"/>
              <w:left w:val="single" w:sz="4" w:space="0" w:color="auto"/>
              <w:bottom w:val="single" w:sz="4" w:space="0" w:color="auto"/>
              <w:right w:val="single" w:sz="4" w:space="0" w:color="auto"/>
            </w:tcBorders>
          </w:tcPr>
          <w:p w14:paraId="03E3BF0B" w14:textId="77777777" w:rsidR="004E5D04" w:rsidRPr="004E5D04" w:rsidRDefault="004E5D04" w:rsidP="004E5D04">
            <w:pPr>
              <w:jc w:val="center"/>
              <w:rPr>
                <w:rFonts w:eastAsia="Times New Roman"/>
                <w:b/>
                <w:sz w:val="20"/>
                <w:szCs w:val="20"/>
              </w:rPr>
            </w:pPr>
            <w:r w:rsidRPr="004E5D04">
              <w:rPr>
                <w:rFonts w:eastAsia="Times New Roman"/>
                <w:b/>
                <w:sz w:val="20"/>
                <w:szCs w:val="20"/>
              </w:rPr>
              <w:t>Diciembre</w:t>
            </w:r>
            <w:r w:rsidRPr="004E5D04">
              <w:rPr>
                <w:rFonts w:eastAsia="Times New Roman"/>
                <w:b/>
                <w:sz w:val="20"/>
                <w:szCs w:val="20"/>
                <w:u w:val="single"/>
                <w:vertAlign w:val="superscript"/>
              </w:rPr>
              <w:t>p</w:t>
            </w:r>
            <w:r w:rsidRPr="004E5D04">
              <w:rPr>
                <w:rFonts w:eastAsia="Times New Roman"/>
                <w:b/>
                <w:sz w:val="20"/>
                <w:szCs w:val="20"/>
                <w:vertAlign w:val="superscript"/>
              </w:rPr>
              <w:t>/</w:t>
            </w:r>
          </w:p>
        </w:tc>
        <w:tc>
          <w:tcPr>
            <w:tcW w:w="1134" w:type="dxa"/>
            <w:tcBorders>
              <w:top w:val="single" w:sz="4" w:space="0" w:color="auto"/>
              <w:left w:val="single" w:sz="4" w:space="0" w:color="auto"/>
              <w:bottom w:val="single" w:sz="4" w:space="0" w:color="auto"/>
              <w:right w:val="single" w:sz="4" w:space="0" w:color="auto"/>
            </w:tcBorders>
          </w:tcPr>
          <w:p w14:paraId="5324BEDE" w14:textId="77777777" w:rsidR="004E5D04" w:rsidRPr="004E5D04" w:rsidRDefault="004E5D04" w:rsidP="004E5D04">
            <w:pPr>
              <w:jc w:val="center"/>
              <w:rPr>
                <w:rFonts w:eastAsia="Times New Roman"/>
                <w:b/>
                <w:sz w:val="20"/>
                <w:szCs w:val="20"/>
              </w:rPr>
            </w:pPr>
            <w:r w:rsidRPr="004E5D04">
              <w:rPr>
                <w:rFonts w:eastAsia="Times New Roman"/>
                <w:b/>
                <w:sz w:val="20"/>
                <w:szCs w:val="20"/>
              </w:rPr>
              <w:t>Ene-Dic</w:t>
            </w:r>
            <w:r w:rsidRPr="004E5D04">
              <w:rPr>
                <w:rFonts w:eastAsia="Times New Roman"/>
                <w:b/>
                <w:sz w:val="20"/>
                <w:szCs w:val="20"/>
                <w:u w:val="single"/>
                <w:vertAlign w:val="superscript"/>
              </w:rPr>
              <w:t>p</w:t>
            </w:r>
            <w:r w:rsidRPr="004E5D04">
              <w:rPr>
                <w:rFonts w:eastAsia="Times New Roman"/>
                <w:b/>
                <w:sz w:val="20"/>
                <w:szCs w:val="20"/>
                <w:vertAlign w:val="superscript"/>
              </w:rPr>
              <w:t>/</w:t>
            </w:r>
          </w:p>
        </w:tc>
      </w:tr>
      <w:tr w:rsidR="004E5D04" w:rsidRPr="004E5D04" w14:paraId="30CDB588" w14:textId="77777777" w:rsidTr="00E23F0E">
        <w:trPr>
          <w:jc w:val="center"/>
        </w:trPr>
        <w:tc>
          <w:tcPr>
            <w:tcW w:w="3539" w:type="dxa"/>
            <w:tcBorders>
              <w:top w:val="single" w:sz="4" w:space="0" w:color="auto"/>
              <w:left w:val="single" w:sz="4" w:space="0" w:color="auto"/>
              <w:bottom w:val="nil"/>
              <w:right w:val="single" w:sz="4" w:space="0" w:color="auto"/>
            </w:tcBorders>
          </w:tcPr>
          <w:p w14:paraId="00E61962" w14:textId="77777777" w:rsidR="004E5D04" w:rsidRPr="004E5D04" w:rsidRDefault="004E5D04" w:rsidP="004E5D04">
            <w:pPr>
              <w:jc w:val="both"/>
              <w:rPr>
                <w:rFonts w:eastAsia="Times New Roman"/>
                <w:b/>
                <w:sz w:val="20"/>
                <w:szCs w:val="20"/>
              </w:rPr>
            </w:pPr>
            <w:r w:rsidRPr="004E5D04">
              <w:rPr>
                <w:rFonts w:eastAsia="Times New Roman"/>
                <w:b/>
                <w:sz w:val="20"/>
                <w:szCs w:val="20"/>
              </w:rPr>
              <w:t>Inversión Fija Bruta</w:t>
            </w:r>
          </w:p>
        </w:tc>
        <w:tc>
          <w:tcPr>
            <w:tcW w:w="1281" w:type="dxa"/>
            <w:tcBorders>
              <w:top w:val="single" w:sz="4" w:space="0" w:color="auto"/>
              <w:left w:val="single" w:sz="4" w:space="0" w:color="auto"/>
              <w:bottom w:val="nil"/>
              <w:right w:val="single" w:sz="4" w:space="0" w:color="auto"/>
            </w:tcBorders>
          </w:tcPr>
          <w:p w14:paraId="16687874" w14:textId="77777777" w:rsidR="004E5D04" w:rsidRPr="004E5D04" w:rsidRDefault="004E5D04" w:rsidP="004E5D04">
            <w:pPr>
              <w:ind w:right="397"/>
              <w:jc w:val="right"/>
              <w:rPr>
                <w:rFonts w:eastAsia="Times New Roman"/>
                <w:b/>
                <w:sz w:val="20"/>
                <w:szCs w:val="20"/>
              </w:rPr>
            </w:pPr>
            <w:r w:rsidRPr="004E5D04">
              <w:rPr>
                <w:rFonts w:eastAsia="Times New Roman"/>
                <w:b/>
                <w:sz w:val="20"/>
                <w:szCs w:val="20"/>
              </w:rPr>
              <w:t>5.5</w:t>
            </w:r>
          </w:p>
        </w:tc>
        <w:tc>
          <w:tcPr>
            <w:tcW w:w="1134" w:type="dxa"/>
            <w:tcBorders>
              <w:top w:val="single" w:sz="4" w:space="0" w:color="auto"/>
              <w:left w:val="single" w:sz="4" w:space="0" w:color="auto"/>
              <w:bottom w:val="nil"/>
              <w:right w:val="single" w:sz="4" w:space="0" w:color="auto"/>
            </w:tcBorders>
          </w:tcPr>
          <w:p w14:paraId="40E1C84B" w14:textId="77777777" w:rsidR="004E5D04" w:rsidRPr="004E5D04" w:rsidRDefault="004E5D04" w:rsidP="004E5D04">
            <w:pPr>
              <w:ind w:right="340"/>
              <w:jc w:val="right"/>
              <w:rPr>
                <w:rFonts w:eastAsia="Times New Roman"/>
                <w:b/>
                <w:sz w:val="20"/>
                <w:szCs w:val="20"/>
              </w:rPr>
            </w:pPr>
            <w:r w:rsidRPr="004E5D04">
              <w:rPr>
                <w:rFonts w:eastAsia="Times New Roman"/>
                <w:b/>
                <w:sz w:val="20"/>
                <w:szCs w:val="20"/>
              </w:rPr>
              <w:t>2.3</w:t>
            </w:r>
          </w:p>
        </w:tc>
      </w:tr>
      <w:tr w:rsidR="004E5D04" w:rsidRPr="004E5D04" w14:paraId="2F2DBE03" w14:textId="77777777" w:rsidTr="001E7D79">
        <w:trPr>
          <w:jc w:val="center"/>
        </w:trPr>
        <w:tc>
          <w:tcPr>
            <w:tcW w:w="3539" w:type="dxa"/>
            <w:tcBorders>
              <w:top w:val="nil"/>
              <w:left w:val="single" w:sz="4" w:space="0" w:color="auto"/>
              <w:bottom w:val="nil"/>
              <w:right w:val="single" w:sz="4" w:space="0" w:color="auto"/>
            </w:tcBorders>
          </w:tcPr>
          <w:p w14:paraId="5EBA011D" w14:textId="77777777" w:rsidR="004E5D04" w:rsidRPr="004E5D04" w:rsidRDefault="004E5D04" w:rsidP="004E5D04">
            <w:pPr>
              <w:ind w:left="170"/>
              <w:jc w:val="both"/>
              <w:rPr>
                <w:rFonts w:eastAsia="Times New Roman"/>
                <w:b/>
                <w:sz w:val="20"/>
                <w:szCs w:val="20"/>
              </w:rPr>
            </w:pPr>
            <w:r w:rsidRPr="004E5D04">
              <w:rPr>
                <w:rFonts w:eastAsia="Times New Roman"/>
                <w:b/>
                <w:sz w:val="20"/>
                <w:szCs w:val="20"/>
              </w:rPr>
              <w:t>Construcción</w:t>
            </w:r>
          </w:p>
        </w:tc>
        <w:tc>
          <w:tcPr>
            <w:tcW w:w="1281" w:type="dxa"/>
            <w:tcBorders>
              <w:top w:val="nil"/>
              <w:left w:val="single" w:sz="4" w:space="0" w:color="auto"/>
              <w:bottom w:val="nil"/>
              <w:right w:val="single" w:sz="4" w:space="0" w:color="auto"/>
            </w:tcBorders>
          </w:tcPr>
          <w:p w14:paraId="20C9A628" w14:textId="77777777" w:rsidR="004E5D04" w:rsidRPr="004E5D04" w:rsidRDefault="004E5D04" w:rsidP="004E5D04">
            <w:pPr>
              <w:ind w:right="397"/>
              <w:jc w:val="right"/>
              <w:rPr>
                <w:rFonts w:eastAsia="Times New Roman"/>
                <w:b/>
                <w:sz w:val="20"/>
                <w:szCs w:val="20"/>
              </w:rPr>
            </w:pPr>
            <w:r w:rsidRPr="004E5D04">
              <w:rPr>
                <w:rFonts w:eastAsia="Times New Roman"/>
                <w:b/>
                <w:sz w:val="20"/>
                <w:szCs w:val="20"/>
              </w:rPr>
              <w:t>3.6</w:t>
            </w:r>
          </w:p>
        </w:tc>
        <w:tc>
          <w:tcPr>
            <w:tcW w:w="1134" w:type="dxa"/>
            <w:tcBorders>
              <w:top w:val="nil"/>
              <w:left w:val="single" w:sz="4" w:space="0" w:color="auto"/>
              <w:bottom w:val="nil"/>
              <w:right w:val="single" w:sz="4" w:space="0" w:color="auto"/>
            </w:tcBorders>
          </w:tcPr>
          <w:p w14:paraId="72F8003B" w14:textId="77777777" w:rsidR="004E5D04" w:rsidRPr="004E5D04" w:rsidRDefault="004E5D04" w:rsidP="004E5D04">
            <w:pPr>
              <w:ind w:right="340"/>
              <w:jc w:val="right"/>
              <w:rPr>
                <w:rFonts w:eastAsia="Times New Roman"/>
                <w:b/>
                <w:sz w:val="20"/>
                <w:szCs w:val="20"/>
              </w:rPr>
            </w:pPr>
            <w:r w:rsidRPr="004E5D04">
              <w:rPr>
                <w:rFonts w:eastAsia="Times New Roman"/>
                <w:b/>
                <w:sz w:val="20"/>
                <w:szCs w:val="20"/>
              </w:rPr>
              <w:t>0.5</w:t>
            </w:r>
          </w:p>
        </w:tc>
      </w:tr>
      <w:tr w:rsidR="004E5D04" w:rsidRPr="004E5D04" w14:paraId="4CD087DA" w14:textId="77777777" w:rsidTr="001E7D79">
        <w:trPr>
          <w:jc w:val="center"/>
        </w:trPr>
        <w:tc>
          <w:tcPr>
            <w:tcW w:w="3539" w:type="dxa"/>
            <w:tcBorders>
              <w:top w:val="nil"/>
              <w:left w:val="single" w:sz="4" w:space="0" w:color="auto"/>
              <w:bottom w:val="nil"/>
              <w:right w:val="single" w:sz="4" w:space="0" w:color="auto"/>
            </w:tcBorders>
          </w:tcPr>
          <w:p w14:paraId="08DF4632" w14:textId="77777777" w:rsidR="004E5D04" w:rsidRPr="004E5D04" w:rsidRDefault="004E5D04" w:rsidP="004E5D04">
            <w:pPr>
              <w:ind w:left="284"/>
              <w:jc w:val="both"/>
              <w:rPr>
                <w:rFonts w:eastAsia="Times New Roman"/>
                <w:sz w:val="20"/>
                <w:szCs w:val="20"/>
              </w:rPr>
            </w:pPr>
            <w:r w:rsidRPr="004E5D04">
              <w:rPr>
                <w:rFonts w:eastAsia="Times New Roman"/>
                <w:sz w:val="20"/>
                <w:szCs w:val="20"/>
              </w:rPr>
              <w:t>Residencial</w:t>
            </w:r>
          </w:p>
        </w:tc>
        <w:tc>
          <w:tcPr>
            <w:tcW w:w="1281" w:type="dxa"/>
            <w:tcBorders>
              <w:top w:val="nil"/>
              <w:left w:val="single" w:sz="4" w:space="0" w:color="auto"/>
              <w:bottom w:val="nil"/>
              <w:right w:val="single" w:sz="4" w:space="0" w:color="auto"/>
            </w:tcBorders>
          </w:tcPr>
          <w:p w14:paraId="78949C1D" w14:textId="77777777" w:rsidR="004E5D04" w:rsidRPr="004E5D04" w:rsidRDefault="004E5D04" w:rsidP="004E5D04">
            <w:pPr>
              <w:ind w:right="397"/>
              <w:jc w:val="right"/>
              <w:rPr>
                <w:rFonts w:eastAsia="Times New Roman"/>
                <w:sz w:val="20"/>
                <w:szCs w:val="20"/>
              </w:rPr>
            </w:pPr>
            <w:r w:rsidRPr="004E5D04">
              <w:rPr>
                <w:rFonts w:eastAsia="Times New Roman"/>
                <w:sz w:val="20"/>
                <w:szCs w:val="20"/>
              </w:rPr>
              <w:t>10.0</w:t>
            </w:r>
          </w:p>
        </w:tc>
        <w:tc>
          <w:tcPr>
            <w:tcW w:w="1134" w:type="dxa"/>
            <w:tcBorders>
              <w:top w:val="nil"/>
              <w:left w:val="single" w:sz="4" w:space="0" w:color="auto"/>
              <w:bottom w:val="nil"/>
              <w:right w:val="single" w:sz="4" w:space="0" w:color="auto"/>
            </w:tcBorders>
          </w:tcPr>
          <w:p w14:paraId="78360E53" w14:textId="77777777" w:rsidR="004E5D04" w:rsidRPr="004E5D04" w:rsidRDefault="004E5D04" w:rsidP="004E5D04">
            <w:pPr>
              <w:ind w:right="340"/>
              <w:jc w:val="right"/>
              <w:rPr>
                <w:rFonts w:eastAsia="Times New Roman"/>
                <w:sz w:val="20"/>
                <w:szCs w:val="20"/>
              </w:rPr>
            </w:pPr>
            <w:r w:rsidRPr="004E5D04">
              <w:rPr>
                <w:rFonts w:eastAsia="Times New Roman"/>
                <w:sz w:val="20"/>
                <w:szCs w:val="20"/>
              </w:rPr>
              <w:t>3.0</w:t>
            </w:r>
          </w:p>
        </w:tc>
      </w:tr>
      <w:tr w:rsidR="004E5D04" w:rsidRPr="004E5D04" w14:paraId="45637F51" w14:textId="77777777" w:rsidTr="001E7D79">
        <w:trPr>
          <w:jc w:val="center"/>
        </w:trPr>
        <w:tc>
          <w:tcPr>
            <w:tcW w:w="3539" w:type="dxa"/>
            <w:tcBorders>
              <w:top w:val="nil"/>
              <w:left w:val="single" w:sz="4" w:space="0" w:color="auto"/>
              <w:bottom w:val="nil"/>
              <w:right w:val="single" w:sz="4" w:space="0" w:color="auto"/>
            </w:tcBorders>
          </w:tcPr>
          <w:p w14:paraId="76F8A037" w14:textId="77777777" w:rsidR="004E5D04" w:rsidRPr="004E5D04" w:rsidRDefault="004E5D04" w:rsidP="004E5D04">
            <w:pPr>
              <w:ind w:left="284"/>
              <w:jc w:val="both"/>
              <w:rPr>
                <w:rFonts w:eastAsia="Times New Roman"/>
                <w:sz w:val="20"/>
                <w:szCs w:val="20"/>
              </w:rPr>
            </w:pPr>
            <w:r w:rsidRPr="004E5D04">
              <w:rPr>
                <w:rFonts w:eastAsia="Times New Roman"/>
                <w:sz w:val="20"/>
                <w:szCs w:val="20"/>
              </w:rPr>
              <w:t>No residencial</w:t>
            </w:r>
          </w:p>
        </w:tc>
        <w:tc>
          <w:tcPr>
            <w:tcW w:w="1281" w:type="dxa"/>
            <w:tcBorders>
              <w:top w:val="nil"/>
              <w:left w:val="single" w:sz="4" w:space="0" w:color="auto"/>
              <w:bottom w:val="nil"/>
              <w:right w:val="single" w:sz="4" w:space="0" w:color="auto"/>
            </w:tcBorders>
          </w:tcPr>
          <w:p w14:paraId="3B275F02" w14:textId="77777777" w:rsidR="004E5D04" w:rsidRPr="004E5D04" w:rsidRDefault="004E5D04" w:rsidP="004E5D04">
            <w:pPr>
              <w:ind w:right="397"/>
              <w:jc w:val="right"/>
              <w:rPr>
                <w:rFonts w:eastAsia="Times New Roman"/>
                <w:sz w:val="20"/>
                <w:szCs w:val="20"/>
              </w:rPr>
            </w:pPr>
            <w:r w:rsidRPr="004E5D04">
              <w:rPr>
                <w:rFonts w:eastAsia="Times New Roman"/>
                <w:sz w:val="20"/>
                <w:szCs w:val="20"/>
              </w:rPr>
              <w:t>-1.1</w:t>
            </w:r>
          </w:p>
        </w:tc>
        <w:tc>
          <w:tcPr>
            <w:tcW w:w="1134" w:type="dxa"/>
            <w:tcBorders>
              <w:top w:val="nil"/>
              <w:left w:val="single" w:sz="4" w:space="0" w:color="auto"/>
              <w:bottom w:val="nil"/>
              <w:right w:val="single" w:sz="4" w:space="0" w:color="auto"/>
            </w:tcBorders>
          </w:tcPr>
          <w:p w14:paraId="7074A178" w14:textId="77777777" w:rsidR="004E5D04" w:rsidRPr="004E5D04" w:rsidRDefault="004E5D04" w:rsidP="004E5D04">
            <w:pPr>
              <w:ind w:right="340"/>
              <w:jc w:val="right"/>
              <w:rPr>
                <w:rFonts w:eastAsia="Times New Roman"/>
                <w:sz w:val="20"/>
                <w:szCs w:val="20"/>
              </w:rPr>
            </w:pPr>
            <w:r w:rsidRPr="004E5D04">
              <w:rPr>
                <w:rFonts w:eastAsia="Times New Roman"/>
                <w:sz w:val="20"/>
                <w:szCs w:val="20"/>
              </w:rPr>
              <w:t>-1.4</w:t>
            </w:r>
          </w:p>
        </w:tc>
      </w:tr>
      <w:tr w:rsidR="004E5D04" w:rsidRPr="004E5D04" w14:paraId="32E5D2C1" w14:textId="77777777" w:rsidTr="001E7D79">
        <w:trPr>
          <w:jc w:val="center"/>
        </w:trPr>
        <w:tc>
          <w:tcPr>
            <w:tcW w:w="3539" w:type="dxa"/>
            <w:tcBorders>
              <w:top w:val="nil"/>
              <w:left w:val="single" w:sz="4" w:space="0" w:color="auto"/>
              <w:bottom w:val="nil"/>
              <w:right w:val="single" w:sz="4" w:space="0" w:color="auto"/>
            </w:tcBorders>
          </w:tcPr>
          <w:p w14:paraId="151810AF" w14:textId="77777777" w:rsidR="004E5D04" w:rsidRPr="004E5D04" w:rsidRDefault="004E5D04" w:rsidP="004E5D04">
            <w:pPr>
              <w:ind w:left="170"/>
              <w:jc w:val="both"/>
              <w:rPr>
                <w:rFonts w:eastAsia="Times New Roman"/>
                <w:b/>
                <w:sz w:val="20"/>
                <w:szCs w:val="20"/>
              </w:rPr>
            </w:pPr>
            <w:r w:rsidRPr="004E5D04">
              <w:rPr>
                <w:rFonts w:eastAsia="Times New Roman"/>
                <w:b/>
                <w:sz w:val="20"/>
                <w:szCs w:val="20"/>
              </w:rPr>
              <w:t>Maquinaria y Equipo</w:t>
            </w:r>
          </w:p>
        </w:tc>
        <w:tc>
          <w:tcPr>
            <w:tcW w:w="1281" w:type="dxa"/>
            <w:tcBorders>
              <w:top w:val="nil"/>
              <w:left w:val="single" w:sz="4" w:space="0" w:color="auto"/>
              <w:bottom w:val="nil"/>
              <w:right w:val="single" w:sz="4" w:space="0" w:color="auto"/>
            </w:tcBorders>
          </w:tcPr>
          <w:p w14:paraId="5744BD46" w14:textId="77777777" w:rsidR="004E5D04" w:rsidRPr="004E5D04" w:rsidRDefault="004E5D04" w:rsidP="004E5D04">
            <w:pPr>
              <w:ind w:right="397"/>
              <w:jc w:val="right"/>
              <w:rPr>
                <w:rFonts w:eastAsia="Times New Roman"/>
                <w:b/>
                <w:sz w:val="20"/>
                <w:szCs w:val="20"/>
              </w:rPr>
            </w:pPr>
            <w:r w:rsidRPr="004E5D04">
              <w:rPr>
                <w:rFonts w:eastAsia="Times New Roman"/>
                <w:b/>
                <w:sz w:val="20"/>
                <w:szCs w:val="20"/>
              </w:rPr>
              <w:t>8.9</w:t>
            </w:r>
          </w:p>
        </w:tc>
        <w:tc>
          <w:tcPr>
            <w:tcW w:w="1134" w:type="dxa"/>
            <w:tcBorders>
              <w:top w:val="nil"/>
              <w:left w:val="single" w:sz="4" w:space="0" w:color="auto"/>
              <w:bottom w:val="nil"/>
              <w:right w:val="single" w:sz="4" w:space="0" w:color="auto"/>
            </w:tcBorders>
          </w:tcPr>
          <w:p w14:paraId="031E0D03" w14:textId="77777777" w:rsidR="004E5D04" w:rsidRPr="004E5D04" w:rsidRDefault="004E5D04" w:rsidP="004E5D04">
            <w:pPr>
              <w:ind w:right="340"/>
              <w:jc w:val="right"/>
              <w:rPr>
                <w:rFonts w:eastAsia="Times New Roman"/>
                <w:b/>
                <w:sz w:val="20"/>
                <w:szCs w:val="20"/>
              </w:rPr>
            </w:pPr>
            <w:r w:rsidRPr="004E5D04">
              <w:rPr>
                <w:rFonts w:eastAsia="Times New Roman"/>
                <w:b/>
                <w:sz w:val="20"/>
                <w:szCs w:val="20"/>
              </w:rPr>
              <w:t>5.5</w:t>
            </w:r>
          </w:p>
        </w:tc>
      </w:tr>
      <w:tr w:rsidR="004E5D04" w:rsidRPr="004E5D04" w14:paraId="4E944B69" w14:textId="77777777" w:rsidTr="001E7D79">
        <w:trPr>
          <w:jc w:val="center"/>
        </w:trPr>
        <w:tc>
          <w:tcPr>
            <w:tcW w:w="3539" w:type="dxa"/>
            <w:tcBorders>
              <w:top w:val="nil"/>
              <w:left w:val="single" w:sz="4" w:space="0" w:color="auto"/>
              <w:bottom w:val="nil"/>
              <w:right w:val="single" w:sz="4" w:space="0" w:color="auto"/>
            </w:tcBorders>
          </w:tcPr>
          <w:p w14:paraId="35D30577" w14:textId="77777777" w:rsidR="004E5D04" w:rsidRPr="004E5D04" w:rsidRDefault="004E5D04" w:rsidP="004E5D04">
            <w:pPr>
              <w:ind w:left="284"/>
              <w:jc w:val="both"/>
              <w:rPr>
                <w:rFonts w:eastAsia="Times New Roman"/>
                <w:sz w:val="20"/>
                <w:szCs w:val="20"/>
              </w:rPr>
            </w:pPr>
            <w:r w:rsidRPr="004E5D04">
              <w:rPr>
                <w:rFonts w:eastAsia="Times New Roman"/>
                <w:sz w:val="20"/>
                <w:szCs w:val="20"/>
              </w:rPr>
              <w:t>Nacional</w:t>
            </w:r>
          </w:p>
        </w:tc>
        <w:tc>
          <w:tcPr>
            <w:tcW w:w="1281" w:type="dxa"/>
            <w:tcBorders>
              <w:top w:val="nil"/>
              <w:left w:val="single" w:sz="4" w:space="0" w:color="auto"/>
              <w:bottom w:val="nil"/>
              <w:right w:val="single" w:sz="4" w:space="0" w:color="auto"/>
            </w:tcBorders>
          </w:tcPr>
          <w:p w14:paraId="7B857E6B" w14:textId="77777777" w:rsidR="004E5D04" w:rsidRPr="004E5D04" w:rsidRDefault="004E5D04" w:rsidP="004E5D04">
            <w:pPr>
              <w:ind w:right="397"/>
              <w:jc w:val="right"/>
              <w:rPr>
                <w:rFonts w:eastAsia="Times New Roman"/>
                <w:sz w:val="20"/>
                <w:szCs w:val="20"/>
              </w:rPr>
            </w:pPr>
            <w:r w:rsidRPr="004E5D04">
              <w:rPr>
                <w:rFonts w:eastAsia="Times New Roman"/>
                <w:sz w:val="20"/>
                <w:szCs w:val="20"/>
              </w:rPr>
              <w:t>12.4</w:t>
            </w:r>
          </w:p>
        </w:tc>
        <w:tc>
          <w:tcPr>
            <w:tcW w:w="1134" w:type="dxa"/>
            <w:tcBorders>
              <w:top w:val="nil"/>
              <w:left w:val="single" w:sz="4" w:space="0" w:color="auto"/>
              <w:bottom w:val="nil"/>
              <w:right w:val="single" w:sz="4" w:space="0" w:color="auto"/>
            </w:tcBorders>
          </w:tcPr>
          <w:p w14:paraId="4B4FC70E" w14:textId="77777777" w:rsidR="004E5D04" w:rsidRPr="004E5D04" w:rsidRDefault="004E5D04" w:rsidP="004E5D04">
            <w:pPr>
              <w:ind w:right="340"/>
              <w:jc w:val="right"/>
              <w:rPr>
                <w:rFonts w:eastAsia="Times New Roman"/>
                <w:sz w:val="20"/>
                <w:szCs w:val="20"/>
              </w:rPr>
            </w:pPr>
            <w:r w:rsidRPr="004E5D04">
              <w:rPr>
                <w:rFonts w:eastAsia="Times New Roman"/>
                <w:sz w:val="20"/>
                <w:szCs w:val="20"/>
              </w:rPr>
              <w:t>4.7</w:t>
            </w:r>
          </w:p>
        </w:tc>
      </w:tr>
      <w:tr w:rsidR="004E5D04" w:rsidRPr="004E5D04" w14:paraId="017CA69C" w14:textId="77777777" w:rsidTr="001E7D79">
        <w:trPr>
          <w:jc w:val="center"/>
        </w:trPr>
        <w:tc>
          <w:tcPr>
            <w:tcW w:w="3539" w:type="dxa"/>
            <w:tcBorders>
              <w:top w:val="nil"/>
              <w:left w:val="single" w:sz="4" w:space="0" w:color="auto"/>
              <w:bottom w:val="nil"/>
              <w:right w:val="single" w:sz="4" w:space="0" w:color="auto"/>
            </w:tcBorders>
          </w:tcPr>
          <w:p w14:paraId="2A1DE77E" w14:textId="77777777" w:rsidR="004E5D04" w:rsidRPr="004E5D04" w:rsidRDefault="004E5D04" w:rsidP="004E5D04">
            <w:pPr>
              <w:ind w:left="397"/>
              <w:jc w:val="both"/>
              <w:rPr>
                <w:rFonts w:eastAsia="Times New Roman"/>
                <w:sz w:val="20"/>
                <w:szCs w:val="20"/>
              </w:rPr>
            </w:pPr>
            <w:r w:rsidRPr="004E5D04">
              <w:rPr>
                <w:rFonts w:eastAsia="Times New Roman"/>
                <w:sz w:val="20"/>
                <w:szCs w:val="20"/>
              </w:rPr>
              <w:t>Equipo de transporte</w:t>
            </w:r>
          </w:p>
        </w:tc>
        <w:tc>
          <w:tcPr>
            <w:tcW w:w="1281" w:type="dxa"/>
            <w:tcBorders>
              <w:top w:val="nil"/>
              <w:left w:val="single" w:sz="4" w:space="0" w:color="auto"/>
              <w:bottom w:val="nil"/>
              <w:right w:val="single" w:sz="4" w:space="0" w:color="auto"/>
            </w:tcBorders>
          </w:tcPr>
          <w:p w14:paraId="58469946" w14:textId="77777777" w:rsidR="004E5D04" w:rsidRPr="004E5D04" w:rsidRDefault="004E5D04" w:rsidP="004E5D04">
            <w:pPr>
              <w:ind w:right="397"/>
              <w:jc w:val="right"/>
              <w:rPr>
                <w:rFonts w:eastAsia="Times New Roman"/>
                <w:sz w:val="20"/>
                <w:szCs w:val="20"/>
              </w:rPr>
            </w:pPr>
            <w:r w:rsidRPr="004E5D04">
              <w:rPr>
                <w:rFonts w:eastAsia="Times New Roman"/>
                <w:sz w:val="20"/>
                <w:szCs w:val="20"/>
              </w:rPr>
              <w:t>10.5</w:t>
            </w:r>
          </w:p>
        </w:tc>
        <w:tc>
          <w:tcPr>
            <w:tcW w:w="1134" w:type="dxa"/>
            <w:tcBorders>
              <w:top w:val="nil"/>
              <w:left w:val="single" w:sz="4" w:space="0" w:color="auto"/>
              <w:bottom w:val="nil"/>
              <w:right w:val="single" w:sz="4" w:space="0" w:color="auto"/>
            </w:tcBorders>
          </w:tcPr>
          <w:p w14:paraId="2772FDBB" w14:textId="77777777" w:rsidR="004E5D04" w:rsidRPr="004E5D04" w:rsidRDefault="004E5D04" w:rsidP="004E5D04">
            <w:pPr>
              <w:ind w:right="340"/>
              <w:jc w:val="right"/>
              <w:rPr>
                <w:rFonts w:eastAsia="Times New Roman"/>
                <w:sz w:val="20"/>
                <w:szCs w:val="20"/>
              </w:rPr>
            </w:pPr>
            <w:r w:rsidRPr="004E5D04">
              <w:rPr>
                <w:rFonts w:eastAsia="Times New Roman"/>
                <w:sz w:val="20"/>
                <w:szCs w:val="20"/>
              </w:rPr>
              <w:t>4.4</w:t>
            </w:r>
          </w:p>
        </w:tc>
      </w:tr>
      <w:tr w:rsidR="004E5D04" w:rsidRPr="004E5D04" w14:paraId="4AF57E32" w14:textId="77777777" w:rsidTr="001E7D79">
        <w:trPr>
          <w:jc w:val="center"/>
        </w:trPr>
        <w:tc>
          <w:tcPr>
            <w:tcW w:w="3539" w:type="dxa"/>
            <w:tcBorders>
              <w:top w:val="nil"/>
              <w:left w:val="single" w:sz="4" w:space="0" w:color="auto"/>
              <w:bottom w:val="nil"/>
              <w:right w:val="single" w:sz="4" w:space="0" w:color="auto"/>
            </w:tcBorders>
          </w:tcPr>
          <w:p w14:paraId="26106093" w14:textId="77777777" w:rsidR="004E5D04" w:rsidRPr="004E5D04" w:rsidRDefault="004E5D04" w:rsidP="004E5D04">
            <w:pPr>
              <w:ind w:left="397"/>
              <w:jc w:val="both"/>
              <w:rPr>
                <w:rFonts w:eastAsia="Times New Roman"/>
                <w:sz w:val="20"/>
                <w:szCs w:val="20"/>
              </w:rPr>
            </w:pPr>
            <w:r w:rsidRPr="004E5D04">
              <w:rPr>
                <w:rFonts w:eastAsia="Times New Roman"/>
                <w:sz w:val="20"/>
                <w:szCs w:val="20"/>
              </w:rPr>
              <w:t>Maquinaria, equipo y otros bienes</w:t>
            </w:r>
          </w:p>
        </w:tc>
        <w:tc>
          <w:tcPr>
            <w:tcW w:w="1281" w:type="dxa"/>
            <w:tcBorders>
              <w:top w:val="nil"/>
              <w:left w:val="single" w:sz="4" w:space="0" w:color="auto"/>
              <w:bottom w:val="nil"/>
              <w:right w:val="single" w:sz="4" w:space="0" w:color="auto"/>
            </w:tcBorders>
          </w:tcPr>
          <w:p w14:paraId="5D55C031" w14:textId="77777777" w:rsidR="004E5D04" w:rsidRPr="004E5D04" w:rsidRDefault="004E5D04" w:rsidP="004E5D04">
            <w:pPr>
              <w:ind w:right="397"/>
              <w:jc w:val="right"/>
              <w:rPr>
                <w:rFonts w:eastAsia="Times New Roman"/>
                <w:sz w:val="20"/>
                <w:szCs w:val="20"/>
              </w:rPr>
            </w:pPr>
            <w:r w:rsidRPr="004E5D04">
              <w:rPr>
                <w:rFonts w:eastAsia="Times New Roman"/>
                <w:sz w:val="20"/>
                <w:szCs w:val="20"/>
              </w:rPr>
              <w:t>14.2</w:t>
            </w:r>
          </w:p>
        </w:tc>
        <w:tc>
          <w:tcPr>
            <w:tcW w:w="1134" w:type="dxa"/>
            <w:tcBorders>
              <w:top w:val="nil"/>
              <w:left w:val="single" w:sz="4" w:space="0" w:color="auto"/>
              <w:bottom w:val="nil"/>
              <w:right w:val="single" w:sz="4" w:space="0" w:color="auto"/>
            </w:tcBorders>
          </w:tcPr>
          <w:p w14:paraId="3DBB0682" w14:textId="77777777" w:rsidR="004E5D04" w:rsidRPr="004E5D04" w:rsidRDefault="004E5D04" w:rsidP="004E5D04">
            <w:pPr>
              <w:ind w:right="340"/>
              <w:jc w:val="right"/>
              <w:rPr>
                <w:rFonts w:eastAsia="Times New Roman"/>
                <w:sz w:val="20"/>
                <w:szCs w:val="20"/>
              </w:rPr>
            </w:pPr>
            <w:r w:rsidRPr="004E5D04">
              <w:rPr>
                <w:rFonts w:eastAsia="Times New Roman"/>
                <w:sz w:val="20"/>
                <w:szCs w:val="20"/>
              </w:rPr>
              <w:t>4.9</w:t>
            </w:r>
          </w:p>
        </w:tc>
      </w:tr>
      <w:tr w:rsidR="004E5D04" w:rsidRPr="004E5D04" w14:paraId="6E497797" w14:textId="77777777" w:rsidTr="001E7D79">
        <w:trPr>
          <w:jc w:val="center"/>
        </w:trPr>
        <w:tc>
          <w:tcPr>
            <w:tcW w:w="3539" w:type="dxa"/>
            <w:tcBorders>
              <w:top w:val="nil"/>
              <w:left w:val="single" w:sz="4" w:space="0" w:color="auto"/>
              <w:bottom w:val="nil"/>
              <w:right w:val="single" w:sz="4" w:space="0" w:color="auto"/>
            </w:tcBorders>
          </w:tcPr>
          <w:p w14:paraId="46F71D41" w14:textId="77777777" w:rsidR="004E5D04" w:rsidRPr="004E5D04" w:rsidRDefault="004E5D04" w:rsidP="004E5D04">
            <w:pPr>
              <w:ind w:left="284"/>
              <w:jc w:val="both"/>
              <w:rPr>
                <w:rFonts w:eastAsia="Times New Roman"/>
                <w:sz w:val="20"/>
                <w:szCs w:val="20"/>
              </w:rPr>
            </w:pPr>
            <w:r w:rsidRPr="004E5D04">
              <w:rPr>
                <w:rFonts w:eastAsia="Times New Roman"/>
                <w:sz w:val="20"/>
                <w:szCs w:val="20"/>
              </w:rPr>
              <w:t>Importado</w:t>
            </w:r>
          </w:p>
        </w:tc>
        <w:tc>
          <w:tcPr>
            <w:tcW w:w="1281" w:type="dxa"/>
            <w:tcBorders>
              <w:top w:val="nil"/>
              <w:left w:val="single" w:sz="4" w:space="0" w:color="auto"/>
              <w:bottom w:val="nil"/>
              <w:right w:val="single" w:sz="4" w:space="0" w:color="auto"/>
            </w:tcBorders>
          </w:tcPr>
          <w:p w14:paraId="112A1F55" w14:textId="77777777" w:rsidR="004E5D04" w:rsidRPr="004E5D04" w:rsidRDefault="004E5D04" w:rsidP="004E5D04">
            <w:pPr>
              <w:ind w:right="397"/>
              <w:jc w:val="right"/>
              <w:rPr>
                <w:rFonts w:eastAsia="Times New Roman"/>
                <w:sz w:val="20"/>
                <w:szCs w:val="20"/>
              </w:rPr>
            </w:pPr>
            <w:r w:rsidRPr="004E5D04">
              <w:rPr>
                <w:rFonts w:eastAsia="Times New Roman"/>
                <w:sz w:val="20"/>
                <w:szCs w:val="20"/>
              </w:rPr>
              <w:t>7.2</w:t>
            </w:r>
          </w:p>
        </w:tc>
        <w:tc>
          <w:tcPr>
            <w:tcW w:w="1134" w:type="dxa"/>
            <w:tcBorders>
              <w:top w:val="nil"/>
              <w:left w:val="single" w:sz="4" w:space="0" w:color="auto"/>
              <w:bottom w:val="nil"/>
              <w:right w:val="single" w:sz="4" w:space="0" w:color="auto"/>
            </w:tcBorders>
          </w:tcPr>
          <w:p w14:paraId="1800B5C1" w14:textId="77777777" w:rsidR="004E5D04" w:rsidRPr="004E5D04" w:rsidRDefault="004E5D04" w:rsidP="004E5D04">
            <w:pPr>
              <w:ind w:right="340"/>
              <w:jc w:val="right"/>
              <w:rPr>
                <w:rFonts w:eastAsia="Times New Roman"/>
                <w:sz w:val="20"/>
                <w:szCs w:val="20"/>
              </w:rPr>
            </w:pPr>
            <w:r w:rsidRPr="004E5D04">
              <w:rPr>
                <w:rFonts w:eastAsia="Times New Roman"/>
                <w:sz w:val="20"/>
                <w:szCs w:val="20"/>
              </w:rPr>
              <w:t>5.9</w:t>
            </w:r>
          </w:p>
        </w:tc>
      </w:tr>
      <w:tr w:rsidR="004E5D04" w:rsidRPr="004E5D04" w14:paraId="17A19B26" w14:textId="77777777" w:rsidTr="001E7D79">
        <w:trPr>
          <w:jc w:val="center"/>
        </w:trPr>
        <w:tc>
          <w:tcPr>
            <w:tcW w:w="3539" w:type="dxa"/>
            <w:tcBorders>
              <w:top w:val="nil"/>
              <w:left w:val="single" w:sz="4" w:space="0" w:color="auto"/>
              <w:bottom w:val="nil"/>
              <w:right w:val="single" w:sz="4" w:space="0" w:color="auto"/>
            </w:tcBorders>
          </w:tcPr>
          <w:p w14:paraId="137DCAD4" w14:textId="77777777" w:rsidR="004E5D04" w:rsidRPr="004E5D04" w:rsidRDefault="004E5D04" w:rsidP="004E5D04">
            <w:pPr>
              <w:ind w:left="397"/>
              <w:jc w:val="both"/>
              <w:rPr>
                <w:rFonts w:eastAsia="Times New Roman"/>
                <w:sz w:val="20"/>
                <w:szCs w:val="20"/>
              </w:rPr>
            </w:pPr>
            <w:r w:rsidRPr="004E5D04">
              <w:rPr>
                <w:rFonts w:eastAsia="Times New Roman"/>
                <w:sz w:val="20"/>
                <w:szCs w:val="20"/>
              </w:rPr>
              <w:t>Equipo de transporte</w:t>
            </w:r>
          </w:p>
        </w:tc>
        <w:tc>
          <w:tcPr>
            <w:tcW w:w="1281" w:type="dxa"/>
            <w:tcBorders>
              <w:top w:val="nil"/>
              <w:left w:val="single" w:sz="4" w:space="0" w:color="auto"/>
              <w:bottom w:val="nil"/>
              <w:right w:val="single" w:sz="4" w:space="0" w:color="auto"/>
            </w:tcBorders>
          </w:tcPr>
          <w:p w14:paraId="5BDADAF1" w14:textId="77777777" w:rsidR="004E5D04" w:rsidRPr="004E5D04" w:rsidRDefault="004E5D04" w:rsidP="004E5D04">
            <w:pPr>
              <w:ind w:right="397"/>
              <w:jc w:val="right"/>
              <w:rPr>
                <w:rFonts w:eastAsia="Times New Roman"/>
                <w:sz w:val="20"/>
                <w:szCs w:val="20"/>
              </w:rPr>
            </w:pPr>
            <w:r w:rsidRPr="004E5D04">
              <w:rPr>
                <w:rFonts w:eastAsia="Times New Roman"/>
                <w:sz w:val="20"/>
                <w:szCs w:val="20"/>
              </w:rPr>
              <w:t>-0.7</w:t>
            </w:r>
          </w:p>
        </w:tc>
        <w:tc>
          <w:tcPr>
            <w:tcW w:w="1134" w:type="dxa"/>
            <w:tcBorders>
              <w:top w:val="nil"/>
              <w:left w:val="single" w:sz="4" w:space="0" w:color="auto"/>
              <w:bottom w:val="nil"/>
              <w:right w:val="single" w:sz="4" w:space="0" w:color="auto"/>
            </w:tcBorders>
          </w:tcPr>
          <w:p w14:paraId="760E24AB" w14:textId="77777777" w:rsidR="004E5D04" w:rsidRPr="004E5D04" w:rsidRDefault="004E5D04" w:rsidP="004E5D04">
            <w:pPr>
              <w:ind w:right="340"/>
              <w:jc w:val="right"/>
              <w:rPr>
                <w:rFonts w:eastAsia="Times New Roman"/>
                <w:sz w:val="20"/>
                <w:szCs w:val="20"/>
              </w:rPr>
            </w:pPr>
            <w:r w:rsidRPr="004E5D04">
              <w:rPr>
                <w:rFonts w:eastAsia="Times New Roman"/>
                <w:sz w:val="20"/>
                <w:szCs w:val="20"/>
              </w:rPr>
              <w:t>-2.5</w:t>
            </w:r>
          </w:p>
        </w:tc>
      </w:tr>
      <w:tr w:rsidR="004E5D04" w:rsidRPr="004E5D04" w14:paraId="46F78FAE" w14:textId="77777777" w:rsidTr="001E7D79">
        <w:trPr>
          <w:jc w:val="center"/>
        </w:trPr>
        <w:tc>
          <w:tcPr>
            <w:tcW w:w="3539" w:type="dxa"/>
            <w:tcBorders>
              <w:top w:val="nil"/>
              <w:left w:val="single" w:sz="4" w:space="0" w:color="auto"/>
              <w:bottom w:val="single" w:sz="4" w:space="0" w:color="auto"/>
              <w:right w:val="single" w:sz="4" w:space="0" w:color="auto"/>
            </w:tcBorders>
          </w:tcPr>
          <w:p w14:paraId="2DC9D15B" w14:textId="77777777" w:rsidR="004E5D04" w:rsidRPr="004E5D04" w:rsidRDefault="004E5D04" w:rsidP="004E5D04">
            <w:pPr>
              <w:ind w:left="397"/>
              <w:jc w:val="both"/>
              <w:rPr>
                <w:rFonts w:eastAsia="Times New Roman"/>
                <w:sz w:val="20"/>
                <w:szCs w:val="20"/>
              </w:rPr>
            </w:pPr>
            <w:r w:rsidRPr="004E5D04">
              <w:rPr>
                <w:rFonts w:eastAsia="Times New Roman"/>
                <w:sz w:val="20"/>
                <w:szCs w:val="20"/>
              </w:rPr>
              <w:t>Maquinaria, equipo y otros bienes</w:t>
            </w:r>
          </w:p>
        </w:tc>
        <w:tc>
          <w:tcPr>
            <w:tcW w:w="1281" w:type="dxa"/>
            <w:tcBorders>
              <w:top w:val="nil"/>
              <w:left w:val="single" w:sz="4" w:space="0" w:color="auto"/>
              <w:bottom w:val="single" w:sz="4" w:space="0" w:color="auto"/>
              <w:right w:val="single" w:sz="4" w:space="0" w:color="auto"/>
            </w:tcBorders>
          </w:tcPr>
          <w:p w14:paraId="32714DA7" w14:textId="77777777" w:rsidR="004E5D04" w:rsidRPr="004E5D04" w:rsidRDefault="004E5D04" w:rsidP="004E5D04">
            <w:pPr>
              <w:ind w:right="397"/>
              <w:jc w:val="right"/>
              <w:rPr>
                <w:rFonts w:eastAsia="Times New Roman"/>
                <w:sz w:val="20"/>
                <w:szCs w:val="20"/>
              </w:rPr>
            </w:pPr>
            <w:r w:rsidRPr="004E5D04">
              <w:rPr>
                <w:rFonts w:eastAsia="Times New Roman"/>
                <w:sz w:val="20"/>
                <w:szCs w:val="20"/>
              </w:rPr>
              <w:t>8.4</w:t>
            </w:r>
          </w:p>
        </w:tc>
        <w:tc>
          <w:tcPr>
            <w:tcW w:w="1134" w:type="dxa"/>
            <w:tcBorders>
              <w:top w:val="nil"/>
              <w:left w:val="single" w:sz="4" w:space="0" w:color="auto"/>
              <w:bottom w:val="single" w:sz="4" w:space="0" w:color="auto"/>
              <w:right w:val="single" w:sz="4" w:space="0" w:color="auto"/>
            </w:tcBorders>
          </w:tcPr>
          <w:p w14:paraId="3FBCBEFC" w14:textId="77777777" w:rsidR="004E5D04" w:rsidRPr="004E5D04" w:rsidRDefault="004E5D04" w:rsidP="004E5D04">
            <w:pPr>
              <w:ind w:right="340"/>
              <w:jc w:val="right"/>
              <w:rPr>
                <w:rFonts w:eastAsia="Times New Roman"/>
                <w:sz w:val="20"/>
                <w:szCs w:val="20"/>
              </w:rPr>
            </w:pPr>
            <w:r w:rsidRPr="004E5D04">
              <w:rPr>
                <w:rFonts w:eastAsia="Times New Roman"/>
                <w:sz w:val="20"/>
                <w:szCs w:val="20"/>
              </w:rPr>
              <w:t>7.2</w:t>
            </w:r>
          </w:p>
        </w:tc>
      </w:tr>
      <w:tr w:rsidR="004E5D04" w:rsidRPr="004E5D04" w14:paraId="1BDB5F35" w14:textId="77777777" w:rsidTr="001E7D79">
        <w:trPr>
          <w:jc w:val="center"/>
        </w:trPr>
        <w:tc>
          <w:tcPr>
            <w:tcW w:w="5954" w:type="dxa"/>
            <w:gridSpan w:val="3"/>
            <w:tcBorders>
              <w:left w:val="nil"/>
              <w:bottom w:val="nil"/>
              <w:right w:val="nil"/>
            </w:tcBorders>
          </w:tcPr>
          <w:p w14:paraId="224FE0A7" w14:textId="77777777" w:rsidR="004E5D04" w:rsidRPr="004E5D04" w:rsidRDefault="004E5D04" w:rsidP="004E5D04">
            <w:pPr>
              <w:jc w:val="both"/>
              <w:rPr>
                <w:rFonts w:eastAsia="Times New Roman"/>
                <w:sz w:val="20"/>
                <w:szCs w:val="20"/>
              </w:rPr>
            </w:pPr>
            <w:r w:rsidRPr="004E5D04">
              <w:rPr>
                <w:rFonts w:eastAsia="Times New Roman"/>
                <w:sz w:val="20"/>
                <w:szCs w:val="20"/>
                <w:u w:val="single"/>
              </w:rPr>
              <w:t>p</w:t>
            </w:r>
            <w:r w:rsidRPr="004E5D04">
              <w:rPr>
                <w:rFonts w:eastAsia="Times New Roman"/>
                <w:sz w:val="20"/>
                <w:szCs w:val="20"/>
              </w:rPr>
              <w:t>/ Cifras preliminares.</w:t>
            </w:r>
          </w:p>
          <w:p w14:paraId="6D6A235C" w14:textId="77777777" w:rsidR="004E5D04" w:rsidRPr="004E5D04" w:rsidRDefault="004E5D04" w:rsidP="004E5D04">
            <w:pPr>
              <w:jc w:val="both"/>
              <w:rPr>
                <w:rFonts w:eastAsia="Times New Roman"/>
                <w:sz w:val="20"/>
                <w:szCs w:val="20"/>
              </w:rPr>
            </w:pPr>
            <w:r w:rsidRPr="004E5D04">
              <w:rPr>
                <w:rFonts w:eastAsia="Times New Roman"/>
                <w:sz w:val="20"/>
                <w:szCs w:val="20"/>
              </w:rPr>
              <w:t>FUENTE. INEGI.</w:t>
            </w:r>
          </w:p>
        </w:tc>
      </w:tr>
    </w:tbl>
    <w:p w14:paraId="49E0458D" w14:textId="77777777" w:rsidR="004E5D04" w:rsidRPr="004E5D04" w:rsidRDefault="004E5D04" w:rsidP="004E5D04">
      <w:pPr>
        <w:spacing w:after="360" w:line="360" w:lineRule="auto"/>
        <w:ind w:right="-159"/>
        <w:jc w:val="both"/>
        <w:rPr>
          <w:rFonts w:eastAsia="Times New Roman"/>
          <w:sz w:val="26"/>
          <w:szCs w:val="26"/>
        </w:rPr>
      </w:pPr>
    </w:p>
    <w:p w14:paraId="11266E2F" w14:textId="77777777" w:rsidR="004E5D04" w:rsidRPr="004E5D04" w:rsidRDefault="004E5D04" w:rsidP="004E5D04">
      <w:pPr>
        <w:rPr>
          <w:b/>
          <w:sz w:val="20"/>
          <w:szCs w:val="20"/>
        </w:rPr>
      </w:pPr>
      <w:r w:rsidRPr="004E5D04">
        <w:rPr>
          <w:b/>
          <w:sz w:val="20"/>
          <w:szCs w:val="20"/>
        </w:rPr>
        <w:t>Fuente de información:</w:t>
      </w:r>
    </w:p>
    <w:p w14:paraId="0A5DCAF5" w14:textId="77777777" w:rsidR="004E5D04" w:rsidRPr="00660E71" w:rsidRDefault="0093224F" w:rsidP="004E5D04">
      <w:pPr>
        <w:spacing w:after="360" w:line="360" w:lineRule="auto"/>
        <w:ind w:right="-159"/>
        <w:jc w:val="both"/>
        <w:rPr>
          <w:rFonts w:eastAsia="Times New Roman"/>
          <w:b/>
          <w:color w:val="0000FF"/>
          <w:sz w:val="20"/>
          <w:szCs w:val="20"/>
        </w:rPr>
      </w:pPr>
      <w:hyperlink r:id="rId154" w:history="1">
        <w:r w:rsidR="004E5D04" w:rsidRPr="00660E71">
          <w:rPr>
            <w:color w:val="0000FF"/>
            <w:sz w:val="20"/>
            <w:szCs w:val="20"/>
            <w:u w:val="single"/>
          </w:rPr>
          <w:t>http://www.inegi.org.mx/saladeprensa/boletines/2015/invfibu/invfibu2015_03.pdf</w:t>
        </w:r>
      </w:hyperlink>
      <w:r w:rsidR="004E5D04" w:rsidRPr="00660E71">
        <w:rPr>
          <w:color w:val="0000FF"/>
          <w:sz w:val="20"/>
          <w:szCs w:val="20"/>
        </w:rPr>
        <w:t xml:space="preserve"> </w:t>
      </w:r>
    </w:p>
    <w:p w14:paraId="5421E7D6" w14:textId="7834A25A" w:rsidR="00DF70C5" w:rsidRDefault="00DF70C5">
      <w:pPr>
        <w:rPr>
          <w:rFonts w:eastAsia="Times New Roman"/>
          <w:sz w:val="26"/>
          <w:szCs w:val="26"/>
        </w:rPr>
      </w:pPr>
      <w:r>
        <w:rPr>
          <w:rFonts w:eastAsia="Times New Roman"/>
          <w:sz w:val="26"/>
          <w:szCs w:val="26"/>
        </w:rPr>
        <w:br w:type="page"/>
      </w:r>
    </w:p>
    <w:p w14:paraId="788534FD" w14:textId="4E748BD9" w:rsidR="000C1D7E" w:rsidRPr="000E3A45" w:rsidRDefault="000C1D7E" w:rsidP="005C15CE">
      <w:pPr>
        <w:spacing w:after="360" w:line="360" w:lineRule="auto"/>
        <w:ind w:right="-159"/>
        <w:rPr>
          <w:rFonts w:eastAsia="Times New Roman"/>
          <w:b/>
          <w:sz w:val="26"/>
        </w:rPr>
      </w:pPr>
      <w:r w:rsidRPr="000E3A45">
        <w:rPr>
          <w:rFonts w:eastAsia="Times New Roman"/>
          <w:b/>
          <w:sz w:val="26"/>
        </w:rPr>
        <w:lastRenderedPageBreak/>
        <w:t xml:space="preserve">Indicadores de Opinión del Sector Manufacturero, </w:t>
      </w:r>
      <w:r w:rsidR="00903378">
        <w:rPr>
          <w:rFonts w:eastAsia="Times New Roman"/>
          <w:b/>
          <w:sz w:val="26"/>
        </w:rPr>
        <w:t>febrero</w:t>
      </w:r>
      <w:r w:rsidR="00556FDD" w:rsidRPr="000E3A45">
        <w:rPr>
          <w:rFonts w:eastAsia="Times New Roman"/>
          <w:b/>
          <w:sz w:val="26"/>
        </w:rPr>
        <w:t xml:space="preserve"> </w:t>
      </w:r>
      <w:r w:rsidRPr="000E3A45">
        <w:rPr>
          <w:rFonts w:eastAsia="Times New Roman"/>
          <w:b/>
          <w:sz w:val="26"/>
        </w:rPr>
        <w:t>de 201</w:t>
      </w:r>
      <w:r w:rsidR="0061291B">
        <w:rPr>
          <w:rFonts w:eastAsia="Times New Roman"/>
          <w:b/>
          <w:sz w:val="26"/>
        </w:rPr>
        <w:t>5</w:t>
      </w:r>
      <w:r w:rsidRPr="000E3A45">
        <w:rPr>
          <w:rFonts w:eastAsia="Times New Roman"/>
          <w:b/>
          <w:sz w:val="26"/>
        </w:rPr>
        <w:t xml:space="preserve"> (INEGI)</w:t>
      </w:r>
    </w:p>
    <w:p w14:paraId="472C74D9" w14:textId="77777777" w:rsidR="0038142F" w:rsidRPr="0038142F" w:rsidRDefault="0038142F" w:rsidP="0038142F">
      <w:pPr>
        <w:ind w:right="-159"/>
        <w:jc w:val="both"/>
        <w:rPr>
          <w:rFonts w:eastAsia="Times New Roman"/>
          <w:b/>
          <w:sz w:val="26"/>
          <w:szCs w:val="26"/>
        </w:rPr>
      </w:pPr>
      <w:r w:rsidRPr="0038142F">
        <w:rPr>
          <w:rFonts w:eastAsia="Times New Roman"/>
          <w:b/>
          <w:sz w:val="26"/>
          <w:szCs w:val="26"/>
        </w:rPr>
        <w:t xml:space="preserve">Indicadores de Expectativas Empresariales </w:t>
      </w:r>
    </w:p>
    <w:p w14:paraId="0F8B720A" w14:textId="77777777" w:rsidR="0038142F" w:rsidRPr="0038142F" w:rsidRDefault="0038142F" w:rsidP="0038142F">
      <w:pPr>
        <w:spacing w:after="360" w:line="360" w:lineRule="auto"/>
        <w:ind w:right="-159"/>
        <w:jc w:val="both"/>
        <w:rPr>
          <w:rFonts w:eastAsia="Times New Roman"/>
          <w:b/>
          <w:sz w:val="26"/>
          <w:szCs w:val="26"/>
        </w:rPr>
      </w:pPr>
      <w:r w:rsidRPr="0038142F">
        <w:rPr>
          <w:rFonts w:eastAsia="Times New Roman"/>
          <w:b/>
          <w:sz w:val="26"/>
          <w:szCs w:val="26"/>
        </w:rPr>
        <w:t>cifras  durante  febrero  de  2015  (INEGI)</w:t>
      </w:r>
    </w:p>
    <w:p w14:paraId="73A2AEDD" w14:textId="57932863" w:rsidR="0038142F" w:rsidRPr="0038142F" w:rsidRDefault="0038142F" w:rsidP="0038142F">
      <w:pPr>
        <w:spacing w:after="360" w:line="360" w:lineRule="auto"/>
        <w:ind w:right="-159"/>
        <w:jc w:val="both"/>
        <w:rPr>
          <w:rFonts w:eastAsia="Times New Roman"/>
          <w:sz w:val="26"/>
          <w:szCs w:val="26"/>
        </w:rPr>
      </w:pPr>
      <w:r w:rsidRPr="0038142F">
        <w:rPr>
          <w:rFonts w:eastAsia="Times New Roman"/>
          <w:sz w:val="26"/>
          <w:szCs w:val="26"/>
        </w:rPr>
        <w:t>El 5 de marzo de 2015, el Instituto Nacional de Estadística y Geografía (INEGI) dio a conocer l</w:t>
      </w:r>
      <w:r>
        <w:rPr>
          <w:rFonts w:eastAsia="Times New Roman"/>
          <w:sz w:val="26"/>
          <w:szCs w:val="26"/>
        </w:rPr>
        <w:t>os “Indicadores de</w:t>
      </w:r>
      <w:r w:rsidRPr="0038142F">
        <w:rPr>
          <w:rFonts w:eastAsia="Times New Roman"/>
          <w:sz w:val="26"/>
          <w:szCs w:val="26"/>
        </w:rPr>
        <w:t xml:space="preserve"> Expectativas Empresariales (EE)</w:t>
      </w:r>
      <w:r>
        <w:rPr>
          <w:rFonts w:eastAsia="Times New Roman"/>
          <w:sz w:val="26"/>
          <w:szCs w:val="26"/>
        </w:rPr>
        <w:t>”</w:t>
      </w:r>
      <w:r w:rsidRPr="0038142F">
        <w:rPr>
          <w:rFonts w:eastAsia="Times New Roman"/>
          <w:sz w:val="26"/>
          <w:szCs w:val="26"/>
        </w:rPr>
        <w:t xml:space="preserve"> constituidas por la opinión del directivo empresarial, del sector manufacturero, de la construcción y del comercio sobre la situación que presenta su empresa con relación a variables puntuales (en los establecimientos manufactureros sobre la producción, utilización de planta y equipo, demanda nacional de sus productos, exportaciones, personal ocupado, inversión en planta y equipo, inventarios de productos terminados, precios de venta y precios de insumos; en la construcción sobre el valor de las obras ejecutadas como contratista principal, valor de las obras ejecutadas como subcontratista, total de contratos y subcontratos, y personal ocupado, y en el comercio sobre ventas netas, ingresos por consignación y/o comisión, compras netas, inventario de mercancías y personal ocupado).</w:t>
      </w:r>
    </w:p>
    <w:p w14:paraId="431B4E32" w14:textId="77777777" w:rsidR="0038142F" w:rsidRPr="0038142F" w:rsidRDefault="0038142F" w:rsidP="0038142F">
      <w:pPr>
        <w:spacing w:after="360" w:line="360" w:lineRule="auto"/>
        <w:ind w:right="-159"/>
        <w:jc w:val="both"/>
        <w:rPr>
          <w:rFonts w:eastAsia="Times New Roman"/>
          <w:sz w:val="26"/>
          <w:szCs w:val="26"/>
        </w:rPr>
      </w:pPr>
      <w:r w:rsidRPr="0038142F">
        <w:rPr>
          <w:rFonts w:eastAsia="Times New Roman"/>
          <w:sz w:val="26"/>
          <w:szCs w:val="26"/>
        </w:rPr>
        <w:t xml:space="preserve">La periodicidad de estos indicadores es mensual y se elabora con base en los resultados de la Encuesta Mensual de Opinión Empresarial (EMOE). </w:t>
      </w:r>
    </w:p>
    <w:p w14:paraId="09939C06" w14:textId="77777777" w:rsidR="0038142F" w:rsidRDefault="0038142F" w:rsidP="0038142F">
      <w:pPr>
        <w:spacing w:after="360" w:line="360" w:lineRule="auto"/>
        <w:ind w:right="-159"/>
        <w:jc w:val="both"/>
        <w:rPr>
          <w:rFonts w:eastAsia="Times New Roman"/>
          <w:sz w:val="26"/>
          <w:szCs w:val="26"/>
        </w:rPr>
      </w:pPr>
      <w:r w:rsidRPr="0038142F">
        <w:rPr>
          <w:rFonts w:eastAsia="Times New Roman"/>
          <w:sz w:val="26"/>
          <w:szCs w:val="26"/>
        </w:rPr>
        <w:t>En su comparación mensual, las Expectativas Empresariales del Sector Manufacturero durante el segundo mes de 2015 presentaron el siguiente comportamiento</w:t>
      </w:r>
      <w:r w:rsidRPr="0038142F">
        <w:rPr>
          <w:rFonts w:eastAsia="Times New Roman"/>
          <w:sz w:val="26"/>
          <w:szCs w:val="26"/>
          <w:vertAlign w:val="superscript"/>
        </w:rPr>
        <w:footnoteReference w:id="23"/>
      </w:r>
      <w:r w:rsidRPr="0038142F">
        <w:rPr>
          <w:rFonts w:eastAsia="Times New Roman"/>
          <w:sz w:val="26"/>
          <w:szCs w:val="26"/>
        </w:rPr>
        <w:t>:</w:t>
      </w:r>
    </w:p>
    <w:p w14:paraId="438132C9" w14:textId="77777777" w:rsidR="0038142F" w:rsidRDefault="0038142F" w:rsidP="0038142F">
      <w:pPr>
        <w:spacing w:after="360" w:line="360" w:lineRule="auto"/>
        <w:ind w:right="-159"/>
        <w:jc w:val="both"/>
        <w:rPr>
          <w:rFonts w:eastAsia="Times New Roman"/>
          <w:sz w:val="26"/>
          <w:szCs w:val="26"/>
        </w:rPr>
      </w:pPr>
    </w:p>
    <w:p w14:paraId="4E86142C" w14:textId="77777777" w:rsidR="0038142F" w:rsidRPr="0038142F" w:rsidRDefault="0038142F" w:rsidP="0038142F">
      <w:pPr>
        <w:spacing w:after="360" w:line="360" w:lineRule="auto"/>
        <w:ind w:right="-159"/>
        <w:jc w:val="both"/>
        <w:rPr>
          <w:rFonts w:eastAsia="Times New Roman"/>
          <w:sz w:val="26"/>
          <w:szCs w:val="26"/>
        </w:rPr>
      </w:pPr>
    </w:p>
    <w:tbl>
      <w:tblPr>
        <w:tblW w:w="9212" w:type="dxa"/>
        <w:jc w:val="center"/>
        <w:tblLayout w:type="fixed"/>
        <w:tblLook w:val="04A0" w:firstRow="1" w:lastRow="0" w:firstColumn="1" w:lastColumn="0" w:noHBand="0" w:noVBand="1"/>
      </w:tblPr>
      <w:tblGrid>
        <w:gridCol w:w="4077"/>
        <w:gridCol w:w="1168"/>
        <w:gridCol w:w="1276"/>
        <w:gridCol w:w="1192"/>
        <w:gridCol w:w="1499"/>
      </w:tblGrid>
      <w:tr w:rsidR="0038142F" w:rsidRPr="0038142F" w14:paraId="45483908" w14:textId="77777777" w:rsidTr="0024224F">
        <w:trPr>
          <w:jc w:val="center"/>
        </w:trPr>
        <w:tc>
          <w:tcPr>
            <w:tcW w:w="9212" w:type="dxa"/>
            <w:gridSpan w:val="5"/>
            <w:tcBorders>
              <w:top w:val="nil"/>
              <w:left w:val="nil"/>
              <w:bottom w:val="single" w:sz="4" w:space="0" w:color="auto"/>
              <w:right w:val="nil"/>
            </w:tcBorders>
          </w:tcPr>
          <w:p w14:paraId="7ED54D12" w14:textId="77777777" w:rsidR="0038142F" w:rsidRPr="0038142F" w:rsidRDefault="0038142F" w:rsidP="0038142F">
            <w:pPr>
              <w:jc w:val="center"/>
              <w:rPr>
                <w:rFonts w:eastAsia="Times New Roman"/>
                <w:b/>
                <w:noProof/>
                <w:sz w:val="22"/>
                <w:szCs w:val="22"/>
                <w:lang w:eastAsia="es-MX"/>
              </w:rPr>
            </w:pPr>
            <w:r w:rsidRPr="0038142F">
              <w:rPr>
                <w:rFonts w:eastAsia="Times New Roman"/>
                <w:b/>
                <w:noProof/>
                <w:sz w:val="22"/>
                <w:szCs w:val="22"/>
                <w:lang w:eastAsia="es-MX"/>
              </w:rPr>
              <w:lastRenderedPageBreak/>
              <w:t xml:space="preserve">EXPECTATIVAS EMPRESARIALES DEL SECTOR MANUFACTURERO, </w:t>
            </w:r>
          </w:p>
          <w:p w14:paraId="239D71CC" w14:textId="77777777" w:rsidR="00BC772A" w:rsidRDefault="0038142F" w:rsidP="0038142F">
            <w:pPr>
              <w:jc w:val="center"/>
              <w:rPr>
                <w:rFonts w:eastAsia="Times New Roman"/>
                <w:b/>
                <w:noProof/>
                <w:sz w:val="22"/>
                <w:szCs w:val="22"/>
                <w:lang w:eastAsia="es-MX"/>
              </w:rPr>
            </w:pPr>
            <w:r w:rsidRPr="0038142F">
              <w:rPr>
                <w:rFonts w:eastAsia="Times New Roman"/>
                <w:b/>
                <w:noProof/>
                <w:sz w:val="22"/>
                <w:szCs w:val="22"/>
                <w:lang w:eastAsia="es-MX"/>
              </w:rPr>
              <w:t>A FEBRERO DE 2015</w:t>
            </w:r>
          </w:p>
          <w:p w14:paraId="57FAA2E6" w14:textId="655163FC" w:rsidR="0038142F" w:rsidRPr="0038142F" w:rsidRDefault="00BC772A" w:rsidP="00BC772A">
            <w:pPr>
              <w:jc w:val="center"/>
              <w:rPr>
                <w:rFonts w:eastAsia="Times New Roman"/>
                <w:b/>
                <w:noProof/>
                <w:sz w:val="22"/>
                <w:szCs w:val="22"/>
                <w:lang w:eastAsia="es-MX"/>
              </w:rPr>
            </w:pPr>
            <w:r>
              <w:rPr>
                <w:rFonts w:eastAsia="Times New Roman"/>
                <w:b/>
                <w:noProof/>
                <w:sz w:val="22"/>
                <w:szCs w:val="22"/>
                <w:lang w:eastAsia="es-MX"/>
              </w:rPr>
              <w:t>-</w:t>
            </w:r>
            <w:r w:rsidR="0038142F" w:rsidRPr="0038142F">
              <w:rPr>
                <w:rFonts w:eastAsia="Times New Roman"/>
                <w:b/>
                <w:noProof/>
                <w:sz w:val="22"/>
                <w:szCs w:val="22"/>
                <w:lang w:eastAsia="es-MX"/>
              </w:rPr>
              <w:t>CIFRAS DESESTACIONALIZADAS</w:t>
            </w:r>
            <w:r>
              <w:rPr>
                <w:rFonts w:eastAsia="Times New Roman"/>
                <w:b/>
                <w:noProof/>
                <w:sz w:val="22"/>
                <w:szCs w:val="22"/>
                <w:lang w:eastAsia="es-MX"/>
              </w:rPr>
              <w:t>-</w:t>
            </w:r>
          </w:p>
        </w:tc>
      </w:tr>
      <w:tr w:rsidR="0038142F" w:rsidRPr="0038142F" w14:paraId="1EAD012B" w14:textId="77777777" w:rsidTr="0024224F">
        <w:trPr>
          <w:trHeight w:val="1610"/>
          <w:jc w:val="center"/>
        </w:trPr>
        <w:tc>
          <w:tcPr>
            <w:tcW w:w="4077" w:type="dxa"/>
            <w:tcBorders>
              <w:top w:val="single" w:sz="4" w:space="0" w:color="auto"/>
              <w:left w:val="single" w:sz="4" w:space="0" w:color="auto"/>
              <w:bottom w:val="single" w:sz="4" w:space="0" w:color="auto"/>
              <w:right w:val="single" w:sz="4" w:space="0" w:color="auto"/>
            </w:tcBorders>
            <w:vAlign w:val="center"/>
          </w:tcPr>
          <w:p w14:paraId="7EC0BBD3" w14:textId="77777777" w:rsidR="0038142F" w:rsidRPr="0038142F" w:rsidRDefault="0038142F" w:rsidP="0038142F">
            <w:pPr>
              <w:jc w:val="center"/>
              <w:rPr>
                <w:rFonts w:eastAsia="Times New Roman"/>
                <w:b/>
                <w:noProof/>
                <w:sz w:val="22"/>
                <w:szCs w:val="22"/>
                <w:lang w:eastAsia="es-MX"/>
              </w:rPr>
            </w:pPr>
            <w:r w:rsidRPr="0038142F">
              <w:rPr>
                <w:rFonts w:eastAsia="Times New Roman"/>
                <w:b/>
                <w:noProof/>
                <w:sz w:val="20"/>
                <w:szCs w:val="20"/>
                <w:lang w:eastAsia="es-MX"/>
              </w:rPr>
              <w:t>Indicadores</w:t>
            </w:r>
          </w:p>
        </w:tc>
        <w:tc>
          <w:tcPr>
            <w:tcW w:w="1168" w:type="dxa"/>
            <w:tcBorders>
              <w:top w:val="single" w:sz="4" w:space="0" w:color="auto"/>
              <w:left w:val="single" w:sz="4" w:space="0" w:color="auto"/>
              <w:bottom w:val="single" w:sz="4" w:space="0" w:color="auto"/>
              <w:right w:val="single" w:sz="4" w:space="0" w:color="auto"/>
            </w:tcBorders>
            <w:vAlign w:val="center"/>
          </w:tcPr>
          <w:p w14:paraId="42F27847" w14:textId="77777777" w:rsidR="0038142F" w:rsidRPr="0038142F" w:rsidRDefault="0038142F" w:rsidP="0038142F">
            <w:pPr>
              <w:jc w:val="center"/>
              <w:rPr>
                <w:rFonts w:eastAsia="Times New Roman"/>
                <w:b/>
                <w:noProof/>
                <w:sz w:val="20"/>
                <w:szCs w:val="20"/>
                <w:lang w:eastAsia="es-MX"/>
              </w:rPr>
            </w:pPr>
            <w:r w:rsidRPr="0038142F">
              <w:rPr>
                <w:rFonts w:eastAsia="Times New Roman"/>
                <w:b/>
                <w:noProof/>
                <w:sz w:val="20"/>
                <w:szCs w:val="20"/>
                <w:lang w:eastAsia="es-MX"/>
              </w:rPr>
              <w:t>Enero de 2015</w:t>
            </w:r>
          </w:p>
        </w:tc>
        <w:tc>
          <w:tcPr>
            <w:tcW w:w="1276" w:type="dxa"/>
            <w:tcBorders>
              <w:top w:val="single" w:sz="4" w:space="0" w:color="auto"/>
              <w:left w:val="single" w:sz="4" w:space="0" w:color="auto"/>
              <w:bottom w:val="single" w:sz="4" w:space="0" w:color="auto"/>
              <w:right w:val="single" w:sz="4" w:space="0" w:color="auto"/>
            </w:tcBorders>
            <w:vAlign w:val="center"/>
          </w:tcPr>
          <w:p w14:paraId="6AFD018D" w14:textId="77777777" w:rsidR="0038142F" w:rsidRPr="0038142F" w:rsidRDefault="0038142F" w:rsidP="0038142F">
            <w:pPr>
              <w:jc w:val="center"/>
              <w:rPr>
                <w:rFonts w:eastAsia="Times New Roman"/>
                <w:b/>
                <w:noProof/>
                <w:sz w:val="20"/>
                <w:szCs w:val="20"/>
                <w:lang w:eastAsia="es-MX"/>
              </w:rPr>
            </w:pPr>
            <w:r w:rsidRPr="0038142F">
              <w:rPr>
                <w:rFonts w:eastAsia="Times New Roman"/>
                <w:b/>
                <w:noProof/>
                <w:sz w:val="20"/>
                <w:szCs w:val="20"/>
                <w:lang w:eastAsia="es-MX"/>
              </w:rPr>
              <w:t>Febrero de 2015</w:t>
            </w:r>
          </w:p>
        </w:tc>
        <w:tc>
          <w:tcPr>
            <w:tcW w:w="1192" w:type="dxa"/>
            <w:tcBorders>
              <w:top w:val="single" w:sz="4" w:space="0" w:color="auto"/>
              <w:left w:val="single" w:sz="4" w:space="0" w:color="auto"/>
              <w:bottom w:val="single" w:sz="4" w:space="0" w:color="auto"/>
              <w:right w:val="single" w:sz="4" w:space="0" w:color="auto"/>
            </w:tcBorders>
            <w:vAlign w:val="center"/>
          </w:tcPr>
          <w:p w14:paraId="07315C30" w14:textId="77777777" w:rsidR="0038142F" w:rsidRPr="0038142F" w:rsidRDefault="0038142F" w:rsidP="0038142F">
            <w:pPr>
              <w:ind w:right="-57"/>
              <w:jc w:val="center"/>
              <w:rPr>
                <w:rFonts w:eastAsia="Times New Roman"/>
                <w:b/>
                <w:noProof/>
                <w:sz w:val="22"/>
                <w:szCs w:val="22"/>
                <w:lang w:eastAsia="es-MX"/>
              </w:rPr>
            </w:pPr>
            <w:r w:rsidRPr="0038142F">
              <w:rPr>
                <w:rFonts w:eastAsia="Times New Roman"/>
                <w:b/>
                <w:noProof/>
                <w:sz w:val="20"/>
                <w:szCs w:val="20"/>
                <w:lang w:eastAsia="es-MX"/>
              </w:rPr>
              <w:t>Diferencia</w:t>
            </w:r>
            <w:r w:rsidRPr="0038142F">
              <w:rPr>
                <w:rFonts w:eastAsia="Times New Roman"/>
                <w:b/>
                <w:noProof/>
                <w:sz w:val="20"/>
                <w:szCs w:val="20"/>
                <w:u w:val="single"/>
                <w:vertAlign w:val="superscript"/>
                <w:lang w:eastAsia="es-MX"/>
              </w:rPr>
              <w:t>1</w:t>
            </w:r>
            <w:r w:rsidRPr="0038142F">
              <w:rPr>
                <w:rFonts w:eastAsia="Times New Roman"/>
                <w:b/>
                <w:noProof/>
                <w:sz w:val="20"/>
                <w:szCs w:val="20"/>
                <w:vertAlign w:val="superscript"/>
                <w:lang w:eastAsia="es-MX"/>
              </w:rPr>
              <w:t>/</w:t>
            </w:r>
          </w:p>
        </w:tc>
        <w:tc>
          <w:tcPr>
            <w:tcW w:w="1499" w:type="dxa"/>
            <w:tcBorders>
              <w:top w:val="single" w:sz="4" w:space="0" w:color="auto"/>
              <w:left w:val="single" w:sz="4" w:space="0" w:color="auto"/>
              <w:bottom w:val="single" w:sz="4" w:space="0" w:color="auto"/>
              <w:right w:val="single" w:sz="4" w:space="0" w:color="auto"/>
            </w:tcBorders>
            <w:vAlign w:val="center"/>
          </w:tcPr>
          <w:p w14:paraId="0BAA4886" w14:textId="77777777" w:rsidR="0038142F" w:rsidRPr="0038142F" w:rsidRDefault="0038142F" w:rsidP="0038142F">
            <w:pPr>
              <w:jc w:val="center"/>
              <w:rPr>
                <w:rFonts w:eastAsia="Times New Roman"/>
                <w:b/>
                <w:noProof/>
                <w:sz w:val="22"/>
                <w:szCs w:val="22"/>
                <w:lang w:eastAsia="es-MX"/>
              </w:rPr>
            </w:pPr>
            <w:r w:rsidRPr="0038142F">
              <w:rPr>
                <w:rFonts w:eastAsia="Times New Roman"/>
                <w:b/>
                <w:noProof/>
                <w:sz w:val="20"/>
                <w:szCs w:val="20"/>
                <w:lang w:eastAsia="es-MX"/>
              </w:rPr>
              <w:t>Número de meses consecutivos por arriba o por debajo del umbral de 50 puntos</w:t>
            </w:r>
          </w:p>
        </w:tc>
      </w:tr>
      <w:tr w:rsidR="0038142F" w:rsidRPr="0038142F" w14:paraId="76055F49" w14:textId="77777777" w:rsidTr="0024224F">
        <w:trPr>
          <w:jc w:val="center"/>
        </w:trPr>
        <w:tc>
          <w:tcPr>
            <w:tcW w:w="4077" w:type="dxa"/>
            <w:tcBorders>
              <w:top w:val="single" w:sz="4" w:space="0" w:color="auto"/>
              <w:left w:val="single" w:sz="4" w:space="0" w:color="auto"/>
              <w:bottom w:val="nil"/>
              <w:right w:val="single" w:sz="4" w:space="0" w:color="auto"/>
            </w:tcBorders>
          </w:tcPr>
          <w:p w14:paraId="6E1282D8" w14:textId="77777777" w:rsidR="0038142F" w:rsidRPr="0038142F" w:rsidRDefault="0038142F" w:rsidP="0038142F">
            <w:pPr>
              <w:jc w:val="both"/>
              <w:rPr>
                <w:rFonts w:eastAsia="Times New Roman"/>
                <w:b/>
                <w:noProof/>
                <w:sz w:val="20"/>
                <w:szCs w:val="20"/>
                <w:lang w:eastAsia="es-MX"/>
              </w:rPr>
            </w:pPr>
            <w:r w:rsidRPr="0038142F">
              <w:rPr>
                <w:rFonts w:eastAsia="Times New Roman"/>
                <w:b/>
                <w:noProof/>
                <w:sz w:val="20"/>
                <w:szCs w:val="20"/>
                <w:lang w:eastAsia="es-MX"/>
              </w:rPr>
              <w:t>Expectativas Empresariales del Sector Manufacturero</w:t>
            </w:r>
          </w:p>
        </w:tc>
        <w:tc>
          <w:tcPr>
            <w:tcW w:w="1168" w:type="dxa"/>
            <w:tcBorders>
              <w:top w:val="single" w:sz="4" w:space="0" w:color="auto"/>
              <w:left w:val="single" w:sz="4" w:space="0" w:color="auto"/>
              <w:bottom w:val="nil"/>
              <w:right w:val="single" w:sz="4" w:space="0" w:color="auto"/>
            </w:tcBorders>
          </w:tcPr>
          <w:p w14:paraId="57328976" w14:textId="77777777" w:rsidR="0038142F" w:rsidRPr="0038142F" w:rsidRDefault="0038142F" w:rsidP="0038142F">
            <w:pPr>
              <w:jc w:val="center"/>
              <w:rPr>
                <w:rFonts w:eastAsia="Times New Roman"/>
                <w:noProof/>
                <w:sz w:val="20"/>
                <w:szCs w:val="20"/>
                <w:lang w:eastAsia="es-MX"/>
              </w:rPr>
            </w:pPr>
          </w:p>
        </w:tc>
        <w:tc>
          <w:tcPr>
            <w:tcW w:w="1276" w:type="dxa"/>
            <w:tcBorders>
              <w:top w:val="single" w:sz="4" w:space="0" w:color="auto"/>
              <w:left w:val="single" w:sz="4" w:space="0" w:color="auto"/>
              <w:bottom w:val="nil"/>
              <w:right w:val="single" w:sz="4" w:space="0" w:color="auto"/>
            </w:tcBorders>
          </w:tcPr>
          <w:p w14:paraId="48D04A69" w14:textId="77777777" w:rsidR="0038142F" w:rsidRPr="0038142F" w:rsidRDefault="0038142F" w:rsidP="0038142F">
            <w:pPr>
              <w:jc w:val="center"/>
              <w:rPr>
                <w:rFonts w:eastAsia="Times New Roman"/>
                <w:noProof/>
                <w:sz w:val="20"/>
                <w:szCs w:val="20"/>
                <w:lang w:eastAsia="es-MX"/>
              </w:rPr>
            </w:pPr>
          </w:p>
        </w:tc>
        <w:tc>
          <w:tcPr>
            <w:tcW w:w="1192" w:type="dxa"/>
            <w:tcBorders>
              <w:top w:val="single" w:sz="4" w:space="0" w:color="auto"/>
              <w:left w:val="single" w:sz="4" w:space="0" w:color="auto"/>
              <w:bottom w:val="nil"/>
              <w:right w:val="single" w:sz="4" w:space="0" w:color="auto"/>
            </w:tcBorders>
          </w:tcPr>
          <w:p w14:paraId="79C3701D" w14:textId="77777777" w:rsidR="0038142F" w:rsidRPr="0038142F" w:rsidRDefault="0038142F" w:rsidP="0038142F">
            <w:pPr>
              <w:ind w:right="340"/>
              <w:jc w:val="right"/>
              <w:rPr>
                <w:rFonts w:eastAsia="Times New Roman"/>
                <w:noProof/>
                <w:sz w:val="20"/>
                <w:szCs w:val="20"/>
                <w:lang w:eastAsia="es-MX"/>
              </w:rPr>
            </w:pPr>
          </w:p>
        </w:tc>
        <w:tc>
          <w:tcPr>
            <w:tcW w:w="1499" w:type="dxa"/>
            <w:tcBorders>
              <w:top w:val="single" w:sz="4" w:space="0" w:color="auto"/>
              <w:left w:val="single" w:sz="4" w:space="0" w:color="auto"/>
              <w:bottom w:val="nil"/>
              <w:right w:val="single" w:sz="4" w:space="0" w:color="auto"/>
            </w:tcBorders>
          </w:tcPr>
          <w:p w14:paraId="59B0FDCC" w14:textId="77777777" w:rsidR="0038142F" w:rsidRPr="0038142F" w:rsidRDefault="0038142F" w:rsidP="0038142F">
            <w:pPr>
              <w:ind w:right="113"/>
              <w:jc w:val="right"/>
              <w:rPr>
                <w:rFonts w:eastAsia="Times New Roman"/>
                <w:noProof/>
                <w:sz w:val="20"/>
                <w:szCs w:val="20"/>
                <w:lang w:eastAsia="es-MX"/>
              </w:rPr>
            </w:pPr>
          </w:p>
        </w:tc>
      </w:tr>
      <w:tr w:rsidR="0038142F" w:rsidRPr="0038142F" w14:paraId="2A3ED197" w14:textId="77777777" w:rsidTr="0024224F">
        <w:trPr>
          <w:jc w:val="center"/>
        </w:trPr>
        <w:tc>
          <w:tcPr>
            <w:tcW w:w="4077" w:type="dxa"/>
            <w:tcBorders>
              <w:top w:val="nil"/>
              <w:left w:val="single" w:sz="4" w:space="0" w:color="auto"/>
              <w:bottom w:val="nil"/>
              <w:right w:val="single" w:sz="4" w:space="0" w:color="auto"/>
            </w:tcBorders>
          </w:tcPr>
          <w:p w14:paraId="47256E1A" w14:textId="77777777" w:rsidR="0038142F" w:rsidRPr="0038142F" w:rsidRDefault="0038142F" w:rsidP="0038142F">
            <w:pPr>
              <w:jc w:val="both"/>
              <w:rPr>
                <w:rFonts w:eastAsia="Times New Roman"/>
                <w:noProof/>
                <w:sz w:val="20"/>
                <w:szCs w:val="20"/>
                <w:lang w:eastAsia="es-MX"/>
              </w:rPr>
            </w:pPr>
            <w:r w:rsidRPr="0038142F">
              <w:rPr>
                <w:rFonts w:eastAsia="Times New Roman"/>
                <w:noProof/>
                <w:sz w:val="20"/>
                <w:szCs w:val="20"/>
                <w:lang w:eastAsia="es-MX"/>
              </w:rPr>
              <w:t>a) Producción</w:t>
            </w:r>
          </w:p>
        </w:tc>
        <w:tc>
          <w:tcPr>
            <w:tcW w:w="1168" w:type="dxa"/>
            <w:tcBorders>
              <w:top w:val="nil"/>
              <w:left w:val="single" w:sz="4" w:space="0" w:color="auto"/>
              <w:bottom w:val="nil"/>
              <w:right w:val="single" w:sz="4" w:space="0" w:color="auto"/>
            </w:tcBorders>
          </w:tcPr>
          <w:p w14:paraId="01FDBB95" w14:textId="77777777" w:rsidR="0038142F" w:rsidRPr="0038142F" w:rsidRDefault="0038142F" w:rsidP="0038142F">
            <w:pPr>
              <w:jc w:val="center"/>
              <w:rPr>
                <w:rFonts w:eastAsia="Times New Roman"/>
                <w:noProof/>
                <w:sz w:val="20"/>
                <w:szCs w:val="20"/>
                <w:lang w:eastAsia="es-MX"/>
              </w:rPr>
            </w:pPr>
            <w:r w:rsidRPr="0038142F">
              <w:rPr>
                <w:rFonts w:eastAsia="Times New Roman"/>
                <w:noProof/>
                <w:sz w:val="20"/>
                <w:szCs w:val="20"/>
                <w:lang w:eastAsia="es-MX"/>
              </w:rPr>
              <w:t>54.5</w:t>
            </w:r>
          </w:p>
        </w:tc>
        <w:tc>
          <w:tcPr>
            <w:tcW w:w="1276" w:type="dxa"/>
            <w:tcBorders>
              <w:top w:val="nil"/>
              <w:left w:val="single" w:sz="4" w:space="0" w:color="auto"/>
              <w:bottom w:val="nil"/>
              <w:right w:val="single" w:sz="4" w:space="0" w:color="auto"/>
            </w:tcBorders>
          </w:tcPr>
          <w:p w14:paraId="7E11F853" w14:textId="77777777" w:rsidR="0038142F" w:rsidRPr="0038142F" w:rsidRDefault="0038142F" w:rsidP="0038142F">
            <w:pPr>
              <w:jc w:val="center"/>
              <w:rPr>
                <w:rFonts w:eastAsia="Times New Roman"/>
                <w:noProof/>
                <w:sz w:val="20"/>
                <w:szCs w:val="20"/>
                <w:lang w:eastAsia="es-MX"/>
              </w:rPr>
            </w:pPr>
            <w:r w:rsidRPr="0038142F">
              <w:rPr>
                <w:rFonts w:eastAsia="Times New Roman"/>
                <w:noProof/>
                <w:sz w:val="20"/>
                <w:szCs w:val="20"/>
                <w:lang w:eastAsia="es-MX"/>
              </w:rPr>
              <w:t>54.5</w:t>
            </w:r>
          </w:p>
        </w:tc>
        <w:tc>
          <w:tcPr>
            <w:tcW w:w="1192" w:type="dxa"/>
            <w:tcBorders>
              <w:top w:val="nil"/>
              <w:left w:val="single" w:sz="4" w:space="0" w:color="auto"/>
              <w:bottom w:val="nil"/>
              <w:right w:val="single" w:sz="4" w:space="0" w:color="auto"/>
            </w:tcBorders>
          </w:tcPr>
          <w:p w14:paraId="12708703" w14:textId="77777777" w:rsidR="0038142F" w:rsidRPr="0038142F" w:rsidRDefault="0038142F" w:rsidP="0038142F">
            <w:pPr>
              <w:ind w:right="340"/>
              <w:jc w:val="right"/>
              <w:rPr>
                <w:rFonts w:eastAsia="Times New Roman"/>
                <w:noProof/>
                <w:sz w:val="20"/>
                <w:szCs w:val="20"/>
                <w:lang w:eastAsia="es-MX"/>
              </w:rPr>
            </w:pPr>
            <w:r w:rsidRPr="0038142F">
              <w:rPr>
                <w:rFonts w:eastAsia="Times New Roman"/>
                <w:noProof/>
                <w:sz w:val="20"/>
                <w:szCs w:val="20"/>
                <w:lang w:eastAsia="es-MX"/>
              </w:rPr>
              <w:t>-0.03</w:t>
            </w:r>
          </w:p>
        </w:tc>
        <w:tc>
          <w:tcPr>
            <w:tcW w:w="1499" w:type="dxa"/>
            <w:tcBorders>
              <w:top w:val="nil"/>
              <w:left w:val="single" w:sz="4" w:space="0" w:color="auto"/>
              <w:bottom w:val="nil"/>
              <w:right w:val="single" w:sz="4" w:space="0" w:color="auto"/>
            </w:tcBorders>
          </w:tcPr>
          <w:p w14:paraId="01F83611" w14:textId="77777777" w:rsidR="0038142F" w:rsidRPr="0038142F" w:rsidRDefault="0038142F" w:rsidP="0038142F">
            <w:pPr>
              <w:ind w:right="113"/>
              <w:jc w:val="right"/>
              <w:rPr>
                <w:rFonts w:eastAsia="Times New Roman"/>
                <w:noProof/>
                <w:sz w:val="20"/>
                <w:szCs w:val="20"/>
                <w:lang w:eastAsia="es-MX"/>
              </w:rPr>
            </w:pPr>
            <w:r w:rsidRPr="0038142F">
              <w:rPr>
                <w:rFonts w:eastAsia="Times New Roman"/>
                <w:noProof/>
                <w:sz w:val="20"/>
                <w:szCs w:val="20"/>
                <w:lang w:eastAsia="es-MX"/>
              </w:rPr>
              <w:t xml:space="preserve">50 por arriba </w:t>
            </w:r>
          </w:p>
        </w:tc>
      </w:tr>
      <w:tr w:rsidR="0038142F" w:rsidRPr="0038142F" w14:paraId="26A6CAF8" w14:textId="77777777" w:rsidTr="0024224F">
        <w:trPr>
          <w:jc w:val="center"/>
        </w:trPr>
        <w:tc>
          <w:tcPr>
            <w:tcW w:w="4077" w:type="dxa"/>
            <w:tcBorders>
              <w:top w:val="nil"/>
              <w:left w:val="single" w:sz="4" w:space="0" w:color="auto"/>
              <w:bottom w:val="nil"/>
              <w:right w:val="single" w:sz="4" w:space="0" w:color="auto"/>
            </w:tcBorders>
          </w:tcPr>
          <w:p w14:paraId="46FB562A" w14:textId="77777777" w:rsidR="0038142F" w:rsidRPr="0038142F" w:rsidRDefault="0038142F" w:rsidP="0038142F">
            <w:pPr>
              <w:jc w:val="both"/>
              <w:rPr>
                <w:rFonts w:eastAsia="Times New Roman"/>
                <w:noProof/>
                <w:sz w:val="20"/>
                <w:szCs w:val="20"/>
                <w:lang w:eastAsia="es-MX"/>
              </w:rPr>
            </w:pPr>
            <w:r w:rsidRPr="0038142F">
              <w:rPr>
                <w:rFonts w:eastAsia="Times New Roman"/>
                <w:noProof/>
                <w:sz w:val="20"/>
                <w:szCs w:val="20"/>
                <w:lang w:eastAsia="es-MX"/>
              </w:rPr>
              <w:t>b) Utilización de planta y equipo</w:t>
            </w:r>
          </w:p>
        </w:tc>
        <w:tc>
          <w:tcPr>
            <w:tcW w:w="1168" w:type="dxa"/>
            <w:tcBorders>
              <w:top w:val="nil"/>
              <w:left w:val="single" w:sz="4" w:space="0" w:color="auto"/>
              <w:bottom w:val="nil"/>
              <w:right w:val="single" w:sz="4" w:space="0" w:color="auto"/>
            </w:tcBorders>
          </w:tcPr>
          <w:p w14:paraId="33255E9A" w14:textId="77777777" w:rsidR="0038142F" w:rsidRPr="0038142F" w:rsidRDefault="0038142F" w:rsidP="0038142F">
            <w:pPr>
              <w:jc w:val="center"/>
              <w:rPr>
                <w:rFonts w:eastAsia="Times New Roman"/>
                <w:noProof/>
                <w:sz w:val="20"/>
                <w:szCs w:val="20"/>
                <w:lang w:eastAsia="es-MX"/>
              </w:rPr>
            </w:pPr>
            <w:r w:rsidRPr="0038142F">
              <w:rPr>
                <w:rFonts w:eastAsia="Times New Roman"/>
                <w:noProof/>
                <w:sz w:val="20"/>
                <w:szCs w:val="20"/>
                <w:lang w:eastAsia="es-MX"/>
              </w:rPr>
              <w:t>54.1</w:t>
            </w:r>
          </w:p>
        </w:tc>
        <w:tc>
          <w:tcPr>
            <w:tcW w:w="1276" w:type="dxa"/>
            <w:tcBorders>
              <w:top w:val="nil"/>
              <w:left w:val="single" w:sz="4" w:space="0" w:color="auto"/>
              <w:bottom w:val="nil"/>
              <w:right w:val="single" w:sz="4" w:space="0" w:color="auto"/>
            </w:tcBorders>
          </w:tcPr>
          <w:p w14:paraId="3BAB0F84" w14:textId="77777777" w:rsidR="0038142F" w:rsidRPr="0038142F" w:rsidRDefault="0038142F" w:rsidP="0038142F">
            <w:pPr>
              <w:jc w:val="center"/>
              <w:rPr>
                <w:rFonts w:eastAsia="Times New Roman"/>
                <w:noProof/>
                <w:sz w:val="20"/>
                <w:szCs w:val="20"/>
                <w:lang w:eastAsia="es-MX"/>
              </w:rPr>
            </w:pPr>
            <w:r w:rsidRPr="0038142F">
              <w:rPr>
                <w:rFonts w:eastAsia="Times New Roman"/>
                <w:noProof/>
                <w:sz w:val="20"/>
                <w:szCs w:val="20"/>
                <w:lang w:eastAsia="es-MX"/>
              </w:rPr>
              <w:t>54.5</w:t>
            </w:r>
          </w:p>
        </w:tc>
        <w:tc>
          <w:tcPr>
            <w:tcW w:w="1192" w:type="dxa"/>
            <w:tcBorders>
              <w:top w:val="nil"/>
              <w:left w:val="single" w:sz="4" w:space="0" w:color="auto"/>
              <w:bottom w:val="nil"/>
              <w:right w:val="single" w:sz="4" w:space="0" w:color="auto"/>
            </w:tcBorders>
          </w:tcPr>
          <w:p w14:paraId="2C7EFF11" w14:textId="77777777" w:rsidR="0038142F" w:rsidRPr="0038142F" w:rsidRDefault="0038142F" w:rsidP="0038142F">
            <w:pPr>
              <w:ind w:right="340"/>
              <w:jc w:val="right"/>
              <w:rPr>
                <w:rFonts w:eastAsia="Times New Roman"/>
                <w:noProof/>
                <w:sz w:val="20"/>
                <w:szCs w:val="20"/>
                <w:lang w:eastAsia="es-MX"/>
              </w:rPr>
            </w:pPr>
            <w:r w:rsidRPr="0038142F">
              <w:rPr>
                <w:rFonts w:eastAsia="Times New Roman"/>
                <w:noProof/>
                <w:sz w:val="20"/>
                <w:szCs w:val="20"/>
                <w:lang w:eastAsia="es-MX"/>
              </w:rPr>
              <w:t>0.42</w:t>
            </w:r>
          </w:p>
        </w:tc>
        <w:tc>
          <w:tcPr>
            <w:tcW w:w="1499" w:type="dxa"/>
            <w:tcBorders>
              <w:top w:val="nil"/>
              <w:left w:val="single" w:sz="4" w:space="0" w:color="auto"/>
              <w:bottom w:val="nil"/>
              <w:right w:val="single" w:sz="4" w:space="0" w:color="auto"/>
            </w:tcBorders>
          </w:tcPr>
          <w:p w14:paraId="1F0BE6ED" w14:textId="77777777" w:rsidR="0038142F" w:rsidRPr="0038142F" w:rsidRDefault="0038142F" w:rsidP="0038142F">
            <w:pPr>
              <w:ind w:right="113"/>
              <w:jc w:val="right"/>
              <w:rPr>
                <w:rFonts w:eastAsia="Times New Roman"/>
                <w:noProof/>
                <w:sz w:val="20"/>
                <w:szCs w:val="20"/>
                <w:lang w:eastAsia="es-MX"/>
              </w:rPr>
            </w:pPr>
            <w:r w:rsidRPr="0038142F">
              <w:rPr>
                <w:rFonts w:eastAsia="Times New Roman"/>
                <w:noProof/>
                <w:sz w:val="20"/>
                <w:szCs w:val="20"/>
                <w:lang w:eastAsia="es-MX"/>
              </w:rPr>
              <w:t>48 por arriba</w:t>
            </w:r>
          </w:p>
        </w:tc>
      </w:tr>
      <w:tr w:rsidR="0038142F" w:rsidRPr="0038142F" w14:paraId="59D8CEB8" w14:textId="77777777" w:rsidTr="0024224F">
        <w:trPr>
          <w:jc w:val="center"/>
        </w:trPr>
        <w:tc>
          <w:tcPr>
            <w:tcW w:w="4077" w:type="dxa"/>
            <w:tcBorders>
              <w:top w:val="nil"/>
              <w:left w:val="single" w:sz="4" w:space="0" w:color="auto"/>
              <w:bottom w:val="nil"/>
              <w:right w:val="single" w:sz="4" w:space="0" w:color="auto"/>
            </w:tcBorders>
          </w:tcPr>
          <w:p w14:paraId="67C560C3" w14:textId="77777777" w:rsidR="0038142F" w:rsidRPr="0038142F" w:rsidRDefault="0038142F" w:rsidP="0038142F">
            <w:pPr>
              <w:jc w:val="both"/>
              <w:rPr>
                <w:rFonts w:eastAsia="Times New Roman"/>
                <w:noProof/>
                <w:sz w:val="20"/>
                <w:szCs w:val="20"/>
                <w:lang w:eastAsia="es-MX"/>
              </w:rPr>
            </w:pPr>
            <w:r w:rsidRPr="0038142F">
              <w:rPr>
                <w:rFonts w:eastAsia="Times New Roman"/>
                <w:noProof/>
                <w:sz w:val="20"/>
                <w:szCs w:val="20"/>
                <w:lang w:eastAsia="es-MX"/>
              </w:rPr>
              <w:t>c) Demanda nacional de sus productos</w:t>
            </w:r>
          </w:p>
        </w:tc>
        <w:tc>
          <w:tcPr>
            <w:tcW w:w="1168" w:type="dxa"/>
            <w:tcBorders>
              <w:top w:val="nil"/>
              <w:left w:val="single" w:sz="4" w:space="0" w:color="auto"/>
              <w:bottom w:val="nil"/>
              <w:right w:val="single" w:sz="4" w:space="0" w:color="auto"/>
            </w:tcBorders>
          </w:tcPr>
          <w:p w14:paraId="1A1DFC6C" w14:textId="77777777" w:rsidR="0038142F" w:rsidRPr="0038142F" w:rsidRDefault="0038142F" w:rsidP="0038142F">
            <w:pPr>
              <w:jc w:val="center"/>
              <w:rPr>
                <w:rFonts w:eastAsia="Times New Roman"/>
                <w:noProof/>
                <w:sz w:val="20"/>
                <w:szCs w:val="20"/>
                <w:lang w:eastAsia="es-MX"/>
              </w:rPr>
            </w:pPr>
            <w:r w:rsidRPr="0038142F">
              <w:rPr>
                <w:rFonts w:eastAsia="Times New Roman"/>
                <w:noProof/>
                <w:sz w:val="20"/>
                <w:szCs w:val="20"/>
                <w:lang w:eastAsia="es-MX"/>
              </w:rPr>
              <w:t>55.8</w:t>
            </w:r>
          </w:p>
        </w:tc>
        <w:tc>
          <w:tcPr>
            <w:tcW w:w="1276" w:type="dxa"/>
            <w:tcBorders>
              <w:top w:val="nil"/>
              <w:left w:val="single" w:sz="4" w:space="0" w:color="auto"/>
              <w:bottom w:val="nil"/>
              <w:right w:val="single" w:sz="4" w:space="0" w:color="auto"/>
            </w:tcBorders>
            <w:vAlign w:val="center"/>
          </w:tcPr>
          <w:p w14:paraId="0B697E13" w14:textId="77777777" w:rsidR="0038142F" w:rsidRPr="0038142F" w:rsidRDefault="0038142F" w:rsidP="0038142F">
            <w:pPr>
              <w:jc w:val="center"/>
              <w:rPr>
                <w:rFonts w:eastAsia="Times New Roman"/>
                <w:noProof/>
                <w:sz w:val="20"/>
                <w:szCs w:val="20"/>
                <w:lang w:eastAsia="es-MX"/>
              </w:rPr>
            </w:pPr>
            <w:r w:rsidRPr="0038142F">
              <w:rPr>
                <w:rFonts w:eastAsia="Times New Roman"/>
                <w:noProof/>
                <w:sz w:val="20"/>
                <w:szCs w:val="20"/>
                <w:lang w:eastAsia="es-MX"/>
              </w:rPr>
              <w:t>55.2</w:t>
            </w:r>
          </w:p>
        </w:tc>
        <w:tc>
          <w:tcPr>
            <w:tcW w:w="1192" w:type="dxa"/>
            <w:tcBorders>
              <w:top w:val="nil"/>
              <w:left w:val="single" w:sz="4" w:space="0" w:color="auto"/>
              <w:bottom w:val="nil"/>
              <w:right w:val="single" w:sz="4" w:space="0" w:color="auto"/>
            </w:tcBorders>
          </w:tcPr>
          <w:p w14:paraId="69165346" w14:textId="77777777" w:rsidR="0038142F" w:rsidRPr="0038142F" w:rsidRDefault="0038142F" w:rsidP="0038142F">
            <w:pPr>
              <w:ind w:right="340"/>
              <w:jc w:val="right"/>
              <w:rPr>
                <w:rFonts w:eastAsia="Times New Roman"/>
                <w:noProof/>
                <w:sz w:val="20"/>
                <w:szCs w:val="20"/>
                <w:lang w:eastAsia="es-MX"/>
              </w:rPr>
            </w:pPr>
            <w:r w:rsidRPr="0038142F">
              <w:rPr>
                <w:rFonts w:eastAsia="Times New Roman"/>
                <w:noProof/>
                <w:sz w:val="20"/>
                <w:szCs w:val="20"/>
                <w:lang w:eastAsia="es-MX"/>
              </w:rPr>
              <w:t>-0.61</w:t>
            </w:r>
          </w:p>
        </w:tc>
        <w:tc>
          <w:tcPr>
            <w:tcW w:w="1499" w:type="dxa"/>
            <w:tcBorders>
              <w:top w:val="nil"/>
              <w:left w:val="single" w:sz="4" w:space="0" w:color="auto"/>
              <w:bottom w:val="nil"/>
              <w:right w:val="single" w:sz="4" w:space="0" w:color="auto"/>
            </w:tcBorders>
          </w:tcPr>
          <w:p w14:paraId="1885A35C" w14:textId="77777777" w:rsidR="0038142F" w:rsidRPr="0038142F" w:rsidRDefault="0038142F" w:rsidP="0038142F">
            <w:pPr>
              <w:ind w:right="113"/>
              <w:jc w:val="right"/>
              <w:rPr>
                <w:rFonts w:eastAsia="Times New Roman"/>
                <w:noProof/>
                <w:sz w:val="20"/>
                <w:szCs w:val="20"/>
                <w:lang w:eastAsia="es-MX"/>
              </w:rPr>
            </w:pPr>
            <w:r w:rsidRPr="0038142F">
              <w:rPr>
                <w:rFonts w:eastAsia="Times New Roman"/>
                <w:noProof/>
                <w:sz w:val="20"/>
                <w:szCs w:val="20"/>
                <w:lang w:eastAsia="es-MX"/>
              </w:rPr>
              <w:t>67 por arriba</w:t>
            </w:r>
          </w:p>
        </w:tc>
      </w:tr>
      <w:tr w:rsidR="0038142F" w:rsidRPr="0038142F" w14:paraId="64F68147" w14:textId="77777777" w:rsidTr="0024224F">
        <w:trPr>
          <w:jc w:val="center"/>
        </w:trPr>
        <w:tc>
          <w:tcPr>
            <w:tcW w:w="4077" w:type="dxa"/>
            <w:tcBorders>
              <w:top w:val="nil"/>
              <w:left w:val="single" w:sz="4" w:space="0" w:color="auto"/>
              <w:bottom w:val="nil"/>
              <w:right w:val="single" w:sz="4" w:space="0" w:color="auto"/>
            </w:tcBorders>
          </w:tcPr>
          <w:p w14:paraId="6D7F61ED" w14:textId="77777777" w:rsidR="0038142F" w:rsidRPr="0038142F" w:rsidRDefault="0038142F" w:rsidP="0038142F">
            <w:pPr>
              <w:ind w:left="397" w:hanging="397"/>
              <w:jc w:val="both"/>
              <w:rPr>
                <w:rFonts w:eastAsia="Times New Roman"/>
                <w:noProof/>
                <w:sz w:val="20"/>
                <w:szCs w:val="20"/>
                <w:lang w:eastAsia="es-MX"/>
              </w:rPr>
            </w:pPr>
            <w:r w:rsidRPr="0038142F">
              <w:rPr>
                <w:rFonts w:eastAsia="Times New Roman"/>
                <w:noProof/>
                <w:sz w:val="20"/>
                <w:szCs w:val="20"/>
                <w:lang w:eastAsia="es-MX"/>
              </w:rPr>
              <w:t>d) Exportaciones</w:t>
            </w:r>
          </w:p>
        </w:tc>
        <w:tc>
          <w:tcPr>
            <w:tcW w:w="1168" w:type="dxa"/>
            <w:tcBorders>
              <w:top w:val="nil"/>
              <w:left w:val="single" w:sz="4" w:space="0" w:color="auto"/>
              <w:bottom w:val="nil"/>
              <w:right w:val="single" w:sz="4" w:space="0" w:color="auto"/>
            </w:tcBorders>
            <w:vAlign w:val="center"/>
          </w:tcPr>
          <w:p w14:paraId="4ADCAF51" w14:textId="77777777" w:rsidR="0038142F" w:rsidRPr="0038142F" w:rsidRDefault="0038142F" w:rsidP="0038142F">
            <w:pPr>
              <w:jc w:val="center"/>
              <w:rPr>
                <w:rFonts w:eastAsia="Times New Roman"/>
                <w:noProof/>
                <w:sz w:val="20"/>
                <w:szCs w:val="20"/>
                <w:lang w:eastAsia="es-MX"/>
              </w:rPr>
            </w:pPr>
            <w:r w:rsidRPr="0038142F">
              <w:rPr>
                <w:rFonts w:eastAsia="Times New Roman"/>
                <w:noProof/>
                <w:sz w:val="20"/>
                <w:szCs w:val="20"/>
                <w:lang w:eastAsia="es-MX"/>
              </w:rPr>
              <w:t>54.2</w:t>
            </w:r>
          </w:p>
        </w:tc>
        <w:tc>
          <w:tcPr>
            <w:tcW w:w="1276" w:type="dxa"/>
            <w:tcBorders>
              <w:top w:val="nil"/>
              <w:left w:val="single" w:sz="4" w:space="0" w:color="auto"/>
              <w:bottom w:val="nil"/>
              <w:right w:val="single" w:sz="4" w:space="0" w:color="auto"/>
            </w:tcBorders>
          </w:tcPr>
          <w:p w14:paraId="0F3E97C3" w14:textId="77777777" w:rsidR="0038142F" w:rsidRPr="0038142F" w:rsidRDefault="0038142F" w:rsidP="0038142F">
            <w:pPr>
              <w:jc w:val="center"/>
              <w:rPr>
                <w:rFonts w:eastAsia="Times New Roman"/>
                <w:noProof/>
                <w:sz w:val="20"/>
                <w:szCs w:val="20"/>
                <w:lang w:eastAsia="es-MX"/>
              </w:rPr>
            </w:pPr>
            <w:r w:rsidRPr="0038142F">
              <w:rPr>
                <w:rFonts w:eastAsia="Times New Roman"/>
                <w:noProof/>
                <w:sz w:val="20"/>
                <w:szCs w:val="20"/>
                <w:lang w:eastAsia="es-MX"/>
              </w:rPr>
              <w:t>54.3</w:t>
            </w:r>
          </w:p>
        </w:tc>
        <w:tc>
          <w:tcPr>
            <w:tcW w:w="1192" w:type="dxa"/>
            <w:tcBorders>
              <w:top w:val="nil"/>
              <w:left w:val="single" w:sz="4" w:space="0" w:color="auto"/>
              <w:bottom w:val="nil"/>
              <w:right w:val="single" w:sz="4" w:space="0" w:color="auto"/>
            </w:tcBorders>
            <w:vAlign w:val="center"/>
          </w:tcPr>
          <w:p w14:paraId="6F50C571" w14:textId="77777777" w:rsidR="0038142F" w:rsidRPr="0038142F" w:rsidRDefault="0038142F" w:rsidP="0038142F">
            <w:pPr>
              <w:ind w:right="340"/>
              <w:jc w:val="right"/>
              <w:rPr>
                <w:rFonts w:eastAsia="Times New Roman"/>
                <w:noProof/>
                <w:sz w:val="20"/>
                <w:szCs w:val="20"/>
                <w:lang w:eastAsia="es-MX"/>
              </w:rPr>
            </w:pPr>
            <w:r w:rsidRPr="0038142F">
              <w:rPr>
                <w:rFonts w:eastAsia="Times New Roman"/>
                <w:noProof/>
                <w:sz w:val="20"/>
                <w:szCs w:val="20"/>
                <w:lang w:eastAsia="es-MX"/>
              </w:rPr>
              <w:t>0.12</w:t>
            </w:r>
          </w:p>
        </w:tc>
        <w:tc>
          <w:tcPr>
            <w:tcW w:w="1499" w:type="dxa"/>
            <w:tcBorders>
              <w:top w:val="nil"/>
              <w:left w:val="single" w:sz="4" w:space="0" w:color="auto"/>
              <w:bottom w:val="nil"/>
              <w:right w:val="single" w:sz="4" w:space="0" w:color="auto"/>
            </w:tcBorders>
            <w:vAlign w:val="center"/>
          </w:tcPr>
          <w:p w14:paraId="08B36356" w14:textId="77777777" w:rsidR="0038142F" w:rsidRPr="0038142F" w:rsidRDefault="0038142F" w:rsidP="0038142F">
            <w:pPr>
              <w:ind w:right="113"/>
              <w:jc w:val="right"/>
              <w:rPr>
                <w:rFonts w:eastAsia="Times New Roman"/>
                <w:noProof/>
                <w:sz w:val="20"/>
                <w:szCs w:val="20"/>
                <w:lang w:eastAsia="es-MX"/>
              </w:rPr>
            </w:pPr>
            <w:r w:rsidRPr="0038142F">
              <w:rPr>
                <w:rFonts w:eastAsia="Times New Roman"/>
                <w:noProof/>
                <w:sz w:val="20"/>
                <w:szCs w:val="20"/>
                <w:lang w:eastAsia="es-MX"/>
              </w:rPr>
              <w:t>70 por arriba</w:t>
            </w:r>
          </w:p>
        </w:tc>
      </w:tr>
      <w:tr w:rsidR="0038142F" w:rsidRPr="0038142F" w14:paraId="28BC995C" w14:textId="77777777" w:rsidTr="0024224F">
        <w:trPr>
          <w:jc w:val="center"/>
        </w:trPr>
        <w:tc>
          <w:tcPr>
            <w:tcW w:w="4077" w:type="dxa"/>
            <w:tcBorders>
              <w:top w:val="nil"/>
              <w:left w:val="single" w:sz="4" w:space="0" w:color="auto"/>
              <w:bottom w:val="nil"/>
              <w:right w:val="single" w:sz="4" w:space="0" w:color="auto"/>
            </w:tcBorders>
          </w:tcPr>
          <w:p w14:paraId="5FCA72FB" w14:textId="77777777" w:rsidR="0038142F" w:rsidRPr="0038142F" w:rsidRDefault="0038142F" w:rsidP="0038142F">
            <w:pPr>
              <w:jc w:val="both"/>
              <w:rPr>
                <w:rFonts w:eastAsia="Times New Roman"/>
                <w:noProof/>
                <w:sz w:val="20"/>
                <w:szCs w:val="20"/>
                <w:lang w:eastAsia="es-MX"/>
              </w:rPr>
            </w:pPr>
            <w:r w:rsidRPr="0038142F">
              <w:rPr>
                <w:rFonts w:eastAsia="Times New Roman"/>
                <w:noProof/>
                <w:sz w:val="20"/>
                <w:szCs w:val="20"/>
                <w:lang w:eastAsia="es-MX"/>
              </w:rPr>
              <w:t>e) Personal ocupado</w:t>
            </w:r>
          </w:p>
        </w:tc>
        <w:tc>
          <w:tcPr>
            <w:tcW w:w="1168" w:type="dxa"/>
            <w:tcBorders>
              <w:top w:val="nil"/>
              <w:left w:val="single" w:sz="4" w:space="0" w:color="auto"/>
              <w:bottom w:val="nil"/>
              <w:right w:val="single" w:sz="4" w:space="0" w:color="auto"/>
            </w:tcBorders>
          </w:tcPr>
          <w:p w14:paraId="74AA007D" w14:textId="77777777" w:rsidR="0038142F" w:rsidRPr="0038142F" w:rsidRDefault="0038142F" w:rsidP="0038142F">
            <w:pPr>
              <w:jc w:val="center"/>
              <w:rPr>
                <w:rFonts w:eastAsia="Times New Roman"/>
                <w:noProof/>
                <w:sz w:val="20"/>
                <w:szCs w:val="20"/>
                <w:lang w:eastAsia="es-MX"/>
              </w:rPr>
            </w:pPr>
            <w:r w:rsidRPr="0038142F">
              <w:rPr>
                <w:rFonts w:eastAsia="Times New Roman"/>
                <w:noProof/>
                <w:sz w:val="20"/>
                <w:szCs w:val="20"/>
                <w:lang w:eastAsia="es-MX"/>
              </w:rPr>
              <w:t>52.4</w:t>
            </w:r>
          </w:p>
        </w:tc>
        <w:tc>
          <w:tcPr>
            <w:tcW w:w="1276" w:type="dxa"/>
            <w:tcBorders>
              <w:top w:val="nil"/>
              <w:left w:val="single" w:sz="4" w:space="0" w:color="auto"/>
              <w:bottom w:val="nil"/>
              <w:right w:val="single" w:sz="4" w:space="0" w:color="auto"/>
            </w:tcBorders>
          </w:tcPr>
          <w:p w14:paraId="38E1BE89" w14:textId="77777777" w:rsidR="0038142F" w:rsidRPr="0038142F" w:rsidRDefault="0038142F" w:rsidP="0038142F">
            <w:pPr>
              <w:jc w:val="center"/>
              <w:rPr>
                <w:rFonts w:eastAsia="Times New Roman"/>
                <w:noProof/>
                <w:sz w:val="20"/>
                <w:szCs w:val="20"/>
                <w:lang w:eastAsia="es-MX"/>
              </w:rPr>
            </w:pPr>
            <w:r w:rsidRPr="0038142F">
              <w:rPr>
                <w:rFonts w:eastAsia="Times New Roman"/>
                <w:noProof/>
                <w:sz w:val="20"/>
                <w:szCs w:val="20"/>
                <w:lang w:eastAsia="es-MX"/>
              </w:rPr>
              <w:t>51.5</w:t>
            </w:r>
          </w:p>
        </w:tc>
        <w:tc>
          <w:tcPr>
            <w:tcW w:w="1192" w:type="dxa"/>
            <w:tcBorders>
              <w:top w:val="nil"/>
              <w:left w:val="single" w:sz="4" w:space="0" w:color="auto"/>
              <w:bottom w:val="nil"/>
              <w:right w:val="single" w:sz="4" w:space="0" w:color="auto"/>
            </w:tcBorders>
          </w:tcPr>
          <w:p w14:paraId="475762D0" w14:textId="77777777" w:rsidR="0038142F" w:rsidRPr="0038142F" w:rsidRDefault="0038142F" w:rsidP="0038142F">
            <w:pPr>
              <w:ind w:right="340"/>
              <w:jc w:val="right"/>
              <w:rPr>
                <w:rFonts w:eastAsia="Times New Roman"/>
                <w:noProof/>
                <w:sz w:val="20"/>
                <w:szCs w:val="20"/>
                <w:lang w:eastAsia="es-MX"/>
              </w:rPr>
            </w:pPr>
            <w:r w:rsidRPr="0038142F">
              <w:rPr>
                <w:rFonts w:eastAsia="Times New Roman"/>
                <w:noProof/>
                <w:sz w:val="20"/>
                <w:szCs w:val="20"/>
                <w:lang w:eastAsia="es-MX"/>
              </w:rPr>
              <w:t>-0.90</w:t>
            </w:r>
          </w:p>
        </w:tc>
        <w:tc>
          <w:tcPr>
            <w:tcW w:w="1499" w:type="dxa"/>
            <w:tcBorders>
              <w:top w:val="nil"/>
              <w:left w:val="single" w:sz="4" w:space="0" w:color="auto"/>
              <w:bottom w:val="nil"/>
              <w:right w:val="single" w:sz="4" w:space="0" w:color="auto"/>
            </w:tcBorders>
          </w:tcPr>
          <w:p w14:paraId="7E76A59E" w14:textId="77777777" w:rsidR="0038142F" w:rsidRPr="0038142F" w:rsidRDefault="0038142F" w:rsidP="0038142F">
            <w:pPr>
              <w:ind w:right="113"/>
              <w:jc w:val="right"/>
              <w:rPr>
                <w:rFonts w:eastAsia="Times New Roman"/>
                <w:noProof/>
                <w:sz w:val="20"/>
                <w:szCs w:val="20"/>
                <w:lang w:eastAsia="es-MX"/>
              </w:rPr>
            </w:pPr>
            <w:r w:rsidRPr="0038142F">
              <w:rPr>
                <w:rFonts w:eastAsia="Times New Roman"/>
                <w:noProof/>
                <w:sz w:val="20"/>
                <w:szCs w:val="20"/>
                <w:lang w:eastAsia="es-MX"/>
              </w:rPr>
              <w:t>67 por arriba</w:t>
            </w:r>
          </w:p>
        </w:tc>
      </w:tr>
      <w:tr w:rsidR="0038142F" w:rsidRPr="0038142F" w14:paraId="25DD1D1F" w14:textId="77777777" w:rsidTr="0024224F">
        <w:trPr>
          <w:jc w:val="center"/>
        </w:trPr>
        <w:tc>
          <w:tcPr>
            <w:tcW w:w="4077" w:type="dxa"/>
            <w:tcBorders>
              <w:top w:val="nil"/>
              <w:left w:val="single" w:sz="4" w:space="0" w:color="auto"/>
              <w:bottom w:val="nil"/>
              <w:right w:val="single" w:sz="4" w:space="0" w:color="auto"/>
            </w:tcBorders>
          </w:tcPr>
          <w:p w14:paraId="665414BE" w14:textId="77777777" w:rsidR="0038142F" w:rsidRPr="0038142F" w:rsidRDefault="0038142F" w:rsidP="0038142F">
            <w:pPr>
              <w:jc w:val="both"/>
              <w:rPr>
                <w:rFonts w:eastAsia="Times New Roman"/>
                <w:noProof/>
                <w:sz w:val="20"/>
                <w:szCs w:val="20"/>
                <w:lang w:eastAsia="es-MX"/>
              </w:rPr>
            </w:pPr>
            <w:r w:rsidRPr="0038142F">
              <w:rPr>
                <w:rFonts w:eastAsia="Times New Roman"/>
                <w:noProof/>
                <w:sz w:val="20"/>
                <w:szCs w:val="20"/>
                <w:lang w:eastAsia="es-MX"/>
              </w:rPr>
              <w:t>f) Inversión en planta y equipo</w:t>
            </w:r>
          </w:p>
        </w:tc>
        <w:tc>
          <w:tcPr>
            <w:tcW w:w="1168" w:type="dxa"/>
            <w:tcBorders>
              <w:top w:val="nil"/>
              <w:left w:val="single" w:sz="4" w:space="0" w:color="auto"/>
              <w:bottom w:val="nil"/>
              <w:right w:val="single" w:sz="4" w:space="0" w:color="auto"/>
            </w:tcBorders>
          </w:tcPr>
          <w:p w14:paraId="42ACB150" w14:textId="77777777" w:rsidR="0038142F" w:rsidRPr="0038142F" w:rsidRDefault="0038142F" w:rsidP="0038142F">
            <w:pPr>
              <w:jc w:val="center"/>
              <w:rPr>
                <w:rFonts w:eastAsia="Times New Roman"/>
                <w:noProof/>
                <w:sz w:val="20"/>
                <w:szCs w:val="20"/>
                <w:lang w:eastAsia="es-MX"/>
              </w:rPr>
            </w:pPr>
            <w:r w:rsidRPr="0038142F">
              <w:rPr>
                <w:rFonts w:eastAsia="Times New Roman"/>
                <w:noProof/>
                <w:sz w:val="20"/>
                <w:szCs w:val="20"/>
                <w:lang w:eastAsia="es-MX"/>
              </w:rPr>
              <w:t>54.7</w:t>
            </w:r>
          </w:p>
        </w:tc>
        <w:tc>
          <w:tcPr>
            <w:tcW w:w="1276" w:type="dxa"/>
            <w:tcBorders>
              <w:top w:val="nil"/>
              <w:left w:val="single" w:sz="4" w:space="0" w:color="auto"/>
              <w:bottom w:val="nil"/>
              <w:right w:val="single" w:sz="4" w:space="0" w:color="auto"/>
            </w:tcBorders>
          </w:tcPr>
          <w:p w14:paraId="761B204D" w14:textId="77777777" w:rsidR="0038142F" w:rsidRPr="0038142F" w:rsidRDefault="0038142F" w:rsidP="0038142F">
            <w:pPr>
              <w:jc w:val="center"/>
              <w:rPr>
                <w:rFonts w:eastAsia="Times New Roman"/>
                <w:noProof/>
                <w:sz w:val="20"/>
                <w:szCs w:val="20"/>
                <w:lang w:eastAsia="es-MX"/>
              </w:rPr>
            </w:pPr>
            <w:r w:rsidRPr="0038142F">
              <w:rPr>
                <w:rFonts w:eastAsia="Times New Roman"/>
                <w:noProof/>
                <w:sz w:val="20"/>
                <w:szCs w:val="20"/>
                <w:lang w:eastAsia="es-MX"/>
              </w:rPr>
              <w:t>53.8</w:t>
            </w:r>
          </w:p>
        </w:tc>
        <w:tc>
          <w:tcPr>
            <w:tcW w:w="1192" w:type="dxa"/>
            <w:tcBorders>
              <w:top w:val="nil"/>
              <w:left w:val="single" w:sz="4" w:space="0" w:color="auto"/>
              <w:bottom w:val="nil"/>
              <w:right w:val="single" w:sz="4" w:space="0" w:color="auto"/>
            </w:tcBorders>
          </w:tcPr>
          <w:p w14:paraId="09B32CCD" w14:textId="77777777" w:rsidR="0038142F" w:rsidRPr="0038142F" w:rsidRDefault="0038142F" w:rsidP="0038142F">
            <w:pPr>
              <w:ind w:right="340"/>
              <w:jc w:val="right"/>
              <w:rPr>
                <w:rFonts w:eastAsia="Times New Roman"/>
                <w:noProof/>
                <w:sz w:val="20"/>
                <w:szCs w:val="20"/>
                <w:lang w:eastAsia="es-MX"/>
              </w:rPr>
            </w:pPr>
            <w:r w:rsidRPr="0038142F">
              <w:rPr>
                <w:rFonts w:eastAsia="Times New Roman"/>
                <w:noProof/>
                <w:sz w:val="20"/>
                <w:szCs w:val="20"/>
                <w:lang w:eastAsia="es-MX"/>
              </w:rPr>
              <w:t>-0.86</w:t>
            </w:r>
          </w:p>
        </w:tc>
        <w:tc>
          <w:tcPr>
            <w:tcW w:w="1499" w:type="dxa"/>
            <w:tcBorders>
              <w:top w:val="nil"/>
              <w:left w:val="single" w:sz="4" w:space="0" w:color="auto"/>
              <w:bottom w:val="nil"/>
              <w:right w:val="single" w:sz="4" w:space="0" w:color="auto"/>
            </w:tcBorders>
          </w:tcPr>
          <w:p w14:paraId="39CA6DA5" w14:textId="77777777" w:rsidR="0038142F" w:rsidRPr="0038142F" w:rsidRDefault="0038142F" w:rsidP="0038142F">
            <w:pPr>
              <w:ind w:right="113"/>
              <w:jc w:val="right"/>
              <w:rPr>
                <w:rFonts w:eastAsia="Times New Roman"/>
                <w:noProof/>
                <w:sz w:val="20"/>
                <w:szCs w:val="20"/>
                <w:lang w:eastAsia="es-MX"/>
              </w:rPr>
            </w:pPr>
            <w:r w:rsidRPr="0038142F">
              <w:rPr>
                <w:rFonts w:eastAsia="Times New Roman"/>
                <w:noProof/>
                <w:sz w:val="20"/>
                <w:szCs w:val="20"/>
                <w:lang w:eastAsia="es-MX"/>
              </w:rPr>
              <w:t>52 por arriba</w:t>
            </w:r>
          </w:p>
        </w:tc>
      </w:tr>
      <w:tr w:rsidR="0038142F" w:rsidRPr="0038142F" w14:paraId="3ACBC73D" w14:textId="77777777" w:rsidTr="0024224F">
        <w:trPr>
          <w:jc w:val="center"/>
        </w:trPr>
        <w:tc>
          <w:tcPr>
            <w:tcW w:w="4077" w:type="dxa"/>
            <w:tcBorders>
              <w:top w:val="nil"/>
              <w:left w:val="single" w:sz="4" w:space="0" w:color="auto"/>
              <w:bottom w:val="nil"/>
              <w:right w:val="single" w:sz="4" w:space="0" w:color="auto"/>
            </w:tcBorders>
          </w:tcPr>
          <w:p w14:paraId="2EB3015C" w14:textId="77777777" w:rsidR="0038142F" w:rsidRPr="0038142F" w:rsidRDefault="0038142F" w:rsidP="0038142F">
            <w:pPr>
              <w:jc w:val="both"/>
              <w:rPr>
                <w:rFonts w:eastAsia="Times New Roman"/>
                <w:noProof/>
                <w:sz w:val="20"/>
                <w:szCs w:val="20"/>
                <w:lang w:eastAsia="es-MX"/>
              </w:rPr>
            </w:pPr>
            <w:r w:rsidRPr="0038142F">
              <w:rPr>
                <w:rFonts w:eastAsia="Times New Roman"/>
                <w:noProof/>
                <w:sz w:val="20"/>
                <w:szCs w:val="20"/>
                <w:lang w:eastAsia="es-MX"/>
              </w:rPr>
              <w:t>g) Inventarios de productos terminados</w:t>
            </w:r>
          </w:p>
        </w:tc>
        <w:tc>
          <w:tcPr>
            <w:tcW w:w="1168" w:type="dxa"/>
            <w:tcBorders>
              <w:top w:val="nil"/>
              <w:left w:val="single" w:sz="4" w:space="0" w:color="auto"/>
              <w:bottom w:val="nil"/>
              <w:right w:val="single" w:sz="4" w:space="0" w:color="auto"/>
            </w:tcBorders>
          </w:tcPr>
          <w:p w14:paraId="2447EAC2" w14:textId="77777777" w:rsidR="0038142F" w:rsidRPr="0038142F" w:rsidRDefault="0038142F" w:rsidP="0038142F">
            <w:pPr>
              <w:jc w:val="center"/>
              <w:rPr>
                <w:rFonts w:eastAsia="Times New Roman"/>
                <w:noProof/>
                <w:sz w:val="20"/>
                <w:szCs w:val="20"/>
                <w:lang w:eastAsia="es-MX"/>
              </w:rPr>
            </w:pPr>
            <w:r w:rsidRPr="0038142F">
              <w:rPr>
                <w:rFonts w:eastAsia="Times New Roman"/>
                <w:noProof/>
                <w:sz w:val="20"/>
                <w:szCs w:val="20"/>
                <w:lang w:eastAsia="es-MX"/>
              </w:rPr>
              <w:t>52.9</w:t>
            </w:r>
          </w:p>
        </w:tc>
        <w:tc>
          <w:tcPr>
            <w:tcW w:w="1276" w:type="dxa"/>
            <w:tcBorders>
              <w:top w:val="nil"/>
              <w:left w:val="single" w:sz="4" w:space="0" w:color="auto"/>
              <w:bottom w:val="nil"/>
              <w:right w:val="single" w:sz="4" w:space="0" w:color="auto"/>
            </w:tcBorders>
          </w:tcPr>
          <w:p w14:paraId="7605E120" w14:textId="77777777" w:rsidR="0038142F" w:rsidRPr="0038142F" w:rsidRDefault="0038142F" w:rsidP="0038142F">
            <w:pPr>
              <w:jc w:val="center"/>
              <w:rPr>
                <w:rFonts w:eastAsia="Times New Roman"/>
                <w:noProof/>
                <w:sz w:val="20"/>
                <w:szCs w:val="20"/>
                <w:lang w:eastAsia="es-MX"/>
              </w:rPr>
            </w:pPr>
            <w:r w:rsidRPr="0038142F">
              <w:rPr>
                <w:rFonts w:eastAsia="Times New Roman"/>
                <w:noProof/>
                <w:sz w:val="20"/>
                <w:szCs w:val="20"/>
                <w:lang w:eastAsia="es-MX"/>
              </w:rPr>
              <w:t>53.0</w:t>
            </w:r>
          </w:p>
        </w:tc>
        <w:tc>
          <w:tcPr>
            <w:tcW w:w="1192" w:type="dxa"/>
            <w:tcBorders>
              <w:top w:val="nil"/>
              <w:left w:val="single" w:sz="4" w:space="0" w:color="auto"/>
              <w:bottom w:val="nil"/>
              <w:right w:val="single" w:sz="4" w:space="0" w:color="auto"/>
            </w:tcBorders>
          </w:tcPr>
          <w:p w14:paraId="5A9A81DC" w14:textId="77777777" w:rsidR="0038142F" w:rsidRPr="0038142F" w:rsidRDefault="0038142F" w:rsidP="0038142F">
            <w:pPr>
              <w:ind w:right="340"/>
              <w:jc w:val="right"/>
              <w:rPr>
                <w:rFonts w:eastAsia="Times New Roman"/>
                <w:noProof/>
                <w:sz w:val="20"/>
                <w:szCs w:val="20"/>
                <w:lang w:eastAsia="es-MX"/>
              </w:rPr>
            </w:pPr>
            <w:r w:rsidRPr="0038142F">
              <w:rPr>
                <w:rFonts w:eastAsia="Times New Roman"/>
                <w:noProof/>
                <w:sz w:val="20"/>
                <w:szCs w:val="20"/>
                <w:lang w:eastAsia="es-MX"/>
              </w:rPr>
              <w:t>0.11</w:t>
            </w:r>
          </w:p>
        </w:tc>
        <w:tc>
          <w:tcPr>
            <w:tcW w:w="1499" w:type="dxa"/>
            <w:tcBorders>
              <w:top w:val="nil"/>
              <w:left w:val="single" w:sz="4" w:space="0" w:color="auto"/>
              <w:bottom w:val="nil"/>
              <w:right w:val="single" w:sz="4" w:space="0" w:color="auto"/>
            </w:tcBorders>
          </w:tcPr>
          <w:p w14:paraId="7474AADD" w14:textId="77777777" w:rsidR="0038142F" w:rsidRPr="0038142F" w:rsidRDefault="0038142F" w:rsidP="0038142F">
            <w:pPr>
              <w:ind w:right="113"/>
              <w:jc w:val="right"/>
              <w:rPr>
                <w:rFonts w:eastAsia="Times New Roman"/>
                <w:noProof/>
                <w:sz w:val="20"/>
                <w:szCs w:val="20"/>
                <w:lang w:eastAsia="es-MX"/>
              </w:rPr>
            </w:pPr>
            <w:r w:rsidRPr="0038142F">
              <w:rPr>
                <w:rFonts w:eastAsia="Times New Roman"/>
                <w:noProof/>
                <w:sz w:val="20"/>
                <w:szCs w:val="20"/>
                <w:lang w:eastAsia="es-MX"/>
              </w:rPr>
              <w:t>37 por arriba</w:t>
            </w:r>
          </w:p>
        </w:tc>
      </w:tr>
      <w:tr w:rsidR="0038142F" w:rsidRPr="0038142F" w14:paraId="578E164A" w14:textId="77777777" w:rsidTr="0024224F">
        <w:trPr>
          <w:jc w:val="center"/>
        </w:trPr>
        <w:tc>
          <w:tcPr>
            <w:tcW w:w="4077" w:type="dxa"/>
            <w:tcBorders>
              <w:top w:val="nil"/>
              <w:left w:val="single" w:sz="4" w:space="0" w:color="auto"/>
              <w:bottom w:val="nil"/>
              <w:right w:val="single" w:sz="4" w:space="0" w:color="auto"/>
            </w:tcBorders>
          </w:tcPr>
          <w:p w14:paraId="36A738D1" w14:textId="77777777" w:rsidR="0038142F" w:rsidRPr="0038142F" w:rsidRDefault="0038142F" w:rsidP="0038142F">
            <w:pPr>
              <w:jc w:val="both"/>
              <w:rPr>
                <w:rFonts w:eastAsia="Times New Roman"/>
                <w:noProof/>
                <w:sz w:val="20"/>
                <w:szCs w:val="20"/>
                <w:lang w:eastAsia="es-MX"/>
              </w:rPr>
            </w:pPr>
            <w:r w:rsidRPr="0038142F">
              <w:rPr>
                <w:rFonts w:eastAsia="Times New Roman"/>
                <w:noProof/>
                <w:sz w:val="20"/>
                <w:szCs w:val="20"/>
                <w:lang w:eastAsia="es-MX"/>
              </w:rPr>
              <w:t>h) Precios de venta</w:t>
            </w:r>
          </w:p>
        </w:tc>
        <w:tc>
          <w:tcPr>
            <w:tcW w:w="1168" w:type="dxa"/>
            <w:tcBorders>
              <w:top w:val="nil"/>
              <w:left w:val="single" w:sz="4" w:space="0" w:color="auto"/>
              <w:bottom w:val="nil"/>
              <w:right w:val="single" w:sz="4" w:space="0" w:color="auto"/>
            </w:tcBorders>
          </w:tcPr>
          <w:p w14:paraId="483B729B" w14:textId="77777777" w:rsidR="0038142F" w:rsidRPr="0038142F" w:rsidRDefault="0038142F" w:rsidP="0038142F">
            <w:pPr>
              <w:jc w:val="center"/>
              <w:rPr>
                <w:rFonts w:eastAsia="Times New Roman"/>
                <w:noProof/>
                <w:sz w:val="20"/>
                <w:szCs w:val="20"/>
                <w:lang w:eastAsia="es-MX"/>
              </w:rPr>
            </w:pPr>
            <w:r w:rsidRPr="0038142F">
              <w:rPr>
                <w:rFonts w:eastAsia="Times New Roman"/>
                <w:noProof/>
                <w:sz w:val="20"/>
                <w:szCs w:val="20"/>
                <w:lang w:eastAsia="es-MX"/>
              </w:rPr>
              <w:t>54.1</w:t>
            </w:r>
          </w:p>
        </w:tc>
        <w:tc>
          <w:tcPr>
            <w:tcW w:w="1276" w:type="dxa"/>
            <w:tcBorders>
              <w:top w:val="nil"/>
              <w:left w:val="single" w:sz="4" w:space="0" w:color="auto"/>
              <w:bottom w:val="nil"/>
              <w:right w:val="single" w:sz="4" w:space="0" w:color="auto"/>
            </w:tcBorders>
          </w:tcPr>
          <w:p w14:paraId="2BA8857E" w14:textId="77777777" w:rsidR="0038142F" w:rsidRPr="0038142F" w:rsidRDefault="0038142F" w:rsidP="0038142F">
            <w:pPr>
              <w:jc w:val="center"/>
              <w:rPr>
                <w:rFonts w:eastAsia="Times New Roman"/>
                <w:noProof/>
                <w:sz w:val="20"/>
                <w:szCs w:val="20"/>
                <w:lang w:eastAsia="es-MX"/>
              </w:rPr>
            </w:pPr>
            <w:r w:rsidRPr="0038142F">
              <w:rPr>
                <w:rFonts w:eastAsia="Times New Roman"/>
                <w:noProof/>
                <w:sz w:val="20"/>
                <w:szCs w:val="20"/>
                <w:lang w:eastAsia="es-MX"/>
              </w:rPr>
              <w:t>53.3</w:t>
            </w:r>
          </w:p>
        </w:tc>
        <w:tc>
          <w:tcPr>
            <w:tcW w:w="1192" w:type="dxa"/>
            <w:tcBorders>
              <w:top w:val="nil"/>
              <w:left w:val="single" w:sz="4" w:space="0" w:color="auto"/>
              <w:bottom w:val="nil"/>
              <w:right w:val="single" w:sz="4" w:space="0" w:color="auto"/>
            </w:tcBorders>
          </w:tcPr>
          <w:p w14:paraId="7B15FCCD" w14:textId="77777777" w:rsidR="0038142F" w:rsidRPr="0038142F" w:rsidRDefault="0038142F" w:rsidP="0038142F">
            <w:pPr>
              <w:ind w:right="340"/>
              <w:jc w:val="right"/>
              <w:rPr>
                <w:rFonts w:eastAsia="Times New Roman"/>
                <w:noProof/>
                <w:sz w:val="20"/>
                <w:szCs w:val="20"/>
                <w:lang w:eastAsia="es-MX"/>
              </w:rPr>
            </w:pPr>
            <w:r w:rsidRPr="0038142F">
              <w:rPr>
                <w:rFonts w:eastAsia="Times New Roman"/>
                <w:noProof/>
                <w:sz w:val="20"/>
                <w:szCs w:val="20"/>
                <w:lang w:eastAsia="es-MX"/>
              </w:rPr>
              <w:t>-0.84</w:t>
            </w:r>
          </w:p>
        </w:tc>
        <w:tc>
          <w:tcPr>
            <w:tcW w:w="1499" w:type="dxa"/>
            <w:tcBorders>
              <w:top w:val="nil"/>
              <w:left w:val="single" w:sz="4" w:space="0" w:color="auto"/>
              <w:bottom w:val="nil"/>
              <w:right w:val="single" w:sz="4" w:space="0" w:color="auto"/>
            </w:tcBorders>
          </w:tcPr>
          <w:p w14:paraId="15902FFF" w14:textId="77777777" w:rsidR="0038142F" w:rsidRPr="0038142F" w:rsidRDefault="0038142F" w:rsidP="0038142F">
            <w:pPr>
              <w:ind w:right="113"/>
              <w:jc w:val="right"/>
              <w:rPr>
                <w:rFonts w:eastAsia="Times New Roman"/>
                <w:noProof/>
                <w:sz w:val="20"/>
                <w:szCs w:val="20"/>
                <w:lang w:eastAsia="es-MX"/>
              </w:rPr>
            </w:pPr>
            <w:r w:rsidRPr="0038142F">
              <w:rPr>
                <w:rFonts w:eastAsia="Times New Roman"/>
                <w:noProof/>
                <w:sz w:val="20"/>
                <w:szCs w:val="20"/>
                <w:lang w:eastAsia="es-MX"/>
              </w:rPr>
              <w:t>134 por arriba</w:t>
            </w:r>
          </w:p>
        </w:tc>
      </w:tr>
      <w:tr w:rsidR="0038142F" w:rsidRPr="0038142F" w14:paraId="5CDF7220" w14:textId="77777777" w:rsidTr="0024224F">
        <w:trPr>
          <w:jc w:val="center"/>
        </w:trPr>
        <w:tc>
          <w:tcPr>
            <w:tcW w:w="4077" w:type="dxa"/>
            <w:tcBorders>
              <w:top w:val="nil"/>
              <w:left w:val="single" w:sz="4" w:space="0" w:color="auto"/>
              <w:bottom w:val="single" w:sz="4" w:space="0" w:color="auto"/>
              <w:right w:val="single" w:sz="4" w:space="0" w:color="auto"/>
            </w:tcBorders>
          </w:tcPr>
          <w:p w14:paraId="00F9E7C2" w14:textId="77777777" w:rsidR="0038142F" w:rsidRPr="0038142F" w:rsidRDefault="0038142F" w:rsidP="0038142F">
            <w:pPr>
              <w:jc w:val="both"/>
              <w:rPr>
                <w:rFonts w:eastAsia="Times New Roman"/>
                <w:noProof/>
                <w:sz w:val="20"/>
                <w:szCs w:val="20"/>
                <w:lang w:eastAsia="es-MX"/>
              </w:rPr>
            </w:pPr>
            <w:r w:rsidRPr="0038142F">
              <w:rPr>
                <w:rFonts w:eastAsia="Times New Roman"/>
                <w:noProof/>
                <w:sz w:val="20"/>
                <w:szCs w:val="20"/>
                <w:lang w:eastAsia="es-MX"/>
              </w:rPr>
              <w:t>i) Precios de insumos</w:t>
            </w:r>
          </w:p>
        </w:tc>
        <w:tc>
          <w:tcPr>
            <w:tcW w:w="1168" w:type="dxa"/>
            <w:tcBorders>
              <w:top w:val="nil"/>
              <w:left w:val="single" w:sz="4" w:space="0" w:color="auto"/>
              <w:bottom w:val="single" w:sz="4" w:space="0" w:color="auto"/>
              <w:right w:val="single" w:sz="4" w:space="0" w:color="auto"/>
            </w:tcBorders>
          </w:tcPr>
          <w:p w14:paraId="0E3CACE9" w14:textId="77777777" w:rsidR="0038142F" w:rsidRPr="0038142F" w:rsidRDefault="0038142F" w:rsidP="0038142F">
            <w:pPr>
              <w:jc w:val="center"/>
              <w:rPr>
                <w:rFonts w:eastAsia="Times New Roman"/>
                <w:noProof/>
                <w:sz w:val="20"/>
                <w:szCs w:val="20"/>
                <w:lang w:eastAsia="es-MX"/>
              </w:rPr>
            </w:pPr>
            <w:r w:rsidRPr="0038142F">
              <w:rPr>
                <w:rFonts w:eastAsia="Times New Roman"/>
                <w:noProof/>
                <w:sz w:val="20"/>
                <w:szCs w:val="20"/>
                <w:lang w:eastAsia="es-MX"/>
              </w:rPr>
              <w:t>53.9</w:t>
            </w:r>
          </w:p>
        </w:tc>
        <w:tc>
          <w:tcPr>
            <w:tcW w:w="1276" w:type="dxa"/>
            <w:tcBorders>
              <w:top w:val="nil"/>
              <w:left w:val="single" w:sz="4" w:space="0" w:color="auto"/>
              <w:bottom w:val="single" w:sz="4" w:space="0" w:color="auto"/>
              <w:right w:val="single" w:sz="4" w:space="0" w:color="auto"/>
            </w:tcBorders>
          </w:tcPr>
          <w:p w14:paraId="48C2194C" w14:textId="77777777" w:rsidR="0038142F" w:rsidRPr="0038142F" w:rsidRDefault="0038142F" w:rsidP="0038142F">
            <w:pPr>
              <w:jc w:val="center"/>
              <w:rPr>
                <w:rFonts w:eastAsia="Times New Roman"/>
                <w:noProof/>
                <w:sz w:val="20"/>
                <w:szCs w:val="20"/>
                <w:lang w:eastAsia="es-MX"/>
              </w:rPr>
            </w:pPr>
            <w:r w:rsidRPr="0038142F">
              <w:rPr>
                <w:rFonts w:eastAsia="Times New Roman"/>
                <w:noProof/>
                <w:sz w:val="20"/>
                <w:szCs w:val="20"/>
                <w:lang w:eastAsia="es-MX"/>
              </w:rPr>
              <w:t>54.1</w:t>
            </w:r>
          </w:p>
        </w:tc>
        <w:tc>
          <w:tcPr>
            <w:tcW w:w="1192" w:type="dxa"/>
            <w:tcBorders>
              <w:top w:val="nil"/>
              <w:left w:val="single" w:sz="4" w:space="0" w:color="auto"/>
              <w:bottom w:val="single" w:sz="4" w:space="0" w:color="auto"/>
              <w:right w:val="single" w:sz="4" w:space="0" w:color="auto"/>
            </w:tcBorders>
          </w:tcPr>
          <w:p w14:paraId="595155DB" w14:textId="77777777" w:rsidR="0038142F" w:rsidRPr="0038142F" w:rsidRDefault="0038142F" w:rsidP="0038142F">
            <w:pPr>
              <w:ind w:right="340"/>
              <w:jc w:val="right"/>
              <w:rPr>
                <w:rFonts w:eastAsia="Times New Roman"/>
                <w:noProof/>
                <w:sz w:val="20"/>
                <w:szCs w:val="20"/>
                <w:lang w:eastAsia="es-MX"/>
              </w:rPr>
            </w:pPr>
            <w:r w:rsidRPr="0038142F">
              <w:rPr>
                <w:rFonts w:eastAsia="Times New Roman"/>
                <w:noProof/>
                <w:sz w:val="20"/>
                <w:szCs w:val="20"/>
                <w:lang w:eastAsia="es-MX"/>
              </w:rPr>
              <w:t>0.18</w:t>
            </w:r>
          </w:p>
        </w:tc>
        <w:tc>
          <w:tcPr>
            <w:tcW w:w="1499" w:type="dxa"/>
            <w:tcBorders>
              <w:top w:val="nil"/>
              <w:left w:val="single" w:sz="4" w:space="0" w:color="auto"/>
              <w:bottom w:val="single" w:sz="4" w:space="0" w:color="auto"/>
              <w:right w:val="single" w:sz="4" w:space="0" w:color="auto"/>
            </w:tcBorders>
          </w:tcPr>
          <w:p w14:paraId="2057A19B" w14:textId="77777777" w:rsidR="0038142F" w:rsidRPr="0038142F" w:rsidRDefault="0038142F" w:rsidP="0038142F">
            <w:pPr>
              <w:ind w:right="113"/>
              <w:jc w:val="right"/>
              <w:rPr>
                <w:rFonts w:eastAsia="Times New Roman"/>
                <w:noProof/>
                <w:sz w:val="20"/>
                <w:szCs w:val="20"/>
                <w:lang w:eastAsia="es-MX"/>
              </w:rPr>
            </w:pPr>
            <w:r w:rsidRPr="0038142F">
              <w:rPr>
                <w:rFonts w:eastAsia="Times New Roman"/>
                <w:noProof/>
                <w:sz w:val="20"/>
                <w:szCs w:val="20"/>
                <w:lang w:eastAsia="es-MX"/>
              </w:rPr>
              <w:t>110 por arriba</w:t>
            </w:r>
          </w:p>
        </w:tc>
      </w:tr>
      <w:tr w:rsidR="0038142F" w:rsidRPr="0038142F" w14:paraId="75E3E4F4" w14:textId="77777777" w:rsidTr="0024224F">
        <w:trPr>
          <w:jc w:val="center"/>
        </w:trPr>
        <w:tc>
          <w:tcPr>
            <w:tcW w:w="9212" w:type="dxa"/>
            <w:gridSpan w:val="5"/>
            <w:tcBorders>
              <w:left w:val="nil"/>
              <w:bottom w:val="nil"/>
              <w:right w:val="nil"/>
            </w:tcBorders>
          </w:tcPr>
          <w:p w14:paraId="032A2605" w14:textId="77777777" w:rsidR="0038142F" w:rsidRPr="0038142F" w:rsidRDefault="0038142F" w:rsidP="0038142F">
            <w:pPr>
              <w:ind w:left="510" w:hanging="510"/>
              <w:jc w:val="both"/>
              <w:rPr>
                <w:rFonts w:eastAsia="Times New Roman"/>
                <w:noProof/>
                <w:sz w:val="20"/>
                <w:szCs w:val="20"/>
                <w:lang w:eastAsia="es-MX"/>
              </w:rPr>
            </w:pPr>
            <w:r w:rsidRPr="0038142F">
              <w:rPr>
                <w:rFonts w:eastAsia="Times New Roman"/>
                <w:noProof/>
                <w:sz w:val="20"/>
                <w:szCs w:val="20"/>
                <w:lang w:eastAsia="es-MX"/>
              </w:rPr>
              <w:t>Nota:</w:t>
            </w:r>
            <w:r w:rsidRPr="0038142F">
              <w:t xml:space="preserve"> </w:t>
            </w:r>
            <w:r w:rsidRPr="0038142F">
              <w:rPr>
                <w:rFonts w:eastAsia="Times New Roman"/>
                <w:noProof/>
                <w:sz w:val="20"/>
                <w:szCs w:val="20"/>
                <w:lang w:eastAsia="es-MX"/>
              </w:rPr>
              <w:t>Los indicadores se generan con los datos referidos al mes anterior del mes de la entrevista con excepción del último dato de la serie, el cual está referido al mes en que ocurre dicha entrevista.</w:t>
            </w:r>
          </w:p>
          <w:p w14:paraId="030152FB" w14:textId="77777777" w:rsidR="0038142F" w:rsidRPr="0038142F" w:rsidRDefault="0038142F" w:rsidP="0038142F">
            <w:pPr>
              <w:jc w:val="both"/>
              <w:rPr>
                <w:rFonts w:eastAsia="Times New Roman"/>
                <w:noProof/>
                <w:sz w:val="20"/>
                <w:szCs w:val="20"/>
                <w:lang w:eastAsia="es-MX"/>
              </w:rPr>
            </w:pPr>
            <w:r w:rsidRPr="0038142F">
              <w:rPr>
                <w:rFonts w:eastAsia="Times New Roman"/>
                <w:noProof/>
                <w:sz w:val="20"/>
                <w:szCs w:val="20"/>
                <w:u w:val="single"/>
                <w:lang w:eastAsia="es-MX"/>
              </w:rPr>
              <w:t>1</w:t>
            </w:r>
            <w:r w:rsidRPr="0038142F">
              <w:rPr>
                <w:rFonts w:eastAsia="Times New Roman"/>
                <w:noProof/>
                <w:sz w:val="20"/>
                <w:szCs w:val="20"/>
                <w:lang w:eastAsia="es-MX"/>
              </w:rPr>
              <w:t>/ Las diferencias en puntos se obtienen de los respectivos indicadores considerando todos sus decimales.</w:t>
            </w:r>
          </w:p>
          <w:p w14:paraId="64D90D66" w14:textId="77777777" w:rsidR="0038142F" w:rsidRPr="0038142F" w:rsidRDefault="0038142F" w:rsidP="0038142F">
            <w:pPr>
              <w:jc w:val="both"/>
              <w:rPr>
                <w:rFonts w:eastAsia="Times New Roman"/>
                <w:noProof/>
                <w:sz w:val="20"/>
                <w:szCs w:val="20"/>
                <w:lang w:eastAsia="es-MX"/>
              </w:rPr>
            </w:pPr>
            <w:r w:rsidRPr="0038142F">
              <w:rPr>
                <w:rFonts w:eastAsia="Times New Roman"/>
                <w:noProof/>
                <w:sz w:val="20"/>
                <w:szCs w:val="20"/>
                <w:lang w:eastAsia="es-MX"/>
              </w:rPr>
              <w:t>FUENTE: INEGI.</w:t>
            </w:r>
          </w:p>
        </w:tc>
      </w:tr>
    </w:tbl>
    <w:p w14:paraId="42D35436" w14:textId="77777777" w:rsidR="0038142F" w:rsidRPr="0038142F" w:rsidRDefault="0038142F" w:rsidP="0038142F">
      <w:pPr>
        <w:spacing w:after="360" w:line="360" w:lineRule="auto"/>
        <w:ind w:right="-159"/>
        <w:jc w:val="both"/>
        <w:rPr>
          <w:rFonts w:eastAsia="Times New Roman"/>
          <w:sz w:val="26"/>
          <w:szCs w:val="26"/>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28"/>
      </w:tblGrid>
      <w:tr w:rsidR="002632AC" w:rsidRPr="002632AC" w14:paraId="596CF7DB" w14:textId="77777777" w:rsidTr="007B7E95">
        <w:tc>
          <w:tcPr>
            <w:tcW w:w="8828" w:type="dxa"/>
          </w:tcPr>
          <w:p w14:paraId="379B3C81" w14:textId="4D14F7F9" w:rsidR="002632AC" w:rsidRPr="002632AC" w:rsidRDefault="002632AC" w:rsidP="002632AC">
            <w:pPr>
              <w:jc w:val="center"/>
              <w:rPr>
                <w:rFonts w:ascii="Calibri" w:eastAsia="Calibri" w:hAnsi="Calibri"/>
                <w:sz w:val="22"/>
                <w:szCs w:val="22"/>
                <w:lang w:eastAsia="en-US"/>
              </w:rPr>
            </w:pPr>
            <w:r w:rsidRPr="002632AC">
              <w:rPr>
                <w:rFonts w:ascii="Calibri" w:eastAsia="Calibri" w:hAnsi="Calibri"/>
                <w:sz w:val="22"/>
                <w:szCs w:val="22"/>
                <w:lang w:eastAsia="en-US"/>
              </w:rPr>
              <w:fldChar w:fldCharType="begin"/>
            </w:r>
            <w:r w:rsidRPr="002632AC">
              <w:rPr>
                <w:rFonts w:ascii="Calibri" w:eastAsia="Calibri" w:hAnsi="Calibri"/>
                <w:sz w:val="22"/>
                <w:szCs w:val="22"/>
                <w:lang w:eastAsia="en-US"/>
              </w:rPr>
              <w:instrText xml:space="preserve"> LINK PowerPoint.Slide.8 "D:\\2015\\MARZO 2014\\GRÁFICAS EN POWER POINT\\18.- GRÁFICAS DE EXPECTATIVAS EMPRESARIALES.pptx!258" "" \a \p </w:instrText>
            </w:r>
            <w:r w:rsidRPr="002632AC">
              <w:rPr>
                <w:rFonts w:ascii="Calibri" w:eastAsia="Calibri" w:hAnsi="Calibri"/>
                <w:sz w:val="22"/>
                <w:szCs w:val="22"/>
                <w:lang w:eastAsia="en-US"/>
              </w:rPr>
              <w:fldChar w:fldCharType="separate"/>
            </w:r>
            <w:r w:rsidRPr="002632AC">
              <w:rPr>
                <w:rFonts w:ascii="Calibri" w:eastAsia="Calibri" w:hAnsi="Calibri"/>
                <w:noProof/>
                <w:sz w:val="22"/>
                <w:szCs w:val="22"/>
                <w:lang w:eastAsia="es-MX"/>
              </w:rPr>
              <w:drawing>
                <wp:inline distT="0" distB="0" distL="0" distR="0" wp14:anchorId="7FA1F7C4" wp14:editId="530A4C11">
                  <wp:extent cx="5356860" cy="3329940"/>
                  <wp:effectExtent l="0" t="0" r="0" b="3810"/>
                  <wp:docPr id="1477" name="Imagen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
                          <pic:cNvPicPr>
                            <a:picLocks noChangeAspect="1" noChangeArrowheads="1"/>
                          </pic:cNvPicPr>
                        </pic:nvPicPr>
                        <pic:blipFill>
                          <a:blip r:embed="rId155" cstate="print">
                            <a:extLst>
                              <a:ext uri="{28A0092B-C50C-407E-A947-70E740481C1C}">
                                <a14:useLocalDpi xmlns:a14="http://schemas.microsoft.com/office/drawing/2010/main" val="0"/>
                              </a:ext>
                            </a:extLst>
                          </a:blip>
                          <a:srcRect l="1692" r="7664"/>
                          <a:stretch>
                            <a:fillRect/>
                          </a:stretch>
                        </pic:blipFill>
                        <pic:spPr bwMode="auto">
                          <a:xfrm>
                            <a:off x="0" y="0"/>
                            <a:ext cx="5356860" cy="3329940"/>
                          </a:xfrm>
                          <a:prstGeom prst="rect">
                            <a:avLst/>
                          </a:prstGeom>
                          <a:noFill/>
                          <a:ln>
                            <a:noFill/>
                          </a:ln>
                        </pic:spPr>
                      </pic:pic>
                    </a:graphicData>
                  </a:graphic>
                </wp:inline>
              </w:drawing>
            </w:r>
            <w:r w:rsidRPr="002632AC">
              <w:rPr>
                <w:rFonts w:ascii="Calibri" w:eastAsia="Calibri" w:hAnsi="Calibri"/>
                <w:sz w:val="22"/>
                <w:szCs w:val="22"/>
                <w:lang w:eastAsia="en-US"/>
              </w:rPr>
              <w:fldChar w:fldCharType="end"/>
            </w:r>
          </w:p>
        </w:tc>
      </w:tr>
      <w:tr w:rsidR="002632AC" w:rsidRPr="002632AC" w14:paraId="3354905C" w14:textId="77777777" w:rsidTr="007B7E95">
        <w:tc>
          <w:tcPr>
            <w:tcW w:w="8828" w:type="dxa"/>
          </w:tcPr>
          <w:p w14:paraId="446D61FA" w14:textId="0CECF6A9" w:rsidR="002632AC" w:rsidRPr="002632AC" w:rsidRDefault="002632AC" w:rsidP="002632AC">
            <w:pPr>
              <w:jc w:val="center"/>
              <w:rPr>
                <w:rFonts w:ascii="Calibri" w:eastAsia="Calibri" w:hAnsi="Calibri"/>
                <w:sz w:val="22"/>
                <w:szCs w:val="22"/>
                <w:lang w:eastAsia="en-US"/>
              </w:rPr>
            </w:pPr>
            <w:r w:rsidRPr="002632AC">
              <w:rPr>
                <w:rFonts w:ascii="Calibri" w:eastAsia="Calibri" w:hAnsi="Calibri"/>
                <w:sz w:val="22"/>
                <w:szCs w:val="22"/>
                <w:lang w:eastAsia="en-US"/>
              </w:rPr>
              <w:lastRenderedPageBreak/>
              <w:fldChar w:fldCharType="begin"/>
            </w:r>
            <w:r w:rsidRPr="002632AC">
              <w:rPr>
                <w:rFonts w:ascii="Calibri" w:eastAsia="Calibri" w:hAnsi="Calibri"/>
                <w:sz w:val="22"/>
                <w:szCs w:val="22"/>
                <w:lang w:eastAsia="en-US"/>
              </w:rPr>
              <w:instrText xml:space="preserve"> LINK PowerPoint.Slide.8 "D:\\2015\\MARZO 2014\\GRÁFICAS EN POWER POINT\\18.- GRÁFICAS DE EXPECTATIVAS EMPRESARIALES.pptx!270" "" \a \p </w:instrText>
            </w:r>
            <w:r w:rsidRPr="002632AC">
              <w:rPr>
                <w:rFonts w:ascii="Calibri" w:eastAsia="Calibri" w:hAnsi="Calibri"/>
                <w:sz w:val="22"/>
                <w:szCs w:val="22"/>
                <w:lang w:eastAsia="en-US"/>
              </w:rPr>
              <w:fldChar w:fldCharType="separate"/>
            </w:r>
            <w:r w:rsidRPr="002632AC">
              <w:rPr>
                <w:rFonts w:ascii="Calibri" w:eastAsia="Calibri" w:hAnsi="Calibri"/>
                <w:noProof/>
                <w:sz w:val="22"/>
                <w:szCs w:val="22"/>
                <w:lang w:eastAsia="es-MX"/>
              </w:rPr>
              <w:drawing>
                <wp:inline distT="0" distB="0" distL="0" distR="0" wp14:anchorId="03AB1623" wp14:editId="732FD435">
                  <wp:extent cx="5220970" cy="2681605"/>
                  <wp:effectExtent l="0" t="0" r="0" b="4445"/>
                  <wp:docPr id="1472" name="Imagen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
                          <pic:cNvPicPr>
                            <a:picLocks noChangeAspect="1" noChangeArrowheads="1"/>
                          </pic:cNvPicPr>
                        </pic:nvPicPr>
                        <pic:blipFill>
                          <a:blip r:embed="rId156" cstate="print">
                            <a:extLst>
                              <a:ext uri="{28A0092B-C50C-407E-A947-70E740481C1C}">
                                <a14:useLocalDpi xmlns:a14="http://schemas.microsoft.com/office/drawing/2010/main" val="0"/>
                              </a:ext>
                            </a:extLst>
                          </a:blip>
                          <a:srcRect l="992" t="17133" r="8228"/>
                          <a:stretch>
                            <a:fillRect/>
                          </a:stretch>
                        </pic:blipFill>
                        <pic:spPr bwMode="auto">
                          <a:xfrm>
                            <a:off x="0" y="0"/>
                            <a:ext cx="5220970" cy="2681605"/>
                          </a:xfrm>
                          <a:prstGeom prst="rect">
                            <a:avLst/>
                          </a:prstGeom>
                          <a:noFill/>
                          <a:ln>
                            <a:noFill/>
                          </a:ln>
                        </pic:spPr>
                      </pic:pic>
                    </a:graphicData>
                  </a:graphic>
                </wp:inline>
              </w:drawing>
            </w:r>
            <w:r w:rsidRPr="002632AC">
              <w:rPr>
                <w:rFonts w:ascii="Calibri" w:eastAsia="Calibri" w:hAnsi="Calibri"/>
                <w:sz w:val="22"/>
                <w:szCs w:val="22"/>
                <w:lang w:eastAsia="en-US"/>
              </w:rPr>
              <w:fldChar w:fldCharType="end"/>
            </w:r>
          </w:p>
        </w:tc>
      </w:tr>
      <w:tr w:rsidR="002632AC" w:rsidRPr="002632AC" w14:paraId="0FCB6FA2" w14:textId="77777777" w:rsidTr="007B7E95">
        <w:tc>
          <w:tcPr>
            <w:tcW w:w="8828" w:type="dxa"/>
          </w:tcPr>
          <w:p w14:paraId="4E32D969" w14:textId="318FC46F" w:rsidR="002632AC" w:rsidRPr="002632AC" w:rsidRDefault="002632AC" w:rsidP="002632AC">
            <w:pPr>
              <w:jc w:val="center"/>
              <w:rPr>
                <w:rFonts w:ascii="Calibri" w:eastAsia="Calibri" w:hAnsi="Calibri"/>
                <w:sz w:val="22"/>
                <w:szCs w:val="22"/>
                <w:lang w:eastAsia="en-US"/>
              </w:rPr>
            </w:pPr>
            <w:r w:rsidRPr="002632AC">
              <w:rPr>
                <w:rFonts w:ascii="Calibri" w:eastAsia="Calibri" w:hAnsi="Calibri"/>
                <w:sz w:val="22"/>
                <w:szCs w:val="22"/>
                <w:lang w:eastAsia="en-US"/>
              </w:rPr>
              <w:fldChar w:fldCharType="begin"/>
            </w:r>
            <w:r w:rsidRPr="002632AC">
              <w:rPr>
                <w:rFonts w:ascii="Calibri" w:eastAsia="Calibri" w:hAnsi="Calibri"/>
                <w:sz w:val="22"/>
                <w:szCs w:val="22"/>
                <w:lang w:eastAsia="en-US"/>
              </w:rPr>
              <w:instrText xml:space="preserve"> LINK PowerPoint.Slide.8 "D:\\2015\\MARZO 2014\\GRÁFICAS EN POWER POINT\\18.- GRÁFICAS DE EXPECTATIVAS EMPRESARIALES.pptx!269" "" \a \p </w:instrText>
            </w:r>
            <w:r w:rsidRPr="002632AC">
              <w:rPr>
                <w:rFonts w:ascii="Calibri" w:eastAsia="Calibri" w:hAnsi="Calibri"/>
                <w:sz w:val="22"/>
                <w:szCs w:val="22"/>
                <w:lang w:eastAsia="en-US"/>
              </w:rPr>
              <w:fldChar w:fldCharType="separate"/>
            </w:r>
            <w:r w:rsidRPr="002632AC">
              <w:rPr>
                <w:rFonts w:ascii="Calibri" w:eastAsia="Calibri" w:hAnsi="Calibri"/>
                <w:noProof/>
                <w:sz w:val="22"/>
                <w:szCs w:val="22"/>
                <w:lang w:eastAsia="es-MX"/>
              </w:rPr>
              <w:drawing>
                <wp:inline distT="0" distB="0" distL="0" distR="0" wp14:anchorId="557D00F9" wp14:editId="1B4B4481">
                  <wp:extent cx="5109210" cy="1656080"/>
                  <wp:effectExtent l="0" t="0" r="0" b="127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ChangeAspect="1" noChangeArrowheads="1"/>
                          </pic:cNvPicPr>
                        </pic:nvPicPr>
                        <pic:blipFill>
                          <a:blip r:embed="rId157" cstate="print">
                            <a:extLst>
                              <a:ext uri="{28A0092B-C50C-407E-A947-70E740481C1C}">
                                <a14:useLocalDpi xmlns:a14="http://schemas.microsoft.com/office/drawing/2010/main" val="0"/>
                              </a:ext>
                            </a:extLst>
                          </a:blip>
                          <a:srcRect l="5388" t="20392" r="7800" b="29483"/>
                          <a:stretch>
                            <a:fillRect/>
                          </a:stretch>
                        </pic:blipFill>
                        <pic:spPr bwMode="auto">
                          <a:xfrm>
                            <a:off x="0" y="0"/>
                            <a:ext cx="5109210" cy="1656080"/>
                          </a:xfrm>
                          <a:prstGeom prst="rect">
                            <a:avLst/>
                          </a:prstGeom>
                          <a:noFill/>
                          <a:ln>
                            <a:noFill/>
                          </a:ln>
                        </pic:spPr>
                      </pic:pic>
                    </a:graphicData>
                  </a:graphic>
                </wp:inline>
              </w:drawing>
            </w:r>
            <w:r w:rsidRPr="002632AC">
              <w:rPr>
                <w:rFonts w:ascii="Calibri" w:eastAsia="Calibri" w:hAnsi="Calibri"/>
                <w:sz w:val="22"/>
                <w:szCs w:val="22"/>
                <w:lang w:eastAsia="en-US"/>
              </w:rPr>
              <w:fldChar w:fldCharType="end"/>
            </w:r>
          </w:p>
        </w:tc>
      </w:tr>
    </w:tbl>
    <w:p w14:paraId="73085DAD" w14:textId="77777777" w:rsidR="002F48E0" w:rsidRDefault="002F48E0" w:rsidP="0038142F">
      <w:pPr>
        <w:spacing w:after="360" w:line="360" w:lineRule="auto"/>
        <w:ind w:right="-159"/>
        <w:jc w:val="both"/>
        <w:rPr>
          <w:rFonts w:eastAsia="Times New Roman"/>
          <w:sz w:val="26"/>
          <w:szCs w:val="26"/>
        </w:rPr>
      </w:pPr>
    </w:p>
    <w:p w14:paraId="1B37D0B3" w14:textId="77777777" w:rsidR="0038142F" w:rsidRDefault="0038142F" w:rsidP="0038142F">
      <w:pPr>
        <w:spacing w:after="360" w:line="360" w:lineRule="auto"/>
        <w:ind w:right="-159"/>
        <w:jc w:val="both"/>
        <w:rPr>
          <w:rFonts w:eastAsia="Times New Roman"/>
          <w:sz w:val="26"/>
          <w:szCs w:val="26"/>
        </w:rPr>
      </w:pPr>
      <w:r w:rsidRPr="0038142F">
        <w:rPr>
          <w:rFonts w:eastAsia="Times New Roman"/>
          <w:sz w:val="26"/>
          <w:szCs w:val="26"/>
        </w:rPr>
        <w:t>El comparativo anual de las expectativas empresariales sobre variables relevantes de los tres sectores se presenta en el cuadro siguiente:</w:t>
      </w:r>
    </w:p>
    <w:p w14:paraId="606324E4" w14:textId="77777777" w:rsidR="002E427B" w:rsidRDefault="002E427B" w:rsidP="0038142F">
      <w:pPr>
        <w:spacing w:after="360" w:line="360" w:lineRule="auto"/>
        <w:ind w:right="-159"/>
        <w:jc w:val="both"/>
        <w:rPr>
          <w:rFonts w:eastAsia="Times New Roman"/>
          <w:sz w:val="26"/>
          <w:szCs w:val="26"/>
        </w:rPr>
      </w:pPr>
    </w:p>
    <w:p w14:paraId="568B2C26" w14:textId="77777777" w:rsidR="002E427B" w:rsidRDefault="002E427B" w:rsidP="0038142F">
      <w:pPr>
        <w:spacing w:after="360" w:line="360" w:lineRule="auto"/>
        <w:ind w:right="-159"/>
        <w:jc w:val="both"/>
        <w:rPr>
          <w:rFonts w:eastAsia="Times New Roman"/>
          <w:sz w:val="26"/>
          <w:szCs w:val="26"/>
        </w:rPr>
      </w:pPr>
    </w:p>
    <w:p w14:paraId="3429882B" w14:textId="77777777" w:rsidR="002E427B" w:rsidRDefault="002E427B" w:rsidP="0038142F">
      <w:pPr>
        <w:spacing w:after="360" w:line="360" w:lineRule="auto"/>
        <w:ind w:right="-159"/>
        <w:jc w:val="both"/>
        <w:rPr>
          <w:rFonts w:eastAsia="Times New Roman"/>
          <w:sz w:val="26"/>
          <w:szCs w:val="26"/>
        </w:rPr>
      </w:pPr>
    </w:p>
    <w:p w14:paraId="3859B5B5" w14:textId="77777777" w:rsidR="002E427B" w:rsidRDefault="002E427B" w:rsidP="0038142F">
      <w:pPr>
        <w:spacing w:after="360" w:line="360" w:lineRule="auto"/>
        <w:ind w:right="-159"/>
        <w:jc w:val="both"/>
        <w:rPr>
          <w:rFonts w:eastAsia="Times New Roman"/>
          <w:sz w:val="26"/>
          <w:szCs w:val="26"/>
        </w:rPr>
      </w:pPr>
    </w:p>
    <w:p w14:paraId="649CC3A8" w14:textId="77777777" w:rsidR="002E427B" w:rsidRDefault="002E427B" w:rsidP="0038142F">
      <w:pPr>
        <w:spacing w:after="360" w:line="360" w:lineRule="auto"/>
        <w:ind w:right="-159"/>
        <w:jc w:val="both"/>
        <w:rPr>
          <w:rFonts w:eastAsia="Times New Roman"/>
          <w:sz w:val="26"/>
          <w:szCs w:val="26"/>
        </w:rPr>
      </w:pPr>
    </w:p>
    <w:p w14:paraId="6D0AFB3D" w14:textId="77777777" w:rsidR="002E427B" w:rsidRPr="0038142F" w:rsidRDefault="002E427B" w:rsidP="0038142F">
      <w:pPr>
        <w:spacing w:after="360" w:line="360" w:lineRule="auto"/>
        <w:ind w:right="-159"/>
        <w:jc w:val="both"/>
        <w:rPr>
          <w:rFonts w:eastAsia="Times New Roman"/>
          <w:sz w:val="26"/>
          <w:szCs w:val="2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87"/>
        <w:gridCol w:w="850"/>
        <w:gridCol w:w="725"/>
        <w:gridCol w:w="1105"/>
      </w:tblGrid>
      <w:tr w:rsidR="0038142F" w:rsidRPr="0038142F" w14:paraId="050701F6" w14:textId="77777777" w:rsidTr="0024224F">
        <w:trPr>
          <w:jc w:val="center"/>
        </w:trPr>
        <w:tc>
          <w:tcPr>
            <w:tcW w:w="7567" w:type="dxa"/>
            <w:gridSpan w:val="4"/>
            <w:tcBorders>
              <w:top w:val="nil"/>
              <w:left w:val="nil"/>
              <w:right w:val="nil"/>
            </w:tcBorders>
          </w:tcPr>
          <w:p w14:paraId="474E1754" w14:textId="77777777" w:rsidR="0038142F" w:rsidRPr="0038142F" w:rsidRDefault="0038142F" w:rsidP="0038142F">
            <w:pPr>
              <w:jc w:val="center"/>
              <w:rPr>
                <w:rFonts w:eastAsia="Times New Roman"/>
                <w:b/>
                <w:sz w:val="22"/>
                <w:szCs w:val="22"/>
              </w:rPr>
            </w:pPr>
            <w:r w:rsidRPr="0038142F">
              <w:rPr>
                <w:rFonts w:eastAsia="Times New Roman"/>
                <w:b/>
                <w:sz w:val="22"/>
                <w:szCs w:val="22"/>
              </w:rPr>
              <w:t>EXPECTATIVAS EMPRESARIALES A NIVEL DE SECTOR</w:t>
            </w:r>
          </w:p>
          <w:p w14:paraId="19E1C31D" w14:textId="77777777" w:rsidR="0038142F" w:rsidRPr="0038142F" w:rsidRDefault="0038142F" w:rsidP="0038142F">
            <w:pPr>
              <w:jc w:val="center"/>
              <w:rPr>
                <w:rFonts w:eastAsia="Times New Roman"/>
                <w:b/>
                <w:sz w:val="22"/>
                <w:szCs w:val="22"/>
              </w:rPr>
            </w:pPr>
            <w:r w:rsidRPr="0038142F">
              <w:rPr>
                <w:rFonts w:eastAsia="Times New Roman"/>
                <w:b/>
                <w:sz w:val="22"/>
                <w:szCs w:val="22"/>
              </w:rPr>
              <w:t>CIFRAS ORIGINALES</w:t>
            </w:r>
          </w:p>
        </w:tc>
      </w:tr>
      <w:tr w:rsidR="0038142F" w:rsidRPr="0038142F" w14:paraId="5BAB0C48" w14:textId="77777777" w:rsidTr="0024224F">
        <w:trPr>
          <w:jc w:val="center"/>
        </w:trPr>
        <w:tc>
          <w:tcPr>
            <w:tcW w:w="4887" w:type="dxa"/>
            <w:vMerge w:val="restart"/>
            <w:vAlign w:val="center"/>
          </w:tcPr>
          <w:p w14:paraId="78E2E659" w14:textId="77777777" w:rsidR="0038142F" w:rsidRPr="0038142F" w:rsidRDefault="0038142F" w:rsidP="0038142F">
            <w:pPr>
              <w:jc w:val="center"/>
              <w:rPr>
                <w:rFonts w:eastAsia="Times New Roman"/>
                <w:b/>
                <w:sz w:val="20"/>
                <w:szCs w:val="20"/>
              </w:rPr>
            </w:pPr>
            <w:r w:rsidRPr="0038142F">
              <w:rPr>
                <w:rFonts w:eastAsia="Times New Roman"/>
                <w:b/>
                <w:sz w:val="20"/>
                <w:szCs w:val="20"/>
              </w:rPr>
              <w:t>Indicadores</w:t>
            </w:r>
          </w:p>
        </w:tc>
        <w:tc>
          <w:tcPr>
            <w:tcW w:w="1575" w:type="dxa"/>
            <w:gridSpan w:val="2"/>
          </w:tcPr>
          <w:p w14:paraId="33ABD613" w14:textId="77777777" w:rsidR="0038142F" w:rsidRPr="0038142F" w:rsidRDefault="0038142F" w:rsidP="0038142F">
            <w:pPr>
              <w:jc w:val="center"/>
              <w:rPr>
                <w:rFonts w:eastAsia="Times New Roman"/>
                <w:b/>
                <w:sz w:val="20"/>
                <w:szCs w:val="20"/>
              </w:rPr>
            </w:pPr>
            <w:r w:rsidRPr="0038142F">
              <w:rPr>
                <w:rFonts w:eastAsia="Times New Roman"/>
                <w:b/>
                <w:sz w:val="20"/>
                <w:szCs w:val="20"/>
              </w:rPr>
              <w:t>Febrero</w:t>
            </w:r>
          </w:p>
        </w:tc>
        <w:tc>
          <w:tcPr>
            <w:tcW w:w="1105" w:type="dxa"/>
            <w:vMerge w:val="restart"/>
          </w:tcPr>
          <w:p w14:paraId="6240668D" w14:textId="77777777" w:rsidR="0038142F" w:rsidRPr="0038142F" w:rsidRDefault="0038142F" w:rsidP="0038142F">
            <w:pPr>
              <w:jc w:val="center"/>
              <w:rPr>
                <w:rFonts w:eastAsia="Times New Roman"/>
                <w:b/>
                <w:sz w:val="20"/>
                <w:szCs w:val="20"/>
              </w:rPr>
            </w:pPr>
            <w:r w:rsidRPr="0038142F">
              <w:rPr>
                <w:rFonts w:eastAsia="Times New Roman"/>
                <w:b/>
                <w:sz w:val="20"/>
                <w:szCs w:val="20"/>
              </w:rPr>
              <w:t>Diferencia en puntos</w:t>
            </w:r>
            <w:r w:rsidRPr="0038142F">
              <w:rPr>
                <w:rFonts w:eastAsia="Times New Roman"/>
                <w:b/>
                <w:sz w:val="20"/>
                <w:szCs w:val="20"/>
                <w:u w:val="single"/>
                <w:vertAlign w:val="superscript"/>
              </w:rPr>
              <w:t>1</w:t>
            </w:r>
            <w:r w:rsidRPr="0038142F">
              <w:rPr>
                <w:rFonts w:eastAsia="Times New Roman"/>
                <w:b/>
                <w:sz w:val="20"/>
                <w:szCs w:val="20"/>
                <w:vertAlign w:val="superscript"/>
              </w:rPr>
              <w:t>/</w:t>
            </w:r>
          </w:p>
        </w:tc>
      </w:tr>
      <w:tr w:rsidR="0038142F" w:rsidRPr="0038142F" w14:paraId="376855CC" w14:textId="77777777" w:rsidTr="0024224F">
        <w:trPr>
          <w:jc w:val="center"/>
        </w:trPr>
        <w:tc>
          <w:tcPr>
            <w:tcW w:w="4887" w:type="dxa"/>
            <w:vMerge/>
            <w:tcBorders>
              <w:bottom w:val="single" w:sz="4" w:space="0" w:color="auto"/>
            </w:tcBorders>
          </w:tcPr>
          <w:p w14:paraId="4C0316EC" w14:textId="77777777" w:rsidR="0038142F" w:rsidRPr="0038142F" w:rsidRDefault="0038142F" w:rsidP="0038142F">
            <w:pPr>
              <w:jc w:val="both"/>
              <w:rPr>
                <w:rFonts w:eastAsia="Times New Roman"/>
                <w:b/>
                <w:sz w:val="20"/>
                <w:szCs w:val="20"/>
              </w:rPr>
            </w:pPr>
          </w:p>
        </w:tc>
        <w:tc>
          <w:tcPr>
            <w:tcW w:w="850" w:type="dxa"/>
            <w:tcBorders>
              <w:bottom w:val="single" w:sz="4" w:space="0" w:color="auto"/>
            </w:tcBorders>
            <w:vAlign w:val="center"/>
          </w:tcPr>
          <w:p w14:paraId="2D9343BC" w14:textId="77777777" w:rsidR="0038142F" w:rsidRPr="0038142F" w:rsidRDefault="0038142F" w:rsidP="0038142F">
            <w:pPr>
              <w:jc w:val="center"/>
              <w:rPr>
                <w:rFonts w:eastAsia="Times New Roman"/>
                <w:b/>
                <w:sz w:val="20"/>
                <w:szCs w:val="20"/>
              </w:rPr>
            </w:pPr>
            <w:r w:rsidRPr="0038142F">
              <w:rPr>
                <w:rFonts w:eastAsia="Times New Roman"/>
                <w:b/>
                <w:sz w:val="20"/>
                <w:szCs w:val="20"/>
              </w:rPr>
              <w:t>2014</w:t>
            </w:r>
          </w:p>
        </w:tc>
        <w:tc>
          <w:tcPr>
            <w:tcW w:w="725" w:type="dxa"/>
            <w:tcBorders>
              <w:bottom w:val="single" w:sz="4" w:space="0" w:color="auto"/>
            </w:tcBorders>
            <w:vAlign w:val="center"/>
          </w:tcPr>
          <w:p w14:paraId="059A61A3" w14:textId="77777777" w:rsidR="0038142F" w:rsidRPr="0038142F" w:rsidRDefault="0038142F" w:rsidP="0038142F">
            <w:pPr>
              <w:jc w:val="center"/>
              <w:rPr>
                <w:rFonts w:eastAsia="Times New Roman"/>
                <w:b/>
                <w:sz w:val="20"/>
                <w:szCs w:val="20"/>
              </w:rPr>
            </w:pPr>
            <w:r w:rsidRPr="0038142F">
              <w:rPr>
                <w:rFonts w:eastAsia="Times New Roman"/>
                <w:b/>
                <w:sz w:val="20"/>
                <w:szCs w:val="20"/>
              </w:rPr>
              <w:t>2015</w:t>
            </w:r>
            <w:r w:rsidRPr="0038142F">
              <w:rPr>
                <w:rFonts w:eastAsia="Times New Roman"/>
                <w:b/>
                <w:sz w:val="20"/>
                <w:szCs w:val="20"/>
                <w:u w:val="single"/>
                <w:vertAlign w:val="superscript"/>
              </w:rPr>
              <w:t>p</w:t>
            </w:r>
            <w:r w:rsidRPr="0038142F">
              <w:rPr>
                <w:rFonts w:eastAsia="Times New Roman"/>
                <w:b/>
                <w:sz w:val="20"/>
                <w:szCs w:val="20"/>
                <w:vertAlign w:val="superscript"/>
              </w:rPr>
              <w:t>/</w:t>
            </w:r>
          </w:p>
        </w:tc>
        <w:tc>
          <w:tcPr>
            <w:tcW w:w="1105" w:type="dxa"/>
            <w:vMerge/>
            <w:tcBorders>
              <w:bottom w:val="single" w:sz="4" w:space="0" w:color="auto"/>
            </w:tcBorders>
          </w:tcPr>
          <w:p w14:paraId="0EA051A1" w14:textId="77777777" w:rsidR="0038142F" w:rsidRPr="0038142F" w:rsidRDefault="0038142F" w:rsidP="0038142F">
            <w:pPr>
              <w:jc w:val="center"/>
              <w:rPr>
                <w:rFonts w:eastAsia="Times New Roman"/>
                <w:b/>
                <w:sz w:val="20"/>
                <w:szCs w:val="20"/>
              </w:rPr>
            </w:pPr>
          </w:p>
        </w:tc>
      </w:tr>
      <w:tr w:rsidR="0038142F" w:rsidRPr="0038142F" w14:paraId="368425AA" w14:textId="77777777" w:rsidTr="0024224F">
        <w:trPr>
          <w:jc w:val="center"/>
        </w:trPr>
        <w:tc>
          <w:tcPr>
            <w:tcW w:w="4887" w:type="dxa"/>
            <w:tcBorders>
              <w:bottom w:val="nil"/>
            </w:tcBorders>
          </w:tcPr>
          <w:p w14:paraId="38B03173" w14:textId="77777777" w:rsidR="0038142F" w:rsidRPr="0038142F" w:rsidRDefault="0038142F" w:rsidP="0038142F">
            <w:pPr>
              <w:rPr>
                <w:rFonts w:eastAsia="Times New Roman"/>
                <w:b/>
                <w:sz w:val="20"/>
                <w:szCs w:val="20"/>
              </w:rPr>
            </w:pPr>
            <w:r w:rsidRPr="0038142F">
              <w:rPr>
                <w:rFonts w:eastAsia="Times New Roman"/>
                <w:b/>
                <w:sz w:val="20"/>
                <w:szCs w:val="20"/>
              </w:rPr>
              <w:t>Expectativas Empresariales del Sector Manufacturero</w:t>
            </w:r>
          </w:p>
        </w:tc>
        <w:tc>
          <w:tcPr>
            <w:tcW w:w="850" w:type="dxa"/>
            <w:tcBorders>
              <w:bottom w:val="nil"/>
            </w:tcBorders>
          </w:tcPr>
          <w:p w14:paraId="5A65E769" w14:textId="77777777" w:rsidR="0038142F" w:rsidRPr="0038142F" w:rsidRDefault="0038142F" w:rsidP="0038142F">
            <w:pPr>
              <w:jc w:val="center"/>
              <w:rPr>
                <w:rFonts w:eastAsia="Times New Roman"/>
                <w:sz w:val="20"/>
                <w:szCs w:val="20"/>
              </w:rPr>
            </w:pPr>
          </w:p>
        </w:tc>
        <w:tc>
          <w:tcPr>
            <w:tcW w:w="725" w:type="dxa"/>
            <w:tcBorders>
              <w:bottom w:val="nil"/>
            </w:tcBorders>
          </w:tcPr>
          <w:p w14:paraId="126B90CC" w14:textId="77777777" w:rsidR="0038142F" w:rsidRPr="0038142F" w:rsidRDefault="0038142F" w:rsidP="0038142F">
            <w:pPr>
              <w:jc w:val="center"/>
              <w:rPr>
                <w:rFonts w:eastAsia="Times New Roman"/>
                <w:sz w:val="20"/>
                <w:szCs w:val="20"/>
              </w:rPr>
            </w:pPr>
          </w:p>
        </w:tc>
        <w:tc>
          <w:tcPr>
            <w:tcW w:w="1105" w:type="dxa"/>
            <w:tcBorders>
              <w:bottom w:val="nil"/>
            </w:tcBorders>
          </w:tcPr>
          <w:p w14:paraId="439E99EE" w14:textId="77777777" w:rsidR="0038142F" w:rsidRPr="0038142F" w:rsidRDefault="0038142F" w:rsidP="0038142F">
            <w:pPr>
              <w:ind w:right="284"/>
              <w:jc w:val="right"/>
              <w:rPr>
                <w:rFonts w:eastAsia="Times New Roman"/>
                <w:sz w:val="20"/>
                <w:szCs w:val="20"/>
              </w:rPr>
            </w:pPr>
          </w:p>
        </w:tc>
      </w:tr>
      <w:tr w:rsidR="0038142F" w:rsidRPr="0038142F" w14:paraId="417B0CDA" w14:textId="77777777" w:rsidTr="0024224F">
        <w:trPr>
          <w:jc w:val="center"/>
        </w:trPr>
        <w:tc>
          <w:tcPr>
            <w:tcW w:w="4887" w:type="dxa"/>
            <w:tcBorders>
              <w:top w:val="nil"/>
              <w:bottom w:val="nil"/>
            </w:tcBorders>
          </w:tcPr>
          <w:p w14:paraId="06A5BB4F" w14:textId="77777777" w:rsidR="0038142F" w:rsidRPr="0038142F" w:rsidRDefault="0038142F" w:rsidP="00276F3E">
            <w:pPr>
              <w:numPr>
                <w:ilvl w:val="0"/>
                <w:numId w:val="60"/>
              </w:numPr>
              <w:ind w:left="470" w:hanging="357"/>
              <w:rPr>
                <w:rFonts w:eastAsia="Times New Roman"/>
                <w:sz w:val="20"/>
                <w:szCs w:val="20"/>
              </w:rPr>
            </w:pPr>
            <w:r w:rsidRPr="0038142F">
              <w:rPr>
                <w:rFonts w:eastAsia="Times New Roman"/>
                <w:sz w:val="20"/>
                <w:szCs w:val="20"/>
              </w:rPr>
              <w:t>Producción</w:t>
            </w:r>
          </w:p>
        </w:tc>
        <w:tc>
          <w:tcPr>
            <w:tcW w:w="850" w:type="dxa"/>
            <w:tcBorders>
              <w:top w:val="nil"/>
              <w:bottom w:val="nil"/>
            </w:tcBorders>
          </w:tcPr>
          <w:p w14:paraId="1F0F834B" w14:textId="77777777" w:rsidR="0038142F" w:rsidRPr="0038142F" w:rsidRDefault="0038142F" w:rsidP="0038142F">
            <w:pPr>
              <w:jc w:val="center"/>
              <w:rPr>
                <w:rFonts w:eastAsia="Times New Roman"/>
                <w:sz w:val="20"/>
                <w:szCs w:val="20"/>
              </w:rPr>
            </w:pPr>
            <w:r w:rsidRPr="0038142F">
              <w:rPr>
                <w:rFonts w:eastAsia="Times New Roman"/>
                <w:sz w:val="20"/>
                <w:szCs w:val="20"/>
              </w:rPr>
              <w:t>52.1</w:t>
            </w:r>
          </w:p>
        </w:tc>
        <w:tc>
          <w:tcPr>
            <w:tcW w:w="725" w:type="dxa"/>
            <w:tcBorders>
              <w:top w:val="nil"/>
              <w:bottom w:val="nil"/>
            </w:tcBorders>
          </w:tcPr>
          <w:p w14:paraId="312C9390" w14:textId="77777777" w:rsidR="0038142F" w:rsidRPr="0038142F" w:rsidRDefault="0038142F" w:rsidP="0038142F">
            <w:pPr>
              <w:jc w:val="center"/>
              <w:rPr>
                <w:rFonts w:eastAsia="Times New Roman"/>
                <w:sz w:val="20"/>
                <w:szCs w:val="20"/>
              </w:rPr>
            </w:pPr>
            <w:r w:rsidRPr="0038142F">
              <w:rPr>
                <w:rFonts w:eastAsia="Times New Roman"/>
                <w:sz w:val="20"/>
                <w:szCs w:val="20"/>
              </w:rPr>
              <w:t>53.6</w:t>
            </w:r>
          </w:p>
        </w:tc>
        <w:tc>
          <w:tcPr>
            <w:tcW w:w="1105" w:type="dxa"/>
            <w:tcBorders>
              <w:top w:val="nil"/>
              <w:bottom w:val="nil"/>
            </w:tcBorders>
          </w:tcPr>
          <w:p w14:paraId="1625C173" w14:textId="77777777" w:rsidR="0038142F" w:rsidRPr="0038142F" w:rsidRDefault="0038142F" w:rsidP="0038142F">
            <w:pPr>
              <w:ind w:right="284"/>
              <w:jc w:val="right"/>
              <w:rPr>
                <w:rFonts w:eastAsia="Times New Roman"/>
                <w:sz w:val="20"/>
                <w:szCs w:val="20"/>
              </w:rPr>
            </w:pPr>
            <w:r w:rsidRPr="0038142F">
              <w:rPr>
                <w:rFonts w:eastAsia="Times New Roman"/>
                <w:sz w:val="20"/>
                <w:szCs w:val="20"/>
              </w:rPr>
              <w:t>1.5</w:t>
            </w:r>
          </w:p>
        </w:tc>
      </w:tr>
      <w:tr w:rsidR="0038142F" w:rsidRPr="0038142F" w14:paraId="71A62081" w14:textId="77777777" w:rsidTr="0024224F">
        <w:trPr>
          <w:jc w:val="center"/>
        </w:trPr>
        <w:tc>
          <w:tcPr>
            <w:tcW w:w="4887" w:type="dxa"/>
            <w:tcBorders>
              <w:top w:val="nil"/>
              <w:bottom w:val="nil"/>
            </w:tcBorders>
          </w:tcPr>
          <w:p w14:paraId="28A8EA41" w14:textId="77777777" w:rsidR="0038142F" w:rsidRPr="0038142F" w:rsidRDefault="0038142F" w:rsidP="00276F3E">
            <w:pPr>
              <w:numPr>
                <w:ilvl w:val="0"/>
                <w:numId w:val="60"/>
              </w:numPr>
              <w:ind w:left="470" w:hanging="357"/>
              <w:rPr>
                <w:rFonts w:eastAsia="Times New Roman"/>
                <w:sz w:val="20"/>
                <w:szCs w:val="20"/>
              </w:rPr>
            </w:pPr>
            <w:r w:rsidRPr="0038142F">
              <w:rPr>
                <w:rFonts w:eastAsia="Times New Roman"/>
                <w:sz w:val="20"/>
                <w:szCs w:val="20"/>
              </w:rPr>
              <w:t>Utilización de planta y equipo</w:t>
            </w:r>
          </w:p>
        </w:tc>
        <w:tc>
          <w:tcPr>
            <w:tcW w:w="850" w:type="dxa"/>
            <w:tcBorders>
              <w:top w:val="nil"/>
              <w:bottom w:val="nil"/>
            </w:tcBorders>
          </w:tcPr>
          <w:p w14:paraId="732F7808" w14:textId="77777777" w:rsidR="0038142F" w:rsidRPr="0038142F" w:rsidRDefault="0038142F" w:rsidP="0038142F">
            <w:pPr>
              <w:jc w:val="center"/>
              <w:rPr>
                <w:rFonts w:eastAsia="Times New Roman"/>
                <w:sz w:val="20"/>
                <w:szCs w:val="20"/>
              </w:rPr>
            </w:pPr>
            <w:r w:rsidRPr="0038142F">
              <w:rPr>
                <w:rFonts w:eastAsia="Times New Roman"/>
                <w:sz w:val="20"/>
                <w:szCs w:val="20"/>
              </w:rPr>
              <w:t>51.7</w:t>
            </w:r>
          </w:p>
        </w:tc>
        <w:tc>
          <w:tcPr>
            <w:tcW w:w="725" w:type="dxa"/>
            <w:tcBorders>
              <w:top w:val="nil"/>
              <w:bottom w:val="nil"/>
            </w:tcBorders>
          </w:tcPr>
          <w:p w14:paraId="7F1CC27D" w14:textId="77777777" w:rsidR="0038142F" w:rsidRPr="0038142F" w:rsidRDefault="0038142F" w:rsidP="0038142F">
            <w:pPr>
              <w:jc w:val="center"/>
              <w:rPr>
                <w:rFonts w:eastAsia="Times New Roman"/>
                <w:sz w:val="20"/>
                <w:szCs w:val="20"/>
              </w:rPr>
            </w:pPr>
            <w:r w:rsidRPr="0038142F">
              <w:rPr>
                <w:rFonts w:eastAsia="Times New Roman"/>
                <w:sz w:val="20"/>
                <w:szCs w:val="20"/>
              </w:rPr>
              <w:t>53.5</w:t>
            </w:r>
          </w:p>
        </w:tc>
        <w:tc>
          <w:tcPr>
            <w:tcW w:w="1105" w:type="dxa"/>
            <w:tcBorders>
              <w:top w:val="nil"/>
              <w:bottom w:val="nil"/>
            </w:tcBorders>
          </w:tcPr>
          <w:p w14:paraId="0D5E31B8" w14:textId="77777777" w:rsidR="0038142F" w:rsidRPr="0038142F" w:rsidRDefault="0038142F" w:rsidP="0038142F">
            <w:pPr>
              <w:ind w:right="284"/>
              <w:jc w:val="right"/>
              <w:rPr>
                <w:rFonts w:eastAsia="Times New Roman"/>
                <w:sz w:val="20"/>
                <w:szCs w:val="20"/>
              </w:rPr>
            </w:pPr>
            <w:r w:rsidRPr="0038142F">
              <w:rPr>
                <w:rFonts w:eastAsia="Times New Roman"/>
                <w:sz w:val="20"/>
                <w:szCs w:val="20"/>
              </w:rPr>
              <w:t>1.8</w:t>
            </w:r>
          </w:p>
        </w:tc>
      </w:tr>
      <w:tr w:rsidR="0038142F" w:rsidRPr="0038142F" w14:paraId="4AEEC6DC" w14:textId="77777777" w:rsidTr="0024224F">
        <w:trPr>
          <w:jc w:val="center"/>
        </w:trPr>
        <w:tc>
          <w:tcPr>
            <w:tcW w:w="4887" w:type="dxa"/>
            <w:tcBorders>
              <w:top w:val="nil"/>
              <w:bottom w:val="nil"/>
            </w:tcBorders>
          </w:tcPr>
          <w:p w14:paraId="0D39EBB4" w14:textId="77777777" w:rsidR="0038142F" w:rsidRPr="0038142F" w:rsidRDefault="0038142F" w:rsidP="00276F3E">
            <w:pPr>
              <w:numPr>
                <w:ilvl w:val="0"/>
                <w:numId w:val="60"/>
              </w:numPr>
              <w:ind w:left="470" w:hanging="357"/>
              <w:rPr>
                <w:rFonts w:eastAsia="Times New Roman"/>
                <w:sz w:val="20"/>
                <w:szCs w:val="20"/>
              </w:rPr>
            </w:pPr>
            <w:r w:rsidRPr="0038142F">
              <w:rPr>
                <w:rFonts w:eastAsia="Times New Roman"/>
                <w:sz w:val="20"/>
                <w:szCs w:val="20"/>
              </w:rPr>
              <w:t>Demanda nacional de sus productos</w:t>
            </w:r>
          </w:p>
        </w:tc>
        <w:tc>
          <w:tcPr>
            <w:tcW w:w="850" w:type="dxa"/>
            <w:tcBorders>
              <w:top w:val="nil"/>
              <w:bottom w:val="nil"/>
            </w:tcBorders>
          </w:tcPr>
          <w:p w14:paraId="02140F2B" w14:textId="77777777" w:rsidR="0038142F" w:rsidRPr="0038142F" w:rsidRDefault="0038142F" w:rsidP="0038142F">
            <w:pPr>
              <w:jc w:val="center"/>
              <w:rPr>
                <w:rFonts w:eastAsia="Times New Roman"/>
                <w:sz w:val="20"/>
                <w:szCs w:val="20"/>
              </w:rPr>
            </w:pPr>
            <w:r w:rsidRPr="0038142F">
              <w:rPr>
                <w:rFonts w:eastAsia="Times New Roman"/>
                <w:sz w:val="20"/>
                <w:szCs w:val="20"/>
              </w:rPr>
              <w:t>51.7</w:t>
            </w:r>
          </w:p>
        </w:tc>
        <w:tc>
          <w:tcPr>
            <w:tcW w:w="725" w:type="dxa"/>
            <w:tcBorders>
              <w:top w:val="nil"/>
              <w:bottom w:val="nil"/>
            </w:tcBorders>
          </w:tcPr>
          <w:p w14:paraId="56968FA1" w14:textId="77777777" w:rsidR="0038142F" w:rsidRPr="0038142F" w:rsidRDefault="0038142F" w:rsidP="0038142F">
            <w:pPr>
              <w:jc w:val="center"/>
              <w:rPr>
                <w:rFonts w:eastAsia="Times New Roman"/>
                <w:sz w:val="20"/>
                <w:szCs w:val="20"/>
              </w:rPr>
            </w:pPr>
            <w:r w:rsidRPr="0038142F">
              <w:rPr>
                <w:rFonts w:eastAsia="Times New Roman"/>
                <w:sz w:val="20"/>
                <w:szCs w:val="20"/>
              </w:rPr>
              <w:t>53.4</w:t>
            </w:r>
          </w:p>
        </w:tc>
        <w:tc>
          <w:tcPr>
            <w:tcW w:w="1105" w:type="dxa"/>
            <w:tcBorders>
              <w:top w:val="nil"/>
              <w:bottom w:val="nil"/>
            </w:tcBorders>
          </w:tcPr>
          <w:p w14:paraId="6910F75E" w14:textId="77777777" w:rsidR="0038142F" w:rsidRPr="0038142F" w:rsidRDefault="0038142F" w:rsidP="0038142F">
            <w:pPr>
              <w:ind w:right="284"/>
              <w:jc w:val="right"/>
              <w:rPr>
                <w:rFonts w:eastAsia="Times New Roman"/>
                <w:sz w:val="20"/>
                <w:szCs w:val="20"/>
              </w:rPr>
            </w:pPr>
            <w:r w:rsidRPr="0038142F">
              <w:rPr>
                <w:rFonts w:eastAsia="Times New Roman"/>
                <w:sz w:val="20"/>
                <w:szCs w:val="20"/>
              </w:rPr>
              <w:t>1.7</w:t>
            </w:r>
          </w:p>
        </w:tc>
      </w:tr>
      <w:tr w:rsidR="0038142F" w:rsidRPr="0038142F" w14:paraId="2B71466D" w14:textId="77777777" w:rsidTr="0024224F">
        <w:trPr>
          <w:jc w:val="center"/>
        </w:trPr>
        <w:tc>
          <w:tcPr>
            <w:tcW w:w="4887" w:type="dxa"/>
            <w:tcBorders>
              <w:top w:val="nil"/>
              <w:bottom w:val="nil"/>
            </w:tcBorders>
          </w:tcPr>
          <w:p w14:paraId="454FCD79" w14:textId="77777777" w:rsidR="0038142F" w:rsidRPr="0038142F" w:rsidRDefault="0038142F" w:rsidP="00276F3E">
            <w:pPr>
              <w:numPr>
                <w:ilvl w:val="0"/>
                <w:numId w:val="60"/>
              </w:numPr>
              <w:ind w:left="470" w:hanging="357"/>
              <w:rPr>
                <w:rFonts w:eastAsia="Times New Roman"/>
                <w:sz w:val="20"/>
                <w:szCs w:val="20"/>
              </w:rPr>
            </w:pPr>
            <w:r w:rsidRPr="0038142F">
              <w:rPr>
                <w:rFonts w:eastAsia="Times New Roman"/>
                <w:sz w:val="20"/>
                <w:szCs w:val="20"/>
              </w:rPr>
              <w:t>Exportaciones</w:t>
            </w:r>
          </w:p>
        </w:tc>
        <w:tc>
          <w:tcPr>
            <w:tcW w:w="850" w:type="dxa"/>
            <w:tcBorders>
              <w:top w:val="nil"/>
              <w:bottom w:val="nil"/>
            </w:tcBorders>
          </w:tcPr>
          <w:p w14:paraId="218A75D9" w14:textId="77777777" w:rsidR="0038142F" w:rsidRPr="0038142F" w:rsidRDefault="0038142F" w:rsidP="0038142F">
            <w:pPr>
              <w:jc w:val="center"/>
              <w:rPr>
                <w:rFonts w:eastAsia="Times New Roman"/>
                <w:sz w:val="20"/>
                <w:szCs w:val="20"/>
              </w:rPr>
            </w:pPr>
            <w:r w:rsidRPr="0038142F">
              <w:rPr>
                <w:rFonts w:eastAsia="Times New Roman"/>
                <w:sz w:val="20"/>
                <w:szCs w:val="20"/>
              </w:rPr>
              <w:t>52.7</w:t>
            </w:r>
          </w:p>
        </w:tc>
        <w:tc>
          <w:tcPr>
            <w:tcW w:w="725" w:type="dxa"/>
            <w:tcBorders>
              <w:top w:val="nil"/>
              <w:bottom w:val="nil"/>
            </w:tcBorders>
          </w:tcPr>
          <w:p w14:paraId="57D7C5F8" w14:textId="77777777" w:rsidR="0038142F" w:rsidRPr="0038142F" w:rsidRDefault="0038142F" w:rsidP="0038142F">
            <w:pPr>
              <w:jc w:val="center"/>
              <w:rPr>
                <w:rFonts w:eastAsia="Times New Roman"/>
                <w:sz w:val="20"/>
                <w:szCs w:val="20"/>
              </w:rPr>
            </w:pPr>
            <w:r w:rsidRPr="0038142F">
              <w:rPr>
                <w:rFonts w:eastAsia="Times New Roman"/>
                <w:sz w:val="20"/>
                <w:szCs w:val="20"/>
              </w:rPr>
              <w:t>53.7</w:t>
            </w:r>
          </w:p>
        </w:tc>
        <w:tc>
          <w:tcPr>
            <w:tcW w:w="1105" w:type="dxa"/>
            <w:tcBorders>
              <w:top w:val="nil"/>
              <w:bottom w:val="nil"/>
            </w:tcBorders>
          </w:tcPr>
          <w:p w14:paraId="0BD2A785" w14:textId="77777777" w:rsidR="0038142F" w:rsidRPr="0038142F" w:rsidRDefault="0038142F" w:rsidP="0038142F">
            <w:pPr>
              <w:ind w:right="284"/>
              <w:jc w:val="right"/>
              <w:rPr>
                <w:rFonts w:eastAsia="Times New Roman"/>
                <w:sz w:val="20"/>
                <w:szCs w:val="20"/>
              </w:rPr>
            </w:pPr>
            <w:r w:rsidRPr="0038142F">
              <w:rPr>
                <w:rFonts w:eastAsia="Times New Roman"/>
                <w:sz w:val="20"/>
                <w:szCs w:val="20"/>
              </w:rPr>
              <w:t>1.0</w:t>
            </w:r>
          </w:p>
        </w:tc>
      </w:tr>
      <w:tr w:rsidR="0038142F" w:rsidRPr="0038142F" w14:paraId="7CAAE9E3" w14:textId="77777777" w:rsidTr="0024224F">
        <w:trPr>
          <w:jc w:val="center"/>
        </w:trPr>
        <w:tc>
          <w:tcPr>
            <w:tcW w:w="4887" w:type="dxa"/>
            <w:tcBorders>
              <w:top w:val="nil"/>
              <w:bottom w:val="nil"/>
            </w:tcBorders>
          </w:tcPr>
          <w:p w14:paraId="33A78469" w14:textId="77777777" w:rsidR="0038142F" w:rsidRPr="0038142F" w:rsidRDefault="0038142F" w:rsidP="00276F3E">
            <w:pPr>
              <w:numPr>
                <w:ilvl w:val="0"/>
                <w:numId w:val="60"/>
              </w:numPr>
              <w:ind w:left="470" w:hanging="357"/>
              <w:rPr>
                <w:rFonts w:eastAsia="Times New Roman"/>
                <w:sz w:val="20"/>
                <w:szCs w:val="20"/>
              </w:rPr>
            </w:pPr>
            <w:r w:rsidRPr="0038142F">
              <w:rPr>
                <w:rFonts w:eastAsia="Times New Roman"/>
                <w:sz w:val="20"/>
                <w:szCs w:val="20"/>
              </w:rPr>
              <w:t>Personal ocupado</w:t>
            </w:r>
          </w:p>
        </w:tc>
        <w:tc>
          <w:tcPr>
            <w:tcW w:w="850" w:type="dxa"/>
            <w:tcBorders>
              <w:top w:val="nil"/>
              <w:bottom w:val="nil"/>
            </w:tcBorders>
          </w:tcPr>
          <w:p w14:paraId="3C8F8E8E" w14:textId="77777777" w:rsidR="0038142F" w:rsidRPr="0038142F" w:rsidRDefault="0038142F" w:rsidP="0038142F">
            <w:pPr>
              <w:jc w:val="center"/>
              <w:rPr>
                <w:rFonts w:eastAsia="Times New Roman"/>
                <w:sz w:val="20"/>
                <w:szCs w:val="20"/>
              </w:rPr>
            </w:pPr>
            <w:r w:rsidRPr="0038142F">
              <w:rPr>
                <w:rFonts w:eastAsia="Times New Roman"/>
                <w:sz w:val="20"/>
                <w:szCs w:val="20"/>
              </w:rPr>
              <w:t>51.5</w:t>
            </w:r>
          </w:p>
        </w:tc>
        <w:tc>
          <w:tcPr>
            <w:tcW w:w="725" w:type="dxa"/>
            <w:tcBorders>
              <w:top w:val="nil"/>
              <w:bottom w:val="nil"/>
            </w:tcBorders>
          </w:tcPr>
          <w:p w14:paraId="6A5CB254" w14:textId="77777777" w:rsidR="0038142F" w:rsidRPr="0038142F" w:rsidRDefault="0038142F" w:rsidP="0038142F">
            <w:pPr>
              <w:jc w:val="center"/>
              <w:rPr>
                <w:rFonts w:eastAsia="Times New Roman"/>
                <w:sz w:val="20"/>
                <w:szCs w:val="20"/>
              </w:rPr>
            </w:pPr>
            <w:r w:rsidRPr="0038142F">
              <w:rPr>
                <w:rFonts w:eastAsia="Times New Roman"/>
                <w:sz w:val="20"/>
                <w:szCs w:val="20"/>
              </w:rPr>
              <w:t>51.9</w:t>
            </w:r>
          </w:p>
        </w:tc>
        <w:tc>
          <w:tcPr>
            <w:tcW w:w="1105" w:type="dxa"/>
            <w:tcBorders>
              <w:top w:val="nil"/>
              <w:bottom w:val="nil"/>
            </w:tcBorders>
          </w:tcPr>
          <w:p w14:paraId="01322B11" w14:textId="77777777" w:rsidR="0038142F" w:rsidRPr="0038142F" w:rsidRDefault="0038142F" w:rsidP="0038142F">
            <w:pPr>
              <w:ind w:right="284"/>
              <w:jc w:val="right"/>
              <w:rPr>
                <w:rFonts w:eastAsia="Times New Roman"/>
                <w:sz w:val="20"/>
                <w:szCs w:val="20"/>
              </w:rPr>
            </w:pPr>
            <w:r w:rsidRPr="0038142F">
              <w:rPr>
                <w:rFonts w:eastAsia="Times New Roman"/>
                <w:sz w:val="20"/>
                <w:szCs w:val="20"/>
              </w:rPr>
              <w:t>0.4</w:t>
            </w:r>
          </w:p>
        </w:tc>
      </w:tr>
      <w:tr w:rsidR="0038142F" w:rsidRPr="0038142F" w14:paraId="67642CCD" w14:textId="77777777" w:rsidTr="0024224F">
        <w:trPr>
          <w:jc w:val="center"/>
        </w:trPr>
        <w:tc>
          <w:tcPr>
            <w:tcW w:w="4887" w:type="dxa"/>
            <w:tcBorders>
              <w:top w:val="nil"/>
              <w:bottom w:val="nil"/>
            </w:tcBorders>
          </w:tcPr>
          <w:p w14:paraId="43DBAAF1" w14:textId="77777777" w:rsidR="0038142F" w:rsidRPr="0038142F" w:rsidRDefault="0038142F" w:rsidP="00276F3E">
            <w:pPr>
              <w:numPr>
                <w:ilvl w:val="0"/>
                <w:numId w:val="60"/>
              </w:numPr>
              <w:ind w:left="470" w:hanging="357"/>
              <w:rPr>
                <w:rFonts w:eastAsia="Times New Roman"/>
                <w:sz w:val="20"/>
                <w:szCs w:val="20"/>
              </w:rPr>
            </w:pPr>
            <w:r w:rsidRPr="0038142F">
              <w:rPr>
                <w:rFonts w:eastAsia="Times New Roman"/>
                <w:sz w:val="20"/>
                <w:szCs w:val="20"/>
              </w:rPr>
              <w:t>Inversión en planta y equipo</w:t>
            </w:r>
          </w:p>
        </w:tc>
        <w:tc>
          <w:tcPr>
            <w:tcW w:w="850" w:type="dxa"/>
            <w:tcBorders>
              <w:top w:val="nil"/>
              <w:bottom w:val="nil"/>
            </w:tcBorders>
          </w:tcPr>
          <w:p w14:paraId="5D39C022" w14:textId="77777777" w:rsidR="0038142F" w:rsidRPr="0038142F" w:rsidRDefault="0038142F" w:rsidP="0038142F">
            <w:pPr>
              <w:jc w:val="center"/>
              <w:rPr>
                <w:rFonts w:eastAsia="Times New Roman"/>
                <w:sz w:val="20"/>
                <w:szCs w:val="20"/>
              </w:rPr>
            </w:pPr>
            <w:r w:rsidRPr="0038142F">
              <w:rPr>
                <w:rFonts w:eastAsia="Times New Roman"/>
                <w:sz w:val="20"/>
                <w:szCs w:val="20"/>
              </w:rPr>
              <w:t>52.7</w:t>
            </w:r>
          </w:p>
        </w:tc>
        <w:tc>
          <w:tcPr>
            <w:tcW w:w="725" w:type="dxa"/>
            <w:tcBorders>
              <w:top w:val="nil"/>
              <w:bottom w:val="nil"/>
            </w:tcBorders>
          </w:tcPr>
          <w:p w14:paraId="0B8CB75D" w14:textId="77777777" w:rsidR="0038142F" w:rsidRPr="0038142F" w:rsidRDefault="0038142F" w:rsidP="0038142F">
            <w:pPr>
              <w:jc w:val="center"/>
              <w:rPr>
                <w:rFonts w:eastAsia="Times New Roman"/>
                <w:sz w:val="20"/>
                <w:szCs w:val="20"/>
              </w:rPr>
            </w:pPr>
            <w:r w:rsidRPr="0038142F">
              <w:rPr>
                <w:rFonts w:eastAsia="Times New Roman"/>
                <w:sz w:val="20"/>
                <w:szCs w:val="20"/>
              </w:rPr>
              <w:t>52.6</w:t>
            </w:r>
          </w:p>
        </w:tc>
        <w:tc>
          <w:tcPr>
            <w:tcW w:w="1105" w:type="dxa"/>
            <w:tcBorders>
              <w:top w:val="nil"/>
              <w:bottom w:val="nil"/>
            </w:tcBorders>
          </w:tcPr>
          <w:p w14:paraId="30632A8D" w14:textId="77777777" w:rsidR="0038142F" w:rsidRPr="0038142F" w:rsidRDefault="0038142F" w:rsidP="0038142F">
            <w:pPr>
              <w:ind w:right="284"/>
              <w:jc w:val="right"/>
              <w:rPr>
                <w:rFonts w:eastAsia="Times New Roman"/>
                <w:sz w:val="20"/>
                <w:szCs w:val="20"/>
              </w:rPr>
            </w:pPr>
            <w:r w:rsidRPr="0038142F">
              <w:rPr>
                <w:rFonts w:eastAsia="Times New Roman"/>
                <w:sz w:val="20"/>
                <w:szCs w:val="20"/>
              </w:rPr>
              <w:t>-0.1</w:t>
            </w:r>
          </w:p>
        </w:tc>
      </w:tr>
      <w:tr w:rsidR="0038142F" w:rsidRPr="0038142F" w14:paraId="64318644" w14:textId="77777777" w:rsidTr="0024224F">
        <w:trPr>
          <w:jc w:val="center"/>
        </w:trPr>
        <w:tc>
          <w:tcPr>
            <w:tcW w:w="4887" w:type="dxa"/>
            <w:tcBorders>
              <w:top w:val="nil"/>
              <w:bottom w:val="nil"/>
            </w:tcBorders>
          </w:tcPr>
          <w:p w14:paraId="09179C8D" w14:textId="77777777" w:rsidR="0038142F" w:rsidRPr="0038142F" w:rsidRDefault="0038142F" w:rsidP="00276F3E">
            <w:pPr>
              <w:numPr>
                <w:ilvl w:val="0"/>
                <w:numId w:val="60"/>
              </w:numPr>
              <w:ind w:left="470" w:hanging="357"/>
              <w:rPr>
                <w:rFonts w:eastAsia="Times New Roman"/>
                <w:sz w:val="20"/>
                <w:szCs w:val="20"/>
              </w:rPr>
            </w:pPr>
            <w:r w:rsidRPr="0038142F">
              <w:rPr>
                <w:rFonts w:eastAsia="Times New Roman"/>
                <w:sz w:val="20"/>
                <w:szCs w:val="20"/>
              </w:rPr>
              <w:t>Inventarios de productos terminados</w:t>
            </w:r>
          </w:p>
        </w:tc>
        <w:tc>
          <w:tcPr>
            <w:tcW w:w="850" w:type="dxa"/>
            <w:tcBorders>
              <w:top w:val="nil"/>
              <w:bottom w:val="nil"/>
            </w:tcBorders>
          </w:tcPr>
          <w:p w14:paraId="69DD8C29" w14:textId="77777777" w:rsidR="0038142F" w:rsidRPr="0038142F" w:rsidRDefault="0038142F" w:rsidP="0038142F">
            <w:pPr>
              <w:jc w:val="center"/>
              <w:rPr>
                <w:rFonts w:eastAsia="Times New Roman"/>
                <w:sz w:val="20"/>
                <w:szCs w:val="20"/>
              </w:rPr>
            </w:pPr>
            <w:r w:rsidRPr="0038142F">
              <w:rPr>
                <w:rFonts w:eastAsia="Times New Roman"/>
                <w:sz w:val="20"/>
                <w:szCs w:val="20"/>
              </w:rPr>
              <w:t>51.6</w:t>
            </w:r>
          </w:p>
        </w:tc>
        <w:tc>
          <w:tcPr>
            <w:tcW w:w="725" w:type="dxa"/>
            <w:tcBorders>
              <w:top w:val="nil"/>
              <w:bottom w:val="nil"/>
            </w:tcBorders>
          </w:tcPr>
          <w:p w14:paraId="7356F0E9" w14:textId="77777777" w:rsidR="0038142F" w:rsidRPr="0038142F" w:rsidRDefault="0038142F" w:rsidP="0038142F">
            <w:pPr>
              <w:jc w:val="center"/>
              <w:rPr>
                <w:rFonts w:eastAsia="Times New Roman"/>
                <w:sz w:val="20"/>
                <w:szCs w:val="20"/>
              </w:rPr>
            </w:pPr>
            <w:r w:rsidRPr="0038142F">
              <w:rPr>
                <w:rFonts w:eastAsia="Times New Roman"/>
                <w:sz w:val="20"/>
                <w:szCs w:val="20"/>
              </w:rPr>
              <w:t>53.4</w:t>
            </w:r>
          </w:p>
        </w:tc>
        <w:tc>
          <w:tcPr>
            <w:tcW w:w="1105" w:type="dxa"/>
            <w:tcBorders>
              <w:top w:val="nil"/>
              <w:bottom w:val="nil"/>
            </w:tcBorders>
          </w:tcPr>
          <w:p w14:paraId="696509B0" w14:textId="77777777" w:rsidR="0038142F" w:rsidRPr="0038142F" w:rsidRDefault="0038142F" w:rsidP="0038142F">
            <w:pPr>
              <w:ind w:right="284"/>
              <w:jc w:val="right"/>
              <w:rPr>
                <w:rFonts w:eastAsia="Times New Roman"/>
                <w:sz w:val="20"/>
                <w:szCs w:val="20"/>
              </w:rPr>
            </w:pPr>
            <w:r w:rsidRPr="0038142F">
              <w:rPr>
                <w:rFonts w:eastAsia="Times New Roman"/>
                <w:sz w:val="20"/>
                <w:szCs w:val="20"/>
              </w:rPr>
              <w:t>1.8</w:t>
            </w:r>
          </w:p>
        </w:tc>
      </w:tr>
      <w:tr w:rsidR="0038142F" w:rsidRPr="0038142F" w14:paraId="727C99E0" w14:textId="77777777" w:rsidTr="0024224F">
        <w:trPr>
          <w:jc w:val="center"/>
        </w:trPr>
        <w:tc>
          <w:tcPr>
            <w:tcW w:w="4887" w:type="dxa"/>
            <w:tcBorders>
              <w:top w:val="nil"/>
              <w:bottom w:val="nil"/>
            </w:tcBorders>
          </w:tcPr>
          <w:p w14:paraId="5AF8DD08" w14:textId="77777777" w:rsidR="0038142F" w:rsidRPr="0038142F" w:rsidRDefault="0038142F" w:rsidP="00276F3E">
            <w:pPr>
              <w:numPr>
                <w:ilvl w:val="0"/>
                <w:numId w:val="60"/>
              </w:numPr>
              <w:ind w:left="470" w:hanging="357"/>
              <w:rPr>
                <w:rFonts w:eastAsia="Times New Roman"/>
                <w:sz w:val="20"/>
                <w:szCs w:val="20"/>
              </w:rPr>
            </w:pPr>
            <w:r w:rsidRPr="0038142F">
              <w:rPr>
                <w:rFonts w:eastAsia="Times New Roman"/>
                <w:sz w:val="20"/>
                <w:szCs w:val="20"/>
              </w:rPr>
              <w:t xml:space="preserve">Precios de venta </w:t>
            </w:r>
          </w:p>
        </w:tc>
        <w:tc>
          <w:tcPr>
            <w:tcW w:w="850" w:type="dxa"/>
            <w:tcBorders>
              <w:top w:val="nil"/>
              <w:bottom w:val="nil"/>
            </w:tcBorders>
          </w:tcPr>
          <w:p w14:paraId="18445F30" w14:textId="77777777" w:rsidR="0038142F" w:rsidRPr="0038142F" w:rsidRDefault="0038142F" w:rsidP="0038142F">
            <w:pPr>
              <w:jc w:val="center"/>
              <w:rPr>
                <w:rFonts w:eastAsia="Times New Roman"/>
                <w:sz w:val="20"/>
                <w:szCs w:val="20"/>
              </w:rPr>
            </w:pPr>
            <w:r w:rsidRPr="0038142F">
              <w:rPr>
                <w:rFonts w:eastAsia="Times New Roman"/>
                <w:sz w:val="20"/>
                <w:szCs w:val="20"/>
              </w:rPr>
              <w:t>53.2</w:t>
            </w:r>
          </w:p>
        </w:tc>
        <w:tc>
          <w:tcPr>
            <w:tcW w:w="725" w:type="dxa"/>
            <w:tcBorders>
              <w:top w:val="nil"/>
              <w:bottom w:val="nil"/>
            </w:tcBorders>
          </w:tcPr>
          <w:p w14:paraId="120481C4" w14:textId="77777777" w:rsidR="0038142F" w:rsidRPr="0038142F" w:rsidRDefault="0038142F" w:rsidP="0038142F">
            <w:pPr>
              <w:jc w:val="center"/>
              <w:rPr>
                <w:rFonts w:eastAsia="Times New Roman"/>
                <w:sz w:val="20"/>
                <w:szCs w:val="20"/>
              </w:rPr>
            </w:pPr>
            <w:r w:rsidRPr="0038142F">
              <w:rPr>
                <w:rFonts w:eastAsia="Times New Roman"/>
                <w:sz w:val="20"/>
                <w:szCs w:val="20"/>
              </w:rPr>
              <w:t>53.4</w:t>
            </w:r>
          </w:p>
        </w:tc>
        <w:tc>
          <w:tcPr>
            <w:tcW w:w="1105" w:type="dxa"/>
            <w:tcBorders>
              <w:top w:val="nil"/>
              <w:bottom w:val="nil"/>
            </w:tcBorders>
          </w:tcPr>
          <w:p w14:paraId="51F30110" w14:textId="77777777" w:rsidR="0038142F" w:rsidRPr="0038142F" w:rsidRDefault="0038142F" w:rsidP="0038142F">
            <w:pPr>
              <w:ind w:right="284"/>
              <w:jc w:val="right"/>
              <w:rPr>
                <w:rFonts w:eastAsia="Times New Roman"/>
                <w:sz w:val="20"/>
                <w:szCs w:val="20"/>
              </w:rPr>
            </w:pPr>
            <w:r w:rsidRPr="0038142F">
              <w:rPr>
                <w:rFonts w:eastAsia="Times New Roman"/>
                <w:sz w:val="20"/>
                <w:szCs w:val="20"/>
              </w:rPr>
              <w:t>0.2</w:t>
            </w:r>
          </w:p>
        </w:tc>
      </w:tr>
      <w:tr w:rsidR="0038142F" w:rsidRPr="0038142F" w14:paraId="4ACA4446" w14:textId="77777777" w:rsidTr="0024224F">
        <w:trPr>
          <w:jc w:val="center"/>
        </w:trPr>
        <w:tc>
          <w:tcPr>
            <w:tcW w:w="4887" w:type="dxa"/>
            <w:tcBorders>
              <w:top w:val="nil"/>
              <w:bottom w:val="nil"/>
            </w:tcBorders>
          </w:tcPr>
          <w:p w14:paraId="31282920" w14:textId="77777777" w:rsidR="0038142F" w:rsidRPr="0038142F" w:rsidRDefault="0038142F" w:rsidP="00276F3E">
            <w:pPr>
              <w:numPr>
                <w:ilvl w:val="0"/>
                <w:numId w:val="60"/>
              </w:numPr>
              <w:ind w:left="470" w:hanging="357"/>
              <w:rPr>
                <w:rFonts w:eastAsia="Times New Roman"/>
                <w:sz w:val="20"/>
                <w:szCs w:val="20"/>
              </w:rPr>
            </w:pPr>
            <w:r w:rsidRPr="0038142F">
              <w:rPr>
                <w:rFonts w:eastAsia="Times New Roman"/>
                <w:sz w:val="20"/>
                <w:szCs w:val="20"/>
              </w:rPr>
              <w:t>Precios de insumos</w:t>
            </w:r>
          </w:p>
        </w:tc>
        <w:tc>
          <w:tcPr>
            <w:tcW w:w="850" w:type="dxa"/>
            <w:tcBorders>
              <w:top w:val="nil"/>
              <w:bottom w:val="nil"/>
            </w:tcBorders>
          </w:tcPr>
          <w:p w14:paraId="6CBE891D" w14:textId="77777777" w:rsidR="0038142F" w:rsidRPr="0038142F" w:rsidRDefault="0038142F" w:rsidP="0038142F">
            <w:pPr>
              <w:jc w:val="center"/>
              <w:rPr>
                <w:rFonts w:eastAsia="Times New Roman"/>
                <w:sz w:val="20"/>
                <w:szCs w:val="20"/>
              </w:rPr>
            </w:pPr>
            <w:r w:rsidRPr="0038142F">
              <w:rPr>
                <w:rFonts w:eastAsia="Times New Roman"/>
                <w:sz w:val="20"/>
                <w:szCs w:val="20"/>
              </w:rPr>
              <w:t>54.9</w:t>
            </w:r>
          </w:p>
        </w:tc>
        <w:tc>
          <w:tcPr>
            <w:tcW w:w="725" w:type="dxa"/>
            <w:tcBorders>
              <w:top w:val="nil"/>
              <w:bottom w:val="nil"/>
            </w:tcBorders>
          </w:tcPr>
          <w:p w14:paraId="649F0B3A" w14:textId="77777777" w:rsidR="0038142F" w:rsidRPr="0038142F" w:rsidRDefault="0038142F" w:rsidP="0038142F">
            <w:pPr>
              <w:jc w:val="center"/>
              <w:rPr>
                <w:rFonts w:eastAsia="Times New Roman"/>
                <w:sz w:val="20"/>
                <w:szCs w:val="20"/>
              </w:rPr>
            </w:pPr>
            <w:r w:rsidRPr="0038142F">
              <w:rPr>
                <w:rFonts w:eastAsia="Times New Roman"/>
                <w:sz w:val="20"/>
                <w:szCs w:val="20"/>
              </w:rPr>
              <w:t>54.6</w:t>
            </w:r>
          </w:p>
        </w:tc>
        <w:tc>
          <w:tcPr>
            <w:tcW w:w="1105" w:type="dxa"/>
            <w:tcBorders>
              <w:top w:val="nil"/>
              <w:bottom w:val="nil"/>
            </w:tcBorders>
          </w:tcPr>
          <w:p w14:paraId="447EAD47" w14:textId="77777777" w:rsidR="0038142F" w:rsidRPr="0038142F" w:rsidRDefault="0038142F" w:rsidP="0038142F">
            <w:pPr>
              <w:ind w:right="284"/>
              <w:jc w:val="right"/>
              <w:rPr>
                <w:rFonts w:eastAsia="Times New Roman"/>
                <w:sz w:val="20"/>
                <w:szCs w:val="20"/>
              </w:rPr>
            </w:pPr>
            <w:r w:rsidRPr="0038142F">
              <w:rPr>
                <w:rFonts w:eastAsia="Times New Roman"/>
                <w:sz w:val="20"/>
                <w:szCs w:val="20"/>
              </w:rPr>
              <w:t>-0.3</w:t>
            </w:r>
          </w:p>
        </w:tc>
      </w:tr>
      <w:tr w:rsidR="0038142F" w:rsidRPr="0038142F" w14:paraId="6C8B18E7" w14:textId="77777777" w:rsidTr="0024224F">
        <w:trPr>
          <w:jc w:val="center"/>
        </w:trPr>
        <w:tc>
          <w:tcPr>
            <w:tcW w:w="4887" w:type="dxa"/>
            <w:tcBorders>
              <w:top w:val="nil"/>
              <w:bottom w:val="nil"/>
            </w:tcBorders>
          </w:tcPr>
          <w:p w14:paraId="4CAA1635" w14:textId="77777777" w:rsidR="0038142F" w:rsidRPr="0038142F" w:rsidRDefault="0038142F" w:rsidP="0038142F">
            <w:pPr>
              <w:rPr>
                <w:rFonts w:eastAsia="Times New Roman"/>
                <w:b/>
                <w:sz w:val="20"/>
                <w:szCs w:val="20"/>
              </w:rPr>
            </w:pPr>
            <w:r w:rsidRPr="0038142F">
              <w:rPr>
                <w:rFonts w:eastAsia="Times New Roman"/>
                <w:b/>
                <w:sz w:val="20"/>
                <w:szCs w:val="20"/>
              </w:rPr>
              <w:t>Expectativas Empresariales del Sector Construcción</w:t>
            </w:r>
          </w:p>
        </w:tc>
        <w:tc>
          <w:tcPr>
            <w:tcW w:w="850" w:type="dxa"/>
            <w:tcBorders>
              <w:top w:val="nil"/>
              <w:bottom w:val="nil"/>
            </w:tcBorders>
          </w:tcPr>
          <w:p w14:paraId="3422D4DC" w14:textId="77777777" w:rsidR="0038142F" w:rsidRPr="0038142F" w:rsidRDefault="0038142F" w:rsidP="0038142F">
            <w:pPr>
              <w:jc w:val="center"/>
              <w:rPr>
                <w:rFonts w:eastAsia="Times New Roman"/>
                <w:sz w:val="20"/>
                <w:szCs w:val="20"/>
              </w:rPr>
            </w:pPr>
          </w:p>
        </w:tc>
        <w:tc>
          <w:tcPr>
            <w:tcW w:w="725" w:type="dxa"/>
            <w:tcBorders>
              <w:top w:val="nil"/>
              <w:bottom w:val="nil"/>
            </w:tcBorders>
          </w:tcPr>
          <w:p w14:paraId="374CBB16" w14:textId="77777777" w:rsidR="0038142F" w:rsidRPr="0038142F" w:rsidRDefault="0038142F" w:rsidP="0038142F">
            <w:pPr>
              <w:jc w:val="center"/>
              <w:rPr>
                <w:rFonts w:eastAsia="Times New Roman"/>
                <w:sz w:val="20"/>
                <w:szCs w:val="20"/>
              </w:rPr>
            </w:pPr>
          </w:p>
        </w:tc>
        <w:tc>
          <w:tcPr>
            <w:tcW w:w="1105" w:type="dxa"/>
            <w:tcBorders>
              <w:top w:val="nil"/>
              <w:bottom w:val="nil"/>
            </w:tcBorders>
          </w:tcPr>
          <w:p w14:paraId="15B2198E" w14:textId="77777777" w:rsidR="0038142F" w:rsidRPr="0038142F" w:rsidRDefault="0038142F" w:rsidP="0038142F">
            <w:pPr>
              <w:ind w:right="284"/>
              <w:jc w:val="right"/>
              <w:rPr>
                <w:rFonts w:eastAsia="Times New Roman"/>
                <w:sz w:val="20"/>
                <w:szCs w:val="20"/>
              </w:rPr>
            </w:pPr>
          </w:p>
        </w:tc>
      </w:tr>
      <w:tr w:rsidR="0038142F" w:rsidRPr="0038142F" w14:paraId="53E86AC7" w14:textId="77777777" w:rsidTr="0024224F">
        <w:trPr>
          <w:jc w:val="center"/>
        </w:trPr>
        <w:tc>
          <w:tcPr>
            <w:tcW w:w="4887" w:type="dxa"/>
            <w:tcBorders>
              <w:top w:val="nil"/>
              <w:bottom w:val="nil"/>
            </w:tcBorders>
          </w:tcPr>
          <w:p w14:paraId="2F47383A" w14:textId="77777777" w:rsidR="0038142F" w:rsidRPr="0038142F" w:rsidRDefault="0038142F" w:rsidP="00276F3E">
            <w:pPr>
              <w:numPr>
                <w:ilvl w:val="0"/>
                <w:numId w:val="61"/>
              </w:numPr>
              <w:ind w:left="470" w:hanging="357"/>
              <w:contextualSpacing/>
              <w:rPr>
                <w:rFonts w:eastAsia="Times New Roman"/>
                <w:sz w:val="20"/>
                <w:szCs w:val="20"/>
              </w:rPr>
            </w:pPr>
            <w:r w:rsidRPr="0038142F">
              <w:rPr>
                <w:rFonts w:eastAsia="Times New Roman"/>
                <w:sz w:val="20"/>
                <w:szCs w:val="20"/>
              </w:rPr>
              <w:t>Valor de las obras ejecutadas como contratista principal</w:t>
            </w:r>
          </w:p>
        </w:tc>
        <w:tc>
          <w:tcPr>
            <w:tcW w:w="850" w:type="dxa"/>
            <w:tcBorders>
              <w:top w:val="nil"/>
              <w:bottom w:val="nil"/>
            </w:tcBorders>
            <w:vAlign w:val="center"/>
          </w:tcPr>
          <w:p w14:paraId="5A44C889" w14:textId="77777777" w:rsidR="0038142F" w:rsidRPr="0038142F" w:rsidRDefault="0038142F" w:rsidP="0038142F">
            <w:pPr>
              <w:jc w:val="center"/>
              <w:rPr>
                <w:rFonts w:eastAsia="Times New Roman"/>
                <w:sz w:val="20"/>
                <w:szCs w:val="20"/>
              </w:rPr>
            </w:pPr>
            <w:r w:rsidRPr="0038142F">
              <w:rPr>
                <w:rFonts w:eastAsia="Times New Roman"/>
                <w:sz w:val="20"/>
                <w:szCs w:val="20"/>
              </w:rPr>
              <w:t>54.7</w:t>
            </w:r>
          </w:p>
        </w:tc>
        <w:tc>
          <w:tcPr>
            <w:tcW w:w="725" w:type="dxa"/>
            <w:tcBorders>
              <w:top w:val="nil"/>
              <w:bottom w:val="nil"/>
            </w:tcBorders>
            <w:vAlign w:val="center"/>
          </w:tcPr>
          <w:p w14:paraId="1BCE03D7" w14:textId="77777777" w:rsidR="0038142F" w:rsidRPr="0038142F" w:rsidRDefault="0038142F" w:rsidP="0038142F">
            <w:pPr>
              <w:jc w:val="center"/>
              <w:rPr>
                <w:rFonts w:eastAsia="Times New Roman"/>
                <w:sz w:val="20"/>
                <w:szCs w:val="20"/>
              </w:rPr>
            </w:pPr>
            <w:r w:rsidRPr="0038142F">
              <w:rPr>
                <w:rFonts w:eastAsia="Times New Roman"/>
                <w:sz w:val="20"/>
                <w:szCs w:val="20"/>
              </w:rPr>
              <w:t>55.0</w:t>
            </w:r>
          </w:p>
        </w:tc>
        <w:tc>
          <w:tcPr>
            <w:tcW w:w="1105" w:type="dxa"/>
            <w:tcBorders>
              <w:top w:val="nil"/>
              <w:bottom w:val="nil"/>
            </w:tcBorders>
            <w:vAlign w:val="center"/>
          </w:tcPr>
          <w:p w14:paraId="4976214D" w14:textId="77777777" w:rsidR="0038142F" w:rsidRPr="0038142F" w:rsidRDefault="0038142F" w:rsidP="0038142F">
            <w:pPr>
              <w:jc w:val="center"/>
              <w:rPr>
                <w:rFonts w:eastAsia="Times New Roman"/>
                <w:sz w:val="20"/>
                <w:szCs w:val="20"/>
              </w:rPr>
            </w:pPr>
            <w:r w:rsidRPr="0038142F">
              <w:rPr>
                <w:rFonts w:eastAsia="Times New Roman"/>
                <w:sz w:val="20"/>
                <w:szCs w:val="20"/>
              </w:rPr>
              <w:t>0.3</w:t>
            </w:r>
          </w:p>
        </w:tc>
      </w:tr>
      <w:tr w:rsidR="0038142F" w:rsidRPr="0038142F" w14:paraId="6D17181F" w14:textId="77777777" w:rsidTr="0024224F">
        <w:trPr>
          <w:jc w:val="center"/>
        </w:trPr>
        <w:tc>
          <w:tcPr>
            <w:tcW w:w="4887" w:type="dxa"/>
            <w:tcBorders>
              <w:top w:val="nil"/>
              <w:bottom w:val="nil"/>
            </w:tcBorders>
          </w:tcPr>
          <w:p w14:paraId="16552C09" w14:textId="77777777" w:rsidR="0038142F" w:rsidRPr="0038142F" w:rsidRDefault="0038142F" w:rsidP="00276F3E">
            <w:pPr>
              <w:numPr>
                <w:ilvl w:val="0"/>
                <w:numId w:val="61"/>
              </w:numPr>
              <w:ind w:left="470" w:hanging="357"/>
              <w:contextualSpacing/>
              <w:rPr>
                <w:rFonts w:eastAsia="Times New Roman"/>
                <w:sz w:val="20"/>
                <w:szCs w:val="20"/>
              </w:rPr>
            </w:pPr>
            <w:r w:rsidRPr="0038142F">
              <w:rPr>
                <w:rFonts w:eastAsia="Times New Roman"/>
                <w:sz w:val="20"/>
                <w:szCs w:val="20"/>
              </w:rPr>
              <w:t>Valor de las obras ejecutadas como subcontratista</w:t>
            </w:r>
          </w:p>
        </w:tc>
        <w:tc>
          <w:tcPr>
            <w:tcW w:w="850" w:type="dxa"/>
            <w:tcBorders>
              <w:top w:val="nil"/>
              <w:bottom w:val="nil"/>
            </w:tcBorders>
          </w:tcPr>
          <w:p w14:paraId="5C8723A5" w14:textId="77777777" w:rsidR="0038142F" w:rsidRPr="0038142F" w:rsidRDefault="0038142F" w:rsidP="0038142F">
            <w:pPr>
              <w:jc w:val="center"/>
              <w:rPr>
                <w:rFonts w:eastAsia="Times New Roman"/>
                <w:sz w:val="20"/>
                <w:szCs w:val="20"/>
              </w:rPr>
            </w:pPr>
            <w:r w:rsidRPr="0038142F">
              <w:rPr>
                <w:rFonts w:eastAsia="Times New Roman"/>
                <w:sz w:val="20"/>
                <w:szCs w:val="20"/>
              </w:rPr>
              <w:t>52.6</w:t>
            </w:r>
          </w:p>
        </w:tc>
        <w:tc>
          <w:tcPr>
            <w:tcW w:w="725" w:type="dxa"/>
            <w:tcBorders>
              <w:top w:val="nil"/>
              <w:bottom w:val="nil"/>
            </w:tcBorders>
          </w:tcPr>
          <w:p w14:paraId="476F4AA1" w14:textId="77777777" w:rsidR="0038142F" w:rsidRPr="0038142F" w:rsidRDefault="0038142F" w:rsidP="0038142F">
            <w:pPr>
              <w:jc w:val="center"/>
              <w:rPr>
                <w:rFonts w:eastAsia="Times New Roman"/>
                <w:sz w:val="20"/>
                <w:szCs w:val="20"/>
              </w:rPr>
            </w:pPr>
            <w:r w:rsidRPr="0038142F">
              <w:rPr>
                <w:rFonts w:eastAsia="Times New Roman"/>
                <w:sz w:val="20"/>
                <w:szCs w:val="20"/>
              </w:rPr>
              <w:t>54.5</w:t>
            </w:r>
          </w:p>
        </w:tc>
        <w:tc>
          <w:tcPr>
            <w:tcW w:w="1105" w:type="dxa"/>
            <w:tcBorders>
              <w:top w:val="nil"/>
              <w:bottom w:val="nil"/>
            </w:tcBorders>
          </w:tcPr>
          <w:p w14:paraId="138EEC97" w14:textId="77777777" w:rsidR="0038142F" w:rsidRPr="0038142F" w:rsidRDefault="0038142F" w:rsidP="0038142F">
            <w:pPr>
              <w:ind w:right="284"/>
              <w:jc w:val="right"/>
              <w:rPr>
                <w:rFonts w:eastAsia="Times New Roman"/>
                <w:sz w:val="20"/>
                <w:szCs w:val="20"/>
              </w:rPr>
            </w:pPr>
            <w:r w:rsidRPr="0038142F">
              <w:rPr>
                <w:rFonts w:eastAsia="Times New Roman"/>
                <w:sz w:val="20"/>
                <w:szCs w:val="20"/>
              </w:rPr>
              <w:t>1.9</w:t>
            </w:r>
          </w:p>
        </w:tc>
      </w:tr>
      <w:tr w:rsidR="0038142F" w:rsidRPr="0038142F" w14:paraId="6A9E4E5E" w14:textId="77777777" w:rsidTr="0024224F">
        <w:trPr>
          <w:jc w:val="center"/>
        </w:trPr>
        <w:tc>
          <w:tcPr>
            <w:tcW w:w="4887" w:type="dxa"/>
            <w:tcBorders>
              <w:top w:val="nil"/>
              <w:bottom w:val="nil"/>
            </w:tcBorders>
          </w:tcPr>
          <w:p w14:paraId="2A05511A" w14:textId="77777777" w:rsidR="0038142F" w:rsidRPr="0038142F" w:rsidRDefault="0038142F" w:rsidP="00276F3E">
            <w:pPr>
              <w:numPr>
                <w:ilvl w:val="0"/>
                <w:numId w:val="61"/>
              </w:numPr>
              <w:ind w:left="470" w:hanging="357"/>
              <w:contextualSpacing/>
              <w:rPr>
                <w:rFonts w:eastAsia="Times New Roman"/>
                <w:sz w:val="20"/>
                <w:szCs w:val="20"/>
              </w:rPr>
            </w:pPr>
            <w:r w:rsidRPr="0038142F">
              <w:rPr>
                <w:rFonts w:eastAsia="Times New Roman"/>
                <w:sz w:val="20"/>
                <w:szCs w:val="20"/>
              </w:rPr>
              <w:t>Total de contratos y subcontratos</w:t>
            </w:r>
          </w:p>
        </w:tc>
        <w:tc>
          <w:tcPr>
            <w:tcW w:w="850" w:type="dxa"/>
            <w:tcBorders>
              <w:top w:val="nil"/>
              <w:bottom w:val="nil"/>
            </w:tcBorders>
          </w:tcPr>
          <w:p w14:paraId="29052565" w14:textId="77777777" w:rsidR="0038142F" w:rsidRPr="0038142F" w:rsidRDefault="0038142F" w:rsidP="0038142F">
            <w:pPr>
              <w:jc w:val="center"/>
              <w:rPr>
                <w:rFonts w:eastAsia="Times New Roman"/>
                <w:sz w:val="20"/>
                <w:szCs w:val="20"/>
              </w:rPr>
            </w:pPr>
            <w:r w:rsidRPr="0038142F">
              <w:rPr>
                <w:rFonts w:eastAsia="Times New Roman"/>
                <w:sz w:val="20"/>
                <w:szCs w:val="20"/>
              </w:rPr>
              <w:t>50.8</w:t>
            </w:r>
          </w:p>
        </w:tc>
        <w:tc>
          <w:tcPr>
            <w:tcW w:w="725" w:type="dxa"/>
            <w:tcBorders>
              <w:top w:val="nil"/>
              <w:bottom w:val="nil"/>
            </w:tcBorders>
          </w:tcPr>
          <w:p w14:paraId="45784A17" w14:textId="77777777" w:rsidR="0038142F" w:rsidRPr="0038142F" w:rsidRDefault="0038142F" w:rsidP="0038142F">
            <w:pPr>
              <w:jc w:val="center"/>
              <w:rPr>
                <w:rFonts w:eastAsia="Times New Roman"/>
                <w:sz w:val="20"/>
                <w:szCs w:val="20"/>
              </w:rPr>
            </w:pPr>
            <w:r w:rsidRPr="0038142F">
              <w:rPr>
                <w:rFonts w:eastAsia="Times New Roman"/>
                <w:sz w:val="20"/>
                <w:szCs w:val="20"/>
              </w:rPr>
              <w:t>53.6</w:t>
            </w:r>
          </w:p>
        </w:tc>
        <w:tc>
          <w:tcPr>
            <w:tcW w:w="1105" w:type="dxa"/>
            <w:tcBorders>
              <w:top w:val="nil"/>
              <w:bottom w:val="nil"/>
            </w:tcBorders>
          </w:tcPr>
          <w:p w14:paraId="32BF2940" w14:textId="77777777" w:rsidR="0038142F" w:rsidRPr="0038142F" w:rsidRDefault="0038142F" w:rsidP="0038142F">
            <w:pPr>
              <w:ind w:right="284"/>
              <w:jc w:val="right"/>
              <w:rPr>
                <w:rFonts w:eastAsia="Times New Roman"/>
                <w:sz w:val="20"/>
                <w:szCs w:val="20"/>
              </w:rPr>
            </w:pPr>
            <w:r w:rsidRPr="0038142F">
              <w:rPr>
                <w:rFonts w:eastAsia="Times New Roman"/>
                <w:sz w:val="20"/>
                <w:szCs w:val="20"/>
              </w:rPr>
              <w:t>2.7</w:t>
            </w:r>
          </w:p>
        </w:tc>
      </w:tr>
      <w:tr w:rsidR="0038142F" w:rsidRPr="0038142F" w14:paraId="12A7A0F0" w14:textId="77777777" w:rsidTr="0024224F">
        <w:trPr>
          <w:jc w:val="center"/>
        </w:trPr>
        <w:tc>
          <w:tcPr>
            <w:tcW w:w="4887" w:type="dxa"/>
            <w:tcBorders>
              <w:top w:val="nil"/>
              <w:bottom w:val="nil"/>
            </w:tcBorders>
          </w:tcPr>
          <w:p w14:paraId="56316F59" w14:textId="77777777" w:rsidR="0038142F" w:rsidRPr="0038142F" w:rsidRDefault="0038142F" w:rsidP="00276F3E">
            <w:pPr>
              <w:numPr>
                <w:ilvl w:val="0"/>
                <w:numId w:val="61"/>
              </w:numPr>
              <w:ind w:left="470" w:hanging="357"/>
              <w:contextualSpacing/>
              <w:rPr>
                <w:rFonts w:eastAsia="Times New Roman"/>
                <w:sz w:val="20"/>
                <w:szCs w:val="20"/>
              </w:rPr>
            </w:pPr>
            <w:r w:rsidRPr="0038142F">
              <w:rPr>
                <w:rFonts w:eastAsia="Times New Roman"/>
                <w:sz w:val="20"/>
                <w:szCs w:val="20"/>
              </w:rPr>
              <w:t>Personal ocupado</w:t>
            </w:r>
          </w:p>
        </w:tc>
        <w:tc>
          <w:tcPr>
            <w:tcW w:w="850" w:type="dxa"/>
            <w:tcBorders>
              <w:top w:val="nil"/>
              <w:bottom w:val="nil"/>
            </w:tcBorders>
          </w:tcPr>
          <w:p w14:paraId="41898532" w14:textId="77777777" w:rsidR="0038142F" w:rsidRPr="0038142F" w:rsidRDefault="0038142F" w:rsidP="0038142F">
            <w:pPr>
              <w:jc w:val="center"/>
              <w:rPr>
                <w:rFonts w:eastAsia="Times New Roman"/>
                <w:sz w:val="20"/>
                <w:szCs w:val="20"/>
              </w:rPr>
            </w:pPr>
            <w:r w:rsidRPr="0038142F">
              <w:rPr>
                <w:rFonts w:eastAsia="Times New Roman"/>
                <w:sz w:val="20"/>
                <w:szCs w:val="20"/>
              </w:rPr>
              <w:t>49.3</w:t>
            </w:r>
          </w:p>
        </w:tc>
        <w:tc>
          <w:tcPr>
            <w:tcW w:w="725" w:type="dxa"/>
            <w:tcBorders>
              <w:top w:val="nil"/>
              <w:bottom w:val="nil"/>
            </w:tcBorders>
          </w:tcPr>
          <w:p w14:paraId="53C79D2A" w14:textId="77777777" w:rsidR="0038142F" w:rsidRPr="0038142F" w:rsidRDefault="0038142F" w:rsidP="0038142F">
            <w:pPr>
              <w:jc w:val="center"/>
              <w:rPr>
                <w:rFonts w:eastAsia="Times New Roman"/>
                <w:sz w:val="20"/>
                <w:szCs w:val="20"/>
              </w:rPr>
            </w:pPr>
            <w:r w:rsidRPr="0038142F">
              <w:rPr>
                <w:rFonts w:eastAsia="Times New Roman"/>
                <w:sz w:val="20"/>
                <w:szCs w:val="20"/>
              </w:rPr>
              <w:t>50.0</w:t>
            </w:r>
          </w:p>
        </w:tc>
        <w:tc>
          <w:tcPr>
            <w:tcW w:w="1105" w:type="dxa"/>
            <w:tcBorders>
              <w:top w:val="nil"/>
              <w:bottom w:val="nil"/>
            </w:tcBorders>
          </w:tcPr>
          <w:p w14:paraId="2BE53178" w14:textId="77777777" w:rsidR="0038142F" w:rsidRPr="0038142F" w:rsidRDefault="0038142F" w:rsidP="0038142F">
            <w:pPr>
              <w:ind w:right="284"/>
              <w:jc w:val="right"/>
              <w:rPr>
                <w:rFonts w:eastAsia="Times New Roman"/>
                <w:sz w:val="20"/>
                <w:szCs w:val="20"/>
              </w:rPr>
            </w:pPr>
            <w:r w:rsidRPr="0038142F">
              <w:rPr>
                <w:rFonts w:eastAsia="Times New Roman"/>
                <w:sz w:val="20"/>
                <w:szCs w:val="20"/>
              </w:rPr>
              <w:t>0.7</w:t>
            </w:r>
          </w:p>
        </w:tc>
      </w:tr>
      <w:tr w:rsidR="0038142F" w:rsidRPr="0038142F" w14:paraId="2C4B9FB7" w14:textId="77777777" w:rsidTr="0024224F">
        <w:trPr>
          <w:jc w:val="center"/>
        </w:trPr>
        <w:tc>
          <w:tcPr>
            <w:tcW w:w="4887" w:type="dxa"/>
            <w:tcBorders>
              <w:top w:val="nil"/>
              <w:bottom w:val="nil"/>
            </w:tcBorders>
          </w:tcPr>
          <w:p w14:paraId="43D5D095" w14:textId="77777777" w:rsidR="0038142F" w:rsidRPr="0038142F" w:rsidRDefault="0038142F" w:rsidP="0038142F">
            <w:pPr>
              <w:rPr>
                <w:rFonts w:eastAsia="Times New Roman"/>
                <w:b/>
                <w:sz w:val="20"/>
                <w:szCs w:val="20"/>
              </w:rPr>
            </w:pPr>
            <w:r w:rsidRPr="0038142F">
              <w:rPr>
                <w:rFonts w:eastAsia="Times New Roman"/>
                <w:b/>
                <w:sz w:val="20"/>
                <w:szCs w:val="20"/>
              </w:rPr>
              <w:t>Expectativas Empresariales del Sector Comercio</w:t>
            </w:r>
          </w:p>
        </w:tc>
        <w:tc>
          <w:tcPr>
            <w:tcW w:w="850" w:type="dxa"/>
            <w:tcBorders>
              <w:top w:val="nil"/>
              <w:bottom w:val="nil"/>
            </w:tcBorders>
          </w:tcPr>
          <w:p w14:paraId="7CAFC336" w14:textId="77777777" w:rsidR="0038142F" w:rsidRPr="0038142F" w:rsidRDefault="0038142F" w:rsidP="0038142F">
            <w:pPr>
              <w:jc w:val="center"/>
              <w:rPr>
                <w:rFonts w:eastAsia="Times New Roman"/>
                <w:sz w:val="20"/>
                <w:szCs w:val="20"/>
              </w:rPr>
            </w:pPr>
          </w:p>
        </w:tc>
        <w:tc>
          <w:tcPr>
            <w:tcW w:w="725" w:type="dxa"/>
            <w:tcBorders>
              <w:top w:val="nil"/>
              <w:bottom w:val="nil"/>
            </w:tcBorders>
          </w:tcPr>
          <w:p w14:paraId="7DE0DBB6" w14:textId="77777777" w:rsidR="0038142F" w:rsidRPr="0038142F" w:rsidRDefault="0038142F" w:rsidP="0038142F">
            <w:pPr>
              <w:jc w:val="center"/>
              <w:rPr>
                <w:rFonts w:eastAsia="Times New Roman"/>
                <w:sz w:val="20"/>
                <w:szCs w:val="20"/>
              </w:rPr>
            </w:pPr>
          </w:p>
        </w:tc>
        <w:tc>
          <w:tcPr>
            <w:tcW w:w="1105" w:type="dxa"/>
            <w:tcBorders>
              <w:top w:val="nil"/>
              <w:bottom w:val="nil"/>
            </w:tcBorders>
          </w:tcPr>
          <w:p w14:paraId="3659C0F1" w14:textId="77777777" w:rsidR="0038142F" w:rsidRPr="0038142F" w:rsidRDefault="0038142F" w:rsidP="0038142F">
            <w:pPr>
              <w:ind w:right="284"/>
              <w:jc w:val="right"/>
              <w:rPr>
                <w:rFonts w:eastAsia="Times New Roman"/>
                <w:sz w:val="20"/>
                <w:szCs w:val="20"/>
              </w:rPr>
            </w:pPr>
          </w:p>
        </w:tc>
      </w:tr>
      <w:tr w:rsidR="0038142F" w:rsidRPr="0038142F" w14:paraId="1426000B" w14:textId="77777777" w:rsidTr="0024224F">
        <w:trPr>
          <w:jc w:val="center"/>
        </w:trPr>
        <w:tc>
          <w:tcPr>
            <w:tcW w:w="4887" w:type="dxa"/>
            <w:tcBorders>
              <w:top w:val="nil"/>
              <w:bottom w:val="nil"/>
            </w:tcBorders>
          </w:tcPr>
          <w:p w14:paraId="6C3AF1DD" w14:textId="77777777" w:rsidR="0038142F" w:rsidRPr="0038142F" w:rsidRDefault="0038142F" w:rsidP="00276F3E">
            <w:pPr>
              <w:numPr>
                <w:ilvl w:val="0"/>
                <w:numId w:val="62"/>
              </w:numPr>
              <w:ind w:left="470" w:hanging="357"/>
              <w:contextualSpacing/>
              <w:rPr>
                <w:rFonts w:eastAsia="Times New Roman"/>
                <w:sz w:val="20"/>
                <w:szCs w:val="20"/>
              </w:rPr>
            </w:pPr>
            <w:r w:rsidRPr="0038142F">
              <w:rPr>
                <w:rFonts w:eastAsia="Times New Roman"/>
                <w:sz w:val="20"/>
                <w:szCs w:val="20"/>
              </w:rPr>
              <w:t>Ventas netas</w:t>
            </w:r>
          </w:p>
        </w:tc>
        <w:tc>
          <w:tcPr>
            <w:tcW w:w="850" w:type="dxa"/>
            <w:tcBorders>
              <w:top w:val="nil"/>
              <w:bottom w:val="nil"/>
            </w:tcBorders>
          </w:tcPr>
          <w:p w14:paraId="2C5DA8F1" w14:textId="77777777" w:rsidR="0038142F" w:rsidRPr="0038142F" w:rsidRDefault="0038142F" w:rsidP="0038142F">
            <w:pPr>
              <w:jc w:val="center"/>
              <w:rPr>
                <w:rFonts w:eastAsia="Times New Roman"/>
                <w:sz w:val="20"/>
                <w:szCs w:val="20"/>
              </w:rPr>
            </w:pPr>
            <w:r w:rsidRPr="0038142F">
              <w:rPr>
                <w:rFonts w:eastAsia="Times New Roman"/>
                <w:sz w:val="20"/>
                <w:szCs w:val="20"/>
              </w:rPr>
              <w:t>48.7</w:t>
            </w:r>
          </w:p>
        </w:tc>
        <w:tc>
          <w:tcPr>
            <w:tcW w:w="725" w:type="dxa"/>
            <w:tcBorders>
              <w:top w:val="nil"/>
              <w:bottom w:val="nil"/>
            </w:tcBorders>
          </w:tcPr>
          <w:p w14:paraId="2026F08E" w14:textId="77777777" w:rsidR="0038142F" w:rsidRPr="0038142F" w:rsidRDefault="0038142F" w:rsidP="0038142F">
            <w:pPr>
              <w:jc w:val="center"/>
              <w:rPr>
                <w:rFonts w:eastAsia="Times New Roman"/>
                <w:sz w:val="20"/>
                <w:szCs w:val="20"/>
              </w:rPr>
            </w:pPr>
            <w:r w:rsidRPr="0038142F">
              <w:rPr>
                <w:rFonts w:eastAsia="Times New Roman"/>
                <w:sz w:val="20"/>
                <w:szCs w:val="20"/>
              </w:rPr>
              <w:t>48.3</w:t>
            </w:r>
          </w:p>
        </w:tc>
        <w:tc>
          <w:tcPr>
            <w:tcW w:w="1105" w:type="dxa"/>
            <w:tcBorders>
              <w:top w:val="nil"/>
              <w:bottom w:val="nil"/>
            </w:tcBorders>
          </w:tcPr>
          <w:p w14:paraId="10E74A9C" w14:textId="77777777" w:rsidR="0038142F" w:rsidRPr="0038142F" w:rsidRDefault="0038142F" w:rsidP="0038142F">
            <w:pPr>
              <w:ind w:right="284"/>
              <w:jc w:val="right"/>
              <w:rPr>
                <w:rFonts w:eastAsia="Times New Roman"/>
                <w:sz w:val="20"/>
                <w:szCs w:val="20"/>
              </w:rPr>
            </w:pPr>
            <w:r w:rsidRPr="0038142F">
              <w:rPr>
                <w:rFonts w:eastAsia="Times New Roman"/>
                <w:sz w:val="20"/>
                <w:szCs w:val="20"/>
              </w:rPr>
              <w:t>-0.4</w:t>
            </w:r>
          </w:p>
        </w:tc>
      </w:tr>
      <w:tr w:rsidR="0038142F" w:rsidRPr="0038142F" w14:paraId="2DD33DD6" w14:textId="77777777" w:rsidTr="0024224F">
        <w:trPr>
          <w:jc w:val="center"/>
        </w:trPr>
        <w:tc>
          <w:tcPr>
            <w:tcW w:w="4887" w:type="dxa"/>
            <w:tcBorders>
              <w:top w:val="nil"/>
              <w:bottom w:val="nil"/>
            </w:tcBorders>
          </w:tcPr>
          <w:p w14:paraId="10DC5069" w14:textId="77777777" w:rsidR="0038142F" w:rsidRPr="0038142F" w:rsidRDefault="0038142F" w:rsidP="00276F3E">
            <w:pPr>
              <w:numPr>
                <w:ilvl w:val="0"/>
                <w:numId w:val="62"/>
              </w:numPr>
              <w:ind w:left="470" w:hanging="357"/>
              <w:contextualSpacing/>
              <w:rPr>
                <w:rFonts w:eastAsia="Times New Roman"/>
                <w:sz w:val="20"/>
                <w:szCs w:val="20"/>
              </w:rPr>
            </w:pPr>
            <w:r w:rsidRPr="0038142F">
              <w:rPr>
                <w:rFonts w:eastAsia="Times New Roman"/>
                <w:sz w:val="20"/>
                <w:szCs w:val="20"/>
              </w:rPr>
              <w:t>Ingresos por consignación y/o comisión</w:t>
            </w:r>
          </w:p>
        </w:tc>
        <w:tc>
          <w:tcPr>
            <w:tcW w:w="850" w:type="dxa"/>
            <w:tcBorders>
              <w:top w:val="nil"/>
              <w:bottom w:val="nil"/>
            </w:tcBorders>
          </w:tcPr>
          <w:p w14:paraId="6F057846" w14:textId="77777777" w:rsidR="0038142F" w:rsidRPr="0038142F" w:rsidRDefault="0038142F" w:rsidP="0038142F">
            <w:pPr>
              <w:jc w:val="center"/>
              <w:rPr>
                <w:rFonts w:eastAsia="Times New Roman"/>
                <w:sz w:val="20"/>
                <w:szCs w:val="20"/>
              </w:rPr>
            </w:pPr>
            <w:r w:rsidRPr="0038142F">
              <w:rPr>
                <w:rFonts w:eastAsia="Times New Roman"/>
                <w:sz w:val="20"/>
                <w:szCs w:val="20"/>
              </w:rPr>
              <w:t>48.3</w:t>
            </w:r>
          </w:p>
        </w:tc>
        <w:tc>
          <w:tcPr>
            <w:tcW w:w="725" w:type="dxa"/>
            <w:tcBorders>
              <w:top w:val="nil"/>
              <w:bottom w:val="nil"/>
            </w:tcBorders>
          </w:tcPr>
          <w:p w14:paraId="3FE4151C" w14:textId="77777777" w:rsidR="0038142F" w:rsidRPr="0038142F" w:rsidRDefault="0038142F" w:rsidP="0038142F">
            <w:pPr>
              <w:jc w:val="center"/>
              <w:rPr>
                <w:rFonts w:eastAsia="Times New Roman"/>
                <w:sz w:val="20"/>
                <w:szCs w:val="20"/>
              </w:rPr>
            </w:pPr>
            <w:r w:rsidRPr="0038142F">
              <w:rPr>
                <w:rFonts w:eastAsia="Times New Roman"/>
                <w:sz w:val="20"/>
                <w:szCs w:val="20"/>
              </w:rPr>
              <w:t>50.9</w:t>
            </w:r>
          </w:p>
        </w:tc>
        <w:tc>
          <w:tcPr>
            <w:tcW w:w="1105" w:type="dxa"/>
            <w:tcBorders>
              <w:top w:val="nil"/>
              <w:bottom w:val="nil"/>
            </w:tcBorders>
          </w:tcPr>
          <w:p w14:paraId="2C0A9A6E" w14:textId="77777777" w:rsidR="0038142F" w:rsidRPr="0038142F" w:rsidRDefault="0038142F" w:rsidP="0038142F">
            <w:pPr>
              <w:ind w:right="284"/>
              <w:jc w:val="right"/>
              <w:rPr>
                <w:rFonts w:eastAsia="Times New Roman"/>
                <w:sz w:val="20"/>
                <w:szCs w:val="20"/>
              </w:rPr>
            </w:pPr>
            <w:r w:rsidRPr="0038142F">
              <w:rPr>
                <w:rFonts w:eastAsia="Times New Roman"/>
                <w:sz w:val="20"/>
                <w:szCs w:val="20"/>
              </w:rPr>
              <w:t>2.6</w:t>
            </w:r>
          </w:p>
        </w:tc>
      </w:tr>
      <w:tr w:rsidR="0038142F" w:rsidRPr="0038142F" w14:paraId="2FE5373C" w14:textId="77777777" w:rsidTr="0024224F">
        <w:trPr>
          <w:jc w:val="center"/>
        </w:trPr>
        <w:tc>
          <w:tcPr>
            <w:tcW w:w="4887" w:type="dxa"/>
            <w:tcBorders>
              <w:top w:val="nil"/>
              <w:bottom w:val="nil"/>
            </w:tcBorders>
          </w:tcPr>
          <w:p w14:paraId="1BF80659" w14:textId="77777777" w:rsidR="0038142F" w:rsidRPr="0038142F" w:rsidRDefault="0038142F" w:rsidP="00276F3E">
            <w:pPr>
              <w:numPr>
                <w:ilvl w:val="0"/>
                <w:numId w:val="62"/>
              </w:numPr>
              <w:ind w:left="470" w:hanging="357"/>
              <w:contextualSpacing/>
              <w:rPr>
                <w:rFonts w:eastAsia="Times New Roman"/>
                <w:sz w:val="20"/>
                <w:szCs w:val="20"/>
              </w:rPr>
            </w:pPr>
            <w:r w:rsidRPr="0038142F">
              <w:rPr>
                <w:rFonts w:eastAsia="Times New Roman"/>
                <w:sz w:val="20"/>
                <w:szCs w:val="20"/>
              </w:rPr>
              <w:t>Compras netas</w:t>
            </w:r>
          </w:p>
        </w:tc>
        <w:tc>
          <w:tcPr>
            <w:tcW w:w="850" w:type="dxa"/>
            <w:tcBorders>
              <w:top w:val="nil"/>
              <w:bottom w:val="nil"/>
            </w:tcBorders>
          </w:tcPr>
          <w:p w14:paraId="15184260" w14:textId="77777777" w:rsidR="0038142F" w:rsidRPr="0038142F" w:rsidRDefault="0038142F" w:rsidP="0038142F">
            <w:pPr>
              <w:jc w:val="center"/>
              <w:rPr>
                <w:rFonts w:eastAsia="Times New Roman"/>
                <w:sz w:val="20"/>
                <w:szCs w:val="20"/>
              </w:rPr>
            </w:pPr>
            <w:r w:rsidRPr="0038142F">
              <w:rPr>
                <w:rFonts w:eastAsia="Times New Roman"/>
                <w:sz w:val="20"/>
                <w:szCs w:val="20"/>
              </w:rPr>
              <w:t>48.9</w:t>
            </w:r>
          </w:p>
        </w:tc>
        <w:tc>
          <w:tcPr>
            <w:tcW w:w="725" w:type="dxa"/>
            <w:tcBorders>
              <w:top w:val="nil"/>
              <w:bottom w:val="nil"/>
            </w:tcBorders>
          </w:tcPr>
          <w:p w14:paraId="5EB71FA2" w14:textId="77777777" w:rsidR="0038142F" w:rsidRPr="0038142F" w:rsidRDefault="0038142F" w:rsidP="0038142F">
            <w:pPr>
              <w:jc w:val="center"/>
              <w:rPr>
                <w:rFonts w:eastAsia="Times New Roman"/>
                <w:sz w:val="20"/>
                <w:szCs w:val="20"/>
              </w:rPr>
            </w:pPr>
            <w:r w:rsidRPr="0038142F">
              <w:rPr>
                <w:rFonts w:eastAsia="Times New Roman"/>
                <w:sz w:val="20"/>
                <w:szCs w:val="20"/>
              </w:rPr>
              <w:t>54.1</w:t>
            </w:r>
          </w:p>
        </w:tc>
        <w:tc>
          <w:tcPr>
            <w:tcW w:w="1105" w:type="dxa"/>
            <w:tcBorders>
              <w:top w:val="nil"/>
              <w:bottom w:val="nil"/>
            </w:tcBorders>
          </w:tcPr>
          <w:p w14:paraId="324583FC" w14:textId="77777777" w:rsidR="0038142F" w:rsidRPr="0038142F" w:rsidRDefault="0038142F" w:rsidP="0038142F">
            <w:pPr>
              <w:ind w:right="284"/>
              <w:jc w:val="right"/>
              <w:rPr>
                <w:rFonts w:eastAsia="Times New Roman"/>
                <w:sz w:val="20"/>
                <w:szCs w:val="20"/>
              </w:rPr>
            </w:pPr>
            <w:r w:rsidRPr="0038142F">
              <w:rPr>
                <w:rFonts w:eastAsia="Times New Roman"/>
                <w:sz w:val="20"/>
                <w:szCs w:val="20"/>
              </w:rPr>
              <w:t>5.2</w:t>
            </w:r>
          </w:p>
        </w:tc>
      </w:tr>
      <w:tr w:rsidR="0038142F" w:rsidRPr="0038142F" w14:paraId="047E171B" w14:textId="77777777" w:rsidTr="0024224F">
        <w:trPr>
          <w:jc w:val="center"/>
        </w:trPr>
        <w:tc>
          <w:tcPr>
            <w:tcW w:w="4887" w:type="dxa"/>
            <w:tcBorders>
              <w:top w:val="nil"/>
              <w:bottom w:val="nil"/>
            </w:tcBorders>
          </w:tcPr>
          <w:p w14:paraId="0784C6BA" w14:textId="77777777" w:rsidR="0038142F" w:rsidRPr="0038142F" w:rsidRDefault="0038142F" w:rsidP="00276F3E">
            <w:pPr>
              <w:numPr>
                <w:ilvl w:val="0"/>
                <w:numId w:val="62"/>
              </w:numPr>
              <w:ind w:left="470" w:hanging="357"/>
              <w:contextualSpacing/>
              <w:rPr>
                <w:rFonts w:eastAsia="Times New Roman"/>
                <w:sz w:val="20"/>
                <w:szCs w:val="20"/>
              </w:rPr>
            </w:pPr>
            <w:r w:rsidRPr="0038142F">
              <w:rPr>
                <w:rFonts w:eastAsia="Times New Roman"/>
                <w:sz w:val="20"/>
                <w:szCs w:val="20"/>
              </w:rPr>
              <w:t>Inventario de mercancías</w:t>
            </w:r>
          </w:p>
        </w:tc>
        <w:tc>
          <w:tcPr>
            <w:tcW w:w="850" w:type="dxa"/>
            <w:tcBorders>
              <w:top w:val="nil"/>
              <w:bottom w:val="nil"/>
            </w:tcBorders>
          </w:tcPr>
          <w:p w14:paraId="0BC87D74" w14:textId="77777777" w:rsidR="0038142F" w:rsidRPr="0038142F" w:rsidRDefault="0038142F" w:rsidP="0038142F">
            <w:pPr>
              <w:jc w:val="center"/>
              <w:rPr>
                <w:rFonts w:eastAsia="Times New Roman"/>
                <w:sz w:val="20"/>
                <w:szCs w:val="20"/>
              </w:rPr>
            </w:pPr>
            <w:r w:rsidRPr="0038142F">
              <w:rPr>
                <w:rFonts w:eastAsia="Times New Roman"/>
                <w:sz w:val="20"/>
                <w:szCs w:val="20"/>
              </w:rPr>
              <w:t>49.0</w:t>
            </w:r>
          </w:p>
        </w:tc>
        <w:tc>
          <w:tcPr>
            <w:tcW w:w="725" w:type="dxa"/>
            <w:tcBorders>
              <w:top w:val="nil"/>
              <w:bottom w:val="nil"/>
            </w:tcBorders>
          </w:tcPr>
          <w:p w14:paraId="2581813E" w14:textId="77777777" w:rsidR="0038142F" w:rsidRPr="0038142F" w:rsidRDefault="0038142F" w:rsidP="0038142F">
            <w:pPr>
              <w:jc w:val="center"/>
              <w:rPr>
                <w:rFonts w:eastAsia="Times New Roman"/>
                <w:sz w:val="20"/>
                <w:szCs w:val="20"/>
              </w:rPr>
            </w:pPr>
            <w:r w:rsidRPr="0038142F">
              <w:rPr>
                <w:rFonts w:eastAsia="Times New Roman"/>
                <w:sz w:val="20"/>
                <w:szCs w:val="20"/>
              </w:rPr>
              <w:t>53.3</w:t>
            </w:r>
          </w:p>
        </w:tc>
        <w:tc>
          <w:tcPr>
            <w:tcW w:w="1105" w:type="dxa"/>
            <w:tcBorders>
              <w:top w:val="nil"/>
              <w:bottom w:val="nil"/>
            </w:tcBorders>
          </w:tcPr>
          <w:p w14:paraId="7447E08A" w14:textId="77777777" w:rsidR="0038142F" w:rsidRPr="0038142F" w:rsidRDefault="0038142F" w:rsidP="0038142F">
            <w:pPr>
              <w:ind w:right="284"/>
              <w:jc w:val="right"/>
              <w:rPr>
                <w:rFonts w:eastAsia="Times New Roman"/>
                <w:sz w:val="20"/>
                <w:szCs w:val="20"/>
              </w:rPr>
            </w:pPr>
            <w:r w:rsidRPr="0038142F">
              <w:rPr>
                <w:rFonts w:eastAsia="Times New Roman"/>
                <w:sz w:val="20"/>
                <w:szCs w:val="20"/>
              </w:rPr>
              <w:t>4.4</w:t>
            </w:r>
          </w:p>
        </w:tc>
      </w:tr>
      <w:tr w:rsidR="0038142F" w:rsidRPr="0038142F" w14:paraId="2053CA75" w14:textId="77777777" w:rsidTr="0024224F">
        <w:trPr>
          <w:jc w:val="center"/>
        </w:trPr>
        <w:tc>
          <w:tcPr>
            <w:tcW w:w="4887" w:type="dxa"/>
            <w:tcBorders>
              <w:top w:val="nil"/>
              <w:bottom w:val="single" w:sz="4" w:space="0" w:color="auto"/>
            </w:tcBorders>
          </w:tcPr>
          <w:p w14:paraId="74491BC8" w14:textId="77777777" w:rsidR="0038142F" w:rsidRPr="0038142F" w:rsidRDefault="0038142F" w:rsidP="00276F3E">
            <w:pPr>
              <w:numPr>
                <w:ilvl w:val="0"/>
                <w:numId w:val="62"/>
              </w:numPr>
              <w:ind w:left="470" w:hanging="357"/>
              <w:contextualSpacing/>
              <w:rPr>
                <w:rFonts w:eastAsia="Times New Roman"/>
                <w:sz w:val="20"/>
                <w:szCs w:val="20"/>
              </w:rPr>
            </w:pPr>
            <w:r w:rsidRPr="0038142F">
              <w:rPr>
                <w:rFonts w:eastAsia="Times New Roman"/>
                <w:sz w:val="20"/>
                <w:szCs w:val="20"/>
              </w:rPr>
              <w:t>Personal Ocupado</w:t>
            </w:r>
          </w:p>
        </w:tc>
        <w:tc>
          <w:tcPr>
            <w:tcW w:w="850" w:type="dxa"/>
            <w:tcBorders>
              <w:top w:val="nil"/>
              <w:bottom w:val="single" w:sz="4" w:space="0" w:color="auto"/>
            </w:tcBorders>
          </w:tcPr>
          <w:p w14:paraId="33BBB19B" w14:textId="77777777" w:rsidR="0038142F" w:rsidRPr="0038142F" w:rsidRDefault="0038142F" w:rsidP="0038142F">
            <w:pPr>
              <w:jc w:val="center"/>
              <w:rPr>
                <w:rFonts w:eastAsia="Times New Roman"/>
                <w:sz w:val="20"/>
                <w:szCs w:val="20"/>
              </w:rPr>
            </w:pPr>
            <w:r w:rsidRPr="0038142F">
              <w:rPr>
                <w:rFonts w:eastAsia="Times New Roman"/>
                <w:sz w:val="20"/>
                <w:szCs w:val="20"/>
              </w:rPr>
              <w:t>49.5</w:t>
            </w:r>
          </w:p>
        </w:tc>
        <w:tc>
          <w:tcPr>
            <w:tcW w:w="725" w:type="dxa"/>
            <w:tcBorders>
              <w:top w:val="nil"/>
              <w:bottom w:val="single" w:sz="4" w:space="0" w:color="auto"/>
            </w:tcBorders>
          </w:tcPr>
          <w:p w14:paraId="42995B27" w14:textId="77777777" w:rsidR="0038142F" w:rsidRPr="0038142F" w:rsidRDefault="0038142F" w:rsidP="0038142F">
            <w:pPr>
              <w:jc w:val="center"/>
              <w:rPr>
                <w:rFonts w:eastAsia="Times New Roman"/>
                <w:sz w:val="20"/>
                <w:szCs w:val="20"/>
              </w:rPr>
            </w:pPr>
            <w:r w:rsidRPr="0038142F">
              <w:rPr>
                <w:rFonts w:eastAsia="Times New Roman"/>
                <w:sz w:val="20"/>
                <w:szCs w:val="20"/>
              </w:rPr>
              <w:t>49.0</w:t>
            </w:r>
          </w:p>
        </w:tc>
        <w:tc>
          <w:tcPr>
            <w:tcW w:w="1105" w:type="dxa"/>
            <w:tcBorders>
              <w:top w:val="nil"/>
              <w:bottom w:val="single" w:sz="4" w:space="0" w:color="auto"/>
            </w:tcBorders>
          </w:tcPr>
          <w:p w14:paraId="104ACAD3" w14:textId="77777777" w:rsidR="0038142F" w:rsidRPr="0038142F" w:rsidRDefault="0038142F" w:rsidP="0038142F">
            <w:pPr>
              <w:ind w:right="284"/>
              <w:jc w:val="right"/>
              <w:rPr>
                <w:rFonts w:eastAsia="Times New Roman"/>
                <w:sz w:val="20"/>
                <w:szCs w:val="20"/>
              </w:rPr>
            </w:pPr>
            <w:r w:rsidRPr="0038142F">
              <w:rPr>
                <w:rFonts w:eastAsia="Times New Roman"/>
                <w:sz w:val="20"/>
                <w:szCs w:val="20"/>
              </w:rPr>
              <w:t>-0.5</w:t>
            </w:r>
          </w:p>
        </w:tc>
      </w:tr>
      <w:tr w:rsidR="0038142F" w:rsidRPr="0038142F" w14:paraId="599F956A" w14:textId="77777777" w:rsidTr="0024224F">
        <w:trPr>
          <w:jc w:val="center"/>
        </w:trPr>
        <w:tc>
          <w:tcPr>
            <w:tcW w:w="7567" w:type="dxa"/>
            <w:gridSpan w:val="4"/>
            <w:tcBorders>
              <w:left w:val="nil"/>
              <w:bottom w:val="nil"/>
              <w:right w:val="nil"/>
            </w:tcBorders>
          </w:tcPr>
          <w:p w14:paraId="498AC11F" w14:textId="77777777" w:rsidR="0038142F" w:rsidRPr="0038142F" w:rsidRDefault="0038142F" w:rsidP="0038142F">
            <w:pPr>
              <w:ind w:left="567" w:hanging="567"/>
              <w:jc w:val="both"/>
              <w:rPr>
                <w:rFonts w:eastAsia="Times New Roman"/>
                <w:sz w:val="20"/>
                <w:szCs w:val="20"/>
              </w:rPr>
            </w:pPr>
            <w:r w:rsidRPr="0038142F">
              <w:rPr>
                <w:rFonts w:eastAsia="Times New Roman"/>
                <w:sz w:val="20"/>
                <w:szCs w:val="20"/>
              </w:rPr>
              <w:t>Nota: Los indicadores se generan con los datos referidos al mes anterior del mes de la entrevista con excepción del último dato de la serie, el cual está referido al mes en que ocurre dicha entrevista.</w:t>
            </w:r>
          </w:p>
          <w:p w14:paraId="6B1F9B33" w14:textId="77777777" w:rsidR="0038142F" w:rsidRPr="0038142F" w:rsidRDefault="0038142F" w:rsidP="0038142F">
            <w:pPr>
              <w:ind w:left="227" w:hanging="227"/>
              <w:jc w:val="both"/>
              <w:rPr>
                <w:rFonts w:eastAsia="Times New Roman"/>
                <w:sz w:val="20"/>
                <w:szCs w:val="20"/>
              </w:rPr>
            </w:pPr>
            <w:r w:rsidRPr="0038142F">
              <w:rPr>
                <w:rFonts w:eastAsia="Times New Roman"/>
                <w:sz w:val="20"/>
                <w:szCs w:val="20"/>
                <w:u w:val="single"/>
              </w:rPr>
              <w:t>1</w:t>
            </w:r>
            <w:r w:rsidRPr="0038142F">
              <w:rPr>
                <w:rFonts w:eastAsia="Times New Roman"/>
                <w:sz w:val="20"/>
                <w:szCs w:val="20"/>
              </w:rPr>
              <w:t>/ Las diferencias en puntos se obtienen de los respectivos indicadores considerando todos sus decimales.</w:t>
            </w:r>
          </w:p>
          <w:p w14:paraId="3691E4AC" w14:textId="77777777" w:rsidR="0038142F" w:rsidRPr="0038142F" w:rsidRDefault="0038142F" w:rsidP="0038142F">
            <w:pPr>
              <w:jc w:val="both"/>
              <w:rPr>
                <w:rFonts w:eastAsia="Times New Roman"/>
                <w:sz w:val="20"/>
                <w:szCs w:val="20"/>
              </w:rPr>
            </w:pPr>
            <w:r w:rsidRPr="0038142F">
              <w:rPr>
                <w:rFonts w:eastAsia="Times New Roman"/>
                <w:sz w:val="20"/>
                <w:szCs w:val="20"/>
                <w:u w:val="single"/>
              </w:rPr>
              <w:t>p</w:t>
            </w:r>
            <w:r w:rsidRPr="0038142F">
              <w:rPr>
                <w:rFonts w:eastAsia="Times New Roman"/>
                <w:sz w:val="20"/>
                <w:szCs w:val="20"/>
              </w:rPr>
              <w:t>/ Dato preliminar.</w:t>
            </w:r>
          </w:p>
          <w:p w14:paraId="15FE58C1" w14:textId="77777777" w:rsidR="0038142F" w:rsidRPr="0038142F" w:rsidRDefault="0038142F" w:rsidP="0038142F">
            <w:pPr>
              <w:jc w:val="both"/>
              <w:rPr>
                <w:rFonts w:eastAsia="Times New Roman"/>
                <w:sz w:val="20"/>
                <w:szCs w:val="20"/>
              </w:rPr>
            </w:pPr>
            <w:r w:rsidRPr="0038142F">
              <w:rPr>
                <w:rFonts w:eastAsia="Times New Roman"/>
                <w:sz w:val="20"/>
                <w:szCs w:val="20"/>
              </w:rPr>
              <w:t>FUENTE: INEGI.</w:t>
            </w:r>
          </w:p>
        </w:tc>
      </w:tr>
    </w:tbl>
    <w:p w14:paraId="5A33F147" w14:textId="77777777" w:rsidR="0038142F" w:rsidRPr="0038142F" w:rsidRDefault="0038142F" w:rsidP="0038142F">
      <w:pPr>
        <w:spacing w:after="360" w:line="360" w:lineRule="auto"/>
        <w:ind w:right="-159"/>
        <w:jc w:val="both"/>
        <w:rPr>
          <w:rFonts w:eastAsia="Times New Roman"/>
          <w:b/>
          <w:sz w:val="26"/>
          <w:szCs w:val="26"/>
        </w:rPr>
      </w:pPr>
    </w:p>
    <w:p w14:paraId="15BC0E9B" w14:textId="77777777" w:rsidR="0038142F" w:rsidRPr="0038142F" w:rsidRDefault="0038142F" w:rsidP="0038142F">
      <w:pPr>
        <w:ind w:right="-159"/>
        <w:jc w:val="both"/>
        <w:rPr>
          <w:rFonts w:eastAsia="Times New Roman"/>
          <w:b/>
          <w:sz w:val="20"/>
          <w:szCs w:val="20"/>
        </w:rPr>
      </w:pPr>
      <w:r w:rsidRPr="0038142F">
        <w:rPr>
          <w:rFonts w:eastAsia="Times New Roman"/>
          <w:b/>
          <w:sz w:val="20"/>
          <w:szCs w:val="20"/>
        </w:rPr>
        <w:t>Fuente de información:</w:t>
      </w:r>
    </w:p>
    <w:p w14:paraId="6A8913AB" w14:textId="77777777" w:rsidR="0038142F" w:rsidRPr="00660E71" w:rsidRDefault="0093224F" w:rsidP="0038142F">
      <w:pPr>
        <w:rPr>
          <w:color w:val="0000FF"/>
          <w:sz w:val="20"/>
          <w:szCs w:val="20"/>
        </w:rPr>
      </w:pPr>
      <w:hyperlink r:id="rId158" w:history="1">
        <w:r w:rsidR="0038142F" w:rsidRPr="00660E71">
          <w:rPr>
            <w:color w:val="0000FF"/>
            <w:sz w:val="20"/>
            <w:szCs w:val="20"/>
            <w:u w:val="single"/>
          </w:rPr>
          <w:t>http://www.inegi.org.mx/saladeprensa/boletines/2015/ee/ee2015_03.pdf</w:t>
        </w:r>
      </w:hyperlink>
      <w:r w:rsidR="0038142F" w:rsidRPr="00660E71">
        <w:rPr>
          <w:color w:val="0000FF"/>
          <w:sz w:val="20"/>
          <w:szCs w:val="20"/>
        </w:rPr>
        <w:t xml:space="preserve"> </w:t>
      </w:r>
    </w:p>
    <w:p w14:paraId="43D073F0" w14:textId="77777777" w:rsidR="00F61F04" w:rsidRDefault="00F61F04" w:rsidP="006835E4">
      <w:pPr>
        <w:spacing w:after="360" w:line="360" w:lineRule="auto"/>
        <w:ind w:right="-159"/>
        <w:jc w:val="both"/>
        <w:rPr>
          <w:rFonts w:eastAsia="Times New Roman"/>
          <w:sz w:val="26"/>
          <w:szCs w:val="26"/>
        </w:rPr>
      </w:pPr>
    </w:p>
    <w:p w14:paraId="29D54104" w14:textId="77777777" w:rsidR="00814220" w:rsidRDefault="00814220" w:rsidP="006835E4">
      <w:pPr>
        <w:spacing w:after="360" w:line="360" w:lineRule="auto"/>
        <w:ind w:right="-159"/>
        <w:jc w:val="both"/>
        <w:rPr>
          <w:rFonts w:eastAsia="Times New Roman"/>
          <w:sz w:val="26"/>
          <w:szCs w:val="26"/>
        </w:rPr>
      </w:pPr>
    </w:p>
    <w:p w14:paraId="752BF7DD" w14:textId="77777777" w:rsidR="00814220" w:rsidRDefault="00814220" w:rsidP="006835E4">
      <w:pPr>
        <w:spacing w:after="360" w:line="360" w:lineRule="auto"/>
        <w:ind w:right="-159"/>
        <w:jc w:val="both"/>
        <w:rPr>
          <w:rFonts w:eastAsia="Times New Roman"/>
          <w:sz w:val="26"/>
          <w:szCs w:val="26"/>
        </w:rPr>
      </w:pPr>
    </w:p>
    <w:p w14:paraId="32D0C914" w14:textId="77777777" w:rsidR="00814220" w:rsidRDefault="00814220" w:rsidP="006835E4">
      <w:pPr>
        <w:spacing w:after="360" w:line="360" w:lineRule="auto"/>
        <w:ind w:right="-159"/>
        <w:jc w:val="both"/>
        <w:rPr>
          <w:rFonts w:eastAsia="Times New Roman"/>
          <w:sz w:val="26"/>
          <w:szCs w:val="26"/>
        </w:rPr>
      </w:pPr>
    </w:p>
    <w:p w14:paraId="1F9AE092" w14:textId="77777777" w:rsidR="0038142F" w:rsidRPr="0038142F" w:rsidRDefault="0038142F" w:rsidP="0038142F">
      <w:pPr>
        <w:spacing w:after="360" w:line="360" w:lineRule="auto"/>
        <w:ind w:right="-159"/>
        <w:jc w:val="both"/>
        <w:rPr>
          <w:rFonts w:eastAsia="Times New Roman"/>
          <w:b/>
          <w:sz w:val="26"/>
          <w:szCs w:val="26"/>
        </w:rPr>
      </w:pPr>
      <w:r w:rsidRPr="0038142F">
        <w:rPr>
          <w:rFonts w:eastAsia="Times New Roman"/>
          <w:b/>
          <w:sz w:val="26"/>
          <w:szCs w:val="26"/>
        </w:rPr>
        <w:lastRenderedPageBreak/>
        <w:t>Indicadores de Confianza Empresarial durante febrero de 2015 (INEGI)</w:t>
      </w:r>
    </w:p>
    <w:p w14:paraId="13A60CA5" w14:textId="4D708B11" w:rsidR="0038142F" w:rsidRPr="0038142F" w:rsidRDefault="0038142F" w:rsidP="0038142F">
      <w:pPr>
        <w:spacing w:after="360" w:line="360" w:lineRule="auto"/>
        <w:ind w:right="-159"/>
        <w:jc w:val="both"/>
        <w:rPr>
          <w:rFonts w:eastAsia="Times New Roman"/>
          <w:sz w:val="26"/>
          <w:szCs w:val="26"/>
        </w:rPr>
      </w:pPr>
      <w:r w:rsidRPr="0038142F">
        <w:rPr>
          <w:rFonts w:eastAsia="Times New Roman"/>
          <w:sz w:val="26"/>
          <w:szCs w:val="26"/>
        </w:rPr>
        <w:t xml:space="preserve">El 5 de marzo de 2015, el Instituto Nacional de Estadística y Geografía (INEGI) dio a conocer los </w:t>
      </w:r>
      <w:r>
        <w:rPr>
          <w:rFonts w:eastAsia="Times New Roman"/>
          <w:sz w:val="26"/>
          <w:szCs w:val="26"/>
        </w:rPr>
        <w:t>“</w:t>
      </w:r>
      <w:r w:rsidRPr="0038142F">
        <w:rPr>
          <w:rFonts w:eastAsia="Times New Roman"/>
          <w:sz w:val="26"/>
          <w:szCs w:val="26"/>
        </w:rPr>
        <w:t>Indicadores de Confianza Empresarial (ICE)</w:t>
      </w:r>
      <w:r>
        <w:rPr>
          <w:rFonts w:eastAsia="Times New Roman"/>
          <w:sz w:val="26"/>
          <w:szCs w:val="26"/>
        </w:rPr>
        <w:t>”</w:t>
      </w:r>
      <w:r w:rsidRPr="0038142F">
        <w:rPr>
          <w:rFonts w:eastAsia="Times New Roman"/>
          <w:sz w:val="26"/>
          <w:szCs w:val="26"/>
        </w:rPr>
        <w:t xml:space="preserve"> que están constituidos por la percepción que tienen los directivos empresariales del sector manufacturero, de la construcción y del comercio sobre la situación económica que se presenta en el país y en sus empresas, así como sus expectativas para el futuro. Su periodicidad es mensual y se elabora con base en los resultados de la Encuesta Mensual de Opinión Empresarial (EMOE).</w:t>
      </w:r>
    </w:p>
    <w:p w14:paraId="643FD3FB" w14:textId="77777777" w:rsidR="0038142F" w:rsidRPr="0038142F" w:rsidRDefault="0038142F" w:rsidP="0038142F">
      <w:pPr>
        <w:spacing w:after="360" w:line="360" w:lineRule="auto"/>
        <w:ind w:right="-159"/>
        <w:jc w:val="both"/>
        <w:rPr>
          <w:rFonts w:eastAsia="Times New Roman"/>
          <w:sz w:val="26"/>
          <w:szCs w:val="26"/>
        </w:rPr>
      </w:pPr>
      <w:r w:rsidRPr="0038142F">
        <w:rPr>
          <w:rFonts w:eastAsia="Times New Roman"/>
          <w:sz w:val="26"/>
          <w:szCs w:val="26"/>
        </w:rPr>
        <w:t>En su comparación mensual, el Indicador de Confianza Empresarial (ICE) Manufacturero se ubicó en 49.5 puntos en el segundo mes de 2015, cifra que significó un descenso de 0.83 puntos respecto a la del mes inmediato anterior, de 50.3 puntos, según cifras desestacionalizadas. Con este dato el Indicador de Confianza Empresarial Manufacturero se estableció por debajo del umbral de 50 puntos.</w:t>
      </w:r>
    </w:p>
    <w:p w14:paraId="7FB42D4E" w14:textId="56079D87" w:rsidR="0038142F" w:rsidRPr="0038142F" w:rsidRDefault="007062B5" w:rsidP="0038142F">
      <w:pPr>
        <w:spacing w:after="360" w:line="360" w:lineRule="auto"/>
        <w:ind w:right="-159"/>
        <w:jc w:val="center"/>
        <w:rPr>
          <w:rFonts w:eastAsia="Times New Roman"/>
          <w:sz w:val="26"/>
          <w:szCs w:val="26"/>
        </w:rPr>
      </w:pPr>
      <w:r w:rsidRPr="007062B5">
        <w:rPr>
          <w:rFonts w:ascii="Calibri" w:eastAsia="Calibri" w:hAnsi="Calibri"/>
          <w:sz w:val="22"/>
          <w:szCs w:val="22"/>
          <w:lang w:eastAsia="en-US"/>
        </w:rPr>
        <w:fldChar w:fldCharType="begin"/>
      </w:r>
      <w:r w:rsidRPr="007062B5">
        <w:rPr>
          <w:rFonts w:ascii="Calibri" w:eastAsia="Calibri" w:hAnsi="Calibri"/>
          <w:sz w:val="22"/>
          <w:szCs w:val="22"/>
          <w:lang w:eastAsia="en-US"/>
        </w:rPr>
        <w:instrText xml:space="preserve"> LINK PowerPoint.Slide.8 "D:\\2015\\MARZO 2014\\GRÁFICAS EN POWER POINT\\17.- GRÁFICAS DEL IND DE CONFIANZA EMPRESARIAL.pptx!258" "" \a \p </w:instrText>
      </w:r>
      <w:r w:rsidRPr="007062B5">
        <w:rPr>
          <w:rFonts w:ascii="Calibri" w:eastAsia="Calibri" w:hAnsi="Calibri"/>
          <w:sz w:val="22"/>
          <w:szCs w:val="22"/>
          <w:lang w:eastAsia="en-US"/>
        </w:rPr>
        <w:fldChar w:fldCharType="separate"/>
      </w:r>
      <w:r w:rsidRPr="007062B5">
        <w:rPr>
          <w:rFonts w:ascii="Calibri" w:eastAsia="Calibri" w:hAnsi="Calibri"/>
          <w:noProof/>
          <w:sz w:val="22"/>
          <w:szCs w:val="22"/>
          <w:lang w:eastAsia="es-MX"/>
        </w:rPr>
        <w:drawing>
          <wp:inline distT="0" distB="0" distL="0" distR="0" wp14:anchorId="2CCCBA3F" wp14:editId="4348AC52">
            <wp:extent cx="4664710" cy="3256280"/>
            <wp:effectExtent l="0" t="0" r="2540" b="1270"/>
            <wp:docPr id="1479" name="Imagen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2"/>
                    <pic:cNvPicPr>
                      <a:picLocks noChangeAspect="1" noChangeArrowheads="1"/>
                    </pic:cNvPicPr>
                  </pic:nvPicPr>
                  <pic:blipFill>
                    <a:blip r:embed="rId159" cstate="print">
                      <a:extLst>
                        <a:ext uri="{28A0092B-C50C-407E-A947-70E740481C1C}">
                          <a14:useLocalDpi xmlns:a14="http://schemas.microsoft.com/office/drawing/2010/main" val="0"/>
                        </a:ext>
                      </a:extLst>
                    </a:blip>
                    <a:srcRect l="11203" r="12061" b="5043"/>
                    <a:stretch>
                      <a:fillRect/>
                    </a:stretch>
                  </pic:blipFill>
                  <pic:spPr bwMode="auto">
                    <a:xfrm>
                      <a:off x="0" y="0"/>
                      <a:ext cx="4664710" cy="3256280"/>
                    </a:xfrm>
                    <a:prstGeom prst="rect">
                      <a:avLst/>
                    </a:prstGeom>
                    <a:noFill/>
                    <a:ln>
                      <a:noFill/>
                    </a:ln>
                  </pic:spPr>
                </pic:pic>
              </a:graphicData>
            </a:graphic>
          </wp:inline>
        </w:drawing>
      </w:r>
      <w:r w:rsidRPr="007062B5">
        <w:rPr>
          <w:rFonts w:ascii="Calibri" w:eastAsia="Calibri" w:hAnsi="Calibri"/>
          <w:sz w:val="22"/>
          <w:szCs w:val="22"/>
          <w:lang w:eastAsia="en-US"/>
        </w:rPr>
        <w:fldChar w:fldCharType="end"/>
      </w:r>
    </w:p>
    <w:p w14:paraId="3E3B0378" w14:textId="77777777" w:rsidR="0038142F" w:rsidRDefault="0038142F" w:rsidP="0038142F">
      <w:pPr>
        <w:spacing w:after="360" w:line="360" w:lineRule="auto"/>
        <w:ind w:right="-159"/>
        <w:jc w:val="both"/>
        <w:rPr>
          <w:rFonts w:eastAsia="Times New Roman"/>
          <w:noProof/>
          <w:sz w:val="26"/>
          <w:szCs w:val="26"/>
          <w:lang w:eastAsia="es-MX"/>
        </w:rPr>
      </w:pPr>
      <w:r w:rsidRPr="0038142F">
        <w:rPr>
          <w:rFonts w:eastAsia="Times New Roman"/>
          <w:noProof/>
          <w:sz w:val="26"/>
          <w:szCs w:val="26"/>
          <w:lang w:eastAsia="es-MX"/>
        </w:rPr>
        <w:lastRenderedPageBreak/>
        <w:t>El cuadro siguiente muestra el comportamiento mensual del Indicador de Confianza Empresarial Manufacturero y sus componentes a febrero de 2015.</w:t>
      </w:r>
      <w:r w:rsidRPr="0038142F">
        <w:rPr>
          <w:rFonts w:eastAsia="Times New Roman"/>
          <w:noProof/>
          <w:sz w:val="26"/>
          <w:szCs w:val="26"/>
          <w:lang w:eastAsia="es-MX"/>
        </w:rPr>
        <w:tab/>
      </w:r>
    </w:p>
    <w:tbl>
      <w:tblPr>
        <w:tblW w:w="9464" w:type="dxa"/>
        <w:tblLayout w:type="fixed"/>
        <w:tblLook w:val="04A0" w:firstRow="1" w:lastRow="0" w:firstColumn="1" w:lastColumn="0" w:noHBand="0" w:noVBand="1"/>
      </w:tblPr>
      <w:tblGrid>
        <w:gridCol w:w="4219"/>
        <w:gridCol w:w="1168"/>
        <w:gridCol w:w="1242"/>
        <w:gridCol w:w="1276"/>
        <w:gridCol w:w="1559"/>
      </w:tblGrid>
      <w:tr w:rsidR="0038142F" w:rsidRPr="0038142F" w14:paraId="0357D9A0" w14:textId="77777777" w:rsidTr="0024224F">
        <w:tc>
          <w:tcPr>
            <w:tcW w:w="9464" w:type="dxa"/>
            <w:gridSpan w:val="5"/>
            <w:tcBorders>
              <w:top w:val="nil"/>
              <w:left w:val="nil"/>
              <w:bottom w:val="single" w:sz="4" w:space="0" w:color="auto"/>
              <w:right w:val="nil"/>
            </w:tcBorders>
          </w:tcPr>
          <w:p w14:paraId="7900EF6D" w14:textId="77777777" w:rsidR="0038142F" w:rsidRPr="0038142F" w:rsidRDefault="0038142F" w:rsidP="0038142F">
            <w:pPr>
              <w:jc w:val="center"/>
              <w:rPr>
                <w:rFonts w:eastAsia="Times New Roman"/>
                <w:b/>
                <w:noProof/>
                <w:sz w:val="22"/>
                <w:szCs w:val="22"/>
                <w:lang w:eastAsia="es-MX"/>
              </w:rPr>
            </w:pPr>
            <w:r w:rsidRPr="0038142F">
              <w:rPr>
                <w:rFonts w:eastAsia="Times New Roman"/>
                <w:b/>
                <w:noProof/>
                <w:sz w:val="22"/>
                <w:szCs w:val="22"/>
                <w:lang w:eastAsia="es-MX"/>
              </w:rPr>
              <w:t xml:space="preserve">INDICADOR DE CONFIANZA EMPRESARIAL MANUFACTURERO </w:t>
            </w:r>
          </w:p>
          <w:p w14:paraId="33EE2AD3" w14:textId="77777777" w:rsidR="0038142F" w:rsidRPr="0038142F" w:rsidRDefault="0038142F" w:rsidP="0038142F">
            <w:pPr>
              <w:jc w:val="center"/>
              <w:rPr>
                <w:rFonts w:eastAsia="Times New Roman"/>
                <w:b/>
                <w:noProof/>
                <w:sz w:val="22"/>
                <w:szCs w:val="22"/>
                <w:lang w:eastAsia="es-MX"/>
              </w:rPr>
            </w:pPr>
            <w:r w:rsidRPr="0038142F">
              <w:rPr>
                <w:rFonts w:eastAsia="Times New Roman"/>
                <w:b/>
                <w:noProof/>
                <w:sz w:val="22"/>
                <w:szCs w:val="22"/>
                <w:lang w:eastAsia="es-MX"/>
              </w:rPr>
              <w:t xml:space="preserve">Y SUS COMPONENTES </w:t>
            </w:r>
          </w:p>
          <w:p w14:paraId="52EDAECD" w14:textId="77777777" w:rsidR="0038142F" w:rsidRPr="0038142F" w:rsidRDefault="0038142F" w:rsidP="0038142F">
            <w:pPr>
              <w:jc w:val="center"/>
              <w:rPr>
                <w:rFonts w:eastAsia="Times New Roman"/>
                <w:b/>
                <w:noProof/>
                <w:sz w:val="22"/>
                <w:szCs w:val="22"/>
                <w:lang w:eastAsia="es-MX"/>
              </w:rPr>
            </w:pPr>
            <w:r w:rsidRPr="0038142F">
              <w:rPr>
                <w:rFonts w:eastAsia="Times New Roman"/>
                <w:b/>
                <w:noProof/>
                <w:sz w:val="22"/>
                <w:szCs w:val="22"/>
                <w:lang w:eastAsia="es-MX"/>
              </w:rPr>
              <w:t>SERIES DESESTACIONALIZADAS</w:t>
            </w:r>
          </w:p>
        </w:tc>
      </w:tr>
      <w:tr w:rsidR="0038142F" w:rsidRPr="0038142F" w14:paraId="336FFBBD" w14:textId="77777777" w:rsidTr="0024224F">
        <w:tc>
          <w:tcPr>
            <w:tcW w:w="4219" w:type="dxa"/>
            <w:tcBorders>
              <w:top w:val="single" w:sz="4" w:space="0" w:color="auto"/>
              <w:left w:val="single" w:sz="4" w:space="0" w:color="auto"/>
              <w:bottom w:val="single" w:sz="4" w:space="0" w:color="auto"/>
              <w:right w:val="single" w:sz="4" w:space="0" w:color="auto"/>
            </w:tcBorders>
            <w:vAlign w:val="center"/>
          </w:tcPr>
          <w:p w14:paraId="5C4478DC" w14:textId="77777777" w:rsidR="0038142F" w:rsidRPr="0038142F" w:rsidRDefault="0038142F" w:rsidP="0038142F">
            <w:pPr>
              <w:jc w:val="center"/>
              <w:rPr>
                <w:rFonts w:eastAsia="Times New Roman"/>
                <w:b/>
                <w:noProof/>
                <w:sz w:val="20"/>
                <w:szCs w:val="20"/>
                <w:lang w:eastAsia="es-MX"/>
              </w:rPr>
            </w:pPr>
            <w:r w:rsidRPr="0038142F">
              <w:rPr>
                <w:rFonts w:eastAsia="Times New Roman"/>
                <w:b/>
                <w:noProof/>
                <w:sz w:val="20"/>
                <w:szCs w:val="20"/>
                <w:lang w:eastAsia="es-MX"/>
              </w:rPr>
              <w:t>Indicadores</w:t>
            </w:r>
          </w:p>
        </w:tc>
        <w:tc>
          <w:tcPr>
            <w:tcW w:w="1168" w:type="dxa"/>
            <w:tcBorders>
              <w:top w:val="single" w:sz="4" w:space="0" w:color="auto"/>
              <w:left w:val="single" w:sz="4" w:space="0" w:color="auto"/>
              <w:bottom w:val="single" w:sz="4" w:space="0" w:color="auto"/>
              <w:right w:val="single" w:sz="4" w:space="0" w:color="auto"/>
            </w:tcBorders>
            <w:vAlign w:val="center"/>
          </w:tcPr>
          <w:p w14:paraId="49DD706E" w14:textId="77777777" w:rsidR="0038142F" w:rsidRPr="0038142F" w:rsidRDefault="0038142F" w:rsidP="0038142F">
            <w:pPr>
              <w:jc w:val="center"/>
              <w:rPr>
                <w:rFonts w:eastAsia="Times New Roman"/>
                <w:b/>
                <w:noProof/>
                <w:sz w:val="20"/>
                <w:szCs w:val="20"/>
                <w:lang w:eastAsia="es-MX"/>
              </w:rPr>
            </w:pPr>
            <w:r w:rsidRPr="0038142F">
              <w:rPr>
                <w:rFonts w:eastAsia="Times New Roman"/>
                <w:b/>
                <w:noProof/>
                <w:sz w:val="20"/>
                <w:szCs w:val="20"/>
                <w:lang w:eastAsia="es-MX"/>
              </w:rPr>
              <w:t>Enero de 2015</w:t>
            </w:r>
          </w:p>
        </w:tc>
        <w:tc>
          <w:tcPr>
            <w:tcW w:w="1242" w:type="dxa"/>
            <w:tcBorders>
              <w:top w:val="single" w:sz="4" w:space="0" w:color="auto"/>
              <w:left w:val="single" w:sz="4" w:space="0" w:color="auto"/>
              <w:bottom w:val="single" w:sz="4" w:space="0" w:color="auto"/>
              <w:right w:val="single" w:sz="4" w:space="0" w:color="auto"/>
            </w:tcBorders>
            <w:vAlign w:val="center"/>
          </w:tcPr>
          <w:p w14:paraId="4F2F0400" w14:textId="77777777" w:rsidR="0038142F" w:rsidRPr="0038142F" w:rsidRDefault="0038142F" w:rsidP="0038142F">
            <w:pPr>
              <w:jc w:val="center"/>
              <w:rPr>
                <w:rFonts w:eastAsia="Times New Roman"/>
                <w:b/>
                <w:noProof/>
                <w:sz w:val="20"/>
                <w:szCs w:val="20"/>
                <w:lang w:eastAsia="es-MX"/>
              </w:rPr>
            </w:pPr>
            <w:r w:rsidRPr="0038142F">
              <w:rPr>
                <w:rFonts w:eastAsia="Times New Roman"/>
                <w:b/>
                <w:noProof/>
                <w:sz w:val="20"/>
                <w:szCs w:val="20"/>
                <w:lang w:eastAsia="es-MX"/>
              </w:rPr>
              <w:t>Febrero de 2015</w:t>
            </w:r>
          </w:p>
        </w:tc>
        <w:tc>
          <w:tcPr>
            <w:tcW w:w="1276" w:type="dxa"/>
            <w:tcBorders>
              <w:top w:val="single" w:sz="4" w:space="0" w:color="auto"/>
              <w:left w:val="single" w:sz="4" w:space="0" w:color="auto"/>
              <w:bottom w:val="single" w:sz="4" w:space="0" w:color="auto"/>
              <w:right w:val="single" w:sz="4" w:space="0" w:color="auto"/>
            </w:tcBorders>
            <w:vAlign w:val="center"/>
          </w:tcPr>
          <w:p w14:paraId="59B95E3F" w14:textId="77777777" w:rsidR="0038142F" w:rsidRPr="0038142F" w:rsidRDefault="0038142F" w:rsidP="0038142F">
            <w:pPr>
              <w:jc w:val="center"/>
              <w:rPr>
                <w:rFonts w:eastAsia="Times New Roman"/>
                <w:b/>
                <w:noProof/>
                <w:sz w:val="20"/>
                <w:szCs w:val="20"/>
                <w:lang w:eastAsia="es-MX"/>
              </w:rPr>
            </w:pPr>
            <w:r w:rsidRPr="0038142F">
              <w:rPr>
                <w:rFonts w:eastAsia="Times New Roman"/>
                <w:b/>
                <w:noProof/>
                <w:sz w:val="20"/>
                <w:szCs w:val="20"/>
                <w:lang w:eastAsia="es-MX"/>
              </w:rPr>
              <w:t>Diferencia</w:t>
            </w:r>
            <w:r w:rsidRPr="0038142F">
              <w:rPr>
                <w:rFonts w:eastAsia="Times New Roman"/>
                <w:b/>
                <w:noProof/>
                <w:sz w:val="20"/>
                <w:szCs w:val="20"/>
                <w:u w:val="single"/>
                <w:vertAlign w:val="superscript"/>
                <w:lang w:eastAsia="es-MX"/>
              </w:rPr>
              <w:t>1</w:t>
            </w:r>
            <w:r w:rsidRPr="0038142F">
              <w:rPr>
                <w:rFonts w:eastAsia="Times New Roman"/>
                <w:b/>
                <w:noProof/>
                <w:sz w:val="20"/>
                <w:szCs w:val="20"/>
                <w:vertAlign w:val="superscript"/>
                <w:lang w:eastAsia="es-MX"/>
              </w:rPr>
              <w:t>/</w:t>
            </w:r>
          </w:p>
        </w:tc>
        <w:tc>
          <w:tcPr>
            <w:tcW w:w="1559" w:type="dxa"/>
            <w:tcBorders>
              <w:top w:val="single" w:sz="4" w:space="0" w:color="auto"/>
              <w:left w:val="single" w:sz="4" w:space="0" w:color="auto"/>
              <w:bottom w:val="single" w:sz="4" w:space="0" w:color="auto"/>
              <w:right w:val="single" w:sz="4" w:space="0" w:color="auto"/>
            </w:tcBorders>
            <w:vAlign w:val="center"/>
          </w:tcPr>
          <w:p w14:paraId="37618675" w14:textId="77777777" w:rsidR="0038142F" w:rsidRPr="0038142F" w:rsidRDefault="0038142F" w:rsidP="0038142F">
            <w:pPr>
              <w:jc w:val="center"/>
              <w:rPr>
                <w:rFonts w:eastAsia="Times New Roman"/>
                <w:b/>
                <w:noProof/>
                <w:sz w:val="20"/>
                <w:szCs w:val="20"/>
                <w:lang w:eastAsia="es-MX"/>
              </w:rPr>
            </w:pPr>
            <w:r w:rsidRPr="0038142F">
              <w:rPr>
                <w:rFonts w:eastAsia="Times New Roman"/>
                <w:b/>
                <w:noProof/>
                <w:sz w:val="20"/>
                <w:szCs w:val="20"/>
                <w:lang w:eastAsia="es-MX"/>
              </w:rPr>
              <w:t>Número de meses consecutivos por arriba o por debajo del umbral de 50 puntos</w:t>
            </w:r>
          </w:p>
        </w:tc>
      </w:tr>
      <w:tr w:rsidR="0038142F" w:rsidRPr="0038142F" w14:paraId="2579B65E" w14:textId="77777777" w:rsidTr="0024224F">
        <w:tc>
          <w:tcPr>
            <w:tcW w:w="4219" w:type="dxa"/>
            <w:tcBorders>
              <w:top w:val="single" w:sz="4" w:space="0" w:color="auto"/>
              <w:left w:val="single" w:sz="4" w:space="0" w:color="auto"/>
              <w:bottom w:val="nil"/>
              <w:right w:val="single" w:sz="4" w:space="0" w:color="auto"/>
            </w:tcBorders>
          </w:tcPr>
          <w:p w14:paraId="6A195534" w14:textId="77777777" w:rsidR="0038142F" w:rsidRPr="0038142F" w:rsidRDefault="0038142F" w:rsidP="0038142F">
            <w:pPr>
              <w:jc w:val="both"/>
              <w:rPr>
                <w:rFonts w:eastAsia="Times New Roman"/>
                <w:b/>
                <w:noProof/>
                <w:sz w:val="20"/>
                <w:szCs w:val="20"/>
                <w:lang w:eastAsia="es-MX"/>
              </w:rPr>
            </w:pPr>
            <w:r w:rsidRPr="0038142F">
              <w:rPr>
                <w:rFonts w:eastAsia="Times New Roman"/>
                <w:b/>
                <w:noProof/>
                <w:sz w:val="20"/>
                <w:szCs w:val="20"/>
                <w:lang w:eastAsia="es-MX"/>
              </w:rPr>
              <w:t>Indicador de Confianza Empresarial Manufacturero</w:t>
            </w:r>
          </w:p>
        </w:tc>
        <w:tc>
          <w:tcPr>
            <w:tcW w:w="1168" w:type="dxa"/>
            <w:tcBorders>
              <w:top w:val="single" w:sz="4" w:space="0" w:color="auto"/>
              <w:left w:val="single" w:sz="4" w:space="0" w:color="auto"/>
              <w:bottom w:val="nil"/>
              <w:right w:val="single" w:sz="4" w:space="0" w:color="auto"/>
            </w:tcBorders>
            <w:vAlign w:val="center"/>
          </w:tcPr>
          <w:p w14:paraId="68E69A08" w14:textId="77777777" w:rsidR="0038142F" w:rsidRPr="0038142F" w:rsidRDefault="0038142F" w:rsidP="0038142F">
            <w:pPr>
              <w:jc w:val="center"/>
              <w:rPr>
                <w:rFonts w:eastAsia="Times New Roman"/>
                <w:b/>
                <w:noProof/>
                <w:sz w:val="20"/>
                <w:szCs w:val="20"/>
                <w:lang w:eastAsia="es-MX"/>
              </w:rPr>
            </w:pPr>
            <w:r w:rsidRPr="0038142F">
              <w:rPr>
                <w:rFonts w:eastAsia="Times New Roman"/>
                <w:b/>
                <w:noProof/>
                <w:sz w:val="20"/>
                <w:szCs w:val="20"/>
                <w:lang w:eastAsia="es-MX"/>
              </w:rPr>
              <w:t>50.3</w:t>
            </w:r>
          </w:p>
        </w:tc>
        <w:tc>
          <w:tcPr>
            <w:tcW w:w="1242" w:type="dxa"/>
            <w:tcBorders>
              <w:top w:val="single" w:sz="4" w:space="0" w:color="auto"/>
              <w:left w:val="single" w:sz="4" w:space="0" w:color="auto"/>
              <w:bottom w:val="nil"/>
              <w:right w:val="single" w:sz="4" w:space="0" w:color="auto"/>
            </w:tcBorders>
            <w:vAlign w:val="center"/>
          </w:tcPr>
          <w:p w14:paraId="71B0258E" w14:textId="77777777" w:rsidR="0038142F" w:rsidRPr="0038142F" w:rsidRDefault="0038142F" w:rsidP="0038142F">
            <w:pPr>
              <w:jc w:val="center"/>
              <w:rPr>
                <w:rFonts w:eastAsia="Times New Roman"/>
                <w:b/>
                <w:noProof/>
                <w:sz w:val="20"/>
                <w:szCs w:val="20"/>
                <w:lang w:eastAsia="es-MX"/>
              </w:rPr>
            </w:pPr>
            <w:r w:rsidRPr="0038142F">
              <w:rPr>
                <w:rFonts w:eastAsia="Times New Roman"/>
                <w:b/>
                <w:noProof/>
                <w:sz w:val="20"/>
                <w:szCs w:val="20"/>
                <w:lang w:eastAsia="es-MX"/>
              </w:rPr>
              <w:t>49.5</w:t>
            </w:r>
          </w:p>
        </w:tc>
        <w:tc>
          <w:tcPr>
            <w:tcW w:w="1276" w:type="dxa"/>
            <w:tcBorders>
              <w:top w:val="single" w:sz="4" w:space="0" w:color="auto"/>
              <w:left w:val="single" w:sz="4" w:space="0" w:color="auto"/>
              <w:bottom w:val="nil"/>
              <w:right w:val="single" w:sz="4" w:space="0" w:color="auto"/>
            </w:tcBorders>
            <w:vAlign w:val="center"/>
          </w:tcPr>
          <w:p w14:paraId="0D9DB412" w14:textId="77777777" w:rsidR="0038142F" w:rsidRPr="0038142F" w:rsidRDefault="0038142F" w:rsidP="0038142F">
            <w:pPr>
              <w:ind w:right="340"/>
              <w:jc w:val="right"/>
              <w:rPr>
                <w:rFonts w:eastAsia="Times New Roman"/>
                <w:b/>
                <w:noProof/>
                <w:sz w:val="20"/>
                <w:szCs w:val="20"/>
                <w:lang w:eastAsia="es-MX"/>
              </w:rPr>
            </w:pPr>
            <w:r w:rsidRPr="0038142F">
              <w:rPr>
                <w:rFonts w:eastAsia="Times New Roman"/>
                <w:b/>
                <w:noProof/>
                <w:sz w:val="20"/>
                <w:szCs w:val="20"/>
                <w:lang w:eastAsia="es-MX"/>
              </w:rPr>
              <w:t>-0.83</w:t>
            </w:r>
          </w:p>
        </w:tc>
        <w:tc>
          <w:tcPr>
            <w:tcW w:w="1559" w:type="dxa"/>
            <w:tcBorders>
              <w:top w:val="single" w:sz="4" w:space="0" w:color="auto"/>
              <w:left w:val="single" w:sz="4" w:space="0" w:color="auto"/>
              <w:bottom w:val="nil"/>
              <w:right w:val="single" w:sz="4" w:space="0" w:color="auto"/>
            </w:tcBorders>
            <w:vAlign w:val="center"/>
          </w:tcPr>
          <w:p w14:paraId="7611D733" w14:textId="77777777" w:rsidR="0038142F" w:rsidRPr="0038142F" w:rsidRDefault="0038142F" w:rsidP="0038142F">
            <w:pPr>
              <w:ind w:right="57"/>
              <w:jc w:val="right"/>
              <w:rPr>
                <w:rFonts w:eastAsia="Times New Roman"/>
                <w:b/>
                <w:noProof/>
                <w:sz w:val="20"/>
                <w:szCs w:val="20"/>
                <w:lang w:eastAsia="es-MX"/>
              </w:rPr>
            </w:pPr>
            <w:r w:rsidRPr="0038142F">
              <w:rPr>
                <w:rFonts w:eastAsia="Times New Roman"/>
                <w:b/>
                <w:noProof/>
                <w:sz w:val="20"/>
                <w:szCs w:val="20"/>
                <w:lang w:eastAsia="es-MX"/>
              </w:rPr>
              <w:t>1 por debajo</w:t>
            </w:r>
          </w:p>
        </w:tc>
      </w:tr>
      <w:tr w:rsidR="0038142F" w:rsidRPr="0038142F" w14:paraId="5A784B2E" w14:textId="77777777" w:rsidTr="0024224F">
        <w:tc>
          <w:tcPr>
            <w:tcW w:w="4219" w:type="dxa"/>
            <w:tcBorders>
              <w:top w:val="nil"/>
              <w:left w:val="single" w:sz="4" w:space="0" w:color="auto"/>
              <w:bottom w:val="nil"/>
              <w:right w:val="single" w:sz="4" w:space="0" w:color="auto"/>
            </w:tcBorders>
          </w:tcPr>
          <w:p w14:paraId="4955EAEC" w14:textId="77777777" w:rsidR="0038142F" w:rsidRPr="0038142F" w:rsidRDefault="0038142F" w:rsidP="0038142F">
            <w:pPr>
              <w:jc w:val="both"/>
              <w:rPr>
                <w:rFonts w:eastAsia="Times New Roman"/>
                <w:noProof/>
                <w:sz w:val="20"/>
                <w:szCs w:val="20"/>
                <w:lang w:eastAsia="es-MX"/>
              </w:rPr>
            </w:pPr>
            <w:r w:rsidRPr="0038142F">
              <w:rPr>
                <w:rFonts w:eastAsia="Times New Roman"/>
                <w:noProof/>
                <w:sz w:val="20"/>
                <w:szCs w:val="20"/>
                <w:lang w:eastAsia="es-MX"/>
              </w:rPr>
              <w:t>a) Momento adecuado para invertir</w:t>
            </w:r>
          </w:p>
        </w:tc>
        <w:tc>
          <w:tcPr>
            <w:tcW w:w="1168" w:type="dxa"/>
            <w:tcBorders>
              <w:top w:val="nil"/>
              <w:left w:val="single" w:sz="4" w:space="0" w:color="auto"/>
              <w:bottom w:val="nil"/>
              <w:right w:val="single" w:sz="4" w:space="0" w:color="auto"/>
            </w:tcBorders>
          </w:tcPr>
          <w:p w14:paraId="0022311C" w14:textId="77777777" w:rsidR="0038142F" w:rsidRPr="0038142F" w:rsidRDefault="0038142F" w:rsidP="0038142F">
            <w:pPr>
              <w:jc w:val="center"/>
              <w:rPr>
                <w:rFonts w:eastAsia="Times New Roman"/>
                <w:noProof/>
                <w:sz w:val="20"/>
                <w:szCs w:val="20"/>
                <w:lang w:eastAsia="es-MX"/>
              </w:rPr>
            </w:pPr>
            <w:r w:rsidRPr="0038142F">
              <w:rPr>
                <w:rFonts w:eastAsia="Times New Roman"/>
                <w:noProof/>
                <w:sz w:val="20"/>
                <w:szCs w:val="20"/>
                <w:lang w:eastAsia="es-MX"/>
              </w:rPr>
              <w:t>41.0</w:t>
            </w:r>
          </w:p>
        </w:tc>
        <w:tc>
          <w:tcPr>
            <w:tcW w:w="1242" w:type="dxa"/>
            <w:tcBorders>
              <w:top w:val="nil"/>
              <w:left w:val="single" w:sz="4" w:space="0" w:color="auto"/>
              <w:bottom w:val="nil"/>
              <w:right w:val="single" w:sz="4" w:space="0" w:color="auto"/>
            </w:tcBorders>
          </w:tcPr>
          <w:p w14:paraId="3AC2BCB0" w14:textId="77777777" w:rsidR="0038142F" w:rsidRPr="0038142F" w:rsidRDefault="0038142F" w:rsidP="0038142F">
            <w:pPr>
              <w:jc w:val="center"/>
              <w:rPr>
                <w:rFonts w:eastAsia="Times New Roman"/>
                <w:noProof/>
                <w:sz w:val="20"/>
                <w:szCs w:val="20"/>
                <w:lang w:eastAsia="es-MX"/>
              </w:rPr>
            </w:pPr>
            <w:r w:rsidRPr="0038142F">
              <w:rPr>
                <w:rFonts w:eastAsia="Times New Roman"/>
                <w:noProof/>
                <w:sz w:val="20"/>
                <w:szCs w:val="20"/>
                <w:lang w:eastAsia="es-MX"/>
              </w:rPr>
              <w:t>39.2</w:t>
            </w:r>
          </w:p>
        </w:tc>
        <w:tc>
          <w:tcPr>
            <w:tcW w:w="1276" w:type="dxa"/>
            <w:tcBorders>
              <w:top w:val="nil"/>
              <w:left w:val="single" w:sz="4" w:space="0" w:color="auto"/>
              <w:bottom w:val="nil"/>
              <w:right w:val="single" w:sz="4" w:space="0" w:color="auto"/>
            </w:tcBorders>
          </w:tcPr>
          <w:p w14:paraId="5BCD8AA6" w14:textId="77777777" w:rsidR="0038142F" w:rsidRPr="0038142F" w:rsidRDefault="0038142F" w:rsidP="0038142F">
            <w:pPr>
              <w:ind w:right="340"/>
              <w:jc w:val="right"/>
              <w:rPr>
                <w:rFonts w:eastAsia="Times New Roman"/>
                <w:noProof/>
                <w:sz w:val="20"/>
                <w:szCs w:val="20"/>
                <w:lang w:eastAsia="es-MX"/>
              </w:rPr>
            </w:pPr>
            <w:r w:rsidRPr="0038142F">
              <w:rPr>
                <w:rFonts w:eastAsia="Times New Roman"/>
                <w:noProof/>
                <w:sz w:val="20"/>
                <w:szCs w:val="20"/>
                <w:lang w:eastAsia="es-MX"/>
              </w:rPr>
              <w:t>-1.77</w:t>
            </w:r>
          </w:p>
        </w:tc>
        <w:tc>
          <w:tcPr>
            <w:tcW w:w="1559" w:type="dxa"/>
            <w:tcBorders>
              <w:top w:val="nil"/>
              <w:left w:val="single" w:sz="4" w:space="0" w:color="auto"/>
              <w:bottom w:val="nil"/>
              <w:right w:val="single" w:sz="4" w:space="0" w:color="auto"/>
            </w:tcBorders>
          </w:tcPr>
          <w:p w14:paraId="774CDAF1" w14:textId="77777777" w:rsidR="0038142F" w:rsidRPr="0038142F" w:rsidRDefault="0038142F" w:rsidP="0038142F">
            <w:pPr>
              <w:ind w:right="113"/>
              <w:jc w:val="right"/>
              <w:rPr>
                <w:rFonts w:eastAsia="Times New Roman"/>
                <w:noProof/>
                <w:sz w:val="20"/>
                <w:szCs w:val="20"/>
                <w:lang w:eastAsia="es-MX"/>
              </w:rPr>
            </w:pPr>
            <w:r w:rsidRPr="0038142F">
              <w:rPr>
                <w:rFonts w:eastAsia="Times New Roman"/>
                <w:noProof/>
                <w:sz w:val="20"/>
                <w:szCs w:val="20"/>
                <w:lang w:eastAsia="es-MX"/>
              </w:rPr>
              <w:t>87 por debajo</w:t>
            </w:r>
          </w:p>
        </w:tc>
      </w:tr>
      <w:tr w:rsidR="0038142F" w:rsidRPr="0038142F" w14:paraId="3A7F5E7C" w14:textId="77777777" w:rsidTr="0024224F">
        <w:tc>
          <w:tcPr>
            <w:tcW w:w="4219" w:type="dxa"/>
            <w:tcBorders>
              <w:top w:val="nil"/>
              <w:left w:val="single" w:sz="4" w:space="0" w:color="auto"/>
              <w:bottom w:val="nil"/>
              <w:right w:val="single" w:sz="4" w:space="0" w:color="auto"/>
            </w:tcBorders>
          </w:tcPr>
          <w:p w14:paraId="53E918D3" w14:textId="77777777" w:rsidR="0038142F" w:rsidRPr="0038142F" w:rsidRDefault="0038142F" w:rsidP="0038142F">
            <w:pPr>
              <w:jc w:val="both"/>
              <w:rPr>
                <w:rFonts w:eastAsia="Times New Roman"/>
                <w:noProof/>
                <w:sz w:val="20"/>
                <w:szCs w:val="20"/>
                <w:lang w:eastAsia="es-MX"/>
              </w:rPr>
            </w:pPr>
            <w:r w:rsidRPr="0038142F">
              <w:rPr>
                <w:rFonts w:eastAsia="Times New Roman"/>
                <w:noProof/>
                <w:sz w:val="20"/>
                <w:szCs w:val="20"/>
                <w:lang w:eastAsia="es-MX"/>
              </w:rPr>
              <w:t>b) Situación económica presente del país</w:t>
            </w:r>
          </w:p>
        </w:tc>
        <w:tc>
          <w:tcPr>
            <w:tcW w:w="1168" w:type="dxa"/>
            <w:tcBorders>
              <w:top w:val="nil"/>
              <w:left w:val="single" w:sz="4" w:space="0" w:color="auto"/>
              <w:bottom w:val="nil"/>
              <w:right w:val="single" w:sz="4" w:space="0" w:color="auto"/>
            </w:tcBorders>
          </w:tcPr>
          <w:p w14:paraId="306A2CD2" w14:textId="77777777" w:rsidR="0038142F" w:rsidRPr="0038142F" w:rsidRDefault="0038142F" w:rsidP="0038142F">
            <w:pPr>
              <w:jc w:val="center"/>
              <w:rPr>
                <w:rFonts w:eastAsia="Times New Roman"/>
                <w:noProof/>
                <w:sz w:val="20"/>
                <w:szCs w:val="20"/>
                <w:lang w:eastAsia="es-MX"/>
              </w:rPr>
            </w:pPr>
            <w:r w:rsidRPr="0038142F">
              <w:rPr>
                <w:rFonts w:eastAsia="Times New Roman"/>
                <w:noProof/>
                <w:sz w:val="20"/>
                <w:szCs w:val="20"/>
                <w:lang w:eastAsia="es-MX"/>
              </w:rPr>
              <w:t>46.0</w:t>
            </w:r>
          </w:p>
        </w:tc>
        <w:tc>
          <w:tcPr>
            <w:tcW w:w="1242" w:type="dxa"/>
            <w:tcBorders>
              <w:top w:val="nil"/>
              <w:left w:val="single" w:sz="4" w:space="0" w:color="auto"/>
              <w:bottom w:val="nil"/>
              <w:right w:val="single" w:sz="4" w:space="0" w:color="auto"/>
            </w:tcBorders>
          </w:tcPr>
          <w:p w14:paraId="744649C8" w14:textId="77777777" w:rsidR="0038142F" w:rsidRPr="0038142F" w:rsidRDefault="0038142F" w:rsidP="0038142F">
            <w:pPr>
              <w:jc w:val="center"/>
              <w:rPr>
                <w:rFonts w:eastAsia="Times New Roman"/>
                <w:noProof/>
                <w:sz w:val="20"/>
                <w:szCs w:val="20"/>
                <w:lang w:eastAsia="es-MX"/>
              </w:rPr>
            </w:pPr>
            <w:r w:rsidRPr="0038142F">
              <w:rPr>
                <w:rFonts w:eastAsia="Times New Roman"/>
                <w:noProof/>
                <w:sz w:val="20"/>
                <w:szCs w:val="20"/>
                <w:lang w:eastAsia="es-MX"/>
              </w:rPr>
              <w:t>45.7</w:t>
            </w:r>
          </w:p>
        </w:tc>
        <w:tc>
          <w:tcPr>
            <w:tcW w:w="1276" w:type="dxa"/>
            <w:tcBorders>
              <w:top w:val="nil"/>
              <w:left w:val="single" w:sz="4" w:space="0" w:color="auto"/>
              <w:bottom w:val="nil"/>
              <w:right w:val="single" w:sz="4" w:space="0" w:color="auto"/>
            </w:tcBorders>
          </w:tcPr>
          <w:p w14:paraId="47896129" w14:textId="77777777" w:rsidR="0038142F" w:rsidRPr="0038142F" w:rsidRDefault="0038142F" w:rsidP="0038142F">
            <w:pPr>
              <w:ind w:right="340"/>
              <w:jc w:val="right"/>
              <w:rPr>
                <w:rFonts w:eastAsia="Times New Roman"/>
                <w:noProof/>
                <w:sz w:val="20"/>
                <w:szCs w:val="20"/>
                <w:lang w:eastAsia="es-MX"/>
              </w:rPr>
            </w:pPr>
            <w:r w:rsidRPr="0038142F">
              <w:rPr>
                <w:rFonts w:eastAsia="Times New Roman"/>
                <w:noProof/>
                <w:sz w:val="20"/>
                <w:szCs w:val="20"/>
                <w:lang w:eastAsia="es-MX"/>
              </w:rPr>
              <w:t>-0.31</w:t>
            </w:r>
          </w:p>
        </w:tc>
        <w:tc>
          <w:tcPr>
            <w:tcW w:w="1559" w:type="dxa"/>
            <w:tcBorders>
              <w:top w:val="nil"/>
              <w:left w:val="single" w:sz="4" w:space="0" w:color="auto"/>
              <w:bottom w:val="nil"/>
              <w:right w:val="single" w:sz="4" w:space="0" w:color="auto"/>
            </w:tcBorders>
          </w:tcPr>
          <w:p w14:paraId="7C61441F" w14:textId="77777777" w:rsidR="0038142F" w:rsidRPr="0038142F" w:rsidRDefault="0038142F" w:rsidP="0038142F">
            <w:pPr>
              <w:ind w:right="113"/>
              <w:jc w:val="right"/>
              <w:rPr>
                <w:rFonts w:eastAsia="Times New Roman"/>
                <w:noProof/>
                <w:sz w:val="20"/>
                <w:szCs w:val="20"/>
                <w:lang w:eastAsia="es-MX"/>
              </w:rPr>
            </w:pPr>
            <w:r w:rsidRPr="0038142F">
              <w:rPr>
                <w:rFonts w:eastAsia="Times New Roman"/>
                <w:noProof/>
                <w:sz w:val="20"/>
                <w:szCs w:val="20"/>
                <w:lang w:eastAsia="es-MX"/>
              </w:rPr>
              <w:t>18 por debajo</w:t>
            </w:r>
          </w:p>
        </w:tc>
      </w:tr>
      <w:tr w:rsidR="0038142F" w:rsidRPr="0038142F" w14:paraId="71015C07" w14:textId="77777777" w:rsidTr="0024224F">
        <w:tc>
          <w:tcPr>
            <w:tcW w:w="4219" w:type="dxa"/>
            <w:tcBorders>
              <w:top w:val="nil"/>
              <w:left w:val="single" w:sz="4" w:space="0" w:color="auto"/>
              <w:bottom w:val="nil"/>
              <w:right w:val="single" w:sz="4" w:space="0" w:color="auto"/>
            </w:tcBorders>
          </w:tcPr>
          <w:p w14:paraId="43589363" w14:textId="77777777" w:rsidR="0038142F" w:rsidRPr="0038142F" w:rsidRDefault="0038142F" w:rsidP="0038142F">
            <w:pPr>
              <w:jc w:val="both"/>
              <w:rPr>
                <w:rFonts w:eastAsia="Times New Roman"/>
                <w:noProof/>
                <w:sz w:val="20"/>
                <w:szCs w:val="20"/>
                <w:lang w:eastAsia="es-MX"/>
              </w:rPr>
            </w:pPr>
            <w:r w:rsidRPr="0038142F">
              <w:rPr>
                <w:rFonts w:eastAsia="Times New Roman"/>
                <w:noProof/>
                <w:sz w:val="20"/>
                <w:szCs w:val="20"/>
                <w:lang w:eastAsia="es-MX"/>
              </w:rPr>
              <w:t>c) Situación económica futura del país</w:t>
            </w:r>
            <w:r w:rsidRPr="0038142F">
              <w:rPr>
                <w:rFonts w:eastAsia="Times New Roman"/>
                <w:noProof/>
                <w:sz w:val="20"/>
                <w:szCs w:val="20"/>
                <w:u w:val="single"/>
                <w:vertAlign w:val="superscript"/>
                <w:lang w:eastAsia="es-MX"/>
              </w:rPr>
              <w:t>2</w:t>
            </w:r>
            <w:r w:rsidRPr="0038142F">
              <w:rPr>
                <w:rFonts w:eastAsia="Times New Roman"/>
                <w:noProof/>
                <w:sz w:val="20"/>
                <w:szCs w:val="20"/>
                <w:vertAlign w:val="superscript"/>
                <w:lang w:eastAsia="es-MX"/>
              </w:rPr>
              <w:t>/</w:t>
            </w:r>
          </w:p>
        </w:tc>
        <w:tc>
          <w:tcPr>
            <w:tcW w:w="1168" w:type="dxa"/>
            <w:tcBorders>
              <w:top w:val="nil"/>
              <w:left w:val="single" w:sz="4" w:space="0" w:color="auto"/>
              <w:bottom w:val="nil"/>
              <w:right w:val="single" w:sz="4" w:space="0" w:color="auto"/>
            </w:tcBorders>
          </w:tcPr>
          <w:p w14:paraId="381B1CB9" w14:textId="77777777" w:rsidR="0038142F" w:rsidRPr="0038142F" w:rsidRDefault="0038142F" w:rsidP="0038142F">
            <w:pPr>
              <w:jc w:val="center"/>
              <w:rPr>
                <w:rFonts w:eastAsia="Times New Roman"/>
                <w:noProof/>
                <w:sz w:val="20"/>
                <w:szCs w:val="20"/>
                <w:lang w:eastAsia="es-MX"/>
              </w:rPr>
            </w:pPr>
            <w:r w:rsidRPr="0038142F">
              <w:rPr>
                <w:rFonts w:eastAsia="Times New Roman"/>
                <w:noProof/>
                <w:sz w:val="20"/>
                <w:szCs w:val="20"/>
                <w:lang w:eastAsia="es-MX"/>
              </w:rPr>
              <w:t>52.5</w:t>
            </w:r>
          </w:p>
        </w:tc>
        <w:tc>
          <w:tcPr>
            <w:tcW w:w="1242" w:type="dxa"/>
            <w:tcBorders>
              <w:top w:val="nil"/>
              <w:left w:val="single" w:sz="4" w:space="0" w:color="auto"/>
              <w:bottom w:val="nil"/>
              <w:right w:val="single" w:sz="4" w:space="0" w:color="auto"/>
            </w:tcBorders>
          </w:tcPr>
          <w:p w14:paraId="0329C44C" w14:textId="77777777" w:rsidR="0038142F" w:rsidRPr="0038142F" w:rsidRDefault="0038142F" w:rsidP="0038142F">
            <w:pPr>
              <w:jc w:val="center"/>
              <w:rPr>
                <w:rFonts w:eastAsia="Times New Roman"/>
                <w:noProof/>
                <w:sz w:val="20"/>
                <w:szCs w:val="20"/>
                <w:lang w:eastAsia="es-MX"/>
              </w:rPr>
            </w:pPr>
            <w:r w:rsidRPr="0038142F">
              <w:rPr>
                <w:rFonts w:eastAsia="Times New Roman"/>
                <w:noProof/>
                <w:sz w:val="20"/>
                <w:szCs w:val="20"/>
                <w:lang w:eastAsia="es-MX"/>
              </w:rPr>
              <w:t>51.7</w:t>
            </w:r>
          </w:p>
        </w:tc>
        <w:tc>
          <w:tcPr>
            <w:tcW w:w="1276" w:type="dxa"/>
            <w:tcBorders>
              <w:top w:val="nil"/>
              <w:left w:val="single" w:sz="4" w:space="0" w:color="auto"/>
              <w:bottom w:val="nil"/>
              <w:right w:val="single" w:sz="4" w:space="0" w:color="auto"/>
            </w:tcBorders>
          </w:tcPr>
          <w:p w14:paraId="745C37FA" w14:textId="77777777" w:rsidR="0038142F" w:rsidRPr="0038142F" w:rsidRDefault="0038142F" w:rsidP="0038142F">
            <w:pPr>
              <w:ind w:right="340"/>
              <w:jc w:val="right"/>
              <w:rPr>
                <w:rFonts w:eastAsia="Times New Roman"/>
                <w:noProof/>
                <w:sz w:val="20"/>
                <w:szCs w:val="20"/>
                <w:lang w:eastAsia="es-MX"/>
              </w:rPr>
            </w:pPr>
            <w:r w:rsidRPr="0038142F">
              <w:rPr>
                <w:rFonts w:eastAsia="Times New Roman"/>
                <w:noProof/>
                <w:sz w:val="20"/>
                <w:szCs w:val="20"/>
                <w:lang w:eastAsia="es-MX"/>
              </w:rPr>
              <w:t>-0.75</w:t>
            </w:r>
          </w:p>
        </w:tc>
        <w:tc>
          <w:tcPr>
            <w:tcW w:w="1559" w:type="dxa"/>
            <w:tcBorders>
              <w:top w:val="nil"/>
              <w:left w:val="single" w:sz="4" w:space="0" w:color="auto"/>
              <w:bottom w:val="nil"/>
              <w:right w:val="single" w:sz="4" w:space="0" w:color="auto"/>
            </w:tcBorders>
          </w:tcPr>
          <w:p w14:paraId="10DC5DA6" w14:textId="77777777" w:rsidR="0038142F" w:rsidRPr="0038142F" w:rsidRDefault="0038142F" w:rsidP="0038142F">
            <w:pPr>
              <w:ind w:right="170"/>
              <w:jc w:val="right"/>
              <w:rPr>
                <w:rFonts w:eastAsia="Times New Roman"/>
                <w:noProof/>
                <w:sz w:val="20"/>
                <w:szCs w:val="20"/>
                <w:lang w:eastAsia="es-MX"/>
              </w:rPr>
            </w:pPr>
            <w:r w:rsidRPr="0038142F">
              <w:rPr>
                <w:rFonts w:eastAsia="Times New Roman"/>
                <w:noProof/>
                <w:sz w:val="20"/>
                <w:szCs w:val="20"/>
                <w:lang w:eastAsia="es-MX"/>
              </w:rPr>
              <w:t>68 por arriba</w:t>
            </w:r>
          </w:p>
        </w:tc>
      </w:tr>
      <w:tr w:rsidR="0038142F" w:rsidRPr="0038142F" w14:paraId="1570163C" w14:textId="77777777" w:rsidTr="0024224F">
        <w:tc>
          <w:tcPr>
            <w:tcW w:w="4219" w:type="dxa"/>
            <w:tcBorders>
              <w:top w:val="nil"/>
              <w:left w:val="single" w:sz="4" w:space="0" w:color="auto"/>
              <w:bottom w:val="nil"/>
              <w:right w:val="single" w:sz="4" w:space="0" w:color="auto"/>
            </w:tcBorders>
          </w:tcPr>
          <w:p w14:paraId="5C34779F" w14:textId="77777777" w:rsidR="0038142F" w:rsidRPr="0038142F" w:rsidRDefault="0038142F" w:rsidP="0038142F">
            <w:pPr>
              <w:jc w:val="both"/>
              <w:rPr>
                <w:rFonts w:eastAsia="Times New Roman"/>
                <w:noProof/>
                <w:sz w:val="20"/>
                <w:szCs w:val="20"/>
                <w:lang w:eastAsia="es-MX"/>
              </w:rPr>
            </w:pPr>
            <w:r w:rsidRPr="0038142F">
              <w:rPr>
                <w:rFonts w:eastAsia="Times New Roman"/>
                <w:noProof/>
                <w:sz w:val="20"/>
                <w:szCs w:val="20"/>
                <w:lang w:eastAsia="es-MX"/>
              </w:rPr>
              <w:t>d) Situación económica presente de la empresa</w:t>
            </w:r>
            <w:r w:rsidRPr="0038142F">
              <w:rPr>
                <w:rFonts w:eastAsia="Times New Roman"/>
                <w:noProof/>
                <w:sz w:val="20"/>
                <w:szCs w:val="20"/>
                <w:u w:val="single"/>
                <w:vertAlign w:val="superscript"/>
                <w:lang w:eastAsia="es-MX"/>
              </w:rPr>
              <w:t>3</w:t>
            </w:r>
            <w:r w:rsidRPr="0038142F">
              <w:rPr>
                <w:rFonts w:eastAsia="Times New Roman"/>
                <w:noProof/>
                <w:sz w:val="20"/>
                <w:szCs w:val="20"/>
                <w:vertAlign w:val="superscript"/>
                <w:lang w:eastAsia="es-MX"/>
              </w:rPr>
              <w:t>/</w:t>
            </w:r>
          </w:p>
        </w:tc>
        <w:tc>
          <w:tcPr>
            <w:tcW w:w="1168" w:type="dxa"/>
            <w:tcBorders>
              <w:top w:val="nil"/>
              <w:left w:val="single" w:sz="4" w:space="0" w:color="auto"/>
              <w:bottom w:val="nil"/>
              <w:right w:val="single" w:sz="4" w:space="0" w:color="auto"/>
            </w:tcBorders>
          </w:tcPr>
          <w:p w14:paraId="63DDEAFF" w14:textId="77777777" w:rsidR="0038142F" w:rsidRPr="0038142F" w:rsidRDefault="0038142F" w:rsidP="0038142F">
            <w:pPr>
              <w:jc w:val="center"/>
              <w:rPr>
                <w:rFonts w:eastAsia="Times New Roman"/>
                <w:noProof/>
                <w:sz w:val="20"/>
                <w:szCs w:val="20"/>
                <w:lang w:eastAsia="es-MX"/>
              </w:rPr>
            </w:pPr>
            <w:r w:rsidRPr="0038142F">
              <w:rPr>
                <w:rFonts w:eastAsia="Times New Roman"/>
                <w:noProof/>
                <w:sz w:val="20"/>
                <w:szCs w:val="20"/>
                <w:lang w:eastAsia="es-MX"/>
              </w:rPr>
              <w:t>52.8</w:t>
            </w:r>
          </w:p>
        </w:tc>
        <w:tc>
          <w:tcPr>
            <w:tcW w:w="1242" w:type="dxa"/>
            <w:tcBorders>
              <w:top w:val="nil"/>
              <w:left w:val="single" w:sz="4" w:space="0" w:color="auto"/>
              <w:bottom w:val="nil"/>
              <w:right w:val="single" w:sz="4" w:space="0" w:color="auto"/>
            </w:tcBorders>
          </w:tcPr>
          <w:p w14:paraId="538D297A" w14:textId="77777777" w:rsidR="0038142F" w:rsidRPr="0038142F" w:rsidRDefault="0038142F" w:rsidP="0038142F">
            <w:pPr>
              <w:jc w:val="center"/>
              <w:rPr>
                <w:rFonts w:eastAsia="Times New Roman"/>
                <w:noProof/>
                <w:sz w:val="20"/>
                <w:szCs w:val="20"/>
                <w:lang w:eastAsia="es-MX"/>
              </w:rPr>
            </w:pPr>
            <w:r w:rsidRPr="0038142F">
              <w:rPr>
                <w:rFonts w:eastAsia="Times New Roman"/>
                <w:noProof/>
                <w:sz w:val="20"/>
                <w:szCs w:val="20"/>
                <w:lang w:eastAsia="es-MX"/>
              </w:rPr>
              <w:t>52.5</w:t>
            </w:r>
          </w:p>
        </w:tc>
        <w:tc>
          <w:tcPr>
            <w:tcW w:w="1276" w:type="dxa"/>
            <w:tcBorders>
              <w:top w:val="nil"/>
              <w:left w:val="single" w:sz="4" w:space="0" w:color="auto"/>
              <w:bottom w:val="nil"/>
              <w:right w:val="single" w:sz="4" w:space="0" w:color="auto"/>
            </w:tcBorders>
          </w:tcPr>
          <w:p w14:paraId="697D1C49" w14:textId="77777777" w:rsidR="0038142F" w:rsidRPr="0038142F" w:rsidRDefault="0038142F" w:rsidP="0038142F">
            <w:pPr>
              <w:ind w:right="340"/>
              <w:jc w:val="right"/>
              <w:rPr>
                <w:rFonts w:eastAsia="Times New Roman"/>
                <w:noProof/>
                <w:sz w:val="20"/>
                <w:szCs w:val="20"/>
                <w:lang w:eastAsia="es-MX"/>
              </w:rPr>
            </w:pPr>
            <w:r w:rsidRPr="0038142F">
              <w:rPr>
                <w:rFonts w:eastAsia="Times New Roman"/>
                <w:noProof/>
                <w:sz w:val="20"/>
                <w:szCs w:val="20"/>
                <w:lang w:eastAsia="es-MX"/>
              </w:rPr>
              <w:t>-0.23</w:t>
            </w:r>
          </w:p>
        </w:tc>
        <w:tc>
          <w:tcPr>
            <w:tcW w:w="1559" w:type="dxa"/>
            <w:tcBorders>
              <w:top w:val="nil"/>
              <w:left w:val="single" w:sz="4" w:space="0" w:color="auto"/>
              <w:bottom w:val="nil"/>
              <w:right w:val="single" w:sz="4" w:space="0" w:color="auto"/>
            </w:tcBorders>
          </w:tcPr>
          <w:p w14:paraId="7FB31D18" w14:textId="77777777" w:rsidR="0038142F" w:rsidRPr="0038142F" w:rsidRDefault="0038142F" w:rsidP="0038142F">
            <w:pPr>
              <w:ind w:right="170"/>
              <w:jc w:val="right"/>
              <w:rPr>
                <w:rFonts w:eastAsia="Times New Roman"/>
                <w:noProof/>
                <w:sz w:val="20"/>
                <w:szCs w:val="20"/>
                <w:lang w:eastAsia="es-MX"/>
              </w:rPr>
            </w:pPr>
            <w:r w:rsidRPr="0038142F">
              <w:rPr>
                <w:rFonts w:eastAsia="Times New Roman"/>
                <w:noProof/>
                <w:sz w:val="20"/>
                <w:szCs w:val="20"/>
                <w:lang w:eastAsia="es-MX"/>
              </w:rPr>
              <w:t>60 por arriba</w:t>
            </w:r>
          </w:p>
        </w:tc>
      </w:tr>
      <w:tr w:rsidR="0038142F" w:rsidRPr="0038142F" w14:paraId="56B3431A" w14:textId="77777777" w:rsidTr="0024224F">
        <w:tc>
          <w:tcPr>
            <w:tcW w:w="4219" w:type="dxa"/>
            <w:tcBorders>
              <w:top w:val="nil"/>
              <w:left w:val="single" w:sz="4" w:space="0" w:color="auto"/>
              <w:bottom w:val="single" w:sz="4" w:space="0" w:color="auto"/>
              <w:right w:val="single" w:sz="4" w:space="0" w:color="auto"/>
            </w:tcBorders>
          </w:tcPr>
          <w:p w14:paraId="0811C0A9" w14:textId="77777777" w:rsidR="0038142F" w:rsidRPr="0038142F" w:rsidRDefault="0038142F" w:rsidP="0038142F">
            <w:pPr>
              <w:jc w:val="both"/>
              <w:rPr>
                <w:rFonts w:eastAsia="Times New Roman"/>
                <w:noProof/>
                <w:sz w:val="20"/>
                <w:szCs w:val="20"/>
                <w:lang w:eastAsia="es-MX"/>
              </w:rPr>
            </w:pPr>
            <w:r w:rsidRPr="0038142F">
              <w:rPr>
                <w:rFonts w:eastAsia="Times New Roman"/>
                <w:noProof/>
                <w:sz w:val="20"/>
                <w:szCs w:val="20"/>
                <w:lang w:eastAsia="es-MX"/>
              </w:rPr>
              <w:t>e) Situación económica futura de la empresa</w:t>
            </w:r>
            <w:r w:rsidRPr="0038142F">
              <w:rPr>
                <w:rFonts w:eastAsia="Times New Roman"/>
                <w:noProof/>
                <w:sz w:val="20"/>
                <w:szCs w:val="20"/>
                <w:u w:val="single"/>
                <w:vertAlign w:val="superscript"/>
                <w:lang w:eastAsia="es-MX"/>
              </w:rPr>
              <w:t>3</w:t>
            </w:r>
            <w:r w:rsidRPr="0038142F">
              <w:rPr>
                <w:rFonts w:eastAsia="Times New Roman"/>
                <w:noProof/>
                <w:sz w:val="20"/>
                <w:szCs w:val="20"/>
                <w:vertAlign w:val="superscript"/>
                <w:lang w:eastAsia="es-MX"/>
              </w:rPr>
              <w:t>/</w:t>
            </w:r>
          </w:p>
        </w:tc>
        <w:tc>
          <w:tcPr>
            <w:tcW w:w="1168" w:type="dxa"/>
            <w:tcBorders>
              <w:top w:val="nil"/>
              <w:left w:val="single" w:sz="4" w:space="0" w:color="auto"/>
              <w:bottom w:val="single" w:sz="4" w:space="0" w:color="auto"/>
              <w:right w:val="single" w:sz="4" w:space="0" w:color="auto"/>
            </w:tcBorders>
          </w:tcPr>
          <w:p w14:paraId="2C18C419" w14:textId="77777777" w:rsidR="0038142F" w:rsidRPr="0038142F" w:rsidRDefault="0038142F" w:rsidP="0038142F">
            <w:pPr>
              <w:jc w:val="center"/>
              <w:rPr>
                <w:rFonts w:eastAsia="Times New Roman"/>
                <w:noProof/>
                <w:sz w:val="20"/>
                <w:szCs w:val="20"/>
                <w:lang w:eastAsia="es-MX"/>
              </w:rPr>
            </w:pPr>
            <w:r w:rsidRPr="0038142F">
              <w:rPr>
                <w:rFonts w:eastAsia="Times New Roman"/>
                <w:noProof/>
                <w:sz w:val="20"/>
                <w:szCs w:val="20"/>
                <w:lang w:eastAsia="es-MX"/>
              </w:rPr>
              <w:t>58.8</w:t>
            </w:r>
          </w:p>
        </w:tc>
        <w:tc>
          <w:tcPr>
            <w:tcW w:w="1242" w:type="dxa"/>
            <w:tcBorders>
              <w:top w:val="nil"/>
              <w:left w:val="single" w:sz="4" w:space="0" w:color="auto"/>
              <w:bottom w:val="single" w:sz="4" w:space="0" w:color="auto"/>
              <w:right w:val="single" w:sz="4" w:space="0" w:color="auto"/>
            </w:tcBorders>
          </w:tcPr>
          <w:p w14:paraId="4D27CF78" w14:textId="77777777" w:rsidR="0038142F" w:rsidRPr="0038142F" w:rsidRDefault="0038142F" w:rsidP="0038142F">
            <w:pPr>
              <w:jc w:val="center"/>
              <w:rPr>
                <w:rFonts w:eastAsia="Times New Roman"/>
                <w:noProof/>
                <w:sz w:val="20"/>
                <w:szCs w:val="20"/>
                <w:lang w:eastAsia="es-MX"/>
              </w:rPr>
            </w:pPr>
            <w:r w:rsidRPr="0038142F">
              <w:rPr>
                <w:rFonts w:eastAsia="Times New Roman"/>
                <w:noProof/>
                <w:sz w:val="20"/>
                <w:szCs w:val="20"/>
                <w:lang w:eastAsia="es-MX"/>
              </w:rPr>
              <w:t>58.8</w:t>
            </w:r>
          </w:p>
        </w:tc>
        <w:tc>
          <w:tcPr>
            <w:tcW w:w="1276" w:type="dxa"/>
            <w:tcBorders>
              <w:top w:val="nil"/>
              <w:left w:val="single" w:sz="4" w:space="0" w:color="auto"/>
              <w:bottom w:val="single" w:sz="4" w:space="0" w:color="auto"/>
              <w:right w:val="single" w:sz="4" w:space="0" w:color="auto"/>
            </w:tcBorders>
          </w:tcPr>
          <w:p w14:paraId="0B4F0703" w14:textId="77777777" w:rsidR="0038142F" w:rsidRPr="0038142F" w:rsidRDefault="0038142F" w:rsidP="0038142F">
            <w:pPr>
              <w:ind w:right="340"/>
              <w:jc w:val="right"/>
              <w:rPr>
                <w:rFonts w:eastAsia="Times New Roman"/>
                <w:noProof/>
                <w:sz w:val="20"/>
                <w:szCs w:val="20"/>
                <w:lang w:eastAsia="es-MX"/>
              </w:rPr>
            </w:pPr>
            <w:r w:rsidRPr="0038142F">
              <w:rPr>
                <w:rFonts w:eastAsia="Times New Roman"/>
                <w:noProof/>
                <w:sz w:val="20"/>
                <w:szCs w:val="20"/>
                <w:lang w:eastAsia="es-MX"/>
              </w:rPr>
              <w:t>-0.04</w:t>
            </w:r>
          </w:p>
        </w:tc>
        <w:tc>
          <w:tcPr>
            <w:tcW w:w="1559" w:type="dxa"/>
            <w:tcBorders>
              <w:top w:val="nil"/>
              <w:left w:val="single" w:sz="4" w:space="0" w:color="auto"/>
              <w:bottom w:val="single" w:sz="4" w:space="0" w:color="auto"/>
              <w:right w:val="single" w:sz="4" w:space="0" w:color="auto"/>
            </w:tcBorders>
          </w:tcPr>
          <w:p w14:paraId="71CCBE73" w14:textId="77777777" w:rsidR="0038142F" w:rsidRPr="0038142F" w:rsidRDefault="0038142F" w:rsidP="0038142F">
            <w:pPr>
              <w:ind w:right="170"/>
              <w:jc w:val="right"/>
              <w:rPr>
                <w:rFonts w:eastAsia="Times New Roman"/>
                <w:noProof/>
                <w:sz w:val="20"/>
                <w:szCs w:val="20"/>
                <w:lang w:eastAsia="es-MX"/>
              </w:rPr>
            </w:pPr>
            <w:r w:rsidRPr="0038142F">
              <w:rPr>
                <w:rFonts w:eastAsia="Times New Roman"/>
                <w:noProof/>
                <w:sz w:val="20"/>
                <w:szCs w:val="20"/>
                <w:lang w:eastAsia="es-MX"/>
              </w:rPr>
              <w:t>134 por arriba</w:t>
            </w:r>
          </w:p>
        </w:tc>
      </w:tr>
      <w:tr w:rsidR="0038142F" w:rsidRPr="0038142F" w14:paraId="5B5B31E3" w14:textId="77777777" w:rsidTr="0024224F">
        <w:tc>
          <w:tcPr>
            <w:tcW w:w="9464" w:type="dxa"/>
            <w:gridSpan w:val="5"/>
            <w:tcBorders>
              <w:left w:val="nil"/>
              <w:bottom w:val="nil"/>
              <w:right w:val="nil"/>
            </w:tcBorders>
          </w:tcPr>
          <w:p w14:paraId="36222A11" w14:textId="77777777" w:rsidR="0038142F" w:rsidRPr="0038142F" w:rsidRDefault="0038142F" w:rsidP="0038142F">
            <w:pPr>
              <w:jc w:val="both"/>
              <w:rPr>
                <w:rFonts w:eastAsia="Times New Roman"/>
                <w:noProof/>
                <w:sz w:val="20"/>
                <w:szCs w:val="20"/>
                <w:lang w:eastAsia="es-MX"/>
              </w:rPr>
            </w:pPr>
            <w:r w:rsidRPr="0038142F">
              <w:rPr>
                <w:rFonts w:eastAsia="Times New Roman"/>
                <w:noProof/>
                <w:sz w:val="20"/>
                <w:szCs w:val="20"/>
                <w:lang w:eastAsia="es-MX"/>
              </w:rPr>
              <w:t>Nota:</w:t>
            </w:r>
            <w:r w:rsidRPr="0038142F">
              <w:t xml:space="preserve"> </w:t>
            </w:r>
            <w:r w:rsidRPr="0038142F">
              <w:rPr>
                <w:rFonts w:eastAsia="Times New Roman"/>
                <w:noProof/>
                <w:sz w:val="20"/>
                <w:szCs w:val="20"/>
                <w:lang w:eastAsia="es-MX"/>
              </w:rPr>
              <w:t>Los indicadores se generan con los datos referidos al mes de la entrevista.</w:t>
            </w:r>
          </w:p>
          <w:p w14:paraId="57B49E0C" w14:textId="77777777" w:rsidR="0038142F" w:rsidRPr="0038142F" w:rsidRDefault="0038142F" w:rsidP="0038142F">
            <w:pPr>
              <w:jc w:val="both"/>
              <w:rPr>
                <w:rFonts w:eastAsia="Times New Roman"/>
                <w:noProof/>
                <w:sz w:val="20"/>
                <w:szCs w:val="20"/>
                <w:lang w:eastAsia="es-MX"/>
              </w:rPr>
            </w:pPr>
            <w:r w:rsidRPr="0038142F">
              <w:rPr>
                <w:rFonts w:eastAsia="Times New Roman"/>
                <w:noProof/>
                <w:sz w:val="20"/>
                <w:szCs w:val="20"/>
                <w:u w:val="single"/>
                <w:lang w:eastAsia="es-MX"/>
              </w:rPr>
              <w:t>1</w:t>
            </w:r>
            <w:r w:rsidRPr="0038142F">
              <w:rPr>
                <w:rFonts w:eastAsia="Times New Roman"/>
                <w:noProof/>
                <w:sz w:val="20"/>
                <w:szCs w:val="20"/>
                <w:lang w:eastAsia="es-MX"/>
              </w:rPr>
              <w:t>/ Las diferencias en puntos se obtienen de los respectivos indicadores considerando todos sus decimales.</w:t>
            </w:r>
          </w:p>
          <w:p w14:paraId="47202453" w14:textId="77777777" w:rsidR="0038142F" w:rsidRPr="0038142F" w:rsidRDefault="0038142F" w:rsidP="0038142F">
            <w:pPr>
              <w:jc w:val="both"/>
              <w:rPr>
                <w:rFonts w:eastAsia="Times New Roman"/>
                <w:noProof/>
                <w:sz w:val="20"/>
                <w:szCs w:val="20"/>
                <w:lang w:eastAsia="es-MX"/>
              </w:rPr>
            </w:pPr>
            <w:r w:rsidRPr="0038142F">
              <w:rPr>
                <w:rFonts w:eastAsia="Times New Roman"/>
                <w:noProof/>
                <w:sz w:val="20"/>
                <w:szCs w:val="20"/>
                <w:u w:val="single"/>
                <w:lang w:eastAsia="es-MX"/>
              </w:rPr>
              <w:t>2</w:t>
            </w:r>
            <w:r w:rsidRPr="0038142F">
              <w:rPr>
                <w:rFonts w:eastAsia="Times New Roman"/>
                <w:noProof/>
                <w:sz w:val="20"/>
                <w:szCs w:val="20"/>
                <w:lang w:eastAsia="es-MX"/>
              </w:rPr>
              <w:t>/ Componente ajustado por el efecto de semana santa.</w:t>
            </w:r>
          </w:p>
          <w:p w14:paraId="371E688F" w14:textId="77777777" w:rsidR="0038142F" w:rsidRPr="0038142F" w:rsidRDefault="0038142F" w:rsidP="0038142F">
            <w:pPr>
              <w:jc w:val="both"/>
              <w:rPr>
                <w:rFonts w:eastAsia="Times New Roman"/>
                <w:noProof/>
                <w:sz w:val="20"/>
                <w:szCs w:val="20"/>
                <w:lang w:eastAsia="es-MX"/>
              </w:rPr>
            </w:pPr>
            <w:r w:rsidRPr="0038142F">
              <w:rPr>
                <w:rFonts w:eastAsia="Times New Roman"/>
                <w:noProof/>
                <w:sz w:val="20"/>
                <w:szCs w:val="20"/>
                <w:u w:val="single"/>
                <w:lang w:eastAsia="es-MX"/>
              </w:rPr>
              <w:t>3</w:t>
            </w:r>
            <w:r w:rsidRPr="0038142F">
              <w:rPr>
                <w:rFonts w:eastAsia="Times New Roman"/>
                <w:noProof/>
                <w:sz w:val="20"/>
                <w:szCs w:val="20"/>
                <w:lang w:eastAsia="es-MX"/>
              </w:rPr>
              <w:t>/ Componente no sujeto a desestacionalización.</w:t>
            </w:r>
          </w:p>
          <w:p w14:paraId="249DF8B6" w14:textId="77777777" w:rsidR="0038142F" w:rsidRPr="0038142F" w:rsidRDefault="0038142F" w:rsidP="0038142F">
            <w:pPr>
              <w:jc w:val="both"/>
              <w:rPr>
                <w:rFonts w:eastAsia="Times New Roman"/>
                <w:noProof/>
                <w:sz w:val="20"/>
                <w:szCs w:val="20"/>
                <w:lang w:eastAsia="es-MX"/>
              </w:rPr>
            </w:pPr>
            <w:r w:rsidRPr="0038142F">
              <w:rPr>
                <w:rFonts w:eastAsia="Times New Roman"/>
                <w:noProof/>
                <w:sz w:val="20"/>
                <w:szCs w:val="20"/>
                <w:lang w:eastAsia="es-MX"/>
              </w:rPr>
              <w:t>FUENTE: INEGI.</w:t>
            </w:r>
          </w:p>
        </w:tc>
      </w:tr>
    </w:tbl>
    <w:p w14:paraId="5495AE26" w14:textId="77777777" w:rsidR="0038142F" w:rsidRPr="0038142F" w:rsidRDefault="0038142F" w:rsidP="0038142F">
      <w:pPr>
        <w:spacing w:after="360" w:line="360" w:lineRule="auto"/>
        <w:ind w:right="-159"/>
        <w:jc w:val="both"/>
        <w:rPr>
          <w:rFonts w:eastAsia="Times New Roman"/>
          <w:noProof/>
          <w:sz w:val="26"/>
          <w:szCs w:val="26"/>
          <w:lang w:eastAsia="es-MX"/>
        </w:rPr>
      </w:pPr>
    </w:p>
    <w:p w14:paraId="0D46DC19" w14:textId="77777777" w:rsidR="0038142F" w:rsidRPr="0038142F" w:rsidRDefault="0038142F" w:rsidP="0038142F">
      <w:pPr>
        <w:spacing w:after="360" w:line="360" w:lineRule="auto"/>
        <w:ind w:right="-159"/>
        <w:jc w:val="both"/>
        <w:rPr>
          <w:rFonts w:eastAsia="Times New Roman"/>
          <w:sz w:val="26"/>
          <w:szCs w:val="26"/>
        </w:rPr>
      </w:pPr>
      <w:r w:rsidRPr="0038142F">
        <w:rPr>
          <w:rFonts w:eastAsia="Times New Roman"/>
          <w:sz w:val="26"/>
          <w:szCs w:val="26"/>
        </w:rPr>
        <w:t>Las gráficas siguientes presentan la evolución y tendencias de los componentes que integran al Indicador de Confianza Empresarial Manufacturero:</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7062B5" w:rsidRPr="007062B5" w14:paraId="3CA51E7E" w14:textId="77777777" w:rsidTr="007B7E95">
        <w:tc>
          <w:tcPr>
            <w:tcW w:w="8838" w:type="dxa"/>
          </w:tcPr>
          <w:p w14:paraId="1F593724" w14:textId="3F5B3CFA" w:rsidR="007062B5" w:rsidRPr="007062B5" w:rsidRDefault="007062B5" w:rsidP="007062B5">
            <w:pPr>
              <w:jc w:val="center"/>
              <w:rPr>
                <w:rFonts w:ascii="Calibri" w:eastAsia="Calibri" w:hAnsi="Calibri"/>
                <w:sz w:val="22"/>
                <w:szCs w:val="22"/>
                <w:lang w:eastAsia="en-US"/>
              </w:rPr>
            </w:pPr>
            <w:r w:rsidRPr="007062B5">
              <w:rPr>
                <w:rFonts w:ascii="Calibri" w:eastAsia="Calibri" w:hAnsi="Calibri"/>
                <w:sz w:val="22"/>
                <w:szCs w:val="22"/>
                <w:lang w:eastAsia="en-US"/>
              </w:rPr>
              <w:fldChar w:fldCharType="begin"/>
            </w:r>
            <w:r w:rsidRPr="007062B5">
              <w:rPr>
                <w:rFonts w:ascii="Calibri" w:eastAsia="Calibri" w:hAnsi="Calibri"/>
                <w:sz w:val="22"/>
                <w:szCs w:val="22"/>
                <w:lang w:eastAsia="en-US"/>
              </w:rPr>
              <w:instrText xml:space="preserve"> LINK PowerPoint.Slide.8 "D:\\2015\\MARZO 2014\\GRÁFICAS EN POWER POINT\\17.- GRÁFICAS DEL IND DE CONFIANZA EMPRESARIAL.pptx!263" "" \a \p </w:instrText>
            </w:r>
            <w:r w:rsidRPr="007062B5">
              <w:rPr>
                <w:rFonts w:ascii="Calibri" w:eastAsia="Calibri" w:hAnsi="Calibri"/>
                <w:sz w:val="22"/>
                <w:szCs w:val="22"/>
                <w:lang w:eastAsia="en-US"/>
              </w:rPr>
              <w:fldChar w:fldCharType="separate"/>
            </w:r>
            <w:r w:rsidRPr="007062B5">
              <w:rPr>
                <w:rFonts w:ascii="Calibri" w:eastAsia="Calibri" w:hAnsi="Calibri"/>
                <w:noProof/>
                <w:sz w:val="22"/>
                <w:szCs w:val="22"/>
                <w:lang w:eastAsia="es-MX"/>
              </w:rPr>
              <w:drawing>
                <wp:inline distT="0" distB="0" distL="0" distR="0" wp14:anchorId="00277AAB" wp14:editId="5A3F0979">
                  <wp:extent cx="5566410" cy="2440305"/>
                  <wp:effectExtent l="0" t="0" r="0" b="0"/>
                  <wp:docPr id="1482" name="Imagen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4"/>
                          <pic:cNvPicPr>
                            <a:picLocks noChangeAspect="1" noChangeArrowheads="1"/>
                          </pic:cNvPicPr>
                        </pic:nvPicPr>
                        <pic:blipFill>
                          <a:blip r:embed="rId160" cstate="print">
                            <a:extLst>
                              <a:ext uri="{28A0092B-C50C-407E-A947-70E740481C1C}">
                                <a14:useLocalDpi xmlns:a14="http://schemas.microsoft.com/office/drawing/2010/main" val="0"/>
                              </a:ext>
                            </a:extLst>
                          </a:blip>
                          <a:srcRect l="4114" t="6544" r="4396" b="22177"/>
                          <a:stretch>
                            <a:fillRect/>
                          </a:stretch>
                        </pic:blipFill>
                        <pic:spPr bwMode="auto">
                          <a:xfrm>
                            <a:off x="0" y="0"/>
                            <a:ext cx="5566410" cy="2440305"/>
                          </a:xfrm>
                          <a:prstGeom prst="rect">
                            <a:avLst/>
                          </a:prstGeom>
                          <a:noFill/>
                          <a:ln>
                            <a:noFill/>
                          </a:ln>
                        </pic:spPr>
                      </pic:pic>
                    </a:graphicData>
                  </a:graphic>
                </wp:inline>
              </w:drawing>
            </w:r>
            <w:r w:rsidRPr="007062B5">
              <w:rPr>
                <w:rFonts w:ascii="Calibri" w:eastAsia="Calibri" w:hAnsi="Calibri"/>
                <w:sz w:val="22"/>
                <w:szCs w:val="22"/>
                <w:lang w:eastAsia="en-US"/>
              </w:rPr>
              <w:fldChar w:fldCharType="end"/>
            </w:r>
          </w:p>
        </w:tc>
      </w:tr>
      <w:tr w:rsidR="007062B5" w:rsidRPr="007062B5" w14:paraId="13FB2168" w14:textId="77777777" w:rsidTr="007B7E95">
        <w:tc>
          <w:tcPr>
            <w:tcW w:w="8838" w:type="dxa"/>
          </w:tcPr>
          <w:p w14:paraId="258FAD61" w14:textId="79725336" w:rsidR="007062B5" w:rsidRPr="007062B5" w:rsidRDefault="007062B5" w:rsidP="007062B5">
            <w:pPr>
              <w:jc w:val="center"/>
              <w:rPr>
                <w:rFonts w:ascii="Calibri" w:eastAsia="Calibri" w:hAnsi="Calibri"/>
                <w:sz w:val="22"/>
                <w:szCs w:val="22"/>
                <w:lang w:eastAsia="en-US"/>
              </w:rPr>
            </w:pPr>
            <w:r w:rsidRPr="007062B5">
              <w:rPr>
                <w:rFonts w:ascii="Calibri" w:eastAsia="Calibri" w:hAnsi="Calibri"/>
                <w:sz w:val="22"/>
                <w:szCs w:val="22"/>
                <w:lang w:eastAsia="en-US"/>
              </w:rPr>
              <w:lastRenderedPageBreak/>
              <w:fldChar w:fldCharType="begin"/>
            </w:r>
            <w:r w:rsidRPr="007062B5">
              <w:rPr>
                <w:rFonts w:ascii="Calibri" w:eastAsia="Calibri" w:hAnsi="Calibri"/>
                <w:sz w:val="22"/>
                <w:szCs w:val="22"/>
                <w:lang w:eastAsia="en-US"/>
              </w:rPr>
              <w:instrText xml:space="preserve"> LINK PowerPoint.Slide.8 "D:\\2015\\MARZO 2014\\GRÁFICAS EN POWER POINT\\17.- GRÁFICAS DEL IND DE CONFIANZA EMPRESARIAL.pptx!271" "" \a \p </w:instrText>
            </w:r>
            <w:r w:rsidRPr="007062B5">
              <w:rPr>
                <w:rFonts w:ascii="Calibri" w:eastAsia="Calibri" w:hAnsi="Calibri"/>
                <w:sz w:val="22"/>
                <w:szCs w:val="22"/>
                <w:lang w:eastAsia="en-US"/>
              </w:rPr>
              <w:fldChar w:fldCharType="separate"/>
            </w:r>
            <w:r w:rsidRPr="007062B5">
              <w:rPr>
                <w:rFonts w:ascii="Calibri" w:eastAsia="Calibri" w:hAnsi="Calibri"/>
                <w:noProof/>
                <w:sz w:val="22"/>
                <w:szCs w:val="22"/>
                <w:lang w:eastAsia="es-MX"/>
              </w:rPr>
              <w:drawing>
                <wp:inline distT="0" distB="0" distL="0" distR="0" wp14:anchorId="0599A048" wp14:editId="6453AF20">
                  <wp:extent cx="5547995" cy="2075815"/>
                  <wp:effectExtent l="0" t="0" r="0" b="635"/>
                  <wp:docPr id="1481" name="Imagen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5"/>
                          <pic:cNvPicPr>
                            <a:picLocks noChangeAspect="1" noChangeArrowheads="1"/>
                          </pic:cNvPicPr>
                        </pic:nvPicPr>
                        <pic:blipFill>
                          <a:blip r:embed="rId161" cstate="print">
                            <a:extLst>
                              <a:ext uri="{28A0092B-C50C-407E-A947-70E740481C1C}">
                                <a14:useLocalDpi xmlns:a14="http://schemas.microsoft.com/office/drawing/2010/main" val="0"/>
                              </a:ext>
                            </a:extLst>
                          </a:blip>
                          <a:srcRect l="4250" t="17635" r="4543" b="21658"/>
                          <a:stretch>
                            <a:fillRect/>
                          </a:stretch>
                        </pic:blipFill>
                        <pic:spPr bwMode="auto">
                          <a:xfrm>
                            <a:off x="0" y="0"/>
                            <a:ext cx="5547995" cy="2075815"/>
                          </a:xfrm>
                          <a:prstGeom prst="rect">
                            <a:avLst/>
                          </a:prstGeom>
                          <a:noFill/>
                          <a:ln>
                            <a:noFill/>
                          </a:ln>
                        </pic:spPr>
                      </pic:pic>
                    </a:graphicData>
                  </a:graphic>
                </wp:inline>
              </w:drawing>
            </w:r>
            <w:r w:rsidRPr="007062B5">
              <w:rPr>
                <w:rFonts w:ascii="Calibri" w:eastAsia="Calibri" w:hAnsi="Calibri"/>
                <w:sz w:val="22"/>
                <w:szCs w:val="22"/>
                <w:lang w:eastAsia="en-US"/>
              </w:rPr>
              <w:fldChar w:fldCharType="end"/>
            </w:r>
          </w:p>
        </w:tc>
      </w:tr>
      <w:tr w:rsidR="007062B5" w:rsidRPr="007062B5" w14:paraId="5E723B80" w14:textId="77777777" w:rsidTr="007B7E95">
        <w:tc>
          <w:tcPr>
            <w:tcW w:w="8838" w:type="dxa"/>
          </w:tcPr>
          <w:p w14:paraId="243D4AFB" w14:textId="6780DCF9" w:rsidR="007062B5" w:rsidRPr="007062B5" w:rsidRDefault="007062B5" w:rsidP="007062B5">
            <w:pPr>
              <w:jc w:val="center"/>
              <w:rPr>
                <w:rFonts w:ascii="Calibri" w:eastAsia="Calibri" w:hAnsi="Calibri"/>
                <w:sz w:val="22"/>
                <w:szCs w:val="22"/>
                <w:lang w:eastAsia="en-US"/>
              </w:rPr>
            </w:pPr>
            <w:r w:rsidRPr="007062B5">
              <w:rPr>
                <w:rFonts w:ascii="Calibri" w:eastAsia="Calibri" w:hAnsi="Calibri"/>
                <w:sz w:val="22"/>
                <w:szCs w:val="22"/>
                <w:lang w:eastAsia="en-US"/>
              </w:rPr>
              <w:fldChar w:fldCharType="begin"/>
            </w:r>
            <w:r w:rsidRPr="007062B5">
              <w:rPr>
                <w:rFonts w:ascii="Calibri" w:eastAsia="Calibri" w:hAnsi="Calibri"/>
                <w:sz w:val="22"/>
                <w:szCs w:val="22"/>
                <w:lang w:eastAsia="en-US"/>
              </w:rPr>
              <w:instrText xml:space="preserve"> LINK PowerPoint.Slide.8 "D:\\2015\\MARZO 2014\\GRÁFICAS EN POWER POINT\\17.- GRÁFICAS DEL IND DE CONFIANZA EMPRESARIAL.pptx!272" "" \a \p </w:instrText>
            </w:r>
            <w:r w:rsidRPr="007062B5">
              <w:rPr>
                <w:rFonts w:ascii="Calibri" w:eastAsia="Calibri" w:hAnsi="Calibri"/>
                <w:sz w:val="22"/>
                <w:szCs w:val="22"/>
                <w:lang w:eastAsia="en-US"/>
              </w:rPr>
              <w:fldChar w:fldCharType="separate"/>
            </w:r>
            <w:r w:rsidRPr="007062B5">
              <w:rPr>
                <w:rFonts w:ascii="Calibri" w:eastAsia="Calibri" w:hAnsi="Calibri"/>
                <w:noProof/>
                <w:sz w:val="22"/>
                <w:szCs w:val="22"/>
                <w:lang w:eastAsia="es-MX"/>
              </w:rPr>
              <w:drawing>
                <wp:inline distT="0" distB="0" distL="0" distR="0" wp14:anchorId="71A6996F" wp14:editId="6149CE6C">
                  <wp:extent cx="5325745" cy="2545715"/>
                  <wp:effectExtent l="0" t="0" r="8255" b="6985"/>
                  <wp:docPr id="1480" name="Imagen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6"/>
                          <pic:cNvPicPr>
                            <a:picLocks noChangeAspect="1" noChangeArrowheads="1"/>
                          </pic:cNvPicPr>
                        </pic:nvPicPr>
                        <pic:blipFill>
                          <a:blip r:embed="rId162" cstate="print">
                            <a:extLst>
                              <a:ext uri="{28A0092B-C50C-407E-A947-70E740481C1C}">
                                <a14:useLocalDpi xmlns:a14="http://schemas.microsoft.com/office/drawing/2010/main" val="0"/>
                              </a:ext>
                            </a:extLst>
                          </a:blip>
                          <a:srcRect l="5388" t="12108" r="6944" b="13591"/>
                          <a:stretch>
                            <a:fillRect/>
                          </a:stretch>
                        </pic:blipFill>
                        <pic:spPr bwMode="auto">
                          <a:xfrm>
                            <a:off x="0" y="0"/>
                            <a:ext cx="5325745" cy="2545715"/>
                          </a:xfrm>
                          <a:prstGeom prst="rect">
                            <a:avLst/>
                          </a:prstGeom>
                          <a:noFill/>
                          <a:ln>
                            <a:noFill/>
                          </a:ln>
                        </pic:spPr>
                      </pic:pic>
                    </a:graphicData>
                  </a:graphic>
                </wp:inline>
              </w:drawing>
            </w:r>
            <w:r w:rsidRPr="007062B5">
              <w:rPr>
                <w:rFonts w:ascii="Calibri" w:eastAsia="Calibri" w:hAnsi="Calibri"/>
                <w:sz w:val="22"/>
                <w:szCs w:val="22"/>
                <w:lang w:eastAsia="en-US"/>
              </w:rPr>
              <w:fldChar w:fldCharType="end"/>
            </w:r>
          </w:p>
        </w:tc>
      </w:tr>
    </w:tbl>
    <w:p w14:paraId="7E75ADC8" w14:textId="77777777" w:rsidR="00BC772A" w:rsidRDefault="00BC772A" w:rsidP="0038142F">
      <w:pPr>
        <w:spacing w:after="360" w:line="360" w:lineRule="auto"/>
        <w:ind w:right="-159"/>
        <w:jc w:val="both"/>
        <w:rPr>
          <w:rFonts w:eastAsia="Times New Roman"/>
          <w:sz w:val="26"/>
          <w:szCs w:val="26"/>
        </w:rPr>
      </w:pPr>
    </w:p>
    <w:p w14:paraId="418C6BD4" w14:textId="77777777" w:rsidR="0038142F" w:rsidRPr="0038142F" w:rsidRDefault="0038142F" w:rsidP="0038142F">
      <w:pPr>
        <w:spacing w:after="360" w:line="360" w:lineRule="auto"/>
        <w:ind w:right="-159"/>
        <w:jc w:val="both"/>
        <w:rPr>
          <w:rFonts w:eastAsia="Times New Roman"/>
          <w:sz w:val="26"/>
          <w:szCs w:val="26"/>
        </w:rPr>
      </w:pPr>
      <w:r w:rsidRPr="0038142F">
        <w:rPr>
          <w:rFonts w:eastAsia="Times New Roman"/>
          <w:sz w:val="26"/>
          <w:szCs w:val="26"/>
        </w:rPr>
        <w:t>En el comparativo anual, el Indicador de Confianza Empresarial mostró el siguiente comportamiento a nivel de sector:</w:t>
      </w:r>
    </w:p>
    <w:p w14:paraId="4311838D" w14:textId="77777777" w:rsidR="0038142F" w:rsidRPr="0038142F" w:rsidRDefault="0038142F" w:rsidP="0038142F">
      <w:pPr>
        <w:spacing w:after="360" w:line="360" w:lineRule="auto"/>
        <w:ind w:right="-159"/>
        <w:jc w:val="both"/>
        <w:rPr>
          <w:rFonts w:eastAsia="Times New Roman"/>
          <w:sz w:val="26"/>
          <w:szCs w:val="26"/>
        </w:rPr>
      </w:pPr>
      <w:r w:rsidRPr="0038142F">
        <w:rPr>
          <w:rFonts w:eastAsia="Times New Roman"/>
          <w:sz w:val="26"/>
          <w:szCs w:val="26"/>
        </w:rPr>
        <w:t>El ICE Manufacturero se ubicó en 49.5 puntos durante febrero de 2015, dato que reflejó una reducción de 1.9 puntos respecto al de igual mes de un año antes, cuando fue de 51.3 puntos.</w:t>
      </w:r>
    </w:p>
    <w:p w14:paraId="11F08268" w14:textId="32665C24" w:rsidR="0038142F" w:rsidRPr="0038142F" w:rsidRDefault="007062B5" w:rsidP="0038142F">
      <w:pPr>
        <w:spacing w:after="360" w:line="360" w:lineRule="auto"/>
        <w:ind w:right="-159"/>
        <w:jc w:val="center"/>
        <w:rPr>
          <w:rFonts w:eastAsia="Times New Roman"/>
          <w:sz w:val="26"/>
          <w:szCs w:val="26"/>
        </w:rPr>
      </w:pPr>
      <w:r w:rsidRPr="007062B5">
        <w:rPr>
          <w:rFonts w:ascii="Calibri" w:eastAsia="Calibri" w:hAnsi="Calibri"/>
          <w:sz w:val="22"/>
          <w:szCs w:val="22"/>
          <w:lang w:eastAsia="en-US"/>
        </w:rPr>
        <w:lastRenderedPageBreak/>
        <w:fldChar w:fldCharType="begin"/>
      </w:r>
      <w:r w:rsidRPr="007062B5">
        <w:rPr>
          <w:rFonts w:ascii="Calibri" w:eastAsia="Calibri" w:hAnsi="Calibri"/>
          <w:sz w:val="22"/>
          <w:szCs w:val="22"/>
          <w:lang w:eastAsia="en-US"/>
        </w:rPr>
        <w:instrText xml:space="preserve"> LINK PowerPoint.Slide.8 "D:\\2015\\MARZO 2014\\GRÁFICAS EN POWER POINT\\17.- GRÁFICAS DEL IND DE CONFIANZA EMPRESARIAL.pptx!259" "" \a \p </w:instrText>
      </w:r>
      <w:r w:rsidRPr="007062B5">
        <w:rPr>
          <w:rFonts w:ascii="Calibri" w:eastAsia="Calibri" w:hAnsi="Calibri"/>
          <w:sz w:val="22"/>
          <w:szCs w:val="22"/>
          <w:lang w:eastAsia="en-US"/>
        </w:rPr>
        <w:fldChar w:fldCharType="separate"/>
      </w:r>
      <w:r w:rsidRPr="007062B5">
        <w:rPr>
          <w:rFonts w:ascii="Calibri" w:eastAsia="Calibri" w:hAnsi="Calibri"/>
          <w:noProof/>
          <w:sz w:val="22"/>
          <w:szCs w:val="22"/>
          <w:lang w:eastAsia="es-MX"/>
        </w:rPr>
        <w:drawing>
          <wp:inline distT="0" distB="0" distL="0" distR="0" wp14:anchorId="38B6C0AC" wp14:editId="17EE7760">
            <wp:extent cx="4707890" cy="3268345"/>
            <wp:effectExtent l="0" t="0" r="0" b="8255"/>
            <wp:docPr id="1483" name="Imagen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3"/>
                    <pic:cNvPicPr>
                      <a:picLocks noChangeAspect="1" noChangeArrowheads="1"/>
                    </pic:cNvPicPr>
                  </pic:nvPicPr>
                  <pic:blipFill>
                    <a:blip r:embed="rId163" cstate="print">
                      <a:extLst>
                        <a:ext uri="{28A0092B-C50C-407E-A947-70E740481C1C}">
                          <a14:useLocalDpi xmlns:a14="http://schemas.microsoft.com/office/drawing/2010/main" val="0"/>
                        </a:ext>
                      </a:extLst>
                    </a:blip>
                    <a:srcRect l="11214" r="11349" b="4524"/>
                    <a:stretch>
                      <a:fillRect/>
                    </a:stretch>
                  </pic:blipFill>
                  <pic:spPr bwMode="auto">
                    <a:xfrm>
                      <a:off x="0" y="0"/>
                      <a:ext cx="4707890" cy="3268345"/>
                    </a:xfrm>
                    <a:prstGeom prst="rect">
                      <a:avLst/>
                    </a:prstGeom>
                    <a:noFill/>
                    <a:ln>
                      <a:noFill/>
                    </a:ln>
                  </pic:spPr>
                </pic:pic>
              </a:graphicData>
            </a:graphic>
          </wp:inline>
        </w:drawing>
      </w:r>
      <w:r w:rsidRPr="007062B5">
        <w:rPr>
          <w:rFonts w:ascii="Calibri" w:eastAsia="Calibri" w:hAnsi="Calibri"/>
          <w:sz w:val="22"/>
          <w:szCs w:val="22"/>
          <w:lang w:eastAsia="en-US"/>
        </w:rPr>
        <w:fldChar w:fldCharType="end"/>
      </w:r>
    </w:p>
    <w:p w14:paraId="52C77C83" w14:textId="77777777" w:rsidR="0038142F" w:rsidRPr="0038142F" w:rsidRDefault="0038142F" w:rsidP="0038142F">
      <w:pPr>
        <w:spacing w:after="360" w:line="360" w:lineRule="auto"/>
        <w:ind w:right="-159"/>
        <w:jc w:val="both"/>
        <w:rPr>
          <w:rFonts w:eastAsia="Times New Roman"/>
          <w:sz w:val="26"/>
          <w:szCs w:val="26"/>
        </w:rPr>
      </w:pPr>
      <w:r w:rsidRPr="0038142F">
        <w:rPr>
          <w:rFonts w:eastAsia="Times New Roman"/>
          <w:sz w:val="26"/>
          <w:szCs w:val="26"/>
        </w:rPr>
        <w:t>La variación anual del ICE Manufacturero resultó de disminuciones en los cinco componentes que lo integran.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31"/>
        <w:gridCol w:w="1080"/>
        <w:gridCol w:w="1080"/>
        <w:gridCol w:w="1105"/>
      </w:tblGrid>
      <w:tr w:rsidR="0038142F" w:rsidRPr="0038142F" w14:paraId="713029A3" w14:textId="77777777" w:rsidTr="0024224F">
        <w:trPr>
          <w:jc w:val="center"/>
        </w:trPr>
        <w:tc>
          <w:tcPr>
            <w:tcW w:w="8196" w:type="dxa"/>
            <w:gridSpan w:val="4"/>
            <w:tcBorders>
              <w:top w:val="nil"/>
              <w:left w:val="nil"/>
              <w:right w:val="nil"/>
            </w:tcBorders>
          </w:tcPr>
          <w:p w14:paraId="4A00984A" w14:textId="77777777" w:rsidR="0038142F" w:rsidRPr="0038142F" w:rsidRDefault="0038142F" w:rsidP="0038142F">
            <w:pPr>
              <w:jc w:val="center"/>
              <w:rPr>
                <w:rFonts w:eastAsia="Times New Roman"/>
                <w:b/>
                <w:sz w:val="22"/>
                <w:szCs w:val="22"/>
              </w:rPr>
            </w:pPr>
            <w:r w:rsidRPr="0038142F">
              <w:rPr>
                <w:rFonts w:eastAsia="Times New Roman"/>
                <w:b/>
                <w:sz w:val="22"/>
                <w:szCs w:val="22"/>
              </w:rPr>
              <w:t>COMPONENTES DEL INDICADOR DE CONFIANZA EMPRESARIAL MANUFACTURERO</w:t>
            </w:r>
          </w:p>
          <w:p w14:paraId="13DF1B8A" w14:textId="77777777" w:rsidR="0038142F" w:rsidRPr="0038142F" w:rsidRDefault="0038142F" w:rsidP="0038142F">
            <w:pPr>
              <w:jc w:val="center"/>
              <w:rPr>
                <w:rFonts w:eastAsia="Times New Roman"/>
                <w:b/>
                <w:sz w:val="20"/>
                <w:szCs w:val="20"/>
              </w:rPr>
            </w:pPr>
            <w:r w:rsidRPr="0038142F">
              <w:rPr>
                <w:rFonts w:eastAsia="Times New Roman"/>
                <w:b/>
                <w:sz w:val="22"/>
                <w:szCs w:val="22"/>
              </w:rPr>
              <w:t>CIFRAS ORIGINALES</w:t>
            </w:r>
          </w:p>
        </w:tc>
      </w:tr>
      <w:tr w:rsidR="0038142F" w:rsidRPr="0038142F" w14:paraId="7392EEA1" w14:textId="77777777" w:rsidTr="0024224F">
        <w:trPr>
          <w:jc w:val="center"/>
        </w:trPr>
        <w:tc>
          <w:tcPr>
            <w:tcW w:w="4931" w:type="dxa"/>
            <w:vMerge w:val="restart"/>
            <w:vAlign w:val="center"/>
          </w:tcPr>
          <w:p w14:paraId="5FBA4E5F" w14:textId="77777777" w:rsidR="0038142F" w:rsidRPr="0038142F" w:rsidRDefault="0038142F" w:rsidP="0038142F">
            <w:pPr>
              <w:jc w:val="center"/>
              <w:rPr>
                <w:rFonts w:eastAsia="Times New Roman"/>
                <w:b/>
                <w:sz w:val="20"/>
                <w:szCs w:val="20"/>
              </w:rPr>
            </w:pPr>
            <w:r w:rsidRPr="0038142F">
              <w:rPr>
                <w:rFonts w:eastAsia="Times New Roman"/>
                <w:b/>
                <w:sz w:val="20"/>
                <w:szCs w:val="20"/>
              </w:rPr>
              <w:t>Indicadores</w:t>
            </w:r>
          </w:p>
        </w:tc>
        <w:tc>
          <w:tcPr>
            <w:tcW w:w="2160" w:type="dxa"/>
            <w:gridSpan w:val="2"/>
          </w:tcPr>
          <w:p w14:paraId="095D6B9B" w14:textId="77777777" w:rsidR="0038142F" w:rsidRPr="0038142F" w:rsidRDefault="0038142F" w:rsidP="0038142F">
            <w:pPr>
              <w:jc w:val="center"/>
              <w:rPr>
                <w:rFonts w:eastAsia="Times New Roman"/>
                <w:b/>
                <w:sz w:val="20"/>
                <w:szCs w:val="20"/>
              </w:rPr>
            </w:pPr>
            <w:r w:rsidRPr="0038142F">
              <w:rPr>
                <w:rFonts w:eastAsia="Times New Roman"/>
                <w:b/>
                <w:sz w:val="20"/>
                <w:szCs w:val="20"/>
              </w:rPr>
              <w:t>Febrero</w:t>
            </w:r>
          </w:p>
        </w:tc>
        <w:tc>
          <w:tcPr>
            <w:tcW w:w="1105" w:type="dxa"/>
            <w:vMerge w:val="restart"/>
          </w:tcPr>
          <w:p w14:paraId="5FF5CBA9" w14:textId="77777777" w:rsidR="0038142F" w:rsidRPr="0038142F" w:rsidRDefault="0038142F" w:rsidP="0038142F">
            <w:pPr>
              <w:jc w:val="center"/>
              <w:rPr>
                <w:rFonts w:eastAsia="Times New Roman"/>
                <w:b/>
                <w:sz w:val="20"/>
                <w:szCs w:val="20"/>
              </w:rPr>
            </w:pPr>
            <w:r w:rsidRPr="0038142F">
              <w:rPr>
                <w:rFonts w:eastAsia="Times New Roman"/>
                <w:b/>
                <w:sz w:val="20"/>
                <w:szCs w:val="20"/>
              </w:rPr>
              <w:t>Diferencia en puntos</w:t>
            </w:r>
            <w:r w:rsidRPr="0038142F">
              <w:rPr>
                <w:rFonts w:eastAsia="Times New Roman"/>
                <w:b/>
                <w:sz w:val="20"/>
                <w:szCs w:val="20"/>
                <w:u w:val="single"/>
                <w:vertAlign w:val="superscript"/>
              </w:rPr>
              <w:t>1</w:t>
            </w:r>
            <w:r w:rsidRPr="0038142F">
              <w:rPr>
                <w:rFonts w:eastAsia="Times New Roman"/>
                <w:b/>
                <w:sz w:val="20"/>
                <w:szCs w:val="20"/>
                <w:vertAlign w:val="superscript"/>
              </w:rPr>
              <w:t>/</w:t>
            </w:r>
          </w:p>
        </w:tc>
      </w:tr>
      <w:tr w:rsidR="0038142F" w:rsidRPr="0038142F" w14:paraId="2205B5F7" w14:textId="77777777" w:rsidTr="0024224F">
        <w:trPr>
          <w:jc w:val="center"/>
        </w:trPr>
        <w:tc>
          <w:tcPr>
            <w:tcW w:w="4931" w:type="dxa"/>
            <w:vMerge/>
            <w:tcBorders>
              <w:bottom w:val="single" w:sz="4" w:space="0" w:color="auto"/>
            </w:tcBorders>
          </w:tcPr>
          <w:p w14:paraId="66D98754" w14:textId="77777777" w:rsidR="0038142F" w:rsidRPr="0038142F" w:rsidRDefault="0038142F" w:rsidP="0038142F">
            <w:pPr>
              <w:jc w:val="both"/>
              <w:rPr>
                <w:rFonts w:eastAsia="Times New Roman"/>
                <w:b/>
                <w:sz w:val="20"/>
                <w:szCs w:val="20"/>
              </w:rPr>
            </w:pPr>
          </w:p>
        </w:tc>
        <w:tc>
          <w:tcPr>
            <w:tcW w:w="1080" w:type="dxa"/>
            <w:tcBorders>
              <w:bottom w:val="single" w:sz="4" w:space="0" w:color="auto"/>
            </w:tcBorders>
            <w:vAlign w:val="center"/>
          </w:tcPr>
          <w:p w14:paraId="422990A2" w14:textId="77777777" w:rsidR="0038142F" w:rsidRPr="0038142F" w:rsidRDefault="0038142F" w:rsidP="0038142F">
            <w:pPr>
              <w:jc w:val="center"/>
              <w:rPr>
                <w:rFonts w:eastAsia="Times New Roman"/>
                <w:b/>
                <w:sz w:val="20"/>
                <w:szCs w:val="20"/>
              </w:rPr>
            </w:pPr>
            <w:r w:rsidRPr="0038142F">
              <w:rPr>
                <w:rFonts w:eastAsia="Times New Roman"/>
                <w:b/>
                <w:sz w:val="20"/>
                <w:szCs w:val="20"/>
              </w:rPr>
              <w:t>2014</w:t>
            </w:r>
          </w:p>
        </w:tc>
        <w:tc>
          <w:tcPr>
            <w:tcW w:w="1080" w:type="dxa"/>
            <w:tcBorders>
              <w:bottom w:val="single" w:sz="4" w:space="0" w:color="auto"/>
            </w:tcBorders>
            <w:vAlign w:val="center"/>
          </w:tcPr>
          <w:p w14:paraId="4F9E7F00" w14:textId="77777777" w:rsidR="0038142F" w:rsidRPr="0038142F" w:rsidRDefault="0038142F" w:rsidP="0038142F">
            <w:pPr>
              <w:jc w:val="center"/>
              <w:rPr>
                <w:rFonts w:eastAsia="Times New Roman"/>
                <w:b/>
                <w:sz w:val="20"/>
                <w:szCs w:val="20"/>
              </w:rPr>
            </w:pPr>
            <w:r w:rsidRPr="0038142F">
              <w:rPr>
                <w:rFonts w:eastAsia="Times New Roman"/>
                <w:b/>
                <w:sz w:val="20"/>
                <w:szCs w:val="20"/>
              </w:rPr>
              <w:t>2015</w:t>
            </w:r>
            <w:r w:rsidRPr="0038142F">
              <w:rPr>
                <w:rFonts w:eastAsia="Times New Roman"/>
                <w:b/>
                <w:sz w:val="20"/>
                <w:szCs w:val="20"/>
                <w:u w:val="single"/>
                <w:vertAlign w:val="superscript"/>
              </w:rPr>
              <w:t>p</w:t>
            </w:r>
            <w:r w:rsidRPr="0038142F">
              <w:rPr>
                <w:rFonts w:eastAsia="Times New Roman"/>
                <w:b/>
                <w:sz w:val="20"/>
                <w:szCs w:val="20"/>
                <w:vertAlign w:val="superscript"/>
              </w:rPr>
              <w:t>/</w:t>
            </w:r>
          </w:p>
        </w:tc>
        <w:tc>
          <w:tcPr>
            <w:tcW w:w="1105" w:type="dxa"/>
            <w:vMerge/>
            <w:tcBorders>
              <w:bottom w:val="single" w:sz="4" w:space="0" w:color="auto"/>
            </w:tcBorders>
          </w:tcPr>
          <w:p w14:paraId="0E7B0F46" w14:textId="77777777" w:rsidR="0038142F" w:rsidRPr="0038142F" w:rsidRDefault="0038142F" w:rsidP="0038142F">
            <w:pPr>
              <w:jc w:val="center"/>
              <w:rPr>
                <w:rFonts w:eastAsia="Times New Roman"/>
                <w:b/>
                <w:sz w:val="20"/>
                <w:szCs w:val="20"/>
              </w:rPr>
            </w:pPr>
          </w:p>
        </w:tc>
      </w:tr>
      <w:tr w:rsidR="0038142F" w:rsidRPr="0038142F" w14:paraId="78E80F3C" w14:textId="77777777" w:rsidTr="0024224F">
        <w:trPr>
          <w:jc w:val="center"/>
        </w:trPr>
        <w:tc>
          <w:tcPr>
            <w:tcW w:w="4931" w:type="dxa"/>
            <w:tcBorders>
              <w:bottom w:val="nil"/>
            </w:tcBorders>
          </w:tcPr>
          <w:p w14:paraId="50228DC9" w14:textId="77777777" w:rsidR="0038142F" w:rsidRPr="0038142F" w:rsidRDefault="0038142F" w:rsidP="0038142F">
            <w:pPr>
              <w:jc w:val="both"/>
              <w:rPr>
                <w:rFonts w:eastAsia="Times New Roman"/>
                <w:b/>
                <w:sz w:val="20"/>
                <w:szCs w:val="20"/>
              </w:rPr>
            </w:pPr>
            <w:r w:rsidRPr="0038142F">
              <w:rPr>
                <w:rFonts w:eastAsia="Times New Roman"/>
                <w:b/>
                <w:sz w:val="20"/>
                <w:szCs w:val="20"/>
              </w:rPr>
              <w:t>Indicador de Confianza Empresarial Manufacturero</w:t>
            </w:r>
          </w:p>
        </w:tc>
        <w:tc>
          <w:tcPr>
            <w:tcW w:w="1080" w:type="dxa"/>
            <w:tcBorders>
              <w:bottom w:val="nil"/>
            </w:tcBorders>
          </w:tcPr>
          <w:p w14:paraId="58A635AE" w14:textId="77777777" w:rsidR="0038142F" w:rsidRPr="0038142F" w:rsidRDefault="0038142F" w:rsidP="0038142F">
            <w:pPr>
              <w:jc w:val="center"/>
              <w:rPr>
                <w:rFonts w:eastAsia="Times New Roman"/>
                <w:b/>
                <w:sz w:val="20"/>
                <w:szCs w:val="20"/>
              </w:rPr>
            </w:pPr>
            <w:r w:rsidRPr="0038142F">
              <w:rPr>
                <w:rFonts w:eastAsia="Times New Roman"/>
                <w:b/>
                <w:sz w:val="20"/>
                <w:szCs w:val="20"/>
              </w:rPr>
              <w:t>51.3</w:t>
            </w:r>
          </w:p>
        </w:tc>
        <w:tc>
          <w:tcPr>
            <w:tcW w:w="1080" w:type="dxa"/>
            <w:tcBorders>
              <w:bottom w:val="nil"/>
            </w:tcBorders>
          </w:tcPr>
          <w:p w14:paraId="7B662FFF" w14:textId="77777777" w:rsidR="0038142F" w:rsidRPr="0038142F" w:rsidRDefault="0038142F" w:rsidP="0038142F">
            <w:pPr>
              <w:jc w:val="center"/>
              <w:rPr>
                <w:rFonts w:eastAsia="Times New Roman"/>
                <w:b/>
                <w:sz w:val="20"/>
                <w:szCs w:val="20"/>
              </w:rPr>
            </w:pPr>
            <w:r w:rsidRPr="0038142F">
              <w:rPr>
                <w:rFonts w:eastAsia="Times New Roman"/>
                <w:b/>
                <w:sz w:val="20"/>
                <w:szCs w:val="20"/>
              </w:rPr>
              <w:t>49.5</w:t>
            </w:r>
          </w:p>
        </w:tc>
        <w:tc>
          <w:tcPr>
            <w:tcW w:w="1105" w:type="dxa"/>
            <w:tcBorders>
              <w:bottom w:val="nil"/>
            </w:tcBorders>
          </w:tcPr>
          <w:p w14:paraId="1A4C3709" w14:textId="77777777" w:rsidR="0038142F" w:rsidRPr="0038142F" w:rsidRDefault="0038142F" w:rsidP="0038142F">
            <w:pPr>
              <w:ind w:right="340"/>
              <w:jc w:val="right"/>
              <w:rPr>
                <w:rFonts w:eastAsia="Times New Roman"/>
                <w:b/>
                <w:sz w:val="20"/>
                <w:szCs w:val="20"/>
              </w:rPr>
            </w:pPr>
            <w:r w:rsidRPr="0038142F">
              <w:rPr>
                <w:rFonts w:eastAsia="Times New Roman"/>
                <w:b/>
                <w:sz w:val="20"/>
                <w:szCs w:val="20"/>
              </w:rPr>
              <w:t>-1.9</w:t>
            </w:r>
          </w:p>
        </w:tc>
      </w:tr>
      <w:tr w:rsidR="0038142F" w:rsidRPr="0038142F" w14:paraId="317E91C5" w14:textId="77777777" w:rsidTr="0024224F">
        <w:trPr>
          <w:jc w:val="center"/>
        </w:trPr>
        <w:tc>
          <w:tcPr>
            <w:tcW w:w="4931" w:type="dxa"/>
            <w:tcBorders>
              <w:top w:val="nil"/>
              <w:bottom w:val="nil"/>
            </w:tcBorders>
          </w:tcPr>
          <w:p w14:paraId="799D6F1F" w14:textId="77777777" w:rsidR="0038142F" w:rsidRPr="0038142F" w:rsidRDefault="0038142F" w:rsidP="0038142F">
            <w:pPr>
              <w:ind w:left="113" w:right="159"/>
              <w:jc w:val="both"/>
              <w:rPr>
                <w:rFonts w:eastAsia="Times New Roman"/>
                <w:sz w:val="20"/>
                <w:szCs w:val="20"/>
              </w:rPr>
            </w:pPr>
            <w:r w:rsidRPr="0038142F">
              <w:rPr>
                <w:rFonts w:eastAsia="Times New Roman"/>
                <w:sz w:val="20"/>
                <w:szCs w:val="20"/>
              </w:rPr>
              <w:t>a) Momento adecuado para invertir</w:t>
            </w:r>
          </w:p>
        </w:tc>
        <w:tc>
          <w:tcPr>
            <w:tcW w:w="1080" w:type="dxa"/>
            <w:tcBorders>
              <w:top w:val="nil"/>
              <w:bottom w:val="nil"/>
            </w:tcBorders>
          </w:tcPr>
          <w:p w14:paraId="27BD020F" w14:textId="77777777" w:rsidR="0038142F" w:rsidRPr="0038142F" w:rsidRDefault="0038142F" w:rsidP="0038142F">
            <w:pPr>
              <w:jc w:val="center"/>
              <w:rPr>
                <w:rFonts w:eastAsia="Times New Roman"/>
                <w:sz w:val="20"/>
                <w:szCs w:val="20"/>
              </w:rPr>
            </w:pPr>
            <w:r w:rsidRPr="0038142F">
              <w:rPr>
                <w:rFonts w:eastAsia="Times New Roman"/>
                <w:sz w:val="20"/>
                <w:szCs w:val="20"/>
              </w:rPr>
              <w:t>43.1</w:t>
            </w:r>
          </w:p>
        </w:tc>
        <w:tc>
          <w:tcPr>
            <w:tcW w:w="1080" w:type="dxa"/>
            <w:tcBorders>
              <w:top w:val="nil"/>
              <w:bottom w:val="nil"/>
            </w:tcBorders>
          </w:tcPr>
          <w:p w14:paraId="1904AE6D" w14:textId="77777777" w:rsidR="0038142F" w:rsidRPr="0038142F" w:rsidRDefault="0038142F" w:rsidP="0038142F">
            <w:pPr>
              <w:jc w:val="center"/>
              <w:rPr>
                <w:rFonts w:eastAsia="Times New Roman"/>
                <w:sz w:val="20"/>
                <w:szCs w:val="20"/>
              </w:rPr>
            </w:pPr>
            <w:r w:rsidRPr="0038142F">
              <w:rPr>
                <w:rFonts w:eastAsia="Times New Roman"/>
                <w:sz w:val="20"/>
                <w:szCs w:val="20"/>
              </w:rPr>
              <w:t>39.4</w:t>
            </w:r>
          </w:p>
        </w:tc>
        <w:tc>
          <w:tcPr>
            <w:tcW w:w="1105" w:type="dxa"/>
            <w:tcBorders>
              <w:top w:val="nil"/>
              <w:bottom w:val="nil"/>
            </w:tcBorders>
          </w:tcPr>
          <w:p w14:paraId="63A44F2E" w14:textId="77777777" w:rsidR="0038142F" w:rsidRPr="0038142F" w:rsidRDefault="0038142F" w:rsidP="0038142F">
            <w:pPr>
              <w:ind w:right="340"/>
              <w:jc w:val="right"/>
              <w:rPr>
                <w:rFonts w:eastAsia="Times New Roman"/>
                <w:sz w:val="20"/>
                <w:szCs w:val="20"/>
              </w:rPr>
            </w:pPr>
            <w:r w:rsidRPr="0038142F">
              <w:rPr>
                <w:rFonts w:eastAsia="Times New Roman"/>
                <w:sz w:val="20"/>
                <w:szCs w:val="20"/>
              </w:rPr>
              <w:t>-3.7</w:t>
            </w:r>
          </w:p>
        </w:tc>
      </w:tr>
      <w:tr w:rsidR="0038142F" w:rsidRPr="0038142F" w14:paraId="21690250" w14:textId="77777777" w:rsidTr="0024224F">
        <w:trPr>
          <w:jc w:val="center"/>
        </w:trPr>
        <w:tc>
          <w:tcPr>
            <w:tcW w:w="4931" w:type="dxa"/>
            <w:tcBorders>
              <w:top w:val="nil"/>
              <w:bottom w:val="nil"/>
            </w:tcBorders>
          </w:tcPr>
          <w:p w14:paraId="5FAB0848" w14:textId="77777777" w:rsidR="0038142F" w:rsidRPr="0038142F" w:rsidRDefault="0038142F" w:rsidP="0038142F">
            <w:pPr>
              <w:ind w:left="113" w:right="159"/>
              <w:jc w:val="both"/>
              <w:rPr>
                <w:rFonts w:eastAsia="Times New Roman"/>
                <w:sz w:val="20"/>
                <w:szCs w:val="20"/>
              </w:rPr>
            </w:pPr>
            <w:r w:rsidRPr="0038142F">
              <w:rPr>
                <w:rFonts w:eastAsia="Times New Roman"/>
                <w:sz w:val="20"/>
                <w:szCs w:val="20"/>
              </w:rPr>
              <w:t>b) Situación económica presente del país</w:t>
            </w:r>
          </w:p>
        </w:tc>
        <w:tc>
          <w:tcPr>
            <w:tcW w:w="1080" w:type="dxa"/>
            <w:tcBorders>
              <w:top w:val="nil"/>
              <w:bottom w:val="nil"/>
            </w:tcBorders>
          </w:tcPr>
          <w:p w14:paraId="3F69AA91" w14:textId="77777777" w:rsidR="0038142F" w:rsidRPr="0038142F" w:rsidRDefault="0038142F" w:rsidP="0038142F">
            <w:pPr>
              <w:jc w:val="center"/>
              <w:rPr>
                <w:rFonts w:eastAsia="Times New Roman"/>
                <w:sz w:val="20"/>
                <w:szCs w:val="20"/>
              </w:rPr>
            </w:pPr>
            <w:r w:rsidRPr="0038142F">
              <w:rPr>
                <w:rFonts w:eastAsia="Times New Roman"/>
                <w:sz w:val="20"/>
                <w:szCs w:val="20"/>
              </w:rPr>
              <w:t>46.8</w:t>
            </w:r>
          </w:p>
        </w:tc>
        <w:tc>
          <w:tcPr>
            <w:tcW w:w="1080" w:type="dxa"/>
            <w:tcBorders>
              <w:top w:val="nil"/>
              <w:bottom w:val="nil"/>
            </w:tcBorders>
          </w:tcPr>
          <w:p w14:paraId="53C1528B" w14:textId="77777777" w:rsidR="0038142F" w:rsidRPr="0038142F" w:rsidRDefault="0038142F" w:rsidP="0038142F">
            <w:pPr>
              <w:jc w:val="center"/>
              <w:rPr>
                <w:rFonts w:eastAsia="Times New Roman"/>
                <w:sz w:val="20"/>
                <w:szCs w:val="20"/>
              </w:rPr>
            </w:pPr>
            <w:r w:rsidRPr="0038142F">
              <w:rPr>
                <w:rFonts w:eastAsia="Times New Roman"/>
                <w:sz w:val="20"/>
                <w:szCs w:val="20"/>
              </w:rPr>
              <w:t>45.0</w:t>
            </w:r>
          </w:p>
        </w:tc>
        <w:tc>
          <w:tcPr>
            <w:tcW w:w="1105" w:type="dxa"/>
            <w:tcBorders>
              <w:top w:val="nil"/>
              <w:bottom w:val="nil"/>
            </w:tcBorders>
          </w:tcPr>
          <w:p w14:paraId="3A887E7B" w14:textId="77777777" w:rsidR="0038142F" w:rsidRPr="0038142F" w:rsidRDefault="0038142F" w:rsidP="0038142F">
            <w:pPr>
              <w:ind w:right="340"/>
              <w:jc w:val="right"/>
              <w:rPr>
                <w:rFonts w:eastAsia="Times New Roman"/>
                <w:sz w:val="20"/>
                <w:szCs w:val="20"/>
              </w:rPr>
            </w:pPr>
            <w:r w:rsidRPr="0038142F">
              <w:rPr>
                <w:rFonts w:eastAsia="Times New Roman"/>
                <w:sz w:val="20"/>
                <w:szCs w:val="20"/>
              </w:rPr>
              <w:t>-1.8</w:t>
            </w:r>
          </w:p>
        </w:tc>
      </w:tr>
      <w:tr w:rsidR="0038142F" w:rsidRPr="0038142F" w14:paraId="3E40354F" w14:textId="77777777" w:rsidTr="0024224F">
        <w:trPr>
          <w:jc w:val="center"/>
        </w:trPr>
        <w:tc>
          <w:tcPr>
            <w:tcW w:w="4931" w:type="dxa"/>
            <w:tcBorders>
              <w:top w:val="nil"/>
              <w:bottom w:val="nil"/>
            </w:tcBorders>
          </w:tcPr>
          <w:p w14:paraId="548A716E" w14:textId="77777777" w:rsidR="0038142F" w:rsidRPr="0038142F" w:rsidRDefault="0038142F" w:rsidP="0038142F">
            <w:pPr>
              <w:ind w:left="113" w:right="159"/>
              <w:jc w:val="both"/>
              <w:rPr>
                <w:rFonts w:eastAsia="Times New Roman"/>
                <w:sz w:val="20"/>
                <w:szCs w:val="20"/>
              </w:rPr>
            </w:pPr>
            <w:r w:rsidRPr="0038142F">
              <w:rPr>
                <w:rFonts w:eastAsia="Times New Roman"/>
                <w:sz w:val="20"/>
                <w:szCs w:val="20"/>
              </w:rPr>
              <w:t>c) Situación económica futura del país</w:t>
            </w:r>
          </w:p>
        </w:tc>
        <w:tc>
          <w:tcPr>
            <w:tcW w:w="1080" w:type="dxa"/>
            <w:tcBorders>
              <w:top w:val="nil"/>
              <w:bottom w:val="nil"/>
            </w:tcBorders>
          </w:tcPr>
          <w:p w14:paraId="5E2E75E8" w14:textId="77777777" w:rsidR="0038142F" w:rsidRPr="0038142F" w:rsidRDefault="0038142F" w:rsidP="0038142F">
            <w:pPr>
              <w:jc w:val="center"/>
              <w:rPr>
                <w:rFonts w:eastAsia="Times New Roman"/>
                <w:sz w:val="20"/>
                <w:szCs w:val="20"/>
              </w:rPr>
            </w:pPr>
            <w:r w:rsidRPr="0038142F">
              <w:rPr>
                <w:rFonts w:eastAsia="Times New Roman"/>
                <w:sz w:val="20"/>
                <w:szCs w:val="20"/>
              </w:rPr>
              <w:t>53.7</w:t>
            </w:r>
          </w:p>
        </w:tc>
        <w:tc>
          <w:tcPr>
            <w:tcW w:w="1080" w:type="dxa"/>
            <w:tcBorders>
              <w:top w:val="nil"/>
              <w:bottom w:val="nil"/>
            </w:tcBorders>
          </w:tcPr>
          <w:p w14:paraId="376E232B" w14:textId="77777777" w:rsidR="0038142F" w:rsidRPr="0038142F" w:rsidRDefault="0038142F" w:rsidP="0038142F">
            <w:pPr>
              <w:jc w:val="center"/>
              <w:rPr>
                <w:rFonts w:eastAsia="Times New Roman"/>
                <w:sz w:val="20"/>
                <w:szCs w:val="20"/>
              </w:rPr>
            </w:pPr>
            <w:r w:rsidRPr="0038142F">
              <w:rPr>
                <w:rFonts w:eastAsia="Times New Roman"/>
                <w:sz w:val="20"/>
                <w:szCs w:val="20"/>
              </w:rPr>
              <w:t>51.7</w:t>
            </w:r>
          </w:p>
        </w:tc>
        <w:tc>
          <w:tcPr>
            <w:tcW w:w="1105" w:type="dxa"/>
            <w:tcBorders>
              <w:top w:val="nil"/>
              <w:bottom w:val="nil"/>
            </w:tcBorders>
          </w:tcPr>
          <w:p w14:paraId="1747F2F4" w14:textId="77777777" w:rsidR="0038142F" w:rsidRPr="0038142F" w:rsidRDefault="0038142F" w:rsidP="0038142F">
            <w:pPr>
              <w:ind w:right="340"/>
              <w:jc w:val="right"/>
              <w:rPr>
                <w:rFonts w:eastAsia="Times New Roman"/>
                <w:sz w:val="20"/>
                <w:szCs w:val="20"/>
              </w:rPr>
            </w:pPr>
            <w:r w:rsidRPr="0038142F">
              <w:rPr>
                <w:rFonts w:eastAsia="Times New Roman"/>
                <w:sz w:val="20"/>
                <w:szCs w:val="20"/>
              </w:rPr>
              <w:t>-2.0</w:t>
            </w:r>
          </w:p>
        </w:tc>
      </w:tr>
      <w:tr w:rsidR="0038142F" w:rsidRPr="0038142F" w14:paraId="3D61C5CC" w14:textId="77777777" w:rsidTr="0024224F">
        <w:trPr>
          <w:jc w:val="center"/>
        </w:trPr>
        <w:tc>
          <w:tcPr>
            <w:tcW w:w="4931" w:type="dxa"/>
            <w:tcBorders>
              <w:top w:val="nil"/>
              <w:bottom w:val="nil"/>
            </w:tcBorders>
          </w:tcPr>
          <w:p w14:paraId="4049FA28" w14:textId="77777777" w:rsidR="0038142F" w:rsidRPr="0038142F" w:rsidRDefault="0038142F" w:rsidP="0038142F">
            <w:pPr>
              <w:ind w:left="113" w:right="159"/>
              <w:jc w:val="both"/>
              <w:rPr>
                <w:rFonts w:eastAsia="Times New Roman"/>
                <w:sz w:val="20"/>
                <w:szCs w:val="20"/>
              </w:rPr>
            </w:pPr>
            <w:r w:rsidRPr="0038142F">
              <w:rPr>
                <w:rFonts w:eastAsia="Times New Roman"/>
                <w:sz w:val="20"/>
                <w:szCs w:val="20"/>
              </w:rPr>
              <w:t>d) Situación económica presente de la empresa</w:t>
            </w:r>
          </w:p>
        </w:tc>
        <w:tc>
          <w:tcPr>
            <w:tcW w:w="1080" w:type="dxa"/>
            <w:tcBorders>
              <w:top w:val="nil"/>
              <w:bottom w:val="nil"/>
            </w:tcBorders>
          </w:tcPr>
          <w:p w14:paraId="710E9DEE" w14:textId="77777777" w:rsidR="0038142F" w:rsidRPr="0038142F" w:rsidRDefault="0038142F" w:rsidP="0038142F">
            <w:pPr>
              <w:jc w:val="center"/>
              <w:rPr>
                <w:rFonts w:eastAsia="Times New Roman"/>
                <w:sz w:val="20"/>
                <w:szCs w:val="20"/>
              </w:rPr>
            </w:pPr>
            <w:r w:rsidRPr="0038142F">
              <w:rPr>
                <w:rFonts w:eastAsia="Times New Roman"/>
                <w:sz w:val="20"/>
                <w:szCs w:val="20"/>
              </w:rPr>
              <w:t>53.1</w:t>
            </w:r>
          </w:p>
        </w:tc>
        <w:tc>
          <w:tcPr>
            <w:tcW w:w="1080" w:type="dxa"/>
            <w:tcBorders>
              <w:top w:val="nil"/>
              <w:bottom w:val="nil"/>
            </w:tcBorders>
          </w:tcPr>
          <w:p w14:paraId="58CDA5A7" w14:textId="77777777" w:rsidR="0038142F" w:rsidRPr="0038142F" w:rsidRDefault="0038142F" w:rsidP="0038142F">
            <w:pPr>
              <w:jc w:val="center"/>
              <w:rPr>
                <w:rFonts w:eastAsia="Times New Roman"/>
                <w:sz w:val="20"/>
                <w:szCs w:val="20"/>
              </w:rPr>
            </w:pPr>
            <w:r w:rsidRPr="0038142F">
              <w:rPr>
                <w:rFonts w:eastAsia="Times New Roman"/>
                <w:sz w:val="20"/>
                <w:szCs w:val="20"/>
              </w:rPr>
              <w:t>52.5</w:t>
            </w:r>
          </w:p>
        </w:tc>
        <w:tc>
          <w:tcPr>
            <w:tcW w:w="1105" w:type="dxa"/>
            <w:tcBorders>
              <w:top w:val="nil"/>
              <w:bottom w:val="nil"/>
            </w:tcBorders>
          </w:tcPr>
          <w:p w14:paraId="6458CA9D" w14:textId="77777777" w:rsidR="0038142F" w:rsidRPr="0038142F" w:rsidRDefault="0038142F" w:rsidP="0038142F">
            <w:pPr>
              <w:ind w:right="340"/>
              <w:jc w:val="right"/>
              <w:rPr>
                <w:rFonts w:eastAsia="Times New Roman"/>
                <w:sz w:val="20"/>
                <w:szCs w:val="20"/>
              </w:rPr>
            </w:pPr>
            <w:r w:rsidRPr="0038142F">
              <w:rPr>
                <w:rFonts w:eastAsia="Times New Roman"/>
                <w:sz w:val="20"/>
                <w:szCs w:val="20"/>
              </w:rPr>
              <w:t>-0.6</w:t>
            </w:r>
          </w:p>
        </w:tc>
      </w:tr>
      <w:tr w:rsidR="0038142F" w:rsidRPr="0038142F" w14:paraId="57CE0FBB" w14:textId="77777777" w:rsidTr="0024224F">
        <w:trPr>
          <w:jc w:val="center"/>
        </w:trPr>
        <w:tc>
          <w:tcPr>
            <w:tcW w:w="4931" w:type="dxa"/>
            <w:tcBorders>
              <w:top w:val="nil"/>
              <w:bottom w:val="single" w:sz="4" w:space="0" w:color="auto"/>
            </w:tcBorders>
          </w:tcPr>
          <w:p w14:paraId="6AEDF800" w14:textId="77777777" w:rsidR="0038142F" w:rsidRPr="0038142F" w:rsidRDefault="0038142F" w:rsidP="0038142F">
            <w:pPr>
              <w:ind w:left="113" w:right="159"/>
              <w:jc w:val="both"/>
              <w:rPr>
                <w:rFonts w:eastAsia="Times New Roman"/>
                <w:sz w:val="20"/>
                <w:szCs w:val="20"/>
              </w:rPr>
            </w:pPr>
            <w:r w:rsidRPr="0038142F">
              <w:rPr>
                <w:rFonts w:eastAsia="Times New Roman"/>
                <w:sz w:val="20"/>
                <w:szCs w:val="20"/>
              </w:rPr>
              <w:t>e) Situación económica futura de la empresa</w:t>
            </w:r>
          </w:p>
        </w:tc>
        <w:tc>
          <w:tcPr>
            <w:tcW w:w="1080" w:type="dxa"/>
            <w:tcBorders>
              <w:top w:val="nil"/>
              <w:bottom w:val="single" w:sz="4" w:space="0" w:color="auto"/>
            </w:tcBorders>
          </w:tcPr>
          <w:p w14:paraId="4650107C" w14:textId="77777777" w:rsidR="0038142F" w:rsidRPr="0038142F" w:rsidRDefault="0038142F" w:rsidP="0038142F">
            <w:pPr>
              <w:jc w:val="center"/>
              <w:rPr>
                <w:rFonts w:eastAsia="Times New Roman"/>
                <w:sz w:val="20"/>
                <w:szCs w:val="20"/>
              </w:rPr>
            </w:pPr>
            <w:r w:rsidRPr="0038142F">
              <w:rPr>
                <w:rFonts w:eastAsia="Times New Roman"/>
                <w:sz w:val="20"/>
                <w:szCs w:val="20"/>
              </w:rPr>
              <w:t>59.9</w:t>
            </w:r>
          </w:p>
        </w:tc>
        <w:tc>
          <w:tcPr>
            <w:tcW w:w="1080" w:type="dxa"/>
            <w:tcBorders>
              <w:top w:val="nil"/>
              <w:bottom w:val="single" w:sz="4" w:space="0" w:color="auto"/>
            </w:tcBorders>
          </w:tcPr>
          <w:p w14:paraId="089541E3" w14:textId="77777777" w:rsidR="0038142F" w:rsidRPr="0038142F" w:rsidRDefault="0038142F" w:rsidP="0038142F">
            <w:pPr>
              <w:jc w:val="center"/>
              <w:rPr>
                <w:rFonts w:eastAsia="Times New Roman"/>
                <w:sz w:val="20"/>
                <w:szCs w:val="20"/>
              </w:rPr>
            </w:pPr>
            <w:r w:rsidRPr="0038142F">
              <w:rPr>
                <w:rFonts w:eastAsia="Times New Roman"/>
                <w:sz w:val="20"/>
                <w:szCs w:val="20"/>
              </w:rPr>
              <w:t>58.8</w:t>
            </w:r>
          </w:p>
        </w:tc>
        <w:tc>
          <w:tcPr>
            <w:tcW w:w="1105" w:type="dxa"/>
            <w:tcBorders>
              <w:top w:val="nil"/>
              <w:bottom w:val="single" w:sz="4" w:space="0" w:color="auto"/>
            </w:tcBorders>
          </w:tcPr>
          <w:p w14:paraId="610D56F6" w14:textId="77777777" w:rsidR="0038142F" w:rsidRPr="0038142F" w:rsidRDefault="0038142F" w:rsidP="0038142F">
            <w:pPr>
              <w:ind w:right="340"/>
              <w:jc w:val="right"/>
              <w:rPr>
                <w:rFonts w:eastAsia="Times New Roman"/>
                <w:sz w:val="20"/>
                <w:szCs w:val="20"/>
              </w:rPr>
            </w:pPr>
            <w:r w:rsidRPr="0038142F">
              <w:rPr>
                <w:rFonts w:eastAsia="Times New Roman"/>
                <w:sz w:val="20"/>
                <w:szCs w:val="20"/>
              </w:rPr>
              <w:t>-1.2</w:t>
            </w:r>
          </w:p>
        </w:tc>
      </w:tr>
      <w:tr w:rsidR="0038142F" w:rsidRPr="0038142F" w14:paraId="238967F4" w14:textId="77777777" w:rsidTr="0024224F">
        <w:trPr>
          <w:jc w:val="center"/>
        </w:trPr>
        <w:tc>
          <w:tcPr>
            <w:tcW w:w="8196" w:type="dxa"/>
            <w:gridSpan w:val="4"/>
            <w:tcBorders>
              <w:left w:val="nil"/>
              <w:bottom w:val="nil"/>
              <w:right w:val="nil"/>
            </w:tcBorders>
          </w:tcPr>
          <w:p w14:paraId="173E5626" w14:textId="77777777" w:rsidR="0038142F" w:rsidRPr="0038142F" w:rsidRDefault="0038142F" w:rsidP="0038142F">
            <w:pPr>
              <w:jc w:val="both"/>
              <w:rPr>
                <w:rFonts w:eastAsia="Times New Roman"/>
                <w:sz w:val="20"/>
                <w:szCs w:val="20"/>
              </w:rPr>
            </w:pPr>
            <w:r w:rsidRPr="0038142F">
              <w:rPr>
                <w:rFonts w:eastAsia="Times New Roman"/>
                <w:sz w:val="20"/>
                <w:szCs w:val="20"/>
              </w:rPr>
              <w:t>Nota: Los indicadores se generan con los datos referidos al mes de la entrevista.</w:t>
            </w:r>
          </w:p>
          <w:p w14:paraId="4D7BA1C8" w14:textId="77777777" w:rsidR="0038142F" w:rsidRPr="0038142F" w:rsidRDefault="0038142F" w:rsidP="0038142F">
            <w:pPr>
              <w:ind w:left="255" w:hanging="255"/>
              <w:jc w:val="both"/>
              <w:rPr>
                <w:rFonts w:eastAsia="Times New Roman"/>
                <w:sz w:val="20"/>
                <w:szCs w:val="20"/>
              </w:rPr>
            </w:pPr>
            <w:r w:rsidRPr="0038142F">
              <w:rPr>
                <w:rFonts w:eastAsia="Times New Roman"/>
                <w:sz w:val="20"/>
                <w:szCs w:val="20"/>
                <w:u w:val="single"/>
              </w:rPr>
              <w:t>1</w:t>
            </w:r>
            <w:r w:rsidRPr="0038142F">
              <w:rPr>
                <w:rFonts w:eastAsia="Times New Roman"/>
                <w:sz w:val="20"/>
                <w:szCs w:val="20"/>
              </w:rPr>
              <w:t>/ Las diferencias en puntos se obtienen de los respectivos indicadores considerando todos sus decimales.</w:t>
            </w:r>
          </w:p>
          <w:p w14:paraId="1AFA556B" w14:textId="77777777" w:rsidR="0038142F" w:rsidRPr="0038142F" w:rsidRDefault="0038142F" w:rsidP="0038142F">
            <w:pPr>
              <w:jc w:val="both"/>
              <w:rPr>
                <w:rFonts w:eastAsia="Times New Roman"/>
                <w:sz w:val="20"/>
                <w:szCs w:val="20"/>
              </w:rPr>
            </w:pPr>
            <w:r w:rsidRPr="0038142F">
              <w:rPr>
                <w:rFonts w:eastAsia="Times New Roman"/>
                <w:sz w:val="20"/>
                <w:szCs w:val="20"/>
                <w:u w:val="single"/>
              </w:rPr>
              <w:t>p</w:t>
            </w:r>
            <w:r w:rsidRPr="0038142F">
              <w:rPr>
                <w:rFonts w:eastAsia="Times New Roman"/>
                <w:sz w:val="20"/>
                <w:szCs w:val="20"/>
              </w:rPr>
              <w:t>/ Dato preliminar.</w:t>
            </w:r>
          </w:p>
          <w:p w14:paraId="10ABA298" w14:textId="77777777" w:rsidR="0038142F" w:rsidRPr="0038142F" w:rsidRDefault="0038142F" w:rsidP="0038142F">
            <w:pPr>
              <w:jc w:val="both"/>
              <w:rPr>
                <w:rFonts w:eastAsia="Times New Roman"/>
                <w:sz w:val="18"/>
                <w:szCs w:val="18"/>
              </w:rPr>
            </w:pPr>
            <w:r w:rsidRPr="0038142F">
              <w:rPr>
                <w:rFonts w:eastAsia="Times New Roman"/>
                <w:sz w:val="20"/>
                <w:szCs w:val="20"/>
              </w:rPr>
              <w:t>FUENTE: INEGI.</w:t>
            </w:r>
          </w:p>
        </w:tc>
      </w:tr>
    </w:tbl>
    <w:p w14:paraId="6965C119" w14:textId="77777777" w:rsidR="0038142F" w:rsidRPr="0038142F" w:rsidRDefault="0038142F" w:rsidP="0038142F">
      <w:pPr>
        <w:spacing w:after="360" w:line="360" w:lineRule="auto"/>
        <w:ind w:right="-159"/>
        <w:jc w:val="both"/>
        <w:rPr>
          <w:rFonts w:eastAsia="Times New Roman"/>
          <w:b/>
          <w:sz w:val="26"/>
          <w:szCs w:val="26"/>
        </w:rPr>
      </w:pPr>
    </w:p>
    <w:p w14:paraId="7FADC487" w14:textId="22FEB24E" w:rsidR="0038142F" w:rsidRPr="0038142F" w:rsidRDefault="0038142F" w:rsidP="0038142F">
      <w:pPr>
        <w:spacing w:after="360" w:line="360" w:lineRule="auto"/>
        <w:ind w:right="-159"/>
        <w:jc w:val="both"/>
        <w:rPr>
          <w:rFonts w:eastAsia="Times New Roman"/>
          <w:sz w:val="26"/>
          <w:szCs w:val="26"/>
        </w:rPr>
      </w:pPr>
      <w:r w:rsidRPr="0038142F">
        <w:rPr>
          <w:rFonts w:eastAsia="Times New Roman"/>
          <w:sz w:val="26"/>
          <w:szCs w:val="26"/>
        </w:rPr>
        <w:t>Por grupos de subsectores de actividad manufacturera, durante febrero de 2015</w:t>
      </w:r>
      <w:r w:rsidR="002F48E0">
        <w:rPr>
          <w:rFonts w:eastAsia="Times New Roman"/>
          <w:sz w:val="26"/>
          <w:szCs w:val="26"/>
        </w:rPr>
        <w:t>,</w:t>
      </w:r>
      <w:r w:rsidRPr="0038142F">
        <w:rPr>
          <w:rFonts w:eastAsia="Times New Roman"/>
          <w:sz w:val="26"/>
          <w:szCs w:val="26"/>
        </w:rPr>
        <w:t xml:space="preserve"> el ICE registró caídas anuales en seis de los siete grupos que lo conforman.</w:t>
      </w:r>
    </w:p>
    <w:p w14:paraId="48597730" w14:textId="77777777" w:rsidR="0038142F" w:rsidRPr="0038142F" w:rsidRDefault="0038142F" w:rsidP="0038142F">
      <w:pPr>
        <w:spacing w:line="360" w:lineRule="auto"/>
        <w:ind w:right="-159"/>
        <w:jc w:val="both"/>
        <w:rPr>
          <w:rFonts w:eastAsia="Times New Roman"/>
          <w:sz w:val="26"/>
          <w:szCs w:val="2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50"/>
        <w:gridCol w:w="900"/>
        <w:gridCol w:w="842"/>
        <w:gridCol w:w="1182"/>
      </w:tblGrid>
      <w:tr w:rsidR="0038142F" w:rsidRPr="0038142F" w14:paraId="0FA23F38" w14:textId="77777777" w:rsidTr="0024224F">
        <w:trPr>
          <w:jc w:val="center"/>
        </w:trPr>
        <w:tc>
          <w:tcPr>
            <w:tcW w:w="8274" w:type="dxa"/>
            <w:gridSpan w:val="4"/>
            <w:tcBorders>
              <w:top w:val="nil"/>
              <w:left w:val="nil"/>
              <w:bottom w:val="single" w:sz="4" w:space="0" w:color="auto"/>
              <w:right w:val="nil"/>
            </w:tcBorders>
          </w:tcPr>
          <w:p w14:paraId="2B3E47ED" w14:textId="77777777" w:rsidR="0038142F" w:rsidRPr="0038142F" w:rsidRDefault="0038142F" w:rsidP="0038142F">
            <w:pPr>
              <w:jc w:val="center"/>
              <w:rPr>
                <w:rFonts w:eastAsia="Times New Roman"/>
                <w:b/>
                <w:sz w:val="22"/>
                <w:szCs w:val="22"/>
              </w:rPr>
            </w:pPr>
            <w:r w:rsidRPr="0038142F">
              <w:rPr>
                <w:rFonts w:eastAsia="Times New Roman"/>
                <w:b/>
                <w:sz w:val="22"/>
                <w:szCs w:val="22"/>
              </w:rPr>
              <w:t>INDICADOR DE CONFIANZA EMPRESARIAL MANUFACTURERO POR GRUPOS DE SUBSECTORES DE ACTIVIDAD</w:t>
            </w:r>
          </w:p>
          <w:p w14:paraId="0F5A209F" w14:textId="77777777" w:rsidR="0038142F" w:rsidRPr="0038142F" w:rsidRDefault="0038142F" w:rsidP="0038142F">
            <w:pPr>
              <w:jc w:val="center"/>
              <w:rPr>
                <w:rFonts w:eastAsia="Times New Roman"/>
                <w:b/>
                <w:sz w:val="22"/>
                <w:szCs w:val="22"/>
              </w:rPr>
            </w:pPr>
            <w:r w:rsidRPr="0038142F">
              <w:rPr>
                <w:rFonts w:eastAsia="Times New Roman"/>
                <w:b/>
                <w:sz w:val="22"/>
                <w:szCs w:val="22"/>
              </w:rPr>
              <w:t>CIFRAS ORIGINALES</w:t>
            </w:r>
          </w:p>
        </w:tc>
      </w:tr>
      <w:tr w:rsidR="0038142F" w:rsidRPr="0038142F" w14:paraId="28AD1894" w14:textId="77777777" w:rsidTr="0024224F">
        <w:trPr>
          <w:jc w:val="center"/>
        </w:trPr>
        <w:tc>
          <w:tcPr>
            <w:tcW w:w="5350" w:type="dxa"/>
            <w:vMerge w:val="restart"/>
            <w:tcBorders>
              <w:top w:val="single" w:sz="4" w:space="0" w:color="auto"/>
              <w:left w:val="single" w:sz="4" w:space="0" w:color="auto"/>
              <w:bottom w:val="nil"/>
              <w:right w:val="single" w:sz="4" w:space="0" w:color="auto"/>
            </w:tcBorders>
            <w:vAlign w:val="center"/>
          </w:tcPr>
          <w:p w14:paraId="5E5FF772" w14:textId="77777777" w:rsidR="0038142F" w:rsidRPr="0038142F" w:rsidRDefault="0038142F" w:rsidP="0038142F">
            <w:pPr>
              <w:jc w:val="center"/>
              <w:rPr>
                <w:rFonts w:eastAsia="Times New Roman"/>
                <w:b/>
                <w:sz w:val="20"/>
                <w:szCs w:val="20"/>
              </w:rPr>
            </w:pPr>
            <w:r w:rsidRPr="0038142F">
              <w:rPr>
                <w:rFonts w:eastAsia="Times New Roman"/>
                <w:b/>
                <w:sz w:val="20"/>
                <w:szCs w:val="20"/>
              </w:rPr>
              <w:t>Grupos</w:t>
            </w:r>
          </w:p>
        </w:tc>
        <w:tc>
          <w:tcPr>
            <w:tcW w:w="1742" w:type="dxa"/>
            <w:gridSpan w:val="2"/>
            <w:tcBorders>
              <w:top w:val="single" w:sz="4" w:space="0" w:color="auto"/>
              <w:left w:val="single" w:sz="4" w:space="0" w:color="auto"/>
              <w:bottom w:val="single" w:sz="4" w:space="0" w:color="auto"/>
              <w:right w:val="single" w:sz="4" w:space="0" w:color="auto"/>
            </w:tcBorders>
          </w:tcPr>
          <w:p w14:paraId="22A4C1C8" w14:textId="77777777" w:rsidR="0038142F" w:rsidRPr="0038142F" w:rsidRDefault="0038142F" w:rsidP="0038142F">
            <w:pPr>
              <w:jc w:val="center"/>
              <w:rPr>
                <w:rFonts w:eastAsia="Times New Roman"/>
                <w:b/>
                <w:sz w:val="20"/>
                <w:szCs w:val="20"/>
              </w:rPr>
            </w:pPr>
            <w:r w:rsidRPr="0038142F">
              <w:rPr>
                <w:rFonts w:eastAsia="Times New Roman"/>
                <w:b/>
                <w:sz w:val="20"/>
                <w:szCs w:val="20"/>
              </w:rPr>
              <w:t>Febrero</w:t>
            </w:r>
          </w:p>
        </w:tc>
        <w:tc>
          <w:tcPr>
            <w:tcW w:w="1182" w:type="dxa"/>
            <w:vMerge w:val="restart"/>
            <w:tcBorders>
              <w:top w:val="single" w:sz="4" w:space="0" w:color="auto"/>
              <w:left w:val="single" w:sz="4" w:space="0" w:color="auto"/>
              <w:bottom w:val="nil"/>
              <w:right w:val="single" w:sz="4" w:space="0" w:color="auto"/>
            </w:tcBorders>
          </w:tcPr>
          <w:p w14:paraId="25AAE8AE" w14:textId="77777777" w:rsidR="0038142F" w:rsidRPr="0038142F" w:rsidRDefault="0038142F" w:rsidP="0038142F">
            <w:pPr>
              <w:jc w:val="center"/>
              <w:rPr>
                <w:rFonts w:eastAsia="Times New Roman"/>
                <w:b/>
                <w:sz w:val="20"/>
                <w:szCs w:val="20"/>
              </w:rPr>
            </w:pPr>
            <w:r w:rsidRPr="0038142F">
              <w:rPr>
                <w:rFonts w:eastAsia="Times New Roman"/>
                <w:b/>
                <w:sz w:val="20"/>
                <w:szCs w:val="20"/>
              </w:rPr>
              <w:t>Diferencia en puntos</w:t>
            </w:r>
            <w:r w:rsidRPr="0038142F">
              <w:rPr>
                <w:rFonts w:eastAsia="Times New Roman"/>
                <w:b/>
                <w:sz w:val="20"/>
                <w:szCs w:val="20"/>
                <w:u w:val="single"/>
                <w:vertAlign w:val="superscript"/>
              </w:rPr>
              <w:t>1</w:t>
            </w:r>
            <w:r w:rsidRPr="0038142F">
              <w:rPr>
                <w:rFonts w:eastAsia="Times New Roman"/>
                <w:b/>
                <w:sz w:val="20"/>
                <w:szCs w:val="20"/>
                <w:vertAlign w:val="superscript"/>
              </w:rPr>
              <w:t>/</w:t>
            </w:r>
          </w:p>
        </w:tc>
      </w:tr>
      <w:tr w:rsidR="0038142F" w:rsidRPr="0038142F" w14:paraId="1CB64D98" w14:textId="77777777" w:rsidTr="0024224F">
        <w:trPr>
          <w:jc w:val="center"/>
        </w:trPr>
        <w:tc>
          <w:tcPr>
            <w:tcW w:w="5350" w:type="dxa"/>
            <w:vMerge/>
            <w:tcBorders>
              <w:top w:val="nil"/>
              <w:left w:val="single" w:sz="4" w:space="0" w:color="auto"/>
              <w:bottom w:val="single" w:sz="4" w:space="0" w:color="auto"/>
              <w:right w:val="single" w:sz="4" w:space="0" w:color="auto"/>
            </w:tcBorders>
          </w:tcPr>
          <w:p w14:paraId="1394B68B" w14:textId="77777777" w:rsidR="0038142F" w:rsidRPr="0038142F" w:rsidRDefault="0038142F" w:rsidP="0038142F">
            <w:pPr>
              <w:jc w:val="both"/>
              <w:rPr>
                <w:rFonts w:eastAsia="Times New Roman"/>
                <w:b/>
                <w:sz w:val="20"/>
                <w:szCs w:val="20"/>
              </w:rPr>
            </w:pPr>
          </w:p>
        </w:tc>
        <w:tc>
          <w:tcPr>
            <w:tcW w:w="900" w:type="dxa"/>
            <w:tcBorders>
              <w:top w:val="nil"/>
              <w:left w:val="single" w:sz="4" w:space="0" w:color="auto"/>
              <w:bottom w:val="single" w:sz="4" w:space="0" w:color="auto"/>
              <w:right w:val="single" w:sz="4" w:space="0" w:color="auto"/>
            </w:tcBorders>
            <w:vAlign w:val="center"/>
          </w:tcPr>
          <w:p w14:paraId="4B2B9EA1" w14:textId="77777777" w:rsidR="0038142F" w:rsidRPr="0038142F" w:rsidRDefault="0038142F" w:rsidP="0038142F">
            <w:pPr>
              <w:jc w:val="center"/>
              <w:rPr>
                <w:rFonts w:eastAsia="Times New Roman"/>
                <w:b/>
                <w:sz w:val="20"/>
                <w:szCs w:val="20"/>
              </w:rPr>
            </w:pPr>
            <w:r w:rsidRPr="0038142F">
              <w:rPr>
                <w:rFonts w:eastAsia="Times New Roman"/>
                <w:b/>
                <w:sz w:val="20"/>
                <w:szCs w:val="20"/>
              </w:rPr>
              <w:t>2014</w:t>
            </w:r>
          </w:p>
        </w:tc>
        <w:tc>
          <w:tcPr>
            <w:tcW w:w="842" w:type="dxa"/>
            <w:tcBorders>
              <w:top w:val="nil"/>
              <w:left w:val="single" w:sz="4" w:space="0" w:color="auto"/>
              <w:bottom w:val="single" w:sz="4" w:space="0" w:color="auto"/>
              <w:right w:val="single" w:sz="4" w:space="0" w:color="auto"/>
            </w:tcBorders>
            <w:vAlign w:val="center"/>
          </w:tcPr>
          <w:p w14:paraId="63715FCD" w14:textId="77777777" w:rsidR="0038142F" w:rsidRPr="0038142F" w:rsidRDefault="0038142F" w:rsidP="0038142F">
            <w:pPr>
              <w:jc w:val="center"/>
              <w:rPr>
                <w:rFonts w:eastAsia="Times New Roman"/>
                <w:b/>
                <w:sz w:val="20"/>
                <w:szCs w:val="20"/>
              </w:rPr>
            </w:pPr>
            <w:r w:rsidRPr="0038142F">
              <w:rPr>
                <w:rFonts w:eastAsia="Times New Roman"/>
                <w:b/>
                <w:sz w:val="20"/>
                <w:szCs w:val="20"/>
              </w:rPr>
              <w:t>2015</w:t>
            </w:r>
            <w:r w:rsidRPr="0038142F">
              <w:rPr>
                <w:rFonts w:eastAsia="Times New Roman"/>
                <w:b/>
                <w:sz w:val="20"/>
                <w:szCs w:val="20"/>
                <w:u w:val="single"/>
                <w:vertAlign w:val="superscript"/>
              </w:rPr>
              <w:t>p</w:t>
            </w:r>
            <w:r w:rsidRPr="0038142F">
              <w:rPr>
                <w:rFonts w:eastAsia="Times New Roman"/>
                <w:b/>
                <w:sz w:val="20"/>
                <w:szCs w:val="20"/>
                <w:vertAlign w:val="superscript"/>
              </w:rPr>
              <w:t>/</w:t>
            </w:r>
          </w:p>
        </w:tc>
        <w:tc>
          <w:tcPr>
            <w:tcW w:w="1182" w:type="dxa"/>
            <w:vMerge/>
            <w:tcBorders>
              <w:top w:val="nil"/>
              <w:left w:val="single" w:sz="4" w:space="0" w:color="auto"/>
              <w:bottom w:val="single" w:sz="4" w:space="0" w:color="auto"/>
              <w:right w:val="single" w:sz="4" w:space="0" w:color="auto"/>
            </w:tcBorders>
          </w:tcPr>
          <w:p w14:paraId="0F752919" w14:textId="77777777" w:rsidR="0038142F" w:rsidRPr="0038142F" w:rsidRDefault="0038142F" w:rsidP="0038142F">
            <w:pPr>
              <w:jc w:val="center"/>
              <w:rPr>
                <w:rFonts w:eastAsia="Times New Roman"/>
                <w:b/>
                <w:sz w:val="20"/>
                <w:szCs w:val="20"/>
              </w:rPr>
            </w:pPr>
          </w:p>
        </w:tc>
      </w:tr>
      <w:tr w:rsidR="0038142F" w:rsidRPr="0038142F" w14:paraId="0F8945D7" w14:textId="77777777" w:rsidTr="0024224F">
        <w:trPr>
          <w:jc w:val="center"/>
        </w:trPr>
        <w:tc>
          <w:tcPr>
            <w:tcW w:w="5350" w:type="dxa"/>
            <w:tcBorders>
              <w:top w:val="single" w:sz="4" w:space="0" w:color="auto"/>
              <w:left w:val="single" w:sz="4" w:space="0" w:color="auto"/>
              <w:bottom w:val="nil"/>
              <w:right w:val="single" w:sz="4" w:space="0" w:color="auto"/>
            </w:tcBorders>
          </w:tcPr>
          <w:p w14:paraId="18CB8BD3" w14:textId="77777777" w:rsidR="0038142F" w:rsidRPr="0038142F" w:rsidRDefault="0038142F" w:rsidP="0038142F">
            <w:pPr>
              <w:jc w:val="both"/>
              <w:rPr>
                <w:rFonts w:eastAsia="Times New Roman"/>
                <w:b/>
                <w:sz w:val="20"/>
                <w:szCs w:val="20"/>
              </w:rPr>
            </w:pPr>
            <w:r w:rsidRPr="0038142F">
              <w:rPr>
                <w:rFonts w:eastAsia="Times New Roman"/>
                <w:b/>
                <w:sz w:val="20"/>
                <w:szCs w:val="20"/>
              </w:rPr>
              <w:t>Indicador de Confianza Empresarial Manufacturero</w:t>
            </w:r>
          </w:p>
        </w:tc>
        <w:tc>
          <w:tcPr>
            <w:tcW w:w="900" w:type="dxa"/>
            <w:tcBorders>
              <w:top w:val="single" w:sz="4" w:space="0" w:color="auto"/>
              <w:left w:val="single" w:sz="4" w:space="0" w:color="auto"/>
              <w:bottom w:val="nil"/>
              <w:right w:val="single" w:sz="4" w:space="0" w:color="auto"/>
            </w:tcBorders>
          </w:tcPr>
          <w:p w14:paraId="53BFDBB1" w14:textId="77777777" w:rsidR="0038142F" w:rsidRPr="0038142F" w:rsidRDefault="0038142F" w:rsidP="0038142F">
            <w:pPr>
              <w:jc w:val="center"/>
              <w:rPr>
                <w:rFonts w:eastAsia="Times New Roman"/>
                <w:b/>
                <w:sz w:val="20"/>
                <w:szCs w:val="20"/>
              </w:rPr>
            </w:pPr>
            <w:r w:rsidRPr="0038142F">
              <w:rPr>
                <w:rFonts w:eastAsia="Times New Roman"/>
                <w:b/>
                <w:sz w:val="20"/>
                <w:szCs w:val="20"/>
              </w:rPr>
              <w:t>51.3</w:t>
            </w:r>
          </w:p>
        </w:tc>
        <w:tc>
          <w:tcPr>
            <w:tcW w:w="842" w:type="dxa"/>
            <w:tcBorders>
              <w:top w:val="single" w:sz="4" w:space="0" w:color="auto"/>
              <w:left w:val="single" w:sz="4" w:space="0" w:color="auto"/>
              <w:bottom w:val="nil"/>
              <w:right w:val="single" w:sz="4" w:space="0" w:color="auto"/>
            </w:tcBorders>
          </w:tcPr>
          <w:p w14:paraId="025BFE6E" w14:textId="77777777" w:rsidR="0038142F" w:rsidRPr="0038142F" w:rsidRDefault="0038142F" w:rsidP="0038142F">
            <w:pPr>
              <w:jc w:val="center"/>
              <w:rPr>
                <w:rFonts w:eastAsia="Times New Roman"/>
                <w:b/>
                <w:sz w:val="20"/>
                <w:szCs w:val="20"/>
              </w:rPr>
            </w:pPr>
            <w:r w:rsidRPr="0038142F">
              <w:rPr>
                <w:rFonts w:eastAsia="Times New Roman"/>
                <w:b/>
                <w:sz w:val="20"/>
                <w:szCs w:val="20"/>
              </w:rPr>
              <w:t>49.5</w:t>
            </w:r>
          </w:p>
        </w:tc>
        <w:tc>
          <w:tcPr>
            <w:tcW w:w="1182" w:type="dxa"/>
            <w:tcBorders>
              <w:top w:val="single" w:sz="4" w:space="0" w:color="auto"/>
              <w:left w:val="single" w:sz="4" w:space="0" w:color="auto"/>
              <w:bottom w:val="nil"/>
              <w:right w:val="single" w:sz="4" w:space="0" w:color="auto"/>
            </w:tcBorders>
          </w:tcPr>
          <w:p w14:paraId="1E3C6F5F" w14:textId="77777777" w:rsidR="0038142F" w:rsidRPr="0038142F" w:rsidRDefault="0038142F" w:rsidP="0038142F">
            <w:pPr>
              <w:ind w:right="340"/>
              <w:jc w:val="right"/>
              <w:rPr>
                <w:rFonts w:eastAsia="Times New Roman"/>
                <w:b/>
                <w:sz w:val="20"/>
                <w:szCs w:val="20"/>
              </w:rPr>
            </w:pPr>
            <w:r w:rsidRPr="0038142F">
              <w:rPr>
                <w:rFonts w:eastAsia="Times New Roman"/>
                <w:b/>
                <w:sz w:val="20"/>
                <w:szCs w:val="20"/>
              </w:rPr>
              <w:t>-1.9</w:t>
            </w:r>
          </w:p>
        </w:tc>
      </w:tr>
      <w:tr w:rsidR="0038142F" w:rsidRPr="0038142F" w14:paraId="03A6F9F5" w14:textId="77777777" w:rsidTr="0024224F">
        <w:trPr>
          <w:jc w:val="center"/>
        </w:trPr>
        <w:tc>
          <w:tcPr>
            <w:tcW w:w="5350" w:type="dxa"/>
            <w:tcBorders>
              <w:top w:val="nil"/>
              <w:left w:val="single" w:sz="4" w:space="0" w:color="auto"/>
              <w:bottom w:val="nil"/>
              <w:right w:val="single" w:sz="4" w:space="0" w:color="auto"/>
            </w:tcBorders>
          </w:tcPr>
          <w:p w14:paraId="204907AC" w14:textId="77777777" w:rsidR="0038142F" w:rsidRPr="0038142F" w:rsidRDefault="0038142F" w:rsidP="0038142F">
            <w:pPr>
              <w:ind w:left="113"/>
              <w:rPr>
                <w:rFonts w:eastAsia="Times New Roman"/>
                <w:sz w:val="20"/>
                <w:szCs w:val="20"/>
              </w:rPr>
            </w:pPr>
            <w:r w:rsidRPr="0038142F">
              <w:rPr>
                <w:rFonts w:eastAsia="Times New Roman"/>
                <w:sz w:val="20"/>
                <w:szCs w:val="20"/>
              </w:rPr>
              <w:t>Alimentos, bebidas y tabaco</w:t>
            </w:r>
          </w:p>
        </w:tc>
        <w:tc>
          <w:tcPr>
            <w:tcW w:w="900" w:type="dxa"/>
            <w:tcBorders>
              <w:top w:val="nil"/>
              <w:left w:val="single" w:sz="4" w:space="0" w:color="auto"/>
              <w:bottom w:val="nil"/>
              <w:right w:val="single" w:sz="4" w:space="0" w:color="auto"/>
            </w:tcBorders>
          </w:tcPr>
          <w:p w14:paraId="2CB81EA9" w14:textId="77777777" w:rsidR="0038142F" w:rsidRPr="0038142F" w:rsidRDefault="0038142F" w:rsidP="0038142F">
            <w:pPr>
              <w:jc w:val="center"/>
              <w:rPr>
                <w:rFonts w:eastAsia="Times New Roman"/>
                <w:sz w:val="20"/>
                <w:szCs w:val="20"/>
              </w:rPr>
            </w:pPr>
            <w:r w:rsidRPr="0038142F">
              <w:rPr>
                <w:rFonts w:eastAsia="Times New Roman"/>
                <w:sz w:val="20"/>
                <w:szCs w:val="20"/>
              </w:rPr>
              <w:t>49.1</w:t>
            </w:r>
          </w:p>
        </w:tc>
        <w:tc>
          <w:tcPr>
            <w:tcW w:w="842" w:type="dxa"/>
            <w:tcBorders>
              <w:top w:val="nil"/>
              <w:left w:val="single" w:sz="4" w:space="0" w:color="auto"/>
              <w:bottom w:val="nil"/>
              <w:right w:val="single" w:sz="4" w:space="0" w:color="auto"/>
            </w:tcBorders>
          </w:tcPr>
          <w:p w14:paraId="2E7D16AF" w14:textId="77777777" w:rsidR="0038142F" w:rsidRPr="0038142F" w:rsidRDefault="0038142F" w:rsidP="0038142F">
            <w:pPr>
              <w:jc w:val="center"/>
              <w:rPr>
                <w:rFonts w:eastAsia="Times New Roman"/>
                <w:sz w:val="20"/>
                <w:szCs w:val="20"/>
              </w:rPr>
            </w:pPr>
            <w:r w:rsidRPr="0038142F">
              <w:rPr>
                <w:rFonts w:eastAsia="Times New Roman"/>
                <w:sz w:val="20"/>
                <w:szCs w:val="20"/>
              </w:rPr>
              <w:t>48.7</w:t>
            </w:r>
          </w:p>
        </w:tc>
        <w:tc>
          <w:tcPr>
            <w:tcW w:w="1182" w:type="dxa"/>
            <w:tcBorders>
              <w:top w:val="nil"/>
              <w:left w:val="single" w:sz="4" w:space="0" w:color="auto"/>
              <w:bottom w:val="nil"/>
              <w:right w:val="single" w:sz="4" w:space="0" w:color="auto"/>
            </w:tcBorders>
          </w:tcPr>
          <w:p w14:paraId="0FDBF086" w14:textId="77777777" w:rsidR="0038142F" w:rsidRPr="0038142F" w:rsidRDefault="0038142F" w:rsidP="0038142F">
            <w:pPr>
              <w:ind w:right="340"/>
              <w:jc w:val="right"/>
              <w:rPr>
                <w:rFonts w:eastAsia="Times New Roman"/>
                <w:sz w:val="20"/>
                <w:szCs w:val="20"/>
              </w:rPr>
            </w:pPr>
            <w:r w:rsidRPr="0038142F">
              <w:rPr>
                <w:rFonts w:eastAsia="Times New Roman"/>
                <w:sz w:val="20"/>
                <w:szCs w:val="20"/>
              </w:rPr>
              <w:t>-0.5</w:t>
            </w:r>
          </w:p>
        </w:tc>
      </w:tr>
      <w:tr w:rsidR="0038142F" w:rsidRPr="0038142F" w14:paraId="79F357CA" w14:textId="77777777" w:rsidTr="0024224F">
        <w:trPr>
          <w:jc w:val="center"/>
        </w:trPr>
        <w:tc>
          <w:tcPr>
            <w:tcW w:w="5350" w:type="dxa"/>
            <w:tcBorders>
              <w:top w:val="nil"/>
              <w:left w:val="single" w:sz="4" w:space="0" w:color="auto"/>
              <w:bottom w:val="nil"/>
              <w:right w:val="single" w:sz="4" w:space="0" w:color="auto"/>
            </w:tcBorders>
          </w:tcPr>
          <w:p w14:paraId="37CFE51A" w14:textId="77777777" w:rsidR="0038142F" w:rsidRPr="0038142F" w:rsidRDefault="0038142F" w:rsidP="0038142F">
            <w:pPr>
              <w:ind w:left="113"/>
              <w:rPr>
                <w:rFonts w:eastAsia="Times New Roman"/>
                <w:sz w:val="20"/>
                <w:szCs w:val="20"/>
              </w:rPr>
            </w:pPr>
            <w:r w:rsidRPr="0038142F">
              <w:rPr>
                <w:rFonts w:eastAsia="Times New Roman"/>
                <w:sz w:val="20"/>
                <w:szCs w:val="20"/>
              </w:rPr>
              <w:t>Derivados del petróleo y del carbón, industria química, del plástico y del hule</w:t>
            </w:r>
          </w:p>
        </w:tc>
        <w:tc>
          <w:tcPr>
            <w:tcW w:w="900" w:type="dxa"/>
            <w:tcBorders>
              <w:top w:val="nil"/>
              <w:left w:val="single" w:sz="4" w:space="0" w:color="auto"/>
              <w:bottom w:val="nil"/>
              <w:right w:val="single" w:sz="4" w:space="0" w:color="auto"/>
            </w:tcBorders>
            <w:vAlign w:val="center"/>
          </w:tcPr>
          <w:p w14:paraId="3D94D9A8" w14:textId="77777777" w:rsidR="0038142F" w:rsidRPr="0038142F" w:rsidRDefault="0038142F" w:rsidP="0038142F">
            <w:pPr>
              <w:jc w:val="center"/>
              <w:rPr>
                <w:rFonts w:eastAsia="Times New Roman"/>
                <w:sz w:val="20"/>
                <w:szCs w:val="20"/>
              </w:rPr>
            </w:pPr>
            <w:r w:rsidRPr="0038142F">
              <w:rPr>
                <w:rFonts w:eastAsia="Times New Roman"/>
                <w:sz w:val="20"/>
                <w:szCs w:val="20"/>
              </w:rPr>
              <w:t>52.6</w:t>
            </w:r>
          </w:p>
        </w:tc>
        <w:tc>
          <w:tcPr>
            <w:tcW w:w="842" w:type="dxa"/>
            <w:tcBorders>
              <w:top w:val="nil"/>
              <w:left w:val="single" w:sz="4" w:space="0" w:color="auto"/>
              <w:bottom w:val="nil"/>
              <w:right w:val="single" w:sz="4" w:space="0" w:color="auto"/>
            </w:tcBorders>
            <w:vAlign w:val="center"/>
          </w:tcPr>
          <w:p w14:paraId="126ED940" w14:textId="77777777" w:rsidR="0038142F" w:rsidRPr="0038142F" w:rsidRDefault="0038142F" w:rsidP="0038142F">
            <w:pPr>
              <w:jc w:val="center"/>
              <w:rPr>
                <w:rFonts w:eastAsia="Times New Roman"/>
                <w:sz w:val="20"/>
                <w:szCs w:val="20"/>
              </w:rPr>
            </w:pPr>
            <w:r w:rsidRPr="0038142F">
              <w:rPr>
                <w:rFonts w:eastAsia="Times New Roman"/>
                <w:sz w:val="20"/>
                <w:szCs w:val="20"/>
              </w:rPr>
              <w:t>49.5</w:t>
            </w:r>
          </w:p>
        </w:tc>
        <w:tc>
          <w:tcPr>
            <w:tcW w:w="1182" w:type="dxa"/>
            <w:tcBorders>
              <w:top w:val="nil"/>
              <w:left w:val="single" w:sz="4" w:space="0" w:color="auto"/>
              <w:bottom w:val="nil"/>
              <w:right w:val="single" w:sz="4" w:space="0" w:color="auto"/>
            </w:tcBorders>
            <w:vAlign w:val="center"/>
          </w:tcPr>
          <w:p w14:paraId="41913036" w14:textId="77777777" w:rsidR="0038142F" w:rsidRPr="0038142F" w:rsidRDefault="0038142F" w:rsidP="0038142F">
            <w:pPr>
              <w:ind w:right="340"/>
              <w:jc w:val="right"/>
              <w:rPr>
                <w:rFonts w:eastAsia="Times New Roman"/>
                <w:sz w:val="20"/>
                <w:szCs w:val="20"/>
              </w:rPr>
            </w:pPr>
            <w:r w:rsidRPr="0038142F">
              <w:rPr>
                <w:rFonts w:eastAsia="Times New Roman"/>
                <w:sz w:val="20"/>
                <w:szCs w:val="20"/>
              </w:rPr>
              <w:t>-3.1</w:t>
            </w:r>
          </w:p>
        </w:tc>
      </w:tr>
      <w:tr w:rsidR="0038142F" w:rsidRPr="0038142F" w14:paraId="7989B398" w14:textId="77777777" w:rsidTr="0024224F">
        <w:trPr>
          <w:jc w:val="center"/>
        </w:trPr>
        <w:tc>
          <w:tcPr>
            <w:tcW w:w="5350" w:type="dxa"/>
            <w:tcBorders>
              <w:top w:val="nil"/>
              <w:left w:val="single" w:sz="4" w:space="0" w:color="auto"/>
              <w:bottom w:val="nil"/>
              <w:right w:val="single" w:sz="4" w:space="0" w:color="auto"/>
            </w:tcBorders>
          </w:tcPr>
          <w:p w14:paraId="077BC7DD" w14:textId="77777777" w:rsidR="0038142F" w:rsidRPr="0038142F" w:rsidRDefault="0038142F" w:rsidP="0038142F">
            <w:pPr>
              <w:ind w:left="113"/>
              <w:rPr>
                <w:rFonts w:eastAsia="Times New Roman"/>
                <w:sz w:val="20"/>
                <w:szCs w:val="20"/>
              </w:rPr>
            </w:pPr>
            <w:r w:rsidRPr="0038142F">
              <w:rPr>
                <w:rFonts w:eastAsia="Times New Roman"/>
                <w:sz w:val="20"/>
                <w:szCs w:val="20"/>
              </w:rPr>
              <w:t>Minerales no metálicos y metálicas básicas</w:t>
            </w:r>
          </w:p>
        </w:tc>
        <w:tc>
          <w:tcPr>
            <w:tcW w:w="900" w:type="dxa"/>
            <w:tcBorders>
              <w:top w:val="nil"/>
              <w:left w:val="single" w:sz="4" w:space="0" w:color="auto"/>
              <w:bottom w:val="nil"/>
              <w:right w:val="single" w:sz="4" w:space="0" w:color="auto"/>
            </w:tcBorders>
          </w:tcPr>
          <w:p w14:paraId="32AF16EB" w14:textId="77777777" w:rsidR="0038142F" w:rsidRPr="0038142F" w:rsidRDefault="0038142F" w:rsidP="0038142F">
            <w:pPr>
              <w:jc w:val="center"/>
              <w:rPr>
                <w:rFonts w:eastAsia="Times New Roman"/>
                <w:sz w:val="20"/>
                <w:szCs w:val="20"/>
              </w:rPr>
            </w:pPr>
            <w:r w:rsidRPr="0038142F">
              <w:rPr>
                <w:rFonts w:eastAsia="Times New Roman"/>
                <w:sz w:val="20"/>
                <w:szCs w:val="20"/>
              </w:rPr>
              <w:t>51.7</w:t>
            </w:r>
          </w:p>
        </w:tc>
        <w:tc>
          <w:tcPr>
            <w:tcW w:w="842" w:type="dxa"/>
            <w:tcBorders>
              <w:top w:val="nil"/>
              <w:left w:val="single" w:sz="4" w:space="0" w:color="auto"/>
              <w:bottom w:val="nil"/>
              <w:right w:val="single" w:sz="4" w:space="0" w:color="auto"/>
            </w:tcBorders>
          </w:tcPr>
          <w:p w14:paraId="020F009A" w14:textId="77777777" w:rsidR="0038142F" w:rsidRPr="0038142F" w:rsidRDefault="0038142F" w:rsidP="0038142F">
            <w:pPr>
              <w:jc w:val="center"/>
              <w:rPr>
                <w:rFonts w:eastAsia="Times New Roman"/>
                <w:sz w:val="20"/>
                <w:szCs w:val="20"/>
              </w:rPr>
            </w:pPr>
            <w:r w:rsidRPr="0038142F">
              <w:rPr>
                <w:rFonts w:eastAsia="Times New Roman"/>
                <w:sz w:val="20"/>
                <w:szCs w:val="20"/>
              </w:rPr>
              <w:t>51.0</w:t>
            </w:r>
          </w:p>
        </w:tc>
        <w:tc>
          <w:tcPr>
            <w:tcW w:w="1182" w:type="dxa"/>
            <w:tcBorders>
              <w:top w:val="nil"/>
              <w:left w:val="single" w:sz="4" w:space="0" w:color="auto"/>
              <w:bottom w:val="nil"/>
              <w:right w:val="single" w:sz="4" w:space="0" w:color="auto"/>
            </w:tcBorders>
          </w:tcPr>
          <w:p w14:paraId="1496D583" w14:textId="77777777" w:rsidR="0038142F" w:rsidRPr="0038142F" w:rsidRDefault="0038142F" w:rsidP="0038142F">
            <w:pPr>
              <w:ind w:right="340"/>
              <w:jc w:val="right"/>
              <w:rPr>
                <w:rFonts w:eastAsia="Times New Roman"/>
                <w:sz w:val="20"/>
                <w:szCs w:val="20"/>
              </w:rPr>
            </w:pPr>
            <w:r w:rsidRPr="0038142F">
              <w:rPr>
                <w:rFonts w:eastAsia="Times New Roman"/>
                <w:sz w:val="20"/>
                <w:szCs w:val="20"/>
              </w:rPr>
              <w:t>-0.7</w:t>
            </w:r>
          </w:p>
        </w:tc>
      </w:tr>
      <w:tr w:rsidR="0038142F" w:rsidRPr="0038142F" w14:paraId="31CFA530" w14:textId="77777777" w:rsidTr="0024224F">
        <w:trPr>
          <w:jc w:val="center"/>
        </w:trPr>
        <w:tc>
          <w:tcPr>
            <w:tcW w:w="5350" w:type="dxa"/>
            <w:tcBorders>
              <w:top w:val="nil"/>
              <w:left w:val="single" w:sz="4" w:space="0" w:color="auto"/>
              <w:bottom w:val="nil"/>
              <w:right w:val="single" w:sz="4" w:space="0" w:color="auto"/>
            </w:tcBorders>
          </w:tcPr>
          <w:p w14:paraId="32BBB71F" w14:textId="77777777" w:rsidR="0038142F" w:rsidRPr="0038142F" w:rsidRDefault="0038142F" w:rsidP="0038142F">
            <w:pPr>
              <w:ind w:left="113"/>
              <w:rPr>
                <w:rFonts w:eastAsia="Times New Roman"/>
                <w:sz w:val="20"/>
                <w:szCs w:val="20"/>
              </w:rPr>
            </w:pPr>
            <w:r w:rsidRPr="0038142F">
              <w:rPr>
                <w:rFonts w:eastAsia="Times New Roman"/>
                <w:sz w:val="20"/>
                <w:szCs w:val="20"/>
              </w:rPr>
              <w:t>Equipo de computación, accesorios electrónicos y aparatos eléctricos</w:t>
            </w:r>
          </w:p>
        </w:tc>
        <w:tc>
          <w:tcPr>
            <w:tcW w:w="900" w:type="dxa"/>
            <w:tcBorders>
              <w:top w:val="nil"/>
              <w:left w:val="single" w:sz="4" w:space="0" w:color="auto"/>
              <w:bottom w:val="nil"/>
              <w:right w:val="single" w:sz="4" w:space="0" w:color="auto"/>
            </w:tcBorders>
            <w:vAlign w:val="center"/>
          </w:tcPr>
          <w:p w14:paraId="666CDF20" w14:textId="77777777" w:rsidR="0038142F" w:rsidRPr="0038142F" w:rsidRDefault="0038142F" w:rsidP="0038142F">
            <w:pPr>
              <w:jc w:val="center"/>
              <w:rPr>
                <w:rFonts w:eastAsia="Times New Roman"/>
                <w:sz w:val="20"/>
                <w:szCs w:val="20"/>
              </w:rPr>
            </w:pPr>
            <w:r w:rsidRPr="0038142F">
              <w:rPr>
                <w:rFonts w:eastAsia="Times New Roman"/>
                <w:sz w:val="20"/>
                <w:szCs w:val="20"/>
              </w:rPr>
              <w:t>50.5</w:t>
            </w:r>
          </w:p>
        </w:tc>
        <w:tc>
          <w:tcPr>
            <w:tcW w:w="842" w:type="dxa"/>
            <w:tcBorders>
              <w:top w:val="nil"/>
              <w:left w:val="single" w:sz="4" w:space="0" w:color="auto"/>
              <w:bottom w:val="nil"/>
              <w:right w:val="single" w:sz="4" w:space="0" w:color="auto"/>
            </w:tcBorders>
            <w:vAlign w:val="center"/>
          </w:tcPr>
          <w:p w14:paraId="79B8B7AC" w14:textId="77777777" w:rsidR="0038142F" w:rsidRPr="0038142F" w:rsidRDefault="0038142F" w:rsidP="0038142F">
            <w:pPr>
              <w:jc w:val="center"/>
              <w:rPr>
                <w:rFonts w:eastAsia="Times New Roman"/>
                <w:sz w:val="20"/>
                <w:szCs w:val="20"/>
              </w:rPr>
            </w:pPr>
            <w:r w:rsidRPr="0038142F">
              <w:rPr>
                <w:rFonts w:eastAsia="Times New Roman"/>
                <w:sz w:val="20"/>
                <w:szCs w:val="20"/>
              </w:rPr>
              <w:t>49.8</w:t>
            </w:r>
          </w:p>
        </w:tc>
        <w:tc>
          <w:tcPr>
            <w:tcW w:w="1182" w:type="dxa"/>
            <w:tcBorders>
              <w:top w:val="nil"/>
              <w:left w:val="single" w:sz="4" w:space="0" w:color="auto"/>
              <w:bottom w:val="nil"/>
              <w:right w:val="single" w:sz="4" w:space="0" w:color="auto"/>
            </w:tcBorders>
            <w:vAlign w:val="center"/>
          </w:tcPr>
          <w:p w14:paraId="3E6B34A6" w14:textId="77777777" w:rsidR="0038142F" w:rsidRPr="0038142F" w:rsidRDefault="0038142F" w:rsidP="0038142F">
            <w:pPr>
              <w:ind w:right="340"/>
              <w:jc w:val="right"/>
              <w:rPr>
                <w:rFonts w:eastAsia="Times New Roman"/>
                <w:sz w:val="20"/>
                <w:szCs w:val="20"/>
              </w:rPr>
            </w:pPr>
            <w:r w:rsidRPr="0038142F">
              <w:rPr>
                <w:rFonts w:eastAsia="Times New Roman"/>
                <w:sz w:val="20"/>
                <w:szCs w:val="20"/>
              </w:rPr>
              <w:t>-0.7</w:t>
            </w:r>
          </w:p>
        </w:tc>
      </w:tr>
      <w:tr w:rsidR="0038142F" w:rsidRPr="0038142F" w14:paraId="6A6CDA34" w14:textId="77777777" w:rsidTr="0024224F">
        <w:trPr>
          <w:jc w:val="center"/>
        </w:trPr>
        <w:tc>
          <w:tcPr>
            <w:tcW w:w="5350" w:type="dxa"/>
            <w:tcBorders>
              <w:top w:val="nil"/>
              <w:left w:val="single" w:sz="4" w:space="0" w:color="auto"/>
              <w:bottom w:val="nil"/>
              <w:right w:val="single" w:sz="4" w:space="0" w:color="auto"/>
            </w:tcBorders>
          </w:tcPr>
          <w:p w14:paraId="0600F6F6" w14:textId="77777777" w:rsidR="0038142F" w:rsidRPr="0038142F" w:rsidRDefault="0038142F" w:rsidP="0038142F">
            <w:pPr>
              <w:ind w:left="113"/>
              <w:rPr>
                <w:rFonts w:eastAsia="Times New Roman"/>
                <w:sz w:val="20"/>
                <w:szCs w:val="20"/>
              </w:rPr>
            </w:pPr>
            <w:r w:rsidRPr="0038142F">
              <w:rPr>
                <w:rFonts w:eastAsia="Times New Roman"/>
                <w:sz w:val="20"/>
                <w:szCs w:val="20"/>
              </w:rPr>
              <w:t>Equipo de transporte</w:t>
            </w:r>
          </w:p>
        </w:tc>
        <w:tc>
          <w:tcPr>
            <w:tcW w:w="900" w:type="dxa"/>
            <w:tcBorders>
              <w:top w:val="nil"/>
              <w:left w:val="single" w:sz="4" w:space="0" w:color="auto"/>
              <w:bottom w:val="nil"/>
              <w:right w:val="single" w:sz="4" w:space="0" w:color="auto"/>
            </w:tcBorders>
          </w:tcPr>
          <w:p w14:paraId="6E0EEAA5" w14:textId="77777777" w:rsidR="0038142F" w:rsidRPr="0038142F" w:rsidRDefault="0038142F" w:rsidP="0038142F">
            <w:pPr>
              <w:jc w:val="center"/>
              <w:rPr>
                <w:rFonts w:eastAsia="Times New Roman"/>
                <w:sz w:val="20"/>
                <w:szCs w:val="20"/>
              </w:rPr>
            </w:pPr>
            <w:r w:rsidRPr="0038142F">
              <w:rPr>
                <w:rFonts w:eastAsia="Times New Roman"/>
                <w:sz w:val="20"/>
                <w:szCs w:val="20"/>
              </w:rPr>
              <w:t>56.0</w:t>
            </w:r>
          </w:p>
        </w:tc>
        <w:tc>
          <w:tcPr>
            <w:tcW w:w="842" w:type="dxa"/>
            <w:tcBorders>
              <w:top w:val="nil"/>
              <w:left w:val="single" w:sz="4" w:space="0" w:color="auto"/>
              <w:bottom w:val="nil"/>
              <w:right w:val="single" w:sz="4" w:space="0" w:color="auto"/>
            </w:tcBorders>
          </w:tcPr>
          <w:p w14:paraId="4D4CAD62" w14:textId="77777777" w:rsidR="0038142F" w:rsidRPr="0038142F" w:rsidRDefault="0038142F" w:rsidP="0038142F">
            <w:pPr>
              <w:jc w:val="center"/>
              <w:rPr>
                <w:rFonts w:eastAsia="Times New Roman"/>
                <w:sz w:val="20"/>
                <w:szCs w:val="20"/>
              </w:rPr>
            </w:pPr>
            <w:r w:rsidRPr="0038142F">
              <w:rPr>
                <w:rFonts w:eastAsia="Times New Roman"/>
                <w:sz w:val="20"/>
                <w:szCs w:val="20"/>
              </w:rPr>
              <w:t>51.6</w:t>
            </w:r>
          </w:p>
        </w:tc>
        <w:tc>
          <w:tcPr>
            <w:tcW w:w="1182" w:type="dxa"/>
            <w:tcBorders>
              <w:top w:val="nil"/>
              <w:left w:val="single" w:sz="4" w:space="0" w:color="auto"/>
              <w:bottom w:val="nil"/>
              <w:right w:val="single" w:sz="4" w:space="0" w:color="auto"/>
            </w:tcBorders>
          </w:tcPr>
          <w:p w14:paraId="11A462BE" w14:textId="77777777" w:rsidR="0038142F" w:rsidRPr="0038142F" w:rsidRDefault="0038142F" w:rsidP="0038142F">
            <w:pPr>
              <w:ind w:right="340"/>
              <w:jc w:val="right"/>
              <w:rPr>
                <w:rFonts w:eastAsia="Times New Roman"/>
                <w:sz w:val="20"/>
                <w:szCs w:val="20"/>
              </w:rPr>
            </w:pPr>
            <w:r w:rsidRPr="0038142F">
              <w:rPr>
                <w:rFonts w:eastAsia="Times New Roman"/>
                <w:sz w:val="20"/>
                <w:szCs w:val="20"/>
              </w:rPr>
              <w:t>-4.3</w:t>
            </w:r>
          </w:p>
        </w:tc>
      </w:tr>
      <w:tr w:rsidR="0038142F" w:rsidRPr="0038142F" w14:paraId="11E475E7" w14:textId="77777777" w:rsidTr="0024224F">
        <w:trPr>
          <w:jc w:val="center"/>
        </w:trPr>
        <w:tc>
          <w:tcPr>
            <w:tcW w:w="5350" w:type="dxa"/>
            <w:tcBorders>
              <w:top w:val="nil"/>
              <w:left w:val="single" w:sz="4" w:space="0" w:color="auto"/>
              <w:bottom w:val="nil"/>
              <w:right w:val="single" w:sz="4" w:space="0" w:color="auto"/>
            </w:tcBorders>
          </w:tcPr>
          <w:p w14:paraId="6CFBEC28" w14:textId="77777777" w:rsidR="0038142F" w:rsidRPr="0038142F" w:rsidRDefault="0038142F" w:rsidP="0038142F">
            <w:pPr>
              <w:ind w:left="113"/>
              <w:rPr>
                <w:rFonts w:eastAsia="Times New Roman"/>
                <w:sz w:val="20"/>
                <w:szCs w:val="20"/>
              </w:rPr>
            </w:pPr>
            <w:r w:rsidRPr="0038142F">
              <w:rPr>
                <w:rFonts w:eastAsia="Times New Roman"/>
                <w:sz w:val="20"/>
                <w:szCs w:val="20"/>
              </w:rPr>
              <w:t>Productos metálicos, maquinaria, equipo y muebles</w:t>
            </w:r>
          </w:p>
        </w:tc>
        <w:tc>
          <w:tcPr>
            <w:tcW w:w="900" w:type="dxa"/>
            <w:tcBorders>
              <w:top w:val="nil"/>
              <w:left w:val="single" w:sz="4" w:space="0" w:color="auto"/>
              <w:bottom w:val="nil"/>
              <w:right w:val="single" w:sz="4" w:space="0" w:color="auto"/>
            </w:tcBorders>
          </w:tcPr>
          <w:p w14:paraId="179FB09F" w14:textId="77777777" w:rsidR="0038142F" w:rsidRPr="0038142F" w:rsidRDefault="0038142F" w:rsidP="0038142F">
            <w:pPr>
              <w:jc w:val="center"/>
              <w:rPr>
                <w:rFonts w:eastAsia="Times New Roman"/>
                <w:sz w:val="20"/>
                <w:szCs w:val="20"/>
              </w:rPr>
            </w:pPr>
            <w:r w:rsidRPr="0038142F">
              <w:rPr>
                <w:rFonts w:eastAsia="Times New Roman"/>
                <w:sz w:val="20"/>
                <w:szCs w:val="20"/>
              </w:rPr>
              <w:t>49.4</w:t>
            </w:r>
          </w:p>
        </w:tc>
        <w:tc>
          <w:tcPr>
            <w:tcW w:w="842" w:type="dxa"/>
            <w:tcBorders>
              <w:top w:val="nil"/>
              <w:left w:val="single" w:sz="4" w:space="0" w:color="auto"/>
              <w:bottom w:val="nil"/>
              <w:right w:val="single" w:sz="4" w:space="0" w:color="auto"/>
            </w:tcBorders>
          </w:tcPr>
          <w:p w14:paraId="6447816D" w14:textId="77777777" w:rsidR="0038142F" w:rsidRPr="0038142F" w:rsidRDefault="0038142F" w:rsidP="0038142F">
            <w:pPr>
              <w:jc w:val="center"/>
              <w:rPr>
                <w:rFonts w:eastAsia="Times New Roman"/>
                <w:sz w:val="20"/>
                <w:szCs w:val="20"/>
              </w:rPr>
            </w:pPr>
            <w:r w:rsidRPr="0038142F">
              <w:rPr>
                <w:rFonts w:eastAsia="Times New Roman"/>
                <w:sz w:val="20"/>
                <w:szCs w:val="20"/>
              </w:rPr>
              <w:t>49.9</w:t>
            </w:r>
          </w:p>
        </w:tc>
        <w:tc>
          <w:tcPr>
            <w:tcW w:w="1182" w:type="dxa"/>
            <w:tcBorders>
              <w:top w:val="nil"/>
              <w:left w:val="single" w:sz="4" w:space="0" w:color="auto"/>
              <w:bottom w:val="nil"/>
              <w:right w:val="single" w:sz="4" w:space="0" w:color="auto"/>
            </w:tcBorders>
          </w:tcPr>
          <w:p w14:paraId="263D1F3F" w14:textId="77777777" w:rsidR="0038142F" w:rsidRPr="0038142F" w:rsidRDefault="0038142F" w:rsidP="0038142F">
            <w:pPr>
              <w:ind w:right="340"/>
              <w:jc w:val="right"/>
              <w:rPr>
                <w:rFonts w:eastAsia="Times New Roman"/>
                <w:sz w:val="20"/>
                <w:szCs w:val="20"/>
              </w:rPr>
            </w:pPr>
            <w:r w:rsidRPr="0038142F">
              <w:rPr>
                <w:rFonts w:eastAsia="Times New Roman"/>
                <w:sz w:val="20"/>
                <w:szCs w:val="20"/>
              </w:rPr>
              <w:t>0.4</w:t>
            </w:r>
          </w:p>
        </w:tc>
      </w:tr>
      <w:tr w:rsidR="0038142F" w:rsidRPr="0038142F" w14:paraId="656CBCF4" w14:textId="77777777" w:rsidTr="0024224F">
        <w:trPr>
          <w:jc w:val="center"/>
        </w:trPr>
        <w:tc>
          <w:tcPr>
            <w:tcW w:w="5350" w:type="dxa"/>
            <w:tcBorders>
              <w:top w:val="nil"/>
              <w:left w:val="single" w:sz="4" w:space="0" w:color="auto"/>
              <w:bottom w:val="single" w:sz="4" w:space="0" w:color="auto"/>
              <w:right w:val="single" w:sz="4" w:space="0" w:color="auto"/>
            </w:tcBorders>
          </w:tcPr>
          <w:p w14:paraId="048BD35F" w14:textId="77777777" w:rsidR="0038142F" w:rsidRPr="0038142F" w:rsidRDefault="0038142F" w:rsidP="0038142F">
            <w:pPr>
              <w:ind w:left="113"/>
              <w:rPr>
                <w:rFonts w:eastAsia="Times New Roman"/>
                <w:sz w:val="20"/>
                <w:szCs w:val="20"/>
              </w:rPr>
            </w:pPr>
            <w:r w:rsidRPr="0038142F">
              <w:rPr>
                <w:rFonts w:eastAsia="Times New Roman"/>
                <w:sz w:val="20"/>
                <w:szCs w:val="20"/>
              </w:rPr>
              <w:t>Textiles, prendas de vestir, cuero y piel, madera, papel y otras</w:t>
            </w:r>
          </w:p>
        </w:tc>
        <w:tc>
          <w:tcPr>
            <w:tcW w:w="900" w:type="dxa"/>
            <w:tcBorders>
              <w:top w:val="nil"/>
              <w:left w:val="single" w:sz="4" w:space="0" w:color="auto"/>
              <w:bottom w:val="single" w:sz="4" w:space="0" w:color="auto"/>
              <w:right w:val="single" w:sz="4" w:space="0" w:color="auto"/>
            </w:tcBorders>
          </w:tcPr>
          <w:p w14:paraId="03389CB0" w14:textId="77777777" w:rsidR="0038142F" w:rsidRPr="0038142F" w:rsidRDefault="0038142F" w:rsidP="0038142F">
            <w:pPr>
              <w:jc w:val="center"/>
              <w:rPr>
                <w:rFonts w:eastAsia="Times New Roman"/>
                <w:sz w:val="20"/>
                <w:szCs w:val="20"/>
              </w:rPr>
            </w:pPr>
            <w:r w:rsidRPr="0038142F">
              <w:rPr>
                <w:rFonts w:eastAsia="Times New Roman"/>
                <w:sz w:val="20"/>
                <w:szCs w:val="20"/>
              </w:rPr>
              <w:t>45.2</w:t>
            </w:r>
          </w:p>
        </w:tc>
        <w:tc>
          <w:tcPr>
            <w:tcW w:w="842" w:type="dxa"/>
            <w:tcBorders>
              <w:top w:val="nil"/>
              <w:left w:val="single" w:sz="4" w:space="0" w:color="auto"/>
              <w:bottom w:val="single" w:sz="4" w:space="0" w:color="auto"/>
              <w:right w:val="single" w:sz="4" w:space="0" w:color="auto"/>
            </w:tcBorders>
          </w:tcPr>
          <w:p w14:paraId="2DDFAFC1" w14:textId="77777777" w:rsidR="0038142F" w:rsidRPr="0038142F" w:rsidRDefault="0038142F" w:rsidP="0038142F">
            <w:pPr>
              <w:jc w:val="center"/>
              <w:rPr>
                <w:rFonts w:eastAsia="Times New Roman"/>
                <w:sz w:val="20"/>
                <w:szCs w:val="20"/>
              </w:rPr>
            </w:pPr>
            <w:r w:rsidRPr="0038142F">
              <w:rPr>
                <w:rFonts w:eastAsia="Times New Roman"/>
                <w:sz w:val="20"/>
                <w:szCs w:val="20"/>
              </w:rPr>
              <w:t>43.3</w:t>
            </w:r>
          </w:p>
        </w:tc>
        <w:tc>
          <w:tcPr>
            <w:tcW w:w="1182" w:type="dxa"/>
            <w:tcBorders>
              <w:top w:val="nil"/>
              <w:left w:val="single" w:sz="4" w:space="0" w:color="auto"/>
              <w:bottom w:val="single" w:sz="4" w:space="0" w:color="auto"/>
              <w:right w:val="single" w:sz="4" w:space="0" w:color="auto"/>
            </w:tcBorders>
          </w:tcPr>
          <w:p w14:paraId="79665235" w14:textId="77777777" w:rsidR="0038142F" w:rsidRPr="0038142F" w:rsidRDefault="0038142F" w:rsidP="0038142F">
            <w:pPr>
              <w:ind w:right="340"/>
              <w:jc w:val="right"/>
              <w:rPr>
                <w:rFonts w:eastAsia="Times New Roman"/>
                <w:sz w:val="20"/>
                <w:szCs w:val="20"/>
              </w:rPr>
            </w:pPr>
            <w:r w:rsidRPr="0038142F">
              <w:rPr>
                <w:rFonts w:eastAsia="Times New Roman"/>
                <w:sz w:val="20"/>
                <w:szCs w:val="20"/>
              </w:rPr>
              <w:t>-2.0</w:t>
            </w:r>
          </w:p>
        </w:tc>
      </w:tr>
      <w:tr w:rsidR="0038142F" w:rsidRPr="0038142F" w14:paraId="69D3895B" w14:textId="77777777" w:rsidTr="0024224F">
        <w:trPr>
          <w:jc w:val="center"/>
        </w:trPr>
        <w:tc>
          <w:tcPr>
            <w:tcW w:w="8274" w:type="dxa"/>
            <w:gridSpan w:val="4"/>
            <w:tcBorders>
              <w:top w:val="single" w:sz="4" w:space="0" w:color="auto"/>
              <w:left w:val="nil"/>
              <w:bottom w:val="nil"/>
              <w:right w:val="nil"/>
            </w:tcBorders>
          </w:tcPr>
          <w:p w14:paraId="1799C6AB" w14:textId="77777777" w:rsidR="0038142F" w:rsidRPr="0038142F" w:rsidRDefault="0038142F" w:rsidP="0038142F">
            <w:pPr>
              <w:jc w:val="both"/>
              <w:rPr>
                <w:rFonts w:eastAsia="Times New Roman"/>
                <w:sz w:val="20"/>
                <w:szCs w:val="20"/>
              </w:rPr>
            </w:pPr>
            <w:r w:rsidRPr="0038142F">
              <w:rPr>
                <w:rFonts w:eastAsia="Times New Roman"/>
                <w:sz w:val="20"/>
                <w:szCs w:val="20"/>
              </w:rPr>
              <w:t>Nota: Los indicadores se generan con los datos referidos al mes de la entrevista.</w:t>
            </w:r>
          </w:p>
          <w:p w14:paraId="0167426D" w14:textId="77777777" w:rsidR="0038142F" w:rsidRPr="0038142F" w:rsidRDefault="0038142F" w:rsidP="0038142F">
            <w:pPr>
              <w:ind w:left="255" w:hanging="255"/>
              <w:jc w:val="both"/>
              <w:rPr>
                <w:rFonts w:eastAsia="Times New Roman"/>
                <w:sz w:val="20"/>
                <w:szCs w:val="20"/>
              </w:rPr>
            </w:pPr>
            <w:r w:rsidRPr="0038142F">
              <w:rPr>
                <w:rFonts w:eastAsia="Times New Roman"/>
                <w:sz w:val="20"/>
                <w:szCs w:val="20"/>
                <w:u w:val="single"/>
              </w:rPr>
              <w:t>1</w:t>
            </w:r>
            <w:r w:rsidRPr="0038142F">
              <w:rPr>
                <w:rFonts w:eastAsia="Times New Roman"/>
                <w:sz w:val="20"/>
                <w:szCs w:val="20"/>
              </w:rPr>
              <w:t>/ Las diferencias en puntos se obtienen de los respectivos indicadores considerando todos sus decimales.</w:t>
            </w:r>
          </w:p>
          <w:p w14:paraId="716BFAD4" w14:textId="77777777" w:rsidR="0038142F" w:rsidRPr="0038142F" w:rsidRDefault="0038142F" w:rsidP="0038142F">
            <w:pPr>
              <w:jc w:val="both"/>
              <w:rPr>
                <w:rFonts w:eastAsia="Times New Roman"/>
                <w:sz w:val="20"/>
                <w:szCs w:val="20"/>
              </w:rPr>
            </w:pPr>
            <w:r w:rsidRPr="0038142F">
              <w:rPr>
                <w:rFonts w:eastAsia="Times New Roman"/>
                <w:sz w:val="20"/>
                <w:szCs w:val="20"/>
                <w:u w:val="single"/>
              </w:rPr>
              <w:t>p</w:t>
            </w:r>
            <w:r w:rsidRPr="0038142F">
              <w:rPr>
                <w:rFonts w:eastAsia="Times New Roman"/>
                <w:sz w:val="20"/>
                <w:szCs w:val="20"/>
              </w:rPr>
              <w:t>/ Dato preliminar.</w:t>
            </w:r>
          </w:p>
          <w:p w14:paraId="56828FCD" w14:textId="77777777" w:rsidR="0038142F" w:rsidRPr="0038142F" w:rsidRDefault="0038142F" w:rsidP="0038142F">
            <w:pPr>
              <w:jc w:val="both"/>
              <w:rPr>
                <w:rFonts w:eastAsia="Times New Roman"/>
                <w:sz w:val="20"/>
                <w:szCs w:val="20"/>
              </w:rPr>
            </w:pPr>
            <w:r w:rsidRPr="0038142F">
              <w:rPr>
                <w:rFonts w:eastAsia="Times New Roman"/>
                <w:sz w:val="20"/>
                <w:szCs w:val="20"/>
              </w:rPr>
              <w:t>FUENTE: INEGI.</w:t>
            </w:r>
          </w:p>
        </w:tc>
      </w:tr>
    </w:tbl>
    <w:p w14:paraId="734958BF" w14:textId="77777777" w:rsidR="0038142F" w:rsidRPr="0038142F" w:rsidRDefault="0038142F" w:rsidP="0038142F">
      <w:pPr>
        <w:spacing w:after="360" w:line="360" w:lineRule="auto"/>
        <w:ind w:right="159"/>
        <w:jc w:val="both"/>
        <w:rPr>
          <w:rFonts w:eastAsia="Calibri"/>
          <w:sz w:val="22"/>
          <w:szCs w:val="22"/>
          <w:lang w:eastAsia="en-US"/>
        </w:rPr>
      </w:pPr>
    </w:p>
    <w:p w14:paraId="5FDE9EC8" w14:textId="77777777" w:rsidR="0038142F" w:rsidRPr="0038142F" w:rsidRDefault="0038142F" w:rsidP="0038142F">
      <w:pPr>
        <w:spacing w:after="360" w:line="360" w:lineRule="auto"/>
        <w:ind w:right="159"/>
        <w:jc w:val="both"/>
        <w:rPr>
          <w:rFonts w:eastAsia="Calibri"/>
          <w:sz w:val="26"/>
          <w:szCs w:val="26"/>
          <w:lang w:eastAsia="en-US"/>
        </w:rPr>
      </w:pPr>
      <w:r w:rsidRPr="0038142F">
        <w:rPr>
          <w:rFonts w:eastAsia="Calibri"/>
          <w:sz w:val="26"/>
          <w:szCs w:val="26"/>
          <w:lang w:eastAsia="en-US"/>
        </w:rPr>
        <w:t>El ICE de la Construcción, que muestra el nivel de confianza de los empresarios de dicho sector sobre la situación económica presente y futura del país y de sus empresas se estableció en 49.8 puntos en el segundo mes de este año, dato menor en 2.8 puntos respecto al de igual mes de un año antes, cuando se ubicó en 52.6 puntos.</w:t>
      </w:r>
    </w:p>
    <w:p w14:paraId="7A7E412F" w14:textId="5CDBC428" w:rsidR="0038142F" w:rsidRPr="0038142F" w:rsidRDefault="007062B5" w:rsidP="0038142F">
      <w:pPr>
        <w:spacing w:after="360" w:line="360" w:lineRule="auto"/>
        <w:ind w:right="159"/>
        <w:jc w:val="center"/>
        <w:rPr>
          <w:rFonts w:eastAsia="Calibri"/>
          <w:sz w:val="26"/>
          <w:szCs w:val="26"/>
          <w:lang w:eastAsia="en-US"/>
        </w:rPr>
      </w:pPr>
      <w:r w:rsidRPr="007062B5">
        <w:rPr>
          <w:rFonts w:ascii="Calibri" w:eastAsia="Calibri" w:hAnsi="Calibri"/>
          <w:sz w:val="22"/>
          <w:szCs w:val="22"/>
          <w:lang w:eastAsia="en-US"/>
        </w:rPr>
        <w:lastRenderedPageBreak/>
        <w:fldChar w:fldCharType="begin"/>
      </w:r>
      <w:r w:rsidRPr="007062B5">
        <w:rPr>
          <w:rFonts w:ascii="Calibri" w:eastAsia="Calibri" w:hAnsi="Calibri"/>
          <w:sz w:val="22"/>
          <w:szCs w:val="22"/>
          <w:lang w:eastAsia="en-US"/>
        </w:rPr>
        <w:instrText xml:space="preserve"> LINK PowerPoint.Slide.8 "D:\\2015\\MARZO 2014\\GRÁFICAS EN POWER POINT\\17.- GRÁFICAS DEL IND DE CONFIANZA EMPRESARIAL.pptx!270" "" \a \p </w:instrText>
      </w:r>
      <w:r w:rsidRPr="007062B5">
        <w:rPr>
          <w:rFonts w:ascii="Calibri" w:eastAsia="Calibri" w:hAnsi="Calibri"/>
          <w:sz w:val="22"/>
          <w:szCs w:val="22"/>
          <w:lang w:eastAsia="en-US"/>
        </w:rPr>
        <w:fldChar w:fldCharType="separate"/>
      </w:r>
      <w:r w:rsidRPr="007062B5">
        <w:rPr>
          <w:rFonts w:ascii="Calibri" w:eastAsia="Calibri" w:hAnsi="Calibri"/>
          <w:noProof/>
          <w:sz w:val="22"/>
          <w:szCs w:val="22"/>
          <w:lang w:eastAsia="es-MX"/>
        </w:rPr>
        <w:drawing>
          <wp:inline distT="0" distB="0" distL="0" distR="0" wp14:anchorId="51859F6F" wp14:editId="19FB6844">
            <wp:extent cx="4751070" cy="3200400"/>
            <wp:effectExtent l="0" t="0" r="0" b="0"/>
            <wp:docPr id="1485" name="Imagen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0"/>
                    <pic:cNvPicPr>
                      <a:picLocks noChangeAspect="1" noChangeArrowheads="1"/>
                    </pic:cNvPicPr>
                  </pic:nvPicPr>
                  <pic:blipFill>
                    <a:blip r:embed="rId164" cstate="print">
                      <a:extLst>
                        <a:ext uri="{28A0092B-C50C-407E-A947-70E740481C1C}">
                          <a14:useLocalDpi xmlns:a14="http://schemas.microsoft.com/office/drawing/2010/main" val="0"/>
                        </a:ext>
                      </a:extLst>
                    </a:blip>
                    <a:srcRect l="10222" t="1761" r="11632" b="4784"/>
                    <a:stretch>
                      <a:fillRect/>
                    </a:stretch>
                  </pic:blipFill>
                  <pic:spPr bwMode="auto">
                    <a:xfrm>
                      <a:off x="0" y="0"/>
                      <a:ext cx="4751070" cy="3200400"/>
                    </a:xfrm>
                    <a:prstGeom prst="rect">
                      <a:avLst/>
                    </a:prstGeom>
                    <a:noFill/>
                    <a:ln>
                      <a:noFill/>
                    </a:ln>
                  </pic:spPr>
                </pic:pic>
              </a:graphicData>
            </a:graphic>
          </wp:inline>
        </w:drawing>
      </w:r>
      <w:r w:rsidRPr="007062B5">
        <w:rPr>
          <w:rFonts w:ascii="Calibri" w:eastAsia="Calibri" w:hAnsi="Calibri"/>
          <w:sz w:val="22"/>
          <w:szCs w:val="22"/>
          <w:lang w:eastAsia="en-US"/>
        </w:rPr>
        <w:fldChar w:fldCharType="end"/>
      </w:r>
    </w:p>
    <w:p w14:paraId="5897A2CE" w14:textId="77777777" w:rsidR="0038142F" w:rsidRPr="0038142F" w:rsidRDefault="0038142F" w:rsidP="0038142F">
      <w:pPr>
        <w:spacing w:after="360" w:line="360" w:lineRule="auto"/>
        <w:ind w:right="159"/>
        <w:jc w:val="both"/>
        <w:rPr>
          <w:rFonts w:eastAsia="Calibri"/>
          <w:sz w:val="26"/>
          <w:szCs w:val="26"/>
          <w:lang w:eastAsia="en-US"/>
        </w:rPr>
      </w:pPr>
      <w:r w:rsidRPr="0038142F">
        <w:rPr>
          <w:rFonts w:eastAsia="Calibri"/>
          <w:sz w:val="26"/>
          <w:szCs w:val="26"/>
          <w:lang w:eastAsia="en-US"/>
        </w:rPr>
        <w:t>El comportamiento anual del ICE de la Construcción fue reflejo de reducciones en cuatro de sus cinco componentes, véase cuadro siguiente.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81"/>
        <w:gridCol w:w="1080"/>
        <w:gridCol w:w="1080"/>
        <w:gridCol w:w="1105"/>
      </w:tblGrid>
      <w:tr w:rsidR="0038142F" w:rsidRPr="0038142F" w14:paraId="7EE9F1F6" w14:textId="77777777" w:rsidTr="0024224F">
        <w:trPr>
          <w:jc w:val="center"/>
        </w:trPr>
        <w:tc>
          <w:tcPr>
            <w:tcW w:w="8446" w:type="dxa"/>
            <w:gridSpan w:val="4"/>
            <w:tcBorders>
              <w:top w:val="nil"/>
              <w:left w:val="nil"/>
              <w:right w:val="nil"/>
            </w:tcBorders>
          </w:tcPr>
          <w:p w14:paraId="4C4DA70E" w14:textId="77777777" w:rsidR="0038142F" w:rsidRPr="0038142F" w:rsidRDefault="0038142F" w:rsidP="0038142F">
            <w:pPr>
              <w:jc w:val="center"/>
              <w:rPr>
                <w:rFonts w:eastAsia="Times New Roman"/>
                <w:b/>
                <w:sz w:val="22"/>
                <w:szCs w:val="22"/>
              </w:rPr>
            </w:pPr>
            <w:r w:rsidRPr="0038142F">
              <w:rPr>
                <w:rFonts w:eastAsia="Times New Roman"/>
                <w:b/>
                <w:sz w:val="22"/>
                <w:szCs w:val="22"/>
              </w:rPr>
              <w:t>COMPONENTES DEL INDICADOR DE CONFIANZA EMPRESARIAL DE LA CONSTRUCCIÓN</w:t>
            </w:r>
          </w:p>
          <w:p w14:paraId="5A0EA557" w14:textId="77777777" w:rsidR="0038142F" w:rsidRPr="0038142F" w:rsidRDefault="0038142F" w:rsidP="0038142F">
            <w:pPr>
              <w:jc w:val="center"/>
              <w:rPr>
                <w:rFonts w:eastAsia="Times New Roman"/>
                <w:b/>
                <w:sz w:val="20"/>
                <w:szCs w:val="20"/>
              </w:rPr>
            </w:pPr>
            <w:r w:rsidRPr="0038142F">
              <w:rPr>
                <w:rFonts w:eastAsia="Times New Roman"/>
                <w:b/>
                <w:sz w:val="22"/>
                <w:szCs w:val="22"/>
              </w:rPr>
              <w:t>CIFRAS ORIGINALES</w:t>
            </w:r>
          </w:p>
        </w:tc>
      </w:tr>
      <w:tr w:rsidR="0038142F" w:rsidRPr="0038142F" w14:paraId="7C82F505" w14:textId="77777777" w:rsidTr="0024224F">
        <w:trPr>
          <w:jc w:val="center"/>
        </w:trPr>
        <w:tc>
          <w:tcPr>
            <w:tcW w:w="5181" w:type="dxa"/>
            <w:vMerge w:val="restart"/>
            <w:vAlign w:val="center"/>
          </w:tcPr>
          <w:p w14:paraId="6FF47821" w14:textId="77777777" w:rsidR="0038142F" w:rsidRPr="0038142F" w:rsidRDefault="0038142F" w:rsidP="0038142F">
            <w:pPr>
              <w:jc w:val="center"/>
              <w:rPr>
                <w:rFonts w:eastAsia="Times New Roman"/>
                <w:b/>
                <w:sz w:val="20"/>
                <w:szCs w:val="20"/>
              </w:rPr>
            </w:pPr>
            <w:r w:rsidRPr="0038142F">
              <w:rPr>
                <w:rFonts w:eastAsia="Times New Roman"/>
                <w:b/>
                <w:sz w:val="20"/>
                <w:szCs w:val="20"/>
              </w:rPr>
              <w:t>Indicadores</w:t>
            </w:r>
          </w:p>
        </w:tc>
        <w:tc>
          <w:tcPr>
            <w:tcW w:w="2160" w:type="dxa"/>
            <w:gridSpan w:val="2"/>
          </w:tcPr>
          <w:p w14:paraId="10B17D4E" w14:textId="77777777" w:rsidR="0038142F" w:rsidRPr="0038142F" w:rsidRDefault="0038142F" w:rsidP="0038142F">
            <w:pPr>
              <w:jc w:val="center"/>
              <w:rPr>
                <w:rFonts w:eastAsia="Times New Roman"/>
                <w:b/>
                <w:sz w:val="20"/>
                <w:szCs w:val="20"/>
              </w:rPr>
            </w:pPr>
            <w:r w:rsidRPr="0038142F">
              <w:rPr>
                <w:rFonts w:eastAsia="Times New Roman"/>
                <w:b/>
                <w:sz w:val="20"/>
                <w:szCs w:val="20"/>
              </w:rPr>
              <w:t>Febrero</w:t>
            </w:r>
          </w:p>
        </w:tc>
        <w:tc>
          <w:tcPr>
            <w:tcW w:w="1105" w:type="dxa"/>
            <w:vMerge w:val="restart"/>
          </w:tcPr>
          <w:p w14:paraId="0420E1CC" w14:textId="77777777" w:rsidR="0038142F" w:rsidRPr="0038142F" w:rsidRDefault="0038142F" w:rsidP="0038142F">
            <w:pPr>
              <w:jc w:val="center"/>
              <w:rPr>
                <w:rFonts w:eastAsia="Times New Roman"/>
                <w:b/>
                <w:sz w:val="20"/>
                <w:szCs w:val="20"/>
              </w:rPr>
            </w:pPr>
            <w:r w:rsidRPr="0038142F">
              <w:rPr>
                <w:rFonts w:eastAsia="Times New Roman"/>
                <w:b/>
                <w:sz w:val="20"/>
                <w:szCs w:val="20"/>
              </w:rPr>
              <w:t>Diferencia en puntos</w:t>
            </w:r>
            <w:r w:rsidRPr="0038142F">
              <w:rPr>
                <w:rFonts w:eastAsia="Times New Roman"/>
                <w:b/>
                <w:sz w:val="20"/>
                <w:szCs w:val="20"/>
                <w:u w:val="single"/>
                <w:vertAlign w:val="superscript"/>
              </w:rPr>
              <w:t>1</w:t>
            </w:r>
            <w:r w:rsidRPr="0038142F">
              <w:rPr>
                <w:rFonts w:eastAsia="Times New Roman"/>
                <w:b/>
                <w:sz w:val="20"/>
                <w:szCs w:val="20"/>
                <w:vertAlign w:val="superscript"/>
              </w:rPr>
              <w:t>/</w:t>
            </w:r>
          </w:p>
        </w:tc>
      </w:tr>
      <w:tr w:rsidR="0038142F" w:rsidRPr="0038142F" w14:paraId="037E8416" w14:textId="77777777" w:rsidTr="0024224F">
        <w:trPr>
          <w:jc w:val="center"/>
        </w:trPr>
        <w:tc>
          <w:tcPr>
            <w:tcW w:w="5181" w:type="dxa"/>
            <w:vMerge/>
            <w:tcBorders>
              <w:bottom w:val="single" w:sz="4" w:space="0" w:color="auto"/>
            </w:tcBorders>
          </w:tcPr>
          <w:p w14:paraId="46FEBD92" w14:textId="77777777" w:rsidR="0038142F" w:rsidRPr="0038142F" w:rsidRDefault="0038142F" w:rsidP="0038142F">
            <w:pPr>
              <w:jc w:val="both"/>
              <w:rPr>
                <w:rFonts w:eastAsia="Times New Roman"/>
                <w:b/>
                <w:sz w:val="20"/>
                <w:szCs w:val="20"/>
              </w:rPr>
            </w:pPr>
          </w:p>
        </w:tc>
        <w:tc>
          <w:tcPr>
            <w:tcW w:w="1080" w:type="dxa"/>
            <w:tcBorders>
              <w:bottom w:val="single" w:sz="4" w:space="0" w:color="auto"/>
            </w:tcBorders>
            <w:vAlign w:val="center"/>
          </w:tcPr>
          <w:p w14:paraId="35BB7483" w14:textId="77777777" w:rsidR="0038142F" w:rsidRPr="0038142F" w:rsidRDefault="0038142F" w:rsidP="0038142F">
            <w:pPr>
              <w:jc w:val="center"/>
              <w:rPr>
                <w:rFonts w:eastAsia="Times New Roman"/>
                <w:b/>
                <w:sz w:val="20"/>
                <w:szCs w:val="20"/>
              </w:rPr>
            </w:pPr>
            <w:r w:rsidRPr="0038142F">
              <w:rPr>
                <w:rFonts w:eastAsia="Times New Roman"/>
                <w:b/>
                <w:sz w:val="20"/>
                <w:szCs w:val="20"/>
              </w:rPr>
              <w:t>2014</w:t>
            </w:r>
          </w:p>
        </w:tc>
        <w:tc>
          <w:tcPr>
            <w:tcW w:w="1080" w:type="dxa"/>
            <w:tcBorders>
              <w:bottom w:val="single" w:sz="4" w:space="0" w:color="auto"/>
            </w:tcBorders>
            <w:vAlign w:val="center"/>
          </w:tcPr>
          <w:p w14:paraId="7371A3B2" w14:textId="77777777" w:rsidR="0038142F" w:rsidRPr="0038142F" w:rsidRDefault="0038142F" w:rsidP="0038142F">
            <w:pPr>
              <w:jc w:val="center"/>
              <w:rPr>
                <w:rFonts w:eastAsia="Times New Roman"/>
                <w:b/>
                <w:sz w:val="20"/>
                <w:szCs w:val="20"/>
              </w:rPr>
            </w:pPr>
            <w:r w:rsidRPr="0038142F">
              <w:rPr>
                <w:rFonts w:eastAsia="Times New Roman"/>
                <w:b/>
                <w:sz w:val="20"/>
                <w:szCs w:val="20"/>
              </w:rPr>
              <w:t>2015</w:t>
            </w:r>
            <w:r w:rsidRPr="0038142F">
              <w:rPr>
                <w:rFonts w:eastAsia="Times New Roman"/>
                <w:b/>
                <w:sz w:val="20"/>
                <w:szCs w:val="20"/>
                <w:u w:val="single"/>
                <w:vertAlign w:val="superscript"/>
              </w:rPr>
              <w:t>p</w:t>
            </w:r>
            <w:r w:rsidRPr="0038142F">
              <w:rPr>
                <w:rFonts w:eastAsia="Times New Roman"/>
                <w:b/>
                <w:sz w:val="20"/>
                <w:szCs w:val="20"/>
                <w:vertAlign w:val="superscript"/>
              </w:rPr>
              <w:t>/</w:t>
            </w:r>
          </w:p>
        </w:tc>
        <w:tc>
          <w:tcPr>
            <w:tcW w:w="1105" w:type="dxa"/>
            <w:vMerge/>
            <w:tcBorders>
              <w:bottom w:val="single" w:sz="4" w:space="0" w:color="auto"/>
            </w:tcBorders>
          </w:tcPr>
          <w:p w14:paraId="69A1E942" w14:textId="77777777" w:rsidR="0038142F" w:rsidRPr="0038142F" w:rsidRDefault="0038142F" w:rsidP="0038142F">
            <w:pPr>
              <w:jc w:val="center"/>
              <w:rPr>
                <w:rFonts w:eastAsia="Times New Roman"/>
                <w:b/>
                <w:sz w:val="20"/>
                <w:szCs w:val="20"/>
              </w:rPr>
            </w:pPr>
          </w:p>
        </w:tc>
      </w:tr>
      <w:tr w:rsidR="0038142F" w:rsidRPr="0038142F" w14:paraId="3658F6F4" w14:textId="77777777" w:rsidTr="0024224F">
        <w:trPr>
          <w:jc w:val="center"/>
        </w:trPr>
        <w:tc>
          <w:tcPr>
            <w:tcW w:w="5181" w:type="dxa"/>
            <w:tcBorders>
              <w:bottom w:val="nil"/>
            </w:tcBorders>
          </w:tcPr>
          <w:p w14:paraId="279E042E" w14:textId="77777777" w:rsidR="0038142F" w:rsidRPr="0038142F" w:rsidRDefault="0038142F" w:rsidP="0038142F">
            <w:pPr>
              <w:jc w:val="both"/>
              <w:rPr>
                <w:rFonts w:eastAsia="Times New Roman"/>
                <w:b/>
                <w:sz w:val="20"/>
                <w:szCs w:val="20"/>
              </w:rPr>
            </w:pPr>
            <w:r w:rsidRPr="0038142F">
              <w:rPr>
                <w:rFonts w:eastAsia="Times New Roman"/>
                <w:b/>
                <w:sz w:val="20"/>
                <w:szCs w:val="20"/>
              </w:rPr>
              <w:t>Indicador de Confianza Empresarial de la Construcción</w:t>
            </w:r>
          </w:p>
        </w:tc>
        <w:tc>
          <w:tcPr>
            <w:tcW w:w="1080" w:type="dxa"/>
            <w:tcBorders>
              <w:bottom w:val="nil"/>
            </w:tcBorders>
          </w:tcPr>
          <w:p w14:paraId="7413176C" w14:textId="77777777" w:rsidR="0038142F" w:rsidRPr="0038142F" w:rsidRDefault="0038142F" w:rsidP="0038142F">
            <w:pPr>
              <w:jc w:val="center"/>
              <w:rPr>
                <w:rFonts w:eastAsia="Times New Roman"/>
                <w:b/>
                <w:sz w:val="20"/>
                <w:szCs w:val="20"/>
              </w:rPr>
            </w:pPr>
            <w:r w:rsidRPr="0038142F">
              <w:rPr>
                <w:rFonts w:eastAsia="Times New Roman"/>
                <w:b/>
                <w:sz w:val="20"/>
                <w:szCs w:val="20"/>
              </w:rPr>
              <w:t>52.6</w:t>
            </w:r>
          </w:p>
        </w:tc>
        <w:tc>
          <w:tcPr>
            <w:tcW w:w="1080" w:type="dxa"/>
            <w:tcBorders>
              <w:bottom w:val="nil"/>
            </w:tcBorders>
          </w:tcPr>
          <w:p w14:paraId="1B768BB7" w14:textId="77777777" w:rsidR="0038142F" w:rsidRPr="0038142F" w:rsidRDefault="0038142F" w:rsidP="0038142F">
            <w:pPr>
              <w:jc w:val="center"/>
              <w:rPr>
                <w:rFonts w:eastAsia="Times New Roman"/>
                <w:b/>
                <w:sz w:val="20"/>
                <w:szCs w:val="20"/>
              </w:rPr>
            </w:pPr>
            <w:r w:rsidRPr="0038142F">
              <w:rPr>
                <w:rFonts w:eastAsia="Times New Roman"/>
                <w:b/>
                <w:sz w:val="20"/>
                <w:szCs w:val="20"/>
              </w:rPr>
              <w:t>49.8</w:t>
            </w:r>
          </w:p>
        </w:tc>
        <w:tc>
          <w:tcPr>
            <w:tcW w:w="1105" w:type="dxa"/>
            <w:tcBorders>
              <w:bottom w:val="nil"/>
            </w:tcBorders>
          </w:tcPr>
          <w:p w14:paraId="2DDA9A2A" w14:textId="77777777" w:rsidR="0038142F" w:rsidRPr="0038142F" w:rsidRDefault="0038142F" w:rsidP="0038142F">
            <w:pPr>
              <w:ind w:right="340"/>
              <w:jc w:val="right"/>
              <w:rPr>
                <w:rFonts w:eastAsia="Times New Roman"/>
                <w:b/>
                <w:sz w:val="20"/>
                <w:szCs w:val="20"/>
              </w:rPr>
            </w:pPr>
            <w:r w:rsidRPr="0038142F">
              <w:rPr>
                <w:rFonts w:eastAsia="Times New Roman"/>
                <w:b/>
                <w:sz w:val="20"/>
                <w:szCs w:val="20"/>
              </w:rPr>
              <w:t>-2.8</w:t>
            </w:r>
          </w:p>
        </w:tc>
      </w:tr>
      <w:tr w:rsidR="0038142F" w:rsidRPr="0038142F" w14:paraId="536C9449" w14:textId="77777777" w:rsidTr="0024224F">
        <w:trPr>
          <w:jc w:val="center"/>
        </w:trPr>
        <w:tc>
          <w:tcPr>
            <w:tcW w:w="5181" w:type="dxa"/>
            <w:tcBorders>
              <w:top w:val="nil"/>
              <w:bottom w:val="nil"/>
            </w:tcBorders>
          </w:tcPr>
          <w:p w14:paraId="0E06C33D" w14:textId="77777777" w:rsidR="0038142F" w:rsidRPr="0038142F" w:rsidRDefault="0038142F" w:rsidP="0038142F">
            <w:pPr>
              <w:ind w:left="113" w:right="159"/>
              <w:jc w:val="both"/>
              <w:rPr>
                <w:rFonts w:eastAsia="Times New Roman"/>
                <w:sz w:val="20"/>
                <w:szCs w:val="20"/>
              </w:rPr>
            </w:pPr>
            <w:r w:rsidRPr="0038142F">
              <w:rPr>
                <w:rFonts w:eastAsia="Times New Roman"/>
                <w:sz w:val="20"/>
                <w:szCs w:val="20"/>
              </w:rPr>
              <w:t>a) Momento adecuado para invertir</w:t>
            </w:r>
          </w:p>
        </w:tc>
        <w:tc>
          <w:tcPr>
            <w:tcW w:w="1080" w:type="dxa"/>
            <w:tcBorders>
              <w:top w:val="nil"/>
              <w:bottom w:val="nil"/>
            </w:tcBorders>
          </w:tcPr>
          <w:p w14:paraId="347CB169" w14:textId="77777777" w:rsidR="0038142F" w:rsidRPr="0038142F" w:rsidRDefault="0038142F" w:rsidP="0038142F">
            <w:pPr>
              <w:jc w:val="center"/>
              <w:rPr>
                <w:rFonts w:eastAsia="Times New Roman"/>
                <w:sz w:val="20"/>
                <w:szCs w:val="20"/>
              </w:rPr>
            </w:pPr>
            <w:r w:rsidRPr="0038142F">
              <w:rPr>
                <w:rFonts w:eastAsia="Times New Roman"/>
                <w:sz w:val="20"/>
                <w:szCs w:val="20"/>
              </w:rPr>
              <w:t>32.4</w:t>
            </w:r>
          </w:p>
        </w:tc>
        <w:tc>
          <w:tcPr>
            <w:tcW w:w="1080" w:type="dxa"/>
            <w:tcBorders>
              <w:top w:val="nil"/>
              <w:bottom w:val="nil"/>
            </w:tcBorders>
          </w:tcPr>
          <w:p w14:paraId="2EAED01A" w14:textId="77777777" w:rsidR="0038142F" w:rsidRPr="0038142F" w:rsidRDefault="0038142F" w:rsidP="0038142F">
            <w:pPr>
              <w:jc w:val="center"/>
              <w:rPr>
                <w:rFonts w:eastAsia="Times New Roman"/>
                <w:sz w:val="20"/>
                <w:szCs w:val="20"/>
              </w:rPr>
            </w:pPr>
            <w:r w:rsidRPr="0038142F">
              <w:rPr>
                <w:rFonts w:eastAsia="Times New Roman"/>
                <w:sz w:val="20"/>
                <w:szCs w:val="20"/>
              </w:rPr>
              <w:t>30.7</w:t>
            </w:r>
          </w:p>
        </w:tc>
        <w:tc>
          <w:tcPr>
            <w:tcW w:w="1105" w:type="dxa"/>
            <w:tcBorders>
              <w:top w:val="nil"/>
              <w:bottom w:val="nil"/>
            </w:tcBorders>
          </w:tcPr>
          <w:p w14:paraId="03724FD0" w14:textId="77777777" w:rsidR="0038142F" w:rsidRPr="0038142F" w:rsidRDefault="0038142F" w:rsidP="0038142F">
            <w:pPr>
              <w:ind w:right="340"/>
              <w:jc w:val="right"/>
              <w:rPr>
                <w:rFonts w:eastAsia="Times New Roman"/>
                <w:sz w:val="20"/>
                <w:szCs w:val="20"/>
              </w:rPr>
            </w:pPr>
            <w:r w:rsidRPr="0038142F">
              <w:rPr>
                <w:rFonts w:eastAsia="Times New Roman"/>
                <w:sz w:val="20"/>
                <w:szCs w:val="20"/>
              </w:rPr>
              <w:t>-1.7</w:t>
            </w:r>
          </w:p>
        </w:tc>
      </w:tr>
      <w:tr w:rsidR="0038142F" w:rsidRPr="0038142F" w14:paraId="1CE65776" w14:textId="77777777" w:rsidTr="0024224F">
        <w:trPr>
          <w:jc w:val="center"/>
        </w:trPr>
        <w:tc>
          <w:tcPr>
            <w:tcW w:w="5181" w:type="dxa"/>
            <w:tcBorders>
              <w:top w:val="nil"/>
              <w:bottom w:val="nil"/>
            </w:tcBorders>
          </w:tcPr>
          <w:p w14:paraId="0781976E" w14:textId="77777777" w:rsidR="0038142F" w:rsidRPr="0038142F" w:rsidRDefault="0038142F" w:rsidP="0038142F">
            <w:pPr>
              <w:ind w:left="113" w:right="159"/>
              <w:jc w:val="both"/>
              <w:rPr>
                <w:rFonts w:eastAsia="Times New Roman"/>
                <w:sz w:val="20"/>
                <w:szCs w:val="20"/>
              </w:rPr>
            </w:pPr>
            <w:r w:rsidRPr="0038142F">
              <w:rPr>
                <w:rFonts w:eastAsia="Times New Roman"/>
                <w:sz w:val="20"/>
                <w:szCs w:val="20"/>
              </w:rPr>
              <w:t>b) Situación económica presente del país</w:t>
            </w:r>
          </w:p>
        </w:tc>
        <w:tc>
          <w:tcPr>
            <w:tcW w:w="1080" w:type="dxa"/>
            <w:tcBorders>
              <w:top w:val="nil"/>
              <w:bottom w:val="nil"/>
            </w:tcBorders>
          </w:tcPr>
          <w:p w14:paraId="119B0173" w14:textId="77777777" w:rsidR="0038142F" w:rsidRPr="0038142F" w:rsidRDefault="0038142F" w:rsidP="0038142F">
            <w:pPr>
              <w:jc w:val="center"/>
              <w:rPr>
                <w:rFonts w:eastAsia="Times New Roman"/>
                <w:sz w:val="20"/>
                <w:szCs w:val="20"/>
              </w:rPr>
            </w:pPr>
            <w:r w:rsidRPr="0038142F">
              <w:rPr>
                <w:rFonts w:eastAsia="Times New Roman"/>
                <w:sz w:val="20"/>
                <w:szCs w:val="20"/>
              </w:rPr>
              <w:t>44.5</w:t>
            </w:r>
          </w:p>
        </w:tc>
        <w:tc>
          <w:tcPr>
            <w:tcW w:w="1080" w:type="dxa"/>
            <w:tcBorders>
              <w:top w:val="nil"/>
              <w:bottom w:val="nil"/>
            </w:tcBorders>
          </w:tcPr>
          <w:p w14:paraId="02934BE2" w14:textId="77777777" w:rsidR="0038142F" w:rsidRPr="0038142F" w:rsidRDefault="0038142F" w:rsidP="0038142F">
            <w:pPr>
              <w:jc w:val="center"/>
              <w:rPr>
                <w:rFonts w:eastAsia="Times New Roman"/>
                <w:sz w:val="20"/>
                <w:szCs w:val="20"/>
              </w:rPr>
            </w:pPr>
            <w:r w:rsidRPr="0038142F">
              <w:rPr>
                <w:rFonts w:eastAsia="Times New Roman"/>
                <w:sz w:val="20"/>
                <w:szCs w:val="20"/>
              </w:rPr>
              <w:t>40.9</w:t>
            </w:r>
          </w:p>
        </w:tc>
        <w:tc>
          <w:tcPr>
            <w:tcW w:w="1105" w:type="dxa"/>
            <w:tcBorders>
              <w:top w:val="nil"/>
              <w:bottom w:val="nil"/>
            </w:tcBorders>
          </w:tcPr>
          <w:p w14:paraId="67D2CBEE" w14:textId="77777777" w:rsidR="0038142F" w:rsidRPr="0038142F" w:rsidRDefault="0038142F" w:rsidP="0038142F">
            <w:pPr>
              <w:ind w:right="340"/>
              <w:jc w:val="right"/>
              <w:rPr>
                <w:rFonts w:eastAsia="Times New Roman"/>
                <w:sz w:val="20"/>
                <w:szCs w:val="20"/>
              </w:rPr>
            </w:pPr>
            <w:r w:rsidRPr="0038142F">
              <w:rPr>
                <w:rFonts w:eastAsia="Times New Roman"/>
                <w:sz w:val="20"/>
                <w:szCs w:val="20"/>
              </w:rPr>
              <w:t>-3.6</w:t>
            </w:r>
          </w:p>
        </w:tc>
      </w:tr>
      <w:tr w:rsidR="0038142F" w:rsidRPr="0038142F" w14:paraId="09A16368" w14:textId="77777777" w:rsidTr="0024224F">
        <w:trPr>
          <w:jc w:val="center"/>
        </w:trPr>
        <w:tc>
          <w:tcPr>
            <w:tcW w:w="5181" w:type="dxa"/>
            <w:tcBorders>
              <w:top w:val="nil"/>
              <w:bottom w:val="nil"/>
            </w:tcBorders>
          </w:tcPr>
          <w:p w14:paraId="4BB606DC" w14:textId="77777777" w:rsidR="0038142F" w:rsidRPr="0038142F" w:rsidRDefault="0038142F" w:rsidP="0038142F">
            <w:pPr>
              <w:ind w:left="113" w:right="159"/>
              <w:jc w:val="both"/>
              <w:rPr>
                <w:rFonts w:eastAsia="Times New Roman"/>
                <w:sz w:val="20"/>
                <w:szCs w:val="20"/>
              </w:rPr>
            </w:pPr>
            <w:r w:rsidRPr="0038142F">
              <w:rPr>
                <w:rFonts w:eastAsia="Times New Roman"/>
                <w:sz w:val="20"/>
                <w:szCs w:val="20"/>
              </w:rPr>
              <w:t>c) Situación económica futura del país</w:t>
            </w:r>
          </w:p>
        </w:tc>
        <w:tc>
          <w:tcPr>
            <w:tcW w:w="1080" w:type="dxa"/>
            <w:tcBorders>
              <w:top w:val="nil"/>
              <w:bottom w:val="nil"/>
            </w:tcBorders>
          </w:tcPr>
          <w:p w14:paraId="2131FA38" w14:textId="77777777" w:rsidR="0038142F" w:rsidRPr="0038142F" w:rsidRDefault="0038142F" w:rsidP="0038142F">
            <w:pPr>
              <w:jc w:val="center"/>
              <w:rPr>
                <w:rFonts w:eastAsia="Times New Roman"/>
                <w:sz w:val="20"/>
                <w:szCs w:val="20"/>
              </w:rPr>
            </w:pPr>
            <w:r w:rsidRPr="0038142F">
              <w:rPr>
                <w:rFonts w:eastAsia="Times New Roman"/>
                <w:sz w:val="20"/>
                <w:szCs w:val="20"/>
              </w:rPr>
              <w:t>65.7</w:t>
            </w:r>
          </w:p>
        </w:tc>
        <w:tc>
          <w:tcPr>
            <w:tcW w:w="1080" w:type="dxa"/>
            <w:tcBorders>
              <w:top w:val="nil"/>
              <w:bottom w:val="nil"/>
            </w:tcBorders>
          </w:tcPr>
          <w:p w14:paraId="1558F716" w14:textId="77777777" w:rsidR="0038142F" w:rsidRPr="0038142F" w:rsidRDefault="0038142F" w:rsidP="0038142F">
            <w:pPr>
              <w:jc w:val="center"/>
              <w:rPr>
                <w:rFonts w:eastAsia="Times New Roman"/>
                <w:sz w:val="20"/>
                <w:szCs w:val="20"/>
              </w:rPr>
            </w:pPr>
            <w:r w:rsidRPr="0038142F">
              <w:rPr>
                <w:rFonts w:eastAsia="Times New Roman"/>
                <w:sz w:val="20"/>
                <w:szCs w:val="20"/>
              </w:rPr>
              <w:t>59.0</w:t>
            </w:r>
          </w:p>
        </w:tc>
        <w:tc>
          <w:tcPr>
            <w:tcW w:w="1105" w:type="dxa"/>
            <w:tcBorders>
              <w:top w:val="nil"/>
              <w:bottom w:val="nil"/>
            </w:tcBorders>
          </w:tcPr>
          <w:p w14:paraId="110BB813" w14:textId="77777777" w:rsidR="0038142F" w:rsidRPr="0038142F" w:rsidRDefault="0038142F" w:rsidP="0038142F">
            <w:pPr>
              <w:ind w:right="340"/>
              <w:jc w:val="right"/>
              <w:rPr>
                <w:rFonts w:eastAsia="Times New Roman"/>
                <w:sz w:val="20"/>
                <w:szCs w:val="20"/>
              </w:rPr>
            </w:pPr>
            <w:r w:rsidRPr="0038142F">
              <w:rPr>
                <w:rFonts w:eastAsia="Times New Roman"/>
                <w:sz w:val="20"/>
                <w:szCs w:val="20"/>
              </w:rPr>
              <w:t>-6.7</w:t>
            </w:r>
          </w:p>
        </w:tc>
      </w:tr>
      <w:tr w:rsidR="0038142F" w:rsidRPr="0038142F" w14:paraId="7B39B905" w14:textId="77777777" w:rsidTr="0024224F">
        <w:trPr>
          <w:jc w:val="center"/>
        </w:trPr>
        <w:tc>
          <w:tcPr>
            <w:tcW w:w="5181" w:type="dxa"/>
            <w:tcBorders>
              <w:top w:val="nil"/>
              <w:bottom w:val="nil"/>
            </w:tcBorders>
          </w:tcPr>
          <w:p w14:paraId="0F6F5098" w14:textId="77777777" w:rsidR="0038142F" w:rsidRPr="0038142F" w:rsidRDefault="0038142F" w:rsidP="0038142F">
            <w:pPr>
              <w:ind w:left="113" w:right="159"/>
              <w:jc w:val="both"/>
              <w:rPr>
                <w:rFonts w:eastAsia="Times New Roman"/>
                <w:sz w:val="20"/>
                <w:szCs w:val="20"/>
              </w:rPr>
            </w:pPr>
            <w:r w:rsidRPr="0038142F">
              <w:rPr>
                <w:rFonts w:eastAsia="Times New Roman"/>
                <w:sz w:val="20"/>
                <w:szCs w:val="20"/>
              </w:rPr>
              <w:t>d) Situación económica presente de la empresa</w:t>
            </w:r>
          </w:p>
        </w:tc>
        <w:tc>
          <w:tcPr>
            <w:tcW w:w="1080" w:type="dxa"/>
            <w:tcBorders>
              <w:top w:val="nil"/>
              <w:bottom w:val="nil"/>
            </w:tcBorders>
          </w:tcPr>
          <w:p w14:paraId="3C739975" w14:textId="77777777" w:rsidR="0038142F" w:rsidRPr="0038142F" w:rsidRDefault="0038142F" w:rsidP="0038142F">
            <w:pPr>
              <w:jc w:val="center"/>
              <w:rPr>
                <w:rFonts w:eastAsia="Times New Roman"/>
                <w:sz w:val="20"/>
                <w:szCs w:val="20"/>
              </w:rPr>
            </w:pPr>
            <w:r w:rsidRPr="0038142F">
              <w:rPr>
                <w:rFonts w:eastAsia="Times New Roman"/>
                <w:sz w:val="20"/>
                <w:szCs w:val="20"/>
              </w:rPr>
              <w:t>50.3</w:t>
            </w:r>
          </w:p>
        </w:tc>
        <w:tc>
          <w:tcPr>
            <w:tcW w:w="1080" w:type="dxa"/>
            <w:tcBorders>
              <w:top w:val="nil"/>
              <w:bottom w:val="nil"/>
            </w:tcBorders>
          </w:tcPr>
          <w:p w14:paraId="39D2E6DC" w14:textId="77777777" w:rsidR="0038142F" w:rsidRPr="0038142F" w:rsidRDefault="0038142F" w:rsidP="0038142F">
            <w:pPr>
              <w:jc w:val="center"/>
              <w:rPr>
                <w:rFonts w:eastAsia="Times New Roman"/>
                <w:sz w:val="20"/>
                <w:szCs w:val="20"/>
              </w:rPr>
            </w:pPr>
            <w:r w:rsidRPr="0038142F">
              <w:rPr>
                <w:rFonts w:eastAsia="Times New Roman"/>
                <w:sz w:val="20"/>
                <w:szCs w:val="20"/>
              </w:rPr>
              <w:t>51.5</w:t>
            </w:r>
          </w:p>
        </w:tc>
        <w:tc>
          <w:tcPr>
            <w:tcW w:w="1105" w:type="dxa"/>
            <w:tcBorders>
              <w:top w:val="nil"/>
              <w:bottom w:val="nil"/>
            </w:tcBorders>
          </w:tcPr>
          <w:p w14:paraId="6AEF5917" w14:textId="77777777" w:rsidR="0038142F" w:rsidRPr="0038142F" w:rsidRDefault="0038142F" w:rsidP="0038142F">
            <w:pPr>
              <w:ind w:right="340"/>
              <w:jc w:val="right"/>
              <w:rPr>
                <w:rFonts w:eastAsia="Times New Roman"/>
                <w:sz w:val="20"/>
                <w:szCs w:val="20"/>
              </w:rPr>
            </w:pPr>
            <w:r w:rsidRPr="0038142F">
              <w:rPr>
                <w:rFonts w:eastAsia="Times New Roman"/>
                <w:sz w:val="20"/>
                <w:szCs w:val="20"/>
              </w:rPr>
              <w:t>1.3</w:t>
            </w:r>
          </w:p>
        </w:tc>
      </w:tr>
      <w:tr w:rsidR="0038142F" w:rsidRPr="0038142F" w14:paraId="6D4D9600" w14:textId="77777777" w:rsidTr="0024224F">
        <w:trPr>
          <w:jc w:val="center"/>
        </w:trPr>
        <w:tc>
          <w:tcPr>
            <w:tcW w:w="5181" w:type="dxa"/>
            <w:tcBorders>
              <w:top w:val="nil"/>
              <w:bottom w:val="single" w:sz="4" w:space="0" w:color="auto"/>
            </w:tcBorders>
          </w:tcPr>
          <w:p w14:paraId="707BE3C8" w14:textId="77777777" w:rsidR="0038142F" w:rsidRPr="0038142F" w:rsidRDefault="0038142F" w:rsidP="0038142F">
            <w:pPr>
              <w:ind w:left="113" w:right="159"/>
              <w:jc w:val="both"/>
              <w:rPr>
                <w:rFonts w:eastAsia="Times New Roman"/>
                <w:sz w:val="20"/>
                <w:szCs w:val="20"/>
              </w:rPr>
            </w:pPr>
            <w:r w:rsidRPr="0038142F">
              <w:rPr>
                <w:rFonts w:eastAsia="Times New Roman"/>
                <w:sz w:val="20"/>
                <w:szCs w:val="20"/>
              </w:rPr>
              <w:t>e) Situación económica futura de la empresa</w:t>
            </w:r>
          </w:p>
        </w:tc>
        <w:tc>
          <w:tcPr>
            <w:tcW w:w="1080" w:type="dxa"/>
            <w:tcBorders>
              <w:top w:val="nil"/>
              <w:bottom w:val="single" w:sz="4" w:space="0" w:color="auto"/>
            </w:tcBorders>
          </w:tcPr>
          <w:p w14:paraId="5BDE704F" w14:textId="77777777" w:rsidR="0038142F" w:rsidRPr="0038142F" w:rsidRDefault="0038142F" w:rsidP="0038142F">
            <w:pPr>
              <w:jc w:val="center"/>
              <w:rPr>
                <w:rFonts w:eastAsia="Times New Roman"/>
                <w:sz w:val="20"/>
                <w:szCs w:val="20"/>
              </w:rPr>
            </w:pPr>
            <w:r w:rsidRPr="0038142F">
              <w:rPr>
                <w:rFonts w:eastAsia="Times New Roman"/>
                <w:sz w:val="20"/>
                <w:szCs w:val="20"/>
              </w:rPr>
              <w:t>70.1</w:t>
            </w:r>
          </w:p>
        </w:tc>
        <w:tc>
          <w:tcPr>
            <w:tcW w:w="1080" w:type="dxa"/>
            <w:tcBorders>
              <w:top w:val="nil"/>
              <w:bottom w:val="single" w:sz="4" w:space="0" w:color="auto"/>
            </w:tcBorders>
          </w:tcPr>
          <w:p w14:paraId="7F875BE4" w14:textId="77777777" w:rsidR="0038142F" w:rsidRPr="0038142F" w:rsidRDefault="0038142F" w:rsidP="0038142F">
            <w:pPr>
              <w:jc w:val="center"/>
              <w:rPr>
                <w:rFonts w:eastAsia="Times New Roman"/>
                <w:sz w:val="20"/>
                <w:szCs w:val="20"/>
              </w:rPr>
            </w:pPr>
            <w:r w:rsidRPr="0038142F">
              <w:rPr>
                <w:rFonts w:eastAsia="Times New Roman"/>
                <w:sz w:val="20"/>
                <w:szCs w:val="20"/>
              </w:rPr>
              <w:t>66.8</w:t>
            </w:r>
          </w:p>
        </w:tc>
        <w:tc>
          <w:tcPr>
            <w:tcW w:w="1105" w:type="dxa"/>
            <w:tcBorders>
              <w:top w:val="nil"/>
              <w:bottom w:val="single" w:sz="4" w:space="0" w:color="auto"/>
            </w:tcBorders>
          </w:tcPr>
          <w:p w14:paraId="06DD27D4" w14:textId="77777777" w:rsidR="0038142F" w:rsidRPr="0038142F" w:rsidRDefault="0038142F" w:rsidP="0038142F">
            <w:pPr>
              <w:ind w:right="340"/>
              <w:jc w:val="right"/>
              <w:rPr>
                <w:rFonts w:eastAsia="Times New Roman"/>
                <w:sz w:val="20"/>
                <w:szCs w:val="20"/>
              </w:rPr>
            </w:pPr>
            <w:r w:rsidRPr="0038142F">
              <w:rPr>
                <w:rFonts w:eastAsia="Times New Roman"/>
                <w:sz w:val="20"/>
                <w:szCs w:val="20"/>
              </w:rPr>
              <w:t>-3.2</w:t>
            </w:r>
          </w:p>
        </w:tc>
      </w:tr>
      <w:tr w:rsidR="0038142F" w:rsidRPr="0038142F" w14:paraId="4EA26DF9" w14:textId="77777777" w:rsidTr="0024224F">
        <w:trPr>
          <w:jc w:val="center"/>
        </w:trPr>
        <w:tc>
          <w:tcPr>
            <w:tcW w:w="8446" w:type="dxa"/>
            <w:gridSpan w:val="4"/>
            <w:tcBorders>
              <w:left w:val="nil"/>
              <w:bottom w:val="nil"/>
              <w:right w:val="nil"/>
            </w:tcBorders>
          </w:tcPr>
          <w:p w14:paraId="548081B9" w14:textId="77777777" w:rsidR="0038142F" w:rsidRPr="0038142F" w:rsidRDefault="0038142F" w:rsidP="0038142F">
            <w:pPr>
              <w:jc w:val="both"/>
              <w:rPr>
                <w:rFonts w:eastAsia="Times New Roman"/>
                <w:sz w:val="20"/>
                <w:szCs w:val="20"/>
              </w:rPr>
            </w:pPr>
            <w:r w:rsidRPr="0038142F">
              <w:rPr>
                <w:rFonts w:eastAsia="Times New Roman"/>
                <w:sz w:val="20"/>
                <w:szCs w:val="20"/>
              </w:rPr>
              <w:t>Nota: Los indicadores se generan con los datos referidos al mes de la entrevista.</w:t>
            </w:r>
          </w:p>
          <w:p w14:paraId="60FD7CA2" w14:textId="77777777" w:rsidR="0038142F" w:rsidRPr="0038142F" w:rsidRDefault="0038142F" w:rsidP="0038142F">
            <w:pPr>
              <w:ind w:left="227" w:hanging="227"/>
              <w:jc w:val="both"/>
              <w:rPr>
                <w:rFonts w:eastAsia="Times New Roman"/>
                <w:sz w:val="20"/>
                <w:szCs w:val="20"/>
              </w:rPr>
            </w:pPr>
            <w:r w:rsidRPr="0038142F">
              <w:rPr>
                <w:rFonts w:eastAsia="Times New Roman"/>
                <w:sz w:val="20"/>
                <w:szCs w:val="20"/>
                <w:u w:val="single"/>
              </w:rPr>
              <w:t>1</w:t>
            </w:r>
            <w:r w:rsidRPr="0038142F">
              <w:rPr>
                <w:rFonts w:eastAsia="Times New Roman"/>
                <w:sz w:val="20"/>
                <w:szCs w:val="20"/>
              </w:rPr>
              <w:t>/ Las diferencias en puntos se obtienen de los respectivos indicadores considerando todos sus decimales.</w:t>
            </w:r>
          </w:p>
          <w:p w14:paraId="77A3384D" w14:textId="77777777" w:rsidR="0038142F" w:rsidRPr="0038142F" w:rsidRDefault="0038142F" w:rsidP="0038142F">
            <w:pPr>
              <w:jc w:val="both"/>
              <w:rPr>
                <w:rFonts w:eastAsia="Times New Roman"/>
                <w:sz w:val="20"/>
                <w:szCs w:val="20"/>
              </w:rPr>
            </w:pPr>
            <w:r w:rsidRPr="0038142F">
              <w:rPr>
                <w:rFonts w:eastAsia="Times New Roman"/>
                <w:sz w:val="20"/>
                <w:szCs w:val="20"/>
                <w:u w:val="single"/>
              </w:rPr>
              <w:t>p</w:t>
            </w:r>
            <w:r w:rsidRPr="0038142F">
              <w:rPr>
                <w:rFonts w:eastAsia="Times New Roman"/>
                <w:sz w:val="20"/>
                <w:szCs w:val="20"/>
              </w:rPr>
              <w:t>/ Dato preliminar.</w:t>
            </w:r>
          </w:p>
          <w:p w14:paraId="4BB3DFED" w14:textId="77777777" w:rsidR="0038142F" w:rsidRPr="0038142F" w:rsidRDefault="0038142F" w:rsidP="0038142F">
            <w:pPr>
              <w:jc w:val="both"/>
              <w:rPr>
                <w:rFonts w:eastAsia="Times New Roman"/>
                <w:sz w:val="18"/>
                <w:szCs w:val="18"/>
              </w:rPr>
            </w:pPr>
            <w:r w:rsidRPr="0038142F">
              <w:rPr>
                <w:rFonts w:eastAsia="Times New Roman"/>
                <w:sz w:val="20"/>
                <w:szCs w:val="20"/>
              </w:rPr>
              <w:t>FUENTE: INEGI.</w:t>
            </w:r>
          </w:p>
        </w:tc>
      </w:tr>
    </w:tbl>
    <w:p w14:paraId="4861D25B" w14:textId="77777777" w:rsidR="0038142F" w:rsidRPr="0038142F" w:rsidRDefault="0038142F" w:rsidP="0038142F">
      <w:pPr>
        <w:spacing w:after="360" w:line="360" w:lineRule="auto"/>
        <w:ind w:right="159"/>
        <w:jc w:val="both"/>
        <w:rPr>
          <w:rFonts w:eastAsia="Calibri"/>
          <w:sz w:val="26"/>
          <w:szCs w:val="26"/>
          <w:lang w:eastAsia="en-US"/>
        </w:rPr>
      </w:pPr>
    </w:p>
    <w:p w14:paraId="6BCFD249" w14:textId="77777777" w:rsidR="0038142F" w:rsidRPr="0038142F" w:rsidRDefault="0038142F" w:rsidP="0038142F">
      <w:pPr>
        <w:spacing w:after="360" w:line="360" w:lineRule="auto"/>
        <w:ind w:right="159"/>
        <w:jc w:val="both"/>
        <w:rPr>
          <w:rFonts w:eastAsia="Calibri"/>
          <w:sz w:val="26"/>
          <w:szCs w:val="26"/>
          <w:lang w:eastAsia="en-US"/>
        </w:rPr>
      </w:pPr>
      <w:r w:rsidRPr="0038142F">
        <w:rPr>
          <w:rFonts w:eastAsia="Calibri"/>
          <w:sz w:val="26"/>
          <w:szCs w:val="26"/>
          <w:lang w:eastAsia="en-US"/>
        </w:rPr>
        <w:t>El Indicador de Confianza Empresarial del Comercio presentó una disminución anual de 5.1 puntos, al pasar de 53.7 puntos en febrero de 2014 a 48.6 puntos en el segundo mes de 2015.</w:t>
      </w:r>
    </w:p>
    <w:p w14:paraId="1EC32392" w14:textId="0DF46F2B" w:rsidR="0038142F" w:rsidRPr="0038142F" w:rsidRDefault="00B547E3" w:rsidP="0038142F">
      <w:pPr>
        <w:spacing w:after="360" w:line="360" w:lineRule="auto"/>
        <w:ind w:right="159"/>
        <w:jc w:val="center"/>
        <w:rPr>
          <w:rFonts w:eastAsia="Calibri"/>
          <w:sz w:val="26"/>
          <w:szCs w:val="26"/>
          <w:lang w:eastAsia="en-US"/>
        </w:rPr>
      </w:pPr>
      <w:r w:rsidRPr="00B547E3">
        <w:rPr>
          <w:rFonts w:ascii="Calibri" w:eastAsia="Calibri" w:hAnsi="Calibri"/>
          <w:sz w:val="22"/>
          <w:szCs w:val="22"/>
          <w:lang w:eastAsia="en-US"/>
        </w:rPr>
        <w:lastRenderedPageBreak/>
        <w:fldChar w:fldCharType="begin"/>
      </w:r>
      <w:r w:rsidRPr="00B547E3">
        <w:rPr>
          <w:rFonts w:ascii="Calibri" w:eastAsia="Calibri" w:hAnsi="Calibri"/>
          <w:sz w:val="22"/>
          <w:szCs w:val="22"/>
          <w:lang w:eastAsia="en-US"/>
        </w:rPr>
        <w:instrText xml:space="preserve"> LINK PowerPoint.Slide.8 "D:\\2015\\MARZO 2014\\GRÁFICAS EN POWER POINT\\17.- GRÁFICAS DEL IND DE CONFIANZA EMPRESARIAL.pptx!260" "" \a \p </w:instrText>
      </w:r>
      <w:r w:rsidRPr="00B547E3">
        <w:rPr>
          <w:rFonts w:ascii="Calibri" w:eastAsia="Calibri" w:hAnsi="Calibri"/>
          <w:sz w:val="22"/>
          <w:szCs w:val="22"/>
          <w:lang w:eastAsia="en-US"/>
        </w:rPr>
        <w:fldChar w:fldCharType="separate"/>
      </w:r>
      <w:r w:rsidRPr="00B547E3">
        <w:rPr>
          <w:rFonts w:ascii="Calibri" w:eastAsia="Calibri" w:hAnsi="Calibri"/>
          <w:noProof/>
          <w:sz w:val="22"/>
          <w:szCs w:val="22"/>
          <w:lang w:eastAsia="es-MX"/>
        </w:rPr>
        <w:drawing>
          <wp:inline distT="0" distB="0" distL="0" distR="0" wp14:anchorId="360598D1" wp14:editId="4144F83F">
            <wp:extent cx="4739005" cy="3218815"/>
            <wp:effectExtent l="0" t="0" r="4445" b="635"/>
            <wp:docPr id="1486" name="Imagen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2"/>
                    <pic:cNvPicPr>
                      <a:picLocks noChangeAspect="1" noChangeArrowheads="1"/>
                    </pic:cNvPicPr>
                  </pic:nvPicPr>
                  <pic:blipFill>
                    <a:blip r:embed="rId165" cstate="print">
                      <a:extLst>
                        <a:ext uri="{28A0092B-C50C-407E-A947-70E740481C1C}">
                          <a14:useLocalDpi xmlns:a14="http://schemas.microsoft.com/office/drawing/2010/main" val="0"/>
                        </a:ext>
                      </a:extLst>
                    </a:blip>
                    <a:srcRect l="9930" t="2002" r="12196" b="4024"/>
                    <a:stretch>
                      <a:fillRect/>
                    </a:stretch>
                  </pic:blipFill>
                  <pic:spPr bwMode="auto">
                    <a:xfrm>
                      <a:off x="0" y="0"/>
                      <a:ext cx="4739005" cy="3218815"/>
                    </a:xfrm>
                    <a:prstGeom prst="rect">
                      <a:avLst/>
                    </a:prstGeom>
                    <a:noFill/>
                    <a:ln>
                      <a:noFill/>
                    </a:ln>
                  </pic:spPr>
                </pic:pic>
              </a:graphicData>
            </a:graphic>
          </wp:inline>
        </w:drawing>
      </w:r>
      <w:r w:rsidRPr="00B547E3">
        <w:rPr>
          <w:rFonts w:ascii="Calibri" w:eastAsia="Calibri" w:hAnsi="Calibri"/>
          <w:sz w:val="22"/>
          <w:szCs w:val="22"/>
          <w:lang w:eastAsia="en-US"/>
        </w:rPr>
        <w:fldChar w:fldCharType="end"/>
      </w:r>
    </w:p>
    <w:p w14:paraId="3F3864FE" w14:textId="77777777" w:rsidR="0038142F" w:rsidRPr="0038142F" w:rsidRDefault="0038142F" w:rsidP="0038142F">
      <w:pPr>
        <w:spacing w:after="360" w:line="360" w:lineRule="auto"/>
        <w:ind w:right="159"/>
        <w:jc w:val="both"/>
        <w:rPr>
          <w:rFonts w:eastAsia="Calibri"/>
          <w:sz w:val="26"/>
          <w:szCs w:val="26"/>
          <w:lang w:eastAsia="en-US"/>
        </w:rPr>
      </w:pPr>
      <w:r w:rsidRPr="0038142F">
        <w:rPr>
          <w:rFonts w:eastAsia="Calibri"/>
          <w:sz w:val="26"/>
          <w:szCs w:val="26"/>
          <w:lang w:eastAsia="en-US"/>
        </w:rPr>
        <w:t>La variación anual del indicador se derivó de caídas en los cinco componentes que lo integran, las cuales se detallan en el cuadro siguiente.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73"/>
        <w:gridCol w:w="1080"/>
        <w:gridCol w:w="1080"/>
        <w:gridCol w:w="1105"/>
      </w:tblGrid>
      <w:tr w:rsidR="0038142F" w:rsidRPr="0038142F" w14:paraId="5C6C5A31" w14:textId="77777777" w:rsidTr="0024224F">
        <w:trPr>
          <w:jc w:val="center"/>
        </w:trPr>
        <w:tc>
          <w:tcPr>
            <w:tcW w:w="7838" w:type="dxa"/>
            <w:gridSpan w:val="4"/>
            <w:tcBorders>
              <w:top w:val="nil"/>
              <w:left w:val="nil"/>
              <w:right w:val="nil"/>
            </w:tcBorders>
          </w:tcPr>
          <w:p w14:paraId="71872CA7" w14:textId="77777777" w:rsidR="0038142F" w:rsidRPr="0038142F" w:rsidRDefault="0038142F" w:rsidP="0038142F">
            <w:pPr>
              <w:jc w:val="center"/>
              <w:rPr>
                <w:rFonts w:eastAsia="Times New Roman"/>
                <w:b/>
                <w:sz w:val="22"/>
                <w:szCs w:val="22"/>
              </w:rPr>
            </w:pPr>
            <w:r w:rsidRPr="0038142F">
              <w:rPr>
                <w:rFonts w:eastAsia="Times New Roman"/>
                <w:b/>
                <w:sz w:val="22"/>
                <w:szCs w:val="22"/>
              </w:rPr>
              <w:t>COMPONENTES DEL INDICADOR DE CONFIANZA EMPRESARIAL DEL COMERCIO</w:t>
            </w:r>
          </w:p>
          <w:p w14:paraId="69C8EE56" w14:textId="77777777" w:rsidR="0038142F" w:rsidRPr="0038142F" w:rsidRDefault="0038142F" w:rsidP="0038142F">
            <w:pPr>
              <w:jc w:val="center"/>
              <w:rPr>
                <w:rFonts w:eastAsia="Times New Roman"/>
                <w:b/>
                <w:sz w:val="20"/>
                <w:szCs w:val="20"/>
              </w:rPr>
            </w:pPr>
            <w:r w:rsidRPr="0038142F">
              <w:rPr>
                <w:rFonts w:eastAsia="Times New Roman"/>
                <w:b/>
                <w:sz w:val="22"/>
                <w:szCs w:val="22"/>
              </w:rPr>
              <w:t>CIFRAS ORIGINALES</w:t>
            </w:r>
          </w:p>
        </w:tc>
      </w:tr>
      <w:tr w:rsidR="0038142F" w:rsidRPr="0038142F" w14:paraId="064E9C76" w14:textId="77777777" w:rsidTr="0024224F">
        <w:trPr>
          <w:jc w:val="center"/>
        </w:trPr>
        <w:tc>
          <w:tcPr>
            <w:tcW w:w="4573" w:type="dxa"/>
            <w:vMerge w:val="restart"/>
            <w:vAlign w:val="center"/>
          </w:tcPr>
          <w:p w14:paraId="43CCFACB" w14:textId="77777777" w:rsidR="0038142F" w:rsidRPr="0038142F" w:rsidRDefault="0038142F" w:rsidP="0038142F">
            <w:pPr>
              <w:jc w:val="center"/>
              <w:rPr>
                <w:rFonts w:eastAsia="Times New Roman"/>
                <w:b/>
                <w:sz w:val="20"/>
                <w:szCs w:val="20"/>
              </w:rPr>
            </w:pPr>
            <w:r w:rsidRPr="0038142F">
              <w:rPr>
                <w:rFonts w:eastAsia="Times New Roman"/>
                <w:b/>
                <w:sz w:val="20"/>
                <w:szCs w:val="20"/>
              </w:rPr>
              <w:t>Indicadores</w:t>
            </w:r>
          </w:p>
        </w:tc>
        <w:tc>
          <w:tcPr>
            <w:tcW w:w="2160" w:type="dxa"/>
            <w:gridSpan w:val="2"/>
          </w:tcPr>
          <w:p w14:paraId="29BE144A" w14:textId="77777777" w:rsidR="0038142F" w:rsidRPr="0038142F" w:rsidRDefault="0038142F" w:rsidP="0038142F">
            <w:pPr>
              <w:jc w:val="center"/>
              <w:rPr>
                <w:rFonts w:eastAsia="Times New Roman"/>
                <w:b/>
                <w:sz w:val="20"/>
                <w:szCs w:val="20"/>
              </w:rPr>
            </w:pPr>
            <w:r w:rsidRPr="0038142F">
              <w:rPr>
                <w:rFonts w:eastAsia="Times New Roman"/>
                <w:b/>
                <w:sz w:val="20"/>
                <w:szCs w:val="20"/>
              </w:rPr>
              <w:t>Febrero</w:t>
            </w:r>
          </w:p>
        </w:tc>
        <w:tc>
          <w:tcPr>
            <w:tcW w:w="1105" w:type="dxa"/>
            <w:vMerge w:val="restart"/>
          </w:tcPr>
          <w:p w14:paraId="7C1D2CDA" w14:textId="77777777" w:rsidR="0038142F" w:rsidRPr="0038142F" w:rsidRDefault="0038142F" w:rsidP="0038142F">
            <w:pPr>
              <w:jc w:val="center"/>
              <w:rPr>
                <w:rFonts w:eastAsia="Times New Roman"/>
                <w:b/>
                <w:sz w:val="20"/>
                <w:szCs w:val="20"/>
              </w:rPr>
            </w:pPr>
            <w:r w:rsidRPr="0038142F">
              <w:rPr>
                <w:rFonts w:eastAsia="Times New Roman"/>
                <w:b/>
                <w:sz w:val="20"/>
                <w:szCs w:val="20"/>
              </w:rPr>
              <w:t>Diferencia en puntos</w:t>
            </w:r>
            <w:r w:rsidRPr="0038142F">
              <w:rPr>
                <w:rFonts w:eastAsia="Times New Roman"/>
                <w:b/>
                <w:sz w:val="20"/>
                <w:szCs w:val="20"/>
                <w:u w:val="single"/>
                <w:vertAlign w:val="superscript"/>
              </w:rPr>
              <w:t>1</w:t>
            </w:r>
            <w:r w:rsidRPr="0038142F">
              <w:rPr>
                <w:rFonts w:eastAsia="Times New Roman"/>
                <w:b/>
                <w:sz w:val="20"/>
                <w:szCs w:val="20"/>
                <w:vertAlign w:val="superscript"/>
              </w:rPr>
              <w:t>/</w:t>
            </w:r>
          </w:p>
        </w:tc>
      </w:tr>
      <w:tr w:rsidR="0038142F" w:rsidRPr="0038142F" w14:paraId="60BE8576" w14:textId="77777777" w:rsidTr="0024224F">
        <w:trPr>
          <w:jc w:val="center"/>
        </w:trPr>
        <w:tc>
          <w:tcPr>
            <w:tcW w:w="4573" w:type="dxa"/>
            <w:vMerge/>
            <w:tcBorders>
              <w:bottom w:val="single" w:sz="4" w:space="0" w:color="auto"/>
            </w:tcBorders>
          </w:tcPr>
          <w:p w14:paraId="10D518B0" w14:textId="77777777" w:rsidR="0038142F" w:rsidRPr="0038142F" w:rsidRDefault="0038142F" w:rsidP="0038142F">
            <w:pPr>
              <w:jc w:val="both"/>
              <w:rPr>
                <w:rFonts w:eastAsia="Times New Roman"/>
                <w:b/>
                <w:sz w:val="20"/>
                <w:szCs w:val="20"/>
              </w:rPr>
            </w:pPr>
          </w:p>
        </w:tc>
        <w:tc>
          <w:tcPr>
            <w:tcW w:w="1080" w:type="dxa"/>
            <w:tcBorders>
              <w:bottom w:val="single" w:sz="4" w:space="0" w:color="auto"/>
            </w:tcBorders>
            <w:vAlign w:val="center"/>
          </w:tcPr>
          <w:p w14:paraId="5A20C5CB" w14:textId="77777777" w:rsidR="0038142F" w:rsidRPr="0038142F" w:rsidRDefault="0038142F" w:rsidP="0038142F">
            <w:pPr>
              <w:jc w:val="center"/>
              <w:rPr>
                <w:rFonts w:eastAsia="Times New Roman"/>
                <w:b/>
                <w:sz w:val="20"/>
                <w:szCs w:val="20"/>
              </w:rPr>
            </w:pPr>
            <w:r w:rsidRPr="0038142F">
              <w:rPr>
                <w:rFonts w:eastAsia="Times New Roman"/>
                <w:b/>
                <w:sz w:val="20"/>
                <w:szCs w:val="20"/>
              </w:rPr>
              <w:t>2014</w:t>
            </w:r>
          </w:p>
        </w:tc>
        <w:tc>
          <w:tcPr>
            <w:tcW w:w="1080" w:type="dxa"/>
            <w:tcBorders>
              <w:bottom w:val="single" w:sz="4" w:space="0" w:color="auto"/>
            </w:tcBorders>
            <w:vAlign w:val="center"/>
          </w:tcPr>
          <w:p w14:paraId="3650DCE1" w14:textId="77777777" w:rsidR="0038142F" w:rsidRPr="0038142F" w:rsidRDefault="0038142F" w:rsidP="0038142F">
            <w:pPr>
              <w:jc w:val="center"/>
              <w:rPr>
                <w:rFonts w:eastAsia="Times New Roman"/>
                <w:b/>
                <w:sz w:val="20"/>
                <w:szCs w:val="20"/>
              </w:rPr>
            </w:pPr>
            <w:r w:rsidRPr="0038142F">
              <w:rPr>
                <w:rFonts w:eastAsia="Times New Roman"/>
                <w:b/>
                <w:sz w:val="20"/>
                <w:szCs w:val="20"/>
              </w:rPr>
              <w:t>2015</w:t>
            </w:r>
            <w:r w:rsidRPr="0038142F">
              <w:rPr>
                <w:rFonts w:eastAsia="Times New Roman"/>
                <w:b/>
                <w:sz w:val="20"/>
                <w:szCs w:val="20"/>
                <w:u w:val="single"/>
                <w:vertAlign w:val="superscript"/>
              </w:rPr>
              <w:t>p</w:t>
            </w:r>
            <w:r w:rsidRPr="0038142F">
              <w:rPr>
                <w:rFonts w:eastAsia="Times New Roman"/>
                <w:b/>
                <w:sz w:val="20"/>
                <w:szCs w:val="20"/>
                <w:vertAlign w:val="superscript"/>
              </w:rPr>
              <w:t>/</w:t>
            </w:r>
          </w:p>
        </w:tc>
        <w:tc>
          <w:tcPr>
            <w:tcW w:w="1105" w:type="dxa"/>
            <w:vMerge/>
            <w:tcBorders>
              <w:bottom w:val="single" w:sz="4" w:space="0" w:color="auto"/>
            </w:tcBorders>
          </w:tcPr>
          <w:p w14:paraId="57367F4D" w14:textId="77777777" w:rsidR="0038142F" w:rsidRPr="0038142F" w:rsidRDefault="0038142F" w:rsidP="0038142F">
            <w:pPr>
              <w:jc w:val="center"/>
              <w:rPr>
                <w:rFonts w:eastAsia="Times New Roman"/>
                <w:b/>
                <w:sz w:val="20"/>
                <w:szCs w:val="20"/>
              </w:rPr>
            </w:pPr>
          </w:p>
        </w:tc>
      </w:tr>
      <w:tr w:rsidR="0038142F" w:rsidRPr="0038142F" w14:paraId="32EECF41" w14:textId="77777777" w:rsidTr="0024224F">
        <w:trPr>
          <w:jc w:val="center"/>
        </w:trPr>
        <w:tc>
          <w:tcPr>
            <w:tcW w:w="4573" w:type="dxa"/>
            <w:tcBorders>
              <w:bottom w:val="nil"/>
            </w:tcBorders>
          </w:tcPr>
          <w:p w14:paraId="0812ED91" w14:textId="77777777" w:rsidR="0038142F" w:rsidRPr="0038142F" w:rsidRDefault="0038142F" w:rsidP="0038142F">
            <w:pPr>
              <w:jc w:val="both"/>
              <w:rPr>
                <w:rFonts w:eastAsia="Times New Roman"/>
                <w:b/>
                <w:sz w:val="20"/>
                <w:szCs w:val="20"/>
              </w:rPr>
            </w:pPr>
            <w:r w:rsidRPr="0038142F">
              <w:rPr>
                <w:rFonts w:eastAsia="Times New Roman"/>
                <w:b/>
                <w:sz w:val="20"/>
                <w:szCs w:val="20"/>
              </w:rPr>
              <w:t>Indicador de Confianza Empresarial del Comercio</w:t>
            </w:r>
          </w:p>
        </w:tc>
        <w:tc>
          <w:tcPr>
            <w:tcW w:w="1080" w:type="dxa"/>
            <w:tcBorders>
              <w:bottom w:val="nil"/>
            </w:tcBorders>
          </w:tcPr>
          <w:p w14:paraId="59308427" w14:textId="77777777" w:rsidR="0038142F" w:rsidRPr="0038142F" w:rsidRDefault="0038142F" w:rsidP="0038142F">
            <w:pPr>
              <w:jc w:val="center"/>
              <w:rPr>
                <w:rFonts w:eastAsia="Times New Roman"/>
                <w:b/>
                <w:sz w:val="20"/>
                <w:szCs w:val="20"/>
              </w:rPr>
            </w:pPr>
            <w:r w:rsidRPr="0038142F">
              <w:rPr>
                <w:rFonts w:eastAsia="Times New Roman"/>
                <w:b/>
                <w:sz w:val="20"/>
                <w:szCs w:val="20"/>
              </w:rPr>
              <w:t>53.7</w:t>
            </w:r>
          </w:p>
        </w:tc>
        <w:tc>
          <w:tcPr>
            <w:tcW w:w="1080" w:type="dxa"/>
            <w:tcBorders>
              <w:bottom w:val="nil"/>
            </w:tcBorders>
          </w:tcPr>
          <w:p w14:paraId="354ABA04" w14:textId="77777777" w:rsidR="0038142F" w:rsidRPr="0038142F" w:rsidRDefault="0038142F" w:rsidP="0038142F">
            <w:pPr>
              <w:jc w:val="center"/>
              <w:rPr>
                <w:rFonts w:eastAsia="Times New Roman"/>
                <w:b/>
                <w:sz w:val="20"/>
                <w:szCs w:val="20"/>
              </w:rPr>
            </w:pPr>
            <w:r w:rsidRPr="0038142F">
              <w:rPr>
                <w:rFonts w:eastAsia="Times New Roman"/>
                <w:b/>
                <w:sz w:val="20"/>
                <w:szCs w:val="20"/>
              </w:rPr>
              <w:t>48.6</w:t>
            </w:r>
          </w:p>
        </w:tc>
        <w:tc>
          <w:tcPr>
            <w:tcW w:w="1105" w:type="dxa"/>
            <w:tcBorders>
              <w:bottom w:val="nil"/>
            </w:tcBorders>
          </w:tcPr>
          <w:p w14:paraId="0ECEE9DF" w14:textId="77777777" w:rsidR="0038142F" w:rsidRPr="0038142F" w:rsidRDefault="0038142F" w:rsidP="0038142F">
            <w:pPr>
              <w:ind w:right="340"/>
              <w:jc w:val="right"/>
              <w:rPr>
                <w:rFonts w:eastAsia="Times New Roman"/>
                <w:b/>
                <w:sz w:val="20"/>
                <w:szCs w:val="20"/>
              </w:rPr>
            </w:pPr>
            <w:r w:rsidRPr="0038142F">
              <w:rPr>
                <w:rFonts w:eastAsia="Times New Roman"/>
                <w:b/>
                <w:sz w:val="20"/>
                <w:szCs w:val="20"/>
              </w:rPr>
              <w:t>-5.1</w:t>
            </w:r>
          </w:p>
        </w:tc>
      </w:tr>
      <w:tr w:rsidR="0038142F" w:rsidRPr="0038142F" w14:paraId="5EA3C409" w14:textId="77777777" w:rsidTr="0024224F">
        <w:trPr>
          <w:jc w:val="center"/>
        </w:trPr>
        <w:tc>
          <w:tcPr>
            <w:tcW w:w="4573" w:type="dxa"/>
            <w:tcBorders>
              <w:top w:val="nil"/>
              <w:bottom w:val="nil"/>
            </w:tcBorders>
          </w:tcPr>
          <w:p w14:paraId="0E91AFC8" w14:textId="77777777" w:rsidR="0038142F" w:rsidRPr="0038142F" w:rsidRDefault="0038142F" w:rsidP="0038142F">
            <w:pPr>
              <w:ind w:left="113" w:right="159"/>
              <w:jc w:val="both"/>
              <w:rPr>
                <w:rFonts w:eastAsia="Times New Roman"/>
                <w:sz w:val="20"/>
                <w:szCs w:val="20"/>
              </w:rPr>
            </w:pPr>
            <w:r w:rsidRPr="0038142F">
              <w:rPr>
                <w:rFonts w:eastAsia="Times New Roman"/>
                <w:sz w:val="20"/>
                <w:szCs w:val="20"/>
              </w:rPr>
              <w:t>a) Momento adecuado para invertir</w:t>
            </w:r>
          </w:p>
        </w:tc>
        <w:tc>
          <w:tcPr>
            <w:tcW w:w="1080" w:type="dxa"/>
            <w:tcBorders>
              <w:top w:val="nil"/>
              <w:bottom w:val="nil"/>
            </w:tcBorders>
          </w:tcPr>
          <w:p w14:paraId="061143DB" w14:textId="77777777" w:rsidR="0038142F" w:rsidRPr="0038142F" w:rsidRDefault="0038142F" w:rsidP="0038142F">
            <w:pPr>
              <w:jc w:val="center"/>
              <w:rPr>
                <w:rFonts w:eastAsia="Times New Roman"/>
                <w:sz w:val="20"/>
                <w:szCs w:val="20"/>
              </w:rPr>
            </w:pPr>
            <w:r w:rsidRPr="0038142F">
              <w:rPr>
                <w:rFonts w:eastAsia="Times New Roman"/>
                <w:sz w:val="20"/>
                <w:szCs w:val="20"/>
              </w:rPr>
              <w:t>35.7</w:t>
            </w:r>
          </w:p>
        </w:tc>
        <w:tc>
          <w:tcPr>
            <w:tcW w:w="1080" w:type="dxa"/>
            <w:tcBorders>
              <w:top w:val="nil"/>
              <w:bottom w:val="nil"/>
            </w:tcBorders>
          </w:tcPr>
          <w:p w14:paraId="5F64E4E0" w14:textId="77777777" w:rsidR="0038142F" w:rsidRPr="0038142F" w:rsidRDefault="0038142F" w:rsidP="0038142F">
            <w:pPr>
              <w:jc w:val="center"/>
              <w:rPr>
                <w:rFonts w:eastAsia="Times New Roman"/>
                <w:sz w:val="20"/>
                <w:szCs w:val="20"/>
              </w:rPr>
            </w:pPr>
            <w:r w:rsidRPr="0038142F">
              <w:rPr>
                <w:rFonts w:eastAsia="Times New Roman"/>
                <w:sz w:val="20"/>
                <w:szCs w:val="20"/>
              </w:rPr>
              <w:t>27.2</w:t>
            </w:r>
          </w:p>
        </w:tc>
        <w:tc>
          <w:tcPr>
            <w:tcW w:w="1105" w:type="dxa"/>
            <w:tcBorders>
              <w:top w:val="nil"/>
              <w:bottom w:val="nil"/>
            </w:tcBorders>
          </w:tcPr>
          <w:p w14:paraId="3CAD47AE" w14:textId="77777777" w:rsidR="0038142F" w:rsidRPr="0038142F" w:rsidRDefault="0038142F" w:rsidP="0038142F">
            <w:pPr>
              <w:ind w:right="340"/>
              <w:jc w:val="right"/>
              <w:rPr>
                <w:rFonts w:eastAsia="Times New Roman"/>
                <w:sz w:val="20"/>
                <w:szCs w:val="20"/>
              </w:rPr>
            </w:pPr>
            <w:r w:rsidRPr="0038142F">
              <w:rPr>
                <w:rFonts w:eastAsia="Times New Roman"/>
                <w:sz w:val="20"/>
                <w:szCs w:val="20"/>
              </w:rPr>
              <w:t>-8.5</w:t>
            </w:r>
          </w:p>
        </w:tc>
      </w:tr>
      <w:tr w:rsidR="0038142F" w:rsidRPr="0038142F" w14:paraId="5BD6CD12" w14:textId="77777777" w:rsidTr="0024224F">
        <w:trPr>
          <w:jc w:val="center"/>
        </w:trPr>
        <w:tc>
          <w:tcPr>
            <w:tcW w:w="4573" w:type="dxa"/>
            <w:tcBorders>
              <w:top w:val="nil"/>
              <w:bottom w:val="nil"/>
            </w:tcBorders>
          </w:tcPr>
          <w:p w14:paraId="4BA487B4" w14:textId="77777777" w:rsidR="0038142F" w:rsidRPr="0038142F" w:rsidRDefault="0038142F" w:rsidP="0038142F">
            <w:pPr>
              <w:ind w:left="113" w:right="159"/>
              <w:jc w:val="both"/>
              <w:rPr>
                <w:rFonts w:eastAsia="Times New Roman"/>
                <w:sz w:val="20"/>
                <w:szCs w:val="20"/>
              </w:rPr>
            </w:pPr>
            <w:r w:rsidRPr="0038142F">
              <w:rPr>
                <w:rFonts w:eastAsia="Times New Roman"/>
                <w:sz w:val="20"/>
                <w:szCs w:val="20"/>
              </w:rPr>
              <w:t>b) Situación económica presente del país</w:t>
            </w:r>
          </w:p>
        </w:tc>
        <w:tc>
          <w:tcPr>
            <w:tcW w:w="1080" w:type="dxa"/>
            <w:tcBorders>
              <w:top w:val="nil"/>
              <w:bottom w:val="nil"/>
            </w:tcBorders>
          </w:tcPr>
          <w:p w14:paraId="01F6D697" w14:textId="77777777" w:rsidR="0038142F" w:rsidRPr="0038142F" w:rsidRDefault="0038142F" w:rsidP="0038142F">
            <w:pPr>
              <w:jc w:val="center"/>
              <w:rPr>
                <w:rFonts w:eastAsia="Times New Roman"/>
                <w:sz w:val="20"/>
                <w:szCs w:val="20"/>
              </w:rPr>
            </w:pPr>
            <w:r w:rsidRPr="0038142F">
              <w:rPr>
                <w:rFonts w:eastAsia="Times New Roman"/>
                <w:sz w:val="20"/>
                <w:szCs w:val="20"/>
              </w:rPr>
              <w:t>45.2</w:t>
            </w:r>
          </w:p>
        </w:tc>
        <w:tc>
          <w:tcPr>
            <w:tcW w:w="1080" w:type="dxa"/>
            <w:tcBorders>
              <w:top w:val="nil"/>
              <w:bottom w:val="nil"/>
            </w:tcBorders>
          </w:tcPr>
          <w:p w14:paraId="75931C4B" w14:textId="77777777" w:rsidR="0038142F" w:rsidRPr="0038142F" w:rsidRDefault="0038142F" w:rsidP="0038142F">
            <w:pPr>
              <w:jc w:val="center"/>
              <w:rPr>
                <w:rFonts w:eastAsia="Times New Roman"/>
                <w:sz w:val="20"/>
                <w:szCs w:val="20"/>
              </w:rPr>
            </w:pPr>
            <w:r w:rsidRPr="0038142F">
              <w:rPr>
                <w:rFonts w:eastAsia="Times New Roman"/>
                <w:sz w:val="20"/>
                <w:szCs w:val="20"/>
              </w:rPr>
              <w:t>38.1</w:t>
            </w:r>
          </w:p>
        </w:tc>
        <w:tc>
          <w:tcPr>
            <w:tcW w:w="1105" w:type="dxa"/>
            <w:tcBorders>
              <w:top w:val="nil"/>
              <w:bottom w:val="nil"/>
            </w:tcBorders>
          </w:tcPr>
          <w:p w14:paraId="27B1675B" w14:textId="77777777" w:rsidR="0038142F" w:rsidRPr="0038142F" w:rsidRDefault="0038142F" w:rsidP="0038142F">
            <w:pPr>
              <w:ind w:right="340"/>
              <w:jc w:val="right"/>
              <w:rPr>
                <w:rFonts w:eastAsia="Times New Roman"/>
                <w:sz w:val="20"/>
                <w:szCs w:val="20"/>
              </w:rPr>
            </w:pPr>
            <w:r w:rsidRPr="0038142F">
              <w:rPr>
                <w:rFonts w:eastAsia="Times New Roman"/>
                <w:sz w:val="20"/>
                <w:szCs w:val="20"/>
              </w:rPr>
              <w:t>-7.2</w:t>
            </w:r>
          </w:p>
        </w:tc>
      </w:tr>
      <w:tr w:rsidR="0038142F" w:rsidRPr="0038142F" w14:paraId="7AEFFC6D" w14:textId="77777777" w:rsidTr="0024224F">
        <w:trPr>
          <w:jc w:val="center"/>
        </w:trPr>
        <w:tc>
          <w:tcPr>
            <w:tcW w:w="4573" w:type="dxa"/>
            <w:tcBorders>
              <w:top w:val="nil"/>
              <w:bottom w:val="nil"/>
            </w:tcBorders>
          </w:tcPr>
          <w:p w14:paraId="5A862286" w14:textId="77777777" w:rsidR="0038142F" w:rsidRPr="0038142F" w:rsidRDefault="0038142F" w:rsidP="0038142F">
            <w:pPr>
              <w:ind w:left="113" w:right="159"/>
              <w:jc w:val="both"/>
              <w:rPr>
                <w:rFonts w:eastAsia="Times New Roman"/>
                <w:sz w:val="20"/>
                <w:szCs w:val="20"/>
              </w:rPr>
            </w:pPr>
            <w:r w:rsidRPr="0038142F">
              <w:rPr>
                <w:rFonts w:eastAsia="Times New Roman"/>
                <w:sz w:val="20"/>
                <w:szCs w:val="20"/>
              </w:rPr>
              <w:t>c) Situación económica futura del país</w:t>
            </w:r>
          </w:p>
        </w:tc>
        <w:tc>
          <w:tcPr>
            <w:tcW w:w="1080" w:type="dxa"/>
            <w:tcBorders>
              <w:top w:val="nil"/>
              <w:bottom w:val="nil"/>
            </w:tcBorders>
          </w:tcPr>
          <w:p w14:paraId="66E7599A" w14:textId="77777777" w:rsidR="0038142F" w:rsidRPr="0038142F" w:rsidRDefault="0038142F" w:rsidP="0038142F">
            <w:pPr>
              <w:jc w:val="center"/>
              <w:rPr>
                <w:rFonts w:eastAsia="Times New Roman"/>
                <w:sz w:val="20"/>
                <w:szCs w:val="20"/>
              </w:rPr>
            </w:pPr>
            <w:r w:rsidRPr="0038142F">
              <w:rPr>
                <w:rFonts w:eastAsia="Times New Roman"/>
                <w:sz w:val="20"/>
                <w:szCs w:val="20"/>
              </w:rPr>
              <w:t>63.4</w:t>
            </w:r>
          </w:p>
        </w:tc>
        <w:tc>
          <w:tcPr>
            <w:tcW w:w="1080" w:type="dxa"/>
            <w:tcBorders>
              <w:top w:val="nil"/>
              <w:bottom w:val="nil"/>
            </w:tcBorders>
          </w:tcPr>
          <w:p w14:paraId="54654A80" w14:textId="77777777" w:rsidR="0038142F" w:rsidRPr="0038142F" w:rsidRDefault="0038142F" w:rsidP="0038142F">
            <w:pPr>
              <w:jc w:val="center"/>
              <w:rPr>
                <w:rFonts w:eastAsia="Times New Roman"/>
                <w:sz w:val="20"/>
                <w:szCs w:val="20"/>
              </w:rPr>
            </w:pPr>
            <w:r w:rsidRPr="0038142F">
              <w:rPr>
                <w:rFonts w:eastAsia="Times New Roman"/>
                <w:sz w:val="20"/>
                <w:szCs w:val="20"/>
              </w:rPr>
              <w:t>58.6</w:t>
            </w:r>
          </w:p>
        </w:tc>
        <w:tc>
          <w:tcPr>
            <w:tcW w:w="1105" w:type="dxa"/>
            <w:tcBorders>
              <w:top w:val="nil"/>
              <w:bottom w:val="nil"/>
            </w:tcBorders>
          </w:tcPr>
          <w:p w14:paraId="4CE7FD5F" w14:textId="77777777" w:rsidR="0038142F" w:rsidRPr="0038142F" w:rsidRDefault="0038142F" w:rsidP="0038142F">
            <w:pPr>
              <w:ind w:right="340"/>
              <w:jc w:val="right"/>
              <w:rPr>
                <w:rFonts w:eastAsia="Times New Roman"/>
                <w:sz w:val="20"/>
                <w:szCs w:val="20"/>
              </w:rPr>
            </w:pPr>
            <w:r w:rsidRPr="0038142F">
              <w:rPr>
                <w:rFonts w:eastAsia="Times New Roman"/>
                <w:sz w:val="20"/>
                <w:szCs w:val="20"/>
              </w:rPr>
              <w:t>-4.8</w:t>
            </w:r>
          </w:p>
        </w:tc>
      </w:tr>
      <w:tr w:rsidR="0038142F" w:rsidRPr="0038142F" w14:paraId="51F59240" w14:textId="77777777" w:rsidTr="0024224F">
        <w:trPr>
          <w:jc w:val="center"/>
        </w:trPr>
        <w:tc>
          <w:tcPr>
            <w:tcW w:w="4573" w:type="dxa"/>
            <w:tcBorders>
              <w:top w:val="nil"/>
              <w:bottom w:val="nil"/>
            </w:tcBorders>
          </w:tcPr>
          <w:p w14:paraId="63B3D669" w14:textId="77777777" w:rsidR="0038142F" w:rsidRPr="0038142F" w:rsidRDefault="0038142F" w:rsidP="0038142F">
            <w:pPr>
              <w:ind w:left="113" w:right="159"/>
              <w:jc w:val="both"/>
              <w:rPr>
                <w:rFonts w:eastAsia="Times New Roman"/>
                <w:sz w:val="20"/>
                <w:szCs w:val="20"/>
              </w:rPr>
            </w:pPr>
            <w:r w:rsidRPr="0038142F">
              <w:rPr>
                <w:rFonts w:eastAsia="Times New Roman"/>
                <w:sz w:val="20"/>
                <w:szCs w:val="20"/>
              </w:rPr>
              <w:t>d) Situación económica presente de la empresa</w:t>
            </w:r>
          </w:p>
        </w:tc>
        <w:tc>
          <w:tcPr>
            <w:tcW w:w="1080" w:type="dxa"/>
            <w:tcBorders>
              <w:top w:val="nil"/>
              <w:bottom w:val="nil"/>
            </w:tcBorders>
          </w:tcPr>
          <w:p w14:paraId="05355AE2" w14:textId="77777777" w:rsidR="0038142F" w:rsidRPr="0038142F" w:rsidRDefault="0038142F" w:rsidP="0038142F">
            <w:pPr>
              <w:jc w:val="center"/>
              <w:rPr>
                <w:rFonts w:eastAsia="Times New Roman"/>
                <w:sz w:val="20"/>
                <w:szCs w:val="20"/>
              </w:rPr>
            </w:pPr>
            <w:r w:rsidRPr="0038142F">
              <w:rPr>
                <w:rFonts w:eastAsia="Times New Roman"/>
                <w:sz w:val="20"/>
                <w:szCs w:val="20"/>
              </w:rPr>
              <w:t>55.8</w:t>
            </w:r>
          </w:p>
        </w:tc>
        <w:tc>
          <w:tcPr>
            <w:tcW w:w="1080" w:type="dxa"/>
            <w:tcBorders>
              <w:top w:val="nil"/>
              <w:bottom w:val="nil"/>
            </w:tcBorders>
          </w:tcPr>
          <w:p w14:paraId="6AEC3052" w14:textId="77777777" w:rsidR="0038142F" w:rsidRPr="0038142F" w:rsidRDefault="0038142F" w:rsidP="0038142F">
            <w:pPr>
              <w:jc w:val="center"/>
              <w:rPr>
                <w:rFonts w:eastAsia="Times New Roman"/>
                <w:sz w:val="20"/>
                <w:szCs w:val="20"/>
              </w:rPr>
            </w:pPr>
            <w:r w:rsidRPr="0038142F">
              <w:rPr>
                <w:rFonts w:eastAsia="Times New Roman"/>
                <w:sz w:val="20"/>
                <w:szCs w:val="20"/>
              </w:rPr>
              <w:t>53.2</w:t>
            </w:r>
          </w:p>
        </w:tc>
        <w:tc>
          <w:tcPr>
            <w:tcW w:w="1105" w:type="dxa"/>
            <w:tcBorders>
              <w:top w:val="nil"/>
              <w:bottom w:val="nil"/>
            </w:tcBorders>
          </w:tcPr>
          <w:p w14:paraId="020697AE" w14:textId="77777777" w:rsidR="0038142F" w:rsidRPr="0038142F" w:rsidRDefault="0038142F" w:rsidP="0038142F">
            <w:pPr>
              <w:ind w:right="340"/>
              <w:jc w:val="right"/>
              <w:rPr>
                <w:rFonts w:eastAsia="Times New Roman"/>
                <w:sz w:val="20"/>
                <w:szCs w:val="20"/>
              </w:rPr>
            </w:pPr>
            <w:r w:rsidRPr="0038142F">
              <w:rPr>
                <w:rFonts w:eastAsia="Times New Roman"/>
                <w:sz w:val="20"/>
                <w:szCs w:val="20"/>
              </w:rPr>
              <w:t>-2.5</w:t>
            </w:r>
          </w:p>
        </w:tc>
      </w:tr>
      <w:tr w:rsidR="0038142F" w:rsidRPr="0038142F" w14:paraId="685A3C76" w14:textId="77777777" w:rsidTr="0024224F">
        <w:trPr>
          <w:jc w:val="center"/>
        </w:trPr>
        <w:tc>
          <w:tcPr>
            <w:tcW w:w="4573" w:type="dxa"/>
            <w:tcBorders>
              <w:top w:val="nil"/>
              <w:bottom w:val="single" w:sz="4" w:space="0" w:color="auto"/>
            </w:tcBorders>
          </w:tcPr>
          <w:p w14:paraId="54F88940" w14:textId="77777777" w:rsidR="0038142F" w:rsidRPr="0038142F" w:rsidRDefault="0038142F" w:rsidP="0038142F">
            <w:pPr>
              <w:ind w:left="113" w:right="159"/>
              <w:jc w:val="both"/>
              <w:rPr>
                <w:rFonts w:eastAsia="Times New Roman"/>
                <w:sz w:val="20"/>
                <w:szCs w:val="20"/>
              </w:rPr>
            </w:pPr>
            <w:r w:rsidRPr="0038142F">
              <w:rPr>
                <w:rFonts w:eastAsia="Times New Roman"/>
                <w:sz w:val="20"/>
                <w:szCs w:val="20"/>
              </w:rPr>
              <w:t>e) Situación económica futura de la empresa</w:t>
            </w:r>
          </w:p>
        </w:tc>
        <w:tc>
          <w:tcPr>
            <w:tcW w:w="1080" w:type="dxa"/>
            <w:tcBorders>
              <w:top w:val="nil"/>
              <w:bottom w:val="single" w:sz="4" w:space="0" w:color="auto"/>
            </w:tcBorders>
          </w:tcPr>
          <w:p w14:paraId="5DB65196" w14:textId="77777777" w:rsidR="0038142F" w:rsidRPr="0038142F" w:rsidRDefault="0038142F" w:rsidP="0038142F">
            <w:pPr>
              <w:jc w:val="center"/>
              <w:rPr>
                <w:rFonts w:eastAsia="Times New Roman"/>
                <w:sz w:val="20"/>
                <w:szCs w:val="20"/>
              </w:rPr>
            </w:pPr>
            <w:r w:rsidRPr="0038142F">
              <w:rPr>
                <w:rFonts w:eastAsia="Times New Roman"/>
                <w:sz w:val="20"/>
                <w:szCs w:val="20"/>
              </w:rPr>
              <w:t>68.6</w:t>
            </w:r>
          </w:p>
        </w:tc>
        <w:tc>
          <w:tcPr>
            <w:tcW w:w="1080" w:type="dxa"/>
            <w:tcBorders>
              <w:top w:val="nil"/>
              <w:bottom w:val="single" w:sz="4" w:space="0" w:color="auto"/>
            </w:tcBorders>
          </w:tcPr>
          <w:p w14:paraId="3664D291" w14:textId="77777777" w:rsidR="0038142F" w:rsidRPr="0038142F" w:rsidRDefault="0038142F" w:rsidP="0038142F">
            <w:pPr>
              <w:jc w:val="center"/>
              <w:rPr>
                <w:rFonts w:eastAsia="Times New Roman"/>
                <w:sz w:val="20"/>
                <w:szCs w:val="20"/>
              </w:rPr>
            </w:pPr>
            <w:r w:rsidRPr="0038142F">
              <w:rPr>
                <w:rFonts w:eastAsia="Times New Roman"/>
                <w:sz w:val="20"/>
                <w:szCs w:val="20"/>
              </w:rPr>
              <w:t>66.1</w:t>
            </w:r>
          </w:p>
        </w:tc>
        <w:tc>
          <w:tcPr>
            <w:tcW w:w="1105" w:type="dxa"/>
            <w:tcBorders>
              <w:top w:val="nil"/>
              <w:bottom w:val="single" w:sz="4" w:space="0" w:color="auto"/>
            </w:tcBorders>
          </w:tcPr>
          <w:p w14:paraId="54EECDCE" w14:textId="77777777" w:rsidR="0038142F" w:rsidRPr="0038142F" w:rsidRDefault="0038142F" w:rsidP="0038142F">
            <w:pPr>
              <w:ind w:right="340"/>
              <w:jc w:val="right"/>
              <w:rPr>
                <w:rFonts w:eastAsia="Times New Roman"/>
                <w:sz w:val="20"/>
                <w:szCs w:val="20"/>
              </w:rPr>
            </w:pPr>
            <w:r w:rsidRPr="0038142F">
              <w:rPr>
                <w:rFonts w:eastAsia="Times New Roman"/>
                <w:sz w:val="20"/>
                <w:szCs w:val="20"/>
              </w:rPr>
              <w:t>-2.5</w:t>
            </w:r>
          </w:p>
        </w:tc>
      </w:tr>
      <w:tr w:rsidR="0038142F" w:rsidRPr="0038142F" w14:paraId="1F72A0B2" w14:textId="77777777" w:rsidTr="0024224F">
        <w:trPr>
          <w:jc w:val="center"/>
        </w:trPr>
        <w:tc>
          <w:tcPr>
            <w:tcW w:w="7838" w:type="dxa"/>
            <w:gridSpan w:val="4"/>
            <w:tcBorders>
              <w:left w:val="nil"/>
              <w:bottom w:val="nil"/>
              <w:right w:val="nil"/>
            </w:tcBorders>
          </w:tcPr>
          <w:p w14:paraId="68CE78E5" w14:textId="77777777" w:rsidR="0038142F" w:rsidRPr="0038142F" w:rsidRDefault="0038142F" w:rsidP="0038142F">
            <w:pPr>
              <w:jc w:val="both"/>
              <w:rPr>
                <w:rFonts w:eastAsia="Times New Roman"/>
                <w:sz w:val="20"/>
                <w:szCs w:val="20"/>
              </w:rPr>
            </w:pPr>
            <w:r w:rsidRPr="0038142F">
              <w:rPr>
                <w:rFonts w:eastAsia="Times New Roman"/>
                <w:sz w:val="20"/>
                <w:szCs w:val="20"/>
              </w:rPr>
              <w:t>Nota: Los indicadores se generan con los datos referidos al mes de la entrevista.</w:t>
            </w:r>
          </w:p>
          <w:p w14:paraId="5400D6F6" w14:textId="77777777" w:rsidR="0038142F" w:rsidRPr="0038142F" w:rsidRDefault="0038142F" w:rsidP="0038142F">
            <w:pPr>
              <w:ind w:left="227" w:hanging="227"/>
              <w:jc w:val="both"/>
              <w:rPr>
                <w:rFonts w:eastAsia="Times New Roman"/>
                <w:sz w:val="20"/>
                <w:szCs w:val="20"/>
              </w:rPr>
            </w:pPr>
            <w:r w:rsidRPr="0038142F">
              <w:rPr>
                <w:rFonts w:eastAsia="Times New Roman"/>
                <w:sz w:val="20"/>
                <w:szCs w:val="20"/>
                <w:u w:val="single"/>
              </w:rPr>
              <w:t>1</w:t>
            </w:r>
            <w:r w:rsidRPr="0038142F">
              <w:rPr>
                <w:rFonts w:eastAsia="Times New Roman"/>
                <w:sz w:val="20"/>
                <w:szCs w:val="20"/>
              </w:rPr>
              <w:t>/ Las diferencias en puntos se obtienen de los respectivos indicadores considerando todos sus decimales.</w:t>
            </w:r>
          </w:p>
          <w:p w14:paraId="3F43792E" w14:textId="77777777" w:rsidR="0038142F" w:rsidRPr="0038142F" w:rsidRDefault="0038142F" w:rsidP="0038142F">
            <w:pPr>
              <w:jc w:val="both"/>
              <w:rPr>
                <w:rFonts w:eastAsia="Times New Roman"/>
                <w:sz w:val="20"/>
                <w:szCs w:val="20"/>
              </w:rPr>
            </w:pPr>
            <w:r w:rsidRPr="0038142F">
              <w:rPr>
                <w:rFonts w:eastAsia="Times New Roman"/>
                <w:sz w:val="20"/>
                <w:szCs w:val="20"/>
                <w:u w:val="single"/>
              </w:rPr>
              <w:t>p</w:t>
            </w:r>
            <w:r w:rsidRPr="0038142F">
              <w:rPr>
                <w:rFonts w:eastAsia="Times New Roman"/>
                <w:sz w:val="20"/>
                <w:szCs w:val="20"/>
              </w:rPr>
              <w:t>/ Dato preliminar.</w:t>
            </w:r>
          </w:p>
          <w:p w14:paraId="1A8C9D13" w14:textId="77777777" w:rsidR="0038142F" w:rsidRPr="0038142F" w:rsidRDefault="0038142F" w:rsidP="0038142F">
            <w:pPr>
              <w:jc w:val="both"/>
              <w:rPr>
                <w:rFonts w:eastAsia="Times New Roman"/>
                <w:sz w:val="18"/>
                <w:szCs w:val="18"/>
              </w:rPr>
            </w:pPr>
            <w:r w:rsidRPr="0038142F">
              <w:rPr>
                <w:rFonts w:eastAsia="Times New Roman"/>
                <w:sz w:val="20"/>
                <w:szCs w:val="20"/>
              </w:rPr>
              <w:t>FUENTE: INEGI.</w:t>
            </w:r>
          </w:p>
        </w:tc>
      </w:tr>
    </w:tbl>
    <w:p w14:paraId="0B8B8863" w14:textId="77777777" w:rsidR="0038142F" w:rsidRPr="0038142F" w:rsidRDefault="0038142F" w:rsidP="0038142F">
      <w:pPr>
        <w:spacing w:after="360" w:line="360" w:lineRule="auto"/>
        <w:ind w:right="159"/>
        <w:jc w:val="both"/>
        <w:rPr>
          <w:rFonts w:eastAsia="Calibri"/>
          <w:sz w:val="26"/>
          <w:szCs w:val="26"/>
          <w:lang w:eastAsia="en-US"/>
        </w:rPr>
      </w:pPr>
    </w:p>
    <w:p w14:paraId="02FBE887" w14:textId="77777777" w:rsidR="0038142F" w:rsidRPr="0038142F" w:rsidRDefault="0038142F" w:rsidP="0038142F">
      <w:pPr>
        <w:spacing w:after="360" w:line="360" w:lineRule="auto"/>
        <w:ind w:right="159"/>
        <w:jc w:val="both"/>
        <w:rPr>
          <w:rFonts w:eastAsia="Calibri"/>
          <w:sz w:val="26"/>
          <w:szCs w:val="26"/>
          <w:lang w:eastAsia="en-US"/>
        </w:rPr>
      </w:pPr>
      <w:r w:rsidRPr="0038142F">
        <w:rPr>
          <w:rFonts w:eastAsia="Calibri"/>
          <w:sz w:val="26"/>
          <w:szCs w:val="26"/>
          <w:lang w:eastAsia="en-US"/>
        </w:rPr>
        <w:t>A continuación se presenta la gráfica comparativa de los Indicadores de Confianza en los tres sectores de actividad.</w:t>
      </w:r>
    </w:p>
    <w:p w14:paraId="15143D1E" w14:textId="7B7D409A" w:rsidR="0038142F" w:rsidRPr="0038142F" w:rsidRDefault="00B547E3" w:rsidP="00B547E3">
      <w:pPr>
        <w:spacing w:after="360" w:line="360" w:lineRule="auto"/>
        <w:ind w:right="159"/>
        <w:jc w:val="center"/>
        <w:rPr>
          <w:rFonts w:eastAsia="Calibri"/>
          <w:sz w:val="26"/>
          <w:szCs w:val="26"/>
          <w:lang w:eastAsia="en-US"/>
        </w:rPr>
      </w:pPr>
      <w:r w:rsidRPr="00B547E3">
        <w:rPr>
          <w:rFonts w:ascii="Calibri" w:eastAsia="Calibri" w:hAnsi="Calibri"/>
          <w:sz w:val="22"/>
          <w:szCs w:val="22"/>
          <w:lang w:eastAsia="en-US"/>
        </w:rPr>
        <w:lastRenderedPageBreak/>
        <w:fldChar w:fldCharType="begin"/>
      </w:r>
      <w:r w:rsidRPr="00B547E3">
        <w:rPr>
          <w:rFonts w:ascii="Calibri" w:eastAsia="Calibri" w:hAnsi="Calibri"/>
          <w:sz w:val="22"/>
          <w:szCs w:val="22"/>
          <w:lang w:eastAsia="en-US"/>
        </w:rPr>
        <w:instrText xml:space="preserve"> LINK PowerPoint.Slide.8 "D:\\2015\\MARZO 2014\\GRÁFICAS EN POWER POINT\\17.- GRÁFICAS DEL IND DE CONFIANZA EMPRESARIAL.pptx!262" "" \a \p </w:instrText>
      </w:r>
      <w:r w:rsidRPr="00B547E3">
        <w:rPr>
          <w:rFonts w:ascii="Calibri" w:eastAsia="Calibri" w:hAnsi="Calibri"/>
          <w:sz w:val="22"/>
          <w:szCs w:val="22"/>
          <w:lang w:eastAsia="en-US"/>
        </w:rPr>
        <w:fldChar w:fldCharType="separate"/>
      </w:r>
      <w:r w:rsidRPr="00B547E3">
        <w:rPr>
          <w:rFonts w:ascii="Calibri" w:eastAsia="Calibri" w:hAnsi="Calibri"/>
          <w:noProof/>
          <w:sz w:val="22"/>
          <w:szCs w:val="22"/>
          <w:lang w:eastAsia="es-MX"/>
        </w:rPr>
        <w:drawing>
          <wp:inline distT="0" distB="0" distL="0" distR="0" wp14:anchorId="37A25DEF" wp14:editId="083F3267">
            <wp:extent cx="4769485" cy="3293110"/>
            <wp:effectExtent l="0" t="0" r="0" b="2540"/>
            <wp:docPr id="1487" name="Imagen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4"/>
                    <pic:cNvPicPr>
                      <a:picLocks noChangeAspect="1" noChangeArrowheads="1"/>
                    </pic:cNvPicPr>
                  </pic:nvPicPr>
                  <pic:blipFill>
                    <a:blip r:embed="rId166" cstate="print">
                      <a:extLst>
                        <a:ext uri="{28A0092B-C50C-407E-A947-70E740481C1C}">
                          <a14:useLocalDpi xmlns:a14="http://schemas.microsoft.com/office/drawing/2010/main" val="0"/>
                        </a:ext>
                      </a:extLst>
                    </a:blip>
                    <a:srcRect l="10066" r="11485" b="3783"/>
                    <a:stretch>
                      <a:fillRect/>
                    </a:stretch>
                  </pic:blipFill>
                  <pic:spPr bwMode="auto">
                    <a:xfrm>
                      <a:off x="0" y="0"/>
                      <a:ext cx="4769485" cy="3293110"/>
                    </a:xfrm>
                    <a:prstGeom prst="rect">
                      <a:avLst/>
                    </a:prstGeom>
                    <a:noFill/>
                    <a:ln>
                      <a:noFill/>
                    </a:ln>
                  </pic:spPr>
                </pic:pic>
              </a:graphicData>
            </a:graphic>
          </wp:inline>
        </w:drawing>
      </w:r>
      <w:r w:rsidRPr="00B547E3">
        <w:rPr>
          <w:rFonts w:ascii="Calibri" w:eastAsia="Calibri" w:hAnsi="Calibri"/>
          <w:sz w:val="22"/>
          <w:szCs w:val="22"/>
          <w:lang w:eastAsia="en-US"/>
        </w:rPr>
        <w:fldChar w:fldCharType="end"/>
      </w:r>
    </w:p>
    <w:p w14:paraId="4479529C" w14:textId="77777777" w:rsidR="0038142F" w:rsidRPr="0038142F" w:rsidRDefault="0038142F" w:rsidP="0038142F">
      <w:pPr>
        <w:ind w:right="159"/>
        <w:jc w:val="both"/>
        <w:rPr>
          <w:rFonts w:eastAsia="Calibri"/>
          <w:b/>
          <w:sz w:val="20"/>
          <w:szCs w:val="20"/>
          <w:lang w:eastAsia="en-US"/>
        </w:rPr>
      </w:pPr>
      <w:r w:rsidRPr="0038142F">
        <w:rPr>
          <w:rFonts w:eastAsia="Calibri"/>
          <w:b/>
          <w:sz w:val="20"/>
          <w:szCs w:val="20"/>
          <w:lang w:eastAsia="en-US"/>
        </w:rPr>
        <w:t>Fuente de información:</w:t>
      </w:r>
    </w:p>
    <w:p w14:paraId="7D6309AD" w14:textId="77777777" w:rsidR="0038142F" w:rsidRPr="00660E71" w:rsidRDefault="0093224F" w:rsidP="0038142F">
      <w:pPr>
        <w:rPr>
          <w:color w:val="0000FF"/>
          <w:sz w:val="20"/>
          <w:szCs w:val="20"/>
        </w:rPr>
      </w:pPr>
      <w:hyperlink r:id="rId167" w:history="1">
        <w:r w:rsidR="0038142F" w:rsidRPr="00660E71">
          <w:rPr>
            <w:color w:val="0000FF"/>
            <w:sz w:val="20"/>
            <w:szCs w:val="20"/>
            <w:u w:val="single"/>
          </w:rPr>
          <w:t>http://www.inegi.org.mx/saladeprensa/boletines/2015/ice/ice2015_03.pdf</w:t>
        </w:r>
      </w:hyperlink>
      <w:r w:rsidR="0038142F" w:rsidRPr="00660E71">
        <w:rPr>
          <w:color w:val="0000FF"/>
          <w:sz w:val="20"/>
          <w:szCs w:val="20"/>
        </w:rPr>
        <w:t xml:space="preserve"> </w:t>
      </w:r>
    </w:p>
    <w:p w14:paraId="6521F414" w14:textId="77777777" w:rsidR="00903378" w:rsidRDefault="00903378" w:rsidP="000E51AB">
      <w:pPr>
        <w:spacing w:after="360" w:line="360" w:lineRule="auto"/>
        <w:ind w:right="-159"/>
        <w:jc w:val="both"/>
        <w:rPr>
          <w:rFonts w:eastAsia="Times New Roman"/>
          <w:sz w:val="26"/>
          <w:szCs w:val="26"/>
        </w:rPr>
      </w:pPr>
    </w:p>
    <w:p w14:paraId="737255FF" w14:textId="77777777" w:rsidR="00814220" w:rsidRDefault="00814220" w:rsidP="000E51AB">
      <w:pPr>
        <w:spacing w:after="360" w:line="360" w:lineRule="auto"/>
        <w:ind w:right="-159"/>
        <w:jc w:val="both"/>
        <w:rPr>
          <w:rFonts w:eastAsia="Times New Roman"/>
          <w:sz w:val="26"/>
          <w:szCs w:val="26"/>
        </w:rPr>
      </w:pPr>
    </w:p>
    <w:p w14:paraId="045A0CD4" w14:textId="77777777" w:rsidR="00814220" w:rsidRDefault="00814220" w:rsidP="000E51AB">
      <w:pPr>
        <w:spacing w:after="360" w:line="360" w:lineRule="auto"/>
        <w:ind w:right="-159"/>
        <w:jc w:val="both"/>
        <w:rPr>
          <w:rFonts w:eastAsia="Times New Roman"/>
          <w:sz w:val="26"/>
          <w:szCs w:val="26"/>
        </w:rPr>
      </w:pPr>
    </w:p>
    <w:p w14:paraId="0DAAD7CB" w14:textId="77777777" w:rsidR="00814220" w:rsidRDefault="00814220" w:rsidP="000E51AB">
      <w:pPr>
        <w:spacing w:after="360" w:line="360" w:lineRule="auto"/>
        <w:ind w:right="-159"/>
        <w:jc w:val="both"/>
        <w:rPr>
          <w:rFonts w:eastAsia="Times New Roman"/>
          <w:sz w:val="26"/>
          <w:szCs w:val="26"/>
        </w:rPr>
      </w:pPr>
    </w:p>
    <w:p w14:paraId="6E2531C1" w14:textId="77777777" w:rsidR="00814220" w:rsidRDefault="00814220" w:rsidP="000E51AB">
      <w:pPr>
        <w:spacing w:after="360" w:line="360" w:lineRule="auto"/>
        <w:ind w:right="-159"/>
        <w:jc w:val="both"/>
        <w:rPr>
          <w:rFonts w:eastAsia="Times New Roman"/>
          <w:sz w:val="26"/>
          <w:szCs w:val="26"/>
        </w:rPr>
      </w:pPr>
    </w:p>
    <w:p w14:paraId="23F29CFF" w14:textId="77777777" w:rsidR="00814220" w:rsidRDefault="00814220" w:rsidP="000E51AB">
      <w:pPr>
        <w:spacing w:after="360" w:line="360" w:lineRule="auto"/>
        <w:ind w:right="-159"/>
        <w:jc w:val="both"/>
        <w:rPr>
          <w:rFonts w:eastAsia="Times New Roman"/>
          <w:sz w:val="26"/>
          <w:szCs w:val="26"/>
        </w:rPr>
      </w:pPr>
    </w:p>
    <w:p w14:paraId="2D7D9B0F" w14:textId="77777777" w:rsidR="00814220" w:rsidRDefault="00814220" w:rsidP="000E51AB">
      <w:pPr>
        <w:spacing w:after="360" w:line="360" w:lineRule="auto"/>
        <w:ind w:right="-159"/>
        <w:jc w:val="both"/>
        <w:rPr>
          <w:rFonts w:eastAsia="Times New Roman"/>
          <w:sz w:val="26"/>
          <w:szCs w:val="26"/>
        </w:rPr>
      </w:pPr>
    </w:p>
    <w:p w14:paraId="46B25FAC" w14:textId="77777777" w:rsidR="00814220" w:rsidRDefault="00814220" w:rsidP="000E51AB">
      <w:pPr>
        <w:spacing w:after="360" w:line="360" w:lineRule="auto"/>
        <w:ind w:right="-159"/>
        <w:jc w:val="both"/>
        <w:rPr>
          <w:rFonts w:eastAsia="Times New Roman"/>
          <w:sz w:val="26"/>
          <w:szCs w:val="26"/>
        </w:rPr>
      </w:pPr>
    </w:p>
    <w:p w14:paraId="440D1F6D" w14:textId="77777777" w:rsidR="00814220" w:rsidRDefault="00814220" w:rsidP="000E51AB">
      <w:pPr>
        <w:spacing w:after="360" w:line="360" w:lineRule="auto"/>
        <w:ind w:right="-159"/>
        <w:jc w:val="both"/>
        <w:rPr>
          <w:rFonts w:eastAsia="Times New Roman"/>
          <w:sz w:val="26"/>
          <w:szCs w:val="26"/>
        </w:rPr>
      </w:pPr>
    </w:p>
    <w:p w14:paraId="7C31970A" w14:textId="77777777" w:rsidR="002F11AD" w:rsidRPr="002F11AD" w:rsidRDefault="002F11AD" w:rsidP="002F11AD">
      <w:pPr>
        <w:spacing w:after="360" w:line="360" w:lineRule="auto"/>
        <w:ind w:right="-159"/>
        <w:jc w:val="both"/>
        <w:rPr>
          <w:rFonts w:eastAsia="Times New Roman"/>
          <w:b/>
          <w:sz w:val="26"/>
          <w:szCs w:val="26"/>
          <w:lang w:val="es-ES"/>
        </w:rPr>
      </w:pPr>
      <w:r w:rsidRPr="002F11AD">
        <w:rPr>
          <w:rFonts w:eastAsia="Times New Roman"/>
          <w:b/>
          <w:sz w:val="26"/>
          <w:szCs w:val="26"/>
          <w:lang w:val="es-ES"/>
        </w:rPr>
        <w:lastRenderedPageBreak/>
        <w:t>Indicador de Pedidos Manufactureros durante febrero de 2015 (INEGI)</w:t>
      </w:r>
    </w:p>
    <w:p w14:paraId="157C548B" w14:textId="0B370064" w:rsidR="002F11AD" w:rsidRDefault="002F11AD" w:rsidP="002F11AD">
      <w:pPr>
        <w:spacing w:after="360" w:line="360" w:lineRule="auto"/>
        <w:ind w:right="-159"/>
        <w:jc w:val="both"/>
        <w:rPr>
          <w:rFonts w:eastAsia="Times New Roman"/>
          <w:sz w:val="26"/>
          <w:szCs w:val="26"/>
        </w:rPr>
      </w:pPr>
      <w:r w:rsidRPr="002F11AD">
        <w:rPr>
          <w:rFonts w:eastAsia="Times New Roman"/>
          <w:sz w:val="26"/>
          <w:szCs w:val="26"/>
        </w:rPr>
        <w:t xml:space="preserve">El 5 de marzo de 2015, el Instituto Nacional de Estadística y Geografía (INEGI) y el Banco de México (Banxico) dieron a conocer el </w:t>
      </w:r>
      <w:r w:rsidR="0024224F">
        <w:rPr>
          <w:rFonts w:eastAsia="Times New Roman"/>
          <w:sz w:val="26"/>
          <w:szCs w:val="26"/>
        </w:rPr>
        <w:t>“</w:t>
      </w:r>
      <w:r w:rsidRPr="002F11AD">
        <w:rPr>
          <w:rFonts w:eastAsia="Times New Roman"/>
          <w:sz w:val="26"/>
          <w:szCs w:val="26"/>
        </w:rPr>
        <w:t>Indicador de Pedidos Manufactureros (IPM)</w:t>
      </w:r>
      <w:r w:rsidR="0024224F">
        <w:rPr>
          <w:rFonts w:eastAsia="Times New Roman"/>
          <w:sz w:val="26"/>
          <w:szCs w:val="26"/>
        </w:rPr>
        <w:t>”</w:t>
      </w:r>
      <w:r w:rsidRPr="002F11AD">
        <w:rPr>
          <w:rFonts w:eastAsia="Times New Roman"/>
          <w:sz w:val="26"/>
          <w:szCs w:val="26"/>
        </w:rPr>
        <w:t xml:space="preserve"> del segundo mes de 2015. Dicho indicador se elabora considerando las expectativas de los directivos empresariales del sector referido que capta la Encuesta Mensual de Opinión Empresarial (EMOE) para las siguientes variables: Pedidos, Producción, Personal Ocupado, Oportunidad de la Entrega de Insumos por parte de los Proveedores e Inventarios de Insumos.</w:t>
      </w:r>
    </w:p>
    <w:p w14:paraId="5DC4205A" w14:textId="77777777" w:rsidR="002F11AD" w:rsidRPr="002F11AD" w:rsidRDefault="002F11AD" w:rsidP="002F11AD">
      <w:pPr>
        <w:spacing w:after="360" w:line="360" w:lineRule="auto"/>
        <w:ind w:right="-159"/>
        <w:jc w:val="both"/>
        <w:rPr>
          <w:rFonts w:eastAsia="Times New Roman"/>
          <w:b/>
          <w:sz w:val="26"/>
          <w:szCs w:val="26"/>
        </w:rPr>
      </w:pPr>
      <w:r w:rsidRPr="002F11AD">
        <w:rPr>
          <w:rFonts w:eastAsia="Times New Roman"/>
          <w:b/>
          <w:sz w:val="26"/>
          <w:szCs w:val="26"/>
        </w:rPr>
        <w:t>Indicador de Pedidos Manufactureros por componentes</w:t>
      </w:r>
    </w:p>
    <w:p w14:paraId="4819FDF4" w14:textId="672E476B" w:rsidR="002F11AD" w:rsidRPr="002F11AD" w:rsidRDefault="002F11AD" w:rsidP="002F11AD">
      <w:pPr>
        <w:spacing w:after="360" w:line="360" w:lineRule="auto"/>
        <w:ind w:right="-159"/>
        <w:jc w:val="both"/>
        <w:rPr>
          <w:rFonts w:eastAsia="Times New Roman"/>
          <w:sz w:val="26"/>
          <w:szCs w:val="26"/>
        </w:rPr>
      </w:pPr>
      <w:r w:rsidRPr="002F11AD">
        <w:rPr>
          <w:rFonts w:eastAsia="Times New Roman"/>
          <w:sz w:val="26"/>
          <w:szCs w:val="26"/>
        </w:rPr>
        <w:t>En febrero de 2015, el IPM reportó una reducción mensual desestacionalizada de      0.36 puntos, al situarse en 52.8 puntos. Con este resultado, dicho indicador acumula       66 meses consecutivos coloc</w:t>
      </w:r>
      <w:r w:rsidR="002F48E0">
        <w:rPr>
          <w:rFonts w:eastAsia="Times New Roman"/>
          <w:sz w:val="26"/>
          <w:szCs w:val="26"/>
        </w:rPr>
        <w:t>á</w:t>
      </w:r>
      <w:r w:rsidRPr="002F11AD">
        <w:rPr>
          <w:rFonts w:eastAsia="Times New Roman"/>
          <w:sz w:val="26"/>
          <w:szCs w:val="26"/>
        </w:rPr>
        <w:t>ndose por encima del umbral de 50 puntos.</w:t>
      </w:r>
    </w:p>
    <w:p w14:paraId="28304AA4" w14:textId="3F1F92C3" w:rsidR="002F11AD" w:rsidRPr="002F11AD" w:rsidRDefault="002E427B" w:rsidP="002F11AD">
      <w:pPr>
        <w:spacing w:after="360" w:line="360" w:lineRule="auto"/>
        <w:ind w:right="-159"/>
        <w:jc w:val="center"/>
        <w:rPr>
          <w:rFonts w:eastAsia="Times New Roman"/>
          <w:sz w:val="26"/>
          <w:szCs w:val="26"/>
        </w:rPr>
      </w:pPr>
      <w:r w:rsidRPr="002E427B">
        <w:rPr>
          <w:rFonts w:ascii="Calibri" w:eastAsia="Calibri" w:hAnsi="Calibri"/>
          <w:sz w:val="22"/>
          <w:szCs w:val="22"/>
          <w:lang w:eastAsia="en-US"/>
        </w:rPr>
        <w:fldChar w:fldCharType="begin"/>
      </w:r>
      <w:r w:rsidRPr="002E427B">
        <w:rPr>
          <w:rFonts w:ascii="Calibri" w:eastAsia="Calibri" w:hAnsi="Calibri"/>
          <w:sz w:val="22"/>
          <w:szCs w:val="22"/>
          <w:lang w:eastAsia="en-US"/>
        </w:rPr>
        <w:instrText xml:space="preserve"> LINK PowerPoint.Slide.8 "D:\\2015\\MARZO 2014\\GRÁFICAS EN POWER POINT\\15.- GRÁFICAS DEL INDICADOR DE PEDIDOS MANUFACTUREROS.pptx!262" "" \a \p </w:instrText>
      </w:r>
      <w:r w:rsidRPr="002E427B">
        <w:rPr>
          <w:rFonts w:ascii="Calibri" w:eastAsia="Calibri" w:hAnsi="Calibri"/>
          <w:sz w:val="22"/>
          <w:szCs w:val="22"/>
          <w:lang w:eastAsia="en-US"/>
        </w:rPr>
        <w:fldChar w:fldCharType="separate"/>
      </w:r>
      <w:r w:rsidRPr="002E427B">
        <w:rPr>
          <w:rFonts w:ascii="Calibri" w:eastAsia="Calibri" w:hAnsi="Calibri"/>
          <w:noProof/>
          <w:sz w:val="22"/>
          <w:szCs w:val="22"/>
          <w:lang w:eastAsia="es-MX"/>
        </w:rPr>
        <w:drawing>
          <wp:inline distT="0" distB="0" distL="0" distR="0" wp14:anchorId="0B0344D7" wp14:editId="5843E11A">
            <wp:extent cx="4392930" cy="3021330"/>
            <wp:effectExtent l="0" t="0" r="7620" b="7620"/>
            <wp:docPr id="1488" name="Imagen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6"/>
                    <pic:cNvPicPr>
                      <a:picLocks noChangeAspect="1" noChangeArrowheads="1"/>
                    </pic:cNvPicPr>
                  </pic:nvPicPr>
                  <pic:blipFill>
                    <a:blip r:embed="rId168" cstate="print">
                      <a:extLst>
                        <a:ext uri="{28A0092B-C50C-407E-A947-70E740481C1C}">
                          <a14:useLocalDpi xmlns:a14="http://schemas.microsoft.com/office/drawing/2010/main" val="0"/>
                        </a:ext>
                      </a:extLst>
                    </a:blip>
                    <a:srcRect l="14241" t="5833" r="13928" b="5278"/>
                    <a:stretch>
                      <a:fillRect/>
                    </a:stretch>
                  </pic:blipFill>
                  <pic:spPr bwMode="auto">
                    <a:xfrm>
                      <a:off x="0" y="0"/>
                      <a:ext cx="4392930" cy="3021330"/>
                    </a:xfrm>
                    <a:prstGeom prst="rect">
                      <a:avLst/>
                    </a:prstGeom>
                    <a:noFill/>
                    <a:ln>
                      <a:noFill/>
                    </a:ln>
                  </pic:spPr>
                </pic:pic>
              </a:graphicData>
            </a:graphic>
          </wp:inline>
        </w:drawing>
      </w:r>
      <w:r w:rsidRPr="002E427B">
        <w:rPr>
          <w:rFonts w:ascii="Calibri" w:eastAsia="Calibri" w:hAnsi="Calibri"/>
          <w:sz w:val="22"/>
          <w:szCs w:val="22"/>
          <w:lang w:eastAsia="en-US"/>
        </w:rPr>
        <w:fldChar w:fldCharType="end"/>
      </w:r>
    </w:p>
    <w:p w14:paraId="5FAC369D" w14:textId="7576B19A" w:rsidR="002F11AD" w:rsidRDefault="002F11AD" w:rsidP="002F11AD">
      <w:pPr>
        <w:spacing w:after="360" w:line="360" w:lineRule="auto"/>
        <w:ind w:right="-159"/>
        <w:jc w:val="both"/>
        <w:rPr>
          <w:rFonts w:eastAsia="Times New Roman"/>
          <w:sz w:val="26"/>
          <w:szCs w:val="26"/>
        </w:rPr>
      </w:pPr>
      <w:r w:rsidRPr="002F11AD">
        <w:rPr>
          <w:rFonts w:eastAsia="Times New Roman"/>
          <w:sz w:val="26"/>
          <w:szCs w:val="26"/>
        </w:rPr>
        <w:t>En términos desestacionalizados, en febrero del año en curso</w:t>
      </w:r>
      <w:r w:rsidR="002F48E0">
        <w:rPr>
          <w:rFonts w:eastAsia="Times New Roman"/>
          <w:sz w:val="26"/>
          <w:szCs w:val="26"/>
        </w:rPr>
        <w:t>,</w:t>
      </w:r>
      <w:r w:rsidRPr="002F11AD">
        <w:rPr>
          <w:rFonts w:eastAsia="Times New Roman"/>
          <w:sz w:val="26"/>
          <w:szCs w:val="26"/>
        </w:rPr>
        <w:t xml:space="preserve"> el componente del IPM referido al volumen esperado de pedidos registró una caída mensual de 0.49 puntos, el </w:t>
      </w:r>
      <w:r w:rsidRPr="002F11AD">
        <w:rPr>
          <w:rFonts w:eastAsia="Times New Roman"/>
          <w:sz w:val="26"/>
          <w:szCs w:val="26"/>
        </w:rPr>
        <w:lastRenderedPageBreak/>
        <w:t>del volumen esperado de la producción avanzó 0.17 puntos, el del nivel esperado del personal ocupado disminuyó 0.69 puntos, el de la oportunidad en la entrega de insumos por parte de los proveedores se redujo 0.64 puntos y el de inventarios de insumos creció 0.58 puntos.</w:t>
      </w:r>
    </w:p>
    <w:tbl>
      <w:tblPr>
        <w:tblW w:w="9214" w:type="dxa"/>
        <w:tblLayout w:type="fixed"/>
        <w:tblLook w:val="04A0" w:firstRow="1" w:lastRow="0" w:firstColumn="1" w:lastColumn="0" w:noHBand="0" w:noVBand="1"/>
      </w:tblPr>
      <w:tblGrid>
        <w:gridCol w:w="4077"/>
        <w:gridCol w:w="1276"/>
        <w:gridCol w:w="1168"/>
        <w:gridCol w:w="1194"/>
        <w:gridCol w:w="1499"/>
      </w:tblGrid>
      <w:tr w:rsidR="002F11AD" w:rsidRPr="002F11AD" w14:paraId="081BADBA" w14:textId="77777777" w:rsidTr="0024224F">
        <w:tc>
          <w:tcPr>
            <w:tcW w:w="9214" w:type="dxa"/>
            <w:gridSpan w:val="5"/>
            <w:tcBorders>
              <w:top w:val="nil"/>
              <w:left w:val="nil"/>
              <w:bottom w:val="single" w:sz="4" w:space="0" w:color="auto"/>
              <w:right w:val="nil"/>
            </w:tcBorders>
          </w:tcPr>
          <w:p w14:paraId="6CB81859" w14:textId="77777777" w:rsidR="002F11AD" w:rsidRPr="002F11AD" w:rsidRDefault="002F11AD" w:rsidP="002F11AD">
            <w:pPr>
              <w:jc w:val="center"/>
              <w:rPr>
                <w:rFonts w:eastAsia="Times New Roman"/>
                <w:b/>
                <w:noProof/>
                <w:sz w:val="22"/>
                <w:szCs w:val="22"/>
                <w:lang w:eastAsia="es-MX"/>
              </w:rPr>
            </w:pPr>
            <w:r w:rsidRPr="002F11AD">
              <w:rPr>
                <w:rFonts w:eastAsia="Times New Roman"/>
                <w:b/>
                <w:noProof/>
                <w:sz w:val="22"/>
                <w:szCs w:val="22"/>
                <w:lang w:eastAsia="es-MX"/>
              </w:rPr>
              <w:t xml:space="preserve">INDICADOR DE PEDIDOS MANUFACTUREROS Y SUS COMPONENTES </w:t>
            </w:r>
          </w:p>
          <w:p w14:paraId="6D8AFD13" w14:textId="77777777" w:rsidR="002F11AD" w:rsidRPr="002F11AD" w:rsidRDefault="002F11AD" w:rsidP="002F11AD">
            <w:pPr>
              <w:jc w:val="center"/>
              <w:rPr>
                <w:rFonts w:eastAsia="Times New Roman"/>
                <w:b/>
                <w:noProof/>
                <w:sz w:val="22"/>
                <w:szCs w:val="22"/>
                <w:lang w:eastAsia="es-MX"/>
              </w:rPr>
            </w:pPr>
            <w:r w:rsidRPr="002F11AD">
              <w:rPr>
                <w:rFonts w:eastAsia="Times New Roman"/>
                <w:b/>
                <w:noProof/>
                <w:sz w:val="22"/>
                <w:szCs w:val="22"/>
                <w:lang w:eastAsia="es-MX"/>
              </w:rPr>
              <w:t>CIFRAS DESESTACIONALIZADAS</w:t>
            </w:r>
          </w:p>
        </w:tc>
      </w:tr>
      <w:tr w:rsidR="002F11AD" w:rsidRPr="002F11AD" w14:paraId="62A005C6" w14:textId="77777777" w:rsidTr="0024224F">
        <w:tc>
          <w:tcPr>
            <w:tcW w:w="4077" w:type="dxa"/>
            <w:tcBorders>
              <w:top w:val="single" w:sz="4" w:space="0" w:color="auto"/>
              <w:left w:val="single" w:sz="4" w:space="0" w:color="auto"/>
              <w:bottom w:val="single" w:sz="4" w:space="0" w:color="auto"/>
              <w:right w:val="single" w:sz="4" w:space="0" w:color="auto"/>
            </w:tcBorders>
            <w:vAlign w:val="center"/>
          </w:tcPr>
          <w:p w14:paraId="28E47ABC" w14:textId="77777777" w:rsidR="002F11AD" w:rsidRPr="002F11AD" w:rsidRDefault="002F11AD" w:rsidP="002F11AD">
            <w:pPr>
              <w:jc w:val="center"/>
              <w:rPr>
                <w:rFonts w:eastAsia="Times New Roman"/>
                <w:b/>
                <w:noProof/>
                <w:sz w:val="20"/>
                <w:szCs w:val="20"/>
                <w:lang w:eastAsia="es-MX"/>
              </w:rPr>
            </w:pPr>
            <w:r w:rsidRPr="002F11AD">
              <w:rPr>
                <w:rFonts w:eastAsia="Times New Roman"/>
                <w:b/>
                <w:noProof/>
                <w:sz w:val="20"/>
                <w:szCs w:val="20"/>
                <w:lang w:eastAsia="es-MX"/>
              </w:rPr>
              <w:t>Indicadores</w:t>
            </w:r>
          </w:p>
        </w:tc>
        <w:tc>
          <w:tcPr>
            <w:tcW w:w="1276" w:type="dxa"/>
            <w:tcBorders>
              <w:top w:val="single" w:sz="4" w:space="0" w:color="auto"/>
              <w:left w:val="single" w:sz="4" w:space="0" w:color="auto"/>
              <w:bottom w:val="single" w:sz="4" w:space="0" w:color="auto"/>
              <w:right w:val="single" w:sz="4" w:space="0" w:color="auto"/>
            </w:tcBorders>
            <w:vAlign w:val="center"/>
          </w:tcPr>
          <w:p w14:paraId="604540AF" w14:textId="77777777" w:rsidR="002F11AD" w:rsidRPr="002F11AD" w:rsidRDefault="002F11AD" w:rsidP="002F11AD">
            <w:pPr>
              <w:jc w:val="center"/>
              <w:rPr>
                <w:rFonts w:eastAsia="Times New Roman"/>
                <w:b/>
                <w:noProof/>
                <w:sz w:val="20"/>
                <w:szCs w:val="20"/>
                <w:lang w:eastAsia="es-MX"/>
              </w:rPr>
            </w:pPr>
            <w:r w:rsidRPr="002F11AD">
              <w:rPr>
                <w:rFonts w:eastAsia="Times New Roman"/>
                <w:b/>
                <w:noProof/>
                <w:sz w:val="20"/>
                <w:szCs w:val="20"/>
                <w:lang w:eastAsia="es-MX"/>
              </w:rPr>
              <w:t>Enero de 2015</w:t>
            </w:r>
          </w:p>
        </w:tc>
        <w:tc>
          <w:tcPr>
            <w:tcW w:w="1168" w:type="dxa"/>
            <w:tcBorders>
              <w:top w:val="single" w:sz="4" w:space="0" w:color="auto"/>
              <w:left w:val="single" w:sz="4" w:space="0" w:color="auto"/>
              <w:bottom w:val="single" w:sz="4" w:space="0" w:color="auto"/>
              <w:right w:val="single" w:sz="4" w:space="0" w:color="auto"/>
            </w:tcBorders>
            <w:vAlign w:val="center"/>
          </w:tcPr>
          <w:p w14:paraId="5BCF50DD" w14:textId="77777777" w:rsidR="002F11AD" w:rsidRPr="002F11AD" w:rsidRDefault="002F11AD" w:rsidP="002F11AD">
            <w:pPr>
              <w:jc w:val="center"/>
              <w:rPr>
                <w:rFonts w:eastAsia="Times New Roman"/>
                <w:b/>
                <w:noProof/>
                <w:sz w:val="20"/>
                <w:szCs w:val="20"/>
                <w:lang w:eastAsia="es-MX"/>
              </w:rPr>
            </w:pPr>
            <w:r w:rsidRPr="002F11AD">
              <w:rPr>
                <w:rFonts w:eastAsia="Times New Roman"/>
                <w:b/>
                <w:noProof/>
                <w:sz w:val="20"/>
                <w:szCs w:val="20"/>
                <w:lang w:eastAsia="es-MX"/>
              </w:rPr>
              <w:t>Febrero de 2015</w:t>
            </w:r>
          </w:p>
        </w:tc>
        <w:tc>
          <w:tcPr>
            <w:tcW w:w="1194" w:type="dxa"/>
            <w:tcBorders>
              <w:top w:val="single" w:sz="4" w:space="0" w:color="auto"/>
              <w:left w:val="single" w:sz="4" w:space="0" w:color="auto"/>
              <w:bottom w:val="single" w:sz="4" w:space="0" w:color="auto"/>
              <w:right w:val="single" w:sz="4" w:space="0" w:color="auto"/>
            </w:tcBorders>
            <w:vAlign w:val="center"/>
          </w:tcPr>
          <w:p w14:paraId="3B5E1F94" w14:textId="77777777" w:rsidR="002F11AD" w:rsidRPr="002F11AD" w:rsidRDefault="002F11AD" w:rsidP="002F11AD">
            <w:pPr>
              <w:jc w:val="center"/>
              <w:rPr>
                <w:rFonts w:eastAsia="Times New Roman"/>
                <w:b/>
                <w:noProof/>
                <w:sz w:val="20"/>
                <w:szCs w:val="20"/>
                <w:lang w:eastAsia="es-MX"/>
              </w:rPr>
            </w:pPr>
            <w:r w:rsidRPr="002F11AD">
              <w:rPr>
                <w:rFonts w:eastAsia="Times New Roman"/>
                <w:b/>
                <w:noProof/>
                <w:sz w:val="20"/>
                <w:szCs w:val="20"/>
                <w:lang w:eastAsia="es-MX"/>
              </w:rPr>
              <w:t>Diferencia en puntos</w:t>
            </w:r>
            <w:r w:rsidRPr="002F11AD">
              <w:rPr>
                <w:rFonts w:eastAsia="Times New Roman"/>
                <w:b/>
                <w:noProof/>
                <w:sz w:val="20"/>
                <w:szCs w:val="20"/>
                <w:u w:val="single"/>
                <w:vertAlign w:val="superscript"/>
                <w:lang w:eastAsia="es-MX"/>
              </w:rPr>
              <w:t>1</w:t>
            </w:r>
            <w:r w:rsidRPr="002F11AD">
              <w:rPr>
                <w:rFonts w:eastAsia="Times New Roman"/>
                <w:b/>
                <w:noProof/>
                <w:sz w:val="20"/>
                <w:szCs w:val="20"/>
                <w:vertAlign w:val="superscript"/>
                <w:lang w:eastAsia="es-MX"/>
              </w:rPr>
              <w:t>/</w:t>
            </w:r>
          </w:p>
        </w:tc>
        <w:tc>
          <w:tcPr>
            <w:tcW w:w="1499" w:type="dxa"/>
            <w:tcBorders>
              <w:top w:val="single" w:sz="4" w:space="0" w:color="auto"/>
              <w:left w:val="single" w:sz="4" w:space="0" w:color="auto"/>
              <w:bottom w:val="single" w:sz="4" w:space="0" w:color="auto"/>
              <w:right w:val="single" w:sz="4" w:space="0" w:color="auto"/>
            </w:tcBorders>
            <w:vAlign w:val="center"/>
          </w:tcPr>
          <w:p w14:paraId="24EE3CD2" w14:textId="77777777" w:rsidR="002F11AD" w:rsidRPr="002F11AD" w:rsidRDefault="002F11AD" w:rsidP="002F11AD">
            <w:pPr>
              <w:jc w:val="center"/>
              <w:rPr>
                <w:rFonts w:eastAsia="Times New Roman"/>
                <w:b/>
                <w:noProof/>
                <w:sz w:val="20"/>
                <w:szCs w:val="20"/>
                <w:lang w:eastAsia="es-MX"/>
              </w:rPr>
            </w:pPr>
            <w:r w:rsidRPr="002F11AD">
              <w:rPr>
                <w:rFonts w:eastAsia="Times New Roman"/>
                <w:b/>
                <w:noProof/>
                <w:sz w:val="20"/>
                <w:szCs w:val="20"/>
                <w:lang w:eastAsia="es-MX"/>
              </w:rPr>
              <w:t>Número de meses consecutivos por arriba o por debajo del umbral de 50 puntos</w:t>
            </w:r>
          </w:p>
        </w:tc>
      </w:tr>
      <w:tr w:rsidR="002F11AD" w:rsidRPr="002F11AD" w14:paraId="17BDD746" w14:textId="77777777" w:rsidTr="0024224F">
        <w:tc>
          <w:tcPr>
            <w:tcW w:w="4077" w:type="dxa"/>
            <w:tcBorders>
              <w:top w:val="single" w:sz="4" w:space="0" w:color="auto"/>
              <w:left w:val="single" w:sz="4" w:space="0" w:color="auto"/>
              <w:bottom w:val="nil"/>
              <w:right w:val="single" w:sz="4" w:space="0" w:color="auto"/>
            </w:tcBorders>
          </w:tcPr>
          <w:p w14:paraId="300A73B1" w14:textId="796E2E09" w:rsidR="002F11AD" w:rsidRPr="002F11AD" w:rsidRDefault="002F11AD" w:rsidP="007D2C1E">
            <w:pPr>
              <w:jc w:val="both"/>
              <w:rPr>
                <w:rFonts w:eastAsia="Times New Roman"/>
                <w:b/>
                <w:noProof/>
                <w:sz w:val="20"/>
                <w:szCs w:val="20"/>
                <w:lang w:eastAsia="es-MX"/>
              </w:rPr>
            </w:pPr>
            <w:r w:rsidRPr="002F11AD">
              <w:rPr>
                <w:rFonts w:eastAsia="Times New Roman"/>
                <w:b/>
                <w:noProof/>
                <w:sz w:val="20"/>
                <w:szCs w:val="20"/>
                <w:lang w:eastAsia="es-MX"/>
              </w:rPr>
              <w:t>Indicador de Pedidos Manufacture</w:t>
            </w:r>
            <w:r w:rsidR="007D2C1E">
              <w:rPr>
                <w:rFonts w:eastAsia="Times New Roman"/>
                <w:b/>
                <w:noProof/>
                <w:sz w:val="20"/>
                <w:szCs w:val="20"/>
                <w:lang w:eastAsia="es-MX"/>
              </w:rPr>
              <w:t>r</w:t>
            </w:r>
            <w:r w:rsidRPr="002F11AD">
              <w:rPr>
                <w:rFonts w:eastAsia="Times New Roman"/>
                <w:b/>
                <w:noProof/>
                <w:sz w:val="20"/>
                <w:szCs w:val="20"/>
                <w:lang w:eastAsia="es-MX"/>
              </w:rPr>
              <w:t>os</w:t>
            </w:r>
          </w:p>
        </w:tc>
        <w:tc>
          <w:tcPr>
            <w:tcW w:w="1276" w:type="dxa"/>
            <w:tcBorders>
              <w:top w:val="single" w:sz="4" w:space="0" w:color="auto"/>
              <w:left w:val="single" w:sz="4" w:space="0" w:color="auto"/>
              <w:bottom w:val="nil"/>
              <w:right w:val="single" w:sz="4" w:space="0" w:color="auto"/>
            </w:tcBorders>
          </w:tcPr>
          <w:p w14:paraId="1C052352" w14:textId="77777777" w:rsidR="002F11AD" w:rsidRPr="002F11AD" w:rsidRDefault="002F11AD" w:rsidP="002F11AD">
            <w:pPr>
              <w:jc w:val="center"/>
              <w:rPr>
                <w:rFonts w:eastAsia="Times New Roman"/>
                <w:b/>
                <w:noProof/>
                <w:sz w:val="20"/>
                <w:szCs w:val="20"/>
                <w:lang w:eastAsia="es-MX"/>
              </w:rPr>
            </w:pPr>
            <w:r w:rsidRPr="002F11AD">
              <w:rPr>
                <w:rFonts w:eastAsia="Times New Roman"/>
                <w:b/>
                <w:noProof/>
                <w:sz w:val="20"/>
                <w:szCs w:val="20"/>
                <w:lang w:eastAsia="es-MX"/>
              </w:rPr>
              <w:t>53.1</w:t>
            </w:r>
          </w:p>
        </w:tc>
        <w:tc>
          <w:tcPr>
            <w:tcW w:w="1168" w:type="dxa"/>
            <w:tcBorders>
              <w:top w:val="single" w:sz="4" w:space="0" w:color="auto"/>
              <w:left w:val="single" w:sz="4" w:space="0" w:color="auto"/>
              <w:bottom w:val="nil"/>
              <w:right w:val="single" w:sz="4" w:space="0" w:color="auto"/>
            </w:tcBorders>
          </w:tcPr>
          <w:p w14:paraId="0C28C859" w14:textId="77777777" w:rsidR="002F11AD" w:rsidRPr="002F11AD" w:rsidRDefault="002F11AD" w:rsidP="002F11AD">
            <w:pPr>
              <w:jc w:val="center"/>
              <w:rPr>
                <w:rFonts w:eastAsia="Times New Roman"/>
                <w:b/>
                <w:noProof/>
                <w:sz w:val="20"/>
                <w:szCs w:val="20"/>
                <w:lang w:eastAsia="es-MX"/>
              </w:rPr>
            </w:pPr>
            <w:r w:rsidRPr="002F11AD">
              <w:rPr>
                <w:rFonts w:eastAsia="Times New Roman"/>
                <w:b/>
                <w:noProof/>
                <w:sz w:val="20"/>
                <w:szCs w:val="20"/>
                <w:lang w:eastAsia="es-MX"/>
              </w:rPr>
              <w:t>52.8</w:t>
            </w:r>
          </w:p>
        </w:tc>
        <w:tc>
          <w:tcPr>
            <w:tcW w:w="1194" w:type="dxa"/>
            <w:tcBorders>
              <w:top w:val="single" w:sz="4" w:space="0" w:color="auto"/>
              <w:left w:val="single" w:sz="4" w:space="0" w:color="auto"/>
              <w:bottom w:val="nil"/>
              <w:right w:val="single" w:sz="4" w:space="0" w:color="auto"/>
            </w:tcBorders>
          </w:tcPr>
          <w:p w14:paraId="139AC3B8" w14:textId="77777777" w:rsidR="002F11AD" w:rsidRPr="002F11AD" w:rsidRDefault="002F11AD" w:rsidP="002F11AD">
            <w:pPr>
              <w:ind w:right="340"/>
              <w:jc w:val="right"/>
              <w:rPr>
                <w:rFonts w:eastAsia="Times New Roman"/>
                <w:b/>
                <w:noProof/>
                <w:sz w:val="20"/>
                <w:szCs w:val="20"/>
                <w:lang w:eastAsia="es-MX"/>
              </w:rPr>
            </w:pPr>
            <w:r w:rsidRPr="002F11AD">
              <w:rPr>
                <w:rFonts w:eastAsia="Times New Roman"/>
                <w:b/>
                <w:noProof/>
                <w:sz w:val="20"/>
                <w:szCs w:val="20"/>
                <w:lang w:eastAsia="es-MX"/>
              </w:rPr>
              <w:t>-0.36</w:t>
            </w:r>
          </w:p>
        </w:tc>
        <w:tc>
          <w:tcPr>
            <w:tcW w:w="1499" w:type="dxa"/>
            <w:tcBorders>
              <w:top w:val="single" w:sz="4" w:space="0" w:color="auto"/>
              <w:left w:val="single" w:sz="4" w:space="0" w:color="auto"/>
              <w:bottom w:val="nil"/>
              <w:right w:val="single" w:sz="4" w:space="0" w:color="auto"/>
            </w:tcBorders>
          </w:tcPr>
          <w:p w14:paraId="335324F7" w14:textId="77777777" w:rsidR="002F11AD" w:rsidRPr="002F11AD" w:rsidRDefault="002F11AD" w:rsidP="002F11AD">
            <w:pPr>
              <w:ind w:right="28"/>
              <w:jc w:val="center"/>
              <w:rPr>
                <w:rFonts w:eastAsia="Times New Roman"/>
                <w:b/>
                <w:noProof/>
                <w:sz w:val="20"/>
                <w:szCs w:val="20"/>
                <w:lang w:eastAsia="es-MX"/>
              </w:rPr>
            </w:pPr>
            <w:r w:rsidRPr="002F11AD">
              <w:rPr>
                <w:rFonts w:eastAsia="Times New Roman"/>
                <w:b/>
                <w:noProof/>
                <w:sz w:val="20"/>
                <w:szCs w:val="20"/>
                <w:lang w:eastAsia="es-MX"/>
              </w:rPr>
              <w:t>66 por arriba</w:t>
            </w:r>
          </w:p>
        </w:tc>
      </w:tr>
      <w:tr w:rsidR="002F11AD" w:rsidRPr="002F11AD" w14:paraId="690CC94A" w14:textId="77777777" w:rsidTr="0024224F">
        <w:tc>
          <w:tcPr>
            <w:tcW w:w="4077" w:type="dxa"/>
            <w:tcBorders>
              <w:top w:val="nil"/>
              <w:left w:val="single" w:sz="4" w:space="0" w:color="auto"/>
              <w:bottom w:val="nil"/>
              <w:right w:val="single" w:sz="4" w:space="0" w:color="auto"/>
            </w:tcBorders>
          </w:tcPr>
          <w:p w14:paraId="68F84D1A" w14:textId="77777777" w:rsidR="002F11AD" w:rsidRPr="002F11AD" w:rsidRDefault="002F11AD" w:rsidP="002F11AD">
            <w:pPr>
              <w:jc w:val="both"/>
              <w:rPr>
                <w:rFonts w:eastAsia="Times New Roman"/>
                <w:noProof/>
                <w:sz w:val="20"/>
                <w:szCs w:val="20"/>
                <w:lang w:eastAsia="es-MX"/>
              </w:rPr>
            </w:pPr>
            <w:r w:rsidRPr="002F11AD">
              <w:rPr>
                <w:rFonts w:eastAsia="Times New Roman"/>
                <w:noProof/>
                <w:sz w:val="20"/>
                <w:szCs w:val="20"/>
                <w:lang w:eastAsia="es-MX"/>
              </w:rPr>
              <w:t>a) Pedidos</w:t>
            </w:r>
          </w:p>
        </w:tc>
        <w:tc>
          <w:tcPr>
            <w:tcW w:w="1276" w:type="dxa"/>
            <w:tcBorders>
              <w:top w:val="nil"/>
              <w:left w:val="single" w:sz="4" w:space="0" w:color="auto"/>
              <w:bottom w:val="nil"/>
              <w:right w:val="single" w:sz="4" w:space="0" w:color="auto"/>
            </w:tcBorders>
          </w:tcPr>
          <w:p w14:paraId="18B2D2E3" w14:textId="77777777" w:rsidR="002F11AD" w:rsidRPr="002F11AD" w:rsidRDefault="002F11AD" w:rsidP="002F11AD">
            <w:pPr>
              <w:jc w:val="center"/>
              <w:rPr>
                <w:rFonts w:eastAsia="Times New Roman"/>
                <w:noProof/>
                <w:sz w:val="20"/>
                <w:szCs w:val="20"/>
                <w:lang w:eastAsia="es-MX"/>
              </w:rPr>
            </w:pPr>
            <w:r w:rsidRPr="002F11AD">
              <w:rPr>
                <w:rFonts w:eastAsia="Times New Roman"/>
                <w:noProof/>
                <w:sz w:val="20"/>
                <w:szCs w:val="20"/>
                <w:lang w:eastAsia="es-MX"/>
              </w:rPr>
              <w:t>54.6</w:t>
            </w:r>
          </w:p>
        </w:tc>
        <w:tc>
          <w:tcPr>
            <w:tcW w:w="1168" w:type="dxa"/>
            <w:tcBorders>
              <w:top w:val="nil"/>
              <w:left w:val="single" w:sz="4" w:space="0" w:color="auto"/>
              <w:bottom w:val="nil"/>
              <w:right w:val="single" w:sz="4" w:space="0" w:color="auto"/>
            </w:tcBorders>
          </w:tcPr>
          <w:p w14:paraId="1F510C48" w14:textId="77777777" w:rsidR="002F11AD" w:rsidRPr="002F11AD" w:rsidRDefault="002F11AD" w:rsidP="002F11AD">
            <w:pPr>
              <w:jc w:val="center"/>
              <w:rPr>
                <w:rFonts w:eastAsia="Times New Roman"/>
                <w:noProof/>
                <w:sz w:val="20"/>
                <w:szCs w:val="20"/>
                <w:lang w:eastAsia="es-MX"/>
              </w:rPr>
            </w:pPr>
            <w:r w:rsidRPr="002F11AD">
              <w:rPr>
                <w:rFonts w:eastAsia="Times New Roman"/>
                <w:noProof/>
                <w:sz w:val="20"/>
                <w:szCs w:val="20"/>
                <w:lang w:eastAsia="es-MX"/>
              </w:rPr>
              <w:t>54.1</w:t>
            </w:r>
          </w:p>
        </w:tc>
        <w:tc>
          <w:tcPr>
            <w:tcW w:w="1194" w:type="dxa"/>
            <w:tcBorders>
              <w:top w:val="nil"/>
              <w:left w:val="single" w:sz="4" w:space="0" w:color="auto"/>
              <w:bottom w:val="nil"/>
              <w:right w:val="single" w:sz="4" w:space="0" w:color="auto"/>
            </w:tcBorders>
          </w:tcPr>
          <w:p w14:paraId="0350FA61" w14:textId="77777777" w:rsidR="002F11AD" w:rsidRPr="002F11AD" w:rsidRDefault="002F11AD" w:rsidP="002F11AD">
            <w:pPr>
              <w:ind w:right="340"/>
              <w:jc w:val="right"/>
              <w:rPr>
                <w:rFonts w:eastAsia="Times New Roman"/>
                <w:noProof/>
                <w:sz w:val="20"/>
                <w:szCs w:val="20"/>
                <w:lang w:eastAsia="es-MX"/>
              </w:rPr>
            </w:pPr>
            <w:r w:rsidRPr="002F11AD">
              <w:rPr>
                <w:rFonts w:eastAsia="Times New Roman"/>
                <w:noProof/>
                <w:sz w:val="20"/>
                <w:szCs w:val="20"/>
                <w:lang w:eastAsia="es-MX"/>
              </w:rPr>
              <w:t>-0.49</w:t>
            </w:r>
          </w:p>
        </w:tc>
        <w:tc>
          <w:tcPr>
            <w:tcW w:w="1499" w:type="dxa"/>
            <w:tcBorders>
              <w:top w:val="nil"/>
              <w:left w:val="single" w:sz="4" w:space="0" w:color="auto"/>
              <w:bottom w:val="nil"/>
              <w:right w:val="single" w:sz="4" w:space="0" w:color="auto"/>
            </w:tcBorders>
          </w:tcPr>
          <w:p w14:paraId="54A21502" w14:textId="77777777" w:rsidR="002F11AD" w:rsidRPr="002F11AD" w:rsidRDefault="002F11AD" w:rsidP="002F11AD">
            <w:pPr>
              <w:ind w:right="113"/>
              <w:jc w:val="center"/>
              <w:rPr>
                <w:rFonts w:eastAsia="Times New Roman"/>
                <w:noProof/>
                <w:sz w:val="20"/>
                <w:szCs w:val="20"/>
                <w:lang w:eastAsia="es-MX"/>
              </w:rPr>
            </w:pPr>
            <w:r w:rsidRPr="002F11AD">
              <w:rPr>
                <w:rFonts w:eastAsia="Times New Roman"/>
                <w:noProof/>
                <w:sz w:val="20"/>
                <w:szCs w:val="20"/>
                <w:lang w:eastAsia="es-MX"/>
              </w:rPr>
              <w:t>68 por arriba</w:t>
            </w:r>
          </w:p>
        </w:tc>
      </w:tr>
      <w:tr w:rsidR="002F11AD" w:rsidRPr="002F11AD" w14:paraId="6C0CD53C" w14:textId="77777777" w:rsidTr="0024224F">
        <w:tc>
          <w:tcPr>
            <w:tcW w:w="4077" w:type="dxa"/>
            <w:tcBorders>
              <w:top w:val="nil"/>
              <w:left w:val="single" w:sz="4" w:space="0" w:color="auto"/>
              <w:bottom w:val="nil"/>
              <w:right w:val="single" w:sz="4" w:space="0" w:color="auto"/>
            </w:tcBorders>
          </w:tcPr>
          <w:p w14:paraId="2A930B61" w14:textId="77777777" w:rsidR="002F11AD" w:rsidRPr="002F11AD" w:rsidRDefault="002F11AD" w:rsidP="002F11AD">
            <w:pPr>
              <w:jc w:val="both"/>
              <w:rPr>
                <w:rFonts w:eastAsia="Times New Roman"/>
                <w:noProof/>
                <w:sz w:val="20"/>
                <w:szCs w:val="20"/>
                <w:lang w:eastAsia="es-MX"/>
              </w:rPr>
            </w:pPr>
            <w:r w:rsidRPr="002F11AD">
              <w:rPr>
                <w:rFonts w:eastAsia="Times New Roman"/>
                <w:noProof/>
                <w:sz w:val="20"/>
                <w:szCs w:val="20"/>
                <w:lang w:eastAsia="es-MX"/>
              </w:rPr>
              <w:t>b) Producción</w:t>
            </w:r>
          </w:p>
        </w:tc>
        <w:tc>
          <w:tcPr>
            <w:tcW w:w="1276" w:type="dxa"/>
            <w:tcBorders>
              <w:top w:val="nil"/>
              <w:left w:val="single" w:sz="4" w:space="0" w:color="auto"/>
              <w:bottom w:val="nil"/>
              <w:right w:val="single" w:sz="4" w:space="0" w:color="auto"/>
            </w:tcBorders>
          </w:tcPr>
          <w:p w14:paraId="66284680" w14:textId="77777777" w:rsidR="002F11AD" w:rsidRPr="002F11AD" w:rsidRDefault="002F11AD" w:rsidP="002F11AD">
            <w:pPr>
              <w:jc w:val="center"/>
              <w:rPr>
                <w:rFonts w:eastAsia="Times New Roman"/>
                <w:noProof/>
                <w:sz w:val="20"/>
                <w:szCs w:val="20"/>
                <w:lang w:eastAsia="es-MX"/>
              </w:rPr>
            </w:pPr>
            <w:r w:rsidRPr="002F11AD">
              <w:rPr>
                <w:rFonts w:eastAsia="Times New Roman"/>
                <w:noProof/>
                <w:sz w:val="20"/>
                <w:szCs w:val="20"/>
                <w:lang w:eastAsia="es-MX"/>
              </w:rPr>
              <w:t>55.2</w:t>
            </w:r>
          </w:p>
        </w:tc>
        <w:tc>
          <w:tcPr>
            <w:tcW w:w="1168" w:type="dxa"/>
            <w:tcBorders>
              <w:top w:val="nil"/>
              <w:left w:val="single" w:sz="4" w:space="0" w:color="auto"/>
              <w:bottom w:val="nil"/>
              <w:right w:val="single" w:sz="4" w:space="0" w:color="auto"/>
            </w:tcBorders>
          </w:tcPr>
          <w:p w14:paraId="32259A88" w14:textId="77777777" w:rsidR="002F11AD" w:rsidRPr="002F11AD" w:rsidRDefault="002F11AD" w:rsidP="002F11AD">
            <w:pPr>
              <w:jc w:val="center"/>
              <w:rPr>
                <w:rFonts w:eastAsia="Times New Roman"/>
                <w:noProof/>
                <w:sz w:val="20"/>
                <w:szCs w:val="20"/>
                <w:lang w:eastAsia="es-MX"/>
              </w:rPr>
            </w:pPr>
            <w:r w:rsidRPr="002F11AD">
              <w:rPr>
                <w:rFonts w:eastAsia="Times New Roman"/>
                <w:noProof/>
                <w:sz w:val="20"/>
                <w:szCs w:val="20"/>
                <w:lang w:eastAsia="es-MX"/>
              </w:rPr>
              <w:t>55.4</w:t>
            </w:r>
          </w:p>
        </w:tc>
        <w:tc>
          <w:tcPr>
            <w:tcW w:w="1194" w:type="dxa"/>
            <w:tcBorders>
              <w:top w:val="nil"/>
              <w:left w:val="single" w:sz="4" w:space="0" w:color="auto"/>
              <w:bottom w:val="nil"/>
              <w:right w:val="single" w:sz="4" w:space="0" w:color="auto"/>
            </w:tcBorders>
          </w:tcPr>
          <w:p w14:paraId="67A61AD0" w14:textId="77777777" w:rsidR="002F11AD" w:rsidRPr="002F11AD" w:rsidRDefault="002F11AD" w:rsidP="002F11AD">
            <w:pPr>
              <w:ind w:right="340"/>
              <w:jc w:val="right"/>
              <w:rPr>
                <w:rFonts w:eastAsia="Times New Roman"/>
                <w:noProof/>
                <w:sz w:val="20"/>
                <w:szCs w:val="20"/>
                <w:lang w:eastAsia="es-MX"/>
              </w:rPr>
            </w:pPr>
            <w:r w:rsidRPr="002F11AD">
              <w:rPr>
                <w:rFonts w:eastAsia="Times New Roman"/>
                <w:noProof/>
                <w:sz w:val="20"/>
                <w:szCs w:val="20"/>
                <w:lang w:eastAsia="es-MX"/>
              </w:rPr>
              <w:t>0.17</w:t>
            </w:r>
          </w:p>
        </w:tc>
        <w:tc>
          <w:tcPr>
            <w:tcW w:w="1499" w:type="dxa"/>
            <w:tcBorders>
              <w:top w:val="nil"/>
              <w:left w:val="single" w:sz="4" w:space="0" w:color="auto"/>
              <w:bottom w:val="nil"/>
              <w:right w:val="single" w:sz="4" w:space="0" w:color="auto"/>
            </w:tcBorders>
          </w:tcPr>
          <w:p w14:paraId="6A5F7B5F" w14:textId="77777777" w:rsidR="002F11AD" w:rsidRPr="002F11AD" w:rsidRDefault="002F11AD" w:rsidP="002F11AD">
            <w:pPr>
              <w:ind w:right="113"/>
              <w:jc w:val="center"/>
              <w:rPr>
                <w:rFonts w:eastAsia="Times New Roman"/>
                <w:noProof/>
                <w:sz w:val="20"/>
                <w:szCs w:val="20"/>
                <w:lang w:eastAsia="es-MX"/>
              </w:rPr>
            </w:pPr>
            <w:r w:rsidRPr="002F11AD">
              <w:rPr>
                <w:rFonts w:eastAsia="Times New Roman"/>
                <w:noProof/>
                <w:sz w:val="20"/>
                <w:szCs w:val="20"/>
                <w:lang w:eastAsia="es-MX"/>
              </w:rPr>
              <w:t>62 por arriba</w:t>
            </w:r>
          </w:p>
        </w:tc>
      </w:tr>
      <w:tr w:rsidR="002F11AD" w:rsidRPr="002F11AD" w14:paraId="302B114D" w14:textId="77777777" w:rsidTr="0024224F">
        <w:tc>
          <w:tcPr>
            <w:tcW w:w="4077" w:type="dxa"/>
            <w:tcBorders>
              <w:top w:val="nil"/>
              <w:left w:val="single" w:sz="4" w:space="0" w:color="auto"/>
              <w:bottom w:val="nil"/>
              <w:right w:val="single" w:sz="4" w:space="0" w:color="auto"/>
            </w:tcBorders>
          </w:tcPr>
          <w:p w14:paraId="435D43F3" w14:textId="77777777" w:rsidR="002F11AD" w:rsidRPr="002F11AD" w:rsidRDefault="002F11AD" w:rsidP="002F11AD">
            <w:pPr>
              <w:jc w:val="both"/>
              <w:rPr>
                <w:rFonts w:eastAsia="Times New Roman"/>
                <w:noProof/>
                <w:sz w:val="20"/>
                <w:szCs w:val="20"/>
                <w:lang w:eastAsia="es-MX"/>
              </w:rPr>
            </w:pPr>
            <w:r w:rsidRPr="002F11AD">
              <w:rPr>
                <w:rFonts w:eastAsia="Times New Roman"/>
                <w:noProof/>
                <w:sz w:val="20"/>
                <w:szCs w:val="20"/>
                <w:lang w:eastAsia="es-MX"/>
              </w:rPr>
              <w:t>c) Personal ocupado</w:t>
            </w:r>
          </w:p>
        </w:tc>
        <w:tc>
          <w:tcPr>
            <w:tcW w:w="1276" w:type="dxa"/>
            <w:tcBorders>
              <w:top w:val="nil"/>
              <w:left w:val="single" w:sz="4" w:space="0" w:color="auto"/>
              <w:bottom w:val="nil"/>
              <w:right w:val="single" w:sz="4" w:space="0" w:color="auto"/>
            </w:tcBorders>
          </w:tcPr>
          <w:p w14:paraId="6C04A382" w14:textId="77777777" w:rsidR="002F11AD" w:rsidRPr="002F11AD" w:rsidRDefault="002F11AD" w:rsidP="002F11AD">
            <w:pPr>
              <w:jc w:val="center"/>
              <w:rPr>
                <w:rFonts w:eastAsia="Times New Roman"/>
                <w:noProof/>
                <w:sz w:val="20"/>
                <w:szCs w:val="20"/>
                <w:lang w:eastAsia="es-MX"/>
              </w:rPr>
            </w:pPr>
            <w:r w:rsidRPr="002F11AD">
              <w:rPr>
                <w:rFonts w:eastAsia="Times New Roman"/>
                <w:noProof/>
                <w:sz w:val="20"/>
                <w:szCs w:val="20"/>
                <w:lang w:eastAsia="es-MX"/>
              </w:rPr>
              <w:t>52.1</w:t>
            </w:r>
          </w:p>
        </w:tc>
        <w:tc>
          <w:tcPr>
            <w:tcW w:w="1168" w:type="dxa"/>
            <w:tcBorders>
              <w:top w:val="nil"/>
              <w:left w:val="single" w:sz="4" w:space="0" w:color="auto"/>
              <w:bottom w:val="nil"/>
              <w:right w:val="single" w:sz="4" w:space="0" w:color="auto"/>
            </w:tcBorders>
          </w:tcPr>
          <w:p w14:paraId="09019117" w14:textId="77777777" w:rsidR="002F11AD" w:rsidRPr="002F11AD" w:rsidRDefault="002F11AD" w:rsidP="002F11AD">
            <w:pPr>
              <w:jc w:val="center"/>
              <w:rPr>
                <w:rFonts w:eastAsia="Times New Roman"/>
                <w:noProof/>
                <w:sz w:val="20"/>
                <w:szCs w:val="20"/>
                <w:lang w:eastAsia="es-MX"/>
              </w:rPr>
            </w:pPr>
            <w:r w:rsidRPr="002F11AD">
              <w:rPr>
                <w:rFonts w:eastAsia="Times New Roman"/>
                <w:noProof/>
                <w:sz w:val="20"/>
                <w:szCs w:val="20"/>
                <w:lang w:eastAsia="es-MX"/>
              </w:rPr>
              <w:t>51.4</w:t>
            </w:r>
          </w:p>
        </w:tc>
        <w:tc>
          <w:tcPr>
            <w:tcW w:w="1194" w:type="dxa"/>
            <w:tcBorders>
              <w:top w:val="nil"/>
              <w:left w:val="single" w:sz="4" w:space="0" w:color="auto"/>
              <w:bottom w:val="nil"/>
              <w:right w:val="single" w:sz="4" w:space="0" w:color="auto"/>
            </w:tcBorders>
          </w:tcPr>
          <w:p w14:paraId="1C27D156" w14:textId="77777777" w:rsidR="002F11AD" w:rsidRPr="002F11AD" w:rsidRDefault="002F11AD" w:rsidP="002F11AD">
            <w:pPr>
              <w:ind w:right="340"/>
              <w:jc w:val="right"/>
              <w:rPr>
                <w:rFonts w:eastAsia="Times New Roman"/>
                <w:noProof/>
                <w:sz w:val="20"/>
                <w:szCs w:val="20"/>
                <w:lang w:eastAsia="es-MX"/>
              </w:rPr>
            </w:pPr>
            <w:r w:rsidRPr="002F11AD">
              <w:rPr>
                <w:rFonts w:eastAsia="Times New Roman"/>
                <w:noProof/>
                <w:sz w:val="20"/>
                <w:szCs w:val="20"/>
                <w:lang w:eastAsia="es-MX"/>
              </w:rPr>
              <w:t>-0.69</w:t>
            </w:r>
          </w:p>
        </w:tc>
        <w:tc>
          <w:tcPr>
            <w:tcW w:w="1499" w:type="dxa"/>
            <w:tcBorders>
              <w:top w:val="nil"/>
              <w:left w:val="single" w:sz="4" w:space="0" w:color="auto"/>
              <w:bottom w:val="nil"/>
              <w:right w:val="single" w:sz="4" w:space="0" w:color="auto"/>
            </w:tcBorders>
          </w:tcPr>
          <w:p w14:paraId="3E9689A3" w14:textId="77777777" w:rsidR="002F11AD" w:rsidRPr="002F11AD" w:rsidRDefault="002F11AD" w:rsidP="002F11AD">
            <w:pPr>
              <w:ind w:right="113"/>
              <w:jc w:val="center"/>
              <w:rPr>
                <w:rFonts w:eastAsia="Times New Roman"/>
                <w:noProof/>
                <w:sz w:val="20"/>
                <w:szCs w:val="20"/>
                <w:lang w:eastAsia="es-MX"/>
              </w:rPr>
            </w:pPr>
            <w:r w:rsidRPr="002F11AD">
              <w:rPr>
                <w:rFonts w:eastAsia="Times New Roman"/>
                <w:noProof/>
                <w:sz w:val="20"/>
                <w:szCs w:val="20"/>
                <w:lang w:eastAsia="es-MX"/>
              </w:rPr>
              <w:t>64 por arriba</w:t>
            </w:r>
          </w:p>
        </w:tc>
      </w:tr>
      <w:tr w:rsidR="002F11AD" w:rsidRPr="002F11AD" w14:paraId="701170B3" w14:textId="77777777" w:rsidTr="0024224F">
        <w:tc>
          <w:tcPr>
            <w:tcW w:w="4077" w:type="dxa"/>
            <w:tcBorders>
              <w:top w:val="nil"/>
              <w:left w:val="single" w:sz="4" w:space="0" w:color="auto"/>
              <w:bottom w:val="nil"/>
              <w:right w:val="single" w:sz="4" w:space="0" w:color="auto"/>
            </w:tcBorders>
          </w:tcPr>
          <w:p w14:paraId="7F437DB4" w14:textId="77777777" w:rsidR="002F11AD" w:rsidRPr="002F11AD" w:rsidRDefault="002F11AD" w:rsidP="002F11AD">
            <w:pPr>
              <w:ind w:left="255" w:hanging="255"/>
              <w:jc w:val="both"/>
              <w:rPr>
                <w:rFonts w:eastAsia="Times New Roman"/>
                <w:noProof/>
                <w:sz w:val="20"/>
                <w:szCs w:val="20"/>
                <w:lang w:eastAsia="es-MX"/>
              </w:rPr>
            </w:pPr>
            <w:r w:rsidRPr="002F11AD">
              <w:rPr>
                <w:rFonts w:eastAsia="Times New Roman"/>
                <w:noProof/>
                <w:sz w:val="20"/>
                <w:szCs w:val="20"/>
                <w:lang w:eastAsia="es-MX"/>
              </w:rPr>
              <w:t>d) Oportunidad de la entrega de insumos de los proveedores</w:t>
            </w:r>
          </w:p>
        </w:tc>
        <w:tc>
          <w:tcPr>
            <w:tcW w:w="1276" w:type="dxa"/>
            <w:tcBorders>
              <w:top w:val="nil"/>
              <w:left w:val="single" w:sz="4" w:space="0" w:color="auto"/>
              <w:bottom w:val="nil"/>
              <w:right w:val="single" w:sz="4" w:space="0" w:color="auto"/>
            </w:tcBorders>
            <w:vAlign w:val="center"/>
          </w:tcPr>
          <w:p w14:paraId="5B3A4E36" w14:textId="77777777" w:rsidR="002F11AD" w:rsidRPr="002F11AD" w:rsidRDefault="002F11AD" w:rsidP="002F11AD">
            <w:pPr>
              <w:jc w:val="center"/>
              <w:rPr>
                <w:rFonts w:eastAsia="Times New Roman"/>
                <w:noProof/>
                <w:sz w:val="20"/>
                <w:szCs w:val="20"/>
                <w:lang w:eastAsia="es-MX"/>
              </w:rPr>
            </w:pPr>
            <w:r w:rsidRPr="002F11AD">
              <w:rPr>
                <w:rFonts w:eastAsia="Times New Roman"/>
                <w:noProof/>
                <w:sz w:val="20"/>
                <w:szCs w:val="20"/>
                <w:lang w:eastAsia="es-MX"/>
              </w:rPr>
              <w:t>47.1</w:t>
            </w:r>
          </w:p>
        </w:tc>
        <w:tc>
          <w:tcPr>
            <w:tcW w:w="1168" w:type="dxa"/>
            <w:tcBorders>
              <w:top w:val="nil"/>
              <w:left w:val="single" w:sz="4" w:space="0" w:color="auto"/>
              <w:bottom w:val="nil"/>
              <w:right w:val="single" w:sz="4" w:space="0" w:color="auto"/>
            </w:tcBorders>
            <w:vAlign w:val="center"/>
          </w:tcPr>
          <w:p w14:paraId="66D75624" w14:textId="77777777" w:rsidR="002F11AD" w:rsidRPr="002F11AD" w:rsidRDefault="002F11AD" w:rsidP="002F11AD">
            <w:pPr>
              <w:jc w:val="center"/>
              <w:rPr>
                <w:rFonts w:eastAsia="Times New Roman"/>
                <w:noProof/>
                <w:sz w:val="20"/>
                <w:szCs w:val="20"/>
                <w:lang w:eastAsia="es-MX"/>
              </w:rPr>
            </w:pPr>
            <w:r w:rsidRPr="002F11AD">
              <w:rPr>
                <w:rFonts w:eastAsia="Times New Roman"/>
                <w:noProof/>
                <w:sz w:val="20"/>
                <w:szCs w:val="20"/>
                <w:lang w:eastAsia="es-MX"/>
              </w:rPr>
              <w:t>46.4</w:t>
            </w:r>
          </w:p>
        </w:tc>
        <w:tc>
          <w:tcPr>
            <w:tcW w:w="1194" w:type="dxa"/>
            <w:tcBorders>
              <w:top w:val="nil"/>
              <w:left w:val="single" w:sz="4" w:space="0" w:color="auto"/>
              <w:bottom w:val="nil"/>
              <w:right w:val="single" w:sz="4" w:space="0" w:color="auto"/>
            </w:tcBorders>
            <w:vAlign w:val="center"/>
          </w:tcPr>
          <w:p w14:paraId="6E108BD3" w14:textId="77777777" w:rsidR="002F11AD" w:rsidRPr="002F11AD" w:rsidRDefault="002F11AD" w:rsidP="002F11AD">
            <w:pPr>
              <w:ind w:right="340"/>
              <w:jc w:val="right"/>
              <w:rPr>
                <w:rFonts w:eastAsia="Times New Roman"/>
                <w:noProof/>
                <w:sz w:val="20"/>
                <w:szCs w:val="20"/>
                <w:lang w:eastAsia="es-MX"/>
              </w:rPr>
            </w:pPr>
            <w:r w:rsidRPr="002F11AD">
              <w:rPr>
                <w:rFonts w:eastAsia="Times New Roman"/>
                <w:noProof/>
                <w:sz w:val="20"/>
                <w:szCs w:val="20"/>
                <w:lang w:eastAsia="es-MX"/>
              </w:rPr>
              <w:t>-0.64</w:t>
            </w:r>
          </w:p>
        </w:tc>
        <w:tc>
          <w:tcPr>
            <w:tcW w:w="1499" w:type="dxa"/>
            <w:tcBorders>
              <w:top w:val="nil"/>
              <w:left w:val="single" w:sz="4" w:space="0" w:color="auto"/>
              <w:bottom w:val="nil"/>
              <w:right w:val="single" w:sz="4" w:space="0" w:color="auto"/>
            </w:tcBorders>
            <w:vAlign w:val="center"/>
          </w:tcPr>
          <w:p w14:paraId="0BD11B50" w14:textId="77777777" w:rsidR="002F11AD" w:rsidRPr="002F11AD" w:rsidRDefault="002F11AD" w:rsidP="002F11AD">
            <w:pPr>
              <w:ind w:right="113"/>
              <w:jc w:val="center"/>
              <w:rPr>
                <w:rFonts w:eastAsia="Times New Roman"/>
                <w:noProof/>
                <w:sz w:val="20"/>
                <w:szCs w:val="20"/>
                <w:lang w:eastAsia="es-MX"/>
              </w:rPr>
            </w:pPr>
            <w:r w:rsidRPr="002F11AD">
              <w:rPr>
                <w:rFonts w:eastAsia="Times New Roman"/>
                <w:noProof/>
                <w:sz w:val="20"/>
                <w:szCs w:val="20"/>
                <w:lang w:eastAsia="es-MX"/>
              </w:rPr>
              <w:t>28 por debajo</w:t>
            </w:r>
          </w:p>
        </w:tc>
      </w:tr>
      <w:tr w:rsidR="002F11AD" w:rsidRPr="002F11AD" w14:paraId="5DCDFE23" w14:textId="77777777" w:rsidTr="0024224F">
        <w:tc>
          <w:tcPr>
            <w:tcW w:w="4077" w:type="dxa"/>
            <w:tcBorders>
              <w:top w:val="nil"/>
              <w:left w:val="single" w:sz="4" w:space="0" w:color="auto"/>
              <w:bottom w:val="single" w:sz="4" w:space="0" w:color="auto"/>
              <w:right w:val="single" w:sz="4" w:space="0" w:color="auto"/>
            </w:tcBorders>
          </w:tcPr>
          <w:p w14:paraId="681D7C69" w14:textId="77777777" w:rsidR="002F11AD" w:rsidRPr="002F11AD" w:rsidRDefault="002F11AD" w:rsidP="002F11AD">
            <w:pPr>
              <w:jc w:val="both"/>
              <w:rPr>
                <w:rFonts w:eastAsia="Times New Roman"/>
                <w:noProof/>
                <w:sz w:val="20"/>
                <w:szCs w:val="20"/>
                <w:lang w:eastAsia="es-MX"/>
              </w:rPr>
            </w:pPr>
            <w:r w:rsidRPr="002F11AD">
              <w:rPr>
                <w:rFonts w:eastAsia="Times New Roman"/>
                <w:noProof/>
                <w:sz w:val="20"/>
                <w:szCs w:val="20"/>
                <w:lang w:eastAsia="es-MX"/>
              </w:rPr>
              <w:t>e) Inventarios de insumos</w:t>
            </w:r>
          </w:p>
        </w:tc>
        <w:tc>
          <w:tcPr>
            <w:tcW w:w="1276" w:type="dxa"/>
            <w:tcBorders>
              <w:top w:val="nil"/>
              <w:left w:val="single" w:sz="4" w:space="0" w:color="auto"/>
              <w:bottom w:val="single" w:sz="4" w:space="0" w:color="auto"/>
              <w:right w:val="single" w:sz="4" w:space="0" w:color="auto"/>
            </w:tcBorders>
          </w:tcPr>
          <w:p w14:paraId="4E3AABE0" w14:textId="77777777" w:rsidR="002F11AD" w:rsidRPr="002F11AD" w:rsidRDefault="002F11AD" w:rsidP="002F11AD">
            <w:pPr>
              <w:jc w:val="center"/>
              <w:rPr>
                <w:rFonts w:eastAsia="Times New Roman"/>
                <w:noProof/>
                <w:sz w:val="20"/>
                <w:szCs w:val="20"/>
                <w:lang w:eastAsia="es-MX"/>
              </w:rPr>
            </w:pPr>
            <w:r w:rsidRPr="002F11AD">
              <w:rPr>
                <w:rFonts w:eastAsia="Times New Roman"/>
                <w:noProof/>
                <w:sz w:val="20"/>
                <w:szCs w:val="20"/>
                <w:lang w:eastAsia="es-MX"/>
              </w:rPr>
              <w:t>52.1</w:t>
            </w:r>
          </w:p>
        </w:tc>
        <w:tc>
          <w:tcPr>
            <w:tcW w:w="1168" w:type="dxa"/>
            <w:tcBorders>
              <w:top w:val="nil"/>
              <w:left w:val="single" w:sz="4" w:space="0" w:color="auto"/>
              <w:bottom w:val="single" w:sz="4" w:space="0" w:color="auto"/>
              <w:right w:val="single" w:sz="4" w:space="0" w:color="auto"/>
            </w:tcBorders>
          </w:tcPr>
          <w:p w14:paraId="3BE08126" w14:textId="77777777" w:rsidR="002F11AD" w:rsidRPr="002F11AD" w:rsidRDefault="002F11AD" w:rsidP="002F11AD">
            <w:pPr>
              <w:jc w:val="center"/>
              <w:rPr>
                <w:rFonts w:eastAsia="Times New Roman"/>
                <w:noProof/>
                <w:sz w:val="20"/>
                <w:szCs w:val="20"/>
                <w:lang w:eastAsia="es-MX"/>
              </w:rPr>
            </w:pPr>
            <w:r w:rsidRPr="002F11AD">
              <w:rPr>
                <w:rFonts w:eastAsia="Times New Roman"/>
                <w:noProof/>
                <w:sz w:val="20"/>
                <w:szCs w:val="20"/>
                <w:lang w:eastAsia="es-MX"/>
              </w:rPr>
              <w:t>52.7</w:t>
            </w:r>
          </w:p>
        </w:tc>
        <w:tc>
          <w:tcPr>
            <w:tcW w:w="1194" w:type="dxa"/>
            <w:tcBorders>
              <w:top w:val="nil"/>
              <w:left w:val="single" w:sz="4" w:space="0" w:color="auto"/>
              <w:bottom w:val="single" w:sz="4" w:space="0" w:color="auto"/>
              <w:right w:val="single" w:sz="4" w:space="0" w:color="auto"/>
            </w:tcBorders>
          </w:tcPr>
          <w:p w14:paraId="2EC7614D" w14:textId="77777777" w:rsidR="002F11AD" w:rsidRPr="002F11AD" w:rsidRDefault="002F11AD" w:rsidP="002F11AD">
            <w:pPr>
              <w:ind w:right="340"/>
              <w:jc w:val="right"/>
              <w:rPr>
                <w:rFonts w:eastAsia="Times New Roman"/>
                <w:noProof/>
                <w:sz w:val="20"/>
                <w:szCs w:val="20"/>
                <w:lang w:eastAsia="es-MX"/>
              </w:rPr>
            </w:pPr>
            <w:r w:rsidRPr="002F11AD">
              <w:rPr>
                <w:rFonts w:eastAsia="Times New Roman"/>
                <w:noProof/>
                <w:sz w:val="20"/>
                <w:szCs w:val="20"/>
                <w:lang w:eastAsia="es-MX"/>
              </w:rPr>
              <w:t>0.58</w:t>
            </w:r>
          </w:p>
        </w:tc>
        <w:tc>
          <w:tcPr>
            <w:tcW w:w="1499" w:type="dxa"/>
            <w:tcBorders>
              <w:top w:val="nil"/>
              <w:left w:val="single" w:sz="4" w:space="0" w:color="auto"/>
              <w:bottom w:val="single" w:sz="4" w:space="0" w:color="auto"/>
              <w:right w:val="single" w:sz="4" w:space="0" w:color="auto"/>
            </w:tcBorders>
          </w:tcPr>
          <w:p w14:paraId="31ECA04A" w14:textId="77777777" w:rsidR="002F11AD" w:rsidRPr="002F11AD" w:rsidRDefault="002F11AD" w:rsidP="002F11AD">
            <w:pPr>
              <w:ind w:right="113"/>
              <w:jc w:val="center"/>
              <w:rPr>
                <w:rFonts w:eastAsia="Times New Roman"/>
                <w:noProof/>
                <w:sz w:val="20"/>
                <w:szCs w:val="20"/>
                <w:lang w:eastAsia="es-MX"/>
              </w:rPr>
            </w:pPr>
            <w:r w:rsidRPr="002F11AD">
              <w:rPr>
                <w:rFonts w:eastAsia="Times New Roman"/>
                <w:noProof/>
                <w:sz w:val="20"/>
                <w:szCs w:val="20"/>
                <w:lang w:eastAsia="es-MX"/>
              </w:rPr>
              <w:t>18 por arriba</w:t>
            </w:r>
          </w:p>
        </w:tc>
      </w:tr>
      <w:tr w:rsidR="002F11AD" w:rsidRPr="002F11AD" w14:paraId="7E19C138" w14:textId="77777777" w:rsidTr="0024224F">
        <w:tc>
          <w:tcPr>
            <w:tcW w:w="9214" w:type="dxa"/>
            <w:gridSpan w:val="5"/>
            <w:tcBorders>
              <w:left w:val="nil"/>
              <w:bottom w:val="nil"/>
              <w:right w:val="nil"/>
            </w:tcBorders>
          </w:tcPr>
          <w:p w14:paraId="429B7AF4" w14:textId="77777777" w:rsidR="002F11AD" w:rsidRPr="002F11AD" w:rsidRDefault="002F11AD" w:rsidP="002F11AD">
            <w:pPr>
              <w:jc w:val="both"/>
              <w:rPr>
                <w:rFonts w:eastAsia="Times New Roman"/>
                <w:noProof/>
                <w:sz w:val="20"/>
                <w:szCs w:val="20"/>
                <w:lang w:eastAsia="es-MX"/>
              </w:rPr>
            </w:pPr>
            <w:r w:rsidRPr="002F11AD">
              <w:rPr>
                <w:rFonts w:eastAsia="Times New Roman"/>
                <w:noProof/>
                <w:sz w:val="20"/>
                <w:szCs w:val="20"/>
                <w:lang w:eastAsia="es-MX"/>
              </w:rPr>
              <w:t>Nota:</w:t>
            </w:r>
            <w:r w:rsidRPr="002F11AD">
              <w:t xml:space="preserve"> </w:t>
            </w:r>
            <w:r w:rsidRPr="002F11AD">
              <w:rPr>
                <w:rFonts w:eastAsia="Times New Roman"/>
                <w:noProof/>
                <w:sz w:val="20"/>
                <w:szCs w:val="20"/>
                <w:lang w:eastAsia="es-MX"/>
              </w:rPr>
              <w:t>Los indicadores se generan con los datos referidos al mes de la entrevista.</w:t>
            </w:r>
          </w:p>
          <w:p w14:paraId="61C8AE3E" w14:textId="77777777" w:rsidR="002F11AD" w:rsidRPr="002F11AD" w:rsidRDefault="002F11AD" w:rsidP="002F11AD">
            <w:pPr>
              <w:jc w:val="both"/>
              <w:rPr>
                <w:rFonts w:eastAsia="Times New Roman"/>
                <w:noProof/>
                <w:sz w:val="20"/>
                <w:szCs w:val="20"/>
                <w:lang w:eastAsia="es-MX"/>
              </w:rPr>
            </w:pPr>
            <w:r w:rsidRPr="002F11AD">
              <w:rPr>
                <w:rFonts w:eastAsia="Times New Roman"/>
                <w:noProof/>
                <w:sz w:val="20"/>
                <w:szCs w:val="20"/>
                <w:u w:val="single"/>
                <w:lang w:eastAsia="es-MX"/>
              </w:rPr>
              <w:t>1</w:t>
            </w:r>
            <w:r w:rsidRPr="002F11AD">
              <w:rPr>
                <w:rFonts w:eastAsia="Times New Roman"/>
                <w:noProof/>
                <w:sz w:val="20"/>
                <w:szCs w:val="20"/>
                <w:lang w:eastAsia="es-MX"/>
              </w:rPr>
              <w:t>/ Las diferencias en puntos se obtienen de los respectivos indicadores considerando todos sus decimales.</w:t>
            </w:r>
          </w:p>
          <w:p w14:paraId="6AD164ED" w14:textId="77777777" w:rsidR="002F11AD" w:rsidRPr="002F11AD" w:rsidRDefault="002F11AD" w:rsidP="002F11AD">
            <w:pPr>
              <w:jc w:val="both"/>
              <w:rPr>
                <w:rFonts w:eastAsia="Times New Roman"/>
                <w:noProof/>
                <w:sz w:val="20"/>
                <w:szCs w:val="20"/>
                <w:lang w:eastAsia="es-MX"/>
              </w:rPr>
            </w:pPr>
            <w:r w:rsidRPr="002F11AD">
              <w:rPr>
                <w:rFonts w:eastAsia="Times New Roman"/>
                <w:noProof/>
                <w:sz w:val="20"/>
                <w:szCs w:val="20"/>
                <w:lang w:eastAsia="es-MX"/>
              </w:rPr>
              <w:t>FUENTE: INEGI.</w:t>
            </w:r>
          </w:p>
        </w:tc>
      </w:tr>
    </w:tbl>
    <w:p w14:paraId="7E0EB0AF" w14:textId="77777777" w:rsidR="00FE6CAE" w:rsidRDefault="00FE6CAE" w:rsidP="00FE6CAE">
      <w:pPr>
        <w:spacing w:after="120"/>
        <w:ind w:right="-159"/>
        <w:jc w:val="both"/>
        <w:rPr>
          <w:rFonts w:eastAsia="Times New Roman"/>
          <w:sz w:val="26"/>
          <w:szCs w:val="26"/>
        </w:rPr>
      </w:pPr>
    </w:p>
    <w:p w14:paraId="228EB3F4" w14:textId="77777777" w:rsidR="002F11AD" w:rsidRPr="002F11AD" w:rsidRDefault="002F11AD" w:rsidP="002F11AD">
      <w:pPr>
        <w:spacing w:after="360" w:line="360" w:lineRule="auto"/>
        <w:ind w:right="-159"/>
        <w:jc w:val="both"/>
        <w:rPr>
          <w:rFonts w:eastAsia="Times New Roman"/>
          <w:sz w:val="26"/>
          <w:szCs w:val="26"/>
        </w:rPr>
      </w:pPr>
      <w:r w:rsidRPr="002F11AD">
        <w:rPr>
          <w:rFonts w:eastAsia="Times New Roman"/>
          <w:sz w:val="26"/>
          <w:szCs w:val="26"/>
        </w:rPr>
        <w:t>Las siguientes gráficas muestran la evolución en los últimos años de las series desestacionalizadas y tendencias-ciclo de los componentes que integran el Indicador de Pedidos Manufactureros:</w:t>
      </w:r>
    </w:p>
    <w:tbl>
      <w:tblPr>
        <w:tblW w:w="0" w:type="auto"/>
        <w:tblLook w:val="04A0" w:firstRow="1" w:lastRow="0" w:firstColumn="1" w:lastColumn="0" w:noHBand="0" w:noVBand="1"/>
      </w:tblPr>
      <w:tblGrid>
        <w:gridCol w:w="8840"/>
      </w:tblGrid>
      <w:tr w:rsidR="002E427B" w:rsidRPr="002E427B" w14:paraId="53A2AE3A" w14:textId="77777777" w:rsidTr="007B7E95">
        <w:tc>
          <w:tcPr>
            <w:tcW w:w="10183" w:type="dxa"/>
          </w:tcPr>
          <w:p w14:paraId="65323EDE" w14:textId="1F280B96" w:rsidR="002E427B" w:rsidRPr="002E427B" w:rsidRDefault="002E427B" w:rsidP="002E427B">
            <w:pPr>
              <w:jc w:val="center"/>
              <w:rPr>
                <w:rFonts w:ascii="Calibri" w:eastAsia="Calibri" w:hAnsi="Calibri"/>
                <w:sz w:val="22"/>
                <w:szCs w:val="22"/>
                <w:lang w:eastAsia="en-US"/>
              </w:rPr>
            </w:pPr>
            <w:r w:rsidRPr="002E427B">
              <w:rPr>
                <w:rFonts w:ascii="Calibri" w:eastAsia="Calibri" w:hAnsi="Calibri"/>
                <w:sz w:val="22"/>
                <w:szCs w:val="22"/>
                <w:lang w:eastAsia="en-US"/>
              </w:rPr>
              <w:fldChar w:fldCharType="begin"/>
            </w:r>
            <w:r w:rsidRPr="002E427B">
              <w:rPr>
                <w:rFonts w:ascii="Calibri" w:eastAsia="Calibri" w:hAnsi="Calibri"/>
                <w:sz w:val="22"/>
                <w:szCs w:val="22"/>
                <w:lang w:eastAsia="en-US"/>
              </w:rPr>
              <w:instrText xml:space="preserve"> LINK PowerPoint.Slide.8 "D:\\2015\\MARZO 2014\\GRÁFICAS EN POWER POINT\\15.- GRÁFICAS DEL INDICADOR DE PEDIDOS MANUFACTUREROS.pptx!258" "" \a \p </w:instrText>
            </w:r>
            <w:r w:rsidRPr="002E427B">
              <w:rPr>
                <w:rFonts w:ascii="Calibri" w:eastAsia="Calibri" w:hAnsi="Calibri"/>
                <w:sz w:val="22"/>
                <w:szCs w:val="22"/>
                <w:lang w:eastAsia="en-US"/>
              </w:rPr>
              <w:fldChar w:fldCharType="separate"/>
            </w:r>
            <w:r w:rsidRPr="002E427B">
              <w:rPr>
                <w:rFonts w:ascii="Calibri" w:eastAsia="Calibri" w:hAnsi="Calibri"/>
                <w:noProof/>
                <w:sz w:val="22"/>
                <w:szCs w:val="22"/>
                <w:lang w:eastAsia="es-MX"/>
              </w:rPr>
              <w:drawing>
                <wp:inline distT="0" distB="0" distL="0" distR="0" wp14:anchorId="6C6A95C0" wp14:editId="0A0C911F">
                  <wp:extent cx="5585460" cy="2471420"/>
                  <wp:effectExtent l="0" t="0" r="0" b="5080"/>
                  <wp:docPr id="1491" name="Imagen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8"/>
                          <pic:cNvPicPr>
                            <a:picLocks noChangeAspect="1" noChangeArrowheads="1"/>
                          </pic:cNvPicPr>
                        </pic:nvPicPr>
                        <pic:blipFill>
                          <a:blip r:embed="rId169" cstate="print">
                            <a:extLst>
                              <a:ext uri="{28A0092B-C50C-407E-A947-70E740481C1C}">
                                <a14:useLocalDpi xmlns:a14="http://schemas.microsoft.com/office/drawing/2010/main" val="0"/>
                              </a:ext>
                            </a:extLst>
                          </a:blip>
                          <a:srcRect l="2817" t="6389" r="5791" b="21388"/>
                          <a:stretch>
                            <a:fillRect/>
                          </a:stretch>
                        </pic:blipFill>
                        <pic:spPr bwMode="auto">
                          <a:xfrm>
                            <a:off x="0" y="0"/>
                            <a:ext cx="5585460" cy="2471420"/>
                          </a:xfrm>
                          <a:prstGeom prst="rect">
                            <a:avLst/>
                          </a:prstGeom>
                          <a:noFill/>
                          <a:ln>
                            <a:noFill/>
                          </a:ln>
                        </pic:spPr>
                      </pic:pic>
                    </a:graphicData>
                  </a:graphic>
                </wp:inline>
              </w:drawing>
            </w:r>
            <w:r w:rsidRPr="002E427B">
              <w:rPr>
                <w:rFonts w:ascii="Calibri" w:eastAsia="Calibri" w:hAnsi="Calibri"/>
                <w:sz w:val="22"/>
                <w:szCs w:val="22"/>
                <w:lang w:eastAsia="en-US"/>
              </w:rPr>
              <w:fldChar w:fldCharType="end"/>
            </w:r>
          </w:p>
        </w:tc>
      </w:tr>
      <w:tr w:rsidR="002E427B" w:rsidRPr="002E427B" w14:paraId="3DFCC1CE" w14:textId="77777777" w:rsidTr="007B7E95">
        <w:tc>
          <w:tcPr>
            <w:tcW w:w="10183" w:type="dxa"/>
          </w:tcPr>
          <w:p w14:paraId="2302D046" w14:textId="338EC5B0" w:rsidR="002E427B" w:rsidRPr="002E427B" w:rsidRDefault="002E427B" w:rsidP="002E427B">
            <w:pPr>
              <w:jc w:val="center"/>
              <w:rPr>
                <w:rFonts w:ascii="Calibri" w:eastAsia="Calibri" w:hAnsi="Calibri"/>
                <w:sz w:val="22"/>
                <w:szCs w:val="22"/>
                <w:lang w:eastAsia="en-US"/>
              </w:rPr>
            </w:pPr>
            <w:r w:rsidRPr="002E427B">
              <w:rPr>
                <w:rFonts w:ascii="Calibri" w:eastAsia="Calibri" w:hAnsi="Calibri"/>
                <w:sz w:val="22"/>
                <w:szCs w:val="22"/>
                <w:lang w:eastAsia="en-US"/>
              </w:rPr>
              <w:lastRenderedPageBreak/>
              <w:fldChar w:fldCharType="begin"/>
            </w:r>
            <w:r w:rsidRPr="002E427B">
              <w:rPr>
                <w:rFonts w:ascii="Calibri" w:eastAsia="Calibri" w:hAnsi="Calibri"/>
                <w:sz w:val="22"/>
                <w:szCs w:val="22"/>
                <w:lang w:eastAsia="en-US"/>
              </w:rPr>
              <w:instrText xml:space="preserve"> LINK PowerPoint.Slide.8 "D:\\2015\\MARZO 2014\\GRÁFICAS EN POWER POINT\\15.- GRÁFICAS DEL INDICADOR DE PEDIDOS MANUFACTUREROS.pptx!271" "" \a \p </w:instrText>
            </w:r>
            <w:r w:rsidRPr="002E427B">
              <w:rPr>
                <w:rFonts w:ascii="Calibri" w:eastAsia="Calibri" w:hAnsi="Calibri"/>
                <w:sz w:val="22"/>
                <w:szCs w:val="22"/>
                <w:lang w:eastAsia="en-US"/>
              </w:rPr>
              <w:fldChar w:fldCharType="separate"/>
            </w:r>
            <w:r w:rsidRPr="002E427B">
              <w:rPr>
                <w:rFonts w:ascii="Calibri" w:eastAsia="Calibri" w:hAnsi="Calibri"/>
                <w:noProof/>
                <w:sz w:val="22"/>
                <w:szCs w:val="22"/>
                <w:lang w:eastAsia="es-MX"/>
              </w:rPr>
              <w:drawing>
                <wp:inline distT="0" distB="0" distL="0" distR="0" wp14:anchorId="4FFFC5AF" wp14:editId="0AF9FDEB">
                  <wp:extent cx="5665470" cy="2286000"/>
                  <wp:effectExtent l="0" t="0" r="0" b="0"/>
                  <wp:docPr id="1490" name="Imagen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9"/>
                          <pic:cNvPicPr>
                            <a:picLocks noChangeAspect="1" noChangeArrowheads="1"/>
                          </pic:cNvPicPr>
                        </pic:nvPicPr>
                        <pic:blipFill>
                          <a:blip r:embed="rId170" cstate="print">
                            <a:extLst>
                              <a:ext uri="{28A0092B-C50C-407E-A947-70E740481C1C}">
                                <a14:useLocalDpi xmlns:a14="http://schemas.microsoft.com/office/drawing/2010/main" val="0"/>
                              </a:ext>
                            </a:extLst>
                          </a:blip>
                          <a:srcRect l="1878" t="14444" r="5634" b="20000"/>
                          <a:stretch>
                            <a:fillRect/>
                          </a:stretch>
                        </pic:blipFill>
                        <pic:spPr bwMode="auto">
                          <a:xfrm>
                            <a:off x="0" y="0"/>
                            <a:ext cx="5665470" cy="2286000"/>
                          </a:xfrm>
                          <a:prstGeom prst="rect">
                            <a:avLst/>
                          </a:prstGeom>
                          <a:noFill/>
                          <a:ln>
                            <a:noFill/>
                          </a:ln>
                        </pic:spPr>
                      </pic:pic>
                    </a:graphicData>
                  </a:graphic>
                </wp:inline>
              </w:drawing>
            </w:r>
            <w:r w:rsidRPr="002E427B">
              <w:rPr>
                <w:rFonts w:ascii="Calibri" w:eastAsia="Calibri" w:hAnsi="Calibri"/>
                <w:sz w:val="22"/>
                <w:szCs w:val="22"/>
                <w:lang w:eastAsia="en-US"/>
              </w:rPr>
              <w:fldChar w:fldCharType="end"/>
            </w:r>
          </w:p>
        </w:tc>
      </w:tr>
      <w:tr w:rsidR="002E427B" w:rsidRPr="002E427B" w14:paraId="3C1841B8" w14:textId="77777777" w:rsidTr="007B7E95">
        <w:tc>
          <w:tcPr>
            <w:tcW w:w="10183" w:type="dxa"/>
          </w:tcPr>
          <w:p w14:paraId="24A3D467" w14:textId="79C69BE7" w:rsidR="002E427B" w:rsidRPr="002E427B" w:rsidRDefault="002E427B" w:rsidP="002E427B">
            <w:pPr>
              <w:jc w:val="center"/>
              <w:rPr>
                <w:rFonts w:ascii="Calibri" w:eastAsia="Calibri" w:hAnsi="Calibri"/>
                <w:sz w:val="22"/>
                <w:szCs w:val="22"/>
                <w:lang w:eastAsia="en-US"/>
              </w:rPr>
            </w:pPr>
            <w:r w:rsidRPr="002E427B">
              <w:rPr>
                <w:rFonts w:ascii="Calibri" w:eastAsia="Calibri" w:hAnsi="Calibri"/>
                <w:sz w:val="22"/>
                <w:szCs w:val="22"/>
                <w:lang w:eastAsia="en-US"/>
              </w:rPr>
              <w:fldChar w:fldCharType="begin"/>
            </w:r>
            <w:r w:rsidRPr="002E427B">
              <w:rPr>
                <w:rFonts w:ascii="Calibri" w:eastAsia="Calibri" w:hAnsi="Calibri"/>
                <w:sz w:val="22"/>
                <w:szCs w:val="22"/>
                <w:lang w:eastAsia="en-US"/>
              </w:rPr>
              <w:instrText xml:space="preserve"> LINK PowerPoint.Slide.8 "D:\\2015\\MARZO 2014\\GRÁFICAS EN POWER POINT\\15.- GRÁFICAS DEL INDICADOR DE PEDIDOS MANUFACTUREROS.pptx!272" "" \a \p </w:instrText>
            </w:r>
            <w:r w:rsidRPr="002E427B">
              <w:rPr>
                <w:rFonts w:ascii="Calibri" w:eastAsia="Calibri" w:hAnsi="Calibri"/>
                <w:sz w:val="22"/>
                <w:szCs w:val="22"/>
                <w:lang w:eastAsia="en-US"/>
              </w:rPr>
              <w:fldChar w:fldCharType="separate"/>
            </w:r>
            <w:r w:rsidRPr="002E427B">
              <w:rPr>
                <w:rFonts w:ascii="Calibri" w:eastAsia="Calibri" w:hAnsi="Calibri"/>
                <w:noProof/>
                <w:sz w:val="22"/>
                <w:szCs w:val="22"/>
                <w:lang w:eastAsia="es-MX"/>
              </w:rPr>
              <w:drawing>
                <wp:inline distT="0" distB="0" distL="0" distR="0" wp14:anchorId="224FA9CF" wp14:editId="0FEFB385">
                  <wp:extent cx="5214620" cy="2471420"/>
                  <wp:effectExtent l="0" t="0" r="5080" b="5080"/>
                  <wp:docPr id="1489" name="Imagen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0"/>
                          <pic:cNvPicPr>
                            <a:picLocks noChangeAspect="1" noChangeArrowheads="1"/>
                          </pic:cNvPicPr>
                        </pic:nvPicPr>
                        <pic:blipFill>
                          <a:blip r:embed="rId171" cstate="print">
                            <a:extLst>
                              <a:ext uri="{28A0092B-C50C-407E-A947-70E740481C1C}">
                                <a14:useLocalDpi xmlns:a14="http://schemas.microsoft.com/office/drawing/2010/main" val="0"/>
                              </a:ext>
                            </a:extLst>
                          </a:blip>
                          <a:srcRect l="7199" t="16112" r="7355" b="12778"/>
                          <a:stretch>
                            <a:fillRect/>
                          </a:stretch>
                        </pic:blipFill>
                        <pic:spPr bwMode="auto">
                          <a:xfrm>
                            <a:off x="0" y="0"/>
                            <a:ext cx="5214620" cy="2471420"/>
                          </a:xfrm>
                          <a:prstGeom prst="rect">
                            <a:avLst/>
                          </a:prstGeom>
                          <a:noFill/>
                          <a:ln>
                            <a:noFill/>
                          </a:ln>
                        </pic:spPr>
                      </pic:pic>
                    </a:graphicData>
                  </a:graphic>
                </wp:inline>
              </w:drawing>
            </w:r>
            <w:r w:rsidRPr="002E427B">
              <w:rPr>
                <w:rFonts w:ascii="Calibri" w:eastAsia="Calibri" w:hAnsi="Calibri"/>
                <w:sz w:val="22"/>
                <w:szCs w:val="22"/>
                <w:lang w:eastAsia="en-US"/>
              </w:rPr>
              <w:fldChar w:fldCharType="end"/>
            </w:r>
          </w:p>
        </w:tc>
      </w:tr>
    </w:tbl>
    <w:p w14:paraId="579A686A" w14:textId="06BFFAF3" w:rsidR="002F11AD" w:rsidRPr="002F11AD" w:rsidRDefault="002F11AD" w:rsidP="002F11AD">
      <w:pPr>
        <w:spacing w:after="360" w:line="360" w:lineRule="auto"/>
        <w:ind w:right="-159"/>
        <w:jc w:val="center"/>
        <w:rPr>
          <w:rFonts w:eastAsia="Times New Roman"/>
          <w:sz w:val="26"/>
          <w:szCs w:val="26"/>
        </w:rPr>
      </w:pPr>
    </w:p>
    <w:p w14:paraId="59A47D01" w14:textId="77777777" w:rsidR="002F11AD" w:rsidRPr="002F11AD" w:rsidRDefault="002F11AD" w:rsidP="002F11AD">
      <w:pPr>
        <w:spacing w:after="360" w:line="360" w:lineRule="auto"/>
        <w:ind w:right="-159"/>
        <w:jc w:val="both"/>
        <w:rPr>
          <w:rFonts w:eastAsia="Times New Roman"/>
          <w:sz w:val="26"/>
          <w:szCs w:val="26"/>
        </w:rPr>
      </w:pPr>
      <w:r w:rsidRPr="002F11AD">
        <w:rPr>
          <w:rFonts w:eastAsia="Times New Roman"/>
          <w:sz w:val="26"/>
          <w:szCs w:val="26"/>
        </w:rPr>
        <w:t>Con cifras sin desestacionalizar, en febrero de 2015, el Indicador de Pedidos Manufactureros se ubicó en 51.9 puntos, lo que representó un crecimiento de 0.5 puntos respecto al nivel observado en igual mes de 2014.</w:t>
      </w:r>
    </w:p>
    <w:p w14:paraId="165C68AE" w14:textId="374154E8" w:rsidR="002F11AD" w:rsidRPr="002F11AD" w:rsidRDefault="002E427B" w:rsidP="002F11AD">
      <w:pPr>
        <w:spacing w:after="360" w:line="360" w:lineRule="auto"/>
        <w:ind w:right="-159"/>
        <w:jc w:val="center"/>
        <w:rPr>
          <w:rFonts w:eastAsia="Times New Roman"/>
          <w:sz w:val="26"/>
          <w:szCs w:val="26"/>
        </w:rPr>
      </w:pPr>
      <w:r w:rsidRPr="002E427B">
        <w:rPr>
          <w:rFonts w:ascii="Calibri" w:eastAsia="Calibri" w:hAnsi="Calibri"/>
          <w:sz w:val="22"/>
          <w:szCs w:val="22"/>
          <w:lang w:eastAsia="en-US"/>
        </w:rPr>
        <w:lastRenderedPageBreak/>
        <w:fldChar w:fldCharType="begin"/>
      </w:r>
      <w:r w:rsidRPr="002E427B">
        <w:rPr>
          <w:rFonts w:ascii="Calibri" w:eastAsia="Calibri" w:hAnsi="Calibri"/>
          <w:sz w:val="22"/>
          <w:szCs w:val="22"/>
          <w:lang w:eastAsia="en-US"/>
        </w:rPr>
        <w:instrText xml:space="preserve"> LINK PowerPoint.Slide.8 "D:\\2015\\MARZO 2014\\GRÁFICAS EN POWER POINT\\15.- GRÁFICAS DEL INDICADOR DE PEDIDOS MANUFACTUREROS.pptx!263" "" \a \p </w:instrText>
      </w:r>
      <w:r w:rsidRPr="002E427B">
        <w:rPr>
          <w:rFonts w:ascii="Calibri" w:eastAsia="Calibri" w:hAnsi="Calibri"/>
          <w:sz w:val="22"/>
          <w:szCs w:val="22"/>
          <w:lang w:eastAsia="en-US"/>
        </w:rPr>
        <w:fldChar w:fldCharType="separate"/>
      </w:r>
      <w:r w:rsidRPr="002E427B">
        <w:rPr>
          <w:rFonts w:ascii="Calibri" w:eastAsia="Calibri" w:hAnsi="Calibri"/>
          <w:noProof/>
          <w:sz w:val="22"/>
          <w:szCs w:val="22"/>
          <w:lang w:eastAsia="es-MX"/>
        </w:rPr>
        <w:drawing>
          <wp:inline distT="0" distB="0" distL="0" distR="0" wp14:anchorId="64DDA6DC" wp14:editId="0753DC91">
            <wp:extent cx="4664710" cy="3200400"/>
            <wp:effectExtent l="0" t="0" r="2540" b="0"/>
            <wp:docPr id="1492" name="Imagen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7"/>
                    <pic:cNvPicPr>
                      <a:picLocks noChangeAspect="1" noChangeArrowheads="1"/>
                    </pic:cNvPicPr>
                  </pic:nvPicPr>
                  <pic:blipFill>
                    <a:blip r:embed="rId172" cstate="print">
                      <a:extLst>
                        <a:ext uri="{28A0092B-C50C-407E-A947-70E740481C1C}">
                          <a14:useLocalDpi xmlns:a14="http://schemas.microsoft.com/office/drawing/2010/main" val="0"/>
                        </a:ext>
                      </a:extLst>
                    </a:blip>
                    <a:srcRect l="12207" r="11580" b="6389"/>
                    <a:stretch>
                      <a:fillRect/>
                    </a:stretch>
                  </pic:blipFill>
                  <pic:spPr bwMode="auto">
                    <a:xfrm>
                      <a:off x="0" y="0"/>
                      <a:ext cx="4664710" cy="3200400"/>
                    </a:xfrm>
                    <a:prstGeom prst="rect">
                      <a:avLst/>
                    </a:prstGeom>
                    <a:noFill/>
                    <a:ln>
                      <a:noFill/>
                    </a:ln>
                  </pic:spPr>
                </pic:pic>
              </a:graphicData>
            </a:graphic>
          </wp:inline>
        </w:drawing>
      </w:r>
      <w:r w:rsidRPr="002E427B">
        <w:rPr>
          <w:rFonts w:ascii="Calibri" w:eastAsia="Calibri" w:hAnsi="Calibri"/>
          <w:sz w:val="22"/>
          <w:szCs w:val="22"/>
          <w:lang w:eastAsia="en-US"/>
        </w:rPr>
        <w:fldChar w:fldCharType="end"/>
      </w:r>
    </w:p>
    <w:p w14:paraId="7228A277" w14:textId="77777777" w:rsidR="002F11AD" w:rsidRPr="002F11AD" w:rsidRDefault="002F11AD" w:rsidP="002F11AD">
      <w:pPr>
        <w:spacing w:after="360" w:line="360" w:lineRule="auto"/>
        <w:ind w:right="-159"/>
        <w:jc w:val="both"/>
        <w:rPr>
          <w:rFonts w:eastAsia="Times New Roman"/>
          <w:sz w:val="26"/>
          <w:szCs w:val="26"/>
        </w:rPr>
      </w:pPr>
      <w:r w:rsidRPr="002F11AD">
        <w:rPr>
          <w:rFonts w:eastAsia="Times New Roman"/>
          <w:sz w:val="26"/>
          <w:szCs w:val="26"/>
        </w:rPr>
        <w:t>Durante el segundo mes de 2015, tres de los cinco componentes que integran el IPM reportaron alzas anuales con cifras originales, en tanto que los dos subíndices restantes mostraron descensos respecto a los niveles alcanzados en febrero de 2014.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46"/>
        <w:gridCol w:w="1080"/>
        <w:gridCol w:w="1080"/>
        <w:gridCol w:w="1244"/>
      </w:tblGrid>
      <w:tr w:rsidR="002F11AD" w:rsidRPr="002F11AD" w14:paraId="0239FA50" w14:textId="77777777" w:rsidTr="0024224F">
        <w:trPr>
          <w:jc w:val="center"/>
        </w:trPr>
        <w:tc>
          <w:tcPr>
            <w:tcW w:w="8250" w:type="dxa"/>
            <w:gridSpan w:val="4"/>
            <w:tcBorders>
              <w:top w:val="nil"/>
              <w:left w:val="nil"/>
              <w:right w:val="nil"/>
            </w:tcBorders>
          </w:tcPr>
          <w:p w14:paraId="1BEDA578" w14:textId="77777777" w:rsidR="002F11AD" w:rsidRPr="002F11AD" w:rsidRDefault="002F11AD" w:rsidP="002F11AD">
            <w:pPr>
              <w:jc w:val="center"/>
              <w:rPr>
                <w:rFonts w:eastAsia="Times New Roman"/>
                <w:b/>
                <w:sz w:val="22"/>
                <w:szCs w:val="22"/>
              </w:rPr>
            </w:pPr>
            <w:r w:rsidRPr="002F11AD">
              <w:rPr>
                <w:rFonts w:eastAsia="Times New Roman"/>
                <w:b/>
                <w:sz w:val="22"/>
                <w:szCs w:val="22"/>
              </w:rPr>
              <w:t>COMPONENTES DEL INDICADOR DE PEDIDOS MANUFACTUREROS</w:t>
            </w:r>
          </w:p>
          <w:p w14:paraId="06F1B85A" w14:textId="77777777" w:rsidR="002F11AD" w:rsidRPr="002F11AD" w:rsidRDefault="002F11AD" w:rsidP="002F11AD">
            <w:pPr>
              <w:jc w:val="center"/>
              <w:rPr>
                <w:rFonts w:eastAsia="Times New Roman"/>
                <w:b/>
                <w:sz w:val="20"/>
                <w:szCs w:val="20"/>
              </w:rPr>
            </w:pPr>
            <w:r w:rsidRPr="002F11AD">
              <w:rPr>
                <w:rFonts w:eastAsia="Times New Roman"/>
                <w:b/>
                <w:sz w:val="22"/>
                <w:szCs w:val="22"/>
              </w:rPr>
              <w:t>CIFRAS ORIGINALES</w:t>
            </w:r>
          </w:p>
        </w:tc>
      </w:tr>
      <w:tr w:rsidR="002F11AD" w:rsidRPr="002F11AD" w14:paraId="3FB527AE" w14:textId="77777777" w:rsidTr="0024224F">
        <w:trPr>
          <w:jc w:val="center"/>
        </w:trPr>
        <w:tc>
          <w:tcPr>
            <w:tcW w:w="4846" w:type="dxa"/>
            <w:vMerge w:val="restart"/>
            <w:vAlign w:val="center"/>
          </w:tcPr>
          <w:p w14:paraId="05448996" w14:textId="77777777" w:rsidR="002F11AD" w:rsidRPr="002F11AD" w:rsidRDefault="002F11AD" w:rsidP="002F11AD">
            <w:pPr>
              <w:jc w:val="center"/>
              <w:rPr>
                <w:rFonts w:eastAsia="Times New Roman"/>
                <w:b/>
                <w:sz w:val="20"/>
                <w:szCs w:val="20"/>
              </w:rPr>
            </w:pPr>
            <w:r w:rsidRPr="002F11AD">
              <w:rPr>
                <w:rFonts w:eastAsia="Times New Roman"/>
                <w:b/>
                <w:sz w:val="20"/>
                <w:szCs w:val="20"/>
              </w:rPr>
              <w:t>Indicadores</w:t>
            </w:r>
          </w:p>
        </w:tc>
        <w:tc>
          <w:tcPr>
            <w:tcW w:w="2160" w:type="dxa"/>
            <w:gridSpan w:val="2"/>
          </w:tcPr>
          <w:p w14:paraId="315EEDA7" w14:textId="77777777" w:rsidR="002F11AD" w:rsidRPr="002F11AD" w:rsidRDefault="002F11AD" w:rsidP="002F11AD">
            <w:pPr>
              <w:jc w:val="center"/>
              <w:rPr>
                <w:rFonts w:eastAsia="Times New Roman"/>
                <w:b/>
                <w:sz w:val="20"/>
                <w:szCs w:val="20"/>
              </w:rPr>
            </w:pPr>
            <w:r w:rsidRPr="002F11AD">
              <w:rPr>
                <w:rFonts w:eastAsia="Times New Roman"/>
                <w:b/>
                <w:sz w:val="20"/>
                <w:szCs w:val="20"/>
              </w:rPr>
              <w:t>Febrero</w:t>
            </w:r>
          </w:p>
        </w:tc>
        <w:tc>
          <w:tcPr>
            <w:tcW w:w="1244" w:type="dxa"/>
            <w:vMerge w:val="restart"/>
          </w:tcPr>
          <w:p w14:paraId="21CFE5F2" w14:textId="77777777" w:rsidR="002F11AD" w:rsidRPr="002F11AD" w:rsidRDefault="002F11AD" w:rsidP="002F11AD">
            <w:pPr>
              <w:jc w:val="center"/>
              <w:rPr>
                <w:rFonts w:eastAsia="Times New Roman"/>
                <w:b/>
                <w:sz w:val="20"/>
                <w:szCs w:val="20"/>
              </w:rPr>
            </w:pPr>
            <w:r w:rsidRPr="002F11AD">
              <w:rPr>
                <w:rFonts w:eastAsia="Times New Roman"/>
                <w:b/>
                <w:sz w:val="20"/>
                <w:szCs w:val="20"/>
              </w:rPr>
              <w:t>Diferencia en puntos</w:t>
            </w:r>
            <w:r w:rsidRPr="002F11AD">
              <w:rPr>
                <w:rFonts w:eastAsia="Times New Roman"/>
                <w:b/>
                <w:sz w:val="20"/>
                <w:szCs w:val="20"/>
                <w:u w:val="single"/>
                <w:vertAlign w:val="superscript"/>
              </w:rPr>
              <w:t>1</w:t>
            </w:r>
            <w:r w:rsidRPr="002F11AD">
              <w:rPr>
                <w:rFonts w:eastAsia="Times New Roman"/>
                <w:b/>
                <w:sz w:val="20"/>
                <w:szCs w:val="20"/>
                <w:vertAlign w:val="superscript"/>
              </w:rPr>
              <w:t>/</w:t>
            </w:r>
          </w:p>
        </w:tc>
      </w:tr>
      <w:tr w:rsidR="002F11AD" w:rsidRPr="002F11AD" w14:paraId="4B8E7613" w14:textId="77777777" w:rsidTr="0024224F">
        <w:trPr>
          <w:jc w:val="center"/>
        </w:trPr>
        <w:tc>
          <w:tcPr>
            <w:tcW w:w="4846" w:type="dxa"/>
            <w:vMerge/>
            <w:tcBorders>
              <w:bottom w:val="single" w:sz="4" w:space="0" w:color="auto"/>
            </w:tcBorders>
          </w:tcPr>
          <w:p w14:paraId="23C0073B" w14:textId="77777777" w:rsidR="002F11AD" w:rsidRPr="002F11AD" w:rsidRDefault="002F11AD" w:rsidP="002F11AD">
            <w:pPr>
              <w:rPr>
                <w:rFonts w:eastAsia="Times New Roman"/>
                <w:b/>
                <w:sz w:val="20"/>
                <w:szCs w:val="20"/>
              </w:rPr>
            </w:pPr>
          </w:p>
        </w:tc>
        <w:tc>
          <w:tcPr>
            <w:tcW w:w="1080" w:type="dxa"/>
            <w:tcBorders>
              <w:bottom w:val="single" w:sz="4" w:space="0" w:color="auto"/>
            </w:tcBorders>
          </w:tcPr>
          <w:p w14:paraId="18E22978" w14:textId="77777777" w:rsidR="002F11AD" w:rsidRPr="002F11AD" w:rsidRDefault="002F11AD" w:rsidP="002F11AD">
            <w:pPr>
              <w:jc w:val="center"/>
              <w:rPr>
                <w:rFonts w:eastAsia="Times New Roman"/>
                <w:b/>
                <w:sz w:val="20"/>
                <w:szCs w:val="20"/>
              </w:rPr>
            </w:pPr>
            <w:r w:rsidRPr="002F11AD">
              <w:rPr>
                <w:rFonts w:eastAsia="Times New Roman"/>
                <w:b/>
                <w:sz w:val="20"/>
                <w:szCs w:val="20"/>
              </w:rPr>
              <w:t>2014</w:t>
            </w:r>
          </w:p>
        </w:tc>
        <w:tc>
          <w:tcPr>
            <w:tcW w:w="1080" w:type="dxa"/>
            <w:tcBorders>
              <w:bottom w:val="single" w:sz="4" w:space="0" w:color="auto"/>
            </w:tcBorders>
          </w:tcPr>
          <w:p w14:paraId="375D9B90" w14:textId="77777777" w:rsidR="002F11AD" w:rsidRPr="002F11AD" w:rsidRDefault="002F11AD" w:rsidP="002F11AD">
            <w:pPr>
              <w:jc w:val="center"/>
              <w:rPr>
                <w:rFonts w:eastAsia="Times New Roman"/>
                <w:b/>
                <w:sz w:val="20"/>
                <w:szCs w:val="20"/>
              </w:rPr>
            </w:pPr>
            <w:r w:rsidRPr="002F11AD">
              <w:rPr>
                <w:rFonts w:eastAsia="Times New Roman"/>
                <w:b/>
                <w:sz w:val="20"/>
                <w:szCs w:val="20"/>
              </w:rPr>
              <w:t>2015</w:t>
            </w:r>
            <w:r w:rsidRPr="002F11AD">
              <w:rPr>
                <w:rFonts w:eastAsia="Times New Roman"/>
                <w:b/>
                <w:sz w:val="20"/>
                <w:szCs w:val="20"/>
                <w:u w:val="single"/>
                <w:vertAlign w:val="superscript"/>
              </w:rPr>
              <w:t>p</w:t>
            </w:r>
            <w:r w:rsidRPr="002F11AD">
              <w:rPr>
                <w:rFonts w:eastAsia="Times New Roman"/>
                <w:b/>
                <w:sz w:val="20"/>
                <w:szCs w:val="20"/>
                <w:vertAlign w:val="superscript"/>
              </w:rPr>
              <w:t>/</w:t>
            </w:r>
          </w:p>
        </w:tc>
        <w:tc>
          <w:tcPr>
            <w:tcW w:w="1244" w:type="dxa"/>
            <w:vMerge/>
            <w:tcBorders>
              <w:bottom w:val="single" w:sz="4" w:space="0" w:color="auto"/>
            </w:tcBorders>
          </w:tcPr>
          <w:p w14:paraId="1D25BB48" w14:textId="77777777" w:rsidR="002F11AD" w:rsidRPr="002F11AD" w:rsidRDefault="002F11AD" w:rsidP="002F11AD">
            <w:pPr>
              <w:jc w:val="center"/>
              <w:rPr>
                <w:rFonts w:eastAsia="Times New Roman"/>
                <w:b/>
                <w:sz w:val="20"/>
                <w:szCs w:val="20"/>
              </w:rPr>
            </w:pPr>
          </w:p>
        </w:tc>
      </w:tr>
      <w:tr w:rsidR="002F11AD" w:rsidRPr="002F11AD" w14:paraId="026E6D32" w14:textId="77777777" w:rsidTr="0024224F">
        <w:trPr>
          <w:jc w:val="center"/>
        </w:trPr>
        <w:tc>
          <w:tcPr>
            <w:tcW w:w="4846" w:type="dxa"/>
            <w:tcBorders>
              <w:bottom w:val="nil"/>
            </w:tcBorders>
          </w:tcPr>
          <w:p w14:paraId="3354843B" w14:textId="77777777" w:rsidR="002F11AD" w:rsidRPr="002F11AD" w:rsidRDefault="002F11AD" w:rsidP="002F11AD">
            <w:pPr>
              <w:rPr>
                <w:rFonts w:eastAsia="Times New Roman"/>
                <w:b/>
                <w:sz w:val="20"/>
                <w:szCs w:val="20"/>
              </w:rPr>
            </w:pPr>
            <w:r w:rsidRPr="002F11AD">
              <w:rPr>
                <w:rFonts w:eastAsia="Times New Roman"/>
                <w:b/>
                <w:sz w:val="20"/>
                <w:szCs w:val="20"/>
              </w:rPr>
              <w:t>Indicador de Pedidos Manufactureros</w:t>
            </w:r>
          </w:p>
        </w:tc>
        <w:tc>
          <w:tcPr>
            <w:tcW w:w="1080" w:type="dxa"/>
            <w:tcBorders>
              <w:bottom w:val="nil"/>
            </w:tcBorders>
          </w:tcPr>
          <w:p w14:paraId="4C61904B" w14:textId="77777777" w:rsidR="002F11AD" w:rsidRPr="002F11AD" w:rsidRDefault="002F11AD" w:rsidP="002F11AD">
            <w:pPr>
              <w:jc w:val="center"/>
              <w:rPr>
                <w:rFonts w:eastAsia="Times New Roman"/>
                <w:b/>
                <w:sz w:val="20"/>
                <w:szCs w:val="20"/>
              </w:rPr>
            </w:pPr>
            <w:r w:rsidRPr="002F11AD">
              <w:rPr>
                <w:rFonts w:eastAsia="Times New Roman"/>
                <w:b/>
                <w:sz w:val="20"/>
                <w:szCs w:val="20"/>
              </w:rPr>
              <w:t>51.4</w:t>
            </w:r>
          </w:p>
        </w:tc>
        <w:tc>
          <w:tcPr>
            <w:tcW w:w="1080" w:type="dxa"/>
            <w:tcBorders>
              <w:bottom w:val="nil"/>
            </w:tcBorders>
          </w:tcPr>
          <w:p w14:paraId="55E96450" w14:textId="77777777" w:rsidR="002F11AD" w:rsidRPr="002F11AD" w:rsidRDefault="002F11AD" w:rsidP="002F11AD">
            <w:pPr>
              <w:jc w:val="center"/>
              <w:rPr>
                <w:rFonts w:eastAsia="Times New Roman"/>
                <w:b/>
                <w:sz w:val="20"/>
                <w:szCs w:val="20"/>
              </w:rPr>
            </w:pPr>
            <w:r w:rsidRPr="002F11AD">
              <w:rPr>
                <w:rFonts w:eastAsia="Times New Roman"/>
                <w:b/>
                <w:sz w:val="20"/>
                <w:szCs w:val="20"/>
              </w:rPr>
              <w:t>51.9</w:t>
            </w:r>
          </w:p>
        </w:tc>
        <w:tc>
          <w:tcPr>
            <w:tcW w:w="1244" w:type="dxa"/>
            <w:tcBorders>
              <w:bottom w:val="nil"/>
            </w:tcBorders>
          </w:tcPr>
          <w:p w14:paraId="75BA2D72" w14:textId="77777777" w:rsidR="002F11AD" w:rsidRPr="002F11AD" w:rsidRDefault="002F11AD" w:rsidP="002F11AD">
            <w:pPr>
              <w:ind w:right="397"/>
              <w:jc w:val="right"/>
              <w:rPr>
                <w:rFonts w:eastAsia="Times New Roman"/>
                <w:b/>
                <w:sz w:val="20"/>
                <w:szCs w:val="20"/>
              </w:rPr>
            </w:pPr>
            <w:r w:rsidRPr="002F11AD">
              <w:rPr>
                <w:rFonts w:eastAsia="Times New Roman"/>
                <w:b/>
                <w:sz w:val="20"/>
                <w:szCs w:val="20"/>
              </w:rPr>
              <w:t>0.5</w:t>
            </w:r>
          </w:p>
        </w:tc>
      </w:tr>
      <w:tr w:rsidR="002F11AD" w:rsidRPr="002F11AD" w14:paraId="63126A90" w14:textId="77777777" w:rsidTr="0024224F">
        <w:trPr>
          <w:jc w:val="center"/>
        </w:trPr>
        <w:tc>
          <w:tcPr>
            <w:tcW w:w="4846" w:type="dxa"/>
            <w:tcBorders>
              <w:top w:val="nil"/>
              <w:bottom w:val="nil"/>
            </w:tcBorders>
          </w:tcPr>
          <w:p w14:paraId="615FD787" w14:textId="77777777" w:rsidR="002F11AD" w:rsidRPr="002F11AD" w:rsidRDefault="002F11AD" w:rsidP="002F11AD">
            <w:pPr>
              <w:ind w:left="113"/>
              <w:rPr>
                <w:rFonts w:eastAsia="Times New Roman"/>
                <w:sz w:val="20"/>
                <w:szCs w:val="20"/>
              </w:rPr>
            </w:pPr>
            <w:r w:rsidRPr="002F11AD">
              <w:rPr>
                <w:rFonts w:eastAsia="Times New Roman"/>
                <w:sz w:val="20"/>
                <w:szCs w:val="20"/>
              </w:rPr>
              <w:t>a) Pedidos</w:t>
            </w:r>
          </w:p>
        </w:tc>
        <w:tc>
          <w:tcPr>
            <w:tcW w:w="1080" w:type="dxa"/>
            <w:tcBorders>
              <w:top w:val="nil"/>
              <w:bottom w:val="nil"/>
            </w:tcBorders>
          </w:tcPr>
          <w:p w14:paraId="34DC3102" w14:textId="77777777" w:rsidR="002F11AD" w:rsidRPr="002F11AD" w:rsidRDefault="002F11AD" w:rsidP="002F11AD">
            <w:pPr>
              <w:jc w:val="center"/>
              <w:rPr>
                <w:rFonts w:eastAsia="Times New Roman"/>
                <w:sz w:val="20"/>
                <w:szCs w:val="20"/>
              </w:rPr>
            </w:pPr>
            <w:r w:rsidRPr="002F11AD">
              <w:rPr>
                <w:rFonts w:eastAsia="Times New Roman"/>
                <w:sz w:val="20"/>
                <w:szCs w:val="20"/>
              </w:rPr>
              <w:t>53.4</w:t>
            </w:r>
          </w:p>
        </w:tc>
        <w:tc>
          <w:tcPr>
            <w:tcW w:w="1080" w:type="dxa"/>
            <w:tcBorders>
              <w:top w:val="nil"/>
              <w:bottom w:val="nil"/>
            </w:tcBorders>
          </w:tcPr>
          <w:p w14:paraId="7E50F7D5" w14:textId="77777777" w:rsidR="002F11AD" w:rsidRPr="002F11AD" w:rsidRDefault="002F11AD" w:rsidP="002F11AD">
            <w:pPr>
              <w:jc w:val="center"/>
              <w:rPr>
                <w:rFonts w:eastAsia="Times New Roman"/>
                <w:sz w:val="20"/>
                <w:szCs w:val="20"/>
              </w:rPr>
            </w:pPr>
            <w:r w:rsidRPr="002F11AD">
              <w:rPr>
                <w:rFonts w:eastAsia="Times New Roman"/>
                <w:sz w:val="20"/>
                <w:szCs w:val="20"/>
              </w:rPr>
              <w:t>53.4</w:t>
            </w:r>
          </w:p>
        </w:tc>
        <w:tc>
          <w:tcPr>
            <w:tcW w:w="1244" w:type="dxa"/>
            <w:tcBorders>
              <w:top w:val="nil"/>
              <w:bottom w:val="nil"/>
            </w:tcBorders>
          </w:tcPr>
          <w:p w14:paraId="0340ABFB" w14:textId="77777777" w:rsidR="002F11AD" w:rsidRPr="002F11AD" w:rsidRDefault="002F11AD" w:rsidP="002F11AD">
            <w:pPr>
              <w:ind w:right="397"/>
              <w:jc w:val="right"/>
              <w:rPr>
                <w:rFonts w:eastAsia="Times New Roman"/>
                <w:sz w:val="20"/>
                <w:szCs w:val="20"/>
              </w:rPr>
            </w:pPr>
            <w:r w:rsidRPr="002F11AD">
              <w:rPr>
                <w:rFonts w:eastAsia="Times New Roman"/>
                <w:sz w:val="20"/>
                <w:szCs w:val="20"/>
              </w:rPr>
              <w:t>-0.1</w:t>
            </w:r>
          </w:p>
        </w:tc>
      </w:tr>
      <w:tr w:rsidR="002F11AD" w:rsidRPr="002F11AD" w14:paraId="26A5D913" w14:textId="77777777" w:rsidTr="0024224F">
        <w:trPr>
          <w:jc w:val="center"/>
        </w:trPr>
        <w:tc>
          <w:tcPr>
            <w:tcW w:w="4846" w:type="dxa"/>
            <w:tcBorders>
              <w:top w:val="nil"/>
              <w:bottom w:val="nil"/>
            </w:tcBorders>
          </w:tcPr>
          <w:p w14:paraId="548F00DD" w14:textId="77777777" w:rsidR="002F11AD" w:rsidRPr="002F11AD" w:rsidRDefault="002F11AD" w:rsidP="002F11AD">
            <w:pPr>
              <w:ind w:left="113"/>
              <w:rPr>
                <w:rFonts w:eastAsia="Times New Roman"/>
                <w:sz w:val="20"/>
                <w:szCs w:val="20"/>
              </w:rPr>
            </w:pPr>
            <w:r w:rsidRPr="002F11AD">
              <w:rPr>
                <w:rFonts w:eastAsia="Times New Roman"/>
                <w:sz w:val="20"/>
                <w:szCs w:val="20"/>
              </w:rPr>
              <w:t>b) Producción</w:t>
            </w:r>
          </w:p>
        </w:tc>
        <w:tc>
          <w:tcPr>
            <w:tcW w:w="1080" w:type="dxa"/>
            <w:tcBorders>
              <w:top w:val="nil"/>
              <w:bottom w:val="nil"/>
            </w:tcBorders>
          </w:tcPr>
          <w:p w14:paraId="0D20F402" w14:textId="77777777" w:rsidR="002F11AD" w:rsidRPr="002F11AD" w:rsidRDefault="002F11AD" w:rsidP="002F11AD">
            <w:pPr>
              <w:jc w:val="center"/>
              <w:rPr>
                <w:rFonts w:eastAsia="Times New Roman"/>
                <w:sz w:val="20"/>
                <w:szCs w:val="20"/>
              </w:rPr>
            </w:pPr>
            <w:r w:rsidRPr="002F11AD">
              <w:rPr>
                <w:rFonts w:eastAsia="Times New Roman"/>
                <w:sz w:val="20"/>
                <w:szCs w:val="20"/>
              </w:rPr>
              <w:t>52.1</w:t>
            </w:r>
          </w:p>
        </w:tc>
        <w:tc>
          <w:tcPr>
            <w:tcW w:w="1080" w:type="dxa"/>
            <w:tcBorders>
              <w:top w:val="nil"/>
              <w:bottom w:val="nil"/>
            </w:tcBorders>
          </w:tcPr>
          <w:p w14:paraId="443D9C69" w14:textId="77777777" w:rsidR="002F11AD" w:rsidRPr="002F11AD" w:rsidRDefault="002F11AD" w:rsidP="002F11AD">
            <w:pPr>
              <w:jc w:val="center"/>
              <w:rPr>
                <w:rFonts w:eastAsia="Times New Roman"/>
                <w:sz w:val="20"/>
                <w:szCs w:val="20"/>
              </w:rPr>
            </w:pPr>
            <w:r w:rsidRPr="002F11AD">
              <w:rPr>
                <w:rFonts w:eastAsia="Times New Roman"/>
                <w:sz w:val="20"/>
                <w:szCs w:val="20"/>
              </w:rPr>
              <w:t>53.6</w:t>
            </w:r>
          </w:p>
        </w:tc>
        <w:tc>
          <w:tcPr>
            <w:tcW w:w="1244" w:type="dxa"/>
            <w:tcBorders>
              <w:top w:val="nil"/>
              <w:bottom w:val="nil"/>
            </w:tcBorders>
          </w:tcPr>
          <w:p w14:paraId="0AA63E04" w14:textId="77777777" w:rsidR="002F11AD" w:rsidRPr="002F11AD" w:rsidRDefault="002F11AD" w:rsidP="002F11AD">
            <w:pPr>
              <w:ind w:right="397"/>
              <w:jc w:val="right"/>
              <w:rPr>
                <w:rFonts w:eastAsia="Times New Roman"/>
                <w:sz w:val="20"/>
                <w:szCs w:val="20"/>
              </w:rPr>
            </w:pPr>
            <w:r w:rsidRPr="002F11AD">
              <w:rPr>
                <w:rFonts w:eastAsia="Times New Roman"/>
                <w:sz w:val="20"/>
                <w:szCs w:val="20"/>
              </w:rPr>
              <w:t>1.5</w:t>
            </w:r>
          </w:p>
        </w:tc>
      </w:tr>
      <w:tr w:rsidR="002F11AD" w:rsidRPr="002F11AD" w14:paraId="68523168" w14:textId="77777777" w:rsidTr="0024224F">
        <w:trPr>
          <w:jc w:val="center"/>
        </w:trPr>
        <w:tc>
          <w:tcPr>
            <w:tcW w:w="4846" w:type="dxa"/>
            <w:tcBorders>
              <w:top w:val="nil"/>
              <w:bottom w:val="nil"/>
            </w:tcBorders>
          </w:tcPr>
          <w:p w14:paraId="43857B87" w14:textId="77777777" w:rsidR="002F11AD" w:rsidRPr="002F11AD" w:rsidRDefault="002F11AD" w:rsidP="002F11AD">
            <w:pPr>
              <w:ind w:left="113"/>
              <w:rPr>
                <w:rFonts w:eastAsia="Times New Roman"/>
                <w:sz w:val="20"/>
                <w:szCs w:val="20"/>
              </w:rPr>
            </w:pPr>
            <w:r w:rsidRPr="002F11AD">
              <w:rPr>
                <w:rFonts w:eastAsia="Times New Roman"/>
                <w:sz w:val="20"/>
                <w:szCs w:val="20"/>
              </w:rPr>
              <w:t>c) Personal ocupado</w:t>
            </w:r>
          </w:p>
        </w:tc>
        <w:tc>
          <w:tcPr>
            <w:tcW w:w="1080" w:type="dxa"/>
            <w:tcBorders>
              <w:top w:val="nil"/>
              <w:bottom w:val="nil"/>
            </w:tcBorders>
          </w:tcPr>
          <w:p w14:paraId="72E0CAC6" w14:textId="77777777" w:rsidR="002F11AD" w:rsidRPr="002F11AD" w:rsidRDefault="002F11AD" w:rsidP="002F11AD">
            <w:pPr>
              <w:jc w:val="center"/>
              <w:rPr>
                <w:rFonts w:eastAsia="Times New Roman"/>
                <w:sz w:val="20"/>
                <w:szCs w:val="20"/>
              </w:rPr>
            </w:pPr>
            <w:r w:rsidRPr="002F11AD">
              <w:rPr>
                <w:rFonts w:eastAsia="Times New Roman"/>
                <w:sz w:val="20"/>
                <w:szCs w:val="20"/>
              </w:rPr>
              <w:t>52.2</w:t>
            </w:r>
          </w:p>
        </w:tc>
        <w:tc>
          <w:tcPr>
            <w:tcW w:w="1080" w:type="dxa"/>
            <w:tcBorders>
              <w:top w:val="nil"/>
              <w:bottom w:val="nil"/>
            </w:tcBorders>
          </w:tcPr>
          <w:p w14:paraId="34CFFAE0" w14:textId="77777777" w:rsidR="002F11AD" w:rsidRPr="002F11AD" w:rsidRDefault="002F11AD" w:rsidP="002F11AD">
            <w:pPr>
              <w:jc w:val="center"/>
              <w:rPr>
                <w:rFonts w:eastAsia="Times New Roman"/>
                <w:sz w:val="20"/>
                <w:szCs w:val="20"/>
              </w:rPr>
            </w:pPr>
            <w:r w:rsidRPr="002F11AD">
              <w:rPr>
                <w:rFonts w:eastAsia="Times New Roman"/>
                <w:sz w:val="20"/>
                <w:szCs w:val="20"/>
              </w:rPr>
              <w:t>51.9</w:t>
            </w:r>
          </w:p>
        </w:tc>
        <w:tc>
          <w:tcPr>
            <w:tcW w:w="1244" w:type="dxa"/>
            <w:tcBorders>
              <w:top w:val="nil"/>
              <w:bottom w:val="nil"/>
            </w:tcBorders>
          </w:tcPr>
          <w:p w14:paraId="29D84169" w14:textId="77777777" w:rsidR="002F11AD" w:rsidRPr="002F11AD" w:rsidRDefault="002F11AD" w:rsidP="002F11AD">
            <w:pPr>
              <w:ind w:right="397"/>
              <w:jc w:val="right"/>
              <w:rPr>
                <w:rFonts w:eastAsia="Times New Roman"/>
                <w:sz w:val="20"/>
                <w:szCs w:val="20"/>
              </w:rPr>
            </w:pPr>
            <w:r w:rsidRPr="002F11AD">
              <w:rPr>
                <w:rFonts w:eastAsia="Times New Roman"/>
                <w:sz w:val="20"/>
                <w:szCs w:val="20"/>
              </w:rPr>
              <w:t>-0.3</w:t>
            </w:r>
          </w:p>
        </w:tc>
      </w:tr>
      <w:tr w:rsidR="002F11AD" w:rsidRPr="002F11AD" w14:paraId="01CABB45" w14:textId="77777777" w:rsidTr="0024224F">
        <w:trPr>
          <w:jc w:val="center"/>
        </w:trPr>
        <w:tc>
          <w:tcPr>
            <w:tcW w:w="4846" w:type="dxa"/>
            <w:tcBorders>
              <w:top w:val="nil"/>
              <w:bottom w:val="nil"/>
            </w:tcBorders>
          </w:tcPr>
          <w:p w14:paraId="343E61F0" w14:textId="77777777" w:rsidR="002F11AD" w:rsidRPr="002F11AD" w:rsidRDefault="002F11AD" w:rsidP="002F11AD">
            <w:pPr>
              <w:ind w:left="368" w:hanging="255"/>
              <w:rPr>
                <w:rFonts w:eastAsia="Times New Roman"/>
                <w:sz w:val="20"/>
                <w:szCs w:val="20"/>
              </w:rPr>
            </w:pPr>
            <w:r w:rsidRPr="002F11AD">
              <w:rPr>
                <w:rFonts w:eastAsia="Times New Roman"/>
                <w:sz w:val="20"/>
                <w:szCs w:val="20"/>
              </w:rPr>
              <w:t>d) Oportunidad de la entrega de insumos de los proveedores</w:t>
            </w:r>
          </w:p>
        </w:tc>
        <w:tc>
          <w:tcPr>
            <w:tcW w:w="1080" w:type="dxa"/>
            <w:tcBorders>
              <w:top w:val="nil"/>
              <w:bottom w:val="nil"/>
            </w:tcBorders>
            <w:vAlign w:val="center"/>
          </w:tcPr>
          <w:p w14:paraId="583FF107" w14:textId="77777777" w:rsidR="002F11AD" w:rsidRPr="002F11AD" w:rsidRDefault="002F11AD" w:rsidP="002F11AD">
            <w:pPr>
              <w:jc w:val="center"/>
              <w:rPr>
                <w:rFonts w:eastAsia="Times New Roman"/>
                <w:sz w:val="20"/>
                <w:szCs w:val="20"/>
              </w:rPr>
            </w:pPr>
            <w:r w:rsidRPr="002F11AD">
              <w:rPr>
                <w:rFonts w:eastAsia="Times New Roman"/>
                <w:sz w:val="20"/>
                <w:szCs w:val="20"/>
              </w:rPr>
              <w:t>45.5</w:t>
            </w:r>
          </w:p>
        </w:tc>
        <w:tc>
          <w:tcPr>
            <w:tcW w:w="1080" w:type="dxa"/>
            <w:tcBorders>
              <w:top w:val="nil"/>
              <w:bottom w:val="nil"/>
            </w:tcBorders>
            <w:vAlign w:val="center"/>
          </w:tcPr>
          <w:p w14:paraId="280E8644" w14:textId="77777777" w:rsidR="002F11AD" w:rsidRPr="002F11AD" w:rsidRDefault="002F11AD" w:rsidP="002F11AD">
            <w:pPr>
              <w:jc w:val="center"/>
              <w:rPr>
                <w:rFonts w:eastAsia="Times New Roman"/>
                <w:sz w:val="20"/>
                <w:szCs w:val="20"/>
              </w:rPr>
            </w:pPr>
            <w:r w:rsidRPr="002F11AD">
              <w:rPr>
                <w:rFonts w:eastAsia="Times New Roman"/>
                <w:sz w:val="20"/>
                <w:szCs w:val="20"/>
              </w:rPr>
              <w:t>45.6</w:t>
            </w:r>
          </w:p>
        </w:tc>
        <w:tc>
          <w:tcPr>
            <w:tcW w:w="1244" w:type="dxa"/>
            <w:tcBorders>
              <w:top w:val="nil"/>
              <w:bottom w:val="nil"/>
            </w:tcBorders>
            <w:vAlign w:val="center"/>
          </w:tcPr>
          <w:p w14:paraId="5041A7AF" w14:textId="77777777" w:rsidR="002F11AD" w:rsidRPr="002F11AD" w:rsidRDefault="002F11AD" w:rsidP="002F11AD">
            <w:pPr>
              <w:ind w:right="397"/>
              <w:jc w:val="right"/>
              <w:rPr>
                <w:rFonts w:eastAsia="Times New Roman"/>
                <w:sz w:val="20"/>
                <w:szCs w:val="20"/>
              </w:rPr>
            </w:pPr>
            <w:r w:rsidRPr="002F11AD">
              <w:rPr>
                <w:rFonts w:eastAsia="Times New Roman"/>
                <w:sz w:val="20"/>
                <w:szCs w:val="20"/>
              </w:rPr>
              <w:t>0.2</w:t>
            </w:r>
          </w:p>
        </w:tc>
      </w:tr>
      <w:tr w:rsidR="002F11AD" w:rsidRPr="002F11AD" w14:paraId="1D9CF760" w14:textId="77777777" w:rsidTr="0024224F">
        <w:trPr>
          <w:jc w:val="center"/>
        </w:trPr>
        <w:tc>
          <w:tcPr>
            <w:tcW w:w="4846" w:type="dxa"/>
            <w:tcBorders>
              <w:top w:val="nil"/>
              <w:bottom w:val="single" w:sz="4" w:space="0" w:color="auto"/>
            </w:tcBorders>
          </w:tcPr>
          <w:p w14:paraId="597EFF9C" w14:textId="77777777" w:rsidR="002F11AD" w:rsidRPr="002F11AD" w:rsidRDefault="002F11AD" w:rsidP="002F11AD">
            <w:pPr>
              <w:ind w:left="113"/>
              <w:rPr>
                <w:rFonts w:eastAsia="Times New Roman"/>
                <w:sz w:val="20"/>
                <w:szCs w:val="20"/>
              </w:rPr>
            </w:pPr>
            <w:r w:rsidRPr="002F11AD">
              <w:rPr>
                <w:rFonts w:eastAsia="Times New Roman"/>
                <w:sz w:val="20"/>
                <w:szCs w:val="20"/>
              </w:rPr>
              <w:t>e) Inventarios de insumos</w:t>
            </w:r>
          </w:p>
        </w:tc>
        <w:tc>
          <w:tcPr>
            <w:tcW w:w="1080" w:type="dxa"/>
            <w:tcBorders>
              <w:top w:val="nil"/>
              <w:bottom w:val="single" w:sz="4" w:space="0" w:color="auto"/>
            </w:tcBorders>
          </w:tcPr>
          <w:p w14:paraId="7820F0B1" w14:textId="77777777" w:rsidR="002F11AD" w:rsidRPr="002F11AD" w:rsidRDefault="002F11AD" w:rsidP="002F11AD">
            <w:pPr>
              <w:jc w:val="center"/>
              <w:rPr>
                <w:rFonts w:eastAsia="Times New Roman"/>
                <w:sz w:val="20"/>
                <w:szCs w:val="20"/>
              </w:rPr>
            </w:pPr>
            <w:r w:rsidRPr="002F11AD">
              <w:rPr>
                <w:rFonts w:eastAsia="Times New Roman"/>
                <w:sz w:val="20"/>
                <w:szCs w:val="20"/>
              </w:rPr>
              <w:t>50.6</w:t>
            </w:r>
          </w:p>
        </w:tc>
        <w:tc>
          <w:tcPr>
            <w:tcW w:w="1080" w:type="dxa"/>
            <w:tcBorders>
              <w:top w:val="nil"/>
              <w:bottom w:val="single" w:sz="4" w:space="0" w:color="auto"/>
            </w:tcBorders>
          </w:tcPr>
          <w:p w14:paraId="22BEB229" w14:textId="77777777" w:rsidR="002F11AD" w:rsidRPr="002F11AD" w:rsidRDefault="002F11AD" w:rsidP="002F11AD">
            <w:pPr>
              <w:jc w:val="center"/>
              <w:rPr>
                <w:rFonts w:eastAsia="Times New Roman"/>
                <w:sz w:val="20"/>
                <w:szCs w:val="20"/>
              </w:rPr>
            </w:pPr>
            <w:r w:rsidRPr="002F11AD">
              <w:rPr>
                <w:rFonts w:eastAsia="Times New Roman"/>
                <w:sz w:val="20"/>
                <w:szCs w:val="20"/>
              </w:rPr>
              <w:t>52.7</w:t>
            </w:r>
          </w:p>
        </w:tc>
        <w:tc>
          <w:tcPr>
            <w:tcW w:w="1244" w:type="dxa"/>
            <w:tcBorders>
              <w:top w:val="nil"/>
              <w:bottom w:val="single" w:sz="4" w:space="0" w:color="auto"/>
            </w:tcBorders>
          </w:tcPr>
          <w:p w14:paraId="08C58C1D" w14:textId="77777777" w:rsidR="002F11AD" w:rsidRPr="002F11AD" w:rsidRDefault="002F11AD" w:rsidP="002F11AD">
            <w:pPr>
              <w:ind w:right="397"/>
              <w:jc w:val="right"/>
              <w:rPr>
                <w:rFonts w:eastAsia="Times New Roman"/>
                <w:sz w:val="20"/>
                <w:szCs w:val="20"/>
              </w:rPr>
            </w:pPr>
            <w:r w:rsidRPr="002F11AD">
              <w:rPr>
                <w:rFonts w:eastAsia="Times New Roman"/>
                <w:sz w:val="20"/>
                <w:szCs w:val="20"/>
              </w:rPr>
              <w:t>2.1</w:t>
            </w:r>
          </w:p>
        </w:tc>
      </w:tr>
      <w:tr w:rsidR="002F11AD" w:rsidRPr="002F11AD" w14:paraId="70EE879A" w14:textId="77777777" w:rsidTr="0024224F">
        <w:trPr>
          <w:jc w:val="center"/>
        </w:trPr>
        <w:tc>
          <w:tcPr>
            <w:tcW w:w="8250" w:type="dxa"/>
            <w:gridSpan w:val="4"/>
            <w:tcBorders>
              <w:left w:val="nil"/>
              <w:bottom w:val="nil"/>
              <w:right w:val="nil"/>
            </w:tcBorders>
          </w:tcPr>
          <w:p w14:paraId="29CAD240" w14:textId="77777777" w:rsidR="002F11AD" w:rsidRPr="002F11AD" w:rsidRDefault="002F11AD" w:rsidP="002F11AD">
            <w:pPr>
              <w:rPr>
                <w:rFonts w:eastAsia="Times New Roman"/>
                <w:sz w:val="20"/>
                <w:szCs w:val="20"/>
              </w:rPr>
            </w:pPr>
            <w:r w:rsidRPr="002F11AD">
              <w:rPr>
                <w:rFonts w:eastAsia="Times New Roman"/>
                <w:sz w:val="20"/>
                <w:szCs w:val="20"/>
              </w:rPr>
              <w:t>Nota: Los indicadores se generan con los datos referidos al mes de la entrevista.</w:t>
            </w:r>
          </w:p>
          <w:p w14:paraId="64F0B9D0" w14:textId="77777777" w:rsidR="002F11AD" w:rsidRPr="002F11AD" w:rsidRDefault="002F11AD" w:rsidP="002F11AD">
            <w:pPr>
              <w:ind w:left="227" w:hanging="227"/>
              <w:rPr>
                <w:rFonts w:eastAsia="Times New Roman"/>
                <w:sz w:val="20"/>
                <w:szCs w:val="20"/>
              </w:rPr>
            </w:pPr>
            <w:r w:rsidRPr="002F11AD">
              <w:rPr>
                <w:rFonts w:eastAsia="Times New Roman"/>
                <w:sz w:val="20"/>
                <w:szCs w:val="20"/>
                <w:u w:val="single"/>
              </w:rPr>
              <w:t>1</w:t>
            </w:r>
            <w:r w:rsidRPr="002F11AD">
              <w:rPr>
                <w:rFonts w:eastAsia="Times New Roman"/>
                <w:sz w:val="20"/>
                <w:szCs w:val="20"/>
              </w:rPr>
              <w:t>/ Las diferencias en puntos se obtienen de los respectivos indicadores considerando todos sus decimales.</w:t>
            </w:r>
          </w:p>
          <w:p w14:paraId="0215553B" w14:textId="77777777" w:rsidR="002F11AD" w:rsidRPr="002F11AD" w:rsidRDefault="002F11AD" w:rsidP="002F11AD">
            <w:pPr>
              <w:rPr>
                <w:rFonts w:eastAsia="Times New Roman"/>
                <w:sz w:val="20"/>
                <w:szCs w:val="20"/>
              </w:rPr>
            </w:pPr>
            <w:r w:rsidRPr="002F11AD">
              <w:rPr>
                <w:rFonts w:eastAsia="Times New Roman"/>
                <w:sz w:val="20"/>
                <w:szCs w:val="20"/>
                <w:u w:val="single"/>
              </w:rPr>
              <w:t>p</w:t>
            </w:r>
            <w:r w:rsidRPr="002F11AD">
              <w:rPr>
                <w:rFonts w:eastAsia="Times New Roman"/>
                <w:sz w:val="20"/>
                <w:szCs w:val="20"/>
              </w:rPr>
              <w:t>/ Dato preliminar.</w:t>
            </w:r>
          </w:p>
          <w:p w14:paraId="077364CC" w14:textId="77777777" w:rsidR="002F11AD" w:rsidRPr="002F11AD" w:rsidRDefault="002F11AD" w:rsidP="002F11AD">
            <w:pPr>
              <w:rPr>
                <w:rFonts w:eastAsia="Times New Roman"/>
                <w:sz w:val="20"/>
                <w:szCs w:val="20"/>
              </w:rPr>
            </w:pPr>
            <w:r w:rsidRPr="002F11AD">
              <w:rPr>
                <w:rFonts w:eastAsia="Times New Roman"/>
                <w:sz w:val="20"/>
                <w:szCs w:val="20"/>
              </w:rPr>
              <w:t>FUENTE: INEGI.</w:t>
            </w:r>
          </w:p>
        </w:tc>
      </w:tr>
    </w:tbl>
    <w:p w14:paraId="09D51733" w14:textId="77777777" w:rsidR="002F11AD" w:rsidRDefault="002F11AD" w:rsidP="002F11AD">
      <w:pPr>
        <w:spacing w:after="360" w:line="360" w:lineRule="auto"/>
        <w:ind w:right="-159"/>
        <w:jc w:val="both"/>
        <w:rPr>
          <w:rFonts w:eastAsia="Times New Roman"/>
          <w:b/>
          <w:sz w:val="26"/>
          <w:szCs w:val="26"/>
        </w:rPr>
      </w:pPr>
    </w:p>
    <w:p w14:paraId="7B78CB45" w14:textId="77777777" w:rsidR="00814220" w:rsidRDefault="00814220" w:rsidP="002F11AD">
      <w:pPr>
        <w:spacing w:after="360" w:line="360" w:lineRule="auto"/>
        <w:ind w:right="-159"/>
        <w:jc w:val="both"/>
        <w:rPr>
          <w:rFonts w:eastAsia="Times New Roman"/>
          <w:b/>
          <w:sz w:val="26"/>
          <w:szCs w:val="26"/>
        </w:rPr>
      </w:pPr>
    </w:p>
    <w:p w14:paraId="641B05B5" w14:textId="77777777" w:rsidR="00814220" w:rsidRDefault="00814220" w:rsidP="002F11AD">
      <w:pPr>
        <w:spacing w:after="360" w:line="360" w:lineRule="auto"/>
        <w:ind w:right="-159"/>
        <w:jc w:val="both"/>
        <w:rPr>
          <w:rFonts w:eastAsia="Times New Roman"/>
          <w:b/>
          <w:sz w:val="26"/>
          <w:szCs w:val="26"/>
        </w:rPr>
      </w:pPr>
    </w:p>
    <w:p w14:paraId="4EE7B83F" w14:textId="77777777" w:rsidR="002F11AD" w:rsidRPr="002F11AD" w:rsidRDefault="002F11AD" w:rsidP="002F11AD">
      <w:pPr>
        <w:spacing w:after="360" w:line="360" w:lineRule="auto"/>
        <w:ind w:right="-159"/>
        <w:jc w:val="both"/>
        <w:rPr>
          <w:rFonts w:eastAsia="Times New Roman"/>
          <w:b/>
          <w:sz w:val="26"/>
          <w:szCs w:val="26"/>
        </w:rPr>
      </w:pPr>
      <w:r w:rsidRPr="002F11AD">
        <w:rPr>
          <w:rFonts w:eastAsia="Times New Roman"/>
          <w:b/>
          <w:sz w:val="26"/>
          <w:szCs w:val="26"/>
        </w:rPr>
        <w:lastRenderedPageBreak/>
        <w:t xml:space="preserve">Indicador de Pedidos Manufactureros por grupos de subsectores de actividad </w:t>
      </w:r>
    </w:p>
    <w:p w14:paraId="2A9435FC" w14:textId="77777777" w:rsidR="002F11AD" w:rsidRDefault="002F11AD" w:rsidP="002F11AD">
      <w:pPr>
        <w:spacing w:after="360" w:line="360" w:lineRule="auto"/>
        <w:ind w:right="-159"/>
        <w:jc w:val="both"/>
        <w:rPr>
          <w:rFonts w:eastAsia="Times New Roman"/>
          <w:sz w:val="26"/>
          <w:szCs w:val="26"/>
        </w:rPr>
      </w:pPr>
      <w:r w:rsidRPr="002F11AD">
        <w:rPr>
          <w:rFonts w:eastAsia="Times New Roman"/>
          <w:sz w:val="26"/>
          <w:szCs w:val="26"/>
        </w:rPr>
        <w:t>Por grupos de subsectores de actividad económica, en el mes en cuestión el índice referido al agregado de Alimentos, bebidas y tabaco registró un incremento anual de 0.3 puntos con cifras originales; el de Derivados del petróleo y del carbón, industria química, del plástico y del hule mostró una caída de 0.2 puntos; el de Minerales no metálicos y metálicas básicas aumentó 1.1 puntos; el de Equipo de computación, accesorios electrónicos y aparatos eléctricos creció 1.8 puntos; el de Equipo de transporte presentó una alza de 1.2 puntos; el de Productos metálicos, maquinaria, equipo y muebles disminuyó 1.1 puntos y el correspondiente a Textiles, prendas de vestir, cuero y piel, madera, papel y otras reportó un avance de 1.1 puntos.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50"/>
        <w:gridCol w:w="900"/>
        <w:gridCol w:w="842"/>
        <w:gridCol w:w="1182"/>
      </w:tblGrid>
      <w:tr w:rsidR="002F11AD" w:rsidRPr="002F11AD" w14:paraId="48F5B462" w14:textId="77777777" w:rsidTr="0024224F">
        <w:trPr>
          <w:jc w:val="center"/>
        </w:trPr>
        <w:tc>
          <w:tcPr>
            <w:tcW w:w="8274" w:type="dxa"/>
            <w:gridSpan w:val="4"/>
            <w:tcBorders>
              <w:top w:val="nil"/>
              <w:left w:val="nil"/>
              <w:bottom w:val="single" w:sz="4" w:space="0" w:color="auto"/>
              <w:right w:val="nil"/>
            </w:tcBorders>
          </w:tcPr>
          <w:p w14:paraId="12E7CA02" w14:textId="77777777" w:rsidR="002F11AD" w:rsidRPr="002F11AD" w:rsidRDefault="002F11AD" w:rsidP="002F11AD">
            <w:pPr>
              <w:jc w:val="center"/>
              <w:rPr>
                <w:rFonts w:eastAsia="Times New Roman"/>
                <w:b/>
                <w:sz w:val="22"/>
                <w:szCs w:val="22"/>
              </w:rPr>
            </w:pPr>
            <w:r w:rsidRPr="002F11AD">
              <w:rPr>
                <w:rFonts w:eastAsia="Times New Roman"/>
                <w:b/>
                <w:sz w:val="22"/>
                <w:szCs w:val="22"/>
              </w:rPr>
              <w:t xml:space="preserve">INDICADOR DE PEDIDOS MANUFACTUREROS POR GRUPOS DE </w:t>
            </w:r>
          </w:p>
          <w:p w14:paraId="613D70D0" w14:textId="77777777" w:rsidR="002F11AD" w:rsidRPr="002F11AD" w:rsidRDefault="002F11AD" w:rsidP="002F11AD">
            <w:pPr>
              <w:jc w:val="center"/>
              <w:rPr>
                <w:rFonts w:eastAsia="Times New Roman"/>
                <w:b/>
                <w:sz w:val="22"/>
                <w:szCs w:val="22"/>
              </w:rPr>
            </w:pPr>
            <w:r w:rsidRPr="002F11AD">
              <w:rPr>
                <w:rFonts w:eastAsia="Times New Roman"/>
                <w:b/>
                <w:sz w:val="22"/>
                <w:szCs w:val="22"/>
              </w:rPr>
              <w:t>SUBSECTORES DE ACTIVIDAD</w:t>
            </w:r>
          </w:p>
          <w:p w14:paraId="0D1DBD59" w14:textId="77777777" w:rsidR="002F11AD" w:rsidRPr="002F11AD" w:rsidRDefault="002F11AD" w:rsidP="002F11AD">
            <w:pPr>
              <w:jc w:val="center"/>
              <w:rPr>
                <w:rFonts w:eastAsia="Times New Roman"/>
                <w:b/>
                <w:sz w:val="20"/>
                <w:szCs w:val="20"/>
              </w:rPr>
            </w:pPr>
            <w:r w:rsidRPr="002F11AD">
              <w:rPr>
                <w:rFonts w:eastAsia="Times New Roman"/>
                <w:b/>
                <w:sz w:val="22"/>
                <w:szCs w:val="22"/>
              </w:rPr>
              <w:t>CIFRAS ORIGINALES</w:t>
            </w:r>
          </w:p>
        </w:tc>
      </w:tr>
      <w:tr w:rsidR="002F11AD" w:rsidRPr="002F11AD" w14:paraId="406E3D72" w14:textId="77777777" w:rsidTr="0024224F">
        <w:trPr>
          <w:jc w:val="center"/>
        </w:trPr>
        <w:tc>
          <w:tcPr>
            <w:tcW w:w="5350" w:type="dxa"/>
            <w:vMerge w:val="restart"/>
            <w:tcBorders>
              <w:right w:val="single" w:sz="4" w:space="0" w:color="auto"/>
            </w:tcBorders>
            <w:vAlign w:val="center"/>
          </w:tcPr>
          <w:p w14:paraId="1515DE28" w14:textId="77777777" w:rsidR="002F11AD" w:rsidRPr="002F11AD" w:rsidRDefault="002F11AD" w:rsidP="002F11AD">
            <w:pPr>
              <w:jc w:val="center"/>
              <w:rPr>
                <w:rFonts w:eastAsia="Times New Roman"/>
                <w:b/>
                <w:sz w:val="20"/>
                <w:szCs w:val="20"/>
              </w:rPr>
            </w:pPr>
            <w:r w:rsidRPr="002F11AD">
              <w:rPr>
                <w:rFonts w:eastAsia="Times New Roman"/>
                <w:b/>
                <w:sz w:val="20"/>
                <w:szCs w:val="20"/>
              </w:rPr>
              <w:t>Grupos</w:t>
            </w:r>
          </w:p>
        </w:tc>
        <w:tc>
          <w:tcPr>
            <w:tcW w:w="1742" w:type="dxa"/>
            <w:gridSpan w:val="2"/>
            <w:tcBorders>
              <w:left w:val="single" w:sz="4" w:space="0" w:color="auto"/>
            </w:tcBorders>
          </w:tcPr>
          <w:p w14:paraId="02F8741C" w14:textId="77777777" w:rsidR="002F11AD" w:rsidRPr="002F11AD" w:rsidRDefault="002F11AD" w:rsidP="002F11AD">
            <w:pPr>
              <w:jc w:val="center"/>
              <w:rPr>
                <w:rFonts w:eastAsia="Times New Roman"/>
                <w:b/>
                <w:sz w:val="20"/>
                <w:szCs w:val="20"/>
              </w:rPr>
            </w:pPr>
            <w:r w:rsidRPr="002F11AD">
              <w:rPr>
                <w:rFonts w:eastAsia="Times New Roman"/>
                <w:b/>
                <w:sz w:val="20"/>
                <w:szCs w:val="20"/>
              </w:rPr>
              <w:t>Febrero</w:t>
            </w:r>
          </w:p>
        </w:tc>
        <w:tc>
          <w:tcPr>
            <w:tcW w:w="1182" w:type="dxa"/>
            <w:vMerge w:val="restart"/>
          </w:tcPr>
          <w:p w14:paraId="108B05E8" w14:textId="77777777" w:rsidR="002F11AD" w:rsidRPr="002F11AD" w:rsidRDefault="002F11AD" w:rsidP="002F11AD">
            <w:pPr>
              <w:jc w:val="center"/>
              <w:rPr>
                <w:rFonts w:eastAsia="Times New Roman"/>
                <w:b/>
                <w:sz w:val="20"/>
                <w:szCs w:val="20"/>
              </w:rPr>
            </w:pPr>
            <w:r w:rsidRPr="002F11AD">
              <w:rPr>
                <w:rFonts w:eastAsia="Times New Roman"/>
                <w:b/>
                <w:sz w:val="20"/>
                <w:szCs w:val="20"/>
              </w:rPr>
              <w:t>Diferencia en puntos</w:t>
            </w:r>
            <w:r w:rsidRPr="002F11AD">
              <w:rPr>
                <w:rFonts w:eastAsia="Times New Roman"/>
                <w:b/>
                <w:sz w:val="20"/>
                <w:szCs w:val="20"/>
                <w:u w:val="single"/>
                <w:vertAlign w:val="superscript"/>
              </w:rPr>
              <w:t>1</w:t>
            </w:r>
            <w:r w:rsidRPr="002F11AD">
              <w:rPr>
                <w:rFonts w:eastAsia="Times New Roman"/>
                <w:b/>
                <w:sz w:val="20"/>
                <w:szCs w:val="20"/>
                <w:vertAlign w:val="superscript"/>
              </w:rPr>
              <w:t>/</w:t>
            </w:r>
          </w:p>
        </w:tc>
      </w:tr>
      <w:tr w:rsidR="002F11AD" w:rsidRPr="002F11AD" w14:paraId="75509803" w14:textId="77777777" w:rsidTr="0024224F">
        <w:trPr>
          <w:jc w:val="center"/>
        </w:trPr>
        <w:tc>
          <w:tcPr>
            <w:tcW w:w="5350" w:type="dxa"/>
            <w:vMerge/>
            <w:tcBorders>
              <w:bottom w:val="single" w:sz="4" w:space="0" w:color="auto"/>
              <w:right w:val="single" w:sz="4" w:space="0" w:color="auto"/>
            </w:tcBorders>
          </w:tcPr>
          <w:p w14:paraId="603816AE" w14:textId="77777777" w:rsidR="002F11AD" w:rsidRPr="002F11AD" w:rsidRDefault="002F11AD" w:rsidP="002F11AD">
            <w:pPr>
              <w:rPr>
                <w:rFonts w:eastAsia="Times New Roman"/>
                <w:b/>
                <w:sz w:val="20"/>
                <w:szCs w:val="20"/>
              </w:rPr>
            </w:pPr>
          </w:p>
        </w:tc>
        <w:tc>
          <w:tcPr>
            <w:tcW w:w="900" w:type="dxa"/>
            <w:tcBorders>
              <w:left w:val="single" w:sz="4" w:space="0" w:color="auto"/>
              <w:bottom w:val="single" w:sz="4" w:space="0" w:color="auto"/>
            </w:tcBorders>
          </w:tcPr>
          <w:p w14:paraId="62CAEA00" w14:textId="77777777" w:rsidR="002F11AD" w:rsidRPr="002F11AD" w:rsidRDefault="002F11AD" w:rsidP="002F11AD">
            <w:pPr>
              <w:jc w:val="center"/>
              <w:rPr>
                <w:rFonts w:eastAsia="Times New Roman"/>
                <w:b/>
                <w:sz w:val="20"/>
                <w:szCs w:val="20"/>
              </w:rPr>
            </w:pPr>
            <w:r w:rsidRPr="002F11AD">
              <w:rPr>
                <w:rFonts w:eastAsia="Times New Roman"/>
                <w:b/>
                <w:sz w:val="20"/>
                <w:szCs w:val="20"/>
              </w:rPr>
              <w:t>2014</w:t>
            </w:r>
          </w:p>
        </w:tc>
        <w:tc>
          <w:tcPr>
            <w:tcW w:w="842" w:type="dxa"/>
            <w:tcBorders>
              <w:bottom w:val="single" w:sz="4" w:space="0" w:color="auto"/>
            </w:tcBorders>
          </w:tcPr>
          <w:p w14:paraId="1D7FE535" w14:textId="77777777" w:rsidR="002F11AD" w:rsidRPr="002F11AD" w:rsidRDefault="002F11AD" w:rsidP="002F11AD">
            <w:pPr>
              <w:jc w:val="center"/>
              <w:rPr>
                <w:rFonts w:eastAsia="Times New Roman"/>
                <w:b/>
                <w:sz w:val="20"/>
                <w:szCs w:val="20"/>
              </w:rPr>
            </w:pPr>
            <w:r w:rsidRPr="002F11AD">
              <w:rPr>
                <w:rFonts w:eastAsia="Times New Roman"/>
                <w:b/>
                <w:sz w:val="20"/>
                <w:szCs w:val="20"/>
              </w:rPr>
              <w:t>2015</w:t>
            </w:r>
            <w:r w:rsidRPr="002F11AD">
              <w:rPr>
                <w:rFonts w:eastAsia="Times New Roman"/>
                <w:b/>
                <w:sz w:val="20"/>
                <w:szCs w:val="20"/>
                <w:u w:val="single"/>
                <w:vertAlign w:val="superscript"/>
              </w:rPr>
              <w:t>p</w:t>
            </w:r>
            <w:r w:rsidRPr="002F11AD">
              <w:rPr>
                <w:rFonts w:eastAsia="Times New Roman"/>
                <w:b/>
                <w:sz w:val="20"/>
                <w:szCs w:val="20"/>
                <w:vertAlign w:val="superscript"/>
              </w:rPr>
              <w:t>/</w:t>
            </w:r>
          </w:p>
        </w:tc>
        <w:tc>
          <w:tcPr>
            <w:tcW w:w="1182" w:type="dxa"/>
            <w:vMerge/>
            <w:tcBorders>
              <w:bottom w:val="single" w:sz="4" w:space="0" w:color="auto"/>
            </w:tcBorders>
          </w:tcPr>
          <w:p w14:paraId="4E88E89C" w14:textId="77777777" w:rsidR="002F11AD" w:rsidRPr="002F11AD" w:rsidRDefault="002F11AD" w:rsidP="002F11AD">
            <w:pPr>
              <w:jc w:val="center"/>
              <w:rPr>
                <w:rFonts w:eastAsia="Times New Roman"/>
                <w:b/>
                <w:sz w:val="20"/>
                <w:szCs w:val="20"/>
              </w:rPr>
            </w:pPr>
          </w:p>
        </w:tc>
      </w:tr>
      <w:tr w:rsidR="002F11AD" w:rsidRPr="002F11AD" w14:paraId="3EB84EB5" w14:textId="77777777" w:rsidTr="0024224F">
        <w:trPr>
          <w:jc w:val="center"/>
        </w:trPr>
        <w:tc>
          <w:tcPr>
            <w:tcW w:w="5350" w:type="dxa"/>
            <w:tcBorders>
              <w:top w:val="single" w:sz="4" w:space="0" w:color="auto"/>
              <w:left w:val="single" w:sz="4" w:space="0" w:color="auto"/>
              <w:bottom w:val="nil"/>
              <w:right w:val="single" w:sz="4" w:space="0" w:color="auto"/>
            </w:tcBorders>
            <w:shd w:val="clear" w:color="auto" w:fill="auto"/>
          </w:tcPr>
          <w:p w14:paraId="2FE4A825" w14:textId="77777777" w:rsidR="002F11AD" w:rsidRPr="002F11AD" w:rsidRDefault="002F11AD" w:rsidP="002F11AD">
            <w:pPr>
              <w:rPr>
                <w:rFonts w:eastAsia="Times New Roman"/>
                <w:b/>
                <w:sz w:val="20"/>
                <w:szCs w:val="20"/>
              </w:rPr>
            </w:pPr>
            <w:r w:rsidRPr="002F11AD">
              <w:rPr>
                <w:rFonts w:eastAsia="Times New Roman"/>
                <w:b/>
                <w:sz w:val="20"/>
                <w:szCs w:val="20"/>
              </w:rPr>
              <w:t>Indicador de Pedidos Manufactureros</w:t>
            </w:r>
          </w:p>
        </w:tc>
        <w:tc>
          <w:tcPr>
            <w:tcW w:w="900" w:type="dxa"/>
            <w:tcBorders>
              <w:top w:val="single" w:sz="4" w:space="0" w:color="auto"/>
              <w:left w:val="single" w:sz="4" w:space="0" w:color="auto"/>
              <w:bottom w:val="nil"/>
              <w:right w:val="single" w:sz="4" w:space="0" w:color="auto"/>
            </w:tcBorders>
            <w:shd w:val="clear" w:color="auto" w:fill="auto"/>
          </w:tcPr>
          <w:p w14:paraId="7213736C" w14:textId="77777777" w:rsidR="002F11AD" w:rsidRPr="002F11AD" w:rsidRDefault="002F11AD" w:rsidP="002F11AD">
            <w:pPr>
              <w:jc w:val="center"/>
              <w:rPr>
                <w:rFonts w:eastAsia="Times New Roman"/>
                <w:b/>
                <w:sz w:val="20"/>
                <w:szCs w:val="20"/>
              </w:rPr>
            </w:pPr>
            <w:r w:rsidRPr="002F11AD">
              <w:rPr>
                <w:rFonts w:eastAsia="Times New Roman"/>
                <w:b/>
                <w:sz w:val="20"/>
                <w:szCs w:val="20"/>
              </w:rPr>
              <w:t>51.4</w:t>
            </w:r>
          </w:p>
        </w:tc>
        <w:tc>
          <w:tcPr>
            <w:tcW w:w="842" w:type="dxa"/>
            <w:tcBorders>
              <w:top w:val="single" w:sz="4" w:space="0" w:color="auto"/>
              <w:left w:val="single" w:sz="4" w:space="0" w:color="auto"/>
              <w:bottom w:val="nil"/>
              <w:right w:val="single" w:sz="4" w:space="0" w:color="auto"/>
            </w:tcBorders>
            <w:shd w:val="clear" w:color="auto" w:fill="auto"/>
          </w:tcPr>
          <w:p w14:paraId="6F3FEA39" w14:textId="77777777" w:rsidR="002F11AD" w:rsidRPr="002F11AD" w:rsidRDefault="002F11AD" w:rsidP="002F11AD">
            <w:pPr>
              <w:jc w:val="center"/>
              <w:rPr>
                <w:rFonts w:eastAsia="Times New Roman"/>
                <w:b/>
                <w:sz w:val="20"/>
                <w:szCs w:val="20"/>
              </w:rPr>
            </w:pPr>
            <w:r w:rsidRPr="002F11AD">
              <w:rPr>
                <w:rFonts w:eastAsia="Times New Roman"/>
                <w:b/>
                <w:sz w:val="20"/>
                <w:szCs w:val="20"/>
              </w:rPr>
              <w:t>51.9</w:t>
            </w:r>
          </w:p>
        </w:tc>
        <w:tc>
          <w:tcPr>
            <w:tcW w:w="1182" w:type="dxa"/>
            <w:tcBorders>
              <w:top w:val="single" w:sz="4" w:space="0" w:color="auto"/>
              <w:left w:val="single" w:sz="4" w:space="0" w:color="auto"/>
              <w:bottom w:val="nil"/>
              <w:right w:val="single" w:sz="4" w:space="0" w:color="auto"/>
            </w:tcBorders>
            <w:shd w:val="clear" w:color="auto" w:fill="auto"/>
          </w:tcPr>
          <w:p w14:paraId="02096D72" w14:textId="77777777" w:rsidR="002F11AD" w:rsidRPr="002F11AD" w:rsidRDefault="002F11AD" w:rsidP="002F11AD">
            <w:pPr>
              <w:ind w:right="340"/>
              <w:jc w:val="right"/>
              <w:rPr>
                <w:rFonts w:eastAsia="Times New Roman"/>
                <w:b/>
                <w:sz w:val="20"/>
                <w:szCs w:val="20"/>
              </w:rPr>
            </w:pPr>
            <w:r w:rsidRPr="002F11AD">
              <w:rPr>
                <w:rFonts w:eastAsia="Times New Roman"/>
                <w:b/>
                <w:sz w:val="20"/>
                <w:szCs w:val="20"/>
              </w:rPr>
              <w:t>0.5</w:t>
            </w:r>
          </w:p>
        </w:tc>
      </w:tr>
      <w:tr w:rsidR="002F11AD" w:rsidRPr="002F11AD" w14:paraId="512E2B27" w14:textId="77777777" w:rsidTr="0024224F">
        <w:trPr>
          <w:jc w:val="center"/>
        </w:trPr>
        <w:tc>
          <w:tcPr>
            <w:tcW w:w="5350" w:type="dxa"/>
            <w:tcBorders>
              <w:top w:val="nil"/>
              <w:left w:val="single" w:sz="4" w:space="0" w:color="auto"/>
              <w:bottom w:val="nil"/>
              <w:right w:val="single" w:sz="4" w:space="0" w:color="auto"/>
            </w:tcBorders>
            <w:shd w:val="clear" w:color="auto" w:fill="auto"/>
          </w:tcPr>
          <w:p w14:paraId="3FB05A9C" w14:textId="77777777" w:rsidR="002F11AD" w:rsidRPr="002F11AD" w:rsidRDefault="002F11AD" w:rsidP="002F11AD">
            <w:pPr>
              <w:ind w:left="113"/>
              <w:rPr>
                <w:rFonts w:eastAsia="Times New Roman"/>
                <w:sz w:val="20"/>
                <w:szCs w:val="20"/>
              </w:rPr>
            </w:pPr>
            <w:r w:rsidRPr="002F11AD">
              <w:rPr>
                <w:rFonts w:eastAsia="Times New Roman"/>
                <w:sz w:val="20"/>
                <w:szCs w:val="20"/>
              </w:rPr>
              <w:t>Alimentos, bebidas y tabaco</w:t>
            </w:r>
          </w:p>
        </w:tc>
        <w:tc>
          <w:tcPr>
            <w:tcW w:w="900" w:type="dxa"/>
            <w:tcBorders>
              <w:top w:val="nil"/>
              <w:left w:val="single" w:sz="4" w:space="0" w:color="auto"/>
              <w:bottom w:val="nil"/>
              <w:right w:val="single" w:sz="4" w:space="0" w:color="auto"/>
            </w:tcBorders>
            <w:shd w:val="clear" w:color="auto" w:fill="auto"/>
          </w:tcPr>
          <w:p w14:paraId="6B90EFE1" w14:textId="77777777" w:rsidR="002F11AD" w:rsidRPr="002F11AD" w:rsidRDefault="002F11AD" w:rsidP="002F11AD">
            <w:pPr>
              <w:jc w:val="center"/>
              <w:rPr>
                <w:rFonts w:eastAsia="Times New Roman"/>
                <w:sz w:val="20"/>
                <w:szCs w:val="20"/>
              </w:rPr>
            </w:pPr>
            <w:r w:rsidRPr="002F11AD">
              <w:rPr>
                <w:rFonts w:eastAsia="Times New Roman"/>
                <w:sz w:val="20"/>
                <w:szCs w:val="20"/>
              </w:rPr>
              <w:t>50.6</w:t>
            </w:r>
          </w:p>
        </w:tc>
        <w:tc>
          <w:tcPr>
            <w:tcW w:w="842" w:type="dxa"/>
            <w:tcBorders>
              <w:top w:val="nil"/>
              <w:left w:val="single" w:sz="4" w:space="0" w:color="auto"/>
              <w:bottom w:val="nil"/>
              <w:right w:val="single" w:sz="4" w:space="0" w:color="auto"/>
            </w:tcBorders>
            <w:shd w:val="clear" w:color="auto" w:fill="auto"/>
          </w:tcPr>
          <w:p w14:paraId="324F8971" w14:textId="77777777" w:rsidR="002F11AD" w:rsidRPr="002F11AD" w:rsidRDefault="002F11AD" w:rsidP="002F11AD">
            <w:pPr>
              <w:jc w:val="center"/>
              <w:rPr>
                <w:rFonts w:eastAsia="Times New Roman"/>
                <w:sz w:val="20"/>
                <w:szCs w:val="20"/>
              </w:rPr>
            </w:pPr>
            <w:r w:rsidRPr="002F11AD">
              <w:rPr>
                <w:rFonts w:eastAsia="Times New Roman"/>
                <w:sz w:val="20"/>
                <w:szCs w:val="20"/>
              </w:rPr>
              <w:t>50.9</w:t>
            </w:r>
          </w:p>
        </w:tc>
        <w:tc>
          <w:tcPr>
            <w:tcW w:w="1182" w:type="dxa"/>
            <w:tcBorders>
              <w:top w:val="nil"/>
              <w:left w:val="single" w:sz="4" w:space="0" w:color="auto"/>
              <w:bottom w:val="nil"/>
              <w:right w:val="single" w:sz="4" w:space="0" w:color="auto"/>
            </w:tcBorders>
            <w:shd w:val="clear" w:color="auto" w:fill="auto"/>
          </w:tcPr>
          <w:p w14:paraId="305893E3" w14:textId="77777777" w:rsidR="002F11AD" w:rsidRPr="002F11AD" w:rsidRDefault="002F11AD" w:rsidP="002F11AD">
            <w:pPr>
              <w:ind w:right="340"/>
              <w:jc w:val="right"/>
              <w:rPr>
                <w:rFonts w:eastAsia="Times New Roman"/>
                <w:sz w:val="20"/>
                <w:szCs w:val="20"/>
              </w:rPr>
            </w:pPr>
            <w:r w:rsidRPr="002F11AD">
              <w:rPr>
                <w:rFonts w:eastAsia="Times New Roman"/>
                <w:sz w:val="20"/>
                <w:szCs w:val="20"/>
              </w:rPr>
              <w:t>0.3</w:t>
            </w:r>
          </w:p>
        </w:tc>
      </w:tr>
      <w:tr w:rsidR="002F11AD" w:rsidRPr="002F11AD" w14:paraId="35B22FDE" w14:textId="77777777" w:rsidTr="0024224F">
        <w:trPr>
          <w:jc w:val="center"/>
        </w:trPr>
        <w:tc>
          <w:tcPr>
            <w:tcW w:w="5350" w:type="dxa"/>
            <w:tcBorders>
              <w:top w:val="nil"/>
              <w:left w:val="single" w:sz="4" w:space="0" w:color="auto"/>
              <w:bottom w:val="nil"/>
              <w:right w:val="single" w:sz="4" w:space="0" w:color="auto"/>
            </w:tcBorders>
            <w:shd w:val="clear" w:color="auto" w:fill="auto"/>
          </w:tcPr>
          <w:p w14:paraId="733A6024" w14:textId="77777777" w:rsidR="002F11AD" w:rsidRPr="002F11AD" w:rsidRDefault="002F11AD" w:rsidP="002F11AD">
            <w:pPr>
              <w:ind w:left="113"/>
              <w:rPr>
                <w:rFonts w:eastAsia="Times New Roman"/>
                <w:sz w:val="20"/>
                <w:szCs w:val="20"/>
              </w:rPr>
            </w:pPr>
            <w:r w:rsidRPr="002F11AD">
              <w:rPr>
                <w:rFonts w:eastAsia="Times New Roman"/>
                <w:sz w:val="20"/>
                <w:szCs w:val="20"/>
              </w:rPr>
              <w:t>Derivados del petróleo y del carbón, industria química, del plástico y del hule</w:t>
            </w:r>
          </w:p>
        </w:tc>
        <w:tc>
          <w:tcPr>
            <w:tcW w:w="900" w:type="dxa"/>
            <w:tcBorders>
              <w:top w:val="nil"/>
              <w:left w:val="single" w:sz="4" w:space="0" w:color="auto"/>
              <w:bottom w:val="nil"/>
              <w:right w:val="single" w:sz="4" w:space="0" w:color="auto"/>
            </w:tcBorders>
            <w:shd w:val="clear" w:color="auto" w:fill="auto"/>
            <w:vAlign w:val="center"/>
          </w:tcPr>
          <w:p w14:paraId="21873147" w14:textId="77777777" w:rsidR="002F11AD" w:rsidRPr="002F11AD" w:rsidRDefault="002F11AD" w:rsidP="002F11AD">
            <w:pPr>
              <w:jc w:val="center"/>
              <w:rPr>
                <w:rFonts w:eastAsia="Times New Roman"/>
                <w:sz w:val="20"/>
                <w:szCs w:val="20"/>
              </w:rPr>
            </w:pPr>
            <w:r w:rsidRPr="002F11AD">
              <w:rPr>
                <w:rFonts w:eastAsia="Times New Roman"/>
                <w:sz w:val="20"/>
                <w:szCs w:val="20"/>
              </w:rPr>
              <w:t>52.2</w:t>
            </w:r>
          </w:p>
        </w:tc>
        <w:tc>
          <w:tcPr>
            <w:tcW w:w="842" w:type="dxa"/>
            <w:tcBorders>
              <w:top w:val="nil"/>
              <w:left w:val="single" w:sz="4" w:space="0" w:color="auto"/>
              <w:bottom w:val="nil"/>
              <w:right w:val="single" w:sz="4" w:space="0" w:color="auto"/>
            </w:tcBorders>
            <w:shd w:val="clear" w:color="auto" w:fill="auto"/>
            <w:vAlign w:val="center"/>
          </w:tcPr>
          <w:p w14:paraId="5A7A2F5B" w14:textId="77777777" w:rsidR="002F11AD" w:rsidRPr="002F11AD" w:rsidRDefault="002F11AD" w:rsidP="002F11AD">
            <w:pPr>
              <w:jc w:val="center"/>
              <w:rPr>
                <w:rFonts w:eastAsia="Times New Roman"/>
                <w:sz w:val="20"/>
                <w:szCs w:val="20"/>
              </w:rPr>
            </w:pPr>
            <w:r w:rsidRPr="002F11AD">
              <w:rPr>
                <w:rFonts w:eastAsia="Times New Roman"/>
                <w:sz w:val="20"/>
                <w:szCs w:val="20"/>
              </w:rPr>
              <w:t>51.9</w:t>
            </w:r>
          </w:p>
        </w:tc>
        <w:tc>
          <w:tcPr>
            <w:tcW w:w="1182" w:type="dxa"/>
            <w:tcBorders>
              <w:top w:val="nil"/>
              <w:left w:val="single" w:sz="4" w:space="0" w:color="auto"/>
              <w:bottom w:val="nil"/>
              <w:right w:val="single" w:sz="4" w:space="0" w:color="auto"/>
            </w:tcBorders>
            <w:shd w:val="clear" w:color="auto" w:fill="auto"/>
            <w:vAlign w:val="center"/>
          </w:tcPr>
          <w:p w14:paraId="1C77A99A" w14:textId="77777777" w:rsidR="002F11AD" w:rsidRPr="002F11AD" w:rsidRDefault="002F11AD" w:rsidP="002F11AD">
            <w:pPr>
              <w:ind w:right="340"/>
              <w:jc w:val="right"/>
              <w:rPr>
                <w:rFonts w:eastAsia="Times New Roman"/>
                <w:sz w:val="20"/>
                <w:szCs w:val="20"/>
              </w:rPr>
            </w:pPr>
            <w:r w:rsidRPr="002F11AD">
              <w:rPr>
                <w:rFonts w:eastAsia="Times New Roman"/>
                <w:sz w:val="20"/>
                <w:szCs w:val="20"/>
              </w:rPr>
              <w:t>-0.2</w:t>
            </w:r>
          </w:p>
        </w:tc>
      </w:tr>
      <w:tr w:rsidR="002F11AD" w:rsidRPr="002F11AD" w14:paraId="0BB66AB0" w14:textId="77777777" w:rsidTr="0024224F">
        <w:trPr>
          <w:jc w:val="center"/>
        </w:trPr>
        <w:tc>
          <w:tcPr>
            <w:tcW w:w="5350" w:type="dxa"/>
            <w:tcBorders>
              <w:top w:val="nil"/>
              <w:left w:val="single" w:sz="4" w:space="0" w:color="auto"/>
              <w:bottom w:val="nil"/>
              <w:right w:val="single" w:sz="4" w:space="0" w:color="auto"/>
            </w:tcBorders>
            <w:shd w:val="clear" w:color="auto" w:fill="auto"/>
          </w:tcPr>
          <w:p w14:paraId="0FE336F6" w14:textId="77777777" w:rsidR="002F11AD" w:rsidRPr="002F11AD" w:rsidRDefault="002F11AD" w:rsidP="002F11AD">
            <w:pPr>
              <w:ind w:left="113"/>
              <w:rPr>
                <w:rFonts w:eastAsia="Times New Roman"/>
                <w:sz w:val="20"/>
                <w:szCs w:val="20"/>
              </w:rPr>
            </w:pPr>
            <w:r w:rsidRPr="002F11AD">
              <w:rPr>
                <w:rFonts w:eastAsia="Times New Roman"/>
                <w:sz w:val="20"/>
                <w:szCs w:val="20"/>
              </w:rPr>
              <w:t>Minerales no metálicos y metálicas básicas</w:t>
            </w:r>
          </w:p>
        </w:tc>
        <w:tc>
          <w:tcPr>
            <w:tcW w:w="900" w:type="dxa"/>
            <w:tcBorders>
              <w:top w:val="nil"/>
              <w:left w:val="single" w:sz="4" w:space="0" w:color="auto"/>
              <w:bottom w:val="nil"/>
              <w:right w:val="single" w:sz="4" w:space="0" w:color="auto"/>
            </w:tcBorders>
            <w:shd w:val="clear" w:color="auto" w:fill="auto"/>
          </w:tcPr>
          <w:p w14:paraId="1AC030A5" w14:textId="77777777" w:rsidR="002F11AD" w:rsidRPr="002F11AD" w:rsidRDefault="002F11AD" w:rsidP="002F11AD">
            <w:pPr>
              <w:jc w:val="center"/>
              <w:rPr>
                <w:rFonts w:eastAsia="Times New Roman"/>
                <w:sz w:val="20"/>
                <w:szCs w:val="20"/>
              </w:rPr>
            </w:pPr>
            <w:r w:rsidRPr="002F11AD">
              <w:rPr>
                <w:rFonts w:eastAsia="Times New Roman"/>
                <w:sz w:val="20"/>
                <w:szCs w:val="20"/>
              </w:rPr>
              <w:t>50.5</w:t>
            </w:r>
          </w:p>
        </w:tc>
        <w:tc>
          <w:tcPr>
            <w:tcW w:w="842" w:type="dxa"/>
            <w:tcBorders>
              <w:top w:val="nil"/>
              <w:left w:val="single" w:sz="4" w:space="0" w:color="auto"/>
              <w:bottom w:val="nil"/>
              <w:right w:val="single" w:sz="4" w:space="0" w:color="auto"/>
            </w:tcBorders>
            <w:shd w:val="clear" w:color="auto" w:fill="auto"/>
          </w:tcPr>
          <w:p w14:paraId="5A16E309" w14:textId="77777777" w:rsidR="002F11AD" w:rsidRPr="002F11AD" w:rsidRDefault="002F11AD" w:rsidP="002F11AD">
            <w:pPr>
              <w:jc w:val="center"/>
              <w:rPr>
                <w:rFonts w:eastAsia="Times New Roman"/>
                <w:sz w:val="20"/>
                <w:szCs w:val="20"/>
              </w:rPr>
            </w:pPr>
            <w:r w:rsidRPr="002F11AD">
              <w:rPr>
                <w:rFonts w:eastAsia="Times New Roman"/>
                <w:sz w:val="20"/>
                <w:szCs w:val="20"/>
              </w:rPr>
              <w:t>51.6</w:t>
            </w:r>
          </w:p>
        </w:tc>
        <w:tc>
          <w:tcPr>
            <w:tcW w:w="1182" w:type="dxa"/>
            <w:tcBorders>
              <w:top w:val="nil"/>
              <w:left w:val="single" w:sz="4" w:space="0" w:color="auto"/>
              <w:bottom w:val="nil"/>
              <w:right w:val="single" w:sz="4" w:space="0" w:color="auto"/>
            </w:tcBorders>
            <w:shd w:val="clear" w:color="auto" w:fill="auto"/>
          </w:tcPr>
          <w:p w14:paraId="3B10B9D8" w14:textId="77777777" w:rsidR="002F11AD" w:rsidRPr="002F11AD" w:rsidRDefault="002F11AD" w:rsidP="002F11AD">
            <w:pPr>
              <w:ind w:right="340"/>
              <w:jc w:val="right"/>
              <w:rPr>
                <w:rFonts w:eastAsia="Times New Roman"/>
                <w:sz w:val="20"/>
                <w:szCs w:val="20"/>
              </w:rPr>
            </w:pPr>
            <w:r w:rsidRPr="002F11AD">
              <w:rPr>
                <w:rFonts w:eastAsia="Times New Roman"/>
                <w:sz w:val="20"/>
                <w:szCs w:val="20"/>
              </w:rPr>
              <w:t>1.1</w:t>
            </w:r>
          </w:p>
        </w:tc>
      </w:tr>
      <w:tr w:rsidR="002F11AD" w:rsidRPr="002F11AD" w14:paraId="7EC8D958" w14:textId="77777777" w:rsidTr="0024224F">
        <w:trPr>
          <w:jc w:val="center"/>
        </w:trPr>
        <w:tc>
          <w:tcPr>
            <w:tcW w:w="5350" w:type="dxa"/>
            <w:tcBorders>
              <w:top w:val="nil"/>
              <w:left w:val="single" w:sz="4" w:space="0" w:color="auto"/>
              <w:bottom w:val="nil"/>
              <w:right w:val="single" w:sz="4" w:space="0" w:color="auto"/>
            </w:tcBorders>
            <w:shd w:val="clear" w:color="auto" w:fill="auto"/>
          </w:tcPr>
          <w:p w14:paraId="7027A5E5" w14:textId="77777777" w:rsidR="002F11AD" w:rsidRPr="002F11AD" w:rsidRDefault="002F11AD" w:rsidP="002F11AD">
            <w:pPr>
              <w:ind w:left="113"/>
              <w:rPr>
                <w:rFonts w:eastAsia="Times New Roman"/>
                <w:sz w:val="20"/>
                <w:szCs w:val="20"/>
              </w:rPr>
            </w:pPr>
            <w:r w:rsidRPr="002F11AD">
              <w:rPr>
                <w:rFonts w:eastAsia="Times New Roman"/>
                <w:sz w:val="20"/>
                <w:szCs w:val="20"/>
              </w:rPr>
              <w:t>Equipo de computación, accesorios electrónicos y aparatos eléctricos</w:t>
            </w:r>
          </w:p>
        </w:tc>
        <w:tc>
          <w:tcPr>
            <w:tcW w:w="900" w:type="dxa"/>
            <w:tcBorders>
              <w:top w:val="nil"/>
              <w:left w:val="single" w:sz="4" w:space="0" w:color="auto"/>
              <w:bottom w:val="nil"/>
              <w:right w:val="single" w:sz="4" w:space="0" w:color="auto"/>
            </w:tcBorders>
            <w:shd w:val="clear" w:color="auto" w:fill="auto"/>
            <w:vAlign w:val="center"/>
          </w:tcPr>
          <w:p w14:paraId="3C1438BB" w14:textId="77777777" w:rsidR="002F11AD" w:rsidRPr="002F11AD" w:rsidRDefault="002F11AD" w:rsidP="002F11AD">
            <w:pPr>
              <w:jc w:val="center"/>
              <w:rPr>
                <w:rFonts w:eastAsia="Times New Roman"/>
                <w:sz w:val="20"/>
                <w:szCs w:val="20"/>
              </w:rPr>
            </w:pPr>
            <w:r w:rsidRPr="002F11AD">
              <w:rPr>
                <w:rFonts w:eastAsia="Times New Roman"/>
                <w:sz w:val="20"/>
                <w:szCs w:val="20"/>
              </w:rPr>
              <w:t>50.1</w:t>
            </w:r>
          </w:p>
        </w:tc>
        <w:tc>
          <w:tcPr>
            <w:tcW w:w="842" w:type="dxa"/>
            <w:tcBorders>
              <w:top w:val="nil"/>
              <w:left w:val="single" w:sz="4" w:space="0" w:color="auto"/>
              <w:bottom w:val="nil"/>
              <w:right w:val="single" w:sz="4" w:space="0" w:color="auto"/>
            </w:tcBorders>
            <w:shd w:val="clear" w:color="auto" w:fill="auto"/>
            <w:vAlign w:val="center"/>
          </w:tcPr>
          <w:p w14:paraId="6ED11F32" w14:textId="77777777" w:rsidR="002F11AD" w:rsidRPr="002F11AD" w:rsidRDefault="002F11AD" w:rsidP="002F11AD">
            <w:pPr>
              <w:jc w:val="center"/>
              <w:rPr>
                <w:rFonts w:eastAsia="Times New Roman"/>
                <w:sz w:val="20"/>
                <w:szCs w:val="20"/>
              </w:rPr>
            </w:pPr>
            <w:r w:rsidRPr="002F11AD">
              <w:rPr>
                <w:rFonts w:eastAsia="Times New Roman"/>
                <w:sz w:val="20"/>
                <w:szCs w:val="20"/>
              </w:rPr>
              <w:t>51.9</w:t>
            </w:r>
          </w:p>
        </w:tc>
        <w:tc>
          <w:tcPr>
            <w:tcW w:w="1182" w:type="dxa"/>
            <w:tcBorders>
              <w:top w:val="nil"/>
              <w:left w:val="single" w:sz="4" w:space="0" w:color="auto"/>
              <w:bottom w:val="nil"/>
              <w:right w:val="single" w:sz="4" w:space="0" w:color="auto"/>
            </w:tcBorders>
            <w:shd w:val="clear" w:color="auto" w:fill="auto"/>
            <w:vAlign w:val="center"/>
          </w:tcPr>
          <w:p w14:paraId="67A6A305" w14:textId="77777777" w:rsidR="002F11AD" w:rsidRPr="002F11AD" w:rsidRDefault="002F11AD" w:rsidP="002F11AD">
            <w:pPr>
              <w:ind w:right="340"/>
              <w:jc w:val="right"/>
              <w:rPr>
                <w:rFonts w:eastAsia="Times New Roman"/>
                <w:sz w:val="20"/>
                <w:szCs w:val="20"/>
              </w:rPr>
            </w:pPr>
            <w:r w:rsidRPr="002F11AD">
              <w:rPr>
                <w:rFonts w:eastAsia="Times New Roman"/>
                <w:sz w:val="20"/>
                <w:szCs w:val="20"/>
              </w:rPr>
              <w:t>1.8</w:t>
            </w:r>
          </w:p>
        </w:tc>
      </w:tr>
      <w:tr w:rsidR="002F11AD" w:rsidRPr="002F11AD" w14:paraId="73E5DBFA" w14:textId="77777777" w:rsidTr="0024224F">
        <w:trPr>
          <w:jc w:val="center"/>
        </w:trPr>
        <w:tc>
          <w:tcPr>
            <w:tcW w:w="5350" w:type="dxa"/>
            <w:tcBorders>
              <w:top w:val="nil"/>
              <w:left w:val="single" w:sz="4" w:space="0" w:color="auto"/>
              <w:bottom w:val="nil"/>
              <w:right w:val="single" w:sz="4" w:space="0" w:color="auto"/>
            </w:tcBorders>
            <w:shd w:val="clear" w:color="auto" w:fill="auto"/>
          </w:tcPr>
          <w:p w14:paraId="7A46FFB3" w14:textId="77777777" w:rsidR="002F11AD" w:rsidRPr="002F11AD" w:rsidRDefault="002F11AD" w:rsidP="002F11AD">
            <w:pPr>
              <w:ind w:left="113"/>
              <w:rPr>
                <w:rFonts w:eastAsia="Times New Roman"/>
                <w:sz w:val="20"/>
                <w:szCs w:val="20"/>
              </w:rPr>
            </w:pPr>
            <w:r w:rsidRPr="002F11AD">
              <w:rPr>
                <w:rFonts w:eastAsia="Times New Roman"/>
                <w:sz w:val="20"/>
                <w:szCs w:val="20"/>
              </w:rPr>
              <w:t>Equipo de transporte</w:t>
            </w:r>
          </w:p>
        </w:tc>
        <w:tc>
          <w:tcPr>
            <w:tcW w:w="900" w:type="dxa"/>
            <w:tcBorders>
              <w:top w:val="nil"/>
              <w:left w:val="single" w:sz="4" w:space="0" w:color="auto"/>
              <w:bottom w:val="nil"/>
              <w:right w:val="single" w:sz="4" w:space="0" w:color="auto"/>
            </w:tcBorders>
            <w:shd w:val="clear" w:color="auto" w:fill="auto"/>
          </w:tcPr>
          <w:p w14:paraId="10CC6440" w14:textId="77777777" w:rsidR="002F11AD" w:rsidRPr="002F11AD" w:rsidRDefault="002F11AD" w:rsidP="002F11AD">
            <w:pPr>
              <w:jc w:val="center"/>
              <w:rPr>
                <w:rFonts w:eastAsia="Times New Roman"/>
                <w:sz w:val="20"/>
                <w:szCs w:val="20"/>
              </w:rPr>
            </w:pPr>
            <w:r w:rsidRPr="002F11AD">
              <w:rPr>
                <w:rFonts w:eastAsia="Times New Roman"/>
                <w:sz w:val="20"/>
                <w:szCs w:val="20"/>
              </w:rPr>
              <w:t>53.1</w:t>
            </w:r>
          </w:p>
        </w:tc>
        <w:tc>
          <w:tcPr>
            <w:tcW w:w="842" w:type="dxa"/>
            <w:tcBorders>
              <w:top w:val="nil"/>
              <w:left w:val="single" w:sz="4" w:space="0" w:color="auto"/>
              <w:bottom w:val="nil"/>
              <w:right w:val="single" w:sz="4" w:space="0" w:color="auto"/>
            </w:tcBorders>
            <w:shd w:val="clear" w:color="auto" w:fill="auto"/>
          </w:tcPr>
          <w:p w14:paraId="0C2EA639" w14:textId="77777777" w:rsidR="002F11AD" w:rsidRPr="002F11AD" w:rsidRDefault="002F11AD" w:rsidP="002F11AD">
            <w:pPr>
              <w:jc w:val="center"/>
              <w:rPr>
                <w:rFonts w:eastAsia="Times New Roman"/>
                <w:sz w:val="20"/>
                <w:szCs w:val="20"/>
              </w:rPr>
            </w:pPr>
            <w:r w:rsidRPr="002F11AD">
              <w:rPr>
                <w:rFonts w:eastAsia="Times New Roman"/>
                <w:sz w:val="20"/>
                <w:szCs w:val="20"/>
              </w:rPr>
              <w:t>54.3</w:t>
            </w:r>
          </w:p>
        </w:tc>
        <w:tc>
          <w:tcPr>
            <w:tcW w:w="1182" w:type="dxa"/>
            <w:tcBorders>
              <w:top w:val="nil"/>
              <w:left w:val="single" w:sz="4" w:space="0" w:color="auto"/>
              <w:bottom w:val="nil"/>
              <w:right w:val="single" w:sz="4" w:space="0" w:color="auto"/>
            </w:tcBorders>
            <w:shd w:val="clear" w:color="auto" w:fill="auto"/>
          </w:tcPr>
          <w:p w14:paraId="74AB8A4F" w14:textId="77777777" w:rsidR="002F11AD" w:rsidRPr="002F11AD" w:rsidRDefault="002F11AD" w:rsidP="002F11AD">
            <w:pPr>
              <w:ind w:right="340"/>
              <w:jc w:val="right"/>
              <w:rPr>
                <w:rFonts w:eastAsia="Times New Roman"/>
                <w:sz w:val="20"/>
                <w:szCs w:val="20"/>
              </w:rPr>
            </w:pPr>
            <w:r w:rsidRPr="002F11AD">
              <w:rPr>
                <w:rFonts w:eastAsia="Times New Roman"/>
                <w:sz w:val="20"/>
                <w:szCs w:val="20"/>
              </w:rPr>
              <w:t>1.2</w:t>
            </w:r>
          </w:p>
        </w:tc>
      </w:tr>
      <w:tr w:rsidR="002F11AD" w:rsidRPr="002F11AD" w14:paraId="3FCB4C8C" w14:textId="77777777" w:rsidTr="0024224F">
        <w:trPr>
          <w:jc w:val="center"/>
        </w:trPr>
        <w:tc>
          <w:tcPr>
            <w:tcW w:w="5350" w:type="dxa"/>
            <w:tcBorders>
              <w:top w:val="nil"/>
              <w:left w:val="single" w:sz="4" w:space="0" w:color="auto"/>
              <w:bottom w:val="nil"/>
              <w:right w:val="single" w:sz="4" w:space="0" w:color="auto"/>
            </w:tcBorders>
            <w:shd w:val="clear" w:color="auto" w:fill="auto"/>
          </w:tcPr>
          <w:p w14:paraId="5434F995" w14:textId="77777777" w:rsidR="002F11AD" w:rsidRPr="002F11AD" w:rsidRDefault="002F11AD" w:rsidP="002F11AD">
            <w:pPr>
              <w:ind w:left="113"/>
              <w:rPr>
                <w:rFonts w:eastAsia="Times New Roman"/>
                <w:sz w:val="20"/>
                <w:szCs w:val="20"/>
              </w:rPr>
            </w:pPr>
            <w:r w:rsidRPr="002F11AD">
              <w:rPr>
                <w:rFonts w:eastAsia="Times New Roman"/>
                <w:sz w:val="20"/>
                <w:szCs w:val="20"/>
              </w:rPr>
              <w:t>Productos metálicos, maquinaria, equipo y muebles</w:t>
            </w:r>
          </w:p>
        </w:tc>
        <w:tc>
          <w:tcPr>
            <w:tcW w:w="900" w:type="dxa"/>
            <w:tcBorders>
              <w:top w:val="nil"/>
              <w:left w:val="single" w:sz="4" w:space="0" w:color="auto"/>
              <w:bottom w:val="nil"/>
              <w:right w:val="single" w:sz="4" w:space="0" w:color="auto"/>
            </w:tcBorders>
            <w:shd w:val="clear" w:color="auto" w:fill="auto"/>
          </w:tcPr>
          <w:p w14:paraId="0F57BB66" w14:textId="77777777" w:rsidR="002F11AD" w:rsidRPr="002F11AD" w:rsidRDefault="002F11AD" w:rsidP="002F11AD">
            <w:pPr>
              <w:jc w:val="center"/>
              <w:rPr>
                <w:rFonts w:eastAsia="Times New Roman"/>
                <w:sz w:val="20"/>
                <w:szCs w:val="20"/>
              </w:rPr>
            </w:pPr>
            <w:r w:rsidRPr="002F11AD">
              <w:rPr>
                <w:rFonts w:eastAsia="Times New Roman"/>
                <w:sz w:val="20"/>
                <w:szCs w:val="20"/>
              </w:rPr>
              <w:t>51.8</w:t>
            </w:r>
          </w:p>
        </w:tc>
        <w:tc>
          <w:tcPr>
            <w:tcW w:w="842" w:type="dxa"/>
            <w:tcBorders>
              <w:top w:val="nil"/>
              <w:left w:val="single" w:sz="4" w:space="0" w:color="auto"/>
              <w:bottom w:val="nil"/>
              <w:right w:val="single" w:sz="4" w:space="0" w:color="auto"/>
            </w:tcBorders>
            <w:shd w:val="clear" w:color="auto" w:fill="auto"/>
          </w:tcPr>
          <w:p w14:paraId="33BCEB9B" w14:textId="77777777" w:rsidR="002F11AD" w:rsidRPr="002F11AD" w:rsidRDefault="002F11AD" w:rsidP="002F11AD">
            <w:pPr>
              <w:jc w:val="center"/>
              <w:rPr>
                <w:rFonts w:eastAsia="Times New Roman"/>
                <w:sz w:val="20"/>
                <w:szCs w:val="20"/>
              </w:rPr>
            </w:pPr>
            <w:r w:rsidRPr="002F11AD">
              <w:rPr>
                <w:rFonts w:eastAsia="Times New Roman"/>
                <w:sz w:val="20"/>
                <w:szCs w:val="20"/>
              </w:rPr>
              <w:t>50.7</w:t>
            </w:r>
          </w:p>
        </w:tc>
        <w:tc>
          <w:tcPr>
            <w:tcW w:w="1182" w:type="dxa"/>
            <w:tcBorders>
              <w:top w:val="nil"/>
              <w:left w:val="single" w:sz="4" w:space="0" w:color="auto"/>
              <w:bottom w:val="nil"/>
              <w:right w:val="single" w:sz="4" w:space="0" w:color="auto"/>
            </w:tcBorders>
            <w:shd w:val="clear" w:color="auto" w:fill="auto"/>
          </w:tcPr>
          <w:p w14:paraId="71A771F2" w14:textId="77777777" w:rsidR="002F11AD" w:rsidRPr="002F11AD" w:rsidRDefault="002F11AD" w:rsidP="002F11AD">
            <w:pPr>
              <w:ind w:right="340"/>
              <w:jc w:val="right"/>
              <w:rPr>
                <w:rFonts w:eastAsia="Times New Roman"/>
                <w:sz w:val="20"/>
                <w:szCs w:val="20"/>
              </w:rPr>
            </w:pPr>
            <w:r w:rsidRPr="002F11AD">
              <w:rPr>
                <w:rFonts w:eastAsia="Times New Roman"/>
                <w:sz w:val="20"/>
                <w:szCs w:val="20"/>
              </w:rPr>
              <w:t>-1.1</w:t>
            </w:r>
          </w:p>
        </w:tc>
      </w:tr>
      <w:tr w:rsidR="002F11AD" w:rsidRPr="002F11AD" w14:paraId="25FCA702" w14:textId="77777777" w:rsidTr="0024224F">
        <w:trPr>
          <w:jc w:val="center"/>
        </w:trPr>
        <w:tc>
          <w:tcPr>
            <w:tcW w:w="5350" w:type="dxa"/>
            <w:tcBorders>
              <w:top w:val="nil"/>
              <w:left w:val="single" w:sz="4" w:space="0" w:color="auto"/>
              <w:bottom w:val="single" w:sz="4" w:space="0" w:color="auto"/>
              <w:right w:val="single" w:sz="4" w:space="0" w:color="auto"/>
            </w:tcBorders>
            <w:shd w:val="clear" w:color="auto" w:fill="auto"/>
          </w:tcPr>
          <w:p w14:paraId="7544659B" w14:textId="77777777" w:rsidR="002F11AD" w:rsidRPr="002F11AD" w:rsidRDefault="002F11AD" w:rsidP="002F11AD">
            <w:pPr>
              <w:ind w:left="113"/>
              <w:rPr>
                <w:rFonts w:eastAsia="Times New Roman"/>
                <w:sz w:val="20"/>
                <w:szCs w:val="20"/>
              </w:rPr>
            </w:pPr>
            <w:r w:rsidRPr="002F11AD">
              <w:rPr>
                <w:rFonts w:eastAsia="Times New Roman"/>
                <w:sz w:val="20"/>
                <w:szCs w:val="20"/>
              </w:rPr>
              <w:t>Textiles, prendas de vestir, cuero y piel, madera, papel y otras</w:t>
            </w:r>
          </w:p>
        </w:tc>
        <w:tc>
          <w:tcPr>
            <w:tcW w:w="900" w:type="dxa"/>
            <w:tcBorders>
              <w:top w:val="nil"/>
              <w:left w:val="single" w:sz="4" w:space="0" w:color="auto"/>
              <w:bottom w:val="single" w:sz="4" w:space="0" w:color="auto"/>
              <w:right w:val="single" w:sz="4" w:space="0" w:color="auto"/>
            </w:tcBorders>
            <w:shd w:val="clear" w:color="auto" w:fill="auto"/>
          </w:tcPr>
          <w:p w14:paraId="5BFAE7D7" w14:textId="77777777" w:rsidR="002F11AD" w:rsidRPr="002F11AD" w:rsidRDefault="002F11AD" w:rsidP="002F11AD">
            <w:pPr>
              <w:jc w:val="center"/>
              <w:rPr>
                <w:rFonts w:eastAsia="Times New Roman"/>
                <w:sz w:val="20"/>
                <w:szCs w:val="20"/>
              </w:rPr>
            </w:pPr>
            <w:r w:rsidRPr="002F11AD">
              <w:rPr>
                <w:rFonts w:eastAsia="Times New Roman"/>
                <w:sz w:val="20"/>
                <w:szCs w:val="20"/>
              </w:rPr>
              <w:t>49.5</w:t>
            </w:r>
          </w:p>
        </w:tc>
        <w:tc>
          <w:tcPr>
            <w:tcW w:w="842" w:type="dxa"/>
            <w:tcBorders>
              <w:top w:val="nil"/>
              <w:left w:val="single" w:sz="4" w:space="0" w:color="auto"/>
              <w:bottom w:val="single" w:sz="4" w:space="0" w:color="auto"/>
              <w:right w:val="single" w:sz="4" w:space="0" w:color="auto"/>
            </w:tcBorders>
            <w:shd w:val="clear" w:color="auto" w:fill="auto"/>
          </w:tcPr>
          <w:p w14:paraId="439CF8C0" w14:textId="77777777" w:rsidR="002F11AD" w:rsidRPr="002F11AD" w:rsidRDefault="002F11AD" w:rsidP="002F11AD">
            <w:pPr>
              <w:jc w:val="center"/>
              <w:rPr>
                <w:rFonts w:eastAsia="Times New Roman"/>
                <w:sz w:val="20"/>
                <w:szCs w:val="20"/>
              </w:rPr>
            </w:pPr>
            <w:r w:rsidRPr="002F11AD">
              <w:rPr>
                <w:rFonts w:eastAsia="Times New Roman"/>
                <w:sz w:val="20"/>
                <w:szCs w:val="20"/>
              </w:rPr>
              <w:t>50.5</w:t>
            </w:r>
          </w:p>
        </w:tc>
        <w:tc>
          <w:tcPr>
            <w:tcW w:w="1182" w:type="dxa"/>
            <w:tcBorders>
              <w:top w:val="nil"/>
              <w:left w:val="single" w:sz="4" w:space="0" w:color="auto"/>
              <w:bottom w:val="single" w:sz="4" w:space="0" w:color="auto"/>
              <w:right w:val="single" w:sz="4" w:space="0" w:color="auto"/>
            </w:tcBorders>
            <w:shd w:val="clear" w:color="auto" w:fill="auto"/>
          </w:tcPr>
          <w:p w14:paraId="77FFA8D3" w14:textId="77777777" w:rsidR="002F11AD" w:rsidRPr="002F11AD" w:rsidRDefault="002F11AD" w:rsidP="002F11AD">
            <w:pPr>
              <w:ind w:right="340"/>
              <w:jc w:val="right"/>
              <w:rPr>
                <w:rFonts w:eastAsia="Times New Roman"/>
                <w:sz w:val="20"/>
                <w:szCs w:val="20"/>
              </w:rPr>
            </w:pPr>
            <w:r w:rsidRPr="002F11AD">
              <w:rPr>
                <w:rFonts w:eastAsia="Times New Roman"/>
                <w:sz w:val="20"/>
                <w:szCs w:val="20"/>
              </w:rPr>
              <w:t>1.1</w:t>
            </w:r>
          </w:p>
        </w:tc>
      </w:tr>
      <w:tr w:rsidR="002F11AD" w:rsidRPr="002F11AD" w14:paraId="2E129EEF" w14:textId="77777777" w:rsidTr="0024224F">
        <w:trPr>
          <w:jc w:val="center"/>
        </w:trPr>
        <w:tc>
          <w:tcPr>
            <w:tcW w:w="8274" w:type="dxa"/>
            <w:gridSpan w:val="4"/>
            <w:tcBorders>
              <w:top w:val="single" w:sz="4" w:space="0" w:color="auto"/>
              <w:left w:val="nil"/>
              <w:bottom w:val="nil"/>
              <w:right w:val="nil"/>
            </w:tcBorders>
          </w:tcPr>
          <w:p w14:paraId="689FB10B" w14:textId="77777777" w:rsidR="002F11AD" w:rsidRPr="002F11AD" w:rsidRDefault="002F11AD" w:rsidP="002F11AD">
            <w:pPr>
              <w:rPr>
                <w:rFonts w:eastAsia="Times New Roman"/>
                <w:sz w:val="20"/>
                <w:szCs w:val="20"/>
              </w:rPr>
            </w:pPr>
            <w:r w:rsidRPr="002F11AD">
              <w:rPr>
                <w:rFonts w:eastAsia="Times New Roman"/>
                <w:sz w:val="20"/>
                <w:szCs w:val="20"/>
              </w:rPr>
              <w:t>Nota: Los indicadores se generan con los datos referidos al mes de la entrevista.</w:t>
            </w:r>
          </w:p>
          <w:p w14:paraId="5157F179" w14:textId="77777777" w:rsidR="002F11AD" w:rsidRPr="002F11AD" w:rsidRDefault="002F11AD" w:rsidP="002F11AD">
            <w:pPr>
              <w:ind w:left="227" w:hanging="227"/>
              <w:rPr>
                <w:rFonts w:eastAsia="Times New Roman"/>
                <w:sz w:val="20"/>
                <w:szCs w:val="20"/>
              </w:rPr>
            </w:pPr>
            <w:r w:rsidRPr="002F11AD">
              <w:rPr>
                <w:rFonts w:eastAsia="Times New Roman"/>
                <w:sz w:val="20"/>
                <w:szCs w:val="20"/>
                <w:u w:val="single"/>
              </w:rPr>
              <w:t>1</w:t>
            </w:r>
            <w:r w:rsidRPr="002F11AD">
              <w:rPr>
                <w:rFonts w:eastAsia="Times New Roman"/>
                <w:sz w:val="20"/>
                <w:szCs w:val="20"/>
              </w:rPr>
              <w:t>/ Las diferencias en puntos se obtienen de los respectivos indicadores considerando todos sus decimales.</w:t>
            </w:r>
          </w:p>
          <w:p w14:paraId="35D7A02D" w14:textId="77777777" w:rsidR="002F11AD" w:rsidRPr="002F11AD" w:rsidRDefault="002F11AD" w:rsidP="002F11AD">
            <w:pPr>
              <w:rPr>
                <w:rFonts w:eastAsia="Times New Roman"/>
                <w:sz w:val="20"/>
                <w:szCs w:val="20"/>
              </w:rPr>
            </w:pPr>
            <w:r w:rsidRPr="002F11AD">
              <w:rPr>
                <w:rFonts w:eastAsia="Times New Roman"/>
                <w:sz w:val="20"/>
                <w:szCs w:val="20"/>
                <w:u w:val="single"/>
              </w:rPr>
              <w:t>p</w:t>
            </w:r>
            <w:r w:rsidRPr="002F11AD">
              <w:rPr>
                <w:rFonts w:eastAsia="Times New Roman"/>
                <w:sz w:val="20"/>
                <w:szCs w:val="20"/>
              </w:rPr>
              <w:t>/ Dato preliminar.</w:t>
            </w:r>
          </w:p>
          <w:p w14:paraId="2C28A36F" w14:textId="77777777" w:rsidR="002F11AD" w:rsidRPr="002F11AD" w:rsidRDefault="002F11AD" w:rsidP="002F11AD">
            <w:pPr>
              <w:rPr>
                <w:rFonts w:eastAsia="Times New Roman"/>
                <w:sz w:val="20"/>
                <w:szCs w:val="20"/>
              </w:rPr>
            </w:pPr>
            <w:r w:rsidRPr="002F11AD">
              <w:rPr>
                <w:rFonts w:eastAsia="Times New Roman"/>
                <w:sz w:val="20"/>
                <w:szCs w:val="20"/>
              </w:rPr>
              <w:t>FUENTE: INEGI.</w:t>
            </w:r>
          </w:p>
        </w:tc>
      </w:tr>
    </w:tbl>
    <w:p w14:paraId="1B6806DA" w14:textId="77777777" w:rsidR="002F11AD" w:rsidRPr="002F11AD" w:rsidRDefault="002F11AD" w:rsidP="002F11AD"/>
    <w:p w14:paraId="00DB8C60" w14:textId="77777777" w:rsidR="002F11AD" w:rsidRPr="002F11AD" w:rsidRDefault="002F11AD" w:rsidP="002F11AD">
      <w:pPr>
        <w:rPr>
          <w:b/>
          <w:sz w:val="20"/>
          <w:szCs w:val="20"/>
        </w:rPr>
      </w:pPr>
      <w:r w:rsidRPr="002F11AD">
        <w:rPr>
          <w:b/>
          <w:sz w:val="20"/>
          <w:szCs w:val="20"/>
        </w:rPr>
        <w:t>Fuente de información:</w:t>
      </w:r>
    </w:p>
    <w:p w14:paraId="01A4F4AD" w14:textId="77777777" w:rsidR="002F11AD" w:rsidRPr="00660E71" w:rsidRDefault="0093224F" w:rsidP="002F11AD">
      <w:pPr>
        <w:rPr>
          <w:color w:val="0000FF"/>
          <w:sz w:val="20"/>
          <w:szCs w:val="20"/>
        </w:rPr>
      </w:pPr>
      <w:hyperlink r:id="rId173" w:history="1">
        <w:r w:rsidR="002F11AD" w:rsidRPr="00660E71">
          <w:rPr>
            <w:color w:val="0000FF"/>
            <w:sz w:val="20"/>
            <w:szCs w:val="20"/>
            <w:u w:val="single"/>
          </w:rPr>
          <w:t>http://www.inegi.org.mx/saladeprensa/boletines/2015/ipm/ipm2015_03.pdf</w:t>
        </w:r>
      </w:hyperlink>
      <w:r w:rsidR="002F11AD" w:rsidRPr="00660E71">
        <w:rPr>
          <w:color w:val="0000FF"/>
          <w:sz w:val="20"/>
          <w:szCs w:val="20"/>
        </w:rPr>
        <w:t xml:space="preserve"> </w:t>
      </w:r>
    </w:p>
    <w:p w14:paraId="4C4F31FA" w14:textId="1A60D1D7" w:rsidR="00903378" w:rsidRDefault="00903378" w:rsidP="0061291B">
      <w:pPr>
        <w:spacing w:after="360" w:line="360" w:lineRule="auto"/>
        <w:ind w:right="-159"/>
        <w:jc w:val="both"/>
        <w:rPr>
          <w:rFonts w:eastAsia="Times New Roman"/>
          <w:sz w:val="26"/>
          <w:szCs w:val="26"/>
        </w:rPr>
      </w:pPr>
    </w:p>
    <w:p w14:paraId="0F5EF43C" w14:textId="77777777" w:rsidR="00C342AC" w:rsidRDefault="00C342AC" w:rsidP="0061291B">
      <w:pPr>
        <w:spacing w:after="360" w:line="360" w:lineRule="auto"/>
        <w:ind w:right="-159"/>
        <w:jc w:val="both"/>
        <w:rPr>
          <w:rFonts w:eastAsia="Times New Roman"/>
          <w:sz w:val="26"/>
          <w:szCs w:val="26"/>
        </w:rPr>
      </w:pPr>
    </w:p>
    <w:p w14:paraId="489283BE" w14:textId="77777777" w:rsidR="00E53D8D" w:rsidRDefault="00E53D8D" w:rsidP="0061291B">
      <w:pPr>
        <w:spacing w:after="360" w:line="360" w:lineRule="auto"/>
        <w:ind w:right="-159"/>
        <w:jc w:val="both"/>
        <w:rPr>
          <w:rFonts w:eastAsia="Times New Roman"/>
          <w:sz w:val="26"/>
          <w:szCs w:val="26"/>
        </w:rPr>
      </w:pPr>
    </w:p>
    <w:p w14:paraId="666137CA" w14:textId="77777777" w:rsidR="00C342AC" w:rsidRPr="00C342AC" w:rsidRDefault="00C342AC" w:rsidP="00C342AC">
      <w:pPr>
        <w:spacing w:after="360" w:line="360" w:lineRule="auto"/>
        <w:ind w:right="-159"/>
        <w:jc w:val="both"/>
        <w:rPr>
          <w:rFonts w:eastAsia="Times New Roman"/>
          <w:b/>
          <w:sz w:val="26"/>
          <w:szCs w:val="26"/>
          <w:lang w:val="es-ES"/>
        </w:rPr>
      </w:pPr>
      <w:r w:rsidRPr="00C342AC">
        <w:rPr>
          <w:rFonts w:eastAsia="Times New Roman"/>
          <w:b/>
          <w:sz w:val="26"/>
          <w:szCs w:val="26"/>
        </w:rPr>
        <w:lastRenderedPageBreak/>
        <w:t xml:space="preserve">Índice de Confianza del Consumidor durante </w:t>
      </w:r>
      <w:r w:rsidRPr="00C342AC">
        <w:rPr>
          <w:rFonts w:eastAsia="Times New Roman"/>
          <w:b/>
          <w:sz w:val="26"/>
          <w:szCs w:val="26"/>
          <w:lang w:val="es-ES"/>
        </w:rPr>
        <w:t>febrero de 2015 (INEGI)</w:t>
      </w:r>
    </w:p>
    <w:p w14:paraId="3AA62D41" w14:textId="77777777" w:rsidR="00C342AC" w:rsidRPr="00C342AC" w:rsidRDefault="00C342AC" w:rsidP="00C342AC">
      <w:pPr>
        <w:spacing w:before="100" w:beforeAutospacing="1" w:after="360" w:line="360" w:lineRule="auto"/>
        <w:ind w:right="-159"/>
        <w:jc w:val="both"/>
        <w:rPr>
          <w:rFonts w:eastAsia="Times New Roman"/>
          <w:sz w:val="26"/>
          <w:szCs w:val="26"/>
        </w:rPr>
      </w:pPr>
      <w:r w:rsidRPr="00C342AC">
        <w:rPr>
          <w:rFonts w:eastAsia="Times New Roman"/>
          <w:sz w:val="26"/>
          <w:szCs w:val="26"/>
        </w:rPr>
        <w:t>El 6 de marzo de 2015, el Instituto Nacional de Estadística y Geografía (INEGI) dio a conocer el “Índice de Confianza del Consumidor (ICC)” de febrero, con base en los resultados de la Encuesta Nacional sobre la Confianza del Consumidor (ENCO), que recaban de manera conjunta el INEGI y el Banco de México (Banxico) en 32 ciudades del país, las cuales comprenden a la totalidad de las entidades federativas. Cabe señalar que el ICC se conforma de cinco indicadores parciales: dos recogen las opiniones sobre la situación económica actual y esperada del hogar de los entrevistados; otros dos captan las percepciones sobre la situación económica presente y futuras del país, y el quinto considera la visión de los consumidores acerca de que tan propicio es el momento actual para adquisición de bienes de consumo duradero.</w:t>
      </w:r>
    </w:p>
    <w:p w14:paraId="1422ED88" w14:textId="77777777" w:rsidR="00C342AC" w:rsidRPr="00C342AC" w:rsidRDefault="00C342AC" w:rsidP="00C342AC">
      <w:pPr>
        <w:spacing w:after="360"/>
        <w:ind w:right="-159"/>
        <w:jc w:val="both"/>
        <w:rPr>
          <w:rFonts w:eastAsia="Times New Roman"/>
          <w:b/>
          <w:sz w:val="26"/>
          <w:szCs w:val="26"/>
        </w:rPr>
      </w:pPr>
      <w:r w:rsidRPr="00C342AC">
        <w:rPr>
          <w:rFonts w:eastAsia="Times New Roman"/>
          <w:b/>
          <w:sz w:val="26"/>
          <w:szCs w:val="26"/>
        </w:rPr>
        <w:t>Comportamiento de los componentes del Índice de Confianza del Consumidor: Cifras desestacionalizadas</w:t>
      </w:r>
    </w:p>
    <w:p w14:paraId="1AFF48DC" w14:textId="77777777" w:rsidR="00C342AC" w:rsidRPr="00C342AC" w:rsidRDefault="00C342AC" w:rsidP="00C342AC">
      <w:pPr>
        <w:spacing w:after="360" w:line="360" w:lineRule="auto"/>
        <w:ind w:right="-159"/>
        <w:jc w:val="both"/>
        <w:rPr>
          <w:rFonts w:eastAsia="Times New Roman"/>
          <w:sz w:val="26"/>
          <w:szCs w:val="26"/>
        </w:rPr>
      </w:pPr>
      <w:r w:rsidRPr="00C342AC">
        <w:rPr>
          <w:rFonts w:eastAsia="Times New Roman"/>
          <w:sz w:val="26"/>
          <w:szCs w:val="26"/>
        </w:rPr>
        <w:t>En el segundo mes de 2015, el ICC registró un crecimiento mensual de 0.93% en términos desestacionalizados.</w:t>
      </w:r>
    </w:p>
    <w:p w14:paraId="4E9ADA37" w14:textId="77777777" w:rsidR="00C342AC" w:rsidRPr="00C342AC" w:rsidRDefault="00C342AC" w:rsidP="00C342AC">
      <w:pPr>
        <w:spacing w:after="360" w:line="360" w:lineRule="auto"/>
        <w:ind w:right="-159"/>
        <w:jc w:val="center"/>
        <w:rPr>
          <w:rFonts w:eastAsia="Times New Roman"/>
          <w:sz w:val="26"/>
          <w:szCs w:val="26"/>
        </w:rPr>
      </w:pPr>
      <w:r w:rsidRPr="00C342AC">
        <w:lastRenderedPageBreak/>
        <w:fldChar w:fldCharType="begin"/>
      </w:r>
      <w:r w:rsidRPr="00C342AC">
        <w:instrText xml:space="preserve"> LINK PowerPoint.Slide.8 "D:\\2015\\MARZO 2014\\GRÁFICAS EN POWER POINT\\16.- GRÁFICAS DEL ÍNDICE DE CONFIANZA DEL CONSUMIDOR.pptx!257" "" \a \p </w:instrText>
      </w:r>
      <w:r w:rsidRPr="00C342AC">
        <w:fldChar w:fldCharType="separate"/>
      </w:r>
      <w:r w:rsidRPr="00C342AC">
        <w:rPr>
          <w:noProof/>
          <w:lang w:eastAsia="es-MX"/>
        </w:rPr>
        <w:drawing>
          <wp:inline distT="0" distB="0" distL="0" distR="0" wp14:anchorId="7A080303" wp14:editId="20687C82">
            <wp:extent cx="4540885" cy="3268345"/>
            <wp:effectExtent l="0" t="0" r="0" b="8255"/>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
                    <pic:cNvPicPr>
                      <a:picLocks noChangeAspect="1" noChangeArrowheads="1"/>
                    </pic:cNvPicPr>
                  </pic:nvPicPr>
                  <pic:blipFill>
                    <a:blip r:embed="rId174" cstate="print">
                      <a:extLst>
                        <a:ext uri="{28A0092B-C50C-407E-A947-70E740481C1C}">
                          <a14:useLocalDpi xmlns:a14="http://schemas.microsoft.com/office/drawing/2010/main" val="0"/>
                        </a:ext>
                      </a:extLst>
                    </a:blip>
                    <a:srcRect l="12582" r="12758" b="4655"/>
                    <a:stretch>
                      <a:fillRect/>
                    </a:stretch>
                  </pic:blipFill>
                  <pic:spPr bwMode="auto">
                    <a:xfrm>
                      <a:off x="0" y="0"/>
                      <a:ext cx="4540885" cy="3268345"/>
                    </a:xfrm>
                    <a:prstGeom prst="rect">
                      <a:avLst/>
                    </a:prstGeom>
                    <a:noFill/>
                    <a:ln>
                      <a:noFill/>
                    </a:ln>
                  </pic:spPr>
                </pic:pic>
              </a:graphicData>
            </a:graphic>
          </wp:inline>
        </w:drawing>
      </w:r>
      <w:r w:rsidRPr="00C342AC">
        <w:fldChar w:fldCharType="end"/>
      </w:r>
    </w:p>
    <w:p w14:paraId="25B255F6" w14:textId="0398DFCD" w:rsidR="00C342AC" w:rsidRPr="00C342AC" w:rsidRDefault="00C342AC" w:rsidP="00C342AC">
      <w:pPr>
        <w:spacing w:after="360" w:line="360" w:lineRule="auto"/>
        <w:ind w:right="-159"/>
        <w:jc w:val="both"/>
        <w:rPr>
          <w:rFonts w:eastAsia="Times New Roman"/>
          <w:noProof/>
          <w:sz w:val="26"/>
          <w:szCs w:val="26"/>
          <w:lang w:val="es-ES_tradnl" w:eastAsia="es-MX"/>
        </w:rPr>
      </w:pPr>
      <w:r w:rsidRPr="00C342AC">
        <w:rPr>
          <w:rFonts w:eastAsia="Times New Roman"/>
          <w:noProof/>
          <w:sz w:val="26"/>
          <w:szCs w:val="26"/>
          <w:lang w:eastAsia="es-MX"/>
        </w:rPr>
        <w:t>Con cifras desestacionalizadas, en febrero del año en curso</w:t>
      </w:r>
      <w:r w:rsidR="00BC772A">
        <w:rPr>
          <w:rFonts w:eastAsia="Times New Roman"/>
          <w:noProof/>
          <w:sz w:val="26"/>
          <w:szCs w:val="26"/>
          <w:lang w:eastAsia="es-MX"/>
        </w:rPr>
        <w:t>,</w:t>
      </w:r>
      <w:r w:rsidRPr="00C342AC">
        <w:rPr>
          <w:rFonts w:eastAsia="Times New Roman"/>
          <w:noProof/>
          <w:sz w:val="26"/>
          <w:szCs w:val="26"/>
          <w:lang w:eastAsia="es-MX"/>
        </w:rPr>
        <w:t xml:space="preserve"> el indicador correspondiente a la situación económica de los integrantes del hogar en el momento actual frente a la que tenían hace doce meses, se redujo en 0.92% a tasa mensual. Por su parte, el componente que mide la situación económica que se espera para los miembros del hogar dentro de doce meses, respecto a la que registran en el momento actual mostró un aumento de 0.83% con relación al nivel alcanzado el mes previo. El que evalúa la percepción de los consumidores con relación a la situación económica del país hoy en día comparada con la que prevaleció hace doce meses presentó un descenso mensual de 1.15%. El rubro que capta las expectativas sobre la condición económica del país dentro de un año respecto a la situación actual disminuyó 2.52% frente al nivel de enero pasado. Por último, el indicador que se refiere a las posibilidades en el momento actual por parte de los integrantes del hogar, comparadas con las de hace un año, para efectuar compras de bienes durables, tales como muebles, televisor, lavadora y otros aparatos electrodomésticos, reportó un avance mensual de 5.19 por ciento.</w:t>
      </w:r>
    </w:p>
    <w:tbl>
      <w:tblPr>
        <w:tblW w:w="0" w:type="auto"/>
        <w:tblLook w:val="04A0" w:firstRow="1" w:lastRow="0" w:firstColumn="1" w:lastColumn="0" w:noHBand="0" w:noVBand="1"/>
      </w:tblPr>
      <w:tblGrid>
        <w:gridCol w:w="8840"/>
      </w:tblGrid>
      <w:tr w:rsidR="00C342AC" w:rsidRPr="00C342AC" w14:paraId="058D8F0C" w14:textId="77777777" w:rsidTr="00082E99">
        <w:tc>
          <w:tcPr>
            <w:tcW w:w="8838" w:type="dxa"/>
          </w:tcPr>
          <w:p w14:paraId="45987A03" w14:textId="77777777" w:rsidR="00C342AC" w:rsidRPr="00C342AC" w:rsidRDefault="00C342AC" w:rsidP="00C342AC">
            <w:pPr>
              <w:jc w:val="center"/>
              <w:rPr>
                <w:rFonts w:ascii="Calibri" w:eastAsia="Calibri" w:hAnsi="Calibri"/>
                <w:sz w:val="22"/>
                <w:szCs w:val="22"/>
                <w:lang w:eastAsia="en-US"/>
              </w:rPr>
            </w:pPr>
            <w:r w:rsidRPr="00C342AC">
              <w:rPr>
                <w:rFonts w:ascii="Calibri" w:eastAsia="Calibri" w:hAnsi="Calibri"/>
                <w:sz w:val="22"/>
                <w:szCs w:val="22"/>
                <w:lang w:eastAsia="en-US"/>
              </w:rPr>
              <w:lastRenderedPageBreak/>
              <w:fldChar w:fldCharType="begin"/>
            </w:r>
            <w:r w:rsidRPr="00C342AC">
              <w:rPr>
                <w:rFonts w:ascii="Calibri" w:eastAsia="Calibri" w:hAnsi="Calibri"/>
                <w:sz w:val="22"/>
                <w:szCs w:val="22"/>
                <w:lang w:eastAsia="en-US"/>
              </w:rPr>
              <w:instrText xml:space="preserve"> LINK PowerPoint.Slide.8 "D:\\2015\\MARZO 2014\\GRÁFICAS EN POWER POINT\\16.- GRÁFICAS DEL ÍNDICE DE CONFIANZA DEL CONSUMIDOR.pptx!266" "" \a \p </w:instrText>
            </w:r>
            <w:r w:rsidRPr="00C342AC">
              <w:rPr>
                <w:rFonts w:ascii="Calibri" w:eastAsia="Calibri" w:hAnsi="Calibri"/>
                <w:sz w:val="22"/>
                <w:szCs w:val="22"/>
                <w:lang w:eastAsia="en-US"/>
              </w:rPr>
              <w:fldChar w:fldCharType="separate"/>
            </w:r>
            <w:r w:rsidRPr="00C342AC">
              <w:rPr>
                <w:rFonts w:ascii="Calibri" w:eastAsia="Calibri" w:hAnsi="Calibri"/>
                <w:noProof/>
                <w:sz w:val="22"/>
                <w:szCs w:val="22"/>
                <w:lang w:eastAsia="es-MX"/>
              </w:rPr>
              <w:drawing>
                <wp:inline distT="0" distB="0" distL="0" distR="0" wp14:anchorId="637D48C9" wp14:editId="585E44BF">
                  <wp:extent cx="5480050" cy="2545715"/>
                  <wp:effectExtent l="0" t="0" r="6350" b="6985"/>
                  <wp:docPr id="1478" name="Imagen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ChangeAspect="1" noChangeArrowheads="1"/>
                          </pic:cNvPicPr>
                        </pic:nvPicPr>
                        <pic:blipFill>
                          <a:blip r:embed="rId175" cstate="print">
                            <a:extLst>
                              <a:ext uri="{28A0092B-C50C-407E-A947-70E740481C1C}">
                                <a14:useLocalDpi xmlns:a14="http://schemas.microsoft.com/office/drawing/2010/main" val="0"/>
                              </a:ext>
                            </a:extLst>
                          </a:blip>
                          <a:srcRect l="2798" t="2486" r="5595" b="21736"/>
                          <a:stretch>
                            <a:fillRect/>
                          </a:stretch>
                        </pic:blipFill>
                        <pic:spPr bwMode="auto">
                          <a:xfrm>
                            <a:off x="0" y="0"/>
                            <a:ext cx="5480050" cy="2545715"/>
                          </a:xfrm>
                          <a:prstGeom prst="rect">
                            <a:avLst/>
                          </a:prstGeom>
                          <a:noFill/>
                          <a:ln>
                            <a:noFill/>
                          </a:ln>
                        </pic:spPr>
                      </pic:pic>
                    </a:graphicData>
                  </a:graphic>
                </wp:inline>
              </w:drawing>
            </w:r>
            <w:r w:rsidRPr="00C342AC">
              <w:rPr>
                <w:rFonts w:ascii="Calibri" w:eastAsia="Calibri" w:hAnsi="Calibri"/>
                <w:sz w:val="22"/>
                <w:szCs w:val="22"/>
                <w:lang w:eastAsia="en-US"/>
              </w:rPr>
              <w:fldChar w:fldCharType="end"/>
            </w:r>
          </w:p>
        </w:tc>
      </w:tr>
      <w:tr w:rsidR="00C342AC" w:rsidRPr="00C342AC" w14:paraId="279E5AEC" w14:textId="77777777" w:rsidTr="00082E99">
        <w:tc>
          <w:tcPr>
            <w:tcW w:w="8838" w:type="dxa"/>
          </w:tcPr>
          <w:p w14:paraId="22B57D8D" w14:textId="77777777" w:rsidR="00C342AC" w:rsidRPr="00C342AC" w:rsidRDefault="00C342AC" w:rsidP="00C342AC">
            <w:pPr>
              <w:jc w:val="center"/>
              <w:rPr>
                <w:rFonts w:ascii="Calibri" w:eastAsia="Calibri" w:hAnsi="Calibri"/>
                <w:sz w:val="22"/>
                <w:szCs w:val="22"/>
                <w:lang w:eastAsia="en-US"/>
              </w:rPr>
            </w:pPr>
            <w:r w:rsidRPr="00C342AC">
              <w:rPr>
                <w:rFonts w:ascii="Calibri" w:eastAsia="Calibri" w:hAnsi="Calibri"/>
                <w:sz w:val="22"/>
                <w:szCs w:val="22"/>
                <w:lang w:eastAsia="en-US"/>
              </w:rPr>
              <w:fldChar w:fldCharType="begin"/>
            </w:r>
            <w:r w:rsidRPr="00C342AC">
              <w:rPr>
                <w:rFonts w:ascii="Calibri" w:eastAsia="Calibri" w:hAnsi="Calibri"/>
                <w:sz w:val="22"/>
                <w:szCs w:val="22"/>
                <w:lang w:eastAsia="en-US"/>
              </w:rPr>
              <w:instrText xml:space="preserve"> LINK PowerPoint.Slide.8 "D:\\2015\\MARZO 2014\\GRÁFICAS EN POWER POINT\\16.- GRÁFICAS DEL ÍNDICE DE CONFIANZA DEL CONSUMIDOR.pptx!275" "" \a \p </w:instrText>
            </w:r>
            <w:r w:rsidRPr="00C342AC">
              <w:rPr>
                <w:rFonts w:ascii="Calibri" w:eastAsia="Calibri" w:hAnsi="Calibri"/>
                <w:sz w:val="22"/>
                <w:szCs w:val="22"/>
                <w:lang w:eastAsia="en-US"/>
              </w:rPr>
              <w:fldChar w:fldCharType="separate"/>
            </w:r>
            <w:r w:rsidRPr="00C342AC">
              <w:rPr>
                <w:rFonts w:ascii="Calibri" w:eastAsia="Calibri" w:hAnsi="Calibri"/>
                <w:noProof/>
                <w:sz w:val="22"/>
                <w:szCs w:val="22"/>
                <w:lang w:eastAsia="es-MX"/>
              </w:rPr>
              <w:drawing>
                <wp:inline distT="0" distB="0" distL="0" distR="0" wp14:anchorId="33804BA6" wp14:editId="5BE2E73C">
                  <wp:extent cx="5542280" cy="2254885"/>
                  <wp:effectExtent l="0" t="0" r="1270" b="0"/>
                  <wp:docPr id="1484" name="Imagen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
                          <pic:cNvPicPr>
                            <a:picLocks noChangeAspect="1" noChangeArrowheads="1"/>
                          </pic:cNvPicPr>
                        </pic:nvPicPr>
                        <pic:blipFill>
                          <a:blip r:embed="rId176" cstate="print">
                            <a:extLst>
                              <a:ext uri="{28A0092B-C50C-407E-A947-70E740481C1C}">
                                <a14:useLocalDpi xmlns:a14="http://schemas.microsoft.com/office/drawing/2010/main" val="0"/>
                              </a:ext>
                            </a:extLst>
                          </a:blip>
                          <a:srcRect l="3661" t="12708" r="4883" b="21112"/>
                          <a:stretch>
                            <a:fillRect/>
                          </a:stretch>
                        </pic:blipFill>
                        <pic:spPr bwMode="auto">
                          <a:xfrm>
                            <a:off x="0" y="0"/>
                            <a:ext cx="5542280" cy="2254885"/>
                          </a:xfrm>
                          <a:prstGeom prst="rect">
                            <a:avLst/>
                          </a:prstGeom>
                          <a:noFill/>
                          <a:ln>
                            <a:noFill/>
                          </a:ln>
                        </pic:spPr>
                      </pic:pic>
                    </a:graphicData>
                  </a:graphic>
                </wp:inline>
              </w:drawing>
            </w:r>
            <w:r w:rsidRPr="00C342AC">
              <w:rPr>
                <w:rFonts w:ascii="Calibri" w:eastAsia="Calibri" w:hAnsi="Calibri"/>
                <w:sz w:val="22"/>
                <w:szCs w:val="22"/>
                <w:lang w:eastAsia="en-US"/>
              </w:rPr>
              <w:fldChar w:fldCharType="end"/>
            </w:r>
          </w:p>
        </w:tc>
      </w:tr>
      <w:tr w:rsidR="00C342AC" w:rsidRPr="00C342AC" w14:paraId="4B7276C6" w14:textId="77777777" w:rsidTr="00082E99">
        <w:tc>
          <w:tcPr>
            <w:tcW w:w="8838" w:type="dxa"/>
          </w:tcPr>
          <w:p w14:paraId="0112DB44" w14:textId="77777777" w:rsidR="00C342AC" w:rsidRPr="00C342AC" w:rsidRDefault="00C342AC" w:rsidP="00C342AC">
            <w:pPr>
              <w:jc w:val="center"/>
              <w:rPr>
                <w:rFonts w:ascii="Calibri" w:eastAsia="Calibri" w:hAnsi="Calibri"/>
                <w:sz w:val="22"/>
                <w:szCs w:val="22"/>
                <w:lang w:eastAsia="en-US"/>
              </w:rPr>
            </w:pPr>
            <w:r w:rsidRPr="00C342AC">
              <w:rPr>
                <w:rFonts w:ascii="Calibri" w:eastAsia="Calibri" w:hAnsi="Calibri"/>
                <w:sz w:val="22"/>
                <w:szCs w:val="22"/>
                <w:lang w:eastAsia="en-US"/>
              </w:rPr>
              <w:fldChar w:fldCharType="begin"/>
            </w:r>
            <w:r w:rsidRPr="00C342AC">
              <w:rPr>
                <w:rFonts w:ascii="Calibri" w:eastAsia="Calibri" w:hAnsi="Calibri"/>
                <w:sz w:val="22"/>
                <w:szCs w:val="22"/>
                <w:lang w:eastAsia="en-US"/>
              </w:rPr>
              <w:instrText xml:space="preserve"> LINK PowerPoint.Slide.8 "D:\\2015\\MARZO 2014\\GRÁFICAS EN POWER POINT\\16.- GRÁFICAS DEL ÍNDICE DE CONFIANZA DEL CONSUMIDOR.pptx!276" "" \a \p </w:instrText>
            </w:r>
            <w:r w:rsidRPr="00C342AC">
              <w:rPr>
                <w:rFonts w:ascii="Calibri" w:eastAsia="Calibri" w:hAnsi="Calibri"/>
                <w:sz w:val="22"/>
                <w:szCs w:val="22"/>
                <w:lang w:eastAsia="en-US"/>
              </w:rPr>
              <w:fldChar w:fldCharType="separate"/>
            </w:r>
            <w:r w:rsidRPr="00C342AC">
              <w:rPr>
                <w:rFonts w:ascii="Calibri" w:eastAsia="Calibri" w:hAnsi="Calibri"/>
                <w:noProof/>
                <w:sz w:val="22"/>
                <w:szCs w:val="22"/>
                <w:lang w:eastAsia="es-MX"/>
              </w:rPr>
              <w:drawing>
                <wp:inline distT="0" distB="0" distL="0" distR="0" wp14:anchorId="2ACDD106" wp14:editId="34D8A00F">
                  <wp:extent cx="5381625" cy="2761615"/>
                  <wp:effectExtent l="0" t="0" r="9525" b="635"/>
                  <wp:docPr id="160" name="Imagen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
                          <pic:cNvPicPr>
                            <a:picLocks noChangeAspect="1" noChangeArrowheads="1"/>
                          </pic:cNvPicPr>
                        </pic:nvPicPr>
                        <pic:blipFill>
                          <a:blip r:embed="rId177" cstate="print">
                            <a:extLst>
                              <a:ext uri="{28A0092B-C50C-407E-A947-70E740481C1C}">
                                <a14:useLocalDpi xmlns:a14="http://schemas.microsoft.com/office/drawing/2010/main" val="0"/>
                              </a:ext>
                            </a:extLst>
                          </a:blip>
                          <a:srcRect l="7159" t="10863" r="4361" b="8371"/>
                          <a:stretch>
                            <a:fillRect/>
                          </a:stretch>
                        </pic:blipFill>
                        <pic:spPr bwMode="auto">
                          <a:xfrm>
                            <a:off x="0" y="0"/>
                            <a:ext cx="5381625" cy="2761615"/>
                          </a:xfrm>
                          <a:prstGeom prst="rect">
                            <a:avLst/>
                          </a:prstGeom>
                          <a:noFill/>
                          <a:ln>
                            <a:noFill/>
                          </a:ln>
                        </pic:spPr>
                      </pic:pic>
                    </a:graphicData>
                  </a:graphic>
                </wp:inline>
              </w:drawing>
            </w:r>
            <w:r w:rsidRPr="00C342AC">
              <w:rPr>
                <w:rFonts w:ascii="Calibri" w:eastAsia="Calibri" w:hAnsi="Calibri"/>
                <w:sz w:val="22"/>
                <w:szCs w:val="22"/>
                <w:lang w:eastAsia="en-US"/>
              </w:rPr>
              <w:fldChar w:fldCharType="end"/>
            </w:r>
          </w:p>
        </w:tc>
      </w:tr>
    </w:tbl>
    <w:p w14:paraId="0143772E" w14:textId="77777777" w:rsidR="00C342AC" w:rsidRPr="00C342AC" w:rsidRDefault="00C342AC" w:rsidP="00C342AC">
      <w:pPr>
        <w:spacing w:after="360"/>
        <w:ind w:right="-159"/>
        <w:jc w:val="both"/>
        <w:rPr>
          <w:rFonts w:eastAsia="Times New Roman"/>
          <w:b/>
          <w:noProof/>
          <w:sz w:val="26"/>
          <w:szCs w:val="26"/>
          <w:lang w:eastAsia="es-MX"/>
        </w:rPr>
      </w:pPr>
      <w:r w:rsidRPr="00C342AC">
        <w:rPr>
          <w:rFonts w:eastAsia="Times New Roman"/>
          <w:b/>
          <w:noProof/>
          <w:sz w:val="26"/>
          <w:szCs w:val="26"/>
          <w:lang w:eastAsia="es-MX"/>
        </w:rPr>
        <w:lastRenderedPageBreak/>
        <w:t xml:space="preserve">Comportamiento de los componentes del Índice de Confianza del Consumidor: Cifras originales </w:t>
      </w:r>
    </w:p>
    <w:p w14:paraId="143FD836" w14:textId="77777777" w:rsidR="00C342AC" w:rsidRPr="00C342AC" w:rsidRDefault="00C342AC" w:rsidP="00C342AC">
      <w:pPr>
        <w:spacing w:after="360" w:line="360" w:lineRule="auto"/>
        <w:ind w:right="-159"/>
        <w:jc w:val="both"/>
        <w:rPr>
          <w:rFonts w:eastAsia="Times New Roman"/>
          <w:noProof/>
          <w:sz w:val="26"/>
          <w:szCs w:val="26"/>
          <w:lang w:eastAsia="es-MX"/>
        </w:rPr>
      </w:pPr>
      <w:r w:rsidRPr="00C342AC">
        <w:rPr>
          <w:rFonts w:eastAsia="Times New Roman"/>
          <w:noProof/>
          <w:sz w:val="26"/>
          <w:szCs w:val="26"/>
          <w:lang w:eastAsia="es-MX"/>
        </w:rPr>
        <w:t>El Índice de Confianza del Consumidor en su serie original se ubicó en 90.3 puntos durante febrero de 2015 (enero de 2003=100). Este nivel implicó un incremento de 6.8% respecto al nivel alcanzado en igual mes de 2014.</w:t>
      </w:r>
    </w:p>
    <w:p w14:paraId="70564171" w14:textId="77777777" w:rsidR="00C342AC" w:rsidRPr="00C342AC" w:rsidRDefault="00C342AC" w:rsidP="00C342AC">
      <w:pPr>
        <w:spacing w:after="360" w:line="360" w:lineRule="auto"/>
        <w:ind w:right="-159"/>
        <w:jc w:val="center"/>
      </w:pPr>
      <w:r w:rsidRPr="00C342AC">
        <w:fldChar w:fldCharType="begin"/>
      </w:r>
      <w:r w:rsidRPr="00C342AC">
        <w:instrText xml:space="preserve"> LINK PowerPoint.Slide.8 "D:\\2015\\MARZO 2014\\GRÁFICAS EN POWER POINT\\16.- GRÁFICAS DEL ÍNDICE DE CONFIANZA DEL CONSUMIDOR.pptx!258" "" \a \p </w:instrText>
      </w:r>
      <w:r w:rsidRPr="00C342AC">
        <w:fldChar w:fldCharType="separate"/>
      </w:r>
      <w:r w:rsidRPr="00C342AC">
        <w:rPr>
          <w:noProof/>
          <w:lang w:eastAsia="es-MX"/>
        </w:rPr>
        <w:drawing>
          <wp:inline distT="0" distB="0" distL="0" distR="0" wp14:anchorId="758120DC" wp14:editId="75D687B6">
            <wp:extent cx="4714240" cy="3237230"/>
            <wp:effectExtent l="0" t="0" r="0" b="1270"/>
            <wp:docPr id="161" name="Imagen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9"/>
                    <pic:cNvPicPr>
                      <a:picLocks noChangeAspect="1" noChangeArrowheads="1"/>
                    </pic:cNvPicPr>
                  </pic:nvPicPr>
                  <pic:blipFill>
                    <a:blip r:embed="rId178" cstate="print">
                      <a:extLst>
                        <a:ext uri="{28A0092B-C50C-407E-A947-70E740481C1C}">
                          <a14:useLocalDpi xmlns:a14="http://schemas.microsoft.com/office/drawing/2010/main" val="0"/>
                        </a:ext>
                      </a:extLst>
                    </a:blip>
                    <a:srcRect l="10799" t="2222" r="11737" b="3334"/>
                    <a:stretch>
                      <a:fillRect/>
                    </a:stretch>
                  </pic:blipFill>
                  <pic:spPr bwMode="auto">
                    <a:xfrm>
                      <a:off x="0" y="0"/>
                      <a:ext cx="4714240" cy="3237230"/>
                    </a:xfrm>
                    <a:prstGeom prst="rect">
                      <a:avLst/>
                    </a:prstGeom>
                    <a:noFill/>
                    <a:ln>
                      <a:noFill/>
                    </a:ln>
                  </pic:spPr>
                </pic:pic>
              </a:graphicData>
            </a:graphic>
          </wp:inline>
        </w:drawing>
      </w:r>
      <w:r w:rsidRPr="00C342AC">
        <w:fldChar w:fldCharType="end"/>
      </w:r>
    </w:p>
    <w:p w14:paraId="38198FBD" w14:textId="77777777" w:rsidR="00C342AC" w:rsidRPr="00C342AC" w:rsidRDefault="00C342AC" w:rsidP="00C342AC">
      <w:pPr>
        <w:spacing w:after="360" w:line="360" w:lineRule="auto"/>
        <w:ind w:right="-159"/>
        <w:jc w:val="center"/>
      </w:pPr>
    </w:p>
    <w:p w14:paraId="47AC154F" w14:textId="77777777" w:rsidR="00C342AC" w:rsidRPr="00C342AC" w:rsidRDefault="00C342AC" w:rsidP="00C342AC">
      <w:pPr>
        <w:spacing w:after="360" w:line="360" w:lineRule="auto"/>
        <w:ind w:right="-159"/>
        <w:jc w:val="center"/>
      </w:pPr>
    </w:p>
    <w:p w14:paraId="2FBA54C3" w14:textId="77777777" w:rsidR="00C342AC" w:rsidRPr="00C342AC" w:rsidRDefault="00C342AC" w:rsidP="00C342AC">
      <w:pPr>
        <w:spacing w:after="360" w:line="360" w:lineRule="auto"/>
        <w:ind w:right="-159"/>
        <w:jc w:val="center"/>
      </w:pPr>
    </w:p>
    <w:p w14:paraId="1A52873F" w14:textId="77777777" w:rsidR="00C342AC" w:rsidRPr="00C342AC" w:rsidRDefault="00C342AC" w:rsidP="00C342AC">
      <w:pPr>
        <w:spacing w:after="360" w:line="360" w:lineRule="auto"/>
        <w:ind w:right="-159"/>
        <w:jc w:val="center"/>
      </w:pPr>
    </w:p>
    <w:p w14:paraId="6B1B3D86" w14:textId="77777777" w:rsidR="00C342AC" w:rsidRPr="00C342AC" w:rsidRDefault="00C342AC" w:rsidP="00C342AC">
      <w:pPr>
        <w:spacing w:after="360" w:line="360" w:lineRule="auto"/>
        <w:ind w:right="-159"/>
        <w:jc w:val="center"/>
      </w:pPr>
    </w:p>
    <w:p w14:paraId="0F141C05" w14:textId="77777777" w:rsidR="00C342AC" w:rsidRPr="00C342AC" w:rsidRDefault="00C342AC" w:rsidP="00C342AC">
      <w:pPr>
        <w:spacing w:after="360" w:line="360" w:lineRule="auto"/>
        <w:ind w:right="-159"/>
        <w:jc w:val="center"/>
        <w:rPr>
          <w:rFonts w:eastAsia="Times New Roman"/>
          <w:noProof/>
          <w:sz w:val="26"/>
          <w:szCs w:val="26"/>
          <w:lang w:eastAsia="es-MX"/>
        </w:rPr>
      </w:pPr>
    </w:p>
    <w:tbl>
      <w:tblPr>
        <w:tblW w:w="9476" w:type="dxa"/>
        <w:tblInd w:w="185" w:type="dxa"/>
        <w:tblLayout w:type="fixed"/>
        <w:tblLook w:val="04A0" w:firstRow="1" w:lastRow="0" w:firstColumn="1" w:lastColumn="0" w:noHBand="0" w:noVBand="1"/>
      </w:tblPr>
      <w:tblGrid>
        <w:gridCol w:w="2080"/>
        <w:gridCol w:w="557"/>
        <w:gridCol w:w="549"/>
        <w:gridCol w:w="569"/>
        <w:gridCol w:w="570"/>
        <w:gridCol w:w="567"/>
        <w:gridCol w:w="583"/>
        <w:gridCol w:w="573"/>
        <w:gridCol w:w="507"/>
        <w:gridCol w:w="643"/>
        <w:gridCol w:w="554"/>
        <w:gridCol w:w="568"/>
        <w:gridCol w:w="567"/>
        <w:gridCol w:w="589"/>
      </w:tblGrid>
      <w:tr w:rsidR="00C342AC" w:rsidRPr="00C342AC" w14:paraId="7FB6E69B" w14:textId="77777777" w:rsidTr="00082E99">
        <w:tc>
          <w:tcPr>
            <w:tcW w:w="9476" w:type="dxa"/>
            <w:gridSpan w:val="14"/>
            <w:tcBorders>
              <w:top w:val="nil"/>
              <w:left w:val="nil"/>
              <w:bottom w:val="nil"/>
              <w:right w:val="nil"/>
            </w:tcBorders>
          </w:tcPr>
          <w:p w14:paraId="1183934F" w14:textId="77777777" w:rsidR="00C342AC" w:rsidRPr="00C342AC" w:rsidRDefault="00C342AC" w:rsidP="00C342AC">
            <w:pPr>
              <w:tabs>
                <w:tab w:val="left" w:pos="1250"/>
              </w:tabs>
              <w:jc w:val="center"/>
              <w:rPr>
                <w:b/>
                <w:sz w:val="20"/>
                <w:szCs w:val="20"/>
              </w:rPr>
            </w:pPr>
            <w:r w:rsidRPr="00C342AC">
              <w:rPr>
                <w:b/>
                <w:sz w:val="20"/>
                <w:szCs w:val="20"/>
              </w:rPr>
              <w:lastRenderedPageBreak/>
              <w:t>ÍNDICE DE CONFIANZA DEL CONSUMIDOR Y SUS COMPONENTES</w:t>
            </w:r>
          </w:p>
        </w:tc>
      </w:tr>
      <w:tr w:rsidR="00C342AC" w:rsidRPr="00C342AC" w14:paraId="4150CFB3" w14:textId="77777777" w:rsidTr="00082E99">
        <w:tc>
          <w:tcPr>
            <w:tcW w:w="9476" w:type="dxa"/>
            <w:gridSpan w:val="14"/>
            <w:tcBorders>
              <w:top w:val="nil"/>
              <w:left w:val="nil"/>
              <w:bottom w:val="single" w:sz="4" w:space="0" w:color="auto"/>
              <w:right w:val="nil"/>
            </w:tcBorders>
          </w:tcPr>
          <w:p w14:paraId="26B9CF42" w14:textId="77777777" w:rsidR="00C342AC" w:rsidRPr="00C342AC" w:rsidRDefault="00C342AC" w:rsidP="00C342AC">
            <w:pPr>
              <w:tabs>
                <w:tab w:val="left" w:pos="1250"/>
              </w:tabs>
              <w:jc w:val="center"/>
              <w:rPr>
                <w:b/>
                <w:sz w:val="20"/>
                <w:szCs w:val="20"/>
              </w:rPr>
            </w:pPr>
            <w:r w:rsidRPr="00C342AC">
              <w:rPr>
                <w:b/>
                <w:sz w:val="20"/>
                <w:szCs w:val="20"/>
              </w:rPr>
              <w:t>-Índices: enero de 2003=100-</w:t>
            </w:r>
          </w:p>
        </w:tc>
      </w:tr>
      <w:tr w:rsidR="00C342AC" w:rsidRPr="00C342AC" w14:paraId="2D39273B" w14:textId="77777777" w:rsidTr="00082E99">
        <w:tc>
          <w:tcPr>
            <w:tcW w:w="2080" w:type="dxa"/>
            <w:tcBorders>
              <w:top w:val="single" w:sz="4" w:space="0" w:color="auto"/>
              <w:left w:val="single" w:sz="4" w:space="0" w:color="auto"/>
              <w:right w:val="single" w:sz="4" w:space="0" w:color="auto"/>
            </w:tcBorders>
          </w:tcPr>
          <w:p w14:paraId="543CCCC2" w14:textId="77777777" w:rsidR="00C342AC" w:rsidRPr="00C342AC" w:rsidRDefault="00C342AC" w:rsidP="00C342AC">
            <w:pPr>
              <w:tabs>
                <w:tab w:val="left" w:pos="1250"/>
              </w:tabs>
              <w:rPr>
                <w:sz w:val="14"/>
                <w:szCs w:val="14"/>
              </w:rPr>
            </w:pPr>
          </w:p>
        </w:tc>
        <w:tc>
          <w:tcPr>
            <w:tcW w:w="6240" w:type="dxa"/>
            <w:gridSpan w:val="11"/>
            <w:tcBorders>
              <w:top w:val="single" w:sz="4" w:space="0" w:color="auto"/>
              <w:left w:val="single" w:sz="4" w:space="0" w:color="auto"/>
              <w:bottom w:val="single" w:sz="4" w:space="0" w:color="auto"/>
              <w:right w:val="single" w:sz="4" w:space="0" w:color="auto"/>
            </w:tcBorders>
          </w:tcPr>
          <w:p w14:paraId="3B881A4D" w14:textId="77777777" w:rsidR="00C342AC" w:rsidRPr="00C342AC" w:rsidRDefault="00C342AC" w:rsidP="00C342AC">
            <w:pPr>
              <w:tabs>
                <w:tab w:val="left" w:pos="1250"/>
              </w:tabs>
              <w:jc w:val="center"/>
              <w:rPr>
                <w:b/>
                <w:sz w:val="14"/>
                <w:szCs w:val="14"/>
              </w:rPr>
            </w:pPr>
            <w:r w:rsidRPr="00C342AC">
              <w:rPr>
                <w:b/>
                <w:sz w:val="14"/>
                <w:szCs w:val="14"/>
              </w:rPr>
              <w:t>2014</w:t>
            </w:r>
          </w:p>
        </w:tc>
        <w:tc>
          <w:tcPr>
            <w:tcW w:w="1156" w:type="dxa"/>
            <w:gridSpan w:val="2"/>
            <w:tcBorders>
              <w:top w:val="single" w:sz="4" w:space="0" w:color="auto"/>
              <w:left w:val="single" w:sz="4" w:space="0" w:color="auto"/>
              <w:bottom w:val="single" w:sz="4" w:space="0" w:color="auto"/>
              <w:right w:val="single" w:sz="4" w:space="0" w:color="auto"/>
            </w:tcBorders>
          </w:tcPr>
          <w:p w14:paraId="6F65BE0F" w14:textId="77777777" w:rsidR="00C342AC" w:rsidRPr="00C342AC" w:rsidRDefault="00C342AC" w:rsidP="00C342AC">
            <w:pPr>
              <w:tabs>
                <w:tab w:val="left" w:pos="1250"/>
              </w:tabs>
              <w:jc w:val="center"/>
              <w:rPr>
                <w:b/>
                <w:sz w:val="14"/>
                <w:szCs w:val="14"/>
              </w:rPr>
            </w:pPr>
            <w:r w:rsidRPr="00C342AC">
              <w:rPr>
                <w:b/>
                <w:sz w:val="14"/>
                <w:szCs w:val="14"/>
              </w:rPr>
              <w:t>2015</w:t>
            </w:r>
          </w:p>
        </w:tc>
      </w:tr>
      <w:tr w:rsidR="00C342AC" w:rsidRPr="00C342AC" w14:paraId="7C35FE04" w14:textId="77777777" w:rsidTr="00082E99">
        <w:tc>
          <w:tcPr>
            <w:tcW w:w="2080" w:type="dxa"/>
            <w:tcBorders>
              <w:left w:val="single" w:sz="4" w:space="0" w:color="auto"/>
              <w:bottom w:val="single" w:sz="4" w:space="0" w:color="auto"/>
              <w:right w:val="single" w:sz="4" w:space="0" w:color="auto"/>
            </w:tcBorders>
          </w:tcPr>
          <w:p w14:paraId="04A2DDED" w14:textId="77777777" w:rsidR="00C342AC" w:rsidRPr="00C342AC" w:rsidRDefault="00C342AC" w:rsidP="00C342AC">
            <w:pPr>
              <w:tabs>
                <w:tab w:val="left" w:pos="1250"/>
              </w:tabs>
              <w:rPr>
                <w:sz w:val="14"/>
                <w:szCs w:val="14"/>
              </w:rPr>
            </w:pPr>
          </w:p>
        </w:tc>
        <w:tc>
          <w:tcPr>
            <w:tcW w:w="557" w:type="dxa"/>
            <w:tcBorders>
              <w:top w:val="single" w:sz="4" w:space="0" w:color="auto"/>
              <w:left w:val="single" w:sz="4" w:space="0" w:color="auto"/>
              <w:bottom w:val="single" w:sz="4" w:space="0" w:color="auto"/>
              <w:right w:val="single" w:sz="4" w:space="0" w:color="auto"/>
            </w:tcBorders>
          </w:tcPr>
          <w:p w14:paraId="77287841" w14:textId="77777777" w:rsidR="00C342AC" w:rsidRPr="00C342AC" w:rsidRDefault="00C342AC" w:rsidP="00C342AC">
            <w:pPr>
              <w:tabs>
                <w:tab w:val="left" w:pos="1250"/>
              </w:tabs>
              <w:jc w:val="center"/>
              <w:rPr>
                <w:b/>
                <w:sz w:val="14"/>
                <w:szCs w:val="14"/>
              </w:rPr>
            </w:pPr>
            <w:r w:rsidRPr="00C342AC">
              <w:rPr>
                <w:b/>
                <w:sz w:val="14"/>
                <w:szCs w:val="14"/>
              </w:rPr>
              <w:t>Feb.</w:t>
            </w:r>
          </w:p>
        </w:tc>
        <w:tc>
          <w:tcPr>
            <w:tcW w:w="549" w:type="dxa"/>
            <w:tcBorders>
              <w:top w:val="single" w:sz="4" w:space="0" w:color="auto"/>
              <w:left w:val="single" w:sz="4" w:space="0" w:color="auto"/>
              <w:bottom w:val="single" w:sz="4" w:space="0" w:color="auto"/>
              <w:right w:val="single" w:sz="4" w:space="0" w:color="auto"/>
            </w:tcBorders>
          </w:tcPr>
          <w:p w14:paraId="669A476D" w14:textId="77777777" w:rsidR="00C342AC" w:rsidRPr="00C342AC" w:rsidRDefault="00C342AC" w:rsidP="00C342AC">
            <w:pPr>
              <w:tabs>
                <w:tab w:val="left" w:pos="1250"/>
              </w:tabs>
              <w:jc w:val="center"/>
              <w:rPr>
                <w:b/>
                <w:sz w:val="14"/>
                <w:szCs w:val="14"/>
              </w:rPr>
            </w:pPr>
            <w:r w:rsidRPr="00C342AC">
              <w:rPr>
                <w:b/>
                <w:sz w:val="14"/>
                <w:szCs w:val="14"/>
              </w:rPr>
              <w:t>Mar.</w:t>
            </w:r>
          </w:p>
        </w:tc>
        <w:tc>
          <w:tcPr>
            <w:tcW w:w="569" w:type="dxa"/>
            <w:tcBorders>
              <w:top w:val="single" w:sz="4" w:space="0" w:color="auto"/>
              <w:left w:val="single" w:sz="4" w:space="0" w:color="auto"/>
              <w:bottom w:val="single" w:sz="4" w:space="0" w:color="auto"/>
              <w:right w:val="single" w:sz="4" w:space="0" w:color="auto"/>
            </w:tcBorders>
          </w:tcPr>
          <w:p w14:paraId="47B31D81" w14:textId="77777777" w:rsidR="00C342AC" w:rsidRPr="00C342AC" w:rsidRDefault="00C342AC" w:rsidP="00C342AC">
            <w:pPr>
              <w:tabs>
                <w:tab w:val="left" w:pos="1250"/>
              </w:tabs>
              <w:jc w:val="center"/>
              <w:rPr>
                <w:b/>
                <w:sz w:val="14"/>
                <w:szCs w:val="14"/>
              </w:rPr>
            </w:pPr>
            <w:r w:rsidRPr="00C342AC">
              <w:rPr>
                <w:b/>
                <w:sz w:val="14"/>
                <w:szCs w:val="14"/>
              </w:rPr>
              <w:t>Abr.</w:t>
            </w:r>
          </w:p>
        </w:tc>
        <w:tc>
          <w:tcPr>
            <w:tcW w:w="570" w:type="dxa"/>
            <w:tcBorders>
              <w:top w:val="single" w:sz="4" w:space="0" w:color="auto"/>
              <w:left w:val="single" w:sz="4" w:space="0" w:color="auto"/>
              <w:bottom w:val="single" w:sz="4" w:space="0" w:color="auto"/>
              <w:right w:val="single" w:sz="4" w:space="0" w:color="auto"/>
            </w:tcBorders>
          </w:tcPr>
          <w:p w14:paraId="3D7FAFD6" w14:textId="77777777" w:rsidR="00C342AC" w:rsidRPr="00C342AC" w:rsidRDefault="00C342AC" w:rsidP="00C342AC">
            <w:pPr>
              <w:tabs>
                <w:tab w:val="left" w:pos="1250"/>
              </w:tabs>
              <w:jc w:val="center"/>
              <w:rPr>
                <w:b/>
                <w:sz w:val="14"/>
                <w:szCs w:val="14"/>
              </w:rPr>
            </w:pPr>
            <w:r w:rsidRPr="00C342AC">
              <w:rPr>
                <w:b/>
                <w:sz w:val="14"/>
                <w:szCs w:val="14"/>
              </w:rPr>
              <w:t>May.</w:t>
            </w:r>
          </w:p>
        </w:tc>
        <w:tc>
          <w:tcPr>
            <w:tcW w:w="567" w:type="dxa"/>
            <w:tcBorders>
              <w:top w:val="single" w:sz="4" w:space="0" w:color="auto"/>
              <w:left w:val="single" w:sz="4" w:space="0" w:color="auto"/>
              <w:bottom w:val="single" w:sz="4" w:space="0" w:color="auto"/>
              <w:right w:val="single" w:sz="4" w:space="0" w:color="auto"/>
            </w:tcBorders>
          </w:tcPr>
          <w:p w14:paraId="668973A4" w14:textId="77777777" w:rsidR="00C342AC" w:rsidRPr="00C342AC" w:rsidRDefault="00C342AC" w:rsidP="00C342AC">
            <w:pPr>
              <w:tabs>
                <w:tab w:val="left" w:pos="1250"/>
              </w:tabs>
              <w:jc w:val="center"/>
              <w:rPr>
                <w:b/>
                <w:sz w:val="14"/>
                <w:szCs w:val="14"/>
              </w:rPr>
            </w:pPr>
            <w:r w:rsidRPr="00C342AC">
              <w:rPr>
                <w:b/>
                <w:sz w:val="14"/>
                <w:szCs w:val="14"/>
              </w:rPr>
              <w:t>Jun.</w:t>
            </w:r>
          </w:p>
        </w:tc>
        <w:tc>
          <w:tcPr>
            <w:tcW w:w="583" w:type="dxa"/>
            <w:tcBorders>
              <w:top w:val="single" w:sz="4" w:space="0" w:color="auto"/>
              <w:left w:val="single" w:sz="4" w:space="0" w:color="auto"/>
              <w:bottom w:val="single" w:sz="4" w:space="0" w:color="auto"/>
              <w:right w:val="single" w:sz="4" w:space="0" w:color="auto"/>
            </w:tcBorders>
          </w:tcPr>
          <w:p w14:paraId="42263EAF" w14:textId="77777777" w:rsidR="00C342AC" w:rsidRPr="00C342AC" w:rsidRDefault="00C342AC" w:rsidP="00C342AC">
            <w:pPr>
              <w:tabs>
                <w:tab w:val="left" w:pos="1250"/>
              </w:tabs>
              <w:jc w:val="center"/>
              <w:rPr>
                <w:b/>
                <w:sz w:val="14"/>
                <w:szCs w:val="14"/>
              </w:rPr>
            </w:pPr>
            <w:r w:rsidRPr="00C342AC">
              <w:rPr>
                <w:b/>
                <w:sz w:val="14"/>
                <w:szCs w:val="14"/>
              </w:rPr>
              <w:t>Jul.</w:t>
            </w:r>
          </w:p>
        </w:tc>
        <w:tc>
          <w:tcPr>
            <w:tcW w:w="573" w:type="dxa"/>
            <w:tcBorders>
              <w:top w:val="single" w:sz="4" w:space="0" w:color="auto"/>
              <w:left w:val="single" w:sz="4" w:space="0" w:color="auto"/>
              <w:bottom w:val="single" w:sz="4" w:space="0" w:color="auto"/>
              <w:right w:val="single" w:sz="4" w:space="0" w:color="auto"/>
            </w:tcBorders>
          </w:tcPr>
          <w:p w14:paraId="503F8CD3" w14:textId="77777777" w:rsidR="00C342AC" w:rsidRPr="00C342AC" w:rsidRDefault="00C342AC" w:rsidP="00C342AC">
            <w:pPr>
              <w:tabs>
                <w:tab w:val="left" w:pos="1250"/>
              </w:tabs>
              <w:jc w:val="center"/>
              <w:rPr>
                <w:b/>
                <w:sz w:val="14"/>
                <w:szCs w:val="14"/>
              </w:rPr>
            </w:pPr>
            <w:r w:rsidRPr="00C342AC">
              <w:rPr>
                <w:b/>
                <w:sz w:val="14"/>
                <w:szCs w:val="14"/>
              </w:rPr>
              <w:t>Ago.</w:t>
            </w:r>
          </w:p>
        </w:tc>
        <w:tc>
          <w:tcPr>
            <w:tcW w:w="507" w:type="dxa"/>
            <w:tcBorders>
              <w:top w:val="single" w:sz="4" w:space="0" w:color="auto"/>
              <w:left w:val="single" w:sz="4" w:space="0" w:color="auto"/>
              <w:bottom w:val="single" w:sz="4" w:space="0" w:color="auto"/>
              <w:right w:val="single" w:sz="4" w:space="0" w:color="auto"/>
            </w:tcBorders>
          </w:tcPr>
          <w:p w14:paraId="310A5EE8" w14:textId="77777777" w:rsidR="00C342AC" w:rsidRPr="00C342AC" w:rsidRDefault="00C342AC" w:rsidP="00C342AC">
            <w:pPr>
              <w:tabs>
                <w:tab w:val="left" w:pos="1250"/>
              </w:tabs>
              <w:jc w:val="center"/>
              <w:rPr>
                <w:b/>
                <w:sz w:val="14"/>
                <w:szCs w:val="14"/>
              </w:rPr>
            </w:pPr>
            <w:r w:rsidRPr="00C342AC">
              <w:rPr>
                <w:b/>
                <w:sz w:val="14"/>
                <w:szCs w:val="14"/>
              </w:rPr>
              <w:t>Sep.</w:t>
            </w:r>
          </w:p>
        </w:tc>
        <w:tc>
          <w:tcPr>
            <w:tcW w:w="643" w:type="dxa"/>
            <w:tcBorders>
              <w:top w:val="single" w:sz="4" w:space="0" w:color="auto"/>
              <w:left w:val="single" w:sz="4" w:space="0" w:color="auto"/>
              <w:bottom w:val="single" w:sz="4" w:space="0" w:color="auto"/>
              <w:right w:val="single" w:sz="4" w:space="0" w:color="auto"/>
            </w:tcBorders>
          </w:tcPr>
          <w:p w14:paraId="75E7C577" w14:textId="77777777" w:rsidR="00C342AC" w:rsidRPr="00C342AC" w:rsidRDefault="00C342AC" w:rsidP="00C342AC">
            <w:pPr>
              <w:tabs>
                <w:tab w:val="left" w:pos="1250"/>
              </w:tabs>
              <w:jc w:val="center"/>
              <w:rPr>
                <w:b/>
                <w:sz w:val="14"/>
                <w:szCs w:val="14"/>
              </w:rPr>
            </w:pPr>
            <w:r w:rsidRPr="00C342AC">
              <w:rPr>
                <w:b/>
                <w:sz w:val="14"/>
                <w:szCs w:val="14"/>
              </w:rPr>
              <w:t>Oct.</w:t>
            </w:r>
          </w:p>
        </w:tc>
        <w:tc>
          <w:tcPr>
            <w:tcW w:w="554" w:type="dxa"/>
            <w:tcBorders>
              <w:top w:val="single" w:sz="4" w:space="0" w:color="auto"/>
              <w:left w:val="single" w:sz="4" w:space="0" w:color="auto"/>
              <w:bottom w:val="single" w:sz="4" w:space="0" w:color="auto"/>
              <w:right w:val="single" w:sz="4" w:space="0" w:color="auto"/>
            </w:tcBorders>
          </w:tcPr>
          <w:p w14:paraId="578F689B" w14:textId="77777777" w:rsidR="00C342AC" w:rsidRPr="00C342AC" w:rsidRDefault="00C342AC" w:rsidP="00C342AC">
            <w:pPr>
              <w:tabs>
                <w:tab w:val="left" w:pos="1250"/>
              </w:tabs>
              <w:jc w:val="center"/>
              <w:rPr>
                <w:b/>
                <w:sz w:val="14"/>
                <w:szCs w:val="14"/>
              </w:rPr>
            </w:pPr>
            <w:r w:rsidRPr="00C342AC">
              <w:rPr>
                <w:b/>
                <w:sz w:val="14"/>
                <w:szCs w:val="14"/>
              </w:rPr>
              <w:t>Nov.</w:t>
            </w:r>
          </w:p>
        </w:tc>
        <w:tc>
          <w:tcPr>
            <w:tcW w:w="568" w:type="dxa"/>
            <w:tcBorders>
              <w:top w:val="single" w:sz="4" w:space="0" w:color="auto"/>
              <w:left w:val="single" w:sz="4" w:space="0" w:color="auto"/>
              <w:bottom w:val="single" w:sz="4" w:space="0" w:color="auto"/>
              <w:right w:val="single" w:sz="4" w:space="0" w:color="auto"/>
            </w:tcBorders>
          </w:tcPr>
          <w:p w14:paraId="33ACDE3F" w14:textId="77777777" w:rsidR="00C342AC" w:rsidRPr="00C342AC" w:rsidRDefault="00C342AC" w:rsidP="00C342AC">
            <w:pPr>
              <w:tabs>
                <w:tab w:val="left" w:pos="1250"/>
              </w:tabs>
              <w:jc w:val="center"/>
              <w:rPr>
                <w:b/>
                <w:sz w:val="14"/>
                <w:szCs w:val="14"/>
              </w:rPr>
            </w:pPr>
            <w:r w:rsidRPr="00C342AC">
              <w:rPr>
                <w:b/>
                <w:sz w:val="14"/>
                <w:szCs w:val="14"/>
              </w:rPr>
              <w:t>Dic.</w:t>
            </w:r>
          </w:p>
        </w:tc>
        <w:tc>
          <w:tcPr>
            <w:tcW w:w="567" w:type="dxa"/>
            <w:tcBorders>
              <w:top w:val="single" w:sz="4" w:space="0" w:color="auto"/>
              <w:left w:val="single" w:sz="4" w:space="0" w:color="auto"/>
              <w:bottom w:val="single" w:sz="4" w:space="0" w:color="auto"/>
              <w:right w:val="single" w:sz="4" w:space="0" w:color="auto"/>
            </w:tcBorders>
          </w:tcPr>
          <w:p w14:paraId="09D6EBDC" w14:textId="77777777" w:rsidR="00C342AC" w:rsidRPr="00C342AC" w:rsidRDefault="00C342AC" w:rsidP="00C342AC">
            <w:pPr>
              <w:tabs>
                <w:tab w:val="left" w:pos="1250"/>
              </w:tabs>
              <w:jc w:val="center"/>
              <w:rPr>
                <w:b/>
                <w:sz w:val="14"/>
                <w:szCs w:val="14"/>
              </w:rPr>
            </w:pPr>
            <w:r w:rsidRPr="00C342AC">
              <w:rPr>
                <w:b/>
                <w:sz w:val="14"/>
                <w:szCs w:val="14"/>
              </w:rPr>
              <w:t>Ene.</w:t>
            </w:r>
          </w:p>
        </w:tc>
        <w:tc>
          <w:tcPr>
            <w:tcW w:w="589" w:type="dxa"/>
            <w:tcBorders>
              <w:top w:val="single" w:sz="4" w:space="0" w:color="auto"/>
              <w:left w:val="single" w:sz="4" w:space="0" w:color="auto"/>
              <w:bottom w:val="single" w:sz="4" w:space="0" w:color="auto"/>
              <w:right w:val="single" w:sz="4" w:space="0" w:color="auto"/>
            </w:tcBorders>
          </w:tcPr>
          <w:p w14:paraId="152309A7" w14:textId="77777777" w:rsidR="00C342AC" w:rsidRPr="00C342AC" w:rsidRDefault="00C342AC" w:rsidP="00C342AC">
            <w:pPr>
              <w:tabs>
                <w:tab w:val="left" w:pos="1250"/>
              </w:tabs>
              <w:jc w:val="center"/>
              <w:rPr>
                <w:b/>
                <w:sz w:val="14"/>
                <w:szCs w:val="14"/>
              </w:rPr>
            </w:pPr>
            <w:r w:rsidRPr="00C342AC">
              <w:rPr>
                <w:b/>
                <w:sz w:val="14"/>
                <w:szCs w:val="14"/>
              </w:rPr>
              <w:t>Feb.</w:t>
            </w:r>
          </w:p>
        </w:tc>
      </w:tr>
      <w:tr w:rsidR="00C342AC" w:rsidRPr="00C342AC" w14:paraId="60DDB24C" w14:textId="77777777" w:rsidTr="00082E99">
        <w:tc>
          <w:tcPr>
            <w:tcW w:w="2080" w:type="dxa"/>
            <w:tcBorders>
              <w:top w:val="single" w:sz="4" w:space="0" w:color="auto"/>
              <w:left w:val="single" w:sz="4" w:space="0" w:color="auto"/>
              <w:bottom w:val="nil"/>
              <w:right w:val="single" w:sz="4" w:space="0" w:color="auto"/>
            </w:tcBorders>
            <w:vAlign w:val="bottom"/>
          </w:tcPr>
          <w:p w14:paraId="3E5EE20E" w14:textId="77777777" w:rsidR="00C342AC" w:rsidRPr="00C342AC" w:rsidRDefault="00C342AC" w:rsidP="00C342AC">
            <w:pPr>
              <w:rPr>
                <w:b/>
                <w:bCs/>
                <w:sz w:val="14"/>
                <w:lang w:eastAsia="es-MX"/>
              </w:rPr>
            </w:pPr>
            <w:r w:rsidRPr="00C342AC">
              <w:rPr>
                <w:rFonts w:eastAsia="Times New Roman"/>
                <w:b/>
                <w:bCs/>
                <w:sz w:val="14"/>
                <w:lang w:eastAsia="es-MX"/>
              </w:rPr>
              <w:t>ÍNDICE DE CONFIANZA DEL CONSUMIDOR</w:t>
            </w:r>
          </w:p>
          <w:p w14:paraId="5912FDA3" w14:textId="77777777" w:rsidR="00C342AC" w:rsidRPr="00C342AC" w:rsidRDefault="00C342AC" w:rsidP="00C342AC">
            <w:pPr>
              <w:rPr>
                <w:rFonts w:eastAsia="Times New Roman"/>
                <w:b/>
                <w:bCs/>
                <w:sz w:val="14"/>
                <w:szCs w:val="14"/>
                <w:lang w:eastAsia="es-MX"/>
              </w:rPr>
            </w:pPr>
            <w:r w:rsidRPr="00C342AC">
              <w:rPr>
                <w:rFonts w:eastAsia="Times New Roman"/>
                <w:sz w:val="14"/>
                <w:lang w:eastAsia="es-MX"/>
              </w:rPr>
              <w:t>Componentes:</w:t>
            </w:r>
          </w:p>
        </w:tc>
        <w:tc>
          <w:tcPr>
            <w:tcW w:w="557" w:type="dxa"/>
            <w:tcBorders>
              <w:top w:val="single" w:sz="4" w:space="0" w:color="auto"/>
              <w:left w:val="single" w:sz="4" w:space="0" w:color="auto"/>
              <w:bottom w:val="nil"/>
              <w:right w:val="single" w:sz="4" w:space="0" w:color="auto"/>
            </w:tcBorders>
            <w:vAlign w:val="center"/>
          </w:tcPr>
          <w:p w14:paraId="48994C27" w14:textId="77777777" w:rsidR="00C342AC" w:rsidRPr="00C342AC" w:rsidRDefault="00C342AC" w:rsidP="00C342AC">
            <w:pPr>
              <w:tabs>
                <w:tab w:val="left" w:pos="1250"/>
              </w:tabs>
              <w:ind w:right="57"/>
              <w:jc w:val="right"/>
              <w:rPr>
                <w:b/>
                <w:sz w:val="12"/>
                <w:szCs w:val="12"/>
              </w:rPr>
            </w:pPr>
            <w:r w:rsidRPr="00C342AC">
              <w:rPr>
                <w:b/>
                <w:sz w:val="12"/>
                <w:szCs w:val="12"/>
              </w:rPr>
              <w:t>84.5</w:t>
            </w:r>
          </w:p>
        </w:tc>
        <w:tc>
          <w:tcPr>
            <w:tcW w:w="549" w:type="dxa"/>
            <w:tcBorders>
              <w:top w:val="single" w:sz="4" w:space="0" w:color="auto"/>
              <w:left w:val="single" w:sz="4" w:space="0" w:color="auto"/>
              <w:bottom w:val="nil"/>
              <w:right w:val="single" w:sz="4" w:space="0" w:color="auto"/>
            </w:tcBorders>
            <w:vAlign w:val="center"/>
          </w:tcPr>
          <w:p w14:paraId="3C0B4A43" w14:textId="77777777" w:rsidR="00C342AC" w:rsidRPr="00C342AC" w:rsidRDefault="00C342AC" w:rsidP="00C342AC">
            <w:pPr>
              <w:tabs>
                <w:tab w:val="left" w:pos="1250"/>
              </w:tabs>
              <w:ind w:right="57"/>
              <w:jc w:val="right"/>
              <w:rPr>
                <w:b/>
                <w:sz w:val="12"/>
                <w:szCs w:val="12"/>
              </w:rPr>
            </w:pPr>
            <w:r w:rsidRPr="00C342AC">
              <w:rPr>
                <w:b/>
                <w:sz w:val="12"/>
                <w:szCs w:val="12"/>
              </w:rPr>
              <w:t>88.8</w:t>
            </w:r>
          </w:p>
        </w:tc>
        <w:tc>
          <w:tcPr>
            <w:tcW w:w="569" w:type="dxa"/>
            <w:tcBorders>
              <w:top w:val="single" w:sz="4" w:space="0" w:color="auto"/>
              <w:left w:val="single" w:sz="4" w:space="0" w:color="auto"/>
              <w:bottom w:val="nil"/>
              <w:right w:val="single" w:sz="4" w:space="0" w:color="auto"/>
            </w:tcBorders>
            <w:vAlign w:val="center"/>
          </w:tcPr>
          <w:p w14:paraId="182CBADE" w14:textId="77777777" w:rsidR="00C342AC" w:rsidRPr="00C342AC" w:rsidRDefault="00C342AC" w:rsidP="00C342AC">
            <w:pPr>
              <w:tabs>
                <w:tab w:val="left" w:pos="1250"/>
              </w:tabs>
              <w:ind w:right="57"/>
              <w:jc w:val="right"/>
              <w:rPr>
                <w:b/>
                <w:sz w:val="12"/>
                <w:szCs w:val="12"/>
              </w:rPr>
            </w:pPr>
            <w:r w:rsidRPr="00C342AC">
              <w:rPr>
                <w:b/>
                <w:sz w:val="12"/>
                <w:szCs w:val="12"/>
              </w:rPr>
              <w:t>90.3</w:t>
            </w:r>
          </w:p>
        </w:tc>
        <w:tc>
          <w:tcPr>
            <w:tcW w:w="570" w:type="dxa"/>
            <w:tcBorders>
              <w:top w:val="single" w:sz="4" w:space="0" w:color="auto"/>
              <w:left w:val="single" w:sz="4" w:space="0" w:color="auto"/>
              <w:bottom w:val="nil"/>
              <w:right w:val="single" w:sz="4" w:space="0" w:color="auto"/>
            </w:tcBorders>
            <w:vAlign w:val="center"/>
          </w:tcPr>
          <w:p w14:paraId="070997EA" w14:textId="77777777" w:rsidR="00C342AC" w:rsidRPr="00C342AC" w:rsidRDefault="00C342AC" w:rsidP="00C342AC">
            <w:pPr>
              <w:tabs>
                <w:tab w:val="left" w:pos="1250"/>
              </w:tabs>
              <w:ind w:right="57"/>
              <w:jc w:val="right"/>
              <w:rPr>
                <w:b/>
                <w:sz w:val="12"/>
                <w:szCs w:val="12"/>
              </w:rPr>
            </w:pPr>
            <w:r w:rsidRPr="00C342AC">
              <w:rPr>
                <w:b/>
                <w:sz w:val="12"/>
                <w:szCs w:val="12"/>
              </w:rPr>
              <w:t>90.7</w:t>
            </w:r>
          </w:p>
        </w:tc>
        <w:tc>
          <w:tcPr>
            <w:tcW w:w="567" w:type="dxa"/>
            <w:tcBorders>
              <w:top w:val="single" w:sz="4" w:space="0" w:color="auto"/>
              <w:left w:val="single" w:sz="4" w:space="0" w:color="auto"/>
              <w:bottom w:val="nil"/>
              <w:right w:val="single" w:sz="4" w:space="0" w:color="auto"/>
            </w:tcBorders>
            <w:vAlign w:val="center"/>
          </w:tcPr>
          <w:p w14:paraId="1615A781" w14:textId="77777777" w:rsidR="00C342AC" w:rsidRPr="00C342AC" w:rsidRDefault="00C342AC" w:rsidP="00C342AC">
            <w:pPr>
              <w:tabs>
                <w:tab w:val="left" w:pos="1250"/>
              </w:tabs>
              <w:ind w:right="57"/>
              <w:jc w:val="right"/>
              <w:rPr>
                <w:b/>
                <w:sz w:val="12"/>
                <w:szCs w:val="12"/>
              </w:rPr>
            </w:pPr>
            <w:r w:rsidRPr="00C342AC">
              <w:rPr>
                <w:b/>
                <w:sz w:val="12"/>
                <w:szCs w:val="12"/>
              </w:rPr>
              <w:t>91.0</w:t>
            </w:r>
          </w:p>
        </w:tc>
        <w:tc>
          <w:tcPr>
            <w:tcW w:w="583" w:type="dxa"/>
            <w:tcBorders>
              <w:top w:val="single" w:sz="4" w:space="0" w:color="auto"/>
              <w:left w:val="single" w:sz="4" w:space="0" w:color="auto"/>
              <w:bottom w:val="nil"/>
              <w:right w:val="single" w:sz="4" w:space="0" w:color="auto"/>
            </w:tcBorders>
            <w:vAlign w:val="center"/>
          </w:tcPr>
          <w:p w14:paraId="57C7BBE1" w14:textId="77777777" w:rsidR="00C342AC" w:rsidRPr="00C342AC" w:rsidRDefault="00C342AC" w:rsidP="00C342AC">
            <w:pPr>
              <w:tabs>
                <w:tab w:val="left" w:pos="1250"/>
              </w:tabs>
              <w:ind w:right="57"/>
              <w:jc w:val="right"/>
              <w:rPr>
                <w:b/>
                <w:sz w:val="12"/>
                <w:szCs w:val="12"/>
              </w:rPr>
            </w:pPr>
            <w:r w:rsidRPr="00C342AC">
              <w:rPr>
                <w:b/>
                <w:sz w:val="12"/>
                <w:szCs w:val="12"/>
              </w:rPr>
              <w:t>90.5</w:t>
            </w:r>
          </w:p>
        </w:tc>
        <w:tc>
          <w:tcPr>
            <w:tcW w:w="573" w:type="dxa"/>
            <w:tcBorders>
              <w:top w:val="single" w:sz="4" w:space="0" w:color="auto"/>
              <w:left w:val="single" w:sz="4" w:space="0" w:color="auto"/>
              <w:bottom w:val="nil"/>
              <w:right w:val="single" w:sz="4" w:space="0" w:color="auto"/>
            </w:tcBorders>
            <w:vAlign w:val="center"/>
          </w:tcPr>
          <w:p w14:paraId="247F9389" w14:textId="77777777" w:rsidR="00C342AC" w:rsidRPr="00C342AC" w:rsidRDefault="00C342AC" w:rsidP="00C342AC">
            <w:pPr>
              <w:tabs>
                <w:tab w:val="left" w:pos="1250"/>
              </w:tabs>
              <w:ind w:right="57"/>
              <w:jc w:val="right"/>
              <w:rPr>
                <w:b/>
                <w:sz w:val="12"/>
                <w:szCs w:val="12"/>
              </w:rPr>
            </w:pPr>
            <w:r w:rsidRPr="00C342AC">
              <w:rPr>
                <w:b/>
                <w:sz w:val="12"/>
                <w:szCs w:val="12"/>
              </w:rPr>
              <w:t>89.7</w:t>
            </w:r>
          </w:p>
        </w:tc>
        <w:tc>
          <w:tcPr>
            <w:tcW w:w="507" w:type="dxa"/>
            <w:tcBorders>
              <w:top w:val="single" w:sz="4" w:space="0" w:color="auto"/>
              <w:left w:val="single" w:sz="4" w:space="0" w:color="auto"/>
              <w:bottom w:val="nil"/>
              <w:right w:val="single" w:sz="4" w:space="0" w:color="auto"/>
            </w:tcBorders>
            <w:vAlign w:val="center"/>
          </w:tcPr>
          <w:p w14:paraId="4D4BBEB8" w14:textId="77777777" w:rsidR="00C342AC" w:rsidRPr="00C342AC" w:rsidRDefault="00C342AC" w:rsidP="00C342AC">
            <w:pPr>
              <w:tabs>
                <w:tab w:val="left" w:pos="1250"/>
              </w:tabs>
              <w:ind w:right="57"/>
              <w:jc w:val="right"/>
              <w:rPr>
                <w:b/>
                <w:sz w:val="12"/>
                <w:szCs w:val="12"/>
              </w:rPr>
            </w:pPr>
            <w:r w:rsidRPr="00C342AC">
              <w:rPr>
                <w:b/>
                <w:sz w:val="12"/>
                <w:szCs w:val="12"/>
              </w:rPr>
              <w:t>91.8</w:t>
            </w:r>
          </w:p>
        </w:tc>
        <w:tc>
          <w:tcPr>
            <w:tcW w:w="643" w:type="dxa"/>
            <w:tcBorders>
              <w:top w:val="single" w:sz="4" w:space="0" w:color="auto"/>
              <w:left w:val="single" w:sz="4" w:space="0" w:color="auto"/>
              <w:bottom w:val="nil"/>
              <w:right w:val="single" w:sz="4" w:space="0" w:color="auto"/>
            </w:tcBorders>
            <w:vAlign w:val="center"/>
          </w:tcPr>
          <w:p w14:paraId="6DE06B6A" w14:textId="77777777" w:rsidR="00C342AC" w:rsidRPr="00C342AC" w:rsidRDefault="00C342AC" w:rsidP="00C342AC">
            <w:pPr>
              <w:tabs>
                <w:tab w:val="left" w:pos="1250"/>
              </w:tabs>
              <w:ind w:right="57"/>
              <w:jc w:val="right"/>
              <w:rPr>
                <w:b/>
                <w:sz w:val="12"/>
                <w:szCs w:val="12"/>
              </w:rPr>
            </w:pPr>
            <w:r w:rsidRPr="00C342AC">
              <w:rPr>
                <w:b/>
                <w:sz w:val="12"/>
                <w:szCs w:val="12"/>
              </w:rPr>
              <w:t>90.6</w:t>
            </w:r>
          </w:p>
        </w:tc>
        <w:tc>
          <w:tcPr>
            <w:tcW w:w="554" w:type="dxa"/>
            <w:tcBorders>
              <w:top w:val="single" w:sz="4" w:space="0" w:color="auto"/>
              <w:left w:val="single" w:sz="4" w:space="0" w:color="auto"/>
              <w:bottom w:val="nil"/>
              <w:right w:val="single" w:sz="4" w:space="0" w:color="auto"/>
            </w:tcBorders>
            <w:vAlign w:val="center"/>
          </w:tcPr>
          <w:p w14:paraId="5585A1CA" w14:textId="77777777" w:rsidR="00C342AC" w:rsidRPr="00C342AC" w:rsidRDefault="00C342AC" w:rsidP="00C342AC">
            <w:pPr>
              <w:tabs>
                <w:tab w:val="left" w:pos="1250"/>
              </w:tabs>
              <w:ind w:right="57"/>
              <w:jc w:val="right"/>
              <w:rPr>
                <w:b/>
                <w:sz w:val="12"/>
                <w:szCs w:val="12"/>
              </w:rPr>
            </w:pPr>
            <w:r w:rsidRPr="00C342AC">
              <w:rPr>
                <w:b/>
                <w:sz w:val="12"/>
                <w:szCs w:val="12"/>
              </w:rPr>
              <w:t>92.9</w:t>
            </w:r>
          </w:p>
        </w:tc>
        <w:tc>
          <w:tcPr>
            <w:tcW w:w="568" w:type="dxa"/>
            <w:tcBorders>
              <w:top w:val="single" w:sz="4" w:space="0" w:color="auto"/>
              <w:left w:val="single" w:sz="4" w:space="0" w:color="auto"/>
              <w:bottom w:val="nil"/>
              <w:right w:val="single" w:sz="4" w:space="0" w:color="auto"/>
            </w:tcBorders>
            <w:vAlign w:val="center"/>
          </w:tcPr>
          <w:p w14:paraId="029CABF6" w14:textId="77777777" w:rsidR="00C342AC" w:rsidRPr="00C342AC" w:rsidRDefault="00C342AC" w:rsidP="00C342AC">
            <w:pPr>
              <w:tabs>
                <w:tab w:val="left" w:pos="1250"/>
              </w:tabs>
              <w:ind w:right="57"/>
              <w:jc w:val="right"/>
              <w:rPr>
                <w:b/>
                <w:sz w:val="12"/>
                <w:szCs w:val="12"/>
              </w:rPr>
            </w:pPr>
            <w:r w:rsidRPr="00C342AC">
              <w:rPr>
                <w:b/>
                <w:sz w:val="12"/>
                <w:szCs w:val="12"/>
              </w:rPr>
              <w:t>93.6</w:t>
            </w:r>
          </w:p>
        </w:tc>
        <w:tc>
          <w:tcPr>
            <w:tcW w:w="567" w:type="dxa"/>
            <w:tcBorders>
              <w:top w:val="single" w:sz="4" w:space="0" w:color="auto"/>
              <w:left w:val="single" w:sz="4" w:space="0" w:color="auto"/>
              <w:bottom w:val="nil"/>
              <w:right w:val="single" w:sz="4" w:space="0" w:color="auto"/>
            </w:tcBorders>
            <w:vAlign w:val="center"/>
          </w:tcPr>
          <w:p w14:paraId="4F7DAD38" w14:textId="77777777" w:rsidR="00C342AC" w:rsidRPr="00C342AC" w:rsidRDefault="00C342AC" w:rsidP="00C342AC">
            <w:pPr>
              <w:tabs>
                <w:tab w:val="left" w:pos="1250"/>
              </w:tabs>
              <w:ind w:right="57"/>
              <w:jc w:val="right"/>
              <w:rPr>
                <w:b/>
                <w:sz w:val="12"/>
                <w:szCs w:val="12"/>
              </w:rPr>
            </w:pPr>
            <w:r w:rsidRPr="00C342AC">
              <w:rPr>
                <w:b/>
                <w:sz w:val="12"/>
                <w:szCs w:val="12"/>
              </w:rPr>
              <w:t>91.1</w:t>
            </w:r>
          </w:p>
        </w:tc>
        <w:tc>
          <w:tcPr>
            <w:tcW w:w="589" w:type="dxa"/>
            <w:tcBorders>
              <w:top w:val="single" w:sz="4" w:space="0" w:color="auto"/>
              <w:left w:val="single" w:sz="4" w:space="0" w:color="auto"/>
              <w:bottom w:val="nil"/>
              <w:right w:val="single" w:sz="4" w:space="0" w:color="auto"/>
            </w:tcBorders>
            <w:vAlign w:val="center"/>
          </w:tcPr>
          <w:p w14:paraId="236B27AC" w14:textId="77777777" w:rsidR="00C342AC" w:rsidRPr="00C342AC" w:rsidRDefault="00C342AC" w:rsidP="00C342AC">
            <w:pPr>
              <w:tabs>
                <w:tab w:val="left" w:pos="1250"/>
              </w:tabs>
              <w:ind w:right="57"/>
              <w:jc w:val="right"/>
              <w:rPr>
                <w:b/>
                <w:sz w:val="12"/>
                <w:szCs w:val="12"/>
              </w:rPr>
            </w:pPr>
            <w:r w:rsidRPr="00C342AC">
              <w:rPr>
                <w:b/>
                <w:sz w:val="12"/>
                <w:szCs w:val="12"/>
              </w:rPr>
              <w:t>90.3</w:t>
            </w:r>
          </w:p>
        </w:tc>
      </w:tr>
      <w:tr w:rsidR="00C342AC" w:rsidRPr="00C342AC" w14:paraId="3BE47813" w14:textId="77777777" w:rsidTr="00082E99">
        <w:tc>
          <w:tcPr>
            <w:tcW w:w="2080" w:type="dxa"/>
            <w:tcBorders>
              <w:top w:val="nil"/>
              <w:left w:val="single" w:sz="4" w:space="0" w:color="auto"/>
              <w:bottom w:val="nil"/>
              <w:right w:val="single" w:sz="4" w:space="0" w:color="auto"/>
            </w:tcBorders>
          </w:tcPr>
          <w:p w14:paraId="340DEC05" w14:textId="77777777" w:rsidR="00C342AC" w:rsidRPr="00C342AC" w:rsidRDefault="00C342AC" w:rsidP="00C342AC">
            <w:pPr>
              <w:ind w:left="170" w:hanging="170"/>
              <w:jc w:val="both"/>
              <w:rPr>
                <w:rFonts w:eastAsia="Times New Roman"/>
                <w:sz w:val="14"/>
                <w:szCs w:val="14"/>
                <w:lang w:eastAsia="es-MX"/>
              </w:rPr>
            </w:pPr>
            <w:r w:rsidRPr="00C342AC">
              <w:rPr>
                <w:sz w:val="14"/>
                <w:lang w:eastAsia="es-MX"/>
              </w:rPr>
              <w:t xml:space="preserve">1. </w:t>
            </w:r>
            <w:r w:rsidRPr="00C342AC">
              <w:rPr>
                <w:rFonts w:eastAsia="Times New Roman"/>
                <w:sz w:val="14"/>
                <w:lang w:eastAsia="es-MX"/>
              </w:rPr>
              <w:t>Situación económica en el momento actual de los miembros del hogar comparada con la que tenían hace 12 meses.</w:t>
            </w:r>
          </w:p>
        </w:tc>
        <w:tc>
          <w:tcPr>
            <w:tcW w:w="557" w:type="dxa"/>
            <w:tcBorders>
              <w:top w:val="nil"/>
              <w:left w:val="single" w:sz="4" w:space="0" w:color="auto"/>
              <w:bottom w:val="nil"/>
              <w:right w:val="single" w:sz="4" w:space="0" w:color="auto"/>
            </w:tcBorders>
            <w:vAlign w:val="center"/>
          </w:tcPr>
          <w:p w14:paraId="15245090" w14:textId="77777777" w:rsidR="00C342AC" w:rsidRPr="00C342AC" w:rsidRDefault="00C342AC" w:rsidP="00C342AC">
            <w:pPr>
              <w:tabs>
                <w:tab w:val="left" w:pos="1250"/>
              </w:tabs>
              <w:ind w:right="57"/>
              <w:jc w:val="right"/>
              <w:rPr>
                <w:sz w:val="12"/>
                <w:szCs w:val="12"/>
              </w:rPr>
            </w:pPr>
            <w:r w:rsidRPr="00C342AC">
              <w:rPr>
                <w:sz w:val="12"/>
                <w:szCs w:val="12"/>
              </w:rPr>
              <w:t>92.3</w:t>
            </w:r>
          </w:p>
        </w:tc>
        <w:tc>
          <w:tcPr>
            <w:tcW w:w="549" w:type="dxa"/>
            <w:tcBorders>
              <w:top w:val="nil"/>
              <w:left w:val="single" w:sz="4" w:space="0" w:color="auto"/>
              <w:bottom w:val="nil"/>
              <w:right w:val="single" w:sz="4" w:space="0" w:color="auto"/>
            </w:tcBorders>
            <w:vAlign w:val="center"/>
          </w:tcPr>
          <w:p w14:paraId="2D336880" w14:textId="77777777" w:rsidR="00C342AC" w:rsidRPr="00C342AC" w:rsidRDefault="00C342AC" w:rsidP="00C342AC">
            <w:pPr>
              <w:tabs>
                <w:tab w:val="left" w:pos="1250"/>
              </w:tabs>
              <w:ind w:right="57"/>
              <w:jc w:val="right"/>
              <w:rPr>
                <w:sz w:val="12"/>
                <w:szCs w:val="12"/>
              </w:rPr>
            </w:pPr>
            <w:r w:rsidRPr="00C342AC">
              <w:rPr>
                <w:sz w:val="12"/>
                <w:szCs w:val="12"/>
              </w:rPr>
              <w:t>94.7</w:t>
            </w:r>
          </w:p>
        </w:tc>
        <w:tc>
          <w:tcPr>
            <w:tcW w:w="569" w:type="dxa"/>
            <w:tcBorders>
              <w:top w:val="nil"/>
              <w:left w:val="single" w:sz="4" w:space="0" w:color="auto"/>
              <w:bottom w:val="nil"/>
              <w:right w:val="single" w:sz="4" w:space="0" w:color="auto"/>
            </w:tcBorders>
            <w:vAlign w:val="center"/>
          </w:tcPr>
          <w:p w14:paraId="283CB537" w14:textId="77777777" w:rsidR="00C342AC" w:rsidRPr="00C342AC" w:rsidRDefault="00C342AC" w:rsidP="00C342AC">
            <w:pPr>
              <w:tabs>
                <w:tab w:val="left" w:pos="1250"/>
              </w:tabs>
              <w:ind w:right="57"/>
              <w:jc w:val="right"/>
              <w:rPr>
                <w:sz w:val="12"/>
                <w:szCs w:val="12"/>
              </w:rPr>
            </w:pPr>
            <w:r w:rsidRPr="00C342AC">
              <w:rPr>
                <w:sz w:val="12"/>
                <w:szCs w:val="12"/>
              </w:rPr>
              <w:t>96.3</w:t>
            </w:r>
          </w:p>
        </w:tc>
        <w:tc>
          <w:tcPr>
            <w:tcW w:w="570" w:type="dxa"/>
            <w:tcBorders>
              <w:top w:val="nil"/>
              <w:left w:val="single" w:sz="4" w:space="0" w:color="auto"/>
              <w:bottom w:val="nil"/>
              <w:right w:val="single" w:sz="4" w:space="0" w:color="auto"/>
            </w:tcBorders>
            <w:vAlign w:val="center"/>
          </w:tcPr>
          <w:p w14:paraId="3C00DA18" w14:textId="77777777" w:rsidR="00C342AC" w:rsidRPr="00C342AC" w:rsidRDefault="00C342AC" w:rsidP="00C342AC">
            <w:pPr>
              <w:tabs>
                <w:tab w:val="left" w:pos="1250"/>
              </w:tabs>
              <w:ind w:right="57"/>
              <w:jc w:val="right"/>
              <w:rPr>
                <w:sz w:val="12"/>
                <w:szCs w:val="12"/>
              </w:rPr>
            </w:pPr>
            <w:r w:rsidRPr="00C342AC">
              <w:rPr>
                <w:sz w:val="12"/>
                <w:szCs w:val="12"/>
              </w:rPr>
              <w:t>96.7</w:t>
            </w:r>
          </w:p>
        </w:tc>
        <w:tc>
          <w:tcPr>
            <w:tcW w:w="567" w:type="dxa"/>
            <w:tcBorders>
              <w:top w:val="nil"/>
              <w:left w:val="single" w:sz="4" w:space="0" w:color="auto"/>
              <w:bottom w:val="nil"/>
              <w:right w:val="single" w:sz="4" w:space="0" w:color="auto"/>
            </w:tcBorders>
            <w:vAlign w:val="center"/>
          </w:tcPr>
          <w:p w14:paraId="07BB9FC4" w14:textId="77777777" w:rsidR="00C342AC" w:rsidRPr="00C342AC" w:rsidRDefault="00C342AC" w:rsidP="00C342AC">
            <w:pPr>
              <w:tabs>
                <w:tab w:val="left" w:pos="1250"/>
              </w:tabs>
              <w:ind w:right="57"/>
              <w:jc w:val="right"/>
              <w:rPr>
                <w:sz w:val="12"/>
                <w:szCs w:val="12"/>
              </w:rPr>
            </w:pPr>
            <w:r w:rsidRPr="00C342AC">
              <w:rPr>
                <w:sz w:val="12"/>
                <w:szCs w:val="12"/>
              </w:rPr>
              <w:t>97.5</w:t>
            </w:r>
          </w:p>
        </w:tc>
        <w:tc>
          <w:tcPr>
            <w:tcW w:w="583" w:type="dxa"/>
            <w:tcBorders>
              <w:top w:val="nil"/>
              <w:left w:val="single" w:sz="4" w:space="0" w:color="auto"/>
              <w:bottom w:val="nil"/>
              <w:right w:val="single" w:sz="4" w:space="0" w:color="auto"/>
            </w:tcBorders>
            <w:vAlign w:val="center"/>
          </w:tcPr>
          <w:p w14:paraId="43ECDBE6" w14:textId="77777777" w:rsidR="00C342AC" w:rsidRPr="00C342AC" w:rsidRDefault="00C342AC" w:rsidP="00C342AC">
            <w:pPr>
              <w:tabs>
                <w:tab w:val="left" w:pos="1250"/>
              </w:tabs>
              <w:ind w:right="57"/>
              <w:jc w:val="right"/>
              <w:rPr>
                <w:sz w:val="12"/>
                <w:szCs w:val="12"/>
              </w:rPr>
            </w:pPr>
            <w:r w:rsidRPr="00C342AC">
              <w:rPr>
                <w:sz w:val="12"/>
                <w:szCs w:val="12"/>
              </w:rPr>
              <w:t>94.7</w:t>
            </w:r>
          </w:p>
        </w:tc>
        <w:tc>
          <w:tcPr>
            <w:tcW w:w="573" w:type="dxa"/>
            <w:tcBorders>
              <w:top w:val="nil"/>
              <w:left w:val="single" w:sz="4" w:space="0" w:color="auto"/>
              <w:bottom w:val="nil"/>
              <w:right w:val="single" w:sz="4" w:space="0" w:color="auto"/>
            </w:tcBorders>
            <w:vAlign w:val="center"/>
          </w:tcPr>
          <w:p w14:paraId="70BCDB25" w14:textId="77777777" w:rsidR="00C342AC" w:rsidRPr="00C342AC" w:rsidRDefault="00C342AC" w:rsidP="00C342AC">
            <w:pPr>
              <w:tabs>
                <w:tab w:val="left" w:pos="1250"/>
              </w:tabs>
              <w:ind w:right="57"/>
              <w:jc w:val="right"/>
              <w:rPr>
                <w:sz w:val="12"/>
                <w:szCs w:val="12"/>
              </w:rPr>
            </w:pPr>
            <w:r w:rsidRPr="00C342AC">
              <w:rPr>
                <w:sz w:val="12"/>
                <w:szCs w:val="12"/>
              </w:rPr>
              <w:t>95.9</w:t>
            </w:r>
          </w:p>
        </w:tc>
        <w:tc>
          <w:tcPr>
            <w:tcW w:w="507" w:type="dxa"/>
            <w:tcBorders>
              <w:top w:val="nil"/>
              <w:left w:val="single" w:sz="4" w:space="0" w:color="auto"/>
              <w:bottom w:val="nil"/>
              <w:right w:val="single" w:sz="4" w:space="0" w:color="auto"/>
            </w:tcBorders>
            <w:vAlign w:val="center"/>
          </w:tcPr>
          <w:p w14:paraId="18301D6B" w14:textId="77777777" w:rsidR="00C342AC" w:rsidRPr="00C342AC" w:rsidRDefault="00C342AC" w:rsidP="00C342AC">
            <w:pPr>
              <w:tabs>
                <w:tab w:val="left" w:pos="1250"/>
              </w:tabs>
              <w:ind w:right="57"/>
              <w:jc w:val="right"/>
              <w:rPr>
                <w:sz w:val="12"/>
                <w:szCs w:val="12"/>
              </w:rPr>
            </w:pPr>
            <w:r w:rsidRPr="00C342AC">
              <w:rPr>
                <w:sz w:val="12"/>
                <w:szCs w:val="12"/>
              </w:rPr>
              <w:t>96.7</w:t>
            </w:r>
          </w:p>
        </w:tc>
        <w:tc>
          <w:tcPr>
            <w:tcW w:w="643" w:type="dxa"/>
            <w:tcBorders>
              <w:top w:val="nil"/>
              <w:left w:val="single" w:sz="4" w:space="0" w:color="auto"/>
              <w:bottom w:val="nil"/>
              <w:right w:val="single" w:sz="4" w:space="0" w:color="auto"/>
            </w:tcBorders>
            <w:vAlign w:val="center"/>
          </w:tcPr>
          <w:p w14:paraId="08E558D5" w14:textId="77777777" w:rsidR="00C342AC" w:rsidRPr="00C342AC" w:rsidRDefault="00C342AC" w:rsidP="00C342AC">
            <w:pPr>
              <w:tabs>
                <w:tab w:val="left" w:pos="1250"/>
              </w:tabs>
              <w:ind w:right="57"/>
              <w:jc w:val="right"/>
              <w:rPr>
                <w:sz w:val="12"/>
                <w:szCs w:val="12"/>
              </w:rPr>
            </w:pPr>
            <w:r w:rsidRPr="00C342AC">
              <w:rPr>
                <w:sz w:val="12"/>
                <w:szCs w:val="12"/>
              </w:rPr>
              <w:t>98.1</w:t>
            </w:r>
          </w:p>
        </w:tc>
        <w:tc>
          <w:tcPr>
            <w:tcW w:w="554" w:type="dxa"/>
            <w:tcBorders>
              <w:top w:val="nil"/>
              <w:left w:val="single" w:sz="4" w:space="0" w:color="auto"/>
              <w:bottom w:val="nil"/>
              <w:right w:val="single" w:sz="4" w:space="0" w:color="auto"/>
            </w:tcBorders>
            <w:vAlign w:val="center"/>
          </w:tcPr>
          <w:p w14:paraId="618D9761" w14:textId="77777777" w:rsidR="00C342AC" w:rsidRPr="00C342AC" w:rsidRDefault="00C342AC" w:rsidP="00C342AC">
            <w:pPr>
              <w:tabs>
                <w:tab w:val="left" w:pos="1250"/>
              </w:tabs>
              <w:ind w:right="57"/>
              <w:jc w:val="right"/>
              <w:rPr>
                <w:sz w:val="12"/>
                <w:szCs w:val="12"/>
              </w:rPr>
            </w:pPr>
            <w:r w:rsidRPr="00C342AC">
              <w:rPr>
                <w:sz w:val="12"/>
                <w:szCs w:val="12"/>
              </w:rPr>
              <w:t>99.5</w:t>
            </w:r>
          </w:p>
        </w:tc>
        <w:tc>
          <w:tcPr>
            <w:tcW w:w="568" w:type="dxa"/>
            <w:tcBorders>
              <w:top w:val="nil"/>
              <w:left w:val="single" w:sz="4" w:space="0" w:color="auto"/>
              <w:bottom w:val="nil"/>
              <w:right w:val="single" w:sz="4" w:space="0" w:color="auto"/>
            </w:tcBorders>
            <w:vAlign w:val="center"/>
          </w:tcPr>
          <w:p w14:paraId="0FF54054" w14:textId="77777777" w:rsidR="00C342AC" w:rsidRPr="00C342AC" w:rsidRDefault="00C342AC" w:rsidP="00C342AC">
            <w:pPr>
              <w:tabs>
                <w:tab w:val="left" w:pos="1250"/>
              </w:tabs>
              <w:ind w:right="57"/>
              <w:jc w:val="right"/>
              <w:rPr>
                <w:sz w:val="12"/>
                <w:szCs w:val="12"/>
              </w:rPr>
            </w:pPr>
            <w:r w:rsidRPr="00C342AC">
              <w:rPr>
                <w:sz w:val="12"/>
                <w:szCs w:val="12"/>
              </w:rPr>
              <w:t>100.2</w:t>
            </w:r>
          </w:p>
        </w:tc>
        <w:tc>
          <w:tcPr>
            <w:tcW w:w="567" w:type="dxa"/>
            <w:tcBorders>
              <w:top w:val="nil"/>
              <w:left w:val="single" w:sz="4" w:space="0" w:color="auto"/>
              <w:bottom w:val="nil"/>
              <w:right w:val="single" w:sz="4" w:space="0" w:color="auto"/>
            </w:tcBorders>
            <w:vAlign w:val="center"/>
          </w:tcPr>
          <w:p w14:paraId="4EB1930F" w14:textId="77777777" w:rsidR="00C342AC" w:rsidRPr="00C342AC" w:rsidRDefault="00C342AC" w:rsidP="00C342AC">
            <w:pPr>
              <w:tabs>
                <w:tab w:val="left" w:pos="1250"/>
              </w:tabs>
              <w:ind w:right="57"/>
              <w:jc w:val="right"/>
              <w:rPr>
                <w:sz w:val="12"/>
                <w:szCs w:val="12"/>
              </w:rPr>
            </w:pPr>
            <w:r w:rsidRPr="00C342AC">
              <w:rPr>
                <w:sz w:val="12"/>
                <w:szCs w:val="12"/>
              </w:rPr>
              <w:t>99.2</w:t>
            </w:r>
          </w:p>
        </w:tc>
        <w:tc>
          <w:tcPr>
            <w:tcW w:w="589" w:type="dxa"/>
            <w:tcBorders>
              <w:top w:val="nil"/>
              <w:left w:val="single" w:sz="4" w:space="0" w:color="auto"/>
              <w:bottom w:val="nil"/>
              <w:right w:val="single" w:sz="4" w:space="0" w:color="auto"/>
            </w:tcBorders>
            <w:vAlign w:val="center"/>
          </w:tcPr>
          <w:p w14:paraId="0D63774D" w14:textId="77777777" w:rsidR="00C342AC" w:rsidRPr="00C342AC" w:rsidRDefault="00C342AC" w:rsidP="00C342AC">
            <w:pPr>
              <w:tabs>
                <w:tab w:val="left" w:pos="1250"/>
              </w:tabs>
              <w:ind w:right="57"/>
              <w:jc w:val="right"/>
              <w:rPr>
                <w:sz w:val="12"/>
                <w:szCs w:val="12"/>
              </w:rPr>
            </w:pPr>
            <w:r w:rsidRPr="00C342AC">
              <w:rPr>
                <w:sz w:val="12"/>
                <w:szCs w:val="12"/>
              </w:rPr>
              <w:t>96.7</w:t>
            </w:r>
          </w:p>
        </w:tc>
      </w:tr>
      <w:tr w:rsidR="00C342AC" w:rsidRPr="00C342AC" w14:paraId="19F417D5" w14:textId="77777777" w:rsidTr="00082E99">
        <w:tc>
          <w:tcPr>
            <w:tcW w:w="2080" w:type="dxa"/>
            <w:tcBorders>
              <w:top w:val="nil"/>
              <w:left w:val="single" w:sz="4" w:space="0" w:color="auto"/>
              <w:bottom w:val="nil"/>
              <w:right w:val="single" w:sz="4" w:space="0" w:color="auto"/>
            </w:tcBorders>
          </w:tcPr>
          <w:p w14:paraId="46DF4619" w14:textId="77777777" w:rsidR="00C342AC" w:rsidRPr="00C342AC" w:rsidRDefault="00C342AC" w:rsidP="00C342AC">
            <w:pPr>
              <w:tabs>
                <w:tab w:val="left" w:pos="1250"/>
              </w:tabs>
              <w:ind w:left="170" w:hanging="170"/>
              <w:jc w:val="both"/>
              <w:rPr>
                <w:sz w:val="14"/>
                <w:szCs w:val="14"/>
              </w:rPr>
            </w:pPr>
            <w:r w:rsidRPr="00C342AC">
              <w:rPr>
                <w:sz w:val="14"/>
                <w:lang w:eastAsia="es-MX"/>
              </w:rPr>
              <w:t xml:space="preserve">2. </w:t>
            </w:r>
            <w:r w:rsidRPr="00C342AC">
              <w:rPr>
                <w:rFonts w:eastAsia="Times New Roman"/>
                <w:sz w:val="14"/>
                <w:lang w:eastAsia="es-MX"/>
              </w:rPr>
              <w:t>Situación económica esperada de los miembros del hogar dentro de 12 meses, respecto de la actual.</w:t>
            </w:r>
          </w:p>
        </w:tc>
        <w:tc>
          <w:tcPr>
            <w:tcW w:w="557" w:type="dxa"/>
            <w:tcBorders>
              <w:top w:val="nil"/>
              <w:left w:val="single" w:sz="4" w:space="0" w:color="auto"/>
              <w:bottom w:val="nil"/>
              <w:right w:val="single" w:sz="4" w:space="0" w:color="auto"/>
            </w:tcBorders>
            <w:vAlign w:val="center"/>
          </w:tcPr>
          <w:p w14:paraId="7E90F4B6" w14:textId="77777777" w:rsidR="00C342AC" w:rsidRPr="00C342AC" w:rsidRDefault="00C342AC" w:rsidP="00C342AC">
            <w:pPr>
              <w:tabs>
                <w:tab w:val="left" w:pos="1250"/>
              </w:tabs>
              <w:ind w:right="57"/>
              <w:jc w:val="right"/>
              <w:rPr>
                <w:sz w:val="12"/>
                <w:szCs w:val="12"/>
              </w:rPr>
            </w:pPr>
            <w:r w:rsidRPr="00C342AC">
              <w:rPr>
                <w:sz w:val="12"/>
                <w:szCs w:val="12"/>
              </w:rPr>
              <w:t>97.4</w:t>
            </w:r>
          </w:p>
        </w:tc>
        <w:tc>
          <w:tcPr>
            <w:tcW w:w="549" w:type="dxa"/>
            <w:tcBorders>
              <w:top w:val="nil"/>
              <w:left w:val="single" w:sz="4" w:space="0" w:color="auto"/>
              <w:bottom w:val="nil"/>
              <w:right w:val="single" w:sz="4" w:space="0" w:color="auto"/>
            </w:tcBorders>
            <w:vAlign w:val="center"/>
          </w:tcPr>
          <w:p w14:paraId="1A08DCD6" w14:textId="77777777" w:rsidR="00C342AC" w:rsidRPr="00C342AC" w:rsidRDefault="00C342AC" w:rsidP="00C342AC">
            <w:pPr>
              <w:tabs>
                <w:tab w:val="left" w:pos="1250"/>
              </w:tabs>
              <w:ind w:right="57"/>
              <w:jc w:val="right"/>
              <w:rPr>
                <w:sz w:val="12"/>
                <w:szCs w:val="12"/>
              </w:rPr>
            </w:pPr>
            <w:r w:rsidRPr="00C342AC">
              <w:rPr>
                <w:sz w:val="12"/>
                <w:szCs w:val="12"/>
              </w:rPr>
              <w:t>99.3</w:t>
            </w:r>
          </w:p>
        </w:tc>
        <w:tc>
          <w:tcPr>
            <w:tcW w:w="569" w:type="dxa"/>
            <w:tcBorders>
              <w:top w:val="nil"/>
              <w:left w:val="single" w:sz="4" w:space="0" w:color="auto"/>
              <w:bottom w:val="nil"/>
              <w:right w:val="single" w:sz="4" w:space="0" w:color="auto"/>
            </w:tcBorders>
            <w:vAlign w:val="center"/>
          </w:tcPr>
          <w:p w14:paraId="610CB4D0" w14:textId="77777777" w:rsidR="00C342AC" w:rsidRPr="00C342AC" w:rsidRDefault="00C342AC" w:rsidP="00C342AC">
            <w:pPr>
              <w:tabs>
                <w:tab w:val="left" w:pos="1250"/>
              </w:tabs>
              <w:ind w:right="57"/>
              <w:jc w:val="right"/>
              <w:rPr>
                <w:sz w:val="12"/>
                <w:szCs w:val="12"/>
              </w:rPr>
            </w:pPr>
            <w:r w:rsidRPr="00C342AC">
              <w:rPr>
                <w:sz w:val="12"/>
                <w:szCs w:val="12"/>
              </w:rPr>
              <w:t>98.5</w:t>
            </w:r>
          </w:p>
        </w:tc>
        <w:tc>
          <w:tcPr>
            <w:tcW w:w="570" w:type="dxa"/>
            <w:tcBorders>
              <w:top w:val="nil"/>
              <w:left w:val="single" w:sz="4" w:space="0" w:color="auto"/>
              <w:bottom w:val="nil"/>
              <w:right w:val="single" w:sz="4" w:space="0" w:color="auto"/>
            </w:tcBorders>
            <w:vAlign w:val="center"/>
          </w:tcPr>
          <w:p w14:paraId="3F817CCF" w14:textId="77777777" w:rsidR="00C342AC" w:rsidRPr="00C342AC" w:rsidRDefault="00C342AC" w:rsidP="00C342AC">
            <w:pPr>
              <w:tabs>
                <w:tab w:val="left" w:pos="1250"/>
              </w:tabs>
              <w:ind w:right="57"/>
              <w:jc w:val="right"/>
              <w:rPr>
                <w:sz w:val="12"/>
                <w:szCs w:val="12"/>
              </w:rPr>
            </w:pPr>
            <w:r w:rsidRPr="00C342AC">
              <w:rPr>
                <w:sz w:val="12"/>
                <w:szCs w:val="12"/>
              </w:rPr>
              <w:t>98.3</w:t>
            </w:r>
          </w:p>
        </w:tc>
        <w:tc>
          <w:tcPr>
            <w:tcW w:w="567" w:type="dxa"/>
            <w:tcBorders>
              <w:top w:val="nil"/>
              <w:left w:val="single" w:sz="4" w:space="0" w:color="auto"/>
              <w:bottom w:val="nil"/>
              <w:right w:val="single" w:sz="4" w:space="0" w:color="auto"/>
            </w:tcBorders>
            <w:vAlign w:val="center"/>
          </w:tcPr>
          <w:p w14:paraId="659DE498" w14:textId="77777777" w:rsidR="00C342AC" w:rsidRPr="00C342AC" w:rsidRDefault="00C342AC" w:rsidP="00C342AC">
            <w:pPr>
              <w:tabs>
                <w:tab w:val="left" w:pos="1250"/>
              </w:tabs>
              <w:ind w:right="57"/>
              <w:jc w:val="right"/>
              <w:rPr>
                <w:sz w:val="12"/>
                <w:szCs w:val="12"/>
              </w:rPr>
            </w:pPr>
            <w:r w:rsidRPr="00C342AC">
              <w:rPr>
                <w:sz w:val="12"/>
                <w:szCs w:val="12"/>
              </w:rPr>
              <w:t>97.9</w:t>
            </w:r>
          </w:p>
        </w:tc>
        <w:tc>
          <w:tcPr>
            <w:tcW w:w="583" w:type="dxa"/>
            <w:tcBorders>
              <w:top w:val="nil"/>
              <w:left w:val="single" w:sz="4" w:space="0" w:color="auto"/>
              <w:bottom w:val="nil"/>
              <w:right w:val="single" w:sz="4" w:space="0" w:color="auto"/>
            </w:tcBorders>
            <w:vAlign w:val="center"/>
          </w:tcPr>
          <w:p w14:paraId="75577B6C" w14:textId="77777777" w:rsidR="00C342AC" w:rsidRPr="00C342AC" w:rsidRDefault="00C342AC" w:rsidP="00C342AC">
            <w:pPr>
              <w:tabs>
                <w:tab w:val="left" w:pos="1250"/>
              </w:tabs>
              <w:ind w:right="57"/>
              <w:jc w:val="right"/>
              <w:rPr>
                <w:sz w:val="12"/>
                <w:szCs w:val="12"/>
              </w:rPr>
            </w:pPr>
            <w:r w:rsidRPr="00C342AC">
              <w:rPr>
                <w:sz w:val="12"/>
                <w:szCs w:val="12"/>
              </w:rPr>
              <w:t>97.3</w:t>
            </w:r>
          </w:p>
        </w:tc>
        <w:tc>
          <w:tcPr>
            <w:tcW w:w="573" w:type="dxa"/>
            <w:tcBorders>
              <w:top w:val="nil"/>
              <w:left w:val="single" w:sz="4" w:space="0" w:color="auto"/>
              <w:bottom w:val="nil"/>
              <w:right w:val="single" w:sz="4" w:space="0" w:color="auto"/>
            </w:tcBorders>
            <w:vAlign w:val="center"/>
          </w:tcPr>
          <w:p w14:paraId="3826E721" w14:textId="77777777" w:rsidR="00C342AC" w:rsidRPr="00C342AC" w:rsidRDefault="00C342AC" w:rsidP="00C342AC">
            <w:pPr>
              <w:tabs>
                <w:tab w:val="left" w:pos="1250"/>
              </w:tabs>
              <w:ind w:right="57"/>
              <w:jc w:val="right"/>
              <w:rPr>
                <w:sz w:val="12"/>
                <w:szCs w:val="12"/>
              </w:rPr>
            </w:pPr>
            <w:r w:rsidRPr="00C342AC">
              <w:rPr>
                <w:sz w:val="12"/>
                <w:szCs w:val="12"/>
              </w:rPr>
              <w:t>98.6</w:t>
            </w:r>
          </w:p>
        </w:tc>
        <w:tc>
          <w:tcPr>
            <w:tcW w:w="507" w:type="dxa"/>
            <w:tcBorders>
              <w:top w:val="nil"/>
              <w:left w:val="single" w:sz="4" w:space="0" w:color="auto"/>
              <w:bottom w:val="nil"/>
              <w:right w:val="single" w:sz="4" w:space="0" w:color="auto"/>
            </w:tcBorders>
            <w:vAlign w:val="center"/>
          </w:tcPr>
          <w:p w14:paraId="477DB16F" w14:textId="77777777" w:rsidR="00C342AC" w:rsidRPr="00C342AC" w:rsidRDefault="00C342AC" w:rsidP="00C342AC">
            <w:pPr>
              <w:tabs>
                <w:tab w:val="left" w:pos="1250"/>
              </w:tabs>
              <w:ind w:right="57"/>
              <w:jc w:val="right"/>
              <w:rPr>
                <w:sz w:val="12"/>
                <w:szCs w:val="12"/>
              </w:rPr>
            </w:pPr>
            <w:r w:rsidRPr="00C342AC">
              <w:rPr>
                <w:sz w:val="12"/>
                <w:szCs w:val="12"/>
              </w:rPr>
              <w:t>99.4</w:t>
            </w:r>
          </w:p>
        </w:tc>
        <w:tc>
          <w:tcPr>
            <w:tcW w:w="643" w:type="dxa"/>
            <w:tcBorders>
              <w:top w:val="nil"/>
              <w:left w:val="single" w:sz="4" w:space="0" w:color="auto"/>
              <w:bottom w:val="nil"/>
              <w:right w:val="single" w:sz="4" w:space="0" w:color="auto"/>
            </w:tcBorders>
            <w:vAlign w:val="center"/>
          </w:tcPr>
          <w:p w14:paraId="3C0CBE00" w14:textId="77777777" w:rsidR="00C342AC" w:rsidRPr="00C342AC" w:rsidRDefault="00C342AC" w:rsidP="00C342AC">
            <w:pPr>
              <w:tabs>
                <w:tab w:val="left" w:pos="1250"/>
              </w:tabs>
              <w:ind w:right="57"/>
              <w:jc w:val="right"/>
              <w:rPr>
                <w:sz w:val="12"/>
                <w:szCs w:val="12"/>
              </w:rPr>
            </w:pPr>
            <w:r w:rsidRPr="00C342AC">
              <w:rPr>
                <w:sz w:val="12"/>
                <w:szCs w:val="12"/>
              </w:rPr>
              <w:t>98.5</w:t>
            </w:r>
          </w:p>
        </w:tc>
        <w:tc>
          <w:tcPr>
            <w:tcW w:w="554" w:type="dxa"/>
            <w:tcBorders>
              <w:top w:val="nil"/>
              <w:left w:val="single" w:sz="4" w:space="0" w:color="auto"/>
              <w:bottom w:val="nil"/>
              <w:right w:val="single" w:sz="4" w:space="0" w:color="auto"/>
            </w:tcBorders>
            <w:vAlign w:val="center"/>
          </w:tcPr>
          <w:p w14:paraId="4FE1D533" w14:textId="77777777" w:rsidR="00C342AC" w:rsidRPr="00C342AC" w:rsidRDefault="00C342AC" w:rsidP="00C342AC">
            <w:pPr>
              <w:tabs>
                <w:tab w:val="left" w:pos="1250"/>
              </w:tabs>
              <w:ind w:right="57"/>
              <w:jc w:val="right"/>
              <w:rPr>
                <w:sz w:val="12"/>
                <w:szCs w:val="12"/>
              </w:rPr>
            </w:pPr>
            <w:r w:rsidRPr="00C342AC">
              <w:rPr>
                <w:sz w:val="12"/>
                <w:szCs w:val="12"/>
              </w:rPr>
              <w:t>101.3</w:t>
            </w:r>
          </w:p>
        </w:tc>
        <w:tc>
          <w:tcPr>
            <w:tcW w:w="568" w:type="dxa"/>
            <w:tcBorders>
              <w:top w:val="nil"/>
              <w:left w:val="single" w:sz="4" w:space="0" w:color="auto"/>
              <w:bottom w:val="nil"/>
              <w:right w:val="single" w:sz="4" w:space="0" w:color="auto"/>
            </w:tcBorders>
            <w:vAlign w:val="center"/>
          </w:tcPr>
          <w:p w14:paraId="25BCDF25" w14:textId="77777777" w:rsidR="00C342AC" w:rsidRPr="00C342AC" w:rsidRDefault="00C342AC" w:rsidP="00C342AC">
            <w:pPr>
              <w:tabs>
                <w:tab w:val="left" w:pos="1250"/>
              </w:tabs>
              <w:ind w:right="57"/>
              <w:jc w:val="right"/>
              <w:rPr>
                <w:sz w:val="12"/>
                <w:szCs w:val="12"/>
              </w:rPr>
            </w:pPr>
            <w:r w:rsidRPr="00C342AC">
              <w:rPr>
                <w:sz w:val="12"/>
                <w:szCs w:val="12"/>
              </w:rPr>
              <w:t>101.3</w:t>
            </w:r>
          </w:p>
        </w:tc>
        <w:tc>
          <w:tcPr>
            <w:tcW w:w="567" w:type="dxa"/>
            <w:tcBorders>
              <w:top w:val="nil"/>
              <w:left w:val="single" w:sz="4" w:space="0" w:color="auto"/>
              <w:bottom w:val="nil"/>
              <w:right w:val="single" w:sz="4" w:space="0" w:color="auto"/>
            </w:tcBorders>
            <w:vAlign w:val="center"/>
          </w:tcPr>
          <w:p w14:paraId="59C94B35" w14:textId="77777777" w:rsidR="00C342AC" w:rsidRPr="00C342AC" w:rsidRDefault="00C342AC" w:rsidP="00C342AC">
            <w:pPr>
              <w:tabs>
                <w:tab w:val="left" w:pos="1250"/>
              </w:tabs>
              <w:ind w:right="57"/>
              <w:jc w:val="right"/>
              <w:rPr>
                <w:sz w:val="12"/>
                <w:szCs w:val="12"/>
              </w:rPr>
            </w:pPr>
            <w:r w:rsidRPr="00C342AC">
              <w:rPr>
                <w:sz w:val="12"/>
                <w:szCs w:val="12"/>
              </w:rPr>
              <w:t>100.8</w:t>
            </w:r>
          </w:p>
        </w:tc>
        <w:tc>
          <w:tcPr>
            <w:tcW w:w="589" w:type="dxa"/>
            <w:tcBorders>
              <w:top w:val="nil"/>
              <w:left w:val="single" w:sz="4" w:space="0" w:color="auto"/>
              <w:bottom w:val="nil"/>
              <w:right w:val="single" w:sz="4" w:space="0" w:color="auto"/>
            </w:tcBorders>
            <w:vAlign w:val="center"/>
          </w:tcPr>
          <w:p w14:paraId="1A571602" w14:textId="77777777" w:rsidR="00C342AC" w:rsidRPr="00C342AC" w:rsidRDefault="00C342AC" w:rsidP="00C342AC">
            <w:pPr>
              <w:tabs>
                <w:tab w:val="left" w:pos="1250"/>
              </w:tabs>
              <w:ind w:right="57"/>
              <w:jc w:val="right"/>
              <w:rPr>
                <w:sz w:val="12"/>
                <w:szCs w:val="12"/>
              </w:rPr>
            </w:pPr>
            <w:r w:rsidRPr="00C342AC">
              <w:rPr>
                <w:sz w:val="12"/>
                <w:szCs w:val="12"/>
              </w:rPr>
              <w:t>100.5</w:t>
            </w:r>
          </w:p>
        </w:tc>
      </w:tr>
      <w:tr w:rsidR="00C342AC" w:rsidRPr="00C342AC" w14:paraId="24E8F4E0" w14:textId="77777777" w:rsidTr="00082E99">
        <w:tc>
          <w:tcPr>
            <w:tcW w:w="2080" w:type="dxa"/>
            <w:tcBorders>
              <w:top w:val="nil"/>
              <w:left w:val="single" w:sz="4" w:space="0" w:color="auto"/>
              <w:bottom w:val="nil"/>
              <w:right w:val="single" w:sz="4" w:space="0" w:color="auto"/>
            </w:tcBorders>
          </w:tcPr>
          <w:p w14:paraId="4442F655" w14:textId="77777777" w:rsidR="00C342AC" w:rsidRPr="00C342AC" w:rsidRDefault="00C342AC" w:rsidP="00C342AC">
            <w:pPr>
              <w:tabs>
                <w:tab w:val="left" w:pos="1250"/>
              </w:tabs>
              <w:ind w:left="170" w:hanging="170"/>
              <w:jc w:val="both"/>
              <w:rPr>
                <w:sz w:val="14"/>
                <w:szCs w:val="14"/>
              </w:rPr>
            </w:pPr>
            <w:r w:rsidRPr="00C342AC">
              <w:rPr>
                <w:sz w:val="14"/>
                <w:lang w:eastAsia="es-MX"/>
              </w:rPr>
              <w:t xml:space="preserve">3. </w:t>
            </w:r>
            <w:r w:rsidRPr="00C342AC">
              <w:rPr>
                <w:rFonts w:eastAsia="Times New Roman"/>
                <w:sz w:val="14"/>
                <w:lang w:eastAsia="es-MX"/>
              </w:rPr>
              <w:t>Situación económica del país hoy en día, comparada con la de hace 12 meses.</w:t>
            </w:r>
          </w:p>
        </w:tc>
        <w:tc>
          <w:tcPr>
            <w:tcW w:w="557" w:type="dxa"/>
            <w:tcBorders>
              <w:top w:val="nil"/>
              <w:left w:val="single" w:sz="4" w:space="0" w:color="auto"/>
              <w:bottom w:val="nil"/>
              <w:right w:val="single" w:sz="4" w:space="0" w:color="auto"/>
            </w:tcBorders>
            <w:vAlign w:val="center"/>
          </w:tcPr>
          <w:p w14:paraId="57F0FE4F" w14:textId="77777777" w:rsidR="00C342AC" w:rsidRPr="00C342AC" w:rsidRDefault="00C342AC" w:rsidP="00C342AC">
            <w:pPr>
              <w:tabs>
                <w:tab w:val="left" w:pos="1250"/>
              </w:tabs>
              <w:ind w:right="57"/>
              <w:jc w:val="right"/>
              <w:rPr>
                <w:sz w:val="12"/>
                <w:szCs w:val="12"/>
              </w:rPr>
            </w:pPr>
            <w:r w:rsidRPr="00C342AC">
              <w:rPr>
                <w:sz w:val="12"/>
                <w:szCs w:val="12"/>
              </w:rPr>
              <w:t>85.4</w:t>
            </w:r>
          </w:p>
        </w:tc>
        <w:tc>
          <w:tcPr>
            <w:tcW w:w="549" w:type="dxa"/>
            <w:tcBorders>
              <w:top w:val="nil"/>
              <w:left w:val="single" w:sz="4" w:space="0" w:color="auto"/>
              <w:bottom w:val="nil"/>
              <w:right w:val="single" w:sz="4" w:space="0" w:color="auto"/>
            </w:tcBorders>
            <w:vAlign w:val="center"/>
          </w:tcPr>
          <w:p w14:paraId="5358F7F6" w14:textId="77777777" w:rsidR="00C342AC" w:rsidRPr="00C342AC" w:rsidRDefault="00C342AC" w:rsidP="00C342AC">
            <w:pPr>
              <w:tabs>
                <w:tab w:val="left" w:pos="1250"/>
              </w:tabs>
              <w:ind w:right="57"/>
              <w:jc w:val="right"/>
              <w:rPr>
                <w:sz w:val="12"/>
                <w:szCs w:val="12"/>
              </w:rPr>
            </w:pPr>
            <w:r w:rsidRPr="00C342AC">
              <w:rPr>
                <w:sz w:val="12"/>
                <w:szCs w:val="12"/>
              </w:rPr>
              <w:t>86.4</w:t>
            </w:r>
          </w:p>
        </w:tc>
        <w:tc>
          <w:tcPr>
            <w:tcW w:w="569" w:type="dxa"/>
            <w:tcBorders>
              <w:top w:val="nil"/>
              <w:left w:val="single" w:sz="4" w:space="0" w:color="auto"/>
              <w:bottom w:val="nil"/>
              <w:right w:val="single" w:sz="4" w:space="0" w:color="auto"/>
            </w:tcBorders>
            <w:vAlign w:val="center"/>
          </w:tcPr>
          <w:p w14:paraId="172D7B5A" w14:textId="77777777" w:rsidR="00C342AC" w:rsidRPr="00C342AC" w:rsidRDefault="00C342AC" w:rsidP="00C342AC">
            <w:pPr>
              <w:tabs>
                <w:tab w:val="left" w:pos="1250"/>
              </w:tabs>
              <w:ind w:right="57"/>
              <w:jc w:val="right"/>
              <w:rPr>
                <w:sz w:val="12"/>
                <w:szCs w:val="12"/>
              </w:rPr>
            </w:pPr>
            <w:r w:rsidRPr="00C342AC">
              <w:rPr>
                <w:sz w:val="12"/>
                <w:szCs w:val="12"/>
              </w:rPr>
              <w:t>88.0</w:t>
            </w:r>
          </w:p>
        </w:tc>
        <w:tc>
          <w:tcPr>
            <w:tcW w:w="570" w:type="dxa"/>
            <w:tcBorders>
              <w:top w:val="nil"/>
              <w:left w:val="single" w:sz="4" w:space="0" w:color="auto"/>
              <w:bottom w:val="nil"/>
              <w:right w:val="single" w:sz="4" w:space="0" w:color="auto"/>
            </w:tcBorders>
            <w:vAlign w:val="center"/>
          </w:tcPr>
          <w:p w14:paraId="46E1DD26" w14:textId="77777777" w:rsidR="00C342AC" w:rsidRPr="00C342AC" w:rsidRDefault="00C342AC" w:rsidP="00C342AC">
            <w:pPr>
              <w:tabs>
                <w:tab w:val="left" w:pos="1250"/>
              </w:tabs>
              <w:ind w:right="57"/>
              <w:jc w:val="right"/>
              <w:rPr>
                <w:sz w:val="12"/>
                <w:szCs w:val="12"/>
              </w:rPr>
            </w:pPr>
            <w:r w:rsidRPr="00C342AC">
              <w:rPr>
                <w:sz w:val="12"/>
                <w:szCs w:val="12"/>
              </w:rPr>
              <w:t>89.3</w:t>
            </w:r>
          </w:p>
        </w:tc>
        <w:tc>
          <w:tcPr>
            <w:tcW w:w="567" w:type="dxa"/>
            <w:tcBorders>
              <w:top w:val="nil"/>
              <w:left w:val="single" w:sz="4" w:space="0" w:color="auto"/>
              <w:bottom w:val="nil"/>
              <w:right w:val="single" w:sz="4" w:space="0" w:color="auto"/>
            </w:tcBorders>
            <w:vAlign w:val="center"/>
          </w:tcPr>
          <w:p w14:paraId="61EDD025" w14:textId="77777777" w:rsidR="00C342AC" w:rsidRPr="00C342AC" w:rsidRDefault="00C342AC" w:rsidP="00C342AC">
            <w:pPr>
              <w:tabs>
                <w:tab w:val="left" w:pos="1250"/>
              </w:tabs>
              <w:ind w:right="57"/>
              <w:jc w:val="right"/>
              <w:rPr>
                <w:sz w:val="12"/>
                <w:szCs w:val="12"/>
              </w:rPr>
            </w:pPr>
            <w:r w:rsidRPr="00C342AC">
              <w:rPr>
                <w:sz w:val="12"/>
                <w:szCs w:val="12"/>
              </w:rPr>
              <w:t>89.5</w:t>
            </w:r>
          </w:p>
        </w:tc>
        <w:tc>
          <w:tcPr>
            <w:tcW w:w="583" w:type="dxa"/>
            <w:tcBorders>
              <w:top w:val="nil"/>
              <w:left w:val="single" w:sz="4" w:space="0" w:color="auto"/>
              <w:bottom w:val="nil"/>
              <w:right w:val="single" w:sz="4" w:space="0" w:color="auto"/>
            </w:tcBorders>
            <w:vAlign w:val="center"/>
          </w:tcPr>
          <w:p w14:paraId="7B57175F" w14:textId="77777777" w:rsidR="00C342AC" w:rsidRPr="00C342AC" w:rsidRDefault="00C342AC" w:rsidP="00C342AC">
            <w:pPr>
              <w:tabs>
                <w:tab w:val="left" w:pos="1250"/>
              </w:tabs>
              <w:ind w:right="57"/>
              <w:jc w:val="right"/>
              <w:rPr>
                <w:sz w:val="12"/>
                <w:szCs w:val="12"/>
              </w:rPr>
            </w:pPr>
            <w:r w:rsidRPr="00C342AC">
              <w:rPr>
                <w:sz w:val="12"/>
                <w:szCs w:val="12"/>
              </w:rPr>
              <w:t>90.9</w:t>
            </w:r>
          </w:p>
        </w:tc>
        <w:tc>
          <w:tcPr>
            <w:tcW w:w="573" w:type="dxa"/>
            <w:tcBorders>
              <w:top w:val="nil"/>
              <w:left w:val="single" w:sz="4" w:space="0" w:color="auto"/>
              <w:bottom w:val="nil"/>
              <w:right w:val="single" w:sz="4" w:space="0" w:color="auto"/>
            </w:tcBorders>
            <w:vAlign w:val="center"/>
          </w:tcPr>
          <w:p w14:paraId="572881FC" w14:textId="77777777" w:rsidR="00C342AC" w:rsidRPr="00C342AC" w:rsidRDefault="00C342AC" w:rsidP="00C342AC">
            <w:pPr>
              <w:tabs>
                <w:tab w:val="left" w:pos="1250"/>
              </w:tabs>
              <w:ind w:right="57"/>
              <w:jc w:val="right"/>
              <w:rPr>
                <w:sz w:val="12"/>
                <w:szCs w:val="12"/>
              </w:rPr>
            </w:pPr>
            <w:r w:rsidRPr="00C342AC">
              <w:rPr>
                <w:sz w:val="12"/>
                <w:szCs w:val="12"/>
              </w:rPr>
              <w:t>90.8</w:t>
            </w:r>
          </w:p>
        </w:tc>
        <w:tc>
          <w:tcPr>
            <w:tcW w:w="507" w:type="dxa"/>
            <w:tcBorders>
              <w:top w:val="nil"/>
              <w:left w:val="single" w:sz="4" w:space="0" w:color="auto"/>
              <w:bottom w:val="nil"/>
              <w:right w:val="single" w:sz="4" w:space="0" w:color="auto"/>
            </w:tcBorders>
            <w:vAlign w:val="center"/>
          </w:tcPr>
          <w:p w14:paraId="480F7EBB" w14:textId="77777777" w:rsidR="00C342AC" w:rsidRPr="00C342AC" w:rsidRDefault="00C342AC" w:rsidP="00C342AC">
            <w:pPr>
              <w:tabs>
                <w:tab w:val="left" w:pos="1250"/>
              </w:tabs>
              <w:ind w:right="57"/>
              <w:jc w:val="right"/>
              <w:rPr>
                <w:sz w:val="12"/>
                <w:szCs w:val="12"/>
              </w:rPr>
            </w:pPr>
            <w:r w:rsidRPr="00C342AC">
              <w:rPr>
                <w:sz w:val="12"/>
                <w:szCs w:val="12"/>
              </w:rPr>
              <w:t>93.2</w:t>
            </w:r>
          </w:p>
        </w:tc>
        <w:tc>
          <w:tcPr>
            <w:tcW w:w="643" w:type="dxa"/>
            <w:tcBorders>
              <w:top w:val="nil"/>
              <w:left w:val="single" w:sz="4" w:space="0" w:color="auto"/>
              <w:bottom w:val="nil"/>
              <w:right w:val="single" w:sz="4" w:space="0" w:color="auto"/>
            </w:tcBorders>
            <w:vAlign w:val="center"/>
          </w:tcPr>
          <w:p w14:paraId="157DB224" w14:textId="77777777" w:rsidR="00C342AC" w:rsidRPr="00C342AC" w:rsidRDefault="00C342AC" w:rsidP="00C342AC">
            <w:pPr>
              <w:tabs>
                <w:tab w:val="left" w:pos="1250"/>
              </w:tabs>
              <w:ind w:right="57"/>
              <w:jc w:val="right"/>
              <w:rPr>
                <w:sz w:val="12"/>
                <w:szCs w:val="12"/>
              </w:rPr>
            </w:pPr>
            <w:r w:rsidRPr="00C342AC">
              <w:rPr>
                <w:sz w:val="12"/>
                <w:szCs w:val="12"/>
              </w:rPr>
              <w:t>90.9</w:t>
            </w:r>
          </w:p>
        </w:tc>
        <w:tc>
          <w:tcPr>
            <w:tcW w:w="554" w:type="dxa"/>
            <w:tcBorders>
              <w:top w:val="nil"/>
              <w:left w:val="single" w:sz="4" w:space="0" w:color="auto"/>
              <w:bottom w:val="nil"/>
              <w:right w:val="single" w:sz="4" w:space="0" w:color="auto"/>
            </w:tcBorders>
            <w:vAlign w:val="center"/>
          </w:tcPr>
          <w:p w14:paraId="1227B944" w14:textId="77777777" w:rsidR="00C342AC" w:rsidRPr="00C342AC" w:rsidRDefault="00C342AC" w:rsidP="00C342AC">
            <w:pPr>
              <w:tabs>
                <w:tab w:val="left" w:pos="1250"/>
              </w:tabs>
              <w:ind w:right="57"/>
              <w:jc w:val="right"/>
              <w:rPr>
                <w:sz w:val="12"/>
                <w:szCs w:val="12"/>
              </w:rPr>
            </w:pPr>
            <w:r w:rsidRPr="00C342AC">
              <w:rPr>
                <w:sz w:val="12"/>
                <w:szCs w:val="12"/>
              </w:rPr>
              <w:t>88.0</w:t>
            </w:r>
          </w:p>
        </w:tc>
        <w:tc>
          <w:tcPr>
            <w:tcW w:w="568" w:type="dxa"/>
            <w:tcBorders>
              <w:top w:val="nil"/>
              <w:left w:val="single" w:sz="4" w:space="0" w:color="auto"/>
              <w:bottom w:val="nil"/>
              <w:right w:val="single" w:sz="4" w:space="0" w:color="auto"/>
            </w:tcBorders>
            <w:vAlign w:val="center"/>
          </w:tcPr>
          <w:p w14:paraId="18FB234C" w14:textId="77777777" w:rsidR="00C342AC" w:rsidRPr="00C342AC" w:rsidRDefault="00C342AC" w:rsidP="00C342AC">
            <w:pPr>
              <w:tabs>
                <w:tab w:val="left" w:pos="1250"/>
              </w:tabs>
              <w:ind w:right="57"/>
              <w:jc w:val="right"/>
              <w:rPr>
                <w:sz w:val="12"/>
                <w:szCs w:val="12"/>
              </w:rPr>
            </w:pPr>
            <w:r w:rsidRPr="00C342AC">
              <w:rPr>
                <w:sz w:val="12"/>
                <w:szCs w:val="12"/>
              </w:rPr>
              <w:t>89.6</w:t>
            </w:r>
          </w:p>
        </w:tc>
        <w:tc>
          <w:tcPr>
            <w:tcW w:w="567" w:type="dxa"/>
            <w:tcBorders>
              <w:top w:val="nil"/>
              <w:left w:val="single" w:sz="4" w:space="0" w:color="auto"/>
              <w:bottom w:val="nil"/>
              <w:right w:val="single" w:sz="4" w:space="0" w:color="auto"/>
            </w:tcBorders>
            <w:vAlign w:val="center"/>
          </w:tcPr>
          <w:p w14:paraId="7585D9EC" w14:textId="77777777" w:rsidR="00C342AC" w:rsidRPr="00C342AC" w:rsidRDefault="00C342AC" w:rsidP="00C342AC">
            <w:pPr>
              <w:tabs>
                <w:tab w:val="left" w:pos="1250"/>
              </w:tabs>
              <w:ind w:right="57"/>
              <w:jc w:val="right"/>
              <w:rPr>
                <w:sz w:val="12"/>
                <w:szCs w:val="12"/>
              </w:rPr>
            </w:pPr>
            <w:r w:rsidRPr="00C342AC">
              <w:rPr>
                <w:sz w:val="12"/>
                <w:szCs w:val="12"/>
              </w:rPr>
              <w:t>87.5</w:t>
            </w:r>
          </w:p>
        </w:tc>
        <w:tc>
          <w:tcPr>
            <w:tcW w:w="589" w:type="dxa"/>
            <w:tcBorders>
              <w:top w:val="nil"/>
              <w:left w:val="single" w:sz="4" w:space="0" w:color="auto"/>
              <w:bottom w:val="nil"/>
              <w:right w:val="single" w:sz="4" w:space="0" w:color="auto"/>
            </w:tcBorders>
            <w:vAlign w:val="center"/>
          </w:tcPr>
          <w:p w14:paraId="2B061F3B" w14:textId="77777777" w:rsidR="00C342AC" w:rsidRPr="00C342AC" w:rsidRDefault="00C342AC" w:rsidP="00C342AC">
            <w:pPr>
              <w:tabs>
                <w:tab w:val="left" w:pos="1250"/>
              </w:tabs>
              <w:ind w:right="57"/>
              <w:jc w:val="right"/>
              <w:rPr>
                <w:sz w:val="12"/>
                <w:szCs w:val="12"/>
              </w:rPr>
            </w:pPr>
            <w:r w:rsidRPr="00C342AC">
              <w:rPr>
                <w:sz w:val="12"/>
                <w:szCs w:val="12"/>
              </w:rPr>
              <w:t>86.1</w:t>
            </w:r>
          </w:p>
        </w:tc>
      </w:tr>
      <w:tr w:rsidR="00C342AC" w:rsidRPr="00C342AC" w14:paraId="6675DBE3" w14:textId="77777777" w:rsidTr="00082E99">
        <w:tc>
          <w:tcPr>
            <w:tcW w:w="2080" w:type="dxa"/>
            <w:tcBorders>
              <w:top w:val="nil"/>
              <w:left w:val="single" w:sz="4" w:space="0" w:color="auto"/>
              <w:bottom w:val="nil"/>
              <w:right w:val="single" w:sz="4" w:space="0" w:color="auto"/>
            </w:tcBorders>
          </w:tcPr>
          <w:p w14:paraId="1806F212" w14:textId="77777777" w:rsidR="00C342AC" w:rsidRPr="00C342AC" w:rsidRDefault="00C342AC" w:rsidP="00C342AC">
            <w:pPr>
              <w:tabs>
                <w:tab w:val="left" w:pos="1250"/>
              </w:tabs>
              <w:ind w:left="170" w:hanging="170"/>
              <w:jc w:val="both"/>
              <w:rPr>
                <w:sz w:val="14"/>
                <w:szCs w:val="14"/>
              </w:rPr>
            </w:pPr>
            <w:r w:rsidRPr="00C342AC">
              <w:rPr>
                <w:sz w:val="14"/>
                <w:lang w:eastAsia="es-MX"/>
              </w:rPr>
              <w:t xml:space="preserve">4. </w:t>
            </w:r>
            <w:r w:rsidRPr="00C342AC">
              <w:rPr>
                <w:rFonts w:eastAsia="Times New Roman"/>
                <w:sz w:val="14"/>
                <w:lang w:eastAsia="es-MX"/>
              </w:rPr>
              <w:t>Situación económica del país dentro de 12 meses, con respecto a la situación actual.</w:t>
            </w:r>
          </w:p>
        </w:tc>
        <w:tc>
          <w:tcPr>
            <w:tcW w:w="557" w:type="dxa"/>
            <w:tcBorders>
              <w:top w:val="nil"/>
              <w:left w:val="single" w:sz="4" w:space="0" w:color="auto"/>
              <w:bottom w:val="nil"/>
              <w:right w:val="single" w:sz="4" w:space="0" w:color="auto"/>
            </w:tcBorders>
            <w:vAlign w:val="center"/>
          </w:tcPr>
          <w:p w14:paraId="5D8154F5" w14:textId="77777777" w:rsidR="00C342AC" w:rsidRPr="00C342AC" w:rsidRDefault="00C342AC" w:rsidP="00C342AC">
            <w:pPr>
              <w:tabs>
                <w:tab w:val="left" w:pos="1250"/>
              </w:tabs>
              <w:ind w:right="57"/>
              <w:jc w:val="right"/>
              <w:rPr>
                <w:sz w:val="12"/>
                <w:szCs w:val="12"/>
              </w:rPr>
            </w:pPr>
            <w:r w:rsidRPr="00C342AC">
              <w:rPr>
                <w:sz w:val="12"/>
                <w:szCs w:val="12"/>
              </w:rPr>
              <w:t>87.4</w:t>
            </w:r>
          </w:p>
        </w:tc>
        <w:tc>
          <w:tcPr>
            <w:tcW w:w="549" w:type="dxa"/>
            <w:tcBorders>
              <w:top w:val="nil"/>
              <w:left w:val="single" w:sz="4" w:space="0" w:color="auto"/>
              <w:bottom w:val="nil"/>
              <w:right w:val="single" w:sz="4" w:space="0" w:color="auto"/>
            </w:tcBorders>
            <w:vAlign w:val="center"/>
          </w:tcPr>
          <w:p w14:paraId="45A53297" w14:textId="77777777" w:rsidR="00C342AC" w:rsidRPr="00C342AC" w:rsidRDefault="00C342AC" w:rsidP="00C342AC">
            <w:pPr>
              <w:tabs>
                <w:tab w:val="left" w:pos="1250"/>
              </w:tabs>
              <w:ind w:right="57"/>
              <w:jc w:val="right"/>
              <w:rPr>
                <w:sz w:val="12"/>
                <w:szCs w:val="12"/>
              </w:rPr>
            </w:pPr>
            <w:r w:rsidRPr="00C342AC">
              <w:rPr>
                <w:sz w:val="12"/>
                <w:szCs w:val="12"/>
              </w:rPr>
              <w:t>90.6</w:t>
            </w:r>
          </w:p>
        </w:tc>
        <w:tc>
          <w:tcPr>
            <w:tcW w:w="569" w:type="dxa"/>
            <w:tcBorders>
              <w:top w:val="nil"/>
              <w:left w:val="single" w:sz="4" w:space="0" w:color="auto"/>
              <w:bottom w:val="nil"/>
              <w:right w:val="single" w:sz="4" w:space="0" w:color="auto"/>
            </w:tcBorders>
            <w:vAlign w:val="center"/>
          </w:tcPr>
          <w:p w14:paraId="6D92A0CC" w14:textId="77777777" w:rsidR="00C342AC" w:rsidRPr="00C342AC" w:rsidRDefault="00C342AC" w:rsidP="00C342AC">
            <w:pPr>
              <w:tabs>
                <w:tab w:val="left" w:pos="1250"/>
              </w:tabs>
              <w:ind w:right="57"/>
              <w:jc w:val="right"/>
              <w:rPr>
                <w:sz w:val="12"/>
                <w:szCs w:val="12"/>
              </w:rPr>
            </w:pPr>
            <w:r w:rsidRPr="00C342AC">
              <w:rPr>
                <w:sz w:val="12"/>
                <w:szCs w:val="12"/>
              </w:rPr>
              <w:t>91.8</w:t>
            </w:r>
          </w:p>
        </w:tc>
        <w:tc>
          <w:tcPr>
            <w:tcW w:w="570" w:type="dxa"/>
            <w:tcBorders>
              <w:top w:val="nil"/>
              <w:left w:val="single" w:sz="4" w:space="0" w:color="auto"/>
              <w:bottom w:val="nil"/>
              <w:right w:val="single" w:sz="4" w:space="0" w:color="auto"/>
            </w:tcBorders>
            <w:vAlign w:val="center"/>
          </w:tcPr>
          <w:p w14:paraId="2D2F9910" w14:textId="77777777" w:rsidR="00C342AC" w:rsidRPr="00C342AC" w:rsidRDefault="00C342AC" w:rsidP="00C342AC">
            <w:pPr>
              <w:tabs>
                <w:tab w:val="left" w:pos="1250"/>
              </w:tabs>
              <w:ind w:right="57"/>
              <w:jc w:val="right"/>
              <w:rPr>
                <w:sz w:val="12"/>
                <w:szCs w:val="12"/>
              </w:rPr>
            </w:pPr>
            <w:r w:rsidRPr="00C342AC">
              <w:rPr>
                <w:sz w:val="12"/>
                <w:szCs w:val="12"/>
              </w:rPr>
              <w:t>91.5</w:t>
            </w:r>
          </w:p>
        </w:tc>
        <w:tc>
          <w:tcPr>
            <w:tcW w:w="567" w:type="dxa"/>
            <w:tcBorders>
              <w:top w:val="nil"/>
              <w:left w:val="single" w:sz="4" w:space="0" w:color="auto"/>
              <w:bottom w:val="nil"/>
              <w:right w:val="single" w:sz="4" w:space="0" w:color="auto"/>
            </w:tcBorders>
            <w:vAlign w:val="center"/>
          </w:tcPr>
          <w:p w14:paraId="160FC478" w14:textId="77777777" w:rsidR="00C342AC" w:rsidRPr="00C342AC" w:rsidRDefault="00C342AC" w:rsidP="00C342AC">
            <w:pPr>
              <w:tabs>
                <w:tab w:val="left" w:pos="1250"/>
              </w:tabs>
              <w:ind w:right="57"/>
              <w:jc w:val="right"/>
              <w:rPr>
                <w:sz w:val="12"/>
                <w:szCs w:val="12"/>
              </w:rPr>
            </w:pPr>
            <w:r w:rsidRPr="00C342AC">
              <w:rPr>
                <w:sz w:val="12"/>
                <w:szCs w:val="12"/>
              </w:rPr>
              <w:t>93.3</w:t>
            </w:r>
          </w:p>
        </w:tc>
        <w:tc>
          <w:tcPr>
            <w:tcW w:w="583" w:type="dxa"/>
            <w:tcBorders>
              <w:top w:val="nil"/>
              <w:left w:val="single" w:sz="4" w:space="0" w:color="auto"/>
              <w:bottom w:val="nil"/>
              <w:right w:val="single" w:sz="4" w:space="0" w:color="auto"/>
            </w:tcBorders>
            <w:vAlign w:val="center"/>
          </w:tcPr>
          <w:p w14:paraId="75F0F845" w14:textId="77777777" w:rsidR="00C342AC" w:rsidRPr="00C342AC" w:rsidRDefault="00C342AC" w:rsidP="00C342AC">
            <w:pPr>
              <w:tabs>
                <w:tab w:val="left" w:pos="1250"/>
              </w:tabs>
              <w:ind w:right="57"/>
              <w:jc w:val="right"/>
              <w:rPr>
                <w:sz w:val="12"/>
                <w:szCs w:val="12"/>
              </w:rPr>
            </w:pPr>
            <w:r w:rsidRPr="00C342AC">
              <w:rPr>
                <w:sz w:val="12"/>
                <w:szCs w:val="12"/>
              </w:rPr>
              <w:t>90.1</w:t>
            </w:r>
          </w:p>
        </w:tc>
        <w:tc>
          <w:tcPr>
            <w:tcW w:w="573" w:type="dxa"/>
            <w:tcBorders>
              <w:top w:val="nil"/>
              <w:left w:val="single" w:sz="4" w:space="0" w:color="auto"/>
              <w:bottom w:val="nil"/>
              <w:right w:val="single" w:sz="4" w:space="0" w:color="auto"/>
            </w:tcBorders>
            <w:vAlign w:val="center"/>
          </w:tcPr>
          <w:p w14:paraId="3871769D" w14:textId="77777777" w:rsidR="00C342AC" w:rsidRPr="00C342AC" w:rsidRDefault="00C342AC" w:rsidP="00C342AC">
            <w:pPr>
              <w:tabs>
                <w:tab w:val="left" w:pos="1250"/>
              </w:tabs>
              <w:ind w:right="57"/>
              <w:jc w:val="right"/>
              <w:rPr>
                <w:sz w:val="12"/>
                <w:szCs w:val="12"/>
              </w:rPr>
            </w:pPr>
            <w:r w:rsidRPr="00C342AC">
              <w:rPr>
                <w:sz w:val="12"/>
                <w:szCs w:val="12"/>
              </w:rPr>
              <w:t>89.6</w:t>
            </w:r>
          </w:p>
        </w:tc>
        <w:tc>
          <w:tcPr>
            <w:tcW w:w="507" w:type="dxa"/>
            <w:tcBorders>
              <w:top w:val="nil"/>
              <w:left w:val="single" w:sz="4" w:space="0" w:color="auto"/>
              <w:bottom w:val="nil"/>
              <w:right w:val="single" w:sz="4" w:space="0" w:color="auto"/>
            </w:tcBorders>
            <w:vAlign w:val="center"/>
          </w:tcPr>
          <w:p w14:paraId="73E02F23" w14:textId="77777777" w:rsidR="00C342AC" w:rsidRPr="00C342AC" w:rsidRDefault="00C342AC" w:rsidP="00C342AC">
            <w:pPr>
              <w:tabs>
                <w:tab w:val="left" w:pos="1250"/>
              </w:tabs>
              <w:ind w:right="57"/>
              <w:jc w:val="right"/>
              <w:rPr>
                <w:sz w:val="12"/>
                <w:szCs w:val="12"/>
              </w:rPr>
            </w:pPr>
            <w:r w:rsidRPr="00C342AC">
              <w:rPr>
                <w:sz w:val="12"/>
                <w:szCs w:val="12"/>
              </w:rPr>
              <w:t>92.3</w:t>
            </w:r>
          </w:p>
        </w:tc>
        <w:tc>
          <w:tcPr>
            <w:tcW w:w="643" w:type="dxa"/>
            <w:tcBorders>
              <w:top w:val="nil"/>
              <w:left w:val="single" w:sz="4" w:space="0" w:color="auto"/>
              <w:bottom w:val="nil"/>
              <w:right w:val="single" w:sz="4" w:space="0" w:color="auto"/>
            </w:tcBorders>
            <w:vAlign w:val="center"/>
          </w:tcPr>
          <w:p w14:paraId="7A7D4434" w14:textId="77777777" w:rsidR="00C342AC" w:rsidRPr="00C342AC" w:rsidRDefault="00C342AC" w:rsidP="00C342AC">
            <w:pPr>
              <w:tabs>
                <w:tab w:val="left" w:pos="1250"/>
              </w:tabs>
              <w:ind w:right="57"/>
              <w:jc w:val="right"/>
              <w:rPr>
                <w:sz w:val="12"/>
                <w:szCs w:val="12"/>
              </w:rPr>
            </w:pPr>
            <w:r w:rsidRPr="00C342AC">
              <w:rPr>
                <w:sz w:val="12"/>
                <w:szCs w:val="12"/>
              </w:rPr>
              <w:t>88.2</w:t>
            </w:r>
          </w:p>
        </w:tc>
        <w:tc>
          <w:tcPr>
            <w:tcW w:w="554" w:type="dxa"/>
            <w:tcBorders>
              <w:top w:val="nil"/>
              <w:left w:val="single" w:sz="4" w:space="0" w:color="auto"/>
              <w:bottom w:val="nil"/>
              <w:right w:val="single" w:sz="4" w:space="0" w:color="auto"/>
            </w:tcBorders>
            <w:vAlign w:val="center"/>
          </w:tcPr>
          <w:p w14:paraId="32AE6DB6" w14:textId="77777777" w:rsidR="00C342AC" w:rsidRPr="00C342AC" w:rsidRDefault="00C342AC" w:rsidP="00C342AC">
            <w:pPr>
              <w:tabs>
                <w:tab w:val="left" w:pos="1250"/>
              </w:tabs>
              <w:ind w:right="57"/>
              <w:jc w:val="right"/>
              <w:rPr>
                <w:sz w:val="12"/>
                <w:szCs w:val="12"/>
              </w:rPr>
            </w:pPr>
            <w:r w:rsidRPr="00C342AC">
              <w:rPr>
                <w:sz w:val="12"/>
                <w:szCs w:val="12"/>
              </w:rPr>
              <w:t>90.0</w:t>
            </w:r>
          </w:p>
        </w:tc>
        <w:tc>
          <w:tcPr>
            <w:tcW w:w="568" w:type="dxa"/>
            <w:tcBorders>
              <w:top w:val="nil"/>
              <w:left w:val="single" w:sz="4" w:space="0" w:color="auto"/>
              <w:bottom w:val="nil"/>
              <w:right w:val="single" w:sz="4" w:space="0" w:color="auto"/>
            </w:tcBorders>
            <w:vAlign w:val="center"/>
          </w:tcPr>
          <w:p w14:paraId="68B3AB78" w14:textId="77777777" w:rsidR="00C342AC" w:rsidRPr="00C342AC" w:rsidRDefault="00C342AC" w:rsidP="00C342AC">
            <w:pPr>
              <w:tabs>
                <w:tab w:val="left" w:pos="1250"/>
              </w:tabs>
              <w:ind w:right="57"/>
              <w:jc w:val="right"/>
              <w:rPr>
                <w:sz w:val="12"/>
                <w:szCs w:val="12"/>
              </w:rPr>
            </w:pPr>
            <w:r w:rsidRPr="00C342AC">
              <w:rPr>
                <w:sz w:val="12"/>
                <w:szCs w:val="12"/>
              </w:rPr>
              <w:t>89.5</w:t>
            </w:r>
          </w:p>
        </w:tc>
        <w:tc>
          <w:tcPr>
            <w:tcW w:w="567" w:type="dxa"/>
            <w:tcBorders>
              <w:top w:val="nil"/>
              <w:left w:val="single" w:sz="4" w:space="0" w:color="auto"/>
              <w:bottom w:val="nil"/>
              <w:right w:val="single" w:sz="4" w:space="0" w:color="auto"/>
            </w:tcBorders>
            <w:vAlign w:val="center"/>
          </w:tcPr>
          <w:p w14:paraId="4FC5F7F4" w14:textId="77777777" w:rsidR="00C342AC" w:rsidRPr="00C342AC" w:rsidRDefault="00C342AC" w:rsidP="00C342AC">
            <w:pPr>
              <w:tabs>
                <w:tab w:val="left" w:pos="1250"/>
              </w:tabs>
              <w:ind w:right="57"/>
              <w:jc w:val="right"/>
              <w:rPr>
                <w:sz w:val="12"/>
                <w:szCs w:val="12"/>
              </w:rPr>
            </w:pPr>
            <w:r w:rsidRPr="00C342AC">
              <w:rPr>
                <w:sz w:val="12"/>
                <w:szCs w:val="12"/>
              </w:rPr>
              <w:t>92.2</w:t>
            </w:r>
          </w:p>
        </w:tc>
        <w:tc>
          <w:tcPr>
            <w:tcW w:w="589" w:type="dxa"/>
            <w:tcBorders>
              <w:top w:val="nil"/>
              <w:left w:val="single" w:sz="4" w:space="0" w:color="auto"/>
              <w:bottom w:val="nil"/>
              <w:right w:val="single" w:sz="4" w:space="0" w:color="auto"/>
            </w:tcBorders>
            <w:vAlign w:val="center"/>
          </w:tcPr>
          <w:p w14:paraId="78C631EA" w14:textId="77777777" w:rsidR="00C342AC" w:rsidRPr="00C342AC" w:rsidRDefault="00C342AC" w:rsidP="00C342AC">
            <w:pPr>
              <w:tabs>
                <w:tab w:val="left" w:pos="1250"/>
              </w:tabs>
              <w:ind w:right="57"/>
              <w:jc w:val="right"/>
              <w:rPr>
                <w:sz w:val="12"/>
                <w:szCs w:val="12"/>
              </w:rPr>
            </w:pPr>
            <w:r w:rsidRPr="00C342AC">
              <w:rPr>
                <w:sz w:val="12"/>
                <w:szCs w:val="12"/>
              </w:rPr>
              <w:t>86.9</w:t>
            </w:r>
          </w:p>
        </w:tc>
      </w:tr>
      <w:tr w:rsidR="00C342AC" w:rsidRPr="00C342AC" w14:paraId="540BD8CC" w14:textId="77777777" w:rsidTr="00082E99">
        <w:tc>
          <w:tcPr>
            <w:tcW w:w="2080" w:type="dxa"/>
            <w:tcBorders>
              <w:top w:val="nil"/>
              <w:left w:val="single" w:sz="4" w:space="0" w:color="auto"/>
              <w:bottom w:val="single" w:sz="4" w:space="0" w:color="auto"/>
              <w:right w:val="single" w:sz="4" w:space="0" w:color="auto"/>
            </w:tcBorders>
          </w:tcPr>
          <w:p w14:paraId="5281734C" w14:textId="77777777" w:rsidR="00C342AC" w:rsidRPr="00C342AC" w:rsidRDefault="00C342AC" w:rsidP="00C342AC">
            <w:pPr>
              <w:tabs>
                <w:tab w:val="left" w:pos="1250"/>
              </w:tabs>
              <w:ind w:left="170" w:hanging="170"/>
              <w:jc w:val="both"/>
              <w:rPr>
                <w:sz w:val="14"/>
                <w:szCs w:val="14"/>
              </w:rPr>
            </w:pPr>
            <w:r w:rsidRPr="00C342AC">
              <w:rPr>
                <w:sz w:val="14"/>
                <w:lang w:eastAsia="es-MX"/>
              </w:rPr>
              <w:t xml:space="preserve">5. </w:t>
            </w:r>
            <w:r w:rsidRPr="00C342AC">
              <w:rPr>
                <w:rFonts w:eastAsia="Times New Roman"/>
                <w:sz w:val="14"/>
                <w:lang w:eastAsia="es-MX"/>
              </w:rPr>
              <w:t>Posibilidades en el momento actual de los integrantes del hogar comparadas con las de hace un año, para realizar compras, tales como muebles, televisor, lavadora y otros aparatos electrodomésticos.</w:t>
            </w:r>
          </w:p>
        </w:tc>
        <w:tc>
          <w:tcPr>
            <w:tcW w:w="557" w:type="dxa"/>
            <w:tcBorders>
              <w:top w:val="nil"/>
              <w:left w:val="single" w:sz="4" w:space="0" w:color="auto"/>
              <w:bottom w:val="single" w:sz="4" w:space="0" w:color="auto"/>
              <w:right w:val="single" w:sz="4" w:space="0" w:color="auto"/>
            </w:tcBorders>
            <w:vAlign w:val="center"/>
          </w:tcPr>
          <w:p w14:paraId="4B3110A9" w14:textId="77777777" w:rsidR="00C342AC" w:rsidRPr="00C342AC" w:rsidRDefault="00C342AC" w:rsidP="00C342AC">
            <w:pPr>
              <w:tabs>
                <w:tab w:val="left" w:pos="1250"/>
              </w:tabs>
              <w:ind w:right="57"/>
              <w:jc w:val="right"/>
              <w:rPr>
                <w:sz w:val="12"/>
                <w:szCs w:val="12"/>
              </w:rPr>
            </w:pPr>
            <w:r w:rsidRPr="00C342AC">
              <w:rPr>
                <w:sz w:val="12"/>
                <w:szCs w:val="12"/>
              </w:rPr>
              <w:t>60.0</w:t>
            </w:r>
          </w:p>
        </w:tc>
        <w:tc>
          <w:tcPr>
            <w:tcW w:w="549" w:type="dxa"/>
            <w:tcBorders>
              <w:top w:val="nil"/>
              <w:left w:val="single" w:sz="4" w:space="0" w:color="auto"/>
              <w:bottom w:val="single" w:sz="4" w:space="0" w:color="auto"/>
              <w:right w:val="single" w:sz="4" w:space="0" w:color="auto"/>
            </w:tcBorders>
            <w:vAlign w:val="center"/>
          </w:tcPr>
          <w:p w14:paraId="34590C5F" w14:textId="77777777" w:rsidR="00C342AC" w:rsidRPr="00C342AC" w:rsidRDefault="00C342AC" w:rsidP="00C342AC">
            <w:pPr>
              <w:tabs>
                <w:tab w:val="left" w:pos="1250"/>
              </w:tabs>
              <w:ind w:right="57"/>
              <w:jc w:val="right"/>
              <w:rPr>
                <w:sz w:val="12"/>
                <w:szCs w:val="12"/>
              </w:rPr>
            </w:pPr>
            <w:r w:rsidRPr="00C342AC">
              <w:rPr>
                <w:sz w:val="12"/>
                <w:szCs w:val="12"/>
              </w:rPr>
              <w:t>73.0</w:t>
            </w:r>
          </w:p>
        </w:tc>
        <w:tc>
          <w:tcPr>
            <w:tcW w:w="569" w:type="dxa"/>
            <w:tcBorders>
              <w:top w:val="nil"/>
              <w:left w:val="single" w:sz="4" w:space="0" w:color="auto"/>
              <w:bottom w:val="single" w:sz="4" w:space="0" w:color="auto"/>
              <w:right w:val="single" w:sz="4" w:space="0" w:color="auto"/>
            </w:tcBorders>
            <w:vAlign w:val="center"/>
          </w:tcPr>
          <w:p w14:paraId="573C5E58" w14:textId="77777777" w:rsidR="00C342AC" w:rsidRPr="00C342AC" w:rsidRDefault="00C342AC" w:rsidP="00C342AC">
            <w:pPr>
              <w:tabs>
                <w:tab w:val="left" w:pos="1250"/>
              </w:tabs>
              <w:ind w:right="57"/>
              <w:jc w:val="right"/>
              <w:rPr>
                <w:sz w:val="12"/>
                <w:szCs w:val="12"/>
              </w:rPr>
            </w:pPr>
            <w:r w:rsidRPr="00C342AC">
              <w:rPr>
                <w:sz w:val="12"/>
                <w:szCs w:val="12"/>
              </w:rPr>
              <w:t>76.8</w:t>
            </w:r>
          </w:p>
        </w:tc>
        <w:tc>
          <w:tcPr>
            <w:tcW w:w="570" w:type="dxa"/>
            <w:tcBorders>
              <w:top w:val="nil"/>
              <w:left w:val="single" w:sz="4" w:space="0" w:color="auto"/>
              <w:bottom w:val="single" w:sz="4" w:space="0" w:color="auto"/>
              <w:right w:val="single" w:sz="4" w:space="0" w:color="auto"/>
            </w:tcBorders>
            <w:vAlign w:val="center"/>
          </w:tcPr>
          <w:p w14:paraId="41FC3AE6" w14:textId="77777777" w:rsidR="00C342AC" w:rsidRPr="00C342AC" w:rsidRDefault="00C342AC" w:rsidP="00C342AC">
            <w:pPr>
              <w:tabs>
                <w:tab w:val="left" w:pos="1250"/>
              </w:tabs>
              <w:ind w:right="57"/>
              <w:jc w:val="right"/>
              <w:rPr>
                <w:sz w:val="12"/>
                <w:szCs w:val="12"/>
              </w:rPr>
            </w:pPr>
            <w:r w:rsidRPr="00C342AC">
              <w:rPr>
                <w:sz w:val="12"/>
                <w:szCs w:val="12"/>
              </w:rPr>
              <w:t>77.8</w:t>
            </w:r>
          </w:p>
        </w:tc>
        <w:tc>
          <w:tcPr>
            <w:tcW w:w="567" w:type="dxa"/>
            <w:tcBorders>
              <w:top w:val="nil"/>
              <w:left w:val="single" w:sz="4" w:space="0" w:color="auto"/>
              <w:bottom w:val="single" w:sz="4" w:space="0" w:color="auto"/>
              <w:right w:val="single" w:sz="4" w:space="0" w:color="auto"/>
            </w:tcBorders>
            <w:vAlign w:val="center"/>
          </w:tcPr>
          <w:p w14:paraId="046C56BC" w14:textId="77777777" w:rsidR="00C342AC" w:rsidRPr="00C342AC" w:rsidRDefault="00C342AC" w:rsidP="00C342AC">
            <w:pPr>
              <w:tabs>
                <w:tab w:val="left" w:pos="1250"/>
              </w:tabs>
              <w:ind w:right="57"/>
              <w:jc w:val="right"/>
              <w:rPr>
                <w:sz w:val="12"/>
                <w:szCs w:val="12"/>
              </w:rPr>
            </w:pPr>
            <w:r w:rsidRPr="00C342AC">
              <w:rPr>
                <w:sz w:val="12"/>
                <w:szCs w:val="12"/>
              </w:rPr>
              <w:t>76.7</w:t>
            </w:r>
          </w:p>
        </w:tc>
        <w:tc>
          <w:tcPr>
            <w:tcW w:w="583" w:type="dxa"/>
            <w:tcBorders>
              <w:top w:val="nil"/>
              <w:left w:val="single" w:sz="4" w:space="0" w:color="auto"/>
              <w:bottom w:val="single" w:sz="4" w:space="0" w:color="auto"/>
              <w:right w:val="single" w:sz="4" w:space="0" w:color="auto"/>
            </w:tcBorders>
            <w:vAlign w:val="center"/>
          </w:tcPr>
          <w:p w14:paraId="4B482138" w14:textId="77777777" w:rsidR="00C342AC" w:rsidRPr="00C342AC" w:rsidRDefault="00C342AC" w:rsidP="00C342AC">
            <w:pPr>
              <w:tabs>
                <w:tab w:val="left" w:pos="1250"/>
              </w:tabs>
              <w:ind w:right="57"/>
              <w:jc w:val="right"/>
              <w:rPr>
                <w:sz w:val="12"/>
                <w:szCs w:val="12"/>
              </w:rPr>
            </w:pPr>
            <w:r w:rsidRPr="00C342AC">
              <w:rPr>
                <w:sz w:val="12"/>
                <w:szCs w:val="12"/>
              </w:rPr>
              <w:t>79.6</w:t>
            </w:r>
          </w:p>
        </w:tc>
        <w:tc>
          <w:tcPr>
            <w:tcW w:w="573" w:type="dxa"/>
            <w:tcBorders>
              <w:top w:val="nil"/>
              <w:left w:val="single" w:sz="4" w:space="0" w:color="auto"/>
              <w:bottom w:val="single" w:sz="4" w:space="0" w:color="auto"/>
              <w:right w:val="single" w:sz="4" w:space="0" w:color="auto"/>
            </w:tcBorders>
            <w:vAlign w:val="center"/>
          </w:tcPr>
          <w:p w14:paraId="292F40A7" w14:textId="77777777" w:rsidR="00C342AC" w:rsidRPr="00C342AC" w:rsidRDefault="00C342AC" w:rsidP="00C342AC">
            <w:pPr>
              <w:tabs>
                <w:tab w:val="left" w:pos="1250"/>
              </w:tabs>
              <w:ind w:right="57"/>
              <w:jc w:val="right"/>
              <w:rPr>
                <w:sz w:val="12"/>
                <w:szCs w:val="12"/>
              </w:rPr>
            </w:pPr>
            <w:r w:rsidRPr="00C342AC">
              <w:rPr>
                <w:sz w:val="12"/>
                <w:szCs w:val="12"/>
              </w:rPr>
              <w:t>73.7</w:t>
            </w:r>
          </w:p>
        </w:tc>
        <w:tc>
          <w:tcPr>
            <w:tcW w:w="507" w:type="dxa"/>
            <w:tcBorders>
              <w:top w:val="nil"/>
              <w:left w:val="single" w:sz="4" w:space="0" w:color="auto"/>
              <w:bottom w:val="single" w:sz="4" w:space="0" w:color="auto"/>
              <w:right w:val="single" w:sz="4" w:space="0" w:color="auto"/>
            </w:tcBorders>
            <w:vAlign w:val="center"/>
          </w:tcPr>
          <w:p w14:paraId="14D0224F" w14:textId="77777777" w:rsidR="00C342AC" w:rsidRPr="00C342AC" w:rsidRDefault="00C342AC" w:rsidP="00C342AC">
            <w:pPr>
              <w:tabs>
                <w:tab w:val="left" w:pos="1250"/>
              </w:tabs>
              <w:ind w:right="57"/>
              <w:jc w:val="right"/>
              <w:rPr>
                <w:sz w:val="12"/>
                <w:szCs w:val="12"/>
              </w:rPr>
            </w:pPr>
            <w:r w:rsidRPr="00C342AC">
              <w:rPr>
                <w:sz w:val="12"/>
                <w:szCs w:val="12"/>
              </w:rPr>
              <w:t>77.6</w:t>
            </w:r>
          </w:p>
        </w:tc>
        <w:tc>
          <w:tcPr>
            <w:tcW w:w="643" w:type="dxa"/>
            <w:tcBorders>
              <w:top w:val="nil"/>
              <w:left w:val="single" w:sz="4" w:space="0" w:color="auto"/>
              <w:bottom w:val="single" w:sz="4" w:space="0" w:color="auto"/>
              <w:right w:val="single" w:sz="4" w:space="0" w:color="auto"/>
            </w:tcBorders>
            <w:vAlign w:val="center"/>
          </w:tcPr>
          <w:p w14:paraId="0FC0E9CC" w14:textId="77777777" w:rsidR="00C342AC" w:rsidRPr="00C342AC" w:rsidRDefault="00C342AC" w:rsidP="00C342AC">
            <w:pPr>
              <w:tabs>
                <w:tab w:val="left" w:pos="1250"/>
              </w:tabs>
              <w:ind w:right="57"/>
              <w:jc w:val="right"/>
              <w:rPr>
                <w:sz w:val="12"/>
                <w:szCs w:val="12"/>
              </w:rPr>
            </w:pPr>
            <w:r w:rsidRPr="00C342AC">
              <w:rPr>
                <w:sz w:val="12"/>
                <w:szCs w:val="12"/>
              </w:rPr>
              <w:t>77.1</w:t>
            </w:r>
          </w:p>
        </w:tc>
        <w:tc>
          <w:tcPr>
            <w:tcW w:w="554" w:type="dxa"/>
            <w:tcBorders>
              <w:top w:val="nil"/>
              <w:left w:val="single" w:sz="4" w:space="0" w:color="auto"/>
              <w:bottom w:val="single" w:sz="4" w:space="0" w:color="auto"/>
              <w:right w:val="single" w:sz="4" w:space="0" w:color="auto"/>
            </w:tcBorders>
            <w:vAlign w:val="center"/>
          </w:tcPr>
          <w:p w14:paraId="76D5FA51" w14:textId="77777777" w:rsidR="00C342AC" w:rsidRPr="00C342AC" w:rsidRDefault="00C342AC" w:rsidP="00C342AC">
            <w:pPr>
              <w:tabs>
                <w:tab w:val="left" w:pos="1250"/>
              </w:tabs>
              <w:ind w:right="57"/>
              <w:jc w:val="right"/>
              <w:rPr>
                <w:sz w:val="12"/>
                <w:szCs w:val="12"/>
              </w:rPr>
            </w:pPr>
            <w:r w:rsidRPr="00C342AC">
              <w:rPr>
                <w:sz w:val="12"/>
                <w:szCs w:val="12"/>
              </w:rPr>
              <w:t>85.5</w:t>
            </w:r>
          </w:p>
        </w:tc>
        <w:tc>
          <w:tcPr>
            <w:tcW w:w="568" w:type="dxa"/>
            <w:tcBorders>
              <w:top w:val="nil"/>
              <w:left w:val="single" w:sz="4" w:space="0" w:color="auto"/>
              <w:bottom w:val="single" w:sz="4" w:space="0" w:color="auto"/>
              <w:right w:val="single" w:sz="4" w:space="0" w:color="auto"/>
            </w:tcBorders>
            <w:vAlign w:val="center"/>
          </w:tcPr>
          <w:p w14:paraId="09F0F302" w14:textId="77777777" w:rsidR="00C342AC" w:rsidRPr="00C342AC" w:rsidRDefault="00C342AC" w:rsidP="00C342AC">
            <w:pPr>
              <w:tabs>
                <w:tab w:val="left" w:pos="1250"/>
              </w:tabs>
              <w:ind w:right="57"/>
              <w:jc w:val="right"/>
              <w:rPr>
                <w:sz w:val="12"/>
                <w:szCs w:val="12"/>
              </w:rPr>
            </w:pPr>
            <w:r w:rsidRPr="00C342AC">
              <w:rPr>
                <w:sz w:val="12"/>
                <w:szCs w:val="12"/>
              </w:rPr>
              <w:t>87.1</w:t>
            </w:r>
          </w:p>
        </w:tc>
        <w:tc>
          <w:tcPr>
            <w:tcW w:w="567" w:type="dxa"/>
            <w:tcBorders>
              <w:top w:val="nil"/>
              <w:left w:val="single" w:sz="4" w:space="0" w:color="auto"/>
              <w:bottom w:val="single" w:sz="4" w:space="0" w:color="auto"/>
              <w:right w:val="single" w:sz="4" w:space="0" w:color="auto"/>
            </w:tcBorders>
            <w:vAlign w:val="center"/>
          </w:tcPr>
          <w:p w14:paraId="7BA757AF" w14:textId="77777777" w:rsidR="00C342AC" w:rsidRPr="00C342AC" w:rsidRDefault="00C342AC" w:rsidP="00C342AC">
            <w:pPr>
              <w:tabs>
                <w:tab w:val="left" w:pos="1250"/>
              </w:tabs>
              <w:ind w:right="57"/>
              <w:jc w:val="right"/>
              <w:rPr>
                <w:sz w:val="12"/>
                <w:szCs w:val="12"/>
              </w:rPr>
            </w:pPr>
            <w:r w:rsidRPr="00C342AC">
              <w:rPr>
                <w:sz w:val="12"/>
                <w:szCs w:val="12"/>
              </w:rPr>
              <w:t>75.6</w:t>
            </w:r>
          </w:p>
        </w:tc>
        <w:tc>
          <w:tcPr>
            <w:tcW w:w="589" w:type="dxa"/>
            <w:tcBorders>
              <w:top w:val="nil"/>
              <w:left w:val="single" w:sz="4" w:space="0" w:color="auto"/>
              <w:bottom w:val="single" w:sz="4" w:space="0" w:color="auto"/>
              <w:right w:val="single" w:sz="4" w:space="0" w:color="auto"/>
            </w:tcBorders>
            <w:vAlign w:val="center"/>
          </w:tcPr>
          <w:p w14:paraId="5DDBCB1C" w14:textId="77777777" w:rsidR="00C342AC" w:rsidRPr="00C342AC" w:rsidRDefault="00C342AC" w:rsidP="00C342AC">
            <w:pPr>
              <w:tabs>
                <w:tab w:val="left" w:pos="1250"/>
              </w:tabs>
              <w:ind w:right="57"/>
              <w:jc w:val="right"/>
              <w:rPr>
                <w:sz w:val="12"/>
                <w:szCs w:val="12"/>
              </w:rPr>
            </w:pPr>
            <w:r w:rsidRPr="00C342AC">
              <w:rPr>
                <w:sz w:val="12"/>
                <w:szCs w:val="12"/>
              </w:rPr>
              <w:t>81.1</w:t>
            </w:r>
          </w:p>
        </w:tc>
      </w:tr>
    </w:tbl>
    <w:p w14:paraId="6588EBF7" w14:textId="77777777" w:rsidR="00C342AC" w:rsidRPr="00C342AC" w:rsidRDefault="00C342AC" w:rsidP="00C342AC">
      <w:pPr>
        <w:spacing w:after="360" w:line="360" w:lineRule="auto"/>
        <w:ind w:right="-159"/>
        <w:jc w:val="both"/>
        <w:rPr>
          <w:rFonts w:eastAsia="Times New Roman"/>
          <w:sz w:val="18"/>
          <w:szCs w:val="18"/>
        </w:rPr>
      </w:pPr>
      <w:r w:rsidRPr="00C342AC">
        <w:rPr>
          <w:rFonts w:eastAsia="Times New Roman"/>
          <w:sz w:val="18"/>
          <w:szCs w:val="18"/>
        </w:rPr>
        <w:t>FUENTE: INEGI.</w:t>
      </w:r>
    </w:p>
    <w:p w14:paraId="50D1451C" w14:textId="77777777" w:rsidR="00C342AC" w:rsidRPr="00C342AC" w:rsidRDefault="00C342AC" w:rsidP="00C342AC">
      <w:pPr>
        <w:spacing w:after="360" w:line="360" w:lineRule="auto"/>
        <w:ind w:right="-159"/>
        <w:jc w:val="both"/>
        <w:rPr>
          <w:rFonts w:eastAsia="Times New Roman"/>
          <w:sz w:val="26"/>
          <w:szCs w:val="26"/>
        </w:rPr>
      </w:pPr>
      <w:r w:rsidRPr="00C342AC">
        <w:rPr>
          <w:rFonts w:eastAsia="Times New Roman"/>
          <w:sz w:val="26"/>
          <w:szCs w:val="26"/>
        </w:rPr>
        <w:t>En particular, el comportamiento de los cinco componentes parciales que se integran para medir el Índice de Confianza del Consumidor durante el segundo mes de 2015 fue el siguiente:</w:t>
      </w:r>
    </w:p>
    <w:p w14:paraId="07552FF9" w14:textId="1ACE5E9E" w:rsidR="00C342AC" w:rsidRPr="00C342AC" w:rsidRDefault="00C342AC" w:rsidP="00276F3E">
      <w:pPr>
        <w:numPr>
          <w:ilvl w:val="0"/>
          <w:numId w:val="76"/>
        </w:numPr>
        <w:spacing w:after="360" w:line="360" w:lineRule="auto"/>
        <w:ind w:right="-159"/>
        <w:jc w:val="both"/>
        <w:rPr>
          <w:rFonts w:eastAsia="Times New Roman"/>
          <w:sz w:val="26"/>
          <w:szCs w:val="26"/>
        </w:rPr>
      </w:pPr>
      <w:r w:rsidRPr="00C342AC">
        <w:rPr>
          <w:rFonts w:eastAsia="Times New Roman"/>
          <w:sz w:val="26"/>
          <w:szCs w:val="26"/>
        </w:rPr>
        <w:t>El rubro que mide la situación económica de los integrantes del hogar en el momento actual, con relación a la que tenían hace doce meses</w:t>
      </w:r>
      <w:r w:rsidR="00BC772A">
        <w:rPr>
          <w:rFonts w:eastAsia="Times New Roman"/>
          <w:sz w:val="26"/>
          <w:szCs w:val="26"/>
        </w:rPr>
        <w:t>,</w:t>
      </w:r>
      <w:r w:rsidRPr="00C342AC">
        <w:rPr>
          <w:rFonts w:eastAsia="Times New Roman"/>
          <w:sz w:val="26"/>
          <w:szCs w:val="26"/>
        </w:rPr>
        <w:t xml:space="preserve"> mostró en febrero de 2015 un avance anual de 4.7%, al colocarse en 96.7 puntos.</w:t>
      </w:r>
    </w:p>
    <w:p w14:paraId="6A1E0D0A" w14:textId="77777777" w:rsidR="00C342AC" w:rsidRPr="00C342AC" w:rsidRDefault="00C342AC" w:rsidP="00C342AC">
      <w:pPr>
        <w:spacing w:after="360" w:line="360" w:lineRule="auto"/>
        <w:ind w:left="641" w:right="-159"/>
        <w:jc w:val="center"/>
        <w:rPr>
          <w:rFonts w:eastAsia="Times New Roman"/>
          <w:sz w:val="26"/>
          <w:szCs w:val="26"/>
        </w:rPr>
      </w:pPr>
      <w:r w:rsidRPr="00C342AC">
        <w:lastRenderedPageBreak/>
        <w:fldChar w:fldCharType="begin"/>
      </w:r>
      <w:r w:rsidRPr="00C342AC">
        <w:instrText xml:space="preserve"> LINK PowerPoint.Slide.8 "D:\\2015\\MARZO 2014\\GRÁFICAS EN POWER POINT\\16.- GRÁFICAS DEL ÍNDICE DE CONFIANZA DEL CONSUMIDOR.pptx!259" "" \a \p </w:instrText>
      </w:r>
      <w:r w:rsidRPr="00C342AC">
        <w:fldChar w:fldCharType="separate"/>
      </w:r>
      <w:r w:rsidRPr="00C342AC">
        <w:rPr>
          <w:noProof/>
          <w:lang w:eastAsia="es-MX"/>
        </w:rPr>
        <w:drawing>
          <wp:inline distT="0" distB="0" distL="0" distR="0" wp14:anchorId="4221519F" wp14:editId="13450806">
            <wp:extent cx="4646295" cy="3429000"/>
            <wp:effectExtent l="0" t="0" r="1905" b="0"/>
            <wp:docPr id="162" name="Imagen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1"/>
                    <pic:cNvPicPr>
                      <a:picLocks noChangeAspect="1" noChangeArrowheads="1"/>
                    </pic:cNvPicPr>
                  </pic:nvPicPr>
                  <pic:blipFill>
                    <a:blip r:embed="rId179" cstate="print">
                      <a:extLst>
                        <a:ext uri="{28A0092B-C50C-407E-A947-70E740481C1C}">
                          <a14:useLocalDpi xmlns:a14="http://schemas.microsoft.com/office/drawing/2010/main" val="0"/>
                        </a:ext>
                      </a:extLst>
                    </a:blip>
                    <a:srcRect l="11267" r="12363"/>
                    <a:stretch>
                      <a:fillRect/>
                    </a:stretch>
                  </pic:blipFill>
                  <pic:spPr bwMode="auto">
                    <a:xfrm>
                      <a:off x="0" y="0"/>
                      <a:ext cx="4646295" cy="3429000"/>
                    </a:xfrm>
                    <a:prstGeom prst="rect">
                      <a:avLst/>
                    </a:prstGeom>
                    <a:noFill/>
                    <a:ln>
                      <a:noFill/>
                    </a:ln>
                  </pic:spPr>
                </pic:pic>
              </a:graphicData>
            </a:graphic>
          </wp:inline>
        </w:drawing>
      </w:r>
      <w:r w:rsidRPr="00C342AC">
        <w:fldChar w:fldCharType="end"/>
      </w:r>
    </w:p>
    <w:p w14:paraId="1DE73192" w14:textId="77777777" w:rsidR="00C342AC" w:rsidRPr="00C342AC" w:rsidRDefault="00C342AC" w:rsidP="00276F3E">
      <w:pPr>
        <w:numPr>
          <w:ilvl w:val="0"/>
          <w:numId w:val="76"/>
        </w:numPr>
        <w:spacing w:after="360" w:line="360" w:lineRule="auto"/>
        <w:ind w:right="-159"/>
        <w:jc w:val="both"/>
        <w:rPr>
          <w:rFonts w:eastAsia="Times New Roman"/>
          <w:sz w:val="26"/>
          <w:szCs w:val="26"/>
        </w:rPr>
      </w:pPr>
      <w:r w:rsidRPr="00C342AC">
        <w:rPr>
          <w:rFonts w:eastAsia="Times New Roman"/>
          <w:sz w:val="26"/>
          <w:szCs w:val="26"/>
        </w:rPr>
        <w:t xml:space="preserve">En el segundo mes del año en curso, el indicador que capta la situación económica que se espera para los miembros del hogar dentro de doce meses, respecto a la que registran en el momento actual se situó en 100.5 puntos, cifra 3.2% superior al nivel reportado en igual mes de 2014. </w:t>
      </w:r>
    </w:p>
    <w:p w14:paraId="496567F5" w14:textId="77777777" w:rsidR="00C342AC" w:rsidRPr="00C342AC" w:rsidRDefault="00C342AC" w:rsidP="00C342AC">
      <w:pPr>
        <w:spacing w:after="360" w:line="360" w:lineRule="auto"/>
        <w:ind w:left="720" w:right="-159"/>
        <w:jc w:val="center"/>
        <w:rPr>
          <w:rFonts w:eastAsia="Times New Roman"/>
          <w:sz w:val="26"/>
          <w:szCs w:val="26"/>
        </w:rPr>
      </w:pPr>
      <w:r w:rsidRPr="00C342AC">
        <w:lastRenderedPageBreak/>
        <w:fldChar w:fldCharType="begin"/>
      </w:r>
      <w:r w:rsidRPr="00C342AC">
        <w:instrText xml:space="preserve"> LINK PowerPoint.Slide.8 "D:\\2015\\MARZO 2014\\GRÁFICAS EN POWER POINT\\16.- GRÁFICAS DEL ÍNDICE DE CONFIANZA DEL CONSUMIDOR.pptx!260" "" \a \p </w:instrText>
      </w:r>
      <w:r w:rsidRPr="00C342AC">
        <w:fldChar w:fldCharType="separate"/>
      </w:r>
      <w:r w:rsidRPr="00C342AC">
        <w:rPr>
          <w:noProof/>
          <w:lang w:eastAsia="es-MX"/>
        </w:rPr>
        <w:drawing>
          <wp:inline distT="0" distB="0" distL="0" distR="0" wp14:anchorId="5A5177B0" wp14:editId="02698CE8">
            <wp:extent cx="4676775" cy="3429000"/>
            <wp:effectExtent l="0" t="0" r="9525" b="0"/>
            <wp:docPr id="163" name="Imagen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3"/>
                    <pic:cNvPicPr>
                      <a:picLocks noChangeAspect="1" noChangeArrowheads="1"/>
                    </pic:cNvPicPr>
                  </pic:nvPicPr>
                  <pic:blipFill>
                    <a:blip r:embed="rId180" cstate="print">
                      <a:extLst>
                        <a:ext uri="{28A0092B-C50C-407E-A947-70E740481C1C}">
                          <a14:useLocalDpi xmlns:a14="http://schemas.microsoft.com/office/drawing/2010/main" val="0"/>
                        </a:ext>
                      </a:extLst>
                    </a:blip>
                    <a:srcRect l="10641" r="12520"/>
                    <a:stretch>
                      <a:fillRect/>
                    </a:stretch>
                  </pic:blipFill>
                  <pic:spPr bwMode="auto">
                    <a:xfrm>
                      <a:off x="0" y="0"/>
                      <a:ext cx="4676775" cy="3429000"/>
                    </a:xfrm>
                    <a:prstGeom prst="rect">
                      <a:avLst/>
                    </a:prstGeom>
                    <a:noFill/>
                    <a:ln>
                      <a:noFill/>
                    </a:ln>
                  </pic:spPr>
                </pic:pic>
              </a:graphicData>
            </a:graphic>
          </wp:inline>
        </w:drawing>
      </w:r>
      <w:r w:rsidRPr="00C342AC">
        <w:fldChar w:fldCharType="end"/>
      </w:r>
    </w:p>
    <w:p w14:paraId="52520B81" w14:textId="43ED3645" w:rsidR="00C342AC" w:rsidRPr="00C342AC" w:rsidRDefault="00C342AC" w:rsidP="00276F3E">
      <w:pPr>
        <w:numPr>
          <w:ilvl w:val="0"/>
          <w:numId w:val="76"/>
        </w:numPr>
        <w:spacing w:after="360" w:line="360" w:lineRule="auto"/>
        <w:ind w:right="-159"/>
        <w:jc w:val="both"/>
        <w:rPr>
          <w:rFonts w:eastAsia="Times New Roman"/>
          <w:sz w:val="26"/>
          <w:szCs w:val="26"/>
        </w:rPr>
      </w:pPr>
      <w:r w:rsidRPr="00C342AC">
        <w:rPr>
          <w:rFonts w:eastAsia="Times New Roman"/>
          <w:sz w:val="26"/>
          <w:szCs w:val="26"/>
        </w:rPr>
        <w:t>El componente que refleja la situación económica del país hoy en día, comparada con la que prevaleció hace doce meses</w:t>
      </w:r>
      <w:r w:rsidR="00AF5CB1">
        <w:rPr>
          <w:rFonts w:eastAsia="Times New Roman"/>
          <w:sz w:val="26"/>
          <w:szCs w:val="26"/>
        </w:rPr>
        <w:t>,</w:t>
      </w:r>
      <w:r w:rsidRPr="00C342AC">
        <w:rPr>
          <w:rFonts w:eastAsia="Times New Roman"/>
          <w:sz w:val="26"/>
          <w:szCs w:val="26"/>
        </w:rPr>
        <w:t xml:space="preserve"> presentó en febrero de 2015 un incremento anual de 0.8%, al ubicarse en 86.1 puntos.</w:t>
      </w:r>
    </w:p>
    <w:p w14:paraId="3090241D" w14:textId="77777777" w:rsidR="00C342AC" w:rsidRPr="00C342AC" w:rsidRDefault="00C342AC" w:rsidP="00C342AC">
      <w:pPr>
        <w:spacing w:after="360" w:line="360" w:lineRule="auto"/>
        <w:ind w:left="641" w:right="-159"/>
        <w:jc w:val="center"/>
        <w:rPr>
          <w:rFonts w:eastAsia="Times New Roman"/>
          <w:sz w:val="26"/>
          <w:szCs w:val="26"/>
        </w:rPr>
      </w:pPr>
      <w:r w:rsidRPr="00C342AC">
        <w:fldChar w:fldCharType="begin"/>
      </w:r>
      <w:r w:rsidRPr="00C342AC">
        <w:instrText xml:space="preserve"> LINK PowerPoint.Slide.8 "D:\\2015\\MARZO 2014\\GRÁFICAS EN POWER POINT\\16.- GRÁFICAS DEL ÍNDICE DE CONFIANZA DEL CONSUMIDOR.pptx!261" "" \a \p </w:instrText>
      </w:r>
      <w:r w:rsidRPr="00C342AC">
        <w:fldChar w:fldCharType="separate"/>
      </w:r>
      <w:r w:rsidRPr="00C342AC">
        <w:rPr>
          <w:noProof/>
          <w:lang w:eastAsia="es-MX"/>
        </w:rPr>
        <w:drawing>
          <wp:inline distT="0" distB="0" distL="0" distR="0" wp14:anchorId="264F5E53" wp14:editId="4DE258EA">
            <wp:extent cx="4572000" cy="3317875"/>
            <wp:effectExtent l="0" t="0" r="0" b="0"/>
            <wp:docPr id="164" name="Imagen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5"/>
                    <pic:cNvPicPr>
                      <a:picLocks noChangeAspect="1" noChangeArrowheads="1"/>
                    </pic:cNvPicPr>
                  </pic:nvPicPr>
                  <pic:blipFill>
                    <a:blip r:embed="rId181" cstate="print">
                      <a:extLst>
                        <a:ext uri="{28A0092B-C50C-407E-A947-70E740481C1C}">
                          <a14:useLocalDpi xmlns:a14="http://schemas.microsoft.com/office/drawing/2010/main" val="0"/>
                        </a:ext>
                      </a:extLst>
                    </a:blip>
                    <a:srcRect l="11737" t="3334" r="13145"/>
                    <a:stretch>
                      <a:fillRect/>
                    </a:stretch>
                  </pic:blipFill>
                  <pic:spPr bwMode="auto">
                    <a:xfrm>
                      <a:off x="0" y="0"/>
                      <a:ext cx="4572000" cy="3317875"/>
                    </a:xfrm>
                    <a:prstGeom prst="rect">
                      <a:avLst/>
                    </a:prstGeom>
                    <a:noFill/>
                    <a:ln>
                      <a:noFill/>
                    </a:ln>
                  </pic:spPr>
                </pic:pic>
              </a:graphicData>
            </a:graphic>
          </wp:inline>
        </w:drawing>
      </w:r>
      <w:r w:rsidRPr="00C342AC">
        <w:fldChar w:fldCharType="end"/>
      </w:r>
    </w:p>
    <w:p w14:paraId="24C6349E" w14:textId="77777777" w:rsidR="00C342AC" w:rsidRPr="00C342AC" w:rsidRDefault="00C342AC" w:rsidP="00276F3E">
      <w:pPr>
        <w:numPr>
          <w:ilvl w:val="0"/>
          <w:numId w:val="76"/>
        </w:numPr>
        <w:spacing w:after="360" w:line="360" w:lineRule="auto"/>
        <w:ind w:right="-159"/>
        <w:jc w:val="both"/>
        <w:rPr>
          <w:rFonts w:eastAsia="Times New Roman"/>
          <w:sz w:val="26"/>
          <w:szCs w:val="26"/>
        </w:rPr>
      </w:pPr>
      <w:r w:rsidRPr="00C342AC">
        <w:rPr>
          <w:rFonts w:eastAsia="Times New Roman"/>
          <w:sz w:val="26"/>
          <w:szCs w:val="26"/>
        </w:rPr>
        <w:lastRenderedPageBreak/>
        <w:t>En el mes de referencia, el indicador que evalúa la percepción de los consumidores sobre la situación económica del país dentro de doce meses, respecto a la actual se situó en 86.9 puntos, lo cual significó un descenso anual de 0.6 por ciento.</w:t>
      </w:r>
    </w:p>
    <w:p w14:paraId="62DD6132" w14:textId="77777777" w:rsidR="00C342AC" w:rsidRPr="00C342AC" w:rsidRDefault="00C342AC" w:rsidP="00C342AC">
      <w:pPr>
        <w:spacing w:after="360" w:line="360" w:lineRule="auto"/>
        <w:ind w:left="641" w:right="-159"/>
        <w:jc w:val="center"/>
        <w:rPr>
          <w:rFonts w:eastAsia="Times New Roman"/>
          <w:sz w:val="26"/>
          <w:szCs w:val="26"/>
        </w:rPr>
      </w:pPr>
      <w:r w:rsidRPr="00C342AC">
        <w:fldChar w:fldCharType="begin"/>
      </w:r>
      <w:r w:rsidRPr="00C342AC">
        <w:instrText xml:space="preserve"> LINK PowerPoint.Slide.8 "D:\\2015\\MARZO 2014\\GRÁFICAS EN POWER POINT\\16.- GRÁFICAS DEL ÍNDICE DE CONFIANZA DEL CONSUMIDOR.pptx!262" "" \a \p </w:instrText>
      </w:r>
      <w:r w:rsidRPr="00C342AC">
        <w:fldChar w:fldCharType="separate"/>
      </w:r>
      <w:r w:rsidRPr="00C342AC">
        <w:rPr>
          <w:noProof/>
          <w:lang w:eastAsia="es-MX"/>
        </w:rPr>
        <w:drawing>
          <wp:inline distT="0" distB="0" distL="0" distR="0" wp14:anchorId="7F79F3C7" wp14:editId="048A1348">
            <wp:extent cx="4646295" cy="3429000"/>
            <wp:effectExtent l="0" t="0" r="1905" b="0"/>
            <wp:docPr id="165" name="Imagen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7"/>
                    <pic:cNvPicPr>
                      <a:picLocks noChangeAspect="1" noChangeArrowheads="1"/>
                    </pic:cNvPicPr>
                  </pic:nvPicPr>
                  <pic:blipFill>
                    <a:blip r:embed="rId182" cstate="print">
                      <a:extLst>
                        <a:ext uri="{28A0092B-C50C-407E-A947-70E740481C1C}">
                          <a14:useLocalDpi xmlns:a14="http://schemas.microsoft.com/office/drawing/2010/main" val="0"/>
                        </a:ext>
                      </a:extLst>
                    </a:blip>
                    <a:srcRect l="10641" r="12990"/>
                    <a:stretch>
                      <a:fillRect/>
                    </a:stretch>
                  </pic:blipFill>
                  <pic:spPr bwMode="auto">
                    <a:xfrm>
                      <a:off x="0" y="0"/>
                      <a:ext cx="4646295" cy="3429000"/>
                    </a:xfrm>
                    <a:prstGeom prst="rect">
                      <a:avLst/>
                    </a:prstGeom>
                    <a:noFill/>
                    <a:ln>
                      <a:noFill/>
                    </a:ln>
                  </pic:spPr>
                </pic:pic>
              </a:graphicData>
            </a:graphic>
          </wp:inline>
        </w:drawing>
      </w:r>
      <w:r w:rsidRPr="00C342AC">
        <w:fldChar w:fldCharType="end"/>
      </w:r>
    </w:p>
    <w:p w14:paraId="61E6A629" w14:textId="77777777" w:rsidR="00C342AC" w:rsidRPr="00C342AC" w:rsidRDefault="00C342AC" w:rsidP="00276F3E">
      <w:pPr>
        <w:numPr>
          <w:ilvl w:val="0"/>
          <w:numId w:val="76"/>
        </w:numPr>
        <w:spacing w:after="360" w:line="360" w:lineRule="auto"/>
        <w:ind w:right="-159"/>
        <w:jc w:val="both"/>
        <w:rPr>
          <w:rFonts w:eastAsia="Times New Roman"/>
          <w:sz w:val="26"/>
          <w:szCs w:val="26"/>
        </w:rPr>
      </w:pPr>
      <w:r w:rsidRPr="00C342AC">
        <w:rPr>
          <w:rFonts w:eastAsia="Times New Roman"/>
          <w:sz w:val="26"/>
          <w:szCs w:val="26"/>
        </w:rPr>
        <w:t>Por último, el rubro que registra las posibilidades en el momento actual por parte de los integrantes del hogar, comparadas con las de hace un año, para comprar bienes durables, tales como muebles, televisor, lavadora y otros aparatos electrodomésticos en febrero de 2015 alcanzó 81.1 puntos, nivel 35.1% superior al observado en igual mes de 2014.</w:t>
      </w:r>
    </w:p>
    <w:p w14:paraId="68815B6B" w14:textId="77777777" w:rsidR="00C342AC" w:rsidRPr="00C342AC" w:rsidRDefault="00C342AC" w:rsidP="00C342AC">
      <w:pPr>
        <w:spacing w:after="360" w:line="360" w:lineRule="auto"/>
        <w:ind w:left="641" w:right="-159"/>
        <w:jc w:val="center"/>
        <w:rPr>
          <w:rFonts w:eastAsia="Times New Roman"/>
          <w:sz w:val="26"/>
          <w:szCs w:val="26"/>
        </w:rPr>
      </w:pPr>
      <w:r w:rsidRPr="00C342AC">
        <w:lastRenderedPageBreak/>
        <w:fldChar w:fldCharType="begin"/>
      </w:r>
      <w:r w:rsidRPr="00C342AC">
        <w:instrText xml:space="preserve"> LINK PowerPoint.Slide.8 "D:\\2015\\MARZO 2014\\GRÁFICAS EN POWER POINT\\16.- GRÁFICAS DEL ÍNDICE DE CONFIANZA DEL CONSUMIDOR.pptx!263" "" \a \p </w:instrText>
      </w:r>
      <w:r w:rsidRPr="00C342AC">
        <w:fldChar w:fldCharType="separate"/>
      </w:r>
      <w:r w:rsidRPr="00C342AC">
        <w:rPr>
          <w:noProof/>
          <w:lang w:eastAsia="es-MX"/>
        </w:rPr>
        <w:drawing>
          <wp:inline distT="0" distB="0" distL="0" distR="0" wp14:anchorId="4012598B" wp14:editId="1B01FFAB">
            <wp:extent cx="4726305" cy="3354705"/>
            <wp:effectExtent l="0" t="0" r="0" b="0"/>
            <wp:docPr id="166" name="Imagen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9"/>
                    <pic:cNvPicPr>
                      <a:picLocks noChangeAspect="1" noChangeArrowheads="1"/>
                    </pic:cNvPicPr>
                  </pic:nvPicPr>
                  <pic:blipFill>
                    <a:blip r:embed="rId183" cstate="print">
                      <a:extLst>
                        <a:ext uri="{28A0092B-C50C-407E-A947-70E740481C1C}">
                          <a14:useLocalDpi xmlns:a14="http://schemas.microsoft.com/office/drawing/2010/main" val="0"/>
                        </a:ext>
                      </a:extLst>
                    </a:blip>
                    <a:srcRect l="10016" r="12363" b="2222"/>
                    <a:stretch>
                      <a:fillRect/>
                    </a:stretch>
                  </pic:blipFill>
                  <pic:spPr bwMode="auto">
                    <a:xfrm>
                      <a:off x="0" y="0"/>
                      <a:ext cx="4726305" cy="3354705"/>
                    </a:xfrm>
                    <a:prstGeom prst="rect">
                      <a:avLst/>
                    </a:prstGeom>
                    <a:noFill/>
                    <a:ln>
                      <a:noFill/>
                    </a:ln>
                  </pic:spPr>
                </pic:pic>
              </a:graphicData>
            </a:graphic>
          </wp:inline>
        </w:drawing>
      </w:r>
      <w:r w:rsidRPr="00C342AC">
        <w:fldChar w:fldCharType="end"/>
      </w:r>
    </w:p>
    <w:p w14:paraId="459D009F" w14:textId="77777777" w:rsidR="00C342AC" w:rsidRPr="00C342AC" w:rsidRDefault="00C342AC" w:rsidP="00C342AC">
      <w:pPr>
        <w:ind w:right="-159"/>
        <w:jc w:val="both"/>
        <w:rPr>
          <w:rFonts w:eastAsia="Times New Roman"/>
          <w:b/>
          <w:sz w:val="20"/>
          <w:szCs w:val="20"/>
        </w:rPr>
      </w:pPr>
      <w:r w:rsidRPr="00C342AC">
        <w:rPr>
          <w:rFonts w:eastAsia="Times New Roman"/>
          <w:b/>
          <w:sz w:val="20"/>
          <w:szCs w:val="20"/>
        </w:rPr>
        <w:t>Fuente de información:</w:t>
      </w:r>
    </w:p>
    <w:p w14:paraId="332DAB0E" w14:textId="77777777" w:rsidR="00C342AC" w:rsidRPr="00660E71" w:rsidRDefault="0093224F" w:rsidP="00660E71">
      <w:pPr>
        <w:spacing w:after="720"/>
        <w:rPr>
          <w:color w:val="0000FF"/>
          <w:sz w:val="20"/>
          <w:szCs w:val="20"/>
        </w:rPr>
      </w:pPr>
      <w:hyperlink r:id="rId184" w:history="1">
        <w:r w:rsidR="00C342AC" w:rsidRPr="00660E71">
          <w:rPr>
            <w:color w:val="0000FF"/>
            <w:sz w:val="20"/>
            <w:szCs w:val="20"/>
            <w:u w:val="single"/>
          </w:rPr>
          <w:t>http://www.inegi.org.mx/saladeprensa/boletines/2015/concon/concon2015_03.pdf</w:t>
        </w:r>
      </w:hyperlink>
      <w:r w:rsidR="00C342AC" w:rsidRPr="00660E71">
        <w:rPr>
          <w:color w:val="0000FF"/>
          <w:sz w:val="20"/>
          <w:szCs w:val="20"/>
        </w:rPr>
        <w:t xml:space="preserve"> </w:t>
      </w:r>
    </w:p>
    <w:p w14:paraId="571FCB82" w14:textId="77777777" w:rsidR="0095263B" w:rsidRPr="0095263B" w:rsidRDefault="0095263B" w:rsidP="0095263B">
      <w:pPr>
        <w:ind w:right="-159"/>
        <w:jc w:val="both"/>
        <w:rPr>
          <w:rFonts w:eastAsia="Times New Roman"/>
          <w:b/>
          <w:bCs/>
          <w:sz w:val="26"/>
          <w:szCs w:val="26"/>
          <w:lang w:val="es-ES"/>
        </w:rPr>
      </w:pPr>
      <w:r w:rsidRPr="0095263B">
        <w:rPr>
          <w:rFonts w:eastAsia="Times New Roman"/>
          <w:b/>
          <w:bCs/>
          <w:sz w:val="26"/>
          <w:szCs w:val="26"/>
          <w:lang w:val="es-ES"/>
        </w:rPr>
        <w:t>Destacan acciones en materia de protección de</w:t>
      </w:r>
    </w:p>
    <w:p w14:paraId="79CF0F7E" w14:textId="77777777" w:rsidR="0095263B" w:rsidRPr="0095263B" w:rsidRDefault="0095263B" w:rsidP="0095263B">
      <w:pPr>
        <w:spacing w:after="360" w:line="360" w:lineRule="auto"/>
        <w:ind w:right="-159"/>
        <w:jc w:val="both"/>
        <w:rPr>
          <w:rFonts w:eastAsia="Times New Roman"/>
          <w:b/>
          <w:bCs/>
          <w:sz w:val="26"/>
          <w:szCs w:val="26"/>
          <w:lang w:val="es-ES"/>
        </w:rPr>
      </w:pPr>
      <w:r w:rsidRPr="0095263B">
        <w:rPr>
          <w:rFonts w:eastAsia="Times New Roman"/>
          <w:b/>
          <w:bCs/>
          <w:sz w:val="26"/>
          <w:szCs w:val="26"/>
          <w:lang w:val="es-ES"/>
        </w:rPr>
        <w:t>derechos de propiedad industrial (IMPI)</w:t>
      </w:r>
    </w:p>
    <w:p w14:paraId="179249BD" w14:textId="7288C431" w:rsidR="0095263B" w:rsidRPr="0095263B" w:rsidRDefault="0095263B" w:rsidP="0095263B">
      <w:pPr>
        <w:spacing w:after="360" w:line="360" w:lineRule="auto"/>
        <w:ind w:right="-159"/>
        <w:jc w:val="both"/>
        <w:rPr>
          <w:rFonts w:eastAsia="Times New Roman"/>
          <w:bCs/>
          <w:sz w:val="26"/>
          <w:szCs w:val="26"/>
          <w:lang w:val="es-ES"/>
        </w:rPr>
      </w:pPr>
      <w:r w:rsidRPr="0095263B">
        <w:rPr>
          <w:rFonts w:eastAsia="Times New Roman"/>
          <w:bCs/>
          <w:sz w:val="26"/>
          <w:szCs w:val="26"/>
          <w:lang w:val="es-ES"/>
        </w:rPr>
        <w:t>El 5 de marzo de 2015, en conferencia de prensa, el Director del Instituto Mexicano de la Propiedad Industrial (IMPI) y el vocero de la Presidencia de la República resaltaron las acciones del IMPI.</w:t>
      </w:r>
    </w:p>
    <w:p w14:paraId="62239FF7" w14:textId="77777777" w:rsidR="0095263B" w:rsidRPr="0095263B" w:rsidRDefault="0095263B" w:rsidP="0095263B">
      <w:pPr>
        <w:spacing w:after="360" w:line="360" w:lineRule="auto"/>
        <w:ind w:right="-159"/>
        <w:jc w:val="both"/>
        <w:rPr>
          <w:rFonts w:eastAsia="Times New Roman"/>
          <w:bCs/>
          <w:sz w:val="26"/>
          <w:szCs w:val="26"/>
          <w:lang w:val="es-ES"/>
        </w:rPr>
      </w:pPr>
      <w:r w:rsidRPr="0095263B">
        <w:rPr>
          <w:rFonts w:eastAsia="Times New Roman"/>
          <w:bCs/>
          <w:sz w:val="26"/>
          <w:szCs w:val="26"/>
          <w:lang w:val="es-ES"/>
        </w:rPr>
        <w:t>Los activos intangibles representan 80% del valor de las empresas, y el hurto de la propiedad intelectual mediante la falsificación, piratería, robo de secretos comerciales y otras infracciones, pueden dañar la reputación de la misma, reducir las inversiones, e incluso representar desafíos legales.</w:t>
      </w:r>
    </w:p>
    <w:p w14:paraId="0BBCAB70" w14:textId="77777777" w:rsidR="0095263B" w:rsidRPr="0095263B" w:rsidRDefault="0095263B" w:rsidP="0095263B">
      <w:pPr>
        <w:spacing w:after="360" w:line="360" w:lineRule="auto"/>
        <w:ind w:right="-159"/>
        <w:jc w:val="both"/>
        <w:rPr>
          <w:rFonts w:eastAsia="Times New Roman"/>
          <w:bCs/>
          <w:sz w:val="26"/>
          <w:szCs w:val="26"/>
          <w:lang w:val="es-ES"/>
        </w:rPr>
      </w:pPr>
      <w:r w:rsidRPr="0095263B">
        <w:rPr>
          <w:rFonts w:eastAsia="Times New Roman"/>
          <w:bCs/>
          <w:sz w:val="26"/>
          <w:szCs w:val="26"/>
          <w:lang w:val="es-ES"/>
        </w:rPr>
        <w:t xml:space="preserve">“Día a día la propiedad industrial, específicamente las patentes y marcas, cobran mayor relevancia para las actividades industriales y comerciales de los países y el valor de las </w:t>
      </w:r>
      <w:r w:rsidRPr="0095263B">
        <w:rPr>
          <w:rFonts w:eastAsia="Times New Roman"/>
          <w:bCs/>
          <w:sz w:val="26"/>
          <w:szCs w:val="26"/>
          <w:lang w:val="es-ES"/>
        </w:rPr>
        <w:lastRenderedPageBreak/>
        <w:t>empresas ha dejado de residir en los factores tradicionales de la producción, afirmó el Director General del IMPI.</w:t>
      </w:r>
    </w:p>
    <w:p w14:paraId="60099FF5" w14:textId="77777777" w:rsidR="0095263B" w:rsidRPr="0095263B" w:rsidRDefault="0095263B" w:rsidP="0095263B">
      <w:pPr>
        <w:spacing w:after="360" w:line="360" w:lineRule="auto"/>
        <w:ind w:right="-159"/>
        <w:jc w:val="both"/>
        <w:rPr>
          <w:rFonts w:eastAsia="Times New Roman"/>
          <w:bCs/>
          <w:sz w:val="26"/>
          <w:szCs w:val="26"/>
          <w:lang w:val="es-ES"/>
        </w:rPr>
      </w:pPr>
      <w:r w:rsidRPr="0095263B">
        <w:rPr>
          <w:rFonts w:eastAsia="Times New Roman"/>
          <w:bCs/>
          <w:sz w:val="26"/>
          <w:szCs w:val="26"/>
          <w:lang w:val="es-ES"/>
        </w:rPr>
        <w:t>En conferencia de prensa, el vocero de la Presidencia de la República y el Director del IMPI destacaron los avances y retos a los que se ha enfrentado el IMPI en materia de protección de los derechos de propiedad industrial.</w:t>
      </w:r>
    </w:p>
    <w:p w14:paraId="6C4A63A7" w14:textId="77777777" w:rsidR="0095263B" w:rsidRPr="0095263B" w:rsidRDefault="0095263B" w:rsidP="0095263B">
      <w:pPr>
        <w:spacing w:after="360" w:line="360" w:lineRule="auto"/>
        <w:ind w:right="-159"/>
        <w:jc w:val="both"/>
        <w:rPr>
          <w:rFonts w:eastAsia="Times New Roman"/>
          <w:bCs/>
          <w:sz w:val="26"/>
          <w:szCs w:val="26"/>
          <w:lang w:val="es-ES"/>
        </w:rPr>
      </w:pPr>
      <w:r w:rsidRPr="0095263B">
        <w:rPr>
          <w:rFonts w:eastAsia="Times New Roman"/>
          <w:bCs/>
          <w:sz w:val="26"/>
          <w:szCs w:val="26"/>
          <w:lang w:val="es-ES"/>
        </w:rPr>
        <w:t>De acuerdo con la Organización Mundial de la Propiedad Intelectual, el IMPI es la 12° oficina de propiedad industrial con mayor importancia en el mundo, la 14° en materia de solicitudes de patente, 11° en patentes concedidas, 14° en patentes en vigor, 14° en solicitudes de marca y 9° en registro de marcas.</w:t>
      </w:r>
    </w:p>
    <w:p w14:paraId="7CDDDBD9" w14:textId="77777777" w:rsidR="0095263B" w:rsidRPr="0095263B" w:rsidRDefault="0095263B" w:rsidP="0095263B">
      <w:pPr>
        <w:spacing w:after="360" w:line="360" w:lineRule="auto"/>
        <w:ind w:right="-159"/>
        <w:jc w:val="both"/>
        <w:rPr>
          <w:rFonts w:eastAsia="Times New Roman"/>
          <w:bCs/>
          <w:sz w:val="26"/>
          <w:szCs w:val="26"/>
          <w:lang w:val="es-ES"/>
        </w:rPr>
      </w:pPr>
      <w:r w:rsidRPr="0095263B">
        <w:rPr>
          <w:rFonts w:eastAsia="Times New Roman"/>
          <w:bCs/>
          <w:sz w:val="26"/>
          <w:szCs w:val="26"/>
          <w:lang w:val="es-ES"/>
        </w:rPr>
        <w:t>El Director del IMPI dio a conocer que en 2014 las solicitudes crecieron 4.5% con respecto al año anterior. En 2014 se recibieron 16 mil 135 solicitudes de invenciones, frente a las 15 mil 444 de 2013.</w:t>
      </w:r>
    </w:p>
    <w:p w14:paraId="66482078" w14:textId="77777777" w:rsidR="0095263B" w:rsidRPr="0095263B" w:rsidRDefault="0095263B" w:rsidP="0095263B">
      <w:pPr>
        <w:spacing w:after="360" w:line="360" w:lineRule="auto"/>
        <w:ind w:right="-159"/>
        <w:jc w:val="both"/>
        <w:rPr>
          <w:rFonts w:eastAsia="Times New Roman"/>
          <w:bCs/>
          <w:sz w:val="26"/>
          <w:szCs w:val="26"/>
          <w:lang w:val="es-ES"/>
        </w:rPr>
      </w:pPr>
      <w:r w:rsidRPr="0095263B">
        <w:rPr>
          <w:rFonts w:eastAsia="Times New Roman"/>
          <w:bCs/>
          <w:sz w:val="26"/>
          <w:szCs w:val="26"/>
          <w:lang w:val="es-ES"/>
        </w:rPr>
        <w:t>En materia de signos distintivos, durante 2014 se recibieron 125 mil 665 solicitudes de signos distintivos, representando un máximo histórico de crecimiento del 10%, respecto al año anterior.</w:t>
      </w:r>
    </w:p>
    <w:p w14:paraId="7812998C" w14:textId="77777777" w:rsidR="0095263B" w:rsidRPr="0095263B" w:rsidRDefault="0095263B" w:rsidP="0095263B">
      <w:pPr>
        <w:spacing w:after="360" w:line="360" w:lineRule="auto"/>
        <w:ind w:right="-159"/>
        <w:jc w:val="both"/>
        <w:rPr>
          <w:rFonts w:eastAsia="Times New Roman"/>
          <w:bCs/>
          <w:sz w:val="26"/>
          <w:szCs w:val="26"/>
          <w:lang w:val="es-ES"/>
        </w:rPr>
      </w:pPr>
      <w:r w:rsidRPr="0095263B">
        <w:rPr>
          <w:rFonts w:eastAsia="Times New Roman"/>
          <w:bCs/>
          <w:sz w:val="26"/>
          <w:szCs w:val="26"/>
          <w:lang w:val="es-ES"/>
        </w:rPr>
        <w:t>Resulta de gran importancia para el Gobierno de la República y para el IMPI mantener una eficaz y adecuada protección de los derechos de propiedad intelectual en México, ya que de esta forma no solo se protege a los titulares de los mismos, sino se incentiva la sana competencia entre los comerciantes, se protege al público consumidor de adquirir productos de mayor calidad, se impulsa a que los inversionistas extranjeros apuesten por el país, generación y entrada de capital, así como mayores empleos, son algunos aspectos en los que puede repercutir un buen sistema de propiedad intelectual, afirmó.</w:t>
      </w:r>
    </w:p>
    <w:p w14:paraId="7C9976A8" w14:textId="77777777" w:rsidR="0095263B" w:rsidRPr="0095263B" w:rsidRDefault="0095263B" w:rsidP="0095263B">
      <w:pPr>
        <w:spacing w:after="360" w:line="360" w:lineRule="auto"/>
        <w:ind w:right="-159"/>
        <w:jc w:val="both"/>
        <w:rPr>
          <w:rFonts w:eastAsia="Times New Roman"/>
          <w:bCs/>
          <w:sz w:val="26"/>
          <w:szCs w:val="26"/>
          <w:lang w:val="es-ES"/>
        </w:rPr>
      </w:pPr>
      <w:r w:rsidRPr="0095263B">
        <w:rPr>
          <w:rFonts w:eastAsia="Times New Roman"/>
          <w:bCs/>
          <w:sz w:val="26"/>
          <w:szCs w:val="26"/>
          <w:lang w:val="es-ES"/>
        </w:rPr>
        <w:lastRenderedPageBreak/>
        <w:t>“Brindar seguridad jurídica a la inversión es condición indispensable para que la economía aproveche al máximo su potencial”, comentó.</w:t>
      </w:r>
    </w:p>
    <w:p w14:paraId="266A1354" w14:textId="77777777" w:rsidR="0095263B" w:rsidRPr="0095263B" w:rsidRDefault="0095263B" w:rsidP="0095263B">
      <w:pPr>
        <w:spacing w:after="360" w:line="360" w:lineRule="auto"/>
        <w:ind w:right="-159"/>
        <w:jc w:val="both"/>
        <w:rPr>
          <w:rFonts w:eastAsia="Times New Roman"/>
          <w:bCs/>
          <w:sz w:val="26"/>
          <w:szCs w:val="26"/>
          <w:lang w:val="es-ES"/>
        </w:rPr>
      </w:pPr>
      <w:r w:rsidRPr="0095263B">
        <w:rPr>
          <w:rFonts w:eastAsia="Times New Roman"/>
          <w:bCs/>
          <w:sz w:val="26"/>
          <w:szCs w:val="26"/>
          <w:lang w:val="es-ES"/>
        </w:rPr>
        <w:t>También hizo referencia a la importancia de colaborar con otras instituciones gubernamentales.</w:t>
      </w:r>
    </w:p>
    <w:p w14:paraId="4E744093" w14:textId="77777777" w:rsidR="0095263B" w:rsidRPr="0095263B" w:rsidRDefault="0095263B" w:rsidP="0095263B">
      <w:pPr>
        <w:spacing w:after="360" w:line="360" w:lineRule="auto"/>
        <w:ind w:right="-159"/>
        <w:jc w:val="both"/>
        <w:rPr>
          <w:rFonts w:eastAsia="Times New Roman"/>
          <w:bCs/>
          <w:sz w:val="26"/>
          <w:szCs w:val="26"/>
          <w:lang w:val="es-ES"/>
        </w:rPr>
      </w:pPr>
      <w:r w:rsidRPr="0095263B">
        <w:rPr>
          <w:rFonts w:eastAsia="Times New Roman"/>
          <w:bCs/>
          <w:sz w:val="26"/>
          <w:szCs w:val="26"/>
          <w:lang w:val="es-ES"/>
        </w:rPr>
        <w:t>Prueba de ello, son las 27 visitas de inspección de oficio que el IMPI realizó el año pasado en coordinación con la Procuraduría General de la República, asegurando productos que ostentaban marcas como: Adidas, Lacoste, Michel Kors, Aeropostale, Puma, Luis Vouitton, Gucci, así como películas, fonogramas y obras literarias.</w:t>
      </w:r>
    </w:p>
    <w:p w14:paraId="5CDE370B" w14:textId="77777777" w:rsidR="0095263B" w:rsidRPr="0095263B" w:rsidRDefault="0095263B" w:rsidP="0095263B">
      <w:pPr>
        <w:spacing w:after="360" w:line="360" w:lineRule="auto"/>
        <w:ind w:right="-159"/>
        <w:jc w:val="both"/>
        <w:rPr>
          <w:rFonts w:eastAsia="Times New Roman"/>
          <w:bCs/>
          <w:sz w:val="26"/>
          <w:szCs w:val="26"/>
          <w:lang w:val="es-ES"/>
        </w:rPr>
      </w:pPr>
      <w:r w:rsidRPr="0095263B">
        <w:rPr>
          <w:rFonts w:eastAsia="Times New Roman"/>
          <w:bCs/>
          <w:sz w:val="26"/>
          <w:szCs w:val="26"/>
          <w:lang w:val="es-ES"/>
        </w:rPr>
        <w:t>El funcionario del IMPI reconoció que las áreas más afectadas por la piratería son la industria del audio y video, así como la industria del software, de ropa y calzado deportivo.</w:t>
      </w:r>
    </w:p>
    <w:p w14:paraId="53F29390" w14:textId="77777777" w:rsidR="0095263B" w:rsidRPr="0095263B" w:rsidRDefault="0095263B" w:rsidP="0095263B">
      <w:pPr>
        <w:spacing w:after="360" w:line="360" w:lineRule="auto"/>
        <w:ind w:right="-159"/>
        <w:jc w:val="both"/>
        <w:rPr>
          <w:rFonts w:eastAsia="Times New Roman"/>
          <w:bCs/>
          <w:sz w:val="26"/>
          <w:szCs w:val="26"/>
          <w:lang w:val="es-ES"/>
        </w:rPr>
      </w:pPr>
      <w:r w:rsidRPr="0095263B">
        <w:rPr>
          <w:rFonts w:eastAsia="Times New Roman"/>
          <w:bCs/>
          <w:sz w:val="26"/>
          <w:szCs w:val="26"/>
          <w:lang w:val="es-ES"/>
        </w:rPr>
        <w:t>Por su parte, el vocero del Gobierno de la República resaltó la labor que el IMPI ha realizado en materia de combate a la piratería, ya que el año pasado y gracias a diversos operativos fueron asegurados 6 millones 94 mil 166 productos, por un valor de 17 millones 675 mil 996 pesos, en el marco de las atribuciones que tiene la Institución.</w:t>
      </w:r>
    </w:p>
    <w:p w14:paraId="1C13CABD" w14:textId="77777777" w:rsidR="0095263B" w:rsidRPr="0095263B" w:rsidRDefault="0095263B" w:rsidP="0095263B">
      <w:pPr>
        <w:spacing w:after="360" w:line="360" w:lineRule="auto"/>
        <w:ind w:right="-159"/>
        <w:jc w:val="both"/>
        <w:rPr>
          <w:rFonts w:eastAsia="Times New Roman"/>
          <w:bCs/>
          <w:sz w:val="26"/>
          <w:szCs w:val="26"/>
          <w:lang w:val="es-ES"/>
        </w:rPr>
      </w:pPr>
      <w:r w:rsidRPr="0095263B">
        <w:rPr>
          <w:rFonts w:eastAsia="Times New Roman"/>
          <w:bCs/>
          <w:sz w:val="26"/>
          <w:szCs w:val="26"/>
          <w:lang w:val="es-ES"/>
        </w:rPr>
        <w:t>De acuerdo con la encuesta de “Hábitos de Consumo de Productos Apócrifos” que el IMPI ha venido realizando desde 2007 en diferentes ciudades del país, podemos mencionar que en 2014 los consumidores de la ciudad de Acapulco fueron los que adquirieron mayor consumo de productos apócrifos (73%), en comparación con Chihuahua (73%) y Monterrey (59%).</w:t>
      </w:r>
    </w:p>
    <w:p w14:paraId="3E557CD1" w14:textId="77777777" w:rsidR="0095263B" w:rsidRPr="0095263B" w:rsidRDefault="0095263B" w:rsidP="0095263B">
      <w:pPr>
        <w:spacing w:after="360" w:line="360" w:lineRule="auto"/>
        <w:ind w:right="-159"/>
        <w:jc w:val="both"/>
        <w:rPr>
          <w:rFonts w:eastAsia="Times New Roman"/>
          <w:bCs/>
          <w:sz w:val="26"/>
          <w:szCs w:val="26"/>
          <w:lang w:val="es-ES"/>
        </w:rPr>
      </w:pPr>
      <w:r w:rsidRPr="0095263B">
        <w:rPr>
          <w:rFonts w:eastAsia="Times New Roman"/>
          <w:bCs/>
          <w:sz w:val="26"/>
          <w:szCs w:val="26"/>
          <w:lang w:val="es-ES"/>
        </w:rPr>
        <w:t>De ahí la importancia de las campañas de concientización que realiza el Instituto, para sensibilizar a la población de la importancia de consumir productos legales.</w:t>
      </w:r>
    </w:p>
    <w:p w14:paraId="70A234B1" w14:textId="77777777" w:rsidR="0095263B" w:rsidRPr="0095263B" w:rsidRDefault="0095263B" w:rsidP="0095263B">
      <w:pPr>
        <w:spacing w:after="360" w:line="360" w:lineRule="auto"/>
        <w:ind w:right="-159"/>
        <w:jc w:val="both"/>
        <w:rPr>
          <w:rFonts w:eastAsia="Times New Roman"/>
          <w:bCs/>
          <w:sz w:val="26"/>
          <w:szCs w:val="26"/>
          <w:lang w:val="es-ES"/>
        </w:rPr>
      </w:pPr>
      <w:r w:rsidRPr="0095263B">
        <w:rPr>
          <w:rFonts w:eastAsia="Times New Roman"/>
          <w:bCs/>
          <w:sz w:val="26"/>
          <w:szCs w:val="26"/>
          <w:lang w:val="es-ES"/>
        </w:rPr>
        <w:lastRenderedPageBreak/>
        <w:t>El Director del IMPI afirmó que ha habido avances en el combate a la piratería, como es la baja de uso de software ilegal, que de 65% retrocedió a 54%, de 2005 a 2013.</w:t>
      </w:r>
    </w:p>
    <w:p w14:paraId="19CC512E" w14:textId="77777777" w:rsidR="0095263B" w:rsidRPr="0095263B" w:rsidRDefault="0095263B" w:rsidP="0095263B">
      <w:pPr>
        <w:spacing w:after="360" w:line="360" w:lineRule="auto"/>
        <w:ind w:right="-159"/>
        <w:jc w:val="both"/>
        <w:rPr>
          <w:rFonts w:eastAsia="Times New Roman"/>
          <w:bCs/>
          <w:sz w:val="26"/>
          <w:szCs w:val="26"/>
          <w:lang w:val="es-ES"/>
        </w:rPr>
      </w:pPr>
      <w:r w:rsidRPr="0095263B">
        <w:rPr>
          <w:rFonts w:eastAsia="Times New Roman"/>
          <w:bCs/>
          <w:sz w:val="26"/>
          <w:szCs w:val="26"/>
          <w:lang w:val="es-ES"/>
        </w:rPr>
        <w:t>Lo anterior, como resultado del compromiso y esfuerzos realizados con la BSA-The Software Alliance y la realización de la campaña “¿Qué traes en tu sistema?”, concluyó.</w:t>
      </w:r>
    </w:p>
    <w:p w14:paraId="4E531452" w14:textId="77777777" w:rsidR="0095263B" w:rsidRPr="0095263B" w:rsidRDefault="0095263B" w:rsidP="0095263B">
      <w:pPr>
        <w:spacing w:after="360" w:line="360" w:lineRule="auto"/>
        <w:ind w:right="-159"/>
        <w:jc w:val="both"/>
        <w:rPr>
          <w:rFonts w:eastAsia="Times New Roman"/>
          <w:bCs/>
          <w:sz w:val="26"/>
          <w:szCs w:val="26"/>
          <w:lang w:val="es-ES"/>
        </w:rPr>
      </w:pPr>
      <w:r w:rsidRPr="0095263B">
        <w:rPr>
          <w:rFonts w:eastAsia="Times New Roman"/>
          <w:bCs/>
          <w:sz w:val="26"/>
          <w:szCs w:val="26"/>
          <w:lang w:val="es-ES"/>
        </w:rPr>
        <w:t>Finalmente, el vocero del Gobierno de la República destacó las acciones realizadas en materia de protección de las denominaciones de origen e hizo referencia al reciente reconocimiento del tequila en China.</w:t>
      </w:r>
    </w:p>
    <w:p w14:paraId="643F79FC" w14:textId="77777777" w:rsidR="0095263B" w:rsidRPr="0095263B" w:rsidRDefault="0095263B" w:rsidP="0095263B">
      <w:pPr>
        <w:spacing w:after="360" w:line="360" w:lineRule="auto"/>
        <w:ind w:right="-159"/>
        <w:jc w:val="both"/>
        <w:rPr>
          <w:rFonts w:eastAsia="Times New Roman"/>
          <w:bCs/>
          <w:sz w:val="26"/>
          <w:szCs w:val="26"/>
          <w:lang w:val="es-ES"/>
        </w:rPr>
      </w:pPr>
      <w:r w:rsidRPr="0095263B">
        <w:rPr>
          <w:rFonts w:eastAsia="Times New Roman"/>
          <w:bCs/>
          <w:sz w:val="26"/>
          <w:szCs w:val="26"/>
          <w:lang w:val="es-ES"/>
        </w:rPr>
        <w:t>“Para el IMPI, la protección del tequila como denominación de origen en China y el resto del mundo es de trascendencia estratégica, toda vez que protege la propiedad industrial, favorece los derechos de productores y consumidores, a la vez que fomenta el desarrollo comunitario y privilegia la identidad nacional”, apuntó.</w:t>
      </w:r>
    </w:p>
    <w:p w14:paraId="72379D79" w14:textId="77777777" w:rsidR="0095263B" w:rsidRPr="0095263B" w:rsidRDefault="0095263B" w:rsidP="0095263B">
      <w:pPr>
        <w:spacing w:after="360" w:line="360" w:lineRule="auto"/>
        <w:ind w:right="-159"/>
        <w:jc w:val="both"/>
        <w:rPr>
          <w:rFonts w:eastAsia="Times New Roman"/>
          <w:bCs/>
          <w:sz w:val="26"/>
          <w:szCs w:val="26"/>
          <w:lang w:val="es-ES"/>
        </w:rPr>
      </w:pPr>
      <w:r w:rsidRPr="0095263B">
        <w:rPr>
          <w:rFonts w:eastAsia="Times New Roman"/>
          <w:bCs/>
          <w:sz w:val="26"/>
          <w:szCs w:val="26"/>
          <w:lang w:val="es-ES"/>
        </w:rPr>
        <w:t>La Cámara Nacional de la Industria Tequilera estimó que en cinco años, las exportaciones de tequila a China subirán a 10 millones de litros, es decir, unas 18 veces más que los 524 mil 960 litros exportados durante 2013, concluyó.</w:t>
      </w:r>
    </w:p>
    <w:p w14:paraId="5AA11E7F" w14:textId="77777777" w:rsidR="0095263B" w:rsidRPr="0095263B" w:rsidRDefault="0095263B" w:rsidP="0095263B">
      <w:pPr>
        <w:ind w:right="-159"/>
        <w:jc w:val="both"/>
        <w:rPr>
          <w:rFonts w:eastAsia="Calibri"/>
          <w:b/>
          <w:sz w:val="20"/>
          <w:szCs w:val="20"/>
          <w:lang w:val="es-ES" w:eastAsia="en-US"/>
        </w:rPr>
      </w:pPr>
      <w:r w:rsidRPr="0095263B">
        <w:rPr>
          <w:rFonts w:eastAsia="Calibri"/>
          <w:b/>
          <w:sz w:val="20"/>
          <w:szCs w:val="20"/>
          <w:lang w:val="es-ES" w:eastAsia="en-US"/>
        </w:rPr>
        <w:t>Fuente de información:</w:t>
      </w:r>
    </w:p>
    <w:p w14:paraId="721BCB92" w14:textId="77777777" w:rsidR="0095263B" w:rsidRPr="008015D6" w:rsidRDefault="0093224F" w:rsidP="0095263B">
      <w:pPr>
        <w:ind w:right="-159"/>
        <w:jc w:val="both"/>
        <w:rPr>
          <w:rFonts w:eastAsia="Calibri"/>
          <w:color w:val="0000FF"/>
          <w:sz w:val="20"/>
          <w:szCs w:val="20"/>
          <w:lang w:eastAsia="en-US"/>
        </w:rPr>
      </w:pPr>
      <w:hyperlink r:id="rId185" w:history="1">
        <w:r w:rsidR="0095263B" w:rsidRPr="008015D6">
          <w:rPr>
            <w:rFonts w:eastAsia="Calibri"/>
            <w:color w:val="0000FF"/>
            <w:sz w:val="20"/>
            <w:szCs w:val="20"/>
            <w:u w:val="single"/>
            <w:lang w:eastAsia="en-US"/>
          </w:rPr>
          <w:t>http://www.impi.gob.mx/QuienesSomos/COMUNICADOSPRENSA/IMPI_2015_008.pdf</w:t>
        </w:r>
      </w:hyperlink>
      <w:r w:rsidR="0095263B" w:rsidRPr="008015D6">
        <w:rPr>
          <w:rFonts w:eastAsia="Calibri"/>
          <w:color w:val="0000FF"/>
          <w:sz w:val="20"/>
          <w:szCs w:val="20"/>
          <w:lang w:eastAsia="en-US"/>
        </w:rPr>
        <w:t xml:space="preserve"> </w:t>
      </w:r>
    </w:p>
    <w:p w14:paraId="2F5D8D49" w14:textId="77777777" w:rsidR="0095263B" w:rsidRPr="008015D6" w:rsidRDefault="0095263B" w:rsidP="0095263B">
      <w:pPr>
        <w:ind w:right="-159"/>
        <w:jc w:val="both"/>
        <w:rPr>
          <w:rFonts w:eastAsia="Calibri"/>
          <w:color w:val="0000FF"/>
          <w:sz w:val="20"/>
          <w:szCs w:val="20"/>
          <w:lang w:eastAsia="en-US"/>
        </w:rPr>
      </w:pPr>
      <w:r w:rsidRPr="008015D6">
        <w:rPr>
          <w:rFonts w:eastAsia="Calibri"/>
          <w:color w:val="0000FF"/>
          <w:sz w:val="20"/>
          <w:szCs w:val="20"/>
          <w:lang w:eastAsia="en-US"/>
        </w:rPr>
        <w:t>Información adicional:</w:t>
      </w:r>
    </w:p>
    <w:p w14:paraId="3301FD11" w14:textId="77777777" w:rsidR="0095263B" w:rsidRPr="008015D6" w:rsidRDefault="0093224F" w:rsidP="008015D6">
      <w:pPr>
        <w:spacing w:after="720"/>
        <w:ind w:right="-159"/>
        <w:jc w:val="both"/>
        <w:rPr>
          <w:rFonts w:eastAsia="Calibri"/>
          <w:color w:val="0000FF"/>
          <w:sz w:val="20"/>
          <w:szCs w:val="20"/>
          <w:lang w:eastAsia="en-US"/>
        </w:rPr>
      </w:pPr>
      <w:hyperlink r:id="rId186" w:history="1">
        <w:r w:rsidR="0095263B" w:rsidRPr="008015D6">
          <w:rPr>
            <w:rFonts w:eastAsia="Calibri"/>
            <w:color w:val="0000FF"/>
            <w:sz w:val="20"/>
            <w:szCs w:val="20"/>
            <w:u w:val="single"/>
            <w:lang w:eastAsia="en-US"/>
          </w:rPr>
          <w:t>http://www.jornada.unam.mx/2015/03/06/opinion/033n1eco</w:t>
        </w:r>
      </w:hyperlink>
      <w:r w:rsidR="0095263B" w:rsidRPr="008015D6">
        <w:rPr>
          <w:rFonts w:eastAsia="Calibri"/>
          <w:color w:val="0000FF"/>
          <w:sz w:val="20"/>
          <w:szCs w:val="20"/>
          <w:lang w:eastAsia="en-US"/>
        </w:rPr>
        <w:t xml:space="preserve"> </w:t>
      </w:r>
    </w:p>
    <w:p w14:paraId="0F953D46" w14:textId="77777777" w:rsidR="007443C9" w:rsidRPr="007443C9" w:rsidRDefault="007443C9" w:rsidP="007443C9">
      <w:pPr>
        <w:ind w:right="-159"/>
        <w:jc w:val="both"/>
        <w:rPr>
          <w:rFonts w:eastAsia="Times New Roman"/>
          <w:b/>
          <w:bCs/>
          <w:sz w:val="26"/>
          <w:szCs w:val="26"/>
          <w:lang w:val="es-ES"/>
        </w:rPr>
      </w:pPr>
      <w:r w:rsidRPr="007443C9">
        <w:rPr>
          <w:rFonts w:eastAsia="Times New Roman"/>
          <w:b/>
          <w:bCs/>
          <w:sz w:val="26"/>
          <w:szCs w:val="26"/>
          <w:lang w:val="es-ES"/>
        </w:rPr>
        <w:t>Indicador IMEF del Entorno Empresarial</w:t>
      </w:r>
    </w:p>
    <w:p w14:paraId="6B5C515C" w14:textId="3BEDC8A1" w:rsidR="007443C9" w:rsidRPr="007443C9" w:rsidRDefault="007443C9" w:rsidP="007443C9">
      <w:pPr>
        <w:spacing w:after="360" w:line="360" w:lineRule="auto"/>
        <w:ind w:right="-159"/>
        <w:jc w:val="both"/>
        <w:rPr>
          <w:rFonts w:eastAsia="Times New Roman"/>
          <w:b/>
          <w:bCs/>
          <w:sz w:val="26"/>
          <w:szCs w:val="26"/>
          <w:lang w:val="es-ES"/>
        </w:rPr>
      </w:pPr>
      <w:r w:rsidRPr="007443C9">
        <w:rPr>
          <w:rFonts w:eastAsia="Times New Roman"/>
          <w:b/>
          <w:bCs/>
          <w:sz w:val="26"/>
          <w:szCs w:val="26"/>
          <w:lang w:val="es-ES"/>
        </w:rPr>
        <w:t xml:space="preserve">Mexicano, </w:t>
      </w:r>
      <w:r>
        <w:rPr>
          <w:rFonts w:eastAsia="Times New Roman"/>
          <w:b/>
          <w:bCs/>
          <w:sz w:val="26"/>
          <w:szCs w:val="26"/>
          <w:lang w:val="es-ES"/>
        </w:rPr>
        <w:t xml:space="preserve"> </w:t>
      </w:r>
      <w:r w:rsidR="00903378">
        <w:rPr>
          <w:rFonts w:eastAsia="Times New Roman"/>
          <w:b/>
          <w:bCs/>
          <w:sz w:val="26"/>
          <w:szCs w:val="26"/>
          <w:lang w:val="es-ES"/>
        </w:rPr>
        <w:t xml:space="preserve"> </w:t>
      </w:r>
      <w:r>
        <w:rPr>
          <w:rFonts w:eastAsia="Times New Roman"/>
          <w:b/>
          <w:bCs/>
          <w:sz w:val="26"/>
          <w:szCs w:val="26"/>
          <w:lang w:val="es-ES"/>
        </w:rPr>
        <w:t xml:space="preserve"> </w:t>
      </w:r>
      <w:r w:rsidR="00903378">
        <w:rPr>
          <w:rFonts w:eastAsia="Times New Roman"/>
          <w:b/>
          <w:bCs/>
          <w:sz w:val="26"/>
          <w:szCs w:val="26"/>
          <w:lang w:val="es-ES"/>
        </w:rPr>
        <w:t>febrer</w:t>
      </w:r>
      <w:r w:rsidRPr="007443C9">
        <w:rPr>
          <w:rFonts w:eastAsia="Times New Roman"/>
          <w:b/>
          <w:bCs/>
          <w:sz w:val="26"/>
          <w:szCs w:val="26"/>
          <w:lang w:val="es-ES"/>
        </w:rPr>
        <w:t xml:space="preserve">o </w:t>
      </w:r>
      <w:r>
        <w:rPr>
          <w:rFonts w:eastAsia="Times New Roman"/>
          <w:b/>
          <w:bCs/>
          <w:sz w:val="26"/>
          <w:szCs w:val="26"/>
          <w:lang w:val="es-ES"/>
        </w:rPr>
        <w:t xml:space="preserve">  </w:t>
      </w:r>
      <w:r w:rsidRPr="007443C9">
        <w:rPr>
          <w:rFonts w:eastAsia="Times New Roman"/>
          <w:b/>
          <w:bCs/>
          <w:sz w:val="26"/>
          <w:szCs w:val="26"/>
          <w:lang w:val="es-ES"/>
        </w:rPr>
        <w:t xml:space="preserve">de </w:t>
      </w:r>
      <w:r>
        <w:rPr>
          <w:rFonts w:eastAsia="Times New Roman"/>
          <w:b/>
          <w:bCs/>
          <w:sz w:val="26"/>
          <w:szCs w:val="26"/>
          <w:lang w:val="es-ES"/>
        </w:rPr>
        <w:t xml:space="preserve">   </w:t>
      </w:r>
      <w:r w:rsidRPr="007443C9">
        <w:rPr>
          <w:rFonts w:eastAsia="Times New Roman"/>
          <w:b/>
          <w:bCs/>
          <w:sz w:val="26"/>
          <w:szCs w:val="26"/>
          <w:lang w:val="es-ES"/>
        </w:rPr>
        <w:t xml:space="preserve">2015 </w:t>
      </w:r>
      <w:r>
        <w:rPr>
          <w:rFonts w:eastAsia="Times New Roman"/>
          <w:b/>
          <w:bCs/>
          <w:sz w:val="26"/>
          <w:szCs w:val="26"/>
          <w:lang w:val="es-ES"/>
        </w:rPr>
        <w:t xml:space="preserve">   </w:t>
      </w:r>
      <w:r w:rsidRPr="007443C9">
        <w:rPr>
          <w:rFonts w:eastAsia="Times New Roman"/>
          <w:b/>
          <w:bCs/>
          <w:sz w:val="26"/>
          <w:szCs w:val="26"/>
          <w:lang w:val="es-ES"/>
        </w:rPr>
        <w:t>(IIEEM)</w:t>
      </w:r>
    </w:p>
    <w:p w14:paraId="7F508923" w14:textId="77777777" w:rsidR="00DF0C19" w:rsidRDefault="00DF0C19" w:rsidP="00DF0C19">
      <w:pPr>
        <w:spacing w:after="360" w:line="360" w:lineRule="auto"/>
        <w:ind w:right="-159"/>
        <w:jc w:val="both"/>
        <w:rPr>
          <w:rFonts w:eastAsia="Times New Roman"/>
          <w:bCs/>
          <w:sz w:val="26"/>
          <w:szCs w:val="26"/>
          <w:lang w:val="es-ES"/>
        </w:rPr>
      </w:pPr>
      <w:r w:rsidRPr="00DF0C19">
        <w:rPr>
          <w:rFonts w:eastAsia="Times New Roman"/>
          <w:bCs/>
          <w:sz w:val="26"/>
          <w:szCs w:val="26"/>
          <w:lang w:val="es-ES"/>
        </w:rPr>
        <w:t>El 2 de marzo de 2015, el Instituto Mexicano de Ejecutivos de Finanzas (IMEF) presentó su Indicador IMEF del Entorno Empresarial Mexicano (IIEEM) con información al mes de febrero de 2015. De acuerdo con la información generada con este indicador, el IMEF señala que se observa debilidad económica.</w:t>
      </w:r>
    </w:p>
    <w:p w14:paraId="4FAA045E" w14:textId="77777777" w:rsidR="00DF0C19" w:rsidRPr="00DF0C19" w:rsidRDefault="00DF0C19" w:rsidP="00DF0C19">
      <w:pPr>
        <w:spacing w:after="360" w:line="360" w:lineRule="auto"/>
        <w:ind w:right="-159"/>
        <w:jc w:val="both"/>
        <w:rPr>
          <w:rFonts w:eastAsia="Times New Roman"/>
          <w:b/>
          <w:bCs/>
          <w:sz w:val="26"/>
          <w:szCs w:val="26"/>
          <w:lang w:val="es-ES"/>
        </w:rPr>
      </w:pPr>
      <w:r w:rsidRPr="00DF0C19">
        <w:rPr>
          <w:rFonts w:eastAsia="Times New Roman"/>
          <w:b/>
          <w:bCs/>
          <w:sz w:val="26"/>
          <w:szCs w:val="26"/>
          <w:lang w:val="es-ES"/>
        </w:rPr>
        <w:lastRenderedPageBreak/>
        <w:t>Resultados principales</w:t>
      </w:r>
    </w:p>
    <w:p w14:paraId="48765F57" w14:textId="77777777" w:rsidR="00DF0C19" w:rsidRPr="00DF0C19" w:rsidRDefault="00DF0C19" w:rsidP="00276F3E">
      <w:pPr>
        <w:numPr>
          <w:ilvl w:val="0"/>
          <w:numId w:val="47"/>
        </w:numPr>
        <w:spacing w:after="360" w:line="360" w:lineRule="auto"/>
        <w:ind w:left="568" w:right="-159" w:hanging="284"/>
        <w:jc w:val="both"/>
        <w:rPr>
          <w:rFonts w:eastAsia="Times New Roman"/>
          <w:bCs/>
          <w:sz w:val="26"/>
          <w:szCs w:val="26"/>
          <w:lang w:val="es-ES"/>
        </w:rPr>
      </w:pPr>
      <w:r w:rsidRPr="00DF0C19">
        <w:rPr>
          <w:rFonts w:eastAsia="Times New Roman"/>
          <w:bCs/>
          <w:sz w:val="26"/>
          <w:szCs w:val="26"/>
          <w:lang w:val="es-ES"/>
        </w:rPr>
        <w:t>El Indicador IMEF Manufacturero disminuyó 0.3 puntos en febrero con respecto al mes anterior, con lo que el índice se ubicó en 50.7 unidades. Por su parte, la serie tendencia-ciclo reportó en el mes de referencia una baja de 0.1 puntos, ubicándose en 51.1 unidades. Esto sugiere que la actividad manufacturera tiene un comienzo de año lento.</w:t>
      </w:r>
    </w:p>
    <w:p w14:paraId="00347A9B" w14:textId="0189710A" w:rsidR="00DF0C19" w:rsidRPr="00DF0C19" w:rsidRDefault="00DF0C19" w:rsidP="00276F3E">
      <w:pPr>
        <w:numPr>
          <w:ilvl w:val="0"/>
          <w:numId w:val="47"/>
        </w:numPr>
        <w:spacing w:after="360" w:line="360" w:lineRule="auto"/>
        <w:ind w:left="568" w:right="-159" w:hanging="284"/>
        <w:jc w:val="both"/>
        <w:rPr>
          <w:rFonts w:eastAsia="Times New Roman"/>
          <w:bCs/>
          <w:sz w:val="26"/>
          <w:szCs w:val="26"/>
          <w:lang w:val="es-ES"/>
        </w:rPr>
      </w:pPr>
      <w:r w:rsidRPr="00DF0C19">
        <w:rPr>
          <w:rFonts w:eastAsia="Times New Roman"/>
          <w:bCs/>
          <w:sz w:val="26"/>
          <w:szCs w:val="26"/>
          <w:lang w:val="es-ES"/>
        </w:rPr>
        <w:t xml:space="preserve">El Indicador IMEF No Manufacturero reportó en febrero un aumento de </w:t>
      </w:r>
      <w:r w:rsidR="00882BF3">
        <w:rPr>
          <w:rFonts w:eastAsia="Times New Roman"/>
          <w:bCs/>
          <w:sz w:val="26"/>
          <w:szCs w:val="26"/>
          <w:lang w:val="es-ES"/>
        </w:rPr>
        <w:t xml:space="preserve">                  </w:t>
      </w:r>
      <w:r w:rsidRPr="00DF0C19">
        <w:rPr>
          <w:rFonts w:eastAsia="Times New Roman"/>
          <w:bCs/>
          <w:sz w:val="26"/>
          <w:szCs w:val="26"/>
          <w:lang w:val="es-ES"/>
        </w:rPr>
        <w:t xml:space="preserve">0.4 unidades con relación al mes previo, con lo que el índice se ubicó por tercer mes consecutivo por debajo del umbral de 50 puntos, en un nivel de 49.6.  Por su parte, la serie tendencia-ciclo registró una caída marginal de 0.4 puntos con respecto a enero, quedando en un nivel de 49.5. En los últimos </w:t>
      </w:r>
      <w:r w:rsidR="007678D4">
        <w:rPr>
          <w:rFonts w:eastAsia="Times New Roman"/>
          <w:bCs/>
          <w:sz w:val="26"/>
          <w:szCs w:val="26"/>
          <w:lang w:val="es-ES"/>
        </w:rPr>
        <w:t>tres</w:t>
      </w:r>
      <w:r w:rsidRPr="00DF0C19">
        <w:rPr>
          <w:rFonts w:eastAsia="Times New Roman"/>
          <w:bCs/>
          <w:sz w:val="26"/>
          <w:szCs w:val="26"/>
          <w:lang w:val="es-ES"/>
        </w:rPr>
        <w:t xml:space="preserve"> meses, el desempeño del Indicador No Manufacturero sugiere un desempeño débil en los sectores de comercio y servicios.</w:t>
      </w:r>
    </w:p>
    <w:p w14:paraId="7850324B" w14:textId="77777777" w:rsidR="00DF0C19" w:rsidRPr="00DF0C19" w:rsidRDefault="00DF0C19" w:rsidP="00276F3E">
      <w:pPr>
        <w:numPr>
          <w:ilvl w:val="0"/>
          <w:numId w:val="47"/>
        </w:numPr>
        <w:autoSpaceDE w:val="0"/>
        <w:autoSpaceDN w:val="0"/>
        <w:adjustRightInd w:val="0"/>
        <w:spacing w:after="360" w:line="360" w:lineRule="auto"/>
        <w:ind w:left="568" w:right="-159" w:hanging="284"/>
        <w:contextualSpacing/>
        <w:jc w:val="both"/>
        <w:rPr>
          <w:rFonts w:eastAsia="Times New Roman"/>
          <w:bCs/>
          <w:sz w:val="26"/>
          <w:szCs w:val="26"/>
          <w:lang w:val="es-ES"/>
        </w:rPr>
      </w:pPr>
      <w:r w:rsidRPr="00DF0C19">
        <w:rPr>
          <w:rFonts w:eastAsia="Times New Roman"/>
          <w:bCs/>
          <w:sz w:val="26"/>
          <w:szCs w:val="26"/>
          <w:lang w:val="es-ES"/>
        </w:rPr>
        <w:t>Los resultados del indicador IMEF Manufacturero y No Manufacturero reflejan aún una lenta evolución de la economía mexicana.</w:t>
      </w:r>
    </w:p>
    <w:p w14:paraId="37A66AF9" w14:textId="77777777" w:rsidR="00DF0C19" w:rsidRDefault="00DF0C19" w:rsidP="00DF0C19">
      <w:pPr>
        <w:autoSpaceDE w:val="0"/>
        <w:autoSpaceDN w:val="0"/>
        <w:adjustRightInd w:val="0"/>
        <w:spacing w:after="360" w:line="360" w:lineRule="auto"/>
        <w:ind w:right="-159"/>
        <w:jc w:val="both"/>
        <w:rPr>
          <w:rFonts w:eastAsia="Times New Roman"/>
          <w:bCs/>
          <w:sz w:val="26"/>
          <w:szCs w:val="26"/>
          <w:lang w:val="es-ES"/>
        </w:rPr>
      </w:pPr>
    </w:p>
    <w:p w14:paraId="3A0ED14F" w14:textId="77777777" w:rsidR="00E53D8D" w:rsidRDefault="00E53D8D" w:rsidP="00DF0C19">
      <w:pPr>
        <w:autoSpaceDE w:val="0"/>
        <w:autoSpaceDN w:val="0"/>
        <w:adjustRightInd w:val="0"/>
        <w:spacing w:after="360" w:line="360" w:lineRule="auto"/>
        <w:ind w:right="-159"/>
        <w:jc w:val="both"/>
        <w:rPr>
          <w:rFonts w:eastAsia="Times New Roman"/>
          <w:bCs/>
          <w:sz w:val="26"/>
          <w:szCs w:val="26"/>
          <w:lang w:val="es-ES"/>
        </w:rPr>
      </w:pPr>
    </w:p>
    <w:p w14:paraId="6580A567" w14:textId="77777777" w:rsidR="00E53D8D" w:rsidRDefault="00E53D8D" w:rsidP="00DF0C19">
      <w:pPr>
        <w:autoSpaceDE w:val="0"/>
        <w:autoSpaceDN w:val="0"/>
        <w:adjustRightInd w:val="0"/>
        <w:spacing w:after="360" w:line="360" w:lineRule="auto"/>
        <w:ind w:right="-159"/>
        <w:jc w:val="both"/>
        <w:rPr>
          <w:rFonts w:eastAsia="Times New Roman"/>
          <w:bCs/>
          <w:sz w:val="26"/>
          <w:szCs w:val="26"/>
          <w:lang w:val="es-ES"/>
        </w:rPr>
      </w:pPr>
    </w:p>
    <w:p w14:paraId="13565B3A" w14:textId="77777777" w:rsidR="00E53D8D" w:rsidRDefault="00E53D8D" w:rsidP="00DF0C19">
      <w:pPr>
        <w:autoSpaceDE w:val="0"/>
        <w:autoSpaceDN w:val="0"/>
        <w:adjustRightInd w:val="0"/>
        <w:spacing w:after="360" w:line="360" w:lineRule="auto"/>
        <w:ind w:right="-159"/>
        <w:jc w:val="both"/>
        <w:rPr>
          <w:rFonts w:eastAsia="Times New Roman"/>
          <w:bCs/>
          <w:sz w:val="26"/>
          <w:szCs w:val="26"/>
          <w:lang w:val="es-ES"/>
        </w:rPr>
      </w:pPr>
    </w:p>
    <w:p w14:paraId="72F68EBE" w14:textId="77777777" w:rsidR="00E53D8D" w:rsidRDefault="00E53D8D" w:rsidP="00DF0C19">
      <w:pPr>
        <w:autoSpaceDE w:val="0"/>
        <w:autoSpaceDN w:val="0"/>
        <w:adjustRightInd w:val="0"/>
        <w:spacing w:after="360" w:line="360" w:lineRule="auto"/>
        <w:ind w:right="-159"/>
        <w:jc w:val="both"/>
        <w:rPr>
          <w:rFonts w:eastAsia="Times New Roman"/>
          <w:bCs/>
          <w:sz w:val="26"/>
          <w:szCs w:val="26"/>
          <w:lang w:val="es-ES"/>
        </w:rPr>
      </w:pPr>
    </w:p>
    <w:p w14:paraId="77CF0495" w14:textId="77777777" w:rsidR="00E53D8D" w:rsidRDefault="00E53D8D" w:rsidP="00DF0C19">
      <w:pPr>
        <w:autoSpaceDE w:val="0"/>
        <w:autoSpaceDN w:val="0"/>
        <w:adjustRightInd w:val="0"/>
        <w:spacing w:after="360" w:line="360" w:lineRule="auto"/>
        <w:ind w:right="-159"/>
        <w:jc w:val="both"/>
        <w:rPr>
          <w:rFonts w:eastAsia="Times New Roman"/>
          <w:bCs/>
          <w:sz w:val="26"/>
          <w:szCs w:val="26"/>
          <w:lang w:val="es-ES"/>
        </w:rPr>
      </w:pPr>
    </w:p>
    <w:p w14:paraId="5BEFC82E" w14:textId="77777777" w:rsidR="00E53D8D" w:rsidRPr="00DF0C19" w:rsidRDefault="00E53D8D" w:rsidP="00E53D8D">
      <w:pPr>
        <w:autoSpaceDE w:val="0"/>
        <w:autoSpaceDN w:val="0"/>
        <w:adjustRightInd w:val="0"/>
        <w:spacing w:after="240"/>
        <w:ind w:right="-159"/>
        <w:jc w:val="both"/>
        <w:rPr>
          <w:rFonts w:eastAsia="Times New Roman"/>
          <w:bCs/>
          <w:sz w:val="26"/>
          <w:szCs w:val="26"/>
          <w:lang w:val="es-ES"/>
        </w:rPr>
      </w:pPr>
    </w:p>
    <w:tbl>
      <w:tblPr>
        <w:tblW w:w="0" w:type="auto"/>
        <w:jc w:val="center"/>
        <w:tblLook w:val="04A0" w:firstRow="1" w:lastRow="0" w:firstColumn="1" w:lastColumn="0" w:noHBand="0" w:noVBand="1"/>
      </w:tblPr>
      <w:tblGrid>
        <w:gridCol w:w="8006"/>
      </w:tblGrid>
      <w:tr w:rsidR="00DF0C19" w:rsidRPr="00DF0C19" w14:paraId="5CF3FDEB" w14:textId="77777777" w:rsidTr="001E7D79">
        <w:trPr>
          <w:jc w:val="center"/>
        </w:trPr>
        <w:tc>
          <w:tcPr>
            <w:tcW w:w="8006" w:type="dxa"/>
          </w:tcPr>
          <w:p w14:paraId="64DA3D62" w14:textId="77777777" w:rsidR="00DF0C19" w:rsidRPr="00DF0C19" w:rsidRDefault="00DF0C19" w:rsidP="00DF0C19">
            <w:pPr>
              <w:jc w:val="center"/>
              <w:rPr>
                <w:rFonts w:eastAsia="Times New Roman"/>
                <w:b/>
                <w:bCs/>
                <w:sz w:val="22"/>
                <w:szCs w:val="22"/>
              </w:rPr>
            </w:pPr>
            <w:r w:rsidRPr="00DF0C19">
              <w:rPr>
                <w:rFonts w:eastAsia="Times New Roman"/>
                <w:b/>
                <w:bCs/>
                <w:sz w:val="22"/>
                <w:szCs w:val="22"/>
              </w:rPr>
              <w:t xml:space="preserve">TENDENCIA DE LOS INDICADORES IMEF </w:t>
            </w:r>
          </w:p>
          <w:p w14:paraId="2371B9DC" w14:textId="77777777" w:rsidR="00DF0C19" w:rsidRPr="00DF0C19" w:rsidRDefault="00DF0C19" w:rsidP="00DF0C19">
            <w:pPr>
              <w:jc w:val="center"/>
              <w:rPr>
                <w:rFonts w:eastAsia="Times New Roman"/>
                <w:b/>
                <w:bCs/>
                <w:sz w:val="22"/>
                <w:szCs w:val="22"/>
              </w:rPr>
            </w:pPr>
            <w:r w:rsidRPr="00DF0C19">
              <w:rPr>
                <w:rFonts w:eastAsia="Times New Roman"/>
                <w:b/>
                <w:bCs/>
                <w:sz w:val="22"/>
                <w:szCs w:val="22"/>
              </w:rPr>
              <w:t>MANUFACTURERO Y NO MANUFACTURERO</w:t>
            </w:r>
          </w:p>
        </w:tc>
      </w:tr>
      <w:tr w:rsidR="00DF0C19" w:rsidRPr="00DF0C19" w14:paraId="007403E3" w14:textId="77777777" w:rsidTr="001E7D79">
        <w:trPr>
          <w:trHeight w:val="4312"/>
          <w:jc w:val="center"/>
        </w:trPr>
        <w:tc>
          <w:tcPr>
            <w:tcW w:w="8006" w:type="dxa"/>
          </w:tcPr>
          <w:p w14:paraId="176107C6" w14:textId="77777777" w:rsidR="00DF0C19" w:rsidRPr="00DF0C19" w:rsidRDefault="00DF0C19" w:rsidP="00DF0C19">
            <w:pPr>
              <w:jc w:val="center"/>
              <w:rPr>
                <w:rFonts w:eastAsia="Times New Roman"/>
                <w:bCs/>
                <w:sz w:val="22"/>
                <w:szCs w:val="22"/>
              </w:rPr>
            </w:pPr>
            <w:r w:rsidRPr="00DF0C19">
              <w:rPr>
                <w:rFonts w:eastAsia="Times New Roman"/>
                <w:bCs/>
                <w:noProof/>
                <w:sz w:val="22"/>
                <w:szCs w:val="22"/>
                <w:lang w:eastAsia="es-MX"/>
              </w:rPr>
              <w:drawing>
                <wp:inline distT="0" distB="0" distL="0" distR="0" wp14:anchorId="673B9D92" wp14:editId="7518E093">
                  <wp:extent cx="4942165" cy="2700000"/>
                  <wp:effectExtent l="0" t="0" r="0" b="0"/>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87" cstate="print">
                            <a:extLst>
                              <a:ext uri="{28A0092B-C50C-407E-A947-70E740481C1C}">
                                <a14:useLocalDpi xmlns:a14="http://schemas.microsoft.com/office/drawing/2010/main" val="0"/>
                              </a:ext>
                            </a:extLst>
                          </a:blip>
                          <a:srcRect t="5190" b="5181"/>
                          <a:stretch/>
                        </pic:blipFill>
                        <pic:spPr bwMode="auto">
                          <a:xfrm>
                            <a:off x="0" y="0"/>
                            <a:ext cx="4942165" cy="270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F0C19" w:rsidRPr="00DF0C19" w14:paraId="2603035C" w14:textId="77777777" w:rsidTr="001E7D79">
        <w:trPr>
          <w:jc w:val="center"/>
        </w:trPr>
        <w:tc>
          <w:tcPr>
            <w:tcW w:w="8006" w:type="dxa"/>
          </w:tcPr>
          <w:p w14:paraId="7DC5BD7B" w14:textId="77777777" w:rsidR="00DF0C19" w:rsidRPr="00DF0C19" w:rsidRDefault="00DF0C19" w:rsidP="00DF0C19">
            <w:pPr>
              <w:ind w:left="743" w:hanging="425"/>
              <w:jc w:val="both"/>
              <w:rPr>
                <w:rFonts w:eastAsia="Times New Roman"/>
                <w:bCs/>
                <w:sz w:val="20"/>
                <w:szCs w:val="20"/>
              </w:rPr>
            </w:pPr>
            <w:r w:rsidRPr="00DF0C19">
              <w:rPr>
                <w:rFonts w:eastAsia="Times New Roman"/>
                <w:bCs/>
                <w:sz w:val="20"/>
                <w:szCs w:val="20"/>
              </w:rPr>
              <w:t>FUENTE: IMEF.</w:t>
            </w:r>
          </w:p>
        </w:tc>
      </w:tr>
    </w:tbl>
    <w:p w14:paraId="5CA4A02F" w14:textId="77777777" w:rsidR="00DF0C19" w:rsidRPr="00DF0C19" w:rsidRDefault="00DF0C19" w:rsidP="00DF0C19">
      <w:pPr>
        <w:spacing w:after="360" w:line="360" w:lineRule="auto"/>
        <w:ind w:right="-159"/>
        <w:jc w:val="both"/>
        <w:rPr>
          <w:rFonts w:eastAsia="Times New Roman"/>
          <w:bCs/>
          <w:sz w:val="26"/>
          <w:szCs w:val="26"/>
        </w:rPr>
      </w:pPr>
    </w:p>
    <w:p w14:paraId="32A21B05" w14:textId="77777777" w:rsidR="00DF0C19" w:rsidRPr="00DF0C19" w:rsidRDefault="00DF0C19" w:rsidP="00DF0C19">
      <w:pPr>
        <w:spacing w:after="360" w:line="360" w:lineRule="auto"/>
        <w:ind w:right="-159"/>
        <w:jc w:val="both"/>
        <w:rPr>
          <w:rFonts w:eastAsia="Times New Roman"/>
          <w:bCs/>
          <w:sz w:val="26"/>
          <w:szCs w:val="26"/>
        </w:rPr>
      </w:pPr>
      <w:r w:rsidRPr="00DF0C19">
        <w:rPr>
          <w:rFonts w:eastAsia="Times New Roman"/>
          <w:b/>
          <w:bCs/>
          <w:sz w:val="26"/>
          <w:szCs w:val="26"/>
        </w:rPr>
        <w:t>El Indicador IMEF Manufacturero</w:t>
      </w:r>
    </w:p>
    <w:p w14:paraId="0FF35088" w14:textId="77777777" w:rsidR="00DF0C19" w:rsidRPr="00DF0C19" w:rsidRDefault="00DF0C19" w:rsidP="00DF0C19">
      <w:pPr>
        <w:spacing w:after="360" w:line="360" w:lineRule="auto"/>
        <w:ind w:right="-159"/>
        <w:jc w:val="both"/>
        <w:rPr>
          <w:rFonts w:eastAsia="Times New Roman"/>
          <w:bCs/>
          <w:sz w:val="26"/>
          <w:szCs w:val="26"/>
        </w:rPr>
      </w:pPr>
      <w:r w:rsidRPr="00DF0C19">
        <w:rPr>
          <w:rFonts w:eastAsia="Times New Roman"/>
          <w:bCs/>
          <w:sz w:val="26"/>
          <w:szCs w:val="26"/>
        </w:rPr>
        <w:t>El Indicador IMEF Manufacturero disminuyó 0.3 unidades en febrero, con relación al mes previo, ubicándose en 50.7 puntos, ligeramente por arriba del umbral de 50.0 puntos.  Por su parte, la serie tendencia-ciclo registró una baja en el mes referencia de 0.1 puntos, para colocarse en 51.1 puntos. Dicha baja se debió a la contracción en tres de los cinco subíndices que conforman el indicador.  En particular, los subíndices de nuevos pedidos, producción y empleo disminuyeron 1.4, 2.4 y 0.2 respectivamente. En contraste, los subíndices de entrega de productos e inventarios aumentaron en 1.1 y 2.9 puntos. Cabe señalar que los subíndices de empleo y entrega de productos se encuentran ubicados por debajo de la frontera de 50.0 puntos.   El indicador ajustado por tamaño de empresa reportó un incremento de 1.3, con lo que el índice se situó en 53.9 puntos. Esto sugiere que las empresas grandes tienen un mejor desempeño con relación a   las de menor tamaño.</w:t>
      </w:r>
    </w:p>
    <w:p w14:paraId="0465305A" w14:textId="77777777" w:rsidR="00DF0C19" w:rsidRPr="00DF0C19" w:rsidRDefault="00DF0C19" w:rsidP="00DF0C19">
      <w:pPr>
        <w:spacing w:after="360" w:line="360" w:lineRule="auto"/>
        <w:ind w:right="-159"/>
        <w:jc w:val="both"/>
        <w:rPr>
          <w:rFonts w:eastAsia="Times New Roman"/>
          <w:bCs/>
          <w:sz w:val="26"/>
          <w:szCs w:val="26"/>
        </w:rPr>
      </w:pPr>
      <w:r w:rsidRPr="00DF0C19">
        <w:rPr>
          <w:rFonts w:eastAsia="Times New Roman"/>
          <w:bCs/>
          <w:sz w:val="26"/>
          <w:szCs w:val="26"/>
        </w:rPr>
        <w:lastRenderedPageBreak/>
        <w:t>En la discusión de la coyuntura económica en el Comité Técnico del Indicador destaca el repunte de las exportaciones manufactureras en noviembre y diciembre, aunque en enero volvieron a caer.  Por otra parte, las exportaciones petroleras han registrado una contracción sustancial a partir de septiembre, debido a la considerable caída en el precio del petróleo así como menor volumen de exportación. Es muy probable que este escenario prevalezca a lo largo de 2015.</w:t>
      </w:r>
    </w:p>
    <w:p w14:paraId="38FC8FFD" w14:textId="77777777" w:rsidR="00DF0C19" w:rsidRPr="00DF0C19" w:rsidRDefault="00DF0C19" w:rsidP="00DF0C19">
      <w:pPr>
        <w:spacing w:after="360" w:line="360" w:lineRule="auto"/>
        <w:ind w:right="-159"/>
        <w:jc w:val="both"/>
        <w:rPr>
          <w:rFonts w:eastAsia="Times New Roman"/>
          <w:bCs/>
          <w:sz w:val="26"/>
          <w:szCs w:val="26"/>
        </w:rPr>
      </w:pPr>
      <w:r w:rsidRPr="00DF0C19">
        <w:rPr>
          <w:rFonts w:eastAsia="Times New Roman"/>
          <w:bCs/>
          <w:sz w:val="26"/>
          <w:szCs w:val="26"/>
        </w:rPr>
        <w:t>El repunte está relacionado con los buenos resultados en la economía de Estados Unidos de Norteamérica. El crecimiento del Producto Interno Bruto (PIB) en el cuarto trimestre de 2014 para dicho país fue de 2.6%, aunque ligeramente por debajo de lo esperado por los analistas económicos. Por su parte, el ISM Manufacturero se ubicó en 52.9 puntos en febrero de este año, pero con una trayectoria descendente desde octubre de 2014, lo que sugiere que el sector seguirá creciendo, aunque probablemente a un ritmo más moderado de lo que lo venía haciendo. Se prevé que el crecimiento de esta economía se mantenga, aunque persiste un riesgo a la baja por la debilidad económica en Europa y el menor dinamismo en algunos países de Asia.</w:t>
      </w:r>
    </w:p>
    <w:p w14:paraId="4C2CA597" w14:textId="77777777" w:rsidR="00DF0C19" w:rsidRPr="00DF0C19" w:rsidRDefault="00DF0C19" w:rsidP="00DF0C19">
      <w:pPr>
        <w:spacing w:after="360" w:line="360" w:lineRule="auto"/>
        <w:ind w:right="-159"/>
        <w:jc w:val="both"/>
        <w:rPr>
          <w:rFonts w:eastAsia="Times New Roman"/>
          <w:bCs/>
          <w:sz w:val="26"/>
          <w:szCs w:val="26"/>
        </w:rPr>
      </w:pPr>
      <w:r w:rsidRPr="00DF0C19">
        <w:rPr>
          <w:rFonts w:eastAsia="Times New Roman"/>
          <w:bCs/>
          <w:sz w:val="26"/>
          <w:szCs w:val="26"/>
        </w:rPr>
        <w:t>Se espera que la recuperación reflejada en la industria de la construcción en México tenga un impacto positivo en el crecimiento de la economía. La tasa de variación anual de dicha industria, en el segundo semestre de 2014, fue elevada (4.8% en promedio). Sin embargo, el reciente recorte al gasto público anunciado por la Secretaría de Hacienda y Crédito Publico podría representar un riesgo a la baja para algunos sectores de la actividad económica.   Por   su   parte,   el   mercado   interno   continúa   recuperándose lentamente, en particular, el correspondiente al consumo privado.</w:t>
      </w:r>
    </w:p>
    <w:p w14:paraId="67D97309" w14:textId="77777777" w:rsidR="00DF0C19" w:rsidRPr="00DF0C19" w:rsidRDefault="00DF0C19" w:rsidP="00DF0C19">
      <w:pPr>
        <w:spacing w:after="360" w:line="360" w:lineRule="auto"/>
        <w:ind w:right="-159"/>
        <w:jc w:val="both"/>
        <w:rPr>
          <w:rFonts w:eastAsia="Times New Roman"/>
          <w:bCs/>
          <w:sz w:val="26"/>
          <w:szCs w:val="26"/>
        </w:rPr>
      </w:pPr>
    </w:p>
    <w:p w14:paraId="1C1F10AA" w14:textId="77777777" w:rsidR="00DF0C19" w:rsidRPr="00DF0C19" w:rsidRDefault="00DF0C19" w:rsidP="00DF0C19">
      <w:pPr>
        <w:spacing w:after="360" w:line="360" w:lineRule="auto"/>
        <w:ind w:right="-159"/>
        <w:jc w:val="both"/>
        <w:rPr>
          <w:rFonts w:eastAsia="Times New Roman"/>
          <w:bCs/>
          <w:sz w:val="26"/>
          <w:szCs w:val="26"/>
        </w:rPr>
      </w:pPr>
    </w:p>
    <w:p w14:paraId="6ECF0EEA" w14:textId="77777777" w:rsidR="00DF0C19" w:rsidRPr="00DF0C19" w:rsidRDefault="00DF0C19" w:rsidP="00DF0C19">
      <w:pPr>
        <w:spacing w:after="360" w:line="360" w:lineRule="auto"/>
        <w:ind w:right="-159"/>
        <w:jc w:val="both"/>
        <w:rPr>
          <w:rFonts w:eastAsia="Times New Roman"/>
          <w:bCs/>
          <w:sz w:val="26"/>
          <w:szCs w:val="26"/>
        </w:rPr>
      </w:pPr>
    </w:p>
    <w:tbl>
      <w:tblPr>
        <w:tblW w:w="0" w:type="auto"/>
        <w:jc w:val="center"/>
        <w:tblLook w:val="04A0" w:firstRow="1" w:lastRow="0" w:firstColumn="1" w:lastColumn="0" w:noHBand="0" w:noVBand="1"/>
      </w:tblPr>
      <w:tblGrid>
        <w:gridCol w:w="8111"/>
      </w:tblGrid>
      <w:tr w:rsidR="00DF0C19" w:rsidRPr="00DF0C19" w14:paraId="6BFC4B54" w14:textId="77777777" w:rsidTr="001E7D79">
        <w:trPr>
          <w:jc w:val="center"/>
        </w:trPr>
        <w:tc>
          <w:tcPr>
            <w:tcW w:w="8111" w:type="dxa"/>
          </w:tcPr>
          <w:p w14:paraId="187C19F3" w14:textId="77777777" w:rsidR="00DF0C19" w:rsidRPr="00DF0C19" w:rsidRDefault="00DF0C19" w:rsidP="00DF0C19">
            <w:pPr>
              <w:ind w:right="-159"/>
              <w:jc w:val="center"/>
              <w:rPr>
                <w:rFonts w:eastAsia="Times New Roman"/>
                <w:b/>
                <w:bCs/>
                <w:sz w:val="22"/>
                <w:szCs w:val="22"/>
              </w:rPr>
            </w:pPr>
            <w:r w:rsidRPr="00DF0C19">
              <w:rPr>
                <w:rFonts w:eastAsia="Times New Roman"/>
                <w:b/>
                <w:bCs/>
                <w:sz w:val="22"/>
                <w:szCs w:val="22"/>
              </w:rPr>
              <w:lastRenderedPageBreak/>
              <w:t>INDICADOR IMEF MANUFACTURERO</w:t>
            </w:r>
          </w:p>
        </w:tc>
      </w:tr>
      <w:tr w:rsidR="00DF0C19" w:rsidRPr="00DF0C19" w14:paraId="3D878FB2" w14:textId="77777777" w:rsidTr="001E7D79">
        <w:trPr>
          <w:trHeight w:val="94"/>
          <w:jc w:val="center"/>
        </w:trPr>
        <w:tc>
          <w:tcPr>
            <w:tcW w:w="8111" w:type="dxa"/>
          </w:tcPr>
          <w:p w14:paraId="48E2BD5E" w14:textId="77777777" w:rsidR="00DF0C19" w:rsidRPr="00DF0C19" w:rsidRDefault="00DF0C19" w:rsidP="00DF0C19">
            <w:pPr>
              <w:jc w:val="center"/>
              <w:rPr>
                <w:rFonts w:eastAsia="Times New Roman"/>
                <w:bCs/>
                <w:sz w:val="26"/>
                <w:szCs w:val="26"/>
              </w:rPr>
            </w:pPr>
            <w:r w:rsidRPr="00DF0C19">
              <w:rPr>
                <w:rFonts w:eastAsia="Times New Roman"/>
                <w:bCs/>
                <w:noProof/>
                <w:sz w:val="26"/>
                <w:szCs w:val="26"/>
                <w:lang w:eastAsia="es-MX"/>
              </w:rPr>
              <w:drawing>
                <wp:inline distT="0" distB="0" distL="0" distR="0" wp14:anchorId="566C4EE1" wp14:editId="141AE1BC">
                  <wp:extent cx="4751704" cy="2700000"/>
                  <wp:effectExtent l="0" t="0" r="0" b="5715"/>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88" cstate="print">
                            <a:extLst>
                              <a:ext uri="{28A0092B-C50C-407E-A947-70E740481C1C}">
                                <a14:useLocalDpi xmlns:a14="http://schemas.microsoft.com/office/drawing/2010/main" val="0"/>
                              </a:ext>
                            </a:extLst>
                          </a:blip>
                          <a:srcRect t="3630" b="2204"/>
                          <a:stretch/>
                        </pic:blipFill>
                        <pic:spPr bwMode="auto">
                          <a:xfrm>
                            <a:off x="0" y="0"/>
                            <a:ext cx="4751704" cy="270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F0C19" w:rsidRPr="00DF0C19" w14:paraId="6CE62A13" w14:textId="77777777" w:rsidTr="001E7D79">
        <w:trPr>
          <w:jc w:val="center"/>
        </w:trPr>
        <w:tc>
          <w:tcPr>
            <w:tcW w:w="8111" w:type="dxa"/>
          </w:tcPr>
          <w:p w14:paraId="14A0839F" w14:textId="77777777" w:rsidR="00DF0C19" w:rsidRPr="00DF0C19" w:rsidRDefault="00DF0C19" w:rsidP="00DF0C19">
            <w:pPr>
              <w:ind w:left="743"/>
              <w:jc w:val="both"/>
              <w:rPr>
                <w:rFonts w:eastAsia="Times New Roman"/>
                <w:bCs/>
                <w:sz w:val="20"/>
                <w:szCs w:val="20"/>
              </w:rPr>
            </w:pPr>
            <w:r w:rsidRPr="00DF0C19">
              <w:rPr>
                <w:rFonts w:eastAsia="Times New Roman"/>
                <w:bCs/>
                <w:sz w:val="20"/>
                <w:szCs w:val="20"/>
              </w:rPr>
              <w:t>FUENTE: IMEF.</w:t>
            </w:r>
          </w:p>
        </w:tc>
      </w:tr>
    </w:tbl>
    <w:p w14:paraId="54E90766" w14:textId="77777777" w:rsidR="00DF0C19" w:rsidRDefault="00DF0C19" w:rsidP="00DF0C19">
      <w:pPr>
        <w:spacing w:after="360" w:line="360" w:lineRule="auto"/>
        <w:ind w:right="-159"/>
        <w:jc w:val="both"/>
        <w:rPr>
          <w:rFonts w:eastAsia="Times New Roman"/>
          <w:sz w:val="26"/>
          <w:szCs w:val="26"/>
        </w:rPr>
      </w:pPr>
    </w:p>
    <w:tbl>
      <w:tblPr>
        <w:tblW w:w="8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137"/>
        <w:gridCol w:w="903"/>
        <w:gridCol w:w="995"/>
        <w:gridCol w:w="995"/>
        <w:gridCol w:w="1215"/>
        <w:gridCol w:w="982"/>
        <w:gridCol w:w="1107"/>
        <w:gridCol w:w="1218"/>
      </w:tblGrid>
      <w:tr w:rsidR="00DF0C19" w:rsidRPr="00DF0C19" w14:paraId="53C275CD" w14:textId="77777777" w:rsidTr="00E23F0E">
        <w:trPr>
          <w:cantSplit/>
          <w:jc w:val="center"/>
        </w:trPr>
        <w:tc>
          <w:tcPr>
            <w:tcW w:w="8552" w:type="dxa"/>
            <w:gridSpan w:val="8"/>
            <w:tcBorders>
              <w:top w:val="nil"/>
              <w:left w:val="nil"/>
              <w:bottom w:val="single" w:sz="4" w:space="0" w:color="auto"/>
              <w:right w:val="nil"/>
            </w:tcBorders>
            <w:vAlign w:val="center"/>
          </w:tcPr>
          <w:p w14:paraId="0ACDAE7F" w14:textId="77777777" w:rsidR="00DF0C19" w:rsidRPr="00DF0C19" w:rsidRDefault="00DF0C19" w:rsidP="00DF0C19">
            <w:pPr>
              <w:jc w:val="center"/>
              <w:rPr>
                <w:rFonts w:eastAsia="Times New Roman"/>
                <w:b/>
                <w:bCs/>
                <w:sz w:val="22"/>
                <w:szCs w:val="22"/>
                <w:lang w:val="es-ES"/>
              </w:rPr>
            </w:pPr>
            <w:r w:rsidRPr="00DF0C19">
              <w:rPr>
                <w:rFonts w:eastAsia="Times New Roman"/>
                <w:b/>
                <w:bCs/>
                <w:sz w:val="22"/>
                <w:szCs w:val="22"/>
                <w:lang w:val="es-ES"/>
              </w:rPr>
              <w:t>INDICADOR IMEF MANUFACTURERO</w:t>
            </w:r>
          </w:p>
          <w:p w14:paraId="0FABFAD5" w14:textId="77777777" w:rsidR="00DF0C19" w:rsidRPr="00DF0C19" w:rsidRDefault="00DF0C19" w:rsidP="00DF0C19">
            <w:pPr>
              <w:jc w:val="center"/>
              <w:rPr>
                <w:rFonts w:eastAsia="Times New Roman"/>
                <w:b/>
                <w:bCs/>
                <w:sz w:val="22"/>
                <w:szCs w:val="22"/>
                <w:lang w:val="es-ES"/>
              </w:rPr>
            </w:pPr>
            <w:r w:rsidRPr="00DF0C19">
              <w:rPr>
                <w:rFonts w:eastAsia="Times New Roman"/>
                <w:b/>
                <w:sz w:val="22"/>
                <w:szCs w:val="22"/>
                <w:lang w:val="es-ES"/>
              </w:rPr>
              <w:t>-Series desestacionalizadas-</w:t>
            </w:r>
          </w:p>
        </w:tc>
      </w:tr>
      <w:tr w:rsidR="00DF0C19" w:rsidRPr="00DF0C19" w14:paraId="1E1CE882" w14:textId="77777777" w:rsidTr="00E23F0E">
        <w:trPr>
          <w:cantSplit/>
          <w:jc w:val="center"/>
        </w:trPr>
        <w:tc>
          <w:tcPr>
            <w:tcW w:w="1137" w:type="dxa"/>
            <w:tcBorders>
              <w:bottom w:val="single" w:sz="4" w:space="0" w:color="auto"/>
            </w:tcBorders>
            <w:vAlign w:val="center"/>
          </w:tcPr>
          <w:p w14:paraId="662E0AB1" w14:textId="77777777" w:rsidR="00DF0C19" w:rsidRPr="00DF0C19" w:rsidRDefault="00DF0C19" w:rsidP="00DF0C19">
            <w:pPr>
              <w:spacing w:before="20" w:after="20"/>
              <w:jc w:val="center"/>
              <w:rPr>
                <w:rFonts w:eastAsia="Times New Roman"/>
                <w:b/>
                <w:bCs/>
                <w:sz w:val="18"/>
                <w:szCs w:val="18"/>
                <w:highlight w:val="yellow"/>
                <w:lang w:val="es-ES"/>
              </w:rPr>
            </w:pPr>
            <w:r w:rsidRPr="00DF0C19">
              <w:rPr>
                <w:rFonts w:eastAsia="Times New Roman"/>
                <w:b/>
                <w:bCs/>
                <w:sz w:val="18"/>
                <w:szCs w:val="18"/>
                <w:lang w:val="es-ES"/>
              </w:rPr>
              <w:t>2014/2015</w:t>
            </w:r>
          </w:p>
        </w:tc>
        <w:tc>
          <w:tcPr>
            <w:tcW w:w="903" w:type="dxa"/>
            <w:tcBorders>
              <w:bottom w:val="single" w:sz="4" w:space="0" w:color="auto"/>
            </w:tcBorders>
            <w:vAlign w:val="center"/>
          </w:tcPr>
          <w:p w14:paraId="0F5D249C" w14:textId="77777777" w:rsidR="00DF0C19" w:rsidRPr="00DF0C19" w:rsidRDefault="00DF0C19" w:rsidP="00DF0C19">
            <w:pPr>
              <w:spacing w:before="20" w:after="20"/>
              <w:jc w:val="center"/>
              <w:rPr>
                <w:rFonts w:eastAsia="Times New Roman"/>
                <w:b/>
                <w:bCs/>
                <w:sz w:val="18"/>
                <w:szCs w:val="18"/>
                <w:lang w:val="es-ES"/>
              </w:rPr>
            </w:pPr>
            <w:r w:rsidRPr="00DF0C19">
              <w:rPr>
                <w:rFonts w:eastAsia="Times New Roman"/>
                <w:b/>
                <w:bCs/>
                <w:sz w:val="18"/>
                <w:szCs w:val="18"/>
                <w:lang w:val="es-ES"/>
              </w:rPr>
              <w:t>Índice</w:t>
            </w:r>
          </w:p>
          <w:p w14:paraId="03523544" w14:textId="77777777" w:rsidR="00DF0C19" w:rsidRPr="00DF0C19" w:rsidRDefault="00DF0C19" w:rsidP="00DF0C19">
            <w:pPr>
              <w:spacing w:before="20" w:after="20"/>
              <w:jc w:val="center"/>
              <w:rPr>
                <w:rFonts w:eastAsia="Times New Roman"/>
                <w:b/>
                <w:bCs/>
                <w:sz w:val="18"/>
                <w:szCs w:val="18"/>
                <w:lang w:val="es-ES"/>
              </w:rPr>
            </w:pPr>
            <w:r w:rsidRPr="00DF0C19">
              <w:rPr>
                <w:rFonts w:eastAsia="Times New Roman"/>
                <w:b/>
                <w:bCs/>
                <w:sz w:val="18"/>
                <w:szCs w:val="18"/>
                <w:lang w:val="es-ES"/>
              </w:rPr>
              <w:t>Total</w:t>
            </w:r>
          </w:p>
        </w:tc>
        <w:tc>
          <w:tcPr>
            <w:tcW w:w="995" w:type="dxa"/>
            <w:tcBorders>
              <w:bottom w:val="single" w:sz="4" w:space="0" w:color="auto"/>
            </w:tcBorders>
            <w:vAlign w:val="center"/>
          </w:tcPr>
          <w:p w14:paraId="03D214D9" w14:textId="77777777" w:rsidR="00DF0C19" w:rsidRPr="00DF0C19" w:rsidRDefault="00DF0C19" w:rsidP="00DF0C19">
            <w:pPr>
              <w:spacing w:before="20" w:after="20"/>
              <w:jc w:val="center"/>
              <w:rPr>
                <w:rFonts w:eastAsia="Times New Roman"/>
                <w:b/>
                <w:bCs/>
                <w:sz w:val="18"/>
                <w:szCs w:val="18"/>
                <w:lang w:val="es-ES"/>
              </w:rPr>
            </w:pPr>
            <w:r w:rsidRPr="00DF0C19">
              <w:rPr>
                <w:rFonts w:eastAsia="Times New Roman"/>
                <w:b/>
                <w:bCs/>
                <w:sz w:val="18"/>
                <w:szCs w:val="18"/>
                <w:lang w:val="es-ES"/>
              </w:rPr>
              <w:t>Ajustado por tamaño de empresa</w:t>
            </w:r>
          </w:p>
        </w:tc>
        <w:tc>
          <w:tcPr>
            <w:tcW w:w="995" w:type="dxa"/>
            <w:tcBorders>
              <w:bottom w:val="single" w:sz="4" w:space="0" w:color="auto"/>
            </w:tcBorders>
            <w:vAlign w:val="center"/>
          </w:tcPr>
          <w:p w14:paraId="2D768394" w14:textId="77777777" w:rsidR="00DF0C19" w:rsidRPr="00DF0C19" w:rsidRDefault="00DF0C19" w:rsidP="00DF0C19">
            <w:pPr>
              <w:spacing w:before="20" w:after="20"/>
              <w:jc w:val="center"/>
              <w:rPr>
                <w:rFonts w:eastAsia="Times New Roman"/>
                <w:b/>
                <w:bCs/>
                <w:sz w:val="18"/>
                <w:szCs w:val="18"/>
                <w:lang w:val="es-ES"/>
              </w:rPr>
            </w:pPr>
            <w:r w:rsidRPr="00DF0C19">
              <w:rPr>
                <w:rFonts w:eastAsia="Times New Roman"/>
                <w:b/>
                <w:bCs/>
                <w:sz w:val="18"/>
                <w:szCs w:val="18"/>
                <w:lang w:val="es-ES"/>
              </w:rPr>
              <w:t>Nuevos pedidos</w:t>
            </w:r>
          </w:p>
        </w:tc>
        <w:tc>
          <w:tcPr>
            <w:tcW w:w="1215" w:type="dxa"/>
            <w:tcBorders>
              <w:bottom w:val="single" w:sz="4" w:space="0" w:color="auto"/>
            </w:tcBorders>
            <w:vAlign w:val="center"/>
          </w:tcPr>
          <w:p w14:paraId="36A29ED2" w14:textId="77777777" w:rsidR="00DF0C19" w:rsidRPr="00DF0C19" w:rsidRDefault="00DF0C19" w:rsidP="00DF0C19">
            <w:pPr>
              <w:spacing w:before="20" w:after="20"/>
              <w:jc w:val="center"/>
              <w:rPr>
                <w:rFonts w:eastAsia="Times New Roman"/>
                <w:b/>
                <w:bCs/>
                <w:sz w:val="18"/>
                <w:szCs w:val="18"/>
                <w:lang w:val="es-ES"/>
              </w:rPr>
            </w:pPr>
            <w:r w:rsidRPr="00DF0C19">
              <w:rPr>
                <w:rFonts w:eastAsia="Times New Roman"/>
                <w:b/>
                <w:bCs/>
                <w:sz w:val="18"/>
                <w:szCs w:val="18"/>
                <w:lang w:val="es-ES"/>
              </w:rPr>
              <w:t>Producción</w:t>
            </w:r>
          </w:p>
        </w:tc>
        <w:tc>
          <w:tcPr>
            <w:tcW w:w="982" w:type="dxa"/>
            <w:tcBorders>
              <w:bottom w:val="single" w:sz="4" w:space="0" w:color="auto"/>
            </w:tcBorders>
            <w:vAlign w:val="center"/>
          </w:tcPr>
          <w:p w14:paraId="17B3B59F" w14:textId="77777777" w:rsidR="00DF0C19" w:rsidRPr="00DF0C19" w:rsidRDefault="00DF0C19" w:rsidP="00DF0C19">
            <w:pPr>
              <w:spacing w:before="20" w:after="20"/>
              <w:jc w:val="center"/>
              <w:rPr>
                <w:rFonts w:eastAsia="Times New Roman"/>
                <w:b/>
                <w:bCs/>
                <w:sz w:val="18"/>
                <w:szCs w:val="18"/>
                <w:lang w:val="es-ES"/>
              </w:rPr>
            </w:pPr>
            <w:r w:rsidRPr="00DF0C19">
              <w:rPr>
                <w:rFonts w:eastAsia="Times New Roman"/>
                <w:b/>
                <w:bCs/>
                <w:sz w:val="18"/>
                <w:szCs w:val="18"/>
                <w:lang w:val="es-ES"/>
              </w:rPr>
              <w:t>Empleo</w:t>
            </w:r>
          </w:p>
        </w:tc>
        <w:tc>
          <w:tcPr>
            <w:tcW w:w="1107" w:type="dxa"/>
            <w:tcBorders>
              <w:bottom w:val="single" w:sz="4" w:space="0" w:color="auto"/>
            </w:tcBorders>
            <w:vAlign w:val="center"/>
          </w:tcPr>
          <w:p w14:paraId="644B4FF4" w14:textId="77777777" w:rsidR="00DF0C19" w:rsidRPr="00DF0C19" w:rsidRDefault="00DF0C19" w:rsidP="00DF0C19">
            <w:pPr>
              <w:spacing w:before="20" w:after="20"/>
              <w:jc w:val="center"/>
              <w:rPr>
                <w:rFonts w:eastAsia="Times New Roman"/>
                <w:b/>
                <w:bCs/>
                <w:sz w:val="18"/>
                <w:szCs w:val="18"/>
                <w:lang w:val="es-ES"/>
              </w:rPr>
            </w:pPr>
            <w:r w:rsidRPr="00DF0C19">
              <w:rPr>
                <w:rFonts w:eastAsia="Times New Roman"/>
                <w:b/>
                <w:bCs/>
                <w:sz w:val="18"/>
                <w:szCs w:val="18"/>
                <w:lang w:val="es-ES"/>
              </w:rPr>
              <w:t>Entrega de productos*</w:t>
            </w:r>
          </w:p>
        </w:tc>
        <w:tc>
          <w:tcPr>
            <w:tcW w:w="1218" w:type="dxa"/>
            <w:tcBorders>
              <w:bottom w:val="single" w:sz="4" w:space="0" w:color="auto"/>
            </w:tcBorders>
            <w:vAlign w:val="center"/>
          </w:tcPr>
          <w:p w14:paraId="38473083" w14:textId="77777777" w:rsidR="00DF0C19" w:rsidRPr="00DF0C19" w:rsidRDefault="00DF0C19" w:rsidP="00DF0C19">
            <w:pPr>
              <w:spacing w:before="20" w:after="20"/>
              <w:jc w:val="center"/>
              <w:rPr>
                <w:rFonts w:eastAsia="Times New Roman"/>
                <w:b/>
                <w:bCs/>
                <w:sz w:val="18"/>
                <w:szCs w:val="18"/>
                <w:lang w:val="es-ES"/>
              </w:rPr>
            </w:pPr>
            <w:r w:rsidRPr="00DF0C19">
              <w:rPr>
                <w:rFonts w:eastAsia="Times New Roman"/>
                <w:b/>
                <w:bCs/>
                <w:sz w:val="18"/>
                <w:szCs w:val="18"/>
                <w:lang w:val="es-ES"/>
              </w:rPr>
              <w:t>Inventarios*</w:t>
            </w:r>
          </w:p>
        </w:tc>
      </w:tr>
      <w:tr w:rsidR="00DF0C19" w:rsidRPr="00DF0C19" w14:paraId="45C472D9" w14:textId="77777777" w:rsidTr="00E23F0E">
        <w:trPr>
          <w:jc w:val="center"/>
        </w:trPr>
        <w:tc>
          <w:tcPr>
            <w:tcW w:w="1137" w:type="dxa"/>
            <w:tcBorders>
              <w:top w:val="single" w:sz="4" w:space="0" w:color="auto"/>
              <w:bottom w:val="nil"/>
            </w:tcBorders>
          </w:tcPr>
          <w:p w14:paraId="561091AD" w14:textId="77777777" w:rsidR="00DF0C19" w:rsidRPr="00DF0C19" w:rsidRDefault="00DF0C19" w:rsidP="00DF0C19">
            <w:pPr>
              <w:spacing w:before="20" w:after="20"/>
              <w:rPr>
                <w:rFonts w:eastAsia="Times New Roman"/>
                <w:sz w:val="18"/>
                <w:szCs w:val="18"/>
              </w:rPr>
            </w:pPr>
            <w:r w:rsidRPr="00DF0C19">
              <w:rPr>
                <w:rFonts w:eastAsia="Times New Roman"/>
                <w:sz w:val="18"/>
                <w:szCs w:val="18"/>
              </w:rPr>
              <w:t xml:space="preserve">Septiembre </w:t>
            </w:r>
          </w:p>
        </w:tc>
        <w:tc>
          <w:tcPr>
            <w:tcW w:w="903" w:type="dxa"/>
            <w:tcBorders>
              <w:top w:val="single" w:sz="4" w:space="0" w:color="auto"/>
              <w:bottom w:val="nil"/>
            </w:tcBorders>
            <w:vAlign w:val="center"/>
          </w:tcPr>
          <w:p w14:paraId="54B17A81" w14:textId="77777777" w:rsidR="00DF0C19" w:rsidRPr="00DF0C19" w:rsidRDefault="00DF0C19" w:rsidP="00DF0C19">
            <w:pPr>
              <w:spacing w:before="20" w:after="20"/>
              <w:jc w:val="center"/>
              <w:rPr>
                <w:rFonts w:eastAsia="Times New Roman"/>
                <w:sz w:val="18"/>
                <w:szCs w:val="18"/>
              </w:rPr>
            </w:pPr>
            <w:r w:rsidRPr="00DF0C19">
              <w:rPr>
                <w:rFonts w:eastAsia="Times New Roman"/>
                <w:sz w:val="18"/>
                <w:szCs w:val="18"/>
              </w:rPr>
              <w:t>53.1</w:t>
            </w:r>
          </w:p>
        </w:tc>
        <w:tc>
          <w:tcPr>
            <w:tcW w:w="995" w:type="dxa"/>
            <w:tcBorders>
              <w:top w:val="single" w:sz="4" w:space="0" w:color="auto"/>
              <w:bottom w:val="nil"/>
            </w:tcBorders>
            <w:vAlign w:val="center"/>
          </w:tcPr>
          <w:p w14:paraId="37B58CD7" w14:textId="77777777" w:rsidR="00DF0C19" w:rsidRPr="00DF0C19" w:rsidRDefault="00DF0C19" w:rsidP="00DF0C19">
            <w:pPr>
              <w:spacing w:before="20" w:after="20"/>
              <w:jc w:val="center"/>
              <w:rPr>
                <w:rFonts w:eastAsia="Times New Roman"/>
                <w:sz w:val="18"/>
                <w:szCs w:val="18"/>
              </w:rPr>
            </w:pPr>
            <w:r w:rsidRPr="00DF0C19">
              <w:rPr>
                <w:rFonts w:eastAsia="Times New Roman"/>
                <w:sz w:val="18"/>
                <w:szCs w:val="18"/>
              </w:rPr>
              <w:t>53.9</w:t>
            </w:r>
          </w:p>
        </w:tc>
        <w:tc>
          <w:tcPr>
            <w:tcW w:w="995" w:type="dxa"/>
            <w:tcBorders>
              <w:top w:val="single" w:sz="4" w:space="0" w:color="auto"/>
              <w:bottom w:val="nil"/>
            </w:tcBorders>
            <w:vAlign w:val="center"/>
          </w:tcPr>
          <w:p w14:paraId="4AE8F61D" w14:textId="77777777" w:rsidR="00DF0C19" w:rsidRPr="00DF0C19" w:rsidRDefault="00DF0C19" w:rsidP="00DF0C19">
            <w:pPr>
              <w:spacing w:before="20" w:after="20"/>
              <w:jc w:val="center"/>
              <w:rPr>
                <w:rFonts w:eastAsia="Times New Roman"/>
                <w:sz w:val="18"/>
                <w:szCs w:val="18"/>
              </w:rPr>
            </w:pPr>
            <w:r w:rsidRPr="00DF0C19">
              <w:rPr>
                <w:rFonts w:eastAsia="Times New Roman"/>
                <w:sz w:val="18"/>
                <w:szCs w:val="18"/>
              </w:rPr>
              <w:t>56.4</w:t>
            </w:r>
          </w:p>
        </w:tc>
        <w:tc>
          <w:tcPr>
            <w:tcW w:w="1215" w:type="dxa"/>
            <w:tcBorders>
              <w:top w:val="single" w:sz="4" w:space="0" w:color="auto"/>
              <w:bottom w:val="nil"/>
            </w:tcBorders>
            <w:vAlign w:val="center"/>
          </w:tcPr>
          <w:p w14:paraId="6636807D" w14:textId="77777777" w:rsidR="00DF0C19" w:rsidRPr="00DF0C19" w:rsidRDefault="00DF0C19" w:rsidP="00DF0C19">
            <w:pPr>
              <w:spacing w:before="20" w:after="20"/>
              <w:jc w:val="center"/>
              <w:rPr>
                <w:rFonts w:eastAsia="Times New Roman"/>
                <w:sz w:val="18"/>
                <w:szCs w:val="18"/>
              </w:rPr>
            </w:pPr>
            <w:r w:rsidRPr="00DF0C19">
              <w:rPr>
                <w:rFonts w:eastAsia="Times New Roman"/>
                <w:sz w:val="18"/>
                <w:szCs w:val="18"/>
              </w:rPr>
              <w:t>56.6</w:t>
            </w:r>
          </w:p>
        </w:tc>
        <w:tc>
          <w:tcPr>
            <w:tcW w:w="982" w:type="dxa"/>
            <w:tcBorders>
              <w:top w:val="single" w:sz="4" w:space="0" w:color="auto"/>
              <w:bottom w:val="nil"/>
            </w:tcBorders>
            <w:vAlign w:val="center"/>
          </w:tcPr>
          <w:p w14:paraId="53EC1FF7" w14:textId="77777777" w:rsidR="00DF0C19" w:rsidRPr="00DF0C19" w:rsidRDefault="00DF0C19" w:rsidP="00DF0C19">
            <w:pPr>
              <w:spacing w:before="20" w:after="20"/>
              <w:jc w:val="center"/>
              <w:rPr>
                <w:rFonts w:eastAsia="Times New Roman"/>
                <w:sz w:val="18"/>
                <w:szCs w:val="18"/>
              </w:rPr>
            </w:pPr>
            <w:r w:rsidRPr="00DF0C19">
              <w:rPr>
                <w:rFonts w:eastAsia="Times New Roman"/>
                <w:sz w:val="18"/>
                <w:szCs w:val="18"/>
              </w:rPr>
              <w:t>51.6</w:t>
            </w:r>
          </w:p>
        </w:tc>
        <w:tc>
          <w:tcPr>
            <w:tcW w:w="1107" w:type="dxa"/>
            <w:tcBorders>
              <w:top w:val="single" w:sz="4" w:space="0" w:color="auto"/>
              <w:bottom w:val="nil"/>
            </w:tcBorders>
            <w:vAlign w:val="center"/>
          </w:tcPr>
          <w:p w14:paraId="2493176E" w14:textId="77777777" w:rsidR="00DF0C19" w:rsidRPr="00DF0C19" w:rsidRDefault="00DF0C19" w:rsidP="00DF0C19">
            <w:pPr>
              <w:spacing w:before="20" w:after="20"/>
              <w:jc w:val="center"/>
              <w:rPr>
                <w:rFonts w:eastAsia="Times New Roman"/>
                <w:sz w:val="18"/>
                <w:szCs w:val="18"/>
              </w:rPr>
            </w:pPr>
            <w:r w:rsidRPr="00DF0C19">
              <w:rPr>
                <w:rFonts w:eastAsia="Times New Roman"/>
                <w:sz w:val="18"/>
                <w:szCs w:val="18"/>
              </w:rPr>
              <w:t>50.4</w:t>
            </w:r>
          </w:p>
        </w:tc>
        <w:tc>
          <w:tcPr>
            <w:tcW w:w="1218" w:type="dxa"/>
            <w:tcBorders>
              <w:top w:val="single" w:sz="4" w:space="0" w:color="auto"/>
              <w:bottom w:val="nil"/>
            </w:tcBorders>
            <w:vAlign w:val="center"/>
          </w:tcPr>
          <w:p w14:paraId="39F6A27D" w14:textId="77777777" w:rsidR="00DF0C19" w:rsidRPr="00DF0C19" w:rsidRDefault="00DF0C19" w:rsidP="00DF0C19">
            <w:pPr>
              <w:spacing w:before="20" w:after="20"/>
              <w:jc w:val="center"/>
              <w:rPr>
                <w:rFonts w:eastAsia="Times New Roman"/>
                <w:sz w:val="18"/>
                <w:szCs w:val="18"/>
              </w:rPr>
            </w:pPr>
            <w:r w:rsidRPr="00DF0C19">
              <w:rPr>
                <w:rFonts w:eastAsia="Times New Roman"/>
                <w:sz w:val="18"/>
                <w:szCs w:val="18"/>
              </w:rPr>
              <w:t>51.5</w:t>
            </w:r>
          </w:p>
        </w:tc>
      </w:tr>
      <w:tr w:rsidR="00DF0C19" w:rsidRPr="00DF0C19" w14:paraId="18B0B4FD" w14:textId="77777777" w:rsidTr="00E23F0E">
        <w:trPr>
          <w:jc w:val="center"/>
        </w:trPr>
        <w:tc>
          <w:tcPr>
            <w:tcW w:w="1137" w:type="dxa"/>
            <w:tcBorders>
              <w:top w:val="nil"/>
              <w:bottom w:val="nil"/>
            </w:tcBorders>
          </w:tcPr>
          <w:p w14:paraId="1C76B5B7" w14:textId="77777777" w:rsidR="00DF0C19" w:rsidRPr="00DF0C19" w:rsidRDefault="00DF0C19" w:rsidP="00DF0C19">
            <w:pPr>
              <w:spacing w:before="20" w:after="20"/>
              <w:rPr>
                <w:rFonts w:eastAsia="Times New Roman"/>
                <w:sz w:val="18"/>
                <w:szCs w:val="18"/>
              </w:rPr>
            </w:pPr>
            <w:r w:rsidRPr="00DF0C19">
              <w:rPr>
                <w:rFonts w:eastAsia="Times New Roman"/>
                <w:sz w:val="18"/>
                <w:szCs w:val="18"/>
              </w:rPr>
              <w:t xml:space="preserve">Octubre </w:t>
            </w:r>
          </w:p>
        </w:tc>
        <w:tc>
          <w:tcPr>
            <w:tcW w:w="903" w:type="dxa"/>
            <w:tcBorders>
              <w:top w:val="nil"/>
              <w:bottom w:val="nil"/>
            </w:tcBorders>
            <w:vAlign w:val="center"/>
          </w:tcPr>
          <w:p w14:paraId="112600E1" w14:textId="77777777" w:rsidR="00DF0C19" w:rsidRPr="00DF0C19" w:rsidRDefault="00DF0C19" w:rsidP="00DF0C19">
            <w:pPr>
              <w:spacing w:before="20" w:after="20"/>
              <w:jc w:val="center"/>
              <w:rPr>
                <w:rFonts w:eastAsia="Times New Roman"/>
                <w:sz w:val="18"/>
                <w:szCs w:val="18"/>
              </w:rPr>
            </w:pPr>
            <w:r w:rsidRPr="00DF0C19">
              <w:rPr>
                <w:rFonts w:eastAsia="Times New Roman"/>
                <w:sz w:val="18"/>
                <w:szCs w:val="18"/>
              </w:rPr>
              <w:t>54.6</w:t>
            </w:r>
          </w:p>
        </w:tc>
        <w:tc>
          <w:tcPr>
            <w:tcW w:w="995" w:type="dxa"/>
            <w:tcBorders>
              <w:top w:val="nil"/>
              <w:bottom w:val="nil"/>
            </w:tcBorders>
            <w:vAlign w:val="center"/>
          </w:tcPr>
          <w:p w14:paraId="79FC7194" w14:textId="77777777" w:rsidR="00DF0C19" w:rsidRPr="00DF0C19" w:rsidRDefault="00DF0C19" w:rsidP="00DF0C19">
            <w:pPr>
              <w:spacing w:before="20" w:after="20"/>
              <w:jc w:val="center"/>
              <w:rPr>
                <w:rFonts w:eastAsia="Times New Roman"/>
                <w:sz w:val="18"/>
                <w:szCs w:val="18"/>
              </w:rPr>
            </w:pPr>
            <w:r w:rsidRPr="00DF0C19">
              <w:rPr>
                <w:rFonts w:eastAsia="Times New Roman"/>
                <w:sz w:val="18"/>
                <w:szCs w:val="18"/>
              </w:rPr>
              <w:t>54.7</w:t>
            </w:r>
          </w:p>
        </w:tc>
        <w:tc>
          <w:tcPr>
            <w:tcW w:w="995" w:type="dxa"/>
            <w:tcBorders>
              <w:top w:val="nil"/>
              <w:bottom w:val="nil"/>
            </w:tcBorders>
            <w:vAlign w:val="center"/>
          </w:tcPr>
          <w:p w14:paraId="649E43A8" w14:textId="77777777" w:rsidR="00DF0C19" w:rsidRPr="00DF0C19" w:rsidRDefault="00DF0C19" w:rsidP="00DF0C19">
            <w:pPr>
              <w:spacing w:before="20" w:after="20"/>
              <w:jc w:val="center"/>
              <w:rPr>
                <w:rFonts w:eastAsia="Times New Roman"/>
                <w:sz w:val="18"/>
                <w:szCs w:val="18"/>
              </w:rPr>
            </w:pPr>
            <w:r w:rsidRPr="00DF0C19">
              <w:rPr>
                <w:rFonts w:eastAsia="Times New Roman"/>
                <w:sz w:val="18"/>
                <w:szCs w:val="18"/>
              </w:rPr>
              <w:t>57.9</w:t>
            </w:r>
          </w:p>
        </w:tc>
        <w:tc>
          <w:tcPr>
            <w:tcW w:w="1215" w:type="dxa"/>
            <w:tcBorders>
              <w:top w:val="nil"/>
              <w:bottom w:val="nil"/>
            </w:tcBorders>
            <w:vAlign w:val="center"/>
          </w:tcPr>
          <w:p w14:paraId="26967ED7" w14:textId="77777777" w:rsidR="00DF0C19" w:rsidRPr="00DF0C19" w:rsidRDefault="00DF0C19" w:rsidP="00DF0C19">
            <w:pPr>
              <w:spacing w:before="20" w:after="20"/>
              <w:jc w:val="center"/>
              <w:rPr>
                <w:rFonts w:eastAsia="Times New Roman"/>
                <w:sz w:val="18"/>
                <w:szCs w:val="18"/>
              </w:rPr>
            </w:pPr>
            <w:r w:rsidRPr="00DF0C19">
              <w:rPr>
                <w:rFonts w:eastAsia="Times New Roman"/>
                <w:sz w:val="18"/>
                <w:szCs w:val="18"/>
              </w:rPr>
              <w:t>56.6</w:t>
            </w:r>
          </w:p>
        </w:tc>
        <w:tc>
          <w:tcPr>
            <w:tcW w:w="982" w:type="dxa"/>
            <w:tcBorders>
              <w:top w:val="nil"/>
              <w:bottom w:val="nil"/>
            </w:tcBorders>
            <w:vAlign w:val="center"/>
          </w:tcPr>
          <w:p w14:paraId="768CCCC7" w14:textId="77777777" w:rsidR="00DF0C19" w:rsidRPr="00DF0C19" w:rsidRDefault="00DF0C19" w:rsidP="00DF0C19">
            <w:pPr>
              <w:spacing w:before="20" w:after="20"/>
              <w:jc w:val="center"/>
              <w:rPr>
                <w:rFonts w:eastAsia="Times New Roman"/>
                <w:sz w:val="18"/>
                <w:szCs w:val="18"/>
              </w:rPr>
            </w:pPr>
            <w:r w:rsidRPr="00DF0C19">
              <w:rPr>
                <w:rFonts w:eastAsia="Times New Roman"/>
                <w:sz w:val="18"/>
                <w:szCs w:val="18"/>
              </w:rPr>
              <w:t>52.4</w:t>
            </w:r>
          </w:p>
        </w:tc>
        <w:tc>
          <w:tcPr>
            <w:tcW w:w="1107" w:type="dxa"/>
            <w:tcBorders>
              <w:top w:val="nil"/>
              <w:bottom w:val="nil"/>
            </w:tcBorders>
            <w:vAlign w:val="center"/>
          </w:tcPr>
          <w:p w14:paraId="1298E3DC" w14:textId="77777777" w:rsidR="00DF0C19" w:rsidRPr="00DF0C19" w:rsidRDefault="00DF0C19" w:rsidP="00DF0C19">
            <w:pPr>
              <w:spacing w:before="20" w:after="20"/>
              <w:jc w:val="center"/>
              <w:rPr>
                <w:rFonts w:eastAsia="Times New Roman"/>
                <w:sz w:val="18"/>
                <w:szCs w:val="18"/>
              </w:rPr>
            </w:pPr>
            <w:r w:rsidRPr="00DF0C19">
              <w:rPr>
                <w:rFonts w:eastAsia="Times New Roman"/>
                <w:sz w:val="18"/>
                <w:szCs w:val="18"/>
              </w:rPr>
              <w:t>52.3</w:t>
            </w:r>
          </w:p>
        </w:tc>
        <w:tc>
          <w:tcPr>
            <w:tcW w:w="1218" w:type="dxa"/>
            <w:tcBorders>
              <w:top w:val="nil"/>
              <w:bottom w:val="nil"/>
            </w:tcBorders>
            <w:vAlign w:val="center"/>
          </w:tcPr>
          <w:p w14:paraId="0E6A2240" w14:textId="77777777" w:rsidR="00DF0C19" w:rsidRPr="00DF0C19" w:rsidRDefault="00DF0C19" w:rsidP="00DF0C19">
            <w:pPr>
              <w:spacing w:before="20" w:after="20"/>
              <w:jc w:val="center"/>
              <w:rPr>
                <w:rFonts w:eastAsia="Times New Roman"/>
                <w:sz w:val="18"/>
                <w:szCs w:val="18"/>
              </w:rPr>
            </w:pPr>
            <w:r w:rsidRPr="00DF0C19">
              <w:rPr>
                <w:rFonts w:eastAsia="Times New Roman"/>
                <w:sz w:val="18"/>
                <w:szCs w:val="18"/>
              </w:rPr>
              <w:t>53.1</w:t>
            </w:r>
          </w:p>
        </w:tc>
      </w:tr>
      <w:tr w:rsidR="00DF0C19" w:rsidRPr="00DF0C19" w14:paraId="0EB352E0" w14:textId="77777777" w:rsidTr="00E23F0E">
        <w:trPr>
          <w:jc w:val="center"/>
        </w:trPr>
        <w:tc>
          <w:tcPr>
            <w:tcW w:w="1137" w:type="dxa"/>
            <w:tcBorders>
              <w:top w:val="nil"/>
              <w:bottom w:val="nil"/>
            </w:tcBorders>
          </w:tcPr>
          <w:p w14:paraId="4E1C092E" w14:textId="77777777" w:rsidR="00DF0C19" w:rsidRPr="00DF0C19" w:rsidRDefault="00DF0C19" w:rsidP="00DF0C19">
            <w:pPr>
              <w:spacing w:before="20" w:after="20"/>
              <w:rPr>
                <w:rFonts w:eastAsia="Times New Roman"/>
                <w:sz w:val="18"/>
                <w:szCs w:val="18"/>
              </w:rPr>
            </w:pPr>
            <w:r w:rsidRPr="00DF0C19">
              <w:rPr>
                <w:rFonts w:eastAsia="Times New Roman"/>
                <w:sz w:val="18"/>
                <w:szCs w:val="18"/>
              </w:rPr>
              <w:t xml:space="preserve">Noviembre </w:t>
            </w:r>
          </w:p>
        </w:tc>
        <w:tc>
          <w:tcPr>
            <w:tcW w:w="903" w:type="dxa"/>
            <w:tcBorders>
              <w:top w:val="nil"/>
              <w:bottom w:val="nil"/>
            </w:tcBorders>
            <w:vAlign w:val="center"/>
          </w:tcPr>
          <w:p w14:paraId="2498F730" w14:textId="77777777" w:rsidR="00DF0C19" w:rsidRPr="00DF0C19" w:rsidRDefault="00DF0C19" w:rsidP="00DF0C19">
            <w:pPr>
              <w:spacing w:before="20" w:after="20"/>
              <w:jc w:val="center"/>
              <w:rPr>
                <w:rFonts w:eastAsia="Times New Roman"/>
                <w:sz w:val="18"/>
                <w:szCs w:val="18"/>
              </w:rPr>
            </w:pPr>
            <w:r w:rsidRPr="00DF0C19">
              <w:rPr>
                <w:rFonts w:eastAsia="Times New Roman"/>
                <w:sz w:val="18"/>
                <w:szCs w:val="18"/>
              </w:rPr>
              <w:t>52.6</w:t>
            </w:r>
          </w:p>
        </w:tc>
        <w:tc>
          <w:tcPr>
            <w:tcW w:w="995" w:type="dxa"/>
            <w:tcBorders>
              <w:top w:val="nil"/>
              <w:bottom w:val="nil"/>
            </w:tcBorders>
            <w:vAlign w:val="center"/>
          </w:tcPr>
          <w:p w14:paraId="1B4FBF3C" w14:textId="77777777" w:rsidR="00DF0C19" w:rsidRPr="00DF0C19" w:rsidRDefault="00DF0C19" w:rsidP="00DF0C19">
            <w:pPr>
              <w:spacing w:before="20" w:after="20"/>
              <w:jc w:val="center"/>
              <w:rPr>
                <w:rFonts w:eastAsia="Times New Roman"/>
                <w:sz w:val="18"/>
                <w:szCs w:val="18"/>
              </w:rPr>
            </w:pPr>
            <w:r w:rsidRPr="00DF0C19">
              <w:rPr>
                <w:rFonts w:eastAsia="Times New Roman"/>
                <w:sz w:val="18"/>
                <w:szCs w:val="18"/>
              </w:rPr>
              <w:t>54.2</w:t>
            </w:r>
          </w:p>
        </w:tc>
        <w:tc>
          <w:tcPr>
            <w:tcW w:w="995" w:type="dxa"/>
            <w:tcBorders>
              <w:top w:val="nil"/>
              <w:bottom w:val="nil"/>
            </w:tcBorders>
            <w:vAlign w:val="center"/>
          </w:tcPr>
          <w:p w14:paraId="5D682F9F" w14:textId="77777777" w:rsidR="00DF0C19" w:rsidRPr="00DF0C19" w:rsidRDefault="00DF0C19" w:rsidP="00DF0C19">
            <w:pPr>
              <w:spacing w:before="20" w:after="20"/>
              <w:jc w:val="center"/>
              <w:rPr>
                <w:rFonts w:eastAsia="Times New Roman"/>
                <w:sz w:val="18"/>
                <w:szCs w:val="18"/>
              </w:rPr>
            </w:pPr>
            <w:r w:rsidRPr="00DF0C19">
              <w:rPr>
                <w:rFonts w:eastAsia="Times New Roman"/>
                <w:sz w:val="18"/>
                <w:szCs w:val="18"/>
              </w:rPr>
              <w:t>57.5</w:t>
            </w:r>
          </w:p>
        </w:tc>
        <w:tc>
          <w:tcPr>
            <w:tcW w:w="1215" w:type="dxa"/>
            <w:tcBorders>
              <w:top w:val="nil"/>
              <w:bottom w:val="nil"/>
            </w:tcBorders>
            <w:vAlign w:val="center"/>
          </w:tcPr>
          <w:p w14:paraId="00F7C3E7" w14:textId="77777777" w:rsidR="00DF0C19" w:rsidRPr="00DF0C19" w:rsidRDefault="00DF0C19" w:rsidP="00DF0C19">
            <w:pPr>
              <w:spacing w:before="20" w:after="20"/>
              <w:jc w:val="center"/>
              <w:rPr>
                <w:rFonts w:eastAsia="Times New Roman"/>
                <w:sz w:val="18"/>
                <w:szCs w:val="18"/>
              </w:rPr>
            </w:pPr>
            <w:r w:rsidRPr="00DF0C19">
              <w:rPr>
                <w:rFonts w:eastAsia="Times New Roman"/>
                <w:sz w:val="18"/>
                <w:szCs w:val="18"/>
              </w:rPr>
              <w:t>55.3</w:t>
            </w:r>
          </w:p>
        </w:tc>
        <w:tc>
          <w:tcPr>
            <w:tcW w:w="982" w:type="dxa"/>
            <w:tcBorders>
              <w:top w:val="nil"/>
              <w:bottom w:val="nil"/>
            </w:tcBorders>
            <w:vAlign w:val="center"/>
          </w:tcPr>
          <w:p w14:paraId="3C231FED" w14:textId="77777777" w:rsidR="00DF0C19" w:rsidRPr="00DF0C19" w:rsidRDefault="00DF0C19" w:rsidP="00DF0C19">
            <w:pPr>
              <w:spacing w:before="20" w:after="20"/>
              <w:jc w:val="center"/>
              <w:rPr>
                <w:rFonts w:eastAsia="Times New Roman"/>
                <w:sz w:val="18"/>
                <w:szCs w:val="18"/>
              </w:rPr>
            </w:pPr>
            <w:r w:rsidRPr="00DF0C19">
              <w:rPr>
                <w:rFonts w:eastAsia="Times New Roman"/>
                <w:sz w:val="18"/>
                <w:szCs w:val="18"/>
              </w:rPr>
              <w:t>51.2</w:t>
            </w:r>
          </w:p>
        </w:tc>
        <w:tc>
          <w:tcPr>
            <w:tcW w:w="1107" w:type="dxa"/>
            <w:tcBorders>
              <w:top w:val="nil"/>
              <w:bottom w:val="nil"/>
            </w:tcBorders>
            <w:vAlign w:val="center"/>
          </w:tcPr>
          <w:p w14:paraId="2A8CAAFB" w14:textId="77777777" w:rsidR="00DF0C19" w:rsidRPr="00DF0C19" w:rsidRDefault="00DF0C19" w:rsidP="00DF0C19">
            <w:pPr>
              <w:spacing w:before="20" w:after="20"/>
              <w:jc w:val="center"/>
              <w:rPr>
                <w:rFonts w:eastAsia="Times New Roman"/>
                <w:sz w:val="18"/>
                <w:szCs w:val="18"/>
              </w:rPr>
            </w:pPr>
            <w:r w:rsidRPr="00DF0C19">
              <w:rPr>
                <w:rFonts w:eastAsia="Times New Roman"/>
                <w:sz w:val="18"/>
                <w:szCs w:val="18"/>
              </w:rPr>
              <w:t>47.4</w:t>
            </w:r>
          </w:p>
        </w:tc>
        <w:tc>
          <w:tcPr>
            <w:tcW w:w="1218" w:type="dxa"/>
            <w:tcBorders>
              <w:top w:val="nil"/>
              <w:bottom w:val="nil"/>
            </w:tcBorders>
            <w:vAlign w:val="center"/>
          </w:tcPr>
          <w:p w14:paraId="718822FE" w14:textId="77777777" w:rsidR="00DF0C19" w:rsidRPr="00DF0C19" w:rsidRDefault="00DF0C19" w:rsidP="00DF0C19">
            <w:pPr>
              <w:spacing w:before="20" w:after="20"/>
              <w:jc w:val="center"/>
              <w:rPr>
                <w:rFonts w:eastAsia="Times New Roman"/>
                <w:sz w:val="18"/>
                <w:szCs w:val="18"/>
              </w:rPr>
            </w:pPr>
            <w:r w:rsidRPr="00DF0C19">
              <w:rPr>
                <w:rFonts w:eastAsia="Times New Roman"/>
                <w:sz w:val="18"/>
                <w:szCs w:val="18"/>
              </w:rPr>
              <w:t>51.5</w:t>
            </w:r>
          </w:p>
        </w:tc>
      </w:tr>
      <w:tr w:rsidR="00DF0C19" w:rsidRPr="00DF0C19" w14:paraId="12E7D54B" w14:textId="77777777" w:rsidTr="00E23F0E">
        <w:trPr>
          <w:jc w:val="center"/>
        </w:trPr>
        <w:tc>
          <w:tcPr>
            <w:tcW w:w="1137" w:type="dxa"/>
            <w:tcBorders>
              <w:top w:val="nil"/>
              <w:bottom w:val="nil"/>
            </w:tcBorders>
          </w:tcPr>
          <w:p w14:paraId="107F24BC" w14:textId="77777777" w:rsidR="00DF0C19" w:rsidRPr="00DF0C19" w:rsidRDefault="00DF0C19" w:rsidP="00DF0C19">
            <w:pPr>
              <w:spacing w:before="20" w:after="20"/>
              <w:rPr>
                <w:rFonts w:eastAsia="Times New Roman"/>
                <w:sz w:val="18"/>
                <w:szCs w:val="18"/>
              </w:rPr>
            </w:pPr>
            <w:r w:rsidRPr="00DF0C19">
              <w:rPr>
                <w:rFonts w:eastAsia="Times New Roman"/>
                <w:sz w:val="18"/>
                <w:szCs w:val="18"/>
              </w:rPr>
              <w:t xml:space="preserve">Diciembre </w:t>
            </w:r>
          </w:p>
        </w:tc>
        <w:tc>
          <w:tcPr>
            <w:tcW w:w="903" w:type="dxa"/>
            <w:tcBorders>
              <w:top w:val="nil"/>
              <w:bottom w:val="nil"/>
            </w:tcBorders>
            <w:vAlign w:val="center"/>
          </w:tcPr>
          <w:p w14:paraId="78B0ED1A" w14:textId="77777777" w:rsidR="00DF0C19" w:rsidRPr="00DF0C19" w:rsidRDefault="00DF0C19" w:rsidP="00DF0C19">
            <w:pPr>
              <w:spacing w:before="20" w:after="20"/>
              <w:jc w:val="center"/>
              <w:rPr>
                <w:rFonts w:eastAsia="Times New Roman"/>
                <w:sz w:val="18"/>
                <w:szCs w:val="18"/>
              </w:rPr>
            </w:pPr>
            <w:r w:rsidRPr="00DF0C19">
              <w:rPr>
                <w:rFonts w:eastAsia="Times New Roman"/>
                <w:sz w:val="18"/>
                <w:szCs w:val="18"/>
              </w:rPr>
              <w:t>50.0</w:t>
            </w:r>
          </w:p>
        </w:tc>
        <w:tc>
          <w:tcPr>
            <w:tcW w:w="995" w:type="dxa"/>
            <w:tcBorders>
              <w:top w:val="nil"/>
              <w:bottom w:val="nil"/>
            </w:tcBorders>
            <w:vAlign w:val="center"/>
          </w:tcPr>
          <w:p w14:paraId="3684F01D" w14:textId="77777777" w:rsidR="00DF0C19" w:rsidRPr="00DF0C19" w:rsidRDefault="00DF0C19" w:rsidP="00DF0C19">
            <w:pPr>
              <w:spacing w:before="20" w:after="20"/>
              <w:jc w:val="center"/>
              <w:rPr>
                <w:rFonts w:eastAsia="Times New Roman"/>
                <w:sz w:val="18"/>
                <w:szCs w:val="18"/>
              </w:rPr>
            </w:pPr>
            <w:r w:rsidRPr="00DF0C19">
              <w:rPr>
                <w:rFonts w:eastAsia="Times New Roman"/>
                <w:sz w:val="18"/>
                <w:szCs w:val="18"/>
              </w:rPr>
              <w:t>50.1</w:t>
            </w:r>
          </w:p>
        </w:tc>
        <w:tc>
          <w:tcPr>
            <w:tcW w:w="995" w:type="dxa"/>
            <w:tcBorders>
              <w:top w:val="nil"/>
              <w:bottom w:val="nil"/>
            </w:tcBorders>
            <w:vAlign w:val="center"/>
          </w:tcPr>
          <w:p w14:paraId="24FC5125" w14:textId="77777777" w:rsidR="00DF0C19" w:rsidRPr="00DF0C19" w:rsidRDefault="00DF0C19" w:rsidP="00DF0C19">
            <w:pPr>
              <w:spacing w:before="20" w:after="20"/>
              <w:jc w:val="center"/>
              <w:rPr>
                <w:rFonts w:eastAsia="Times New Roman"/>
                <w:sz w:val="18"/>
                <w:szCs w:val="18"/>
              </w:rPr>
            </w:pPr>
            <w:r w:rsidRPr="00DF0C19">
              <w:rPr>
                <w:rFonts w:eastAsia="Times New Roman"/>
                <w:sz w:val="18"/>
                <w:szCs w:val="18"/>
              </w:rPr>
              <w:t>50.4</w:t>
            </w:r>
          </w:p>
        </w:tc>
        <w:tc>
          <w:tcPr>
            <w:tcW w:w="1215" w:type="dxa"/>
            <w:tcBorders>
              <w:top w:val="nil"/>
              <w:bottom w:val="nil"/>
            </w:tcBorders>
            <w:vAlign w:val="center"/>
          </w:tcPr>
          <w:p w14:paraId="7EC1AC4A" w14:textId="77777777" w:rsidR="00DF0C19" w:rsidRPr="00DF0C19" w:rsidRDefault="00DF0C19" w:rsidP="00DF0C19">
            <w:pPr>
              <w:spacing w:before="20" w:after="20"/>
              <w:jc w:val="center"/>
              <w:rPr>
                <w:rFonts w:eastAsia="Times New Roman"/>
                <w:sz w:val="18"/>
                <w:szCs w:val="18"/>
              </w:rPr>
            </w:pPr>
            <w:r w:rsidRPr="00DF0C19">
              <w:rPr>
                <w:rFonts w:eastAsia="Times New Roman"/>
                <w:sz w:val="18"/>
                <w:szCs w:val="18"/>
              </w:rPr>
              <w:t>50.9</w:t>
            </w:r>
          </w:p>
        </w:tc>
        <w:tc>
          <w:tcPr>
            <w:tcW w:w="982" w:type="dxa"/>
            <w:tcBorders>
              <w:top w:val="nil"/>
              <w:bottom w:val="nil"/>
            </w:tcBorders>
            <w:vAlign w:val="center"/>
          </w:tcPr>
          <w:p w14:paraId="66FB8765" w14:textId="77777777" w:rsidR="00DF0C19" w:rsidRPr="00DF0C19" w:rsidRDefault="00DF0C19" w:rsidP="00DF0C19">
            <w:pPr>
              <w:spacing w:before="20" w:after="20"/>
              <w:jc w:val="center"/>
              <w:rPr>
                <w:rFonts w:eastAsia="Times New Roman"/>
                <w:sz w:val="18"/>
                <w:szCs w:val="18"/>
              </w:rPr>
            </w:pPr>
            <w:r w:rsidRPr="00DF0C19">
              <w:rPr>
                <w:rFonts w:eastAsia="Times New Roman"/>
                <w:sz w:val="18"/>
                <w:szCs w:val="18"/>
              </w:rPr>
              <w:t>46.9</w:t>
            </w:r>
          </w:p>
        </w:tc>
        <w:tc>
          <w:tcPr>
            <w:tcW w:w="1107" w:type="dxa"/>
            <w:tcBorders>
              <w:top w:val="nil"/>
              <w:bottom w:val="nil"/>
            </w:tcBorders>
            <w:vAlign w:val="center"/>
          </w:tcPr>
          <w:p w14:paraId="5A8618EA" w14:textId="77777777" w:rsidR="00DF0C19" w:rsidRPr="00DF0C19" w:rsidRDefault="00DF0C19" w:rsidP="00DF0C19">
            <w:pPr>
              <w:spacing w:before="20" w:after="20"/>
              <w:jc w:val="center"/>
              <w:rPr>
                <w:rFonts w:eastAsia="Times New Roman"/>
                <w:sz w:val="18"/>
                <w:szCs w:val="18"/>
              </w:rPr>
            </w:pPr>
            <w:r w:rsidRPr="00DF0C19">
              <w:rPr>
                <w:rFonts w:eastAsia="Times New Roman"/>
                <w:sz w:val="18"/>
                <w:szCs w:val="18"/>
              </w:rPr>
              <w:t>50.9</w:t>
            </w:r>
          </w:p>
        </w:tc>
        <w:tc>
          <w:tcPr>
            <w:tcW w:w="1218" w:type="dxa"/>
            <w:tcBorders>
              <w:top w:val="nil"/>
              <w:bottom w:val="nil"/>
            </w:tcBorders>
            <w:vAlign w:val="center"/>
          </w:tcPr>
          <w:p w14:paraId="6576A013" w14:textId="77777777" w:rsidR="00DF0C19" w:rsidRPr="00DF0C19" w:rsidRDefault="00DF0C19" w:rsidP="00DF0C19">
            <w:pPr>
              <w:spacing w:before="20" w:after="20"/>
              <w:jc w:val="center"/>
              <w:rPr>
                <w:rFonts w:eastAsia="Times New Roman"/>
                <w:sz w:val="18"/>
                <w:szCs w:val="18"/>
              </w:rPr>
            </w:pPr>
            <w:r w:rsidRPr="00DF0C19">
              <w:rPr>
                <w:rFonts w:eastAsia="Times New Roman"/>
                <w:sz w:val="18"/>
                <w:szCs w:val="18"/>
              </w:rPr>
              <w:t>49.4</w:t>
            </w:r>
          </w:p>
        </w:tc>
      </w:tr>
      <w:tr w:rsidR="00DF0C19" w:rsidRPr="00DF0C19" w14:paraId="4D18B96D" w14:textId="77777777" w:rsidTr="00E23F0E">
        <w:trPr>
          <w:jc w:val="center"/>
        </w:trPr>
        <w:tc>
          <w:tcPr>
            <w:tcW w:w="1137" w:type="dxa"/>
            <w:tcBorders>
              <w:top w:val="nil"/>
              <w:bottom w:val="nil"/>
            </w:tcBorders>
          </w:tcPr>
          <w:p w14:paraId="62EE504C" w14:textId="77777777" w:rsidR="00DF0C19" w:rsidRPr="00DF0C19" w:rsidRDefault="00DF0C19" w:rsidP="00DF0C19">
            <w:pPr>
              <w:spacing w:before="20" w:after="20"/>
              <w:jc w:val="center"/>
              <w:rPr>
                <w:rFonts w:eastAsia="Times New Roman"/>
                <w:b/>
                <w:sz w:val="18"/>
                <w:szCs w:val="18"/>
              </w:rPr>
            </w:pPr>
            <w:r w:rsidRPr="00DF0C19">
              <w:rPr>
                <w:rFonts w:eastAsia="Times New Roman"/>
                <w:b/>
                <w:sz w:val="18"/>
                <w:szCs w:val="18"/>
              </w:rPr>
              <w:t>2015</w:t>
            </w:r>
          </w:p>
        </w:tc>
        <w:tc>
          <w:tcPr>
            <w:tcW w:w="903" w:type="dxa"/>
            <w:tcBorders>
              <w:top w:val="nil"/>
              <w:bottom w:val="nil"/>
            </w:tcBorders>
            <w:vAlign w:val="center"/>
          </w:tcPr>
          <w:p w14:paraId="6B8B5A55" w14:textId="77777777" w:rsidR="00DF0C19" w:rsidRPr="00DF0C19" w:rsidRDefault="00DF0C19" w:rsidP="00DF0C19">
            <w:pPr>
              <w:spacing w:before="20" w:after="20"/>
              <w:jc w:val="center"/>
              <w:rPr>
                <w:rFonts w:eastAsia="Times New Roman"/>
                <w:sz w:val="18"/>
                <w:szCs w:val="18"/>
              </w:rPr>
            </w:pPr>
          </w:p>
        </w:tc>
        <w:tc>
          <w:tcPr>
            <w:tcW w:w="995" w:type="dxa"/>
            <w:tcBorders>
              <w:top w:val="nil"/>
              <w:bottom w:val="nil"/>
            </w:tcBorders>
            <w:vAlign w:val="center"/>
          </w:tcPr>
          <w:p w14:paraId="5C157034" w14:textId="77777777" w:rsidR="00DF0C19" w:rsidRPr="00DF0C19" w:rsidRDefault="00DF0C19" w:rsidP="00DF0C19">
            <w:pPr>
              <w:spacing w:before="20" w:after="20"/>
              <w:jc w:val="center"/>
              <w:rPr>
                <w:rFonts w:eastAsia="Times New Roman"/>
                <w:sz w:val="18"/>
                <w:szCs w:val="18"/>
              </w:rPr>
            </w:pPr>
          </w:p>
        </w:tc>
        <w:tc>
          <w:tcPr>
            <w:tcW w:w="995" w:type="dxa"/>
            <w:tcBorders>
              <w:top w:val="nil"/>
              <w:bottom w:val="nil"/>
            </w:tcBorders>
            <w:vAlign w:val="center"/>
          </w:tcPr>
          <w:p w14:paraId="3D7E6883" w14:textId="77777777" w:rsidR="00DF0C19" w:rsidRPr="00DF0C19" w:rsidRDefault="00DF0C19" w:rsidP="00DF0C19">
            <w:pPr>
              <w:spacing w:before="20" w:after="20"/>
              <w:jc w:val="center"/>
              <w:rPr>
                <w:rFonts w:eastAsia="Times New Roman"/>
                <w:sz w:val="18"/>
                <w:szCs w:val="18"/>
              </w:rPr>
            </w:pPr>
          </w:p>
        </w:tc>
        <w:tc>
          <w:tcPr>
            <w:tcW w:w="1215" w:type="dxa"/>
            <w:tcBorders>
              <w:top w:val="nil"/>
              <w:bottom w:val="nil"/>
            </w:tcBorders>
            <w:vAlign w:val="center"/>
          </w:tcPr>
          <w:p w14:paraId="357C3977" w14:textId="77777777" w:rsidR="00DF0C19" w:rsidRPr="00DF0C19" w:rsidRDefault="00DF0C19" w:rsidP="00DF0C19">
            <w:pPr>
              <w:spacing w:before="20" w:after="20"/>
              <w:jc w:val="center"/>
              <w:rPr>
                <w:rFonts w:eastAsia="Times New Roman"/>
                <w:sz w:val="18"/>
                <w:szCs w:val="18"/>
              </w:rPr>
            </w:pPr>
          </w:p>
        </w:tc>
        <w:tc>
          <w:tcPr>
            <w:tcW w:w="982" w:type="dxa"/>
            <w:tcBorders>
              <w:top w:val="nil"/>
              <w:bottom w:val="nil"/>
            </w:tcBorders>
            <w:vAlign w:val="center"/>
          </w:tcPr>
          <w:p w14:paraId="79B555D4" w14:textId="77777777" w:rsidR="00DF0C19" w:rsidRPr="00DF0C19" w:rsidRDefault="00DF0C19" w:rsidP="00DF0C19">
            <w:pPr>
              <w:spacing w:before="20" w:after="20"/>
              <w:jc w:val="center"/>
              <w:rPr>
                <w:rFonts w:eastAsia="Times New Roman"/>
                <w:sz w:val="18"/>
                <w:szCs w:val="18"/>
              </w:rPr>
            </w:pPr>
          </w:p>
        </w:tc>
        <w:tc>
          <w:tcPr>
            <w:tcW w:w="1107" w:type="dxa"/>
            <w:tcBorders>
              <w:top w:val="nil"/>
              <w:bottom w:val="nil"/>
            </w:tcBorders>
            <w:vAlign w:val="center"/>
          </w:tcPr>
          <w:p w14:paraId="3CAAB0C9" w14:textId="77777777" w:rsidR="00DF0C19" w:rsidRPr="00DF0C19" w:rsidRDefault="00DF0C19" w:rsidP="00DF0C19">
            <w:pPr>
              <w:spacing w:before="20" w:after="20"/>
              <w:jc w:val="center"/>
              <w:rPr>
                <w:rFonts w:eastAsia="Times New Roman"/>
                <w:sz w:val="18"/>
                <w:szCs w:val="18"/>
              </w:rPr>
            </w:pPr>
          </w:p>
        </w:tc>
        <w:tc>
          <w:tcPr>
            <w:tcW w:w="1218" w:type="dxa"/>
            <w:tcBorders>
              <w:top w:val="nil"/>
              <w:bottom w:val="nil"/>
            </w:tcBorders>
            <w:vAlign w:val="center"/>
          </w:tcPr>
          <w:p w14:paraId="7B4CD1C7" w14:textId="77777777" w:rsidR="00DF0C19" w:rsidRPr="00DF0C19" w:rsidRDefault="00DF0C19" w:rsidP="00DF0C19">
            <w:pPr>
              <w:spacing w:before="20" w:after="20"/>
              <w:jc w:val="center"/>
              <w:rPr>
                <w:rFonts w:eastAsia="Times New Roman"/>
                <w:sz w:val="18"/>
                <w:szCs w:val="18"/>
              </w:rPr>
            </w:pPr>
          </w:p>
        </w:tc>
      </w:tr>
      <w:tr w:rsidR="00DF0C19" w:rsidRPr="00DF0C19" w14:paraId="5A572A8E" w14:textId="77777777" w:rsidTr="00E23F0E">
        <w:trPr>
          <w:jc w:val="center"/>
        </w:trPr>
        <w:tc>
          <w:tcPr>
            <w:tcW w:w="1137" w:type="dxa"/>
            <w:tcBorders>
              <w:top w:val="nil"/>
              <w:bottom w:val="nil"/>
            </w:tcBorders>
          </w:tcPr>
          <w:p w14:paraId="488E676F" w14:textId="77777777" w:rsidR="00DF0C19" w:rsidRPr="00DF0C19" w:rsidRDefault="00DF0C19" w:rsidP="00DF0C19">
            <w:pPr>
              <w:spacing w:before="20" w:after="20"/>
              <w:rPr>
                <w:rFonts w:eastAsia="Times New Roman"/>
                <w:sz w:val="18"/>
                <w:szCs w:val="18"/>
              </w:rPr>
            </w:pPr>
            <w:r w:rsidRPr="00DF0C19">
              <w:rPr>
                <w:rFonts w:eastAsia="Times New Roman"/>
                <w:sz w:val="18"/>
                <w:szCs w:val="18"/>
              </w:rPr>
              <w:t xml:space="preserve">Enero </w:t>
            </w:r>
          </w:p>
        </w:tc>
        <w:tc>
          <w:tcPr>
            <w:tcW w:w="903" w:type="dxa"/>
            <w:tcBorders>
              <w:top w:val="nil"/>
              <w:bottom w:val="nil"/>
            </w:tcBorders>
            <w:vAlign w:val="center"/>
          </w:tcPr>
          <w:p w14:paraId="1A22E930" w14:textId="77777777" w:rsidR="00DF0C19" w:rsidRPr="00DF0C19" w:rsidRDefault="00DF0C19" w:rsidP="00DF0C19">
            <w:pPr>
              <w:spacing w:before="20" w:after="20"/>
              <w:jc w:val="center"/>
              <w:rPr>
                <w:rFonts w:eastAsia="Times New Roman"/>
                <w:sz w:val="18"/>
                <w:szCs w:val="18"/>
              </w:rPr>
            </w:pPr>
            <w:r w:rsidRPr="00DF0C19">
              <w:rPr>
                <w:rFonts w:eastAsia="Times New Roman"/>
                <w:sz w:val="18"/>
                <w:szCs w:val="18"/>
              </w:rPr>
              <w:t>51.0</w:t>
            </w:r>
          </w:p>
        </w:tc>
        <w:tc>
          <w:tcPr>
            <w:tcW w:w="995" w:type="dxa"/>
            <w:tcBorders>
              <w:top w:val="nil"/>
              <w:bottom w:val="nil"/>
            </w:tcBorders>
            <w:vAlign w:val="center"/>
          </w:tcPr>
          <w:p w14:paraId="4858A470" w14:textId="77777777" w:rsidR="00DF0C19" w:rsidRPr="00DF0C19" w:rsidRDefault="00DF0C19" w:rsidP="00DF0C19">
            <w:pPr>
              <w:spacing w:before="20" w:after="20"/>
              <w:jc w:val="center"/>
              <w:rPr>
                <w:rFonts w:eastAsia="Times New Roman"/>
                <w:sz w:val="18"/>
                <w:szCs w:val="18"/>
              </w:rPr>
            </w:pPr>
            <w:r w:rsidRPr="00DF0C19">
              <w:rPr>
                <w:rFonts w:eastAsia="Times New Roman"/>
                <w:sz w:val="18"/>
                <w:szCs w:val="18"/>
              </w:rPr>
              <w:t>52.6</w:t>
            </w:r>
          </w:p>
        </w:tc>
        <w:tc>
          <w:tcPr>
            <w:tcW w:w="995" w:type="dxa"/>
            <w:tcBorders>
              <w:top w:val="nil"/>
              <w:bottom w:val="nil"/>
            </w:tcBorders>
            <w:vAlign w:val="center"/>
          </w:tcPr>
          <w:p w14:paraId="0BA939E7" w14:textId="77777777" w:rsidR="00DF0C19" w:rsidRPr="00DF0C19" w:rsidRDefault="00DF0C19" w:rsidP="00DF0C19">
            <w:pPr>
              <w:spacing w:before="20" w:after="20"/>
              <w:jc w:val="center"/>
              <w:rPr>
                <w:rFonts w:eastAsia="Times New Roman"/>
                <w:sz w:val="18"/>
                <w:szCs w:val="18"/>
              </w:rPr>
            </w:pPr>
            <w:r w:rsidRPr="00DF0C19">
              <w:rPr>
                <w:rFonts w:eastAsia="Times New Roman"/>
                <w:sz w:val="18"/>
                <w:szCs w:val="18"/>
              </w:rPr>
              <w:t>53.0</w:t>
            </w:r>
          </w:p>
        </w:tc>
        <w:tc>
          <w:tcPr>
            <w:tcW w:w="1215" w:type="dxa"/>
            <w:tcBorders>
              <w:top w:val="nil"/>
              <w:bottom w:val="nil"/>
            </w:tcBorders>
            <w:vAlign w:val="center"/>
          </w:tcPr>
          <w:p w14:paraId="761F04E4" w14:textId="77777777" w:rsidR="00DF0C19" w:rsidRPr="00DF0C19" w:rsidRDefault="00DF0C19" w:rsidP="00DF0C19">
            <w:pPr>
              <w:spacing w:before="20" w:after="20"/>
              <w:jc w:val="center"/>
              <w:rPr>
                <w:rFonts w:eastAsia="Times New Roman"/>
                <w:sz w:val="18"/>
                <w:szCs w:val="18"/>
              </w:rPr>
            </w:pPr>
            <w:r w:rsidRPr="00DF0C19">
              <w:rPr>
                <w:rFonts w:eastAsia="Times New Roman"/>
                <w:sz w:val="18"/>
                <w:szCs w:val="18"/>
              </w:rPr>
              <w:t>55.1</w:t>
            </w:r>
          </w:p>
        </w:tc>
        <w:tc>
          <w:tcPr>
            <w:tcW w:w="982" w:type="dxa"/>
            <w:tcBorders>
              <w:top w:val="nil"/>
              <w:bottom w:val="nil"/>
            </w:tcBorders>
            <w:vAlign w:val="center"/>
          </w:tcPr>
          <w:p w14:paraId="1F0BA4F4" w14:textId="77777777" w:rsidR="00DF0C19" w:rsidRPr="00DF0C19" w:rsidRDefault="00DF0C19" w:rsidP="00DF0C19">
            <w:pPr>
              <w:spacing w:before="20" w:after="20"/>
              <w:jc w:val="center"/>
              <w:rPr>
                <w:rFonts w:eastAsia="Times New Roman"/>
                <w:sz w:val="18"/>
                <w:szCs w:val="18"/>
              </w:rPr>
            </w:pPr>
            <w:r w:rsidRPr="00DF0C19">
              <w:rPr>
                <w:rFonts w:eastAsia="Times New Roman"/>
                <w:sz w:val="18"/>
                <w:szCs w:val="18"/>
              </w:rPr>
              <w:t>48.6</w:t>
            </w:r>
          </w:p>
        </w:tc>
        <w:tc>
          <w:tcPr>
            <w:tcW w:w="1107" w:type="dxa"/>
            <w:tcBorders>
              <w:top w:val="nil"/>
              <w:bottom w:val="nil"/>
            </w:tcBorders>
            <w:vAlign w:val="center"/>
          </w:tcPr>
          <w:p w14:paraId="1CC3DD84" w14:textId="77777777" w:rsidR="00DF0C19" w:rsidRPr="00DF0C19" w:rsidRDefault="00DF0C19" w:rsidP="00DF0C19">
            <w:pPr>
              <w:spacing w:before="20" w:after="20"/>
              <w:jc w:val="center"/>
              <w:rPr>
                <w:rFonts w:eastAsia="Times New Roman"/>
                <w:sz w:val="18"/>
                <w:szCs w:val="18"/>
              </w:rPr>
            </w:pPr>
            <w:r w:rsidRPr="00DF0C19">
              <w:rPr>
                <w:rFonts w:eastAsia="Times New Roman"/>
                <w:sz w:val="18"/>
                <w:szCs w:val="18"/>
              </w:rPr>
              <w:t>47.9</w:t>
            </w:r>
          </w:p>
        </w:tc>
        <w:tc>
          <w:tcPr>
            <w:tcW w:w="1218" w:type="dxa"/>
            <w:tcBorders>
              <w:top w:val="nil"/>
              <w:bottom w:val="nil"/>
            </w:tcBorders>
            <w:vAlign w:val="center"/>
          </w:tcPr>
          <w:p w14:paraId="2115BF43" w14:textId="77777777" w:rsidR="00DF0C19" w:rsidRPr="00DF0C19" w:rsidRDefault="00DF0C19" w:rsidP="00DF0C19">
            <w:pPr>
              <w:spacing w:before="20" w:after="20"/>
              <w:jc w:val="center"/>
              <w:rPr>
                <w:rFonts w:eastAsia="Times New Roman"/>
                <w:sz w:val="18"/>
                <w:szCs w:val="18"/>
              </w:rPr>
            </w:pPr>
            <w:r w:rsidRPr="00DF0C19">
              <w:rPr>
                <w:rFonts w:eastAsia="Times New Roman"/>
                <w:sz w:val="18"/>
                <w:szCs w:val="18"/>
              </w:rPr>
              <w:t>50.0</w:t>
            </w:r>
          </w:p>
        </w:tc>
      </w:tr>
      <w:tr w:rsidR="00DF0C19" w:rsidRPr="00DF0C19" w14:paraId="4A7E4888" w14:textId="77777777" w:rsidTr="00E23F0E">
        <w:trPr>
          <w:jc w:val="center"/>
        </w:trPr>
        <w:tc>
          <w:tcPr>
            <w:tcW w:w="1137" w:type="dxa"/>
            <w:tcBorders>
              <w:top w:val="nil"/>
              <w:bottom w:val="single" w:sz="4" w:space="0" w:color="auto"/>
            </w:tcBorders>
          </w:tcPr>
          <w:p w14:paraId="5D0872C9" w14:textId="77777777" w:rsidR="00DF0C19" w:rsidRPr="00DF0C19" w:rsidRDefault="00DF0C19" w:rsidP="00DF0C19">
            <w:pPr>
              <w:spacing w:before="20" w:after="20"/>
              <w:rPr>
                <w:rFonts w:eastAsia="Times New Roman"/>
                <w:sz w:val="18"/>
                <w:szCs w:val="18"/>
              </w:rPr>
            </w:pPr>
            <w:r w:rsidRPr="00DF0C19">
              <w:rPr>
                <w:rFonts w:eastAsia="Times New Roman"/>
                <w:sz w:val="18"/>
                <w:szCs w:val="18"/>
              </w:rPr>
              <w:t xml:space="preserve">Febrero </w:t>
            </w:r>
          </w:p>
        </w:tc>
        <w:tc>
          <w:tcPr>
            <w:tcW w:w="903" w:type="dxa"/>
            <w:tcBorders>
              <w:top w:val="nil"/>
              <w:bottom w:val="single" w:sz="4" w:space="0" w:color="auto"/>
            </w:tcBorders>
            <w:vAlign w:val="center"/>
          </w:tcPr>
          <w:p w14:paraId="282863C2" w14:textId="77777777" w:rsidR="00DF0C19" w:rsidRPr="00DF0C19" w:rsidRDefault="00DF0C19" w:rsidP="00DF0C19">
            <w:pPr>
              <w:spacing w:before="20" w:after="20"/>
              <w:jc w:val="center"/>
              <w:rPr>
                <w:rFonts w:eastAsia="Times New Roman"/>
                <w:sz w:val="18"/>
                <w:szCs w:val="18"/>
              </w:rPr>
            </w:pPr>
            <w:r w:rsidRPr="00DF0C19">
              <w:rPr>
                <w:rFonts w:eastAsia="Times New Roman"/>
                <w:sz w:val="18"/>
                <w:szCs w:val="18"/>
              </w:rPr>
              <w:t>50.7</w:t>
            </w:r>
          </w:p>
        </w:tc>
        <w:tc>
          <w:tcPr>
            <w:tcW w:w="995" w:type="dxa"/>
            <w:tcBorders>
              <w:top w:val="nil"/>
              <w:bottom w:val="single" w:sz="4" w:space="0" w:color="auto"/>
            </w:tcBorders>
            <w:vAlign w:val="center"/>
          </w:tcPr>
          <w:p w14:paraId="3087E20B" w14:textId="77777777" w:rsidR="00DF0C19" w:rsidRPr="00DF0C19" w:rsidRDefault="00DF0C19" w:rsidP="00DF0C19">
            <w:pPr>
              <w:spacing w:before="20" w:after="20"/>
              <w:jc w:val="center"/>
              <w:rPr>
                <w:rFonts w:eastAsia="Times New Roman"/>
                <w:sz w:val="18"/>
                <w:szCs w:val="18"/>
              </w:rPr>
            </w:pPr>
            <w:r w:rsidRPr="00DF0C19">
              <w:rPr>
                <w:rFonts w:eastAsia="Times New Roman"/>
                <w:sz w:val="18"/>
                <w:szCs w:val="18"/>
              </w:rPr>
              <w:t>53.9</w:t>
            </w:r>
          </w:p>
        </w:tc>
        <w:tc>
          <w:tcPr>
            <w:tcW w:w="995" w:type="dxa"/>
            <w:tcBorders>
              <w:top w:val="nil"/>
              <w:bottom w:val="single" w:sz="4" w:space="0" w:color="auto"/>
            </w:tcBorders>
            <w:vAlign w:val="center"/>
          </w:tcPr>
          <w:p w14:paraId="67F78E4B" w14:textId="77777777" w:rsidR="00DF0C19" w:rsidRPr="00DF0C19" w:rsidRDefault="00DF0C19" w:rsidP="00DF0C19">
            <w:pPr>
              <w:spacing w:before="20" w:after="20"/>
              <w:jc w:val="center"/>
              <w:rPr>
                <w:rFonts w:eastAsia="Times New Roman"/>
                <w:sz w:val="18"/>
                <w:szCs w:val="18"/>
              </w:rPr>
            </w:pPr>
            <w:r w:rsidRPr="00DF0C19">
              <w:rPr>
                <w:rFonts w:eastAsia="Times New Roman"/>
                <w:sz w:val="18"/>
                <w:szCs w:val="18"/>
              </w:rPr>
              <w:t>51.6</w:t>
            </w:r>
          </w:p>
        </w:tc>
        <w:tc>
          <w:tcPr>
            <w:tcW w:w="1215" w:type="dxa"/>
            <w:tcBorders>
              <w:top w:val="nil"/>
              <w:bottom w:val="single" w:sz="4" w:space="0" w:color="auto"/>
            </w:tcBorders>
            <w:vAlign w:val="center"/>
          </w:tcPr>
          <w:p w14:paraId="1F1ACC55" w14:textId="77777777" w:rsidR="00DF0C19" w:rsidRPr="00DF0C19" w:rsidRDefault="00DF0C19" w:rsidP="00DF0C19">
            <w:pPr>
              <w:spacing w:before="20" w:after="20"/>
              <w:jc w:val="center"/>
              <w:rPr>
                <w:rFonts w:eastAsia="Times New Roman"/>
                <w:sz w:val="18"/>
                <w:szCs w:val="18"/>
              </w:rPr>
            </w:pPr>
            <w:r w:rsidRPr="00DF0C19">
              <w:rPr>
                <w:rFonts w:eastAsia="Times New Roman"/>
                <w:sz w:val="18"/>
                <w:szCs w:val="18"/>
              </w:rPr>
              <w:t>52.7</w:t>
            </w:r>
          </w:p>
        </w:tc>
        <w:tc>
          <w:tcPr>
            <w:tcW w:w="982" w:type="dxa"/>
            <w:tcBorders>
              <w:top w:val="nil"/>
              <w:bottom w:val="single" w:sz="4" w:space="0" w:color="auto"/>
            </w:tcBorders>
            <w:vAlign w:val="center"/>
          </w:tcPr>
          <w:p w14:paraId="621DA0BC" w14:textId="77777777" w:rsidR="00DF0C19" w:rsidRPr="00DF0C19" w:rsidRDefault="00DF0C19" w:rsidP="00DF0C19">
            <w:pPr>
              <w:spacing w:before="20" w:after="20"/>
              <w:jc w:val="center"/>
              <w:rPr>
                <w:rFonts w:eastAsia="Times New Roman"/>
                <w:sz w:val="18"/>
                <w:szCs w:val="18"/>
              </w:rPr>
            </w:pPr>
            <w:r w:rsidRPr="00DF0C19">
              <w:rPr>
                <w:rFonts w:eastAsia="Times New Roman"/>
                <w:sz w:val="18"/>
                <w:szCs w:val="18"/>
              </w:rPr>
              <w:t>48.5</w:t>
            </w:r>
          </w:p>
        </w:tc>
        <w:tc>
          <w:tcPr>
            <w:tcW w:w="1107" w:type="dxa"/>
            <w:tcBorders>
              <w:top w:val="nil"/>
              <w:bottom w:val="single" w:sz="4" w:space="0" w:color="auto"/>
            </w:tcBorders>
            <w:vAlign w:val="center"/>
          </w:tcPr>
          <w:p w14:paraId="25AC2D8E" w14:textId="77777777" w:rsidR="00DF0C19" w:rsidRPr="00DF0C19" w:rsidRDefault="00DF0C19" w:rsidP="00DF0C19">
            <w:pPr>
              <w:spacing w:before="20" w:after="20"/>
              <w:jc w:val="center"/>
              <w:rPr>
                <w:rFonts w:eastAsia="Times New Roman"/>
                <w:sz w:val="18"/>
                <w:szCs w:val="18"/>
              </w:rPr>
            </w:pPr>
            <w:r w:rsidRPr="00DF0C19">
              <w:rPr>
                <w:rFonts w:eastAsia="Times New Roman"/>
                <w:sz w:val="18"/>
                <w:szCs w:val="18"/>
              </w:rPr>
              <w:t>49.0</w:t>
            </w:r>
          </w:p>
        </w:tc>
        <w:tc>
          <w:tcPr>
            <w:tcW w:w="1218" w:type="dxa"/>
            <w:tcBorders>
              <w:top w:val="nil"/>
              <w:bottom w:val="single" w:sz="4" w:space="0" w:color="auto"/>
            </w:tcBorders>
            <w:vAlign w:val="center"/>
          </w:tcPr>
          <w:p w14:paraId="595C7195" w14:textId="77777777" w:rsidR="00DF0C19" w:rsidRPr="00DF0C19" w:rsidRDefault="00DF0C19" w:rsidP="00DF0C19">
            <w:pPr>
              <w:spacing w:before="20" w:after="20"/>
              <w:jc w:val="center"/>
              <w:rPr>
                <w:rFonts w:eastAsia="Times New Roman"/>
                <w:sz w:val="18"/>
                <w:szCs w:val="18"/>
              </w:rPr>
            </w:pPr>
            <w:r w:rsidRPr="00DF0C19">
              <w:rPr>
                <w:rFonts w:eastAsia="Times New Roman"/>
                <w:sz w:val="18"/>
                <w:szCs w:val="18"/>
              </w:rPr>
              <w:t>52.9</w:t>
            </w:r>
          </w:p>
        </w:tc>
      </w:tr>
      <w:tr w:rsidR="00DF0C19" w:rsidRPr="00DF0C19" w14:paraId="7812D724" w14:textId="77777777" w:rsidTr="001E7D79">
        <w:trPr>
          <w:jc w:val="center"/>
        </w:trPr>
        <w:tc>
          <w:tcPr>
            <w:tcW w:w="8552" w:type="dxa"/>
            <w:gridSpan w:val="8"/>
            <w:tcBorders>
              <w:left w:val="nil"/>
              <w:bottom w:val="nil"/>
              <w:right w:val="nil"/>
            </w:tcBorders>
          </w:tcPr>
          <w:p w14:paraId="69B1565B" w14:textId="77777777" w:rsidR="00DF0C19" w:rsidRPr="00DF0C19" w:rsidRDefault="00DF0C19" w:rsidP="00DF0C19">
            <w:pPr>
              <w:ind w:left="178" w:hanging="178"/>
              <w:jc w:val="both"/>
              <w:rPr>
                <w:rFonts w:eastAsia="Times New Roman"/>
                <w:sz w:val="20"/>
                <w:szCs w:val="20"/>
              </w:rPr>
            </w:pPr>
            <w:r w:rsidRPr="00DF0C19">
              <w:rPr>
                <w:rFonts w:eastAsia="Times New Roman"/>
                <w:sz w:val="20"/>
                <w:szCs w:val="20"/>
              </w:rPr>
              <w:t>* No se encontraron factores estacionales para los subíndices de entrega de productos e inventarios, por lo que sus series originales y ajustadas son iguales.</w:t>
            </w:r>
          </w:p>
          <w:p w14:paraId="534ACFCD" w14:textId="77777777" w:rsidR="00DF0C19" w:rsidRPr="00DF0C19" w:rsidRDefault="00DF0C19" w:rsidP="00DF0C19">
            <w:pPr>
              <w:jc w:val="both"/>
              <w:rPr>
                <w:rFonts w:eastAsia="Times New Roman"/>
                <w:sz w:val="20"/>
                <w:szCs w:val="20"/>
              </w:rPr>
            </w:pPr>
            <w:r w:rsidRPr="00DF0C19">
              <w:rPr>
                <w:rFonts w:eastAsia="Times New Roman"/>
                <w:sz w:val="20"/>
                <w:szCs w:val="20"/>
              </w:rPr>
              <w:t>FUENTE: IMEF.</w:t>
            </w:r>
          </w:p>
        </w:tc>
      </w:tr>
    </w:tbl>
    <w:p w14:paraId="05D480F5" w14:textId="77777777" w:rsidR="00DF0C19" w:rsidRPr="00DF0C19" w:rsidRDefault="00DF0C19" w:rsidP="00DF0C19">
      <w:pPr>
        <w:spacing w:after="360" w:line="360" w:lineRule="auto"/>
        <w:ind w:right="-159"/>
        <w:jc w:val="both"/>
        <w:rPr>
          <w:rFonts w:eastAsia="Times New Roman"/>
          <w:b/>
          <w:bCs/>
          <w:sz w:val="26"/>
          <w:szCs w:val="26"/>
          <w:lang w:val="es-ES"/>
        </w:rPr>
      </w:pPr>
    </w:p>
    <w:p w14:paraId="4463FAAA" w14:textId="77777777" w:rsidR="00DF0C19" w:rsidRPr="00DF0C19" w:rsidRDefault="00DF0C19" w:rsidP="00DF0C19">
      <w:pPr>
        <w:spacing w:after="360" w:line="360" w:lineRule="auto"/>
        <w:ind w:right="-159"/>
        <w:jc w:val="both"/>
        <w:rPr>
          <w:rFonts w:eastAsia="Times New Roman"/>
          <w:b/>
          <w:bCs/>
          <w:sz w:val="26"/>
          <w:szCs w:val="26"/>
          <w:lang w:val="es-ES"/>
        </w:rPr>
      </w:pPr>
      <w:r w:rsidRPr="00DF0C19">
        <w:rPr>
          <w:rFonts w:eastAsia="Times New Roman"/>
          <w:b/>
          <w:bCs/>
          <w:sz w:val="26"/>
          <w:szCs w:val="26"/>
          <w:lang w:val="es-ES"/>
        </w:rPr>
        <w:t>El Indicador IMEF No Manufacturero</w:t>
      </w:r>
    </w:p>
    <w:p w14:paraId="4A94266C" w14:textId="77777777" w:rsidR="00DF0C19" w:rsidRPr="00DF0C19" w:rsidRDefault="00DF0C19" w:rsidP="00DF0C19">
      <w:pPr>
        <w:spacing w:after="360" w:line="360" w:lineRule="auto"/>
        <w:ind w:right="-159"/>
        <w:jc w:val="both"/>
        <w:rPr>
          <w:rFonts w:eastAsia="Times New Roman"/>
          <w:bCs/>
          <w:sz w:val="26"/>
          <w:szCs w:val="26"/>
        </w:rPr>
      </w:pPr>
      <w:r w:rsidRPr="00DF0C19">
        <w:rPr>
          <w:rFonts w:eastAsia="Times New Roman"/>
          <w:bCs/>
          <w:sz w:val="26"/>
          <w:szCs w:val="26"/>
        </w:rPr>
        <w:t xml:space="preserve">El Indicador IMEF No Manufacturero registró un aumento en febrero de 0.4 puntos, lo que ubica al índice en 49.6 unidades. Por su parte, el Indicador de tendencia-ciclo reportó una disminución de 0.4 puntos, al situarse en 49.5 unidades. El resultado de febrero se explica por una combinación de aumentos en los subíndices de nuevos </w:t>
      </w:r>
      <w:r w:rsidRPr="00DF0C19">
        <w:rPr>
          <w:rFonts w:eastAsia="Times New Roman"/>
          <w:bCs/>
          <w:sz w:val="26"/>
          <w:szCs w:val="26"/>
        </w:rPr>
        <w:lastRenderedPageBreak/>
        <w:t>pedidos y producción, en combinación con bajas de menor cuantía en los indicadores de empleo y entrega del producto.</w:t>
      </w:r>
    </w:p>
    <w:p w14:paraId="3092CED5" w14:textId="77777777" w:rsidR="00DF0C19" w:rsidRPr="00DF0C19" w:rsidRDefault="00DF0C19" w:rsidP="00DF0C19">
      <w:pPr>
        <w:spacing w:after="360" w:line="360" w:lineRule="auto"/>
        <w:ind w:right="-159"/>
        <w:jc w:val="both"/>
        <w:rPr>
          <w:rFonts w:eastAsia="Times New Roman"/>
          <w:bCs/>
          <w:sz w:val="26"/>
          <w:szCs w:val="26"/>
        </w:rPr>
      </w:pPr>
      <w:r w:rsidRPr="00DF0C19">
        <w:rPr>
          <w:rFonts w:eastAsia="Times New Roman"/>
          <w:bCs/>
          <w:sz w:val="26"/>
          <w:szCs w:val="26"/>
        </w:rPr>
        <w:t>Por tercer mes consecutivo, este indicador permaneció ligeramente por debajo del umbral de 50 puntos, lo que sugiere que el sector servicios y el comercio mantendrán un desempeño débil. El consumo interno y las ventas minoristas continúan registrando crecimientos moderados, lo cual es consistente con la débil recuperación que se está percibiendo.</w:t>
      </w:r>
    </w:p>
    <w:p w14:paraId="0B1593CE" w14:textId="4BE1DCE0" w:rsidR="00DF0C19" w:rsidRPr="00DF0C19" w:rsidRDefault="00DF0C19" w:rsidP="00DF0C19">
      <w:pPr>
        <w:spacing w:after="360" w:line="360" w:lineRule="auto"/>
        <w:ind w:right="-159"/>
        <w:jc w:val="both"/>
        <w:rPr>
          <w:rFonts w:eastAsia="Times New Roman"/>
          <w:bCs/>
          <w:sz w:val="26"/>
          <w:szCs w:val="26"/>
        </w:rPr>
      </w:pPr>
      <w:r w:rsidRPr="00DF0C19">
        <w:rPr>
          <w:rFonts w:eastAsia="Times New Roman"/>
          <w:bCs/>
          <w:sz w:val="26"/>
          <w:szCs w:val="26"/>
        </w:rPr>
        <w:t>Si bien se espera que la recuperación continúe, se considera que seguirá siendo de forma paulatina y desigual entre sectores, así como sujeta a varios factores. Entre ellos destacan que se mantenga la expansión económica en Estados Unidos de Norteamérica, que Europa no registre un nuevo retroceso y que las economías asiáticas no experimenten una disminución adicional en su dinamismo. De acuerdo con el Comité, persiste como factor de riesgo la volatilidad que pudiera generarse en los mercados financieros por la eventual normalización de la política monetaria en Estados Unidos de Norteamérica, que significaría un eventual incremento en las tasas de interés, así como una caída en los términos de intercambio en muchos países.</w:t>
      </w:r>
    </w:p>
    <w:p w14:paraId="55D3F1D1" w14:textId="77777777" w:rsidR="00DF0C19" w:rsidRPr="00DF0C19" w:rsidRDefault="00DF0C19" w:rsidP="00DF0C19">
      <w:pPr>
        <w:spacing w:after="360" w:line="360" w:lineRule="auto"/>
        <w:ind w:right="-159"/>
        <w:jc w:val="both"/>
        <w:rPr>
          <w:rFonts w:eastAsia="Times New Roman"/>
          <w:bCs/>
          <w:sz w:val="26"/>
          <w:szCs w:val="26"/>
        </w:rPr>
      </w:pPr>
    </w:p>
    <w:p w14:paraId="3EF0D0AB" w14:textId="77777777" w:rsidR="00DF0C19" w:rsidRPr="00DF0C19" w:rsidRDefault="00DF0C19" w:rsidP="00DF0C19">
      <w:pPr>
        <w:spacing w:after="360" w:line="360" w:lineRule="auto"/>
        <w:ind w:right="-159"/>
        <w:jc w:val="both"/>
        <w:rPr>
          <w:rFonts w:eastAsia="Times New Roman"/>
          <w:bCs/>
          <w:sz w:val="26"/>
          <w:szCs w:val="26"/>
        </w:rPr>
      </w:pPr>
    </w:p>
    <w:p w14:paraId="3781FF9F" w14:textId="77777777" w:rsidR="00DF0C19" w:rsidRPr="00DF0C19" w:rsidRDefault="00DF0C19" w:rsidP="00DF0C19">
      <w:pPr>
        <w:spacing w:after="360" w:line="360" w:lineRule="auto"/>
        <w:ind w:right="-159"/>
        <w:jc w:val="both"/>
        <w:rPr>
          <w:rFonts w:eastAsia="Times New Roman"/>
          <w:bCs/>
          <w:sz w:val="26"/>
          <w:szCs w:val="26"/>
        </w:rPr>
      </w:pPr>
    </w:p>
    <w:p w14:paraId="113845E4" w14:textId="77777777" w:rsidR="00DF0C19" w:rsidRPr="00DF0C19" w:rsidRDefault="00DF0C19" w:rsidP="00DF0C19">
      <w:pPr>
        <w:spacing w:after="360" w:line="360" w:lineRule="auto"/>
        <w:ind w:right="-159"/>
        <w:jc w:val="both"/>
        <w:rPr>
          <w:rFonts w:eastAsia="Times New Roman"/>
          <w:bCs/>
          <w:sz w:val="26"/>
          <w:szCs w:val="26"/>
        </w:rPr>
      </w:pPr>
    </w:p>
    <w:p w14:paraId="7A1E616B" w14:textId="77777777" w:rsidR="00DF0C19" w:rsidRDefault="00DF0C19" w:rsidP="00DF0C19">
      <w:pPr>
        <w:spacing w:after="360" w:line="360" w:lineRule="auto"/>
        <w:ind w:right="-159"/>
        <w:jc w:val="both"/>
        <w:rPr>
          <w:rFonts w:eastAsia="Times New Roman"/>
          <w:bCs/>
          <w:sz w:val="26"/>
          <w:szCs w:val="26"/>
        </w:rPr>
      </w:pPr>
    </w:p>
    <w:p w14:paraId="59159DCB" w14:textId="77777777" w:rsidR="00DF70C5" w:rsidRPr="00DF0C19" w:rsidRDefault="00DF70C5" w:rsidP="00DF70C5">
      <w:pPr>
        <w:spacing w:after="240"/>
        <w:ind w:right="-159"/>
        <w:jc w:val="both"/>
        <w:rPr>
          <w:rFonts w:eastAsia="Times New Roman"/>
          <w:bCs/>
          <w:sz w:val="26"/>
          <w:szCs w:val="26"/>
        </w:rPr>
      </w:pPr>
    </w:p>
    <w:tbl>
      <w:tblPr>
        <w:tblW w:w="0" w:type="auto"/>
        <w:jc w:val="center"/>
        <w:tblLook w:val="04A0" w:firstRow="1" w:lastRow="0" w:firstColumn="1" w:lastColumn="0" w:noHBand="0" w:noVBand="1"/>
      </w:tblPr>
      <w:tblGrid>
        <w:gridCol w:w="8067"/>
      </w:tblGrid>
      <w:tr w:rsidR="00DF0C19" w:rsidRPr="00DF0C19" w14:paraId="7423C4BB" w14:textId="77777777" w:rsidTr="001E7D79">
        <w:trPr>
          <w:jc w:val="center"/>
        </w:trPr>
        <w:tc>
          <w:tcPr>
            <w:tcW w:w="8067" w:type="dxa"/>
          </w:tcPr>
          <w:p w14:paraId="7A8C519C" w14:textId="77777777" w:rsidR="00DF0C19" w:rsidRPr="00DF0C19" w:rsidRDefault="00DF0C19" w:rsidP="00DF0C19">
            <w:pPr>
              <w:ind w:right="-159"/>
              <w:jc w:val="center"/>
              <w:rPr>
                <w:rFonts w:eastAsia="Times New Roman"/>
                <w:b/>
                <w:bCs/>
                <w:sz w:val="22"/>
                <w:szCs w:val="22"/>
              </w:rPr>
            </w:pPr>
            <w:r w:rsidRPr="00DF0C19">
              <w:rPr>
                <w:rFonts w:eastAsia="Times New Roman"/>
                <w:b/>
                <w:bCs/>
                <w:sz w:val="22"/>
                <w:szCs w:val="22"/>
              </w:rPr>
              <w:lastRenderedPageBreak/>
              <w:t>INDICADOR IMEF NO MANUFACTURERO</w:t>
            </w:r>
          </w:p>
        </w:tc>
      </w:tr>
      <w:tr w:rsidR="00DF0C19" w:rsidRPr="00DF0C19" w14:paraId="6183FB08" w14:textId="77777777" w:rsidTr="001E7D79">
        <w:trPr>
          <w:trHeight w:val="4303"/>
          <w:jc w:val="center"/>
        </w:trPr>
        <w:tc>
          <w:tcPr>
            <w:tcW w:w="8067" w:type="dxa"/>
          </w:tcPr>
          <w:p w14:paraId="1B3F2BE7" w14:textId="77777777" w:rsidR="00DF0C19" w:rsidRPr="00DF0C19" w:rsidRDefault="00DF0C19" w:rsidP="00DF0C19">
            <w:pPr>
              <w:ind w:right="-159"/>
              <w:jc w:val="center"/>
              <w:rPr>
                <w:rFonts w:eastAsia="Times New Roman"/>
                <w:bCs/>
                <w:sz w:val="26"/>
                <w:szCs w:val="26"/>
              </w:rPr>
            </w:pPr>
            <w:r w:rsidRPr="00DF0C19">
              <w:rPr>
                <w:rFonts w:eastAsia="Times New Roman"/>
                <w:bCs/>
                <w:noProof/>
                <w:sz w:val="26"/>
                <w:szCs w:val="26"/>
                <w:lang w:eastAsia="es-MX"/>
              </w:rPr>
              <w:drawing>
                <wp:inline distT="0" distB="0" distL="0" distR="0" wp14:anchorId="6652B486" wp14:editId="0DE4609C">
                  <wp:extent cx="4486388" cy="2700000"/>
                  <wp:effectExtent l="0" t="0" r="0" b="5715"/>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89" cstate="print">
                            <a:extLst>
                              <a:ext uri="{28A0092B-C50C-407E-A947-70E740481C1C}">
                                <a14:useLocalDpi xmlns:a14="http://schemas.microsoft.com/office/drawing/2010/main" val="0"/>
                              </a:ext>
                            </a:extLst>
                          </a:blip>
                          <a:srcRect l="2873" t="5992" r="1705" b="1909"/>
                          <a:stretch/>
                        </pic:blipFill>
                        <pic:spPr bwMode="auto">
                          <a:xfrm>
                            <a:off x="0" y="0"/>
                            <a:ext cx="4486388" cy="270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F0C19" w:rsidRPr="00DF0C19" w14:paraId="4E5099A6" w14:textId="77777777" w:rsidTr="001E7D79">
        <w:trPr>
          <w:jc w:val="center"/>
        </w:trPr>
        <w:tc>
          <w:tcPr>
            <w:tcW w:w="8067" w:type="dxa"/>
          </w:tcPr>
          <w:p w14:paraId="1F425200" w14:textId="77777777" w:rsidR="00DF0C19" w:rsidRPr="00DF0C19" w:rsidRDefault="00DF0C19" w:rsidP="00DF0C19">
            <w:pPr>
              <w:ind w:left="885" w:right="-159" w:hanging="284"/>
              <w:jc w:val="both"/>
              <w:rPr>
                <w:rFonts w:eastAsia="Times New Roman"/>
                <w:bCs/>
                <w:sz w:val="20"/>
                <w:szCs w:val="20"/>
              </w:rPr>
            </w:pPr>
            <w:r w:rsidRPr="00DF0C19">
              <w:rPr>
                <w:rFonts w:eastAsia="Times New Roman"/>
                <w:bCs/>
                <w:sz w:val="20"/>
                <w:szCs w:val="20"/>
              </w:rPr>
              <w:t>FUENTE: IMEF.</w:t>
            </w:r>
          </w:p>
        </w:tc>
      </w:tr>
    </w:tbl>
    <w:p w14:paraId="0523525F" w14:textId="77777777" w:rsidR="00DF0C19" w:rsidRPr="00DF0C19" w:rsidRDefault="00DF0C19" w:rsidP="00DF0C19">
      <w:pPr>
        <w:spacing w:after="360" w:line="360" w:lineRule="auto"/>
        <w:ind w:right="-159"/>
        <w:jc w:val="both"/>
        <w:rPr>
          <w:rFonts w:eastAsia="Times New Roman"/>
          <w:bCs/>
          <w:sz w:val="26"/>
          <w:szCs w:val="26"/>
          <w:highlight w:val="green"/>
          <w:lang w:val="es-ES"/>
        </w:rPr>
      </w:pP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9"/>
        <w:gridCol w:w="923"/>
        <w:gridCol w:w="1082"/>
        <w:gridCol w:w="1037"/>
        <w:gridCol w:w="1224"/>
        <w:gridCol w:w="1017"/>
        <w:gridCol w:w="1404"/>
      </w:tblGrid>
      <w:tr w:rsidR="00DF0C19" w:rsidRPr="00DF0C19" w14:paraId="0B03280C" w14:textId="77777777" w:rsidTr="00E23F0E">
        <w:trPr>
          <w:jc w:val="center"/>
        </w:trPr>
        <w:tc>
          <w:tcPr>
            <w:tcW w:w="7796" w:type="dxa"/>
            <w:gridSpan w:val="7"/>
            <w:tcBorders>
              <w:top w:val="nil"/>
              <w:left w:val="nil"/>
              <w:bottom w:val="single" w:sz="4" w:space="0" w:color="auto"/>
              <w:right w:val="nil"/>
            </w:tcBorders>
            <w:vAlign w:val="center"/>
          </w:tcPr>
          <w:p w14:paraId="371BAA8E" w14:textId="77777777" w:rsidR="00DF0C19" w:rsidRPr="00DF0C19" w:rsidRDefault="00DF0C19" w:rsidP="00DF0C19">
            <w:pPr>
              <w:jc w:val="center"/>
              <w:rPr>
                <w:rFonts w:eastAsia="Times New Roman"/>
                <w:b/>
                <w:sz w:val="22"/>
                <w:szCs w:val="22"/>
                <w:lang w:val="es-ES"/>
              </w:rPr>
            </w:pPr>
            <w:r w:rsidRPr="00DF0C19">
              <w:rPr>
                <w:rFonts w:eastAsia="Times New Roman"/>
                <w:b/>
                <w:sz w:val="22"/>
                <w:szCs w:val="22"/>
                <w:lang w:val="es-ES"/>
              </w:rPr>
              <w:t>INDICADOR IMEF NO MANUFACTURERO</w:t>
            </w:r>
          </w:p>
          <w:p w14:paraId="3B6ACB39" w14:textId="77777777" w:rsidR="00DF0C19" w:rsidRPr="00DF0C19" w:rsidRDefault="00DF0C19" w:rsidP="00DF0C19">
            <w:pPr>
              <w:jc w:val="center"/>
              <w:rPr>
                <w:rFonts w:eastAsia="Times New Roman"/>
                <w:b/>
                <w:sz w:val="22"/>
                <w:szCs w:val="22"/>
                <w:lang w:val="es-ES"/>
              </w:rPr>
            </w:pPr>
            <w:r w:rsidRPr="00DF0C19">
              <w:rPr>
                <w:rFonts w:eastAsia="Times New Roman"/>
                <w:b/>
                <w:sz w:val="22"/>
                <w:szCs w:val="22"/>
                <w:lang w:val="es-ES"/>
              </w:rPr>
              <w:t>-Series desestacionalizadas-</w:t>
            </w:r>
          </w:p>
        </w:tc>
      </w:tr>
      <w:tr w:rsidR="00DF0C19" w:rsidRPr="00DF0C19" w14:paraId="2F49BC90" w14:textId="77777777" w:rsidTr="00E23F0E">
        <w:trPr>
          <w:jc w:val="center"/>
        </w:trPr>
        <w:tc>
          <w:tcPr>
            <w:tcW w:w="1109" w:type="dxa"/>
            <w:tcBorders>
              <w:bottom w:val="single" w:sz="4" w:space="0" w:color="auto"/>
            </w:tcBorders>
            <w:vAlign w:val="center"/>
          </w:tcPr>
          <w:p w14:paraId="1323FBC6" w14:textId="77777777" w:rsidR="00DF0C19" w:rsidRPr="00DF0C19" w:rsidRDefault="00DF0C19" w:rsidP="00DF0C19">
            <w:pPr>
              <w:spacing w:before="20" w:after="20"/>
              <w:jc w:val="center"/>
              <w:rPr>
                <w:rFonts w:eastAsia="Times New Roman"/>
                <w:b/>
                <w:sz w:val="18"/>
                <w:szCs w:val="20"/>
                <w:lang w:val="es-ES"/>
              </w:rPr>
            </w:pPr>
            <w:r w:rsidRPr="00DF0C19">
              <w:rPr>
                <w:rFonts w:eastAsia="Times New Roman"/>
                <w:b/>
                <w:sz w:val="18"/>
                <w:szCs w:val="20"/>
                <w:lang w:val="es-ES"/>
              </w:rPr>
              <w:t>2014/2015</w:t>
            </w:r>
          </w:p>
        </w:tc>
        <w:tc>
          <w:tcPr>
            <w:tcW w:w="923" w:type="dxa"/>
            <w:tcBorders>
              <w:bottom w:val="single" w:sz="4" w:space="0" w:color="auto"/>
            </w:tcBorders>
            <w:vAlign w:val="center"/>
          </w:tcPr>
          <w:p w14:paraId="667EA33C" w14:textId="77777777" w:rsidR="00DF0C19" w:rsidRPr="00DF0C19" w:rsidRDefault="00DF0C19" w:rsidP="00DF0C19">
            <w:pPr>
              <w:spacing w:before="20" w:after="20"/>
              <w:jc w:val="center"/>
              <w:rPr>
                <w:rFonts w:eastAsia="Times New Roman"/>
                <w:b/>
                <w:sz w:val="18"/>
                <w:szCs w:val="20"/>
                <w:lang w:val="es-ES"/>
              </w:rPr>
            </w:pPr>
            <w:r w:rsidRPr="00DF0C19">
              <w:rPr>
                <w:rFonts w:eastAsia="Times New Roman"/>
                <w:b/>
                <w:sz w:val="18"/>
                <w:szCs w:val="20"/>
                <w:lang w:val="es-ES"/>
              </w:rPr>
              <w:t>Índice</w:t>
            </w:r>
          </w:p>
          <w:p w14:paraId="23491981" w14:textId="77777777" w:rsidR="00DF0C19" w:rsidRPr="00DF0C19" w:rsidRDefault="00DF0C19" w:rsidP="00DF0C19">
            <w:pPr>
              <w:spacing w:before="20" w:after="20"/>
              <w:jc w:val="center"/>
              <w:rPr>
                <w:rFonts w:eastAsia="Times New Roman"/>
                <w:b/>
                <w:sz w:val="18"/>
                <w:szCs w:val="20"/>
                <w:lang w:val="es-ES"/>
              </w:rPr>
            </w:pPr>
            <w:r w:rsidRPr="00DF0C19">
              <w:rPr>
                <w:rFonts w:eastAsia="Times New Roman"/>
                <w:b/>
                <w:sz w:val="18"/>
                <w:szCs w:val="20"/>
                <w:lang w:val="es-ES"/>
              </w:rPr>
              <w:t>Total</w:t>
            </w:r>
          </w:p>
        </w:tc>
        <w:tc>
          <w:tcPr>
            <w:tcW w:w="1082" w:type="dxa"/>
            <w:tcBorders>
              <w:bottom w:val="single" w:sz="4" w:space="0" w:color="auto"/>
            </w:tcBorders>
            <w:vAlign w:val="center"/>
          </w:tcPr>
          <w:p w14:paraId="46642222" w14:textId="77777777" w:rsidR="00DF0C19" w:rsidRPr="00DF0C19" w:rsidRDefault="00DF0C19" w:rsidP="00DF0C19">
            <w:pPr>
              <w:spacing w:before="20" w:after="20"/>
              <w:jc w:val="center"/>
              <w:rPr>
                <w:rFonts w:eastAsia="Times New Roman"/>
                <w:b/>
                <w:sz w:val="18"/>
                <w:szCs w:val="20"/>
                <w:lang w:val="es-ES"/>
              </w:rPr>
            </w:pPr>
            <w:r w:rsidRPr="00DF0C19">
              <w:rPr>
                <w:rFonts w:eastAsia="Times New Roman"/>
                <w:b/>
                <w:sz w:val="18"/>
                <w:szCs w:val="20"/>
                <w:lang w:val="es-ES"/>
              </w:rPr>
              <w:t>Ajustado por Tamaño de Empresa</w:t>
            </w:r>
          </w:p>
        </w:tc>
        <w:tc>
          <w:tcPr>
            <w:tcW w:w="1037" w:type="dxa"/>
            <w:tcBorders>
              <w:bottom w:val="single" w:sz="4" w:space="0" w:color="auto"/>
            </w:tcBorders>
            <w:vAlign w:val="center"/>
          </w:tcPr>
          <w:p w14:paraId="0A7E5C01" w14:textId="77777777" w:rsidR="00DF0C19" w:rsidRPr="00DF0C19" w:rsidRDefault="00DF0C19" w:rsidP="00DF0C19">
            <w:pPr>
              <w:spacing w:before="20" w:after="20"/>
              <w:jc w:val="center"/>
              <w:rPr>
                <w:rFonts w:eastAsia="Times New Roman"/>
                <w:b/>
                <w:sz w:val="18"/>
                <w:szCs w:val="20"/>
                <w:lang w:val="es-ES"/>
              </w:rPr>
            </w:pPr>
            <w:r w:rsidRPr="00DF0C19">
              <w:rPr>
                <w:rFonts w:eastAsia="Times New Roman"/>
                <w:b/>
                <w:sz w:val="18"/>
                <w:szCs w:val="20"/>
                <w:lang w:val="es-ES"/>
              </w:rPr>
              <w:t>Nuevos Pedidos</w:t>
            </w:r>
          </w:p>
        </w:tc>
        <w:tc>
          <w:tcPr>
            <w:tcW w:w="1224" w:type="dxa"/>
            <w:tcBorders>
              <w:bottom w:val="single" w:sz="4" w:space="0" w:color="auto"/>
            </w:tcBorders>
            <w:vAlign w:val="center"/>
          </w:tcPr>
          <w:p w14:paraId="2C9C4A30" w14:textId="77777777" w:rsidR="00DF0C19" w:rsidRPr="00DF0C19" w:rsidRDefault="00DF0C19" w:rsidP="00DF0C19">
            <w:pPr>
              <w:spacing w:before="20" w:after="20"/>
              <w:jc w:val="center"/>
              <w:rPr>
                <w:rFonts w:eastAsia="Times New Roman"/>
                <w:b/>
                <w:sz w:val="18"/>
                <w:szCs w:val="20"/>
                <w:lang w:val="es-ES"/>
              </w:rPr>
            </w:pPr>
            <w:r w:rsidRPr="00DF0C19">
              <w:rPr>
                <w:rFonts w:eastAsia="Times New Roman"/>
                <w:b/>
                <w:sz w:val="18"/>
                <w:szCs w:val="20"/>
                <w:lang w:val="es-ES"/>
              </w:rPr>
              <w:t>Producción</w:t>
            </w:r>
          </w:p>
        </w:tc>
        <w:tc>
          <w:tcPr>
            <w:tcW w:w="1017" w:type="dxa"/>
            <w:tcBorders>
              <w:bottom w:val="single" w:sz="4" w:space="0" w:color="auto"/>
            </w:tcBorders>
            <w:vAlign w:val="center"/>
          </w:tcPr>
          <w:p w14:paraId="02D6D348" w14:textId="77777777" w:rsidR="00DF0C19" w:rsidRPr="00DF0C19" w:rsidRDefault="00DF0C19" w:rsidP="00DF0C19">
            <w:pPr>
              <w:spacing w:before="20" w:after="20"/>
              <w:jc w:val="center"/>
              <w:rPr>
                <w:rFonts w:eastAsia="Times New Roman"/>
                <w:b/>
                <w:sz w:val="18"/>
                <w:szCs w:val="20"/>
                <w:lang w:val="es-ES"/>
              </w:rPr>
            </w:pPr>
            <w:r w:rsidRPr="00DF0C19">
              <w:rPr>
                <w:rFonts w:eastAsia="Times New Roman"/>
                <w:b/>
                <w:sz w:val="18"/>
                <w:szCs w:val="20"/>
                <w:lang w:val="es-ES"/>
              </w:rPr>
              <w:t>Empleo*</w:t>
            </w:r>
          </w:p>
        </w:tc>
        <w:tc>
          <w:tcPr>
            <w:tcW w:w="1404" w:type="dxa"/>
            <w:tcBorders>
              <w:bottom w:val="single" w:sz="4" w:space="0" w:color="auto"/>
            </w:tcBorders>
            <w:vAlign w:val="center"/>
          </w:tcPr>
          <w:p w14:paraId="06741B58" w14:textId="77777777" w:rsidR="00DF0C19" w:rsidRPr="00DF0C19" w:rsidRDefault="00DF0C19" w:rsidP="00DF0C19">
            <w:pPr>
              <w:spacing w:before="20" w:after="20"/>
              <w:jc w:val="center"/>
              <w:rPr>
                <w:rFonts w:eastAsia="Times New Roman"/>
                <w:b/>
                <w:sz w:val="18"/>
                <w:szCs w:val="20"/>
                <w:lang w:val="es-ES"/>
              </w:rPr>
            </w:pPr>
            <w:r w:rsidRPr="00DF0C19">
              <w:rPr>
                <w:rFonts w:eastAsia="Times New Roman"/>
                <w:b/>
                <w:sz w:val="18"/>
                <w:szCs w:val="20"/>
                <w:lang w:val="es-ES"/>
              </w:rPr>
              <w:t>Entrega de productos*</w:t>
            </w:r>
          </w:p>
        </w:tc>
      </w:tr>
      <w:tr w:rsidR="00DF0C19" w:rsidRPr="00DF0C19" w14:paraId="402D3D2C" w14:textId="77777777" w:rsidTr="00E23F0E">
        <w:trPr>
          <w:jc w:val="center"/>
        </w:trPr>
        <w:tc>
          <w:tcPr>
            <w:tcW w:w="1109" w:type="dxa"/>
            <w:tcBorders>
              <w:top w:val="single" w:sz="4" w:space="0" w:color="auto"/>
              <w:bottom w:val="nil"/>
            </w:tcBorders>
          </w:tcPr>
          <w:p w14:paraId="3AD3B69F" w14:textId="77777777" w:rsidR="00DF0C19" w:rsidRPr="00DF0C19" w:rsidRDefault="00DF0C19" w:rsidP="00DF0C19">
            <w:pPr>
              <w:spacing w:before="20" w:after="20"/>
              <w:rPr>
                <w:rFonts w:eastAsia="Times New Roman"/>
                <w:sz w:val="18"/>
                <w:szCs w:val="18"/>
              </w:rPr>
            </w:pPr>
            <w:r w:rsidRPr="00DF0C19">
              <w:rPr>
                <w:rFonts w:eastAsia="Times New Roman"/>
                <w:sz w:val="18"/>
                <w:szCs w:val="18"/>
              </w:rPr>
              <w:t>Septiembre</w:t>
            </w:r>
          </w:p>
        </w:tc>
        <w:tc>
          <w:tcPr>
            <w:tcW w:w="923" w:type="dxa"/>
            <w:tcBorders>
              <w:top w:val="single" w:sz="4" w:space="0" w:color="auto"/>
              <w:bottom w:val="nil"/>
            </w:tcBorders>
          </w:tcPr>
          <w:p w14:paraId="6711C5F1" w14:textId="77777777" w:rsidR="00DF0C19" w:rsidRPr="00DF0C19" w:rsidRDefault="00DF0C19" w:rsidP="00DF0C19">
            <w:pPr>
              <w:spacing w:before="20" w:after="20"/>
              <w:jc w:val="center"/>
              <w:rPr>
                <w:rFonts w:eastAsia="Times New Roman"/>
                <w:sz w:val="18"/>
                <w:szCs w:val="20"/>
                <w:lang w:val="es-ES"/>
              </w:rPr>
            </w:pPr>
            <w:r w:rsidRPr="00DF0C19">
              <w:rPr>
                <w:rFonts w:eastAsia="Times New Roman"/>
                <w:sz w:val="18"/>
                <w:szCs w:val="20"/>
                <w:lang w:val="es-ES"/>
              </w:rPr>
              <w:t>51.8</w:t>
            </w:r>
          </w:p>
        </w:tc>
        <w:tc>
          <w:tcPr>
            <w:tcW w:w="1082" w:type="dxa"/>
            <w:tcBorders>
              <w:top w:val="single" w:sz="4" w:space="0" w:color="auto"/>
              <w:bottom w:val="nil"/>
            </w:tcBorders>
          </w:tcPr>
          <w:p w14:paraId="2FE39E58" w14:textId="77777777" w:rsidR="00DF0C19" w:rsidRPr="00DF0C19" w:rsidRDefault="00DF0C19" w:rsidP="00DF0C19">
            <w:pPr>
              <w:spacing w:before="20" w:after="20"/>
              <w:jc w:val="center"/>
              <w:rPr>
                <w:rFonts w:eastAsia="Times New Roman"/>
                <w:sz w:val="18"/>
                <w:szCs w:val="20"/>
                <w:lang w:val="es-ES"/>
              </w:rPr>
            </w:pPr>
            <w:r w:rsidRPr="00DF0C19">
              <w:rPr>
                <w:rFonts w:eastAsia="Times New Roman"/>
                <w:sz w:val="18"/>
                <w:szCs w:val="20"/>
                <w:lang w:val="es-ES"/>
              </w:rPr>
              <w:t>53.1</w:t>
            </w:r>
          </w:p>
        </w:tc>
        <w:tc>
          <w:tcPr>
            <w:tcW w:w="1037" w:type="dxa"/>
            <w:tcBorders>
              <w:top w:val="single" w:sz="4" w:space="0" w:color="auto"/>
              <w:bottom w:val="nil"/>
            </w:tcBorders>
          </w:tcPr>
          <w:p w14:paraId="4A3E701B" w14:textId="77777777" w:rsidR="00DF0C19" w:rsidRPr="00DF0C19" w:rsidRDefault="00DF0C19" w:rsidP="00DF0C19">
            <w:pPr>
              <w:spacing w:before="20" w:after="20"/>
              <w:jc w:val="center"/>
              <w:rPr>
                <w:rFonts w:eastAsia="Times New Roman"/>
                <w:sz w:val="18"/>
                <w:szCs w:val="20"/>
                <w:lang w:val="es-ES"/>
              </w:rPr>
            </w:pPr>
            <w:r w:rsidRPr="00DF0C19">
              <w:rPr>
                <w:rFonts w:eastAsia="Times New Roman"/>
                <w:sz w:val="18"/>
                <w:szCs w:val="20"/>
                <w:lang w:val="es-ES"/>
              </w:rPr>
              <w:t>56.0</w:t>
            </w:r>
          </w:p>
        </w:tc>
        <w:tc>
          <w:tcPr>
            <w:tcW w:w="1224" w:type="dxa"/>
            <w:tcBorders>
              <w:top w:val="single" w:sz="4" w:space="0" w:color="auto"/>
              <w:bottom w:val="nil"/>
            </w:tcBorders>
          </w:tcPr>
          <w:p w14:paraId="585FA95A" w14:textId="77777777" w:rsidR="00DF0C19" w:rsidRPr="00DF0C19" w:rsidRDefault="00DF0C19" w:rsidP="00DF0C19">
            <w:pPr>
              <w:spacing w:before="20" w:after="20"/>
              <w:jc w:val="center"/>
              <w:rPr>
                <w:rFonts w:eastAsia="Times New Roman"/>
                <w:sz w:val="18"/>
                <w:szCs w:val="20"/>
                <w:lang w:val="es-ES"/>
              </w:rPr>
            </w:pPr>
            <w:r w:rsidRPr="00DF0C19">
              <w:rPr>
                <w:rFonts w:eastAsia="Times New Roman"/>
                <w:sz w:val="18"/>
                <w:szCs w:val="20"/>
                <w:lang w:val="es-ES"/>
              </w:rPr>
              <w:t>53.3</w:t>
            </w:r>
          </w:p>
        </w:tc>
        <w:tc>
          <w:tcPr>
            <w:tcW w:w="1017" w:type="dxa"/>
            <w:tcBorders>
              <w:top w:val="single" w:sz="4" w:space="0" w:color="auto"/>
              <w:bottom w:val="nil"/>
            </w:tcBorders>
          </w:tcPr>
          <w:p w14:paraId="68F0D0F6" w14:textId="77777777" w:rsidR="00DF0C19" w:rsidRPr="00DF0C19" w:rsidRDefault="00DF0C19" w:rsidP="00DF0C19">
            <w:pPr>
              <w:spacing w:before="20" w:after="20"/>
              <w:jc w:val="center"/>
              <w:rPr>
                <w:rFonts w:eastAsia="Times New Roman"/>
                <w:sz w:val="18"/>
                <w:szCs w:val="20"/>
                <w:lang w:val="es-ES"/>
              </w:rPr>
            </w:pPr>
            <w:r w:rsidRPr="00DF0C19">
              <w:rPr>
                <w:rFonts w:eastAsia="Times New Roman"/>
                <w:sz w:val="18"/>
                <w:szCs w:val="20"/>
                <w:lang w:val="es-ES"/>
              </w:rPr>
              <w:t>49.1</w:t>
            </w:r>
          </w:p>
        </w:tc>
        <w:tc>
          <w:tcPr>
            <w:tcW w:w="1404" w:type="dxa"/>
            <w:tcBorders>
              <w:top w:val="single" w:sz="4" w:space="0" w:color="auto"/>
              <w:bottom w:val="nil"/>
            </w:tcBorders>
          </w:tcPr>
          <w:p w14:paraId="798D6373" w14:textId="77777777" w:rsidR="00DF0C19" w:rsidRPr="00DF0C19" w:rsidRDefault="00DF0C19" w:rsidP="00DF0C19">
            <w:pPr>
              <w:spacing w:before="20" w:after="20"/>
              <w:jc w:val="center"/>
              <w:rPr>
                <w:rFonts w:eastAsia="Times New Roman"/>
                <w:sz w:val="18"/>
                <w:szCs w:val="20"/>
                <w:lang w:val="es-ES"/>
              </w:rPr>
            </w:pPr>
            <w:r w:rsidRPr="00DF0C19">
              <w:rPr>
                <w:rFonts w:eastAsia="Times New Roman"/>
                <w:sz w:val="18"/>
                <w:szCs w:val="20"/>
                <w:lang w:val="es-ES"/>
              </w:rPr>
              <w:t>49.5</w:t>
            </w:r>
          </w:p>
        </w:tc>
      </w:tr>
      <w:tr w:rsidR="00DF0C19" w:rsidRPr="00DF0C19" w14:paraId="48285DB5" w14:textId="77777777" w:rsidTr="00E23F0E">
        <w:trPr>
          <w:jc w:val="center"/>
        </w:trPr>
        <w:tc>
          <w:tcPr>
            <w:tcW w:w="1109" w:type="dxa"/>
            <w:tcBorders>
              <w:top w:val="nil"/>
              <w:bottom w:val="nil"/>
            </w:tcBorders>
          </w:tcPr>
          <w:p w14:paraId="22908758" w14:textId="77777777" w:rsidR="00DF0C19" w:rsidRPr="00DF0C19" w:rsidRDefault="00DF0C19" w:rsidP="00DF0C19">
            <w:pPr>
              <w:spacing w:before="20" w:after="20"/>
              <w:rPr>
                <w:rFonts w:eastAsia="Times New Roman"/>
                <w:sz w:val="18"/>
                <w:szCs w:val="18"/>
              </w:rPr>
            </w:pPr>
            <w:r w:rsidRPr="00DF0C19">
              <w:rPr>
                <w:rFonts w:eastAsia="Times New Roman"/>
                <w:sz w:val="18"/>
                <w:szCs w:val="18"/>
              </w:rPr>
              <w:t xml:space="preserve">Octubre </w:t>
            </w:r>
          </w:p>
        </w:tc>
        <w:tc>
          <w:tcPr>
            <w:tcW w:w="923" w:type="dxa"/>
            <w:tcBorders>
              <w:top w:val="nil"/>
              <w:bottom w:val="nil"/>
            </w:tcBorders>
          </w:tcPr>
          <w:p w14:paraId="1DA503F4" w14:textId="77777777" w:rsidR="00DF0C19" w:rsidRPr="00DF0C19" w:rsidRDefault="00DF0C19" w:rsidP="00DF0C19">
            <w:pPr>
              <w:spacing w:before="20" w:after="20"/>
              <w:jc w:val="center"/>
              <w:rPr>
                <w:rFonts w:eastAsia="Times New Roman"/>
                <w:sz w:val="18"/>
                <w:szCs w:val="20"/>
                <w:lang w:val="es-ES"/>
              </w:rPr>
            </w:pPr>
            <w:r w:rsidRPr="00DF0C19">
              <w:rPr>
                <w:rFonts w:eastAsia="Times New Roman"/>
                <w:sz w:val="18"/>
                <w:szCs w:val="20"/>
                <w:lang w:val="es-ES"/>
              </w:rPr>
              <w:t>52.1</w:t>
            </w:r>
          </w:p>
        </w:tc>
        <w:tc>
          <w:tcPr>
            <w:tcW w:w="1082" w:type="dxa"/>
            <w:tcBorders>
              <w:top w:val="nil"/>
              <w:bottom w:val="nil"/>
            </w:tcBorders>
          </w:tcPr>
          <w:p w14:paraId="5E9557F8" w14:textId="77777777" w:rsidR="00DF0C19" w:rsidRPr="00DF0C19" w:rsidRDefault="00DF0C19" w:rsidP="00DF0C19">
            <w:pPr>
              <w:spacing w:before="20" w:after="20"/>
              <w:jc w:val="center"/>
              <w:rPr>
                <w:rFonts w:eastAsia="Times New Roman"/>
                <w:sz w:val="18"/>
                <w:szCs w:val="20"/>
                <w:lang w:val="es-ES"/>
              </w:rPr>
            </w:pPr>
            <w:r w:rsidRPr="00DF0C19">
              <w:rPr>
                <w:rFonts w:eastAsia="Times New Roman"/>
                <w:sz w:val="18"/>
                <w:szCs w:val="20"/>
                <w:lang w:val="es-ES"/>
              </w:rPr>
              <w:t>52.8</w:t>
            </w:r>
          </w:p>
        </w:tc>
        <w:tc>
          <w:tcPr>
            <w:tcW w:w="1037" w:type="dxa"/>
            <w:tcBorders>
              <w:top w:val="nil"/>
              <w:bottom w:val="nil"/>
            </w:tcBorders>
          </w:tcPr>
          <w:p w14:paraId="225CA501" w14:textId="77777777" w:rsidR="00DF0C19" w:rsidRPr="00DF0C19" w:rsidRDefault="00DF0C19" w:rsidP="00DF0C19">
            <w:pPr>
              <w:spacing w:before="20" w:after="20"/>
              <w:jc w:val="center"/>
              <w:rPr>
                <w:rFonts w:eastAsia="Times New Roman"/>
                <w:sz w:val="18"/>
                <w:szCs w:val="20"/>
                <w:lang w:val="es-ES"/>
              </w:rPr>
            </w:pPr>
            <w:r w:rsidRPr="00DF0C19">
              <w:rPr>
                <w:rFonts w:eastAsia="Times New Roman"/>
                <w:sz w:val="18"/>
                <w:szCs w:val="20"/>
                <w:lang w:val="es-ES"/>
              </w:rPr>
              <w:t>54.2</w:t>
            </w:r>
          </w:p>
        </w:tc>
        <w:tc>
          <w:tcPr>
            <w:tcW w:w="1224" w:type="dxa"/>
            <w:tcBorders>
              <w:top w:val="nil"/>
              <w:bottom w:val="nil"/>
            </w:tcBorders>
          </w:tcPr>
          <w:p w14:paraId="5732DE05" w14:textId="77777777" w:rsidR="00DF0C19" w:rsidRPr="00DF0C19" w:rsidRDefault="00DF0C19" w:rsidP="00DF0C19">
            <w:pPr>
              <w:spacing w:before="20" w:after="20"/>
              <w:jc w:val="center"/>
              <w:rPr>
                <w:rFonts w:eastAsia="Times New Roman"/>
                <w:sz w:val="18"/>
                <w:szCs w:val="20"/>
                <w:lang w:val="es-ES"/>
              </w:rPr>
            </w:pPr>
            <w:r w:rsidRPr="00DF0C19">
              <w:rPr>
                <w:rFonts w:eastAsia="Times New Roman"/>
                <w:sz w:val="18"/>
                <w:szCs w:val="20"/>
                <w:lang w:val="es-ES"/>
              </w:rPr>
              <w:t>53.7</w:t>
            </w:r>
          </w:p>
        </w:tc>
        <w:tc>
          <w:tcPr>
            <w:tcW w:w="1017" w:type="dxa"/>
            <w:tcBorders>
              <w:top w:val="nil"/>
              <w:bottom w:val="nil"/>
            </w:tcBorders>
          </w:tcPr>
          <w:p w14:paraId="557C4AAB" w14:textId="77777777" w:rsidR="00DF0C19" w:rsidRPr="00DF0C19" w:rsidRDefault="00DF0C19" w:rsidP="00DF0C19">
            <w:pPr>
              <w:spacing w:before="20" w:after="20"/>
              <w:jc w:val="center"/>
              <w:rPr>
                <w:rFonts w:eastAsia="Times New Roman"/>
                <w:sz w:val="18"/>
                <w:szCs w:val="20"/>
                <w:lang w:val="es-ES"/>
              </w:rPr>
            </w:pPr>
            <w:r w:rsidRPr="00DF0C19">
              <w:rPr>
                <w:rFonts w:eastAsia="Times New Roman"/>
                <w:sz w:val="18"/>
                <w:szCs w:val="20"/>
                <w:lang w:val="es-ES"/>
              </w:rPr>
              <w:t>49.4</w:t>
            </w:r>
          </w:p>
        </w:tc>
        <w:tc>
          <w:tcPr>
            <w:tcW w:w="1404" w:type="dxa"/>
            <w:tcBorders>
              <w:top w:val="nil"/>
              <w:bottom w:val="nil"/>
            </w:tcBorders>
          </w:tcPr>
          <w:p w14:paraId="1C496EB2" w14:textId="77777777" w:rsidR="00DF0C19" w:rsidRPr="00DF0C19" w:rsidRDefault="00DF0C19" w:rsidP="00DF0C19">
            <w:pPr>
              <w:spacing w:before="20" w:after="20"/>
              <w:jc w:val="center"/>
              <w:rPr>
                <w:rFonts w:eastAsia="Times New Roman"/>
                <w:sz w:val="18"/>
                <w:szCs w:val="20"/>
                <w:lang w:val="es-ES"/>
              </w:rPr>
            </w:pPr>
            <w:r w:rsidRPr="00DF0C19">
              <w:rPr>
                <w:rFonts w:eastAsia="Times New Roman"/>
                <w:sz w:val="18"/>
                <w:szCs w:val="20"/>
                <w:lang w:val="es-ES"/>
              </w:rPr>
              <w:t>49.7</w:t>
            </w:r>
          </w:p>
        </w:tc>
      </w:tr>
      <w:tr w:rsidR="00DF0C19" w:rsidRPr="00DF0C19" w14:paraId="4341FAB8" w14:textId="77777777" w:rsidTr="00E23F0E">
        <w:trPr>
          <w:jc w:val="center"/>
        </w:trPr>
        <w:tc>
          <w:tcPr>
            <w:tcW w:w="1109" w:type="dxa"/>
            <w:tcBorders>
              <w:top w:val="nil"/>
              <w:bottom w:val="nil"/>
            </w:tcBorders>
          </w:tcPr>
          <w:p w14:paraId="4F9FC7B0" w14:textId="77777777" w:rsidR="00DF0C19" w:rsidRPr="00DF0C19" w:rsidRDefault="00DF0C19" w:rsidP="00DF0C19">
            <w:pPr>
              <w:spacing w:before="20" w:after="20"/>
              <w:rPr>
                <w:rFonts w:eastAsia="Times New Roman"/>
                <w:sz w:val="18"/>
                <w:szCs w:val="18"/>
              </w:rPr>
            </w:pPr>
            <w:r w:rsidRPr="00DF0C19">
              <w:rPr>
                <w:rFonts w:eastAsia="Times New Roman"/>
                <w:sz w:val="18"/>
                <w:szCs w:val="18"/>
              </w:rPr>
              <w:t xml:space="preserve">Noviembre </w:t>
            </w:r>
          </w:p>
        </w:tc>
        <w:tc>
          <w:tcPr>
            <w:tcW w:w="923" w:type="dxa"/>
            <w:tcBorders>
              <w:top w:val="nil"/>
              <w:bottom w:val="nil"/>
            </w:tcBorders>
          </w:tcPr>
          <w:p w14:paraId="3FBC8A19" w14:textId="77777777" w:rsidR="00DF0C19" w:rsidRPr="00DF0C19" w:rsidRDefault="00DF0C19" w:rsidP="00DF0C19">
            <w:pPr>
              <w:spacing w:before="20" w:after="20"/>
              <w:jc w:val="center"/>
              <w:rPr>
                <w:rFonts w:eastAsia="Times New Roman"/>
                <w:sz w:val="18"/>
                <w:szCs w:val="20"/>
                <w:lang w:val="es-ES"/>
              </w:rPr>
            </w:pPr>
            <w:r w:rsidRPr="00DF0C19">
              <w:rPr>
                <w:rFonts w:eastAsia="Times New Roman"/>
                <w:sz w:val="18"/>
                <w:szCs w:val="20"/>
                <w:lang w:val="es-ES"/>
              </w:rPr>
              <w:t>51.1</w:t>
            </w:r>
          </w:p>
        </w:tc>
        <w:tc>
          <w:tcPr>
            <w:tcW w:w="1082" w:type="dxa"/>
            <w:tcBorders>
              <w:top w:val="nil"/>
              <w:bottom w:val="nil"/>
            </w:tcBorders>
          </w:tcPr>
          <w:p w14:paraId="3F0AAEC8" w14:textId="77777777" w:rsidR="00DF0C19" w:rsidRPr="00DF0C19" w:rsidRDefault="00DF0C19" w:rsidP="00DF0C19">
            <w:pPr>
              <w:spacing w:before="20" w:after="20"/>
              <w:jc w:val="center"/>
              <w:rPr>
                <w:rFonts w:eastAsia="Times New Roman"/>
                <w:sz w:val="18"/>
                <w:szCs w:val="20"/>
                <w:lang w:val="es-ES"/>
              </w:rPr>
            </w:pPr>
            <w:r w:rsidRPr="00DF0C19">
              <w:rPr>
                <w:rFonts w:eastAsia="Times New Roman"/>
                <w:sz w:val="18"/>
                <w:szCs w:val="20"/>
                <w:lang w:val="es-ES"/>
              </w:rPr>
              <w:t>54.7</w:t>
            </w:r>
          </w:p>
        </w:tc>
        <w:tc>
          <w:tcPr>
            <w:tcW w:w="1037" w:type="dxa"/>
            <w:tcBorders>
              <w:top w:val="nil"/>
              <w:bottom w:val="nil"/>
            </w:tcBorders>
          </w:tcPr>
          <w:p w14:paraId="17E0165C" w14:textId="77777777" w:rsidR="00DF0C19" w:rsidRPr="00DF0C19" w:rsidRDefault="00DF0C19" w:rsidP="00DF0C19">
            <w:pPr>
              <w:spacing w:before="20" w:after="20"/>
              <w:jc w:val="center"/>
              <w:rPr>
                <w:rFonts w:eastAsia="Times New Roman"/>
                <w:sz w:val="18"/>
                <w:szCs w:val="20"/>
                <w:lang w:val="es-ES"/>
              </w:rPr>
            </w:pPr>
            <w:r w:rsidRPr="00DF0C19">
              <w:rPr>
                <w:rFonts w:eastAsia="Times New Roman"/>
                <w:sz w:val="18"/>
                <w:szCs w:val="20"/>
                <w:lang w:val="es-ES"/>
              </w:rPr>
              <w:t>53.1</w:t>
            </w:r>
          </w:p>
        </w:tc>
        <w:tc>
          <w:tcPr>
            <w:tcW w:w="1224" w:type="dxa"/>
            <w:tcBorders>
              <w:top w:val="nil"/>
              <w:bottom w:val="nil"/>
            </w:tcBorders>
          </w:tcPr>
          <w:p w14:paraId="0AC689E3" w14:textId="77777777" w:rsidR="00DF0C19" w:rsidRPr="00DF0C19" w:rsidRDefault="00DF0C19" w:rsidP="00DF0C19">
            <w:pPr>
              <w:spacing w:before="20" w:after="20"/>
              <w:jc w:val="center"/>
              <w:rPr>
                <w:rFonts w:eastAsia="Times New Roman"/>
                <w:sz w:val="18"/>
                <w:szCs w:val="20"/>
                <w:lang w:val="es-ES"/>
              </w:rPr>
            </w:pPr>
            <w:r w:rsidRPr="00DF0C19">
              <w:rPr>
                <w:rFonts w:eastAsia="Times New Roman"/>
                <w:sz w:val="18"/>
                <w:szCs w:val="20"/>
                <w:lang w:val="es-ES"/>
              </w:rPr>
              <w:t>54.5</w:t>
            </w:r>
          </w:p>
        </w:tc>
        <w:tc>
          <w:tcPr>
            <w:tcW w:w="1017" w:type="dxa"/>
            <w:tcBorders>
              <w:top w:val="nil"/>
              <w:bottom w:val="nil"/>
            </w:tcBorders>
          </w:tcPr>
          <w:p w14:paraId="7DA4815C" w14:textId="77777777" w:rsidR="00DF0C19" w:rsidRPr="00DF0C19" w:rsidRDefault="00DF0C19" w:rsidP="00DF0C19">
            <w:pPr>
              <w:spacing w:before="20" w:after="20"/>
              <w:jc w:val="center"/>
              <w:rPr>
                <w:rFonts w:eastAsia="Times New Roman"/>
                <w:sz w:val="18"/>
                <w:szCs w:val="20"/>
                <w:lang w:val="es-ES"/>
              </w:rPr>
            </w:pPr>
            <w:r w:rsidRPr="00DF0C19">
              <w:rPr>
                <w:rFonts w:eastAsia="Times New Roman"/>
                <w:sz w:val="18"/>
                <w:szCs w:val="20"/>
                <w:lang w:val="es-ES"/>
              </w:rPr>
              <w:t>50.6</w:t>
            </w:r>
          </w:p>
        </w:tc>
        <w:tc>
          <w:tcPr>
            <w:tcW w:w="1404" w:type="dxa"/>
            <w:tcBorders>
              <w:top w:val="nil"/>
              <w:bottom w:val="nil"/>
            </w:tcBorders>
          </w:tcPr>
          <w:p w14:paraId="2B039398" w14:textId="77777777" w:rsidR="00DF0C19" w:rsidRPr="00DF0C19" w:rsidRDefault="00DF0C19" w:rsidP="00DF0C19">
            <w:pPr>
              <w:spacing w:before="20" w:after="20"/>
              <w:jc w:val="center"/>
              <w:rPr>
                <w:rFonts w:eastAsia="Times New Roman"/>
                <w:sz w:val="18"/>
                <w:szCs w:val="20"/>
                <w:lang w:val="es-ES"/>
              </w:rPr>
            </w:pPr>
            <w:r w:rsidRPr="00DF0C19">
              <w:rPr>
                <w:rFonts w:eastAsia="Times New Roman"/>
                <w:sz w:val="18"/>
                <w:szCs w:val="20"/>
                <w:lang w:val="es-ES"/>
              </w:rPr>
              <w:t>48.6</w:t>
            </w:r>
          </w:p>
        </w:tc>
      </w:tr>
      <w:tr w:rsidR="00DF0C19" w:rsidRPr="00DF0C19" w14:paraId="1EFDB5FF" w14:textId="77777777" w:rsidTr="00E23F0E">
        <w:trPr>
          <w:jc w:val="center"/>
        </w:trPr>
        <w:tc>
          <w:tcPr>
            <w:tcW w:w="1109" w:type="dxa"/>
            <w:tcBorders>
              <w:top w:val="nil"/>
              <w:bottom w:val="nil"/>
            </w:tcBorders>
          </w:tcPr>
          <w:p w14:paraId="553C5024" w14:textId="77777777" w:rsidR="00DF0C19" w:rsidRPr="00DF0C19" w:rsidRDefault="00DF0C19" w:rsidP="00DF0C19">
            <w:pPr>
              <w:spacing w:before="20" w:after="20"/>
              <w:rPr>
                <w:rFonts w:eastAsia="Times New Roman"/>
                <w:sz w:val="18"/>
                <w:szCs w:val="18"/>
              </w:rPr>
            </w:pPr>
            <w:r w:rsidRPr="00DF0C19">
              <w:rPr>
                <w:rFonts w:eastAsia="Times New Roman"/>
                <w:sz w:val="18"/>
                <w:szCs w:val="18"/>
              </w:rPr>
              <w:t xml:space="preserve">Diciembre </w:t>
            </w:r>
          </w:p>
        </w:tc>
        <w:tc>
          <w:tcPr>
            <w:tcW w:w="923" w:type="dxa"/>
            <w:tcBorders>
              <w:top w:val="nil"/>
              <w:bottom w:val="nil"/>
            </w:tcBorders>
          </w:tcPr>
          <w:p w14:paraId="05DB531E" w14:textId="77777777" w:rsidR="00DF0C19" w:rsidRPr="00DF0C19" w:rsidRDefault="00DF0C19" w:rsidP="00DF0C19">
            <w:pPr>
              <w:spacing w:before="20" w:after="20"/>
              <w:jc w:val="center"/>
              <w:rPr>
                <w:rFonts w:eastAsia="Times New Roman"/>
                <w:sz w:val="18"/>
                <w:szCs w:val="20"/>
                <w:lang w:val="es-ES"/>
              </w:rPr>
            </w:pPr>
            <w:r w:rsidRPr="00DF0C19">
              <w:rPr>
                <w:rFonts w:eastAsia="Times New Roman"/>
                <w:sz w:val="18"/>
                <w:szCs w:val="20"/>
                <w:lang w:val="es-ES"/>
              </w:rPr>
              <w:t>49.9</w:t>
            </w:r>
          </w:p>
        </w:tc>
        <w:tc>
          <w:tcPr>
            <w:tcW w:w="1082" w:type="dxa"/>
            <w:tcBorders>
              <w:top w:val="nil"/>
              <w:bottom w:val="nil"/>
            </w:tcBorders>
          </w:tcPr>
          <w:p w14:paraId="4A1057CD" w14:textId="77777777" w:rsidR="00DF0C19" w:rsidRPr="00DF0C19" w:rsidRDefault="00DF0C19" w:rsidP="00DF0C19">
            <w:pPr>
              <w:spacing w:before="20" w:after="20"/>
              <w:jc w:val="center"/>
              <w:rPr>
                <w:rFonts w:eastAsia="Times New Roman"/>
                <w:sz w:val="18"/>
                <w:szCs w:val="20"/>
                <w:lang w:val="es-ES"/>
              </w:rPr>
            </w:pPr>
            <w:r w:rsidRPr="00DF0C19">
              <w:rPr>
                <w:rFonts w:eastAsia="Times New Roman"/>
                <w:sz w:val="18"/>
                <w:szCs w:val="20"/>
                <w:lang w:val="es-ES"/>
              </w:rPr>
              <w:t>52.7</w:t>
            </w:r>
          </w:p>
        </w:tc>
        <w:tc>
          <w:tcPr>
            <w:tcW w:w="1037" w:type="dxa"/>
            <w:tcBorders>
              <w:top w:val="nil"/>
              <w:bottom w:val="nil"/>
            </w:tcBorders>
          </w:tcPr>
          <w:p w14:paraId="70052C43" w14:textId="77777777" w:rsidR="00DF0C19" w:rsidRPr="00DF0C19" w:rsidRDefault="00DF0C19" w:rsidP="00DF0C19">
            <w:pPr>
              <w:spacing w:before="20" w:after="20"/>
              <w:jc w:val="center"/>
              <w:rPr>
                <w:rFonts w:eastAsia="Times New Roman"/>
                <w:sz w:val="18"/>
                <w:szCs w:val="20"/>
                <w:lang w:val="es-ES"/>
              </w:rPr>
            </w:pPr>
            <w:r w:rsidRPr="00DF0C19">
              <w:rPr>
                <w:rFonts w:eastAsia="Times New Roman"/>
                <w:sz w:val="18"/>
                <w:szCs w:val="20"/>
                <w:lang w:val="es-ES"/>
              </w:rPr>
              <w:t>52.7</w:t>
            </w:r>
          </w:p>
        </w:tc>
        <w:tc>
          <w:tcPr>
            <w:tcW w:w="1224" w:type="dxa"/>
            <w:tcBorders>
              <w:top w:val="nil"/>
              <w:bottom w:val="nil"/>
            </w:tcBorders>
          </w:tcPr>
          <w:p w14:paraId="117FE98C" w14:textId="77777777" w:rsidR="00DF0C19" w:rsidRPr="00DF0C19" w:rsidRDefault="00DF0C19" w:rsidP="00DF0C19">
            <w:pPr>
              <w:spacing w:before="20" w:after="20"/>
              <w:jc w:val="center"/>
              <w:rPr>
                <w:rFonts w:eastAsia="Times New Roman"/>
                <w:sz w:val="18"/>
                <w:szCs w:val="20"/>
                <w:lang w:val="es-ES"/>
              </w:rPr>
            </w:pPr>
            <w:r w:rsidRPr="00DF0C19">
              <w:rPr>
                <w:rFonts w:eastAsia="Times New Roman"/>
                <w:sz w:val="18"/>
                <w:szCs w:val="20"/>
                <w:lang w:val="es-ES"/>
              </w:rPr>
              <w:t>52.6</w:t>
            </w:r>
          </w:p>
        </w:tc>
        <w:tc>
          <w:tcPr>
            <w:tcW w:w="1017" w:type="dxa"/>
            <w:tcBorders>
              <w:top w:val="nil"/>
              <w:bottom w:val="nil"/>
            </w:tcBorders>
          </w:tcPr>
          <w:p w14:paraId="732F6637" w14:textId="77777777" w:rsidR="00DF0C19" w:rsidRPr="00DF0C19" w:rsidRDefault="00DF0C19" w:rsidP="00DF0C19">
            <w:pPr>
              <w:spacing w:before="20" w:after="20"/>
              <w:jc w:val="center"/>
              <w:rPr>
                <w:rFonts w:eastAsia="Times New Roman"/>
                <w:sz w:val="18"/>
                <w:szCs w:val="20"/>
                <w:lang w:val="es-ES"/>
              </w:rPr>
            </w:pPr>
            <w:r w:rsidRPr="00DF0C19">
              <w:rPr>
                <w:rFonts w:eastAsia="Times New Roman"/>
                <w:sz w:val="18"/>
                <w:szCs w:val="20"/>
                <w:lang w:val="es-ES"/>
              </w:rPr>
              <w:t>48.0</w:t>
            </w:r>
          </w:p>
        </w:tc>
        <w:tc>
          <w:tcPr>
            <w:tcW w:w="1404" w:type="dxa"/>
            <w:tcBorders>
              <w:top w:val="nil"/>
              <w:bottom w:val="nil"/>
            </w:tcBorders>
          </w:tcPr>
          <w:p w14:paraId="7C713B52" w14:textId="77777777" w:rsidR="00DF0C19" w:rsidRPr="00DF0C19" w:rsidRDefault="00DF0C19" w:rsidP="00DF0C19">
            <w:pPr>
              <w:spacing w:before="20" w:after="20"/>
              <w:jc w:val="center"/>
              <w:rPr>
                <w:rFonts w:eastAsia="Times New Roman"/>
                <w:sz w:val="18"/>
                <w:szCs w:val="20"/>
                <w:lang w:val="es-ES"/>
              </w:rPr>
            </w:pPr>
            <w:r w:rsidRPr="00DF0C19">
              <w:rPr>
                <w:rFonts w:eastAsia="Times New Roman"/>
                <w:sz w:val="18"/>
                <w:szCs w:val="20"/>
                <w:lang w:val="es-ES"/>
              </w:rPr>
              <w:t>50.1</w:t>
            </w:r>
          </w:p>
        </w:tc>
      </w:tr>
      <w:tr w:rsidR="00DF0C19" w:rsidRPr="00DF0C19" w14:paraId="7CD29B10" w14:textId="77777777" w:rsidTr="00E23F0E">
        <w:trPr>
          <w:jc w:val="center"/>
        </w:trPr>
        <w:tc>
          <w:tcPr>
            <w:tcW w:w="1109" w:type="dxa"/>
            <w:tcBorders>
              <w:top w:val="nil"/>
              <w:bottom w:val="nil"/>
            </w:tcBorders>
          </w:tcPr>
          <w:p w14:paraId="063BBF32" w14:textId="77777777" w:rsidR="00DF0C19" w:rsidRPr="00DF0C19" w:rsidRDefault="00DF0C19" w:rsidP="00DF0C19">
            <w:pPr>
              <w:spacing w:before="20" w:after="20"/>
              <w:jc w:val="center"/>
              <w:rPr>
                <w:rFonts w:eastAsia="Times New Roman"/>
                <w:b/>
                <w:sz w:val="18"/>
                <w:szCs w:val="18"/>
              </w:rPr>
            </w:pPr>
            <w:r w:rsidRPr="00DF0C19">
              <w:rPr>
                <w:rFonts w:eastAsia="Times New Roman"/>
                <w:b/>
                <w:sz w:val="18"/>
                <w:szCs w:val="18"/>
              </w:rPr>
              <w:t>2015</w:t>
            </w:r>
          </w:p>
        </w:tc>
        <w:tc>
          <w:tcPr>
            <w:tcW w:w="923" w:type="dxa"/>
            <w:tcBorders>
              <w:top w:val="nil"/>
              <w:bottom w:val="nil"/>
            </w:tcBorders>
          </w:tcPr>
          <w:p w14:paraId="3D22A68C" w14:textId="77777777" w:rsidR="00DF0C19" w:rsidRPr="00DF0C19" w:rsidRDefault="00DF0C19" w:rsidP="00DF0C19">
            <w:pPr>
              <w:spacing w:before="20" w:after="20"/>
              <w:jc w:val="center"/>
              <w:rPr>
                <w:rFonts w:eastAsia="Times New Roman"/>
                <w:sz w:val="18"/>
                <w:szCs w:val="20"/>
                <w:lang w:val="es-ES"/>
              </w:rPr>
            </w:pPr>
          </w:p>
        </w:tc>
        <w:tc>
          <w:tcPr>
            <w:tcW w:w="1082" w:type="dxa"/>
            <w:tcBorders>
              <w:top w:val="nil"/>
              <w:bottom w:val="nil"/>
            </w:tcBorders>
          </w:tcPr>
          <w:p w14:paraId="755C2A57" w14:textId="77777777" w:rsidR="00DF0C19" w:rsidRPr="00DF0C19" w:rsidRDefault="00DF0C19" w:rsidP="00DF0C19">
            <w:pPr>
              <w:spacing w:before="20" w:after="20"/>
              <w:jc w:val="center"/>
              <w:rPr>
                <w:rFonts w:eastAsia="Times New Roman"/>
                <w:sz w:val="18"/>
                <w:szCs w:val="20"/>
                <w:lang w:val="es-ES"/>
              </w:rPr>
            </w:pPr>
          </w:p>
        </w:tc>
        <w:tc>
          <w:tcPr>
            <w:tcW w:w="1037" w:type="dxa"/>
            <w:tcBorders>
              <w:top w:val="nil"/>
              <w:bottom w:val="nil"/>
            </w:tcBorders>
          </w:tcPr>
          <w:p w14:paraId="6BD13181" w14:textId="77777777" w:rsidR="00DF0C19" w:rsidRPr="00DF0C19" w:rsidRDefault="00DF0C19" w:rsidP="00DF0C19">
            <w:pPr>
              <w:spacing w:before="20" w:after="20"/>
              <w:jc w:val="center"/>
              <w:rPr>
                <w:rFonts w:eastAsia="Times New Roman"/>
                <w:sz w:val="18"/>
                <w:szCs w:val="20"/>
                <w:lang w:val="es-ES"/>
              </w:rPr>
            </w:pPr>
          </w:p>
        </w:tc>
        <w:tc>
          <w:tcPr>
            <w:tcW w:w="1224" w:type="dxa"/>
            <w:tcBorders>
              <w:top w:val="nil"/>
              <w:bottom w:val="nil"/>
            </w:tcBorders>
          </w:tcPr>
          <w:p w14:paraId="53652343" w14:textId="77777777" w:rsidR="00DF0C19" w:rsidRPr="00DF0C19" w:rsidRDefault="00DF0C19" w:rsidP="00DF0C19">
            <w:pPr>
              <w:spacing w:before="20" w:after="20"/>
              <w:jc w:val="center"/>
              <w:rPr>
                <w:rFonts w:eastAsia="Times New Roman"/>
                <w:sz w:val="18"/>
                <w:szCs w:val="20"/>
                <w:lang w:val="es-ES"/>
              </w:rPr>
            </w:pPr>
          </w:p>
        </w:tc>
        <w:tc>
          <w:tcPr>
            <w:tcW w:w="1017" w:type="dxa"/>
            <w:tcBorders>
              <w:top w:val="nil"/>
              <w:bottom w:val="nil"/>
            </w:tcBorders>
          </w:tcPr>
          <w:p w14:paraId="6A06B5DA" w14:textId="77777777" w:rsidR="00DF0C19" w:rsidRPr="00DF0C19" w:rsidRDefault="00DF0C19" w:rsidP="00DF0C19">
            <w:pPr>
              <w:spacing w:before="20" w:after="20"/>
              <w:jc w:val="center"/>
              <w:rPr>
                <w:rFonts w:eastAsia="Times New Roman"/>
                <w:sz w:val="18"/>
                <w:szCs w:val="20"/>
                <w:lang w:val="es-ES"/>
              </w:rPr>
            </w:pPr>
          </w:p>
        </w:tc>
        <w:tc>
          <w:tcPr>
            <w:tcW w:w="1404" w:type="dxa"/>
            <w:tcBorders>
              <w:top w:val="nil"/>
              <w:bottom w:val="nil"/>
            </w:tcBorders>
          </w:tcPr>
          <w:p w14:paraId="1E7B5758" w14:textId="77777777" w:rsidR="00DF0C19" w:rsidRPr="00DF0C19" w:rsidRDefault="00DF0C19" w:rsidP="00DF0C19">
            <w:pPr>
              <w:spacing w:before="20" w:after="20"/>
              <w:jc w:val="center"/>
              <w:rPr>
                <w:rFonts w:eastAsia="Times New Roman"/>
                <w:sz w:val="18"/>
                <w:szCs w:val="20"/>
                <w:lang w:val="es-ES"/>
              </w:rPr>
            </w:pPr>
          </w:p>
        </w:tc>
      </w:tr>
      <w:tr w:rsidR="00DF0C19" w:rsidRPr="00DF0C19" w14:paraId="276040C3" w14:textId="77777777" w:rsidTr="00E23F0E">
        <w:trPr>
          <w:jc w:val="center"/>
        </w:trPr>
        <w:tc>
          <w:tcPr>
            <w:tcW w:w="1109" w:type="dxa"/>
            <w:tcBorders>
              <w:top w:val="nil"/>
              <w:bottom w:val="nil"/>
            </w:tcBorders>
          </w:tcPr>
          <w:p w14:paraId="3693BBAF" w14:textId="77777777" w:rsidR="00DF0C19" w:rsidRPr="00DF0C19" w:rsidRDefault="00DF0C19" w:rsidP="00DF0C19">
            <w:pPr>
              <w:spacing w:before="20" w:after="20"/>
              <w:rPr>
                <w:rFonts w:eastAsia="Times New Roman"/>
                <w:sz w:val="18"/>
                <w:szCs w:val="18"/>
              </w:rPr>
            </w:pPr>
            <w:r w:rsidRPr="00DF0C19">
              <w:rPr>
                <w:rFonts w:eastAsia="Times New Roman"/>
                <w:sz w:val="18"/>
                <w:szCs w:val="18"/>
              </w:rPr>
              <w:t xml:space="preserve">Enero </w:t>
            </w:r>
          </w:p>
        </w:tc>
        <w:tc>
          <w:tcPr>
            <w:tcW w:w="923" w:type="dxa"/>
            <w:tcBorders>
              <w:top w:val="nil"/>
              <w:bottom w:val="nil"/>
            </w:tcBorders>
          </w:tcPr>
          <w:p w14:paraId="5C94009D" w14:textId="77777777" w:rsidR="00DF0C19" w:rsidRPr="00DF0C19" w:rsidRDefault="00DF0C19" w:rsidP="00DF0C19">
            <w:pPr>
              <w:spacing w:before="20" w:after="20"/>
              <w:jc w:val="center"/>
              <w:rPr>
                <w:rFonts w:eastAsia="Times New Roman"/>
                <w:sz w:val="18"/>
                <w:szCs w:val="20"/>
                <w:lang w:val="es-ES"/>
              </w:rPr>
            </w:pPr>
            <w:r w:rsidRPr="00DF0C19">
              <w:rPr>
                <w:rFonts w:eastAsia="Times New Roman"/>
                <w:sz w:val="18"/>
                <w:szCs w:val="20"/>
                <w:lang w:val="es-ES"/>
              </w:rPr>
              <w:t>49.2</w:t>
            </w:r>
          </w:p>
        </w:tc>
        <w:tc>
          <w:tcPr>
            <w:tcW w:w="1082" w:type="dxa"/>
            <w:tcBorders>
              <w:top w:val="nil"/>
              <w:bottom w:val="nil"/>
            </w:tcBorders>
          </w:tcPr>
          <w:p w14:paraId="34E87149" w14:textId="77777777" w:rsidR="00DF0C19" w:rsidRPr="00DF0C19" w:rsidRDefault="00DF0C19" w:rsidP="00DF0C19">
            <w:pPr>
              <w:spacing w:before="20" w:after="20"/>
              <w:jc w:val="center"/>
              <w:rPr>
                <w:rFonts w:eastAsia="Times New Roman"/>
                <w:sz w:val="18"/>
                <w:szCs w:val="20"/>
                <w:lang w:val="es-ES"/>
              </w:rPr>
            </w:pPr>
            <w:r w:rsidRPr="00DF0C19">
              <w:rPr>
                <w:rFonts w:eastAsia="Times New Roman"/>
                <w:sz w:val="18"/>
                <w:szCs w:val="20"/>
                <w:lang w:val="es-ES"/>
              </w:rPr>
              <w:t>51.7</w:t>
            </w:r>
          </w:p>
        </w:tc>
        <w:tc>
          <w:tcPr>
            <w:tcW w:w="1037" w:type="dxa"/>
            <w:tcBorders>
              <w:top w:val="nil"/>
              <w:bottom w:val="nil"/>
            </w:tcBorders>
          </w:tcPr>
          <w:p w14:paraId="544EC6B9" w14:textId="77777777" w:rsidR="00DF0C19" w:rsidRPr="00DF0C19" w:rsidRDefault="00DF0C19" w:rsidP="00DF0C19">
            <w:pPr>
              <w:spacing w:before="20" w:after="20"/>
              <w:jc w:val="center"/>
              <w:rPr>
                <w:rFonts w:eastAsia="Times New Roman"/>
                <w:sz w:val="18"/>
                <w:szCs w:val="20"/>
                <w:lang w:val="es-ES"/>
              </w:rPr>
            </w:pPr>
            <w:r w:rsidRPr="00DF0C19">
              <w:rPr>
                <w:rFonts w:eastAsia="Times New Roman"/>
                <w:sz w:val="18"/>
                <w:szCs w:val="20"/>
                <w:lang w:val="es-ES"/>
              </w:rPr>
              <w:t>49.2</w:t>
            </w:r>
          </w:p>
        </w:tc>
        <w:tc>
          <w:tcPr>
            <w:tcW w:w="1224" w:type="dxa"/>
            <w:tcBorders>
              <w:top w:val="nil"/>
              <w:bottom w:val="nil"/>
            </w:tcBorders>
          </w:tcPr>
          <w:p w14:paraId="6D2A92CD" w14:textId="77777777" w:rsidR="00DF0C19" w:rsidRPr="00DF0C19" w:rsidRDefault="00DF0C19" w:rsidP="00DF0C19">
            <w:pPr>
              <w:spacing w:before="20" w:after="20"/>
              <w:jc w:val="center"/>
              <w:rPr>
                <w:rFonts w:eastAsia="Times New Roman"/>
                <w:sz w:val="18"/>
                <w:szCs w:val="20"/>
                <w:lang w:val="es-ES"/>
              </w:rPr>
            </w:pPr>
            <w:r w:rsidRPr="00DF0C19">
              <w:rPr>
                <w:rFonts w:eastAsia="Times New Roman"/>
                <w:sz w:val="18"/>
                <w:szCs w:val="20"/>
                <w:lang w:val="es-ES"/>
              </w:rPr>
              <w:t>50.4</w:t>
            </w:r>
          </w:p>
        </w:tc>
        <w:tc>
          <w:tcPr>
            <w:tcW w:w="1017" w:type="dxa"/>
            <w:tcBorders>
              <w:top w:val="nil"/>
              <w:bottom w:val="nil"/>
            </w:tcBorders>
          </w:tcPr>
          <w:p w14:paraId="154EBC62" w14:textId="77777777" w:rsidR="00DF0C19" w:rsidRPr="00DF0C19" w:rsidRDefault="00DF0C19" w:rsidP="00DF0C19">
            <w:pPr>
              <w:spacing w:before="20" w:after="20"/>
              <w:jc w:val="center"/>
              <w:rPr>
                <w:rFonts w:eastAsia="Times New Roman"/>
                <w:sz w:val="18"/>
                <w:szCs w:val="20"/>
                <w:lang w:val="es-ES"/>
              </w:rPr>
            </w:pPr>
            <w:r w:rsidRPr="00DF0C19">
              <w:rPr>
                <w:rFonts w:eastAsia="Times New Roman"/>
                <w:sz w:val="18"/>
                <w:szCs w:val="20"/>
                <w:lang w:val="es-ES"/>
              </w:rPr>
              <w:t>47.2</w:t>
            </w:r>
          </w:p>
        </w:tc>
        <w:tc>
          <w:tcPr>
            <w:tcW w:w="1404" w:type="dxa"/>
            <w:tcBorders>
              <w:top w:val="nil"/>
              <w:bottom w:val="nil"/>
            </w:tcBorders>
          </w:tcPr>
          <w:p w14:paraId="089DC376" w14:textId="77777777" w:rsidR="00DF0C19" w:rsidRPr="00DF0C19" w:rsidRDefault="00DF0C19" w:rsidP="00DF0C19">
            <w:pPr>
              <w:spacing w:before="20" w:after="20"/>
              <w:jc w:val="center"/>
              <w:rPr>
                <w:rFonts w:eastAsia="Times New Roman"/>
                <w:sz w:val="18"/>
                <w:szCs w:val="20"/>
                <w:lang w:val="es-ES"/>
              </w:rPr>
            </w:pPr>
            <w:r w:rsidRPr="00DF0C19">
              <w:rPr>
                <w:rFonts w:eastAsia="Times New Roman"/>
                <w:sz w:val="18"/>
                <w:szCs w:val="20"/>
                <w:lang w:val="es-ES"/>
              </w:rPr>
              <w:t>48.5</w:t>
            </w:r>
          </w:p>
        </w:tc>
      </w:tr>
      <w:tr w:rsidR="00DF0C19" w:rsidRPr="00DF0C19" w14:paraId="6F631A53" w14:textId="77777777" w:rsidTr="00E23F0E">
        <w:trPr>
          <w:jc w:val="center"/>
        </w:trPr>
        <w:tc>
          <w:tcPr>
            <w:tcW w:w="1109" w:type="dxa"/>
            <w:tcBorders>
              <w:top w:val="nil"/>
              <w:bottom w:val="single" w:sz="4" w:space="0" w:color="auto"/>
            </w:tcBorders>
          </w:tcPr>
          <w:p w14:paraId="32A149D7" w14:textId="77777777" w:rsidR="00DF0C19" w:rsidRPr="00DF0C19" w:rsidRDefault="00DF0C19" w:rsidP="00DF0C19">
            <w:pPr>
              <w:spacing w:before="20" w:after="20"/>
              <w:rPr>
                <w:rFonts w:eastAsia="Times New Roman"/>
                <w:sz w:val="18"/>
                <w:szCs w:val="18"/>
              </w:rPr>
            </w:pPr>
            <w:r w:rsidRPr="00DF0C19">
              <w:rPr>
                <w:rFonts w:eastAsia="Times New Roman"/>
                <w:sz w:val="18"/>
                <w:szCs w:val="18"/>
              </w:rPr>
              <w:t xml:space="preserve">Febrero </w:t>
            </w:r>
          </w:p>
        </w:tc>
        <w:tc>
          <w:tcPr>
            <w:tcW w:w="923" w:type="dxa"/>
            <w:tcBorders>
              <w:top w:val="nil"/>
              <w:bottom w:val="single" w:sz="4" w:space="0" w:color="auto"/>
            </w:tcBorders>
          </w:tcPr>
          <w:p w14:paraId="709A7E24" w14:textId="77777777" w:rsidR="00DF0C19" w:rsidRPr="00DF0C19" w:rsidRDefault="00DF0C19" w:rsidP="00DF0C19">
            <w:pPr>
              <w:spacing w:before="20" w:after="20"/>
              <w:jc w:val="center"/>
              <w:rPr>
                <w:rFonts w:eastAsia="Times New Roman"/>
                <w:sz w:val="18"/>
                <w:szCs w:val="20"/>
                <w:lang w:val="es-ES"/>
              </w:rPr>
            </w:pPr>
            <w:r w:rsidRPr="00DF0C19">
              <w:rPr>
                <w:rFonts w:eastAsia="Times New Roman"/>
                <w:sz w:val="18"/>
                <w:szCs w:val="20"/>
                <w:lang w:val="es-ES"/>
              </w:rPr>
              <w:t>49.6</w:t>
            </w:r>
          </w:p>
        </w:tc>
        <w:tc>
          <w:tcPr>
            <w:tcW w:w="1082" w:type="dxa"/>
            <w:tcBorders>
              <w:top w:val="nil"/>
              <w:bottom w:val="single" w:sz="4" w:space="0" w:color="auto"/>
            </w:tcBorders>
          </w:tcPr>
          <w:p w14:paraId="71E61E64" w14:textId="77777777" w:rsidR="00DF0C19" w:rsidRPr="00DF0C19" w:rsidRDefault="00DF0C19" w:rsidP="00DF0C19">
            <w:pPr>
              <w:spacing w:before="20" w:after="20"/>
              <w:jc w:val="center"/>
              <w:rPr>
                <w:rFonts w:eastAsia="Times New Roman"/>
                <w:sz w:val="18"/>
                <w:szCs w:val="20"/>
                <w:lang w:val="es-ES"/>
              </w:rPr>
            </w:pPr>
            <w:r w:rsidRPr="00DF0C19">
              <w:rPr>
                <w:rFonts w:eastAsia="Times New Roman"/>
                <w:sz w:val="18"/>
                <w:szCs w:val="20"/>
                <w:lang w:val="es-ES"/>
              </w:rPr>
              <w:t>51.4</w:t>
            </w:r>
          </w:p>
        </w:tc>
        <w:tc>
          <w:tcPr>
            <w:tcW w:w="1037" w:type="dxa"/>
            <w:tcBorders>
              <w:top w:val="nil"/>
              <w:bottom w:val="single" w:sz="4" w:space="0" w:color="auto"/>
            </w:tcBorders>
          </w:tcPr>
          <w:p w14:paraId="2428D126" w14:textId="77777777" w:rsidR="00DF0C19" w:rsidRPr="00DF0C19" w:rsidRDefault="00DF0C19" w:rsidP="00DF0C19">
            <w:pPr>
              <w:spacing w:before="20" w:after="20"/>
              <w:jc w:val="center"/>
              <w:rPr>
                <w:rFonts w:eastAsia="Times New Roman"/>
                <w:sz w:val="18"/>
                <w:szCs w:val="20"/>
                <w:lang w:val="es-ES"/>
              </w:rPr>
            </w:pPr>
            <w:r w:rsidRPr="00DF0C19">
              <w:rPr>
                <w:rFonts w:eastAsia="Times New Roman"/>
                <w:sz w:val="18"/>
                <w:szCs w:val="20"/>
                <w:lang w:val="es-ES"/>
              </w:rPr>
              <w:t>51.6</w:t>
            </w:r>
          </w:p>
        </w:tc>
        <w:tc>
          <w:tcPr>
            <w:tcW w:w="1224" w:type="dxa"/>
            <w:tcBorders>
              <w:top w:val="nil"/>
              <w:bottom w:val="single" w:sz="4" w:space="0" w:color="auto"/>
            </w:tcBorders>
          </w:tcPr>
          <w:p w14:paraId="4CEC6B28" w14:textId="77777777" w:rsidR="00DF0C19" w:rsidRPr="00DF0C19" w:rsidRDefault="00DF0C19" w:rsidP="00DF0C19">
            <w:pPr>
              <w:spacing w:before="20" w:after="20"/>
              <w:jc w:val="center"/>
              <w:rPr>
                <w:rFonts w:eastAsia="Times New Roman"/>
                <w:sz w:val="18"/>
                <w:szCs w:val="20"/>
                <w:lang w:val="es-ES"/>
              </w:rPr>
            </w:pPr>
            <w:r w:rsidRPr="00DF0C19">
              <w:rPr>
                <w:rFonts w:eastAsia="Times New Roman"/>
                <w:sz w:val="18"/>
                <w:szCs w:val="20"/>
                <w:lang w:val="es-ES"/>
              </w:rPr>
              <w:t>51.6</w:t>
            </w:r>
          </w:p>
        </w:tc>
        <w:tc>
          <w:tcPr>
            <w:tcW w:w="1017" w:type="dxa"/>
            <w:tcBorders>
              <w:top w:val="nil"/>
              <w:bottom w:val="single" w:sz="4" w:space="0" w:color="auto"/>
            </w:tcBorders>
          </w:tcPr>
          <w:p w14:paraId="24D7BAE5" w14:textId="77777777" w:rsidR="00DF0C19" w:rsidRPr="00DF0C19" w:rsidRDefault="00DF0C19" w:rsidP="00DF0C19">
            <w:pPr>
              <w:spacing w:before="20" w:after="20"/>
              <w:jc w:val="center"/>
              <w:rPr>
                <w:rFonts w:eastAsia="Times New Roman"/>
                <w:sz w:val="18"/>
                <w:szCs w:val="20"/>
                <w:lang w:val="es-ES"/>
              </w:rPr>
            </w:pPr>
            <w:r w:rsidRPr="00DF0C19">
              <w:rPr>
                <w:rFonts w:eastAsia="Times New Roman"/>
                <w:sz w:val="18"/>
                <w:szCs w:val="20"/>
                <w:lang w:val="es-ES"/>
              </w:rPr>
              <w:t>47.1</w:t>
            </w:r>
          </w:p>
        </w:tc>
        <w:tc>
          <w:tcPr>
            <w:tcW w:w="1404" w:type="dxa"/>
            <w:tcBorders>
              <w:top w:val="nil"/>
              <w:bottom w:val="single" w:sz="4" w:space="0" w:color="auto"/>
            </w:tcBorders>
          </w:tcPr>
          <w:p w14:paraId="0329A31C" w14:textId="77777777" w:rsidR="00DF0C19" w:rsidRPr="00DF0C19" w:rsidRDefault="00DF0C19" w:rsidP="00DF0C19">
            <w:pPr>
              <w:spacing w:before="20" w:after="20"/>
              <w:jc w:val="center"/>
              <w:rPr>
                <w:rFonts w:eastAsia="Times New Roman"/>
                <w:sz w:val="18"/>
                <w:szCs w:val="20"/>
                <w:lang w:val="es-ES"/>
              </w:rPr>
            </w:pPr>
            <w:r w:rsidRPr="00DF0C19">
              <w:rPr>
                <w:rFonts w:eastAsia="Times New Roman"/>
                <w:sz w:val="18"/>
                <w:szCs w:val="20"/>
                <w:lang w:val="es-ES"/>
              </w:rPr>
              <w:t>48.5</w:t>
            </w:r>
          </w:p>
        </w:tc>
      </w:tr>
      <w:tr w:rsidR="00DF0C19" w:rsidRPr="00DF0C19" w14:paraId="73853CDA" w14:textId="77777777" w:rsidTr="001E7D79">
        <w:trPr>
          <w:jc w:val="center"/>
        </w:trPr>
        <w:tc>
          <w:tcPr>
            <w:tcW w:w="7796" w:type="dxa"/>
            <w:gridSpan w:val="7"/>
            <w:tcBorders>
              <w:left w:val="nil"/>
              <w:bottom w:val="nil"/>
              <w:right w:val="nil"/>
            </w:tcBorders>
          </w:tcPr>
          <w:p w14:paraId="47F5C1FD" w14:textId="77777777" w:rsidR="00DF0C19" w:rsidRPr="00DF0C19" w:rsidRDefault="00DF0C19" w:rsidP="00DF0C19">
            <w:pPr>
              <w:ind w:left="159" w:hanging="159"/>
              <w:jc w:val="both"/>
              <w:rPr>
                <w:rFonts w:eastAsia="Times New Roman"/>
                <w:sz w:val="20"/>
                <w:szCs w:val="20"/>
              </w:rPr>
            </w:pPr>
            <w:r w:rsidRPr="00DF0C19">
              <w:rPr>
                <w:rFonts w:eastAsia="Times New Roman"/>
                <w:sz w:val="20"/>
                <w:szCs w:val="20"/>
              </w:rPr>
              <w:t>* No se encontraron factores estacionales para los subíndices de empleos y entrega de productos, por lo que sus series originales y ajustadas son iguales.</w:t>
            </w:r>
          </w:p>
          <w:p w14:paraId="3A1FDD9A" w14:textId="77777777" w:rsidR="00DF0C19" w:rsidRPr="00DF0C19" w:rsidRDefault="00DF0C19" w:rsidP="00DF0C19">
            <w:pPr>
              <w:jc w:val="both"/>
              <w:rPr>
                <w:rFonts w:eastAsia="Times New Roman"/>
                <w:sz w:val="20"/>
                <w:szCs w:val="20"/>
                <w:lang w:val="es-ES"/>
              </w:rPr>
            </w:pPr>
            <w:r w:rsidRPr="00DF0C19">
              <w:rPr>
                <w:rFonts w:eastAsia="Times New Roman"/>
                <w:sz w:val="20"/>
                <w:szCs w:val="20"/>
              </w:rPr>
              <w:t>FUENTE: IMEF.</w:t>
            </w:r>
          </w:p>
        </w:tc>
      </w:tr>
    </w:tbl>
    <w:p w14:paraId="597C6437" w14:textId="77777777" w:rsidR="00DF0C19" w:rsidRPr="00DF0C19" w:rsidRDefault="00DF0C19" w:rsidP="00DF0C19">
      <w:pPr>
        <w:spacing w:after="360" w:line="360" w:lineRule="auto"/>
        <w:ind w:right="-159"/>
        <w:jc w:val="both"/>
        <w:rPr>
          <w:rFonts w:eastAsia="Times New Roman"/>
          <w:bCs/>
          <w:sz w:val="26"/>
          <w:szCs w:val="26"/>
          <w:lang w:val="es-ES"/>
        </w:rPr>
      </w:pPr>
    </w:p>
    <w:p w14:paraId="141D76E9" w14:textId="77777777" w:rsidR="00DF0C19" w:rsidRPr="00DF0C19" w:rsidRDefault="00DF0C19" w:rsidP="00DF0C19">
      <w:pPr>
        <w:spacing w:after="360" w:line="360" w:lineRule="auto"/>
        <w:ind w:right="-159"/>
        <w:jc w:val="both"/>
        <w:rPr>
          <w:rFonts w:eastAsia="Times New Roman"/>
          <w:b/>
          <w:bCs/>
          <w:sz w:val="26"/>
          <w:szCs w:val="26"/>
          <w:lang w:val="es-ES"/>
        </w:rPr>
      </w:pPr>
      <w:r w:rsidRPr="00DF0C19">
        <w:rPr>
          <w:rFonts w:eastAsia="Times New Roman"/>
          <w:b/>
          <w:bCs/>
          <w:sz w:val="26"/>
          <w:szCs w:val="26"/>
          <w:lang w:val="es-ES"/>
        </w:rPr>
        <w:t>¿Qué es el Indicador IMEF?</w:t>
      </w:r>
    </w:p>
    <w:p w14:paraId="496795D2" w14:textId="77777777" w:rsidR="00DF0C19" w:rsidRPr="00DF0C19" w:rsidRDefault="00DF0C19" w:rsidP="00DF0C19">
      <w:pPr>
        <w:spacing w:after="360" w:line="360" w:lineRule="auto"/>
        <w:ind w:right="-159"/>
        <w:jc w:val="both"/>
        <w:rPr>
          <w:rFonts w:eastAsia="Times New Roman"/>
          <w:sz w:val="26"/>
          <w:szCs w:val="26"/>
        </w:rPr>
      </w:pPr>
      <w:r w:rsidRPr="00DF0C19">
        <w:rPr>
          <w:rFonts w:eastAsia="Times New Roman"/>
          <w:sz w:val="26"/>
          <w:szCs w:val="26"/>
        </w:rPr>
        <w:t xml:space="preserve">El Indicador IMEF es un índice de difusión que cuantifica el entorno económico con base en una encuesta de cinco preguntas cualitativas. En particular, el Indicador IMEF está construido para ayudar a anticipar la dirección de la actividad manufacturera y no </w:t>
      </w:r>
      <w:r w:rsidRPr="00DF0C19">
        <w:rPr>
          <w:rFonts w:eastAsia="Times New Roman"/>
          <w:sz w:val="26"/>
          <w:szCs w:val="26"/>
        </w:rPr>
        <w:lastRenderedPageBreak/>
        <w:t>manufacturera en México y, a partir de la evolución esperada de esos sectores, inferir la posible evolución de la economía en general en el corto plazo.</w:t>
      </w:r>
    </w:p>
    <w:p w14:paraId="25EB7694" w14:textId="77777777" w:rsidR="00DF0C19" w:rsidRPr="00DF0C19" w:rsidRDefault="00DF0C19" w:rsidP="00DF0C19">
      <w:pPr>
        <w:spacing w:after="360" w:line="360" w:lineRule="auto"/>
        <w:ind w:right="-159"/>
        <w:jc w:val="both"/>
        <w:rPr>
          <w:rFonts w:eastAsia="Times New Roman"/>
          <w:sz w:val="26"/>
          <w:szCs w:val="26"/>
        </w:rPr>
      </w:pPr>
      <w:r w:rsidRPr="00DF0C19">
        <w:rPr>
          <w:rFonts w:eastAsia="Times New Roman"/>
          <w:sz w:val="26"/>
          <w:szCs w:val="26"/>
        </w:rPr>
        <w:t>El Indicador IMEF varía en un intervalo de 0 a 100 puntos y el nivel de 50 puntos representa el umbral entre una expansión (mayor a 50) y una contracción (menor a 50), de la actividad económica. En principio, cuando el índice se encuentra por encima del umbral, un aumento se interpreta como señal de una expansión futura más rápida; cuando el índice se encuentra por debajo del umbral, un decremento se interpreta como señal de una contracción futura más lenta. No obstante, el indicador no proporciona información específica sobre la magnitud de los cambios esperados.</w:t>
      </w:r>
    </w:p>
    <w:p w14:paraId="5530C4B6" w14:textId="77777777" w:rsidR="00DF0C19" w:rsidRPr="00DF0C19" w:rsidRDefault="00DF0C19" w:rsidP="00DF0C19">
      <w:pPr>
        <w:spacing w:after="360" w:line="360" w:lineRule="auto"/>
        <w:ind w:right="-159"/>
        <w:jc w:val="both"/>
        <w:rPr>
          <w:rFonts w:eastAsia="Times New Roman"/>
          <w:sz w:val="26"/>
          <w:szCs w:val="26"/>
        </w:rPr>
      </w:pPr>
      <w:r w:rsidRPr="00DF0C19">
        <w:rPr>
          <w:rFonts w:eastAsia="Times New Roman"/>
          <w:sz w:val="26"/>
          <w:szCs w:val="26"/>
        </w:rPr>
        <w:t>El responsable principal de la elaboración del Indicador IMEF es el Comité Técnico del Indicador IMEF del Instituto Mexicano de Ejecutivos de Finanzas (IMEF), que cuenta con el apoyo técnico y normativo del Instituto Nacional de Estadística y Geografía (INEGI). El Comité Técnico ofrece una interpretación oportuna del indicador, analiza aspectos técnicos, metodológicos y operativos, asegura su continuidad y evalúa su eficacia. Este comité está integrado por especialistas de los sectores privado, público y académico.</w:t>
      </w:r>
    </w:p>
    <w:p w14:paraId="4AF755C1" w14:textId="77777777" w:rsidR="00DF0C19" w:rsidRPr="00DF0C19" w:rsidRDefault="00DF0C19" w:rsidP="00DF0C19">
      <w:pPr>
        <w:spacing w:after="360" w:line="360" w:lineRule="auto"/>
        <w:ind w:right="-159"/>
        <w:jc w:val="both"/>
        <w:rPr>
          <w:rFonts w:eastAsia="Times New Roman"/>
          <w:sz w:val="26"/>
          <w:szCs w:val="26"/>
        </w:rPr>
      </w:pPr>
      <w:r w:rsidRPr="00DF0C19">
        <w:rPr>
          <w:rFonts w:eastAsia="Times New Roman"/>
          <w:sz w:val="26"/>
          <w:szCs w:val="26"/>
        </w:rPr>
        <w:t>El IMEF levanta la encuesta entre sus socios y redes de afiliados para así computar las series originales de los indicadores. El INEGI brinda el apoyo para los ajustes estacionales y el cálculo de las tendencias-ciclo de todas las series. No obstante, todas las labores son realizadas por el IMEF mediante su Comité Técnico.</w:t>
      </w:r>
    </w:p>
    <w:p w14:paraId="0DA1AC93" w14:textId="32E354BE" w:rsidR="00DF0C19" w:rsidRPr="00DF0C19" w:rsidRDefault="00DF0C19" w:rsidP="00DF0C19">
      <w:pPr>
        <w:spacing w:after="360" w:line="360" w:lineRule="auto"/>
        <w:ind w:right="-159"/>
        <w:jc w:val="both"/>
        <w:rPr>
          <w:rFonts w:eastAsia="Times New Roman"/>
          <w:sz w:val="26"/>
          <w:szCs w:val="26"/>
          <w:lang w:val="es-ES"/>
        </w:rPr>
      </w:pPr>
      <w:r w:rsidRPr="00DF0C19">
        <w:rPr>
          <w:rFonts w:eastAsia="Times New Roman"/>
          <w:sz w:val="26"/>
          <w:szCs w:val="26"/>
        </w:rPr>
        <w:t>La difusión del Indicador IMEF es oportuna. Mensualmente</w:t>
      </w:r>
      <w:r w:rsidR="002F48E0">
        <w:rPr>
          <w:rFonts w:eastAsia="Times New Roman"/>
          <w:sz w:val="26"/>
          <w:szCs w:val="26"/>
        </w:rPr>
        <w:t>,</w:t>
      </w:r>
      <w:r w:rsidRPr="00DF0C19">
        <w:rPr>
          <w:rFonts w:eastAsia="Times New Roman"/>
          <w:sz w:val="26"/>
          <w:szCs w:val="26"/>
        </w:rPr>
        <w:t xml:space="preserve"> el Comité Técnico edita este boletín en el que informa los resultados de la última encuesta. Los resultados se publican los días 1 de cada mes (o el día hábil siguiente si esa fecha cae en viernes, sábado, domingo o día festivo) a las 12:00 horas del mes siguiente al que se reporta. La información está disponible en la página de Internet del Indicador IMEF </w:t>
      </w:r>
      <w:r w:rsidRPr="00DF0C19">
        <w:rPr>
          <w:rFonts w:eastAsia="Times New Roman"/>
          <w:sz w:val="26"/>
          <w:szCs w:val="26"/>
        </w:rPr>
        <w:lastRenderedPageBreak/>
        <w:t>(www.iieem.org.mx), a la cual también se puede tener acceso mediante la página principal del IMEF (www.imef.org.mx).</w:t>
      </w:r>
    </w:p>
    <w:p w14:paraId="0E66469E" w14:textId="77777777" w:rsidR="00DF0C19" w:rsidRPr="00DF0C19" w:rsidRDefault="00DF0C19" w:rsidP="00DF0C19">
      <w:pPr>
        <w:ind w:right="-159"/>
        <w:jc w:val="both"/>
        <w:rPr>
          <w:rFonts w:eastAsia="Times New Roman"/>
          <w:b/>
          <w:sz w:val="20"/>
          <w:szCs w:val="20"/>
          <w:lang w:val="es-ES"/>
        </w:rPr>
      </w:pPr>
      <w:r w:rsidRPr="00DF0C19">
        <w:rPr>
          <w:rFonts w:eastAsia="Times New Roman"/>
          <w:b/>
          <w:sz w:val="20"/>
          <w:szCs w:val="20"/>
          <w:lang w:val="es-ES"/>
        </w:rPr>
        <w:t>Fuente de información:</w:t>
      </w:r>
    </w:p>
    <w:p w14:paraId="04AFCC41" w14:textId="77777777" w:rsidR="00DF0C19" w:rsidRPr="008015D6" w:rsidRDefault="0093224F" w:rsidP="008015D6">
      <w:pPr>
        <w:spacing w:after="720"/>
        <w:ind w:right="-159"/>
        <w:jc w:val="both"/>
        <w:rPr>
          <w:rFonts w:eastAsia="Times New Roman"/>
          <w:b/>
          <w:color w:val="0000FF"/>
          <w:sz w:val="20"/>
          <w:szCs w:val="20"/>
          <w:lang w:val="es-ES"/>
        </w:rPr>
      </w:pPr>
      <w:hyperlink r:id="rId190" w:history="1">
        <w:r w:rsidR="00DF0C19" w:rsidRPr="008015D6">
          <w:rPr>
            <w:rFonts w:eastAsia="Times New Roman"/>
            <w:color w:val="0000FF"/>
            <w:sz w:val="20"/>
            <w:szCs w:val="20"/>
            <w:u w:val="single"/>
            <w:lang w:val="es-ES"/>
          </w:rPr>
          <w:t>http://www.iieem.org.mx/Boletin.pdf?submit=Bolet%C3%ADn+T%C3%A9cnico+del+Mes</w:t>
        </w:r>
      </w:hyperlink>
    </w:p>
    <w:p w14:paraId="04BE8F16" w14:textId="77777777" w:rsidR="00D55DE3" w:rsidRPr="00D55DE3" w:rsidRDefault="00D55DE3" w:rsidP="00D55DE3">
      <w:pPr>
        <w:rPr>
          <w:rFonts w:eastAsia="Calibri"/>
          <w:b/>
          <w:sz w:val="26"/>
          <w:szCs w:val="26"/>
          <w:lang w:eastAsia="en-US"/>
        </w:rPr>
      </w:pPr>
      <w:r w:rsidRPr="00D55DE3">
        <w:rPr>
          <w:rFonts w:eastAsia="Calibri"/>
          <w:b/>
          <w:sz w:val="26"/>
          <w:szCs w:val="26"/>
          <w:lang w:eastAsia="en-US"/>
        </w:rPr>
        <w:t>Momento de actuar con precaución</w:t>
      </w:r>
    </w:p>
    <w:p w14:paraId="1D83FF35" w14:textId="77777777" w:rsidR="00D55DE3" w:rsidRPr="00D55DE3" w:rsidRDefault="00D55DE3" w:rsidP="00D55DE3">
      <w:pPr>
        <w:spacing w:after="360" w:line="360" w:lineRule="auto"/>
        <w:ind w:right="-159"/>
        <w:jc w:val="both"/>
        <w:rPr>
          <w:rFonts w:eastAsia="Calibri"/>
          <w:b/>
          <w:sz w:val="26"/>
          <w:szCs w:val="26"/>
          <w:lang w:eastAsia="en-US"/>
        </w:rPr>
      </w:pPr>
      <w:r w:rsidRPr="00D55DE3">
        <w:rPr>
          <w:rFonts w:eastAsia="Calibri"/>
          <w:b/>
          <w:sz w:val="26"/>
          <w:szCs w:val="26"/>
          <w:lang w:eastAsia="en-US"/>
        </w:rPr>
        <w:t>y visión económica (CCE)</w:t>
      </w:r>
    </w:p>
    <w:p w14:paraId="6BE26147" w14:textId="77777777" w:rsidR="00D55DE3" w:rsidRPr="00D55DE3" w:rsidRDefault="00D55DE3" w:rsidP="00D55DE3">
      <w:pPr>
        <w:spacing w:after="360" w:line="360" w:lineRule="auto"/>
        <w:ind w:right="-159"/>
        <w:jc w:val="both"/>
        <w:rPr>
          <w:rFonts w:eastAsia="Calibri"/>
          <w:sz w:val="26"/>
          <w:szCs w:val="26"/>
          <w:lang w:eastAsia="en-US"/>
        </w:rPr>
      </w:pPr>
      <w:r w:rsidRPr="00D55DE3">
        <w:rPr>
          <w:rFonts w:eastAsia="Calibri"/>
          <w:sz w:val="26"/>
          <w:szCs w:val="26"/>
          <w:lang w:eastAsia="en-US"/>
        </w:rPr>
        <w:t>El 16 de marzo de 2015, el Consejo Coordinador Empresarial (CCE) publicó el mensaje que ofreció el Presidente de dicho organismo empresarial. A continuación se presenta su intervención.</w:t>
      </w:r>
    </w:p>
    <w:p w14:paraId="66BAD681" w14:textId="77777777" w:rsidR="00D55DE3" w:rsidRPr="00D55DE3" w:rsidRDefault="00D55DE3" w:rsidP="00D55DE3">
      <w:pPr>
        <w:spacing w:after="360" w:line="360" w:lineRule="auto"/>
        <w:ind w:right="-159"/>
        <w:jc w:val="both"/>
        <w:rPr>
          <w:rFonts w:eastAsia="Calibri"/>
          <w:sz w:val="26"/>
          <w:szCs w:val="26"/>
          <w:lang w:eastAsia="en-US"/>
        </w:rPr>
      </w:pPr>
      <w:r w:rsidRPr="00D55DE3">
        <w:rPr>
          <w:rFonts w:eastAsia="Calibri"/>
          <w:sz w:val="26"/>
          <w:szCs w:val="26"/>
          <w:lang w:eastAsia="en-US"/>
        </w:rPr>
        <w:t>El Presidente del Consejo Coordinador Empresarial:</w:t>
      </w:r>
    </w:p>
    <w:p w14:paraId="28C3FA7E" w14:textId="77777777" w:rsidR="00D55DE3" w:rsidRPr="00D55DE3" w:rsidRDefault="00D55DE3" w:rsidP="00D55DE3">
      <w:pPr>
        <w:spacing w:after="360" w:line="360" w:lineRule="auto"/>
        <w:ind w:right="-159"/>
        <w:jc w:val="both"/>
        <w:rPr>
          <w:rFonts w:eastAsia="Calibri"/>
          <w:sz w:val="26"/>
          <w:szCs w:val="26"/>
          <w:lang w:eastAsia="en-US"/>
        </w:rPr>
      </w:pPr>
      <w:r w:rsidRPr="00D55DE3">
        <w:rPr>
          <w:rFonts w:eastAsia="Calibri"/>
          <w:sz w:val="26"/>
          <w:szCs w:val="26"/>
          <w:lang w:eastAsia="en-US"/>
        </w:rPr>
        <w:t>“En las semanas recientes se ha recrudecido la volatilidad financiera en el mundo, con las consecuencias previsibles en México, manifestadas principalmente en el tipo de cambio.</w:t>
      </w:r>
    </w:p>
    <w:p w14:paraId="016D6F45" w14:textId="77777777" w:rsidR="00D55DE3" w:rsidRPr="00D55DE3" w:rsidRDefault="00D55DE3" w:rsidP="00D55DE3">
      <w:pPr>
        <w:spacing w:after="360" w:line="360" w:lineRule="auto"/>
        <w:ind w:right="-159"/>
        <w:jc w:val="both"/>
        <w:rPr>
          <w:rFonts w:eastAsia="Calibri"/>
          <w:sz w:val="26"/>
          <w:szCs w:val="26"/>
          <w:lang w:eastAsia="en-US"/>
        </w:rPr>
      </w:pPr>
      <w:r w:rsidRPr="00D55DE3">
        <w:rPr>
          <w:rFonts w:eastAsia="Calibri"/>
          <w:sz w:val="26"/>
          <w:szCs w:val="26"/>
          <w:lang w:eastAsia="en-US"/>
        </w:rPr>
        <w:t>La depreciación del peso con respecto al dólar se debe en mayor medida a tales condiciones externas, como está ocurriendo en tantos otros países. Es producto, sobre todo, del renovado empuje de la economía estadounidense, que incide para que se revalorice su moneda y se intensifiquen las expectativas de que el anticipado aumento de sus tasas de interés, tenga lugar más pronto.</w:t>
      </w:r>
    </w:p>
    <w:p w14:paraId="5E526615" w14:textId="77777777" w:rsidR="00D55DE3" w:rsidRPr="00D55DE3" w:rsidRDefault="00D55DE3" w:rsidP="00D55DE3">
      <w:pPr>
        <w:spacing w:after="360" w:line="360" w:lineRule="auto"/>
        <w:ind w:right="-159"/>
        <w:jc w:val="both"/>
        <w:rPr>
          <w:rFonts w:eastAsia="Calibri"/>
          <w:sz w:val="26"/>
          <w:szCs w:val="26"/>
          <w:lang w:eastAsia="en-US"/>
        </w:rPr>
      </w:pPr>
      <w:r w:rsidRPr="00D55DE3">
        <w:rPr>
          <w:rFonts w:eastAsia="Calibri"/>
          <w:sz w:val="26"/>
          <w:szCs w:val="26"/>
          <w:lang w:eastAsia="en-US"/>
        </w:rPr>
        <w:t>Por estos motivos, la presión sobre el peso y otras monedas debe ser temporal, y nuestro tipo de cambio podría tender a repuntar más adelante en el año. Sin embargo, como se presenta el escenario, es claro que la volatilidad, la incertidumbre y la especulación en los mercados internacionales puede durar un buen tiempo, quizás cuando menos toda la primera mitad del año, hasta que haya los cambios previstos en la política monetaria de Estados Unidos de Norteamérica.</w:t>
      </w:r>
    </w:p>
    <w:p w14:paraId="1A23206E" w14:textId="3632C569" w:rsidR="00D55DE3" w:rsidRPr="00D55DE3" w:rsidRDefault="00D55DE3" w:rsidP="00D55DE3">
      <w:pPr>
        <w:spacing w:after="360" w:line="360" w:lineRule="auto"/>
        <w:ind w:right="-159"/>
        <w:jc w:val="both"/>
        <w:rPr>
          <w:rFonts w:eastAsia="Calibri"/>
          <w:sz w:val="26"/>
          <w:szCs w:val="26"/>
          <w:lang w:eastAsia="en-US"/>
        </w:rPr>
      </w:pPr>
      <w:r w:rsidRPr="00D55DE3">
        <w:rPr>
          <w:rFonts w:eastAsia="Calibri"/>
          <w:sz w:val="26"/>
          <w:szCs w:val="26"/>
          <w:lang w:eastAsia="en-US"/>
        </w:rPr>
        <w:lastRenderedPageBreak/>
        <w:t xml:space="preserve">Todo esto se refleja en México con particular fuerza, tanto por nuestra vecindad con ese país, como por la profundidad del peso, que se ha convertido en una de las divisas más cotizadas. Por otro lado, un factor adicional fuera de nuestro control es la abrupta caída de los precios del petróleo. Significa un dramático recorte en los ingresos públicos, y de acuerdo </w:t>
      </w:r>
      <w:r w:rsidR="008015D6">
        <w:rPr>
          <w:rFonts w:eastAsia="Calibri"/>
          <w:sz w:val="26"/>
          <w:szCs w:val="26"/>
          <w:lang w:eastAsia="en-US"/>
        </w:rPr>
        <w:t>con</w:t>
      </w:r>
      <w:r w:rsidRPr="00D55DE3">
        <w:rPr>
          <w:rFonts w:eastAsia="Calibri"/>
          <w:sz w:val="26"/>
          <w:szCs w:val="26"/>
          <w:lang w:eastAsia="en-US"/>
        </w:rPr>
        <w:t xml:space="preserve"> analistas y los futuros que se negocian en los mercados, no se vislumbra que la cotización del crudo vaya apreciarse de manera significativa, cuando menos en una perspectiva de dos años.</w:t>
      </w:r>
    </w:p>
    <w:p w14:paraId="509FD102" w14:textId="77777777" w:rsidR="00D55DE3" w:rsidRPr="00D55DE3" w:rsidRDefault="00D55DE3" w:rsidP="00D55DE3">
      <w:pPr>
        <w:spacing w:after="360" w:line="360" w:lineRule="auto"/>
        <w:ind w:right="-159"/>
        <w:jc w:val="both"/>
        <w:rPr>
          <w:rFonts w:eastAsia="Calibri"/>
          <w:sz w:val="26"/>
          <w:szCs w:val="26"/>
          <w:lang w:eastAsia="en-US"/>
        </w:rPr>
      </w:pPr>
      <w:r w:rsidRPr="00D55DE3">
        <w:rPr>
          <w:rFonts w:eastAsia="Calibri"/>
          <w:sz w:val="26"/>
          <w:szCs w:val="26"/>
          <w:lang w:eastAsia="en-US"/>
        </w:rPr>
        <w:t>Ante este panorama, es claro que se impone la exigencia de un monitoreo puntual del desarrollo de los acontecimientos, a fin de evitar riesgos a la estabilidad macroeconómica.</w:t>
      </w:r>
    </w:p>
    <w:p w14:paraId="1E222AA5" w14:textId="77777777" w:rsidR="00D55DE3" w:rsidRPr="00D55DE3" w:rsidRDefault="00D55DE3" w:rsidP="00D55DE3">
      <w:pPr>
        <w:spacing w:after="360" w:line="360" w:lineRule="auto"/>
        <w:ind w:right="-159"/>
        <w:jc w:val="both"/>
        <w:rPr>
          <w:rFonts w:eastAsia="Calibri"/>
          <w:sz w:val="26"/>
          <w:szCs w:val="26"/>
          <w:lang w:eastAsia="en-US"/>
        </w:rPr>
      </w:pPr>
      <w:r w:rsidRPr="00D55DE3">
        <w:rPr>
          <w:rFonts w:eastAsia="Calibri"/>
          <w:sz w:val="26"/>
          <w:szCs w:val="26"/>
          <w:lang w:eastAsia="en-US"/>
        </w:rPr>
        <w:t>Es clave la capacidad de anticipación, tanto como la de reacción rápida y la de adaptación, como lo han sido las medidas implementadas para equilibrar el mercado cambiario y los recortes al gasto que se anunciaron hace poco, que contribuyeron a generar confianza en los mercados internacionales.</w:t>
      </w:r>
    </w:p>
    <w:p w14:paraId="1FCACB84" w14:textId="77777777" w:rsidR="00D55DE3" w:rsidRPr="00D55DE3" w:rsidRDefault="00D55DE3" w:rsidP="00D55DE3">
      <w:pPr>
        <w:spacing w:after="360" w:line="360" w:lineRule="auto"/>
        <w:ind w:right="-159"/>
        <w:jc w:val="both"/>
        <w:rPr>
          <w:rFonts w:eastAsia="Calibri"/>
          <w:sz w:val="26"/>
          <w:szCs w:val="26"/>
          <w:lang w:eastAsia="en-US"/>
        </w:rPr>
      </w:pPr>
      <w:r w:rsidRPr="00D55DE3">
        <w:rPr>
          <w:rFonts w:eastAsia="Calibri"/>
          <w:sz w:val="26"/>
          <w:szCs w:val="26"/>
          <w:lang w:eastAsia="en-US"/>
        </w:rPr>
        <w:t>Más que en este año, los retos más grandes se perfilan hacia 2016. Se impone la prudencia en el manejo de las finanzas públicas, para evitar el riesgo de que se presenten faltantes. No obstante, también resulta prudente y sensato que no cerremos la posibilidad de revisar con objetividad alternativas favorables para el mercado interno, el consumo, la inversión, el empleo y el crecimiento, sin afectar las variables fundamentales del equilibrio macroeconómico.</w:t>
      </w:r>
    </w:p>
    <w:p w14:paraId="41EE5D0C" w14:textId="356B1574" w:rsidR="00D55DE3" w:rsidRPr="00D55DE3" w:rsidRDefault="00D55DE3" w:rsidP="00D55DE3">
      <w:pPr>
        <w:spacing w:after="360" w:line="360" w:lineRule="auto"/>
        <w:ind w:right="-159"/>
        <w:jc w:val="both"/>
        <w:rPr>
          <w:rFonts w:eastAsia="Calibri"/>
          <w:sz w:val="26"/>
          <w:szCs w:val="26"/>
          <w:lang w:eastAsia="en-US"/>
        </w:rPr>
      </w:pPr>
      <w:r w:rsidRPr="00D55DE3">
        <w:rPr>
          <w:rFonts w:eastAsia="Calibri"/>
          <w:sz w:val="26"/>
          <w:szCs w:val="26"/>
          <w:lang w:eastAsia="en-US"/>
        </w:rPr>
        <w:t>No se puede esperar resultados significativamente distintos en un corto o mediano plazo, sin ajustes o cambios en políticas públicas y empresariales. En este sentido, vemos muy positivo el anuncio, hecho en febrero, de la intención del Gobierno de emprender un proceso de adecuación presupuest</w:t>
      </w:r>
      <w:r w:rsidR="008015D6">
        <w:rPr>
          <w:rFonts w:eastAsia="Calibri"/>
          <w:sz w:val="26"/>
          <w:szCs w:val="26"/>
          <w:lang w:eastAsia="en-US"/>
        </w:rPr>
        <w:t>aria</w:t>
      </w:r>
      <w:r w:rsidRPr="00D55DE3">
        <w:rPr>
          <w:rFonts w:eastAsia="Calibri"/>
          <w:sz w:val="26"/>
          <w:szCs w:val="26"/>
          <w:lang w:eastAsia="en-US"/>
        </w:rPr>
        <w:t xml:space="preserve"> de base cero para el próximo año.</w:t>
      </w:r>
    </w:p>
    <w:p w14:paraId="707463E2" w14:textId="77777777" w:rsidR="00D55DE3" w:rsidRPr="00D55DE3" w:rsidRDefault="00D55DE3" w:rsidP="00D55DE3">
      <w:pPr>
        <w:spacing w:after="360" w:line="360" w:lineRule="auto"/>
        <w:ind w:right="-159"/>
        <w:jc w:val="both"/>
        <w:rPr>
          <w:rFonts w:eastAsia="Calibri"/>
          <w:sz w:val="26"/>
          <w:szCs w:val="26"/>
          <w:lang w:eastAsia="en-US"/>
        </w:rPr>
      </w:pPr>
      <w:r w:rsidRPr="00D55DE3">
        <w:rPr>
          <w:rFonts w:eastAsia="Calibri"/>
          <w:sz w:val="26"/>
          <w:szCs w:val="26"/>
          <w:lang w:eastAsia="en-US"/>
        </w:rPr>
        <w:lastRenderedPageBreak/>
        <w:t>Si hay voluntad de ir a fondo en esta tarea, que significa revisar de manera integral el presupuesto público sin temas cerrados, a fin de lograr reasignaciones y eficiencias, a la par que se eliminan riesgos, se podrán obtener más recursos para colocarlos en los asuntos prioritarios para la sociedad y el crecimiento económico. En esta tarea, debemos empezar a trabajar desde ahora. Será, además, razón de más para buscar formas de atenuar la presión fiscal que hoy tienen las personas y las empresas, que ha afectado al mercado interno de manera importante.</w:t>
      </w:r>
    </w:p>
    <w:p w14:paraId="3C28BCBA" w14:textId="1D4AB1EF" w:rsidR="00D55DE3" w:rsidRPr="00D55DE3" w:rsidRDefault="00D55DE3" w:rsidP="00D55DE3">
      <w:pPr>
        <w:spacing w:after="360" w:line="360" w:lineRule="auto"/>
        <w:ind w:right="-159"/>
        <w:jc w:val="both"/>
        <w:rPr>
          <w:rFonts w:eastAsia="Calibri"/>
          <w:sz w:val="26"/>
          <w:szCs w:val="26"/>
          <w:lang w:eastAsia="en-US"/>
        </w:rPr>
      </w:pPr>
      <w:r w:rsidRPr="00D55DE3">
        <w:rPr>
          <w:rFonts w:eastAsia="Calibri"/>
          <w:sz w:val="26"/>
          <w:szCs w:val="26"/>
          <w:lang w:eastAsia="en-US"/>
        </w:rPr>
        <w:t>Hay que hacer una reingeniería presupuesta</w:t>
      </w:r>
      <w:r w:rsidR="008015D6">
        <w:rPr>
          <w:rFonts w:eastAsia="Calibri"/>
          <w:sz w:val="26"/>
          <w:szCs w:val="26"/>
          <w:lang w:eastAsia="en-US"/>
        </w:rPr>
        <w:t>ria</w:t>
      </w:r>
      <w:r w:rsidRPr="00D55DE3">
        <w:rPr>
          <w:rFonts w:eastAsia="Calibri"/>
          <w:sz w:val="26"/>
          <w:szCs w:val="26"/>
          <w:lang w:eastAsia="en-US"/>
        </w:rPr>
        <w:t xml:space="preserve"> en los tres niveles de gobierno, una tala de costos evitables, como los que derivan de corrupción, ineficiencias, programas sin beneficio real o demostrable, que pueden redirigirse o mejorarse, así como gastos superfluos, incompatibles con la situación del país. Todo esto es parte fundamental de la gran reforma hacendaria pendiente, que debemos ir construyendo en México.</w:t>
      </w:r>
    </w:p>
    <w:p w14:paraId="01DD0D81" w14:textId="77777777" w:rsidR="00D55DE3" w:rsidRPr="00D55DE3" w:rsidRDefault="00D55DE3" w:rsidP="00D55DE3">
      <w:pPr>
        <w:spacing w:after="360" w:line="360" w:lineRule="auto"/>
        <w:ind w:right="-159"/>
        <w:jc w:val="both"/>
        <w:rPr>
          <w:rFonts w:eastAsia="Calibri"/>
          <w:sz w:val="26"/>
          <w:szCs w:val="26"/>
          <w:lang w:eastAsia="en-US"/>
        </w:rPr>
      </w:pPr>
      <w:r w:rsidRPr="00D55DE3">
        <w:rPr>
          <w:rFonts w:eastAsia="Calibri"/>
          <w:sz w:val="26"/>
          <w:szCs w:val="26"/>
          <w:lang w:eastAsia="en-US"/>
        </w:rPr>
        <w:t>Los principales riesgos son claros: que se prolongue un estancamiento en el mercado interno, que las inversiones esperadas se retrasen, un aumento en el déficit y la deuda pública, la volatilidad en tasas de interés y tipo de cambio, y desde luego, la inseguridad, así como los problemas de gobernabilidad democrática y Estado de derecho.</w:t>
      </w:r>
    </w:p>
    <w:p w14:paraId="185BD0DA" w14:textId="77777777" w:rsidR="00D55DE3" w:rsidRPr="00D55DE3" w:rsidRDefault="00D55DE3" w:rsidP="00D55DE3">
      <w:pPr>
        <w:spacing w:after="360" w:line="360" w:lineRule="auto"/>
        <w:ind w:right="-159"/>
        <w:jc w:val="both"/>
        <w:rPr>
          <w:rFonts w:eastAsia="Calibri"/>
          <w:sz w:val="26"/>
          <w:szCs w:val="26"/>
          <w:lang w:eastAsia="en-US"/>
        </w:rPr>
      </w:pPr>
      <w:r w:rsidRPr="00D55DE3">
        <w:rPr>
          <w:rFonts w:eastAsia="Calibri"/>
          <w:sz w:val="26"/>
          <w:szCs w:val="26"/>
          <w:lang w:eastAsia="en-US"/>
        </w:rPr>
        <w:t>De lo que se trata es de reducir estos peligros y acometer con diligencia las oportunidades y ventajas evidentes y previsibles para este ciclo 2015-2016, como lo son el factor crítico de la implementación de las reformas y la generación de mayor certeza y confianza, tanto para la cohesión social como para la inversión, con esfuerzos sólidos a favor del Estado de derecho y el Sistema Nacional Anticorrupción.</w:t>
      </w:r>
    </w:p>
    <w:p w14:paraId="1567FD83" w14:textId="77777777" w:rsidR="00D55DE3" w:rsidRPr="00D55DE3" w:rsidRDefault="00D55DE3" w:rsidP="00D55DE3">
      <w:pPr>
        <w:spacing w:after="360" w:line="360" w:lineRule="auto"/>
        <w:ind w:right="-159"/>
        <w:jc w:val="both"/>
        <w:rPr>
          <w:rFonts w:eastAsia="Calibri"/>
          <w:sz w:val="26"/>
          <w:szCs w:val="26"/>
          <w:lang w:eastAsia="en-US"/>
        </w:rPr>
      </w:pPr>
      <w:r w:rsidRPr="00D55DE3">
        <w:rPr>
          <w:rFonts w:eastAsia="Calibri"/>
          <w:sz w:val="26"/>
          <w:szCs w:val="26"/>
          <w:lang w:eastAsia="en-US"/>
        </w:rPr>
        <w:t>En la medida en que logremos maximizar las oportunidades y eliminar o esquivar los riesgos, podremos asegurar un crecimiento de 3% o más tanto en 2015, como en 2016; de lo contrario, éste se acercará más a alrededor del 2.5 por ciento.</w:t>
      </w:r>
    </w:p>
    <w:p w14:paraId="51754B8D" w14:textId="77777777" w:rsidR="00D55DE3" w:rsidRPr="00D55DE3" w:rsidRDefault="00D55DE3" w:rsidP="00D55DE3">
      <w:pPr>
        <w:spacing w:after="360" w:line="360" w:lineRule="auto"/>
        <w:ind w:right="-159"/>
        <w:jc w:val="both"/>
        <w:rPr>
          <w:rFonts w:eastAsia="Calibri"/>
          <w:sz w:val="26"/>
          <w:szCs w:val="26"/>
          <w:lang w:eastAsia="en-US"/>
        </w:rPr>
      </w:pPr>
      <w:r w:rsidRPr="00D55DE3">
        <w:rPr>
          <w:rFonts w:eastAsia="Calibri"/>
          <w:sz w:val="26"/>
          <w:szCs w:val="26"/>
          <w:lang w:eastAsia="en-US"/>
        </w:rPr>
        <w:lastRenderedPageBreak/>
        <w:t>Hay visos alentadores en variables como el consumo y el crédito, si bien aún incipientes. Las ventas a tiendas comparables de ANTAD crecieron 5.1% anual en febrero, el mejor desempeño para ese mes desde 2012. La confianza del consumidor aumentó ligeramente. En dos años, el financiamiento para las Mipymes subió 9 por ciento.</w:t>
      </w:r>
    </w:p>
    <w:p w14:paraId="1BE04C92" w14:textId="77777777" w:rsidR="00D55DE3" w:rsidRPr="00D55DE3" w:rsidRDefault="00D55DE3" w:rsidP="00D55DE3">
      <w:pPr>
        <w:spacing w:after="360" w:line="360" w:lineRule="auto"/>
        <w:ind w:right="-159"/>
        <w:jc w:val="both"/>
        <w:rPr>
          <w:rFonts w:eastAsia="Calibri"/>
          <w:sz w:val="26"/>
          <w:szCs w:val="26"/>
          <w:lang w:eastAsia="en-US"/>
        </w:rPr>
      </w:pPr>
      <w:r w:rsidRPr="00D55DE3">
        <w:rPr>
          <w:rFonts w:eastAsia="Calibri"/>
          <w:sz w:val="26"/>
          <w:szCs w:val="26"/>
          <w:lang w:eastAsia="en-US"/>
        </w:rPr>
        <w:t>Por otro lado, conforme avanza el año, y más aún en 2016, se aceleran proyectos de inversión importantes, como la Ronda 1 derivada de la reforma energética, el nuevo Aeropuerto Internacional de la Ciudad de México, las cadenas de televisión abierta que se han licitado, entre otros.</w:t>
      </w:r>
    </w:p>
    <w:p w14:paraId="06E6498B" w14:textId="77777777" w:rsidR="00D55DE3" w:rsidRPr="00D55DE3" w:rsidRDefault="00D55DE3" w:rsidP="00D55DE3">
      <w:pPr>
        <w:spacing w:after="360" w:line="360" w:lineRule="auto"/>
        <w:ind w:right="-159"/>
        <w:jc w:val="both"/>
        <w:rPr>
          <w:rFonts w:eastAsia="Calibri"/>
          <w:sz w:val="26"/>
          <w:szCs w:val="26"/>
          <w:lang w:eastAsia="en-US"/>
        </w:rPr>
      </w:pPr>
      <w:r w:rsidRPr="00D55DE3">
        <w:rPr>
          <w:rFonts w:eastAsia="Calibri"/>
          <w:sz w:val="26"/>
          <w:szCs w:val="26"/>
          <w:lang w:eastAsia="en-US"/>
        </w:rPr>
        <w:t>Además, habrá buenas condiciones para la exportación y la manufactura, con la economía estadounidense al alza e inclusive un tipo de cambio competitivo.</w:t>
      </w:r>
    </w:p>
    <w:p w14:paraId="4BA01E6E" w14:textId="77777777" w:rsidR="00D55DE3" w:rsidRPr="00D55DE3" w:rsidRDefault="00D55DE3" w:rsidP="00D55DE3">
      <w:pPr>
        <w:spacing w:after="360" w:line="360" w:lineRule="auto"/>
        <w:ind w:right="-159"/>
        <w:jc w:val="both"/>
        <w:rPr>
          <w:rFonts w:eastAsia="Calibri"/>
          <w:sz w:val="26"/>
          <w:szCs w:val="26"/>
          <w:lang w:eastAsia="en-US"/>
        </w:rPr>
      </w:pPr>
      <w:r w:rsidRPr="00D55DE3">
        <w:rPr>
          <w:rFonts w:eastAsia="Calibri"/>
          <w:sz w:val="26"/>
          <w:szCs w:val="26"/>
          <w:lang w:eastAsia="en-US"/>
        </w:rPr>
        <w:t>Lo que corresponde es dar más empuje a las incipientes señales de mejoría y a las oportunidades en el escenario, con medidas de efecto rápido, como pueden ser esquemas fiscales para que haya mayor liquidez en las familias y las empresas.</w:t>
      </w:r>
    </w:p>
    <w:p w14:paraId="58BC3FFF" w14:textId="77777777" w:rsidR="00D55DE3" w:rsidRDefault="00D55DE3" w:rsidP="00D55DE3">
      <w:pPr>
        <w:spacing w:after="360" w:line="360" w:lineRule="auto"/>
        <w:ind w:right="-159"/>
        <w:jc w:val="both"/>
        <w:rPr>
          <w:rFonts w:eastAsia="Calibri"/>
          <w:sz w:val="26"/>
          <w:szCs w:val="26"/>
          <w:lang w:eastAsia="en-US"/>
        </w:rPr>
      </w:pPr>
      <w:r w:rsidRPr="00D55DE3">
        <w:rPr>
          <w:rFonts w:eastAsia="Calibri"/>
          <w:sz w:val="26"/>
          <w:szCs w:val="26"/>
          <w:lang w:eastAsia="en-US"/>
        </w:rPr>
        <w:t>Tenemos que aprovechar para todo ello los espacios que hemos creado entre el sector público y el privado: Consejo Consultivo Empresarial para el Crecimiento, Comité Nacional de Productividad, Comisión Intersecretarial para la Prevención y Combate a la Economía Ilegal, Grupos consultivos para el apoyo a las negociaciones internacionales, Mesa de Gasto Público con SHCP, Convenio CONAGO-CCE entre otras.</w:t>
      </w:r>
    </w:p>
    <w:p w14:paraId="407D3028" w14:textId="77777777" w:rsidR="00DF71BD" w:rsidRDefault="00DF71BD" w:rsidP="00D55DE3">
      <w:pPr>
        <w:spacing w:after="360" w:line="360" w:lineRule="auto"/>
        <w:ind w:right="-159"/>
        <w:jc w:val="both"/>
        <w:rPr>
          <w:rFonts w:eastAsia="Calibri"/>
          <w:sz w:val="26"/>
          <w:szCs w:val="26"/>
          <w:lang w:eastAsia="en-US"/>
        </w:rPr>
      </w:pPr>
    </w:p>
    <w:p w14:paraId="1DAD558F" w14:textId="77777777" w:rsidR="00DF71BD" w:rsidRPr="00D55DE3" w:rsidRDefault="00DF71BD" w:rsidP="00D55DE3">
      <w:pPr>
        <w:spacing w:after="360" w:line="360" w:lineRule="auto"/>
        <w:ind w:right="-159"/>
        <w:jc w:val="both"/>
        <w:rPr>
          <w:rFonts w:eastAsia="Calibri"/>
          <w:sz w:val="26"/>
          <w:szCs w:val="26"/>
          <w:lang w:eastAsia="en-US"/>
        </w:rPr>
      </w:pPr>
    </w:p>
    <w:p w14:paraId="48EFF1E7" w14:textId="77777777" w:rsidR="00D55DE3" w:rsidRPr="00D55DE3" w:rsidRDefault="00D55DE3" w:rsidP="00D55DE3">
      <w:pPr>
        <w:spacing w:after="360" w:line="360" w:lineRule="auto"/>
        <w:ind w:right="-159"/>
        <w:jc w:val="both"/>
        <w:rPr>
          <w:rFonts w:eastAsia="Calibri"/>
          <w:sz w:val="26"/>
          <w:szCs w:val="26"/>
          <w:lang w:eastAsia="en-US"/>
        </w:rPr>
      </w:pPr>
      <w:r w:rsidRPr="00D55DE3">
        <w:rPr>
          <w:rFonts w:eastAsia="Calibri"/>
          <w:sz w:val="26"/>
          <w:szCs w:val="26"/>
          <w:lang w:eastAsia="en-US"/>
        </w:rPr>
        <w:lastRenderedPageBreak/>
        <w:t>En la medida en que reforcemos esta coordinación para una actuación eficaz en el corto plazo, sin perder nunca de vista la construcción estructural para lograr un crecimiento sostenible de al menos 5% anual, como lo necesitamos, y podemos, estaremos cumpliendo con el gran desafío de romper con la inercia económica que hemos tenido por décadas.</w:t>
      </w:r>
    </w:p>
    <w:p w14:paraId="382003B5" w14:textId="77777777" w:rsidR="00D55DE3" w:rsidRPr="00D55DE3" w:rsidRDefault="00D55DE3" w:rsidP="00D55DE3">
      <w:pPr>
        <w:ind w:right="-159"/>
        <w:jc w:val="both"/>
        <w:rPr>
          <w:rFonts w:eastAsia="Calibri"/>
          <w:sz w:val="20"/>
          <w:szCs w:val="20"/>
          <w:lang w:eastAsia="en-US"/>
        </w:rPr>
      </w:pPr>
      <w:r w:rsidRPr="00D55DE3">
        <w:rPr>
          <w:rFonts w:eastAsia="Calibri"/>
          <w:b/>
          <w:sz w:val="20"/>
          <w:szCs w:val="20"/>
          <w:lang w:eastAsia="en-US"/>
        </w:rPr>
        <w:t>Fuente de información</w:t>
      </w:r>
      <w:r w:rsidRPr="00D55DE3">
        <w:rPr>
          <w:rFonts w:eastAsia="Calibri"/>
          <w:sz w:val="20"/>
          <w:szCs w:val="20"/>
          <w:lang w:eastAsia="en-US"/>
        </w:rPr>
        <w:t>:</w:t>
      </w:r>
    </w:p>
    <w:p w14:paraId="3F3B19F6" w14:textId="77777777" w:rsidR="00D55DE3" w:rsidRPr="008015D6" w:rsidRDefault="0093224F" w:rsidP="008015D6">
      <w:pPr>
        <w:spacing w:after="720"/>
        <w:ind w:right="-159"/>
        <w:jc w:val="both"/>
        <w:rPr>
          <w:rFonts w:eastAsia="Calibri"/>
          <w:color w:val="0000FF"/>
          <w:sz w:val="20"/>
          <w:szCs w:val="20"/>
          <w:lang w:eastAsia="en-US"/>
        </w:rPr>
      </w:pPr>
      <w:hyperlink r:id="rId191" w:history="1">
        <w:r w:rsidR="00D55DE3" w:rsidRPr="008015D6">
          <w:rPr>
            <w:rFonts w:eastAsia="Calibri"/>
            <w:color w:val="0000FF"/>
            <w:sz w:val="20"/>
            <w:szCs w:val="20"/>
            <w:u w:val="single"/>
            <w:lang w:eastAsia="en-US"/>
          </w:rPr>
          <w:t>http://www.cce.org.mx/?p=11107</w:t>
        </w:r>
      </w:hyperlink>
    </w:p>
    <w:p w14:paraId="765AF4A0" w14:textId="77777777" w:rsidR="007322C3" w:rsidRPr="007322C3" w:rsidRDefault="007322C3" w:rsidP="007322C3">
      <w:pPr>
        <w:rPr>
          <w:rFonts w:eastAsia="Calibri"/>
          <w:b/>
          <w:sz w:val="26"/>
          <w:szCs w:val="26"/>
          <w:lang w:eastAsia="en-US"/>
        </w:rPr>
      </w:pPr>
      <w:r w:rsidRPr="007322C3">
        <w:rPr>
          <w:rFonts w:eastAsia="Calibri"/>
          <w:b/>
          <w:sz w:val="26"/>
          <w:szCs w:val="26"/>
          <w:lang w:eastAsia="en-US"/>
        </w:rPr>
        <w:t>Firman convenio de colaboración en pro</w:t>
      </w:r>
    </w:p>
    <w:p w14:paraId="1A679470" w14:textId="77777777" w:rsidR="007322C3" w:rsidRPr="007322C3" w:rsidRDefault="007322C3" w:rsidP="007322C3">
      <w:pPr>
        <w:rPr>
          <w:rFonts w:eastAsia="Calibri"/>
          <w:b/>
          <w:sz w:val="26"/>
          <w:szCs w:val="26"/>
          <w:lang w:eastAsia="en-US"/>
        </w:rPr>
      </w:pPr>
      <w:r w:rsidRPr="007322C3">
        <w:rPr>
          <w:rFonts w:eastAsia="Calibri"/>
          <w:b/>
          <w:sz w:val="26"/>
          <w:szCs w:val="26"/>
          <w:lang w:eastAsia="en-US"/>
        </w:rPr>
        <w:t>de pequeños y medianos empresarios  de</w:t>
      </w:r>
    </w:p>
    <w:p w14:paraId="12B65F56" w14:textId="77777777" w:rsidR="007322C3" w:rsidRPr="007322C3" w:rsidRDefault="007322C3" w:rsidP="007322C3">
      <w:pPr>
        <w:spacing w:after="360" w:line="360" w:lineRule="auto"/>
        <w:ind w:right="-159"/>
        <w:jc w:val="both"/>
        <w:rPr>
          <w:rFonts w:eastAsia="Calibri"/>
          <w:b/>
          <w:sz w:val="26"/>
          <w:szCs w:val="26"/>
          <w:lang w:eastAsia="en-US"/>
        </w:rPr>
      </w:pPr>
      <w:r w:rsidRPr="007322C3">
        <w:rPr>
          <w:rFonts w:eastAsia="Calibri"/>
          <w:b/>
          <w:sz w:val="26"/>
          <w:szCs w:val="26"/>
          <w:lang w:eastAsia="en-US"/>
        </w:rPr>
        <w:t>la industria aeroespacial (SE)</w:t>
      </w:r>
    </w:p>
    <w:p w14:paraId="79742720" w14:textId="77777777" w:rsidR="007322C3" w:rsidRPr="007322C3" w:rsidRDefault="007322C3" w:rsidP="007322C3">
      <w:pPr>
        <w:spacing w:after="360" w:line="360" w:lineRule="auto"/>
        <w:ind w:right="-159"/>
        <w:jc w:val="both"/>
        <w:rPr>
          <w:rFonts w:eastAsia="Calibri"/>
          <w:sz w:val="26"/>
          <w:szCs w:val="26"/>
          <w:lang w:eastAsia="en-US"/>
        </w:rPr>
      </w:pPr>
      <w:r w:rsidRPr="007322C3">
        <w:rPr>
          <w:rFonts w:eastAsia="Calibri"/>
          <w:sz w:val="26"/>
          <w:szCs w:val="26"/>
          <w:lang w:eastAsia="en-US"/>
        </w:rPr>
        <w:t>El 4 de marzo de 2015, la Secretaría de Economía (SE) comunicó que el Coordinador General de Planeación Estratégica, Evaluación y Seguimiento del Instituto Nacional del Emprendedor (INADEM) y el representante de Federación Mexicana de la Industria Aeroespacial (FEMIA), realizaron el anuncio oficial de la colaboración entre ambas dependencias. A continuación se presentan los detalles.</w:t>
      </w:r>
    </w:p>
    <w:p w14:paraId="780E025D" w14:textId="77777777" w:rsidR="007322C3" w:rsidRPr="007322C3" w:rsidRDefault="007322C3" w:rsidP="007322C3">
      <w:pPr>
        <w:spacing w:after="360" w:line="360" w:lineRule="auto"/>
        <w:ind w:right="-159"/>
        <w:jc w:val="both"/>
        <w:rPr>
          <w:rFonts w:eastAsia="Calibri"/>
          <w:sz w:val="26"/>
          <w:szCs w:val="26"/>
          <w:lang w:eastAsia="en-US"/>
        </w:rPr>
      </w:pPr>
      <w:r w:rsidRPr="007322C3">
        <w:rPr>
          <w:rFonts w:eastAsia="Calibri"/>
          <w:sz w:val="26"/>
          <w:szCs w:val="26"/>
          <w:lang w:eastAsia="en-US"/>
        </w:rPr>
        <w:t>El INADEM y la FEMIA firmaron un convenio de colaboración, por el cual este organismo se suma al esfuerzo del Gobierno de la República para apoyar a emprendedores y a micro, pequeñas y medianas empresas (MIPYMES).</w:t>
      </w:r>
    </w:p>
    <w:p w14:paraId="4C7DA0D9" w14:textId="77777777" w:rsidR="007322C3" w:rsidRPr="007322C3" w:rsidRDefault="007322C3" w:rsidP="007322C3">
      <w:pPr>
        <w:spacing w:after="360" w:line="360" w:lineRule="auto"/>
        <w:ind w:right="-159"/>
        <w:jc w:val="both"/>
        <w:rPr>
          <w:rFonts w:eastAsia="Calibri"/>
          <w:sz w:val="26"/>
          <w:szCs w:val="26"/>
          <w:lang w:eastAsia="en-US"/>
        </w:rPr>
      </w:pPr>
      <w:r w:rsidRPr="007322C3">
        <w:rPr>
          <w:rFonts w:eastAsia="Calibri"/>
          <w:sz w:val="26"/>
          <w:szCs w:val="26"/>
          <w:lang w:eastAsia="en-US"/>
        </w:rPr>
        <w:t>El Coordinador General de Planeación Estratégica, Evaluación y Seguimiento del INADEM y el representante de FEMIA realizaron el anuncio oficial de la colaboración entre ambas dependencias.</w:t>
      </w:r>
    </w:p>
    <w:p w14:paraId="0A907070" w14:textId="77777777" w:rsidR="007322C3" w:rsidRPr="007322C3" w:rsidRDefault="007322C3" w:rsidP="007322C3">
      <w:pPr>
        <w:spacing w:after="360" w:line="360" w:lineRule="auto"/>
        <w:ind w:right="-159"/>
        <w:jc w:val="both"/>
        <w:rPr>
          <w:rFonts w:eastAsia="Calibri"/>
          <w:sz w:val="26"/>
          <w:szCs w:val="26"/>
          <w:lang w:eastAsia="en-US"/>
        </w:rPr>
      </w:pPr>
      <w:r w:rsidRPr="007322C3">
        <w:rPr>
          <w:rFonts w:eastAsia="Calibri"/>
          <w:sz w:val="26"/>
          <w:szCs w:val="26"/>
          <w:lang w:eastAsia="en-US"/>
        </w:rPr>
        <w:t>Se ampliarán las oportunidades de negocio con la industria aeroespacial y se llevarán a cabo acciones en conjunto para apoyar a los clústers aeroespaciales, desarrollo de proveedores e impulso del programa PROAÉREO, así como el plan estratégico para este sector.</w:t>
      </w:r>
    </w:p>
    <w:p w14:paraId="623636BA" w14:textId="77777777" w:rsidR="007322C3" w:rsidRPr="007322C3" w:rsidRDefault="007322C3" w:rsidP="007322C3">
      <w:pPr>
        <w:spacing w:after="360" w:line="360" w:lineRule="auto"/>
        <w:ind w:right="-159"/>
        <w:jc w:val="both"/>
        <w:rPr>
          <w:rFonts w:eastAsia="Calibri"/>
          <w:sz w:val="26"/>
          <w:szCs w:val="26"/>
          <w:lang w:eastAsia="en-US"/>
        </w:rPr>
      </w:pPr>
      <w:r w:rsidRPr="007322C3">
        <w:rPr>
          <w:rFonts w:eastAsia="Calibri"/>
          <w:sz w:val="26"/>
          <w:szCs w:val="26"/>
          <w:lang w:eastAsia="en-US"/>
        </w:rPr>
        <w:lastRenderedPageBreak/>
        <w:t>Durante el evento se llevó a cabo un panel de oportunidades de negocio para emprendedores y MIPYMES de la industria aeroespacial, el cual contó con la participación de empresas ancla internacionales, instituciones educativas y de investigación, gobiernos estatales y proveedores.</w:t>
      </w:r>
    </w:p>
    <w:p w14:paraId="54DE66B2" w14:textId="77777777" w:rsidR="007322C3" w:rsidRPr="007322C3" w:rsidRDefault="007322C3" w:rsidP="007322C3">
      <w:pPr>
        <w:spacing w:after="360" w:line="360" w:lineRule="auto"/>
        <w:ind w:right="-159"/>
        <w:jc w:val="both"/>
        <w:rPr>
          <w:rFonts w:eastAsia="Calibri"/>
          <w:sz w:val="26"/>
          <w:szCs w:val="26"/>
          <w:lang w:eastAsia="en-US"/>
        </w:rPr>
      </w:pPr>
      <w:r w:rsidRPr="007322C3">
        <w:rPr>
          <w:rFonts w:eastAsia="Calibri"/>
          <w:sz w:val="26"/>
          <w:szCs w:val="26"/>
          <w:lang w:eastAsia="en-US"/>
        </w:rPr>
        <w:t>En este marco, funcionarios de la Secretaría de la Defensa Nacional (SEDENA) anunciaron la Feria Aeroespacial Mexicana (FAM 2015) que se realizará del 22 al 25 de abril próximo en la Base Aérea Militar Número 1, en Santa Lucía, Estado de México.</w:t>
      </w:r>
    </w:p>
    <w:p w14:paraId="73168E6E" w14:textId="77777777" w:rsidR="007322C3" w:rsidRPr="007322C3" w:rsidRDefault="007322C3" w:rsidP="007322C3">
      <w:pPr>
        <w:spacing w:after="360" w:line="360" w:lineRule="auto"/>
        <w:ind w:right="-159"/>
        <w:jc w:val="both"/>
        <w:rPr>
          <w:rFonts w:eastAsia="Calibri"/>
          <w:sz w:val="26"/>
          <w:szCs w:val="26"/>
          <w:lang w:eastAsia="en-US"/>
        </w:rPr>
      </w:pPr>
      <w:r w:rsidRPr="007322C3">
        <w:rPr>
          <w:rFonts w:eastAsia="Calibri"/>
          <w:sz w:val="26"/>
          <w:szCs w:val="26"/>
          <w:lang w:eastAsia="en-US"/>
        </w:rPr>
        <w:t>Esta feria tendrá un área de exhibición estática (de un kilómetro de largo) de aeronaves, pabellones y chalets, talleres académicos y modelos de simulación, encuentros de negocios y conferencias magistrales internacionales, donde las empresas mexicanas tendrán la oportunidad de presentar sus productos y conocer nuevas tecnologías y servicios del sector aeronáutico.</w:t>
      </w:r>
    </w:p>
    <w:p w14:paraId="43631503" w14:textId="77777777" w:rsidR="007322C3" w:rsidRPr="007322C3" w:rsidRDefault="007322C3" w:rsidP="007322C3">
      <w:pPr>
        <w:spacing w:after="360" w:line="360" w:lineRule="auto"/>
        <w:ind w:right="-159"/>
        <w:jc w:val="both"/>
        <w:rPr>
          <w:rFonts w:eastAsia="Calibri"/>
          <w:sz w:val="26"/>
          <w:szCs w:val="26"/>
          <w:lang w:eastAsia="en-US"/>
        </w:rPr>
      </w:pPr>
      <w:r w:rsidRPr="007322C3">
        <w:rPr>
          <w:rFonts w:eastAsia="Calibri"/>
          <w:sz w:val="26"/>
          <w:szCs w:val="26"/>
          <w:lang w:eastAsia="en-US"/>
        </w:rPr>
        <w:t>Por su magnitud, se pretende que se constituya en la feria aeroespacial más importante de Latinoamérica, donde el INADEM, SEDENA y FEMIA ya están buscando canales de apoyo para fortalecer este evento, con la participación de emprendedores y MIPYMES que puedan incorporarse a la cadena de valor de este sector.</w:t>
      </w:r>
    </w:p>
    <w:p w14:paraId="4B29E217" w14:textId="77777777" w:rsidR="007322C3" w:rsidRPr="007322C3" w:rsidRDefault="007322C3" w:rsidP="007322C3">
      <w:pPr>
        <w:spacing w:after="360" w:line="360" w:lineRule="auto"/>
        <w:ind w:right="-159"/>
        <w:jc w:val="both"/>
        <w:rPr>
          <w:rFonts w:eastAsia="Calibri"/>
          <w:sz w:val="26"/>
          <w:szCs w:val="26"/>
          <w:lang w:eastAsia="en-US"/>
        </w:rPr>
      </w:pPr>
      <w:r w:rsidRPr="007322C3">
        <w:rPr>
          <w:rFonts w:eastAsia="Calibri"/>
          <w:sz w:val="26"/>
          <w:szCs w:val="26"/>
          <w:lang w:eastAsia="en-US"/>
        </w:rPr>
        <w:t>Entre los asistentes, destacó la participación del Subsecretario de Industria y Comercio de la Secretaría de Economía, representantes de empresas de Estados Unidos de Norteamérica, Canadá, Francia, Israel y Gran Bretaña, así como de la Asociación Mexicana de Secretarios de Desarrollo Económico, A.C. y de la Conferencia Nacional de Gobernadores, cámaras y asociaciones empresariales y consejerías comerciales de embajadas establecidas en México.</w:t>
      </w:r>
    </w:p>
    <w:p w14:paraId="20D36992" w14:textId="77777777" w:rsidR="007322C3" w:rsidRPr="007322C3" w:rsidRDefault="007322C3" w:rsidP="007322C3">
      <w:pPr>
        <w:spacing w:after="360" w:line="360" w:lineRule="auto"/>
        <w:ind w:right="-159"/>
        <w:jc w:val="both"/>
        <w:rPr>
          <w:rFonts w:eastAsia="Calibri"/>
          <w:sz w:val="26"/>
          <w:szCs w:val="26"/>
          <w:lang w:eastAsia="en-US"/>
        </w:rPr>
      </w:pPr>
      <w:r w:rsidRPr="007322C3">
        <w:rPr>
          <w:rFonts w:eastAsia="Calibri"/>
          <w:sz w:val="26"/>
          <w:szCs w:val="26"/>
          <w:lang w:eastAsia="en-US"/>
        </w:rPr>
        <w:t xml:space="preserve">También acudieron secretarios de desarrollo económico de diversas entidades del país, funcionarios federales, estatales y municipales, directivos de universidades y centros </w:t>
      </w:r>
      <w:r w:rsidRPr="007322C3">
        <w:rPr>
          <w:rFonts w:eastAsia="Calibri"/>
          <w:sz w:val="26"/>
          <w:szCs w:val="26"/>
          <w:lang w:eastAsia="en-US"/>
        </w:rPr>
        <w:lastRenderedPageBreak/>
        <w:t>tecnológicos, consultores y empresarios de pequeñas y medianas empresas, además de integrantes de la FEMIA.</w:t>
      </w:r>
    </w:p>
    <w:p w14:paraId="6985B804" w14:textId="77777777" w:rsidR="007322C3" w:rsidRPr="007322C3" w:rsidRDefault="007322C3" w:rsidP="007322C3">
      <w:pPr>
        <w:ind w:right="-159"/>
        <w:jc w:val="both"/>
        <w:rPr>
          <w:rFonts w:eastAsia="Calibri"/>
          <w:sz w:val="20"/>
          <w:szCs w:val="20"/>
          <w:lang w:eastAsia="en-US"/>
        </w:rPr>
      </w:pPr>
      <w:r w:rsidRPr="007322C3">
        <w:rPr>
          <w:rFonts w:eastAsia="Calibri"/>
          <w:b/>
          <w:sz w:val="20"/>
          <w:szCs w:val="20"/>
          <w:lang w:eastAsia="en-US"/>
        </w:rPr>
        <w:t>Fuente de información</w:t>
      </w:r>
      <w:r w:rsidRPr="007322C3">
        <w:rPr>
          <w:rFonts w:eastAsia="Calibri"/>
          <w:sz w:val="20"/>
          <w:szCs w:val="20"/>
          <w:lang w:eastAsia="en-US"/>
        </w:rPr>
        <w:t>:</w:t>
      </w:r>
    </w:p>
    <w:p w14:paraId="49F15136" w14:textId="77777777" w:rsidR="007322C3" w:rsidRPr="008015D6" w:rsidRDefault="0093224F" w:rsidP="007322C3">
      <w:pPr>
        <w:ind w:right="-159"/>
        <w:jc w:val="both"/>
        <w:rPr>
          <w:rFonts w:eastAsia="Calibri"/>
          <w:color w:val="0000FF"/>
          <w:sz w:val="20"/>
          <w:szCs w:val="20"/>
          <w:u w:val="single"/>
          <w:lang w:eastAsia="en-US"/>
        </w:rPr>
      </w:pPr>
      <w:hyperlink r:id="rId192" w:history="1">
        <w:r w:rsidR="007322C3" w:rsidRPr="008015D6">
          <w:rPr>
            <w:rFonts w:eastAsia="Calibri"/>
            <w:color w:val="0000FF"/>
            <w:sz w:val="20"/>
            <w:szCs w:val="20"/>
            <w:u w:val="single"/>
            <w:lang w:eastAsia="en-US"/>
          </w:rPr>
          <w:t>http://www.economia.gob.mx/eventos-noticias/sala-de-prensa/comunicados/10931-comunicado-conjunto15-0304</w:t>
        </w:r>
      </w:hyperlink>
    </w:p>
    <w:p w14:paraId="49C563B3" w14:textId="77777777" w:rsidR="007322C3" w:rsidRPr="008015D6" w:rsidRDefault="007322C3" w:rsidP="007322C3">
      <w:pPr>
        <w:ind w:right="-159"/>
        <w:jc w:val="both"/>
        <w:rPr>
          <w:rFonts w:eastAsia="Calibri"/>
          <w:sz w:val="20"/>
          <w:szCs w:val="20"/>
          <w:lang w:eastAsia="en-US"/>
        </w:rPr>
      </w:pPr>
      <w:r w:rsidRPr="008015D6">
        <w:rPr>
          <w:rFonts w:eastAsia="Calibri"/>
          <w:sz w:val="20"/>
          <w:szCs w:val="20"/>
          <w:lang w:eastAsia="en-US"/>
        </w:rPr>
        <w:t>Para tener acceso a información relacionada visite:</w:t>
      </w:r>
    </w:p>
    <w:p w14:paraId="348EB720" w14:textId="77777777" w:rsidR="007322C3" w:rsidRPr="008015D6" w:rsidRDefault="0093224F" w:rsidP="008015D6">
      <w:pPr>
        <w:spacing w:after="720"/>
        <w:ind w:right="-159"/>
        <w:jc w:val="both"/>
        <w:rPr>
          <w:rFonts w:eastAsia="Calibri"/>
          <w:color w:val="0000FF"/>
          <w:sz w:val="20"/>
          <w:szCs w:val="20"/>
          <w:u w:val="single"/>
          <w:lang w:eastAsia="en-US"/>
        </w:rPr>
      </w:pPr>
      <w:hyperlink r:id="rId193" w:history="1">
        <w:r w:rsidR="007322C3" w:rsidRPr="008015D6">
          <w:rPr>
            <w:rFonts w:eastAsia="Calibri"/>
            <w:color w:val="0000FF"/>
            <w:sz w:val="20"/>
            <w:szCs w:val="20"/>
            <w:u w:val="single"/>
            <w:lang w:eastAsia="en-US"/>
          </w:rPr>
          <w:t>http://www.femia.com.mx/index.php</w:t>
        </w:r>
      </w:hyperlink>
      <w:r w:rsidR="007322C3" w:rsidRPr="008015D6">
        <w:rPr>
          <w:rFonts w:eastAsia="Calibri"/>
          <w:color w:val="0000FF"/>
          <w:sz w:val="20"/>
          <w:szCs w:val="20"/>
          <w:u w:val="single"/>
          <w:lang w:eastAsia="en-US"/>
        </w:rPr>
        <w:t xml:space="preserve"> </w:t>
      </w:r>
    </w:p>
    <w:p w14:paraId="4C177B2F" w14:textId="77777777" w:rsidR="009B6345" w:rsidRPr="009B6345" w:rsidRDefault="009B6345" w:rsidP="009B6345">
      <w:pPr>
        <w:spacing w:after="360" w:line="360" w:lineRule="auto"/>
        <w:ind w:right="-159"/>
        <w:jc w:val="both"/>
        <w:rPr>
          <w:rFonts w:eastAsia="Calibri"/>
          <w:b/>
          <w:sz w:val="26"/>
          <w:szCs w:val="26"/>
          <w:lang w:eastAsia="en-US"/>
        </w:rPr>
      </w:pPr>
      <w:r w:rsidRPr="009B6345">
        <w:rPr>
          <w:rFonts w:eastAsia="Calibri"/>
          <w:b/>
          <w:sz w:val="26"/>
          <w:szCs w:val="26"/>
          <w:lang w:eastAsia="en-US"/>
        </w:rPr>
        <w:t>Solidaridad con Venezuela (COPARMEX)</w:t>
      </w:r>
    </w:p>
    <w:p w14:paraId="3BDDA9CB" w14:textId="39DC7ABC" w:rsidR="009B6345" w:rsidRPr="009B6345" w:rsidRDefault="009B6345" w:rsidP="009B6345">
      <w:pPr>
        <w:spacing w:after="360" w:line="360" w:lineRule="auto"/>
        <w:ind w:right="-159"/>
        <w:jc w:val="both"/>
        <w:rPr>
          <w:rFonts w:eastAsia="Calibri"/>
          <w:sz w:val="26"/>
          <w:szCs w:val="26"/>
          <w:lang w:eastAsia="en-US"/>
        </w:rPr>
      </w:pPr>
      <w:r w:rsidRPr="009B6345">
        <w:rPr>
          <w:rFonts w:eastAsia="Calibri"/>
          <w:sz w:val="26"/>
          <w:szCs w:val="26"/>
          <w:lang w:eastAsia="en-US"/>
        </w:rPr>
        <w:t xml:space="preserve">El 11 de marzo de 2015, la Confederación Patronal de la República Mexicana (COPARMEX) publicó el mensaje que ofreció el Presidente de dicho organismo empresarial. A continuación </w:t>
      </w:r>
      <w:r w:rsidR="00AF5CB1">
        <w:rPr>
          <w:rFonts w:eastAsia="Calibri"/>
          <w:sz w:val="26"/>
          <w:szCs w:val="26"/>
          <w:lang w:eastAsia="en-US"/>
        </w:rPr>
        <w:t xml:space="preserve">se presentan </w:t>
      </w:r>
      <w:r w:rsidRPr="009B6345">
        <w:rPr>
          <w:rFonts w:eastAsia="Calibri"/>
          <w:sz w:val="26"/>
          <w:szCs w:val="26"/>
          <w:lang w:eastAsia="en-US"/>
        </w:rPr>
        <w:t>los detalles.</w:t>
      </w:r>
    </w:p>
    <w:p w14:paraId="41C7A3EB" w14:textId="77777777" w:rsidR="009B6345" w:rsidRPr="009B6345" w:rsidRDefault="009B6345" w:rsidP="009B6345">
      <w:pPr>
        <w:spacing w:after="360" w:line="360" w:lineRule="auto"/>
        <w:ind w:right="-159"/>
        <w:jc w:val="both"/>
        <w:rPr>
          <w:rFonts w:eastAsia="Calibri"/>
          <w:sz w:val="26"/>
          <w:szCs w:val="26"/>
          <w:lang w:eastAsia="en-US"/>
        </w:rPr>
      </w:pPr>
      <w:r w:rsidRPr="009B6345">
        <w:rPr>
          <w:rFonts w:eastAsia="Calibri"/>
          <w:sz w:val="26"/>
          <w:szCs w:val="26"/>
          <w:lang w:eastAsia="en-US"/>
        </w:rPr>
        <w:t>El Presidente de la Confederación Patronal de la República Mexicana:</w:t>
      </w:r>
    </w:p>
    <w:p w14:paraId="22E839AD" w14:textId="77777777" w:rsidR="009B6345" w:rsidRPr="009B6345" w:rsidRDefault="009B6345" w:rsidP="009B6345">
      <w:pPr>
        <w:spacing w:after="360" w:line="360" w:lineRule="auto"/>
        <w:ind w:right="-159"/>
        <w:jc w:val="both"/>
        <w:rPr>
          <w:rFonts w:eastAsia="Calibri"/>
          <w:sz w:val="26"/>
          <w:szCs w:val="26"/>
          <w:lang w:eastAsia="en-US"/>
        </w:rPr>
      </w:pPr>
      <w:r w:rsidRPr="009B6345">
        <w:rPr>
          <w:rFonts w:eastAsia="Calibri"/>
          <w:sz w:val="26"/>
          <w:szCs w:val="26"/>
          <w:lang w:eastAsia="en-US"/>
        </w:rPr>
        <w:t>“Hola amigos de COPARMEX, los saludo con gran gusto en este inicio de semana, deseándoles a todos que tengan una excelente jornada.</w:t>
      </w:r>
    </w:p>
    <w:p w14:paraId="41F96A61" w14:textId="77777777" w:rsidR="009B6345" w:rsidRPr="009B6345" w:rsidRDefault="009B6345" w:rsidP="009B6345">
      <w:pPr>
        <w:spacing w:after="360" w:line="360" w:lineRule="auto"/>
        <w:ind w:right="-159"/>
        <w:jc w:val="both"/>
        <w:rPr>
          <w:rFonts w:eastAsia="Calibri"/>
          <w:sz w:val="26"/>
          <w:szCs w:val="26"/>
          <w:lang w:eastAsia="en-US"/>
        </w:rPr>
      </w:pPr>
      <w:r w:rsidRPr="009B6345">
        <w:rPr>
          <w:rFonts w:eastAsia="Calibri"/>
          <w:sz w:val="26"/>
          <w:szCs w:val="26"/>
          <w:lang w:eastAsia="en-US"/>
        </w:rPr>
        <w:t>Hoy expresamos nuestra solidaridad y apoyo al pueblo de Venezuela, que sufre una difícil situación por la falta de alimentos básicos y medicamentos. El malestar social parece agravarse al cumplirse justo dos años de la muerte del ex Presidente Hugo Chávez.</w:t>
      </w:r>
    </w:p>
    <w:p w14:paraId="1872DE7D" w14:textId="77777777" w:rsidR="009B6345" w:rsidRPr="009B6345" w:rsidRDefault="009B6345" w:rsidP="009B6345">
      <w:pPr>
        <w:spacing w:after="360" w:line="360" w:lineRule="auto"/>
        <w:ind w:right="-159"/>
        <w:jc w:val="both"/>
        <w:rPr>
          <w:rFonts w:eastAsia="Calibri"/>
          <w:sz w:val="26"/>
          <w:szCs w:val="26"/>
          <w:lang w:eastAsia="en-US"/>
        </w:rPr>
      </w:pPr>
      <w:r w:rsidRPr="009B6345">
        <w:rPr>
          <w:rFonts w:eastAsia="Calibri"/>
          <w:sz w:val="26"/>
          <w:szCs w:val="26"/>
          <w:lang w:eastAsia="en-US"/>
        </w:rPr>
        <w:t>El desempeño económico de Venezuela se ha deteriorado: al cierre de 2014 la economía se contrajo 4% y la inflación creció 62%, esto lo viven los trabajadores como una realidad en la que su dinero alcanza cada vez menos para satisfacer sus necesidades más elementales.</w:t>
      </w:r>
    </w:p>
    <w:p w14:paraId="09CE0D52" w14:textId="77777777" w:rsidR="009B6345" w:rsidRPr="009B6345" w:rsidRDefault="009B6345" w:rsidP="009B6345">
      <w:pPr>
        <w:spacing w:after="360" w:line="360" w:lineRule="auto"/>
        <w:ind w:right="-159"/>
        <w:jc w:val="both"/>
        <w:rPr>
          <w:rFonts w:eastAsia="Calibri"/>
          <w:sz w:val="26"/>
          <w:szCs w:val="26"/>
          <w:lang w:eastAsia="en-US"/>
        </w:rPr>
      </w:pPr>
      <w:r w:rsidRPr="009B6345">
        <w:rPr>
          <w:rFonts w:eastAsia="Calibri"/>
          <w:sz w:val="26"/>
          <w:szCs w:val="26"/>
          <w:lang w:eastAsia="en-US"/>
        </w:rPr>
        <w:lastRenderedPageBreak/>
        <w:t>Gran parte de los 30 millones de venezolanos no tiene en su mesa productos básicos como leche, aceite, café, incluso papel higiénico, mientras que las protestas de amplios sectores de la población reciben como respuesta la represión.</w:t>
      </w:r>
    </w:p>
    <w:p w14:paraId="40E1C733" w14:textId="77777777" w:rsidR="009B6345" w:rsidRPr="009B6345" w:rsidRDefault="009B6345" w:rsidP="009B6345">
      <w:pPr>
        <w:spacing w:after="360" w:line="360" w:lineRule="auto"/>
        <w:ind w:right="-159"/>
        <w:jc w:val="both"/>
        <w:rPr>
          <w:rFonts w:eastAsia="Calibri"/>
          <w:sz w:val="26"/>
          <w:szCs w:val="26"/>
          <w:lang w:eastAsia="en-US"/>
        </w:rPr>
      </w:pPr>
      <w:r w:rsidRPr="009B6345">
        <w:rPr>
          <w:rFonts w:eastAsia="Calibri"/>
          <w:sz w:val="26"/>
          <w:szCs w:val="26"/>
          <w:lang w:eastAsia="en-US"/>
        </w:rPr>
        <w:t>Para Venezuela parecen venir momentos más difíciles, por el impacto de la caída de los precios internacionales del petróleo, mercado en el que el país sudamericano es el octavo mayor productor del mundo.</w:t>
      </w:r>
    </w:p>
    <w:p w14:paraId="30A3C326" w14:textId="77777777" w:rsidR="009B6345" w:rsidRPr="009B6345" w:rsidRDefault="009B6345" w:rsidP="009B6345">
      <w:pPr>
        <w:spacing w:after="360" w:line="360" w:lineRule="auto"/>
        <w:ind w:right="-159"/>
        <w:jc w:val="both"/>
        <w:rPr>
          <w:rFonts w:eastAsia="Calibri"/>
          <w:sz w:val="26"/>
          <w:szCs w:val="26"/>
          <w:lang w:eastAsia="en-US"/>
        </w:rPr>
      </w:pPr>
      <w:r w:rsidRPr="009B6345">
        <w:rPr>
          <w:rFonts w:eastAsia="Calibri"/>
          <w:sz w:val="26"/>
          <w:szCs w:val="26"/>
          <w:lang w:eastAsia="en-US"/>
        </w:rPr>
        <w:t>Cada disminución de 10 dólares en el barril de petróleo acarrea un deterioro de la balanza comercial de Venezuela del orden de 3.5% de su producto interno bruto, un impacto muchísimo mayor que para cualquier país de la región latinoamericana.</w:t>
      </w:r>
    </w:p>
    <w:p w14:paraId="1582578F" w14:textId="77777777" w:rsidR="009B6345" w:rsidRPr="009B6345" w:rsidRDefault="009B6345" w:rsidP="009B6345">
      <w:pPr>
        <w:spacing w:after="360" w:line="360" w:lineRule="auto"/>
        <w:ind w:right="-159"/>
        <w:jc w:val="both"/>
        <w:rPr>
          <w:rFonts w:eastAsia="Calibri"/>
          <w:sz w:val="26"/>
          <w:szCs w:val="26"/>
          <w:lang w:eastAsia="en-US"/>
        </w:rPr>
      </w:pPr>
      <w:r w:rsidRPr="009B6345">
        <w:rPr>
          <w:rFonts w:eastAsia="Calibri"/>
          <w:sz w:val="26"/>
          <w:szCs w:val="26"/>
          <w:lang w:eastAsia="en-US"/>
        </w:rPr>
        <w:t>En especial, nuestra solidaridad con los empresarios venezolanos y sus colaboradores en las empresas, que hoy son objeto de una campaña de descrédito, al pretender responsabilizarlos del desabasto de medicamentos y productos básicos.</w:t>
      </w:r>
    </w:p>
    <w:p w14:paraId="4465B8C1" w14:textId="77777777" w:rsidR="009B6345" w:rsidRPr="009B6345" w:rsidRDefault="009B6345" w:rsidP="009B6345">
      <w:pPr>
        <w:spacing w:after="360" w:line="360" w:lineRule="auto"/>
        <w:ind w:right="-159"/>
        <w:jc w:val="both"/>
        <w:rPr>
          <w:rFonts w:eastAsia="Calibri"/>
          <w:sz w:val="26"/>
          <w:szCs w:val="26"/>
          <w:lang w:eastAsia="en-US"/>
        </w:rPr>
      </w:pPr>
      <w:r w:rsidRPr="009B6345">
        <w:rPr>
          <w:rFonts w:eastAsia="Calibri"/>
          <w:sz w:val="26"/>
          <w:szCs w:val="26"/>
          <w:lang w:eastAsia="en-US"/>
        </w:rPr>
        <w:t>La Federación Venezolana de Cámaras de Comercio y Producción (FEDECÁMARAS), organismo patronal hermano con el que hemos trabajado en diversos foros empresariales durante muchísimos años, ha denunciado intimidación y acoso, a través de controles, represión e incluso persecución y encarcelamiento.</w:t>
      </w:r>
    </w:p>
    <w:p w14:paraId="0D6D999C" w14:textId="77777777" w:rsidR="009B6345" w:rsidRPr="009B6345" w:rsidRDefault="009B6345" w:rsidP="009B6345">
      <w:pPr>
        <w:spacing w:after="360" w:line="360" w:lineRule="auto"/>
        <w:ind w:right="-159"/>
        <w:jc w:val="both"/>
        <w:rPr>
          <w:rFonts w:eastAsia="Calibri"/>
          <w:sz w:val="26"/>
          <w:szCs w:val="26"/>
          <w:lang w:eastAsia="en-US"/>
        </w:rPr>
      </w:pPr>
      <w:r w:rsidRPr="009B6345">
        <w:rPr>
          <w:rFonts w:eastAsia="Calibri"/>
          <w:sz w:val="26"/>
          <w:szCs w:val="26"/>
          <w:lang w:eastAsia="en-US"/>
        </w:rPr>
        <w:t>COPARMEX se suma a la protesta presentada el pasado 4 de marzo por la Organización Internacional de Empleadores y FEDECÁMARAS ante la Organización Internacional del Trabajo y su Comité de Libertad Sindical.</w:t>
      </w:r>
    </w:p>
    <w:p w14:paraId="40AAB2D0" w14:textId="77777777" w:rsidR="009B6345" w:rsidRPr="009B6345" w:rsidRDefault="009B6345" w:rsidP="009B6345">
      <w:pPr>
        <w:spacing w:after="360" w:line="360" w:lineRule="auto"/>
        <w:ind w:right="-159"/>
        <w:jc w:val="both"/>
        <w:rPr>
          <w:rFonts w:eastAsia="Calibri"/>
          <w:sz w:val="26"/>
          <w:szCs w:val="26"/>
          <w:lang w:eastAsia="en-US"/>
        </w:rPr>
      </w:pPr>
      <w:r w:rsidRPr="009B6345">
        <w:rPr>
          <w:rFonts w:eastAsia="Calibri"/>
          <w:sz w:val="26"/>
          <w:szCs w:val="26"/>
          <w:lang w:eastAsia="en-US"/>
        </w:rPr>
        <w:t>En esa acción se denunció el reciente asedio del Gobierno de Venezuela al empresariado libre de ese país y ataques a las empresas privadas, muchas de ellas miembros de FEDECÁMARAS.</w:t>
      </w:r>
    </w:p>
    <w:p w14:paraId="6F9AB7CA" w14:textId="77777777" w:rsidR="009B6345" w:rsidRPr="009B6345" w:rsidRDefault="009B6345" w:rsidP="009B6345">
      <w:pPr>
        <w:spacing w:after="360" w:line="360" w:lineRule="auto"/>
        <w:ind w:right="-159"/>
        <w:jc w:val="both"/>
        <w:rPr>
          <w:rFonts w:eastAsia="Calibri"/>
          <w:sz w:val="26"/>
          <w:szCs w:val="26"/>
          <w:lang w:eastAsia="en-US"/>
        </w:rPr>
      </w:pPr>
      <w:r w:rsidRPr="009B6345">
        <w:rPr>
          <w:rFonts w:eastAsia="Calibri"/>
          <w:sz w:val="26"/>
          <w:szCs w:val="26"/>
          <w:lang w:eastAsia="en-US"/>
        </w:rPr>
        <w:lastRenderedPageBreak/>
        <w:t>En esta protesta se precisa que en Venezuela, tan sólo el mes pasado fueron detenidos más de 15 empresarios y directivos de empresas distribuidoras de medicinas y de alimentos y de organizaciones gremiales privadas dedicadas a la atención hospitalaria, al servicio de supermercados y a la distribución de carne.</w:t>
      </w:r>
    </w:p>
    <w:p w14:paraId="1D89C59C" w14:textId="77777777" w:rsidR="009B6345" w:rsidRPr="009B6345" w:rsidRDefault="009B6345" w:rsidP="009B6345">
      <w:pPr>
        <w:spacing w:after="360" w:line="360" w:lineRule="auto"/>
        <w:ind w:right="-159"/>
        <w:jc w:val="both"/>
        <w:rPr>
          <w:rFonts w:eastAsia="Calibri"/>
          <w:sz w:val="26"/>
          <w:szCs w:val="26"/>
          <w:lang w:eastAsia="en-US"/>
        </w:rPr>
      </w:pPr>
      <w:r w:rsidRPr="009B6345">
        <w:rPr>
          <w:rFonts w:eastAsia="Calibri"/>
          <w:sz w:val="26"/>
          <w:szCs w:val="26"/>
          <w:lang w:eastAsia="en-US"/>
        </w:rPr>
        <w:t>Ese mismo mes, sin el debido proceso ni respeto al derecho de la defensa, el Gobierno venezolano ocupó una empresa privada distribuidora de alimentos, bajo acusaciones de “conspiración contra el Gobierno”.</w:t>
      </w:r>
    </w:p>
    <w:p w14:paraId="496EA3A6" w14:textId="77777777" w:rsidR="009B6345" w:rsidRPr="009B6345" w:rsidRDefault="009B6345" w:rsidP="009B6345">
      <w:pPr>
        <w:spacing w:after="360" w:line="360" w:lineRule="auto"/>
        <w:ind w:right="-159"/>
        <w:jc w:val="both"/>
        <w:rPr>
          <w:rFonts w:eastAsia="Calibri"/>
          <w:sz w:val="26"/>
          <w:szCs w:val="26"/>
          <w:lang w:eastAsia="en-US"/>
        </w:rPr>
      </w:pPr>
      <w:r w:rsidRPr="009B6345">
        <w:rPr>
          <w:rFonts w:eastAsia="Calibri"/>
          <w:sz w:val="26"/>
          <w:szCs w:val="26"/>
          <w:lang w:eastAsia="en-US"/>
        </w:rPr>
        <w:t>La comunidad empresarial internacional no puede permanecer indiferente ante las situaciones de intimidación y acoso como las que está viviendo el sector privado venezolano.</w:t>
      </w:r>
    </w:p>
    <w:p w14:paraId="3488F710" w14:textId="77777777" w:rsidR="009B6345" w:rsidRPr="009B6345" w:rsidRDefault="009B6345" w:rsidP="009B6345">
      <w:pPr>
        <w:spacing w:after="360" w:line="360" w:lineRule="auto"/>
        <w:ind w:right="-159"/>
        <w:jc w:val="both"/>
        <w:rPr>
          <w:rFonts w:eastAsia="Calibri"/>
          <w:sz w:val="26"/>
          <w:szCs w:val="26"/>
          <w:lang w:eastAsia="en-US"/>
        </w:rPr>
      </w:pPr>
      <w:r w:rsidRPr="009B6345">
        <w:rPr>
          <w:rFonts w:eastAsia="Calibri"/>
          <w:sz w:val="26"/>
          <w:szCs w:val="26"/>
          <w:lang w:eastAsia="en-US"/>
        </w:rPr>
        <w:t>De manera respetuosa a la política nacional de nuestro país hermano, hacemos un llamado al gobierno venezolano a que restablezca el diálogo social sobre la base del respeto, que cese la intimidación hacia las organizaciones empresariales independientes y representativas y a los trabajadores.</w:t>
      </w:r>
    </w:p>
    <w:p w14:paraId="057AFFE7" w14:textId="77777777" w:rsidR="009B6345" w:rsidRPr="009B6345" w:rsidRDefault="009B6345" w:rsidP="009B6345">
      <w:pPr>
        <w:spacing w:after="360" w:line="360" w:lineRule="auto"/>
        <w:ind w:right="-159"/>
        <w:jc w:val="both"/>
        <w:rPr>
          <w:rFonts w:eastAsia="Calibri"/>
          <w:sz w:val="26"/>
          <w:szCs w:val="26"/>
          <w:lang w:eastAsia="en-US"/>
        </w:rPr>
      </w:pPr>
      <w:r w:rsidRPr="009B6345">
        <w:rPr>
          <w:rFonts w:eastAsia="Calibri"/>
          <w:sz w:val="26"/>
          <w:szCs w:val="26"/>
          <w:lang w:eastAsia="en-US"/>
        </w:rPr>
        <w:t>Confiamos en que podrán encontrar las mejores soluciones a la crisis, siempre con respeto absoluto de la libertad económica y la propiedad privada.</w:t>
      </w:r>
    </w:p>
    <w:p w14:paraId="5AB7E149" w14:textId="77777777" w:rsidR="009B6345" w:rsidRPr="009B6345" w:rsidRDefault="009B6345" w:rsidP="009B6345">
      <w:pPr>
        <w:spacing w:after="360" w:line="360" w:lineRule="auto"/>
        <w:ind w:right="-159"/>
        <w:jc w:val="both"/>
        <w:rPr>
          <w:rFonts w:eastAsia="Calibri"/>
          <w:sz w:val="26"/>
          <w:szCs w:val="26"/>
          <w:lang w:eastAsia="en-US"/>
        </w:rPr>
      </w:pPr>
      <w:r w:rsidRPr="009B6345">
        <w:rPr>
          <w:rFonts w:eastAsia="Calibri"/>
          <w:sz w:val="26"/>
          <w:szCs w:val="26"/>
          <w:lang w:eastAsia="en-US"/>
        </w:rPr>
        <w:t>Con FEDECÁMARAS compartimos la visión de que las empresas y las personas que las integran son el verdadero motor que puede impulsar el crecimiento sostenido de nuestras economías en América Latina y el mundo.</w:t>
      </w:r>
    </w:p>
    <w:p w14:paraId="5B4A9957" w14:textId="77777777" w:rsidR="009B6345" w:rsidRPr="009B6345" w:rsidRDefault="009B6345" w:rsidP="009B6345">
      <w:pPr>
        <w:spacing w:after="360" w:line="360" w:lineRule="auto"/>
        <w:ind w:right="-159"/>
        <w:jc w:val="both"/>
        <w:rPr>
          <w:rFonts w:eastAsia="Calibri"/>
          <w:sz w:val="26"/>
          <w:szCs w:val="26"/>
          <w:lang w:eastAsia="en-US"/>
        </w:rPr>
      </w:pPr>
      <w:r w:rsidRPr="009B6345">
        <w:rPr>
          <w:rFonts w:eastAsia="Calibri"/>
          <w:sz w:val="26"/>
          <w:szCs w:val="26"/>
          <w:lang w:eastAsia="en-US"/>
        </w:rPr>
        <w:t>En toda sociedad, las empresas son la manifestación de la creatividad, iniciativa y libertad de las personas para producir no sólo bienes y servicios, sino opciones reales de progreso comunitario en beneficio de toda la sociedad.</w:t>
      </w:r>
    </w:p>
    <w:p w14:paraId="57E9870E" w14:textId="77777777" w:rsidR="009B6345" w:rsidRPr="009B6345" w:rsidRDefault="009B6345" w:rsidP="009B6345">
      <w:pPr>
        <w:spacing w:after="360" w:line="360" w:lineRule="auto"/>
        <w:ind w:right="-159"/>
        <w:jc w:val="both"/>
        <w:rPr>
          <w:rFonts w:eastAsia="Calibri"/>
          <w:sz w:val="26"/>
          <w:szCs w:val="26"/>
          <w:lang w:eastAsia="en-US"/>
        </w:rPr>
      </w:pPr>
      <w:r w:rsidRPr="009B6345">
        <w:rPr>
          <w:rFonts w:eastAsia="Calibri"/>
          <w:sz w:val="26"/>
          <w:szCs w:val="26"/>
          <w:lang w:eastAsia="en-US"/>
        </w:rPr>
        <w:lastRenderedPageBreak/>
        <w:t>Las empresas las formamos personas, empresarios y colaboradores, y juntos generamos el valor que aporta a la sociedad el crecimiento, el desarrollo y las oportunidades.</w:t>
      </w:r>
    </w:p>
    <w:p w14:paraId="34EF05DE" w14:textId="77777777" w:rsidR="009B6345" w:rsidRPr="009B6345" w:rsidRDefault="009B6345" w:rsidP="009B6345">
      <w:pPr>
        <w:spacing w:after="360" w:line="360" w:lineRule="auto"/>
        <w:ind w:right="-159"/>
        <w:jc w:val="both"/>
        <w:rPr>
          <w:rFonts w:eastAsia="Calibri"/>
          <w:sz w:val="26"/>
          <w:szCs w:val="26"/>
          <w:lang w:eastAsia="en-US"/>
        </w:rPr>
      </w:pPr>
      <w:r w:rsidRPr="009B6345">
        <w:rPr>
          <w:rFonts w:eastAsia="Calibri"/>
          <w:sz w:val="26"/>
          <w:szCs w:val="26"/>
          <w:lang w:eastAsia="en-US"/>
        </w:rPr>
        <w:t>En Venezuela, como en cualquier país, los empresarios cumplen un rol vital para la economía, impulsando inversiones, innovación y el progreso social para una mejor calidad de vida.</w:t>
      </w:r>
    </w:p>
    <w:p w14:paraId="50C0F10F" w14:textId="77777777" w:rsidR="009B6345" w:rsidRPr="009B6345" w:rsidRDefault="009B6345" w:rsidP="009B6345">
      <w:pPr>
        <w:spacing w:after="360" w:line="360" w:lineRule="auto"/>
        <w:ind w:right="-159"/>
        <w:jc w:val="both"/>
        <w:rPr>
          <w:rFonts w:eastAsia="Calibri"/>
          <w:sz w:val="26"/>
          <w:szCs w:val="26"/>
          <w:lang w:eastAsia="en-US"/>
        </w:rPr>
      </w:pPr>
      <w:r w:rsidRPr="009B6345">
        <w:rPr>
          <w:rFonts w:eastAsia="Calibri"/>
          <w:sz w:val="26"/>
          <w:szCs w:val="26"/>
          <w:lang w:eastAsia="en-US"/>
        </w:rPr>
        <w:t>Los empresarios de COPARMEX enviamos un abrazo solidario al pueblo de Venezuela.</w:t>
      </w:r>
    </w:p>
    <w:p w14:paraId="14ECBD5E" w14:textId="77777777" w:rsidR="009B6345" w:rsidRDefault="009B6345" w:rsidP="009B6345">
      <w:pPr>
        <w:spacing w:after="360" w:line="360" w:lineRule="auto"/>
        <w:ind w:right="-159"/>
        <w:jc w:val="both"/>
        <w:rPr>
          <w:rFonts w:eastAsia="Calibri"/>
          <w:sz w:val="26"/>
          <w:szCs w:val="26"/>
          <w:lang w:eastAsia="en-US"/>
        </w:rPr>
      </w:pPr>
      <w:r w:rsidRPr="009B6345">
        <w:rPr>
          <w:rFonts w:eastAsia="Calibri"/>
          <w:sz w:val="26"/>
          <w:szCs w:val="26"/>
          <w:lang w:eastAsia="en-US"/>
        </w:rPr>
        <w:t>Hacemos votos para que puedan recuperar la paz, la concordia y un camino sustentable a la recuperación de su economía y la reconstrucción del tejido social, con la participación de sus empresas y sus empresarios y colaboradores en las mismas, para que en un ambiente de libertad puedan seguir creando oportunidades de desarrollo y de empleo digno para más venezolanos. Es la forma de salir adelante, en armonía.</w:t>
      </w:r>
    </w:p>
    <w:p w14:paraId="59298EB9" w14:textId="77777777" w:rsidR="009B6345" w:rsidRPr="009B6345" w:rsidRDefault="009B6345" w:rsidP="009B6345">
      <w:pPr>
        <w:spacing w:after="360" w:line="360" w:lineRule="auto"/>
        <w:ind w:right="-159"/>
        <w:jc w:val="both"/>
        <w:rPr>
          <w:rFonts w:eastAsia="Calibri"/>
          <w:sz w:val="26"/>
          <w:szCs w:val="26"/>
          <w:lang w:eastAsia="en-US"/>
        </w:rPr>
      </w:pPr>
      <w:r w:rsidRPr="009B6345">
        <w:rPr>
          <w:rFonts w:eastAsia="Calibri"/>
          <w:sz w:val="26"/>
          <w:szCs w:val="26"/>
          <w:lang w:eastAsia="en-US"/>
        </w:rPr>
        <w:t>Un saludo afectuoso para toda la Familia COPARMEX, con mis mejores deseos de que se hagan realidad sus proyectos de corto, mediano y largo plazo, para ustedes y sus familias y las de sus trabajadores.”</w:t>
      </w:r>
    </w:p>
    <w:p w14:paraId="2A55254D" w14:textId="77777777" w:rsidR="009B6345" w:rsidRPr="009B6345" w:rsidRDefault="009B6345" w:rsidP="009B6345">
      <w:pPr>
        <w:ind w:right="-159"/>
        <w:jc w:val="both"/>
        <w:rPr>
          <w:rFonts w:eastAsia="Calibri"/>
          <w:sz w:val="20"/>
          <w:szCs w:val="20"/>
          <w:lang w:eastAsia="en-US"/>
        </w:rPr>
      </w:pPr>
      <w:r w:rsidRPr="009B6345">
        <w:rPr>
          <w:rFonts w:eastAsia="Calibri"/>
          <w:b/>
          <w:sz w:val="20"/>
          <w:szCs w:val="20"/>
          <w:lang w:eastAsia="en-US"/>
        </w:rPr>
        <w:t>Fuente de información</w:t>
      </w:r>
      <w:r w:rsidRPr="009B6345">
        <w:rPr>
          <w:rFonts w:eastAsia="Calibri"/>
          <w:sz w:val="20"/>
          <w:szCs w:val="20"/>
          <w:lang w:eastAsia="en-US"/>
        </w:rPr>
        <w:t>:</w:t>
      </w:r>
    </w:p>
    <w:p w14:paraId="1F84C980" w14:textId="77777777" w:rsidR="009B6345" w:rsidRPr="00503846" w:rsidRDefault="0093224F" w:rsidP="00503846">
      <w:pPr>
        <w:spacing w:after="720"/>
        <w:ind w:right="-159"/>
        <w:jc w:val="both"/>
        <w:rPr>
          <w:rFonts w:eastAsia="Calibri"/>
          <w:color w:val="0000FF"/>
          <w:sz w:val="20"/>
          <w:szCs w:val="20"/>
          <w:lang w:eastAsia="en-US"/>
        </w:rPr>
      </w:pPr>
      <w:hyperlink r:id="rId194" w:history="1">
        <w:r w:rsidR="009B6345" w:rsidRPr="00503846">
          <w:rPr>
            <w:rFonts w:eastAsia="Calibri"/>
            <w:color w:val="0000FF"/>
            <w:sz w:val="20"/>
            <w:szCs w:val="20"/>
            <w:u w:val="single"/>
            <w:lang w:eastAsia="en-US"/>
          </w:rPr>
          <w:t>http://www.coparmex.org.mx/index.php?option=com_content&amp;view=article&amp;id=1048:senal-coparmex-solidaridad-con-venezuela&amp;catid=22:senal-coparmex&amp;Itemid=226</w:t>
        </w:r>
      </w:hyperlink>
    </w:p>
    <w:p w14:paraId="6267E870" w14:textId="571D4CBA" w:rsidR="000677B6" w:rsidRPr="000677B6" w:rsidRDefault="000677B6" w:rsidP="000677B6">
      <w:pPr>
        <w:ind w:right="-159"/>
        <w:jc w:val="both"/>
        <w:rPr>
          <w:rFonts w:eastAsia="Calibri"/>
          <w:b/>
          <w:sz w:val="26"/>
          <w:szCs w:val="26"/>
          <w:lang w:eastAsia="en-US"/>
        </w:rPr>
      </w:pPr>
      <w:r w:rsidRPr="000677B6">
        <w:rPr>
          <w:rFonts w:eastAsia="Calibri"/>
          <w:b/>
          <w:sz w:val="26"/>
          <w:szCs w:val="26"/>
          <w:lang w:eastAsia="en-US"/>
        </w:rPr>
        <w:t>Cleantech México 2015.</w:t>
      </w:r>
      <w:r w:rsidR="00C676DA">
        <w:rPr>
          <w:rFonts w:eastAsia="Calibri"/>
          <w:b/>
          <w:sz w:val="26"/>
          <w:szCs w:val="26"/>
          <w:lang w:eastAsia="en-US"/>
        </w:rPr>
        <w:t xml:space="preserve"> Panorama y</w:t>
      </w:r>
    </w:p>
    <w:p w14:paraId="474CED86" w14:textId="573AD3F5" w:rsidR="000677B6" w:rsidRPr="000677B6" w:rsidRDefault="000677B6" w:rsidP="000677B6">
      <w:pPr>
        <w:ind w:right="-159"/>
        <w:jc w:val="both"/>
        <w:rPr>
          <w:rFonts w:eastAsia="Calibri"/>
          <w:b/>
          <w:sz w:val="26"/>
          <w:szCs w:val="26"/>
          <w:lang w:eastAsia="en-US"/>
        </w:rPr>
      </w:pPr>
      <w:r w:rsidRPr="000677B6">
        <w:rPr>
          <w:rFonts w:eastAsia="Calibri"/>
          <w:b/>
          <w:sz w:val="26"/>
          <w:szCs w:val="26"/>
          <w:lang w:eastAsia="en-US"/>
        </w:rPr>
        <w:t xml:space="preserve">y </w:t>
      </w:r>
      <w:r w:rsidR="00C676DA">
        <w:rPr>
          <w:rFonts w:eastAsia="Calibri"/>
          <w:b/>
          <w:sz w:val="26"/>
          <w:szCs w:val="26"/>
          <w:lang w:eastAsia="en-US"/>
        </w:rPr>
        <w:t xml:space="preserve"> </w:t>
      </w:r>
      <w:r w:rsidRPr="000677B6">
        <w:rPr>
          <w:rFonts w:eastAsia="Calibri"/>
          <w:b/>
          <w:sz w:val="26"/>
          <w:szCs w:val="26"/>
          <w:lang w:eastAsia="en-US"/>
        </w:rPr>
        <w:t xml:space="preserve">recomendaciones </w:t>
      </w:r>
      <w:r w:rsidR="00C676DA">
        <w:rPr>
          <w:rFonts w:eastAsia="Calibri"/>
          <w:b/>
          <w:sz w:val="26"/>
          <w:szCs w:val="26"/>
          <w:lang w:eastAsia="en-US"/>
        </w:rPr>
        <w:t xml:space="preserve">  </w:t>
      </w:r>
      <w:r w:rsidRPr="000677B6">
        <w:rPr>
          <w:rFonts w:eastAsia="Calibri"/>
          <w:b/>
          <w:sz w:val="26"/>
          <w:szCs w:val="26"/>
          <w:lang w:eastAsia="en-US"/>
        </w:rPr>
        <w:t xml:space="preserve">para </w:t>
      </w:r>
      <w:r w:rsidR="00C676DA">
        <w:rPr>
          <w:rFonts w:eastAsia="Calibri"/>
          <w:b/>
          <w:sz w:val="26"/>
          <w:szCs w:val="26"/>
          <w:lang w:eastAsia="en-US"/>
        </w:rPr>
        <w:t xml:space="preserve">  </w:t>
      </w:r>
      <w:r w:rsidRPr="000677B6">
        <w:rPr>
          <w:rFonts w:eastAsia="Calibri"/>
          <w:b/>
          <w:sz w:val="26"/>
          <w:szCs w:val="26"/>
          <w:lang w:eastAsia="en-US"/>
        </w:rPr>
        <w:t>impulsar</w:t>
      </w:r>
    </w:p>
    <w:p w14:paraId="6D41098A" w14:textId="0AABEC87" w:rsidR="000677B6" w:rsidRPr="000677B6" w:rsidRDefault="000677B6" w:rsidP="000677B6">
      <w:pPr>
        <w:spacing w:after="360"/>
        <w:ind w:right="-159"/>
        <w:jc w:val="both"/>
        <w:rPr>
          <w:rFonts w:eastAsia="Calibri"/>
          <w:b/>
          <w:sz w:val="26"/>
          <w:szCs w:val="26"/>
          <w:lang w:eastAsia="en-US"/>
        </w:rPr>
      </w:pPr>
      <w:r w:rsidRPr="000677B6">
        <w:rPr>
          <w:rFonts w:eastAsia="Calibri"/>
          <w:b/>
          <w:sz w:val="26"/>
          <w:szCs w:val="26"/>
          <w:lang w:eastAsia="en-US"/>
        </w:rPr>
        <w:t xml:space="preserve">la </w:t>
      </w:r>
      <w:r w:rsidR="00C676DA">
        <w:rPr>
          <w:rFonts w:eastAsia="Calibri"/>
          <w:b/>
          <w:sz w:val="26"/>
          <w:szCs w:val="26"/>
          <w:lang w:eastAsia="en-US"/>
        </w:rPr>
        <w:t xml:space="preserve">  </w:t>
      </w:r>
      <w:r w:rsidRPr="000677B6">
        <w:rPr>
          <w:rFonts w:eastAsia="Calibri"/>
          <w:b/>
          <w:sz w:val="26"/>
          <w:szCs w:val="26"/>
          <w:lang w:eastAsia="en-US"/>
        </w:rPr>
        <w:t xml:space="preserve">ecoinnovación </w:t>
      </w:r>
      <w:r w:rsidR="00C676DA">
        <w:rPr>
          <w:rFonts w:eastAsia="Calibri"/>
          <w:b/>
          <w:sz w:val="26"/>
          <w:szCs w:val="26"/>
          <w:lang w:eastAsia="en-US"/>
        </w:rPr>
        <w:t xml:space="preserve">  </w:t>
      </w:r>
      <w:r w:rsidRPr="000677B6">
        <w:rPr>
          <w:rFonts w:eastAsia="Calibri"/>
          <w:b/>
          <w:sz w:val="26"/>
          <w:szCs w:val="26"/>
          <w:lang w:eastAsia="en-US"/>
        </w:rPr>
        <w:t xml:space="preserve">nacional </w:t>
      </w:r>
      <w:r w:rsidR="00C676DA">
        <w:rPr>
          <w:rFonts w:eastAsia="Calibri"/>
          <w:b/>
          <w:sz w:val="26"/>
          <w:szCs w:val="26"/>
          <w:lang w:eastAsia="en-US"/>
        </w:rPr>
        <w:t xml:space="preserve"> </w:t>
      </w:r>
      <w:r w:rsidRPr="000677B6">
        <w:rPr>
          <w:rFonts w:eastAsia="Calibri"/>
          <w:b/>
          <w:sz w:val="26"/>
          <w:szCs w:val="26"/>
          <w:lang w:eastAsia="en-US"/>
        </w:rPr>
        <w:t>(IMCO)</w:t>
      </w:r>
    </w:p>
    <w:p w14:paraId="7317E77E"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El 5 de marzo de 2015, el Instituto Mexicano para la Competitividad A. C. (IMCO) presentó el</w:t>
      </w:r>
      <w:r w:rsidRPr="000677B6">
        <w:rPr>
          <w:rFonts w:eastAsia="Calibri"/>
          <w:i/>
          <w:sz w:val="26"/>
          <w:szCs w:val="26"/>
          <w:lang w:val="es-ES" w:eastAsia="en-US"/>
        </w:rPr>
        <w:t xml:space="preserve"> </w:t>
      </w:r>
      <w:r w:rsidRPr="000677B6">
        <w:rPr>
          <w:rFonts w:eastAsia="Calibri"/>
          <w:sz w:val="26"/>
          <w:szCs w:val="26"/>
          <w:lang w:val="es-ES" w:eastAsia="en-US"/>
        </w:rPr>
        <w:t>documento</w:t>
      </w:r>
      <w:r w:rsidRPr="000677B6">
        <w:rPr>
          <w:rFonts w:ascii="Calibri" w:eastAsia="Calibri" w:hAnsi="Calibri"/>
          <w:sz w:val="22"/>
          <w:szCs w:val="22"/>
          <w:lang w:eastAsia="en-US"/>
        </w:rPr>
        <w:t xml:space="preserve"> </w:t>
      </w:r>
      <w:r w:rsidRPr="000677B6">
        <w:rPr>
          <w:rFonts w:eastAsia="Calibri"/>
          <w:i/>
          <w:sz w:val="26"/>
          <w:szCs w:val="26"/>
          <w:lang w:val="es-ES" w:eastAsia="en-US"/>
        </w:rPr>
        <w:t xml:space="preserve">Cleantech México </w:t>
      </w:r>
      <w:r w:rsidRPr="000677B6">
        <w:rPr>
          <w:rFonts w:eastAsia="Calibri"/>
          <w:sz w:val="26"/>
          <w:szCs w:val="26"/>
          <w:lang w:val="es-ES" w:eastAsia="en-US"/>
        </w:rPr>
        <w:t>2015. Panorama y recomendaciones para impulsar la ecoinnovación nacional</w:t>
      </w:r>
      <w:r w:rsidRPr="000677B6">
        <w:rPr>
          <w:rFonts w:eastAsia="Calibri"/>
          <w:i/>
          <w:sz w:val="26"/>
          <w:szCs w:val="26"/>
          <w:lang w:val="es-ES" w:eastAsia="en-US"/>
        </w:rPr>
        <w:t>.</w:t>
      </w:r>
      <w:r w:rsidRPr="000677B6">
        <w:rPr>
          <w:rFonts w:eastAsia="Calibri"/>
          <w:sz w:val="26"/>
          <w:szCs w:val="26"/>
          <w:lang w:val="es-ES" w:eastAsia="en-US"/>
        </w:rPr>
        <w:t xml:space="preserve"> A continuación se presenta el Resumen Ejecutivo, el Mensaje de </w:t>
      </w:r>
      <w:r w:rsidRPr="000677B6">
        <w:rPr>
          <w:rFonts w:eastAsia="Calibri"/>
          <w:i/>
          <w:sz w:val="26"/>
          <w:szCs w:val="26"/>
          <w:lang w:val="es-ES" w:eastAsia="en-US"/>
        </w:rPr>
        <w:t>Zennström Philantropies,</w:t>
      </w:r>
      <w:r w:rsidRPr="000677B6">
        <w:rPr>
          <w:rFonts w:eastAsia="Calibri"/>
          <w:sz w:val="26"/>
          <w:szCs w:val="26"/>
          <w:lang w:val="es-ES" w:eastAsia="en-US"/>
        </w:rPr>
        <w:t xml:space="preserve"> el Prólogo, Este Reporte y los Capítulos A. </w:t>
      </w:r>
      <w:r w:rsidRPr="000677B6">
        <w:rPr>
          <w:rFonts w:eastAsia="Calibri"/>
          <w:sz w:val="26"/>
          <w:szCs w:val="26"/>
          <w:lang w:val="es-ES" w:eastAsia="en-US"/>
        </w:rPr>
        <w:lastRenderedPageBreak/>
        <w:t xml:space="preserve">Cleantech en México y C. Recomendaciones para detonar emprendimientos nacionales en </w:t>
      </w:r>
      <w:r w:rsidRPr="000677B6">
        <w:rPr>
          <w:rFonts w:eastAsia="Calibri"/>
          <w:i/>
          <w:sz w:val="26"/>
          <w:szCs w:val="26"/>
          <w:lang w:val="es-ES" w:eastAsia="en-US"/>
        </w:rPr>
        <w:t>cleantech.</w:t>
      </w:r>
    </w:p>
    <w:p w14:paraId="7718D06B" w14:textId="77777777" w:rsidR="000677B6" w:rsidRPr="000677B6" w:rsidRDefault="000677B6" w:rsidP="000677B6">
      <w:pPr>
        <w:spacing w:after="360" w:line="360" w:lineRule="auto"/>
        <w:ind w:right="-159"/>
        <w:jc w:val="both"/>
        <w:rPr>
          <w:rFonts w:eastAsia="Calibri"/>
          <w:b/>
          <w:sz w:val="26"/>
          <w:szCs w:val="26"/>
          <w:lang w:val="es-ES" w:eastAsia="en-US"/>
        </w:rPr>
      </w:pPr>
      <w:r w:rsidRPr="000677B6">
        <w:rPr>
          <w:rFonts w:eastAsia="Calibri"/>
          <w:b/>
          <w:sz w:val="26"/>
          <w:szCs w:val="26"/>
          <w:lang w:val="es-ES" w:eastAsia="en-US"/>
        </w:rPr>
        <w:t>Resumen Ejecutivo</w:t>
      </w:r>
    </w:p>
    <w:p w14:paraId="0E009E9F"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Existen razones de peso para promover la innovación en tecnologías limpias en México. Este sector ha sido uno de los que ha tenido mayores tasas de crecimiento tanto en países desarrollados como en vías de desarrollo. Asimismo, ha probado aumentar significativamente la productividad de diversas industrias a la par de reducir desperdicios y gases de efecto invernadero.</w:t>
      </w:r>
    </w:p>
    <w:p w14:paraId="48D1F614"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De acuerdo con la más reciente Curva de Costos de Abatimiento de Gases de Efecto Invernadero en México, publicada por el Instituto Nacional de Ecología y Cambio Climático (INECC), las palancas relacionadas con la tecnología limpia tienen el potencial de reducir, a través de medidas rentables, 108 millones de toneladas de CO</w:t>
      </w:r>
      <w:r w:rsidRPr="000677B6">
        <w:rPr>
          <w:rFonts w:eastAsia="Calibri"/>
          <w:sz w:val="26"/>
          <w:szCs w:val="26"/>
          <w:vertAlign w:val="subscript"/>
          <w:lang w:val="es-ES" w:eastAsia="en-US"/>
        </w:rPr>
        <w:t>2</w:t>
      </w:r>
      <w:r w:rsidRPr="000677B6">
        <w:rPr>
          <w:rFonts w:eastAsia="Calibri"/>
          <w:sz w:val="26"/>
          <w:szCs w:val="26"/>
          <w:lang w:val="es-ES" w:eastAsia="en-US"/>
        </w:rPr>
        <w:t>e antes del 2020. El beneficio monetario promedio derivado de implementar dichas iniciativas se estima en cerca de 26 dólares por tonelada de carbono mitigada.</w:t>
      </w:r>
    </w:p>
    <w:p w14:paraId="39DA3F92"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Para entender la situación actual y el potencial de la innovación en tecnologías limpias en México, realizamos una encuesta extensiva a cerca de 200 emprendedores, complementada con 40 entrevistas individuales, así como un taller con expertos de la academia, emprendedores, instituciones financieras, sector privado y sociedad civil. Esta información fue complementada con un análisis del entorno vigente en política pública, así como por una investigación sobre emprendimientos en tecnologías limpias en el mundo.</w:t>
      </w:r>
    </w:p>
    <w:p w14:paraId="04C5A9DF" w14:textId="77777777" w:rsid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 xml:space="preserve">La encuesta nos permitió evaluar la situación actual de las tecnologías limpias en México. Con base en diez indicadores de Innovación y Comercialización propuestos por el Índice Global de Innovación en Tecnologías Limpias, desarrollado por el Fondo </w:t>
      </w:r>
      <w:r w:rsidRPr="000677B6">
        <w:rPr>
          <w:rFonts w:eastAsia="Calibri"/>
          <w:sz w:val="26"/>
          <w:szCs w:val="26"/>
          <w:lang w:val="es-ES" w:eastAsia="en-US"/>
        </w:rPr>
        <w:lastRenderedPageBreak/>
        <w:t xml:space="preserve">Mundial para la Naturaleza (WWF, por sus siglas en inglés) y el </w:t>
      </w:r>
      <w:r w:rsidRPr="000677B6">
        <w:rPr>
          <w:rFonts w:eastAsia="Calibri"/>
          <w:i/>
          <w:sz w:val="26"/>
          <w:szCs w:val="26"/>
          <w:lang w:val="es-ES" w:eastAsia="en-US"/>
        </w:rPr>
        <w:t>Cleantech Group</w:t>
      </w:r>
      <w:r w:rsidRPr="000677B6">
        <w:rPr>
          <w:rFonts w:eastAsia="Calibri"/>
          <w:sz w:val="26"/>
          <w:szCs w:val="26"/>
          <w:lang w:val="es-ES" w:eastAsia="en-US"/>
        </w:rPr>
        <w:t xml:space="preserve"> encontramos que la situación de este sector en México se encuentra en su etapa inicial.</w:t>
      </w:r>
    </w:p>
    <w:tbl>
      <w:tblPr>
        <w:tblW w:w="9722" w:type="dxa"/>
        <w:jc w:val="center"/>
        <w:tblLook w:val="04A0" w:firstRow="1" w:lastRow="0" w:firstColumn="1" w:lastColumn="0" w:noHBand="0" w:noVBand="1"/>
      </w:tblPr>
      <w:tblGrid>
        <w:gridCol w:w="3664"/>
        <w:gridCol w:w="1162"/>
        <w:gridCol w:w="3721"/>
        <w:gridCol w:w="1175"/>
      </w:tblGrid>
      <w:tr w:rsidR="000677B6" w:rsidRPr="000677B6" w14:paraId="18182B57" w14:textId="77777777" w:rsidTr="004E5485">
        <w:trPr>
          <w:jc w:val="center"/>
        </w:trPr>
        <w:tc>
          <w:tcPr>
            <w:tcW w:w="3664" w:type="dxa"/>
            <w:tcBorders>
              <w:top w:val="single" w:sz="4" w:space="0" w:color="auto"/>
              <w:left w:val="single" w:sz="4" w:space="0" w:color="auto"/>
              <w:bottom w:val="single" w:sz="4" w:space="0" w:color="auto"/>
              <w:right w:val="single" w:sz="4" w:space="0" w:color="auto"/>
            </w:tcBorders>
            <w:vAlign w:val="center"/>
          </w:tcPr>
          <w:p w14:paraId="2E127DB8" w14:textId="77777777" w:rsidR="000677B6" w:rsidRPr="000677B6" w:rsidRDefault="000677B6" w:rsidP="000677B6">
            <w:pPr>
              <w:spacing w:beforeLines="20" w:before="48" w:afterLines="20" w:after="48" w:line="276" w:lineRule="auto"/>
              <w:jc w:val="center"/>
              <w:rPr>
                <w:rFonts w:eastAsia="Calibri"/>
                <w:b/>
                <w:sz w:val="18"/>
                <w:szCs w:val="18"/>
                <w:lang w:val="es-ES" w:eastAsia="en-US"/>
              </w:rPr>
            </w:pPr>
            <w:r w:rsidRPr="000677B6">
              <w:rPr>
                <w:rFonts w:eastAsia="Calibri"/>
                <w:b/>
                <w:sz w:val="18"/>
                <w:szCs w:val="18"/>
                <w:lang w:val="es-ES" w:eastAsia="en-US"/>
              </w:rPr>
              <w:t>Innovación</w:t>
            </w:r>
          </w:p>
        </w:tc>
        <w:tc>
          <w:tcPr>
            <w:tcW w:w="1162" w:type="dxa"/>
            <w:tcBorders>
              <w:top w:val="single" w:sz="4" w:space="0" w:color="auto"/>
              <w:left w:val="single" w:sz="4" w:space="0" w:color="auto"/>
              <w:bottom w:val="single" w:sz="4" w:space="0" w:color="auto"/>
              <w:right w:val="single" w:sz="4" w:space="0" w:color="auto"/>
            </w:tcBorders>
            <w:vAlign w:val="center"/>
          </w:tcPr>
          <w:p w14:paraId="166DCE0B" w14:textId="77777777" w:rsidR="000677B6" w:rsidRPr="000677B6" w:rsidRDefault="000677B6" w:rsidP="000677B6">
            <w:pPr>
              <w:spacing w:beforeLines="20" w:before="48" w:afterLines="20" w:after="48" w:line="276" w:lineRule="auto"/>
              <w:jc w:val="center"/>
              <w:rPr>
                <w:rFonts w:eastAsia="Calibri"/>
                <w:b/>
                <w:sz w:val="18"/>
                <w:szCs w:val="18"/>
                <w:lang w:val="es-ES" w:eastAsia="en-US"/>
              </w:rPr>
            </w:pPr>
            <w:r w:rsidRPr="000677B6">
              <w:rPr>
                <w:rFonts w:eastAsia="Calibri"/>
                <w:b/>
                <w:sz w:val="18"/>
                <w:szCs w:val="18"/>
                <w:lang w:val="es-ES" w:eastAsia="en-US"/>
              </w:rPr>
              <w:t>Calificación</w:t>
            </w:r>
          </w:p>
        </w:tc>
        <w:tc>
          <w:tcPr>
            <w:tcW w:w="3721" w:type="dxa"/>
            <w:tcBorders>
              <w:top w:val="single" w:sz="4" w:space="0" w:color="auto"/>
              <w:left w:val="single" w:sz="4" w:space="0" w:color="auto"/>
              <w:bottom w:val="single" w:sz="4" w:space="0" w:color="auto"/>
              <w:right w:val="single" w:sz="4" w:space="0" w:color="auto"/>
            </w:tcBorders>
            <w:vAlign w:val="center"/>
          </w:tcPr>
          <w:p w14:paraId="0D863971" w14:textId="77777777" w:rsidR="000677B6" w:rsidRPr="000677B6" w:rsidRDefault="000677B6" w:rsidP="000677B6">
            <w:pPr>
              <w:spacing w:beforeLines="20" w:before="48" w:afterLines="20" w:after="48" w:line="276" w:lineRule="auto"/>
              <w:jc w:val="center"/>
              <w:rPr>
                <w:rFonts w:eastAsia="Calibri"/>
                <w:b/>
                <w:sz w:val="18"/>
                <w:szCs w:val="18"/>
                <w:lang w:val="es-ES" w:eastAsia="en-US"/>
              </w:rPr>
            </w:pPr>
            <w:r w:rsidRPr="000677B6">
              <w:rPr>
                <w:rFonts w:eastAsia="Calibri"/>
                <w:b/>
                <w:sz w:val="18"/>
                <w:szCs w:val="18"/>
                <w:lang w:val="es-ES" w:eastAsia="en-US"/>
              </w:rPr>
              <w:t>Comercialización</w:t>
            </w:r>
          </w:p>
        </w:tc>
        <w:tc>
          <w:tcPr>
            <w:tcW w:w="1175" w:type="dxa"/>
            <w:tcBorders>
              <w:top w:val="single" w:sz="4" w:space="0" w:color="auto"/>
              <w:left w:val="single" w:sz="4" w:space="0" w:color="auto"/>
              <w:bottom w:val="single" w:sz="4" w:space="0" w:color="auto"/>
              <w:right w:val="single" w:sz="4" w:space="0" w:color="auto"/>
            </w:tcBorders>
            <w:vAlign w:val="center"/>
          </w:tcPr>
          <w:p w14:paraId="7156556D" w14:textId="77777777" w:rsidR="000677B6" w:rsidRPr="000677B6" w:rsidRDefault="000677B6" w:rsidP="000677B6">
            <w:pPr>
              <w:spacing w:beforeLines="20" w:before="48" w:afterLines="20" w:after="48" w:line="276" w:lineRule="auto"/>
              <w:jc w:val="center"/>
              <w:rPr>
                <w:rFonts w:eastAsia="Calibri"/>
                <w:b/>
                <w:sz w:val="18"/>
                <w:szCs w:val="18"/>
                <w:lang w:val="es-ES" w:eastAsia="en-US"/>
              </w:rPr>
            </w:pPr>
            <w:r w:rsidRPr="000677B6">
              <w:rPr>
                <w:rFonts w:eastAsia="Calibri"/>
                <w:b/>
                <w:sz w:val="18"/>
                <w:szCs w:val="18"/>
                <w:lang w:val="es-ES" w:eastAsia="en-US"/>
              </w:rPr>
              <w:t>Calificación</w:t>
            </w:r>
          </w:p>
        </w:tc>
      </w:tr>
      <w:tr w:rsidR="000677B6" w:rsidRPr="000677B6" w14:paraId="650BC29F" w14:textId="77777777" w:rsidTr="004E5485">
        <w:trPr>
          <w:jc w:val="center"/>
        </w:trPr>
        <w:tc>
          <w:tcPr>
            <w:tcW w:w="3664" w:type="dxa"/>
            <w:tcBorders>
              <w:top w:val="single" w:sz="4" w:space="0" w:color="auto"/>
              <w:left w:val="single" w:sz="4" w:space="0" w:color="auto"/>
              <w:bottom w:val="nil"/>
              <w:right w:val="single" w:sz="4" w:space="0" w:color="auto"/>
            </w:tcBorders>
            <w:vAlign w:val="center"/>
          </w:tcPr>
          <w:p w14:paraId="72435C14" w14:textId="77777777" w:rsidR="000677B6" w:rsidRPr="000677B6" w:rsidRDefault="000677B6" w:rsidP="000677B6">
            <w:pPr>
              <w:spacing w:beforeLines="20" w:before="48" w:afterLines="20" w:after="48" w:line="276" w:lineRule="auto"/>
              <w:jc w:val="both"/>
              <w:rPr>
                <w:rFonts w:eastAsia="Calibri"/>
                <w:sz w:val="18"/>
                <w:szCs w:val="18"/>
                <w:lang w:val="es-ES" w:eastAsia="en-US"/>
              </w:rPr>
            </w:pPr>
            <w:r w:rsidRPr="000677B6">
              <w:rPr>
                <w:rFonts w:eastAsia="Calibri"/>
                <w:sz w:val="18"/>
                <w:szCs w:val="18"/>
                <w:lang w:val="es-ES" w:eastAsia="en-US"/>
              </w:rPr>
              <w:t>Inversión en Investigación y Desarrollo (I+D)</w:t>
            </w:r>
          </w:p>
        </w:tc>
        <w:tc>
          <w:tcPr>
            <w:tcW w:w="1162" w:type="dxa"/>
            <w:tcBorders>
              <w:top w:val="single" w:sz="4" w:space="0" w:color="auto"/>
              <w:left w:val="single" w:sz="4" w:space="0" w:color="auto"/>
              <w:bottom w:val="nil"/>
              <w:right w:val="single" w:sz="4" w:space="0" w:color="auto"/>
            </w:tcBorders>
            <w:vAlign w:val="center"/>
          </w:tcPr>
          <w:p w14:paraId="1D30634E" w14:textId="77777777" w:rsidR="000677B6" w:rsidRPr="000677B6" w:rsidRDefault="000677B6" w:rsidP="000677B6">
            <w:pPr>
              <w:spacing w:beforeLines="20" w:before="48" w:afterLines="20" w:after="48" w:line="276" w:lineRule="auto"/>
              <w:jc w:val="center"/>
              <w:rPr>
                <w:rFonts w:eastAsia="Calibri"/>
                <w:sz w:val="18"/>
                <w:szCs w:val="18"/>
                <w:lang w:val="es-ES" w:eastAsia="en-US"/>
              </w:rPr>
            </w:pPr>
            <w:r w:rsidRPr="000677B6">
              <w:rPr>
                <w:rFonts w:eastAsia="Calibri"/>
                <w:sz w:val="18"/>
                <w:szCs w:val="18"/>
                <w:lang w:val="es-ES" w:eastAsia="en-US"/>
              </w:rPr>
              <w:t>Bajo</w:t>
            </w:r>
          </w:p>
        </w:tc>
        <w:tc>
          <w:tcPr>
            <w:tcW w:w="3721" w:type="dxa"/>
            <w:tcBorders>
              <w:top w:val="single" w:sz="4" w:space="0" w:color="auto"/>
              <w:left w:val="single" w:sz="4" w:space="0" w:color="auto"/>
              <w:bottom w:val="nil"/>
              <w:right w:val="single" w:sz="4" w:space="0" w:color="auto"/>
            </w:tcBorders>
            <w:vAlign w:val="center"/>
          </w:tcPr>
          <w:p w14:paraId="645E5A83" w14:textId="77777777" w:rsidR="000677B6" w:rsidRPr="000677B6" w:rsidRDefault="000677B6" w:rsidP="000677B6">
            <w:pPr>
              <w:spacing w:beforeLines="20" w:before="48" w:afterLines="20" w:after="48" w:line="276" w:lineRule="auto"/>
              <w:jc w:val="both"/>
              <w:rPr>
                <w:rFonts w:eastAsia="Calibri"/>
                <w:sz w:val="18"/>
                <w:szCs w:val="18"/>
                <w:lang w:val="es-ES" w:eastAsia="en-US"/>
              </w:rPr>
            </w:pPr>
            <w:r w:rsidRPr="000677B6">
              <w:rPr>
                <w:rFonts w:eastAsia="Calibri"/>
                <w:sz w:val="18"/>
                <w:szCs w:val="18"/>
                <w:lang w:val="es-ES" w:eastAsia="en-US"/>
              </w:rPr>
              <w:t>Inversión en etapa de escalamiento</w:t>
            </w:r>
          </w:p>
        </w:tc>
        <w:tc>
          <w:tcPr>
            <w:tcW w:w="1175" w:type="dxa"/>
            <w:tcBorders>
              <w:top w:val="single" w:sz="4" w:space="0" w:color="auto"/>
              <w:left w:val="single" w:sz="4" w:space="0" w:color="auto"/>
              <w:bottom w:val="nil"/>
              <w:right w:val="single" w:sz="4" w:space="0" w:color="auto"/>
            </w:tcBorders>
            <w:vAlign w:val="center"/>
          </w:tcPr>
          <w:p w14:paraId="12C32FC1" w14:textId="77777777" w:rsidR="000677B6" w:rsidRPr="000677B6" w:rsidRDefault="000677B6" w:rsidP="000677B6">
            <w:pPr>
              <w:spacing w:beforeLines="20" w:before="48" w:afterLines="20" w:after="48" w:line="276" w:lineRule="auto"/>
              <w:jc w:val="center"/>
              <w:rPr>
                <w:rFonts w:eastAsia="Calibri"/>
                <w:sz w:val="18"/>
                <w:szCs w:val="18"/>
                <w:lang w:val="es-ES" w:eastAsia="en-US"/>
              </w:rPr>
            </w:pPr>
            <w:r w:rsidRPr="000677B6">
              <w:rPr>
                <w:rFonts w:eastAsia="Calibri"/>
                <w:sz w:val="18"/>
                <w:szCs w:val="18"/>
                <w:lang w:val="es-ES" w:eastAsia="en-US"/>
              </w:rPr>
              <w:t>Inexistente</w:t>
            </w:r>
          </w:p>
        </w:tc>
      </w:tr>
      <w:tr w:rsidR="000677B6" w:rsidRPr="000677B6" w14:paraId="3F751CDA" w14:textId="77777777" w:rsidTr="004E5485">
        <w:trPr>
          <w:jc w:val="center"/>
        </w:trPr>
        <w:tc>
          <w:tcPr>
            <w:tcW w:w="3664" w:type="dxa"/>
            <w:tcBorders>
              <w:top w:val="nil"/>
              <w:left w:val="single" w:sz="4" w:space="0" w:color="auto"/>
              <w:bottom w:val="nil"/>
              <w:right w:val="single" w:sz="4" w:space="0" w:color="auto"/>
            </w:tcBorders>
            <w:vAlign w:val="center"/>
          </w:tcPr>
          <w:p w14:paraId="0F3640DB" w14:textId="77777777" w:rsidR="000677B6" w:rsidRPr="000677B6" w:rsidRDefault="000677B6" w:rsidP="000677B6">
            <w:pPr>
              <w:spacing w:beforeLines="20" w:before="48" w:afterLines="20" w:after="48" w:line="276" w:lineRule="auto"/>
              <w:jc w:val="both"/>
              <w:rPr>
                <w:rFonts w:eastAsia="Calibri"/>
                <w:sz w:val="18"/>
                <w:szCs w:val="18"/>
                <w:lang w:val="es-ES" w:eastAsia="en-US"/>
              </w:rPr>
            </w:pPr>
            <w:r w:rsidRPr="000677B6">
              <w:rPr>
                <w:rFonts w:eastAsia="Calibri"/>
                <w:sz w:val="18"/>
                <w:szCs w:val="18"/>
                <w:lang w:val="es-ES" w:eastAsia="en-US"/>
              </w:rPr>
              <w:t>Patentamiento Cleantech</w:t>
            </w:r>
          </w:p>
        </w:tc>
        <w:tc>
          <w:tcPr>
            <w:tcW w:w="1162" w:type="dxa"/>
            <w:tcBorders>
              <w:top w:val="nil"/>
              <w:left w:val="single" w:sz="4" w:space="0" w:color="auto"/>
              <w:bottom w:val="nil"/>
              <w:right w:val="single" w:sz="4" w:space="0" w:color="auto"/>
            </w:tcBorders>
            <w:vAlign w:val="center"/>
          </w:tcPr>
          <w:p w14:paraId="2F62C509" w14:textId="77777777" w:rsidR="000677B6" w:rsidRPr="000677B6" w:rsidRDefault="000677B6" w:rsidP="000677B6">
            <w:pPr>
              <w:spacing w:beforeLines="20" w:before="48" w:afterLines="20" w:after="48" w:line="276" w:lineRule="auto"/>
              <w:jc w:val="center"/>
              <w:rPr>
                <w:rFonts w:eastAsia="Calibri"/>
                <w:sz w:val="18"/>
                <w:szCs w:val="18"/>
                <w:lang w:val="es-ES" w:eastAsia="en-US"/>
              </w:rPr>
            </w:pPr>
            <w:r w:rsidRPr="000677B6">
              <w:rPr>
                <w:rFonts w:eastAsia="Calibri"/>
                <w:sz w:val="18"/>
                <w:szCs w:val="18"/>
                <w:lang w:val="es-ES" w:eastAsia="en-US"/>
              </w:rPr>
              <w:t>Medio</w:t>
            </w:r>
          </w:p>
        </w:tc>
        <w:tc>
          <w:tcPr>
            <w:tcW w:w="3721" w:type="dxa"/>
            <w:tcBorders>
              <w:top w:val="nil"/>
              <w:left w:val="single" w:sz="4" w:space="0" w:color="auto"/>
              <w:bottom w:val="nil"/>
              <w:right w:val="single" w:sz="4" w:space="0" w:color="auto"/>
            </w:tcBorders>
            <w:vAlign w:val="center"/>
          </w:tcPr>
          <w:p w14:paraId="7B2DBBF0" w14:textId="77777777" w:rsidR="000677B6" w:rsidRPr="000677B6" w:rsidRDefault="000677B6" w:rsidP="000677B6">
            <w:pPr>
              <w:spacing w:beforeLines="20" w:before="48" w:afterLines="20" w:after="48" w:line="276" w:lineRule="auto"/>
              <w:jc w:val="both"/>
              <w:rPr>
                <w:rFonts w:eastAsia="Calibri"/>
                <w:sz w:val="18"/>
                <w:szCs w:val="18"/>
                <w:lang w:val="es-ES" w:eastAsia="en-US"/>
              </w:rPr>
            </w:pPr>
            <w:r w:rsidRPr="000677B6">
              <w:rPr>
                <w:rFonts w:eastAsia="Calibri"/>
                <w:sz w:val="18"/>
                <w:szCs w:val="18"/>
                <w:lang w:val="es-ES" w:eastAsia="en-US"/>
              </w:rPr>
              <w:t>Salidas exitosas y recuperación de inversiones</w:t>
            </w:r>
          </w:p>
        </w:tc>
        <w:tc>
          <w:tcPr>
            <w:tcW w:w="1175" w:type="dxa"/>
            <w:tcBorders>
              <w:top w:val="nil"/>
              <w:left w:val="single" w:sz="4" w:space="0" w:color="auto"/>
              <w:bottom w:val="nil"/>
              <w:right w:val="single" w:sz="4" w:space="0" w:color="auto"/>
            </w:tcBorders>
            <w:vAlign w:val="center"/>
          </w:tcPr>
          <w:p w14:paraId="248FE5F1" w14:textId="77777777" w:rsidR="000677B6" w:rsidRPr="000677B6" w:rsidRDefault="000677B6" w:rsidP="000677B6">
            <w:pPr>
              <w:spacing w:beforeLines="20" w:before="48" w:afterLines="20" w:after="48" w:line="276" w:lineRule="auto"/>
              <w:jc w:val="center"/>
              <w:rPr>
                <w:rFonts w:eastAsia="Calibri"/>
                <w:sz w:val="18"/>
                <w:szCs w:val="18"/>
                <w:lang w:val="es-ES" w:eastAsia="en-US"/>
              </w:rPr>
            </w:pPr>
            <w:r w:rsidRPr="000677B6">
              <w:rPr>
                <w:rFonts w:eastAsia="Calibri"/>
                <w:sz w:val="18"/>
                <w:szCs w:val="18"/>
                <w:lang w:val="es-ES" w:eastAsia="en-US"/>
              </w:rPr>
              <w:t>Bajo</w:t>
            </w:r>
          </w:p>
        </w:tc>
      </w:tr>
      <w:tr w:rsidR="000677B6" w:rsidRPr="000677B6" w14:paraId="70EF89FD" w14:textId="77777777" w:rsidTr="004E5485">
        <w:trPr>
          <w:jc w:val="center"/>
        </w:trPr>
        <w:tc>
          <w:tcPr>
            <w:tcW w:w="3664" w:type="dxa"/>
            <w:tcBorders>
              <w:top w:val="nil"/>
              <w:left w:val="single" w:sz="4" w:space="0" w:color="auto"/>
              <w:bottom w:val="nil"/>
              <w:right w:val="single" w:sz="4" w:space="0" w:color="auto"/>
            </w:tcBorders>
            <w:vAlign w:val="center"/>
          </w:tcPr>
          <w:p w14:paraId="0AE0A9EB" w14:textId="77777777" w:rsidR="000677B6" w:rsidRPr="000677B6" w:rsidRDefault="000677B6" w:rsidP="000677B6">
            <w:pPr>
              <w:spacing w:beforeLines="20" w:before="48" w:afterLines="20" w:after="48" w:line="276" w:lineRule="auto"/>
              <w:jc w:val="both"/>
              <w:rPr>
                <w:rFonts w:eastAsia="Calibri"/>
                <w:sz w:val="18"/>
                <w:szCs w:val="18"/>
                <w:lang w:val="es-ES" w:eastAsia="en-US"/>
              </w:rPr>
            </w:pPr>
            <w:r w:rsidRPr="000677B6">
              <w:rPr>
                <w:rFonts w:eastAsia="Calibri"/>
                <w:sz w:val="18"/>
                <w:szCs w:val="18"/>
                <w:lang w:val="es-ES" w:eastAsia="en-US"/>
              </w:rPr>
              <w:t>Empresas dedicadas a Cleantech</w:t>
            </w:r>
          </w:p>
        </w:tc>
        <w:tc>
          <w:tcPr>
            <w:tcW w:w="1162" w:type="dxa"/>
            <w:tcBorders>
              <w:top w:val="nil"/>
              <w:left w:val="single" w:sz="4" w:space="0" w:color="auto"/>
              <w:bottom w:val="nil"/>
              <w:right w:val="single" w:sz="4" w:space="0" w:color="auto"/>
            </w:tcBorders>
            <w:vAlign w:val="center"/>
          </w:tcPr>
          <w:p w14:paraId="67E3643A" w14:textId="77777777" w:rsidR="000677B6" w:rsidRPr="000677B6" w:rsidRDefault="000677B6" w:rsidP="000677B6">
            <w:pPr>
              <w:spacing w:beforeLines="20" w:before="48" w:afterLines="20" w:after="48" w:line="276" w:lineRule="auto"/>
              <w:jc w:val="center"/>
              <w:rPr>
                <w:rFonts w:eastAsia="Calibri"/>
                <w:sz w:val="18"/>
                <w:szCs w:val="18"/>
                <w:lang w:val="es-ES" w:eastAsia="en-US"/>
              </w:rPr>
            </w:pPr>
            <w:r w:rsidRPr="000677B6">
              <w:rPr>
                <w:rFonts w:eastAsia="Calibri"/>
                <w:sz w:val="18"/>
                <w:szCs w:val="18"/>
                <w:lang w:val="es-ES" w:eastAsia="en-US"/>
              </w:rPr>
              <w:t>Bajo</w:t>
            </w:r>
          </w:p>
        </w:tc>
        <w:tc>
          <w:tcPr>
            <w:tcW w:w="3721" w:type="dxa"/>
            <w:tcBorders>
              <w:top w:val="nil"/>
              <w:left w:val="single" w:sz="4" w:space="0" w:color="auto"/>
              <w:bottom w:val="nil"/>
              <w:right w:val="single" w:sz="4" w:space="0" w:color="auto"/>
            </w:tcBorders>
            <w:vAlign w:val="center"/>
          </w:tcPr>
          <w:p w14:paraId="1988E654" w14:textId="77777777" w:rsidR="000677B6" w:rsidRPr="000677B6" w:rsidRDefault="000677B6" w:rsidP="000677B6">
            <w:pPr>
              <w:spacing w:beforeLines="20" w:before="48" w:afterLines="20" w:after="48" w:line="276" w:lineRule="auto"/>
              <w:jc w:val="both"/>
              <w:rPr>
                <w:rFonts w:eastAsia="Calibri"/>
                <w:sz w:val="18"/>
                <w:szCs w:val="18"/>
                <w:lang w:val="es-ES" w:eastAsia="en-US"/>
              </w:rPr>
            </w:pPr>
            <w:r w:rsidRPr="000677B6">
              <w:rPr>
                <w:rFonts w:eastAsia="Calibri"/>
                <w:sz w:val="18"/>
                <w:szCs w:val="18"/>
                <w:lang w:val="es-ES" w:eastAsia="en-US"/>
              </w:rPr>
              <w:t>Grado de conglomeración (número de clústers)</w:t>
            </w:r>
          </w:p>
        </w:tc>
        <w:tc>
          <w:tcPr>
            <w:tcW w:w="1175" w:type="dxa"/>
            <w:tcBorders>
              <w:top w:val="nil"/>
              <w:left w:val="single" w:sz="4" w:space="0" w:color="auto"/>
              <w:bottom w:val="nil"/>
              <w:right w:val="single" w:sz="4" w:space="0" w:color="auto"/>
            </w:tcBorders>
            <w:vAlign w:val="center"/>
          </w:tcPr>
          <w:p w14:paraId="33F8F584" w14:textId="77777777" w:rsidR="000677B6" w:rsidRPr="000677B6" w:rsidRDefault="000677B6" w:rsidP="000677B6">
            <w:pPr>
              <w:spacing w:beforeLines="20" w:before="48" w:afterLines="20" w:after="48" w:line="276" w:lineRule="auto"/>
              <w:jc w:val="center"/>
              <w:rPr>
                <w:rFonts w:eastAsia="Calibri"/>
                <w:sz w:val="18"/>
                <w:szCs w:val="18"/>
                <w:lang w:val="es-ES" w:eastAsia="en-US"/>
              </w:rPr>
            </w:pPr>
            <w:r w:rsidRPr="000677B6">
              <w:rPr>
                <w:rFonts w:eastAsia="Calibri"/>
                <w:sz w:val="18"/>
                <w:szCs w:val="18"/>
                <w:lang w:val="es-ES" w:eastAsia="en-US"/>
              </w:rPr>
              <w:t>Inexistente</w:t>
            </w:r>
          </w:p>
        </w:tc>
      </w:tr>
      <w:tr w:rsidR="000677B6" w:rsidRPr="000677B6" w14:paraId="7ED08D1B" w14:textId="77777777" w:rsidTr="004E5485">
        <w:trPr>
          <w:jc w:val="center"/>
        </w:trPr>
        <w:tc>
          <w:tcPr>
            <w:tcW w:w="3664" w:type="dxa"/>
            <w:tcBorders>
              <w:top w:val="nil"/>
              <w:left w:val="single" w:sz="4" w:space="0" w:color="auto"/>
              <w:bottom w:val="nil"/>
              <w:right w:val="single" w:sz="4" w:space="0" w:color="auto"/>
            </w:tcBorders>
            <w:vAlign w:val="center"/>
          </w:tcPr>
          <w:p w14:paraId="308DA23A" w14:textId="77777777" w:rsidR="000677B6" w:rsidRPr="000677B6" w:rsidRDefault="000677B6" w:rsidP="000677B6">
            <w:pPr>
              <w:spacing w:beforeLines="20" w:before="48" w:afterLines="20" w:after="48" w:line="276" w:lineRule="auto"/>
              <w:jc w:val="both"/>
              <w:rPr>
                <w:rFonts w:eastAsia="Calibri"/>
                <w:sz w:val="18"/>
                <w:szCs w:val="18"/>
                <w:lang w:val="es-ES" w:eastAsia="en-US"/>
              </w:rPr>
            </w:pPr>
            <w:r w:rsidRPr="000677B6">
              <w:rPr>
                <w:rFonts w:eastAsia="Calibri"/>
                <w:sz w:val="18"/>
                <w:szCs w:val="18"/>
                <w:lang w:val="es-ES" w:eastAsia="en-US"/>
              </w:rPr>
              <w:t>Capital Humano</w:t>
            </w:r>
          </w:p>
        </w:tc>
        <w:tc>
          <w:tcPr>
            <w:tcW w:w="1162" w:type="dxa"/>
            <w:tcBorders>
              <w:top w:val="nil"/>
              <w:left w:val="single" w:sz="4" w:space="0" w:color="auto"/>
              <w:bottom w:val="nil"/>
              <w:right w:val="single" w:sz="4" w:space="0" w:color="auto"/>
            </w:tcBorders>
            <w:vAlign w:val="center"/>
          </w:tcPr>
          <w:p w14:paraId="44955387" w14:textId="77777777" w:rsidR="000677B6" w:rsidRPr="000677B6" w:rsidRDefault="000677B6" w:rsidP="000677B6">
            <w:pPr>
              <w:spacing w:beforeLines="20" w:before="48" w:afterLines="20" w:after="48" w:line="276" w:lineRule="auto"/>
              <w:jc w:val="center"/>
              <w:rPr>
                <w:rFonts w:eastAsia="Calibri"/>
                <w:sz w:val="18"/>
                <w:szCs w:val="18"/>
                <w:lang w:val="es-ES" w:eastAsia="en-US"/>
              </w:rPr>
            </w:pPr>
            <w:r w:rsidRPr="000677B6">
              <w:rPr>
                <w:rFonts w:eastAsia="Calibri"/>
                <w:sz w:val="18"/>
                <w:szCs w:val="18"/>
                <w:lang w:val="es-ES" w:eastAsia="en-US"/>
              </w:rPr>
              <w:t>Medio</w:t>
            </w:r>
          </w:p>
        </w:tc>
        <w:tc>
          <w:tcPr>
            <w:tcW w:w="3721" w:type="dxa"/>
            <w:tcBorders>
              <w:top w:val="nil"/>
              <w:left w:val="single" w:sz="4" w:space="0" w:color="auto"/>
              <w:bottom w:val="nil"/>
              <w:right w:val="single" w:sz="4" w:space="0" w:color="auto"/>
            </w:tcBorders>
            <w:vAlign w:val="center"/>
          </w:tcPr>
          <w:p w14:paraId="2FB22E52" w14:textId="77777777" w:rsidR="000677B6" w:rsidRPr="000677B6" w:rsidRDefault="000677B6" w:rsidP="000677B6">
            <w:pPr>
              <w:spacing w:beforeLines="20" w:before="48" w:afterLines="20" w:after="48" w:line="276" w:lineRule="auto"/>
              <w:jc w:val="both"/>
              <w:rPr>
                <w:rFonts w:eastAsia="Calibri"/>
                <w:sz w:val="18"/>
                <w:szCs w:val="18"/>
                <w:lang w:val="es-ES" w:eastAsia="en-US"/>
              </w:rPr>
            </w:pPr>
            <w:r w:rsidRPr="000677B6">
              <w:rPr>
                <w:rFonts w:eastAsia="Calibri"/>
                <w:sz w:val="18"/>
                <w:szCs w:val="18"/>
                <w:lang w:val="es-ES" w:eastAsia="en-US"/>
              </w:rPr>
              <w:t>Grado de internacionalización (ventas al extranjero)</w:t>
            </w:r>
          </w:p>
        </w:tc>
        <w:tc>
          <w:tcPr>
            <w:tcW w:w="1175" w:type="dxa"/>
            <w:tcBorders>
              <w:top w:val="nil"/>
              <w:left w:val="single" w:sz="4" w:space="0" w:color="auto"/>
              <w:bottom w:val="nil"/>
              <w:right w:val="single" w:sz="4" w:space="0" w:color="auto"/>
            </w:tcBorders>
            <w:vAlign w:val="center"/>
          </w:tcPr>
          <w:p w14:paraId="61A7D62E" w14:textId="77777777" w:rsidR="000677B6" w:rsidRPr="000677B6" w:rsidRDefault="000677B6" w:rsidP="000677B6">
            <w:pPr>
              <w:spacing w:beforeLines="20" w:before="48" w:afterLines="20" w:after="48" w:line="276" w:lineRule="auto"/>
              <w:jc w:val="center"/>
              <w:rPr>
                <w:rFonts w:eastAsia="Calibri"/>
                <w:sz w:val="18"/>
                <w:szCs w:val="18"/>
                <w:lang w:val="es-ES" w:eastAsia="en-US"/>
              </w:rPr>
            </w:pPr>
            <w:r w:rsidRPr="000677B6">
              <w:rPr>
                <w:rFonts w:eastAsia="Calibri"/>
                <w:sz w:val="18"/>
                <w:szCs w:val="18"/>
                <w:lang w:val="es-ES" w:eastAsia="en-US"/>
              </w:rPr>
              <w:t>Bajo</w:t>
            </w:r>
          </w:p>
        </w:tc>
      </w:tr>
      <w:tr w:rsidR="000677B6" w:rsidRPr="000677B6" w14:paraId="5840E211" w14:textId="77777777" w:rsidTr="004E5485">
        <w:trPr>
          <w:jc w:val="center"/>
        </w:trPr>
        <w:tc>
          <w:tcPr>
            <w:tcW w:w="3664" w:type="dxa"/>
            <w:tcBorders>
              <w:top w:val="nil"/>
              <w:left w:val="single" w:sz="4" w:space="0" w:color="auto"/>
              <w:bottom w:val="single" w:sz="4" w:space="0" w:color="auto"/>
              <w:right w:val="single" w:sz="4" w:space="0" w:color="auto"/>
            </w:tcBorders>
            <w:vAlign w:val="center"/>
          </w:tcPr>
          <w:p w14:paraId="21C24251" w14:textId="77777777" w:rsidR="000677B6" w:rsidRPr="000677B6" w:rsidRDefault="000677B6" w:rsidP="000677B6">
            <w:pPr>
              <w:spacing w:beforeLines="20" w:before="48" w:afterLines="20" w:after="48" w:line="276" w:lineRule="auto"/>
              <w:jc w:val="both"/>
              <w:rPr>
                <w:rFonts w:eastAsia="Calibri"/>
                <w:sz w:val="18"/>
                <w:szCs w:val="18"/>
                <w:lang w:val="es-ES" w:eastAsia="en-US"/>
              </w:rPr>
            </w:pPr>
            <w:r w:rsidRPr="000677B6">
              <w:rPr>
                <w:rFonts w:eastAsia="Calibri"/>
                <w:sz w:val="18"/>
                <w:szCs w:val="18"/>
                <w:lang w:val="es-ES" w:eastAsia="en-US"/>
              </w:rPr>
              <w:t>Uso de ventaja competitiva</w:t>
            </w:r>
          </w:p>
        </w:tc>
        <w:tc>
          <w:tcPr>
            <w:tcW w:w="1162" w:type="dxa"/>
            <w:tcBorders>
              <w:top w:val="nil"/>
              <w:left w:val="single" w:sz="4" w:space="0" w:color="auto"/>
              <w:bottom w:val="single" w:sz="4" w:space="0" w:color="auto"/>
              <w:right w:val="single" w:sz="4" w:space="0" w:color="auto"/>
            </w:tcBorders>
            <w:vAlign w:val="center"/>
          </w:tcPr>
          <w:p w14:paraId="3476DA7E" w14:textId="77777777" w:rsidR="000677B6" w:rsidRPr="000677B6" w:rsidRDefault="000677B6" w:rsidP="000677B6">
            <w:pPr>
              <w:spacing w:beforeLines="20" w:before="48" w:afterLines="20" w:after="48" w:line="276" w:lineRule="auto"/>
              <w:jc w:val="center"/>
              <w:rPr>
                <w:rFonts w:eastAsia="Calibri"/>
                <w:sz w:val="18"/>
                <w:szCs w:val="18"/>
                <w:lang w:val="es-ES" w:eastAsia="en-US"/>
              </w:rPr>
            </w:pPr>
            <w:r w:rsidRPr="000677B6">
              <w:rPr>
                <w:rFonts w:eastAsia="Calibri"/>
                <w:sz w:val="18"/>
                <w:szCs w:val="18"/>
                <w:lang w:val="es-ES" w:eastAsia="en-US"/>
              </w:rPr>
              <w:t>Bajo</w:t>
            </w:r>
          </w:p>
        </w:tc>
        <w:tc>
          <w:tcPr>
            <w:tcW w:w="3721" w:type="dxa"/>
            <w:tcBorders>
              <w:top w:val="nil"/>
              <w:left w:val="single" w:sz="4" w:space="0" w:color="auto"/>
              <w:bottom w:val="single" w:sz="4" w:space="0" w:color="auto"/>
              <w:right w:val="single" w:sz="4" w:space="0" w:color="auto"/>
            </w:tcBorders>
            <w:vAlign w:val="center"/>
          </w:tcPr>
          <w:p w14:paraId="4EA8EF09" w14:textId="77777777" w:rsidR="000677B6" w:rsidRPr="000677B6" w:rsidRDefault="000677B6" w:rsidP="000677B6">
            <w:pPr>
              <w:spacing w:beforeLines="20" w:before="48" w:afterLines="20" w:after="48" w:line="276" w:lineRule="auto"/>
              <w:jc w:val="both"/>
              <w:rPr>
                <w:rFonts w:eastAsia="Calibri"/>
                <w:sz w:val="18"/>
                <w:szCs w:val="18"/>
                <w:lang w:val="es-ES" w:eastAsia="en-US"/>
              </w:rPr>
            </w:pPr>
          </w:p>
        </w:tc>
        <w:tc>
          <w:tcPr>
            <w:tcW w:w="1175" w:type="dxa"/>
            <w:tcBorders>
              <w:top w:val="nil"/>
              <w:left w:val="single" w:sz="4" w:space="0" w:color="auto"/>
              <w:bottom w:val="single" w:sz="4" w:space="0" w:color="auto"/>
              <w:right w:val="single" w:sz="4" w:space="0" w:color="auto"/>
            </w:tcBorders>
            <w:vAlign w:val="center"/>
          </w:tcPr>
          <w:p w14:paraId="41E70F40" w14:textId="77777777" w:rsidR="000677B6" w:rsidRPr="000677B6" w:rsidRDefault="000677B6" w:rsidP="000677B6">
            <w:pPr>
              <w:spacing w:beforeLines="20" w:before="48" w:afterLines="20" w:after="48" w:line="276" w:lineRule="auto"/>
              <w:jc w:val="both"/>
              <w:rPr>
                <w:rFonts w:eastAsia="Calibri"/>
                <w:sz w:val="18"/>
                <w:szCs w:val="18"/>
                <w:lang w:val="es-ES" w:eastAsia="en-US"/>
              </w:rPr>
            </w:pPr>
          </w:p>
        </w:tc>
      </w:tr>
      <w:tr w:rsidR="000677B6" w:rsidRPr="000677B6" w14:paraId="07E872E3" w14:textId="77777777" w:rsidTr="00082E99">
        <w:trPr>
          <w:jc w:val="center"/>
        </w:trPr>
        <w:tc>
          <w:tcPr>
            <w:tcW w:w="9722" w:type="dxa"/>
            <w:gridSpan w:val="4"/>
            <w:tcBorders>
              <w:top w:val="single" w:sz="4" w:space="0" w:color="auto"/>
              <w:left w:val="nil"/>
              <w:bottom w:val="nil"/>
              <w:right w:val="nil"/>
            </w:tcBorders>
            <w:vAlign w:val="center"/>
          </w:tcPr>
          <w:p w14:paraId="4C2D7B85" w14:textId="77777777" w:rsidR="000677B6" w:rsidRPr="000677B6" w:rsidRDefault="000677B6" w:rsidP="000677B6">
            <w:pPr>
              <w:spacing w:beforeLines="20" w:before="48" w:afterLines="20" w:after="48" w:line="276" w:lineRule="auto"/>
              <w:jc w:val="both"/>
              <w:rPr>
                <w:rFonts w:eastAsia="Calibri"/>
                <w:sz w:val="20"/>
                <w:szCs w:val="20"/>
                <w:lang w:val="es-ES" w:eastAsia="en-US"/>
              </w:rPr>
            </w:pPr>
            <w:r w:rsidRPr="000677B6">
              <w:rPr>
                <w:rFonts w:eastAsia="Calibri"/>
                <w:sz w:val="20"/>
                <w:szCs w:val="20"/>
                <w:lang w:val="es-ES" w:eastAsia="en-US"/>
              </w:rPr>
              <w:t>FUENTE: IMCO.</w:t>
            </w:r>
          </w:p>
        </w:tc>
      </w:tr>
    </w:tbl>
    <w:p w14:paraId="7B8C3292" w14:textId="77777777" w:rsidR="000677B6" w:rsidRPr="000677B6" w:rsidRDefault="000677B6" w:rsidP="000677B6">
      <w:pPr>
        <w:spacing w:after="360" w:line="360" w:lineRule="auto"/>
        <w:ind w:right="-159"/>
        <w:jc w:val="both"/>
        <w:rPr>
          <w:rFonts w:eastAsia="Calibri"/>
          <w:sz w:val="26"/>
          <w:szCs w:val="26"/>
          <w:lang w:val="es-ES" w:eastAsia="en-US"/>
        </w:rPr>
      </w:pPr>
    </w:p>
    <w:p w14:paraId="4C7D0F83"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Como muestra el cuadro anterior, ambos grupos de indicadores revelaron calificaciones bajas para la mayoría de las variables, comparadas con el resto de los países de la Organización para la Cooperación y el Desarrollo Económicos (OCDE). En particular, resalta la proporción tan baja de solicitudes de patentes de inventores mexicanos ante el Instituto Mexicano para la Protección Intelectual (IMPI) (menor a 8% del total de solicitudes), la inexistente inversión en etapa de escalamiento, el bajo número de compañías consolidadas (solo una registró venta de activos), la ausencia de clústeres, así como una pequeña proporción de compañías con presencia en mercados internacionales. De acuerdo con nuestro análisis, esta realidad puede explicarse por las siguientes razones:</w:t>
      </w:r>
    </w:p>
    <w:p w14:paraId="74C8F3D2" w14:textId="009DBC35" w:rsidR="000677B6" w:rsidRPr="000677B6" w:rsidRDefault="000677B6" w:rsidP="00276F3E">
      <w:pPr>
        <w:numPr>
          <w:ilvl w:val="0"/>
          <w:numId w:val="65"/>
        </w:numPr>
        <w:spacing w:after="360" w:line="360" w:lineRule="auto"/>
        <w:ind w:left="568" w:right="-159" w:hanging="284"/>
        <w:jc w:val="both"/>
        <w:rPr>
          <w:rFonts w:eastAsia="Calibri"/>
          <w:sz w:val="26"/>
          <w:szCs w:val="26"/>
          <w:lang w:val="es-ES" w:eastAsia="en-US"/>
        </w:rPr>
      </w:pPr>
      <w:r w:rsidRPr="000677B6">
        <w:rPr>
          <w:rFonts w:eastAsia="Calibri"/>
          <w:b/>
          <w:sz w:val="26"/>
          <w:szCs w:val="26"/>
          <w:lang w:val="es-ES" w:eastAsia="en-US"/>
        </w:rPr>
        <w:t>Las políticas existentes están desvinculadas y no han tenido un impacto directo para promover la innovación en tecnologías limpias</w:t>
      </w:r>
      <w:r w:rsidRPr="000677B6">
        <w:rPr>
          <w:rFonts w:eastAsia="Calibri"/>
          <w:sz w:val="26"/>
          <w:szCs w:val="26"/>
          <w:lang w:val="es-ES" w:eastAsia="en-US"/>
        </w:rPr>
        <w:t>. A pesar de que existen políticas explícitas para promover el emprendedurismo y la innovación, la mayoría carecen de coordinación entre sí, pocas comparten objetivos comunes y rara vez consideran incentivos directos para emprendedores cleantech. Para empezar, no existe un estudio que determine las tecnologías limpias con la mayor ventaja competitiva para México y</w:t>
      </w:r>
      <w:r w:rsidR="00C676DA">
        <w:rPr>
          <w:rFonts w:eastAsia="Calibri"/>
          <w:sz w:val="26"/>
          <w:szCs w:val="26"/>
          <w:lang w:val="es-ES" w:eastAsia="en-US"/>
        </w:rPr>
        <w:t>,</w:t>
      </w:r>
      <w:r w:rsidRPr="000677B6">
        <w:rPr>
          <w:rFonts w:eastAsia="Calibri"/>
          <w:sz w:val="26"/>
          <w:szCs w:val="26"/>
          <w:lang w:val="es-ES" w:eastAsia="en-US"/>
        </w:rPr>
        <w:t xml:space="preserve"> por lo tanto, tampoco políticas específicas para orientar su desarrollo.</w:t>
      </w:r>
    </w:p>
    <w:p w14:paraId="5C3EBA52" w14:textId="77777777" w:rsidR="000677B6" w:rsidRPr="000677B6" w:rsidRDefault="000677B6" w:rsidP="00276F3E">
      <w:pPr>
        <w:numPr>
          <w:ilvl w:val="0"/>
          <w:numId w:val="65"/>
        </w:numPr>
        <w:spacing w:after="360" w:line="360" w:lineRule="auto"/>
        <w:ind w:left="568" w:right="-159" w:hanging="284"/>
        <w:jc w:val="both"/>
        <w:rPr>
          <w:rFonts w:eastAsia="Calibri"/>
          <w:sz w:val="26"/>
          <w:szCs w:val="26"/>
          <w:lang w:val="es-ES" w:eastAsia="en-US"/>
        </w:rPr>
      </w:pPr>
      <w:r w:rsidRPr="000677B6">
        <w:rPr>
          <w:rFonts w:eastAsia="Calibri"/>
          <w:b/>
          <w:sz w:val="26"/>
          <w:szCs w:val="26"/>
          <w:lang w:val="es-ES" w:eastAsia="en-US"/>
        </w:rPr>
        <w:lastRenderedPageBreak/>
        <w:t>Bajo cumplimiento de la regulación ambiental y existencia de incentivos perversos</w:t>
      </w:r>
      <w:r w:rsidRPr="000677B6">
        <w:rPr>
          <w:rFonts w:eastAsia="Calibri"/>
          <w:sz w:val="26"/>
          <w:szCs w:val="26"/>
          <w:lang w:val="es-ES" w:eastAsia="en-US"/>
        </w:rPr>
        <w:t>. A pesar de que existen regulaciones ambientales de diversa índole, algunas de ellas de clase mundial, el entramado institucional falla en detectar su incumplimiento y aplicar sanciones, resultando en una barrera para el crecimiento verde en una gama de sectores. Más aún, la existencia de subsidios perversos, sobre todo en la electricidad y el agua, retrasan la adopción de tecnologías limpias y contribuyen a la sobreexplotación de recursos como el agua en el sector agrícola.</w:t>
      </w:r>
    </w:p>
    <w:p w14:paraId="6D7EBF84" w14:textId="77777777" w:rsidR="000677B6" w:rsidRPr="000677B6" w:rsidRDefault="000677B6" w:rsidP="00276F3E">
      <w:pPr>
        <w:numPr>
          <w:ilvl w:val="0"/>
          <w:numId w:val="65"/>
        </w:numPr>
        <w:spacing w:after="360" w:line="360" w:lineRule="auto"/>
        <w:ind w:left="568" w:right="-159" w:hanging="284"/>
        <w:jc w:val="both"/>
        <w:rPr>
          <w:rFonts w:eastAsia="Calibri"/>
          <w:sz w:val="26"/>
          <w:szCs w:val="26"/>
          <w:lang w:val="es-ES" w:eastAsia="en-US"/>
        </w:rPr>
      </w:pPr>
      <w:r w:rsidRPr="000677B6">
        <w:rPr>
          <w:rFonts w:eastAsia="Calibri"/>
          <w:b/>
          <w:sz w:val="26"/>
          <w:szCs w:val="26"/>
          <w:lang w:val="es-ES" w:eastAsia="en-US"/>
        </w:rPr>
        <w:t>Falta de incentivos y vínculos entre academia e industria</w:t>
      </w:r>
      <w:r w:rsidRPr="000677B6">
        <w:rPr>
          <w:rFonts w:eastAsia="Calibri"/>
          <w:sz w:val="26"/>
          <w:szCs w:val="26"/>
          <w:lang w:val="es-ES" w:eastAsia="en-US"/>
        </w:rPr>
        <w:t>. Actualmente, la mayor parte del financiamiento disponible para empresas de reciente creación en México proviene del gobierno federal (60%). Sin embargo, en términos de volumen, estos recursos representan un 0.5% del Producto Interno Bruto (PIB), mientras que en promedio, los países de la OCDE invierten un 2.4% de su PIB en este rubro. Asimismo, solo el 2% del presupuesto federal invertido en investigación y desarrollo tiene como objetivo el desarrollo de tecnologías limpias, por lo que no existe financiamiento para escalar, probar y/o comercializarlas. Además, los incentivos carecen de un vínculo necesario entre academia e industria, esto ha provocado una baja comercialización de la innovación en general y una barrera para la formación de clústers, resultando en menores oportunidades para la colaboración en esta etapa de generación de valor.</w:t>
      </w:r>
    </w:p>
    <w:p w14:paraId="32862217" w14:textId="77777777" w:rsidR="000677B6" w:rsidRPr="000677B6" w:rsidRDefault="000677B6" w:rsidP="00276F3E">
      <w:pPr>
        <w:numPr>
          <w:ilvl w:val="0"/>
          <w:numId w:val="65"/>
        </w:numPr>
        <w:spacing w:after="360" w:line="360" w:lineRule="auto"/>
        <w:ind w:left="568" w:right="-159" w:hanging="284"/>
        <w:jc w:val="both"/>
        <w:rPr>
          <w:rFonts w:eastAsia="Calibri"/>
          <w:sz w:val="26"/>
          <w:szCs w:val="26"/>
          <w:lang w:val="es-ES" w:eastAsia="en-US"/>
        </w:rPr>
      </w:pPr>
      <w:r w:rsidRPr="000677B6">
        <w:rPr>
          <w:rFonts w:eastAsia="Calibri"/>
          <w:b/>
          <w:sz w:val="26"/>
          <w:szCs w:val="26"/>
          <w:lang w:val="es-ES" w:eastAsia="en-US"/>
        </w:rPr>
        <w:t>Falta de instrumentos financieros adecuados</w:t>
      </w:r>
      <w:r w:rsidRPr="000677B6">
        <w:rPr>
          <w:rFonts w:eastAsia="Calibri"/>
          <w:sz w:val="26"/>
          <w:szCs w:val="26"/>
          <w:lang w:val="es-ES" w:eastAsia="en-US"/>
        </w:rPr>
        <w:t xml:space="preserve">. Hay muy pocos instrumentos que pueden usarse tanto para financiar la innovación, como para financiar el desarrollo y escalamiento de las tecnologías limpias. La falta de sofisticación en el desarrollo de acervos intangibles ha forzado a los inversionistas a buscar otro tipo de garantías, antes de interesarse en financiar empresas de tecnología. Asimismo, la falta de demanda nacional por productos y servicios (la mitad de las compañías encuestadas tienen ventas aproximadas de 70 mil dólares el primer año de creación) han orillado a que las opciones de financiamiento para estas empresas </w:t>
      </w:r>
      <w:r w:rsidRPr="000677B6">
        <w:rPr>
          <w:rFonts w:eastAsia="Calibri"/>
          <w:sz w:val="26"/>
          <w:szCs w:val="26"/>
          <w:lang w:val="es-ES" w:eastAsia="en-US"/>
        </w:rPr>
        <w:lastRenderedPageBreak/>
        <w:t>se concentren en el sector público e inversionistas informales. Por ejemplo, casi la mitad de los emprendedores encuestados se financian con recursos propios o de familiares, y solo identificamos cinco proyectos que han sido financiados por capital semilla de Nacional Financiera (NAFIN) en los últimos cinco años. Asimismo, el financiamiento de emprendimientos en la etapa de escalamiento (que dependen primordialmente de financiamiento corporativo) es prácticamente inexistente por la falta de garantías y las altas tasas de interés.</w:t>
      </w:r>
    </w:p>
    <w:p w14:paraId="5ED69F00" w14:textId="77777777" w:rsidR="000677B6" w:rsidRPr="000677B6" w:rsidRDefault="000677B6" w:rsidP="00276F3E">
      <w:pPr>
        <w:numPr>
          <w:ilvl w:val="0"/>
          <w:numId w:val="65"/>
        </w:numPr>
        <w:spacing w:after="360" w:line="360" w:lineRule="auto"/>
        <w:ind w:left="568" w:right="-159" w:hanging="284"/>
        <w:jc w:val="both"/>
        <w:rPr>
          <w:rFonts w:eastAsia="Calibri"/>
          <w:sz w:val="26"/>
          <w:szCs w:val="26"/>
          <w:lang w:val="es-ES" w:eastAsia="en-US"/>
        </w:rPr>
      </w:pPr>
      <w:r w:rsidRPr="000677B6">
        <w:rPr>
          <w:rFonts w:eastAsia="Calibri"/>
          <w:b/>
          <w:sz w:val="26"/>
          <w:szCs w:val="26"/>
          <w:lang w:val="es-ES" w:eastAsia="en-US"/>
        </w:rPr>
        <w:t>Baja diversidad y especialización de  los  programas  académicos relacionados</w:t>
      </w:r>
      <w:r w:rsidRPr="000677B6">
        <w:rPr>
          <w:rFonts w:eastAsia="Calibri"/>
          <w:sz w:val="26"/>
          <w:szCs w:val="26"/>
          <w:lang w:val="es-ES" w:eastAsia="en-US"/>
        </w:rPr>
        <w:t>.   A pesar del alto  número de universitarios graduados en ingeniería (de acuerdo con cifras de la OCDE, México produjo 90 mil ingenieros en  2014,  la  mitad  de  los  ingenieros  graduados  de  licenciatura  en  Estados Unidos de Norteamérica)  en  la mayoría  de  los  casos,  la  currícula  académica  no  considera  requerimientos  de mercado  o  aprovecha  su  ventaja  competitiva.  Lo  anterior,  resulta  en  una  baja especialización  en  áreas  como  la  eficiencia energética  o  las  energías  renovables.</w:t>
      </w:r>
    </w:p>
    <w:p w14:paraId="6A9EAA40" w14:textId="77777777" w:rsidR="000677B6" w:rsidRPr="000677B6" w:rsidRDefault="000677B6" w:rsidP="00276F3E">
      <w:pPr>
        <w:numPr>
          <w:ilvl w:val="0"/>
          <w:numId w:val="65"/>
        </w:numPr>
        <w:spacing w:after="360" w:line="360" w:lineRule="auto"/>
        <w:ind w:left="568" w:right="-159" w:hanging="284"/>
        <w:jc w:val="both"/>
        <w:rPr>
          <w:rFonts w:eastAsia="Calibri"/>
          <w:sz w:val="26"/>
          <w:szCs w:val="26"/>
          <w:lang w:val="es-ES" w:eastAsia="en-US"/>
        </w:rPr>
      </w:pPr>
      <w:r w:rsidRPr="000677B6">
        <w:rPr>
          <w:rFonts w:eastAsia="Calibri"/>
          <w:b/>
          <w:sz w:val="26"/>
          <w:szCs w:val="26"/>
          <w:lang w:val="es-ES" w:eastAsia="en-US"/>
        </w:rPr>
        <w:t>Pocos incentivos para el desarrollo, protección y comercialización de la propiedad intelectual</w:t>
      </w:r>
      <w:r w:rsidRPr="000677B6">
        <w:rPr>
          <w:rFonts w:eastAsia="Calibri"/>
          <w:sz w:val="26"/>
          <w:szCs w:val="26"/>
          <w:lang w:val="es-ES" w:eastAsia="en-US"/>
        </w:rPr>
        <w:t>. De acuerdo con IMPI, México tiene considerablemente menos solicitudes de patente que el resto de los países de la OCDE. Esto puede atribuirse a información limitada de los creadores de la tecnología, así como a la falta de vínculos entre la academia y el sector empresarial y a la baja fiscalización de las leyes de propiedad intelectual. Sin embargo, de acuerdo con la Organización Mundial de Protección Intelectual (WIPO, por sus siglas en inglés), México ha presentado 5% del total de solicitudes de patentes ambientales a nivel mundial en la primera década del S.XXI, lo que muestra potencial.</w:t>
      </w:r>
    </w:p>
    <w:p w14:paraId="63F63EA0"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 xml:space="preserve">A pesar de su rezago internacional, no hay duda de que la industria de tecnologías limpias en México está en crecimiento. A pesar de las pocas compañías especializadas </w:t>
      </w:r>
      <w:r w:rsidRPr="000677B6">
        <w:rPr>
          <w:rFonts w:eastAsia="Calibri"/>
          <w:sz w:val="26"/>
          <w:szCs w:val="26"/>
          <w:lang w:val="es-ES" w:eastAsia="en-US"/>
        </w:rPr>
        <w:lastRenderedPageBreak/>
        <w:t>en cleantech, las bajas solicitudes de patentes y la falta de capital humano especializado en el sector, éstas aumentan cada año. Una de las principales preocupaciones es que dicho crecimiento no parece ser suficiente para cumplir con las metas internacionales del país en cambio climático y detonar un crecimiento verde. Aun cuando ha habido avances en el financiamiento para la innovación, se necesita acelerar el paso en innovación en cleantech. De la misma manera, pese a los avances en la legislación climática y energética se requieren más y mejores políticas para promover la inversión en tecnologías limpias.</w:t>
      </w:r>
    </w:p>
    <w:p w14:paraId="78CD771C"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Hoy, la recién aprobada reforma energética representa una de las mejores oportunidades para detonar el desarrollo en cleantech. La participación privada en el sector energético servirá como un catalizador para la innovación en tecnologías limpias, en particular en energías renovables de generación eléctrica, así como en eficiencia energética y redes inteligentes. Dicho sector ya representa el principal sector cleantech, el 43% de las empresas encuestadas pertenecen a este sector (29% en renovables y 14% en eficiencia energética) pero necesita darse una prioridad mucho mayor a las tecnologías limpias.</w:t>
      </w:r>
    </w:p>
    <w:p w14:paraId="7D5F5817"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Por todas estas razones, tras evaluar las políticas cleantech en el país, consultar a expertos y entender las necesidades de los emprendedores del sector, creemos que la principal recomendación de este reporte se resume en desarrollar una política industrial para detonar el emprendimiento nacional en cleantech.</w:t>
      </w:r>
    </w:p>
    <w:p w14:paraId="4DC3725A"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Sin embargo, construir cualquier política industrial requiere de una gran inversión de capital político para lograr la coordinación interinstitucional entre diferentes niveles de gobierno. A continuación enlistamos una serie de recomendaciones para crear, enlazar y fortalecer instrumentos e instituciones existentes, como la base del desarrollo de una política industrial cleantech en el largo plazo para el país. Entre estas destacan:</w:t>
      </w:r>
    </w:p>
    <w:p w14:paraId="103CDFC0" w14:textId="77777777" w:rsidR="00503846" w:rsidRDefault="00503846" w:rsidP="000677B6">
      <w:pPr>
        <w:spacing w:after="360" w:line="360" w:lineRule="auto"/>
        <w:ind w:right="-159"/>
        <w:jc w:val="both"/>
        <w:rPr>
          <w:rFonts w:eastAsia="Calibri"/>
          <w:b/>
          <w:sz w:val="26"/>
          <w:szCs w:val="26"/>
          <w:lang w:val="es-ES" w:eastAsia="en-US"/>
        </w:rPr>
      </w:pPr>
    </w:p>
    <w:p w14:paraId="5E06B43F" w14:textId="77777777" w:rsidR="000677B6" w:rsidRPr="000677B6" w:rsidRDefault="000677B6" w:rsidP="000677B6">
      <w:pPr>
        <w:spacing w:after="360" w:line="360" w:lineRule="auto"/>
        <w:ind w:right="-159"/>
        <w:jc w:val="both"/>
        <w:rPr>
          <w:rFonts w:eastAsia="Calibri"/>
          <w:b/>
          <w:sz w:val="26"/>
          <w:szCs w:val="26"/>
          <w:lang w:val="es-ES" w:eastAsia="en-US"/>
        </w:rPr>
      </w:pPr>
      <w:r w:rsidRPr="000677B6">
        <w:rPr>
          <w:rFonts w:eastAsia="Calibri"/>
          <w:b/>
          <w:sz w:val="26"/>
          <w:szCs w:val="26"/>
          <w:lang w:val="es-ES" w:eastAsia="en-US"/>
        </w:rPr>
        <w:lastRenderedPageBreak/>
        <w:t>Desde el punto de vista de la demanda:</w:t>
      </w:r>
    </w:p>
    <w:p w14:paraId="423DAEA7" w14:textId="77777777" w:rsidR="000677B6" w:rsidRPr="000677B6" w:rsidRDefault="000677B6" w:rsidP="00276F3E">
      <w:pPr>
        <w:numPr>
          <w:ilvl w:val="0"/>
          <w:numId w:val="66"/>
        </w:numPr>
        <w:spacing w:after="360" w:line="360" w:lineRule="auto"/>
        <w:ind w:left="568" w:right="-159" w:hanging="284"/>
        <w:jc w:val="both"/>
        <w:rPr>
          <w:rFonts w:eastAsia="Calibri"/>
          <w:sz w:val="26"/>
          <w:szCs w:val="26"/>
          <w:lang w:val="es-ES" w:eastAsia="en-US"/>
        </w:rPr>
      </w:pPr>
      <w:r w:rsidRPr="000677B6">
        <w:rPr>
          <w:rFonts w:eastAsia="Calibri"/>
          <w:b/>
          <w:sz w:val="26"/>
          <w:szCs w:val="26"/>
          <w:lang w:val="es-ES" w:eastAsia="en-US"/>
        </w:rPr>
        <w:t>Mejorar la regulación ambiental y fortalecer su aplicación</w:t>
      </w:r>
      <w:r w:rsidRPr="000677B6">
        <w:rPr>
          <w:rFonts w:eastAsia="Calibri"/>
          <w:sz w:val="26"/>
          <w:szCs w:val="26"/>
          <w:lang w:val="es-ES" w:eastAsia="en-US"/>
        </w:rPr>
        <w:t>.  Entre las principales oportunidades están crear y actualizar estándares, así como fortalecer instituciones para vigilarlas, en particular, en el manejo de residuos, eficiencia energética, energías renovables y aguas residuales. Otras oportunidades en esta misma línea son: aumentar la cobertura del impuesto al carbono para incluir gas y turbosina, dar autonomía financiera e institucional, así como mayores atribuciones a la Procuraduría Federal de Protección al Ambiente (PROFEPA).</w:t>
      </w:r>
    </w:p>
    <w:p w14:paraId="5362075F" w14:textId="77777777" w:rsidR="000677B6" w:rsidRPr="000677B6" w:rsidRDefault="000677B6" w:rsidP="00276F3E">
      <w:pPr>
        <w:numPr>
          <w:ilvl w:val="0"/>
          <w:numId w:val="66"/>
        </w:numPr>
        <w:spacing w:after="360" w:line="360" w:lineRule="auto"/>
        <w:ind w:left="568" w:right="-159" w:hanging="284"/>
        <w:jc w:val="both"/>
        <w:rPr>
          <w:rFonts w:eastAsia="Calibri"/>
          <w:sz w:val="26"/>
          <w:szCs w:val="26"/>
          <w:lang w:val="es-ES" w:eastAsia="en-US"/>
        </w:rPr>
      </w:pPr>
      <w:r w:rsidRPr="000677B6">
        <w:rPr>
          <w:rFonts w:eastAsia="Calibri"/>
          <w:b/>
          <w:sz w:val="26"/>
          <w:szCs w:val="26"/>
          <w:lang w:val="es-ES" w:eastAsia="en-US"/>
        </w:rPr>
        <w:t>Modificar los incentivos en políticas públicas</w:t>
      </w:r>
      <w:r w:rsidRPr="000677B6">
        <w:rPr>
          <w:rFonts w:eastAsia="Calibri"/>
          <w:sz w:val="26"/>
          <w:szCs w:val="26"/>
          <w:lang w:val="es-ES" w:eastAsia="en-US"/>
        </w:rPr>
        <w:t>. Por un lado se deben desacoplar los subsidios que detonan una mayor explotación de los recursos naturales indiscriminadamente. Por ejemplo, el subsidio eléctrico para el bombeo de agua agrícola. También se sugiere incluir un catálogo de “compras verdes” en las leyes referentes a compras públicas de productos y servicios que reduzcan el consumo de agua o electricidad, utilicen fuentes de energía limpia y disminuyan la generación de residuos.</w:t>
      </w:r>
    </w:p>
    <w:p w14:paraId="72C1A505" w14:textId="77777777" w:rsidR="000677B6" w:rsidRPr="000677B6" w:rsidRDefault="000677B6" w:rsidP="00276F3E">
      <w:pPr>
        <w:numPr>
          <w:ilvl w:val="0"/>
          <w:numId w:val="66"/>
        </w:numPr>
        <w:spacing w:after="360" w:line="360" w:lineRule="auto"/>
        <w:ind w:left="568" w:right="-159" w:hanging="284"/>
        <w:jc w:val="both"/>
        <w:rPr>
          <w:rFonts w:eastAsia="Calibri"/>
          <w:sz w:val="26"/>
          <w:szCs w:val="26"/>
          <w:lang w:val="es-ES" w:eastAsia="en-US"/>
        </w:rPr>
      </w:pPr>
      <w:r w:rsidRPr="000677B6">
        <w:rPr>
          <w:rFonts w:eastAsia="Calibri"/>
          <w:b/>
          <w:sz w:val="26"/>
          <w:szCs w:val="26"/>
          <w:lang w:val="es-ES" w:eastAsia="en-US"/>
        </w:rPr>
        <w:t>Maximizar el impacto de la Reforma Energética</w:t>
      </w:r>
      <w:r w:rsidRPr="000677B6">
        <w:rPr>
          <w:rFonts w:eastAsia="Calibri"/>
          <w:sz w:val="26"/>
          <w:szCs w:val="26"/>
          <w:lang w:val="es-ES" w:eastAsia="en-US"/>
        </w:rPr>
        <w:t>. Recomendamos que las reglas de mercado, a publicarse en 2015, garanticen un sistema de cumplimiento simple, efectivo y diferenciado (para generadores de pequeña escala menores a 10kW) bajo el esquema de Certificados de Energía Limpia (CELs). Por otro lado, se sugiere que los certificados de toda la vida útil de sistemas de pequeña escala en generación distribuida puedan cobrarse por adelantado (similar a lo que se ha hecho en Australia) y que las regulaciones sobre contenido nacional consideren un límite de tiempo y estándares de competitividad internacionales.</w:t>
      </w:r>
    </w:p>
    <w:p w14:paraId="0A6079D5" w14:textId="77777777" w:rsidR="00503846" w:rsidRDefault="00503846" w:rsidP="000677B6">
      <w:pPr>
        <w:spacing w:after="360" w:line="360" w:lineRule="auto"/>
        <w:ind w:right="-159"/>
        <w:jc w:val="both"/>
        <w:rPr>
          <w:rFonts w:eastAsia="Calibri"/>
          <w:b/>
          <w:sz w:val="26"/>
          <w:szCs w:val="26"/>
          <w:lang w:val="es-ES" w:eastAsia="en-US"/>
        </w:rPr>
      </w:pPr>
    </w:p>
    <w:p w14:paraId="322E92E2" w14:textId="77777777" w:rsidR="00503846" w:rsidRDefault="00503846" w:rsidP="000677B6">
      <w:pPr>
        <w:spacing w:after="360" w:line="360" w:lineRule="auto"/>
        <w:ind w:right="-159"/>
        <w:jc w:val="both"/>
        <w:rPr>
          <w:rFonts w:eastAsia="Calibri"/>
          <w:b/>
          <w:sz w:val="26"/>
          <w:szCs w:val="26"/>
          <w:lang w:val="es-ES" w:eastAsia="en-US"/>
        </w:rPr>
      </w:pPr>
    </w:p>
    <w:p w14:paraId="09E4A509" w14:textId="77777777" w:rsidR="000677B6" w:rsidRPr="000677B6" w:rsidRDefault="000677B6" w:rsidP="000677B6">
      <w:pPr>
        <w:spacing w:after="360" w:line="360" w:lineRule="auto"/>
        <w:ind w:right="-159"/>
        <w:jc w:val="both"/>
        <w:rPr>
          <w:rFonts w:eastAsia="Calibri"/>
          <w:b/>
          <w:sz w:val="26"/>
          <w:szCs w:val="26"/>
          <w:lang w:val="es-ES" w:eastAsia="en-US"/>
        </w:rPr>
      </w:pPr>
      <w:r w:rsidRPr="000677B6">
        <w:rPr>
          <w:rFonts w:eastAsia="Calibri"/>
          <w:b/>
          <w:sz w:val="26"/>
          <w:szCs w:val="26"/>
          <w:lang w:val="es-ES" w:eastAsia="en-US"/>
        </w:rPr>
        <w:lastRenderedPageBreak/>
        <w:t>Desde el punto de vista de la oferta:</w:t>
      </w:r>
    </w:p>
    <w:p w14:paraId="239BF342" w14:textId="77777777" w:rsidR="000677B6" w:rsidRPr="000677B6" w:rsidRDefault="000677B6" w:rsidP="00276F3E">
      <w:pPr>
        <w:numPr>
          <w:ilvl w:val="0"/>
          <w:numId w:val="66"/>
        </w:numPr>
        <w:spacing w:after="360" w:line="360" w:lineRule="auto"/>
        <w:ind w:left="568" w:right="-159" w:hanging="284"/>
        <w:jc w:val="both"/>
        <w:rPr>
          <w:rFonts w:eastAsia="Calibri"/>
          <w:sz w:val="26"/>
          <w:szCs w:val="26"/>
          <w:lang w:val="es-ES" w:eastAsia="en-US"/>
        </w:rPr>
      </w:pPr>
      <w:r w:rsidRPr="000677B6">
        <w:rPr>
          <w:rFonts w:eastAsia="Calibri"/>
          <w:b/>
          <w:sz w:val="26"/>
          <w:szCs w:val="26"/>
          <w:lang w:val="es-ES" w:eastAsia="en-US"/>
        </w:rPr>
        <w:t>Mejorar y generar confianza en el sistema de propiedad intelectual</w:t>
      </w:r>
      <w:r w:rsidRPr="000677B6">
        <w:rPr>
          <w:rFonts w:eastAsia="Calibri"/>
          <w:sz w:val="26"/>
          <w:szCs w:val="26"/>
          <w:lang w:val="es-ES" w:eastAsia="en-US"/>
        </w:rPr>
        <w:t>. Recomendamos la creación de un Sistema Nacional de Inventores, como ente independiente que reconozca y proteja el trabajo de inventores y facilite el registro de patentes en los mercados internacionales, que asesore a los emprendedores en temas de comercialización y financiamiento. Asimismo, recomendamos establecer acuerdos internacionales para facilitar el registro, comercialización y licenciamiento de patentes de cleantech en México y Estados Unidos de Norteamérica. El objetivo es proteger la propiedad intelectual de los autores, incluyendo centros de investigación, científicos independientes y estudiantes.</w:t>
      </w:r>
    </w:p>
    <w:p w14:paraId="30CFEC2A" w14:textId="77777777" w:rsidR="000677B6" w:rsidRPr="000677B6" w:rsidRDefault="000677B6" w:rsidP="00276F3E">
      <w:pPr>
        <w:numPr>
          <w:ilvl w:val="0"/>
          <w:numId w:val="66"/>
        </w:numPr>
        <w:spacing w:after="360" w:line="360" w:lineRule="auto"/>
        <w:ind w:left="568" w:right="-159" w:hanging="284"/>
        <w:jc w:val="both"/>
        <w:rPr>
          <w:rFonts w:eastAsia="Calibri"/>
          <w:sz w:val="26"/>
          <w:szCs w:val="26"/>
          <w:lang w:val="es-ES" w:eastAsia="en-US"/>
        </w:rPr>
      </w:pPr>
      <w:r w:rsidRPr="000677B6">
        <w:rPr>
          <w:rFonts w:eastAsia="Calibri"/>
          <w:b/>
          <w:sz w:val="26"/>
          <w:szCs w:val="26"/>
          <w:lang w:val="es-ES" w:eastAsia="en-US"/>
        </w:rPr>
        <w:t>Promover    la    inversión    desde    las    etapas    iniciales    y    hasta    la comercialización de cleantech</w:t>
      </w:r>
      <w:r w:rsidRPr="000677B6">
        <w:rPr>
          <w:rFonts w:eastAsia="Calibri"/>
          <w:sz w:val="26"/>
          <w:szCs w:val="26"/>
          <w:lang w:val="es-ES" w:eastAsia="en-US"/>
        </w:rPr>
        <w:t>. En este sentido, se recomienda crear nuevos mecanismos públicos de financiamiento que acompañen las innovaciones. En específico, ampliar el alcance de los siguientes fondos: a) el Fondo de Sustentabilidad Energética, manejado por el Consejo Nacional de Ciencia y Tecnología (CONACYT) y la Secretaría de Energía (SENER)   y b) el Fondo de Innovación Tecnológica  y  el  Fondo  Sectorial  de  Innovación  (FINNOVA),  manejados  por el  CONACYT  y  la Secretaría de Economía (SE),  con  el  propósito  de  financiar etapas  iniciales,  desarrollo  de prototipos y pruebas de campo y de mercado. En complemento, se recomienda trabajar en la creación de fondos público-privados para la etapa de comercialización.</w:t>
      </w:r>
    </w:p>
    <w:p w14:paraId="33A3E226" w14:textId="77777777" w:rsidR="000677B6" w:rsidRPr="000677B6" w:rsidRDefault="000677B6" w:rsidP="00276F3E">
      <w:pPr>
        <w:numPr>
          <w:ilvl w:val="0"/>
          <w:numId w:val="66"/>
        </w:numPr>
        <w:spacing w:after="360" w:line="360" w:lineRule="auto"/>
        <w:ind w:left="568" w:right="-159" w:hanging="284"/>
        <w:jc w:val="both"/>
        <w:rPr>
          <w:rFonts w:eastAsia="Calibri"/>
          <w:sz w:val="26"/>
          <w:szCs w:val="26"/>
          <w:lang w:val="es-ES" w:eastAsia="en-US"/>
        </w:rPr>
      </w:pPr>
      <w:r w:rsidRPr="000677B6">
        <w:rPr>
          <w:rFonts w:eastAsia="Calibri"/>
          <w:b/>
          <w:sz w:val="26"/>
          <w:szCs w:val="26"/>
          <w:lang w:val="es-ES" w:eastAsia="en-US"/>
        </w:rPr>
        <w:t>Fortalecer los vínculos entre academia e industria</w:t>
      </w:r>
      <w:r w:rsidRPr="000677B6">
        <w:rPr>
          <w:rFonts w:eastAsia="Calibri"/>
          <w:sz w:val="26"/>
          <w:szCs w:val="26"/>
          <w:lang w:val="es-ES" w:eastAsia="en-US"/>
        </w:rPr>
        <w:t xml:space="preserve">. Recomendamos expandir el programa de posdoctorados en sustentabilidad energética de SENER-CONACYT para que incluya como requisito las estadías profesionales en compañías cleantech nacionales y extranjeras. Asimismo, sería útil incluir mentorías del sector privado en programas académicos de ingenierías, en especial </w:t>
      </w:r>
      <w:r w:rsidRPr="000677B6">
        <w:rPr>
          <w:rFonts w:eastAsia="Calibri"/>
          <w:sz w:val="26"/>
          <w:szCs w:val="26"/>
          <w:lang w:val="es-ES" w:eastAsia="en-US"/>
        </w:rPr>
        <w:lastRenderedPageBreak/>
        <w:t>en manejo de negocios, finanzas y marketing. Los programas universitarios existentes relacionados con cleantech deben fomentar el desarrollo de líderes de negocio además de académicos.</w:t>
      </w:r>
    </w:p>
    <w:p w14:paraId="31278BF2" w14:textId="77777777" w:rsidR="000677B6" w:rsidRPr="000677B6" w:rsidRDefault="000677B6" w:rsidP="00276F3E">
      <w:pPr>
        <w:numPr>
          <w:ilvl w:val="0"/>
          <w:numId w:val="66"/>
        </w:numPr>
        <w:spacing w:after="360" w:line="360" w:lineRule="auto"/>
        <w:ind w:left="568" w:right="-159" w:hanging="284"/>
        <w:jc w:val="both"/>
        <w:rPr>
          <w:rFonts w:eastAsia="Calibri"/>
          <w:sz w:val="26"/>
          <w:szCs w:val="26"/>
          <w:lang w:val="es-ES" w:eastAsia="en-US"/>
        </w:rPr>
      </w:pPr>
      <w:r w:rsidRPr="000677B6">
        <w:rPr>
          <w:rFonts w:eastAsia="Calibri"/>
          <w:b/>
          <w:sz w:val="26"/>
          <w:szCs w:val="26"/>
          <w:lang w:val="es-ES" w:eastAsia="en-US"/>
        </w:rPr>
        <w:t>Desarrollar de una fuerza de trabajo especializada en la industria de cleantech</w:t>
      </w:r>
      <w:r w:rsidRPr="000677B6">
        <w:rPr>
          <w:rFonts w:eastAsia="Calibri"/>
          <w:sz w:val="26"/>
          <w:szCs w:val="26"/>
          <w:lang w:val="es-ES" w:eastAsia="en-US"/>
        </w:rPr>
        <w:t>. Recomendamos que la currícula en los programas técnicos universitarios relacionados con cleantech (por ejemplo, Ingeniería ambiental) se reformen y enfoquen en atender las oportunidades actuales y futuras de la industria en México como energía solar, eólica, geotermia y mareomotriz, entre otras. También, sugerimos incluir dentro de estos módulos adicionales sobre administración de negocios, finanzas y marketing.</w:t>
      </w:r>
    </w:p>
    <w:p w14:paraId="553088F9" w14:textId="77777777" w:rsidR="000677B6" w:rsidRPr="000677B6" w:rsidRDefault="000677B6" w:rsidP="00276F3E">
      <w:pPr>
        <w:numPr>
          <w:ilvl w:val="0"/>
          <w:numId w:val="66"/>
        </w:numPr>
        <w:spacing w:after="360" w:line="360" w:lineRule="auto"/>
        <w:ind w:left="568" w:right="-159" w:hanging="284"/>
        <w:jc w:val="both"/>
        <w:rPr>
          <w:rFonts w:eastAsia="Calibri"/>
          <w:sz w:val="26"/>
          <w:szCs w:val="26"/>
          <w:lang w:val="es-ES" w:eastAsia="en-US"/>
        </w:rPr>
      </w:pPr>
      <w:r w:rsidRPr="000677B6">
        <w:rPr>
          <w:rFonts w:eastAsia="Calibri"/>
          <w:b/>
          <w:sz w:val="26"/>
          <w:szCs w:val="26"/>
          <w:lang w:val="es-ES" w:eastAsia="en-US"/>
        </w:rPr>
        <w:t xml:space="preserve">Desarrollar   programas   financieros   de   garantía   para   promover   la inversión público-privada en </w:t>
      </w:r>
      <w:r w:rsidRPr="004E5485">
        <w:rPr>
          <w:rFonts w:eastAsia="Calibri"/>
          <w:b/>
          <w:i/>
          <w:sz w:val="26"/>
          <w:szCs w:val="26"/>
          <w:lang w:val="es-ES" w:eastAsia="en-US"/>
        </w:rPr>
        <w:t>cleantech</w:t>
      </w:r>
      <w:r w:rsidRPr="000677B6">
        <w:rPr>
          <w:rFonts w:eastAsia="Calibri"/>
          <w:sz w:val="26"/>
          <w:szCs w:val="26"/>
          <w:lang w:val="es-ES" w:eastAsia="en-US"/>
        </w:rPr>
        <w:t>. Desarrollar un Programa Federal de Garantías de Crédito para la ecoinnovación, que incluya un proceso de elegibilidad y evaluación exigente (entre otras, que los solicitantes no estén en el buró de crédito). Para la etapa inicial de las empresas del Instituto Nacional del Emprendedor (INADEM) podría promover la creación de fondos de capital semilla especializados en cambio climático, energía y sustentabilidad. Por otro lado, para promover la coinversión en etapas de comercialización, se sugiere trabajar en esquemas de sociedades de negocio entre empresas mexicanas y empresas de capital de riesgo.</w:t>
      </w:r>
    </w:p>
    <w:p w14:paraId="42038BED" w14:textId="33A83E80" w:rsidR="000677B6" w:rsidRPr="000677B6" w:rsidRDefault="00C676DA" w:rsidP="000677B6">
      <w:pPr>
        <w:spacing w:after="360" w:line="360" w:lineRule="auto"/>
        <w:ind w:right="-159"/>
        <w:jc w:val="both"/>
        <w:rPr>
          <w:rFonts w:eastAsia="Calibri"/>
          <w:sz w:val="26"/>
          <w:szCs w:val="26"/>
          <w:lang w:val="es-ES" w:eastAsia="en-US"/>
        </w:rPr>
      </w:pPr>
      <w:r>
        <w:rPr>
          <w:rFonts w:eastAsia="Calibri"/>
          <w:sz w:val="26"/>
          <w:szCs w:val="26"/>
          <w:lang w:val="es-ES" w:eastAsia="en-US"/>
        </w:rPr>
        <w:t>É</w:t>
      </w:r>
      <w:r w:rsidR="000677B6" w:rsidRPr="000677B6">
        <w:rPr>
          <w:rFonts w:eastAsia="Calibri"/>
          <w:sz w:val="26"/>
          <w:szCs w:val="26"/>
          <w:lang w:val="es-ES" w:eastAsia="en-US"/>
        </w:rPr>
        <w:t xml:space="preserve">stas son sólo algunas recomendaciones para los tres órdenes de gobierno, así como para el sector académico, privado y sociedad civil para detonar la innovación y escalamiento de cleantech en México. Crear más empresas de tecnologías limpias en el país requerirá del esfuerzo y participación activa de los tomadores de decisión, los inversionistas y los emprendedores trabajando conjuntamente para construir una política industrial nacional de </w:t>
      </w:r>
      <w:r w:rsidR="000677B6" w:rsidRPr="00F443FB">
        <w:rPr>
          <w:rFonts w:eastAsia="Calibri"/>
          <w:i/>
          <w:sz w:val="26"/>
          <w:szCs w:val="26"/>
          <w:lang w:val="es-ES" w:eastAsia="en-US"/>
        </w:rPr>
        <w:t>cleantec</w:t>
      </w:r>
      <w:r w:rsidR="000677B6" w:rsidRPr="000677B6">
        <w:rPr>
          <w:rFonts w:eastAsia="Calibri"/>
          <w:sz w:val="26"/>
          <w:szCs w:val="26"/>
          <w:lang w:val="es-ES" w:eastAsia="en-US"/>
        </w:rPr>
        <w:t>h.</w:t>
      </w:r>
    </w:p>
    <w:p w14:paraId="52F75DD7" w14:textId="77777777" w:rsidR="000677B6" w:rsidRPr="000677B6" w:rsidRDefault="000677B6" w:rsidP="000677B6">
      <w:pPr>
        <w:spacing w:after="360" w:line="360" w:lineRule="auto"/>
        <w:ind w:right="-159"/>
        <w:jc w:val="both"/>
        <w:rPr>
          <w:rFonts w:eastAsia="Calibri"/>
          <w:b/>
          <w:sz w:val="26"/>
          <w:szCs w:val="26"/>
          <w:lang w:val="es-ES" w:eastAsia="en-US"/>
        </w:rPr>
      </w:pPr>
      <w:r w:rsidRPr="000677B6">
        <w:rPr>
          <w:rFonts w:eastAsia="Calibri"/>
          <w:b/>
          <w:sz w:val="26"/>
          <w:szCs w:val="26"/>
          <w:lang w:val="es-ES" w:eastAsia="en-US"/>
        </w:rPr>
        <w:lastRenderedPageBreak/>
        <w:t>Mensaje de Zennström Philantropies</w:t>
      </w:r>
    </w:p>
    <w:p w14:paraId="76D7D5D9"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Pocos pueden dudar sobre el reto que representa el cambio climático no solo para las futuras generaciones, si no para la presente. México ha sido una de las primeras economías emergentes en reconocer este problema y mostrar corresponsabilidad al publicar la Ley General de Cambio Climático.</w:t>
      </w:r>
    </w:p>
    <w:p w14:paraId="5133D061"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Cada vez resulta más evidente que transitar hacia una economía baja en carbono ofrecerá retos y oportunidades a los países. La aparición de nuevas tecnologías en el mercado presenta diferentes maneras de producir y consumir, que a la vez se convierten en alternativas de crecimiento económico más equitativas.</w:t>
      </w:r>
    </w:p>
    <w:p w14:paraId="4BCDFE77"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El presente trabajo es resultado de un esfuerzo colaborativo que aprovecha las capacidades existentes en México. Funcionarios públicos, financiadores (tanto filantrópicos como con fines de lucro), sociedad civil, empresarios, investigadores, y emprendedores en tecnologías limpias, han contribuido a esbozar una hoja de ruta para un crecimiento más sustentable desde la premisa de la ecoinnovación. Aprovechar los recursos naturales de México y las capacidades de su población implica apostar por sus emprendedores. Es en este sector donde pueden gestarse nuevas formas para detonar el crecimiento económico y a la vez reducir el impacto en sus recursos naturales.</w:t>
      </w:r>
    </w:p>
    <w:p w14:paraId="38A80448"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Para que esto suceda, en nuestra experiencia, el gobierno tiene un papel fundamental. A través de políticas decisivas se puede ayudar a generar un mercado que impulse tanto la innovación como la inversión. Al apoyar la colaboración entre universidades y empresas se pueden acelerar soluciones que se coloquen en los mercados internacionales. Y, al promover sistemas financieros que fomenten el desarrollo de tecnologías limpias a lo largo de toda su cadena de valor, se pueden multiplicar los empleos permanentes en la economía.</w:t>
      </w:r>
    </w:p>
    <w:p w14:paraId="20B90AF6" w14:textId="77777777" w:rsid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lastRenderedPageBreak/>
        <w:t>Análogo a este proyecto, que logró juntar y coordinar las mentes de un consorcio de organizaciones, poner en práctica las recomendaciones requerirá del trabajo conjunto y coordinado de visionarios de todos los sectores del país. Al hacerlo, México puede posicionarse como un actor de avanzada en este nuevo y creciente mercado internacional, ofreciendo un futuro más limpio y prometedor para su gente.</w:t>
      </w:r>
    </w:p>
    <w:p w14:paraId="75E639CF" w14:textId="77777777" w:rsidR="000677B6" w:rsidRPr="000677B6" w:rsidRDefault="000677B6" w:rsidP="000677B6">
      <w:pPr>
        <w:spacing w:after="360" w:line="360" w:lineRule="auto"/>
        <w:ind w:right="-159"/>
        <w:jc w:val="both"/>
        <w:rPr>
          <w:rFonts w:eastAsia="Calibri"/>
          <w:b/>
          <w:sz w:val="26"/>
          <w:szCs w:val="26"/>
          <w:lang w:val="es-ES" w:eastAsia="en-US"/>
        </w:rPr>
      </w:pPr>
      <w:r w:rsidRPr="000677B6">
        <w:rPr>
          <w:rFonts w:eastAsia="Calibri"/>
          <w:b/>
          <w:sz w:val="26"/>
          <w:szCs w:val="26"/>
          <w:lang w:val="es-ES" w:eastAsia="en-US"/>
        </w:rPr>
        <w:t>Prólogo</w:t>
      </w:r>
    </w:p>
    <w:p w14:paraId="1C44AE1E"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El desarrollo de tecnologías limpias es una de las nuevas áreas de crecimiento económico dentro de la transición a una economía baja en carbono</w:t>
      </w:r>
      <w:r w:rsidRPr="000677B6">
        <w:rPr>
          <w:rFonts w:eastAsia="Calibri"/>
          <w:sz w:val="26"/>
          <w:szCs w:val="26"/>
          <w:vertAlign w:val="superscript"/>
          <w:lang w:val="es-ES" w:eastAsia="en-US"/>
        </w:rPr>
        <w:footnoteReference w:id="24"/>
      </w:r>
      <w:r w:rsidRPr="000677B6">
        <w:rPr>
          <w:rFonts w:eastAsia="Calibri"/>
          <w:sz w:val="26"/>
          <w:szCs w:val="26"/>
          <w:lang w:val="es-ES" w:eastAsia="en-US"/>
        </w:rPr>
        <w:t xml:space="preserve">. El recientemente publicado </w:t>
      </w:r>
      <w:r w:rsidRPr="000677B6">
        <w:rPr>
          <w:rFonts w:eastAsia="Calibri"/>
          <w:i/>
          <w:sz w:val="26"/>
          <w:szCs w:val="26"/>
          <w:lang w:val="es-ES" w:eastAsia="en-US"/>
        </w:rPr>
        <w:t>New Climate Economy Report</w:t>
      </w:r>
      <w:r w:rsidRPr="000677B6">
        <w:rPr>
          <w:rFonts w:eastAsia="Calibri"/>
          <w:sz w:val="26"/>
          <w:szCs w:val="26"/>
          <w:lang w:val="es-ES" w:eastAsia="en-US"/>
        </w:rPr>
        <w:t xml:space="preserve">, concluye que “todos los países, independientemente de sus niveles de ingreso, tienen la oportunidad de propiciar un crecimiento económico duradero al mismo tiempo que reducen los inmensos riesgos del cambio climático”. En este sentido, uno de los motores de cambio esenciales para </w:t>
      </w:r>
      <w:r w:rsidRPr="00E53D8D">
        <w:rPr>
          <w:rFonts w:eastAsia="Calibri"/>
          <w:sz w:val="26"/>
          <w:szCs w:val="26"/>
          <w:lang w:val="es-ES" w:eastAsia="en-US"/>
        </w:rPr>
        <w:t>lograrlo será la innovación en tecnologías, modelos de negocio y prácticas sociales</w:t>
      </w:r>
      <w:r w:rsidRPr="00E53D8D">
        <w:rPr>
          <w:rFonts w:eastAsia="Calibri"/>
          <w:sz w:val="26"/>
          <w:szCs w:val="26"/>
          <w:vertAlign w:val="superscript"/>
          <w:lang w:val="es-ES" w:eastAsia="en-US"/>
        </w:rPr>
        <w:footnoteReference w:id="25"/>
      </w:r>
      <w:r w:rsidRPr="00E53D8D">
        <w:rPr>
          <w:rFonts w:eastAsia="Calibri"/>
          <w:sz w:val="26"/>
          <w:szCs w:val="26"/>
          <w:lang w:val="es-ES" w:eastAsia="en-US"/>
        </w:rPr>
        <w:t xml:space="preserve">. </w:t>
      </w:r>
      <w:r w:rsidRPr="000677B6">
        <w:rPr>
          <w:rFonts w:eastAsia="Calibri"/>
          <w:sz w:val="26"/>
          <w:szCs w:val="26"/>
          <w:lang w:val="es-ES" w:eastAsia="en-US"/>
        </w:rPr>
        <w:t>De acuerdo con la Comisión Global sobre Economía y Clima, las medidas propuestas para reducir en el mundo entre 44 y 54 gigatoneladas de CO</w:t>
      </w:r>
      <w:r w:rsidRPr="000677B6">
        <w:rPr>
          <w:rFonts w:eastAsia="Calibri"/>
          <w:sz w:val="26"/>
          <w:szCs w:val="26"/>
          <w:vertAlign w:val="subscript"/>
          <w:lang w:val="es-ES" w:eastAsia="en-US"/>
        </w:rPr>
        <w:t>2</w:t>
      </w:r>
      <w:r w:rsidRPr="000677B6">
        <w:rPr>
          <w:rFonts w:eastAsia="Calibri"/>
          <w:sz w:val="26"/>
          <w:szCs w:val="26"/>
          <w:lang w:val="es-ES" w:eastAsia="en-US"/>
        </w:rPr>
        <w:t xml:space="preserve"> equivalente hacia 2030, el desarrollo y aplicación de tecnologías limpias juega un rol destacado en los tres sistemas clave de la economía: ciudades, uso de la tierra y energía.</w:t>
      </w:r>
    </w:p>
    <w:p w14:paraId="11D86861"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 xml:space="preserve">El término </w:t>
      </w:r>
      <w:r w:rsidRPr="000677B6">
        <w:rPr>
          <w:rFonts w:eastAsia="Calibri"/>
          <w:i/>
          <w:sz w:val="26"/>
          <w:szCs w:val="26"/>
          <w:lang w:val="es-ES" w:eastAsia="en-US"/>
        </w:rPr>
        <w:t>cleantech</w:t>
      </w:r>
      <w:r w:rsidRPr="000677B6">
        <w:rPr>
          <w:rFonts w:eastAsia="Calibri"/>
          <w:sz w:val="26"/>
          <w:szCs w:val="26"/>
          <w:lang w:val="es-ES" w:eastAsia="en-US"/>
        </w:rPr>
        <w:t xml:space="preserve"> (o tecnología limpia), acuñado a mediados de la década pasada y aceptado internacionalmente, se refiere a un producto, servicio o conocimiento creado con fines comerciales, diseñado explícitamente para combatir los efectos del cambio climático, maximizar la eficiencia operacional y el uso de recursos hídricos y energéticos, que busca minimizar la generación de residuos promoviendo su </w:t>
      </w:r>
      <w:r w:rsidRPr="000677B6">
        <w:rPr>
          <w:rFonts w:eastAsia="Calibri"/>
          <w:sz w:val="26"/>
          <w:szCs w:val="26"/>
          <w:lang w:val="es-ES" w:eastAsia="en-US"/>
        </w:rPr>
        <w:lastRenderedPageBreak/>
        <w:t>aprovechamiento y reutilización. Cleantech ha pasado de ser un nicho de inversión a un sector que permea al resto de la economía con impactos en industrias tan diversas como: tecnologías de la información, salud, agropecuaria, electrónica, química y de consumo</w:t>
      </w:r>
      <w:r w:rsidRPr="000677B6">
        <w:rPr>
          <w:rFonts w:eastAsia="Calibri"/>
          <w:sz w:val="26"/>
          <w:szCs w:val="26"/>
          <w:vertAlign w:val="superscript"/>
          <w:lang w:val="es-ES" w:eastAsia="en-US"/>
        </w:rPr>
        <w:footnoteReference w:id="26"/>
      </w:r>
      <w:r w:rsidRPr="000677B6">
        <w:rPr>
          <w:rFonts w:eastAsia="Calibri"/>
          <w:sz w:val="26"/>
          <w:szCs w:val="26"/>
          <w:lang w:val="es-ES" w:eastAsia="en-US"/>
        </w:rPr>
        <w:t xml:space="preserve">. De acuerdo con el Índice Global de Innovación en Tecnologías Limpias 2014, realizado por WWF en colaboración con el </w:t>
      </w:r>
      <w:r w:rsidRPr="000677B6">
        <w:rPr>
          <w:rFonts w:eastAsia="Calibri"/>
          <w:i/>
          <w:sz w:val="26"/>
          <w:szCs w:val="26"/>
          <w:lang w:val="es-ES" w:eastAsia="en-US"/>
        </w:rPr>
        <w:t>Cleantech Group</w:t>
      </w:r>
      <w:r w:rsidRPr="000677B6">
        <w:rPr>
          <w:rFonts w:eastAsia="Calibri"/>
          <w:sz w:val="26"/>
          <w:szCs w:val="26"/>
          <w:lang w:val="es-ES" w:eastAsia="en-US"/>
        </w:rPr>
        <w:t>, en la última década el mercado global de cleantech ha crecido tanto que para 2015 sus ventas equivaldrán a las del mercado de equipos para la industria de hidrocarburos</w:t>
      </w:r>
      <w:r w:rsidRPr="000677B6">
        <w:rPr>
          <w:rFonts w:eastAsia="Calibri"/>
          <w:sz w:val="26"/>
          <w:szCs w:val="26"/>
          <w:vertAlign w:val="superscript"/>
          <w:lang w:val="es-ES" w:eastAsia="en-US"/>
        </w:rPr>
        <w:footnoteReference w:id="27"/>
      </w:r>
      <w:r w:rsidRPr="000677B6">
        <w:rPr>
          <w:rFonts w:eastAsia="Calibri"/>
          <w:sz w:val="26"/>
          <w:szCs w:val="26"/>
          <w:lang w:val="es-ES" w:eastAsia="en-US"/>
        </w:rPr>
        <w:t>.</w:t>
      </w:r>
    </w:p>
    <w:p w14:paraId="3628FC8C"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Hasta ahora, el grueso de las inversiones en cleantech ha beneficiado a empresas en países desarrollados</w:t>
      </w:r>
      <w:r w:rsidRPr="000677B6">
        <w:rPr>
          <w:rFonts w:eastAsia="Calibri"/>
          <w:sz w:val="26"/>
          <w:szCs w:val="26"/>
          <w:vertAlign w:val="superscript"/>
          <w:lang w:val="es-ES" w:eastAsia="en-US"/>
        </w:rPr>
        <w:footnoteReference w:id="28"/>
      </w:r>
      <w:r w:rsidRPr="000677B6">
        <w:rPr>
          <w:rFonts w:eastAsia="Calibri"/>
          <w:sz w:val="26"/>
          <w:szCs w:val="26"/>
          <w:lang w:val="es-ES" w:eastAsia="en-US"/>
        </w:rPr>
        <w:t>. Sin embargo, un reporte del Banco Mundial estima que en los próximos diez años se realizarán inversiones por 6.4 billones de dólares en países en desarrollo para generar soluciones cleantech, de las cuales 25% podrían ser atendidas por nuevas empresas de base tecnológica. De esta forma, el reporte estima un mercado en América Latina de 349 mil millones de dólares que pudiera desarrollarse por pequeñas y medianas empresas</w:t>
      </w:r>
      <w:r w:rsidRPr="000677B6">
        <w:rPr>
          <w:rFonts w:eastAsia="Calibri"/>
          <w:sz w:val="26"/>
          <w:szCs w:val="26"/>
          <w:vertAlign w:val="superscript"/>
          <w:lang w:val="es-ES" w:eastAsia="en-US"/>
        </w:rPr>
        <w:footnoteReference w:id="29"/>
      </w:r>
      <w:r w:rsidRPr="000677B6">
        <w:rPr>
          <w:rFonts w:eastAsia="Calibri"/>
          <w:sz w:val="26"/>
          <w:szCs w:val="26"/>
          <w:lang w:val="es-ES" w:eastAsia="en-US"/>
        </w:rPr>
        <w:t>.</w:t>
      </w:r>
    </w:p>
    <w:p w14:paraId="5D6D603F"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De acuerdo con el INECC y el Programa de Desarrollo de Bajas Emisiones para México (MLED)</w:t>
      </w:r>
      <w:r w:rsidRPr="000677B6">
        <w:rPr>
          <w:rFonts w:eastAsia="Calibri"/>
          <w:sz w:val="26"/>
          <w:szCs w:val="26"/>
          <w:vertAlign w:val="superscript"/>
          <w:lang w:val="es-ES" w:eastAsia="en-US"/>
        </w:rPr>
        <w:footnoteReference w:id="30"/>
      </w:r>
      <w:r w:rsidRPr="000677B6">
        <w:rPr>
          <w:rFonts w:eastAsia="Calibri"/>
          <w:sz w:val="26"/>
          <w:szCs w:val="26"/>
          <w:lang w:val="es-ES" w:eastAsia="en-US"/>
        </w:rPr>
        <w:t>, el máximo potencial de mitigación al 2020 para el país es de 320 MtCO</w:t>
      </w:r>
      <w:r w:rsidRPr="000677B6">
        <w:rPr>
          <w:rFonts w:eastAsia="Calibri"/>
          <w:sz w:val="26"/>
          <w:szCs w:val="26"/>
          <w:vertAlign w:val="subscript"/>
          <w:lang w:val="es-ES" w:eastAsia="en-US"/>
        </w:rPr>
        <w:t>2</w:t>
      </w:r>
      <w:r w:rsidRPr="000677B6">
        <w:rPr>
          <w:rFonts w:eastAsia="Calibri"/>
          <w:sz w:val="26"/>
          <w:szCs w:val="26"/>
          <w:lang w:val="es-ES" w:eastAsia="en-US"/>
        </w:rPr>
        <w:t>e, si se implementan todas las acciones de reducción identificadas en iniciativas de cambio climático que tiene el país. Las acciones relacionadas con cleantech representan un potencial de mitigación al 2020 de 108 MtCO</w:t>
      </w:r>
      <w:r w:rsidRPr="000677B6">
        <w:rPr>
          <w:rFonts w:eastAsia="Calibri"/>
          <w:sz w:val="26"/>
          <w:szCs w:val="26"/>
          <w:vertAlign w:val="subscript"/>
          <w:lang w:val="es-ES" w:eastAsia="en-US"/>
        </w:rPr>
        <w:t>2</w:t>
      </w:r>
      <w:r w:rsidRPr="000677B6">
        <w:rPr>
          <w:rFonts w:eastAsia="Calibri"/>
          <w:sz w:val="26"/>
          <w:szCs w:val="26"/>
          <w:lang w:val="es-ES" w:eastAsia="en-US"/>
        </w:rPr>
        <w:t xml:space="preserve">e, es decir, una tercera parte del potencial total para México. Además, la mayor parte de dichas acciones tendrían un beneficio </w:t>
      </w:r>
      <w:r w:rsidRPr="000677B6">
        <w:rPr>
          <w:rFonts w:eastAsia="Calibri"/>
          <w:sz w:val="26"/>
          <w:szCs w:val="26"/>
          <w:lang w:val="es-ES" w:eastAsia="en-US"/>
        </w:rPr>
        <w:lastRenderedPageBreak/>
        <w:t>económico neto con un costo promedio de mitigación al 2020 de 26 USD/tCO</w:t>
      </w:r>
      <w:r w:rsidRPr="000677B6">
        <w:rPr>
          <w:rFonts w:eastAsia="Calibri"/>
          <w:sz w:val="26"/>
          <w:szCs w:val="26"/>
          <w:vertAlign w:val="subscript"/>
          <w:lang w:val="es-ES" w:eastAsia="en-US"/>
        </w:rPr>
        <w:t>2</w:t>
      </w:r>
      <w:r w:rsidRPr="000677B6">
        <w:rPr>
          <w:rFonts w:eastAsia="Calibri"/>
          <w:sz w:val="26"/>
          <w:szCs w:val="26"/>
          <w:lang w:val="es-ES" w:eastAsia="en-US"/>
        </w:rPr>
        <w:t>e. Esto muestra la importancia del sector cleantech como pieza clave para transitar hacia un desarrollo bajo en emisiones y a la vez contribuir tanto al crecimiento económico como a la conservación de los recursos naturales.</w:t>
      </w:r>
    </w:p>
    <w:p w14:paraId="4812457A"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Además, el hecho de que México se considere como una “economía de transición” al integrar cada vez más procesos basados en el conocimiento</w:t>
      </w:r>
      <w:r w:rsidRPr="000677B6">
        <w:rPr>
          <w:rFonts w:eastAsia="Calibri"/>
          <w:sz w:val="26"/>
          <w:szCs w:val="26"/>
          <w:vertAlign w:val="superscript"/>
          <w:lang w:val="es-ES" w:eastAsia="en-US"/>
        </w:rPr>
        <w:footnoteReference w:id="31"/>
      </w:r>
      <w:r w:rsidRPr="000677B6">
        <w:rPr>
          <w:rFonts w:eastAsia="Calibri"/>
          <w:sz w:val="26"/>
          <w:szCs w:val="26"/>
          <w:lang w:val="es-ES" w:eastAsia="en-US"/>
        </w:rPr>
        <w:t xml:space="preserve"> y su matriz de exportación sea considerada la más sofisticada en Latinoamérica (por sus exportaciones de tecnología media y alta)</w:t>
      </w:r>
      <w:r w:rsidRPr="000677B6">
        <w:rPr>
          <w:rFonts w:eastAsia="Calibri"/>
          <w:sz w:val="26"/>
          <w:szCs w:val="26"/>
          <w:vertAlign w:val="superscript"/>
          <w:lang w:val="es-ES" w:eastAsia="en-US"/>
        </w:rPr>
        <w:footnoteReference w:id="32"/>
      </w:r>
      <w:r w:rsidRPr="000677B6">
        <w:rPr>
          <w:rFonts w:eastAsia="Calibri"/>
          <w:sz w:val="26"/>
          <w:szCs w:val="26"/>
          <w:lang w:val="es-ES" w:eastAsia="en-US"/>
        </w:rPr>
        <w:t>, crean grandes oportunidades evidentes para detonar una revolución cleantech. Este reporte busca encontrar formas para vencer algunos de los obstáculos para que más empresas puedan aprovechar esta ventaja de México y convertir al país en un líder en tecnologías limpias.</w:t>
      </w:r>
    </w:p>
    <w:p w14:paraId="00002514" w14:textId="77777777" w:rsidR="000677B6" w:rsidRPr="000677B6" w:rsidRDefault="000677B6" w:rsidP="000677B6">
      <w:pPr>
        <w:spacing w:after="360" w:line="360" w:lineRule="auto"/>
        <w:ind w:right="-159"/>
        <w:jc w:val="both"/>
        <w:rPr>
          <w:rFonts w:eastAsia="Calibri"/>
          <w:b/>
          <w:sz w:val="26"/>
          <w:szCs w:val="26"/>
          <w:lang w:val="es-ES" w:eastAsia="en-US"/>
        </w:rPr>
      </w:pPr>
      <w:r w:rsidRPr="000677B6">
        <w:rPr>
          <w:rFonts w:eastAsia="Calibri"/>
          <w:b/>
          <w:sz w:val="26"/>
          <w:szCs w:val="26"/>
          <w:lang w:val="es-ES" w:eastAsia="en-US"/>
        </w:rPr>
        <w:t>Este reporte</w:t>
      </w:r>
    </w:p>
    <w:p w14:paraId="209B15E2"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Este informe es el primero en analizar la situación de los emprendedores de tecnologías limpias (cleantech) en México. Los principales temas abarcan las áreas en donde se desarrollan, los retos que enfrentan para comercializar sus productos, las trabas o apoyos gubernamentales a los que pueden acceder, y las recomendaciones para impulsar a este importante sector. El fin es contribuir a la innovación y crecimiento del sector de tecnologías limpias en México, ya que a pesar del gran potencial que tiene, se encuentra rezagado frente a otros países.</w:t>
      </w:r>
    </w:p>
    <w:p w14:paraId="78A3399E"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 xml:space="preserve">El diagnóstico sobre la situación actual de los emprendedores </w:t>
      </w:r>
      <w:r w:rsidRPr="00F443FB">
        <w:rPr>
          <w:rFonts w:eastAsia="Calibri"/>
          <w:i/>
          <w:sz w:val="26"/>
          <w:szCs w:val="26"/>
          <w:lang w:val="es-ES" w:eastAsia="en-US"/>
        </w:rPr>
        <w:t>cleantech</w:t>
      </w:r>
      <w:r w:rsidRPr="000677B6">
        <w:rPr>
          <w:rFonts w:eastAsia="Calibri"/>
          <w:sz w:val="26"/>
          <w:szCs w:val="26"/>
          <w:lang w:val="es-ES" w:eastAsia="en-US"/>
        </w:rPr>
        <w:t xml:space="preserve"> en México se basó en una encuesta a cerca de 200 emprendedores de tecnologías limpias y cerca de 40 entrevistas presenciales con emprendedores mexicanos y otros actores relevantes de </w:t>
      </w:r>
      <w:r w:rsidRPr="000677B6">
        <w:rPr>
          <w:rFonts w:eastAsia="Calibri"/>
          <w:sz w:val="26"/>
          <w:szCs w:val="26"/>
          <w:lang w:val="es-ES" w:eastAsia="en-US"/>
        </w:rPr>
        <w:lastRenderedPageBreak/>
        <w:t xml:space="preserve">cleantech. También se llevó acabo un taller con expertos que contextualizaron los hallazgos y a quienes se presentaron los resultados preliminares del estudio. Asimismo, se revisó la información generada por </w:t>
      </w:r>
      <w:r w:rsidRPr="00F443FB">
        <w:rPr>
          <w:rFonts w:eastAsia="Calibri"/>
          <w:i/>
          <w:sz w:val="26"/>
          <w:szCs w:val="26"/>
          <w:lang w:val="es-ES" w:eastAsia="en-US"/>
        </w:rPr>
        <w:t>Cleantech Challenge</w:t>
      </w:r>
      <w:r w:rsidRPr="000677B6">
        <w:rPr>
          <w:rFonts w:eastAsia="Calibri"/>
          <w:sz w:val="26"/>
          <w:szCs w:val="26"/>
          <w:lang w:val="es-ES" w:eastAsia="en-US"/>
        </w:rPr>
        <w:t xml:space="preserve"> México a través de su trabajo a nivel nacional durante los últimos cinco años.</w:t>
      </w:r>
    </w:p>
    <w:p w14:paraId="28E66B12"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Entre los estudios que influyeron el planteamiento del análisis está el Índice Global de Innovación en Tecnologías Limpias 2014 que realizó WWF en colaboración con el Cleantech Group. Dicho informe mide el potencial de cada país (ajustado por el tamaño de su economía), para incentivar el establecimiento de empresas que comercialicen tecnologías limpias e innovadoras en los siguientes diez años. La metodología empleada agrupa los indicadores en dos aspectos: (a) evidencias de innovación en cleantech (oferta), las cuales evalúan la posibilidad de surgimiento de emprendimientos en el sector, y (b) evidencias de comercialización en cleantech (demanda), las cuales miden la capacidad de escalamiento de dichas innovaciones.</w:t>
      </w:r>
    </w:p>
    <w:p w14:paraId="2AA65101"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De esta manera, la primera sección de este reporte analiza y detalla las principales características de los emprendedores y el estado del sector cleantech, enmarcadas en los aspectos de innovación y comercialización. La segunda sección, evalúa las políticas públicas existentes en tecnologías limpias en México tanto del lado de la oferta como de la demanda. Finalmente, la tercera sección muestra los principales retos que existen para detonar la innovación y comercialización de tecnologías limpias en México, así como una hoja de ruta con recomendaciones puntuales para solucionarlos.</w:t>
      </w:r>
    </w:p>
    <w:p w14:paraId="497E676F" w14:textId="77777777" w:rsidR="000677B6" w:rsidRPr="000677B6" w:rsidRDefault="000677B6" w:rsidP="000677B6">
      <w:pPr>
        <w:spacing w:after="360" w:line="360" w:lineRule="auto"/>
        <w:ind w:right="-159"/>
        <w:jc w:val="both"/>
        <w:rPr>
          <w:rFonts w:eastAsia="Calibri"/>
          <w:b/>
          <w:sz w:val="26"/>
          <w:szCs w:val="26"/>
          <w:lang w:val="es-ES" w:eastAsia="en-US"/>
        </w:rPr>
      </w:pPr>
      <w:r w:rsidRPr="000677B6">
        <w:rPr>
          <w:rFonts w:eastAsia="Calibri"/>
          <w:b/>
          <w:sz w:val="26"/>
          <w:szCs w:val="26"/>
          <w:lang w:val="es-ES" w:eastAsia="en-US"/>
        </w:rPr>
        <w:t xml:space="preserve">A. </w:t>
      </w:r>
      <w:r w:rsidRPr="00F443FB">
        <w:rPr>
          <w:rFonts w:eastAsia="Calibri"/>
          <w:b/>
          <w:i/>
          <w:sz w:val="26"/>
          <w:szCs w:val="26"/>
          <w:lang w:val="es-ES" w:eastAsia="en-US"/>
        </w:rPr>
        <w:t>Cleantec</w:t>
      </w:r>
      <w:r w:rsidRPr="000677B6">
        <w:rPr>
          <w:rFonts w:eastAsia="Calibri"/>
          <w:b/>
          <w:sz w:val="26"/>
          <w:szCs w:val="26"/>
          <w:lang w:val="es-ES" w:eastAsia="en-US"/>
        </w:rPr>
        <w:t>h en México</w:t>
      </w:r>
    </w:p>
    <w:p w14:paraId="1152DF86" w14:textId="77777777" w:rsidR="000677B6" w:rsidRPr="000677B6" w:rsidRDefault="000677B6" w:rsidP="000677B6">
      <w:pPr>
        <w:spacing w:after="360" w:line="360" w:lineRule="auto"/>
        <w:ind w:right="-159"/>
        <w:jc w:val="both"/>
        <w:rPr>
          <w:rFonts w:eastAsia="Calibri"/>
          <w:b/>
          <w:sz w:val="26"/>
          <w:szCs w:val="26"/>
          <w:lang w:val="es-ES" w:eastAsia="en-US"/>
        </w:rPr>
      </w:pPr>
      <w:r w:rsidRPr="000677B6">
        <w:rPr>
          <w:rFonts w:eastAsia="Calibri"/>
          <w:b/>
          <w:sz w:val="26"/>
          <w:szCs w:val="26"/>
          <w:lang w:val="es-ES" w:eastAsia="en-US"/>
        </w:rPr>
        <w:t>A.1 Los emprendedores cleantech mexicanos</w:t>
      </w:r>
    </w:p>
    <w:p w14:paraId="3355D51F" w14:textId="77777777" w:rsid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 xml:space="preserve">Los emprendedores cleantech en México son un grupo reducido conformado principalmente por profesionistas del sexo masculino con estudios profesionales (95% con licenciatura o posgrado) que emprenden entre los 35 y 40 años y que se financian </w:t>
      </w:r>
      <w:r w:rsidRPr="000677B6">
        <w:rPr>
          <w:rFonts w:eastAsia="Calibri"/>
          <w:sz w:val="26"/>
          <w:szCs w:val="26"/>
          <w:lang w:val="es-ES" w:eastAsia="en-US"/>
        </w:rPr>
        <w:lastRenderedPageBreak/>
        <w:t xml:space="preserve">por lo general con capital propio (43%). Los emprendimientos se dedican casi exclusivamente a </w:t>
      </w:r>
      <w:r w:rsidRPr="00F443FB">
        <w:rPr>
          <w:rFonts w:eastAsia="Calibri"/>
          <w:i/>
          <w:sz w:val="26"/>
          <w:szCs w:val="26"/>
          <w:lang w:val="es-ES" w:eastAsia="en-US"/>
        </w:rPr>
        <w:t>cleantech</w:t>
      </w:r>
      <w:r w:rsidRPr="000677B6">
        <w:rPr>
          <w:rFonts w:eastAsia="Calibri"/>
          <w:sz w:val="26"/>
          <w:szCs w:val="26"/>
          <w:lang w:val="es-ES" w:eastAsia="en-US"/>
        </w:rPr>
        <w:t xml:space="preserve"> (</w:t>
      </w:r>
      <w:r w:rsidRPr="000677B6">
        <w:rPr>
          <w:rFonts w:eastAsia="Calibri"/>
          <w:i/>
          <w:sz w:val="26"/>
          <w:szCs w:val="26"/>
          <w:lang w:val="es-ES" w:eastAsia="en-US"/>
        </w:rPr>
        <w:t>pure-play</w:t>
      </w:r>
      <w:r w:rsidRPr="000677B6">
        <w:rPr>
          <w:rFonts w:eastAsia="Calibri"/>
          <w:sz w:val="26"/>
          <w:szCs w:val="26"/>
          <w:lang w:val="es-ES" w:eastAsia="en-US"/>
        </w:rPr>
        <w:t>) lo cual es una buena señal ya que permite mayor especialización. El 58% de las empresas encuestadas reportan haber realizado inversión en investigación y desarrollo (I+D) en el último año pero solo una quinta parte de las empresas cuenta con al menos una solicitud de patente (ver figura siguiente).</w:t>
      </w:r>
    </w:p>
    <w:tbl>
      <w:tblPr>
        <w:tblW w:w="9209" w:type="dxa"/>
        <w:tblLook w:val="04A0" w:firstRow="1" w:lastRow="0" w:firstColumn="1" w:lastColumn="0" w:noHBand="0" w:noVBand="1"/>
      </w:tblPr>
      <w:tblGrid>
        <w:gridCol w:w="9209"/>
      </w:tblGrid>
      <w:tr w:rsidR="000677B6" w:rsidRPr="000677B6" w14:paraId="209A9ABE" w14:textId="77777777" w:rsidTr="00082E99">
        <w:tc>
          <w:tcPr>
            <w:tcW w:w="9209" w:type="dxa"/>
          </w:tcPr>
          <w:p w14:paraId="7EDDDE00" w14:textId="77777777" w:rsidR="000677B6" w:rsidRPr="000677B6" w:rsidRDefault="000677B6" w:rsidP="000677B6">
            <w:pPr>
              <w:spacing w:after="200" w:line="276" w:lineRule="auto"/>
              <w:jc w:val="center"/>
              <w:rPr>
                <w:rFonts w:eastAsia="Calibri"/>
                <w:sz w:val="22"/>
                <w:szCs w:val="26"/>
                <w:lang w:val="es-ES" w:eastAsia="en-US"/>
              </w:rPr>
            </w:pPr>
            <w:r w:rsidRPr="000677B6">
              <w:rPr>
                <w:rFonts w:eastAsia="Calibri"/>
                <w:b/>
                <w:sz w:val="22"/>
                <w:szCs w:val="26"/>
                <w:lang w:val="es-ES" w:eastAsia="en-US"/>
              </w:rPr>
              <w:t>EMPRENDEDORES CLEANTECH EN MÉXICO</w:t>
            </w:r>
          </w:p>
        </w:tc>
      </w:tr>
      <w:tr w:rsidR="000677B6" w:rsidRPr="000677B6" w14:paraId="38B1E62C" w14:textId="77777777" w:rsidTr="00082E99">
        <w:tc>
          <w:tcPr>
            <w:tcW w:w="9209" w:type="dxa"/>
          </w:tcPr>
          <w:p w14:paraId="662F1E7F" w14:textId="77777777" w:rsidR="000677B6" w:rsidRPr="000677B6" w:rsidRDefault="000677B6" w:rsidP="000677B6">
            <w:pPr>
              <w:spacing w:after="200" w:line="276" w:lineRule="auto"/>
              <w:jc w:val="center"/>
              <w:rPr>
                <w:rFonts w:eastAsia="Calibri"/>
                <w:sz w:val="22"/>
                <w:szCs w:val="26"/>
                <w:lang w:val="es-ES" w:eastAsia="en-US"/>
              </w:rPr>
            </w:pPr>
            <w:r w:rsidRPr="000677B6">
              <w:rPr>
                <w:rFonts w:eastAsia="Calibri"/>
                <w:noProof/>
                <w:sz w:val="22"/>
                <w:szCs w:val="26"/>
                <w:lang w:eastAsia="es-MX"/>
              </w:rPr>
              <w:drawing>
                <wp:inline distT="0" distB="0" distL="0" distR="0" wp14:anchorId="7342B866" wp14:editId="61A91677">
                  <wp:extent cx="5231769" cy="4680000"/>
                  <wp:effectExtent l="0" t="0" r="0" b="0"/>
                  <wp:docPr id="147" name="Imagen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5" cstate="print">
                            <a:extLst>
                              <a:ext uri="{28A0092B-C50C-407E-A947-70E740481C1C}">
                                <a14:useLocalDpi xmlns:a14="http://schemas.microsoft.com/office/drawing/2010/main" val="0"/>
                              </a:ext>
                            </a:extLst>
                          </a:blip>
                          <a:srcRect t="652" b="908"/>
                          <a:stretch/>
                        </pic:blipFill>
                        <pic:spPr bwMode="auto">
                          <a:xfrm>
                            <a:off x="0" y="0"/>
                            <a:ext cx="5231769" cy="468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677B6" w:rsidRPr="000677B6" w14:paraId="486CD41A" w14:textId="77777777" w:rsidTr="00082E99">
        <w:tc>
          <w:tcPr>
            <w:tcW w:w="9209" w:type="dxa"/>
          </w:tcPr>
          <w:p w14:paraId="1BD7FF60" w14:textId="77777777" w:rsidR="000677B6" w:rsidRPr="000677B6" w:rsidRDefault="000677B6" w:rsidP="000677B6">
            <w:pPr>
              <w:spacing w:after="200" w:line="276" w:lineRule="auto"/>
              <w:ind w:firstLine="743"/>
              <w:jc w:val="both"/>
              <w:rPr>
                <w:rFonts w:eastAsia="Calibri"/>
                <w:sz w:val="20"/>
                <w:szCs w:val="26"/>
                <w:lang w:val="es-ES" w:eastAsia="en-US"/>
              </w:rPr>
            </w:pPr>
            <w:r w:rsidRPr="000677B6">
              <w:rPr>
                <w:rFonts w:eastAsia="Calibri"/>
                <w:sz w:val="20"/>
                <w:szCs w:val="26"/>
                <w:lang w:val="es-ES" w:eastAsia="en-US"/>
              </w:rPr>
              <w:t>FUENTE: Elaboración de la fuente con base en encuesta realizada, 2014.</w:t>
            </w:r>
          </w:p>
        </w:tc>
      </w:tr>
    </w:tbl>
    <w:p w14:paraId="1211B533" w14:textId="77777777" w:rsidR="000677B6" w:rsidRPr="000677B6" w:rsidRDefault="000677B6" w:rsidP="000677B6">
      <w:pPr>
        <w:spacing w:after="360" w:line="360" w:lineRule="auto"/>
        <w:ind w:right="-159"/>
        <w:jc w:val="both"/>
        <w:rPr>
          <w:rFonts w:eastAsia="Calibri"/>
          <w:sz w:val="26"/>
          <w:szCs w:val="26"/>
          <w:lang w:val="es-ES" w:eastAsia="en-US"/>
        </w:rPr>
      </w:pPr>
    </w:p>
    <w:p w14:paraId="4C613181" w14:textId="77777777" w:rsid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 xml:space="preserve">El sector cleantech se encuentra en una etapa inicial dentro de la economía mexicana. Por un lado, 40% de los casos analizados de emprendimientos en </w:t>
      </w:r>
      <w:r w:rsidRPr="00F443FB">
        <w:rPr>
          <w:rFonts w:eastAsia="Calibri"/>
          <w:i/>
          <w:sz w:val="26"/>
          <w:szCs w:val="26"/>
          <w:lang w:val="es-ES" w:eastAsia="en-US"/>
        </w:rPr>
        <w:t>cleantech</w:t>
      </w:r>
      <w:r w:rsidRPr="000677B6">
        <w:rPr>
          <w:rFonts w:eastAsia="Calibri"/>
          <w:sz w:val="26"/>
          <w:szCs w:val="26"/>
          <w:lang w:val="es-ES" w:eastAsia="en-US"/>
        </w:rPr>
        <w:t xml:space="preserve"> tienen </w:t>
      </w:r>
      <w:r w:rsidRPr="000677B6">
        <w:rPr>
          <w:rFonts w:eastAsia="Calibri"/>
          <w:sz w:val="26"/>
          <w:szCs w:val="26"/>
          <w:lang w:val="es-ES" w:eastAsia="en-US"/>
        </w:rPr>
        <w:lastRenderedPageBreak/>
        <w:t>ventas anuales menores a un millón de pesos y sólo 8% superan los 50 millones.  Sin embargo, destaca que el rango de mayor crecimiento entre 2011 y 2013 fue el de 4 a 50 millones de pesos (ver gráfica siguiente).</w:t>
      </w:r>
    </w:p>
    <w:tbl>
      <w:tblPr>
        <w:tblW w:w="9209" w:type="dxa"/>
        <w:tblLook w:val="04A0" w:firstRow="1" w:lastRow="0" w:firstColumn="1" w:lastColumn="0" w:noHBand="0" w:noVBand="1"/>
      </w:tblPr>
      <w:tblGrid>
        <w:gridCol w:w="9209"/>
      </w:tblGrid>
      <w:tr w:rsidR="000677B6" w:rsidRPr="000677B6" w14:paraId="06372DE9" w14:textId="77777777" w:rsidTr="00082E99">
        <w:tc>
          <w:tcPr>
            <w:tcW w:w="9209" w:type="dxa"/>
          </w:tcPr>
          <w:p w14:paraId="47B502BF" w14:textId="77777777" w:rsidR="000677B6" w:rsidRPr="000677B6" w:rsidRDefault="000677B6" w:rsidP="000677B6">
            <w:pPr>
              <w:spacing w:after="200" w:line="276" w:lineRule="auto"/>
              <w:jc w:val="center"/>
              <w:rPr>
                <w:rFonts w:eastAsia="Calibri"/>
                <w:sz w:val="22"/>
                <w:szCs w:val="26"/>
                <w:lang w:val="es-ES" w:eastAsia="en-US"/>
              </w:rPr>
            </w:pPr>
            <w:r w:rsidRPr="000677B6">
              <w:rPr>
                <w:rFonts w:eastAsia="Calibri"/>
                <w:b/>
                <w:sz w:val="22"/>
                <w:szCs w:val="26"/>
                <w:lang w:val="es-ES" w:eastAsia="en-US"/>
              </w:rPr>
              <w:t>GENERACIÓN DE INGRESOS DE EMPRESAS CLEANTECH</w:t>
            </w:r>
          </w:p>
        </w:tc>
      </w:tr>
      <w:tr w:rsidR="000677B6" w:rsidRPr="000677B6" w14:paraId="3CBC392D" w14:textId="77777777" w:rsidTr="00082E99">
        <w:tc>
          <w:tcPr>
            <w:tcW w:w="9209" w:type="dxa"/>
          </w:tcPr>
          <w:p w14:paraId="0DE8F2ED" w14:textId="77777777" w:rsidR="000677B6" w:rsidRPr="000677B6" w:rsidRDefault="000677B6" w:rsidP="000677B6">
            <w:pPr>
              <w:spacing w:after="200" w:line="276" w:lineRule="auto"/>
              <w:jc w:val="center"/>
              <w:rPr>
                <w:rFonts w:eastAsia="Calibri"/>
                <w:sz w:val="22"/>
                <w:szCs w:val="26"/>
                <w:lang w:val="es-ES" w:eastAsia="en-US"/>
              </w:rPr>
            </w:pPr>
            <w:r w:rsidRPr="000677B6">
              <w:rPr>
                <w:rFonts w:eastAsia="Calibri"/>
                <w:noProof/>
                <w:sz w:val="22"/>
                <w:szCs w:val="26"/>
                <w:lang w:eastAsia="es-MX"/>
              </w:rPr>
              <w:drawing>
                <wp:inline distT="0" distB="0" distL="0" distR="0" wp14:anchorId="2ECFC559" wp14:editId="73D2B34E">
                  <wp:extent cx="4745272" cy="3096000"/>
                  <wp:effectExtent l="0" t="0" r="0" b="0"/>
                  <wp:docPr id="148" name="Imagen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96" cstate="print">
                            <a:extLst>
                              <a:ext uri="{28A0092B-C50C-407E-A947-70E740481C1C}">
                                <a14:useLocalDpi xmlns:a14="http://schemas.microsoft.com/office/drawing/2010/main" val="0"/>
                              </a:ext>
                            </a:extLst>
                          </a:blip>
                          <a:srcRect t="711" b="1418"/>
                          <a:stretch/>
                        </pic:blipFill>
                        <pic:spPr bwMode="auto">
                          <a:xfrm>
                            <a:off x="0" y="0"/>
                            <a:ext cx="4745272" cy="3096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677B6" w:rsidRPr="000677B6" w14:paraId="06A5BBDB" w14:textId="77777777" w:rsidTr="00082E99">
        <w:tc>
          <w:tcPr>
            <w:tcW w:w="9209" w:type="dxa"/>
          </w:tcPr>
          <w:p w14:paraId="1BEA4D57" w14:textId="77777777" w:rsidR="000677B6" w:rsidRPr="000677B6" w:rsidRDefault="000677B6" w:rsidP="000677B6">
            <w:pPr>
              <w:spacing w:after="200" w:line="276" w:lineRule="auto"/>
              <w:ind w:firstLine="885"/>
              <w:jc w:val="both"/>
              <w:rPr>
                <w:rFonts w:eastAsia="Calibri"/>
                <w:sz w:val="20"/>
                <w:szCs w:val="26"/>
                <w:lang w:val="es-ES" w:eastAsia="en-US"/>
              </w:rPr>
            </w:pPr>
            <w:r w:rsidRPr="000677B6">
              <w:rPr>
                <w:rFonts w:eastAsia="Calibri"/>
                <w:sz w:val="20"/>
                <w:szCs w:val="26"/>
                <w:lang w:val="es-ES" w:eastAsia="en-US"/>
              </w:rPr>
              <w:t>FUENTE: Elaboración de la fuente con base en encuesta realizada, 2014.</w:t>
            </w:r>
          </w:p>
        </w:tc>
      </w:tr>
    </w:tbl>
    <w:p w14:paraId="1F246B58" w14:textId="77777777" w:rsidR="000677B6" w:rsidRPr="000677B6" w:rsidRDefault="000677B6" w:rsidP="000677B6">
      <w:pPr>
        <w:spacing w:after="360" w:line="360" w:lineRule="auto"/>
        <w:ind w:right="-159"/>
        <w:jc w:val="both"/>
        <w:rPr>
          <w:rFonts w:eastAsia="Calibri"/>
          <w:sz w:val="26"/>
          <w:szCs w:val="26"/>
          <w:lang w:val="es-ES" w:eastAsia="en-US"/>
        </w:rPr>
      </w:pPr>
    </w:p>
    <w:p w14:paraId="5336DDF1" w14:textId="203D8565"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Pese a su tamaño, el sector y sus empresas han evolucionado</w:t>
      </w:r>
      <w:r w:rsidRPr="000677B6">
        <w:rPr>
          <w:rFonts w:eastAsia="Calibri"/>
          <w:sz w:val="26"/>
          <w:szCs w:val="26"/>
          <w:vertAlign w:val="superscript"/>
          <w:lang w:val="es-ES" w:eastAsia="en-US"/>
        </w:rPr>
        <w:footnoteReference w:id="33"/>
      </w:r>
      <w:r w:rsidRPr="000677B6">
        <w:rPr>
          <w:rFonts w:eastAsia="Calibri"/>
          <w:sz w:val="26"/>
          <w:szCs w:val="26"/>
          <w:lang w:val="es-ES" w:eastAsia="en-US"/>
        </w:rPr>
        <w:t xml:space="preserve"> en los últimos cinco años al pasar de emprendimientos con un enfoque en la recolección y reutilización de residuos sólidos como papel, tereftalato de polietileno (PET) y cartón, a empresas de energía renovable, proyectos de eficiencia energética en industria y a la incorporación de tecnología y prácticas sustentables en sectores como los de la construcción, transporte y agricultura</w:t>
      </w:r>
      <w:r w:rsidRPr="000677B6">
        <w:rPr>
          <w:rFonts w:eastAsia="Calibri"/>
          <w:sz w:val="26"/>
          <w:szCs w:val="26"/>
          <w:vertAlign w:val="superscript"/>
          <w:lang w:val="es-ES" w:eastAsia="en-US"/>
        </w:rPr>
        <w:footnoteReference w:id="34"/>
      </w:r>
      <w:r w:rsidRPr="000677B6">
        <w:rPr>
          <w:rFonts w:eastAsia="Calibri"/>
          <w:sz w:val="26"/>
          <w:szCs w:val="26"/>
          <w:lang w:val="es-ES" w:eastAsia="en-US"/>
        </w:rPr>
        <w:t xml:space="preserve">. De hecho, de acuerdo con los resultados de la encuesta realizada, actualmente la mayor parte de los emprendimientos de tecnologías limpias </w:t>
      </w:r>
      <w:r w:rsidRPr="000677B6">
        <w:rPr>
          <w:rFonts w:eastAsia="Calibri"/>
          <w:sz w:val="26"/>
          <w:szCs w:val="26"/>
          <w:lang w:val="es-ES" w:eastAsia="en-US"/>
        </w:rPr>
        <w:lastRenderedPageBreak/>
        <w:t>se encuentra en el sector energético (35%), en particular en las energías renovables (16%), seguido por eficiencia energética con 14% y gestión de residuos con 13% (ver gráfica siguiente).</w:t>
      </w:r>
    </w:p>
    <w:tbl>
      <w:tblPr>
        <w:tblW w:w="9451" w:type="dxa"/>
        <w:tblLook w:val="04A0" w:firstRow="1" w:lastRow="0" w:firstColumn="1" w:lastColumn="0" w:noHBand="0" w:noVBand="1"/>
      </w:tblPr>
      <w:tblGrid>
        <w:gridCol w:w="9451"/>
      </w:tblGrid>
      <w:tr w:rsidR="000677B6" w:rsidRPr="000677B6" w14:paraId="7D613040" w14:textId="77777777" w:rsidTr="00082E99">
        <w:tc>
          <w:tcPr>
            <w:tcW w:w="9451" w:type="dxa"/>
          </w:tcPr>
          <w:p w14:paraId="7AED519F" w14:textId="77777777" w:rsidR="000677B6" w:rsidRPr="000677B6" w:rsidRDefault="000677B6" w:rsidP="000677B6">
            <w:pPr>
              <w:spacing w:after="200" w:line="276" w:lineRule="auto"/>
              <w:jc w:val="center"/>
              <w:rPr>
                <w:rFonts w:eastAsia="Calibri"/>
                <w:sz w:val="22"/>
                <w:szCs w:val="26"/>
                <w:lang w:val="es-ES" w:eastAsia="en-US"/>
              </w:rPr>
            </w:pPr>
            <w:r w:rsidRPr="000677B6">
              <w:rPr>
                <w:rFonts w:eastAsia="Calibri"/>
                <w:b/>
                <w:sz w:val="22"/>
                <w:szCs w:val="26"/>
                <w:lang w:val="es-ES" w:eastAsia="en-US"/>
              </w:rPr>
              <w:t>SECTORES MÁS RELEVANTES DE CLEANTECH EN MÉXICO EN 2014</w:t>
            </w:r>
          </w:p>
        </w:tc>
      </w:tr>
      <w:tr w:rsidR="000677B6" w:rsidRPr="000677B6" w14:paraId="5019AC44" w14:textId="77777777" w:rsidTr="00082E99">
        <w:tc>
          <w:tcPr>
            <w:tcW w:w="9451" w:type="dxa"/>
          </w:tcPr>
          <w:p w14:paraId="1485123F" w14:textId="77777777" w:rsidR="000677B6" w:rsidRPr="000677B6" w:rsidRDefault="000677B6" w:rsidP="000677B6">
            <w:pPr>
              <w:spacing w:after="200" w:line="276" w:lineRule="auto"/>
              <w:jc w:val="center"/>
              <w:rPr>
                <w:rFonts w:eastAsia="Calibri"/>
                <w:sz w:val="22"/>
                <w:szCs w:val="26"/>
                <w:lang w:val="es-ES" w:eastAsia="en-US"/>
              </w:rPr>
            </w:pPr>
            <w:r w:rsidRPr="000677B6">
              <w:rPr>
                <w:rFonts w:eastAsia="Calibri"/>
                <w:noProof/>
                <w:sz w:val="22"/>
                <w:szCs w:val="26"/>
                <w:lang w:eastAsia="es-MX"/>
              </w:rPr>
              <w:drawing>
                <wp:inline distT="0" distB="0" distL="0" distR="0" wp14:anchorId="7535BE94" wp14:editId="29DD2EBA">
                  <wp:extent cx="5864229" cy="2880000"/>
                  <wp:effectExtent l="0" t="0" r="0" b="0"/>
                  <wp:docPr id="149" name="Imagen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97" cstate="print">
                            <a:extLst>
                              <a:ext uri="{28A0092B-C50C-407E-A947-70E740481C1C}">
                                <a14:useLocalDpi xmlns:a14="http://schemas.microsoft.com/office/drawing/2010/main" val="0"/>
                              </a:ext>
                            </a:extLst>
                          </a:blip>
                          <a:srcRect t="14182" b="11494"/>
                          <a:stretch/>
                        </pic:blipFill>
                        <pic:spPr bwMode="auto">
                          <a:xfrm>
                            <a:off x="0" y="0"/>
                            <a:ext cx="5864229" cy="288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677B6" w:rsidRPr="000677B6" w14:paraId="2D3485BE" w14:textId="77777777" w:rsidTr="00082E99">
        <w:tc>
          <w:tcPr>
            <w:tcW w:w="9451" w:type="dxa"/>
          </w:tcPr>
          <w:p w14:paraId="03F27B15" w14:textId="77777777" w:rsidR="000677B6" w:rsidRPr="000677B6" w:rsidRDefault="000677B6" w:rsidP="009D6EC3">
            <w:pPr>
              <w:ind w:firstLine="459"/>
              <w:jc w:val="both"/>
              <w:rPr>
                <w:rFonts w:eastAsia="Calibri"/>
                <w:sz w:val="20"/>
                <w:szCs w:val="26"/>
                <w:lang w:val="es-ES" w:eastAsia="en-US"/>
              </w:rPr>
            </w:pPr>
            <w:r w:rsidRPr="000677B6">
              <w:rPr>
                <w:rFonts w:eastAsia="Calibri"/>
                <w:sz w:val="20"/>
                <w:szCs w:val="26"/>
                <w:lang w:val="es-ES" w:eastAsia="en-US"/>
              </w:rPr>
              <w:t>* Tecnologías de la información y comunicación, 2014</w:t>
            </w:r>
          </w:p>
          <w:p w14:paraId="086887F5" w14:textId="77777777" w:rsidR="000677B6" w:rsidRPr="000677B6" w:rsidRDefault="000677B6" w:rsidP="009D6EC3">
            <w:pPr>
              <w:ind w:firstLine="459"/>
              <w:jc w:val="both"/>
              <w:rPr>
                <w:rFonts w:eastAsia="Calibri"/>
                <w:sz w:val="20"/>
                <w:szCs w:val="26"/>
                <w:lang w:val="es-ES" w:eastAsia="en-US"/>
              </w:rPr>
            </w:pPr>
            <w:r w:rsidRPr="000677B6">
              <w:rPr>
                <w:rFonts w:eastAsia="Calibri"/>
                <w:sz w:val="20"/>
                <w:szCs w:val="26"/>
                <w:lang w:val="es-ES" w:eastAsia="en-US"/>
              </w:rPr>
              <w:t>FUENTE: Elaboración de la fuente con base en encuesta realizada, 2014.</w:t>
            </w:r>
          </w:p>
        </w:tc>
      </w:tr>
    </w:tbl>
    <w:p w14:paraId="52FB854A" w14:textId="77777777" w:rsidR="000677B6" w:rsidRPr="000677B6" w:rsidRDefault="000677B6" w:rsidP="000677B6">
      <w:pPr>
        <w:spacing w:after="360" w:line="360" w:lineRule="auto"/>
        <w:ind w:right="-159"/>
        <w:jc w:val="both"/>
        <w:rPr>
          <w:rFonts w:eastAsia="Calibri"/>
          <w:sz w:val="26"/>
          <w:szCs w:val="26"/>
          <w:lang w:val="es-ES" w:eastAsia="en-US"/>
        </w:rPr>
      </w:pPr>
    </w:p>
    <w:p w14:paraId="16355BBA" w14:textId="77777777" w:rsidR="000677B6" w:rsidRPr="000677B6" w:rsidRDefault="000677B6" w:rsidP="000677B6">
      <w:pPr>
        <w:spacing w:after="360" w:line="360" w:lineRule="auto"/>
        <w:ind w:right="-159"/>
        <w:jc w:val="both"/>
        <w:rPr>
          <w:rFonts w:eastAsia="Calibri"/>
          <w:b/>
          <w:sz w:val="26"/>
          <w:szCs w:val="26"/>
          <w:lang w:val="es-ES" w:eastAsia="en-US"/>
        </w:rPr>
      </w:pPr>
      <w:r w:rsidRPr="000677B6">
        <w:rPr>
          <w:rFonts w:eastAsia="Calibri"/>
          <w:b/>
          <w:sz w:val="26"/>
          <w:szCs w:val="26"/>
          <w:lang w:val="es-ES" w:eastAsia="en-US"/>
        </w:rPr>
        <w:t>Situación actual del sector</w:t>
      </w:r>
    </w:p>
    <w:p w14:paraId="180C9B01"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 xml:space="preserve">México ocupa el lugar 36 de los 40 países evaluados en el </w:t>
      </w:r>
      <w:r w:rsidRPr="000677B6">
        <w:rPr>
          <w:rFonts w:eastAsia="Calibri"/>
          <w:i/>
          <w:sz w:val="26"/>
          <w:szCs w:val="26"/>
          <w:lang w:val="es-ES" w:eastAsia="en-US"/>
        </w:rPr>
        <w:t>Global Cleantech Innovation Index 2014</w:t>
      </w:r>
      <w:r w:rsidRPr="000677B6">
        <w:rPr>
          <w:rFonts w:eastAsia="Calibri"/>
          <w:sz w:val="26"/>
          <w:szCs w:val="26"/>
          <w:lang w:val="es-ES" w:eastAsia="en-US"/>
        </w:rPr>
        <w:t xml:space="preserve"> (un retroceso de cuatro posiciones con respecto a 2012). De acuerdo con estos resultados, el país enfrenta varias dificultades tanto para impulsar la innovación como para apoyar a los emprendedores. Actualmente, el desarrollo y comercialización de innovaciones mexicanas se mantiene activo gracias a una cultura emprendedora nacional respaldada por incentivos fiscales dirigidos a pequeñas y medianas empresas. Sin embargo, México encara serios retos con respecto al acceso a financiamiento público y privado, y a la escasa vinculación entre el sector privado y la academia. Las repercusiones por un déficit de emprendimientos en cleantech se ven reflejadas en la </w:t>
      </w:r>
      <w:r w:rsidRPr="000677B6">
        <w:rPr>
          <w:rFonts w:eastAsia="Calibri"/>
          <w:sz w:val="26"/>
          <w:szCs w:val="26"/>
          <w:lang w:val="es-ES" w:eastAsia="en-US"/>
        </w:rPr>
        <w:lastRenderedPageBreak/>
        <w:t>baja demanda de energías renovables y la utilización no sustentable de recursos, así como en una falta generalizada de prácticas de consumo y producción sustentable.</w:t>
      </w:r>
    </w:p>
    <w:p w14:paraId="36A34430"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 xml:space="preserve">Al mismo tiempo, de acuerdo con el </w:t>
      </w:r>
      <w:r w:rsidRPr="000677B6">
        <w:rPr>
          <w:rFonts w:eastAsia="Calibri"/>
          <w:i/>
          <w:sz w:val="26"/>
          <w:szCs w:val="26"/>
          <w:lang w:val="es-ES" w:eastAsia="en-US"/>
        </w:rPr>
        <w:t>Global Entrepreneurship and Development Index</w:t>
      </w:r>
      <w:r w:rsidRPr="000677B6">
        <w:rPr>
          <w:rFonts w:eastAsia="Calibri"/>
          <w:sz w:val="26"/>
          <w:szCs w:val="26"/>
          <w:lang w:val="es-ES" w:eastAsia="en-US"/>
        </w:rPr>
        <w:t>, México ha avanzado en temas de emprendimiento particularmente por la percepción de una mayor oportunidad, el lanzamiento de nuevas empresas y la innovación de productos</w:t>
      </w:r>
      <w:r w:rsidRPr="000677B6">
        <w:rPr>
          <w:rFonts w:eastAsia="Calibri"/>
          <w:sz w:val="26"/>
          <w:szCs w:val="26"/>
          <w:vertAlign w:val="superscript"/>
          <w:lang w:val="es-ES" w:eastAsia="en-US"/>
        </w:rPr>
        <w:footnoteReference w:id="35"/>
      </w:r>
      <w:r w:rsidRPr="000677B6">
        <w:rPr>
          <w:rFonts w:eastAsia="Calibri"/>
          <w:sz w:val="26"/>
          <w:szCs w:val="26"/>
          <w:lang w:val="es-ES" w:eastAsia="en-US"/>
        </w:rPr>
        <w:t>. Pero por otro lado, el país adolece en términos de sofisticación de negocios, con un número bajo de empleos basados en conocimiento, falta de financiamiento extranjero y un bajo nivel de patentamiento por inventores mexicanos</w:t>
      </w:r>
      <w:r w:rsidRPr="000677B6">
        <w:rPr>
          <w:rFonts w:eastAsia="Calibri"/>
          <w:sz w:val="26"/>
          <w:szCs w:val="26"/>
          <w:vertAlign w:val="superscript"/>
          <w:lang w:val="es-ES" w:eastAsia="en-US"/>
        </w:rPr>
        <w:footnoteReference w:id="36"/>
      </w:r>
      <w:r w:rsidRPr="000677B6">
        <w:rPr>
          <w:rFonts w:eastAsia="Calibri"/>
          <w:sz w:val="26"/>
          <w:szCs w:val="26"/>
          <w:lang w:val="es-ES" w:eastAsia="en-US"/>
        </w:rPr>
        <w:t>.</w:t>
      </w:r>
    </w:p>
    <w:p w14:paraId="307BC293"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Para detonar un sector como el de cleantech, la innovación es el elemento catalizador debido a su intensidad de capital. Posteriormente, el reto se convierte en formas de comercializar las ideas para que lleguen al mercado. Sin embargo, no basta la creación de una nueva cultura emprendedora o la implementación de incentivos fiscales, se requiere entender mejor este mercado para fomentar un desarrollo más acelerado de cleantech que permita a México cumplir con sus objetivos de desarrollo económico y sus compromisos internacionales de cambio climático, entre otros. Para analizar el estado de cleantech en México se evaluaron cinco variables representativas de innovación y cuatro de comercialización (cuadro siguiente).</w:t>
      </w:r>
    </w:p>
    <w:tbl>
      <w:tblPr>
        <w:tblW w:w="0" w:type="auto"/>
        <w:jc w:val="center"/>
        <w:tblLook w:val="04A0" w:firstRow="1" w:lastRow="0" w:firstColumn="1" w:lastColumn="0" w:noHBand="0" w:noVBand="1"/>
      </w:tblPr>
      <w:tblGrid>
        <w:gridCol w:w="3579"/>
        <w:gridCol w:w="4413"/>
      </w:tblGrid>
      <w:tr w:rsidR="000677B6" w:rsidRPr="000677B6" w14:paraId="02AA38EA" w14:textId="77777777" w:rsidTr="00C676DA">
        <w:trPr>
          <w:jc w:val="center"/>
        </w:trPr>
        <w:tc>
          <w:tcPr>
            <w:tcW w:w="7992" w:type="dxa"/>
            <w:gridSpan w:val="2"/>
            <w:tcBorders>
              <w:top w:val="nil"/>
              <w:left w:val="nil"/>
              <w:bottom w:val="single" w:sz="4" w:space="0" w:color="auto"/>
              <w:right w:val="nil"/>
            </w:tcBorders>
            <w:vAlign w:val="center"/>
          </w:tcPr>
          <w:p w14:paraId="16E452C7" w14:textId="77777777" w:rsidR="000677B6" w:rsidRPr="000677B6" w:rsidRDefault="000677B6" w:rsidP="00C676DA">
            <w:pPr>
              <w:jc w:val="center"/>
              <w:rPr>
                <w:rFonts w:eastAsia="Calibri"/>
                <w:b/>
                <w:sz w:val="22"/>
                <w:szCs w:val="22"/>
                <w:lang w:val="es-ES" w:eastAsia="en-US"/>
              </w:rPr>
            </w:pPr>
            <w:r w:rsidRPr="000677B6">
              <w:rPr>
                <w:rFonts w:eastAsia="Calibri"/>
                <w:b/>
                <w:sz w:val="22"/>
                <w:szCs w:val="22"/>
                <w:lang w:val="es-ES" w:eastAsia="en-US"/>
              </w:rPr>
              <w:t xml:space="preserve">EVIDENCIAS DE INNOVACIÓN Y COMERCIALIZACIÓN </w:t>
            </w:r>
          </w:p>
          <w:p w14:paraId="504859CF" w14:textId="77777777" w:rsidR="000677B6" w:rsidRPr="000677B6" w:rsidRDefault="000677B6" w:rsidP="00C676DA">
            <w:pPr>
              <w:jc w:val="center"/>
              <w:rPr>
                <w:rFonts w:eastAsia="Calibri"/>
                <w:b/>
                <w:sz w:val="22"/>
                <w:szCs w:val="22"/>
                <w:lang w:val="es-ES" w:eastAsia="en-US"/>
              </w:rPr>
            </w:pPr>
            <w:r w:rsidRPr="000677B6">
              <w:rPr>
                <w:rFonts w:eastAsia="Calibri"/>
                <w:b/>
                <w:sz w:val="22"/>
                <w:szCs w:val="22"/>
                <w:lang w:val="es-ES" w:eastAsia="en-US"/>
              </w:rPr>
              <w:t>DE CLEANTECH EN MÉXICO</w:t>
            </w:r>
          </w:p>
        </w:tc>
      </w:tr>
      <w:tr w:rsidR="000677B6" w:rsidRPr="000677B6" w14:paraId="0EC683FB" w14:textId="77777777" w:rsidTr="00C676DA">
        <w:trPr>
          <w:jc w:val="center"/>
        </w:trPr>
        <w:tc>
          <w:tcPr>
            <w:tcW w:w="3579" w:type="dxa"/>
            <w:tcBorders>
              <w:top w:val="single" w:sz="4" w:space="0" w:color="auto"/>
              <w:left w:val="single" w:sz="4" w:space="0" w:color="auto"/>
              <w:bottom w:val="single" w:sz="4" w:space="0" w:color="auto"/>
              <w:right w:val="single" w:sz="4" w:space="0" w:color="auto"/>
            </w:tcBorders>
            <w:vAlign w:val="center"/>
          </w:tcPr>
          <w:p w14:paraId="57560CE6" w14:textId="77777777" w:rsidR="000677B6" w:rsidRPr="000677B6" w:rsidRDefault="000677B6" w:rsidP="00C676DA">
            <w:pPr>
              <w:spacing w:beforeLines="20" w:before="48"/>
              <w:jc w:val="center"/>
              <w:rPr>
                <w:rFonts w:eastAsia="Calibri"/>
                <w:b/>
                <w:sz w:val="18"/>
                <w:szCs w:val="18"/>
                <w:lang w:val="es-ES" w:eastAsia="en-US"/>
              </w:rPr>
            </w:pPr>
            <w:r w:rsidRPr="000677B6">
              <w:rPr>
                <w:rFonts w:eastAsia="Calibri"/>
                <w:b/>
                <w:sz w:val="18"/>
                <w:szCs w:val="18"/>
                <w:lang w:val="es-ES" w:eastAsia="en-US"/>
              </w:rPr>
              <w:t>Innovación</w:t>
            </w:r>
          </w:p>
        </w:tc>
        <w:tc>
          <w:tcPr>
            <w:tcW w:w="4413" w:type="dxa"/>
            <w:tcBorders>
              <w:top w:val="single" w:sz="4" w:space="0" w:color="auto"/>
              <w:left w:val="single" w:sz="4" w:space="0" w:color="auto"/>
              <w:bottom w:val="single" w:sz="4" w:space="0" w:color="auto"/>
              <w:right w:val="single" w:sz="4" w:space="0" w:color="auto"/>
            </w:tcBorders>
            <w:vAlign w:val="center"/>
          </w:tcPr>
          <w:p w14:paraId="1B39ADA0" w14:textId="77777777" w:rsidR="000677B6" w:rsidRPr="000677B6" w:rsidRDefault="000677B6" w:rsidP="00C676DA">
            <w:pPr>
              <w:spacing w:beforeLines="20" w:before="48"/>
              <w:jc w:val="center"/>
              <w:rPr>
                <w:rFonts w:eastAsia="Calibri"/>
                <w:b/>
                <w:sz w:val="18"/>
                <w:szCs w:val="18"/>
                <w:lang w:val="es-ES" w:eastAsia="en-US"/>
              </w:rPr>
            </w:pPr>
            <w:r w:rsidRPr="000677B6">
              <w:rPr>
                <w:rFonts w:eastAsia="Calibri"/>
                <w:b/>
                <w:sz w:val="18"/>
                <w:szCs w:val="18"/>
                <w:lang w:val="es-ES" w:eastAsia="en-US"/>
              </w:rPr>
              <w:t>Comercialización</w:t>
            </w:r>
          </w:p>
        </w:tc>
      </w:tr>
      <w:tr w:rsidR="000677B6" w:rsidRPr="000677B6" w14:paraId="6EB535A9" w14:textId="77777777" w:rsidTr="00C676DA">
        <w:trPr>
          <w:jc w:val="center"/>
        </w:trPr>
        <w:tc>
          <w:tcPr>
            <w:tcW w:w="3579" w:type="dxa"/>
            <w:tcBorders>
              <w:left w:val="single" w:sz="4" w:space="0" w:color="auto"/>
              <w:bottom w:val="nil"/>
              <w:right w:val="single" w:sz="4" w:space="0" w:color="auto"/>
            </w:tcBorders>
            <w:vAlign w:val="center"/>
          </w:tcPr>
          <w:p w14:paraId="70C1F824" w14:textId="77777777" w:rsidR="000677B6" w:rsidRPr="000677B6" w:rsidRDefault="000677B6" w:rsidP="00C676DA">
            <w:pPr>
              <w:spacing w:beforeLines="20" w:before="48"/>
              <w:jc w:val="both"/>
              <w:rPr>
                <w:rFonts w:eastAsia="Calibri"/>
                <w:sz w:val="18"/>
                <w:szCs w:val="18"/>
                <w:lang w:val="es-ES" w:eastAsia="en-US"/>
              </w:rPr>
            </w:pPr>
            <w:r w:rsidRPr="000677B6">
              <w:rPr>
                <w:rFonts w:eastAsia="Calibri"/>
                <w:sz w:val="18"/>
                <w:szCs w:val="18"/>
                <w:lang w:val="es-ES" w:eastAsia="en-US"/>
              </w:rPr>
              <w:t>Inversión en Investigación y Desarrollo (I+D)</w:t>
            </w:r>
          </w:p>
        </w:tc>
        <w:tc>
          <w:tcPr>
            <w:tcW w:w="4413" w:type="dxa"/>
            <w:tcBorders>
              <w:left w:val="single" w:sz="4" w:space="0" w:color="auto"/>
              <w:bottom w:val="nil"/>
              <w:right w:val="single" w:sz="4" w:space="0" w:color="auto"/>
            </w:tcBorders>
            <w:vAlign w:val="center"/>
          </w:tcPr>
          <w:p w14:paraId="5C59739D" w14:textId="77777777" w:rsidR="000677B6" w:rsidRPr="000677B6" w:rsidRDefault="000677B6" w:rsidP="00C676DA">
            <w:pPr>
              <w:spacing w:beforeLines="20" w:before="48"/>
              <w:jc w:val="both"/>
              <w:rPr>
                <w:rFonts w:eastAsia="Calibri"/>
                <w:sz w:val="18"/>
                <w:szCs w:val="18"/>
                <w:lang w:val="es-ES" w:eastAsia="en-US"/>
              </w:rPr>
            </w:pPr>
            <w:r w:rsidRPr="000677B6">
              <w:rPr>
                <w:rFonts w:eastAsia="Calibri"/>
                <w:sz w:val="18"/>
                <w:szCs w:val="18"/>
                <w:lang w:val="es-ES" w:eastAsia="en-US"/>
              </w:rPr>
              <w:t>Inversión en etapa de escalamiento</w:t>
            </w:r>
          </w:p>
        </w:tc>
      </w:tr>
      <w:tr w:rsidR="000677B6" w:rsidRPr="000677B6" w14:paraId="435D6807" w14:textId="77777777" w:rsidTr="00C676DA">
        <w:trPr>
          <w:jc w:val="center"/>
        </w:trPr>
        <w:tc>
          <w:tcPr>
            <w:tcW w:w="3579" w:type="dxa"/>
            <w:tcBorders>
              <w:top w:val="nil"/>
              <w:left w:val="single" w:sz="4" w:space="0" w:color="auto"/>
              <w:bottom w:val="nil"/>
              <w:right w:val="single" w:sz="4" w:space="0" w:color="auto"/>
            </w:tcBorders>
            <w:vAlign w:val="center"/>
          </w:tcPr>
          <w:p w14:paraId="38D87640" w14:textId="77777777" w:rsidR="000677B6" w:rsidRPr="000677B6" w:rsidRDefault="000677B6" w:rsidP="00C676DA">
            <w:pPr>
              <w:spacing w:beforeLines="20" w:before="48"/>
              <w:jc w:val="both"/>
              <w:rPr>
                <w:rFonts w:eastAsia="Calibri"/>
                <w:sz w:val="18"/>
                <w:szCs w:val="18"/>
                <w:lang w:val="es-ES" w:eastAsia="en-US"/>
              </w:rPr>
            </w:pPr>
            <w:r w:rsidRPr="000677B6">
              <w:rPr>
                <w:rFonts w:eastAsia="Calibri"/>
                <w:sz w:val="18"/>
                <w:szCs w:val="18"/>
                <w:lang w:val="es-ES" w:eastAsia="en-US"/>
              </w:rPr>
              <w:t xml:space="preserve">Patentamiento </w:t>
            </w:r>
            <w:r w:rsidRPr="00F443FB">
              <w:rPr>
                <w:rFonts w:eastAsia="Calibri"/>
                <w:i/>
                <w:sz w:val="18"/>
                <w:szCs w:val="18"/>
                <w:lang w:val="es-ES" w:eastAsia="en-US"/>
              </w:rPr>
              <w:t>Cleantech</w:t>
            </w:r>
          </w:p>
        </w:tc>
        <w:tc>
          <w:tcPr>
            <w:tcW w:w="4413" w:type="dxa"/>
            <w:tcBorders>
              <w:top w:val="nil"/>
              <w:left w:val="single" w:sz="4" w:space="0" w:color="auto"/>
              <w:bottom w:val="nil"/>
              <w:right w:val="single" w:sz="4" w:space="0" w:color="auto"/>
            </w:tcBorders>
            <w:vAlign w:val="center"/>
          </w:tcPr>
          <w:p w14:paraId="633D57C7" w14:textId="77777777" w:rsidR="000677B6" w:rsidRPr="000677B6" w:rsidRDefault="000677B6" w:rsidP="00C676DA">
            <w:pPr>
              <w:spacing w:beforeLines="20" w:before="48"/>
              <w:jc w:val="both"/>
              <w:rPr>
                <w:rFonts w:eastAsia="Calibri"/>
                <w:sz w:val="18"/>
                <w:szCs w:val="18"/>
                <w:lang w:val="es-ES" w:eastAsia="en-US"/>
              </w:rPr>
            </w:pPr>
            <w:r w:rsidRPr="000677B6">
              <w:rPr>
                <w:rFonts w:eastAsia="Calibri"/>
                <w:sz w:val="18"/>
                <w:szCs w:val="18"/>
                <w:lang w:val="es-ES" w:eastAsia="en-US"/>
              </w:rPr>
              <w:t>Salidas exitosas y recuperación de inversiones</w:t>
            </w:r>
          </w:p>
        </w:tc>
      </w:tr>
      <w:tr w:rsidR="000677B6" w:rsidRPr="000677B6" w14:paraId="6775B847" w14:textId="77777777" w:rsidTr="00C676DA">
        <w:trPr>
          <w:jc w:val="center"/>
        </w:trPr>
        <w:tc>
          <w:tcPr>
            <w:tcW w:w="3579" w:type="dxa"/>
            <w:tcBorders>
              <w:top w:val="nil"/>
              <w:left w:val="single" w:sz="4" w:space="0" w:color="auto"/>
              <w:bottom w:val="nil"/>
              <w:right w:val="single" w:sz="4" w:space="0" w:color="auto"/>
            </w:tcBorders>
            <w:vAlign w:val="center"/>
          </w:tcPr>
          <w:p w14:paraId="716C9C3F" w14:textId="77777777" w:rsidR="000677B6" w:rsidRPr="000677B6" w:rsidRDefault="000677B6" w:rsidP="00C676DA">
            <w:pPr>
              <w:spacing w:beforeLines="20" w:before="48"/>
              <w:jc w:val="both"/>
              <w:rPr>
                <w:rFonts w:eastAsia="Calibri"/>
                <w:sz w:val="18"/>
                <w:szCs w:val="18"/>
                <w:lang w:val="es-ES" w:eastAsia="en-US"/>
              </w:rPr>
            </w:pPr>
            <w:r w:rsidRPr="000677B6">
              <w:rPr>
                <w:rFonts w:eastAsia="Calibri"/>
                <w:sz w:val="18"/>
                <w:szCs w:val="18"/>
                <w:lang w:val="es-ES" w:eastAsia="en-US"/>
              </w:rPr>
              <w:t xml:space="preserve">Empresas dedicadas a </w:t>
            </w:r>
            <w:r w:rsidRPr="00F443FB">
              <w:rPr>
                <w:rFonts w:eastAsia="Calibri"/>
                <w:i/>
                <w:sz w:val="18"/>
                <w:szCs w:val="18"/>
                <w:lang w:val="es-ES" w:eastAsia="en-US"/>
              </w:rPr>
              <w:t>Cleantech</w:t>
            </w:r>
          </w:p>
        </w:tc>
        <w:tc>
          <w:tcPr>
            <w:tcW w:w="4413" w:type="dxa"/>
            <w:tcBorders>
              <w:top w:val="nil"/>
              <w:left w:val="single" w:sz="4" w:space="0" w:color="auto"/>
              <w:bottom w:val="nil"/>
              <w:right w:val="single" w:sz="4" w:space="0" w:color="auto"/>
            </w:tcBorders>
            <w:vAlign w:val="center"/>
          </w:tcPr>
          <w:p w14:paraId="6EB31691" w14:textId="77777777" w:rsidR="000677B6" w:rsidRPr="000677B6" w:rsidRDefault="000677B6" w:rsidP="00C676DA">
            <w:pPr>
              <w:spacing w:beforeLines="20" w:before="48"/>
              <w:jc w:val="both"/>
              <w:rPr>
                <w:rFonts w:eastAsia="Calibri"/>
                <w:sz w:val="18"/>
                <w:szCs w:val="18"/>
                <w:lang w:val="es-ES" w:eastAsia="en-US"/>
              </w:rPr>
            </w:pPr>
            <w:r w:rsidRPr="000677B6">
              <w:rPr>
                <w:rFonts w:eastAsia="Calibri"/>
                <w:sz w:val="18"/>
                <w:szCs w:val="18"/>
                <w:lang w:val="es-ES" w:eastAsia="en-US"/>
              </w:rPr>
              <w:t xml:space="preserve">Grado de conglomeración (número de </w:t>
            </w:r>
            <w:r w:rsidRPr="00F443FB">
              <w:rPr>
                <w:rFonts w:eastAsia="Calibri"/>
                <w:i/>
                <w:sz w:val="18"/>
                <w:szCs w:val="18"/>
                <w:lang w:val="es-ES" w:eastAsia="en-US"/>
              </w:rPr>
              <w:t>Clusters</w:t>
            </w:r>
            <w:r w:rsidRPr="000677B6">
              <w:rPr>
                <w:rFonts w:eastAsia="Calibri"/>
                <w:sz w:val="18"/>
                <w:szCs w:val="18"/>
                <w:lang w:val="es-ES" w:eastAsia="en-US"/>
              </w:rPr>
              <w:t>)</w:t>
            </w:r>
          </w:p>
        </w:tc>
      </w:tr>
      <w:tr w:rsidR="000677B6" w:rsidRPr="000677B6" w14:paraId="15408844" w14:textId="77777777" w:rsidTr="00C676DA">
        <w:trPr>
          <w:jc w:val="center"/>
        </w:trPr>
        <w:tc>
          <w:tcPr>
            <w:tcW w:w="3579" w:type="dxa"/>
            <w:tcBorders>
              <w:top w:val="nil"/>
              <w:left w:val="single" w:sz="4" w:space="0" w:color="auto"/>
              <w:bottom w:val="nil"/>
              <w:right w:val="single" w:sz="4" w:space="0" w:color="auto"/>
            </w:tcBorders>
            <w:vAlign w:val="center"/>
          </w:tcPr>
          <w:p w14:paraId="2A2B6285" w14:textId="77777777" w:rsidR="000677B6" w:rsidRPr="000677B6" w:rsidRDefault="000677B6" w:rsidP="00C676DA">
            <w:pPr>
              <w:spacing w:beforeLines="20" w:before="48"/>
              <w:jc w:val="both"/>
              <w:rPr>
                <w:rFonts w:eastAsia="Calibri"/>
                <w:sz w:val="18"/>
                <w:szCs w:val="18"/>
                <w:lang w:val="es-ES" w:eastAsia="en-US"/>
              </w:rPr>
            </w:pPr>
            <w:r w:rsidRPr="000677B6">
              <w:rPr>
                <w:rFonts w:eastAsia="Calibri"/>
                <w:sz w:val="18"/>
                <w:szCs w:val="18"/>
                <w:lang w:val="es-ES" w:eastAsia="en-US"/>
              </w:rPr>
              <w:t>Capital humano</w:t>
            </w:r>
          </w:p>
        </w:tc>
        <w:tc>
          <w:tcPr>
            <w:tcW w:w="4413" w:type="dxa"/>
            <w:tcBorders>
              <w:top w:val="nil"/>
              <w:left w:val="single" w:sz="4" w:space="0" w:color="auto"/>
              <w:bottom w:val="nil"/>
              <w:right w:val="single" w:sz="4" w:space="0" w:color="auto"/>
            </w:tcBorders>
            <w:vAlign w:val="center"/>
          </w:tcPr>
          <w:p w14:paraId="5D6F6347" w14:textId="77777777" w:rsidR="000677B6" w:rsidRPr="000677B6" w:rsidRDefault="000677B6" w:rsidP="00C676DA">
            <w:pPr>
              <w:spacing w:beforeLines="20" w:before="48"/>
              <w:jc w:val="both"/>
              <w:rPr>
                <w:rFonts w:eastAsia="Calibri"/>
                <w:sz w:val="18"/>
                <w:szCs w:val="18"/>
                <w:lang w:val="es-ES" w:eastAsia="en-US"/>
              </w:rPr>
            </w:pPr>
            <w:r w:rsidRPr="000677B6">
              <w:rPr>
                <w:rFonts w:eastAsia="Calibri"/>
                <w:sz w:val="18"/>
                <w:szCs w:val="18"/>
                <w:lang w:val="es-ES" w:eastAsia="en-US"/>
              </w:rPr>
              <w:t>Grado de internacionalización (ventas al extranjero)</w:t>
            </w:r>
          </w:p>
        </w:tc>
      </w:tr>
      <w:tr w:rsidR="000677B6" w:rsidRPr="000677B6" w14:paraId="352E27E4" w14:textId="77777777" w:rsidTr="00C676DA">
        <w:trPr>
          <w:jc w:val="center"/>
        </w:trPr>
        <w:tc>
          <w:tcPr>
            <w:tcW w:w="3579" w:type="dxa"/>
            <w:tcBorders>
              <w:top w:val="nil"/>
              <w:left w:val="single" w:sz="4" w:space="0" w:color="auto"/>
              <w:bottom w:val="single" w:sz="4" w:space="0" w:color="auto"/>
              <w:right w:val="single" w:sz="4" w:space="0" w:color="auto"/>
            </w:tcBorders>
            <w:vAlign w:val="center"/>
          </w:tcPr>
          <w:p w14:paraId="67B85AA3" w14:textId="77777777" w:rsidR="000677B6" w:rsidRPr="000677B6" w:rsidRDefault="000677B6" w:rsidP="00C676DA">
            <w:pPr>
              <w:spacing w:beforeLines="20" w:before="48"/>
              <w:jc w:val="both"/>
              <w:rPr>
                <w:rFonts w:eastAsia="Calibri"/>
                <w:sz w:val="18"/>
                <w:szCs w:val="18"/>
                <w:lang w:val="es-ES" w:eastAsia="en-US"/>
              </w:rPr>
            </w:pPr>
            <w:r w:rsidRPr="000677B6">
              <w:rPr>
                <w:rFonts w:eastAsia="Calibri"/>
                <w:sz w:val="18"/>
                <w:szCs w:val="18"/>
                <w:lang w:val="es-ES" w:eastAsia="en-US"/>
              </w:rPr>
              <w:t>Uso de la ventaja competitiva</w:t>
            </w:r>
          </w:p>
        </w:tc>
        <w:tc>
          <w:tcPr>
            <w:tcW w:w="4413" w:type="dxa"/>
            <w:tcBorders>
              <w:top w:val="nil"/>
              <w:left w:val="single" w:sz="4" w:space="0" w:color="auto"/>
              <w:bottom w:val="single" w:sz="4" w:space="0" w:color="auto"/>
              <w:right w:val="single" w:sz="4" w:space="0" w:color="auto"/>
            </w:tcBorders>
            <w:vAlign w:val="center"/>
          </w:tcPr>
          <w:p w14:paraId="267A196D" w14:textId="77777777" w:rsidR="000677B6" w:rsidRPr="000677B6" w:rsidRDefault="000677B6" w:rsidP="00C676DA">
            <w:pPr>
              <w:spacing w:beforeLines="20" w:before="48"/>
              <w:jc w:val="both"/>
              <w:rPr>
                <w:rFonts w:eastAsia="Calibri"/>
                <w:sz w:val="18"/>
                <w:szCs w:val="18"/>
                <w:lang w:val="es-ES" w:eastAsia="en-US"/>
              </w:rPr>
            </w:pPr>
          </w:p>
        </w:tc>
      </w:tr>
      <w:tr w:rsidR="000677B6" w:rsidRPr="000677B6" w14:paraId="60736078" w14:textId="77777777" w:rsidTr="00082E99">
        <w:trPr>
          <w:jc w:val="center"/>
        </w:trPr>
        <w:tc>
          <w:tcPr>
            <w:tcW w:w="7992" w:type="dxa"/>
            <w:gridSpan w:val="2"/>
            <w:tcBorders>
              <w:top w:val="single" w:sz="4" w:space="0" w:color="auto"/>
              <w:left w:val="nil"/>
              <w:bottom w:val="nil"/>
              <w:right w:val="nil"/>
            </w:tcBorders>
            <w:vAlign w:val="center"/>
          </w:tcPr>
          <w:p w14:paraId="46BD1FA2" w14:textId="77777777" w:rsidR="000677B6" w:rsidRPr="000677B6" w:rsidRDefault="000677B6" w:rsidP="00C676DA">
            <w:pPr>
              <w:spacing w:beforeLines="20" w:before="48"/>
              <w:jc w:val="both"/>
              <w:rPr>
                <w:rFonts w:eastAsia="Calibri"/>
                <w:sz w:val="20"/>
                <w:szCs w:val="20"/>
                <w:lang w:val="es-ES" w:eastAsia="en-US"/>
              </w:rPr>
            </w:pPr>
            <w:r w:rsidRPr="000677B6">
              <w:rPr>
                <w:rFonts w:eastAsia="Calibri"/>
                <w:sz w:val="20"/>
                <w:szCs w:val="20"/>
                <w:lang w:val="es-ES" w:eastAsia="en-US"/>
              </w:rPr>
              <w:t>FUENTE: IMCO.</w:t>
            </w:r>
          </w:p>
        </w:tc>
      </w:tr>
    </w:tbl>
    <w:p w14:paraId="057B3F73" w14:textId="77777777" w:rsidR="00C676DA" w:rsidRDefault="00C676DA" w:rsidP="000677B6">
      <w:pPr>
        <w:spacing w:after="360" w:line="360" w:lineRule="auto"/>
        <w:ind w:right="-159"/>
        <w:jc w:val="both"/>
        <w:rPr>
          <w:rFonts w:eastAsia="Calibri"/>
          <w:b/>
          <w:sz w:val="26"/>
          <w:szCs w:val="26"/>
          <w:lang w:val="es-ES" w:eastAsia="en-US"/>
        </w:rPr>
      </w:pPr>
    </w:p>
    <w:p w14:paraId="1142B68D" w14:textId="77777777" w:rsidR="000677B6" w:rsidRPr="000677B6" w:rsidRDefault="000677B6" w:rsidP="000677B6">
      <w:pPr>
        <w:spacing w:after="360" w:line="360" w:lineRule="auto"/>
        <w:ind w:right="-159"/>
        <w:jc w:val="both"/>
        <w:rPr>
          <w:rFonts w:eastAsia="Calibri"/>
          <w:b/>
          <w:sz w:val="26"/>
          <w:szCs w:val="26"/>
          <w:lang w:val="es-ES" w:eastAsia="en-US"/>
        </w:rPr>
      </w:pPr>
      <w:r w:rsidRPr="000677B6">
        <w:rPr>
          <w:rFonts w:eastAsia="Calibri"/>
          <w:b/>
          <w:sz w:val="26"/>
          <w:szCs w:val="26"/>
          <w:lang w:val="es-ES" w:eastAsia="en-US"/>
        </w:rPr>
        <w:lastRenderedPageBreak/>
        <w:t xml:space="preserve">Innovación </w:t>
      </w:r>
    </w:p>
    <w:p w14:paraId="4761FD57" w14:textId="77777777" w:rsidR="000677B6" w:rsidRPr="000677B6" w:rsidRDefault="000677B6" w:rsidP="000677B6">
      <w:pPr>
        <w:spacing w:after="360" w:line="360" w:lineRule="auto"/>
        <w:ind w:right="-159"/>
        <w:jc w:val="both"/>
        <w:rPr>
          <w:rFonts w:eastAsia="Calibri"/>
          <w:b/>
          <w:sz w:val="26"/>
          <w:szCs w:val="26"/>
          <w:lang w:val="es-ES" w:eastAsia="en-US"/>
        </w:rPr>
      </w:pPr>
      <w:r w:rsidRPr="000677B6">
        <w:rPr>
          <w:rFonts w:eastAsia="Calibri"/>
          <w:b/>
          <w:sz w:val="26"/>
          <w:szCs w:val="26"/>
          <w:lang w:val="es-ES" w:eastAsia="en-US"/>
        </w:rPr>
        <w:t>Inversión en Investigación y Desarrollo</w:t>
      </w:r>
    </w:p>
    <w:p w14:paraId="1540BC56" w14:textId="643DD506"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Una parte esencial en el proceso de innovación es la Investigación y Desarrollo (I+D). Dentro de las empresas, esta actividad conduce con frecuencia al desarrollo de nuevos productos, negocios y la creación de nuevas industrias. Sin embargo, según la OCDE, México es el país donde las empresas menos invierten en I+D y donde menos se desarrolla innovación a partir de esta actividad</w:t>
      </w:r>
      <w:r w:rsidRPr="000677B6">
        <w:rPr>
          <w:rFonts w:eastAsia="Calibri"/>
          <w:sz w:val="26"/>
          <w:szCs w:val="26"/>
          <w:vertAlign w:val="superscript"/>
          <w:lang w:val="es-ES" w:eastAsia="en-US"/>
        </w:rPr>
        <w:footnoteReference w:id="37"/>
      </w:r>
      <w:r w:rsidRPr="000677B6">
        <w:rPr>
          <w:rFonts w:eastAsia="Calibri"/>
          <w:sz w:val="26"/>
          <w:szCs w:val="26"/>
          <w:lang w:val="es-ES" w:eastAsia="en-US"/>
        </w:rPr>
        <w:t>. En México, el gasto en investigación y desarrollo no sólo es bajo en comparación con otros países sino que se concentra en el sector público. En 2012, el gasto en Investigación Científica y Desarrollo Experimental (GIDE) en México fue de 0.5% del PIB, mientras que el promedio en países de la OCDE fue de 2.4% del PIB en 2012</w:t>
      </w:r>
      <w:r w:rsidRPr="000677B6">
        <w:rPr>
          <w:rFonts w:eastAsia="Calibri"/>
          <w:sz w:val="26"/>
          <w:szCs w:val="26"/>
          <w:vertAlign w:val="superscript"/>
          <w:lang w:val="es-ES" w:eastAsia="en-US"/>
        </w:rPr>
        <w:footnoteReference w:id="38"/>
      </w:r>
      <w:r w:rsidRPr="000677B6">
        <w:rPr>
          <w:rFonts w:eastAsia="Calibri"/>
          <w:sz w:val="26"/>
          <w:szCs w:val="26"/>
          <w:lang w:val="es-ES" w:eastAsia="en-US"/>
        </w:rPr>
        <w:t>. A su vez, la contribución del sector empresarial al GIDE de 2012 fue de apenas 36% mientras que el sector público contribuyó con 60%. Además, de esa cantidad</w:t>
      </w:r>
      <w:r w:rsidR="00C676DA">
        <w:rPr>
          <w:rFonts w:eastAsia="Calibri"/>
          <w:sz w:val="26"/>
          <w:szCs w:val="26"/>
          <w:lang w:val="es-ES" w:eastAsia="en-US"/>
        </w:rPr>
        <w:t>,</w:t>
      </w:r>
      <w:r w:rsidRPr="000677B6">
        <w:rPr>
          <w:rFonts w:eastAsia="Calibri"/>
          <w:sz w:val="26"/>
          <w:szCs w:val="26"/>
          <w:lang w:val="es-ES" w:eastAsia="en-US"/>
        </w:rPr>
        <w:t xml:space="preserve"> el 98.5% fue aportado por el gobierno federal y sólo el 1.5% por los gobiernos estatales</w:t>
      </w:r>
      <w:r w:rsidRPr="000677B6">
        <w:rPr>
          <w:rFonts w:eastAsia="Calibri"/>
          <w:sz w:val="26"/>
          <w:szCs w:val="26"/>
          <w:vertAlign w:val="superscript"/>
          <w:lang w:val="es-ES" w:eastAsia="en-US"/>
        </w:rPr>
        <w:footnoteReference w:id="39"/>
      </w:r>
      <w:r w:rsidRPr="000677B6">
        <w:rPr>
          <w:rFonts w:eastAsia="Calibri"/>
          <w:sz w:val="26"/>
          <w:szCs w:val="26"/>
          <w:lang w:val="es-ES" w:eastAsia="en-US"/>
        </w:rPr>
        <w:t>.</w:t>
      </w:r>
    </w:p>
    <w:p w14:paraId="6F85FEE3"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Asimismo, de acuerdo con la Encuesta sobre Investigación y Desarrollo Tecnológico (ESI-DET) que realiza el Instituto Nacional de Estadística Geografía e Informática INEGI, sólo 5% de las empresas en México llevan a cabo actividades de I+D las cuales destinaron 24 mil 122 millones de pesos en 2011. Respecto a proyectos de innovación, solamente el 8% de las empresas reportaron la introducción de un nuevo producto o proceso</w:t>
      </w:r>
      <w:r w:rsidRPr="000677B6">
        <w:rPr>
          <w:rFonts w:eastAsia="Calibri"/>
          <w:sz w:val="26"/>
          <w:szCs w:val="26"/>
          <w:vertAlign w:val="superscript"/>
          <w:lang w:val="es-ES" w:eastAsia="en-US"/>
        </w:rPr>
        <w:footnoteReference w:id="40"/>
      </w:r>
      <w:r w:rsidRPr="000677B6">
        <w:rPr>
          <w:rFonts w:eastAsia="Calibri"/>
          <w:sz w:val="26"/>
          <w:szCs w:val="26"/>
          <w:lang w:val="es-ES" w:eastAsia="en-US"/>
        </w:rPr>
        <w:t>. En contraste, 58% de las empresas cleantech encuestadas para este estudio reportaron haber realizado inversión en I+D en el último año.</w:t>
      </w:r>
    </w:p>
    <w:p w14:paraId="02904DE5"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 xml:space="preserve">En cuanto al Gasto Federal en Ciencia y Tecnología (GFCYT) en cleantech, éste ha sido considerablemente bajo. El presupuesto específico para temas ambientales ha </w:t>
      </w:r>
      <w:r w:rsidRPr="000677B6">
        <w:rPr>
          <w:rFonts w:eastAsia="Calibri"/>
          <w:sz w:val="26"/>
          <w:szCs w:val="26"/>
          <w:lang w:val="es-ES" w:eastAsia="en-US"/>
        </w:rPr>
        <w:lastRenderedPageBreak/>
        <w:t>rondado el 1% anual y el destinado para energías limpias, a partir de la creación del Fondo de Sustentabilidad Energética, es apenas cercano al 2% (ver cuadro siguiente).</w:t>
      </w:r>
    </w:p>
    <w:tbl>
      <w:tblPr>
        <w:tblW w:w="0" w:type="auto"/>
        <w:jc w:val="center"/>
        <w:tblLook w:val="04A0" w:firstRow="1" w:lastRow="0" w:firstColumn="1" w:lastColumn="0" w:noHBand="0" w:noVBand="1"/>
      </w:tblPr>
      <w:tblGrid>
        <w:gridCol w:w="4872"/>
        <w:gridCol w:w="2959"/>
      </w:tblGrid>
      <w:tr w:rsidR="000677B6" w:rsidRPr="000677B6" w14:paraId="72ADF52D" w14:textId="77777777" w:rsidTr="009A4CE7">
        <w:trPr>
          <w:jc w:val="center"/>
        </w:trPr>
        <w:tc>
          <w:tcPr>
            <w:tcW w:w="7831" w:type="dxa"/>
            <w:gridSpan w:val="2"/>
            <w:tcBorders>
              <w:top w:val="nil"/>
              <w:left w:val="nil"/>
              <w:bottom w:val="single" w:sz="4" w:space="0" w:color="auto"/>
              <w:right w:val="nil"/>
            </w:tcBorders>
          </w:tcPr>
          <w:p w14:paraId="7508EE61" w14:textId="77777777" w:rsidR="000677B6" w:rsidRPr="000677B6" w:rsidRDefault="000677B6" w:rsidP="000677B6">
            <w:pPr>
              <w:spacing w:before="20" w:after="20" w:line="276" w:lineRule="auto"/>
              <w:jc w:val="center"/>
              <w:rPr>
                <w:rFonts w:eastAsia="Calibri"/>
                <w:b/>
                <w:sz w:val="22"/>
                <w:szCs w:val="22"/>
                <w:lang w:val="es-ES" w:eastAsia="en-US"/>
              </w:rPr>
            </w:pPr>
            <w:r w:rsidRPr="000677B6">
              <w:rPr>
                <w:rFonts w:eastAsia="Calibri"/>
                <w:b/>
                <w:sz w:val="22"/>
                <w:szCs w:val="22"/>
                <w:lang w:val="es-ES" w:eastAsia="en-US"/>
              </w:rPr>
              <w:t xml:space="preserve">GASTO EN I+D EN </w:t>
            </w:r>
            <w:r w:rsidRPr="00F443FB">
              <w:rPr>
                <w:rFonts w:eastAsia="Calibri"/>
                <w:b/>
                <w:i/>
                <w:sz w:val="22"/>
                <w:szCs w:val="22"/>
                <w:lang w:val="es-ES" w:eastAsia="en-US"/>
              </w:rPr>
              <w:t>CLEANTECH</w:t>
            </w:r>
            <w:r w:rsidRPr="000677B6">
              <w:rPr>
                <w:rFonts w:eastAsia="Calibri"/>
                <w:b/>
                <w:sz w:val="22"/>
                <w:szCs w:val="22"/>
                <w:lang w:val="es-ES" w:eastAsia="en-US"/>
              </w:rPr>
              <w:t xml:space="preserve"> EN MÉXICO</w:t>
            </w:r>
          </w:p>
        </w:tc>
      </w:tr>
      <w:tr w:rsidR="000677B6" w:rsidRPr="000677B6" w14:paraId="4229DB39" w14:textId="77777777" w:rsidTr="009A4CE7">
        <w:trPr>
          <w:jc w:val="center"/>
        </w:trPr>
        <w:tc>
          <w:tcPr>
            <w:tcW w:w="4872" w:type="dxa"/>
            <w:tcBorders>
              <w:top w:val="single" w:sz="4" w:space="0" w:color="auto"/>
              <w:left w:val="single" w:sz="4" w:space="0" w:color="auto"/>
              <w:right w:val="single" w:sz="4" w:space="0" w:color="auto"/>
            </w:tcBorders>
          </w:tcPr>
          <w:p w14:paraId="16A3AC85" w14:textId="77777777" w:rsidR="000677B6" w:rsidRPr="000677B6" w:rsidRDefault="000677B6" w:rsidP="000677B6">
            <w:pPr>
              <w:spacing w:before="20" w:after="20" w:line="276" w:lineRule="auto"/>
              <w:jc w:val="both"/>
              <w:rPr>
                <w:rFonts w:eastAsia="Calibri"/>
                <w:sz w:val="18"/>
                <w:szCs w:val="18"/>
                <w:lang w:val="es-ES" w:eastAsia="en-US"/>
              </w:rPr>
            </w:pPr>
            <w:r w:rsidRPr="000677B6">
              <w:rPr>
                <w:rFonts w:eastAsia="Calibri"/>
                <w:sz w:val="18"/>
                <w:szCs w:val="18"/>
                <w:lang w:val="es-ES" w:eastAsia="en-US"/>
              </w:rPr>
              <w:t>GFCYT (millones de pesos)</w:t>
            </w:r>
          </w:p>
        </w:tc>
        <w:tc>
          <w:tcPr>
            <w:tcW w:w="2959" w:type="dxa"/>
            <w:tcBorders>
              <w:top w:val="single" w:sz="4" w:space="0" w:color="auto"/>
              <w:left w:val="single" w:sz="4" w:space="0" w:color="auto"/>
              <w:right w:val="single" w:sz="4" w:space="0" w:color="auto"/>
            </w:tcBorders>
          </w:tcPr>
          <w:p w14:paraId="201E36D2" w14:textId="77777777" w:rsidR="000677B6" w:rsidRPr="000677B6" w:rsidRDefault="000677B6" w:rsidP="000677B6">
            <w:pPr>
              <w:spacing w:before="20" w:after="20" w:line="276" w:lineRule="auto"/>
              <w:ind w:right="907"/>
              <w:jc w:val="right"/>
              <w:rPr>
                <w:rFonts w:eastAsia="Calibri"/>
                <w:sz w:val="18"/>
                <w:szCs w:val="18"/>
                <w:lang w:val="es-ES" w:eastAsia="en-US"/>
              </w:rPr>
            </w:pPr>
            <w:r w:rsidRPr="000677B6">
              <w:rPr>
                <w:rFonts w:eastAsia="Calibri"/>
                <w:sz w:val="18"/>
                <w:szCs w:val="18"/>
                <w:lang w:val="es-ES" w:eastAsia="en-US"/>
              </w:rPr>
              <w:t xml:space="preserve">54 436 (2010) </w:t>
            </w:r>
            <w:r w:rsidRPr="000677B6">
              <w:rPr>
                <w:rFonts w:eastAsia="Calibri"/>
                <w:sz w:val="18"/>
                <w:szCs w:val="18"/>
                <w:vertAlign w:val="superscript"/>
                <w:lang w:val="es-ES" w:eastAsia="en-US"/>
              </w:rPr>
              <w:t>a/</w:t>
            </w:r>
          </w:p>
        </w:tc>
      </w:tr>
      <w:tr w:rsidR="000677B6" w:rsidRPr="000677B6" w14:paraId="43A04BAC" w14:textId="77777777" w:rsidTr="009A4CE7">
        <w:trPr>
          <w:jc w:val="center"/>
        </w:trPr>
        <w:tc>
          <w:tcPr>
            <w:tcW w:w="4872" w:type="dxa"/>
            <w:tcBorders>
              <w:left w:val="single" w:sz="4" w:space="0" w:color="auto"/>
              <w:bottom w:val="nil"/>
              <w:right w:val="single" w:sz="4" w:space="0" w:color="auto"/>
            </w:tcBorders>
          </w:tcPr>
          <w:p w14:paraId="5ACBF7BE" w14:textId="77777777" w:rsidR="000677B6" w:rsidRPr="000677B6" w:rsidRDefault="000677B6" w:rsidP="000677B6">
            <w:pPr>
              <w:spacing w:before="20" w:after="20" w:line="276" w:lineRule="auto"/>
              <w:jc w:val="both"/>
              <w:rPr>
                <w:rFonts w:eastAsia="Calibri"/>
                <w:sz w:val="18"/>
                <w:szCs w:val="18"/>
                <w:lang w:val="es-ES" w:eastAsia="en-US"/>
              </w:rPr>
            </w:pPr>
            <w:r w:rsidRPr="000677B6">
              <w:rPr>
                <w:rFonts w:eastAsia="Calibri"/>
                <w:sz w:val="18"/>
                <w:szCs w:val="18"/>
                <w:lang w:val="es-ES" w:eastAsia="en-US"/>
              </w:rPr>
              <w:t>GFCYT destinados a asuntos ambientales (% del total)</w:t>
            </w:r>
          </w:p>
        </w:tc>
        <w:tc>
          <w:tcPr>
            <w:tcW w:w="2959" w:type="dxa"/>
            <w:tcBorders>
              <w:left w:val="single" w:sz="4" w:space="0" w:color="auto"/>
              <w:bottom w:val="nil"/>
              <w:right w:val="single" w:sz="4" w:space="0" w:color="auto"/>
            </w:tcBorders>
          </w:tcPr>
          <w:p w14:paraId="5DEC0C4A" w14:textId="77777777" w:rsidR="000677B6" w:rsidRPr="000677B6" w:rsidRDefault="000677B6" w:rsidP="000677B6">
            <w:pPr>
              <w:spacing w:before="20" w:after="20" w:line="276" w:lineRule="auto"/>
              <w:ind w:right="907"/>
              <w:jc w:val="right"/>
              <w:rPr>
                <w:rFonts w:eastAsia="Calibri"/>
                <w:sz w:val="18"/>
                <w:szCs w:val="18"/>
                <w:lang w:val="es-ES" w:eastAsia="en-US"/>
              </w:rPr>
            </w:pPr>
            <w:r w:rsidRPr="000677B6">
              <w:rPr>
                <w:rFonts w:eastAsia="Calibri"/>
                <w:sz w:val="18"/>
                <w:szCs w:val="18"/>
                <w:lang w:val="es-ES" w:eastAsia="en-US"/>
              </w:rPr>
              <w:t xml:space="preserve">1.4% (2010) </w:t>
            </w:r>
            <w:r w:rsidRPr="000677B6">
              <w:rPr>
                <w:rFonts w:eastAsia="Calibri"/>
                <w:sz w:val="18"/>
                <w:szCs w:val="18"/>
                <w:vertAlign w:val="superscript"/>
                <w:lang w:val="es-ES" w:eastAsia="en-US"/>
              </w:rPr>
              <w:t>b/</w:t>
            </w:r>
          </w:p>
        </w:tc>
      </w:tr>
      <w:tr w:rsidR="000677B6" w:rsidRPr="000677B6" w14:paraId="1E8DE074" w14:textId="77777777" w:rsidTr="009A4CE7">
        <w:trPr>
          <w:jc w:val="center"/>
        </w:trPr>
        <w:tc>
          <w:tcPr>
            <w:tcW w:w="4872" w:type="dxa"/>
            <w:tcBorders>
              <w:top w:val="nil"/>
              <w:left w:val="single" w:sz="4" w:space="0" w:color="auto"/>
              <w:bottom w:val="nil"/>
              <w:right w:val="single" w:sz="4" w:space="0" w:color="auto"/>
            </w:tcBorders>
          </w:tcPr>
          <w:p w14:paraId="7783E8B0" w14:textId="77777777" w:rsidR="000677B6" w:rsidRPr="000677B6" w:rsidRDefault="000677B6" w:rsidP="000677B6">
            <w:pPr>
              <w:spacing w:before="20" w:after="20" w:line="276" w:lineRule="auto"/>
              <w:jc w:val="both"/>
              <w:rPr>
                <w:rFonts w:eastAsia="Calibri"/>
                <w:sz w:val="18"/>
                <w:szCs w:val="18"/>
                <w:lang w:val="es-ES" w:eastAsia="en-US"/>
              </w:rPr>
            </w:pPr>
            <w:r w:rsidRPr="000677B6">
              <w:rPr>
                <w:rFonts w:eastAsia="Calibri"/>
                <w:sz w:val="18"/>
                <w:szCs w:val="18"/>
                <w:lang w:val="es-ES" w:eastAsia="en-US"/>
              </w:rPr>
              <w:t>GFCYT destinado a energía (% del total)</w:t>
            </w:r>
          </w:p>
        </w:tc>
        <w:tc>
          <w:tcPr>
            <w:tcW w:w="2959" w:type="dxa"/>
            <w:tcBorders>
              <w:top w:val="nil"/>
              <w:left w:val="single" w:sz="4" w:space="0" w:color="auto"/>
              <w:bottom w:val="nil"/>
              <w:right w:val="single" w:sz="4" w:space="0" w:color="auto"/>
            </w:tcBorders>
          </w:tcPr>
          <w:p w14:paraId="1A8294A9" w14:textId="77777777" w:rsidR="000677B6" w:rsidRPr="000677B6" w:rsidRDefault="000677B6" w:rsidP="000677B6">
            <w:pPr>
              <w:spacing w:before="20" w:after="20" w:line="276" w:lineRule="auto"/>
              <w:ind w:right="907"/>
              <w:jc w:val="right"/>
              <w:rPr>
                <w:rFonts w:eastAsia="Calibri"/>
                <w:sz w:val="18"/>
                <w:szCs w:val="18"/>
                <w:lang w:val="es-ES" w:eastAsia="en-US"/>
              </w:rPr>
            </w:pPr>
            <w:r w:rsidRPr="000677B6">
              <w:rPr>
                <w:rFonts w:eastAsia="Calibri"/>
                <w:sz w:val="18"/>
                <w:szCs w:val="18"/>
                <w:lang w:val="es-ES" w:eastAsia="en-US"/>
              </w:rPr>
              <w:t xml:space="preserve">17.6% (2010) </w:t>
            </w:r>
            <w:r w:rsidRPr="000677B6">
              <w:rPr>
                <w:rFonts w:eastAsia="Calibri"/>
                <w:sz w:val="18"/>
                <w:szCs w:val="18"/>
                <w:vertAlign w:val="superscript"/>
                <w:lang w:val="es-ES" w:eastAsia="en-US"/>
              </w:rPr>
              <w:t>c/</w:t>
            </w:r>
          </w:p>
        </w:tc>
      </w:tr>
      <w:tr w:rsidR="000677B6" w:rsidRPr="000677B6" w14:paraId="1517A45B" w14:textId="77777777" w:rsidTr="009A4CE7">
        <w:trPr>
          <w:jc w:val="center"/>
        </w:trPr>
        <w:tc>
          <w:tcPr>
            <w:tcW w:w="4872" w:type="dxa"/>
            <w:tcBorders>
              <w:top w:val="nil"/>
              <w:left w:val="single" w:sz="4" w:space="0" w:color="auto"/>
              <w:bottom w:val="nil"/>
              <w:right w:val="single" w:sz="4" w:space="0" w:color="auto"/>
            </w:tcBorders>
          </w:tcPr>
          <w:p w14:paraId="43E87970" w14:textId="77777777" w:rsidR="000677B6" w:rsidRPr="000677B6" w:rsidRDefault="000677B6" w:rsidP="000677B6">
            <w:pPr>
              <w:spacing w:before="20" w:after="20" w:line="276" w:lineRule="auto"/>
              <w:jc w:val="both"/>
              <w:rPr>
                <w:rFonts w:eastAsia="Calibri"/>
                <w:sz w:val="18"/>
                <w:szCs w:val="18"/>
                <w:lang w:val="es-ES" w:eastAsia="en-US"/>
              </w:rPr>
            </w:pPr>
            <w:r w:rsidRPr="000677B6">
              <w:rPr>
                <w:rFonts w:eastAsia="Calibri"/>
                <w:sz w:val="18"/>
                <w:szCs w:val="18"/>
                <w:lang w:val="es-ES" w:eastAsia="en-US"/>
              </w:rPr>
              <w:t>GFCYT destinado a sustentabilidad energética (% del total)</w:t>
            </w:r>
          </w:p>
        </w:tc>
        <w:tc>
          <w:tcPr>
            <w:tcW w:w="2959" w:type="dxa"/>
            <w:tcBorders>
              <w:top w:val="nil"/>
              <w:left w:val="single" w:sz="4" w:space="0" w:color="auto"/>
              <w:bottom w:val="nil"/>
              <w:right w:val="single" w:sz="4" w:space="0" w:color="auto"/>
            </w:tcBorders>
          </w:tcPr>
          <w:p w14:paraId="48879979" w14:textId="77777777" w:rsidR="000677B6" w:rsidRPr="000677B6" w:rsidRDefault="000677B6" w:rsidP="000677B6">
            <w:pPr>
              <w:spacing w:before="20" w:after="20" w:line="276" w:lineRule="auto"/>
              <w:ind w:right="907"/>
              <w:jc w:val="right"/>
              <w:rPr>
                <w:rFonts w:eastAsia="Calibri"/>
                <w:sz w:val="18"/>
                <w:szCs w:val="18"/>
                <w:lang w:val="es-ES" w:eastAsia="en-US"/>
              </w:rPr>
            </w:pPr>
            <w:r w:rsidRPr="000677B6">
              <w:rPr>
                <w:rFonts w:eastAsia="Calibri"/>
                <w:sz w:val="18"/>
                <w:szCs w:val="18"/>
                <w:lang w:val="es-ES" w:eastAsia="en-US"/>
              </w:rPr>
              <w:t xml:space="preserve">2.2% (2010) </w:t>
            </w:r>
            <w:r w:rsidRPr="000677B6">
              <w:rPr>
                <w:rFonts w:eastAsia="Calibri"/>
                <w:sz w:val="18"/>
                <w:szCs w:val="18"/>
                <w:vertAlign w:val="superscript"/>
                <w:lang w:val="es-ES" w:eastAsia="en-US"/>
              </w:rPr>
              <w:t>d/</w:t>
            </w:r>
          </w:p>
        </w:tc>
      </w:tr>
      <w:tr w:rsidR="000677B6" w:rsidRPr="000677B6" w14:paraId="6DB43481" w14:textId="77777777" w:rsidTr="009A4CE7">
        <w:trPr>
          <w:jc w:val="center"/>
        </w:trPr>
        <w:tc>
          <w:tcPr>
            <w:tcW w:w="4872" w:type="dxa"/>
            <w:tcBorders>
              <w:top w:val="nil"/>
              <w:left w:val="single" w:sz="4" w:space="0" w:color="auto"/>
              <w:bottom w:val="nil"/>
              <w:right w:val="single" w:sz="4" w:space="0" w:color="auto"/>
            </w:tcBorders>
          </w:tcPr>
          <w:p w14:paraId="4708F207" w14:textId="77777777" w:rsidR="000677B6" w:rsidRPr="000677B6" w:rsidRDefault="000677B6" w:rsidP="000677B6">
            <w:pPr>
              <w:spacing w:before="20" w:after="20" w:line="276" w:lineRule="auto"/>
              <w:jc w:val="both"/>
              <w:rPr>
                <w:rFonts w:eastAsia="Calibri"/>
                <w:sz w:val="18"/>
                <w:szCs w:val="18"/>
                <w:lang w:val="es-ES" w:eastAsia="en-US"/>
              </w:rPr>
            </w:pPr>
            <w:r w:rsidRPr="000677B6">
              <w:rPr>
                <w:rFonts w:eastAsia="Calibri"/>
                <w:sz w:val="18"/>
                <w:szCs w:val="18"/>
                <w:lang w:val="es-ES" w:eastAsia="en-US"/>
              </w:rPr>
              <w:t>GFCYT % PIB</w:t>
            </w:r>
          </w:p>
        </w:tc>
        <w:tc>
          <w:tcPr>
            <w:tcW w:w="2959" w:type="dxa"/>
            <w:tcBorders>
              <w:top w:val="nil"/>
              <w:left w:val="single" w:sz="4" w:space="0" w:color="auto"/>
              <w:bottom w:val="nil"/>
              <w:right w:val="single" w:sz="4" w:space="0" w:color="auto"/>
            </w:tcBorders>
          </w:tcPr>
          <w:p w14:paraId="3D39CE82" w14:textId="77777777" w:rsidR="000677B6" w:rsidRPr="000677B6" w:rsidRDefault="000677B6" w:rsidP="000677B6">
            <w:pPr>
              <w:spacing w:before="20" w:after="20" w:line="276" w:lineRule="auto"/>
              <w:ind w:right="907"/>
              <w:jc w:val="right"/>
              <w:rPr>
                <w:rFonts w:eastAsia="Calibri"/>
                <w:sz w:val="18"/>
                <w:szCs w:val="18"/>
                <w:lang w:val="es-ES" w:eastAsia="en-US"/>
              </w:rPr>
            </w:pPr>
            <w:r w:rsidRPr="000677B6">
              <w:rPr>
                <w:rFonts w:eastAsia="Calibri"/>
                <w:sz w:val="18"/>
                <w:szCs w:val="18"/>
                <w:lang w:val="es-ES" w:eastAsia="en-US"/>
              </w:rPr>
              <w:t xml:space="preserve">0.42% (2010) </w:t>
            </w:r>
            <w:r w:rsidRPr="000677B6">
              <w:rPr>
                <w:rFonts w:eastAsia="Calibri"/>
                <w:sz w:val="18"/>
                <w:szCs w:val="18"/>
                <w:vertAlign w:val="superscript"/>
                <w:lang w:val="es-ES" w:eastAsia="en-US"/>
              </w:rPr>
              <w:t>e/</w:t>
            </w:r>
          </w:p>
        </w:tc>
      </w:tr>
      <w:tr w:rsidR="000677B6" w:rsidRPr="000677B6" w14:paraId="26E9D47C" w14:textId="77777777" w:rsidTr="009A4CE7">
        <w:trPr>
          <w:jc w:val="center"/>
        </w:trPr>
        <w:tc>
          <w:tcPr>
            <w:tcW w:w="4872" w:type="dxa"/>
            <w:tcBorders>
              <w:top w:val="nil"/>
              <w:left w:val="single" w:sz="4" w:space="0" w:color="auto"/>
              <w:bottom w:val="nil"/>
              <w:right w:val="single" w:sz="4" w:space="0" w:color="auto"/>
            </w:tcBorders>
          </w:tcPr>
          <w:p w14:paraId="354F2C8E" w14:textId="77777777" w:rsidR="000677B6" w:rsidRPr="000677B6" w:rsidRDefault="000677B6" w:rsidP="000677B6">
            <w:pPr>
              <w:spacing w:before="20" w:after="20" w:line="276" w:lineRule="auto"/>
              <w:jc w:val="both"/>
              <w:rPr>
                <w:rFonts w:eastAsia="Calibri"/>
                <w:sz w:val="18"/>
                <w:szCs w:val="18"/>
                <w:lang w:val="es-ES" w:eastAsia="en-US"/>
              </w:rPr>
            </w:pPr>
            <w:r w:rsidRPr="000677B6">
              <w:rPr>
                <w:rFonts w:eastAsia="Calibri"/>
                <w:sz w:val="18"/>
                <w:szCs w:val="18"/>
                <w:lang w:val="es-ES" w:eastAsia="en-US"/>
              </w:rPr>
              <w:t>GIDE (millones de pesos)</w:t>
            </w:r>
          </w:p>
        </w:tc>
        <w:tc>
          <w:tcPr>
            <w:tcW w:w="2959" w:type="dxa"/>
            <w:tcBorders>
              <w:top w:val="nil"/>
              <w:left w:val="single" w:sz="4" w:space="0" w:color="auto"/>
              <w:bottom w:val="nil"/>
              <w:right w:val="single" w:sz="4" w:space="0" w:color="auto"/>
            </w:tcBorders>
          </w:tcPr>
          <w:p w14:paraId="396D0872" w14:textId="77777777" w:rsidR="000677B6" w:rsidRPr="000677B6" w:rsidRDefault="000677B6" w:rsidP="000677B6">
            <w:pPr>
              <w:spacing w:before="20" w:after="20" w:line="276" w:lineRule="auto"/>
              <w:ind w:right="907"/>
              <w:jc w:val="right"/>
              <w:rPr>
                <w:rFonts w:eastAsia="Calibri"/>
                <w:sz w:val="18"/>
                <w:szCs w:val="18"/>
                <w:lang w:val="es-ES" w:eastAsia="en-US"/>
              </w:rPr>
            </w:pPr>
            <w:r w:rsidRPr="000677B6">
              <w:rPr>
                <w:rFonts w:eastAsia="Calibri"/>
                <w:sz w:val="18"/>
                <w:szCs w:val="18"/>
                <w:lang w:val="es-ES" w:eastAsia="en-US"/>
              </w:rPr>
              <w:t xml:space="preserve">80 297 (2013) </w:t>
            </w:r>
            <w:r w:rsidRPr="000677B6">
              <w:rPr>
                <w:rFonts w:eastAsia="Calibri"/>
                <w:sz w:val="18"/>
                <w:szCs w:val="18"/>
                <w:vertAlign w:val="superscript"/>
                <w:lang w:val="es-ES" w:eastAsia="en-US"/>
              </w:rPr>
              <w:t>f/</w:t>
            </w:r>
          </w:p>
        </w:tc>
      </w:tr>
      <w:tr w:rsidR="000677B6" w:rsidRPr="000677B6" w14:paraId="4574A05E" w14:textId="77777777" w:rsidTr="009A4CE7">
        <w:trPr>
          <w:jc w:val="center"/>
        </w:trPr>
        <w:tc>
          <w:tcPr>
            <w:tcW w:w="4872" w:type="dxa"/>
            <w:tcBorders>
              <w:top w:val="nil"/>
              <w:left w:val="single" w:sz="4" w:space="0" w:color="auto"/>
              <w:bottom w:val="single" w:sz="4" w:space="0" w:color="auto"/>
              <w:right w:val="single" w:sz="4" w:space="0" w:color="auto"/>
            </w:tcBorders>
          </w:tcPr>
          <w:p w14:paraId="73894F11" w14:textId="77777777" w:rsidR="000677B6" w:rsidRPr="000677B6" w:rsidRDefault="000677B6" w:rsidP="000677B6">
            <w:pPr>
              <w:spacing w:before="20" w:after="20" w:line="276" w:lineRule="auto"/>
              <w:jc w:val="both"/>
              <w:rPr>
                <w:rFonts w:eastAsia="Calibri"/>
                <w:sz w:val="18"/>
                <w:szCs w:val="18"/>
                <w:lang w:val="es-ES" w:eastAsia="en-US"/>
              </w:rPr>
            </w:pPr>
            <w:r w:rsidRPr="000677B6">
              <w:rPr>
                <w:rFonts w:eastAsia="Calibri"/>
                <w:sz w:val="18"/>
                <w:szCs w:val="18"/>
                <w:lang w:val="es-ES" w:eastAsia="en-US"/>
              </w:rPr>
              <w:t>GIDE % PIB</w:t>
            </w:r>
          </w:p>
        </w:tc>
        <w:tc>
          <w:tcPr>
            <w:tcW w:w="2959" w:type="dxa"/>
            <w:tcBorders>
              <w:top w:val="nil"/>
              <w:left w:val="single" w:sz="4" w:space="0" w:color="auto"/>
              <w:bottom w:val="single" w:sz="4" w:space="0" w:color="auto"/>
              <w:right w:val="single" w:sz="4" w:space="0" w:color="auto"/>
            </w:tcBorders>
          </w:tcPr>
          <w:p w14:paraId="75AB3DF4" w14:textId="77777777" w:rsidR="000677B6" w:rsidRPr="000677B6" w:rsidRDefault="000677B6" w:rsidP="000677B6">
            <w:pPr>
              <w:spacing w:before="20" w:after="20" w:line="276" w:lineRule="auto"/>
              <w:ind w:right="907"/>
              <w:jc w:val="right"/>
              <w:rPr>
                <w:rFonts w:eastAsia="Calibri"/>
                <w:sz w:val="18"/>
                <w:szCs w:val="18"/>
                <w:lang w:val="es-ES" w:eastAsia="en-US"/>
              </w:rPr>
            </w:pPr>
            <w:r w:rsidRPr="000677B6">
              <w:rPr>
                <w:rFonts w:eastAsia="Calibri"/>
                <w:sz w:val="18"/>
                <w:szCs w:val="18"/>
                <w:lang w:val="es-ES" w:eastAsia="en-US"/>
              </w:rPr>
              <w:t>0.50 % (2013</w:t>
            </w:r>
            <w:r w:rsidRPr="000677B6">
              <w:rPr>
                <w:rFonts w:eastAsia="Calibri"/>
                <w:sz w:val="18"/>
                <w:szCs w:val="18"/>
                <w:vertAlign w:val="superscript"/>
                <w:lang w:val="es-ES" w:eastAsia="en-US"/>
              </w:rPr>
              <w:t>) f/</w:t>
            </w:r>
          </w:p>
        </w:tc>
      </w:tr>
      <w:tr w:rsidR="000677B6" w:rsidRPr="00503846" w14:paraId="53A9364C" w14:textId="77777777" w:rsidTr="00082E99">
        <w:trPr>
          <w:jc w:val="center"/>
        </w:trPr>
        <w:tc>
          <w:tcPr>
            <w:tcW w:w="7831" w:type="dxa"/>
            <w:gridSpan w:val="2"/>
            <w:tcBorders>
              <w:top w:val="single" w:sz="4" w:space="0" w:color="auto"/>
              <w:left w:val="nil"/>
              <w:bottom w:val="nil"/>
              <w:right w:val="nil"/>
            </w:tcBorders>
          </w:tcPr>
          <w:p w14:paraId="26391130" w14:textId="675A088D" w:rsidR="000677B6" w:rsidRPr="00503846" w:rsidRDefault="000677B6" w:rsidP="00503846">
            <w:pPr>
              <w:ind w:left="228" w:hanging="228"/>
              <w:jc w:val="both"/>
              <w:rPr>
                <w:rFonts w:eastAsia="Calibri"/>
                <w:color w:val="0000FF"/>
                <w:sz w:val="18"/>
                <w:szCs w:val="18"/>
                <w:lang w:eastAsia="en-US"/>
              </w:rPr>
            </w:pPr>
            <w:r w:rsidRPr="00503846">
              <w:rPr>
                <w:rFonts w:eastAsia="Calibri"/>
                <w:sz w:val="18"/>
                <w:szCs w:val="18"/>
                <w:u w:val="single"/>
                <w:lang w:eastAsia="en-US"/>
              </w:rPr>
              <w:t>a</w:t>
            </w:r>
            <w:r w:rsidRPr="00503846">
              <w:rPr>
                <w:rFonts w:eastAsia="Calibri"/>
                <w:sz w:val="18"/>
                <w:szCs w:val="18"/>
                <w:lang w:eastAsia="en-US"/>
              </w:rPr>
              <w:t>/</w:t>
            </w:r>
            <w:r w:rsidR="00503846" w:rsidRPr="00503846">
              <w:rPr>
                <w:rFonts w:eastAsia="Calibri"/>
                <w:sz w:val="18"/>
                <w:szCs w:val="18"/>
                <w:lang w:eastAsia="en-US"/>
              </w:rPr>
              <w:tab/>
            </w:r>
            <w:r w:rsidRPr="00503846">
              <w:rPr>
                <w:rFonts w:eastAsia="Calibri"/>
                <w:sz w:val="18"/>
                <w:szCs w:val="18"/>
                <w:lang w:eastAsia="en-US"/>
              </w:rPr>
              <w:t xml:space="preserve">CONACYT, 2010, Informe General del Estado de la Ciencia y la Tecnología 2010, CONACYT, p. 17 </w:t>
            </w:r>
            <w:hyperlink r:id="rId198" w:history="1">
              <w:r w:rsidRPr="00503846">
                <w:rPr>
                  <w:rFonts w:eastAsia="Calibri"/>
                  <w:color w:val="0000FF"/>
                  <w:sz w:val="18"/>
                  <w:szCs w:val="18"/>
                  <w:u w:val="single"/>
                  <w:lang w:eastAsia="en-US"/>
                </w:rPr>
                <w:t>http://www.conacyt.gob.mx/siicyt/index.php/publicaciones/informe-general-del-estado-de-la-ciencia-y-la-tecnologia-2010/2044-2-informe-2010-capi/file</w:t>
              </w:r>
            </w:hyperlink>
          </w:p>
          <w:p w14:paraId="76552C83" w14:textId="17A08A38" w:rsidR="000677B6" w:rsidRPr="00503846" w:rsidRDefault="000677B6" w:rsidP="00503846">
            <w:pPr>
              <w:ind w:left="228" w:hanging="228"/>
              <w:jc w:val="both"/>
              <w:rPr>
                <w:rFonts w:eastAsia="Calibri"/>
                <w:color w:val="0000FF"/>
                <w:sz w:val="18"/>
                <w:szCs w:val="18"/>
                <w:lang w:eastAsia="en-US"/>
              </w:rPr>
            </w:pPr>
            <w:r w:rsidRPr="00503846">
              <w:rPr>
                <w:rFonts w:eastAsia="Calibri"/>
                <w:sz w:val="18"/>
                <w:szCs w:val="18"/>
                <w:u w:val="single"/>
                <w:lang w:eastAsia="en-US"/>
              </w:rPr>
              <w:t>b</w:t>
            </w:r>
            <w:r w:rsidRPr="00503846">
              <w:rPr>
                <w:rFonts w:eastAsia="Calibri"/>
                <w:sz w:val="18"/>
                <w:szCs w:val="18"/>
                <w:lang w:eastAsia="en-US"/>
              </w:rPr>
              <w:t>/</w:t>
            </w:r>
            <w:r w:rsidR="00503846" w:rsidRPr="00503846">
              <w:rPr>
                <w:rFonts w:eastAsia="Calibri"/>
                <w:sz w:val="18"/>
                <w:szCs w:val="18"/>
                <w:lang w:eastAsia="en-US"/>
              </w:rPr>
              <w:tab/>
            </w:r>
            <w:r w:rsidRPr="00503846">
              <w:rPr>
                <w:rFonts w:eastAsia="Calibri"/>
                <w:sz w:val="18"/>
                <w:szCs w:val="18"/>
                <w:lang w:eastAsia="en-US"/>
              </w:rPr>
              <w:t xml:space="preserve">CDE, 2013, OECD Environmental Performance Reviews: Mexico, OECD Publishing. p.85 </w:t>
            </w:r>
            <w:hyperlink r:id="rId199" w:history="1">
              <w:r w:rsidRPr="00503846">
                <w:rPr>
                  <w:rFonts w:eastAsia="Calibri"/>
                  <w:color w:val="0000FF"/>
                  <w:sz w:val="18"/>
                  <w:szCs w:val="18"/>
                  <w:u w:val="single"/>
                  <w:lang w:eastAsia="en-US"/>
                </w:rPr>
                <w:t>http://dx.doi.org/10.1787/9789264180109-en</w:t>
              </w:r>
            </w:hyperlink>
          </w:p>
          <w:p w14:paraId="3C9981C5" w14:textId="1EBA819B" w:rsidR="000677B6" w:rsidRPr="00503846" w:rsidRDefault="000677B6" w:rsidP="00503846">
            <w:pPr>
              <w:ind w:left="228" w:hanging="228"/>
              <w:jc w:val="both"/>
              <w:rPr>
                <w:rFonts w:eastAsia="Calibri"/>
                <w:color w:val="0000FF"/>
                <w:sz w:val="18"/>
                <w:szCs w:val="18"/>
                <w:lang w:eastAsia="en-US"/>
              </w:rPr>
            </w:pPr>
            <w:r w:rsidRPr="00503846">
              <w:rPr>
                <w:rFonts w:eastAsia="Calibri"/>
                <w:sz w:val="18"/>
                <w:szCs w:val="18"/>
                <w:u w:val="single"/>
                <w:lang w:eastAsia="en-US"/>
              </w:rPr>
              <w:t>c</w:t>
            </w:r>
            <w:r w:rsidRPr="00503846">
              <w:rPr>
                <w:rFonts w:eastAsia="Calibri"/>
                <w:sz w:val="18"/>
                <w:szCs w:val="18"/>
                <w:lang w:eastAsia="en-US"/>
              </w:rPr>
              <w:t>/</w:t>
            </w:r>
            <w:r w:rsidR="00503846" w:rsidRPr="00503846">
              <w:rPr>
                <w:rFonts w:eastAsia="Calibri"/>
                <w:sz w:val="18"/>
                <w:szCs w:val="18"/>
                <w:lang w:eastAsia="en-US"/>
              </w:rPr>
              <w:tab/>
            </w:r>
            <w:r w:rsidRPr="00503846">
              <w:rPr>
                <w:rFonts w:eastAsia="Calibri"/>
                <w:sz w:val="18"/>
                <w:szCs w:val="18"/>
                <w:lang w:eastAsia="en-US"/>
              </w:rPr>
              <w:t xml:space="preserve">CONACYT, 2010, Informe General del Estado de la Ciencia y la Tecnología 2010, CONACYT, p. 18 </w:t>
            </w:r>
            <w:hyperlink r:id="rId200" w:history="1">
              <w:r w:rsidRPr="00503846">
                <w:rPr>
                  <w:rFonts w:eastAsia="Calibri"/>
                  <w:color w:val="0000FF"/>
                  <w:sz w:val="18"/>
                  <w:szCs w:val="18"/>
                  <w:u w:val="single"/>
                  <w:lang w:eastAsia="en-US"/>
                </w:rPr>
                <w:t>http://www.conacyt.gob.mx/siicyt/index.php/publicaciones/informe-general-del-estado-de-la-ciencia-y-la-tecnologia-2010/2044-2-informe-2010-capi/file</w:t>
              </w:r>
            </w:hyperlink>
          </w:p>
          <w:p w14:paraId="1AE06B3A" w14:textId="608A8ABA" w:rsidR="009D6EC3" w:rsidRPr="00503846" w:rsidRDefault="000677B6" w:rsidP="00503846">
            <w:pPr>
              <w:ind w:left="228" w:hanging="228"/>
              <w:jc w:val="both"/>
              <w:rPr>
                <w:rFonts w:eastAsia="Calibri"/>
                <w:sz w:val="18"/>
                <w:szCs w:val="18"/>
                <w:lang w:eastAsia="en-US"/>
              </w:rPr>
            </w:pPr>
            <w:r w:rsidRPr="00503846">
              <w:rPr>
                <w:rFonts w:eastAsia="Calibri"/>
                <w:sz w:val="18"/>
                <w:szCs w:val="18"/>
                <w:u w:val="single"/>
                <w:lang w:eastAsia="en-US"/>
              </w:rPr>
              <w:t>d</w:t>
            </w:r>
            <w:r w:rsidRPr="00503846">
              <w:rPr>
                <w:rFonts w:eastAsia="Calibri"/>
                <w:sz w:val="18"/>
                <w:szCs w:val="18"/>
                <w:lang w:eastAsia="en-US"/>
              </w:rPr>
              <w:t>/</w:t>
            </w:r>
            <w:r w:rsidR="00503846" w:rsidRPr="00503846">
              <w:rPr>
                <w:rFonts w:eastAsia="Calibri"/>
                <w:sz w:val="18"/>
                <w:szCs w:val="18"/>
                <w:lang w:eastAsia="en-US"/>
              </w:rPr>
              <w:tab/>
            </w:r>
            <w:r w:rsidRPr="00503846">
              <w:rPr>
                <w:rFonts w:eastAsia="Calibri"/>
                <w:sz w:val="18"/>
                <w:szCs w:val="18"/>
                <w:lang w:eastAsia="en-US"/>
              </w:rPr>
              <w:t>ASF, 2011, Auditoría Financiera y de Cumplimiento: 10-1-3890X-02-0753,</w:t>
            </w:r>
          </w:p>
          <w:p w14:paraId="681436DC" w14:textId="3DF8F9FB" w:rsidR="000677B6" w:rsidRPr="00503846" w:rsidRDefault="00503846" w:rsidP="00503846">
            <w:pPr>
              <w:ind w:left="228" w:hanging="228"/>
              <w:jc w:val="both"/>
              <w:rPr>
                <w:rFonts w:eastAsia="Calibri"/>
                <w:color w:val="0000FF"/>
                <w:sz w:val="18"/>
                <w:szCs w:val="18"/>
                <w:lang w:eastAsia="en-US"/>
              </w:rPr>
            </w:pPr>
            <w:r w:rsidRPr="00503846">
              <w:rPr>
                <w:rFonts w:eastAsia="Calibri"/>
                <w:sz w:val="18"/>
                <w:szCs w:val="18"/>
                <w:lang w:eastAsia="en-US"/>
              </w:rPr>
              <w:t xml:space="preserve"> </w:t>
            </w:r>
            <w:r w:rsidR="009D6EC3" w:rsidRPr="00503846">
              <w:rPr>
                <w:rFonts w:eastAsia="Calibri"/>
                <w:sz w:val="18"/>
                <w:szCs w:val="18"/>
                <w:lang w:eastAsia="en-US"/>
              </w:rPr>
              <w:t xml:space="preserve">   </w:t>
            </w:r>
            <w:r w:rsidR="000677B6" w:rsidRPr="00503846">
              <w:rPr>
                <w:rFonts w:eastAsia="Calibri"/>
                <w:sz w:val="18"/>
                <w:szCs w:val="18"/>
                <w:lang w:eastAsia="en-US"/>
              </w:rPr>
              <w:t xml:space="preserve"> </w:t>
            </w:r>
            <w:hyperlink r:id="rId201" w:history="1">
              <w:r w:rsidR="000677B6" w:rsidRPr="00503846">
                <w:rPr>
                  <w:rFonts w:eastAsia="Calibri"/>
                  <w:color w:val="0000FF"/>
                  <w:sz w:val="18"/>
                  <w:szCs w:val="18"/>
                  <w:u w:val="single"/>
                  <w:lang w:eastAsia="en-US"/>
                </w:rPr>
                <w:t>http://www.asf.gob.mx/trans/Informes/IR2010i/Grupos/Desarrollo_Economico/2010_0753.pdf</w:t>
              </w:r>
            </w:hyperlink>
          </w:p>
          <w:p w14:paraId="6A897D05" w14:textId="38C51AB5" w:rsidR="000677B6" w:rsidRPr="00503846" w:rsidRDefault="000677B6" w:rsidP="00503846">
            <w:pPr>
              <w:ind w:left="228" w:hanging="228"/>
              <w:jc w:val="both"/>
              <w:rPr>
                <w:rFonts w:eastAsia="Calibri"/>
                <w:color w:val="0000FF"/>
                <w:sz w:val="18"/>
                <w:szCs w:val="18"/>
                <w:lang w:eastAsia="en-US"/>
              </w:rPr>
            </w:pPr>
            <w:r w:rsidRPr="00503846">
              <w:rPr>
                <w:rFonts w:eastAsia="Calibri"/>
                <w:sz w:val="18"/>
                <w:szCs w:val="18"/>
                <w:u w:val="single"/>
                <w:lang w:eastAsia="en-US"/>
              </w:rPr>
              <w:t>e</w:t>
            </w:r>
            <w:r w:rsidRPr="00503846">
              <w:rPr>
                <w:rFonts w:eastAsia="Calibri"/>
                <w:sz w:val="18"/>
                <w:szCs w:val="18"/>
                <w:lang w:eastAsia="en-US"/>
              </w:rPr>
              <w:t>/</w:t>
            </w:r>
            <w:r w:rsidR="00503846" w:rsidRPr="00503846">
              <w:rPr>
                <w:rFonts w:eastAsia="Calibri"/>
                <w:sz w:val="18"/>
                <w:szCs w:val="18"/>
                <w:lang w:eastAsia="en-US"/>
              </w:rPr>
              <w:tab/>
            </w:r>
            <w:r w:rsidRPr="00503846">
              <w:rPr>
                <w:rFonts w:eastAsia="Calibri"/>
                <w:sz w:val="18"/>
                <w:szCs w:val="18"/>
                <w:lang w:eastAsia="en-US"/>
              </w:rPr>
              <w:t xml:space="preserve">CONACYT, 2010, Informe General del Estado de la Ciencia y la Tecnología 2010, CONACYT, p. 18 </w:t>
            </w:r>
            <w:hyperlink r:id="rId202" w:history="1">
              <w:r w:rsidRPr="00503846">
                <w:rPr>
                  <w:rFonts w:eastAsia="Calibri"/>
                  <w:color w:val="0000FF"/>
                  <w:sz w:val="18"/>
                  <w:szCs w:val="18"/>
                  <w:u w:val="single"/>
                  <w:lang w:eastAsia="en-US"/>
                </w:rPr>
                <w:t>http://www.conacyt.gob.mx/siicyt/index.php/publicaciones/informe-general-del-estado-de-la-ciencia-y-la-tecnologia-2010/2044-2-informe-2010-capi/file</w:t>
              </w:r>
            </w:hyperlink>
          </w:p>
          <w:p w14:paraId="378E269F" w14:textId="77777777" w:rsidR="000677B6" w:rsidRPr="00503846" w:rsidRDefault="000677B6" w:rsidP="00503846">
            <w:pPr>
              <w:ind w:left="228" w:hanging="228"/>
              <w:jc w:val="both"/>
              <w:rPr>
                <w:rFonts w:eastAsia="Calibri"/>
                <w:color w:val="0000FF"/>
                <w:sz w:val="18"/>
                <w:szCs w:val="18"/>
                <w:lang w:eastAsia="en-US"/>
              </w:rPr>
            </w:pPr>
            <w:r w:rsidRPr="00503846">
              <w:rPr>
                <w:rFonts w:eastAsia="Calibri"/>
                <w:sz w:val="18"/>
                <w:szCs w:val="18"/>
                <w:u w:val="single"/>
                <w:lang w:eastAsia="en-US"/>
              </w:rPr>
              <w:t>f</w:t>
            </w:r>
            <w:r w:rsidRPr="00503846">
              <w:rPr>
                <w:rFonts w:eastAsia="Calibri"/>
                <w:sz w:val="18"/>
                <w:szCs w:val="18"/>
                <w:lang w:eastAsia="en-US"/>
              </w:rPr>
              <w:t xml:space="preserve">/ </w:t>
            </w:r>
            <w:hyperlink r:id="rId203" w:history="1">
              <w:r w:rsidRPr="00503846">
                <w:rPr>
                  <w:rFonts w:eastAsia="Calibri"/>
                  <w:color w:val="0000FF"/>
                  <w:sz w:val="18"/>
                  <w:szCs w:val="18"/>
                  <w:u w:val="single"/>
                  <w:lang w:eastAsia="en-US"/>
                </w:rPr>
                <w:t>http://www.dof.gob.mx/nota_detalle.php?codigo=5354626&amp;fecha=30/07/2014</w:t>
              </w:r>
            </w:hyperlink>
          </w:p>
          <w:p w14:paraId="636C7AA0" w14:textId="77777777" w:rsidR="000677B6" w:rsidRPr="00503846" w:rsidRDefault="000677B6" w:rsidP="00C676DA">
            <w:pPr>
              <w:jc w:val="both"/>
              <w:rPr>
                <w:rFonts w:eastAsia="Calibri"/>
                <w:sz w:val="18"/>
                <w:szCs w:val="18"/>
                <w:lang w:eastAsia="en-US"/>
              </w:rPr>
            </w:pPr>
            <w:r w:rsidRPr="00503846">
              <w:rPr>
                <w:rFonts w:eastAsia="Calibri"/>
                <w:sz w:val="18"/>
                <w:szCs w:val="18"/>
                <w:lang w:eastAsia="en-US"/>
              </w:rPr>
              <w:t>FUENTE: Elaboración de la fuente con base en INEGI, ASF Y CONACYT.</w:t>
            </w:r>
          </w:p>
        </w:tc>
      </w:tr>
    </w:tbl>
    <w:p w14:paraId="1D94EA36" w14:textId="77777777" w:rsidR="000677B6" w:rsidRPr="000677B6" w:rsidRDefault="000677B6" w:rsidP="000677B6">
      <w:pPr>
        <w:spacing w:after="360" w:line="360" w:lineRule="auto"/>
        <w:ind w:right="-159"/>
        <w:jc w:val="both"/>
        <w:rPr>
          <w:rFonts w:eastAsia="Calibri"/>
          <w:sz w:val="26"/>
          <w:szCs w:val="26"/>
          <w:lang w:val="es-ES" w:eastAsia="en-US"/>
        </w:rPr>
      </w:pPr>
    </w:p>
    <w:p w14:paraId="74E9E2F8" w14:textId="77777777" w:rsidR="000677B6" w:rsidRPr="000677B6" w:rsidRDefault="000677B6" w:rsidP="000677B6">
      <w:pPr>
        <w:spacing w:after="360" w:line="360" w:lineRule="auto"/>
        <w:ind w:right="-159"/>
        <w:jc w:val="both"/>
        <w:rPr>
          <w:rFonts w:eastAsia="Calibri"/>
          <w:b/>
          <w:sz w:val="26"/>
          <w:szCs w:val="26"/>
          <w:lang w:val="es-ES" w:eastAsia="en-US"/>
        </w:rPr>
      </w:pPr>
      <w:r w:rsidRPr="000677B6">
        <w:rPr>
          <w:rFonts w:eastAsia="Calibri"/>
          <w:b/>
          <w:sz w:val="26"/>
          <w:szCs w:val="26"/>
          <w:lang w:val="es-ES" w:eastAsia="en-US"/>
        </w:rPr>
        <w:t>Patentamiento en Cleantech</w:t>
      </w:r>
    </w:p>
    <w:p w14:paraId="4BB53DA1" w14:textId="77033466"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En los últimos tres años el número de solicitudes de patentes ante el Instituto Mexicano de la Propiedad Industrial (IMPI), por parte de inventores mexicanos, ha sido cerca del 8% del total de solicitudes, hecho que se reconoce como preocupante para el entorno de innovación del país. No obstante, una revisión de datos estadísticos de la OCDE resaltó que entre 2006 y 2009, 2.5% de las solicitudes de patentes de inventores mexicanos fueron para energías renovables (eólica y solar térmica) y entre 2003 y 2008</w:t>
      </w:r>
      <w:r w:rsidR="00C676DA">
        <w:rPr>
          <w:rFonts w:eastAsia="Calibri"/>
          <w:sz w:val="26"/>
          <w:szCs w:val="26"/>
          <w:lang w:val="es-ES" w:eastAsia="en-US"/>
        </w:rPr>
        <w:t>,</w:t>
      </w:r>
      <w:r w:rsidRPr="000677B6">
        <w:rPr>
          <w:rFonts w:eastAsia="Calibri"/>
          <w:sz w:val="26"/>
          <w:szCs w:val="26"/>
          <w:lang w:val="es-ES" w:eastAsia="en-US"/>
        </w:rPr>
        <w:t xml:space="preserve"> 1.9% de las solicitudes mediante el Tratado de Cooperación en Patentes (PCT, por sus </w:t>
      </w:r>
      <w:r w:rsidRPr="000677B6">
        <w:rPr>
          <w:rFonts w:eastAsia="Calibri"/>
          <w:sz w:val="26"/>
          <w:szCs w:val="26"/>
          <w:lang w:val="es-ES" w:eastAsia="en-US"/>
        </w:rPr>
        <w:lastRenderedPageBreak/>
        <w:t>siglas en inglés) fueron relacionadas a temas de contaminación del agua y 1.4% a gestión de residuos</w:t>
      </w:r>
      <w:r w:rsidRPr="000677B6">
        <w:rPr>
          <w:rFonts w:eastAsia="Calibri"/>
          <w:sz w:val="26"/>
          <w:szCs w:val="26"/>
          <w:vertAlign w:val="superscript"/>
          <w:lang w:val="es-ES" w:eastAsia="en-US"/>
        </w:rPr>
        <w:footnoteReference w:id="41"/>
      </w:r>
      <w:r w:rsidRPr="000677B6">
        <w:rPr>
          <w:rFonts w:eastAsia="Calibri"/>
          <w:sz w:val="26"/>
          <w:szCs w:val="26"/>
          <w:lang w:val="es-ES" w:eastAsia="en-US"/>
        </w:rPr>
        <w:t>.</w:t>
      </w:r>
    </w:p>
    <w:p w14:paraId="030A14F2" w14:textId="2AA0D474"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Para este reporte, se elaboró un análisis de las patentes registradas por el IMPI entre 2000 y 2010</w:t>
      </w:r>
      <w:r w:rsidRPr="000677B6">
        <w:rPr>
          <w:rFonts w:eastAsia="Calibri"/>
          <w:sz w:val="26"/>
          <w:szCs w:val="26"/>
          <w:vertAlign w:val="superscript"/>
          <w:lang w:val="es-ES" w:eastAsia="en-US"/>
        </w:rPr>
        <w:footnoteReference w:id="42"/>
      </w:r>
      <w:r w:rsidRPr="000677B6">
        <w:rPr>
          <w:rFonts w:eastAsia="Calibri"/>
          <w:sz w:val="26"/>
          <w:szCs w:val="26"/>
          <w:lang w:val="es-ES" w:eastAsia="en-US"/>
        </w:rPr>
        <w:t xml:space="preserve"> empleando el “Inventario Verde”</w:t>
      </w:r>
      <w:r w:rsidRPr="000677B6">
        <w:rPr>
          <w:rFonts w:eastAsia="Calibri"/>
          <w:sz w:val="26"/>
          <w:szCs w:val="26"/>
          <w:vertAlign w:val="superscript"/>
          <w:lang w:val="es-ES" w:eastAsia="en-US"/>
        </w:rPr>
        <w:footnoteReference w:id="43"/>
      </w:r>
      <w:r w:rsidRPr="000677B6">
        <w:rPr>
          <w:rFonts w:eastAsia="Calibri"/>
          <w:sz w:val="26"/>
          <w:szCs w:val="26"/>
          <w:lang w:val="es-ES" w:eastAsia="en-US"/>
        </w:rPr>
        <w:t>, reconocido por la Organización Mundial de la Propiedad Intelectual (OMPI), a partir de la Clasificación Internacional de Patente (CIP). Dicho inventario se divide en siete grandes áreas</w:t>
      </w:r>
      <w:r w:rsidRPr="000677B6">
        <w:rPr>
          <w:rFonts w:eastAsia="Calibri"/>
          <w:sz w:val="26"/>
          <w:szCs w:val="26"/>
          <w:vertAlign w:val="superscript"/>
          <w:lang w:val="es-ES" w:eastAsia="en-US"/>
        </w:rPr>
        <w:footnoteReference w:id="44"/>
      </w:r>
      <w:r w:rsidRPr="000677B6">
        <w:rPr>
          <w:rFonts w:eastAsia="Calibri"/>
          <w:sz w:val="26"/>
          <w:szCs w:val="26"/>
          <w:lang w:val="es-ES" w:eastAsia="en-US"/>
        </w:rPr>
        <w:t>, 39 categorías y 200 temas a partir de la clasificación del Panel Intergubernamental sobre Cambio Climático de las Naciones Unidas (IPCC). De estas 39 categorías, se identificaron 13 categorías relevantes para México que concentran la mayor cantidad de las solicitudes de patentes. La gráfica siguiente muestra la proporción de patentes en dichas categorías respecto al total de solicitudes de patentes para inventores mexicanos y solicitantes extranjeros. Entre 2000 y 2010</w:t>
      </w:r>
      <w:r w:rsidR="00C676DA">
        <w:rPr>
          <w:rFonts w:eastAsia="Calibri"/>
          <w:sz w:val="26"/>
          <w:szCs w:val="26"/>
          <w:lang w:val="es-ES" w:eastAsia="en-US"/>
        </w:rPr>
        <w:t>,</w:t>
      </w:r>
      <w:r w:rsidRPr="000677B6">
        <w:rPr>
          <w:rFonts w:eastAsia="Calibri"/>
          <w:sz w:val="26"/>
          <w:szCs w:val="26"/>
          <w:lang w:val="es-ES" w:eastAsia="en-US"/>
        </w:rPr>
        <w:t xml:space="preserve"> el promedio de solicitudes de patentes relacionadas a cleantech por parte de inventores mexicanos fue de 5% anual, mientras que de solicitantes extranjeros fue únicamente del 2.2% promedio anual.</w:t>
      </w:r>
    </w:p>
    <w:p w14:paraId="34D23805" w14:textId="77777777" w:rsidR="000677B6" w:rsidRPr="000677B6" w:rsidRDefault="000677B6" w:rsidP="000677B6">
      <w:pPr>
        <w:spacing w:after="360" w:line="360" w:lineRule="auto"/>
        <w:ind w:right="-159"/>
        <w:jc w:val="both"/>
        <w:rPr>
          <w:rFonts w:eastAsia="Calibri"/>
          <w:sz w:val="26"/>
          <w:szCs w:val="26"/>
          <w:lang w:val="es-ES" w:eastAsia="en-US"/>
        </w:rPr>
      </w:pPr>
    </w:p>
    <w:p w14:paraId="7FBBE2D2" w14:textId="77777777" w:rsidR="000677B6" w:rsidRDefault="000677B6" w:rsidP="000677B6">
      <w:pPr>
        <w:spacing w:after="360" w:line="360" w:lineRule="auto"/>
        <w:ind w:right="-159"/>
        <w:jc w:val="both"/>
        <w:rPr>
          <w:rFonts w:eastAsia="Calibri"/>
          <w:sz w:val="26"/>
          <w:szCs w:val="26"/>
          <w:lang w:val="es-ES" w:eastAsia="en-US"/>
        </w:rPr>
      </w:pPr>
    </w:p>
    <w:p w14:paraId="18D0DC14" w14:textId="77777777" w:rsidR="009D6EC3" w:rsidRPr="000677B6" w:rsidRDefault="009D6EC3" w:rsidP="000677B6">
      <w:pPr>
        <w:spacing w:after="360" w:line="360" w:lineRule="auto"/>
        <w:ind w:right="-159"/>
        <w:jc w:val="both"/>
        <w:rPr>
          <w:rFonts w:eastAsia="Calibri"/>
          <w:sz w:val="26"/>
          <w:szCs w:val="26"/>
          <w:lang w:val="es-ES" w:eastAsia="en-US"/>
        </w:rPr>
      </w:pPr>
    </w:p>
    <w:p w14:paraId="65F97C50" w14:textId="77777777" w:rsidR="000677B6" w:rsidRPr="000677B6" w:rsidRDefault="000677B6" w:rsidP="000677B6">
      <w:pPr>
        <w:spacing w:after="360" w:line="360" w:lineRule="auto"/>
        <w:ind w:right="-159"/>
        <w:jc w:val="both"/>
        <w:rPr>
          <w:rFonts w:eastAsia="Calibri"/>
          <w:sz w:val="26"/>
          <w:szCs w:val="26"/>
          <w:lang w:val="es-ES" w:eastAsia="en-US"/>
        </w:rPr>
      </w:pPr>
    </w:p>
    <w:p w14:paraId="2F22E3CD" w14:textId="77777777" w:rsidR="000677B6" w:rsidRPr="000677B6" w:rsidRDefault="000677B6" w:rsidP="000677B6">
      <w:pPr>
        <w:spacing w:after="360" w:line="360" w:lineRule="auto"/>
        <w:ind w:right="-159"/>
        <w:jc w:val="both"/>
        <w:rPr>
          <w:rFonts w:eastAsia="Calibri"/>
          <w:sz w:val="26"/>
          <w:szCs w:val="26"/>
          <w:lang w:val="es-ES" w:eastAsia="en-US"/>
        </w:rPr>
      </w:pPr>
    </w:p>
    <w:p w14:paraId="126335F0" w14:textId="77777777" w:rsidR="000677B6" w:rsidRPr="000677B6" w:rsidRDefault="000677B6" w:rsidP="00E53D8D">
      <w:pPr>
        <w:spacing w:after="360"/>
        <w:ind w:right="-159"/>
        <w:jc w:val="both"/>
        <w:rPr>
          <w:rFonts w:eastAsia="Calibri"/>
          <w:sz w:val="26"/>
          <w:szCs w:val="26"/>
          <w:lang w:val="es-ES" w:eastAsia="en-US"/>
        </w:rPr>
      </w:pPr>
    </w:p>
    <w:tbl>
      <w:tblPr>
        <w:tblW w:w="9209" w:type="dxa"/>
        <w:tblLook w:val="04A0" w:firstRow="1" w:lastRow="0" w:firstColumn="1" w:lastColumn="0" w:noHBand="0" w:noVBand="1"/>
      </w:tblPr>
      <w:tblGrid>
        <w:gridCol w:w="9209"/>
      </w:tblGrid>
      <w:tr w:rsidR="000677B6" w:rsidRPr="000677B6" w14:paraId="6416CBBD" w14:textId="77777777" w:rsidTr="00082E99">
        <w:tc>
          <w:tcPr>
            <w:tcW w:w="9209" w:type="dxa"/>
          </w:tcPr>
          <w:p w14:paraId="0318E48D" w14:textId="77777777" w:rsidR="000677B6" w:rsidRPr="000677B6" w:rsidRDefault="000677B6" w:rsidP="00A94DD6">
            <w:pPr>
              <w:jc w:val="center"/>
              <w:rPr>
                <w:rFonts w:eastAsia="Calibri"/>
                <w:b/>
                <w:sz w:val="22"/>
                <w:szCs w:val="26"/>
                <w:lang w:val="es-ES" w:eastAsia="en-US"/>
              </w:rPr>
            </w:pPr>
            <w:r w:rsidRPr="000677B6">
              <w:rPr>
                <w:rFonts w:eastAsia="Calibri"/>
                <w:b/>
                <w:sz w:val="22"/>
                <w:szCs w:val="26"/>
                <w:lang w:val="es-ES" w:eastAsia="en-US"/>
              </w:rPr>
              <w:t>SOLICITUDES DE PATENTE CLEANTECH NACIONALES Y</w:t>
            </w:r>
          </w:p>
          <w:p w14:paraId="6D0496B7" w14:textId="77777777" w:rsidR="000677B6" w:rsidRPr="000677B6" w:rsidRDefault="000677B6" w:rsidP="00A94DD6">
            <w:pPr>
              <w:jc w:val="center"/>
              <w:rPr>
                <w:rFonts w:eastAsia="Calibri"/>
                <w:sz w:val="22"/>
                <w:szCs w:val="26"/>
                <w:lang w:val="es-ES" w:eastAsia="en-US"/>
              </w:rPr>
            </w:pPr>
            <w:r w:rsidRPr="000677B6">
              <w:rPr>
                <w:rFonts w:eastAsia="Calibri"/>
                <w:b/>
                <w:sz w:val="22"/>
                <w:szCs w:val="26"/>
                <w:lang w:val="es-ES" w:eastAsia="en-US"/>
              </w:rPr>
              <w:t>EXTRANJERAS EN MÉXICO</w:t>
            </w:r>
          </w:p>
        </w:tc>
      </w:tr>
      <w:tr w:rsidR="000677B6" w:rsidRPr="000677B6" w14:paraId="76838699" w14:textId="77777777" w:rsidTr="00082E99">
        <w:tc>
          <w:tcPr>
            <w:tcW w:w="9209" w:type="dxa"/>
          </w:tcPr>
          <w:p w14:paraId="5992F9BC" w14:textId="77777777" w:rsidR="000677B6" w:rsidRPr="000677B6" w:rsidRDefault="000677B6" w:rsidP="00A94DD6">
            <w:pPr>
              <w:jc w:val="center"/>
              <w:rPr>
                <w:rFonts w:eastAsia="Calibri"/>
                <w:sz w:val="22"/>
                <w:szCs w:val="26"/>
                <w:lang w:val="es-ES" w:eastAsia="en-US"/>
              </w:rPr>
            </w:pPr>
            <w:r w:rsidRPr="000677B6">
              <w:rPr>
                <w:rFonts w:eastAsia="Calibri"/>
                <w:noProof/>
                <w:sz w:val="22"/>
                <w:szCs w:val="26"/>
                <w:lang w:eastAsia="es-MX"/>
              </w:rPr>
              <w:drawing>
                <wp:inline distT="0" distB="0" distL="0" distR="0" wp14:anchorId="25564BE5" wp14:editId="7AAA5E1D">
                  <wp:extent cx="4716193" cy="4140000"/>
                  <wp:effectExtent l="0" t="0" r="8255" b="0"/>
                  <wp:docPr id="150" name="Imagen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04" cstate="print">
                            <a:extLst>
                              <a:ext uri="{28A0092B-C50C-407E-A947-70E740481C1C}">
                                <a14:useLocalDpi xmlns:a14="http://schemas.microsoft.com/office/drawing/2010/main" val="0"/>
                              </a:ext>
                            </a:extLst>
                          </a:blip>
                          <a:srcRect t="798" b="796"/>
                          <a:stretch/>
                        </pic:blipFill>
                        <pic:spPr bwMode="auto">
                          <a:xfrm>
                            <a:off x="0" y="0"/>
                            <a:ext cx="4716193" cy="414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677B6" w:rsidRPr="000677B6" w14:paraId="6B2B5BB3" w14:textId="77777777" w:rsidTr="00082E99">
        <w:tc>
          <w:tcPr>
            <w:tcW w:w="9209" w:type="dxa"/>
          </w:tcPr>
          <w:p w14:paraId="2ECF8B9A" w14:textId="77777777" w:rsidR="000677B6" w:rsidRPr="000677B6" w:rsidRDefault="000677B6" w:rsidP="00A94DD6">
            <w:pPr>
              <w:ind w:firstLine="885"/>
              <w:jc w:val="both"/>
              <w:rPr>
                <w:rFonts w:eastAsia="Calibri"/>
                <w:sz w:val="20"/>
                <w:szCs w:val="26"/>
                <w:lang w:val="es-ES" w:eastAsia="en-US"/>
              </w:rPr>
            </w:pPr>
            <w:r w:rsidRPr="000677B6">
              <w:rPr>
                <w:rFonts w:eastAsia="Calibri"/>
                <w:sz w:val="20"/>
                <w:szCs w:val="26"/>
                <w:lang w:val="es-ES" w:eastAsia="en-US"/>
              </w:rPr>
              <w:t>FUENTE: Elaboración de la fuente con datos del IMPI y OMPI.</w:t>
            </w:r>
          </w:p>
        </w:tc>
      </w:tr>
    </w:tbl>
    <w:p w14:paraId="7969CA2D" w14:textId="77777777" w:rsidR="000677B6" w:rsidRPr="000677B6" w:rsidRDefault="000677B6" w:rsidP="000677B6">
      <w:pPr>
        <w:spacing w:after="360" w:line="360" w:lineRule="auto"/>
        <w:ind w:right="-159"/>
        <w:jc w:val="both"/>
        <w:rPr>
          <w:rFonts w:eastAsia="Calibri"/>
          <w:sz w:val="26"/>
          <w:szCs w:val="26"/>
          <w:lang w:val="es-ES" w:eastAsia="en-US"/>
        </w:rPr>
      </w:pPr>
    </w:p>
    <w:p w14:paraId="6A7E0CC4"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Aunque en México no existen estadísticas oficiales sobre el éxito comercial de inventos en Centros Públicos de Investigación (CPI) e Instituciones de Educación Superior (IES), un informe de la OCDE muestra cómo dicho éxito es muy bajo</w:t>
      </w:r>
      <w:r w:rsidRPr="000677B6">
        <w:rPr>
          <w:rFonts w:eastAsia="Calibri"/>
          <w:sz w:val="26"/>
          <w:szCs w:val="26"/>
          <w:vertAlign w:val="superscript"/>
          <w:lang w:val="es-ES" w:eastAsia="en-US"/>
        </w:rPr>
        <w:footnoteReference w:id="45"/>
      </w:r>
      <w:r w:rsidRPr="000677B6">
        <w:rPr>
          <w:rFonts w:eastAsia="Calibri"/>
          <w:sz w:val="26"/>
          <w:szCs w:val="26"/>
          <w:lang w:val="es-ES" w:eastAsia="en-US"/>
        </w:rPr>
        <w:t>. Por ejemplo, mientras que en el Instituto Tecnológico de Massachusetts (MIT) en el 2013 se otorgaron 288 patentes</w:t>
      </w:r>
      <w:r w:rsidRPr="000677B6">
        <w:rPr>
          <w:rFonts w:eastAsia="Calibri"/>
          <w:sz w:val="26"/>
          <w:szCs w:val="26"/>
          <w:vertAlign w:val="superscript"/>
          <w:lang w:val="es-ES" w:eastAsia="en-US"/>
        </w:rPr>
        <w:footnoteReference w:id="46"/>
      </w:r>
      <w:r w:rsidRPr="000677B6">
        <w:rPr>
          <w:rFonts w:eastAsia="Calibri"/>
          <w:sz w:val="26"/>
          <w:szCs w:val="26"/>
          <w:lang w:val="es-ES" w:eastAsia="en-US"/>
        </w:rPr>
        <w:t xml:space="preserve">, para todo México en ese mismo año se otorgaron 302 patentes </w:t>
      </w:r>
      <w:r w:rsidRPr="000677B6">
        <w:rPr>
          <w:rFonts w:eastAsia="Calibri"/>
          <w:sz w:val="26"/>
          <w:szCs w:val="26"/>
          <w:lang w:val="es-ES" w:eastAsia="en-US"/>
        </w:rPr>
        <w:lastRenderedPageBreak/>
        <w:t>a inventores mexicanos. De éstas, 9% fueron para el sector eléctrico, uno de los principales de cleantech</w:t>
      </w:r>
      <w:r w:rsidRPr="000677B6">
        <w:rPr>
          <w:rFonts w:eastAsia="Calibri"/>
          <w:sz w:val="26"/>
          <w:szCs w:val="26"/>
          <w:vertAlign w:val="superscript"/>
          <w:lang w:val="es-ES" w:eastAsia="en-US"/>
        </w:rPr>
        <w:footnoteReference w:id="47"/>
      </w:r>
      <w:r w:rsidRPr="000677B6">
        <w:rPr>
          <w:rFonts w:eastAsia="Calibri"/>
          <w:sz w:val="26"/>
          <w:szCs w:val="26"/>
          <w:lang w:val="es-ES" w:eastAsia="en-US"/>
        </w:rPr>
        <w:t xml:space="preserve"> (ver gráfica siguiente).</w:t>
      </w:r>
    </w:p>
    <w:p w14:paraId="00BCB51E" w14:textId="77777777" w:rsidR="000677B6" w:rsidRPr="00C676DA" w:rsidRDefault="000677B6" w:rsidP="00C676DA">
      <w:pPr>
        <w:spacing w:after="360"/>
        <w:ind w:right="-159"/>
        <w:jc w:val="both"/>
        <w:rPr>
          <w:rFonts w:eastAsia="Calibri"/>
          <w:b/>
          <w:sz w:val="26"/>
          <w:szCs w:val="26"/>
          <w:lang w:val="es-ES" w:eastAsia="en-US"/>
        </w:rPr>
      </w:pPr>
      <w:r w:rsidRPr="00C676DA">
        <w:rPr>
          <w:rFonts w:eastAsia="Calibri"/>
          <w:b/>
          <w:sz w:val="26"/>
          <w:szCs w:val="26"/>
          <w:lang w:val="es-ES" w:eastAsia="en-US"/>
        </w:rPr>
        <w:t>Centros de Investigación y Universidades figuran como los principales titulares de patentes pero la vinculación con el sector privado es muy baja.</w:t>
      </w:r>
    </w:p>
    <w:tbl>
      <w:tblPr>
        <w:tblW w:w="9209" w:type="dxa"/>
        <w:tblLook w:val="04A0" w:firstRow="1" w:lastRow="0" w:firstColumn="1" w:lastColumn="0" w:noHBand="0" w:noVBand="1"/>
      </w:tblPr>
      <w:tblGrid>
        <w:gridCol w:w="9209"/>
      </w:tblGrid>
      <w:tr w:rsidR="000677B6" w:rsidRPr="000677B6" w14:paraId="6BDCBAB7" w14:textId="77777777" w:rsidTr="00082E99">
        <w:tc>
          <w:tcPr>
            <w:tcW w:w="9209" w:type="dxa"/>
          </w:tcPr>
          <w:p w14:paraId="627CE151" w14:textId="77777777" w:rsidR="000677B6" w:rsidRPr="000677B6" w:rsidRDefault="000677B6" w:rsidP="000677B6">
            <w:pPr>
              <w:spacing w:after="200" w:line="276" w:lineRule="auto"/>
              <w:jc w:val="center"/>
              <w:rPr>
                <w:rFonts w:eastAsia="Calibri"/>
                <w:sz w:val="22"/>
                <w:szCs w:val="26"/>
                <w:lang w:val="es-ES" w:eastAsia="en-US"/>
              </w:rPr>
            </w:pPr>
            <w:r w:rsidRPr="000677B6">
              <w:rPr>
                <w:rFonts w:eastAsia="Calibri"/>
                <w:b/>
                <w:sz w:val="22"/>
                <w:szCs w:val="26"/>
                <w:lang w:val="es-ES" w:eastAsia="en-US"/>
              </w:rPr>
              <w:t>COMPARATIVO PATENTES EN MÉXICO Y MIT 2013</w:t>
            </w:r>
          </w:p>
        </w:tc>
      </w:tr>
      <w:tr w:rsidR="000677B6" w:rsidRPr="000677B6" w14:paraId="5FC147E5" w14:textId="77777777" w:rsidTr="00082E99">
        <w:tc>
          <w:tcPr>
            <w:tcW w:w="9209" w:type="dxa"/>
          </w:tcPr>
          <w:p w14:paraId="0DF3DF11" w14:textId="77777777" w:rsidR="000677B6" w:rsidRPr="000677B6" w:rsidRDefault="000677B6" w:rsidP="000677B6">
            <w:pPr>
              <w:spacing w:after="200" w:line="276" w:lineRule="auto"/>
              <w:jc w:val="center"/>
              <w:rPr>
                <w:rFonts w:eastAsia="Calibri"/>
                <w:sz w:val="22"/>
                <w:szCs w:val="26"/>
                <w:lang w:val="es-ES" w:eastAsia="en-US"/>
              </w:rPr>
            </w:pPr>
            <w:r w:rsidRPr="000677B6">
              <w:rPr>
                <w:rFonts w:eastAsia="Calibri"/>
                <w:noProof/>
                <w:sz w:val="22"/>
                <w:szCs w:val="26"/>
                <w:lang w:eastAsia="es-MX"/>
              </w:rPr>
              <w:drawing>
                <wp:inline distT="0" distB="0" distL="0" distR="0" wp14:anchorId="74E97B23" wp14:editId="3C25F09D">
                  <wp:extent cx="4615953" cy="2700000"/>
                  <wp:effectExtent l="0" t="0" r="0" b="5715"/>
                  <wp:docPr id="151"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05" cstate="print">
                            <a:extLst>
                              <a:ext uri="{28A0092B-C50C-407E-A947-70E740481C1C}">
                                <a14:useLocalDpi xmlns:a14="http://schemas.microsoft.com/office/drawing/2010/main" val="0"/>
                              </a:ext>
                            </a:extLst>
                          </a:blip>
                          <a:srcRect t="10499" b="1758"/>
                          <a:stretch/>
                        </pic:blipFill>
                        <pic:spPr bwMode="auto">
                          <a:xfrm>
                            <a:off x="0" y="0"/>
                            <a:ext cx="4615953" cy="270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53D8D" w:rsidRPr="000677B6" w14:paraId="2EAF514B" w14:textId="77777777" w:rsidTr="00082E99">
        <w:tc>
          <w:tcPr>
            <w:tcW w:w="9209" w:type="dxa"/>
          </w:tcPr>
          <w:p w14:paraId="16CE77A6" w14:textId="77777777" w:rsidR="00E53D8D" w:rsidRDefault="00E53D8D" w:rsidP="000677B6">
            <w:pPr>
              <w:spacing w:before="60" w:after="200" w:line="276" w:lineRule="auto"/>
              <w:jc w:val="center"/>
              <w:rPr>
                <w:rFonts w:eastAsia="Calibri"/>
                <w:b/>
                <w:sz w:val="22"/>
                <w:szCs w:val="26"/>
                <w:lang w:val="es-ES" w:eastAsia="en-US"/>
              </w:rPr>
            </w:pPr>
          </w:p>
          <w:p w14:paraId="09D0E723" w14:textId="77777777" w:rsidR="00E53D8D" w:rsidRDefault="00E53D8D" w:rsidP="000677B6">
            <w:pPr>
              <w:spacing w:before="60" w:after="200" w:line="276" w:lineRule="auto"/>
              <w:jc w:val="center"/>
              <w:rPr>
                <w:rFonts w:eastAsia="Calibri"/>
                <w:b/>
                <w:sz w:val="22"/>
                <w:szCs w:val="26"/>
                <w:lang w:val="es-ES" w:eastAsia="en-US"/>
              </w:rPr>
            </w:pPr>
          </w:p>
          <w:p w14:paraId="2E3FD64C" w14:textId="77777777" w:rsidR="00E53D8D" w:rsidRDefault="00E53D8D" w:rsidP="000677B6">
            <w:pPr>
              <w:spacing w:before="60" w:after="200" w:line="276" w:lineRule="auto"/>
              <w:jc w:val="center"/>
              <w:rPr>
                <w:rFonts w:eastAsia="Calibri"/>
                <w:b/>
                <w:sz w:val="22"/>
                <w:szCs w:val="26"/>
                <w:lang w:val="es-ES" w:eastAsia="en-US"/>
              </w:rPr>
            </w:pPr>
          </w:p>
          <w:p w14:paraId="620CFE5E" w14:textId="77777777" w:rsidR="00E53D8D" w:rsidRDefault="00E53D8D" w:rsidP="000677B6">
            <w:pPr>
              <w:spacing w:before="60" w:after="200" w:line="276" w:lineRule="auto"/>
              <w:jc w:val="center"/>
              <w:rPr>
                <w:rFonts w:eastAsia="Calibri"/>
                <w:b/>
                <w:sz w:val="22"/>
                <w:szCs w:val="26"/>
                <w:lang w:val="es-ES" w:eastAsia="en-US"/>
              </w:rPr>
            </w:pPr>
          </w:p>
          <w:p w14:paraId="27875768" w14:textId="77777777" w:rsidR="00E53D8D" w:rsidRDefault="00E53D8D" w:rsidP="000677B6">
            <w:pPr>
              <w:spacing w:before="60" w:after="200" w:line="276" w:lineRule="auto"/>
              <w:jc w:val="center"/>
              <w:rPr>
                <w:rFonts w:eastAsia="Calibri"/>
                <w:b/>
                <w:sz w:val="22"/>
                <w:szCs w:val="26"/>
                <w:lang w:val="es-ES" w:eastAsia="en-US"/>
              </w:rPr>
            </w:pPr>
          </w:p>
          <w:p w14:paraId="0E3102E8" w14:textId="77777777" w:rsidR="00E53D8D" w:rsidRDefault="00E53D8D" w:rsidP="000677B6">
            <w:pPr>
              <w:spacing w:before="60" w:after="200" w:line="276" w:lineRule="auto"/>
              <w:jc w:val="center"/>
              <w:rPr>
                <w:rFonts w:eastAsia="Calibri"/>
                <w:b/>
                <w:sz w:val="22"/>
                <w:szCs w:val="26"/>
                <w:lang w:val="es-ES" w:eastAsia="en-US"/>
              </w:rPr>
            </w:pPr>
          </w:p>
          <w:p w14:paraId="094934C2" w14:textId="77777777" w:rsidR="00E53D8D" w:rsidRDefault="00E53D8D" w:rsidP="000677B6">
            <w:pPr>
              <w:spacing w:before="60" w:after="200" w:line="276" w:lineRule="auto"/>
              <w:jc w:val="center"/>
              <w:rPr>
                <w:rFonts w:eastAsia="Calibri"/>
                <w:b/>
                <w:sz w:val="22"/>
                <w:szCs w:val="26"/>
                <w:lang w:val="es-ES" w:eastAsia="en-US"/>
              </w:rPr>
            </w:pPr>
          </w:p>
          <w:p w14:paraId="5879ABF9" w14:textId="77777777" w:rsidR="00E53D8D" w:rsidRDefault="00E53D8D" w:rsidP="000677B6">
            <w:pPr>
              <w:spacing w:before="60" w:after="200" w:line="276" w:lineRule="auto"/>
              <w:jc w:val="center"/>
              <w:rPr>
                <w:rFonts w:eastAsia="Calibri"/>
                <w:b/>
                <w:sz w:val="22"/>
                <w:szCs w:val="26"/>
                <w:lang w:val="es-ES" w:eastAsia="en-US"/>
              </w:rPr>
            </w:pPr>
          </w:p>
          <w:p w14:paraId="4EC763D2" w14:textId="77777777" w:rsidR="00E53D8D" w:rsidRDefault="00E53D8D" w:rsidP="000677B6">
            <w:pPr>
              <w:spacing w:before="60" w:after="200" w:line="276" w:lineRule="auto"/>
              <w:jc w:val="center"/>
              <w:rPr>
                <w:rFonts w:eastAsia="Calibri"/>
                <w:b/>
                <w:sz w:val="22"/>
                <w:szCs w:val="26"/>
                <w:lang w:val="es-ES" w:eastAsia="en-US"/>
              </w:rPr>
            </w:pPr>
          </w:p>
          <w:p w14:paraId="5038D0CE" w14:textId="77777777" w:rsidR="00E53D8D" w:rsidRPr="000677B6" w:rsidRDefault="00E53D8D" w:rsidP="000677B6">
            <w:pPr>
              <w:spacing w:before="60" w:after="200" w:line="276" w:lineRule="auto"/>
              <w:jc w:val="center"/>
              <w:rPr>
                <w:rFonts w:eastAsia="Calibri"/>
                <w:b/>
                <w:sz w:val="22"/>
                <w:szCs w:val="26"/>
                <w:lang w:val="es-ES" w:eastAsia="en-US"/>
              </w:rPr>
            </w:pPr>
          </w:p>
        </w:tc>
      </w:tr>
      <w:tr w:rsidR="000677B6" w:rsidRPr="000677B6" w14:paraId="57A12157" w14:textId="77777777" w:rsidTr="00082E99">
        <w:tc>
          <w:tcPr>
            <w:tcW w:w="9209" w:type="dxa"/>
          </w:tcPr>
          <w:p w14:paraId="14F0094A" w14:textId="77777777" w:rsidR="000677B6" w:rsidRPr="000677B6" w:rsidRDefault="000677B6" w:rsidP="000677B6">
            <w:pPr>
              <w:spacing w:before="60" w:after="200" w:line="276" w:lineRule="auto"/>
              <w:jc w:val="center"/>
              <w:rPr>
                <w:rFonts w:eastAsia="Calibri"/>
                <w:b/>
                <w:sz w:val="22"/>
                <w:szCs w:val="26"/>
                <w:lang w:val="es-ES" w:eastAsia="en-US"/>
              </w:rPr>
            </w:pPr>
            <w:r w:rsidRPr="000677B6">
              <w:rPr>
                <w:rFonts w:eastAsia="Calibri"/>
                <w:b/>
                <w:sz w:val="22"/>
                <w:szCs w:val="26"/>
                <w:lang w:val="es-ES" w:eastAsia="en-US"/>
              </w:rPr>
              <w:lastRenderedPageBreak/>
              <w:t>PATENTES EN MÉXICO</w:t>
            </w:r>
          </w:p>
        </w:tc>
      </w:tr>
      <w:tr w:rsidR="000677B6" w:rsidRPr="000677B6" w14:paraId="2F47CDDE" w14:textId="77777777" w:rsidTr="00082E99">
        <w:tc>
          <w:tcPr>
            <w:tcW w:w="9209" w:type="dxa"/>
          </w:tcPr>
          <w:p w14:paraId="5B88EF0E" w14:textId="77777777" w:rsidR="000677B6" w:rsidRPr="000677B6" w:rsidRDefault="000677B6" w:rsidP="000677B6">
            <w:pPr>
              <w:spacing w:after="200" w:line="276" w:lineRule="auto"/>
              <w:jc w:val="center"/>
              <w:rPr>
                <w:rFonts w:eastAsia="Calibri"/>
                <w:sz w:val="22"/>
                <w:szCs w:val="26"/>
                <w:lang w:val="es-ES" w:eastAsia="en-US"/>
              </w:rPr>
            </w:pPr>
            <w:r w:rsidRPr="000677B6">
              <w:rPr>
                <w:rFonts w:eastAsia="Calibri"/>
                <w:noProof/>
                <w:sz w:val="22"/>
                <w:szCs w:val="26"/>
                <w:lang w:eastAsia="es-MX"/>
              </w:rPr>
              <w:drawing>
                <wp:inline distT="0" distB="0" distL="0" distR="0" wp14:anchorId="168C9D77" wp14:editId="2B819D52">
                  <wp:extent cx="4752064" cy="2988000"/>
                  <wp:effectExtent l="0" t="0" r="0" b="3175"/>
                  <wp:docPr id="152" name="Imagen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06" cstate="print">
                            <a:extLst>
                              <a:ext uri="{28A0092B-C50C-407E-A947-70E740481C1C}">
                                <a14:useLocalDpi xmlns:a14="http://schemas.microsoft.com/office/drawing/2010/main" val="0"/>
                              </a:ext>
                            </a:extLst>
                          </a:blip>
                          <a:srcRect t="4627" b="1051"/>
                          <a:stretch/>
                        </pic:blipFill>
                        <pic:spPr bwMode="auto">
                          <a:xfrm>
                            <a:off x="0" y="0"/>
                            <a:ext cx="4752064" cy="2988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677B6" w:rsidRPr="000677B6" w14:paraId="6849C55D" w14:textId="77777777" w:rsidTr="00082E99">
        <w:tc>
          <w:tcPr>
            <w:tcW w:w="9209" w:type="dxa"/>
          </w:tcPr>
          <w:p w14:paraId="70B1990F" w14:textId="77777777" w:rsidR="000677B6" w:rsidRPr="000677B6" w:rsidRDefault="000677B6" w:rsidP="000677B6">
            <w:pPr>
              <w:spacing w:after="200" w:line="276" w:lineRule="auto"/>
              <w:ind w:firstLine="885"/>
              <w:jc w:val="both"/>
              <w:rPr>
                <w:rFonts w:eastAsia="Calibri"/>
                <w:sz w:val="20"/>
                <w:szCs w:val="26"/>
                <w:lang w:val="es-ES" w:eastAsia="en-US"/>
              </w:rPr>
            </w:pPr>
            <w:r w:rsidRPr="000677B6">
              <w:rPr>
                <w:rFonts w:eastAsia="Calibri"/>
                <w:sz w:val="20"/>
                <w:szCs w:val="26"/>
                <w:lang w:val="es-ES" w:eastAsia="en-US"/>
              </w:rPr>
              <w:t>FUENTE: mit.edu e IMPI en cifras (impi.gob.mx/wb/IMPI/impi_en_cifras2).</w:t>
            </w:r>
          </w:p>
        </w:tc>
      </w:tr>
    </w:tbl>
    <w:p w14:paraId="712576CB" w14:textId="77777777" w:rsidR="000677B6" w:rsidRPr="000677B6" w:rsidRDefault="000677B6" w:rsidP="000677B6">
      <w:pPr>
        <w:spacing w:after="360" w:line="360" w:lineRule="auto"/>
        <w:ind w:right="-159"/>
        <w:jc w:val="both"/>
        <w:rPr>
          <w:rFonts w:eastAsia="Calibri"/>
          <w:sz w:val="26"/>
          <w:szCs w:val="26"/>
          <w:lang w:val="es-ES" w:eastAsia="en-US"/>
        </w:rPr>
      </w:pPr>
    </w:p>
    <w:p w14:paraId="454B4D2C" w14:textId="77777777" w:rsid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De las solicitudes de patentes ante el IMPI, sólo el 4% provienen de IES y CI</w:t>
      </w:r>
      <w:r w:rsidRPr="000677B6">
        <w:rPr>
          <w:rFonts w:eastAsia="Calibri"/>
          <w:sz w:val="26"/>
          <w:szCs w:val="26"/>
          <w:vertAlign w:val="superscript"/>
          <w:lang w:val="es-ES" w:eastAsia="en-US"/>
        </w:rPr>
        <w:footnoteReference w:id="48"/>
      </w:r>
      <w:r w:rsidRPr="000677B6">
        <w:rPr>
          <w:rFonts w:eastAsia="Calibri"/>
          <w:sz w:val="26"/>
          <w:szCs w:val="26"/>
          <w:lang w:val="es-ES" w:eastAsia="en-US"/>
        </w:rPr>
        <w:t>. Aproximadamente el 6% de las solicitudes tienen su origen en inventores independientes y alrededor del 90% son tramitadas por empresas. Sin embargo, los IES y CI concentran la mayor parte de las solicitudes de bienes de consumo (43% en 2013), mientras que las ramas que más crecen (física y electricidad) tienen una mayor participación de empresas, seguidas de inventores independientes</w:t>
      </w:r>
      <w:r w:rsidRPr="000677B6">
        <w:rPr>
          <w:rFonts w:eastAsia="Calibri"/>
          <w:sz w:val="26"/>
          <w:szCs w:val="26"/>
          <w:vertAlign w:val="superscript"/>
          <w:lang w:val="es-ES" w:eastAsia="en-US"/>
        </w:rPr>
        <w:footnoteReference w:id="49"/>
      </w:r>
      <w:r w:rsidRPr="000677B6">
        <w:rPr>
          <w:rFonts w:eastAsia="Calibri"/>
          <w:sz w:val="26"/>
          <w:szCs w:val="26"/>
          <w:lang w:val="es-ES" w:eastAsia="en-US"/>
        </w:rPr>
        <w:t>. A pesar de esto, IES y CI se destacan como los principales titulares de patentes por inventores mexicanos, en los últimos años (ver gráfica siguiente).</w:t>
      </w:r>
    </w:p>
    <w:p w14:paraId="780CA387" w14:textId="77777777" w:rsidR="00A94DD6" w:rsidRDefault="00A94DD6" w:rsidP="000677B6">
      <w:pPr>
        <w:spacing w:after="360" w:line="360" w:lineRule="auto"/>
        <w:ind w:right="-159"/>
        <w:jc w:val="both"/>
        <w:rPr>
          <w:rFonts w:eastAsia="Calibri"/>
          <w:sz w:val="26"/>
          <w:szCs w:val="26"/>
          <w:lang w:val="es-ES" w:eastAsia="en-US"/>
        </w:rPr>
      </w:pPr>
    </w:p>
    <w:p w14:paraId="59743AA3" w14:textId="77777777" w:rsidR="009D6EC3" w:rsidRPr="000677B6" w:rsidRDefault="009D6EC3" w:rsidP="009D6EC3">
      <w:pPr>
        <w:spacing w:after="120" w:line="360" w:lineRule="auto"/>
        <w:ind w:right="-159"/>
        <w:jc w:val="both"/>
        <w:rPr>
          <w:rFonts w:eastAsia="Calibri"/>
          <w:sz w:val="26"/>
          <w:szCs w:val="26"/>
          <w:lang w:val="es-ES" w:eastAsia="en-US"/>
        </w:rPr>
      </w:pPr>
    </w:p>
    <w:tbl>
      <w:tblPr>
        <w:tblW w:w="9209" w:type="dxa"/>
        <w:tblLook w:val="04A0" w:firstRow="1" w:lastRow="0" w:firstColumn="1" w:lastColumn="0" w:noHBand="0" w:noVBand="1"/>
      </w:tblPr>
      <w:tblGrid>
        <w:gridCol w:w="9209"/>
      </w:tblGrid>
      <w:tr w:rsidR="000677B6" w:rsidRPr="000677B6" w14:paraId="4412D1FF" w14:textId="77777777" w:rsidTr="00082E99">
        <w:tc>
          <w:tcPr>
            <w:tcW w:w="9209" w:type="dxa"/>
          </w:tcPr>
          <w:p w14:paraId="74DC5B89" w14:textId="77777777" w:rsidR="000677B6" w:rsidRPr="000677B6" w:rsidRDefault="000677B6" w:rsidP="00A94DD6">
            <w:pPr>
              <w:jc w:val="center"/>
              <w:rPr>
                <w:rFonts w:eastAsia="Calibri"/>
                <w:b/>
                <w:sz w:val="22"/>
                <w:szCs w:val="26"/>
                <w:lang w:val="es-ES" w:eastAsia="en-US"/>
              </w:rPr>
            </w:pPr>
            <w:r w:rsidRPr="000677B6">
              <w:rPr>
                <w:rFonts w:eastAsia="Calibri"/>
                <w:b/>
                <w:sz w:val="22"/>
                <w:szCs w:val="26"/>
                <w:lang w:val="es-ES" w:eastAsia="en-US"/>
              </w:rPr>
              <w:lastRenderedPageBreak/>
              <w:t>PRINCIPALES TITULARES DE PATENTES EN MÉXICO</w:t>
            </w:r>
          </w:p>
          <w:p w14:paraId="44B08CB5" w14:textId="77777777" w:rsidR="000677B6" w:rsidRPr="000677B6" w:rsidRDefault="000677B6" w:rsidP="00A94DD6">
            <w:pPr>
              <w:jc w:val="center"/>
              <w:rPr>
                <w:rFonts w:eastAsia="Calibri"/>
                <w:sz w:val="22"/>
                <w:szCs w:val="26"/>
                <w:lang w:val="es-ES" w:eastAsia="en-US"/>
              </w:rPr>
            </w:pPr>
            <w:r w:rsidRPr="000677B6">
              <w:rPr>
                <w:rFonts w:eastAsia="Calibri"/>
                <w:b/>
                <w:sz w:val="22"/>
                <w:szCs w:val="26"/>
                <w:lang w:val="es-ES" w:eastAsia="en-US"/>
              </w:rPr>
              <w:t>-Enero-diciembre 2014-</w:t>
            </w:r>
          </w:p>
        </w:tc>
      </w:tr>
      <w:tr w:rsidR="000677B6" w:rsidRPr="000677B6" w14:paraId="57839E77" w14:textId="77777777" w:rsidTr="00082E99">
        <w:tc>
          <w:tcPr>
            <w:tcW w:w="9209" w:type="dxa"/>
          </w:tcPr>
          <w:p w14:paraId="210F001A" w14:textId="77777777" w:rsidR="000677B6" w:rsidRPr="000677B6" w:rsidRDefault="000677B6" w:rsidP="00A94DD6">
            <w:pPr>
              <w:jc w:val="center"/>
              <w:rPr>
                <w:rFonts w:eastAsia="Calibri"/>
                <w:sz w:val="22"/>
                <w:szCs w:val="26"/>
                <w:lang w:val="es-ES" w:eastAsia="en-US"/>
              </w:rPr>
            </w:pPr>
            <w:r w:rsidRPr="000677B6">
              <w:rPr>
                <w:rFonts w:eastAsia="Calibri"/>
                <w:noProof/>
                <w:sz w:val="22"/>
                <w:szCs w:val="26"/>
                <w:lang w:eastAsia="es-MX"/>
              </w:rPr>
              <w:drawing>
                <wp:inline distT="0" distB="0" distL="0" distR="0" wp14:anchorId="267D2A62" wp14:editId="2ACFB20B">
                  <wp:extent cx="5132644" cy="2880000"/>
                  <wp:effectExtent l="0" t="0" r="0" b="0"/>
                  <wp:docPr id="153" name="Imagen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07" cstate="print">
                            <a:extLst>
                              <a:ext uri="{28A0092B-C50C-407E-A947-70E740481C1C}">
                                <a14:useLocalDpi xmlns:a14="http://schemas.microsoft.com/office/drawing/2010/main" val="0"/>
                              </a:ext>
                            </a:extLst>
                          </a:blip>
                          <a:srcRect t="7829" b="7999"/>
                          <a:stretch/>
                        </pic:blipFill>
                        <pic:spPr bwMode="auto">
                          <a:xfrm>
                            <a:off x="0" y="0"/>
                            <a:ext cx="5132644" cy="288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677B6" w:rsidRPr="000677B6" w14:paraId="487C7614" w14:textId="77777777" w:rsidTr="00082E99">
        <w:tc>
          <w:tcPr>
            <w:tcW w:w="9209" w:type="dxa"/>
          </w:tcPr>
          <w:p w14:paraId="6F631DD5" w14:textId="77777777" w:rsidR="000677B6" w:rsidRPr="000677B6" w:rsidRDefault="000677B6" w:rsidP="00A94DD6">
            <w:pPr>
              <w:ind w:firstLine="885"/>
              <w:jc w:val="both"/>
              <w:rPr>
                <w:rFonts w:eastAsia="Calibri"/>
                <w:sz w:val="20"/>
                <w:szCs w:val="26"/>
                <w:lang w:val="es-ES" w:eastAsia="en-US"/>
              </w:rPr>
            </w:pPr>
            <w:r w:rsidRPr="000677B6">
              <w:rPr>
                <w:rFonts w:eastAsia="Calibri"/>
                <w:sz w:val="20"/>
                <w:szCs w:val="26"/>
                <w:lang w:val="es-ES" w:eastAsia="en-US"/>
              </w:rPr>
              <w:t>FUENTE: Sistema de Información de la Gaceta de la Propiedad Industrial del IMPI.</w:t>
            </w:r>
          </w:p>
        </w:tc>
      </w:tr>
    </w:tbl>
    <w:p w14:paraId="69CAC749" w14:textId="77777777" w:rsidR="000677B6" w:rsidRPr="000677B6" w:rsidRDefault="000677B6" w:rsidP="000677B6">
      <w:pPr>
        <w:spacing w:after="360" w:line="360" w:lineRule="auto"/>
        <w:ind w:right="-159"/>
        <w:jc w:val="both"/>
        <w:rPr>
          <w:rFonts w:eastAsia="Calibri"/>
          <w:sz w:val="26"/>
          <w:szCs w:val="26"/>
          <w:lang w:val="es-ES" w:eastAsia="en-US"/>
        </w:rPr>
      </w:pPr>
    </w:p>
    <w:p w14:paraId="234C3C8C"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Pese a ser pocas patentes, un análisis de las patentes de invención concedidas por el IMPI durante 2014 al Instituto Tecnológico y de Estudios Superiores de Monterrey (ITESM, una de las principales universidades que recibe patentes año con año) refleja que hay dos sectores claves: cleantech y dispositivos médicos. De 14 patentes otorgadas, cinco son de cleantech (energía renovable, eficiencia, residuos y química verde) y seis se relacionan con dispositivos médicos. En otras palabras, las patentes cleantech son todavía muy escasas pero no sólo están creciendo, sino que están tomando un rol preponderante en algunas IES.</w:t>
      </w:r>
    </w:p>
    <w:p w14:paraId="3EBB9875" w14:textId="3FCFC6B5"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Al final, las patentes pueden servir de poco si no generan recursos. Aunque existe poca información sobre las actividades de licenciamiento y creación de nuevas empresas (</w:t>
      </w:r>
      <w:r w:rsidRPr="000677B6">
        <w:rPr>
          <w:rFonts w:eastAsia="Calibri"/>
          <w:i/>
          <w:sz w:val="26"/>
          <w:szCs w:val="26"/>
          <w:lang w:val="es-ES" w:eastAsia="en-US"/>
        </w:rPr>
        <w:t>spin-offs</w:t>
      </w:r>
      <w:r w:rsidRPr="000677B6">
        <w:rPr>
          <w:rFonts w:eastAsia="Calibri"/>
          <w:sz w:val="26"/>
          <w:szCs w:val="26"/>
          <w:lang w:val="es-ES" w:eastAsia="en-US"/>
        </w:rPr>
        <w:t xml:space="preserve"> de universidades en México), el número no se reporta de manera sistemática por las oficinas de transferencia tecnológica. Un estudio sobre las patentes otorgadas al ITESM entre 2003 y 2010 que concentró 158 solicitudes de patentes nacionales, y donde se le concedieron 13, muestra que la Universidad firmó 13 acuerdos de </w:t>
      </w:r>
      <w:r w:rsidRPr="000677B6">
        <w:rPr>
          <w:rFonts w:eastAsia="Calibri"/>
          <w:sz w:val="26"/>
          <w:szCs w:val="26"/>
          <w:lang w:val="es-ES" w:eastAsia="en-US"/>
        </w:rPr>
        <w:lastRenderedPageBreak/>
        <w:t>licenciamiento de patentes y que ingresó 130 mil dólares a partir de la gestión de su portafolio de patentes</w:t>
      </w:r>
      <w:r w:rsidRPr="000677B6">
        <w:rPr>
          <w:rFonts w:eastAsia="Calibri"/>
          <w:sz w:val="26"/>
          <w:szCs w:val="26"/>
          <w:vertAlign w:val="superscript"/>
          <w:lang w:val="es-ES" w:eastAsia="en-US"/>
        </w:rPr>
        <w:footnoteReference w:id="50"/>
      </w:r>
      <w:r w:rsidRPr="000677B6">
        <w:rPr>
          <w:rFonts w:eastAsia="Calibri"/>
          <w:sz w:val="26"/>
          <w:szCs w:val="26"/>
          <w:lang w:val="es-ES" w:eastAsia="en-US"/>
        </w:rPr>
        <w:t xml:space="preserve">. Sin duda, </w:t>
      </w:r>
      <w:r w:rsidR="00C676DA">
        <w:rPr>
          <w:rFonts w:eastAsia="Calibri"/>
          <w:sz w:val="26"/>
          <w:szCs w:val="26"/>
          <w:lang w:val="es-ES" w:eastAsia="en-US"/>
        </w:rPr>
        <w:t>é</w:t>
      </w:r>
      <w:r w:rsidRPr="000677B6">
        <w:rPr>
          <w:rFonts w:eastAsia="Calibri"/>
          <w:sz w:val="26"/>
          <w:szCs w:val="26"/>
          <w:lang w:val="es-ES" w:eastAsia="en-US"/>
        </w:rPr>
        <w:t>sta es una forma de promover el desarrollo de nuevas empresas a partir del conocimiento en las Universidades pero desafortunadamente esto no es una práctica común. A manera de comparación, en 2013 el MIT firmó 59 acuerdos de licenciamiento de patentes y se crearon 16 nuevas empresas con al menos 500 mil dólares de fondeo.</w:t>
      </w:r>
    </w:p>
    <w:p w14:paraId="3DD492ED" w14:textId="77777777" w:rsidR="000677B6" w:rsidRPr="000677B6" w:rsidRDefault="000677B6" w:rsidP="000677B6">
      <w:pPr>
        <w:spacing w:after="360" w:line="360" w:lineRule="auto"/>
        <w:ind w:right="-159"/>
        <w:jc w:val="both"/>
        <w:rPr>
          <w:rFonts w:eastAsia="Calibri"/>
          <w:b/>
          <w:sz w:val="26"/>
          <w:szCs w:val="26"/>
          <w:lang w:val="es-ES" w:eastAsia="en-US"/>
        </w:rPr>
      </w:pPr>
      <w:r w:rsidRPr="000677B6">
        <w:rPr>
          <w:rFonts w:eastAsia="Calibri"/>
          <w:b/>
          <w:sz w:val="26"/>
          <w:szCs w:val="26"/>
          <w:lang w:val="es-ES" w:eastAsia="en-US"/>
        </w:rPr>
        <w:t>Inventive power y rennueva: empresas creadas con patentes por universitarios</w:t>
      </w:r>
    </w:p>
    <w:p w14:paraId="1F156072" w14:textId="2106D384"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Inventive Power empresa fundada por exalumnos de la carrera de Ingeniería Mecatrónica del Tecnológico de Monterrey</w:t>
      </w:r>
      <w:r w:rsidR="00C676DA">
        <w:rPr>
          <w:rFonts w:eastAsia="Calibri"/>
          <w:sz w:val="26"/>
          <w:szCs w:val="26"/>
          <w:lang w:val="es-ES" w:eastAsia="en-US"/>
        </w:rPr>
        <w:t>,</w:t>
      </w:r>
      <w:r w:rsidRPr="000677B6">
        <w:rPr>
          <w:rFonts w:eastAsia="Calibri"/>
          <w:sz w:val="26"/>
          <w:szCs w:val="26"/>
          <w:lang w:val="es-ES" w:eastAsia="en-US"/>
        </w:rPr>
        <w:t xml:space="preserve"> Campus Guadalajara, inició como un proyecto académico para probar la posibilidad de generar electricidad con un plato parabólico. En 2012 ingresaron su solicitud de patente para un sistema de colección de energía solar mediante concentradores parabólicos lineales para la generación de agua caliente o vapor, misma que se encuentra en presentación vía el Tratado de Cooperación en materia de Patentes.</w:t>
      </w:r>
    </w:p>
    <w:p w14:paraId="1221C0CC"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Rennueva es una empresa de reciente constitución fundada por alumnos de la Facultad de Ingeniería de la Universidad Nacional Autónoma de México para la comercialización de una máquina que desarrollaron para transformar el unicel en pellets de polietileno para su reaprovechamiento en un producto final. Surge a raíz de la instalación de un centro de acopio en la universidad para una empresa recicladora. Este año ingresaron su solicitud de patente nacional y planean hacer su escalamiento en colaboración con un Centro Público de Investigación.</w:t>
      </w:r>
    </w:p>
    <w:p w14:paraId="33EDFB3F"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 xml:space="preserve">Ambas empresas muestran que aunque los proyectos se desarrollaron en las instalaciones de una Institución de Educación Superior (IES), su proceso y </w:t>
      </w:r>
      <w:r w:rsidRPr="000677B6">
        <w:rPr>
          <w:rFonts w:eastAsia="Calibri"/>
          <w:sz w:val="26"/>
          <w:szCs w:val="26"/>
          <w:lang w:val="es-ES" w:eastAsia="en-US"/>
        </w:rPr>
        <w:lastRenderedPageBreak/>
        <w:t>patentamiento fue independiente. De hecho ninguna de las empresas entrevistadas para este estudio utilizó alguna patente registrada por una Universidad a través de licenciamiento, otra de las causas de nuestra baja innovación.</w:t>
      </w:r>
    </w:p>
    <w:p w14:paraId="4BCC6F03" w14:textId="77777777" w:rsidR="000677B6" w:rsidRPr="000677B6" w:rsidRDefault="000677B6" w:rsidP="000677B6">
      <w:pPr>
        <w:spacing w:after="360" w:line="360" w:lineRule="auto"/>
        <w:ind w:right="-159"/>
        <w:jc w:val="both"/>
        <w:rPr>
          <w:rFonts w:eastAsia="Calibri"/>
          <w:b/>
          <w:sz w:val="26"/>
          <w:szCs w:val="26"/>
          <w:lang w:val="es-ES" w:eastAsia="en-US"/>
        </w:rPr>
      </w:pPr>
      <w:r w:rsidRPr="000677B6">
        <w:rPr>
          <w:rFonts w:eastAsia="Calibri"/>
          <w:b/>
          <w:sz w:val="26"/>
          <w:szCs w:val="26"/>
          <w:lang w:val="es-ES" w:eastAsia="en-US"/>
        </w:rPr>
        <w:t>Empresas dedicadas exclusivamente a cleantech (pure play)</w:t>
      </w:r>
    </w:p>
    <w:p w14:paraId="7CCB98BB"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i/>
          <w:sz w:val="26"/>
          <w:szCs w:val="26"/>
          <w:lang w:val="es-ES" w:eastAsia="en-US"/>
        </w:rPr>
        <w:t>Bloomberg New Energy Finance</w:t>
      </w:r>
      <w:r w:rsidRPr="000677B6">
        <w:rPr>
          <w:rFonts w:eastAsia="Calibri"/>
          <w:sz w:val="26"/>
          <w:szCs w:val="26"/>
          <w:lang w:val="es-ES" w:eastAsia="en-US"/>
        </w:rPr>
        <w:t xml:space="preserve"> define el universo de empresas públicas dedicadas a cleantech (EPC) como aquellas que derivan entre el 50 y el 100% de sus ingresos a partir de actividades relacionadas con energía limpia y eficiencia energética</w:t>
      </w:r>
      <w:r w:rsidRPr="000677B6">
        <w:rPr>
          <w:rFonts w:eastAsia="Calibri"/>
          <w:sz w:val="26"/>
          <w:szCs w:val="26"/>
          <w:vertAlign w:val="superscript"/>
          <w:lang w:val="es-ES" w:eastAsia="en-US"/>
        </w:rPr>
        <w:footnoteReference w:id="51"/>
      </w:r>
      <w:r w:rsidRPr="000677B6">
        <w:rPr>
          <w:rFonts w:eastAsia="Calibri"/>
          <w:sz w:val="26"/>
          <w:szCs w:val="26"/>
          <w:lang w:val="es-ES" w:eastAsia="en-US"/>
        </w:rPr>
        <w:t>. Estas empresas, aun cuando representan una pequeña parte del universo de empresas dedicadas (parcialmente) al sector cleantech, incluyendo “</w:t>
      </w:r>
      <w:r w:rsidRPr="000677B6">
        <w:rPr>
          <w:rFonts w:eastAsia="Calibri"/>
          <w:i/>
          <w:sz w:val="26"/>
          <w:szCs w:val="26"/>
          <w:lang w:val="es-ES" w:eastAsia="en-US"/>
        </w:rPr>
        <w:t>startups</w:t>
      </w:r>
      <w:r w:rsidRPr="000677B6">
        <w:rPr>
          <w:rFonts w:eastAsia="Calibri"/>
          <w:sz w:val="26"/>
          <w:szCs w:val="26"/>
          <w:lang w:val="es-ES" w:eastAsia="en-US"/>
        </w:rPr>
        <w:t>” y grandes empresas en múltiples sectores, también representan “la vanguardia en la transición global a una economía baja en carbono”</w:t>
      </w:r>
      <w:r w:rsidRPr="000677B6">
        <w:rPr>
          <w:rFonts w:eastAsia="Calibri"/>
          <w:sz w:val="26"/>
          <w:szCs w:val="26"/>
          <w:vertAlign w:val="superscript"/>
          <w:lang w:val="es-ES" w:eastAsia="en-US"/>
        </w:rPr>
        <w:footnoteReference w:id="52"/>
      </w:r>
      <w:r w:rsidRPr="000677B6">
        <w:rPr>
          <w:rFonts w:eastAsia="Calibri"/>
          <w:sz w:val="26"/>
          <w:szCs w:val="26"/>
          <w:lang w:val="es-ES" w:eastAsia="en-US"/>
        </w:rPr>
        <w:t>. Es precisamente la evolución de este universo lo que determina no sólo su participación en el mercado global, sino también la capacidad de la industria para evolucionar y adaptarse a las necesidades actuales de eficiencia y generación de energía limpia.</w:t>
      </w:r>
    </w:p>
    <w:p w14:paraId="29AF4B8D"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De acuerdo con un estudio de Ernst &amp; Young (EY)</w:t>
      </w:r>
      <w:r w:rsidRPr="000677B6">
        <w:rPr>
          <w:rFonts w:eastAsia="Calibri"/>
          <w:sz w:val="26"/>
          <w:szCs w:val="26"/>
          <w:vertAlign w:val="superscript"/>
          <w:lang w:val="es-ES" w:eastAsia="en-US"/>
        </w:rPr>
        <w:footnoteReference w:id="53"/>
      </w:r>
      <w:r w:rsidRPr="000677B6">
        <w:rPr>
          <w:rFonts w:eastAsia="Calibri"/>
          <w:sz w:val="26"/>
          <w:szCs w:val="26"/>
          <w:lang w:val="es-ES" w:eastAsia="en-US"/>
        </w:rPr>
        <w:t xml:space="preserve">, en 2013 la capitalización de mercado de las 424 empresas que conforman el universo de empresas cleantech a nivel global alcanzó los 170 mil millones de dólares. Según el mismo reporte, estas empresas generaron cerca de 149 mil millones de dólares y aproximadamente 512 mil 500 empleos en ese año. La aportación al PIB en el caso de Estados Unidos de Norteamérica, donde las empresas de cleantech generaron alrededor de 27.2 mil millones de dólares en 2013, alcanzó el 0.17% del total, un aumento del 0.01% comparado con el 2012. El principal crecimiento de dichas empresas se dio en China durante el 2013 como consecuencia de diversas políticas para promover el desarrollo de energía limpia y eficiencia energética, así como en Arabia Saudita donde el gobierno </w:t>
      </w:r>
      <w:r w:rsidRPr="000677B6">
        <w:rPr>
          <w:rFonts w:eastAsia="Calibri"/>
          <w:sz w:val="26"/>
          <w:szCs w:val="26"/>
          <w:lang w:val="es-ES" w:eastAsia="en-US"/>
        </w:rPr>
        <w:lastRenderedPageBreak/>
        <w:t>anunció una inversión para el desarrollo de la industria solar de 100 mil millones de dólares</w:t>
      </w:r>
      <w:r w:rsidRPr="000677B6">
        <w:rPr>
          <w:rFonts w:eastAsia="Calibri"/>
          <w:sz w:val="26"/>
          <w:szCs w:val="26"/>
          <w:vertAlign w:val="superscript"/>
          <w:lang w:val="es-ES" w:eastAsia="en-US"/>
        </w:rPr>
        <w:footnoteReference w:id="54"/>
      </w:r>
      <w:r w:rsidRPr="000677B6">
        <w:rPr>
          <w:rFonts w:eastAsia="Calibri"/>
          <w:sz w:val="26"/>
          <w:szCs w:val="26"/>
          <w:lang w:val="es-ES" w:eastAsia="en-US"/>
        </w:rPr>
        <w:t>.</w:t>
      </w:r>
    </w:p>
    <w:p w14:paraId="44F21F63"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Hasta hace poco, en México, no había ninguna empresa cleantech mexicana cotizando en Bolsa Mexicana de Valores (BMV) o alguna otra bolsa internacional (por ejemplo, Rotoplas realizó su oferta pública inicial en diciembre de 2014), por lo que no existe mucha información de los ingresos del sector. No obstante, a partir de la encuesta encontramos que nueve de cada diez empresas únicamente se dedican a este sector con más del 50% de sus actividades en cleantech. Sin embargo, la información disponible no es suficiente para demostrar la capacidad en la industria de cleantech en México para evolucionar y aprovechar las condiciones futuras del mercado, particularmente en lo que atañe el nuevo mercado energético.</w:t>
      </w:r>
    </w:p>
    <w:p w14:paraId="17AAF787" w14:textId="77777777" w:rsidR="000677B6" w:rsidRPr="000677B6" w:rsidRDefault="000677B6" w:rsidP="000677B6">
      <w:pPr>
        <w:spacing w:after="360" w:line="360" w:lineRule="auto"/>
        <w:ind w:right="-159"/>
        <w:jc w:val="both"/>
        <w:rPr>
          <w:rFonts w:eastAsia="Calibri"/>
          <w:b/>
          <w:sz w:val="26"/>
          <w:szCs w:val="26"/>
          <w:lang w:val="es-ES" w:eastAsia="en-US"/>
        </w:rPr>
      </w:pPr>
      <w:r w:rsidRPr="000677B6">
        <w:rPr>
          <w:rFonts w:eastAsia="Calibri"/>
          <w:b/>
          <w:sz w:val="26"/>
          <w:szCs w:val="26"/>
          <w:lang w:val="es-ES" w:eastAsia="en-US"/>
        </w:rPr>
        <w:t>Capital humano</w:t>
      </w:r>
    </w:p>
    <w:p w14:paraId="14E6B25D" w14:textId="77777777" w:rsid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De acuerdo con los resultados de la encuesta, cerca de 95% de los emprendedores cleantech cuenta con un grado de licenciatura o posgrado, con áreas de especialización principalmente en ingeniería. Las áreas de preparación predominantes corresponden a 41% ingenierías, en particular a electromecánica (16.7%), industrial (13.3%) y química (10.8%) (ver gráfica siguiente).</w:t>
      </w:r>
    </w:p>
    <w:p w14:paraId="17EA5F97" w14:textId="77777777" w:rsidR="00A94DD6" w:rsidRDefault="00A94DD6" w:rsidP="000677B6">
      <w:pPr>
        <w:spacing w:after="360" w:line="360" w:lineRule="auto"/>
        <w:ind w:right="-159"/>
        <w:jc w:val="both"/>
        <w:rPr>
          <w:rFonts w:eastAsia="Calibri"/>
          <w:sz w:val="26"/>
          <w:szCs w:val="26"/>
          <w:lang w:val="es-ES" w:eastAsia="en-US"/>
        </w:rPr>
      </w:pPr>
    </w:p>
    <w:p w14:paraId="42049A81" w14:textId="77777777" w:rsidR="00A94DD6" w:rsidRDefault="00A94DD6" w:rsidP="000677B6">
      <w:pPr>
        <w:spacing w:after="360" w:line="360" w:lineRule="auto"/>
        <w:ind w:right="-159"/>
        <w:jc w:val="both"/>
        <w:rPr>
          <w:rFonts w:eastAsia="Calibri"/>
          <w:sz w:val="26"/>
          <w:szCs w:val="26"/>
          <w:lang w:val="es-ES" w:eastAsia="en-US"/>
        </w:rPr>
      </w:pPr>
    </w:p>
    <w:p w14:paraId="2ECDCE27" w14:textId="77777777" w:rsidR="009D6EC3" w:rsidRDefault="009D6EC3" w:rsidP="000677B6">
      <w:pPr>
        <w:spacing w:after="360" w:line="360" w:lineRule="auto"/>
        <w:ind w:right="-159"/>
        <w:jc w:val="both"/>
        <w:rPr>
          <w:rFonts w:eastAsia="Calibri"/>
          <w:sz w:val="26"/>
          <w:szCs w:val="26"/>
          <w:lang w:val="es-ES" w:eastAsia="en-US"/>
        </w:rPr>
      </w:pPr>
    </w:p>
    <w:p w14:paraId="45A81C35" w14:textId="77777777" w:rsidR="00A94DD6" w:rsidRDefault="00A94DD6" w:rsidP="000677B6">
      <w:pPr>
        <w:spacing w:after="360" w:line="360" w:lineRule="auto"/>
        <w:ind w:right="-159"/>
        <w:jc w:val="both"/>
        <w:rPr>
          <w:rFonts w:eastAsia="Calibri"/>
          <w:sz w:val="26"/>
          <w:szCs w:val="26"/>
          <w:lang w:val="es-ES" w:eastAsia="en-US"/>
        </w:rPr>
      </w:pPr>
    </w:p>
    <w:p w14:paraId="1561ECEA" w14:textId="77777777" w:rsidR="00A94DD6" w:rsidRPr="000677B6" w:rsidRDefault="00A94DD6" w:rsidP="00A94DD6">
      <w:pPr>
        <w:spacing w:after="240"/>
        <w:ind w:right="-159"/>
        <w:jc w:val="both"/>
        <w:rPr>
          <w:rFonts w:eastAsia="Calibri"/>
          <w:sz w:val="26"/>
          <w:szCs w:val="26"/>
          <w:lang w:val="es-ES" w:eastAsia="en-US"/>
        </w:rPr>
      </w:pPr>
    </w:p>
    <w:tbl>
      <w:tblPr>
        <w:tblW w:w="9209" w:type="dxa"/>
        <w:tblLook w:val="04A0" w:firstRow="1" w:lastRow="0" w:firstColumn="1" w:lastColumn="0" w:noHBand="0" w:noVBand="1"/>
      </w:tblPr>
      <w:tblGrid>
        <w:gridCol w:w="9209"/>
      </w:tblGrid>
      <w:tr w:rsidR="000677B6" w:rsidRPr="000677B6" w14:paraId="781F5CC4" w14:textId="77777777" w:rsidTr="00082E99">
        <w:tc>
          <w:tcPr>
            <w:tcW w:w="9209" w:type="dxa"/>
          </w:tcPr>
          <w:p w14:paraId="715555BA" w14:textId="77777777" w:rsidR="000677B6" w:rsidRPr="000677B6" w:rsidRDefault="000677B6" w:rsidP="00A94DD6">
            <w:pPr>
              <w:jc w:val="center"/>
              <w:rPr>
                <w:rFonts w:eastAsia="Calibri"/>
                <w:b/>
                <w:sz w:val="22"/>
                <w:szCs w:val="26"/>
                <w:lang w:val="es-ES" w:eastAsia="en-US"/>
              </w:rPr>
            </w:pPr>
            <w:r w:rsidRPr="000677B6">
              <w:rPr>
                <w:rFonts w:eastAsia="Calibri"/>
                <w:b/>
                <w:sz w:val="22"/>
                <w:szCs w:val="26"/>
                <w:lang w:val="es-ES" w:eastAsia="en-US"/>
              </w:rPr>
              <w:t>ESPECIALIZACIÓN DE EMPRENDEDORES</w:t>
            </w:r>
          </w:p>
          <w:p w14:paraId="71C6A665" w14:textId="77777777" w:rsidR="000677B6" w:rsidRPr="000677B6" w:rsidRDefault="000677B6" w:rsidP="00A94DD6">
            <w:pPr>
              <w:jc w:val="center"/>
              <w:rPr>
                <w:rFonts w:eastAsia="Calibri"/>
                <w:b/>
                <w:sz w:val="22"/>
                <w:szCs w:val="26"/>
                <w:lang w:val="es-ES" w:eastAsia="en-US"/>
              </w:rPr>
            </w:pPr>
            <w:r w:rsidRPr="000677B6">
              <w:rPr>
                <w:rFonts w:eastAsia="Calibri"/>
                <w:b/>
                <w:sz w:val="22"/>
                <w:szCs w:val="26"/>
                <w:lang w:val="es-ES" w:eastAsia="en-US"/>
              </w:rPr>
              <w:t>CLEANTECH ENCUESTADOS 2014</w:t>
            </w:r>
          </w:p>
          <w:p w14:paraId="6CEA6B32" w14:textId="77777777" w:rsidR="000677B6" w:rsidRPr="000677B6" w:rsidRDefault="000677B6" w:rsidP="00A94DD6">
            <w:pPr>
              <w:jc w:val="center"/>
              <w:rPr>
                <w:rFonts w:eastAsia="Calibri"/>
                <w:sz w:val="22"/>
                <w:szCs w:val="26"/>
                <w:lang w:val="es-ES" w:eastAsia="en-US"/>
              </w:rPr>
            </w:pPr>
            <w:r w:rsidRPr="000677B6">
              <w:rPr>
                <w:rFonts w:eastAsia="Calibri"/>
                <w:b/>
                <w:sz w:val="22"/>
                <w:szCs w:val="26"/>
                <w:lang w:val="es-ES" w:eastAsia="en-US"/>
              </w:rPr>
              <w:t>-Porcentaje-</w:t>
            </w:r>
          </w:p>
        </w:tc>
      </w:tr>
      <w:tr w:rsidR="000677B6" w:rsidRPr="000677B6" w14:paraId="5B54D27F" w14:textId="77777777" w:rsidTr="00082E99">
        <w:tc>
          <w:tcPr>
            <w:tcW w:w="9209" w:type="dxa"/>
          </w:tcPr>
          <w:p w14:paraId="6636B1EE" w14:textId="77777777" w:rsidR="000677B6" w:rsidRPr="000677B6" w:rsidRDefault="000677B6" w:rsidP="00A94DD6">
            <w:pPr>
              <w:jc w:val="center"/>
              <w:rPr>
                <w:rFonts w:eastAsia="Calibri"/>
                <w:sz w:val="22"/>
                <w:szCs w:val="26"/>
                <w:lang w:val="es-ES" w:eastAsia="en-US"/>
              </w:rPr>
            </w:pPr>
            <w:r w:rsidRPr="000677B6">
              <w:rPr>
                <w:rFonts w:eastAsia="Calibri"/>
                <w:noProof/>
                <w:sz w:val="22"/>
                <w:szCs w:val="26"/>
                <w:lang w:eastAsia="es-MX"/>
              </w:rPr>
              <w:drawing>
                <wp:inline distT="0" distB="0" distL="0" distR="0" wp14:anchorId="7CEE0B90" wp14:editId="533E7CA9">
                  <wp:extent cx="5097290" cy="3060000"/>
                  <wp:effectExtent l="0" t="0" r="0" b="7620"/>
                  <wp:docPr id="154" name="Imagen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08" cstate="print">
                            <a:extLst>
                              <a:ext uri="{28A0092B-C50C-407E-A947-70E740481C1C}">
                                <a14:useLocalDpi xmlns:a14="http://schemas.microsoft.com/office/drawing/2010/main" val="0"/>
                              </a:ext>
                            </a:extLst>
                          </a:blip>
                          <a:srcRect t="8897" b="1050"/>
                          <a:stretch/>
                        </pic:blipFill>
                        <pic:spPr bwMode="auto">
                          <a:xfrm>
                            <a:off x="0" y="0"/>
                            <a:ext cx="5097290" cy="30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677B6" w:rsidRPr="000677B6" w14:paraId="37CC5995" w14:textId="77777777" w:rsidTr="00082E99">
        <w:tc>
          <w:tcPr>
            <w:tcW w:w="9209" w:type="dxa"/>
          </w:tcPr>
          <w:p w14:paraId="601C4693" w14:textId="77777777" w:rsidR="000677B6" w:rsidRPr="000677B6" w:rsidRDefault="000677B6" w:rsidP="00A94DD6">
            <w:pPr>
              <w:ind w:firstLine="885"/>
              <w:jc w:val="both"/>
              <w:rPr>
                <w:rFonts w:eastAsia="Calibri"/>
                <w:sz w:val="20"/>
                <w:szCs w:val="26"/>
                <w:lang w:val="es-ES" w:eastAsia="en-US"/>
              </w:rPr>
            </w:pPr>
            <w:r w:rsidRPr="000677B6">
              <w:rPr>
                <w:rFonts w:eastAsia="Calibri"/>
                <w:sz w:val="20"/>
                <w:szCs w:val="26"/>
                <w:lang w:val="es-ES" w:eastAsia="en-US"/>
              </w:rPr>
              <w:t>FUENTE: Elaboración de la fuente con base en resultados de la encuesta, 2014.</w:t>
            </w:r>
          </w:p>
        </w:tc>
      </w:tr>
    </w:tbl>
    <w:p w14:paraId="35957D59" w14:textId="77777777" w:rsidR="000677B6" w:rsidRPr="000677B6" w:rsidRDefault="000677B6" w:rsidP="000677B6">
      <w:pPr>
        <w:spacing w:after="360" w:line="360" w:lineRule="auto"/>
        <w:ind w:right="-159"/>
        <w:jc w:val="both"/>
        <w:rPr>
          <w:rFonts w:eastAsia="Calibri"/>
          <w:sz w:val="26"/>
          <w:szCs w:val="26"/>
          <w:lang w:val="es-ES" w:eastAsia="en-US"/>
        </w:rPr>
      </w:pPr>
    </w:p>
    <w:p w14:paraId="42F69F77" w14:textId="77777777" w:rsidR="000677B6" w:rsidRPr="004F1C40" w:rsidRDefault="000677B6" w:rsidP="004F1C40">
      <w:pPr>
        <w:spacing w:after="360"/>
        <w:ind w:right="-159"/>
        <w:jc w:val="both"/>
        <w:rPr>
          <w:rFonts w:eastAsia="Calibri"/>
          <w:b/>
          <w:sz w:val="26"/>
          <w:szCs w:val="26"/>
          <w:lang w:val="es-ES" w:eastAsia="en-US"/>
        </w:rPr>
      </w:pPr>
      <w:r w:rsidRPr="004F1C40">
        <w:rPr>
          <w:rFonts w:eastAsia="Calibri"/>
          <w:b/>
          <w:sz w:val="26"/>
          <w:szCs w:val="26"/>
          <w:lang w:val="es-ES" w:eastAsia="en-US"/>
        </w:rPr>
        <w:t>El emprendedor cleantech cuenta con niveles de educación parecido a los emprendedores de Israel pero la calidad educativa es baja</w:t>
      </w:r>
    </w:p>
    <w:p w14:paraId="0A5073CC"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Los resultados obtenidos en la encuesta contrastan con el nivel educativo del emprendedor en México que muestra el reporte de Monitor (GEM)</w:t>
      </w:r>
      <w:r w:rsidRPr="000677B6">
        <w:rPr>
          <w:rFonts w:eastAsia="Calibri"/>
          <w:sz w:val="26"/>
          <w:szCs w:val="26"/>
          <w:vertAlign w:val="superscript"/>
          <w:lang w:val="es-ES" w:eastAsia="en-US"/>
        </w:rPr>
        <w:footnoteReference w:id="55"/>
      </w:r>
      <w:r w:rsidRPr="000677B6">
        <w:rPr>
          <w:rFonts w:eastAsia="Calibri"/>
          <w:sz w:val="26"/>
          <w:szCs w:val="26"/>
          <w:lang w:val="es-ES" w:eastAsia="en-US"/>
        </w:rPr>
        <w:t>. Por un lado, el reporte encontró que solamente el 16% de los emprendedores cuenta con educación superior y solo el 5.8% con estudios de posgrado. No obstante, la encuesta muestra que los emprendedores de cleantech tienen niveles de educación más parecidos a los emprendedores de Israel</w:t>
      </w:r>
      <w:r w:rsidRPr="000677B6">
        <w:rPr>
          <w:rFonts w:eastAsia="Calibri"/>
          <w:sz w:val="26"/>
          <w:szCs w:val="26"/>
          <w:vertAlign w:val="superscript"/>
          <w:lang w:val="es-ES" w:eastAsia="en-US"/>
        </w:rPr>
        <w:footnoteReference w:id="56"/>
      </w:r>
      <w:r w:rsidRPr="000677B6">
        <w:rPr>
          <w:rFonts w:eastAsia="Calibri"/>
          <w:sz w:val="26"/>
          <w:szCs w:val="26"/>
          <w:lang w:val="es-ES" w:eastAsia="en-US"/>
        </w:rPr>
        <w:t xml:space="preserve"> donde más del 80% cuenta con licenciatura y más del 50% con posgrado. Sin embargo, las entrevistas muestran que aunque se contratan ingenieros en dichas empresas, su calidad educativa es baja, así como su capacidad para resolver </w:t>
      </w:r>
      <w:r w:rsidRPr="000677B6">
        <w:rPr>
          <w:rFonts w:eastAsia="Calibri"/>
          <w:sz w:val="26"/>
          <w:szCs w:val="26"/>
          <w:lang w:val="es-ES" w:eastAsia="en-US"/>
        </w:rPr>
        <w:lastRenderedPageBreak/>
        <w:t>problemas y hablar inglés. En este sentido, más que el grado de escolaridad el obstáculo se encuentra en la calidad educativa.</w:t>
      </w:r>
    </w:p>
    <w:p w14:paraId="4B770B3C" w14:textId="77777777" w:rsidR="000677B6" w:rsidRPr="000677B6" w:rsidRDefault="000677B6" w:rsidP="000677B6">
      <w:pPr>
        <w:spacing w:after="360" w:line="360" w:lineRule="auto"/>
        <w:ind w:right="-159"/>
        <w:jc w:val="both"/>
        <w:rPr>
          <w:rFonts w:eastAsia="Calibri"/>
          <w:b/>
          <w:sz w:val="26"/>
          <w:szCs w:val="26"/>
          <w:lang w:val="es-ES" w:eastAsia="en-US"/>
        </w:rPr>
      </w:pPr>
      <w:r w:rsidRPr="000677B6">
        <w:rPr>
          <w:rFonts w:eastAsia="Calibri"/>
          <w:b/>
          <w:sz w:val="26"/>
          <w:szCs w:val="26"/>
          <w:lang w:val="es-ES" w:eastAsia="en-US"/>
        </w:rPr>
        <w:t xml:space="preserve"> Uso de la ventaja competitiva</w:t>
      </w:r>
    </w:p>
    <w:p w14:paraId="30F6EA7E"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 xml:space="preserve">La ventaja competitiva de una empresa puede residir en la tecnología, en el modelo de negocio o en el modelo de comercialización. En México, según </w:t>
      </w:r>
      <w:r w:rsidRPr="000677B6">
        <w:rPr>
          <w:rFonts w:eastAsia="Calibri"/>
          <w:i/>
          <w:sz w:val="26"/>
          <w:szCs w:val="26"/>
          <w:lang w:val="es-ES" w:eastAsia="en-US"/>
        </w:rPr>
        <w:t>Cleantech Challenge México</w:t>
      </w:r>
      <w:r w:rsidRPr="000677B6">
        <w:rPr>
          <w:rFonts w:eastAsia="Calibri"/>
          <w:sz w:val="26"/>
          <w:szCs w:val="26"/>
          <w:lang w:val="es-ES" w:eastAsia="en-US"/>
        </w:rPr>
        <w:t>, solamente el 39% de las empresas de cleantech usan la propiedad intelectual como base de su ventaja competitiva, incluyendo patentes y modelos de utilidad. La encuesta realizada para este estudio reveló que 21% de las empresas cuenta con al menos una solicitud de patente de invención. Sin embargo, el 61% de las empresas busca competir en el sector cleantech utilizando modelos de negocio y comerciales como la base para diferenciarse en el mercado mexicano, limitando así su participación en mercados internacionales. Estos números colocan a México, con datos del Índice Global de Innovación</w:t>
      </w:r>
      <w:r w:rsidRPr="000677B6">
        <w:rPr>
          <w:rFonts w:eastAsia="Calibri"/>
          <w:sz w:val="26"/>
          <w:szCs w:val="26"/>
          <w:vertAlign w:val="superscript"/>
          <w:lang w:val="es-ES" w:eastAsia="en-US"/>
        </w:rPr>
        <w:footnoteReference w:id="57"/>
      </w:r>
      <w:r w:rsidRPr="000677B6">
        <w:rPr>
          <w:rFonts w:eastAsia="Calibri"/>
          <w:sz w:val="26"/>
          <w:szCs w:val="26"/>
          <w:lang w:val="es-ES" w:eastAsia="en-US"/>
        </w:rPr>
        <w:t>, en los lugares 75 y 42 de un total de 114 países evaluados en términos de patentes y modelos de utilidad solicitados en 2013, respectivamente.</w:t>
      </w:r>
    </w:p>
    <w:p w14:paraId="0B8EBA9E" w14:textId="77777777" w:rsid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 xml:space="preserve">De acuerdo con el </w:t>
      </w:r>
      <w:r w:rsidRPr="000677B6">
        <w:rPr>
          <w:rFonts w:eastAsia="Calibri"/>
          <w:i/>
          <w:sz w:val="26"/>
          <w:szCs w:val="26"/>
          <w:lang w:val="es-ES" w:eastAsia="en-US"/>
        </w:rPr>
        <w:t>Clean Energy Patent Growth Index</w:t>
      </w:r>
      <w:r w:rsidRPr="000677B6">
        <w:rPr>
          <w:rFonts w:eastAsia="Calibri"/>
          <w:i/>
          <w:sz w:val="26"/>
          <w:szCs w:val="26"/>
          <w:vertAlign w:val="superscript"/>
          <w:lang w:val="es-ES" w:eastAsia="en-US"/>
        </w:rPr>
        <w:footnoteReference w:id="58"/>
      </w:r>
      <w:r w:rsidRPr="000677B6">
        <w:rPr>
          <w:rFonts w:eastAsia="Calibri"/>
          <w:sz w:val="26"/>
          <w:szCs w:val="26"/>
          <w:lang w:val="es-ES" w:eastAsia="en-US"/>
        </w:rPr>
        <w:t xml:space="preserve">, en Estados Unidos de Norteamérica durante el segundo trimestre de 2014 se otorgaron 940 patentes en cleantech principalmente a empresas con actividad económica en América del Norte. Tras analizar el </w:t>
      </w:r>
      <w:r w:rsidRPr="000677B6">
        <w:rPr>
          <w:rFonts w:eastAsia="Calibri"/>
          <w:i/>
          <w:sz w:val="26"/>
          <w:szCs w:val="26"/>
          <w:lang w:val="es-ES" w:eastAsia="en-US"/>
        </w:rPr>
        <w:t>California Green Innovation Index</w:t>
      </w:r>
      <w:r w:rsidRPr="000677B6">
        <w:rPr>
          <w:rFonts w:eastAsia="Calibri"/>
          <w:i/>
          <w:sz w:val="26"/>
          <w:szCs w:val="26"/>
          <w:vertAlign w:val="superscript"/>
          <w:lang w:val="es-ES" w:eastAsia="en-US"/>
        </w:rPr>
        <w:footnoteReference w:id="59"/>
      </w:r>
      <w:r w:rsidRPr="000677B6">
        <w:rPr>
          <w:rFonts w:eastAsia="Calibri"/>
          <w:sz w:val="26"/>
          <w:szCs w:val="26"/>
          <w:lang w:val="es-ES" w:eastAsia="en-US"/>
        </w:rPr>
        <w:t>, es notable cómo California es responsable del 43% de las patentes otorgadas durante el período 2012-2013 en Estados Unidos de Norteamérica, lo que podría explicar por qué es el estado con mayor inversión por parte de firmas de capital privado en el país.</w:t>
      </w:r>
    </w:p>
    <w:p w14:paraId="5D4EF2D2" w14:textId="77777777" w:rsidR="00A94DD6" w:rsidRPr="000677B6" w:rsidRDefault="00A94DD6" w:rsidP="000677B6">
      <w:pPr>
        <w:spacing w:after="360" w:line="360" w:lineRule="auto"/>
        <w:ind w:right="-159"/>
        <w:jc w:val="both"/>
        <w:rPr>
          <w:rFonts w:eastAsia="Calibri"/>
          <w:sz w:val="26"/>
          <w:szCs w:val="26"/>
          <w:lang w:val="es-ES" w:eastAsia="en-US"/>
        </w:rPr>
      </w:pPr>
    </w:p>
    <w:p w14:paraId="7D9A06E0" w14:textId="77777777" w:rsidR="000677B6" w:rsidRPr="000677B6" w:rsidRDefault="000677B6" w:rsidP="000677B6">
      <w:pPr>
        <w:spacing w:after="360" w:line="360" w:lineRule="auto"/>
        <w:ind w:right="-159"/>
        <w:jc w:val="both"/>
        <w:rPr>
          <w:rFonts w:eastAsia="Calibri"/>
          <w:b/>
          <w:sz w:val="26"/>
          <w:szCs w:val="26"/>
          <w:lang w:val="es-ES" w:eastAsia="en-US"/>
        </w:rPr>
      </w:pPr>
      <w:r w:rsidRPr="000677B6">
        <w:rPr>
          <w:rFonts w:eastAsia="Calibri"/>
          <w:b/>
          <w:sz w:val="26"/>
          <w:szCs w:val="26"/>
          <w:lang w:val="es-ES" w:eastAsia="en-US"/>
        </w:rPr>
        <w:lastRenderedPageBreak/>
        <w:t>Comercialización</w:t>
      </w:r>
    </w:p>
    <w:p w14:paraId="1906CA85" w14:textId="77777777" w:rsidR="000677B6" w:rsidRPr="000677B6" w:rsidRDefault="000677B6" w:rsidP="000677B6">
      <w:pPr>
        <w:spacing w:after="360" w:line="360" w:lineRule="auto"/>
        <w:ind w:right="-159"/>
        <w:jc w:val="both"/>
        <w:rPr>
          <w:rFonts w:eastAsia="Calibri"/>
          <w:b/>
          <w:sz w:val="26"/>
          <w:szCs w:val="26"/>
          <w:lang w:val="es-ES" w:eastAsia="en-US"/>
        </w:rPr>
      </w:pPr>
      <w:r w:rsidRPr="000677B6">
        <w:rPr>
          <w:rFonts w:eastAsia="Calibri"/>
          <w:b/>
          <w:sz w:val="26"/>
          <w:szCs w:val="26"/>
          <w:lang w:val="es-ES" w:eastAsia="en-US"/>
        </w:rPr>
        <w:t>Inversión en etapa de escalamiento</w:t>
      </w:r>
    </w:p>
    <w:p w14:paraId="34940FA2"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Del total de inversión global en cleantech durante 2013 (6.8 mil millones de dólares), Estados Unidos de Norteamérica atrajo cerca de tres mil millones, de los cuales la mitad lo captaron empresas cleantech en el estado de California a través de 105 inversiones en etapa de escalamiento</w:t>
      </w:r>
      <w:r w:rsidRPr="000677B6">
        <w:rPr>
          <w:rFonts w:eastAsia="Calibri"/>
          <w:sz w:val="26"/>
          <w:szCs w:val="26"/>
          <w:vertAlign w:val="superscript"/>
          <w:lang w:val="es-ES" w:eastAsia="en-US"/>
        </w:rPr>
        <w:footnoteReference w:id="60"/>
      </w:r>
      <w:r w:rsidRPr="000677B6">
        <w:rPr>
          <w:rFonts w:eastAsia="Calibri"/>
          <w:sz w:val="26"/>
          <w:szCs w:val="26"/>
          <w:lang w:val="es-ES" w:eastAsia="en-US"/>
        </w:rPr>
        <w:t>. Mientras tanto, en México, se observa que 43% de las empresas cleantech encuestadas dependen de financiamiento propio dado que la inversión en etapa de escalamiento aún no se considera una opción viable. La principal excepción es el fondo de capital privado Davinci Capital que mediante la adquisición de activos de empresas solares europeas está invirtiendo en el escalamiento de Solartec, la principal empresa solar fotovoltaica de México.</w:t>
      </w:r>
    </w:p>
    <w:tbl>
      <w:tblPr>
        <w:tblW w:w="9209" w:type="dxa"/>
        <w:tblLook w:val="04A0" w:firstRow="1" w:lastRow="0" w:firstColumn="1" w:lastColumn="0" w:noHBand="0" w:noVBand="1"/>
      </w:tblPr>
      <w:tblGrid>
        <w:gridCol w:w="9209"/>
      </w:tblGrid>
      <w:tr w:rsidR="000677B6" w:rsidRPr="000677B6" w14:paraId="18D700BB" w14:textId="77777777" w:rsidTr="00082E99">
        <w:tc>
          <w:tcPr>
            <w:tcW w:w="9209" w:type="dxa"/>
          </w:tcPr>
          <w:p w14:paraId="2F287FFC" w14:textId="77777777" w:rsidR="000677B6" w:rsidRPr="000677B6" w:rsidRDefault="000677B6" w:rsidP="00A94DD6">
            <w:pPr>
              <w:jc w:val="center"/>
              <w:rPr>
                <w:rFonts w:eastAsia="Calibri"/>
                <w:b/>
                <w:sz w:val="22"/>
                <w:szCs w:val="26"/>
                <w:lang w:val="es-ES" w:eastAsia="en-US"/>
              </w:rPr>
            </w:pPr>
            <w:r w:rsidRPr="000677B6">
              <w:rPr>
                <w:rFonts w:eastAsia="Calibri"/>
                <w:b/>
                <w:sz w:val="22"/>
                <w:szCs w:val="26"/>
                <w:lang w:val="es-ES" w:eastAsia="en-US"/>
              </w:rPr>
              <w:t>FUENTES DE INVERSIÓN PARA EMPRENDEDORES</w:t>
            </w:r>
          </w:p>
          <w:p w14:paraId="3FC2C0FC" w14:textId="77777777" w:rsidR="000677B6" w:rsidRPr="000677B6" w:rsidRDefault="000677B6" w:rsidP="00A94DD6">
            <w:pPr>
              <w:jc w:val="center"/>
              <w:rPr>
                <w:rFonts w:eastAsia="Calibri"/>
                <w:b/>
                <w:sz w:val="22"/>
                <w:szCs w:val="26"/>
                <w:lang w:val="es-ES" w:eastAsia="en-US"/>
              </w:rPr>
            </w:pPr>
            <w:r w:rsidRPr="000677B6">
              <w:rPr>
                <w:rFonts w:eastAsia="Calibri"/>
                <w:b/>
                <w:sz w:val="22"/>
                <w:szCs w:val="26"/>
                <w:lang w:val="es-ES" w:eastAsia="en-US"/>
              </w:rPr>
              <w:t>CLEANTECH ENCUESTADOS</w:t>
            </w:r>
          </w:p>
          <w:p w14:paraId="2D72669B" w14:textId="77777777" w:rsidR="000677B6" w:rsidRPr="000677B6" w:rsidRDefault="000677B6" w:rsidP="00A94DD6">
            <w:pPr>
              <w:jc w:val="center"/>
              <w:rPr>
                <w:rFonts w:eastAsia="Calibri"/>
                <w:sz w:val="22"/>
                <w:szCs w:val="26"/>
                <w:lang w:val="es-ES" w:eastAsia="en-US"/>
              </w:rPr>
            </w:pPr>
            <w:r w:rsidRPr="000677B6">
              <w:rPr>
                <w:rFonts w:eastAsia="Calibri"/>
                <w:b/>
                <w:sz w:val="22"/>
                <w:szCs w:val="26"/>
                <w:lang w:val="es-ES" w:eastAsia="en-US"/>
              </w:rPr>
              <w:t>-Porcentaje-</w:t>
            </w:r>
          </w:p>
        </w:tc>
      </w:tr>
      <w:tr w:rsidR="000677B6" w:rsidRPr="000677B6" w14:paraId="44A1EF79" w14:textId="77777777" w:rsidTr="00082E99">
        <w:tc>
          <w:tcPr>
            <w:tcW w:w="9209" w:type="dxa"/>
          </w:tcPr>
          <w:p w14:paraId="0B43D729" w14:textId="77777777" w:rsidR="000677B6" w:rsidRPr="000677B6" w:rsidRDefault="000677B6" w:rsidP="00A94DD6">
            <w:pPr>
              <w:jc w:val="center"/>
              <w:rPr>
                <w:rFonts w:eastAsia="Calibri"/>
                <w:sz w:val="22"/>
                <w:szCs w:val="26"/>
                <w:lang w:val="es-ES" w:eastAsia="en-US"/>
              </w:rPr>
            </w:pPr>
            <w:r w:rsidRPr="000677B6">
              <w:rPr>
                <w:rFonts w:eastAsia="Calibri"/>
                <w:noProof/>
                <w:sz w:val="22"/>
                <w:szCs w:val="26"/>
                <w:lang w:eastAsia="es-MX"/>
              </w:rPr>
              <w:drawing>
                <wp:inline distT="0" distB="0" distL="0" distR="0" wp14:anchorId="1F414839" wp14:editId="267C6A9B">
                  <wp:extent cx="4716692" cy="2988000"/>
                  <wp:effectExtent l="0" t="0" r="0" b="3175"/>
                  <wp:docPr id="155"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09" cstate="print">
                            <a:extLst>
                              <a:ext uri="{28A0092B-C50C-407E-A947-70E740481C1C}">
                                <a14:useLocalDpi xmlns:a14="http://schemas.microsoft.com/office/drawing/2010/main" val="0"/>
                              </a:ext>
                            </a:extLst>
                          </a:blip>
                          <a:srcRect t="3737" b="1234"/>
                          <a:stretch/>
                        </pic:blipFill>
                        <pic:spPr bwMode="auto">
                          <a:xfrm>
                            <a:off x="0" y="0"/>
                            <a:ext cx="4716692" cy="2988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677B6" w:rsidRPr="000677B6" w14:paraId="523D4326" w14:textId="77777777" w:rsidTr="00082E99">
        <w:tc>
          <w:tcPr>
            <w:tcW w:w="9209" w:type="dxa"/>
          </w:tcPr>
          <w:p w14:paraId="136CDBE9" w14:textId="77777777" w:rsidR="000677B6" w:rsidRPr="000677B6" w:rsidRDefault="000677B6" w:rsidP="00A94DD6">
            <w:pPr>
              <w:ind w:firstLine="885"/>
              <w:jc w:val="both"/>
              <w:rPr>
                <w:rFonts w:eastAsia="Calibri"/>
                <w:sz w:val="20"/>
                <w:szCs w:val="26"/>
                <w:lang w:val="es-ES" w:eastAsia="en-US"/>
              </w:rPr>
            </w:pPr>
            <w:r w:rsidRPr="000677B6">
              <w:rPr>
                <w:rFonts w:eastAsia="Calibri"/>
                <w:sz w:val="20"/>
                <w:szCs w:val="26"/>
                <w:lang w:val="es-ES" w:eastAsia="en-US"/>
              </w:rPr>
              <w:t>FUENTE: Elaboración de la fuente con base en resultados de la encuesta, 2014.</w:t>
            </w:r>
          </w:p>
        </w:tc>
      </w:tr>
    </w:tbl>
    <w:p w14:paraId="7C2B7911" w14:textId="77777777" w:rsidR="000677B6" w:rsidRPr="004F1C40" w:rsidRDefault="000677B6" w:rsidP="000677B6">
      <w:pPr>
        <w:spacing w:after="360" w:line="360" w:lineRule="auto"/>
        <w:ind w:right="-159"/>
        <w:jc w:val="both"/>
        <w:rPr>
          <w:rFonts w:eastAsia="Calibri"/>
          <w:b/>
          <w:sz w:val="26"/>
          <w:szCs w:val="26"/>
          <w:lang w:val="es-ES" w:eastAsia="en-US"/>
        </w:rPr>
      </w:pPr>
      <w:r w:rsidRPr="004F1C40">
        <w:rPr>
          <w:rFonts w:eastAsia="Calibri"/>
          <w:b/>
          <w:sz w:val="26"/>
          <w:szCs w:val="26"/>
          <w:lang w:val="es-ES" w:eastAsia="en-US"/>
        </w:rPr>
        <w:lastRenderedPageBreak/>
        <w:t>La incipiente industria de capital privado en México todavía no voltea lo suficiente</w:t>
      </w:r>
    </w:p>
    <w:p w14:paraId="2AD070D2"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Algunos de estos fondos privados, en especial los de capital semilla, han sido apoyados por NAFIN y el INADEM hasta en un 49% del valor inicial del fondo. Hoy alrededor de 19 de los 26 fondos constituidos incluyen entre sus áreas de interés, empresas de tecnología, y en algunos casos específicamente cleantech y/o eficiencia energética (ver gráfica siguiente).</w:t>
      </w:r>
    </w:p>
    <w:tbl>
      <w:tblPr>
        <w:tblW w:w="9209" w:type="dxa"/>
        <w:tblLook w:val="04A0" w:firstRow="1" w:lastRow="0" w:firstColumn="1" w:lastColumn="0" w:noHBand="0" w:noVBand="1"/>
      </w:tblPr>
      <w:tblGrid>
        <w:gridCol w:w="9209"/>
      </w:tblGrid>
      <w:tr w:rsidR="000677B6" w:rsidRPr="000677B6" w14:paraId="3AFAA9BF" w14:textId="77777777" w:rsidTr="00082E99">
        <w:tc>
          <w:tcPr>
            <w:tcW w:w="9209" w:type="dxa"/>
          </w:tcPr>
          <w:p w14:paraId="1984F4A5" w14:textId="77777777" w:rsidR="000677B6" w:rsidRPr="000677B6" w:rsidRDefault="000677B6" w:rsidP="00C676DA">
            <w:pPr>
              <w:jc w:val="center"/>
              <w:rPr>
                <w:rFonts w:eastAsia="Calibri"/>
                <w:b/>
                <w:sz w:val="22"/>
                <w:szCs w:val="26"/>
                <w:lang w:val="es-ES" w:eastAsia="en-US"/>
              </w:rPr>
            </w:pPr>
            <w:r w:rsidRPr="000677B6">
              <w:rPr>
                <w:rFonts w:eastAsia="Calibri"/>
                <w:b/>
                <w:sz w:val="22"/>
                <w:szCs w:val="26"/>
                <w:lang w:val="es-ES" w:eastAsia="en-US"/>
              </w:rPr>
              <w:t>PRINCIPALES FONDOS DE CAPITAL PRIVADO CON INTERÉS</w:t>
            </w:r>
          </w:p>
          <w:p w14:paraId="1CAA14F1" w14:textId="77777777" w:rsidR="000677B6" w:rsidRPr="000677B6" w:rsidRDefault="000677B6" w:rsidP="00C676DA">
            <w:pPr>
              <w:jc w:val="center"/>
              <w:rPr>
                <w:rFonts w:eastAsia="Calibri"/>
                <w:b/>
                <w:sz w:val="22"/>
                <w:szCs w:val="26"/>
                <w:lang w:val="es-ES" w:eastAsia="en-US"/>
              </w:rPr>
            </w:pPr>
            <w:r w:rsidRPr="000677B6">
              <w:rPr>
                <w:rFonts w:eastAsia="Calibri"/>
                <w:b/>
                <w:sz w:val="22"/>
                <w:szCs w:val="26"/>
                <w:lang w:val="es-ES" w:eastAsia="en-US"/>
              </w:rPr>
              <w:t>EN TECNOLOGÍA INCLUYENDO CLEANTECH</w:t>
            </w:r>
          </w:p>
          <w:p w14:paraId="65D37CCF" w14:textId="77777777" w:rsidR="000677B6" w:rsidRDefault="000677B6" w:rsidP="00C676DA">
            <w:pPr>
              <w:jc w:val="center"/>
              <w:rPr>
                <w:rFonts w:eastAsia="Calibri"/>
                <w:b/>
                <w:sz w:val="22"/>
                <w:szCs w:val="26"/>
                <w:lang w:val="es-ES" w:eastAsia="en-US"/>
              </w:rPr>
            </w:pPr>
            <w:r w:rsidRPr="000677B6">
              <w:rPr>
                <w:rFonts w:eastAsia="Calibri"/>
                <w:b/>
                <w:sz w:val="22"/>
                <w:szCs w:val="26"/>
                <w:lang w:val="es-ES" w:eastAsia="en-US"/>
              </w:rPr>
              <w:t>-Inversión por empresa, 2014-</w:t>
            </w:r>
          </w:p>
          <w:p w14:paraId="43F22177" w14:textId="1862BCC7" w:rsidR="00C676DA" w:rsidRPr="000677B6" w:rsidRDefault="00C676DA" w:rsidP="00C676DA">
            <w:pPr>
              <w:jc w:val="center"/>
              <w:rPr>
                <w:rFonts w:eastAsia="Calibri"/>
                <w:sz w:val="22"/>
                <w:szCs w:val="26"/>
                <w:lang w:val="es-ES" w:eastAsia="en-US"/>
              </w:rPr>
            </w:pPr>
            <w:r>
              <w:rPr>
                <w:rFonts w:eastAsia="Calibri"/>
                <w:b/>
                <w:sz w:val="22"/>
                <w:szCs w:val="26"/>
                <w:lang w:val="es-ES" w:eastAsia="en-US"/>
              </w:rPr>
              <w:t>-Miles de dólares estadounidenses-</w:t>
            </w:r>
          </w:p>
        </w:tc>
      </w:tr>
      <w:tr w:rsidR="000677B6" w:rsidRPr="000677B6" w14:paraId="16961E66" w14:textId="77777777" w:rsidTr="00082E99">
        <w:tc>
          <w:tcPr>
            <w:tcW w:w="9209" w:type="dxa"/>
          </w:tcPr>
          <w:p w14:paraId="3D4EE438" w14:textId="77777777" w:rsidR="000677B6" w:rsidRPr="000677B6" w:rsidRDefault="000677B6" w:rsidP="00C676DA">
            <w:pPr>
              <w:jc w:val="center"/>
              <w:rPr>
                <w:rFonts w:eastAsia="Calibri"/>
                <w:sz w:val="22"/>
                <w:szCs w:val="26"/>
                <w:lang w:val="es-ES" w:eastAsia="en-US"/>
              </w:rPr>
            </w:pPr>
            <w:r w:rsidRPr="000677B6">
              <w:rPr>
                <w:rFonts w:eastAsia="Calibri"/>
                <w:noProof/>
                <w:sz w:val="22"/>
                <w:szCs w:val="26"/>
                <w:lang w:eastAsia="es-MX"/>
              </w:rPr>
              <w:drawing>
                <wp:inline distT="0" distB="0" distL="0" distR="0" wp14:anchorId="0E12831F" wp14:editId="773CE252">
                  <wp:extent cx="5285013" cy="3348000"/>
                  <wp:effectExtent l="0" t="0" r="0" b="0"/>
                  <wp:docPr id="156" name="Imagen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10" cstate="print">
                            <a:extLst>
                              <a:ext uri="{28A0092B-C50C-407E-A947-70E740481C1C}">
                                <a14:useLocalDpi xmlns:a14="http://schemas.microsoft.com/office/drawing/2010/main" val="0"/>
                              </a:ext>
                            </a:extLst>
                          </a:blip>
                          <a:srcRect t="1602" b="3370"/>
                          <a:stretch/>
                        </pic:blipFill>
                        <pic:spPr bwMode="auto">
                          <a:xfrm>
                            <a:off x="0" y="0"/>
                            <a:ext cx="5285013" cy="3348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677B6" w:rsidRPr="000677B6" w14:paraId="0FFBF2F5" w14:textId="77777777" w:rsidTr="00082E99">
        <w:tc>
          <w:tcPr>
            <w:tcW w:w="9209" w:type="dxa"/>
          </w:tcPr>
          <w:p w14:paraId="1818F1AB" w14:textId="77777777" w:rsidR="000677B6" w:rsidRPr="000677B6" w:rsidRDefault="000677B6" w:rsidP="00C676DA">
            <w:pPr>
              <w:ind w:firstLine="885"/>
              <w:jc w:val="both"/>
              <w:rPr>
                <w:rFonts w:eastAsia="Calibri"/>
                <w:sz w:val="20"/>
                <w:szCs w:val="26"/>
                <w:lang w:val="es-ES" w:eastAsia="en-US"/>
              </w:rPr>
            </w:pPr>
            <w:r w:rsidRPr="000677B6">
              <w:rPr>
                <w:rFonts w:eastAsia="Calibri"/>
                <w:sz w:val="20"/>
                <w:szCs w:val="26"/>
                <w:lang w:val="es-ES" w:eastAsia="en-US"/>
              </w:rPr>
              <w:t>FUENTE: Elaboración de la fuente con base en información pública de cada fondo, 2014.</w:t>
            </w:r>
          </w:p>
        </w:tc>
      </w:tr>
    </w:tbl>
    <w:p w14:paraId="4FA45F92" w14:textId="77777777" w:rsidR="000677B6" w:rsidRDefault="000677B6" w:rsidP="000677B6">
      <w:pPr>
        <w:spacing w:after="360" w:line="360" w:lineRule="auto"/>
        <w:ind w:right="-159"/>
        <w:jc w:val="both"/>
        <w:rPr>
          <w:rFonts w:eastAsia="Calibri"/>
          <w:sz w:val="26"/>
          <w:szCs w:val="26"/>
          <w:lang w:val="es-ES" w:eastAsia="en-US"/>
        </w:rPr>
      </w:pPr>
    </w:p>
    <w:p w14:paraId="6FF33136" w14:textId="77777777" w:rsidR="000677B6" w:rsidRPr="000677B6" w:rsidRDefault="000677B6" w:rsidP="000677B6">
      <w:pPr>
        <w:spacing w:after="360" w:line="360" w:lineRule="auto"/>
        <w:ind w:right="-159"/>
        <w:jc w:val="both"/>
        <w:rPr>
          <w:rFonts w:eastAsia="Calibri"/>
          <w:b/>
          <w:sz w:val="26"/>
          <w:szCs w:val="26"/>
          <w:lang w:val="es-ES" w:eastAsia="en-US"/>
        </w:rPr>
      </w:pPr>
      <w:r w:rsidRPr="000677B6">
        <w:rPr>
          <w:rFonts w:eastAsia="Calibri"/>
          <w:b/>
          <w:sz w:val="26"/>
          <w:szCs w:val="26"/>
          <w:lang w:val="es-ES" w:eastAsia="en-US"/>
        </w:rPr>
        <w:t>Salidas exitosas y recuperación de inversiones</w:t>
      </w:r>
    </w:p>
    <w:p w14:paraId="5FB3E844" w14:textId="21DA3A46"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 xml:space="preserve">Como se mencionó anteriormente, de acuerdo con datos de </w:t>
      </w:r>
      <w:r w:rsidRPr="000677B6">
        <w:rPr>
          <w:rFonts w:eastAsia="Calibri"/>
          <w:i/>
          <w:sz w:val="26"/>
          <w:szCs w:val="26"/>
          <w:lang w:val="es-ES" w:eastAsia="en-US"/>
        </w:rPr>
        <w:t>Bloomberg New Energy Finance</w:t>
      </w:r>
      <w:r w:rsidRPr="000677B6">
        <w:rPr>
          <w:rFonts w:eastAsia="Calibri"/>
          <w:sz w:val="26"/>
          <w:szCs w:val="26"/>
          <w:lang w:val="es-ES" w:eastAsia="en-US"/>
        </w:rPr>
        <w:t xml:space="preserve"> y EY existen aproximadamente 424 empresas dedicadas exclusivamente a </w:t>
      </w:r>
      <w:r w:rsidRPr="00F443FB">
        <w:rPr>
          <w:rFonts w:eastAsia="Calibri"/>
          <w:i/>
          <w:sz w:val="26"/>
          <w:szCs w:val="26"/>
          <w:lang w:val="es-ES" w:eastAsia="en-US"/>
        </w:rPr>
        <w:lastRenderedPageBreak/>
        <w:t>cleantech</w:t>
      </w:r>
      <w:r w:rsidRPr="000677B6">
        <w:rPr>
          <w:rFonts w:eastAsia="Calibri"/>
          <w:sz w:val="26"/>
          <w:szCs w:val="26"/>
          <w:lang w:val="es-ES" w:eastAsia="en-US"/>
        </w:rPr>
        <w:t xml:space="preserve"> a nivel global que cotizan en bolsa</w:t>
      </w:r>
      <w:r w:rsidRPr="000677B6">
        <w:rPr>
          <w:rFonts w:eastAsia="Calibri"/>
          <w:sz w:val="26"/>
          <w:szCs w:val="26"/>
          <w:vertAlign w:val="superscript"/>
          <w:lang w:val="es-ES" w:eastAsia="en-US"/>
        </w:rPr>
        <w:footnoteReference w:id="61"/>
      </w:r>
      <w:r w:rsidRPr="000677B6">
        <w:rPr>
          <w:rFonts w:eastAsia="Calibri"/>
          <w:sz w:val="26"/>
          <w:szCs w:val="26"/>
          <w:lang w:val="es-ES" w:eastAsia="en-US"/>
        </w:rPr>
        <w:t>. Estas empresas representan una capitalización de mercado equivalente a 170 mil millones de dólares y 149 mil millones de dólares en ingresos anuales. Los principales países en términos de número de empresas cleantech activas son Estados Unidos de Norteamérica con 70, China con 64 y Alemania con 39. En los tres se encuentran los principales puntos de inversión para el escalamiento comercial de estas tecnologías.</w:t>
      </w:r>
    </w:p>
    <w:p w14:paraId="13E25817"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 xml:space="preserve">Tanto la inversión en etapa de escalamiento como las salidas exitosas para inversionistas se pueden considerar factores determinantes para la adopción, masificación e implementación de soluciones tecnológicas bajas en carbono. Sin embargo, a partir de la información recabada en la encuesta y por </w:t>
      </w:r>
      <w:r w:rsidRPr="000677B6">
        <w:rPr>
          <w:rFonts w:eastAsia="Calibri"/>
          <w:i/>
          <w:sz w:val="26"/>
          <w:szCs w:val="26"/>
          <w:lang w:val="es-ES" w:eastAsia="en-US"/>
        </w:rPr>
        <w:t>Cleantech Challenge México</w:t>
      </w:r>
      <w:r w:rsidRPr="000677B6">
        <w:rPr>
          <w:rFonts w:eastAsia="Calibri"/>
          <w:sz w:val="26"/>
          <w:szCs w:val="26"/>
          <w:lang w:val="es-ES" w:eastAsia="en-US"/>
        </w:rPr>
        <w:t xml:space="preserve">, existe poca actividad de adquisiciones como un método de recuperación de inversiones de capital privado en el sector, lo que coincide con las opiniones de los expertos. La reciente oferta pública inicial de Rotoplas, el primer ejemplo de una empresa de </w:t>
      </w:r>
      <w:r w:rsidRPr="00F95D26">
        <w:rPr>
          <w:rFonts w:eastAsia="Calibri"/>
          <w:i/>
          <w:sz w:val="26"/>
          <w:szCs w:val="26"/>
          <w:lang w:val="es-ES" w:eastAsia="en-US"/>
        </w:rPr>
        <w:t>cleantech</w:t>
      </w:r>
      <w:r w:rsidRPr="000677B6">
        <w:rPr>
          <w:rFonts w:eastAsia="Calibri"/>
          <w:sz w:val="26"/>
          <w:szCs w:val="26"/>
          <w:lang w:val="es-ES" w:eastAsia="en-US"/>
        </w:rPr>
        <w:t xml:space="preserve"> mexicana, abre la posibilidad de una expansión que incluya adquisiciones de empresas en su sector.</w:t>
      </w:r>
    </w:p>
    <w:p w14:paraId="6D5A2698" w14:textId="77777777" w:rsidR="000677B6" w:rsidRPr="000677B6" w:rsidRDefault="000677B6" w:rsidP="000677B6">
      <w:pPr>
        <w:spacing w:after="360" w:line="360" w:lineRule="auto"/>
        <w:ind w:right="-159"/>
        <w:jc w:val="both"/>
        <w:rPr>
          <w:rFonts w:eastAsia="Calibri"/>
          <w:b/>
          <w:sz w:val="26"/>
          <w:szCs w:val="26"/>
          <w:lang w:val="es-ES" w:eastAsia="en-US"/>
        </w:rPr>
      </w:pPr>
      <w:r w:rsidRPr="000677B6">
        <w:rPr>
          <w:rFonts w:eastAsia="Calibri"/>
          <w:b/>
          <w:sz w:val="26"/>
          <w:szCs w:val="26"/>
          <w:lang w:val="es-ES" w:eastAsia="en-US"/>
        </w:rPr>
        <w:t xml:space="preserve">Grado de conglomeración </w:t>
      </w:r>
    </w:p>
    <w:p w14:paraId="368796EC"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 xml:space="preserve">A pesar de que en México cerca del 60% de los emprendedores cleantech se encuentran en los principales centros urbanos del país (incluyendo al Distrito Federal, el Estado de México, Jalisco, Nuevo León, Puebla y Querétaro) actualmente no existe ningún clúster específico para </w:t>
      </w:r>
      <w:r w:rsidRPr="00F95D26">
        <w:rPr>
          <w:rFonts w:eastAsia="Calibri"/>
          <w:i/>
          <w:sz w:val="26"/>
          <w:szCs w:val="26"/>
          <w:lang w:val="es-ES" w:eastAsia="en-US"/>
        </w:rPr>
        <w:t>cleantech</w:t>
      </w:r>
      <w:r w:rsidRPr="000677B6">
        <w:rPr>
          <w:rFonts w:eastAsia="Calibri"/>
          <w:sz w:val="26"/>
          <w:szCs w:val="26"/>
          <w:lang w:val="es-ES" w:eastAsia="en-US"/>
        </w:rPr>
        <w:t>. No obstante, la encuesta muestra indicios de cierto potencial de conglomeración por especializaciones regionales que incluyen: agricultura y conservación en el norte, residuos en el occidente y energía en la zona centro.</w:t>
      </w:r>
    </w:p>
    <w:p w14:paraId="0AB59F66"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lastRenderedPageBreak/>
        <w:t xml:space="preserve">Según el </w:t>
      </w:r>
      <w:r w:rsidRPr="000677B6">
        <w:rPr>
          <w:rFonts w:eastAsia="Calibri"/>
          <w:i/>
          <w:sz w:val="26"/>
          <w:szCs w:val="26"/>
          <w:lang w:val="es-ES" w:eastAsia="en-US"/>
        </w:rPr>
        <w:t>Finnish Cleantech Cluster</w:t>
      </w:r>
      <w:r w:rsidRPr="000677B6">
        <w:rPr>
          <w:rFonts w:eastAsia="Calibri"/>
          <w:i/>
          <w:sz w:val="26"/>
          <w:szCs w:val="26"/>
          <w:vertAlign w:val="superscript"/>
          <w:lang w:val="es-ES" w:eastAsia="en-US"/>
        </w:rPr>
        <w:footnoteReference w:id="62"/>
      </w:r>
      <w:r w:rsidRPr="000677B6">
        <w:rPr>
          <w:rFonts w:eastAsia="Calibri"/>
          <w:sz w:val="26"/>
          <w:szCs w:val="26"/>
          <w:lang w:val="es-ES" w:eastAsia="en-US"/>
        </w:rPr>
        <w:t xml:space="preserve"> el 60% de las empresas de cleantech de Escandinavia se encuentran localizadas en cuatro regiones, mientras que el resto pertenecen a grandes corporativos diversificados, no dedicados únicamente a cleantech. Dichos clústers representan “una unidad organizacional significativa para la coordinación y comunicación de ventajas competitivas, competencias y oportunidades de inversión en </w:t>
      </w:r>
      <w:r w:rsidRPr="00F95D26">
        <w:rPr>
          <w:rFonts w:eastAsia="Calibri"/>
          <w:i/>
          <w:sz w:val="26"/>
          <w:szCs w:val="26"/>
          <w:lang w:val="es-ES" w:eastAsia="en-US"/>
        </w:rPr>
        <w:t>cleantech</w:t>
      </w:r>
      <w:r w:rsidRPr="000677B6">
        <w:rPr>
          <w:rFonts w:eastAsia="Calibri"/>
          <w:sz w:val="26"/>
          <w:szCs w:val="26"/>
          <w:lang w:val="es-ES" w:eastAsia="en-US"/>
        </w:rPr>
        <w:t xml:space="preserve"> para la región”</w:t>
      </w:r>
      <w:r w:rsidRPr="000677B6">
        <w:rPr>
          <w:rFonts w:eastAsia="Calibri"/>
          <w:sz w:val="26"/>
          <w:szCs w:val="26"/>
          <w:vertAlign w:val="superscript"/>
          <w:lang w:val="es-ES" w:eastAsia="en-US"/>
        </w:rPr>
        <w:footnoteReference w:id="63"/>
      </w:r>
      <w:r w:rsidRPr="000677B6">
        <w:rPr>
          <w:rFonts w:eastAsia="Calibri"/>
          <w:sz w:val="26"/>
          <w:szCs w:val="26"/>
          <w:lang w:val="es-ES" w:eastAsia="en-US"/>
        </w:rPr>
        <w:t>.</w:t>
      </w:r>
    </w:p>
    <w:p w14:paraId="74B0C05A"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En México varios estados han creado organizaciones con la misión de provocar la conglomeración de empresas enfocadas a un mismo sector, buscando aprovechar por un lado las ventajas competitivas y fortalezas regionales, así como crear una unidad organizacional que sirva para promover a la competitividad de la región en un sector en particular</w:t>
      </w:r>
      <w:r w:rsidRPr="000677B6">
        <w:rPr>
          <w:rFonts w:eastAsia="Calibri"/>
          <w:sz w:val="26"/>
          <w:szCs w:val="26"/>
          <w:vertAlign w:val="superscript"/>
          <w:lang w:val="es-ES" w:eastAsia="en-US"/>
        </w:rPr>
        <w:footnoteReference w:id="64"/>
      </w:r>
      <w:r w:rsidRPr="000677B6">
        <w:rPr>
          <w:rFonts w:eastAsia="Calibri"/>
          <w:sz w:val="26"/>
          <w:szCs w:val="26"/>
          <w:lang w:val="es-ES" w:eastAsia="en-US"/>
        </w:rPr>
        <w:t>. En el gobierno federal se ha adoptado recientemente una estrategia para la creación de clústers, impulsada a través del Subcomité de Clústers de Innovación del Consejo Binacional para el Emprendimiento y la Innovación (MUSEIC por sus siglas en inglés)</w:t>
      </w:r>
      <w:r w:rsidRPr="000677B6">
        <w:rPr>
          <w:rFonts w:eastAsia="Calibri"/>
          <w:sz w:val="26"/>
          <w:szCs w:val="26"/>
          <w:vertAlign w:val="superscript"/>
          <w:lang w:val="es-ES" w:eastAsia="en-US"/>
        </w:rPr>
        <w:footnoteReference w:id="65"/>
      </w:r>
      <w:r w:rsidRPr="000677B6">
        <w:rPr>
          <w:rFonts w:eastAsia="Calibri"/>
          <w:sz w:val="26"/>
          <w:szCs w:val="26"/>
          <w:lang w:val="es-ES" w:eastAsia="en-US"/>
        </w:rPr>
        <w:t>.</w:t>
      </w:r>
    </w:p>
    <w:p w14:paraId="3BD034A8"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El MUSEIC ha iniciado esfuerzos específicos para la creación de un clúster de innovación en cleantech, combinando los esfuerzos de la plataforma tecnológica mexicana</w:t>
      </w:r>
      <w:r w:rsidRPr="000677B6">
        <w:rPr>
          <w:rFonts w:eastAsia="Calibri"/>
          <w:sz w:val="26"/>
          <w:szCs w:val="26"/>
          <w:vertAlign w:val="superscript"/>
          <w:lang w:val="es-ES" w:eastAsia="en-US"/>
        </w:rPr>
        <w:footnoteReference w:id="66"/>
      </w:r>
      <w:r w:rsidRPr="000677B6">
        <w:rPr>
          <w:rFonts w:eastAsia="Calibri"/>
          <w:sz w:val="26"/>
          <w:szCs w:val="26"/>
          <w:lang w:val="es-ES" w:eastAsia="en-US"/>
        </w:rPr>
        <w:t xml:space="preserve"> y el Subcomité de Clústers de Innovación del MUSEIC. Este clúster se espera pueda acercar proveedores y canales de distribución normalmente dispersos geográficamente, así como convertirse en un intermediario entre las pequeñas y medianas empresas de cleantech y los mercados nacionales e internacionales. Además, busca fortalecer las relaciones con otras regiones, clientes potenciales, y provocar </w:t>
      </w:r>
      <w:r w:rsidRPr="000677B6">
        <w:rPr>
          <w:rFonts w:eastAsia="Calibri"/>
          <w:sz w:val="26"/>
          <w:szCs w:val="26"/>
          <w:lang w:val="es-ES" w:eastAsia="en-US"/>
        </w:rPr>
        <w:lastRenderedPageBreak/>
        <w:t>acciones conjuntas de promoción y comunicación sobre las actividades del sector, su potencial y ofrecer a inversionistas nacionales y extranjeros oportunidades de inversión.</w:t>
      </w:r>
    </w:p>
    <w:p w14:paraId="3D80E387" w14:textId="77777777" w:rsidR="000677B6" w:rsidRPr="000677B6" w:rsidRDefault="000677B6" w:rsidP="000677B6">
      <w:pPr>
        <w:spacing w:after="360" w:line="360" w:lineRule="auto"/>
        <w:ind w:right="-159"/>
        <w:jc w:val="both"/>
        <w:rPr>
          <w:rFonts w:eastAsia="Calibri"/>
          <w:b/>
          <w:sz w:val="26"/>
          <w:szCs w:val="26"/>
          <w:lang w:val="es-ES" w:eastAsia="en-US"/>
        </w:rPr>
      </w:pPr>
      <w:r w:rsidRPr="000677B6">
        <w:rPr>
          <w:rFonts w:eastAsia="Calibri"/>
          <w:b/>
          <w:sz w:val="26"/>
          <w:szCs w:val="26"/>
          <w:lang w:val="es-ES" w:eastAsia="en-US"/>
        </w:rPr>
        <w:t>Grado de internacionalización</w:t>
      </w:r>
    </w:p>
    <w:p w14:paraId="14A58B5C"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El 94% de las empresas encuestadas para este estudio se han limitado al mercado nacional. Este número coincide con lo observado en el resto de la economía mexicana donde tan sólo el 1% de las unidades económicas exportan</w:t>
      </w:r>
      <w:r w:rsidRPr="000677B6">
        <w:rPr>
          <w:rFonts w:eastAsia="Calibri"/>
          <w:sz w:val="26"/>
          <w:szCs w:val="26"/>
          <w:vertAlign w:val="superscript"/>
          <w:lang w:val="es-ES" w:eastAsia="en-US"/>
        </w:rPr>
        <w:footnoteReference w:id="67"/>
      </w:r>
      <w:r w:rsidRPr="000677B6">
        <w:rPr>
          <w:rFonts w:eastAsia="Calibri"/>
          <w:sz w:val="26"/>
          <w:szCs w:val="26"/>
          <w:lang w:val="es-ES" w:eastAsia="en-US"/>
        </w:rPr>
        <w:t xml:space="preserve">. Es de esperarse que a medida que se desarrolle una oferta tecnológica más especializada, empresas </w:t>
      </w:r>
      <w:r w:rsidRPr="00F95D26">
        <w:rPr>
          <w:rFonts w:eastAsia="Calibri"/>
          <w:i/>
          <w:sz w:val="26"/>
          <w:szCs w:val="26"/>
          <w:lang w:val="es-ES" w:eastAsia="en-US"/>
        </w:rPr>
        <w:t>cleantech</w:t>
      </w:r>
      <w:r w:rsidRPr="000677B6">
        <w:rPr>
          <w:rFonts w:eastAsia="Calibri"/>
          <w:sz w:val="26"/>
          <w:szCs w:val="26"/>
          <w:lang w:val="es-ES" w:eastAsia="en-US"/>
        </w:rPr>
        <w:t xml:space="preserve"> mexicanas puedan continuar aprovechando los mercados de Centro y Sudamérica.</w:t>
      </w:r>
    </w:p>
    <w:p w14:paraId="2DE00FAE" w14:textId="77777777" w:rsidR="000677B6" w:rsidRPr="000677B6" w:rsidRDefault="000677B6" w:rsidP="000677B6">
      <w:pPr>
        <w:spacing w:after="360" w:line="360" w:lineRule="auto"/>
        <w:ind w:right="-159"/>
        <w:jc w:val="both"/>
        <w:rPr>
          <w:rFonts w:eastAsia="Calibri"/>
          <w:b/>
          <w:sz w:val="26"/>
          <w:szCs w:val="26"/>
          <w:lang w:val="es-ES" w:eastAsia="en-US"/>
        </w:rPr>
      </w:pPr>
      <w:r w:rsidRPr="000677B6">
        <w:rPr>
          <w:rFonts w:eastAsia="Calibri"/>
          <w:b/>
          <w:sz w:val="26"/>
          <w:szCs w:val="26"/>
          <w:lang w:val="es-ES" w:eastAsia="en-US"/>
        </w:rPr>
        <w:t>C. Recomendaciones para detonar emprendimientos nacionales en cleantech</w:t>
      </w:r>
    </w:p>
    <w:p w14:paraId="07C65617"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Como se vio a lo largo de este análisis, la industria de tecnologías limpias en México se encuentra limitada por diversos factores que afectan su competitividad a nivel nacional e internacional. Entre las principales causas están el hecho de que el sector es pequeño y no se ha consolidado, pocas empresas registran patentes, poca integración de su cadena de proveeduría y los instrumentos financieros son limitados para detonar la innovación y escalar su producción.</w:t>
      </w:r>
    </w:p>
    <w:p w14:paraId="5EE15598"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 xml:space="preserve">Aunque es cierto que ha habido grandes cambios en cuanto a los apoyos del lado de la oferta para los emprendedores en los últimos años, especialmente con la creación de fondos de capital semilla, el fomento de la cultura emprendedora, así como programas de garantías, éstos no han sido diseñados para las necesidades particulares de cleantech ya que carecen de un énfasis en tecnología. Por ello, la asignación de recursos de los fondos de Sustentabilidad y Transición Energética de la Secretaría de Energía (SENER) no cuenta con una estrategia específica para vincular academia, gobierno e iniciativa privada, lo que ha resultado en una asignación de fondos en tecnologías con poca </w:t>
      </w:r>
      <w:r w:rsidRPr="000677B6">
        <w:rPr>
          <w:rFonts w:eastAsia="Calibri"/>
          <w:sz w:val="26"/>
          <w:szCs w:val="26"/>
          <w:lang w:val="es-ES" w:eastAsia="en-US"/>
        </w:rPr>
        <w:lastRenderedPageBreak/>
        <w:t>viabilidad comercial. Esto a su vez, ha limitado el desarrollo de programas académicos, la creación de clústers de cleantech, así como planes de estudio que permitan la especialización en áreas relevantes para el sector en el contexto del mercado mexicano.</w:t>
      </w:r>
    </w:p>
    <w:p w14:paraId="059D8CA0" w14:textId="37E08FAE"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Otro factor que limita la adopción masiva de soluciones de tecnológicas bajas en carbono ha sido una falta de incentivos para el cumplimiento de la regulación ambiental existente. Parte del problema es contar con instrumentos adecuados, otra es la falta de capacidad y de recursos para supervisar, y el hecho de no contar con un regulador con atribuciones. La Procuraduría Federal del Medio Ambiente (PROFEPA), no sólo carece de recursos, sino que es un órgano administrativo desconcentrado de la Secretaría del Medio Ambiente y Recursos Naturales (SEMARNAT), sin independencia jurídica ni presupuesta</w:t>
      </w:r>
      <w:r w:rsidR="00C676DA">
        <w:rPr>
          <w:rFonts w:eastAsia="Calibri"/>
          <w:sz w:val="26"/>
          <w:szCs w:val="26"/>
          <w:lang w:val="es-ES" w:eastAsia="en-US"/>
        </w:rPr>
        <w:t>ri</w:t>
      </w:r>
      <w:r w:rsidR="00753258">
        <w:rPr>
          <w:rFonts w:eastAsia="Calibri"/>
          <w:sz w:val="26"/>
          <w:szCs w:val="26"/>
          <w:lang w:val="es-ES" w:eastAsia="en-US"/>
        </w:rPr>
        <w:t>a</w:t>
      </w:r>
      <w:r w:rsidRPr="000677B6">
        <w:rPr>
          <w:rFonts w:eastAsia="Calibri"/>
          <w:sz w:val="26"/>
          <w:szCs w:val="26"/>
          <w:vertAlign w:val="superscript"/>
          <w:lang w:val="es-ES" w:eastAsia="en-US"/>
        </w:rPr>
        <w:footnoteReference w:id="68"/>
      </w:r>
      <w:r w:rsidRPr="000677B6">
        <w:rPr>
          <w:rFonts w:eastAsia="Calibri"/>
          <w:sz w:val="26"/>
          <w:szCs w:val="26"/>
          <w:lang w:val="es-ES" w:eastAsia="en-US"/>
        </w:rPr>
        <w:t>.</w:t>
      </w:r>
    </w:p>
    <w:p w14:paraId="082898E4"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Adicionalmente, no hay políticas públicas que fomenten la adopción y financiamiento del escalamiento de tecnología limpia. Específicamente, la falta de capital para el escalamiento comercial y la poca internacionalización de soluciones bajas en carbono han creado complicaciones cíclicas donde, por la falta de historias de éxito y salidas exitosas para inversionistas, no se han creado suficientes vehículos financieros que faciliten estas actividades.</w:t>
      </w:r>
    </w:p>
    <w:p w14:paraId="187E103D"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Asimismo, el sector cleantech cuenta con poco capital humano con conocimiento de negocios, sólo el 10% de los encuestados cuentan con formación de negocios ya que muchos emprendimientos surgen más bien por la idea de mejorar el entorno ambiental con una tecnología que por la necesidad de hacer la idea rentable.</w:t>
      </w:r>
    </w:p>
    <w:p w14:paraId="3741AA7C"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 xml:space="preserve">Sin embargo, varios estados, así como el gobierno federal, están invirtiendo en el fortalecimiento de capacidades regionales para la formación de capital humano y la creación de clústers tecnológicos, por lo que es necesario aprovechar dichas </w:t>
      </w:r>
      <w:r w:rsidRPr="000677B6">
        <w:rPr>
          <w:rFonts w:eastAsia="Calibri"/>
          <w:sz w:val="26"/>
          <w:szCs w:val="26"/>
          <w:lang w:val="es-ES" w:eastAsia="en-US"/>
        </w:rPr>
        <w:lastRenderedPageBreak/>
        <w:t>capacidades para la creación de clústers específicos de cleantech, enfocados en subsectores como la manufactura avanzada. Lo anterior podría mejorar la sofisticación de la cadena de proveeduría y las redes de distribución a través de la masificación de soluciones competitivas de tecnología limpia.</w:t>
      </w:r>
    </w:p>
    <w:p w14:paraId="6D3624F8"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El problema de los esfuerzos existentes para cleantech es que no están articulados bajo una política paraguas que vea tanto el apoyo a la oferta como a la demanda de soluciones cleantech a largo plazo, por lo que existe una falta de coordinación de las diversas leyes, programas y fondos dentro de distintas instituciones, sin considerar esfuerzos similares de otros actores. En este sentido, la principal recomendación de acción de este reporte es:</w:t>
      </w:r>
    </w:p>
    <w:p w14:paraId="51353AB3" w14:textId="77777777" w:rsidR="000677B6" w:rsidRPr="00C676DA" w:rsidRDefault="000677B6" w:rsidP="000677B6">
      <w:pPr>
        <w:spacing w:after="360" w:line="360" w:lineRule="auto"/>
        <w:ind w:right="-159"/>
        <w:jc w:val="both"/>
        <w:rPr>
          <w:rFonts w:eastAsia="Calibri"/>
          <w:b/>
          <w:sz w:val="26"/>
          <w:szCs w:val="26"/>
          <w:lang w:val="es-ES" w:eastAsia="en-US"/>
        </w:rPr>
      </w:pPr>
      <w:r w:rsidRPr="00C676DA">
        <w:rPr>
          <w:rFonts w:eastAsia="Calibri"/>
          <w:b/>
          <w:sz w:val="26"/>
          <w:szCs w:val="26"/>
          <w:lang w:val="es-ES" w:eastAsia="en-US"/>
        </w:rPr>
        <w:t>Crear una política industrial cleantech con metas claras y medibles que coordine y mejore los esfuerzos actuales a nivel federal y estatal en políticas de cambio climático, energías limpias y protección al medio ambiente, con las políticas de innovación, financiamiento, fiscal y de fomento al emprendimiento (e.g. red de apoyo al emprendedor), aprovechando el contexto de la Reforma Energética.</w:t>
      </w:r>
    </w:p>
    <w:p w14:paraId="0219C191" w14:textId="7F21AA78"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De acuerdo con un informe de la OCDE, las políticas estables y consistentes (coordinadas dentro de una estrategia) son las más efectivas. Sin embargo, crear dicha política implica un reto mayúsculo de coordinación entre las distintas dependencias del gobierno federal como del gobierno local, cuyos cambios y adiciones a programas implican una fuerte inversión de capital político. Sin descartar que dicho reto pueda ser asumido por el gobierno federal como una aportación estratégica de este sexenio, se considera viable y práctico crear dicha política con un enfoque “bottom-up”.</w:t>
      </w:r>
    </w:p>
    <w:p w14:paraId="312397AA"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 xml:space="preserve">En otras palabras, en lugar de esperar a que la oficina de la Presidencia de la República ayude a orientar todos los esfuerzos del gobierno federal para alcanzar una meta </w:t>
      </w:r>
      <w:r w:rsidRPr="000677B6">
        <w:rPr>
          <w:rFonts w:eastAsia="Calibri"/>
          <w:i/>
          <w:sz w:val="26"/>
          <w:szCs w:val="26"/>
          <w:lang w:val="es-ES" w:eastAsia="en-US"/>
        </w:rPr>
        <w:t>cleantech</w:t>
      </w:r>
      <w:r w:rsidRPr="000677B6">
        <w:rPr>
          <w:rFonts w:eastAsia="Calibri"/>
          <w:sz w:val="26"/>
          <w:szCs w:val="26"/>
          <w:lang w:val="es-ES" w:eastAsia="en-US"/>
        </w:rPr>
        <w:t xml:space="preserve">, se sugiere empezar a actuar de forma inmediata en distintos frentes, aprovechando el trabajo que se lleva a cabo para implementar las nueve reformas </w:t>
      </w:r>
      <w:r w:rsidRPr="000677B6">
        <w:rPr>
          <w:rFonts w:eastAsia="Calibri"/>
          <w:sz w:val="26"/>
          <w:szCs w:val="26"/>
          <w:lang w:val="es-ES" w:eastAsia="en-US"/>
        </w:rPr>
        <w:lastRenderedPageBreak/>
        <w:t xml:space="preserve">impulsadas por esta administración, además de los esfuerzos que está realizando el INADEM y otras instituciones. A partir de estas acciones se puede ir trabajando con los estados para que en el mediano plazo, el país cuente con esfuerzos coordinados que funcionen como una política coordinada de </w:t>
      </w:r>
      <w:r w:rsidRPr="000677B6">
        <w:rPr>
          <w:rFonts w:eastAsia="Calibri"/>
          <w:i/>
          <w:sz w:val="26"/>
          <w:szCs w:val="26"/>
          <w:lang w:val="es-ES" w:eastAsia="en-US"/>
        </w:rPr>
        <w:t>cleantech</w:t>
      </w:r>
      <w:r w:rsidRPr="000677B6">
        <w:rPr>
          <w:rFonts w:eastAsia="Calibri"/>
          <w:sz w:val="26"/>
          <w:szCs w:val="26"/>
          <w:lang w:val="es-ES" w:eastAsia="en-US"/>
        </w:rPr>
        <w:t>. En este sentido, se recomienda actuar tanto por el lado de la demanda como de la oferta a través de las siguientes ocho acciones:</w:t>
      </w:r>
    </w:p>
    <w:p w14:paraId="3D7E333F" w14:textId="77777777" w:rsidR="000677B6" w:rsidRPr="000677B6" w:rsidRDefault="000677B6" w:rsidP="000677B6">
      <w:pPr>
        <w:spacing w:after="360" w:line="360" w:lineRule="auto"/>
        <w:ind w:right="-159"/>
        <w:jc w:val="both"/>
        <w:rPr>
          <w:rFonts w:eastAsia="Calibri"/>
          <w:b/>
          <w:sz w:val="26"/>
          <w:szCs w:val="26"/>
          <w:lang w:val="es-ES" w:eastAsia="en-US"/>
        </w:rPr>
      </w:pPr>
      <w:r w:rsidRPr="000677B6">
        <w:rPr>
          <w:rFonts w:eastAsia="Calibri"/>
          <w:b/>
          <w:sz w:val="26"/>
          <w:szCs w:val="26"/>
          <w:lang w:val="es-ES" w:eastAsia="en-US"/>
        </w:rPr>
        <w:t>Para detonar la demanda</w:t>
      </w:r>
    </w:p>
    <w:p w14:paraId="2D80C43D" w14:textId="77777777" w:rsidR="000677B6" w:rsidRPr="000677B6" w:rsidRDefault="000677B6" w:rsidP="00276F3E">
      <w:pPr>
        <w:numPr>
          <w:ilvl w:val="0"/>
          <w:numId w:val="75"/>
        </w:numPr>
        <w:spacing w:after="360" w:line="360" w:lineRule="auto"/>
        <w:ind w:left="568" w:right="-159" w:hanging="284"/>
        <w:jc w:val="both"/>
        <w:rPr>
          <w:rFonts w:eastAsia="Calibri"/>
          <w:sz w:val="26"/>
          <w:szCs w:val="26"/>
          <w:lang w:val="es-ES" w:eastAsia="en-US"/>
        </w:rPr>
      </w:pPr>
      <w:r w:rsidRPr="000677B6">
        <w:rPr>
          <w:rFonts w:eastAsia="Calibri"/>
          <w:sz w:val="26"/>
          <w:szCs w:val="26"/>
          <w:lang w:val="es-ES" w:eastAsia="en-US"/>
        </w:rPr>
        <w:t>Mejorar la regulación ambiental y asegurar su cumplimiento</w:t>
      </w:r>
    </w:p>
    <w:p w14:paraId="3FF53585" w14:textId="77777777" w:rsidR="000677B6" w:rsidRPr="000677B6" w:rsidRDefault="000677B6" w:rsidP="00276F3E">
      <w:pPr>
        <w:numPr>
          <w:ilvl w:val="0"/>
          <w:numId w:val="75"/>
        </w:numPr>
        <w:spacing w:after="360" w:line="360" w:lineRule="auto"/>
        <w:ind w:left="568" w:right="-159" w:hanging="284"/>
        <w:jc w:val="both"/>
        <w:rPr>
          <w:rFonts w:eastAsia="Calibri"/>
          <w:sz w:val="26"/>
          <w:szCs w:val="26"/>
          <w:lang w:val="es-ES" w:eastAsia="en-US"/>
        </w:rPr>
      </w:pPr>
      <w:r w:rsidRPr="000677B6">
        <w:rPr>
          <w:rFonts w:eastAsia="Calibri"/>
          <w:sz w:val="26"/>
          <w:szCs w:val="26"/>
          <w:lang w:val="es-ES" w:eastAsia="en-US"/>
        </w:rPr>
        <w:t>Cambiar incentivos de política pública</w:t>
      </w:r>
    </w:p>
    <w:p w14:paraId="3D131598" w14:textId="77777777" w:rsidR="000677B6" w:rsidRPr="000677B6" w:rsidRDefault="000677B6" w:rsidP="00276F3E">
      <w:pPr>
        <w:numPr>
          <w:ilvl w:val="0"/>
          <w:numId w:val="75"/>
        </w:numPr>
        <w:spacing w:after="360" w:line="360" w:lineRule="auto"/>
        <w:ind w:left="568" w:right="-159" w:hanging="284"/>
        <w:jc w:val="both"/>
        <w:rPr>
          <w:rFonts w:eastAsia="Calibri"/>
          <w:sz w:val="26"/>
          <w:szCs w:val="26"/>
          <w:lang w:val="es-ES" w:eastAsia="en-US"/>
        </w:rPr>
      </w:pPr>
      <w:r w:rsidRPr="000677B6">
        <w:rPr>
          <w:rFonts w:eastAsia="Calibri"/>
          <w:sz w:val="26"/>
          <w:szCs w:val="26"/>
          <w:lang w:val="es-ES" w:eastAsia="en-US"/>
        </w:rPr>
        <w:t>Asegurar que la reforma energética detone inversión en energías limpias</w:t>
      </w:r>
    </w:p>
    <w:p w14:paraId="20303FBD" w14:textId="77777777" w:rsidR="000677B6" w:rsidRPr="000677B6" w:rsidRDefault="000677B6" w:rsidP="000677B6">
      <w:pPr>
        <w:spacing w:after="360" w:line="360" w:lineRule="auto"/>
        <w:ind w:right="-159"/>
        <w:jc w:val="both"/>
        <w:rPr>
          <w:rFonts w:eastAsia="Calibri"/>
          <w:b/>
          <w:sz w:val="26"/>
          <w:szCs w:val="26"/>
          <w:lang w:val="es-ES" w:eastAsia="en-US"/>
        </w:rPr>
      </w:pPr>
      <w:r w:rsidRPr="000677B6">
        <w:rPr>
          <w:rFonts w:eastAsia="Calibri"/>
          <w:b/>
          <w:sz w:val="26"/>
          <w:szCs w:val="26"/>
          <w:lang w:val="es-ES" w:eastAsia="en-US"/>
        </w:rPr>
        <w:t>Para ampliar la oferta</w:t>
      </w:r>
    </w:p>
    <w:p w14:paraId="7609EF21" w14:textId="77777777" w:rsidR="000677B6" w:rsidRPr="000677B6" w:rsidRDefault="000677B6" w:rsidP="00276F3E">
      <w:pPr>
        <w:numPr>
          <w:ilvl w:val="0"/>
          <w:numId w:val="75"/>
        </w:numPr>
        <w:spacing w:after="360" w:line="360" w:lineRule="auto"/>
        <w:ind w:left="568" w:right="-159" w:hanging="284"/>
        <w:jc w:val="both"/>
        <w:rPr>
          <w:rFonts w:eastAsia="Calibri"/>
          <w:sz w:val="26"/>
          <w:szCs w:val="26"/>
          <w:lang w:val="es-ES" w:eastAsia="en-US"/>
        </w:rPr>
      </w:pPr>
      <w:r w:rsidRPr="000677B6">
        <w:rPr>
          <w:rFonts w:eastAsia="Calibri"/>
          <w:sz w:val="26"/>
          <w:szCs w:val="26"/>
          <w:lang w:val="es-ES" w:eastAsia="en-US"/>
        </w:rPr>
        <w:t>Fortalecer el sistema de propiedad intelectual</w:t>
      </w:r>
    </w:p>
    <w:p w14:paraId="7627AB0A" w14:textId="77777777" w:rsidR="000677B6" w:rsidRPr="000677B6" w:rsidRDefault="000677B6" w:rsidP="00276F3E">
      <w:pPr>
        <w:numPr>
          <w:ilvl w:val="0"/>
          <w:numId w:val="75"/>
        </w:numPr>
        <w:spacing w:after="360" w:line="360" w:lineRule="auto"/>
        <w:ind w:left="568" w:right="-159" w:hanging="284"/>
        <w:jc w:val="both"/>
        <w:rPr>
          <w:rFonts w:eastAsia="Calibri"/>
          <w:sz w:val="26"/>
          <w:szCs w:val="26"/>
          <w:lang w:val="es-ES" w:eastAsia="en-US"/>
        </w:rPr>
      </w:pPr>
      <w:r w:rsidRPr="000677B6">
        <w:rPr>
          <w:rFonts w:eastAsia="Calibri"/>
          <w:sz w:val="26"/>
          <w:szCs w:val="26"/>
          <w:lang w:val="es-ES" w:eastAsia="en-US"/>
        </w:rPr>
        <w:t>Modificar la inversión pública en innovación y escalamiento cleantech</w:t>
      </w:r>
    </w:p>
    <w:p w14:paraId="6AD987C1" w14:textId="77777777" w:rsidR="000677B6" w:rsidRPr="000677B6" w:rsidRDefault="000677B6" w:rsidP="00276F3E">
      <w:pPr>
        <w:numPr>
          <w:ilvl w:val="0"/>
          <w:numId w:val="75"/>
        </w:numPr>
        <w:spacing w:after="360" w:line="360" w:lineRule="auto"/>
        <w:ind w:left="568" w:right="-159" w:hanging="284"/>
        <w:jc w:val="both"/>
        <w:rPr>
          <w:rFonts w:eastAsia="Calibri"/>
          <w:sz w:val="26"/>
          <w:szCs w:val="26"/>
          <w:lang w:val="es-ES" w:eastAsia="en-US"/>
        </w:rPr>
      </w:pPr>
      <w:r w:rsidRPr="000677B6">
        <w:rPr>
          <w:rFonts w:eastAsia="Calibri"/>
          <w:sz w:val="26"/>
          <w:szCs w:val="26"/>
          <w:lang w:val="es-ES" w:eastAsia="en-US"/>
        </w:rPr>
        <w:t>Fomentar mayor vinculación entre la academia e industria</w:t>
      </w:r>
    </w:p>
    <w:p w14:paraId="3639F152" w14:textId="77777777" w:rsidR="000677B6" w:rsidRPr="000677B6" w:rsidRDefault="000677B6" w:rsidP="00276F3E">
      <w:pPr>
        <w:numPr>
          <w:ilvl w:val="0"/>
          <w:numId w:val="75"/>
        </w:numPr>
        <w:spacing w:after="360" w:line="360" w:lineRule="auto"/>
        <w:ind w:left="568" w:right="-159" w:hanging="284"/>
        <w:jc w:val="both"/>
        <w:rPr>
          <w:rFonts w:eastAsia="Calibri"/>
          <w:sz w:val="26"/>
          <w:szCs w:val="26"/>
          <w:lang w:val="es-ES" w:eastAsia="en-US"/>
        </w:rPr>
      </w:pPr>
      <w:r w:rsidRPr="000677B6">
        <w:rPr>
          <w:rFonts w:eastAsia="Calibri"/>
          <w:sz w:val="26"/>
          <w:szCs w:val="26"/>
          <w:lang w:val="es-ES" w:eastAsia="en-US"/>
        </w:rPr>
        <w:t xml:space="preserve">Crear una oferta de capital humano </w:t>
      </w:r>
      <w:r w:rsidRPr="000677B6">
        <w:rPr>
          <w:rFonts w:eastAsia="Calibri"/>
          <w:i/>
          <w:sz w:val="26"/>
          <w:szCs w:val="26"/>
          <w:lang w:val="es-ES" w:eastAsia="en-US"/>
        </w:rPr>
        <w:t>ad hoc</w:t>
      </w:r>
    </w:p>
    <w:p w14:paraId="67EBBA84" w14:textId="77777777" w:rsidR="000677B6" w:rsidRPr="000677B6" w:rsidRDefault="000677B6" w:rsidP="00276F3E">
      <w:pPr>
        <w:numPr>
          <w:ilvl w:val="0"/>
          <w:numId w:val="75"/>
        </w:numPr>
        <w:spacing w:after="360" w:line="360" w:lineRule="auto"/>
        <w:ind w:left="568" w:right="-159" w:hanging="284"/>
        <w:jc w:val="both"/>
        <w:rPr>
          <w:rFonts w:eastAsia="Calibri"/>
          <w:sz w:val="26"/>
          <w:szCs w:val="26"/>
          <w:lang w:val="es-ES" w:eastAsia="en-US"/>
        </w:rPr>
      </w:pPr>
      <w:r w:rsidRPr="000677B6">
        <w:rPr>
          <w:rFonts w:eastAsia="Calibri"/>
          <w:sz w:val="26"/>
          <w:szCs w:val="26"/>
          <w:lang w:val="es-ES" w:eastAsia="en-US"/>
        </w:rPr>
        <w:t>Mejorar esquemas de financiamiento para cleantech (garantías y coinversión público-privada)</w:t>
      </w:r>
    </w:p>
    <w:p w14:paraId="35D2CAB7" w14:textId="77777777" w:rsidR="009D6EC3" w:rsidRDefault="009D6EC3" w:rsidP="000677B6">
      <w:pPr>
        <w:spacing w:after="360" w:line="360" w:lineRule="auto"/>
        <w:ind w:right="-159"/>
        <w:jc w:val="both"/>
        <w:rPr>
          <w:rFonts w:eastAsia="Calibri"/>
          <w:b/>
          <w:sz w:val="26"/>
          <w:szCs w:val="26"/>
          <w:lang w:val="es-ES" w:eastAsia="en-US"/>
        </w:rPr>
      </w:pPr>
    </w:p>
    <w:p w14:paraId="72B7A5D8" w14:textId="77777777" w:rsidR="009D6EC3" w:rsidRDefault="009D6EC3" w:rsidP="000677B6">
      <w:pPr>
        <w:spacing w:after="360" w:line="360" w:lineRule="auto"/>
        <w:ind w:right="-159"/>
        <w:jc w:val="both"/>
        <w:rPr>
          <w:rFonts w:eastAsia="Calibri"/>
          <w:b/>
          <w:sz w:val="26"/>
          <w:szCs w:val="26"/>
          <w:lang w:val="es-ES" w:eastAsia="en-US"/>
        </w:rPr>
      </w:pPr>
    </w:p>
    <w:p w14:paraId="595F5116" w14:textId="77777777" w:rsidR="000677B6" w:rsidRPr="000677B6" w:rsidRDefault="000677B6" w:rsidP="000677B6">
      <w:pPr>
        <w:spacing w:after="360" w:line="360" w:lineRule="auto"/>
        <w:ind w:right="-159"/>
        <w:jc w:val="both"/>
        <w:rPr>
          <w:rFonts w:eastAsia="Calibri"/>
          <w:b/>
          <w:sz w:val="26"/>
          <w:szCs w:val="26"/>
          <w:lang w:val="es-ES" w:eastAsia="en-US"/>
        </w:rPr>
      </w:pPr>
      <w:r w:rsidRPr="000677B6">
        <w:rPr>
          <w:rFonts w:eastAsia="Calibri"/>
          <w:b/>
          <w:sz w:val="26"/>
          <w:szCs w:val="26"/>
          <w:lang w:val="es-ES" w:eastAsia="en-US"/>
        </w:rPr>
        <w:lastRenderedPageBreak/>
        <w:t>C.1 Recomendaciones para detonar la demanda cleantech nacional</w:t>
      </w:r>
    </w:p>
    <w:p w14:paraId="38B6B1DA"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Para detonar una mayor demanda de tecnologías limpias se considera importante actuar en cuatro frentes. Primero, crear metas más ambiciosas en materia ambiental. Segundo, asegurar el cumplimiento de dichas reglas mediante instrumentos efectivos. Tercero, erradicar incentivos perversos y proponer nuevos incentivos efectivos de política pública y cuarto, asegurar que la reforma energética promueva inversiones en energía limpia.</w:t>
      </w:r>
    </w:p>
    <w:p w14:paraId="53D1D182" w14:textId="77777777" w:rsidR="000677B6" w:rsidRPr="000677B6" w:rsidRDefault="000677B6" w:rsidP="000677B6">
      <w:pPr>
        <w:spacing w:after="360" w:line="360" w:lineRule="auto"/>
        <w:ind w:right="-159"/>
        <w:jc w:val="both"/>
        <w:rPr>
          <w:rFonts w:eastAsia="Calibri"/>
          <w:b/>
          <w:sz w:val="26"/>
          <w:szCs w:val="26"/>
          <w:lang w:val="es-ES" w:eastAsia="en-US"/>
        </w:rPr>
      </w:pPr>
      <w:r w:rsidRPr="000677B6">
        <w:rPr>
          <w:rFonts w:eastAsia="Calibri"/>
          <w:b/>
          <w:sz w:val="26"/>
          <w:szCs w:val="26"/>
          <w:lang w:val="es-ES" w:eastAsia="en-US"/>
        </w:rPr>
        <w:t>1. Mejorar la regulación ambiental</w:t>
      </w:r>
    </w:p>
    <w:p w14:paraId="335F55D9" w14:textId="77777777" w:rsidR="000677B6" w:rsidRPr="000677B6" w:rsidRDefault="000677B6" w:rsidP="00276F3E">
      <w:pPr>
        <w:numPr>
          <w:ilvl w:val="0"/>
          <w:numId w:val="70"/>
        </w:numPr>
        <w:spacing w:after="360" w:line="360" w:lineRule="auto"/>
        <w:ind w:left="568" w:right="-159" w:hanging="284"/>
        <w:jc w:val="both"/>
        <w:rPr>
          <w:rFonts w:eastAsia="Calibri"/>
          <w:sz w:val="26"/>
          <w:szCs w:val="26"/>
          <w:lang w:val="es-ES" w:eastAsia="en-US"/>
        </w:rPr>
      </w:pPr>
      <w:r w:rsidRPr="000677B6">
        <w:rPr>
          <w:rFonts w:eastAsia="Calibri"/>
          <w:b/>
          <w:sz w:val="26"/>
          <w:szCs w:val="26"/>
          <w:lang w:val="es-ES" w:eastAsia="en-US"/>
        </w:rPr>
        <w:t>Ampliar la aplicación del impuesto al carbono y etiquetar sus recursos para fomentar inversión en cleantech.</w:t>
      </w:r>
      <w:r w:rsidRPr="000677B6">
        <w:rPr>
          <w:rFonts w:eastAsia="Calibri"/>
          <w:sz w:val="26"/>
          <w:szCs w:val="26"/>
          <w:lang w:val="es-ES" w:eastAsia="en-US"/>
        </w:rPr>
        <w:t xml:space="preserve"> Una de las características que destacan del impuesto al carbono en México es que a diferencia de otros países, sus recursos no han sido etiquetados en su totalidad para fomentar la transición energética. Por otro lado, se sugiere eliminar las exenciones actuales al gas natural y a la turbosina utilizada en transporte de carga y pasajeros.</w:t>
      </w:r>
    </w:p>
    <w:p w14:paraId="6B6D35B4" w14:textId="77777777" w:rsidR="000677B6" w:rsidRPr="000677B6" w:rsidRDefault="000677B6" w:rsidP="00276F3E">
      <w:pPr>
        <w:numPr>
          <w:ilvl w:val="0"/>
          <w:numId w:val="70"/>
        </w:numPr>
        <w:spacing w:after="360" w:line="360" w:lineRule="auto"/>
        <w:ind w:left="568" w:right="-159" w:hanging="284"/>
        <w:jc w:val="both"/>
        <w:rPr>
          <w:rFonts w:eastAsia="Calibri"/>
          <w:sz w:val="26"/>
          <w:szCs w:val="26"/>
          <w:lang w:val="es-ES" w:eastAsia="en-US"/>
        </w:rPr>
      </w:pPr>
      <w:r w:rsidRPr="000677B6">
        <w:rPr>
          <w:rFonts w:eastAsia="Calibri"/>
          <w:b/>
          <w:sz w:val="26"/>
          <w:szCs w:val="26"/>
          <w:lang w:val="es-ES" w:eastAsia="en-US"/>
        </w:rPr>
        <w:t>Actualizar y mejorar la normatividad ambiental.</w:t>
      </w:r>
      <w:r w:rsidRPr="000677B6">
        <w:rPr>
          <w:rFonts w:eastAsia="Calibri"/>
          <w:sz w:val="26"/>
          <w:szCs w:val="26"/>
          <w:lang w:val="es-ES" w:eastAsia="en-US"/>
        </w:rPr>
        <w:t xml:space="preserve"> Definir una periodicidad obligatoria para la revisión y actualización de normas oficiales en eficiencia energética, manejo de residuos y generación distribuida, para promover el uso de la mejor tecnología y la innovación</w:t>
      </w:r>
      <w:r w:rsidRPr="000677B6">
        <w:rPr>
          <w:rFonts w:eastAsia="Calibri"/>
          <w:sz w:val="26"/>
          <w:szCs w:val="26"/>
          <w:vertAlign w:val="superscript"/>
          <w:lang w:val="es-ES" w:eastAsia="en-US"/>
        </w:rPr>
        <w:footnoteReference w:id="69"/>
      </w:r>
      <w:r w:rsidRPr="000677B6">
        <w:rPr>
          <w:rFonts w:eastAsia="Calibri"/>
          <w:sz w:val="26"/>
          <w:szCs w:val="26"/>
          <w:lang w:val="es-ES" w:eastAsia="en-US"/>
        </w:rPr>
        <w:t xml:space="preserve">. Por ejemplo, la Norma Oficial Mexicana 001 de SEMARNAT, la cual establece los límites máximos permisibles de contaminantes en las descargas de aguas residuales en aguas nacionales, ha permanecido vigente sin ninguna modificación desde enero de 1997. Otras NOMs, como la 003, no fueron renovadas en tiempo y forma, lo que generó una laguna jurídica en la construcción de pozos de extracción de agua, entre 2002 y 2011. Por otro lado, también se sugiere diseñar nuevas normas para asegurar la </w:t>
      </w:r>
      <w:r w:rsidRPr="000677B6">
        <w:rPr>
          <w:rFonts w:eastAsia="Calibri"/>
          <w:sz w:val="26"/>
          <w:szCs w:val="26"/>
          <w:lang w:val="es-ES" w:eastAsia="en-US"/>
        </w:rPr>
        <w:lastRenderedPageBreak/>
        <w:t>viabilidad tecnológica de esquemas como los de generación distribuida en donde se encontró que algunos países han enfrentado retos mayores por no exigir estándares en la instalación de paneles fotovoltaicos a proveedores e instaladores, lo que ha hecho que la tecnología tenga fallas recurrentes. En este sentido se sugiere la obligatoriedad de implementar a través de estándares así como la contratación de pólizas de seguros contra daños a bienes y personas de los instaladores para asegurar el funcionamiento de la tecnología y promover mayor certidumbre en las inversiones del sector.</w:t>
      </w:r>
    </w:p>
    <w:p w14:paraId="57B22C5B" w14:textId="77777777" w:rsidR="000677B6" w:rsidRPr="000677B6" w:rsidRDefault="000677B6" w:rsidP="00276F3E">
      <w:pPr>
        <w:numPr>
          <w:ilvl w:val="0"/>
          <w:numId w:val="70"/>
        </w:numPr>
        <w:spacing w:after="360" w:line="360" w:lineRule="auto"/>
        <w:ind w:left="568" w:right="-159" w:hanging="284"/>
        <w:jc w:val="both"/>
        <w:rPr>
          <w:rFonts w:eastAsia="Calibri"/>
          <w:sz w:val="26"/>
          <w:szCs w:val="26"/>
          <w:lang w:val="es-ES" w:eastAsia="en-US"/>
        </w:rPr>
      </w:pPr>
      <w:r w:rsidRPr="000677B6">
        <w:rPr>
          <w:rFonts w:eastAsia="Calibri"/>
          <w:b/>
          <w:sz w:val="26"/>
          <w:szCs w:val="26"/>
          <w:lang w:val="es-ES" w:eastAsia="en-US"/>
        </w:rPr>
        <w:t>Homologar criterios de legislaciones ambientales</w:t>
      </w:r>
      <w:r w:rsidRPr="000677B6">
        <w:rPr>
          <w:rFonts w:eastAsia="Calibri"/>
          <w:sz w:val="26"/>
          <w:szCs w:val="26"/>
          <w:lang w:val="es-ES" w:eastAsia="en-US"/>
        </w:rPr>
        <w:t xml:space="preserve"> a nivel federal y estatal para que éstas no se contradigan y sea más fácil la interpretación de la regulación, así como el cumplimiento de la misma.</w:t>
      </w:r>
    </w:p>
    <w:p w14:paraId="695C8389" w14:textId="30A5F1AD" w:rsidR="000677B6" w:rsidRPr="000677B6" w:rsidRDefault="000677B6" w:rsidP="00276F3E">
      <w:pPr>
        <w:numPr>
          <w:ilvl w:val="0"/>
          <w:numId w:val="70"/>
        </w:numPr>
        <w:spacing w:after="360" w:line="360" w:lineRule="auto"/>
        <w:ind w:left="568" w:right="-159" w:hanging="284"/>
        <w:jc w:val="both"/>
        <w:rPr>
          <w:rFonts w:eastAsia="Calibri"/>
          <w:sz w:val="26"/>
          <w:szCs w:val="26"/>
          <w:lang w:val="es-ES" w:eastAsia="en-US"/>
        </w:rPr>
      </w:pPr>
      <w:r w:rsidRPr="000677B6">
        <w:rPr>
          <w:rFonts w:eastAsia="Calibri"/>
          <w:b/>
          <w:sz w:val="26"/>
          <w:szCs w:val="26"/>
          <w:lang w:val="es-ES" w:eastAsia="en-US"/>
        </w:rPr>
        <w:t>Fortalecer la autonomía de agencias de protección al ambiente</w:t>
      </w:r>
      <w:r w:rsidRPr="000677B6">
        <w:rPr>
          <w:rFonts w:eastAsia="Calibri"/>
          <w:sz w:val="26"/>
          <w:szCs w:val="26"/>
          <w:lang w:val="es-ES" w:eastAsia="en-US"/>
        </w:rPr>
        <w:t xml:space="preserve"> como el de la PROFEPA y la nueva ASEA. Para ello, se debe asegurar su independencia presupuesta</w:t>
      </w:r>
      <w:r w:rsidR="00C676DA">
        <w:rPr>
          <w:rFonts w:eastAsia="Calibri"/>
          <w:sz w:val="26"/>
          <w:szCs w:val="26"/>
          <w:lang w:val="es-ES" w:eastAsia="en-US"/>
        </w:rPr>
        <w:t>ria</w:t>
      </w:r>
      <w:r w:rsidRPr="000677B6">
        <w:rPr>
          <w:rFonts w:eastAsia="Calibri"/>
          <w:sz w:val="26"/>
          <w:szCs w:val="26"/>
          <w:lang w:val="es-ES" w:eastAsia="en-US"/>
        </w:rPr>
        <w:t xml:space="preserve"> así como su independencia jurídica; que el nombramiento y vigencia de sus cabezas no dependan del ejecutivo y en particular que éstas puedan revocar permisos (temporal o de forma permanente) cuando se considere necesario (por falta de información o por daños irreparables al medio ambiente). En el caso de la ASEA</w:t>
      </w:r>
      <w:r w:rsidR="00C676DA">
        <w:rPr>
          <w:rFonts w:eastAsia="Calibri"/>
          <w:sz w:val="26"/>
          <w:szCs w:val="26"/>
          <w:lang w:val="es-ES" w:eastAsia="en-US"/>
        </w:rPr>
        <w:t>,</w:t>
      </w:r>
      <w:r w:rsidRPr="000677B6">
        <w:rPr>
          <w:rFonts w:eastAsia="Calibri"/>
          <w:sz w:val="26"/>
          <w:szCs w:val="26"/>
          <w:lang w:val="es-ES" w:eastAsia="en-US"/>
        </w:rPr>
        <w:t xml:space="preserve"> </w:t>
      </w:r>
      <w:r w:rsidR="00C676DA">
        <w:rPr>
          <w:rFonts w:eastAsia="Calibri"/>
          <w:sz w:val="26"/>
          <w:szCs w:val="26"/>
          <w:lang w:val="es-ES" w:eastAsia="en-US"/>
        </w:rPr>
        <w:t>é</w:t>
      </w:r>
      <w:r w:rsidRPr="000677B6">
        <w:rPr>
          <w:rFonts w:eastAsia="Calibri"/>
          <w:sz w:val="26"/>
          <w:szCs w:val="26"/>
          <w:lang w:val="es-ES" w:eastAsia="en-US"/>
        </w:rPr>
        <w:t>sta deberá poder denunciar ante la Procuraduría General de la República cualquier actividad que se presuma como delito.</w:t>
      </w:r>
    </w:p>
    <w:p w14:paraId="1D2F0EDD" w14:textId="77777777" w:rsidR="000677B6" w:rsidRDefault="000677B6" w:rsidP="00276F3E">
      <w:pPr>
        <w:numPr>
          <w:ilvl w:val="0"/>
          <w:numId w:val="70"/>
        </w:numPr>
        <w:spacing w:after="360" w:line="360" w:lineRule="auto"/>
        <w:ind w:left="568" w:right="-159" w:hanging="284"/>
        <w:jc w:val="both"/>
        <w:rPr>
          <w:rFonts w:eastAsia="Calibri"/>
          <w:sz w:val="26"/>
          <w:szCs w:val="26"/>
          <w:lang w:val="es-ES" w:eastAsia="en-US"/>
        </w:rPr>
      </w:pPr>
      <w:r w:rsidRPr="000677B6">
        <w:rPr>
          <w:rFonts w:eastAsia="Calibri"/>
          <w:b/>
          <w:sz w:val="26"/>
          <w:szCs w:val="26"/>
          <w:lang w:val="es-ES" w:eastAsia="en-US"/>
        </w:rPr>
        <w:t>Implementar y fiscalizar estándares de eficiencia energética</w:t>
      </w:r>
      <w:r w:rsidRPr="000677B6">
        <w:rPr>
          <w:rFonts w:eastAsia="Calibri"/>
          <w:sz w:val="26"/>
          <w:szCs w:val="26"/>
          <w:lang w:val="es-ES" w:eastAsia="en-US"/>
        </w:rPr>
        <w:t xml:space="preserve"> en edificación. Las normas oficiales de eficiencia energética en edificación deben ser aplicadas para incentivar la adopción de tecnología limpia. Para ello, se requieren órganos capaces de proporcionar asesoría y evaluar la costo-efectividad de las medidas de eficiencia energética en edificaciones nuevas y existentes a nivel local y regional, así como mecanismos de cumplimiento y fiscalización.</w:t>
      </w:r>
    </w:p>
    <w:p w14:paraId="668CF382" w14:textId="77777777" w:rsidR="00A94DD6" w:rsidRPr="000677B6" w:rsidRDefault="00A94DD6" w:rsidP="00A94DD6">
      <w:pPr>
        <w:spacing w:after="360" w:line="360" w:lineRule="auto"/>
        <w:ind w:right="-159"/>
        <w:jc w:val="both"/>
        <w:rPr>
          <w:rFonts w:eastAsia="Calibri"/>
          <w:sz w:val="26"/>
          <w:szCs w:val="26"/>
          <w:lang w:val="es-ES" w:eastAsia="en-US"/>
        </w:rPr>
      </w:pPr>
    </w:p>
    <w:p w14:paraId="315A03EF" w14:textId="77777777" w:rsidR="000677B6" w:rsidRPr="000677B6" w:rsidRDefault="000677B6" w:rsidP="000677B6">
      <w:pPr>
        <w:spacing w:after="360" w:line="360" w:lineRule="auto"/>
        <w:ind w:right="-159"/>
        <w:jc w:val="both"/>
        <w:rPr>
          <w:rFonts w:eastAsia="Calibri"/>
          <w:b/>
          <w:sz w:val="26"/>
          <w:szCs w:val="26"/>
          <w:lang w:val="es-ES" w:eastAsia="en-US"/>
        </w:rPr>
      </w:pPr>
      <w:r w:rsidRPr="000677B6">
        <w:rPr>
          <w:rFonts w:eastAsia="Calibri"/>
          <w:b/>
          <w:sz w:val="26"/>
          <w:szCs w:val="26"/>
          <w:lang w:val="es-ES" w:eastAsia="en-US"/>
        </w:rPr>
        <w:lastRenderedPageBreak/>
        <w:t>2. Cambiar incentivos de política pública</w:t>
      </w:r>
    </w:p>
    <w:p w14:paraId="6555C4E2"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Por un lado, se deben eliminar los incentivos perversos que existen en políticas públicas y por otro, se deben incorporar nuevos incentivos que han probado ser exitosos en otras partes, como:</w:t>
      </w:r>
    </w:p>
    <w:p w14:paraId="266F02DF" w14:textId="77777777" w:rsidR="000677B6" w:rsidRPr="000677B6" w:rsidRDefault="000677B6" w:rsidP="00276F3E">
      <w:pPr>
        <w:numPr>
          <w:ilvl w:val="0"/>
          <w:numId w:val="69"/>
        </w:numPr>
        <w:spacing w:after="360" w:line="360" w:lineRule="auto"/>
        <w:ind w:left="568" w:right="-159" w:hanging="284"/>
        <w:jc w:val="both"/>
        <w:rPr>
          <w:rFonts w:eastAsia="Calibri"/>
          <w:sz w:val="26"/>
          <w:szCs w:val="26"/>
          <w:lang w:val="es-ES" w:eastAsia="en-US"/>
        </w:rPr>
      </w:pPr>
      <w:r w:rsidRPr="000677B6">
        <w:rPr>
          <w:rFonts w:eastAsia="Calibri"/>
          <w:b/>
          <w:sz w:val="26"/>
          <w:szCs w:val="26"/>
          <w:lang w:val="es-ES" w:eastAsia="en-US"/>
        </w:rPr>
        <w:t>Redireccionar incentivos perversos de política.</w:t>
      </w:r>
      <w:r w:rsidRPr="000677B6">
        <w:rPr>
          <w:rFonts w:eastAsia="Calibri"/>
          <w:sz w:val="26"/>
          <w:szCs w:val="26"/>
          <w:lang w:val="es-ES" w:eastAsia="en-US"/>
        </w:rPr>
        <w:t xml:space="preserve"> Un ejemplo es el desacoplar subsidios a tarifas de agua y electricidad en los sectores agrícola e industrial. Por ejemplo, el subsidio actual a la tarifa eléctrica para bombeo agrícola podría invertirse en equipos de bombeo eficientes y sistemas de riego tecnificado. Cabe destacar que en México más de dos terceras partes del agua que se extrae de los acuíferos tiene eficiencias cercanas al 46%</w:t>
      </w:r>
      <w:r w:rsidRPr="000677B6">
        <w:rPr>
          <w:rFonts w:eastAsia="Calibri"/>
          <w:sz w:val="26"/>
          <w:szCs w:val="26"/>
          <w:vertAlign w:val="superscript"/>
          <w:lang w:val="es-ES" w:eastAsia="en-US"/>
        </w:rPr>
        <w:footnoteReference w:id="70"/>
      </w:r>
      <w:r w:rsidRPr="000677B6">
        <w:rPr>
          <w:rFonts w:eastAsia="Calibri"/>
          <w:sz w:val="26"/>
          <w:szCs w:val="26"/>
          <w:lang w:val="es-ES" w:eastAsia="en-US"/>
        </w:rPr>
        <w:t>, es decir, más de la mitad del agua que se extrae de los pozos para riego agrícola se pierde</w:t>
      </w:r>
      <w:r w:rsidRPr="000677B6">
        <w:rPr>
          <w:rFonts w:eastAsia="Calibri"/>
          <w:sz w:val="26"/>
          <w:szCs w:val="26"/>
          <w:vertAlign w:val="superscript"/>
          <w:lang w:val="es-ES" w:eastAsia="en-US"/>
        </w:rPr>
        <w:footnoteReference w:id="71"/>
      </w:r>
      <w:r w:rsidRPr="000677B6">
        <w:rPr>
          <w:rFonts w:eastAsia="Calibri"/>
          <w:sz w:val="26"/>
          <w:szCs w:val="26"/>
          <w:lang w:val="es-ES" w:eastAsia="en-US"/>
        </w:rPr>
        <w:t>.</w:t>
      </w:r>
    </w:p>
    <w:p w14:paraId="0BCDE6A7" w14:textId="69354466" w:rsidR="000677B6" w:rsidRPr="000677B6" w:rsidRDefault="000677B6" w:rsidP="00276F3E">
      <w:pPr>
        <w:numPr>
          <w:ilvl w:val="0"/>
          <w:numId w:val="69"/>
        </w:numPr>
        <w:spacing w:after="360" w:line="360" w:lineRule="auto"/>
        <w:ind w:left="568" w:right="-159" w:hanging="284"/>
        <w:jc w:val="both"/>
        <w:rPr>
          <w:rFonts w:eastAsia="Calibri"/>
          <w:sz w:val="26"/>
          <w:szCs w:val="26"/>
          <w:lang w:val="es-ES" w:eastAsia="en-US"/>
        </w:rPr>
      </w:pPr>
      <w:r w:rsidRPr="000677B6">
        <w:rPr>
          <w:rFonts w:eastAsia="Calibri"/>
          <w:b/>
          <w:sz w:val="26"/>
          <w:szCs w:val="26"/>
          <w:lang w:val="es-ES" w:eastAsia="en-US"/>
        </w:rPr>
        <w:t>Crear mejores incentivos</w:t>
      </w:r>
      <w:r w:rsidRPr="000677B6">
        <w:rPr>
          <w:rFonts w:eastAsia="Calibri"/>
          <w:sz w:val="26"/>
          <w:szCs w:val="26"/>
          <w:lang w:val="es-ES" w:eastAsia="en-US"/>
        </w:rPr>
        <w:t xml:space="preserve"> a través de acciones como la compra de electricidad de fuentes renovables a usuarios de suministro básico de la Comisión Federal de Electricidad (CFE) o establecer mecanismos de mercado como el mercado de carbono para promover límites efectivos a las emisiones y la posibilidad de conseguir financiamiento. Otra opción es incluir criterios sobre eficiencia en el uso de agua, energía y el manejo de residuos en la Ley de Adquisiciones y la Ley de Obra Pública o dar incentivos fiscales a aquellas empresas que inviertan en tecnologías limpias. De acuerdo con la OCDE</w:t>
      </w:r>
      <w:r w:rsidR="00C676DA">
        <w:rPr>
          <w:rFonts w:eastAsia="Calibri"/>
          <w:sz w:val="26"/>
          <w:szCs w:val="26"/>
          <w:lang w:val="es-ES" w:eastAsia="en-US"/>
        </w:rPr>
        <w:t>,</w:t>
      </w:r>
      <w:r w:rsidRPr="000677B6">
        <w:rPr>
          <w:rFonts w:eastAsia="Calibri"/>
          <w:sz w:val="26"/>
          <w:szCs w:val="26"/>
          <w:lang w:val="es-ES" w:eastAsia="en-US"/>
        </w:rPr>
        <w:t xml:space="preserve"> el condonar el Impuesto al Valor Agregado (IVA) a inversiones ambientales en el sector manufacturero colombiano tuvo un impacto significativo en la reducción de la contaminación del aire y del agua en el país</w:t>
      </w:r>
      <w:r w:rsidRPr="000677B6">
        <w:rPr>
          <w:rFonts w:eastAsia="Calibri"/>
          <w:sz w:val="26"/>
          <w:szCs w:val="26"/>
          <w:vertAlign w:val="superscript"/>
          <w:lang w:val="es-ES" w:eastAsia="en-US"/>
        </w:rPr>
        <w:footnoteReference w:id="72"/>
      </w:r>
      <w:r w:rsidRPr="000677B6">
        <w:rPr>
          <w:rFonts w:eastAsia="Calibri"/>
          <w:sz w:val="26"/>
          <w:szCs w:val="26"/>
          <w:lang w:val="es-ES" w:eastAsia="en-US"/>
        </w:rPr>
        <w:t>.</w:t>
      </w:r>
    </w:p>
    <w:p w14:paraId="75164CA3" w14:textId="77777777" w:rsidR="000677B6" w:rsidRPr="000677B6" w:rsidRDefault="000677B6" w:rsidP="00276F3E">
      <w:pPr>
        <w:numPr>
          <w:ilvl w:val="0"/>
          <w:numId w:val="69"/>
        </w:numPr>
        <w:spacing w:after="360" w:line="360" w:lineRule="auto"/>
        <w:ind w:left="568" w:right="-159" w:hanging="284"/>
        <w:jc w:val="both"/>
        <w:rPr>
          <w:rFonts w:eastAsia="Calibri"/>
          <w:sz w:val="26"/>
          <w:szCs w:val="26"/>
          <w:lang w:val="es-ES" w:eastAsia="en-US"/>
        </w:rPr>
      </w:pPr>
      <w:r w:rsidRPr="000677B6">
        <w:rPr>
          <w:rFonts w:eastAsia="Calibri"/>
          <w:b/>
          <w:sz w:val="26"/>
          <w:szCs w:val="26"/>
          <w:lang w:val="es-ES" w:eastAsia="en-US"/>
        </w:rPr>
        <w:lastRenderedPageBreak/>
        <w:t>Reducir el costo de transacción para los emprendedores</w:t>
      </w:r>
      <w:r w:rsidRPr="000677B6">
        <w:rPr>
          <w:rFonts w:eastAsia="Calibri"/>
          <w:sz w:val="26"/>
          <w:szCs w:val="26"/>
          <w:lang w:val="es-ES" w:eastAsia="en-US"/>
        </w:rPr>
        <w:t xml:space="preserve"> al proveerles información oportuna y facilitar su integración con el resto de la industria. En este sentido se puede crear un clúster de cleantech donde el gobierno contribuye con inversiones en bienes públicos (capacitación e infraestructura). En paralelo, INADEM podría fortalecer la Red de Apoyo al Emprendedor incluyendo simplificación de trámites y facilitar información del sector privado y academia</w:t>
      </w:r>
      <w:r w:rsidRPr="000677B6">
        <w:rPr>
          <w:rFonts w:eastAsia="Calibri"/>
          <w:sz w:val="26"/>
          <w:szCs w:val="26"/>
          <w:vertAlign w:val="superscript"/>
          <w:lang w:val="es-ES" w:eastAsia="en-US"/>
        </w:rPr>
        <w:footnoteReference w:id="73"/>
      </w:r>
      <w:r w:rsidRPr="000677B6">
        <w:rPr>
          <w:rFonts w:eastAsia="Calibri"/>
          <w:sz w:val="26"/>
          <w:szCs w:val="26"/>
          <w:lang w:val="es-ES" w:eastAsia="en-US"/>
        </w:rPr>
        <w:t>.</w:t>
      </w:r>
    </w:p>
    <w:p w14:paraId="7386FD5A" w14:textId="77777777" w:rsidR="000677B6" w:rsidRPr="000677B6" w:rsidRDefault="000677B6" w:rsidP="000677B6">
      <w:pPr>
        <w:spacing w:after="360" w:line="360" w:lineRule="auto"/>
        <w:ind w:right="-159"/>
        <w:jc w:val="both"/>
        <w:rPr>
          <w:rFonts w:eastAsia="Calibri"/>
          <w:b/>
          <w:sz w:val="26"/>
          <w:szCs w:val="26"/>
          <w:lang w:val="es-ES" w:eastAsia="en-US"/>
        </w:rPr>
      </w:pPr>
      <w:r w:rsidRPr="000677B6">
        <w:rPr>
          <w:rFonts w:eastAsia="Calibri"/>
          <w:b/>
          <w:sz w:val="26"/>
          <w:szCs w:val="26"/>
          <w:lang w:val="es-ES" w:eastAsia="en-US"/>
        </w:rPr>
        <w:t>3. Asegurar que la reforma energética genere inversión en energías limpias</w:t>
      </w:r>
    </w:p>
    <w:p w14:paraId="1CB25484"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Los principales instrumentos de la reforma para detonar inversiones en tecnologías limpias dependerán de la efectividad de instrumentos como los CELs y la posibilidad de incentivar mayor inversión en generación distribuida (electricidad que se genera en pequeña escala en el lugar en donde se consume). En este sentido se recomienda:</w:t>
      </w:r>
    </w:p>
    <w:p w14:paraId="0061184F" w14:textId="77777777" w:rsidR="000677B6" w:rsidRPr="000677B6" w:rsidRDefault="000677B6" w:rsidP="00276F3E">
      <w:pPr>
        <w:numPr>
          <w:ilvl w:val="0"/>
          <w:numId w:val="68"/>
        </w:numPr>
        <w:spacing w:after="360" w:line="360" w:lineRule="auto"/>
        <w:ind w:left="568" w:right="-159" w:hanging="284"/>
        <w:jc w:val="both"/>
        <w:rPr>
          <w:rFonts w:eastAsia="Calibri"/>
          <w:sz w:val="26"/>
          <w:szCs w:val="26"/>
          <w:lang w:val="es-ES" w:eastAsia="en-US"/>
        </w:rPr>
      </w:pPr>
      <w:r w:rsidRPr="000677B6">
        <w:rPr>
          <w:rFonts w:eastAsia="Calibri"/>
          <w:b/>
          <w:sz w:val="26"/>
          <w:szCs w:val="26"/>
          <w:lang w:val="es-ES" w:eastAsia="en-US"/>
        </w:rPr>
        <w:t>Asegurar certidumbre a inversionistas de energías limpias a través de los CELs</w:t>
      </w:r>
      <w:r w:rsidRPr="000677B6">
        <w:rPr>
          <w:rFonts w:eastAsia="Calibri"/>
          <w:sz w:val="26"/>
          <w:szCs w:val="26"/>
          <w:lang w:val="es-ES" w:eastAsia="en-US"/>
        </w:rPr>
        <w:t>. Facilitar todos los trámites de los CELs a través de un registro ágil, de fácil acceso y uso en línea que concentre toda la información de cada certificado en el mercado, similar al que estableció California. La idea es que se pueda realizar todo el proceso de registro, solicitudes, envío de formatos y su seguimiento en línea. Implementar un mecanismo de revisión periódico e independiente de expertos que sea público (caso de Inglaterra y Australia) y que asegure el cumplimiento de metas de generación de energía limpia y la seguridad de instalaciones para pequeños generadores.</w:t>
      </w:r>
    </w:p>
    <w:p w14:paraId="27EE45B3" w14:textId="4FAFD05E" w:rsidR="000677B6" w:rsidRPr="000677B6" w:rsidRDefault="000677B6" w:rsidP="00276F3E">
      <w:pPr>
        <w:numPr>
          <w:ilvl w:val="0"/>
          <w:numId w:val="68"/>
        </w:numPr>
        <w:spacing w:after="360" w:line="360" w:lineRule="auto"/>
        <w:ind w:left="568" w:right="-159" w:hanging="284"/>
        <w:jc w:val="both"/>
        <w:rPr>
          <w:rFonts w:eastAsia="Calibri"/>
          <w:sz w:val="26"/>
          <w:szCs w:val="26"/>
          <w:lang w:val="es-ES" w:eastAsia="en-US"/>
        </w:rPr>
      </w:pPr>
      <w:r w:rsidRPr="000677B6">
        <w:rPr>
          <w:rFonts w:eastAsia="Calibri"/>
          <w:b/>
          <w:sz w:val="26"/>
          <w:szCs w:val="26"/>
          <w:lang w:val="es-ES" w:eastAsia="en-US"/>
        </w:rPr>
        <w:t>Promover inversiones en generación distribuida</w:t>
      </w:r>
      <w:r w:rsidRPr="000677B6">
        <w:rPr>
          <w:rFonts w:eastAsia="Calibri"/>
          <w:sz w:val="26"/>
          <w:szCs w:val="26"/>
          <w:lang w:val="es-ES" w:eastAsia="en-US"/>
        </w:rPr>
        <w:t xml:space="preserve"> a través de la creación dentro del mecanismo de CELs de un porcentaje mínimo (ajustable anualmente) para la adquisición de CELs enfocados a tecnologías de Pequeña Escala (CELPEs) con el objetivo de promover el desarrollo de instalaciones de energías renovables </w:t>
      </w:r>
      <w:r w:rsidRPr="000677B6">
        <w:rPr>
          <w:rFonts w:eastAsia="Calibri"/>
          <w:sz w:val="26"/>
          <w:szCs w:val="26"/>
          <w:lang w:val="es-ES" w:eastAsia="en-US"/>
        </w:rPr>
        <w:lastRenderedPageBreak/>
        <w:t xml:space="preserve">menores a 10kW de capacidad instalada para usuarios residenciales y comerciales. Al igual que los CELs, </w:t>
      </w:r>
      <w:r w:rsidR="00C676DA">
        <w:rPr>
          <w:rFonts w:eastAsia="Calibri"/>
          <w:sz w:val="26"/>
          <w:szCs w:val="26"/>
          <w:lang w:val="es-ES" w:eastAsia="en-US"/>
        </w:rPr>
        <w:t>é</w:t>
      </w:r>
      <w:r w:rsidRPr="000677B6">
        <w:rPr>
          <w:rFonts w:eastAsia="Calibri"/>
          <w:sz w:val="26"/>
          <w:szCs w:val="26"/>
          <w:lang w:val="es-ES" w:eastAsia="en-US"/>
        </w:rPr>
        <w:t>stos se basarían en la generación equivalente de MWh pero incluirían un pago anticipado en el primer año por el valor de los CELPEs durante una parte de la vida útil esperada de la tecnología para facilitar su financiamiento de las tecnologías. En Australia este programa ha contribuido a que proyectos interconectados menores a 5 kilowatts (kW) contribuyan con 2% de la generación de energía eléctrica con más de 3 mil mega watts (MW) instalados. Adicionalmente, se puede promover la generación distribuida mediante la creación de tarifas diferenciadas por hora, implementar contratos simples para que micro y pequeños generadores puedan vender electricidad excedente a la red (caso de Alemania) y regular a través de normas técnicas obligatorias (Norma Oficial Mexicana, NOM) la construcción, operación y mantenimiento de generación distribuida, así como de redes inteligentes. Por otro lado, se deberán establecer criterios simples y transparentes para conocer los costos de interconexión y los requerimientos técnicos para instalar transformadores para vender electricidad a la red y mantener el voltaje.</w:t>
      </w:r>
    </w:p>
    <w:p w14:paraId="7AF4A3F0" w14:textId="77777777" w:rsidR="000677B6" w:rsidRPr="000677B6" w:rsidRDefault="000677B6" w:rsidP="00276F3E">
      <w:pPr>
        <w:numPr>
          <w:ilvl w:val="0"/>
          <w:numId w:val="68"/>
        </w:numPr>
        <w:spacing w:after="360" w:line="360" w:lineRule="auto"/>
        <w:ind w:left="568" w:right="-159" w:hanging="284"/>
        <w:jc w:val="both"/>
        <w:rPr>
          <w:rFonts w:eastAsia="Calibri"/>
          <w:sz w:val="26"/>
          <w:szCs w:val="26"/>
          <w:lang w:val="es-ES" w:eastAsia="en-US"/>
        </w:rPr>
      </w:pPr>
      <w:r w:rsidRPr="000677B6">
        <w:rPr>
          <w:rFonts w:eastAsia="Calibri"/>
          <w:b/>
          <w:sz w:val="26"/>
          <w:szCs w:val="26"/>
          <w:lang w:val="es-ES" w:eastAsia="en-US"/>
        </w:rPr>
        <w:t>Asegurar que el cumplimiento de los compromisos de generación de energía limpia en el mercado de certificados sea creíble.</w:t>
      </w:r>
      <w:r w:rsidRPr="000677B6">
        <w:rPr>
          <w:rFonts w:eastAsia="Calibri"/>
          <w:sz w:val="26"/>
          <w:szCs w:val="26"/>
          <w:lang w:val="es-ES" w:eastAsia="en-US"/>
        </w:rPr>
        <w:t xml:space="preserve"> Es decir, que la forma en que se cobre la multa en el caso de incumplimiento sea efectivo para que incentive la viabilidad del mercado independientemente del monto de la multa.</w:t>
      </w:r>
    </w:p>
    <w:p w14:paraId="16423A75" w14:textId="77777777" w:rsidR="000677B6" w:rsidRPr="000677B6" w:rsidRDefault="000677B6" w:rsidP="00276F3E">
      <w:pPr>
        <w:numPr>
          <w:ilvl w:val="0"/>
          <w:numId w:val="68"/>
        </w:numPr>
        <w:spacing w:after="360" w:line="360" w:lineRule="auto"/>
        <w:ind w:left="568" w:right="-159" w:hanging="284"/>
        <w:jc w:val="both"/>
        <w:rPr>
          <w:rFonts w:eastAsia="Calibri"/>
          <w:sz w:val="26"/>
          <w:szCs w:val="26"/>
          <w:lang w:val="es-ES" w:eastAsia="en-US"/>
        </w:rPr>
      </w:pPr>
      <w:r w:rsidRPr="000677B6">
        <w:rPr>
          <w:rFonts w:eastAsia="Calibri"/>
          <w:b/>
          <w:sz w:val="26"/>
          <w:szCs w:val="26"/>
          <w:lang w:val="es-ES" w:eastAsia="en-US"/>
        </w:rPr>
        <w:t>Asignar metas de generación de energía renovable por área de control del sistema eléctrico nacional</w:t>
      </w:r>
      <w:r w:rsidRPr="000677B6">
        <w:rPr>
          <w:rFonts w:eastAsia="Calibri"/>
          <w:sz w:val="26"/>
          <w:szCs w:val="26"/>
          <w:lang w:val="es-ES" w:eastAsia="en-US"/>
        </w:rPr>
        <w:t xml:space="preserve"> para cada una de las nueve áreas de transmisión (a cargo de las áreas de control del Centro Nacional de Control de Energía) del Sistema Eléctrico Nacional. Las metas por región pueden contribuir a fortalecer la capacidad de transmisión existente, mejorar los planes de expansión de infraestructura de transmisión y diversificar la matriz energética. Por ejemplo, mientras que la región Norte y Noreste dependen en más del 95% de combustibles </w:t>
      </w:r>
      <w:r w:rsidRPr="000677B6">
        <w:rPr>
          <w:rFonts w:eastAsia="Calibri"/>
          <w:sz w:val="26"/>
          <w:szCs w:val="26"/>
          <w:lang w:val="es-ES" w:eastAsia="en-US"/>
        </w:rPr>
        <w:lastRenderedPageBreak/>
        <w:t>fósiles para la generación eléctrica, la región Sureste depende casi en su totalidad de hidroeléctrica.</w:t>
      </w:r>
    </w:p>
    <w:p w14:paraId="05C94F2F" w14:textId="77777777" w:rsidR="000677B6" w:rsidRPr="000677B6" w:rsidRDefault="000677B6" w:rsidP="000677B6">
      <w:pPr>
        <w:spacing w:after="360"/>
        <w:ind w:left="567" w:right="-159" w:hanging="567"/>
        <w:jc w:val="both"/>
        <w:rPr>
          <w:rFonts w:eastAsia="Calibri"/>
          <w:b/>
          <w:sz w:val="26"/>
          <w:szCs w:val="26"/>
          <w:lang w:val="es-ES" w:eastAsia="en-US"/>
        </w:rPr>
      </w:pPr>
      <w:r w:rsidRPr="000677B6">
        <w:rPr>
          <w:rFonts w:eastAsia="Calibri"/>
          <w:b/>
          <w:sz w:val="26"/>
          <w:szCs w:val="26"/>
          <w:lang w:val="es-ES" w:eastAsia="en-US"/>
        </w:rPr>
        <w:t>C.2 RECOMENDACIONES PARA AMPLIAR LA OFERTA CLEANTECH NACIONAL</w:t>
      </w:r>
    </w:p>
    <w:p w14:paraId="16EF65CA" w14:textId="77777777" w:rsidR="000677B6" w:rsidRPr="000677B6" w:rsidRDefault="000677B6" w:rsidP="000677B6">
      <w:pPr>
        <w:spacing w:after="360" w:line="360" w:lineRule="auto"/>
        <w:ind w:right="-159"/>
        <w:jc w:val="both"/>
        <w:rPr>
          <w:rFonts w:eastAsia="Calibri"/>
          <w:b/>
          <w:sz w:val="26"/>
          <w:szCs w:val="26"/>
          <w:lang w:val="es-ES" w:eastAsia="en-US"/>
        </w:rPr>
      </w:pPr>
      <w:r w:rsidRPr="000677B6">
        <w:rPr>
          <w:rFonts w:eastAsia="Calibri"/>
          <w:b/>
          <w:sz w:val="26"/>
          <w:szCs w:val="26"/>
          <w:lang w:val="es-ES" w:eastAsia="en-US"/>
        </w:rPr>
        <w:t>4. Fortalecer el sistema de propiedad intelectual</w:t>
      </w:r>
    </w:p>
    <w:p w14:paraId="7920B432" w14:textId="77777777" w:rsidR="000677B6" w:rsidRPr="000677B6" w:rsidRDefault="000677B6" w:rsidP="00276F3E">
      <w:pPr>
        <w:numPr>
          <w:ilvl w:val="0"/>
          <w:numId w:val="67"/>
        </w:numPr>
        <w:spacing w:after="360" w:line="360" w:lineRule="auto"/>
        <w:ind w:left="568" w:right="-159" w:hanging="284"/>
        <w:jc w:val="both"/>
        <w:rPr>
          <w:rFonts w:eastAsia="Calibri"/>
          <w:sz w:val="26"/>
          <w:szCs w:val="26"/>
          <w:lang w:val="es-ES" w:eastAsia="en-US"/>
        </w:rPr>
      </w:pPr>
      <w:r w:rsidRPr="000677B6">
        <w:rPr>
          <w:rFonts w:eastAsia="Calibri"/>
          <w:sz w:val="26"/>
          <w:szCs w:val="26"/>
          <w:lang w:val="es-ES" w:eastAsia="en-US"/>
        </w:rPr>
        <w:t>Crear un Sistema Nacional de Inventores que reconozca a los titulares de patentes individuales.</w:t>
      </w:r>
    </w:p>
    <w:p w14:paraId="76ADDCBE" w14:textId="77777777" w:rsidR="000677B6" w:rsidRPr="000677B6" w:rsidRDefault="000677B6" w:rsidP="00276F3E">
      <w:pPr>
        <w:numPr>
          <w:ilvl w:val="0"/>
          <w:numId w:val="67"/>
        </w:numPr>
        <w:spacing w:after="360" w:line="360" w:lineRule="auto"/>
        <w:ind w:left="568" w:right="-159" w:hanging="284"/>
        <w:jc w:val="both"/>
        <w:rPr>
          <w:rFonts w:eastAsia="Calibri"/>
          <w:sz w:val="26"/>
          <w:szCs w:val="26"/>
          <w:lang w:val="es-ES" w:eastAsia="en-US"/>
        </w:rPr>
      </w:pPr>
      <w:r w:rsidRPr="000677B6">
        <w:rPr>
          <w:rFonts w:eastAsia="Calibri"/>
          <w:sz w:val="26"/>
          <w:szCs w:val="26"/>
          <w:lang w:val="es-ES" w:eastAsia="en-US"/>
        </w:rPr>
        <w:t>Mejorar condiciones jurídicas que protejan la propiedad intelectual de investigadores dentro de los centros públicos de investigación.</w:t>
      </w:r>
    </w:p>
    <w:p w14:paraId="06FA6B86" w14:textId="77777777" w:rsidR="000677B6" w:rsidRPr="000677B6" w:rsidRDefault="000677B6" w:rsidP="00276F3E">
      <w:pPr>
        <w:numPr>
          <w:ilvl w:val="0"/>
          <w:numId w:val="67"/>
        </w:numPr>
        <w:spacing w:after="360" w:line="360" w:lineRule="auto"/>
        <w:ind w:left="568" w:right="-159" w:hanging="284"/>
        <w:jc w:val="both"/>
        <w:rPr>
          <w:rFonts w:eastAsia="Calibri"/>
          <w:sz w:val="26"/>
          <w:szCs w:val="26"/>
          <w:lang w:val="es-ES" w:eastAsia="en-US"/>
        </w:rPr>
      </w:pPr>
      <w:r w:rsidRPr="000677B6">
        <w:rPr>
          <w:rFonts w:eastAsia="Calibri"/>
          <w:sz w:val="26"/>
          <w:szCs w:val="26"/>
          <w:lang w:val="es-ES" w:eastAsia="en-US"/>
        </w:rPr>
        <w:t>Fomentar el registro inicial de patentes de tecnología limpia en mercados relevantes (e.g. Estados Unidos de Norteamérica) e implementar procesos acelerados de revisión de solicitudes de patentes.</w:t>
      </w:r>
    </w:p>
    <w:p w14:paraId="4FFBA8F4" w14:textId="77777777" w:rsidR="000677B6" w:rsidRPr="000677B6" w:rsidRDefault="000677B6" w:rsidP="000677B6">
      <w:pPr>
        <w:spacing w:after="360" w:line="360" w:lineRule="auto"/>
        <w:ind w:right="-159"/>
        <w:jc w:val="both"/>
        <w:rPr>
          <w:rFonts w:eastAsia="Calibri"/>
          <w:b/>
          <w:sz w:val="26"/>
          <w:szCs w:val="26"/>
          <w:lang w:val="es-ES" w:eastAsia="en-US"/>
        </w:rPr>
      </w:pPr>
      <w:r w:rsidRPr="000677B6">
        <w:rPr>
          <w:rFonts w:eastAsia="Calibri"/>
          <w:b/>
          <w:sz w:val="26"/>
          <w:szCs w:val="26"/>
          <w:lang w:val="es-ES" w:eastAsia="en-US"/>
        </w:rPr>
        <w:t>5. Modificar la inversión pública en innovación y escalamiento cleantech</w:t>
      </w:r>
    </w:p>
    <w:p w14:paraId="048D781A" w14:textId="77777777" w:rsidR="000677B6" w:rsidRPr="000677B6" w:rsidRDefault="000677B6" w:rsidP="00276F3E">
      <w:pPr>
        <w:numPr>
          <w:ilvl w:val="0"/>
          <w:numId w:val="71"/>
        </w:numPr>
        <w:spacing w:after="360" w:line="360" w:lineRule="auto"/>
        <w:ind w:left="568" w:right="-159" w:hanging="284"/>
        <w:jc w:val="both"/>
        <w:rPr>
          <w:rFonts w:eastAsia="Calibri"/>
          <w:sz w:val="26"/>
          <w:szCs w:val="26"/>
          <w:lang w:val="es-ES" w:eastAsia="en-US"/>
        </w:rPr>
      </w:pPr>
      <w:r w:rsidRPr="000677B6">
        <w:rPr>
          <w:rFonts w:eastAsia="Calibri"/>
          <w:b/>
          <w:sz w:val="26"/>
          <w:szCs w:val="26"/>
          <w:lang w:val="es-ES" w:eastAsia="en-US"/>
        </w:rPr>
        <w:t>Definir esquemas de licenciamiento</w:t>
      </w:r>
      <w:r w:rsidRPr="000677B6">
        <w:rPr>
          <w:rFonts w:eastAsia="Calibri"/>
          <w:sz w:val="26"/>
          <w:szCs w:val="26"/>
          <w:lang w:val="es-ES" w:eastAsia="en-US"/>
        </w:rPr>
        <w:t xml:space="preserve"> que resulten en beneficios económicos para investigadores de centros de investigación e instituciones de educación superior, principalmente pública.</w:t>
      </w:r>
    </w:p>
    <w:p w14:paraId="424540A8" w14:textId="77777777" w:rsidR="000677B6" w:rsidRPr="000677B6" w:rsidRDefault="000677B6" w:rsidP="00276F3E">
      <w:pPr>
        <w:numPr>
          <w:ilvl w:val="0"/>
          <w:numId w:val="71"/>
        </w:numPr>
        <w:spacing w:after="360" w:line="360" w:lineRule="auto"/>
        <w:ind w:left="568" w:right="-159" w:hanging="284"/>
        <w:jc w:val="both"/>
        <w:rPr>
          <w:rFonts w:eastAsia="Calibri"/>
          <w:sz w:val="26"/>
          <w:szCs w:val="26"/>
          <w:lang w:val="es-ES" w:eastAsia="en-US"/>
        </w:rPr>
      </w:pPr>
      <w:r w:rsidRPr="000677B6">
        <w:rPr>
          <w:rFonts w:eastAsia="Calibri"/>
          <w:b/>
          <w:sz w:val="26"/>
          <w:szCs w:val="26"/>
          <w:lang w:val="es-ES" w:eastAsia="en-US"/>
        </w:rPr>
        <w:t>Incentivar el componente aplicativo y lucrativo en la investigación académica</w:t>
      </w:r>
      <w:r w:rsidRPr="000677B6">
        <w:rPr>
          <w:rFonts w:eastAsia="Calibri"/>
          <w:sz w:val="26"/>
          <w:szCs w:val="26"/>
          <w:lang w:val="es-ES" w:eastAsia="en-US"/>
        </w:rPr>
        <w:t xml:space="preserve"> e incentivar la conversión de más proyectos de investigación en productos o servicios para el mercado. Para esto se requiere modificar los incentivos del Sistema Nacional de Investigadores para que éstos no dependan únicamente de publicaciones, sino que también consideren patentes registradas y produciendo.</w:t>
      </w:r>
    </w:p>
    <w:p w14:paraId="75CE443F" w14:textId="77777777" w:rsidR="000677B6" w:rsidRPr="000677B6" w:rsidRDefault="000677B6" w:rsidP="00276F3E">
      <w:pPr>
        <w:numPr>
          <w:ilvl w:val="0"/>
          <w:numId w:val="71"/>
        </w:numPr>
        <w:spacing w:after="360" w:line="360" w:lineRule="auto"/>
        <w:ind w:left="568" w:right="-159" w:hanging="284"/>
        <w:jc w:val="both"/>
        <w:rPr>
          <w:rFonts w:eastAsia="Calibri"/>
          <w:sz w:val="26"/>
          <w:szCs w:val="26"/>
          <w:lang w:val="es-ES" w:eastAsia="en-US"/>
        </w:rPr>
      </w:pPr>
      <w:r w:rsidRPr="000677B6">
        <w:rPr>
          <w:rFonts w:eastAsia="Calibri"/>
          <w:b/>
          <w:sz w:val="26"/>
          <w:szCs w:val="26"/>
          <w:lang w:val="es-ES" w:eastAsia="en-US"/>
        </w:rPr>
        <w:lastRenderedPageBreak/>
        <w:t>Incorporar de manera explícita categorías para cleantech</w:t>
      </w:r>
      <w:r w:rsidRPr="000677B6">
        <w:rPr>
          <w:rFonts w:eastAsia="Calibri"/>
          <w:sz w:val="26"/>
          <w:szCs w:val="26"/>
          <w:lang w:val="es-ES" w:eastAsia="en-US"/>
        </w:rPr>
        <w:t xml:space="preserve"> dentro de los programas de fomento a la innovación (e.g. Fondo de Innovación Tecnológica (FIT), Programa de Estímulos a la Innovación (PEI)) y escalamiento (e.g. convocatorias del INADEM).</w:t>
      </w:r>
    </w:p>
    <w:p w14:paraId="051D0F37" w14:textId="77777777" w:rsidR="000677B6" w:rsidRPr="000677B6" w:rsidRDefault="000677B6" w:rsidP="00276F3E">
      <w:pPr>
        <w:numPr>
          <w:ilvl w:val="0"/>
          <w:numId w:val="71"/>
        </w:numPr>
        <w:spacing w:after="360" w:line="360" w:lineRule="auto"/>
        <w:ind w:left="568" w:right="-159" w:hanging="284"/>
        <w:jc w:val="both"/>
        <w:rPr>
          <w:rFonts w:eastAsia="Calibri"/>
          <w:sz w:val="26"/>
          <w:szCs w:val="26"/>
          <w:lang w:val="es-ES" w:eastAsia="en-US"/>
        </w:rPr>
      </w:pPr>
      <w:r w:rsidRPr="000677B6">
        <w:rPr>
          <w:rFonts w:eastAsia="Calibri"/>
          <w:b/>
          <w:sz w:val="26"/>
          <w:szCs w:val="26"/>
          <w:lang w:val="es-ES" w:eastAsia="en-US"/>
        </w:rPr>
        <w:t>Modificar la estrategia de gasto en I+D para que no esté condicionada a la contratación de investigadores</w:t>
      </w:r>
      <w:r w:rsidRPr="000677B6">
        <w:rPr>
          <w:rFonts w:eastAsia="Calibri"/>
          <w:sz w:val="26"/>
          <w:szCs w:val="26"/>
          <w:lang w:val="es-ES" w:eastAsia="en-US"/>
        </w:rPr>
        <w:t xml:space="preserve"> de centros de investigación públicos. Por otro lado, se recomienda abrir parte de los fondos de investigación pública a la competencia e innovación abierta para productos específicos de investigación en áreas estratégicas.</w:t>
      </w:r>
    </w:p>
    <w:p w14:paraId="46DD5ADE" w14:textId="77777777" w:rsidR="000677B6" w:rsidRPr="000677B6" w:rsidRDefault="000677B6" w:rsidP="00276F3E">
      <w:pPr>
        <w:numPr>
          <w:ilvl w:val="0"/>
          <w:numId w:val="71"/>
        </w:numPr>
        <w:spacing w:after="360" w:line="360" w:lineRule="auto"/>
        <w:ind w:left="568" w:right="-159" w:hanging="284"/>
        <w:jc w:val="both"/>
        <w:rPr>
          <w:rFonts w:eastAsia="Calibri"/>
          <w:sz w:val="26"/>
          <w:szCs w:val="26"/>
          <w:lang w:val="es-ES" w:eastAsia="en-US"/>
        </w:rPr>
      </w:pPr>
      <w:r w:rsidRPr="000677B6">
        <w:rPr>
          <w:rFonts w:eastAsia="Calibri"/>
          <w:b/>
          <w:sz w:val="26"/>
          <w:szCs w:val="26"/>
          <w:lang w:val="es-ES" w:eastAsia="en-US"/>
        </w:rPr>
        <w:t>Condicionar financiamiento público en una segunda fase al cumplimiento de metas de eficiencia ambiental.</w:t>
      </w:r>
      <w:r w:rsidRPr="000677B6">
        <w:rPr>
          <w:rFonts w:eastAsia="Calibri"/>
          <w:sz w:val="26"/>
          <w:szCs w:val="26"/>
          <w:lang w:val="es-ES" w:eastAsia="en-US"/>
        </w:rPr>
        <w:t xml:space="preserve"> Por ejemplo, en eficiencia en agua en la agricultura se podría establecer una meta de reducir 25% el consumo de agua por dólar producido, además de metas basadas en resultados financieros como condición para acceder a nuevos financiamientos.</w:t>
      </w:r>
    </w:p>
    <w:p w14:paraId="34F3BEBB" w14:textId="77777777" w:rsidR="000677B6" w:rsidRPr="000677B6" w:rsidRDefault="000677B6" w:rsidP="000677B6">
      <w:pPr>
        <w:spacing w:after="360" w:line="360" w:lineRule="auto"/>
        <w:ind w:right="-159"/>
        <w:jc w:val="both"/>
        <w:rPr>
          <w:rFonts w:eastAsia="Calibri"/>
          <w:b/>
          <w:sz w:val="26"/>
          <w:szCs w:val="26"/>
          <w:lang w:val="es-ES" w:eastAsia="en-US"/>
        </w:rPr>
      </w:pPr>
      <w:r w:rsidRPr="000677B6">
        <w:rPr>
          <w:rFonts w:eastAsia="Calibri"/>
          <w:b/>
          <w:sz w:val="26"/>
          <w:szCs w:val="26"/>
          <w:lang w:val="es-ES" w:eastAsia="en-US"/>
        </w:rPr>
        <w:t>6. Fomentar mayor vinculación entre la academia y la industria</w:t>
      </w:r>
    </w:p>
    <w:p w14:paraId="05E8DBBC" w14:textId="77777777" w:rsidR="000677B6" w:rsidRPr="000677B6" w:rsidRDefault="000677B6" w:rsidP="00276F3E">
      <w:pPr>
        <w:numPr>
          <w:ilvl w:val="0"/>
          <w:numId w:val="72"/>
        </w:numPr>
        <w:spacing w:after="360" w:line="360" w:lineRule="auto"/>
        <w:ind w:left="568" w:right="-159" w:hanging="284"/>
        <w:jc w:val="both"/>
        <w:rPr>
          <w:rFonts w:eastAsia="Calibri"/>
          <w:sz w:val="26"/>
          <w:szCs w:val="26"/>
          <w:lang w:val="es-ES" w:eastAsia="en-US"/>
        </w:rPr>
      </w:pPr>
      <w:r w:rsidRPr="000677B6">
        <w:rPr>
          <w:rFonts w:eastAsia="Calibri"/>
          <w:b/>
          <w:sz w:val="26"/>
          <w:szCs w:val="26"/>
          <w:lang w:val="es-ES" w:eastAsia="en-US"/>
        </w:rPr>
        <w:t>Crear más programas de estancias para estudiantes universitarios</w:t>
      </w:r>
      <w:r w:rsidRPr="000677B6">
        <w:rPr>
          <w:rFonts w:eastAsia="Calibri"/>
          <w:sz w:val="26"/>
          <w:szCs w:val="26"/>
          <w:lang w:val="es-ES" w:eastAsia="en-US"/>
        </w:rPr>
        <w:t xml:space="preserve"> y de incubación con multinacionales.</w:t>
      </w:r>
    </w:p>
    <w:p w14:paraId="51427FEE" w14:textId="77777777" w:rsidR="000677B6" w:rsidRPr="000677B6" w:rsidRDefault="000677B6" w:rsidP="00276F3E">
      <w:pPr>
        <w:numPr>
          <w:ilvl w:val="0"/>
          <w:numId w:val="72"/>
        </w:numPr>
        <w:spacing w:after="360" w:line="360" w:lineRule="auto"/>
        <w:ind w:left="568" w:right="-159" w:hanging="284"/>
        <w:jc w:val="both"/>
        <w:rPr>
          <w:rFonts w:eastAsia="Calibri"/>
          <w:sz w:val="26"/>
          <w:szCs w:val="26"/>
          <w:lang w:val="es-ES" w:eastAsia="en-US"/>
        </w:rPr>
      </w:pPr>
      <w:r w:rsidRPr="000677B6">
        <w:rPr>
          <w:rFonts w:eastAsia="Calibri"/>
          <w:b/>
          <w:sz w:val="26"/>
          <w:szCs w:val="26"/>
          <w:lang w:val="es-ES" w:eastAsia="en-US"/>
        </w:rPr>
        <w:t>Definir programas doctorales de vinculación práctica</w:t>
      </w:r>
      <w:r w:rsidRPr="000677B6">
        <w:rPr>
          <w:rFonts w:eastAsia="Calibri"/>
          <w:sz w:val="26"/>
          <w:szCs w:val="26"/>
          <w:lang w:val="es-ES" w:eastAsia="en-US"/>
        </w:rPr>
        <w:t xml:space="preserve"> (i.e. académica-industria, similar al modelo inglés de doctorados prácticos) enfocados en el desarrollo de profesionales especializados en industria.</w:t>
      </w:r>
    </w:p>
    <w:p w14:paraId="7F32B5FB" w14:textId="77777777" w:rsidR="000677B6" w:rsidRPr="000677B6" w:rsidRDefault="000677B6" w:rsidP="00276F3E">
      <w:pPr>
        <w:numPr>
          <w:ilvl w:val="0"/>
          <w:numId w:val="72"/>
        </w:numPr>
        <w:spacing w:after="360" w:line="360" w:lineRule="auto"/>
        <w:ind w:left="568" w:right="-159" w:hanging="284"/>
        <w:jc w:val="both"/>
        <w:rPr>
          <w:rFonts w:eastAsia="Calibri"/>
          <w:sz w:val="26"/>
          <w:szCs w:val="26"/>
          <w:lang w:val="es-ES" w:eastAsia="en-US"/>
        </w:rPr>
      </w:pPr>
      <w:r w:rsidRPr="000677B6">
        <w:rPr>
          <w:rFonts w:eastAsia="Calibri"/>
          <w:b/>
          <w:sz w:val="26"/>
          <w:szCs w:val="26"/>
          <w:lang w:val="es-ES" w:eastAsia="en-US"/>
        </w:rPr>
        <w:t>Ofrecer programas de mentorías a emprendedores</w:t>
      </w:r>
      <w:r w:rsidRPr="000677B6">
        <w:rPr>
          <w:rFonts w:eastAsia="Calibri"/>
          <w:sz w:val="26"/>
          <w:szCs w:val="26"/>
          <w:lang w:val="es-ES" w:eastAsia="en-US"/>
        </w:rPr>
        <w:t xml:space="preserve"> que incluyan capacitación financiera, administrativa y fiscal.</w:t>
      </w:r>
    </w:p>
    <w:p w14:paraId="4866BD42" w14:textId="77777777" w:rsidR="00A94DD6" w:rsidRDefault="00A94DD6" w:rsidP="000677B6">
      <w:pPr>
        <w:spacing w:after="360" w:line="360" w:lineRule="auto"/>
        <w:ind w:right="-159"/>
        <w:jc w:val="both"/>
        <w:rPr>
          <w:rFonts w:eastAsia="Calibri"/>
          <w:b/>
          <w:sz w:val="26"/>
          <w:szCs w:val="26"/>
          <w:lang w:val="es-ES" w:eastAsia="en-US"/>
        </w:rPr>
      </w:pPr>
    </w:p>
    <w:p w14:paraId="577C6D4C" w14:textId="77777777" w:rsidR="000677B6" w:rsidRPr="000677B6" w:rsidRDefault="000677B6" w:rsidP="000677B6">
      <w:pPr>
        <w:spacing w:after="360" w:line="360" w:lineRule="auto"/>
        <w:ind w:right="-159"/>
        <w:jc w:val="both"/>
        <w:rPr>
          <w:rFonts w:eastAsia="Calibri"/>
          <w:b/>
          <w:sz w:val="26"/>
          <w:szCs w:val="26"/>
          <w:lang w:val="es-ES" w:eastAsia="en-US"/>
        </w:rPr>
      </w:pPr>
      <w:r w:rsidRPr="000677B6">
        <w:rPr>
          <w:rFonts w:eastAsia="Calibri"/>
          <w:b/>
          <w:sz w:val="26"/>
          <w:szCs w:val="26"/>
          <w:lang w:val="es-ES" w:eastAsia="en-US"/>
        </w:rPr>
        <w:lastRenderedPageBreak/>
        <w:t xml:space="preserve">7. Crear una oferta de capital humano </w:t>
      </w:r>
      <w:r w:rsidRPr="000677B6">
        <w:rPr>
          <w:rFonts w:eastAsia="Calibri"/>
          <w:b/>
          <w:i/>
          <w:sz w:val="26"/>
          <w:szCs w:val="26"/>
          <w:lang w:val="es-ES" w:eastAsia="en-US"/>
        </w:rPr>
        <w:t>ad hoc</w:t>
      </w:r>
    </w:p>
    <w:p w14:paraId="5B79D40D" w14:textId="77777777" w:rsidR="000677B6" w:rsidRPr="000677B6" w:rsidRDefault="000677B6" w:rsidP="00276F3E">
      <w:pPr>
        <w:numPr>
          <w:ilvl w:val="0"/>
          <w:numId w:val="73"/>
        </w:numPr>
        <w:spacing w:after="360" w:line="360" w:lineRule="auto"/>
        <w:ind w:left="568" w:right="-159" w:hanging="284"/>
        <w:jc w:val="both"/>
        <w:rPr>
          <w:rFonts w:eastAsia="Calibri"/>
          <w:sz w:val="26"/>
          <w:szCs w:val="26"/>
          <w:lang w:val="es-ES" w:eastAsia="en-US"/>
        </w:rPr>
      </w:pPr>
      <w:r w:rsidRPr="000677B6">
        <w:rPr>
          <w:rFonts w:eastAsia="Calibri"/>
          <w:b/>
          <w:sz w:val="26"/>
          <w:szCs w:val="26"/>
          <w:lang w:val="es-ES" w:eastAsia="en-US"/>
        </w:rPr>
        <w:t>Analizar capacidades existentes en el sector cleantech</w:t>
      </w:r>
      <w:r w:rsidRPr="000677B6">
        <w:rPr>
          <w:rFonts w:eastAsia="Calibri"/>
          <w:sz w:val="26"/>
          <w:szCs w:val="26"/>
          <w:lang w:val="es-ES" w:eastAsia="en-US"/>
        </w:rPr>
        <w:t xml:space="preserve"> y las soluciones requeridas por el sector privado para reorientar oferta académica y fomentar programas de certificación y actualización para profesionistas y técnicos.</w:t>
      </w:r>
    </w:p>
    <w:p w14:paraId="6BC8CF96" w14:textId="77777777" w:rsidR="000677B6" w:rsidRPr="000677B6" w:rsidRDefault="000677B6" w:rsidP="00276F3E">
      <w:pPr>
        <w:numPr>
          <w:ilvl w:val="0"/>
          <w:numId w:val="73"/>
        </w:numPr>
        <w:spacing w:after="360" w:line="360" w:lineRule="auto"/>
        <w:ind w:left="568" w:right="-159" w:hanging="284"/>
        <w:jc w:val="both"/>
        <w:rPr>
          <w:rFonts w:eastAsia="Calibri"/>
          <w:sz w:val="26"/>
          <w:szCs w:val="26"/>
          <w:lang w:val="es-ES" w:eastAsia="en-US"/>
        </w:rPr>
      </w:pPr>
      <w:r w:rsidRPr="000677B6">
        <w:rPr>
          <w:rFonts w:eastAsia="Calibri"/>
          <w:b/>
          <w:sz w:val="26"/>
          <w:szCs w:val="26"/>
          <w:lang w:val="es-ES" w:eastAsia="en-US"/>
        </w:rPr>
        <w:t>Fortalecer programas de educación superior</w:t>
      </w:r>
      <w:r w:rsidRPr="000677B6">
        <w:rPr>
          <w:rFonts w:eastAsia="Calibri"/>
          <w:sz w:val="26"/>
          <w:szCs w:val="26"/>
          <w:lang w:val="es-ES" w:eastAsia="en-US"/>
        </w:rPr>
        <w:t xml:space="preserve"> y ampliar el currículum optativo existente para incorporar elementos técnicos, financieros, sociales y ambientales de alta especialización.</w:t>
      </w:r>
    </w:p>
    <w:p w14:paraId="11D097AB" w14:textId="77777777" w:rsidR="000677B6" w:rsidRPr="000677B6" w:rsidRDefault="000677B6" w:rsidP="00276F3E">
      <w:pPr>
        <w:numPr>
          <w:ilvl w:val="0"/>
          <w:numId w:val="73"/>
        </w:numPr>
        <w:spacing w:after="360" w:line="360" w:lineRule="auto"/>
        <w:ind w:left="568" w:right="-159" w:hanging="284"/>
        <w:jc w:val="both"/>
        <w:rPr>
          <w:rFonts w:eastAsia="Calibri"/>
          <w:sz w:val="26"/>
          <w:szCs w:val="26"/>
          <w:lang w:val="es-ES" w:eastAsia="en-US"/>
        </w:rPr>
      </w:pPr>
      <w:r w:rsidRPr="000677B6">
        <w:rPr>
          <w:rFonts w:eastAsia="Calibri"/>
          <w:b/>
          <w:sz w:val="26"/>
          <w:szCs w:val="26"/>
          <w:lang w:val="es-ES" w:eastAsia="en-US"/>
        </w:rPr>
        <w:t>Desarrollar programas de especialización técnica</w:t>
      </w:r>
      <w:r w:rsidRPr="000677B6">
        <w:rPr>
          <w:rFonts w:eastAsia="Calibri"/>
          <w:sz w:val="26"/>
          <w:szCs w:val="26"/>
          <w:lang w:val="es-ES" w:eastAsia="en-US"/>
        </w:rPr>
        <w:t xml:space="preserve"> (tomando como ejemplo los modelos de “community college” en Estados Unidos de Norteamérica o de formación dual técnica de Alemania) para satisfacer las necesidades de capital humano de la industria de tecnología limpia.</w:t>
      </w:r>
    </w:p>
    <w:p w14:paraId="0A573D70" w14:textId="77777777" w:rsidR="000677B6" w:rsidRPr="000677B6" w:rsidRDefault="000677B6" w:rsidP="000677B6">
      <w:pPr>
        <w:spacing w:after="360" w:line="360" w:lineRule="auto"/>
        <w:ind w:right="-159"/>
        <w:jc w:val="both"/>
        <w:rPr>
          <w:rFonts w:eastAsia="Calibri"/>
          <w:b/>
          <w:sz w:val="26"/>
          <w:szCs w:val="26"/>
          <w:lang w:val="es-ES" w:eastAsia="en-US"/>
        </w:rPr>
      </w:pPr>
      <w:r w:rsidRPr="000677B6">
        <w:rPr>
          <w:rFonts w:eastAsia="Calibri"/>
          <w:b/>
          <w:sz w:val="26"/>
          <w:szCs w:val="26"/>
          <w:lang w:val="es-ES" w:eastAsia="en-US"/>
        </w:rPr>
        <w:t>8. Mejorar esquemas de financiamiento para cleantech</w:t>
      </w:r>
    </w:p>
    <w:p w14:paraId="4FDC9BA6" w14:textId="77777777" w:rsidR="000677B6" w:rsidRPr="000677B6" w:rsidRDefault="000677B6" w:rsidP="00276F3E">
      <w:pPr>
        <w:numPr>
          <w:ilvl w:val="0"/>
          <w:numId w:val="74"/>
        </w:numPr>
        <w:spacing w:after="360" w:line="360" w:lineRule="auto"/>
        <w:ind w:left="568" w:right="-159" w:hanging="284"/>
        <w:jc w:val="both"/>
        <w:rPr>
          <w:rFonts w:eastAsia="Calibri"/>
          <w:sz w:val="26"/>
          <w:szCs w:val="26"/>
          <w:lang w:val="es-ES" w:eastAsia="en-US"/>
        </w:rPr>
      </w:pPr>
      <w:r w:rsidRPr="000677B6">
        <w:rPr>
          <w:rFonts w:eastAsia="Calibri"/>
          <w:b/>
          <w:sz w:val="26"/>
          <w:szCs w:val="26"/>
          <w:lang w:val="es-ES" w:eastAsia="en-US"/>
        </w:rPr>
        <w:t>Crear un programa de garantías para emprendedores cleantech</w:t>
      </w:r>
      <w:r w:rsidRPr="000677B6">
        <w:rPr>
          <w:rFonts w:eastAsia="Calibri"/>
          <w:sz w:val="26"/>
          <w:szCs w:val="26"/>
          <w:lang w:val="es-ES" w:eastAsia="en-US"/>
        </w:rPr>
        <w:t xml:space="preserve"> con el fin de promover la diversificación de productos financieros ofertados por la banca comercial</w:t>
      </w:r>
    </w:p>
    <w:p w14:paraId="5D4BFE5A" w14:textId="77777777" w:rsidR="000677B6" w:rsidRPr="000677B6" w:rsidRDefault="000677B6" w:rsidP="00276F3E">
      <w:pPr>
        <w:numPr>
          <w:ilvl w:val="0"/>
          <w:numId w:val="74"/>
        </w:numPr>
        <w:spacing w:after="360" w:line="360" w:lineRule="auto"/>
        <w:ind w:left="568" w:right="-159" w:hanging="284"/>
        <w:jc w:val="both"/>
        <w:rPr>
          <w:rFonts w:eastAsia="Calibri"/>
          <w:sz w:val="26"/>
          <w:szCs w:val="26"/>
          <w:lang w:val="es-ES" w:eastAsia="en-US"/>
        </w:rPr>
      </w:pPr>
      <w:r w:rsidRPr="000677B6">
        <w:rPr>
          <w:rFonts w:eastAsia="Calibri"/>
          <w:b/>
          <w:sz w:val="26"/>
          <w:szCs w:val="26"/>
          <w:lang w:val="es-ES" w:eastAsia="en-US"/>
        </w:rPr>
        <w:t>Habilitar esquemas de coinversión en emprendimientos de tecnología limpia</w:t>
      </w:r>
      <w:r w:rsidRPr="000677B6">
        <w:rPr>
          <w:rFonts w:eastAsia="Calibri"/>
          <w:sz w:val="26"/>
          <w:szCs w:val="26"/>
          <w:lang w:val="es-ES" w:eastAsia="en-US"/>
        </w:rPr>
        <w:t xml:space="preserve"> entre México Ventures y fondos privados.</w:t>
      </w:r>
    </w:p>
    <w:p w14:paraId="4769B4BC" w14:textId="77777777" w:rsidR="000677B6" w:rsidRPr="000677B6" w:rsidRDefault="000677B6" w:rsidP="00276F3E">
      <w:pPr>
        <w:numPr>
          <w:ilvl w:val="0"/>
          <w:numId w:val="74"/>
        </w:numPr>
        <w:spacing w:after="360" w:line="360" w:lineRule="auto"/>
        <w:ind w:left="568" w:right="-159" w:hanging="284"/>
        <w:jc w:val="both"/>
        <w:rPr>
          <w:rFonts w:eastAsia="Calibri"/>
          <w:b/>
          <w:sz w:val="26"/>
          <w:szCs w:val="26"/>
          <w:lang w:val="es-ES" w:eastAsia="en-US"/>
        </w:rPr>
      </w:pPr>
      <w:r w:rsidRPr="000677B6">
        <w:rPr>
          <w:rFonts w:eastAsia="Calibri"/>
          <w:b/>
          <w:sz w:val="26"/>
          <w:szCs w:val="26"/>
          <w:lang w:val="es-ES" w:eastAsia="en-US"/>
        </w:rPr>
        <w:t>Incluir como uno de los requisitos iniciales para acceder a financiamiento público el no estar en el buró de crédito.</w:t>
      </w:r>
    </w:p>
    <w:p w14:paraId="3D477BAB" w14:textId="77777777" w:rsidR="000677B6" w:rsidRPr="000677B6" w:rsidRDefault="000677B6" w:rsidP="00276F3E">
      <w:pPr>
        <w:numPr>
          <w:ilvl w:val="0"/>
          <w:numId w:val="74"/>
        </w:numPr>
        <w:spacing w:after="360" w:line="360" w:lineRule="auto"/>
        <w:ind w:left="568" w:right="-159" w:hanging="284"/>
        <w:jc w:val="both"/>
        <w:rPr>
          <w:rFonts w:eastAsia="Calibri"/>
          <w:sz w:val="26"/>
          <w:szCs w:val="26"/>
          <w:lang w:val="es-ES" w:eastAsia="en-US"/>
        </w:rPr>
      </w:pPr>
      <w:r w:rsidRPr="000677B6">
        <w:rPr>
          <w:rFonts w:eastAsia="Calibri"/>
          <w:b/>
          <w:sz w:val="26"/>
          <w:szCs w:val="26"/>
          <w:lang w:val="es-ES" w:eastAsia="en-US"/>
        </w:rPr>
        <w:t>Incorporar fondos para la recuperación de la inversión inicial en tecnologías limpias</w:t>
      </w:r>
      <w:r w:rsidRPr="000677B6">
        <w:rPr>
          <w:rFonts w:eastAsia="Calibri"/>
          <w:sz w:val="26"/>
          <w:szCs w:val="26"/>
          <w:lang w:val="es-ES" w:eastAsia="en-US"/>
        </w:rPr>
        <w:t xml:space="preserve"> para empresas pequeñas y medianas. Uno de los programas más exitosos dentro de la agenda de Colombia para detonar inversión en tecnologías limpias </w:t>
      </w:r>
      <w:r w:rsidRPr="000677B6">
        <w:rPr>
          <w:rFonts w:eastAsia="Calibri"/>
          <w:sz w:val="26"/>
          <w:szCs w:val="26"/>
          <w:lang w:val="es-ES" w:eastAsia="en-US"/>
        </w:rPr>
        <w:lastRenderedPageBreak/>
        <w:t>del Centro Nacional para la Producción de Tecnologías Limpias y Ambientales de ese país, es el incentivo a recuperar hasta el 25% de la inversión inicial en tecnologías limpias dependiendo de su impacto ambiental. El éxito del programa ha atraído la inversión del gobierno suizo</w:t>
      </w:r>
      <w:r w:rsidRPr="000677B6">
        <w:rPr>
          <w:rFonts w:eastAsia="Calibri"/>
          <w:sz w:val="26"/>
          <w:szCs w:val="26"/>
          <w:vertAlign w:val="superscript"/>
          <w:lang w:val="es-ES" w:eastAsia="en-US"/>
        </w:rPr>
        <w:footnoteReference w:id="74"/>
      </w:r>
      <w:r w:rsidRPr="000677B6">
        <w:rPr>
          <w:rFonts w:eastAsia="Calibri"/>
          <w:sz w:val="26"/>
          <w:szCs w:val="26"/>
          <w:lang w:val="es-ES" w:eastAsia="en-US"/>
        </w:rPr>
        <w:t>.</w:t>
      </w:r>
    </w:p>
    <w:p w14:paraId="7A60341F" w14:textId="77777777" w:rsidR="000677B6" w:rsidRPr="000677B6" w:rsidRDefault="000677B6" w:rsidP="000677B6">
      <w:pPr>
        <w:spacing w:after="360" w:line="360" w:lineRule="auto"/>
        <w:ind w:right="-159"/>
        <w:jc w:val="both"/>
        <w:rPr>
          <w:rFonts w:eastAsia="Calibri"/>
          <w:b/>
          <w:sz w:val="26"/>
          <w:szCs w:val="26"/>
          <w:lang w:val="es-ES" w:eastAsia="en-US"/>
        </w:rPr>
      </w:pPr>
      <w:r w:rsidRPr="000677B6">
        <w:rPr>
          <w:rFonts w:eastAsia="Calibri"/>
          <w:b/>
          <w:sz w:val="26"/>
          <w:szCs w:val="26"/>
          <w:lang w:val="es-ES" w:eastAsia="en-US"/>
        </w:rPr>
        <w:t xml:space="preserve">C. 3 Hoja de ruta: hacia una política industrial </w:t>
      </w:r>
      <w:r w:rsidRPr="004F1C40">
        <w:rPr>
          <w:rFonts w:eastAsia="Calibri"/>
          <w:b/>
          <w:i/>
          <w:sz w:val="26"/>
          <w:szCs w:val="26"/>
          <w:lang w:val="es-ES" w:eastAsia="en-US"/>
        </w:rPr>
        <w:t>cleantech</w:t>
      </w:r>
      <w:r w:rsidRPr="000677B6">
        <w:rPr>
          <w:rFonts w:eastAsia="Calibri"/>
          <w:b/>
          <w:sz w:val="26"/>
          <w:szCs w:val="26"/>
          <w:lang w:val="es-ES" w:eastAsia="en-US"/>
        </w:rPr>
        <w:t xml:space="preserve"> en México</w:t>
      </w:r>
    </w:p>
    <w:p w14:paraId="57BC83C5" w14:textId="77777777" w:rsidR="000677B6" w:rsidRPr="000677B6" w:rsidRDefault="000677B6" w:rsidP="000677B6">
      <w:pPr>
        <w:spacing w:after="360" w:line="360" w:lineRule="auto"/>
        <w:ind w:right="-159"/>
        <w:jc w:val="both"/>
        <w:rPr>
          <w:rFonts w:eastAsia="Calibri"/>
          <w:sz w:val="26"/>
          <w:szCs w:val="26"/>
          <w:lang w:val="es-ES" w:eastAsia="en-US"/>
        </w:rPr>
      </w:pPr>
      <w:r w:rsidRPr="000677B6">
        <w:rPr>
          <w:rFonts w:eastAsia="Calibri"/>
          <w:sz w:val="26"/>
          <w:szCs w:val="26"/>
          <w:lang w:val="es-ES" w:eastAsia="en-US"/>
        </w:rPr>
        <w:t>El desarrollo de una política industrial cleantech para detonar el emprendimiento nacional requiere acciones que fortalezcan la demanda en dichas tecnologías y amplíen la oferta local. Estas acciones se agrupan en ocho categorías dentro de la hoja de ruta, sintetizada en el presente infográfico.</w:t>
      </w:r>
    </w:p>
    <w:tbl>
      <w:tblPr>
        <w:tblW w:w="9286" w:type="dxa"/>
        <w:tblLook w:val="04A0" w:firstRow="1" w:lastRow="0" w:firstColumn="1" w:lastColumn="0" w:noHBand="0" w:noVBand="1"/>
      </w:tblPr>
      <w:tblGrid>
        <w:gridCol w:w="9286"/>
      </w:tblGrid>
      <w:tr w:rsidR="000677B6" w:rsidRPr="000677B6" w14:paraId="3A8189C0" w14:textId="77777777" w:rsidTr="00082E99">
        <w:tc>
          <w:tcPr>
            <w:tcW w:w="9286" w:type="dxa"/>
          </w:tcPr>
          <w:p w14:paraId="7617F5CE" w14:textId="77777777" w:rsidR="000677B6" w:rsidRPr="000677B6" w:rsidRDefault="000677B6" w:rsidP="00A94DD6">
            <w:pPr>
              <w:jc w:val="center"/>
              <w:rPr>
                <w:rFonts w:eastAsia="Calibri"/>
                <w:b/>
                <w:sz w:val="22"/>
                <w:szCs w:val="26"/>
                <w:lang w:val="es-ES" w:eastAsia="en-US"/>
              </w:rPr>
            </w:pPr>
            <w:r w:rsidRPr="000677B6">
              <w:rPr>
                <w:rFonts w:eastAsia="Calibri"/>
                <w:b/>
                <w:sz w:val="22"/>
                <w:szCs w:val="26"/>
                <w:lang w:val="es-ES" w:eastAsia="en-US"/>
              </w:rPr>
              <w:t>PRINCIPALES FONDOS DE CAPITAL PRIVADO CON INTERÉS</w:t>
            </w:r>
          </w:p>
          <w:p w14:paraId="103DC67E" w14:textId="77777777" w:rsidR="000677B6" w:rsidRPr="000677B6" w:rsidRDefault="000677B6" w:rsidP="00A94DD6">
            <w:pPr>
              <w:jc w:val="center"/>
              <w:rPr>
                <w:rFonts w:eastAsia="Calibri"/>
                <w:b/>
                <w:sz w:val="22"/>
                <w:szCs w:val="26"/>
                <w:lang w:val="es-ES" w:eastAsia="en-US"/>
              </w:rPr>
            </w:pPr>
            <w:r w:rsidRPr="000677B6">
              <w:rPr>
                <w:rFonts w:eastAsia="Calibri"/>
                <w:b/>
                <w:sz w:val="22"/>
                <w:szCs w:val="26"/>
                <w:lang w:val="es-ES" w:eastAsia="en-US"/>
              </w:rPr>
              <w:t>EN TECNOLOGÍA INCLUYENDO CLEANTECH</w:t>
            </w:r>
          </w:p>
          <w:p w14:paraId="2CF47D8E" w14:textId="77777777" w:rsidR="000677B6" w:rsidRPr="000677B6" w:rsidRDefault="000677B6" w:rsidP="00A94DD6">
            <w:pPr>
              <w:jc w:val="center"/>
              <w:rPr>
                <w:rFonts w:eastAsia="Calibri"/>
                <w:sz w:val="22"/>
                <w:szCs w:val="26"/>
                <w:lang w:val="es-ES" w:eastAsia="en-US"/>
              </w:rPr>
            </w:pPr>
            <w:r w:rsidRPr="000677B6">
              <w:rPr>
                <w:rFonts w:eastAsia="Calibri"/>
                <w:b/>
                <w:sz w:val="22"/>
                <w:szCs w:val="26"/>
                <w:lang w:val="es-ES" w:eastAsia="en-US"/>
              </w:rPr>
              <w:t>-Inversión por empresa, 2014-</w:t>
            </w:r>
          </w:p>
        </w:tc>
      </w:tr>
      <w:tr w:rsidR="000677B6" w:rsidRPr="000677B6" w14:paraId="7095FC70" w14:textId="77777777" w:rsidTr="00082E99">
        <w:tc>
          <w:tcPr>
            <w:tcW w:w="9286" w:type="dxa"/>
          </w:tcPr>
          <w:p w14:paraId="168E6A70" w14:textId="77777777" w:rsidR="000677B6" w:rsidRPr="000677B6" w:rsidRDefault="000677B6" w:rsidP="00A94DD6">
            <w:pPr>
              <w:jc w:val="center"/>
              <w:rPr>
                <w:rFonts w:eastAsia="Calibri"/>
                <w:sz w:val="22"/>
                <w:szCs w:val="26"/>
                <w:lang w:val="es-ES" w:eastAsia="en-US"/>
              </w:rPr>
            </w:pPr>
            <w:r w:rsidRPr="000677B6">
              <w:rPr>
                <w:rFonts w:eastAsia="Calibri"/>
                <w:noProof/>
                <w:sz w:val="22"/>
                <w:szCs w:val="26"/>
                <w:lang w:eastAsia="es-MX"/>
              </w:rPr>
              <w:drawing>
                <wp:inline distT="0" distB="0" distL="0" distR="0" wp14:anchorId="75C36E7A" wp14:editId="657246EA">
                  <wp:extent cx="5752465" cy="2947916"/>
                  <wp:effectExtent l="0" t="0" r="635" b="5080"/>
                  <wp:docPr id="157" name="Imagen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11" cstate="print">
                            <a:extLst>
                              <a:ext uri="{28A0092B-C50C-407E-A947-70E740481C1C}">
                                <a14:useLocalDpi xmlns:a14="http://schemas.microsoft.com/office/drawing/2010/main" val="0"/>
                              </a:ext>
                            </a:extLst>
                          </a:blip>
                          <a:srcRect b="697"/>
                          <a:stretch/>
                        </pic:blipFill>
                        <pic:spPr bwMode="auto">
                          <a:xfrm>
                            <a:off x="0" y="0"/>
                            <a:ext cx="5752465" cy="294791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677B6" w:rsidRPr="000677B6" w14:paraId="03409A72" w14:textId="77777777" w:rsidTr="00082E99">
        <w:tc>
          <w:tcPr>
            <w:tcW w:w="9286" w:type="dxa"/>
          </w:tcPr>
          <w:p w14:paraId="450245E7" w14:textId="3B72B394" w:rsidR="000677B6" w:rsidRPr="000677B6" w:rsidRDefault="005C4162" w:rsidP="00A94DD6">
            <w:pPr>
              <w:jc w:val="center"/>
              <w:rPr>
                <w:rFonts w:eastAsia="Calibri"/>
                <w:sz w:val="22"/>
                <w:szCs w:val="26"/>
                <w:lang w:val="es-ES" w:eastAsia="en-US"/>
              </w:rPr>
            </w:pPr>
            <w:r w:rsidRPr="005C4162">
              <w:rPr>
                <w:rFonts w:eastAsia="Calibri"/>
                <w:noProof/>
                <w:sz w:val="22"/>
                <w:szCs w:val="26"/>
                <w:lang w:eastAsia="es-MX"/>
              </w:rPr>
              <w:lastRenderedPageBreak/>
              <w:drawing>
                <wp:inline distT="0" distB="0" distL="0" distR="0" wp14:anchorId="3A60010B" wp14:editId="1014D964">
                  <wp:extent cx="5720417" cy="3420000"/>
                  <wp:effectExtent l="0" t="0" r="0" b="9525"/>
                  <wp:docPr id="1594" name="Imagen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5720417" cy="3420000"/>
                          </a:xfrm>
                          <a:prstGeom prst="rect">
                            <a:avLst/>
                          </a:prstGeom>
                          <a:noFill/>
                          <a:ln>
                            <a:noFill/>
                          </a:ln>
                        </pic:spPr>
                      </pic:pic>
                    </a:graphicData>
                  </a:graphic>
                </wp:inline>
              </w:drawing>
            </w:r>
          </w:p>
        </w:tc>
      </w:tr>
      <w:tr w:rsidR="000677B6" w:rsidRPr="000677B6" w14:paraId="041EC566" w14:textId="77777777" w:rsidTr="00082E99">
        <w:tc>
          <w:tcPr>
            <w:tcW w:w="9286" w:type="dxa"/>
          </w:tcPr>
          <w:p w14:paraId="6071ADA0" w14:textId="3CB36B01" w:rsidR="000677B6" w:rsidRPr="000677B6" w:rsidRDefault="000677B6" w:rsidP="00A94DD6">
            <w:pPr>
              <w:jc w:val="right"/>
              <w:rPr>
                <w:rFonts w:eastAsia="Calibri"/>
                <w:i/>
                <w:noProof/>
                <w:sz w:val="22"/>
                <w:szCs w:val="26"/>
                <w:lang w:eastAsia="es-MX"/>
              </w:rPr>
            </w:pPr>
          </w:p>
        </w:tc>
      </w:tr>
      <w:tr w:rsidR="000677B6" w:rsidRPr="000677B6" w14:paraId="08030677" w14:textId="77777777" w:rsidTr="00082E99">
        <w:tc>
          <w:tcPr>
            <w:tcW w:w="9286" w:type="dxa"/>
          </w:tcPr>
          <w:p w14:paraId="2B877E3F" w14:textId="77777777" w:rsidR="000677B6" w:rsidRPr="000677B6" w:rsidRDefault="000677B6" w:rsidP="00A94DD6">
            <w:pPr>
              <w:jc w:val="center"/>
              <w:rPr>
                <w:rFonts w:eastAsia="Calibri"/>
                <w:sz w:val="22"/>
                <w:szCs w:val="26"/>
                <w:lang w:val="es-ES" w:eastAsia="en-US"/>
              </w:rPr>
            </w:pPr>
            <w:r w:rsidRPr="000677B6">
              <w:rPr>
                <w:rFonts w:eastAsia="Calibri"/>
                <w:noProof/>
                <w:sz w:val="22"/>
                <w:szCs w:val="26"/>
                <w:lang w:eastAsia="es-MX"/>
              </w:rPr>
              <w:drawing>
                <wp:inline distT="0" distB="0" distL="0" distR="0" wp14:anchorId="425CA4F8" wp14:editId="77318D5D">
                  <wp:extent cx="5759450" cy="2053751"/>
                  <wp:effectExtent l="0" t="0" r="0" b="3810"/>
                  <wp:docPr id="159" name="Imagen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13" cstate="print">
                            <a:extLst>
                              <a:ext uri="{28A0092B-C50C-407E-A947-70E740481C1C}">
                                <a14:useLocalDpi xmlns:a14="http://schemas.microsoft.com/office/drawing/2010/main" val="0"/>
                              </a:ext>
                            </a:extLst>
                          </a:blip>
                          <a:srcRect t="331"/>
                          <a:stretch/>
                        </pic:blipFill>
                        <pic:spPr bwMode="auto">
                          <a:xfrm>
                            <a:off x="0" y="0"/>
                            <a:ext cx="5759450" cy="205375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677B6" w:rsidRPr="000677B6" w14:paraId="7CAD55E3" w14:textId="77777777" w:rsidTr="00082E99">
        <w:tc>
          <w:tcPr>
            <w:tcW w:w="9286" w:type="dxa"/>
          </w:tcPr>
          <w:p w14:paraId="771BB2F5" w14:textId="77777777" w:rsidR="000677B6" w:rsidRPr="000677B6" w:rsidRDefault="000677B6" w:rsidP="00A94DD6">
            <w:pPr>
              <w:ind w:firstLine="176"/>
              <w:jc w:val="both"/>
              <w:rPr>
                <w:rFonts w:eastAsia="Calibri"/>
                <w:sz w:val="20"/>
                <w:szCs w:val="26"/>
                <w:lang w:val="es-ES" w:eastAsia="en-US"/>
              </w:rPr>
            </w:pPr>
            <w:r w:rsidRPr="000677B6">
              <w:rPr>
                <w:rFonts w:eastAsia="Calibri"/>
                <w:sz w:val="20"/>
                <w:szCs w:val="26"/>
                <w:lang w:val="es-ES" w:eastAsia="en-US"/>
              </w:rPr>
              <w:t>FUENTE: Elaboración de la fuente con base en información pública de cada fondo, 2014.</w:t>
            </w:r>
          </w:p>
        </w:tc>
      </w:tr>
    </w:tbl>
    <w:p w14:paraId="20C4F375" w14:textId="77777777" w:rsidR="000677B6" w:rsidRPr="000677B6" w:rsidRDefault="000677B6" w:rsidP="000677B6">
      <w:pPr>
        <w:spacing w:after="360" w:line="360" w:lineRule="auto"/>
        <w:ind w:right="-159"/>
        <w:jc w:val="both"/>
        <w:rPr>
          <w:rFonts w:eastAsia="Calibri"/>
          <w:sz w:val="26"/>
          <w:szCs w:val="26"/>
          <w:lang w:val="es-ES" w:eastAsia="en-US"/>
        </w:rPr>
      </w:pPr>
    </w:p>
    <w:p w14:paraId="3EBC8B13" w14:textId="77777777" w:rsidR="000677B6" w:rsidRPr="000677B6" w:rsidRDefault="000677B6" w:rsidP="000677B6">
      <w:pPr>
        <w:ind w:right="-159"/>
        <w:jc w:val="both"/>
        <w:rPr>
          <w:rFonts w:eastAsia="Calibri"/>
          <w:b/>
          <w:sz w:val="20"/>
          <w:szCs w:val="20"/>
          <w:lang w:eastAsia="en-US"/>
        </w:rPr>
      </w:pPr>
      <w:r w:rsidRPr="000677B6">
        <w:rPr>
          <w:rFonts w:eastAsia="Calibri"/>
          <w:b/>
          <w:sz w:val="20"/>
          <w:szCs w:val="20"/>
          <w:lang w:eastAsia="en-US"/>
        </w:rPr>
        <w:t>Fuente de información:</w:t>
      </w:r>
    </w:p>
    <w:p w14:paraId="62301AE3" w14:textId="77777777" w:rsidR="000677B6" w:rsidRPr="00753258" w:rsidRDefault="0093224F" w:rsidP="00753258">
      <w:pPr>
        <w:spacing w:after="720"/>
        <w:ind w:right="-159"/>
        <w:jc w:val="both"/>
        <w:rPr>
          <w:rFonts w:eastAsia="Calibri"/>
          <w:color w:val="0000FF"/>
          <w:sz w:val="20"/>
          <w:szCs w:val="20"/>
          <w:lang w:val="es-ES" w:eastAsia="en-US"/>
        </w:rPr>
      </w:pPr>
      <w:hyperlink r:id="rId214" w:history="1">
        <w:r w:rsidR="000677B6" w:rsidRPr="00753258">
          <w:rPr>
            <w:rFonts w:eastAsia="Calibri"/>
            <w:color w:val="0000FF"/>
            <w:sz w:val="20"/>
            <w:szCs w:val="20"/>
            <w:u w:val="single"/>
            <w:lang w:val="es-ES" w:eastAsia="en-US"/>
          </w:rPr>
          <w:t>http://imco.org.mx/wp-content/uploads/2015/03/2015_Cleantech_DocumentoCompleto.pdf</w:t>
        </w:r>
      </w:hyperlink>
    </w:p>
    <w:p w14:paraId="058CF380" w14:textId="77777777" w:rsidR="00643620" w:rsidRPr="00643620" w:rsidRDefault="00643620" w:rsidP="00643620">
      <w:pPr>
        <w:spacing w:after="360" w:line="360" w:lineRule="auto"/>
        <w:ind w:right="-159"/>
        <w:jc w:val="both"/>
        <w:rPr>
          <w:rFonts w:eastAsia="Calibri"/>
          <w:b/>
          <w:sz w:val="26"/>
          <w:szCs w:val="26"/>
          <w:lang w:eastAsia="en-US"/>
        </w:rPr>
      </w:pPr>
      <w:r w:rsidRPr="00643620">
        <w:rPr>
          <w:rFonts w:eastAsia="Calibri"/>
          <w:b/>
          <w:sz w:val="26"/>
          <w:szCs w:val="26"/>
          <w:lang w:eastAsia="en-US"/>
        </w:rPr>
        <w:t xml:space="preserve">Las 10 marcas más poderosas de 2015 (Forbes México) </w:t>
      </w:r>
    </w:p>
    <w:p w14:paraId="0B66295B" w14:textId="77777777" w:rsidR="00643620" w:rsidRPr="00643620" w:rsidRDefault="00643620" w:rsidP="00643620">
      <w:pPr>
        <w:spacing w:after="360" w:line="360" w:lineRule="auto"/>
        <w:ind w:right="-159"/>
        <w:jc w:val="both"/>
        <w:rPr>
          <w:rFonts w:eastAsia="Calibri"/>
          <w:sz w:val="26"/>
          <w:szCs w:val="26"/>
          <w:lang w:val="es-ES" w:eastAsia="en-US"/>
        </w:rPr>
      </w:pPr>
      <w:r w:rsidRPr="00643620">
        <w:rPr>
          <w:rFonts w:eastAsia="Calibri"/>
          <w:sz w:val="26"/>
          <w:szCs w:val="26"/>
          <w:lang w:val="es-ES" w:eastAsia="en-US"/>
        </w:rPr>
        <w:t xml:space="preserve">El 3 de marzo de 2015, la edición online de la revista de negocios Forbes México indicó que crear una marca grande es un desafío considerable, pero construir una de verdad </w:t>
      </w:r>
      <w:r w:rsidRPr="00643620">
        <w:rPr>
          <w:rFonts w:eastAsia="Calibri"/>
          <w:sz w:val="26"/>
          <w:szCs w:val="26"/>
          <w:lang w:val="es-ES" w:eastAsia="en-US"/>
        </w:rPr>
        <w:lastRenderedPageBreak/>
        <w:t>memorable es algo aún más inusual. A continuación se presentan los casos de mayor éxito del año.</w:t>
      </w:r>
    </w:p>
    <w:p w14:paraId="694D2FD8" w14:textId="77777777" w:rsidR="00643620" w:rsidRPr="00643620" w:rsidRDefault="00643620" w:rsidP="00643620">
      <w:pPr>
        <w:spacing w:after="360" w:line="360" w:lineRule="auto"/>
        <w:ind w:right="-159"/>
        <w:jc w:val="both"/>
        <w:rPr>
          <w:rFonts w:eastAsia="Calibri"/>
          <w:sz w:val="26"/>
          <w:szCs w:val="26"/>
          <w:lang w:val="es-ES" w:eastAsia="en-US"/>
        </w:rPr>
      </w:pPr>
      <w:r w:rsidRPr="00643620">
        <w:rPr>
          <w:rFonts w:eastAsia="Calibri"/>
          <w:sz w:val="26"/>
          <w:szCs w:val="26"/>
          <w:lang w:val="es-ES" w:eastAsia="en-US"/>
        </w:rPr>
        <w:t>¿Qué se necesita para construir la marca más poderosa del mundo? Este año, la respuesta es bloques de plástico multicolores.</w:t>
      </w:r>
    </w:p>
    <w:p w14:paraId="51315C9E" w14:textId="77777777" w:rsidR="00643620" w:rsidRPr="00643620" w:rsidRDefault="00643620" w:rsidP="00643620">
      <w:pPr>
        <w:spacing w:after="360" w:line="360" w:lineRule="auto"/>
        <w:ind w:right="-159"/>
        <w:jc w:val="both"/>
        <w:rPr>
          <w:rFonts w:eastAsia="Calibri"/>
          <w:sz w:val="26"/>
          <w:szCs w:val="26"/>
          <w:lang w:val="es-ES" w:eastAsia="en-US"/>
        </w:rPr>
      </w:pPr>
      <w:r w:rsidRPr="00643620">
        <w:rPr>
          <w:rFonts w:eastAsia="Calibri"/>
          <w:sz w:val="26"/>
          <w:szCs w:val="26"/>
          <w:lang w:val="es-ES" w:eastAsia="en-US"/>
        </w:rPr>
        <w:t>Cada año, la consultora global de Brand Finance enlista a las marcas más poderosas del mundo, definiendo el a veces nebuloso término “marca” como “un activo intangible relacionado al marketing, incluyendo, pero no limitado a, nombres, términos, signos, símbolos, logotipos y diseños, o una combinación de éstos, con la intención de identificar bienes, servicios o entidades, o una combinación de éstos para la creación de imágenes y asociaciones distintivas en la mente de las partes interesadas, lo que genera beneficios o valor económicos”.</w:t>
      </w:r>
    </w:p>
    <w:p w14:paraId="6DBAE97F" w14:textId="77777777" w:rsidR="00643620" w:rsidRPr="00643620" w:rsidRDefault="00643620" w:rsidP="00643620">
      <w:pPr>
        <w:spacing w:after="360" w:line="360" w:lineRule="auto"/>
        <w:ind w:right="-159"/>
        <w:jc w:val="both"/>
        <w:rPr>
          <w:rFonts w:eastAsia="Calibri"/>
          <w:sz w:val="26"/>
          <w:szCs w:val="26"/>
          <w:lang w:val="es-ES" w:eastAsia="en-US"/>
        </w:rPr>
      </w:pPr>
      <w:r w:rsidRPr="00643620">
        <w:rPr>
          <w:rFonts w:eastAsia="Calibri"/>
          <w:sz w:val="26"/>
          <w:szCs w:val="26"/>
          <w:lang w:val="es-ES" w:eastAsia="en-US"/>
        </w:rPr>
        <w:t>Para determinar qué conjunto de activos vale más, Brand Finance analiza factores como la inversión de una empresa en marketing y el impacto de éste en el rendimiento del negocio.</w:t>
      </w:r>
    </w:p>
    <w:p w14:paraId="369C8DA5" w14:textId="77777777" w:rsidR="00643620" w:rsidRPr="00643620" w:rsidRDefault="00643620" w:rsidP="00643620">
      <w:pPr>
        <w:spacing w:after="360" w:line="360" w:lineRule="auto"/>
        <w:ind w:right="-159"/>
        <w:jc w:val="both"/>
        <w:rPr>
          <w:rFonts w:eastAsia="Calibri"/>
          <w:sz w:val="26"/>
          <w:szCs w:val="26"/>
          <w:lang w:val="es-ES" w:eastAsia="en-US"/>
        </w:rPr>
      </w:pPr>
      <w:r w:rsidRPr="00643620">
        <w:rPr>
          <w:rFonts w:eastAsia="Calibri"/>
          <w:sz w:val="26"/>
          <w:szCs w:val="26"/>
          <w:lang w:val="es-ES" w:eastAsia="en-US"/>
        </w:rPr>
        <w:t>Cada marca obtiene una calificación sobre 100 puntos posibles.</w:t>
      </w:r>
    </w:p>
    <w:p w14:paraId="2EF2CAFC" w14:textId="77777777" w:rsidR="00643620" w:rsidRPr="00643620" w:rsidRDefault="00643620" w:rsidP="00643620">
      <w:pPr>
        <w:spacing w:after="360" w:line="360" w:lineRule="auto"/>
        <w:ind w:right="-159"/>
        <w:jc w:val="both"/>
        <w:rPr>
          <w:rFonts w:eastAsia="Calibri"/>
          <w:sz w:val="26"/>
          <w:szCs w:val="26"/>
          <w:lang w:val="es-ES" w:eastAsia="en-US"/>
        </w:rPr>
      </w:pPr>
      <w:r w:rsidRPr="00643620">
        <w:rPr>
          <w:rFonts w:eastAsia="Calibri"/>
          <w:sz w:val="26"/>
          <w:szCs w:val="26"/>
          <w:lang w:val="es-ES" w:eastAsia="en-US"/>
        </w:rPr>
        <w:t>En el primer sitio de la lista, y destronando al rey Ferrari, está Lego. El fabricante de bloques de plástico de colores ha sido popular entre los niños y adultos durante más de medio siglo, pero en los últimos años ha ganado atractivo entre una lista cada vez más amplia de licenciatarios.</w:t>
      </w:r>
    </w:p>
    <w:p w14:paraId="3361E96F" w14:textId="77777777" w:rsidR="00643620" w:rsidRPr="00643620" w:rsidRDefault="00643620" w:rsidP="00643620">
      <w:pPr>
        <w:spacing w:after="360" w:line="360" w:lineRule="auto"/>
        <w:ind w:right="-159"/>
        <w:jc w:val="both"/>
        <w:rPr>
          <w:rFonts w:eastAsia="Calibri"/>
          <w:sz w:val="26"/>
          <w:szCs w:val="26"/>
          <w:lang w:val="es-ES" w:eastAsia="en-US"/>
        </w:rPr>
      </w:pPr>
      <w:r w:rsidRPr="00643620">
        <w:rPr>
          <w:rFonts w:eastAsia="Calibri"/>
          <w:sz w:val="26"/>
          <w:szCs w:val="26"/>
          <w:lang w:val="es-ES" w:eastAsia="en-US"/>
        </w:rPr>
        <w:t xml:space="preserve">Lego tuvo un gran impulso este año, luego del éxito de </w:t>
      </w:r>
      <w:r w:rsidRPr="00643620">
        <w:rPr>
          <w:rFonts w:eastAsia="Calibri"/>
          <w:i/>
          <w:sz w:val="26"/>
          <w:szCs w:val="26"/>
          <w:lang w:val="es-ES" w:eastAsia="en-US"/>
        </w:rPr>
        <w:t>The Lego Movie</w:t>
      </w:r>
      <w:r w:rsidRPr="00643620">
        <w:rPr>
          <w:rFonts w:eastAsia="Calibri"/>
          <w:sz w:val="26"/>
          <w:szCs w:val="26"/>
          <w:lang w:val="es-ES" w:eastAsia="en-US"/>
        </w:rPr>
        <w:t>, la película animada que recaudó 500 millones de dólares en todo el mundo.</w:t>
      </w:r>
    </w:p>
    <w:p w14:paraId="4E451087" w14:textId="77777777" w:rsidR="00643620" w:rsidRPr="00643620" w:rsidRDefault="00643620" w:rsidP="00643620">
      <w:pPr>
        <w:spacing w:after="360" w:line="360" w:lineRule="auto"/>
        <w:ind w:right="-159"/>
        <w:jc w:val="both"/>
        <w:rPr>
          <w:rFonts w:eastAsia="Calibri"/>
          <w:sz w:val="26"/>
          <w:szCs w:val="26"/>
          <w:lang w:val="es-ES" w:eastAsia="en-US"/>
        </w:rPr>
      </w:pPr>
      <w:r w:rsidRPr="00643620">
        <w:rPr>
          <w:rFonts w:eastAsia="Calibri"/>
          <w:sz w:val="26"/>
          <w:szCs w:val="26"/>
          <w:lang w:val="es-ES" w:eastAsia="en-US"/>
        </w:rPr>
        <w:t xml:space="preserve">El informe también señala que la empresa “por lo general evita el marketing de género” y que “al apelar a los niños y niñas por igual, Lego maximiza el tamaño de su población </w:t>
      </w:r>
      <w:r w:rsidRPr="00643620">
        <w:rPr>
          <w:rFonts w:eastAsia="Calibri"/>
          <w:sz w:val="26"/>
          <w:szCs w:val="26"/>
          <w:lang w:val="es-ES" w:eastAsia="en-US"/>
        </w:rPr>
        <w:lastRenderedPageBreak/>
        <w:t>objetivo. Ese enfoque también agrada a los padres que se preocupan por los efectos que los juguetes pueden tener sobre las perspectivas y ambiciones de los niños y las niñas en particular”.</w:t>
      </w:r>
    </w:p>
    <w:p w14:paraId="4A97F6A4" w14:textId="77777777" w:rsidR="00643620" w:rsidRPr="00643620" w:rsidRDefault="00643620" w:rsidP="00643620">
      <w:pPr>
        <w:spacing w:after="360" w:line="360" w:lineRule="auto"/>
        <w:ind w:right="-159"/>
        <w:jc w:val="both"/>
        <w:rPr>
          <w:rFonts w:eastAsia="Calibri"/>
          <w:sz w:val="26"/>
          <w:szCs w:val="26"/>
          <w:lang w:val="es-ES" w:eastAsia="en-US"/>
        </w:rPr>
      </w:pPr>
      <w:r w:rsidRPr="00643620">
        <w:rPr>
          <w:rFonts w:eastAsia="Calibri"/>
          <w:sz w:val="26"/>
          <w:szCs w:val="26"/>
          <w:lang w:val="es-ES" w:eastAsia="en-US"/>
        </w:rPr>
        <w:t>En la lista también está una fuerte mezcla de potencias corporativas y nombres de familiares, como PwC, Red Bull, McKinsey, Unilever y L’Oréal. Las marcas de moda de lujo Burberry y Rolex también lo lograron, al igual que Nike.</w:t>
      </w:r>
    </w:p>
    <w:p w14:paraId="42DDC520" w14:textId="77777777" w:rsidR="00643620" w:rsidRPr="00643620" w:rsidRDefault="00643620" w:rsidP="00643620">
      <w:pPr>
        <w:spacing w:after="360" w:line="360" w:lineRule="auto"/>
        <w:ind w:right="-159"/>
        <w:jc w:val="both"/>
        <w:rPr>
          <w:rFonts w:eastAsia="Calibri"/>
          <w:sz w:val="26"/>
          <w:szCs w:val="26"/>
          <w:lang w:val="es-ES" w:eastAsia="en-US"/>
        </w:rPr>
      </w:pPr>
      <w:r w:rsidRPr="00643620">
        <w:rPr>
          <w:rFonts w:eastAsia="Calibri"/>
          <w:sz w:val="26"/>
          <w:szCs w:val="26"/>
          <w:lang w:val="es-ES" w:eastAsia="en-US"/>
        </w:rPr>
        <w:t>Ferrari, la marca más poderosa del año pasado, es la única de automóviles en el conteo, y cae del primer puesto al noveno, empatada con Nike. Aunque la compañía se aferra al top 10, el informe señala que ha sufrido una serie de temporadas perdedoras con su Scuderia Ferrari, su equipo de carreras.</w:t>
      </w:r>
    </w:p>
    <w:p w14:paraId="50E02468" w14:textId="77777777" w:rsidR="00643620" w:rsidRPr="00643620" w:rsidRDefault="00643620" w:rsidP="00643620">
      <w:pPr>
        <w:spacing w:after="360" w:line="360" w:lineRule="auto"/>
        <w:ind w:right="-159"/>
        <w:jc w:val="both"/>
        <w:rPr>
          <w:rFonts w:eastAsia="Calibri"/>
          <w:sz w:val="26"/>
          <w:szCs w:val="26"/>
          <w:lang w:val="es-ES" w:eastAsia="en-US"/>
        </w:rPr>
      </w:pPr>
      <w:r w:rsidRPr="00643620">
        <w:rPr>
          <w:rFonts w:eastAsia="Calibri"/>
          <w:sz w:val="26"/>
          <w:szCs w:val="26"/>
          <w:lang w:val="es-ES" w:eastAsia="en-US"/>
        </w:rPr>
        <w:t>Sin embargo, la compañía podría ver una mejoría como resultado de la propuesta de su presidente, de producir más unidades para aumentar sus ingresos —tradicionalmente la producción se ha limitado a mantener el estatus de élite de la marca—.</w:t>
      </w:r>
    </w:p>
    <w:p w14:paraId="41E18412" w14:textId="77777777" w:rsidR="00643620" w:rsidRDefault="00643620" w:rsidP="00643620">
      <w:pPr>
        <w:spacing w:after="360" w:line="360" w:lineRule="auto"/>
        <w:ind w:right="-159"/>
        <w:jc w:val="both"/>
        <w:rPr>
          <w:rFonts w:eastAsia="Calibri"/>
          <w:sz w:val="26"/>
          <w:szCs w:val="26"/>
          <w:lang w:val="es-ES" w:eastAsia="en-US"/>
        </w:rPr>
      </w:pPr>
      <w:r w:rsidRPr="00643620">
        <w:rPr>
          <w:rFonts w:eastAsia="Calibri"/>
          <w:sz w:val="26"/>
          <w:szCs w:val="26"/>
          <w:lang w:val="es-ES" w:eastAsia="en-US"/>
        </w:rPr>
        <w:t>“La marca Ferrari —afirma el informe— claramente tiene un enorme potencial comercial sin explotar y el enfoque abierto de Marchionne es un buen augurio para los inversionistas.”</w:t>
      </w:r>
    </w:p>
    <w:p w14:paraId="3DB49A3B" w14:textId="77777777" w:rsidR="00A94DD6" w:rsidRDefault="00A94DD6" w:rsidP="00643620">
      <w:pPr>
        <w:spacing w:after="360" w:line="360" w:lineRule="auto"/>
        <w:ind w:right="-159"/>
        <w:jc w:val="both"/>
        <w:rPr>
          <w:rFonts w:eastAsia="Calibri"/>
          <w:sz w:val="26"/>
          <w:szCs w:val="26"/>
          <w:lang w:val="es-ES" w:eastAsia="en-US"/>
        </w:rPr>
      </w:pPr>
    </w:p>
    <w:p w14:paraId="548D9C3A" w14:textId="77777777" w:rsidR="00A94DD6" w:rsidRDefault="00A94DD6" w:rsidP="00643620">
      <w:pPr>
        <w:spacing w:after="360" w:line="360" w:lineRule="auto"/>
        <w:ind w:right="-159"/>
        <w:jc w:val="both"/>
        <w:rPr>
          <w:rFonts w:eastAsia="Calibri"/>
          <w:sz w:val="26"/>
          <w:szCs w:val="26"/>
          <w:lang w:val="es-ES" w:eastAsia="en-US"/>
        </w:rPr>
      </w:pPr>
    </w:p>
    <w:p w14:paraId="57AF5242" w14:textId="77777777" w:rsidR="00A94DD6" w:rsidRDefault="00A94DD6" w:rsidP="00643620">
      <w:pPr>
        <w:spacing w:after="360" w:line="360" w:lineRule="auto"/>
        <w:ind w:right="-159"/>
        <w:jc w:val="both"/>
        <w:rPr>
          <w:rFonts w:eastAsia="Calibri"/>
          <w:sz w:val="26"/>
          <w:szCs w:val="26"/>
          <w:lang w:val="es-ES" w:eastAsia="en-US"/>
        </w:rPr>
      </w:pPr>
    </w:p>
    <w:p w14:paraId="7BF38B1C" w14:textId="77777777" w:rsidR="00A94DD6" w:rsidRDefault="00A94DD6" w:rsidP="00643620">
      <w:pPr>
        <w:spacing w:after="360" w:line="360" w:lineRule="auto"/>
        <w:ind w:right="-159"/>
        <w:jc w:val="both"/>
        <w:rPr>
          <w:rFonts w:eastAsia="Calibri"/>
          <w:sz w:val="26"/>
          <w:szCs w:val="26"/>
          <w:lang w:val="es-ES" w:eastAsia="en-US"/>
        </w:rPr>
      </w:pPr>
    </w:p>
    <w:p w14:paraId="492CA8E8" w14:textId="77777777" w:rsidR="00A94DD6" w:rsidRPr="00643620" w:rsidRDefault="00A94DD6" w:rsidP="00643620">
      <w:pPr>
        <w:spacing w:after="360" w:line="360" w:lineRule="auto"/>
        <w:ind w:right="-159"/>
        <w:jc w:val="both"/>
        <w:rPr>
          <w:rFonts w:eastAsia="Calibri"/>
          <w:sz w:val="26"/>
          <w:szCs w:val="26"/>
          <w:lang w:val="es-ES" w:eastAsia="en-US"/>
        </w:rPr>
      </w:pPr>
    </w:p>
    <w:tbl>
      <w:tblPr>
        <w:tblW w:w="9074" w:type="dxa"/>
        <w:jc w:val="center"/>
        <w:tblLook w:val="04A0" w:firstRow="1" w:lastRow="0" w:firstColumn="1" w:lastColumn="0" w:noHBand="0" w:noVBand="1"/>
      </w:tblPr>
      <w:tblGrid>
        <w:gridCol w:w="851"/>
        <w:gridCol w:w="1812"/>
        <w:gridCol w:w="2299"/>
        <w:gridCol w:w="2551"/>
        <w:gridCol w:w="1561"/>
      </w:tblGrid>
      <w:tr w:rsidR="00643620" w:rsidRPr="00643620" w14:paraId="788AC8DE" w14:textId="77777777" w:rsidTr="00643620">
        <w:trPr>
          <w:jc w:val="center"/>
        </w:trPr>
        <w:tc>
          <w:tcPr>
            <w:tcW w:w="9074" w:type="dxa"/>
            <w:gridSpan w:val="5"/>
            <w:tcBorders>
              <w:top w:val="nil"/>
              <w:left w:val="nil"/>
              <w:bottom w:val="single" w:sz="4" w:space="0" w:color="auto"/>
              <w:right w:val="nil"/>
            </w:tcBorders>
          </w:tcPr>
          <w:p w14:paraId="523FE6EC" w14:textId="77777777" w:rsidR="00643620" w:rsidRPr="00643620" w:rsidRDefault="00643620" w:rsidP="00643620">
            <w:pPr>
              <w:jc w:val="center"/>
              <w:rPr>
                <w:rFonts w:eastAsia="Calibri"/>
                <w:b/>
                <w:sz w:val="22"/>
                <w:szCs w:val="22"/>
                <w:lang w:val="es-ES" w:eastAsia="en-US"/>
              </w:rPr>
            </w:pPr>
            <w:r w:rsidRPr="00643620">
              <w:rPr>
                <w:rFonts w:eastAsia="Calibri"/>
                <w:b/>
                <w:sz w:val="22"/>
                <w:szCs w:val="22"/>
                <w:lang w:val="es-ES" w:eastAsia="en-US"/>
              </w:rPr>
              <w:lastRenderedPageBreak/>
              <w:t>LAS 10 MARCAS MÁS PODEROSAS DEL AÑO</w:t>
            </w:r>
          </w:p>
        </w:tc>
      </w:tr>
      <w:tr w:rsidR="00643620" w:rsidRPr="00643620" w14:paraId="3365C957" w14:textId="77777777" w:rsidTr="00643620">
        <w:trPr>
          <w:jc w:val="center"/>
        </w:trPr>
        <w:tc>
          <w:tcPr>
            <w:tcW w:w="851" w:type="dxa"/>
            <w:tcBorders>
              <w:top w:val="single" w:sz="4" w:space="0" w:color="auto"/>
              <w:left w:val="single" w:sz="4" w:space="0" w:color="auto"/>
              <w:bottom w:val="single" w:sz="4" w:space="0" w:color="auto"/>
              <w:right w:val="single" w:sz="4" w:space="0" w:color="auto"/>
            </w:tcBorders>
            <w:vAlign w:val="center"/>
          </w:tcPr>
          <w:p w14:paraId="7F48E461" w14:textId="77777777" w:rsidR="00643620" w:rsidRPr="00643620" w:rsidRDefault="00643620" w:rsidP="00643620">
            <w:pPr>
              <w:jc w:val="center"/>
              <w:rPr>
                <w:rFonts w:eastAsia="Calibri"/>
                <w:b/>
                <w:sz w:val="18"/>
                <w:szCs w:val="18"/>
                <w:lang w:val="es-ES" w:eastAsia="en-US"/>
              </w:rPr>
            </w:pPr>
            <w:r w:rsidRPr="00643620">
              <w:rPr>
                <w:rFonts w:eastAsia="Calibri"/>
                <w:b/>
                <w:sz w:val="18"/>
                <w:szCs w:val="18"/>
                <w:lang w:val="es-ES" w:eastAsia="en-US"/>
              </w:rPr>
              <w:t>Lugar</w:t>
            </w:r>
          </w:p>
        </w:tc>
        <w:tc>
          <w:tcPr>
            <w:tcW w:w="1812" w:type="dxa"/>
            <w:tcBorders>
              <w:top w:val="single" w:sz="4" w:space="0" w:color="auto"/>
              <w:left w:val="single" w:sz="4" w:space="0" w:color="auto"/>
              <w:bottom w:val="single" w:sz="4" w:space="0" w:color="auto"/>
              <w:right w:val="single" w:sz="4" w:space="0" w:color="auto"/>
            </w:tcBorders>
            <w:vAlign w:val="center"/>
          </w:tcPr>
          <w:p w14:paraId="2A6E67A2" w14:textId="77777777" w:rsidR="00643620" w:rsidRPr="00643620" w:rsidRDefault="00643620" w:rsidP="00643620">
            <w:pPr>
              <w:spacing w:before="40"/>
              <w:jc w:val="center"/>
              <w:rPr>
                <w:rFonts w:eastAsia="Calibri"/>
                <w:b/>
                <w:sz w:val="18"/>
                <w:szCs w:val="18"/>
                <w:lang w:val="es-ES" w:eastAsia="en-US"/>
              </w:rPr>
            </w:pPr>
            <w:r w:rsidRPr="00643620">
              <w:rPr>
                <w:rFonts w:eastAsia="Calibri"/>
                <w:b/>
                <w:sz w:val="18"/>
                <w:szCs w:val="18"/>
                <w:lang w:val="es-ES" w:eastAsia="en-US"/>
              </w:rPr>
              <w:t>Marca</w:t>
            </w:r>
          </w:p>
        </w:tc>
        <w:tc>
          <w:tcPr>
            <w:tcW w:w="2299" w:type="dxa"/>
            <w:tcBorders>
              <w:top w:val="single" w:sz="4" w:space="0" w:color="auto"/>
              <w:left w:val="single" w:sz="4" w:space="0" w:color="auto"/>
              <w:bottom w:val="single" w:sz="4" w:space="0" w:color="auto"/>
              <w:right w:val="single" w:sz="4" w:space="0" w:color="auto"/>
            </w:tcBorders>
            <w:vAlign w:val="center"/>
          </w:tcPr>
          <w:p w14:paraId="688A7835" w14:textId="77777777" w:rsidR="00643620" w:rsidRPr="00643620" w:rsidRDefault="00643620" w:rsidP="00643620">
            <w:pPr>
              <w:jc w:val="center"/>
              <w:rPr>
                <w:rFonts w:eastAsia="Calibri"/>
                <w:b/>
                <w:sz w:val="18"/>
                <w:szCs w:val="18"/>
                <w:lang w:val="es-ES" w:eastAsia="en-US"/>
              </w:rPr>
            </w:pPr>
            <w:r w:rsidRPr="00643620">
              <w:rPr>
                <w:rFonts w:eastAsia="Calibri"/>
                <w:b/>
                <w:sz w:val="18"/>
                <w:szCs w:val="18"/>
                <w:lang w:val="es-ES" w:eastAsia="en-US"/>
              </w:rPr>
              <w:t>Industria</w:t>
            </w:r>
          </w:p>
        </w:tc>
        <w:tc>
          <w:tcPr>
            <w:tcW w:w="2551" w:type="dxa"/>
            <w:tcBorders>
              <w:top w:val="single" w:sz="4" w:space="0" w:color="auto"/>
              <w:left w:val="single" w:sz="4" w:space="0" w:color="auto"/>
              <w:bottom w:val="single" w:sz="4" w:space="0" w:color="auto"/>
              <w:right w:val="single" w:sz="4" w:space="0" w:color="auto"/>
            </w:tcBorders>
            <w:vAlign w:val="center"/>
          </w:tcPr>
          <w:p w14:paraId="23327899" w14:textId="77777777" w:rsidR="00643620" w:rsidRPr="00643620" w:rsidRDefault="00643620" w:rsidP="00643620">
            <w:pPr>
              <w:jc w:val="center"/>
              <w:rPr>
                <w:rFonts w:eastAsia="Calibri"/>
                <w:b/>
                <w:sz w:val="18"/>
                <w:szCs w:val="18"/>
                <w:lang w:val="es-ES" w:eastAsia="en-US"/>
              </w:rPr>
            </w:pPr>
            <w:r w:rsidRPr="00643620">
              <w:rPr>
                <w:rFonts w:eastAsia="Calibri"/>
                <w:b/>
                <w:sz w:val="18"/>
                <w:szCs w:val="18"/>
                <w:lang w:val="es-ES" w:eastAsia="en-US"/>
              </w:rPr>
              <w:t>Sede</w:t>
            </w:r>
          </w:p>
        </w:tc>
        <w:tc>
          <w:tcPr>
            <w:tcW w:w="1561" w:type="dxa"/>
            <w:tcBorders>
              <w:top w:val="single" w:sz="4" w:space="0" w:color="auto"/>
              <w:left w:val="single" w:sz="4" w:space="0" w:color="auto"/>
              <w:bottom w:val="single" w:sz="4" w:space="0" w:color="auto"/>
              <w:right w:val="single" w:sz="4" w:space="0" w:color="auto"/>
            </w:tcBorders>
            <w:vAlign w:val="center"/>
          </w:tcPr>
          <w:p w14:paraId="62495C46" w14:textId="77777777" w:rsidR="00643620" w:rsidRPr="00643620" w:rsidRDefault="00643620" w:rsidP="00643620">
            <w:pPr>
              <w:jc w:val="center"/>
              <w:rPr>
                <w:rFonts w:eastAsia="Calibri"/>
                <w:b/>
                <w:sz w:val="18"/>
                <w:szCs w:val="18"/>
                <w:lang w:val="es-ES" w:eastAsia="en-US"/>
              </w:rPr>
            </w:pPr>
            <w:r w:rsidRPr="00643620">
              <w:rPr>
                <w:rFonts w:eastAsia="Calibri"/>
                <w:b/>
                <w:sz w:val="18"/>
                <w:szCs w:val="18"/>
                <w:lang w:val="es-ES" w:eastAsia="en-US"/>
              </w:rPr>
              <w:t>Fuerza de marca</w:t>
            </w:r>
          </w:p>
        </w:tc>
      </w:tr>
      <w:tr w:rsidR="00643620" w:rsidRPr="00643620" w14:paraId="3FD4F67F" w14:textId="77777777" w:rsidTr="00643620">
        <w:trPr>
          <w:jc w:val="center"/>
        </w:trPr>
        <w:tc>
          <w:tcPr>
            <w:tcW w:w="851" w:type="dxa"/>
            <w:tcBorders>
              <w:top w:val="single" w:sz="4" w:space="0" w:color="auto"/>
              <w:left w:val="single" w:sz="4" w:space="0" w:color="auto"/>
              <w:bottom w:val="nil"/>
              <w:right w:val="single" w:sz="4" w:space="0" w:color="auto"/>
            </w:tcBorders>
            <w:vAlign w:val="center"/>
          </w:tcPr>
          <w:p w14:paraId="62E9D543" w14:textId="77777777" w:rsidR="00643620" w:rsidRPr="00643620" w:rsidRDefault="00643620" w:rsidP="00643620">
            <w:pPr>
              <w:ind w:right="57"/>
              <w:jc w:val="center"/>
              <w:rPr>
                <w:rFonts w:eastAsia="Calibri"/>
                <w:sz w:val="18"/>
                <w:szCs w:val="18"/>
                <w:lang w:val="es-ES" w:eastAsia="en-US"/>
              </w:rPr>
            </w:pPr>
            <w:r w:rsidRPr="00643620">
              <w:rPr>
                <w:rFonts w:eastAsia="Calibri"/>
                <w:sz w:val="18"/>
                <w:szCs w:val="18"/>
                <w:lang w:val="es-ES" w:eastAsia="en-US"/>
              </w:rPr>
              <w:t>1</w:t>
            </w:r>
          </w:p>
        </w:tc>
        <w:tc>
          <w:tcPr>
            <w:tcW w:w="1812" w:type="dxa"/>
            <w:tcBorders>
              <w:top w:val="single" w:sz="4" w:space="0" w:color="auto"/>
              <w:left w:val="single" w:sz="4" w:space="0" w:color="auto"/>
              <w:bottom w:val="nil"/>
              <w:right w:val="single" w:sz="4" w:space="0" w:color="auto"/>
            </w:tcBorders>
            <w:vAlign w:val="center"/>
          </w:tcPr>
          <w:p w14:paraId="3FA75032" w14:textId="77777777" w:rsidR="00643620" w:rsidRPr="00643620" w:rsidRDefault="00643620" w:rsidP="00643620">
            <w:pPr>
              <w:jc w:val="both"/>
              <w:rPr>
                <w:rFonts w:eastAsia="Calibri"/>
                <w:sz w:val="18"/>
                <w:szCs w:val="18"/>
                <w:lang w:val="es-ES" w:eastAsia="en-US"/>
              </w:rPr>
            </w:pPr>
            <w:r w:rsidRPr="00643620">
              <w:rPr>
                <w:rFonts w:eastAsia="Calibri"/>
                <w:sz w:val="18"/>
                <w:szCs w:val="18"/>
                <w:lang w:val="es-ES" w:eastAsia="en-US"/>
              </w:rPr>
              <w:t>Lego</w:t>
            </w:r>
          </w:p>
        </w:tc>
        <w:tc>
          <w:tcPr>
            <w:tcW w:w="2299" w:type="dxa"/>
            <w:tcBorders>
              <w:top w:val="single" w:sz="4" w:space="0" w:color="auto"/>
              <w:left w:val="single" w:sz="4" w:space="0" w:color="auto"/>
              <w:bottom w:val="nil"/>
              <w:right w:val="single" w:sz="4" w:space="0" w:color="auto"/>
            </w:tcBorders>
            <w:vAlign w:val="center"/>
          </w:tcPr>
          <w:p w14:paraId="10BC5460" w14:textId="77777777" w:rsidR="00643620" w:rsidRPr="00643620" w:rsidRDefault="00643620" w:rsidP="00643620">
            <w:pPr>
              <w:spacing w:before="20"/>
              <w:jc w:val="both"/>
              <w:rPr>
                <w:rFonts w:eastAsia="Calibri"/>
                <w:sz w:val="18"/>
                <w:szCs w:val="18"/>
                <w:lang w:val="es-ES" w:eastAsia="en-US"/>
              </w:rPr>
            </w:pPr>
            <w:r w:rsidRPr="00643620">
              <w:rPr>
                <w:rFonts w:eastAsia="Calibri"/>
                <w:sz w:val="18"/>
                <w:szCs w:val="18"/>
                <w:lang w:val="es-ES" w:eastAsia="en-US"/>
              </w:rPr>
              <w:t xml:space="preserve">Juguetes </w:t>
            </w:r>
          </w:p>
        </w:tc>
        <w:tc>
          <w:tcPr>
            <w:tcW w:w="2551" w:type="dxa"/>
            <w:tcBorders>
              <w:top w:val="single" w:sz="4" w:space="0" w:color="auto"/>
              <w:left w:val="single" w:sz="4" w:space="0" w:color="auto"/>
              <w:bottom w:val="nil"/>
              <w:right w:val="single" w:sz="4" w:space="0" w:color="auto"/>
            </w:tcBorders>
            <w:vAlign w:val="center"/>
          </w:tcPr>
          <w:p w14:paraId="23FDA1EC" w14:textId="77777777" w:rsidR="00643620" w:rsidRPr="00643620" w:rsidRDefault="00643620" w:rsidP="00643620">
            <w:pPr>
              <w:jc w:val="both"/>
              <w:rPr>
                <w:rFonts w:eastAsia="Calibri"/>
                <w:sz w:val="18"/>
                <w:szCs w:val="18"/>
                <w:lang w:val="es-ES" w:eastAsia="en-US"/>
              </w:rPr>
            </w:pPr>
            <w:r w:rsidRPr="00643620">
              <w:rPr>
                <w:rFonts w:eastAsia="Calibri"/>
                <w:sz w:val="18"/>
                <w:szCs w:val="18"/>
                <w:lang w:val="es-ES" w:eastAsia="en-US"/>
              </w:rPr>
              <w:t xml:space="preserve">Dinamarca </w:t>
            </w:r>
          </w:p>
        </w:tc>
        <w:tc>
          <w:tcPr>
            <w:tcW w:w="1561" w:type="dxa"/>
            <w:tcBorders>
              <w:top w:val="single" w:sz="4" w:space="0" w:color="auto"/>
              <w:left w:val="single" w:sz="4" w:space="0" w:color="auto"/>
              <w:bottom w:val="nil"/>
              <w:right w:val="single" w:sz="4" w:space="0" w:color="auto"/>
            </w:tcBorders>
            <w:vAlign w:val="center"/>
          </w:tcPr>
          <w:p w14:paraId="5439934E" w14:textId="77777777" w:rsidR="00643620" w:rsidRPr="00643620" w:rsidRDefault="00643620" w:rsidP="00643620">
            <w:pPr>
              <w:jc w:val="center"/>
              <w:rPr>
                <w:rFonts w:eastAsia="Calibri"/>
                <w:sz w:val="18"/>
                <w:szCs w:val="18"/>
                <w:lang w:val="es-ES" w:eastAsia="en-US"/>
              </w:rPr>
            </w:pPr>
            <w:r w:rsidRPr="00643620">
              <w:rPr>
                <w:rFonts w:eastAsia="Calibri"/>
                <w:sz w:val="18"/>
                <w:szCs w:val="18"/>
                <w:lang w:val="es-ES" w:eastAsia="en-US"/>
              </w:rPr>
              <w:t>93.4</w:t>
            </w:r>
          </w:p>
        </w:tc>
      </w:tr>
      <w:tr w:rsidR="00643620" w:rsidRPr="00643620" w14:paraId="36B5709C" w14:textId="77777777" w:rsidTr="00643620">
        <w:trPr>
          <w:jc w:val="center"/>
        </w:trPr>
        <w:tc>
          <w:tcPr>
            <w:tcW w:w="851" w:type="dxa"/>
            <w:tcBorders>
              <w:top w:val="nil"/>
              <w:left w:val="single" w:sz="4" w:space="0" w:color="auto"/>
              <w:bottom w:val="nil"/>
              <w:right w:val="single" w:sz="4" w:space="0" w:color="auto"/>
            </w:tcBorders>
            <w:vAlign w:val="center"/>
          </w:tcPr>
          <w:p w14:paraId="680133D6" w14:textId="77777777" w:rsidR="00643620" w:rsidRPr="00643620" w:rsidRDefault="00643620" w:rsidP="00643620">
            <w:pPr>
              <w:ind w:right="57"/>
              <w:jc w:val="center"/>
              <w:rPr>
                <w:rFonts w:eastAsia="Calibri"/>
                <w:sz w:val="18"/>
                <w:szCs w:val="18"/>
                <w:lang w:val="es-ES" w:eastAsia="en-US"/>
              </w:rPr>
            </w:pPr>
            <w:r w:rsidRPr="00643620">
              <w:rPr>
                <w:rFonts w:eastAsia="Calibri"/>
                <w:sz w:val="18"/>
                <w:szCs w:val="18"/>
                <w:lang w:val="es-ES" w:eastAsia="en-US"/>
              </w:rPr>
              <w:t>2</w:t>
            </w:r>
          </w:p>
        </w:tc>
        <w:tc>
          <w:tcPr>
            <w:tcW w:w="1812" w:type="dxa"/>
            <w:tcBorders>
              <w:top w:val="nil"/>
              <w:left w:val="single" w:sz="4" w:space="0" w:color="auto"/>
              <w:bottom w:val="nil"/>
              <w:right w:val="single" w:sz="4" w:space="0" w:color="auto"/>
            </w:tcBorders>
            <w:vAlign w:val="center"/>
          </w:tcPr>
          <w:p w14:paraId="112E8072" w14:textId="77777777" w:rsidR="00643620" w:rsidRPr="00643620" w:rsidRDefault="00643620" w:rsidP="00643620">
            <w:pPr>
              <w:jc w:val="both"/>
              <w:rPr>
                <w:rFonts w:eastAsia="Calibri"/>
                <w:sz w:val="18"/>
                <w:szCs w:val="18"/>
                <w:lang w:val="es-ES" w:eastAsia="en-US"/>
              </w:rPr>
            </w:pPr>
            <w:r w:rsidRPr="00643620">
              <w:rPr>
                <w:rFonts w:eastAsia="Calibri"/>
                <w:sz w:val="18"/>
                <w:szCs w:val="18"/>
                <w:lang w:val="es-ES" w:eastAsia="en-US"/>
              </w:rPr>
              <w:t>PwC</w:t>
            </w:r>
          </w:p>
        </w:tc>
        <w:tc>
          <w:tcPr>
            <w:tcW w:w="2299" w:type="dxa"/>
            <w:tcBorders>
              <w:top w:val="nil"/>
              <w:left w:val="single" w:sz="4" w:space="0" w:color="auto"/>
              <w:bottom w:val="nil"/>
              <w:right w:val="single" w:sz="4" w:space="0" w:color="auto"/>
            </w:tcBorders>
            <w:vAlign w:val="center"/>
          </w:tcPr>
          <w:p w14:paraId="400257E0" w14:textId="77777777" w:rsidR="00643620" w:rsidRPr="00643620" w:rsidRDefault="00643620" w:rsidP="00643620">
            <w:pPr>
              <w:spacing w:before="20"/>
              <w:jc w:val="both"/>
              <w:rPr>
                <w:rFonts w:eastAsia="Calibri"/>
                <w:sz w:val="18"/>
                <w:szCs w:val="18"/>
                <w:lang w:val="es-ES" w:eastAsia="en-US"/>
              </w:rPr>
            </w:pPr>
            <w:r w:rsidRPr="00643620">
              <w:rPr>
                <w:rFonts w:eastAsia="Calibri"/>
                <w:sz w:val="18"/>
                <w:szCs w:val="18"/>
                <w:lang w:val="es-ES" w:eastAsia="en-US"/>
              </w:rPr>
              <w:t>Servicios profesionales</w:t>
            </w:r>
          </w:p>
        </w:tc>
        <w:tc>
          <w:tcPr>
            <w:tcW w:w="2551" w:type="dxa"/>
            <w:tcBorders>
              <w:top w:val="nil"/>
              <w:left w:val="single" w:sz="4" w:space="0" w:color="auto"/>
              <w:bottom w:val="nil"/>
              <w:right w:val="single" w:sz="4" w:space="0" w:color="auto"/>
            </w:tcBorders>
            <w:vAlign w:val="center"/>
          </w:tcPr>
          <w:p w14:paraId="34F20AA3" w14:textId="77777777" w:rsidR="00643620" w:rsidRPr="00643620" w:rsidRDefault="00643620" w:rsidP="00643620">
            <w:pPr>
              <w:jc w:val="both"/>
              <w:rPr>
                <w:rFonts w:eastAsia="Calibri"/>
                <w:sz w:val="18"/>
                <w:szCs w:val="18"/>
                <w:lang w:val="es-ES" w:eastAsia="en-US"/>
              </w:rPr>
            </w:pPr>
            <w:r w:rsidRPr="00643620">
              <w:rPr>
                <w:rFonts w:eastAsia="Calibri"/>
                <w:sz w:val="18"/>
                <w:szCs w:val="18"/>
                <w:lang w:val="es-ES" w:eastAsia="en-US"/>
              </w:rPr>
              <w:t>Estados Unidos de Norteamérica</w:t>
            </w:r>
          </w:p>
        </w:tc>
        <w:tc>
          <w:tcPr>
            <w:tcW w:w="1561" w:type="dxa"/>
            <w:tcBorders>
              <w:top w:val="nil"/>
              <w:left w:val="single" w:sz="4" w:space="0" w:color="auto"/>
              <w:bottom w:val="nil"/>
              <w:right w:val="single" w:sz="4" w:space="0" w:color="auto"/>
            </w:tcBorders>
            <w:vAlign w:val="center"/>
          </w:tcPr>
          <w:p w14:paraId="448ED606" w14:textId="77777777" w:rsidR="00643620" w:rsidRPr="00643620" w:rsidRDefault="00643620" w:rsidP="00643620">
            <w:pPr>
              <w:jc w:val="center"/>
              <w:rPr>
                <w:rFonts w:eastAsia="Calibri"/>
                <w:sz w:val="18"/>
                <w:szCs w:val="18"/>
                <w:lang w:val="es-ES" w:eastAsia="en-US"/>
              </w:rPr>
            </w:pPr>
            <w:r w:rsidRPr="00643620">
              <w:rPr>
                <w:rFonts w:eastAsia="Calibri"/>
                <w:sz w:val="18"/>
                <w:szCs w:val="18"/>
                <w:lang w:val="es-ES" w:eastAsia="en-US"/>
              </w:rPr>
              <w:t>91.8</w:t>
            </w:r>
          </w:p>
        </w:tc>
      </w:tr>
      <w:tr w:rsidR="00643620" w:rsidRPr="00643620" w14:paraId="5F070B16" w14:textId="77777777" w:rsidTr="00643620">
        <w:trPr>
          <w:jc w:val="center"/>
        </w:trPr>
        <w:tc>
          <w:tcPr>
            <w:tcW w:w="851" w:type="dxa"/>
            <w:tcBorders>
              <w:top w:val="nil"/>
              <w:left w:val="single" w:sz="4" w:space="0" w:color="auto"/>
              <w:bottom w:val="nil"/>
              <w:right w:val="single" w:sz="4" w:space="0" w:color="auto"/>
            </w:tcBorders>
            <w:vAlign w:val="center"/>
          </w:tcPr>
          <w:p w14:paraId="69ADCEA3" w14:textId="77777777" w:rsidR="00643620" w:rsidRPr="00643620" w:rsidRDefault="00643620" w:rsidP="00643620">
            <w:pPr>
              <w:ind w:right="57"/>
              <w:jc w:val="center"/>
              <w:rPr>
                <w:rFonts w:eastAsia="Calibri"/>
                <w:sz w:val="18"/>
                <w:szCs w:val="18"/>
                <w:lang w:val="es-ES" w:eastAsia="en-US"/>
              </w:rPr>
            </w:pPr>
            <w:r w:rsidRPr="00643620">
              <w:rPr>
                <w:rFonts w:eastAsia="Calibri"/>
                <w:sz w:val="18"/>
                <w:szCs w:val="18"/>
                <w:lang w:val="es-ES" w:eastAsia="en-US"/>
              </w:rPr>
              <w:t>3</w:t>
            </w:r>
          </w:p>
        </w:tc>
        <w:tc>
          <w:tcPr>
            <w:tcW w:w="1812" w:type="dxa"/>
            <w:tcBorders>
              <w:top w:val="nil"/>
              <w:left w:val="single" w:sz="4" w:space="0" w:color="auto"/>
              <w:bottom w:val="nil"/>
              <w:right w:val="single" w:sz="4" w:space="0" w:color="auto"/>
            </w:tcBorders>
            <w:vAlign w:val="center"/>
          </w:tcPr>
          <w:p w14:paraId="4BDD255F" w14:textId="77777777" w:rsidR="00643620" w:rsidRPr="00643620" w:rsidRDefault="00643620" w:rsidP="00643620">
            <w:pPr>
              <w:jc w:val="both"/>
              <w:rPr>
                <w:rFonts w:eastAsia="Calibri"/>
                <w:sz w:val="18"/>
                <w:szCs w:val="18"/>
                <w:lang w:val="es-ES" w:eastAsia="en-US"/>
              </w:rPr>
            </w:pPr>
            <w:r w:rsidRPr="00643620">
              <w:rPr>
                <w:rFonts w:eastAsia="Calibri"/>
                <w:sz w:val="18"/>
                <w:szCs w:val="18"/>
                <w:lang w:val="es-ES" w:eastAsia="en-US"/>
              </w:rPr>
              <w:t>Red Bull</w:t>
            </w:r>
          </w:p>
        </w:tc>
        <w:tc>
          <w:tcPr>
            <w:tcW w:w="2299" w:type="dxa"/>
            <w:tcBorders>
              <w:top w:val="nil"/>
              <w:left w:val="single" w:sz="4" w:space="0" w:color="auto"/>
              <w:bottom w:val="nil"/>
              <w:right w:val="single" w:sz="4" w:space="0" w:color="auto"/>
            </w:tcBorders>
            <w:vAlign w:val="center"/>
          </w:tcPr>
          <w:p w14:paraId="7DEF8566" w14:textId="77777777" w:rsidR="00643620" w:rsidRPr="00643620" w:rsidRDefault="00643620" w:rsidP="00643620">
            <w:pPr>
              <w:spacing w:before="20"/>
              <w:jc w:val="both"/>
              <w:rPr>
                <w:rFonts w:eastAsia="Calibri"/>
                <w:sz w:val="18"/>
                <w:szCs w:val="18"/>
                <w:lang w:val="es-ES" w:eastAsia="en-US"/>
              </w:rPr>
            </w:pPr>
            <w:r w:rsidRPr="00643620">
              <w:rPr>
                <w:rFonts w:eastAsia="Calibri"/>
                <w:sz w:val="18"/>
                <w:szCs w:val="18"/>
                <w:lang w:val="es-ES" w:eastAsia="en-US"/>
              </w:rPr>
              <w:t xml:space="preserve">Bebidas </w:t>
            </w:r>
          </w:p>
        </w:tc>
        <w:tc>
          <w:tcPr>
            <w:tcW w:w="2551" w:type="dxa"/>
            <w:tcBorders>
              <w:top w:val="nil"/>
              <w:left w:val="single" w:sz="4" w:space="0" w:color="auto"/>
              <w:bottom w:val="nil"/>
              <w:right w:val="single" w:sz="4" w:space="0" w:color="auto"/>
            </w:tcBorders>
            <w:vAlign w:val="center"/>
          </w:tcPr>
          <w:p w14:paraId="68DD9CBA" w14:textId="77777777" w:rsidR="00643620" w:rsidRPr="00643620" w:rsidRDefault="00643620" w:rsidP="00643620">
            <w:pPr>
              <w:jc w:val="both"/>
              <w:rPr>
                <w:rFonts w:eastAsia="Calibri"/>
                <w:sz w:val="18"/>
                <w:szCs w:val="18"/>
                <w:lang w:val="es-ES" w:eastAsia="en-US"/>
              </w:rPr>
            </w:pPr>
            <w:r w:rsidRPr="00643620">
              <w:rPr>
                <w:rFonts w:eastAsia="Calibri"/>
                <w:sz w:val="18"/>
                <w:szCs w:val="18"/>
                <w:lang w:val="es-ES" w:eastAsia="en-US"/>
              </w:rPr>
              <w:t xml:space="preserve">Austria </w:t>
            </w:r>
          </w:p>
        </w:tc>
        <w:tc>
          <w:tcPr>
            <w:tcW w:w="1561" w:type="dxa"/>
            <w:tcBorders>
              <w:top w:val="nil"/>
              <w:left w:val="single" w:sz="4" w:space="0" w:color="auto"/>
              <w:bottom w:val="nil"/>
              <w:right w:val="single" w:sz="4" w:space="0" w:color="auto"/>
            </w:tcBorders>
            <w:vAlign w:val="center"/>
          </w:tcPr>
          <w:p w14:paraId="18D28362" w14:textId="77777777" w:rsidR="00643620" w:rsidRPr="00643620" w:rsidRDefault="00643620" w:rsidP="00643620">
            <w:pPr>
              <w:jc w:val="center"/>
              <w:rPr>
                <w:rFonts w:eastAsia="Calibri"/>
                <w:sz w:val="18"/>
                <w:szCs w:val="18"/>
                <w:lang w:val="es-ES" w:eastAsia="en-US"/>
              </w:rPr>
            </w:pPr>
            <w:r w:rsidRPr="00643620">
              <w:rPr>
                <w:rFonts w:eastAsia="Calibri"/>
                <w:sz w:val="18"/>
                <w:szCs w:val="18"/>
                <w:lang w:val="es-ES" w:eastAsia="en-US"/>
              </w:rPr>
              <w:t>91.1</w:t>
            </w:r>
          </w:p>
        </w:tc>
      </w:tr>
      <w:tr w:rsidR="00643620" w:rsidRPr="00643620" w14:paraId="1E7C1743" w14:textId="77777777" w:rsidTr="00643620">
        <w:trPr>
          <w:jc w:val="center"/>
        </w:trPr>
        <w:tc>
          <w:tcPr>
            <w:tcW w:w="851" w:type="dxa"/>
            <w:tcBorders>
              <w:top w:val="nil"/>
              <w:left w:val="single" w:sz="4" w:space="0" w:color="auto"/>
              <w:bottom w:val="nil"/>
              <w:right w:val="single" w:sz="4" w:space="0" w:color="auto"/>
            </w:tcBorders>
            <w:vAlign w:val="center"/>
          </w:tcPr>
          <w:p w14:paraId="2C412595" w14:textId="77777777" w:rsidR="00643620" w:rsidRPr="00643620" w:rsidRDefault="00643620" w:rsidP="00643620">
            <w:pPr>
              <w:ind w:right="57"/>
              <w:jc w:val="center"/>
              <w:rPr>
                <w:rFonts w:eastAsia="Calibri"/>
                <w:sz w:val="18"/>
                <w:szCs w:val="18"/>
                <w:lang w:val="es-ES" w:eastAsia="en-US"/>
              </w:rPr>
            </w:pPr>
            <w:r w:rsidRPr="00643620">
              <w:rPr>
                <w:rFonts w:eastAsia="Calibri"/>
                <w:sz w:val="18"/>
                <w:szCs w:val="18"/>
                <w:lang w:val="es-ES" w:eastAsia="en-US"/>
              </w:rPr>
              <w:t>4</w:t>
            </w:r>
          </w:p>
        </w:tc>
        <w:tc>
          <w:tcPr>
            <w:tcW w:w="1812" w:type="dxa"/>
            <w:tcBorders>
              <w:top w:val="nil"/>
              <w:left w:val="single" w:sz="4" w:space="0" w:color="auto"/>
              <w:bottom w:val="nil"/>
              <w:right w:val="single" w:sz="4" w:space="0" w:color="auto"/>
            </w:tcBorders>
            <w:vAlign w:val="center"/>
          </w:tcPr>
          <w:p w14:paraId="5A4B8FC2" w14:textId="77777777" w:rsidR="00643620" w:rsidRPr="00643620" w:rsidRDefault="00643620" w:rsidP="00643620">
            <w:pPr>
              <w:jc w:val="both"/>
              <w:rPr>
                <w:rFonts w:eastAsia="Calibri"/>
                <w:sz w:val="18"/>
                <w:szCs w:val="18"/>
                <w:lang w:val="es-ES" w:eastAsia="en-US"/>
              </w:rPr>
            </w:pPr>
            <w:r w:rsidRPr="00643620">
              <w:rPr>
                <w:rFonts w:eastAsia="Calibri"/>
                <w:sz w:val="18"/>
                <w:szCs w:val="18"/>
                <w:lang w:val="es-ES" w:eastAsia="en-US"/>
              </w:rPr>
              <w:t>McKinsey (empate)</w:t>
            </w:r>
          </w:p>
        </w:tc>
        <w:tc>
          <w:tcPr>
            <w:tcW w:w="2299" w:type="dxa"/>
            <w:tcBorders>
              <w:top w:val="nil"/>
              <w:left w:val="single" w:sz="4" w:space="0" w:color="auto"/>
              <w:bottom w:val="nil"/>
              <w:right w:val="single" w:sz="4" w:space="0" w:color="auto"/>
            </w:tcBorders>
            <w:vAlign w:val="center"/>
          </w:tcPr>
          <w:p w14:paraId="1FD6DC05" w14:textId="77777777" w:rsidR="00643620" w:rsidRPr="00643620" w:rsidRDefault="00643620" w:rsidP="00643620">
            <w:pPr>
              <w:spacing w:before="20"/>
              <w:jc w:val="both"/>
              <w:rPr>
                <w:rFonts w:eastAsia="Calibri"/>
                <w:sz w:val="18"/>
                <w:szCs w:val="18"/>
                <w:lang w:val="es-ES" w:eastAsia="en-US"/>
              </w:rPr>
            </w:pPr>
            <w:r w:rsidRPr="00643620">
              <w:rPr>
                <w:rFonts w:eastAsia="Calibri"/>
                <w:sz w:val="18"/>
                <w:szCs w:val="18"/>
                <w:lang w:val="es-ES" w:eastAsia="en-US"/>
              </w:rPr>
              <w:t>Servicios profesionales</w:t>
            </w:r>
          </w:p>
        </w:tc>
        <w:tc>
          <w:tcPr>
            <w:tcW w:w="2551" w:type="dxa"/>
            <w:tcBorders>
              <w:top w:val="nil"/>
              <w:left w:val="single" w:sz="4" w:space="0" w:color="auto"/>
              <w:bottom w:val="nil"/>
              <w:right w:val="single" w:sz="4" w:space="0" w:color="auto"/>
            </w:tcBorders>
            <w:vAlign w:val="center"/>
          </w:tcPr>
          <w:p w14:paraId="10C37DCB" w14:textId="77777777" w:rsidR="00643620" w:rsidRPr="00643620" w:rsidRDefault="00643620" w:rsidP="00643620">
            <w:pPr>
              <w:jc w:val="both"/>
              <w:rPr>
                <w:rFonts w:eastAsia="Calibri"/>
                <w:sz w:val="18"/>
                <w:szCs w:val="18"/>
                <w:lang w:val="es-ES" w:eastAsia="en-US"/>
              </w:rPr>
            </w:pPr>
            <w:r w:rsidRPr="00643620">
              <w:rPr>
                <w:rFonts w:eastAsia="Calibri"/>
                <w:sz w:val="18"/>
                <w:szCs w:val="18"/>
                <w:lang w:val="es-ES" w:eastAsia="en-US"/>
              </w:rPr>
              <w:t>Estados Unidos de Norteamérica</w:t>
            </w:r>
          </w:p>
        </w:tc>
        <w:tc>
          <w:tcPr>
            <w:tcW w:w="1561" w:type="dxa"/>
            <w:tcBorders>
              <w:top w:val="nil"/>
              <w:left w:val="single" w:sz="4" w:space="0" w:color="auto"/>
              <w:bottom w:val="nil"/>
              <w:right w:val="single" w:sz="4" w:space="0" w:color="auto"/>
            </w:tcBorders>
            <w:vAlign w:val="center"/>
          </w:tcPr>
          <w:p w14:paraId="36BD7D48" w14:textId="77777777" w:rsidR="00643620" w:rsidRPr="00643620" w:rsidRDefault="00643620" w:rsidP="00643620">
            <w:pPr>
              <w:jc w:val="center"/>
              <w:rPr>
                <w:rFonts w:eastAsia="Calibri"/>
                <w:sz w:val="18"/>
                <w:szCs w:val="18"/>
                <w:lang w:val="es-ES" w:eastAsia="en-US"/>
              </w:rPr>
            </w:pPr>
            <w:r w:rsidRPr="00643620">
              <w:rPr>
                <w:rFonts w:eastAsia="Calibri"/>
                <w:sz w:val="18"/>
                <w:szCs w:val="18"/>
                <w:lang w:val="es-ES" w:eastAsia="en-US"/>
              </w:rPr>
              <w:t>90.1</w:t>
            </w:r>
          </w:p>
        </w:tc>
      </w:tr>
      <w:tr w:rsidR="00643620" w:rsidRPr="00643620" w14:paraId="4315524F" w14:textId="77777777" w:rsidTr="00643620">
        <w:trPr>
          <w:jc w:val="center"/>
        </w:trPr>
        <w:tc>
          <w:tcPr>
            <w:tcW w:w="851" w:type="dxa"/>
            <w:tcBorders>
              <w:top w:val="nil"/>
              <w:left w:val="single" w:sz="4" w:space="0" w:color="auto"/>
              <w:bottom w:val="nil"/>
              <w:right w:val="single" w:sz="4" w:space="0" w:color="auto"/>
            </w:tcBorders>
            <w:vAlign w:val="center"/>
          </w:tcPr>
          <w:p w14:paraId="19953298" w14:textId="77777777" w:rsidR="00643620" w:rsidRPr="00643620" w:rsidRDefault="00643620" w:rsidP="00643620">
            <w:pPr>
              <w:ind w:right="57"/>
              <w:jc w:val="center"/>
              <w:rPr>
                <w:rFonts w:eastAsia="Calibri"/>
                <w:sz w:val="18"/>
                <w:szCs w:val="18"/>
                <w:lang w:val="es-ES" w:eastAsia="en-US"/>
              </w:rPr>
            </w:pPr>
            <w:r w:rsidRPr="00643620">
              <w:rPr>
                <w:rFonts w:eastAsia="Calibri"/>
                <w:sz w:val="18"/>
                <w:szCs w:val="18"/>
                <w:lang w:val="es-ES" w:eastAsia="en-US"/>
              </w:rPr>
              <w:t>4</w:t>
            </w:r>
          </w:p>
        </w:tc>
        <w:tc>
          <w:tcPr>
            <w:tcW w:w="1812" w:type="dxa"/>
            <w:tcBorders>
              <w:top w:val="nil"/>
              <w:left w:val="single" w:sz="4" w:space="0" w:color="auto"/>
              <w:bottom w:val="nil"/>
              <w:right w:val="single" w:sz="4" w:space="0" w:color="auto"/>
            </w:tcBorders>
            <w:vAlign w:val="center"/>
          </w:tcPr>
          <w:p w14:paraId="0BC2AF1D" w14:textId="77777777" w:rsidR="00643620" w:rsidRPr="00643620" w:rsidRDefault="00643620" w:rsidP="00643620">
            <w:pPr>
              <w:jc w:val="both"/>
              <w:rPr>
                <w:rFonts w:eastAsia="Calibri"/>
                <w:sz w:val="18"/>
                <w:szCs w:val="18"/>
                <w:lang w:val="es-ES" w:eastAsia="en-US"/>
              </w:rPr>
            </w:pPr>
            <w:r w:rsidRPr="00643620">
              <w:rPr>
                <w:rFonts w:eastAsia="Calibri"/>
                <w:sz w:val="18"/>
                <w:szCs w:val="18"/>
                <w:lang w:val="es-ES" w:eastAsia="en-US"/>
              </w:rPr>
              <w:t>Unilever (empate)</w:t>
            </w:r>
          </w:p>
        </w:tc>
        <w:tc>
          <w:tcPr>
            <w:tcW w:w="2299" w:type="dxa"/>
            <w:tcBorders>
              <w:top w:val="nil"/>
              <w:left w:val="single" w:sz="4" w:space="0" w:color="auto"/>
              <w:bottom w:val="nil"/>
              <w:right w:val="single" w:sz="4" w:space="0" w:color="auto"/>
            </w:tcBorders>
            <w:vAlign w:val="center"/>
          </w:tcPr>
          <w:p w14:paraId="46C4A05C" w14:textId="77777777" w:rsidR="00643620" w:rsidRPr="00643620" w:rsidRDefault="00643620" w:rsidP="00643620">
            <w:pPr>
              <w:spacing w:before="20"/>
              <w:jc w:val="both"/>
              <w:rPr>
                <w:rFonts w:eastAsia="Calibri"/>
                <w:sz w:val="18"/>
                <w:szCs w:val="18"/>
                <w:lang w:val="es-ES" w:eastAsia="en-US"/>
              </w:rPr>
            </w:pPr>
            <w:r w:rsidRPr="00643620">
              <w:rPr>
                <w:rFonts w:eastAsia="Calibri"/>
                <w:sz w:val="18"/>
                <w:szCs w:val="18"/>
                <w:lang w:val="es-ES" w:eastAsia="en-US"/>
              </w:rPr>
              <w:t xml:space="preserve">Alimentos </w:t>
            </w:r>
          </w:p>
        </w:tc>
        <w:tc>
          <w:tcPr>
            <w:tcW w:w="2551" w:type="dxa"/>
            <w:tcBorders>
              <w:top w:val="nil"/>
              <w:left w:val="single" w:sz="4" w:space="0" w:color="auto"/>
              <w:bottom w:val="nil"/>
              <w:right w:val="single" w:sz="4" w:space="0" w:color="auto"/>
            </w:tcBorders>
            <w:vAlign w:val="center"/>
          </w:tcPr>
          <w:p w14:paraId="0048C570" w14:textId="77777777" w:rsidR="00643620" w:rsidRPr="00643620" w:rsidRDefault="00643620" w:rsidP="00643620">
            <w:pPr>
              <w:jc w:val="both"/>
              <w:rPr>
                <w:rFonts w:eastAsia="Calibri"/>
                <w:sz w:val="18"/>
                <w:szCs w:val="18"/>
                <w:lang w:val="es-ES" w:eastAsia="en-US"/>
              </w:rPr>
            </w:pPr>
            <w:r w:rsidRPr="00643620">
              <w:rPr>
                <w:rFonts w:eastAsia="Calibri"/>
                <w:sz w:val="18"/>
                <w:szCs w:val="18"/>
                <w:lang w:val="es-ES" w:eastAsia="en-US"/>
              </w:rPr>
              <w:t>Reino Unido</w:t>
            </w:r>
          </w:p>
        </w:tc>
        <w:tc>
          <w:tcPr>
            <w:tcW w:w="1561" w:type="dxa"/>
            <w:tcBorders>
              <w:top w:val="nil"/>
              <w:left w:val="single" w:sz="4" w:space="0" w:color="auto"/>
              <w:bottom w:val="nil"/>
              <w:right w:val="single" w:sz="4" w:space="0" w:color="auto"/>
            </w:tcBorders>
            <w:vAlign w:val="center"/>
          </w:tcPr>
          <w:p w14:paraId="02CB0F44" w14:textId="77777777" w:rsidR="00643620" w:rsidRPr="00643620" w:rsidRDefault="00643620" w:rsidP="00643620">
            <w:pPr>
              <w:jc w:val="center"/>
              <w:rPr>
                <w:rFonts w:eastAsia="Calibri"/>
                <w:sz w:val="18"/>
                <w:szCs w:val="18"/>
                <w:lang w:val="es-ES" w:eastAsia="en-US"/>
              </w:rPr>
            </w:pPr>
            <w:r w:rsidRPr="00643620">
              <w:rPr>
                <w:rFonts w:eastAsia="Calibri"/>
                <w:sz w:val="18"/>
                <w:szCs w:val="18"/>
                <w:lang w:val="es-ES" w:eastAsia="en-US"/>
              </w:rPr>
              <w:t>90.1</w:t>
            </w:r>
          </w:p>
        </w:tc>
      </w:tr>
      <w:tr w:rsidR="00643620" w:rsidRPr="00643620" w14:paraId="50A5F053" w14:textId="77777777" w:rsidTr="00643620">
        <w:trPr>
          <w:jc w:val="center"/>
        </w:trPr>
        <w:tc>
          <w:tcPr>
            <w:tcW w:w="851" w:type="dxa"/>
            <w:tcBorders>
              <w:top w:val="nil"/>
              <w:left w:val="single" w:sz="4" w:space="0" w:color="auto"/>
              <w:bottom w:val="nil"/>
              <w:right w:val="single" w:sz="4" w:space="0" w:color="auto"/>
            </w:tcBorders>
            <w:vAlign w:val="center"/>
          </w:tcPr>
          <w:p w14:paraId="2403882A" w14:textId="77777777" w:rsidR="00643620" w:rsidRPr="00643620" w:rsidRDefault="00643620" w:rsidP="00643620">
            <w:pPr>
              <w:ind w:right="57"/>
              <w:jc w:val="center"/>
              <w:rPr>
                <w:rFonts w:eastAsia="Calibri"/>
                <w:sz w:val="18"/>
                <w:szCs w:val="18"/>
                <w:lang w:val="es-ES" w:eastAsia="en-US"/>
              </w:rPr>
            </w:pPr>
            <w:r w:rsidRPr="00643620">
              <w:rPr>
                <w:rFonts w:eastAsia="Calibri"/>
                <w:sz w:val="18"/>
                <w:szCs w:val="18"/>
                <w:lang w:val="es-ES" w:eastAsia="en-US"/>
              </w:rPr>
              <w:t>6</w:t>
            </w:r>
          </w:p>
        </w:tc>
        <w:tc>
          <w:tcPr>
            <w:tcW w:w="1812" w:type="dxa"/>
            <w:tcBorders>
              <w:top w:val="nil"/>
              <w:left w:val="single" w:sz="4" w:space="0" w:color="auto"/>
              <w:bottom w:val="nil"/>
              <w:right w:val="single" w:sz="4" w:space="0" w:color="auto"/>
            </w:tcBorders>
            <w:vAlign w:val="center"/>
          </w:tcPr>
          <w:p w14:paraId="368B8741" w14:textId="77777777" w:rsidR="00643620" w:rsidRPr="00643620" w:rsidRDefault="00643620" w:rsidP="00643620">
            <w:pPr>
              <w:jc w:val="both"/>
              <w:rPr>
                <w:rFonts w:eastAsia="Calibri"/>
                <w:sz w:val="18"/>
                <w:szCs w:val="18"/>
                <w:lang w:val="es-ES" w:eastAsia="en-US"/>
              </w:rPr>
            </w:pPr>
            <w:r w:rsidRPr="00643620">
              <w:rPr>
                <w:rFonts w:eastAsia="Calibri"/>
                <w:sz w:val="18"/>
                <w:szCs w:val="18"/>
                <w:lang w:val="es-ES" w:eastAsia="en-US"/>
              </w:rPr>
              <w:t>L’Oréal</w:t>
            </w:r>
          </w:p>
        </w:tc>
        <w:tc>
          <w:tcPr>
            <w:tcW w:w="2299" w:type="dxa"/>
            <w:tcBorders>
              <w:top w:val="nil"/>
              <w:left w:val="single" w:sz="4" w:space="0" w:color="auto"/>
              <w:bottom w:val="nil"/>
              <w:right w:val="single" w:sz="4" w:space="0" w:color="auto"/>
            </w:tcBorders>
            <w:vAlign w:val="center"/>
          </w:tcPr>
          <w:p w14:paraId="21D093D8" w14:textId="77777777" w:rsidR="00643620" w:rsidRPr="00643620" w:rsidRDefault="00643620" w:rsidP="00643620">
            <w:pPr>
              <w:spacing w:before="20"/>
              <w:jc w:val="both"/>
              <w:rPr>
                <w:rFonts w:eastAsia="Calibri"/>
                <w:sz w:val="18"/>
                <w:szCs w:val="18"/>
                <w:lang w:val="es-ES" w:eastAsia="en-US"/>
              </w:rPr>
            </w:pPr>
            <w:r w:rsidRPr="00643620">
              <w:rPr>
                <w:rFonts w:eastAsia="Calibri"/>
                <w:sz w:val="18"/>
                <w:szCs w:val="18"/>
                <w:lang w:val="es-ES" w:eastAsia="en-US"/>
              </w:rPr>
              <w:t>Cosméticos</w:t>
            </w:r>
          </w:p>
        </w:tc>
        <w:tc>
          <w:tcPr>
            <w:tcW w:w="2551" w:type="dxa"/>
            <w:tcBorders>
              <w:top w:val="nil"/>
              <w:left w:val="single" w:sz="4" w:space="0" w:color="auto"/>
              <w:bottom w:val="nil"/>
              <w:right w:val="single" w:sz="4" w:space="0" w:color="auto"/>
            </w:tcBorders>
            <w:vAlign w:val="center"/>
          </w:tcPr>
          <w:p w14:paraId="59C48708" w14:textId="77777777" w:rsidR="00643620" w:rsidRPr="00643620" w:rsidRDefault="00643620" w:rsidP="00643620">
            <w:pPr>
              <w:jc w:val="both"/>
              <w:rPr>
                <w:rFonts w:eastAsia="Calibri"/>
                <w:sz w:val="18"/>
                <w:szCs w:val="18"/>
                <w:lang w:val="es-ES" w:eastAsia="en-US"/>
              </w:rPr>
            </w:pPr>
            <w:r w:rsidRPr="00643620">
              <w:rPr>
                <w:rFonts w:eastAsia="Calibri"/>
                <w:sz w:val="18"/>
                <w:szCs w:val="18"/>
                <w:lang w:val="es-ES" w:eastAsia="en-US"/>
              </w:rPr>
              <w:t xml:space="preserve">Francia </w:t>
            </w:r>
          </w:p>
        </w:tc>
        <w:tc>
          <w:tcPr>
            <w:tcW w:w="1561" w:type="dxa"/>
            <w:tcBorders>
              <w:top w:val="nil"/>
              <w:left w:val="single" w:sz="4" w:space="0" w:color="auto"/>
              <w:bottom w:val="nil"/>
              <w:right w:val="single" w:sz="4" w:space="0" w:color="auto"/>
            </w:tcBorders>
            <w:vAlign w:val="center"/>
          </w:tcPr>
          <w:p w14:paraId="637D1545" w14:textId="77777777" w:rsidR="00643620" w:rsidRPr="00643620" w:rsidRDefault="00643620" w:rsidP="00643620">
            <w:pPr>
              <w:jc w:val="center"/>
              <w:rPr>
                <w:rFonts w:eastAsia="Calibri"/>
                <w:sz w:val="18"/>
                <w:szCs w:val="18"/>
                <w:lang w:val="es-ES" w:eastAsia="en-US"/>
              </w:rPr>
            </w:pPr>
            <w:r w:rsidRPr="00643620">
              <w:rPr>
                <w:rFonts w:eastAsia="Calibri"/>
                <w:sz w:val="18"/>
                <w:szCs w:val="18"/>
                <w:lang w:val="es-ES" w:eastAsia="en-US"/>
              </w:rPr>
              <w:t>89.7</w:t>
            </w:r>
          </w:p>
        </w:tc>
      </w:tr>
      <w:tr w:rsidR="00643620" w:rsidRPr="00643620" w14:paraId="6701C69C" w14:textId="77777777" w:rsidTr="00643620">
        <w:trPr>
          <w:jc w:val="center"/>
        </w:trPr>
        <w:tc>
          <w:tcPr>
            <w:tcW w:w="851" w:type="dxa"/>
            <w:tcBorders>
              <w:top w:val="nil"/>
              <w:left w:val="single" w:sz="4" w:space="0" w:color="auto"/>
              <w:bottom w:val="nil"/>
              <w:right w:val="single" w:sz="4" w:space="0" w:color="auto"/>
            </w:tcBorders>
            <w:vAlign w:val="center"/>
          </w:tcPr>
          <w:p w14:paraId="09018E73" w14:textId="77777777" w:rsidR="00643620" w:rsidRPr="00643620" w:rsidRDefault="00643620" w:rsidP="00643620">
            <w:pPr>
              <w:ind w:right="57"/>
              <w:jc w:val="center"/>
              <w:rPr>
                <w:rFonts w:eastAsia="Calibri"/>
                <w:sz w:val="18"/>
                <w:szCs w:val="18"/>
                <w:lang w:val="es-ES" w:eastAsia="en-US"/>
              </w:rPr>
            </w:pPr>
            <w:r w:rsidRPr="00643620">
              <w:rPr>
                <w:rFonts w:eastAsia="Calibri"/>
                <w:sz w:val="18"/>
                <w:szCs w:val="18"/>
                <w:lang w:val="es-ES" w:eastAsia="en-US"/>
              </w:rPr>
              <w:t>6</w:t>
            </w:r>
          </w:p>
        </w:tc>
        <w:tc>
          <w:tcPr>
            <w:tcW w:w="1812" w:type="dxa"/>
            <w:tcBorders>
              <w:top w:val="nil"/>
              <w:left w:val="single" w:sz="4" w:space="0" w:color="auto"/>
              <w:bottom w:val="nil"/>
              <w:right w:val="single" w:sz="4" w:space="0" w:color="auto"/>
            </w:tcBorders>
            <w:vAlign w:val="center"/>
          </w:tcPr>
          <w:p w14:paraId="1BC293A4" w14:textId="77777777" w:rsidR="00643620" w:rsidRPr="00643620" w:rsidRDefault="00643620" w:rsidP="00643620">
            <w:pPr>
              <w:jc w:val="both"/>
              <w:rPr>
                <w:rFonts w:eastAsia="Calibri"/>
                <w:sz w:val="18"/>
                <w:szCs w:val="18"/>
                <w:lang w:val="es-ES" w:eastAsia="en-US"/>
              </w:rPr>
            </w:pPr>
            <w:r w:rsidRPr="00643620">
              <w:rPr>
                <w:rFonts w:eastAsia="Calibri"/>
                <w:sz w:val="18"/>
                <w:szCs w:val="18"/>
                <w:lang w:val="es-ES" w:eastAsia="en-US"/>
              </w:rPr>
              <w:t>Burberry (empate)</w:t>
            </w:r>
          </w:p>
        </w:tc>
        <w:tc>
          <w:tcPr>
            <w:tcW w:w="2299" w:type="dxa"/>
            <w:tcBorders>
              <w:top w:val="nil"/>
              <w:left w:val="single" w:sz="4" w:space="0" w:color="auto"/>
              <w:bottom w:val="nil"/>
              <w:right w:val="single" w:sz="4" w:space="0" w:color="auto"/>
            </w:tcBorders>
            <w:vAlign w:val="center"/>
          </w:tcPr>
          <w:p w14:paraId="12A6C775" w14:textId="77777777" w:rsidR="00643620" w:rsidRPr="00643620" w:rsidRDefault="00643620" w:rsidP="00643620">
            <w:pPr>
              <w:spacing w:before="20"/>
              <w:jc w:val="both"/>
              <w:rPr>
                <w:rFonts w:eastAsia="Calibri"/>
                <w:sz w:val="18"/>
                <w:szCs w:val="18"/>
                <w:lang w:val="es-ES" w:eastAsia="en-US"/>
              </w:rPr>
            </w:pPr>
            <w:r w:rsidRPr="00643620">
              <w:rPr>
                <w:rFonts w:eastAsia="Calibri"/>
                <w:sz w:val="18"/>
                <w:szCs w:val="18"/>
                <w:lang w:val="es-ES" w:eastAsia="en-US"/>
              </w:rPr>
              <w:t xml:space="preserve">Moda </w:t>
            </w:r>
          </w:p>
        </w:tc>
        <w:tc>
          <w:tcPr>
            <w:tcW w:w="2551" w:type="dxa"/>
            <w:tcBorders>
              <w:top w:val="nil"/>
              <w:left w:val="single" w:sz="4" w:space="0" w:color="auto"/>
              <w:bottom w:val="nil"/>
              <w:right w:val="single" w:sz="4" w:space="0" w:color="auto"/>
            </w:tcBorders>
            <w:vAlign w:val="center"/>
          </w:tcPr>
          <w:p w14:paraId="233E94EB" w14:textId="77777777" w:rsidR="00643620" w:rsidRPr="00643620" w:rsidRDefault="00643620" w:rsidP="00643620">
            <w:pPr>
              <w:jc w:val="both"/>
              <w:rPr>
                <w:rFonts w:eastAsia="Calibri"/>
                <w:sz w:val="18"/>
                <w:szCs w:val="18"/>
                <w:lang w:val="es-ES" w:eastAsia="en-US"/>
              </w:rPr>
            </w:pPr>
            <w:r w:rsidRPr="00643620">
              <w:rPr>
                <w:rFonts w:eastAsia="Calibri"/>
                <w:sz w:val="18"/>
                <w:szCs w:val="18"/>
                <w:lang w:val="es-ES" w:eastAsia="en-US"/>
              </w:rPr>
              <w:t>Reino Unido</w:t>
            </w:r>
          </w:p>
        </w:tc>
        <w:tc>
          <w:tcPr>
            <w:tcW w:w="1561" w:type="dxa"/>
            <w:tcBorders>
              <w:top w:val="nil"/>
              <w:left w:val="single" w:sz="4" w:space="0" w:color="auto"/>
              <w:bottom w:val="nil"/>
              <w:right w:val="single" w:sz="4" w:space="0" w:color="auto"/>
            </w:tcBorders>
            <w:vAlign w:val="center"/>
          </w:tcPr>
          <w:p w14:paraId="32E3C4CD" w14:textId="77777777" w:rsidR="00643620" w:rsidRPr="00643620" w:rsidRDefault="00643620" w:rsidP="00643620">
            <w:pPr>
              <w:jc w:val="center"/>
              <w:rPr>
                <w:rFonts w:eastAsia="Calibri"/>
                <w:sz w:val="18"/>
                <w:szCs w:val="18"/>
                <w:lang w:val="es-ES" w:eastAsia="en-US"/>
              </w:rPr>
            </w:pPr>
            <w:r w:rsidRPr="00643620">
              <w:rPr>
                <w:rFonts w:eastAsia="Calibri"/>
                <w:sz w:val="18"/>
                <w:szCs w:val="18"/>
                <w:lang w:val="es-ES" w:eastAsia="en-US"/>
              </w:rPr>
              <w:t>89.7</w:t>
            </w:r>
          </w:p>
        </w:tc>
      </w:tr>
      <w:tr w:rsidR="00643620" w:rsidRPr="00643620" w14:paraId="6006469F" w14:textId="77777777" w:rsidTr="00643620">
        <w:trPr>
          <w:jc w:val="center"/>
        </w:trPr>
        <w:tc>
          <w:tcPr>
            <w:tcW w:w="851" w:type="dxa"/>
            <w:tcBorders>
              <w:top w:val="nil"/>
              <w:left w:val="single" w:sz="4" w:space="0" w:color="auto"/>
              <w:bottom w:val="nil"/>
              <w:right w:val="single" w:sz="4" w:space="0" w:color="auto"/>
            </w:tcBorders>
            <w:vAlign w:val="center"/>
          </w:tcPr>
          <w:p w14:paraId="4A2D3C37" w14:textId="77777777" w:rsidR="00643620" w:rsidRPr="00643620" w:rsidRDefault="00643620" w:rsidP="00643620">
            <w:pPr>
              <w:ind w:right="57"/>
              <w:jc w:val="center"/>
              <w:rPr>
                <w:rFonts w:eastAsia="Calibri"/>
                <w:sz w:val="18"/>
                <w:szCs w:val="18"/>
                <w:lang w:val="es-ES" w:eastAsia="en-US"/>
              </w:rPr>
            </w:pPr>
            <w:r w:rsidRPr="00643620">
              <w:rPr>
                <w:rFonts w:eastAsia="Calibri"/>
                <w:sz w:val="18"/>
                <w:szCs w:val="18"/>
                <w:lang w:val="es-ES" w:eastAsia="en-US"/>
              </w:rPr>
              <w:t>6</w:t>
            </w:r>
          </w:p>
        </w:tc>
        <w:tc>
          <w:tcPr>
            <w:tcW w:w="1812" w:type="dxa"/>
            <w:tcBorders>
              <w:top w:val="nil"/>
              <w:left w:val="single" w:sz="4" w:space="0" w:color="auto"/>
              <w:bottom w:val="nil"/>
              <w:right w:val="single" w:sz="4" w:space="0" w:color="auto"/>
            </w:tcBorders>
            <w:vAlign w:val="center"/>
          </w:tcPr>
          <w:p w14:paraId="446BF940" w14:textId="77777777" w:rsidR="00643620" w:rsidRPr="00643620" w:rsidRDefault="00643620" w:rsidP="00643620">
            <w:pPr>
              <w:jc w:val="both"/>
              <w:rPr>
                <w:rFonts w:eastAsia="Calibri"/>
                <w:sz w:val="18"/>
                <w:szCs w:val="18"/>
                <w:lang w:val="es-ES" w:eastAsia="en-US"/>
              </w:rPr>
            </w:pPr>
            <w:r w:rsidRPr="00643620">
              <w:rPr>
                <w:rFonts w:eastAsia="Calibri"/>
                <w:sz w:val="18"/>
                <w:szCs w:val="18"/>
                <w:lang w:val="es-ES" w:eastAsia="en-US"/>
              </w:rPr>
              <w:t xml:space="preserve">Rolex </w:t>
            </w:r>
          </w:p>
        </w:tc>
        <w:tc>
          <w:tcPr>
            <w:tcW w:w="2299" w:type="dxa"/>
            <w:tcBorders>
              <w:top w:val="nil"/>
              <w:left w:val="single" w:sz="4" w:space="0" w:color="auto"/>
              <w:bottom w:val="nil"/>
              <w:right w:val="single" w:sz="4" w:space="0" w:color="auto"/>
            </w:tcBorders>
            <w:vAlign w:val="center"/>
          </w:tcPr>
          <w:p w14:paraId="7D45DBF8" w14:textId="77777777" w:rsidR="00643620" w:rsidRPr="00643620" w:rsidRDefault="00643620" w:rsidP="00643620">
            <w:pPr>
              <w:spacing w:before="20"/>
              <w:jc w:val="both"/>
              <w:rPr>
                <w:rFonts w:eastAsia="Calibri"/>
                <w:sz w:val="18"/>
                <w:szCs w:val="18"/>
                <w:lang w:val="es-ES" w:eastAsia="en-US"/>
              </w:rPr>
            </w:pPr>
            <w:r w:rsidRPr="00643620">
              <w:rPr>
                <w:rFonts w:eastAsia="Calibri"/>
                <w:sz w:val="18"/>
                <w:szCs w:val="18"/>
                <w:lang w:val="es-ES" w:eastAsia="en-US"/>
              </w:rPr>
              <w:t xml:space="preserve">Moda </w:t>
            </w:r>
          </w:p>
        </w:tc>
        <w:tc>
          <w:tcPr>
            <w:tcW w:w="2551" w:type="dxa"/>
            <w:tcBorders>
              <w:top w:val="nil"/>
              <w:left w:val="single" w:sz="4" w:space="0" w:color="auto"/>
              <w:bottom w:val="nil"/>
              <w:right w:val="single" w:sz="4" w:space="0" w:color="auto"/>
            </w:tcBorders>
            <w:vAlign w:val="center"/>
          </w:tcPr>
          <w:p w14:paraId="7C14C37C" w14:textId="77777777" w:rsidR="00643620" w:rsidRPr="00643620" w:rsidRDefault="00643620" w:rsidP="00643620">
            <w:pPr>
              <w:jc w:val="both"/>
              <w:rPr>
                <w:rFonts w:eastAsia="Calibri"/>
                <w:sz w:val="18"/>
                <w:szCs w:val="18"/>
                <w:lang w:val="es-ES" w:eastAsia="en-US"/>
              </w:rPr>
            </w:pPr>
            <w:r w:rsidRPr="00643620">
              <w:rPr>
                <w:rFonts w:eastAsia="Calibri"/>
                <w:sz w:val="18"/>
                <w:szCs w:val="18"/>
                <w:lang w:val="es-ES" w:eastAsia="en-US"/>
              </w:rPr>
              <w:t xml:space="preserve">Suiza </w:t>
            </w:r>
          </w:p>
        </w:tc>
        <w:tc>
          <w:tcPr>
            <w:tcW w:w="1561" w:type="dxa"/>
            <w:tcBorders>
              <w:top w:val="nil"/>
              <w:left w:val="single" w:sz="4" w:space="0" w:color="auto"/>
              <w:bottom w:val="nil"/>
              <w:right w:val="single" w:sz="4" w:space="0" w:color="auto"/>
            </w:tcBorders>
            <w:vAlign w:val="center"/>
          </w:tcPr>
          <w:p w14:paraId="439C58C5" w14:textId="77777777" w:rsidR="00643620" w:rsidRPr="00643620" w:rsidRDefault="00643620" w:rsidP="00643620">
            <w:pPr>
              <w:jc w:val="center"/>
              <w:rPr>
                <w:rFonts w:eastAsia="Calibri"/>
                <w:sz w:val="18"/>
                <w:szCs w:val="18"/>
                <w:lang w:val="es-ES" w:eastAsia="en-US"/>
              </w:rPr>
            </w:pPr>
            <w:r w:rsidRPr="00643620">
              <w:rPr>
                <w:rFonts w:eastAsia="Calibri"/>
                <w:sz w:val="18"/>
                <w:szCs w:val="18"/>
                <w:lang w:val="es-ES" w:eastAsia="en-US"/>
              </w:rPr>
              <w:t>89.7</w:t>
            </w:r>
          </w:p>
        </w:tc>
      </w:tr>
      <w:tr w:rsidR="00643620" w:rsidRPr="00643620" w14:paraId="4DA23F01" w14:textId="77777777" w:rsidTr="00643620">
        <w:trPr>
          <w:jc w:val="center"/>
        </w:trPr>
        <w:tc>
          <w:tcPr>
            <w:tcW w:w="851" w:type="dxa"/>
            <w:tcBorders>
              <w:top w:val="nil"/>
              <w:left w:val="single" w:sz="4" w:space="0" w:color="auto"/>
              <w:bottom w:val="nil"/>
              <w:right w:val="single" w:sz="4" w:space="0" w:color="auto"/>
            </w:tcBorders>
            <w:vAlign w:val="center"/>
          </w:tcPr>
          <w:p w14:paraId="6BD01F6B" w14:textId="77777777" w:rsidR="00643620" w:rsidRPr="00643620" w:rsidRDefault="00643620" w:rsidP="00643620">
            <w:pPr>
              <w:ind w:right="57"/>
              <w:jc w:val="center"/>
              <w:rPr>
                <w:rFonts w:eastAsia="Calibri"/>
                <w:sz w:val="18"/>
                <w:szCs w:val="18"/>
                <w:lang w:val="es-ES" w:eastAsia="en-US"/>
              </w:rPr>
            </w:pPr>
            <w:r w:rsidRPr="00643620">
              <w:rPr>
                <w:rFonts w:eastAsia="Calibri"/>
                <w:sz w:val="18"/>
                <w:szCs w:val="18"/>
                <w:lang w:val="es-ES" w:eastAsia="en-US"/>
              </w:rPr>
              <w:t>9</w:t>
            </w:r>
          </w:p>
        </w:tc>
        <w:tc>
          <w:tcPr>
            <w:tcW w:w="1812" w:type="dxa"/>
            <w:tcBorders>
              <w:top w:val="nil"/>
              <w:left w:val="single" w:sz="4" w:space="0" w:color="auto"/>
              <w:bottom w:val="nil"/>
              <w:right w:val="single" w:sz="4" w:space="0" w:color="auto"/>
            </w:tcBorders>
            <w:vAlign w:val="center"/>
          </w:tcPr>
          <w:p w14:paraId="2A524E06" w14:textId="77777777" w:rsidR="00643620" w:rsidRPr="00643620" w:rsidRDefault="00643620" w:rsidP="00643620">
            <w:pPr>
              <w:jc w:val="both"/>
              <w:rPr>
                <w:rFonts w:eastAsia="Calibri"/>
                <w:sz w:val="18"/>
                <w:szCs w:val="18"/>
                <w:lang w:val="es-ES" w:eastAsia="en-US"/>
              </w:rPr>
            </w:pPr>
            <w:r w:rsidRPr="00643620">
              <w:rPr>
                <w:rFonts w:eastAsia="Calibri"/>
                <w:sz w:val="18"/>
                <w:szCs w:val="18"/>
                <w:lang w:val="es-ES" w:eastAsia="en-US"/>
              </w:rPr>
              <w:t>Ferrari (empate)</w:t>
            </w:r>
          </w:p>
        </w:tc>
        <w:tc>
          <w:tcPr>
            <w:tcW w:w="2299" w:type="dxa"/>
            <w:tcBorders>
              <w:top w:val="nil"/>
              <w:left w:val="single" w:sz="4" w:space="0" w:color="auto"/>
              <w:bottom w:val="nil"/>
              <w:right w:val="single" w:sz="4" w:space="0" w:color="auto"/>
            </w:tcBorders>
            <w:vAlign w:val="center"/>
          </w:tcPr>
          <w:p w14:paraId="3288034A" w14:textId="77777777" w:rsidR="00643620" w:rsidRPr="00643620" w:rsidRDefault="00643620" w:rsidP="00643620">
            <w:pPr>
              <w:spacing w:before="20"/>
              <w:jc w:val="both"/>
              <w:rPr>
                <w:rFonts w:eastAsia="Calibri"/>
                <w:sz w:val="18"/>
                <w:szCs w:val="18"/>
                <w:lang w:val="es-ES" w:eastAsia="en-US"/>
              </w:rPr>
            </w:pPr>
            <w:r w:rsidRPr="00643620">
              <w:rPr>
                <w:rFonts w:eastAsia="Calibri"/>
                <w:sz w:val="18"/>
                <w:szCs w:val="18"/>
                <w:lang w:val="es-ES" w:eastAsia="en-US"/>
              </w:rPr>
              <w:t xml:space="preserve">Automotriz </w:t>
            </w:r>
          </w:p>
        </w:tc>
        <w:tc>
          <w:tcPr>
            <w:tcW w:w="2551" w:type="dxa"/>
            <w:tcBorders>
              <w:top w:val="nil"/>
              <w:left w:val="single" w:sz="4" w:space="0" w:color="auto"/>
              <w:bottom w:val="nil"/>
              <w:right w:val="single" w:sz="4" w:space="0" w:color="auto"/>
            </w:tcBorders>
            <w:vAlign w:val="center"/>
          </w:tcPr>
          <w:p w14:paraId="26F2EFD2" w14:textId="77777777" w:rsidR="00643620" w:rsidRPr="00643620" w:rsidRDefault="00643620" w:rsidP="00643620">
            <w:pPr>
              <w:jc w:val="both"/>
              <w:rPr>
                <w:rFonts w:eastAsia="Calibri"/>
                <w:sz w:val="18"/>
                <w:szCs w:val="18"/>
                <w:lang w:val="es-ES" w:eastAsia="en-US"/>
              </w:rPr>
            </w:pPr>
            <w:r w:rsidRPr="00643620">
              <w:rPr>
                <w:rFonts w:eastAsia="Calibri"/>
                <w:sz w:val="18"/>
                <w:szCs w:val="18"/>
                <w:lang w:val="es-ES" w:eastAsia="en-US"/>
              </w:rPr>
              <w:t xml:space="preserve">Italia </w:t>
            </w:r>
          </w:p>
        </w:tc>
        <w:tc>
          <w:tcPr>
            <w:tcW w:w="1561" w:type="dxa"/>
            <w:tcBorders>
              <w:top w:val="nil"/>
              <w:left w:val="single" w:sz="4" w:space="0" w:color="auto"/>
              <w:bottom w:val="nil"/>
              <w:right w:val="single" w:sz="4" w:space="0" w:color="auto"/>
            </w:tcBorders>
            <w:vAlign w:val="center"/>
          </w:tcPr>
          <w:p w14:paraId="50E71F22" w14:textId="77777777" w:rsidR="00643620" w:rsidRPr="00643620" w:rsidRDefault="00643620" w:rsidP="00643620">
            <w:pPr>
              <w:jc w:val="center"/>
              <w:rPr>
                <w:rFonts w:eastAsia="Calibri"/>
                <w:sz w:val="18"/>
                <w:szCs w:val="18"/>
                <w:lang w:val="es-ES" w:eastAsia="en-US"/>
              </w:rPr>
            </w:pPr>
            <w:r w:rsidRPr="00643620">
              <w:rPr>
                <w:rFonts w:eastAsia="Calibri"/>
                <w:sz w:val="18"/>
                <w:szCs w:val="18"/>
                <w:lang w:val="es-ES" w:eastAsia="en-US"/>
              </w:rPr>
              <w:t>89.6</w:t>
            </w:r>
          </w:p>
        </w:tc>
      </w:tr>
      <w:tr w:rsidR="00643620" w:rsidRPr="00643620" w14:paraId="35F55E44" w14:textId="77777777" w:rsidTr="00643620">
        <w:trPr>
          <w:jc w:val="center"/>
        </w:trPr>
        <w:tc>
          <w:tcPr>
            <w:tcW w:w="851" w:type="dxa"/>
            <w:tcBorders>
              <w:top w:val="nil"/>
              <w:left w:val="single" w:sz="4" w:space="0" w:color="auto"/>
              <w:bottom w:val="single" w:sz="4" w:space="0" w:color="auto"/>
              <w:right w:val="single" w:sz="4" w:space="0" w:color="auto"/>
            </w:tcBorders>
            <w:vAlign w:val="center"/>
          </w:tcPr>
          <w:p w14:paraId="6457F987" w14:textId="77777777" w:rsidR="00643620" w:rsidRPr="00643620" w:rsidRDefault="00643620" w:rsidP="00643620">
            <w:pPr>
              <w:ind w:right="57"/>
              <w:jc w:val="center"/>
              <w:rPr>
                <w:rFonts w:eastAsia="Calibri"/>
                <w:sz w:val="18"/>
                <w:szCs w:val="18"/>
                <w:lang w:val="es-ES" w:eastAsia="en-US"/>
              </w:rPr>
            </w:pPr>
            <w:r w:rsidRPr="00643620">
              <w:rPr>
                <w:rFonts w:eastAsia="Calibri"/>
                <w:sz w:val="18"/>
                <w:szCs w:val="18"/>
                <w:lang w:val="es-ES" w:eastAsia="en-US"/>
              </w:rPr>
              <w:t>9</w:t>
            </w:r>
          </w:p>
        </w:tc>
        <w:tc>
          <w:tcPr>
            <w:tcW w:w="1812" w:type="dxa"/>
            <w:tcBorders>
              <w:top w:val="nil"/>
              <w:left w:val="single" w:sz="4" w:space="0" w:color="auto"/>
              <w:bottom w:val="single" w:sz="4" w:space="0" w:color="auto"/>
              <w:right w:val="single" w:sz="4" w:space="0" w:color="auto"/>
            </w:tcBorders>
            <w:vAlign w:val="center"/>
          </w:tcPr>
          <w:p w14:paraId="1E0CAD07" w14:textId="77777777" w:rsidR="00643620" w:rsidRPr="00643620" w:rsidRDefault="00643620" w:rsidP="00643620">
            <w:pPr>
              <w:jc w:val="both"/>
              <w:rPr>
                <w:rFonts w:eastAsia="Calibri"/>
                <w:sz w:val="18"/>
                <w:szCs w:val="18"/>
                <w:lang w:val="es-ES" w:eastAsia="en-US"/>
              </w:rPr>
            </w:pPr>
            <w:r w:rsidRPr="00643620">
              <w:rPr>
                <w:rFonts w:eastAsia="Calibri"/>
                <w:sz w:val="18"/>
                <w:szCs w:val="18"/>
                <w:lang w:val="es-ES" w:eastAsia="en-US"/>
              </w:rPr>
              <w:t>Nike (empate)</w:t>
            </w:r>
          </w:p>
        </w:tc>
        <w:tc>
          <w:tcPr>
            <w:tcW w:w="2299" w:type="dxa"/>
            <w:tcBorders>
              <w:top w:val="nil"/>
              <w:left w:val="single" w:sz="4" w:space="0" w:color="auto"/>
              <w:bottom w:val="single" w:sz="4" w:space="0" w:color="auto"/>
              <w:right w:val="single" w:sz="4" w:space="0" w:color="auto"/>
            </w:tcBorders>
            <w:vAlign w:val="center"/>
          </w:tcPr>
          <w:p w14:paraId="6756981E" w14:textId="77777777" w:rsidR="00643620" w:rsidRPr="00643620" w:rsidRDefault="00643620" w:rsidP="00643620">
            <w:pPr>
              <w:spacing w:before="20"/>
              <w:jc w:val="both"/>
              <w:rPr>
                <w:rFonts w:eastAsia="Calibri"/>
                <w:sz w:val="18"/>
                <w:szCs w:val="18"/>
                <w:lang w:val="es-ES" w:eastAsia="en-US"/>
              </w:rPr>
            </w:pPr>
            <w:r w:rsidRPr="00643620">
              <w:rPr>
                <w:rFonts w:eastAsia="Calibri"/>
                <w:sz w:val="18"/>
                <w:szCs w:val="18"/>
                <w:lang w:val="es-ES" w:eastAsia="en-US"/>
              </w:rPr>
              <w:t xml:space="preserve">Moda </w:t>
            </w:r>
          </w:p>
        </w:tc>
        <w:tc>
          <w:tcPr>
            <w:tcW w:w="2551" w:type="dxa"/>
            <w:tcBorders>
              <w:top w:val="nil"/>
              <w:left w:val="single" w:sz="4" w:space="0" w:color="auto"/>
              <w:bottom w:val="single" w:sz="4" w:space="0" w:color="auto"/>
              <w:right w:val="single" w:sz="4" w:space="0" w:color="auto"/>
            </w:tcBorders>
            <w:vAlign w:val="center"/>
          </w:tcPr>
          <w:p w14:paraId="0016A80B" w14:textId="77777777" w:rsidR="00643620" w:rsidRPr="00643620" w:rsidRDefault="00643620" w:rsidP="00643620">
            <w:pPr>
              <w:jc w:val="both"/>
              <w:rPr>
                <w:rFonts w:eastAsia="Calibri"/>
                <w:sz w:val="18"/>
                <w:szCs w:val="18"/>
                <w:lang w:val="es-ES" w:eastAsia="en-US"/>
              </w:rPr>
            </w:pPr>
            <w:r w:rsidRPr="00643620">
              <w:rPr>
                <w:rFonts w:eastAsia="Calibri"/>
                <w:sz w:val="18"/>
                <w:szCs w:val="18"/>
                <w:lang w:val="es-ES" w:eastAsia="en-US"/>
              </w:rPr>
              <w:t>Estados Unidos de Norteamérica</w:t>
            </w:r>
          </w:p>
        </w:tc>
        <w:tc>
          <w:tcPr>
            <w:tcW w:w="1561" w:type="dxa"/>
            <w:tcBorders>
              <w:top w:val="nil"/>
              <w:left w:val="single" w:sz="4" w:space="0" w:color="auto"/>
              <w:bottom w:val="single" w:sz="4" w:space="0" w:color="auto"/>
              <w:right w:val="single" w:sz="4" w:space="0" w:color="auto"/>
            </w:tcBorders>
            <w:vAlign w:val="center"/>
          </w:tcPr>
          <w:p w14:paraId="00396C1E" w14:textId="77777777" w:rsidR="00643620" w:rsidRPr="00643620" w:rsidRDefault="00643620" w:rsidP="00643620">
            <w:pPr>
              <w:jc w:val="center"/>
              <w:rPr>
                <w:rFonts w:eastAsia="Calibri"/>
                <w:sz w:val="18"/>
                <w:szCs w:val="18"/>
                <w:lang w:val="es-ES" w:eastAsia="en-US"/>
              </w:rPr>
            </w:pPr>
            <w:r w:rsidRPr="00643620">
              <w:rPr>
                <w:rFonts w:eastAsia="Calibri"/>
                <w:sz w:val="18"/>
                <w:szCs w:val="18"/>
                <w:lang w:val="es-ES" w:eastAsia="en-US"/>
              </w:rPr>
              <w:t>89.6</w:t>
            </w:r>
          </w:p>
        </w:tc>
      </w:tr>
      <w:tr w:rsidR="00643620" w:rsidRPr="00643620" w14:paraId="048E0553" w14:textId="77777777" w:rsidTr="00643620">
        <w:trPr>
          <w:jc w:val="center"/>
        </w:trPr>
        <w:tc>
          <w:tcPr>
            <w:tcW w:w="9074" w:type="dxa"/>
            <w:gridSpan w:val="5"/>
            <w:tcBorders>
              <w:top w:val="single" w:sz="4" w:space="0" w:color="auto"/>
              <w:left w:val="nil"/>
              <w:bottom w:val="nil"/>
              <w:right w:val="nil"/>
            </w:tcBorders>
          </w:tcPr>
          <w:p w14:paraId="212E3402" w14:textId="77777777" w:rsidR="00643620" w:rsidRPr="00643620" w:rsidRDefault="00643620" w:rsidP="00643620">
            <w:pPr>
              <w:jc w:val="both"/>
              <w:rPr>
                <w:rFonts w:eastAsia="Calibri"/>
                <w:sz w:val="20"/>
                <w:szCs w:val="20"/>
                <w:lang w:val="es-ES" w:eastAsia="en-US"/>
              </w:rPr>
            </w:pPr>
            <w:r w:rsidRPr="00643620">
              <w:rPr>
                <w:rFonts w:eastAsia="Calibri"/>
                <w:sz w:val="20"/>
                <w:szCs w:val="20"/>
                <w:lang w:val="es-ES" w:eastAsia="en-US"/>
              </w:rPr>
              <w:t>FUENTE: Forbes.</w:t>
            </w:r>
          </w:p>
        </w:tc>
      </w:tr>
    </w:tbl>
    <w:p w14:paraId="576EF766" w14:textId="77777777" w:rsidR="00643620" w:rsidRDefault="00643620" w:rsidP="00643620">
      <w:pPr>
        <w:spacing w:after="360" w:line="360" w:lineRule="auto"/>
        <w:ind w:right="-159"/>
        <w:jc w:val="both"/>
        <w:rPr>
          <w:rFonts w:eastAsia="Calibri"/>
          <w:sz w:val="26"/>
          <w:szCs w:val="26"/>
          <w:lang w:val="es-ES" w:eastAsia="en-US"/>
        </w:rPr>
      </w:pPr>
    </w:p>
    <w:p w14:paraId="0D2CE930" w14:textId="77777777" w:rsidR="00A94DD6" w:rsidRPr="00643620" w:rsidRDefault="00A94DD6" w:rsidP="00A94DD6">
      <w:pPr>
        <w:ind w:right="-159"/>
        <w:jc w:val="both"/>
        <w:rPr>
          <w:rFonts w:eastAsia="Calibri"/>
          <w:b/>
          <w:sz w:val="20"/>
          <w:szCs w:val="20"/>
          <w:lang w:eastAsia="en-US"/>
        </w:rPr>
      </w:pPr>
      <w:r w:rsidRPr="00643620">
        <w:rPr>
          <w:rFonts w:eastAsia="Calibri"/>
          <w:b/>
          <w:sz w:val="20"/>
          <w:szCs w:val="20"/>
          <w:lang w:eastAsia="en-US"/>
        </w:rPr>
        <w:t>Fuente de información:</w:t>
      </w:r>
    </w:p>
    <w:p w14:paraId="0EFA91B6" w14:textId="77777777" w:rsidR="00A94DD6" w:rsidRPr="00753258" w:rsidRDefault="0093224F" w:rsidP="00753258">
      <w:pPr>
        <w:spacing w:after="720"/>
        <w:ind w:right="-159"/>
        <w:jc w:val="both"/>
        <w:rPr>
          <w:rFonts w:eastAsia="Calibri"/>
          <w:color w:val="0000FF"/>
          <w:sz w:val="20"/>
          <w:szCs w:val="20"/>
          <w:lang w:val="es-ES" w:eastAsia="en-US"/>
        </w:rPr>
      </w:pPr>
      <w:hyperlink r:id="rId215" w:history="1">
        <w:r w:rsidR="00A94DD6" w:rsidRPr="00753258">
          <w:rPr>
            <w:rFonts w:eastAsia="Calibri"/>
            <w:color w:val="0000FF"/>
            <w:sz w:val="20"/>
            <w:szCs w:val="20"/>
            <w:u w:val="single"/>
            <w:lang w:val="es-ES" w:eastAsia="en-US"/>
          </w:rPr>
          <w:t>http://www.forbes.com.mx/las-10-marcas-mas-poderosas-de-2015/</w:t>
        </w:r>
      </w:hyperlink>
    </w:p>
    <w:p w14:paraId="18B397F1" w14:textId="601DBF22" w:rsidR="003958FD" w:rsidRPr="003958FD" w:rsidRDefault="003958FD" w:rsidP="003958FD">
      <w:pPr>
        <w:ind w:right="-159"/>
        <w:jc w:val="both"/>
        <w:rPr>
          <w:rFonts w:eastAsia="Times New Roman"/>
          <w:b/>
          <w:bCs/>
          <w:sz w:val="26"/>
          <w:szCs w:val="26"/>
          <w:lang w:val="es-ES"/>
        </w:rPr>
      </w:pPr>
      <w:r w:rsidRPr="003958FD">
        <w:rPr>
          <w:rFonts w:eastAsia="Times New Roman"/>
          <w:b/>
          <w:bCs/>
          <w:sz w:val="26"/>
          <w:szCs w:val="26"/>
          <w:lang w:val="es-ES"/>
        </w:rPr>
        <w:t>Informe de las ventas del sector automotriz,</w:t>
      </w:r>
    </w:p>
    <w:p w14:paraId="3CD8AE6D" w14:textId="77777777" w:rsidR="003958FD" w:rsidRPr="003958FD" w:rsidRDefault="003958FD" w:rsidP="003958FD">
      <w:pPr>
        <w:spacing w:after="360" w:line="360" w:lineRule="auto"/>
        <w:ind w:right="-159"/>
        <w:jc w:val="both"/>
        <w:rPr>
          <w:rFonts w:eastAsia="Times New Roman"/>
          <w:b/>
          <w:bCs/>
          <w:sz w:val="26"/>
          <w:szCs w:val="26"/>
        </w:rPr>
      </w:pPr>
      <w:r w:rsidRPr="003958FD">
        <w:rPr>
          <w:rFonts w:eastAsia="Times New Roman"/>
          <w:b/>
          <w:bCs/>
          <w:sz w:val="26"/>
          <w:szCs w:val="26"/>
          <w:lang w:val="es-ES"/>
        </w:rPr>
        <w:t>cifras de febrero y acumulado</w:t>
      </w:r>
      <w:r w:rsidRPr="003958FD">
        <w:rPr>
          <w:rFonts w:eastAsia="Times New Roman"/>
          <w:b/>
          <w:bCs/>
          <w:sz w:val="26"/>
          <w:szCs w:val="26"/>
        </w:rPr>
        <w:t xml:space="preserve"> 2015 (</w:t>
      </w:r>
      <w:r w:rsidRPr="003958FD">
        <w:rPr>
          <w:rFonts w:eastAsia="Times New Roman"/>
          <w:b/>
          <w:sz w:val="26"/>
          <w:szCs w:val="26"/>
        </w:rPr>
        <w:t>AMIA)</w:t>
      </w:r>
    </w:p>
    <w:p w14:paraId="5FA85613" w14:textId="76095C10" w:rsidR="003958FD" w:rsidRPr="003958FD" w:rsidRDefault="003958FD" w:rsidP="003958FD">
      <w:pPr>
        <w:spacing w:after="360" w:line="360" w:lineRule="auto"/>
        <w:ind w:right="-159"/>
        <w:jc w:val="both"/>
        <w:rPr>
          <w:rFonts w:eastAsia="Times New Roman"/>
          <w:sz w:val="26"/>
          <w:szCs w:val="26"/>
          <w:lang w:val="es-ES"/>
        </w:rPr>
      </w:pPr>
      <w:r w:rsidRPr="003958FD">
        <w:rPr>
          <w:rFonts w:eastAsia="Times New Roman"/>
          <w:sz w:val="26"/>
          <w:szCs w:val="26"/>
          <w:lang w:val="es-ES"/>
        </w:rPr>
        <w:t xml:space="preserve">El 9 de marzo de 2015, la Asociación Mexicana de la Industria Automotriz (AMIA), A.C. publicó información correspondiente al mes de febrero de </w:t>
      </w:r>
      <w:r w:rsidRPr="003958FD">
        <w:rPr>
          <w:rFonts w:eastAsia="Times New Roman"/>
          <w:bCs/>
          <w:sz w:val="26"/>
          <w:szCs w:val="26"/>
        </w:rPr>
        <w:t>2015</w:t>
      </w:r>
      <w:r w:rsidRPr="003958FD">
        <w:rPr>
          <w:rFonts w:eastAsia="Times New Roman"/>
          <w:sz w:val="26"/>
          <w:szCs w:val="26"/>
          <w:lang w:val="es-ES"/>
        </w:rPr>
        <w:t>, sobre las ventas del sector automotriz. Los aspectos más sobresalientes son:</w:t>
      </w:r>
    </w:p>
    <w:p w14:paraId="57FB05DF" w14:textId="77777777" w:rsidR="003958FD" w:rsidRPr="003958FD" w:rsidRDefault="003958FD" w:rsidP="00276F3E">
      <w:pPr>
        <w:numPr>
          <w:ilvl w:val="0"/>
          <w:numId w:val="114"/>
        </w:numPr>
        <w:spacing w:after="360" w:line="360" w:lineRule="auto"/>
        <w:ind w:left="641" w:hanging="357"/>
        <w:jc w:val="both"/>
        <w:rPr>
          <w:rFonts w:eastAsia="Times New Roman"/>
          <w:sz w:val="26"/>
          <w:szCs w:val="26"/>
          <w:lang w:val="es-ES"/>
        </w:rPr>
      </w:pPr>
      <w:r w:rsidRPr="003958FD">
        <w:rPr>
          <w:rFonts w:eastAsia="Times New Roman"/>
          <w:sz w:val="26"/>
          <w:szCs w:val="26"/>
          <w:lang w:val="es-ES"/>
        </w:rPr>
        <w:t>En febrero 2015 se comercializaron 201 mil 255 vehículos ligeros, la cifra más alta para un mismo mes.</w:t>
      </w:r>
    </w:p>
    <w:p w14:paraId="541D1639" w14:textId="77777777" w:rsidR="003958FD" w:rsidRPr="003958FD" w:rsidRDefault="003958FD" w:rsidP="00276F3E">
      <w:pPr>
        <w:numPr>
          <w:ilvl w:val="0"/>
          <w:numId w:val="114"/>
        </w:numPr>
        <w:spacing w:after="360" w:line="360" w:lineRule="auto"/>
        <w:ind w:left="568" w:hanging="284"/>
        <w:jc w:val="both"/>
        <w:rPr>
          <w:rFonts w:eastAsia="Times New Roman"/>
          <w:sz w:val="26"/>
          <w:szCs w:val="26"/>
          <w:lang w:val="es-ES"/>
        </w:rPr>
      </w:pPr>
      <w:r w:rsidRPr="003958FD">
        <w:rPr>
          <w:rFonts w:eastAsia="Times New Roman"/>
          <w:sz w:val="26"/>
          <w:szCs w:val="26"/>
          <w:lang w:val="es-ES"/>
        </w:rPr>
        <w:t>La producción de vehículos ligeros registró cifras récord, con 282 mil 856 unidades fabricadas durante el segundo mes del año, 14% más que el mismo mes de 2013.</w:t>
      </w:r>
    </w:p>
    <w:p w14:paraId="7AEA7D38" w14:textId="77777777" w:rsidR="003958FD" w:rsidRPr="003958FD" w:rsidRDefault="003958FD" w:rsidP="00276F3E">
      <w:pPr>
        <w:numPr>
          <w:ilvl w:val="0"/>
          <w:numId w:val="114"/>
        </w:numPr>
        <w:spacing w:after="360" w:line="360" w:lineRule="auto"/>
        <w:ind w:left="568" w:hanging="284"/>
        <w:jc w:val="both"/>
        <w:rPr>
          <w:rFonts w:eastAsia="Times New Roman"/>
          <w:sz w:val="26"/>
          <w:szCs w:val="26"/>
          <w:lang w:val="es-ES"/>
        </w:rPr>
      </w:pPr>
      <w:r w:rsidRPr="003958FD">
        <w:rPr>
          <w:rFonts w:eastAsia="Times New Roman"/>
          <w:sz w:val="26"/>
          <w:szCs w:val="26"/>
          <w:lang w:val="es-ES"/>
        </w:rPr>
        <w:t>En exportación de vehículos ligeros también se alcanzó una cifra sin precedentes para un mismo mes, se exportaron 222 mil 351 vehículos para un crecimiento del 12.6 por ciento.</w:t>
      </w:r>
    </w:p>
    <w:p w14:paraId="10D2B87F" w14:textId="77777777" w:rsidR="003958FD" w:rsidRPr="003958FD" w:rsidRDefault="003958FD" w:rsidP="00276F3E">
      <w:pPr>
        <w:numPr>
          <w:ilvl w:val="0"/>
          <w:numId w:val="114"/>
        </w:numPr>
        <w:spacing w:after="360" w:line="360" w:lineRule="auto"/>
        <w:ind w:left="568" w:hanging="284"/>
        <w:jc w:val="both"/>
        <w:rPr>
          <w:rFonts w:eastAsia="Times New Roman"/>
          <w:sz w:val="26"/>
          <w:szCs w:val="26"/>
          <w:lang w:val="es-ES"/>
        </w:rPr>
      </w:pPr>
      <w:r w:rsidRPr="003958FD">
        <w:rPr>
          <w:rFonts w:eastAsia="Times New Roman"/>
          <w:sz w:val="26"/>
          <w:szCs w:val="26"/>
          <w:lang w:val="es-ES"/>
        </w:rPr>
        <w:lastRenderedPageBreak/>
        <w:t>En Estados Unidos de Norteamérica se vendieron 2 millones 398 mil 198 vehículos ligeros en el primer bimestre de 2015, 9.2% más que la venta del mismo período de 2014.</w:t>
      </w:r>
    </w:p>
    <w:tbl>
      <w:tblPr>
        <w:tblW w:w="75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00" w:firstRow="0" w:lastRow="0" w:firstColumn="0" w:lastColumn="0" w:noHBand="0" w:noVBand="0"/>
      </w:tblPr>
      <w:tblGrid>
        <w:gridCol w:w="2400"/>
        <w:gridCol w:w="1752"/>
        <w:gridCol w:w="1701"/>
        <w:gridCol w:w="1729"/>
      </w:tblGrid>
      <w:tr w:rsidR="003958FD" w:rsidRPr="003958FD" w14:paraId="3947D043" w14:textId="77777777" w:rsidTr="004F1C40">
        <w:trPr>
          <w:trHeight w:val="227"/>
          <w:jc w:val="center"/>
        </w:trPr>
        <w:tc>
          <w:tcPr>
            <w:tcW w:w="7582" w:type="dxa"/>
            <w:gridSpan w:val="4"/>
            <w:tcBorders>
              <w:top w:val="nil"/>
              <w:left w:val="nil"/>
              <w:right w:val="nil"/>
            </w:tcBorders>
            <w:shd w:val="clear" w:color="auto" w:fill="auto"/>
            <w:noWrap/>
          </w:tcPr>
          <w:p w14:paraId="7EFC8A05" w14:textId="77777777" w:rsidR="003958FD" w:rsidRPr="003958FD" w:rsidRDefault="003958FD" w:rsidP="003958FD">
            <w:pPr>
              <w:ind w:left="720"/>
              <w:contextualSpacing/>
              <w:jc w:val="center"/>
              <w:rPr>
                <w:rFonts w:eastAsia="Times New Roman"/>
                <w:b/>
                <w:bCs/>
                <w:sz w:val="22"/>
                <w:szCs w:val="22"/>
                <w:lang w:val="es-ES"/>
              </w:rPr>
            </w:pPr>
            <w:r w:rsidRPr="003958FD">
              <w:rPr>
                <w:rFonts w:eastAsia="Times New Roman"/>
                <w:b/>
                <w:bCs/>
                <w:sz w:val="22"/>
                <w:szCs w:val="22"/>
                <w:lang w:val="es-ES"/>
              </w:rPr>
              <w:t>CIFRAS DE FEBRERO Y ACUMULADO 2015</w:t>
            </w:r>
          </w:p>
        </w:tc>
      </w:tr>
      <w:tr w:rsidR="003958FD" w:rsidRPr="003958FD" w14:paraId="19DF9D8C" w14:textId="77777777" w:rsidTr="004F1C40">
        <w:trPr>
          <w:trHeight w:val="227"/>
          <w:jc w:val="center"/>
        </w:trPr>
        <w:tc>
          <w:tcPr>
            <w:tcW w:w="2400" w:type="dxa"/>
            <w:tcBorders>
              <w:bottom w:val="single" w:sz="6" w:space="0" w:color="000000"/>
            </w:tcBorders>
            <w:shd w:val="clear" w:color="auto" w:fill="auto"/>
            <w:noWrap/>
            <w:vAlign w:val="center"/>
          </w:tcPr>
          <w:p w14:paraId="130D6A4B" w14:textId="77777777" w:rsidR="003958FD" w:rsidRPr="003958FD" w:rsidRDefault="003958FD" w:rsidP="003958FD">
            <w:pPr>
              <w:spacing w:before="20" w:after="20"/>
              <w:jc w:val="center"/>
              <w:rPr>
                <w:rFonts w:eastAsia="Times New Roman"/>
                <w:b/>
                <w:sz w:val="18"/>
                <w:szCs w:val="18"/>
                <w:lang w:val="es-ES"/>
              </w:rPr>
            </w:pPr>
            <w:r w:rsidRPr="003958FD">
              <w:rPr>
                <w:rFonts w:eastAsia="Times New Roman"/>
                <w:b/>
                <w:sz w:val="18"/>
                <w:szCs w:val="18"/>
                <w:lang w:val="es-ES"/>
              </w:rPr>
              <w:t>Período</w:t>
            </w:r>
          </w:p>
        </w:tc>
        <w:tc>
          <w:tcPr>
            <w:tcW w:w="1752" w:type="dxa"/>
            <w:tcBorders>
              <w:bottom w:val="single" w:sz="6" w:space="0" w:color="000000"/>
            </w:tcBorders>
            <w:shd w:val="clear" w:color="auto" w:fill="auto"/>
            <w:noWrap/>
            <w:vAlign w:val="center"/>
          </w:tcPr>
          <w:p w14:paraId="04B36B75" w14:textId="77777777" w:rsidR="003958FD" w:rsidRPr="003958FD" w:rsidRDefault="003958FD" w:rsidP="003958FD">
            <w:pPr>
              <w:spacing w:before="20" w:after="20"/>
              <w:jc w:val="center"/>
              <w:rPr>
                <w:rFonts w:eastAsia="Times New Roman"/>
                <w:b/>
                <w:sz w:val="18"/>
                <w:szCs w:val="18"/>
                <w:lang w:val="es-ES"/>
              </w:rPr>
            </w:pPr>
            <w:r w:rsidRPr="003958FD">
              <w:rPr>
                <w:rFonts w:eastAsia="Times New Roman"/>
                <w:b/>
                <w:bCs/>
                <w:sz w:val="18"/>
                <w:szCs w:val="18"/>
                <w:lang w:val="es-ES"/>
              </w:rPr>
              <w:t>Producción total</w:t>
            </w:r>
          </w:p>
        </w:tc>
        <w:tc>
          <w:tcPr>
            <w:tcW w:w="1701" w:type="dxa"/>
            <w:tcBorders>
              <w:bottom w:val="single" w:sz="6" w:space="0" w:color="000000"/>
            </w:tcBorders>
            <w:shd w:val="clear" w:color="auto" w:fill="auto"/>
            <w:noWrap/>
            <w:vAlign w:val="center"/>
          </w:tcPr>
          <w:p w14:paraId="722E216C" w14:textId="77777777" w:rsidR="003958FD" w:rsidRPr="003958FD" w:rsidRDefault="003958FD" w:rsidP="003958FD">
            <w:pPr>
              <w:spacing w:before="20" w:after="20"/>
              <w:jc w:val="center"/>
              <w:rPr>
                <w:rFonts w:eastAsia="Times New Roman"/>
                <w:b/>
                <w:sz w:val="18"/>
                <w:szCs w:val="18"/>
                <w:lang w:val="es-ES"/>
              </w:rPr>
            </w:pPr>
            <w:r w:rsidRPr="003958FD">
              <w:rPr>
                <w:rFonts w:eastAsia="Times New Roman"/>
                <w:b/>
                <w:bCs/>
                <w:sz w:val="18"/>
                <w:szCs w:val="18"/>
                <w:lang w:val="es-ES"/>
              </w:rPr>
              <w:t>Exportación</w:t>
            </w:r>
          </w:p>
        </w:tc>
        <w:tc>
          <w:tcPr>
            <w:tcW w:w="1729" w:type="dxa"/>
            <w:tcBorders>
              <w:bottom w:val="single" w:sz="6" w:space="0" w:color="000000"/>
            </w:tcBorders>
            <w:shd w:val="clear" w:color="auto" w:fill="auto"/>
            <w:noWrap/>
            <w:vAlign w:val="center"/>
          </w:tcPr>
          <w:p w14:paraId="6EC515BB" w14:textId="77777777" w:rsidR="003958FD" w:rsidRPr="003958FD" w:rsidRDefault="003958FD" w:rsidP="003958FD">
            <w:pPr>
              <w:spacing w:before="20" w:after="20"/>
              <w:jc w:val="center"/>
              <w:rPr>
                <w:rFonts w:eastAsia="Times New Roman"/>
                <w:b/>
                <w:sz w:val="18"/>
                <w:szCs w:val="18"/>
                <w:lang w:val="es-ES"/>
              </w:rPr>
            </w:pPr>
            <w:r w:rsidRPr="003958FD">
              <w:rPr>
                <w:rFonts w:eastAsia="Times New Roman"/>
                <w:b/>
                <w:bCs/>
                <w:sz w:val="18"/>
                <w:szCs w:val="18"/>
                <w:lang w:val="es-ES"/>
              </w:rPr>
              <w:t>Venta al público</w:t>
            </w:r>
          </w:p>
        </w:tc>
      </w:tr>
      <w:tr w:rsidR="003958FD" w:rsidRPr="003958FD" w14:paraId="6070C7C0" w14:textId="77777777" w:rsidTr="004F1C40">
        <w:trPr>
          <w:trHeight w:val="227"/>
          <w:jc w:val="center"/>
        </w:trPr>
        <w:tc>
          <w:tcPr>
            <w:tcW w:w="2400" w:type="dxa"/>
            <w:tcBorders>
              <w:bottom w:val="nil"/>
            </w:tcBorders>
            <w:shd w:val="clear" w:color="auto" w:fill="auto"/>
            <w:noWrap/>
            <w:vAlign w:val="center"/>
          </w:tcPr>
          <w:p w14:paraId="32ABCC04" w14:textId="77777777" w:rsidR="003958FD" w:rsidRPr="003958FD" w:rsidRDefault="003958FD" w:rsidP="003958FD">
            <w:pPr>
              <w:spacing w:before="20" w:after="20"/>
              <w:rPr>
                <w:rFonts w:eastAsia="Times New Roman"/>
                <w:bCs/>
                <w:sz w:val="18"/>
                <w:szCs w:val="18"/>
                <w:lang w:val="es-ES"/>
              </w:rPr>
            </w:pPr>
            <w:r w:rsidRPr="003958FD">
              <w:rPr>
                <w:rFonts w:eastAsia="Times New Roman"/>
                <w:bCs/>
                <w:sz w:val="18"/>
                <w:szCs w:val="18"/>
                <w:lang w:val="es-ES"/>
              </w:rPr>
              <w:t>Febrero 2015</w:t>
            </w:r>
          </w:p>
        </w:tc>
        <w:tc>
          <w:tcPr>
            <w:tcW w:w="1752" w:type="dxa"/>
            <w:tcBorders>
              <w:bottom w:val="nil"/>
            </w:tcBorders>
            <w:shd w:val="clear" w:color="auto" w:fill="auto"/>
            <w:noWrap/>
            <w:vAlign w:val="center"/>
          </w:tcPr>
          <w:p w14:paraId="03BE8C39" w14:textId="77777777" w:rsidR="003958FD" w:rsidRPr="003958FD" w:rsidRDefault="003958FD" w:rsidP="003958FD">
            <w:pPr>
              <w:spacing w:before="20" w:after="20"/>
              <w:ind w:right="397"/>
              <w:jc w:val="right"/>
              <w:rPr>
                <w:rFonts w:eastAsia="Times New Roman"/>
                <w:sz w:val="18"/>
                <w:szCs w:val="18"/>
                <w:lang w:val="es-ES"/>
              </w:rPr>
            </w:pPr>
            <w:r w:rsidRPr="003958FD">
              <w:rPr>
                <w:rFonts w:eastAsia="Times New Roman"/>
                <w:sz w:val="18"/>
                <w:szCs w:val="18"/>
                <w:lang w:val="es-ES"/>
              </w:rPr>
              <w:t>282 856</w:t>
            </w:r>
          </w:p>
        </w:tc>
        <w:tc>
          <w:tcPr>
            <w:tcW w:w="1701" w:type="dxa"/>
            <w:tcBorders>
              <w:bottom w:val="nil"/>
            </w:tcBorders>
            <w:shd w:val="clear" w:color="auto" w:fill="auto"/>
            <w:noWrap/>
            <w:vAlign w:val="center"/>
          </w:tcPr>
          <w:p w14:paraId="40162738" w14:textId="77777777" w:rsidR="003958FD" w:rsidRPr="003958FD" w:rsidRDefault="003958FD" w:rsidP="003958FD">
            <w:pPr>
              <w:spacing w:before="20" w:after="20"/>
              <w:ind w:right="397"/>
              <w:jc w:val="right"/>
              <w:rPr>
                <w:rFonts w:eastAsia="Times New Roman"/>
                <w:sz w:val="18"/>
                <w:szCs w:val="18"/>
                <w:lang w:val="es-ES"/>
              </w:rPr>
            </w:pPr>
            <w:r w:rsidRPr="003958FD">
              <w:rPr>
                <w:rFonts w:eastAsia="Times New Roman"/>
                <w:sz w:val="18"/>
                <w:szCs w:val="18"/>
                <w:lang w:val="es-ES"/>
              </w:rPr>
              <w:t>222 351</w:t>
            </w:r>
          </w:p>
        </w:tc>
        <w:tc>
          <w:tcPr>
            <w:tcW w:w="1729" w:type="dxa"/>
            <w:tcBorders>
              <w:bottom w:val="nil"/>
            </w:tcBorders>
            <w:shd w:val="clear" w:color="auto" w:fill="auto"/>
            <w:noWrap/>
            <w:vAlign w:val="center"/>
          </w:tcPr>
          <w:p w14:paraId="2CEB783F" w14:textId="77777777" w:rsidR="003958FD" w:rsidRPr="003958FD" w:rsidRDefault="003958FD" w:rsidP="003958FD">
            <w:pPr>
              <w:spacing w:before="20" w:after="20"/>
              <w:ind w:right="397"/>
              <w:jc w:val="right"/>
              <w:rPr>
                <w:rFonts w:eastAsia="Times New Roman"/>
                <w:sz w:val="18"/>
                <w:szCs w:val="18"/>
                <w:lang w:val="es-ES"/>
              </w:rPr>
            </w:pPr>
            <w:r w:rsidRPr="003958FD">
              <w:rPr>
                <w:rFonts w:eastAsia="Times New Roman"/>
                <w:sz w:val="18"/>
                <w:szCs w:val="18"/>
                <w:lang w:val="es-ES"/>
              </w:rPr>
              <w:t>97 558</w:t>
            </w:r>
          </w:p>
        </w:tc>
      </w:tr>
      <w:tr w:rsidR="003958FD" w:rsidRPr="003958FD" w14:paraId="10FC5CE2" w14:textId="77777777" w:rsidTr="004F1C40">
        <w:trPr>
          <w:trHeight w:val="227"/>
          <w:jc w:val="center"/>
        </w:trPr>
        <w:tc>
          <w:tcPr>
            <w:tcW w:w="2400" w:type="dxa"/>
            <w:tcBorders>
              <w:top w:val="nil"/>
              <w:bottom w:val="nil"/>
            </w:tcBorders>
            <w:shd w:val="clear" w:color="auto" w:fill="auto"/>
            <w:noWrap/>
            <w:vAlign w:val="center"/>
          </w:tcPr>
          <w:p w14:paraId="61ABF9CC" w14:textId="77777777" w:rsidR="003958FD" w:rsidRPr="003958FD" w:rsidRDefault="003958FD" w:rsidP="003958FD">
            <w:pPr>
              <w:spacing w:before="20" w:after="20"/>
              <w:rPr>
                <w:rFonts w:eastAsia="Times New Roman"/>
                <w:bCs/>
                <w:sz w:val="18"/>
                <w:szCs w:val="18"/>
                <w:lang w:val="es-ES"/>
              </w:rPr>
            </w:pPr>
            <w:r w:rsidRPr="003958FD">
              <w:rPr>
                <w:rFonts w:eastAsia="Times New Roman"/>
                <w:bCs/>
                <w:sz w:val="18"/>
                <w:szCs w:val="18"/>
                <w:lang w:val="es-ES"/>
              </w:rPr>
              <w:t>Febrero 2014</w:t>
            </w:r>
          </w:p>
        </w:tc>
        <w:tc>
          <w:tcPr>
            <w:tcW w:w="1752" w:type="dxa"/>
            <w:tcBorders>
              <w:top w:val="nil"/>
              <w:bottom w:val="nil"/>
            </w:tcBorders>
            <w:shd w:val="clear" w:color="auto" w:fill="auto"/>
            <w:noWrap/>
            <w:vAlign w:val="center"/>
          </w:tcPr>
          <w:p w14:paraId="1D9AFA47" w14:textId="77777777" w:rsidR="003958FD" w:rsidRPr="003958FD" w:rsidRDefault="003958FD" w:rsidP="003958FD">
            <w:pPr>
              <w:spacing w:before="20" w:after="20"/>
              <w:ind w:right="397"/>
              <w:jc w:val="right"/>
              <w:rPr>
                <w:rFonts w:eastAsia="Times New Roman"/>
                <w:sz w:val="18"/>
                <w:szCs w:val="18"/>
                <w:lang w:val="es-ES"/>
              </w:rPr>
            </w:pPr>
            <w:r w:rsidRPr="003958FD">
              <w:rPr>
                <w:rFonts w:eastAsia="Times New Roman"/>
                <w:sz w:val="18"/>
                <w:szCs w:val="18"/>
                <w:lang w:val="es-ES"/>
              </w:rPr>
              <w:t>248 0147</w:t>
            </w:r>
          </w:p>
        </w:tc>
        <w:tc>
          <w:tcPr>
            <w:tcW w:w="1701" w:type="dxa"/>
            <w:tcBorders>
              <w:top w:val="nil"/>
              <w:bottom w:val="nil"/>
            </w:tcBorders>
            <w:shd w:val="clear" w:color="auto" w:fill="auto"/>
            <w:noWrap/>
            <w:vAlign w:val="center"/>
          </w:tcPr>
          <w:p w14:paraId="5D80303C" w14:textId="77777777" w:rsidR="003958FD" w:rsidRPr="003958FD" w:rsidRDefault="003958FD" w:rsidP="003958FD">
            <w:pPr>
              <w:spacing w:before="20" w:after="20"/>
              <w:ind w:right="397"/>
              <w:jc w:val="right"/>
              <w:rPr>
                <w:rFonts w:eastAsia="Times New Roman"/>
                <w:sz w:val="18"/>
                <w:szCs w:val="18"/>
                <w:lang w:val="es-ES"/>
              </w:rPr>
            </w:pPr>
            <w:r w:rsidRPr="003958FD">
              <w:rPr>
                <w:rFonts w:eastAsia="Times New Roman"/>
                <w:sz w:val="18"/>
                <w:szCs w:val="18"/>
                <w:lang w:val="es-ES"/>
              </w:rPr>
              <w:t>197 504</w:t>
            </w:r>
          </w:p>
        </w:tc>
        <w:tc>
          <w:tcPr>
            <w:tcW w:w="1729" w:type="dxa"/>
            <w:tcBorders>
              <w:top w:val="nil"/>
              <w:bottom w:val="nil"/>
            </w:tcBorders>
            <w:shd w:val="clear" w:color="auto" w:fill="auto"/>
            <w:noWrap/>
            <w:vAlign w:val="center"/>
          </w:tcPr>
          <w:p w14:paraId="19C761B7" w14:textId="77777777" w:rsidR="003958FD" w:rsidRPr="003958FD" w:rsidRDefault="003958FD" w:rsidP="003958FD">
            <w:pPr>
              <w:spacing w:before="20" w:after="20"/>
              <w:ind w:right="397"/>
              <w:jc w:val="right"/>
              <w:rPr>
                <w:rFonts w:eastAsia="Times New Roman"/>
                <w:sz w:val="18"/>
                <w:szCs w:val="18"/>
                <w:lang w:val="es-ES"/>
              </w:rPr>
            </w:pPr>
            <w:r w:rsidRPr="003958FD">
              <w:rPr>
                <w:rFonts w:eastAsia="Times New Roman"/>
                <w:sz w:val="18"/>
                <w:szCs w:val="18"/>
                <w:lang w:val="es-ES"/>
              </w:rPr>
              <w:t>79 938</w:t>
            </w:r>
          </w:p>
        </w:tc>
      </w:tr>
      <w:tr w:rsidR="003958FD" w:rsidRPr="003958FD" w14:paraId="0661ACEB" w14:textId="77777777" w:rsidTr="004F1C40">
        <w:trPr>
          <w:trHeight w:val="227"/>
          <w:jc w:val="center"/>
        </w:trPr>
        <w:tc>
          <w:tcPr>
            <w:tcW w:w="2400" w:type="dxa"/>
            <w:tcBorders>
              <w:top w:val="nil"/>
              <w:bottom w:val="nil"/>
            </w:tcBorders>
            <w:shd w:val="clear" w:color="auto" w:fill="auto"/>
            <w:noWrap/>
            <w:vAlign w:val="center"/>
          </w:tcPr>
          <w:p w14:paraId="3C8414CE" w14:textId="77777777" w:rsidR="003958FD" w:rsidRPr="003958FD" w:rsidRDefault="003958FD" w:rsidP="003958FD">
            <w:pPr>
              <w:spacing w:before="20" w:after="20"/>
              <w:rPr>
                <w:rFonts w:eastAsia="Times New Roman"/>
                <w:bCs/>
                <w:sz w:val="18"/>
                <w:szCs w:val="18"/>
                <w:lang w:val="es-ES"/>
              </w:rPr>
            </w:pPr>
            <w:r w:rsidRPr="003958FD">
              <w:rPr>
                <w:rFonts w:eastAsia="Times New Roman"/>
                <w:bCs/>
                <w:sz w:val="18"/>
                <w:szCs w:val="18"/>
                <w:lang w:val="es-ES"/>
              </w:rPr>
              <w:t>Variación %</w:t>
            </w:r>
          </w:p>
        </w:tc>
        <w:tc>
          <w:tcPr>
            <w:tcW w:w="1752" w:type="dxa"/>
            <w:tcBorders>
              <w:top w:val="nil"/>
              <w:bottom w:val="nil"/>
            </w:tcBorders>
            <w:shd w:val="clear" w:color="auto" w:fill="auto"/>
            <w:noWrap/>
            <w:vAlign w:val="center"/>
          </w:tcPr>
          <w:p w14:paraId="321F0059" w14:textId="77777777" w:rsidR="003958FD" w:rsidRPr="003958FD" w:rsidRDefault="003958FD" w:rsidP="003958FD">
            <w:pPr>
              <w:spacing w:before="20" w:after="20"/>
              <w:ind w:right="397"/>
              <w:jc w:val="right"/>
              <w:rPr>
                <w:rFonts w:eastAsia="Times New Roman"/>
                <w:sz w:val="18"/>
                <w:szCs w:val="18"/>
                <w:lang w:val="es-ES"/>
              </w:rPr>
            </w:pPr>
            <w:r w:rsidRPr="003958FD">
              <w:rPr>
                <w:rFonts w:eastAsia="Times New Roman"/>
                <w:sz w:val="18"/>
                <w:szCs w:val="18"/>
                <w:lang w:val="es-ES"/>
              </w:rPr>
              <w:t>14.0</w:t>
            </w:r>
          </w:p>
        </w:tc>
        <w:tc>
          <w:tcPr>
            <w:tcW w:w="1701" w:type="dxa"/>
            <w:tcBorders>
              <w:top w:val="nil"/>
              <w:bottom w:val="nil"/>
            </w:tcBorders>
            <w:shd w:val="clear" w:color="auto" w:fill="auto"/>
            <w:noWrap/>
            <w:vAlign w:val="center"/>
          </w:tcPr>
          <w:p w14:paraId="6A5D242E" w14:textId="77777777" w:rsidR="003958FD" w:rsidRPr="003958FD" w:rsidRDefault="003958FD" w:rsidP="003958FD">
            <w:pPr>
              <w:spacing w:before="20" w:after="20"/>
              <w:ind w:right="397"/>
              <w:jc w:val="right"/>
              <w:rPr>
                <w:rFonts w:eastAsia="Times New Roman"/>
                <w:sz w:val="18"/>
                <w:szCs w:val="18"/>
                <w:lang w:val="es-ES"/>
              </w:rPr>
            </w:pPr>
            <w:r w:rsidRPr="003958FD">
              <w:rPr>
                <w:rFonts w:eastAsia="Times New Roman"/>
                <w:sz w:val="18"/>
                <w:szCs w:val="18"/>
                <w:lang w:val="es-ES"/>
              </w:rPr>
              <w:t>12.6</w:t>
            </w:r>
          </w:p>
        </w:tc>
        <w:tc>
          <w:tcPr>
            <w:tcW w:w="1729" w:type="dxa"/>
            <w:tcBorders>
              <w:top w:val="nil"/>
              <w:bottom w:val="nil"/>
            </w:tcBorders>
            <w:shd w:val="clear" w:color="auto" w:fill="auto"/>
            <w:noWrap/>
            <w:vAlign w:val="center"/>
          </w:tcPr>
          <w:p w14:paraId="1241EE5A" w14:textId="77777777" w:rsidR="003958FD" w:rsidRPr="003958FD" w:rsidRDefault="003958FD" w:rsidP="003958FD">
            <w:pPr>
              <w:spacing w:before="20" w:after="20"/>
              <w:ind w:right="397"/>
              <w:jc w:val="right"/>
              <w:rPr>
                <w:rFonts w:eastAsia="Times New Roman"/>
                <w:sz w:val="18"/>
                <w:szCs w:val="18"/>
                <w:lang w:val="es-ES"/>
              </w:rPr>
            </w:pPr>
            <w:r w:rsidRPr="003958FD">
              <w:rPr>
                <w:rFonts w:eastAsia="Times New Roman"/>
                <w:sz w:val="18"/>
                <w:szCs w:val="18"/>
                <w:lang w:val="es-ES"/>
              </w:rPr>
              <w:t>22.0</w:t>
            </w:r>
          </w:p>
        </w:tc>
      </w:tr>
      <w:tr w:rsidR="003958FD" w:rsidRPr="003958FD" w14:paraId="7BED0B5B" w14:textId="77777777" w:rsidTr="004F1C40">
        <w:trPr>
          <w:trHeight w:val="227"/>
          <w:jc w:val="center"/>
        </w:trPr>
        <w:tc>
          <w:tcPr>
            <w:tcW w:w="2400" w:type="dxa"/>
            <w:tcBorders>
              <w:top w:val="nil"/>
              <w:bottom w:val="nil"/>
              <w:right w:val="single" w:sz="4" w:space="0" w:color="auto"/>
            </w:tcBorders>
            <w:shd w:val="clear" w:color="auto" w:fill="auto"/>
            <w:noWrap/>
            <w:vAlign w:val="center"/>
          </w:tcPr>
          <w:p w14:paraId="6C336C04" w14:textId="77777777" w:rsidR="003958FD" w:rsidRPr="003958FD" w:rsidRDefault="003958FD" w:rsidP="003958FD">
            <w:pPr>
              <w:spacing w:before="20" w:after="20"/>
              <w:rPr>
                <w:rFonts w:eastAsia="Times New Roman"/>
                <w:bCs/>
                <w:sz w:val="18"/>
                <w:szCs w:val="18"/>
                <w:lang w:val="es-ES"/>
              </w:rPr>
            </w:pPr>
            <w:r w:rsidRPr="003958FD">
              <w:rPr>
                <w:rFonts w:eastAsia="Times New Roman"/>
                <w:bCs/>
                <w:sz w:val="18"/>
                <w:szCs w:val="18"/>
                <w:lang w:val="es-ES"/>
              </w:rPr>
              <w:t>Diferencia</w:t>
            </w:r>
          </w:p>
        </w:tc>
        <w:tc>
          <w:tcPr>
            <w:tcW w:w="1752" w:type="dxa"/>
            <w:tcBorders>
              <w:top w:val="nil"/>
              <w:left w:val="single" w:sz="4" w:space="0" w:color="auto"/>
              <w:bottom w:val="nil"/>
              <w:right w:val="single" w:sz="4" w:space="0" w:color="auto"/>
            </w:tcBorders>
            <w:shd w:val="clear" w:color="auto" w:fill="auto"/>
            <w:noWrap/>
            <w:vAlign w:val="center"/>
          </w:tcPr>
          <w:p w14:paraId="0BC3BB95" w14:textId="77777777" w:rsidR="003958FD" w:rsidRPr="003958FD" w:rsidRDefault="003958FD" w:rsidP="003958FD">
            <w:pPr>
              <w:spacing w:before="20" w:after="20"/>
              <w:ind w:right="397"/>
              <w:jc w:val="right"/>
              <w:rPr>
                <w:rFonts w:eastAsia="Times New Roman"/>
                <w:bCs/>
                <w:sz w:val="18"/>
                <w:szCs w:val="18"/>
                <w:lang w:val="es-ES"/>
              </w:rPr>
            </w:pPr>
            <w:r w:rsidRPr="003958FD">
              <w:rPr>
                <w:rFonts w:eastAsia="Times New Roman"/>
                <w:bCs/>
                <w:sz w:val="18"/>
                <w:szCs w:val="18"/>
                <w:lang w:val="es-ES"/>
              </w:rPr>
              <w:t>34 839</w:t>
            </w:r>
          </w:p>
        </w:tc>
        <w:tc>
          <w:tcPr>
            <w:tcW w:w="1701" w:type="dxa"/>
            <w:tcBorders>
              <w:top w:val="nil"/>
              <w:left w:val="single" w:sz="4" w:space="0" w:color="auto"/>
              <w:bottom w:val="nil"/>
              <w:right w:val="single" w:sz="4" w:space="0" w:color="auto"/>
            </w:tcBorders>
            <w:shd w:val="clear" w:color="auto" w:fill="auto"/>
            <w:noWrap/>
            <w:vAlign w:val="center"/>
          </w:tcPr>
          <w:p w14:paraId="6F000CC8" w14:textId="77777777" w:rsidR="003958FD" w:rsidRPr="003958FD" w:rsidRDefault="003958FD" w:rsidP="003958FD">
            <w:pPr>
              <w:spacing w:before="20" w:after="20"/>
              <w:ind w:right="397"/>
              <w:jc w:val="right"/>
              <w:rPr>
                <w:rFonts w:eastAsia="Times New Roman"/>
                <w:bCs/>
                <w:sz w:val="18"/>
                <w:szCs w:val="18"/>
                <w:lang w:val="es-ES"/>
              </w:rPr>
            </w:pPr>
            <w:r w:rsidRPr="003958FD">
              <w:rPr>
                <w:rFonts w:eastAsia="Times New Roman"/>
                <w:bCs/>
                <w:sz w:val="18"/>
                <w:szCs w:val="18"/>
                <w:lang w:val="es-ES"/>
              </w:rPr>
              <w:t>24 847</w:t>
            </w:r>
          </w:p>
        </w:tc>
        <w:tc>
          <w:tcPr>
            <w:tcW w:w="1729" w:type="dxa"/>
            <w:tcBorders>
              <w:top w:val="nil"/>
              <w:left w:val="single" w:sz="4" w:space="0" w:color="auto"/>
              <w:bottom w:val="nil"/>
            </w:tcBorders>
            <w:shd w:val="clear" w:color="auto" w:fill="auto"/>
            <w:noWrap/>
            <w:vAlign w:val="center"/>
          </w:tcPr>
          <w:p w14:paraId="6FF743B3" w14:textId="77777777" w:rsidR="003958FD" w:rsidRPr="003958FD" w:rsidRDefault="003958FD" w:rsidP="003958FD">
            <w:pPr>
              <w:spacing w:before="20" w:after="20"/>
              <w:ind w:right="397"/>
              <w:jc w:val="right"/>
              <w:rPr>
                <w:rFonts w:eastAsia="Times New Roman"/>
                <w:bCs/>
                <w:sz w:val="18"/>
                <w:szCs w:val="18"/>
                <w:lang w:val="es-ES"/>
              </w:rPr>
            </w:pPr>
            <w:r w:rsidRPr="003958FD">
              <w:rPr>
                <w:rFonts w:eastAsia="Times New Roman"/>
                <w:bCs/>
                <w:sz w:val="18"/>
                <w:szCs w:val="18"/>
                <w:lang w:val="es-ES"/>
              </w:rPr>
              <w:t>17 620</w:t>
            </w:r>
          </w:p>
        </w:tc>
      </w:tr>
      <w:tr w:rsidR="003958FD" w:rsidRPr="003958FD" w14:paraId="77689B7B" w14:textId="77777777" w:rsidTr="004F1C40">
        <w:trPr>
          <w:trHeight w:val="227"/>
          <w:jc w:val="center"/>
        </w:trPr>
        <w:tc>
          <w:tcPr>
            <w:tcW w:w="2400" w:type="dxa"/>
            <w:tcBorders>
              <w:top w:val="nil"/>
              <w:bottom w:val="nil"/>
              <w:right w:val="single" w:sz="4" w:space="0" w:color="auto"/>
            </w:tcBorders>
            <w:shd w:val="clear" w:color="auto" w:fill="auto"/>
            <w:noWrap/>
            <w:vAlign w:val="center"/>
          </w:tcPr>
          <w:p w14:paraId="4FD9A076" w14:textId="77777777" w:rsidR="003958FD" w:rsidRPr="003958FD" w:rsidRDefault="003958FD" w:rsidP="003958FD">
            <w:pPr>
              <w:spacing w:before="20" w:after="20"/>
              <w:rPr>
                <w:rFonts w:eastAsia="Times New Roman"/>
                <w:bCs/>
                <w:sz w:val="18"/>
                <w:szCs w:val="18"/>
                <w:lang w:val="es-ES"/>
              </w:rPr>
            </w:pPr>
            <w:r w:rsidRPr="003958FD">
              <w:rPr>
                <w:rFonts w:eastAsia="Times New Roman"/>
                <w:bCs/>
                <w:sz w:val="18"/>
                <w:szCs w:val="18"/>
                <w:lang w:val="es-ES"/>
              </w:rPr>
              <w:t>Enero-Febrero 2015</w:t>
            </w:r>
          </w:p>
        </w:tc>
        <w:tc>
          <w:tcPr>
            <w:tcW w:w="1752" w:type="dxa"/>
            <w:tcBorders>
              <w:top w:val="nil"/>
              <w:left w:val="single" w:sz="4" w:space="0" w:color="auto"/>
              <w:bottom w:val="nil"/>
              <w:right w:val="single" w:sz="4" w:space="0" w:color="auto"/>
            </w:tcBorders>
            <w:shd w:val="clear" w:color="auto" w:fill="auto"/>
            <w:noWrap/>
            <w:vAlign w:val="center"/>
          </w:tcPr>
          <w:p w14:paraId="6AEDB930" w14:textId="77777777" w:rsidR="003958FD" w:rsidRPr="003958FD" w:rsidRDefault="003958FD" w:rsidP="003958FD">
            <w:pPr>
              <w:spacing w:before="20" w:after="20"/>
              <w:ind w:right="397"/>
              <w:jc w:val="right"/>
              <w:rPr>
                <w:rFonts w:eastAsia="Times New Roman"/>
                <w:bCs/>
                <w:sz w:val="18"/>
                <w:szCs w:val="18"/>
                <w:lang w:val="es-ES"/>
              </w:rPr>
            </w:pPr>
            <w:r w:rsidRPr="003958FD">
              <w:rPr>
                <w:rFonts w:eastAsia="Times New Roman"/>
                <w:bCs/>
                <w:sz w:val="18"/>
                <w:szCs w:val="18"/>
                <w:lang w:val="es-ES"/>
              </w:rPr>
              <w:t>549 280</w:t>
            </w:r>
          </w:p>
        </w:tc>
        <w:tc>
          <w:tcPr>
            <w:tcW w:w="1701" w:type="dxa"/>
            <w:tcBorders>
              <w:top w:val="nil"/>
              <w:left w:val="single" w:sz="4" w:space="0" w:color="auto"/>
              <w:bottom w:val="nil"/>
              <w:right w:val="single" w:sz="4" w:space="0" w:color="auto"/>
            </w:tcBorders>
            <w:shd w:val="clear" w:color="auto" w:fill="auto"/>
            <w:noWrap/>
            <w:vAlign w:val="center"/>
          </w:tcPr>
          <w:p w14:paraId="3CE65CF9" w14:textId="77777777" w:rsidR="003958FD" w:rsidRPr="003958FD" w:rsidRDefault="003958FD" w:rsidP="003958FD">
            <w:pPr>
              <w:spacing w:before="20" w:after="20"/>
              <w:ind w:right="397"/>
              <w:jc w:val="right"/>
              <w:rPr>
                <w:rFonts w:eastAsia="Times New Roman"/>
                <w:bCs/>
                <w:sz w:val="18"/>
                <w:szCs w:val="18"/>
                <w:lang w:val="es-ES"/>
              </w:rPr>
            </w:pPr>
            <w:r w:rsidRPr="003958FD">
              <w:rPr>
                <w:rFonts w:eastAsia="Times New Roman"/>
                <w:bCs/>
                <w:sz w:val="18"/>
                <w:szCs w:val="18"/>
                <w:lang w:val="es-ES"/>
              </w:rPr>
              <w:t>427 258</w:t>
            </w:r>
          </w:p>
        </w:tc>
        <w:tc>
          <w:tcPr>
            <w:tcW w:w="1729" w:type="dxa"/>
            <w:tcBorders>
              <w:top w:val="nil"/>
              <w:left w:val="single" w:sz="4" w:space="0" w:color="auto"/>
              <w:bottom w:val="nil"/>
            </w:tcBorders>
            <w:shd w:val="clear" w:color="auto" w:fill="auto"/>
            <w:noWrap/>
            <w:vAlign w:val="center"/>
          </w:tcPr>
          <w:p w14:paraId="6C89A415" w14:textId="77777777" w:rsidR="003958FD" w:rsidRPr="003958FD" w:rsidRDefault="003958FD" w:rsidP="003958FD">
            <w:pPr>
              <w:spacing w:before="20" w:after="20"/>
              <w:ind w:right="397"/>
              <w:jc w:val="right"/>
              <w:rPr>
                <w:rFonts w:eastAsia="Times New Roman"/>
                <w:bCs/>
                <w:sz w:val="18"/>
                <w:szCs w:val="18"/>
                <w:lang w:val="es-ES"/>
              </w:rPr>
            </w:pPr>
            <w:r w:rsidRPr="003958FD">
              <w:rPr>
                <w:rFonts w:eastAsia="Times New Roman"/>
                <w:bCs/>
                <w:sz w:val="18"/>
                <w:szCs w:val="18"/>
                <w:lang w:val="es-ES"/>
              </w:rPr>
              <w:t>201 255</w:t>
            </w:r>
          </w:p>
        </w:tc>
      </w:tr>
      <w:tr w:rsidR="003958FD" w:rsidRPr="003958FD" w14:paraId="3FC70953" w14:textId="77777777" w:rsidTr="004F1C40">
        <w:trPr>
          <w:trHeight w:val="227"/>
          <w:jc w:val="center"/>
        </w:trPr>
        <w:tc>
          <w:tcPr>
            <w:tcW w:w="2400" w:type="dxa"/>
            <w:tcBorders>
              <w:top w:val="nil"/>
              <w:bottom w:val="nil"/>
              <w:right w:val="single" w:sz="4" w:space="0" w:color="auto"/>
            </w:tcBorders>
            <w:shd w:val="clear" w:color="auto" w:fill="auto"/>
            <w:noWrap/>
            <w:vAlign w:val="center"/>
          </w:tcPr>
          <w:p w14:paraId="0321C695" w14:textId="77777777" w:rsidR="003958FD" w:rsidRPr="003958FD" w:rsidRDefault="003958FD" w:rsidP="003958FD">
            <w:pPr>
              <w:spacing w:before="20" w:after="20"/>
              <w:rPr>
                <w:rFonts w:eastAsia="Times New Roman"/>
                <w:bCs/>
                <w:sz w:val="18"/>
                <w:szCs w:val="18"/>
                <w:lang w:val="es-ES"/>
              </w:rPr>
            </w:pPr>
            <w:r w:rsidRPr="003958FD">
              <w:rPr>
                <w:rFonts w:eastAsia="Times New Roman"/>
                <w:bCs/>
                <w:sz w:val="18"/>
                <w:szCs w:val="18"/>
                <w:lang w:val="es-ES"/>
              </w:rPr>
              <w:t>Enero-Febrero 2014</w:t>
            </w:r>
          </w:p>
        </w:tc>
        <w:tc>
          <w:tcPr>
            <w:tcW w:w="1752" w:type="dxa"/>
            <w:tcBorders>
              <w:top w:val="nil"/>
              <w:left w:val="single" w:sz="4" w:space="0" w:color="auto"/>
              <w:bottom w:val="nil"/>
              <w:right w:val="single" w:sz="4" w:space="0" w:color="auto"/>
            </w:tcBorders>
            <w:shd w:val="clear" w:color="auto" w:fill="auto"/>
            <w:noWrap/>
            <w:vAlign w:val="center"/>
          </w:tcPr>
          <w:p w14:paraId="41CBF036" w14:textId="77777777" w:rsidR="003958FD" w:rsidRPr="003958FD" w:rsidRDefault="003958FD" w:rsidP="003958FD">
            <w:pPr>
              <w:spacing w:before="20" w:after="20"/>
              <w:ind w:right="397"/>
              <w:jc w:val="right"/>
              <w:rPr>
                <w:rFonts w:eastAsia="Times New Roman"/>
                <w:bCs/>
                <w:sz w:val="18"/>
                <w:szCs w:val="18"/>
                <w:lang w:val="es-ES"/>
              </w:rPr>
            </w:pPr>
            <w:r w:rsidRPr="003958FD">
              <w:rPr>
                <w:rFonts w:eastAsia="Times New Roman"/>
                <w:bCs/>
                <w:sz w:val="18"/>
                <w:szCs w:val="18"/>
                <w:lang w:val="es-ES"/>
              </w:rPr>
              <w:t>497 417</w:t>
            </w:r>
          </w:p>
        </w:tc>
        <w:tc>
          <w:tcPr>
            <w:tcW w:w="1701" w:type="dxa"/>
            <w:tcBorders>
              <w:top w:val="nil"/>
              <w:left w:val="single" w:sz="4" w:space="0" w:color="auto"/>
              <w:bottom w:val="nil"/>
              <w:right w:val="single" w:sz="4" w:space="0" w:color="auto"/>
            </w:tcBorders>
            <w:shd w:val="clear" w:color="auto" w:fill="auto"/>
            <w:noWrap/>
            <w:vAlign w:val="center"/>
          </w:tcPr>
          <w:p w14:paraId="47CB164B" w14:textId="77777777" w:rsidR="003958FD" w:rsidRPr="003958FD" w:rsidRDefault="003958FD" w:rsidP="003958FD">
            <w:pPr>
              <w:spacing w:before="20" w:after="20"/>
              <w:ind w:right="397"/>
              <w:jc w:val="right"/>
              <w:rPr>
                <w:rFonts w:eastAsia="Times New Roman"/>
                <w:bCs/>
                <w:sz w:val="18"/>
                <w:szCs w:val="18"/>
                <w:lang w:val="es-ES"/>
              </w:rPr>
            </w:pPr>
            <w:r w:rsidRPr="003958FD">
              <w:rPr>
                <w:rFonts w:eastAsia="Times New Roman"/>
                <w:bCs/>
                <w:sz w:val="18"/>
                <w:szCs w:val="18"/>
                <w:lang w:val="es-ES"/>
              </w:rPr>
              <w:t>375 432</w:t>
            </w:r>
          </w:p>
        </w:tc>
        <w:tc>
          <w:tcPr>
            <w:tcW w:w="1729" w:type="dxa"/>
            <w:tcBorders>
              <w:top w:val="nil"/>
              <w:left w:val="single" w:sz="4" w:space="0" w:color="auto"/>
              <w:bottom w:val="nil"/>
            </w:tcBorders>
            <w:shd w:val="clear" w:color="auto" w:fill="auto"/>
            <w:noWrap/>
            <w:vAlign w:val="center"/>
          </w:tcPr>
          <w:p w14:paraId="55232173" w14:textId="77777777" w:rsidR="003958FD" w:rsidRPr="003958FD" w:rsidRDefault="003958FD" w:rsidP="003958FD">
            <w:pPr>
              <w:spacing w:before="20" w:after="20"/>
              <w:ind w:right="397"/>
              <w:jc w:val="right"/>
              <w:rPr>
                <w:rFonts w:eastAsia="Times New Roman"/>
                <w:bCs/>
                <w:sz w:val="18"/>
                <w:szCs w:val="18"/>
                <w:lang w:val="es-ES"/>
              </w:rPr>
            </w:pPr>
            <w:r w:rsidRPr="003958FD">
              <w:rPr>
                <w:rFonts w:eastAsia="Times New Roman"/>
                <w:bCs/>
                <w:sz w:val="18"/>
                <w:szCs w:val="18"/>
                <w:lang w:val="es-ES"/>
              </w:rPr>
              <w:t>165 442</w:t>
            </w:r>
          </w:p>
        </w:tc>
      </w:tr>
      <w:tr w:rsidR="003958FD" w:rsidRPr="003958FD" w14:paraId="4E2FD0E1" w14:textId="77777777" w:rsidTr="004F1C40">
        <w:trPr>
          <w:trHeight w:val="227"/>
          <w:jc w:val="center"/>
        </w:trPr>
        <w:tc>
          <w:tcPr>
            <w:tcW w:w="2400" w:type="dxa"/>
            <w:tcBorders>
              <w:top w:val="nil"/>
              <w:bottom w:val="nil"/>
              <w:right w:val="single" w:sz="4" w:space="0" w:color="auto"/>
            </w:tcBorders>
            <w:shd w:val="clear" w:color="auto" w:fill="auto"/>
            <w:noWrap/>
            <w:vAlign w:val="center"/>
          </w:tcPr>
          <w:p w14:paraId="51BD991B" w14:textId="77777777" w:rsidR="003958FD" w:rsidRPr="003958FD" w:rsidRDefault="003958FD" w:rsidP="003958FD">
            <w:pPr>
              <w:spacing w:before="20" w:after="20"/>
              <w:rPr>
                <w:rFonts w:eastAsia="Times New Roman"/>
                <w:bCs/>
                <w:sz w:val="18"/>
                <w:szCs w:val="18"/>
                <w:lang w:val="es-ES"/>
              </w:rPr>
            </w:pPr>
            <w:r w:rsidRPr="003958FD">
              <w:rPr>
                <w:rFonts w:eastAsia="Times New Roman"/>
                <w:bCs/>
                <w:sz w:val="18"/>
                <w:szCs w:val="18"/>
                <w:lang w:val="es-ES"/>
              </w:rPr>
              <w:t>Variación %</w:t>
            </w:r>
          </w:p>
        </w:tc>
        <w:tc>
          <w:tcPr>
            <w:tcW w:w="1752" w:type="dxa"/>
            <w:tcBorders>
              <w:top w:val="nil"/>
              <w:left w:val="single" w:sz="4" w:space="0" w:color="auto"/>
              <w:bottom w:val="nil"/>
              <w:right w:val="single" w:sz="4" w:space="0" w:color="auto"/>
            </w:tcBorders>
            <w:shd w:val="clear" w:color="auto" w:fill="auto"/>
            <w:noWrap/>
            <w:vAlign w:val="center"/>
          </w:tcPr>
          <w:p w14:paraId="71A7867C" w14:textId="77777777" w:rsidR="003958FD" w:rsidRPr="003958FD" w:rsidRDefault="003958FD" w:rsidP="003958FD">
            <w:pPr>
              <w:spacing w:before="20" w:after="20"/>
              <w:ind w:right="397"/>
              <w:jc w:val="right"/>
              <w:rPr>
                <w:rFonts w:eastAsia="Times New Roman"/>
                <w:bCs/>
                <w:sz w:val="18"/>
                <w:szCs w:val="18"/>
                <w:lang w:val="es-ES"/>
              </w:rPr>
            </w:pPr>
            <w:r w:rsidRPr="003958FD">
              <w:rPr>
                <w:rFonts w:eastAsia="Times New Roman"/>
                <w:bCs/>
                <w:sz w:val="18"/>
                <w:szCs w:val="18"/>
                <w:lang w:val="es-ES"/>
              </w:rPr>
              <w:t>10.4</w:t>
            </w:r>
          </w:p>
        </w:tc>
        <w:tc>
          <w:tcPr>
            <w:tcW w:w="1701" w:type="dxa"/>
            <w:tcBorders>
              <w:top w:val="nil"/>
              <w:left w:val="single" w:sz="4" w:space="0" w:color="auto"/>
              <w:bottom w:val="nil"/>
              <w:right w:val="single" w:sz="4" w:space="0" w:color="auto"/>
            </w:tcBorders>
            <w:shd w:val="clear" w:color="auto" w:fill="auto"/>
            <w:noWrap/>
            <w:vAlign w:val="center"/>
          </w:tcPr>
          <w:p w14:paraId="42DF2F8B" w14:textId="77777777" w:rsidR="003958FD" w:rsidRPr="003958FD" w:rsidRDefault="003958FD" w:rsidP="003958FD">
            <w:pPr>
              <w:spacing w:before="20" w:after="20"/>
              <w:ind w:right="397"/>
              <w:jc w:val="right"/>
              <w:rPr>
                <w:rFonts w:eastAsia="Times New Roman"/>
                <w:bCs/>
                <w:sz w:val="18"/>
                <w:szCs w:val="18"/>
                <w:lang w:val="es-ES"/>
              </w:rPr>
            </w:pPr>
            <w:r w:rsidRPr="003958FD">
              <w:rPr>
                <w:rFonts w:eastAsia="Times New Roman"/>
                <w:bCs/>
                <w:sz w:val="18"/>
                <w:szCs w:val="18"/>
                <w:lang w:val="es-ES"/>
              </w:rPr>
              <w:t>13.8</w:t>
            </w:r>
          </w:p>
        </w:tc>
        <w:tc>
          <w:tcPr>
            <w:tcW w:w="1729" w:type="dxa"/>
            <w:tcBorders>
              <w:top w:val="nil"/>
              <w:left w:val="single" w:sz="4" w:space="0" w:color="auto"/>
              <w:bottom w:val="nil"/>
            </w:tcBorders>
            <w:shd w:val="clear" w:color="auto" w:fill="auto"/>
            <w:noWrap/>
            <w:vAlign w:val="center"/>
          </w:tcPr>
          <w:p w14:paraId="072FC1F0" w14:textId="77777777" w:rsidR="003958FD" w:rsidRPr="003958FD" w:rsidRDefault="003958FD" w:rsidP="003958FD">
            <w:pPr>
              <w:spacing w:before="20" w:after="20"/>
              <w:ind w:right="397"/>
              <w:jc w:val="right"/>
              <w:rPr>
                <w:rFonts w:eastAsia="Times New Roman"/>
                <w:bCs/>
                <w:sz w:val="18"/>
                <w:szCs w:val="18"/>
                <w:lang w:val="es-ES"/>
              </w:rPr>
            </w:pPr>
            <w:r w:rsidRPr="003958FD">
              <w:rPr>
                <w:rFonts w:eastAsia="Times New Roman"/>
                <w:bCs/>
                <w:sz w:val="18"/>
                <w:szCs w:val="18"/>
                <w:lang w:val="es-ES"/>
              </w:rPr>
              <w:t>21.6</w:t>
            </w:r>
          </w:p>
        </w:tc>
      </w:tr>
      <w:tr w:rsidR="003958FD" w:rsidRPr="003958FD" w14:paraId="7EE6CAE0" w14:textId="77777777" w:rsidTr="004F1C40">
        <w:trPr>
          <w:trHeight w:val="227"/>
          <w:jc w:val="center"/>
        </w:trPr>
        <w:tc>
          <w:tcPr>
            <w:tcW w:w="2400" w:type="dxa"/>
            <w:tcBorders>
              <w:top w:val="nil"/>
              <w:bottom w:val="single" w:sz="6" w:space="0" w:color="000000"/>
              <w:right w:val="single" w:sz="4" w:space="0" w:color="auto"/>
            </w:tcBorders>
            <w:shd w:val="clear" w:color="auto" w:fill="auto"/>
            <w:noWrap/>
            <w:vAlign w:val="center"/>
          </w:tcPr>
          <w:p w14:paraId="1B6D2686" w14:textId="77777777" w:rsidR="003958FD" w:rsidRPr="003958FD" w:rsidRDefault="003958FD" w:rsidP="003958FD">
            <w:pPr>
              <w:spacing w:before="20" w:after="20"/>
              <w:rPr>
                <w:rFonts w:eastAsia="Times New Roman"/>
                <w:bCs/>
                <w:sz w:val="18"/>
                <w:szCs w:val="18"/>
                <w:lang w:val="es-ES"/>
              </w:rPr>
            </w:pPr>
            <w:r w:rsidRPr="003958FD">
              <w:rPr>
                <w:rFonts w:eastAsia="Times New Roman"/>
                <w:bCs/>
                <w:sz w:val="18"/>
                <w:szCs w:val="18"/>
                <w:lang w:val="es-ES"/>
              </w:rPr>
              <w:t>Diferencia</w:t>
            </w:r>
          </w:p>
        </w:tc>
        <w:tc>
          <w:tcPr>
            <w:tcW w:w="1752" w:type="dxa"/>
            <w:tcBorders>
              <w:top w:val="nil"/>
              <w:left w:val="single" w:sz="4" w:space="0" w:color="auto"/>
              <w:bottom w:val="single" w:sz="6" w:space="0" w:color="000000"/>
              <w:right w:val="single" w:sz="4" w:space="0" w:color="auto"/>
            </w:tcBorders>
            <w:shd w:val="clear" w:color="auto" w:fill="auto"/>
            <w:noWrap/>
            <w:vAlign w:val="center"/>
          </w:tcPr>
          <w:p w14:paraId="456BB3E7" w14:textId="77777777" w:rsidR="003958FD" w:rsidRPr="003958FD" w:rsidRDefault="003958FD" w:rsidP="003958FD">
            <w:pPr>
              <w:spacing w:before="20" w:after="20"/>
              <w:ind w:right="397"/>
              <w:jc w:val="right"/>
              <w:rPr>
                <w:rFonts w:eastAsia="Times New Roman"/>
                <w:sz w:val="18"/>
                <w:szCs w:val="18"/>
                <w:lang w:val="es-ES"/>
              </w:rPr>
            </w:pPr>
            <w:r w:rsidRPr="003958FD">
              <w:rPr>
                <w:rFonts w:eastAsia="Times New Roman"/>
                <w:sz w:val="18"/>
                <w:szCs w:val="18"/>
                <w:lang w:val="es-ES"/>
              </w:rPr>
              <w:t>51 863</w:t>
            </w:r>
          </w:p>
        </w:tc>
        <w:tc>
          <w:tcPr>
            <w:tcW w:w="1701" w:type="dxa"/>
            <w:tcBorders>
              <w:top w:val="nil"/>
              <w:left w:val="single" w:sz="4" w:space="0" w:color="auto"/>
              <w:bottom w:val="single" w:sz="6" w:space="0" w:color="000000"/>
              <w:right w:val="single" w:sz="4" w:space="0" w:color="auto"/>
            </w:tcBorders>
            <w:shd w:val="clear" w:color="auto" w:fill="auto"/>
            <w:noWrap/>
            <w:vAlign w:val="center"/>
          </w:tcPr>
          <w:p w14:paraId="4FE17ADC" w14:textId="77777777" w:rsidR="003958FD" w:rsidRPr="003958FD" w:rsidRDefault="003958FD" w:rsidP="003958FD">
            <w:pPr>
              <w:spacing w:before="20" w:after="20"/>
              <w:ind w:right="397"/>
              <w:jc w:val="right"/>
              <w:rPr>
                <w:rFonts w:eastAsia="Times New Roman"/>
                <w:sz w:val="18"/>
                <w:szCs w:val="18"/>
                <w:lang w:val="es-ES"/>
              </w:rPr>
            </w:pPr>
            <w:r w:rsidRPr="003958FD">
              <w:rPr>
                <w:rFonts w:eastAsia="Times New Roman"/>
                <w:sz w:val="18"/>
                <w:szCs w:val="18"/>
                <w:lang w:val="es-ES"/>
              </w:rPr>
              <w:t>51 826</w:t>
            </w:r>
          </w:p>
        </w:tc>
        <w:tc>
          <w:tcPr>
            <w:tcW w:w="1729" w:type="dxa"/>
            <w:tcBorders>
              <w:top w:val="nil"/>
              <w:left w:val="single" w:sz="4" w:space="0" w:color="auto"/>
              <w:bottom w:val="single" w:sz="6" w:space="0" w:color="000000"/>
            </w:tcBorders>
            <w:shd w:val="clear" w:color="auto" w:fill="auto"/>
            <w:noWrap/>
            <w:vAlign w:val="center"/>
          </w:tcPr>
          <w:p w14:paraId="183330E0" w14:textId="77777777" w:rsidR="003958FD" w:rsidRPr="003958FD" w:rsidRDefault="003958FD" w:rsidP="003958FD">
            <w:pPr>
              <w:spacing w:before="20" w:after="20"/>
              <w:ind w:right="397"/>
              <w:jc w:val="right"/>
              <w:rPr>
                <w:rFonts w:eastAsia="Times New Roman"/>
                <w:sz w:val="18"/>
                <w:szCs w:val="18"/>
                <w:lang w:val="es-ES"/>
              </w:rPr>
            </w:pPr>
            <w:r w:rsidRPr="003958FD">
              <w:rPr>
                <w:rFonts w:eastAsia="Times New Roman"/>
                <w:sz w:val="18"/>
                <w:szCs w:val="18"/>
                <w:lang w:val="es-ES"/>
              </w:rPr>
              <w:t>35 813</w:t>
            </w:r>
          </w:p>
        </w:tc>
      </w:tr>
      <w:tr w:rsidR="003958FD" w:rsidRPr="003958FD" w14:paraId="220119E5" w14:textId="77777777" w:rsidTr="004F1C40">
        <w:trPr>
          <w:trHeight w:val="227"/>
          <w:jc w:val="center"/>
        </w:trPr>
        <w:tc>
          <w:tcPr>
            <w:tcW w:w="7582" w:type="dxa"/>
            <w:gridSpan w:val="4"/>
            <w:tcBorders>
              <w:left w:val="nil"/>
              <w:bottom w:val="nil"/>
              <w:right w:val="nil"/>
            </w:tcBorders>
            <w:shd w:val="clear" w:color="auto" w:fill="auto"/>
            <w:noWrap/>
          </w:tcPr>
          <w:p w14:paraId="7701FAD8" w14:textId="77777777" w:rsidR="003958FD" w:rsidRPr="003958FD" w:rsidRDefault="003958FD" w:rsidP="003958FD">
            <w:pPr>
              <w:ind w:right="340"/>
              <w:jc w:val="both"/>
              <w:rPr>
                <w:rFonts w:eastAsia="Times New Roman"/>
                <w:bCs/>
                <w:sz w:val="20"/>
                <w:szCs w:val="20"/>
                <w:lang w:val="es-ES"/>
              </w:rPr>
            </w:pPr>
            <w:r w:rsidRPr="003958FD">
              <w:rPr>
                <w:rFonts w:eastAsia="Times New Roman"/>
                <w:bCs/>
                <w:sz w:val="20"/>
                <w:szCs w:val="20"/>
                <w:lang w:val="es-ES"/>
              </w:rPr>
              <w:t>FUENTE: AMIA, A.C.</w:t>
            </w:r>
          </w:p>
        </w:tc>
      </w:tr>
    </w:tbl>
    <w:p w14:paraId="1F4B2F8C" w14:textId="77777777" w:rsidR="003958FD" w:rsidRPr="003958FD" w:rsidRDefault="003958FD" w:rsidP="003958FD">
      <w:pPr>
        <w:spacing w:after="360"/>
        <w:ind w:left="284"/>
        <w:jc w:val="both"/>
        <w:rPr>
          <w:rFonts w:eastAsia="Times New Roman"/>
          <w:sz w:val="26"/>
          <w:szCs w:val="26"/>
          <w:lang w:val="es-ES"/>
        </w:rPr>
      </w:pPr>
    </w:p>
    <w:p w14:paraId="226BE108" w14:textId="77777777" w:rsidR="003958FD" w:rsidRPr="003958FD" w:rsidRDefault="003958FD" w:rsidP="003958FD">
      <w:pPr>
        <w:spacing w:after="360"/>
        <w:jc w:val="both"/>
        <w:rPr>
          <w:rFonts w:eastAsia="Times New Roman"/>
          <w:sz w:val="26"/>
          <w:szCs w:val="26"/>
          <w:lang w:val="es-ES"/>
        </w:rPr>
      </w:pPr>
      <w:r w:rsidRPr="003958FD">
        <w:rPr>
          <w:rFonts w:eastAsia="Times New Roman"/>
          <w:b/>
          <w:sz w:val="26"/>
          <w:szCs w:val="26"/>
          <w:lang w:val="es-ES"/>
        </w:rPr>
        <w:t>CEPAL llama a diversificar la estructura productiva de la región con foco en el desarrollo tecnológico</w:t>
      </w:r>
      <w:r w:rsidRPr="003958FD">
        <w:rPr>
          <w:rFonts w:eastAsia="Times New Roman"/>
          <w:sz w:val="26"/>
          <w:szCs w:val="26"/>
          <w:vertAlign w:val="superscript"/>
          <w:lang w:val="es-ES"/>
        </w:rPr>
        <w:footnoteReference w:id="75"/>
      </w:r>
      <w:r w:rsidRPr="003958FD">
        <w:rPr>
          <w:rFonts w:eastAsia="Times New Roman"/>
          <w:sz w:val="26"/>
          <w:szCs w:val="26"/>
          <w:lang w:val="es-ES"/>
        </w:rPr>
        <w:t xml:space="preserve"> </w:t>
      </w:r>
    </w:p>
    <w:p w14:paraId="1FA4BB36" w14:textId="77777777" w:rsidR="003958FD" w:rsidRPr="003958FD" w:rsidRDefault="003958FD" w:rsidP="003958FD">
      <w:pPr>
        <w:spacing w:after="360" w:line="360" w:lineRule="auto"/>
        <w:jc w:val="both"/>
        <w:rPr>
          <w:rFonts w:eastAsia="Times New Roman"/>
          <w:sz w:val="26"/>
          <w:szCs w:val="26"/>
          <w:lang w:val="es-ES"/>
        </w:rPr>
      </w:pPr>
      <w:r w:rsidRPr="003958FD">
        <w:rPr>
          <w:rFonts w:eastAsia="Times New Roman"/>
          <w:sz w:val="26"/>
          <w:szCs w:val="26"/>
          <w:lang w:val="es-ES"/>
        </w:rPr>
        <w:t>Las actuales tasas de crecimiento económico de América Latina y el Caribe son insuficientes para abatir la pobreza y garantizar la igualdad de derechos, por lo que urge incrementar la productividad y diversificar la estructura productiva de los países, dijo la Secretaria Ejecutiva de la Comisión Económica para América Latina y el Caribe (CEPAL), en la Universidad Nacional Autónoma de México (UNAM) en la Ciudad de México.</w:t>
      </w:r>
    </w:p>
    <w:p w14:paraId="0DAECF27" w14:textId="77777777" w:rsidR="003958FD" w:rsidRPr="003958FD" w:rsidRDefault="003958FD" w:rsidP="003958FD">
      <w:pPr>
        <w:spacing w:after="360" w:line="360" w:lineRule="auto"/>
        <w:jc w:val="both"/>
        <w:rPr>
          <w:rFonts w:eastAsia="Times New Roman"/>
          <w:sz w:val="26"/>
          <w:szCs w:val="26"/>
          <w:lang w:val="es-ES"/>
        </w:rPr>
      </w:pPr>
      <w:r w:rsidRPr="003958FD">
        <w:rPr>
          <w:rFonts w:eastAsia="Times New Roman"/>
          <w:sz w:val="26"/>
          <w:szCs w:val="26"/>
          <w:lang w:val="es-ES"/>
        </w:rPr>
        <w:t>Pese a los avances registrados en el último decenio en materia económica y social, el complejo contexto externo plantea nuevos desafíos. Para 2015 se proyecta una moderada recuperación del crecimiento regional (2.2% de aumento del Producto Interno Bruto, PIB), mientras que las exportaciones regionales registran un estancamiento desde 2012.</w:t>
      </w:r>
    </w:p>
    <w:p w14:paraId="064DB80E" w14:textId="77777777" w:rsidR="003958FD" w:rsidRPr="003958FD" w:rsidRDefault="003958FD" w:rsidP="003958FD">
      <w:pPr>
        <w:spacing w:after="360" w:line="360" w:lineRule="auto"/>
        <w:jc w:val="both"/>
        <w:rPr>
          <w:rFonts w:eastAsia="Times New Roman"/>
          <w:sz w:val="26"/>
          <w:szCs w:val="26"/>
          <w:lang w:val="es-ES"/>
        </w:rPr>
      </w:pPr>
      <w:r w:rsidRPr="003958FD">
        <w:rPr>
          <w:rFonts w:eastAsia="Times New Roman"/>
          <w:sz w:val="26"/>
          <w:szCs w:val="26"/>
          <w:lang w:val="es-ES"/>
        </w:rPr>
        <w:lastRenderedPageBreak/>
        <w:t>“El desarrollo con igualdad implica superar brechas estructurales en ámbitos como el laboral, educativo, social, físico y fiscal”, señaló Bárcena, quien instó a los países a forjar diversos pactos sociales para llevar a cabo las reformas institucionales necesarias con perspectiva estratégica de largo plazo. Según la alta funcionaria, “se requieren, más que nunca, pactos para la inversión y la productividad”, además de otras medidas como la expansión de las políticas macroeconómicas contracíclicas y el fortalecimiento de la integración regional.</w:t>
      </w:r>
    </w:p>
    <w:p w14:paraId="6E9A9CFE" w14:textId="77777777" w:rsidR="003958FD" w:rsidRPr="003958FD" w:rsidRDefault="003958FD" w:rsidP="003958FD">
      <w:pPr>
        <w:spacing w:after="360" w:line="360" w:lineRule="auto"/>
        <w:jc w:val="both"/>
        <w:rPr>
          <w:rFonts w:eastAsia="Times New Roman"/>
          <w:sz w:val="26"/>
          <w:szCs w:val="26"/>
          <w:lang w:val="es-ES"/>
        </w:rPr>
      </w:pPr>
      <w:r w:rsidRPr="003958FD">
        <w:rPr>
          <w:rFonts w:eastAsia="Times New Roman"/>
          <w:sz w:val="26"/>
          <w:szCs w:val="26"/>
          <w:lang w:val="es-ES"/>
        </w:rPr>
        <w:t>En un mundo cada vez más interdependiente, y afectado por una combinación de crisis, América Latina y el Caribe necesita hacer más diversificada y compleja su estructura productiva, generando un entramado de industrias y cadenas productivas que den valor agregado y se coloquen en la frontera del conocimiento, recalcó la Secretaria Ejecutiva. “A partir de allí es posible generar empleo, bienestar, inclusión social y una relación simétrica no subordinada con el sistema internacional. En esta etapa del capitalismo, el desarrollo tecnológico es la fuente más importante del poder y se vincula a las actividades informáticas que dotan de mayor eficacia a las estructuras de dominación y que incluso se amplían a la cultura, el entretenimiento y las relaciones sociales”, dijo.</w:t>
      </w:r>
    </w:p>
    <w:p w14:paraId="3C85A70C" w14:textId="6D7855A8" w:rsidR="003958FD" w:rsidRPr="003958FD" w:rsidRDefault="003958FD" w:rsidP="003958FD">
      <w:pPr>
        <w:spacing w:after="360" w:line="360" w:lineRule="auto"/>
        <w:jc w:val="both"/>
        <w:rPr>
          <w:rFonts w:eastAsia="Times New Roman"/>
          <w:sz w:val="26"/>
          <w:szCs w:val="26"/>
          <w:lang w:val="es-ES"/>
        </w:rPr>
      </w:pPr>
      <w:r w:rsidRPr="003958FD">
        <w:rPr>
          <w:rFonts w:eastAsia="Times New Roman"/>
          <w:b/>
          <w:sz w:val="26"/>
          <w:szCs w:val="26"/>
          <w:lang w:val="es-ES"/>
        </w:rPr>
        <w:t>Expectativas de crecimiento en México</w:t>
      </w:r>
      <w:r w:rsidRPr="003958FD">
        <w:rPr>
          <w:rFonts w:eastAsia="Times New Roman"/>
          <w:sz w:val="26"/>
          <w:szCs w:val="26"/>
          <w:vertAlign w:val="superscript"/>
          <w:lang w:val="es-ES"/>
        </w:rPr>
        <w:footnoteReference w:id="76"/>
      </w:r>
      <w:r w:rsidR="00D2103B">
        <w:rPr>
          <w:rFonts w:eastAsia="Times New Roman"/>
          <w:b/>
          <w:sz w:val="26"/>
          <w:szCs w:val="26"/>
          <w:lang w:val="es-ES"/>
        </w:rPr>
        <w:t>.</w:t>
      </w:r>
      <w:r w:rsidRPr="003958FD">
        <w:rPr>
          <w:rFonts w:eastAsia="Times New Roman"/>
          <w:sz w:val="26"/>
          <w:szCs w:val="26"/>
          <w:lang w:val="es-ES"/>
        </w:rPr>
        <w:t xml:space="preserve"> Las expectativas de los especialistas en economía del sector privado, consultados por el Banco de México en su encuesta de febrero 2015, han indicado una expectativa de crecimiento anual del PIB de 3.08% para 2015 y de 3.63% para 2016. Mientras que la expectativa de inflación general para 2015 es 3.11% y de 3.46% para 2016.</w:t>
      </w:r>
    </w:p>
    <w:p w14:paraId="6E664B0D" w14:textId="77777777" w:rsidR="003958FD" w:rsidRPr="003958FD" w:rsidRDefault="003958FD" w:rsidP="003958FD">
      <w:pPr>
        <w:spacing w:after="360" w:line="360" w:lineRule="auto"/>
        <w:jc w:val="both"/>
        <w:rPr>
          <w:rFonts w:eastAsia="Times New Roman"/>
          <w:sz w:val="26"/>
          <w:szCs w:val="26"/>
          <w:lang w:val="es-ES"/>
        </w:rPr>
      </w:pPr>
      <w:r w:rsidRPr="003958FD">
        <w:rPr>
          <w:rFonts w:eastAsia="Times New Roman"/>
          <w:sz w:val="26"/>
          <w:szCs w:val="26"/>
          <w:lang w:val="es-ES"/>
        </w:rPr>
        <w:lastRenderedPageBreak/>
        <w:t>Los analistas señalan como los principales factores que podrían obstaculizar el crecimiento de nuestro país: i) los problemas de inseguridad pública, ii) el precio de exportación del petróleo, así como iii) la debilidad en el mercado interno.</w:t>
      </w:r>
    </w:p>
    <w:p w14:paraId="655A2DCD" w14:textId="77777777" w:rsidR="003958FD" w:rsidRPr="003958FD" w:rsidRDefault="003958FD" w:rsidP="003958FD">
      <w:pPr>
        <w:spacing w:after="360" w:line="360" w:lineRule="auto"/>
        <w:jc w:val="both"/>
        <w:rPr>
          <w:rFonts w:eastAsia="Times New Roman"/>
          <w:sz w:val="26"/>
          <w:szCs w:val="26"/>
          <w:lang w:val="es-ES"/>
        </w:rPr>
      </w:pPr>
      <w:r w:rsidRPr="003958FD">
        <w:rPr>
          <w:rFonts w:eastAsia="Times New Roman"/>
          <w:b/>
          <w:sz w:val="26"/>
          <w:szCs w:val="26"/>
          <w:lang w:val="es-ES"/>
        </w:rPr>
        <w:t>Índice de Confianza del Consumidor.</w:t>
      </w:r>
      <w:r w:rsidRPr="003958FD">
        <w:rPr>
          <w:rFonts w:eastAsia="Times New Roman"/>
          <w:sz w:val="26"/>
          <w:szCs w:val="26"/>
          <w:lang w:val="es-ES"/>
        </w:rPr>
        <w:t xml:space="preserve"> En Estados Unidos de Norteamérica, el Índice de Confianza del Consumidor (ICC)</w:t>
      </w:r>
      <w:r w:rsidRPr="003958FD">
        <w:rPr>
          <w:rFonts w:eastAsia="Times New Roman"/>
          <w:sz w:val="26"/>
          <w:szCs w:val="26"/>
          <w:vertAlign w:val="superscript"/>
          <w:lang w:val="es-ES"/>
        </w:rPr>
        <w:footnoteReference w:id="77"/>
      </w:r>
      <w:r w:rsidRPr="003958FD">
        <w:rPr>
          <w:rFonts w:eastAsia="Times New Roman"/>
          <w:sz w:val="26"/>
          <w:szCs w:val="26"/>
          <w:lang w:val="es-ES"/>
        </w:rPr>
        <w:t xml:space="preserve"> se situó en 96.4 puntos durante febrero 2015, 23.1% superior al nivel del mismo mes del año pasado pero 13.3% inferior a lo reportado en el mismo mes de 2007, previo a la crisis.</w:t>
      </w:r>
    </w:p>
    <w:p w14:paraId="4F9C09E2" w14:textId="1322E9FB" w:rsidR="003958FD" w:rsidRPr="003958FD" w:rsidRDefault="003958FD" w:rsidP="003958FD">
      <w:pPr>
        <w:spacing w:after="360" w:line="360" w:lineRule="auto"/>
        <w:jc w:val="both"/>
        <w:rPr>
          <w:rFonts w:eastAsia="Times New Roman"/>
          <w:sz w:val="26"/>
          <w:szCs w:val="26"/>
          <w:lang w:val="es-ES"/>
        </w:rPr>
      </w:pPr>
      <w:r w:rsidRPr="003958FD">
        <w:rPr>
          <w:rFonts w:eastAsia="Times New Roman"/>
          <w:sz w:val="26"/>
          <w:szCs w:val="26"/>
          <w:lang w:val="es-ES"/>
        </w:rPr>
        <w:t>En México, el 5</w:t>
      </w:r>
      <w:r w:rsidR="00D2103B">
        <w:rPr>
          <w:rFonts w:eastAsia="Times New Roman"/>
          <w:sz w:val="26"/>
          <w:szCs w:val="26"/>
          <w:lang w:val="es-ES"/>
        </w:rPr>
        <w:t xml:space="preserve">º </w:t>
      </w:r>
      <w:r w:rsidRPr="003958FD">
        <w:rPr>
          <w:rFonts w:eastAsia="Times New Roman"/>
          <w:sz w:val="26"/>
          <w:szCs w:val="26"/>
          <w:lang w:val="es-ES"/>
        </w:rPr>
        <w:t>componente del índice de confianza del consumidor</w:t>
      </w:r>
      <w:r w:rsidRPr="003958FD">
        <w:rPr>
          <w:rFonts w:eastAsia="Times New Roman"/>
          <w:sz w:val="26"/>
          <w:szCs w:val="26"/>
          <w:vertAlign w:val="superscript"/>
          <w:lang w:val="es-ES"/>
        </w:rPr>
        <w:footnoteReference w:id="78"/>
      </w:r>
      <w:r w:rsidRPr="003958FD">
        <w:rPr>
          <w:rFonts w:eastAsia="Times New Roman"/>
          <w:sz w:val="26"/>
          <w:szCs w:val="26"/>
          <w:lang w:val="es-ES"/>
        </w:rPr>
        <w:t>, que mide la posibilidad de compra de bienes durables, se situó en 81.1 puntos durante el segundo mes de 2015, 35.2% superior a lo registrado en el mismo mes de 2014, período en el que el mercado interno se mostró estancado.</w:t>
      </w:r>
    </w:p>
    <w:tbl>
      <w:tblPr>
        <w:tblW w:w="0" w:type="auto"/>
        <w:jc w:val="center"/>
        <w:tblLook w:val="04A0" w:firstRow="1" w:lastRow="0" w:firstColumn="1" w:lastColumn="0" w:noHBand="0" w:noVBand="1"/>
      </w:tblPr>
      <w:tblGrid>
        <w:gridCol w:w="8840"/>
      </w:tblGrid>
      <w:tr w:rsidR="003958FD" w:rsidRPr="003958FD" w14:paraId="7CA3D98F" w14:textId="77777777" w:rsidTr="004F1C40">
        <w:trPr>
          <w:trHeight w:val="276"/>
          <w:jc w:val="center"/>
        </w:trPr>
        <w:tc>
          <w:tcPr>
            <w:tcW w:w="8840" w:type="dxa"/>
          </w:tcPr>
          <w:p w14:paraId="289F26E5" w14:textId="77777777" w:rsidR="003958FD" w:rsidRPr="003958FD" w:rsidRDefault="003958FD" w:rsidP="003958FD">
            <w:pPr>
              <w:jc w:val="center"/>
              <w:rPr>
                <w:rFonts w:eastAsia="Times New Roman"/>
                <w:b/>
                <w:sz w:val="22"/>
                <w:szCs w:val="22"/>
                <w:lang w:val="es-ES"/>
              </w:rPr>
            </w:pPr>
            <w:r w:rsidRPr="003958FD">
              <w:rPr>
                <w:rFonts w:eastAsia="Times New Roman"/>
                <w:b/>
                <w:sz w:val="22"/>
                <w:szCs w:val="22"/>
                <w:lang w:val="es-ES"/>
              </w:rPr>
              <w:t>VENTAS AL MERCADO NACIONAL</w:t>
            </w:r>
          </w:p>
        </w:tc>
      </w:tr>
      <w:tr w:rsidR="003958FD" w:rsidRPr="003958FD" w14:paraId="4AE0423A" w14:textId="77777777" w:rsidTr="004F1C40">
        <w:trPr>
          <w:trHeight w:val="329"/>
          <w:jc w:val="center"/>
        </w:trPr>
        <w:tc>
          <w:tcPr>
            <w:tcW w:w="8840" w:type="dxa"/>
          </w:tcPr>
          <w:p w14:paraId="34DE2FE5" w14:textId="77777777" w:rsidR="003958FD" w:rsidRPr="003958FD" w:rsidRDefault="003958FD" w:rsidP="003958FD">
            <w:pPr>
              <w:jc w:val="center"/>
              <w:rPr>
                <w:rFonts w:eastAsia="Times New Roman"/>
                <w:lang w:val="es-ES"/>
              </w:rPr>
            </w:pPr>
            <w:r w:rsidRPr="003958FD">
              <w:rPr>
                <w:rFonts w:eastAsia="Times New Roman"/>
                <w:noProof/>
                <w:lang w:eastAsia="es-MX"/>
              </w:rPr>
              <w:drawing>
                <wp:inline distT="0" distB="0" distL="0" distR="0" wp14:anchorId="51D293AC" wp14:editId="1678175C">
                  <wp:extent cx="4846172" cy="3060000"/>
                  <wp:effectExtent l="0" t="0" r="0" b="7620"/>
                  <wp:docPr id="1566" name="Imagen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16" cstate="print">
                            <a:extLst>
                              <a:ext uri="{28A0092B-C50C-407E-A947-70E740481C1C}">
                                <a14:useLocalDpi xmlns:a14="http://schemas.microsoft.com/office/drawing/2010/main" val="0"/>
                              </a:ext>
                            </a:extLst>
                          </a:blip>
                          <a:srcRect t="3650" b="1642"/>
                          <a:stretch/>
                        </pic:blipFill>
                        <pic:spPr bwMode="auto">
                          <a:xfrm>
                            <a:off x="0" y="0"/>
                            <a:ext cx="4846172" cy="30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958FD" w:rsidRPr="003958FD" w14:paraId="3D105308" w14:textId="77777777" w:rsidTr="004F1C40">
        <w:trPr>
          <w:trHeight w:val="276"/>
          <w:jc w:val="center"/>
        </w:trPr>
        <w:tc>
          <w:tcPr>
            <w:tcW w:w="8840" w:type="dxa"/>
          </w:tcPr>
          <w:p w14:paraId="18598357" w14:textId="77777777" w:rsidR="003958FD" w:rsidRPr="003958FD" w:rsidRDefault="003958FD" w:rsidP="003958FD">
            <w:pPr>
              <w:ind w:right="-159" w:firstLine="1026"/>
              <w:jc w:val="both"/>
              <w:rPr>
                <w:rFonts w:eastAsia="Times New Roman"/>
                <w:noProof/>
                <w:sz w:val="20"/>
                <w:szCs w:val="20"/>
                <w:lang w:eastAsia="es-MX"/>
              </w:rPr>
            </w:pPr>
            <w:r w:rsidRPr="003958FD">
              <w:rPr>
                <w:rFonts w:eastAsia="Times New Roman"/>
                <w:noProof/>
                <w:sz w:val="20"/>
                <w:szCs w:val="20"/>
                <w:lang w:eastAsia="es-MX"/>
              </w:rPr>
              <w:t>FUENTE: AMIA, con datos de sus asociados.</w:t>
            </w:r>
          </w:p>
        </w:tc>
      </w:tr>
    </w:tbl>
    <w:p w14:paraId="728B47E4" w14:textId="77777777" w:rsidR="003958FD" w:rsidRPr="003958FD" w:rsidRDefault="003958FD" w:rsidP="003958FD">
      <w:pPr>
        <w:spacing w:after="360" w:line="360" w:lineRule="auto"/>
        <w:ind w:right="-159"/>
        <w:jc w:val="both"/>
        <w:rPr>
          <w:rFonts w:eastAsia="Times New Roman"/>
          <w:sz w:val="26"/>
          <w:szCs w:val="26"/>
          <w:lang w:val="es-ES"/>
        </w:rPr>
      </w:pPr>
      <w:r w:rsidRPr="003958FD">
        <w:rPr>
          <w:rFonts w:eastAsia="Times New Roman"/>
          <w:sz w:val="26"/>
          <w:szCs w:val="26"/>
          <w:lang w:val="es-ES"/>
        </w:rPr>
        <w:lastRenderedPageBreak/>
        <w:t>Durante febrero 2015 se comercializó el mayor número de vehículos ligeros nuevos para un mismo mes, con 97 mil 558 unidades vendidas, esto es 22.0% superior a lo registrado en febrero de 2014. En el primer bimestre del año también registra cifra récord para el mismo período, al comercializarse 201 mil 255 vehículos, 21.6% superior al bimestre del año previo. Cabe señalar que estos crecimientos son aún mayores por la debilidad del primer semestre 2014.</w:t>
      </w:r>
    </w:p>
    <w:p w14:paraId="6451E52B" w14:textId="77777777" w:rsidR="003958FD" w:rsidRDefault="003958FD" w:rsidP="003958FD">
      <w:pPr>
        <w:spacing w:after="360" w:line="360" w:lineRule="auto"/>
        <w:ind w:right="-159"/>
        <w:jc w:val="both"/>
        <w:rPr>
          <w:rFonts w:eastAsia="Times New Roman"/>
          <w:sz w:val="26"/>
          <w:szCs w:val="26"/>
          <w:lang w:val="es-ES"/>
        </w:rPr>
      </w:pPr>
      <w:r w:rsidRPr="003958FD">
        <w:rPr>
          <w:rFonts w:eastAsia="Times New Roman"/>
          <w:sz w:val="26"/>
          <w:szCs w:val="26"/>
          <w:lang w:val="es-ES"/>
        </w:rPr>
        <w:t>La venta en el mercado mexicano durante los dos primeros meses se integró en 46% con vehículos producidos en nuestro país y 54% de origen extranjero.</w:t>
      </w:r>
    </w:p>
    <w:p w14:paraId="34D19FD4" w14:textId="77777777" w:rsidR="003958FD" w:rsidRPr="003958FD" w:rsidRDefault="003958FD" w:rsidP="003958FD">
      <w:pPr>
        <w:spacing w:after="360" w:line="360" w:lineRule="auto"/>
        <w:jc w:val="both"/>
        <w:rPr>
          <w:rFonts w:eastAsia="Times New Roman"/>
          <w:b/>
          <w:sz w:val="26"/>
          <w:szCs w:val="26"/>
          <w:lang w:val="es-ES"/>
        </w:rPr>
      </w:pPr>
      <w:r w:rsidRPr="003958FD">
        <w:rPr>
          <w:rFonts w:eastAsia="Times New Roman"/>
          <w:b/>
          <w:sz w:val="26"/>
          <w:szCs w:val="26"/>
          <w:lang w:val="es-ES"/>
        </w:rPr>
        <w:t>Producción Total Nacional</w:t>
      </w:r>
    </w:p>
    <w:p w14:paraId="68ED4F7F" w14:textId="77777777" w:rsidR="003958FD" w:rsidRPr="003958FD" w:rsidRDefault="003958FD" w:rsidP="003958FD">
      <w:pPr>
        <w:spacing w:after="360" w:line="360" w:lineRule="auto"/>
        <w:jc w:val="both"/>
        <w:rPr>
          <w:rFonts w:eastAsia="Times New Roman"/>
          <w:sz w:val="26"/>
          <w:szCs w:val="26"/>
          <w:lang w:val="es-ES"/>
        </w:rPr>
      </w:pPr>
      <w:r w:rsidRPr="003958FD">
        <w:rPr>
          <w:rFonts w:eastAsia="Times New Roman"/>
          <w:sz w:val="26"/>
          <w:szCs w:val="26"/>
          <w:lang w:val="es-ES"/>
        </w:rPr>
        <w:t>En los dos primeros meses de 2015, la producción de vehículos ligeros continúa superando niveles históricos, tanto para un mes de febrero como para su acumulado se registró el nivel más alto de producción. En febrero se fabricaron 282 mil 856 vehículos ligeros, 14% más que la producción del mismo mes de 2014. Mientras que el acumulado enero-febrero muestra que se han producido 549 mil 280 unidades, para un incremento de 10.4% en comparación con la producción del primer bimestre 2014.</w:t>
      </w:r>
    </w:p>
    <w:p w14:paraId="730F9FEA" w14:textId="77777777" w:rsidR="003958FD" w:rsidRPr="003958FD" w:rsidRDefault="003958FD" w:rsidP="003958FD">
      <w:pPr>
        <w:spacing w:after="360" w:line="360" w:lineRule="auto"/>
        <w:jc w:val="both"/>
        <w:rPr>
          <w:rFonts w:eastAsia="Times New Roman"/>
          <w:b/>
          <w:sz w:val="26"/>
          <w:szCs w:val="26"/>
          <w:lang w:val="es-ES"/>
        </w:rPr>
      </w:pPr>
      <w:r w:rsidRPr="003958FD">
        <w:rPr>
          <w:rFonts w:eastAsia="Times New Roman"/>
          <w:b/>
          <w:sz w:val="26"/>
          <w:szCs w:val="26"/>
          <w:lang w:val="es-ES"/>
        </w:rPr>
        <w:t>Exportación</w:t>
      </w:r>
    </w:p>
    <w:p w14:paraId="3976B99C" w14:textId="77777777" w:rsidR="003958FD" w:rsidRDefault="003958FD" w:rsidP="003958FD">
      <w:pPr>
        <w:spacing w:after="360" w:line="360" w:lineRule="auto"/>
        <w:jc w:val="both"/>
        <w:rPr>
          <w:rFonts w:eastAsia="Times New Roman"/>
          <w:sz w:val="26"/>
          <w:szCs w:val="26"/>
          <w:lang w:val="es-ES"/>
        </w:rPr>
      </w:pPr>
      <w:r w:rsidRPr="003958FD">
        <w:rPr>
          <w:rFonts w:eastAsia="Times New Roman"/>
          <w:sz w:val="26"/>
          <w:szCs w:val="26"/>
          <w:lang w:val="es-ES"/>
        </w:rPr>
        <w:t>La exportación también mantiene niveles sin precedente, tanto para un mes de febrero como para un primer bimestre. En el segundo mes de 2015 se exportaron 222 mil 351 vehículos ligeros, 12.6% más que las 197 mil 504 unidades exportadas en febrero del año pasado. En el acumulado se vendieron 427 mil 258 vehículos mexicanos en el extranjero, para un crecimiento del 13.8% respecto al total exportado en el primer bimestre de 2014.</w:t>
      </w:r>
    </w:p>
    <w:p w14:paraId="37DCFE0D" w14:textId="77777777" w:rsidR="00B35BB9" w:rsidRPr="003958FD" w:rsidRDefault="00B35BB9" w:rsidP="003958FD">
      <w:pPr>
        <w:spacing w:after="360" w:line="360" w:lineRule="auto"/>
        <w:jc w:val="both"/>
        <w:rPr>
          <w:rFonts w:eastAsia="Times New Roman"/>
          <w:sz w:val="26"/>
          <w:szCs w:val="26"/>
          <w:lang w:val="es-ES"/>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257"/>
        <w:gridCol w:w="1379"/>
        <w:gridCol w:w="1380"/>
        <w:gridCol w:w="892"/>
        <w:gridCol w:w="936"/>
        <w:gridCol w:w="996"/>
      </w:tblGrid>
      <w:tr w:rsidR="003958FD" w:rsidRPr="003958FD" w14:paraId="25723217" w14:textId="77777777" w:rsidTr="004F1C40">
        <w:trPr>
          <w:jc w:val="center"/>
        </w:trPr>
        <w:tc>
          <w:tcPr>
            <w:tcW w:w="8840" w:type="dxa"/>
            <w:gridSpan w:val="6"/>
            <w:tcBorders>
              <w:top w:val="nil"/>
              <w:left w:val="nil"/>
              <w:right w:val="nil"/>
            </w:tcBorders>
          </w:tcPr>
          <w:p w14:paraId="1ABB7B34" w14:textId="77777777" w:rsidR="003958FD" w:rsidRPr="003958FD" w:rsidRDefault="003958FD" w:rsidP="003958FD">
            <w:pPr>
              <w:jc w:val="center"/>
              <w:rPr>
                <w:rFonts w:eastAsia="Times New Roman"/>
                <w:b/>
                <w:bCs/>
                <w:sz w:val="22"/>
                <w:szCs w:val="22"/>
                <w:lang w:val="es-ES"/>
              </w:rPr>
            </w:pPr>
            <w:r w:rsidRPr="003958FD">
              <w:rPr>
                <w:rFonts w:eastAsia="Times New Roman"/>
                <w:b/>
                <w:bCs/>
                <w:sz w:val="22"/>
                <w:szCs w:val="22"/>
                <w:lang w:val="es-ES"/>
              </w:rPr>
              <w:lastRenderedPageBreak/>
              <w:t>EXPORTACIÓN FEBRERO 2015</w:t>
            </w:r>
          </w:p>
        </w:tc>
      </w:tr>
      <w:tr w:rsidR="003958FD" w:rsidRPr="003958FD" w14:paraId="5CC7203B" w14:textId="77777777" w:rsidTr="004F1C40">
        <w:trPr>
          <w:jc w:val="center"/>
        </w:trPr>
        <w:tc>
          <w:tcPr>
            <w:tcW w:w="3257" w:type="dxa"/>
            <w:vMerge w:val="restart"/>
            <w:vAlign w:val="center"/>
          </w:tcPr>
          <w:p w14:paraId="28F858AD" w14:textId="77777777" w:rsidR="003958FD" w:rsidRPr="003958FD" w:rsidRDefault="003958FD" w:rsidP="003958FD">
            <w:pPr>
              <w:spacing w:before="20" w:after="20"/>
              <w:jc w:val="center"/>
              <w:rPr>
                <w:rFonts w:eastAsia="Times New Roman"/>
                <w:b/>
                <w:sz w:val="18"/>
                <w:szCs w:val="18"/>
                <w:lang w:val="es-ES"/>
              </w:rPr>
            </w:pPr>
            <w:r w:rsidRPr="003958FD">
              <w:rPr>
                <w:rFonts w:eastAsia="Times New Roman"/>
                <w:b/>
                <w:sz w:val="18"/>
                <w:szCs w:val="18"/>
                <w:lang w:val="es-ES"/>
              </w:rPr>
              <w:t>Región de destino</w:t>
            </w:r>
          </w:p>
        </w:tc>
        <w:tc>
          <w:tcPr>
            <w:tcW w:w="2759" w:type="dxa"/>
            <w:gridSpan w:val="2"/>
            <w:vAlign w:val="center"/>
          </w:tcPr>
          <w:p w14:paraId="5A6EA0CA" w14:textId="77777777" w:rsidR="003958FD" w:rsidRPr="003958FD" w:rsidRDefault="003958FD" w:rsidP="003958FD">
            <w:pPr>
              <w:spacing w:before="20" w:after="20"/>
              <w:jc w:val="center"/>
              <w:rPr>
                <w:rFonts w:eastAsia="Times New Roman"/>
                <w:b/>
                <w:sz w:val="18"/>
                <w:szCs w:val="18"/>
                <w:lang w:val="es-ES"/>
              </w:rPr>
            </w:pPr>
            <w:r w:rsidRPr="003958FD">
              <w:rPr>
                <w:rFonts w:eastAsia="Times New Roman"/>
                <w:b/>
                <w:sz w:val="18"/>
                <w:szCs w:val="18"/>
                <w:lang w:val="es-ES"/>
              </w:rPr>
              <w:t>Febrero</w:t>
            </w:r>
          </w:p>
        </w:tc>
        <w:tc>
          <w:tcPr>
            <w:tcW w:w="892" w:type="dxa"/>
            <w:vMerge w:val="restart"/>
            <w:vAlign w:val="center"/>
          </w:tcPr>
          <w:p w14:paraId="611B4B35" w14:textId="77777777" w:rsidR="003958FD" w:rsidRPr="003958FD" w:rsidRDefault="003958FD" w:rsidP="003958FD">
            <w:pPr>
              <w:spacing w:before="20" w:after="20"/>
              <w:rPr>
                <w:rFonts w:eastAsia="Times New Roman"/>
                <w:b/>
                <w:sz w:val="18"/>
                <w:szCs w:val="18"/>
                <w:lang w:val="es-ES"/>
              </w:rPr>
            </w:pPr>
            <w:r w:rsidRPr="003958FD">
              <w:rPr>
                <w:rFonts w:eastAsia="Times New Roman"/>
                <w:b/>
                <w:sz w:val="18"/>
                <w:szCs w:val="18"/>
                <w:lang w:val="es-ES"/>
              </w:rPr>
              <w:t xml:space="preserve">Cambio </w:t>
            </w:r>
          </w:p>
          <w:p w14:paraId="6F212AAF" w14:textId="77777777" w:rsidR="003958FD" w:rsidRPr="003958FD" w:rsidRDefault="003958FD" w:rsidP="003958FD">
            <w:pPr>
              <w:spacing w:before="20" w:after="20"/>
              <w:jc w:val="center"/>
              <w:rPr>
                <w:rFonts w:eastAsia="Times New Roman"/>
                <w:b/>
                <w:sz w:val="18"/>
                <w:szCs w:val="18"/>
                <w:lang w:val="es-ES"/>
              </w:rPr>
            </w:pPr>
            <w:r w:rsidRPr="003958FD">
              <w:rPr>
                <w:rFonts w:eastAsia="Times New Roman"/>
                <w:b/>
                <w:sz w:val="18"/>
                <w:szCs w:val="18"/>
                <w:lang w:val="es-ES"/>
              </w:rPr>
              <w:t>%</w:t>
            </w:r>
          </w:p>
        </w:tc>
        <w:tc>
          <w:tcPr>
            <w:tcW w:w="1932" w:type="dxa"/>
            <w:gridSpan w:val="2"/>
            <w:vAlign w:val="center"/>
          </w:tcPr>
          <w:p w14:paraId="666F7422" w14:textId="77777777" w:rsidR="003958FD" w:rsidRPr="003958FD" w:rsidRDefault="003958FD" w:rsidP="003958FD">
            <w:pPr>
              <w:spacing w:before="20" w:after="20"/>
              <w:jc w:val="center"/>
              <w:rPr>
                <w:rFonts w:eastAsia="Times New Roman"/>
                <w:bCs/>
                <w:sz w:val="18"/>
                <w:szCs w:val="18"/>
                <w:lang w:val="es-ES"/>
              </w:rPr>
            </w:pPr>
            <w:r w:rsidRPr="003958FD">
              <w:rPr>
                <w:rFonts w:eastAsia="Times New Roman"/>
                <w:b/>
                <w:bCs/>
                <w:sz w:val="18"/>
                <w:szCs w:val="18"/>
                <w:lang w:val="es-ES"/>
              </w:rPr>
              <w:t>Participación (%)</w:t>
            </w:r>
          </w:p>
        </w:tc>
      </w:tr>
      <w:tr w:rsidR="003958FD" w:rsidRPr="003958FD" w14:paraId="10190C04" w14:textId="77777777" w:rsidTr="004F1C40">
        <w:trPr>
          <w:jc w:val="center"/>
        </w:trPr>
        <w:tc>
          <w:tcPr>
            <w:tcW w:w="3257" w:type="dxa"/>
            <w:vMerge/>
            <w:tcBorders>
              <w:bottom w:val="single" w:sz="4" w:space="0" w:color="000000"/>
            </w:tcBorders>
            <w:vAlign w:val="center"/>
          </w:tcPr>
          <w:p w14:paraId="5E2C5624" w14:textId="77777777" w:rsidR="003958FD" w:rsidRPr="003958FD" w:rsidRDefault="003958FD" w:rsidP="003958FD">
            <w:pPr>
              <w:spacing w:before="20" w:after="20"/>
              <w:jc w:val="center"/>
              <w:rPr>
                <w:rFonts w:eastAsia="Times New Roman"/>
                <w:sz w:val="18"/>
                <w:szCs w:val="18"/>
                <w:lang w:val="es-ES"/>
              </w:rPr>
            </w:pPr>
          </w:p>
        </w:tc>
        <w:tc>
          <w:tcPr>
            <w:tcW w:w="1379" w:type="dxa"/>
            <w:tcBorders>
              <w:bottom w:val="single" w:sz="4" w:space="0" w:color="000000"/>
            </w:tcBorders>
            <w:vAlign w:val="center"/>
          </w:tcPr>
          <w:p w14:paraId="65F193B1" w14:textId="77777777" w:rsidR="003958FD" w:rsidRPr="003958FD" w:rsidRDefault="003958FD" w:rsidP="003958FD">
            <w:pPr>
              <w:spacing w:before="20" w:after="20"/>
              <w:jc w:val="center"/>
              <w:rPr>
                <w:rFonts w:eastAsia="Times New Roman"/>
                <w:b/>
                <w:sz w:val="18"/>
                <w:szCs w:val="18"/>
                <w:lang w:val="es-ES"/>
              </w:rPr>
            </w:pPr>
            <w:r w:rsidRPr="003958FD">
              <w:rPr>
                <w:rFonts w:eastAsia="Times New Roman"/>
                <w:b/>
                <w:sz w:val="18"/>
                <w:szCs w:val="18"/>
                <w:lang w:val="es-ES"/>
              </w:rPr>
              <w:t>2014</w:t>
            </w:r>
          </w:p>
        </w:tc>
        <w:tc>
          <w:tcPr>
            <w:tcW w:w="1380" w:type="dxa"/>
            <w:tcBorders>
              <w:bottom w:val="single" w:sz="4" w:space="0" w:color="000000"/>
            </w:tcBorders>
            <w:vAlign w:val="center"/>
          </w:tcPr>
          <w:p w14:paraId="7FBBEDB9" w14:textId="77777777" w:rsidR="003958FD" w:rsidRPr="003958FD" w:rsidRDefault="003958FD" w:rsidP="003958FD">
            <w:pPr>
              <w:spacing w:before="20" w:after="20"/>
              <w:jc w:val="center"/>
              <w:rPr>
                <w:rFonts w:eastAsia="Times New Roman"/>
                <w:b/>
                <w:sz w:val="18"/>
                <w:szCs w:val="18"/>
                <w:lang w:val="es-ES"/>
              </w:rPr>
            </w:pPr>
            <w:r w:rsidRPr="003958FD">
              <w:rPr>
                <w:rFonts w:eastAsia="Times New Roman"/>
                <w:b/>
                <w:sz w:val="18"/>
                <w:szCs w:val="18"/>
                <w:lang w:val="es-ES"/>
              </w:rPr>
              <w:t>2015</w:t>
            </w:r>
          </w:p>
        </w:tc>
        <w:tc>
          <w:tcPr>
            <w:tcW w:w="892" w:type="dxa"/>
            <w:vMerge/>
            <w:tcBorders>
              <w:bottom w:val="single" w:sz="4" w:space="0" w:color="000000"/>
            </w:tcBorders>
            <w:vAlign w:val="center"/>
          </w:tcPr>
          <w:p w14:paraId="679BDF25" w14:textId="77777777" w:rsidR="003958FD" w:rsidRPr="003958FD" w:rsidRDefault="003958FD" w:rsidP="003958FD">
            <w:pPr>
              <w:spacing w:before="20" w:after="20"/>
              <w:jc w:val="center"/>
              <w:rPr>
                <w:rFonts w:eastAsia="Times New Roman"/>
                <w:b/>
                <w:sz w:val="18"/>
                <w:szCs w:val="18"/>
                <w:lang w:val="es-ES"/>
              </w:rPr>
            </w:pPr>
          </w:p>
        </w:tc>
        <w:tc>
          <w:tcPr>
            <w:tcW w:w="936" w:type="dxa"/>
            <w:tcBorders>
              <w:bottom w:val="single" w:sz="4" w:space="0" w:color="000000"/>
            </w:tcBorders>
            <w:vAlign w:val="center"/>
          </w:tcPr>
          <w:p w14:paraId="61CC81E7" w14:textId="77777777" w:rsidR="003958FD" w:rsidRPr="003958FD" w:rsidRDefault="003958FD" w:rsidP="003958FD">
            <w:pPr>
              <w:spacing w:before="20" w:after="20"/>
              <w:jc w:val="center"/>
              <w:rPr>
                <w:rFonts w:eastAsia="Times New Roman"/>
                <w:b/>
                <w:sz w:val="18"/>
                <w:szCs w:val="18"/>
                <w:lang w:val="es-ES"/>
              </w:rPr>
            </w:pPr>
            <w:r w:rsidRPr="003958FD">
              <w:rPr>
                <w:rFonts w:eastAsia="Times New Roman"/>
                <w:b/>
                <w:sz w:val="18"/>
                <w:szCs w:val="18"/>
                <w:lang w:val="es-ES"/>
              </w:rPr>
              <w:t>2014</w:t>
            </w:r>
          </w:p>
        </w:tc>
        <w:tc>
          <w:tcPr>
            <w:tcW w:w="996" w:type="dxa"/>
            <w:tcBorders>
              <w:bottom w:val="single" w:sz="4" w:space="0" w:color="000000"/>
            </w:tcBorders>
            <w:vAlign w:val="center"/>
          </w:tcPr>
          <w:p w14:paraId="7DA07798" w14:textId="77777777" w:rsidR="003958FD" w:rsidRPr="003958FD" w:rsidRDefault="003958FD" w:rsidP="003958FD">
            <w:pPr>
              <w:spacing w:before="20" w:after="20"/>
              <w:jc w:val="center"/>
              <w:rPr>
                <w:rFonts w:eastAsia="Times New Roman"/>
                <w:b/>
                <w:sz w:val="18"/>
                <w:szCs w:val="18"/>
                <w:lang w:val="es-ES"/>
              </w:rPr>
            </w:pPr>
            <w:r w:rsidRPr="003958FD">
              <w:rPr>
                <w:rFonts w:eastAsia="Times New Roman"/>
                <w:b/>
                <w:sz w:val="18"/>
                <w:szCs w:val="18"/>
                <w:lang w:val="es-ES"/>
              </w:rPr>
              <w:t>2015</w:t>
            </w:r>
          </w:p>
        </w:tc>
      </w:tr>
      <w:tr w:rsidR="003958FD" w:rsidRPr="003958FD" w14:paraId="6BF43ADA" w14:textId="77777777" w:rsidTr="004F1C40">
        <w:trPr>
          <w:jc w:val="center"/>
        </w:trPr>
        <w:tc>
          <w:tcPr>
            <w:tcW w:w="3257" w:type="dxa"/>
            <w:tcBorders>
              <w:bottom w:val="nil"/>
            </w:tcBorders>
            <w:shd w:val="clear" w:color="auto" w:fill="auto"/>
            <w:vAlign w:val="center"/>
          </w:tcPr>
          <w:p w14:paraId="2BEEAA6E" w14:textId="77777777" w:rsidR="003958FD" w:rsidRPr="003958FD" w:rsidRDefault="003958FD" w:rsidP="003958FD">
            <w:pPr>
              <w:spacing w:before="20" w:after="20"/>
              <w:rPr>
                <w:rFonts w:eastAsia="Times New Roman"/>
                <w:sz w:val="18"/>
                <w:szCs w:val="18"/>
                <w:lang w:val="es-ES"/>
              </w:rPr>
            </w:pPr>
            <w:r w:rsidRPr="003958FD">
              <w:rPr>
                <w:rFonts w:eastAsia="Times New Roman"/>
                <w:sz w:val="18"/>
                <w:szCs w:val="18"/>
                <w:lang w:val="es-ES"/>
              </w:rPr>
              <w:t>Estados Unidos de Norteamérica</w:t>
            </w:r>
          </w:p>
        </w:tc>
        <w:tc>
          <w:tcPr>
            <w:tcW w:w="1379" w:type="dxa"/>
            <w:tcBorders>
              <w:bottom w:val="nil"/>
            </w:tcBorders>
            <w:shd w:val="clear" w:color="auto" w:fill="auto"/>
            <w:vAlign w:val="center"/>
          </w:tcPr>
          <w:p w14:paraId="7E0D018B" w14:textId="77777777" w:rsidR="003958FD" w:rsidRPr="003958FD" w:rsidRDefault="003958FD" w:rsidP="003958FD">
            <w:pPr>
              <w:spacing w:before="20" w:after="20"/>
              <w:ind w:right="317"/>
              <w:jc w:val="right"/>
              <w:rPr>
                <w:rFonts w:eastAsia="Times New Roman"/>
                <w:sz w:val="18"/>
                <w:szCs w:val="18"/>
                <w:lang w:val="es-ES"/>
              </w:rPr>
            </w:pPr>
            <w:r w:rsidRPr="003958FD">
              <w:rPr>
                <w:rFonts w:eastAsia="Times New Roman"/>
                <w:sz w:val="18"/>
                <w:szCs w:val="18"/>
                <w:lang w:val="es-ES"/>
              </w:rPr>
              <w:t>144 415</w:t>
            </w:r>
          </w:p>
        </w:tc>
        <w:tc>
          <w:tcPr>
            <w:tcW w:w="1380" w:type="dxa"/>
            <w:tcBorders>
              <w:bottom w:val="nil"/>
            </w:tcBorders>
            <w:shd w:val="clear" w:color="auto" w:fill="auto"/>
            <w:vAlign w:val="center"/>
          </w:tcPr>
          <w:p w14:paraId="54012B8E" w14:textId="77777777" w:rsidR="003958FD" w:rsidRPr="003958FD" w:rsidRDefault="003958FD" w:rsidP="003958FD">
            <w:pPr>
              <w:spacing w:before="20" w:after="20"/>
              <w:ind w:right="318"/>
              <w:jc w:val="right"/>
              <w:rPr>
                <w:rFonts w:eastAsia="Times New Roman"/>
                <w:sz w:val="18"/>
                <w:szCs w:val="18"/>
                <w:lang w:val="es-ES"/>
              </w:rPr>
            </w:pPr>
            <w:r w:rsidRPr="003958FD">
              <w:rPr>
                <w:rFonts w:eastAsia="Times New Roman"/>
                <w:sz w:val="18"/>
                <w:szCs w:val="18"/>
                <w:lang w:val="es-ES"/>
              </w:rPr>
              <w:t>159 207</w:t>
            </w:r>
          </w:p>
        </w:tc>
        <w:tc>
          <w:tcPr>
            <w:tcW w:w="892" w:type="dxa"/>
            <w:tcBorders>
              <w:bottom w:val="nil"/>
            </w:tcBorders>
            <w:shd w:val="clear" w:color="auto" w:fill="auto"/>
            <w:vAlign w:val="center"/>
          </w:tcPr>
          <w:p w14:paraId="4BF0BC61" w14:textId="77777777" w:rsidR="003958FD" w:rsidRPr="003958FD" w:rsidRDefault="003958FD" w:rsidP="003958FD">
            <w:pPr>
              <w:spacing w:before="20" w:after="20"/>
              <w:ind w:right="113"/>
              <w:jc w:val="right"/>
              <w:rPr>
                <w:rFonts w:eastAsia="Times New Roman"/>
                <w:sz w:val="18"/>
                <w:szCs w:val="18"/>
                <w:lang w:val="es-ES"/>
              </w:rPr>
            </w:pPr>
            <w:r w:rsidRPr="003958FD">
              <w:rPr>
                <w:rFonts w:eastAsia="Times New Roman"/>
                <w:sz w:val="18"/>
                <w:szCs w:val="18"/>
                <w:lang w:val="es-ES"/>
              </w:rPr>
              <w:t>10.2</w:t>
            </w:r>
          </w:p>
        </w:tc>
        <w:tc>
          <w:tcPr>
            <w:tcW w:w="936" w:type="dxa"/>
            <w:tcBorders>
              <w:bottom w:val="nil"/>
            </w:tcBorders>
            <w:shd w:val="clear" w:color="auto" w:fill="auto"/>
            <w:vAlign w:val="center"/>
          </w:tcPr>
          <w:p w14:paraId="6D77AE40"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73.1</w:t>
            </w:r>
          </w:p>
        </w:tc>
        <w:tc>
          <w:tcPr>
            <w:tcW w:w="996" w:type="dxa"/>
            <w:tcBorders>
              <w:bottom w:val="nil"/>
            </w:tcBorders>
            <w:shd w:val="clear" w:color="auto" w:fill="auto"/>
            <w:vAlign w:val="center"/>
          </w:tcPr>
          <w:p w14:paraId="2364C55D"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71.6</w:t>
            </w:r>
          </w:p>
        </w:tc>
      </w:tr>
      <w:tr w:rsidR="003958FD" w:rsidRPr="003958FD" w14:paraId="4BC91AF3" w14:textId="77777777" w:rsidTr="004F1C40">
        <w:trPr>
          <w:jc w:val="center"/>
        </w:trPr>
        <w:tc>
          <w:tcPr>
            <w:tcW w:w="3257" w:type="dxa"/>
            <w:tcBorders>
              <w:top w:val="nil"/>
              <w:bottom w:val="nil"/>
            </w:tcBorders>
            <w:shd w:val="clear" w:color="auto" w:fill="auto"/>
            <w:vAlign w:val="center"/>
          </w:tcPr>
          <w:p w14:paraId="1382B4A2" w14:textId="77777777" w:rsidR="003958FD" w:rsidRPr="003958FD" w:rsidRDefault="003958FD" w:rsidP="003958FD">
            <w:pPr>
              <w:spacing w:before="20" w:after="20"/>
              <w:rPr>
                <w:rFonts w:eastAsia="Times New Roman"/>
                <w:sz w:val="18"/>
                <w:szCs w:val="18"/>
                <w:lang w:val="es-ES"/>
              </w:rPr>
            </w:pPr>
            <w:r w:rsidRPr="003958FD">
              <w:rPr>
                <w:rFonts w:eastAsia="Times New Roman"/>
                <w:sz w:val="18"/>
                <w:szCs w:val="18"/>
                <w:lang w:val="es-ES"/>
              </w:rPr>
              <w:t>Canadá</w:t>
            </w:r>
          </w:p>
        </w:tc>
        <w:tc>
          <w:tcPr>
            <w:tcW w:w="1379" w:type="dxa"/>
            <w:tcBorders>
              <w:top w:val="nil"/>
              <w:bottom w:val="nil"/>
            </w:tcBorders>
            <w:shd w:val="clear" w:color="auto" w:fill="auto"/>
            <w:vAlign w:val="center"/>
          </w:tcPr>
          <w:p w14:paraId="18587303" w14:textId="77777777" w:rsidR="003958FD" w:rsidRPr="003958FD" w:rsidRDefault="003958FD" w:rsidP="003958FD">
            <w:pPr>
              <w:spacing w:before="20" w:after="20"/>
              <w:ind w:right="317"/>
              <w:jc w:val="right"/>
              <w:rPr>
                <w:rFonts w:eastAsia="Times New Roman"/>
                <w:sz w:val="18"/>
                <w:szCs w:val="18"/>
                <w:lang w:val="es-ES"/>
              </w:rPr>
            </w:pPr>
            <w:r w:rsidRPr="003958FD">
              <w:rPr>
                <w:rFonts w:eastAsia="Times New Roman"/>
                <w:sz w:val="18"/>
                <w:szCs w:val="18"/>
                <w:lang w:val="es-ES"/>
              </w:rPr>
              <w:t>15 317</w:t>
            </w:r>
          </w:p>
        </w:tc>
        <w:tc>
          <w:tcPr>
            <w:tcW w:w="1380" w:type="dxa"/>
            <w:tcBorders>
              <w:top w:val="nil"/>
              <w:bottom w:val="nil"/>
            </w:tcBorders>
            <w:shd w:val="clear" w:color="auto" w:fill="auto"/>
            <w:vAlign w:val="center"/>
          </w:tcPr>
          <w:p w14:paraId="1440EA7F" w14:textId="77777777" w:rsidR="003958FD" w:rsidRPr="003958FD" w:rsidRDefault="003958FD" w:rsidP="003958FD">
            <w:pPr>
              <w:spacing w:before="20" w:after="20"/>
              <w:ind w:right="318"/>
              <w:jc w:val="right"/>
              <w:rPr>
                <w:rFonts w:eastAsia="Times New Roman"/>
                <w:sz w:val="18"/>
                <w:szCs w:val="18"/>
                <w:lang w:val="es-ES"/>
              </w:rPr>
            </w:pPr>
            <w:r w:rsidRPr="003958FD">
              <w:rPr>
                <w:rFonts w:eastAsia="Times New Roman"/>
                <w:sz w:val="18"/>
                <w:szCs w:val="18"/>
                <w:lang w:val="es-ES"/>
              </w:rPr>
              <w:t>20 967</w:t>
            </w:r>
          </w:p>
        </w:tc>
        <w:tc>
          <w:tcPr>
            <w:tcW w:w="892" w:type="dxa"/>
            <w:tcBorders>
              <w:top w:val="nil"/>
              <w:bottom w:val="nil"/>
            </w:tcBorders>
            <w:shd w:val="clear" w:color="auto" w:fill="auto"/>
            <w:vAlign w:val="center"/>
          </w:tcPr>
          <w:p w14:paraId="1970CAA7" w14:textId="77777777" w:rsidR="003958FD" w:rsidRPr="003958FD" w:rsidRDefault="003958FD" w:rsidP="003958FD">
            <w:pPr>
              <w:spacing w:before="20" w:after="20"/>
              <w:ind w:right="113"/>
              <w:jc w:val="right"/>
              <w:rPr>
                <w:rFonts w:eastAsia="Times New Roman"/>
                <w:sz w:val="18"/>
                <w:szCs w:val="18"/>
                <w:lang w:val="es-ES"/>
              </w:rPr>
            </w:pPr>
            <w:r w:rsidRPr="003958FD">
              <w:rPr>
                <w:rFonts w:eastAsia="Times New Roman"/>
                <w:sz w:val="18"/>
                <w:szCs w:val="18"/>
                <w:lang w:val="es-ES"/>
              </w:rPr>
              <w:t>36.9</w:t>
            </w:r>
          </w:p>
        </w:tc>
        <w:tc>
          <w:tcPr>
            <w:tcW w:w="936" w:type="dxa"/>
            <w:tcBorders>
              <w:top w:val="nil"/>
              <w:bottom w:val="nil"/>
            </w:tcBorders>
            <w:shd w:val="clear" w:color="auto" w:fill="auto"/>
            <w:vAlign w:val="center"/>
          </w:tcPr>
          <w:p w14:paraId="171B2B35"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7.8</w:t>
            </w:r>
          </w:p>
        </w:tc>
        <w:tc>
          <w:tcPr>
            <w:tcW w:w="996" w:type="dxa"/>
            <w:tcBorders>
              <w:top w:val="nil"/>
              <w:bottom w:val="nil"/>
            </w:tcBorders>
            <w:shd w:val="clear" w:color="auto" w:fill="auto"/>
            <w:vAlign w:val="center"/>
          </w:tcPr>
          <w:p w14:paraId="08554F1F"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9.4</w:t>
            </w:r>
          </w:p>
        </w:tc>
      </w:tr>
      <w:tr w:rsidR="003958FD" w:rsidRPr="003958FD" w14:paraId="44FB964D" w14:textId="77777777" w:rsidTr="004F1C40">
        <w:trPr>
          <w:jc w:val="center"/>
        </w:trPr>
        <w:tc>
          <w:tcPr>
            <w:tcW w:w="3257" w:type="dxa"/>
            <w:tcBorders>
              <w:top w:val="nil"/>
              <w:bottom w:val="nil"/>
            </w:tcBorders>
            <w:shd w:val="clear" w:color="auto" w:fill="auto"/>
            <w:vAlign w:val="center"/>
          </w:tcPr>
          <w:p w14:paraId="7D1BA913" w14:textId="77777777" w:rsidR="003958FD" w:rsidRPr="003958FD" w:rsidRDefault="003958FD" w:rsidP="003958FD">
            <w:pPr>
              <w:spacing w:before="20" w:after="20"/>
              <w:rPr>
                <w:rFonts w:eastAsia="Times New Roman"/>
                <w:sz w:val="18"/>
                <w:szCs w:val="18"/>
                <w:lang w:val="es-ES"/>
              </w:rPr>
            </w:pPr>
            <w:r w:rsidRPr="003958FD">
              <w:rPr>
                <w:rFonts w:eastAsia="Times New Roman"/>
                <w:sz w:val="18"/>
                <w:szCs w:val="18"/>
                <w:lang w:val="es-ES"/>
              </w:rPr>
              <w:t>Latinoamérica</w:t>
            </w:r>
          </w:p>
        </w:tc>
        <w:tc>
          <w:tcPr>
            <w:tcW w:w="1379" w:type="dxa"/>
            <w:tcBorders>
              <w:top w:val="nil"/>
              <w:bottom w:val="nil"/>
            </w:tcBorders>
            <w:shd w:val="clear" w:color="auto" w:fill="auto"/>
            <w:vAlign w:val="center"/>
          </w:tcPr>
          <w:p w14:paraId="29324513" w14:textId="77777777" w:rsidR="003958FD" w:rsidRPr="003958FD" w:rsidRDefault="003958FD" w:rsidP="003958FD">
            <w:pPr>
              <w:spacing w:before="20" w:after="20"/>
              <w:ind w:right="317"/>
              <w:jc w:val="right"/>
              <w:rPr>
                <w:rFonts w:eastAsia="Times New Roman"/>
                <w:sz w:val="18"/>
                <w:szCs w:val="18"/>
                <w:lang w:val="es-ES"/>
              </w:rPr>
            </w:pPr>
            <w:r w:rsidRPr="003958FD">
              <w:rPr>
                <w:rFonts w:eastAsia="Times New Roman"/>
                <w:sz w:val="18"/>
                <w:szCs w:val="18"/>
                <w:lang w:val="es-ES"/>
              </w:rPr>
              <w:t>19 201</w:t>
            </w:r>
          </w:p>
        </w:tc>
        <w:tc>
          <w:tcPr>
            <w:tcW w:w="1380" w:type="dxa"/>
            <w:tcBorders>
              <w:top w:val="nil"/>
              <w:bottom w:val="nil"/>
            </w:tcBorders>
            <w:shd w:val="clear" w:color="auto" w:fill="auto"/>
            <w:vAlign w:val="center"/>
          </w:tcPr>
          <w:p w14:paraId="0890B775" w14:textId="77777777" w:rsidR="003958FD" w:rsidRPr="003958FD" w:rsidRDefault="003958FD" w:rsidP="003958FD">
            <w:pPr>
              <w:spacing w:before="20" w:after="20"/>
              <w:ind w:right="318"/>
              <w:jc w:val="right"/>
              <w:rPr>
                <w:rFonts w:eastAsia="Times New Roman"/>
                <w:sz w:val="18"/>
                <w:szCs w:val="18"/>
                <w:lang w:val="es-ES"/>
              </w:rPr>
            </w:pPr>
            <w:r w:rsidRPr="003958FD">
              <w:rPr>
                <w:rFonts w:eastAsia="Times New Roman"/>
                <w:sz w:val="18"/>
                <w:szCs w:val="18"/>
                <w:lang w:val="es-ES"/>
              </w:rPr>
              <w:t>16 187</w:t>
            </w:r>
          </w:p>
        </w:tc>
        <w:tc>
          <w:tcPr>
            <w:tcW w:w="892" w:type="dxa"/>
            <w:tcBorders>
              <w:top w:val="nil"/>
              <w:bottom w:val="nil"/>
            </w:tcBorders>
            <w:shd w:val="clear" w:color="auto" w:fill="auto"/>
            <w:vAlign w:val="center"/>
          </w:tcPr>
          <w:p w14:paraId="32DAB6E8" w14:textId="77777777" w:rsidR="003958FD" w:rsidRPr="003958FD" w:rsidRDefault="003958FD" w:rsidP="003958FD">
            <w:pPr>
              <w:spacing w:before="20" w:after="20"/>
              <w:ind w:right="113"/>
              <w:jc w:val="right"/>
              <w:rPr>
                <w:rFonts w:eastAsia="Times New Roman"/>
                <w:sz w:val="18"/>
                <w:szCs w:val="18"/>
                <w:lang w:val="es-ES"/>
              </w:rPr>
            </w:pPr>
            <w:r w:rsidRPr="003958FD">
              <w:rPr>
                <w:rFonts w:eastAsia="Times New Roman"/>
                <w:sz w:val="18"/>
                <w:szCs w:val="18"/>
                <w:lang w:val="es-ES"/>
              </w:rPr>
              <w:t>-15.7</w:t>
            </w:r>
          </w:p>
        </w:tc>
        <w:tc>
          <w:tcPr>
            <w:tcW w:w="936" w:type="dxa"/>
            <w:tcBorders>
              <w:top w:val="nil"/>
              <w:bottom w:val="nil"/>
            </w:tcBorders>
            <w:shd w:val="clear" w:color="auto" w:fill="auto"/>
            <w:vAlign w:val="center"/>
          </w:tcPr>
          <w:p w14:paraId="0BA7ACFD"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9.7</w:t>
            </w:r>
          </w:p>
        </w:tc>
        <w:tc>
          <w:tcPr>
            <w:tcW w:w="996" w:type="dxa"/>
            <w:tcBorders>
              <w:top w:val="nil"/>
              <w:bottom w:val="nil"/>
            </w:tcBorders>
            <w:shd w:val="clear" w:color="auto" w:fill="auto"/>
            <w:vAlign w:val="center"/>
          </w:tcPr>
          <w:p w14:paraId="3AA41D0F"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7.3</w:t>
            </w:r>
          </w:p>
        </w:tc>
      </w:tr>
      <w:tr w:rsidR="003958FD" w:rsidRPr="003958FD" w14:paraId="0FEE41D0" w14:textId="77777777" w:rsidTr="004F1C40">
        <w:trPr>
          <w:jc w:val="center"/>
        </w:trPr>
        <w:tc>
          <w:tcPr>
            <w:tcW w:w="3257" w:type="dxa"/>
            <w:tcBorders>
              <w:top w:val="nil"/>
              <w:bottom w:val="nil"/>
            </w:tcBorders>
            <w:vAlign w:val="center"/>
          </w:tcPr>
          <w:p w14:paraId="02C1D740" w14:textId="77777777" w:rsidR="003958FD" w:rsidRPr="003958FD" w:rsidRDefault="003958FD" w:rsidP="003958FD">
            <w:pPr>
              <w:spacing w:before="20" w:after="20"/>
              <w:rPr>
                <w:rFonts w:eastAsia="Times New Roman"/>
                <w:sz w:val="18"/>
                <w:szCs w:val="18"/>
                <w:lang w:val="es-ES"/>
              </w:rPr>
            </w:pPr>
            <w:r w:rsidRPr="003958FD">
              <w:rPr>
                <w:rFonts w:eastAsia="Times New Roman"/>
                <w:sz w:val="18"/>
                <w:szCs w:val="18"/>
                <w:lang w:val="es-ES"/>
              </w:rPr>
              <w:t>Asia</w:t>
            </w:r>
          </w:p>
        </w:tc>
        <w:tc>
          <w:tcPr>
            <w:tcW w:w="1379" w:type="dxa"/>
            <w:tcBorders>
              <w:top w:val="nil"/>
              <w:bottom w:val="nil"/>
            </w:tcBorders>
            <w:vAlign w:val="center"/>
          </w:tcPr>
          <w:p w14:paraId="616B6C78" w14:textId="77777777" w:rsidR="003958FD" w:rsidRPr="003958FD" w:rsidRDefault="003958FD" w:rsidP="003958FD">
            <w:pPr>
              <w:spacing w:before="20" w:after="20"/>
              <w:ind w:right="317"/>
              <w:jc w:val="right"/>
              <w:rPr>
                <w:rFonts w:eastAsia="Times New Roman"/>
                <w:sz w:val="18"/>
                <w:szCs w:val="18"/>
                <w:lang w:val="es-ES"/>
              </w:rPr>
            </w:pPr>
            <w:r w:rsidRPr="003958FD">
              <w:rPr>
                <w:rFonts w:eastAsia="Times New Roman"/>
                <w:sz w:val="18"/>
                <w:szCs w:val="18"/>
                <w:lang w:val="es-ES"/>
              </w:rPr>
              <w:t>8 865</w:t>
            </w:r>
          </w:p>
        </w:tc>
        <w:tc>
          <w:tcPr>
            <w:tcW w:w="1380" w:type="dxa"/>
            <w:tcBorders>
              <w:top w:val="nil"/>
              <w:bottom w:val="nil"/>
            </w:tcBorders>
            <w:vAlign w:val="center"/>
          </w:tcPr>
          <w:p w14:paraId="712D169A" w14:textId="77777777" w:rsidR="003958FD" w:rsidRPr="003958FD" w:rsidRDefault="003958FD" w:rsidP="003958FD">
            <w:pPr>
              <w:spacing w:before="20" w:after="20"/>
              <w:ind w:right="318"/>
              <w:jc w:val="right"/>
              <w:rPr>
                <w:rFonts w:eastAsia="Times New Roman"/>
                <w:sz w:val="18"/>
                <w:szCs w:val="18"/>
                <w:lang w:val="es-ES"/>
              </w:rPr>
            </w:pPr>
            <w:r w:rsidRPr="003958FD">
              <w:rPr>
                <w:rFonts w:eastAsia="Times New Roman"/>
                <w:sz w:val="18"/>
                <w:szCs w:val="18"/>
                <w:lang w:val="es-ES"/>
              </w:rPr>
              <w:t>9 576</w:t>
            </w:r>
          </w:p>
        </w:tc>
        <w:tc>
          <w:tcPr>
            <w:tcW w:w="892" w:type="dxa"/>
            <w:tcBorders>
              <w:top w:val="nil"/>
              <w:bottom w:val="nil"/>
            </w:tcBorders>
            <w:vAlign w:val="center"/>
          </w:tcPr>
          <w:p w14:paraId="69C90F13" w14:textId="77777777" w:rsidR="003958FD" w:rsidRPr="003958FD" w:rsidRDefault="003958FD" w:rsidP="003958FD">
            <w:pPr>
              <w:spacing w:before="20" w:after="20"/>
              <w:ind w:right="113"/>
              <w:jc w:val="right"/>
              <w:rPr>
                <w:rFonts w:eastAsia="Times New Roman"/>
                <w:sz w:val="18"/>
                <w:szCs w:val="18"/>
                <w:lang w:val="es-ES"/>
              </w:rPr>
            </w:pPr>
            <w:r w:rsidRPr="003958FD">
              <w:rPr>
                <w:rFonts w:eastAsia="Times New Roman"/>
                <w:sz w:val="18"/>
                <w:szCs w:val="18"/>
                <w:lang w:val="es-ES"/>
              </w:rPr>
              <w:t>8.0</w:t>
            </w:r>
          </w:p>
        </w:tc>
        <w:tc>
          <w:tcPr>
            <w:tcW w:w="936" w:type="dxa"/>
            <w:tcBorders>
              <w:top w:val="nil"/>
              <w:bottom w:val="nil"/>
            </w:tcBorders>
            <w:vAlign w:val="center"/>
          </w:tcPr>
          <w:p w14:paraId="615432ED"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4.5</w:t>
            </w:r>
          </w:p>
        </w:tc>
        <w:tc>
          <w:tcPr>
            <w:tcW w:w="996" w:type="dxa"/>
            <w:tcBorders>
              <w:top w:val="nil"/>
              <w:bottom w:val="nil"/>
            </w:tcBorders>
            <w:vAlign w:val="center"/>
          </w:tcPr>
          <w:p w14:paraId="7632A4EE"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4.3</w:t>
            </w:r>
          </w:p>
        </w:tc>
      </w:tr>
      <w:tr w:rsidR="003958FD" w:rsidRPr="003958FD" w14:paraId="0878E648" w14:textId="77777777" w:rsidTr="004F1C40">
        <w:trPr>
          <w:jc w:val="center"/>
        </w:trPr>
        <w:tc>
          <w:tcPr>
            <w:tcW w:w="3257" w:type="dxa"/>
            <w:tcBorders>
              <w:top w:val="nil"/>
              <w:bottom w:val="nil"/>
            </w:tcBorders>
            <w:shd w:val="clear" w:color="auto" w:fill="auto"/>
            <w:vAlign w:val="center"/>
          </w:tcPr>
          <w:p w14:paraId="425F8C13" w14:textId="77777777" w:rsidR="003958FD" w:rsidRPr="003958FD" w:rsidRDefault="003958FD" w:rsidP="003958FD">
            <w:pPr>
              <w:spacing w:before="20" w:after="20"/>
              <w:rPr>
                <w:rFonts w:eastAsia="Times New Roman"/>
                <w:sz w:val="18"/>
                <w:szCs w:val="18"/>
                <w:lang w:val="es-ES"/>
              </w:rPr>
            </w:pPr>
            <w:r w:rsidRPr="003958FD">
              <w:rPr>
                <w:rFonts w:eastAsia="Times New Roman"/>
                <w:sz w:val="18"/>
                <w:szCs w:val="18"/>
                <w:lang w:val="es-ES"/>
              </w:rPr>
              <w:t>Europa</w:t>
            </w:r>
          </w:p>
        </w:tc>
        <w:tc>
          <w:tcPr>
            <w:tcW w:w="1379" w:type="dxa"/>
            <w:tcBorders>
              <w:top w:val="nil"/>
              <w:bottom w:val="nil"/>
            </w:tcBorders>
            <w:shd w:val="clear" w:color="auto" w:fill="auto"/>
            <w:vAlign w:val="center"/>
          </w:tcPr>
          <w:p w14:paraId="668D81A0" w14:textId="77777777" w:rsidR="003958FD" w:rsidRPr="003958FD" w:rsidRDefault="003958FD" w:rsidP="003958FD">
            <w:pPr>
              <w:spacing w:before="20" w:after="20"/>
              <w:ind w:right="317"/>
              <w:jc w:val="right"/>
              <w:rPr>
                <w:rFonts w:eastAsia="Times New Roman"/>
                <w:sz w:val="18"/>
                <w:szCs w:val="18"/>
                <w:lang w:val="es-ES"/>
              </w:rPr>
            </w:pPr>
            <w:r w:rsidRPr="003958FD">
              <w:rPr>
                <w:rFonts w:eastAsia="Times New Roman"/>
                <w:sz w:val="18"/>
                <w:szCs w:val="18"/>
                <w:lang w:val="es-ES"/>
              </w:rPr>
              <w:t>9 391</w:t>
            </w:r>
          </w:p>
        </w:tc>
        <w:tc>
          <w:tcPr>
            <w:tcW w:w="1380" w:type="dxa"/>
            <w:tcBorders>
              <w:top w:val="nil"/>
              <w:bottom w:val="nil"/>
            </w:tcBorders>
            <w:shd w:val="clear" w:color="auto" w:fill="auto"/>
            <w:vAlign w:val="center"/>
          </w:tcPr>
          <w:p w14:paraId="5DB2D753" w14:textId="77777777" w:rsidR="003958FD" w:rsidRPr="003958FD" w:rsidRDefault="003958FD" w:rsidP="003958FD">
            <w:pPr>
              <w:spacing w:before="20" w:after="20"/>
              <w:ind w:right="318"/>
              <w:jc w:val="right"/>
              <w:rPr>
                <w:rFonts w:eastAsia="Times New Roman"/>
                <w:sz w:val="18"/>
                <w:szCs w:val="18"/>
                <w:lang w:val="es-ES"/>
              </w:rPr>
            </w:pPr>
            <w:r w:rsidRPr="003958FD">
              <w:rPr>
                <w:rFonts w:eastAsia="Times New Roman"/>
                <w:sz w:val="18"/>
                <w:szCs w:val="18"/>
                <w:lang w:val="es-ES"/>
              </w:rPr>
              <w:t>9 161</w:t>
            </w:r>
          </w:p>
        </w:tc>
        <w:tc>
          <w:tcPr>
            <w:tcW w:w="892" w:type="dxa"/>
            <w:tcBorders>
              <w:top w:val="nil"/>
              <w:bottom w:val="nil"/>
            </w:tcBorders>
            <w:shd w:val="clear" w:color="auto" w:fill="auto"/>
            <w:vAlign w:val="center"/>
          </w:tcPr>
          <w:p w14:paraId="30FB8330" w14:textId="77777777" w:rsidR="003958FD" w:rsidRPr="003958FD" w:rsidRDefault="003958FD" w:rsidP="003958FD">
            <w:pPr>
              <w:spacing w:before="20" w:after="20"/>
              <w:ind w:right="113"/>
              <w:jc w:val="right"/>
              <w:rPr>
                <w:rFonts w:eastAsia="Times New Roman"/>
                <w:sz w:val="18"/>
                <w:szCs w:val="18"/>
                <w:lang w:val="es-ES"/>
              </w:rPr>
            </w:pPr>
            <w:r w:rsidRPr="003958FD">
              <w:rPr>
                <w:rFonts w:eastAsia="Times New Roman"/>
                <w:sz w:val="18"/>
                <w:szCs w:val="18"/>
                <w:lang w:val="es-ES"/>
              </w:rPr>
              <w:t>-2.4</w:t>
            </w:r>
          </w:p>
        </w:tc>
        <w:tc>
          <w:tcPr>
            <w:tcW w:w="936" w:type="dxa"/>
            <w:tcBorders>
              <w:top w:val="nil"/>
              <w:bottom w:val="nil"/>
            </w:tcBorders>
            <w:shd w:val="clear" w:color="auto" w:fill="auto"/>
            <w:vAlign w:val="center"/>
          </w:tcPr>
          <w:p w14:paraId="3BE4A1D4"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4.8</w:t>
            </w:r>
          </w:p>
        </w:tc>
        <w:tc>
          <w:tcPr>
            <w:tcW w:w="996" w:type="dxa"/>
            <w:tcBorders>
              <w:top w:val="nil"/>
              <w:bottom w:val="nil"/>
            </w:tcBorders>
            <w:shd w:val="clear" w:color="auto" w:fill="auto"/>
            <w:vAlign w:val="center"/>
          </w:tcPr>
          <w:p w14:paraId="4D21103E"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4.1</w:t>
            </w:r>
          </w:p>
        </w:tc>
      </w:tr>
      <w:tr w:rsidR="003958FD" w:rsidRPr="003958FD" w14:paraId="5341EE7E" w14:textId="77777777" w:rsidTr="004F1C40">
        <w:trPr>
          <w:jc w:val="center"/>
        </w:trPr>
        <w:tc>
          <w:tcPr>
            <w:tcW w:w="3257" w:type="dxa"/>
            <w:tcBorders>
              <w:top w:val="nil"/>
              <w:bottom w:val="nil"/>
            </w:tcBorders>
            <w:shd w:val="clear" w:color="auto" w:fill="auto"/>
            <w:vAlign w:val="center"/>
          </w:tcPr>
          <w:p w14:paraId="2126FDC6" w14:textId="77777777" w:rsidR="003958FD" w:rsidRPr="003958FD" w:rsidRDefault="003958FD" w:rsidP="003958FD">
            <w:pPr>
              <w:spacing w:before="20" w:after="20"/>
              <w:rPr>
                <w:rFonts w:eastAsia="Times New Roman"/>
                <w:sz w:val="18"/>
                <w:szCs w:val="18"/>
                <w:lang w:val="es-ES"/>
              </w:rPr>
            </w:pPr>
            <w:r w:rsidRPr="003958FD">
              <w:rPr>
                <w:rFonts w:eastAsia="Times New Roman"/>
                <w:sz w:val="18"/>
                <w:szCs w:val="18"/>
                <w:lang w:val="es-ES"/>
              </w:rPr>
              <w:t>África</w:t>
            </w:r>
          </w:p>
        </w:tc>
        <w:tc>
          <w:tcPr>
            <w:tcW w:w="1379" w:type="dxa"/>
            <w:tcBorders>
              <w:top w:val="nil"/>
              <w:bottom w:val="nil"/>
            </w:tcBorders>
            <w:shd w:val="clear" w:color="auto" w:fill="auto"/>
            <w:vAlign w:val="center"/>
          </w:tcPr>
          <w:p w14:paraId="6FE24F72" w14:textId="77777777" w:rsidR="003958FD" w:rsidRPr="003958FD" w:rsidRDefault="003958FD" w:rsidP="003958FD">
            <w:pPr>
              <w:spacing w:before="20" w:after="20"/>
              <w:ind w:right="317"/>
              <w:jc w:val="right"/>
              <w:rPr>
                <w:rFonts w:eastAsia="Times New Roman"/>
                <w:sz w:val="18"/>
                <w:szCs w:val="18"/>
                <w:lang w:val="es-ES"/>
              </w:rPr>
            </w:pPr>
            <w:r w:rsidRPr="003958FD">
              <w:rPr>
                <w:rFonts w:eastAsia="Times New Roman"/>
                <w:sz w:val="18"/>
                <w:szCs w:val="18"/>
                <w:lang w:val="es-ES"/>
              </w:rPr>
              <w:t>181</w:t>
            </w:r>
          </w:p>
        </w:tc>
        <w:tc>
          <w:tcPr>
            <w:tcW w:w="1380" w:type="dxa"/>
            <w:tcBorders>
              <w:top w:val="nil"/>
              <w:bottom w:val="nil"/>
            </w:tcBorders>
            <w:shd w:val="clear" w:color="auto" w:fill="auto"/>
            <w:vAlign w:val="center"/>
          </w:tcPr>
          <w:p w14:paraId="580EC34C" w14:textId="77777777" w:rsidR="003958FD" w:rsidRPr="003958FD" w:rsidRDefault="003958FD" w:rsidP="003958FD">
            <w:pPr>
              <w:spacing w:before="20" w:after="20"/>
              <w:ind w:right="318"/>
              <w:jc w:val="right"/>
              <w:rPr>
                <w:rFonts w:eastAsia="Times New Roman"/>
                <w:sz w:val="18"/>
                <w:szCs w:val="18"/>
                <w:lang w:val="es-ES"/>
              </w:rPr>
            </w:pPr>
            <w:r w:rsidRPr="003958FD">
              <w:rPr>
                <w:rFonts w:eastAsia="Times New Roman"/>
                <w:sz w:val="18"/>
                <w:szCs w:val="18"/>
                <w:lang w:val="es-ES"/>
              </w:rPr>
              <w:t>289</w:t>
            </w:r>
          </w:p>
        </w:tc>
        <w:tc>
          <w:tcPr>
            <w:tcW w:w="892" w:type="dxa"/>
            <w:tcBorders>
              <w:top w:val="nil"/>
              <w:bottom w:val="nil"/>
            </w:tcBorders>
            <w:shd w:val="clear" w:color="auto" w:fill="auto"/>
            <w:vAlign w:val="center"/>
          </w:tcPr>
          <w:p w14:paraId="49671041" w14:textId="77777777" w:rsidR="003958FD" w:rsidRPr="003958FD" w:rsidRDefault="003958FD" w:rsidP="003958FD">
            <w:pPr>
              <w:spacing w:before="20" w:after="20"/>
              <w:ind w:right="113"/>
              <w:jc w:val="right"/>
              <w:rPr>
                <w:rFonts w:eastAsia="Times New Roman"/>
                <w:sz w:val="18"/>
                <w:szCs w:val="18"/>
                <w:lang w:val="es-ES"/>
              </w:rPr>
            </w:pPr>
            <w:r w:rsidRPr="003958FD">
              <w:rPr>
                <w:rFonts w:eastAsia="Times New Roman"/>
                <w:sz w:val="18"/>
                <w:szCs w:val="18"/>
                <w:lang w:val="es-ES"/>
              </w:rPr>
              <w:t>59.7</w:t>
            </w:r>
          </w:p>
        </w:tc>
        <w:tc>
          <w:tcPr>
            <w:tcW w:w="936" w:type="dxa"/>
            <w:tcBorders>
              <w:top w:val="nil"/>
              <w:bottom w:val="nil"/>
            </w:tcBorders>
            <w:shd w:val="clear" w:color="auto" w:fill="auto"/>
            <w:vAlign w:val="center"/>
          </w:tcPr>
          <w:p w14:paraId="11E758B2"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0.1</w:t>
            </w:r>
          </w:p>
        </w:tc>
        <w:tc>
          <w:tcPr>
            <w:tcW w:w="996" w:type="dxa"/>
            <w:tcBorders>
              <w:top w:val="nil"/>
              <w:bottom w:val="nil"/>
            </w:tcBorders>
            <w:shd w:val="clear" w:color="auto" w:fill="auto"/>
            <w:vAlign w:val="center"/>
          </w:tcPr>
          <w:p w14:paraId="73425849"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0.1</w:t>
            </w:r>
          </w:p>
        </w:tc>
      </w:tr>
      <w:tr w:rsidR="003958FD" w:rsidRPr="003958FD" w14:paraId="16605EAA" w14:textId="77777777" w:rsidTr="004F1C40">
        <w:trPr>
          <w:jc w:val="center"/>
        </w:trPr>
        <w:tc>
          <w:tcPr>
            <w:tcW w:w="3257" w:type="dxa"/>
            <w:tcBorders>
              <w:top w:val="nil"/>
              <w:bottom w:val="nil"/>
            </w:tcBorders>
            <w:shd w:val="clear" w:color="auto" w:fill="auto"/>
            <w:vAlign w:val="center"/>
          </w:tcPr>
          <w:p w14:paraId="236728EC" w14:textId="77777777" w:rsidR="003958FD" w:rsidRPr="003958FD" w:rsidRDefault="003958FD" w:rsidP="003958FD">
            <w:pPr>
              <w:spacing w:before="20" w:after="20"/>
              <w:rPr>
                <w:rFonts w:eastAsia="Times New Roman"/>
                <w:sz w:val="18"/>
                <w:szCs w:val="18"/>
                <w:lang w:val="es-ES"/>
              </w:rPr>
            </w:pPr>
            <w:r w:rsidRPr="003958FD">
              <w:rPr>
                <w:rFonts w:eastAsia="Times New Roman"/>
                <w:sz w:val="18"/>
                <w:szCs w:val="18"/>
                <w:lang w:val="es-ES"/>
              </w:rPr>
              <w:t>Otros</w:t>
            </w:r>
          </w:p>
        </w:tc>
        <w:tc>
          <w:tcPr>
            <w:tcW w:w="1379" w:type="dxa"/>
            <w:tcBorders>
              <w:top w:val="nil"/>
              <w:bottom w:val="nil"/>
            </w:tcBorders>
            <w:shd w:val="clear" w:color="auto" w:fill="auto"/>
            <w:vAlign w:val="center"/>
          </w:tcPr>
          <w:p w14:paraId="4799B4B5" w14:textId="77777777" w:rsidR="003958FD" w:rsidRPr="003958FD" w:rsidRDefault="003958FD" w:rsidP="003958FD">
            <w:pPr>
              <w:spacing w:before="20" w:after="20"/>
              <w:ind w:right="317"/>
              <w:jc w:val="right"/>
              <w:rPr>
                <w:rFonts w:eastAsia="Times New Roman"/>
                <w:sz w:val="18"/>
                <w:szCs w:val="18"/>
                <w:lang w:val="es-ES"/>
              </w:rPr>
            </w:pPr>
            <w:r w:rsidRPr="003958FD">
              <w:rPr>
                <w:rFonts w:eastAsia="Times New Roman"/>
                <w:sz w:val="18"/>
                <w:szCs w:val="18"/>
                <w:lang w:val="es-ES"/>
              </w:rPr>
              <w:t>134</w:t>
            </w:r>
          </w:p>
        </w:tc>
        <w:tc>
          <w:tcPr>
            <w:tcW w:w="1380" w:type="dxa"/>
            <w:tcBorders>
              <w:top w:val="nil"/>
              <w:bottom w:val="nil"/>
            </w:tcBorders>
            <w:shd w:val="clear" w:color="auto" w:fill="auto"/>
            <w:vAlign w:val="center"/>
          </w:tcPr>
          <w:p w14:paraId="6EB66ED3" w14:textId="77777777" w:rsidR="003958FD" w:rsidRPr="003958FD" w:rsidRDefault="003958FD" w:rsidP="003958FD">
            <w:pPr>
              <w:spacing w:before="20" w:after="20"/>
              <w:ind w:right="318"/>
              <w:jc w:val="right"/>
              <w:rPr>
                <w:rFonts w:eastAsia="Times New Roman"/>
                <w:sz w:val="18"/>
                <w:szCs w:val="18"/>
                <w:lang w:val="es-ES"/>
              </w:rPr>
            </w:pPr>
            <w:r w:rsidRPr="003958FD">
              <w:rPr>
                <w:rFonts w:eastAsia="Times New Roman"/>
                <w:sz w:val="18"/>
                <w:szCs w:val="18"/>
                <w:lang w:val="es-ES"/>
              </w:rPr>
              <w:t>6 964</w:t>
            </w:r>
          </w:p>
        </w:tc>
        <w:tc>
          <w:tcPr>
            <w:tcW w:w="892" w:type="dxa"/>
            <w:tcBorders>
              <w:top w:val="nil"/>
              <w:bottom w:val="nil"/>
            </w:tcBorders>
            <w:shd w:val="clear" w:color="auto" w:fill="auto"/>
            <w:vAlign w:val="center"/>
          </w:tcPr>
          <w:p w14:paraId="67C68425" w14:textId="77777777" w:rsidR="003958FD" w:rsidRPr="003958FD" w:rsidRDefault="003958FD" w:rsidP="003958FD">
            <w:pPr>
              <w:spacing w:before="20" w:after="20"/>
              <w:ind w:right="113"/>
              <w:jc w:val="right"/>
              <w:rPr>
                <w:rFonts w:eastAsia="Times New Roman"/>
                <w:sz w:val="18"/>
                <w:szCs w:val="18"/>
                <w:lang w:val="es-ES"/>
              </w:rPr>
            </w:pPr>
            <w:r w:rsidRPr="003958FD">
              <w:rPr>
                <w:rFonts w:eastAsia="Times New Roman"/>
                <w:sz w:val="18"/>
                <w:szCs w:val="18"/>
                <w:lang w:val="es-ES"/>
              </w:rPr>
              <w:t>5 097.0</w:t>
            </w:r>
          </w:p>
        </w:tc>
        <w:tc>
          <w:tcPr>
            <w:tcW w:w="936" w:type="dxa"/>
            <w:tcBorders>
              <w:top w:val="nil"/>
              <w:bottom w:val="nil"/>
            </w:tcBorders>
            <w:shd w:val="clear" w:color="auto" w:fill="auto"/>
            <w:vAlign w:val="center"/>
          </w:tcPr>
          <w:p w14:paraId="45C86412"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0.1</w:t>
            </w:r>
          </w:p>
        </w:tc>
        <w:tc>
          <w:tcPr>
            <w:tcW w:w="996" w:type="dxa"/>
            <w:tcBorders>
              <w:top w:val="nil"/>
              <w:bottom w:val="nil"/>
            </w:tcBorders>
            <w:shd w:val="clear" w:color="auto" w:fill="auto"/>
            <w:vAlign w:val="center"/>
          </w:tcPr>
          <w:p w14:paraId="33B3DE35"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3.1</w:t>
            </w:r>
          </w:p>
        </w:tc>
      </w:tr>
      <w:tr w:rsidR="003958FD" w:rsidRPr="003958FD" w14:paraId="3C4851B2" w14:textId="77777777" w:rsidTr="004F1C40">
        <w:trPr>
          <w:jc w:val="center"/>
        </w:trPr>
        <w:tc>
          <w:tcPr>
            <w:tcW w:w="3257" w:type="dxa"/>
            <w:tcBorders>
              <w:top w:val="nil"/>
              <w:bottom w:val="single" w:sz="4" w:space="0" w:color="000000"/>
            </w:tcBorders>
            <w:vAlign w:val="center"/>
          </w:tcPr>
          <w:p w14:paraId="0A1C5735" w14:textId="77777777" w:rsidR="003958FD" w:rsidRPr="003958FD" w:rsidRDefault="003958FD" w:rsidP="003958FD">
            <w:pPr>
              <w:spacing w:before="20" w:after="20"/>
              <w:rPr>
                <w:rFonts w:eastAsia="Times New Roman"/>
                <w:b/>
                <w:bCs/>
                <w:sz w:val="18"/>
                <w:szCs w:val="18"/>
                <w:lang w:val="es-ES"/>
              </w:rPr>
            </w:pPr>
            <w:r w:rsidRPr="003958FD">
              <w:rPr>
                <w:rFonts w:eastAsia="Times New Roman"/>
                <w:b/>
                <w:bCs/>
                <w:sz w:val="18"/>
                <w:szCs w:val="18"/>
                <w:lang w:val="es-ES"/>
              </w:rPr>
              <w:t>EXPORTACIÓN TOTAL</w:t>
            </w:r>
          </w:p>
        </w:tc>
        <w:tc>
          <w:tcPr>
            <w:tcW w:w="1379" w:type="dxa"/>
            <w:tcBorders>
              <w:top w:val="nil"/>
              <w:bottom w:val="single" w:sz="4" w:space="0" w:color="000000"/>
            </w:tcBorders>
            <w:vAlign w:val="center"/>
          </w:tcPr>
          <w:p w14:paraId="7C4A4F9C" w14:textId="77777777" w:rsidR="003958FD" w:rsidRPr="003958FD" w:rsidRDefault="003958FD" w:rsidP="003958FD">
            <w:pPr>
              <w:spacing w:before="20" w:after="20"/>
              <w:ind w:right="317"/>
              <w:jc w:val="right"/>
              <w:rPr>
                <w:rFonts w:eastAsia="Times New Roman"/>
                <w:b/>
                <w:sz w:val="18"/>
                <w:szCs w:val="18"/>
                <w:lang w:val="es-ES"/>
              </w:rPr>
            </w:pPr>
            <w:r w:rsidRPr="003958FD">
              <w:rPr>
                <w:rFonts w:eastAsia="Times New Roman"/>
                <w:b/>
                <w:sz w:val="18"/>
                <w:szCs w:val="18"/>
                <w:lang w:val="es-ES"/>
              </w:rPr>
              <w:t>197 504</w:t>
            </w:r>
          </w:p>
        </w:tc>
        <w:tc>
          <w:tcPr>
            <w:tcW w:w="1380" w:type="dxa"/>
            <w:tcBorders>
              <w:top w:val="nil"/>
              <w:bottom w:val="single" w:sz="4" w:space="0" w:color="000000"/>
            </w:tcBorders>
            <w:vAlign w:val="center"/>
          </w:tcPr>
          <w:p w14:paraId="49DD1F30" w14:textId="77777777" w:rsidR="003958FD" w:rsidRPr="003958FD" w:rsidRDefault="003958FD" w:rsidP="003958FD">
            <w:pPr>
              <w:spacing w:before="20" w:after="20"/>
              <w:ind w:right="318"/>
              <w:jc w:val="right"/>
              <w:rPr>
                <w:rFonts w:eastAsia="Times New Roman"/>
                <w:b/>
                <w:sz w:val="18"/>
                <w:szCs w:val="18"/>
                <w:lang w:val="es-ES"/>
              </w:rPr>
            </w:pPr>
            <w:r w:rsidRPr="003958FD">
              <w:rPr>
                <w:rFonts w:eastAsia="Times New Roman"/>
                <w:b/>
                <w:sz w:val="18"/>
                <w:szCs w:val="18"/>
                <w:lang w:val="es-ES"/>
              </w:rPr>
              <w:t>222 351</w:t>
            </w:r>
          </w:p>
        </w:tc>
        <w:tc>
          <w:tcPr>
            <w:tcW w:w="892" w:type="dxa"/>
            <w:tcBorders>
              <w:top w:val="nil"/>
              <w:bottom w:val="single" w:sz="4" w:space="0" w:color="000000"/>
            </w:tcBorders>
            <w:vAlign w:val="center"/>
          </w:tcPr>
          <w:p w14:paraId="430256AB" w14:textId="77777777" w:rsidR="003958FD" w:rsidRPr="003958FD" w:rsidRDefault="003958FD" w:rsidP="003958FD">
            <w:pPr>
              <w:spacing w:before="20" w:after="20"/>
              <w:ind w:right="113"/>
              <w:jc w:val="right"/>
              <w:rPr>
                <w:rFonts w:eastAsia="Times New Roman"/>
                <w:b/>
                <w:sz w:val="18"/>
                <w:szCs w:val="18"/>
                <w:lang w:val="es-ES"/>
              </w:rPr>
            </w:pPr>
            <w:r w:rsidRPr="003958FD">
              <w:rPr>
                <w:rFonts w:eastAsia="Times New Roman"/>
                <w:b/>
                <w:sz w:val="18"/>
                <w:szCs w:val="18"/>
                <w:lang w:val="es-ES"/>
              </w:rPr>
              <w:t>12.6</w:t>
            </w:r>
          </w:p>
        </w:tc>
        <w:tc>
          <w:tcPr>
            <w:tcW w:w="936" w:type="dxa"/>
            <w:tcBorders>
              <w:top w:val="nil"/>
              <w:bottom w:val="single" w:sz="4" w:space="0" w:color="000000"/>
            </w:tcBorders>
            <w:vAlign w:val="center"/>
          </w:tcPr>
          <w:p w14:paraId="4BC3BCFB" w14:textId="77777777" w:rsidR="003958FD" w:rsidRPr="003958FD" w:rsidRDefault="003958FD" w:rsidP="003958FD">
            <w:pPr>
              <w:spacing w:before="20" w:after="20"/>
              <w:ind w:right="170"/>
              <w:jc w:val="right"/>
              <w:rPr>
                <w:rFonts w:eastAsia="Times New Roman"/>
                <w:b/>
                <w:sz w:val="18"/>
                <w:szCs w:val="18"/>
                <w:lang w:val="es-ES"/>
              </w:rPr>
            </w:pPr>
            <w:r w:rsidRPr="003958FD">
              <w:rPr>
                <w:rFonts w:eastAsia="Times New Roman"/>
                <w:b/>
                <w:sz w:val="18"/>
                <w:szCs w:val="18"/>
                <w:lang w:val="es-ES"/>
              </w:rPr>
              <w:t>100.0</w:t>
            </w:r>
          </w:p>
        </w:tc>
        <w:tc>
          <w:tcPr>
            <w:tcW w:w="996" w:type="dxa"/>
            <w:tcBorders>
              <w:top w:val="nil"/>
              <w:bottom w:val="single" w:sz="4" w:space="0" w:color="000000"/>
            </w:tcBorders>
            <w:vAlign w:val="center"/>
          </w:tcPr>
          <w:p w14:paraId="2F35C160" w14:textId="77777777" w:rsidR="003958FD" w:rsidRPr="003958FD" w:rsidRDefault="003958FD" w:rsidP="003958FD">
            <w:pPr>
              <w:spacing w:before="20" w:after="20"/>
              <w:ind w:right="170"/>
              <w:jc w:val="right"/>
              <w:rPr>
                <w:rFonts w:eastAsia="Times New Roman"/>
                <w:b/>
                <w:sz w:val="18"/>
                <w:szCs w:val="18"/>
                <w:lang w:val="es-ES"/>
              </w:rPr>
            </w:pPr>
            <w:r w:rsidRPr="003958FD">
              <w:rPr>
                <w:rFonts w:eastAsia="Times New Roman"/>
                <w:b/>
                <w:sz w:val="18"/>
                <w:szCs w:val="18"/>
                <w:lang w:val="es-ES"/>
              </w:rPr>
              <w:t>100.0</w:t>
            </w:r>
          </w:p>
        </w:tc>
      </w:tr>
      <w:tr w:rsidR="003958FD" w:rsidRPr="003958FD" w14:paraId="7FF9D641" w14:textId="77777777" w:rsidTr="004F1C40">
        <w:trPr>
          <w:jc w:val="center"/>
        </w:trPr>
        <w:tc>
          <w:tcPr>
            <w:tcW w:w="8840" w:type="dxa"/>
            <w:gridSpan w:val="6"/>
            <w:tcBorders>
              <w:left w:val="nil"/>
              <w:bottom w:val="nil"/>
              <w:right w:val="nil"/>
            </w:tcBorders>
            <w:vAlign w:val="bottom"/>
          </w:tcPr>
          <w:p w14:paraId="3D7300FE" w14:textId="77777777" w:rsidR="003958FD" w:rsidRPr="003958FD" w:rsidRDefault="003958FD" w:rsidP="003958FD">
            <w:pPr>
              <w:jc w:val="both"/>
              <w:rPr>
                <w:rFonts w:eastAsia="Times New Roman"/>
                <w:b/>
                <w:bCs/>
                <w:sz w:val="20"/>
                <w:szCs w:val="20"/>
                <w:lang w:val="es-ES"/>
              </w:rPr>
            </w:pPr>
            <w:r w:rsidRPr="003958FD">
              <w:rPr>
                <w:rFonts w:eastAsia="Times New Roman"/>
                <w:bCs/>
                <w:sz w:val="20"/>
                <w:szCs w:val="20"/>
                <w:lang w:val="es-ES"/>
              </w:rPr>
              <w:t>FUENTE: AMIA, con datos de sus asociados.</w:t>
            </w:r>
          </w:p>
        </w:tc>
      </w:tr>
    </w:tbl>
    <w:p w14:paraId="2E9D6E7B" w14:textId="77777777" w:rsidR="003958FD" w:rsidRDefault="003958FD" w:rsidP="003958FD">
      <w:pPr>
        <w:spacing w:after="360" w:line="360" w:lineRule="auto"/>
        <w:ind w:right="-159"/>
        <w:jc w:val="both"/>
        <w:rPr>
          <w:rFonts w:eastAsia="Times New Roman"/>
          <w:sz w:val="26"/>
          <w:szCs w:val="26"/>
          <w:lang w:val="es-ES"/>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257"/>
        <w:gridCol w:w="1379"/>
        <w:gridCol w:w="1380"/>
        <w:gridCol w:w="892"/>
        <w:gridCol w:w="936"/>
        <w:gridCol w:w="996"/>
      </w:tblGrid>
      <w:tr w:rsidR="003958FD" w:rsidRPr="003958FD" w14:paraId="7CE0504D" w14:textId="77777777" w:rsidTr="004F1C40">
        <w:trPr>
          <w:jc w:val="center"/>
        </w:trPr>
        <w:tc>
          <w:tcPr>
            <w:tcW w:w="8840" w:type="dxa"/>
            <w:gridSpan w:val="6"/>
            <w:tcBorders>
              <w:top w:val="nil"/>
              <w:left w:val="nil"/>
              <w:right w:val="nil"/>
            </w:tcBorders>
          </w:tcPr>
          <w:p w14:paraId="68A429B1" w14:textId="77777777" w:rsidR="003958FD" w:rsidRPr="003958FD" w:rsidRDefault="003958FD" w:rsidP="003958FD">
            <w:pPr>
              <w:jc w:val="center"/>
              <w:rPr>
                <w:rFonts w:eastAsia="Times New Roman"/>
                <w:b/>
                <w:bCs/>
                <w:sz w:val="22"/>
                <w:szCs w:val="22"/>
                <w:lang w:val="es-ES"/>
              </w:rPr>
            </w:pPr>
            <w:r w:rsidRPr="003958FD">
              <w:rPr>
                <w:rFonts w:eastAsia="Times New Roman"/>
                <w:b/>
                <w:bCs/>
                <w:sz w:val="22"/>
                <w:szCs w:val="22"/>
                <w:lang w:val="es-ES"/>
              </w:rPr>
              <w:t>EXPORTACIÓN ENERO-FEBRERO 2014-2015</w:t>
            </w:r>
          </w:p>
        </w:tc>
      </w:tr>
      <w:tr w:rsidR="003958FD" w:rsidRPr="003958FD" w14:paraId="37DC8AED" w14:textId="77777777" w:rsidTr="004F1C40">
        <w:trPr>
          <w:jc w:val="center"/>
        </w:trPr>
        <w:tc>
          <w:tcPr>
            <w:tcW w:w="3257" w:type="dxa"/>
            <w:vMerge w:val="restart"/>
            <w:vAlign w:val="center"/>
          </w:tcPr>
          <w:p w14:paraId="4475947B" w14:textId="77777777" w:rsidR="003958FD" w:rsidRPr="003958FD" w:rsidRDefault="003958FD" w:rsidP="003958FD">
            <w:pPr>
              <w:spacing w:before="20" w:after="20"/>
              <w:jc w:val="center"/>
              <w:rPr>
                <w:rFonts w:eastAsia="Times New Roman"/>
                <w:b/>
                <w:sz w:val="18"/>
                <w:szCs w:val="18"/>
                <w:lang w:val="es-ES"/>
              </w:rPr>
            </w:pPr>
            <w:r w:rsidRPr="003958FD">
              <w:rPr>
                <w:rFonts w:eastAsia="Times New Roman"/>
                <w:b/>
                <w:sz w:val="18"/>
                <w:szCs w:val="18"/>
                <w:lang w:val="es-ES"/>
              </w:rPr>
              <w:t>Región de destino</w:t>
            </w:r>
          </w:p>
        </w:tc>
        <w:tc>
          <w:tcPr>
            <w:tcW w:w="2759" w:type="dxa"/>
            <w:gridSpan w:val="2"/>
            <w:vAlign w:val="center"/>
          </w:tcPr>
          <w:p w14:paraId="6DCE0BEC" w14:textId="77777777" w:rsidR="003958FD" w:rsidRPr="003958FD" w:rsidRDefault="003958FD" w:rsidP="003958FD">
            <w:pPr>
              <w:spacing w:before="20" w:after="20"/>
              <w:jc w:val="center"/>
              <w:rPr>
                <w:rFonts w:eastAsia="Times New Roman"/>
                <w:b/>
                <w:sz w:val="18"/>
                <w:szCs w:val="18"/>
                <w:lang w:val="es-ES"/>
              </w:rPr>
            </w:pPr>
            <w:r w:rsidRPr="003958FD">
              <w:rPr>
                <w:rFonts w:eastAsia="Times New Roman"/>
                <w:b/>
                <w:sz w:val="18"/>
                <w:szCs w:val="18"/>
                <w:lang w:val="es-ES"/>
              </w:rPr>
              <w:t>Enero-Febrero</w:t>
            </w:r>
          </w:p>
        </w:tc>
        <w:tc>
          <w:tcPr>
            <w:tcW w:w="892" w:type="dxa"/>
            <w:vMerge w:val="restart"/>
            <w:vAlign w:val="center"/>
          </w:tcPr>
          <w:p w14:paraId="14AC4364" w14:textId="77777777" w:rsidR="003958FD" w:rsidRPr="003958FD" w:rsidRDefault="003958FD" w:rsidP="003958FD">
            <w:pPr>
              <w:spacing w:before="20" w:after="20"/>
              <w:rPr>
                <w:rFonts w:eastAsia="Times New Roman"/>
                <w:b/>
                <w:sz w:val="18"/>
                <w:szCs w:val="18"/>
                <w:lang w:val="es-ES"/>
              </w:rPr>
            </w:pPr>
            <w:r w:rsidRPr="003958FD">
              <w:rPr>
                <w:rFonts w:eastAsia="Times New Roman"/>
                <w:b/>
                <w:sz w:val="18"/>
                <w:szCs w:val="18"/>
                <w:lang w:val="es-ES"/>
              </w:rPr>
              <w:t xml:space="preserve">Cambio </w:t>
            </w:r>
          </w:p>
          <w:p w14:paraId="2FA2011C" w14:textId="77777777" w:rsidR="003958FD" w:rsidRPr="003958FD" w:rsidRDefault="003958FD" w:rsidP="003958FD">
            <w:pPr>
              <w:spacing w:before="20" w:after="20"/>
              <w:jc w:val="center"/>
              <w:rPr>
                <w:rFonts w:eastAsia="Times New Roman"/>
                <w:b/>
                <w:sz w:val="18"/>
                <w:szCs w:val="18"/>
                <w:lang w:val="es-ES"/>
              </w:rPr>
            </w:pPr>
            <w:r w:rsidRPr="003958FD">
              <w:rPr>
                <w:rFonts w:eastAsia="Times New Roman"/>
                <w:b/>
                <w:sz w:val="18"/>
                <w:szCs w:val="18"/>
                <w:lang w:val="es-ES"/>
              </w:rPr>
              <w:t>%</w:t>
            </w:r>
          </w:p>
        </w:tc>
        <w:tc>
          <w:tcPr>
            <w:tcW w:w="1932" w:type="dxa"/>
            <w:gridSpan w:val="2"/>
            <w:vAlign w:val="center"/>
          </w:tcPr>
          <w:p w14:paraId="75116855" w14:textId="77777777" w:rsidR="003958FD" w:rsidRPr="003958FD" w:rsidRDefault="003958FD" w:rsidP="003958FD">
            <w:pPr>
              <w:spacing w:before="20" w:after="20"/>
              <w:jc w:val="center"/>
              <w:rPr>
                <w:rFonts w:eastAsia="Times New Roman"/>
                <w:bCs/>
                <w:sz w:val="18"/>
                <w:szCs w:val="18"/>
                <w:lang w:val="es-ES"/>
              </w:rPr>
            </w:pPr>
            <w:r w:rsidRPr="003958FD">
              <w:rPr>
                <w:rFonts w:eastAsia="Times New Roman"/>
                <w:b/>
                <w:bCs/>
                <w:sz w:val="18"/>
                <w:szCs w:val="18"/>
                <w:lang w:val="es-ES"/>
              </w:rPr>
              <w:t>Participación (%)</w:t>
            </w:r>
          </w:p>
        </w:tc>
      </w:tr>
      <w:tr w:rsidR="003958FD" w:rsidRPr="003958FD" w14:paraId="3D740349" w14:textId="77777777" w:rsidTr="004F1C40">
        <w:trPr>
          <w:jc w:val="center"/>
        </w:trPr>
        <w:tc>
          <w:tcPr>
            <w:tcW w:w="3257" w:type="dxa"/>
            <w:vMerge/>
            <w:tcBorders>
              <w:bottom w:val="single" w:sz="4" w:space="0" w:color="000000"/>
            </w:tcBorders>
            <w:vAlign w:val="center"/>
          </w:tcPr>
          <w:p w14:paraId="22CA7E4A" w14:textId="77777777" w:rsidR="003958FD" w:rsidRPr="003958FD" w:rsidRDefault="003958FD" w:rsidP="003958FD">
            <w:pPr>
              <w:spacing w:before="20" w:after="20"/>
              <w:jc w:val="center"/>
              <w:rPr>
                <w:rFonts w:eastAsia="Times New Roman"/>
                <w:sz w:val="18"/>
                <w:szCs w:val="18"/>
                <w:lang w:val="es-ES"/>
              </w:rPr>
            </w:pPr>
          </w:p>
        </w:tc>
        <w:tc>
          <w:tcPr>
            <w:tcW w:w="1379" w:type="dxa"/>
            <w:tcBorders>
              <w:bottom w:val="single" w:sz="4" w:space="0" w:color="000000"/>
            </w:tcBorders>
            <w:vAlign w:val="center"/>
          </w:tcPr>
          <w:p w14:paraId="4D5BAEB4" w14:textId="77777777" w:rsidR="003958FD" w:rsidRPr="003958FD" w:rsidRDefault="003958FD" w:rsidP="003958FD">
            <w:pPr>
              <w:spacing w:before="20" w:after="20"/>
              <w:jc w:val="center"/>
              <w:rPr>
                <w:rFonts w:eastAsia="Times New Roman"/>
                <w:b/>
                <w:sz w:val="18"/>
                <w:szCs w:val="18"/>
                <w:lang w:val="es-ES"/>
              </w:rPr>
            </w:pPr>
            <w:r w:rsidRPr="003958FD">
              <w:rPr>
                <w:rFonts w:eastAsia="Times New Roman"/>
                <w:b/>
                <w:sz w:val="18"/>
                <w:szCs w:val="18"/>
                <w:lang w:val="es-ES"/>
              </w:rPr>
              <w:t>2014</w:t>
            </w:r>
          </w:p>
        </w:tc>
        <w:tc>
          <w:tcPr>
            <w:tcW w:w="1380" w:type="dxa"/>
            <w:tcBorders>
              <w:bottom w:val="single" w:sz="4" w:space="0" w:color="000000"/>
            </w:tcBorders>
            <w:vAlign w:val="center"/>
          </w:tcPr>
          <w:p w14:paraId="514A16B7" w14:textId="77777777" w:rsidR="003958FD" w:rsidRPr="003958FD" w:rsidRDefault="003958FD" w:rsidP="003958FD">
            <w:pPr>
              <w:spacing w:before="20" w:after="20"/>
              <w:jc w:val="center"/>
              <w:rPr>
                <w:rFonts w:eastAsia="Times New Roman"/>
                <w:b/>
                <w:sz w:val="18"/>
                <w:szCs w:val="18"/>
                <w:lang w:val="es-ES"/>
              </w:rPr>
            </w:pPr>
            <w:r w:rsidRPr="003958FD">
              <w:rPr>
                <w:rFonts w:eastAsia="Times New Roman"/>
                <w:b/>
                <w:sz w:val="18"/>
                <w:szCs w:val="18"/>
                <w:lang w:val="es-ES"/>
              </w:rPr>
              <w:t>2015</w:t>
            </w:r>
          </w:p>
        </w:tc>
        <w:tc>
          <w:tcPr>
            <w:tcW w:w="892" w:type="dxa"/>
            <w:vMerge/>
            <w:tcBorders>
              <w:bottom w:val="single" w:sz="4" w:space="0" w:color="000000"/>
            </w:tcBorders>
            <w:vAlign w:val="center"/>
          </w:tcPr>
          <w:p w14:paraId="225656D4" w14:textId="77777777" w:rsidR="003958FD" w:rsidRPr="003958FD" w:rsidRDefault="003958FD" w:rsidP="003958FD">
            <w:pPr>
              <w:spacing w:before="20" w:after="20"/>
              <w:jc w:val="center"/>
              <w:rPr>
                <w:rFonts w:eastAsia="Times New Roman"/>
                <w:b/>
                <w:sz w:val="18"/>
                <w:szCs w:val="18"/>
                <w:lang w:val="es-ES"/>
              </w:rPr>
            </w:pPr>
          </w:p>
        </w:tc>
        <w:tc>
          <w:tcPr>
            <w:tcW w:w="936" w:type="dxa"/>
            <w:tcBorders>
              <w:bottom w:val="single" w:sz="4" w:space="0" w:color="000000"/>
            </w:tcBorders>
            <w:vAlign w:val="center"/>
          </w:tcPr>
          <w:p w14:paraId="654DCF84" w14:textId="77777777" w:rsidR="003958FD" w:rsidRPr="003958FD" w:rsidRDefault="003958FD" w:rsidP="003958FD">
            <w:pPr>
              <w:spacing w:before="20" w:after="20"/>
              <w:jc w:val="center"/>
              <w:rPr>
                <w:rFonts w:eastAsia="Times New Roman"/>
                <w:b/>
                <w:sz w:val="18"/>
                <w:szCs w:val="18"/>
                <w:lang w:val="es-ES"/>
              </w:rPr>
            </w:pPr>
            <w:r w:rsidRPr="003958FD">
              <w:rPr>
                <w:rFonts w:eastAsia="Times New Roman"/>
                <w:b/>
                <w:sz w:val="18"/>
                <w:szCs w:val="18"/>
                <w:lang w:val="es-ES"/>
              </w:rPr>
              <w:t>2014</w:t>
            </w:r>
          </w:p>
        </w:tc>
        <w:tc>
          <w:tcPr>
            <w:tcW w:w="996" w:type="dxa"/>
            <w:tcBorders>
              <w:bottom w:val="single" w:sz="4" w:space="0" w:color="000000"/>
            </w:tcBorders>
            <w:vAlign w:val="center"/>
          </w:tcPr>
          <w:p w14:paraId="751EE63F" w14:textId="77777777" w:rsidR="003958FD" w:rsidRPr="003958FD" w:rsidRDefault="003958FD" w:rsidP="003958FD">
            <w:pPr>
              <w:spacing w:before="20" w:after="20"/>
              <w:jc w:val="center"/>
              <w:rPr>
                <w:rFonts w:eastAsia="Times New Roman"/>
                <w:b/>
                <w:sz w:val="18"/>
                <w:szCs w:val="18"/>
                <w:lang w:val="es-ES"/>
              </w:rPr>
            </w:pPr>
            <w:r w:rsidRPr="003958FD">
              <w:rPr>
                <w:rFonts w:eastAsia="Times New Roman"/>
                <w:b/>
                <w:sz w:val="18"/>
                <w:szCs w:val="18"/>
                <w:lang w:val="es-ES"/>
              </w:rPr>
              <w:t>2015</w:t>
            </w:r>
          </w:p>
        </w:tc>
      </w:tr>
      <w:tr w:rsidR="003958FD" w:rsidRPr="003958FD" w14:paraId="512EC724" w14:textId="77777777" w:rsidTr="004F1C40">
        <w:trPr>
          <w:jc w:val="center"/>
        </w:trPr>
        <w:tc>
          <w:tcPr>
            <w:tcW w:w="3257" w:type="dxa"/>
            <w:tcBorders>
              <w:bottom w:val="nil"/>
            </w:tcBorders>
            <w:shd w:val="clear" w:color="auto" w:fill="auto"/>
            <w:vAlign w:val="center"/>
          </w:tcPr>
          <w:p w14:paraId="26AEDFDD" w14:textId="77777777" w:rsidR="003958FD" w:rsidRPr="003958FD" w:rsidRDefault="003958FD" w:rsidP="003958FD">
            <w:pPr>
              <w:spacing w:before="20" w:after="20"/>
              <w:rPr>
                <w:rFonts w:eastAsia="Times New Roman"/>
                <w:sz w:val="18"/>
                <w:szCs w:val="18"/>
                <w:lang w:val="es-ES"/>
              </w:rPr>
            </w:pPr>
            <w:r w:rsidRPr="003958FD">
              <w:rPr>
                <w:rFonts w:eastAsia="Times New Roman"/>
                <w:sz w:val="18"/>
                <w:szCs w:val="18"/>
                <w:lang w:val="es-ES"/>
              </w:rPr>
              <w:t>Estados Unidos de Norteamérica</w:t>
            </w:r>
          </w:p>
        </w:tc>
        <w:tc>
          <w:tcPr>
            <w:tcW w:w="1379" w:type="dxa"/>
            <w:tcBorders>
              <w:bottom w:val="nil"/>
            </w:tcBorders>
            <w:shd w:val="clear" w:color="auto" w:fill="auto"/>
            <w:vAlign w:val="center"/>
          </w:tcPr>
          <w:p w14:paraId="1DCEDAAF" w14:textId="77777777" w:rsidR="003958FD" w:rsidRPr="003958FD" w:rsidRDefault="003958FD" w:rsidP="003958FD">
            <w:pPr>
              <w:spacing w:before="20" w:after="20"/>
              <w:ind w:right="317"/>
              <w:jc w:val="right"/>
              <w:rPr>
                <w:rFonts w:eastAsia="Times New Roman"/>
                <w:sz w:val="18"/>
                <w:szCs w:val="18"/>
                <w:lang w:val="es-ES"/>
              </w:rPr>
            </w:pPr>
            <w:r w:rsidRPr="003958FD">
              <w:rPr>
                <w:rFonts w:eastAsia="Times New Roman"/>
                <w:sz w:val="18"/>
                <w:szCs w:val="18"/>
                <w:lang w:val="es-ES"/>
              </w:rPr>
              <w:t>271 497</w:t>
            </w:r>
          </w:p>
        </w:tc>
        <w:tc>
          <w:tcPr>
            <w:tcW w:w="1380" w:type="dxa"/>
            <w:tcBorders>
              <w:bottom w:val="nil"/>
            </w:tcBorders>
            <w:shd w:val="clear" w:color="auto" w:fill="auto"/>
            <w:vAlign w:val="center"/>
          </w:tcPr>
          <w:p w14:paraId="23A8244C" w14:textId="77777777" w:rsidR="003958FD" w:rsidRPr="003958FD" w:rsidRDefault="003958FD" w:rsidP="003958FD">
            <w:pPr>
              <w:spacing w:before="20" w:after="20"/>
              <w:ind w:right="318"/>
              <w:jc w:val="right"/>
              <w:rPr>
                <w:rFonts w:eastAsia="Times New Roman"/>
                <w:sz w:val="18"/>
                <w:szCs w:val="18"/>
                <w:lang w:val="es-ES"/>
              </w:rPr>
            </w:pPr>
            <w:r w:rsidRPr="003958FD">
              <w:rPr>
                <w:rFonts w:eastAsia="Times New Roman"/>
                <w:sz w:val="18"/>
                <w:szCs w:val="18"/>
                <w:lang w:val="es-ES"/>
              </w:rPr>
              <w:t>303 657</w:t>
            </w:r>
          </w:p>
        </w:tc>
        <w:tc>
          <w:tcPr>
            <w:tcW w:w="892" w:type="dxa"/>
            <w:tcBorders>
              <w:bottom w:val="nil"/>
            </w:tcBorders>
            <w:shd w:val="clear" w:color="auto" w:fill="auto"/>
            <w:vAlign w:val="center"/>
          </w:tcPr>
          <w:p w14:paraId="04853E58" w14:textId="77777777" w:rsidR="003958FD" w:rsidRPr="003958FD" w:rsidRDefault="003958FD" w:rsidP="003958FD">
            <w:pPr>
              <w:spacing w:before="20" w:after="20"/>
              <w:ind w:right="113"/>
              <w:jc w:val="right"/>
              <w:rPr>
                <w:rFonts w:eastAsia="Times New Roman"/>
                <w:sz w:val="18"/>
                <w:szCs w:val="18"/>
                <w:lang w:val="es-ES"/>
              </w:rPr>
            </w:pPr>
            <w:r w:rsidRPr="003958FD">
              <w:rPr>
                <w:rFonts w:eastAsia="Times New Roman"/>
                <w:sz w:val="18"/>
                <w:szCs w:val="18"/>
                <w:lang w:val="es-ES"/>
              </w:rPr>
              <w:t>11.8</w:t>
            </w:r>
          </w:p>
        </w:tc>
        <w:tc>
          <w:tcPr>
            <w:tcW w:w="936" w:type="dxa"/>
            <w:tcBorders>
              <w:bottom w:val="nil"/>
            </w:tcBorders>
            <w:shd w:val="clear" w:color="auto" w:fill="auto"/>
            <w:vAlign w:val="center"/>
          </w:tcPr>
          <w:p w14:paraId="06B57B6E"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72.3</w:t>
            </w:r>
          </w:p>
        </w:tc>
        <w:tc>
          <w:tcPr>
            <w:tcW w:w="996" w:type="dxa"/>
            <w:tcBorders>
              <w:bottom w:val="nil"/>
            </w:tcBorders>
            <w:shd w:val="clear" w:color="auto" w:fill="auto"/>
            <w:vAlign w:val="center"/>
          </w:tcPr>
          <w:p w14:paraId="7B4CED0B"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71.1</w:t>
            </w:r>
          </w:p>
        </w:tc>
      </w:tr>
      <w:tr w:rsidR="003958FD" w:rsidRPr="003958FD" w14:paraId="43D8F398" w14:textId="77777777" w:rsidTr="004F1C40">
        <w:trPr>
          <w:jc w:val="center"/>
        </w:trPr>
        <w:tc>
          <w:tcPr>
            <w:tcW w:w="3257" w:type="dxa"/>
            <w:tcBorders>
              <w:top w:val="nil"/>
              <w:bottom w:val="nil"/>
            </w:tcBorders>
            <w:shd w:val="clear" w:color="auto" w:fill="auto"/>
            <w:vAlign w:val="center"/>
          </w:tcPr>
          <w:p w14:paraId="0A9A8B92" w14:textId="77777777" w:rsidR="003958FD" w:rsidRPr="003958FD" w:rsidRDefault="003958FD" w:rsidP="003958FD">
            <w:pPr>
              <w:spacing w:before="20" w:after="20"/>
              <w:rPr>
                <w:rFonts w:eastAsia="Times New Roman"/>
                <w:sz w:val="18"/>
                <w:szCs w:val="18"/>
                <w:lang w:val="es-ES"/>
              </w:rPr>
            </w:pPr>
            <w:r w:rsidRPr="003958FD">
              <w:rPr>
                <w:rFonts w:eastAsia="Times New Roman"/>
                <w:sz w:val="18"/>
                <w:szCs w:val="18"/>
                <w:lang w:val="es-ES"/>
              </w:rPr>
              <w:t>Canadá</w:t>
            </w:r>
          </w:p>
        </w:tc>
        <w:tc>
          <w:tcPr>
            <w:tcW w:w="1379" w:type="dxa"/>
            <w:tcBorders>
              <w:top w:val="nil"/>
              <w:bottom w:val="nil"/>
            </w:tcBorders>
            <w:shd w:val="clear" w:color="auto" w:fill="auto"/>
            <w:vAlign w:val="center"/>
          </w:tcPr>
          <w:p w14:paraId="65E90B32" w14:textId="77777777" w:rsidR="003958FD" w:rsidRPr="003958FD" w:rsidRDefault="003958FD" w:rsidP="003958FD">
            <w:pPr>
              <w:spacing w:before="20" w:after="20"/>
              <w:ind w:right="317"/>
              <w:jc w:val="right"/>
              <w:rPr>
                <w:rFonts w:eastAsia="Times New Roman"/>
                <w:sz w:val="18"/>
                <w:szCs w:val="18"/>
                <w:lang w:val="es-ES"/>
              </w:rPr>
            </w:pPr>
            <w:r w:rsidRPr="003958FD">
              <w:rPr>
                <w:rFonts w:eastAsia="Times New Roman"/>
                <w:sz w:val="18"/>
                <w:szCs w:val="18"/>
                <w:lang w:val="es-ES"/>
              </w:rPr>
              <w:t>37 391</w:t>
            </w:r>
          </w:p>
        </w:tc>
        <w:tc>
          <w:tcPr>
            <w:tcW w:w="1380" w:type="dxa"/>
            <w:tcBorders>
              <w:top w:val="nil"/>
              <w:bottom w:val="nil"/>
            </w:tcBorders>
            <w:shd w:val="clear" w:color="auto" w:fill="auto"/>
            <w:vAlign w:val="center"/>
          </w:tcPr>
          <w:p w14:paraId="385F6EFB" w14:textId="77777777" w:rsidR="003958FD" w:rsidRPr="003958FD" w:rsidRDefault="003958FD" w:rsidP="003958FD">
            <w:pPr>
              <w:spacing w:before="20" w:after="20"/>
              <w:ind w:right="318"/>
              <w:jc w:val="right"/>
              <w:rPr>
                <w:rFonts w:eastAsia="Times New Roman"/>
                <w:sz w:val="18"/>
                <w:szCs w:val="18"/>
                <w:lang w:val="es-ES"/>
              </w:rPr>
            </w:pPr>
            <w:r w:rsidRPr="003958FD">
              <w:rPr>
                <w:rFonts w:eastAsia="Times New Roman"/>
                <w:sz w:val="18"/>
                <w:szCs w:val="18"/>
                <w:lang w:val="es-ES"/>
              </w:rPr>
              <w:t>50 933</w:t>
            </w:r>
          </w:p>
        </w:tc>
        <w:tc>
          <w:tcPr>
            <w:tcW w:w="892" w:type="dxa"/>
            <w:tcBorders>
              <w:top w:val="nil"/>
              <w:bottom w:val="nil"/>
            </w:tcBorders>
            <w:shd w:val="clear" w:color="auto" w:fill="auto"/>
            <w:vAlign w:val="center"/>
          </w:tcPr>
          <w:p w14:paraId="403169A7" w14:textId="77777777" w:rsidR="003958FD" w:rsidRPr="003958FD" w:rsidRDefault="003958FD" w:rsidP="003958FD">
            <w:pPr>
              <w:spacing w:before="20" w:after="20"/>
              <w:ind w:right="113"/>
              <w:jc w:val="right"/>
              <w:rPr>
                <w:rFonts w:eastAsia="Times New Roman"/>
                <w:sz w:val="18"/>
                <w:szCs w:val="18"/>
                <w:lang w:val="es-ES"/>
              </w:rPr>
            </w:pPr>
            <w:r w:rsidRPr="003958FD">
              <w:rPr>
                <w:rFonts w:eastAsia="Times New Roman"/>
                <w:sz w:val="18"/>
                <w:szCs w:val="18"/>
                <w:lang w:val="es-ES"/>
              </w:rPr>
              <w:t>36.2</w:t>
            </w:r>
          </w:p>
        </w:tc>
        <w:tc>
          <w:tcPr>
            <w:tcW w:w="936" w:type="dxa"/>
            <w:tcBorders>
              <w:top w:val="nil"/>
              <w:bottom w:val="nil"/>
            </w:tcBorders>
            <w:shd w:val="clear" w:color="auto" w:fill="auto"/>
            <w:vAlign w:val="center"/>
          </w:tcPr>
          <w:p w14:paraId="42AEF6AC"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10.0</w:t>
            </w:r>
          </w:p>
        </w:tc>
        <w:tc>
          <w:tcPr>
            <w:tcW w:w="996" w:type="dxa"/>
            <w:tcBorders>
              <w:top w:val="nil"/>
              <w:bottom w:val="nil"/>
            </w:tcBorders>
            <w:shd w:val="clear" w:color="auto" w:fill="auto"/>
            <w:vAlign w:val="center"/>
          </w:tcPr>
          <w:p w14:paraId="4D39F781"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11.9</w:t>
            </w:r>
          </w:p>
        </w:tc>
      </w:tr>
      <w:tr w:rsidR="003958FD" w:rsidRPr="003958FD" w14:paraId="46DC3698" w14:textId="77777777" w:rsidTr="004F1C40">
        <w:trPr>
          <w:jc w:val="center"/>
        </w:trPr>
        <w:tc>
          <w:tcPr>
            <w:tcW w:w="3257" w:type="dxa"/>
            <w:tcBorders>
              <w:top w:val="nil"/>
              <w:bottom w:val="nil"/>
            </w:tcBorders>
            <w:shd w:val="clear" w:color="auto" w:fill="auto"/>
            <w:vAlign w:val="center"/>
          </w:tcPr>
          <w:p w14:paraId="7505DEFD" w14:textId="77777777" w:rsidR="003958FD" w:rsidRPr="003958FD" w:rsidRDefault="003958FD" w:rsidP="003958FD">
            <w:pPr>
              <w:spacing w:before="20" w:after="20"/>
              <w:rPr>
                <w:rFonts w:eastAsia="Times New Roman"/>
                <w:sz w:val="18"/>
                <w:szCs w:val="18"/>
                <w:lang w:val="es-ES"/>
              </w:rPr>
            </w:pPr>
            <w:r w:rsidRPr="003958FD">
              <w:rPr>
                <w:rFonts w:eastAsia="Times New Roman"/>
                <w:sz w:val="18"/>
                <w:szCs w:val="18"/>
                <w:lang w:val="es-ES"/>
              </w:rPr>
              <w:t>Latinoamérica</w:t>
            </w:r>
          </w:p>
        </w:tc>
        <w:tc>
          <w:tcPr>
            <w:tcW w:w="1379" w:type="dxa"/>
            <w:tcBorders>
              <w:top w:val="nil"/>
              <w:bottom w:val="nil"/>
            </w:tcBorders>
            <w:shd w:val="clear" w:color="auto" w:fill="auto"/>
            <w:vAlign w:val="center"/>
          </w:tcPr>
          <w:p w14:paraId="7D4888C4" w14:textId="77777777" w:rsidR="003958FD" w:rsidRPr="003958FD" w:rsidRDefault="003958FD" w:rsidP="003958FD">
            <w:pPr>
              <w:spacing w:before="20" w:after="20"/>
              <w:ind w:right="317"/>
              <w:jc w:val="right"/>
              <w:rPr>
                <w:rFonts w:eastAsia="Times New Roman"/>
                <w:sz w:val="18"/>
                <w:szCs w:val="18"/>
                <w:lang w:val="es-ES"/>
              </w:rPr>
            </w:pPr>
            <w:r w:rsidRPr="003958FD">
              <w:rPr>
                <w:rFonts w:eastAsia="Times New Roman"/>
                <w:sz w:val="18"/>
                <w:szCs w:val="18"/>
                <w:lang w:val="es-ES"/>
              </w:rPr>
              <w:t>35 306</w:t>
            </w:r>
          </w:p>
        </w:tc>
        <w:tc>
          <w:tcPr>
            <w:tcW w:w="1380" w:type="dxa"/>
            <w:tcBorders>
              <w:top w:val="nil"/>
              <w:bottom w:val="nil"/>
            </w:tcBorders>
            <w:shd w:val="clear" w:color="auto" w:fill="auto"/>
            <w:vAlign w:val="center"/>
          </w:tcPr>
          <w:p w14:paraId="62B3C6F4" w14:textId="77777777" w:rsidR="003958FD" w:rsidRPr="003958FD" w:rsidRDefault="003958FD" w:rsidP="003958FD">
            <w:pPr>
              <w:spacing w:before="20" w:after="20"/>
              <w:ind w:right="318"/>
              <w:jc w:val="right"/>
              <w:rPr>
                <w:rFonts w:eastAsia="Times New Roman"/>
                <w:sz w:val="18"/>
                <w:szCs w:val="18"/>
                <w:lang w:val="es-ES"/>
              </w:rPr>
            </w:pPr>
            <w:r w:rsidRPr="003958FD">
              <w:rPr>
                <w:rFonts w:eastAsia="Times New Roman"/>
                <w:sz w:val="18"/>
                <w:szCs w:val="18"/>
                <w:lang w:val="es-ES"/>
              </w:rPr>
              <w:t>28 193</w:t>
            </w:r>
          </w:p>
        </w:tc>
        <w:tc>
          <w:tcPr>
            <w:tcW w:w="892" w:type="dxa"/>
            <w:tcBorders>
              <w:top w:val="nil"/>
              <w:bottom w:val="nil"/>
            </w:tcBorders>
            <w:shd w:val="clear" w:color="auto" w:fill="auto"/>
            <w:vAlign w:val="center"/>
          </w:tcPr>
          <w:p w14:paraId="25E4734E" w14:textId="77777777" w:rsidR="003958FD" w:rsidRPr="003958FD" w:rsidRDefault="003958FD" w:rsidP="003958FD">
            <w:pPr>
              <w:spacing w:before="20" w:after="20"/>
              <w:ind w:right="113"/>
              <w:jc w:val="right"/>
              <w:rPr>
                <w:rFonts w:eastAsia="Times New Roman"/>
                <w:sz w:val="18"/>
                <w:szCs w:val="18"/>
                <w:lang w:val="es-ES"/>
              </w:rPr>
            </w:pPr>
            <w:r w:rsidRPr="003958FD">
              <w:rPr>
                <w:rFonts w:eastAsia="Times New Roman"/>
                <w:sz w:val="18"/>
                <w:szCs w:val="18"/>
                <w:lang w:val="es-ES"/>
              </w:rPr>
              <w:t>-20.1</w:t>
            </w:r>
          </w:p>
        </w:tc>
        <w:tc>
          <w:tcPr>
            <w:tcW w:w="936" w:type="dxa"/>
            <w:tcBorders>
              <w:top w:val="nil"/>
              <w:bottom w:val="nil"/>
            </w:tcBorders>
            <w:shd w:val="clear" w:color="auto" w:fill="auto"/>
            <w:vAlign w:val="center"/>
          </w:tcPr>
          <w:p w14:paraId="48284A0E"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9.4</w:t>
            </w:r>
          </w:p>
        </w:tc>
        <w:tc>
          <w:tcPr>
            <w:tcW w:w="996" w:type="dxa"/>
            <w:tcBorders>
              <w:top w:val="nil"/>
              <w:bottom w:val="nil"/>
            </w:tcBorders>
            <w:shd w:val="clear" w:color="auto" w:fill="auto"/>
            <w:vAlign w:val="center"/>
          </w:tcPr>
          <w:p w14:paraId="4CADE94E"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6.6</w:t>
            </w:r>
          </w:p>
        </w:tc>
      </w:tr>
      <w:tr w:rsidR="003958FD" w:rsidRPr="003958FD" w14:paraId="729146C7" w14:textId="77777777" w:rsidTr="004F1C40">
        <w:trPr>
          <w:jc w:val="center"/>
        </w:trPr>
        <w:tc>
          <w:tcPr>
            <w:tcW w:w="3257" w:type="dxa"/>
            <w:tcBorders>
              <w:top w:val="nil"/>
              <w:bottom w:val="nil"/>
            </w:tcBorders>
            <w:vAlign w:val="center"/>
          </w:tcPr>
          <w:p w14:paraId="09273638" w14:textId="77777777" w:rsidR="003958FD" w:rsidRPr="003958FD" w:rsidRDefault="003958FD" w:rsidP="003958FD">
            <w:pPr>
              <w:spacing w:before="20" w:after="20"/>
              <w:rPr>
                <w:rFonts w:eastAsia="Times New Roman"/>
                <w:sz w:val="18"/>
                <w:szCs w:val="18"/>
                <w:lang w:val="es-ES"/>
              </w:rPr>
            </w:pPr>
            <w:r w:rsidRPr="003958FD">
              <w:rPr>
                <w:rFonts w:eastAsia="Times New Roman"/>
                <w:sz w:val="18"/>
                <w:szCs w:val="18"/>
                <w:lang w:val="es-ES"/>
              </w:rPr>
              <w:t>Asia</w:t>
            </w:r>
          </w:p>
        </w:tc>
        <w:tc>
          <w:tcPr>
            <w:tcW w:w="1379" w:type="dxa"/>
            <w:tcBorders>
              <w:top w:val="nil"/>
              <w:bottom w:val="nil"/>
            </w:tcBorders>
            <w:vAlign w:val="center"/>
          </w:tcPr>
          <w:p w14:paraId="4057C362" w14:textId="77777777" w:rsidR="003958FD" w:rsidRPr="003958FD" w:rsidRDefault="003958FD" w:rsidP="003958FD">
            <w:pPr>
              <w:spacing w:before="20" w:after="20"/>
              <w:ind w:right="317"/>
              <w:jc w:val="right"/>
              <w:rPr>
                <w:rFonts w:eastAsia="Times New Roman"/>
                <w:sz w:val="18"/>
                <w:szCs w:val="18"/>
                <w:lang w:val="es-ES"/>
              </w:rPr>
            </w:pPr>
            <w:r w:rsidRPr="003958FD">
              <w:rPr>
                <w:rFonts w:eastAsia="Times New Roman"/>
                <w:sz w:val="18"/>
                <w:szCs w:val="18"/>
                <w:lang w:val="es-ES"/>
              </w:rPr>
              <w:t>13 533</w:t>
            </w:r>
          </w:p>
        </w:tc>
        <w:tc>
          <w:tcPr>
            <w:tcW w:w="1380" w:type="dxa"/>
            <w:tcBorders>
              <w:top w:val="nil"/>
              <w:bottom w:val="nil"/>
            </w:tcBorders>
            <w:vAlign w:val="center"/>
          </w:tcPr>
          <w:p w14:paraId="01EF538F" w14:textId="77777777" w:rsidR="003958FD" w:rsidRPr="003958FD" w:rsidRDefault="003958FD" w:rsidP="003958FD">
            <w:pPr>
              <w:spacing w:before="20" w:after="20"/>
              <w:ind w:right="318"/>
              <w:jc w:val="right"/>
              <w:rPr>
                <w:rFonts w:eastAsia="Times New Roman"/>
                <w:sz w:val="18"/>
                <w:szCs w:val="18"/>
                <w:lang w:val="es-ES"/>
              </w:rPr>
            </w:pPr>
            <w:r w:rsidRPr="003958FD">
              <w:rPr>
                <w:rFonts w:eastAsia="Times New Roman"/>
                <w:sz w:val="18"/>
                <w:szCs w:val="18"/>
                <w:lang w:val="es-ES"/>
              </w:rPr>
              <w:t>15 916</w:t>
            </w:r>
          </w:p>
        </w:tc>
        <w:tc>
          <w:tcPr>
            <w:tcW w:w="892" w:type="dxa"/>
            <w:tcBorders>
              <w:top w:val="nil"/>
              <w:bottom w:val="nil"/>
            </w:tcBorders>
            <w:vAlign w:val="center"/>
          </w:tcPr>
          <w:p w14:paraId="556536F7" w14:textId="77777777" w:rsidR="003958FD" w:rsidRPr="003958FD" w:rsidRDefault="003958FD" w:rsidP="003958FD">
            <w:pPr>
              <w:spacing w:before="20" w:after="20"/>
              <w:ind w:right="113"/>
              <w:jc w:val="right"/>
              <w:rPr>
                <w:rFonts w:eastAsia="Times New Roman"/>
                <w:sz w:val="18"/>
                <w:szCs w:val="18"/>
                <w:lang w:val="es-ES"/>
              </w:rPr>
            </w:pPr>
            <w:r w:rsidRPr="003958FD">
              <w:rPr>
                <w:rFonts w:eastAsia="Times New Roman"/>
                <w:sz w:val="18"/>
                <w:szCs w:val="18"/>
                <w:lang w:val="es-ES"/>
              </w:rPr>
              <w:t>17.6</w:t>
            </w:r>
          </w:p>
        </w:tc>
        <w:tc>
          <w:tcPr>
            <w:tcW w:w="936" w:type="dxa"/>
            <w:tcBorders>
              <w:top w:val="nil"/>
              <w:bottom w:val="nil"/>
            </w:tcBorders>
            <w:vAlign w:val="center"/>
          </w:tcPr>
          <w:p w14:paraId="26FA8D68"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3.6</w:t>
            </w:r>
          </w:p>
        </w:tc>
        <w:tc>
          <w:tcPr>
            <w:tcW w:w="996" w:type="dxa"/>
            <w:tcBorders>
              <w:top w:val="nil"/>
              <w:bottom w:val="nil"/>
            </w:tcBorders>
            <w:vAlign w:val="center"/>
          </w:tcPr>
          <w:p w14:paraId="750F99EE"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3.7</w:t>
            </w:r>
          </w:p>
        </w:tc>
      </w:tr>
      <w:tr w:rsidR="003958FD" w:rsidRPr="003958FD" w14:paraId="3AE0CB56" w14:textId="77777777" w:rsidTr="004F1C40">
        <w:trPr>
          <w:jc w:val="center"/>
        </w:trPr>
        <w:tc>
          <w:tcPr>
            <w:tcW w:w="3257" w:type="dxa"/>
            <w:tcBorders>
              <w:top w:val="nil"/>
              <w:bottom w:val="nil"/>
            </w:tcBorders>
            <w:shd w:val="clear" w:color="auto" w:fill="auto"/>
            <w:vAlign w:val="center"/>
          </w:tcPr>
          <w:p w14:paraId="4A55424B" w14:textId="77777777" w:rsidR="003958FD" w:rsidRPr="003958FD" w:rsidRDefault="003958FD" w:rsidP="003958FD">
            <w:pPr>
              <w:spacing w:before="20" w:after="20"/>
              <w:rPr>
                <w:rFonts w:eastAsia="Times New Roman"/>
                <w:sz w:val="18"/>
                <w:szCs w:val="18"/>
                <w:lang w:val="es-ES"/>
              </w:rPr>
            </w:pPr>
            <w:r w:rsidRPr="003958FD">
              <w:rPr>
                <w:rFonts w:eastAsia="Times New Roman"/>
                <w:sz w:val="18"/>
                <w:szCs w:val="18"/>
                <w:lang w:val="es-ES"/>
              </w:rPr>
              <w:t>Europa</w:t>
            </w:r>
          </w:p>
        </w:tc>
        <w:tc>
          <w:tcPr>
            <w:tcW w:w="1379" w:type="dxa"/>
            <w:tcBorders>
              <w:top w:val="nil"/>
              <w:bottom w:val="nil"/>
            </w:tcBorders>
            <w:shd w:val="clear" w:color="auto" w:fill="auto"/>
            <w:vAlign w:val="center"/>
          </w:tcPr>
          <w:p w14:paraId="43DD16C8" w14:textId="77777777" w:rsidR="003958FD" w:rsidRPr="003958FD" w:rsidRDefault="003958FD" w:rsidP="003958FD">
            <w:pPr>
              <w:spacing w:before="20" w:after="20"/>
              <w:ind w:right="317"/>
              <w:jc w:val="right"/>
              <w:rPr>
                <w:rFonts w:eastAsia="Times New Roman"/>
                <w:sz w:val="18"/>
                <w:szCs w:val="18"/>
                <w:lang w:val="es-ES"/>
              </w:rPr>
            </w:pPr>
            <w:r w:rsidRPr="003958FD">
              <w:rPr>
                <w:rFonts w:eastAsia="Times New Roman"/>
                <w:sz w:val="18"/>
                <w:szCs w:val="18"/>
                <w:lang w:val="es-ES"/>
              </w:rPr>
              <w:t>14 041</w:t>
            </w:r>
          </w:p>
        </w:tc>
        <w:tc>
          <w:tcPr>
            <w:tcW w:w="1380" w:type="dxa"/>
            <w:tcBorders>
              <w:top w:val="nil"/>
              <w:bottom w:val="nil"/>
            </w:tcBorders>
            <w:shd w:val="clear" w:color="auto" w:fill="auto"/>
            <w:vAlign w:val="center"/>
          </w:tcPr>
          <w:p w14:paraId="13BFC0D7" w14:textId="77777777" w:rsidR="003958FD" w:rsidRPr="003958FD" w:rsidRDefault="003958FD" w:rsidP="003958FD">
            <w:pPr>
              <w:spacing w:before="20" w:after="20"/>
              <w:ind w:right="318"/>
              <w:jc w:val="right"/>
              <w:rPr>
                <w:rFonts w:eastAsia="Times New Roman"/>
                <w:sz w:val="18"/>
                <w:szCs w:val="18"/>
                <w:lang w:val="es-ES"/>
              </w:rPr>
            </w:pPr>
            <w:r w:rsidRPr="003958FD">
              <w:rPr>
                <w:rFonts w:eastAsia="Times New Roman"/>
                <w:sz w:val="18"/>
                <w:szCs w:val="18"/>
                <w:lang w:val="es-ES"/>
              </w:rPr>
              <w:t>14 521</w:t>
            </w:r>
          </w:p>
        </w:tc>
        <w:tc>
          <w:tcPr>
            <w:tcW w:w="892" w:type="dxa"/>
            <w:tcBorders>
              <w:top w:val="nil"/>
              <w:bottom w:val="nil"/>
            </w:tcBorders>
            <w:shd w:val="clear" w:color="auto" w:fill="auto"/>
            <w:vAlign w:val="center"/>
          </w:tcPr>
          <w:p w14:paraId="3E55A4D7" w14:textId="77777777" w:rsidR="003958FD" w:rsidRPr="003958FD" w:rsidRDefault="003958FD" w:rsidP="003958FD">
            <w:pPr>
              <w:spacing w:before="20" w:after="20"/>
              <w:ind w:right="113"/>
              <w:jc w:val="right"/>
              <w:rPr>
                <w:rFonts w:eastAsia="Times New Roman"/>
                <w:sz w:val="18"/>
                <w:szCs w:val="18"/>
                <w:lang w:val="es-ES"/>
              </w:rPr>
            </w:pPr>
            <w:r w:rsidRPr="003958FD">
              <w:rPr>
                <w:rFonts w:eastAsia="Times New Roman"/>
                <w:sz w:val="18"/>
                <w:szCs w:val="18"/>
                <w:lang w:val="es-ES"/>
              </w:rPr>
              <w:t>3.4</w:t>
            </w:r>
          </w:p>
        </w:tc>
        <w:tc>
          <w:tcPr>
            <w:tcW w:w="936" w:type="dxa"/>
            <w:tcBorders>
              <w:top w:val="nil"/>
              <w:bottom w:val="nil"/>
            </w:tcBorders>
            <w:shd w:val="clear" w:color="auto" w:fill="auto"/>
            <w:vAlign w:val="center"/>
          </w:tcPr>
          <w:p w14:paraId="76A19070"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3.7</w:t>
            </w:r>
          </w:p>
        </w:tc>
        <w:tc>
          <w:tcPr>
            <w:tcW w:w="996" w:type="dxa"/>
            <w:tcBorders>
              <w:top w:val="nil"/>
              <w:bottom w:val="nil"/>
            </w:tcBorders>
            <w:shd w:val="clear" w:color="auto" w:fill="auto"/>
            <w:vAlign w:val="center"/>
          </w:tcPr>
          <w:p w14:paraId="2F2F0BB4"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3.4</w:t>
            </w:r>
          </w:p>
        </w:tc>
      </w:tr>
      <w:tr w:rsidR="003958FD" w:rsidRPr="003958FD" w14:paraId="1465E637" w14:textId="77777777" w:rsidTr="004F1C40">
        <w:trPr>
          <w:jc w:val="center"/>
        </w:trPr>
        <w:tc>
          <w:tcPr>
            <w:tcW w:w="3257" w:type="dxa"/>
            <w:tcBorders>
              <w:top w:val="nil"/>
              <w:bottom w:val="nil"/>
            </w:tcBorders>
            <w:shd w:val="clear" w:color="auto" w:fill="auto"/>
            <w:vAlign w:val="center"/>
          </w:tcPr>
          <w:p w14:paraId="5CE57F01" w14:textId="77777777" w:rsidR="003958FD" w:rsidRPr="003958FD" w:rsidRDefault="003958FD" w:rsidP="003958FD">
            <w:pPr>
              <w:spacing w:before="20" w:after="20"/>
              <w:rPr>
                <w:rFonts w:eastAsia="Times New Roman"/>
                <w:sz w:val="18"/>
                <w:szCs w:val="18"/>
                <w:lang w:val="es-ES"/>
              </w:rPr>
            </w:pPr>
            <w:r w:rsidRPr="003958FD">
              <w:rPr>
                <w:rFonts w:eastAsia="Times New Roman"/>
                <w:sz w:val="18"/>
                <w:szCs w:val="18"/>
                <w:lang w:val="es-ES"/>
              </w:rPr>
              <w:t>África</w:t>
            </w:r>
          </w:p>
        </w:tc>
        <w:tc>
          <w:tcPr>
            <w:tcW w:w="1379" w:type="dxa"/>
            <w:tcBorders>
              <w:top w:val="nil"/>
              <w:bottom w:val="nil"/>
            </w:tcBorders>
            <w:shd w:val="clear" w:color="auto" w:fill="auto"/>
            <w:vAlign w:val="center"/>
          </w:tcPr>
          <w:p w14:paraId="6B461E41" w14:textId="77777777" w:rsidR="003958FD" w:rsidRPr="003958FD" w:rsidRDefault="003958FD" w:rsidP="003958FD">
            <w:pPr>
              <w:spacing w:before="20" w:after="20"/>
              <w:ind w:right="317"/>
              <w:jc w:val="right"/>
              <w:rPr>
                <w:rFonts w:eastAsia="Times New Roman"/>
                <w:sz w:val="18"/>
                <w:szCs w:val="18"/>
                <w:lang w:val="es-ES"/>
              </w:rPr>
            </w:pPr>
            <w:r w:rsidRPr="003958FD">
              <w:rPr>
                <w:rFonts w:eastAsia="Times New Roman"/>
                <w:sz w:val="18"/>
                <w:szCs w:val="18"/>
                <w:lang w:val="es-ES"/>
              </w:rPr>
              <w:t>388</w:t>
            </w:r>
          </w:p>
        </w:tc>
        <w:tc>
          <w:tcPr>
            <w:tcW w:w="1380" w:type="dxa"/>
            <w:tcBorders>
              <w:top w:val="nil"/>
              <w:bottom w:val="nil"/>
            </w:tcBorders>
            <w:shd w:val="clear" w:color="auto" w:fill="auto"/>
            <w:vAlign w:val="center"/>
          </w:tcPr>
          <w:p w14:paraId="7C039C18" w14:textId="77777777" w:rsidR="003958FD" w:rsidRPr="003958FD" w:rsidRDefault="003958FD" w:rsidP="003958FD">
            <w:pPr>
              <w:spacing w:before="20" w:after="20"/>
              <w:ind w:right="318"/>
              <w:jc w:val="right"/>
              <w:rPr>
                <w:rFonts w:eastAsia="Times New Roman"/>
                <w:sz w:val="18"/>
                <w:szCs w:val="18"/>
                <w:lang w:val="es-ES"/>
              </w:rPr>
            </w:pPr>
            <w:r w:rsidRPr="003958FD">
              <w:rPr>
                <w:rFonts w:eastAsia="Times New Roman"/>
                <w:sz w:val="18"/>
                <w:szCs w:val="18"/>
                <w:lang w:val="es-ES"/>
              </w:rPr>
              <w:t>468</w:t>
            </w:r>
          </w:p>
        </w:tc>
        <w:tc>
          <w:tcPr>
            <w:tcW w:w="892" w:type="dxa"/>
            <w:tcBorders>
              <w:top w:val="nil"/>
              <w:bottom w:val="nil"/>
            </w:tcBorders>
            <w:shd w:val="clear" w:color="auto" w:fill="auto"/>
            <w:vAlign w:val="center"/>
          </w:tcPr>
          <w:p w14:paraId="318847EB" w14:textId="77777777" w:rsidR="003958FD" w:rsidRPr="003958FD" w:rsidRDefault="003958FD" w:rsidP="003958FD">
            <w:pPr>
              <w:spacing w:before="20" w:after="20"/>
              <w:ind w:right="113"/>
              <w:jc w:val="right"/>
              <w:rPr>
                <w:rFonts w:eastAsia="Times New Roman"/>
                <w:sz w:val="18"/>
                <w:szCs w:val="18"/>
                <w:lang w:val="es-ES"/>
              </w:rPr>
            </w:pPr>
            <w:r w:rsidRPr="003958FD">
              <w:rPr>
                <w:rFonts w:eastAsia="Times New Roman"/>
                <w:sz w:val="18"/>
                <w:szCs w:val="18"/>
                <w:lang w:val="es-ES"/>
              </w:rPr>
              <w:t>20.6</w:t>
            </w:r>
          </w:p>
        </w:tc>
        <w:tc>
          <w:tcPr>
            <w:tcW w:w="936" w:type="dxa"/>
            <w:tcBorders>
              <w:top w:val="nil"/>
              <w:bottom w:val="nil"/>
            </w:tcBorders>
            <w:shd w:val="clear" w:color="auto" w:fill="auto"/>
            <w:vAlign w:val="center"/>
          </w:tcPr>
          <w:p w14:paraId="543BDE4F"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0.1</w:t>
            </w:r>
          </w:p>
        </w:tc>
        <w:tc>
          <w:tcPr>
            <w:tcW w:w="996" w:type="dxa"/>
            <w:tcBorders>
              <w:top w:val="nil"/>
              <w:bottom w:val="nil"/>
            </w:tcBorders>
            <w:shd w:val="clear" w:color="auto" w:fill="auto"/>
            <w:vAlign w:val="center"/>
          </w:tcPr>
          <w:p w14:paraId="17CC51AC"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0.1</w:t>
            </w:r>
          </w:p>
        </w:tc>
      </w:tr>
      <w:tr w:rsidR="003958FD" w:rsidRPr="003958FD" w14:paraId="6AF5485A" w14:textId="77777777" w:rsidTr="004F1C40">
        <w:trPr>
          <w:jc w:val="center"/>
        </w:trPr>
        <w:tc>
          <w:tcPr>
            <w:tcW w:w="3257" w:type="dxa"/>
            <w:tcBorders>
              <w:top w:val="nil"/>
              <w:bottom w:val="nil"/>
            </w:tcBorders>
            <w:shd w:val="clear" w:color="auto" w:fill="auto"/>
            <w:vAlign w:val="center"/>
          </w:tcPr>
          <w:p w14:paraId="243D7E56" w14:textId="77777777" w:rsidR="003958FD" w:rsidRPr="003958FD" w:rsidRDefault="003958FD" w:rsidP="003958FD">
            <w:pPr>
              <w:spacing w:before="20" w:after="20"/>
              <w:rPr>
                <w:rFonts w:eastAsia="Times New Roman"/>
                <w:sz w:val="18"/>
                <w:szCs w:val="18"/>
                <w:lang w:val="es-ES"/>
              </w:rPr>
            </w:pPr>
            <w:r w:rsidRPr="003958FD">
              <w:rPr>
                <w:rFonts w:eastAsia="Times New Roman"/>
                <w:sz w:val="18"/>
                <w:szCs w:val="18"/>
                <w:lang w:val="es-ES"/>
              </w:rPr>
              <w:t>Otros</w:t>
            </w:r>
          </w:p>
        </w:tc>
        <w:tc>
          <w:tcPr>
            <w:tcW w:w="1379" w:type="dxa"/>
            <w:tcBorders>
              <w:top w:val="nil"/>
              <w:bottom w:val="nil"/>
            </w:tcBorders>
            <w:shd w:val="clear" w:color="auto" w:fill="auto"/>
            <w:vAlign w:val="center"/>
          </w:tcPr>
          <w:p w14:paraId="66245F1D" w14:textId="77777777" w:rsidR="003958FD" w:rsidRPr="003958FD" w:rsidRDefault="003958FD" w:rsidP="003958FD">
            <w:pPr>
              <w:spacing w:before="20" w:after="20"/>
              <w:ind w:right="317"/>
              <w:jc w:val="right"/>
              <w:rPr>
                <w:rFonts w:eastAsia="Times New Roman"/>
                <w:sz w:val="18"/>
                <w:szCs w:val="18"/>
                <w:lang w:val="es-ES"/>
              </w:rPr>
            </w:pPr>
            <w:r w:rsidRPr="003958FD">
              <w:rPr>
                <w:rFonts w:eastAsia="Times New Roman"/>
                <w:sz w:val="18"/>
                <w:szCs w:val="18"/>
                <w:lang w:val="es-ES"/>
              </w:rPr>
              <w:t>3 276</w:t>
            </w:r>
          </w:p>
        </w:tc>
        <w:tc>
          <w:tcPr>
            <w:tcW w:w="1380" w:type="dxa"/>
            <w:tcBorders>
              <w:top w:val="nil"/>
              <w:bottom w:val="nil"/>
            </w:tcBorders>
            <w:shd w:val="clear" w:color="auto" w:fill="auto"/>
            <w:vAlign w:val="center"/>
          </w:tcPr>
          <w:p w14:paraId="1C61CC61" w14:textId="77777777" w:rsidR="003958FD" w:rsidRPr="003958FD" w:rsidRDefault="003958FD" w:rsidP="003958FD">
            <w:pPr>
              <w:spacing w:before="20" w:after="20"/>
              <w:ind w:right="318"/>
              <w:jc w:val="right"/>
              <w:rPr>
                <w:rFonts w:eastAsia="Times New Roman"/>
                <w:sz w:val="18"/>
                <w:szCs w:val="18"/>
                <w:lang w:val="es-ES"/>
              </w:rPr>
            </w:pPr>
            <w:r w:rsidRPr="003958FD">
              <w:rPr>
                <w:rFonts w:eastAsia="Times New Roman"/>
                <w:sz w:val="18"/>
                <w:szCs w:val="18"/>
                <w:lang w:val="es-ES"/>
              </w:rPr>
              <w:t>13 570</w:t>
            </w:r>
          </w:p>
        </w:tc>
        <w:tc>
          <w:tcPr>
            <w:tcW w:w="892" w:type="dxa"/>
            <w:tcBorders>
              <w:top w:val="nil"/>
              <w:bottom w:val="nil"/>
            </w:tcBorders>
            <w:shd w:val="clear" w:color="auto" w:fill="auto"/>
            <w:vAlign w:val="center"/>
          </w:tcPr>
          <w:p w14:paraId="6EEA6DD7" w14:textId="77777777" w:rsidR="003958FD" w:rsidRPr="003958FD" w:rsidRDefault="003958FD" w:rsidP="003958FD">
            <w:pPr>
              <w:spacing w:before="20" w:after="20"/>
              <w:ind w:right="113"/>
              <w:jc w:val="right"/>
              <w:rPr>
                <w:rFonts w:eastAsia="Times New Roman"/>
                <w:sz w:val="18"/>
                <w:szCs w:val="18"/>
                <w:lang w:val="es-ES"/>
              </w:rPr>
            </w:pPr>
            <w:r w:rsidRPr="003958FD">
              <w:rPr>
                <w:rFonts w:eastAsia="Times New Roman"/>
                <w:sz w:val="18"/>
                <w:szCs w:val="18"/>
                <w:lang w:val="es-ES"/>
              </w:rPr>
              <w:t>314.2</w:t>
            </w:r>
          </w:p>
        </w:tc>
        <w:tc>
          <w:tcPr>
            <w:tcW w:w="936" w:type="dxa"/>
            <w:tcBorders>
              <w:top w:val="nil"/>
              <w:bottom w:val="nil"/>
            </w:tcBorders>
            <w:shd w:val="clear" w:color="auto" w:fill="auto"/>
            <w:vAlign w:val="center"/>
          </w:tcPr>
          <w:p w14:paraId="3284D1AF"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0.9</w:t>
            </w:r>
          </w:p>
        </w:tc>
        <w:tc>
          <w:tcPr>
            <w:tcW w:w="996" w:type="dxa"/>
            <w:tcBorders>
              <w:top w:val="nil"/>
              <w:bottom w:val="nil"/>
            </w:tcBorders>
            <w:shd w:val="clear" w:color="auto" w:fill="auto"/>
            <w:vAlign w:val="center"/>
          </w:tcPr>
          <w:p w14:paraId="2C6CF4BA"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3.2</w:t>
            </w:r>
          </w:p>
        </w:tc>
      </w:tr>
      <w:tr w:rsidR="003958FD" w:rsidRPr="003958FD" w14:paraId="4195B189" w14:textId="77777777" w:rsidTr="004F1C40">
        <w:trPr>
          <w:jc w:val="center"/>
        </w:trPr>
        <w:tc>
          <w:tcPr>
            <w:tcW w:w="3257" w:type="dxa"/>
            <w:tcBorders>
              <w:top w:val="nil"/>
              <w:bottom w:val="single" w:sz="4" w:space="0" w:color="000000"/>
            </w:tcBorders>
            <w:vAlign w:val="center"/>
          </w:tcPr>
          <w:p w14:paraId="5EE59B28" w14:textId="77777777" w:rsidR="003958FD" w:rsidRPr="003958FD" w:rsidRDefault="003958FD" w:rsidP="003958FD">
            <w:pPr>
              <w:spacing w:before="20" w:after="20"/>
              <w:rPr>
                <w:rFonts w:eastAsia="Times New Roman"/>
                <w:b/>
                <w:bCs/>
                <w:sz w:val="18"/>
                <w:szCs w:val="18"/>
                <w:lang w:val="es-ES"/>
              </w:rPr>
            </w:pPr>
            <w:r w:rsidRPr="003958FD">
              <w:rPr>
                <w:rFonts w:eastAsia="Times New Roman"/>
                <w:b/>
                <w:bCs/>
                <w:sz w:val="18"/>
                <w:szCs w:val="18"/>
                <w:lang w:val="es-ES"/>
              </w:rPr>
              <w:t>EXPORTACIÓN TOTAL</w:t>
            </w:r>
          </w:p>
        </w:tc>
        <w:tc>
          <w:tcPr>
            <w:tcW w:w="1379" w:type="dxa"/>
            <w:tcBorders>
              <w:top w:val="nil"/>
              <w:bottom w:val="single" w:sz="4" w:space="0" w:color="000000"/>
            </w:tcBorders>
            <w:vAlign w:val="center"/>
          </w:tcPr>
          <w:p w14:paraId="297E2E1E" w14:textId="77777777" w:rsidR="003958FD" w:rsidRPr="003958FD" w:rsidRDefault="003958FD" w:rsidP="003958FD">
            <w:pPr>
              <w:spacing w:before="20" w:after="20"/>
              <w:ind w:right="317"/>
              <w:jc w:val="right"/>
              <w:rPr>
                <w:rFonts w:eastAsia="Times New Roman"/>
                <w:b/>
                <w:sz w:val="18"/>
                <w:szCs w:val="18"/>
                <w:lang w:val="es-ES"/>
              </w:rPr>
            </w:pPr>
            <w:r w:rsidRPr="003958FD">
              <w:rPr>
                <w:rFonts w:eastAsia="Times New Roman"/>
                <w:b/>
                <w:sz w:val="18"/>
                <w:szCs w:val="18"/>
                <w:lang w:val="es-ES"/>
              </w:rPr>
              <w:t>375 432</w:t>
            </w:r>
          </w:p>
        </w:tc>
        <w:tc>
          <w:tcPr>
            <w:tcW w:w="1380" w:type="dxa"/>
            <w:tcBorders>
              <w:top w:val="nil"/>
              <w:bottom w:val="single" w:sz="4" w:space="0" w:color="000000"/>
            </w:tcBorders>
            <w:vAlign w:val="center"/>
          </w:tcPr>
          <w:p w14:paraId="68BBED8B" w14:textId="77777777" w:rsidR="003958FD" w:rsidRPr="003958FD" w:rsidRDefault="003958FD" w:rsidP="003958FD">
            <w:pPr>
              <w:spacing w:before="20" w:after="20"/>
              <w:ind w:right="318"/>
              <w:jc w:val="right"/>
              <w:rPr>
                <w:rFonts w:eastAsia="Times New Roman"/>
                <w:b/>
                <w:sz w:val="18"/>
                <w:szCs w:val="18"/>
                <w:lang w:val="es-ES"/>
              </w:rPr>
            </w:pPr>
            <w:r w:rsidRPr="003958FD">
              <w:rPr>
                <w:rFonts w:eastAsia="Times New Roman"/>
                <w:b/>
                <w:sz w:val="18"/>
                <w:szCs w:val="18"/>
                <w:lang w:val="es-ES"/>
              </w:rPr>
              <w:t>427 258</w:t>
            </w:r>
          </w:p>
        </w:tc>
        <w:tc>
          <w:tcPr>
            <w:tcW w:w="892" w:type="dxa"/>
            <w:tcBorders>
              <w:top w:val="nil"/>
              <w:bottom w:val="single" w:sz="4" w:space="0" w:color="000000"/>
            </w:tcBorders>
            <w:vAlign w:val="center"/>
          </w:tcPr>
          <w:p w14:paraId="0C94D3A0" w14:textId="77777777" w:rsidR="003958FD" w:rsidRPr="003958FD" w:rsidRDefault="003958FD" w:rsidP="003958FD">
            <w:pPr>
              <w:spacing w:before="20" w:after="20"/>
              <w:ind w:right="113"/>
              <w:jc w:val="right"/>
              <w:rPr>
                <w:rFonts w:eastAsia="Times New Roman"/>
                <w:b/>
                <w:sz w:val="18"/>
                <w:szCs w:val="18"/>
                <w:lang w:val="es-ES"/>
              </w:rPr>
            </w:pPr>
            <w:r w:rsidRPr="003958FD">
              <w:rPr>
                <w:rFonts w:eastAsia="Times New Roman"/>
                <w:b/>
                <w:sz w:val="18"/>
                <w:szCs w:val="18"/>
                <w:lang w:val="es-ES"/>
              </w:rPr>
              <w:t>13.8</w:t>
            </w:r>
          </w:p>
        </w:tc>
        <w:tc>
          <w:tcPr>
            <w:tcW w:w="936" w:type="dxa"/>
            <w:tcBorders>
              <w:top w:val="nil"/>
              <w:bottom w:val="single" w:sz="4" w:space="0" w:color="000000"/>
            </w:tcBorders>
            <w:vAlign w:val="center"/>
          </w:tcPr>
          <w:p w14:paraId="44876AB4" w14:textId="77777777" w:rsidR="003958FD" w:rsidRPr="003958FD" w:rsidRDefault="003958FD" w:rsidP="003958FD">
            <w:pPr>
              <w:spacing w:before="20" w:after="20"/>
              <w:ind w:right="170"/>
              <w:jc w:val="right"/>
              <w:rPr>
                <w:rFonts w:eastAsia="Times New Roman"/>
                <w:b/>
                <w:sz w:val="18"/>
                <w:szCs w:val="18"/>
                <w:lang w:val="es-ES"/>
              </w:rPr>
            </w:pPr>
            <w:r w:rsidRPr="003958FD">
              <w:rPr>
                <w:rFonts w:eastAsia="Times New Roman"/>
                <w:b/>
                <w:sz w:val="18"/>
                <w:szCs w:val="18"/>
                <w:lang w:val="es-ES"/>
              </w:rPr>
              <w:t>100.0</w:t>
            </w:r>
          </w:p>
        </w:tc>
        <w:tc>
          <w:tcPr>
            <w:tcW w:w="996" w:type="dxa"/>
            <w:tcBorders>
              <w:top w:val="nil"/>
              <w:bottom w:val="single" w:sz="4" w:space="0" w:color="000000"/>
            </w:tcBorders>
            <w:vAlign w:val="center"/>
          </w:tcPr>
          <w:p w14:paraId="1A156378" w14:textId="77777777" w:rsidR="003958FD" w:rsidRPr="003958FD" w:rsidRDefault="003958FD" w:rsidP="003958FD">
            <w:pPr>
              <w:spacing w:before="20" w:after="20"/>
              <w:ind w:right="170"/>
              <w:jc w:val="right"/>
              <w:rPr>
                <w:rFonts w:eastAsia="Times New Roman"/>
                <w:b/>
                <w:sz w:val="18"/>
                <w:szCs w:val="18"/>
                <w:lang w:val="es-ES"/>
              </w:rPr>
            </w:pPr>
            <w:r w:rsidRPr="003958FD">
              <w:rPr>
                <w:rFonts w:eastAsia="Times New Roman"/>
                <w:b/>
                <w:sz w:val="18"/>
                <w:szCs w:val="18"/>
                <w:lang w:val="es-ES"/>
              </w:rPr>
              <w:t>100.0</w:t>
            </w:r>
          </w:p>
        </w:tc>
      </w:tr>
      <w:tr w:rsidR="003958FD" w:rsidRPr="003958FD" w14:paraId="79728446" w14:textId="77777777" w:rsidTr="004F1C40">
        <w:trPr>
          <w:jc w:val="center"/>
        </w:trPr>
        <w:tc>
          <w:tcPr>
            <w:tcW w:w="8840" w:type="dxa"/>
            <w:gridSpan w:val="6"/>
            <w:tcBorders>
              <w:left w:val="nil"/>
              <w:bottom w:val="nil"/>
              <w:right w:val="nil"/>
            </w:tcBorders>
            <w:vAlign w:val="bottom"/>
          </w:tcPr>
          <w:p w14:paraId="26C89E6D" w14:textId="77777777" w:rsidR="003958FD" w:rsidRPr="003958FD" w:rsidRDefault="003958FD" w:rsidP="003958FD">
            <w:pPr>
              <w:jc w:val="both"/>
              <w:rPr>
                <w:rFonts w:eastAsia="Times New Roman"/>
                <w:b/>
                <w:bCs/>
                <w:sz w:val="20"/>
                <w:szCs w:val="20"/>
                <w:lang w:val="es-ES"/>
              </w:rPr>
            </w:pPr>
            <w:r w:rsidRPr="003958FD">
              <w:rPr>
                <w:rFonts w:eastAsia="Times New Roman"/>
                <w:bCs/>
                <w:sz w:val="20"/>
                <w:szCs w:val="20"/>
                <w:lang w:val="es-ES"/>
              </w:rPr>
              <w:t>FUENTE: AMIA, con datos de sus asociados.</w:t>
            </w:r>
          </w:p>
        </w:tc>
      </w:tr>
    </w:tbl>
    <w:p w14:paraId="394978FA" w14:textId="77777777" w:rsidR="003958FD" w:rsidRPr="003958FD" w:rsidRDefault="003958FD" w:rsidP="003958FD">
      <w:pPr>
        <w:spacing w:after="360" w:line="360" w:lineRule="auto"/>
        <w:ind w:right="-159"/>
        <w:jc w:val="both"/>
        <w:rPr>
          <w:rFonts w:eastAsia="Times New Roman"/>
          <w:sz w:val="26"/>
          <w:szCs w:val="26"/>
          <w:lang w:val="es-ES"/>
        </w:rPr>
      </w:pPr>
    </w:p>
    <w:p w14:paraId="52B2D8EC" w14:textId="3D770C37" w:rsidR="003958FD" w:rsidRPr="003958FD" w:rsidRDefault="003958FD" w:rsidP="003958FD">
      <w:pPr>
        <w:spacing w:after="360" w:line="360" w:lineRule="auto"/>
        <w:ind w:right="-159"/>
        <w:jc w:val="both"/>
        <w:rPr>
          <w:rFonts w:eastAsia="Times New Roman"/>
          <w:sz w:val="26"/>
          <w:szCs w:val="26"/>
          <w:lang w:val="es-ES"/>
        </w:rPr>
      </w:pPr>
      <w:r w:rsidRPr="003958FD">
        <w:rPr>
          <w:rFonts w:eastAsia="Times New Roman"/>
          <w:sz w:val="26"/>
          <w:szCs w:val="26"/>
          <w:lang w:val="es-ES"/>
        </w:rPr>
        <w:t>Los datos de exportación por regiones muestran el mayor crecimiento para Canadá, África y Asia con 36.2, 20.6 y 17.6% respectivamente de unidades adicionales a las exportadas en el primer bimestre 2014. Europa presenta una aparente recuperación al incrementarse 3.4% las unidades exportadas a esa región. Por lo que hace a las exportaciones a Latinoamérica, éstas continúan con tasas decrecientes.</w:t>
      </w:r>
    </w:p>
    <w:p w14:paraId="3238C83A" w14:textId="77777777" w:rsidR="003958FD" w:rsidRPr="003958FD" w:rsidRDefault="003958FD" w:rsidP="003958FD">
      <w:pPr>
        <w:spacing w:before="360" w:after="360" w:line="360" w:lineRule="auto"/>
        <w:ind w:right="-159"/>
        <w:jc w:val="both"/>
        <w:rPr>
          <w:rFonts w:eastAsia="Times New Roman"/>
          <w:b/>
          <w:sz w:val="26"/>
          <w:szCs w:val="26"/>
          <w:lang w:val="es-ES"/>
        </w:rPr>
      </w:pPr>
      <w:r w:rsidRPr="003958FD">
        <w:rPr>
          <w:rFonts w:eastAsia="Times New Roman"/>
          <w:b/>
          <w:sz w:val="26"/>
          <w:szCs w:val="26"/>
          <w:lang w:val="es-ES"/>
        </w:rPr>
        <w:t>Clasificación de los principales destinos de exportación de México</w:t>
      </w:r>
    </w:p>
    <w:p w14:paraId="47662187" w14:textId="77777777" w:rsidR="003958FD" w:rsidRDefault="003958FD" w:rsidP="003958FD">
      <w:pPr>
        <w:spacing w:before="360" w:after="360" w:line="360" w:lineRule="auto"/>
        <w:ind w:right="-159"/>
        <w:jc w:val="both"/>
        <w:rPr>
          <w:rFonts w:eastAsia="Times New Roman"/>
          <w:sz w:val="26"/>
          <w:szCs w:val="26"/>
          <w:lang w:val="es-ES"/>
        </w:rPr>
      </w:pPr>
      <w:r w:rsidRPr="003958FD">
        <w:rPr>
          <w:rFonts w:eastAsia="Times New Roman"/>
          <w:sz w:val="26"/>
          <w:szCs w:val="26"/>
          <w:lang w:val="es-ES"/>
        </w:rPr>
        <w:t xml:space="preserve">Durante el primer bimestre de 2015, los vehículos ligeros que México comercializó en el exterior fueron enviados principalmente a Estados Unidos de Norteamérica, representando el 71.1% del total de las exportaciones, como segundo destino se tuvo a </w:t>
      </w:r>
      <w:r w:rsidRPr="003958FD">
        <w:rPr>
          <w:rFonts w:eastAsia="Times New Roman"/>
          <w:sz w:val="26"/>
          <w:szCs w:val="26"/>
          <w:lang w:val="es-ES"/>
        </w:rPr>
        <w:lastRenderedPageBreak/>
        <w:t>Canadá con el 11.9%, y en tercer lugar está Brasil con el 2.7%, no obstante el decremento de 15.4 por ciento.</w:t>
      </w:r>
    </w:p>
    <w:tbl>
      <w:tblPr>
        <w:tblW w:w="978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28" w:type="dxa"/>
          <w:left w:w="70" w:type="dxa"/>
          <w:bottom w:w="28" w:type="dxa"/>
          <w:right w:w="70" w:type="dxa"/>
        </w:tblCellMar>
        <w:tblLook w:val="04A0" w:firstRow="1" w:lastRow="0" w:firstColumn="1" w:lastColumn="0" w:noHBand="0" w:noVBand="1"/>
      </w:tblPr>
      <w:tblGrid>
        <w:gridCol w:w="709"/>
        <w:gridCol w:w="160"/>
        <w:gridCol w:w="832"/>
        <w:gridCol w:w="2552"/>
        <w:gridCol w:w="1134"/>
        <w:gridCol w:w="1276"/>
        <w:gridCol w:w="1192"/>
        <w:gridCol w:w="940"/>
        <w:gridCol w:w="987"/>
      </w:tblGrid>
      <w:tr w:rsidR="003958FD" w:rsidRPr="003958FD" w14:paraId="71AF942E" w14:textId="77777777" w:rsidTr="003958FD">
        <w:trPr>
          <w:trHeight w:val="258"/>
          <w:jc w:val="center"/>
        </w:trPr>
        <w:tc>
          <w:tcPr>
            <w:tcW w:w="9782" w:type="dxa"/>
            <w:gridSpan w:val="9"/>
            <w:tcBorders>
              <w:top w:val="nil"/>
              <w:left w:val="nil"/>
              <w:right w:val="nil"/>
            </w:tcBorders>
            <w:shd w:val="clear" w:color="auto" w:fill="auto"/>
          </w:tcPr>
          <w:p w14:paraId="34210452" w14:textId="77777777" w:rsidR="003958FD" w:rsidRPr="003958FD" w:rsidRDefault="003958FD" w:rsidP="003958FD">
            <w:pPr>
              <w:jc w:val="center"/>
              <w:rPr>
                <w:rFonts w:eastAsia="Times New Roman"/>
                <w:b/>
                <w:bCs/>
                <w:sz w:val="22"/>
                <w:szCs w:val="18"/>
                <w:lang w:eastAsia="es-MX"/>
              </w:rPr>
            </w:pPr>
            <w:r w:rsidRPr="003958FD">
              <w:rPr>
                <w:rFonts w:eastAsia="Times New Roman"/>
                <w:b/>
                <w:bCs/>
                <w:sz w:val="22"/>
                <w:szCs w:val="18"/>
                <w:lang w:eastAsia="es-MX"/>
              </w:rPr>
              <w:t>CLASIFICACIÓN DE LA EXPORTACIÓN DE MÉXICO 2014-2015</w:t>
            </w:r>
          </w:p>
        </w:tc>
      </w:tr>
      <w:tr w:rsidR="003958FD" w:rsidRPr="003958FD" w14:paraId="69627010" w14:textId="77777777" w:rsidTr="003958FD">
        <w:trPr>
          <w:trHeight w:val="158"/>
          <w:jc w:val="center"/>
        </w:trPr>
        <w:tc>
          <w:tcPr>
            <w:tcW w:w="1701" w:type="dxa"/>
            <w:gridSpan w:val="3"/>
            <w:shd w:val="clear" w:color="auto" w:fill="auto"/>
            <w:vAlign w:val="center"/>
          </w:tcPr>
          <w:p w14:paraId="77D4931B" w14:textId="77777777" w:rsidR="003958FD" w:rsidRPr="003958FD" w:rsidRDefault="003958FD" w:rsidP="003958FD">
            <w:pPr>
              <w:spacing w:before="20" w:after="20"/>
              <w:jc w:val="center"/>
              <w:rPr>
                <w:rFonts w:eastAsia="Times New Roman"/>
                <w:b/>
                <w:bCs/>
                <w:sz w:val="18"/>
                <w:szCs w:val="18"/>
                <w:lang w:eastAsia="es-MX"/>
              </w:rPr>
            </w:pPr>
            <w:r w:rsidRPr="003958FD">
              <w:rPr>
                <w:rFonts w:eastAsia="Times New Roman"/>
                <w:b/>
                <w:bCs/>
                <w:sz w:val="18"/>
                <w:szCs w:val="18"/>
                <w:lang w:eastAsia="es-MX"/>
              </w:rPr>
              <w:t>Clasificación</w:t>
            </w:r>
          </w:p>
        </w:tc>
        <w:tc>
          <w:tcPr>
            <w:tcW w:w="2552" w:type="dxa"/>
            <w:vMerge w:val="restart"/>
            <w:shd w:val="clear" w:color="auto" w:fill="auto"/>
            <w:noWrap/>
            <w:vAlign w:val="center"/>
          </w:tcPr>
          <w:p w14:paraId="311C7051" w14:textId="77777777" w:rsidR="003958FD" w:rsidRPr="003958FD" w:rsidRDefault="003958FD" w:rsidP="003958FD">
            <w:pPr>
              <w:spacing w:before="20" w:after="20"/>
              <w:jc w:val="center"/>
              <w:rPr>
                <w:rFonts w:eastAsia="Times New Roman"/>
                <w:b/>
                <w:bCs/>
                <w:sz w:val="18"/>
                <w:szCs w:val="18"/>
                <w:lang w:eastAsia="es-MX"/>
              </w:rPr>
            </w:pPr>
            <w:r w:rsidRPr="003958FD">
              <w:rPr>
                <w:rFonts w:eastAsia="Times New Roman"/>
                <w:b/>
                <w:bCs/>
                <w:sz w:val="18"/>
                <w:szCs w:val="18"/>
                <w:lang w:eastAsia="es-MX"/>
              </w:rPr>
              <w:t>País</w:t>
            </w:r>
          </w:p>
        </w:tc>
        <w:tc>
          <w:tcPr>
            <w:tcW w:w="2410" w:type="dxa"/>
            <w:gridSpan w:val="2"/>
            <w:shd w:val="clear" w:color="auto" w:fill="auto"/>
            <w:noWrap/>
            <w:vAlign w:val="center"/>
          </w:tcPr>
          <w:p w14:paraId="2B0D907E" w14:textId="77777777" w:rsidR="003958FD" w:rsidRPr="003958FD" w:rsidRDefault="003958FD" w:rsidP="003958FD">
            <w:pPr>
              <w:spacing w:before="20" w:after="20"/>
              <w:jc w:val="center"/>
              <w:rPr>
                <w:rFonts w:eastAsia="Times New Roman"/>
                <w:b/>
                <w:bCs/>
                <w:sz w:val="18"/>
                <w:szCs w:val="18"/>
                <w:lang w:eastAsia="es-MX"/>
              </w:rPr>
            </w:pPr>
            <w:r w:rsidRPr="003958FD">
              <w:rPr>
                <w:rFonts w:eastAsia="Times New Roman"/>
                <w:b/>
                <w:bCs/>
                <w:sz w:val="18"/>
                <w:szCs w:val="18"/>
                <w:lang w:eastAsia="es-MX"/>
              </w:rPr>
              <w:t>Enero-Febrero</w:t>
            </w:r>
          </w:p>
        </w:tc>
        <w:tc>
          <w:tcPr>
            <w:tcW w:w="1192" w:type="dxa"/>
            <w:vMerge w:val="restart"/>
            <w:shd w:val="clear" w:color="auto" w:fill="auto"/>
            <w:vAlign w:val="center"/>
          </w:tcPr>
          <w:p w14:paraId="426D0D09" w14:textId="77777777" w:rsidR="003958FD" w:rsidRPr="003958FD" w:rsidRDefault="003958FD" w:rsidP="003958FD">
            <w:pPr>
              <w:spacing w:before="20" w:after="20"/>
              <w:jc w:val="center"/>
              <w:rPr>
                <w:rFonts w:eastAsia="Times New Roman"/>
                <w:b/>
                <w:bCs/>
                <w:sz w:val="18"/>
                <w:szCs w:val="18"/>
                <w:lang w:eastAsia="es-MX"/>
              </w:rPr>
            </w:pPr>
            <w:r w:rsidRPr="003958FD">
              <w:rPr>
                <w:rFonts w:eastAsia="Times New Roman"/>
                <w:b/>
                <w:bCs/>
                <w:sz w:val="18"/>
                <w:szCs w:val="18"/>
                <w:lang w:eastAsia="es-MX"/>
              </w:rPr>
              <w:t>Participación 2015 (%)</w:t>
            </w:r>
          </w:p>
        </w:tc>
        <w:tc>
          <w:tcPr>
            <w:tcW w:w="1927" w:type="dxa"/>
            <w:gridSpan w:val="2"/>
            <w:shd w:val="clear" w:color="auto" w:fill="auto"/>
            <w:vAlign w:val="center"/>
          </w:tcPr>
          <w:p w14:paraId="6C99F53F" w14:textId="77777777" w:rsidR="003958FD" w:rsidRPr="003958FD" w:rsidRDefault="003958FD" w:rsidP="003958FD">
            <w:pPr>
              <w:spacing w:before="20" w:after="20"/>
              <w:jc w:val="center"/>
              <w:rPr>
                <w:rFonts w:eastAsia="Times New Roman"/>
                <w:b/>
                <w:bCs/>
                <w:sz w:val="18"/>
                <w:szCs w:val="18"/>
                <w:lang w:eastAsia="es-MX"/>
              </w:rPr>
            </w:pPr>
            <w:r w:rsidRPr="003958FD">
              <w:rPr>
                <w:rFonts w:eastAsia="Times New Roman"/>
                <w:b/>
                <w:bCs/>
                <w:sz w:val="18"/>
                <w:szCs w:val="18"/>
                <w:lang w:eastAsia="es-MX"/>
              </w:rPr>
              <w:t>Variación</w:t>
            </w:r>
          </w:p>
        </w:tc>
      </w:tr>
      <w:tr w:rsidR="003958FD" w:rsidRPr="003958FD" w14:paraId="06707428" w14:textId="77777777" w:rsidTr="003958FD">
        <w:trPr>
          <w:trHeight w:val="257"/>
          <w:jc w:val="center"/>
        </w:trPr>
        <w:tc>
          <w:tcPr>
            <w:tcW w:w="869" w:type="dxa"/>
            <w:gridSpan w:val="2"/>
            <w:tcBorders>
              <w:bottom w:val="single" w:sz="8" w:space="0" w:color="auto"/>
            </w:tcBorders>
            <w:shd w:val="clear" w:color="auto" w:fill="auto"/>
            <w:vAlign w:val="center"/>
          </w:tcPr>
          <w:p w14:paraId="00721186" w14:textId="77777777" w:rsidR="003958FD" w:rsidRPr="003958FD" w:rsidRDefault="003958FD" w:rsidP="003958FD">
            <w:pPr>
              <w:jc w:val="center"/>
              <w:rPr>
                <w:rFonts w:eastAsia="Times New Roman"/>
                <w:b/>
                <w:bCs/>
                <w:sz w:val="18"/>
                <w:szCs w:val="18"/>
                <w:lang w:eastAsia="es-MX"/>
              </w:rPr>
            </w:pPr>
            <w:r w:rsidRPr="003958FD">
              <w:rPr>
                <w:rFonts w:eastAsia="Times New Roman"/>
                <w:b/>
                <w:bCs/>
                <w:sz w:val="18"/>
                <w:szCs w:val="18"/>
                <w:lang w:eastAsia="es-MX"/>
              </w:rPr>
              <w:t>2014</w:t>
            </w:r>
          </w:p>
        </w:tc>
        <w:tc>
          <w:tcPr>
            <w:tcW w:w="832" w:type="dxa"/>
            <w:tcBorders>
              <w:bottom w:val="single" w:sz="8" w:space="0" w:color="auto"/>
            </w:tcBorders>
            <w:shd w:val="clear" w:color="auto" w:fill="auto"/>
            <w:vAlign w:val="center"/>
          </w:tcPr>
          <w:p w14:paraId="3316F0E3" w14:textId="77777777" w:rsidR="003958FD" w:rsidRPr="003958FD" w:rsidRDefault="003958FD" w:rsidP="003958FD">
            <w:pPr>
              <w:spacing w:before="20" w:after="20"/>
              <w:jc w:val="center"/>
              <w:rPr>
                <w:rFonts w:eastAsia="Times New Roman"/>
                <w:b/>
                <w:bCs/>
                <w:sz w:val="18"/>
                <w:szCs w:val="18"/>
                <w:lang w:eastAsia="es-MX"/>
              </w:rPr>
            </w:pPr>
            <w:r w:rsidRPr="003958FD">
              <w:rPr>
                <w:rFonts w:eastAsia="Times New Roman"/>
                <w:b/>
                <w:bCs/>
                <w:sz w:val="18"/>
                <w:szCs w:val="18"/>
                <w:lang w:eastAsia="es-MX"/>
              </w:rPr>
              <w:t>2015</w:t>
            </w:r>
          </w:p>
        </w:tc>
        <w:tc>
          <w:tcPr>
            <w:tcW w:w="2552" w:type="dxa"/>
            <w:vMerge/>
            <w:tcBorders>
              <w:bottom w:val="single" w:sz="8" w:space="0" w:color="auto"/>
            </w:tcBorders>
            <w:shd w:val="clear" w:color="auto" w:fill="auto"/>
            <w:noWrap/>
            <w:vAlign w:val="center"/>
          </w:tcPr>
          <w:p w14:paraId="1223F894" w14:textId="77777777" w:rsidR="003958FD" w:rsidRPr="003958FD" w:rsidRDefault="003958FD" w:rsidP="003958FD">
            <w:pPr>
              <w:spacing w:before="20" w:after="20"/>
              <w:jc w:val="center"/>
              <w:rPr>
                <w:rFonts w:eastAsia="Times New Roman"/>
                <w:b/>
                <w:bCs/>
                <w:sz w:val="18"/>
                <w:szCs w:val="18"/>
                <w:lang w:eastAsia="es-MX"/>
              </w:rPr>
            </w:pPr>
          </w:p>
        </w:tc>
        <w:tc>
          <w:tcPr>
            <w:tcW w:w="1134" w:type="dxa"/>
            <w:tcBorders>
              <w:bottom w:val="single" w:sz="8" w:space="0" w:color="auto"/>
            </w:tcBorders>
            <w:shd w:val="clear" w:color="auto" w:fill="auto"/>
            <w:noWrap/>
            <w:vAlign w:val="center"/>
          </w:tcPr>
          <w:p w14:paraId="09040904" w14:textId="77777777" w:rsidR="003958FD" w:rsidRPr="003958FD" w:rsidRDefault="003958FD" w:rsidP="003958FD">
            <w:pPr>
              <w:spacing w:before="20" w:after="20"/>
              <w:jc w:val="center"/>
              <w:rPr>
                <w:rFonts w:eastAsia="Times New Roman"/>
                <w:b/>
                <w:bCs/>
                <w:sz w:val="18"/>
                <w:szCs w:val="18"/>
                <w:lang w:eastAsia="es-MX"/>
              </w:rPr>
            </w:pPr>
            <w:r w:rsidRPr="003958FD">
              <w:rPr>
                <w:rFonts w:eastAsia="Times New Roman"/>
                <w:b/>
                <w:bCs/>
                <w:sz w:val="18"/>
                <w:szCs w:val="18"/>
                <w:lang w:eastAsia="es-MX"/>
              </w:rPr>
              <w:t>2014</w:t>
            </w:r>
          </w:p>
        </w:tc>
        <w:tc>
          <w:tcPr>
            <w:tcW w:w="1276" w:type="dxa"/>
            <w:tcBorders>
              <w:bottom w:val="single" w:sz="8" w:space="0" w:color="auto"/>
            </w:tcBorders>
            <w:shd w:val="clear" w:color="auto" w:fill="auto"/>
            <w:noWrap/>
            <w:vAlign w:val="center"/>
          </w:tcPr>
          <w:p w14:paraId="7ADAA5F8" w14:textId="77777777" w:rsidR="003958FD" w:rsidRPr="003958FD" w:rsidRDefault="003958FD" w:rsidP="003958FD">
            <w:pPr>
              <w:spacing w:before="20" w:after="20"/>
              <w:jc w:val="center"/>
              <w:rPr>
                <w:rFonts w:eastAsia="Times New Roman"/>
                <w:b/>
                <w:bCs/>
                <w:sz w:val="18"/>
                <w:szCs w:val="18"/>
                <w:lang w:eastAsia="es-MX"/>
              </w:rPr>
            </w:pPr>
            <w:r w:rsidRPr="003958FD">
              <w:rPr>
                <w:rFonts w:eastAsia="Times New Roman"/>
                <w:b/>
                <w:bCs/>
                <w:sz w:val="18"/>
                <w:szCs w:val="18"/>
                <w:lang w:eastAsia="es-MX"/>
              </w:rPr>
              <w:t>2015</w:t>
            </w:r>
          </w:p>
        </w:tc>
        <w:tc>
          <w:tcPr>
            <w:tcW w:w="1192" w:type="dxa"/>
            <w:vMerge/>
            <w:tcBorders>
              <w:bottom w:val="single" w:sz="8" w:space="0" w:color="auto"/>
            </w:tcBorders>
            <w:shd w:val="clear" w:color="auto" w:fill="auto"/>
            <w:noWrap/>
            <w:vAlign w:val="center"/>
          </w:tcPr>
          <w:p w14:paraId="311E168A" w14:textId="77777777" w:rsidR="003958FD" w:rsidRPr="003958FD" w:rsidRDefault="003958FD" w:rsidP="003958FD">
            <w:pPr>
              <w:spacing w:before="20" w:after="20"/>
              <w:jc w:val="center"/>
              <w:rPr>
                <w:rFonts w:eastAsia="Times New Roman"/>
                <w:bCs/>
                <w:i/>
                <w:sz w:val="18"/>
                <w:szCs w:val="18"/>
                <w:lang w:eastAsia="es-MX"/>
              </w:rPr>
            </w:pPr>
          </w:p>
        </w:tc>
        <w:tc>
          <w:tcPr>
            <w:tcW w:w="940" w:type="dxa"/>
            <w:tcBorders>
              <w:bottom w:val="single" w:sz="8" w:space="0" w:color="auto"/>
            </w:tcBorders>
            <w:shd w:val="clear" w:color="auto" w:fill="auto"/>
            <w:vAlign w:val="center"/>
          </w:tcPr>
          <w:p w14:paraId="6A537C87" w14:textId="77777777" w:rsidR="003958FD" w:rsidRPr="00D2103B" w:rsidRDefault="003958FD" w:rsidP="00D2103B">
            <w:pPr>
              <w:spacing w:before="20" w:after="20"/>
              <w:ind w:left="-57"/>
              <w:jc w:val="center"/>
              <w:rPr>
                <w:rFonts w:eastAsia="Times New Roman"/>
                <w:b/>
                <w:bCs/>
                <w:sz w:val="18"/>
                <w:szCs w:val="18"/>
                <w:lang w:eastAsia="es-MX"/>
              </w:rPr>
            </w:pPr>
            <w:r w:rsidRPr="00D2103B">
              <w:rPr>
                <w:rFonts w:eastAsia="Times New Roman"/>
                <w:b/>
                <w:bCs/>
                <w:sz w:val="18"/>
                <w:szCs w:val="18"/>
                <w:lang w:eastAsia="es-MX"/>
              </w:rPr>
              <w:t>Porcentual</w:t>
            </w:r>
          </w:p>
        </w:tc>
        <w:tc>
          <w:tcPr>
            <w:tcW w:w="987" w:type="dxa"/>
            <w:tcBorders>
              <w:bottom w:val="single" w:sz="8" w:space="0" w:color="auto"/>
            </w:tcBorders>
            <w:shd w:val="clear" w:color="auto" w:fill="auto"/>
            <w:vAlign w:val="center"/>
          </w:tcPr>
          <w:p w14:paraId="1FDD436D" w14:textId="77777777" w:rsidR="003958FD" w:rsidRPr="00D2103B" w:rsidRDefault="003958FD" w:rsidP="003958FD">
            <w:pPr>
              <w:spacing w:before="20" w:after="20"/>
              <w:jc w:val="center"/>
              <w:rPr>
                <w:rFonts w:eastAsia="Times New Roman"/>
                <w:b/>
                <w:bCs/>
                <w:sz w:val="18"/>
                <w:szCs w:val="18"/>
                <w:lang w:eastAsia="es-MX"/>
              </w:rPr>
            </w:pPr>
            <w:r w:rsidRPr="00D2103B">
              <w:rPr>
                <w:rFonts w:eastAsia="Times New Roman"/>
                <w:b/>
                <w:bCs/>
                <w:sz w:val="18"/>
                <w:szCs w:val="18"/>
                <w:lang w:eastAsia="es-MX"/>
              </w:rPr>
              <w:t>Absoluta</w:t>
            </w:r>
          </w:p>
        </w:tc>
      </w:tr>
      <w:tr w:rsidR="003958FD" w:rsidRPr="003958FD" w14:paraId="59686193" w14:textId="77777777" w:rsidTr="003958FD">
        <w:trPr>
          <w:trHeight w:val="170"/>
          <w:jc w:val="center"/>
        </w:trPr>
        <w:tc>
          <w:tcPr>
            <w:tcW w:w="709" w:type="dxa"/>
            <w:tcBorders>
              <w:bottom w:val="nil"/>
              <w:right w:val="nil"/>
            </w:tcBorders>
            <w:shd w:val="clear" w:color="auto" w:fill="auto"/>
            <w:vAlign w:val="center"/>
          </w:tcPr>
          <w:p w14:paraId="2324E7EB" w14:textId="77777777" w:rsidR="003958FD" w:rsidRPr="003958FD" w:rsidRDefault="003958FD" w:rsidP="003958FD">
            <w:pPr>
              <w:ind w:right="170"/>
              <w:jc w:val="right"/>
              <w:rPr>
                <w:rFonts w:eastAsia="Times New Roman"/>
                <w:sz w:val="18"/>
                <w:szCs w:val="18"/>
                <w:lang w:val="es-ES"/>
              </w:rPr>
            </w:pPr>
            <w:r w:rsidRPr="003958FD">
              <w:rPr>
                <w:rFonts w:eastAsia="Times New Roman"/>
                <w:sz w:val="18"/>
                <w:szCs w:val="18"/>
                <w:lang w:val="es-ES"/>
              </w:rPr>
              <w:t>1</w:t>
            </w:r>
          </w:p>
        </w:tc>
        <w:tc>
          <w:tcPr>
            <w:tcW w:w="160" w:type="dxa"/>
            <w:tcBorders>
              <w:left w:val="nil"/>
              <w:bottom w:val="nil"/>
            </w:tcBorders>
            <w:shd w:val="clear" w:color="auto" w:fill="auto"/>
            <w:vAlign w:val="center"/>
          </w:tcPr>
          <w:p w14:paraId="59E1DD7D" w14:textId="77777777" w:rsidR="003958FD" w:rsidRPr="003958FD" w:rsidRDefault="003958FD" w:rsidP="003958FD">
            <w:pPr>
              <w:jc w:val="center"/>
              <w:rPr>
                <w:rFonts w:eastAsia="Times New Roman"/>
                <w:sz w:val="18"/>
                <w:szCs w:val="18"/>
                <w:lang w:val="es-ES"/>
              </w:rPr>
            </w:pPr>
          </w:p>
        </w:tc>
        <w:tc>
          <w:tcPr>
            <w:tcW w:w="832" w:type="dxa"/>
            <w:tcBorders>
              <w:bottom w:val="nil"/>
            </w:tcBorders>
            <w:shd w:val="clear" w:color="auto" w:fill="auto"/>
            <w:vAlign w:val="center"/>
          </w:tcPr>
          <w:p w14:paraId="48FAEA50" w14:textId="77777777" w:rsidR="003958FD" w:rsidRPr="003958FD" w:rsidRDefault="003958FD" w:rsidP="003958FD">
            <w:pPr>
              <w:spacing w:before="20" w:after="20"/>
              <w:ind w:right="113"/>
              <w:jc w:val="center"/>
              <w:rPr>
                <w:rFonts w:eastAsia="Times New Roman"/>
                <w:sz w:val="18"/>
                <w:szCs w:val="18"/>
                <w:lang w:val="es-ES"/>
              </w:rPr>
            </w:pPr>
            <w:r w:rsidRPr="003958FD">
              <w:rPr>
                <w:rFonts w:eastAsia="Times New Roman"/>
                <w:sz w:val="18"/>
                <w:szCs w:val="18"/>
                <w:lang w:val="es-ES"/>
              </w:rPr>
              <w:t>1</w:t>
            </w:r>
          </w:p>
        </w:tc>
        <w:tc>
          <w:tcPr>
            <w:tcW w:w="2552" w:type="dxa"/>
            <w:tcBorders>
              <w:bottom w:val="nil"/>
            </w:tcBorders>
            <w:shd w:val="clear" w:color="auto" w:fill="auto"/>
            <w:noWrap/>
            <w:vAlign w:val="center"/>
          </w:tcPr>
          <w:p w14:paraId="5CFBDA19" w14:textId="77777777" w:rsidR="003958FD" w:rsidRPr="003958FD" w:rsidRDefault="003958FD" w:rsidP="003958FD">
            <w:pPr>
              <w:spacing w:before="20" w:after="20"/>
              <w:rPr>
                <w:rFonts w:eastAsia="Times New Roman"/>
                <w:sz w:val="18"/>
                <w:szCs w:val="18"/>
                <w:lang w:val="es-ES"/>
              </w:rPr>
            </w:pPr>
            <w:r w:rsidRPr="003958FD">
              <w:rPr>
                <w:rFonts w:eastAsia="Times New Roman"/>
                <w:sz w:val="18"/>
                <w:szCs w:val="18"/>
                <w:lang w:val="es-ES"/>
              </w:rPr>
              <w:t>Estados Unidos de Norteamérica</w:t>
            </w:r>
          </w:p>
        </w:tc>
        <w:tc>
          <w:tcPr>
            <w:tcW w:w="1134" w:type="dxa"/>
            <w:tcBorders>
              <w:bottom w:val="nil"/>
            </w:tcBorders>
            <w:shd w:val="clear" w:color="auto" w:fill="auto"/>
            <w:noWrap/>
            <w:vAlign w:val="center"/>
          </w:tcPr>
          <w:p w14:paraId="44EAE585"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271 497</w:t>
            </w:r>
          </w:p>
        </w:tc>
        <w:tc>
          <w:tcPr>
            <w:tcW w:w="1276" w:type="dxa"/>
            <w:tcBorders>
              <w:bottom w:val="nil"/>
            </w:tcBorders>
            <w:shd w:val="clear" w:color="auto" w:fill="auto"/>
            <w:noWrap/>
            <w:vAlign w:val="center"/>
          </w:tcPr>
          <w:p w14:paraId="02740380"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303 657</w:t>
            </w:r>
          </w:p>
        </w:tc>
        <w:tc>
          <w:tcPr>
            <w:tcW w:w="1192" w:type="dxa"/>
            <w:tcBorders>
              <w:bottom w:val="nil"/>
            </w:tcBorders>
            <w:shd w:val="clear" w:color="auto" w:fill="auto"/>
            <w:noWrap/>
            <w:vAlign w:val="center"/>
          </w:tcPr>
          <w:p w14:paraId="37B6F35B" w14:textId="77777777" w:rsidR="003958FD" w:rsidRPr="003958FD" w:rsidRDefault="003958FD" w:rsidP="00D2103B">
            <w:pPr>
              <w:spacing w:before="20" w:after="20"/>
              <w:ind w:left="-57" w:right="397"/>
              <w:jc w:val="right"/>
              <w:rPr>
                <w:rFonts w:eastAsia="Times New Roman"/>
                <w:sz w:val="18"/>
                <w:szCs w:val="18"/>
                <w:lang w:val="es-ES"/>
              </w:rPr>
            </w:pPr>
            <w:r w:rsidRPr="003958FD">
              <w:rPr>
                <w:rFonts w:eastAsia="Times New Roman"/>
                <w:sz w:val="18"/>
                <w:szCs w:val="18"/>
                <w:lang w:val="es-ES"/>
              </w:rPr>
              <w:t>71.1</w:t>
            </w:r>
          </w:p>
        </w:tc>
        <w:tc>
          <w:tcPr>
            <w:tcW w:w="940" w:type="dxa"/>
            <w:tcBorders>
              <w:bottom w:val="nil"/>
            </w:tcBorders>
            <w:shd w:val="clear" w:color="auto" w:fill="auto"/>
            <w:vAlign w:val="center"/>
          </w:tcPr>
          <w:p w14:paraId="00A2CA33"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11.8</w:t>
            </w:r>
          </w:p>
        </w:tc>
        <w:tc>
          <w:tcPr>
            <w:tcW w:w="987" w:type="dxa"/>
            <w:tcBorders>
              <w:bottom w:val="nil"/>
            </w:tcBorders>
            <w:shd w:val="clear" w:color="auto" w:fill="auto"/>
            <w:vAlign w:val="center"/>
          </w:tcPr>
          <w:p w14:paraId="0033AC5F" w14:textId="77777777" w:rsidR="003958FD" w:rsidRPr="003958FD" w:rsidRDefault="003958FD" w:rsidP="003958FD">
            <w:pPr>
              <w:spacing w:before="20" w:after="20"/>
              <w:ind w:right="113"/>
              <w:jc w:val="right"/>
              <w:rPr>
                <w:rFonts w:eastAsia="Times New Roman"/>
                <w:sz w:val="18"/>
                <w:szCs w:val="18"/>
                <w:lang w:val="es-ES"/>
              </w:rPr>
            </w:pPr>
            <w:r w:rsidRPr="003958FD">
              <w:rPr>
                <w:rFonts w:eastAsia="Times New Roman"/>
                <w:sz w:val="18"/>
                <w:szCs w:val="18"/>
                <w:lang w:val="es-ES"/>
              </w:rPr>
              <w:t>32 160</w:t>
            </w:r>
          </w:p>
        </w:tc>
      </w:tr>
      <w:tr w:rsidR="003958FD" w:rsidRPr="003958FD" w14:paraId="0A2B7F04" w14:textId="77777777" w:rsidTr="003958FD">
        <w:trPr>
          <w:trHeight w:val="170"/>
          <w:jc w:val="center"/>
        </w:trPr>
        <w:tc>
          <w:tcPr>
            <w:tcW w:w="709" w:type="dxa"/>
            <w:tcBorders>
              <w:top w:val="nil"/>
              <w:bottom w:val="nil"/>
              <w:right w:val="nil"/>
            </w:tcBorders>
            <w:shd w:val="clear" w:color="auto" w:fill="auto"/>
            <w:vAlign w:val="center"/>
          </w:tcPr>
          <w:p w14:paraId="14741810" w14:textId="77777777" w:rsidR="003958FD" w:rsidRPr="003958FD" w:rsidRDefault="003958FD" w:rsidP="003958FD">
            <w:pPr>
              <w:ind w:right="170"/>
              <w:jc w:val="right"/>
              <w:rPr>
                <w:rFonts w:eastAsia="Times New Roman"/>
                <w:sz w:val="18"/>
                <w:szCs w:val="18"/>
                <w:lang w:val="es-ES"/>
              </w:rPr>
            </w:pPr>
            <w:r w:rsidRPr="003958FD">
              <w:rPr>
                <w:rFonts w:eastAsia="Times New Roman"/>
                <w:sz w:val="18"/>
                <w:szCs w:val="18"/>
                <w:lang w:val="es-ES"/>
              </w:rPr>
              <w:t>2</w:t>
            </w:r>
          </w:p>
        </w:tc>
        <w:tc>
          <w:tcPr>
            <w:tcW w:w="160" w:type="dxa"/>
            <w:tcBorders>
              <w:top w:val="nil"/>
              <w:left w:val="nil"/>
              <w:bottom w:val="nil"/>
            </w:tcBorders>
            <w:shd w:val="clear" w:color="auto" w:fill="auto"/>
            <w:vAlign w:val="center"/>
          </w:tcPr>
          <w:p w14:paraId="44CBC8BF" w14:textId="77777777" w:rsidR="003958FD" w:rsidRPr="003958FD" w:rsidRDefault="003958FD" w:rsidP="003958FD">
            <w:pPr>
              <w:rPr>
                <w:rFonts w:eastAsia="Times New Roman"/>
                <w:b/>
                <w:bCs/>
                <w:sz w:val="18"/>
                <w:szCs w:val="18"/>
                <w:lang w:val="es-ES"/>
              </w:rPr>
            </w:pPr>
          </w:p>
        </w:tc>
        <w:tc>
          <w:tcPr>
            <w:tcW w:w="832" w:type="dxa"/>
            <w:tcBorders>
              <w:top w:val="nil"/>
              <w:bottom w:val="nil"/>
            </w:tcBorders>
            <w:shd w:val="clear" w:color="auto" w:fill="auto"/>
            <w:vAlign w:val="center"/>
          </w:tcPr>
          <w:p w14:paraId="58E1244C" w14:textId="77777777" w:rsidR="003958FD" w:rsidRPr="003958FD" w:rsidRDefault="003958FD" w:rsidP="003958FD">
            <w:pPr>
              <w:spacing w:before="20" w:after="20"/>
              <w:ind w:right="113"/>
              <w:jc w:val="center"/>
              <w:rPr>
                <w:rFonts w:eastAsia="Times New Roman"/>
                <w:sz w:val="18"/>
                <w:szCs w:val="18"/>
                <w:lang w:val="es-ES"/>
              </w:rPr>
            </w:pPr>
            <w:r w:rsidRPr="003958FD">
              <w:rPr>
                <w:rFonts w:eastAsia="Times New Roman"/>
                <w:sz w:val="18"/>
                <w:szCs w:val="18"/>
                <w:lang w:val="es-ES"/>
              </w:rPr>
              <w:t>2</w:t>
            </w:r>
          </w:p>
        </w:tc>
        <w:tc>
          <w:tcPr>
            <w:tcW w:w="2552" w:type="dxa"/>
            <w:tcBorders>
              <w:top w:val="nil"/>
              <w:bottom w:val="nil"/>
            </w:tcBorders>
            <w:shd w:val="clear" w:color="auto" w:fill="auto"/>
            <w:noWrap/>
            <w:vAlign w:val="center"/>
          </w:tcPr>
          <w:p w14:paraId="503A5A70" w14:textId="77777777" w:rsidR="003958FD" w:rsidRPr="003958FD" w:rsidRDefault="003958FD" w:rsidP="003958FD">
            <w:pPr>
              <w:spacing w:before="20" w:after="20"/>
              <w:rPr>
                <w:rFonts w:eastAsia="Times New Roman"/>
                <w:sz w:val="18"/>
                <w:szCs w:val="18"/>
                <w:lang w:val="es-ES"/>
              </w:rPr>
            </w:pPr>
            <w:r w:rsidRPr="003958FD">
              <w:rPr>
                <w:rFonts w:eastAsia="Times New Roman"/>
                <w:sz w:val="18"/>
                <w:szCs w:val="18"/>
                <w:lang w:val="es-ES"/>
              </w:rPr>
              <w:t>Canadá</w:t>
            </w:r>
          </w:p>
        </w:tc>
        <w:tc>
          <w:tcPr>
            <w:tcW w:w="1134" w:type="dxa"/>
            <w:tcBorders>
              <w:top w:val="nil"/>
              <w:bottom w:val="nil"/>
            </w:tcBorders>
            <w:shd w:val="clear" w:color="auto" w:fill="auto"/>
            <w:noWrap/>
            <w:vAlign w:val="center"/>
          </w:tcPr>
          <w:p w14:paraId="69AC6AEE"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37 391</w:t>
            </w:r>
          </w:p>
        </w:tc>
        <w:tc>
          <w:tcPr>
            <w:tcW w:w="1276" w:type="dxa"/>
            <w:tcBorders>
              <w:top w:val="nil"/>
              <w:bottom w:val="nil"/>
            </w:tcBorders>
            <w:shd w:val="clear" w:color="auto" w:fill="auto"/>
            <w:noWrap/>
            <w:vAlign w:val="center"/>
          </w:tcPr>
          <w:p w14:paraId="168F0A0D"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50 933</w:t>
            </w:r>
          </w:p>
        </w:tc>
        <w:tc>
          <w:tcPr>
            <w:tcW w:w="1192" w:type="dxa"/>
            <w:tcBorders>
              <w:top w:val="nil"/>
              <w:bottom w:val="nil"/>
            </w:tcBorders>
            <w:shd w:val="clear" w:color="auto" w:fill="auto"/>
            <w:noWrap/>
            <w:vAlign w:val="center"/>
          </w:tcPr>
          <w:p w14:paraId="0881432F" w14:textId="77777777" w:rsidR="003958FD" w:rsidRPr="003958FD" w:rsidRDefault="003958FD" w:rsidP="00D2103B">
            <w:pPr>
              <w:spacing w:before="20" w:after="20"/>
              <w:ind w:left="-57" w:right="397"/>
              <w:jc w:val="right"/>
              <w:rPr>
                <w:rFonts w:eastAsia="Times New Roman"/>
                <w:sz w:val="18"/>
                <w:szCs w:val="18"/>
                <w:lang w:val="es-ES"/>
              </w:rPr>
            </w:pPr>
            <w:r w:rsidRPr="003958FD">
              <w:rPr>
                <w:rFonts w:eastAsia="Times New Roman"/>
                <w:sz w:val="18"/>
                <w:szCs w:val="18"/>
                <w:lang w:val="es-ES"/>
              </w:rPr>
              <w:t>11.9</w:t>
            </w:r>
          </w:p>
        </w:tc>
        <w:tc>
          <w:tcPr>
            <w:tcW w:w="940" w:type="dxa"/>
            <w:tcBorders>
              <w:top w:val="nil"/>
              <w:bottom w:val="nil"/>
            </w:tcBorders>
            <w:shd w:val="clear" w:color="auto" w:fill="auto"/>
            <w:vAlign w:val="center"/>
          </w:tcPr>
          <w:p w14:paraId="61FB06DD"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36.2</w:t>
            </w:r>
          </w:p>
        </w:tc>
        <w:tc>
          <w:tcPr>
            <w:tcW w:w="987" w:type="dxa"/>
            <w:tcBorders>
              <w:top w:val="nil"/>
              <w:bottom w:val="nil"/>
            </w:tcBorders>
            <w:shd w:val="clear" w:color="auto" w:fill="auto"/>
            <w:vAlign w:val="center"/>
          </w:tcPr>
          <w:p w14:paraId="76432D3D" w14:textId="77777777" w:rsidR="003958FD" w:rsidRPr="003958FD" w:rsidRDefault="003958FD" w:rsidP="003958FD">
            <w:pPr>
              <w:spacing w:before="20" w:after="20"/>
              <w:ind w:right="113"/>
              <w:jc w:val="right"/>
              <w:rPr>
                <w:rFonts w:eastAsia="Times New Roman"/>
                <w:sz w:val="18"/>
                <w:szCs w:val="18"/>
                <w:lang w:val="es-ES"/>
              </w:rPr>
            </w:pPr>
            <w:r w:rsidRPr="003958FD">
              <w:rPr>
                <w:rFonts w:eastAsia="Times New Roman"/>
                <w:sz w:val="18"/>
                <w:szCs w:val="18"/>
                <w:lang w:val="es-ES"/>
              </w:rPr>
              <w:t>13 542</w:t>
            </w:r>
          </w:p>
        </w:tc>
      </w:tr>
      <w:tr w:rsidR="003958FD" w:rsidRPr="003958FD" w14:paraId="3CF66F98" w14:textId="77777777" w:rsidTr="003958FD">
        <w:trPr>
          <w:trHeight w:val="170"/>
          <w:jc w:val="center"/>
        </w:trPr>
        <w:tc>
          <w:tcPr>
            <w:tcW w:w="709" w:type="dxa"/>
            <w:tcBorders>
              <w:top w:val="nil"/>
              <w:bottom w:val="nil"/>
              <w:right w:val="nil"/>
            </w:tcBorders>
            <w:shd w:val="clear" w:color="auto" w:fill="auto"/>
            <w:vAlign w:val="center"/>
          </w:tcPr>
          <w:p w14:paraId="41B467B0" w14:textId="77777777" w:rsidR="003958FD" w:rsidRPr="003958FD" w:rsidRDefault="003958FD" w:rsidP="003958FD">
            <w:pPr>
              <w:ind w:right="170"/>
              <w:jc w:val="right"/>
              <w:rPr>
                <w:rFonts w:eastAsia="Times New Roman"/>
                <w:sz w:val="18"/>
                <w:szCs w:val="18"/>
                <w:lang w:val="es-ES"/>
              </w:rPr>
            </w:pPr>
            <w:r w:rsidRPr="003958FD">
              <w:rPr>
                <w:rFonts w:eastAsia="Times New Roman"/>
                <w:sz w:val="18"/>
                <w:szCs w:val="18"/>
                <w:lang w:val="es-ES"/>
              </w:rPr>
              <w:t>3</w:t>
            </w:r>
          </w:p>
        </w:tc>
        <w:tc>
          <w:tcPr>
            <w:tcW w:w="160" w:type="dxa"/>
            <w:tcBorders>
              <w:top w:val="nil"/>
              <w:left w:val="nil"/>
              <w:bottom w:val="nil"/>
            </w:tcBorders>
            <w:shd w:val="clear" w:color="auto" w:fill="auto"/>
            <w:vAlign w:val="center"/>
          </w:tcPr>
          <w:p w14:paraId="40FA9D5C" w14:textId="77777777" w:rsidR="003958FD" w:rsidRPr="003958FD" w:rsidRDefault="003958FD" w:rsidP="003958FD">
            <w:pPr>
              <w:rPr>
                <w:rFonts w:eastAsia="Times New Roman"/>
                <w:b/>
                <w:bCs/>
                <w:sz w:val="18"/>
                <w:szCs w:val="18"/>
                <w:lang w:val="es-ES"/>
              </w:rPr>
            </w:pPr>
          </w:p>
        </w:tc>
        <w:tc>
          <w:tcPr>
            <w:tcW w:w="832" w:type="dxa"/>
            <w:tcBorders>
              <w:top w:val="nil"/>
              <w:bottom w:val="nil"/>
            </w:tcBorders>
            <w:shd w:val="clear" w:color="auto" w:fill="auto"/>
            <w:vAlign w:val="center"/>
          </w:tcPr>
          <w:p w14:paraId="6973A4C4" w14:textId="77777777" w:rsidR="003958FD" w:rsidRPr="003958FD" w:rsidRDefault="003958FD" w:rsidP="003958FD">
            <w:pPr>
              <w:spacing w:before="20" w:after="20"/>
              <w:ind w:right="113"/>
              <w:jc w:val="center"/>
              <w:rPr>
                <w:rFonts w:eastAsia="Times New Roman"/>
                <w:sz w:val="18"/>
                <w:szCs w:val="18"/>
                <w:lang w:val="es-ES"/>
              </w:rPr>
            </w:pPr>
            <w:r w:rsidRPr="003958FD">
              <w:rPr>
                <w:rFonts w:eastAsia="Times New Roman"/>
                <w:sz w:val="18"/>
                <w:szCs w:val="18"/>
                <w:lang w:val="es-ES"/>
              </w:rPr>
              <w:t xml:space="preserve">3   </w:t>
            </w:r>
          </w:p>
        </w:tc>
        <w:tc>
          <w:tcPr>
            <w:tcW w:w="2552" w:type="dxa"/>
            <w:tcBorders>
              <w:top w:val="nil"/>
              <w:bottom w:val="nil"/>
            </w:tcBorders>
            <w:shd w:val="clear" w:color="auto" w:fill="auto"/>
            <w:noWrap/>
            <w:vAlign w:val="center"/>
          </w:tcPr>
          <w:p w14:paraId="1484E4F2" w14:textId="77777777" w:rsidR="003958FD" w:rsidRPr="003958FD" w:rsidRDefault="003958FD" w:rsidP="003958FD">
            <w:pPr>
              <w:spacing w:before="20" w:after="20"/>
              <w:rPr>
                <w:rFonts w:eastAsia="Times New Roman"/>
                <w:sz w:val="18"/>
                <w:szCs w:val="18"/>
                <w:lang w:val="es-ES"/>
              </w:rPr>
            </w:pPr>
            <w:r w:rsidRPr="003958FD">
              <w:rPr>
                <w:rFonts w:eastAsia="Times New Roman"/>
                <w:sz w:val="18"/>
                <w:szCs w:val="18"/>
                <w:lang w:val="es-ES"/>
              </w:rPr>
              <w:t>Brasil</w:t>
            </w:r>
          </w:p>
        </w:tc>
        <w:tc>
          <w:tcPr>
            <w:tcW w:w="1134" w:type="dxa"/>
            <w:tcBorders>
              <w:top w:val="nil"/>
              <w:bottom w:val="nil"/>
            </w:tcBorders>
            <w:shd w:val="clear" w:color="auto" w:fill="auto"/>
            <w:noWrap/>
            <w:vAlign w:val="center"/>
          </w:tcPr>
          <w:p w14:paraId="494FE76A"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13 520</w:t>
            </w:r>
          </w:p>
        </w:tc>
        <w:tc>
          <w:tcPr>
            <w:tcW w:w="1276" w:type="dxa"/>
            <w:tcBorders>
              <w:top w:val="nil"/>
              <w:bottom w:val="nil"/>
            </w:tcBorders>
            <w:shd w:val="clear" w:color="auto" w:fill="auto"/>
            <w:noWrap/>
            <w:vAlign w:val="center"/>
          </w:tcPr>
          <w:p w14:paraId="196D9CA3"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11 443</w:t>
            </w:r>
          </w:p>
        </w:tc>
        <w:tc>
          <w:tcPr>
            <w:tcW w:w="1192" w:type="dxa"/>
            <w:tcBorders>
              <w:top w:val="nil"/>
              <w:bottom w:val="nil"/>
            </w:tcBorders>
            <w:shd w:val="clear" w:color="auto" w:fill="auto"/>
            <w:noWrap/>
            <w:vAlign w:val="center"/>
          </w:tcPr>
          <w:p w14:paraId="1D1EC580" w14:textId="77777777" w:rsidR="003958FD" w:rsidRPr="003958FD" w:rsidRDefault="003958FD" w:rsidP="00D2103B">
            <w:pPr>
              <w:spacing w:before="20" w:after="20"/>
              <w:ind w:left="-57" w:right="397"/>
              <w:jc w:val="right"/>
              <w:rPr>
                <w:rFonts w:eastAsia="Times New Roman"/>
                <w:sz w:val="18"/>
                <w:szCs w:val="18"/>
                <w:lang w:val="es-ES"/>
              </w:rPr>
            </w:pPr>
            <w:r w:rsidRPr="003958FD">
              <w:rPr>
                <w:rFonts w:eastAsia="Times New Roman"/>
                <w:sz w:val="18"/>
                <w:szCs w:val="18"/>
                <w:lang w:val="es-ES"/>
              </w:rPr>
              <w:t>2.7</w:t>
            </w:r>
          </w:p>
        </w:tc>
        <w:tc>
          <w:tcPr>
            <w:tcW w:w="940" w:type="dxa"/>
            <w:tcBorders>
              <w:top w:val="nil"/>
              <w:bottom w:val="nil"/>
            </w:tcBorders>
            <w:shd w:val="clear" w:color="auto" w:fill="auto"/>
            <w:vAlign w:val="center"/>
          </w:tcPr>
          <w:p w14:paraId="408B8063"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-15.4</w:t>
            </w:r>
          </w:p>
        </w:tc>
        <w:tc>
          <w:tcPr>
            <w:tcW w:w="987" w:type="dxa"/>
            <w:tcBorders>
              <w:top w:val="nil"/>
              <w:bottom w:val="nil"/>
            </w:tcBorders>
            <w:shd w:val="clear" w:color="auto" w:fill="auto"/>
            <w:vAlign w:val="center"/>
          </w:tcPr>
          <w:p w14:paraId="42C93B58" w14:textId="77777777" w:rsidR="003958FD" w:rsidRPr="003958FD" w:rsidRDefault="003958FD" w:rsidP="003958FD">
            <w:pPr>
              <w:spacing w:before="20" w:after="20"/>
              <w:ind w:right="113"/>
              <w:jc w:val="right"/>
              <w:rPr>
                <w:rFonts w:eastAsia="Times New Roman"/>
                <w:sz w:val="18"/>
                <w:szCs w:val="18"/>
                <w:lang w:val="es-ES"/>
              </w:rPr>
            </w:pPr>
            <w:r w:rsidRPr="003958FD">
              <w:rPr>
                <w:rFonts w:eastAsia="Times New Roman"/>
                <w:sz w:val="18"/>
                <w:szCs w:val="18"/>
                <w:lang w:val="es-ES"/>
              </w:rPr>
              <w:t>-2 077</w:t>
            </w:r>
          </w:p>
        </w:tc>
      </w:tr>
      <w:tr w:rsidR="003958FD" w:rsidRPr="003958FD" w14:paraId="1EE9FAE0" w14:textId="77777777" w:rsidTr="003958FD">
        <w:trPr>
          <w:trHeight w:val="170"/>
          <w:jc w:val="center"/>
        </w:trPr>
        <w:tc>
          <w:tcPr>
            <w:tcW w:w="709" w:type="dxa"/>
            <w:tcBorders>
              <w:top w:val="nil"/>
              <w:bottom w:val="nil"/>
              <w:right w:val="nil"/>
            </w:tcBorders>
            <w:shd w:val="clear" w:color="auto" w:fill="auto"/>
            <w:vAlign w:val="center"/>
          </w:tcPr>
          <w:p w14:paraId="5523DEC7" w14:textId="77777777" w:rsidR="003958FD" w:rsidRPr="003958FD" w:rsidRDefault="003958FD" w:rsidP="003958FD">
            <w:pPr>
              <w:ind w:right="170"/>
              <w:jc w:val="right"/>
              <w:rPr>
                <w:rFonts w:eastAsia="Times New Roman"/>
                <w:sz w:val="18"/>
                <w:szCs w:val="18"/>
                <w:lang w:val="es-ES"/>
              </w:rPr>
            </w:pPr>
            <w:r w:rsidRPr="003958FD">
              <w:rPr>
                <w:rFonts w:eastAsia="Times New Roman"/>
                <w:sz w:val="18"/>
                <w:szCs w:val="18"/>
                <w:lang w:val="es-ES"/>
              </w:rPr>
              <w:t>4</w:t>
            </w:r>
          </w:p>
        </w:tc>
        <w:tc>
          <w:tcPr>
            <w:tcW w:w="160" w:type="dxa"/>
            <w:tcBorders>
              <w:top w:val="nil"/>
              <w:left w:val="nil"/>
              <w:bottom w:val="nil"/>
            </w:tcBorders>
            <w:shd w:val="clear" w:color="auto" w:fill="auto"/>
            <w:vAlign w:val="center"/>
          </w:tcPr>
          <w:p w14:paraId="5C2659D9" w14:textId="77777777" w:rsidR="003958FD" w:rsidRPr="003958FD" w:rsidRDefault="003958FD" w:rsidP="003958FD">
            <w:pPr>
              <w:rPr>
                <w:rFonts w:eastAsia="Times New Roman"/>
                <w:b/>
                <w:bCs/>
                <w:sz w:val="18"/>
                <w:szCs w:val="18"/>
                <w:lang w:val="es-ES"/>
              </w:rPr>
            </w:pPr>
          </w:p>
        </w:tc>
        <w:tc>
          <w:tcPr>
            <w:tcW w:w="832" w:type="dxa"/>
            <w:tcBorders>
              <w:top w:val="nil"/>
              <w:bottom w:val="nil"/>
            </w:tcBorders>
            <w:shd w:val="clear" w:color="auto" w:fill="auto"/>
            <w:vAlign w:val="center"/>
          </w:tcPr>
          <w:p w14:paraId="4651C6B4" w14:textId="77777777" w:rsidR="003958FD" w:rsidRPr="003958FD" w:rsidRDefault="003958FD" w:rsidP="003958FD">
            <w:pPr>
              <w:spacing w:before="20" w:after="20"/>
              <w:ind w:right="113"/>
              <w:jc w:val="center"/>
              <w:rPr>
                <w:rFonts w:eastAsia="Times New Roman"/>
                <w:sz w:val="18"/>
                <w:szCs w:val="18"/>
                <w:lang w:val="es-ES"/>
              </w:rPr>
            </w:pPr>
            <w:r w:rsidRPr="003958FD">
              <w:rPr>
                <w:rFonts w:eastAsia="Times New Roman"/>
                <w:sz w:val="18"/>
                <w:szCs w:val="18"/>
                <w:lang w:val="es-ES"/>
              </w:rPr>
              <w:t xml:space="preserve">4  </w:t>
            </w:r>
          </w:p>
        </w:tc>
        <w:tc>
          <w:tcPr>
            <w:tcW w:w="2552" w:type="dxa"/>
            <w:tcBorders>
              <w:top w:val="nil"/>
              <w:bottom w:val="nil"/>
            </w:tcBorders>
            <w:shd w:val="clear" w:color="auto" w:fill="auto"/>
            <w:noWrap/>
            <w:vAlign w:val="center"/>
          </w:tcPr>
          <w:p w14:paraId="4A40BE4F" w14:textId="77777777" w:rsidR="003958FD" w:rsidRPr="003958FD" w:rsidRDefault="003958FD" w:rsidP="003958FD">
            <w:pPr>
              <w:spacing w:before="20" w:after="20"/>
              <w:rPr>
                <w:rFonts w:eastAsia="Times New Roman"/>
                <w:sz w:val="18"/>
                <w:szCs w:val="18"/>
                <w:lang w:val="es-ES"/>
              </w:rPr>
            </w:pPr>
            <w:r w:rsidRPr="003958FD">
              <w:rPr>
                <w:rFonts w:eastAsia="Times New Roman"/>
                <w:sz w:val="18"/>
                <w:szCs w:val="18"/>
                <w:lang w:val="es-ES"/>
              </w:rPr>
              <w:t>Alemania</w:t>
            </w:r>
          </w:p>
        </w:tc>
        <w:tc>
          <w:tcPr>
            <w:tcW w:w="1134" w:type="dxa"/>
            <w:tcBorders>
              <w:top w:val="nil"/>
              <w:bottom w:val="nil"/>
            </w:tcBorders>
            <w:shd w:val="clear" w:color="auto" w:fill="auto"/>
            <w:noWrap/>
            <w:vAlign w:val="center"/>
          </w:tcPr>
          <w:p w14:paraId="30D1AB27"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12 475</w:t>
            </w:r>
          </w:p>
        </w:tc>
        <w:tc>
          <w:tcPr>
            <w:tcW w:w="1276" w:type="dxa"/>
            <w:tcBorders>
              <w:top w:val="nil"/>
              <w:bottom w:val="nil"/>
            </w:tcBorders>
            <w:shd w:val="clear" w:color="auto" w:fill="auto"/>
            <w:noWrap/>
            <w:vAlign w:val="center"/>
          </w:tcPr>
          <w:p w14:paraId="769FB176"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10 632</w:t>
            </w:r>
          </w:p>
        </w:tc>
        <w:tc>
          <w:tcPr>
            <w:tcW w:w="1192" w:type="dxa"/>
            <w:tcBorders>
              <w:top w:val="nil"/>
              <w:bottom w:val="nil"/>
            </w:tcBorders>
            <w:shd w:val="clear" w:color="auto" w:fill="auto"/>
            <w:noWrap/>
            <w:vAlign w:val="center"/>
          </w:tcPr>
          <w:p w14:paraId="6767E1D8" w14:textId="77777777" w:rsidR="003958FD" w:rsidRPr="003958FD" w:rsidRDefault="003958FD" w:rsidP="00D2103B">
            <w:pPr>
              <w:spacing w:before="20" w:after="20"/>
              <w:ind w:left="-57" w:right="397"/>
              <w:jc w:val="right"/>
              <w:rPr>
                <w:rFonts w:eastAsia="Times New Roman"/>
                <w:sz w:val="18"/>
                <w:szCs w:val="18"/>
                <w:lang w:val="es-ES"/>
              </w:rPr>
            </w:pPr>
            <w:r w:rsidRPr="003958FD">
              <w:rPr>
                <w:rFonts w:eastAsia="Times New Roman"/>
                <w:sz w:val="18"/>
                <w:szCs w:val="18"/>
                <w:lang w:val="es-ES"/>
              </w:rPr>
              <w:t>2.5</w:t>
            </w:r>
          </w:p>
        </w:tc>
        <w:tc>
          <w:tcPr>
            <w:tcW w:w="940" w:type="dxa"/>
            <w:tcBorders>
              <w:top w:val="nil"/>
              <w:bottom w:val="nil"/>
            </w:tcBorders>
            <w:shd w:val="clear" w:color="auto" w:fill="auto"/>
            <w:vAlign w:val="center"/>
          </w:tcPr>
          <w:p w14:paraId="174FFD8D"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-14.8</w:t>
            </w:r>
          </w:p>
        </w:tc>
        <w:tc>
          <w:tcPr>
            <w:tcW w:w="987" w:type="dxa"/>
            <w:tcBorders>
              <w:top w:val="nil"/>
              <w:bottom w:val="nil"/>
            </w:tcBorders>
            <w:shd w:val="clear" w:color="auto" w:fill="auto"/>
            <w:vAlign w:val="center"/>
          </w:tcPr>
          <w:p w14:paraId="72BEDB24" w14:textId="77777777" w:rsidR="003958FD" w:rsidRPr="003958FD" w:rsidRDefault="003958FD" w:rsidP="003958FD">
            <w:pPr>
              <w:spacing w:before="20" w:after="20"/>
              <w:ind w:right="113"/>
              <w:jc w:val="right"/>
              <w:rPr>
                <w:rFonts w:eastAsia="Times New Roman"/>
                <w:sz w:val="18"/>
                <w:szCs w:val="18"/>
                <w:lang w:val="es-ES"/>
              </w:rPr>
            </w:pPr>
            <w:r w:rsidRPr="003958FD">
              <w:rPr>
                <w:rFonts w:eastAsia="Times New Roman"/>
                <w:sz w:val="18"/>
                <w:szCs w:val="18"/>
                <w:lang w:val="es-ES"/>
              </w:rPr>
              <w:t>-1 843</w:t>
            </w:r>
          </w:p>
        </w:tc>
      </w:tr>
      <w:tr w:rsidR="003958FD" w:rsidRPr="003958FD" w14:paraId="3DBB3962" w14:textId="77777777" w:rsidTr="003958FD">
        <w:trPr>
          <w:trHeight w:val="170"/>
          <w:jc w:val="center"/>
        </w:trPr>
        <w:tc>
          <w:tcPr>
            <w:tcW w:w="709" w:type="dxa"/>
            <w:tcBorders>
              <w:top w:val="nil"/>
              <w:bottom w:val="nil"/>
              <w:right w:val="nil"/>
            </w:tcBorders>
            <w:shd w:val="clear" w:color="auto" w:fill="auto"/>
            <w:vAlign w:val="center"/>
          </w:tcPr>
          <w:p w14:paraId="114A3487" w14:textId="77777777" w:rsidR="003958FD" w:rsidRPr="003958FD" w:rsidRDefault="003958FD" w:rsidP="003958FD">
            <w:pPr>
              <w:ind w:right="170"/>
              <w:jc w:val="right"/>
              <w:rPr>
                <w:rFonts w:eastAsia="Times New Roman"/>
                <w:sz w:val="18"/>
                <w:szCs w:val="18"/>
                <w:lang w:val="es-ES"/>
              </w:rPr>
            </w:pPr>
            <w:r w:rsidRPr="003958FD">
              <w:rPr>
                <w:rFonts w:eastAsia="Times New Roman"/>
                <w:sz w:val="18"/>
                <w:szCs w:val="18"/>
                <w:lang w:val="es-ES"/>
              </w:rPr>
              <w:t>6</w:t>
            </w:r>
          </w:p>
        </w:tc>
        <w:tc>
          <w:tcPr>
            <w:tcW w:w="160" w:type="dxa"/>
            <w:tcBorders>
              <w:top w:val="nil"/>
              <w:left w:val="nil"/>
              <w:bottom w:val="nil"/>
            </w:tcBorders>
            <w:shd w:val="clear" w:color="auto" w:fill="auto"/>
            <w:vAlign w:val="center"/>
          </w:tcPr>
          <w:p w14:paraId="66CDC7A7" w14:textId="77777777" w:rsidR="003958FD" w:rsidRPr="003958FD" w:rsidRDefault="003958FD" w:rsidP="003958FD">
            <w:pPr>
              <w:rPr>
                <w:rFonts w:eastAsia="Times New Roman"/>
                <w:b/>
                <w:bCs/>
                <w:sz w:val="18"/>
                <w:szCs w:val="18"/>
                <w:lang w:val="es-ES"/>
              </w:rPr>
            </w:pPr>
          </w:p>
        </w:tc>
        <w:tc>
          <w:tcPr>
            <w:tcW w:w="832" w:type="dxa"/>
            <w:tcBorders>
              <w:top w:val="nil"/>
              <w:bottom w:val="nil"/>
            </w:tcBorders>
            <w:shd w:val="clear" w:color="auto" w:fill="auto"/>
            <w:vAlign w:val="center"/>
          </w:tcPr>
          <w:p w14:paraId="7F713CBD" w14:textId="77777777" w:rsidR="003958FD" w:rsidRPr="003958FD" w:rsidRDefault="003958FD" w:rsidP="003958FD">
            <w:pPr>
              <w:spacing w:before="20" w:after="20"/>
              <w:ind w:right="113"/>
              <w:jc w:val="center"/>
              <w:rPr>
                <w:rFonts w:eastAsia="Times New Roman"/>
                <w:sz w:val="18"/>
                <w:szCs w:val="18"/>
                <w:lang w:val="es-ES"/>
              </w:rPr>
            </w:pPr>
            <w:r w:rsidRPr="003958FD">
              <w:rPr>
                <w:rFonts w:eastAsia="Times New Roman"/>
                <w:sz w:val="18"/>
                <w:szCs w:val="18"/>
                <w:lang w:val="es-ES"/>
              </w:rPr>
              <w:t xml:space="preserve">    5  </w:t>
            </w:r>
            <w:r w:rsidRPr="003958FD">
              <w:rPr>
                <w:rFonts w:eastAsia="Times New Roman"/>
                <w:b/>
                <w:bCs/>
                <w:sz w:val="18"/>
                <w:szCs w:val="18"/>
                <w:lang w:val="es-ES"/>
              </w:rPr>
              <w:t>↑</w:t>
            </w:r>
          </w:p>
        </w:tc>
        <w:tc>
          <w:tcPr>
            <w:tcW w:w="2552" w:type="dxa"/>
            <w:tcBorders>
              <w:top w:val="nil"/>
              <w:bottom w:val="nil"/>
            </w:tcBorders>
            <w:shd w:val="clear" w:color="auto" w:fill="auto"/>
            <w:noWrap/>
            <w:vAlign w:val="center"/>
          </w:tcPr>
          <w:p w14:paraId="36340E28" w14:textId="77777777" w:rsidR="003958FD" w:rsidRPr="003958FD" w:rsidRDefault="003958FD" w:rsidP="003958FD">
            <w:pPr>
              <w:spacing w:before="20" w:after="20"/>
              <w:rPr>
                <w:rFonts w:eastAsia="Times New Roman"/>
                <w:sz w:val="18"/>
                <w:szCs w:val="18"/>
                <w:lang w:val="es-ES"/>
              </w:rPr>
            </w:pPr>
            <w:r w:rsidRPr="003958FD">
              <w:rPr>
                <w:rFonts w:eastAsia="Times New Roman"/>
                <w:sz w:val="18"/>
                <w:szCs w:val="18"/>
                <w:lang w:val="es-ES"/>
              </w:rPr>
              <w:t>Colombia</w:t>
            </w:r>
          </w:p>
        </w:tc>
        <w:tc>
          <w:tcPr>
            <w:tcW w:w="1134" w:type="dxa"/>
            <w:tcBorders>
              <w:top w:val="nil"/>
              <w:bottom w:val="nil"/>
            </w:tcBorders>
            <w:shd w:val="clear" w:color="auto" w:fill="auto"/>
            <w:noWrap/>
            <w:vAlign w:val="center"/>
          </w:tcPr>
          <w:p w14:paraId="060FD2CD"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7 362</w:t>
            </w:r>
          </w:p>
        </w:tc>
        <w:tc>
          <w:tcPr>
            <w:tcW w:w="1276" w:type="dxa"/>
            <w:tcBorders>
              <w:top w:val="nil"/>
              <w:bottom w:val="nil"/>
            </w:tcBorders>
            <w:shd w:val="clear" w:color="auto" w:fill="auto"/>
            <w:noWrap/>
            <w:vAlign w:val="center"/>
          </w:tcPr>
          <w:p w14:paraId="2816B3C7"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7 582</w:t>
            </w:r>
          </w:p>
        </w:tc>
        <w:tc>
          <w:tcPr>
            <w:tcW w:w="1192" w:type="dxa"/>
            <w:tcBorders>
              <w:top w:val="nil"/>
              <w:bottom w:val="nil"/>
            </w:tcBorders>
            <w:shd w:val="clear" w:color="auto" w:fill="auto"/>
            <w:noWrap/>
            <w:vAlign w:val="center"/>
          </w:tcPr>
          <w:p w14:paraId="09FBA0B4" w14:textId="77777777" w:rsidR="003958FD" w:rsidRPr="003958FD" w:rsidRDefault="003958FD" w:rsidP="00D2103B">
            <w:pPr>
              <w:spacing w:before="20" w:after="20"/>
              <w:ind w:left="-57" w:right="397"/>
              <w:jc w:val="right"/>
              <w:rPr>
                <w:rFonts w:eastAsia="Times New Roman"/>
                <w:sz w:val="18"/>
                <w:szCs w:val="18"/>
                <w:lang w:val="es-ES"/>
              </w:rPr>
            </w:pPr>
            <w:r w:rsidRPr="003958FD">
              <w:rPr>
                <w:rFonts w:eastAsia="Times New Roman"/>
                <w:sz w:val="18"/>
                <w:szCs w:val="18"/>
                <w:lang w:val="es-ES"/>
              </w:rPr>
              <w:t>1.8</w:t>
            </w:r>
          </w:p>
        </w:tc>
        <w:tc>
          <w:tcPr>
            <w:tcW w:w="940" w:type="dxa"/>
            <w:tcBorders>
              <w:top w:val="nil"/>
              <w:bottom w:val="nil"/>
            </w:tcBorders>
            <w:shd w:val="clear" w:color="auto" w:fill="auto"/>
            <w:vAlign w:val="center"/>
          </w:tcPr>
          <w:p w14:paraId="1550D0D7"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3.0</w:t>
            </w:r>
          </w:p>
        </w:tc>
        <w:tc>
          <w:tcPr>
            <w:tcW w:w="987" w:type="dxa"/>
            <w:tcBorders>
              <w:top w:val="nil"/>
              <w:bottom w:val="nil"/>
            </w:tcBorders>
            <w:shd w:val="clear" w:color="auto" w:fill="auto"/>
            <w:vAlign w:val="center"/>
          </w:tcPr>
          <w:p w14:paraId="58688B77" w14:textId="77777777" w:rsidR="003958FD" w:rsidRPr="003958FD" w:rsidRDefault="003958FD" w:rsidP="003958FD">
            <w:pPr>
              <w:spacing w:before="20" w:after="20"/>
              <w:ind w:right="113"/>
              <w:jc w:val="right"/>
              <w:rPr>
                <w:rFonts w:eastAsia="Times New Roman"/>
                <w:sz w:val="18"/>
                <w:szCs w:val="18"/>
                <w:lang w:val="es-ES"/>
              </w:rPr>
            </w:pPr>
            <w:r w:rsidRPr="003958FD">
              <w:rPr>
                <w:rFonts w:eastAsia="Times New Roman"/>
                <w:sz w:val="18"/>
                <w:szCs w:val="18"/>
                <w:lang w:val="es-ES"/>
              </w:rPr>
              <w:t>220</w:t>
            </w:r>
          </w:p>
        </w:tc>
      </w:tr>
      <w:tr w:rsidR="003958FD" w:rsidRPr="003958FD" w14:paraId="331DC626" w14:textId="77777777" w:rsidTr="003958FD">
        <w:trPr>
          <w:trHeight w:val="145"/>
          <w:jc w:val="center"/>
        </w:trPr>
        <w:tc>
          <w:tcPr>
            <w:tcW w:w="709" w:type="dxa"/>
            <w:tcBorders>
              <w:top w:val="nil"/>
              <w:bottom w:val="nil"/>
              <w:right w:val="nil"/>
            </w:tcBorders>
            <w:shd w:val="clear" w:color="auto" w:fill="auto"/>
            <w:vAlign w:val="center"/>
          </w:tcPr>
          <w:p w14:paraId="529546AF" w14:textId="77777777" w:rsidR="003958FD" w:rsidRPr="003958FD" w:rsidRDefault="003958FD" w:rsidP="003958FD">
            <w:pPr>
              <w:ind w:right="170"/>
              <w:jc w:val="right"/>
              <w:rPr>
                <w:rFonts w:eastAsia="Times New Roman"/>
                <w:sz w:val="18"/>
                <w:szCs w:val="18"/>
                <w:lang w:val="es-ES"/>
              </w:rPr>
            </w:pPr>
            <w:r w:rsidRPr="003958FD">
              <w:rPr>
                <w:rFonts w:eastAsia="Times New Roman"/>
                <w:sz w:val="18"/>
                <w:szCs w:val="18"/>
                <w:lang w:val="es-ES"/>
              </w:rPr>
              <w:t>5</w:t>
            </w:r>
          </w:p>
        </w:tc>
        <w:tc>
          <w:tcPr>
            <w:tcW w:w="160" w:type="dxa"/>
            <w:tcBorders>
              <w:top w:val="nil"/>
              <w:left w:val="nil"/>
              <w:bottom w:val="nil"/>
            </w:tcBorders>
            <w:shd w:val="clear" w:color="auto" w:fill="auto"/>
            <w:vAlign w:val="center"/>
          </w:tcPr>
          <w:p w14:paraId="43C5787F" w14:textId="77777777" w:rsidR="003958FD" w:rsidRPr="003958FD" w:rsidRDefault="003958FD" w:rsidP="003958FD">
            <w:pPr>
              <w:rPr>
                <w:rFonts w:eastAsia="Times New Roman"/>
                <w:b/>
                <w:bCs/>
                <w:sz w:val="18"/>
                <w:szCs w:val="18"/>
                <w:lang w:val="es-ES"/>
              </w:rPr>
            </w:pPr>
          </w:p>
        </w:tc>
        <w:tc>
          <w:tcPr>
            <w:tcW w:w="832" w:type="dxa"/>
            <w:tcBorders>
              <w:top w:val="nil"/>
              <w:bottom w:val="nil"/>
            </w:tcBorders>
            <w:shd w:val="clear" w:color="auto" w:fill="auto"/>
            <w:vAlign w:val="center"/>
          </w:tcPr>
          <w:p w14:paraId="09AC8093" w14:textId="77777777" w:rsidR="003958FD" w:rsidRPr="003958FD" w:rsidRDefault="003958FD" w:rsidP="003958FD">
            <w:pPr>
              <w:spacing w:before="20" w:after="20"/>
              <w:ind w:right="113"/>
              <w:jc w:val="center"/>
              <w:rPr>
                <w:rFonts w:eastAsia="Times New Roman"/>
                <w:sz w:val="18"/>
                <w:szCs w:val="18"/>
                <w:lang w:val="es-ES"/>
              </w:rPr>
            </w:pPr>
            <w:r w:rsidRPr="003958FD">
              <w:rPr>
                <w:rFonts w:eastAsia="Times New Roman"/>
                <w:sz w:val="18"/>
                <w:szCs w:val="18"/>
                <w:lang w:val="es-ES"/>
              </w:rPr>
              <w:t xml:space="preserve">    6  </w:t>
            </w:r>
            <w:r w:rsidRPr="003958FD">
              <w:rPr>
                <w:rFonts w:eastAsia="Times New Roman"/>
                <w:b/>
                <w:bCs/>
                <w:sz w:val="18"/>
                <w:szCs w:val="18"/>
                <w:lang w:val="es-ES"/>
              </w:rPr>
              <w:t>↓</w:t>
            </w:r>
          </w:p>
        </w:tc>
        <w:tc>
          <w:tcPr>
            <w:tcW w:w="2552" w:type="dxa"/>
            <w:tcBorders>
              <w:top w:val="nil"/>
              <w:bottom w:val="nil"/>
            </w:tcBorders>
            <w:shd w:val="clear" w:color="auto" w:fill="auto"/>
            <w:noWrap/>
            <w:vAlign w:val="center"/>
          </w:tcPr>
          <w:p w14:paraId="39CD321D" w14:textId="77777777" w:rsidR="003958FD" w:rsidRPr="003958FD" w:rsidRDefault="003958FD" w:rsidP="003958FD">
            <w:pPr>
              <w:spacing w:before="20" w:after="20"/>
              <w:rPr>
                <w:rFonts w:eastAsia="Times New Roman"/>
                <w:sz w:val="18"/>
                <w:szCs w:val="18"/>
                <w:lang w:val="es-ES"/>
              </w:rPr>
            </w:pPr>
            <w:r w:rsidRPr="003958FD">
              <w:rPr>
                <w:rFonts w:eastAsia="Times New Roman"/>
                <w:sz w:val="18"/>
                <w:szCs w:val="18"/>
                <w:lang w:val="es-ES"/>
              </w:rPr>
              <w:t>China</w:t>
            </w:r>
          </w:p>
        </w:tc>
        <w:tc>
          <w:tcPr>
            <w:tcW w:w="1134" w:type="dxa"/>
            <w:tcBorders>
              <w:top w:val="nil"/>
              <w:bottom w:val="nil"/>
            </w:tcBorders>
            <w:shd w:val="clear" w:color="auto" w:fill="auto"/>
            <w:noWrap/>
            <w:vAlign w:val="center"/>
          </w:tcPr>
          <w:p w14:paraId="10084A8B"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8 030</w:t>
            </w:r>
          </w:p>
        </w:tc>
        <w:tc>
          <w:tcPr>
            <w:tcW w:w="1276" w:type="dxa"/>
            <w:tcBorders>
              <w:top w:val="nil"/>
              <w:bottom w:val="nil"/>
            </w:tcBorders>
            <w:shd w:val="clear" w:color="auto" w:fill="auto"/>
            <w:noWrap/>
            <w:vAlign w:val="center"/>
          </w:tcPr>
          <w:p w14:paraId="29207F54"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7 213</w:t>
            </w:r>
          </w:p>
        </w:tc>
        <w:tc>
          <w:tcPr>
            <w:tcW w:w="1192" w:type="dxa"/>
            <w:tcBorders>
              <w:top w:val="nil"/>
              <w:bottom w:val="nil"/>
            </w:tcBorders>
            <w:shd w:val="clear" w:color="auto" w:fill="auto"/>
            <w:noWrap/>
            <w:vAlign w:val="center"/>
          </w:tcPr>
          <w:p w14:paraId="5EC18245" w14:textId="77777777" w:rsidR="003958FD" w:rsidRPr="003958FD" w:rsidRDefault="003958FD" w:rsidP="00D2103B">
            <w:pPr>
              <w:spacing w:before="20" w:after="20"/>
              <w:ind w:left="-57" w:right="397"/>
              <w:jc w:val="right"/>
              <w:rPr>
                <w:rFonts w:eastAsia="Times New Roman"/>
                <w:sz w:val="18"/>
                <w:szCs w:val="18"/>
                <w:lang w:val="es-ES"/>
              </w:rPr>
            </w:pPr>
            <w:r w:rsidRPr="003958FD">
              <w:rPr>
                <w:rFonts w:eastAsia="Times New Roman"/>
                <w:sz w:val="18"/>
                <w:szCs w:val="18"/>
                <w:lang w:val="es-ES"/>
              </w:rPr>
              <w:t>1.7</w:t>
            </w:r>
          </w:p>
        </w:tc>
        <w:tc>
          <w:tcPr>
            <w:tcW w:w="940" w:type="dxa"/>
            <w:tcBorders>
              <w:top w:val="nil"/>
              <w:bottom w:val="nil"/>
            </w:tcBorders>
            <w:shd w:val="clear" w:color="auto" w:fill="auto"/>
            <w:vAlign w:val="center"/>
          </w:tcPr>
          <w:p w14:paraId="40AF7938"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-10.2</w:t>
            </w:r>
          </w:p>
        </w:tc>
        <w:tc>
          <w:tcPr>
            <w:tcW w:w="987" w:type="dxa"/>
            <w:tcBorders>
              <w:top w:val="nil"/>
              <w:bottom w:val="nil"/>
            </w:tcBorders>
            <w:shd w:val="clear" w:color="auto" w:fill="auto"/>
            <w:vAlign w:val="center"/>
          </w:tcPr>
          <w:p w14:paraId="26CA1F41" w14:textId="77777777" w:rsidR="003958FD" w:rsidRPr="003958FD" w:rsidRDefault="003958FD" w:rsidP="003958FD">
            <w:pPr>
              <w:spacing w:before="20" w:after="20"/>
              <w:ind w:right="113"/>
              <w:jc w:val="right"/>
              <w:rPr>
                <w:rFonts w:eastAsia="Times New Roman"/>
                <w:sz w:val="18"/>
                <w:szCs w:val="18"/>
                <w:lang w:val="es-ES"/>
              </w:rPr>
            </w:pPr>
            <w:r w:rsidRPr="003958FD">
              <w:rPr>
                <w:rFonts w:eastAsia="Times New Roman"/>
                <w:sz w:val="18"/>
                <w:szCs w:val="18"/>
                <w:lang w:val="es-ES"/>
              </w:rPr>
              <w:t>-817</w:t>
            </w:r>
          </w:p>
        </w:tc>
      </w:tr>
      <w:tr w:rsidR="003958FD" w:rsidRPr="003958FD" w14:paraId="4BC2C7D3" w14:textId="77777777" w:rsidTr="003958FD">
        <w:trPr>
          <w:trHeight w:val="170"/>
          <w:jc w:val="center"/>
        </w:trPr>
        <w:tc>
          <w:tcPr>
            <w:tcW w:w="709" w:type="dxa"/>
            <w:tcBorders>
              <w:top w:val="nil"/>
              <w:bottom w:val="nil"/>
              <w:right w:val="nil"/>
            </w:tcBorders>
            <w:shd w:val="clear" w:color="auto" w:fill="auto"/>
            <w:vAlign w:val="center"/>
          </w:tcPr>
          <w:p w14:paraId="184768DD" w14:textId="77777777" w:rsidR="003958FD" w:rsidRPr="003958FD" w:rsidRDefault="003958FD" w:rsidP="003958FD">
            <w:pPr>
              <w:ind w:right="170"/>
              <w:jc w:val="right"/>
              <w:rPr>
                <w:rFonts w:eastAsia="Times New Roman"/>
                <w:sz w:val="18"/>
                <w:szCs w:val="18"/>
                <w:lang w:val="es-ES"/>
              </w:rPr>
            </w:pPr>
            <w:r w:rsidRPr="003958FD">
              <w:rPr>
                <w:rFonts w:eastAsia="Times New Roman"/>
                <w:sz w:val="18"/>
                <w:szCs w:val="18"/>
                <w:lang w:val="es-ES"/>
              </w:rPr>
              <w:t>8</w:t>
            </w:r>
          </w:p>
        </w:tc>
        <w:tc>
          <w:tcPr>
            <w:tcW w:w="160" w:type="dxa"/>
            <w:tcBorders>
              <w:top w:val="nil"/>
              <w:left w:val="nil"/>
              <w:bottom w:val="nil"/>
            </w:tcBorders>
            <w:shd w:val="clear" w:color="auto" w:fill="auto"/>
            <w:vAlign w:val="center"/>
          </w:tcPr>
          <w:p w14:paraId="068E9D96" w14:textId="77777777" w:rsidR="003958FD" w:rsidRPr="003958FD" w:rsidRDefault="003958FD" w:rsidP="003958FD">
            <w:pPr>
              <w:rPr>
                <w:rFonts w:eastAsia="Times New Roman"/>
                <w:b/>
                <w:bCs/>
                <w:sz w:val="18"/>
                <w:szCs w:val="18"/>
                <w:lang w:val="es-ES"/>
              </w:rPr>
            </w:pPr>
          </w:p>
        </w:tc>
        <w:tc>
          <w:tcPr>
            <w:tcW w:w="832" w:type="dxa"/>
            <w:tcBorders>
              <w:top w:val="nil"/>
              <w:bottom w:val="nil"/>
            </w:tcBorders>
            <w:shd w:val="clear" w:color="auto" w:fill="auto"/>
            <w:vAlign w:val="center"/>
          </w:tcPr>
          <w:p w14:paraId="284038EB" w14:textId="77777777" w:rsidR="003958FD" w:rsidRPr="003958FD" w:rsidRDefault="003958FD" w:rsidP="003958FD">
            <w:pPr>
              <w:spacing w:before="20" w:after="20"/>
              <w:ind w:right="113"/>
              <w:jc w:val="center"/>
              <w:rPr>
                <w:rFonts w:eastAsia="Times New Roman"/>
                <w:sz w:val="18"/>
                <w:szCs w:val="18"/>
                <w:lang w:val="es-ES"/>
              </w:rPr>
            </w:pPr>
            <w:r w:rsidRPr="003958FD">
              <w:rPr>
                <w:rFonts w:eastAsia="Times New Roman"/>
                <w:sz w:val="18"/>
                <w:szCs w:val="18"/>
                <w:lang w:val="es-ES"/>
              </w:rPr>
              <w:t xml:space="preserve">    7  </w:t>
            </w:r>
            <w:r w:rsidRPr="003958FD">
              <w:rPr>
                <w:rFonts w:eastAsia="Times New Roman"/>
                <w:b/>
                <w:bCs/>
                <w:sz w:val="18"/>
                <w:szCs w:val="18"/>
                <w:lang w:val="es-ES"/>
              </w:rPr>
              <w:t>↑</w:t>
            </w:r>
          </w:p>
        </w:tc>
        <w:tc>
          <w:tcPr>
            <w:tcW w:w="2552" w:type="dxa"/>
            <w:tcBorders>
              <w:top w:val="nil"/>
              <w:bottom w:val="nil"/>
            </w:tcBorders>
            <w:shd w:val="clear" w:color="auto" w:fill="auto"/>
            <w:noWrap/>
            <w:vAlign w:val="center"/>
          </w:tcPr>
          <w:p w14:paraId="42D45667" w14:textId="77777777" w:rsidR="003958FD" w:rsidRPr="003958FD" w:rsidRDefault="003958FD" w:rsidP="003958FD">
            <w:pPr>
              <w:spacing w:before="20" w:after="20"/>
              <w:rPr>
                <w:rFonts w:eastAsia="Times New Roman"/>
                <w:sz w:val="18"/>
                <w:szCs w:val="18"/>
                <w:lang w:val="es-ES"/>
              </w:rPr>
            </w:pPr>
            <w:r w:rsidRPr="003958FD">
              <w:rPr>
                <w:rFonts w:eastAsia="Times New Roman"/>
                <w:sz w:val="18"/>
                <w:szCs w:val="18"/>
                <w:lang w:val="es-ES"/>
              </w:rPr>
              <w:t xml:space="preserve">Arabia </w:t>
            </w:r>
          </w:p>
        </w:tc>
        <w:tc>
          <w:tcPr>
            <w:tcW w:w="1134" w:type="dxa"/>
            <w:tcBorders>
              <w:top w:val="nil"/>
              <w:bottom w:val="nil"/>
            </w:tcBorders>
            <w:shd w:val="clear" w:color="auto" w:fill="auto"/>
            <w:noWrap/>
            <w:vAlign w:val="center"/>
          </w:tcPr>
          <w:p w14:paraId="67038EBF"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2 736</w:t>
            </w:r>
          </w:p>
        </w:tc>
        <w:tc>
          <w:tcPr>
            <w:tcW w:w="1276" w:type="dxa"/>
            <w:tcBorders>
              <w:top w:val="nil"/>
              <w:bottom w:val="nil"/>
            </w:tcBorders>
            <w:shd w:val="clear" w:color="auto" w:fill="auto"/>
            <w:noWrap/>
            <w:vAlign w:val="center"/>
          </w:tcPr>
          <w:p w14:paraId="0E8833B8"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5 176</w:t>
            </w:r>
          </w:p>
        </w:tc>
        <w:tc>
          <w:tcPr>
            <w:tcW w:w="1192" w:type="dxa"/>
            <w:tcBorders>
              <w:top w:val="nil"/>
              <w:bottom w:val="nil"/>
            </w:tcBorders>
            <w:shd w:val="clear" w:color="auto" w:fill="auto"/>
            <w:noWrap/>
            <w:vAlign w:val="center"/>
          </w:tcPr>
          <w:p w14:paraId="1A34D6C3" w14:textId="77777777" w:rsidR="003958FD" w:rsidRPr="003958FD" w:rsidRDefault="003958FD" w:rsidP="00D2103B">
            <w:pPr>
              <w:spacing w:before="20" w:after="20"/>
              <w:ind w:left="-57" w:right="397"/>
              <w:jc w:val="right"/>
              <w:rPr>
                <w:rFonts w:eastAsia="Times New Roman"/>
                <w:sz w:val="18"/>
                <w:szCs w:val="18"/>
                <w:lang w:val="es-ES"/>
              </w:rPr>
            </w:pPr>
            <w:r w:rsidRPr="003958FD">
              <w:rPr>
                <w:rFonts w:eastAsia="Times New Roman"/>
                <w:sz w:val="18"/>
                <w:szCs w:val="18"/>
                <w:lang w:val="es-ES"/>
              </w:rPr>
              <w:t>1.2</w:t>
            </w:r>
          </w:p>
        </w:tc>
        <w:tc>
          <w:tcPr>
            <w:tcW w:w="940" w:type="dxa"/>
            <w:tcBorders>
              <w:top w:val="nil"/>
              <w:bottom w:val="nil"/>
            </w:tcBorders>
            <w:shd w:val="clear" w:color="auto" w:fill="auto"/>
            <w:vAlign w:val="center"/>
          </w:tcPr>
          <w:p w14:paraId="781FC42A"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89.2</w:t>
            </w:r>
          </w:p>
        </w:tc>
        <w:tc>
          <w:tcPr>
            <w:tcW w:w="987" w:type="dxa"/>
            <w:tcBorders>
              <w:top w:val="nil"/>
              <w:bottom w:val="nil"/>
            </w:tcBorders>
            <w:shd w:val="clear" w:color="auto" w:fill="auto"/>
            <w:vAlign w:val="center"/>
          </w:tcPr>
          <w:p w14:paraId="75B56A7A" w14:textId="77777777" w:rsidR="003958FD" w:rsidRPr="003958FD" w:rsidRDefault="003958FD" w:rsidP="003958FD">
            <w:pPr>
              <w:spacing w:before="20" w:after="20"/>
              <w:ind w:right="113"/>
              <w:jc w:val="right"/>
              <w:rPr>
                <w:rFonts w:eastAsia="Times New Roman"/>
                <w:sz w:val="18"/>
                <w:szCs w:val="18"/>
                <w:lang w:val="es-ES"/>
              </w:rPr>
            </w:pPr>
            <w:r w:rsidRPr="003958FD">
              <w:rPr>
                <w:rFonts w:eastAsia="Times New Roman"/>
                <w:sz w:val="18"/>
                <w:szCs w:val="18"/>
                <w:lang w:val="es-ES"/>
              </w:rPr>
              <w:t>2 440</w:t>
            </w:r>
          </w:p>
        </w:tc>
      </w:tr>
      <w:tr w:rsidR="003958FD" w:rsidRPr="003958FD" w14:paraId="7FF8D620" w14:textId="77777777" w:rsidTr="003958FD">
        <w:trPr>
          <w:trHeight w:val="170"/>
          <w:jc w:val="center"/>
        </w:trPr>
        <w:tc>
          <w:tcPr>
            <w:tcW w:w="709" w:type="dxa"/>
            <w:tcBorders>
              <w:top w:val="nil"/>
              <w:bottom w:val="nil"/>
              <w:right w:val="nil"/>
            </w:tcBorders>
            <w:shd w:val="clear" w:color="auto" w:fill="auto"/>
            <w:vAlign w:val="center"/>
          </w:tcPr>
          <w:p w14:paraId="0A78CD16" w14:textId="77777777" w:rsidR="003958FD" w:rsidRPr="003958FD" w:rsidRDefault="003958FD" w:rsidP="003958FD">
            <w:pPr>
              <w:ind w:right="170"/>
              <w:jc w:val="right"/>
              <w:rPr>
                <w:rFonts w:eastAsia="Times New Roman"/>
                <w:sz w:val="18"/>
                <w:szCs w:val="18"/>
                <w:lang w:val="es-ES"/>
              </w:rPr>
            </w:pPr>
            <w:r w:rsidRPr="003958FD">
              <w:rPr>
                <w:rFonts w:eastAsia="Times New Roman"/>
                <w:sz w:val="18"/>
                <w:szCs w:val="18"/>
                <w:lang w:val="es-ES"/>
              </w:rPr>
              <w:t>13</w:t>
            </w:r>
          </w:p>
        </w:tc>
        <w:tc>
          <w:tcPr>
            <w:tcW w:w="160" w:type="dxa"/>
            <w:tcBorders>
              <w:top w:val="nil"/>
              <w:left w:val="nil"/>
              <w:bottom w:val="nil"/>
            </w:tcBorders>
            <w:shd w:val="clear" w:color="auto" w:fill="auto"/>
            <w:vAlign w:val="center"/>
          </w:tcPr>
          <w:p w14:paraId="576079E4" w14:textId="77777777" w:rsidR="003958FD" w:rsidRPr="003958FD" w:rsidRDefault="003958FD" w:rsidP="003958FD">
            <w:pPr>
              <w:rPr>
                <w:rFonts w:eastAsia="Times New Roman"/>
                <w:b/>
                <w:bCs/>
                <w:sz w:val="18"/>
                <w:szCs w:val="18"/>
                <w:lang w:val="es-ES"/>
              </w:rPr>
            </w:pPr>
          </w:p>
        </w:tc>
        <w:tc>
          <w:tcPr>
            <w:tcW w:w="832" w:type="dxa"/>
            <w:tcBorders>
              <w:top w:val="nil"/>
              <w:bottom w:val="nil"/>
            </w:tcBorders>
            <w:shd w:val="clear" w:color="auto" w:fill="auto"/>
            <w:vAlign w:val="center"/>
          </w:tcPr>
          <w:p w14:paraId="2B3102CF" w14:textId="77777777" w:rsidR="003958FD" w:rsidRPr="003958FD" w:rsidRDefault="003958FD" w:rsidP="003958FD">
            <w:pPr>
              <w:spacing w:before="20" w:after="20"/>
              <w:ind w:right="113"/>
              <w:jc w:val="center"/>
              <w:rPr>
                <w:rFonts w:eastAsia="Times New Roman"/>
                <w:sz w:val="18"/>
                <w:szCs w:val="18"/>
                <w:lang w:val="es-ES"/>
              </w:rPr>
            </w:pPr>
            <w:r w:rsidRPr="003958FD">
              <w:rPr>
                <w:rFonts w:eastAsia="Times New Roman"/>
                <w:sz w:val="18"/>
                <w:szCs w:val="18"/>
                <w:lang w:val="es-ES"/>
              </w:rPr>
              <w:t xml:space="preserve">    8 ↑</w:t>
            </w:r>
          </w:p>
        </w:tc>
        <w:tc>
          <w:tcPr>
            <w:tcW w:w="2552" w:type="dxa"/>
            <w:tcBorders>
              <w:top w:val="nil"/>
              <w:bottom w:val="nil"/>
            </w:tcBorders>
            <w:shd w:val="clear" w:color="auto" w:fill="auto"/>
            <w:noWrap/>
            <w:vAlign w:val="center"/>
          </w:tcPr>
          <w:p w14:paraId="12459705" w14:textId="77777777" w:rsidR="003958FD" w:rsidRPr="003958FD" w:rsidRDefault="003958FD" w:rsidP="003958FD">
            <w:pPr>
              <w:spacing w:before="20" w:after="20"/>
              <w:rPr>
                <w:rFonts w:eastAsia="Times New Roman"/>
                <w:sz w:val="18"/>
                <w:szCs w:val="18"/>
                <w:lang w:val="es-ES"/>
              </w:rPr>
            </w:pPr>
            <w:r w:rsidRPr="003958FD">
              <w:rPr>
                <w:rFonts w:eastAsia="Times New Roman"/>
                <w:sz w:val="18"/>
                <w:szCs w:val="18"/>
                <w:lang w:val="es-ES"/>
              </w:rPr>
              <w:t xml:space="preserve">Italia </w:t>
            </w:r>
          </w:p>
        </w:tc>
        <w:tc>
          <w:tcPr>
            <w:tcW w:w="1134" w:type="dxa"/>
            <w:tcBorders>
              <w:top w:val="nil"/>
              <w:bottom w:val="nil"/>
            </w:tcBorders>
            <w:shd w:val="clear" w:color="auto" w:fill="auto"/>
            <w:noWrap/>
            <w:vAlign w:val="center"/>
          </w:tcPr>
          <w:p w14:paraId="12BF49CD"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1 002</w:t>
            </w:r>
          </w:p>
        </w:tc>
        <w:tc>
          <w:tcPr>
            <w:tcW w:w="1276" w:type="dxa"/>
            <w:tcBorders>
              <w:top w:val="nil"/>
              <w:bottom w:val="nil"/>
            </w:tcBorders>
            <w:shd w:val="clear" w:color="auto" w:fill="auto"/>
            <w:noWrap/>
            <w:vAlign w:val="center"/>
          </w:tcPr>
          <w:p w14:paraId="4F7EECAD"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2 136</w:t>
            </w:r>
          </w:p>
        </w:tc>
        <w:tc>
          <w:tcPr>
            <w:tcW w:w="1192" w:type="dxa"/>
            <w:tcBorders>
              <w:top w:val="nil"/>
              <w:bottom w:val="nil"/>
            </w:tcBorders>
            <w:shd w:val="clear" w:color="auto" w:fill="auto"/>
            <w:noWrap/>
            <w:vAlign w:val="center"/>
          </w:tcPr>
          <w:p w14:paraId="534A9352" w14:textId="77777777" w:rsidR="003958FD" w:rsidRPr="003958FD" w:rsidRDefault="003958FD" w:rsidP="00D2103B">
            <w:pPr>
              <w:spacing w:before="20" w:after="20"/>
              <w:ind w:left="-57" w:right="397"/>
              <w:jc w:val="right"/>
              <w:rPr>
                <w:rFonts w:eastAsia="Times New Roman"/>
                <w:sz w:val="18"/>
                <w:szCs w:val="18"/>
                <w:lang w:val="es-ES"/>
              </w:rPr>
            </w:pPr>
            <w:r w:rsidRPr="003958FD">
              <w:rPr>
                <w:rFonts w:eastAsia="Times New Roman"/>
                <w:sz w:val="18"/>
                <w:szCs w:val="18"/>
                <w:lang w:val="es-ES"/>
              </w:rPr>
              <w:t>0.5</w:t>
            </w:r>
          </w:p>
        </w:tc>
        <w:tc>
          <w:tcPr>
            <w:tcW w:w="940" w:type="dxa"/>
            <w:tcBorders>
              <w:top w:val="nil"/>
              <w:bottom w:val="nil"/>
            </w:tcBorders>
            <w:shd w:val="clear" w:color="auto" w:fill="auto"/>
            <w:vAlign w:val="center"/>
          </w:tcPr>
          <w:p w14:paraId="6F028EE5"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113.2</w:t>
            </w:r>
          </w:p>
        </w:tc>
        <w:tc>
          <w:tcPr>
            <w:tcW w:w="987" w:type="dxa"/>
            <w:tcBorders>
              <w:top w:val="nil"/>
              <w:bottom w:val="nil"/>
            </w:tcBorders>
            <w:shd w:val="clear" w:color="auto" w:fill="auto"/>
            <w:vAlign w:val="center"/>
          </w:tcPr>
          <w:p w14:paraId="5030ECCA" w14:textId="77777777" w:rsidR="003958FD" w:rsidRPr="003958FD" w:rsidRDefault="003958FD" w:rsidP="003958FD">
            <w:pPr>
              <w:spacing w:before="20" w:after="20"/>
              <w:ind w:right="113"/>
              <w:jc w:val="right"/>
              <w:rPr>
                <w:rFonts w:eastAsia="Times New Roman"/>
                <w:sz w:val="18"/>
                <w:szCs w:val="18"/>
                <w:lang w:val="es-ES"/>
              </w:rPr>
            </w:pPr>
            <w:r w:rsidRPr="003958FD">
              <w:rPr>
                <w:rFonts w:eastAsia="Times New Roman"/>
                <w:sz w:val="18"/>
                <w:szCs w:val="18"/>
                <w:lang w:val="es-ES"/>
              </w:rPr>
              <w:t>1 134</w:t>
            </w:r>
          </w:p>
        </w:tc>
      </w:tr>
      <w:tr w:rsidR="003958FD" w:rsidRPr="003958FD" w14:paraId="37E3F7B4" w14:textId="77777777" w:rsidTr="003958FD">
        <w:trPr>
          <w:trHeight w:val="170"/>
          <w:jc w:val="center"/>
        </w:trPr>
        <w:tc>
          <w:tcPr>
            <w:tcW w:w="709" w:type="dxa"/>
            <w:tcBorders>
              <w:top w:val="nil"/>
              <w:bottom w:val="nil"/>
              <w:right w:val="nil"/>
            </w:tcBorders>
            <w:shd w:val="clear" w:color="auto" w:fill="auto"/>
            <w:vAlign w:val="center"/>
          </w:tcPr>
          <w:p w14:paraId="083B742D" w14:textId="77777777" w:rsidR="003958FD" w:rsidRPr="003958FD" w:rsidRDefault="003958FD" w:rsidP="003958FD">
            <w:pPr>
              <w:ind w:right="170"/>
              <w:jc w:val="right"/>
              <w:rPr>
                <w:rFonts w:eastAsia="Times New Roman"/>
                <w:sz w:val="18"/>
                <w:szCs w:val="18"/>
                <w:lang w:val="es-ES"/>
              </w:rPr>
            </w:pPr>
            <w:r w:rsidRPr="003958FD">
              <w:rPr>
                <w:rFonts w:eastAsia="Times New Roman"/>
                <w:sz w:val="18"/>
                <w:szCs w:val="18"/>
                <w:lang w:val="es-ES"/>
              </w:rPr>
              <w:t>7</w:t>
            </w:r>
          </w:p>
        </w:tc>
        <w:tc>
          <w:tcPr>
            <w:tcW w:w="160" w:type="dxa"/>
            <w:tcBorders>
              <w:top w:val="nil"/>
              <w:left w:val="nil"/>
              <w:bottom w:val="nil"/>
            </w:tcBorders>
            <w:shd w:val="clear" w:color="auto" w:fill="auto"/>
            <w:vAlign w:val="center"/>
          </w:tcPr>
          <w:p w14:paraId="6BE4A136" w14:textId="77777777" w:rsidR="003958FD" w:rsidRPr="003958FD" w:rsidRDefault="003958FD" w:rsidP="003958FD">
            <w:pPr>
              <w:rPr>
                <w:rFonts w:eastAsia="Times New Roman"/>
                <w:b/>
                <w:bCs/>
                <w:sz w:val="18"/>
                <w:szCs w:val="18"/>
                <w:lang w:val="es-ES"/>
              </w:rPr>
            </w:pPr>
          </w:p>
        </w:tc>
        <w:tc>
          <w:tcPr>
            <w:tcW w:w="832" w:type="dxa"/>
            <w:tcBorders>
              <w:top w:val="nil"/>
              <w:bottom w:val="nil"/>
            </w:tcBorders>
            <w:shd w:val="clear" w:color="auto" w:fill="auto"/>
            <w:vAlign w:val="center"/>
          </w:tcPr>
          <w:p w14:paraId="3D097DAB" w14:textId="77777777" w:rsidR="003958FD" w:rsidRPr="003958FD" w:rsidRDefault="003958FD" w:rsidP="003958FD">
            <w:pPr>
              <w:spacing w:before="20" w:after="20"/>
              <w:ind w:right="113"/>
              <w:rPr>
                <w:rFonts w:eastAsia="Times New Roman"/>
                <w:sz w:val="18"/>
                <w:szCs w:val="18"/>
                <w:lang w:val="es-ES"/>
              </w:rPr>
            </w:pPr>
            <w:r w:rsidRPr="003958FD">
              <w:rPr>
                <w:rFonts w:eastAsia="Times New Roman"/>
                <w:sz w:val="18"/>
                <w:szCs w:val="18"/>
                <w:lang w:val="es-ES"/>
              </w:rPr>
              <w:t xml:space="preserve">      9 </w:t>
            </w:r>
            <w:r w:rsidRPr="003958FD">
              <w:rPr>
                <w:rFonts w:eastAsia="Times New Roman"/>
                <w:b/>
                <w:bCs/>
                <w:sz w:val="18"/>
                <w:szCs w:val="18"/>
                <w:lang w:val="es-ES"/>
              </w:rPr>
              <w:t>↓</w:t>
            </w:r>
          </w:p>
        </w:tc>
        <w:tc>
          <w:tcPr>
            <w:tcW w:w="2552" w:type="dxa"/>
            <w:tcBorders>
              <w:top w:val="nil"/>
              <w:bottom w:val="nil"/>
            </w:tcBorders>
            <w:shd w:val="clear" w:color="auto" w:fill="auto"/>
            <w:noWrap/>
            <w:vAlign w:val="center"/>
          </w:tcPr>
          <w:p w14:paraId="3026D613" w14:textId="77777777" w:rsidR="003958FD" w:rsidRPr="003958FD" w:rsidRDefault="003958FD" w:rsidP="003958FD">
            <w:pPr>
              <w:spacing w:before="20" w:after="20"/>
              <w:rPr>
                <w:rFonts w:eastAsia="Times New Roman"/>
                <w:sz w:val="18"/>
                <w:szCs w:val="18"/>
                <w:lang w:val="es-ES"/>
              </w:rPr>
            </w:pPr>
            <w:r w:rsidRPr="003958FD">
              <w:rPr>
                <w:rFonts w:eastAsia="Times New Roman"/>
                <w:sz w:val="18"/>
                <w:szCs w:val="18"/>
                <w:lang w:val="es-ES"/>
              </w:rPr>
              <w:t>Argentina</w:t>
            </w:r>
          </w:p>
        </w:tc>
        <w:tc>
          <w:tcPr>
            <w:tcW w:w="1134" w:type="dxa"/>
            <w:tcBorders>
              <w:top w:val="nil"/>
              <w:bottom w:val="nil"/>
            </w:tcBorders>
            <w:shd w:val="clear" w:color="auto" w:fill="auto"/>
            <w:noWrap/>
            <w:vAlign w:val="center"/>
          </w:tcPr>
          <w:p w14:paraId="5CEF5F48"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4 467</w:t>
            </w:r>
          </w:p>
        </w:tc>
        <w:tc>
          <w:tcPr>
            <w:tcW w:w="1276" w:type="dxa"/>
            <w:tcBorders>
              <w:top w:val="nil"/>
              <w:bottom w:val="nil"/>
            </w:tcBorders>
            <w:shd w:val="clear" w:color="auto" w:fill="auto"/>
            <w:noWrap/>
            <w:vAlign w:val="center"/>
          </w:tcPr>
          <w:p w14:paraId="662738D4"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1 830</w:t>
            </w:r>
          </w:p>
        </w:tc>
        <w:tc>
          <w:tcPr>
            <w:tcW w:w="1192" w:type="dxa"/>
            <w:tcBorders>
              <w:top w:val="nil"/>
              <w:bottom w:val="nil"/>
            </w:tcBorders>
            <w:shd w:val="clear" w:color="auto" w:fill="auto"/>
            <w:noWrap/>
            <w:vAlign w:val="center"/>
          </w:tcPr>
          <w:p w14:paraId="09BBF788" w14:textId="77777777" w:rsidR="003958FD" w:rsidRPr="003958FD" w:rsidRDefault="003958FD" w:rsidP="00D2103B">
            <w:pPr>
              <w:spacing w:before="20" w:after="20"/>
              <w:ind w:left="-57" w:right="397"/>
              <w:jc w:val="right"/>
              <w:rPr>
                <w:rFonts w:eastAsia="Times New Roman"/>
                <w:sz w:val="18"/>
                <w:szCs w:val="18"/>
                <w:lang w:val="es-ES"/>
              </w:rPr>
            </w:pPr>
            <w:r w:rsidRPr="003958FD">
              <w:rPr>
                <w:rFonts w:eastAsia="Times New Roman"/>
                <w:sz w:val="18"/>
                <w:szCs w:val="18"/>
                <w:lang w:val="es-ES"/>
              </w:rPr>
              <w:t>0.4</w:t>
            </w:r>
          </w:p>
        </w:tc>
        <w:tc>
          <w:tcPr>
            <w:tcW w:w="940" w:type="dxa"/>
            <w:tcBorders>
              <w:top w:val="nil"/>
              <w:bottom w:val="nil"/>
            </w:tcBorders>
            <w:shd w:val="clear" w:color="auto" w:fill="auto"/>
            <w:vAlign w:val="center"/>
          </w:tcPr>
          <w:p w14:paraId="0B13E012"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-59.0</w:t>
            </w:r>
          </w:p>
        </w:tc>
        <w:tc>
          <w:tcPr>
            <w:tcW w:w="987" w:type="dxa"/>
            <w:tcBorders>
              <w:top w:val="nil"/>
              <w:bottom w:val="nil"/>
            </w:tcBorders>
            <w:shd w:val="clear" w:color="auto" w:fill="auto"/>
            <w:vAlign w:val="center"/>
          </w:tcPr>
          <w:p w14:paraId="1487C6D8" w14:textId="77777777" w:rsidR="003958FD" w:rsidRPr="003958FD" w:rsidRDefault="003958FD" w:rsidP="003958FD">
            <w:pPr>
              <w:spacing w:before="20" w:after="20"/>
              <w:ind w:right="113"/>
              <w:jc w:val="right"/>
              <w:rPr>
                <w:rFonts w:eastAsia="Times New Roman"/>
                <w:sz w:val="18"/>
                <w:szCs w:val="18"/>
                <w:lang w:val="es-ES"/>
              </w:rPr>
            </w:pPr>
            <w:r w:rsidRPr="003958FD">
              <w:rPr>
                <w:rFonts w:eastAsia="Times New Roman"/>
                <w:sz w:val="18"/>
                <w:szCs w:val="18"/>
                <w:lang w:val="es-ES"/>
              </w:rPr>
              <w:t>-2 637</w:t>
            </w:r>
          </w:p>
        </w:tc>
      </w:tr>
      <w:tr w:rsidR="003958FD" w:rsidRPr="003958FD" w14:paraId="1B1FFF54" w14:textId="77777777" w:rsidTr="003958FD">
        <w:trPr>
          <w:trHeight w:val="170"/>
          <w:jc w:val="center"/>
        </w:trPr>
        <w:tc>
          <w:tcPr>
            <w:tcW w:w="709" w:type="dxa"/>
            <w:tcBorders>
              <w:top w:val="nil"/>
              <w:bottom w:val="nil"/>
              <w:right w:val="nil"/>
            </w:tcBorders>
            <w:shd w:val="clear" w:color="auto" w:fill="auto"/>
            <w:vAlign w:val="center"/>
          </w:tcPr>
          <w:p w14:paraId="3FA286D0" w14:textId="77777777" w:rsidR="003958FD" w:rsidRPr="003958FD" w:rsidRDefault="003958FD" w:rsidP="003958FD">
            <w:pPr>
              <w:ind w:right="170"/>
              <w:jc w:val="right"/>
              <w:rPr>
                <w:rFonts w:eastAsia="Times New Roman"/>
                <w:sz w:val="18"/>
                <w:szCs w:val="18"/>
                <w:lang w:val="es-ES"/>
              </w:rPr>
            </w:pPr>
            <w:r w:rsidRPr="003958FD">
              <w:rPr>
                <w:rFonts w:eastAsia="Times New Roman"/>
                <w:sz w:val="18"/>
                <w:szCs w:val="18"/>
                <w:lang w:val="es-ES"/>
              </w:rPr>
              <w:t>10</w:t>
            </w:r>
          </w:p>
        </w:tc>
        <w:tc>
          <w:tcPr>
            <w:tcW w:w="160" w:type="dxa"/>
            <w:tcBorders>
              <w:top w:val="nil"/>
              <w:left w:val="nil"/>
              <w:bottom w:val="nil"/>
            </w:tcBorders>
            <w:shd w:val="clear" w:color="auto" w:fill="auto"/>
            <w:vAlign w:val="center"/>
          </w:tcPr>
          <w:p w14:paraId="591AABE8" w14:textId="77777777" w:rsidR="003958FD" w:rsidRPr="003958FD" w:rsidRDefault="003958FD" w:rsidP="003958FD">
            <w:pPr>
              <w:rPr>
                <w:rFonts w:eastAsia="Times New Roman"/>
                <w:b/>
                <w:bCs/>
                <w:sz w:val="18"/>
                <w:szCs w:val="18"/>
                <w:lang w:val="es-ES"/>
              </w:rPr>
            </w:pPr>
          </w:p>
        </w:tc>
        <w:tc>
          <w:tcPr>
            <w:tcW w:w="832" w:type="dxa"/>
            <w:tcBorders>
              <w:top w:val="nil"/>
              <w:bottom w:val="nil"/>
            </w:tcBorders>
            <w:shd w:val="clear" w:color="auto" w:fill="auto"/>
            <w:vAlign w:val="center"/>
          </w:tcPr>
          <w:p w14:paraId="6F41D505" w14:textId="77777777" w:rsidR="003958FD" w:rsidRPr="003958FD" w:rsidRDefault="003958FD" w:rsidP="003958FD">
            <w:pPr>
              <w:spacing w:before="20" w:after="20"/>
              <w:ind w:right="-70"/>
              <w:rPr>
                <w:rFonts w:eastAsia="Times New Roman"/>
                <w:sz w:val="18"/>
                <w:szCs w:val="18"/>
                <w:lang w:val="es-ES"/>
              </w:rPr>
            </w:pPr>
            <w:r w:rsidRPr="003958FD">
              <w:rPr>
                <w:rFonts w:eastAsia="Times New Roman"/>
                <w:sz w:val="18"/>
                <w:szCs w:val="18"/>
                <w:lang w:val="es-ES"/>
              </w:rPr>
              <w:t xml:space="preserve">    10  </w:t>
            </w:r>
          </w:p>
        </w:tc>
        <w:tc>
          <w:tcPr>
            <w:tcW w:w="2552" w:type="dxa"/>
            <w:tcBorders>
              <w:top w:val="nil"/>
              <w:bottom w:val="nil"/>
            </w:tcBorders>
            <w:shd w:val="clear" w:color="auto" w:fill="auto"/>
            <w:noWrap/>
            <w:vAlign w:val="center"/>
          </w:tcPr>
          <w:p w14:paraId="4B9616AE" w14:textId="77777777" w:rsidR="003958FD" w:rsidRPr="003958FD" w:rsidRDefault="003958FD" w:rsidP="003958FD">
            <w:pPr>
              <w:spacing w:before="20" w:after="20"/>
              <w:rPr>
                <w:rFonts w:eastAsia="Times New Roman"/>
                <w:sz w:val="18"/>
                <w:szCs w:val="18"/>
                <w:lang w:val="es-ES"/>
              </w:rPr>
            </w:pPr>
            <w:r w:rsidRPr="003958FD">
              <w:rPr>
                <w:rFonts w:eastAsia="Times New Roman"/>
                <w:sz w:val="18"/>
                <w:szCs w:val="18"/>
                <w:lang w:val="es-ES"/>
              </w:rPr>
              <w:t xml:space="preserve">Perú </w:t>
            </w:r>
          </w:p>
        </w:tc>
        <w:tc>
          <w:tcPr>
            <w:tcW w:w="1134" w:type="dxa"/>
            <w:tcBorders>
              <w:top w:val="nil"/>
              <w:bottom w:val="nil"/>
            </w:tcBorders>
            <w:shd w:val="clear" w:color="auto" w:fill="auto"/>
            <w:noWrap/>
            <w:vAlign w:val="center"/>
          </w:tcPr>
          <w:p w14:paraId="57F0E069"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1 803</w:t>
            </w:r>
          </w:p>
        </w:tc>
        <w:tc>
          <w:tcPr>
            <w:tcW w:w="1276" w:type="dxa"/>
            <w:tcBorders>
              <w:top w:val="nil"/>
              <w:bottom w:val="nil"/>
            </w:tcBorders>
            <w:shd w:val="clear" w:color="auto" w:fill="auto"/>
            <w:noWrap/>
            <w:vAlign w:val="center"/>
          </w:tcPr>
          <w:p w14:paraId="4EDDF5C2"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1 770</w:t>
            </w:r>
          </w:p>
        </w:tc>
        <w:tc>
          <w:tcPr>
            <w:tcW w:w="1192" w:type="dxa"/>
            <w:tcBorders>
              <w:top w:val="nil"/>
              <w:bottom w:val="nil"/>
            </w:tcBorders>
            <w:shd w:val="clear" w:color="auto" w:fill="auto"/>
            <w:noWrap/>
            <w:vAlign w:val="center"/>
          </w:tcPr>
          <w:p w14:paraId="3429F69C" w14:textId="77777777" w:rsidR="003958FD" w:rsidRPr="003958FD" w:rsidRDefault="003958FD" w:rsidP="00D2103B">
            <w:pPr>
              <w:spacing w:before="20" w:after="20"/>
              <w:ind w:left="-57" w:right="397"/>
              <w:jc w:val="right"/>
              <w:rPr>
                <w:rFonts w:eastAsia="Times New Roman"/>
                <w:sz w:val="18"/>
                <w:szCs w:val="18"/>
                <w:lang w:val="es-ES"/>
              </w:rPr>
            </w:pPr>
            <w:r w:rsidRPr="003958FD">
              <w:rPr>
                <w:rFonts w:eastAsia="Times New Roman"/>
                <w:sz w:val="18"/>
                <w:szCs w:val="18"/>
                <w:lang w:val="es-ES"/>
              </w:rPr>
              <w:t>0.4</w:t>
            </w:r>
          </w:p>
        </w:tc>
        <w:tc>
          <w:tcPr>
            <w:tcW w:w="940" w:type="dxa"/>
            <w:tcBorders>
              <w:top w:val="nil"/>
              <w:bottom w:val="nil"/>
            </w:tcBorders>
            <w:shd w:val="clear" w:color="auto" w:fill="auto"/>
            <w:vAlign w:val="center"/>
          </w:tcPr>
          <w:p w14:paraId="48E67E10"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-1.8</w:t>
            </w:r>
          </w:p>
        </w:tc>
        <w:tc>
          <w:tcPr>
            <w:tcW w:w="987" w:type="dxa"/>
            <w:tcBorders>
              <w:top w:val="nil"/>
              <w:bottom w:val="nil"/>
            </w:tcBorders>
            <w:shd w:val="clear" w:color="auto" w:fill="auto"/>
            <w:vAlign w:val="center"/>
          </w:tcPr>
          <w:p w14:paraId="4D7EF8EA" w14:textId="77777777" w:rsidR="003958FD" w:rsidRPr="003958FD" w:rsidRDefault="003958FD" w:rsidP="003958FD">
            <w:pPr>
              <w:spacing w:before="20" w:after="20"/>
              <w:ind w:right="113"/>
              <w:jc w:val="right"/>
              <w:rPr>
                <w:rFonts w:eastAsia="Times New Roman"/>
                <w:sz w:val="18"/>
                <w:szCs w:val="18"/>
                <w:lang w:val="es-ES"/>
              </w:rPr>
            </w:pPr>
            <w:r w:rsidRPr="003958FD">
              <w:rPr>
                <w:rFonts w:eastAsia="Times New Roman"/>
                <w:sz w:val="18"/>
                <w:szCs w:val="18"/>
                <w:lang w:val="es-ES"/>
              </w:rPr>
              <w:t>-33</w:t>
            </w:r>
          </w:p>
        </w:tc>
      </w:tr>
      <w:tr w:rsidR="003958FD" w:rsidRPr="003958FD" w14:paraId="6C290649" w14:textId="77777777" w:rsidTr="003958FD">
        <w:trPr>
          <w:trHeight w:val="170"/>
          <w:jc w:val="center"/>
        </w:trPr>
        <w:tc>
          <w:tcPr>
            <w:tcW w:w="869" w:type="dxa"/>
            <w:gridSpan w:val="2"/>
            <w:tcBorders>
              <w:top w:val="nil"/>
              <w:bottom w:val="single" w:sz="6" w:space="0" w:color="auto"/>
            </w:tcBorders>
            <w:shd w:val="clear" w:color="auto" w:fill="auto"/>
            <w:vAlign w:val="center"/>
          </w:tcPr>
          <w:p w14:paraId="3592F695" w14:textId="77777777" w:rsidR="003958FD" w:rsidRPr="003958FD" w:rsidRDefault="003958FD" w:rsidP="003958FD">
            <w:pPr>
              <w:spacing w:before="20" w:after="20"/>
              <w:rPr>
                <w:rFonts w:eastAsia="Times New Roman"/>
                <w:sz w:val="18"/>
                <w:szCs w:val="18"/>
                <w:lang w:val="es-ES"/>
              </w:rPr>
            </w:pPr>
          </w:p>
        </w:tc>
        <w:tc>
          <w:tcPr>
            <w:tcW w:w="832" w:type="dxa"/>
            <w:tcBorders>
              <w:top w:val="nil"/>
              <w:bottom w:val="single" w:sz="6" w:space="0" w:color="auto"/>
            </w:tcBorders>
            <w:shd w:val="clear" w:color="auto" w:fill="auto"/>
            <w:vAlign w:val="center"/>
          </w:tcPr>
          <w:p w14:paraId="620A8D64" w14:textId="77777777" w:rsidR="003958FD" w:rsidRPr="003958FD" w:rsidRDefault="003958FD" w:rsidP="003958FD">
            <w:pPr>
              <w:spacing w:before="20" w:after="20"/>
              <w:rPr>
                <w:rFonts w:eastAsia="Times New Roman"/>
                <w:sz w:val="18"/>
                <w:szCs w:val="18"/>
                <w:lang w:val="es-ES"/>
              </w:rPr>
            </w:pPr>
          </w:p>
        </w:tc>
        <w:tc>
          <w:tcPr>
            <w:tcW w:w="2552" w:type="dxa"/>
            <w:tcBorders>
              <w:top w:val="nil"/>
              <w:bottom w:val="single" w:sz="6" w:space="0" w:color="auto"/>
            </w:tcBorders>
            <w:shd w:val="clear" w:color="auto" w:fill="auto"/>
            <w:noWrap/>
            <w:vAlign w:val="center"/>
          </w:tcPr>
          <w:p w14:paraId="49DF184F" w14:textId="77777777" w:rsidR="003958FD" w:rsidRPr="003958FD" w:rsidRDefault="003958FD" w:rsidP="003958FD">
            <w:pPr>
              <w:spacing w:before="20" w:after="20"/>
              <w:rPr>
                <w:rFonts w:eastAsia="Times New Roman"/>
                <w:sz w:val="18"/>
                <w:szCs w:val="18"/>
                <w:lang w:val="es-ES"/>
              </w:rPr>
            </w:pPr>
            <w:r w:rsidRPr="003958FD">
              <w:rPr>
                <w:rFonts w:eastAsia="Times New Roman"/>
                <w:sz w:val="18"/>
                <w:szCs w:val="18"/>
                <w:lang w:val="es-ES"/>
              </w:rPr>
              <w:t>Otros países</w:t>
            </w:r>
          </w:p>
        </w:tc>
        <w:tc>
          <w:tcPr>
            <w:tcW w:w="1134" w:type="dxa"/>
            <w:tcBorders>
              <w:top w:val="nil"/>
              <w:bottom w:val="single" w:sz="6" w:space="0" w:color="auto"/>
            </w:tcBorders>
            <w:shd w:val="clear" w:color="auto" w:fill="auto"/>
            <w:noWrap/>
            <w:vAlign w:val="center"/>
          </w:tcPr>
          <w:p w14:paraId="0EB46685"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15 149</w:t>
            </w:r>
          </w:p>
        </w:tc>
        <w:tc>
          <w:tcPr>
            <w:tcW w:w="1276" w:type="dxa"/>
            <w:tcBorders>
              <w:top w:val="nil"/>
              <w:bottom w:val="single" w:sz="6" w:space="0" w:color="auto"/>
            </w:tcBorders>
            <w:shd w:val="clear" w:color="auto" w:fill="auto"/>
            <w:noWrap/>
            <w:vAlign w:val="center"/>
          </w:tcPr>
          <w:p w14:paraId="39CDAB4C"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24 886</w:t>
            </w:r>
          </w:p>
        </w:tc>
        <w:tc>
          <w:tcPr>
            <w:tcW w:w="1192" w:type="dxa"/>
            <w:tcBorders>
              <w:top w:val="nil"/>
              <w:bottom w:val="single" w:sz="6" w:space="0" w:color="auto"/>
            </w:tcBorders>
            <w:shd w:val="clear" w:color="auto" w:fill="auto"/>
            <w:noWrap/>
            <w:vAlign w:val="center"/>
          </w:tcPr>
          <w:p w14:paraId="2231582E" w14:textId="77777777" w:rsidR="003958FD" w:rsidRPr="003958FD" w:rsidRDefault="003958FD" w:rsidP="00D2103B">
            <w:pPr>
              <w:spacing w:before="20" w:after="20"/>
              <w:ind w:left="-57" w:right="397"/>
              <w:jc w:val="right"/>
              <w:rPr>
                <w:rFonts w:eastAsia="Times New Roman"/>
                <w:sz w:val="18"/>
                <w:szCs w:val="18"/>
                <w:lang w:val="es-ES"/>
              </w:rPr>
            </w:pPr>
            <w:r w:rsidRPr="003958FD">
              <w:rPr>
                <w:rFonts w:eastAsia="Times New Roman"/>
                <w:sz w:val="18"/>
                <w:szCs w:val="18"/>
                <w:lang w:val="es-ES"/>
              </w:rPr>
              <w:t>5.8</w:t>
            </w:r>
          </w:p>
        </w:tc>
        <w:tc>
          <w:tcPr>
            <w:tcW w:w="940" w:type="dxa"/>
            <w:tcBorders>
              <w:top w:val="nil"/>
              <w:bottom w:val="single" w:sz="6" w:space="0" w:color="auto"/>
            </w:tcBorders>
            <w:shd w:val="clear" w:color="auto" w:fill="auto"/>
            <w:vAlign w:val="center"/>
          </w:tcPr>
          <w:p w14:paraId="5A10A0D2" w14:textId="77777777" w:rsidR="003958FD" w:rsidRPr="003958FD" w:rsidRDefault="003958FD" w:rsidP="003958FD">
            <w:pPr>
              <w:spacing w:before="20" w:after="20"/>
              <w:ind w:right="170"/>
              <w:jc w:val="right"/>
              <w:rPr>
                <w:rFonts w:eastAsia="Times New Roman"/>
                <w:sz w:val="18"/>
                <w:szCs w:val="18"/>
                <w:lang w:val="es-ES"/>
              </w:rPr>
            </w:pPr>
            <w:r w:rsidRPr="003958FD">
              <w:rPr>
                <w:rFonts w:eastAsia="Times New Roman"/>
                <w:sz w:val="18"/>
                <w:szCs w:val="18"/>
                <w:lang w:val="es-ES"/>
              </w:rPr>
              <w:t>64.3</w:t>
            </w:r>
          </w:p>
        </w:tc>
        <w:tc>
          <w:tcPr>
            <w:tcW w:w="987" w:type="dxa"/>
            <w:tcBorders>
              <w:top w:val="nil"/>
              <w:bottom w:val="single" w:sz="6" w:space="0" w:color="auto"/>
            </w:tcBorders>
            <w:shd w:val="clear" w:color="auto" w:fill="auto"/>
            <w:vAlign w:val="center"/>
          </w:tcPr>
          <w:p w14:paraId="4AF67666" w14:textId="77777777" w:rsidR="003958FD" w:rsidRPr="003958FD" w:rsidRDefault="003958FD" w:rsidP="003958FD">
            <w:pPr>
              <w:spacing w:before="20" w:after="20"/>
              <w:ind w:right="113"/>
              <w:jc w:val="right"/>
              <w:rPr>
                <w:rFonts w:eastAsia="Times New Roman"/>
                <w:sz w:val="18"/>
                <w:szCs w:val="18"/>
                <w:lang w:val="es-ES"/>
              </w:rPr>
            </w:pPr>
            <w:r w:rsidRPr="003958FD">
              <w:rPr>
                <w:rFonts w:eastAsia="Times New Roman"/>
                <w:sz w:val="18"/>
                <w:szCs w:val="18"/>
                <w:lang w:val="es-ES"/>
              </w:rPr>
              <w:t>9 737</w:t>
            </w:r>
          </w:p>
        </w:tc>
      </w:tr>
      <w:tr w:rsidR="003958FD" w:rsidRPr="003958FD" w14:paraId="33E9EAD6" w14:textId="77777777" w:rsidTr="003958FD">
        <w:trPr>
          <w:trHeight w:val="227"/>
          <w:jc w:val="center"/>
        </w:trPr>
        <w:tc>
          <w:tcPr>
            <w:tcW w:w="4253" w:type="dxa"/>
            <w:gridSpan w:val="4"/>
            <w:tcBorders>
              <w:top w:val="single" w:sz="6" w:space="0" w:color="auto"/>
              <w:bottom w:val="single" w:sz="8" w:space="0" w:color="auto"/>
            </w:tcBorders>
            <w:shd w:val="clear" w:color="auto" w:fill="auto"/>
            <w:vAlign w:val="center"/>
          </w:tcPr>
          <w:p w14:paraId="7CE3198C" w14:textId="77777777" w:rsidR="003958FD" w:rsidRPr="003958FD" w:rsidRDefault="003958FD" w:rsidP="003958FD">
            <w:pPr>
              <w:spacing w:before="20" w:after="20"/>
              <w:jc w:val="center"/>
              <w:rPr>
                <w:rFonts w:eastAsia="Times New Roman"/>
                <w:b/>
                <w:sz w:val="18"/>
                <w:szCs w:val="18"/>
                <w:lang w:val="es-ES"/>
              </w:rPr>
            </w:pPr>
            <w:r w:rsidRPr="003958FD">
              <w:rPr>
                <w:rFonts w:eastAsia="Times New Roman"/>
                <w:b/>
                <w:sz w:val="18"/>
                <w:szCs w:val="18"/>
                <w:lang w:val="es-ES"/>
              </w:rPr>
              <w:t>EXPORTACIÓN TOTAL</w:t>
            </w:r>
          </w:p>
        </w:tc>
        <w:tc>
          <w:tcPr>
            <w:tcW w:w="1134" w:type="dxa"/>
            <w:tcBorders>
              <w:top w:val="single" w:sz="6" w:space="0" w:color="auto"/>
              <w:bottom w:val="single" w:sz="8" w:space="0" w:color="auto"/>
            </w:tcBorders>
            <w:shd w:val="clear" w:color="auto" w:fill="auto"/>
            <w:noWrap/>
            <w:vAlign w:val="center"/>
          </w:tcPr>
          <w:p w14:paraId="2F5819F4" w14:textId="77777777" w:rsidR="003958FD" w:rsidRPr="003958FD" w:rsidRDefault="003958FD" w:rsidP="003958FD">
            <w:pPr>
              <w:spacing w:before="20" w:after="20"/>
              <w:ind w:right="170"/>
              <w:jc w:val="right"/>
              <w:rPr>
                <w:rFonts w:eastAsia="Times New Roman"/>
                <w:b/>
                <w:sz w:val="18"/>
                <w:szCs w:val="18"/>
                <w:lang w:val="es-ES"/>
              </w:rPr>
            </w:pPr>
            <w:r w:rsidRPr="003958FD">
              <w:rPr>
                <w:rFonts w:eastAsia="Times New Roman"/>
                <w:b/>
                <w:sz w:val="18"/>
                <w:szCs w:val="18"/>
                <w:lang w:val="es-ES"/>
              </w:rPr>
              <w:t>375 432</w:t>
            </w:r>
          </w:p>
        </w:tc>
        <w:tc>
          <w:tcPr>
            <w:tcW w:w="1276" w:type="dxa"/>
            <w:tcBorders>
              <w:top w:val="single" w:sz="6" w:space="0" w:color="auto"/>
              <w:bottom w:val="single" w:sz="8" w:space="0" w:color="auto"/>
            </w:tcBorders>
            <w:shd w:val="clear" w:color="auto" w:fill="auto"/>
            <w:noWrap/>
            <w:vAlign w:val="center"/>
          </w:tcPr>
          <w:p w14:paraId="61E8767D" w14:textId="77777777" w:rsidR="003958FD" w:rsidRPr="003958FD" w:rsidRDefault="003958FD" w:rsidP="003958FD">
            <w:pPr>
              <w:spacing w:before="20" w:after="20"/>
              <w:ind w:right="170"/>
              <w:jc w:val="right"/>
              <w:rPr>
                <w:rFonts w:eastAsia="Times New Roman"/>
                <w:b/>
                <w:sz w:val="18"/>
                <w:szCs w:val="18"/>
                <w:lang w:val="es-ES"/>
              </w:rPr>
            </w:pPr>
            <w:r w:rsidRPr="003958FD">
              <w:rPr>
                <w:rFonts w:eastAsia="Times New Roman"/>
                <w:b/>
                <w:sz w:val="18"/>
                <w:szCs w:val="18"/>
                <w:lang w:val="es-ES"/>
              </w:rPr>
              <w:t>427 258</w:t>
            </w:r>
          </w:p>
        </w:tc>
        <w:tc>
          <w:tcPr>
            <w:tcW w:w="1192" w:type="dxa"/>
            <w:tcBorders>
              <w:top w:val="single" w:sz="6" w:space="0" w:color="auto"/>
              <w:bottom w:val="single" w:sz="8" w:space="0" w:color="auto"/>
            </w:tcBorders>
            <w:shd w:val="clear" w:color="auto" w:fill="auto"/>
            <w:noWrap/>
            <w:vAlign w:val="center"/>
          </w:tcPr>
          <w:p w14:paraId="2E1672E0" w14:textId="77777777" w:rsidR="003958FD" w:rsidRPr="003958FD" w:rsidRDefault="003958FD" w:rsidP="00D2103B">
            <w:pPr>
              <w:spacing w:before="20" w:after="20"/>
              <w:ind w:left="-57" w:right="397"/>
              <w:jc w:val="right"/>
              <w:rPr>
                <w:rFonts w:eastAsia="Times New Roman"/>
                <w:b/>
                <w:sz w:val="18"/>
                <w:szCs w:val="18"/>
                <w:lang w:val="es-ES"/>
              </w:rPr>
            </w:pPr>
            <w:r w:rsidRPr="003958FD">
              <w:rPr>
                <w:rFonts w:eastAsia="Times New Roman"/>
                <w:b/>
                <w:sz w:val="18"/>
                <w:szCs w:val="18"/>
                <w:lang w:val="es-ES"/>
              </w:rPr>
              <w:t>100.0</w:t>
            </w:r>
          </w:p>
        </w:tc>
        <w:tc>
          <w:tcPr>
            <w:tcW w:w="940" w:type="dxa"/>
            <w:tcBorders>
              <w:top w:val="single" w:sz="6" w:space="0" w:color="auto"/>
              <w:bottom w:val="single" w:sz="8" w:space="0" w:color="auto"/>
            </w:tcBorders>
            <w:shd w:val="clear" w:color="auto" w:fill="auto"/>
            <w:vAlign w:val="center"/>
          </w:tcPr>
          <w:p w14:paraId="2E41D092" w14:textId="77777777" w:rsidR="003958FD" w:rsidRPr="003958FD" w:rsidRDefault="003958FD" w:rsidP="003958FD">
            <w:pPr>
              <w:spacing w:before="20" w:after="20"/>
              <w:ind w:right="170"/>
              <w:jc w:val="right"/>
              <w:rPr>
                <w:rFonts w:eastAsia="Times New Roman"/>
                <w:b/>
                <w:sz w:val="18"/>
                <w:szCs w:val="18"/>
                <w:lang w:val="es-ES"/>
              </w:rPr>
            </w:pPr>
            <w:r w:rsidRPr="003958FD">
              <w:rPr>
                <w:rFonts w:eastAsia="Times New Roman"/>
                <w:b/>
                <w:sz w:val="18"/>
                <w:szCs w:val="18"/>
                <w:lang w:val="es-ES"/>
              </w:rPr>
              <w:t>13.8</w:t>
            </w:r>
          </w:p>
        </w:tc>
        <w:tc>
          <w:tcPr>
            <w:tcW w:w="987" w:type="dxa"/>
            <w:tcBorders>
              <w:top w:val="single" w:sz="6" w:space="0" w:color="auto"/>
              <w:bottom w:val="single" w:sz="8" w:space="0" w:color="auto"/>
            </w:tcBorders>
            <w:shd w:val="clear" w:color="auto" w:fill="auto"/>
            <w:vAlign w:val="center"/>
          </w:tcPr>
          <w:p w14:paraId="2DEB38AC" w14:textId="77777777" w:rsidR="003958FD" w:rsidRPr="003958FD" w:rsidRDefault="003958FD" w:rsidP="003958FD">
            <w:pPr>
              <w:spacing w:before="20" w:after="20"/>
              <w:ind w:right="113"/>
              <w:jc w:val="right"/>
              <w:rPr>
                <w:rFonts w:eastAsia="Times New Roman"/>
                <w:b/>
                <w:sz w:val="18"/>
                <w:szCs w:val="18"/>
                <w:lang w:val="es-ES"/>
              </w:rPr>
            </w:pPr>
            <w:r w:rsidRPr="003958FD">
              <w:rPr>
                <w:rFonts w:eastAsia="Times New Roman"/>
                <w:b/>
                <w:sz w:val="18"/>
                <w:szCs w:val="18"/>
                <w:lang w:val="es-ES"/>
              </w:rPr>
              <w:t>51 826</w:t>
            </w:r>
          </w:p>
        </w:tc>
      </w:tr>
      <w:tr w:rsidR="003958FD" w:rsidRPr="003958FD" w14:paraId="304858B9" w14:textId="77777777" w:rsidTr="003958FD">
        <w:trPr>
          <w:trHeight w:val="227"/>
          <w:jc w:val="center"/>
        </w:trPr>
        <w:tc>
          <w:tcPr>
            <w:tcW w:w="9782" w:type="dxa"/>
            <w:gridSpan w:val="9"/>
            <w:tcBorders>
              <w:left w:val="nil"/>
              <w:bottom w:val="nil"/>
              <w:right w:val="nil"/>
            </w:tcBorders>
            <w:shd w:val="clear" w:color="auto" w:fill="auto"/>
          </w:tcPr>
          <w:p w14:paraId="2FE2F11B" w14:textId="77777777" w:rsidR="003958FD" w:rsidRPr="003958FD" w:rsidRDefault="003958FD" w:rsidP="003958FD">
            <w:pPr>
              <w:spacing w:after="360" w:line="360" w:lineRule="auto"/>
              <w:ind w:right="-159"/>
              <w:jc w:val="both"/>
              <w:rPr>
                <w:rFonts w:eastAsia="Times New Roman"/>
                <w:b/>
                <w:sz w:val="18"/>
                <w:szCs w:val="18"/>
                <w:lang w:val="es-ES"/>
              </w:rPr>
            </w:pPr>
            <w:r w:rsidRPr="003958FD">
              <w:rPr>
                <w:rFonts w:eastAsia="Times New Roman"/>
                <w:bCs/>
                <w:sz w:val="20"/>
                <w:szCs w:val="20"/>
                <w:lang w:val="es-ES"/>
              </w:rPr>
              <w:t>FUENTE: AMIA, con datos de sus asociados.</w:t>
            </w:r>
          </w:p>
        </w:tc>
      </w:tr>
    </w:tbl>
    <w:p w14:paraId="628088B9" w14:textId="77777777" w:rsidR="003958FD" w:rsidRPr="003958FD" w:rsidRDefault="003958FD" w:rsidP="003958FD">
      <w:pPr>
        <w:spacing w:before="360" w:after="360" w:line="360" w:lineRule="auto"/>
        <w:ind w:right="-159"/>
        <w:jc w:val="both"/>
        <w:rPr>
          <w:rFonts w:eastAsia="Times New Roman"/>
          <w:b/>
          <w:bCs/>
          <w:sz w:val="26"/>
          <w:szCs w:val="26"/>
          <w:lang w:val="es-ES"/>
        </w:rPr>
      </w:pPr>
      <w:r w:rsidRPr="003958FD">
        <w:rPr>
          <w:rFonts w:eastAsia="Times New Roman"/>
          <w:b/>
          <w:bCs/>
          <w:sz w:val="26"/>
          <w:szCs w:val="26"/>
          <w:lang w:val="es-ES"/>
        </w:rPr>
        <w:t>Mercado de vehículos ligeros en Estados Unidos de Norteamérica</w:t>
      </w:r>
    </w:p>
    <w:p w14:paraId="780A010A" w14:textId="77777777" w:rsidR="003958FD" w:rsidRPr="003958FD" w:rsidRDefault="003958FD" w:rsidP="003958FD">
      <w:pPr>
        <w:spacing w:after="360" w:line="360" w:lineRule="auto"/>
        <w:ind w:right="-159"/>
        <w:jc w:val="both"/>
        <w:rPr>
          <w:rFonts w:eastAsia="Times New Roman"/>
          <w:sz w:val="26"/>
          <w:szCs w:val="26"/>
          <w:lang w:val="es-ES"/>
        </w:rPr>
      </w:pPr>
      <w:r w:rsidRPr="003958FD">
        <w:rPr>
          <w:rFonts w:eastAsia="Times New Roman"/>
          <w:sz w:val="26"/>
          <w:szCs w:val="26"/>
          <w:lang w:val="es-ES"/>
        </w:rPr>
        <w:t xml:space="preserve">De acuerdo con el reporte de </w:t>
      </w:r>
      <w:r w:rsidRPr="003958FD">
        <w:rPr>
          <w:rFonts w:eastAsia="Times New Roman"/>
          <w:i/>
          <w:sz w:val="26"/>
          <w:szCs w:val="26"/>
          <w:lang w:val="es-ES"/>
        </w:rPr>
        <w:t>Ward’s Automotive,</w:t>
      </w:r>
      <w:r w:rsidRPr="003958FD">
        <w:rPr>
          <w:rFonts w:eastAsia="Times New Roman"/>
          <w:sz w:val="26"/>
          <w:szCs w:val="26"/>
          <w:lang w:val="es-ES"/>
        </w:rPr>
        <w:t xml:space="preserve"> en Estados Unidos de Norteamérica se comercializaron 2 millones 398 mil 198 vehículos ligeros durante los dos primeros meses de 2015, creciendo 9.2% en relación con el mismo período de 2014.</w:t>
      </w:r>
    </w:p>
    <w:p w14:paraId="32D6C2B0" w14:textId="77777777" w:rsidR="003958FD" w:rsidRPr="003958FD" w:rsidRDefault="003958FD" w:rsidP="003958FD">
      <w:pPr>
        <w:spacing w:after="360" w:line="360" w:lineRule="auto"/>
        <w:ind w:right="-159"/>
        <w:jc w:val="both"/>
        <w:rPr>
          <w:rFonts w:eastAsia="Times New Roman"/>
          <w:sz w:val="26"/>
          <w:szCs w:val="26"/>
          <w:lang w:val="es-ES"/>
        </w:rPr>
      </w:pPr>
      <w:r w:rsidRPr="003958FD">
        <w:rPr>
          <w:rFonts w:eastAsia="Times New Roman"/>
          <w:sz w:val="26"/>
          <w:szCs w:val="26"/>
          <w:lang w:val="es-ES"/>
        </w:rPr>
        <w:t>Este bimestre de 2015, los vehículos mexicanos representaron el 12.7% del total de vehículos ligeros vendidos en Estados Unidos de Norteamérica, al exportarse 303 mil 657 unidades.</w:t>
      </w:r>
    </w:p>
    <w:p w14:paraId="73F79CB2" w14:textId="77777777" w:rsidR="003958FD" w:rsidRDefault="003958FD" w:rsidP="003958FD">
      <w:pPr>
        <w:spacing w:after="360" w:line="360" w:lineRule="auto"/>
        <w:ind w:right="-159"/>
        <w:jc w:val="both"/>
        <w:rPr>
          <w:rFonts w:eastAsia="Times New Roman"/>
          <w:sz w:val="26"/>
          <w:szCs w:val="26"/>
          <w:lang w:val="es-ES"/>
        </w:rPr>
      </w:pPr>
      <w:r w:rsidRPr="003958FD">
        <w:rPr>
          <w:rFonts w:eastAsia="Times New Roman"/>
          <w:sz w:val="26"/>
          <w:szCs w:val="26"/>
          <w:lang w:val="es-ES"/>
        </w:rPr>
        <w:t>De los países que proveen a Estados Unidos de Norteamérica, Corea y México presentan las tasas de crecimiento más altas, 16.7 y 11.8%, respectivamente, respecto al bimestre 2014, mientras que Japón y Alemania inician con tasas decrecientes.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407"/>
        <w:gridCol w:w="1276"/>
        <w:gridCol w:w="1275"/>
        <w:gridCol w:w="993"/>
      </w:tblGrid>
      <w:tr w:rsidR="003958FD" w:rsidRPr="003958FD" w14:paraId="5E4FBB2A" w14:textId="77777777" w:rsidTr="004F1C40">
        <w:trPr>
          <w:jc w:val="center"/>
        </w:trPr>
        <w:tc>
          <w:tcPr>
            <w:tcW w:w="7951" w:type="dxa"/>
            <w:gridSpan w:val="4"/>
            <w:tcBorders>
              <w:top w:val="nil"/>
              <w:left w:val="nil"/>
              <w:right w:val="nil"/>
            </w:tcBorders>
          </w:tcPr>
          <w:p w14:paraId="7D4352CB" w14:textId="77777777" w:rsidR="003958FD" w:rsidRPr="003958FD" w:rsidRDefault="003958FD" w:rsidP="003958FD">
            <w:pPr>
              <w:jc w:val="center"/>
              <w:rPr>
                <w:rFonts w:eastAsia="Times New Roman"/>
                <w:b/>
                <w:sz w:val="22"/>
                <w:szCs w:val="22"/>
                <w:lang w:val="es-ES"/>
              </w:rPr>
            </w:pPr>
            <w:r w:rsidRPr="003958FD">
              <w:rPr>
                <w:rFonts w:eastAsia="Times New Roman"/>
                <w:b/>
                <w:sz w:val="22"/>
                <w:szCs w:val="22"/>
                <w:lang w:val="es-ES"/>
              </w:rPr>
              <w:lastRenderedPageBreak/>
              <w:t xml:space="preserve">MERCADO DE VEHÍCULOS LIGEROS EN </w:t>
            </w:r>
          </w:p>
          <w:p w14:paraId="1ACC38F3" w14:textId="77777777" w:rsidR="003958FD" w:rsidRPr="003958FD" w:rsidRDefault="003958FD" w:rsidP="003958FD">
            <w:pPr>
              <w:jc w:val="center"/>
              <w:rPr>
                <w:rFonts w:eastAsia="Times New Roman"/>
                <w:b/>
                <w:sz w:val="22"/>
                <w:szCs w:val="22"/>
                <w:lang w:val="es-ES"/>
              </w:rPr>
            </w:pPr>
            <w:r w:rsidRPr="003958FD">
              <w:rPr>
                <w:rFonts w:eastAsia="Times New Roman"/>
                <w:b/>
                <w:sz w:val="22"/>
                <w:szCs w:val="22"/>
                <w:lang w:val="es-ES"/>
              </w:rPr>
              <w:t>ESTADOS UNIDOS DE NORTEAMÉRICA</w:t>
            </w:r>
          </w:p>
          <w:p w14:paraId="27B177DA" w14:textId="77777777" w:rsidR="003958FD" w:rsidRPr="003958FD" w:rsidRDefault="003958FD" w:rsidP="003958FD">
            <w:pPr>
              <w:jc w:val="center"/>
              <w:rPr>
                <w:rFonts w:eastAsia="Times New Roman"/>
                <w:b/>
                <w:sz w:val="22"/>
                <w:szCs w:val="22"/>
                <w:lang w:val="es-ES"/>
              </w:rPr>
            </w:pPr>
            <w:r w:rsidRPr="003958FD">
              <w:rPr>
                <w:rFonts w:eastAsia="Times New Roman"/>
                <w:b/>
                <w:sz w:val="22"/>
                <w:szCs w:val="22"/>
                <w:lang w:val="es-ES"/>
              </w:rPr>
              <w:t>-Acumulado enero-febrero-</w:t>
            </w:r>
          </w:p>
        </w:tc>
      </w:tr>
      <w:tr w:rsidR="003958FD" w:rsidRPr="003958FD" w14:paraId="2B5E5C6B" w14:textId="77777777" w:rsidTr="004F1C40">
        <w:trPr>
          <w:jc w:val="center"/>
        </w:trPr>
        <w:tc>
          <w:tcPr>
            <w:tcW w:w="4407" w:type="dxa"/>
            <w:tcBorders>
              <w:bottom w:val="single" w:sz="4" w:space="0" w:color="000000"/>
            </w:tcBorders>
            <w:vAlign w:val="center"/>
          </w:tcPr>
          <w:p w14:paraId="33CC1359" w14:textId="77777777" w:rsidR="003958FD" w:rsidRPr="003958FD" w:rsidRDefault="003958FD" w:rsidP="003958FD">
            <w:pPr>
              <w:spacing w:before="20" w:after="20"/>
              <w:jc w:val="center"/>
              <w:rPr>
                <w:rFonts w:eastAsia="Times New Roman"/>
                <w:sz w:val="18"/>
                <w:szCs w:val="20"/>
                <w:lang w:val="es-ES"/>
              </w:rPr>
            </w:pPr>
            <w:r w:rsidRPr="003958FD">
              <w:rPr>
                <w:rFonts w:eastAsia="Times New Roman"/>
                <w:b/>
                <w:bCs/>
                <w:sz w:val="18"/>
                <w:szCs w:val="20"/>
                <w:lang w:val="es-ES"/>
              </w:rPr>
              <w:t>Origen</w:t>
            </w:r>
          </w:p>
        </w:tc>
        <w:tc>
          <w:tcPr>
            <w:tcW w:w="1276" w:type="dxa"/>
            <w:tcBorders>
              <w:bottom w:val="single" w:sz="4" w:space="0" w:color="000000"/>
            </w:tcBorders>
            <w:vAlign w:val="center"/>
          </w:tcPr>
          <w:p w14:paraId="370F160C" w14:textId="77777777" w:rsidR="003958FD" w:rsidRPr="003958FD" w:rsidRDefault="003958FD" w:rsidP="003958FD">
            <w:pPr>
              <w:spacing w:before="20" w:after="20"/>
              <w:jc w:val="center"/>
              <w:rPr>
                <w:rFonts w:eastAsia="Times New Roman"/>
                <w:sz w:val="18"/>
                <w:szCs w:val="20"/>
                <w:lang w:val="es-ES"/>
              </w:rPr>
            </w:pPr>
            <w:r w:rsidRPr="003958FD">
              <w:rPr>
                <w:rFonts w:eastAsia="Times New Roman"/>
                <w:b/>
                <w:bCs/>
                <w:sz w:val="18"/>
                <w:szCs w:val="20"/>
                <w:lang w:val="es-ES"/>
              </w:rPr>
              <w:t>2014</w:t>
            </w:r>
          </w:p>
        </w:tc>
        <w:tc>
          <w:tcPr>
            <w:tcW w:w="1275" w:type="dxa"/>
            <w:tcBorders>
              <w:bottom w:val="single" w:sz="4" w:space="0" w:color="000000"/>
            </w:tcBorders>
            <w:vAlign w:val="center"/>
          </w:tcPr>
          <w:p w14:paraId="58CDA698" w14:textId="77777777" w:rsidR="003958FD" w:rsidRPr="003958FD" w:rsidRDefault="003958FD" w:rsidP="003958FD">
            <w:pPr>
              <w:spacing w:before="20" w:after="20"/>
              <w:jc w:val="center"/>
              <w:rPr>
                <w:rFonts w:eastAsia="Times New Roman"/>
                <w:sz w:val="18"/>
                <w:szCs w:val="20"/>
                <w:lang w:val="es-ES"/>
              </w:rPr>
            </w:pPr>
            <w:r w:rsidRPr="003958FD">
              <w:rPr>
                <w:rFonts w:eastAsia="Times New Roman"/>
                <w:b/>
                <w:bCs/>
                <w:sz w:val="18"/>
                <w:szCs w:val="20"/>
                <w:lang w:val="es-ES"/>
              </w:rPr>
              <w:t>2015</w:t>
            </w:r>
          </w:p>
        </w:tc>
        <w:tc>
          <w:tcPr>
            <w:tcW w:w="993" w:type="dxa"/>
            <w:tcBorders>
              <w:bottom w:val="single" w:sz="4" w:space="0" w:color="000000"/>
            </w:tcBorders>
            <w:vAlign w:val="center"/>
          </w:tcPr>
          <w:p w14:paraId="647D060F" w14:textId="77777777" w:rsidR="003958FD" w:rsidRPr="003958FD" w:rsidRDefault="003958FD" w:rsidP="003958FD">
            <w:pPr>
              <w:spacing w:before="20" w:after="20"/>
              <w:jc w:val="center"/>
              <w:rPr>
                <w:rFonts w:eastAsia="Times New Roman"/>
                <w:sz w:val="18"/>
                <w:szCs w:val="20"/>
                <w:lang w:val="es-ES"/>
              </w:rPr>
            </w:pPr>
            <w:r w:rsidRPr="003958FD">
              <w:rPr>
                <w:rFonts w:eastAsia="Times New Roman"/>
                <w:b/>
                <w:bCs/>
                <w:sz w:val="18"/>
                <w:szCs w:val="20"/>
                <w:lang w:val="es-ES"/>
              </w:rPr>
              <w:t>Variación %</w:t>
            </w:r>
          </w:p>
        </w:tc>
      </w:tr>
      <w:tr w:rsidR="003958FD" w:rsidRPr="003958FD" w14:paraId="3EF00021" w14:textId="77777777" w:rsidTr="004F1C40">
        <w:trPr>
          <w:jc w:val="center"/>
        </w:trPr>
        <w:tc>
          <w:tcPr>
            <w:tcW w:w="4407" w:type="dxa"/>
            <w:tcBorders>
              <w:bottom w:val="nil"/>
              <w:right w:val="single" w:sz="6" w:space="0" w:color="auto"/>
            </w:tcBorders>
            <w:vAlign w:val="center"/>
          </w:tcPr>
          <w:p w14:paraId="5E0C4F15" w14:textId="77777777" w:rsidR="003958FD" w:rsidRPr="003958FD" w:rsidRDefault="003958FD" w:rsidP="003958FD">
            <w:pPr>
              <w:spacing w:before="20" w:after="20"/>
              <w:rPr>
                <w:rFonts w:eastAsia="Times New Roman"/>
                <w:sz w:val="18"/>
                <w:szCs w:val="20"/>
                <w:lang w:val="es-ES"/>
              </w:rPr>
            </w:pPr>
            <w:r w:rsidRPr="003958FD">
              <w:rPr>
                <w:rFonts w:eastAsia="Times New Roman"/>
                <w:bCs/>
                <w:sz w:val="18"/>
                <w:szCs w:val="20"/>
                <w:lang w:val="es-ES"/>
              </w:rPr>
              <w:t>Alemania</w:t>
            </w:r>
          </w:p>
        </w:tc>
        <w:tc>
          <w:tcPr>
            <w:tcW w:w="1276" w:type="dxa"/>
            <w:tcBorders>
              <w:left w:val="single" w:sz="6" w:space="0" w:color="auto"/>
              <w:bottom w:val="nil"/>
              <w:right w:val="single" w:sz="6" w:space="0" w:color="auto"/>
            </w:tcBorders>
            <w:shd w:val="clear" w:color="auto" w:fill="auto"/>
            <w:vAlign w:val="center"/>
          </w:tcPr>
          <w:p w14:paraId="1942CD25" w14:textId="77777777" w:rsidR="003958FD" w:rsidRPr="003958FD" w:rsidRDefault="003958FD" w:rsidP="003958FD">
            <w:pPr>
              <w:spacing w:before="20" w:after="20"/>
              <w:ind w:right="113"/>
              <w:jc w:val="right"/>
              <w:rPr>
                <w:rFonts w:eastAsia="Times New Roman"/>
                <w:sz w:val="18"/>
                <w:szCs w:val="20"/>
                <w:lang w:val="es-ES"/>
              </w:rPr>
            </w:pPr>
            <w:r w:rsidRPr="003958FD">
              <w:rPr>
                <w:rFonts w:eastAsia="Times New Roman"/>
                <w:sz w:val="18"/>
                <w:szCs w:val="20"/>
                <w:lang w:val="es-ES"/>
              </w:rPr>
              <w:t>96 521</w:t>
            </w:r>
          </w:p>
        </w:tc>
        <w:tc>
          <w:tcPr>
            <w:tcW w:w="1275" w:type="dxa"/>
            <w:tcBorders>
              <w:left w:val="single" w:sz="6" w:space="0" w:color="auto"/>
              <w:bottom w:val="nil"/>
              <w:right w:val="single" w:sz="6" w:space="0" w:color="auto"/>
            </w:tcBorders>
            <w:vAlign w:val="center"/>
          </w:tcPr>
          <w:p w14:paraId="32C4C93A" w14:textId="77777777" w:rsidR="003958FD" w:rsidRPr="003958FD" w:rsidRDefault="003958FD" w:rsidP="003958FD">
            <w:pPr>
              <w:spacing w:before="20" w:after="20"/>
              <w:ind w:right="113"/>
              <w:jc w:val="right"/>
              <w:rPr>
                <w:rFonts w:eastAsia="Times New Roman"/>
                <w:sz w:val="18"/>
                <w:szCs w:val="20"/>
                <w:lang w:val="es-ES"/>
              </w:rPr>
            </w:pPr>
            <w:r w:rsidRPr="003958FD">
              <w:rPr>
                <w:rFonts w:eastAsia="Times New Roman"/>
                <w:sz w:val="18"/>
                <w:szCs w:val="20"/>
                <w:lang w:val="es-ES"/>
              </w:rPr>
              <w:t>85 309</w:t>
            </w:r>
          </w:p>
        </w:tc>
        <w:tc>
          <w:tcPr>
            <w:tcW w:w="993" w:type="dxa"/>
            <w:tcBorders>
              <w:left w:val="single" w:sz="6" w:space="0" w:color="auto"/>
              <w:bottom w:val="nil"/>
            </w:tcBorders>
            <w:vAlign w:val="center"/>
          </w:tcPr>
          <w:p w14:paraId="4268862B" w14:textId="77777777" w:rsidR="003958FD" w:rsidRPr="003958FD" w:rsidRDefault="003958FD" w:rsidP="003958FD">
            <w:pPr>
              <w:spacing w:before="20" w:after="20"/>
              <w:ind w:right="227"/>
              <w:jc w:val="right"/>
              <w:rPr>
                <w:rFonts w:eastAsia="Times New Roman"/>
                <w:sz w:val="18"/>
                <w:szCs w:val="20"/>
                <w:lang w:val="es-ES"/>
              </w:rPr>
            </w:pPr>
            <w:r w:rsidRPr="003958FD">
              <w:rPr>
                <w:rFonts w:eastAsia="Times New Roman"/>
                <w:sz w:val="18"/>
                <w:szCs w:val="20"/>
                <w:lang w:val="es-ES"/>
              </w:rPr>
              <w:t>-11.6</w:t>
            </w:r>
          </w:p>
        </w:tc>
      </w:tr>
      <w:tr w:rsidR="003958FD" w:rsidRPr="003958FD" w14:paraId="0C79D1EC" w14:textId="77777777" w:rsidTr="004F1C40">
        <w:trPr>
          <w:jc w:val="center"/>
        </w:trPr>
        <w:tc>
          <w:tcPr>
            <w:tcW w:w="4407" w:type="dxa"/>
            <w:tcBorders>
              <w:top w:val="nil"/>
              <w:bottom w:val="nil"/>
              <w:right w:val="single" w:sz="6" w:space="0" w:color="auto"/>
            </w:tcBorders>
            <w:vAlign w:val="center"/>
          </w:tcPr>
          <w:p w14:paraId="1841CA08" w14:textId="77777777" w:rsidR="003958FD" w:rsidRPr="003958FD" w:rsidRDefault="003958FD" w:rsidP="003958FD">
            <w:pPr>
              <w:spacing w:before="20" w:after="20"/>
              <w:rPr>
                <w:rFonts w:eastAsia="Times New Roman"/>
                <w:bCs/>
                <w:sz w:val="18"/>
                <w:szCs w:val="20"/>
                <w:lang w:val="es-ES"/>
              </w:rPr>
            </w:pPr>
            <w:r w:rsidRPr="003958FD">
              <w:rPr>
                <w:rFonts w:eastAsia="Times New Roman"/>
                <w:bCs/>
                <w:sz w:val="18"/>
                <w:szCs w:val="20"/>
                <w:lang w:val="es-ES"/>
              </w:rPr>
              <w:t>Japón</w:t>
            </w:r>
          </w:p>
        </w:tc>
        <w:tc>
          <w:tcPr>
            <w:tcW w:w="1276" w:type="dxa"/>
            <w:tcBorders>
              <w:top w:val="nil"/>
              <w:left w:val="single" w:sz="6" w:space="0" w:color="auto"/>
              <w:bottom w:val="nil"/>
              <w:right w:val="single" w:sz="6" w:space="0" w:color="auto"/>
            </w:tcBorders>
            <w:shd w:val="clear" w:color="auto" w:fill="auto"/>
            <w:vAlign w:val="center"/>
          </w:tcPr>
          <w:p w14:paraId="2EF058CB" w14:textId="77777777" w:rsidR="003958FD" w:rsidRPr="003958FD" w:rsidRDefault="003958FD" w:rsidP="003958FD">
            <w:pPr>
              <w:spacing w:before="20" w:after="20"/>
              <w:ind w:right="113"/>
              <w:jc w:val="right"/>
              <w:rPr>
                <w:rFonts w:eastAsia="Times New Roman"/>
                <w:sz w:val="18"/>
                <w:szCs w:val="20"/>
                <w:lang w:val="es-ES"/>
              </w:rPr>
            </w:pPr>
            <w:r w:rsidRPr="003958FD">
              <w:rPr>
                <w:rFonts w:eastAsia="Times New Roman"/>
                <w:sz w:val="18"/>
                <w:szCs w:val="20"/>
                <w:lang w:val="es-ES"/>
              </w:rPr>
              <w:t>232 983</w:t>
            </w:r>
          </w:p>
        </w:tc>
        <w:tc>
          <w:tcPr>
            <w:tcW w:w="1275" w:type="dxa"/>
            <w:tcBorders>
              <w:top w:val="nil"/>
              <w:left w:val="single" w:sz="6" w:space="0" w:color="auto"/>
              <w:bottom w:val="nil"/>
              <w:right w:val="single" w:sz="6" w:space="0" w:color="auto"/>
            </w:tcBorders>
            <w:vAlign w:val="center"/>
          </w:tcPr>
          <w:p w14:paraId="558B2CF3" w14:textId="77777777" w:rsidR="003958FD" w:rsidRPr="003958FD" w:rsidRDefault="003958FD" w:rsidP="003958FD">
            <w:pPr>
              <w:spacing w:before="20" w:after="20"/>
              <w:ind w:right="113"/>
              <w:jc w:val="right"/>
              <w:rPr>
                <w:rFonts w:eastAsia="Times New Roman"/>
                <w:sz w:val="18"/>
                <w:szCs w:val="20"/>
                <w:lang w:val="es-ES"/>
              </w:rPr>
            </w:pPr>
            <w:r w:rsidRPr="003958FD">
              <w:rPr>
                <w:rFonts w:eastAsia="Times New Roman"/>
                <w:sz w:val="18"/>
                <w:szCs w:val="20"/>
                <w:lang w:val="es-ES"/>
              </w:rPr>
              <w:t>223 566</w:t>
            </w:r>
          </w:p>
        </w:tc>
        <w:tc>
          <w:tcPr>
            <w:tcW w:w="993" w:type="dxa"/>
            <w:tcBorders>
              <w:top w:val="nil"/>
              <w:left w:val="single" w:sz="6" w:space="0" w:color="auto"/>
              <w:bottom w:val="nil"/>
            </w:tcBorders>
            <w:vAlign w:val="center"/>
          </w:tcPr>
          <w:p w14:paraId="574851E0" w14:textId="77777777" w:rsidR="003958FD" w:rsidRPr="003958FD" w:rsidRDefault="003958FD" w:rsidP="003958FD">
            <w:pPr>
              <w:spacing w:before="20" w:after="20"/>
              <w:ind w:right="227"/>
              <w:jc w:val="right"/>
              <w:rPr>
                <w:rFonts w:eastAsia="Times New Roman"/>
                <w:sz w:val="18"/>
                <w:szCs w:val="20"/>
                <w:lang w:val="es-ES"/>
              </w:rPr>
            </w:pPr>
            <w:r w:rsidRPr="003958FD">
              <w:rPr>
                <w:rFonts w:eastAsia="Times New Roman"/>
                <w:sz w:val="18"/>
                <w:szCs w:val="20"/>
                <w:lang w:val="es-ES"/>
              </w:rPr>
              <w:t>-4.0</w:t>
            </w:r>
          </w:p>
        </w:tc>
      </w:tr>
      <w:tr w:rsidR="003958FD" w:rsidRPr="003958FD" w14:paraId="0FC58FDC" w14:textId="77777777" w:rsidTr="004F1C40">
        <w:trPr>
          <w:jc w:val="center"/>
        </w:trPr>
        <w:tc>
          <w:tcPr>
            <w:tcW w:w="4407" w:type="dxa"/>
            <w:tcBorders>
              <w:top w:val="nil"/>
              <w:bottom w:val="nil"/>
              <w:right w:val="single" w:sz="6" w:space="0" w:color="auto"/>
            </w:tcBorders>
            <w:vAlign w:val="center"/>
          </w:tcPr>
          <w:p w14:paraId="38771284" w14:textId="77777777" w:rsidR="003958FD" w:rsidRPr="003958FD" w:rsidRDefault="003958FD" w:rsidP="003958FD">
            <w:pPr>
              <w:spacing w:before="20" w:after="20"/>
              <w:rPr>
                <w:rFonts w:eastAsia="Times New Roman"/>
                <w:sz w:val="18"/>
                <w:szCs w:val="20"/>
                <w:lang w:val="es-ES"/>
              </w:rPr>
            </w:pPr>
            <w:r w:rsidRPr="003958FD">
              <w:rPr>
                <w:rFonts w:eastAsia="Times New Roman"/>
                <w:bCs/>
                <w:sz w:val="18"/>
                <w:szCs w:val="20"/>
                <w:lang w:val="es-ES"/>
              </w:rPr>
              <w:t>Corea</w:t>
            </w:r>
          </w:p>
        </w:tc>
        <w:tc>
          <w:tcPr>
            <w:tcW w:w="1276" w:type="dxa"/>
            <w:tcBorders>
              <w:top w:val="nil"/>
              <w:left w:val="single" w:sz="6" w:space="0" w:color="auto"/>
              <w:bottom w:val="nil"/>
              <w:right w:val="single" w:sz="6" w:space="0" w:color="auto"/>
            </w:tcBorders>
            <w:shd w:val="clear" w:color="auto" w:fill="auto"/>
            <w:vAlign w:val="center"/>
          </w:tcPr>
          <w:p w14:paraId="4B0E2C3E" w14:textId="77777777" w:rsidR="003958FD" w:rsidRPr="003958FD" w:rsidRDefault="003958FD" w:rsidP="003958FD">
            <w:pPr>
              <w:spacing w:before="20" w:after="20"/>
              <w:ind w:right="113"/>
              <w:jc w:val="right"/>
              <w:rPr>
                <w:rFonts w:eastAsia="Times New Roman"/>
                <w:sz w:val="18"/>
                <w:szCs w:val="20"/>
                <w:lang w:val="es-ES"/>
              </w:rPr>
            </w:pPr>
            <w:r w:rsidRPr="003958FD">
              <w:rPr>
                <w:rFonts w:eastAsia="Times New Roman"/>
                <w:sz w:val="18"/>
                <w:szCs w:val="20"/>
                <w:lang w:val="es-ES"/>
              </w:rPr>
              <w:t>100 906</w:t>
            </w:r>
          </w:p>
        </w:tc>
        <w:tc>
          <w:tcPr>
            <w:tcW w:w="1275" w:type="dxa"/>
            <w:tcBorders>
              <w:top w:val="nil"/>
              <w:left w:val="single" w:sz="6" w:space="0" w:color="auto"/>
              <w:bottom w:val="nil"/>
              <w:right w:val="single" w:sz="6" w:space="0" w:color="auto"/>
            </w:tcBorders>
            <w:vAlign w:val="center"/>
          </w:tcPr>
          <w:p w14:paraId="79C41BA4" w14:textId="77777777" w:rsidR="003958FD" w:rsidRPr="003958FD" w:rsidRDefault="003958FD" w:rsidP="003958FD">
            <w:pPr>
              <w:spacing w:before="20" w:after="20"/>
              <w:ind w:right="113"/>
              <w:jc w:val="right"/>
              <w:rPr>
                <w:rFonts w:eastAsia="Times New Roman"/>
                <w:sz w:val="18"/>
                <w:szCs w:val="20"/>
                <w:lang w:val="es-ES"/>
              </w:rPr>
            </w:pPr>
            <w:r w:rsidRPr="003958FD">
              <w:rPr>
                <w:rFonts w:eastAsia="Times New Roman"/>
                <w:sz w:val="18"/>
                <w:szCs w:val="20"/>
                <w:lang w:val="es-ES"/>
              </w:rPr>
              <w:t>117 777</w:t>
            </w:r>
          </w:p>
        </w:tc>
        <w:tc>
          <w:tcPr>
            <w:tcW w:w="993" w:type="dxa"/>
            <w:tcBorders>
              <w:top w:val="nil"/>
              <w:left w:val="single" w:sz="6" w:space="0" w:color="auto"/>
              <w:bottom w:val="nil"/>
            </w:tcBorders>
            <w:vAlign w:val="center"/>
          </w:tcPr>
          <w:p w14:paraId="7365499A" w14:textId="77777777" w:rsidR="003958FD" w:rsidRPr="003958FD" w:rsidRDefault="003958FD" w:rsidP="003958FD">
            <w:pPr>
              <w:spacing w:before="20" w:after="20"/>
              <w:ind w:right="227"/>
              <w:jc w:val="right"/>
              <w:rPr>
                <w:rFonts w:eastAsia="Times New Roman"/>
                <w:sz w:val="18"/>
                <w:szCs w:val="20"/>
                <w:lang w:val="es-ES"/>
              </w:rPr>
            </w:pPr>
            <w:r w:rsidRPr="003958FD">
              <w:rPr>
                <w:rFonts w:eastAsia="Times New Roman"/>
                <w:sz w:val="18"/>
                <w:szCs w:val="20"/>
                <w:lang w:val="es-ES"/>
              </w:rPr>
              <w:t>16.7</w:t>
            </w:r>
          </w:p>
        </w:tc>
      </w:tr>
      <w:tr w:rsidR="003958FD" w:rsidRPr="003958FD" w14:paraId="46AF1428" w14:textId="77777777" w:rsidTr="004F1C40">
        <w:trPr>
          <w:jc w:val="center"/>
        </w:trPr>
        <w:tc>
          <w:tcPr>
            <w:tcW w:w="4407" w:type="dxa"/>
            <w:tcBorders>
              <w:top w:val="nil"/>
              <w:bottom w:val="nil"/>
              <w:right w:val="single" w:sz="6" w:space="0" w:color="auto"/>
            </w:tcBorders>
            <w:shd w:val="clear" w:color="auto" w:fill="auto"/>
            <w:vAlign w:val="center"/>
          </w:tcPr>
          <w:p w14:paraId="292CA897" w14:textId="77777777" w:rsidR="003958FD" w:rsidRPr="003958FD" w:rsidRDefault="003958FD" w:rsidP="003958FD">
            <w:pPr>
              <w:spacing w:before="20" w:after="20"/>
              <w:rPr>
                <w:rFonts w:eastAsia="Times New Roman"/>
                <w:b/>
                <w:bCs/>
                <w:sz w:val="18"/>
                <w:szCs w:val="20"/>
                <w:lang w:val="es-ES"/>
              </w:rPr>
            </w:pPr>
            <w:r w:rsidRPr="003958FD">
              <w:rPr>
                <w:rFonts w:eastAsia="Times New Roman"/>
                <w:b/>
                <w:bCs/>
                <w:sz w:val="18"/>
                <w:szCs w:val="20"/>
                <w:lang w:val="es-ES"/>
              </w:rPr>
              <w:t>México</w:t>
            </w:r>
          </w:p>
        </w:tc>
        <w:tc>
          <w:tcPr>
            <w:tcW w:w="1276" w:type="dxa"/>
            <w:tcBorders>
              <w:top w:val="nil"/>
              <w:left w:val="single" w:sz="6" w:space="0" w:color="auto"/>
              <w:bottom w:val="nil"/>
              <w:right w:val="single" w:sz="6" w:space="0" w:color="auto"/>
            </w:tcBorders>
            <w:shd w:val="clear" w:color="auto" w:fill="auto"/>
            <w:vAlign w:val="center"/>
          </w:tcPr>
          <w:p w14:paraId="314C6F24" w14:textId="77777777" w:rsidR="003958FD" w:rsidRPr="003958FD" w:rsidRDefault="003958FD" w:rsidP="003958FD">
            <w:pPr>
              <w:spacing w:before="20" w:after="20"/>
              <w:ind w:right="113"/>
              <w:jc w:val="right"/>
              <w:rPr>
                <w:rFonts w:eastAsia="Times New Roman"/>
                <w:b/>
                <w:bCs/>
                <w:sz w:val="18"/>
                <w:szCs w:val="20"/>
                <w:lang w:val="es-ES"/>
              </w:rPr>
            </w:pPr>
            <w:r w:rsidRPr="003958FD">
              <w:rPr>
                <w:rFonts w:eastAsia="Times New Roman"/>
                <w:b/>
                <w:bCs/>
                <w:sz w:val="18"/>
                <w:szCs w:val="20"/>
                <w:lang w:val="es-ES"/>
              </w:rPr>
              <w:t>271 497</w:t>
            </w:r>
          </w:p>
        </w:tc>
        <w:tc>
          <w:tcPr>
            <w:tcW w:w="1275" w:type="dxa"/>
            <w:tcBorders>
              <w:top w:val="nil"/>
              <w:left w:val="single" w:sz="6" w:space="0" w:color="auto"/>
              <w:bottom w:val="nil"/>
              <w:right w:val="single" w:sz="6" w:space="0" w:color="auto"/>
            </w:tcBorders>
            <w:shd w:val="clear" w:color="auto" w:fill="auto"/>
            <w:vAlign w:val="center"/>
          </w:tcPr>
          <w:p w14:paraId="5C507A17" w14:textId="77777777" w:rsidR="003958FD" w:rsidRPr="003958FD" w:rsidRDefault="003958FD" w:rsidP="003958FD">
            <w:pPr>
              <w:spacing w:before="20" w:after="20"/>
              <w:ind w:right="113"/>
              <w:jc w:val="right"/>
              <w:rPr>
                <w:rFonts w:eastAsia="Times New Roman"/>
                <w:b/>
                <w:bCs/>
                <w:sz w:val="18"/>
                <w:szCs w:val="20"/>
                <w:lang w:val="es-ES"/>
              </w:rPr>
            </w:pPr>
            <w:r w:rsidRPr="003958FD">
              <w:rPr>
                <w:rFonts w:eastAsia="Times New Roman"/>
                <w:b/>
                <w:bCs/>
                <w:sz w:val="18"/>
                <w:szCs w:val="20"/>
                <w:lang w:val="es-ES"/>
              </w:rPr>
              <w:t>303 657</w:t>
            </w:r>
          </w:p>
        </w:tc>
        <w:tc>
          <w:tcPr>
            <w:tcW w:w="993" w:type="dxa"/>
            <w:tcBorders>
              <w:top w:val="nil"/>
              <w:left w:val="single" w:sz="6" w:space="0" w:color="auto"/>
              <w:bottom w:val="nil"/>
            </w:tcBorders>
            <w:shd w:val="clear" w:color="auto" w:fill="auto"/>
            <w:vAlign w:val="center"/>
          </w:tcPr>
          <w:p w14:paraId="16689F2C" w14:textId="77777777" w:rsidR="003958FD" w:rsidRPr="003958FD" w:rsidRDefault="003958FD" w:rsidP="003958FD">
            <w:pPr>
              <w:spacing w:before="20" w:after="20"/>
              <w:ind w:right="227"/>
              <w:jc w:val="right"/>
              <w:rPr>
                <w:rFonts w:eastAsia="Times New Roman"/>
                <w:b/>
                <w:bCs/>
                <w:sz w:val="18"/>
                <w:szCs w:val="20"/>
                <w:lang w:val="es-ES"/>
              </w:rPr>
            </w:pPr>
            <w:r w:rsidRPr="003958FD">
              <w:rPr>
                <w:rFonts w:eastAsia="Times New Roman"/>
                <w:b/>
                <w:bCs/>
                <w:sz w:val="18"/>
                <w:szCs w:val="20"/>
                <w:lang w:val="es-ES"/>
              </w:rPr>
              <w:t>11.8</w:t>
            </w:r>
          </w:p>
        </w:tc>
      </w:tr>
      <w:tr w:rsidR="003958FD" w:rsidRPr="003958FD" w14:paraId="249ADD23" w14:textId="77777777" w:rsidTr="004F1C40">
        <w:trPr>
          <w:jc w:val="center"/>
        </w:trPr>
        <w:tc>
          <w:tcPr>
            <w:tcW w:w="4407" w:type="dxa"/>
            <w:tcBorders>
              <w:top w:val="nil"/>
              <w:bottom w:val="nil"/>
              <w:right w:val="single" w:sz="6" w:space="0" w:color="auto"/>
            </w:tcBorders>
            <w:vAlign w:val="center"/>
          </w:tcPr>
          <w:p w14:paraId="45A50CB6" w14:textId="77777777" w:rsidR="003958FD" w:rsidRPr="003958FD" w:rsidRDefault="003958FD" w:rsidP="003958FD">
            <w:pPr>
              <w:spacing w:before="20" w:after="20"/>
              <w:rPr>
                <w:rFonts w:eastAsia="Times New Roman"/>
                <w:bCs/>
                <w:sz w:val="18"/>
                <w:szCs w:val="20"/>
                <w:lang w:val="es-ES"/>
              </w:rPr>
            </w:pPr>
            <w:r w:rsidRPr="003958FD">
              <w:rPr>
                <w:rFonts w:eastAsia="Times New Roman"/>
                <w:bCs/>
                <w:sz w:val="18"/>
                <w:szCs w:val="20"/>
                <w:lang w:val="es-ES"/>
              </w:rPr>
              <w:t>Otros</w:t>
            </w:r>
          </w:p>
        </w:tc>
        <w:tc>
          <w:tcPr>
            <w:tcW w:w="1276" w:type="dxa"/>
            <w:tcBorders>
              <w:top w:val="nil"/>
              <w:left w:val="single" w:sz="6" w:space="0" w:color="auto"/>
              <w:bottom w:val="nil"/>
              <w:right w:val="single" w:sz="6" w:space="0" w:color="auto"/>
            </w:tcBorders>
            <w:vAlign w:val="center"/>
          </w:tcPr>
          <w:p w14:paraId="67E57536" w14:textId="77777777" w:rsidR="003958FD" w:rsidRPr="003958FD" w:rsidRDefault="003958FD" w:rsidP="003958FD">
            <w:pPr>
              <w:spacing w:before="20" w:after="20"/>
              <w:ind w:right="113"/>
              <w:jc w:val="right"/>
              <w:rPr>
                <w:rFonts w:eastAsia="Times New Roman"/>
                <w:sz w:val="18"/>
                <w:szCs w:val="20"/>
                <w:lang w:val="es-ES"/>
              </w:rPr>
            </w:pPr>
            <w:r w:rsidRPr="003958FD">
              <w:rPr>
                <w:rFonts w:eastAsia="Times New Roman"/>
                <w:sz w:val="18"/>
                <w:szCs w:val="20"/>
                <w:lang w:val="es-ES"/>
              </w:rPr>
              <w:t>44 993</w:t>
            </w:r>
          </w:p>
        </w:tc>
        <w:tc>
          <w:tcPr>
            <w:tcW w:w="1275" w:type="dxa"/>
            <w:tcBorders>
              <w:top w:val="nil"/>
              <w:left w:val="single" w:sz="6" w:space="0" w:color="auto"/>
              <w:bottom w:val="nil"/>
              <w:right w:val="single" w:sz="6" w:space="0" w:color="auto"/>
            </w:tcBorders>
            <w:vAlign w:val="center"/>
          </w:tcPr>
          <w:p w14:paraId="68CE8350" w14:textId="77777777" w:rsidR="003958FD" w:rsidRPr="003958FD" w:rsidRDefault="003958FD" w:rsidP="003958FD">
            <w:pPr>
              <w:spacing w:before="20" w:after="20"/>
              <w:ind w:right="113"/>
              <w:jc w:val="right"/>
              <w:rPr>
                <w:rFonts w:eastAsia="Times New Roman"/>
                <w:sz w:val="18"/>
                <w:szCs w:val="20"/>
                <w:lang w:val="es-ES"/>
              </w:rPr>
            </w:pPr>
            <w:r w:rsidRPr="003958FD">
              <w:rPr>
                <w:rFonts w:eastAsia="Times New Roman"/>
                <w:sz w:val="18"/>
                <w:szCs w:val="20"/>
                <w:lang w:val="es-ES"/>
              </w:rPr>
              <w:t>53 859</w:t>
            </w:r>
          </w:p>
        </w:tc>
        <w:tc>
          <w:tcPr>
            <w:tcW w:w="993" w:type="dxa"/>
            <w:tcBorders>
              <w:top w:val="nil"/>
              <w:left w:val="single" w:sz="6" w:space="0" w:color="auto"/>
              <w:bottom w:val="nil"/>
            </w:tcBorders>
            <w:vAlign w:val="center"/>
          </w:tcPr>
          <w:p w14:paraId="55908714" w14:textId="77777777" w:rsidR="003958FD" w:rsidRPr="003958FD" w:rsidRDefault="003958FD" w:rsidP="003958FD">
            <w:pPr>
              <w:spacing w:before="20" w:after="20"/>
              <w:ind w:right="227"/>
              <w:jc w:val="right"/>
              <w:rPr>
                <w:rFonts w:eastAsia="Times New Roman"/>
                <w:sz w:val="18"/>
                <w:szCs w:val="20"/>
                <w:lang w:val="es-ES"/>
              </w:rPr>
            </w:pPr>
            <w:r w:rsidRPr="003958FD">
              <w:rPr>
                <w:rFonts w:eastAsia="Times New Roman"/>
                <w:sz w:val="18"/>
                <w:szCs w:val="20"/>
                <w:lang w:val="es-ES"/>
              </w:rPr>
              <w:t>19.7</w:t>
            </w:r>
          </w:p>
        </w:tc>
      </w:tr>
      <w:tr w:rsidR="003958FD" w:rsidRPr="003958FD" w14:paraId="1878A7B4" w14:textId="77777777" w:rsidTr="004F1C40">
        <w:trPr>
          <w:trHeight w:val="189"/>
          <w:jc w:val="center"/>
        </w:trPr>
        <w:tc>
          <w:tcPr>
            <w:tcW w:w="4407" w:type="dxa"/>
            <w:tcBorders>
              <w:top w:val="nil"/>
              <w:bottom w:val="nil"/>
              <w:right w:val="single" w:sz="6" w:space="0" w:color="auto"/>
            </w:tcBorders>
            <w:vAlign w:val="center"/>
          </w:tcPr>
          <w:p w14:paraId="64225D81" w14:textId="77777777" w:rsidR="003958FD" w:rsidRPr="003958FD" w:rsidRDefault="003958FD" w:rsidP="003958FD">
            <w:pPr>
              <w:spacing w:before="20" w:after="20"/>
              <w:rPr>
                <w:rFonts w:eastAsia="Times New Roman"/>
                <w:bCs/>
                <w:sz w:val="18"/>
                <w:szCs w:val="20"/>
                <w:lang w:val="es-ES"/>
              </w:rPr>
            </w:pPr>
            <w:r w:rsidRPr="003958FD">
              <w:rPr>
                <w:rFonts w:eastAsia="Times New Roman"/>
                <w:bCs/>
                <w:sz w:val="18"/>
                <w:szCs w:val="20"/>
                <w:lang w:val="es-ES"/>
              </w:rPr>
              <w:t>Estados Unidos de Norteamérica y Canadá</w:t>
            </w:r>
          </w:p>
        </w:tc>
        <w:tc>
          <w:tcPr>
            <w:tcW w:w="1276" w:type="dxa"/>
            <w:tcBorders>
              <w:top w:val="nil"/>
              <w:left w:val="single" w:sz="6" w:space="0" w:color="auto"/>
              <w:bottom w:val="nil"/>
              <w:right w:val="single" w:sz="6" w:space="0" w:color="auto"/>
            </w:tcBorders>
            <w:vAlign w:val="center"/>
          </w:tcPr>
          <w:p w14:paraId="156A1D3F" w14:textId="77777777" w:rsidR="003958FD" w:rsidRPr="003958FD" w:rsidRDefault="003958FD" w:rsidP="003958FD">
            <w:pPr>
              <w:spacing w:before="20" w:after="20"/>
              <w:ind w:right="113"/>
              <w:jc w:val="right"/>
              <w:rPr>
                <w:rFonts w:eastAsia="Times New Roman"/>
                <w:bCs/>
                <w:sz w:val="18"/>
                <w:szCs w:val="20"/>
                <w:lang w:val="es-ES"/>
              </w:rPr>
            </w:pPr>
            <w:r w:rsidRPr="003958FD">
              <w:rPr>
                <w:rFonts w:eastAsia="Times New Roman"/>
                <w:bCs/>
                <w:sz w:val="18"/>
                <w:szCs w:val="20"/>
                <w:lang w:val="es-ES"/>
              </w:rPr>
              <w:t>1 448 851</w:t>
            </w:r>
          </w:p>
        </w:tc>
        <w:tc>
          <w:tcPr>
            <w:tcW w:w="1275" w:type="dxa"/>
            <w:tcBorders>
              <w:top w:val="nil"/>
              <w:left w:val="single" w:sz="6" w:space="0" w:color="auto"/>
              <w:bottom w:val="nil"/>
              <w:right w:val="single" w:sz="6" w:space="0" w:color="auto"/>
            </w:tcBorders>
            <w:vAlign w:val="center"/>
          </w:tcPr>
          <w:p w14:paraId="22F0A546" w14:textId="77777777" w:rsidR="003958FD" w:rsidRPr="003958FD" w:rsidRDefault="003958FD" w:rsidP="003958FD">
            <w:pPr>
              <w:spacing w:before="20" w:after="20"/>
              <w:ind w:right="113"/>
              <w:jc w:val="right"/>
              <w:rPr>
                <w:rFonts w:eastAsia="Times New Roman"/>
                <w:bCs/>
                <w:sz w:val="18"/>
                <w:szCs w:val="20"/>
                <w:lang w:val="es-ES"/>
              </w:rPr>
            </w:pPr>
            <w:r w:rsidRPr="003958FD">
              <w:rPr>
                <w:rFonts w:eastAsia="Times New Roman"/>
                <w:bCs/>
                <w:sz w:val="18"/>
                <w:szCs w:val="20"/>
                <w:lang w:val="es-ES"/>
              </w:rPr>
              <w:t>1 614 030</w:t>
            </w:r>
          </w:p>
        </w:tc>
        <w:tc>
          <w:tcPr>
            <w:tcW w:w="993" w:type="dxa"/>
            <w:tcBorders>
              <w:top w:val="nil"/>
              <w:left w:val="single" w:sz="6" w:space="0" w:color="auto"/>
              <w:bottom w:val="nil"/>
            </w:tcBorders>
            <w:vAlign w:val="center"/>
          </w:tcPr>
          <w:p w14:paraId="0501286E" w14:textId="77777777" w:rsidR="003958FD" w:rsidRPr="003958FD" w:rsidRDefault="003958FD" w:rsidP="003958FD">
            <w:pPr>
              <w:spacing w:before="20" w:after="20"/>
              <w:ind w:right="227"/>
              <w:jc w:val="right"/>
              <w:rPr>
                <w:rFonts w:eastAsia="Times New Roman"/>
                <w:bCs/>
                <w:sz w:val="18"/>
                <w:szCs w:val="20"/>
                <w:lang w:val="es-ES"/>
              </w:rPr>
            </w:pPr>
            <w:r w:rsidRPr="003958FD">
              <w:rPr>
                <w:rFonts w:eastAsia="Times New Roman"/>
                <w:bCs/>
                <w:sz w:val="18"/>
                <w:szCs w:val="20"/>
                <w:lang w:val="es-ES"/>
              </w:rPr>
              <w:t>11.4</w:t>
            </w:r>
          </w:p>
        </w:tc>
      </w:tr>
      <w:tr w:rsidR="003958FD" w:rsidRPr="003958FD" w14:paraId="66112556" w14:textId="77777777" w:rsidTr="004F1C40">
        <w:trPr>
          <w:jc w:val="center"/>
        </w:trPr>
        <w:tc>
          <w:tcPr>
            <w:tcW w:w="4407" w:type="dxa"/>
            <w:tcBorders>
              <w:top w:val="nil"/>
              <w:bottom w:val="single" w:sz="4" w:space="0" w:color="000000"/>
              <w:right w:val="single" w:sz="6" w:space="0" w:color="auto"/>
            </w:tcBorders>
            <w:vAlign w:val="center"/>
          </w:tcPr>
          <w:p w14:paraId="67C67084" w14:textId="77777777" w:rsidR="003958FD" w:rsidRPr="003958FD" w:rsidRDefault="003958FD" w:rsidP="003958FD">
            <w:pPr>
              <w:spacing w:before="20" w:after="20"/>
              <w:rPr>
                <w:rFonts w:eastAsia="Times New Roman"/>
                <w:b/>
                <w:sz w:val="18"/>
                <w:szCs w:val="20"/>
                <w:lang w:val="es-ES"/>
              </w:rPr>
            </w:pPr>
            <w:r w:rsidRPr="003958FD">
              <w:rPr>
                <w:rFonts w:eastAsia="Times New Roman"/>
                <w:b/>
                <w:bCs/>
                <w:sz w:val="18"/>
                <w:szCs w:val="20"/>
                <w:lang w:val="es-ES"/>
              </w:rPr>
              <w:t>TOTAL</w:t>
            </w:r>
          </w:p>
        </w:tc>
        <w:tc>
          <w:tcPr>
            <w:tcW w:w="1276" w:type="dxa"/>
            <w:tcBorders>
              <w:top w:val="nil"/>
              <w:left w:val="single" w:sz="6" w:space="0" w:color="auto"/>
              <w:bottom w:val="single" w:sz="4" w:space="0" w:color="000000"/>
              <w:right w:val="single" w:sz="6" w:space="0" w:color="auto"/>
            </w:tcBorders>
            <w:vAlign w:val="center"/>
          </w:tcPr>
          <w:p w14:paraId="42D766C6" w14:textId="77777777" w:rsidR="003958FD" w:rsidRPr="003958FD" w:rsidRDefault="003958FD" w:rsidP="003958FD">
            <w:pPr>
              <w:spacing w:before="20" w:after="20"/>
              <w:ind w:right="113"/>
              <w:jc w:val="right"/>
              <w:rPr>
                <w:rFonts w:eastAsia="Times New Roman"/>
                <w:b/>
                <w:sz w:val="18"/>
                <w:szCs w:val="20"/>
                <w:lang w:val="es-ES"/>
              </w:rPr>
            </w:pPr>
            <w:r w:rsidRPr="003958FD">
              <w:rPr>
                <w:rFonts w:eastAsia="Times New Roman"/>
                <w:b/>
                <w:sz w:val="18"/>
                <w:szCs w:val="20"/>
                <w:lang w:val="es-ES"/>
              </w:rPr>
              <w:t>2 195 751</w:t>
            </w:r>
          </w:p>
        </w:tc>
        <w:tc>
          <w:tcPr>
            <w:tcW w:w="1275" w:type="dxa"/>
            <w:tcBorders>
              <w:top w:val="nil"/>
              <w:left w:val="single" w:sz="6" w:space="0" w:color="auto"/>
              <w:bottom w:val="single" w:sz="4" w:space="0" w:color="000000"/>
              <w:right w:val="single" w:sz="6" w:space="0" w:color="auto"/>
            </w:tcBorders>
            <w:vAlign w:val="center"/>
          </w:tcPr>
          <w:p w14:paraId="5C8E8635" w14:textId="77777777" w:rsidR="003958FD" w:rsidRPr="003958FD" w:rsidRDefault="003958FD" w:rsidP="003958FD">
            <w:pPr>
              <w:spacing w:before="20" w:after="20"/>
              <w:ind w:right="113"/>
              <w:jc w:val="right"/>
              <w:rPr>
                <w:rFonts w:eastAsia="Times New Roman"/>
                <w:b/>
                <w:sz w:val="18"/>
                <w:szCs w:val="20"/>
                <w:lang w:val="es-ES"/>
              </w:rPr>
            </w:pPr>
            <w:r w:rsidRPr="003958FD">
              <w:rPr>
                <w:rFonts w:eastAsia="Times New Roman"/>
                <w:b/>
                <w:sz w:val="18"/>
                <w:szCs w:val="20"/>
                <w:lang w:val="es-ES"/>
              </w:rPr>
              <w:t>2 398 198</w:t>
            </w:r>
          </w:p>
        </w:tc>
        <w:tc>
          <w:tcPr>
            <w:tcW w:w="993" w:type="dxa"/>
            <w:tcBorders>
              <w:top w:val="nil"/>
              <w:left w:val="single" w:sz="6" w:space="0" w:color="auto"/>
              <w:bottom w:val="single" w:sz="4" w:space="0" w:color="000000"/>
            </w:tcBorders>
            <w:vAlign w:val="center"/>
          </w:tcPr>
          <w:p w14:paraId="62BF75A5" w14:textId="77777777" w:rsidR="003958FD" w:rsidRPr="003958FD" w:rsidRDefault="003958FD" w:rsidP="003958FD">
            <w:pPr>
              <w:spacing w:before="20" w:after="20"/>
              <w:ind w:right="227"/>
              <w:jc w:val="right"/>
              <w:rPr>
                <w:rFonts w:eastAsia="Times New Roman"/>
                <w:b/>
                <w:sz w:val="18"/>
                <w:szCs w:val="20"/>
                <w:lang w:val="es-ES"/>
              </w:rPr>
            </w:pPr>
            <w:r w:rsidRPr="003958FD">
              <w:rPr>
                <w:rFonts w:eastAsia="Times New Roman"/>
                <w:b/>
                <w:sz w:val="18"/>
                <w:szCs w:val="20"/>
                <w:lang w:val="es-ES"/>
              </w:rPr>
              <w:t>9.2</w:t>
            </w:r>
          </w:p>
        </w:tc>
      </w:tr>
      <w:tr w:rsidR="003958FD" w:rsidRPr="003958FD" w14:paraId="3196EFBE" w14:textId="77777777" w:rsidTr="004F1C40">
        <w:trPr>
          <w:jc w:val="center"/>
        </w:trPr>
        <w:tc>
          <w:tcPr>
            <w:tcW w:w="7951" w:type="dxa"/>
            <w:gridSpan w:val="4"/>
            <w:tcBorders>
              <w:left w:val="nil"/>
              <w:bottom w:val="nil"/>
              <w:right w:val="nil"/>
            </w:tcBorders>
          </w:tcPr>
          <w:p w14:paraId="3AD251BF" w14:textId="77777777" w:rsidR="003958FD" w:rsidRPr="003958FD" w:rsidRDefault="003958FD" w:rsidP="003958FD">
            <w:pPr>
              <w:jc w:val="both"/>
              <w:rPr>
                <w:rFonts w:eastAsia="Times New Roman"/>
                <w:sz w:val="20"/>
                <w:szCs w:val="20"/>
                <w:lang w:val="en-US"/>
              </w:rPr>
            </w:pPr>
            <w:r w:rsidRPr="003958FD">
              <w:rPr>
                <w:rFonts w:eastAsia="Times New Roman"/>
                <w:sz w:val="20"/>
                <w:szCs w:val="20"/>
                <w:lang w:val="en-US"/>
              </w:rPr>
              <w:t xml:space="preserve">FUENTE: </w:t>
            </w:r>
            <w:r w:rsidRPr="009A4CE7">
              <w:rPr>
                <w:rFonts w:eastAsia="Times New Roman"/>
                <w:i/>
                <w:sz w:val="20"/>
                <w:szCs w:val="20"/>
                <w:lang w:val="en-US"/>
              </w:rPr>
              <w:t>Ward’s Automotive Reports</w:t>
            </w:r>
            <w:r w:rsidRPr="003958FD">
              <w:rPr>
                <w:rFonts w:eastAsia="Times New Roman"/>
                <w:sz w:val="20"/>
                <w:szCs w:val="20"/>
                <w:lang w:val="en-US"/>
              </w:rPr>
              <w:t>.</w:t>
            </w:r>
          </w:p>
        </w:tc>
      </w:tr>
    </w:tbl>
    <w:p w14:paraId="06782052" w14:textId="77777777" w:rsidR="003958FD" w:rsidRPr="003958FD" w:rsidRDefault="003958FD" w:rsidP="003958FD">
      <w:pPr>
        <w:spacing w:after="360" w:line="360" w:lineRule="auto"/>
        <w:ind w:right="-159"/>
        <w:jc w:val="both"/>
        <w:rPr>
          <w:rFonts w:eastAsia="Times New Roman"/>
          <w:sz w:val="26"/>
          <w:szCs w:val="26"/>
          <w:lang w:val="en-US"/>
        </w:rPr>
      </w:pPr>
    </w:p>
    <w:p w14:paraId="497CAA87" w14:textId="77777777" w:rsidR="003958FD" w:rsidRPr="003958FD" w:rsidRDefault="003958FD" w:rsidP="003958FD">
      <w:pPr>
        <w:spacing w:after="360" w:line="360" w:lineRule="auto"/>
        <w:ind w:right="-159"/>
        <w:jc w:val="both"/>
        <w:rPr>
          <w:rFonts w:eastAsia="Times New Roman"/>
          <w:b/>
          <w:sz w:val="26"/>
          <w:szCs w:val="26"/>
          <w:lang w:val="es-ES"/>
        </w:rPr>
      </w:pPr>
      <w:r w:rsidRPr="003958FD">
        <w:rPr>
          <w:rFonts w:eastAsia="Times New Roman"/>
          <w:b/>
          <w:sz w:val="26"/>
          <w:szCs w:val="26"/>
          <w:lang w:val="es-ES"/>
        </w:rPr>
        <w:t>Balanza comercial automotriz</w:t>
      </w:r>
      <w:r w:rsidRPr="003958FD">
        <w:rPr>
          <w:rFonts w:eastAsia="Times New Roman"/>
          <w:b/>
          <w:sz w:val="26"/>
          <w:szCs w:val="26"/>
          <w:vertAlign w:val="superscript"/>
          <w:lang w:val="es-ES"/>
        </w:rPr>
        <w:footnoteReference w:id="79"/>
      </w:r>
    </w:p>
    <w:p w14:paraId="4EA6D47C" w14:textId="2FB613CC" w:rsidR="003958FD" w:rsidRPr="003958FD" w:rsidRDefault="003958FD" w:rsidP="003958FD">
      <w:pPr>
        <w:spacing w:after="360" w:line="360" w:lineRule="auto"/>
        <w:ind w:right="-159"/>
        <w:jc w:val="both"/>
        <w:rPr>
          <w:rFonts w:eastAsia="Times New Roman"/>
          <w:sz w:val="26"/>
          <w:szCs w:val="26"/>
          <w:lang w:val="es-ES"/>
        </w:rPr>
      </w:pPr>
      <w:r w:rsidRPr="003958FD">
        <w:rPr>
          <w:rFonts w:eastAsia="Times New Roman"/>
          <w:sz w:val="26"/>
          <w:szCs w:val="26"/>
          <w:lang w:val="es-ES"/>
        </w:rPr>
        <w:t>En 2014</w:t>
      </w:r>
      <w:r w:rsidR="00D2103B">
        <w:rPr>
          <w:rFonts w:eastAsia="Times New Roman"/>
          <w:sz w:val="26"/>
          <w:szCs w:val="26"/>
          <w:lang w:val="es-ES"/>
        </w:rPr>
        <w:t>,</w:t>
      </w:r>
      <w:r w:rsidRPr="003958FD">
        <w:rPr>
          <w:rFonts w:eastAsia="Times New Roman"/>
          <w:sz w:val="26"/>
          <w:szCs w:val="26"/>
          <w:lang w:val="es-ES"/>
        </w:rPr>
        <w:t xml:space="preserve"> el saldo en la balanza comercial de la industria automotriz fue superavitario, al registrar 49 mil 656 millones de dólares, con un crecimiento de 14.3% en relación con el saldo registrado en 2013. La exportación automotriz en 2014 representó una cuarta parte de las exportaciones manufactureras de nuestro país; mientras que de las exportaciones totales la industria automotriz aportó el 21.2 por ciento.</w:t>
      </w:r>
    </w:p>
    <w:p w14:paraId="713271E9" w14:textId="77777777" w:rsidR="003958FD" w:rsidRDefault="003958FD" w:rsidP="003958FD">
      <w:pPr>
        <w:spacing w:after="360" w:line="360" w:lineRule="auto"/>
        <w:ind w:right="-159"/>
        <w:jc w:val="both"/>
        <w:rPr>
          <w:rFonts w:eastAsia="Times New Roman"/>
          <w:sz w:val="26"/>
          <w:szCs w:val="26"/>
          <w:lang w:val="es-ES"/>
        </w:rPr>
      </w:pPr>
      <w:r w:rsidRPr="003958FD">
        <w:rPr>
          <w:rFonts w:eastAsia="Times New Roman"/>
          <w:sz w:val="26"/>
          <w:szCs w:val="26"/>
          <w:lang w:val="es-ES"/>
        </w:rPr>
        <w:t>Durante los últimos 20 años, la industria ha acrecentado su saldo en 506%, reafirmándose como el sector más importante y dinámico del país.</w:t>
      </w:r>
    </w:p>
    <w:p w14:paraId="0D4CEBCC" w14:textId="77777777" w:rsidR="00A94DD6" w:rsidRDefault="00A94DD6" w:rsidP="003958FD">
      <w:pPr>
        <w:spacing w:after="360" w:line="360" w:lineRule="auto"/>
        <w:ind w:right="-159"/>
        <w:jc w:val="both"/>
        <w:rPr>
          <w:rFonts w:eastAsia="Times New Roman"/>
          <w:sz w:val="26"/>
          <w:szCs w:val="26"/>
          <w:lang w:val="es-ES"/>
        </w:rPr>
      </w:pPr>
    </w:p>
    <w:p w14:paraId="5AFEA03D" w14:textId="77777777" w:rsidR="00A94DD6" w:rsidRDefault="00A94DD6" w:rsidP="003958FD">
      <w:pPr>
        <w:spacing w:after="360" w:line="360" w:lineRule="auto"/>
        <w:ind w:right="-159"/>
        <w:jc w:val="both"/>
        <w:rPr>
          <w:rFonts w:eastAsia="Times New Roman"/>
          <w:sz w:val="26"/>
          <w:szCs w:val="26"/>
          <w:lang w:val="es-ES"/>
        </w:rPr>
      </w:pPr>
    </w:p>
    <w:p w14:paraId="4BC31BA1" w14:textId="77777777" w:rsidR="00A94DD6" w:rsidRDefault="00A94DD6" w:rsidP="003958FD">
      <w:pPr>
        <w:spacing w:after="360" w:line="360" w:lineRule="auto"/>
        <w:ind w:right="-159"/>
        <w:jc w:val="both"/>
        <w:rPr>
          <w:rFonts w:eastAsia="Times New Roman"/>
          <w:sz w:val="26"/>
          <w:szCs w:val="26"/>
          <w:lang w:val="es-ES"/>
        </w:rPr>
      </w:pPr>
    </w:p>
    <w:p w14:paraId="1707BD57" w14:textId="77777777" w:rsidR="00A94DD6" w:rsidRDefault="00A94DD6" w:rsidP="003958FD">
      <w:pPr>
        <w:spacing w:after="360" w:line="360" w:lineRule="auto"/>
        <w:ind w:right="-159"/>
        <w:jc w:val="both"/>
        <w:rPr>
          <w:rFonts w:eastAsia="Times New Roman"/>
          <w:sz w:val="26"/>
          <w:szCs w:val="26"/>
          <w:lang w:val="es-ES"/>
        </w:rPr>
      </w:pPr>
    </w:p>
    <w:tbl>
      <w:tblPr>
        <w:tblW w:w="0" w:type="auto"/>
        <w:jc w:val="center"/>
        <w:tblLook w:val="04A0" w:firstRow="1" w:lastRow="0" w:firstColumn="1" w:lastColumn="0" w:noHBand="0" w:noVBand="1"/>
      </w:tblPr>
      <w:tblGrid>
        <w:gridCol w:w="8840"/>
      </w:tblGrid>
      <w:tr w:rsidR="003958FD" w:rsidRPr="003958FD" w14:paraId="020BF79B" w14:textId="77777777" w:rsidTr="004F1C40">
        <w:trPr>
          <w:trHeight w:val="276"/>
          <w:jc w:val="center"/>
        </w:trPr>
        <w:tc>
          <w:tcPr>
            <w:tcW w:w="8840" w:type="dxa"/>
          </w:tcPr>
          <w:p w14:paraId="49B71B01" w14:textId="77777777" w:rsidR="00917DC0" w:rsidRDefault="00917DC0" w:rsidP="003958FD">
            <w:pPr>
              <w:jc w:val="center"/>
              <w:rPr>
                <w:rFonts w:eastAsia="Times New Roman"/>
                <w:b/>
                <w:sz w:val="22"/>
                <w:szCs w:val="22"/>
                <w:lang w:val="es-ES"/>
              </w:rPr>
            </w:pPr>
          </w:p>
          <w:p w14:paraId="3748E1D2" w14:textId="77777777" w:rsidR="003958FD" w:rsidRPr="003958FD" w:rsidRDefault="003958FD" w:rsidP="003958FD">
            <w:pPr>
              <w:jc w:val="center"/>
              <w:rPr>
                <w:rFonts w:eastAsia="Times New Roman"/>
                <w:b/>
                <w:sz w:val="22"/>
                <w:szCs w:val="22"/>
                <w:lang w:val="es-ES"/>
              </w:rPr>
            </w:pPr>
            <w:r w:rsidRPr="003958FD">
              <w:rPr>
                <w:rFonts w:eastAsia="Times New Roman"/>
                <w:b/>
                <w:sz w:val="22"/>
                <w:szCs w:val="22"/>
                <w:lang w:val="es-ES"/>
              </w:rPr>
              <w:lastRenderedPageBreak/>
              <w:t>SALDO AUTOMOTRIZ*</w:t>
            </w:r>
          </w:p>
        </w:tc>
      </w:tr>
      <w:tr w:rsidR="003958FD" w:rsidRPr="003958FD" w14:paraId="04B8E91F" w14:textId="77777777" w:rsidTr="004F1C40">
        <w:trPr>
          <w:trHeight w:val="329"/>
          <w:jc w:val="center"/>
        </w:trPr>
        <w:tc>
          <w:tcPr>
            <w:tcW w:w="8840" w:type="dxa"/>
          </w:tcPr>
          <w:p w14:paraId="20269F45" w14:textId="77777777" w:rsidR="003958FD" w:rsidRPr="003958FD" w:rsidRDefault="003958FD" w:rsidP="003958FD">
            <w:pPr>
              <w:jc w:val="center"/>
              <w:rPr>
                <w:rFonts w:eastAsia="Times New Roman"/>
                <w:lang w:val="es-ES"/>
              </w:rPr>
            </w:pPr>
            <w:r w:rsidRPr="003958FD">
              <w:rPr>
                <w:rFonts w:eastAsia="Times New Roman"/>
                <w:noProof/>
                <w:lang w:eastAsia="es-MX"/>
              </w:rPr>
              <w:lastRenderedPageBreak/>
              <w:drawing>
                <wp:inline distT="0" distB="0" distL="0" distR="0" wp14:anchorId="1824F127" wp14:editId="5C4418A4">
                  <wp:extent cx="5101311" cy="3240000"/>
                  <wp:effectExtent l="0" t="0" r="0" b="0"/>
                  <wp:docPr id="1567" name="Imagen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17" cstate="print">
                            <a:extLst>
                              <a:ext uri="{28A0092B-C50C-407E-A947-70E740481C1C}">
                                <a14:useLocalDpi xmlns:a14="http://schemas.microsoft.com/office/drawing/2010/main" val="0"/>
                              </a:ext>
                            </a:extLst>
                          </a:blip>
                          <a:srcRect t="3284" b="1451"/>
                          <a:stretch/>
                        </pic:blipFill>
                        <pic:spPr bwMode="auto">
                          <a:xfrm>
                            <a:off x="0" y="0"/>
                            <a:ext cx="5101311" cy="324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958FD" w:rsidRPr="003958FD" w14:paraId="38131E5E" w14:textId="77777777" w:rsidTr="004F1C40">
        <w:trPr>
          <w:trHeight w:val="276"/>
          <w:jc w:val="center"/>
        </w:trPr>
        <w:tc>
          <w:tcPr>
            <w:tcW w:w="8840" w:type="dxa"/>
          </w:tcPr>
          <w:p w14:paraId="44D40694" w14:textId="77777777" w:rsidR="003958FD" w:rsidRPr="003958FD" w:rsidRDefault="003958FD" w:rsidP="003958FD">
            <w:pPr>
              <w:ind w:left="956" w:right="510" w:hanging="213"/>
              <w:jc w:val="both"/>
              <w:rPr>
                <w:rFonts w:eastAsia="Times New Roman"/>
                <w:noProof/>
                <w:sz w:val="20"/>
                <w:szCs w:val="20"/>
                <w:lang w:eastAsia="es-MX"/>
              </w:rPr>
            </w:pPr>
            <w:r w:rsidRPr="003958FD">
              <w:rPr>
                <w:rFonts w:eastAsia="Times New Roman"/>
                <w:noProof/>
                <w:sz w:val="20"/>
                <w:szCs w:val="20"/>
                <w:lang w:eastAsia="es-MX"/>
              </w:rPr>
              <w:t>* Se considera automotriz:87.01.20 Tractores de carretera para semirremolques; 87.02 Vehículos automóviles para el transporte =&gt; 10 personas; 87.03 Automóviles tipo turismo; 87.04 Vehículos para transporte de mercancías; 87.05 Automóviles para usos especiales; 87.06 Chasises con motor; 87.07 Carrocerías; 87.08 Partes y accesorios de vehículos; 87.11 Motocicletas</w:t>
            </w:r>
          </w:p>
          <w:p w14:paraId="150D3E13" w14:textId="77777777" w:rsidR="003958FD" w:rsidRPr="003958FD" w:rsidRDefault="003958FD" w:rsidP="003958FD">
            <w:pPr>
              <w:ind w:right="-159" w:firstLine="743"/>
              <w:jc w:val="both"/>
              <w:rPr>
                <w:rFonts w:eastAsia="Times New Roman"/>
                <w:noProof/>
                <w:sz w:val="20"/>
                <w:szCs w:val="20"/>
                <w:lang w:eastAsia="es-MX"/>
              </w:rPr>
            </w:pPr>
            <w:r w:rsidRPr="003958FD">
              <w:rPr>
                <w:rFonts w:eastAsia="Times New Roman"/>
                <w:noProof/>
                <w:sz w:val="20"/>
                <w:szCs w:val="20"/>
                <w:lang w:eastAsia="es-MX"/>
              </w:rPr>
              <w:t>FUENTE: INEGI.</w:t>
            </w:r>
          </w:p>
        </w:tc>
      </w:tr>
    </w:tbl>
    <w:p w14:paraId="5080D038" w14:textId="77777777" w:rsidR="003958FD" w:rsidRPr="003958FD" w:rsidRDefault="003958FD" w:rsidP="003958FD">
      <w:pPr>
        <w:spacing w:after="360" w:line="360" w:lineRule="auto"/>
        <w:ind w:right="-159"/>
        <w:jc w:val="both"/>
        <w:rPr>
          <w:rFonts w:eastAsia="Times New Roman"/>
          <w:sz w:val="26"/>
          <w:szCs w:val="26"/>
          <w:highlight w:val="yellow"/>
          <w:lang w:val="es-ES"/>
        </w:rPr>
      </w:pPr>
    </w:p>
    <w:p w14:paraId="78C0C689" w14:textId="2CC01024" w:rsidR="003958FD" w:rsidRPr="003958FD" w:rsidRDefault="003958FD" w:rsidP="003958FD">
      <w:pPr>
        <w:spacing w:after="360" w:line="360" w:lineRule="auto"/>
        <w:ind w:right="-159"/>
        <w:jc w:val="both"/>
        <w:rPr>
          <w:rFonts w:eastAsia="Times New Roman"/>
          <w:sz w:val="26"/>
          <w:szCs w:val="26"/>
          <w:lang w:val="es-ES"/>
        </w:rPr>
      </w:pPr>
      <w:r w:rsidRPr="003958FD">
        <w:rPr>
          <w:rFonts w:eastAsia="Times New Roman"/>
          <w:sz w:val="26"/>
          <w:szCs w:val="26"/>
          <w:lang w:val="es-ES"/>
        </w:rPr>
        <w:t>En 2014</w:t>
      </w:r>
      <w:r>
        <w:rPr>
          <w:rFonts w:eastAsia="Times New Roman"/>
          <w:sz w:val="26"/>
          <w:szCs w:val="26"/>
          <w:lang w:val="es-ES"/>
        </w:rPr>
        <w:t>,</w:t>
      </w:r>
      <w:r w:rsidRPr="003958FD">
        <w:rPr>
          <w:rFonts w:eastAsia="Times New Roman"/>
          <w:sz w:val="26"/>
          <w:szCs w:val="26"/>
          <w:lang w:val="es-ES"/>
        </w:rPr>
        <w:t xml:space="preserve"> el valor de las exportaciones de la industria automotriz fue 2 veces las exportaciones de productos petroleros, resultado del crecimiento automotriz (11.2%) y el descenso de las exportaciones petroleras (13.2%).</w:t>
      </w:r>
    </w:p>
    <w:p w14:paraId="168D7FF1" w14:textId="77777777" w:rsidR="003958FD" w:rsidRPr="003958FD" w:rsidRDefault="003958FD" w:rsidP="003958FD">
      <w:pPr>
        <w:spacing w:after="360" w:line="360" w:lineRule="auto"/>
        <w:ind w:right="-159"/>
        <w:jc w:val="both"/>
        <w:rPr>
          <w:rFonts w:eastAsia="Times New Roman"/>
          <w:sz w:val="26"/>
          <w:szCs w:val="26"/>
          <w:lang w:val="es-ES"/>
        </w:rPr>
      </w:pPr>
      <w:r w:rsidRPr="003958FD">
        <w:rPr>
          <w:rFonts w:eastAsia="Times New Roman"/>
          <w:sz w:val="26"/>
          <w:szCs w:val="26"/>
          <w:lang w:val="es-ES"/>
        </w:rPr>
        <w:t>La industria automotriz también representó 3.6 veces los ingresos por remesas y 5.2 veces los ingresos por turismo, durante 2014.</w:t>
      </w:r>
    </w:p>
    <w:p w14:paraId="4D71F1EE" w14:textId="77777777" w:rsidR="003958FD" w:rsidRPr="003958FD" w:rsidRDefault="003958FD" w:rsidP="003958FD">
      <w:pPr>
        <w:spacing w:after="360" w:line="360" w:lineRule="auto"/>
        <w:ind w:right="-159"/>
        <w:jc w:val="both"/>
        <w:rPr>
          <w:rFonts w:eastAsia="Times New Roman"/>
          <w:sz w:val="26"/>
          <w:szCs w:val="26"/>
          <w:lang w:val="es-ES"/>
        </w:rPr>
      </w:pPr>
    </w:p>
    <w:p w14:paraId="275B05D6" w14:textId="77777777" w:rsidR="003958FD" w:rsidRPr="003958FD" w:rsidRDefault="003958FD" w:rsidP="003958FD">
      <w:pPr>
        <w:spacing w:after="360" w:line="360" w:lineRule="auto"/>
        <w:ind w:right="-159"/>
        <w:jc w:val="both"/>
        <w:rPr>
          <w:rFonts w:eastAsia="Times New Roman"/>
          <w:sz w:val="26"/>
          <w:szCs w:val="26"/>
          <w:lang w:val="es-ES"/>
        </w:rPr>
      </w:pPr>
    </w:p>
    <w:p w14:paraId="69FBBC6E" w14:textId="77777777" w:rsidR="003958FD" w:rsidRPr="003958FD" w:rsidRDefault="003958FD" w:rsidP="003958FD">
      <w:pPr>
        <w:spacing w:after="360" w:line="360" w:lineRule="auto"/>
        <w:ind w:right="-159"/>
        <w:jc w:val="both"/>
        <w:rPr>
          <w:rFonts w:eastAsia="Times New Roman"/>
          <w:sz w:val="26"/>
          <w:szCs w:val="26"/>
          <w:lang w:val="es-ES"/>
        </w:rPr>
      </w:pPr>
    </w:p>
    <w:tbl>
      <w:tblPr>
        <w:tblW w:w="0" w:type="auto"/>
        <w:jc w:val="center"/>
        <w:tblLook w:val="04A0" w:firstRow="1" w:lastRow="0" w:firstColumn="1" w:lastColumn="0" w:noHBand="0" w:noVBand="1"/>
      </w:tblPr>
      <w:tblGrid>
        <w:gridCol w:w="8840"/>
      </w:tblGrid>
      <w:tr w:rsidR="003958FD" w:rsidRPr="003958FD" w14:paraId="2653CB15" w14:textId="77777777" w:rsidTr="004F1C40">
        <w:trPr>
          <w:trHeight w:val="276"/>
          <w:jc w:val="center"/>
        </w:trPr>
        <w:tc>
          <w:tcPr>
            <w:tcW w:w="8840" w:type="dxa"/>
          </w:tcPr>
          <w:p w14:paraId="7978B20E" w14:textId="77777777" w:rsidR="003958FD" w:rsidRPr="003958FD" w:rsidRDefault="003958FD" w:rsidP="003958FD">
            <w:pPr>
              <w:jc w:val="center"/>
              <w:rPr>
                <w:rFonts w:eastAsia="Times New Roman"/>
                <w:b/>
                <w:sz w:val="22"/>
                <w:szCs w:val="22"/>
                <w:lang w:val="es-ES"/>
              </w:rPr>
            </w:pPr>
            <w:r w:rsidRPr="003958FD">
              <w:rPr>
                <w:rFonts w:eastAsia="Times New Roman"/>
                <w:b/>
                <w:sz w:val="22"/>
                <w:szCs w:val="22"/>
                <w:lang w:val="es-ES"/>
              </w:rPr>
              <w:lastRenderedPageBreak/>
              <w:t>GENERACIÓN DE DIVISAS</w:t>
            </w:r>
          </w:p>
        </w:tc>
      </w:tr>
      <w:tr w:rsidR="003958FD" w:rsidRPr="003958FD" w14:paraId="379A687A" w14:textId="77777777" w:rsidTr="004F1C40">
        <w:trPr>
          <w:trHeight w:val="329"/>
          <w:jc w:val="center"/>
        </w:trPr>
        <w:tc>
          <w:tcPr>
            <w:tcW w:w="8840" w:type="dxa"/>
          </w:tcPr>
          <w:p w14:paraId="77A2B22D" w14:textId="77777777" w:rsidR="003958FD" w:rsidRPr="003958FD" w:rsidRDefault="003958FD" w:rsidP="003958FD">
            <w:pPr>
              <w:jc w:val="center"/>
              <w:rPr>
                <w:rFonts w:eastAsia="Times New Roman"/>
                <w:lang w:val="es-ES"/>
              </w:rPr>
            </w:pPr>
            <w:r w:rsidRPr="003958FD">
              <w:rPr>
                <w:rFonts w:eastAsia="Times New Roman"/>
                <w:noProof/>
                <w:lang w:eastAsia="es-MX"/>
              </w:rPr>
              <w:drawing>
                <wp:inline distT="0" distB="0" distL="0" distR="0" wp14:anchorId="3B72439D" wp14:editId="2998B76D">
                  <wp:extent cx="4950095" cy="3240000"/>
                  <wp:effectExtent l="0" t="0" r="0" b="0"/>
                  <wp:docPr id="1568" name="Imagen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18" cstate="print">
                            <a:extLst>
                              <a:ext uri="{28A0092B-C50C-407E-A947-70E740481C1C}">
                                <a14:useLocalDpi xmlns:a14="http://schemas.microsoft.com/office/drawing/2010/main" val="0"/>
                              </a:ext>
                            </a:extLst>
                          </a:blip>
                          <a:srcRect t="365" b="1460"/>
                          <a:stretch/>
                        </pic:blipFill>
                        <pic:spPr bwMode="auto">
                          <a:xfrm>
                            <a:off x="0" y="0"/>
                            <a:ext cx="4950095" cy="324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958FD" w:rsidRPr="003958FD" w14:paraId="5133126E" w14:textId="77777777" w:rsidTr="004F1C40">
        <w:trPr>
          <w:trHeight w:val="276"/>
          <w:jc w:val="center"/>
        </w:trPr>
        <w:tc>
          <w:tcPr>
            <w:tcW w:w="8840" w:type="dxa"/>
          </w:tcPr>
          <w:p w14:paraId="39A6DB2D" w14:textId="77777777" w:rsidR="003958FD" w:rsidRPr="003958FD" w:rsidRDefault="003958FD" w:rsidP="003958FD">
            <w:pPr>
              <w:ind w:right="-159" w:firstLine="743"/>
              <w:jc w:val="both"/>
              <w:rPr>
                <w:rFonts w:eastAsia="Times New Roman"/>
                <w:noProof/>
                <w:sz w:val="20"/>
                <w:szCs w:val="20"/>
                <w:lang w:eastAsia="es-MX"/>
              </w:rPr>
            </w:pPr>
            <w:r w:rsidRPr="003958FD">
              <w:rPr>
                <w:rFonts w:eastAsia="Times New Roman"/>
                <w:noProof/>
                <w:sz w:val="20"/>
                <w:szCs w:val="20"/>
                <w:lang w:eastAsia="es-MX"/>
              </w:rPr>
              <w:t>FUENTE: INEGI.</w:t>
            </w:r>
          </w:p>
        </w:tc>
      </w:tr>
    </w:tbl>
    <w:p w14:paraId="2F56F1EF" w14:textId="77777777" w:rsidR="003958FD" w:rsidRPr="003958FD" w:rsidRDefault="003958FD" w:rsidP="003958FD">
      <w:pPr>
        <w:spacing w:before="360"/>
        <w:ind w:right="-159"/>
        <w:jc w:val="both"/>
        <w:rPr>
          <w:rFonts w:eastAsia="Times New Roman"/>
          <w:b/>
          <w:sz w:val="20"/>
          <w:szCs w:val="20"/>
        </w:rPr>
      </w:pPr>
      <w:r w:rsidRPr="003958FD">
        <w:rPr>
          <w:rFonts w:eastAsia="Times New Roman"/>
          <w:b/>
          <w:sz w:val="20"/>
          <w:szCs w:val="20"/>
        </w:rPr>
        <w:t>Fuente de información:</w:t>
      </w:r>
    </w:p>
    <w:p w14:paraId="358C2DD9" w14:textId="77777777" w:rsidR="003958FD" w:rsidRPr="00917DC0" w:rsidRDefault="0093224F" w:rsidP="00917DC0">
      <w:pPr>
        <w:spacing w:after="720"/>
        <w:ind w:right="-159"/>
        <w:jc w:val="both"/>
        <w:rPr>
          <w:rFonts w:eastAsia="Times New Roman"/>
          <w:color w:val="0000FF"/>
          <w:sz w:val="20"/>
          <w:szCs w:val="20"/>
        </w:rPr>
      </w:pPr>
      <w:hyperlink r:id="rId219" w:history="1">
        <w:r w:rsidR="003958FD" w:rsidRPr="00917DC0">
          <w:rPr>
            <w:rFonts w:eastAsia="Times New Roman"/>
            <w:color w:val="0000FF"/>
            <w:sz w:val="20"/>
            <w:szCs w:val="20"/>
            <w:u w:val="single"/>
          </w:rPr>
          <w:t>http://www.amia.com.mx/</w:t>
        </w:r>
      </w:hyperlink>
    </w:p>
    <w:p w14:paraId="7A6845B6" w14:textId="2577BDFA" w:rsidR="00E40930" w:rsidRPr="00E40930" w:rsidRDefault="00E40930" w:rsidP="00E40930">
      <w:pPr>
        <w:rPr>
          <w:rFonts w:eastAsia="Calibri"/>
          <w:b/>
          <w:sz w:val="26"/>
          <w:szCs w:val="26"/>
          <w:lang w:eastAsia="en-US"/>
        </w:rPr>
      </w:pPr>
      <w:r w:rsidRPr="00E40930">
        <w:rPr>
          <w:rFonts w:eastAsia="Calibri"/>
          <w:b/>
          <w:sz w:val="26"/>
          <w:szCs w:val="26"/>
          <w:lang w:eastAsia="en-US"/>
        </w:rPr>
        <w:t xml:space="preserve">Se </w:t>
      </w:r>
      <w:r w:rsidR="00D7095B">
        <w:rPr>
          <w:rFonts w:eastAsia="Calibri"/>
          <w:b/>
          <w:sz w:val="26"/>
          <w:szCs w:val="26"/>
          <w:lang w:eastAsia="en-US"/>
        </w:rPr>
        <w:t xml:space="preserve"> </w:t>
      </w:r>
      <w:r w:rsidRPr="00E40930">
        <w:rPr>
          <w:rFonts w:eastAsia="Calibri"/>
          <w:b/>
          <w:sz w:val="26"/>
          <w:szCs w:val="26"/>
          <w:lang w:eastAsia="en-US"/>
        </w:rPr>
        <w:t xml:space="preserve"> reúnen  funcionarios </w:t>
      </w:r>
      <w:r w:rsidR="00D7095B">
        <w:rPr>
          <w:rFonts w:eastAsia="Calibri"/>
          <w:b/>
          <w:sz w:val="26"/>
          <w:szCs w:val="26"/>
          <w:lang w:eastAsia="en-US"/>
        </w:rPr>
        <w:t xml:space="preserve"> </w:t>
      </w:r>
      <w:r w:rsidRPr="00E40930">
        <w:rPr>
          <w:rFonts w:eastAsia="Calibri"/>
          <w:b/>
          <w:sz w:val="26"/>
          <w:szCs w:val="26"/>
          <w:lang w:eastAsia="en-US"/>
        </w:rPr>
        <w:t xml:space="preserve"> mexicanos</w:t>
      </w:r>
    </w:p>
    <w:p w14:paraId="0D474CC2" w14:textId="37EFA6D7" w:rsidR="00E40930" w:rsidRPr="00E40930" w:rsidRDefault="00E40930" w:rsidP="00E40930">
      <w:pPr>
        <w:rPr>
          <w:rFonts w:eastAsia="Calibri"/>
          <w:b/>
          <w:sz w:val="26"/>
          <w:szCs w:val="26"/>
          <w:lang w:eastAsia="en-US"/>
        </w:rPr>
      </w:pPr>
      <w:r w:rsidRPr="00E40930">
        <w:rPr>
          <w:rFonts w:eastAsia="Calibri"/>
          <w:b/>
          <w:sz w:val="26"/>
          <w:szCs w:val="26"/>
          <w:lang w:eastAsia="en-US"/>
        </w:rPr>
        <w:t xml:space="preserve">con </w:t>
      </w:r>
      <w:r w:rsidR="00D7095B">
        <w:rPr>
          <w:rFonts w:eastAsia="Calibri"/>
          <w:b/>
          <w:sz w:val="26"/>
          <w:szCs w:val="26"/>
          <w:lang w:eastAsia="en-US"/>
        </w:rPr>
        <w:t xml:space="preserve"> </w:t>
      </w:r>
      <w:r w:rsidRPr="00E40930">
        <w:rPr>
          <w:rFonts w:eastAsia="Calibri"/>
          <w:b/>
          <w:sz w:val="26"/>
          <w:szCs w:val="26"/>
          <w:lang w:eastAsia="en-US"/>
        </w:rPr>
        <w:t>delegación brasileña para tratar</w:t>
      </w:r>
    </w:p>
    <w:p w14:paraId="035868DA" w14:textId="77777777" w:rsidR="00E40930" w:rsidRPr="00E40930" w:rsidRDefault="00E40930" w:rsidP="00E40930">
      <w:pPr>
        <w:spacing w:after="360" w:line="360" w:lineRule="auto"/>
        <w:ind w:right="-159"/>
        <w:jc w:val="both"/>
        <w:rPr>
          <w:rFonts w:eastAsia="Calibri"/>
          <w:b/>
          <w:sz w:val="26"/>
          <w:szCs w:val="26"/>
          <w:lang w:eastAsia="en-US"/>
        </w:rPr>
      </w:pPr>
      <w:r w:rsidRPr="00E40930">
        <w:rPr>
          <w:rFonts w:eastAsia="Calibri"/>
          <w:b/>
          <w:sz w:val="26"/>
          <w:szCs w:val="26"/>
          <w:lang w:eastAsia="en-US"/>
        </w:rPr>
        <w:t>acuerdo  del  sector  automotriz (SE)</w:t>
      </w:r>
    </w:p>
    <w:p w14:paraId="71BB1369" w14:textId="77777777" w:rsidR="00E40930" w:rsidRPr="00E40930" w:rsidRDefault="00E40930" w:rsidP="00E40930">
      <w:pPr>
        <w:spacing w:after="360" w:line="360" w:lineRule="auto"/>
        <w:ind w:right="-159"/>
        <w:jc w:val="both"/>
        <w:rPr>
          <w:rFonts w:eastAsia="Calibri"/>
          <w:sz w:val="26"/>
          <w:szCs w:val="26"/>
          <w:lang w:eastAsia="en-US"/>
        </w:rPr>
      </w:pPr>
      <w:r w:rsidRPr="00E40930">
        <w:rPr>
          <w:rFonts w:eastAsia="Calibri"/>
          <w:sz w:val="26"/>
          <w:szCs w:val="26"/>
          <w:lang w:eastAsia="en-US"/>
        </w:rPr>
        <w:t>El 27 de febrero de 2015, la Secretaría de Economía (SE) comunicó que tras dos días de conversaciones, concluyeron las reuniones sostenidas entre las Delegaciones de México y de Brasil, con el objetivo de revisar el estado que guarda el Acuerdo de Complementación Económica 55 (ACE 55).</w:t>
      </w:r>
    </w:p>
    <w:p w14:paraId="30E4A765" w14:textId="77777777" w:rsidR="00E40930" w:rsidRPr="00E40930" w:rsidRDefault="00E40930" w:rsidP="00E40930">
      <w:pPr>
        <w:spacing w:after="360" w:line="360" w:lineRule="auto"/>
        <w:ind w:right="-159"/>
        <w:jc w:val="both"/>
        <w:rPr>
          <w:rFonts w:eastAsia="Calibri"/>
          <w:sz w:val="26"/>
          <w:szCs w:val="26"/>
          <w:lang w:eastAsia="en-US"/>
        </w:rPr>
      </w:pPr>
      <w:r w:rsidRPr="00E40930">
        <w:rPr>
          <w:rFonts w:eastAsia="Calibri"/>
          <w:sz w:val="26"/>
          <w:szCs w:val="26"/>
          <w:lang w:eastAsia="en-US"/>
        </w:rPr>
        <w:t>La Delegación de México fue encabezada por el Secretario de Economía, el Subsecretario de Comercio Exterior de la SE y el equipo negociador.</w:t>
      </w:r>
    </w:p>
    <w:p w14:paraId="4EF69818" w14:textId="77777777" w:rsidR="00E40930" w:rsidRPr="00E40930" w:rsidRDefault="00E40930" w:rsidP="00E40930">
      <w:pPr>
        <w:spacing w:after="360" w:line="360" w:lineRule="auto"/>
        <w:ind w:right="-159"/>
        <w:jc w:val="both"/>
        <w:rPr>
          <w:rFonts w:eastAsia="Calibri"/>
          <w:sz w:val="26"/>
          <w:szCs w:val="26"/>
          <w:lang w:eastAsia="en-US"/>
        </w:rPr>
      </w:pPr>
      <w:r w:rsidRPr="00E40930">
        <w:rPr>
          <w:rFonts w:eastAsia="Calibri"/>
          <w:sz w:val="26"/>
          <w:szCs w:val="26"/>
          <w:lang w:eastAsia="en-US"/>
        </w:rPr>
        <w:t xml:space="preserve">Por su parte, la Delegación brasileña fue encabezada por el Secretario Ejecutivo del Ministerio de Desarrollo, Industria y Comercio Exterior y el Subsecretario General de </w:t>
      </w:r>
      <w:r w:rsidRPr="00E40930">
        <w:rPr>
          <w:rFonts w:eastAsia="Calibri"/>
          <w:sz w:val="26"/>
          <w:szCs w:val="26"/>
          <w:lang w:eastAsia="en-US"/>
        </w:rPr>
        <w:lastRenderedPageBreak/>
        <w:t>América del Sur, Central y del Caribe y estuvo integrada por funcionarios de los Ministerios de Desarrollo, Industria y Comercio Exterior; de Hacienda (MF), y de Relaciones Exteriores, además de la Embajada de Brasil en México.</w:t>
      </w:r>
    </w:p>
    <w:p w14:paraId="6535B8B8" w14:textId="77777777" w:rsidR="00E40930" w:rsidRPr="00E40930" w:rsidRDefault="00E40930" w:rsidP="00E40930">
      <w:pPr>
        <w:spacing w:after="360" w:line="360" w:lineRule="auto"/>
        <w:ind w:right="-159"/>
        <w:jc w:val="both"/>
        <w:rPr>
          <w:rFonts w:eastAsia="Calibri"/>
          <w:sz w:val="26"/>
          <w:szCs w:val="26"/>
          <w:lang w:eastAsia="en-US"/>
        </w:rPr>
      </w:pPr>
      <w:r w:rsidRPr="00E40930">
        <w:rPr>
          <w:rFonts w:eastAsia="Calibri"/>
          <w:sz w:val="26"/>
          <w:szCs w:val="26"/>
          <w:lang w:eastAsia="en-US"/>
        </w:rPr>
        <w:t>Este encuentro se llevó a cabo en la Ciudad de México y es el segundo sostenido entre ambas Delegaciones en menos de una semana. Las negociaciones avanzaron y un nuevo encuentro bilateral está previsto para la segunda semana de marzo del año en curso.</w:t>
      </w:r>
    </w:p>
    <w:p w14:paraId="58FC492D" w14:textId="77777777" w:rsidR="00E40930" w:rsidRPr="00E40930" w:rsidRDefault="00E40930" w:rsidP="00E40930">
      <w:pPr>
        <w:spacing w:after="360" w:line="360" w:lineRule="auto"/>
        <w:ind w:right="-159"/>
        <w:jc w:val="both"/>
        <w:rPr>
          <w:rFonts w:eastAsia="Calibri"/>
          <w:sz w:val="26"/>
          <w:szCs w:val="26"/>
          <w:lang w:eastAsia="en-US"/>
        </w:rPr>
      </w:pPr>
      <w:r w:rsidRPr="00E40930">
        <w:rPr>
          <w:rFonts w:eastAsia="Calibri"/>
          <w:sz w:val="26"/>
          <w:szCs w:val="26"/>
          <w:lang w:eastAsia="en-US"/>
        </w:rPr>
        <w:t>Los gobiernos de México y Brasil reiteraron su interés en la pronta conclusión de las negociaciones, con miras a lograr fortalecer las relaciones bilaterales entre las dos economías más grandes de América Latina.</w:t>
      </w:r>
    </w:p>
    <w:p w14:paraId="6190377C" w14:textId="77777777" w:rsidR="00E40930" w:rsidRPr="00E40930" w:rsidRDefault="00E40930" w:rsidP="00E40930">
      <w:pPr>
        <w:ind w:right="-159"/>
        <w:jc w:val="both"/>
        <w:rPr>
          <w:rFonts w:eastAsia="Calibri"/>
          <w:sz w:val="20"/>
          <w:szCs w:val="20"/>
          <w:lang w:eastAsia="en-US"/>
        </w:rPr>
      </w:pPr>
      <w:r w:rsidRPr="00E40930">
        <w:rPr>
          <w:rFonts w:eastAsia="Calibri"/>
          <w:b/>
          <w:sz w:val="20"/>
          <w:szCs w:val="20"/>
          <w:lang w:eastAsia="en-US"/>
        </w:rPr>
        <w:t>Fuente de información</w:t>
      </w:r>
      <w:r w:rsidRPr="00E40930">
        <w:rPr>
          <w:rFonts w:eastAsia="Calibri"/>
          <w:sz w:val="20"/>
          <w:szCs w:val="20"/>
          <w:lang w:eastAsia="en-US"/>
        </w:rPr>
        <w:t>:</w:t>
      </w:r>
    </w:p>
    <w:p w14:paraId="74AD7EB7" w14:textId="77777777" w:rsidR="00E40930" w:rsidRPr="00917DC0" w:rsidRDefault="0093224F" w:rsidP="00917DC0">
      <w:pPr>
        <w:spacing w:after="720"/>
        <w:ind w:right="-159"/>
        <w:jc w:val="both"/>
        <w:rPr>
          <w:rFonts w:eastAsia="Calibri"/>
          <w:color w:val="0000FF"/>
          <w:sz w:val="20"/>
          <w:szCs w:val="20"/>
          <w:lang w:eastAsia="en-US"/>
        </w:rPr>
      </w:pPr>
      <w:hyperlink r:id="rId220" w:history="1">
        <w:r w:rsidR="00E40930" w:rsidRPr="00917DC0">
          <w:rPr>
            <w:rFonts w:eastAsia="Calibri"/>
            <w:color w:val="0000FF"/>
            <w:sz w:val="20"/>
            <w:szCs w:val="20"/>
            <w:u w:val="single"/>
            <w:lang w:eastAsia="en-US"/>
          </w:rPr>
          <w:t>http://www.economia.gob.mx/eventos-noticias/sala-de-prensa/comunicados/10922-comunicado15-019</w:t>
        </w:r>
      </w:hyperlink>
    </w:p>
    <w:p w14:paraId="77806863" w14:textId="77777777" w:rsidR="00CB1853" w:rsidRPr="00CB1853" w:rsidRDefault="00CB1853" w:rsidP="00CB1853">
      <w:pPr>
        <w:rPr>
          <w:rFonts w:eastAsia="Calibri"/>
          <w:b/>
          <w:sz w:val="26"/>
          <w:szCs w:val="26"/>
          <w:lang w:eastAsia="en-US"/>
        </w:rPr>
      </w:pPr>
      <w:r w:rsidRPr="00CB1853">
        <w:rPr>
          <w:rFonts w:eastAsia="Calibri"/>
          <w:b/>
          <w:sz w:val="26"/>
          <w:szCs w:val="26"/>
          <w:lang w:eastAsia="en-US"/>
        </w:rPr>
        <w:t>México  y  Argentina  logran  Acuerdo</w:t>
      </w:r>
    </w:p>
    <w:p w14:paraId="14318931" w14:textId="77777777" w:rsidR="00CB1853" w:rsidRPr="00CB1853" w:rsidRDefault="00CB1853" w:rsidP="00CB1853">
      <w:pPr>
        <w:spacing w:after="360" w:line="360" w:lineRule="auto"/>
        <w:ind w:right="-159"/>
        <w:jc w:val="both"/>
        <w:rPr>
          <w:rFonts w:eastAsia="Calibri"/>
          <w:b/>
          <w:sz w:val="26"/>
          <w:szCs w:val="26"/>
          <w:lang w:eastAsia="en-US"/>
        </w:rPr>
      </w:pPr>
      <w:r w:rsidRPr="00CB1853">
        <w:rPr>
          <w:rFonts w:eastAsia="Calibri"/>
          <w:b/>
          <w:sz w:val="26"/>
          <w:szCs w:val="26"/>
          <w:lang w:eastAsia="en-US"/>
        </w:rPr>
        <w:t>Comercial en el Sector Automotriz (SE)</w:t>
      </w:r>
    </w:p>
    <w:p w14:paraId="4B68CD94" w14:textId="77777777" w:rsidR="00CB1853" w:rsidRPr="00CB1853" w:rsidRDefault="00CB1853" w:rsidP="00CB1853">
      <w:pPr>
        <w:spacing w:after="360" w:line="360" w:lineRule="auto"/>
        <w:ind w:right="-159"/>
        <w:jc w:val="both"/>
        <w:rPr>
          <w:rFonts w:eastAsia="Calibri"/>
          <w:sz w:val="26"/>
          <w:szCs w:val="26"/>
          <w:lang w:eastAsia="en-US"/>
        </w:rPr>
      </w:pPr>
      <w:r w:rsidRPr="00CB1853">
        <w:rPr>
          <w:rFonts w:eastAsia="Calibri"/>
          <w:sz w:val="26"/>
          <w:szCs w:val="26"/>
          <w:lang w:eastAsia="en-US"/>
        </w:rPr>
        <w:t>El 16 de marzo de 2015, la Secretaría de Economía (SE) comunicó que se reunieron en la Ciudad de Buenos Aires, Argentina, el Secretario de Economía de México y la Ministra de Industria de Argentina, con el objeto de suscribir el Acuerdo que regirá durante los próximos cuatro años el comercio automotor y mantendrá libre de aranceles los flujos bilaterales de comercio en el sector automotriz, mediante un esquema de cupos y de intercambio compensado, para regresar al libre comercio el 19 de marzo de 2019.</w:t>
      </w:r>
    </w:p>
    <w:p w14:paraId="0EA38A20" w14:textId="77777777" w:rsidR="00CB1853" w:rsidRPr="00CB1853" w:rsidRDefault="00CB1853" w:rsidP="00CB1853">
      <w:pPr>
        <w:spacing w:after="360" w:line="360" w:lineRule="auto"/>
        <w:ind w:right="-159"/>
        <w:jc w:val="both"/>
        <w:rPr>
          <w:rFonts w:eastAsia="Calibri"/>
          <w:sz w:val="26"/>
          <w:szCs w:val="26"/>
          <w:lang w:eastAsia="en-US"/>
        </w:rPr>
      </w:pPr>
      <w:r w:rsidRPr="00CB1853">
        <w:rPr>
          <w:rFonts w:eastAsia="Calibri"/>
          <w:sz w:val="26"/>
          <w:szCs w:val="26"/>
          <w:lang w:eastAsia="en-US"/>
        </w:rPr>
        <w:t>Asimismo, han formado parte de la ceremonia realizada en el Salón Scalabrini Ortiz del Palacio de Hacienda, el Subsecretario de Comercio Exterior de la SE, así como el Embajador de México en Argentina. Por parte, de Argentina asistieron el Ministro de Economía, los Secretarios de Planeamiento Estratégico Industrial y de Relaciones Económicas Internacionales.</w:t>
      </w:r>
    </w:p>
    <w:p w14:paraId="32F69B8F" w14:textId="77777777" w:rsidR="00CB1853" w:rsidRPr="00CB1853" w:rsidRDefault="00CB1853" w:rsidP="00CB1853">
      <w:pPr>
        <w:spacing w:after="360" w:line="360" w:lineRule="auto"/>
        <w:ind w:right="-159"/>
        <w:jc w:val="both"/>
        <w:rPr>
          <w:rFonts w:eastAsia="Calibri"/>
          <w:sz w:val="26"/>
          <w:szCs w:val="26"/>
          <w:lang w:eastAsia="en-US"/>
        </w:rPr>
      </w:pPr>
      <w:r w:rsidRPr="00CB1853">
        <w:rPr>
          <w:rFonts w:eastAsia="Calibri"/>
          <w:sz w:val="26"/>
          <w:szCs w:val="26"/>
          <w:lang w:eastAsia="en-US"/>
        </w:rPr>
        <w:lastRenderedPageBreak/>
        <w:t>Lo suscrito es resultado de la reunión sostenida en la Ciudad de México el día 16 de febrero de este año por ambos funcionarios, en donde se establecieron las bases para el proceso de negociación del Acuerdo de Complementación Económica (ACE) número 55 que hoy se suscribió.</w:t>
      </w:r>
    </w:p>
    <w:p w14:paraId="39BA7DB0" w14:textId="77777777" w:rsidR="00CB1853" w:rsidRPr="00CB1853" w:rsidRDefault="00CB1853" w:rsidP="00CB1853">
      <w:pPr>
        <w:spacing w:after="360" w:line="360" w:lineRule="auto"/>
        <w:ind w:right="-159"/>
        <w:jc w:val="both"/>
        <w:rPr>
          <w:rFonts w:eastAsia="Calibri"/>
          <w:sz w:val="26"/>
          <w:szCs w:val="26"/>
          <w:lang w:eastAsia="en-US"/>
        </w:rPr>
      </w:pPr>
      <w:r w:rsidRPr="00CB1853">
        <w:rPr>
          <w:rFonts w:eastAsia="Calibri"/>
          <w:sz w:val="26"/>
          <w:szCs w:val="26"/>
          <w:lang w:eastAsia="en-US"/>
        </w:rPr>
        <w:t>El Acuerdo logrado permitirá que los vehículos ligeros y autopartes exportados entre México y Argentina estén exentos del pago de aranceles.</w:t>
      </w:r>
    </w:p>
    <w:tbl>
      <w:tblPr>
        <w:tblW w:w="7140" w:type="dxa"/>
        <w:jc w:val="center"/>
        <w:tblCellMar>
          <w:left w:w="70" w:type="dxa"/>
          <w:right w:w="70" w:type="dxa"/>
        </w:tblCellMar>
        <w:tblLook w:val="04A0" w:firstRow="1" w:lastRow="0" w:firstColumn="1" w:lastColumn="0" w:noHBand="0" w:noVBand="1"/>
      </w:tblPr>
      <w:tblGrid>
        <w:gridCol w:w="785"/>
        <w:gridCol w:w="2364"/>
        <w:gridCol w:w="2417"/>
        <w:gridCol w:w="1574"/>
      </w:tblGrid>
      <w:tr w:rsidR="00CB1853" w:rsidRPr="00CB1853" w14:paraId="2C475331" w14:textId="77777777" w:rsidTr="00E21A82">
        <w:trPr>
          <w:trHeight w:val="300"/>
          <w:jc w:val="center"/>
        </w:trPr>
        <w:tc>
          <w:tcPr>
            <w:tcW w:w="7140" w:type="dxa"/>
            <w:gridSpan w:val="4"/>
            <w:tcBorders>
              <w:top w:val="nil"/>
              <w:left w:val="nil"/>
              <w:bottom w:val="single" w:sz="2" w:space="0" w:color="auto"/>
              <w:right w:val="nil"/>
            </w:tcBorders>
            <w:shd w:val="clear" w:color="auto" w:fill="auto"/>
            <w:noWrap/>
            <w:vAlign w:val="bottom"/>
            <w:hideMark/>
          </w:tcPr>
          <w:p w14:paraId="561ADAFF" w14:textId="77777777" w:rsidR="00CB1853" w:rsidRPr="00CB1853" w:rsidRDefault="00CB1853" w:rsidP="00CB1853">
            <w:pPr>
              <w:jc w:val="center"/>
              <w:rPr>
                <w:rFonts w:eastAsia="Times New Roman"/>
                <w:b/>
                <w:bCs/>
                <w:sz w:val="20"/>
                <w:szCs w:val="20"/>
                <w:lang w:eastAsia="es-MX"/>
              </w:rPr>
            </w:pPr>
            <w:r w:rsidRPr="00CB1853">
              <w:rPr>
                <w:rFonts w:eastAsia="Times New Roman"/>
                <w:b/>
                <w:bCs/>
                <w:sz w:val="20"/>
                <w:szCs w:val="20"/>
                <w:lang w:eastAsia="es-MX"/>
              </w:rPr>
              <w:t>SALDO DE LA BALANZA COMERCIAL DE MERCANCÍAS (FOB)</w:t>
            </w:r>
          </w:p>
          <w:p w14:paraId="5F50585A" w14:textId="77777777" w:rsidR="00CB1853" w:rsidRPr="00CB1853" w:rsidRDefault="00CB1853" w:rsidP="00CB1853">
            <w:pPr>
              <w:jc w:val="center"/>
              <w:rPr>
                <w:rFonts w:eastAsia="Times New Roman"/>
                <w:b/>
                <w:bCs/>
                <w:sz w:val="20"/>
                <w:szCs w:val="20"/>
                <w:lang w:eastAsia="es-MX"/>
              </w:rPr>
            </w:pPr>
            <w:r w:rsidRPr="00CB1853">
              <w:rPr>
                <w:rFonts w:eastAsia="Times New Roman"/>
                <w:b/>
                <w:bCs/>
                <w:sz w:val="20"/>
                <w:szCs w:val="20"/>
                <w:lang w:eastAsia="es-MX"/>
              </w:rPr>
              <w:t>MÉXICO - ARGENTINA, 1993-2014</w:t>
            </w:r>
          </w:p>
          <w:p w14:paraId="285A6E3B" w14:textId="77777777" w:rsidR="00CB1853" w:rsidRPr="00CB1853" w:rsidRDefault="00CB1853" w:rsidP="00CB1853">
            <w:pPr>
              <w:jc w:val="center"/>
              <w:rPr>
                <w:rFonts w:eastAsia="Times New Roman"/>
                <w:b/>
                <w:bCs/>
                <w:sz w:val="20"/>
                <w:szCs w:val="20"/>
                <w:lang w:eastAsia="es-MX"/>
              </w:rPr>
            </w:pPr>
            <w:r w:rsidRPr="00CB1853">
              <w:rPr>
                <w:rFonts w:eastAsia="Times New Roman"/>
                <w:b/>
                <w:bCs/>
                <w:sz w:val="20"/>
                <w:szCs w:val="20"/>
                <w:lang w:eastAsia="es-MX"/>
              </w:rPr>
              <w:t>-Cifras en miles de dólares-</w:t>
            </w:r>
          </w:p>
          <w:p w14:paraId="304398BD" w14:textId="77777777" w:rsidR="00CB1853" w:rsidRPr="00CB1853" w:rsidRDefault="00CB1853" w:rsidP="00CB1853">
            <w:pPr>
              <w:jc w:val="center"/>
              <w:rPr>
                <w:rFonts w:eastAsia="Times New Roman"/>
                <w:sz w:val="20"/>
                <w:szCs w:val="20"/>
                <w:lang w:eastAsia="es-MX"/>
              </w:rPr>
            </w:pPr>
          </w:p>
        </w:tc>
      </w:tr>
      <w:tr w:rsidR="00CB1853" w:rsidRPr="00CB1853" w14:paraId="43FBA01E" w14:textId="77777777" w:rsidTr="00E21A82">
        <w:trPr>
          <w:trHeight w:val="300"/>
          <w:jc w:val="center"/>
        </w:trPr>
        <w:tc>
          <w:tcPr>
            <w:tcW w:w="785"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474F520C" w14:textId="77777777" w:rsidR="00CB1853" w:rsidRPr="00CB1853" w:rsidRDefault="00CB1853" w:rsidP="00CB1853">
            <w:pPr>
              <w:jc w:val="center"/>
              <w:rPr>
                <w:rFonts w:eastAsia="Times New Roman"/>
                <w:color w:val="000000"/>
                <w:sz w:val="22"/>
                <w:szCs w:val="22"/>
                <w:lang w:eastAsia="es-MX"/>
              </w:rPr>
            </w:pPr>
            <w:r w:rsidRPr="00CB1853">
              <w:rPr>
                <w:rFonts w:eastAsia="Times New Roman"/>
                <w:color w:val="000000"/>
                <w:sz w:val="22"/>
                <w:szCs w:val="22"/>
                <w:lang w:eastAsia="es-MX"/>
              </w:rPr>
              <w:t>AÑO</w:t>
            </w:r>
          </w:p>
        </w:tc>
        <w:tc>
          <w:tcPr>
            <w:tcW w:w="2364"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490B68A1" w14:textId="77777777" w:rsidR="00CB1853" w:rsidRPr="00CB1853" w:rsidRDefault="00CB1853" w:rsidP="00CB1853">
            <w:pPr>
              <w:jc w:val="center"/>
              <w:rPr>
                <w:rFonts w:eastAsia="Times New Roman"/>
                <w:color w:val="000000"/>
                <w:sz w:val="22"/>
                <w:szCs w:val="22"/>
                <w:lang w:eastAsia="es-MX"/>
              </w:rPr>
            </w:pPr>
            <w:r w:rsidRPr="00CB1853">
              <w:rPr>
                <w:rFonts w:eastAsia="Times New Roman"/>
                <w:color w:val="000000"/>
                <w:sz w:val="22"/>
                <w:szCs w:val="22"/>
                <w:lang w:eastAsia="es-MX"/>
              </w:rPr>
              <w:t>EXPORTACIONES</w:t>
            </w:r>
          </w:p>
        </w:tc>
        <w:tc>
          <w:tcPr>
            <w:tcW w:w="2417"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55B9D343" w14:textId="77777777" w:rsidR="00CB1853" w:rsidRPr="00CB1853" w:rsidRDefault="00CB1853" w:rsidP="00CB1853">
            <w:pPr>
              <w:jc w:val="center"/>
              <w:rPr>
                <w:rFonts w:eastAsia="Times New Roman"/>
                <w:color w:val="000000"/>
                <w:sz w:val="22"/>
                <w:szCs w:val="22"/>
                <w:lang w:eastAsia="es-MX"/>
              </w:rPr>
            </w:pPr>
            <w:r w:rsidRPr="00CB1853">
              <w:rPr>
                <w:rFonts w:eastAsia="Times New Roman"/>
                <w:color w:val="000000"/>
                <w:sz w:val="22"/>
                <w:szCs w:val="22"/>
                <w:lang w:eastAsia="es-MX"/>
              </w:rPr>
              <w:t>IMPORTACIONES</w:t>
            </w:r>
          </w:p>
        </w:tc>
        <w:tc>
          <w:tcPr>
            <w:tcW w:w="1574"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54EA84F5" w14:textId="77777777" w:rsidR="00CB1853" w:rsidRPr="00CB1853" w:rsidRDefault="00CB1853" w:rsidP="00CB1853">
            <w:pPr>
              <w:jc w:val="center"/>
              <w:rPr>
                <w:rFonts w:eastAsia="Times New Roman"/>
                <w:color w:val="000000"/>
                <w:sz w:val="22"/>
                <w:szCs w:val="22"/>
                <w:lang w:eastAsia="es-MX"/>
              </w:rPr>
            </w:pPr>
            <w:r w:rsidRPr="00CB1853">
              <w:rPr>
                <w:rFonts w:eastAsia="Times New Roman"/>
                <w:color w:val="000000"/>
                <w:sz w:val="22"/>
                <w:szCs w:val="22"/>
                <w:lang w:eastAsia="es-MX"/>
              </w:rPr>
              <w:t>SALDO</w:t>
            </w:r>
          </w:p>
        </w:tc>
      </w:tr>
      <w:tr w:rsidR="00CB1853" w:rsidRPr="00CB1853" w14:paraId="16FBB2FF" w14:textId="77777777" w:rsidTr="00E21A82">
        <w:trPr>
          <w:trHeight w:val="300"/>
          <w:jc w:val="center"/>
        </w:trPr>
        <w:tc>
          <w:tcPr>
            <w:tcW w:w="785" w:type="dxa"/>
            <w:tcBorders>
              <w:top w:val="single" w:sz="2" w:space="0" w:color="auto"/>
              <w:left w:val="single" w:sz="2" w:space="0" w:color="auto"/>
              <w:bottom w:val="nil"/>
              <w:right w:val="single" w:sz="2" w:space="0" w:color="auto"/>
            </w:tcBorders>
            <w:shd w:val="clear" w:color="auto" w:fill="auto"/>
            <w:noWrap/>
            <w:vAlign w:val="bottom"/>
            <w:hideMark/>
          </w:tcPr>
          <w:p w14:paraId="273A7511" w14:textId="77777777" w:rsidR="00CB1853" w:rsidRPr="00CB1853" w:rsidRDefault="00CB1853" w:rsidP="00CB1853">
            <w:pPr>
              <w:jc w:val="center"/>
              <w:rPr>
                <w:rFonts w:eastAsia="Times New Roman"/>
                <w:color w:val="000000"/>
                <w:sz w:val="22"/>
                <w:szCs w:val="22"/>
                <w:lang w:eastAsia="es-MX"/>
              </w:rPr>
            </w:pPr>
            <w:r w:rsidRPr="00CB1853">
              <w:rPr>
                <w:rFonts w:eastAsia="Times New Roman"/>
                <w:color w:val="000000"/>
                <w:sz w:val="22"/>
                <w:szCs w:val="22"/>
                <w:lang w:eastAsia="es-MX"/>
              </w:rPr>
              <w:t>1993</w:t>
            </w:r>
          </w:p>
        </w:tc>
        <w:tc>
          <w:tcPr>
            <w:tcW w:w="2364" w:type="dxa"/>
            <w:tcBorders>
              <w:top w:val="single" w:sz="2" w:space="0" w:color="auto"/>
              <w:left w:val="single" w:sz="2" w:space="0" w:color="auto"/>
              <w:bottom w:val="nil"/>
              <w:right w:val="single" w:sz="2" w:space="0" w:color="auto"/>
            </w:tcBorders>
            <w:shd w:val="clear" w:color="000000" w:fill="FFFFFF"/>
            <w:vAlign w:val="bottom"/>
            <w:hideMark/>
          </w:tcPr>
          <w:p w14:paraId="08A9E2AC"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282 979</w:t>
            </w:r>
          </w:p>
        </w:tc>
        <w:tc>
          <w:tcPr>
            <w:tcW w:w="2417" w:type="dxa"/>
            <w:tcBorders>
              <w:top w:val="single" w:sz="2" w:space="0" w:color="auto"/>
              <w:left w:val="single" w:sz="2" w:space="0" w:color="auto"/>
              <w:bottom w:val="nil"/>
              <w:right w:val="single" w:sz="2" w:space="0" w:color="auto"/>
            </w:tcBorders>
            <w:shd w:val="clear" w:color="000000" w:fill="FFFFFF"/>
            <w:vAlign w:val="bottom"/>
            <w:hideMark/>
          </w:tcPr>
          <w:p w14:paraId="78699D9F"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252 015</w:t>
            </w:r>
          </w:p>
        </w:tc>
        <w:tc>
          <w:tcPr>
            <w:tcW w:w="1574" w:type="dxa"/>
            <w:tcBorders>
              <w:top w:val="single" w:sz="2" w:space="0" w:color="auto"/>
              <w:left w:val="single" w:sz="2" w:space="0" w:color="auto"/>
              <w:bottom w:val="nil"/>
              <w:right w:val="single" w:sz="2" w:space="0" w:color="auto"/>
            </w:tcBorders>
            <w:shd w:val="clear" w:color="000000" w:fill="FFFFFF"/>
            <w:vAlign w:val="bottom"/>
            <w:hideMark/>
          </w:tcPr>
          <w:p w14:paraId="06D0E55C"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30 964</w:t>
            </w:r>
          </w:p>
        </w:tc>
      </w:tr>
      <w:tr w:rsidR="00CB1853" w:rsidRPr="00CB1853" w14:paraId="4B8EA092" w14:textId="77777777" w:rsidTr="00E21A82">
        <w:trPr>
          <w:trHeight w:val="300"/>
          <w:jc w:val="center"/>
        </w:trPr>
        <w:tc>
          <w:tcPr>
            <w:tcW w:w="785" w:type="dxa"/>
            <w:tcBorders>
              <w:top w:val="nil"/>
              <w:left w:val="single" w:sz="2" w:space="0" w:color="auto"/>
              <w:bottom w:val="nil"/>
              <w:right w:val="single" w:sz="2" w:space="0" w:color="auto"/>
            </w:tcBorders>
            <w:shd w:val="clear" w:color="auto" w:fill="auto"/>
            <w:noWrap/>
            <w:vAlign w:val="bottom"/>
            <w:hideMark/>
          </w:tcPr>
          <w:p w14:paraId="510E996F" w14:textId="77777777" w:rsidR="00CB1853" w:rsidRPr="00CB1853" w:rsidRDefault="00CB1853" w:rsidP="00CB1853">
            <w:pPr>
              <w:jc w:val="center"/>
              <w:rPr>
                <w:rFonts w:eastAsia="Times New Roman"/>
                <w:color w:val="000000"/>
                <w:sz w:val="22"/>
                <w:szCs w:val="22"/>
                <w:lang w:eastAsia="es-MX"/>
              </w:rPr>
            </w:pPr>
            <w:r w:rsidRPr="00CB1853">
              <w:rPr>
                <w:rFonts w:eastAsia="Times New Roman"/>
                <w:color w:val="000000"/>
                <w:sz w:val="22"/>
                <w:szCs w:val="22"/>
                <w:lang w:eastAsia="es-MX"/>
              </w:rPr>
              <w:t>1994</w:t>
            </w:r>
          </w:p>
        </w:tc>
        <w:tc>
          <w:tcPr>
            <w:tcW w:w="2364" w:type="dxa"/>
            <w:tcBorders>
              <w:top w:val="nil"/>
              <w:left w:val="single" w:sz="2" w:space="0" w:color="auto"/>
              <w:bottom w:val="nil"/>
              <w:right w:val="single" w:sz="2" w:space="0" w:color="auto"/>
            </w:tcBorders>
            <w:shd w:val="clear" w:color="000000" w:fill="FFFFFF"/>
            <w:vAlign w:val="bottom"/>
            <w:hideMark/>
          </w:tcPr>
          <w:p w14:paraId="38210507"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247 672</w:t>
            </w:r>
          </w:p>
        </w:tc>
        <w:tc>
          <w:tcPr>
            <w:tcW w:w="2417" w:type="dxa"/>
            <w:tcBorders>
              <w:top w:val="nil"/>
              <w:left w:val="single" w:sz="2" w:space="0" w:color="auto"/>
              <w:bottom w:val="nil"/>
              <w:right w:val="single" w:sz="2" w:space="0" w:color="auto"/>
            </w:tcBorders>
            <w:shd w:val="clear" w:color="000000" w:fill="FFFFFF"/>
            <w:vAlign w:val="bottom"/>
            <w:hideMark/>
          </w:tcPr>
          <w:p w14:paraId="65CA9EE1"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332 687</w:t>
            </w:r>
          </w:p>
        </w:tc>
        <w:tc>
          <w:tcPr>
            <w:tcW w:w="1574" w:type="dxa"/>
            <w:tcBorders>
              <w:top w:val="nil"/>
              <w:left w:val="single" w:sz="2" w:space="0" w:color="auto"/>
              <w:bottom w:val="nil"/>
              <w:right w:val="single" w:sz="2" w:space="0" w:color="auto"/>
            </w:tcBorders>
            <w:shd w:val="clear" w:color="000000" w:fill="FFFFFF"/>
            <w:vAlign w:val="bottom"/>
            <w:hideMark/>
          </w:tcPr>
          <w:p w14:paraId="293E0691"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-85 015</w:t>
            </w:r>
          </w:p>
        </w:tc>
      </w:tr>
      <w:tr w:rsidR="00CB1853" w:rsidRPr="00CB1853" w14:paraId="44229497" w14:textId="77777777" w:rsidTr="00E21A82">
        <w:trPr>
          <w:trHeight w:val="300"/>
          <w:jc w:val="center"/>
        </w:trPr>
        <w:tc>
          <w:tcPr>
            <w:tcW w:w="785" w:type="dxa"/>
            <w:tcBorders>
              <w:top w:val="nil"/>
              <w:left w:val="single" w:sz="2" w:space="0" w:color="auto"/>
              <w:bottom w:val="nil"/>
              <w:right w:val="single" w:sz="2" w:space="0" w:color="auto"/>
            </w:tcBorders>
            <w:shd w:val="clear" w:color="auto" w:fill="auto"/>
            <w:noWrap/>
            <w:vAlign w:val="bottom"/>
            <w:hideMark/>
          </w:tcPr>
          <w:p w14:paraId="39B2EE36" w14:textId="77777777" w:rsidR="00CB1853" w:rsidRPr="00CB1853" w:rsidRDefault="00CB1853" w:rsidP="00CB1853">
            <w:pPr>
              <w:jc w:val="center"/>
              <w:rPr>
                <w:rFonts w:eastAsia="Times New Roman"/>
                <w:color w:val="000000"/>
                <w:sz w:val="22"/>
                <w:szCs w:val="22"/>
                <w:lang w:eastAsia="es-MX"/>
              </w:rPr>
            </w:pPr>
            <w:r w:rsidRPr="00CB1853">
              <w:rPr>
                <w:rFonts w:eastAsia="Times New Roman"/>
                <w:color w:val="000000"/>
                <w:sz w:val="22"/>
                <w:szCs w:val="22"/>
                <w:lang w:eastAsia="es-MX"/>
              </w:rPr>
              <w:t>1995</w:t>
            </w:r>
          </w:p>
        </w:tc>
        <w:tc>
          <w:tcPr>
            <w:tcW w:w="2364" w:type="dxa"/>
            <w:tcBorders>
              <w:top w:val="nil"/>
              <w:left w:val="single" w:sz="2" w:space="0" w:color="auto"/>
              <w:bottom w:val="nil"/>
              <w:right w:val="single" w:sz="2" w:space="0" w:color="auto"/>
            </w:tcBorders>
            <w:shd w:val="clear" w:color="000000" w:fill="FFFFFF"/>
            <w:vAlign w:val="bottom"/>
            <w:hideMark/>
          </w:tcPr>
          <w:p w14:paraId="20695A0C"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312 938</w:t>
            </w:r>
          </w:p>
        </w:tc>
        <w:tc>
          <w:tcPr>
            <w:tcW w:w="2417" w:type="dxa"/>
            <w:tcBorders>
              <w:top w:val="nil"/>
              <w:left w:val="single" w:sz="2" w:space="0" w:color="auto"/>
              <w:bottom w:val="nil"/>
              <w:right w:val="single" w:sz="2" w:space="0" w:color="auto"/>
            </w:tcBorders>
            <w:shd w:val="clear" w:color="000000" w:fill="FFFFFF"/>
            <w:vAlign w:val="bottom"/>
            <w:hideMark/>
          </w:tcPr>
          <w:p w14:paraId="04B03C54"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190 704</w:t>
            </w:r>
          </w:p>
        </w:tc>
        <w:tc>
          <w:tcPr>
            <w:tcW w:w="1574" w:type="dxa"/>
            <w:tcBorders>
              <w:top w:val="nil"/>
              <w:left w:val="single" w:sz="2" w:space="0" w:color="auto"/>
              <w:bottom w:val="nil"/>
              <w:right w:val="single" w:sz="2" w:space="0" w:color="auto"/>
            </w:tcBorders>
            <w:shd w:val="clear" w:color="000000" w:fill="FFFFFF"/>
            <w:vAlign w:val="bottom"/>
            <w:hideMark/>
          </w:tcPr>
          <w:p w14:paraId="78071E4E"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122 234</w:t>
            </w:r>
          </w:p>
        </w:tc>
      </w:tr>
      <w:tr w:rsidR="00CB1853" w:rsidRPr="00CB1853" w14:paraId="5FF8B690" w14:textId="77777777" w:rsidTr="00E21A82">
        <w:trPr>
          <w:trHeight w:val="300"/>
          <w:jc w:val="center"/>
        </w:trPr>
        <w:tc>
          <w:tcPr>
            <w:tcW w:w="785" w:type="dxa"/>
            <w:tcBorders>
              <w:top w:val="nil"/>
              <w:left w:val="single" w:sz="2" w:space="0" w:color="auto"/>
              <w:bottom w:val="nil"/>
              <w:right w:val="single" w:sz="2" w:space="0" w:color="auto"/>
            </w:tcBorders>
            <w:shd w:val="clear" w:color="auto" w:fill="auto"/>
            <w:noWrap/>
            <w:vAlign w:val="bottom"/>
            <w:hideMark/>
          </w:tcPr>
          <w:p w14:paraId="7DAB413D" w14:textId="77777777" w:rsidR="00CB1853" w:rsidRPr="00CB1853" w:rsidRDefault="00CB1853" w:rsidP="00CB1853">
            <w:pPr>
              <w:jc w:val="center"/>
              <w:rPr>
                <w:rFonts w:eastAsia="Times New Roman"/>
                <w:color w:val="000000"/>
                <w:sz w:val="22"/>
                <w:szCs w:val="22"/>
                <w:lang w:eastAsia="es-MX"/>
              </w:rPr>
            </w:pPr>
            <w:r w:rsidRPr="00CB1853">
              <w:rPr>
                <w:rFonts w:eastAsia="Times New Roman"/>
                <w:color w:val="000000"/>
                <w:sz w:val="22"/>
                <w:szCs w:val="22"/>
                <w:lang w:eastAsia="es-MX"/>
              </w:rPr>
              <w:t>1996</w:t>
            </w:r>
          </w:p>
        </w:tc>
        <w:tc>
          <w:tcPr>
            <w:tcW w:w="2364" w:type="dxa"/>
            <w:tcBorders>
              <w:top w:val="nil"/>
              <w:left w:val="single" w:sz="2" w:space="0" w:color="auto"/>
              <w:bottom w:val="nil"/>
              <w:right w:val="single" w:sz="2" w:space="0" w:color="auto"/>
            </w:tcBorders>
            <w:shd w:val="clear" w:color="000000" w:fill="FFFFFF"/>
            <w:vAlign w:val="bottom"/>
            <w:hideMark/>
          </w:tcPr>
          <w:p w14:paraId="2DF2BFF1"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519 827</w:t>
            </w:r>
          </w:p>
        </w:tc>
        <w:tc>
          <w:tcPr>
            <w:tcW w:w="2417" w:type="dxa"/>
            <w:tcBorders>
              <w:top w:val="nil"/>
              <w:left w:val="single" w:sz="2" w:space="0" w:color="auto"/>
              <w:bottom w:val="nil"/>
              <w:right w:val="single" w:sz="2" w:space="0" w:color="auto"/>
            </w:tcBorders>
            <w:shd w:val="clear" w:color="000000" w:fill="FFFFFF"/>
            <w:vAlign w:val="bottom"/>
            <w:hideMark/>
          </w:tcPr>
          <w:p w14:paraId="54BA40EA"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299 643</w:t>
            </w:r>
          </w:p>
        </w:tc>
        <w:tc>
          <w:tcPr>
            <w:tcW w:w="1574" w:type="dxa"/>
            <w:tcBorders>
              <w:top w:val="nil"/>
              <w:left w:val="single" w:sz="2" w:space="0" w:color="auto"/>
              <w:bottom w:val="nil"/>
              <w:right w:val="single" w:sz="2" w:space="0" w:color="auto"/>
            </w:tcBorders>
            <w:shd w:val="clear" w:color="000000" w:fill="FFFFFF"/>
            <w:vAlign w:val="bottom"/>
            <w:hideMark/>
          </w:tcPr>
          <w:p w14:paraId="08592BF9"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220 184</w:t>
            </w:r>
          </w:p>
        </w:tc>
      </w:tr>
      <w:tr w:rsidR="00CB1853" w:rsidRPr="00CB1853" w14:paraId="544CC9C1" w14:textId="77777777" w:rsidTr="00E21A82">
        <w:trPr>
          <w:trHeight w:val="300"/>
          <w:jc w:val="center"/>
        </w:trPr>
        <w:tc>
          <w:tcPr>
            <w:tcW w:w="785" w:type="dxa"/>
            <w:tcBorders>
              <w:top w:val="nil"/>
              <w:left w:val="single" w:sz="2" w:space="0" w:color="auto"/>
              <w:bottom w:val="nil"/>
              <w:right w:val="single" w:sz="2" w:space="0" w:color="auto"/>
            </w:tcBorders>
            <w:shd w:val="clear" w:color="auto" w:fill="auto"/>
            <w:noWrap/>
            <w:vAlign w:val="bottom"/>
            <w:hideMark/>
          </w:tcPr>
          <w:p w14:paraId="63809A9C" w14:textId="77777777" w:rsidR="00CB1853" w:rsidRPr="00CB1853" w:rsidRDefault="00CB1853" w:rsidP="00CB1853">
            <w:pPr>
              <w:jc w:val="center"/>
              <w:rPr>
                <w:rFonts w:eastAsia="Times New Roman"/>
                <w:color w:val="000000"/>
                <w:sz w:val="22"/>
                <w:szCs w:val="22"/>
                <w:lang w:eastAsia="es-MX"/>
              </w:rPr>
            </w:pPr>
            <w:r w:rsidRPr="00CB1853">
              <w:rPr>
                <w:rFonts w:eastAsia="Times New Roman"/>
                <w:color w:val="000000"/>
                <w:sz w:val="22"/>
                <w:szCs w:val="22"/>
                <w:lang w:eastAsia="es-MX"/>
              </w:rPr>
              <w:t>1997</w:t>
            </w:r>
          </w:p>
        </w:tc>
        <w:tc>
          <w:tcPr>
            <w:tcW w:w="2364" w:type="dxa"/>
            <w:tcBorders>
              <w:top w:val="nil"/>
              <w:left w:val="single" w:sz="2" w:space="0" w:color="auto"/>
              <w:bottom w:val="nil"/>
              <w:right w:val="single" w:sz="2" w:space="0" w:color="auto"/>
            </w:tcBorders>
            <w:shd w:val="clear" w:color="000000" w:fill="FFFFFF"/>
            <w:vAlign w:val="bottom"/>
            <w:hideMark/>
          </w:tcPr>
          <w:p w14:paraId="57B84CE1"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497 637</w:t>
            </w:r>
          </w:p>
        </w:tc>
        <w:tc>
          <w:tcPr>
            <w:tcW w:w="2417" w:type="dxa"/>
            <w:tcBorders>
              <w:top w:val="nil"/>
              <w:left w:val="single" w:sz="2" w:space="0" w:color="auto"/>
              <w:bottom w:val="nil"/>
              <w:right w:val="single" w:sz="2" w:space="0" w:color="auto"/>
            </w:tcBorders>
            <w:shd w:val="clear" w:color="000000" w:fill="FFFFFF"/>
            <w:vAlign w:val="bottom"/>
            <w:hideMark/>
          </w:tcPr>
          <w:p w14:paraId="546A3764"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236 194</w:t>
            </w:r>
          </w:p>
        </w:tc>
        <w:tc>
          <w:tcPr>
            <w:tcW w:w="1574" w:type="dxa"/>
            <w:tcBorders>
              <w:top w:val="nil"/>
              <w:left w:val="single" w:sz="2" w:space="0" w:color="auto"/>
              <w:bottom w:val="nil"/>
              <w:right w:val="single" w:sz="2" w:space="0" w:color="auto"/>
            </w:tcBorders>
            <w:shd w:val="clear" w:color="000000" w:fill="FFFFFF"/>
            <w:vAlign w:val="bottom"/>
            <w:hideMark/>
          </w:tcPr>
          <w:p w14:paraId="09DBE780"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261 443</w:t>
            </w:r>
          </w:p>
        </w:tc>
      </w:tr>
      <w:tr w:rsidR="00CB1853" w:rsidRPr="00CB1853" w14:paraId="71BC1378" w14:textId="77777777" w:rsidTr="00E21A82">
        <w:trPr>
          <w:trHeight w:val="300"/>
          <w:jc w:val="center"/>
        </w:trPr>
        <w:tc>
          <w:tcPr>
            <w:tcW w:w="785" w:type="dxa"/>
            <w:tcBorders>
              <w:top w:val="nil"/>
              <w:left w:val="single" w:sz="2" w:space="0" w:color="auto"/>
              <w:bottom w:val="nil"/>
              <w:right w:val="single" w:sz="2" w:space="0" w:color="auto"/>
            </w:tcBorders>
            <w:shd w:val="clear" w:color="auto" w:fill="auto"/>
            <w:noWrap/>
            <w:vAlign w:val="bottom"/>
            <w:hideMark/>
          </w:tcPr>
          <w:p w14:paraId="20E4CA0E" w14:textId="77777777" w:rsidR="00CB1853" w:rsidRPr="00CB1853" w:rsidRDefault="00CB1853" w:rsidP="00CB1853">
            <w:pPr>
              <w:jc w:val="center"/>
              <w:rPr>
                <w:rFonts w:eastAsia="Times New Roman"/>
                <w:color w:val="000000"/>
                <w:sz w:val="22"/>
                <w:szCs w:val="22"/>
                <w:lang w:eastAsia="es-MX"/>
              </w:rPr>
            </w:pPr>
            <w:r w:rsidRPr="00CB1853">
              <w:rPr>
                <w:rFonts w:eastAsia="Times New Roman"/>
                <w:color w:val="000000"/>
                <w:sz w:val="22"/>
                <w:szCs w:val="22"/>
                <w:lang w:eastAsia="es-MX"/>
              </w:rPr>
              <w:t>1998</w:t>
            </w:r>
          </w:p>
        </w:tc>
        <w:tc>
          <w:tcPr>
            <w:tcW w:w="2364" w:type="dxa"/>
            <w:tcBorders>
              <w:top w:val="nil"/>
              <w:left w:val="single" w:sz="2" w:space="0" w:color="auto"/>
              <w:bottom w:val="nil"/>
              <w:right w:val="single" w:sz="2" w:space="0" w:color="auto"/>
            </w:tcBorders>
            <w:shd w:val="clear" w:color="000000" w:fill="FFFFFF"/>
            <w:vAlign w:val="bottom"/>
            <w:hideMark/>
          </w:tcPr>
          <w:p w14:paraId="042845DE"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384 492</w:t>
            </w:r>
          </w:p>
        </w:tc>
        <w:tc>
          <w:tcPr>
            <w:tcW w:w="2417" w:type="dxa"/>
            <w:tcBorders>
              <w:top w:val="nil"/>
              <w:left w:val="single" w:sz="2" w:space="0" w:color="auto"/>
              <w:bottom w:val="nil"/>
              <w:right w:val="single" w:sz="2" w:space="0" w:color="auto"/>
            </w:tcBorders>
            <w:shd w:val="clear" w:color="000000" w:fill="FFFFFF"/>
            <w:vAlign w:val="bottom"/>
            <w:hideMark/>
          </w:tcPr>
          <w:p w14:paraId="180D13C4"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263 630</w:t>
            </w:r>
          </w:p>
        </w:tc>
        <w:tc>
          <w:tcPr>
            <w:tcW w:w="1574" w:type="dxa"/>
            <w:tcBorders>
              <w:top w:val="nil"/>
              <w:left w:val="single" w:sz="2" w:space="0" w:color="auto"/>
              <w:bottom w:val="nil"/>
              <w:right w:val="single" w:sz="2" w:space="0" w:color="auto"/>
            </w:tcBorders>
            <w:shd w:val="clear" w:color="000000" w:fill="FFFFFF"/>
            <w:vAlign w:val="bottom"/>
            <w:hideMark/>
          </w:tcPr>
          <w:p w14:paraId="48BC0FEF"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120 862</w:t>
            </w:r>
          </w:p>
        </w:tc>
      </w:tr>
      <w:tr w:rsidR="00CB1853" w:rsidRPr="00CB1853" w14:paraId="321D5885" w14:textId="77777777" w:rsidTr="00E21A82">
        <w:trPr>
          <w:trHeight w:val="300"/>
          <w:jc w:val="center"/>
        </w:trPr>
        <w:tc>
          <w:tcPr>
            <w:tcW w:w="785" w:type="dxa"/>
            <w:tcBorders>
              <w:top w:val="nil"/>
              <w:left w:val="single" w:sz="2" w:space="0" w:color="auto"/>
              <w:bottom w:val="nil"/>
              <w:right w:val="single" w:sz="2" w:space="0" w:color="auto"/>
            </w:tcBorders>
            <w:shd w:val="clear" w:color="auto" w:fill="auto"/>
            <w:noWrap/>
            <w:vAlign w:val="bottom"/>
            <w:hideMark/>
          </w:tcPr>
          <w:p w14:paraId="5743E604" w14:textId="77777777" w:rsidR="00CB1853" w:rsidRPr="00CB1853" w:rsidRDefault="00CB1853" w:rsidP="00CB1853">
            <w:pPr>
              <w:jc w:val="center"/>
              <w:rPr>
                <w:rFonts w:eastAsia="Times New Roman"/>
                <w:color w:val="000000"/>
                <w:sz w:val="22"/>
                <w:szCs w:val="22"/>
                <w:lang w:eastAsia="es-MX"/>
              </w:rPr>
            </w:pPr>
            <w:r w:rsidRPr="00CB1853">
              <w:rPr>
                <w:rFonts w:eastAsia="Times New Roman"/>
                <w:color w:val="000000"/>
                <w:sz w:val="22"/>
                <w:szCs w:val="22"/>
                <w:lang w:eastAsia="es-MX"/>
              </w:rPr>
              <w:t>1999</w:t>
            </w:r>
          </w:p>
        </w:tc>
        <w:tc>
          <w:tcPr>
            <w:tcW w:w="2364" w:type="dxa"/>
            <w:tcBorders>
              <w:top w:val="nil"/>
              <w:left w:val="single" w:sz="2" w:space="0" w:color="auto"/>
              <w:bottom w:val="nil"/>
              <w:right w:val="single" w:sz="2" w:space="0" w:color="auto"/>
            </w:tcBorders>
            <w:shd w:val="clear" w:color="000000" w:fill="FFFFFF"/>
            <w:vAlign w:val="bottom"/>
            <w:hideMark/>
          </w:tcPr>
          <w:p w14:paraId="62DC185E"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256 067</w:t>
            </w:r>
          </w:p>
        </w:tc>
        <w:tc>
          <w:tcPr>
            <w:tcW w:w="2417" w:type="dxa"/>
            <w:tcBorders>
              <w:top w:val="nil"/>
              <w:left w:val="single" w:sz="2" w:space="0" w:color="auto"/>
              <w:bottom w:val="nil"/>
              <w:right w:val="single" w:sz="2" w:space="0" w:color="auto"/>
            </w:tcBorders>
            <w:shd w:val="clear" w:color="000000" w:fill="FFFFFF"/>
            <w:vAlign w:val="bottom"/>
            <w:hideMark/>
          </w:tcPr>
          <w:p w14:paraId="309FC416"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211 674</w:t>
            </w:r>
          </w:p>
        </w:tc>
        <w:tc>
          <w:tcPr>
            <w:tcW w:w="1574" w:type="dxa"/>
            <w:tcBorders>
              <w:top w:val="nil"/>
              <w:left w:val="single" w:sz="2" w:space="0" w:color="auto"/>
              <w:bottom w:val="nil"/>
              <w:right w:val="single" w:sz="2" w:space="0" w:color="auto"/>
            </w:tcBorders>
            <w:shd w:val="clear" w:color="000000" w:fill="FFFFFF"/>
            <w:vAlign w:val="bottom"/>
            <w:hideMark/>
          </w:tcPr>
          <w:p w14:paraId="7C325615"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44 393</w:t>
            </w:r>
          </w:p>
        </w:tc>
      </w:tr>
      <w:tr w:rsidR="00CB1853" w:rsidRPr="00CB1853" w14:paraId="13593632" w14:textId="77777777" w:rsidTr="00E21A82">
        <w:trPr>
          <w:trHeight w:val="300"/>
          <w:jc w:val="center"/>
        </w:trPr>
        <w:tc>
          <w:tcPr>
            <w:tcW w:w="785" w:type="dxa"/>
            <w:tcBorders>
              <w:top w:val="nil"/>
              <w:left w:val="single" w:sz="2" w:space="0" w:color="auto"/>
              <w:bottom w:val="nil"/>
              <w:right w:val="single" w:sz="2" w:space="0" w:color="auto"/>
            </w:tcBorders>
            <w:shd w:val="clear" w:color="auto" w:fill="auto"/>
            <w:noWrap/>
            <w:vAlign w:val="bottom"/>
            <w:hideMark/>
          </w:tcPr>
          <w:p w14:paraId="2AD9A795" w14:textId="77777777" w:rsidR="00CB1853" w:rsidRPr="00CB1853" w:rsidRDefault="00CB1853" w:rsidP="00CB1853">
            <w:pPr>
              <w:jc w:val="center"/>
              <w:rPr>
                <w:rFonts w:eastAsia="Times New Roman"/>
                <w:color w:val="000000"/>
                <w:sz w:val="22"/>
                <w:szCs w:val="22"/>
                <w:lang w:eastAsia="es-MX"/>
              </w:rPr>
            </w:pPr>
            <w:r w:rsidRPr="00CB1853">
              <w:rPr>
                <w:rFonts w:eastAsia="Times New Roman"/>
                <w:color w:val="000000"/>
                <w:sz w:val="22"/>
                <w:szCs w:val="22"/>
                <w:lang w:eastAsia="es-MX"/>
              </w:rPr>
              <w:t>2000</w:t>
            </w:r>
          </w:p>
        </w:tc>
        <w:tc>
          <w:tcPr>
            <w:tcW w:w="2364" w:type="dxa"/>
            <w:tcBorders>
              <w:top w:val="nil"/>
              <w:left w:val="single" w:sz="2" w:space="0" w:color="auto"/>
              <w:bottom w:val="nil"/>
              <w:right w:val="single" w:sz="2" w:space="0" w:color="auto"/>
            </w:tcBorders>
            <w:shd w:val="clear" w:color="000000" w:fill="FFFFFF"/>
            <w:vAlign w:val="bottom"/>
            <w:hideMark/>
          </w:tcPr>
          <w:p w14:paraId="7AFEBA9E"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288 685</w:t>
            </w:r>
          </w:p>
        </w:tc>
        <w:tc>
          <w:tcPr>
            <w:tcW w:w="2417" w:type="dxa"/>
            <w:tcBorders>
              <w:top w:val="nil"/>
              <w:left w:val="single" w:sz="2" w:space="0" w:color="auto"/>
              <w:bottom w:val="nil"/>
              <w:right w:val="single" w:sz="2" w:space="0" w:color="auto"/>
            </w:tcBorders>
            <w:shd w:val="clear" w:color="000000" w:fill="FFFFFF"/>
            <w:vAlign w:val="bottom"/>
            <w:hideMark/>
          </w:tcPr>
          <w:p w14:paraId="194A4825"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247 398</w:t>
            </w:r>
          </w:p>
        </w:tc>
        <w:tc>
          <w:tcPr>
            <w:tcW w:w="1574" w:type="dxa"/>
            <w:tcBorders>
              <w:top w:val="nil"/>
              <w:left w:val="single" w:sz="2" w:space="0" w:color="auto"/>
              <w:bottom w:val="nil"/>
              <w:right w:val="single" w:sz="2" w:space="0" w:color="auto"/>
            </w:tcBorders>
            <w:shd w:val="clear" w:color="000000" w:fill="FFFFFF"/>
            <w:vAlign w:val="bottom"/>
            <w:hideMark/>
          </w:tcPr>
          <w:p w14:paraId="51BE79F3"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41 287</w:t>
            </w:r>
          </w:p>
        </w:tc>
      </w:tr>
      <w:tr w:rsidR="00CB1853" w:rsidRPr="00CB1853" w14:paraId="35B7AC6E" w14:textId="77777777" w:rsidTr="00E21A82">
        <w:trPr>
          <w:trHeight w:val="300"/>
          <w:jc w:val="center"/>
        </w:trPr>
        <w:tc>
          <w:tcPr>
            <w:tcW w:w="785" w:type="dxa"/>
            <w:tcBorders>
              <w:top w:val="nil"/>
              <w:left w:val="single" w:sz="2" w:space="0" w:color="auto"/>
              <w:bottom w:val="nil"/>
              <w:right w:val="single" w:sz="2" w:space="0" w:color="auto"/>
            </w:tcBorders>
            <w:shd w:val="clear" w:color="auto" w:fill="auto"/>
            <w:noWrap/>
            <w:vAlign w:val="bottom"/>
            <w:hideMark/>
          </w:tcPr>
          <w:p w14:paraId="6080EA9D" w14:textId="77777777" w:rsidR="00CB1853" w:rsidRPr="00CB1853" w:rsidRDefault="00CB1853" w:rsidP="00CB1853">
            <w:pPr>
              <w:jc w:val="center"/>
              <w:rPr>
                <w:rFonts w:eastAsia="Times New Roman"/>
                <w:color w:val="000000"/>
                <w:sz w:val="22"/>
                <w:szCs w:val="22"/>
                <w:lang w:eastAsia="es-MX"/>
              </w:rPr>
            </w:pPr>
            <w:r w:rsidRPr="00CB1853">
              <w:rPr>
                <w:rFonts w:eastAsia="Times New Roman"/>
                <w:color w:val="000000"/>
                <w:sz w:val="22"/>
                <w:szCs w:val="22"/>
                <w:lang w:eastAsia="es-MX"/>
              </w:rPr>
              <w:t>2001</w:t>
            </w:r>
          </w:p>
        </w:tc>
        <w:tc>
          <w:tcPr>
            <w:tcW w:w="2364" w:type="dxa"/>
            <w:tcBorders>
              <w:top w:val="nil"/>
              <w:left w:val="single" w:sz="2" w:space="0" w:color="auto"/>
              <w:bottom w:val="nil"/>
              <w:right w:val="single" w:sz="2" w:space="0" w:color="auto"/>
            </w:tcBorders>
            <w:shd w:val="clear" w:color="000000" w:fill="FFFFFF"/>
            <w:vAlign w:val="bottom"/>
            <w:hideMark/>
          </w:tcPr>
          <w:p w14:paraId="4CB569B1"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243 734</w:t>
            </w:r>
          </w:p>
        </w:tc>
        <w:tc>
          <w:tcPr>
            <w:tcW w:w="2417" w:type="dxa"/>
            <w:tcBorders>
              <w:top w:val="nil"/>
              <w:left w:val="single" w:sz="2" w:space="0" w:color="auto"/>
              <w:bottom w:val="nil"/>
              <w:right w:val="single" w:sz="2" w:space="0" w:color="auto"/>
            </w:tcBorders>
            <w:shd w:val="clear" w:color="000000" w:fill="FFFFFF"/>
            <w:vAlign w:val="bottom"/>
            <w:hideMark/>
          </w:tcPr>
          <w:p w14:paraId="66A49147"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441 387</w:t>
            </w:r>
          </w:p>
        </w:tc>
        <w:tc>
          <w:tcPr>
            <w:tcW w:w="1574" w:type="dxa"/>
            <w:tcBorders>
              <w:top w:val="nil"/>
              <w:left w:val="single" w:sz="2" w:space="0" w:color="auto"/>
              <w:bottom w:val="nil"/>
              <w:right w:val="single" w:sz="2" w:space="0" w:color="auto"/>
            </w:tcBorders>
            <w:shd w:val="clear" w:color="000000" w:fill="FFFFFF"/>
            <w:vAlign w:val="bottom"/>
            <w:hideMark/>
          </w:tcPr>
          <w:p w14:paraId="526632CC"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-197 653</w:t>
            </w:r>
          </w:p>
        </w:tc>
      </w:tr>
      <w:tr w:rsidR="00CB1853" w:rsidRPr="00CB1853" w14:paraId="6070A2E6" w14:textId="77777777" w:rsidTr="00E21A82">
        <w:trPr>
          <w:trHeight w:val="300"/>
          <w:jc w:val="center"/>
        </w:trPr>
        <w:tc>
          <w:tcPr>
            <w:tcW w:w="785" w:type="dxa"/>
            <w:tcBorders>
              <w:top w:val="nil"/>
              <w:left w:val="single" w:sz="2" w:space="0" w:color="auto"/>
              <w:bottom w:val="nil"/>
              <w:right w:val="single" w:sz="2" w:space="0" w:color="auto"/>
            </w:tcBorders>
            <w:shd w:val="clear" w:color="auto" w:fill="auto"/>
            <w:noWrap/>
            <w:vAlign w:val="bottom"/>
            <w:hideMark/>
          </w:tcPr>
          <w:p w14:paraId="625EB626" w14:textId="77777777" w:rsidR="00CB1853" w:rsidRPr="00CB1853" w:rsidRDefault="00CB1853" w:rsidP="00CB1853">
            <w:pPr>
              <w:jc w:val="center"/>
              <w:rPr>
                <w:rFonts w:eastAsia="Times New Roman"/>
                <w:color w:val="000000"/>
                <w:sz w:val="22"/>
                <w:szCs w:val="22"/>
                <w:lang w:eastAsia="es-MX"/>
              </w:rPr>
            </w:pPr>
            <w:r w:rsidRPr="00CB1853">
              <w:rPr>
                <w:rFonts w:eastAsia="Times New Roman"/>
                <w:color w:val="000000"/>
                <w:sz w:val="22"/>
                <w:szCs w:val="22"/>
                <w:lang w:eastAsia="es-MX"/>
              </w:rPr>
              <w:t>2002</w:t>
            </w:r>
          </w:p>
        </w:tc>
        <w:tc>
          <w:tcPr>
            <w:tcW w:w="2364" w:type="dxa"/>
            <w:tcBorders>
              <w:top w:val="nil"/>
              <w:left w:val="single" w:sz="2" w:space="0" w:color="auto"/>
              <w:bottom w:val="nil"/>
              <w:right w:val="single" w:sz="2" w:space="0" w:color="auto"/>
            </w:tcBorders>
            <w:shd w:val="clear" w:color="000000" w:fill="FFFFFF"/>
            <w:vAlign w:val="bottom"/>
            <w:hideMark/>
          </w:tcPr>
          <w:p w14:paraId="667EC6DD"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125 199</w:t>
            </w:r>
          </w:p>
        </w:tc>
        <w:tc>
          <w:tcPr>
            <w:tcW w:w="2417" w:type="dxa"/>
            <w:tcBorders>
              <w:top w:val="nil"/>
              <w:left w:val="single" w:sz="2" w:space="0" w:color="auto"/>
              <w:bottom w:val="nil"/>
              <w:right w:val="single" w:sz="2" w:space="0" w:color="auto"/>
            </w:tcBorders>
            <w:shd w:val="clear" w:color="000000" w:fill="FFFFFF"/>
            <w:vAlign w:val="bottom"/>
            <w:hideMark/>
          </w:tcPr>
          <w:p w14:paraId="289FFE2E"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687 290</w:t>
            </w:r>
          </w:p>
        </w:tc>
        <w:tc>
          <w:tcPr>
            <w:tcW w:w="1574" w:type="dxa"/>
            <w:tcBorders>
              <w:top w:val="nil"/>
              <w:left w:val="single" w:sz="2" w:space="0" w:color="auto"/>
              <w:bottom w:val="nil"/>
              <w:right w:val="single" w:sz="2" w:space="0" w:color="auto"/>
            </w:tcBorders>
            <w:shd w:val="clear" w:color="000000" w:fill="FFFFFF"/>
            <w:vAlign w:val="bottom"/>
            <w:hideMark/>
          </w:tcPr>
          <w:p w14:paraId="1CE6E1C9"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-562 091</w:t>
            </w:r>
          </w:p>
        </w:tc>
      </w:tr>
      <w:tr w:rsidR="00CB1853" w:rsidRPr="00CB1853" w14:paraId="55B9C259" w14:textId="77777777" w:rsidTr="00E21A82">
        <w:trPr>
          <w:trHeight w:val="300"/>
          <w:jc w:val="center"/>
        </w:trPr>
        <w:tc>
          <w:tcPr>
            <w:tcW w:w="785" w:type="dxa"/>
            <w:tcBorders>
              <w:top w:val="nil"/>
              <w:left w:val="single" w:sz="2" w:space="0" w:color="auto"/>
              <w:bottom w:val="nil"/>
              <w:right w:val="single" w:sz="2" w:space="0" w:color="auto"/>
            </w:tcBorders>
            <w:shd w:val="clear" w:color="auto" w:fill="auto"/>
            <w:noWrap/>
            <w:vAlign w:val="bottom"/>
            <w:hideMark/>
          </w:tcPr>
          <w:p w14:paraId="5C264B50" w14:textId="77777777" w:rsidR="00CB1853" w:rsidRPr="00CB1853" w:rsidRDefault="00CB1853" w:rsidP="00CB1853">
            <w:pPr>
              <w:jc w:val="center"/>
              <w:rPr>
                <w:rFonts w:eastAsia="Times New Roman"/>
                <w:color w:val="000000"/>
                <w:sz w:val="22"/>
                <w:szCs w:val="22"/>
                <w:lang w:eastAsia="es-MX"/>
              </w:rPr>
            </w:pPr>
            <w:r w:rsidRPr="00CB1853">
              <w:rPr>
                <w:rFonts w:eastAsia="Times New Roman"/>
                <w:color w:val="000000"/>
                <w:sz w:val="22"/>
                <w:szCs w:val="22"/>
                <w:lang w:eastAsia="es-MX"/>
              </w:rPr>
              <w:t>2003</w:t>
            </w:r>
          </w:p>
        </w:tc>
        <w:tc>
          <w:tcPr>
            <w:tcW w:w="2364" w:type="dxa"/>
            <w:tcBorders>
              <w:top w:val="nil"/>
              <w:left w:val="single" w:sz="2" w:space="0" w:color="auto"/>
              <w:bottom w:val="nil"/>
              <w:right w:val="single" w:sz="2" w:space="0" w:color="auto"/>
            </w:tcBorders>
            <w:shd w:val="clear" w:color="000000" w:fill="FFFFFF"/>
            <w:vAlign w:val="bottom"/>
            <w:hideMark/>
          </w:tcPr>
          <w:p w14:paraId="44241C45"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235 208</w:t>
            </w:r>
          </w:p>
        </w:tc>
        <w:tc>
          <w:tcPr>
            <w:tcW w:w="2417" w:type="dxa"/>
            <w:tcBorders>
              <w:top w:val="nil"/>
              <w:left w:val="single" w:sz="2" w:space="0" w:color="auto"/>
              <w:bottom w:val="nil"/>
              <w:right w:val="single" w:sz="2" w:space="0" w:color="auto"/>
            </w:tcBorders>
            <w:shd w:val="clear" w:color="000000" w:fill="FFFFFF"/>
            <w:vAlign w:val="bottom"/>
            <w:hideMark/>
          </w:tcPr>
          <w:p w14:paraId="385D6599"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867 089</w:t>
            </w:r>
          </w:p>
        </w:tc>
        <w:tc>
          <w:tcPr>
            <w:tcW w:w="1574" w:type="dxa"/>
            <w:tcBorders>
              <w:top w:val="nil"/>
              <w:left w:val="single" w:sz="2" w:space="0" w:color="auto"/>
              <w:bottom w:val="nil"/>
              <w:right w:val="single" w:sz="2" w:space="0" w:color="auto"/>
            </w:tcBorders>
            <w:shd w:val="clear" w:color="000000" w:fill="FFFFFF"/>
            <w:vAlign w:val="bottom"/>
            <w:hideMark/>
          </w:tcPr>
          <w:p w14:paraId="720F72F3"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-631 881</w:t>
            </w:r>
          </w:p>
        </w:tc>
      </w:tr>
      <w:tr w:rsidR="00CB1853" w:rsidRPr="00CB1853" w14:paraId="6EFF96E2" w14:textId="77777777" w:rsidTr="00E21A82">
        <w:trPr>
          <w:trHeight w:val="300"/>
          <w:jc w:val="center"/>
        </w:trPr>
        <w:tc>
          <w:tcPr>
            <w:tcW w:w="785" w:type="dxa"/>
            <w:tcBorders>
              <w:top w:val="nil"/>
              <w:left w:val="single" w:sz="2" w:space="0" w:color="auto"/>
              <w:bottom w:val="nil"/>
              <w:right w:val="single" w:sz="2" w:space="0" w:color="auto"/>
            </w:tcBorders>
            <w:shd w:val="clear" w:color="auto" w:fill="auto"/>
            <w:noWrap/>
            <w:vAlign w:val="bottom"/>
            <w:hideMark/>
          </w:tcPr>
          <w:p w14:paraId="5261A3BA" w14:textId="77777777" w:rsidR="00CB1853" w:rsidRPr="00CB1853" w:rsidRDefault="00CB1853" w:rsidP="00CB1853">
            <w:pPr>
              <w:jc w:val="center"/>
              <w:rPr>
                <w:rFonts w:eastAsia="Times New Roman"/>
                <w:color w:val="000000"/>
                <w:sz w:val="22"/>
                <w:szCs w:val="22"/>
                <w:lang w:eastAsia="es-MX"/>
              </w:rPr>
            </w:pPr>
            <w:r w:rsidRPr="00CB1853">
              <w:rPr>
                <w:rFonts w:eastAsia="Times New Roman"/>
                <w:color w:val="000000"/>
                <w:sz w:val="22"/>
                <w:szCs w:val="22"/>
                <w:lang w:eastAsia="es-MX"/>
              </w:rPr>
              <w:t>2004</w:t>
            </w:r>
          </w:p>
        </w:tc>
        <w:tc>
          <w:tcPr>
            <w:tcW w:w="2364" w:type="dxa"/>
            <w:tcBorders>
              <w:top w:val="nil"/>
              <w:left w:val="single" w:sz="2" w:space="0" w:color="auto"/>
              <w:bottom w:val="nil"/>
              <w:right w:val="single" w:sz="2" w:space="0" w:color="auto"/>
            </w:tcBorders>
            <w:shd w:val="clear" w:color="000000" w:fill="FFFFFF"/>
            <w:vAlign w:val="bottom"/>
            <w:hideMark/>
          </w:tcPr>
          <w:p w14:paraId="06D2F6C8"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568 999</w:t>
            </w:r>
          </w:p>
        </w:tc>
        <w:tc>
          <w:tcPr>
            <w:tcW w:w="2417" w:type="dxa"/>
            <w:tcBorders>
              <w:top w:val="nil"/>
              <w:left w:val="single" w:sz="2" w:space="0" w:color="auto"/>
              <w:bottom w:val="nil"/>
              <w:right w:val="single" w:sz="2" w:space="0" w:color="auto"/>
            </w:tcBorders>
            <w:shd w:val="clear" w:color="000000" w:fill="FFFFFF"/>
            <w:vAlign w:val="bottom"/>
            <w:hideMark/>
          </w:tcPr>
          <w:p w14:paraId="665212D2"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1 108 349</w:t>
            </w:r>
          </w:p>
        </w:tc>
        <w:tc>
          <w:tcPr>
            <w:tcW w:w="1574" w:type="dxa"/>
            <w:tcBorders>
              <w:top w:val="nil"/>
              <w:left w:val="single" w:sz="2" w:space="0" w:color="auto"/>
              <w:bottom w:val="nil"/>
              <w:right w:val="single" w:sz="2" w:space="0" w:color="auto"/>
            </w:tcBorders>
            <w:shd w:val="clear" w:color="000000" w:fill="FFFFFF"/>
            <w:vAlign w:val="bottom"/>
            <w:hideMark/>
          </w:tcPr>
          <w:p w14:paraId="75A8FD05"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-539 350</w:t>
            </w:r>
          </w:p>
        </w:tc>
      </w:tr>
      <w:tr w:rsidR="00CB1853" w:rsidRPr="00CB1853" w14:paraId="1FD302D9" w14:textId="77777777" w:rsidTr="00E21A82">
        <w:trPr>
          <w:trHeight w:val="300"/>
          <w:jc w:val="center"/>
        </w:trPr>
        <w:tc>
          <w:tcPr>
            <w:tcW w:w="785" w:type="dxa"/>
            <w:tcBorders>
              <w:top w:val="nil"/>
              <w:left w:val="single" w:sz="2" w:space="0" w:color="auto"/>
              <w:bottom w:val="nil"/>
              <w:right w:val="single" w:sz="2" w:space="0" w:color="auto"/>
            </w:tcBorders>
            <w:shd w:val="clear" w:color="auto" w:fill="auto"/>
            <w:noWrap/>
            <w:vAlign w:val="bottom"/>
            <w:hideMark/>
          </w:tcPr>
          <w:p w14:paraId="5E4C55DC" w14:textId="77777777" w:rsidR="00CB1853" w:rsidRPr="00CB1853" w:rsidRDefault="00CB1853" w:rsidP="00CB1853">
            <w:pPr>
              <w:jc w:val="center"/>
              <w:rPr>
                <w:rFonts w:eastAsia="Times New Roman"/>
                <w:color w:val="000000"/>
                <w:sz w:val="22"/>
                <w:szCs w:val="22"/>
                <w:lang w:eastAsia="es-MX"/>
              </w:rPr>
            </w:pPr>
            <w:r w:rsidRPr="00CB1853">
              <w:rPr>
                <w:rFonts w:eastAsia="Times New Roman"/>
                <w:color w:val="000000"/>
                <w:sz w:val="22"/>
                <w:szCs w:val="22"/>
                <w:lang w:eastAsia="es-MX"/>
              </w:rPr>
              <w:t>2005</w:t>
            </w:r>
          </w:p>
        </w:tc>
        <w:tc>
          <w:tcPr>
            <w:tcW w:w="2364" w:type="dxa"/>
            <w:tcBorders>
              <w:top w:val="nil"/>
              <w:left w:val="single" w:sz="2" w:space="0" w:color="auto"/>
              <w:bottom w:val="nil"/>
              <w:right w:val="single" w:sz="2" w:space="0" w:color="auto"/>
            </w:tcBorders>
            <w:shd w:val="clear" w:color="000000" w:fill="FFFFFF"/>
            <w:vAlign w:val="bottom"/>
            <w:hideMark/>
          </w:tcPr>
          <w:p w14:paraId="3186B935"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672 287</w:t>
            </w:r>
          </w:p>
        </w:tc>
        <w:tc>
          <w:tcPr>
            <w:tcW w:w="2417" w:type="dxa"/>
            <w:tcBorders>
              <w:top w:val="nil"/>
              <w:left w:val="single" w:sz="2" w:space="0" w:color="auto"/>
              <w:bottom w:val="nil"/>
              <w:right w:val="single" w:sz="2" w:space="0" w:color="auto"/>
            </w:tcBorders>
            <w:shd w:val="clear" w:color="000000" w:fill="FFFFFF"/>
            <w:vAlign w:val="bottom"/>
            <w:hideMark/>
          </w:tcPr>
          <w:p w14:paraId="187BE964"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1 302 817</w:t>
            </w:r>
          </w:p>
        </w:tc>
        <w:tc>
          <w:tcPr>
            <w:tcW w:w="1574" w:type="dxa"/>
            <w:tcBorders>
              <w:top w:val="nil"/>
              <w:left w:val="single" w:sz="2" w:space="0" w:color="auto"/>
              <w:bottom w:val="nil"/>
              <w:right w:val="single" w:sz="2" w:space="0" w:color="auto"/>
            </w:tcBorders>
            <w:shd w:val="clear" w:color="000000" w:fill="FFFFFF"/>
            <w:vAlign w:val="bottom"/>
            <w:hideMark/>
          </w:tcPr>
          <w:p w14:paraId="64B57193"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-630 530</w:t>
            </w:r>
          </w:p>
        </w:tc>
      </w:tr>
      <w:tr w:rsidR="00CB1853" w:rsidRPr="00CB1853" w14:paraId="2C98CB8C" w14:textId="77777777" w:rsidTr="00E21A82">
        <w:trPr>
          <w:trHeight w:val="300"/>
          <w:jc w:val="center"/>
        </w:trPr>
        <w:tc>
          <w:tcPr>
            <w:tcW w:w="785" w:type="dxa"/>
            <w:tcBorders>
              <w:top w:val="nil"/>
              <w:left w:val="single" w:sz="2" w:space="0" w:color="auto"/>
              <w:bottom w:val="nil"/>
              <w:right w:val="single" w:sz="2" w:space="0" w:color="auto"/>
            </w:tcBorders>
            <w:shd w:val="clear" w:color="auto" w:fill="auto"/>
            <w:noWrap/>
            <w:vAlign w:val="bottom"/>
            <w:hideMark/>
          </w:tcPr>
          <w:p w14:paraId="7D210EA1" w14:textId="77777777" w:rsidR="00CB1853" w:rsidRPr="00CB1853" w:rsidRDefault="00CB1853" w:rsidP="00CB1853">
            <w:pPr>
              <w:jc w:val="center"/>
              <w:rPr>
                <w:rFonts w:eastAsia="Times New Roman"/>
                <w:color w:val="000000"/>
                <w:sz w:val="22"/>
                <w:szCs w:val="22"/>
                <w:lang w:eastAsia="es-MX"/>
              </w:rPr>
            </w:pPr>
            <w:r w:rsidRPr="00CB1853">
              <w:rPr>
                <w:rFonts w:eastAsia="Times New Roman"/>
                <w:color w:val="000000"/>
                <w:sz w:val="22"/>
                <w:szCs w:val="22"/>
                <w:lang w:eastAsia="es-MX"/>
              </w:rPr>
              <w:t>2006</w:t>
            </w:r>
          </w:p>
        </w:tc>
        <w:tc>
          <w:tcPr>
            <w:tcW w:w="2364" w:type="dxa"/>
            <w:tcBorders>
              <w:top w:val="nil"/>
              <w:left w:val="single" w:sz="2" w:space="0" w:color="auto"/>
              <w:bottom w:val="nil"/>
              <w:right w:val="single" w:sz="2" w:space="0" w:color="auto"/>
            </w:tcBorders>
            <w:shd w:val="clear" w:color="000000" w:fill="FFFFFF"/>
            <w:vAlign w:val="bottom"/>
            <w:hideMark/>
          </w:tcPr>
          <w:p w14:paraId="783B217C"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952 156</w:t>
            </w:r>
          </w:p>
        </w:tc>
        <w:tc>
          <w:tcPr>
            <w:tcW w:w="2417" w:type="dxa"/>
            <w:tcBorders>
              <w:top w:val="nil"/>
              <w:left w:val="single" w:sz="2" w:space="0" w:color="auto"/>
              <w:bottom w:val="nil"/>
              <w:right w:val="single" w:sz="2" w:space="0" w:color="auto"/>
            </w:tcBorders>
            <w:shd w:val="clear" w:color="000000" w:fill="FFFFFF"/>
            <w:vAlign w:val="bottom"/>
            <w:hideMark/>
          </w:tcPr>
          <w:p w14:paraId="0F807A93"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1 798 523</w:t>
            </w:r>
          </w:p>
        </w:tc>
        <w:tc>
          <w:tcPr>
            <w:tcW w:w="1574" w:type="dxa"/>
            <w:tcBorders>
              <w:top w:val="nil"/>
              <w:left w:val="single" w:sz="2" w:space="0" w:color="auto"/>
              <w:bottom w:val="nil"/>
              <w:right w:val="single" w:sz="2" w:space="0" w:color="auto"/>
            </w:tcBorders>
            <w:shd w:val="clear" w:color="000000" w:fill="FFFFFF"/>
            <w:vAlign w:val="bottom"/>
            <w:hideMark/>
          </w:tcPr>
          <w:p w14:paraId="4EEB1BDD"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-846 367</w:t>
            </w:r>
          </w:p>
        </w:tc>
      </w:tr>
      <w:tr w:rsidR="00CB1853" w:rsidRPr="00CB1853" w14:paraId="00593944" w14:textId="77777777" w:rsidTr="00E21A82">
        <w:trPr>
          <w:trHeight w:val="300"/>
          <w:jc w:val="center"/>
        </w:trPr>
        <w:tc>
          <w:tcPr>
            <w:tcW w:w="785" w:type="dxa"/>
            <w:tcBorders>
              <w:top w:val="nil"/>
              <w:left w:val="single" w:sz="2" w:space="0" w:color="auto"/>
              <w:bottom w:val="nil"/>
              <w:right w:val="single" w:sz="2" w:space="0" w:color="auto"/>
            </w:tcBorders>
            <w:shd w:val="clear" w:color="auto" w:fill="auto"/>
            <w:noWrap/>
            <w:vAlign w:val="bottom"/>
            <w:hideMark/>
          </w:tcPr>
          <w:p w14:paraId="7CC580AA" w14:textId="77777777" w:rsidR="00CB1853" w:rsidRPr="00CB1853" w:rsidRDefault="00CB1853" w:rsidP="00CB1853">
            <w:pPr>
              <w:jc w:val="center"/>
              <w:rPr>
                <w:rFonts w:eastAsia="Times New Roman"/>
                <w:color w:val="000000"/>
                <w:sz w:val="22"/>
                <w:szCs w:val="22"/>
                <w:lang w:eastAsia="es-MX"/>
              </w:rPr>
            </w:pPr>
            <w:r w:rsidRPr="00CB1853">
              <w:rPr>
                <w:rFonts w:eastAsia="Times New Roman"/>
                <w:color w:val="000000"/>
                <w:sz w:val="22"/>
                <w:szCs w:val="22"/>
                <w:lang w:eastAsia="es-MX"/>
              </w:rPr>
              <w:t>2007</w:t>
            </w:r>
          </w:p>
        </w:tc>
        <w:tc>
          <w:tcPr>
            <w:tcW w:w="2364" w:type="dxa"/>
            <w:tcBorders>
              <w:top w:val="nil"/>
              <w:left w:val="single" w:sz="2" w:space="0" w:color="auto"/>
              <w:bottom w:val="nil"/>
              <w:right w:val="single" w:sz="2" w:space="0" w:color="auto"/>
            </w:tcBorders>
            <w:shd w:val="clear" w:color="000000" w:fill="FFFFFF"/>
            <w:vAlign w:val="bottom"/>
            <w:hideMark/>
          </w:tcPr>
          <w:p w14:paraId="3FE5EC8C"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1 130 044</w:t>
            </w:r>
          </w:p>
        </w:tc>
        <w:tc>
          <w:tcPr>
            <w:tcW w:w="2417" w:type="dxa"/>
            <w:tcBorders>
              <w:top w:val="nil"/>
              <w:left w:val="single" w:sz="2" w:space="0" w:color="auto"/>
              <w:bottom w:val="nil"/>
              <w:right w:val="single" w:sz="2" w:space="0" w:color="auto"/>
            </w:tcBorders>
            <w:shd w:val="clear" w:color="000000" w:fill="FFFFFF"/>
            <w:vAlign w:val="bottom"/>
            <w:hideMark/>
          </w:tcPr>
          <w:p w14:paraId="72B09B30"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1 609 744</w:t>
            </w:r>
          </w:p>
        </w:tc>
        <w:tc>
          <w:tcPr>
            <w:tcW w:w="1574" w:type="dxa"/>
            <w:tcBorders>
              <w:top w:val="nil"/>
              <w:left w:val="single" w:sz="2" w:space="0" w:color="auto"/>
              <w:bottom w:val="nil"/>
              <w:right w:val="single" w:sz="2" w:space="0" w:color="auto"/>
            </w:tcBorders>
            <w:shd w:val="clear" w:color="000000" w:fill="FFFFFF"/>
            <w:vAlign w:val="bottom"/>
            <w:hideMark/>
          </w:tcPr>
          <w:p w14:paraId="7C3E6297"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-479 700</w:t>
            </w:r>
          </w:p>
        </w:tc>
      </w:tr>
      <w:tr w:rsidR="00CB1853" w:rsidRPr="00CB1853" w14:paraId="1C62AE04" w14:textId="77777777" w:rsidTr="00E21A82">
        <w:trPr>
          <w:trHeight w:val="300"/>
          <w:jc w:val="center"/>
        </w:trPr>
        <w:tc>
          <w:tcPr>
            <w:tcW w:w="785" w:type="dxa"/>
            <w:tcBorders>
              <w:top w:val="nil"/>
              <w:left w:val="single" w:sz="2" w:space="0" w:color="auto"/>
              <w:bottom w:val="nil"/>
              <w:right w:val="single" w:sz="2" w:space="0" w:color="auto"/>
            </w:tcBorders>
            <w:shd w:val="clear" w:color="auto" w:fill="auto"/>
            <w:noWrap/>
            <w:vAlign w:val="bottom"/>
            <w:hideMark/>
          </w:tcPr>
          <w:p w14:paraId="79F6834C" w14:textId="77777777" w:rsidR="00CB1853" w:rsidRPr="00CB1853" w:rsidRDefault="00CB1853" w:rsidP="00CB1853">
            <w:pPr>
              <w:jc w:val="center"/>
              <w:rPr>
                <w:rFonts w:eastAsia="Times New Roman"/>
                <w:color w:val="000000"/>
                <w:sz w:val="22"/>
                <w:szCs w:val="22"/>
                <w:lang w:eastAsia="es-MX"/>
              </w:rPr>
            </w:pPr>
            <w:r w:rsidRPr="00CB1853">
              <w:rPr>
                <w:rFonts w:eastAsia="Times New Roman"/>
                <w:color w:val="000000"/>
                <w:sz w:val="22"/>
                <w:szCs w:val="22"/>
                <w:lang w:eastAsia="es-MX"/>
              </w:rPr>
              <w:t>2008</w:t>
            </w:r>
          </w:p>
        </w:tc>
        <w:tc>
          <w:tcPr>
            <w:tcW w:w="2364" w:type="dxa"/>
            <w:tcBorders>
              <w:top w:val="nil"/>
              <w:left w:val="single" w:sz="2" w:space="0" w:color="auto"/>
              <w:bottom w:val="nil"/>
              <w:right w:val="single" w:sz="2" w:space="0" w:color="auto"/>
            </w:tcBorders>
            <w:shd w:val="clear" w:color="000000" w:fill="FFFFFF"/>
            <w:vAlign w:val="bottom"/>
            <w:hideMark/>
          </w:tcPr>
          <w:p w14:paraId="0117F127"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1 317 083</w:t>
            </w:r>
          </w:p>
        </w:tc>
        <w:tc>
          <w:tcPr>
            <w:tcW w:w="2417" w:type="dxa"/>
            <w:tcBorders>
              <w:top w:val="nil"/>
              <w:left w:val="single" w:sz="2" w:space="0" w:color="auto"/>
              <w:bottom w:val="nil"/>
              <w:right w:val="single" w:sz="2" w:space="0" w:color="auto"/>
            </w:tcBorders>
            <w:shd w:val="clear" w:color="000000" w:fill="FFFFFF"/>
            <w:vAlign w:val="bottom"/>
            <w:hideMark/>
          </w:tcPr>
          <w:p w14:paraId="0E8B0E4F"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1 436 417</w:t>
            </w:r>
          </w:p>
        </w:tc>
        <w:tc>
          <w:tcPr>
            <w:tcW w:w="1574" w:type="dxa"/>
            <w:tcBorders>
              <w:top w:val="nil"/>
              <w:left w:val="single" w:sz="2" w:space="0" w:color="auto"/>
              <w:bottom w:val="nil"/>
              <w:right w:val="single" w:sz="2" w:space="0" w:color="auto"/>
            </w:tcBorders>
            <w:shd w:val="clear" w:color="000000" w:fill="FFFFFF"/>
            <w:vAlign w:val="bottom"/>
            <w:hideMark/>
          </w:tcPr>
          <w:p w14:paraId="07B09577"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-119 334</w:t>
            </w:r>
          </w:p>
        </w:tc>
      </w:tr>
      <w:tr w:rsidR="00CB1853" w:rsidRPr="00CB1853" w14:paraId="2A5094C2" w14:textId="77777777" w:rsidTr="00E21A82">
        <w:trPr>
          <w:trHeight w:val="300"/>
          <w:jc w:val="center"/>
        </w:trPr>
        <w:tc>
          <w:tcPr>
            <w:tcW w:w="785" w:type="dxa"/>
            <w:tcBorders>
              <w:top w:val="nil"/>
              <w:left w:val="single" w:sz="2" w:space="0" w:color="auto"/>
              <w:bottom w:val="nil"/>
              <w:right w:val="single" w:sz="2" w:space="0" w:color="auto"/>
            </w:tcBorders>
            <w:shd w:val="clear" w:color="auto" w:fill="auto"/>
            <w:noWrap/>
            <w:vAlign w:val="bottom"/>
            <w:hideMark/>
          </w:tcPr>
          <w:p w14:paraId="10BA9EFE" w14:textId="77777777" w:rsidR="00CB1853" w:rsidRPr="00CB1853" w:rsidRDefault="00CB1853" w:rsidP="00CB1853">
            <w:pPr>
              <w:jc w:val="center"/>
              <w:rPr>
                <w:rFonts w:eastAsia="Times New Roman"/>
                <w:color w:val="000000"/>
                <w:sz w:val="22"/>
                <w:szCs w:val="22"/>
                <w:lang w:eastAsia="es-MX"/>
              </w:rPr>
            </w:pPr>
            <w:r w:rsidRPr="00CB1853">
              <w:rPr>
                <w:rFonts w:eastAsia="Times New Roman"/>
                <w:color w:val="000000"/>
                <w:sz w:val="22"/>
                <w:szCs w:val="22"/>
                <w:lang w:eastAsia="es-MX"/>
              </w:rPr>
              <w:t>2009</w:t>
            </w:r>
          </w:p>
        </w:tc>
        <w:tc>
          <w:tcPr>
            <w:tcW w:w="2364" w:type="dxa"/>
            <w:tcBorders>
              <w:top w:val="nil"/>
              <w:left w:val="single" w:sz="2" w:space="0" w:color="auto"/>
              <w:bottom w:val="nil"/>
              <w:right w:val="single" w:sz="2" w:space="0" w:color="auto"/>
            </w:tcBorders>
            <w:shd w:val="clear" w:color="000000" w:fill="FFFFFF"/>
            <w:vAlign w:val="bottom"/>
            <w:hideMark/>
          </w:tcPr>
          <w:p w14:paraId="627235B3"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1 083 887</w:t>
            </w:r>
          </w:p>
        </w:tc>
        <w:tc>
          <w:tcPr>
            <w:tcW w:w="2417" w:type="dxa"/>
            <w:tcBorders>
              <w:top w:val="nil"/>
              <w:left w:val="single" w:sz="2" w:space="0" w:color="auto"/>
              <w:bottom w:val="nil"/>
              <w:right w:val="single" w:sz="2" w:space="0" w:color="auto"/>
            </w:tcBorders>
            <w:shd w:val="clear" w:color="000000" w:fill="FFFFFF"/>
            <w:vAlign w:val="bottom"/>
            <w:hideMark/>
          </w:tcPr>
          <w:p w14:paraId="5282F7CB"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1 144 604</w:t>
            </w:r>
          </w:p>
        </w:tc>
        <w:tc>
          <w:tcPr>
            <w:tcW w:w="1574" w:type="dxa"/>
            <w:tcBorders>
              <w:top w:val="nil"/>
              <w:left w:val="single" w:sz="2" w:space="0" w:color="auto"/>
              <w:bottom w:val="nil"/>
              <w:right w:val="single" w:sz="2" w:space="0" w:color="auto"/>
            </w:tcBorders>
            <w:shd w:val="clear" w:color="000000" w:fill="FFFFFF"/>
            <w:vAlign w:val="bottom"/>
            <w:hideMark/>
          </w:tcPr>
          <w:p w14:paraId="05690E27"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-60 717</w:t>
            </w:r>
          </w:p>
        </w:tc>
      </w:tr>
      <w:tr w:rsidR="00CB1853" w:rsidRPr="00CB1853" w14:paraId="4D6E3CBE" w14:textId="77777777" w:rsidTr="00E21A82">
        <w:trPr>
          <w:trHeight w:val="300"/>
          <w:jc w:val="center"/>
        </w:trPr>
        <w:tc>
          <w:tcPr>
            <w:tcW w:w="785" w:type="dxa"/>
            <w:tcBorders>
              <w:top w:val="nil"/>
              <w:left w:val="single" w:sz="2" w:space="0" w:color="auto"/>
              <w:bottom w:val="nil"/>
              <w:right w:val="single" w:sz="2" w:space="0" w:color="auto"/>
            </w:tcBorders>
            <w:shd w:val="clear" w:color="auto" w:fill="auto"/>
            <w:noWrap/>
            <w:vAlign w:val="bottom"/>
            <w:hideMark/>
          </w:tcPr>
          <w:p w14:paraId="70679EDB" w14:textId="77777777" w:rsidR="00CB1853" w:rsidRPr="00CB1853" w:rsidRDefault="00CB1853" w:rsidP="00CB1853">
            <w:pPr>
              <w:jc w:val="center"/>
              <w:rPr>
                <w:rFonts w:eastAsia="Times New Roman"/>
                <w:color w:val="000000"/>
                <w:sz w:val="22"/>
                <w:szCs w:val="22"/>
                <w:lang w:eastAsia="es-MX"/>
              </w:rPr>
            </w:pPr>
            <w:r w:rsidRPr="00CB1853">
              <w:rPr>
                <w:rFonts w:eastAsia="Times New Roman"/>
                <w:color w:val="000000"/>
                <w:sz w:val="22"/>
                <w:szCs w:val="22"/>
                <w:lang w:eastAsia="es-MX"/>
              </w:rPr>
              <w:t>2010</w:t>
            </w:r>
          </w:p>
        </w:tc>
        <w:tc>
          <w:tcPr>
            <w:tcW w:w="2364" w:type="dxa"/>
            <w:tcBorders>
              <w:top w:val="nil"/>
              <w:left w:val="single" w:sz="2" w:space="0" w:color="auto"/>
              <w:bottom w:val="nil"/>
              <w:right w:val="single" w:sz="2" w:space="0" w:color="auto"/>
            </w:tcBorders>
            <w:shd w:val="clear" w:color="000000" w:fill="FFFFFF"/>
            <w:vAlign w:val="bottom"/>
            <w:hideMark/>
          </w:tcPr>
          <w:p w14:paraId="5246233B"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1 768 790</w:t>
            </w:r>
          </w:p>
        </w:tc>
        <w:tc>
          <w:tcPr>
            <w:tcW w:w="2417" w:type="dxa"/>
            <w:tcBorders>
              <w:top w:val="nil"/>
              <w:left w:val="single" w:sz="2" w:space="0" w:color="auto"/>
              <w:bottom w:val="nil"/>
              <w:right w:val="single" w:sz="2" w:space="0" w:color="auto"/>
            </w:tcBorders>
            <w:shd w:val="clear" w:color="000000" w:fill="FFFFFF"/>
            <w:vAlign w:val="bottom"/>
            <w:hideMark/>
          </w:tcPr>
          <w:p w14:paraId="67C26905"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1 092 847</w:t>
            </w:r>
          </w:p>
        </w:tc>
        <w:tc>
          <w:tcPr>
            <w:tcW w:w="1574" w:type="dxa"/>
            <w:tcBorders>
              <w:top w:val="nil"/>
              <w:left w:val="single" w:sz="2" w:space="0" w:color="auto"/>
              <w:bottom w:val="nil"/>
              <w:right w:val="single" w:sz="2" w:space="0" w:color="auto"/>
            </w:tcBorders>
            <w:shd w:val="clear" w:color="000000" w:fill="FFFFFF"/>
            <w:vAlign w:val="bottom"/>
            <w:hideMark/>
          </w:tcPr>
          <w:p w14:paraId="2843D5CF"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675 943</w:t>
            </w:r>
          </w:p>
        </w:tc>
      </w:tr>
      <w:tr w:rsidR="00CB1853" w:rsidRPr="00CB1853" w14:paraId="22AD1662" w14:textId="77777777" w:rsidTr="00E21A82">
        <w:trPr>
          <w:trHeight w:val="300"/>
          <w:jc w:val="center"/>
        </w:trPr>
        <w:tc>
          <w:tcPr>
            <w:tcW w:w="785" w:type="dxa"/>
            <w:tcBorders>
              <w:top w:val="nil"/>
              <w:left w:val="single" w:sz="2" w:space="0" w:color="auto"/>
              <w:bottom w:val="nil"/>
              <w:right w:val="single" w:sz="2" w:space="0" w:color="auto"/>
            </w:tcBorders>
            <w:shd w:val="clear" w:color="auto" w:fill="auto"/>
            <w:noWrap/>
            <w:vAlign w:val="bottom"/>
            <w:hideMark/>
          </w:tcPr>
          <w:p w14:paraId="191D16FF"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2011</w:t>
            </w:r>
          </w:p>
        </w:tc>
        <w:tc>
          <w:tcPr>
            <w:tcW w:w="2364" w:type="dxa"/>
            <w:tcBorders>
              <w:top w:val="nil"/>
              <w:left w:val="single" w:sz="2" w:space="0" w:color="auto"/>
              <w:bottom w:val="nil"/>
              <w:right w:val="single" w:sz="2" w:space="0" w:color="auto"/>
            </w:tcBorders>
            <w:shd w:val="clear" w:color="000000" w:fill="FFFFFF"/>
            <w:vAlign w:val="bottom"/>
            <w:hideMark/>
          </w:tcPr>
          <w:p w14:paraId="0C08038A"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1 958 139</w:t>
            </w:r>
          </w:p>
        </w:tc>
        <w:tc>
          <w:tcPr>
            <w:tcW w:w="2417" w:type="dxa"/>
            <w:tcBorders>
              <w:top w:val="nil"/>
              <w:left w:val="single" w:sz="2" w:space="0" w:color="auto"/>
              <w:bottom w:val="nil"/>
              <w:right w:val="single" w:sz="2" w:space="0" w:color="auto"/>
            </w:tcBorders>
            <w:shd w:val="clear" w:color="000000" w:fill="FFFFFF"/>
            <w:vAlign w:val="bottom"/>
            <w:hideMark/>
          </w:tcPr>
          <w:p w14:paraId="2A7C82E0"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1 061 392</w:t>
            </w:r>
          </w:p>
        </w:tc>
        <w:tc>
          <w:tcPr>
            <w:tcW w:w="1574" w:type="dxa"/>
            <w:tcBorders>
              <w:top w:val="nil"/>
              <w:left w:val="single" w:sz="2" w:space="0" w:color="auto"/>
              <w:bottom w:val="nil"/>
              <w:right w:val="single" w:sz="2" w:space="0" w:color="auto"/>
            </w:tcBorders>
            <w:shd w:val="clear" w:color="000000" w:fill="FFFFFF"/>
            <w:vAlign w:val="bottom"/>
            <w:hideMark/>
          </w:tcPr>
          <w:p w14:paraId="05B598A1"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896 747</w:t>
            </w:r>
          </w:p>
        </w:tc>
      </w:tr>
      <w:tr w:rsidR="00CB1853" w:rsidRPr="00CB1853" w14:paraId="34C4A09D" w14:textId="77777777" w:rsidTr="00E21A82">
        <w:trPr>
          <w:trHeight w:val="300"/>
          <w:jc w:val="center"/>
        </w:trPr>
        <w:tc>
          <w:tcPr>
            <w:tcW w:w="785" w:type="dxa"/>
            <w:tcBorders>
              <w:top w:val="nil"/>
              <w:left w:val="single" w:sz="2" w:space="0" w:color="auto"/>
              <w:bottom w:val="nil"/>
              <w:right w:val="single" w:sz="2" w:space="0" w:color="auto"/>
            </w:tcBorders>
            <w:shd w:val="clear" w:color="auto" w:fill="auto"/>
            <w:noWrap/>
            <w:vAlign w:val="bottom"/>
            <w:hideMark/>
          </w:tcPr>
          <w:p w14:paraId="6540626D"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2012</w:t>
            </w:r>
          </w:p>
        </w:tc>
        <w:tc>
          <w:tcPr>
            <w:tcW w:w="2364" w:type="dxa"/>
            <w:tcBorders>
              <w:top w:val="nil"/>
              <w:left w:val="single" w:sz="2" w:space="0" w:color="auto"/>
              <w:bottom w:val="nil"/>
              <w:right w:val="single" w:sz="2" w:space="0" w:color="auto"/>
            </w:tcBorders>
            <w:shd w:val="clear" w:color="000000" w:fill="FFFFFF"/>
            <w:vAlign w:val="bottom"/>
            <w:hideMark/>
          </w:tcPr>
          <w:p w14:paraId="720CCB9B"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1 932 399</w:t>
            </w:r>
          </w:p>
        </w:tc>
        <w:tc>
          <w:tcPr>
            <w:tcW w:w="2417" w:type="dxa"/>
            <w:tcBorders>
              <w:top w:val="nil"/>
              <w:left w:val="single" w:sz="2" w:space="0" w:color="auto"/>
              <w:bottom w:val="nil"/>
              <w:right w:val="single" w:sz="2" w:space="0" w:color="auto"/>
            </w:tcBorders>
            <w:shd w:val="clear" w:color="000000" w:fill="FFFFFF"/>
            <w:vAlign w:val="bottom"/>
            <w:hideMark/>
          </w:tcPr>
          <w:p w14:paraId="6FEBFB9B"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1 004 169</w:t>
            </w:r>
          </w:p>
        </w:tc>
        <w:tc>
          <w:tcPr>
            <w:tcW w:w="1574" w:type="dxa"/>
            <w:tcBorders>
              <w:top w:val="nil"/>
              <w:left w:val="single" w:sz="2" w:space="0" w:color="auto"/>
              <w:bottom w:val="nil"/>
              <w:right w:val="single" w:sz="2" w:space="0" w:color="auto"/>
            </w:tcBorders>
            <w:shd w:val="clear" w:color="000000" w:fill="FFFFFF"/>
            <w:vAlign w:val="bottom"/>
            <w:hideMark/>
          </w:tcPr>
          <w:p w14:paraId="4B2064B7"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928 230</w:t>
            </w:r>
          </w:p>
        </w:tc>
      </w:tr>
      <w:tr w:rsidR="00CB1853" w:rsidRPr="00CB1853" w14:paraId="7E4368F2" w14:textId="77777777" w:rsidTr="00E21A82">
        <w:trPr>
          <w:trHeight w:val="300"/>
          <w:jc w:val="center"/>
        </w:trPr>
        <w:tc>
          <w:tcPr>
            <w:tcW w:w="785" w:type="dxa"/>
            <w:tcBorders>
              <w:top w:val="nil"/>
              <w:left w:val="single" w:sz="2" w:space="0" w:color="auto"/>
              <w:bottom w:val="nil"/>
              <w:right w:val="single" w:sz="2" w:space="0" w:color="auto"/>
            </w:tcBorders>
            <w:shd w:val="clear" w:color="auto" w:fill="auto"/>
            <w:noWrap/>
            <w:vAlign w:val="bottom"/>
            <w:hideMark/>
          </w:tcPr>
          <w:p w14:paraId="76528298"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2013</w:t>
            </w:r>
          </w:p>
        </w:tc>
        <w:tc>
          <w:tcPr>
            <w:tcW w:w="2364" w:type="dxa"/>
            <w:tcBorders>
              <w:top w:val="nil"/>
              <w:left w:val="single" w:sz="2" w:space="0" w:color="auto"/>
              <w:bottom w:val="nil"/>
              <w:right w:val="single" w:sz="2" w:space="0" w:color="auto"/>
            </w:tcBorders>
            <w:shd w:val="clear" w:color="000000" w:fill="FFFFFF"/>
            <w:vAlign w:val="bottom"/>
            <w:hideMark/>
          </w:tcPr>
          <w:p w14:paraId="56690012"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1 965 925</w:t>
            </w:r>
          </w:p>
        </w:tc>
        <w:tc>
          <w:tcPr>
            <w:tcW w:w="2417" w:type="dxa"/>
            <w:tcBorders>
              <w:top w:val="nil"/>
              <w:left w:val="single" w:sz="2" w:space="0" w:color="auto"/>
              <w:bottom w:val="nil"/>
              <w:right w:val="single" w:sz="2" w:space="0" w:color="auto"/>
            </w:tcBorders>
            <w:shd w:val="clear" w:color="000000" w:fill="FFFFFF"/>
            <w:vAlign w:val="bottom"/>
            <w:hideMark/>
          </w:tcPr>
          <w:p w14:paraId="1534A050"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1 167 270</w:t>
            </w:r>
          </w:p>
        </w:tc>
        <w:tc>
          <w:tcPr>
            <w:tcW w:w="1574" w:type="dxa"/>
            <w:tcBorders>
              <w:top w:val="nil"/>
              <w:left w:val="single" w:sz="2" w:space="0" w:color="auto"/>
              <w:bottom w:val="nil"/>
              <w:right w:val="single" w:sz="2" w:space="0" w:color="auto"/>
            </w:tcBorders>
            <w:shd w:val="clear" w:color="000000" w:fill="FFFFFF"/>
            <w:vAlign w:val="bottom"/>
            <w:hideMark/>
          </w:tcPr>
          <w:p w14:paraId="1EF6D483"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798 655</w:t>
            </w:r>
          </w:p>
        </w:tc>
      </w:tr>
      <w:tr w:rsidR="00CB1853" w:rsidRPr="00CB1853" w14:paraId="7B3A5834" w14:textId="77777777" w:rsidTr="00E21A82">
        <w:trPr>
          <w:trHeight w:val="300"/>
          <w:jc w:val="center"/>
        </w:trPr>
        <w:tc>
          <w:tcPr>
            <w:tcW w:w="785" w:type="dxa"/>
            <w:tcBorders>
              <w:top w:val="nil"/>
              <w:left w:val="single" w:sz="2" w:space="0" w:color="auto"/>
              <w:bottom w:val="single" w:sz="2" w:space="0" w:color="auto"/>
              <w:right w:val="single" w:sz="2" w:space="0" w:color="auto"/>
            </w:tcBorders>
            <w:shd w:val="clear" w:color="auto" w:fill="auto"/>
            <w:noWrap/>
            <w:vAlign w:val="bottom"/>
            <w:hideMark/>
          </w:tcPr>
          <w:p w14:paraId="7B1E176D"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2014</w:t>
            </w:r>
            <w:r w:rsidRPr="00CB1853">
              <w:rPr>
                <w:rFonts w:eastAsia="Times New Roman"/>
                <w:sz w:val="20"/>
                <w:szCs w:val="20"/>
                <w:vertAlign w:val="superscript"/>
                <w:lang w:eastAsia="es-MX"/>
              </w:rPr>
              <w:t>r</w:t>
            </w:r>
          </w:p>
        </w:tc>
        <w:tc>
          <w:tcPr>
            <w:tcW w:w="2364" w:type="dxa"/>
            <w:tcBorders>
              <w:top w:val="nil"/>
              <w:left w:val="single" w:sz="2" w:space="0" w:color="auto"/>
              <w:bottom w:val="single" w:sz="2" w:space="0" w:color="auto"/>
              <w:right w:val="single" w:sz="2" w:space="0" w:color="auto"/>
            </w:tcBorders>
            <w:shd w:val="clear" w:color="000000" w:fill="FFFFFF"/>
            <w:vAlign w:val="bottom"/>
            <w:hideMark/>
          </w:tcPr>
          <w:p w14:paraId="4C75B931"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1 301 884</w:t>
            </w:r>
          </w:p>
        </w:tc>
        <w:tc>
          <w:tcPr>
            <w:tcW w:w="2417" w:type="dxa"/>
            <w:tcBorders>
              <w:top w:val="nil"/>
              <w:left w:val="single" w:sz="2" w:space="0" w:color="auto"/>
              <w:bottom w:val="single" w:sz="2" w:space="0" w:color="auto"/>
              <w:right w:val="single" w:sz="2" w:space="0" w:color="auto"/>
            </w:tcBorders>
            <w:shd w:val="clear" w:color="000000" w:fill="FFFFFF"/>
            <w:vAlign w:val="bottom"/>
            <w:hideMark/>
          </w:tcPr>
          <w:p w14:paraId="5B4E6BBC"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1 049 678</w:t>
            </w:r>
          </w:p>
        </w:tc>
        <w:tc>
          <w:tcPr>
            <w:tcW w:w="1574" w:type="dxa"/>
            <w:tcBorders>
              <w:top w:val="nil"/>
              <w:left w:val="single" w:sz="2" w:space="0" w:color="auto"/>
              <w:bottom w:val="single" w:sz="2" w:space="0" w:color="auto"/>
              <w:right w:val="single" w:sz="2" w:space="0" w:color="auto"/>
            </w:tcBorders>
            <w:shd w:val="clear" w:color="000000" w:fill="FFFFFF"/>
            <w:vAlign w:val="bottom"/>
            <w:hideMark/>
          </w:tcPr>
          <w:p w14:paraId="6A87EA74" w14:textId="77777777" w:rsidR="00CB1853" w:rsidRPr="00CB1853" w:rsidRDefault="00CB1853" w:rsidP="00CB1853">
            <w:pPr>
              <w:jc w:val="center"/>
              <w:rPr>
                <w:rFonts w:eastAsia="Times New Roman"/>
                <w:sz w:val="20"/>
                <w:szCs w:val="20"/>
                <w:lang w:eastAsia="es-MX"/>
              </w:rPr>
            </w:pPr>
            <w:r w:rsidRPr="00CB1853">
              <w:rPr>
                <w:rFonts w:eastAsia="Times New Roman"/>
                <w:sz w:val="20"/>
                <w:szCs w:val="20"/>
                <w:lang w:eastAsia="es-MX"/>
              </w:rPr>
              <w:t>252 206</w:t>
            </w:r>
          </w:p>
        </w:tc>
      </w:tr>
      <w:tr w:rsidR="00CB1853" w:rsidRPr="00CB1853" w14:paraId="1AF33079" w14:textId="77777777" w:rsidTr="00E21A82">
        <w:trPr>
          <w:trHeight w:val="300"/>
          <w:jc w:val="center"/>
        </w:trPr>
        <w:tc>
          <w:tcPr>
            <w:tcW w:w="7140" w:type="dxa"/>
            <w:gridSpan w:val="4"/>
            <w:tcBorders>
              <w:top w:val="single" w:sz="2" w:space="0" w:color="auto"/>
              <w:left w:val="nil"/>
              <w:bottom w:val="nil"/>
              <w:right w:val="nil"/>
            </w:tcBorders>
            <w:shd w:val="clear" w:color="auto" w:fill="auto"/>
            <w:noWrap/>
            <w:vAlign w:val="bottom"/>
            <w:hideMark/>
          </w:tcPr>
          <w:p w14:paraId="0856AA98" w14:textId="77777777" w:rsidR="00CB1853" w:rsidRPr="00CB1853" w:rsidRDefault="00CB1853" w:rsidP="00CB1853">
            <w:pPr>
              <w:spacing w:before="120"/>
              <w:rPr>
                <w:rFonts w:eastAsia="Times New Roman"/>
                <w:color w:val="000000"/>
                <w:sz w:val="22"/>
                <w:szCs w:val="22"/>
                <w:lang w:eastAsia="es-MX"/>
              </w:rPr>
            </w:pPr>
            <w:r w:rsidRPr="00CB1853">
              <w:rPr>
                <w:rFonts w:eastAsia="Times New Roman"/>
                <w:color w:val="000000"/>
                <w:sz w:val="22"/>
                <w:szCs w:val="22"/>
                <w:lang w:eastAsia="es-MX"/>
              </w:rPr>
              <w:t>r Cifras revisadas a partir de enero de 2014.</w:t>
            </w:r>
          </w:p>
          <w:p w14:paraId="7FDB4BAD" w14:textId="77777777" w:rsidR="00CB1853" w:rsidRPr="00CB1853" w:rsidRDefault="00CB1853" w:rsidP="00CB1853">
            <w:pPr>
              <w:ind w:left="1021" w:hanging="1021"/>
              <w:jc w:val="both"/>
              <w:rPr>
                <w:rFonts w:eastAsia="Times New Roman"/>
                <w:sz w:val="20"/>
                <w:szCs w:val="20"/>
                <w:lang w:eastAsia="es-MX"/>
              </w:rPr>
            </w:pPr>
            <w:r w:rsidRPr="00CB1853">
              <w:rPr>
                <w:rFonts w:eastAsia="Times New Roman"/>
                <w:color w:val="000000"/>
                <w:sz w:val="22"/>
                <w:szCs w:val="22"/>
                <w:lang w:eastAsia="es-MX"/>
              </w:rPr>
              <w:t xml:space="preserve">FUENTE: Grupo de Trabajo de Estadísticas de Comercio Exterior, integrado por </w:t>
            </w:r>
            <w:r w:rsidRPr="00CB1853">
              <w:rPr>
                <w:rFonts w:eastAsia="Times New Roman"/>
                <w:sz w:val="20"/>
                <w:szCs w:val="20"/>
                <w:lang w:eastAsia="es-MX"/>
              </w:rPr>
              <w:t>Banco de México, INEGI, Servicio de Administración Tributaria y la Secretaría de Economía.</w:t>
            </w:r>
          </w:p>
        </w:tc>
      </w:tr>
    </w:tbl>
    <w:p w14:paraId="7E9758E9" w14:textId="77777777" w:rsidR="00CB1853" w:rsidRPr="00CB1853" w:rsidRDefault="00CB1853" w:rsidP="00CB1853">
      <w:pPr>
        <w:spacing w:after="360" w:line="360" w:lineRule="auto"/>
        <w:ind w:right="-159"/>
        <w:jc w:val="both"/>
        <w:rPr>
          <w:rFonts w:eastAsia="Calibri"/>
          <w:sz w:val="26"/>
          <w:szCs w:val="26"/>
          <w:lang w:eastAsia="en-US"/>
        </w:rPr>
      </w:pPr>
    </w:p>
    <w:p w14:paraId="0F3AE360" w14:textId="77777777" w:rsidR="00CB1853" w:rsidRPr="00CB1853" w:rsidRDefault="00CB1853" w:rsidP="00CB1853">
      <w:pPr>
        <w:spacing w:after="360" w:line="360" w:lineRule="auto"/>
        <w:ind w:right="-159"/>
        <w:jc w:val="both"/>
        <w:rPr>
          <w:rFonts w:eastAsia="Calibri"/>
          <w:sz w:val="26"/>
          <w:szCs w:val="26"/>
          <w:lang w:eastAsia="en-US"/>
        </w:rPr>
      </w:pPr>
      <w:r w:rsidRPr="00CB1853">
        <w:rPr>
          <w:rFonts w:eastAsia="Calibri"/>
          <w:sz w:val="26"/>
          <w:szCs w:val="26"/>
          <w:lang w:eastAsia="en-US"/>
        </w:rPr>
        <w:lastRenderedPageBreak/>
        <w:t>El ACE 55 establece las siguientes pautas:</w:t>
      </w:r>
    </w:p>
    <w:p w14:paraId="61318FBF" w14:textId="77777777" w:rsidR="00CB1853" w:rsidRPr="00CB1853" w:rsidRDefault="00CB1853" w:rsidP="00CB1853">
      <w:pPr>
        <w:numPr>
          <w:ilvl w:val="0"/>
          <w:numId w:val="140"/>
        </w:numPr>
        <w:spacing w:after="360" w:line="360" w:lineRule="auto"/>
        <w:ind w:left="357" w:right="-159" w:hanging="357"/>
        <w:jc w:val="both"/>
        <w:rPr>
          <w:rFonts w:eastAsia="Calibri"/>
          <w:sz w:val="26"/>
          <w:szCs w:val="26"/>
          <w:lang w:eastAsia="en-US"/>
        </w:rPr>
      </w:pPr>
      <w:r w:rsidRPr="00CB1853">
        <w:rPr>
          <w:rFonts w:eastAsia="Calibri"/>
          <w:sz w:val="26"/>
          <w:szCs w:val="26"/>
          <w:lang w:eastAsia="en-US"/>
        </w:rPr>
        <w:t>Cupos de exportación crecientes y libres de arancel para el comercio de vehículos livianos; iniciando en 575 millones de dólares el 19 de marzo de 2015, hasta llegar a un monto de 638 millones de dólares en el último año (19 de marzo de 2018 al 18 de marzo de 2019). El crecimiento en los cupos es congruente con la evolución esperada del mercado.</w:t>
      </w:r>
    </w:p>
    <w:p w14:paraId="4564833B" w14:textId="77777777" w:rsidR="00CB1853" w:rsidRPr="00CB1853" w:rsidRDefault="00CB1853" w:rsidP="00CB1853">
      <w:pPr>
        <w:numPr>
          <w:ilvl w:val="0"/>
          <w:numId w:val="140"/>
        </w:numPr>
        <w:spacing w:after="360" w:line="360" w:lineRule="auto"/>
        <w:ind w:left="357" w:right="-159" w:hanging="357"/>
        <w:jc w:val="both"/>
        <w:rPr>
          <w:rFonts w:eastAsia="Calibri"/>
          <w:sz w:val="26"/>
          <w:szCs w:val="26"/>
          <w:lang w:eastAsia="en-US"/>
        </w:rPr>
      </w:pPr>
      <w:r w:rsidRPr="00CB1853">
        <w:rPr>
          <w:rFonts w:eastAsia="Calibri"/>
          <w:sz w:val="26"/>
          <w:szCs w:val="26"/>
          <w:lang w:eastAsia="en-US"/>
        </w:rPr>
        <w:t>Un mecanismo que otorga una extensión de preferencias (independiente a los cupos) al exportador de vehículos livianos equivalente a las importaciones que realice una de las partes; sin necesidad de agotar el cupo anual negociado.</w:t>
      </w:r>
    </w:p>
    <w:p w14:paraId="3C0B370A" w14:textId="77777777" w:rsidR="00CB1853" w:rsidRPr="00CB1853" w:rsidRDefault="00CB1853" w:rsidP="00CB1853">
      <w:pPr>
        <w:numPr>
          <w:ilvl w:val="0"/>
          <w:numId w:val="140"/>
        </w:numPr>
        <w:spacing w:after="360" w:line="360" w:lineRule="auto"/>
        <w:ind w:left="357" w:right="-159" w:hanging="357"/>
        <w:jc w:val="both"/>
        <w:rPr>
          <w:rFonts w:eastAsia="Calibri"/>
          <w:sz w:val="26"/>
          <w:szCs w:val="26"/>
          <w:lang w:eastAsia="en-US"/>
        </w:rPr>
      </w:pPr>
      <w:r w:rsidRPr="00CB1853">
        <w:rPr>
          <w:rFonts w:eastAsia="Calibri"/>
          <w:sz w:val="26"/>
          <w:szCs w:val="26"/>
          <w:lang w:eastAsia="en-US"/>
        </w:rPr>
        <w:t>Administración del cupo por el exportador.</w:t>
      </w:r>
    </w:p>
    <w:p w14:paraId="154B54D9" w14:textId="77777777" w:rsidR="00CB1853" w:rsidRPr="00CB1853" w:rsidRDefault="00CB1853" w:rsidP="00CB1853">
      <w:pPr>
        <w:numPr>
          <w:ilvl w:val="0"/>
          <w:numId w:val="140"/>
        </w:numPr>
        <w:spacing w:after="360" w:line="360" w:lineRule="auto"/>
        <w:ind w:left="357" w:right="-159" w:hanging="357"/>
        <w:jc w:val="both"/>
        <w:rPr>
          <w:rFonts w:eastAsia="Calibri"/>
          <w:sz w:val="26"/>
          <w:szCs w:val="26"/>
          <w:lang w:eastAsia="en-US"/>
        </w:rPr>
      </w:pPr>
      <w:r w:rsidRPr="00CB1853">
        <w:rPr>
          <w:rFonts w:eastAsia="Calibri"/>
          <w:sz w:val="26"/>
          <w:szCs w:val="26"/>
          <w:lang w:eastAsia="en-US"/>
        </w:rPr>
        <w:t>Mantener el porcentaje de 35% en el contenido regional (regla de origen) de los vehículos para llegar al 40% en 2019.</w:t>
      </w:r>
    </w:p>
    <w:p w14:paraId="0602D6FC" w14:textId="77777777" w:rsidR="00CB1853" w:rsidRPr="00CB1853" w:rsidRDefault="00CB1853" w:rsidP="00CB1853">
      <w:pPr>
        <w:numPr>
          <w:ilvl w:val="0"/>
          <w:numId w:val="140"/>
        </w:numPr>
        <w:spacing w:after="360" w:line="360" w:lineRule="auto"/>
        <w:ind w:left="357" w:right="-159" w:hanging="357"/>
        <w:jc w:val="both"/>
        <w:rPr>
          <w:rFonts w:eastAsia="Calibri"/>
          <w:sz w:val="26"/>
          <w:szCs w:val="26"/>
          <w:lang w:eastAsia="en-US"/>
        </w:rPr>
      </w:pPr>
      <w:r w:rsidRPr="00CB1853">
        <w:rPr>
          <w:rFonts w:eastAsia="Calibri"/>
          <w:sz w:val="26"/>
          <w:szCs w:val="26"/>
          <w:lang w:eastAsia="en-US"/>
        </w:rPr>
        <w:t>Compromiso de regresar al libre comercio a partir del 19 de marzo de 2019.</w:t>
      </w:r>
    </w:p>
    <w:p w14:paraId="35FE4655" w14:textId="77777777" w:rsidR="00CB1853" w:rsidRPr="00CB1853" w:rsidRDefault="00CB1853" w:rsidP="00CB1853">
      <w:pPr>
        <w:spacing w:after="360" w:line="360" w:lineRule="auto"/>
        <w:ind w:right="-159"/>
        <w:jc w:val="both"/>
        <w:rPr>
          <w:rFonts w:eastAsia="Calibri"/>
          <w:sz w:val="26"/>
          <w:szCs w:val="26"/>
          <w:lang w:eastAsia="en-US"/>
        </w:rPr>
      </w:pPr>
      <w:r w:rsidRPr="00CB1853">
        <w:rPr>
          <w:rFonts w:eastAsia="Calibri"/>
          <w:sz w:val="26"/>
          <w:szCs w:val="26"/>
          <w:lang w:eastAsia="en-US"/>
        </w:rPr>
        <w:t>Este acuerdo es muestra de la voluntad y de la cercanía propiciada por los Gobiernos de México y Argentina durante la Administración del Presidente Enrique Peña Nieto y de la Presidenta Cristina Fernández de Kirchner con el objetivo de continuar impulsando a la industria automotriz de ambos países, en beneficio de una mayor integración productiva regional.</w:t>
      </w:r>
    </w:p>
    <w:p w14:paraId="76DCFAF9" w14:textId="77777777" w:rsidR="00CB1853" w:rsidRPr="00CB1853" w:rsidRDefault="00CB1853" w:rsidP="00CB1853">
      <w:pPr>
        <w:ind w:right="-159"/>
        <w:jc w:val="both"/>
        <w:rPr>
          <w:rFonts w:eastAsia="Calibri"/>
          <w:b/>
          <w:sz w:val="20"/>
          <w:szCs w:val="20"/>
          <w:lang w:eastAsia="en-US"/>
        </w:rPr>
      </w:pPr>
      <w:r w:rsidRPr="00CB1853">
        <w:rPr>
          <w:rFonts w:eastAsia="Calibri"/>
          <w:b/>
          <w:sz w:val="20"/>
          <w:szCs w:val="20"/>
          <w:lang w:eastAsia="en-US"/>
        </w:rPr>
        <w:t>Fuente de información:</w:t>
      </w:r>
    </w:p>
    <w:p w14:paraId="16952955" w14:textId="77777777" w:rsidR="00CB1853" w:rsidRPr="00917DC0" w:rsidRDefault="0093224F" w:rsidP="00CB1853">
      <w:pPr>
        <w:ind w:right="-159"/>
        <w:jc w:val="both"/>
        <w:rPr>
          <w:rFonts w:eastAsia="Calibri"/>
          <w:color w:val="0000FF"/>
          <w:sz w:val="20"/>
          <w:szCs w:val="20"/>
          <w:u w:val="single"/>
          <w:lang w:eastAsia="en-US"/>
        </w:rPr>
      </w:pPr>
      <w:hyperlink r:id="rId221" w:history="1">
        <w:r w:rsidR="00CB1853" w:rsidRPr="00917DC0">
          <w:rPr>
            <w:rFonts w:eastAsia="Calibri"/>
            <w:color w:val="0000FF"/>
            <w:sz w:val="20"/>
            <w:szCs w:val="20"/>
            <w:u w:val="single"/>
            <w:lang w:eastAsia="en-US"/>
          </w:rPr>
          <w:t>http://www.economia.gob.mx/eventos-noticias/sala-de-prensa/comunicados/10945-comunicado15-023</w:t>
        </w:r>
      </w:hyperlink>
    </w:p>
    <w:p w14:paraId="735F538E" w14:textId="77777777" w:rsidR="00CB1853" w:rsidRPr="00917DC0" w:rsidRDefault="0093224F" w:rsidP="00CB1853">
      <w:pPr>
        <w:ind w:right="-159"/>
        <w:jc w:val="both"/>
        <w:rPr>
          <w:rFonts w:eastAsia="Calibri"/>
          <w:color w:val="0000FF"/>
          <w:sz w:val="20"/>
          <w:szCs w:val="20"/>
          <w:u w:val="single"/>
          <w:lang w:eastAsia="en-US"/>
        </w:rPr>
      </w:pPr>
      <w:hyperlink r:id="rId222" w:history="1">
        <w:r w:rsidR="00CB1853" w:rsidRPr="00917DC0">
          <w:rPr>
            <w:rFonts w:eastAsia="Calibri"/>
            <w:color w:val="0000FF"/>
            <w:sz w:val="20"/>
            <w:szCs w:val="20"/>
            <w:u w:val="single"/>
            <w:lang w:eastAsia="en-US"/>
          </w:rPr>
          <w:t>http://www.inegi.org.mx/sistemas/bie/</w:t>
        </w:r>
      </w:hyperlink>
    </w:p>
    <w:p w14:paraId="2B1558D6" w14:textId="77777777" w:rsidR="00CB1853" w:rsidRPr="00917DC0" w:rsidRDefault="00CB1853" w:rsidP="00CB1853">
      <w:pPr>
        <w:ind w:right="-159"/>
        <w:jc w:val="both"/>
        <w:rPr>
          <w:rFonts w:eastAsia="Calibri"/>
          <w:sz w:val="20"/>
          <w:szCs w:val="20"/>
          <w:u w:val="single"/>
          <w:lang w:eastAsia="en-US"/>
        </w:rPr>
      </w:pPr>
      <w:r w:rsidRPr="00917DC0">
        <w:rPr>
          <w:rFonts w:eastAsia="Calibri"/>
          <w:sz w:val="20"/>
          <w:szCs w:val="20"/>
          <w:u w:val="single"/>
          <w:lang w:eastAsia="en-US"/>
        </w:rPr>
        <w:t>Para tener acceso a información relacionada visite:</w:t>
      </w:r>
    </w:p>
    <w:p w14:paraId="6CFDD318" w14:textId="77777777" w:rsidR="00CB1853" w:rsidRPr="00917DC0" w:rsidRDefault="0093224F" w:rsidP="00CB1853">
      <w:pPr>
        <w:ind w:right="-159"/>
        <w:jc w:val="both"/>
        <w:rPr>
          <w:rFonts w:eastAsia="Calibri"/>
          <w:color w:val="0000FF"/>
          <w:sz w:val="20"/>
          <w:szCs w:val="20"/>
          <w:u w:val="single"/>
          <w:lang w:eastAsia="en-US"/>
        </w:rPr>
      </w:pPr>
      <w:hyperlink r:id="rId223" w:history="1">
        <w:r w:rsidR="00CB1853" w:rsidRPr="00917DC0">
          <w:rPr>
            <w:rFonts w:eastAsia="Calibri"/>
            <w:color w:val="0000FF"/>
            <w:sz w:val="20"/>
            <w:szCs w:val="20"/>
            <w:u w:val="single"/>
            <w:lang w:eastAsia="en-US"/>
          </w:rPr>
          <w:t>http://www.economia.gob.mx/eventos-noticias/sala-de-prensa/comunicados/10898-comunicado15-012</w:t>
        </w:r>
      </w:hyperlink>
    </w:p>
    <w:p w14:paraId="60983940" w14:textId="77777777" w:rsidR="00CB1853" w:rsidRPr="00CB1853" w:rsidRDefault="00CB1853" w:rsidP="00CB1853">
      <w:pPr>
        <w:spacing w:after="360" w:line="360" w:lineRule="auto"/>
        <w:ind w:right="-159"/>
        <w:jc w:val="both"/>
        <w:rPr>
          <w:rFonts w:eastAsia="Calibri"/>
          <w:sz w:val="26"/>
          <w:szCs w:val="26"/>
          <w:lang w:eastAsia="en-US"/>
        </w:rPr>
      </w:pPr>
    </w:p>
    <w:p w14:paraId="07E38125" w14:textId="77777777" w:rsidR="00CB1853" w:rsidRDefault="00CB1853" w:rsidP="00AE77EA">
      <w:pPr>
        <w:spacing w:after="360" w:line="360" w:lineRule="auto"/>
        <w:ind w:right="-159"/>
        <w:jc w:val="both"/>
        <w:rPr>
          <w:rFonts w:eastAsia="Times New Roman"/>
          <w:sz w:val="26"/>
          <w:szCs w:val="26"/>
          <w:lang w:val="es-ES"/>
        </w:rPr>
      </w:pPr>
    </w:p>
    <w:p w14:paraId="6B88B162" w14:textId="77777777" w:rsidR="00CB3D67" w:rsidRPr="00CB3D67" w:rsidRDefault="00CB3D67" w:rsidP="00CB3D67">
      <w:pPr>
        <w:spacing w:after="360" w:line="360" w:lineRule="auto"/>
        <w:ind w:right="-159"/>
        <w:jc w:val="both"/>
        <w:rPr>
          <w:rFonts w:eastAsia="Calibri"/>
          <w:b/>
          <w:sz w:val="26"/>
          <w:szCs w:val="26"/>
          <w:lang w:eastAsia="en-US"/>
        </w:rPr>
      </w:pPr>
      <w:r w:rsidRPr="00CB3D67">
        <w:rPr>
          <w:rFonts w:eastAsia="Calibri"/>
          <w:b/>
          <w:sz w:val="26"/>
          <w:szCs w:val="26"/>
          <w:lang w:eastAsia="en-US"/>
        </w:rPr>
        <w:lastRenderedPageBreak/>
        <w:t>Calidad de Vida Internacional 2015 (Mercer)</w:t>
      </w:r>
    </w:p>
    <w:p w14:paraId="7609F4DC" w14:textId="77777777" w:rsidR="00CB3D67" w:rsidRPr="00CB3D67" w:rsidRDefault="00CB3D67" w:rsidP="00CB3D67">
      <w:pPr>
        <w:spacing w:after="360" w:line="360" w:lineRule="auto"/>
        <w:ind w:right="-159"/>
        <w:jc w:val="both"/>
        <w:rPr>
          <w:rFonts w:eastAsia="Calibri"/>
          <w:sz w:val="26"/>
          <w:szCs w:val="26"/>
          <w:lang w:eastAsia="en-US"/>
        </w:rPr>
      </w:pPr>
      <w:r w:rsidRPr="00CB3D67">
        <w:rPr>
          <w:rFonts w:eastAsia="Calibri"/>
          <w:sz w:val="26"/>
          <w:szCs w:val="26"/>
          <w:lang w:eastAsia="en-US"/>
        </w:rPr>
        <w:t>El 4 de marzo de 2015, la consultora global Mercer publicó el artículo “Calidad de Vida Internacional 2015”. A continuación se presenta el contenido.</w:t>
      </w:r>
    </w:p>
    <w:p w14:paraId="77038A4A" w14:textId="6DD63480" w:rsidR="00CB3D67" w:rsidRPr="00CB3D67" w:rsidRDefault="00CB3D67" w:rsidP="00CB3D67">
      <w:pPr>
        <w:spacing w:after="360" w:line="360" w:lineRule="auto"/>
        <w:ind w:right="-159"/>
        <w:jc w:val="both"/>
        <w:rPr>
          <w:rFonts w:eastAsia="Calibri"/>
          <w:sz w:val="26"/>
          <w:szCs w:val="26"/>
          <w:lang w:eastAsia="en-US"/>
        </w:rPr>
      </w:pPr>
      <w:r w:rsidRPr="00CB3D67">
        <w:rPr>
          <w:rFonts w:eastAsia="Calibri"/>
          <w:sz w:val="26"/>
          <w:szCs w:val="26"/>
          <w:lang w:eastAsia="en-US"/>
        </w:rPr>
        <w:t xml:space="preserve">Viena es la ciudad con la mejor Calidad de Vida del mundo, según la clasificación de Calidad de Vida 2015 de Mercer. Como ha ocurrido en años anteriores, las metrópolis europeas en general siguen dominando los primeros puestos, junto con las principales ciudades de Australia y Nueva Zelanda. Zúrich, Auckland y Múnich se sitúan en el segundo, tercer y cuarto puesto, respectivamente. En el quinto lugar, Vancouver es la ciudad de América del Norte que ocupa el lugar más alto de la clasificación y la única de la región que se ubica entre los 10 primeros.  </w:t>
      </w:r>
    </w:p>
    <w:p w14:paraId="5DDD2826" w14:textId="77777777" w:rsidR="00CB3D67" w:rsidRPr="00CB3D67" w:rsidRDefault="00CB3D67" w:rsidP="00CB3D67">
      <w:pPr>
        <w:spacing w:after="360" w:line="360" w:lineRule="auto"/>
        <w:ind w:right="-159"/>
        <w:jc w:val="both"/>
        <w:rPr>
          <w:rFonts w:eastAsia="Calibri"/>
          <w:sz w:val="26"/>
          <w:szCs w:val="26"/>
          <w:lang w:eastAsia="en-US"/>
        </w:rPr>
      </w:pPr>
      <w:r w:rsidRPr="00CB3D67">
        <w:rPr>
          <w:rFonts w:eastAsia="Calibri"/>
          <w:sz w:val="26"/>
          <w:szCs w:val="26"/>
          <w:lang w:eastAsia="en-US"/>
        </w:rPr>
        <w:t>En Asia, Singapur (26) es la ciudad asiática que tiene el puesto más alto de la clasificación, mientras que Dubái (74) se sitúa en el primer puesto en todo Medio Oriente y África. Por otro lado, en Latinoamérica, Uruguay, Montevideo (78) se lleva el primer lugar y Puerto Príncipe, Haití en la posición más baja de la región (228).</w:t>
      </w:r>
    </w:p>
    <w:p w14:paraId="085A2FF8" w14:textId="77777777" w:rsidR="00CB3D67" w:rsidRPr="00CB3D67" w:rsidRDefault="00CB3D67" w:rsidP="00CB3D67">
      <w:pPr>
        <w:spacing w:after="360" w:line="360" w:lineRule="auto"/>
        <w:ind w:right="-159"/>
        <w:jc w:val="both"/>
        <w:rPr>
          <w:rFonts w:eastAsia="Calibri"/>
          <w:sz w:val="26"/>
          <w:szCs w:val="26"/>
          <w:lang w:eastAsia="en-US"/>
        </w:rPr>
      </w:pPr>
      <w:r w:rsidRPr="00CB3D67">
        <w:rPr>
          <w:rFonts w:eastAsia="Calibri"/>
          <w:sz w:val="26"/>
          <w:szCs w:val="26"/>
          <w:lang w:eastAsia="en-US"/>
        </w:rPr>
        <w:t>Mercer lleva a cabo su Encuesta de Calidad de Vida todos los años para ayudar a las compañías multinacionales y demás empleadores a compensar los diferenciales del nivel de vida de sus trabajadores de manera equitativa, al ser transferidos al exterior. Existen dos incentivos comunes que incluyen el subsidio a la calidad de vida y la prima por movilidad</w:t>
      </w:r>
      <w:r w:rsidRPr="00CB3D67">
        <w:rPr>
          <w:rFonts w:eastAsia="Calibri"/>
          <w:sz w:val="26"/>
          <w:szCs w:val="26"/>
          <w:vertAlign w:val="superscript"/>
          <w:lang w:eastAsia="en-US"/>
        </w:rPr>
        <w:footnoteReference w:id="80"/>
      </w:r>
      <w:r w:rsidRPr="00CB3D67">
        <w:rPr>
          <w:rFonts w:eastAsia="Calibri"/>
          <w:sz w:val="26"/>
          <w:szCs w:val="26"/>
          <w:lang w:eastAsia="en-US"/>
        </w:rPr>
        <w:t>. Los informes de Calidad de Vida de Mercer brindan información valiosa y recomendaciones sobre la prima de expatriación para más de 440 ciudades en todo el mundo, cubriendo 230 de esas localidades con esta clasificación.</w:t>
      </w:r>
    </w:p>
    <w:p w14:paraId="06EF01BB" w14:textId="77777777" w:rsidR="00CB3D67" w:rsidRPr="00CB3D67" w:rsidRDefault="00CB3D67" w:rsidP="00CB3D67">
      <w:pPr>
        <w:spacing w:after="360" w:line="360" w:lineRule="auto"/>
        <w:ind w:right="-159"/>
        <w:jc w:val="both"/>
        <w:rPr>
          <w:rFonts w:eastAsia="Calibri"/>
          <w:sz w:val="26"/>
          <w:szCs w:val="26"/>
          <w:lang w:eastAsia="en-US"/>
        </w:rPr>
      </w:pPr>
      <w:r w:rsidRPr="00CB3D67">
        <w:rPr>
          <w:rFonts w:eastAsia="Calibri"/>
          <w:sz w:val="26"/>
          <w:szCs w:val="26"/>
          <w:lang w:eastAsia="en-US"/>
        </w:rPr>
        <w:lastRenderedPageBreak/>
        <w:t>“Las asignaciones de trabajo a corto o largo plazo en un nuevo país son una experiencia emocionante y, al mismo tiempo, suponen un desafío para los empleados y sus familias”, afirma el director de Mercer.</w:t>
      </w:r>
    </w:p>
    <w:p w14:paraId="1A222519" w14:textId="77777777" w:rsidR="00CB3D67" w:rsidRPr="00CB3D67" w:rsidRDefault="00CB3D67" w:rsidP="00CB3D67">
      <w:pPr>
        <w:spacing w:after="360" w:line="360" w:lineRule="auto"/>
        <w:ind w:right="-159"/>
        <w:jc w:val="both"/>
        <w:rPr>
          <w:rFonts w:eastAsia="Calibri"/>
          <w:sz w:val="26"/>
          <w:szCs w:val="26"/>
          <w:lang w:eastAsia="en-US"/>
        </w:rPr>
      </w:pPr>
      <w:r w:rsidRPr="00CB3D67">
        <w:rPr>
          <w:rFonts w:eastAsia="Calibri"/>
          <w:sz w:val="26"/>
          <w:szCs w:val="26"/>
          <w:lang w:eastAsia="en-US"/>
        </w:rPr>
        <w:t>Y agregó: “Al igual que en la encuesta del año pasado, seguimos identificando algunas ciudades emergentes que compiten cada vez más con los centros financieros y de negocios tradicionales. Estas metrópolis denominadas ciudades emergentes de segundo nivel’, están invirtiendo especialmente en infraestructura para mejorar sus niveles de calidad de vida y, en última instancia, atraer a una mayor cantidad de compañías extranjeras”.</w:t>
      </w:r>
    </w:p>
    <w:p w14:paraId="2AF5F278" w14:textId="77777777" w:rsidR="00CB3D67" w:rsidRPr="00CB3D67" w:rsidRDefault="00CB3D67" w:rsidP="00CB3D67">
      <w:pPr>
        <w:spacing w:after="360" w:line="360" w:lineRule="auto"/>
        <w:ind w:right="-159"/>
        <w:jc w:val="both"/>
        <w:rPr>
          <w:rFonts w:eastAsia="Calibri"/>
          <w:b/>
          <w:sz w:val="26"/>
          <w:szCs w:val="26"/>
          <w:lang w:eastAsia="en-US"/>
        </w:rPr>
      </w:pPr>
      <w:r w:rsidRPr="00CB3D67">
        <w:rPr>
          <w:rFonts w:eastAsia="Calibri"/>
          <w:b/>
          <w:sz w:val="26"/>
          <w:szCs w:val="26"/>
          <w:lang w:eastAsia="en-US"/>
        </w:rPr>
        <w:t>América</w:t>
      </w:r>
    </w:p>
    <w:p w14:paraId="3863BCE3" w14:textId="77777777" w:rsidR="00CB3D67" w:rsidRPr="00CB3D67" w:rsidRDefault="00CB3D67" w:rsidP="00CB3D67">
      <w:pPr>
        <w:spacing w:after="360" w:line="360" w:lineRule="auto"/>
        <w:ind w:right="-159"/>
        <w:jc w:val="both"/>
        <w:rPr>
          <w:rFonts w:eastAsia="Calibri"/>
          <w:sz w:val="26"/>
          <w:szCs w:val="26"/>
          <w:lang w:eastAsia="en-US"/>
        </w:rPr>
      </w:pPr>
      <w:r w:rsidRPr="00CB3D67">
        <w:rPr>
          <w:rFonts w:eastAsia="Calibri"/>
          <w:sz w:val="26"/>
          <w:szCs w:val="26"/>
          <w:lang w:eastAsia="en-US"/>
        </w:rPr>
        <w:t>En América del Norte, tanto Canadá como Estados Unidos de Norteamérica continúan ofreciendo un alto nivel de vida. Vancouver (5) encabeza la lista de esta región, seguida por las ciudades canadienses de Toronto (15) y Ottawa (16), mientras que San Francisco (27), Boston (34) y Honolulu (36) ocupan los primeros puestos en Estados Unidos de Norteamérica. Las localidades de la región de América del Norte que ocupan los lugares más bajos son La Habana (193) y Puerto Príncipe (228).</w:t>
      </w:r>
    </w:p>
    <w:p w14:paraId="65521B64" w14:textId="77777777" w:rsidR="00CB3D67" w:rsidRPr="00CB3D67" w:rsidRDefault="00CB3D67" w:rsidP="00CB3D67">
      <w:pPr>
        <w:spacing w:after="360" w:line="360" w:lineRule="auto"/>
        <w:ind w:right="-159"/>
        <w:jc w:val="both"/>
        <w:rPr>
          <w:rFonts w:eastAsia="Calibri"/>
          <w:sz w:val="26"/>
          <w:szCs w:val="26"/>
          <w:lang w:eastAsia="en-US"/>
        </w:rPr>
      </w:pPr>
      <w:r w:rsidRPr="00CB3D67">
        <w:rPr>
          <w:rFonts w:eastAsia="Calibri"/>
          <w:sz w:val="26"/>
          <w:szCs w:val="26"/>
          <w:lang w:eastAsia="en-US"/>
        </w:rPr>
        <w:t>En Sudamérica, Montevideo (78), Buenos Aires (91) y Santiago (93) se ubican en los puestos más altos de la clasificación, mientras que La Paz (156) y Caracas (179) ocupan los más bajos. En Brasil, Mercer ha identificado a Manaos como una ciudad emergente, situada en el lugar 127, al ser ya un próspero centro industrial y poseer una zona de libre comercio; asimismo, su amplia oferta de bienes de consumo y su infraestructura relativamente avanzada contrarrestan parcialmente los efectos de la falta de opciones de enseñanza internacional para expatriados y su ubicación remota.</w:t>
      </w:r>
    </w:p>
    <w:p w14:paraId="19F1BDBF" w14:textId="77777777" w:rsidR="00CB3D67" w:rsidRPr="00CB3D67" w:rsidRDefault="00CB3D67" w:rsidP="00CB3D67">
      <w:pPr>
        <w:spacing w:after="360" w:line="360" w:lineRule="auto"/>
        <w:ind w:right="-159"/>
        <w:jc w:val="both"/>
        <w:rPr>
          <w:rFonts w:eastAsia="Calibri"/>
          <w:sz w:val="26"/>
          <w:szCs w:val="26"/>
          <w:lang w:eastAsia="en-US"/>
        </w:rPr>
      </w:pPr>
      <w:r w:rsidRPr="00CB3D67">
        <w:rPr>
          <w:rFonts w:eastAsia="Calibri"/>
          <w:sz w:val="26"/>
          <w:szCs w:val="26"/>
          <w:lang w:eastAsia="en-US"/>
        </w:rPr>
        <w:t xml:space="preserve">En América Latina, encontramos que en Buenos Aires ha logrado mantenerse dentro de los cinco primeros lugares de la Región, a pesar de que la turbulencia económica ha </w:t>
      </w:r>
      <w:r w:rsidRPr="00CB3D67">
        <w:rPr>
          <w:rFonts w:eastAsia="Calibri"/>
          <w:sz w:val="26"/>
          <w:szCs w:val="26"/>
          <w:lang w:eastAsia="en-US"/>
        </w:rPr>
        <w:lastRenderedPageBreak/>
        <w:t>impactado de manera negativa algunos criterios, como la dificultad de encontrar bienes de consumo importados. El nivel de desempleo también ha contribuido a incrementar la inestabilidad por lo tanto tuvo un importante reposicionamiento a la baja en la clasificación global.</w:t>
      </w:r>
    </w:p>
    <w:p w14:paraId="6A0909DF" w14:textId="25DC60E0" w:rsidR="00CB3D67" w:rsidRPr="00CB3D67" w:rsidRDefault="00CB3D67" w:rsidP="00CB3D67">
      <w:pPr>
        <w:spacing w:after="360" w:line="360" w:lineRule="auto"/>
        <w:ind w:right="-159"/>
        <w:jc w:val="both"/>
        <w:rPr>
          <w:rFonts w:eastAsia="Calibri"/>
          <w:sz w:val="26"/>
          <w:szCs w:val="26"/>
          <w:lang w:eastAsia="en-US"/>
        </w:rPr>
      </w:pPr>
      <w:r w:rsidRPr="00CB3D67">
        <w:rPr>
          <w:rFonts w:eastAsia="Calibri"/>
          <w:sz w:val="26"/>
          <w:szCs w:val="26"/>
          <w:lang w:eastAsia="en-US"/>
        </w:rPr>
        <w:t>Por otro lado</w:t>
      </w:r>
      <w:r w:rsidR="00D2103B">
        <w:rPr>
          <w:rFonts w:eastAsia="Calibri"/>
          <w:sz w:val="26"/>
          <w:szCs w:val="26"/>
          <w:lang w:eastAsia="en-US"/>
        </w:rPr>
        <w:t>,</w:t>
      </w:r>
      <w:r w:rsidRPr="00CB3D67">
        <w:rPr>
          <w:rFonts w:eastAsia="Calibri"/>
          <w:sz w:val="26"/>
          <w:szCs w:val="26"/>
          <w:lang w:eastAsia="en-US"/>
        </w:rPr>
        <w:t xml:space="preserve"> Caracas ha atravesado por tiempos muy adversos en los últimos años. La carencia de alimentos y el aumento de los niveles de criminalidad así como la alta inflación ha</w:t>
      </w:r>
      <w:r w:rsidR="00D2103B">
        <w:rPr>
          <w:rFonts w:eastAsia="Calibri"/>
          <w:sz w:val="26"/>
          <w:szCs w:val="26"/>
          <w:lang w:eastAsia="en-US"/>
        </w:rPr>
        <w:t>n</w:t>
      </w:r>
      <w:r w:rsidRPr="00CB3D67">
        <w:rPr>
          <w:rFonts w:eastAsia="Calibri"/>
          <w:sz w:val="26"/>
          <w:szCs w:val="26"/>
          <w:lang w:eastAsia="en-US"/>
        </w:rPr>
        <w:t xml:space="preserve"> provocado una serie de manifestaciones en los últimos tiempos. Esto se ve reflejado en una reducción de la calificación en diversos factores de Calidad de Vida como alimentos, productos de consumo diario, automóviles, regulaciones de tipos cambiarios e insumos médicos.</w:t>
      </w:r>
    </w:p>
    <w:p w14:paraId="77CCA6C5" w14:textId="77777777" w:rsidR="00CB3D67" w:rsidRPr="00CB3D67" w:rsidRDefault="00CB3D67" w:rsidP="00CB3D67">
      <w:pPr>
        <w:spacing w:after="360" w:line="360" w:lineRule="auto"/>
        <w:ind w:right="-159"/>
        <w:jc w:val="both"/>
        <w:rPr>
          <w:rFonts w:eastAsia="Calibri"/>
          <w:sz w:val="26"/>
          <w:szCs w:val="26"/>
          <w:lang w:eastAsia="en-US"/>
        </w:rPr>
      </w:pPr>
      <w:r w:rsidRPr="00CB3D67">
        <w:rPr>
          <w:rFonts w:eastAsia="Calibri"/>
          <w:sz w:val="26"/>
          <w:szCs w:val="26"/>
          <w:lang w:eastAsia="en-US"/>
        </w:rPr>
        <w:t>Con respecto a la ciudad de Monterrey, el rubro de censura a los medios decreció lo que la llevó a reposicionarse.</w:t>
      </w:r>
    </w:p>
    <w:p w14:paraId="0126CFF4" w14:textId="77777777" w:rsidR="00CB3D67" w:rsidRPr="00CB3D67" w:rsidRDefault="00CB3D67" w:rsidP="00CB3D67">
      <w:pPr>
        <w:spacing w:after="360" w:line="360" w:lineRule="auto"/>
        <w:ind w:right="-159"/>
        <w:jc w:val="both"/>
        <w:rPr>
          <w:rFonts w:eastAsia="Calibri"/>
          <w:sz w:val="26"/>
          <w:szCs w:val="26"/>
          <w:lang w:eastAsia="en-US"/>
        </w:rPr>
      </w:pPr>
      <w:r w:rsidRPr="00CB3D67">
        <w:rPr>
          <w:rFonts w:eastAsia="Calibri"/>
          <w:sz w:val="26"/>
          <w:szCs w:val="26"/>
          <w:lang w:eastAsia="en-US"/>
        </w:rPr>
        <w:t>“Algo adicional a considerar es que las ciudades pueden subir o bajar de la clasificación global debido a la inclusión de nuevas ciudades así como al reposicionamiento de las demás ciudades incluidas en la clasificación”, señaló la líder de Movilidad de Empleados de Mercer Latinoamérica.</w:t>
      </w:r>
    </w:p>
    <w:p w14:paraId="490464D5" w14:textId="77777777" w:rsidR="00CB3D67" w:rsidRDefault="00CB3D67" w:rsidP="00CB3D67">
      <w:pPr>
        <w:spacing w:after="360" w:line="360" w:lineRule="auto"/>
        <w:ind w:right="-159"/>
        <w:jc w:val="both"/>
        <w:rPr>
          <w:rFonts w:eastAsia="Calibri"/>
          <w:sz w:val="26"/>
          <w:szCs w:val="26"/>
          <w:lang w:eastAsia="en-US"/>
        </w:rPr>
      </w:pPr>
      <w:r w:rsidRPr="00CB3D67">
        <w:rPr>
          <w:rFonts w:eastAsia="Calibri"/>
          <w:sz w:val="26"/>
          <w:szCs w:val="26"/>
          <w:lang w:eastAsia="en-US"/>
        </w:rPr>
        <w:t>“Las culturas, las sociedades y los climas comparativamente diferentes, así como la inestabilidad política, los altos niveles de delincuencia y la falta de infraestructura pueden dificultar el establecimiento de los empleados y sus familias en otro país. Los empleadores deben evaluar si su personal y sus familias enfrentarán una pérdida de calidad de vida al trasladarse al exterior y garantizar que reciban una compensación justa por ello”, concluyó la ejecutiva de Mercer.</w:t>
      </w:r>
    </w:p>
    <w:p w14:paraId="411F0CE1" w14:textId="77777777" w:rsidR="00917DC0" w:rsidRDefault="00917DC0" w:rsidP="00CB3D67">
      <w:pPr>
        <w:spacing w:after="360" w:line="360" w:lineRule="auto"/>
        <w:ind w:right="-159"/>
        <w:jc w:val="both"/>
        <w:rPr>
          <w:rFonts w:eastAsia="Calibri"/>
          <w:sz w:val="26"/>
          <w:szCs w:val="26"/>
          <w:lang w:eastAsia="en-US"/>
        </w:rPr>
      </w:pPr>
    </w:p>
    <w:p w14:paraId="5F3DE928" w14:textId="77777777" w:rsidR="00917DC0" w:rsidRPr="00CB3D67" w:rsidRDefault="00917DC0" w:rsidP="00CB3D67">
      <w:pPr>
        <w:spacing w:after="360" w:line="360" w:lineRule="auto"/>
        <w:ind w:right="-159"/>
        <w:jc w:val="both"/>
        <w:rPr>
          <w:rFonts w:eastAsia="Calibri"/>
          <w:sz w:val="26"/>
          <w:szCs w:val="26"/>
          <w:lang w:eastAsia="en-US"/>
        </w:rPr>
      </w:pPr>
    </w:p>
    <w:p w14:paraId="489D2B20" w14:textId="77777777" w:rsidR="00CB3D67" w:rsidRPr="00CB3D67" w:rsidRDefault="00CB3D67" w:rsidP="00CB3D67">
      <w:pPr>
        <w:spacing w:after="360" w:line="360" w:lineRule="auto"/>
        <w:ind w:right="-159"/>
        <w:jc w:val="both"/>
        <w:rPr>
          <w:rFonts w:eastAsia="Calibri"/>
          <w:b/>
          <w:sz w:val="26"/>
          <w:szCs w:val="26"/>
          <w:lang w:eastAsia="en-US"/>
        </w:rPr>
      </w:pPr>
      <w:r w:rsidRPr="00CB3D67">
        <w:rPr>
          <w:rFonts w:eastAsia="Calibri"/>
          <w:b/>
          <w:sz w:val="26"/>
          <w:szCs w:val="26"/>
          <w:lang w:eastAsia="en-US"/>
        </w:rPr>
        <w:lastRenderedPageBreak/>
        <w:t>Europa</w:t>
      </w:r>
    </w:p>
    <w:p w14:paraId="508C5792" w14:textId="77777777" w:rsidR="00CB3D67" w:rsidRPr="00CB3D67" w:rsidRDefault="00CB3D67" w:rsidP="00CB3D67">
      <w:pPr>
        <w:spacing w:after="360" w:line="360" w:lineRule="auto"/>
        <w:ind w:right="-159"/>
        <w:jc w:val="both"/>
        <w:rPr>
          <w:rFonts w:eastAsia="Calibri"/>
          <w:sz w:val="26"/>
          <w:szCs w:val="26"/>
          <w:lang w:eastAsia="en-US"/>
        </w:rPr>
      </w:pPr>
      <w:r w:rsidRPr="00CB3D67">
        <w:rPr>
          <w:rFonts w:eastAsia="Calibri"/>
          <w:sz w:val="26"/>
          <w:szCs w:val="26"/>
          <w:lang w:eastAsia="en-US"/>
        </w:rPr>
        <w:t>A pesar de las preocupaciones acerca del crecimiento económico, las ciudades de Europa Occidental continúan ofreciendo un entorno estable para empleados y empleadores. Viena (1) es seguida por Zúrich (2), Múnich (4), Düsseldorf (6) y Frankfurt (7). Con Ginebra y Copenhague en octavo y noveno lugar, respectivamente, las de Europa Occidental ocupan siete lugares entre los primeros 10. Metrópolis de Europa Occidental que se ubican en los puestos más bajos son Belfast (63) y Atenas (85). Las urbes de Europa Central y Oriental presentan una mayor variedad de niveles de calidad de vida; las que ocupan los primeros puestos de la</w:t>
      </w:r>
      <w:r w:rsidRPr="00CB3D67">
        <w:rPr>
          <w:rFonts w:ascii="Calibri" w:eastAsia="Calibri" w:hAnsi="Calibri"/>
          <w:sz w:val="22"/>
          <w:szCs w:val="22"/>
          <w:lang w:eastAsia="en-US"/>
        </w:rPr>
        <w:t xml:space="preserve"> </w:t>
      </w:r>
      <w:r w:rsidRPr="00CB3D67">
        <w:rPr>
          <w:rFonts w:eastAsia="Calibri"/>
          <w:sz w:val="26"/>
          <w:szCs w:val="26"/>
          <w:lang w:eastAsia="en-US"/>
        </w:rPr>
        <w:t>clasificación son Praga (68), Budapest y Liubliana (ambas en el 75). La ciudad emergente de Wroclaw (100), en Polonia, tiene un próspero ambiente cultural y social, así como una amplia disponibilidad de bienes de consumo. Las que se ubican en los puestos más bajos en la región son Kiev (176), Tirana (180) y Minsk (189), donde Kiev experimenta un descenso considerable en la clasificación como consecuencia de la inestabilidad política y la violencia que se vive en Ucrania en general.</w:t>
      </w:r>
    </w:p>
    <w:p w14:paraId="330859ED" w14:textId="77777777" w:rsidR="00CB3D67" w:rsidRPr="00CB3D67" w:rsidRDefault="00CB3D67" w:rsidP="00CB3D67">
      <w:pPr>
        <w:spacing w:after="360" w:line="360" w:lineRule="auto"/>
        <w:ind w:right="-159"/>
        <w:jc w:val="both"/>
        <w:rPr>
          <w:rFonts w:eastAsia="Calibri"/>
          <w:sz w:val="26"/>
          <w:szCs w:val="26"/>
          <w:lang w:eastAsia="en-US"/>
        </w:rPr>
      </w:pPr>
      <w:r w:rsidRPr="00CB3D67">
        <w:rPr>
          <w:rFonts w:eastAsia="Calibri"/>
          <w:sz w:val="26"/>
          <w:szCs w:val="26"/>
          <w:lang w:eastAsia="en-US"/>
        </w:rPr>
        <w:t>En el Reino Unido, Londres (40) es la ciudad que ocupa el lugar más alto de la clasificación, seguida por Birmingham (52), Glasgow (55), Aberdeen (57) y Belfast (63).</w:t>
      </w:r>
    </w:p>
    <w:p w14:paraId="626EA36D" w14:textId="77777777" w:rsidR="00CB3D67" w:rsidRPr="00CB3D67" w:rsidRDefault="00CB3D67" w:rsidP="00CB3D67">
      <w:pPr>
        <w:spacing w:after="360" w:line="360" w:lineRule="auto"/>
        <w:ind w:right="-159"/>
        <w:jc w:val="both"/>
        <w:rPr>
          <w:rFonts w:eastAsia="Calibri"/>
          <w:b/>
          <w:sz w:val="26"/>
          <w:szCs w:val="26"/>
          <w:lang w:eastAsia="en-US"/>
        </w:rPr>
      </w:pPr>
      <w:r w:rsidRPr="00CB3D67">
        <w:rPr>
          <w:rFonts w:eastAsia="Calibri"/>
          <w:b/>
          <w:sz w:val="26"/>
          <w:szCs w:val="26"/>
          <w:lang w:eastAsia="en-US"/>
        </w:rPr>
        <w:t>Asia-Pacífico</w:t>
      </w:r>
    </w:p>
    <w:p w14:paraId="49806DA1" w14:textId="77777777" w:rsidR="00CB3D67" w:rsidRPr="00CB3D67" w:rsidRDefault="00CB3D67" w:rsidP="00CB3D67">
      <w:pPr>
        <w:spacing w:after="360" w:line="360" w:lineRule="auto"/>
        <w:ind w:right="-159"/>
        <w:jc w:val="both"/>
        <w:rPr>
          <w:rFonts w:eastAsia="Calibri"/>
          <w:sz w:val="26"/>
          <w:szCs w:val="26"/>
          <w:lang w:eastAsia="en-US"/>
        </w:rPr>
      </w:pPr>
      <w:r w:rsidRPr="00CB3D67">
        <w:rPr>
          <w:rFonts w:eastAsia="Calibri"/>
          <w:sz w:val="26"/>
          <w:szCs w:val="26"/>
          <w:lang w:eastAsia="en-US"/>
        </w:rPr>
        <w:t xml:space="preserve">Asia es la región que posee la mayor variedad de niveles de calidad de vida, donde la ciudad que ocupa el puesto más alto de la clasificación es Singapur (26) y la que se sitúa en el puesto más bajo es Dusambé (214), en Tayikistán. Encabezando el listado entre las ciudades del este asiático se encuentran Tokio, en el puesto 44, y otras ciudades importantes incluyen a Hong Kong (70), Seúl (72), Taipéi (83), Shanghái (101) y Beijing (118). Entre las emergentes más notables en esta parte de Asia podemos mencionar a Cheonan (98), Corea del Sur, y Taichung (99) en Taiwán. En China, Xi'an </w:t>
      </w:r>
      <w:r w:rsidRPr="00CB3D67">
        <w:rPr>
          <w:rFonts w:eastAsia="Calibri"/>
          <w:sz w:val="26"/>
          <w:szCs w:val="26"/>
          <w:lang w:eastAsia="en-US"/>
        </w:rPr>
        <w:lastRenderedPageBreak/>
        <w:t>y Chongqing (ambas en el puesto 142) también se están convirtiendo en destinos de negocios. Sus principales retos para mejorar los niveles de calidad de vida son el suministro de agua potable y la contaminación atmosférica. Sin embargo, los avances en las telecomunicaciones y en los sectores de consumo han tenido algunos efectos compensatorios positivos en su posición en la clasificación.</w:t>
      </w:r>
    </w:p>
    <w:p w14:paraId="5EFA9BF1" w14:textId="77777777" w:rsidR="00CB3D67" w:rsidRPr="00CB3D67" w:rsidRDefault="00CB3D67" w:rsidP="00CB3D67">
      <w:pPr>
        <w:spacing w:after="360" w:line="360" w:lineRule="auto"/>
        <w:ind w:right="-159"/>
        <w:jc w:val="both"/>
        <w:rPr>
          <w:rFonts w:eastAsia="Calibri"/>
          <w:sz w:val="26"/>
          <w:szCs w:val="26"/>
          <w:lang w:eastAsia="en-US"/>
        </w:rPr>
      </w:pPr>
      <w:r w:rsidRPr="00CB3D67">
        <w:rPr>
          <w:rFonts w:eastAsia="Calibri"/>
          <w:sz w:val="26"/>
          <w:szCs w:val="26"/>
          <w:lang w:eastAsia="en-US"/>
        </w:rPr>
        <w:t>Detrás de Singapur, la segunda población del sudeste asiático que ocupa el puesto más alto es Kuala Lumpur (84), y otras localidades importantes de la región incluyen Bangkok (117), Manila (136) y Yakarta (140). En el sur de Asia, Colombo (132), ocupa el puesto más alto y es seguido por las ciudades indias emergentes de Hyderabad (138) y Pune (145). Ambas poseen una mejor calidad en comparación con los centros de negocios más tradicionales del país, Mumbai (152) y Nueva Delhi (154). Los aumentos considerables de la población en éstas, en las últimas décadas, han incrementado los problemas existentes, incluido el acceso a agua potable, la contaminación atmosférica y la congestión del tráfico.</w:t>
      </w:r>
    </w:p>
    <w:p w14:paraId="4F3D6050" w14:textId="77777777" w:rsidR="00CB3D67" w:rsidRPr="00CB3D67" w:rsidRDefault="00CB3D67" w:rsidP="00CB3D67">
      <w:pPr>
        <w:spacing w:after="360" w:line="360" w:lineRule="auto"/>
        <w:ind w:right="-159"/>
        <w:jc w:val="both"/>
        <w:rPr>
          <w:rFonts w:eastAsia="Calibri"/>
          <w:sz w:val="26"/>
          <w:szCs w:val="26"/>
          <w:lang w:eastAsia="en-US"/>
        </w:rPr>
      </w:pPr>
      <w:r w:rsidRPr="00CB3D67">
        <w:rPr>
          <w:rFonts w:eastAsia="Calibri"/>
          <w:sz w:val="26"/>
          <w:szCs w:val="26"/>
          <w:lang w:eastAsia="en-US"/>
        </w:rPr>
        <w:t>En la zona del Pacífico, las ciudades de Nueva Zelanda y Australia son algunas de las que ocupan los primeros puestos de la clasificación a nivel mundial, donde Auckland ocupa el tercer puesto, Sídney el décimo, Wellington el décimo segundo y Melbourne el décimo sexto.</w:t>
      </w:r>
    </w:p>
    <w:p w14:paraId="00A4CF42" w14:textId="77777777" w:rsidR="00CB3D67" w:rsidRPr="00CB3D67" w:rsidRDefault="00CB3D67" w:rsidP="00CB3D67">
      <w:pPr>
        <w:spacing w:after="360" w:line="360" w:lineRule="auto"/>
        <w:ind w:right="-159"/>
        <w:jc w:val="both"/>
        <w:rPr>
          <w:rFonts w:eastAsia="Calibri"/>
          <w:b/>
          <w:sz w:val="26"/>
          <w:szCs w:val="26"/>
          <w:lang w:eastAsia="en-US"/>
        </w:rPr>
      </w:pPr>
      <w:r w:rsidRPr="00CB3D67">
        <w:rPr>
          <w:rFonts w:eastAsia="Calibri"/>
          <w:b/>
          <w:sz w:val="26"/>
          <w:szCs w:val="26"/>
          <w:lang w:eastAsia="en-US"/>
        </w:rPr>
        <w:t>Medio Oriente y África</w:t>
      </w:r>
    </w:p>
    <w:p w14:paraId="4DAFC38F" w14:textId="77777777" w:rsidR="00CB3D67" w:rsidRPr="00CB3D67" w:rsidRDefault="00CB3D67" w:rsidP="00CB3D67">
      <w:pPr>
        <w:spacing w:after="360" w:line="360" w:lineRule="auto"/>
        <w:ind w:right="-159"/>
        <w:jc w:val="both"/>
        <w:rPr>
          <w:rFonts w:eastAsia="Calibri"/>
          <w:sz w:val="26"/>
          <w:szCs w:val="26"/>
          <w:lang w:eastAsia="en-US"/>
        </w:rPr>
      </w:pPr>
      <w:r w:rsidRPr="00CB3D67">
        <w:rPr>
          <w:rFonts w:eastAsia="Calibri"/>
          <w:sz w:val="26"/>
          <w:szCs w:val="26"/>
          <w:lang w:eastAsia="en-US"/>
        </w:rPr>
        <w:t xml:space="preserve">En el puesto 74, Dubái es la ciudad de la región de Medio Oriente y África con la mejor calidad de vida. Le sigue Abu Dhabi (77), también en los Emiratos Árabes Unidos, y Puerto Louis (82), en Mauricio. En Sudáfrica, Durban (85) es una ciudad emergente que posee mejor calidad de vida en comparación con los centros de negocio tradicionales del país, Ciudad del Cabo (91) y Johannesburgo (94). Esto se debe principalmente a las viviendas de alta calidad, a las innumerables ofertas recreativas y </w:t>
      </w:r>
      <w:r w:rsidRPr="00CB3D67">
        <w:rPr>
          <w:rFonts w:eastAsia="Calibri"/>
          <w:sz w:val="26"/>
          <w:szCs w:val="26"/>
          <w:lang w:eastAsia="en-US"/>
        </w:rPr>
        <w:lastRenderedPageBreak/>
        <w:t>a la gran disponibilidad de bienes de consumo en Durban. Sin embargo, los problemas de delincuencia de la ciudad no permiten que llegue a los primeros 50 puestos.</w:t>
      </w:r>
    </w:p>
    <w:p w14:paraId="6AEE21B6" w14:textId="77777777" w:rsidR="00CB3D67" w:rsidRDefault="00CB3D67" w:rsidP="00CB3D67">
      <w:pPr>
        <w:spacing w:after="360" w:line="360" w:lineRule="auto"/>
        <w:ind w:right="-159"/>
        <w:jc w:val="both"/>
        <w:rPr>
          <w:rFonts w:eastAsia="Calibri"/>
          <w:sz w:val="26"/>
          <w:szCs w:val="26"/>
          <w:lang w:eastAsia="en-US"/>
        </w:rPr>
      </w:pPr>
      <w:r w:rsidRPr="00CB3D67">
        <w:rPr>
          <w:rFonts w:eastAsia="Calibri"/>
          <w:sz w:val="26"/>
          <w:szCs w:val="26"/>
          <w:lang w:eastAsia="en-US"/>
        </w:rPr>
        <w:t>En el puesto 230, Bagdad es la última ciudad de la clasificación tanto a nivel regional como global.</w:t>
      </w:r>
    </w:p>
    <w:tbl>
      <w:tblPr>
        <w:tblW w:w="9639" w:type="dxa"/>
        <w:jc w:val="center"/>
        <w:tblLook w:val="04A0" w:firstRow="1" w:lastRow="0" w:firstColumn="1" w:lastColumn="0" w:noHBand="0" w:noVBand="1"/>
      </w:tblPr>
      <w:tblGrid>
        <w:gridCol w:w="1351"/>
        <w:gridCol w:w="1457"/>
        <w:gridCol w:w="1796"/>
        <w:gridCol w:w="2484"/>
        <w:gridCol w:w="2551"/>
      </w:tblGrid>
      <w:tr w:rsidR="00CB3D67" w:rsidRPr="00CB3D67" w14:paraId="50ADC993" w14:textId="77777777" w:rsidTr="009A4CE7">
        <w:trPr>
          <w:jc w:val="center"/>
        </w:trPr>
        <w:tc>
          <w:tcPr>
            <w:tcW w:w="9639" w:type="dxa"/>
            <w:gridSpan w:val="5"/>
            <w:tcBorders>
              <w:top w:val="nil"/>
              <w:left w:val="nil"/>
              <w:bottom w:val="single" w:sz="4" w:space="0" w:color="auto"/>
              <w:right w:val="nil"/>
            </w:tcBorders>
            <w:vAlign w:val="center"/>
          </w:tcPr>
          <w:p w14:paraId="4C902379" w14:textId="77777777" w:rsidR="00CB3D67" w:rsidRPr="00CB3D67" w:rsidRDefault="00CB3D67" w:rsidP="00CB3D67">
            <w:pPr>
              <w:spacing w:before="20" w:after="20"/>
              <w:jc w:val="center"/>
              <w:rPr>
                <w:rFonts w:eastAsia="Calibri"/>
                <w:b/>
                <w:sz w:val="22"/>
                <w:szCs w:val="22"/>
                <w:lang w:eastAsia="en-US"/>
              </w:rPr>
            </w:pPr>
            <w:r w:rsidRPr="00CB3D67">
              <w:rPr>
                <w:rFonts w:eastAsia="Calibri"/>
                <w:b/>
                <w:sz w:val="22"/>
                <w:szCs w:val="22"/>
                <w:lang w:eastAsia="en-US"/>
              </w:rPr>
              <w:t>PAÍSES CON MEJOR CALIDAD DE VIDA INTERNACIONAL 2015</w:t>
            </w:r>
          </w:p>
        </w:tc>
      </w:tr>
      <w:tr w:rsidR="00CB3D67" w:rsidRPr="00CB3D67" w14:paraId="698FBF7F" w14:textId="77777777" w:rsidTr="009A4CE7">
        <w:trPr>
          <w:jc w:val="center"/>
        </w:trPr>
        <w:tc>
          <w:tcPr>
            <w:tcW w:w="2808" w:type="dxa"/>
            <w:gridSpan w:val="2"/>
            <w:tcBorders>
              <w:top w:val="single" w:sz="4" w:space="0" w:color="auto"/>
              <w:left w:val="single" w:sz="4" w:space="0" w:color="auto"/>
              <w:bottom w:val="single" w:sz="4" w:space="0" w:color="auto"/>
              <w:right w:val="single" w:sz="4" w:space="0" w:color="auto"/>
            </w:tcBorders>
            <w:vAlign w:val="center"/>
          </w:tcPr>
          <w:p w14:paraId="361AE678" w14:textId="77777777" w:rsidR="00CB3D67" w:rsidRPr="00CB3D67" w:rsidRDefault="00CB3D67" w:rsidP="00CB3D67">
            <w:pPr>
              <w:spacing w:before="20" w:after="20"/>
              <w:jc w:val="center"/>
              <w:rPr>
                <w:rFonts w:eastAsia="Calibri"/>
                <w:b/>
                <w:sz w:val="18"/>
                <w:szCs w:val="18"/>
                <w:lang w:eastAsia="en-US"/>
              </w:rPr>
            </w:pPr>
            <w:r w:rsidRPr="00CB3D67">
              <w:rPr>
                <w:rFonts w:eastAsia="Calibri"/>
                <w:b/>
                <w:sz w:val="18"/>
                <w:szCs w:val="18"/>
                <w:lang w:eastAsia="en-US"/>
              </w:rPr>
              <w:t>Clasificación</w:t>
            </w:r>
          </w:p>
        </w:tc>
        <w:tc>
          <w:tcPr>
            <w:tcW w:w="1796" w:type="dxa"/>
            <w:vMerge w:val="restart"/>
            <w:tcBorders>
              <w:top w:val="single" w:sz="4" w:space="0" w:color="auto"/>
              <w:left w:val="single" w:sz="4" w:space="0" w:color="auto"/>
              <w:bottom w:val="single" w:sz="4" w:space="0" w:color="auto"/>
              <w:right w:val="single" w:sz="4" w:space="0" w:color="auto"/>
            </w:tcBorders>
            <w:vAlign w:val="center"/>
          </w:tcPr>
          <w:p w14:paraId="410849CF" w14:textId="77777777" w:rsidR="00CB3D67" w:rsidRPr="00CB3D67" w:rsidRDefault="00CB3D67" w:rsidP="00CB3D67">
            <w:pPr>
              <w:spacing w:before="20" w:after="20"/>
              <w:jc w:val="center"/>
              <w:rPr>
                <w:rFonts w:eastAsia="Calibri"/>
                <w:b/>
                <w:sz w:val="18"/>
                <w:szCs w:val="18"/>
                <w:lang w:eastAsia="en-US"/>
              </w:rPr>
            </w:pPr>
            <w:r w:rsidRPr="00CB3D67">
              <w:rPr>
                <w:rFonts w:eastAsia="Calibri"/>
                <w:b/>
                <w:sz w:val="18"/>
                <w:szCs w:val="18"/>
                <w:lang w:eastAsia="en-US"/>
              </w:rPr>
              <w:t>Ciudad</w:t>
            </w:r>
          </w:p>
        </w:tc>
        <w:tc>
          <w:tcPr>
            <w:tcW w:w="2484" w:type="dxa"/>
            <w:vMerge w:val="restart"/>
            <w:tcBorders>
              <w:top w:val="single" w:sz="4" w:space="0" w:color="auto"/>
              <w:left w:val="single" w:sz="4" w:space="0" w:color="auto"/>
              <w:bottom w:val="single" w:sz="4" w:space="0" w:color="auto"/>
              <w:right w:val="single" w:sz="4" w:space="0" w:color="auto"/>
            </w:tcBorders>
            <w:vAlign w:val="center"/>
          </w:tcPr>
          <w:p w14:paraId="76045739" w14:textId="77777777" w:rsidR="00CB3D67" w:rsidRPr="00CB3D67" w:rsidRDefault="00CB3D67" w:rsidP="00CB3D67">
            <w:pPr>
              <w:spacing w:before="20" w:after="20"/>
              <w:jc w:val="center"/>
              <w:rPr>
                <w:rFonts w:eastAsia="Calibri"/>
                <w:b/>
                <w:sz w:val="18"/>
                <w:szCs w:val="18"/>
                <w:lang w:eastAsia="en-US"/>
              </w:rPr>
            </w:pPr>
            <w:r w:rsidRPr="00CB3D67">
              <w:rPr>
                <w:rFonts w:eastAsia="Calibri"/>
                <w:b/>
                <w:sz w:val="18"/>
                <w:szCs w:val="18"/>
                <w:lang w:eastAsia="en-US"/>
              </w:rPr>
              <w:t>País</w:t>
            </w:r>
          </w:p>
        </w:tc>
        <w:tc>
          <w:tcPr>
            <w:tcW w:w="2551" w:type="dxa"/>
            <w:vMerge w:val="restart"/>
            <w:tcBorders>
              <w:top w:val="single" w:sz="4" w:space="0" w:color="auto"/>
              <w:left w:val="single" w:sz="4" w:space="0" w:color="auto"/>
              <w:bottom w:val="single" w:sz="4" w:space="0" w:color="auto"/>
              <w:right w:val="single" w:sz="4" w:space="0" w:color="auto"/>
            </w:tcBorders>
            <w:vAlign w:val="center"/>
          </w:tcPr>
          <w:p w14:paraId="1F931B6C" w14:textId="77777777" w:rsidR="00CB3D67" w:rsidRPr="00CB3D67" w:rsidRDefault="00CB3D67" w:rsidP="00CB3D67">
            <w:pPr>
              <w:spacing w:before="20" w:after="20"/>
              <w:jc w:val="center"/>
              <w:rPr>
                <w:rFonts w:eastAsia="Calibri"/>
                <w:b/>
                <w:sz w:val="18"/>
                <w:szCs w:val="18"/>
                <w:lang w:eastAsia="en-US"/>
              </w:rPr>
            </w:pPr>
            <w:r w:rsidRPr="00CB3D67">
              <w:rPr>
                <w:rFonts w:eastAsia="Calibri"/>
                <w:b/>
                <w:sz w:val="18"/>
                <w:szCs w:val="18"/>
                <w:lang w:eastAsia="en-US"/>
              </w:rPr>
              <w:t>Región</w:t>
            </w:r>
          </w:p>
        </w:tc>
      </w:tr>
      <w:tr w:rsidR="00CB3D67" w:rsidRPr="00CB3D67" w14:paraId="0DB75F71" w14:textId="77777777" w:rsidTr="009A4CE7">
        <w:trPr>
          <w:jc w:val="center"/>
        </w:trPr>
        <w:tc>
          <w:tcPr>
            <w:tcW w:w="1351" w:type="dxa"/>
            <w:tcBorders>
              <w:top w:val="single" w:sz="4" w:space="0" w:color="auto"/>
              <w:left w:val="single" w:sz="4" w:space="0" w:color="auto"/>
              <w:bottom w:val="single" w:sz="4" w:space="0" w:color="auto"/>
              <w:right w:val="single" w:sz="4" w:space="0" w:color="auto"/>
            </w:tcBorders>
            <w:vAlign w:val="center"/>
          </w:tcPr>
          <w:p w14:paraId="4AB24CFE" w14:textId="77777777" w:rsidR="00CB3D67" w:rsidRPr="00CB3D67" w:rsidRDefault="00CB3D67" w:rsidP="00CB3D67">
            <w:pPr>
              <w:spacing w:before="20" w:after="20"/>
              <w:jc w:val="center"/>
              <w:rPr>
                <w:rFonts w:eastAsia="Calibri"/>
                <w:b/>
                <w:sz w:val="18"/>
                <w:szCs w:val="18"/>
                <w:lang w:eastAsia="en-US"/>
              </w:rPr>
            </w:pPr>
            <w:r w:rsidRPr="00CB3D67">
              <w:rPr>
                <w:rFonts w:eastAsia="Calibri"/>
                <w:b/>
                <w:sz w:val="18"/>
                <w:szCs w:val="18"/>
                <w:lang w:eastAsia="en-US"/>
              </w:rPr>
              <w:t>2014</w:t>
            </w:r>
          </w:p>
        </w:tc>
        <w:tc>
          <w:tcPr>
            <w:tcW w:w="1457" w:type="dxa"/>
            <w:tcBorders>
              <w:top w:val="single" w:sz="4" w:space="0" w:color="auto"/>
              <w:left w:val="single" w:sz="4" w:space="0" w:color="auto"/>
              <w:bottom w:val="single" w:sz="4" w:space="0" w:color="auto"/>
              <w:right w:val="single" w:sz="4" w:space="0" w:color="auto"/>
            </w:tcBorders>
            <w:vAlign w:val="center"/>
          </w:tcPr>
          <w:p w14:paraId="35408EA8" w14:textId="77777777" w:rsidR="00CB3D67" w:rsidRPr="00CB3D67" w:rsidRDefault="00CB3D67" w:rsidP="00CB3D67">
            <w:pPr>
              <w:spacing w:before="20" w:after="20"/>
              <w:jc w:val="center"/>
              <w:rPr>
                <w:rFonts w:eastAsia="Calibri"/>
                <w:b/>
                <w:sz w:val="18"/>
                <w:szCs w:val="18"/>
                <w:lang w:eastAsia="en-US"/>
              </w:rPr>
            </w:pPr>
            <w:r w:rsidRPr="00CB3D67">
              <w:rPr>
                <w:rFonts w:eastAsia="Calibri"/>
                <w:b/>
                <w:sz w:val="18"/>
                <w:szCs w:val="18"/>
                <w:lang w:eastAsia="en-US"/>
              </w:rPr>
              <w:t>2015</w:t>
            </w:r>
          </w:p>
        </w:tc>
        <w:tc>
          <w:tcPr>
            <w:tcW w:w="1796" w:type="dxa"/>
            <w:vMerge/>
            <w:tcBorders>
              <w:top w:val="single" w:sz="4" w:space="0" w:color="auto"/>
              <w:left w:val="single" w:sz="4" w:space="0" w:color="auto"/>
              <w:bottom w:val="single" w:sz="4" w:space="0" w:color="auto"/>
              <w:right w:val="single" w:sz="4" w:space="0" w:color="auto"/>
            </w:tcBorders>
            <w:vAlign w:val="center"/>
          </w:tcPr>
          <w:p w14:paraId="08AD8978" w14:textId="77777777" w:rsidR="00CB3D67" w:rsidRPr="00CB3D67" w:rsidRDefault="00CB3D67" w:rsidP="00CB3D67">
            <w:pPr>
              <w:spacing w:before="20" w:after="20"/>
              <w:jc w:val="center"/>
              <w:rPr>
                <w:rFonts w:eastAsia="Calibri"/>
                <w:b/>
                <w:sz w:val="18"/>
                <w:szCs w:val="18"/>
                <w:lang w:eastAsia="en-US"/>
              </w:rPr>
            </w:pPr>
          </w:p>
        </w:tc>
        <w:tc>
          <w:tcPr>
            <w:tcW w:w="2484" w:type="dxa"/>
            <w:vMerge/>
            <w:tcBorders>
              <w:top w:val="single" w:sz="4" w:space="0" w:color="auto"/>
              <w:left w:val="single" w:sz="4" w:space="0" w:color="auto"/>
              <w:bottom w:val="single" w:sz="4" w:space="0" w:color="auto"/>
              <w:right w:val="single" w:sz="4" w:space="0" w:color="auto"/>
            </w:tcBorders>
            <w:vAlign w:val="center"/>
          </w:tcPr>
          <w:p w14:paraId="047F6A2F" w14:textId="77777777" w:rsidR="00CB3D67" w:rsidRPr="00CB3D67" w:rsidRDefault="00CB3D67" w:rsidP="00CB3D67">
            <w:pPr>
              <w:spacing w:before="20" w:after="20"/>
              <w:jc w:val="center"/>
              <w:rPr>
                <w:rFonts w:eastAsia="Calibri"/>
                <w:b/>
                <w:sz w:val="18"/>
                <w:szCs w:val="18"/>
                <w:lang w:eastAsia="en-US"/>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27193949" w14:textId="77777777" w:rsidR="00CB3D67" w:rsidRPr="00CB3D67" w:rsidRDefault="00CB3D67" w:rsidP="00CB3D67">
            <w:pPr>
              <w:spacing w:before="20" w:after="20"/>
              <w:jc w:val="center"/>
              <w:rPr>
                <w:rFonts w:eastAsia="Calibri"/>
                <w:b/>
                <w:sz w:val="18"/>
                <w:szCs w:val="18"/>
                <w:lang w:eastAsia="en-US"/>
              </w:rPr>
            </w:pPr>
          </w:p>
        </w:tc>
      </w:tr>
      <w:tr w:rsidR="00CB3D67" w:rsidRPr="00CB3D67" w14:paraId="447D766E" w14:textId="77777777" w:rsidTr="009A4CE7">
        <w:trPr>
          <w:jc w:val="center"/>
        </w:trPr>
        <w:tc>
          <w:tcPr>
            <w:tcW w:w="1351" w:type="dxa"/>
            <w:tcBorders>
              <w:top w:val="single" w:sz="4" w:space="0" w:color="auto"/>
              <w:left w:val="single" w:sz="4" w:space="0" w:color="auto"/>
              <w:right w:val="single" w:sz="4" w:space="0" w:color="auto"/>
            </w:tcBorders>
            <w:vAlign w:val="center"/>
          </w:tcPr>
          <w:p w14:paraId="4ED53530" w14:textId="77777777" w:rsidR="00CB3D67" w:rsidRPr="00CB3D67" w:rsidRDefault="00CB3D67" w:rsidP="00CB3D67">
            <w:pPr>
              <w:spacing w:before="20" w:after="20"/>
              <w:ind w:right="340"/>
              <w:jc w:val="right"/>
              <w:rPr>
                <w:rFonts w:eastAsia="Calibri"/>
                <w:sz w:val="18"/>
                <w:szCs w:val="18"/>
                <w:lang w:eastAsia="en-US"/>
              </w:rPr>
            </w:pPr>
            <w:r w:rsidRPr="00CB3D67">
              <w:rPr>
                <w:rFonts w:eastAsia="Calibri"/>
                <w:sz w:val="18"/>
                <w:szCs w:val="18"/>
                <w:lang w:eastAsia="en-US"/>
              </w:rPr>
              <w:t>1</w:t>
            </w:r>
          </w:p>
        </w:tc>
        <w:tc>
          <w:tcPr>
            <w:tcW w:w="1457" w:type="dxa"/>
            <w:tcBorders>
              <w:top w:val="single" w:sz="4" w:space="0" w:color="auto"/>
              <w:left w:val="single" w:sz="4" w:space="0" w:color="auto"/>
              <w:right w:val="single" w:sz="4" w:space="0" w:color="auto"/>
            </w:tcBorders>
            <w:vAlign w:val="center"/>
          </w:tcPr>
          <w:p w14:paraId="646642AF" w14:textId="77777777" w:rsidR="00CB3D67" w:rsidRPr="00CB3D67" w:rsidRDefault="00CB3D67" w:rsidP="00156E9C">
            <w:pPr>
              <w:spacing w:before="20" w:after="20"/>
              <w:ind w:left="-227" w:right="454"/>
              <w:jc w:val="right"/>
              <w:rPr>
                <w:rFonts w:eastAsia="Calibri"/>
                <w:sz w:val="18"/>
                <w:szCs w:val="18"/>
                <w:lang w:eastAsia="en-US"/>
              </w:rPr>
            </w:pPr>
            <w:r w:rsidRPr="00CB3D67">
              <w:rPr>
                <w:rFonts w:eastAsia="Calibri"/>
                <w:sz w:val="18"/>
                <w:szCs w:val="18"/>
                <w:lang w:eastAsia="en-US"/>
              </w:rPr>
              <w:t>1</w:t>
            </w:r>
          </w:p>
        </w:tc>
        <w:tc>
          <w:tcPr>
            <w:tcW w:w="1796" w:type="dxa"/>
            <w:tcBorders>
              <w:top w:val="single" w:sz="4" w:space="0" w:color="auto"/>
              <w:left w:val="single" w:sz="4" w:space="0" w:color="auto"/>
              <w:right w:val="single" w:sz="4" w:space="0" w:color="auto"/>
            </w:tcBorders>
            <w:vAlign w:val="center"/>
          </w:tcPr>
          <w:p w14:paraId="42192205"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Viena</w:t>
            </w:r>
          </w:p>
        </w:tc>
        <w:tc>
          <w:tcPr>
            <w:tcW w:w="2484" w:type="dxa"/>
            <w:tcBorders>
              <w:top w:val="single" w:sz="4" w:space="0" w:color="auto"/>
              <w:left w:val="single" w:sz="4" w:space="0" w:color="auto"/>
              <w:right w:val="single" w:sz="4" w:space="0" w:color="auto"/>
            </w:tcBorders>
            <w:vAlign w:val="center"/>
          </w:tcPr>
          <w:p w14:paraId="593AE99D"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Austria</w:t>
            </w:r>
          </w:p>
        </w:tc>
        <w:tc>
          <w:tcPr>
            <w:tcW w:w="2551" w:type="dxa"/>
            <w:tcBorders>
              <w:top w:val="single" w:sz="4" w:space="0" w:color="auto"/>
              <w:left w:val="single" w:sz="4" w:space="0" w:color="auto"/>
              <w:right w:val="single" w:sz="4" w:space="0" w:color="auto"/>
            </w:tcBorders>
            <w:vAlign w:val="center"/>
          </w:tcPr>
          <w:p w14:paraId="44211708"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Europa Occidental</w:t>
            </w:r>
          </w:p>
        </w:tc>
      </w:tr>
      <w:tr w:rsidR="00CB3D67" w:rsidRPr="00CB3D67" w14:paraId="167B782D" w14:textId="77777777" w:rsidTr="009A4CE7">
        <w:trPr>
          <w:jc w:val="center"/>
        </w:trPr>
        <w:tc>
          <w:tcPr>
            <w:tcW w:w="1351" w:type="dxa"/>
            <w:tcBorders>
              <w:left w:val="single" w:sz="4" w:space="0" w:color="auto"/>
              <w:bottom w:val="nil"/>
              <w:right w:val="single" w:sz="4" w:space="0" w:color="auto"/>
            </w:tcBorders>
            <w:vAlign w:val="center"/>
          </w:tcPr>
          <w:p w14:paraId="1C3542B7" w14:textId="77777777" w:rsidR="00CB3D67" w:rsidRPr="00CB3D67" w:rsidRDefault="00CB3D67" w:rsidP="00CB3D67">
            <w:pPr>
              <w:spacing w:before="20" w:after="20"/>
              <w:ind w:right="340"/>
              <w:jc w:val="right"/>
              <w:rPr>
                <w:rFonts w:eastAsia="Calibri"/>
                <w:sz w:val="18"/>
                <w:szCs w:val="18"/>
                <w:lang w:eastAsia="en-US"/>
              </w:rPr>
            </w:pPr>
            <w:r w:rsidRPr="00CB3D67">
              <w:rPr>
                <w:rFonts w:eastAsia="Calibri"/>
                <w:sz w:val="18"/>
                <w:szCs w:val="18"/>
                <w:lang w:eastAsia="en-US"/>
              </w:rPr>
              <w:t>2</w:t>
            </w:r>
          </w:p>
        </w:tc>
        <w:tc>
          <w:tcPr>
            <w:tcW w:w="1457" w:type="dxa"/>
            <w:tcBorders>
              <w:left w:val="single" w:sz="4" w:space="0" w:color="auto"/>
              <w:bottom w:val="nil"/>
              <w:right w:val="single" w:sz="4" w:space="0" w:color="auto"/>
            </w:tcBorders>
            <w:vAlign w:val="center"/>
          </w:tcPr>
          <w:p w14:paraId="424D1769" w14:textId="77777777" w:rsidR="00CB3D67" w:rsidRPr="00CB3D67" w:rsidRDefault="00CB3D67" w:rsidP="00156E9C">
            <w:pPr>
              <w:spacing w:before="20" w:after="20"/>
              <w:ind w:left="-227" w:right="454"/>
              <w:jc w:val="right"/>
              <w:rPr>
                <w:rFonts w:eastAsia="Calibri"/>
                <w:sz w:val="18"/>
                <w:szCs w:val="18"/>
                <w:lang w:eastAsia="en-US"/>
              </w:rPr>
            </w:pPr>
            <w:r w:rsidRPr="00CB3D67">
              <w:rPr>
                <w:rFonts w:eastAsia="Calibri"/>
                <w:sz w:val="18"/>
                <w:szCs w:val="18"/>
                <w:lang w:eastAsia="en-US"/>
              </w:rPr>
              <w:t>2</w:t>
            </w:r>
          </w:p>
        </w:tc>
        <w:tc>
          <w:tcPr>
            <w:tcW w:w="1796" w:type="dxa"/>
            <w:tcBorders>
              <w:left w:val="single" w:sz="4" w:space="0" w:color="auto"/>
              <w:bottom w:val="nil"/>
              <w:right w:val="single" w:sz="4" w:space="0" w:color="auto"/>
            </w:tcBorders>
            <w:vAlign w:val="center"/>
          </w:tcPr>
          <w:p w14:paraId="2287E213"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Zúrich</w:t>
            </w:r>
          </w:p>
        </w:tc>
        <w:tc>
          <w:tcPr>
            <w:tcW w:w="2484" w:type="dxa"/>
            <w:tcBorders>
              <w:left w:val="single" w:sz="4" w:space="0" w:color="auto"/>
              <w:bottom w:val="nil"/>
              <w:right w:val="single" w:sz="4" w:space="0" w:color="auto"/>
            </w:tcBorders>
            <w:vAlign w:val="center"/>
          </w:tcPr>
          <w:p w14:paraId="51F8BEF4"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Suiza</w:t>
            </w:r>
          </w:p>
        </w:tc>
        <w:tc>
          <w:tcPr>
            <w:tcW w:w="2551" w:type="dxa"/>
            <w:tcBorders>
              <w:left w:val="single" w:sz="4" w:space="0" w:color="auto"/>
              <w:bottom w:val="nil"/>
              <w:right w:val="single" w:sz="4" w:space="0" w:color="auto"/>
            </w:tcBorders>
            <w:vAlign w:val="center"/>
          </w:tcPr>
          <w:p w14:paraId="4EC27E7E"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Europa Occidental</w:t>
            </w:r>
          </w:p>
        </w:tc>
      </w:tr>
      <w:tr w:rsidR="00CB3D67" w:rsidRPr="00CB3D67" w14:paraId="158CAD1E" w14:textId="77777777" w:rsidTr="009A4CE7">
        <w:trPr>
          <w:jc w:val="center"/>
        </w:trPr>
        <w:tc>
          <w:tcPr>
            <w:tcW w:w="1351" w:type="dxa"/>
            <w:tcBorders>
              <w:top w:val="nil"/>
              <w:left w:val="single" w:sz="4" w:space="0" w:color="auto"/>
              <w:bottom w:val="nil"/>
              <w:right w:val="single" w:sz="4" w:space="0" w:color="auto"/>
            </w:tcBorders>
            <w:vAlign w:val="center"/>
          </w:tcPr>
          <w:p w14:paraId="19BE0601" w14:textId="77777777" w:rsidR="00CB3D67" w:rsidRPr="00CB3D67" w:rsidRDefault="00CB3D67" w:rsidP="00CB3D67">
            <w:pPr>
              <w:spacing w:before="20" w:after="20"/>
              <w:ind w:right="340"/>
              <w:jc w:val="right"/>
              <w:rPr>
                <w:rFonts w:eastAsia="Calibri"/>
                <w:sz w:val="18"/>
                <w:szCs w:val="18"/>
                <w:lang w:eastAsia="en-US"/>
              </w:rPr>
            </w:pPr>
            <w:r w:rsidRPr="00CB3D67">
              <w:rPr>
                <w:rFonts w:eastAsia="Calibri"/>
                <w:sz w:val="18"/>
                <w:szCs w:val="18"/>
                <w:lang w:eastAsia="en-US"/>
              </w:rPr>
              <w:t>3</w:t>
            </w:r>
          </w:p>
        </w:tc>
        <w:tc>
          <w:tcPr>
            <w:tcW w:w="1457" w:type="dxa"/>
            <w:tcBorders>
              <w:top w:val="nil"/>
              <w:left w:val="single" w:sz="4" w:space="0" w:color="auto"/>
              <w:bottom w:val="nil"/>
              <w:right w:val="single" w:sz="4" w:space="0" w:color="auto"/>
            </w:tcBorders>
            <w:vAlign w:val="center"/>
          </w:tcPr>
          <w:p w14:paraId="29F91BEC" w14:textId="77777777" w:rsidR="00CB3D67" w:rsidRPr="00CB3D67" w:rsidRDefault="00CB3D67" w:rsidP="00156E9C">
            <w:pPr>
              <w:spacing w:before="20" w:after="20"/>
              <w:ind w:left="-227" w:right="454"/>
              <w:jc w:val="right"/>
              <w:rPr>
                <w:rFonts w:eastAsia="Calibri"/>
                <w:sz w:val="18"/>
                <w:szCs w:val="18"/>
                <w:lang w:eastAsia="en-US"/>
              </w:rPr>
            </w:pPr>
            <w:r w:rsidRPr="00CB3D67">
              <w:rPr>
                <w:rFonts w:eastAsia="Calibri"/>
                <w:sz w:val="18"/>
                <w:szCs w:val="18"/>
                <w:lang w:eastAsia="en-US"/>
              </w:rPr>
              <w:t>3</w:t>
            </w:r>
          </w:p>
        </w:tc>
        <w:tc>
          <w:tcPr>
            <w:tcW w:w="1796" w:type="dxa"/>
            <w:tcBorders>
              <w:top w:val="nil"/>
              <w:left w:val="single" w:sz="4" w:space="0" w:color="auto"/>
              <w:bottom w:val="nil"/>
              <w:right w:val="single" w:sz="4" w:space="0" w:color="auto"/>
            </w:tcBorders>
            <w:vAlign w:val="center"/>
          </w:tcPr>
          <w:p w14:paraId="54B0F21E"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Auckland</w:t>
            </w:r>
          </w:p>
        </w:tc>
        <w:tc>
          <w:tcPr>
            <w:tcW w:w="2484" w:type="dxa"/>
            <w:tcBorders>
              <w:top w:val="nil"/>
              <w:left w:val="single" w:sz="4" w:space="0" w:color="auto"/>
              <w:bottom w:val="nil"/>
              <w:right w:val="single" w:sz="4" w:space="0" w:color="auto"/>
            </w:tcBorders>
            <w:vAlign w:val="center"/>
          </w:tcPr>
          <w:p w14:paraId="23454A62"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Nueva Zelanda</w:t>
            </w:r>
          </w:p>
        </w:tc>
        <w:tc>
          <w:tcPr>
            <w:tcW w:w="2551" w:type="dxa"/>
            <w:tcBorders>
              <w:top w:val="nil"/>
              <w:left w:val="single" w:sz="4" w:space="0" w:color="auto"/>
              <w:bottom w:val="nil"/>
              <w:right w:val="single" w:sz="4" w:space="0" w:color="auto"/>
            </w:tcBorders>
            <w:vAlign w:val="center"/>
          </w:tcPr>
          <w:p w14:paraId="34435124"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Asia y el Pacífico</w:t>
            </w:r>
          </w:p>
        </w:tc>
      </w:tr>
      <w:tr w:rsidR="00CB3D67" w:rsidRPr="00CB3D67" w14:paraId="58A1C4AA" w14:textId="77777777" w:rsidTr="009A4CE7">
        <w:trPr>
          <w:jc w:val="center"/>
        </w:trPr>
        <w:tc>
          <w:tcPr>
            <w:tcW w:w="1351" w:type="dxa"/>
            <w:tcBorders>
              <w:top w:val="nil"/>
              <w:left w:val="single" w:sz="4" w:space="0" w:color="auto"/>
              <w:bottom w:val="nil"/>
              <w:right w:val="single" w:sz="4" w:space="0" w:color="auto"/>
            </w:tcBorders>
            <w:vAlign w:val="center"/>
          </w:tcPr>
          <w:p w14:paraId="50DA25F9" w14:textId="77777777" w:rsidR="00CB3D67" w:rsidRPr="00CB3D67" w:rsidRDefault="00CB3D67" w:rsidP="00CB3D67">
            <w:pPr>
              <w:spacing w:before="20" w:after="20"/>
              <w:ind w:right="340"/>
              <w:jc w:val="right"/>
              <w:rPr>
                <w:rFonts w:eastAsia="Calibri"/>
                <w:sz w:val="18"/>
                <w:szCs w:val="18"/>
                <w:lang w:eastAsia="en-US"/>
              </w:rPr>
            </w:pPr>
            <w:r w:rsidRPr="00CB3D67">
              <w:rPr>
                <w:rFonts w:eastAsia="Calibri"/>
                <w:sz w:val="18"/>
                <w:szCs w:val="18"/>
                <w:lang w:eastAsia="en-US"/>
              </w:rPr>
              <w:t>4</w:t>
            </w:r>
          </w:p>
        </w:tc>
        <w:tc>
          <w:tcPr>
            <w:tcW w:w="1457" w:type="dxa"/>
            <w:tcBorders>
              <w:top w:val="nil"/>
              <w:left w:val="single" w:sz="4" w:space="0" w:color="auto"/>
              <w:bottom w:val="nil"/>
              <w:right w:val="single" w:sz="4" w:space="0" w:color="auto"/>
            </w:tcBorders>
            <w:vAlign w:val="center"/>
          </w:tcPr>
          <w:p w14:paraId="5BEFA5A3" w14:textId="77777777" w:rsidR="00CB3D67" w:rsidRPr="00CB3D67" w:rsidRDefault="00CB3D67" w:rsidP="00156E9C">
            <w:pPr>
              <w:spacing w:before="20" w:after="20"/>
              <w:ind w:left="-227" w:right="454"/>
              <w:jc w:val="right"/>
              <w:rPr>
                <w:rFonts w:eastAsia="Calibri"/>
                <w:sz w:val="18"/>
                <w:szCs w:val="18"/>
                <w:lang w:eastAsia="en-US"/>
              </w:rPr>
            </w:pPr>
            <w:r w:rsidRPr="00CB3D67">
              <w:rPr>
                <w:rFonts w:eastAsia="Calibri"/>
                <w:sz w:val="18"/>
                <w:szCs w:val="18"/>
                <w:lang w:eastAsia="en-US"/>
              </w:rPr>
              <w:t>4</w:t>
            </w:r>
          </w:p>
        </w:tc>
        <w:tc>
          <w:tcPr>
            <w:tcW w:w="1796" w:type="dxa"/>
            <w:tcBorders>
              <w:top w:val="nil"/>
              <w:left w:val="single" w:sz="4" w:space="0" w:color="auto"/>
              <w:bottom w:val="nil"/>
              <w:right w:val="single" w:sz="4" w:space="0" w:color="auto"/>
            </w:tcBorders>
            <w:vAlign w:val="center"/>
          </w:tcPr>
          <w:p w14:paraId="13B23270"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Múnich</w:t>
            </w:r>
          </w:p>
        </w:tc>
        <w:tc>
          <w:tcPr>
            <w:tcW w:w="2484" w:type="dxa"/>
            <w:tcBorders>
              <w:top w:val="nil"/>
              <w:left w:val="single" w:sz="4" w:space="0" w:color="auto"/>
              <w:bottom w:val="nil"/>
              <w:right w:val="single" w:sz="4" w:space="0" w:color="auto"/>
            </w:tcBorders>
            <w:vAlign w:val="center"/>
          </w:tcPr>
          <w:p w14:paraId="3645AC75"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Alemania</w:t>
            </w:r>
          </w:p>
        </w:tc>
        <w:tc>
          <w:tcPr>
            <w:tcW w:w="2551" w:type="dxa"/>
            <w:tcBorders>
              <w:top w:val="nil"/>
              <w:left w:val="single" w:sz="4" w:space="0" w:color="auto"/>
              <w:bottom w:val="nil"/>
              <w:right w:val="single" w:sz="4" w:space="0" w:color="auto"/>
            </w:tcBorders>
            <w:vAlign w:val="center"/>
          </w:tcPr>
          <w:p w14:paraId="29F5E011"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Europa Occidental</w:t>
            </w:r>
          </w:p>
        </w:tc>
      </w:tr>
      <w:tr w:rsidR="00CB3D67" w:rsidRPr="00CB3D67" w14:paraId="09ADEFA4" w14:textId="77777777" w:rsidTr="009A4CE7">
        <w:trPr>
          <w:jc w:val="center"/>
        </w:trPr>
        <w:tc>
          <w:tcPr>
            <w:tcW w:w="1351" w:type="dxa"/>
            <w:tcBorders>
              <w:top w:val="nil"/>
              <w:left w:val="single" w:sz="4" w:space="0" w:color="auto"/>
              <w:bottom w:val="nil"/>
              <w:right w:val="single" w:sz="4" w:space="0" w:color="auto"/>
            </w:tcBorders>
            <w:vAlign w:val="center"/>
          </w:tcPr>
          <w:p w14:paraId="51029B74" w14:textId="77777777" w:rsidR="00CB3D67" w:rsidRPr="00CB3D67" w:rsidRDefault="00CB3D67" w:rsidP="00CB3D67">
            <w:pPr>
              <w:spacing w:before="20" w:after="20"/>
              <w:ind w:right="340"/>
              <w:jc w:val="right"/>
              <w:rPr>
                <w:rFonts w:eastAsia="Calibri"/>
                <w:sz w:val="18"/>
                <w:szCs w:val="18"/>
                <w:lang w:eastAsia="en-US"/>
              </w:rPr>
            </w:pPr>
            <w:r w:rsidRPr="00CB3D67">
              <w:rPr>
                <w:rFonts w:eastAsia="Calibri"/>
                <w:sz w:val="18"/>
                <w:szCs w:val="18"/>
                <w:lang w:eastAsia="en-US"/>
              </w:rPr>
              <w:t>5</w:t>
            </w:r>
          </w:p>
        </w:tc>
        <w:tc>
          <w:tcPr>
            <w:tcW w:w="1457" w:type="dxa"/>
            <w:tcBorders>
              <w:top w:val="nil"/>
              <w:left w:val="single" w:sz="4" w:space="0" w:color="auto"/>
              <w:bottom w:val="nil"/>
              <w:right w:val="single" w:sz="4" w:space="0" w:color="auto"/>
            </w:tcBorders>
            <w:vAlign w:val="center"/>
          </w:tcPr>
          <w:p w14:paraId="6C1287FB" w14:textId="77777777" w:rsidR="00CB3D67" w:rsidRPr="00CB3D67" w:rsidRDefault="00CB3D67" w:rsidP="00156E9C">
            <w:pPr>
              <w:spacing w:before="20" w:after="20"/>
              <w:ind w:left="-227" w:right="454"/>
              <w:jc w:val="right"/>
              <w:rPr>
                <w:rFonts w:eastAsia="Calibri"/>
                <w:sz w:val="18"/>
                <w:szCs w:val="18"/>
                <w:lang w:eastAsia="en-US"/>
              </w:rPr>
            </w:pPr>
            <w:r w:rsidRPr="00CB3D67">
              <w:rPr>
                <w:rFonts w:eastAsia="Calibri"/>
                <w:sz w:val="18"/>
                <w:szCs w:val="18"/>
                <w:lang w:eastAsia="en-US"/>
              </w:rPr>
              <w:t>5</w:t>
            </w:r>
          </w:p>
        </w:tc>
        <w:tc>
          <w:tcPr>
            <w:tcW w:w="1796" w:type="dxa"/>
            <w:tcBorders>
              <w:top w:val="nil"/>
              <w:left w:val="single" w:sz="4" w:space="0" w:color="auto"/>
              <w:bottom w:val="nil"/>
              <w:right w:val="single" w:sz="4" w:space="0" w:color="auto"/>
            </w:tcBorders>
            <w:vAlign w:val="center"/>
          </w:tcPr>
          <w:p w14:paraId="1DF79608"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Vancouver</w:t>
            </w:r>
          </w:p>
        </w:tc>
        <w:tc>
          <w:tcPr>
            <w:tcW w:w="2484" w:type="dxa"/>
            <w:tcBorders>
              <w:top w:val="nil"/>
              <w:left w:val="single" w:sz="4" w:space="0" w:color="auto"/>
              <w:bottom w:val="nil"/>
              <w:right w:val="single" w:sz="4" w:space="0" w:color="auto"/>
            </w:tcBorders>
            <w:vAlign w:val="center"/>
          </w:tcPr>
          <w:p w14:paraId="3E436F79"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Canadá</w:t>
            </w:r>
          </w:p>
        </w:tc>
        <w:tc>
          <w:tcPr>
            <w:tcW w:w="2551" w:type="dxa"/>
            <w:tcBorders>
              <w:top w:val="nil"/>
              <w:left w:val="single" w:sz="4" w:space="0" w:color="auto"/>
              <w:bottom w:val="nil"/>
              <w:right w:val="single" w:sz="4" w:space="0" w:color="auto"/>
            </w:tcBorders>
            <w:vAlign w:val="center"/>
          </w:tcPr>
          <w:p w14:paraId="3C184222"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América del Norte</w:t>
            </w:r>
          </w:p>
        </w:tc>
      </w:tr>
      <w:tr w:rsidR="00CB3D67" w:rsidRPr="00CB3D67" w14:paraId="50388014" w14:textId="77777777" w:rsidTr="009A4CE7">
        <w:trPr>
          <w:jc w:val="center"/>
        </w:trPr>
        <w:tc>
          <w:tcPr>
            <w:tcW w:w="1351" w:type="dxa"/>
            <w:tcBorders>
              <w:top w:val="nil"/>
              <w:left w:val="single" w:sz="4" w:space="0" w:color="auto"/>
              <w:bottom w:val="nil"/>
              <w:right w:val="single" w:sz="4" w:space="0" w:color="auto"/>
            </w:tcBorders>
            <w:vAlign w:val="center"/>
          </w:tcPr>
          <w:p w14:paraId="70CF1F85" w14:textId="77777777" w:rsidR="00CB3D67" w:rsidRPr="00CB3D67" w:rsidRDefault="00CB3D67" w:rsidP="00CB3D67">
            <w:pPr>
              <w:spacing w:before="20" w:after="20"/>
              <w:ind w:right="340"/>
              <w:jc w:val="right"/>
              <w:rPr>
                <w:rFonts w:eastAsia="Calibri"/>
                <w:sz w:val="18"/>
                <w:szCs w:val="18"/>
                <w:lang w:eastAsia="en-US"/>
              </w:rPr>
            </w:pPr>
            <w:r w:rsidRPr="00CB3D67">
              <w:rPr>
                <w:rFonts w:eastAsia="Calibri"/>
                <w:sz w:val="18"/>
                <w:szCs w:val="18"/>
                <w:lang w:eastAsia="en-US"/>
              </w:rPr>
              <w:t>6</w:t>
            </w:r>
          </w:p>
        </w:tc>
        <w:tc>
          <w:tcPr>
            <w:tcW w:w="1457" w:type="dxa"/>
            <w:tcBorders>
              <w:top w:val="nil"/>
              <w:left w:val="single" w:sz="4" w:space="0" w:color="auto"/>
              <w:bottom w:val="nil"/>
              <w:right w:val="single" w:sz="4" w:space="0" w:color="auto"/>
            </w:tcBorders>
            <w:vAlign w:val="center"/>
          </w:tcPr>
          <w:p w14:paraId="54F93351" w14:textId="77777777" w:rsidR="00CB3D67" w:rsidRPr="00CB3D67" w:rsidRDefault="00CB3D67" w:rsidP="00156E9C">
            <w:pPr>
              <w:spacing w:before="20" w:after="20"/>
              <w:ind w:left="-227" w:right="454"/>
              <w:jc w:val="right"/>
              <w:rPr>
                <w:rFonts w:eastAsia="Calibri"/>
                <w:sz w:val="18"/>
                <w:szCs w:val="18"/>
                <w:lang w:eastAsia="en-US"/>
              </w:rPr>
            </w:pPr>
            <w:r w:rsidRPr="00CB3D67">
              <w:rPr>
                <w:rFonts w:eastAsia="Calibri"/>
                <w:sz w:val="18"/>
                <w:szCs w:val="18"/>
                <w:lang w:eastAsia="en-US"/>
              </w:rPr>
              <w:t>6</w:t>
            </w:r>
          </w:p>
        </w:tc>
        <w:tc>
          <w:tcPr>
            <w:tcW w:w="1796" w:type="dxa"/>
            <w:tcBorders>
              <w:top w:val="nil"/>
              <w:left w:val="single" w:sz="4" w:space="0" w:color="auto"/>
              <w:bottom w:val="nil"/>
              <w:right w:val="single" w:sz="4" w:space="0" w:color="auto"/>
            </w:tcBorders>
            <w:vAlign w:val="center"/>
          </w:tcPr>
          <w:p w14:paraId="773289F5"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Dusseldorf</w:t>
            </w:r>
          </w:p>
        </w:tc>
        <w:tc>
          <w:tcPr>
            <w:tcW w:w="2484" w:type="dxa"/>
            <w:tcBorders>
              <w:top w:val="nil"/>
              <w:left w:val="single" w:sz="4" w:space="0" w:color="auto"/>
              <w:bottom w:val="nil"/>
              <w:right w:val="single" w:sz="4" w:space="0" w:color="auto"/>
            </w:tcBorders>
            <w:vAlign w:val="center"/>
          </w:tcPr>
          <w:p w14:paraId="68E36C8B" w14:textId="77777777" w:rsidR="00CB3D67" w:rsidRPr="00CB3D67" w:rsidRDefault="00CB3D67" w:rsidP="00CB3D67">
            <w:pPr>
              <w:rPr>
                <w:rFonts w:ascii="Calibri" w:eastAsia="Calibri" w:hAnsi="Calibri"/>
                <w:sz w:val="22"/>
                <w:szCs w:val="22"/>
                <w:lang w:eastAsia="en-US"/>
              </w:rPr>
            </w:pPr>
            <w:r w:rsidRPr="00CB3D67">
              <w:rPr>
                <w:rFonts w:eastAsia="Calibri"/>
                <w:sz w:val="18"/>
                <w:szCs w:val="18"/>
                <w:lang w:eastAsia="en-US"/>
              </w:rPr>
              <w:t>Alemania</w:t>
            </w:r>
          </w:p>
        </w:tc>
        <w:tc>
          <w:tcPr>
            <w:tcW w:w="2551" w:type="dxa"/>
            <w:tcBorders>
              <w:top w:val="nil"/>
              <w:left w:val="single" w:sz="4" w:space="0" w:color="auto"/>
              <w:bottom w:val="nil"/>
              <w:right w:val="single" w:sz="4" w:space="0" w:color="auto"/>
            </w:tcBorders>
            <w:vAlign w:val="center"/>
          </w:tcPr>
          <w:p w14:paraId="77C80A1A"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Europa Occidental</w:t>
            </w:r>
          </w:p>
        </w:tc>
      </w:tr>
      <w:tr w:rsidR="00CB3D67" w:rsidRPr="00CB3D67" w14:paraId="20B04790" w14:textId="77777777" w:rsidTr="009A4CE7">
        <w:trPr>
          <w:jc w:val="center"/>
        </w:trPr>
        <w:tc>
          <w:tcPr>
            <w:tcW w:w="1351" w:type="dxa"/>
            <w:tcBorders>
              <w:top w:val="nil"/>
              <w:left w:val="single" w:sz="4" w:space="0" w:color="auto"/>
              <w:bottom w:val="nil"/>
              <w:right w:val="single" w:sz="4" w:space="0" w:color="auto"/>
            </w:tcBorders>
            <w:vAlign w:val="center"/>
          </w:tcPr>
          <w:p w14:paraId="22966A31" w14:textId="77777777" w:rsidR="00CB3D67" w:rsidRPr="00CB3D67" w:rsidRDefault="00CB3D67" w:rsidP="00CB3D67">
            <w:pPr>
              <w:spacing w:before="20" w:after="20"/>
              <w:ind w:right="340"/>
              <w:jc w:val="right"/>
              <w:rPr>
                <w:rFonts w:eastAsia="Calibri"/>
                <w:sz w:val="18"/>
                <w:szCs w:val="18"/>
                <w:lang w:eastAsia="en-US"/>
              </w:rPr>
            </w:pPr>
            <w:r w:rsidRPr="00CB3D67">
              <w:rPr>
                <w:rFonts w:eastAsia="Calibri"/>
                <w:sz w:val="18"/>
                <w:szCs w:val="18"/>
                <w:lang w:eastAsia="en-US"/>
              </w:rPr>
              <w:t>7</w:t>
            </w:r>
          </w:p>
        </w:tc>
        <w:tc>
          <w:tcPr>
            <w:tcW w:w="1457" w:type="dxa"/>
            <w:tcBorders>
              <w:top w:val="nil"/>
              <w:left w:val="single" w:sz="4" w:space="0" w:color="auto"/>
              <w:bottom w:val="nil"/>
              <w:right w:val="single" w:sz="4" w:space="0" w:color="auto"/>
            </w:tcBorders>
            <w:vAlign w:val="center"/>
          </w:tcPr>
          <w:p w14:paraId="7F7494FE" w14:textId="77777777" w:rsidR="00CB3D67" w:rsidRPr="00CB3D67" w:rsidRDefault="00CB3D67" w:rsidP="00156E9C">
            <w:pPr>
              <w:spacing w:before="20" w:after="20"/>
              <w:ind w:left="-227" w:right="454"/>
              <w:jc w:val="right"/>
              <w:rPr>
                <w:rFonts w:eastAsia="Calibri"/>
                <w:sz w:val="18"/>
                <w:szCs w:val="18"/>
                <w:lang w:eastAsia="en-US"/>
              </w:rPr>
            </w:pPr>
            <w:r w:rsidRPr="00CB3D67">
              <w:rPr>
                <w:rFonts w:eastAsia="Calibri"/>
                <w:sz w:val="18"/>
                <w:szCs w:val="18"/>
                <w:lang w:eastAsia="en-US"/>
              </w:rPr>
              <w:t>7</w:t>
            </w:r>
          </w:p>
        </w:tc>
        <w:tc>
          <w:tcPr>
            <w:tcW w:w="1796" w:type="dxa"/>
            <w:tcBorders>
              <w:top w:val="nil"/>
              <w:left w:val="single" w:sz="4" w:space="0" w:color="auto"/>
              <w:bottom w:val="nil"/>
              <w:right w:val="single" w:sz="4" w:space="0" w:color="auto"/>
            </w:tcBorders>
            <w:vAlign w:val="center"/>
          </w:tcPr>
          <w:p w14:paraId="3684C125"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Frankfurt</w:t>
            </w:r>
          </w:p>
        </w:tc>
        <w:tc>
          <w:tcPr>
            <w:tcW w:w="2484" w:type="dxa"/>
            <w:tcBorders>
              <w:top w:val="nil"/>
              <w:left w:val="single" w:sz="4" w:space="0" w:color="auto"/>
              <w:bottom w:val="nil"/>
              <w:right w:val="single" w:sz="4" w:space="0" w:color="auto"/>
            </w:tcBorders>
            <w:vAlign w:val="center"/>
          </w:tcPr>
          <w:p w14:paraId="1DF27F70" w14:textId="77777777" w:rsidR="00CB3D67" w:rsidRPr="00CB3D67" w:rsidRDefault="00CB3D67" w:rsidP="00CB3D67">
            <w:pPr>
              <w:rPr>
                <w:rFonts w:ascii="Calibri" w:eastAsia="Calibri" w:hAnsi="Calibri"/>
                <w:sz w:val="22"/>
                <w:szCs w:val="22"/>
                <w:lang w:eastAsia="en-US"/>
              </w:rPr>
            </w:pPr>
            <w:r w:rsidRPr="00CB3D67">
              <w:rPr>
                <w:rFonts w:eastAsia="Calibri"/>
                <w:sz w:val="18"/>
                <w:szCs w:val="18"/>
                <w:lang w:eastAsia="en-US"/>
              </w:rPr>
              <w:t>Alemania</w:t>
            </w:r>
          </w:p>
        </w:tc>
        <w:tc>
          <w:tcPr>
            <w:tcW w:w="2551" w:type="dxa"/>
            <w:tcBorders>
              <w:top w:val="nil"/>
              <w:left w:val="single" w:sz="4" w:space="0" w:color="auto"/>
              <w:bottom w:val="nil"/>
              <w:right w:val="single" w:sz="4" w:space="0" w:color="auto"/>
            </w:tcBorders>
            <w:vAlign w:val="center"/>
          </w:tcPr>
          <w:p w14:paraId="7B0F9ABD"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Europa Occidental</w:t>
            </w:r>
          </w:p>
        </w:tc>
      </w:tr>
      <w:tr w:rsidR="00CB3D67" w:rsidRPr="00CB3D67" w14:paraId="0F1F9A5F" w14:textId="77777777" w:rsidTr="009A4CE7">
        <w:trPr>
          <w:jc w:val="center"/>
        </w:trPr>
        <w:tc>
          <w:tcPr>
            <w:tcW w:w="1351" w:type="dxa"/>
            <w:tcBorders>
              <w:top w:val="nil"/>
              <w:left w:val="single" w:sz="4" w:space="0" w:color="auto"/>
              <w:bottom w:val="nil"/>
              <w:right w:val="single" w:sz="4" w:space="0" w:color="auto"/>
            </w:tcBorders>
            <w:vAlign w:val="center"/>
          </w:tcPr>
          <w:p w14:paraId="25B61F61" w14:textId="77777777" w:rsidR="00CB3D67" w:rsidRPr="00CB3D67" w:rsidRDefault="00CB3D67" w:rsidP="00CB3D67">
            <w:pPr>
              <w:spacing w:before="20" w:after="20"/>
              <w:ind w:right="340"/>
              <w:jc w:val="right"/>
              <w:rPr>
                <w:rFonts w:eastAsia="Calibri"/>
                <w:sz w:val="18"/>
                <w:szCs w:val="18"/>
                <w:lang w:eastAsia="en-US"/>
              </w:rPr>
            </w:pPr>
            <w:r w:rsidRPr="00CB3D67">
              <w:rPr>
                <w:rFonts w:eastAsia="Calibri"/>
                <w:sz w:val="18"/>
                <w:szCs w:val="18"/>
                <w:lang w:eastAsia="en-US"/>
              </w:rPr>
              <w:t>8</w:t>
            </w:r>
          </w:p>
        </w:tc>
        <w:tc>
          <w:tcPr>
            <w:tcW w:w="1457" w:type="dxa"/>
            <w:tcBorders>
              <w:top w:val="nil"/>
              <w:left w:val="single" w:sz="4" w:space="0" w:color="auto"/>
              <w:bottom w:val="nil"/>
              <w:right w:val="single" w:sz="4" w:space="0" w:color="auto"/>
            </w:tcBorders>
            <w:vAlign w:val="center"/>
          </w:tcPr>
          <w:p w14:paraId="56DE8B54" w14:textId="77777777" w:rsidR="00CB3D67" w:rsidRPr="00CB3D67" w:rsidRDefault="00CB3D67" w:rsidP="00156E9C">
            <w:pPr>
              <w:spacing w:before="20" w:after="20"/>
              <w:ind w:left="-227" w:right="454"/>
              <w:jc w:val="right"/>
              <w:rPr>
                <w:rFonts w:eastAsia="Calibri"/>
                <w:sz w:val="18"/>
                <w:szCs w:val="18"/>
                <w:lang w:eastAsia="en-US"/>
              </w:rPr>
            </w:pPr>
            <w:r w:rsidRPr="00CB3D67">
              <w:rPr>
                <w:rFonts w:eastAsia="Calibri"/>
                <w:sz w:val="18"/>
                <w:szCs w:val="18"/>
                <w:lang w:eastAsia="en-US"/>
              </w:rPr>
              <w:t>8</w:t>
            </w:r>
          </w:p>
        </w:tc>
        <w:tc>
          <w:tcPr>
            <w:tcW w:w="1796" w:type="dxa"/>
            <w:tcBorders>
              <w:top w:val="nil"/>
              <w:left w:val="single" w:sz="4" w:space="0" w:color="auto"/>
              <w:bottom w:val="nil"/>
              <w:right w:val="single" w:sz="4" w:space="0" w:color="auto"/>
            </w:tcBorders>
            <w:vAlign w:val="center"/>
          </w:tcPr>
          <w:p w14:paraId="3293ED1C"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Ginebra</w:t>
            </w:r>
          </w:p>
        </w:tc>
        <w:tc>
          <w:tcPr>
            <w:tcW w:w="2484" w:type="dxa"/>
            <w:tcBorders>
              <w:top w:val="nil"/>
              <w:left w:val="single" w:sz="4" w:space="0" w:color="auto"/>
              <w:bottom w:val="nil"/>
              <w:right w:val="single" w:sz="4" w:space="0" w:color="auto"/>
            </w:tcBorders>
            <w:vAlign w:val="center"/>
          </w:tcPr>
          <w:p w14:paraId="6FFC0B9C"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Suiza</w:t>
            </w:r>
          </w:p>
        </w:tc>
        <w:tc>
          <w:tcPr>
            <w:tcW w:w="2551" w:type="dxa"/>
            <w:tcBorders>
              <w:top w:val="nil"/>
              <w:left w:val="single" w:sz="4" w:space="0" w:color="auto"/>
              <w:bottom w:val="nil"/>
              <w:right w:val="single" w:sz="4" w:space="0" w:color="auto"/>
            </w:tcBorders>
            <w:vAlign w:val="center"/>
          </w:tcPr>
          <w:p w14:paraId="3356419B"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Europa Occidental</w:t>
            </w:r>
          </w:p>
        </w:tc>
      </w:tr>
      <w:tr w:rsidR="00CB3D67" w:rsidRPr="00CB3D67" w14:paraId="0DF40601" w14:textId="77777777" w:rsidTr="009A4CE7">
        <w:trPr>
          <w:jc w:val="center"/>
        </w:trPr>
        <w:tc>
          <w:tcPr>
            <w:tcW w:w="1351" w:type="dxa"/>
            <w:tcBorders>
              <w:top w:val="nil"/>
              <w:left w:val="single" w:sz="4" w:space="0" w:color="auto"/>
              <w:bottom w:val="nil"/>
              <w:right w:val="single" w:sz="4" w:space="0" w:color="auto"/>
            </w:tcBorders>
            <w:vAlign w:val="center"/>
          </w:tcPr>
          <w:p w14:paraId="4A71F7CB" w14:textId="77777777" w:rsidR="00CB3D67" w:rsidRPr="00CB3D67" w:rsidRDefault="00CB3D67" w:rsidP="00CB3D67">
            <w:pPr>
              <w:spacing w:before="20" w:after="20"/>
              <w:ind w:right="340"/>
              <w:jc w:val="right"/>
              <w:rPr>
                <w:rFonts w:eastAsia="Calibri"/>
                <w:sz w:val="18"/>
                <w:szCs w:val="18"/>
                <w:lang w:eastAsia="en-US"/>
              </w:rPr>
            </w:pPr>
            <w:r w:rsidRPr="00CB3D67">
              <w:rPr>
                <w:rFonts w:eastAsia="Calibri"/>
                <w:sz w:val="18"/>
                <w:szCs w:val="18"/>
                <w:lang w:eastAsia="en-US"/>
              </w:rPr>
              <w:t>9</w:t>
            </w:r>
          </w:p>
        </w:tc>
        <w:tc>
          <w:tcPr>
            <w:tcW w:w="1457" w:type="dxa"/>
            <w:tcBorders>
              <w:top w:val="nil"/>
              <w:left w:val="single" w:sz="4" w:space="0" w:color="auto"/>
              <w:bottom w:val="nil"/>
              <w:right w:val="single" w:sz="4" w:space="0" w:color="auto"/>
            </w:tcBorders>
            <w:vAlign w:val="center"/>
          </w:tcPr>
          <w:p w14:paraId="113BF2F4" w14:textId="77777777" w:rsidR="00CB3D67" w:rsidRPr="00CB3D67" w:rsidRDefault="00CB3D67" w:rsidP="00156E9C">
            <w:pPr>
              <w:spacing w:before="20" w:after="20"/>
              <w:ind w:left="-227" w:right="454"/>
              <w:jc w:val="right"/>
              <w:rPr>
                <w:rFonts w:eastAsia="Calibri"/>
                <w:sz w:val="18"/>
                <w:szCs w:val="18"/>
                <w:lang w:eastAsia="en-US"/>
              </w:rPr>
            </w:pPr>
            <w:r w:rsidRPr="00CB3D67">
              <w:rPr>
                <w:rFonts w:eastAsia="Calibri"/>
                <w:sz w:val="18"/>
                <w:szCs w:val="18"/>
                <w:lang w:eastAsia="en-US"/>
              </w:rPr>
              <w:t>9</w:t>
            </w:r>
          </w:p>
        </w:tc>
        <w:tc>
          <w:tcPr>
            <w:tcW w:w="1796" w:type="dxa"/>
            <w:tcBorders>
              <w:top w:val="nil"/>
              <w:left w:val="single" w:sz="4" w:space="0" w:color="auto"/>
              <w:bottom w:val="nil"/>
              <w:right w:val="single" w:sz="4" w:space="0" w:color="auto"/>
            </w:tcBorders>
            <w:vAlign w:val="center"/>
          </w:tcPr>
          <w:p w14:paraId="43E423B4"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Copenhague</w:t>
            </w:r>
          </w:p>
        </w:tc>
        <w:tc>
          <w:tcPr>
            <w:tcW w:w="2484" w:type="dxa"/>
            <w:tcBorders>
              <w:top w:val="nil"/>
              <w:left w:val="single" w:sz="4" w:space="0" w:color="auto"/>
              <w:bottom w:val="nil"/>
              <w:right w:val="single" w:sz="4" w:space="0" w:color="auto"/>
            </w:tcBorders>
            <w:vAlign w:val="center"/>
          </w:tcPr>
          <w:p w14:paraId="223A788C"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Dinamarca</w:t>
            </w:r>
          </w:p>
        </w:tc>
        <w:tc>
          <w:tcPr>
            <w:tcW w:w="2551" w:type="dxa"/>
            <w:tcBorders>
              <w:top w:val="nil"/>
              <w:left w:val="single" w:sz="4" w:space="0" w:color="auto"/>
              <w:bottom w:val="nil"/>
              <w:right w:val="single" w:sz="4" w:space="0" w:color="auto"/>
            </w:tcBorders>
            <w:vAlign w:val="center"/>
          </w:tcPr>
          <w:p w14:paraId="382F69A1"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Europa Occidental</w:t>
            </w:r>
          </w:p>
        </w:tc>
      </w:tr>
      <w:tr w:rsidR="00CB3D67" w:rsidRPr="00CB3D67" w14:paraId="73E9772C" w14:textId="77777777" w:rsidTr="009A4CE7">
        <w:trPr>
          <w:jc w:val="center"/>
        </w:trPr>
        <w:tc>
          <w:tcPr>
            <w:tcW w:w="1351" w:type="dxa"/>
            <w:tcBorders>
              <w:top w:val="nil"/>
              <w:left w:val="single" w:sz="4" w:space="0" w:color="auto"/>
              <w:bottom w:val="nil"/>
              <w:right w:val="single" w:sz="4" w:space="0" w:color="auto"/>
            </w:tcBorders>
            <w:vAlign w:val="center"/>
          </w:tcPr>
          <w:p w14:paraId="659716E6" w14:textId="77777777" w:rsidR="00CB3D67" w:rsidRPr="00CB3D67" w:rsidRDefault="00CB3D67" w:rsidP="00CB3D67">
            <w:pPr>
              <w:spacing w:before="20" w:after="20"/>
              <w:ind w:right="340"/>
              <w:jc w:val="right"/>
              <w:rPr>
                <w:rFonts w:eastAsia="Calibri"/>
                <w:sz w:val="18"/>
                <w:szCs w:val="18"/>
                <w:lang w:eastAsia="en-US"/>
              </w:rPr>
            </w:pPr>
            <w:r w:rsidRPr="00CB3D67">
              <w:rPr>
                <w:rFonts w:eastAsia="Calibri"/>
                <w:sz w:val="18"/>
                <w:szCs w:val="18"/>
                <w:lang w:eastAsia="en-US"/>
              </w:rPr>
              <w:t>10</w:t>
            </w:r>
          </w:p>
        </w:tc>
        <w:tc>
          <w:tcPr>
            <w:tcW w:w="1457" w:type="dxa"/>
            <w:tcBorders>
              <w:top w:val="nil"/>
              <w:left w:val="single" w:sz="4" w:space="0" w:color="auto"/>
              <w:bottom w:val="nil"/>
              <w:right w:val="single" w:sz="4" w:space="0" w:color="auto"/>
            </w:tcBorders>
            <w:vAlign w:val="center"/>
          </w:tcPr>
          <w:p w14:paraId="70565AC8" w14:textId="77777777" w:rsidR="00CB3D67" w:rsidRPr="00CB3D67" w:rsidRDefault="00CB3D67" w:rsidP="00156E9C">
            <w:pPr>
              <w:spacing w:before="20" w:after="20"/>
              <w:ind w:left="-227" w:right="454"/>
              <w:jc w:val="right"/>
              <w:rPr>
                <w:rFonts w:eastAsia="Calibri"/>
                <w:sz w:val="18"/>
                <w:szCs w:val="18"/>
                <w:lang w:eastAsia="en-US"/>
              </w:rPr>
            </w:pPr>
            <w:r w:rsidRPr="00CB3D67">
              <w:rPr>
                <w:rFonts w:eastAsia="Calibri"/>
                <w:sz w:val="18"/>
                <w:szCs w:val="18"/>
                <w:lang w:eastAsia="en-US"/>
              </w:rPr>
              <w:t>10</w:t>
            </w:r>
          </w:p>
        </w:tc>
        <w:tc>
          <w:tcPr>
            <w:tcW w:w="1796" w:type="dxa"/>
            <w:tcBorders>
              <w:top w:val="nil"/>
              <w:left w:val="single" w:sz="4" w:space="0" w:color="auto"/>
              <w:bottom w:val="nil"/>
              <w:right w:val="single" w:sz="4" w:space="0" w:color="auto"/>
            </w:tcBorders>
            <w:vAlign w:val="center"/>
          </w:tcPr>
          <w:p w14:paraId="3BE593B5"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Sídney</w:t>
            </w:r>
          </w:p>
        </w:tc>
        <w:tc>
          <w:tcPr>
            <w:tcW w:w="2484" w:type="dxa"/>
            <w:tcBorders>
              <w:top w:val="nil"/>
              <w:left w:val="single" w:sz="4" w:space="0" w:color="auto"/>
              <w:bottom w:val="nil"/>
              <w:right w:val="single" w:sz="4" w:space="0" w:color="auto"/>
            </w:tcBorders>
            <w:vAlign w:val="center"/>
          </w:tcPr>
          <w:p w14:paraId="716053B4"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Australia</w:t>
            </w:r>
          </w:p>
        </w:tc>
        <w:tc>
          <w:tcPr>
            <w:tcW w:w="2551" w:type="dxa"/>
            <w:tcBorders>
              <w:top w:val="nil"/>
              <w:left w:val="single" w:sz="4" w:space="0" w:color="auto"/>
              <w:bottom w:val="nil"/>
              <w:right w:val="single" w:sz="4" w:space="0" w:color="auto"/>
            </w:tcBorders>
            <w:vAlign w:val="center"/>
          </w:tcPr>
          <w:p w14:paraId="17780F23"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Asia y el Pacífico</w:t>
            </w:r>
          </w:p>
        </w:tc>
      </w:tr>
      <w:tr w:rsidR="00CB3D67" w:rsidRPr="00CB3D67" w14:paraId="0B8D61A0" w14:textId="77777777" w:rsidTr="009A4CE7">
        <w:trPr>
          <w:jc w:val="center"/>
        </w:trPr>
        <w:tc>
          <w:tcPr>
            <w:tcW w:w="1351" w:type="dxa"/>
            <w:tcBorders>
              <w:top w:val="nil"/>
              <w:left w:val="single" w:sz="4" w:space="0" w:color="auto"/>
              <w:bottom w:val="nil"/>
              <w:right w:val="single" w:sz="4" w:space="0" w:color="auto"/>
            </w:tcBorders>
            <w:vAlign w:val="center"/>
          </w:tcPr>
          <w:p w14:paraId="5E8DBB6F" w14:textId="77777777" w:rsidR="00CB3D67" w:rsidRPr="00CB3D67" w:rsidRDefault="00CB3D67" w:rsidP="00CB3D67">
            <w:pPr>
              <w:spacing w:before="20" w:after="20"/>
              <w:ind w:right="340"/>
              <w:jc w:val="right"/>
              <w:rPr>
                <w:rFonts w:eastAsia="Calibri"/>
                <w:sz w:val="18"/>
                <w:szCs w:val="18"/>
                <w:lang w:eastAsia="en-US"/>
              </w:rPr>
            </w:pPr>
            <w:r w:rsidRPr="00CB3D67">
              <w:rPr>
                <w:rFonts w:eastAsia="Calibri"/>
                <w:sz w:val="18"/>
                <w:szCs w:val="18"/>
                <w:lang w:eastAsia="en-US"/>
              </w:rPr>
              <w:t>69</w:t>
            </w:r>
          </w:p>
        </w:tc>
        <w:tc>
          <w:tcPr>
            <w:tcW w:w="1457" w:type="dxa"/>
            <w:tcBorders>
              <w:top w:val="nil"/>
              <w:left w:val="single" w:sz="4" w:space="0" w:color="auto"/>
              <w:bottom w:val="nil"/>
              <w:right w:val="single" w:sz="4" w:space="0" w:color="auto"/>
            </w:tcBorders>
            <w:vAlign w:val="center"/>
          </w:tcPr>
          <w:p w14:paraId="7E5C7341" w14:textId="77777777" w:rsidR="00CB3D67" w:rsidRPr="00CB3D67" w:rsidRDefault="00CB3D67" w:rsidP="00156E9C">
            <w:pPr>
              <w:spacing w:before="20" w:after="20"/>
              <w:ind w:left="-227" w:right="454"/>
              <w:jc w:val="right"/>
              <w:rPr>
                <w:rFonts w:eastAsia="Calibri"/>
                <w:sz w:val="18"/>
                <w:szCs w:val="18"/>
                <w:lang w:eastAsia="en-US"/>
              </w:rPr>
            </w:pPr>
            <w:r w:rsidRPr="00CB3D67">
              <w:rPr>
                <w:rFonts w:eastAsia="Calibri"/>
                <w:sz w:val="18"/>
                <w:szCs w:val="18"/>
                <w:lang w:eastAsia="en-US"/>
              </w:rPr>
              <w:t>69</w:t>
            </w:r>
          </w:p>
        </w:tc>
        <w:tc>
          <w:tcPr>
            <w:tcW w:w="1796" w:type="dxa"/>
            <w:tcBorders>
              <w:top w:val="nil"/>
              <w:left w:val="single" w:sz="4" w:space="0" w:color="auto"/>
              <w:bottom w:val="nil"/>
              <w:right w:val="single" w:sz="4" w:space="0" w:color="auto"/>
            </w:tcBorders>
            <w:vAlign w:val="center"/>
          </w:tcPr>
          <w:p w14:paraId="3BBE6DF7"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Pointe-A-Pitre</w:t>
            </w:r>
          </w:p>
        </w:tc>
        <w:tc>
          <w:tcPr>
            <w:tcW w:w="2484" w:type="dxa"/>
            <w:tcBorders>
              <w:top w:val="nil"/>
              <w:left w:val="single" w:sz="4" w:space="0" w:color="auto"/>
              <w:bottom w:val="nil"/>
              <w:right w:val="single" w:sz="4" w:space="0" w:color="auto"/>
            </w:tcBorders>
            <w:vAlign w:val="center"/>
          </w:tcPr>
          <w:p w14:paraId="138D5F32"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Guadalupe</w:t>
            </w:r>
          </w:p>
        </w:tc>
        <w:tc>
          <w:tcPr>
            <w:tcW w:w="2551" w:type="dxa"/>
            <w:tcBorders>
              <w:top w:val="nil"/>
              <w:left w:val="single" w:sz="4" w:space="0" w:color="auto"/>
              <w:bottom w:val="nil"/>
              <w:right w:val="single" w:sz="4" w:space="0" w:color="auto"/>
            </w:tcBorders>
            <w:vAlign w:val="center"/>
          </w:tcPr>
          <w:p w14:paraId="3189B910"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América del Norte</w:t>
            </w:r>
          </w:p>
        </w:tc>
      </w:tr>
      <w:tr w:rsidR="00CB3D67" w:rsidRPr="00CB3D67" w14:paraId="4B977552" w14:textId="77777777" w:rsidTr="009A4CE7">
        <w:trPr>
          <w:jc w:val="center"/>
        </w:trPr>
        <w:tc>
          <w:tcPr>
            <w:tcW w:w="1351" w:type="dxa"/>
            <w:tcBorders>
              <w:top w:val="nil"/>
              <w:left w:val="single" w:sz="4" w:space="0" w:color="auto"/>
              <w:bottom w:val="nil"/>
              <w:right w:val="single" w:sz="4" w:space="0" w:color="auto"/>
            </w:tcBorders>
            <w:vAlign w:val="center"/>
          </w:tcPr>
          <w:p w14:paraId="49E6DD30" w14:textId="77777777" w:rsidR="00CB3D67" w:rsidRPr="00CB3D67" w:rsidRDefault="00CB3D67" w:rsidP="00CB3D67">
            <w:pPr>
              <w:spacing w:before="20" w:after="20"/>
              <w:ind w:right="340"/>
              <w:jc w:val="right"/>
              <w:rPr>
                <w:rFonts w:eastAsia="Calibri"/>
                <w:sz w:val="18"/>
                <w:szCs w:val="18"/>
                <w:lang w:eastAsia="en-US"/>
              </w:rPr>
            </w:pPr>
            <w:r w:rsidRPr="00CB3D67">
              <w:rPr>
                <w:rFonts w:eastAsia="Calibri"/>
                <w:sz w:val="18"/>
                <w:szCs w:val="18"/>
                <w:lang w:eastAsia="en-US"/>
              </w:rPr>
              <w:t>77</w:t>
            </w:r>
          </w:p>
        </w:tc>
        <w:tc>
          <w:tcPr>
            <w:tcW w:w="1457" w:type="dxa"/>
            <w:tcBorders>
              <w:top w:val="nil"/>
              <w:left w:val="single" w:sz="4" w:space="0" w:color="auto"/>
              <w:bottom w:val="nil"/>
              <w:right w:val="single" w:sz="4" w:space="0" w:color="auto"/>
            </w:tcBorders>
            <w:vAlign w:val="center"/>
          </w:tcPr>
          <w:p w14:paraId="38C05EC4" w14:textId="77777777" w:rsidR="00CB3D67" w:rsidRPr="00CB3D67" w:rsidRDefault="00CB3D67" w:rsidP="00156E9C">
            <w:pPr>
              <w:spacing w:before="20" w:after="20"/>
              <w:ind w:left="-227" w:right="454"/>
              <w:jc w:val="right"/>
              <w:rPr>
                <w:rFonts w:eastAsia="Calibri"/>
                <w:sz w:val="18"/>
                <w:szCs w:val="18"/>
                <w:lang w:eastAsia="en-US"/>
              </w:rPr>
            </w:pPr>
            <w:r w:rsidRPr="00CB3D67">
              <w:rPr>
                <w:rFonts w:eastAsia="Calibri"/>
                <w:sz w:val="18"/>
                <w:szCs w:val="18"/>
                <w:lang w:eastAsia="en-US"/>
              </w:rPr>
              <w:t>78</w:t>
            </w:r>
          </w:p>
        </w:tc>
        <w:tc>
          <w:tcPr>
            <w:tcW w:w="1796" w:type="dxa"/>
            <w:tcBorders>
              <w:top w:val="nil"/>
              <w:left w:val="single" w:sz="4" w:space="0" w:color="auto"/>
              <w:bottom w:val="nil"/>
              <w:right w:val="single" w:sz="4" w:space="0" w:color="auto"/>
            </w:tcBorders>
            <w:vAlign w:val="center"/>
          </w:tcPr>
          <w:p w14:paraId="4700675C"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Montevideo</w:t>
            </w:r>
          </w:p>
        </w:tc>
        <w:tc>
          <w:tcPr>
            <w:tcW w:w="2484" w:type="dxa"/>
            <w:tcBorders>
              <w:top w:val="nil"/>
              <w:left w:val="single" w:sz="4" w:space="0" w:color="auto"/>
              <w:bottom w:val="nil"/>
              <w:right w:val="single" w:sz="4" w:space="0" w:color="auto"/>
            </w:tcBorders>
            <w:vAlign w:val="center"/>
          </w:tcPr>
          <w:p w14:paraId="758A0C4F"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Uruguay</w:t>
            </w:r>
          </w:p>
        </w:tc>
        <w:tc>
          <w:tcPr>
            <w:tcW w:w="2551" w:type="dxa"/>
            <w:tcBorders>
              <w:top w:val="nil"/>
              <w:left w:val="single" w:sz="4" w:space="0" w:color="auto"/>
              <w:bottom w:val="nil"/>
              <w:right w:val="single" w:sz="4" w:space="0" w:color="auto"/>
            </w:tcBorders>
            <w:vAlign w:val="center"/>
          </w:tcPr>
          <w:p w14:paraId="4C073560"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América del Sur</w:t>
            </w:r>
          </w:p>
        </w:tc>
      </w:tr>
      <w:tr w:rsidR="00CB3D67" w:rsidRPr="00CB3D67" w14:paraId="6EC4CDB0" w14:textId="77777777" w:rsidTr="009A4CE7">
        <w:trPr>
          <w:jc w:val="center"/>
        </w:trPr>
        <w:tc>
          <w:tcPr>
            <w:tcW w:w="1351" w:type="dxa"/>
            <w:tcBorders>
              <w:top w:val="nil"/>
              <w:left w:val="single" w:sz="4" w:space="0" w:color="auto"/>
              <w:bottom w:val="nil"/>
              <w:right w:val="single" w:sz="4" w:space="0" w:color="auto"/>
            </w:tcBorders>
            <w:vAlign w:val="center"/>
          </w:tcPr>
          <w:p w14:paraId="0C7CB5A4" w14:textId="77777777" w:rsidR="00CB3D67" w:rsidRPr="00CB3D67" w:rsidRDefault="00CB3D67" w:rsidP="00CB3D67">
            <w:pPr>
              <w:spacing w:before="20" w:after="20"/>
              <w:ind w:right="340"/>
              <w:jc w:val="right"/>
              <w:rPr>
                <w:rFonts w:eastAsia="Calibri"/>
                <w:sz w:val="18"/>
                <w:szCs w:val="18"/>
                <w:lang w:eastAsia="en-US"/>
              </w:rPr>
            </w:pPr>
            <w:r w:rsidRPr="00CB3D67">
              <w:rPr>
                <w:rFonts w:eastAsia="Calibri"/>
                <w:sz w:val="18"/>
                <w:szCs w:val="18"/>
                <w:lang w:eastAsia="en-US"/>
              </w:rPr>
              <w:t>81</w:t>
            </w:r>
          </w:p>
        </w:tc>
        <w:tc>
          <w:tcPr>
            <w:tcW w:w="1457" w:type="dxa"/>
            <w:tcBorders>
              <w:top w:val="nil"/>
              <w:left w:val="single" w:sz="4" w:space="0" w:color="auto"/>
              <w:bottom w:val="nil"/>
              <w:right w:val="single" w:sz="4" w:space="0" w:color="auto"/>
            </w:tcBorders>
            <w:vAlign w:val="center"/>
          </w:tcPr>
          <w:p w14:paraId="275108CE" w14:textId="77777777" w:rsidR="00CB3D67" w:rsidRPr="00CB3D67" w:rsidRDefault="00CB3D67" w:rsidP="00156E9C">
            <w:pPr>
              <w:spacing w:before="20" w:after="20"/>
              <w:ind w:left="-227" w:right="454"/>
              <w:jc w:val="right"/>
              <w:rPr>
                <w:rFonts w:eastAsia="Calibri"/>
                <w:sz w:val="18"/>
                <w:szCs w:val="18"/>
                <w:lang w:eastAsia="en-US"/>
              </w:rPr>
            </w:pPr>
            <w:r w:rsidRPr="00CB3D67">
              <w:rPr>
                <w:rFonts w:eastAsia="Calibri"/>
                <w:sz w:val="18"/>
                <w:szCs w:val="18"/>
                <w:lang w:eastAsia="en-US"/>
              </w:rPr>
              <w:t>91</w:t>
            </w:r>
          </w:p>
        </w:tc>
        <w:tc>
          <w:tcPr>
            <w:tcW w:w="1796" w:type="dxa"/>
            <w:tcBorders>
              <w:top w:val="nil"/>
              <w:left w:val="single" w:sz="4" w:space="0" w:color="auto"/>
              <w:bottom w:val="nil"/>
              <w:right w:val="single" w:sz="4" w:space="0" w:color="auto"/>
            </w:tcBorders>
            <w:vAlign w:val="center"/>
          </w:tcPr>
          <w:p w14:paraId="6ACB9176"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Buenos Aires</w:t>
            </w:r>
          </w:p>
        </w:tc>
        <w:tc>
          <w:tcPr>
            <w:tcW w:w="2484" w:type="dxa"/>
            <w:tcBorders>
              <w:top w:val="nil"/>
              <w:left w:val="single" w:sz="4" w:space="0" w:color="auto"/>
              <w:bottom w:val="nil"/>
              <w:right w:val="single" w:sz="4" w:space="0" w:color="auto"/>
            </w:tcBorders>
            <w:vAlign w:val="center"/>
          </w:tcPr>
          <w:p w14:paraId="1E9858C6"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Argentina</w:t>
            </w:r>
          </w:p>
        </w:tc>
        <w:tc>
          <w:tcPr>
            <w:tcW w:w="2551" w:type="dxa"/>
            <w:tcBorders>
              <w:top w:val="nil"/>
              <w:left w:val="single" w:sz="4" w:space="0" w:color="auto"/>
              <w:bottom w:val="nil"/>
              <w:right w:val="single" w:sz="4" w:space="0" w:color="auto"/>
            </w:tcBorders>
            <w:vAlign w:val="center"/>
          </w:tcPr>
          <w:p w14:paraId="559275FA"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América del Sur</w:t>
            </w:r>
          </w:p>
        </w:tc>
      </w:tr>
      <w:tr w:rsidR="00CB3D67" w:rsidRPr="00CB3D67" w14:paraId="0EF9593C" w14:textId="77777777" w:rsidTr="009A4CE7">
        <w:trPr>
          <w:jc w:val="center"/>
        </w:trPr>
        <w:tc>
          <w:tcPr>
            <w:tcW w:w="1351" w:type="dxa"/>
            <w:tcBorders>
              <w:top w:val="nil"/>
              <w:left w:val="single" w:sz="4" w:space="0" w:color="auto"/>
              <w:bottom w:val="nil"/>
              <w:right w:val="single" w:sz="4" w:space="0" w:color="auto"/>
            </w:tcBorders>
            <w:vAlign w:val="center"/>
          </w:tcPr>
          <w:p w14:paraId="0F13B8ED" w14:textId="77777777" w:rsidR="00CB3D67" w:rsidRPr="00CB3D67" w:rsidRDefault="00CB3D67" w:rsidP="00CB3D67">
            <w:pPr>
              <w:spacing w:before="20" w:after="20"/>
              <w:ind w:right="340"/>
              <w:jc w:val="right"/>
              <w:rPr>
                <w:rFonts w:eastAsia="Calibri"/>
                <w:sz w:val="18"/>
                <w:szCs w:val="18"/>
                <w:lang w:eastAsia="en-US"/>
              </w:rPr>
            </w:pPr>
            <w:r w:rsidRPr="00CB3D67">
              <w:rPr>
                <w:rFonts w:eastAsia="Calibri"/>
                <w:sz w:val="18"/>
                <w:szCs w:val="18"/>
                <w:lang w:eastAsia="en-US"/>
              </w:rPr>
              <w:t>93</w:t>
            </w:r>
          </w:p>
        </w:tc>
        <w:tc>
          <w:tcPr>
            <w:tcW w:w="1457" w:type="dxa"/>
            <w:tcBorders>
              <w:top w:val="nil"/>
              <w:left w:val="single" w:sz="4" w:space="0" w:color="auto"/>
              <w:bottom w:val="nil"/>
              <w:right w:val="single" w:sz="4" w:space="0" w:color="auto"/>
            </w:tcBorders>
            <w:vAlign w:val="center"/>
          </w:tcPr>
          <w:p w14:paraId="02AA0370" w14:textId="77777777" w:rsidR="00CB3D67" w:rsidRPr="00CB3D67" w:rsidRDefault="00CB3D67" w:rsidP="00156E9C">
            <w:pPr>
              <w:spacing w:before="20" w:after="20"/>
              <w:ind w:left="-227" w:right="454"/>
              <w:jc w:val="right"/>
              <w:rPr>
                <w:rFonts w:eastAsia="Calibri"/>
                <w:sz w:val="18"/>
                <w:szCs w:val="18"/>
                <w:lang w:eastAsia="en-US"/>
              </w:rPr>
            </w:pPr>
            <w:r w:rsidRPr="00CB3D67">
              <w:rPr>
                <w:rFonts w:eastAsia="Calibri"/>
                <w:sz w:val="18"/>
                <w:szCs w:val="18"/>
                <w:lang w:eastAsia="en-US"/>
              </w:rPr>
              <w:t>93</w:t>
            </w:r>
          </w:p>
        </w:tc>
        <w:tc>
          <w:tcPr>
            <w:tcW w:w="1796" w:type="dxa"/>
            <w:tcBorders>
              <w:top w:val="nil"/>
              <w:left w:val="single" w:sz="4" w:space="0" w:color="auto"/>
              <w:bottom w:val="nil"/>
              <w:right w:val="single" w:sz="4" w:space="0" w:color="auto"/>
            </w:tcBorders>
            <w:vAlign w:val="center"/>
          </w:tcPr>
          <w:p w14:paraId="4F52A106"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Santiago</w:t>
            </w:r>
          </w:p>
        </w:tc>
        <w:tc>
          <w:tcPr>
            <w:tcW w:w="2484" w:type="dxa"/>
            <w:tcBorders>
              <w:top w:val="nil"/>
              <w:left w:val="single" w:sz="4" w:space="0" w:color="auto"/>
              <w:bottom w:val="nil"/>
              <w:right w:val="single" w:sz="4" w:space="0" w:color="auto"/>
            </w:tcBorders>
            <w:vAlign w:val="center"/>
          </w:tcPr>
          <w:p w14:paraId="2FF84C02"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Chile</w:t>
            </w:r>
          </w:p>
        </w:tc>
        <w:tc>
          <w:tcPr>
            <w:tcW w:w="2551" w:type="dxa"/>
            <w:tcBorders>
              <w:top w:val="nil"/>
              <w:left w:val="single" w:sz="4" w:space="0" w:color="auto"/>
              <w:bottom w:val="nil"/>
              <w:right w:val="single" w:sz="4" w:space="0" w:color="auto"/>
            </w:tcBorders>
            <w:vAlign w:val="center"/>
          </w:tcPr>
          <w:p w14:paraId="6388B7A0"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América del Sur</w:t>
            </w:r>
          </w:p>
        </w:tc>
      </w:tr>
      <w:tr w:rsidR="00CB3D67" w:rsidRPr="00CB3D67" w14:paraId="6AC24386" w14:textId="77777777" w:rsidTr="009A4CE7">
        <w:trPr>
          <w:jc w:val="center"/>
        </w:trPr>
        <w:tc>
          <w:tcPr>
            <w:tcW w:w="1351" w:type="dxa"/>
            <w:tcBorders>
              <w:top w:val="nil"/>
              <w:left w:val="single" w:sz="4" w:space="0" w:color="auto"/>
              <w:bottom w:val="nil"/>
              <w:right w:val="single" w:sz="4" w:space="0" w:color="auto"/>
            </w:tcBorders>
            <w:vAlign w:val="center"/>
          </w:tcPr>
          <w:p w14:paraId="0EE0F9B0" w14:textId="77777777" w:rsidR="00CB3D67" w:rsidRPr="00CB3D67" w:rsidRDefault="00CB3D67" w:rsidP="00CB3D67">
            <w:pPr>
              <w:spacing w:before="20" w:after="20"/>
              <w:ind w:right="340"/>
              <w:jc w:val="right"/>
              <w:rPr>
                <w:rFonts w:eastAsia="Calibri"/>
                <w:sz w:val="18"/>
                <w:szCs w:val="18"/>
                <w:lang w:eastAsia="en-US"/>
              </w:rPr>
            </w:pPr>
            <w:r w:rsidRPr="00CB3D67">
              <w:rPr>
                <w:rFonts w:eastAsia="Calibri"/>
                <w:sz w:val="18"/>
                <w:szCs w:val="18"/>
                <w:lang w:eastAsia="en-US"/>
              </w:rPr>
              <w:t>120</w:t>
            </w:r>
          </w:p>
        </w:tc>
        <w:tc>
          <w:tcPr>
            <w:tcW w:w="1457" w:type="dxa"/>
            <w:tcBorders>
              <w:top w:val="nil"/>
              <w:left w:val="single" w:sz="4" w:space="0" w:color="auto"/>
              <w:bottom w:val="nil"/>
              <w:right w:val="single" w:sz="4" w:space="0" w:color="auto"/>
            </w:tcBorders>
            <w:vAlign w:val="center"/>
          </w:tcPr>
          <w:p w14:paraId="67D792D3" w14:textId="77777777" w:rsidR="00CB3D67" w:rsidRPr="00CB3D67" w:rsidRDefault="00CB3D67" w:rsidP="00156E9C">
            <w:pPr>
              <w:spacing w:before="20" w:after="20"/>
              <w:ind w:left="-227" w:right="454"/>
              <w:jc w:val="right"/>
              <w:rPr>
                <w:rFonts w:eastAsia="Calibri"/>
                <w:sz w:val="18"/>
                <w:szCs w:val="18"/>
                <w:lang w:eastAsia="en-US"/>
              </w:rPr>
            </w:pPr>
            <w:r w:rsidRPr="00CB3D67">
              <w:rPr>
                <w:rFonts w:eastAsia="Calibri"/>
                <w:sz w:val="18"/>
                <w:szCs w:val="18"/>
                <w:lang w:eastAsia="en-US"/>
              </w:rPr>
              <w:t>120</w:t>
            </w:r>
          </w:p>
        </w:tc>
        <w:tc>
          <w:tcPr>
            <w:tcW w:w="1796" w:type="dxa"/>
            <w:tcBorders>
              <w:top w:val="nil"/>
              <w:left w:val="single" w:sz="4" w:space="0" w:color="auto"/>
              <w:bottom w:val="nil"/>
              <w:right w:val="single" w:sz="4" w:space="0" w:color="auto"/>
            </w:tcBorders>
            <w:vAlign w:val="center"/>
          </w:tcPr>
          <w:p w14:paraId="5428AA34"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Sao Paulo</w:t>
            </w:r>
          </w:p>
        </w:tc>
        <w:tc>
          <w:tcPr>
            <w:tcW w:w="2484" w:type="dxa"/>
            <w:tcBorders>
              <w:top w:val="nil"/>
              <w:left w:val="single" w:sz="4" w:space="0" w:color="auto"/>
              <w:bottom w:val="nil"/>
              <w:right w:val="single" w:sz="4" w:space="0" w:color="auto"/>
            </w:tcBorders>
            <w:vAlign w:val="center"/>
          </w:tcPr>
          <w:p w14:paraId="371668E7"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Brasil</w:t>
            </w:r>
          </w:p>
        </w:tc>
        <w:tc>
          <w:tcPr>
            <w:tcW w:w="2551" w:type="dxa"/>
            <w:tcBorders>
              <w:top w:val="nil"/>
              <w:left w:val="single" w:sz="4" w:space="0" w:color="auto"/>
              <w:bottom w:val="nil"/>
              <w:right w:val="single" w:sz="4" w:space="0" w:color="auto"/>
            </w:tcBorders>
            <w:vAlign w:val="center"/>
          </w:tcPr>
          <w:p w14:paraId="71C341DA"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América del Sur</w:t>
            </w:r>
          </w:p>
        </w:tc>
      </w:tr>
      <w:tr w:rsidR="00CB3D67" w:rsidRPr="00CB3D67" w14:paraId="2924B5FB" w14:textId="77777777" w:rsidTr="009A4CE7">
        <w:trPr>
          <w:jc w:val="center"/>
        </w:trPr>
        <w:tc>
          <w:tcPr>
            <w:tcW w:w="1351" w:type="dxa"/>
            <w:tcBorders>
              <w:top w:val="nil"/>
              <w:left w:val="single" w:sz="4" w:space="0" w:color="auto"/>
              <w:bottom w:val="nil"/>
              <w:right w:val="single" w:sz="4" w:space="0" w:color="auto"/>
            </w:tcBorders>
            <w:vAlign w:val="center"/>
          </w:tcPr>
          <w:p w14:paraId="39A56B49" w14:textId="77777777" w:rsidR="00CB3D67" w:rsidRPr="00CB3D67" w:rsidRDefault="00CB3D67" w:rsidP="00CB3D67">
            <w:pPr>
              <w:spacing w:before="20" w:after="20"/>
              <w:ind w:right="340"/>
              <w:jc w:val="right"/>
              <w:rPr>
                <w:rFonts w:eastAsia="Calibri"/>
                <w:sz w:val="18"/>
                <w:szCs w:val="18"/>
                <w:lang w:eastAsia="en-US"/>
              </w:rPr>
            </w:pPr>
            <w:r w:rsidRPr="00CB3D67">
              <w:rPr>
                <w:rFonts w:eastAsia="Calibri"/>
                <w:sz w:val="18"/>
                <w:szCs w:val="18"/>
                <w:lang w:eastAsia="en-US"/>
              </w:rPr>
              <w:t>124</w:t>
            </w:r>
          </w:p>
        </w:tc>
        <w:tc>
          <w:tcPr>
            <w:tcW w:w="1457" w:type="dxa"/>
            <w:tcBorders>
              <w:top w:val="nil"/>
              <w:left w:val="single" w:sz="4" w:space="0" w:color="auto"/>
              <w:bottom w:val="nil"/>
              <w:right w:val="single" w:sz="4" w:space="0" w:color="auto"/>
            </w:tcBorders>
            <w:vAlign w:val="center"/>
          </w:tcPr>
          <w:p w14:paraId="1A118FD0" w14:textId="77777777" w:rsidR="00CB3D67" w:rsidRPr="00CB3D67" w:rsidRDefault="00CB3D67" w:rsidP="00156E9C">
            <w:pPr>
              <w:spacing w:before="20" w:after="20"/>
              <w:ind w:left="-227" w:right="454"/>
              <w:jc w:val="right"/>
              <w:rPr>
                <w:rFonts w:eastAsia="Calibri"/>
                <w:sz w:val="18"/>
                <w:szCs w:val="18"/>
                <w:lang w:eastAsia="en-US"/>
              </w:rPr>
            </w:pPr>
            <w:r w:rsidRPr="00CB3D67">
              <w:rPr>
                <w:rFonts w:eastAsia="Calibri"/>
                <w:sz w:val="18"/>
                <w:szCs w:val="18"/>
                <w:lang w:eastAsia="en-US"/>
              </w:rPr>
              <w:t>124</w:t>
            </w:r>
          </w:p>
        </w:tc>
        <w:tc>
          <w:tcPr>
            <w:tcW w:w="1796" w:type="dxa"/>
            <w:tcBorders>
              <w:top w:val="nil"/>
              <w:left w:val="single" w:sz="4" w:space="0" w:color="auto"/>
              <w:bottom w:val="nil"/>
              <w:right w:val="single" w:sz="4" w:space="0" w:color="auto"/>
            </w:tcBorders>
            <w:vAlign w:val="center"/>
          </w:tcPr>
          <w:p w14:paraId="2EC6CC32"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Lima</w:t>
            </w:r>
          </w:p>
        </w:tc>
        <w:tc>
          <w:tcPr>
            <w:tcW w:w="2484" w:type="dxa"/>
            <w:tcBorders>
              <w:top w:val="nil"/>
              <w:left w:val="single" w:sz="4" w:space="0" w:color="auto"/>
              <w:bottom w:val="nil"/>
              <w:right w:val="single" w:sz="4" w:space="0" w:color="auto"/>
            </w:tcBorders>
            <w:vAlign w:val="center"/>
          </w:tcPr>
          <w:p w14:paraId="1B946565"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Perú</w:t>
            </w:r>
          </w:p>
        </w:tc>
        <w:tc>
          <w:tcPr>
            <w:tcW w:w="2551" w:type="dxa"/>
            <w:tcBorders>
              <w:top w:val="nil"/>
              <w:left w:val="single" w:sz="4" w:space="0" w:color="auto"/>
              <w:bottom w:val="nil"/>
              <w:right w:val="single" w:sz="4" w:space="0" w:color="auto"/>
            </w:tcBorders>
            <w:vAlign w:val="center"/>
          </w:tcPr>
          <w:p w14:paraId="27029541"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América del Sur</w:t>
            </w:r>
          </w:p>
        </w:tc>
      </w:tr>
      <w:tr w:rsidR="00CB3D67" w:rsidRPr="00CB3D67" w14:paraId="0FF45B61" w14:textId="77777777" w:rsidTr="009A4CE7">
        <w:trPr>
          <w:jc w:val="center"/>
        </w:trPr>
        <w:tc>
          <w:tcPr>
            <w:tcW w:w="1351" w:type="dxa"/>
            <w:tcBorders>
              <w:top w:val="nil"/>
              <w:left w:val="single" w:sz="4" w:space="0" w:color="auto"/>
              <w:bottom w:val="nil"/>
              <w:right w:val="single" w:sz="4" w:space="0" w:color="auto"/>
            </w:tcBorders>
            <w:vAlign w:val="center"/>
          </w:tcPr>
          <w:p w14:paraId="00663016" w14:textId="77777777" w:rsidR="00CB3D67" w:rsidRPr="00CB3D67" w:rsidRDefault="00CB3D67" w:rsidP="00CB3D67">
            <w:pPr>
              <w:spacing w:before="20" w:after="20"/>
              <w:ind w:right="340"/>
              <w:jc w:val="right"/>
              <w:rPr>
                <w:rFonts w:eastAsia="Calibri"/>
                <w:sz w:val="18"/>
                <w:szCs w:val="18"/>
                <w:lang w:eastAsia="en-US"/>
              </w:rPr>
            </w:pPr>
            <w:r w:rsidRPr="00CB3D67">
              <w:rPr>
                <w:rFonts w:eastAsia="Calibri"/>
                <w:sz w:val="18"/>
                <w:szCs w:val="18"/>
                <w:lang w:eastAsia="en-US"/>
              </w:rPr>
              <w:t>122</w:t>
            </w:r>
          </w:p>
        </w:tc>
        <w:tc>
          <w:tcPr>
            <w:tcW w:w="1457" w:type="dxa"/>
            <w:tcBorders>
              <w:top w:val="nil"/>
              <w:left w:val="single" w:sz="4" w:space="0" w:color="auto"/>
              <w:bottom w:val="nil"/>
              <w:right w:val="single" w:sz="4" w:space="0" w:color="auto"/>
            </w:tcBorders>
            <w:vAlign w:val="center"/>
          </w:tcPr>
          <w:p w14:paraId="6B4F5D8F" w14:textId="77777777" w:rsidR="00CB3D67" w:rsidRPr="00CB3D67" w:rsidRDefault="00CB3D67" w:rsidP="00156E9C">
            <w:pPr>
              <w:spacing w:before="20" w:after="20"/>
              <w:ind w:left="-227" w:right="454"/>
              <w:jc w:val="right"/>
              <w:rPr>
                <w:rFonts w:eastAsia="Calibri"/>
                <w:sz w:val="18"/>
                <w:szCs w:val="18"/>
                <w:lang w:eastAsia="en-US"/>
              </w:rPr>
            </w:pPr>
            <w:r w:rsidRPr="00CB3D67">
              <w:rPr>
                <w:rFonts w:eastAsia="Calibri"/>
                <w:sz w:val="18"/>
                <w:szCs w:val="18"/>
                <w:lang w:eastAsia="en-US"/>
              </w:rPr>
              <w:t>126</w:t>
            </w:r>
          </w:p>
        </w:tc>
        <w:tc>
          <w:tcPr>
            <w:tcW w:w="1796" w:type="dxa"/>
            <w:tcBorders>
              <w:top w:val="nil"/>
              <w:left w:val="single" w:sz="4" w:space="0" w:color="auto"/>
              <w:bottom w:val="nil"/>
              <w:right w:val="single" w:sz="4" w:space="0" w:color="auto"/>
            </w:tcBorders>
            <w:vAlign w:val="center"/>
          </w:tcPr>
          <w:p w14:paraId="5EC51F2D"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Ciudad de México</w:t>
            </w:r>
          </w:p>
        </w:tc>
        <w:tc>
          <w:tcPr>
            <w:tcW w:w="2484" w:type="dxa"/>
            <w:tcBorders>
              <w:top w:val="nil"/>
              <w:left w:val="single" w:sz="4" w:space="0" w:color="auto"/>
              <w:bottom w:val="nil"/>
              <w:right w:val="single" w:sz="4" w:space="0" w:color="auto"/>
            </w:tcBorders>
            <w:vAlign w:val="center"/>
          </w:tcPr>
          <w:p w14:paraId="4B49DCAF"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México</w:t>
            </w:r>
          </w:p>
        </w:tc>
        <w:tc>
          <w:tcPr>
            <w:tcW w:w="2551" w:type="dxa"/>
            <w:tcBorders>
              <w:top w:val="nil"/>
              <w:left w:val="single" w:sz="4" w:space="0" w:color="auto"/>
              <w:bottom w:val="nil"/>
              <w:right w:val="single" w:sz="4" w:space="0" w:color="auto"/>
            </w:tcBorders>
            <w:vAlign w:val="center"/>
          </w:tcPr>
          <w:p w14:paraId="6BA40F85"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América del Norte</w:t>
            </w:r>
          </w:p>
        </w:tc>
      </w:tr>
      <w:tr w:rsidR="00CB3D67" w:rsidRPr="00CB3D67" w14:paraId="4BC65479" w14:textId="77777777" w:rsidTr="009A4CE7">
        <w:trPr>
          <w:jc w:val="center"/>
        </w:trPr>
        <w:tc>
          <w:tcPr>
            <w:tcW w:w="1351" w:type="dxa"/>
            <w:tcBorders>
              <w:top w:val="nil"/>
              <w:left w:val="single" w:sz="4" w:space="0" w:color="auto"/>
              <w:bottom w:val="nil"/>
              <w:right w:val="single" w:sz="4" w:space="0" w:color="auto"/>
            </w:tcBorders>
            <w:vAlign w:val="center"/>
          </w:tcPr>
          <w:p w14:paraId="2C6247AB" w14:textId="77777777" w:rsidR="00CB3D67" w:rsidRPr="00CB3D67" w:rsidRDefault="00CB3D67" w:rsidP="00CB3D67">
            <w:pPr>
              <w:spacing w:before="20" w:after="20"/>
              <w:ind w:right="340"/>
              <w:jc w:val="right"/>
              <w:rPr>
                <w:rFonts w:eastAsia="Calibri"/>
                <w:sz w:val="18"/>
                <w:szCs w:val="18"/>
                <w:lang w:eastAsia="en-US"/>
              </w:rPr>
            </w:pPr>
            <w:r w:rsidRPr="00CB3D67">
              <w:rPr>
                <w:rFonts w:eastAsia="Calibri"/>
                <w:sz w:val="18"/>
                <w:szCs w:val="18"/>
                <w:lang w:eastAsia="en-US"/>
              </w:rPr>
              <w:t>125</w:t>
            </w:r>
          </w:p>
        </w:tc>
        <w:tc>
          <w:tcPr>
            <w:tcW w:w="1457" w:type="dxa"/>
            <w:tcBorders>
              <w:top w:val="nil"/>
              <w:left w:val="single" w:sz="4" w:space="0" w:color="auto"/>
              <w:bottom w:val="nil"/>
              <w:right w:val="single" w:sz="4" w:space="0" w:color="auto"/>
            </w:tcBorders>
            <w:vAlign w:val="center"/>
          </w:tcPr>
          <w:p w14:paraId="51644423" w14:textId="77777777" w:rsidR="00CB3D67" w:rsidRPr="00CB3D67" w:rsidRDefault="00CB3D67" w:rsidP="00156E9C">
            <w:pPr>
              <w:spacing w:before="20" w:after="20"/>
              <w:ind w:left="-227" w:right="454"/>
              <w:jc w:val="right"/>
              <w:rPr>
                <w:rFonts w:eastAsia="Calibri"/>
                <w:sz w:val="18"/>
                <w:szCs w:val="18"/>
                <w:lang w:eastAsia="en-US"/>
              </w:rPr>
            </w:pPr>
            <w:r w:rsidRPr="00CB3D67">
              <w:rPr>
                <w:rFonts w:eastAsia="Calibri"/>
                <w:sz w:val="18"/>
                <w:szCs w:val="18"/>
                <w:lang w:eastAsia="en-US"/>
              </w:rPr>
              <w:t>127</w:t>
            </w:r>
          </w:p>
        </w:tc>
        <w:tc>
          <w:tcPr>
            <w:tcW w:w="1796" w:type="dxa"/>
            <w:tcBorders>
              <w:top w:val="nil"/>
              <w:left w:val="single" w:sz="4" w:space="0" w:color="auto"/>
              <w:bottom w:val="nil"/>
              <w:right w:val="single" w:sz="4" w:space="0" w:color="auto"/>
            </w:tcBorders>
            <w:vAlign w:val="center"/>
          </w:tcPr>
          <w:p w14:paraId="0E96C477"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Manaos</w:t>
            </w:r>
          </w:p>
        </w:tc>
        <w:tc>
          <w:tcPr>
            <w:tcW w:w="2484" w:type="dxa"/>
            <w:tcBorders>
              <w:top w:val="nil"/>
              <w:left w:val="single" w:sz="4" w:space="0" w:color="auto"/>
              <w:bottom w:val="nil"/>
              <w:right w:val="single" w:sz="4" w:space="0" w:color="auto"/>
            </w:tcBorders>
            <w:vAlign w:val="center"/>
          </w:tcPr>
          <w:p w14:paraId="48FBC33A"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Brasil</w:t>
            </w:r>
          </w:p>
        </w:tc>
        <w:tc>
          <w:tcPr>
            <w:tcW w:w="2551" w:type="dxa"/>
            <w:tcBorders>
              <w:top w:val="nil"/>
              <w:left w:val="single" w:sz="4" w:space="0" w:color="auto"/>
              <w:bottom w:val="nil"/>
              <w:right w:val="single" w:sz="4" w:space="0" w:color="auto"/>
            </w:tcBorders>
            <w:vAlign w:val="center"/>
          </w:tcPr>
          <w:p w14:paraId="7D7D522C"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América del Sur</w:t>
            </w:r>
          </w:p>
        </w:tc>
      </w:tr>
      <w:tr w:rsidR="00CB3D67" w:rsidRPr="00CB3D67" w14:paraId="091442BF" w14:textId="77777777" w:rsidTr="009A4CE7">
        <w:trPr>
          <w:jc w:val="center"/>
        </w:trPr>
        <w:tc>
          <w:tcPr>
            <w:tcW w:w="1351" w:type="dxa"/>
            <w:tcBorders>
              <w:top w:val="nil"/>
              <w:left w:val="single" w:sz="4" w:space="0" w:color="auto"/>
              <w:bottom w:val="nil"/>
              <w:right w:val="single" w:sz="4" w:space="0" w:color="auto"/>
            </w:tcBorders>
            <w:vAlign w:val="center"/>
          </w:tcPr>
          <w:p w14:paraId="12A394C7" w14:textId="77777777" w:rsidR="00CB3D67" w:rsidRPr="00CB3D67" w:rsidRDefault="00CB3D67" w:rsidP="00CB3D67">
            <w:pPr>
              <w:spacing w:before="20" w:after="20"/>
              <w:ind w:right="340"/>
              <w:jc w:val="right"/>
              <w:rPr>
                <w:rFonts w:eastAsia="Calibri"/>
                <w:sz w:val="18"/>
                <w:szCs w:val="18"/>
                <w:lang w:eastAsia="en-US"/>
              </w:rPr>
            </w:pPr>
            <w:r w:rsidRPr="00CB3D67">
              <w:rPr>
                <w:rFonts w:eastAsia="Calibri"/>
                <w:sz w:val="18"/>
                <w:szCs w:val="18"/>
                <w:lang w:eastAsia="en-US"/>
              </w:rPr>
              <w:t>135</w:t>
            </w:r>
          </w:p>
        </w:tc>
        <w:tc>
          <w:tcPr>
            <w:tcW w:w="1457" w:type="dxa"/>
            <w:tcBorders>
              <w:top w:val="nil"/>
              <w:left w:val="single" w:sz="4" w:space="0" w:color="auto"/>
              <w:bottom w:val="nil"/>
              <w:right w:val="single" w:sz="4" w:space="0" w:color="auto"/>
            </w:tcBorders>
            <w:vAlign w:val="center"/>
          </w:tcPr>
          <w:p w14:paraId="288F6292" w14:textId="77777777" w:rsidR="00CB3D67" w:rsidRPr="00CB3D67" w:rsidRDefault="00CB3D67" w:rsidP="00156E9C">
            <w:pPr>
              <w:spacing w:before="20" w:after="20"/>
              <w:ind w:left="-227" w:right="454"/>
              <w:jc w:val="right"/>
              <w:rPr>
                <w:rFonts w:eastAsia="Calibri"/>
                <w:sz w:val="18"/>
                <w:szCs w:val="18"/>
                <w:lang w:eastAsia="en-US"/>
              </w:rPr>
            </w:pPr>
            <w:r w:rsidRPr="00CB3D67">
              <w:rPr>
                <w:rFonts w:eastAsia="Calibri"/>
                <w:sz w:val="18"/>
                <w:szCs w:val="18"/>
                <w:lang w:eastAsia="en-US"/>
              </w:rPr>
              <w:t>131</w:t>
            </w:r>
          </w:p>
        </w:tc>
        <w:tc>
          <w:tcPr>
            <w:tcW w:w="1796" w:type="dxa"/>
            <w:tcBorders>
              <w:top w:val="nil"/>
              <w:left w:val="single" w:sz="4" w:space="0" w:color="auto"/>
              <w:bottom w:val="nil"/>
              <w:right w:val="single" w:sz="4" w:space="0" w:color="auto"/>
            </w:tcBorders>
            <w:vAlign w:val="center"/>
          </w:tcPr>
          <w:p w14:paraId="1FC5516F"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Bogotá</w:t>
            </w:r>
          </w:p>
        </w:tc>
        <w:tc>
          <w:tcPr>
            <w:tcW w:w="2484" w:type="dxa"/>
            <w:tcBorders>
              <w:top w:val="nil"/>
              <w:left w:val="single" w:sz="4" w:space="0" w:color="auto"/>
              <w:bottom w:val="nil"/>
              <w:right w:val="single" w:sz="4" w:space="0" w:color="auto"/>
            </w:tcBorders>
            <w:vAlign w:val="center"/>
          </w:tcPr>
          <w:p w14:paraId="6FD1D35B"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Colombia</w:t>
            </w:r>
          </w:p>
        </w:tc>
        <w:tc>
          <w:tcPr>
            <w:tcW w:w="2551" w:type="dxa"/>
            <w:tcBorders>
              <w:top w:val="nil"/>
              <w:left w:val="single" w:sz="4" w:space="0" w:color="auto"/>
              <w:bottom w:val="nil"/>
              <w:right w:val="single" w:sz="4" w:space="0" w:color="auto"/>
            </w:tcBorders>
            <w:vAlign w:val="center"/>
          </w:tcPr>
          <w:p w14:paraId="5FA64790"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América del Sur</w:t>
            </w:r>
          </w:p>
        </w:tc>
      </w:tr>
      <w:tr w:rsidR="00CB3D67" w:rsidRPr="00CB3D67" w14:paraId="4CDF60D3" w14:textId="77777777" w:rsidTr="009A4CE7">
        <w:trPr>
          <w:jc w:val="center"/>
        </w:trPr>
        <w:tc>
          <w:tcPr>
            <w:tcW w:w="1351" w:type="dxa"/>
            <w:tcBorders>
              <w:top w:val="nil"/>
              <w:left w:val="single" w:sz="4" w:space="0" w:color="auto"/>
              <w:bottom w:val="nil"/>
              <w:right w:val="single" w:sz="4" w:space="0" w:color="auto"/>
            </w:tcBorders>
            <w:vAlign w:val="center"/>
          </w:tcPr>
          <w:p w14:paraId="69514E49" w14:textId="77777777" w:rsidR="00CB3D67" w:rsidRPr="00CB3D67" w:rsidRDefault="00CB3D67" w:rsidP="00CB3D67">
            <w:pPr>
              <w:spacing w:before="20" w:after="20"/>
              <w:ind w:right="340"/>
              <w:jc w:val="right"/>
              <w:rPr>
                <w:rFonts w:eastAsia="Calibri"/>
                <w:sz w:val="18"/>
                <w:szCs w:val="18"/>
                <w:lang w:eastAsia="en-US"/>
              </w:rPr>
            </w:pPr>
            <w:r w:rsidRPr="00CB3D67">
              <w:rPr>
                <w:rFonts w:eastAsia="Calibri"/>
                <w:sz w:val="18"/>
                <w:szCs w:val="18"/>
                <w:lang w:eastAsia="en-US"/>
              </w:rPr>
              <w:t>176</w:t>
            </w:r>
          </w:p>
        </w:tc>
        <w:tc>
          <w:tcPr>
            <w:tcW w:w="1457" w:type="dxa"/>
            <w:tcBorders>
              <w:top w:val="nil"/>
              <w:left w:val="single" w:sz="4" w:space="0" w:color="auto"/>
              <w:bottom w:val="nil"/>
              <w:right w:val="single" w:sz="4" w:space="0" w:color="auto"/>
            </w:tcBorders>
            <w:vAlign w:val="center"/>
          </w:tcPr>
          <w:p w14:paraId="6F35297F" w14:textId="77777777" w:rsidR="00CB3D67" w:rsidRPr="00CB3D67" w:rsidRDefault="00CB3D67" w:rsidP="00156E9C">
            <w:pPr>
              <w:spacing w:before="20" w:after="20"/>
              <w:ind w:left="-227" w:right="454"/>
              <w:jc w:val="right"/>
              <w:rPr>
                <w:rFonts w:eastAsia="Calibri"/>
                <w:sz w:val="18"/>
                <w:szCs w:val="18"/>
                <w:lang w:eastAsia="en-US"/>
              </w:rPr>
            </w:pPr>
            <w:r w:rsidRPr="00CB3D67">
              <w:rPr>
                <w:rFonts w:eastAsia="Calibri"/>
                <w:sz w:val="18"/>
                <w:szCs w:val="18"/>
                <w:lang w:eastAsia="en-US"/>
              </w:rPr>
              <w:t>179</w:t>
            </w:r>
          </w:p>
        </w:tc>
        <w:tc>
          <w:tcPr>
            <w:tcW w:w="1796" w:type="dxa"/>
            <w:tcBorders>
              <w:top w:val="nil"/>
              <w:left w:val="single" w:sz="4" w:space="0" w:color="auto"/>
              <w:bottom w:val="nil"/>
              <w:right w:val="single" w:sz="4" w:space="0" w:color="auto"/>
            </w:tcBorders>
            <w:vAlign w:val="center"/>
          </w:tcPr>
          <w:p w14:paraId="6585EB50"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Caracas</w:t>
            </w:r>
          </w:p>
        </w:tc>
        <w:tc>
          <w:tcPr>
            <w:tcW w:w="2484" w:type="dxa"/>
            <w:tcBorders>
              <w:top w:val="nil"/>
              <w:left w:val="single" w:sz="4" w:space="0" w:color="auto"/>
              <w:bottom w:val="nil"/>
              <w:right w:val="single" w:sz="4" w:space="0" w:color="auto"/>
            </w:tcBorders>
            <w:vAlign w:val="center"/>
          </w:tcPr>
          <w:p w14:paraId="5DA157C5"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Venezuela</w:t>
            </w:r>
          </w:p>
        </w:tc>
        <w:tc>
          <w:tcPr>
            <w:tcW w:w="2551" w:type="dxa"/>
            <w:tcBorders>
              <w:top w:val="nil"/>
              <w:left w:val="single" w:sz="4" w:space="0" w:color="auto"/>
              <w:bottom w:val="nil"/>
              <w:right w:val="single" w:sz="4" w:space="0" w:color="auto"/>
            </w:tcBorders>
            <w:vAlign w:val="center"/>
          </w:tcPr>
          <w:p w14:paraId="11B0F623"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América del Sur</w:t>
            </w:r>
          </w:p>
        </w:tc>
      </w:tr>
      <w:tr w:rsidR="00CB3D67" w:rsidRPr="00CB3D67" w14:paraId="6CCA2319" w14:textId="77777777" w:rsidTr="009A4CE7">
        <w:trPr>
          <w:jc w:val="center"/>
        </w:trPr>
        <w:tc>
          <w:tcPr>
            <w:tcW w:w="1351" w:type="dxa"/>
            <w:tcBorders>
              <w:top w:val="nil"/>
              <w:left w:val="single" w:sz="4" w:space="0" w:color="auto"/>
              <w:bottom w:val="nil"/>
              <w:right w:val="single" w:sz="4" w:space="0" w:color="auto"/>
            </w:tcBorders>
            <w:vAlign w:val="center"/>
          </w:tcPr>
          <w:p w14:paraId="30925CC3" w14:textId="77777777" w:rsidR="00CB3D67" w:rsidRPr="00CB3D67" w:rsidRDefault="00CB3D67" w:rsidP="00CB3D67">
            <w:pPr>
              <w:spacing w:before="20" w:after="20"/>
              <w:ind w:right="340"/>
              <w:jc w:val="right"/>
              <w:rPr>
                <w:rFonts w:eastAsia="Calibri"/>
                <w:sz w:val="18"/>
                <w:szCs w:val="18"/>
                <w:lang w:eastAsia="en-US"/>
              </w:rPr>
            </w:pPr>
            <w:r w:rsidRPr="00CB3D67">
              <w:rPr>
                <w:rFonts w:eastAsia="Calibri"/>
                <w:sz w:val="18"/>
                <w:szCs w:val="18"/>
                <w:lang w:eastAsia="en-US"/>
              </w:rPr>
              <w:t>N/A</w:t>
            </w:r>
          </w:p>
        </w:tc>
        <w:tc>
          <w:tcPr>
            <w:tcW w:w="1457" w:type="dxa"/>
            <w:tcBorders>
              <w:top w:val="nil"/>
              <w:left w:val="single" w:sz="4" w:space="0" w:color="auto"/>
              <w:bottom w:val="nil"/>
              <w:right w:val="single" w:sz="4" w:space="0" w:color="auto"/>
            </w:tcBorders>
            <w:vAlign w:val="center"/>
          </w:tcPr>
          <w:p w14:paraId="79FD8412" w14:textId="77777777" w:rsidR="00CB3D67" w:rsidRPr="00CB3D67" w:rsidRDefault="00CB3D67" w:rsidP="00156E9C">
            <w:pPr>
              <w:spacing w:before="20" w:after="20"/>
              <w:ind w:left="-227" w:right="454"/>
              <w:jc w:val="right"/>
              <w:rPr>
                <w:rFonts w:eastAsia="Calibri"/>
                <w:sz w:val="18"/>
                <w:szCs w:val="18"/>
                <w:lang w:eastAsia="en-US"/>
              </w:rPr>
            </w:pPr>
            <w:r w:rsidRPr="00CB3D67">
              <w:rPr>
                <w:rFonts w:eastAsia="Calibri"/>
                <w:sz w:val="18"/>
                <w:szCs w:val="18"/>
                <w:lang w:eastAsia="en-US"/>
              </w:rPr>
              <w:t>193</w:t>
            </w:r>
          </w:p>
        </w:tc>
        <w:tc>
          <w:tcPr>
            <w:tcW w:w="1796" w:type="dxa"/>
            <w:tcBorders>
              <w:top w:val="nil"/>
              <w:left w:val="single" w:sz="4" w:space="0" w:color="auto"/>
              <w:bottom w:val="nil"/>
              <w:right w:val="single" w:sz="4" w:space="0" w:color="auto"/>
            </w:tcBorders>
            <w:vAlign w:val="center"/>
          </w:tcPr>
          <w:p w14:paraId="0DC0A193"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Habana</w:t>
            </w:r>
          </w:p>
        </w:tc>
        <w:tc>
          <w:tcPr>
            <w:tcW w:w="2484" w:type="dxa"/>
            <w:tcBorders>
              <w:top w:val="nil"/>
              <w:left w:val="single" w:sz="4" w:space="0" w:color="auto"/>
              <w:bottom w:val="nil"/>
              <w:right w:val="single" w:sz="4" w:space="0" w:color="auto"/>
            </w:tcBorders>
            <w:vAlign w:val="center"/>
          </w:tcPr>
          <w:p w14:paraId="320341C5"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Cuba</w:t>
            </w:r>
          </w:p>
        </w:tc>
        <w:tc>
          <w:tcPr>
            <w:tcW w:w="2551" w:type="dxa"/>
            <w:tcBorders>
              <w:top w:val="nil"/>
              <w:left w:val="single" w:sz="4" w:space="0" w:color="auto"/>
              <w:bottom w:val="nil"/>
              <w:right w:val="single" w:sz="4" w:space="0" w:color="auto"/>
            </w:tcBorders>
            <w:vAlign w:val="center"/>
          </w:tcPr>
          <w:p w14:paraId="41FEF357"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América del Norte</w:t>
            </w:r>
          </w:p>
        </w:tc>
      </w:tr>
      <w:tr w:rsidR="00CB3D67" w:rsidRPr="00CB3D67" w14:paraId="55591E30" w14:textId="77777777" w:rsidTr="009A4CE7">
        <w:trPr>
          <w:jc w:val="center"/>
        </w:trPr>
        <w:tc>
          <w:tcPr>
            <w:tcW w:w="1351" w:type="dxa"/>
            <w:tcBorders>
              <w:top w:val="nil"/>
              <w:left w:val="single" w:sz="4" w:space="0" w:color="auto"/>
              <w:bottom w:val="nil"/>
              <w:right w:val="single" w:sz="4" w:space="0" w:color="auto"/>
            </w:tcBorders>
            <w:vAlign w:val="center"/>
          </w:tcPr>
          <w:p w14:paraId="21B175C3" w14:textId="77777777" w:rsidR="00CB3D67" w:rsidRPr="00CB3D67" w:rsidRDefault="00CB3D67" w:rsidP="00CB3D67">
            <w:pPr>
              <w:spacing w:before="20" w:after="20"/>
              <w:ind w:right="340"/>
              <w:jc w:val="right"/>
              <w:rPr>
                <w:rFonts w:eastAsia="Calibri"/>
                <w:sz w:val="18"/>
                <w:szCs w:val="18"/>
                <w:lang w:eastAsia="en-US"/>
              </w:rPr>
            </w:pPr>
            <w:r w:rsidRPr="00CB3D67">
              <w:rPr>
                <w:rFonts w:eastAsia="Calibri"/>
                <w:sz w:val="18"/>
                <w:szCs w:val="18"/>
                <w:lang w:eastAsia="en-US"/>
              </w:rPr>
              <w:t>220</w:t>
            </w:r>
          </w:p>
        </w:tc>
        <w:tc>
          <w:tcPr>
            <w:tcW w:w="1457" w:type="dxa"/>
            <w:tcBorders>
              <w:top w:val="nil"/>
              <w:left w:val="single" w:sz="4" w:space="0" w:color="auto"/>
              <w:bottom w:val="nil"/>
              <w:right w:val="single" w:sz="4" w:space="0" w:color="auto"/>
            </w:tcBorders>
            <w:vAlign w:val="center"/>
          </w:tcPr>
          <w:p w14:paraId="2FFF8119" w14:textId="77777777" w:rsidR="00CB3D67" w:rsidRPr="00CB3D67" w:rsidRDefault="00CB3D67" w:rsidP="00156E9C">
            <w:pPr>
              <w:spacing w:before="20" w:after="20"/>
              <w:ind w:left="-227" w:right="454"/>
              <w:jc w:val="right"/>
              <w:rPr>
                <w:rFonts w:eastAsia="Calibri"/>
                <w:sz w:val="18"/>
                <w:szCs w:val="18"/>
                <w:lang w:eastAsia="en-US"/>
              </w:rPr>
            </w:pPr>
            <w:r w:rsidRPr="00CB3D67">
              <w:rPr>
                <w:rFonts w:eastAsia="Calibri"/>
                <w:sz w:val="18"/>
                <w:szCs w:val="18"/>
                <w:lang w:eastAsia="en-US"/>
              </w:rPr>
              <w:t>226</w:t>
            </w:r>
          </w:p>
        </w:tc>
        <w:tc>
          <w:tcPr>
            <w:tcW w:w="1796" w:type="dxa"/>
            <w:tcBorders>
              <w:top w:val="nil"/>
              <w:left w:val="single" w:sz="4" w:space="0" w:color="auto"/>
              <w:bottom w:val="nil"/>
              <w:right w:val="single" w:sz="4" w:space="0" w:color="auto"/>
            </w:tcBorders>
            <w:vAlign w:val="center"/>
          </w:tcPr>
          <w:p w14:paraId="78086BF4"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N’Djamena</w:t>
            </w:r>
          </w:p>
        </w:tc>
        <w:tc>
          <w:tcPr>
            <w:tcW w:w="2484" w:type="dxa"/>
            <w:tcBorders>
              <w:top w:val="nil"/>
              <w:left w:val="single" w:sz="4" w:space="0" w:color="auto"/>
              <w:bottom w:val="nil"/>
              <w:right w:val="single" w:sz="4" w:space="0" w:color="auto"/>
            </w:tcBorders>
            <w:vAlign w:val="center"/>
          </w:tcPr>
          <w:p w14:paraId="7622619B"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Chad</w:t>
            </w:r>
          </w:p>
        </w:tc>
        <w:tc>
          <w:tcPr>
            <w:tcW w:w="2551" w:type="dxa"/>
            <w:tcBorders>
              <w:top w:val="nil"/>
              <w:left w:val="single" w:sz="4" w:space="0" w:color="auto"/>
              <w:bottom w:val="nil"/>
              <w:right w:val="single" w:sz="4" w:space="0" w:color="auto"/>
            </w:tcBorders>
            <w:vAlign w:val="center"/>
          </w:tcPr>
          <w:p w14:paraId="20075BCA"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África</w:t>
            </w:r>
          </w:p>
        </w:tc>
      </w:tr>
      <w:tr w:rsidR="00CB3D67" w:rsidRPr="00CB3D67" w14:paraId="035B3AC3" w14:textId="77777777" w:rsidTr="009A4CE7">
        <w:trPr>
          <w:jc w:val="center"/>
        </w:trPr>
        <w:tc>
          <w:tcPr>
            <w:tcW w:w="1351" w:type="dxa"/>
            <w:tcBorders>
              <w:top w:val="nil"/>
              <w:left w:val="single" w:sz="4" w:space="0" w:color="auto"/>
              <w:bottom w:val="nil"/>
              <w:right w:val="single" w:sz="4" w:space="0" w:color="auto"/>
            </w:tcBorders>
            <w:vAlign w:val="center"/>
          </w:tcPr>
          <w:p w14:paraId="56E7EE0E" w14:textId="77777777" w:rsidR="00CB3D67" w:rsidRPr="00CB3D67" w:rsidRDefault="00CB3D67" w:rsidP="00CB3D67">
            <w:pPr>
              <w:spacing w:before="20" w:after="20"/>
              <w:ind w:right="340"/>
              <w:jc w:val="right"/>
              <w:rPr>
                <w:rFonts w:eastAsia="Calibri"/>
                <w:sz w:val="18"/>
                <w:szCs w:val="18"/>
                <w:lang w:eastAsia="en-US"/>
              </w:rPr>
            </w:pPr>
            <w:r w:rsidRPr="00CB3D67">
              <w:rPr>
                <w:rFonts w:eastAsia="Calibri"/>
                <w:sz w:val="18"/>
                <w:szCs w:val="18"/>
                <w:lang w:eastAsia="en-US"/>
              </w:rPr>
              <w:t>N/A</w:t>
            </w:r>
          </w:p>
        </w:tc>
        <w:tc>
          <w:tcPr>
            <w:tcW w:w="1457" w:type="dxa"/>
            <w:tcBorders>
              <w:top w:val="nil"/>
              <w:left w:val="single" w:sz="4" w:space="0" w:color="auto"/>
              <w:bottom w:val="nil"/>
              <w:right w:val="single" w:sz="4" w:space="0" w:color="auto"/>
            </w:tcBorders>
            <w:vAlign w:val="center"/>
          </w:tcPr>
          <w:p w14:paraId="1AA46807" w14:textId="77777777" w:rsidR="00CB3D67" w:rsidRPr="00CB3D67" w:rsidRDefault="00CB3D67" w:rsidP="00156E9C">
            <w:pPr>
              <w:spacing w:before="20" w:after="20"/>
              <w:ind w:left="-227" w:right="454"/>
              <w:jc w:val="right"/>
              <w:rPr>
                <w:rFonts w:eastAsia="Calibri"/>
                <w:sz w:val="18"/>
                <w:szCs w:val="18"/>
                <w:lang w:eastAsia="en-US"/>
              </w:rPr>
            </w:pPr>
            <w:r w:rsidRPr="00CB3D67">
              <w:rPr>
                <w:rFonts w:eastAsia="Calibri"/>
                <w:sz w:val="18"/>
                <w:szCs w:val="18"/>
                <w:lang w:eastAsia="en-US"/>
              </w:rPr>
              <w:t>227</w:t>
            </w:r>
          </w:p>
        </w:tc>
        <w:tc>
          <w:tcPr>
            <w:tcW w:w="1796" w:type="dxa"/>
            <w:tcBorders>
              <w:top w:val="nil"/>
              <w:left w:val="single" w:sz="4" w:space="0" w:color="auto"/>
              <w:bottom w:val="nil"/>
              <w:right w:val="single" w:sz="4" w:space="0" w:color="auto"/>
            </w:tcBorders>
            <w:vAlign w:val="center"/>
          </w:tcPr>
          <w:p w14:paraId="30379F53"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Jartum</w:t>
            </w:r>
          </w:p>
        </w:tc>
        <w:tc>
          <w:tcPr>
            <w:tcW w:w="2484" w:type="dxa"/>
            <w:tcBorders>
              <w:top w:val="nil"/>
              <w:left w:val="single" w:sz="4" w:space="0" w:color="auto"/>
              <w:bottom w:val="nil"/>
              <w:right w:val="single" w:sz="4" w:space="0" w:color="auto"/>
            </w:tcBorders>
            <w:vAlign w:val="center"/>
          </w:tcPr>
          <w:p w14:paraId="60E7F144"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 xml:space="preserve">Sudán </w:t>
            </w:r>
          </w:p>
        </w:tc>
        <w:tc>
          <w:tcPr>
            <w:tcW w:w="2551" w:type="dxa"/>
            <w:tcBorders>
              <w:top w:val="nil"/>
              <w:left w:val="single" w:sz="4" w:space="0" w:color="auto"/>
              <w:bottom w:val="nil"/>
              <w:right w:val="single" w:sz="4" w:space="0" w:color="auto"/>
            </w:tcBorders>
            <w:vAlign w:val="center"/>
          </w:tcPr>
          <w:p w14:paraId="3D1FADCC"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África</w:t>
            </w:r>
          </w:p>
        </w:tc>
      </w:tr>
      <w:tr w:rsidR="00CB3D67" w:rsidRPr="00CB3D67" w14:paraId="3AFB1F1F" w14:textId="77777777" w:rsidTr="009A4CE7">
        <w:trPr>
          <w:jc w:val="center"/>
        </w:trPr>
        <w:tc>
          <w:tcPr>
            <w:tcW w:w="1351" w:type="dxa"/>
            <w:tcBorders>
              <w:top w:val="nil"/>
              <w:left w:val="single" w:sz="4" w:space="0" w:color="auto"/>
              <w:bottom w:val="nil"/>
              <w:right w:val="single" w:sz="4" w:space="0" w:color="auto"/>
            </w:tcBorders>
            <w:vAlign w:val="center"/>
          </w:tcPr>
          <w:p w14:paraId="5DEA0189" w14:textId="77777777" w:rsidR="00CB3D67" w:rsidRPr="00CB3D67" w:rsidRDefault="00CB3D67" w:rsidP="00CB3D67">
            <w:pPr>
              <w:spacing w:before="20" w:after="20"/>
              <w:ind w:right="340"/>
              <w:jc w:val="right"/>
              <w:rPr>
                <w:rFonts w:eastAsia="Calibri"/>
                <w:sz w:val="18"/>
                <w:szCs w:val="18"/>
                <w:lang w:eastAsia="en-US"/>
              </w:rPr>
            </w:pPr>
            <w:r w:rsidRPr="00CB3D67">
              <w:rPr>
                <w:rFonts w:eastAsia="Calibri"/>
                <w:sz w:val="18"/>
                <w:szCs w:val="18"/>
                <w:lang w:eastAsia="en-US"/>
              </w:rPr>
              <w:t>221</w:t>
            </w:r>
          </w:p>
        </w:tc>
        <w:tc>
          <w:tcPr>
            <w:tcW w:w="1457" w:type="dxa"/>
            <w:tcBorders>
              <w:top w:val="nil"/>
              <w:left w:val="single" w:sz="4" w:space="0" w:color="auto"/>
              <w:bottom w:val="nil"/>
              <w:right w:val="single" w:sz="4" w:space="0" w:color="auto"/>
            </w:tcBorders>
            <w:vAlign w:val="center"/>
          </w:tcPr>
          <w:p w14:paraId="7549D589" w14:textId="77777777" w:rsidR="00CB3D67" w:rsidRPr="00CB3D67" w:rsidRDefault="00CB3D67" w:rsidP="00156E9C">
            <w:pPr>
              <w:spacing w:before="20" w:after="20"/>
              <w:ind w:left="-227" w:right="454"/>
              <w:jc w:val="right"/>
              <w:rPr>
                <w:rFonts w:eastAsia="Calibri"/>
                <w:sz w:val="18"/>
                <w:szCs w:val="18"/>
                <w:lang w:eastAsia="en-US"/>
              </w:rPr>
            </w:pPr>
            <w:r w:rsidRPr="00CB3D67">
              <w:rPr>
                <w:rFonts w:eastAsia="Calibri"/>
                <w:sz w:val="18"/>
                <w:szCs w:val="18"/>
                <w:lang w:eastAsia="en-US"/>
              </w:rPr>
              <w:t>228</w:t>
            </w:r>
          </w:p>
        </w:tc>
        <w:tc>
          <w:tcPr>
            <w:tcW w:w="1796" w:type="dxa"/>
            <w:tcBorders>
              <w:top w:val="nil"/>
              <w:left w:val="single" w:sz="4" w:space="0" w:color="auto"/>
              <w:bottom w:val="nil"/>
              <w:right w:val="single" w:sz="4" w:space="0" w:color="auto"/>
            </w:tcBorders>
            <w:vAlign w:val="center"/>
          </w:tcPr>
          <w:p w14:paraId="2C91D0C6"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Puerto Príncipe</w:t>
            </w:r>
          </w:p>
        </w:tc>
        <w:tc>
          <w:tcPr>
            <w:tcW w:w="2484" w:type="dxa"/>
            <w:tcBorders>
              <w:top w:val="nil"/>
              <w:left w:val="single" w:sz="4" w:space="0" w:color="auto"/>
              <w:bottom w:val="nil"/>
              <w:right w:val="single" w:sz="4" w:space="0" w:color="auto"/>
            </w:tcBorders>
            <w:vAlign w:val="center"/>
          </w:tcPr>
          <w:p w14:paraId="7102F3E6"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Haití</w:t>
            </w:r>
          </w:p>
        </w:tc>
        <w:tc>
          <w:tcPr>
            <w:tcW w:w="2551" w:type="dxa"/>
            <w:tcBorders>
              <w:top w:val="nil"/>
              <w:left w:val="single" w:sz="4" w:space="0" w:color="auto"/>
              <w:bottom w:val="nil"/>
              <w:right w:val="single" w:sz="4" w:space="0" w:color="auto"/>
            </w:tcBorders>
            <w:vAlign w:val="center"/>
          </w:tcPr>
          <w:p w14:paraId="1953B2B2"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América del Norte</w:t>
            </w:r>
          </w:p>
        </w:tc>
      </w:tr>
      <w:tr w:rsidR="00CB3D67" w:rsidRPr="00CB3D67" w14:paraId="79FA7102" w14:textId="77777777" w:rsidTr="009A4CE7">
        <w:trPr>
          <w:jc w:val="center"/>
        </w:trPr>
        <w:tc>
          <w:tcPr>
            <w:tcW w:w="1351" w:type="dxa"/>
            <w:tcBorders>
              <w:top w:val="nil"/>
              <w:left w:val="single" w:sz="4" w:space="0" w:color="auto"/>
              <w:bottom w:val="nil"/>
              <w:right w:val="single" w:sz="4" w:space="0" w:color="auto"/>
            </w:tcBorders>
            <w:vAlign w:val="center"/>
          </w:tcPr>
          <w:p w14:paraId="4EE5B48A" w14:textId="77777777" w:rsidR="00CB3D67" w:rsidRPr="00CB3D67" w:rsidRDefault="00CB3D67" w:rsidP="00CB3D67">
            <w:pPr>
              <w:spacing w:before="20" w:after="20"/>
              <w:ind w:right="340"/>
              <w:jc w:val="right"/>
              <w:rPr>
                <w:rFonts w:eastAsia="Calibri"/>
                <w:sz w:val="18"/>
                <w:szCs w:val="18"/>
                <w:lang w:eastAsia="en-US"/>
              </w:rPr>
            </w:pPr>
            <w:r w:rsidRPr="00CB3D67">
              <w:rPr>
                <w:rFonts w:eastAsia="Calibri"/>
                <w:sz w:val="18"/>
                <w:szCs w:val="18"/>
                <w:lang w:eastAsia="en-US"/>
              </w:rPr>
              <w:t>222</w:t>
            </w:r>
          </w:p>
        </w:tc>
        <w:tc>
          <w:tcPr>
            <w:tcW w:w="1457" w:type="dxa"/>
            <w:tcBorders>
              <w:top w:val="nil"/>
              <w:left w:val="single" w:sz="4" w:space="0" w:color="auto"/>
              <w:bottom w:val="nil"/>
              <w:right w:val="single" w:sz="4" w:space="0" w:color="auto"/>
            </w:tcBorders>
            <w:vAlign w:val="center"/>
          </w:tcPr>
          <w:p w14:paraId="5D4BE886" w14:textId="77777777" w:rsidR="00CB3D67" w:rsidRPr="00CB3D67" w:rsidRDefault="00CB3D67" w:rsidP="00156E9C">
            <w:pPr>
              <w:spacing w:before="20" w:after="20"/>
              <w:ind w:left="-227" w:right="454"/>
              <w:jc w:val="right"/>
              <w:rPr>
                <w:rFonts w:eastAsia="Calibri"/>
                <w:sz w:val="18"/>
                <w:szCs w:val="18"/>
                <w:lang w:eastAsia="en-US"/>
              </w:rPr>
            </w:pPr>
            <w:r w:rsidRPr="00CB3D67">
              <w:rPr>
                <w:rFonts w:eastAsia="Calibri"/>
                <w:sz w:val="18"/>
                <w:szCs w:val="18"/>
                <w:lang w:eastAsia="en-US"/>
              </w:rPr>
              <w:t>229</w:t>
            </w:r>
          </w:p>
        </w:tc>
        <w:tc>
          <w:tcPr>
            <w:tcW w:w="1796" w:type="dxa"/>
            <w:tcBorders>
              <w:top w:val="nil"/>
              <w:left w:val="single" w:sz="4" w:space="0" w:color="auto"/>
              <w:bottom w:val="nil"/>
              <w:right w:val="single" w:sz="4" w:space="0" w:color="auto"/>
            </w:tcBorders>
            <w:vAlign w:val="center"/>
          </w:tcPr>
          <w:p w14:paraId="44244714"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Bangui</w:t>
            </w:r>
          </w:p>
        </w:tc>
        <w:tc>
          <w:tcPr>
            <w:tcW w:w="2484" w:type="dxa"/>
            <w:tcBorders>
              <w:top w:val="nil"/>
              <w:left w:val="single" w:sz="4" w:space="0" w:color="auto"/>
              <w:bottom w:val="nil"/>
              <w:right w:val="single" w:sz="4" w:space="0" w:color="auto"/>
            </w:tcBorders>
            <w:vAlign w:val="center"/>
          </w:tcPr>
          <w:p w14:paraId="3EC7A168"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República de África Central</w:t>
            </w:r>
          </w:p>
        </w:tc>
        <w:tc>
          <w:tcPr>
            <w:tcW w:w="2551" w:type="dxa"/>
            <w:tcBorders>
              <w:top w:val="nil"/>
              <w:left w:val="single" w:sz="4" w:space="0" w:color="auto"/>
              <w:bottom w:val="nil"/>
              <w:right w:val="single" w:sz="4" w:space="0" w:color="auto"/>
            </w:tcBorders>
            <w:vAlign w:val="center"/>
          </w:tcPr>
          <w:p w14:paraId="0B87F624"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África</w:t>
            </w:r>
          </w:p>
        </w:tc>
      </w:tr>
      <w:tr w:rsidR="00CB3D67" w:rsidRPr="00CB3D67" w14:paraId="416270AF" w14:textId="77777777" w:rsidTr="009A4CE7">
        <w:trPr>
          <w:jc w:val="center"/>
        </w:trPr>
        <w:tc>
          <w:tcPr>
            <w:tcW w:w="1351" w:type="dxa"/>
            <w:tcBorders>
              <w:top w:val="nil"/>
              <w:left w:val="single" w:sz="4" w:space="0" w:color="auto"/>
              <w:bottom w:val="single" w:sz="4" w:space="0" w:color="auto"/>
              <w:right w:val="single" w:sz="4" w:space="0" w:color="auto"/>
            </w:tcBorders>
            <w:vAlign w:val="center"/>
          </w:tcPr>
          <w:p w14:paraId="17CE40D5" w14:textId="77777777" w:rsidR="00CB3D67" w:rsidRPr="00CB3D67" w:rsidRDefault="00CB3D67" w:rsidP="00CB3D67">
            <w:pPr>
              <w:spacing w:before="20" w:after="20"/>
              <w:ind w:right="340"/>
              <w:jc w:val="right"/>
              <w:rPr>
                <w:rFonts w:eastAsia="Calibri"/>
                <w:sz w:val="18"/>
                <w:szCs w:val="18"/>
                <w:lang w:eastAsia="en-US"/>
              </w:rPr>
            </w:pPr>
            <w:r w:rsidRPr="00CB3D67">
              <w:rPr>
                <w:rFonts w:eastAsia="Calibri"/>
                <w:sz w:val="18"/>
                <w:szCs w:val="18"/>
                <w:lang w:eastAsia="en-US"/>
              </w:rPr>
              <w:t>223</w:t>
            </w:r>
          </w:p>
        </w:tc>
        <w:tc>
          <w:tcPr>
            <w:tcW w:w="1457" w:type="dxa"/>
            <w:tcBorders>
              <w:top w:val="nil"/>
              <w:left w:val="single" w:sz="4" w:space="0" w:color="auto"/>
              <w:bottom w:val="single" w:sz="4" w:space="0" w:color="auto"/>
              <w:right w:val="single" w:sz="4" w:space="0" w:color="auto"/>
            </w:tcBorders>
            <w:vAlign w:val="center"/>
          </w:tcPr>
          <w:p w14:paraId="5E99DC75" w14:textId="77777777" w:rsidR="00CB3D67" w:rsidRPr="00CB3D67" w:rsidRDefault="00CB3D67" w:rsidP="00156E9C">
            <w:pPr>
              <w:spacing w:before="20" w:after="20"/>
              <w:ind w:left="-227" w:right="454"/>
              <w:jc w:val="right"/>
              <w:rPr>
                <w:rFonts w:eastAsia="Calibri"/>
                <w:sz w:val="18"/>
                <w:szCs w:val="18"/>
                <w:lang w:eastAsia="en-US"/>
              </w:rPr>
            </w:pPr>
            <w:r w:rsidRPr="00CB3D67">
              <w:rPr>
                <w:rFonts w:eastAsia="Calibri"/>
                <w:sz w:val="18"/>
                <w:szCs w:val="18"/>
                <w:lang w:eastAsia="en-US"/>
              </w:rPr>
              <w:t>230</w:t>
            </w:r>
          </w:p>
        </w:tc>
        <w:tc>
          <w:tcPr>
            <w:tcW w:w="1796" w:type="dxa"/>
            <w:tcBorders>
              <w:top w:val="nil"/>
              <w:left w:val="single" w:sz="4" w:space="0" w:color="auto"/>
              <w:bottom w:val="single" w:sz="4" w:space="0" w:color="auto"/>
              <w:right w:val="single" w:sz="4" w:space="0" w:color="auto"/>
            </w:tcBorders>
            <w:vAlign w:val="center"/>
          </w:tcPr>
          <w:p w14:paraId="4FAB4D5E"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Bagdad</w:t>
            </w:r>
          </w:p>
        </w:tc>
        <w:tc>
          <w:tcPr>
            <w:tcW w:w="2484" w:type="dxa"/>
            <w:tcBorders>
              <w:top w:val="nil"/>
              <w:left w:val="single" w:sz="4" w:space="0" w:color="auto"/>
              <w:bottom w:val="single" w:sz="4" w:space="0" w:color="auto"/>
              <w:right w:val="single" w:sz="4" w:space="0" w:color="auto"/>
            </w:tcBorders>
            <w:vAlign w:val="center"/>
          </w:tcPr>
          <w:p w14:paraId="79C3F952"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Irak</w:t>
            </w:r>
          </w:p>
        </w:tc>
        <w:tc>
          <w:tcPr>
            <w:tcW w:w="2551" w:type="dxa"/>
            <w:tcBorders>
              <w:top w:val="nil"/>
              <w:left w:val="single" w:sz="4" w:space="0" w:color="auto"/>
              <w:bottom w:val="single" w:sz="4" w:space="0" w:color="auto"/>
              <w:right w:val="single" w:sz="4" w:space="0" w:color="auto"/>
            </w:tcBorders>
            <w:vAlign w:val="center"/>
          </w:tcPr>
          <w:p w14:paraId="6E40A763" w14:textId="77777777" w:rsidR="00CB3D67" w:rsidRPr="00CB3D67" w:rsidRDefault="00CB3D67" w:rsidP="00CB3D67">
            <w:pPr>
              <w:spacing w:before="20" w:after="20"/>
              <w:jc w:val="both"/>
              <w:rPr>
                <w:rFonts w:eastAsia="Calibri"/>
                <w:sz w:val="18"/>
                <w:szCs w:val="18"/>
                <w:lang w:eastAsia="en-US"/>
              </w:rPr>
            </w:pPr>
            <w:r w:rsidRPr="00CB3D67">
              <w:rPr>
                <w:rFonts w:eastAsia="Calibri"/>
                <w:sz w:val="18"/>
                <w:szCs w:val="18"/>
                <w:lang w:eastAsia="en-US"/>
              </w:rPr>
              <w:t>Asia Occidental/Oriente Medio</w:t>
            </w:r>
          </w:p>
        </w:tc>
      </w:tr>
      <w:tr w:rsidR="00CB3D67" w:rsidRPr="00CB3D67" w14:paraId="571D968F" w14:textId="77777777" w:rsidTr="009A4CE7">
        <w:trPr>
          <w:jc w:val="center"/>
        </w:trPr>
        <w:tc>
          <w:tcPr>
            <w:tcW w:w="9639" w:type="dxa"/>
            <w:gridSpan w:val="5"/>
            <w:tcBorders>
              <w:top w:val="single" w:sz="4" w:space="0" w:color="auto"/>
              <w:left w:val="nil"/>
              <w:bottom w:val="nil"/>
              <w:right w:val="nil"/>
            </w:tcBorders>
            <w:vAlign w:val="center"/>
          </w:tcPr>
          <w:p w14:paraId="7889BCD1" w14:textId="77777777" w:rsidR="00CB3D67" w:rsidRPr="00CB3D67" w:rsidRDefault="00CB3D67" w:rsidP="00CB3D67">
            <w:pPr>
              <w:spacing w:before="20" w:after="20"/>
              <w:jc w:val="both"/>
              <w:rPr>
                <w:rFonts w:eastAsia="Calibri"/>
                <w:sz w:val="18"/>
                <w:szCs w:val="18"/>
                <w:lang w:eastAsia="en-US"/>
              </w:rPr>
            </w:pPr>
            <w:r w:rsidRPr="00CB3D67">
              <w:rPr>
                <w:rFonts w:eastAsia="Calibri"/>
                <w:sz w:val="20"/>
                <w:szCs w:val="20"/>
                <w:lang w:eastAsia="en-US"/>
              </w:rPr>
              <w:t>FUENTE: Mercer.</w:t>
            </w:r>
          </w:p>
        </w:tc>
      </w:tr>
    </w:tbl>
    <w:p w14:paraId="2525D6E0" w14:textId="77777777" w:rsidR="00CB3D67" w:rsidRPr="00CB3D67" w:rsidRDefault="00CB3D67" w:rsidP="00CB3D67">
      <w:pPr>
        <w:spacing w:after="360" w:line="360" w:lineRule="auto"/>
        <w:ind w:right="-159"/>
        <w:jc w:val="both"/>
        <w:rPr>
          <w:rFonts w:eastAsia="Calibri"/>
          <w:sz w:val="26"/>
          <w:szCs w:val="26"/>
          <w:lang w:eastAsia="en-US"/>
        </w:rPr>
      </w:pPr>
    </w:p>
    <w:p w14:paraId="37B10A92" w14:textId="77777777" w:rsidR="00CB3D67" w:rsidRPr="00CB3D67" w:rsidRDefault="00CB3D67" w:rsidP="00CB3D67">
      <w:pPr>
        <w:ind w:right="-159"/>
        <w:jc w:val="both"/>
        <w:rPr>
          <w:rFonts w:eastAsia="Calibri"/>
          <w:b/>
          <w:sz w:val="20"/>
          <w:szCs w:val="20"/>
          <w:lang w:eastAsia="en-US"/>
        </w:rPr>
      </w:pPr>
      <w:r w:rsidRPr="00CB3D67">
        <w:rPr>
          <w:rFonts w:eastAsia="Calibri"/>
          <w:b/>
          <w:sz w:val="20"/>
          <w:szCs w:val="20"/>
          <w:lang w:eastAsia="en-US"/>
        </w:rPr>
        <w:t>Fuente de información:</w:t>
      </w:r>
    </w:p>
    <w:p w14:paraId="1DEF498D" w14:textId="77777777" w:rsidR="00CB3D67" w:rsidRPr="00917DC0" w:rsidRDefault="0093224F" w:rsidP="00917DC0">
      <w:pPr>
        <w:spacing w:after="720"/>
        <w:ind w:right="-159"/>
        <w:jc w:val="both"/>
        <w:rPr>
          <w:rFonts w:eastAsia="Calibri"/>
          <w:b/>
          <w:color w:val="0000FF"/>
          <w:sz w:val="20"/>
          <w:szCs w:val="20"/>
          <w:lang w:eastAsia="en-US"/>
        </w:rPr>
      </w:pPr>
      <w:hyperlink r:id="rId224" w:history="1">
        <w:r w:rsidR="00CB3D67" w:rsidRPr="00917DC0">
          <w:rPr>
            <w:rFonts w:eastAsia="Calibri"/>
            <w:color w:val="0000FF"/>
            <w:sz w:val="20"/>
            <w:szCs w:val="20"/>
            <w:u w:val="single"/>
            <w:lang w:eastAsia="en-US"/>
          </w:rPr>
          <w:t>http://www.latam.mercer.com/content/mercer/latin-america-and-caribbean/mx/es/newsroom/mercer-calidad-de-vida-internacional-2015.html</w:t>
        </w:r>
      </w:hyperlink>
    </w:p>
    <w:p w14:paraId="6D412762" w14:textId="77777777" w:rsidR="00CB3D67" w:rsidRDefault="00CB3D67" w:rsidP="00AE77EA">
      <w:pPr>
        <w:spacing w:after="360" w:line="360" w:lineRule="auto"/>
        <w:ind w:right="-159"/>
        <w:jc w:val="both"/>
        <w:rPr>
          <w:rFonts w:eastAsia="Times New Roman"/>
          <w:sz w:val="26"/>
          <w:szCs w:val="26"/>
          <w:lang w:val="es-ES"/>
        </w:rPr>
      </w:pPr>
    </w:p>
    <w:p w14:paraId="34F4CC51" w14:textId="77777777" w:rsidR="008E7F51" w:rsidRPr="008E7F51" w:rsidRDefault="008E7F51" w:rsidP="008E7F51">
      <w:pPr>
        <w:ind w:right="-159"/>
        <w:jc w:val="both"/>
        <w:rPr>
          <w:rFonts w:eastAsia="Calibri"/>
          <w:b/>
          <w:sz w:val="26"/>
          <w:szCs w:val="26"/>
          <w:lang w:eastAsia="en-US"/>
        </w:rPr>
      </w:pPr>
      <w:r w:rsidRPr="008E7F51">
        <w:rPr>
          <w:rFonts w:eastAsia="Calibri"/>
          <w:b/>
          <w:sz w:val="26"/>
          <w:szCs w:val="26"/>
          <w:lang w:eastAsia="en-US"/>
        </w:rPr>
        <w:lastRenderedPageBreak/>
        <w:t>Las tres principales constructoras automotrices</w:t>
      </w:r>
    </w:p>
    <w:p w14:paraId="2E4EFE84" w14:textId="77777777" w:rsidR="008E7F51" w:rsidRPr="008E7F51" w:rsidRDefault="008E7F51" w:rsidP="008E7F51">
      <w:pPr>
        <w:ind w:right="-159"/>
        <w:jc w:val="both"/>
        <w:rPr>
          <w:rFonts w:eastAsia="Calibri"/>
          <w:b/>
          <w:sz w:val="26"/>
          <w:szCs w:val="26"/>
          <w:lang w:eastAsia="en-US"/>
        </w:rPr>
      </w:pPr>
      <w:r w:rsidRPr="008E7F51">
        <w:rPr>
          <w:rFonts w:eastAsia="Calibri"/>
          <w:b/>
          <w:sz w:val="26"/>
          <w:szCs w:val="26"/>
          <w:lang w:eastAsia="en-US"/>
        </w:rPr>
        <w:t>japonesas   se   unirán   para   trabajar   en   los</w:t>
      </w:r>
    </w:p>
    <w:p w14:paraId="2786E58C" w14:textId="77777777" w:rsidR="008E7F51" w:rsidRPr="008E7F51" w:rsidRDefault="008E7F51" w:rsidP="008E7F51">
      <w:pPr>
        <w:spacing w:after="360" w:line="360" w:lineRule="auto"/>
        <w:ind w:right="-159"/>
        <w:jc w:val="both"/>
        <w:rPr>
          <w:rFonts w:eastAsia="Calibri"/>
          <w:b/>
          <w:sz w:val="26"/>
          <w:szCs w:val="26"/>
          <w:lang w:eastAsia="en-US"/>
        </w:rPr>
      </w:pPr>
      <w:r w:rsidRPr="008E7F51">
        <w:rPr>
          <w:rFonts w:eastAsia="Calibri"/>
          <w:b/>
          <w:sz w:val="26"/>
          <w:szCs w:val="26"/>
          <w:lang w:eastAsia="en-US"/>
        </w:rPr>
        <w:t>automóviles autónomos (ADIT)</w:t>
      </w:r>
    </w:p>
    <w:p w14:paraId="7D20EC4B" w14:textId="13B08865" w:rsidR="008E7F51" w:rsidRPr="008E7F51" w:rsidRDefault="008E7F51" w:rsidP="008E7F51">
      <w:pPr>
        <w:spacing w:after="360" w:line="360" w:lineRule="auto"/>
        <w:ind w:right="-159"/>
        <w:jc w:val="both"/>
        <w:rPr>
          <w:rFonts w:eastAsia="Calibri"/>
          <w:sz w:val="26"/>
          <w:szCs w:val="26"/>
          <w:lang w:eastAsia="en-US"/>
        </w:rPr>
      </w:pPr>
      <w:r w:rsidRPr="008E7F51">
        <w:rPr>
          <w:rFonts w:eastAsia="Calibri"/>
          <w:sz w:val="26"/>
          <w:szCs w:val="26"/>
          <w:lang w:eastAsia="en-US"/>
        </w:rPr>
        <w:t xml:space="preserve">El 6 de marzo de 2015, la </w:t>
      </w:r>
      <w:r>
        <w:rPr>
          <w:rFonts w:eastAsia="Calibri"/>
          <w:sz w:val="26"/>
          <w:szCs w:val="26"/>
          <w:lang w:eastAsia="en-US"/>
        </w:rPr>
        <w:t>A</w:t>
      </w:r>
      <w:r w:rsidRPr="008E7F51">
        <w:rPr>
          <w:rFonts w:eastAsia="Calibri"/>
          <w:sz w:val="26"/>
          <w:szCs w:val="26"/>
          <w:lang w:eastAsia="en-US"/>
        </w:rPr>
        <w:t xml:space="preserve">gencia </w:t>
      </w:r>
      <w:r>
        <w:rPr>
          <w:rFonts w:eastAsia="Calibri"/>
          <w:sz w:val="26"/>
          <w:szCs w:val="26"/>
          <w:lang w:eastAsia="en-US"/>
        </w:rPr>
        <w:t>F</w:t>
      </w:r>
      <w:r w:rsidRPr="008E7F51">
        <w:rPr>
          <w:rFonts w:eastAsia="Calibri"/>
          <w:sz w:val="26"/>
          <w:szCs w:val="26"/>
          <w:lang w:eastAsia="en-US"/>
        </w:rPr>
        <w:t xml:space="preserve">rancesa para la </w:t>
      </w:r>
      <w:r>
        <w:rPr>
          <w:rFonts w:eastAsia="Calibri"/>
          <w:sz w:val="26"/>
          <w:szCs w:val="26"/>
          <w:lang w:eastAsia="en-US"/>
        </w:rPr>
        <w:t>D</w:t>
      </w:r>
      <w:r w:rsidRPr="008E7F51">
        <w:rPr>
          <w:rFonts w:eastAsia="Calibri"/>
          <w:sz w:val="26"/>
          <w:szCs w:val="26"/>
          <w:lang w:eastAsia="en-US"/>
        </w:rPr>
        <w:t xml:space="preserve">ifusión de la </w:t>
      </w:r>
      <w:r>
        <w:rPr>
          <w:rFonts w:eastAsia="Calibri"/>
          <w:sz w:val="26"/>
          <w:szCs w:val="26"/>
          <w:lang w:eastAsia="en-US"/>
        </w:rPr>
        <w:t>I</w:t>
      </w:r>
      <w:r w:rsidRPr="008E7F51">
        <w:rPr>
          <w:rFonts w:eastAsia="Calibri"/>
          <w:sz w:val="26"/>
          <w:szCs w:val="26"/>
          <w:lang w:eastAsia="en-US"/>
        </w:rPr>
        <w:t xml:space="preserve">nformación </w:t>
      </w:r>
      <w:r>
        <w:rPr>
          <w:rFonts w:eastAsia="Calibri"/>
          <w:sz w:val="26"/>
          <w:szCs w:val="26"/>
          <w:lang w:eastAsia="en-US"/>
        </w:rPr>
        <w:t>T</w:t>
      </w:r>
      <w:r w:rsidRPr="008E7F51">
        <w:rPr>
          <w:rFonts w:eastAsia="Calibri"/>
          <w:sz w:val="26"/>
          <w:szCs w:val="26"/>
          <w:lang w:eastAsia="en-US"/>
        </w:rPr>
        <w:t xml:space="preserve">ecnológica (ADIT) publicó a través de su </w:t>
      </w:r>
      <w:r>
        <w:rPr>
          <w:rFonts w:eastAsia="Calibri"/>
          <w:sz w:val="26"/>
          <w:szCs w:val="26"/>
          <w:lang w:eastAsia="en-US"/>
        </w:rPr>
        <w:t>“</w:t>
      </w:r>
      <w:r w:rsidRPr="008E7F51">
        <w:rPr>
          <w:rFonts w:eastAsia="Calibri"/>
          <w:sz w:val="26"/>
          <w:szCs w:val="26"/>
          <w:lang w:eastAsia="en-US"/>
        </w:rPr>
        <w:t>Boletín Digital</w:t>
      </w:r>
      <w:r>
        <w:rPr>
          <w:rFonts w:eastAsia="Calibri"/>
          <w:sz w:val="26"/>
          <w:szCs w:val="26"/>
          <w:lang w:eastAsia="en-US"/>
        </w:rPr>
        <w:t>”</w:t>
      </w:r>
      <w:r w:rsidRPr="008E7F51">
        <w:rPr>
          <w:rFonts w:eastAsia="Calibri"/>
          <w:sz w:val="26"/>
          <w:szCs w:val="26"/>
          <w:lang w:eastAsia="en-US"/>
        </w:rPr>
        <w:t xml:space="preserve">, una nota en la que </w:t>
      </w:r>
      <w:r>
        <w:rPr>
          <w:rFonts w:eastAsia="Calibri"/>
          <w:sz w:val="26"/>
          <w:szCs w:val="26"/>
          <w:lang w:eastAsia="en-US"/>
        </w:rPr>
        <w:t xml:space="preserve">informa que </w:t>
      </w:r>
      <w:r w:rsidRPr="008E7F51">
        <w:rPr>
          <w:rFonts w:eastAsia="Calibri"/>
          <w:sz w:val="26"/>
          <w:szCs w:val="26"/>
          <w:lang w:eastAsia="en-US"/>
        </w:rPr>
        <w:t>las tres principales constructoras automotrices japonesas se unirán para trabajar en los automóviles autónomos. De los aspectos a destacar se encuentran</w:t>
      </w:r>
      <w:r>
        <w:rPr>
          <w:rFonts w:eastAsia="Calibri"/>
          <w:sz w:val="26"/>
          <w:szCs w:val="26"/>
          <w:lang w:eastAsia="en-US"/>
        </w:rPr>
        <w:t xml:space="preserve"> los siguientes</w:t>
      </w:r>
      <w:r w:rsidRPr="008E7F51">
        <w:rPr>
          <w:rFonts w:eastAsia="Calibri"/>
          <w:sz w:val="26"/>
          <w:szCs w:val="26"/>
          <w:lang w:eastAsia="en-US"/>
        </w:rPr>
        <w:t>:</w:t>
      </w:r>
    </w:p>
    <w:p w14:paraId="7316018A" w14:textId="77777777" w:rsidR="008E7F51" w:rsidRPr="008E7F51" w:rsidRDefault="008E7F51" w:rsidP="008E7F51">
      <w:pPr>
        <w:spacing w:after="360" w:line="360" w:lineRule="auto"/>
        <w:ind w:right="-159"/>
        <w:jc w:val="both"/>
        <w:rPr>
          <w:rFonts w:eastAsia="Calibri"/>
          <w:sz w:val="26"/>
          <w:szCs w:val="26"/>
          <w:lang w:eastAsia="en-US"/>
        </w:rPr>
      </w:pPr>
      <w:r w:rsidRPr="008E7F51">
        <w:rPr>
          <w:rFonts w:eastAsia="Calibri"/>
          <w:sz w:val="26"/>
          <w:szCs w:val="26"/>
          <w:lang w:eastAsia="en-US"/>
        </w:rPr>
        <w:t>Toyota, Nissan y Honda, las tres automotrices japonesas más grandes, van a asociarse con el objetivo de que Japón pase al frente en el dominio de automóviles autónomos, a petición del gobierno japonés. El proyecto asociara también a los gigantes de la electrónica japonesa Panasonic y Hitachi, que trabajaran en las tecnologías vinculadas con la conducción autónoma, lo mismo que las universidades de Tokyo y de Nagoya que se ocuparan del procesamiento de los datos.</w:t>
      </w:r>
    </w:p>
    <w:p w14:paraId="2E45F48F" w14:textId="77777777" w:rsidR="008E7F51" w:rsidRPr="008E7F51" w:rsidRDefault="008E7F51" w:rsidP="008E7F51">
      <w:pPr>
        <w:spacing w:after="360" w:line="360" w:lineRule="auto"/>
        <w:ind w:right="-159"/>
        <w:jc w:val="both"/>
        <w:rPr>
          <w:rFonts w:eastAsia="Calibri"/>
          <w:sz w:val="26"/>
          <w:szCs w:val="26"/>
          <w:lang w:eastAsia="en-US"/>
        </w:rPr>
      </w:pPr>
      <w:r w:rsidRPr="008E7F51">
        <w:rPr>
          <w:rFonts w:eastAsia="Calibri"/>
          <w:sz w:val="26"/>
          <w:szCs w:val="26"/>
          <w:lang w:eastAsia="en-US"/>
        </w:rPr>
        <w:t>La primera acción para las constructoras será estandarizar los programas para la navegación autónoma y para los sensores encargados de detectar los obstáculos durante el trayecto, con el fin de reducir los costos de desarrollo y fabricación. Las tecnologías de seguridad de comunicación son también una parte prioritaria para impedir los intentos de piratería que podrían provocar accidentes.</w:t>
      </w:r>
    </w:p>
    <w:p w14:paraId="4CC3DB4E" w14:textId="039902F2" w:rsidR="008E7F51" w:rsidRPr="008E7F51" w:rsidRDefault="008E7F51" w:rsidP="008E7F51">
      <w:pPr>
        <w:spacing w:after="360" w:line="360" w:lineRule="auto"/>
        <w:ind w:right="-159"/>
        <w:jc w:val="both"/>
        <w:rPr>
          <w:rFonts w:eastAsia="Calibri"/>
          <w:sz w:val="26"/>
          <w:szCs w:val="26"/>
          <w:lang w:eastAsia="en-US"/>
        </w:rPr>
      </w:pPr>
      <w:r w:rsidRPr="008E7F51">
        <w:rPr>
          <w:rFonts w:eastAsia="Calibri"/>
          <w:sz w:val="26"/>
          <w:szCs w:val="26"/>
          <w:lang w:eastAsia="en-US"/>
        </w:rPr>
        <w:t>El sector público contribuirá en estos trabajos desarrollando infraestructuras, con la finalidad de que la información sobre el tráfico y los accidentes sea comunicada por los sistemas presentes en la ruta. Las inversiones esperadas tanto desde el punto de vista público como privado, será de 10 mil millones de yenes (aproximadamente 75 millones de euros</w:t>
      </w:r>
      <w:r w:rsidRPr="008E7F51">
        <w:rPr>
          <w:rFonts w:ascii="Calibri" w:eastAsia="Calibri" w:hAnsi="Calibri"/>
          <w:bCs/>
          <w:sz w:val="26"/>
          <w:szCs w:val="26"/>
          <w:vertAlign w:val="superscript"/>
          <w:lang w:eastAsia="en-US"/>
        </w:rPr>
        <w:footnoteReference w:id="81"/>
      </w:r>
      <w:r w:rsidRPr="008E7F51">
        <w:rPr>
          <w:rFonts w:eastAsia="Calibri"/>
          <w:sz w:val="26"/>
          <w:szCs w:val="26"/>
          <w:lang w:eastAsia="en-US"/>
        </w:rPr>
        <w:t>), con el fin de construir las pistas de evaluación un punto principal en la competencia internacional.</w:t>
      </w:r>
    </w:p>
    <w:p w14:paraId="10C11282" w14:textId="67FE19B7" w:rsidR="008E7F51" w:rsidRPr="008E7F51" w:rsidRDefault="008E7F51" w:rsidP="008E7F51">
      <w:pPr>
        <w:spacing w:after="360" w:line="360" w:lineRule="auto"/>
        <w:ind w:right="-159"/>
        <w:jc w:val="both"/>
        <w:rPr>
          <w:rFonts w:eastAsia="Calibri"/>
          <w:sz w:val="26"/>
          <w:szCs w:val="26"/>
          <w:lang w:eastAsia="en-US"/>
        </w:rPr>
      </w:pPr>
      <w:r w:rsidRPr="008E7F51">
        <w:rPr>
          <w:rFonts w:eastAsia="Calibri"/>
          <w:sz w:val="26"/>
          <w:szCs w:val="26"/>
          <w:lang w:eastAsia="en-US"/>
        </w:rPr>
        <w:lastRenderedPageBreak/>
        <w:t xml:space="preserve">El </w:t>
      </w:r>
      <w:r>
        <w:rPr>
          <w:rFonts w:eastAsia="Calibri"/>
          <w:sz w:val="26"/>
          <w:szCs w:val="26"/>
          <w:lang w:eastAsia="en-US"/>
        </w:rPr>
        <w:t>P</w:t>
      </w:r>
      <w:r w:rsidRPr="008E7F51">
        <w:rPr>
          <w:rFonts w:eastAsia="Calibri"/>
          <w:sz w:val="26"/>
          <w:szCs w:val="26"/>
          <w:lang w:eastAsia="en-US"/>
        </w:rPr>
        <w:t xml:space="preserve">rimer </w:t>
      </w:r>
      <w:r>
        <w:rPr>
          <w:rFonts w:eastAsia="Calibri"/>
          <w:sz w:val="26"/>
          <w:szCs w:val="26"/>
          <w:lang w:eastAsia="en-US"/>
        </w:rPr>
        <w:t>M</w:t>
      </w:r>
      <w:r w:rsidRPr="008E7F51">
        <w:rPr>
          <w:rFonts w:eastAsia="Calibri"/>
          <w:sz w:val="26"/>
          <w:szCs w:val="26"/>
          <w:lang w:eastAsia="en-US"/>
        </w:rPr>
        <w:t>inistro Shinzo Abe va a incluir este proyecto en el plan de crecimiento que se dará a conocer en junio. El gobierno decidió aumentar su ayuda a las industrias dom</w:t>
      </w:r>
      <w:r w:rsidR="00D2103B">
        <w:rPr>
          <w:rFonts w:eastAsia="Calibri"/>
          <w:sz w:val="26"/>
          <w:szCs w:val="26"/>
          <w:lang w:eastAsia="en-US"/>
        </w:rPr>
        <w:t>é</w:t>
      </w:r>
      <w:r w:rsidRPr="008E7F51">
        <w:rPr>
          <w:rFonts w:eastAsia="Calibri"/>
          <w:sz w:val="26"/>
          <w:szCs w:val="26"/>
          <w:lang w:eastAsia="en-US"/>
        </w:rPr>
        <w:t>sticas que están relacionadas con las tecnologías para los automóviles autónomos, con el fin de que los estándares establecidos no sean desfavorables para las tecnologías japonesas. En el dominio de sensores, los fabricantes japoneses de piezas de automóviles actualmente están atrasados con el líder alemán Bosch proveedor de las constructoras occidentales pero también de las japonesas.</w:t>
      </w:r>
    </w:p>
    <w:p w14:paraId="59EFD087" w14:textId="4FE48D9D" w:rsidR="008E7F51" w:rsidRPr="008E7F51" w:rsidRDefault="008E7F51" w:rsidP="008E7F51">
      <w:pPr>
        <w:spacing w:after="360" w:line="360" w:lineRule="auto"/>
        <w:ind w:right="-159"/>
        <w:jc w:val="both"/>
        <w:rPr>
          <w:rFonts w:eastAsia="Calibri"/>
          <w:sz w:val="26"/>
          <w:szCs w:val="26"/>
          <w:lang w:eastAsia="en-US"/>
        </w:rPr>
      </w:pPr>
      <w:r w:rsidRPr="008E7F51">
        <w:rPr>
          <w:rFonts w:eastAsia="Calibri"/>
          <w:sz w:val="26"/>
          <w:szCs w:val="26"/>
          <w:lang w:eastAsia="en-US"/>
        </w:rPr>
        <w:t>Las constructoras de automóviles consideran una comercialización de automóviles autónomos en 2020, para seguir siendo competitivos frente a constructoras de fuerte peso como Daimler o Google</w:t>
      </w:r>
    </w:p>
    <w:p w14:paraId="601FB9EF" w14:textId="77777777" w:rsidR="008E7F51" w:rsidRPr="008E7F51" w:rsidRDefault="008E7F51" w:rsidP="008E7F51">
      <w:pPr>
        <w:jc w:val="both"/>
        <w:rPr>
          <w:rFonts w:eastAsia="Calibri"/>
          <w:b/>
          <w:sz w:val="20"/>
          <w:szCs w:val="20"/>
          <w:lang w:eastAsia="en-US"/>
        </w:rPr>
      </w:pPr>
      <w:r w:rsidRPr="008E7F51">
        <w:rPr>
          <w:rFonts w:eastAsia="Calibri"/>
          <w:b/>
          <w:sz w:val="20"/>
          <w:szCs w:val="20"/>
          <w:lang w:eastAsia="en-US"/>
        </w:rPr>
        <w:t>Fuente de información:</w:t>
      </w:r>
    </w:p>
    <w:p w14:paraId="3C2CFF6F" w14:textId="77777777" w:rsidR="008E7F51" w:rsidRPr="00F664AC" w:rsidRDefault="0093224F" w:rsidP="00F664AC">
      <w:pPr>
        <w:spacing w:after="720" w:line="360" w:lineRule="auto"/>
        <w:ind w:right="-159"/>
        <w:jc w:val="both"/>
        <w:rPr>
          <w:rFonts w:eastAsia="Calibri"/>
          <w:color w:val="0000FF"/>
          <w:sz w:val="20"/>
          <w:szCs w:val="20"/>
          <w:u w:val="single"/>
          <w:lang w:eastAsia="en-US"/>
        </w:rPr>
      </w:pPr>
      <w:hyperlink r:id="rId225" w:history="1">
        <w:r w:rsidR="008E7F51" w:rsidRPr="00F664AC">
          <w:rPr>
            <w:rFonts w:eastAsia="Calibri"/>
            <w:color w:val="0000FF"/>
            <w:sz w:val="20"/>
            <w:szCs w:val="20"/>
            <w:u w:val="single"/>
            <w:lang w:eastAsia="en-US"/>
          </w:rPr>
          <w:t>http://www.bulletins-electroniques.com/actualites/78054.htm</w:t>
        </w:r>
      </w:hyperlink>
    </w:p>
    <w:p w14:paraId="2231A543" w14:textId="4E4B82EB" w:rsidR="008037B6" w:rsidRDefault="008037B6" w:rsidP="008037B6">
      <w:pPr>
        <w:ind w:right="-159"/>
        <w:rPr>
          <w:rFonts w:eastAsia="Times New Roman"/>
          <w:b/>
          <w:bCs/>
          <w:sz w:val="26"/>
          <w:szCs w:val="26"/>
          <w:lang w:val="es-ES"/>
        </w:rPr>
      </w:pPr>
      <w:r w:rsidRPr="008037B6">
        <w:rPr>
          <w:rFonts w:eastAsia="Times New Roman"/>
          <w:b/>
          <w:bCs/>
          <w:sz w:val="26"/>
          <w:szCs w:val="26"/>
          <w:lang w:val="es-ES"/>
        </w:rPr>
        <w:t>Comercialización de vehículos automotores,</w:t>
      </w:r>
    </w:p>
    <w:p w14:paraId="3F8605D6" w14:textId="5A8B22E8" w:rsidR="008037B6" w:rsidRPr="008037B6" w:rsidRDefault="008037B6" w:rsidP="008037B6">
      <w:pPr>
        <w:spacing w:after="360" w:line="360" w:lineRule="auto"/>
        <w:ind w:right="-159"/>
        <w:rPr>
          <w:rFonts w:eastAsia="Times New Roman"/>
          <w:b/>
          <w:bCs/>
          <w:sz w:val="26"/>
          <w:szCs w:val="26"/>
          <w:lang w:val="es-ES"/>
        </w:rPr>
      </w:pPr>
      <w:r>
        <w:rPr>
          <w:rFonts w:eastAsia="Times New Roman"/>
          <w:b/>
          <w:bCs/>
          <w:sz w:val="26"/>
          <w:szCs w:val="26"/>
          <w:lang w:val="es-ES"/>
        </w:rPr>
        <w:t>c</w:t>
      </w:r>
      <w:r w:rsidRPr="008037B6">
        <w:rPr>
          <w:rFonts w:eastAsia="Times New Roman"/>
          <w:b/>
          <w:bCs/>
          <w:sz w:val="26"/>
          <w:szCs w:val="26"/>
          <w:lang w:val="es-ES"/>
        </w:rPr>
        <w:t xml:space="preserve">ifras </w:t>
      </w:r>
      <w:r>
        <w:rPr>
          <w:rFonts w:eastAsia="Times New Roman"/>
          <w:b/>
          <w:bCs/>
          <w:sz w:val="26"/>
          <w:szCs w:val="26"/>
          <w:lang w:val="es-ES"/>
        </w:rPr>
        <w:t xml:space="preserve">    </w:t>
      </w:r>
      <w:r w:rsidRPr="008037B6">
        <w:rPr>
          <w:rFonts w:eastAsia="Times New Roman"/>
          <w:b/>
          <w:bCs/>
          <w:sz w:val="26"/>
          <w:szCs w:val="26"/>
          <w:lang w:val="es-ES"/>
        </w:rPr>
        <w:t xml:space="preserve">a </w:t>
      </w:r>
      <w:r>
        <w:rPr>
          <w:rFonts w:eastAsia="Times New Roman"/>
          <w:b/>
          <w:bCs/>
          <w:sz w:val="26"/>
          <w:szCs w:val="26"/>
          <w:lang w:val="es-ES"/>
        </w:rPr>
        <w:t xml:space="preserve">    </w:t>
      </w:r>
      <w:r w:rsidRPr="008037B6">
        <w:rPr>
          <w:rFonts w:eastAsia="Times New Roman"/>
          <w:b/>
          <w:bCs/>
          <w:sz w:val="26"/>
          <w:szCs w:val="26"/>
          <w:lang w:val="es-ES"/>
        </w:rPr>
        <w:t xml:space="preserve">febrero </w:t>
      </w:r>
      <w:r>
        <w:rPr>
          <w:rFonts w:eastAsia="Times New Roman"/>
          <w:b/>
          <w:bCs/>
          <w:sz w:val="26"/>
          <w:szCs w:val="26"/>
          <w:lang w:val="es-ES"/>
        </w:rPr>
        <w:t xml:space="preserve">    </w:t>
      </w:r>
      <w:r w:rsidRPr="008037B6">
        <w:rPr>
          <w:rFonts w:eastAsia="Times New Roman"/>
          <w:b/>
          <w:bCs/>
          <w:sz w:val="26"/>
          <w:szCs w:val="26"/>
          <w:lang w:val="es-ES"/>
        </w:rPr>
        <w:t xml:space="preserve">de </w:t>
      </w:r>
      <w:r>
        <w:rPr>
          <w:rFonts w:eastAsia="Times New Roman"/>
          <w:b/>
          <w:bCs/>
          <w:sz w:val="26"/>
          <w:szCs w:val="26"/>
          <w:lang w:val="es-ES"/>
        </w:rPr>
        <w:t xml:space="preserve">    </w:t>
      </w:r>
      <w:r w:rsidRPr="008037B6">
        <w:rPr>
          <w:rFonts w:eastAsia="Times New Roman"/>
          <w:b/>
          <w:bCs/>
          <w:sz w:val="26"/>
          <w:szCs w:val="26"/>
          <w:lang w:val="es-ES"/>
        </w:rPr>
        <w:t xml:space="preserve">2015 </w:t>
      </w:r>
      <w:r>
        <w:rPr>
          <w:rFonts w:eastAsia="Times New Roman"/>
          <w:b/>
          <w:bCs/>
          <w:sz w:val="26"/>
          <w:szCs w:val="26"/>
          <w:lang w:val="es-ES"/>
        </w:rPr>
        <w:t xml:space="preserve">   </w:t>
      </w:r>
      <w:r w:rsidRPr="008037B6">
        <w:rPr>
          <w:rFonts w:eastAsia="Times New Roman"/>
          <w:b/>
          <w:bCs/>
          <w:sz w:val="26"/>
          <w:szCs w:val="26"/>
          <w:lang w:val="es-ES"/>
        </w:rPr>
        <w:t>(AMDA)</w:t>
      </w:r>
    </w:p>
    <w:p w14:paraId="139AAD86" w14:textId="67F3F313" w:rsidR="008037B6" w:rsidRPr="008037B6" w:rsidRDefault="008037B6" w:rsidP="008037B6">
      <w:pPr>
        <w:spacing w:after="360" w:line="360" w:lineRule="auto"/>
        <w:ind w:right="-159"/>
        <w:jc w:val="both"/>
        <w:rPr>
          <w:rFonts w:eastAsia="Times New Roman"/>
          <w:bCs/>
          <w:sz w:val="26"/>
          <w:szCs w:val="26"/>
          <w:lang w:val="es-ES"/>
        </w:rPr>
      </w:pPr>
      <w:r w:rsidRPr="008037B6">
        <w:rPr>
          <w:rFonts w:eastAsia="Times New Roman"/>
          <w:bCs/>
          <w:sz w:val="26"/>
          <w:szCs w:val="26"/>
          <w:lang w:val="es-ES"/>
        </w:rPr>
        <w:t xml:space="preserve">El 9 de marzo de 2015, la Asociación Mexicana de Distribuidores de Automotores, A.C. </w:t>
      </w:r>
      <w:r w:rsidR="00D2103B">
        <w:rPr>
          <w:rFonts w:eastAsia="Times New Roman"/>
          <w:bCs/>
          <w:sz w:val="26"/>
          <w:szCs w:val="26"/>
          <w:lang w:val="es-ES"/>
        </w:rPr>
        <w:t>(</w:t>
      </w:r>
      <w:r w:rsidRPr="008037B6">
        <w:rPr>
          <w:rFonts w:eastAsia="Times New Roman"/>
          <w:bCs/>
          <w:sz w:val="26"/>
          <w:szCs w:val="26"/>
          <w:lang w:val="es-ES"/>
        </w:rPr>
        <w:t>AMDA</w:t>
      </w:r>
      <w:r w:rsidR="00D2103B">
        <w:rPr>
          <w:rFonts w:eastAsia="Times New Roman"/>
          <w:bCs/>
          <w:sz w:val="26"/>
          <w:szCs w:val="26"/>
          <w:lang w:val="es-ES"/>
        </w:rPr>
        <w:t>)</w:t>
      </w:r>
      <w:r w:rsidRPr="008037B6">
        <w:rPr>
          <w:rFonts w:eastAsia="Times New Roman"/>
          <w:bCs/>
          <w:sz w:val="26"/>
          <w:szCs w:val="26"/>
          <w:lang w:val="es-ES"/>
        </w:rPr>
        <w:t xml:space="preserve"> presentó su publicación “</w:t>
      </w:r>
      <w:r w:rsidRPr="008037B6">
        <w:rPr>
          <w:rFonts w:eastAsia="Times New Roman"/>
          <w:bCs/>
          <w:iCs/>
          <w:sz w:val="26"/>
          <w:szCs w:val="26"/>
          <w:lang w:val="es-ES"/>
        </w:rPr>
        <w:t>Reporte de Mercado Interno Automotor”</w:t>
      </w:r>
      <w:r w:rsidRPr="008037B6">
        <w:rPr>
          <w:rFonts w:eastAsia="Times New Roman"/>
          <w:bCs/>
          <w:i/>
          <w:iCs/>
          <w:sz w:val="26"/>
          <w:szCs w:val="26"/>
          <w:lang w:val="es-ES"/>
        </w:rPr>
        <w:t xml:space="preserve"> </w:t>
      </w:r>
      <w:r w:rsidRPr="008037B6">
        <w:rPr>
          <w:rFonts w:eastAsia="Times New Roman"/>
          <w:bCs/>
          <w:sz w:val="26"/>
          <w:szCs w:val="26"/>
          <w:lang w:val="es-ES"/>
        </w:rPr>
        <w:t>con cifras del sector al mes de febrero. A continuación se presenta la información.</w:t>
      </w:r>
    </w:p>
    <w:p w14:paraId="2FFFABCC" w14:textId="77777777" w:rsidR="008037B6" w:rsidRPr="008037B6" w:rsidRDefault="008037B6" w:rsidP="008037B6">
      <w:pPr>
        <w:spacing w:after="360" w:line="360" w:lineRule="auto"/>
        <w:ind w:right="-159"/>
        <w:jc w:val="both"/>
        <w:rPr>
          <w:rFonts w:eastAsia="Times New Roman"/>
          <w:b/>
          <w:bCs/>
          <w:sz w:val="26"/>
          <w:szCs w:val="26"/>
          <w:lang w:val="es-ES"/>
        </w:rPr>
      </w:pPr>
      <w:r w:rsidRPr="008037B6">
        <w:rPr>
          <w:rFonts w:eastAsia="Times New Roman"/>
          <w:b/>
          <w:bCs/>
          <w:sz w:val="26"/>
          <w:szCs w:val="26"/>
          <w:lang w:val="es-ES"/>
        </w:rPr>
        <w:t>Vehículos ligeros comercializados en febrero de 2014 y 2015</w:t>
      </w:r>
    </w:p>
    <w:p w14:paraId="7E6E7AD6" w14:textId="77777777" w:rsidR="008037B6" w:rsidRPr="008037B6" w:rsidRDefault="008037B6" w:rsidP="008037B6">
      <w:pPr>
        <w:spacing w:after="360" w:line="360" w:lineRule="auto"/>
        <w:ind w:right="-159"/>
        <w:jc w:val="both"/>
        <w:rPr>
          <w:rFonts w:eastAsia="Times New Roman"/>
          <w:bCs/>
          <w:sz w:val="26"/>
          <w:szCs w:val="26"/>
        </w:rPr>
      </w:pPr>
      <w:r w:rsidRPr="008037B6">
        <w:rPr>
          <w:rFonts w:eastAsia="Times New Roman"/>
          <w:bCs/>
          <w:sz w:val="26"/>
          <w:szCs w:val="26"/>
        </w:rPr>
        <w:t>Las ventas anualizadas fueron de un millón 171 mil 222 unidades a febrero de 2015, es decir la suma de los 12 meses de febrero de 2014 a enero de 2015. En esta ocasión se registra crecimiento de 10% superior al mismo lapso de 2014 cuando se cerró con un millón 64 mil 598 vehículos.</w:t>
      </w:r>
    </w:p>
    <w:p w14:paraId="6F6B59C0" w14:textId="77777777" w:rsidR="008037B6" w:rsidRDefault="008037B6" w:rsidP="008037B6">
      <w:pPr>
        <w:spacing w:after="360" w:line="360" w:lineRule="auto"/>
        <w:ind w:right="-159"/>
        <w:jc w:val="both"/>
        <w:rPr>
          <w:rFonts w:eastAsia="Times New Roman"/>
          <w:bCs/>
          <w:sz w:val="26"/>
          <w:szCs w:val="26"/>
        </w:rPr>
      </w:pPr>
      <w:r w:rsidRPr="008037B6">
        <w:rPr>
          <w:rFonts w:eastAsia="Times New Roman"/>
          <w:bCs/>
          <w:sz w:val="26"/>
          <w:szCs w:val="26"/>
        </w:rPr>
        <w:lastRenderedPageBreak/>
        <w:t>Por su parte, respecto al acumulado de 12 meses inmediato anterior (f</w:t>
      </w:r>
      <w:r w:rsidRPr="008037B6">
        <w:rPr>
          <w:rFonts w:eastAsia="Times New Roman"/>
          <w:bCs/>
          <w:sz w:val="26"/>
          <w:szCs w:val="26"/>
          <w:lang w:val="es-ES"/>
        </w:rPr>
        <w:t>ebrero</w:t>
      </w:r>
      <w:r w:rsidRPr="008037B6">
        <w:rPr>
          <w:rFonts w:eastAsia="Times New Roman"/>
          <w:bCs/>
          <w:sz w:val="26"/>
          <w:szCs w:val="26"/>
        </w:rPr>
        <w:t xml:space="preserve"> de 2014 a enero de 2015), las ventas aumentaron 1.53% con 17 mil 620 unidades más. Este indicador fue inferior en 0.07 puntos porcentuales respecto al período inmediato anterior.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2110"/>
        <w:gridCol w:w="1603"/>
        <w:gridCol w:w="1531"/>
        <w:gridCol w:w="1345"/>
      </w:tblGrid>
      <w:tr w:rsidR="008037B6" w:rsidRPr="008037B6" w14:paraId="50184EB2" w14:textId="77777777" w:rsidTr="008037B6">
        <w:trPr>
          <w:jc w:val="center"/>
        </w:trPr>
        <w:tc>
          <w:tcPr>
            <w:tcW w:w="6589" w:type="dxa"/>
            <w:gridSpan w:val="4"/>
            <w:tcBorders>
              <w:top w:val="nil"/>
              <w:left w:val="nil"/>
              <w:right w:val="nil"/>
            </w:tcBorders>
            <w:shd w:val="clear" w:color="auto" w:fill="auto"/>
            <w:vAlign w:val="center"/>
          </w:tcPr>
          <w:p w14:paraId="045F1E41" w14:textId="77777777" w:rsidR="008037B6" w:rsidRPr="008037B6" w:rsidRDefault="008037B6" w:rsidP="008037B6">
            <w:pPr>
              <w:spacing w:before="20" w:after="20"/>
              <w:jc w:val="center"/>
              <w:rPr>
                <w:rFonts w:eastAsia="Times New Roman"/>
                <w:b/>
                <w:sz w:val="22"/>
                <w:szCs w:val="22"/>
              </w:rPr>
            </w:pPr>
            <w:r w:rsidRPr="008037B6">
              <w:rPr>
                <w:rFonts w:eastAsia="Times New Roman"/>
                <w:b/>
                <w:sz w:val="22"/>
                <w:szCs w:val="22"/>
              </w:rPr>
              <w:t>VENTAS ACUMULADAS 12 MESES</w:t>
            </w:r>
          </w:p>
        </w:tc>
      </w:tr>
      <w:tr w:rsidR="008037B6" w:rsidRPr="008037B6" w14:paraId="7F3F7025" w14:textId="77777777" w:rsidTr="008037B6">
        <w:trPr>
          <w:jc w:val="center"/>
        </w:trPr>
        <w:tc>
          <w:tcPr>
            <w:tcW w:w="3713" w:type="dxa"/>
            <w:gridSpan w:val="2"/>
            <w:tcBorders>
              <w:bottom w:val="single" w:sz="4" w:space="0" w:color="auto"/>
            </w:tcBorders>
            <w:shd w:val="clear" w:color="auto" w:fill="auto"/>
            <w:vAlign w:val="center"/>
          </w:tcPr>
          <w:p w14:paraId="4F8FED83" w14:textId="77777777" w:rsidR="008037B6" w:rsidRPr="008037B6" w:rsidRDefault="008037B6" w:rsidP="008037B6">
            <w:pPr>
              <w:spacing w:before="20" w:after="20"/>
              <w:jc w:val="center"/>
              <w:rPr>
                <w:rFonts w:eastAsia="Times New Roman"/>
                <w:b/>
                <w:sz w:val="20"/>
                <w:szCs w:val="22"/>
              </w:rPr>
            </w:pPr>
            <w:r w:rsidRPr="008037B6">
              <w:rPr>
                <w:rFonts w:eastAsia="Times New Roman"/>
                <w:b/>
                <w:sz w:val="20"/>
                <w:szCs w:val="22"/>
              </w:rPr>
              <w:t>Período</w:t>
            </w:r>
          </w:p>
        </w:tc>
        <w:tc>
          <w:tcPr>
            <w:tcW w:w="1531" w:type="dxa"/>
            <w:tcBorders>
              <w:bottom w:val="single" w:sz="4" w:space="0" w:color="auto"/>
            </w:tcBorders>
            <w:shd w:val="clear" w:color="auto" w:fill="auto"/>
            <w:vAlign w:val="center"/>
          </w:tcPr>
          <w:p w14:paraId="5F97952D" w14:textId="77777777" w:rsidR="008037B6" w:rsidRPr="008037B6" w:rsidRDefault="008037B6" w:rsidP="008037B6">
            <w:pPr>
              <w:spacing w:before="20" w:after="20"/>
              <w:jc w:val="center"/>
              <w:rPr>
                <w:rFonts w:eastAsia="Times New Roman"/>
                <w:b/>
                <w:sz w:val="20"/>
                <w:szCs w:val="22"/>
              </w:rPr>
            </w:pPr>
            <w:r w:rsidRPr="008037B6">
              <w:rPr>
                <w:rFonts w:eastAsia="Times New Roman"/>
                <w:b/>
                <w:sz w:val="20"/>
                <w:szCs w:val="22"/>
              </w:rPr>
              <w:t>Unidades</w:t>
            </w:r>
          </w:p>
        </w:tc>
        <w:tc>
          <w:tcPr>
            <w:tcW w:w="1345" w:type="dxa"/>
            <w:tcBorders>
              <w:bottom w:val="single" w:sz="4" w:space="0" w:color="auto"/>
            </w:tcBorders>
            <w:shd w:val="clear" w:color="auto" w:fill="auto"/>
            <w:vAlign w:val="center"/>
          </w:tcPr>
          <w:p w14:paraId="5542D057" w14:textId="77777777" w:rsidR="008037B6" w:rsidRPr="008037B6" w:rsidRDefault="008037B6" w:rsidP="008037B6">
            <w:pPr>
              <w:spacing w:before="20" w:after="20"/>
              <w:jc w:val="center"/>
              <w:rPr>
                <w:rFonts w:eastAsia="Times New Roman"/>
                <w:b/>
                <w:sz w:val="20"/>
                <w:szCs w:val="22"/>
              </w:rPr>
            </w:pPr>
            <w:r w:rsidRPr="008037B6">
              <w:rPr>
                <w:rFonts w:eastAsia="Times New Roman"/>
                <w:b/>
                <w:sz w:val="20"/>
                <w:szCs w:val="22"/>
              </w:rPr>
              <w:t>Var. % mes anterior</w:t>
            </w:r>
          </w:p>
        </w:tc>
      </w:tr>
      <w:tr w:rsidR="008037B6" w:rsidRPr="008037B6" w14:paraId="780D43E1" w14:textId="77777777" w:rsidTr="008037B6">
        <w:trPr>
          <w:jc w:val="center"/>
        </w:trPr>
        <w:tc>
          <w:tcPr>
            <w:tcW w:w="2110" w:type="dxa"/>
            <w:tcBorders>
              <w:bottom w:val="single" w:sz="4" w:space="0" w:color="auto"/>
            </w:tcBorders>
            <w:shd w:val="clear" w:color="auto" w:fill="auto"/>
            <w:vAlign w:val="center"/>
          </w:tcPr>
          <w:p w14:paraId="69575164"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Junio 11</w:t>
            </w:r>
          </w:p>
        </w:tc>
        <w:tc>
          <w:tcPr>
            <w:tcW w:w="1603" w:type="dxa"/>
            <w:tcBorders>
              <w:bottom w:val="single" w:sz="4" w:space="0" w:color="auto"/>
            </w:tcBorders>
            <w:shd w:val="clear" w:color="auto" w:fill="auto"/>
            <w:vAlign w:val="center"/>
          </w:tcPr>
          <w:p w14:paraId="55DA4F28"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Mayo 12</w:t>
            </w:r>
          </w:p>
        </w:tc>
        <w:tc>
          <w:tcPr>
            <w:tcW w:w="1531" w:type="dxa"/>
            <w:tcBorders>
              <w:bottom w:val="single" w:sz="4" w:space="0" w:color="auto"/>
            </w:tcBorders>
            <w:shd w:val="clear" w:color="auto" w:fill="auto"/>
            <w:vAlign w:val="center"/>
          </w:tcPr>
          <w:p w14:paraId="331B859A" w14:textId="77777777" w:rsidR="008037B6" w:rsidRPr="008037B6" w:rsidRDefault="008037B6" w:rsidP="008037B6">
            <w:pPr>
              <w:spacing w:before="20" w:after="20"/>
              <w:ind w:right="397"/>
              <w:jc w:val="right"/>
              <w:rPr>
                <w:rFonts w:eastAsia="Times New Roman"/>
                <w:sz w:val="18"/>
                <w:szCs w:val="18"/>
              </w:rPr>
            </w:pPr>
            <w:r w:rsidRPr="008037B6">
              <w:rPr>
                <w:rFonts w:eastAsia="Times New Roman"/>
                <w:sz w:val="18"/>
                <w:szCs w:val="18"/>
              </w:rPr>
              <w:t>944 856</w:t>
            </w:r>
          </w:p>
        </w:tc>
        <w:tc>
          <w:tcPr>
            <w:tcW w:w="1345" w:type="dxa"/>
            <w:tcBorders>
              <w:bottom w:val="single" w:sz="4" w:space="0" w:color="auto"/>
            </w:tcBorders>
            <w:shd w:val="clear" w:color="auto" w:fill="auto"/>
            <w:vAlign w:val="center"/>
          </w:tcPr>
          <w:p w14:paraId="41E13724"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1.25</w:t>
            </w:r>
          </w:p>
        </w:tc>
      </w:tr>
      <w:tr w:rsidR="008037B6" w:rsidRPr="008037B6" w14:paraId="614FFA23" w14:textId="77777777" w:rsidTr="008037B6">
        <w:trPr>
          <w:jc w:val="center"/>
        </w:trPr>
        <w:tc>
          <w:tcPr>
            <w:tcW w:w="2110" w:type="dxa"/>
            <w:tcBorders>
              <w:bottom w:val="single" w:sz="4" w:space="0" w:color="auto"/>
            </w:tcBorders>
            <w:shd w:val="clear" w:color="auto" w:fill="auto"/>
            <w:vAlign w:val="center"/>
          </w:tcPr>
          <w:p w14:paraId="2FF20CD8"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Julio 11</w:t>
            </w:r>
          </w:p>
        </w:tc>
        <w:tc>
          <w:tcPr>
            <w:tcW w:w="1603" w:type="dxa"/>
            <w:tcBorders>
              <w:bottom w:val="single" w:sz="4" w:space="0" w:color="auto"/>
            </w:tcBorders>
            <w:shd w:val="clear" w:color="auto" w:fill="auto"/>
            <w:vAlign w:val="center"/>
          </w:tcPr>
          <w:p w14:paraId="73E388EA"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Junio 12</w:t>
            </w:r>
          </w:p>
        </w:tc>
        <w:tc>
          <w:tcPr>
            <w:tcW w:w="1531" w:type="dxa"/>
            <w:tcBorders>
              <w:bottom w:val="single" w:sz="4" w:space="0" w:color="auto"/>
            </w:tcBorders>
            <w:shd w:val="clear" w:color="auto" w:fill="auto"/>
            <w:vAlign w:val="center"/>
          </w:tcPr>
          <w:p w14:paraId="7B088006" w14:textId="77777777" w:rsidR="008037B6" w:rsidRPr="008037B6" w:rsidRDefault="008037B6" w:rsidP="008037B6">
            <w:pPr>
              <w:spacing w:before="20" w:after="20"/>
              <w:ind w:right="397"/>
              <w:jc w:val="right"/>
              <w:rPr>
                <w:rFonts w:eastAsia="Times New Roman"/>
                <w:sz w:val="18"/>
                <w:szCs w:val="18"/>
              </w:rPr>
            </w:pPr>
            <w:r w:rsidRPr="008037B6">
              <w:rPr>
                <w:rFonts w:eastAsia="Times New Roman"/>
                <w:sz w:val="18"/>
                <w:szCs w:val="18"/>
              </w:rPr>
              <w:t>954 999</w:t>
            </w:r>
          </w:p>
        </w:tc>
        <w:tc>
          <w:tcPr>
            <w:tcW w:w="1345" w:type="dxa"/>
            <w:tcBorders>
              <w:bottom w:val="single" w:sz="4" w:space="0" w:color="auto"/>
            </w:tcBorders>
            <w:shd w:val="clear" w:color="auto" w:fill="auto"/>
            <w:vAlign w:val="center"/>
          </w:tcPr>
          <w:p w14:paraId="102472AC"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1.07</w:t>
            </w:r>
          </w:p>
        </w:tc>
      </w:tr>
      <w:tr w:rsidR="008037B6" w:rsidRPr="008037B6" w14:paraId="3D2C040E" w14:textId="77777777" w:rsidTr="008037B6">
        <w:trPr>
          <w:jc w:val="center"/>
        </w:trPr>
        <w:tc>
          <w:tcPr>
            <w:tcW w:w="2110" w:type="dxa"/>
            <w:tcBorders>
              <w:bottom w:val="single" w:sz="4" w:space="0" w:color="auto"/>
            </w:tcBorders>
            <w:shd w:val="clear" w:color="auto" w:fill="auto"/>
            <w:vAlign w:val="center"/>
          </w:tcPr>
          <w:p w14:paraId="543BFFC2"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Agosto 11</w:t>
            </w:r>
          </w:p>
        </w:tc>
        <w:tc>
          <w:tcPr>
            <w:tcW w:w="1603" w:type="dxa"/>
            <w:tcBorders>
              <w:bottom w:val="single" w:sz="4" w:space="0" w:color="auto"/>
            </w:tcBorders>
            <w:shd w:val="clear" w:color="auto" w:fill="auto"/>
            <w:vAlign w:val="center"/>
          </w:tcPr>
          <w:p w14:paraId="1CCF96A9"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Julio 12</w:t>
            </w:r>
          </w:p>
        </w:tc>
        <w:tc>
          <w:tcPr>
            <w:tcW w:w="1531" w:type="dxa"/>
            <w:tcBorders>
              <w:bottom w:val="single" w:sz="4" w:space="0" w:color="auto"/>
            </w:tcBorders>
            <w:shd w:val="clear" w:color="auto" w:fill="auto"/>
            <w:vAlign w:val="center"/>
          </w:tcPr>
          <w:p w14:paraId="62D39B6C" w14:textId="77777777" w:rsidR="008037B6" w:rsidRPr="008037B6" w:rsidRDefault="008037B6" w:rsidP="008037B6">
            <w:pPr>
              <w:spacing w:before="20" w:after="20"/>
              <w:ind w:right="397"/>
              <w:jc w:val="right"/>
              <w:rPr>
                <w:rFonts w:eastAsia="Times New Roman"/>
                <w:sz w:val="18"/>
                <w:szCs w:val="18"/>
              </w:rPr>
            </w:pPr>
            <w:r w:rsidRPr="008037B6">
              <w:rPr>
                <w:rFonts w:eastAsia="Times New Roman"/>
                <w:sz w:val="18"/>
                <w:szCs w:val="18"/>
              </w:rPr>
              <w:t>962 842</w:t>
            </w:r>
          </w:p>
        </w:tc>
        <w:tc>
          <w:tcPr>
            <w:tcW w:w="1345" w:type="dxa"/>
            <w:tcBorders>
              <w:bottom w:val="single" w:sz="4" w:space="0" w:color="auto"/>
            </w:tcBorders>
            <w:shd w:val="clear" w:color="auto" w:fill="auto"/>
            <w:vAlign w:val="center"/>
          </w:tcPr>
          <w:p w14:paraId="6AFE69C1"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0.82</w:t>
            </w:r>
          </w:p>
        </w:tc>
      </w:tr>
      <w:tr w:rsidR="008037B6" w:rsidRPr="008037B6" w14:paraId="307AE54B" w14:textId="77777777" w:rsidTr="008037B6">
        <w:trPr>
          <w:jc w:val="center"/>
        </w:trPr>
        <w:tc>
          <w:tcPr>
            <w:tcW w:w="2110" w:type="dxa"/>
            <w:tcBorders>
              <w:bottom w:val="single" w:sz="4" w:space="0" w:color="auto"/>
            </w:tcBorders>
            <w:shd w:val="clear" w:color="auto" w:fill="auto"/>
            <w:vAlign w:val="center"/>
          </w:tcPr>
          <w:p w14:paraId="5CA45923"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Septiembre 11</w:t>
            </w:r>
          </w:p>
        </w:tc>
        <w:tc>
          <w:tcPr>
            <w:tcW w:w="1603" w:type="dxa"/>
            <w:tcBorders>
              <w:bottom w:val="single" w:sz="4" w:space="0" w:color="auto"/>
            </w:tcBorders>
            <w:shd w:val="clear" w:color="auto" w:fill="auto"/>
            <w:vAlign w:val="center"/>
          </w:tcPr>
          <w:p w14:paraId="27FC7B91"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Agosto 12</w:t>
            </w:r>
          </w:p>
        </w:tc>
        <w:tc>
          <w:tcPr>
            <w:tcW w:w="1531" w:type="dxa"/>
            <w:tcBorders>
              <w:bottom w:val="single" w:sz="4" w:space="0" w:color="auto"/>
            </w:tcBorders>
            <w:shd w:val="clear" w:color="auto" w:fill="auto"/>
            <w:vAlign w:val="center"/>
          </w:tcPr>
          <w:p w14:paraId="1C1D3A14" w14:textId="77777777" w:rsidR="008037B6" w:rsidRPr="008037B6" w:rsidRDefault="008037B6" w:rsidP="008037B6">
            <w:pPr>
              <w:spacing w:before="20" w:after="20"/>
              <w:ind w:right="397"/>
              <w:jc w:val="right"/>
              <w:rPr>
                <w:rFonts w:eastAsia="Times New Roman"/>
                <w:sz w:val="18"/>
                <w:szCs w:val="18"/>
              </w:rPr>
            </w:pPr>
            <w:r w:rsidRPr="008037B6">
              <w:rPr>
                <w:rFonts w:eastAsia="Times New Roman"/>
                <w:sz w:val="18"/>
                <w:szCs w:val="18"/>
              </w:rPr>
              <w:t>970 488</w:t>
            </w:r>
          </w:p>
        </w:tc>
        <w:tc>
          <w:tcPr>
            <w:tcW w:w="1345" w:type="dxa"/>
            <w:tcBorders>
              <w:bottom w:val="single" w:sz="4" w:space="0" w:color="auto"/>
            </w:tcBorders>
            <w:shd w:val="clear" w:color="auto" w:fill="auto"/>
            <w:vAlign w:val="center"/>
          </w:tcPr>
          <w:p w14:paraId="2849C0EC"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0.79</w:t>
            </w:r>
          </w:p>
        </w:tc>
      </w:tr>
      <w:tr w:rsidR="008037B6" w:rsidRPr="008037B6" w14:paraId="12BBC0D1" w14:textId="77777777" w:rsidTr="008037B6">
        <w:trPr>
          <w:jc w:val="center"/>
        </w:trPr>
        <w:tc>
          <w:tcPr>
            <w:tcW w:w="2110" w:type="dxa"/>
            <w:tcBorders>
              <w:bottom w:val="single" w:sz="4" w:space="0" w:color="auto"/>
            </w:tcBorders>
            <w:shd w:val="clear" w:color="auto" w:fill="auto"/>
            <w:vAlign w:val="center"/>
          </w:tcPr>
          <w:p w14:paraId="75BB33A0"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Octubre 11</w:t>
            </w:r>
          </w:p>
        </w:tc>
        <w:tc>
          <w:tcPr>
            <w:tcW w:w="1603" w:type="dxa"/>
            <w:tcBorders>
              <w:bottom w:val="single" w:sz="4" w:space="0" w:color="auto"/>
            </w:tcBorders>
            <w:shd w:val="clear" w:color="auto" w:fill="auto"/>
            <w:vAlign w:val="center"/>
          </w:tcPr>
          <w:p w14:paraId="29B888F9"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Septiembre 12</w:t>
            </w:r>
          </w:p>
        </w:tc>
        <w:tc>
          <w:tcPr>
            <w:tcW w:w="1531" w:type="dxa"/>
            <w:tcBorders>
              <w:bottom w:val="single" w:sz="4" w:space="0" w:color="auto"/>
            </w:tcBorders>
            <w:shd w:val="clear" w:color="auto" w:fill="auto"/>
            <w:vAlign w:val="center"/>
          </w:tcPr>
          <w:p w14:paraId="276B7813" w14:textId="77777777" w:rsidR="008037B6" w:rsidRPr="008037B6" w:rsidRDefault="008037B6" w:rsidP="008037B6">
            <w:pPr>
              <w:spacing w:before="20" w:after="20"/>
              <w:ind w:right="397"/>
              <w:jc w:val="right"/>
              <w:rPr>
                <w:rFonts w:eastAsia="Times New Roman"/>
                <w:sz w:val="18"/>
                <w:szCs w:val="18"/>
              </w:rPr>
            </w:pPr>
            <w:r w:rsidRPr="008037B6">
              <w:rPr>
                <w:rFonts w:eastAsia="Times New Roman"/>
                <w:sz w:val="18"/>
                <w:szCs w:val="18"/>
              </w:rPr>
              <w:t>976 451</w:t>
            </w:r>
          </w:p>
        </w:tc>
        <w:tc>
          <w:tcPr>
            <w:tcW w:w="1345" w:type="dxa"/>
            <w:tcBorders>
              <w:bottom w:val="single" w:sz="4" w:space="0" w:color="auto"/>
            </w:tcBorders>
            <w:shd w:val="clear" w:color="auto" w:fill="auto"/>
            <w:vAlign w:val="center"/>
          </w:tcPr>
          <w:p w14:paraId="60EA2C8B"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0.61</w:t>
            </w:r>
          </w:p>
        </w:tc>
      </w:tr>
      <w:tr w:rsidR="008037B6" w:rsidRPr="008037B6" w14:paraId="3ED46828" w14:textId="77777777" w:rsidTr="008037B6">
        <w:trPr>
          <w:jc w:val="center"/>
        </w:trPr>
        <w:tc>
          <w:tcPr>
            <w:tcW w:w="2110" w:type="dxa"/>
            <w:tcBorders>
              <w:bottom w:val="single" w:sz="4" w:space="0" w:color="auto"/>
            </w:tcBorders>
            <w:shd w:val="clear" w:color="auto" w:fill="auto"/>
            <w:vAlign w:val="center"/>
          </w:tcPr>
          <w:p w14:paraId="3D8BB8FB"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Noviembre 11</w:t>
            </w:r>
          </w:p>
        </w:tc>
        <w:tc>
          <w:tcPr>
            <w:tcW w:w="1603" w:type="dxa"/>
            <w:tcBorders>
              <w:bottom w:val="single" w:sz="4" w:space="0" w:color="auto"/>
            </w:tcBorders>
            <w:shd w:val="clear" w:color="auto" w:fill="auto"/>
            <w:vAlign w:val="center"/>
          </w:tcPr>
          <w:p w14:paraId="34445578"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Octubre 12</w:t>
            </w:r>
          </w:p>
        </w:tc>
        <w:tc>
          <w:tcPr>
            <w:tcW w:w="1531" w:type="dxa"/>
            <w:tcBorders>
              <w:bottom w:val="single" w:sz="4" w:space="0" w:color="auto"/>
            </w:tcBorders>
            <w:shd w:val="clear" w:color="auto" w:fill="auto"/>
            <w:vAlign w:val="center"/>
          </w:tcPr>
          <w:p w14:paraId="3C8F9FBB"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983 875</w:t>
            </w:r>
          </w:p>
        </w:tc>
        <w:tc>
          <w:tcPr>
            <w:tcW w:w="1345" w:type="dxa"/>
            <w:tcBorders>
              <w:bottom w:val="single" w:sz="4" w:space="0" w:color="auto"/>
            </w:tcBorders>
            <w:shd w:val="clear" w:color="auto" w:fill="auto"/>
            <w:vAlign w:val="center"/>
          </w:tcPr>
          <w:p w14:paraId="6CEF992E"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0.76</w:t>
            </w:r>
          </w:p>
        </w:tc>
      </w:tr>
      <w:tr w:rsidR="008037B6" w:rsidRPr="008037B6" w14:paraId="3BCA1C34" w14:textId="77777777" w:rsidTr="008037B6">
        <w:trPr>
          <w:jc w:val="center"/>
        </w:trPr>
        <w:tc>
          <w:tcPr>
            <w:tcW w:w="2110" w:type="dxa"/>
            <w:tcBorders>
              <w:bottom w:val="single" w:sz="4" w:space="0" w:color="auto"/>
            </w:tcBorders>
            <w:shd w:val="clear" w:color="auto" w:fill="auto"/>
            <w:vAlign w:val="center"/>
          </w:tcPr>
          <w:p w14:paraId="75AC967A"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Diciembre 11</w:t>
            </w:r>
          </w:p>
        </w:tc>
        <w:tc>
          <w:tcPr>
            <w:tcW w:w="1603" w:type="dxa"/>
            <w:tcBorders>
              <w:bottom w:val="single" w:sz="4" w:space="0" w:color="auto"/>
            </w:tcBorders>
            <w:shd w:val="clear" w:color="auto" w:fill="auto"/>
            <w:vAlign w:val="center"/>
          </w:tcPr>
          <w:p w14:paraId="7915BF40"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Noviembre 12</w:t>
            </w:r>
          </w:p>
        </w:tc>
        <w:tc>
          <w:tcPr>
            <w:tcW w:w="1531" w:type="dxa"/>
            <w:tcBorders>
              <w:bottom w:val="single" w:sz="4" w:space="0" w:color="auto"/>
            </w:tcBorders>
            <w:shd w:val="clear" w:color="auto" w:fill="auto"/>
            <w:vAlign w:val="center"/>
          </w:tcPr>
          <w:p w14:paraId="5257010C"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992 594</w:t>
            </w:r>
          </w:p>
        </w:tc>
        <w:tc>
          <w:tcPr>
            <w:tcW w:w="1345" w:type="dxa"/>
            <w:tcBorders>
              <w:bottom w:val="single" w:sz="4" w:space="0" w:color="auto"/>
            </w:tcBorders>
            <w:shd w:val="clear" w:color="auto" w:fill="auto"/>
            <w:vAlign w:val="center"/>
          </w:tcPr>
          <w:p w14:paraId="6ECFFA81"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0.89</w:t>
            </w:r>
          </w:p>
        </w:tc>
      </w:tr>
      <w:tr w:rsidR="008037B6" w:rsidRPr="008037B6" w14:paraId="1616650D" w14:textId="77777777" w:rsidTr="008037B6">
        <w:trPr>
          <w:jc w:val="center"/>
        </w:trPr>
        <w:tc>
          <w:tcPr>
            <w:tcW w:w="2110" w:type="dxa"/>
            <w:tcBorders>
              <w:bottom w:val="single" w:sz="4" w:space="0" w:color="auto"/>
            </w:tcBorders>
            <w:shd w:val="clear" w:color="auto" w:fill="auto"/>
            <w:vAlign w:val="center"/>
          </w:tcPr>
          <w:p w14:paraId="53A8BBC0"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Enero 12</w:t>
            </w:r>
          </w:p>
        </w:tc>
        <w:tc>
          <w:tcPr>
            <w:tcW w:w="1603" w:type="dxa"/>
            <w:tcBorders>
              <w:bottom w:val="single" w:sz="4" w:space="0" w:color="auto"/>
            </w:tcBorders>
            <w:shd w:val="clear" w:color="auto" w:fill="auto"/>
            <w:vAlign w:val="center"/>
          </w:tcPr>
          <w:p w14:paraId="0B378BD2"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Diciembre 12</w:t>
            </w:r>
          </w:p>
        </w:tc>
        <w:tc>
          <w:tcPr>
            <w:tcW w:w="1531" w:type="dxa"/>
            <w:tcBorders>
              <w:bottom w:val="single" w:sz="4" w:space="0" w:color="auto"/>
            </w:tcBorders>
            <w:shd w:val="clear" w:color="auto" w:fill="auto"/>
            <w:vAlign w:val="center"/>
          </w:tcPr>
          <w:p w14:paraId="6CFBAD4F"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987 747</w:t>
            </w:r>
          </w:p>
        </w:tc>
        <w:tc>
          <w:tcPr>
            <w:tcW w:w="1345" w:type="dxa"/>
            <w:tcBorders>
              <w:bottom w:val="single" w:sz="4" w:space="0" w:color="auto"/>
            </w:tcBorders>
            <w:shd w:val="clear" w:color="auto" w:fill="auto"/>
            <w:vAlign w:val="center"/>
          </w:tcPr>
          <w:p w14:paraId="0E34AE7B"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-0.49</w:t>
            </w:r>
          </w:p>
        </w:tc>
      </w:tr>
      <w:tr w:rsidR="008037B6" w:rsidRPr="008037B6" w14:paraId="20A30CC3" w14:textId="77777777" w:rsidTr="008037B6">
        <w:trPr>
          <w:jc w:val="center"/>
        </w:trPr>
        <w:tc>
          <w:tcPr>
            <w:tcW w:w="2110" w:type="dxa"/>
            <w:tcBorders>
              <w:bottom w:val="single" w:sz="4" w:space="0" w:color="auto"/>
            </w:tcBorders>
            <w:shd w:val="clear" w:color="auto" w:fill="auto"/>
            <w:vAlign w:val="center"/>
          </w:tcPr>
          <w:p w14:paraId="742F5852"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Febrero 12</w:t>
            </w:r>
          </w:p>
        </w:tc>
        <w:tc>
          <w:tcPr>
            <w:tcW w:w="1603" w:type="dxa"/>
            <w:tcBorders>
              <w:bottom w:val="single" w:sz="4" w:space="0" w:color="auto"/>
            </w:tcBorders>
            <w:shd w:val="clear" w:color="auto" w:fill="auto"/>
            <w:vAlign w:val="center"/>
          </w:tcPr>
          <w:p w14:paraId="575C2F42"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Enero 13</w:t>
            </w:r>
          </w:p>
        </w:tc>
        <w:tc>
          <w:tcPr>
            <w:tcW w:w="1531" w:type="dxa"/>
            <w:tcBorders>
              <w:bottom w:val="single" w:sz="4" w:space="0" w:color="auto"/>
            </w:tcBorders>
            <w:shd w:val="clear" w:color="auto" w:fill="auto"/>
            <w:vAlign w:val="center"/>
          </w:tcPr>
          <w:p w14:paraId="068DDF5B"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996 719</w:t>
            </w:r>
          </w:p>
        </w:tc>
        <w:tc>
          <w:tcPr>
            <w:tcW w:w="1345" w:type="dxa"/>
            <w:tcBorders>
              <w:bottom w:val="single" w:sz="4" w:space="0" w:color="auto"/>
            </w:tcBorders>
            <w:shd w:val="clear" w:color="auto" w:fill="auto"/>
            <w:vAlign w:val="center"/>
          </w:tcPr>
          <w:p w14:paraId="0BBE5A83"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0.91</w:t>
            </w:r>
          </w:p>
        </w:tc>
      </w:tr>
      <w:tr w:rsidR="008037B6" w:rsidRPr="008037B6" w14:paraId="6A63D8B4" w14:textId="77777777" w:rsidTr="008037B6">
        <w:trPr>
          <w:jc w:val="center"/>
        </w:trPr>
        <w:tc>
          <w:tcPr>
            <w:tcW w:w="2110" w:type="dxa"/>
            <w:tcBorders>
              <w:bottom w:val="single" w:sz="4" w:space="0" w:color="auto"/>
            </w:tcBorders>
            <w:shd w:val="clear" w:color="auto" w:fill="auto"/>
            <w:vAlign w:val="center"/>
          </w:tcPr>
          <w:p w14:paraId="2A2D5F05"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Marzo 12</w:t>
            </w:r>
          </w:p>
        </w:tc>
        <w:tc>
          <w:tcPr>
            <w:tcW w:w="1603" w:type="dxa"/>
            <w:tcBorders>
              <w:bottom w:val="single" w:sz="4" w:space="0" w:color="auto"/>
            </w:tcBorders>
            <w:shd w:val="clear" w:color="auto" w:fill="auto"/>
            <w:vAlign w:val="center"/>
          </w:tcPr>
          <w:p w14:paraId="29A315EA"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Febrero 13</w:t>
            </w:r>
          </w:p>
        </w:tc>
        <w:tc>
          <w:tcPr>
            <w:tcW w:w="1531" w:type="dxa"/>
            <w:tcBorders>
              <w:bottom w:val="single" w:sz="4" w:space="0" w:color="auto"/>
            </w:tcBorders>
            <w:shd w:val="clear" w:color="auto" w:fill="auto"/>
            <w:vAlign w:val="center"/>
          </w:tcPr>
          <w:p w14:paraId="708C7657"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1 002 209</w:t>
            </w:r>
          </w:p>
        </w:tc>
        <w:tc>
          <w:tcPr>
            <w:tcW w:w="1345" w:type="dxa"/>
            <w:tcBorders>
              <w:bottom w:val="single" w:sz="4" w:space="0" w:color="auto"/>
            </w:tcBorders>
            <w:shd w:val="clear" w:color="auto" w:fill="auto"/>
            <w:vAlign w:val="center"/>
          </w:tcPr>
          <w:p w14:paraId="57A4DA9F"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0.55</w:t>
            </w:r>
          </w:p>
        </w:tc>
      </w:tr>
      <w:tr w:rsidR="008037B6" w:rsidRPr="008037B6" w14:paraId="43F3032F" w14:textId="77777777" w:rsidTr="008037B6">
        <w:trPr>
          <w:jc w:val="center"/>
        </w:trPr>
        <w:tc>
          <w:tcPr>
            <w:tcW w:w="2110" w:type="dxa"/>
            <w:tcBorders>
              <w:bottom w:val="single" w:sz="4" w:space="0" w:color="auto"/>
            </w:tcBorders>
            <w:shd w:val="clear" w:color="auto" w:fill="auto"/>
            <w:vAlign w:val="center"/>
          </w:tcPr>
          <w:p w14:paraId="137D7485"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Abril 12</w:t>
            </w:r>
          </w:p>
        </w:tc>
        <w:tc>
          <w:tcPr>
            <w:tcW w:w="1603" w:type="dxa"/>
            <w:tcBorders>
              <w:bottom w:val="single" w:sz="4" w:space="0" w:color="auto"/>
            </w:tcBorders>
            <w:shd w:val="clear" w:color="auto" w:fill="auto"/>
            <w:vAlign w:val="center"/>
          </w:tcPr>
          <w:p w14:paraId="4EEBC0D9"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Marzo 13</w:t>
            </w:r>
          </w:p>
        </w:tc>
        <w:tc>
          <w:tcPr>
            <w:tcW w:w="1531" w:type="dxa"/>
            <w:tcBorders>
              <w:bottom w:val="single" w:sz="4" w:space="0" w:color="auto"/>
            </w:tcBorders>
            <w:shd w:val="clear" w:color="auto" w:fill="auto"/>
            <w:vAlign w:val="center"/>
          </w:tcPr>
          <w:p w14:paraId="455216F4"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1 001 402</w:t>
            </w:r>
          </w:p>
        </w:tc>
        <w:tc>
          <w:tcPr>
            <w:tcW w:w="1345" w:type="dxa"/>
            <w:tcBorders>
              <w:bottom w:val="single" w:sz="4" w:space="0" w:color="auto"/>
            </w:tcBorders>
            <w:shd w:val="clear" w:color="auto" w:fill="auto"/>
            <w:vAlign w:val="center"/>
          </w:tcPr>
          <w:p w14:paraId="79476B79"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-0.08</w:t>
            </w:r>
          </w:p>
        </w:tc>
      </w:tr>
      <w:tr w:rsidR="008037B6" w:rsidRPr="008037B6" w14:paraId="1D16E12D" w14:textId="77777777" w:rsidTr="008037B6">
        <w:trPr>
          <w:jc w:val="center"/>
        </w:trPr>
        <w:tc>
          <w:tcPr>
            <w:tcW w:w="2110" w:type="dxa"/>
            <w:tcBorders>
              <w:bottom w:val="single" w:sz="4" w:space="0" w:color="auto"/>
            </w:tcBorders>
            <w:shd w:val="clear" w:color="auto" w:fill="auto"/>
            <w:vAlign w:val="center"/>
          </w:tcPr>
          <w:p w14:paraId="5CCDF039"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Mayo 12</w:t>
            </w:r>
          </w:p>
        </w:tc>
        <w:tc>
          <w:tcPr>
            <w:tcW w:w="1603" w:type="dxa"/>
            <w:tcBorders>
              <w:bottom w:val="single" w:sz="4" w:space="0" w:color="auto"/>
            </w:tcBorders>
            <w:shd w:val="clear" w:color="auto" w:fill="auto"/>
            <w:vAlign w:val="center"/>
          </w:tcPr>
          <w:p w14:paraId="6385A5DA"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Abril 13</w:t>
            </w:r>
          </w:p>
        </w:tc>
        <w:tc>
          <w:tcPr>
            <w:tcW w:w="1531" w:type="dxa"/>
            <w:tcBorders>
              <w:bottom w:val="single" w:sz="4" w:space="0" w:color="auto"/>
            </w:tcBorders>
            <w:shd w:val="clear" w:color="auto" w:fill="auto"/>
            <w:vAlign w:val="center"/>
          </w:tcPr>
          <w:p w14:paraId="193892A9"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1 015 039</w:t>
            </w:r>
          </w:p>
        </w:tc>
        <w:tc>
          <w:tcPr>
            <w:tcW w:w="1345" w:type="dxa"/>
            <w:tcBorders>
              <w:bottom w:val="single" w:sz="4" w:space="0" w:color="auto"/>
            </w:tcBorders>
            <w:shd w:val="clear" w:color="auto" w:fill="auto"/>
            <w:vAlign w:val="center"/>
          </w:tcPr>
          <w:p w14:paraId="2A5F178A"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1.36</w:t>
            </w:r>
          </w:p>
        </w:tc>
      </w:tr>
      <w:tr w:rsidR="008037B6" w:rsidRPr="008037B6" w14:paraId="4EE2ABC5" w14:textId="77777777" w:rsidTr="008037B6">
        <w:trPr>
          <w:jc w:val="center"/>
        </w:trPr>
        <w:tc>
          <w:tcPr>
            <w:tcW w:w="2110" w:type="dxa"/>
            <w:tcBorders>
              <w:bottom w:val="single" w:sz="4" w:space="0" w:color="auto"/>
            </w:tcBorders>
            <w:shd w:val="clear" w:color="auto" w:fill="auto"/>
            <w:vAlign w:val="center"/>
          </w:tcPr>
          <w:p w14:paraId="11C93F3C"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Junio 12</w:t>
            </w:r>
          </w:p>
        </w:tc>
        <w:tc>
          <w:tcPr>
            <w:tcW w:w="1603" w:type="dxa"/>
            <w:tcBorders>
              <w:bottom w:val="single" w:sz="4" w:space="0" w:color="auto"/>
            </w:tcBorders>
            <w:shd w:val="clear" w:color="auto" w:fill="auto"/>
            <w:vAlign w:val="center"/>
          </w:tcPr>
          <w:p w14:paraId="708BAA00"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Mayo 13</w:t>
            </w:r>
          </w:p>
        </w:tc>
        <w:tc>
          <w:tcPr>
            <w:tcW w:w="1531" w:type="dxa"/>
            <w:tcBorders>
              <w:bottom w:val="single" w:sz="4" w:space="0" w:color="auto"/>
            </w:tcBorders>
            <w:shd w:val="clear" w:color="auto" w:fill="auto"/>
            <w:vAlign w:val="center"/>
          </w:tcPr>
          <w:p w14:paraId="3905AD99"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1 022 290</w:t>
            </w:r>
          </w:p>
        </w:tc>
        <w:tc>
          <w:tcPr>
            <w:tcW w:w="1345" w:type="dxa"/>
            <w:tcBorders>
              <w:bottom w:val="single" w:sz="4" w:space="0" w:color="auto"/>
            </w:tcBorders>
            <w:shd w:val="clear" w:color="auto" w:fill="auto"/>
            <w:vAlign w:val="center"/>
          </w:tcPr>
          <w:p w14:paraId="29E19A21"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0.71</w:t>
            </w:r>
          </w:p>
        </w:tc>
      </w:tr>
      <w:tr w:rsidR="008037B6" w:rsidRPr="008037B6" w14:paraId="1A8065D2" w14:textId="77777777" w:rsidTr="008037B6">
        <w:trPr>
          <w:jc w:val="center"/>
        </w:trPr>
        <w:tc>
          <w:tcPr>
            <w:tcW w:w="2110" w:type="dxa"/>
            <w:tcBorders>
              <w:bottom w:val="single" w:sz="4" w:space="0" w:color="auto"/>
            </w:tcBorders>
            <w:shd w:val="clear" w:color="auto" w:fill="auto"/>
            <w:vAlign w:val="center"/>
          </w:tcPr>
          <w:p w14:paraId="68E47EDA"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Julio 12</w:t>
            </w:r>
          </w:p>
        </w:tc>
        <w:tc>
          <w:tcPr>
            <w:tcW w:w="1603" w:type="dxa"/>
            <w:tcBorders>
              <w:bottom w:val="single" w:sz="4" w:space="0" w:color="auto"/>
            </w:tcBorders>
            <w:shd w:val="clear" w:color="auto" w:fill="auto"/>
            <w:vAlign w:val="center"/>
          </w:tcPr>
          <w:p w14:paraId="20E36CAE"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Junio 13</w:t>
            </w:r>
          </w:p>
        </w:tc>
        <w:tc>
          <w:tcPr>
            <w:tcW w:w="1531" w:type="dxa"/>
            <w:tcBorders>
              <w:bottom w:val="single" w:sz="4" w:space="0" w:color="auto"/>
            </w:tcBorders>
            <w:shd w:val="clear" w:color="auto" w:fill="auto"/>
            <w:vAlign w:val="center"/>
          </w:tcPr>
          <w:p w14:paraId="4FCD0FE0"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1 027 495</w:t>
            </w:r>
          </w:p>
        </w:tc>
        <w:tc>
          <w:tcPr>
            <w:tcW w:w="1345" w:type="dxa"/>
            <w:tcBorders>
              <w:bottom w:val="single" w:sz="4" w:space="0" w:color="auto"/>
            </w:tcBorders>
            <w:shd w:val="clear" w:color="auto" w:fill="auto"/>
            <w:vAlign w:val="center"/>
          </w:tcPr>
          <w:p w14:paraId="08E6D4DA"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0.51</w:t>
            </w:r>
          </w:p>
        </w:tc>
      </w:tr>
      <w:tr w:rsidR="008037B6" w:rsidRPr="008037B6" w14:paraId="4C62580D" w14:textId="77777777" w:rsidTr="008037B6">
        <w:trPr>
          <w:jc w:val="center"/>
        </w:trPr>
        <w:tc>
          <w:tcPr>
            <w:tcW w:w="2110" w:type="dxa"/>
            <w:tcBorders>
              <w:bottom w:val="single" w:sz="4" w:space="0" w:color="auto"/>
            </w:tcBorders>
            <w:shd w:val="clear" w:color="auto" w:fill="auto"/>
            <w:vAlign w:val="center"/>
          </w:tcPr>
          <w:p w14:paraId="4ACEECB9"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Agosto 12</w:t>
            </w:r>
          </w:p>
        </w:tc>
        <w:tc>
          <w:tcPr>
            <w:tcW w:w="1603" w:type="dxa"/>
            <w:tcBorders>
              <w:bottom w:val="single" w:sz="4" w:space="0" w:color="auto"/>
            </w:tcBorders>
            <w:shd w:val="clear" w:color="auto" w:fill="auto"/>
            <w:vAlign w:val="center"/>
          </w:tcPr>
          <w:p w14:paraId="7F5C6153"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Julio 13</w:t>
            </w:r>
          </w:p>
        </w:tc>
        <w:tc>
          <w:tcPr>
            <w:tcW w:w="1531" w:type="dxa"/>
            <w:tcBorders>
              <w:bottom w:val="single" w:sz="4" w:space="0" w:color="auto"/>
            </w:tcBorders>
            <w:shd w:val="clear" w:color="auto" w:fill="auto"/>
            <w:vAlign w:val="center"/>
          </w:tcPr>
          <w:p w14:paraId="160EB17B"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1 037 764</w:t>
            </w:r>
          </w:p>
        </w:tc>
        <w:tc>
          <w:tcPr>
            <w:tcW w:w="1345" w:type="dxa"/>
            <w:tcBorders>
              <w:bottom w:val="single" w:sz="4" w:space="0" w:color="auto"/>
            </w:tcBorders>
            <w:shd w:val="clear" w:color="auto" w:fill="auto"/>
            <w:vAlign w:val="center"/>
          </w:tcPr>
          <w:p w14:paraId="4CBB66C4"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1.00</w:t>
            </w:r>
          </w:p>
        </w:tc>
      </w:tr>
      <w:tr w:rsidR="008037B6" w:rsidRPr="008037B6" w14:paraId="07AB21F4" w14:textId="77777777" w:rsidTr="008037B6">
        <w:trPr>
          <w:jc w:val="center"/>
        </w:trPr>
        <w:tc>
          <w:tcPr>
            <w:tcW w:w="2110" w:type="dxa"/>
            <w:tcBorders>
              <w:bottom w:val="single" w:sz="4" w:space="0" w:color="auto"/>
            </w:tcBorders>
            <w:shd w:val="clear" w:color="auto" w:fill="auto"/>
            <w:vAlign w:val="center"/>
          </w:tcPr>
          <w:p w14:paraId="73D8C54F"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Septiembre 12</w:t>
            </w:r>
          </w:p>
        </w:tc>
        <w:tc>
          <w:tcPr>
            <w:tcW w:w="1603" w:type="dxa"/>
            <w:tcBorders>
              <w:bottom w:val="single" w:sz="4" w:space="0" w:color="auto"/>
            </w:tcBorders>
            <w:shd w:val="clear" w:color="auto" w:fill="auto"/>
            <w:vAlign w:val="center"/>
          </w:tcPr>
          <w:p w14:paraId="5E1658B1"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Agosto 13</w:t>
            </w:r>
          </w:p>
        </w:tc>
        <w:tc>
          <w:tcPr>
            <w:tcW w:w="1531" w:type="dxa"/>
            <w:tcBorders>
              <w:bottom w:val="single" w:sz="4" w:space="0" w:color="auto"/>
            </w:tcBorders>
            <w:shd w:val="clear" w:color="auto" w:fill="auto"/>
            <w:vAlign w:val="center"/>
          </w:tcPr>
          <w:p w14:paraId="1A5554D8"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1 042 770</w:t>
            </w:r>
          </w:p>
        </w:tc>
        <w:tc>
          <w:tcPr>
            <w:tcW w:w="1345" w:type="dxa"/>
            <w:tcBorders>
              <w:bottom w:val="single" w:sz="4" w:space="0" w:color="auto"/>
            </w:tcBorders>
            <w:shd w:val="clear" w:color="auto" w:fill="auto"/>
            <w:vAlign w:val="center"/>
          </w:tcPr>
          <w:p w14:paraId="56A4B470"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0.48</w:t>
            </w:r>
          </w:p>
        </w:tc>
      </w:tr>
      <w:tr w:rsidR="008037B6" w:rsidRPr="008037B6" w14:paraId="4871CBBE" w14:textId="77777777" w:rsidTr="008037B6">
        <w:trPr>
          <w:jc w:val="center"/>
        </w:trPr>
        <w:tc>
          <w:tcPr>
            <w:tcW w:w="2110" w:type="dxa"/>
            <w:tcBorders>
              <w:bottom w:val="single" w:sz="4" w:space="0" w:color="auto"/>
            </w:tcBorders>
            <w:shd w:val="clear" w:color="auto" w:fill="auto"/>
            <w:vAlign w:val="center"/>
          </w:tcPr>
          <w:p w14:paraId="4B424B62"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Octubre 12</w:t>
            </w:r>
          </w:p>
        </w:tc>
        <w:tc>
          <w:tcPr>
            <w:tcW w:w="1603" w:type="dxa"/>
            <w:tcBorders>
              <w:bottom w:val="single" w:sz="4" w:space="0" w:color="auto"/>
            </w:tcBorders>
            <w:shd w:val="clear" w:color="auto" w:fill="auto"/>
            <w:vAlign w:val="center"/>
          </w:tcPr>
          <w:p w14:paraId="4952BBDA"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Septiembre 13</w:t>
            </w:r>
          </w:p>
        </w:tc>
        <w:tc>
          <w:tcPr>
            <w:tcW w:w="1531" w:type="dxa"/>
            <w:tcBorders>
              <w:bottom w:val="single" w:sz="4" w:space="0" w:color="auto"/>
            </w:tcBorders>
            <w:shd w:val="clear" w:color="auto" w:fill="auto"/>
            <w:vAlign w:val="center"/>
          </w:tcPr>
          <w:p w14:paraId="05FD7E74" w14:textId="4F896286" w:rsidR="008037B6" w:rsidRPr="008037B6" w:rsidRDefault="008037B6" w:rsidP="00D2103B">
            <w:pPr>
              <w:spacing w:before="20" w:after="20"/>
              <w:ind w:right="340"/>
              <w:jc w:val="right"/>
              <w:rPr>
                <w:rFonts w:eastAsia="Times New Roman"/>
                <w:sz w:val="18"/>
                <w:szCs w:val="18"/>
              </w:rPr>
            </w:pPr>
            <w:r w:rsidRPr="008037B6">
              <w:rPr>
                <w:rFonts w:eastAsia="Times New Roman"/>
                <w:sz w:val="18"/>
                <w:szCs w:val="18"/>
              </w:rPr>
              <w:t>1 041 1</w:t>
            </w:r>
            <w:r w:rsidR="00D2103B">
              <w:rPr>
                <w:rFonts w:eastAsia="Times New Roman"/>
                <w:sz w:val="18"/>
                <w:szCs w:val="18"/>
              </w:rPr>
              <w:t>6</w:t>
            </w:r>
            <w:r w:rsidRPr="008037B6">
              <w:rPr>
                <w:rFonts w:eastAsia="Times New Roman"/>
                <w:sz w:val="18"/>
                <w:szCs w:val="18"/>
              </w:rPr>
              <w:t>1</w:t>
            </w:r>
          </w:p>
        </w:tc>
        <w:tc>
          <w:tcPr>
            <w:tcW w:w="1345" w:type="dxa"/>
            <w:tcBorders>
              <w:bottom w:val="single" w:sz="4" w:space="0" w:color="auto"/>
            </w:tcBorders>
            <w:shd w:val="clear" w:color="auto" w:fill="auto"/>
            <w:vAlign w:val="center"/>
          </w:tcPr>
          <w:p w14:paraId="68E8DCF7"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-0.15</w:t>
            </w:r>
          </w:p>
        </w:tc>
      </w:tr>
      <w:tr w:rsidR="008037B6" w:rsidRPr="008037B6" w14:paraId="458F3D54" w14:textId="77777777" w:rsidTr="008037B6">
        <w:trPr>
          <w:jc w:val="center"/>
        </w:trPr>
        <w:tc>
          <w:tcPr>
            <w:tcW w:w="2110" w:type="dxa"/>
            <w:tcBorders>
              <w:bottom w:val="single" w:sz="4" w:space="0" w:color="auto"/>
            </w:tcBorders>
            <w:shd w:val="clear" w:color="auto" w:fill="auto"/>
            <w:vAlign w:val="center"/>
          </w:tcPr>
          <w:p w14:paraId="50A213F6"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Noviembre 12</w:t>
            </w:r>
          </w:p>
        </w:tc>
        <w:tc>
          <w:tcPr>
            <w:tcW w:w="1603" w:type="dxa"/>
            <w:tcBorders>
              <w:bottom w:val="single" w:sz="4" w:space="0" w:color="auto"/>
            </w:tcBorders>
            <w:shd w:val="clear" w:color="auto" w:fill="auto"/>
            <w:vAlign w:val="center"/>
          </w:tcPr>
          <w:p w14:paraId="74E49955"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Octubre 13</w:t>
            </w:r>
          </w:p>
        </w:tc>
        <w:tc>
          <w:tcPr>
            <w:tcW w:w="1531" w:type="dxa"/>
            <w:tcBorders>
              <w:bottom w:val="single" w:sz="4" w:space="0" w:color="auto"/>
            </w:tcBorders>
            <w:shd w:val="clear" w:color="auto" w:fill="auto"/>
            <w:vAlign w:val="center"/>
          </w:tcPr>
          <w:p w14:paraId="00DB5156"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1 046 251</w:t>
            </w:r>
          </w:p>
        </w:tc>
        <w:tc>
          <w:tcPr>
            <w:tcW w:w="1345" w:type="dxa"/>
            <w:tcBorders>
              <w:bottom w:val="single" w:sz="4" w:space="0" w:color="auto"/>
            </w:tcBorders>
            <w:shd w:val="clear" w:color="auto" w:fill="auto"/>
            <w:vAlign w:val="center"/>
          </w:tcPr>
          <w:p w14:paraId="78CC02AA"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0.49</w:t>
            </w:r>
          </w:p>
        </w:tc>
      </w:tr>
      <w:tr w:rsidR="008037B6" w:rsidRPr="008037B6" w14:paraId="0AFBF1E1" w14:textId="77777777" w:rsidTr="008037B6">
        <w:trPr>
          <w:jc w:val="center"/>
        </w:trPr>
        <w:tc>
          <w:tcPr>
            <w:tcW w:w="2110" w:type="dxa"/>
            <w:tcBorders>
              <w:bottom w:val="single" w:sz="4" w:space="0" w:color="auto"/>
            </w:tcBorders>
            <w:shd w:val="clear" w:color="auto" w:fill="auto"/>
            <w:vAlign w:val="center"/>
          </w:tcPr>
          <w:p w14:paraId="2330916A"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Diciembre 12</w:t>
            </w:r>
          </w:p>
        </w:tc>
        <w:tc>
          <w:tcPr>
            <w:tcW w:w="1603" w:type="dxa"/>
            <w:tcBorders>
              <w:bottom w:val="single" w:sz="4" w:space="0" w:color="auto"/>
            </w:tcBorders>
            <w:shd w:val="clear" w:color="auto" w:fill="auto"/>
            <w:vAlign w:val="center"/>
          </w:tcPr>
          <w:p w14:paraId="19475771"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Noviembre 13</w:t>
            </w:r>
          </w:p>
        </w:tc>
        <w:tc>
          <w:tcPr>
            <w:tcW w:w="1531" w:type="dxa"/>
            <w:tcBorders>
              <w:bottom w:val="single" w:sz="4" w:space="0" w:color="auto"/>
            </w:tcBorders>
            <w:shd w:val="clear" w:color="auto" w:fill="auto"/>
            <w:vAlign w:val="center"/>
          </w:tcPr>
          <w:p w14:paraId="60F24BE9"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1 054 848</w:t>
            </w:r>
          </w:p>
        </w:tc>
        <w:tc>
          <w:tcPr>
            <w:tcW w:w="1345" w:type="dxa"/>
            <w:tcBorders>
              <w:bottom w:val="single" w:sz="4" w:space="0" w:color="auto"/>
            </w:tcBorders>
            <w:shd w:val="clear" w:color="auto" w:fill="auto"/>
            <w:vAlign w:val="center"/>
          </w:tcPr>
          <w:p w14:paraId="4A571CE2"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0.82</w:t>
            </w:r>
          </w:p>
        </w:tc>
      </w:tr>
      <w:tr w:rsidR="008037B6" w:rsidRPr="008037B6" w14:paraId="2B53FD9C" w14:textId="77777777" w:rsidTr="008037B6">
        <w:trPr>
          <w:jc w:val="center"/>
        </w:trPr>
        <w:tc>
          <w:tcPr>
            <w:tcW w:w="2110" w:type="dxa"/>
            <w:tcBorders>
              <w:bottom w:val="single" w:sz="4" w:space="0" w:color="auto"/>
            </w:tcBorders>
            <w:shd w:val="clear" w:color="auto" w:fill="auto"/>
            <w:vAlign w:val="center"/>
          </w:tcPr>
          <w:p w14:paraId="7E7B0E2A"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Enero 13</w:t>
            </w:r>
          </w:p>
        </w:tc>
        <w:tc>
          <w:tcPr>
            <w:tcW w:w="1603" w:type="dxa"/>
            <w:tcBorders>
              <w:bottom w:val="single" w:sz="4" w:space="0" w:color="auto"/>
            </w:tcBorders>
            <w:shd w:val="clear" w:color="auto" w:fill="auto"/>
            <w:vAlign w:val="center"/>
          </w:tcPr>
          <w:p w14:paraId="51DB61C2"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Diciembre 13</w:t>
            </w:r>
          </w:p>
        </w:tc>
        <w:tc>
          <w:tcPr>
            <w:tcW w:w="1531" w:type="dxa"/>
            <w:tcBorders>
              <w:bottom w:val="single" w:sz="4" w:space="0" w:color="auto"/>
            </w:tcBorders>
            <w:shd w:val="clear" w:color="auto" w:fill="auto"/>
            <w:vAlign w:val="center"/>
          </w:tcPr>
          <w:p w14:paraId="68423D18"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1 063 363</w:t>
            </w:r>
          </w:p>
        </w:tc>
        <w:tc>
          <w:tcPr>
            <w:tcW w:w="1345" w:type="dxa"/>
            <w:tcBorders>
              <w:bottom w:val="single" w:sz="4" w:space="0" w:color="auto"/>
            </w:tcBorders>
            <w:shd w:val="clear" w:color="auto" w:fill="auto"/>
            <w:vAlign w:val="center"/>
          </w:tcPr>
          <w:p w14:paraId="502EB7F4"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0.81</w:t>
            </w:r>
          </w:p>
        </w:tc>
      </w:tr>
      <w:tr w:rsidR="008037B6" w:rsidRPr="008037B6" w14:paraId="5BC7E3C0" w14:textId="77777777" w:rsidTr="008037B6">
        <w:trPr>
          <w:jc w:val="center"/>
        </w:trPr>
        <w:tc>
          <w:tcPr>
            <w:tcW w:w="2110" w:type="dxa"/>
            <w:tcBorders>
              <w:bottom w:val="single" w:sz="4" w:space="0" w:color="auto"/>
            </w:tcBorders>
            <w:shd w:val="clear" w:color="auto" w:fill="auto"/>
            <w:vAlign w:val="center"/>
          </w:tcPr>
          <w:p w14:paraId="503507B6"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Febrero 13</w:t>
            </w:r>
          </w:p>
        </w:tc>
        <w:tc>
          <w:tcPr>
            <w:tcW w:w="1603" w:type="dxa"/>
            <w:tcBorders>
              <w:bottom w:val="single" w:sz="4" w:space="0" w:color="auto"/>
            </w:tcBorders>
            <w:shd w:val="clear" w:color="auto" w:fill="auto"/>
            <w:vAlign w:val="center"/>
          </w:tcPr>
          <w:p w14:paraId="1D75BA3E"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Enero 14</w:t>
            </w:r>
          </w:p>
        </w:tc>
        <w:tc>
          <w:tcPr>
            <w:tcW w:w="1531" w:type="dxa"/>
            <w:tcBorders>
              <w:bottom w:val="single" w:sz="4" w:space="0" w:color="auto"/>
            </w:tcBorders>
            <w:shd w:val="clear" w:color="auto" w:fill="auto"/>
            <w:vAlign w:val="center"/>
          </w:tcPr>
          <w:p w14:paraId="4876B04B"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1 064 598</w:t>
            </w:r>
          </w:p>
        </w:tc>
        <w:tc>
          <w:tcPr>
            <w:tcW w:w="1345" w:type="dxa"/>
            <w:tcBorders>
              <w:bottom w:val="single" w:sz="4" w:space="0" w:color="auto"/>
            </w:tcBorders>
            <w:shd w:val="clear" w:color="auto" w:fill="auto"/>
            <w:vAlign w:val="center"/>
          </w:tcPr>
          <w:p w14:paraId="0C5609F0"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0.12</w:t>
            </w:r>
          </w:p>
        </w:tc>
      </w:tr>
      <w:tr w:rsidR="008037B6" w:rsidRPr="008037B6" w14:paraId="417E1F43" w14:textId="77777777" w:rsidTr="008037B6">
        <w:trPr>
          <w:jc w:val="center"/>
        </w:trPr>
        <w:tc>
          <w:tcPr>
            <w:tcW w:w="2110" w:type="dxa"/>
            <w:tcBorders>
              <w:bottom w:val="single" w:sz="4" w:space="0" w:color="auto"/>
            </w:tcBorders>
            <w:shd w:val="clear" w:color="auto" w:fill="auto"/>
            <w:vAlign w:val="center"/>
          </w:tcPr>
          <w:p w14:paraId="1E7912FF"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Marzo 13</w:t>
            </w:r>
          </w:p>
        </w:tc>
        <w:tc>
          <w:tcPr>
            <w:tcW w:w="1603" w:type="dxa"/>
            <w:tcBorders>
              <w:bottom w:val="single" w:sz="4" w:space="0" w:color="auto"/>
            </w:tcBorders>
            <w:shd w:val="clear" w:color="auto" w:fill="auto"/>
            <w:vAlign w:val="center"/>
          </w:tcPr>
          <w:p w14:paraId="25DA76BD"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Febrero 14</w:t>
            </w:r>
          </w:p>
        </w:tc>
        <w:tc>
          <w:tcPr>
            <w:tcW w:w="1531" w:type="dxa"/>
            <w:tcBorders>
              <w:bottom w:val="single" w:sz="4" w:space="0" w:color="auto"/>
            </w:tcBorders>
            <w:shd w:val="clear" w:color="auto" w:fill="auto"/>
            <w:vAlign w:val="center"/>
          </w:tcPr>
          <w:p w14:paraId="4909E9AE"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1 064 343</w:t>
            </w:r>
          </w:p>
        </w:tc>
        <w:tc>
          <w:tcPr>
            <w:tcW w:w="1345" w:type="dxa"/>
            <w:tcBorders>
              <w:bottom w:val="single" w:sz="4" w:space="0" w:color="auto"/>
            </w:tcBorders>
            <w:shd w:val="clear" w:color="auto" w:fill="auto"/>
            <w:vAlign w:val="center"/>
          </w:tcPr>
          <w:p w14:paraId="1C569AD2"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-0.02</w:t>
            </w:r>
          </w:p>
        </w:tc>
      </w:tr>
      <w:tr w:rsidR="008037B6" w:rsidRPr="008037B6" w14:paraId="442EAD96" w14:textId="77777777" w:rsidTr="008037B6">
        <w:trPr>
          <w:jc w:val="center"/>
        </w:trPr>
        <w:tc>
          <w:tcPr>
            <w:tcW w:w="2110" w:type="dxa"/>
            <w:tcBorders>
              <w:bottom w:val="single" w:sz="4" w:space="0" w:color="auto"/>
            </w:tcBorders>
            <w:shd w:val="clear" w:color="auto" w:fill="auto"/>
            <w:vAlign w:val="center"/>
          </w:tcPr>
          <w:p w14:paraId="1E82374A"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Abril 13</w:t>
            </w:r>
          </w:p>
        </w:tc>
        <w:tc>
          <w:tcPr>
            <w:tcW w:w="1603" w:type="dxa"/>
            <w:tcBorders>
              <w:bottom w:val="single" w:sz="4" w:space="0" w:color="auto"/>
            </w:tcBorders>
            <w:shd w:val="clear" w:color="auto" w:fill="auto"/>
            <w:vAlign w:val="center"/>
          </w:tcPr>
          <w:p w14:paraId="048FE595"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Marzo 14</w:t>
            </w:r>
          </w:p>
        </w:tc>
        <w:tc>
          <w:tcPr>
            <w:tcW w:w="1531" w:type="dxa"/>
            <w:tcBorders>
              <w:bottom w:val="single" w:sz="4" w:space="0" w:color="auto"/>
            </w:tcBorders>
            <w:shd w:val="clear" w:color="auto" w:fill="auto"/>
            <w:vAlign w:val="center"/>
          </w:tcPr>
          <w:p w14:paraId="1F67347C"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1 067 258</w:t>
            </w:r>
          </w:p>
        </w:tc>
        <w:tc>
          <w:tcPr>
            <w:tcW w:w="1345" w:type="dxa"/>
            <w:tcBorders>
              <w:bottom w:val="single" w:sz="4" w:space="0" w:color="auto"/>
            </w:tcBorders>
            <w:shd w:val="clear" w:color="auto" w:fill="auto"/>
            <w:vAlign w:val="center"/>
          </w:tcPr>
          <w:p w14:paraId="55554B18"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0.27</w:t>
            </w:r>
          </w:p>
        </w:tc>
      </w:tr>
      <w:tr w:rsidR="008037B6" w:rsidRPr="008037B6" w14:paraId="4801805A" w14:textId="77777777" w:rsidTr="008037B6">
        <w:trPr>
          <w:jc w:val="center"/>
        </w:trPr>
        <w:tc>
          <w:tcPr>
            <w:tcW w:w="2110" w:type="dxa"/>
            <w:tcBorders>
              <w:bottom w:val="single" w:sz="4" w:space="0" w:color="auto"/>
            </w:tcBorders>
            <w:shd w:val="clear" w:color="auto" w:fill="auto"/>
            <w:vAlign w:val="center"/>
          </w:tcPr>
          <w:p w14:paraId="4DC6337A"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Mayo 13</w:t>
            </w:r>
          </w:p>
        </w:tc>
        <w:tc>
          <w:tcPr>
            <w:tcW w:w="1603" w:type="dxa"/>
            <w:tcBorders>
              <w:bottom w:val="single" w:sz="4" w:space="0" w:color="auto"/>
            </w:tcBorders>
            <w:shd w:val="clear" w:color="auto" w:fill="auto"/>
            <w:vAlign w:val="center"/>
          </w:tcPr>
          <w:p w14:paraId="47B19CF2"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Abril 14</w:t>
            </w:r>
          </w:p>
        </w:tc>
        <w:tc>
          <w:tcPr>
            <w:tcW w:w="1531" w:type="dxa"/>
            <w:tcBorders>
              <w:bottom w:val="single" w:sz="4" w:space="0" w:color="auto"/>
            </w:tcBorders>
            <w:shd w:val="clear" w:color="auto" w:fill="auto"/>
            <w:vAlign w:val="center"/>
          </w:tcPr>
          <w:p w14:paraId="03DED0A7"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1 060 596</w:t>
            </w:r>
          </w:p>
        </w:tc>
        <w:tc>
          <w:tcPr>
            <w:tcW w:w="1345" w:type="dxa"/>
            <w:tcBorders>
              <w:bottom w:val="single" w:sz="4" w:space="0" w:color="auto"/>
            </w:tcBorders>
            <w:shd w:val="clear" w:color="auto" w:fill="auto"/>
            <w:vAlign w:val="center"/>
          </w:tcPr>
          <w:p w14:paraId="15F736E4"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-0.62</w:t>
            </w:r>
          </w:p>
        </w:tc>
      </w:tr>
      <w:tr w:rsidR="008037B6" w:rsidRPr="008037B6" w14:paraId="1CE4B7ED" w14:textId="77777777" w:rsidTr="008037B6">
        <w:trPr>
          <w:jc w:val="center"/>
        </w:trPr>
        <w:tc>
          <w:tcPr>
            <w:tcW w:w="2110" w:type="dxa"/>
            <w:tcBorders>
              <w:bottom w:val="single" w:sz="4" w:space="0" w:color="auto"/>
            </w:tcBorders>
            <w:shd w:val="clear" w:color="auto" w:fill="auto"/>
            <w:vAlign w:val="center"/>
          </w:tcPr>
          <w:p w14:paraId="7CA5C705"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Junio 13</w:t>
            </w:r>
          </w:p>
        </w:tc>
        <w:tc>
          <w:tcPr>
            <w:tcW w:w="1603" w:type="dxa"/>
            <w:tcBorders>
              <w:bottom w:val="single" w:sz="4" w:space="0" w:color="auto"/>
            </w:tcBorders>
            <w:shd w:val="clear" w:color="auto" w:fill="auto"/>
            <w:vAlign w:val="center"/>
          </w:tcPr>
          <w:p w14:paraId="7ED11235"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Mayo 14</w:t>
            </w:r>
          </w:p>
        </w:tc>
        <w:tc>
          <w:tcPr>
            <w:tcW w:w="1531" w:type="dxa"/>
            <w:tcBorders>
              <w:bottom w:val="single" w:sz="4" w:space="0" w:color="auto"/>
            </w:tcBorders>
            <w:shd w:val="clear" w:color="auto" w:fill="auto"/>
            <w:vAlign w:val="center"/>
          </w:tcPr>
          <w:p w14:paraId="35B48426"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1 061 322</w:t>
            </w:r>
          </w:p>
        </w:tc>
        <w:tc>
          <w:tcPr>
            <w:tcW w:w="1345" w:type="dxa"/>
            <w:tcBorders>
              <w:bottom w:val="single" w:sz="4" w:space="0" w:color="auto"/>
            </w:tcBorders>
            <w:shd w:val="clear" w:color="auto" w:fill="auto"/>
            <w:vAlign w:val="center"/>
          </w:tcPr>
          <w:p w14:paraId="693E7A3F"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0.07</w:t>
            </w:r>
          </w:p>
        </w:tc>
      </w:tr>
      <w:tr w:rsidR="008037B6" w:rsidRPr="008037B6" w14:paraId="6986843C" w14:textId="77777777" w:rsidTr="008037B6">
        <w:trPr>
          <w:jc w:val="center"/>
        </w:trPr>
        <w:tc>
          <w:tcPr>
            <w:tcW w:w="2110" w:type="dxa"/>
            <w:tcBorders>
              <w:bottom w:val="single" w:sz="4" w:space="0" w:color="auto"/>
            </w:tcBorders>
            <w:shd w:val="clear" w:color="auto" w:fill="auto"/>
            <w:vAlign w:val="center"/>
          </w:tcPr>
          <w:p w14:paraId="0D70CE4D"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Julio 13</w:t>
            </w:r>
          </w:p>
        </w:tc>
        <w:tc>
          <w:tcPr>
            <w:tcW w:w="1603" w:type="dxa"/>
            <w:tcBorders>
              <w:bottom w:val="single" w:sz="4" w:space="0" w:color="auto"/>
            </w:tcBorders>
            <w:shd w:val="clear" w:color="auto" w:fill="auto"/>
            <w:vAlign w:val="center"/>
          </w:tcPr>
          <w:p w14:paraId="3BA71339"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Junio 14</w:t>
            </w:r>
          </w:p>
        </w:tc>
        <w:tc>
          <w:tcPr>
            <w:tcW w:w="1531" w:type="dxa"/>
            <w:tcBorders>
              <w:bottom w:val="single" w:sz="4" w:space="0" w:color="auto"/>
            </w:tcBorders>
            <w:shd w:val="clear" w:color="auto" w:fill="auto"/>
            <w:vAlign w:val="center"/>
          </w:tcPr>
          <w:p w14:paraId="139954D7"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1 061 736</w:t>
            </w:r>
          </w:p>
        </w:tc>
        <w:tc>
          <w:tcPr>
            <w:tcW w:w="1345" w:type="dxa"/>
            <w:tcBorders>
              <w:bottom w:val="single" w:sz="4" w:space="0" w:color="auto"/>
            </w:tcBorders>
            <w:shd w:val="clear" w:color="auto" w:fill="auto"/>
            <w:vAlign w:val="center"/>
          </w:tcPr>
          <w:p w14:paraId="7C587B7E"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0.04</w:t>
            </w:r>
          </w:p>
        </w:tc>
      </w:tr>
      <w:tr w:rsidR="008037B6" w:rsidRPr="008037B6" w14:paraId="580C2DDF" w14:textId="77777777" w:rsidTr="008037B6">
        <w:trPr>
          <w:jc w:val="center"/>
        </w:trPr>
        <w:tc>
          <w:tcPr>
            <w:tcW w:w="2110" w:type="dxa"/>
            <w:tcBorders>
              <w:bottom w:val="single" w:sz="4" w:space="0" w:color="auto"/>
            </w:tcBorders>
            <w:shd w:val="clear" w:color="auto" w:fill="auto"/>
            <w:vAlign w:val="center"/>
          </w:tcPr>
          <w:p w14:paraId="688BEE8D"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Agosto 13</w:t>
            </w:r>
          </w:p>
        </w:tc>
        <w:tc>
          <w:tcPr>
            <w:tcW w:w="1603" w:type="dxa"/>
            <w:tcBorders>
              <w:bottom w:val="single" w:sz="4" w:space="0" w:color="auto"/>
            </w:tcBorders>
            <w:shd w:val="clear" w:color="auto" w:fill="auto"/>
            <w:vAlign w:val="center"/>
          </w:tcPr>
          <w:p w14:paraId="5B4B819F"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Julio 14</w:t>
            </w:r>
          </w:p>
        </w:tc>
        <w:tc>
          <w:tcPr>
            <w:tcW w:w="1531" w:type="dxa"/>
            <w:tcBorders>
              <w:bottom w:val="single" w:sz="4" w:space="0" w:color="auto"/>
            </w:tcBorders>
            <w:shd w:val="clear" w:color="auto" w:fill="auto"/>
            <w:vAlign w:val="center"/>
          </w:tcPr>
          <w:p w14:paraId="7AB887E6"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1 071 302</w:t>
            </w:r>
          </w:p>
        </w:tc>
        <w:tc>
          <w:tcPr>
            <w:tcW w:w="1345" w:type="dxa"/>
            <w:tcBorders>
              <w:bottom w:val="single" w:sz="4" w:space="0" w:color="auto"/>
            </w:tcBorders>
            <w:shd w:val="clear" w:color="auto" w:fill="auto"/>
            <w:vAlign w:val="center"/>
          </w:tcPr>
          <w:p w14:paraId="14428C47"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0.90</w:t>
            </w:r>
          </w:p>
        </w:tc>
      </w:tr>
      <w:tr w:rsidR="008037B6" w:rsidRPr="008037B6" w14:paraId="5771469E" w14:textId="77777777" w:rsidTr="008037B6">
        <w:trPr>
          <w:jc w:val="center"/>
        </w:trPr>
        <w:tc>
          <w:tcPr>
            <w:tcW w:w="2110" w:type="dxa"/>
            <w:tcBorders>
              <w:bottom w:val="single" w:sz="4" w:space="0" w:color="auto"/>
            </w:tcBorders>
            <w:shd w:val="clear" w:color="auto" w:fill="auto"/>
            <w:vAlign w:val="center"/>
          </w:tcPr>
          <w:p w14:paraId="6648B90C"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Septiembre 13</w:t>
            </w:r>
          </w:p>
        </w:tc>
        <w:tc>
          <w:tcPr>
            <w:tcW w:w="1603" w:type="dxa"/>
            <w:tcBorders>
              <w:bottom w:val="single" w:sz="4" w:space="0" w:color="auto"/>
            </w:tcBorders>
            <w:shd w:val="clear" w:color="auto" w:fill="auto"/>
            <w:vAlign w:val="center"/>
          </w:tcPr>
          <w:p w14:paraId="0EEFF6ED"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Agosto 14</w:t>
            </w:r>
          </w:p>
        </w:tc>
        <w:tc>
          <w:tcPr>
            <w:tcW w:w="1531" w:type="dxa"/>
            <w:tcBorders>
              <w:bottom w:val="single" w:sz="4" w:space="0" w:color="auto"/>
            </w:tcBorders>
            <w:shd w:val="clear" w:color="auto" w:fill="auto"/>
            <w:vAlign w:val="center"/>
          </w:tcPr>
          <w:p w14:paraId="26E0955A"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1 086 851</w:t>
            </w:r>
          </w:p>
        </w:tc>
        <w:tc>
          <w:tcPr>
            <w:tcW w:w="1345" w:type="dxa"/>
            <w:tcBorders>
              <w:bottom w:val="single" w:sz="4" w:space="0" w:color="auto"/>
            </w:tcBorders>
            <w:shd w:val="clear" w:color="auto" w:fill="auto"/>
            <w:vAlign w:val="center"/>
          </w:tcPr>
          <w:p w14:paraId="10CE5A77"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1.45</w:t>
            </w:r>
          </w:p>
        </w:tc>
      </w:tr>
      <w:tr w:rsidR="008037B6" w:rsidRPr="008037B6" w14:paraId="4BD5C8D8" w14:textId="77777777" w:rsidTr="008037B6">
        <w:trPr>
          <w:jc w:val="center"/>
        </w:trPr>
        <w:tc>
          <w:tcPr>
            <w:tcW w:w="2110" w:type="dxa"/>
            <w:tcBorders>
              <w:bottom w:val="single" w:sz="4" w:space="0" w:color="auto"/>
            </w:tcBorders>
            <w:shd w:val="clear" w:color="auto" w:fill="auto"/>
            <w:vAlign w:val="center"/>
          </w:tcPr>
          <w:p w14:paraId="2FAF0EDD"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Octubre 13</w:t>
            </w:r>
          </w:p>
        </w:tc>
        <w:tc>
          <w:tcPr>
            <w:tcW w:w="1603" w:type="dxa"/>
            <w:tcBorders>
              <w:bottom w:val="single" w:sz="4" w:space="0" w:color="auto"/>
            </w:tcBorders>
            <w:shd w:val="clear" w:color="auto" w:fill="auto"/>
            <w:vAlign w:val="center"/>
          </w:tcPr>
          <w:p w14:paraId="69DA0A9A"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Agosto 14</w:t>
            </w:r>
          </w:p>
        </w:tc>
        <w:tc>
          <w:tcPr>
            <w:tcW w:w="1531" w:type="dxa"/>
            <w:tcBorders>
              <w:bottom w:val="single" w:sz="4" w:space="0" w:color="auto"/>
            </w:tcBorders>
            <w:shd w:val="clear" w:color="auto" w:fill="auto"/>
            <w:vAlign w:val="center"/>
          </w:tcPr>
          <w:p w14:paraId="6CD5995F"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1 097 616</w:t>
            </w:r>
          </w:p>
        </w:tc>
        <w:tc>
          <w:tcPr>
            <w:tcW w:w="1345" w:type="dxa"/>
            <w:tcBorders>
              <w:bottom w:val="single" w:sz="4" w:space="0" w:color="auto"/>
            </w:tcBorders>
            <w:shd w:val="clear" w:color="auto" w:fill="auto"/>
            <w:vAlign w:val="center"/>
          </w:tcPr>
          <w:p w14:paraId="5969D323"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0.99</w:t>
            </w:r>
          </w:p>
        </w:tc>
      </w:tr>
      <w:tr w:rsidR="008037B6" w:rsidRPr="008037B6" w14:paraId="5CF6FBF0" w14:textId="77777777" w:rsidTr="008037B6">
        <w:trPr>
          <w:jc w:val="center"/>
        </w:trPr>
        <w:tc>
          <w:tcPr>
            <w:tcW w:w="2110" w:type="dxa"/>
            <w:tcBorders>
              <w:bottom w:val="single" w:sz="4" w:space="0" w:color="auto"/>
            </w:tcBorders>
            <w:shd w:val="clear" w:color="auto" w:fill="auto"/>
            <w:vAlign w:val="center"/>
          </w:tcPr>
          <w:p w14:paraId="6386EC38"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Noviembre 13</w:t>
            </w:r>
          </w:p>
        </w:tc>
        <w:tc>
          <w:tcPr>
            <w:tcW w:w="1603" w:type="dxa"/>
            <w:tcBorders>
              <w:bottom w:val="single" w:sz="4" w:space="0" w:color="auto"/>
            </w:tcBorders>
            <w:shd w:val="clear" w:color="auto" w:fill="auto"/>
            <w:vAlign w:val="center"/>
          </w:tcPr>
          <w:p w14:paraId="4A2113CF"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Octubre 14</w:t>
            </w:r>
          </w:p>
        </w:tc>
        <w:tc>
          <w:tcPr>
            <w:tcW w:w="1531" w:type="dxa"/>
            <w:tcBorders>
              <w:bottom w:val="single" w:sz="4" w:space="0" w:color="auto"/>
            </w:tcBorders>
            <w:shd w:val="clear" w:color="auto" w:fill="auto"/>
            <w:vAlign w:val="center"/>
          </w:tcPr>
          <w:p w14:paraId="7201C284"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1 110 278</w:t>
            </w:r>
          </w:p>
        </w:tc>
        <w:tc>
          <w:tcPr>
            <w:tcW w:w="1345" w:type="dxa"/>
            <w:tcBorders>
              <w:bottom w:val="single" w:sz="4" w:space="0" w:color="auto"/>
            </w:tcBorders>
            <w:shd w:val="clear" w:color="auto" w:fill="auto"/>
            <w:vAlign w:val="center"/>
          </w:tcPr>
          <w:p w14:paraId="48902562" w14:textId="0EA2D4DD" w:rsidR="008037B6" w:rsidRPr="008037B6" w:rsidRDefault="00D2103B" w:rsidP="00D2103B">
            <w:pPr>
              <w:spacing w:before="20" w:after="20"/>
              <w:ind w:right="340"/>
              <w:jc w:val="right"/>
              <w:rPr>
                <w:rFonts w:eastAsia="Times New Roman"/>
                <w:sz w:val="18"/>
                <w:szCs w:val="18"/>
              </w:rPr>
            </w:pPr>
            <w:r>
              <w:rPr>
                <w:rFonts w:eastAsia="Times New Roman"/>
                <w:sz w:val="18"/>
                <w:szCs w:val="18"/>
              </w:rPr>
              <w:t>1.15</w:t>
            </w:r>
          </w:p>
        </w:tc>
      </w:tr>
      <w:tr w:rsidR="008037B6" w:rsidRPr="008037B6" w14:paraId="5FB805BF" w14:textId="77777777" w:rsidTr="008037B6">
        <w:trPr>
          <w:jc w:val="center"/>
        </w:trPr>
        <w:tc>
          <w:tcPr>
            <w:tcW w:w="2110" w:type="dxa"/>
            <w:tcBorders>
              <w:bottom w:val="single" w:sz="4" w:space="0" w:color="auto"/>
            </w:tcBorders>
            <w:shd w:val="clear" w:color="auto" w:fill="auto"/>
            <w:vAlign w:val="center"/>
          </w:tcPr>
          <w:p w14:paraId="0A2C1024"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Diciembre 13</w:t>
            </w:r>
          </w:p>
        </w:tc>
        <w:tc>
          <w:tcPr>
            <w:tcW w:w="1603" w:type="dxa"/>
            <w:tcBorders>
              <w:bottom w:val="single" w:sz="4" w:space="0" w:color="auto"/>
            </w:tcBorders>
            <w:shd w:val="clear" w:color="auto" w:fill="auto"/>
            <w:vAlign w:val="center"/>
          </w:tcPr>
          <w:p w14:paraId="5773E269"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Noviembre 14</w:t>
            </w:r>
          </w:p>
        </w:tc>
        <w:tc>
          <w:tcPr>
            <w:tcW w:w="1531" w:type="dxa"/>
            <w:tcBorders>
              <w:bottom w:val="single" w:sz="4" w:space="0" w:color="auto"/>
            </w:tcBorders>
            <w:shd w:val="clear" w:color="auto" w:fill="auto"/>
            <w:vAlign w:val="center"/>
          </w:tcPr>
          <w:p w14:paraId="13C1ABDE"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1 121 500</w:t>
            </w:r>
          </w:p>
        </w:tc>
        <w:tc>
          <w:tcPr>
            <w:tcW w:w="1345" w:type="dxa"/>
            <w:tcBorders>
              <w:bottom w:val="single" w:sz="4" w:space="0" w:color="auto"/>
            </w:tcBorders>
            <w:shd w:val="clear" w:color="auto" w:fill="auto"/>
            <w:vAlign w:val="center"/>
          </w:tcPr>
          <w:p w14:paraId="07EB0F56"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1.01</w:t>
            </w:r>
          </w:p>
        </w:tc>
      </w:tr>
      <w:tr w:rsidR="008037B6" w:rsidRPr="008037B6" w14:paraId="77C43A74" w14:textId="77777777" w:rsidTr="008037B6">
        <w:trPr>
          <w:jc w:val="center"/>
        </w:trPr>
        <w:tc>
          <w:tcPr>
            <w:tcW w:w="2110" w:type="dxa"/>
            <w:tcBorders>
              <w:bottom w:val="single" w:sz="4" w:space="0" w:color="auto"/>
            </w:tcBorders>
            <w:shd w:val="clear" w:color="auto" w:fill="auto"/>
            <w:vAlign w:val="center"/>
          </w:tcPr>
          <w:p w14:paraId="31C1505F"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Enero 14</w:t>
            </w:r>
          </w:p>
        </w:tc>
        <w:tc>
          <w:tcPr>
            <w:tcW w:w="1603" w:type="dxa"/>
            <w:tcBorders>
              <w:bottom w:val="single" w:sz="4" w:space="0" w:color="auto"/>
            </w:tcBorders>
            <w:shd w:val="clear" w:color="auto" w:fill="auto"/>
            <w:vAlign w:val="center"/>
          </w:tcPr>
          <w:p w14:paraId="60351A23"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Diciembre 14</w:t>
            </w:r>
          </w:p>
        </w:tc>
        <w:tc>
          <w:tcPr>
            <w:tcW w:w="1531" w:type="dxa"/>
            <w:tcBorders>
              <w:bottom w:val="single" w:sz="4" w:space="0" w:color="auto"/>
            </w:tcBorders>
            <w:shd w:val="clear" w:color="auto" w:fill="auto"/>
            <w:vAlign w:val="center"/>
          </w:tcPr>
          <w:p w14:paraId="70389172"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1 135 409</w:t>
            </w:r>
          </w:p>
        </w:tc>
        <w:tc>
          <w:tcPr>
            <w:tcW w:w="1345" w:type="dxa"/>
            <w:tcBorders>
              <w:bottom w:val="single" w:sz="4" w:space="0" w:color="auto"/>
            </w:tcBorders>
            <w:shd w:val="clear" w:color="auto" w:fill="auto"/>
            <w:vAlign w:val="center"/>
          </w:tcPr>
          <w:p w14:paraId="4530AF5C"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1.24</w:t>
            </w:r>
          </w:p>
        </w:tc>
      </w:tr>
      <w:tr w:rsidR="008037B6" w:rsidRPr="008037B6" w14:paraId="175CA833" w14:textId="77777777" w:rsidTr="008037B6">
        <w:trPr>
          <w:jc w:val="center"/>
        </w:trPr>
        <w:tc>
          <w:tcPr>
            <w:tcW w:w="2110" w:type="dxa"/>
            <w:tcBorders>
              <w:bottom w:val="single" w:sz="4" w:space="0" w:color="auto"/>
            </w:tcBorders>
            <w:shd w:val="clear" w:color="auto" w:fill="auto"/>
            <w:vAlign w:val="center"/>
          </w:tcPr>
          <w:p w14:paraId="3E0372C5"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Febrero 14</w:t>
            </w:r>
          </w:p>
        </w:tc>
        <w:tc>
          <w:tcPr>
            <w:tcW w:w="1603" w:type="dxa"/>
            <w:tcBorders>
              <w:bottom w:val="single" w:sz="4" w:space="0" w:color="auto"/>
            </w:tcBorders>
            <w:shd w:val="clear" w:color="auto" w:fill="auto"/>
            <w:vAlign w:val="center"/>
          </w:tcPr>
          <w:p w14:paraId="2556C882"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Enero 15</w:t>
            </w:r>
          </w:p>
        </w:tc>
        <w:tc>
          <w:tcPr>
            <w:tcW w:w="1531" w:type="dxa"/>
            <w:tcBorders>
              <w:bottom w:val="single" w:sz="4" w:space="0" w:color="auto"/>
            </w:tcBorders>
            <w:shd w:val="clear" w:color="auto" w:fill="auto"/>
            <w:vAlign w:val="center"/>
          </w:tcPr>
          <w:p w14:paraId="0D56EE02" w14:textId="31C9A508" w:rsidR="008037B6" w:rsidRPr="008037B6" w:rsidRDefault="008037B6" w:rsidP="00D2103B">
            <w:pPr>
              <w:spacing w:before="20" w:after="20"/>
              <w:ind w:right="340"/>
              <w:jc w:val="right"/>
              <w:rPr>
                <w:rFonts w:eastAsia="Times New Roman"/>
                <w:sz w:val="18"/>
                <w:szCs w:val="18"/>
              </w:rPr>
            </w:pPr>
            <w:r w:rsidRPr="008037B6">
              <w:rPr>
                <w:rFonts w:eastAsia="Times New Roman"/>
                <w:sz w:val="18"/>
                <w:szCs w:val="18"/>
              </w:rPr>
              <w:t>1 15</w:t>
            </w:r>
            <w:r w:rsidR="00D2103B">
              <w:rPr>
                <w:rFonts w:eastAsia="Times New Roman"/>
                <w:sz w:val="18"/>
                <w:szCs w:val="18"/>
              </w:rPr>
              <w:t>3</w:t>
            </w:r>
            <w:r w:rsidRPr="008037B6">
              <w:rPr>
                <w:rFonts w:eastAsia="Times New Roman"/>
                <w:sz w:val="18"/>
                <w:szCs w:val="18"/>
              </w:rPr>
              <w:t xml:space="preserve"> 6</w:t>
            </w:r>
            <w:r w:rsidR="00D2103B">
              <w:rPr>
                <w:rFonts w:eastAsia="Times New Roman"/>
                <w:sz w:val="18"/>
                <w:szCs w:val="18"/>
              </w:rPr>
              <w:t>02</w:t>
            </w:r>
          </w:p>
        </w:tc>
        <w:tc>
          <w:tcPr>
            <w:tcW w:w="1345" w:type="dxa"/>
            <w:tcBorders>
              <w:bottom w:val="single" w:sz="4" w:space="0" w:color="auto"/>
            </w:tcBorders>
            <w:shd w:val="clear" w:color="auto" w:fill="auto"/>
            <w:vAlign w:val="center"/>
          </w:tcPr>
          <w:p w14:paraId="5AF580D7" w14:textId="52BC90B4" w:rsidR="008037B6" w:rsidRPr="008037B6" w:rsidRDefault="00D2103B" w:rsidP="00D2103B">
            <w:pPr>
              <w:spacing w:before="20" w:after="20"/>
              <w:ind w:right="340"/>
              <w:jc w:val="right"/>
              <w:rPr>
                <w:rFonts w:eastAsia="Times New Roman"/>
                <w:sz w:val="18"/>
                <w:szCs w:val="18"/>
              </w:rPr>
            </w:pPr>
            <w:r>
              <w:rPr>
                <w:rFonts w:eastAsia="Times New Roman"/>
                <w:sz w:val="18"/>
                <w:szCs w:val="18"/>
              </w:rPr>
              <w:t>1.60</w:t>
            </w:r>
          </w:p>
        </w:tc>
      </w:tr>
      <w:tr w:rsidR="008037B6" w:rsidRPr="008037B6" w14:paraId="1C5C6942" w14:textId="77777777" w:rsidTr="008037B6">
        <w:trPr>
          <w:jc w:val="center"/>
        </w:trPr>
        <w:tc>
          <w:tcPr>
            <w:tcW w:w="2110" w:type="dxa"/>
            <w:tcBorders>
              <w:bottom w:val="single" w:sz="4" w:space="0" w:color="auto"/>
            </w:tcBorders>
            <w:shd w:val="clear" w:color="auto" w:fill="auto"/>
            <w:vAlign w:val="center"/>
          </w:tcPr>
          <w:p w14:paraId="58AD7C2D"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Marzo 14</w:t>
            </w:r>
          </w:p>
        </w:tc>
        <w:tc>
          <w:tcPr>
            <w:tcW w:w="1603" w:type="dxa"/>
            <w:tcBorders>
              <w:bottom w:val="single" w:sz="4" w:space="0" w:color="auto"/>
            </w:tcBorders>
            <w:shd w:val="clear" w:color="auto" w:fill="auto"/>
            <w:vAlign w:val="center"/>
          </w:tcPr>
          <w:p w14:paraId="1281A769"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Febrero 15</w:t>
            </w:r>
          </w:p>
        </w:tc>
        <w:tc>
          <w:tcPr>
            <w:tcW w:w="1531" w:type="dxa"/>
            <w:tcBorders>
              <w:bottom w:val="single" w:sz="4" w:space="0" w:color="auto"/>
            </w:tcBorders>
            <w:shd w:val="clear" w:color="auto" w:fill="auto"/>
            <w:vAlign w:val="center"/>
          </w:tcPr>
          <w:p w14:paraId="1300318D"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1 171 222</w:t>
            </w:r>
          </w:p>
        </w:tc>
        <w:tc>
          <w:tcPr>
            <w:tcW w:w="1345" w:type="dxa"/>
            <w:tcBorders>
              <w:bottom w:val="single" w:sz="4" w:space="0" w:color="auto"/>
            </w:tcBorders>
            <w:shd w:val="clear" w:color="auto" w:fill="auto"/>
            <w:vAlign w:val="center"/>
          </w:tcPr>
          <w:p w14:paraId="0979AFDD"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1.53</w:t>
            </w:r>
          </w:p>
        </w:tc>
      </w:tr>
      <w:tr w:rsidR="008037B6" w:rsidRPr="008037B6" w14:paraId="25C1726C" w14:textId="77777777" w:rsidTr="008037B6">
        <w:trPr>
          <w:jc w:val="center"/>
        </w:trPr>
        <w:tc>
          <w:tcPr>
            <w:tcW w:w="6589" w:type="dxa"/>
            <w:gridSpan w:val="4"/>
            <w:tcBorders>
              <w:left w:val="nil"/>
              <w:bottom w:val="nil"/>
              <w:right w:val="nil"/>
            </w:tcBorders>
            <w:shd w:val="clear" w:color="auto" w:fill="auto"/>
            <w:vAlign w:val="center"/>
          </w:tcPr>
          <w:p w14:paraId="203ED6C1" w14:textId="77777777" w:rsidR="008037B6" w:rsidRPr="008037B6" w:rsidRDefault="008037B6" w:rsidP="008037B6">
            <w:pPr>
              <w:spacing w:before="20" w:after="20"/>
              <w:jc w:val="both"/>
              <w:rPr>
                <w:rFonts w:eastAsia="Times New Roman"/>
                <w:sz w:val="20"/>
                <w:szCs w:val="22"/>
              </w:rPr>
            </w:pPr>
            <w:r w:rsidRPr="008037B6">
              <w:rPr>
                <w:rFonts w:eastAsia="Times New Roman"/>
                <w:sz w:val="20"/>
                <w:szCs w:val="22"/>
              </w:rPr>
              <w:t>FUENTE: AMDA, con información de AMIA.</w:t>
            </w:r>
          </w:p>
        </w:tc>
      </w:tr>
    </w:tbl>
    <w:p w14:paraId="094F5794" w14:textId="77777777" w:rsidR="008037B6" w:rsidRPr="008037B6" w:rsidRDefault="008037B6" w:rsidP="008037B6">
      <w:pPr>
        <w:spacing w:after="360" w:line="360" w:lineRule="auto"/>
        <w:ind w:right="-159"/>
        <w:jc w:val="both"/>
        <w:rPr>
          <w:rFonts w:eastAsia="Times New Roman"/>
          <w:b/>
          <w:sz w:val="26"/>
          <w:szCs w:val="26"/>
          <w:lang w:val="es-ES"/>
        </w:rPr>
      </w:pPr>
    </w:p>
    <w:tbl>
      <w:tblPr>
        <w:tblW w:w="0" w:type="auto"/>
        <w:tblLook w:val="04A0" w:firstRow="1" w:lastRow="0" w:firstColumn="1" w:lastColumn="0" w:noHBand="0" w:noVBand="1"/>
      </w:tblPr>
      <w:tblGrid>
        <w:gridCol w:w="8840"/>
      </w:tblGrid>
      <w:tr w:rsidR="008037B6" w:rsidRPr="008037B6" w14:paraId="0A7AA64F" w14:textId="77777777" w:rsidTr="008037B6">
        <w:tc>
          <w:tcPr>
            <w:tcW w:w="8840" w:type="dxa"/>
            <w:shd w:val="clear" w:color="auto" w:fill="FFFFFF"/>
          </w:tcPr>
          <w:p w14:paraId="64C925DC" w14:textId="77777777" w:rsidR="008037B6" w:rsidRPr="008037B6" w:rsidRDefault="008037B6" w:rsidP="008037B6">
            <w:pPr>
              <w:jc w:val="center"/>
              <w:rPr>
                <w:rFonts w:eastAsia="Times New Roman"/>
                <w:b/>
                <w:caps/>
                <w:sz w:val="22"/>
                <w:szCs w:val="20"/>
                <w:lang w:val="es-ES"/>
              </w:rPr>
            </w:pPr>
            <w:r w:rsidRPr="008037B6">
              <w:rPr>
                <w:rFonts w:eastAsia="Times New Roman"/>
                <w:b/>
                <w:caps/>
                <w:sz w:val="22"/>
                <w:szCs w:val="20"/>
                <w:lang w:val="es-ES"/>
              </w:rPr>
              <w:lastRenderedPageBreak/>
              <w:t>factores de impacto negativo en el consumidor</w:t>
            </w:r>
          </w:p>
          <w:p w14:paraId="13BE66CE" w14:textId="77777777" w:rsidR="008037B6" w:rsidRPr="008037B6" w:rsidRDefault="008037B6" w:rsidP="008037B6">
            <w:pPr>
              <w:jc w:val="center"/>
              <w:rPr>
                <w:rFonts w:eastAsia="Times New Roman"/>
                <w:b/>
                <w:sz w:val="26"/>
                <w:szCs w:val="26"/>
              </w:rPr>
            </w:pPr>
            <w:r w:rsidRPr="008037B6">
              <w:rPr>
                <w:rFonts w:eastAsia="Times New Roman"/>
                <w:b/>
                <w:caps/>
                <w:sz w:val="22"/>
                <w:szCs w:val="20"/>
                <w:lang w:val="es-ES"/>
              </w:rPr>
              <w:t>- s</w:t>
            </w:r>
            <w:r w:rsidRPr="008037B6">
              <w:rPr>
                <w:rFonts w:eastAsia="Times New Roman"/>
                <w:b/>
                <w:sz w:val="22"/>
                <w:szCs w:val="20"/>
                <w:lang w:val="es-ES"/>
              </w:rPr>
              <w:t>erie anualizada de 1999 a 2015</w:t>
            </w:r>
            <w:r w:rsidRPr="008037B6">
              <w:rPr>
                <w:rFonts w:eastAsia="Times New Roman"/>
                <w:b/>
                <w:caps/>
                <w:sz w:val="22"/>
                <w:szCs w:val="20"/>
                <w:lang w:val="es-ES"/>
              </w:rPr>
              <w:t xml:space="preserve"> -</w:t>
            </w:r>
          </w:p>
        </w:tc>
      </w:tr>
      <w:tr w:rsidR="008037B6" w:rsidRPr="008037B6" w14:paraId="3A2892F1" w14:textId="77777777" w:rsidTr="004F1C40">
        <w:tc>
          <w:tcPr>
            <w:tcW w:w="8840" w:type="dxa"/>
          </w:tcPr>
          <w:p w14:paraId="1E4AE464" w14:textId="77777777" w:rsidR="008037B6" w:rsidRPr="008037B6" w:rsidRDefault="008037B6" w:rsidP="008037B6">
            <w:pPr>
              <w:jc w:val="center"/>
              <w:rPr>
                <w:rFonts w:eastAsia="Times New Roman"/>
                <w:b/>
                <w:sz w:val="22"/>
                <w:szCs w:val="26"/>
              </w:rPr>
            </w:pPr>
            <w:r w:rsidRPr="008037B6">
              <w:rPr>
                <w:rFonts w:eastAsia="Times New Roman"/>
                <w:b/>
                <w:noProof/>
                <w:sz w:val="22"/>
                <w:szCs w:val="26"/>
                <w:lang w:eastAsia="es-MX"/>
              </w:rPr>
              <w:drawing>
                <wp:inline distT="0" distB="0" distL="0" distR="0" wp14:anchorId="1359E6DF" wp14:editId="7AFAA2AB">
                  <wp:extent cx="4951563" cy="3361405"/>
                  <wp:effectExtent l="0" t="0" r="1905" b="0"/>
                  <wp:docPr id="1553" name="Imagen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26" cstate="print">
                            <a:extLst>
                              <a:ext uri="{28A0092B-C50C-407E-A947-70E740481C1C}">
                                <a14:useLocalDpi xmlns:a14="http://schemas.microsoft.com/office/drawing/2010/main" val="0"/>
                              </a:ext>
                            </a:extLst>
                          </a:blip>
                          <a:srcRect l="2923" t="-1" r="4142" b="1663"/>
                          <a:stretch/>
                        </pic:blipFill>
                        <pic:spPr bwMode="auto">
                          <a:xfrm>
                            <a:off x="0" y="0"/>
                            <a:ext cx="4964922" cy="337047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037B6" w:rsidRPr="008037B6" w14:paraId="4934AD88" w14:textId="77777777" w:rsidTr="004F1C40">
        <w:tc>
          <w:tcPr>
            <w:tcW w:w="8840" w:type="dxa"/>
          </w:tcPr>
          <w:p w14:paraId="4199ED62" w14:textId="77777777" w:rsidR="008037B6" w:rsidRPr="008037B6" w:rsidRDefault="008037B6" w:rsidP="008037B6">
            <w:pPr>
              <w:ind w:left="1026"/>
              <w:jc w:val="both"/>
              <w:rPr>
                <w:rFonts w:eastAsia="Times New Roman"/>
                <w:b/>
                <w:sz w:val="26"/>
                <w:szCs w:val="26"/>
              </w:rPr>
            </w:pPr>
            <w:r w:rsidRPr="008037B6">
              <w:rPr>
                <w:rFonts w:eastAsia="Times New Roman"/>
                <w:sz w:val="20"/>
                <w:szCs w:val="20"/>
                <w:lang w:val="es-ES"/>
              </w:rPr>
              <w:t>FUENTE: Elaborado por AMDA con información de AMIA.</w:t>
            </w:r>
          </w:p>
        </w:tc>
      </w:tr>
    </w:tbl>
    <w:p w14:paraId="04F20796" w14:textId="77777777" w:rsidR="008037B6" w:rsidRDefault="008037B6" w:rsidP="008037B6">
      <w:pPr>
        <w:spacing w:after="360" w:line="360" w:lineRule="auto"/>
        <w:ind w:right="-159"/>
        <w:jc w:val="both"/>
        <w:rPr>
          <w:rFonts w:eastAsia="Times New Roman"/>
          <w:b/>
          <w:sz w:val="26"/>
          <w:szCs w:val="26"/>
        </w:rPr>
      </w:pPr>
    </w:p>
    <w:p w14:paraId="5419BC6A" w14:textId="77777777" w:rsidR="008037B6" w:rsidRPr="008037B6" w:rsidRDefault="008037B6" w:rsidP="008037B6">
      <w:pPr>
        <w:spacing w:before="360" w:after="360" w:line="360" w:lineRule="auto"/>
        <w:ind w:right="-159"/>
        <w:jc w:val="both"/>
        <w:rPr>
          <w:rFonts w:eastAsia="Times New Roman"/>
          <w:b/>
          <w:sz w:val="26"/>
          <w:szCs w:val="26"/>
        </w:rPr>
      </w:pPr>
      <w:r w:rsidRPr="008037B6">
        <w:rPr>
          <w:rFonts w:eastAsia="Times New Roman"/>
          <w:b/>
          <w:sz w:val="26"/>
          <w:szCs w:val="26"/>
        </w:rPr>
        <w:t>Vehículos ligeros comercializados en febrero de 2014 y 2015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04"/>
        <w:gridCol w:w="1199"/>
        <w:gridCol w:w="1134"/>
        <w:gridCol w:w="1179"/>
        <w:gridCol w:w="1134"/>
      </w:tblGrid>
      <w:tr w:rsidR="008037B6" w:rsidRPr="008037B6" w14:paraId="3F4E01D9" w14:textId="77777777" w:rsidTr="008037B6">
        <w:trPr>
          <w:jc w:val="center"/>
        </w:trPr>
        <w:tc>
          <w:tcPr>
            <w:tcW w:w="6850" w:type="dxa"/>
            <w:gridSpan w:val="5"/>
            <w:tcBorders>
              <w:top w:val="nil"/>
              <w:left w:val="nil"/>
              <w:bottom w:val="single" w:sz="4" w:space="0" w:color="auto"/>
              <w:right w:val="nil"/>
            </w:tcBorders>
            <w:shd w:val="clear" w:color="auto" w:fill="auto"/>
            <w:vAlign w:val="center"/>
          </w:tcPr>
          <w:p w14:paraId="7A5E0DD0" w14:textId="77777777" w:rsidR="008037B6" w:rsidRPr="008037B6" w:rsidRDefault="008037B6" w:rsidP="008037B6">
            <w:pPr>
              <w:jc w:val="center"/>
              <w:rPr>
                <w:rFonts w:eastAsia="Times New Roman"/>
                <w:b/>
                <w:sz w:val="22"/>
                <w:szCs w:val="22"/>
              </w:rPr>
            </w:pPr>
            <w:r w:rsidRPr="008037B6">
              <w:rPr>
                <w:rFonts w:eastAsia="Times New Roman"/>
                <w:b/>
                <w:sz w:val="22"/>
                <w:szCs w:val="22"/>
              </w:rPr>
              <w:t>VEHÍCULOS LIGEROS COMERCIALIZADOS</w:t>
            </w:r>
          </w:p>
          <w:p w14:paraId="0544E691" w14:textId="77777777" w:rsidR="008037B6" w:rsidRPr="008037B6" w:rsidRDefault="008037B6" w:rsidP="008037B6">
            <w:pPr>
              <w:ind w:right="-159"/>
              <w:jc w:val="center"/>
              <w:rPr>
                <w:rFonts w:eastAsia="Times New Roman"/>
                <w:sz w:val="26"/>
                <w:szCs w:val="26"/>
                <w:lang w:val="es-ES"/>
              </w:rPr>
            </w:pPr>
            <w:r w:rsidRPr="008037B6">
              <w:rPr>
                <w:rFonts w:eastAsia="Times New Roman"/>
                <w:b/>
                <w:sz w:val="22"/>
                <w:szCs w:val="22"/>
              </w:rPr>
              <w:t>EN FEBRERO DE 2014 Y 2015</w:t>
            </w:r>
          </w:p>
        </w:tc>
      </w:tr>
      <w:tr w:rsidR="008037B6" w:rsidRPr="008037B6" w14:paraId="0598E601" w14:textId="77777777" w:rsidTr="008037B6">
        <w:trPr>
          <w:jc w:val="center"/>
        </w:trPr>
        <w:tc>
          <w:tcPr>
            <w:tcW w:w="2204" w:type="dxa"/>
            <w:vMerge w:val="restart"/>
            <w:tcBorders>
              <w:bottom w:val="single" w:sz="4" w:space="0" w:color="auto"/>
            </w:tcBorders>
            <w:shd w:val="clear" w:color="auto" w:fill="auto"/>
            <w:vAlign w:val="center"/>
          </w:tcPr>
          <w:p w14:paraId="2EA9AC03" w14:textId="77777777" w:rsidR="008037B6" w:rsidRPr="008037B6" w:rsidRDefault="008037B6" w:rsidP="008037B6">
            <w:pPr>
              <w:spacing w:before="20" w:after="20"/>
              <w:jc w:val="center"/>
              <w:rPr>
                <w:rFonts w:eastAsia="Times New Roman"/>
                <w:b/>
                <w:sz w:val="18"/>
                <w:szCs w:val="20"/>
              </w:rPr>
            </w:pPr>
            <w:r w:rsidRPr="008037B6">
              <w:rPr>
                <w:rFonts w:eastAsia="Times New Roman"/>
                <w:b/>
                <w:sz w:val="18"/>
                <w:szCs w:val="20"/>
              </w:rPr>
              <w:t>Segmento</w:t>
            </w:r>
          </w:p>
        </w:tc>
        <w:tc>
          <w:tcPr>
            <w:tcW w:w="1199" w:type="dxa"/>
            <w:vMerge w:val="restart"/>
            <w:tcBorders>
              <w:bottom w:val="single" w:sz="4" w:space="0" w:color="auto"/>
            </w:tcBorders>
            <w:shd w:val="clear" w:color="auto" w:fill="auto"/>
            <w:vAlign w:val="center"/>
          </w:tcPr>
          <w:p w14:paraId="3E38C230" w14:textId="77777777" w:rsidR="008037B6" w:rsidRPr="008037B6" w:rsidRDefault="008037B6" w:rsidP="008037B6">
            <w:pPr>
              <w:spacing w:before="20" w:after="20"/>
              <w:jc w:val="center"/>
              <w:rPr>
                <w:rFonts w:eastAsia="Times New Roman"/>
                <w:b/>
                <w:sz w:val="18"/>
                <w:szCs w:val="20"/>
              </w:rPr>
            </w:pPr>
            <w:r w:rsidRPr="008037B6">
              <w:rPr>
                <w:rFonts w:eastAsia="Times New Roman"/>
                <w:b/>
                <w:sz w:val="18"/>
                <w:szCs w:val="20"/>
              </w:rPr>
              <w:t>2014</w:t>
            </w:r>
          </w:p>
        </w:tc>
        <w:tc>
          <w:tcPr>
            <w:tcW w:w="1134" w:type="dxa"/>
            <w:vMerge w:val="restart"/>
            <w:tcBorders>
              <w:bottom w:val="single" w:sz="4" w:space="0" w:color="auto"/>
            </w:tcBorders>
            <w:shd w:val="clear" w:color="auto" w:fill="auto"/>
            <w:vAlign w:val="center"/>
          </w:tcPr>
          <w:p w14:paraId="227E6FC6" w14:textId="77777777" w:rsidR="008037B6" w:rsidRPr="008037B6" w:rsidRDefault="008037B6" w:rsidP="008037B6">
            <w:pPr>
              <w:spacing w:before="20" w:after="20"/>
              <w:jc w:val="center"/>
              <w:rPr>
                <w:rFonts w:eastAsia="Times New Roman"/>
                <w:b/>
                <w:sz w:val="18"/>
                <w:szCs w:val="20"/>
              </w:rPr>
            </w:pPr>
            <w:r w:rsidRPr="008037B6">
              <w:rPr>
                <w:rFonts w:eastAsia="Times New Roman"/>
                <w:b/>
                <w:sz w:val="18"/>
                <w:szCs w:val="20"/>
              </w:rPr>
              <w:t>2015</w:t>
            </w:r>
          </w:p>
        </w:tc>
        <w:tc>
          <w:tcPr>
            <w:tcW w:w="2313" w:type="dxa"/>
            <w:gridSpan w:val="2"/>
            <w:tcBorders>
              <w:bottom w:val="single" w:sz="4" w:space="0" w:color="auto"/>
            </w:tcBorders>
            <w:shd w:val="clear" w:color="auto" w:fill="auto"/>
            <w:vAlign w:val="center"/>
          </w:tcPr>
          <w:p w14:paraId="6792CB94" w14:textId="77777777" w:rsidR="008037B6" w:rsidRPr="008037B6" w:rsidRDefault="008037B6" w:rsidP="008037B6">
            <w:pPr>
              <w:spacing w:before="20" w:after="20"/>
              <w:jc w:val="center"/>
              <w:rPr>
                <w:rFonts w:eastAsia="Times New Roman"/>
                <w:b/>
                <w:sz w:val="18"/>
                <w:szCs w:val="20"/>
              </w:rPr>
            </w:pPr>
            <w:r w:rsidRPr="008037B6">
              <w:rPr>
                <w:rFonts w:eastAsia="Times New Roman"/>
                <w:b/>
                <w:sz w:val="18"/>
                <w:szCs w:val="20"/>
              </w:rPr>
              <w:t>Variación</w:t>
            </w:r>
          </w:p>
        </w:tc>
      </w:tr>
      <w:tr w:rsidR="008037B6" w:rsidRPr="008037B6" w14:paraId="7E99DE19" w14:textId="77777777" w:rsidTr="008037B6">
        <w:trPr>
          <w:jc w:val="center"/>
        </w:trPr>
        <w:tc>
          <w:tcPr>
            <w:tcW w:w="2204" w:type="dxa"/>
            <w:vMerge/>
            <w:tcBorders>
              <w:top w:val="single" w:sz="4" w:space="0" w:color="auto"/>
              <w:bottom w:val="single" w:sz="4" w:space="0" w:color="auto"/>
            </w:tcBorders>
            <w:shd w:val="clear" w:color="auto" w:fill="auto"/>
            <w:vAlign w:val="center"/>
          </w:tcPr>
          <w:p w14:paraId="55BC63CB" w14:textId="77777777" w:rsidR="008037B6" w:rsidRPr="008037B6" w:rsidRDefault="008037B6" w:rsidP="008037B6">
            <w:pPr>
              <w:spacing w:before="20" w:after="20"/>
              <w:jc w:val="both"/>
              <w:rPr>
                <w:rFonts w:eastAsia="Times New Roman"/>
                <w:b/>
                <w:sz w:val="18"/>
                <w:szCs w:val="20"/>
              </w:rPr>
            </w:pPr>
          </w:p>
        </w:tc>
        <w:tc>
          <w:tcPr>
            <w:tcW w:w="1199" w:type="dxa"/>
            <w:vMerge/>
            <w:tcBorders>
              <w:top w:val="single" w:sz="4" w:space="0" w:color="auto"/>
              <w:bottom w:val="single" w:sz="4" w:space="0" w:color="auto"/>
            </w:tcBorders>
            <w:shd w:val="clear" w:color="auto" w:fill="auto"/>
            <w:vAlign w:val="center"/>
          </w:tcPr>
          <w:p w14:paraId="374D3BC3" w14:textId="77777777" w:rsidR="008037B6" w:rsidRPr="008037B6" w:rsidRDefault="008037B6" w:rsidP="008037B6">
            <w:pPr>
              <w:spacing w:before="20" w:after="20"/>
              <w:jc w:val="both"/>
              <w:rPr>
                <w:rFonts w:eastAsia="Times New Roman"/>
                <w:b/>
                <w:sz w:val="18"/>
                <w:szCs w:val="20"/>
              </w:rPr>
            </w:pPr>
          </w:p>
        </w:tc>
        <w:tc>
          <w:tcPr>
            <w:tcW w:w="1134" w:type="dxa"/>
            <w:vMerge/>
            <w:tcBorders>
              <w:top w:val="single" w:sz="4" w:space="0" w:color="auto"/>
              <w:bottom w:val="single" w:sz="4" w:space="0" w:color="auto"/>
            </w:tcBorders>
            <w:shd w:val="clear" w:color="auto" w:fill="auto"/>
            <w:vAlign w:val="center"/>
          </w:tcPr>
          <w:p w14:paraId="28FA7997" w14:textId="77777777" w:rsidR="008037B6" w:rsidRPr="008037B6" w:rsidRDefault="008037B6" w:rsidP="008037B6">
            <w:pPr>
              <w:spacing w:before="20" w:after="20"/>
              <w:jc w:val="center"/>
              <w:rPr>
                <w:rFonts w:eastAsia="Times New Roman"/>
                <w:b/>
                <w:sz w:val="18"/>
                <w:szCs w:val="20"/>
              </w:rPr>
            </w:pPr>
          </w:p>
        </w:tc>
        <w:tc>
          <w:tcPr>
            <w:tcW w:w="1179" w:type="dxa"/>
            <w:tcBorders>
              <w:top w:val="single" w:sz="4" w:space="0" w:color="auto"/>
              <w:bottom w:val="single" w:sz="4" w:space="0" w:color="auto"/>
            </w:tcBorders>
            <w:shd w:val="clear" w:color="auto" w:fill="auto"/>
            <w:vAlign w:val="center"/>
          </w:tcPr>
          <w:p w14:paraId="2C174FDA" w14:textId="77777777" w:rsidR="008037B6" w:rsidRPr="008037B6" w:rsidRDefault="008037B6" w:rsidP="008037B6">
            <w:pPr>
              <w:spacing w:before="20" w:after="20"/>
              <w:jc w:val="center"/>
              <w:rPr>
                <w:rFonts w:eastAsia="Times New Roman"/>
                <w:b/>
                <w:sz w:val="18"/>
                <w:szCs w:val="20"/>
              </w:rPr>
            </w:pPr>
            <w:r w:rsidRPr="008037B6">
              <w:rPr>
                <w:rFonts w:eastAsia="Times New Roman"/>
                <w:b/>
                <w:sz w:val="18"/>
                <w:szCs w:val="20"/>
              </w:rPr>
              <w:t>Unidades</w:t>
            </w:r>
          </w:p>
        </w:tc>
        <w:tc>
          <w:tcPr>
            <w:tcW w:w="1134" w:type="dxa"/>
            <w:tcBorders>
              <w:top w:val="single" w:sz="4" w:space="0" w:color="auto"/>
              <w:bottom w:val="single" w:sz="4" w:space="0" w:color="auto"/>
            </w:tcBorders>
            <w:shd w:val="clear" w:color="auto" w:fill="auto"/>
            <w:vAlign w:val="center"/>
          </w:tcPr>
          <w:p w14:paraId="155F284D" w14:textId="77777777" w:rsidR="008037B6" w:rsidRPr="008037B6" w:rsidRDefault="008037B6" w:rsidP="008037B6">
            <w:pPr>
              <w:spacing w:before="20" w:after="20"/>
              <w:jc w:val="center"/>
              <w:rPr>
                <w:rFonts w:eastAsia="Times New Roman"/>
                <w:b/>
                <w:sz w:val="18"/>
                <w:szCs w:val="20"/>
              </w:rPr>
            </w:pPr>
            <w:r w:rsidRPr="008037B6">
              <w:rPr>
                <w:rFonts w:eastAsia="Times New Roman"/>
                <w:b/>
                <w:sz w:val="18"/>
                <w:szCs w:val="20"/>
              </w:rPr>
              <w:t>Porcentaje</w:t>
            </w:r>
          </w:p>
        </w:tc>
      </w:tr>
      <w:tr w:rsidR="008037B6" w:rsidRPr="008037B6" w14:paraId="699BDAF0" w14:textId="77777777" w:rsidTr="008037B6">
        <w:trPr>
          <w:jc w:val="center"/>
        </w:trPr>
        <w:tc>
          <w:tcPr>
            <w:tcW w:w="2204" w:type="dxa"/>
            <w:tcBorders>
              <w:top w:val="single" w:sz="4" w:space="0" w:color="auto"/>
              <w:bottom w:val="nil"/>
            </w:tcBorders>
            <w:shd w:val="clear" w:color="auto" w:fill="auto"/>
            <w:vAlign w:val="center"/>
          </w:tcPr>
          <w:p w14:paraId="6FEA53E6" w14:textId="77777777" w:rsidR="008037B6" w:rsidRPr="008037B6" w:rsidRDefault="008037B6" w:rsidP="008037B6">
            <w:pPr>
              <w:spacing w:before="20" w:after="20"/>
              <w:jc w:val="both"/>
              <w:rPr>
                <w:rFonts w:eastAsia="Times New Roman"/>
                <w:sz w:val="18"/>
                <w:szCs w:val="20"/>
              </w:rPr>
            </w:pPr>
            <w:r w:rsidRPr="008037B6">
              <w:rPr>
                <w:rFonts w:eastAsia="Times New Roman"/>
                <w:sz w:val="18"/>
                <w:szCs w:val="20"/>
              </w:rPr>
              <w:t>Subcompactos</w:t>
            </w:r>
          </w:p>
        </w:tc>
        <w:tc>
          <w:tcPr>
            <w:tcW w:w="1199" w:type="dxa"/>
            <w:tcBorders>
              <w:top w:val="single" w:sz="4" w:space="0" w:color="auto"/>
              <w:bottom w:val="nil"/>
            </w:tcBorders>
            <w:shd w:val="clear" w:color="auto" w:fill="auto"/>
            <w:vAlign w:val="center"/>
          </w:tcPr>
          <w:p w14:paraId="0BA19146" w14:textId="77777777" w:rsidR="008037B6" w:rsidRPr="008037B6" w:rsidRDefault="008037B6" w:rsidP="008037B6">
            <w:pPr>
              <w:spacing w:before="20" w:after="20"/>
              <w:ind w:left="-1554" w:right="170"/>
              <w:jc w:val="right"/>
              <w:rPr>
                <w:rFonts w:eastAsia="Times New Roman"/>
                <w:sz w:val="18"/>
                <w:szCs w:val="20"/>
              </w:rPr>
            </w:pPr>
            <w:r w:rsidRPr="008037B6">
              <w:rPr>
                <w:rFonts w:eastAsia="Times New Roman"/>
                <w:sz w:val="18"/>
                <w:szCs w:val="20"/>
              </w:rPr>
              <w:t>25 931</w:t>
            </w:r>
          </w:p>
        </w:tc>
        <w:tc>
          <w:tcPr>
            <w:tcW w:w="1134" w:type="dxa"/>
            <w:tcBorders>
              <w:top w:val="single" w:sz="4" w:space="0" w:color="auto"/>
              <w:bottom w:val="nil"/>
            </w:tcBorders>
            <w:shd w:val="clear" w:color="auto" w:fill="auto"/>
            <w:vAlign w:val="center"/>
          </w:tcPr>
          <w:p w14:paraId="504EE180" w14:textId="77777777" w:rsidR="008037B6" w:rsidRPr="008037B6" w:rsidRDefault="008037B6" w:rsidP="008037B6">
            <w:pPr>
              <w:spacing w:before="20" w:after="20"/>
              <w:ind w:left="-1554" w:right="170"/>
              <w:jc w:val="right"/>
              <w:rPr>
                <w:rFonts w:eastAsia="Times New Roman"/>
                <w:sz w:val="18"/>
                <w:szCs w:val="20"/>
              </w:rPr>
            </w:pPr>
            <w:r w:rsidRPr="008037B6">
              <w:rPr>
                <w:rFonts w:eastAsia="Times New Roman"/>
                <w:sz w:val="18"/>
                <w:szCs w:val="20"/>
              </w:rPr>
              <w:t>34 944</w:t>
            </w:r>
          </w:p>
        </w:tc>
        <w:tc>
          <w:tcPr>
            <w:tcW w:w="1179" w:type="dxa"/>
            <w:tcBorders>
              <w:top w:val="single" w:sz="4" w:space="0" w:color="auto"/>
              <w:bottom w:val="nil"/>
            </w:tcBorders>
            <w:shd w:val="clear" w:color="auto" w:fill="auto"/>
            <w:vAlign w:val="center"/>
          </w:tcPr>
          <w:p w14:paraId="7D2DD8BE" w14:textId="77777777" w:rsidR="008037B6" w:rsidRPr="008037B6" w:rsidRDefault="008037B6" w:rsidP="008037B6">
            <w:pPr>
              <w:spacing w:before="20" w:after="20"/>
              <w:ind w:left="-1554" w:right="227"/>
              <w:jc w:val="right"/>
              <w:rPr>
                <w:rFonts w:eastAsia="Times New Roman"/>
                <w:sz w:val="18"/>
                <w:szCs w:val="20"/>
              </w:rPr>
            </w:pPr>
            <w:r w:rsidRPr="008037B6">
              <w:rPr>
                <w:rFonts w:eastAsia="Times New Roman"/>
                <w:sz w:val="18"/>
                <w:szCs w:val="20"/>
              </w:rPr>
              <w:t>9 013</w:t>
            </w:r>
          </w:p>
        </w:tc>
        <w:tc>
          <w:tcPr>
            <w:tcW w:w="1134" w:type="dxa"/>
            <w:tcBorders>
              <w:top w:val="single" w:sz="4" w:space="0" w:color="auto"/>
              <w:bottom w:val="nil"/>
            </w:tcBorders>
            <w:shd w:val="clear" w:color="auto" w:fill="auto"/>
            <w:vAlign w:val="center"/>
          </w:tcPr>
          <w:p w14:paraId="62E0EAC8" w14:textId="77777777" w:rsidR="008037B6" w:rsidRPr="008037B6" w:rsidRDefault="008037B6" w:rsidP="008037B6">
            <w:pPr>
              <w:spacing w:before="20" w:after="20"/>
              <w:ind w:left="-1554" w:right="227"/>
              <w:jc w:val="right"/>
              <w:rPr>
                <w:rFonts w:eastAsia="Times New Roman"/>
                <w:sz w:val="18"/>
                <w:szCs w:val="20"/>
              </w:rPr>
            </w:pPr>
            <w:r w:rsidRPr="008037B6">
              <w:rPr>
                <w:rFonts w:eastAsia="Times New Roman"/>
                <w:sz w:val="18"/>
                <w:szCs w:val="20"/>
              </w:rPr>
              <w:t>34.8</w:t>
            </w:r>
          </w:p>
        </w:tc>
      </w:tr>
      <w:tr w:rsidR="008037B6" w:rsidRPr="008037B6" w14:paraId="0BA585EF" w14:textId="77777777" w:rsidTr="008037B6">
        <w:trPr>
          <w:jc w:val="center"/>
        </w:trPr>
        <w:tc>
          <w:tcPr>
            <w:tcW w:w="2204" w:type="dxa"/>
            <w:tcBorders>
              <w:top w:val="nil"/>
              <w:bottom w:val="nil"/>
            </w:tcBorders>
            <w:shd w:val="clear" w:color="auto" w:fill="auto"/>
            <w:vAlign w:val="center"/>
          </w:tcPr>
          <w:p w14:paraId="1B2B12B0" w14:textId="77777777" w:rsidR="008037B6" w:rsidRPr="008037B6" w:rsidRDefault="008037B6" w:rsidP="008037B6">
            <w:pPr>
              <w:spacing w:before="20" w:after="20"/>
              <w:jc w:val="both"/>
              <w:rPr>
                <w:rFonts w:eastAsia="Times New Roman"/>
                <w:sz w:val="18"/>
                <w:szCs w:val="20"/>
              </w:rPr>
            </w:pPr>
            <w:r w:rsidRPr="008037B6">
              <w:rPr>
                <w:rFonts w:eastAsia="Times New Roman"/>
                <w:sz w:val="18"/>
                <w:szCs w:val="20"/>
              </w:rPr>
              <w:t>Compactos</w:t>
            </w:r>
          </w:p>
        </w:tc>
        <w:tc>
          <w:tcPr>
            <w:tcW w:w="1199" w:type="dxa"/>
            <w:tcBorders>
              <w:top w:val="nil"/>
              <w:bottom w:val="nil"/>
            </w:tcBorders>
            <w:shd w:val="clear" w:color="auto" w:fill="auto"/>
            <w:vAlign w:val="center"/>
          </w:tcPr>
          <w:p w14:paraId="5E78BA2F" w14:textId="77777777" w:rsidR="008037B6" w:rsidRPr="008037B6" w:rsidRDefault="008037B6" w:rsidP="008037B6">
            <w:pPr>
              <w:spacing w:before="20" w:after="20"/>
              <w:ind w:left="-1554" w:right="170"/>
              <w:jc w:val="right"/>
              <w:rPr>
                <w:rFonts w:eastAsia="Times New Roman"/>
                <w:sz w:val="18"/>
                <w:szCs w:val="20"/>
              </w:rPr>
            </w:pPr>
            <w:r w:rsidRPr="008037B6">
              <w:rPr>
                <w:rFonts w:eastAsia="Times New Roman"/>
                <w:sz w:val="18"/>
                <w:szCs w:val="20"/>
              </w:rPr>
              <w:t>21 109</w:t>
            </w:r>
          </w:p>
        </w:tc>
        <w:tc>
          <w:tcPr>
            <w:tcW w:w="1134" w:type="dxa"/>
            <w:tcBorders>
              <w:top w:val="nil"/>
              <w:bottom w:val="nil"/>
            </w:tcBorders>
            <w:shd w:val="clear" w:color="auto" w:fill="auto"/>
            <w:vAlign w:val="center"/>
          </w:tcPr>
          <w:p w14:paraId="588B8B84" w14:textId="77777777" w:rsidR="008037B6" w:rsidRPr="008037B6" w:rsidRDefault="008037B6" w:rsidP="008037B6">
            <w:pPr>
              <w:spacing w:before="20" w:after="20"/>
              <w:ind w:left="-1554" w:right="170"/>
              <w:jc w:val="right"/>
              <w:rPr>
                <w:rFonts w:eastAsia="Times New Roman"/>
                <w:sz w:val="18"/>
                <w:szCs w:val="20"/>
              </w:rPr>
            </w:pPr>
            <w:r w:rsidRPr="008037B6">
              <w:rPr>
                <w:rFonts w:eastAsia="Times New Roman"/>
                <w:sz w:val="18"/>
                <w:szCs w:val="20"/>
              </w:rPr>
              <w:t>25 292</w:t>
            </w:r>
          </w:p>
        </w:tc>
        <w:tc>
          <w:tcPr>
            <w:tcW w:w="1179" w:type="dxa"/>
            <w:tcBorders>
              <w:top w:val="nil"/>
              <w:bottom w:val="nil"/>
            </w:tcBorders>
            <w:shd w:val="clear" w:color="auto" w:fill="auto"/>
            <w:vAlign w:val="center"/>
          </w:tcPr>
          <w:p w14:paraId="7C743D1D" w14:textId="77777777" w:rsidR="008037B6" w:rsidRPr="008037B6" w:rsidRDefault="008037B6" w:rsidP="008037B6">
            <w:pPr>
              <w:spacing w:before="20" w:after="20"/>
              <w:ind w:left="-1554" w:right="227"/>
              <w:jc w:val="right"/>
              <w:rPr>
                <w:rFonts w:eastAsia="Times New Roman"/>
                <w:sz w:val="18"/>
                <w:szCs w:val="20"/>
              </w:rPr>
            </w:pPr>
            <w:r w:rsidRPr="008037B6">
              <w:rPr>
                <w:rFonts w:eastAsia="Times New Roman"/>
                <w:sz w:val="18"/>
                <w:szCs w:val="20"/>
              </w:rPr>
              <w:t>4 183</w:t>
            </w:r>
          </w:p>
        </w:tc>
        <w:tc>
          <w:tcPr>
            <w:tcW w:w="1134" w:type="dxa"/>
            <w:tcBorders>
              <w:top w:val="nil"/>
              <w:bottom w:val="nil"/>
            </w:tcBorders>
            <w:shd w:val="clear" w:color="auto" w:fill="auto"/>
            <w:vAlign w:val="center"/>
          </w:tcPr>
          <w:p w14:paraId="12596C89" w14:textId="77777777" w:rsidR="008037B6" w:rsidRPr="008037B6" w:rsidRDefault="008037B6" w:rsidP="008037B6">
            <w:pPr>
              <w:spacing w:before="20" w:after="20"/>
              <w:ind w:left="-1554" w:right="227"/>
              <w:jc w:val="right"/>
              <w:rPr>
                <w:rFonts w:eastAsia="Times New Roman"/>
                <w:sz w:val="18"/>
                <w:szCs w:val="20"/>
              </w:rPr>
            </w:pPr>
            <w:r w:rsidRPr="008037B6">
              <w:rPr>
                <w:rFonts w:eastAsia="Times New Roman"/>
                <w:sz w:val="18"/>
                <w:szCs w:val="20"/>
              </w:rPr>
              <w:t>19.8</w:t>
            </w:r>
          </w:p>
        </w:tc>
      </w:tr>
      <w:tr w:rsidR="008037B6" w:rsidRPr="008037B6" w14:paraId="237CFBAC" w14:textId="77777777" w:rsidTr="008037B6">
        <w:trPr>
          <w:jc w:val="center"/>
        </w:trPr>
        <w:tc>
          <w:tcPr>
            <w:tcW w:w="2204" w:type="dxa"/>
            <w:tcBorders>
              <w:top w:val="nil"/>
              <w:bottom w:val="nil"/>
            </w:tcBorders>
            <w:shd w:val="clear" w:color="auto" w:fill="auto"/>
            <w:vAlign w:val="center"/>
          </w:tcPr>
          <w:p w14:paraId="680FE435" w14:textId="77777777" w:rsidR="008037B6" w:rsidRPr="008037B6" w:rsidRDefault="008037B6" w:rsidP="008037B6">
            <w:pPr>
              <w:spacing w:before="20" w:after="20"/>
              <w:jc w:val="both"/>
              <w:rPr>
                <w:rFonts w:eastAsia="Times New Roman"/>
                <w:sz w:val="18"/>
                <w:szCs w:val="20"/>
              </w:rPr>
            </w:pPr>
            <w:r w:rsidRPr="008037B6">
              <w:rPr>
                <w:rFonts w:eastAsia="Times New Roman"/>
                <w:sz w:val="18"/>
                <w:szCs w:val="20"/>
              </w:rPr>
              <w:t>De lujo</w:t>
            </w:r>
          </w:p>
        </w:tc>
        <w:tc>
          <w:tcPr>
            <w:tcW w:w="1199" w:type="dxa"/>
            <w:tcBorders>
              <w:top w:val="nil"/>
              <w:bottom w:val="nil"/>
            </w:tcBorders>
            <w:shd w:val="clear" w:color="auto" w:fill="auto"/>
            <w:vAlign w:val="center"/>
          </w:tcPr>
          <w:p w14:paraId="44B2C2E9" w14:textId="77777777" w:rsidR="008037B6" w:rsidRPr="008037B6" w:rsidRDefault="008037B6" w:rsidP="008037B6">
            <w:pPr>
              <w:spacing w:before="20" w:after="20"/>
              <w:ind w:left="-1554" w:right="170"/>
              <w:jc w:val="right"/>
              <w:rPr>
                <w:rFonts w:eastAsia="Times New Roman"/>
                <w:sz w:val="18"/>
                <w:szCs w:val="20"/>
              </w:rPr>
            </w:pPr>
            <w:r w:rsidRPr="008037B6">
              <w:rPr>
                <w:rFonts w:eastAsia="Times New Roman"/>
                <w:sz w:val="18"/>
                <w:szCs w:val="20"/>
              </w:rPr>
              <w:t>4 222</w:t>
            </w:r>
          </w:p>
        </w:tc>
        <w:tc>
          <w:tcPr>
            <w:tcW w:w="1134" w:type="dxa"/>
            <w:tcBorders>
              <w:top w:val="nil"/>
              <w:bottom w:val="nil"/>
            </w:tcBorders>
            <w:shd w:val="clear" w:color="auto" w:fill="auto"/>
            <w:vAlign w:val="center"/>
          </w:tcPr>
          <w:p w14:paraId="18EC2F93" w14:textId="77777777" w:rsidR="008037B6" w:rsidRPr="008037B6" w:rsidRDefault="008037B6" w:rsidP="008037B6">
            <w:pPr>
              <w:spacing w:before="20" w:after="20"/>
              <w:ind w:left="-1554" w:right="170"/>
              <w:jc w:val="right"/>
              <w:rPr>
                <w:rFonts w:eastAsia="Times New Roman"/>
                <w:sz w:val="18"/>
                <w:szCs w:val="20"/>
              </w:rPr>
            </w:pPr>
            <w:r w:rsidRPr="008037B6">
              <w:rPr>
                <w:rFonts w:eastAsia="Times New Roman"/>
                <w:sz w:val="18"/>
                <w:szCs w:val="20"/>
              </w:rPr>
              <w:t>5 057</w:t>
            </w:r>
          </w:p>
        </w:tc>
        <w:tc>
          <w:tcPr>
            <w:tcW w:w="1179" w:type="dxa"/>
            <w:tcBorders>
              <w:top w:val="nil"/>
              <w:bottom w:val="nil"/>
            </w:tcBorders>
            <w:shd w:val="clear" w:color="auto" w:fill="auto"/>
            <w:vAlign w:val="center"/>
          </w:tcPr>
          <w:p w14:paraId="37E9E675" w14:textId="77777777" w:rsidR="008037B6" w:rsidRPr="008037B6" w:rsidRDefault="008037B6" w:rsidP="008037B6">
            <w:pPr>
              <w:spacing w:before="20" w:after="20"/>
              <w:ind w:left="-1554" w:right="227"/>
              <w:jc w:val="right"/>
              <w:rPr>
                <w:rFonts w:eastAsia="Times New Roman"/>
                <w:sz w:val="18"/>
                <w:szCs w:val="20"/>
              </w:rPr>
            </w:pPr>
            <w:r w:rsidRPr="008037B6">
              <w:rPr>
                <w:rFonts w:eastAsia="Times New Roman"/>
                <w:sz w:val="18"/>
                <w:szCs w:val="20"/>
              </w:rPr>
              <w:t>835</w:t>
            </w:r>
          </w:p>
        </w:tc>
        <w:tc>
          <w:tcPr>
            <w:tcW w:w="1134" w:type="dxa"/>
            <w:tcBorders>
              <w:top w:val="nil"/>
              <w:bottom w:val="nil"/>
            </w:tcBorders>
            <w:shd w:val="clear" w:color="auto" w:fill="auto"/>
            <w:vAlign w:val="center"/>
          </w:tcPr>
          <w:p w14:paraId="233AD7FE" w14:textId="77777777" w:rsidR="008037B6" w:rsidRPr="008037B6" w:rsidRDefault="008037B6" w:rsidP="008037B6">
            <w:pPr>
              <w:spacing w:before="20" w:after="20"/>
              <w:ind w:left="-1554" w:right="227"/>
              <w:jc w:val="right"/>
              <w:rPr>
                <w:rFonts w:eastAsia="Times New Roman"/>
                <w:sz w:val="18"/>
                <w:szCs w:val="20"/>
              </w:rPr>
            </w:pPr>
            <w:r w:rsidRPr="008037B6">
              <w:rPr>
                <w:rFonts w:eastAsia="Times New Roman"/>
                <w:sz w:val="18"/>
                <w:szCs w:val="20"/>
              </w:rPr>
              <w:t>19.8</w:t>
            </w:r>
          </w:p>
        </w:tc>
      </w:tr>
      <w:tr w:rsidR="008037B6" w:rsidRPr="008037B6" w14:paraId="670A849D" w14:textId="77777777" w:rsidTr="008037B6">
        <w:trPr>
          <w:jc w:val="center"/>
        </w:trPr>
        <w:tc>
          <w:tcPr>
            <w:tcW w:w="2204" w:type="dxa"/>
            <w:tcBorders>
              <w:top w:val="nil"/>
              <w:bottom w:val="nil"/>
            </w:tcBorders>
            <w:shd w:val="clear" w:color="auto" w:fill="auto"/>
            <w:vAlign w:val="center"/>
          </w:tcPr>
          <w:p w14:paraId="0CCFCB81" w14:textId="77777777" w:rsidR="008037B6" w:rsidRPr="008037B6" w:rsidRDefault="008037B6" w:rsidP="008037B6">
            <w:pPr>
              <w:spacing w:before="20" w:after="20"/>
              <w:jc w:val="both"/>
              <w:rPr>
                <w:rFonts w:eastAsia="Times New Roman"/>
                <w:sz w:val="18"/>
                <w:szCs w:val="20"/>
              </w:rPr>
            </w:pPr>
            <w:r w:rsidRPr="008037B6">
              <w:rPr>
                <w:rFonts w:eastAsia="Times New Roman"/>
                <w:sz w:val="18"/>
                <w:szCs w:val="20"/>
              </w:rPr>
              <w:t>Deportivos</w:t>
            </w:r>
          </w:p>
        </w:tc>
        <w:tc>
          <w:tcPr>
            <w:tcW w:w="1199" w:type="dxa"/>
            <w:tcBorders>
              <w:top w:val="nil"/>
              <w:bottom w:val="nil"/>
            </w:tcBorders>
            <w:shd w:val="clear" w:color="auto" w:fill="auto"/>
            <w:vAlign w:val="center"/>
          </w:tcPr>
          <w:p w14:paraId="1ABEDB6C" w14:textId="77777777" w:rsidR="008037B6" w:rsidRPr="008037B6" w:rsidRDefault="008037B6" w:rsidP="008037B6">
            <w:pPr>
              <w:spacing w:before="20" w:after="20"/>
              <w:ind w:left="-1554" w:right="170"/>
              <w:jc w:val="right"/>
              <w:rPr>
                <w:rFonts w:eastAsia="Times New Roman"/>
                <w:sz w:val="18"/>
                <w:szCs w:val="20"/>
              </w:rPr>
            </w:pPr>
            <w:r w:rsidRPr="008037B6">
              <w:rPr>
                <w:rFonts w:eastAsia="Times New Roman"/>
                <w:sz w:val="18"/>
                <w:szCs w:val="20"/>
              </w:rPr>
              <w:t>554</w:t>
            </w:r>
          </w:p>
        </w:tc>
        <w:tc>
          <w:tcPr>
            <w:tcW w:w="1134" w:type="dxa"/>
            <w:tcBorders>
              <w:top w:val="nil"/>
              <w:bottom w:val="nil"/>
            </w:tcBorders>
            <w:shd w:val="clear" w:color="auto" w:fill="auto"/>
            <w:vAlign w:val="center"/>
          </w:tcPr>
          <w:p w14:paraId="26F4839F" w14:textId="77777777" w:rsidR="008037B6" w:rsidRPr="008037B6" w:rsidRDefault="008037B6" w:rsidP="008037B6">
            <w:pPr>
              <w:spacing w:before="20" w:after="20"/>
              <w:ind w:left="-1554" w:right="170"/>
              <w:jc w:val="right"/>
              <w:rPr>
                <w:rFonts w:eastAsia="Times New Roman"/>
                <w:sz w:val="18"/>
                <w:szCs w:val="20"/>
              </w:rPr>
            </w:pPr>
            <w:r w:rsidRPr="008037B6">
              <w:rPr>
                <w:rFonts w:eastAsia="Times New Roman"/>
                <w:sz w:val="18"/>
                <w:szCs w:val="20"/>
              </w:rPr>
              <w:t>738</w:t>
            </w:r>
          </w:p>
        </w:tc>
        <w:tc>
          <w:tcPr>
            <w:tcW w:w="1179" w:type="dxa"/>
            <w:tcBorders>
              <w:top w:val="nil"/>
              <w:bottom w:val="nil"/>
            </w:tcBorders>
            <w:shd w:val="clear" w:color="auto" w:fill="auto"/>
            <w:vAlign w:val="center"/>
          </w:tcPr>
          <w:p w14:paraId="0D6A25E2" w14:textId="77777777" w:rsidR="008037B6" w:rsidRPr="008037B6" w:rsidRDefault="008037B6" w:rsidP="008037B6">
            <w:pPr>
              <w:spacing w:before="20" w:after="20"/>
              <w:ind w:left="-1554" w:right="227"/>
              <w:jc w:val="right"/>
              <w:rPr>
                <w:rFonts w:eastAsia="Times New Roman"/>
                <w:sz w:val="18"/>
                <w:szCs w:val="20"/>
              </w:rPr>
            </w:pPr>
            <w:r w:rsidRPr="008037B6">
              <w:rPr>
                <w:rFonts w:eastAsia="Times New Roman"/>
                <w:sz w:val="18"/>
                <w:szCs w:val="20"/>
              </w:rPr>
              <w:t>184</w:t>
            </w:r>
          </w:p>
        </w:tc>
        <w:tc>
          <w:tcPr>
            <w:tcW w:w="1134" w:type="dxa"/>
            <w:tcBorders>
              <w:top w:val="nil"/>
              <w:bottom w:val="nil"/>
            </w:tcBorders>
            <w:shd w:val="clear" w:color="auto" w:fill="auto"/>
            <w:vAlign w:val="center"/>
          </w:tcPr>
          <w:p w14:paraId="3C3C0EA4" w14:textId="77777777" w:rsidR="008037B6" w:rsidRPr="008037B6" w:rsidRDefault="008037B6" w:rsidP="008037B6">
            <w:pPr>
              <w:spacing w:before="20" w:after="20"/>
              <w:ind w:left="-1554" w:right="227"/>
              <w:jc w:val="right"/>
              <w:rPr>
                <w:rFonts w:eastAsia="Times New Roman"/>
                <w:sz w:val="18"/>
                <w:szCs w:val="20"/>
              </w:rPr>
            </w:pPr>
            <w:r w:rsidRPr="008037B6">
              <w:rPr>
                <w:rFonts w:eastAsia="Times New Roman"/>
                <w:sz w:val="18"/>
                <w:szCs w:val="20"/>
              </w:rPr>
              <w:t>33.2</w:t>
            </w:r>
          </w:p>
        </w:tc>
      </w:tr>
      <w:tr w:rsidR="008037B6" w:rsidRPr="008037B6" w14:paraId="0283D02C" w14:textId="77777777" w:rsidTr="008037B6">
        <w:trPr>
          <w:jc w:val="center"/>
        </w:trPr>
        <w:tc>
          <w:tcPr>
            <w:tcW w:w="2204" w:type="dxa"/>
            <w:tcBorders>
              <w:top w:val="nil"/>
              <w:bottom w:val="nil"/>
            </w:tcBorders>
            <w:shd w:val="clear" w:color="auto" w:fill="auto"/>
            <w:vAlign w:val="center"/>
          </w:tcPr>
          <w:p w14:paraId="198E6F7A" w14:textId="77777777" w:rsidR="008037B6" w:rsidRPr="008037B6" w:rsidRDefault="008037B6" w:rsidP="008037B6">
            <w:pPr>
              <w:spacing w:before="20" w:after="20"/>
              <w:jc w:val="both"/>
              <w:rPr>
                <w:rFonts w:eastAsia="Times New Roman"/>
                <w:sz w:val="18"/>
                <w:szCs w:val="20"/>
              </w:rPr>
            </w:pPr>
            <w:r w:rsidRPr="008037B6">
              <w:rPr>
                <w:rFonts w:eastAsia="Times New Roman"/>
                <w:sz w:val="18"/>
                <w:szCs w:val="20"/>
              </w:rPr>
              <w:t>Usos múltiples</w:t>
            </w:r>
          </w:p>
        </w:tc>
        <w:tc>
          <w:tcPr>
            <w:tcW w:w="1199" w:type="dxa"/>
            <w:tcBorders>
              <w:top w:val="nil"/>
              <w:bottom w:val="nil"/>
            </w:tcBorders>
            <w:shd w:val="clear" w:color="auto" w:fill="auto"/>
            <w:vAlign w:val="center"/>
          </w:tcPr>
          <w:p w14:paraId="08575924" w14:textId="77777777" w:rsidR="008037B6" w:rsidRPr="008037B6" w:rsidRDefault="008037B6" w:rsidP="008037B6">
            <w:pPr>
              <w:spacing w:before="20" w:after="20"/>
              <w:ind w:left="-1554" w:right="170"/>
              <w:jc w:val="right"/>
              <w:rPr>
                <w:rFonts w:eastAsia="Times New Roman"/>
                <w:sz w:val="18"/>
                <w:szCs w:val="20"/>
              </w:rPr>
            </w:pPr>
            <w:r w:rsidRPr="008037B6">
              <w:rPr>
                <w:rFonts w:eastAsia="Times New Roman"/>
                <w:sz w:val="18"/>
                <w:szCs w:val="20"/>
              </w:rPr>
              <w:t>16 445</w:t>
            </w:r>
          </w:p>
        </w:tc>
        <w:tc>
          <w:tcPr>
            <w:tcW w:w="1134" w:type="dxa"/>
            <w:tcBorders>
              <w:top w:val="nil"/>
              <w:bottom w:val="nil"/>
            </w:tcBorders>
            <w:shd w:val="clear" w:color="auto" w:fill="auto"/>
            <w:vAlign w:val="center"/>
          </w:tcPr>
          <w:p w14:paraId="1A0367F0" w14:textId="77777777" w:rsidR="008037B6" w:rsidRPr="008037B6" w:rsidRDefault="008037B6" w:rsidP="008037B6">
            <w:pPr>
              <w:spacing w:before="20" w:after="20"/>
              <w:ind w:left="-1554" w:right="170"/>
              <w:jc w:val="right"/>
              <w:rPr>
                <w:rFonts w:eastAsia="Times New Roman"/>
                <w:sz w:val="18"/>
                <w:szCs w:val="20"/>
              </w:rPr>
            </w:pPr>
            <w:r w:rsidRPr="008037B6">
              <w:rPr>
                <w:rFonts w:eastAsia="Times New Roman"/>
                <w:sz w:val="18"/>
                <w:szCs w:val="20"/>
              </w:rPr>
              <w:t>18 563</w:t>
            </w:r>
          </w:p>
        </w:tc>
        <w:tc>
          <w:tcPr>
            <w:tcW w:w="1179" w:type="dxa"/>
            <w:tcBorders>
              <w:top w:val="nil"/>
              <w:bottom w:val="nil"/>
            </w:tcBorders>
            <w:shd w:val="clear" w:color="auto" w:fill="auto"/>
            <w:vAlign w:val="center"/>
          </w:tcPr>
          <w:p w14:paraId="0FB71BF6" w14:textId="77777777" w:rsidR="008037B6" w:rsidRPr="008037B6" w:rsidRDefault="008037B6" w:rsidP="008037B6">
            <w:pPr>
              <w:spacing w:before="20" w:after="20"/>
              <w:ind w:left="-1554" w:right="227"/>
              <w:jc w:val="right"/>
              <w:rPr>
                <w:rFonts w:eastAsia="Times New Roman"/>
                <w:sz w:val="18"/>
                <w:szCs w:val="20"/>
              </w:rPr>
            </w:pPr>
            <w:r w:rsidRPr="008037B6">
              <w:rPr>
                <w:rFonts w:eastAsia="Times New Roman"/>
                <w:sz w:val="18"/>
                <w:szCs w:val="20"/>
              </w:rPr>
              <w:t>2 118</w:t>
            </w:r>
          </w:p>
        </w:tc>
        <w:tc>
          <w:tcPr>
            <w:tcW w:w="1134" w:type="dxa"/>
            <w:tcBorders>
              <w:top w:val="nil"/>
              <w:bottom w:val="nil"/>
            </w:tcBorders>
            <w:shd w:val="clear" w:color="auto" w:fill="auto"/>
            <w:vAlign w:val="center"/>
          </w:tcPr>
          <w:p w14:paraId="7EB86190" w14:textId="77777777" w:rsidR="008037B6" w:rsidRPr="008037B6" w:rsidRDefault="008037B6" w:rsidP="008037B6">
            <w:pPr>
              <w:spacing w:before="20" w:after="20"/>
              <w:ind w:left="-1554" w:right="227"/>
              <w:jc w:val="right"/>
              <w:rPr>
                <w:rFonts w:eastAsia="Times New Roman"/>
                <w:sz w:val="18"/>
                <w:szCs w:val="20"/>
              </w:rPr>
            </w:pPr>
            <w:r w:rsidRPr="008037B6">
              <w:rPr>
                <w:rFonts w:eastAsia="Times New Roman"/>
                <w:sz w:val="18"/>
                <w:szCs w:val="20"/>
              </w:rPr>
              <w:t>12.9</w:t>
            </w:r>
          </w:p>
        </w:tc>
      </w:tr>
      <w:tr w:rsidR="008037B6" w:rsidRPr="008037B6" w14:paraId="23F98C62" w14:textId="77777777" w:rsidTr="008037B6">
        <w:trPr>
          <w:jc w:val="center"/>
        </w:trPr>
        <w:tc>
          <w:tcPr>
            <w:tcW w:w="2204" w:type="dxa"/>
            <w:tcBorders>
              <w:top w:val="nil"/>
              <w:bottom w:val="nil"/>
            </w:tcBorders>
            <w:shd w:val="clear" w:color="auto" w:fill="auto"/>
            <w:vAlign w:val="center"/>
          </w:tcPr>
          <w:p w14:paraId="15D5C908" w14:textId="77777777" w:rsidR="008037B6" w:rsidRPr="008037B6" w:rsidRDefault="008037B6" w:rsidP="008037B6">
            <w:pPr>
              <w:spacing w:before="20" w:after="20"/>
              <w:jc w:val="both"/>
              <w:rPr>
                <w:rFonts w:eastAsia="Times New Roman"/>
                <w:sz w:val="18"/>
                <w:szCs w:val="20"/>
              </w:rPr>
            </w:pPr>
            <w:r w:rsidRPr="008037B6">
              <w:rPr>
                <w:rFonts w:eastAsia="Times New Roman"/>
                <w:sz w:val="18"/>
                <w:szCs w:val="20"/>
              </w:rPr>
              <w:t>Camiones ligeros</w:t>
            </w:r>
          </w:p>
        </w:tc>
        <w:tc>
          <w:tcPr>
            <w:tcW w:w="1199" w:type="dxa"/>
            <w:tcBorders>
              <w:top w:val="nil"/>
              <w:bottom w:val="nil"/>
            </w:tcBorders>
            <w:shd w:val="clear" w:color="auto" w:fill="auto"/>
            <w:vAlign w:val="center"/>
          </w:tcPr>
          <w:p w14:paraId="458DEF5B" w14:textId="77777777" w:rsidR="008037B6" w:rsidRPr="008037B6" w:rsidRDefault="008037B6" w:rsidP="008037B6">
            <w:pPr>
              <w:spacing w:before="20" w:after="20"/>
              <w:ind w:left="-1554" w:right="170"/>
              <w:jc w:val="right"/>
              <w:rPr>
                <w:rFonts w:eastAsia="Times New Roman"/>
                <w:sz w:val="18"/>
                <w:szCs w:val="20"/>
              </w:rPr>
            </w:pPr>
            <w:r w:rsidRPr="008037B6">
              <w:rPr>
                <w:rFonts w:eastAsia="Times New Roman"/>
                <w:sz w:val="18"/>
                <w:szCs w:val="20"/>
              </w:rPr>
              <w:t>11 546</w:t>
            </w:r>
          </w:p>
        </w:tc>
        <w:tc>
          <w:tcPr>
            <w:tcW w:w="1134" w:type="dxa"/>
            <w:tcBorders>
              <w:top w:val="nil"/>
              <w:bottom w:val="nil"/>
            </w:tcBorders>
            <w:shd w:val="clear" w:color="auto" w:fill="auto"/>
            <w:vAlign w:val="center"/>
          </w:tcPr>
          <w:p w14:paraId="7124506B" w14:textId="77777777" w:rsidR="008037B6" w:rsidRPr="008037B6" w:rsidRDefault="008037B6" w:rsidP="008037B6">
            <w:pPr>
              <w:spacing w:before="20" w:after="20"/>
              <w:ind w:left="-1554" w:right="170"/>
              <w:jc w:val="right"/>
              <w:rPr>
                <w:rFonts w:eastAsia="Times New Roman"/>
                <w:sz w:val="18"/>
                <w:szCs w:val="20"/>
              </w:rPr>
            </w:pPr>
            <w:r w:rsidRPr="008037B6">
              <w:rPr>
                <w:rFonts w:eastAsia="Times New Roman"/>
                <w:sz w:val="18"/>
                <w:szCs w:val="20"/>
              </w:rPr>
              <w:t>12 815</w:t>
            </w:r>
          </w:p>
        </w:tc>
        <w:tc>
          <w:tcPr>
            <w:tcW w:w="1179" w:type="dxa"/>
            <w:tcBorders>
              <w:top w:val="nil"/>
              <w:bottom w:val="nil"/>
            </w:tcBorders>
            <w:shd w:val="clear" w:color="auto" w:fill="auto"/>
            <w:vAlign w:val="center"/>
          </w:tcPr>
          <w:p w14:paraId="192E1B53" w14:textId="77777777" w:rsidR="008037B6" w:rsidRPr="008037B6" w:rsidRDefault="008037B6" w:rsidP="008037B6">
            <w:pPr>
              <w:spacing w:before="20" w:after="20"/>
              <w:ind w:left="-1554" w:right="227"/>
              <w:jc w:val="right"/>
              <w:rPr>
                <w:rFonts w:eastAsia="Times New Roman"/>
                <w:sz w:val="18"/>
                <w:szCs w:val="20"/>
              </w:rPr>
            </w:pPr>
            <w:r w:rsidRPr="008037B6">
              <w:rPr>
                <w:rFonts w:eastAsia="Times New Roman"/>
                <w:sz w:val="18"/>
                <w:szCs w:val="20"/>
              </w:rPr>
              <w:t>1 269</w:t>
            </w:r>
          </w:p>
        </w:tc>
        <w:tc>
          <w:tcPr>
            <w:tcW w:w="1134" w:type="dxa"/>
            <w:tcBorders>
              <w:top w:val="nil"/>
              <w:bottom w:val="nil"/>
            </w:tcBorders>
            <w:shd w:val="clear" w:color="auto" w:fill="auto"/>
            <w:vAlign w:val="center"/>
          </w:tcPr>
          <w:p w14:paraId="18DAFBC6" w14:textId="77777777" w:rsidR="008037B6" w:rsidRPr="008037B6" w:rsidRDefault="008037B6" w:rsidP="008037B6">
            <w:pPr>
              <w:spacing w:before="20" w:after="20"/>
              <w:ind w:left="-1554" w:right="227"/>
              <w:jc w:val="right"/>
              <w:rPr>
                <w:rFonts w:eastAsia="Times New Roman"/>
                <w:sz w:val="18"/>
                <w:szCs w:val="20"/>
              </w:rPr>
            </w:pPr>
            <w:r w:rsidRPr="008037B6">
              <w:rPr>
                <w:rFonts w:eastAsia="Times New Roman"/>
                <w:sz w:val="18"/>
                <w:szCs w:val="20"/>
              </w:rPr>
              <w:t>11.0</w:t>
            </w:r>
          </w:p>
        </w:tc>
      </w:tr>
      <w:tr w:rsidR="008037B6" w:rsidRPr="008037B6" w14:paraId="4204961F" w14:textId="77777777" w:rsidTr="008037B6">
        <w:trPr>
          <w:jc w:val="center"/>
        </w:trPr>
        <w:tc>
          <w:tcPr>
            <w:tcW w:w="2204" w:type="dxa"/>
            <w:tcBorders>
              <w:top w:val="nil"/>
              <w:bottom w:val="nil"/>
            </w:tcBorders>
            <w:shd w:val="clear" w:color="auto" w:fill="auto"/>
            <w:vAlign w:val="center"/>
          </w:tcPr>
          <w:p w14:paraId="378B60F2" w14:textId="77777777" w:rsidR="008037B6" w:rsidRPr="008037B6" w:rsidRDefault="008037B6" w:rsidP="008037B6">
            <w:pPr>
              <w:spacing w:before="20" w:after="20"/>
              <w:jc w:val="both"/>
              <w:rPr>
                <w:rFonts w:eastAsia="Times New Roman"/>
                <w:sz w:val="18"/>
                <w:szCs w:val="20"/>
              </w:rPr>
            </w:pPr>
            <w:r w:rsidRPr="008037B6">
              <w:rPr>
                <w:rFonts w:eastAsia="Times New Roman"/>
                <w:sz w:val="18"/>
                <w:szCs w:val="20"/>
              </w:rPr>
              <w:t>Camiones pesados*</w:t>
            </w:r>
          </w:p>
        </w:tc>
        <w:tc>
          <w:tcPr>
            <w:tcW w:w="1199" w:type="dxa"/>
            <w:tcBorders>
              <w:top w:val="nil"/>
              <w:bottom w:val="nil"/>
            </w:tcBorders>
            <w:shd w:val="clear" w:color="auto" w:fill="auto"/>
            <w:vAlign w:val="center"/>
          </w:tcPr>
          <w:p w14:paraId="7912F97B" w14:textId="77777777" w:rsidR="008037B6" w:rsidRPr="008037B6" w:rsidRDefault="008037B6" w:rsidP="008037B6">
            <w:pPr>
              <w:spacing w:before="20" w:after="20"/>
              <w:ind w:left="-1554" w:right="170"/>
              <w:jc w:val="right"/>
              <w:rPr>
                <w:rFonts w:eastAsia="Times New Roman"/>
                <w:sz w:val="18"/>
                <w:szCs w:val="20"/>
              </w:rPr>
            </w:pPr>
            <w:r w:rsidRPr="008037B6">
              <w:rPr>
                <w:rFonts w:eastAsia="Times New Roman"/>
                <w:sz w:val="18"/>
                <w:szCs w:val="20"/>
              </w:rPr>
              <w:t>131</w:t>
            </w:r>
          </w:p>
        </w:tc>
        <w:tc>
          <w:tcPr>
            <w:tcW w:w="1134" w:type="dxa"/>
            <w:tcBorders>
              <w:top w:val="nil"/>
              <w:bottom w:val="nil"/>
            </w:tcBorders>
            <w:shd w:val="clear" w:color="auto" w:fill="auto"/>
            <w:vAlign w:val="center"/>
          </w:tcPr>
          <w:p w14:paraId="67F9CE28" w14:textId="77777777" w:rsidR="008037B6" w:rsidRPr="008037B6" w:rsidRDefault="008037B6" w:rsidP="008037B6">
            <w:pPr>
              <w:spacing w:before="20" w:after="20"/>
              <w:ind w:left="-1554" w:right="170"/>
              <w:jc w:val="right"/>
              <w:rPr>
                <w:rFonts w:eastAsia="Times New Roman"/>
                <w:sz w:val="18"/>
                <w:szCs w:val="20"/>
              </w:rPr>
            </w:pPr>
            <w:r w:rsidRPr="008037B6">
              <w:rPr>
                <w:rFonts w:eastAsia="Times New Roman"/>
                <w:sz w:val="18"/>
                <w:szCs w:val="20"/>
              </w:rPr>
              <w:t>149</w:t>
            </w:r>
          </w:p>
        </w:tc>
        <w:tc>
          <w:tcPr>
            <w:tcW w:w="1179" w:type="dxa"/>
            <w:tcBorders>
              <w:top w:val="nil"/>
              <w:bottom w:val="nil"/>
            </w:tcBorders>
            <w:shd w:val="clear" w:color="auto" w:fill="auto"/>
            <w:vAlign w:val="center"/>
          </w:tcPr>
          <w:p w14:paraId="7566B2B7" w14:textId="77777777" w:rsidR="008037B6" w:rsidRPr="008037B6" w:rsidRDefault="008037B6" w:rsidP="008037B6">
            <w:pPr>
              <w:spacing w:before="20" w:after="20"/>
              <w:ind w:left="-1554" w:right="227"/>
              <w:jc w:val="right"/>
              <w:rPr>
                <w:rFonts w:eastAsia="Times New Roman"/>
                <w:sz w:val="18"/>
                <w:szCs w:val="20"/>
              </w:rPr>
            </w:pPr>
            <w:r w:rsidRPr="008037B6">
              <w:rPr>
                <w:rFonts w:eastAsia="Times New Roman"/>
                <w:sz w:val="18"/>
                <w:szCs w:val="20"/>
              </w:rPr>
              <w:t>18</w:t>
            </w:r>
          </w:p>
        </w:tc>
        <w:tc>
          <w:tcPr>
            <w:tcW w:w="1134" w:type="dxa"/>
            <w:tcBorders>
              <w:top w:val="nil"/>
              <w:bottom w:val="nil"/>
            </w:tcBorders>
            <w:shd w:val="clear" w:color="auto" w:fill="auto"/>
            <w:vAlign w:val="center"/>
          </w:tcPr>
          <w:p w14:paraId="7FE2FCAE" w14:textId="77777777" w:rsidR="008037B6" w:rsidRPr="008037B6" w:rsidRDefault="008037B6" w:rsidP="008037B6">
            <w:pPr>
              <w:spacing w:before="20" w:after="20"/>
              <w:ind w:left="-1554" w:right="227"/>
              <w:jc w:val="right"/>
              <w:rPr>
                <w:rFonts w:eastAsia="Times New Roman"/>
                <w:sz w:val="18"/>
                <w:szCs w:val="20"/>
              </w:rPr>
            </w:pPr>
            <w:r w:rsidRPr="008037B6">
              <w:rPr>
                <w:rFonts w:eastAsia="Times New Roman"/>
                <w:sz w:val="18"/>
                <w:szCs w:val="20"/>
              </w:rPr>
              <w:t>13.7</w:t>
            </w:r>
          </w:p>
        </w:tc>
      </w:tr>
      <w:tr w:rsidR="008037B6" w:rsidRPr="008037B6" w14:paraId="5437E95A" w14:textId="77777777" w:rsidTr="008037B6">
        <w:trPr>
          <w:jc w:val="center"/>
        </w:trPr>
        <w:tc>
          <w:tcPr>
            <w:tcW w:w="2204" w:type="dxa"/>
            <w:tcBorders>
              <w:top w:val="nil"/>
              <w:bottom w:val="single" w:sz="4" w:space="0" w:color="auto"/>
            </w:tcBorders>
            <w:shd w:val="clear" w:color="auto" w:fill="auto"/>
            <w:vAlign w:val="center"/>
          </w:tcPr>
          <w:p w14:paraId="4500074A" w14:textId="77777777" w:rsidR="008037B6" w:rsidRPr="008037B6" w:rsidRDefault="008037B6" w:rsidP="008037B6">
            <w:pPr>
              <w:spacing w:before="20" w:after="20"/>
              <w:jc w:val="both"/>
              <w:rPr>
                <w:rFonts w:eastAsia="Times New Roman"/>
                <w:b/>
                <w:sz w:val="18"/>
                <w:szCs w:val="20"/>
              </w:rPr>
            </w:pPr>
            <w:r w:rsidRPr="008037B6">
              <w:rPr>
                <w:rFonts w:eastAsia="Times New Roman"/>
                <w:b/>
                <w:sz w:val="18"/>
                <w:szCs w:val="20"/>
              </w:rPr>
              <w:t>Total</w:t>
            </w:r>
          </w:p>
        </w:tc>
        <w:tc>
          <w:tcPr>
            <w:tcW w:w="1199" w:type="dxa"/>
            <w:tcBorders>
              <w:top w:val="nil"/>
              <w:bottom w:val="single" w:sz="4" w:space="0" w:color="auto"/>
            </w:tcBorders>
            <w:shd w:val="clear" w:color="auto" w:fill="auto"/>
            <w:vAlign w:val="center"/>
          </w:tcPr>
          <w:p w14:paraId="2D248E88" w14:textId="77777777" w:rsidR="008037B6" w:rsidRPr="008037B6" w:rsidRDefault="008037B6" w:rsidP="008037B6">
            <w:pPr>
              <w:spacing w:before="20" w:after="20"/>
              <w:ind w:left="-1554" w:right="170"/>
              <w:jc w:val="right"/>
              <w:rPr>
                <w:rFonts w:eastAsia="Times New Roman"/>
                <w:b/>
                <w:sz w:val="18"/>
                <w:szCs w:val="20"/>
              </w:rPr>
            </w:pPr>
            <w:r w:rsidRPr="008037B6">
              <w:rPr>
                <w:rFonts w:eastAsia="Times New Roman"/>
                <w:b/>
                <w:sz w:val="18"/>
                <w:szCs w:val="20"/>
              </w:rPr>
              <w:t>79 938</w:t>
            </w:r>
          </w:p>
        </w:tc>
        <w:tc>
          <w:tcPr>
            <w:tcW w:w="1134" w:type="dxa"/>
            <w:tcBorders>
              <w:top w:val="nil"/>
              <w:bottom w:val="single" w:sz="4" w:space="0" w:color="auto"/>
            </w:tcBorders>
            <w:shd w:val="clear" w:color="auto" w:fill="auto"/>
            <w:vAlign w:val="center"/>
          </w:tcPr>
          <w:p w14:paraId="6E7CB96A" w14:textId="77777777" w:rsidR="008037B6" w:rsidRPr="008037B6" w:rsidRDefault="008037B6" w:rsidP="008037B6">
            <w:pPr>
              <w:spacing w:before="20" w:after="20"/>
              <w:ind w:left="-1554" w:right="170"/>
              <w:jc w:val="right"/>
              <w:rPr>
                <w:rFonts w:eastAsia="Times New Roman"/>
                <w:b/>
                <w:sz w:val="18"/>
                <w:szCs w:val="20"/>
              </w:rPr>
            </w:pPr>
            <w:r w:rsidRPr="008037B6">
              <w:rPr>
                <w:rFonts w:eastAsia="Times New Roman"/>
                <w:b/>
                <w:sz w:val="18"/>
                <w:szCs w:val="20"/>
              </w:rPr>
              <w:t>97 558</w:t>
            </w:r>
          </w:p>
        </w:tc>
        <w:tc>
          <w:tcPr>
            <w:tcW w:w="1179" w:type="dxa"/>
            <w:tcBorders>
              <w:top w:val="nil"/>
              <w:bottom w:val="single" w:sz="4" w:space="0" w:color="auto"/>
            </w:tcBorders>
            <w:shd w:val="clear" w:color="auto" w:fill="auto"/>
            <w:vAlign w:val="center"/>
          </w:tcPr>
          <w:p w14:paraId="41E218AF" w14:textId="77777777" w:rsidR="008037B6" w:rsidRPr="008037B6" w:rsidRDefault="008037B6" w:rsidP="008037B6">
            <w:pPr>
              <w:spacing w:before="20" w:after="20"/>
              <w:ind w:left="-1554" w:right="227"/>
              <w:jc w:val="right"/>
              <w:rPr>
                <w:rFonts w:eastAsia="Times New Roman"/>
                <w:b/>
                <w:sz w:val="18"/>
                <w:szCs w:val="20"/>
              </w:rPr>
            </w:pPr>
            <w:r w:rsidRPr="008037B6">
              <w:rPr>
                <w:rFonts w:eastAsia="Times New Roman"/>
                <w:b/>
                <w:sz w:val="18"/>
                <w:szCs w:val="20"/>
              </w:rPr>
              <w:t>17 620</w:t>
            </w:r>
          </w:p>
        </w:tc>
        <w:tc>
          <w:tcPr>
            <w:tcW w:w="1134" w:type="dxa"/>
            <w:tcBorders>
              <w:top w:val="nil"/>
              <w:bottom w:val="single" w:sz="4" w:space="0" w:color="auto"/>
            </w:tcBorders>
            <w:shd w:val="clear" w:color="auto" w:fill="auto"/>
            <w:vAlign w:val="center"/>
          </w:tcPr>
          <w:p w14:paraId="19D9D11C" w14:textId="77777777" w:rsidR="008037B6" w:rsidRPr="008037B6" w:rsidRDefault="008037B6" w:rsidP="008037B6">
            <w:pPr>
              <w:spacing w:before="20" w:after="20"/>
              <w:ind w:left="-1554" w:right="227"/>
              <w:jc w:val="right"/>
              <w:rPr>
                <w:rFonts w:eastAsia="Times New Roman"/>
                <w:b/>
                <w:sz w:val="18"/>
                <w:szCs w:val="20"/>
              </w:rPr>
            </w:pPr>
            <w:r w:rsidRPr="008037B6">
              <w:rPr>
                <w:rFonts w:eastAsia="Times New Roman"/>
                <w:b/>
                <w:sz w:val="18"/>
                <w:szCs w:val="20"/>
              </w:rPr>
              <w:t>22.0</w:t>
            </w:r>
          </w:p>
        </w:tc>
      </w:tr>
      <w:tr w:rsidR="008037B6" w:rsidRPr="008037B6" w14:paraId="65FAF647" w14:textId="77777777" w:rsidTr="008037B6">
        <w:trPr>
          <w:jc w:val="center"/>
        </w:trPr>
        <w:tc>
          <w:tcPr>
            <w:tcW w:w="6850" w:type="dxa"/>
            <w:gridSpan w:val="5"/>
            <w:tcBorders>
              <w:top w:val="single" w:sz="4" w:space="0" w:color="auto"/>
              <w:left w:val="nil"/>
              <w:bottom w:val="nil"/>
              <w:right w:val="nil"/>
            </w:tcBorders>
            <w:shd w:val="clear" w:color="auto" w:fill="auto"/>
            <w:vAlign w:val="center"/>
          </w:tcPr>
          <w:p w14:paraId="7FFFF4CA" w14:textId="77777777" w:rsidR="008037B6" w:rsidRPr="008037B6" w:rsidRDefault="008037B6" w:rsidP="008037B6">
            <w:pPr>
              <w:ind w:left="-45"/>
              <w:rPr>
                <w:rFonts w:eastAsia="Times New Roman"/>
                <w:sz w:val="20"/>
                <w:szCs w:val="20"/>
              </w:rPr>
            </w:pPr>
            <w:r w:rsidRPr="008037B6">
              <w:rPr>
                <w:rFonts w:eastAsia="Times New Roman"/>
                <w:sz w:val="20"/>
                <w:szCs w:val="20"/>
              </w:rPr>
              <w:t>* Camiones pesados incluye: F450, F550.</w:t>
            </w:r>
          </w:p>
          <w:p w14:paraId="195ED415" w14:textId="77777777" w:rsidR="008037B6" w:rsidRPr="008037B6" w:rsidRDefault="008037B6" w:rsidP="008037B6">
            <w:pPr>
              <w:ind w:right="-159"/>
              <w:jc w:val="both"/>
              <w:rPr>
                <w:rFonts w:eastAsia="Times New Roman"/>
                <w:b/>
                <w:sz w:val="20"/>
                <w:szCs w:val="20"/>
              </w:rPr>
            </w:pPr>
            <w:r w:rsidRPr="008037B6">
              <w:rPr>
                <w:rFonts w:eastAsia="Times New Roman"/>
                <w:sz w:val="20"/>
                <w:szCs w:val="20"/>
              </w:rPr>
              <w:t>FUENTE: AMDA.</w:t>
            </w:r>
          </w:p>
        </w:tc>
      </w:tr>
    </w:tbl>
    <w:p w14:paraId="67C6FB06" w14:textId="77777777" w:rsidR="008037B6" w:rsidRDefault="008037B6" w:rsidP="008037B6">
      <w:pPr>
        <w:spacing w:after="240" w:line="360" w:lineRule="auto"/>
        <w:ind w:right="-159"/>
        <w:jc w:val="both"/>
        <w:rPr>
          <w:rFonts w:eastAsia="Times New Roman"/>
          <w:sz w:val="26"/>
          <w:szCs w:val="26"/>
        </w:rPr>
      </w:pPr>
    </w:p>
    <w:p w14:paraId="147AE81D" w14:textId="77777777" w:rsidR="00FE6CAE" w:rsidRDefault="00FE6CAE" w:rsidP="008037B6">
      <w:pPr>
        <w:spacing w:after="240" w:line="360" w:lineRule="auto"/>
        <w:ind w:right="-159"/>
        <w:jc w:val="both"/>
        <w:rPr>
          <w:rFonts w:eastAsia="Times New Roman"/>
          <w:sz w:val="26"/>
          <w:szCs w:val="26"/>
        </w:rPr>
      </w:pPr>
    </w:p>
    <w:p w14:paraId="4A27579B" w14:textId="77777777" w:rsidR="00FE6CAE" w:rsidRPr="008037B6" w:rsidRDefault="00FE6CAE" w:rsidP="008037B6">
      <w:pPr>
        <w:spacing w:after="240" w:line="360" w:lineRule="auto"/>
        <w:ind w:right="-159"/>
        <w:jc w:val="both"/>
        <w:rPr>
          <w:rFonts w:eastAsia="Times New Roman"/>
          <w:sz w:val="26"/>
          <w:szCs w:val="26"/>
        </w:rPr>
      </w:pPr>
    </w:p>
    <w:p w14:paraId="57991156" w14:textId="77777777" w:rsidR="008037B6" w:rsidRPr="008037B6" w:rsidRDefault="008037B6" w:rsidP="008037B6">
      <w:pPr>
        <w:spacing w:after="360" w:line="360" w:lineRule="auto"/>
        <w:ind w:right="-159"/>
        <w:jc w:val="both"/>
        <w:rPr>
          <w:rFonts w:eastAsia="Times New Roman"/>
          <w:sz w:val="26"/>
          <w:szCs w:val="26"/>
        </w:rPr>
      </w:pPr>
      <w:r w:rsidRPr="008037B6">
        <w:rPr>
          <w:rFonts w:eastAsia="Times New Roman"/>
          <w:sz w:val="26"/>
          <w:szCs w:val="26"/>
        </w:rPr>
        <w:lastRenderedPageBreak/>
        <w:t>En febrero de 2015 se registra la segunda tasa positiva en lo que va del año.</w:t>
      </w:r>
    </w:p>
    <w:tbl>
      <w:tblPr>
        <w:tblW w:w="8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6"/>
        <w:gridCol w:w="1199"/>
        <w:gridCol w:w="1187"/>
        <w:gridCol w:w="1081"/>
        <w:gridCol w:w="1252"/>
        <w:gridCol w:w="1110"/>
        <w:gridCol w:w="1176"/>
      </w:tblGrid>
      <w:tr w:rsidR="008037B6" w:rsidRPr="008037B6" w14:paraId="06D29BCA" w14:textId="77777777" w:rsidTr="008037B6">
        <w:trPr>
          <w:jc w:val="center"/>
        </w:trPr>
        <w:tc>
          <w:tcPr>
            <w:tcW w:w="8961" w:type="dxa"/>
            <w:gridSpan w:val="7"/>
            <w:tcBorders>
              <w:top w:val="nil"/>
              <w:left w:val="nil"/>
              <w:bottom w:val="single" w:sz="4" w:space="0" w:color="auto"/>
              <w:right w:val="nil"/>
            </w:tcBorders>
          </w:tcPr>
          <w:p w14:paraId="3D135AB9" w14:textId="77777777" w:rsidR="008037B6" w:rsidRPr="008037B6" w:rsidRDefault="008037B6" w:rsidP="008037B6">
            <w:pPr>
              <w:jc w:val="center"/>
              <w:rPr>
                <w:rFonts w:eastAsia="Times New Roman"/>
                <w:b/>
                <w:sz w:val="22"/>
                <w:szCs w:val="22"/>
              </w:rPr>
            </w:pPr>
            <w:r w:rsidRPr="008037B6">
              <w:rPr>
                <w:rFonts w:eastAsia="Times New Roman"/>
                <w:b/>
                <w:sz w:val="22"/>
                <w:szCs w:val="22"/>
              </w:rPr>
              <w:t xml:space="preserve">VEHÍCULOS LIGEROS COMERCIALIZADOS </w:t>
            </w:r>
          </w:p>
          <w:p w14:paraId="2A8C4B91" w14:textId="77777777" w:rsidR="008037B6" w:rsidRPr="008037B6" w:rsidRDefault="008037B6" w:rsidP="008037B6">
            <w:pPr>
              <w:ind w:right="-159"/>
              <w:jc w:val="center"/>
              <w:rPr>
                <w:rFonts w:eastAsia="Times New Roman"/>
                <w:b/>
                <w:sz w:val="22"/>
                <w:szCs w:val="22"/>
              </w:rPr>
            </w:pPr>
            <w:r w:rsidRPr="008037B6">
              <w:rPr>
                <w:rFonts w:eastAsia="Times New Roman"/>
                <w:b/>
                <w:sz w:val="22"/>
                <w:szCs w:val="22"/>
              </w:rPr>
              <w:t>DE ENERO A FEBRERO DE 2015 Y 2014</w:t>
            </w:r>
          </w:p>
          <w:p w14:paraId="633BC3C7" w14:textId="77777777" w:rsidR="008037B6" w:rsidRPr="008037B6" w:rsidRDefault="008037B6" w:rsidP="008037B6">
            <w:pPr>
              <w:ind w:right="-159"/>
              <w:jc w:val="center"/>
              <w:rPr>
                <w:rFonts w:eastAsia="Times New Roman"/>
                <w:sz w:val="26"/>
                <w:szCs w:val="26"/>
                <w:lang w:val="es-ES"/>
              </w:rPr>
            </w:pPr>
            <w:r w:rsidRPr="008037B6">
              <w:rPr>
                <w:rFonts w:eastAsia="Times New Roman"/>
                <w:b/>
                <w:sz w:val="22"/>
                <w:szCs w:val="22"/>
              </w:rPr>
              <w:t>-Ventas totales de vehículos ligeros en el país-</w:t>
            </w:r>
          </w:p>
        </w:tc>
      </w:tr>
      <w:tr w:rsidR="008037B6" w:rsidRPr="008037B6" w14:paraId="243454B0" w14:textId="77777777" w:rsidTr="008037B6">
        <w:trPr>
          <w:jc w:val="center"/>
        </w:trPr>
        <w:tc>
          <w:tcPr>
            <w:tcW w:w="1956" w:type="dxa"/>
            <w:vMerge w:val="restart"/>
            <w:tcBorders>
              <w:bottom w:val="single" w:sz="4" w:space="0" w:color="auto"/>
            </w:tcBorders>
            <w:shd w:val="clear" w:color="auto" w:fill="auto"/>
            <w:vAlign w:val="center"/>
          </w:tcPr>
          <w:p w14:paraId="58AF3679" w14:textId="77777777" w:rsidR="008037B6" w:rsidRPr="008037B6" w:rsidRDefault="008037B6" w:rsidP="008037B6">
            <w:pPr>
              <w:spacing w:before="20" w:after="20"/>
              <w:jc w:val="center"/>
              <w:rPr>
                <w:rFonts w:eastAsia="Times New Roman"/>
                <w:b/>
                <w:sz w:val="18"/>
                <w:szCs w:val="18"/>
              </w:rPr>
            </w:pPr>
            <w:r w:rsidRPr="008037B6">
              <w:rPr>
                <w:rFonts w:eastAsia="Times New Roman"/>
                <w:b/>
                <w:sz w:val="18"/>
                <w:szCs w:val="18"/>
              </w:rPr>
              <w:t>Segmento</w:t>
            </w:r>
          </w:p>
        </w:tc>
        <w:tc>
          <w:tcPr>
            <w:tcW w:w="1199" w:type="dxa"/>
            <w:vMerge w:val="restart"/>
            <w:tcBorders>
              <w:bottom w:val="single" w:sz="4" w:space="0" w:color="auto"/>
            </w:tcBorders>
            <w:shd w:val="clear" w:color="auto" w:fill="auto"/>
            <w:vAlign w:val="center"/>
          </w:tcPr>
          <w:p w14:paraId="54C9B299" w14:textId="77777777" w:rsidR="008037B6" w:rsidRPr="008037B6" w:rsidRDefault="008037B6" w:rsidP="008037B6">
            <w:pPr>
              <w:spacing w:before="20" w:after="20"/>
              <w:jc w:val="center"/>
              <w:rPr>
                <w:rFonts w:eastAsia="Times New Roman"/>
                <w:b/>
                <w:sz w:val="18"/>
                <w:szCs w:val="18"/>
              </w:rPr>
            </w:pPr>
            <w:r w:rsidRPr="008037B6">
              <w:rPr>
                <w:rFonts w:eastAsia="Times New Roman"/>
                <w:b/>
                <w:sz w:val="18"/>
                <w:szCs w:val="18"/>
              </w:rPr>
              <w:t>2014</w:t>
            </w:r>
          </w:p>
        </w:tc>
        <w:tc>
          <w:tcPr>
            <w:tcW w:w="1187" w:type="dxa"/>
            <w:vMerge w:val="restart"/>
            <w:tcBorders>
              <w:bottom w:val="single" w:sz="4" w:space="0" w:color="auto"/>
            </w:tcBorders>
            <w:vAlign w:val="center"/>
          </w:tcPr>
          <w:p w14:paraId="58D56DF9" w14:textId="77777777" w:rsidR="008037B6" w:rsidRPr="008037B6" w:rsidRDefault="008037B6" w:rsidP="008037B6">
            <w:pPr>
              <w:spacing w:before="20" w:after="20"/>
              <w:jc w:val="center"/>
              <w:rPr>
                <w:rFonts w:eastAsia="Times New Roman"/>
                <w:b/>
                <w:sz w:val="18"/>
                <w:szCs w:val="18"/>
              </w:rPr>
            </w:pPr>
            <w:r w:rsidRPr="008037B6">
              <w:rPr>
                <w:rFonts w:eastAsia="Times New Roman"/>
                <w:b/>
                <w:sz w:val="18"/>
                <w:szCs w:val="18"/>
              </w:rPr>
              <w:t>Estructura</w:t>
            </w:r>
          </w:p>
          <w:p w14:paraId="0EE8D3DC" w14:textId="77777777" w:rsidR="008037B6" w:rsidRPr="008037B6" w:rsidRDefault="008037B6" w:rsidP="008037B6">
            <w:pPr>
              <w:spacing w:before="20" w:after="20"/>
              <w:jc w:val="center"/>
              <w:rPr>
                <w:rFonts w:eastAsia="Times New Roman"/>
                <w:b/>
                <w:sz w:val="18"/>
                <w:szCs w:val="18"/>
              </w:rPr>
            </w:pPr>
            <w:r w:rsidRPr="008037B6">
              <w:rPr>
                <w:rFonts w:eastAsia="Times New Roman"/>
                <w:b/>
                <w:sz w:val="18"/>
                <w:szCs w:val="18"/>
              </w:rPr>
              <w:t>%</w:t>
            </w:r>
          </w:p>
        </w:tc>
        <w:tc>
          <w:tcPr>
            <w:tcW w:w="1081" w:type="dxa"/>
            <w:vMerge w:val="restart"/>
            <w:tcBorders>
              <w:bottom w:val="single" w:sz="4" w:space="0" w:color="auto"/>
            </w:tcBorders>
            <w:shd w:val="clear" w:color="auto" w:fill="auto"/>
            <w:vAlign w:val="center"/>
          </w:tcPr>
          <w:p w14:paraId="15144FB4" w14:textId="77777777" w:rsidR="008037B6" w:rsidRPr="008037B6" w:rsidRDefault="008037B6" w:rsidP="008037B6">
            <w:pPr>
              <w:spacing w:before="20" w:after="20"/>
              <w:jc w:val="center"/>
              <w:rPr>
                <w:rFonts w:eastAsia="Times New Roman"/>
                <w:b/>
                <w:sz w:val="18"/>
                <w:szCs w:val="18"/>
              </w:rPr>
            </w:pPr>
            <w:r w:rsidRPr="008037B6">
              <w:rPr>
                <w:rFonts w:eastAsia="Times New Roman"/>
                <w:b/>
                <w:sz w:val="18"/>
                <w:szCs w:val="18"/>
              </w:rPr>
              <w:t>2015</w:t>
            </w:r>
          </w:p>
        </w:tc>
        <w:tc>
          <w:tcPr>
            <w:tcW w:w="1252" w:type="dxa"/>
            <w:vMerge w:val="restart"/>
            <w:tcBorders>
              <w:bottom w:val="single" w:sz="4" w:space="0" w:color="auto"/>
            </w:tcBorders>
            <w:vAlign w:val="center"/>
          </w:tcPr>
          <w:p w14:paraId="47426962" w14:textId="77777777" w:rsidR="008037B6" w:rsidRPr="008037B6" w:rsidRDefault="008037B6" w:rsidP="008037B6">
            <w:pPr>
              <w:spacing w:before="20" w:after="20"/>
              <w:jc w:val="center"/>
              <w:rPr>
                <w:rFonts w:eastAsia="Times New Roman"/>
                <w:b/>
                <w:sz w:val="18"/>
                <w:szCs w:val="18"/>
              </w:rPr>
            </w:pPr>
            <w:r w:rsidRPr="008037B6">
              <w:rPr>
                <w:rFonts w:eastAsia="Times New Roman"/>
                <w:b/>
                <w:sz w:val="18"/>
                <w:szCs w:val="18"/>
              </w:rPr>
              <w:t>Estructura</w:t>
            </w:r>
          </w:p>
          <w:p w14:paraId="59D1A8E5" w14:textId="77777777" w:rsidR="008037B6" w:rsidRPr="008037B6" w:rsidRDefault="008037B6" w:rsidP="008037B6">
            <w:pPr>
              <w:spacing w:before="20" w:after="20"/>
              <w:jc w:val="center"/>
              <w:rPr>
                <w:rFonts w:eastAsia="Times New Roman"/>
                <w:b/>
                <w:sz w:val="18"/>
                <w:szCs w:val="18"/>
              </w:rPr>
            </w:pPr>
            <w:r w:rsidRPr="008037B6">
              <w:rPr>
                <w:rFonts w:eastAsia="Times New Roman"/>
                <w:b/>
                <w:sz w:val="18"/>
                <w:szCs w:val="18"/>
              </w:rPr>
              <w:t>%</w:t>
            </w:r>
          </w:p>
        </w:tc>
        <w:tc>
          <w:tcPr>
            <w:tcW w:w="2286" w:type="dxa"/>
            <w:gridSpan w:val="2"/>
            <w:tcBorders>
              <w:bottom w:val="single" w:sz="4" w:space="0" w:color="auto"/>
            </w:tcBorders>
            <w:shd w:val="clear" w:color="auto" w:fill="auto"/>
            <w:vAlign w:val="center"/>
          </w:tcPr>
          <w:p w14:paraId="5B49404B" w14:textId="77777777" w:rsidR="008037B6" w:rsidRPr="008037B6" w:rsidRDefault="008037B6" w:rsidP="008037B6">
            <w:pPr>
              <w:spacing w:before="20" w:after="20"/>
              <w:jc w:val="center"/>
              <w:rPr>
                <w:rFonts w:eastAsia="Times New Roman"/>
                <w:b/>
                <w:sz w:val="18"/>
                <w:szCs w:val="18"/>
              </w:rPr>
            </w:pPr>
            <w:r w:rsidRPr="008037B6">
              <w:rPr>
                <w:rFonts w:eastAsia="Times New Roman"/>
                <w:b/>
                <w:sz w:val="18"/>
                <w:szCs w:val="18"/>
              </w:rPr>
              <w:t>Variación</w:t>
            </w:r>
          </w:p>
        </w:tc>
      </w:tr>
      <w:tr w:rsidR="008037B6" w:rsidRPr="008037B6" w14:paraId="41795FBB" w14:textId="77777777" w:rsidTr="008037B6">
        <w:trPr>
          <w:jc w:val="center"/>
        </w:trPr>
        <w:tc>
          <w:tcPr>
            <w:tcW w:w="1956" w:type="dxa"/>
            <w:vMerge/>
            <w:tcBorders>
              <w:top w:val="single" w:sz="4" w:space="0" w:color="auto"/>
              <w:bottom w:val="single" w:sz="4" w:space="0" w:color="auto"/>
            </w:tcBorders>
            <w:shd w:val="clear" w:color="auto" w:fill="auto"/>
            <w:vAlign w:val="center"/>
          </w:tcPr>
          <w:p w14:paraId="06A1BCCE" w14:textId="77777777" w:rsidR="008037B6" w:rsidRPr="008037B6" w:rsidRDefault="008037B6" w:rsidP="008037B6">
            <w:pPr>
              <w:spacing w:before="20" w:after="20"/>
              <w:jc w:val="center"/>
              <w:rPr>
                <w:rFonts w:eastAsia="Times New Roman"/>
                <w:b/>
                <w:sz w:val="18"/>
                <w:szCs w:val="18"/>
              </w:rPr>
            </w:pPr>
          </w:p>
        </w:tc>
        <w:tc>
          <w:tcPr>
            <w:tcW w:w="1199" w:type="dxa"/>
            <w:vMerge/>
            <w:tcBorders>
              <w:top w:val="single" w:sz="4" w:space="0" w:color="auto"/>
              <w:bottom w:val="single" w:sz="4" w:space="0" w:color="auto"/>
            </w:tcBorders>
            <w:shd w:val="clear" w:color="auto" w:fill="auto"/>
            <w:vAlign w:val="center"/>
          </w:tcPr>
          <w:p w14:paraId="05D4EEA6" w14:textId="77777777" w:rsidR="008037B6" w:rsidRPr="008037B6" w:rsidRDefault="008037B6" w:rsidP="008037B6">
            <w:pPr>
              <w:spacing w:before="20" w:after="20"/>
              <w:jc w:val="center"/>
              <w:rPr>
                <w:rFonts w:eastAsia="Times New Roman"/>
                <w:b/>
                <w:sz w:val="18"/>
                <w:szCs w:val="18"/>
              </w:rPr>
            </w:pPr>
          </w:p>
        </w:tc>
        <w:tc>
          <w:tcPr>
            <w:tcW w:w="1187" w:type="dxa"/>
            <w:vMerge/>
            <w:tcBorders>
              <w:top w:val="single" w:sz="4" w:space="0" w:color="auto"/>
              <w:bottom w:val="single" w:sz="4" w:space="0" w:color="auto"/>
            </w:tcBorders>
            <w:vAlign w:val="center"/>
          </w:tcPr>
          <w:p w14:paraId="54D4188A" w14:textId="77777777" w:rsidR="008037B6" w:rsidRPr="008037B6" w:rsidRDefault="008037B6" w:rsidP="008037B6">
            <w:pPr>
              <w:spacing w:before="20" w:after="20"/>
              <w:jc w:val="center"/>
              <w:rPr>
                <w:rFonts w:eastAsia="Times New Roman"/>
                <w:b/>
                <w:sz w:val="18"/>
                <w:szCs w:val="18"/>
              </w:rPr>
            </w:pPr>
          </w:p>
        </w:tc>
        <w:tc>
          <w:tcPr>
            <w:tcW w:w="1081" w:type="dxa"/>
            <w:vMerge/>
            <w:tcBorders>
              <w:top w:val="single" w:sz="4" w:space="0" w:color="auto"/>
              <w:bottom w:val="single" w:sz="4" w:space="0" w:color="auto"/>
            </w:tcBorders>
            <w:shd w:val="clear" w:color="auto" w:fill="auto"/>
            <w:vAlign w:val="center"/>
          </w:tcPr>
          <w:p w14:paraId="67BE55D9" w14:textId="77777777" w:rsidR="008037B6" w:rsidRPr="008037B6" w:rsidRDefault="008037B6" w:rsidP="008037B6">
            <w:pPr>
              <w:spacing w:before="20" w:after="20"/>
              <w:jc w:val="center"/>
              <w:rPr>
                <w:rFonts w:eastAsia="Times New Roman"/>
                <w:b/>
                <w:sz w:val="18"/>
                <w:szCs w:val="18"/>
              </w:rPr>
            </w:pPr>
          </w:p>
        </w:tc>
        <w:tc>
          <w:tcPr>
            <w:tcW w:w="1252" w:type="dxa"/>
            <w:vMerge/>
            <w:tcBorders>
              <w:top w:val="single" w:sz="4" w:space="0" w:color="auto"/>
              <w:bottom w:val="single" w:sz="4" w:space="0" w:color="auto"/>
            </w:tcBorders>
            <w:vAlign w:val="center"/>
          </w:tcPr>
          <w:p w14:paraId="0BF05F5F" w14:textId="77777777" w:rsidR="008037B6" w:rsidRPr="008037B6" w:rsidRDefault="008037B6" w:rsidP="008037B6">
            <w:pPr>
              <w:spacing w:before="20" w:after="20"/>
              <w:jc w:val="center"/>
              <w:rPr>
                <w:rFonts w:eastAsia="Times New Roman"/>
                <w:b/>
                <w:sz w:val="18"/>
                <w:szCs w:val="18"/>
              </w:rPr>
            </w:pPr>
          </w:p>
        </w:tc>
        <w:tc>
          <w:tcPr>
            <w:tcW w:w="1110" w:type="dxa"/>
            <w:tcBorders>
              <w:top w:val="single" w:sz="4" w:space="0" w:color="auto"/>
              <w:bottom w:val="single" w:sz="4" w:space="0" w:color="auto"/>
            </w:tcBorders>
            <w:shd w:val="clear" w:color="auto" w:fill="auto"/>
            <w:vAlign w:val="center"/>
          </w:tcPr>
          <w:p w14:paraId="1F876474" w14:textId="77777777" w:rsidR="008037B6" w:rsidRPr="008037B6" w:rsidRDefault="008037B6" w:rsidP="008037B6">
            <w:pPr>
              <w:spacing w:before="20" w:after="20"/>
              <w:jc w:val="center"/>
              <w:rPr>
                <w:rFonts w:eastAsia="Times New Roman"/>
                <w:b/>
                <w:sz w:val="18"/>
                <w:szCs w:val="18"/>
              </w:rPr>
            </w:pPr>
            <w:r w:rsidRPr="008037B6">
              <w:rPr>
                <w:rFonts w:eastAsia="Times New Roman"/>
                <w:b/>
                <w:sz w:val="18"/>
                <w:szCs w:val="18"/>
              </w:rPr>
              <w:t>Absoluta</w:t>
            </w:r>
          </w:p>
        </w:tc>
        <w:tc>
          <w:tcPr>
            <w:tcW w:w="1176" w:type="dxa"/>
            <w:tcBorders>
              <w:top w:val="single" w:sz="4" w:space="0" w:color="auto"/>
              <w:bottom w:val="single" w:sz="4" w:space="0" w:color="auto"/>
            </w:tcBorders>
            <w:shd w:val="clear" w:color="auto" w:fill="auto"/>
            <w:vAlign w:val="center"/>
          </w:tcPr>
          <w:p w14:paraId="28257EAC" w14:textId="77777777" w:rsidR="008037B6" w:rsidRPr="008037B6" w:rsidRDefault="008037B6" w:rsidP="008037B6">
            <w:pPr>
              <w:spacing w:before="20" w:after="20"/>
              <w:jc w:val="center"/>
              <w:rPr>
                <w:rFonts w:eastAsia="Times New Roman"/>
                <w:b/>
                <w:sz w:val="18"/>
                <w:szCs w:val="18"/>
              </w:rPr>
            </w:pPr>
            <w:r w:rsidRPr="008037B6">
              <w:rPr>
                <w:rFonts w:eastAsia="Times New Roman"/>
                <w:b/>
                <w:sz w:val="18"/>
                <w:szCs w:val="18"/>
              </w:rPr>
              <w:t>Relativa (%)</w:t>
            </w:r>
          </w:p>
        </w:tc>
      </w:tr>
      <w:tr w:rsidR="008037B6" w:rsidRPr="008037B6" w14:paraId="49A6286A" w14:textId="77777777" w:rsidTr="008037B6">
        <w:trPr>
          <w:jc w:val="center"/>
        </w:trPr>
        <w:tc>
          <w:tcPr>
            <w:tcW w:w="1956" w:type="dxa"/>
            <w:tcBorders>
              <w:top w:val="single" w:sz="4" w:space="0" w:color="auto"/>
              <w:bottom w:val="nil"/>
            </w:tcBorders>
            <w:shd w:val="clear" w:color="auto" w:fill="auto"/>
            <w:vAlign w:val="center"/>
          </w:tcPr>
          <w:p w14:paraId="685A5B34"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Subcompactos</w:t>
            </w:r>
          </w:p>
        </w:tc>
        <w:tc>
          <w:tcPr>
            <w:tcW w:w="1199" w:type="dxa"/>
            <w:tcBorders>
              <w:top w:val="single" w:sz="4" w:space="0" w:color="auto"/>
              <w:bottom w:val="nil"/>
            </w:tcBorders>
            <w:shd w:val="clear" w:color="auto" w:fill="auto"/>
          </w:tcPr>
          <w:p w14:paraId="6D69C4A9" w14:textId="77777777" w:rsidR="008037B6" w:rsidRPr="008037B6" w:rsidRDefault="008037B6" w:rsidP="008037B6">
            <w:pPr>
              <w:spacing w:before="20" w:after="20"/>
              <w:ind w:left="-1554" w:right="227"/>
              <w:jc w:val="right"/>
              <w:rPr>
                <w:rFonts w:eastAsia="Times New Roman"/>
                <w:sz w:val="18"/>
                <w:szCs w:val="18"/>
              </w:rPr>
            </w:pPr>
            <w:r w:rsidRPr="008037B6">
              <w:rPr>
                <w:rFonts w:eastAsia="Times New Roman"/>
                <w:sz w:val="18"/>
                <w:szCs w:val="18"/>
              </w:rPr>
              <w:t>53 627</w:t>
            </w:r>
          </w:p>
        </w:tc>
        <w:tc>
          <w:tcPr>
            <w:tcW w:w="1187" w:type="dxa"/>
            <w:tcBorders>
              <w:top w:val="single" w:sz="4" w:space="0" w:color="auto"/>
              <w:bottom w:val="nil"/>
            </w:tcBorders>
          </w:tcPr>
          <w:p w14:paraId="0DAA8162" w14:textId="77777777" w:rsidR="008037B6" w:rsidRPr="008037B6" w:rsidRDefault="008037B6" w:rsidP="008037B6">
            <w:pPr>
              <w:spacing w:before="20" w:after="20"/>
              <w:ind w:right="227"/>
              <w:jc w:val="right"/>
              <w:rPr>
                <w:rFonts w:eastAsia="Times New Roman"/>
                <w:sz w:val="18"/>
                <w:szCs w:val="18"/>
              </w:rPr>
            </w:pPr>
            <w:r w:rsidRPr="008037B6">
              <w:rPr>
                <w:rFonts w:eastAsia="Times New Roman"/>
                <w:sz w:val="18"/>
                <w:szCs w:val="18"/>
              </w:rPr>
              <w:t>32.4</w:t>
            </w:r>
          </w:p>
        </w:tc>
        <w:tc>
          <w:tcPr>
            <w:tcW w:w="1081" w:type="dxa"/>
            <w:tcBorders>
              <w:top w:val="single" w:sz="4" w:space="0" w:color="auto"/>
              <w:bottom w:val="nil"/>
            </w:tcBorders>
            <w:shd w:val="clear" w:color="auto" w:fill="auto"/>
          </w:tcPr>
          <w:p w14:paraId="613234FC" w14:textId="77777777" w:rsidR="008037B6" w:rsidRPr="008037B6" w:rsidRDefault="008037B6" w:rsidP="008037B6">
            <w:pPr>
              <w:spacing w:before="20" w:after="20"/>
              <w:ind w:left="-1554" w:right="170"/>
              <w:jc w:val="right"/>
              <w:rPr>
                <w:rFonts w:eastAsia="Times New Roman"/>
                <w:sz w:val="18"/>
                <w:szCs w:val="18"/>
              </w:rPr>
            </w:pPr>
            <w:r w:rsidRPr="008037B6">
              <w:rPr>
                <w:rFonts w:eastAsia="Times New Roman"/>
                <w:sz w:val="18"/>
                <w:szCs w:val="18"/>
              </w:rPr>
              <w:t>72 444</w:t>
            </w:r>
          </w:p>
        </w:tc>
        <w:tc>
          <w:tcPr>
            <w:tcW w:w="1252" w:type="dxa"/>
            <w:tcBorders>
              <w:top w:val="single" w:sz="4" w:space="0" w:color="auto"/>
              <w:bottom w:val="nil"/>
            </w:tcBorders>
          </w:tcPr>
          <w:p w14:paraId="5E27A414"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26.0</w:t>
            </w:r>
          </w:p>
        </w:tc>
        <w:tc>
          <w:tcPr>
            <w:tcW w:w="1110" w:type="dxa"/>
            <w:tcBorders>
              <w:top w:val="single" w:sz="4" w:space="0" w:color="auto"/>
              <w:bottom w:val="nil"/>
            </w:tcBorders>
            <w:shd w:val="clear" w:color="auto" w:fill="auto"/>
          </w:tcPr>
          <w:p w14:paraId="31CE68C3" w14:textId="77777777" w:rsidR="008037B6" w:rsidRPr="008037B6" w:rsidRDefault="008037B6" w:rsidP="008037B6">
            <w:pPr>
              <w:spacing w:before="20" w:after="20"/>
              <w:ind w:left="-1554" w:right="227"/>
              <w:jc w:val="right"/>
              <w:rPr>
                <w:rFonts w:eastAsia="Times New Roman"/>
                <w:sz w:val="18"/>
                <w:szCs w:val="18"/>
              </w:rPr>
            </w:pPr>
            <w:r w:rsidRPr="008037B6">
              <w:rPr>
                <w:rFonts w:eastAsia="Times New Roman"/>
                <w:sz w:val="18"/>
                <w:szCs w:val="18"/>
              </w:rPr>
              <w:t>18 817</w:t>
            </w:r>
          </w:p>
        </w:tc>
        <w:tc>
          <w:tcPr>
            <w:tcW w:w="1176" w:type="dxa"/>
            <w:tcBorders>
              <w:top w:val="single" w:sz="4" w:space="0" w:color="auto"/>
              <w:bottom w:val="nil"/>
            </w:tcBorders>
            <w:shd w:val="clear" w:color="auto" w:fill="auto"/>
          </w:tcPr>
          <w:p w14:paraId="5695BDFB" w14:textId="77777777" w:rsidR="008037B6" w:rsidRPr="008037B6" w:rsidRDefault="008037B6" w:rsidP="008037B6">
            <w:pPr>
              <w:spacing w:before="20" w:after="20"/>
              <w:ind w:right="284"/>
              <w:jc w:val="right"/>
              <w:rPr>
                <w:rFonts w:eastAsia="Times New Roman"/>
                <w:sz w:val="18"/>
                <w:szCs w:val="18"/>
              </w:rPr>
            </w:pPr>
            <w:r w:rsidRPr="008037B6">
              <w:rPr>
                <w:rFonts w:eastAsia="Times New Roman"/>
                <w:sz w:val="18"/>
                <w:szCs w:val="18"/>
              </w:rPr>
              <w:t>35.1</w:t>
            </w:r>
          </w:p>
        </w:tc>
      </w:tr>
      <w:tr w:rsidR="008037B6" w:rsidRPr="008037B6" w14:paraId="6F44988E" w14:textId="77777777" w:rsidTr="008037B6">
        <w:trPr>
          <w:jc w:val="center"/>
        </w:trPr>
        <w:tc>
          <w:tcPr>
            <w:tcW w:w="1956" w:type="dxa"/>
            <w:tcBorders>
              <w:top w:val="nil"/>
              <w:bottom w:val="nil"/>
            </w:tcBorders>
            <w:shd w:val="clear" w:color="auto" w:fill="auto"/>
            <w:vAlign w:val="center"/>
          </w:tcPr>
          <w:p w14:paraId="0669495F"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Compactos</w:t>
            </w:r>
          </w:p>
        </w:tc>
        <w:tc>
          <w:tcPr>
            <w:tcW w:w="1199" w:type="dxa"/>
            <w:tcBorders>
              <w:top w:val="nil"/>
              <w:bottom w:val="nil"/>
            </w:tcBorders>
            <w:shd w:val="clear" w:color="auto" w:fill="auto"/>
          </w:tcPr>
          <w:p w14:paraId="10307358" w14:textId="77777777" w:rsidR="008037B6" w:rsidRPr="008037B6" w:rsidRDefault="008037B6" w:rsidP="008037B6">
            <w:pPr>
              <w:spacing w:before="20" w:after="20"/>
              <w:ind w:left="-1554" w:right="227"/>
              <w:jc w:val="right"/>
              <w:rPr>
                <w:rFonts w:eastAsia="Times New Roman"/>
                <w:sz w:val="18"/>
                <w:szCs w:val="18"/>
              </w:rPr>
            </w:pPr>
            <w:r w:rsidRPr="008037B6">
              <w:rPr>
                <w:rFonts w:eastAsia="Times New Roman"/>
                <w:sz w:val="18"/>
                <w:szCs w:val="18"/>
              </w:rPr>
              <w:t>44 177</w:t>
            </w:r>
          </w:p>
        </w:tc>
        <w:tc>
          <w:tcPr>
            <w:tcW w:w="1187" w:type="dxa"/>
            <w:tcBorders>
              <w:top w:val="nil"/>
              <w:bottom w:val="nil"/>
            </w:tcBorders>
          </w:tcPr>
          <w:p w14:paraId="2DC5A26E" w14:textId="77777777" w:rsidR="008037B6" w:rsidRPr="008037B6" w:rsidRDefault="008037B6" w:rsidP="008037B6">
            <w:pPr>
              <w:spacing w:before="20" w:after="20"/>
              <w:ind w:right="227"/>
              <w:jc w:val="right"/>
              <w:rPr>
                <w:rFonts w:eastAsia="Times New Roman"/>
                <w:sz w:val="18"/>
                <w:szCs w:val="18"/>
              </w:rPr>
            </w:pPr>
            <w:r w:rsidRPr="008037B6">
              <w:rPr>
                <w:rFonts w:eastAsia="Times New Roman"/>
                <w:sz w:val="18"/>
                <w:szCs w:val="18"/>
              </w:rPr>
              <w:t>26.7</w:t>
            </w:r>
          </w:p>
        </w:tc>
        <w:tc>
          <w:tcPr>
            <w:tcW w:w="1081" w:type="dxa"/>
            <w:tcBorders>
              <w:top w:val="nil"/>
              <w:bottom w:val="nil"/>
            </w:tcBorders>
            <w:shd w:val="clear" w:color="auto" w:fill="auto"/>
          </w:tcPr>
          <w:p w14:paraId="11F516ED" w14:textId="77777777" w:rsidR="008037B6" w:rsidRPr="008037B6" w:rsidRDefault="008037B6" w:rsidP="008037B6">
            <w:pPr>
              <w:spacing w:before="20" w:after="20"/>
              <w:ind w:left="-1554" w:right="170"/>
              <w:jc w:val="right"/>
              <w:rPr>
                <w:rFonts w:eastAsia="Times New Roman"/>
                <w:sz w:val="18"/>
                <w:szCs w:val="18"/>
              </w:rPr>
            </w:pPr>
            <w:r w:rsidRPr="008037B6">
              <w:rPr>
                <w:rFonts w:eastAsia="Times New Roman"/>
                <w:sz w:val="18"/>
                <w:szCs w:val="18"/>
              </w:rPr>
              <w:t>51 977</w:t>
            </w:r>
          </w:p>
        </w:tc>
        <w:tc>
          <w:tcPr>
            <w:tcW w:w="1252" w:type="dxa"/>
            <w:tcBorders>
              <w:top w:val="nil"/>
              <w:bottom w:val="nil"/>
            </w:tcBorders>
          </w:tcPr>
          <w:p w14:paraId="027D4816"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25.8</w:t>
            </w:r>
          </w:p>
        </w:tc>
        <w:tc>
          <w:tcPr>
            <w:tcW w:w="1110" w:type="dxa"/>
            <w:tcBorders>
              <w:top w:val="nil"/>
              <w:bottom w:val="nil"/>
            </w:tcBorders>
            <w:shd w:val="clear" w:color="auto" w:fill="auto"/>
          </w:tcPr>
          <w:p w14:paraId="1B431A22" w14:textId="77777777" w:rsidR="008037B6" w:rsidRPr="008037B6" w:rsidRDefault="008037B6" w:rsidP="008037B6">
            <w:pPr>
              <w:spacing w:before="20" w:after="20"/>
              <w:ind w:left="-1554" w:right="227"/>
              <w:jc w:val="right"/>
              <w:rPr>
                <w:rFonts w:eastAsia="Times New Roman"/>
                <w:sz w:val="18"/>
                <w:szCs w:val="18"/>
              </w:rPr>
            </w:pPr>
            <w:r w:rsidRPr="008037B6">
              <w:rPr>
                <w:rFonts w:eastAsia="Times New Roman"/>
                <w:sz w:val="18"/>
                <w:szCs w:val="18"/>
              </w:rPr>
              <w:t>7 800</w:t>
            </w:r>
          </w:p>
        </w:tc>
        <w:tc>
          <w:tcPr>
            <w:tcW w:w="1176" w:type="dxa"/>
            <w:tcBorders>
              <w:top w:val="nil"/>
              <w:bottom w:val="nil"/>
            </w:tcBorders>
            <w:shd w:val="clear" w:color="auto" w:fill="auto"/>
          </w:tcPr>
          <w:p w14:paraId="784E4F49" w14:textId="77777777" w:rsidR="008037B6" w:rsidRPr="008037B6" w:rsidRDefault="008037B6" w:rsidP="008037B6">
            <w:pPr>
              <w:spacing w:before="20" w:after="20"/>
              <w:ind w:right="284"/>
              <w:jc w:val="right"/>
              <w:rPr>
                <w:rFonts w:eastAsia="Times New Roman"/>
                <w:sz w:val="18"/>
                <w:szCs w:val="18"/>
              </w:rPr>
            </w:pPr>
            <w:r w:rsidRPr="008037B6">
              <w:rPr>
                <w:rFonts w:eastAsia="Times New Roman"/>
                <w:sz w:val="18"/>
                <w:szCs w:val="18"/>
              </w:rPr>
              <w:t>17.7</w:t>
            </w:r>
          </w:p>
        </w:tc>
      </w:tr>
      <w:tr w:rsidR="008037B6" w:rsidRPr="008037B6" w14:paraId="1511BC82" w14:textId="77777777" w:rsidTr="008037B6">
        <w:trPr>
          <w:jc w:val="center"/>
        </w:trPr>
        <w:tc>
          <w:tcPr>
            <w:tcW w:w="1956" w:type="dxa"/>
            <w:tcBorders>
              <w:top w:val="nil"/>
              <w:bottom w:val="nil"/>
            </w:tcBorders>
            <w:shd w:val="clear" w:color="auto" w:fill="auto"/>
            <w:vAlign w:val="center"/>
          </w:tcPr>
          <w:p w14:paraId="359D754D"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De lujo</w:t>
            </w:r>
          </w:p>
        </w:tc>
        <w:tc>
          <w:tcPr>
            <w:tcW w:w="1199" w:type="dxa"/>
            <w:tcBorders>
              <w:top w:val="nil"/>
              <w:bottom w:val="nil"/>
            </w:tcBorders>
            <w:shd w:val="clear" w:color="auto" w:fill="auto"/>
          </w:tcPr>
          <w:p w14:paraId="74A9CC3B" w14:textId="77777777" w:rsidR="008037B6" w:rsidRPr="008037B6" w:rsidRDefault="008037B6" w:rsidP="008037B6">
            <w:pPr>
              <w:spacing w:before="20" w:after="20"/>
              <w:ind w:left="-1554" w:right="227"/>
              <w:jc w:val="right"/>
              <w:rPr>
                <w:rFonts w:eastAsia="Times New Roman"/>
                <w:sz w:val="18"/>
                <w:szCs w:val="18"/>
              </w:rPr>
            </w:pPr>
            <w:r w:rsidRPr="008037B6">
              <w:rPr>
                <w:rFonts w:eastAsia="Times New Roman"/>
                <w:sz w:val="18"/>
                <w:szCs w:val="18"/>
              </w:rPr>
              <w:t>8 861</w:t>
            </w:r>
          </w:p>
        </w:tc>
        <w:tc>
          <w:tcPr>
            <w:tcW w:w="1187" w:type="dxa"/>
            <w:tcBorders>
              <w:top w:val="nil"/>
              <w:bottom w:val="nil"/>
            </w:tcBorders>
          </w:tcPr>
          <w:p w14:paraId="310CFBA8" w14:textId="77777777" w:rsidR="008037B6" w:rsidRPr="008037B6" w:rsidRDefault="008037B6" w:rsidP="008037B6">
            <w:pPr>
              <w:spacing w:before="20" w:after="20"/>
              <w:ind w:right="227"/>
              <w:jc w:val="right"/>
              <w:rPr>
                <w:rFonts w:eastAsia="Times New Roman"/>
                <w:sz w:val="18"/>
                <w:szCs w:val="18"/>
              </w:rPr>
            </w:pPr>
            <w:r w:rsidRPr="008037B6">
              <w:rPr>
                <w:rFonts w:eastAsia="Times New Roman"/>
                <w:sz w:val="18"/>
                <w:szCs w:val="18"/>
              </w:rPr>
              <w:t>5.4</w:t>
            </w:r>
          </w:p>
        </w:tc>
        <w:tc>
          <w:tcPr>
            <w:tcW w:w="1081" w:type="dxa"/>
            <w:tcBorders>
              <w:top w:val="nil"/>
              <w:bottom w:val="nil"/>
            </w:tcBorders>
            <w:shd w:val="clear" w:color="auto" w:fill="auto"/>
          </w:tcPr>
          <w:p w14:paraId="5A1F1833" w14:textId="77777777" w:rsidR="008037B6" w:rsidRPr="008037B6" w:rsidRDefault="008037B6" w:rsidP="008037B6">
            <w:pPr>
              <w:spacing w:before="20" w:after="20"/>
              <w:ind w:left="-1554" w:right="170"/>
              <w:jc w:val="right"/>
              <w:rPr>
                <w:rFonts w:eastAsia="Times New Roman"/>
                <w:sz w:val="18"/>
                <w:szCs w:val="18"/>
              </w:rPr>
            </w:pPr>
            <w:r w:rsidRPr="008037B6">
              <w:rPr>
                <w:rFonts w:eastAsia="Times New Roman"/>
                <w:sz w:val="18"/>
                <w:szCs w:val="18"/>
              </w:rPr>
              <w:t>10 051</w:t>
            </w:r>
          </w:p>
        </w:tc>
        <w:tc>
          <w:tcPr>
            <w:tcW w:w="1252" w:type="dxa"/>
            <w:tcBorders>
              <w:top w:val="nil"/>
              <w:bottom w:val="nil"/>
            </w:tcBorders>
          </w:tcPr>
          <w:p w14:paraId="75F030E5"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5.0</w:t>
            </w:r>
          </w:p>
        </w:tc>
        <w:tc>
          <w:tcPr>
            <w:tcW w:w="1110" w:type="dxa"/>
            <w:tcBorders>
              <w:top w:val="nil"/>
              <w:bottom w:val="nil"/>
            </w:tcBorders>
            <w:shd w:val="clear" w:color="auto" w:fill="auto"/>
          </w:tcPr>
          <w:p w14:paraId="1A90AF44" w14:textId="77777777" w:rsidR="008037B6" w:rsidRPr="008037B6" w:rsidRDefault="008037B6" w:rsidP="008037B6">
            <w:pPr>
              <w:spacing w:before="20" w:after="20"/>
              <w:ind w:left="-1554" w:right="227"/>
              <w:jc w:val="right"/>
              <w:rPr>
                <w:rFonts w:eastAsia="Times New Roman"/>
                <w:sz w:val="18"/>
                <w:szCs w:val="18"/>
              </w:rPr>
            </w:pPr>
            <w:r w:rsidRPr="008037B6">
              <w:rPr>
                <w:rFonts w:eastAsia="Times New Roman"/>
                <w:sz w:val="18"/>
                <w:szCs w:val="18"/>
              </w:rPr>
              <w:t>1 190</w:t>
            </w:r>
          </w:p>
        </w:tc>
        <w:tc>
          <w:tcPr>
            <w:tcW w:w="1176" w:type="dxa"/>
            <w:tcBorders>
              <w:top w:val="nil"/>
              <w:bottom w:val="nil"/>
            </w:tcBorders>
            <w:shd w:val="clear" w:color="auto" w:fill="auto"/>
          </w:tcPr>
          <w:p w14:paraId="3BA070BC" w14:textId="77777777" w:rsidR="008037B6" w:rsidRPr="008037B6" w:rsidRDefault="008037B6" w:rsidP="008037B6">
            <w:pPr>
              <w:spacing w:before="20" w:after="20"/>
              <w:ind w:right="284"/>
              <w:jc w:val="right"/>
              <w:rPr>
                <w:rFonts w:eastAsia="Times New Roman"/>
                <w:sz w:val="18"/>
                <w:szCs w:val="18"/>
              </w:rPr>
            </w:pPr>
            <w:r w:rsidRPr="008037B6">
              <w:rPr>
                <w:rFonts w:eastAsia="Times New Roman"/>
                <w:sz w:val="18"/>
                <w:szCs w:val="18"/>
              </w:rPr>
              <w:t>13.4</w:t>
            </w:r>
          </w:p>
        </w:tc>
      </w:tr>
      <w:tr w:rsidR="008037B6" w:rsidRPr="008037B6" w14:paraId="45DF2541" w14:textId="77777777" w:rsidTr="008037B6">
        <w:trPr>
          <w:jc w:val="center"/>
        </w:trPr>
        <w:tc>
          <w:tcPr>
            <w:tcW w:w="1956" w:type="dxa"/>
            <w:tcBorders>
              <w:top w:val="nil"/>
              <w:bottom w:val="nil"/>
            </w:tcBorders>
            <w:shd w:val="clear" w:color="auto" w:fill="auto"/>
            <w:vAlign w:val="center"/>
          </w:tcPr>
          <w:p w14:paraId="64798364"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Deportivos</w:t>
            </w:r>
          </w:p>
        </w:tc>
        <w:tc>
          <w:tcPr>
            <w:tcW w:w="1199" w:type="dxa"/>
            <w:tcBorders>
              <w:top w:val="nil"/>
              <w:bottom w:val="nil"/>
            </w:tcBorders>
            <w:shd w:val="clear" w:color="auto" w:fill="auto"/>
            <w:vAlign w:val="center"/>
          </w:tcPr>
          <w:p w14:paraId="24B28E10" w14:textId="77777777" w:rsidR="008037B6" w:rsidRPr="008037B6" w:rsidRDefault="008037B6" w:rsidP="008037B6">
            <w:pPr>
              <w:spacing w:before="20" w:after="20"/>
              <w:ind w:left="-1554" w:right="227"/>
              <w:jc w:val="right"/>
              <w:rPr>
                <w:rFonts w:eastAsia="Times New Roman"/>
                <w:sz w:val="18"/>
                <w:szCs w:val="18"/>
              </w:rPr>
            </w:pPr>
            <w:r w:rsidRPr="008037B6">
              <w:rPr>
                <w:rFonts w:eastAsia="Times New Roman"/>
                <w:sz w:val="18"/>
                <w:szCs w:val="18"/>
              </w:rPr>
              <w:t>1 056</w:t>
            </w:r>
          </w:p>
        </w:tc>
        <w:tc>
          <w:tcPr>
            <w:tcW w:w="1187" w:type="dxa"/>
            <w:tcBorders>
              <w:top w:val="nil"/>
              <w:bottom w:val="nil"/>
            </w:tcBorders>
          </w:tcPr>
          <w:p w14:paraId="7100C384" w14:textId="77777777" w:rsidR="008037B6" w:rsidRPr="008037B6" w:rsidRDefault="008037B6" w:rsidP="008037B6">
            <w:pPr>
              <w:spacing w:before="20" w:after="20"/>
              <w:ind w:right="227"/>
              <w:jc w:val="right"/>
              <w:rPr>
                <w:rFonts w:eastAsia="Times New Roman"/>
                <w:sz w:val="18"/>
                <w:szCs w:val="18"/>
              </w:rPr>
            </w:pPr>
            <w:r w:rsidRPr="008037B6">
              <w:rPr>
                <w:rFonts w:eastAsia="Times New Roman"/>
                <w:sz w:val="18"/>
                <w:szCs w:val="18"/>
              </w:rPr>
              <w:t>0.6</w:t>
            </w:r>
          </w:p>
        </w:tc>
        <w:tc>
          <w:tcPr>
            <w:tcW w:w="1081" w:type="dxa"/>
            <w:tcBorders>
              <w:top w:val="nil"/>
              <w:bottom w:val="nil"/>
            </w:tcBorders>
            <w:shd w:val="clear" w:color="auto" w:fill="auto"/>
          </w:tcPr>
          <w:p w14:paraId="455998A3" w14:textId="77777777" w:rsidR="008037B6" w:rsidRPr="008037B6" w:rsidRDefault="008037B6" w:rsidP="008037B6">
            <w:pPr>
              <w:spacing w:before="20" w:after="20"/>
              <w:ind w:left="-1554" w:right="170"/>
              <w:jc w:val="right"/>
              <w:rPr>
                <w:rFonts w:eastAsia="Times New Roman"/>
                <w:sz w:val="18"/>
                <w:szCs w:val="18"/>
              </w:rPr>
            </w:pPr>
            <w:r w:rsidRPr="008037B6">
              <w:rPr>
                <w:rFonts w:eastAsia="Times New Roman"/>
                <w:sz w:val="18"/>
                <w:szCs w:val="18"/>
              </w:rPr>
              <w:t>1 580</w:t>
            </w:r>
          </w:p>
        </w:tc>
        <w:tc>
          <w:tcPr>
            <w:tcW w:w="1252" w:type="dxa"/>
            <w:tcBorders>
              <w:top w:val="nil"/>
              <w:bottom w:val="nil"/>
            </w:tcBorders>
          </w:tcPr>
          <w:p w14:paraId="19417E75"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0.8</w:t>
            </w:r>
          </w:p>
        </w:tc>
        <w:tc>
          <w:tcPr>
            <w:tcW w:w="1110" w:type="dxa"/>
            <w:tcBorders>
              <w:top w:val="nil"/>
              <w:bottom w:val="nil"/>
            </w:tcBorders>
            <w:shd w:val="clear" w:color="auto" w:fill="auto"/>
            <w:vAlign w:val="center"/>
          </w:tcPr>
          <w:p w14:paraId="009D0ECC" w14:textId="77777777" w:rsidR="008037B6" w:rsidRPr="008037B6" w:rsidRDefault="008037B6" w:rsidP="008037B6">
            <w:pPr>
              <w:spacing w:before="20" w:after="20"/>
              <w:ind w:left="-1554" w:right="227"/>
              <w:jc w:val="right"/>
              <w:rPr>
                <w:rFonts w:eastAsia="Times New Roman"/>
                <w:sz w:val="18"/>
                <w:szCs w:val="18"/>
              </w:rPr>
            </w:pPr>
            <w:r w:rsidRPr="008037B6">
              <w:rPr>
                <w:rFonts w:eastAsia="Times New Roman"/>
                <w:sz w:val="18"/>
                <w:szCs w:val="18"/>
              </w:rPr>
              <w:t>524</w:t>
            </w:r>
          </w:p>
        </w:tc>
        <w:tc>
          <w:tcPr>
            <w:tcW w:w="1176" w:type="dxa"/>
            <w:tcBorders>
              <w:top w:val="nil"/>
              <w:bottom w:val="nil"/>
            </w:tcBorders>
            <w:shd w:val="clear" w:color="auto" w:fill="auto"/>
            <w:vAlign w:val="center"/>
          </w:tcPr>
          <w:p w14:paraId="244D55BE" w14:textId="77777777" w:rsidR="008037B6" w:rsidRPr="008037B6" w:rsidRDefault="008037B6" w:rsidP="008037B6">
            <w:pPr>
              <w:spacing w:before="20" w:after="20"/>
              <w:ind w:right="284"/>
              <w:jc w:val="right"/>
              <w:rPr>
                <w:rFonts w:eastAsia="Times New Roman"/>
                <w:sz w:val="18"/>
                <w:szCs w:val="18"/>
              </w:rPr>
            </w:pPr>
            <w:r w:rsidRPr="008037B6">
              <w:rPr>
                <w:rFonts w:eastAsia="Times New Roman"/>
                <w:sz w:val="18"/>
                <w:szCs w:val="18"/>
              </w:rPr>
              <w:t>49.6</w:t>
            </w:r>
          </w:p>
        </w:tc>
      </w:tr>
      <w:tr w:rsidR="008037B6" w:rsidRPr="008037B6" w14:paraId="69A352C0" w14:textId="77777777" w:rsidTr="008037B6">
        <w:trPr>
          <w:jc w:val="center"/>
        </w:trPr>
        <w:tc>
          <w:tcPr>
            <w:tcW w:w="1956" w:type="dxa"/>
            <w:tcBorders>
              <w:top w:val="nil"/>
              <w:bottom w:val="nil"/>
            </w:tcBorders>
            <w:shd w:val="clear" w:color="auto" w:fill="auto"/>
            <w:vAlign w:val="center"/>
          </w:tcPr>
          <w:p w14:paraId="1CA4FBAE"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Uso múltiple</w:t>
            </w:r>
          </w:p>
        </w:tc>
        <w:tc>
          <w:tcPr>
            <w:tcW w:w="1199" w:type="dxa"/>
            <w:tcBorders>
              <w:top w:val="nil"/>
              <w:bottom w:val="nil"/>
            </w:tcBorders>
            <w:shd w:val="clear" w:color="auto" w:fill="auto"/>
            <w:vAlign w:val="center"/>
          </w:tcPr>
          <w:p w14:paraId="005801E7" w14:textId="77777777" w:rsidR="008037B6" w:rsidRPr="008037B6" w:rsidRDefault="008037B6" w:rsidP="008037B6">
            <w:pPr>
              <w:spacing w:before="20" w:after="20"/>
              <w:ind w:left="-1554" w:right="227"/>
              <w:jc w:val="right"/>
              <w:rPr>
                <w:rFonts w:eastAsia="Times New Roman"/>
                <w:sz w:val="18"/>
                <w:szCs w:val="18"/>
              </w:rPr>
            </w:pPr>
            <w:r w:rsidRPr="008037B6">
              <w:rPr>
                <w:rFonts w:eastAsia="Times New Roman"/>
                <w:sz w:val="18"/>
                <w:szCs w:val="18"/>
              </w:rPr>
              <w:t>34 645</w:t>
            </w:r>
          </w:p>
        </w:tc>
        <w:tc>
          <w:tcPr>
            <w:tcW w:w="1187" w:type="dxa"/>
            <w:tcBorders>
              <w:top w:val="nil"/>
              <w:bottom w:val="nil"/>
            </w:tcBorders>
          </w:tcPr>
          <w:p w14:paraId="4B4DBD87" w14:textId="77777777" w:rsidR="008037B6" w:rsidRPr="008037B6" w:rsidRDefault="008037B6" w:rsidP="008037B6">
            <w:pPr>
              <w:spacing w:before="20" w:after="20"/>
              <w:ind w:right="227"/>
              <w:jc w:val="right"/>
              <w:rPr>
                <w:rFonts w:eastAsia="Times New Roman"/>
                <w:sz w:val="18"/>
                <w:szCs w:val="18"/>
              </w:rPr>
            </w:pPr>
            <w:r w:rsidRPr="008037B6">
              <w:rPr>
                <w:rFonts w:eastAsia="Times New Roman"/>
                <w:sz w:val="18"/>
                <w:szCs w:val="18"/>
              </w:rPr>
              <w:t>20.9</w:t>
            </w:r>
          </w:p>
        </w:tc>
        <w:tc>
          <w:tcPr>
            <w:tcW w:w="1081" w:type="dxa"/>
            <w:tcBorders>
              <w:top w:val="nil"/>
              <w:bottom w:val="nil"/>
            </w:tcBorders>
            <w:shd w:val="clear" w:color="auto" w:fill="auto"/>
          </w:tcPr>
          <w:p w14:paraId="006CD03F" w14:textId="77777777" w:rsidR="008037B6" w:rsidRPr="008037B6" w:rsidRDefault="008037B6" w:rsidP="008037B6">
            <w:pPr>
              <w:spacing w:before="20" w:after="20"/>
              <w:ind w:left="-1554" w:right="170"/>
              <w:jc w:val="right"/>
              <w:rPr>
                <w:rFonts w:eastAsia="Times New Roman"/>
                <w:sz w:val="18"/>
                <w:szCs w:val="18"/>
              </w:rPr>
            </w:pPr>
            <w:r w:rsidRPr="008037B6">
              <w:rPr>
                <w:rFonts w:eastAsia="Times New Roman"/>
                <w:sz w:val="18"/>
                <w:szCs w:val="18"/>
              </w:rPr>
              <w:t>39 223</w:t>
            </w:r>
          </w:p>
        </w:tc>
        <w:tc>
          <w:tcPr>
            <w:tcW w:w="1252" w:type="dxa"/>
            <w:tcBorders>
              <w:top w:val="nil"/>
              <w:bottom w:val="nil"/>
            </w:tcBorders>
          </w:tcPr>
          <w:p w14:paraId="697DA779"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19.5</w:t>
            </w:r>
          </w:p>
        </w:tc>
        <w:tc>
          <w:tcPr>
            <w:tcW w:w="1110" w:type="dxa"/>
            <w:tcBorders>
              <w:top w:val="nil"/>
              <w:bottom w:val="nil"/>
            </w:tcBorders>
            <w:shd w:val="clear" w:color="auto" w:fill="auto"/>
            <w:vAlign w:val="center"/>
          </w:tcPr>
          <w:p w14:paraId="148EBBB5" w14:textId="77777777" w:rsidR="008037B6" w:rsidRPr="008037B6" w:rsidRDefault="008037B6" w:rsidP="008037B6">
            <w:pPr>
              <w:spacing w:before="20" w:after="20"/>
              <w:ind w:left="-1554" w:right="227"/>
              <w:jc w:val="right"/>
              <w:rPr>
                <w:rFonts w:eastAsia="Times New Roman"/>
                <w:sz w:val="18"/>
                <w:szCs w:val="18"/>
              </w:rPr>
            </w:pPr>
            <w:r w:rsidRPr="008037B6">
              <w:rPr>
                <w:rFonts w:eastAsia="Times New Roman"/>
                <w:sz w:val="18"/>
                <w:szCs w:val="18"/>
              </w:rPr>
              <w:t>4 578</w:t>
            </w:r>
          </w:p>
        </w:tc>
        <w:tc>
          <w:tcPr>
            <w:tcW w:w="1176" w:type="dxa"/>
            <w:tcBorders>
              <w:top w:val="nil"/>
              <w:bottom w:val="nil"/>
            </w:tcBorders>
            <w:shd w:val="clear" w:color="auto" w:fill="auto"/>
            <w:vAlign w:val="center"/>
          </w:tcPr>
          <w:p w14:paraId="42C3B92A" w14:textId="77777777" w:rsidR="008037B6" w:rsidRPr="008037B6" w:rsidRDefault="008037B6" w:rsidP="008037B6">
            <w:pPr>
              <w:spacing w:before="20" w:after="20"/>
              <w:ind w:right="284"/>
              <w:jc w:val="right"/>
              <w:rPr>
                <w:rFonts w:eastAsia="Times New Roman"/>
                <w:sz w:val="18"/>
                <w:szCs w:val="18"/>
              </w:rPr>
            </w:pPr>
            <w:r w:rsidRPr="008037B6">
              <w:rPr>
                <w:rFonts w:eastAsia="Times New Roman"/>
                <w:sz w:val="18"/>
                <w:szCs w:val="18"/>
              </w:rPr>
              <w:t>13.2</w:t>
            </w:r>
          </w:p>
        </w:tc>
      </w:tr>
      <w:tr w:rsidR="008037B6" w:rsidRPr="008037B6" w14:paraId="37EF6DD5" w14:textId="77777777" w:rsidTr="008037B6">
        <w:trPr>
          <w:jc w:val="center"/>
        </w:trPr>
        <w:tc>
          <w:tcPr>
            <w:tcW w:w="1956" w:type="dxa"/>
            <w:tcBorders>
              <w:top w:val="nil"/>
              <w:bottom w:val="nil"/>
            </w:tcBorders>
            <w:shd w:val="clear" w:color="auto" w:fill="auto"/>
            <w:vAlign w:val="center"/>
          </w:tcPr>
          <w:p w14:paraId="39AA8F6E"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Camiones ligeros</w:t>
            </w:r>
          </w:p>
        </w:tc>
        <w:tc>
          <w:tcPr>
            <w:tcW w:w="1199" w:type="dxa"/>
            <w:tcBorders>
              <w:top w:val="nil"/>
              <w:bottom w:val="nil"/>
            </w:tcBorders>
            <w:shd w:val="clear" w:color="auto" w:fill="auto"/>
            <w:vAlign w:val="center"/>
          </w:tcPr>
          <w:p w14:paraId="5F4D3637" w14:textId="77777777" w:rsidR="008037B6" w:rsidRPr="008037B6" w:rsidRDefault="008037B6" w:rsidP="008037B6">
            <w:pPr>
              <w:spacing w:before="20" w:after="20"/>
              <w:ind w:left="-1554" w:right="227"/>
              <w:jc w:val="right"/>
              <w:rPr>
                <w:rFonts w:eastAsia="Times New Roman"/>
                <w:sz w:val="18"/>
                <w:szCs w:val="18"/>
              </w:rPr>
            </w:pPr>
            <w:r w:rsidRPr="008037B6">
              <w:rPr>
                <w:rFonts w:eastAsia="Times New Roman"/>
                <w:sz w:val="18"/>
                <w:szCs w:val="18"/>
              </w:rPr>
              <w:t>22 831</w:t>
            </w:r>
          </w:p>
        </w:tc>
        <w:tc>
          <w:tcPr>
            <w:tcW w:w="1187" w:type="dxa"/>
            <w:tcBorders>
              <w:top w:val="nil"/>
              <w:bottom w:val="nil"/>
            </w:tcBorders>
          </w:tcPr>
          <w:p w14:paraId="3025D238" w14:textId="77777777" w:rsidR="008037B6" w:rsidRPr="008037B6" w:rsidRDefault="008037B6" w:rsidP="008037B6">
            <w:pPr>
              <w:spacing w:before="20" w:after="20"/>
              <w:ind w:right="227"/>
              <w:jc w:val="right"/>
              <w:rPr>
                <w:rFonts w:eastAsia="Times New Roman"/>
                <w:sz w:val="18"/>
                <w:szCs w:val="18"/>
              </w:rPr>
            </w:pPr>
            <w:r w:rsidRPr="008037B6">
              <w:rPr>
                <w:rFonts w:eastAsia="Times New Roman"/>
                <w:sz w:val="18"/>
                <w:szCs w:val="18"/>
              </w:rPr>
              <w:t>13.8</w:t>
            </w:r>
          </w:p>
        </w:tc>
        <w:tc>
          <w:tcPr>
            <w:tcW w:w="1081" w:type="dxa"/>
            <w:tcBorders>
              <w:top w:val="nil"/>
              <w:bottom w:val="nil"/>
            </w:tcBorders>
            <w:shd w:val="clear" w:color="auto" w:fill="auto"/>
          </w:tcPr>
          <w:p w14:paraId="35FE79F3" w14:textId="77777777" w:rsidR="008037B6" w:rsidRPr="008037B6" w:rsidRDefault="008037B6" w:rsidP="008037B6">
            <w:pPr>
              <w:spacing w:before="20" w:after="20"/>
              <w:ind w:left="-1554" w:right="170"/>
              <w:jc w:val="right"/>
              <w:rPr>
                <w:rFonts w:eastAsia="Times New Roman"/>
                <w:sz w:val="18"/>
                <w:szCs w:val="18"/>
              </w:rPr>
            </w:pPr>
            <w:r w:rsidRPr="008037B6">
              <w:rPr>
                <w:rFonts w:eastAsia="Times New Roman"/>
                <w:sz w:val="18"/>
                <w:szCs w:val="18"/>
              </w:rPr>
              <w:t>25 736</w:t>
            </w:r>
          </w:p>
        </w:tc>
        <w:tc>
          <w:tcPr>
            <w:tcW w:w="1252" w:type="dxa"/>
            <w:tcBorders>
              <w:top w:val="nil"/>
              <w:bottom w:val="nil"/>
            </w:tcBorders>
          </w:tcPr>
          <w:p w14:paraId="7E991D51"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12.8</w:t>
            </w:r>
          </w:p>
        </w:tc>
        <w:tc>
          <w:tcPr>
            <w:tcW w:w="1110" w:type="dxa"/>
            <w:tcBorders>
              <w:top w:val="nil"/>
              <w:bottom w:val="nil"/>
            </w:tcBorders>
            <w:shd w:val="clear" w:color="auto" w:fill="auto"/>
            <w:vAlign w:val="center"/>
          </w:tcPr>
          <w:p w14:paraId="5306958D" w14:textId="77777777" w:rsidR="008037B6" w:rsidRPr="008037B6" w:rsidRDefault="008037B6" w:rsidP="008037B6">
            <w:pPr>
              <w:spacing w:before="20" w:after="20"/>
              <w:ind w:left="-1554" w:right="227"/>
              <w:jc w:val="right"/>
              <w:rPr>
                <w:rFonts w:eastAsia="Times New Roman"/>
                <w:sz w:val="18"/>
                <w:szCs w:val="18"/>
              </w:rPr>
            </w:pPr>
            <w:r w:rsidRPr="008037B6">
              <w:rPr>
                <w:rFonts w:eastAsia="Times New Roman"/>
                <w:sz w:val="18"/>
                <w:szCs w:val="18"/>
              </w:rPr>
              <w:t>2 905</w:t>
            </w:r>
          </w:p>
        </w:tc>
        <w:tc>
          <w:tcPr>
            <w:tcW w:w="1176" w:type="dxa"/>
            <w:tcBorders>
              <w:top w:val="nil"/>
              <w:bottom w:val="nil"/>
            </w:tcBorders>
            <w:shd w:val="clear" w:color="auto" w:fill="auto"/>
            <w:vAlign w:val="center"/>
          </w:tcPr>
          <w:p w14:paraId="3EA41611" w14:textId="77777777" w:rsidR="008037B6" w:rsidRPr="008037B6" w:rsidRDefault="008037B6" w:rsidP="008037B6">
            <w:pPr>
              <w:spacing w:before="20" w:after="20"/>
              <w:ind w:right="284"/>
              <w:jc w:val="right"/>
              <w:rPr>
                <w:rFonts w:eastAsia="Times New Roman"/>
                <w:sz w:val="18"/>
                <w:szCs w:val="18"/>
              </w:rPr>
            </w:pPr>
            <w:r w:rsidRPr="008037B6">
              <w:rPr>
                <w:rFonts w:eastAsia="Times New Roman"/>
                <w:sz w:val="18"/>
                <w:szCs w:val="18"/>
              </w:rPr>
              <w:t>12.7</w:t>
            </w:r>
          </w:p>
        </w:tc>
      </w:tr>
      <w:tr w:rsidR="008037B6" w:rsidRPr="008037B6" w14:paraId="50E9A274" w14:textId="77777777" w:rsidTr="008037B6">
        <w:trPr>
          <w:jc w:val="center"/>
        </w:trPr>
        <w:tc>
          <w:tcPr>
            <w:tcW w:w="1956" w:type="dxa"/>
            <w:tcBorders>
              <w:top w:val="nil"/>
              <w:bottom w:val="nil"/>
            </w:tcBorders>
            <w:shd w:val="clear" w:color="auto" w:fill="auto"/>
            <w:vAlign w:val="center"/>
          </w:tcPr>
          <w:p w14:paraId="77554E2E" w14:textId="77777777" w:rsidR="008037B6" w:rsidRPr="008037B6" w:rsidRDefault="008037B6" w:rsidP="008037B6">
            <w:pPr>
              <w:spacing w:before="20" w:after="20"/>
              <w:jc w:val="both"/>
              <w:rPr>
                <w:rFonts w:eastAsia="Times New Roman"/>
                <w:sz w:val="18"/>
                <w:szCs w:val="18"/>
              </w:rPr>
            </w:pPr>
            <w:r w:rsidRPr="008037B6">
              <w:rPr>
                <w:rFonts w:eastAsia="Times New Roman"/>
                <w:sz w:val="18"/>
                <w:szCs w:val="18"/>
              </w:rPr>
              <w:t>Camiones pesados*</w:t>
            </w:r>
          </w:p>
        </w:tc>
        <w:tc>
          <w:tcPr>
            <w:tcW w:w="1199" w:type="dxa"/>
            <w:tcBorders>
              <w:top w:val="nil"/>
              <w:bottom w:val="nil"/>
            </w:tcBorders>
            <w:shd w:val="clear" w:color="auto" w:fill="auto"/>
            <w:vAlign w:val="center"/>
          </w:tcPr>
          <w:p w14:paraId="1EA537B2" w14:textId="77777777" w:rsidR="008037B6" w:rsidRPr="008037B6" w:rsidRDefault="008037B6" w:rsidP="008037B6">
            <w:pPr>
              <w:spacing w:before="20" w:after="20"/>
              <w:ind w:left="-1554" w:right="227"/>
              <w:jc w:val="right"/>
              <w:rPr>
                <w:rFonts w:eastAsia="Times New Roman"/>
                <w:sz w:val="18"/>
                <w:szCs w:val="18"/>
              </w:rPr>
            </w:pPr>
            <w:r w:rsidRPr="008037B6">
              <w:rPr>
                <w:rFonts w:eastAsia="Times New Roman"/>
                <w:sz w:val="18"/>
                <w:szCs w:val="18"/>
              </w:rPr>
              <w:t>245</w:t>
            </w:r>
          </w:p>
        </w:tc>
        <w:tc>
          <w:tcPr>
            <w:tcW w:w="1187" w:type="dxa"/>
            <w:tcBorders>
              <w:top w:val="nil"/>
              <w:bottom w:val="nil"/>
            </w:tcBorders>
          </w:tcPr>
          <w:p w14:paraId="43565A3E" w14:textId="77777777" w:rsidR="008037B6" w:rsidRPr="008037B6" w:rsidRDefault="008037B6" w:rsidP="008037B6">
            <w:pPr>
              <w:spacing w:before="20" w:after="20"/>
              <w:ind w:right="227"/>
              <w:jc w:val="right"/>
              <w:rPr>
                <w:rFonts w:eastAsia="Times New Roman"/>
                <w:sz w:val="18"/>
                <w:szCs w:val="18"/>
              </w:rPr>
            </w:pPr>
            <w:r w:rsidRPr="008037B6">
              <w:rPr>
                <w:rFonts w:eastAsia="Times New Roman"/>
                <w:sz w:val="18"/>
                <w:szCs w:val="18"/>
              </w:rPr>
              <w:t>0.1</w:t>
            </w:r>
          </w:p>
        </w:tc>
        <w:tc>
          <w:tcPr>
            <w:tcW w:w="1081" w:type="dxa"/>
            <w:tcBorders>
              <w:top w:val="nil"/>
              <w:bottom w:val="nil"/>
            </w:tcBorders>
            <w:shd w:val="clear" w:color="auto" w:fill="auto"/>
          </w:tcPr>
          <w:p w14:paraId="62D0C74D" w14:textId="77777777" w:rsidR="008037B6" w:rsidRPr="008037B6" w:rsidRDefault="008037B6" w:rsidP="008037B6">
            <w:pPr>
              <w:spacing w:before="20" w:after="20"/>
              <w:ind w:left="-1554" w:right="170"/>
              <w:jc w:val="right"/>
              <w:rPr>
                <w:rFonts w:eastAsia="Times New Roman"/>
                <w:sz w:val="18"/>
                <w:szCs w:val="18"/>
              </w:rPr>
            </w:pPr>
            <w:r w:rsidRPr="008037B6">
              <w:rPr>
                <w:rFonts w:eastAsia="Times New Roman"/>
                <w:sz w:val="18"/>
                <w:szCs w:val="18"/>
              </w:rPr>
              <w:t>244</w:t>
            </w:r>
          </w:p>
        </w:tc>
        <w:tc>
          <w:tcPr>
            <w:tcW w:w="1252" w:type="dxa"/>
            <w:tcBorders>
              <w:top w:val="nil"/>
              <w:bottom w:val="nil"/>
            </w:tcBorders>
          </w:tcPr>
          <w:p w14:paraId="7E7AB973" w14:textId="77777777" w:rsidR="008037B6" w:rsidRPr="008037B6" w:rsidRDefault="008037B6" w:rsidP="008037B6">
            <w:pPr>
              <w:spacing w:before="20" w:after="20"/>
              <w:ind w:right="340"/>
              <w:jc w:val="right"/>
              <w:rPr>
                <w:rFonts w:eastAsia="Times New Roman"/>
                <w:sz w:val="18"/>
                <w:szCs w:val="18"/>
              </w:rPr>
            </w:pPr>
            <w:r w:rsidRPr="008037B6">
              <w:rPr>
                <w:rFonts w:eastAsia="Times New Roman"/>
                <w:sz w:val="18"/>
                <w:szCs w:val="18"/>
              </w:rPr>
              <w:t>0.1</w:t>
            </w:r>
          </w:p>
        </w:tc>
        <w:tc>
          <w:tcPr>
            <w:tcW w:w="1110" w:type="dxa"/>
            <w:tcBorders>
              <w:top w:val="nil"/>
              <w:bottom w:val="nil"/>
            </w:tcBorders>
            <w:shd w:val="clear" w:color="auto" w:fill="auto"/>
            <w:vAlign w:val="center"/>
          </w:tcPr>
          <w:p w14:paraId="452960DF" w14:textId="77777777" w:rsidR="008037B6" w:rsidRPr="008037B6" w:rsidRDefault="008037B6" w:rsidP="008037B6">
            <w:pPr>
              <w:spacing w:before="20" w:after="20"/>
              <w:ind w:left="-1554" w:right="227"/>
              <w:jc w:val="right"/>
              <w:rPr>
                <w:rFonts w:eastAsia="Times New Roman"/>
                <w:sz w:val="18"/>
                <w:szCs w:val="18"/>
              </w:rPr>
            </w:pPr>
            <w:r w:rsidRPr="008037B6">
              <w:rPr>
                <w:rFonts w:eastAsia="Times New Roman"/>
                <w:sz w:val="18"/>
                <w:szCs w:val="18"/>
              </w:rPr>
              <w:t>-1</w:t>
            </w:r>
          </w:p>
        </w:tc>
        <w:tc>
          <w:tcPr>
            <w:tcW w:w="1176" w:type="dxa"/>
            <w:tcBorders>
              <w:top w:val="nil"/>
              <w:bottom w:val="nil"/>
            </w:tcBorders>
            <w:shd w:val="clear" w:color="auto" w:fill="auto"/>
            <w:vAlign w:val="center"/>
          </w:tcPr>
          <w:p w14:paraId="5F761AA9" w14:textId="77777777" w:rsidR="008037B6" w:rsidRPr="008037B6" w:rsidRDefault="008037B6" w:rsidP="008037B6">
            <w:pPr>
              <w:spacing w:before="20" w:after="20"/>
              <w:ind w:right="284"/>
              <w:jc w:val="right"/>
              <w:rPr>
                <w:rFonts w:eastAsia="Times New Roman"/>
                <w:sz w:val="18"/>
                <w:szCs w:val="18"/>
              </w:rPr>
            </w:pPr>
            <w:r w:rsidRPr="008037B6">
              <w:rPr>
                <w:rFonts w:eastAsia="Times New Roman"/>
                <w:sz w:val="18"/>
                <w:szCs w:val="18"/>
              </w:rPr>
              <w:t>-0.4</w:t>
            </w:r>
          </w:p>
        </w:tc>
      </w:tr>
      <w:tr w:rsidR="008037B6" w:rsidRPr="008037B6" w14:paraId="15126C3B" w14:textId="77777777" w:rsidTr="008037B6">
        <w:trPr>
          <w:jc w:val="center"/>
        </w:trPr>
        <w:tc>
          <w:tcPr>
            <w:tcW w:w="1956" w:type="dxa"/>
            <w:tcBorders>
              <w:top w:val="nil"/>
              <w:bottom w:val="single" w:sz="4" w:space="0" w:color="auto"/>
            </w:tcBorders>
            <w:shd w:val="clear" w:color="auto" w:fill="auto"/>
            <w:vAlign w:val="center"/>
          </w:tcPr>
          <w:p w14:paraId="2E0A2CE9" w14:textId="77777777" w:rsidR="008037B6" w:rsidRPr="008037B6" w:rsidRDefault="008037B6" w:rsidP="008037B6">
            <w:pPr>
              <w:spacing w:before="20" w:after="20"/>
              <w:jc w:val="both"/>
              <w:rPr>
                <w:rFonts w:eastAsia="Times New Roman"/>
                <w:b/>
                <w:sz w:val="18"/>
                <w:szCs w:val="18"/>
              </w:rPr>
            </w:pPr>
            <w:r w:rsidRPr="008037B6">
              <w:rPr>
                <w:rFonts w:eastAsia="Times New Roman"/>
                <w:b/>
                <w:sz w:val="18"/>
                <w:szCs w:val="18"/>
              </w:rPr>
              <w:t>Total</w:t>
            </w:r>
          </w:p>
        </w:tc>
        <w:tc>
          <w:tcPr>
            <w:tcW w:w="1199" w:type="dxa"/>
            <w:tcBorders>
              <w:top w:val="nil"/>
              <w:bottom w:val="single" w:sz="4" w:space="0" w:color="auto"/>
            </w:tcBorders>
            <w:shd w:val="clear" w:color="auto" w:fill="auto"/>
            <w:vAlign w:val="center"/>
          </w:tcPr>
          <w:p w14:paraId="5769A848" w14:textId="77777777" w:rsidR="008037B6" w:rsidRPr="008037B6" w:rsidRDefault="008037B6" w:rsidP="008037B6">
            <w:pPr>
              <w:spacing w:before="20" w:after="20"/>
              <w:ind w:left="-1554" w:right="227"/>
              <w:jc w:val="right"/>
              <w:rPr>
                <w:rFonts w:eastAsia="Times New Roman"/>
                <w:b/>
                <w:sz w:val="18"/>
                <w:szCs w:val="18"/>
              </w:rPr>
            </w:pPr>
            <w:r w:rsidRPr="008037B6">
              <w:rPr>
                <w:rFonts w:eastAsia="Times New Roman"/>
                <w:b/>
                <w:sz w:val="18"/>
                <w:szCs w:val="18"/>
              </w:rPr>
              <w:t>165 442</w:t>
            </w:r>
          </w:p>
        </w:tc>
        <w:tc>
          <w:tcPr>
            <w:tcW w:w="1187" w:type="dxa"/>
            <w:tcBorders>
              <w:top w:val="nil"/>
              <w:bottom w:val="single" w:sz="4" w:space="0" w:color="auto"/>
            </w:tcBorders>
          </w:tcPr>
          <w:p w14:paraId="0B69B07F" w14:textId="77777777" w:rsidR="008037B6" w:rsidRPr="008037B6" w:rsidRDefault="008037B6" w:rsidP="008037B6">
            <w:pPr>
              <w:spacing w:before="20" w:after="20"/>
              <w:ind w:right="227"/>
              <w:jc w:val="right"/>
              <w:rPr>
                <w:rFonts w:eastAsia="Times New Roman"/>
                <w:b/>
                <w:sz w:val="18"/>
                <w:szCs w:val="18"/>
              </w:rPr>
            </w:pPr>
            <w:r w:rsidRPr="008037B6">
              <w:rPr>
                <w:rFonts w:eastAsia="Times New Roman"/>
                <w:b/>
                <w:sz w:val="18"/>
                <w:szCs w:val="18"/>
              </w:rPr>
              <w:t>100.0</w:t>
            </w:r>
          </w:p>
        </w:tc>
        <w:tc>
          <w:tcPr>
            <w:tcW w:w="1081" w:type="dxa"/>
            <w:tcBorders>
              <w:top w:val="nil"/>
              <w:bottom w:val="single" w:sz="4" w:space="0" w:color="auto"/>
            </w:tcBorders>
            <w:shd w:val="clear" w:color="auto" w:fill="auto"/>
          </w:tcPr>
          <w:p w14:paraId="70A49F8C" w14:textId="77777777" w:rsidR="008037B6" w:rsidRPr="008037B6" w:rsidRDefault="008037B6" w:rsidP="008037B6">
            <w:pPr>
              <w:spacing w:before="20" w:after="20"/>
              <w:ind w:left="-1554" w:right="170"/>
              <w:jc w:val="right"/>
              <w:rPr>
                <w:rFonts w:eastAsia="Times New Roman"/>
                <w:b/>
                <w:sz w:val="18"/>
                <w:szCs w:val="18"/>
              </w:rPr>
            </w:pPr>
            <w:r w:rsidRPr="008037B6">
              <w:rPr>
                <w:rFonts w:eastAsia="Times New Roman"/>
                <w:b/>
                <w:sz w:val="18"/>
                <w:szCs w:val="18"/>
              </w:rPr>
              <w:t>201 255</w:t>
            </w:r>
          </w:p>
        </w:tc>
        <w:tc>
          <w:tcPr>
            <w:tcW w:w="1252" w:type="dxa"/>
            <w:tcBorders>
              <w:top w:val="nil"/>
              <w:bottom w:val="single" w:sz="4" w:space="0" w:color="auto"/>
            </w:tcBorders>
          </w:tcPr>
          <w:p w14:paraId="7689AC87" w14:textId="77777777" w:rsidR="008037B6" w:rsidRPr="008037B6" w:rsidRDefault="008037B6" w:rsidP="008037B6">
            <w:pPr>
              <w:spacing w:before="20" w:after="20"/>
              <w:ind w:right="340"/>
              <w:jc w:val="right"/>
              <w:rPr>
                <w:rFonts w:eastAsia="Times New Roman"/>
                <w:b/>
                <w:sz w:val="18"/>
                <w:szCs w:val="18"/>
              </w:rPr>
            </w:pPr>
            <w:r w:rsidRPr="008037B6">
              <w:rPr>
                <w:rFonts w:eastAsia="Times New Roman"/>
                <w:b/>
                <w:sz w:val="18"/>
                <w:szCs w:val="18"/>
              </w:rPr>
              <w:t>100.0</w:t>
            </w:r>
          </w:p>
        </w:tc>
        <w:tc>
          <w:tcPr>
            <w:tcW w:w="1110" w:type="dxa"/>
            <w:tcBorders>
              <w:top w:val="nil"/>
              <w:bottom w:val="single" w:sz="4" w:space="0" w:color="auto"/>
            </w:tcBorders>
            <w:shd w:val="clear" w:color="auto" w:fill="auto"/>
            <w:vAlign w:val="center"/>
          </w:tcPr>
          <w:p w14:paraId="1AAC9BD3" w14:textId="77777777" w:rsidR="008037B6" w:rsidRPr="008037B6" w:rsidRDefault="008037B6" w:rsidP="008037B6">
            <w:pPr>
              <w:spacing w:before="20" w:after="20"/>
              <w:ind w:left="-1554" w:right="227"/>
              <w:jc w:val="right"/>
              <w:rPr>
                <w:rFonts w:eastAsia="Times New Roman"/>
                <w:b/>
                <w:sz w:val="18"/>
                <w:szCs w:val="18"/>
              </w:rPr>
            </w:pPr>
            <w:r w:rsidRPr="008037B6">
              <w:rPr>
                <w:rFonts w:eastAsia="Times New Roman"/>
                <w:b/>
                <w:sz w:val="18"/>
                <w:szCs w:val="18"/>
              </w:rPr>
              <w:t>35 813</w:t>
            </w:r>
          </w:p>
        </w:tc>
        <w:tc>
          <w:tcPr>
            <w:tcW w:w="1176" w:type="dxa"/>
            <w:tcBorders>
              <w:top w:val="nil"/>
              <w:bottom w:val="single" w:sz="4" w:space="0" w:color="auto"/>
            </w:tcBorders>
            <w:shd w:val="clear" w:color="auto" w:fill="auto"/>
            <w:vAlign w:val="center"/>
          </w:tcPr>
          <w:p w14:paraId="6AE2ACF7" w14:textId="77777777" w:rsidR="008037B6" w:rsidRPr="008037B6" w:rsidRDefault="008037B6" w:rsidP="008037B6">
            <w:pPr>
              <w:spacing w:before="20" w:after="20"/>
              <w:ind w:right="284"/>
              <w:jc w:val="right"/>
              <w:rPr>
                <w:rFonts w:eastAsia="Times New Roman"/>
                <w:b/>
                <w:sz w:val="18"/>
                <w:szCs w:val="18"/>
              </w:rPr>
            </w:pPr>
            <w:r w:rsidRPr="008037B6">
              <w:rPr>
                <w:rFonts w:eastAsia="Times New Roman"/>
                <w:b/>
                <w:sz w:val="18"/>
                <w:szCs w:val="18"/>
              </w:rPr>
              <w:t>21.6</w:t>
            </w:r>
          </w:p>
        </w:tc>
      </w:tr>
      <w:tr w:rsidR="008037B6" w:rsidRPr="008037B6" w14:paraId="76130E16" w14:textId="77777777" w:rsidTr="004F1C40">
        <w:trPr>
          <w:jc w:val="center"/>
        </w:trPr>
        <w:tc>
          <w:tcPr>
            <w:tcW w:w="8961" w:type="dxa"/>
            <w:gridSpan w:val="7"/>
            <w:tcBorders>
              <w:left w:val="nil"/>
              <w:bottom w:val="nil"/>
              <w:right w:val="nil"/>
            </w:tcBorders>
          </w:tcPr>
          <w:p w14:paraId="7ECEC781" w14:textId="77777777" w:rsidR="008037B6" w:rsidRPr="008037B6" w:rsidRDefault="008037B6" w:rsidP="008037B6">
            <w:pPr>
              <w:ind w:left="-45"/>
              <w:rPr>
                <w:rFonts w:eastAsia="Times New Roman"/>
                <w:sz w:val="20"/>
                <w:szCs w:val="20"/>
              </w:rPr>
            </w:pPr>
            <w:r w:rsidRPr="008037B6">
              <w:rPr>
                <w:rFonts w:eastAsia="Times New Roman"/>
                <w:sz w:val="20"/>
                <w:szCs w:val="20"/>
              </w:rPr>
              <w:t>* Camiones pesados incluye: F450, F550.</w:t>
            </w:r>
          </w:p>
          <w:p w14:paraId="5DC8A948" w14:textId="77777777" w:rsidR="008037B6" w:rsidRPr="008037B6" w:rsidRDefault="008037B6" w:rsidP="008037B6">
            <w:pPr>
              <w:ind w:right="-159"/>
              <w:jc w:val="both"/>
              <w:rPr>
                <w:rFonts w:eastAsia="Times New Roman"/>
                <w:b/>
                <w:sz w:val="20"/>
                <w:szCs w:val="20"/>
              </w:rPr>
            </w:pPr>
            <w:r w:rsidRPr="008037B6">
              <w:rPr>
                <w:rFonts w:eastAsia="Times New Roman"/>
                <w:sz w:val="20"/>
                <w:szCs w:val="20"/>
              </w:rPr>
              <w:t>FUENTE: AMDA.</w:t>
            </w:r>
          </w:p>
        </w:tc>
      </w:tr>
    </w:tbl>
    <w:p w14:paraId="54106783" w14:textId="77777777" w:rsidR="008037B6" w:rsidRDefault="008037B6" w:rsidP="008037B6">
      <w:pPr>
        <w:spacing w:after="360" w:line="360" w:lineRule="auto"/>
        <w:ind w:right="-159"/>
        <w:jc w:val="both"/>
        <w:rPr>
          <w:rFonts w:eastAsia="Times New Roman"/>
          <w:sz w:val="26"/>
          <w:szCs w:val="26"/>
        </w:rPr>
      </w:pPr>
    </w:p>
    <w:p w14:paraId="146000CE" w14:textId="77777777" w:rsidR="008037B6" w:rsidRPr="008037B6" w:rsidRDefault="008037B6" w:rsidP="008037B6">
      <w:pPr>
        <w:tabs>
          <w:tab w:val="left" w:pos="2835"/>
        </w:tabs>
        <w:spacing w:before="360" w:after="360" w:line="360" w:lineRule="auto"/>
        <w:ind w:right="-159"/>
        <w:jc w:val="both"/>
        <w:rPr>
          <w:rFonts w:eastAsia="Times New Roman"/>
          <w:b/>
          <w:bCs/>
          <w:sz w:val="26"/>
          <w:szCs w:val="26"/>
        </w:rPr>
      </w:pPr>
      <w:r w:rsidRPr="008037B6">
        <w:rPr>
          <w:rFonts w:eastAsia="Times New Roman"/>
          <w:b/>
          <w:bCs/>
          <w:sz w:val="26"/>
          <w:szCs w:val="26"/>
        </w:rPr>
        <w:t>Ventas mensuales en 2015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04"/>
        <w:gridCol w:w="1199"/>
        <w:gridCol w:w="1142"/>
        <w:gridCol w:w="1183"/>
        <w:gridCol w:w="1300"/>
      </w:tblGrid>
      <w:tr w:rsidR="008037B6" w:rsidRPr="008037B6" w14:paraId="45AAF31F" w14:textId="77777777" w:rsidTr="008037B6">
        <w:trPr>
          <w:jc w:val="center"/>
        </w:trPr>
        <w:tc>
          <w:tcPr>
            <w:tcW w:w="7028" w:type="dxa"/>
            <w:gridSpan w:val="5"/>
            <w:tcBorders>
              <w:top w:val="nil"/>
              <w:left w:val="nil"/>
              <w:bottom w:val="single" w:sz="4" w:space="0" w:color="auto"/>
              <w:right w:val="nil"/>
            </w:tcBorders>
            <w:shd w:val="clear" w:color="auto" w:fill="auto"/>
            <w:vAlign w:val="center"/>
          </w:tcPr>
          <w:p w14:paraId="420BAE1C" w14:textId="77777777" w:rsidR="008037B6" w:rsidRPr="008037B6" w:rsidRDefault="008037B6" w:rsidP="008037B6">
            <w:pPr>
              <w:tabs>
                <w:tab w:val="left" w:pos="2835"/>
              </w:tabs>
              <w:ind w:right="-159"/>
              <w:jc w:val="center"/>
              <w:rPr>
                <w:rFonts w:eastAsia="Times New Roman"/>
                <w:b/>
                <w:sz w:val="22"/>
                <w:szCs w:val="22"/>
              </w:rPr>
            </w:pPr>
            <w:r w:rsidRPr="008037B6">
              <w:rPr>
                <w:rFonts w:eastAsia="Times New Roman"/>
                <w:b/>
                <w:sz w:val="22"/>
                <w:szCs w:val="22"/>
              </w:rPr>
              <w:t>UNIDADES COMERCIALIZADAS</w:t>
            </w:r>
          </w:p>
          <w:p w14:paraId="552348C1" w14:textId="77777777" w:rsidR="008037B6" w:rsidRPr="008037B6" w:rsidRDefault="008037B6" w:rsidP="008037B6">
            <w:pPr>
              <w:tabs>
                <w:tab w:val="left" w:pos="2835"/>
              </w:tabs>
              <w:ind w:right="-159"/>
              <w:jc w:val="center"/>
              <w:rPr>
                <w:rFonts w:eastAsia="Times New Roman"/>
                <w:b/>
                <w:bCs/>
                <w:sz w:val="22"/>
                <w:szCs w:val="22"/>
              </w:rPr>
            </w:pPr>
            <w:r w:rsidRPr="008037B6">
              <w:rPr>
                <w:rFonts w:eastAsia="Times New Roman"/>
                <w:b/>
                <w:sz w:val="22"/>
                <w:szCs w:val="22"/>
              </w:rPr>
              <w:t>-</w:t>
            </w:r>
            <w:r w:rsidRPr="008037B6">
              <w:rPr>
                <w:rFonts w:eastAsia="Times New Roman"/>
                <w:b/>
                <w:bCs/>
                <w:sz w:val="22"/>
                <w:szCs w:val="22"/>
              </w:rPr>
              <w:t>Enero y Febrero 2015-</w:t>
            </w:r>
          </w:p>
        </w:tc>
      </w:tr>
      <w:tr w:rsidR="008037B6" w:rsidRPr="008037B6" w14:paraId="16C17871" w14:textId="77777777" w:rsidTr="008037B6">
        <w:trPr>
          <w:jc w:val="center"/>
        </w:trPr>
        <w:tc>
          <w:tcPr>
            <w:tcW w:w="2204" w:type="dxa"/>
            <w:vMerge w:val="restart"/>
            <w:tcBorders>
              <w:bottom w:val="single" w:sz="4" w:space="0" w:color="auto"/>
            </w:tcBorders>
            <w:shd w:val="clear" w:color="auto" w:fill="auto"/>
            <w:vAlign w:val="center"/>
          </w:tcPr>
          <w:p w14:paraId="4A3DD264" w14:textId="77777777" w:rsidR="008037B6" w:rsidRPr="008037B6" w:rsidRDefault="008037B6" w:rsidP="008037B6">
            <w:pPr>
              <w:spacing w:before="20" w:after="20"/>
              <w:jc w:val="center"/>
              <w:rPr>
                <w:rFonts w:eastAsia="Times New Roman"/>
                <w:b/>
                <w:sz w:val="18"/>
                <w:szCs w:val="20"/>
              </w:rPr>
            </w:pPr>
            <w:r w:rsidRPr="008037B6">
              <w:rPr>
                <w:rFonts w:eastAsia="Times New Roman"/>
                <w:b/>
                <w:sz w:val="18"/>
                <w:szCs w:val="20"/>
              </w:rPr>
              <w:t>Segmento</w:t>
            </w:r>
          </w:p>
        </w:tc>
        <w:tc>
          <w:tcPr>
            <w:tcW w:w="1199" w:type="dxa"/>
            <w:vMerge w:val="restart"/>
            <w:tcBorders>
              <w:bottom w:val="single" w:sz="4" w:space="0" w:color="auto"/>
            </w:tcBorders>
            <w:shd w:val="clear" w:color="auto" w:fill="auto"/>
            <w:vAlign w:val="center"/>
          </w:tcPr>
          <w:p w14:paraId="40BD0FE8" w14:textId="77777777" w:rsidR="008037B6" w:rsidRPr="008037B6" w:rsidRDefault="008037B6" w:rsidP="008037B6">
            <w:pPr>
              <w:spacing w:before="20" w:after="20"/>
              <w:jc w:val="center"/>
              <w:rPr>
                <w:rFonts w:eastAsia="Times New Roman"/>
                <w:b/>
                <w:sz w:val="18"/>
                <w:szCs w:val="20"/>
              </w:rPr>
            </w:pPr>
            <w:r w:rsidRPr="008037B6">
              <w:rPr>
                <w:rFonts w:eastAsia="Times New Roman"/>
                <w:b/>
                <w:sz w:val="18"/>
                <w:szCs w:val="20"/>
              </w:rPr>
              <w:t xml:space="preserve">Enero </w:t>
            </w:r>
          </w:p>
        </w:tc>
        <w:tc>
          <w:tcPr>
            <w:tcW w:w="1142" w:type="dxa"/>
            <w:vMerge w:val="restart"/>
            <w:tcBorders>
              <w:bottom w:val="single" w:sz="4" w:space="0" w:color="auto"/>
            </w:tcBorders>
            <w:shd w:val="clear" w:color="auto" w:fill="auto"/>
            <w:vAlign w:val="center"/>
          </w:tcPr>
          <w:p w14:paraId="30181F5C" w14:textId="77777777" w:rsidR="008037B6" w:rsidRPr="008037B6" w:rsidRDefault="008037B6" w:rsidP="008037B6">
            <w:pPr>
              <w:spacing w:before="20" w:after="20"/>
              <w:jc w:val="center"/>
              <w:rPr>
                <w:rFonts w:eastAsia="Times New Roman"/>
                <w:b/>
                <w:sz w:val="18"/>
                <w:szCs w:val="20"/>
              </w:rPr>
            </w:pPr>
            <w:r w:rsidRPr="008037B6">
              <w:rPr>
                <w:rFonts w:eastAsia="Times New Roman"/>
                <w:b/>
                <w:sz w:val="18"/>
                <w:szCs w:val="20"/>
              </w:rPr>
              <w:t>Febrero</w:t>
            </w:r>
          </w:p>
        </w:tc>
        <w:tc>
          <w:tcPr>
            <w:tcW w:w="2483" w:type="dxa"/>
            <w:gridSpan w:val="2"/>
            <w:tcBorders>
              <w:bottom w:val="single" w:sz="4" w:space="0" w:color="auto"/>
            </w:tcBorders>
            <w:shd w:val="clear" w:color="auto" w:fill="auto"/>
            <w:vAlign w:val="center"/>
          </w:tcPr>
          <w:p w14:paraId="2877CB5D" w14:textId="77777777" w:rsidR="008037B6" w:rsidRPr="008037B6" w:rsidRDefault="008037B6" w:rsidP="008037B6">
            <w:pPr>
              <w:spacing w:before="20" w:after="20"/>
              <w:jc w:val="center"/>
              <w:rPr>
                <w:rFonts w:eastAsia="Times New Roman"/>
                <w:b/>
                <w:sz w:val="18"/>
                <w:szCs w:val="20"/>
              </w:rPr>
            </w:pPr>
            <w:r w:rsidRPr="008037B6">
              <w:rPr>
                <w:rFonts w:eastAsia="Times New Roman"/>
                <w:b/>
                <w:sz w:val="18"/>
                <w:szCs w:val="20"/>
              </w:rPr>
              <w:t>Variación</w:t>
            </w:r>
          </w:p>
        </w:tc>
      </w:tr>
      <w:tr w:rsidR="008037B6" w:rsidRPr="008037B6" w14:paraId="45593E82" w14:textId="77777777" w:rsidTr="008037B6">
        <w:trPr>
          <w:jc w:val="center"/>
        </w:trPr>
        <w:tc>
          <w:tcPr>
            <w:tcW w:w="2204" w:type="dxa"/>
            <w:vMerge/>
            <w:tcBorders>
              <w:top w:val="single" w:sz="4" w:space="0" w:color="auto"/>
              <w:bottom w:val="single" w:sz="4" w:space="0" w:color="auto"/>
            </w:tcBorders>
            <w:shd w:val="clear" w:color="auto" w:fill="auto"/>
            <w:vAlign w:val="center"/>
          </w:tcPr>
          <w:p w14:paraId="17364FBC" w14:textId="77777777" w:rsidR="008037B6" w:rsidRPr="008037B6" w:rsidRDefault="008037B6" w:rsidP="008037B6">
            <w:pPr>
              <w:spacing w:before="20" w:after="20"/>
              <w:jc w:val="both"/>
              <w:rPr>
                <w:rFonts w:eastAsia="Times New Roman"/>
                <w:b/>
                <w:sz w:val="18"/>
                <w:szCs w:val="20"/>
              </w:rPr>
            </w:pPr>
          </w:p>
        </w:tc>
        <w:tc>
          <w:tcPr>
            <w:tcW w:w="1199" w:type="dxa"/>
            <w:vMerge/>
            <w:tcBorders>
              <w:top w:val="single" w:sz="4" w:space="0" w:color="auto"/>
              <w:bottom w:val="single" w:sz="4" w:space="0" w:color="auto"/>
            </w:tcBorders>
            <w:shd w:val="clear" w:color="auto" w:fill="auto"/>
          </w:tcPr>
          <w:p w14:paraId="199D9A1E" w14:textId="77777777" w:rsidR="008037B6" w:rsidRPr="008037B6" w:rsidRDefault="008037B6" w:rsidP="008037B6">
            <w:pPr>
              <w:spacing w:before="20" w:after="20"/>
              <w:jc w:val="both"/>
              <w:rPr>
                <w:rFonts w:eastAsia="Times New Roman"/>
                <w:b/>
                <w:sz w:val="18"/>
                <w:szCs w:val="20"/>
              </w:rPr>
            </w:pPr>
          </w:p>
        </w:tc>
        <w:tc>
          <w:tcPr>
            <w:tcW w:w="1142" w:type="dxa"/>
            <w:vMerge/>
            <w:tcBorders>
              <w:top w:val="single" w:sz="4" w:space="0" w:color="auto"/>
              <w:bottom w:val="single" w:sz="4" w:space="0" w:color="auto"/>
            </w:tcBorders>
            <w:shd w:val="clear" w:color="auto" w:fill="auto"/>
          </w:tcPr>
          <w:p w14:paraId="4E2E3AED" w14:textId="77777777" w:rsidR="008037B6" w:rsidRPr="008037B6" w:rsidRDefault="008037B6" w:rsidP="008037B6">
            <w:pPr>
              <w:spacing w:before="20" w:after="20"/>
              <w:jc w:val="center"/>
              <w:rPr>
                <w:rFonts w:eastAsia="Times New Roman"/>
                <w:b/>
                <w:sz w:val="18"/>
                <w:szCs w:val="20"/>
              </w:rPr>
            </w:pPr>
          </w:p>
        </w:tc>
        <w:tc>
          <w:tcPr>
            <w:tcW w:w="1183" w:type="dxa"/>
            <w:tcBorders>
              <w:top w:val="single" w:sz="4" w:space="0" w:color="auto"/>
              <w:bottom w:val="single" w:sz="4" w:space="0" w:color="auto"/>
            </w:tcBorders>
            <w:shd w:val="clear" w:color="auto" w:fill="auto"/>
            <w:vAlign w:val="center"/>
          </w:tcPr>
          <w:p w14:paraId="5E97819E" w14:textId="77777777" w:rsidR="008037B6" w:rsidRPr="008037B6" w:rsidRDefault="008037B6" w:rsidP="008037B6">
            <w:pPr>
              <w:spacing w:before="20" w:after="20"/>
              <w:jc w:val="center"/>
              <w:rPr>
                <w:rFonts w:eastAsia="Times New Roman"/>
                <w:b/>
                <w:sz w:val="18"/>
                <w:szCs w:val="20"/>
              </w:rPr>
            </w:pPr>
            <w:r w:rsidRPr="008037B6">
              <w:rPr>
                <w:rFonts w:eastAsia="Times New Roman"/>
                <w:b/>
                <w:sz w:val="18"/>
                <w:szCs w:val="20"/>
              </w:rPr>
              <w:t>Unidades</w:t>
            </w:r>
          </w:p>
        </w:tc>
        <w:tc>
          <w:tcPr>
            <w:tcW w:w="1300" w:type="dxa"/>
            <w:tcBorders>
              <w:top w:val="single" w:sz="4" w:space="0" w:color="auto"/>
              <w:bottom w:val="single" w:sz="4" w:space="0" w:color="auto"/>
            </w:tcBorders>
            <w:shd w:val="clear" w:color="auto" w:fill="auto"/>
            <w:vAlign w:val="center"/>
          </w:tcPr>
          <w:p w14:paraId="75547D56" w14:textId="77777777" w:rsidR="008037B6" w:rsidRPr="008037B6" w:rsidRDefault="008037B6" w:rsidP="008037B6">
            <w:pPr>
              <w:spacing w:before="20" w:after="20"/>
              <w:jc w:val="center"/>
              <w:rPr>
                <w:rFonts w:eastAsia="Times New Roman"/>
                <w:b/>
                <w:sz w:val="18"/>
                <w:szCs w:val="20"/>
              </w:rPr>
            </w:pPr>
            <w:r w:rsidRPr="008037B6">
              <w:rPr>
                <w:rFonts w:eastAsia="Times New Roman"/>
                <w:b/>
                <w:sz w:val="18"/>
                <w:szCs w:val="20"/>
              </w:rPr>
              <w:t>Porcentaje</w:t>
            </w:r>
          </w:p>
        </w:tc>
      </w:tr>
      <w:tr w:rsidR="008037B6" w:rsidRPr="008037B6" w14:paraId="6A34C58E" w14:textId="77777777" w:rsidTr="008037B6">
        <w:trPr>
          <w:jc w:val="center"/>
        </w:trPr>
        <w:tc>
          <w:tcPr>
            <w:tcW w:w="2204" w:type="dxa"/>
            <w:tcBorders>
              <w:top w:val="single" w:sz="4" w:space="0" w:color="auto"/>
              <w:bottom w:val="nil"/>
            </w:tcBorders>
            <w:shd w:val="clear" w:color="auto" w:fill="auto"/>
            <w:vAlign w:val="center"/>
          </w:tcPr>
          <w:p w14:paraId="0BBFDB38" w14:textId="77777777" w:rsidR="008037B6" w:rsidRPr="008037B6" w:rsidRDefault="008037B6" w:rsidP="008037B6">
            <w:pPr>
              <w:spacing w:before="20" w:after="20"/>
              <w:jc w:val="both"/>
              <w:rPr>
                <w:rFonts w:eastAsia="Times New Roman"/>
                <w:sz w:val="18"/>
                <w:szCs w:val="20"/>
              </w:rPr>
            </w:pPr>
            <w:r w:rsidRPr="008037B6">
              <w:rPr>
                <w:rFonts w:eastAsia="Times New Roman"/>
                <w:sz w:val="18"/>
                <w:szCs w:val="20"/>
              </w:rPr>
              <w:t>Subcompactos</w:t>
            </w:r>
          </w:p>
        </w:tc>
        <w:tc>
          <w:tcPr>
            <w:tcW w:w="1199" w:type="dxa"/>
            <w:tcBorders>
              <w:top w:val="single" w:sz="4" w:space="0" w:color="auto"/>
              <w:bottom w:val="nil"/>
            </w:tcBorders>
            <w:shd w:val="clear" w:color="auto" w:fill="auto"/>
            <w:vAlign w:val="center"/>
          </w:tcPr>
          <w:p w14:paraId="5A49AC96" w14:textId="77777777" w:rsidR="008037B6" w:rsidRPr="008037B6" w:rsidRDefault="008037B6" w:rsidP="008037B6">
            <w:pPr>
              <w:spacing w:before="20" w:after="20"/>
              <w:ind w:left="-1554" w:right="227"/>
              <w:jc w:val="right"/>
              <w:rPr>
                <w:rFonts w:eastAsia="Times New Roman"/>
                <w:sz w:val="18"/>
                <w:szCs w:val="18"/>
              </w:rPr>
            </w:pPr>
            <w:r w:rsidRPr="008037B6">
              <w:rPr>
                <w:rFonts w:eastAsia="Times New Roman"/>
                <w:sz w:val="18"/>
                <w:szCs w:val="18"/>
              </w:rPr>
              <w:t>37 500</w:t>
            </w:r>
          </w:p>
        </w:tc>
        <w:tc>
          <w:tcPr>
            <w:tcW w:w="1142" w:type="dxa"/>
            <w:tcBorders>
              <w:top w:val="single" w:sz="4" w:space="0" w:color="auto"/>
              <w:bottom w:val="nil"/>
            </w:tcBorders>
            <w:shd w:val="clear" w:color="auto" w:fill="auto"/>
            <w:vAlign w:val="center"/>
          </w:tcPr>
          <w:p w14:paraId="576EEE00" w14:textId="77777777" w:rsidR="008037B6" w:rsidRPr="008037B6" w:rsidRDefault="008037B6" w:rsidP="008037B6">
            <w:pPr>
              <w:spacing w:before="20" w:after="20"/>
              <w:ind w:left="-1554" w:right="170"/>
              <w:jc w:val="right"/>
              <w:rPr>
                <w:rFonts w:eastAsia="Times New Roman"/>
                <w:sz w:val="18"/>
                <w:szCs w:val="18"/>
              </w:rPr>
            </w:pPr>
            <w:r w:rsidRPr="008037B6">
              <w:rPr>
                <w:rFonts w:eastAsia="Times New Roman"/>
                <w:sz w:val="18"/>
                <w:szCs w:val="18"/>
              </w:rPr>
              <w:t>34 944</w:t>
            </w:r>
          </w:p>
        </w:tc>
        <w:tc>
          <w:tcPr>
            <w:tcW w:w="1183" w:type="dxa"/>
            <w:tcBorders>
              <w:top w:val="single" w:sz="4" w:space="0" w:color="auto"/>
              <w:bottom w:val="nil"/>
            </w:tcBorders>
            <w:shd w:val="clear" w:color="auto" w:fill="auto"/>
            <w:vAlign w:val="center"/>
          </w:tcPr>
          <w:p w14:paraId="55AD6B56" w14:textId="77777777" w:rsidR="008037B6" w:rsidRPr="008037B6" w:rsidRDefault="008037B6" w:rsidP="008037B6">
            <w:pPr>
              <w:spacing w:before="20" w:after="20"/>
              <w:ind w:left="-1554" w:right="227"/>
              <w:jc w:val="right"/>
              <w:rPr>
                <w:rFonts w:eastAsia="Times New Roman"/>
                <w:sz w:val="18"/>
                <w:szCs w:val="18"/>
              </w:rPr>
            </w:pPr>
            <w:r w:rsidRPr="008037B6">
              <w:rPr>
                <w:rFonts w:eastAsia="Times New Roman"/>
                <w:sz w:val="18"/>
                <w:szCs w:val="18"/>
              </w:rPr>
              <w:t>-2 556</w:t>
            </w:r>
          </w:p>
        </w:tc>
        <w:tc>
          <w:tcPr>
            <w:tcW w:w="1300" w:type="dxa"/>
            <w:tcBorders>
              <w:top w:val="single" w:sz="4" w:space="0" w:color="auto"/>
              <w:bottom w:val="nil"/>
            </w:tcBorders>
            <w:shd w:val="clear" w:color="auto" w:fill="auto"/>
            <w:vAlign w:val="center"/>
          </w:tcPr>
          <w:p w14:paraId="78FBAD50" w14:textId="77777777" w:rsidR="008037B6" w:rsidRPr="008037B6" w:rsidRDefault="008037B6" w:rsidP="008037B6">
            <w:pPr>
              <w:spacing w:before="20" w:after="20"/>
              <w:ind w:right="284"/>
              <w:jc w:val="right"/>
              <w:rPr>
                <w:rFonts w:eastAsia="Times New Roman"/>
                <w:sz w:val="18"/>
                <w:szCs w:val="18"/>
              </w:rPr>
            </w:pPr>
            <w:r w:rsidRPr="008037B6">
              <w:rPr>
                <w:rFonts w:eastAsia="Times New Roman"/>
                <w:sz w:val="18"/>
                <w:szCs w:val="18"/>
              </w:rPr>
              <w:t>-6.8</w:t>
            </w:r>
          </w:p>
        </w:tc>
      </w:tr>
      <w:tr w:rsidR="008037B6" w:rsidRPr="008037B6" w14:paraId="4353D271" w14:textId="77777777" w:rsidTr="008037B6">
        <w:trPr>
          <w:jc w:val="center"/>
        </w:trPr>
        <w:tc>
          <w:tcPr>
            <w:tcW w:w="2204" w:type="dxa"/>
            <w:tcBorders>
              <w:top w:val="nil"/>
              <w:bottom w:val="nil"/>
            </w:tcBorders>
            <w:shd w:val="clear" w:color="auto" w:fill="auto"/>
            <w:vAlign w:val="center"/>
          </w:tcPr>
          <w:p w14:paraId="058BBD38" w14:textId="77777777" w:rsidR="008037B6" w:rsidRPr="008037B6" w:rsidRDefault="008037B6" w:rsidP="008037B6">
            <w:pPr>
              <w:spacing w:before="20" w:after="20"/>
              <w:jc w:val="both"/>
              <w:rPr>
                <w:rFonts w:eastAsia="Times New Roman"/>
                <w:sz w:val="18"/>
                <w:szCs w:val="20"/>
              </w:rPr>
            </w:pPr>
            <w:r w:rsidRPr="008037B6">
              <w:rPr>
                <w:rFonts w:eastAsia="Times New Roman"/>
                <w:sz w:val="18"/>
                <w:szCs w:val="20"/>
              </w:rPr>
              <w:t>Compactos</w:t>
            </w:r>
          </w:p>
        </w:tc>
        <w:tc>
          <w:tcPr>
            <w:tcW w:w="1199" w:type="dxa"/>
            <w:tcBorders>
              <w:top w:val="nil"/>
              <w:bottom w:val="nil"/>
            </w:tcBorders>
            <w:shd w:val="clear" w:color="auto" w:fill="auto"/>
            <w:vAlign w:val="center"/>
          </w:tcPr>
          <w:p w14:paraId="5CE6BEA5" w14:textId="77777777" w:rsidR="008037B6" w:rsidRPr="008037B6" w:rsidRDefault="008037B6" w:rsidP="008037B6">
            <w:pPr>
              <w:spacing w:before="20" w:after="20"/>
              <w:ind w:left="-1554" w:right="227"/>
              <w:jc w:val="right"/>
              <w:rPr>
                <w:rFonts w:eastAsia="Times New Roman"/>
                <w:sz w:val="18"/>
                <w:szCs w:val="18"/>
              </w:rPr>
            </w:pPr>
            <w:r w:rsidRPr="008037B6">
              <w:rPr>
                <w:rFonts w:eastAsia="Times New Roman"/>
                <w:sz w:val="18"/>
                <w:szCs w:val="18"/>
              </w:rPr>
              <w:t>26 685</w:t>
            </w:r>
          </w:p>
        </w:tc>
        <w:tc>
          <w:tcPr>
            <w:tcW w:w="1142" w:type="dxa"/>
            <w:tcBorders>
              <w:top w:val="nil"/>
              <w:bottom w:val="nil"/>
            </w:tcBorders>
            <w:shd w:val="clear" w:color="auto" w:fill="auto"/>
            <w:vAlign w:val="center"/>
          </w:tcPr>
          <w:p w14:paraId="1B2CADB7" w14:textId="77777777" w:rsidR="008037B6" w:rsidRPr="008037B6" w:rsidRDefault="008037B6" w:rsidP="008037B6">
            <w:pPr>
              <w:spacing w:before="20" w:after="20"/>
              <w:ind w:left="-1554" w:right="170"/>
              <w:jc w:val="right"/>
              <w:rPr>
                <w:rFonts w:eastAsia="Times New Roman"/>
                <w:sz w:val="18"/>
                <w:szCs w:val="18"/>
              </w:rPr>
            </w:pPr>
            <w:r w:rsidRPr="008037B6">
              <w:rPr>
                <w:rFonts w:eastAsia="Times New Roman"/>
                <w:sz w:val="18"/>
                <w:szCs w:val="18"/>
              </w:rPr>
              <w:t>25 292</w:t>
            </w:r>
          </w:p>
        </w:tc>
        <w:tc>
          <w:tcPr>
            <w:tcW w:w="1183" w:type="dxa"/>
            <w:tcBorders>
              <w:top w:val="nil"/>
              <w:bottom w:val="nil"/>
            </w:tcBorders>
            <w:shd w:val="clear" w:color="auto" w:fill="auto"/>
            <w:vAlign w:val="center"/>
          </w:tcPr>
          <w:p w14:paraId="1C10FCEE" w14:textId="77777777" w:rsidR="008037B6" w:rsidRPr="008037B6" w:rsidRDefault="008037B6" w:rsidP="008037B6">
            <w:pPr>
              <w:spacing w:before="20" w:after="20"/>
              <w:ind w:left="-1554" w:right="227"/>
              <w:jc w:val="right"/>
              <w:rPr>
                <w:rFonts w:eastAsia="Times New Roman"/>
                <w:sz w:val="18"/>
                <w:szCs w:val="18"/>
              </w:rPr>
            </w:pPr>
            <w:r w:rsidRPr="008037B6">
              <w:rPr>
                <w:rFonts w:eastAsia="Times New Roman"/>
                <w:sz w:val="18"/>
                <w:szCs w:val="18"/>
              </w:rPr>
              <w:t>-1 393</w:t>
            </w:r>
          </w:p>
        </w:tc>
        <w:tc>
          <w:tcPr>
            <w:tcW w:w="1300" w:type="dxa"/>
            <w:tcBorders>
              <w:top w:val="nil"/>
              <w:bottom w:val="nil"/>
            </w:tcBorders>
            <w:shd w:val="clear" w:color="auto" w:fill="auto"/>
            <w:vAlign w:val="center"/>
          </w:tcPr>
          <w:p w14:paraId="52C3F9D2" w14:textId="77777777" w:rsidR="008037B6" w:rsidRPr="008037B6" w:rsidRDefault="008037B6" w:rsidP="008037B6">
            <w:pPr>
              <w:spacing w:before="20" w:after="20"/>
              <w:ind w:right="284"/>
              <w:jc w:val="right"/>
              <w:rPr>
                <w:rFonts w:eastAsia="Times New Roman"/>
                <w:sz w:val="18"/>
                <w:szCs w:val="18"/>
              </w:rPr>
            </w:pPr>
            <w:r w:rsidRPr="008037B6">
              <w:rPr>
                <w:rFonts w:eastAsia="Times New Roman"/>
                <w:sz w:val="18"/>
                <w:szCs w:val="18"/>
              </w:rPr>
              <w:t>-5.2</w:t>
            </w:r>
          </w:p>
        </w:tc>
      </w:tr>
      <w:tr w:rsidR="008037B6" w:rsidRPr="008037B6" w14:paraId="689F9E39" w14:textId="77777777" w:rsidTr="008037B6">
        <w:trPr>
          <w:jc w:val="center"/>
        </w:trPr>
        <w:tc>
          <w:tcPr>
            <w:tcW w:w="2204" w:type="dxa"/>
            <w:tcBorders>
              <w:top w:val="nil"/>
              <w:bottom w:val="nil"/>
            </w:tcBorders>
            <w:shd w:val="clear" w:color="auto" w:fill="auto"/>
            <w:vAlign w:val="center"/>
          </w:tcPr>
          <w:p w14:paraId="01BD1B23" w14:textId="77777777" w:rsidR="008037B6" w:rsidRPr="008037B6" w:rsidRDefault="008037B6" w:rsidP="008037B6">
            <w:pPr>
              <w:spacing w:before="20" w:after="20"/>
              <w:jc w:val="both"/>
              <w:rPr>
                <w:rFonts w:eastAsia="Times New Roman"/>
                <w:sz w:val="18"/>
                <w:szCs w:val="20"/>
              </w:rPr>
            </w:pPr>
            <w:r w:rsidRPr="008037B6">
              <w:rPr>
                <w:rFonts w:eastAsia="Times New Roman"/>
                <w:sz w:val="18"/>
                <w:szCs w:val="20"/>
              </w:rPr>
              <w:t>De lujo</w:t>
            </w:r>
          </w:p>
        </w:tc>
        <w:tc>
          <w:tcPr>
            <w:tcW w:w="1199" w:type="dxa"/>
            <w:tcBorders>
              <w:top w:val="nil"/>
              <w:bottom w:val="nil"/>
            </w:tcBorders>
            <w:shd w:val="clear" w:color="auto" w:fill="auto"/>
            <w:vAlign w:val="center"/>
          </w:tcPr>
          <w:p w14:paraId="4EC6B846" w14:textId="77777777" w:rsidR="008037B6" w:rsidRPr="008037B6" w:rsidRDefault="008037B6" w:rsidP="008037B6">
            <w:pPr>
              <w:spacing w:before="20" w:after="20"/>
              <w:ind w:left="-1554" w:right="227"/>
              <w:jc w:val="right"/>
              <w:rPr>
                <w:rFonts w:eastAsia="Times New Roman"/>
                <w:sz w:val="18"/>
                <w:szCs w:val="18"/>
              </w:rPr>
            </w:pPr>
            <w:r w:rsidRPr="008037B6">
              <w:rPr>
                <w:rFonts w:eastAsia="Times New Roman"/>
                <w:sz w:val="18"/>
                <w:szCs w:val="18"/>
              </w:rPr>
              <w:t>4 994</w:t>
            </w:r>
          </w:p>
        </w:tc>
        <w:tc>
          <w:tcPr>
            <w:tcW w:w="1142" w:type="dxa"/>
            <w:tcBorders>
              <w:top w:val="nil"/>
              <w:bottom w:val="nil"/>
            </w:tcBorders>
            <w:shd w:val="clear" w:color="auto" w:fill="auto"/>
            <w:vAlign w:val="center"/>
          </w:tcPr>
          <w:p w14:paraId="389835DE" w14:textId="77777777" w:rsidR="008037B6" w:rsidRPr="008037B6" w:rsidRDefault="008037B6" w:rsidP="008037B6">
            <w:pPr>
              <w:spacing w:before="20" w:after="20"/>
              <w:ind w:left="-1554" w:right="170"/>
              <w:jc w:val="right"/>
              <w:rPr>
                <w:rFonts w:eastAsia="Times New Roman"/>
                <w:sz w:val="18"/>
                <w:szCs w:val="18"/>
              </w:rPr>
            </w:pPr>
            <w:r w:rsidRPr="008037B6">
              <w:rPr>
                <w:rFonts w:eastAsia="Times New Roman"/>
                <w:sz w:val="18"/>
                <w:szCs w:val="18"/>
              </w:rPr>
              <w:t>5 057</w:t>
            </w:r>
          </w:p>
        </w:tc>
        <w:tc>
          <w:tcPr>
            <w:tcW w:w="1183" w:type="dxa"/>
            <w:tcBorders>
              <w:top w:val="nil"/>
              <w:bottom w:val="nil"/>
            </w:tcBorders>
            <w:shd w:val="clear" w:color="auto" w:fill="auto"/>
            <w:vAlign w:val="center"/>
          </w:tcPr>
          <w:p w14:paraId="4257475C" w14:textId="77777777" w:rsidR="008037B6" w:rsidRPr="008037B6" w:rsidRDefault="008037B6" w:rsidP="008037B6">
            <w:pPr>
              <w:spacing w:before="20" w:after="20"/>
              <w:ind w:left="-1554" w:right="227"/>
              <w:jc w:val="right"/>
              <w:rPr>
                <w:rFonts w:eastAsia="Times New Roman"/>
                <w:sz w:val="18"/>
                <w:szCs w:val="18"/>
              </w:rPr>
            </w:pPr>
            <w:r w:rsidRPr="008037B6">
              <w:rPr>
                <w:rFonts w:eastAsia="Times New Roman"/>
                <w:sz w:val="18"/>
                <w:szCs w:val="18"/>
              </w:rPr>
              <w:t>63</w:t>
            </w:r>
          </w:p>
        </w:tc>
        <w:tc>
          <w:tcPr>
            <w:tcW w:w="1300" w:type="dxa"/>
            <w:tcBorders>
              <w:top w:val="nil"/>
              <w:bottom w:val="nil"/>
            </w:tcBorders>
            <w:shd w:val="clear" w:color="auto" w:fill="auto"/>
            <w:vAlign w:val="center"/>
          </w:tcPr>
          <w:p w14:paraId="295979BA" w14:textId="77777777" w:rsidR="008037B6" w:rsidRPr="008037B6" w:rsidRDefault="008037B6" w:rsidP="008037B6">
            <w:pPr>
              <w:spacing w:before="20" w:after="20"/>
              <w:ind w:right="284"/>
              <w:jc w:val="right"/>
              <w:rPr>
                <w:rFonts w:eastAsia="Times New Roman"/>
                <w:sz w:val="18"/>
                <w:szCs w:val="18"/>
              </w:rPr>
            </w:pPr>
            <w:r w:rsidRPr="008037B6">
              <w:rPr>
                <w:rFonts w:eastAsia="Times New Roman"/>
                <w:sz w:val="18"/>
                <w:szCs w:val="18"/>
              </w:rPr>
              <w:t>1.3</w:t>
            </w:r>
          </w:p>
        </w:tc>
      </w:tr>
      <w:tr w:rsidR="008037B6" w:rsidRPr="008037B6" w14:paraId="11E44D4D" w14:textId="77777777" w:rsidTr="008037B6">
        <w:trPr>
          <w:jc w:val="center"/>
        </w:trPr>
        <w:tc>
          <w:tcPr>
            <w:tcW w:w="2204" w:type="dxa"/>
            <w:tcBorders>
              <w:top w:val="nil"/>
              <w:bottom w:val="nil"/>
            </w:tcBorders>
            <w:shd w:val="clear" w:color="auto" w:fill="auto"/>
            <w:vAlign w:val="center"/>
          </w:tcPr>
          <w:p w14:paraId="4E85DFC0" w14:textId="77777777" w:rsidR="008037B6" w:rsidRPr="008037B6" w:rsidRDefault="008037B6" w:rsidP="008037B6">
            <w:pPr>
              <w:spacing w:before="20" w:after="20"/>
              <w:jc w:val="both"/>
              <w:rPr>
                <w:rFonts w:eastAsia="Times New Roman"/>
                <w:sz w:val="18"/>
                <w:szCs w:val="20"/>
              </w:rPr>
            </w:pPr>
            <w:r w:rsidRPr="008037B6">
              <w:rPr>
                <w:rFonts w:eastAsia="Times New Roman"/>
                <w:sz w:val="18"/>
                <w:szCs w:val="20"/>
              </w:rPr>
              <w:t>Deportivos</w:t>
            </w:r>
          </w:p>
        </w:tc>
        <w:tc>
          <w:tcPr>
            <w:tcW w:w="1199" w:type="dxa"/>
            <w:tcBorders>
              <w:top w:val="nil"/>
              <w:bottom w:val="nil"/>
            </w:tcBorders>
            <w:shd w:val="clear" w:color="auto" w:fill="auto"/>
            <w:vAlign w:val="center"/>
          </w:tcPr>
          <w:p w14:paraId="00E5A9F0" w14:textId="77777777" w:rsidR="008037B6" w:rsidRPr="008037B6" w:rsidRDefault="008037B6" w:rsidP="008037B6">
            <w:pPr>
              <w:spacing w:before="20" w:after="20"/>
              <w:ind w:left="-1554" w:right="227"/>
              <w:jc w:val="right"/>
              <w:rPr>
                <w:rFonts w:eastAsia="Times New Roman"/>
                <w:sz w:val="18"/>
                <w:szCs w:val="18"/>
              </w:rPr>
            </w:pPr>
            <w:r w:rsidRPr="008037B6">
              <w:rPr>
                <w:rFonts w:eastAsia="Times New Roman"/>
                <w:sz w:val="18"/>
                <w:szCs w:val="18"/>
              </w:rPr>
              <w:t>842</w:t>
            </w:r>
          </w:p>
        </w:tc>
        <w:tc>
          <w:tcPr>
            <w:tcW w:w="1142" w:type="dxa"/>
            <w:tcBorders>
              <w:top w:val="nil"/>
              <w:bottom w:val="nil"/>
            </w:tcBorders>
            <w:shd w:val="clear" w:color="auto" w:fill="auto"/>
            <w:vAlign w:val="center"/>
          </w:tcPr>
          <w:p w14:paraId="05B4FFDB" w14:textId="77777777" w:rsidR="008037B6" w:rsidRPr="008037B6" w:rsidRDefault="008037B6" w:rsidP="008037B6">
            <w:pPr>
              <w:spacing w:before="20" w:after="20"/>
              <w:ind w:left="-1554" w:right="170"/>
              <w:jc w:val="right"/>
              <w:rPr>
                <w:rFonts w:eastAsia="Times New Roman"/>
                <w:sz w:val="18"/>
                <w:szCs w:val="18"/>
              </w:rPr>
            </w:pPr>
            <w:r w:rsidRPr="008037B6">
              <w:rPr>
                <w:rFonts w:eastAsia="Times New Roman"/>
                <w:sz w:val="18"/>
                <w:szCs w:val="18"/>
              </w:rPr>
              <w:t>738</w:t>
            </w:r>
          </w:p>
        </w:tc>
        <w:tc>
          <w:tcPr>
            <w:tcW w:w="1183" w:type="dxa"/>
            <w:tcBorders>
              <w:top w:val="nil"/>
              <w:bottom w:val="nil"/>
            </w:tcBorders>
            <w:shd w:val="clear" w:color="auto" w:fill="auto"/>
            <w:vAlign w:val="center"/>
          </w:tcPr>
          <w:p w14:paraId="0BC839B9" w14:textId="77777777" w:rsidR="008037B6" w:rsidRPr="008037B6" w:rsidRDefault="008037B6" w:rsidP="008037B6">
            <w:pPr>
              <w:spacing w:before="20" w:after="20"/>
              <w:ind w:left="-1554" w:right="227"/>
              <w:jc w:val="right"/>
              <w:rPr>
                <w:rFonts w:eastAsia="Times New Roman"/>
                <w:sz w:val="18"/>
                <w:szCs w:val="18"/>
              </w:rPr>
            </w:pPr>
            <w:r w:rsidRPr="008037B6">
              <w:rPr>
                <w:rFonts w:eastAsia="Times New Roman"/>
                <w:sz w:val="18"/>
                <w:szCs w:val="18"/>
              </w:rPr>
              <w:t>-104</w:t>
            </w:r>
          </w:p>
        </w:tc>
        <w:tc>
          <w:tcPr>
            <w:tcW w:w="1300" w:type="dxa"/>
            <w:tcBorders>
              <w:top w:val="nil"/>
              <w:bottom w:val="nil"/>
            </w:tcBorders>
            <w:shd w:val="clear" w:color="auto" w:fill="auto"/>
            <w:vAlign w:val="center"/>
          </w:tcPr>
          <w:p w14:paraId="1B5B1FEB" w14:textId="77777777" w:rsidR="008037B6" w:rsidRPr="008037B6" w:rsidRDefault="008037B6" w:rsidP="008037B6">
            <w:pPr>
              <w:spacing w:before="20" w:after="20"/>
              <w:ind w:right="284"/>
              <w:jc w:val="right"/>
              <w:rPr>
                <w:rFonts w:eastAsia="Times New Roman"/>
                <w:sz w:val="18"/>
                <w:szCs w:val="18"/>
              </w:rPr>
            </w:pPr>
            <w:r w:rsidRPr="008037B6">
              <w:rPr>
                <w:rFonts w:eastAsia="Times New Roman"/>
                <w:sz w:val="18"/>
                <w:szCs w:val="18"/>
              </w:rPr>
              <w:t>-12.4</w:t>
            </w:r>
          </w:p>
        </w:tc>
      </w:tr>
      <w:tr w:rsidR="008037B6" w:rsidRPr="008037B6" w14:paraId="36111467" w14:textId="77777777" w:rsidTr="008037B6">
        <w:trPr>
          <w:jc w:val="center"/>
        </w:trPr>
        <w:tc>
          <w:tcPr>
            <w:tcW w:w="2204" w:type="dxa"/>
            <w:tcBorders>
              <w:top w:val="nil"/>
              <w:bottom w:val="nil"/>
            </w:tcBorders>
            <w:shd w:val="clear" w:color="auto" w:fill="auto"/>
            <w:vAlign w:val="center"/>
          </w:tcPr>
          <w:p w14:paraId="7E76413C" w14:textId="77777777" w:rsidR="008037B6" w:rsidRPr="008037B6" w:rsidRDefault="008037B6" w:rsidP="008037B6">
            <w:pPr>
              <w:spacing w:before="20" w:after="20"/>
              <w:jc w:val="both"/>
              <w:rPr>
                <w:rFonts w:eastAsia="Times New Roman"/>
                <w:sz w:val="18"/>
                <w:szCs w:val="20"/>
              </w:rPr>
            </w:pPr>
            <w:r w:rsidRPr="008037B6">
              <w:rPr>
                <w:rFonts w:eastAsia="Times New Roman"/>
                <w:sz w:val="18"/>
                <w:szCs w:val="20"/>
              </w:rPr>
              <w:t>Usos múltiples</w:t>
            </w:r>
          </w:p>
        </w:tc>
        <w:tc>
          <w:tcPr>
            <w:tcW w:w="1199" w:type="dxa"/>
            <w:tcBorders>
              <w:top w:val="nil"/>
              <w:bottom w:val="nil"/>
            </w:tcBorders>
            <w:shd w:val="clear" w:color="auto" w:fill="auto"/>
            <w:vAlign w:val="center"/>
          </w:tcPr>
          <w:p w14:paraId="19B198D4" w14:textId="77777777" w:rsidR="008037B6" w:rsidRPr="008037B6" w:rsidRDefault="008037B6" w:rsidP="008037B6">
            <w:pPr>
              <w:spacing w:before="20" w:after="20"/>
              <w:ind w:left="-1554" w:right="227"/>
              <w:jc w:val="right"/>
              <w:rPr>
                <w:rFonts w:eastAsia="Times New Roman"/>
                <w:sz w:val="18"/>
                <w:szCs w:val="18"/>
              </w:rPr>
            </w:pPr>
            <w:r w:rsidRPr="008037B6">
              <w:rPr>
                <w:rFonts w:eastAsia="Times New Roman"/>
                <w:sz w:val="18"/>
                <w:szCs w:val="18"/>
              </w:rPr>
              <w:t>20 660</w:t>
            </w:r>
          </w:p>
        </w:tc>
        <w:tc>
          <w:tcPr>
            <w:tcW w:w="1142" w:type="dxa"/>
            <w:tcBorders>
              <w:top w:val="nil"/>
              <w:bottom w:val="nil"/>
            </w:tcBorders>
            <w:shd w:val="clear" w:color="auto" w:fill="auto"/>
            <w:vAlign w:val="center"/>
          </w:tcPr>
          <w:p w14:paraId="4D40C492" w14:textId="77777777" w:rsidR="008037B6" w:rsidRPr="008037B6" w:rsidRDefault="008037B6" w:rsidP="008037B6">
            <w:pPr>
              <w:spacing w:before="20" w:after="20"/>
              <w:ind w:left="-1554" w:right="170"/>
              <w:jc w:val="right"/>
              <w:rPr>
                <w:rFonts w:eastAsia="Times New Roman"/>
                <w:sz w:val="18"/>
                <w:szCs w:val="18"/>
              </w:rPr>
            </w:pPr>
            <w:r w:rsidRPr="008037B6">
              <w:rPr>
                <w:rFonts w:eastAsia="Times New Roman"/>
                <w:sz w:val="18"/>
                <w:szCs w:val="18"/>
              </w:rPr>
              <w:t>18 563</w:t>
            </w:r>
          </w:p>
        </w:tc>
        <w:tc>
          <w:tcPr>
            <w:tcW w:w="1183" w:type="dxa"/>
            <w:tcBorders>
              <w:top w:val="nil"/>
              <w:bottom w:val="nil"/>
            </w:tcBorders>
            <w:shd w:val="clear" w:color="auto" w:fill="auto"/>
            <w:vAlign w:val="center"/>
          </w:tcPr>
          <w:p w14:paraId="48C200C9" w14:textId="77777777" w:rsidR="008037B6" w:rsidRPr="008037B6" w:rsidRDefault="008037B6" w:rsidP="008037B6">
            <w:pPr>
              <w:spacing w:before="20" w:after="20"/>
              <w:ind w:left="-1554" w:right="227"/>
              <w:jc w:val="right"/>
              <w:rPr>
                <w:rFonts w:eastAsia="Times New Roman"/>
                <w:sz w:val="18"/>
                <w:szCs w:val="18"/>
              </w:rPr>
            </w:pPr>
            <w:r w:rsidRPr="008037B6">
              <w:rPr>
                <w:rFonts w:eastAsia="Times New Roman"/>
                <w:sz w:val="18"/>
                <w:szCs w:val="18"/>
              </w:rPr>
              <w:t>-2 097</w:t>
            </w:r>
          </w:p>
        </w:tc>
        <w:tc>
          <w:tcPr>
            <w:tcW w:w="1300" w:type="dxa"/>
            <w:tcBorders>
              <w:top w:val="nil"/>
              <w:bottom w:val="nil"/>
            </w:tcBorders>
            <w:shd w:val="clear" w:color="auto" w:fill="auto"/>
            <w:vAlign w:val="center"/>
          </w:tcPr>
          <w:p w14:paraId="55A50080" w14:textId="77777777" w:rsidR="008037B6" w:rsidRPr="008037B6" w:rsidRDefault="008037B6" w:rsidP="008037B6">
            <w:pPr>
              <w:spacing w:before="20" w:after="20"/>
              <w:ind w:right="284"/>
              <w:jc w:val="right"/>
              <w:rPr>
                <w:rFonts w:eastAsia="Times New Roman"/>
                <w:sz w:val="18"/>
                <w:szCs w:val="18"/>
              </w:rPr>
            </w:pPr>
            <w:r w:rsidRPr="008037B6">
              <w:rPr>
                <w:rFonts w:eastAsia="Times New Roman"/>
                <w:sz w:val="18"/>
                <w:szCs w:val="18"/>
              </w:rPr>
              <w:t>-10.2</w:t>
            </w:r>
          </w:p>
        </w:tc>
      </w:tr>
      <w:tr w:rsidR="008037B6" w:rsidRPr="008037B6" w14:paraId="5B83619C" w14:textId="77777777" w:rsidTr="008037B6">
        <w:trPr>
          <w:jc w:val="center"/>
        </w:trPr>
        <w:tc>
          <w:tcPr>
            <w:tcW w:w="2204" w:type="dxa"/>
            <w:tcBorders>
              <w:top w:val="nil"/>
              <w:bottom w:val="nil"/>
            </w:tcBorders>
            <w:shd w:val="clear" w:color="auto" w:fill="auto"/>
            <w:vAlign w:val="center"/>
          </w:tcPr>
          <w:p w14:paraId="48488E75" w14:textId="77777777" w:rsidR="008037B6" w:rsidRPr="008037B6" w:rsidRDefault="008037B6" w:rsidP="008037B6">
            <w:pPr>
              <w:spacing w:before="20" w:after="20"/>
              <w:jc w:val="both"/>
              <w:rPr>
                <w:rFonts w:eastAsia="Times New Roman"/>
                <w:sz w:val="18"/>
                <w:szCs w:val="20"/>
              </w:rPr>
            </w:pPr>
            <w:r w:rsidRPr="008037B6">
              <w:rPr>
                <w:rFonts w:eastAsia="Times New Roman"/>
                <w:sz w:val="18"/>
                <w:szCs w:val="20"/>
              </w:rPr>
              <w:t>Camiones ligeros</w:t>
            </w:r>
          </w:p>
        </w:tc>
        <w:tc>
          <w:tcPr>
            <w:tcW w:w="1199" w:type="dxa"/>
            <w:tcBorders>
              <w:top w:val="nil"/>
              <w:bottom w:val="nil"/>
            </w:tcBorders>
            <w:shd w:val="clear" w:color="auto" w:fill="auto"/>
            <w:vAlign w:val="center"/>
          </w:tcPr>
          <w:p w14:paraId="228DEC95" w14:textId="77777777" w:rsidR="008037B6" w:rsidRPr="008037B6" w:rsidRDefault="008037B6" w:rsidP="008037B6">
            <w:pPr>
              <w:spacing w:before="20" w:after="20"/>
              <w:ind w:left="-1554" w:right="227"/>
              <w:jc w:val="right"/>
              <w:rPr>
                <w:rFonts w:eastAsia="Times New Roman"/>
                <w:sz w:val="18"/>
                <w:szCs w:val="18"/>
              </w:rPr>
            </w:pPr>
            <w:r w:rsidRPr="008037B6">
              <w:rPr>
                <w:rFonts w:eastAsia="Times New Roman"/>
                <w:sz w:val="18"/>
                <w:szCs w:val="18"/>
              </w:rPr>
              <w:t>12 921</w:t>
            </w:r>
          </w:p>
        </w:tc>
        <w:tc>
          <w:tcPr>
            <w:tcW w:w="1142" w:type="dxa"/>
            <w:tcBorders>
              <w:top w:val="nil"/>
              <w:bottom w:val="nil"/>
            </w:tcBorders>
            <w:shd w:val="clear" w:color="auto" w:fill="auto"/>
            <w:vAlign w:val="center"/>
          </w:tcPr>
          <w:p w14:paraId="39B9CDF2" w14:textId="77777777" w:rsidR="008037B6" w:rsidRPr="008037B6" w:rsidRDefault="008037B6" w:rsidP="008037B6">
            <w:pPr>
              <w:spacing w:before="20" w:after="20"/>
              <w:ind w:left="-1554" w:right="170"/>
              <w:jc w:val="right"/>
              <w:rPr>
                <w:rFonts w:eastAsia="Times New Roman"/>
                <w:sz w:val="18"/>
                <w:szCs w:val="18"/>
              </w:rPr>
            </w:pPr>
            <w:r w:rsidRPr="008037B6">
              <w:rPr>
                <w:rFonts w:eastAsia="Times New Roman"/>
                <w:sz w:val="18"/>
                <w:szCs w:val="18"/>
              </w:rPr>
              <w:t>12 815</w:t>
            </w:r>
          </w:p>
        </w:tc>
        <w:tc>
          <w:tcPr>
            <w:tcW w:w="1183" w:type="dxa"/>
            <w:tcBorders>
              <w:top w:val="nil"/>
              <w:bottom w:val="nil"/>
            </w:tcBorders>
            <w:shd w:val="clear" w:color="auto" w:fill="auto"/>
            <w:vAlign w:val="center"/>
          </w:tcPr>
          <w:p w14:paraId="281E9123" w14:textId="77777777" w:rsidR="008037B6" w:rsidRPr="008037B6" w:rsidRDefault="008037B6" w:rsidP="008037B6">
            <w:pPr>
              <w:spacing w:before="20" w:after="20"/>
              <w:ind w:left="-1554" w:right="227"/>
              <w:jc w:val="right"/>
              <w:rPr>
                <w:rFonts w:eastAsia="Times New Roman"/>
                <w:sz w:val="18"/>
                <w:szCs w:val="18"/>
              </w:rPr>
            </w:pPr>
            <w:r w:rsidRPr="008037B6">
              <w:rPr>
                <w:rFonts w:eastAsia="Times New Roman"/>
                <w:sz w:val="18"/>
                <w:szCs w:val="18"/>
              </w:rPr>
              <w:t>-106</w:t>
            </w:r>
          </w:p>
        </w:tc>
        <w:tc>
          <w:tcPr>
            <w:tcW w:w="1300" w:type="dxa"/>
            <w:tcBorders>
              <w:top w:val="nil"/>
              <w:bottom w:val="nil"/>
            </w:tcBorders>
            <w:shd w:val="clear" w:color="auto" w:fill="auto"/>
            <w:vAlign w:val="center"/>
          </w:tcPr>
          <w:p w14:paraId="37B2A57C" w14:textId="77777777" w:rsidR="008037B6" w:rsidRPr="008037B6" w:rsidRDefault="008037B6" w:rsidP="008037B6">
            <w:pPr>
              <w:spacing w:before="20" w:after="20"/>
              <w:ind w:right="284"/>
              <w:jc w:val="right"/>
              <w:rPr>
                <w:rFonts w:eastAsia="Times New Roman"/>
                <w:sz w:val="18"/>
                <w:szCs w:val="18"/>
              </w:rPr>
            </w:pPr>
            <w:r w:rsidRPr="008037B6">
              <w:rPr>
                <w:rFonts w:eastAsia="Times New Roman"/>
                <w:sz w:val="18"/>
                <w:szCs w:val="18"/>
              </w:rPr>
              <w:t>-0.8</w:t>
            </w:r>
          </w:p>
        </w:tc>
      </w:tr>
      <w:tr w:rsidR="008037B6" w:rsidRPr="008037B6" w14:paraId="1D5C18F8" w14:textId="77777777" w:rsidTr="008037B6">
        <w:trPr>
          <w:jc w:val="center"/>
        </w:trPr>
        <w:tc>
          <w:tcPr>
            <w:tcW w:w="2204" w:type="dxa"/>
            <w:tcBorders>
              <w:top w:val="nil"/>
              <w:bottom w:val="nil"/>
            </w:tcBorders>
            <w:shd w:val="clear" w:color="auto" w:fill="auto"/>
            <w:vAlign w:val="center"/>
          </w:tcPr>
          <w:p w14:paraId="5A447629" w14:textId="77777777" w:rsidR="008037B6" w:rsidRPr="008037B6" w:rsidRDefault="008037B6" w:rsidP="008037B6">
            <w:pPr>
              <w:spacing w:before="20" w:after="20"/>
              <w:jc w:val="both"/>
              <w:rPr>
                <w:rFonts w:eastAsia="Times New Roman"/>
                <w:sz w:val="18"/>
                <w:szCs w:val="20"/>
              </w:rPr>
            </w:pPr>
            <w:r w:rsidRPr="008037B6">
              <w:rPr>
                <w:rFonts w:eastAsia="Times New Roman"/>
                <w:sz w:val="18"/>
                <w:szCs w:val="20"/>
              </w:rPr>
              <w:t>Camiones pesados*</w:t>
            </w:r>
          </w:p>
        </w:tc>
        <w:tc>
          <w:tcPr>
            <w:tcW w:w="1199" w:type="dxa"/>
            <w:tcBorders>
              <w:top w:val="nil"/>
              <w:bottom w:val="nil"/>
            </w:tcBorders>
            <w:shd w:val="clear" w:color="auto" w:fill="auto"/>
            <w:vAlign w:val="center"/>
          </w:tcPr>
          <w:p w14:paraId="0F75F098" w14:textId="77777777" w:rsidR="008037B6" w:rsidRPr="008037B6" w:rsidRDefault="008037B6" w:rsidP="008037B6">
            <w:pPr>
              <w:spacing w:before="20" w:after="20"/>
              <w:ind w:left="-1554" w:right="227"/>
              <w:jc w:val="right"/>
              <w:rPr>
                <w:rFonts w:eastAsia="Times New Roman"/>
                <w:sz w:val="18"/>
                <w:szCs w:val="18"/>
              </w:rPr>
            </w:pPr>
            <w:r w:rsidRPr="008037B6">
              <w:rPr>
                <w:rFonts w:eastAsia="Times New Roman"/>
                <w:sz w:val="18"/>
                <w:szCs w:val="18"/>
              </w:rPr>
              <w:t>95</w:t>
            </w:r>
          </w:p>
        </w:tc>
        <w:tc>
          <w:tcPr>
            <w:tcW w:w="1142" w:type="dxa"/>
            <w:tcBorders>
              <w:top w:val="nil"/>
              <w:bottom w:val="nil"/>
            </w:tcBorders>
            <w:shd w:val="clear" w:color="auto" w:fill="auto"/>
            <w:vAlign w:val="center"/>
          </w:tcPr>
          <w:p w14:paraId="3A9BA7B3" w14:textId="77777777" w:rsidR="008037B6" w:rsidRPr="008037B6" w:rsidRDefault="008037B6" w:rsidP="008037B6">
            <w:pPr>
              <w:spacing w:before="20" w:after="20"/>
              <w:ind w:left="-1554" w:right="170"/>
              <w:jc w:val="right"/>
              <w:rPr>
                <w:rFonts w:eastAsia="Times New Roman"/>
                <w:sz w:val="18"/>
                <w:szCs w:val="18"/>
              </w:rPr>
            </w:pPr>
            <w:r w:rsidRPr="008037B6">
              <w:rPr>
                <w:rFonts w:eastAsia="Times New Roman"/>
                <w:sz w:val="18"/>
                <w:szCs w:val="18"/>
              </w:rPr>
              <w:t>149</w:t>
            </w:r>
          </w:p>
        </w:tc>
        <w:tc>
          <w:tcPr>
            <w:tcW w:w="1183" w:type="dxa"/>
            <w:tcBorders>
              <w:top w:val="nil"/>
              <w:bottom w:val="nil"/>
            </w:tcBorders>
            <w:shd w:val="clear" w:color="auto" w:fill="auto"/>
            <w:vAlign w:val="center"/>
          </w:tcPr>
          <w:p w14:paraId="007D4583" w14:textId="77777777" w:rsidR="008037B6" w:rsidRPr="008037B6" w:rsidRDefault="008037B6" w:rsidP="008037B6">
            <w:pPr>
              <w:spacing w:before="20" w:after="20"/>
              <w:ind w:left="-1554" w:right="227"/>
              <w:jc w:val="right"/>
              <w:rPr>
                <w:rFonts w:eastAsia="Times New Roman"/>
                <w:sz w:val="18"/>
                <w:szCs w:val="18"/>
              </w:rPr>
            </w:pPr>
            <w:r w:rsidRPr="008037B6">
              <w:rPr>
                <w:rFonts w:eastAsia="Times New Roman"/>
                <w:sz w:val="18"/>
                <w:szCs w:val="18"/>
              </w:rPr>
              <w:t>54</w:t>
            </w:r>
          </w:p>
        </w:tc>
        <w:tc>
          <w:tcPr>
            <w:tcW w:w="1300" w:type="dxa"/>
            <w:tcBorders>
              <w:top w:val="nil"/>
              <w:bottom w:val="nil"/>
            </w:tcBorders>
            <w:shd w:val="clear" w:color="auto" w:fill="auto"/>
            <w:vAlign w:val="center"/>
          </w:tcPr>
          <w:p w14:paraId="60E07101" w14:textId="77777777" w:rsidR="008037B6" w:rsidRPr="008037B6" w:rsidRDefault="008037B6" w:rsidP="008037B6">
            <w:pPr>
              <w:spacing w:before="20" w:after="20"/>
              <w:ind w:right="284"/>
              <w:jc w:val="right"/>
              <w:rPr>
                <w:rFonts w:eastAsia="Times New Roman"/>
                <w:sz w:val="18"/>
                <w:szCs w:val="18"/>
              </w:rPr>
            </w:pPr>
            <w:r w:rsidRPr="008037B6">
              <w:rPr>
                <w:rFonts w:eastAsia="Times New Roman"/>
                <w:sz w:val="18"/>
                <w:szCs w:val="18"/>
              </w:rPr>
              <w:t>56.8</w:t>
            </w:r>
          </w:p>
        </w:tc>
      </w:tr>
      <w:tr w:rsidR="008037B6" w:rsidRPr="008037B6" w14:paraId="64B2B776" w14:textId="77777777" w:rsidTr="008037B6">
        <w:trPr>
          <w:jc w:val="center"/>
        </w:trPr>
        <w:tc>
          <w:tcPr>
            <w:tcW w:w="2204" w:type="dxa"/>
            <w:tcBorders>
              <w:top w:val="nil"/>
              <w:bottom w:val="single" w:sz="4" w:space="0" w:color="auto"/>
            </w:tcBorders>
            <w:shd w:val="clear" w:color="auto" w:fill="auto"/>
            <w:vAlign w:val="center"/>
          </w:tcPr>
          <w:p w14:paraId="7136ACB8" w14:textId="77777777" w:rsidR="008037B6" w:rsidRPr="008037B6" w:rsidRDefault="008037B6" w:rsidP="008037B6">
            <w:pPr>
              <w:spacing w:before="20" w:after="20"/>
              <w:jc w:val="both"/>
              <w:rPr>
                <w:rFonts w:eastAsia="Times New Roman"/>
                <w:b/>
                <w:sz w:val="18"/>
                <w:szCs w:val="20"/>
              </w:rPr>
            </w:pPr>
            <w:r w:rsidRPr="008037B6">
              <w:rPr>
                <w:rFonts w:eastAsia="Times New Roman"/>
                <w:b/>
                <w:sz w:val="18"/>
                <w:szCs w:val="20"/>
              </w:rPr>
              <w:t>Total</w:t>
            </w:r>
          </w:p>
        </w:tc>
        <w:tc>
          <w:tcPr>
            <w:tcW w:w="1199" w:type="dxa"/>
            <w:tcBorders>
              <w:top w:val="nil"/>
              <w:bottom w:val="single" w:sz="4" w:space="0" w:color="auto"/>
            </w:tcBorders>
            <w:shd w:val="clear" w:color="auto" w:fill="auto"/>
            <w:vAlign w:val="center"/>
          </w:tcPr>
          <w:p w14:paraId="598D0BBF" w14:textId="77777777" w:rsidR="008037B6" w:rsidRPr="008037B6" w:rsidRDefault="008037B6" w:rsidP="008037B6">
            <w:pPr>
              <w:spacing w:before="20" w:after="20"/>
              <w:ind w:left="-1554" w:right="227"/>
              <w:jc w:val="right"/>
              <w:rPr>
                <w:rFonts w:eastAsia="Times New Roman"/>
                <w:b/>
                <w:sz w:val="18"/>
                <w:szCs w:val="18"/>
              </w:rPr>
            </w:pPr>
            <w:r w:rsidRPr="008037B6">
              <w:rPr>
                <w:rFonts w:eastAsia="Times New Roman"/>
                <w:b/>
                <w:sz w:val="18"/>
                <w:szCs w:val="18"/>
              </w:rPr>
              <w:t>103 697</w:t>
            </w:r>
          </w:p>
        </w:tc>
        <w:tc>
          <w:tcPr>
            <w:tcW w:w="1142" w:type="dxa"/>
            <w:tcBorders>
              <w:top w:val="nil"/>
              <w:bottom w:val="single" w:sz="4" w:space="0" w:color="auto"/>
            </w:tcBorders>
            <w:shd w:val="clear" w:color="auto" w:fill="auto"/>
            <w:vAlign w:val="center"/>
          </w:tcPr>
          <w:p w14:paraId="130896CD" w14:textId="77777777" w:rsidR="008037B6" w:rsidRPr="008037B6" w:rsidRDefault="008037B6" w:rsidP="008037B6">
            <w:pPr>
              <w:spacing w:before="20" w:after="20"/>
              <w:ind w:left="-1554" w:right="170"/>
              <w:jc w:val="right"/>
              <w:rPr>
                <w:rFonts w:eastAsia="Times New Roman"/>
                <w:b/>
                <w:sz w:val="18"/>
                <w:szCs w:val="18"/>
              </w:rPr>
            </w:pPr>
            <w:r w:rsidRPr="008037B6">
              <w:rPr>
                <w:rFonts w:eastAsia="Times New Roman"/>
                <w:b/>
                <w:sz w:val="18"/>
                <w:szCs w:val="18"/>
              </w:rPr>
              <w:t>97 558</w:t>
            </w:r>
          </w:p>
        </w:tc>
        <w:tc>
          <w:tcPr>
            <w:tcW w:w="1183" w:type="dxa"/>
            <w:tcBorders>
              <w:top w:val="nil"/>
              <w:bottom w:val="single" w:sz="4" w:space="0" w:color="auto"/>
            </w:tcBorders>
            <w:shd w:val="clear" w:color="auto" w:fill="auto"/>
            <w:vAlign w:val="center"/>
          </w:tcPr>
          <w:p w14:paraId="4B8DE5FA" w14:textId="77777777" w:rsidR="008037B6" w:rsidRPr="008037B6" w:rsidRDefault="008037B6" w:rsidP="008037B6">
            <w:pPr>
              <w:spacing w:before="20" w:after="20"/>
              <w:ind w:left="-1554" w:right="227"/>
              <w:jc w:val="right"/>
              <w:rPr>
                <w:rFonts w:eastAsia="Times New Roman"/>
                <w:b/>
                <w:sz w:val="18"/>
                <w:szCs w:val="18"/>
              </w:rPr>
            </w:pPr>
            <w:r w:rsidRPr="008037B6">
              <w:rPr>
                <w:rFonts w:eastAsia="Times New Roman"/>
                <w:b/>
                <w:sz w:val="18"/>
                <w:szCs w:val="18"/>
              </w:rPr>
              <w:t>-6 139</w:t>
            </w:r>
          </w:p>
        </w:tc>
        <w:tc>
          <w:tcPr>
            <w:tcW w:w="1300" w:type="dxa"/>
            <w:tcBorders>
              <w:top w:val="nil"/>
              <w:bottom w:val="single" w:sz="4" w:space="0" w:color="auto"/>
            </w:tcBorders>
            <w:shd w:val="clear" w:color="auto" w:fill="auto"/>
            <w:vAlign w:val="center"/>
          </w:tcPr>
          <w:p w14:paraId="1DBC87CE" w14:textId="77777777" w:rsidR="008037B6" w:rsidRPr="008037B6" w:rsidRDefault="008037B6" w:rsidP="008037B6">
            <w:pPr>
              <w:spacing w:before="20" w:after="20"/>
              <w:ind w:right="284"/>
              <w:jc w:val="right"/>
              <w:rPr>
                <w:rFonts w:eastAsia="Times New Roman"/>
                <w:b/>
                <w:sz w:val="18"/>
                <w:szCs w:val="18"/>
              </w:rPr>
            </w:pPr>
            <w:r w:rsidRPr="008037B6">
              <w:rPr>
                <w:rFonts w:eastAsia="Times New Roman"/>
                <w:b/>
                <w:sz w:val="18"/>
                <w:szCs w:val="18"/>
              </w:rPr>
              <w:t>-5.9</w:t>
            </w:r>
          </w:p>
        </w:tc>
      </w:tr>
      <w:tr w:rsidR="008037B6" w:rsidRPr="008037B6" w14:paraId="408A24EE" w14:textId="77777777" w:rsidTr="004F1C40">
        <w:trPr>
          <w:jc w:val="center"/>
        </w:trPr>
        <w:tc>
          <w:tcPr>
            <w:tcW w:w="7028" w:type="dxa"/>
            <w:gridSpan w:val="5"/>
            <w:tcBorders>
              <w:left w:val="nil"/>
              <w:bottom w:val="nil"/>
              <w:right w:val="nil"/>
            </w:tcBorders>
            <w:shd w:val="clear" w:color="auto" w:fill="auto"/>
            <w:vAlign w:val="center"/>
          </w:tcPr>
          <w:p w14:paraId="37350A9A" w14:textId="77777777" w:rsidR="008037B6" w:rsidRPr="008037B6" w:rsidRDefault="008037B6" w:rsidP="008037B6">
            <w:pPr>
              <w:rPr>
                <w:rFonts w:eastAsia="Times New Roman"/>
                <w:sz w:val="20"/>
                <w:szCs w:val="20"/>
              </w:rPr>
            </w:pPr>
            <w:r w:rsidRPr="008037B6">
              <w:rPr>
                <w:rFonts w:eastAsia="Times New Roman"/>
                <w:sz w:val="20"/>
                <w:szCs w:val="20"/>
              </w:rPr>
              <w:t>* Camiones pesados incluye: F450, F550.</w:t>
            </w:r>
          </w:p>
          <w:p w14:paraId="08E47C88" w14:textId="77777777" w:rsidR="008037B6" w:rsidRPr="008037B6" w:rsidRDefault="008037B6" w:rsidP="008037B6">
            <w:pPr>
              <w:ind w:right="-159"/>
              <w:jc w:val="both"/>
              <w:rPr>
                <w:rFonts w:eastAsia="Times New Roman"/>
                <w:b/>
                <w:sz w:val="20"/>
                <w:szCs w:val="20"/>
              </w:rPr>
            </w:pPr>
            <w:r w:rsidRPr="008037B6">
              <w:rPr>
                <w:rFonts w:eastAsia="Times New Roman"/>
                <w:sz w:val="20"/>
                <w:szCs w:val="20"/>
              </w:rPr>
              <w:t>FUENTE: AMDA.</w:t>
            </w:r>
          </w:p>
        </w:tc>
      </w:tr>
    </w:tbl>
    <w:p w14:paraId="0EB788CB" w14:textId="77777777" w:rsidR="008037B6" w:rsidRPr="008037B6" w:rsidRDefault="008037B6" w:rsidP="008037B6">
      <w:pPr>
        <w:tabs>
          <w:tab w:val="left" w:pos="2835"/>
        </w:tabs>
        <w:spacing w:after="360" w:line="360" w:lineRule="auto"/>
        <w:ind w:right="-159"/>
        <w:jc w:val="both"/>
        <w:rPr>
          <w:rFonts w:eastAsia="Times New Roman"/>
          <w:b/>
          <w:bCs/>
          <w:sz w:val="26"/>
          <w:szCs w:val="26"/>
        </w:rPr>
      </w:pPr>
    </w:p>
    <w:p w14:paraId="32078E6B" w14:textId="77777777" w:rsidR="008037B6" w:rsidRPr="008037B6" w:rsidRDefault="008037B6" w:rsidP="008037B6">
      <w:pPr>
        <w:spacing w:after="360" w:line="360" w:lineRule="auto"/>
        <w:ind w:right="-159"/>
        <w:jc w:val="both"/>
        <w:rPr>
          <w:rFonts w:eastAsia="Times New Roman"/>
          <w:b/>
          <w:sz w:val="26"/>
          <w:szCs w:val="26"/>
        </w:rPr>
      </w:pPr>
      <w:r w:rsidRPr="008037B6">
        <w:rPr>
          <w:rFonts w:eastAsia="Times New Roman"/>
          <w:b/>
          <w:sz w:val="26"/>
          <w:szCs w:val="26"/>
        </w:rPr>
        <w:t>Financiamiento a la adquisición de vehículos</w:t>
      </w:r>
    </w:p>
    <w:p w14:paraId="66EF5AF6" w14:textId="77777777" w:rsidR="008037B6" w:rsidRPr="008037B6" w:rsidRDefault="008037B6" w:rsidP="008037B6">
      <w:pPr>
        <w:spacing w:after="360" w:line="360" w:lineRule="auto"/>
        <w:ind w:right="-159"/>
        <w:jc w:val="both"/>
        <w:rPr>
          <w:rFonts w:eastAsia="Times New Roman"/>
          <w:sz w:val="26"/>
          <w:szCs w:val="26"/>
        </w:rPr>
      </w:pPr>
      <w:r w:rsidRPr="008037B6">
        <w:rPr>
          <w:rFonts w:eastAsia="Times New Roman"/>
          <w:sz w:val="26"/>
          <w:szCs w:val="26"/>
        </w:rPr>
        <w:t>Al mes de enero de 2015 se registraron 69 mil 993 colocaciones, lo que representa un incremento de 24.4% con respecto a 2014, lo que equivale a 13 mil 728 unidades más. Las cifras de este período están aún 3.4% por debajo de las registradas en 2007.</w:t>
      </w:r>
    </w:p>
    <w:tbl>
      <w:tblPr>
        <w:tblW w:w="0" w:type="auto"/>
        <w:jc w:val="center"/>
        <w:tblLook w:val="04A0" w:firstRow="1" w:lastRow="0" w:firstColumn="1" w:lastColumn="0" w:noHBand="0" w:noVBand="1"/>
      </w:tblPr>
      <w:tblGrid>
        <w:gridCol w:w="8840"/>
      </w:tblGrid>
      <w:tr w:rsidR="008037B6" w:rsidRPr="008037B6" w14:paraId="3DB917CB" w14:textId="77777777" w:rsidTr="004F1C40">
        <w:trPr>
          <w:trHeight w:val="248"/>
          <w:jc w:val="center"/>
        </w:trPr>
        <w:tc>
          <w:tcPr>
            <w:tcW w:w="8840" w:type="dxa"/>
          </w:tcPr>
          <w:p w14:paraId="0E907B2F" w14:textId="77777777" w:rsidR="008037B6" w:rsidRPr="008037B6" w:rsidRDefault="008037B6" w:rsidP="008037B6">
            <w:pPr>
              <w:jc w:val="center"/>
              <w:rPr>
                <w:rFonts w:eastAsia="Times New Roman"/>
                <w:b/>
                <w:sz w:val="22"/>
                <w:szCs w:val="22"/>
                <w:lang w:val="es-ES"/>
              </w:rPr>
            </w:pPr>
            <w:r w:rsidRPr="008037B6">
              <w:rPr>
                <w:rFonts w:eastAsia="Times New Roman"/>
                <w:b/>
                <w:sz w:val="22"/>
                <w:szCs w:val="22"/>
                <w:lang w:val="es-ES"/>
              </w:rPr>
              <w:lastRenderedPageBreak/>
              <w:t>PARTICIPACIÓN EN EL TOTAL DE UNIDADES FINANCIADAS</w:t>
            </w:r>
          </w:p>
          <w:p w14:paraId="57D266A8" w14:textId="77777777" w:rsidR="008037B6" w:rsidRPr="008037B6" w:rsidRDefault="008037B6" w:rsidP="008037B6">
            <w:pPr>
              <w:jc w:val="center"/>
              <w:rPr>
                <w:rFonts w:eastAsia="Times New Roman"/>
                <w:noProof/>
                <w:sz w:val="22"/>
                <w:szCs w:val="22"/>
                <w:lang w:val="es-ES" w:eastAsia="es-MX"/>
              </w:rPr>
            </w:pPr>
            <w:r w:rsidRPr="008037B6">
              <w:rPr>
                <w:rFonts w:eastAsia="Times New Roman"/>
                <w:b/>
                <w:sz w:val="22"/>
                <w:szCs w:val="22"/>
                <w:lang w:val="es-ES"/>
              </w:rPr>
              <w:t>-Absolutos y porcentaje-</w:t>
            </w:r>
          </w:p>
        </w:tc>
      </w:tr>
      <w:tr w:rsidR="008037B6" w:rsidRPr="008037B6" w14:paraId="2AA9B4B3" w14:textId="77777777" w:rsidTr="004F1C40">
        <w:trPr>
          <w:trHeight w:val="149"/>
          <w:jc w:val="center"/>
        </w:trPr>
        <w:tc>
          <w:tcPr>
            <w:tcW w:w="8840" w:type="dxa"/>
          </w:tcPr>
          <w:p w14:paraId="00D29BA5" w14:textId="77777777" w:rsidR="008037B6" w:rsidRPr="008037B6" w:rsidRDefault="008037B6" w:rsidP="008037B6">
            <w:pPr>
              <w:ind w:left="-113"/>
              <w:jc w:val="center"/>
              <w:rPr>
                <w:rFonts w:eastAsia="Times New Roman"/>
                <w:sz w:val="22"/>
                <w:szCs w:val="22"/>
                <w:lang w:val="es-ES"/>
              </w:rPr>
            </w:pPr>
            <w:r w:rsidRPr="008037B6">
              <w:rPr>
                <w:rFonts w:eastAsia="Times New Roman"/>
                <w:noProof/>
                <w:sz w:val="22"/>
                <w:szCs w:val="22"/>
                <w:lang w:eastAsia="es-MX"/>
              </w:rPr>
              <w:drawing>
                <wp:inline distT="0" distB="0" distL="0" distR="0" wp14:anchorId="7C3F7A05" wp14:editId="2A39146B">
                  <wp:extent cx="4963166" cy="1604058"/>
                  <wp:effectExtent l="0" t="0" r="8890" b="0"/>
                  <wp:docPr id="1554" name="Imagen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27" cstate="print">
                            <a:extLst>
                              <a:ext uri="{28A0092B-C50C-407E-A947-70E740481C1C}">
                                <a14:useLocalDpi xmlns:a14="http://schemas.microsoft.com/office/drawing/2010/main" val="0"/>
                              </a:ext>
                            </a:extLst>
                          </a:blip>
                          <a:srcRect l="4615" t="2464" r="6811" b="5886"/>
                          <a:stretch/>
                        </pic:blipFill>
                        <pic:spPr bwMode="auto">
                          <a:xfrm>
                            <a:off x="0" y="0"/>
                            <a:ext cx="4966339" cy="160508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037B6" w:rsidRPr="008037B6" w14:paraId="44E778EB" w14:textId="77777777" w:rsidTr="004F1C40">
        <w:trPr>
          <w:trHeight w:val="345"/>
          <w:jc w:val="center"/>
        </w:trPr>
        <w:tc>
          <w:tcPr>
            <w:tcW w:w="8840" w:type="dxa"/>
          </w:tcPr>
          <w:p w14:paraId="4B8613DD" w14:textId="77777777" w:rsidR="008037B6" w:rsidRPr="008037B6" w:rsidRDefault="008037B6" w:rsidP="009A4CE7">
            <w:pPr>
              <w:ind w:left="1111" w:right="510" w:hanging="510"/>
              <w:jc w:val="both"/>
              <w:rPr>
                <w:rFonts w:eastAsia="Times New Roman"/>
                <w:noProof/>
                <w:sz w:val="20"/>
                <w:szCs w:val="20"/>
                <w:lang w:eastAsia="es-MX"/>
              </w:rPr>
            </w:pPr>
            <w:r w:rsidRPr="008037B6">
              <w:rPr>
                <w:rFonts w:eastAsia="Times New Roman"/>
                <w:noProof/>
                <w:sz w:val="20"/>
                <w:szCs w:val="20"/>
                <w:lang w:eastAsia="es-MX"/>
              </w:rPr>
              <w:t>Nota: Incluye información de la mayoría de las instituciones crediticias, por lo tanto es un indicador de tendencia.</w:t>
            </w:r>
          </w:p>
          <w:p w14:paraId="71B4ECA5" w14:textId="77777777" w:rsidR="008037B6" w:rsidRPr="008037B6" w:rsidRDefault="008037B6" w:rsidP="008037B6">
            <w:pPr>
              <w:ind w:left="601" w:right="-108"/>
              <w:jc w:val="both"/>
              <w:rPr>
                <w:rFonts w:eastAsia="Times New Roman"/>
                <w:noProof/>
                <w:sz w:val="20"/>
                <w:szCs w:val="20"/>
                <w:lang w:eastAsia="es-MX"/>
              </w:rPr>
            </w:pPr>
            <w:r w:rsidRPr="008037B6">
              <w:rPr>
                <w:rFonts w:eastAsia="Times New Roman"/>
                <w:noProof/>
                <w:sz w:val="20"/>
                <w:szCs w:val="20"/>
                <w:lang w:eastAsia="es-MX"/>
              </w:rPr>
              <w:t>FUENTE: AMDA con información de JATO Dynamics.</w:t>
            </w:r>
          </w:p>
        </w:tc>
      </w:tr>
    </w:tbl>
    <w:p w14:paraId="7F169653" w14:textId="77777777" w:rsidR="008037B6" w:rsidRPr="008037B6" w:rsidRDefault="008037B6" w:rsidP="008037B6">
      <w:pPr>
        <w:spacing w:after="360" w:line="360" w:lineRule="auto"/>
        <w:ind w:right="-159"/>
        <w:jc w:val="both"/>
        <w:rPr>
          <w:rFonts w:eastAsia="Times New Roman"/>
          <w:sz w:val="26"/>
          <w:szCs w:val="26"/>
          <w:highlight w:val="yellow"/>
        </w:rPr>
      </w:pPr>
    </w:p>
    <w:tbl>
      <w:tblPr>
        <w:tblW w:w="0" w:type="auto"/>
        <w:tblLook w:val="04A0" w:firstRow="1" w:lastRow="0" w:firstColumn="1" w:lastColumn="0" w:noHBand="0" w:noVBand="1"/>
      </w:tblPr>
      <w:tblGrid>
        <w:gridCol w:w="8840"/>
      </w:tblGrid>
      <w:tr w:rsidR="008037B6" w:rsidRPr="008037B6" w14:paraId="198609FA" w14:textId="77777777" w:rsidTr="004F1C40">
        <w:trPr>
          <w:trHeight w:val="248"/>
        </w:trPr>
        <w:tc>
          <w:tcPr>
            <w:tcW w:w="8840" w:type="dxa"/>
          </w:tcPr>
          <w:p w14:paraId="2091EEE2" w14:textId="77777777" w:rsidR="008037B6" w:rsidRPr="008037B6" w:rsidRDefault="008037B6" w:rsidP="008037B6">
            <w:pPr>
              <w:jc w:val="center"/>
              <w:rPr>
                <w:rFonts w:eastAsia="Times New Roman"/>
                <w:noProof/>
                <w:sz w:val="22"/>
                <w:szCs w:val="22"/>
                <w:lang w:val="es-ES" w:eastAsia="es-MX"/>
              </w:rPr>
            </w:pPr>
            <w:r w:rsidRPr="008037B6">
              <w:rPr>
                <w:rFonts w:eastAsia="Times New Roman"/>
                <w:b/>
                <w:sz w:val="22"/>
                <w:szCs w:val="22"/>
                <w:lang w:val="es-ES"/>
              </w:rPr>
              <w:t>UNIDADES FINANCIADAS EN ENERO* DE CADA AÑO 2007-2015</w:t>
            </w:r>
          </w:p>
        </w:tc>
      </w:tr>
      <w:tr w:rsidR="008037B6" w:rsidRPr="008037B6" w14:paraId="27E20094" w14:textId="77777777" w:rsidTr="004F1C40">
        <w:trPr>
          <w:trHeight w:val="319"/>
        </w:trPr>
        <w:tc>
          <w:tcPr>
            <w:tcW w:w="8840" w:type="dxa"/>
          </w:tcPr>
          <w:p w14:paraId="4639864D" w14:textId="77777777" w:rsidR="008037B6" w:rsidRPr="008037B6" w:rsidRDefault="008037B6" w:rsidP="008037B6">
            <w:pPr>
              <w:jc w:val="center"/>
              <w:rPr>
                <w:rFonts w:eastAsia="Times New Roman"/>
                <w:sz w:val="22"/>
                <w:szCs w:val="22"/>
                <w:lang w:val="es-ES"/>
              </w:rPr>
            </w:pPr>
            <w:r w:rsidRPr="008037B6">
              <w:rPr>
                <w:rFonts w:eastAsia="Times New Roman"/>
                <w:noProof/>
                <w:sz w:val="22"/>
                <w:szCs w:val="22"/>
                <w:lang w:eastAsia="es-MX"/>
              </w:rPr>
              <w:drawing>
                <wp:inline distT="0" distB="0" distL="0" distR="0" wp14:anchorId="6AD1176C" wp14:editId="727C802B">
                  <wp:extent cx="4758864" cy="2880000"/>
                  <wp:effectExtent l="0" t="0" r="0" b="0"/>
                  <wp:docPr id="1555" name="Imagen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28" cstate="print">
                            <a:extLst>
                              <a:ext uri="{28A0092B-C50C-407E-A947-70E740481C1C}">
                                <a14:useLocalDpi xmlns:a14="http://schemas.microsoft.com/office/drawing/2010/main" val="0"/>
                              </a:ext>
                            </a:extLst>
                          </a:blip>
                          <a:srcRect t="6934" b="2180"/>
                          <a:stretch/>
                        </pic:blipFill>
                        <pic:spPr bwMode="auto">
                          <a:xfrm>
                            <a:off x="0" y="0"/>
                            <a:ext cx="4758864" cy="288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037B6" w:rsidRPr="008037B6" w14:paraId="528E0AA4" w14:textId="77777777" w:rsidTr="004F1C40">
        <w:trPr>
          <w:trHeight w:val="345"/>
        </w:trPr>
        <w:tc>
          <w:tcPr>
            <w:tcW w:w="8840" w:type="dxa"/>
          </w:tcPr>
          <w:p w14:paraId="243D07FB" w14:textId="77777777" w:rsidR="008037B6" w:rsidRPr="008037B6" w:rsidRDefault="008037B6" w:rsidP="009A4CE7">
            <w:pPr>
              <w:tabs>
                <w:tab w:val="left" w:pos="7830"/>
              </w:tabs>
              <w:ind w:left="1536" w:right="794" w:hanging="510"/>
              <w:jc w:val="both"/>
              <w:rPr>
                <w:rFonts w:eastAsia="Times New Roman"/>
                <w:noProof/>
                <w:sz w:val="20"/>
                <w:szCs w:val="20"/>
                <w:lang w:eastAsia="es-MX"/>
              </w:rPr>
            </w:pPr>
            <w:r w:rsidRPr="008037B6">
              <w:rPr>
                <w:rFonts w:eastAsia="Times New Roman"/>
                <w:noProof/>
                <w:sz w:val="20"/>
                <w:szCs w:val="20"/>
                <w:lang w:eastAsia="es-MX"/>
              </w:rPr>
              <w:t>Nota: Incluye información de la mayoría de las instituciones crediticias, por lo tanto es un indicador de tendencia.</w:t>
            </w:r>
          </w:p>
          <w:p w14:paraId="5467F655" w14:textId="77777777" w:rsidR="008037B6" w:rsidRPr="008037B6" w:rsidRDefault="008037B6" w:rsidP="008037B6">
            <w:pPr>
              <w:tabs>
                <w:tab w:val="left" w:pos="7830"/>
              </w:tabs>
              <w:ind w:left="1516" w:right="794" w:hanging="14"/>
              <w:jc w:val="both"/>
              <w:rPr>
                <w:rFonts w:eastAsia="Times New Roman"/>
                <w:noProof/>
                <w:sz w:val="20"/>
                <w:szCs w:val="20"/>
                <w:lang w:eastAsia="es-MX"/>
              </w:rPr>
            </w:pPr>
            <w:r w:rsidRPr="008037B6">
              <w:rPr>
                <w:rFonts w:eastAsia="Times New Roman"/>
                <w:noProof/>
                <w:sz w:val="20"/>
                <w:szCs w:val="20"/>
                <w:lang w:eastAsia="es-MX"/>
              </w:rPr>
              <w:t>En este reporte se realizó un ajuste en las instituciones incluidas según segmento de mercado: finacieras, bancos y autofinancieras.</w:t>
            </w:r>
          </w:p>
          <w:p w14:paraId="33620607" w14:textId="77777777" w:rsidR="008037B6" w:rsidRPr="008037B6" w:rsidRDefault="008037B6" w:rsidP="008037B6">
            <w:pPr>
              <w:ind w:firstLine="1026"/>
              <w:rPr>
                <w:rFonts w:eastAsia="Times New Roman"/>
                <w:noProof/>
                <w:sz w:val="22"/>
                <w:szCs w:val="22"/>
                <w:lang w:eastAsia="es-MX"/>
              </w:rPr>
            </w:pPr>
            <w:r w:rsidRPr="008037B6">
              <w:rPr>
                <w:rFonts w:eastAsia="Times New Roman"/>
                <w:noProof/>
                <w:sz w:val="20"/>
                <w:szCs w:val="20"/>
                <w:lang w:eastAsia="es-MX"/>
              </w:rPr>
              <w:t>FUENTE: AMDA con información de JATO Dynamic.</w:t>
            </w:r>
          </w:p>
        </w:tc>
      </w:tr>
    </w:tbl>
    <w:p w14:paraId="2E3B1616" w14:textId="77777777" w:rsidR="008037B6" w:rsidRDefault="008037B6" w:rsidP="008037B6">
      <w:pPr>
        <w:spacing w:after="360" w:line="360" w:lineRule="auto"/>
        <w:ind w:right="-159"/>
        <w:jc w:val="both"/>
        <w:rPr>
          <w:rFonts w:eastAsia="Times New Roman"/>
          <w:sz w:val="26"/>
          <w:szCs w:val="26"/>
        </w:rPr>
      </w:pPr>
    </w:p>
    <w:p w14:paraId="4A3868E9" w14:textId="77777777" w:rsidR="00F664AC" w:rsidRDefault="00F664AC" w:rsidP="008037B6">
      <w:pPr>
        <w:tabs>
          <w:tab w:val="left" w:pos="2835"/>
        </w:tabs>
        <w:spacing w:after="360" w:line="360" w:lineRule="auto"/>
        <w:ind w:right="-159"/>
        <w:jc w:val="both"/>
        <w:rPr>
          <w:rFonts w:eastAsia="Times New Roman"/>
          <w:b/>
          <w:bCs/>
          <w:sz w:val="26"/>
          <w:szCs w:val="26"/>
        </w:rPr>
      </w:pPr>
    </w:p>
    <w:p w14:paraId="711D97F2" w14:textId="77777777" w:rsidR="00F664AC" w:rsidRDefault="00F664AC" w:rsidP="008037B6">
      <w:pPr>
        <w:tabs>
          <w:tab w:val="left" w:pos="2835"/>
        </w:tabs>
        <w:spacing w:after="360" w:line="360" w:lineRule="auto"/>
        <w:ind w:right="-159"/>
        <w:jc w:val="both"/>
        <w:rPr>
          <w:rFonts w:eastAsia="Times New Roman"/>
          <w:b/>
          <w:bCs/>
          <w:sz w:val="26"/>
          <w:szCs w:val="26"/>
        </w:rPr>
      </w:pPr>
    </w:p>
    <w:p w14:paraId="2BCB2209" w14:textId="77777777" w:rsidR="008037B6" w:rsidRPr="008037B6" w:rsidRDefault="008037B6" w:rsidP="008037B6">
      <w:pPr>
        <w:tabs>
          <w:tab w:val="left" w:pos="2835"/>
        </w:tabs>
        <w:spacing w:after="360" w:line="360" w:lineRule="auto"/>
        <w:ind w:right="-159"/>
        <w:jc w:val="both"/>
        <w:rPr>
          <w:rFonts w:eastAsia="Times New Roman"/>
          <w:b/>
          <w:bCs/>
          <w:sz w:val="26"/>
          <w:szCs w:val="26"/>
        </w:rPr>
      </w:pPr>
      <w:r w:rsidRPr="008037B6">
        <w:rPr>
          <w:rFonts w:eastAsia="Times New Roman"/>
          <w:b/>
          <w:bCs/>
          <w:sz w:val="26"/>
          <w:szCs w:val="26"/>
        </w:rPr>
        <w:lastRenderedPageBreak/>
        <w:t>Crédito otorgado por la banca comercial</w:t>
      </w:r>
    </w:p>
    <w:p w14:paraId="2AE57728" w14:textId="27082661" w:rsidR="008037B6" w:rsidRDefault="008037B6" w:rsidP="008037B6">
      <w:pPr>
        <w:tabs>
          <w:tab w:val="left" w:pos="2835"/>
        </w:tabs>
        <w:spacing w:before="480" w:after="360" w:line="360" w:lineRule="auto"/>
        <w:ind w:right="-159"/>
        <w:jc w:val="both"/>
        <w:rPr>
          <w:rFonts w:eastAsia="Times New Roman"/>
          <w:bCs/>
          <w:sz w:val="26"/>
          <w:szCs w:val="26"/>
        </w:rPr>
      </w:pPr>
      <w:r w:rsidRPr="008037B6">
        <w:rPr>
          <w:rFonts w:eastAsia="Times New Roman"/>
          <w:bCs/>
          <w:sz w:val="26"/>
          <w:szCs w:val="26"/>
        </w:rPr>
        <w:t>El crédito vigente otorgado por la banca comercial al sector privado del país registró una variación anual (enero de 2014-enero de 2015) de 5.6%, en tanto que la variación del crédito vencido fue de 0.81% en términos negativos.</w:t>
      </w:r>
    </w:p>
    <w:tbl>
      <w:tblPr>
        <w:tblW w:w="0" w:type="auto"/>
        <w:jc w:val="center"/>
        <w:tblLook w:val="04A0" w:firstRow="1" w:lastRow="0" w:firstColumn="1" w:lastColumn="0" w:noHBand="0" w:noVBand="1"/>
      </w:tblPr>
      <w:tblGrid>
        <w:gridCol w:w="8840"/>
      </w:tblGrid>
      <w:tr w:rsidR="008037B6" w:rsidRPr="008037B6" w14:paraId="3CEC4771" w14:textId="77777777" w:rsidTr="008037B6">
        <w:trPr>
          <w:jc w:val="center"/>
        </w:trPr>
        <w:tc>
          <w:tcPr>
            <w:tcW w:w="8840" w:type="dxa"/>
            <w:shd w:val="clear" w:color="auto" w:fill="auto"/>
          </w:tcPr>
          <w:p w14:paraId="401902BD" w14:textId="77777777" w:rsidR="008037B6" w:rsidRPr="008037B6" w:rsidRDefault="008037B6" w:rsidP="008037B6">
            <w:pPr>
              <w:jc w:val="center"/>
              <w:rPr>
                <w:rFonts w:eastAsia="Times New Roman"/>
                <w:b/>
                <w:caps/>
                <w:sz w:val="22"/>
                <w:szCs w:val="20"/>
                <w:lang w:val="es-ES"/>
              </w:rPr>
            </w:pPr>
            <w:r w:rsidRPr="008037B6">
              <w:rPr>
                <w:rFonts w:eastAsia="Times New Roman"/>
                <w:b/>
                <w:caps/>
                <w:sz w:val="22"/>
                <w:szCs w:val="20"/>
                <w:lang w:val="es-ES"/>
              </w:rPr>
              <w:t xml:space="preserve">CRÉDITO OTORGADO POR LA BANCA COMERCIAL </w:t>
            </w:r>
          </w:p>
          <w:p w14:paraId="1A8AD1E6" w14:textId="77777777" w:rsidR="008037B6" w:rsidRPr="008037B6" w:rsidRDefault="008037B6" w:rsidP="008037B6">
            <w:pPr>
              <w:jc w:val="center"/>
              <w:rPr>
                <w:rFonts w:eastAsia="Times New Roman"/>
                <w:b/>
                <w:caps/>
                <w:sz w:val="22"/>
                <w:szCs w:val="20"/>
                <w:lang w:val="es-ES"/>
              </w:rPr>
            </w:pPr>
            <w:r w:rsidRPr="008037B6">
              <w:rPr>
                <w:rFonts w:eastAsia="Times New Roman"/>
                <w:b/>
                <w:caps/>
                <w:sz w:val="22"/>
                <w:szCs w:val="20"/>
                <w:lang w:val="es-ES"/>
              </w:rPr>
              <w:t>AL SECTOR PRIVADO DEL PAÍS</w:t>
            </w:r>
          </w:p>
          <w:p w14:paraId="5AA311BC" w14:textId="1E993FB3" w:rsidR="008037B6" w:rsidRPr="008037B6" w:rsidRDefault="008037B6" w:rsidP="00D2103B">
            <w:pPr>
              <w:jc w:val="center"/>
              <w:rPr>
                <w:rFonts w:eastAsia="Times New Roman"/>
                <w:b/>
                <w:sz w:val="26"/>
                <w:szCs w:val="26"/>
              </w:rPr>
            </w:pPr>
            <w:r w:rsidRPr="008037B6">
              <w:rPr>
                <w:rFonts w:eastAsia="Times New Roman"/>
                <w:b/>
                <w:caps/>
                <w:sz w:val="22"/>
                <w:szCs w:val="20"/>
                <w:lang w:val="es-ES"/>
              </w:rPr>
              <w:t>-</w:t>
            </w:r>
            <w:r w:rsidRPr="008037B6">
              <w:rPr>
                <w:rFonts w:eastAsia="Times New Roman"/>
                <w:b/>
                <w:sz w:val="22"/>
                <w:szCs w:val="20"/>
                <w:lang w:val="es-ES"/>
              </w:rPr>
              <w:t xml:space="preserve">Millones de pesos </w:t>
            </w:r>
            <w:r w:rsidR="00D2103B">
              <w:rPr>
                <w:rFonts w:eastAsia="Times New Roman"/>
                <w:b/>
                <w:sz w:val="22"/>
                <w:szCs w:val="20"/>
                <w:lang w:val="es-ES"/>
              </w:rPr>
              <w:t>diciembre</w:t>
            </w:r>
            <w:r w:rsidRPr="008037B6">
              <w:rPr>
                <w:rFonts w:eastAsia="Times New Roman"/>
                <w:b/>
                <w:sz w:val="22"/>
                <w:szCs w:val="20"/>
                <w:lang w:val="es-ES"/>
              </w:rPr>
              <w:t xml:space="preserve"> </w:t>
            </w:r>
            <w:r w:rsidRPr="008037B6">
              <w:rPr>
                <w:rFonts w:eastAsia="Times New Roman"/>
                <w:b/>
                <w:caps/>
                <w:sz w:val="22"/>
                <w:szCs w:val="20"/>
                <w:lang w:val="es-ES"/>
              </w:rPr>
              <w:t>2010=100-</w:t>
            </w:r>
          </w:p>
        </w:tc>
      </w:tr>
      <w:tr w:rsidR="008037B6" w:rsidRPr="008037B6" w14:paraId="1FB0A2BA" w14:textId="77777777" w:rsidTr="008037B6">
        <w:trPr>
          <w:jc w:val="center"/>
        </w:trPr>
        <w:tc>
          <w:tcPr>
            <w:tcW w:w="8840" w:type="dxa"/>
            <w:shd w:val="clear" w:color="auto" w:fill="auto"/>
          </w:tcPr>
          <w:p w14:paraId="4F7D9457" w14:textId="77777777" w:rsidR="008037B6" w:rsidRPr="008037B6" w:rsidRDefault="008037B6" w:rsidP="008037B6">
            <w:pPr>
              <w:jc w:val="center"/>
              <w:rPr>
                <w:rFonts w:eastAsia="Times New Roman"/>
                <w:b/>
                <w:sz w:val="26"/>
                <w:szCs w:val="26"/>
              </w:rPr>
            </w:pPr>
            <w:r w:rsidRPr="008037B6">
              <w:rPr>
                <w:rFonts w:eastAsia="Times New Roman"/>
                <w:b/>
                <w:noProof/>
                <w:sz w:val="26"/>
                <w:szCs w:val="26"/>
                <w:lang w:eastAsia="es-MX"/>
              </w:rPr>
              <w:drawing>
                <wp:inline distT="0" distB="0" distL="0" distR="0" wp14:anchorId="2D4DEE3A" wp14:editId="21B9039C">
                  <wp:extent cx="5089291" cy="2520000"/>
                  <wp:effectExtent l="0" t="0" r="0" b="0"/>
                  <wp:docPr id="1556" name="Imagen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29" cstate="print">
                            <a:extLst>
                              <a:ext uri="{28A0092B-C50C-407E-A947-70E740481C1C}">
                                <a14:useLocalDpi xmlns:a14="http://schemas.microsoft.com/office/drawing/2010/main" val="0"/>
                              </a:ext>
                            </a:extLst>
                          </a:blip>
                          <a:srcRect t="958" b="1677"/>
                          <a:stretch/>
                        </pic:blipFill>
                        <pic:spPr bwMode="auto">
                          <a:xfrm>
                            <a:off x="0" y="0"/>
                            <a:ext cx="5089291" cy="252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037B6" w:rsidRPr="008037B6" w14:paraId="27E12046" w14:textId="77777777" w:rsidTr="008037B6">
        <w:trPr>
          <w:jc w:val="center"/>
        </w:trPr>
        <w:tc>
          <w:tcPr>
            <w:tcW w:w="8840" w:type="dxa"/>
            <w:shd w:val="clear" w:color="auto" w:fill="auto"/>
          </w:tcPr>
          <w:p w14:paraId="565F7A3B" w14:textId="77777777" w:rsidR="008037B6" w:rsidRPr="008037B6" w:rsidRDefault="008037B6" w:rsidP="008037B6">
            <w:pPr>
              <w:tabs>
                <w:tab w:val="left" w:pos="1452"/>
              </w:tabs>
              <w:ind w:left="993" w:hanging="250"/>
              <w:jc w:val="both"/>
              <w:rPr>
                <w:rFonts w:eastAsia="Times New Roman"/>
                <w:b/>
                <w:sz w:val="26"/>
                <w:szCs w:val="26"/>
              </w:rPr>
            </w:pPr>
            <w:r w:rsidRPr="008037B6">
              <w:rPr>
                <w:rFonts w:eastAsia="Times New Roman"/>
                <w:sz w:val="20"/>
                <w:szCs w:val="20"/>
                <w:lang w:val="es-ES"/>
              </w:rPr>
              <w:t>FUENTE: Banxico.</w:t>
            </w:r>
          </w:p>
        </w:tc>
      </w:tr>
    </w:tbl>
    <w:p w14:paraId="029FD40E" w14:textId="77777777" w:rsidR="008037B6" w:rsidRPr="008037B6" w:rsidRDefault="008037B6" w:rsidP="008037B6">
      <w:pPr>
        <w:tabs>
          <w:tab w:val="left" w:pos="2835"/>
        </w:tabs>
        <w:spacing w:after="360" w:line="360" w:lineRule="auto"/>
        <w:ind w:right="-159"/>
        <w:jc w:val="both"/>
        <w:rPr>
          <w:rFonts w:eastAsia="Times New Roman"/>
          <w:bCs/>
          <w:sz w:val="26"/>
          <w:szCs w:val="26"/>
        </w:rPr>
      </w:pPr>
    </w:p>
    <w:p w14:paraId="4896E085" w14:textId="77777777" w:rsidR="008037B6" w:rsidRDefault="008037B6" w:rsidP="008037B6">
      <w:pPr>
        <w:tabs>
          <w:tab w:val="left" w:pos="2835"/>
        </w:tabs>
        <w:spacing w:before="480" w:after="360" w:line="360" w:lineRule="auto"/>
        <w:ind w:right="-159"/>
        <w:jc w:val="both"/>
        <w:rPr>
          <w:rFonts w:eastAsia="Times New Roman"/>
          <w:bCs/>
          <w:sz w:val="26"/>
          <w:szCs w:val="26"/>
        </w:rPr>
      </w:pPr>
      <w:r w:rsidRPr="008037B6">
        <w:rPr>
          <w:rFonts w:eastAsia="Times New Roman"/>
          <w:bCs/>
          <w:sz w:val="26"/>
          <w:szCs w:val="26"/>
        </w:rPr>
        <w:t>Para el caso del crédito vigente otorgado por la banca comercial al consumo, durante el período enero de 2015 respecto al mismo mes de 2014, el 0.8% negativo correspondió a tarjeta de crédito y el 2.1% a los bienes de consumo duradero.</w:t>
      </w:r>
    </w:p>
    <w:p w14:paraId="022C94FC" w14:textId="77777777" w:rsidR="00FE6CAE" w:rsidRDefault="00FE6CAE" w:rsidP="008037B6">
      <w:pPr>
        <w:tabs>
          <w:tab w:val="left" w:pos="2835"/>
        </w:tabs>
        <w:spacing w:before="480" w:after="360" w:line="360" w:lineRule="auto"/>
        <w:ind w:right="-159"/>
        <w:jc w:val="both"/>
        <w:rPr>
          <w:rFonts w:eastAsia="Times New Roman"/>
          <w:bCs/>
          <w:sz w:val="26"/>
          <w:szCs w:val="26"/>
        </w:rPr>
      </w:pPr>
    </w:p>
    <w:p w14:paraId="035C4165" w14:textId="77777777" w:rsidR="00FE6CAE" w:rsidRDefault="00FE6CAE" w:rsidP="008037B6">
      <w:pPr>
        <w:tabs>
          <w:tab w:val="left" w:pos="2835"/>
        </w:tabs>
        <w:spacing w:before="480" w:after="360" w:line="360" w:lineRule="auto"/>
        <w:ind w:right="-159"/>
        <w:jc w:val="both"/>
        <w:rPr>
          <w:rFonts w:eastAsia="Times New Roman"/>
          <w:bCs/>
          <w:sz w:val="26"/>
          <w:szCs w:val="26"/>
        </w:rPr>
      </w:pPr>
    </w:p>
    <w:p w14:paraId="05457BDD" w14:textId="77777777" w:rsidR="00FE6CAE" w:rsidRPr="008037B6" w:rsidRDefault="00FE6CAE" w:rsidP="008037B6">
      <w:pPr>
        <w:tabs>
          <w:tab w:val="left" w:pos="2835"/>
        </w:tabs>
        <w:spacing w:before="480" w:after="360" w:line="360" w:lineRule="auto"/>
        <w:ind w:right="-159"/>
        <w:jc w:val="both"/>
        <w:rPr>
          <w:rFonts w:eastAsia="Times New Roman"/>
          <w:bCs/>
          <w:sz w:val="26"/>
          <w:szCs w:val="26"/>
        </w:rPr>
      </w:pPr>
    </w:p>
    <w:tbl>
      <w:tblPr>
        <w:tblW w:w="9056" w:type="dxa"/>
        <w:jc w:val="center"/>
        <w:tblLook w:val="04A0" w:firstRow="1" w:lastRow="0" w:firstColumn="1" w:lastColumn="0" w:noHBand="0" w:noVBand="1"/>
      </w:tblPr>
      <w:tblGrid>
        <w:gridCol w:w="9056"/>
      </w:tblGrid>
      <w:tr w:rsidR="008037B6" w:rsidRPr="008037B6" w14:paraId="2DA2B24B" w14:textId="77777777" w:rsidTr="004F1C40">
        <w:trPr>
          <w:trHeight w:val="248"/>
          <w:jc w:val="center"/>
        </w:trPr>
        <w:tc>
          <w:tcPr>
            <w:tcW w:w="9056" w:type="dxa"/>
          </w:tcPr>
          <w:p w14:paraId="5F303A70" w14:textId="77777777" w:rsidR="008037B6" w:rsidRPr="008037B6" w:rsidRDefault="008037B6" w:rsidP="008037B6">
            <w:pPr>
              <w:jc w:val="center"/>
              <w:rPr>
                <w:rFonts w:eastAsia="Times New Roman"/>
                <w:b/>
                <w:noProof/>
                <w:sz w:val="22"/>
                <w:szCs w:val="22"/>
                <w:lang w:val="es-ES" w:eastAsia="es-MX"/>
              </w:rPr>
            </w:pPr>
            <w:r w:rsidRPr="008037B6">
              <w:rPr>
                <w:rFonts w:eastAsia="Times New Roman"/>
                <w:b/>
                <w:noProof/>
                <w:sz w:val="22"/>
                <w:szCs w:val="22"/>
                <w:lang w:val="es-ES" w:eastAsia="es-MX"/>
              </w:rPr>
              <w:lastRenderedPageBreak/>
              <w:t xml:space="preserve">CRÉDITO VIGENTE OTORGADO POR LA </w:t>
            </w:r>
          </w:p>
          <w:p w14:paraId="583ECFA6" w14:textId="77777777" w:rsidR="008037B6" w:rsidRPr="008037B6" w:rsidRDefault="008037B6" w:rsidP="008037B6">
            <w:pPr>
              <w:jc w:val="center"/>
              <w:rPr>
                <w:rFonts w:eastAsia="Times New Roman"/>
                <w:b/>
                <w:noProof/>
                <w:sz w:val="22"/>
                <w:szCs w:val="22"/>
                <w:lang w:val="es-ES" w:eastAsia="es-MX"/>
              </w:rPr>
            </w:pPr>
            <w:r w:rsidRPr="008037B6">
              <w:rPr>
                <w:rFonts w:eastAsia="Times New Roman"/>
                <w:b/>
                <w:noProof/>
                <w:sz w:val="22"/>
                <w:szCs w:val="22"/>
                <w:lang w:val="es-ES" w:eastAsia="es-MX"/>
              </w:rPr>
              <w:t>BANCA COMERCIAL AL CONSUMO</w:t>
            </w:r>
          </w:p>
          <w:p w14:paraId="7CB101E5" w14:textId="3908A941" w:rsidR="008037B6" w:rsidRPr="008037B6" w:rsidRDefault="008037B6" w:rsidP="00D2103B">
            <w:pPr>
              <w:jc w:val="center"/>
              <w:rPr>
                <w:rFonts w:eastAsia="Times New Roman"/>
                <w:b/>
                <w:noProof/>
                <w:lang w:val="es-ES" w:eastAsia="es-MX"/>
              </w:rPr>
            </w:pPr>
            <w:r w:rsidRPr="008037B6">
              <w:rPr>
                <w:rFonts w:eastAsia="Times New Roman"/>
                <w:b/>
                <w:noProof/>
                <w:sz w:val="22"/>
                <w:szCs w:val="22"/>
                <w:lang w:val="es-ES" w:eastAsia="es-MX"/>
              </w:rPr>
              <w:t xml:space="preserve">-Millones de pesos </w:t>
            </w:r>
            <w:r w:rsidR="00D2103B">
              <w:rPr>
                <w:rFonts w:eastAsia="Times New Roman"/>
                <w:b/>
                <w:noProof/>
                <w:sz w:val="22"/>
                <w:szCs w:val="22"/>
                <w:lang w:val="es-ES" w:eastAsia="es-MX"/>
              </w:rPr>
              <w:t>diciembre</w:t>
            </w:r>
            <w:r w:rsidRPr="008037B6">
              <w:rPr>
                <w:rFonts w:eastAsia="Times New Roman"/>
                <w:b/>
                <w:noProof/>
                <w:sz w:val="22"/>
                <w:szCs w:val="22"/>
                <w:lang w:val="es-ES" w:eastAsia="es-MX"/>
              </w:rPr>
              <w:t xml:space="preserve"> 2010=100-</w:t>
            </w:r>
          </w:p>
        </w:tc>
      </w:tr>
      <w:tr w:rsidR="008037B6" w:rsidRPr="008037B6" w14:paraId="41FB6D5C" w14:textId="77777777" w:rsidTr="004F1C40">
        <w:trPr>
          <w:trHeight w:val="265"/>
          <w:jc w:val="center"/>
        </w:trPr>
        <w:tc>
          <w:tcPr>
            <w:tcW w:w="9056" w:type="dxa"/>
          </w:tcPr>
          <w:p w14:paraId="559EA3B6" w14:textId="77777777" w:rsidR="008037B6" w:rsidRPr="008037B6" w:rsidRDefault="008037B6" w:rsidP="008037B6">
            <w:pPr>
              <w:jc w:val="center"/>
              <w:rPr>
                <w:rFonts w:eastAsia="Times New Roman"/>
                <w:sz w:val="22"/>
                <w:lang w:val="es-ES"/>
              </w:rPr>
            </w:pPr>
            <w:r w:rsidRPr="008037B6">
              <w:rPr>
                <w:rFonts w:eastAsia="Times New Roman"/>
                <w:noProof/>
                <w:sz w:val="22"/>
                <w:lang w:eastAsia="es-MX"/>
              </w:rPr>
              <w:drawing>
                <wp:inline distT="0" distB="0" distL="0" distR="0" wp14:anchorId="51CC37A9" wp14:editId="22802CE2">
                  <wp:extent cx="4649638" cy="2545724"/>
                  <wp:effectExtent l="0" t="0" r="0" b="0"/>
                  <wp:docPr id="1557" name="Imagen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30" cstate="print">
                            <a:extLst>
                              <a:ext uri="{28A0092B-C50C-407E-A947-70E740481C1C}">
                                <a14:useLocalDpi xmlns:a14="http://schemas.microsoft.com/office/drawing/2010/main" val="0"/>
                              </a:ext>
                            </a:extLst>
                          </a:blip>
                          <a:srcRect l="1538" r="2919"/>
                          <a:stretch/>
                        </pic:blipFill>
                        <pic:spPr bwMode="auto">
                          <a:xfrm>
                            <a:off x="0" y="0"/>
                            <a:ext cx="4673897" cy="255900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037B6" w:rsidRPr="008037B6" w14:paraId="2967618C" w14:textId="77777777" w:rsidTr="004F1C40">
        <w:trPr>
          <w:trHeight w:val="345"/>
          <w:jc w:val="center"/>
        </w:trPr>
        <w:tc>
          <w:tcPr>
            <w:tcW w:w="9056" w:type="dxa"/>
          </w:tcPr>
          <w:p w14:paraId="659F4001" w14:textId="77777777" w:rsidR="008037B6" w:rsidRPr="008037B6" w:rsidRDefault="008037B6" w:rsidP="008037B6">
            <w:pPr>
              <w:ind w:left="1593"/>
              <w:rPr>
                <w:rFonts w:eastAsia="Times New Roman"/>
                <w:noProof/>
                <w:sz w:val="20"/>
                <w:szCs w:val="20"/>
                <w:lang w:eastAsia="es-MX"/>
              </w:rPr>
            </w:pPr>
            <w:r w:rsidRPr="008037B6">
              <w:rPr>
                <w:rFonts w:eastAsia="Times New Roman"/>
                <w:noProof/>
                <w:sz w:val="20"/>
                <w:szCs w:val="20"/>
                <w:lang w:eastAsia="es-MX"/>
              </w:rPr>
              <w:t>FUENTE: Banxico.</w:t>
            </w:r>
          </w:p>
        </w:tc>
      </w:tr>
    </w:tbl>
    <w:p w14:paraId="7E160302" w14:textId="77777777" w:rsidR="008037B6" w:rsidRPr="008037B6" w:rsidRDefault="008037B6" w:rsidP="008037B6">
      <w:pPr>
        <w:tabs>
          <w:tab w:val="left" w:pos="2835"/>
        </w:tabs>
        <w:spacing w:after="360" w:line="360" w:lineRule="auto"/>
        <w:ind w:right="-159"/>
        <w:jc w:val="both"/>
        <w:rPr>
          <w:rFonts w:eastAsia="Times New Roman"/>
          <w:b/>
          <w:bCs/>
          <w:sz w:val="26"/>
          <w:szCs w:val="26"/>
        </w:rPr>
      </w:pPr>
    </w:p>
    <w:p w14:paraId="2D7E6B0C" w14:textId="77777777" w:rsidR="008037B6" w:rsidRPr="008037B6" w:rsidRDefault="008037B6" w:rsidP="008037B6">
      <w:pPr>
        <w:tabs>
          <w:tab w:val="left" w:pos="2835"/>
        </w:tabs>
        <w:spacing w:after="360" w:line="360" w:lineRule="auto"/>
        <w:ind w:right="-159"/>
        <w:jc w:val="both"/>
        <w:rPr>
          <w:rFonts w:eastAsia="Times New Roman"/>
          <w:b/>
          <w:bCs/>
          <w:sz w:val="26"/>
          <w:szCs w:val="26"/>
        </w:rPr>
      </w:pPr>
      <w:r w:rsidRPr="008037B6">
        <w:rPr>
          <w:rFonts w:eastAsia="Times New Roman"/>
          <w:b/>
          <w:bCs/>
          <w:sz w:val="26"/>
          <w:szCs w:val="26"/>
        </w:rPr>
        <w:t>Vehículos usados importados</w:t>
      </w:r>
    </w:p>
    <w:p w14:paraId="65DD86FF" w14:textId="639D4E50" w:rsidR="008037B6" w:rsidRPr="008037B6" w:rsidRDefault="008037B6" w:rsidP="008037B6">
      <w:pPr>
        <w:tabs>
          <w:tab w:val="left" w:pos="2835"/>
        </w:tabs>
        <w:spacing w:after="360" w:line="360" w:lineRule="auto"/>
        <w:ind w:right="-159"/>
        <w:jc w:val="both"/>
        <w:rPr>
          <w:rFonts w:eastAsia="Times New Roman"/>
          <w:bCs/>
          <w:sz w:val="26"/>
          <w:szCs w:val="26"/>
        </w:rPr>
      </w:pPr>
      <w:r w:rsidRPr="008037B6">
        <w:rPr>
          <w:rFonts w:eastAsia="Times New Roman"/>
          <w:bCs/>
          <w:sz w:val="26"/>
          <w:szCs w:val="26"/>
        </w:rPr>
        <w:t xml:space="preserve">Al mes de enero de 2015, la importación de autos usados fue de 13 mil 572 unidades, lo que equivale al 13.1% del total de ventas de vehículos nuevos. En enero 2015, la importación disminuyó 74.3% respecto a similar período de 2014, lo que representó </w:t>
      </w:r>
      <w:r w:rsidR="009A4CE7">
        <w:rPr>
          <w:rFonts w:eastAsia="Times New Roman"/>
          <w:bCs/>
          <w:sz w:val="26"/>
          <w:szCs w:val="26"/>
        </w:rPr>
        <w:t xml:space="preserve">       </w:t>
      </w:r>
      <w:r w:rsidRPr="008037B6">
        <w:rPr>
          <w:rFonts w:eastAsia="Times New Roman"/>
          <w:bCs/>
          <w:sz w:val="26"/>
          <w:szCs w:val="26"/>
        </w:rPr>
        <w:t>39 mil 267 unidades menos.</w:t>
      </w:r>
    </w:p>
    <w:tbl>
      <w:tblPr>
        <w:tblW w:w="5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7"/>
        <w:gridCol w:w="881"/>
        <w:gridCol w:w="851"/>
        <w:gridCol w:w="1134"/>
        <w:gridCol w:w="753"/>
      </w:tblGrid>
      <w:tr w:rsidR="008037B6" w:rsidRPr="008037B6" w14:paraId="5FC13289" w14:textId="77777777" w:rsidTr="008037B6">
        <w:trPr>
          <w:jc w:val="center"/>
        </w:trPr>
        <w:tc>
          <w:tcPr>
            <w:tcW w:w="5006" w:type="dxa"/>
            <w:gridSpan w:val="5"/>
            <w:tcBorders>
              <w:top w:val="nil"/>
              <w:left w:val="nil"/>
              <w:bottom w:val="single" w:sz="4" w:space="0" w:color="auto"/>
              <w:right w:val="nil"/>
            </w:tcBorders>
            <w:shd w:val="clear" w:color="auto" w:fill="auto"/>
            <w:vAlign w:val="center"/>
          </w:tcPr>
          <w:p w14:paraId="7E90C418" w14:textId="77777777" w:rsidR="008037B6" w:rsidRPr="008037B6" w:rsidRDefault="008037B6" w:rsidP="008037B6">
            <w:pPr>
              <w:jc w:val="center"/>
              <w:rPr>
                <w:rFonts w:eastAsia="Times New Roman"/>
                <w:b/>
                <w:sz w:val="22"/>
                <w:szCs w:val="22"/>
              </w:rPr>
            </w:pPr>
            <w:r w:rsidRPr="008037B6">
              <w:rPr>
                <w:rFonts w:eastAsia="Times New Roman"/>
                <w:b/>
                <w:sz w:val="22"/>
                <w:szCs w:val="22"/>
              </w:rPr>
              <w:t>VEHÍCULOS USADOS IMPORTADOS</w:t>
            </w:r>
          </w:p>
          <w:p w14:paraId="12BFB64C" w14:textId="77777777" w:rsidR="008037B6" w:rsidRPr="008037B6" w:rsidRDefault="008037B6" w:rsidP="008037B6">
            <w:pPr>
              <w:jc w:val="center"/>
              <w:rPr>
                <w:rFonts w:eastAsia="Times New Roman"/>
                <w:b/>
                <w:sz w:val="22"/>
                <w:szCs w:val="22"/>
              </w:rPr>
            </w:pPr>
            <w:r w:rsidRPr="008037B6">
              <w:rPr>
                <w:rFonts w:eastAsia="Times New Roman"/>
                <w:b/>
                <w:sz w:val="22"/>
                <w:szCs w:val="22"/>
              </w:rPr>
              <w:t>-Unidades-</w:t>
            </w:r>
          </w:p>
        </w:tc>
      </w:tr>
      <w:tr w:rsidR="008037B6" w:rsidRPr="008037B6" w14:paraId="7F6BCE22" w14:textId="77777777" w:rsidTr="008037B6">
        <w:trPr>
          <w:jc w:val="center"/>
        </w:trPr>
        <w:tc>
          <w:tcPr>
            <w:tcW w:w="1387" w:type="dxa"/>
            <w:vMerge w:val="restart"/>
            <w:tcBorders>
              <w:top w:val="single" w:sz="4" w:space="0" w:color="auto"/>
              <w:bottom w:val="single" w:sz="4" w:space="0" w:color="auto"/>
            </w:tcBorders>
            <w:shd w:val="clear" w:color="auto" w:fill="auto"/>
            <w:vAlign w:val="center"/>
          </w:tcPr>
          <w:p w14:paraId="11BCA310" w14:textId="77777777" w:rsidR="008037B6" w:rsidRPr="008037B6" w:rsidRDefault="008037B6" w:rsidP="008037B6">
            <w:pPr>
              <w:spacing w:before="20" w:after="20"/>
              <w:jc w:val="center"/>
              <w:rPr>
                <w:rFonts w:eastAsia="Times New Roman"/>
                <w:b/>
                <w:sz w:val="20"/>
                <w:szCs w:val="20"/>
              </w:rPr>
            </w:pPr>
            <w:r w:rsidRPr="008037B6">
              <w:rPr>
                <w:rFonts w:eastAsia="Times New Roman"/>
                <w:b/>
                <w:sz w:val="20"/>
                <w:szCs w:val="20"/>
              </w:rPr>
              <w:t>Año</w:t>
            </w:r>
          </w:p>
        </w:tc>
        <w:tc>
          <w:tcPr>
            <w:tcW w:w="3619" w:type="dxa"/>
            <w:gridSpan w:val="4"/>
            <w:tcBorders>
              <w:top w:val="single" w:sz="4" w:space="0" w:color="auto"/>
              <w:bottom w:val="single" w:sz="4" w:space="0" w:color="auto"/>
            </w:tcBorders>
            <w:shd w:val="clear" w:color="auto" w:fill="auto"/>
            <w:vAlign w:val="center"/>
          </w:tcPr>
          <w:p w14:paraId="0CC868DE" w14:textId="77777777" w:rsidR="008037B6" w:rsidRPr="008037B6" w:rsidRDefault="008037B6" w:rsidP="008037B6">
            <w:pPr>
              <w:spacing w:before="20" w:after="20"/>
              <w:jc w:val="center"/>
              <w:rPr>
                <w:rFonts w:eastAsia="Times New Roman"/>
                <w:b/>
                <w:sz w:val="20"/>
                <w:szCs w:val="20"/>
              </w:rPr>
            </w:pPr>
            <w:r w:rsidRPr="008037B6">
              <w:rPr>
                <w:rFonts w:eastAsia="Times New Roman"/>
                <w:b/>
                <w:sz w:val="20"/>
                <w:szCs w:val="20"/>
              </w:rPr>
              <w:t>Enero</w:t>
            </w:r>
          </w:p>
        </w:tc>
      </w:tr>
      <w:tr w:rsidR="008037B6" w:rsidRPr="008037B6" w14:paraId="10F38257" w14:textId="77777777" w:rsidTr="008037B6">
        <w:trPr>
          <w:jc w:val="center"/>
        </w:trPr>
        <w:tc>
          <w:tcPr>
            <w:tcW w:w="1387" w:type="dxa"/>
            <w:vMerge/>
            <w:tcBorders>
              <w:top w:val="single" w:sz="4" w:space="0" w:color="auto"/>
              <w:bottom w:val="single" w:sz="4" w:space="0" w:color="auto"/>
            </w:tcBorders>
            <w:shd w:val="clear" w:color="auto" w:fill="auto"/>
            <w:vAlign w:val="center"/>
          </w:tcPr>
          <w:p w14:paraId="65CFE51C" w14:textId="77777777" w:rsidR="008037B6" w:rsidRPr="008037B6" w:rsidRDefault="008037B6" w:rsidP="008037B6">
            <w:pPr>
              <w:spacing w:before="20" w:after="20"/>
              <w:jc w:val="center"/>
              <w:rPr>
                <w:rFonts w:eastAsia="Times New Roman"/>
                <w:b/>
                <w:sz w:val="20"/>
                <w:szCs w:val="20"/>
              </w:rPr>
            </w:pPr>
          </w:p>
        </w:tc>
        <w:tc>
          <w:tcPr>
            <w:tcW w:w="881" w:type="dxa"/>
            <w:vMerge w:val="restart"/>
            <w:tcBorders>
              <w:top w:val="single" w:sz="4" w:space="0" w:color="auto"/>
              <w:bottom w:val="single" w:sz="4" w:space="0" w:color="auto"/>
            </w:tcBorders>
            <w:shd w:val="clear" w:color="auto" w:fill="auto"/>
            <w:vAlign w:val="center"/>
          </w:tcPr>
          <w:p w14:paraId="73955FA0" w14:textId="77777777" w:rsidR="008037B6" w:rsidRPr="008037B6" w:rsidRDefault="008037B6" w:rsidP="008037B6">
            <w:pPr>
              <w:spacing w:before="20" w:after="20"/>
              <w:jc w:val="center"/>
              <w:rPr>
                <w:rFonts w:eastAsia="Times New Roman"/>
                <w:b/>
                <w:sz w:val="20"/>
                <w:szCs w:val="20"/>
              </w:rPr>
            </w:pPr>
            <w:r w:rsidRPr="008037B6">
              <w:rPr>
                <w:rFonts w:eastAsia="Times New Roman"/>
                <w:b/>
                <w:sz w:val="20"/>
                <w:szCs w:val="20"/>
              </w:rPr>
              <w:t>2015</w:t>
            </w:r>
          </w:p>
        </w:tc>
        <w:tc>
          <w:tcPr>
            <w:tcW w:w="851" w:type="dxa"/>
            <w:vMerge w:val="restart"/>
            <w:tcBorders>
              <w:top w:val="single" w:sz="4" w:space="0" w:color="auto"/>
              <w:bottom w:val="single" w:sz="4" w:space="0" w:color="auto"/>
            </w:tcBorders>
            <w:shd w:val="clear" w:color="auto" w:fill="auto"/>
            <w:vAlign w:val="center"/>
          </w:tcPr>
          <w:p w14:paraId="44827203" w14:textId="77777777" w:rsidR="008037B6" w:rsidRPr="008037B6" w:rsidRDefault="008037B6" w:rsidP="008037B6">
            <w:pPr>
              <w:spacing w:before="20" w:after="20"/>
              <w:jc w:val="center"/>
              <w:rPr>
                <w:rFonts w:eastAsia="Times New Roman"/>
                <w:b/>
                <w:sz w:val="20"/>
                <w:szCs w:val="20"/>
              </w:rPr>
            </w:pPr>
            <w:r w:rsidRPr="008037B6">
              <w:rPr>
                <w:rFonts w:eastAsia="Times New Roman"/>
                <w:b/>
                <w:sz w:val="20"/>
                <w:szCs w:val="20"/>
              </w:rPr>
              <w:t>2014</w:t>
            </w:r>
          </w:p>
        </w:tc>
        <w:tc>
          <w:tcPr>
            <w:tcW w:w="1887" w:type="dxa"/>
            <w:gridSpan w:val="2"/>
            <w:tcBorders>
              <w:top w:val="single" w:sz="4" w:space="0" w:color="auto"/>
              <w:bottom w:val="single" w:sz="4" w:space="0" w:color="auto"/>
            </w:tcBorders>
            <w:shd w:val="clear" w:color="auto" w:fill="auto"/>
            <w:vAlign w:val="center"/>
          </w:tcPr>
          <w:p w14:paraId="5B5CC4B7" w14:textId="77777777" w:rsidR="008037B6" w:rsidRPr="008037B6" w:rsidRDefault="008037B6" w:rsidP="008037B6">
            <w:pPr>
              <w:spacing w:before="20" w:after="20"/>
              <w:jc w:val="center"/>
              <w:rPr>
                <w:rFonts w:eastAsia="Times New Roman"/>
                <w:b/>
                <w:sz w:val="20"/>
                <w:szCs w:val="20"/>
              </w:rPr>
            </w:pPr>
            <w:r w:rsidRPr="008037B6">
              <w:rPr>
                <w:rFonts w:eastAsia="Times New Roman"/>
                <w:b/>
                <w:sz w:val="20"/>
                <w:szCs w:val="20"/>
              </w:rPr>
              <w:t xml:space="preserve">Variación </w:t>
            </w:r>
          </w:p>
        </w:tc>
      </w:tr>
      <w:tr w:rsidR="008037B6" w:rsidRPr="008037B6" w14:paraId="7D48AA85" w14:textId="77777777" w:rsidTr="008037B6">
        <w:trPr>
          <w:jc w:val="center"/>
        </w:trPr>
        <w:tc>
          <w:tcPr>
            <w:tcW w:w="1387" w:type="dxa"/>
            <w:vMerge/>
            <w:tcBorders>
              <w:top w:val="single" w:sz="4" w:space="0" w:color="auto"/>
              <w:bottom w:val="single" w:sz="4" w:space="0" w:color="auto"/>
            </w:tcBorders>
            <w:shd w:val="clear" w:color="auto" w:fill="auto"/>
            <w:vAlign w:val="center"/>
          </w:tcPr>
          <w:p w14:paraId="68DBFF9F" w14:textId="77777777" w:rsidR="008037B6" w:rsidRPr="008037B6" w:rsidRDefault="008037B6" w:rsidP="008037B6">
            <w:pPr>
              <w:spacing w:before="20" w:after="20"/>
              <w:jc w:val="center"/>
              <w:rPr>
                <w:rFonts w:eastAsia="Times New Roman"/>
                <w:b/>
                <w:sz w:val="20"/>
                <w:szCs w:val="20"/>
              </w:rPr>
            </w:pPr>
          </w:p>
        </w:tc>
        <w:tc>
          <w:tcPr>
            <w:tcW w:w="881" w:type="dxa"/>
            <w:vMerge/>
            <w:tcBorders>
              <w:top w:val="single" w:sz="4" w:space="0" w:color="auto"/>
              <w:bottom w:val="single" w:sz="4" w:space="0" w:color="auto"/>
            </w:tcBorders>
            <w:shd w:val="clear" w:color="auto" w:fill="auto"/>
            <w:vAlign w:val="center"/>
          </w:tcPr>
          <w:p w14:paraId="5AEA638E" w14:textId="77777777" w:rsidR="008037B6" w:rsidRPr="008037B6" w:rsidRDefault="008037B6" w:rsidP="008037B6">
            <w:pPr>
              <w:spacing w:before="20" w:after="20"/>
              <w:jc w:val="center"/>
              <w:rPr>
                <w:rFonts w:eastAsia="Times New Roman"/>
                <w:b/>
                <w:sz w:val="20"/>
                <w:szCs w:val="20"/>
              </w:rPr>
            </w:pPr>
          </w:p>
        </w:tc>
        <w:tc>
          <w:tcPr>
            <w:tcW w:w="851" w:type="dxa"/>
            <w:vMerge/>
            <w:tcBorders>
              <w:top w:val="single" w:sz="4" w:space="0" w:color="auto"/>
              <w:bottom w:val="single" w:sz="4" w:space="0" w:color="auto"/>
            </w:tcBorders>
            <w:shd w:val="clear" w:color="auto" w:fill="auto"/>
            <w:vAlign w:val="center"/>
          </w:tcPr>
          <w:p w14:paraId="6CFA34E5" w14:textId="77777777" w:rsidR="008037B6" w:rsidRPr="008037B6" w:rsidRDefault="008037B6" w:rsidP="008037B6">
            <w:pPr>
              <w:spacing w:before="20" w:after="20"/>
              <w:jc w:val="center"/>
              <w:rPr>
                <w:rFonts w:eastAsia="Times New Roman"/>
                <w:b/>
                <w:sz w:val="20"/>
                <w:szCs w:val="20"/>
              </w:rPr>
            </w:pPr>
          </w:p>
        </w:tc>
        <w:tc>
          <w:tcPr>
            <w:tcW w:w="1134" w:type="dxa"/>
            <w:tcBorders>
              <w:top w:val="single" w:sz="4" w:space="0" w:color="auto"/>
              <w:bottom w:val="single" w:sz="4" w:space="0" w:color="auto"/>
            </w:tcBorders>
            <w:shd w:val="clear" w:color="auto" w:fill="auto"/>
            <w:vAlign w:val="center"/>
          </w:tcPr>
          <w:p w14:paraId="55CC2E20" w14:textId="77777777" w:rsidR="008037B6" w:rsidRPr="008037B6" w:rsidRDefault="008037B6" w:rsidP="008037B6">
            <w:pPr>
              <w:spacing w:before="20" w:after="20"/>
              <w:jc w:val="center"/>
              <w:rPr>
                <w:rFonts w:eastAsia="Times New Roman"/>
                <w:b/>
                <w:sz w:val="20"/>
                <w:szCs w:val="20"/>
              </w:rPr>
            </w:pPr>
            <w:r w:rsidRPr="008037B6">
              <w:rPr>
                <w:rFonts w:eastAsia="Times New Roman"/>
                <w:b/>
                <w:sz w:val="20"/>
                <w:szCs w:val="20"/>
              </w:rPr>
              <w:t>Unidades</w:t>
            </w:r>
          </w:p>
        </w:tc>
        <w:tc>
          <w:tcPr>
            <w:tcW w:w="753" w:type="dxa"/>
            <w:tcBorders>
              <w:top w:val="single" w:sz="4" w:space="0" w:color="auto"/>
              <w:bottom w:val="single" w:sz="4" w:space="0" w:color="auto"/>
            </w:tcBorders>
            <w:vAlign w:val="center"/>
          </w:tcPr>
          <w:p w14:paraId="15126210" w14:textId="77777777" w:rsidR="008037B6" w:rsidRPr="008037B6" w:rsidRDefault="008037B6" w:rsidP="008037B6">
            <w:pPr>
              <w:spacing w:before="20" w:after="20"/>
              <w:jc w:val="center"/>
              <w:rPr>
                <w:rFonts w:eastAsia="Times New Roman"/>
                <w:b/>
                <w:sz w:val="20"/>
                <w:szCs w:val="20"/>
              </w:rPr>
            </w:pPr>
            <w:r w:rsidRPr="008037B6">
              <w:rPr>
                <w:rFonts w:eastAsia="Times New Roman"/>
                <w:b/>
                <w:sz w:val="20"/>
                <w:szCs w:val="20"/>
              </w:rPr>
              <w:t>%</w:t>
            </w:r>
          </w:p>
        </w:tc>
      </w:tr>
      <w:tr w:rsidR="008037B6" w:rsidRPr="008037B6" w14:paraId="5D2FAFC5" w14:textId="77777777" w:rsidTr="008037B6">
        <w:trPr>
          <w:jc w:val="center"/>
        </w:trPr>
        <w:tc>
          <w:tcPr>
            <w:tcW w:w="1387" w:type="dxa"/>
            <w:tcBorders>
              <w:top w:val="single" w:sz="4" w:space="0" w:color="auto"/>
              <w:bottom w:val="single" w:sz="4" w:space="0" w:color="auto"/>
            </w:tcBorders>
            <w:shd w:val="clear" w:color="auto" w:fill="auto"/>
            <w:vAlign w:val="center"/>
          </w:tcPr>
          <w:p w14:paraId="67C29EAF" w14:textId="77777777" w:rsidR="008037B6" w:rsidRPr="008037B6" w:rsidRDefault="008037B6" w:rsidP="008037B6">
            <w:pPr>
              <w:spacing w:before="20" w:after="20"/>
              <w:jc w:val="both"/>
              <w:rPr>
                <w:rFonts w:eastAsia="Times New Roman"/>
                <w:sz w:val="20"/>
                <w:szCs w:val="20"/>
              </w:rPr>
            </w:pPr>
            <w:r w:rsidRPr="008037B6">
              <w:rPr>
                <w:rFonts w:eastAsia="Times New Roman"/>
                <w:sz w:val="20"/>
                <w:szCs w:val="20"/>
              </w:rPr>
              <w:t>Usados importados</w:t>
            </w:r>
          </w:p>
        </w:tc>
        <w:tc>
          <w:tcPr>
            <w:tcW w:w="881" w:type="dxa"/>
            <w:tcBorders>
              <w:top w:val="single" w:sz="4" w:space="0" w:color="auto"/>
              <w:bottom w:val="single" w:sz="4" w:space="0" w:color="auto"/>
            </w:tcBorders>
            <w:shd w:val="clear" w:color="auto" w:fill="auto"/>
            <w:vAlign w:val="center"/>
          </w:tcPr>
          <w:p w14:paraId="304E8ED8" w14:textId="77777777" w:rsidR="008037B6" w:rsidRPr="008037B6" w:rsidRDefault="008037B6" w:rsidP="008037B6">
            <w:pPr>
              <w:spacing w:before="20" w:after="20"/>
              <w:jc w:val="center"/>
              <w:rPr>
                <w:rFonts w:eastAsia="Times New Roman"/>
                <w:sz w:val="20"/>
                <w:szCs w:val="20"/>
              </w:rPr>
            </w:pPr>
            <w:r w:rsidRPr="008037B6">
              <w:rPr>
                <w:rFonts w:eastAsia="Times New Roman"/>
                <w:sz w:val="20"/>
                <w:szCs w:val="20"/>
              </w:rPr>
              <w:t>13 572</w:t>
            </w:r>
          </w:p>
        </w:tc>
        <w:tc>
          <w:tcPr>
            <w:tcW w:w="851" w:type="dxa"/>
            <w:tcBorders>
              <w:top w:val="single" w:sz="4" w:space="0" w:color="auto"/>
              <w:bottom w:val="single" w:sz="4" w:space="0" w:color="auto"/>
            </w:tcBorders>
            <w:shd w:val="clear" w:color="auto" w:fill="auto"/>
            <w:vAlign w:val="center"/>
          </w:tcPr>
          <w:p w14:paraId="50CAC431" w14:textId="77777777" w:rsidR="008037B6" w:rsidRPr="008037B6" w:rsidRDefault="008037B6" w:rsidP="008037B6">
            <w:pPr>
              <w:spacing w:before="20" w:after="20"/>
              <w:jc w:val="center"/>
              <w:rPr>
                <w:rFonts w:eastAsia="Times New Roman"/>
                <w:sz w:val="20"/>
                <w:szCs w:val="20"/>
              </w:rPr>
            </w:pPr>
            <w:r w:rsidRPr="008037B6">
              <w:rPr>
                <w:rFonts w:eastAsia="Times New Roman"/>
                <w:sz w:val="20"/>
                <w:szCs w:val="20"/>
              </w:rPr>
              <w:t>52 839</w:t>
            </w:r>
          </w:p>
        </w:tc>
        <w:tc>
          <w:tcPr>
            <w:tcW w:w="1134" w:type="dxa"/>
            <w:tcBorders>
              <w:top w:val="single" w:sz="4" w:space="0" w:color="auto"/>
              <w:bottom w:val="single" w:sz="4" w:space="0" w:color="auto"/>
            </w:tcBorders>
            <w:shd w:val="clear" w:color="auto" w:fill="auto"/>
            <w:vAlign w:val="center"/>
          </w:tcPr>
          <w:p w14:paraId="0DD56FD5" w14:textId="77777777" w:rsidR="008037B6" w:rsidRPr="008037B6" w:rsidRDefault="008037B6" w:rsidP="008037B6">
            <w:pPr>
              <w:spacing w:before="20" w:after="20"/>
              <w:jc w:val="center"/>
              <w:rPr>
                <w:rFonts w:eastAsia="Times New Roman"/>
                <w:sz w:val="20"/>
                <w:szCs w:val="20"/>
              </w:rPr>
            </w:pPr>
            <w:r w:rsidRPr="008037B6">
              <w:rPr>
                <w:rFonts w:eastAsia="Times New Roman"/>
                <w:sz w:val="20"/>
                <w:szCs w:val="20"/>
              </w:rPr>
              <w:t>-39 267</w:t>
            </w:r>
          </w:p>
        </w:tc>
        <w:tc>
          <w:tcPr>
            <w:tcW w:w="753" w:type="dxa"/>
            <w:tcBorders>
              <w:top w:val="single" w:sz="4" w:space="0" w:color="auto"/>
              <w:bottom w:val="single" w:sz="4" w:space="0" w:color="auto"/>
            </w:tcBorders>
            <w:vAlign w:val="center"/>
          </w:tcPr>
          <w:p w14:paraId="503004A9" w14:textId="77777777" w:rsidR="008037B6" w:rsidRPr="008037B6" w:rsidRDefault="008037B6" w:rsidP="008037B6">
            <w:pPr>
              <w:tabs>
                <w:tab w:val="left" w:pos="787"/>
              </w:tabs>
              <w:spacing w:before="20" w:after="20"/>
              <w:jc w:val="center"/>
              <w:rPr>
                <w:rFonts w:eastAsia="Times New Roman"/>
                <w:sz w:val="20"/>
                <w:szCs w:val="20"/>
              </w:rPr>
            </w:pPr>
            <w:r w:rsidRPr="008037B6">
              <w:rPr>
                <w:rFonts w:eastAsia="Times New Roman"/>
                <w:sz w:val="20"/>
                <w:szCs w:val="20"/>
              </w:rPr>
              <w:t>-74.3</w:t>
            </w:r>
          </w:p>
        </w:tc>
      </w:tr>
      <w:tr w:rsidR="008037B6" w:rsidRPr="008037B6" w14:paraId="3363AFC6" w14:textId="77777777" w:rsidTr="004F1C40">
        <w:trPr>
          <w:jc w:val="center"/>
        </w:trPr>
        <w:tc>
          <w:tcPr>
            <w:tcW w:w="5006" w:type="dxa"/>
            <w:gridSpan w:val="5"/>
            <w:tcBorders>
              <w:top w:val="single" w:sz="4" w:space="0" w:color="auto"/>
              <w:left w:val="nil"/>
              <w:bottom w:val="nil"/>
              <w:right w:val="nil"/>
            </w:tcBorders>
            <w:shd w:val="clear" w:color="auto" w:fill="auto"/>
            <w:vAlign w:val="center"/>
          </w:tcPr>
          <w:p w14:paraId="0976F362" w14:textId="77777777" w:rsidR="008037B6" w:rsidRPr="008037B6" w:rsidRDefault="008037B6" w:rsidP="008037B6">
            <w:pPr>
              <w:tabs>
                <w:tab w:val="left" w:pos="787"/>
              </w:tabs>
              <w:spacing w:before="20" w:after="20"/>
              <w:rPr>
                <w:rFonts w:eastAsia="Times New Roman"/>
                <w:sz w:val="20"/>
                <w:szCs w:val="20"/>
              </w:rPr>
            </w:pPr>
            <w:r w:rsidRPr="008037B6">
              <w:rPr>
                <w:rFonts w:eastAsia="Times New Roman"/>
                <w:sz w:val="20"/>
                <w:szCs w:val="20"/>
              </w:rPr>
              <w:t>FUENTE: AMDA.</w:t>
            </w:r>
          </w:p>
        </w:tc>
      </w:tr>
    </w:tbl>
    <w:p w14:paraId="125B091D" w14:textId="77777777" w:rsidR="008037B6" w:rsidRPr="008037B6" w:rsidRDefault="008037B6" w:rsidP="008037B6">
      <w:pPr>
        <w:tabs>
          <w:tab w:val="left" w:pos="2835"/>
        </w:tabs>
        <w:spacing w:after="360" w:line="360" w:lineRule="auto"/>
        <w:ind w:right="-159"/>
        <w:jc w:val="both"/>
        <w:rPr>
          <w:rFonts w:eastAsia="Times New Roman"/>
          <w:bCs/>
          <w:sz w:val="26"/>
          <w:szCs w:val="26"/>
        </w:rPr>
      </w:pPr>
    </w:p>
    <w:p w14:paraId="49794A44" w14:textId="77777777" w:rsidR="008037B6" w:rsidRPr="008037B6" w:rsidRDefault="008037B6" w:rsidP="008037B6">
      <w:pPr>
        <w:tabs>
          <w:tab w:val="left" w:pos="2835"/>
        </w:tabs>
        <w:spacing w:after="360" w:line="360" w:lineRule="auto"/>
        <w:ind w:right="-159"/>
        <w:jc w:val="both"/>
        <w:rPr>
          <w:rFonts w:eastAsia="Times New Roman"/>
          <w:bCs/>
          <w:sz w:val="26"/>
          <w:szCs w:val="26"/>
        </w:rPr>
      </w:pPr>
    </w:p>
    <w:p w14:paraId="4D22FD67" w14:textId="77777777" w:rsidR="008037B6" w:rsidRPr="008037B6" w:rsidRDefault="008037B6" w:rsidP="008037B6">
      <w:pPr>
        <w:tabs>
          <w:tab w:val="left" w:pos="2835"/>
        </w:tabs>
        <w:spacing w:after="360" w:line="360" w:lineRule="auto"/>
        <w:ind w:right="-159"/>
        <w:jc w:val="both"/>
        <w:rPr>
          <w:rFonts w:eastAsia="Times New Roman"/>
          <w:bCs/>
          <w:sz w:val="26"/>
          <w:szCs w:val="26"/>
        </w:rPr>
      </w:pPr>
    </w:p>
    <w:tbl>
      <w:tblPr>
        <w:tblW w:w="0" w:type="auto"/>
        <w:jc w:val="center"/>
        <w:tblLook w:val="04A0" w:firstRow="1" w:lastRow="0" w:firstColumn="1" w:lastColumn="0" w:noHBand="0" w:noVBand="1"/>
      </w:tblPr>
      <w:tblGrid>
        <w:gridCol w:w="8840"/>
      </w:tblGrid>
      <w:tr w:rsidR="008037B6" w:rsidRPr="008037B6" w14:paraId="5940A333" w14:textId="77777777" w:rsidTr="00F664AC">
        <w:trPr>
          <w:jc w:val="center"/>
        </w:trPr>
        <w:tc>
          <w:tcPr>
            <w:tcW w:w="8840" w:type="dxa"/>
          </w:tcPr>
          <w:p w14:paraId="4D7AF669" w14:textId="77777777" w:rsidR="008037B6" w:rsidRPr="008037B6" w:rsidRDefault="008037B6" w:rsidP="008037B6">
            <w:pPr>
              <w:tabs>
                <w:tab w:val="left" w:pos="2835"/>
              </w:tabs>
              <w:jc w:val="center"/>
              <w:rPr>
                <w:rFonts w:eastAsia="Times New Roman"/>
                <w:b/>
                <w:sz w:val="22"/>
                <w:szCs w:val="22"/>
                <w:lang w:val="es-ES"/>
              </w:rPr>
            </w:pPr>
            <w:r w:rsidRPr="008037B6">
              <w:rPr>
                <w:rFonts w:eastAsia="Times New Roman"/>
                <w:b/>
                <w:sz w:val="22"/>
                <w:szCs w:val="22"/>
                <w:lang w:val="es-ES"/>
              </w:rPr>
              <w:lastRenderedPageBreak/>
              <w:t>PARTICIPACIÓN DE LAS MARCAS ENERO DE 2015</w:t>
            </w:r>
          </w:p>
          <w:p w14:paraId="014BEFF1" w14:textId="77777777" w:rsidR="008037B6" w:rsidRPr="008037B6" w:rsidRDefault="008037B6" w:rsidP="008037B6">
            <w:pPr>
              <w:tabs>
                <w:tab w:val="left" w:pos="2835"/>
              </w:tabs>
              <w:jc w:val="center"/>
              <w:rPr>
                <w:rFonts w:eastAsia="Times New Roman"/>
                <w:sz w:val="22"/>
                <w:szCs w:val="22"/>
                <w:lang w:val="es-ES"/>
              </w:rPr>
            </w:pPr>
            <w:r w:rsidRPr="008037B6">
              <w:rPr>
                <w:rFonts w:eastAsia="Times New Roman"/>
                <w:sz w:val="22"/>
                <w:szCs w:val="22"/>
                <w:lang w:val="es-ES"/>
              </w:rPr>
              <w:t>-En porcentajes-</w:t>
            </w:r>
          </w:p>
        </w:tc>
      </w:tr>
      <w:tr w:rsidR="008037B6" w:rsidRPr="008037B6" w14:paraId="69E10009" w14:textId="77777777" w:rsidTr="00F664AC">
        <w:trPr>
          <w:trHeight w:val="63"/>
          <w:jc w:val="center"/>
        </w:trPr>
        <w:tc>
          <w:tcPr>
            <w:tcW w:w="8840" w:type="dxa"/>
          </w:tcPr>
          <w:p w14:paraId="1FC1D3A4" w14:textId="77777777" w:rsidR="008037B6" w:rsidRPr="008037B6" w:rsidRDefault="008037B6" w:rsidP="008037B6">
            <w:pPr>
              <w:tabs>
                <w:tab w:val="left" w:pos="2835"/>
              </w:tabs>
              <w:jc w:val="center"/>
              <w:rPr>
                <w:rFonts w:eastAsia="Times New Roman"/>
                <w:b/>
                <w:sz w:val="20"/>
                <w:szCs w:val="26"/>
                <w:lang w:val="es-ES"/>
              </w:rPr>
            </w:pPr>
            <w:r w:rsidRPr="008037B6">
              <w:rPr>
                <w:rFonts w:eastAsia="Times New Roman"/>
                <w:b/>
                <w:noProof/>
                <w:sz w:val="20"/>
                <w:szCs w:val="26"/>
                <w:lang w:eastAsia="es-MX"/>
              </w:rPr>
              <w:drawing>
                <wp:inline distT="0" distB="0" distL="0" distR="0" wp14:anchorId="2A468F74" wp14:editId="6FFA1534">
                  <wp:extent cx="4665770" cy="3060000"/>
                  <wp:effectExtent l="0" t="0" r="1905" b="7620"/>
                  <wp:docPr id="1558" name="Imagen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31" cstate="print">
                            <a:extLst>
                              <a:ext uri="{28A0092B-C50C-407E-A947-70E740481C1C}">
                                <a14:useLocalDpi xmlns:a14="http://schemas.microsoft.com/office/drawing/2010/main" val="0"/>
                              </a:ext>
                            </a:extLst>
                          </a:blip>
                          <a:srcRect t="2684" b="879"/>
                          <a:stretch/>
                        </pic:blipFill>
                        <pic:spPr bwMode="auto">
                          <a:xfrm>
                            <a:off x="0" y="0"/>
                            <a:ext cx="4665770" cy="30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037B6" w:rsidRPr="008037B6" w14:paraId="4BA511A0" w14:textId="77777777" w:rsidTr="00F664AC">
        <w:trPr>
          <w:jc w:val="center"/>
        </w:trPr>
        <w:tc>
          <w:tcPr>
            <w:tcW w:w="8840" w:type="dxa"/>
          </w:tcPr>
          <w:p w14:paraId="77CB41B7" w14:textId="77777777" w:rsidR="008037B6" w:rsidRPr="008037B6" w:rsidRDefault="008037B6" w:rsidP="008037B6">
            <w:pPr>
              <w:tabs>
                <w:tab w:val="left" w:pos="2835"/>
              </w:tabs>
              <w:spacing w:after="360" w:line="360" w:lineRule="auto"/>
              <w:ind w:left="1593" w:right="-159" w:hanging="850"/>
              <w:jc w:val="both"/>
              <w:rPr>
                <w:rFonts w:eastAsia="Times New Roman"/>
                <w:sz w:val="20"/>
                <w:szCs w:val="20"/>
                <w:lang w:val="es-ES"/>
              </w:rPr>
            </w:pPr>
            <w:r w:rsidRPr="008037B6">
              <w:rPr>
                <w:rFonts w:eastAsia="Times New Roman"/>
                <w:sz w:val="20"/>
                <w:szCs w:val="20"/>
                <w:lang w:val="es-ES"/>
              </w:rPr>
              <w:t>FUENTE: AMDA.</w:t>
            </w:r>
          </w:p>
        </w:tc>
      </w:tr>
    </w:tbl>
    <w:p w14:paraId="16A2029E" w14:textId="77777777" w:rsidR="008037B6" w:rsidRPr="008037B6" w:rsidRDefault="008037B6" w:rsidP="008037B6">
      <w:pPr>
        <w:tabs>
          <w:tab w:val="left" w:pos="2835"/>
        </w:tabs>
        <w:spacing w:after="360" w:line="360" w:lineRule="auto"/>
        <w:ind w:right="-159"/>
        <w:jc w:val="both"/>
        <w:rPr>
          <w:rFonts w:eastAsia="Times New Roman"/>
          <w:bCs/>
          <w:sz w:val="26"/>
          <w:szCs w:val="26"/>
        </w:rPr>
      </w:pPr>
      <w:r w:rsidRPr="008037B6">
        <w:rPr>
          <w:rFonts w:eastAsia="Times New Roman"/>
          <w:bCs/>
          <w:sz w:val="26"/>
          <w:szCs w:val="26"/>
        </w:rPr>
        <w:t>Estas siete marcas comercializan el 85% del total de vehículos en México.</w:t>
      </w:r>
    </w:p>
    <w:p w14:paraId="604B128E" w14:textId="77777777" w:rsidR="008037B6" w:rsidRPr="008037B6" w:rsidRDefault="008037B6" w:rsidP="008037B6">
      <w:pPr>
        <w:spacing w:after="360" w:line="360" w:lineRule="auto"/>
        <w:ind w:right="-159"/>
        <w:rPr>
          <w:rFonts w:eastAsia="Times New Roman"/>
          <w:b/>
          <w:bCs/>
          <w:sz w:val="26"/>
          <w:szCs w:val="26"/>
          <w:lang w:val="es-ES"/>
        </w:rPr>
      </w:pPr>
      <w:r w:rsidRPr="008037B6">
        <w:rPr>
          <w:rFonts w:eastAsia="Times New Roman"/>
          <w:b/>
          <w:bCs/>
          <w:sz w:val="26"/>
          <w:szCs w:val="26"/>
          <w:lang w:val="es-ES"/>
        </w:rPr>
        <w:t>Los 10 modelos más vendidos</w:t>
      </w:r>
    </w:p>
    <w:tbl>
      <w:tblPr>
        <w:tblW w:w="9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376"/>
        <w:gridCol w:w="937"/>
        <w:gridCol w:w="1561"/>
        <w:gridCol w:w="1097"/>
        <w:gridCol w:w="1059"/>
        <w:gridCol w:w="1097"/>
        <w:gridCol w:w="955"/>
      </w:tblGrid>
      <w:tr w:rsidR="008037B6" w:rsidRPr="008037B6" w14:paraId="003C1CE4" w14:textId="77777777" w:rsidTr="008037B6">
        <w:trPr>
          <w:jc w:val="center"/>
        </w:trPr>
        <w:tc>
          <w:tcPr>
            <w:tcW w:w="9028" w:type="dxa"/>
            <w:gridSpan w:val="8"/>
            <w:tcBorders>
              <w:top w:val="nil"/>
              <w:left w:val="nil"/>
              <w:bottom w:val="single" w:sz="4" w:space="0" w:color="auto"/>
              <w:right w:val="nil"/>
            </w:tcBorders>
          </w:tcPr>
          <w:p w14:paraId="3B13C367" w14:textId="77777777" w:rsidR="008037B6" w:rsidRPr="008037B6" w:rsidRDefault="008037B6" w:rsidP="008037B6">
            <w:pPr>
              <w:jc w:val="center"/>
              <w:rPr>
                <w:rFonts w:eastAsia="Times New Roman"/>
                <w:b/>
                <w:sz w:val="22"/>
                <w:szCs w:val="22"/>
                <w:lang w:val="es-ES"/>
              </w:rPr>
            </w:pPr>
            <w:r w:rsidRPr="008037B6">
              <w:rPr>
                <w:rFonts w:eastAsia="Times New Roman"/>
                <w:b/>
                <w:sz w:val="22"/>
                <w:szCs w:val="22"/>
                <w:lang w:val="es-ES"/>
              </w:rPr>
              <w:t>LOS DIEZ MODELOS MÁS VENDIDOS</w:t>
            </w:r>
          </w:p>
        </w:tc>
      </w:tr>
      <w:tr w:rsidR="008037B6" w:rsidRPr="008037B6" w14:paraId="08628712" w14:textId="77777777" w:rsidTr="008037B6">
        <w:trPr>
          <w:jc w:val="center"/>
        </w:trPr>
        <w:tc>
          <w:tcPr>
            <w:tcW w:w="946" w:type="dxa"/>
            <w:vMerge w:val="restart"/>
            <w:tcBorders>
              <w:bottom w:val="single" w:sz="4" w:space="0" w:color="auto"/>
            </w:tcBorders>
            <w:vAlign w:val="center"/>
          </w:tcPr>
          <w:p w14:paraId="1D2CFB78" w14:textId="77777777" w:rsidR="008037B6" w:rsidRPr="008037B6" w:rsidRDefault="008037B6" w:rsidP="008037B6">
            <w:pPr>
              <w:spacing w:before="20" w:after="20"/>
              <w:jc w:val="center"/>
              <w:rPr>
                <w:rFonts w:eastAsia="Times New Roman"/>
                <w:b/>
                <w:sz w:val="18"/>
                <w:szCs w:val="18"/>
                <w:lang w:val="es-ES"/>
              </w:rPr>
            </w:pPr>
            <w:r w:rsidRPr="008037B6">
              <w:rPr>
                <w:rFonts w:eastAsia="Times New Roman"/>
                <w:b/>
                <w:sz w:val="18"/>
                <w:szCs w:val="18"/>
                <w:lang w:val="es-ES"/>
              </w:rPr>
              <w:t>Posición</w:t>
            </w:r>
          </w:p>
        </w:tc>
        <w:tc>
          <w:tcPr>
            <w:tcW w:w="1376" w:type="dxa"/>
            <w:vMerge w:val="restart"/>
            <w:tcBorders>
              <w:bottom w:val="single" w:sz="4" w:space="0" w:color="auto"/>
            </w:tcBorders>
            <w:vAlign w:val="center"/>
          </w:tcPr>
          <w:p w14:paraId="61B7FD9D" w14:textId="77777777" w:rsidR="008037B6" w:rsidRPr="008037B6" w:rsidRDefault="008037B6" w:rsidP="008037B6">
            <w:pPr>
              <w:spacing w:before="20" w:after="20"/>
              <w:jc w:val="center"/>
              <w:rPr>
                <w:rFonts w:eastAsia="Times New Roman"/>
                <w:b/>
                <w:sz w:val="18"/>
                <w:szCs w:val="18"/>
                <w:lang w:val="es-ES"/>
              </w:rPr>
            </w:pPr>
            <w:r w:rsidRPr="008037B6">
              <w:rPr>
                <w:rFonts w:eastAsia="Times New Roman"/>
                <w:b/>
                <w:sz w:val="18"/>
                <w:szCs w:val="18"/>
                <w:lang w:val="es-ES"/>
              </w:rPr>
              <w:t>Modelo</w:t>
            </w:r>
          </w:p>
        </w:tc>
        <w:tc>
          <w:tcPr>
            <w:tcW w:w="937" w:type="dxa"/>
            <w:vMerge w:val="restart"/>
            <w:tcBorders>
              <w:bottom w:val="single" w:sz="4" w:space="0" w:color="auto"/>
            </w:tcBorders>
            <w:vAlign w:val="center"/>
          </w:tcPr>
          <w:p w14:paraId="6A896226" w14:textId="77777777" w:rsidR="008037B6" w:rsidRPr="008037B6" w:rsidRDefault="008037B6" w:rsidP="008037B6">
            <w:pPr>
              <w:spacing w:before="20" w:after="20"/>
              <w:jc w:val="center"/>
              <w:rPr>
                <w:rFonts w:eastAsia="Times New Roman"/>
                <w:b/>
                <w:sz w:val="18"/>
                <w:szCs w:val="18"/>
                <w:lang w:val="es-ES"/>
              </w:rPr>
            </w:pPr>
            <w:r w:rsidRPr="008037B6">
              <w:rPr>
                <w:rFonts w:eastAsia="Times New Roman"/>
                <w:b/>
                <w:sz w:val="18"/>
                <w:szCs w:val="18"/>
                <w:lang w:val="es-ES"/>
              </w:rPr>
              <w:t>Marca</w:t>
            </w:r>
          </w:p>
        </w:tc>
        <w:tc>
          <w:tcPr>
            <w:tcW w:w="1561" w:type="dxa"/>
            <w:vMerge w:val="restart"/>
            <w:tcBorders>
              <w:bottom w:val="single" w:sz="4" w:space="0" w:color="auto"/>
            </w:tcBorders>
            <w:vAlign w:val="center"/>
          </w:tcPr>
          <w:p w14:paraId="33873E25" w14:textId="77777777" w:rsidR="008037B6" w:rsidRPr="008037B6" w:rsidRDefault="008037B6" w:rsidP="008037B6">
            <w:pPr>
              <w:spacing w:before="20" w:after="20"/>
              <w:jc w:val="center"/>
              <w:rPr>
                <w:rFonts w:eastAsia="Times New Roman"/>
                <w:b/>
                <w:sz w:val="18"/>
                <w:szCs w:val="18"/>
                <w:lang w:val="es-ES"/>
              </w:rPr>
            </w:pPr>
            <w:r w:rsidRPr="008037B6">
              <w:rPr>
                <w:rFonts w:eastAsia="Times New Roman"/>
                <w:b/>
                <w:sz w:val="18"/>
                <w:szCs w:val="18"/>
                <w:lang w:val="es-ES"/>
              </w:rPr>
              <w:t>Segmento</w:t>
            </w:r>
          </w:p>
        </w:tc>
        <w:tc>
          <w:tcPr>
            <w:tcW w:w="1097" w:type="dxa"/>
            <w:vMerge w:val="restart"/>
            <w:tcBorders>
              <w:bottom w:val="single" w:sz="4" w:space="0" w:color="auto"/>
            </w:tcBorders>
            <w:vAlign w:val="center"/>
          </w:tcPr>
          <w:p w14:paraId="6667F252" w14:textId="77777777" w:rsidR="008037B6" w:rsidRPr="008037B6" w:rsidRDefault="008037B6" w:rsidP="008037B6">
            <w:pPr>
              <w:spacing w:before="20" w:after="20"/>
              <w:jc w:val="center"/>
              <w:rPr>
                <w:rFonts w:eastAsia="Times New Roman"/>
                <w:b/>
                <w:sz w:val="18"/>
                <w:szCs w:val="18"/>
                <w:lang w:val="es-ES"/>
              </w:rPr>
            </w:pPr>
            <w:r w:rsidRPr="008037B6">
              <w:rPr>
                <w:rFonts w:eastAsia="Times New Roman"/>
                <w:b/>
                <w:sz w:val="18"/>
                <w:szCs w:val="18"/>
                <w:lang w:val="es-ES"/>
              </w:rPr>
              <w:t>Unidades</w:t>
            </w:r>
          </w:p>
        </w:tc>
        <w:tc>
          <w:tcPr>
            <w:tcW w:w="1059" w:type="dxa"/>
            <w:vMerge w:val="restart"/>
            <w:tcBorders>
              <w:bottom w:val="single" w:sz="4" w:space="0" w:color="auto"/>
            </w:tcBorders>
            <w:vAlign w:val="center"/>
          </w:tcPr>
          <w:p w14:paraId="3CC82EAC" w14:textId="77777777" w:rsidR="008037B6" w:rsidRPr="008037B6" w:rsidRDefault="008037B6" w:rsidP="008037B6">
            <w:pPr>
              <w:spacing w:before="20" w:after="20"/>
              <w:jc w:val="center"/>
              <w:rPr>
                <w:rFonts w:eastAsia="Times New Roman"/>
                <w:b/>
                <w:sz w:val="18"/>
                <w:szCs w:val="18"/>
                <w:lang w:val="es-ES"/>
              </w:rPr>
            </w:pPr>
            <w:r w:rsidRPr="008037B6">
              <w:rPr>
                <w:rFonts w:eastAsia="Times New Roman"/>
                <w:b/>
                <w:sz w:val="18"/>
                <w:szCs w:val="18"/>
                <w:lang w:val="es-ES"/>
              </w:rPr>
              <w:t>% del Mercado</w:t>
            </w:r>
          </w:p>
        </w:tc>
        <w:tc>
          <w:tcPr>
            <w:tcW w:w="2052" w:type="dxa"/>
            <w:gridSpan w:val="2"/>
            <w:tcBorders>
              <w:bottom w:val="single" w:sz="4" w:space="0" w:color="auto"/>
            </w:tcBorders>
          </w:tcPr>
          <w:p w14:paraId="66B35220" w14:textId="77777777" w:rsidR="008037B6" w:rsidRPr="008037B6" w:rsidRDefault="008037B6" w:rsidP="008037B6">
            <w:pPr>
              <w:spacing w:before="20" w:after="20"/>
              <w:jc w:val="center"/>
              <w:rPr>
                <w:rFonts w:eastAsia="Times New Roman"/>
                <w:b/>
                <w:sz w:val="18"/>
                <w:szCs w:val="18"/>
                <w:lang w:val="es-ES"/>
              </w:rPr>
            </w:pPr>
            <w:r w:rsidRPr="008037B6">
              <w:rPr>
                <w:rFonts w:eastAsia="Times New Roman"/>
                <w:b/>
                <w:sz w:val="18"/>
                <w:szCs w:val="18"/>
                <w:lang w:val="es-ES"/>
              </w:rPr>
              <w:t>Variación 2015 vs. 2014</w:t>
            </w:r>
          </w:p>
        </w:tc>
      </w:tr>
      <w:tr w:rsidR="008037B6" w:rsidRPr="008037B6" w14:paraId="3A2F0389" w14:textId="77777777" w:rsidTr="008037B6">
        <w:trPr>
          <w:jc w:val="center"/>
        </w:trPr>
        <w:tc>
          <w:tcPr>
            <w:tcW w:w="946" w:type="dxa"/>
            <w:vMerge/>
            <w:tcBorders>
              <w:top w:val="single" w:sz="4" w:space="0" w:color="auto"/>
              <w:bottom w:val="single" w:sz="4" w:space="0" w:color="auto"/>
            </w:tcBorders>
            <w:vAlign w:val="center"/>
          </w:tcPr>
          <w:p w14:paraId="46E4712A" w14:textId="77777777" w:rsidR="008037B6" w:rsidRPr="008037B6" w:rsidRDefault="008037B6" w:rsidP="008037B6">
            <w:pPr>
              <w:spacing w:before="20" w:after="20"/>
              <w:jc w:val="center"/>
              <w:rPr>
                <w:rFonts w:eastAsia="Times New Roman"/>
                <w:b/>
                <w:sz w:val="18"/>
                <w:szCs w:val="18"/>
                <w:lang w:val="es-ES"/>
              </w:rPr>
            </w:pPr>
          </w:p>
        </w:tc>
        <w:tc>
          <w:tcPr>
            <w:tcW w:w="1376" w:type="dxa"/>
            <w:vMerge/>
            <w:tcBorders>
              <w:top w:val="single" w:sz="4" w:space="0" w:color="auto"/>
              <w:bottom w:val="single" w:sz="4" w:space="0" w:color="auto"/>
            </w:tcBorders>
            <w:vAlign w:val="center"/>
          </w:tcPr>
          <w:p w14:paraId="44D637DE" w14:textId="77777777" w:rsidR="008037B6" w:rsidRPr="008037B6" w:rsidRDefault="008037B6" w:rsidP="008037B6">
            <w:pPr>
              <w:spacing w:before="20" w:after="20"/>
              <w:jc w:val="center"/>
              <w:rPr>
                <w:rFonts w:eastAsia="Times New Roman"/>
                <w:b/>
                <w:sz w:val="18"/>
                <w:szCs w:val="18"/>
                <w:lang w:val="es-ES"/>
              </w:rPr>
            </w:pPr>
          </w:p>
        </w:tc>
        <w:tc>
          <w:tcPr>
            <w:tcW w:w="937" w:type="dxa"/>
            <w:vMerge/>
            <w:tcBorders>
              <w:top w:val="single" w:sz="4" w:space="0" w:color="auto"/>
              <w:bottom w:val="single" w:sz="4" w:space="0" w:color="auto"/>
            </w:tcBorders>
            <w:vAlign w:val="center"/>
          </w:tcPr>
          <w:p w14:paraId="692A10CB" w14:textId="77777777" w:rsidR="008037B6" w:rsidRPr="008037B6" w:rsidRDefault="008037B6" w:rsidP="008037B6">
            <w:pPr>
              <w:spacing w:before="20" w:after="20"/>
              <w:jc w:val="center"/>
              <w:rPr>
                <w:rFonts w:eastAsia="Times New Roman"/>
                <w:b/>
                <w:sz w:val="18"/>
                <w:szCs w:val="18"/>
                <w:lang w:val="es-ES"/>
              </w:rPr>
            </w:pPr>
          </w:p>
        </w:tc>
        <w:tc>
          <w:tcPr>
            <w:tcW w:w="1561" w:type="dxa"/>
            <w:vMerge/>
            <w:tcBorders>
              <w:top w:val="single" w:sz="4" w:space="0" w:color="auto"/>
              <w:bottom w:val="single" w:sz="4" w:space="0" w:color="auto"/>
            </w:tcBorders>
            <w:vAlign w:val="center"/>
          </w:tcPr>
          <w:p w14:paraId="0DD33116" w14:textId="77777777" w:rsidR="008037B6" w:rsidRPr="008037B6" w:rsidRDefault="008037B6" w:rsidP="008037B6">
            <w:pPr>
              <w:spacing w:before="20" w:after="20"/>
              <w:jc w:val="center"/>
              <w:rPr>
                <w:rFonts w:eastAsia="Times New Roman"/>
                <w:b/>
                <w:sz w:val="18"/>
                <w:szCs w:val="18"/>
                <w:lang w:val="es-ES"/>
              </w:rPr>
            </w:pPr>
          </w:p>
        </w:tc>
        <w:tc>
          <w:tcPr>
            <w:tcW w:w="1097" w:type="dxa"/>
            <w:vMerge/>
            <w:tcBorders>
              <w:top w:val="single" w:sz="4" w:space="0" w:color="auto"/>
              <w:bottom w:val="single" w:sz="4" w:space="0" w:color="auto"/>
            </w:tcBorders>
            <w:vAlign w:val="center"/>
          </w:tcPr>
          <w:p w14:paraId="7A0EDDB3" w14:textId="77777777" w:rsidR="008037B6" w:rsidRPr="008037B6" w:rsidRDefault="008037B6" w:rsidP="008037B6">
            <w:pPr>
              <w:spacing w:before="20" w:after="20"/>
              <w:jc w:val="center"/>
              <w:rPr>
                <w:rFonts w:eastAsia="Times New Roman"/>
                <w:b/>
                <w:sz w:val="18"/>
                <w:szCs w:val="18"/>
                <w:lang w:val="es-ES"/>
              </w:rPr>
            </w:pPr>
          </w:p>
        </w:tc>
        <w:tc>
          <w:tcPr>
            <w:tcW w:w="1059" w:type="dxa"/>
            <w:vMerge/>
            <w:tcBorders>
              <w:top w:val="single" w:sz="4" w:space="0" w:color="auto"/>
              <w:bottom w:val="single" w:sz="4" w:space="0" w:color="auto"/>
            </w:tcBorders>
            <w:vAlign w:val="center"/>
          </w:tcPr>
          <w:p w14:paraId="275C0B86" w14:textId="77777777" w:rsidR="008037B6" w:rsidRPr="008037B6" w:rsidRDefault="008037B6" w:rsidP="008037B6">
            <w:pPr>
              <w:spacing w:before="20" w:after="20"/>
              <w:jc w:val="center"/>
              <w:rPr>
                <w:rFonts w:eastAsia="Times New Roman"/>
                <w:b/>
                <w:sz w:val="18"/>
                <w:szCs w:val="18"/>
                <w:lang w:val="es-ES"/>
              </w:rPr>
            </w:pPr>
          </w:p>
        </w:tc>
        <w:tc>
          <w:tcPr>
            <w:tcW w:w="1097" w:type="dxa"/>
            <w:tcBorders>
              <w:top w:val="single" w:sz="4" w:space="0" w:color="auto"/>
              <w:bottom w:val="single" w:sz="4" w:space="0" w:color="auto"/>
            </w:tcBorders>
          </w:tcPr>
          <w:p w14:paraId="1132D1F3" w14:textId="77777777" w:rsidR="008037B6" w:rsidRPr="008037B6" w:rsidRDefault="008037B6" w:rsidP="008037B6">
            <w:pPr>
              <w:spacing w:before="20" w:after="20"/>
              <w:jc w:val="center"/>
              <w:rPr>
                <w:rFonts w:eastAsia="Times New Roman"/>
                <w:b/>
                <w:sz w:val="18"/>
                <w:szCs w:val="18"/>
                <w:lang w:val="es-ES"/>
              </w:rPr>
            </w:pPr>
            <w:r w:rsidRPr="008037B6">
              <w:rPr>
                <w:rFonts w:eastAsia="Times New Roman"/>
                <w:b/>
                <w:sz w:val="18"/>
                <w:szCs w:val="18"/>
                <w:lang w:val="es-ES"/>
              </w:rPr>
              <w:t xml:space="preserve">Unidades </w:t>
            </w:r>
          </w:p>
        </w:tc>
        <w:tc>
          <w:tcPr>
            <w:tcW w:w="955" w:type="dxa"/>
            <w:tcBorders>
              <w:top w:val="single" w:sz="4" w:space="0" w:color="auto"/>
              <w:bottom w:val="single" w:sz="4" w:space="0" w:color="auto"/>
            </w:tcBorders>
            <w:vAlign w:val="center"/>
          </w:tcPr>
          <w:p w14:paraId="65AD0894" w14:textId="77777777" w:rsidR="008037B6" w:rsidRPr="008037B6" w:rsidRDefault="008037B6" w:rsidP="008037B6">
            <w:pPr>
              <w:spacing w:before="20" w:after="20"/>
              <w:jc w:val="center"/>
              <w:rPr>
                <w:rFonts w:eastAsia="Times New Roman"/>
                <w:b/>
                <w:sz w:val="18"/>
                <w:szCs w:val="18"/>
                <w:lang w:val="es-ES"/>
              </w:rPr>
            </w:pPr>
            <w:r w:rsidRPr="008037B6">
              <w:rPr>
                <w:rFonts w:eastAsia="Times New Roman"/>
                <w:b/>
                <w:sz w:val="18"/>
                <w:szCs w:val="18"/>
                <w:lang w:val="es-ES"/>
              </w:rPr>
              <w:t>%</w:t>
            </w:r>
          </w:p>
        </w:tc>
      </w:tr>
      <w:tr w:rsidR="008037B6" w:rsidRPr="008037B6" w14:paraId="3A98D1D2" w14:textId="77777777" w:rsidTr="008037B6">
        <w:trPr>
          <w:jc w:val="center"/>
        </w:trPr>
        <w:tc>
          <w:tcPr>
            <w:tcW w:w="946" w:type="dxa"/>
            <w:tcBorders>
              <w:top w:val="single" w:sz="4" w:space="0" w:color="auto"/>
              <w:bottom w:val="nil"/>
            </w:tcBorders>
            <w:shd w:val="clear" w:color="auto" w:fill="auto"/>
          </w:tcPr>
          <w:p w14:paraId="38A77C95" w14:textId="77777777" w:rsidR="008037B6" w:rsidRPr="008037B6" w:rsidRDefault="008037B6" w:rsidP="008037B6">
            <w:pPr>
              <w:spacing w:before="20" w:after="20"/>
              <w:jc w:val="center"/>
              <w:rPr>
                <w:rFonts w:eastAsia="Times New Roman"/>
                <w:sz w:val="18"/>
                <w:szCs w:val="18"/>
                <w:lang w:val="es-ES"/>
              </w:rPr>
            </w:pPr>
            <w:r w:rsidRPr="008037B6">
              <w:rPr>
                <w:rFonts w:eastAsia="Times New Roman"/>
                <w:sz w:val="18"/>
                <w:szCs w:val="18"/>
                <w:lang w:val="es-ES"/>
              </w:rPr>
              <w:t>1</w:t>
            </w:r>
          </w:p>
        </w:tc>
        <w:tc>
          <w:tcPr>
            <w:tcW w:w="1376" w:type="dxa"/>
            <w:tcBorders>
              <w:top w:val="single" w:sz="4" w:space="0" w:color="auto"/>
              <w:bottom w:val="nil"/>
            </w:tcBorders>
            <w:shd w:val="clear" w:color="auto" w:fill="auto"/>
            <w:vAlign w:val="center"/>
          </w:tcPr>
          <w:p w14:paraId="0C63237E" w14:textId="77777777" w:rsidR="008037B6" w:rsidRPr="008037B6" w:rsidRDefault="008037B6" w:rsidP="008037B6">
            <w:pPr>
              <w:spacing w:before="20" w:after="20"/>
              <w:rPr>
                <w:rFonts w:eastAsia="Times New Roman"/>
                <w:sz w:val="18"/>
                <w:szCs w:val="18"/>
                <w:lang w:val="es-ES"/>
              </w:rPr>
            </w:pPr>
            <w:r w:rsidRPr="008037B6">
              <w:rPr>
                <w:rFonts w:eastAsia="Times New Roman"/>
                <w:sz w:val="18"/>
                <w:szCs w:val="18"/>
                <w:lang w:val="es-ES"/>
              </w:rPr>
              <w:t>Aveo</w:t>
            </w:r>
          </w:p>
        </w:tc>
        <w:tc>
          <w:tcPr>
            <w:tcW w:w="937" w:type="dxa"/>
            <w:tcBorders>
              <w:top w:val="single" w:sz="4" w:space="0" w:color="auto"/>
              <w:bottom w:val="nil"/>
            </w:tcBorders>
            <w:shd w:val="clear" w:color="auto" w:fill="auto"/>
            <w:vAlign w:val="center"/>
          </w:tcPr>
          <w:p w14:paraId="52555790" w14:textId="77777777" w:rsidR="008037B6" w:rsidRPr="008037B6" w:rsidRDefault="008037B6" w:rsidP="008037B6">
            <w:pPr>
              <w:spacing w:before="20" w:after="20"/>
              <w:jc w:val="center"/>
              <w:rPr>
                <w:rFonts w:eastAsia="Times New Roman"/>
                <w:sz w:val="18"/>
                <w:szCs w:val="18"/>
                <w:lang w:val="es-ES"/>
              </w:rPr>
            </w:pPr>
            <w:r w:rsidRPr="008037B6">
              <w:rPr>
                <w:rFonts w:eastAsia="Times New Roman"/>
                <w:sz w:val="18"/>
                <w:szCs w:val="18"/>
                <w:lang w:val="es-ES"/>
              </w:rPr>
              <w:t>GM</w:t>
            </w:r>
          </w:p>
        </w:tc>
        <w:tc>
          <w:tcPr>
            <w:tcW w:w="1561" w:type="dxa"/>
            <w:tcBorders>
              <w:top w:val="single" w:sz="4" w:space="0" w:color="auto"/>
              <w:bottom w:val="nil"/>
            </w:tcBorders>
            <w:shd w:val="clear" w:color="auto" w:fill="auto"/>
            <w:vAlign w:val="center"/>
          </w:tcPr>
          <w:p w14:paraId="2F0D1165" w14:textId="77777777" w:rsidR="008037B6" w:rsidRPr="008037B6" w:rsidRDefault="008037B6" w:rsidP="008037B6">
            <w:pPr>
              <w:spacing w:before="20" w:after="20"/>
              <w:jc w:val="center"/>
              <w:rPr>
                <w:rFonts w:eastAsia="Times New Roman"/>
                <w:sz w:val="18"/>
                <w:szCs w:val="18"/>
                <w:lang w:val="es-ES"/>
              </w:rPr>
            </w:pPr>
            <w:r w:rsidRPr="008037B6">
              <w:rPr>
                <w:rFonts w:eastAsia="Times New Roman"/>
                <w:sz w:val="18"/>
                <w:szCs w:val="18"/>
                <w:lang w:val="es-ES"/>
              </w:rPr>
              <w:t>Subcompactos</w:t>
            </w:r>
          </w:p>
        </w:tc>
        <w:tc>
          <w:tcPr>
            <w:tcW w:w="1097" w:type="dxa"/>
            <w:tcBorders>
              <w:top w:val="single" w:sz="4" w:space="0" w:color="auto"/>
              <w:bottom w:val="nil"/>
            </w:tcBorders>
            <w:shd w:val="clear" w:color="auto" w:fill="auto"/>
          </w:tcPr>
          <w:p w14:paraId="2361209E" w14:textId="77777777" w:rsidR="008037B6" w:rsidRPr="008037B6" w:rsidRDefault="008037B6" w:rsidP="008037B6">
            <w:pPr>
              <w:spacing w:before="20" w:after="20"/>
              <w:ind w:left="-1080" w:right="156"/>
              <w:jc w:val="right"/>
              <w:rPr>
                <w:rFonts w:eastAsia="Times New Roman"/>
                <w:sz w:val="18"/>
                <w:szCs w:val="18"/>
                <w:lang w:val="es-ES"/>
              </w:rPr>
            </w:pPr>
            <w:r w:rsidRPr="008037B6">
              <w:rPr>
                <w:rFonts w:eastAsia="Times New Roman"/>
                <w:sz w:val="18"/>
                <w:szCs w:val="18"/>
                <w:lang w:val="es-ES"/>
              </w:rPr>
              <w:t>11 659</w:t>
            </w:r>
          </w:p>
        </w:tc>
        <w:tc>
          <w:tcPr>
            <w:tcW w:w="1059" w:type="dxa"/>
            <w:tcBorders>
              <w:top w:val="single" w:sz="4" w:space="0" w:color="auto"/>
              <w:bottom w:val="nil"/>
            </w:tcBorders>
            <w:shd w:val="clear" w:color="auto" w:fill="auto"/>
          </w:tcPr>
          <w:p w14:paraId="602D0777" w14:textId="77777777" w:rsidR="008037B6" w:rsidRPr="008037B6" w:rsidRDefault="008037B6" w:rsidP="008037B6">
            <w:pPr>
              <w:spacing w:before="20" w:after="20"/>
              <w:jc w:val="center"/>
              <w:rPr>
                <w:rFonts w:eastAsia="Times New Roman"/>
                <w:sz w:val="18"/>
                <w:szCs w:val="18"/>
                <w:lang w:val="es-ES"/>
              </w:rPr>
            </w:pPr>
            <w:r w:rsidRPr="008037B6">
              <w:rPr>
                <w:rFonts w:eastAsia="Times New Roman"/>
                <w:sz w:val="18"/>
                <w:szCs w:val="18"/>
                <w:lang w:val="es-ES"/>
              </w:rPr>
              <w:t>5.8</w:t>
            </w:r>
          </w:p>
        </w:tc>
        <w:tc>
          <w:tcPr>
            <w:tcW w:w="1097" w:type="dxa"/>
            <w:tcBorders>
              <w:top w:val="single" w:sz="4" w:space="0" w:color="auto"/>
              <w:bottom w:val="nil"/>
            </w:tcBorders>
          </w:tcPr>
          <w:p w14:paraId="3A8457AB" w14:textId="77777777" w:rsidR="008037B6" w:rsidRPr="008037B6" w:rsidRDefault="008037B6" w:rsidP="008037B6">
            <w:pPr>
              <w:spacing w:before="20" w:after="20"/>
              <w:ind w:right="170"/>
              <w:jc w:val="right"/>
              <w:rPr>
                <w:rFonts w:eastAsia="Times New Roman"/>
                <w:sz w:val="18"/>
                <w:szCs w:val="18"/>
                <w:lang w:val="es-ES"/>
              </w:rPr>
            </w:pPr>
            <w:r w:rsidRPr="008037B6">
              <w:rPr>
                <w:rFonts w:eastAsia="Times New Roman"/>
                <w:sz w:val="18"/>
                <w:szCs w:val="18"/>
                <w:lang w:val="es-ES"/>
              </w:rPr>
              <w:t>1 625</w:t>
            </w:r>
          </w:p>
        </w:tc>
        <w:tc>
          <w:tcPr>
            <w:tcW w:w="955" w:type="dxa"/>
            <w:tcBorders>
              <w:top w:val="single" w:sz="4" w:space="0" w:color="auto"/>
              <w:bottom w:val="nil"/>
            </w:tcBorders>
            <w:shd w:val="clear" w:color="auto" w:fill="auto"/>
            <w:vAlign w:val="center"/>
          </w:tcPr>
          <w:p w14:paraId="02240322" w14:textId="77777777" w:rsidR="008037B6" w:rsidRPr="008037B6" w:rsidRDefault="008037B6" w:rsidP="008037B6">
            <w:pPr>
              <w:spacing w:before="20" w:after="20"/>
              <w:ind w:right="170"/>
              <w:jc w:val="right"/>
              <w:rPr>
                <w:rFonts w:eastAsia="Times New Roman"/>
                <w:sz w:val="18"/>
                <w:szCs w:val="18"/>
                <w:lang w:val="es-ES"/>
              </w:rPr>
            </w:pPr>
            <w:r w:rsidRPr="008037B6">
              <w:rPr>
                <w:rFonts w:eastAsia="Times New Roman"/>
                <w:sz w:val="18"/>
                <w:szCs w:val="18"/>
                <w:lang w:val="es-ES"/>
              </w:rPr>
              <w:t>16.2</w:t>
            </w:r>
          </w:p>
        </w:tc>
      </w:tr>
      <w:tr w:rsidR="008037B6" w:rsidRPr="008037B6" w14:paraId="620DA625" w14:textId="77777777" w:rsidTr="008037B6">
        <w:trPr>
          <w:jc w:val="center"/>
        </w:trPr>
        <w:tc>
          <w:tcPr>
            <w:tcW w:w="946" w:type="dxa"/>
            <w:tcBorders>
              <w:top w:val="nil"/>
              <w:bottom w:val="nil"/>
            </w:tcBorders>
            <w:shd w:val="clear" w:color="auto" w:fill="auto"/>
          </w:tcPr>
          <w:p w14:paraId="13B62E0D" w14:textId="77777777" w:rsidR="008037B6" w:rsidRPr="008037B6" w:rsidRDefault="008037B6" w:rsidP="008037B6">
            <w:pPr>
              <w:spacing w:before="20" w:after="20"/>
              <w:jc w:val="center"/>
              <w:rPr>
                <w:rFonts w:eastAsia="Times New Roman"/>
                <w:sz w:val="18"/>
                <w:szCs w:val="18"/>
                <w:lang w:val="es-ES"/>
              </w:rPr>
            </w:pPr>
            <w:r w:rsidRPr="008037B6">
              <w:rPr>
                <w:rFonts w:eastAsia="Times New Roman"/>
                <w:sz w:val="18"/>
                <w:szCs w:val="18"/>
                <w:lang w:val="es-ES"/>
              </w:rPr>
              <w:t>2</w:t>
            </w:r>
          </w:p>
        </w:tc>
        <w:tc>
          <w:tcPr>
            <w:tcW w:w="1376" w:type="dxa"/>
            <w:tcBorders>
              <w:top w:val="nil"/>
              <w:bottom w:val="nil"/>
            </w:tcBorders>
            <w:shd w:val="clear" w:color="auto" w:fill="auto"/>
            <w:vAlign w:val="center"/>
          </w:tcPr>
          <w:p w14:paraId="4F115B26" w14:textId="77777777" w:rsidR="008037B6" w:rsidRPr="008037B6" w:rsidRDefault="008037B6" w:rsidP="008037B6">
            <w:pPr>
              <w:spacing w:before="20" w:after="20"/>
              <w:rPr>
                <w:rFonts w:eastAsia="Times New Roman"/>
                <w:sz w:val="18"/>
                <w:szCs w:val="18"/>
                <w:lang w:val="es-ES"/>
              </w:rPr>
            </w:pPr>
            <w:r w:rsidRPr="008037B6">
              <w:rPr>
                <w:rFonts w:eastAsia="Times New Roman"/>
                <w:sz w:val="18"/>
                <w:szCs w:val="18"/>
                <w:lang w:val="es-ES"/>
              </w:rPr>
              <w:t>Versa</w:t>
            </w:r>
          </w:p>
        </w:tc>
        <w:tc>
          <w:tcPr>
            <w:tcW w:w="937" w:type="dxa"/>
            <w:tcBorders>
              <w:top w:val="nil"/>
              <w:bottom w:val="nil"/>
            </w:tcBorders>
            <w:shd w:val="clear" w:color="auto" w:fill="auto"/>
            <w:vAlign w:val="center"/>
          </w:tcPr>
          <w:p w14:paraId="67E2A402" w14:textId="77777777" w:rsidR="008037B6" w:rsidRPr="008037B6" w:rsidRDefault="008037B6" w:rsidP="008037B6">
            <w:pPr>
              <w:spacing w:before="20" w:after="20"/>
              <w:jc w:val="center"/>
              <w:rPr>
                <w:rFonts w:eastAsia="Times New Roman"/>
                <w:sz w:val="18"/>
                <w:szCs w:val="18"/>
                <w:lang w:val="es-ES"/>
              </w:rPr>
            </w:pPr>
            <w:r w:rsidRPr="008037B6">
              <w:rPr>
                <w:rFonts w:eastAsia="Times New Roman"/>
                <w:sz w:val="18"/>
                <w:szCs w:val="18"/>
                <w:lang w:val="es-ES"/>
              </w:rPr>
              <w:t>Nissan</w:t>
            </w:r>
          </w:p>
        </w:tc>
        <w:tc>
          <w:tcPr>
            <w:tcW w:w="1561" w:type="dxa"/>
            <w:tcBorders>
              <w:top w:val="nil"/>
              <w:bottom w:val="nil"/>
            </w:tcBorders>
            <w:shd w:val="clear" w:color="auto" w:fill="auto"/>
            <w:vAlign w:val="center"/>
          </w:tcPr>
          <w:p w14:paraId="7CBACD72" w14:textId="77777777" w:rsidR="008037B6" w:rsidRPr="008037B6" w:rsidRDefault="008037B6" w:rsidP="008037B6">
            <w:pPr>
              <w:spacing w:before="20" w:after="20"/>
              <w:jc w:val="center"/>
              <w:rPr>
                <w:rFonts w:eastAsia="Times New Roman"/>
                <w:sz w:val="18"/>
                <w:szCs w:val="18"/>
                <w:lang w:val="es-ES"/>
              </w:rPr>
            </w:pPr>
            <w:r w:rsidRPr="008037B6">
              <w:rPr>
                <w:rFonts w:eastAsia="Times New Roman"/>
                <w:sz w:val="18"/>
                <w:szCs w:val="18"/>
                <w:lang w:val="es-ES"/>
              </w:rPr>
              <w:t>Subcompactos</w:t>
            </w:r>
          </w:p>
        </w:tc>
        <w:tc>
          <w:tcPr>
            <w:tcW w:w="1097" w:type="dxa"/>
            <w:tcBorders>
              <w:top w:val="nil"/>
              <w:bottom w:val="nil"/>
            </w:tcBorders>
            <w:shd w:val="clear" w:color="auto" w:fill="auto"/>
          </w:tcPr>
          <w:p w14:paraId="25687DC2" w14:textId="77777777" w:rsidR="008037B6" w:rsidRPr="008037B6" w:rsidRDefault="008037B6" w:rsidP="008037B6">
            <w:pPr>
              <w:spacing w:before="20" w:after="20"/>
              <w:ind w:left="-1080" w:right="156"/>
              <w:jc w:val="right"/>
              <w:rPr>
                <w:rFonts w:eastAsia="Times New Roman"/>
                <w:sz w:val="18"/>
                <w:szCs w:val="18"/>
                <w:lang w:val="es-ES"/>
              </w:rPr>
            </w:pPr>
            <w:r w:rsidRPr="008037B6">
              <w:rPr>
                <w:rFonts w:eastAsia="Times New Roman"/>
                <w:sz w:val="18"/>
                <w:szCs w:val="18"/>
                <w:lang w:val="es-ES"/>
              </w:rPr>
              <w:t>10 168</w:t>
            </w:r>
          </w:p>
        </w:tc>
        <w:tc>
          <w:tcPr>
            <w:tcW w:w="1059" w:type="dxa"/>
            <w:tcBorders>
              <w:top w:val="nil"/>
              <w:bottom w:val="nil"/>
            </w:tcBorders>
            <w:shd w:val="clear" w:color="auto" w:fill="auto"/>
          </w:tcPr>
          <w:p w14:paraId="34AD5252" w14:textId="77777777" w:rsidR="008037B6" w:rsidRPr="008037B6" w:rsidRDefault="008037B6" w:rsidP="008037B6">
            <w:pPr>
              <w:spacing w:before="20" w:after="20"/>
              <w:jc w:val="center"/>
              <w:rPr>
                <w:rFonts w:eastAsia="Times New Roman"/>
                <w:sz w:val="18"/>
                <w:szCs w:val="18"/>
                <w:lang w:val="es-ES"/>
              </w:rPr>
            </w:pPr>
            <w:r w:rsidRPr="008037B6">
              <w:rPr>
                <w:rFonts w:eastAsia="Times New Roman"/>
                <w:sz w:val="18"/>
                <w:szCs w:val="18"/>
                <w:lang w:val="es-ES"/>
              </w:rPr>
              <w:t>5.1</w:t>
            </w:r>
          </w:p>
        </w:tc>
        <w:tc>
          <w:tcPr>
            <w:tcW w:w="1097" w:type="dxa"/>
            <w:tcBorders>
              <w:top w:val="nil"/>
              <w:bottom w:val="nil"/>
            </w:tcBorders>
          </w:tcPr>
          <w:p w14:paraId="783BDB44" w14:textId="77777777" w:rsidR="008037B6" w:rsidRPr="008037B6" w:rsidRDefault="008037B6" w:rsidP="008037B6">
            <w:pPr>
              <w:spacing w:before="20" w:after="20"/>
              <w:ind w:right="170"/>
              <w:jc w:val="right"/>
              <w:rPr>
                <w:rFonts w:eastAsia="Times New Roman"/>
                <w:sz w:val="18"/>
                <w:szCs w:val="18"/>
                <w:lang w:val="es-ES"/>
              </w:rPr>
            </w:pPr>
            <w:r w:rsidRPr="008037B6">
              <w:rPr>
                <w:rFonts w:eastAsia="Times New Roman"/>
                <w:sz w:val="18"/>
                <w:szCs w:val="18"/>
                <w:lang w:val="es-ES"/>
              </w:rPr>
              <w:t>2 684</w:t>
            </w:r>
          </w:p>
        </w:tc>
        <w:tc>
          <w:tcPr>
            <w:tcW w:w="955" w:type="dxa"/>
            <w:tcBorders>
              <w:top w:val="nil"/>
              <w:bottom w:val="nil"/>
            </w:tcBorders>
            <w:shd w:val="clear" w:color="auto" w:fill="auto"/>
            <w:vAlign w:val="center"/>
          </w:tcPr>
          <w:p w14:paraId="2B57CAD9" w14:textId="77777777" w:rsidR="008037B6" w:rsidRPr="008037B6" w:rsidRDefault="008037B6" w:rsidP="008037B6">
            <w:pPr>
              <w:spacing w:before="20" w:after="20"/>
              <w:ind w:right="170"/>
              <w:jc w:val="right"/>
              <w:rPr>
                <w:rFonts w:eastAsia="Times New Roman"/>
                <w:sz w:val="18"/>
                <w:szCs w:val="18"/>
                <w:lang w:val="es-ES"/>
              </w:rPr>
            </w:pPr>
            <w:r w:rsidRPr="008037B6">
              <w:rPr>
                <w:rFonts w:eastAsia="Times New Roman"/>
                <w:sz w:val="18"/>
                <w:szCs w:val="18"/>
                <w:lang w:val="es-ES"/>
              </w:rPr>
              <w:t>35.9</w:t>
            </w:r>
          </w:p>
        </w:tc>
      </w:tr>
      <w:tr w:rsidR="008037B6" w:rsidRPr="008037B6" w14:paraId="37AEC85E" w14:textId="77777777" w:rsidTr="008037B6">
        <w:trPr>
          <w:jc w:val="center"/>
        </w:trPr>
        <w:tc>
          <w:tcPr>
            <w:tcW w:w="946" w:type="dxa"/>
            <w:tcBorders>
              <w:top w:val="nil"/>
              <w:bottom w:val="nil"/>
            </w:tcBorders>
            <w:shd w:val="clear" w:color="auto" w:fill="auto"/>
          </w:tcPr>
          <w:p w14:paraId="40ABC5F0" w14:textId="77777777" w:rsidR="008037B6" w:rsidRPr="008037B6" w:rsidRDefault="008037B6" w:rsidP="008037B6">
            <w:pPr>
              <w:spacing w:before="20" w:after="20"/>
              <w:jc w:val="center"/>
              <w:rPr>
                <w:rFonts w:eastAsia="Times New Roman"/>
                <w:sz w:val="18"/>
                <w:szCs w:val="18"/>
                <w:lang w:val="es-ES"/>
              </w:rPr>
            </w:pPr>
            <w:r w:rsidRPr="008037B6">
              <w:rPr>
                <w:rFonts w:eastAsia="Times New Roman"/>
                <w:sz w:val="18"/>
                <w:szCs w:val="18"/>
                <w:lang w:val="es-ES"/>
              </w:rPr>
              <w:t>3</w:t>
            </w:r>
          </w:p>
        </w:tc>
        <w:tc>
          <w:tcPr>
            <w:tcW w:w="1376" w:type="dxa"/>
            <w:tcBorders>
              <w:top w:val="nil"/>
              <w:bottom w:val="nil"/>
            </w:tcBorders>
            <w:shd w:val="clear" w:color="auto" w:fill="auto"/>
            <w:vAlign w:val="center"/>
          </w:tcPr>
          <w:p w14:paraId="18D562A1" w14:textId="77777777" w:rsidR="008037B6" w:rsidRPr="008037B6" w:rsidRDefault="008037B6" w:rsidP="008037B6">
            <w:pPr>
              <w:spacing w:before="20" w:after="20"/>
              <w:rPr>
                <w:rFonts w:eastAsia="Times New Roman"/>
                <w:sz w:val="18"/>
                <w:szCs w:val="18"/>
                <w:lang w:val="es-ES"/>
              </w:rPr>
            </w:pPr>
            <w:r w:rsidRPr="008037B6">
              <w:rPr>
                <w:rFonts w:eastAsia="Times New Roman"/>
                <w:sz w:val="18"/>
                <w:szCs w:val="18"/>
                <w:lang w:val="es-ES"/>
              </w:rPr>
              <w:t>Vento</w:t>
            </w:r>
            <w:r w:rsidRPr="008037B6">
              <w:rPr>
                <w:rFonts w:eastAsia="Times New Roman"/>
                <w:bCs/>
                <w:sz w:val="18"/>
                <w:szCs w:val="18"/>
                <w:lang w:val="es-ES"/>
              </w:rPr>
              <w:t xml:space="preserve"> </w:t>
            </w:r>
          </w:p>
        </w:tc>
        <w:tc>
          <w:tcPr>
            <w:tcW w:w="937" w:type="dxa"/>
            <w:tcBorders>
              <w:top w:val="nil"/>
              <w:bottom w:val="nil"/>
            </w:tcBorders>
            <w:shd w:val="clear" w:color="auto" w:fill="auto"/>
            <w:vAlign w:val="center"/>
          </w:tcPr>
          <w:p w14:paraId="4D35772E" w14:textId="77777777" w:rsidR="008037B6" w:rsidRPr="008037B6" w:rsidRDefault="008037B6" w:rsidP="008037B6">
            <w:pPr>
              <w:spacing w:before="20" w:after="20"/>
              <w:jc w:val="center"/>
              <w:rPr>
                <w:rFonts w:eastAsia="Times New Roman"/>
                <w:sz w:val="18"/>
                <w:szCs w:val="18"/>
                <w:lang w:val="es-ES"/>
              </w:rPr>
            </w:pPr>
            <w:r w:rsidRPr="008037B6">
              <w:rPr>
                <w:rFonts w:eastAsia="Times New Roman"/>
                <w:sz w:val="18"/>
                <w:szCs w:val="18"/>
                <w:lang w:val="es-ES"/>
              </w:rPr>
              <w:t>VW</w:t>
            </w:r>
          </w:p>
        </w:tc>
        <w:tc>
          <w:tcPr>
            <w:tcW w:w="1561" w:type="dxa"/>
            <w:tcBorders>
              <w:top w:val="nil"/>
              <w:bottom w:val="nil"/>
            </w:tcBorders>
            <w:shd w:val="clear" w:color="auto" w:fill="auto"/>
          </w:tcPr>
          <w:p w14:paraId="1729FE7F" w14:textId="77777777" w:rsidR="008037B6" w:rsidRPr="008037B6" w:rsidRDefault="008037B6" w:rsidP="008037B6">
            <w:pPr>
              <w:jc w:val="center"/>
              <w:rPr>
                <w:rFonts w:eastAsia="Times New Roman"/>
                <w:lang w:val="es-ES"/>
              </w:rPr>
            </w:pPr>
            <w:r w:rsidRPr="008037B6">
              <w:rPr>
                <w:rFonts w:eastAsia="Times New Roman"/>
                <w:sz w:val="18"/>
                <w:szCs w:val="18"/>
                <w:lang w:val="es-ES"/>
              </w:rPr>
              <w:t>Subcompactos</w:t>
            </w:r>
          </w:p>
        </w:tc>
        <w:tc>
          <w:tcPr>
            <w:tcW w:w="1097" w:type="dxa"/>
            <w:tcBorders>
              <w:top w:val="nil"/>
              <w:bottom w:val="nil"/>
            </w:tcBorders>
            <w:shd w:val="clear" w:color="auto" w:fill="auto"/>
          </w:tcPr>
          <w:p w14:paraId="41151F5C" w14:textId="77777777" w:rsidR="008037B6" w:rsidRPr="008037B6" w:rsidRDefault="008037B6" w:rsidP="008037B6">
            <w:pPr>
              <w:spacing w:before="20" w:after="20"/>
              <w:ind w:left="-1080" w:right="156"/>
              <w:jc w:val="right"/>
              <w:rPr>
                <w:rFonts w:eastAsia="Times New Roman"/>
                <w:sz w:val="18"/>
                <w:szCs w:val="18"/>
                <w:lang w:val="es-ES"/>
              </w:rPr>
            </w:pPr>
            <w:r w:rsidRPr="008037B6">
              <w:rPr>
                <w:rFonts w:eastAsia="Times New Roman"/>
                <w:sz w:val="18"/>
                <w:szCs w:val="18"/>
                <w:lang w:val="es-ES"/>
              </w:rPr>
              <w:t>9 200</w:t>
            </w:r>
          </w:p>
        </w:tc>
        <w:tc>
          <w:tcPr>
            <w:tcW w:w="1059" w:type="dxa"/>
            <w:tcBorders>
              <w:top w:val="nil"/>
              <w:bottom w:val="nil"/>
            </w:tcBorders>
            <w:shd w:val="clear" w:color="auto" w:fill="auto"/>
          </w:tcPr>
          <w:p w14:paraId="6260E25D" w14:textId="77777777" w:rsidR="008037B6" w:rsidRPr="008037B6" w:rsidRDefault="008037B6" w:rsidP="008037B6">
            <w:pPr>
              <w:spacing w:before="20" w:after="20"/>
              <w:jc w:val="center"/>
              <w:rPr>
                <w:rFonts w:eastAsia="Times New Roman"/>
                <w:sz w:val="18"/>
                <w:szCs w:val="18"/>
                <w:lang w:val="es-ES"/>
              </w:rPr>
            </w:pPr>
            <w:r w:rsidRPr="008037B6">
              <w:rPr>
                <w:rFonts w:eastAsia="Times New Roman"/>
                <w:sz w:val="18"/>
                <w:szCs w:val="18"/>
                <w:lang w:val="es-ES"/>
              </w:rPr>
              <w:t>4.6</w:t>
            </w:r>
          </w:p>
        </w:tc>
        <w:tc>
          <w:tcPr>
            <w:tcW w:w="1097" w:type="dxa"/>
            <w:tcBorders>
              <w:top w:val="nil"/>
              <w:bottom w:val="nil"/>
            </w:tcBorders>
          </w:tcPr>
          <w:p w14:paraId="39D8F0BD" w14:textId="77777777" w:rsidR="008037B6" w:rsidRPr="008037B6" w:rsidRDefault="008037B6" w:rsidP="008037B6">
            <w:pPr>
              <w:spacing w:before="20" w:after="20"/>
              <w:ind w:right="170"/>
              <w:jc w:val="right"/>
              <w:rPr>
                <w:rFonts w:eastAsia="Times New Roman"/>
                <w:sz w:val="18"/>
                <w:szCs w:val="18"/>
                <w:lang w:val="es-ES"/>
              </w:rPr>
            </w:pPr>
            <w:r w:rsidRPr="008037B6">
              <w:rPr>
                <w:rFonts w:eastAsia="Times New Roman"/>
                <w:sz w:val="18"/>
                <w:szCs w:val="18"/>
                <w:lang w:val="es-ES"/>
              </w:rPr>
              <w:t>4 136</w:t>
            </w:r>
          </w:p>
        </w:tc>
        <w:tc>
          <w:tcPr>
            <w:tcW w:w="955" w:type="dxa"/>
            <w:tcBorders>
              <w:top w:val="nil"/>
              <w:bottom w:val="nil"/>
            </w:tcBorders>
            <w:shd w:val="clear" w:color="auto" w:fill="auto"/>
            <w:vAlign w:val="center"/>
          </w:tcPr>
          <w:p w14:paraId="52984C2A" w14:textId="77777777" w:rsidR="008037B6" w:rsidRPr="008037B6" w:rsidRDefault="008037B6" w:rsidP="008037B6">
            <w:pPr>
              <w:spacing w:before="20" w:after="20"/>
              <w:ind w:right="170"/>
              <w:jc w:val="right"/>
              <w:rPr>
                <w:rFonts w:eastAsia="Times New Roman"/>
                <w:sz w:val="18"/>
                <w:szCs w:val="18"/>
                <w:lang w:val="es-ES"/>
              </w:rPr>
            </w:pPr>
            <w:r w:rsidRPr="008037B6">
              <w:rPr>
                <w:rFonts w:eastAsia="Times New Roman"/>
                <w:sz w:val="18"/>
                <w:szCs w:val="18"/>
                <w:lang w:val="es-ES"/>
              </w:rPr>
              <w:t>81.7</w:t>
            </w:r>
          </w:p>
        </w:tc>
      </w:tr>
      <w:tr w:rsidR="008037B6" w:rsidRPr="008037B6" w14:paraId="6A86FFF1" w14:textId="77777777" w:rsidTr="008037B6">
        <w:trPr>
          <w:jc w:val="center"/>
        </w:trPr>
        <w:tc>
          <w:tcPr>
            <w:tcW w:w="946" w:type="dxa"/>
            <w:tcBorders>
              <w:top w:val="nil"/>
              <w:bottom w:val="nil"/>
            </w:tcBorders>
            <w:shd w:val="clear" w:color="auto" w:fill="auto"/>
          </w:tcPr>
          <w:p w14:paraId="47498136" w14:textId="77777777" w:rsidR="008037B6" w:rsidRPr="008037B6" w:rsidRDefault="008037B6" w:rsidP="008037B6">
            <w:pPr>
              <w:spacing w:before="20" w:after="20"/>
              <w:jc w:val="center"/>
              <w:rPr>
                <w:rFonts w:eastAsia="Times New Roman"/>
                <w:sz w:val="18"/>
                <w:szCs w:val="18"/>
                <w:lang w:val="es-ES"/>
              </w:rPr>
            </w:pPr>
            <w:r w:rsidRPr="008037B6">
              <w:rPr>
                <w:rFonts w:eastAsia="Times New Roman"/>
                <w:sz w:val="18"/>
                <w:szCs w:val="18"/>
                <w:lang w:val="es-ES"/>
              </w:rPr>
              <w:t>4</w:t>
            </w:r>
          </w:p>
        </w:tc>
        <w:tc>
          <w:tcPr>
            <w:tcW w:w="1376" w:type="dxa"/>
            <w:tcBorders>
              <w:top w:val="nil"/>
              <w:bottom w:val="nil"/>
            </w:tcBorders>
            <w:shd w:val="clear" w:color="auto" w:fill="auto"/>
            <w:vAlign w:val="center"/>
          </w:tcPr>
          <w:p w14:paraId="69EEBDE5" w14:textId="77777777" w:rsidR="008037B6" w:rsidRPr="008037B6" w:rsidRDefault="008037B6" w:rsidP="008037B6">
            <w:pPr>
              <w:spacing w:before="20" w:after="20"/>
              <w:rPr>
                <w:rFonts w:eastAsia="Times New Roman"/>
                <w:sz w:val="18"/>
                <w:szCs w:val="18"/>
                <w:lang w:val="es-ES"/>
              </w:rPr>
            </w:pPr>
            <w:r w:rsidRPr="008037B6">
              <w:rPr>
                <w:rFonts w:eastAsia="Times New Roman"/>
                <w:bCs/>
                <w:sz w:val="18"/>
                <w:szCs w:val="18"/>
                <w:lang w:val="es-ES"/>
              </w:rPr>
              <w:t>Tsuru</w:t>
            </w:r>
          </w:p>
        </w:tc>
        <w:tc>
          <w:tcPr>
            <w:tcW w:w="937" w:type="dxa"/>
            <w:tcBorders>
              <w:top w:val="nil"/>
              <w:bottom w:val="nil"/>
            </w:tcBorders>
            <w:shd w:val="clear" w:color="auto" w:fill="auto"/>
            <w:vAlign w:val="center"/>
          </w:tcPr>
          <w:p w14:paraId="06F7ECC3" w14:textId="77777777" w:rsidR="008037B6" w:rsidRPr="008037B6" w:rsidRDefault="008037B6" w:rsidP="008037B6">
            <w:pPr>
              <w:spacing w:before="20" w:after="20"/>
              <w:jc w:val="center"/>
              <w:rPr>
                <w:rFonts w:eastAsia="Times New Roman"/>
                <w:sz w:val="18"/>
                <w:szCs w:val="18"/>
                <w:lang w:val="es-ES"/>
              </w:rPr>
            </w:pPr>
            <w:r w:rsidRPr="008037B6">
              <w:rPr>
                <w:rFonts w:eastAsia="Times New Roman"/>
                <w:sz w:val="18"/>
                <w:szCs w:val="18"/>
                <w:lang w:val="es-ES"/>
              </w:rPr>
              <w:t>Nissan</w:t>
            </w:r>
          </w:p>
        </w:tc>
        <w:tc>
          <w:tcPr>
            <w:tcW w:w="1561" w:type="dxa"/>
            <w:tcBorders>
              <w:top w:val="nil"/>
              <w:bottom w:val="nil"/>
            </w:tcBorders>
            <w:shd w:val="clear" w:color="auto" w:fill="auto"/>
          </w:tcPr>
          <w:p w14:paraId="70429DE6" w14:textId="77777777" w:rsidR="008037B6" w:rsidRPr="008037B6" w:rsidRDefault="008037B6" w:rsidP="008037B6">
            <w:pPr>
              <w:jc w:val="center"/>
              <w:rPr>
                <w:rFonts w:eastAsia="Times New Roman"/>
                <w:lang w:val="es-ES"/>
              </w:rPr>
            </w:pPr>
            <w:r w:rsidRPr="008037B6">
              <w:rPr>
                <w:rFonts w:eastAsia="Times New Roman"/>
                <w:sz w:val="18"/>
                <w:szCs w:val="18"/>
                <w:lang w:val="es-ES"/>
              </w:rPr>
              <w:t>Subcompactos</w:t>
            </w:r>
          </w:p>
        </w:tc>
        <w:tc>
          <w:tcPr>
            <w:tcW w:w="1097" w:type="dxa"/>
            <w:tcBorders>
              <w:top w:val="nil"/>
              <w:bottom w:val="nil"/>
            </w:tcBorders>
            <w:shd w:val="clear" w:color="auto" w:fill="auto"/>
          </w:tcPr>
          <w:p w14:paraId="46B06F13" w14:textId="77777777" w:rsidR="008037B6" w:rsidRPr="008037B6" w:rsidRDefault="008037B6" w:rsidP="008037B6">
            <w:pPr>
              <w:spacing w:before="20" w:after="20"/>
              <w:ind w:left="-1080" w:right="156"/>
              <w:jc w:val="right"/>
              <w:rPr>
                <w:rFonts w:eastAsia="Times New Roman"/>
                <w:sz w:val="18"/>
                <w:szCs w:val="18"/>
                <w:lang w:val="es-ES"/>
              </w:rPr>
            </w:pPr>
            <w:r w:rsidRPr="008037B6">
              <w:rPr>
                <w:rFonts w:eastAsia="Times New Roman"/>
                <w:sz w:val="18"/>
                <w:szCs w:val="18"/>
                <w:lang w:val="es-ES"/>
              </w:rPr>
              <w:t>8 437</w:t>
            </w:r>
          </w:p>
        </w:tc>
        <w:tc>
          <w:tcPr>
            <w:tcW w:w="1059" w:type="dxa"/>
            <w:tcBorders>
              <w:top w:val="nil"/>
              <w:bottom w:val="nil"/>
            </w:tcBorders>
            <w:shd w:val="clear" w:color="auto" w:fill="auto"/>
          </w:tcPr>
          <w:p w14:paraId="79A202BE" w14:textId="77777777" w:rsidR="008037B6" w:rsidRPr="008037B6" w:rsidRDefault="008037B6" w:rsidP="008037B6">
            <w:pPr>
              <w:spacing w:before="20" w:after="20"/>
              <w:jc w:val="center"/>
              <w:rPr>
                <w:rFonts w:eastAsia="Times New Roman"/>
                <w:sz w:val="18"/>
                <w:szCs w:val="18"/>
                <w:lang w:val="es-ES"/>
              </w:rPr>
            </w:pPr>
            <w:r w:rsidRPr="008037B6">
              <w:rPr>
                <w:rFonts w:eastAsia="Times New Roman"/>
                <w:sz w:val="18"/>
                <w:szCs w:val="18"/>
                <w:lang w:val="es-ES"/>
              </w:rPr>
              <w:t>4.2</w:t>
            </w:r>
          </w:p>
        </w:tc>
        <w:tc>
          <w:tcPr>
            <w:tcW w:w="1097" w:type="dxa"/>
            <w:tcBorders>
              <w:top w:val="nil"/>
              <w:bottom w:val="nil"/>
            </w:tcBorders>
          </w:tcPr>
          <w:p w14:paraId="575020DE" w14:textId="77777777" w:rsidR="008037B6" w:rsidRPr="008037B6" w:rsidRDefault="008037B6" w:rsidP="008037B6">
            <w:pPr>
              <w:spacing w:before="20" w:after="20"/>
              <w:ind w:right="170"/>
              <w:jc w:val="right"/>
              <w:rPr>
                <w:rFonts w:eastAsia="Times New Roman"/>
                <w:sz w:val="18"/>
                <w:szCs w:val="18"/>
                <w:lang w:val="es-ES"/>
              </w:rPr>
            </w:pPr>
            <w:r w:rsidRPr="008037B6">
              <w:rPr>
                <w:rFonts w:eastAsia="Times New Roman"/>
                <w:sz w:val="18"/>
                <w:szCs w:val="18"/>
                <w:lang w:val="es-ES"/>
              </w:rPr>
              <w:t>547</w:t>
            </w:r>
          </w:p>
        </w:tc>
        <w:tc>
          <w:tcPr>
            <w:tcW w:w="955" w:type="dxa"/>
            <w:tcBorders>
              <w:top w:val="nil"/>
              <w:bottom w:val="nil"/>
            </w:tcBorders>
            <w:shd w:val="clear" w:color="auto" w:fill="auto"/>
            <w:vAlign w:val="center"/>
          </w:tcPr>
          <w:p w14:paraId="3809C994" w14:textId="77777777" w:rsidR="008037B6" w:rsidRPr="008037B6" w:rsidRDefault="008037B6" w:rsidP="008037B6">
            <w:pPr>
              <w:spacing w:before="20" w:after="20"/>
              <w:ind w:right="170"/>
              <w:jc w:val="right"/>
              <w:rPr>
                <w:rFonts w:eastAsia="Times New Roman"/>
                <w:sz w:val="18"/>
                <w:szCs w:val="18"/>
                <w:lang w:val="es-ES"/>
              </w:rPr>
            </w:pPr>
            <w:r w:rsidRPr="008037B6">
              <w:rPr>
                <w:rFonts w:eastAsia="Times New Roman"/>
                <w:sz w:val="18"/>
                <w:szCs w:val="18"/>
                <w:lang w:val="es-ES"/>
              </w:rPr>
              <w:t>6.9</w:t>
            </w:r>
          </w:p>
        </w:tc>
      </w:tr>
      <w:tr w:rsidR="008037B6" w:rsidRPr="008037B6" w14:paraId="3AA6D838" w14:textId="77777777" w:rsidTr="008037B6">
        <w:trPr>
          <w:jc w:val="center"/>
        </w:trPr>
        <w:tc>
          <w:tcPr>
            <w:tcW w:w="946" w:type="dxa"/>
            <w:tcBorders>
              <w:top w:val="nil"/>
              <w:bottom w:val="nil"/>
            </w:tcBorders>
            <w:shd w:val="clear" w:color="auto" w:fill="auto"/>
          </w:tcPr>
          <w:p w14:paraId="58159DD6" w14:textId="77777777" w:rsidR="008037B6" w:rsidRPr="008037B6" w:rsidRDefault="008037B6" w:rsidP="008037B6">
            <w:pPr>
              <w:spacing w:before="20" w:after="20"/>
              <w:jc w:val="center"/>
              <w:rPr>
                <w:rFonts w:eastAsia="Times New Roman"/>
                <w:sz w:val="18"/>
                <w:szCs w:val="18"/>
                <w:lang w:val="es-ES"/>
              </w:rPr>
            </w:pPr>
            <w:r w:rsidRPr="008037B6">
              <w:rPr>
                <w:rFonts w:eastAsia="Times New Roman"/>
                <w:sz w:val="18"/>
                <w:szCs w:val="18"/>
                <w:lang w:val="es-ES"/>
              </w:rPr>
              <w:t>5</w:t>
            </w:r>
          </w:p>
        </w:tc>
        <w:tc>
          <w:tcPr>
            <w:tcW w:w="1376" w:type="dxa"/>
            <w:tcBorders>
              <w:top w:val="nil"/>
              <w:bottom w:val="nil"/>
            </w:tcBorders>
            <w:shd w:val="clear" w:color="auto" w:fill="auto"/>
            <w:vAlign w:val="center"/>
          </w:tcPr>
          <w:p w14:paraId="5054FA0D" w14:textId="77777777" w:rsidR="008037B6" w:rsidRPr="008037B6" w:rsidRDefault="008037B6" w:rsidP="008037B6">
            <w:pPr>
              <w:spacing w:before="20" w:after="20"/>
              <w:rPr>
                <w:rFonts w:eastAsia="Times New Roman"/>
                <w:sz w:val="18"/>
                <w:szCs w:val="18"/>
                <w:lang w:val="es-ES"/>
              </w:rPr>
            </w:pPr>
            <w:r w:rsidRPr="008037B6">
              <w:rPr>
                <w:rFonts w:eastAsia="Times New Roman"/>
                <w:sz w:val="18"/>
                <w:szCs w:val="18"/>
                <w:lang w:val="es-ES"/>
              </w:rPr>
              <w:t>Spark</w:t>
            </w:r>
          </w:p>
        </w:tc>
        <w:tc>
          <w:tcPr>
            <w:tcW w:w="937" w:type="dxa"/>
            <w:tcBorders>
              <w:top w:val="nil"/>
              <w:bottom w:val="nil"/>
            </w:tcBorders>
            <w:shd w:val="clear" w:color="auto" w:fill="auto"/>
            <w:vAlign w:val="center"/>
          </w:tcPr>
          <w:p w14:paraId="6709A05C" w14:textId="77777777" w:rsidR="008037B6" w:rsidRPr="008037B6" w:rsidRDefault="008037B6" w:rsidP="008037B6">
            <w:pPr>
              <w:spacing w:before="20" w:after="20"/>
              <w:jc w:val="center"/>
              <w:rPr>
                <w:rFonts w:eastAsia="Times New Roman"/>
                <w:sz w:val="18"/>
                <w:szCs w:val="18"/>
                <w:lang w:val="es-ES"/>
              </w:rPr>
            </w:pPr>
            <w:r w:rsidRPr="008037B6">
              <w:rPr>
                <w:rFonts w:eastAsia="Times New Roman"/>
                <w:sz w:val="18"/>
                <w:szCs w:val="18"/>
                <w:lang w:val="es-ES"/>
              </w:rPr>
              <w:t>GM</w:t>
            </w:r>
          </w:p>
        </w:tc>
        <w:tc>
          <w:tcPr>
            <w:tcW w:w="1561" w:type="dxa"/>
            <w:tcBorders>
              <w:top w:val="nil"/>
              <w:bottom w:val="nil"/>
            </w:tcBorders>
            <w:shd w:val="clear" w:color="auto" w:fill="auto"/>
            <w:vAlign w:val="center"/>
          </w:tcPr>
          <w:p w14:paraId="7759C8E1" w14:textId="77777777" w:rsidR="008037B6" w:rsidRPr="008037B6" w:rsidRDefault="008037B6" w:rsidP="008037B6">
            <w:pPr>
              <w:spacing w:before="20" w:after="20"/>
              <w:jc w:val="center"/>
              <w:rPr>
                <w:rFonts w:eastAsia="Times New Roman"/>
                <w:sz w:val="18"/>
                <w:szCs w:val="18"/>
                <w:lang w:val="es-ES"/>
              </w:rPr>
            </w:pPr>
            <w:r w:rsidRPr="008037B6">
              <w:rPr>
                <w:rFonts w:eastAsia="Times New Roman"/>
                <w:sz w:val="18"/>
                <w:szCs w:val="18"/>
                <w:lang w:val="es-ES"/>
              </w:rPr>
              <w:t>Subcompactos</w:t>
            </w:r>
          </w:p>
        </w:tc>
        <w:tc>
          <w:tcPr>
            <w:tcW w:w="1097" w:type="dxa"/>
            <w:tcBorders>
              <w:top w:val="nil"/>
              <w:bottom w:val="nil"/>
            </w:tcBorders>
            <w:shd w:val="clear" w:color="auto" w:fill="auto"/>
          </w:tcPr>
          <w:p w14:paraId="4A7C4950" w14:textId="77777777" w:rsidR="008037B6" w:rsidRPr="008037B6" w:rsidRDefault="008037B6" w:rsidP="008037B6">
            <w:pPr>
              <w:spacing w:before="20" w:after="20"/>
              <w:ind w:left="-1080" w:right="156"/>
              <w:jc w:val="right"/>
              <w:rPr>
                <w:rFonts w:eastAsia="Times New Roman"/>
                <w:sz w:val="18"/>
                <w:szCs w:val="18"/>
                <w:lang w:val="es-ES"/>
              </w:rPr>
            </w:pPr>
            <w:r w:rsidRPr="008037B6">
              <w:rPr>
                <w:rFonts w:eastAsia="Times New Roman"/>
                <w:sz w:val="18"/>
                <w:szCs w:val="18"/>
                <w:lang w:val="es-ES"/>
              </w:rPr>
              <w:t>7 384</w:t>
            </w:r>
          </w:p>
        </w:tc>
        <w:tc>
          <w:tcPr>
            <w:tcW w:w="1059" w:type="dxa"/>
            <w:tcBorders>
              <w:top w:val="nil"/>
              <w:bottom w:val="nil"/>
            </w:tcBorders>
            <w:shd w:val="clear" w:color="auto" w:fill="auto"/>
          </w:tcPr>
          <w:p w14:paraId="1D15595B" w14:textId="77777777" w:rsidR="008037B6" w:rsidRPr="008037B6" w:rsidRDefault="008037B6" w:rsidP="008037B6">
            <w:pPr>
              <w:spacing w:before="20" w:after="20"/>
              <w:jc w:val="center"/>
              <w:rPr>
                <w:rFonts w:eastAsia="Times New Roman"/>
                <w:sz w:val="18"/>
                <w:szCs w:val="18"/>
                <w:lang w:val="es-ES"/>
              </w:rPr>
            </w:pPr>
            <w:r w:rsidRPr="008037B6">
              <w:rPr>
                <w:rFonts w:eastAsia="Times New Roman"/>
                <w:sz w:val="18"/>
                <w:szCs w:val="18"/>
                <w:lang w:val="es-ES"/>
              </w:rPr>
              <w:t>3.7</w:t>
            </w:r>
          </w:p>
        </w:tc>
        <w:tc>
          <w:tcPr>
            <w:tcW w:w="1097" w:type="dxa"/>
            <w:tcBorders>
              <w:top w:val="nil"/>
              <w:bottom w:val="nil"/>
            </w:tcBorders>
          </w:tcPr>
          <w:p w14:paraId="5711C2FC" w14:textId="77777777" w:rsidR="008037B6" w:rsidRPr="008037B6" w:rsidRDefault="008037B6" w:rsidP="008037B6">
            <w:pPr>
              <w:spacing w:before="20" w:after="20"/>
              <w:ind w:right="170"/>
              <w:jc w:val="right"/>
              <w:rPr>
                <w:rFonts w:eastAsia="Times New Roman"/>
                <w:sz w:val="18"/>
                <w:szCs w:val="18"/>
                <w:lang w:val="es-ES"/>
              </w:rPr>
            </w:pPr>
            <w:r w:rsidRPr="008037B6">
              <w:rPr>
                <w:rFonts w:eastAsia="Times New Roman"/>
                <w:sz w:val="18"/>
                <w:szCs w:val="18"/>
                <w:lang w:val="es-ES"/>
              </w:rPr>
              <w:t>2 149</w:t>
            </w:r>
          </w:p>
        </w:tc>
        <w:tc>
          <w:tcPr>
            <w:tcW w:w="955" w:type="dxa"/>
            <w:tcBorders>
              <w:top w:val="nil"/>
              <w:bottom w:val="nil"/>
            </w:tcBorders>
            <w:shd w:val="clear" w:color="auto" w:fill="auto"/>
            <w:vAlign w:val="center"/>
          </w:tcPr>
          <w:p w14:paraId="5F722FF6" w14:textId="77777777" w:rsidR="008037B6" w:rsidRPr="008037B6" w:rsidRDefault="008037B6" w:rsidP="008037B6">
            <w:pPr>
              <w:spacing w:before="20" w:after="20"/>
              <w:ind w:right="170"/>
              <w:jc w:val="right"/>
              <w:rPr>
                <w:rFonts w:eastAsia="Times New Roman"/>
                <w:sz w:val="18"/>
                <w:szCs w:val="18"/>
                <w:lang w:val="es-ES"/>
              </w:rPr>
            </w:pPr>
            <w:r w:rsidRPr="008037B6">
              <w:rPr>
                <w:rFonts w:eastAsia="Times New Roman"/>
                <w:sz w:val="18"/>
                <w:szCs w:val="18"/>
                <w:lang w:val="es-ES"/>
              </w:rPr>
              <w:t>41.1</w:t>
            </w:r>
          </w:p>
        </w:tc>
      </w:tr>
      <w:tr w:rsidR="008037B6" w:rsidRPr="008037B6" w14:paraId="66E09240" w14:textId="77777777" w:rsidTr="008037B6">
        <w:trPr>
          <w:jc w:val="center"/>
        </w:trPr>
        <w:tc>
          <w:tcPr>
            <w:tcW w:w="946" w:type="dxa"/>
            <w:tcBorders>
              <w:top w:val="nil"/>
              <w:bottom w:val="nil"/>
            </w:tcBorders>
            <w:shd w:val="clear" w:color="auto" w:fill="auto"/>
          </w:tcPr>
          <w:p w14:paraId="2DC1ACBE" w14:textId="77777777" w:rsidR="008037B6" w:rsidRPr="008037B6" w:rsidRDefault="008037B6" w:rsidP="008037B6">
            <w:pPr>
              <w:spacing w:before="20" w:after="20"/>
              <w:jc w:val="center"/>
              <w:rPr>
                <w:rFonts w:eastAsia="Times New Roman"/>
                <w:sz w:val="18"/>
                <w:szCs w:val="18"/>
                <w:lang w:val="es-ES"/>
              </w:rPr>
            </w:pPr>
            <w:r w:rsidRPr="008037B6">
              <w:rPr>
                <w:rFonts w:eastAsia="Times New Roman"/>
                <w:sz w:val="18"/>
                <w:szCs w:val="18"/>
                <w:lang w:val="es-ES"/>
              </w:rPr>
              <w:t>6</w:t>
            </w:r>
          </w:p>
        </w:tc>
        <w:tc>
          <w:tcPr>
            <w:tcW w:w="1376" w:type="dxa"/>
            <w:tcBorders>
              <w:top w:val="nil"/>
              <w:bottom w:val="nil"/>
            </w:tcBorders>
            <w:shd w:val="clear" w:color="auto" w:fill="auto"/>
            <w:vAlign w:val="center"/>
          </w:tcPr>
          <w:p w14:paraId="7A0CCB0A" w14:textId="77777777" w:rsidR="008037B6" w:rsidRPr="008037B6" w:rsidRDefault="008037B6" w:rsidP="008037B6">
            <w:pPr>
              <w:spacing w:before="20" w:after="20"/>
              <w:rPr>
                <w:rFonts w:eastAsia="Times New Roman"/>
                <w:sz w:val="18"/>
                <w:szCs w:val="18"/>
                <w:lang w:val="es-ES"/>
              </w:rPr>
            </w:pPr>
            <w:r w:rsidRPr="008037B6">
              <w:rPr>
                <w:rFonts w:eastAsia="Times New Roman"/>
                <w:sz w:val="18"/>
                <w:szCs w:val="18"/>
                <w:lang w:val="es-ES"/>
              </w:rPr>
              <w:t>March</w:t>
            </w:r>
          </w:p>
        </w:tc>
        <w:tc>
          <w:tcPr>
            <w:tcW w:w="937" w:type="dxa"/>
            <w:tcBorders>
              <w:top w:val="nil"/>
              <w:bottom w:val="nil"/>
            </w:tcBorders>
            <w:shd w:val="clear" w:color="auto" w:fill="auto"/>
            <w:vAlign w:val="center"/>
          </w:tcPr>
          <w:p w14:paraId="57D62C8D" w14:textId="77777777" w:rsidR="008037B6" w:rsidRPr="008037B6" w:rsidRDefault="008037B6" w:rsidP="008037B6">
            <w:pPr>
              <w:spacing w:before="20" w:after="20"/>
              <w:jc w:val="center"/>
              <w:rPr>
                <w:rFonts w:eastAsia="Times New Roman"/>
                <w:sz w:val="18"/>
                <w:szCs w:val="18"/>
                <w:lang w:val="es-ES"/>
              </w:rPr>
            </w:pPr>
            <w:r w:rsidRPr="008037B6">
              <w:rPr>
                <w:rFonts w:eastAsia="Times New Roman"/>
                <w:sz w:val="18"/>
                <w:szCs w:val="18"/>
                <w:lang w:val="es-ES"/>
              </w:rPr>
              <w:t>Nissan</w:t>
            </w:r>
          </w:p>
        </w:tc>
        <w:tc>
          <w:tcPr>
            <w:tcW w:w="1561" w:type="dxa"/>
            <w:tcBorders>
              <w:top w:val="nil"/>
              <w:bottom w:val="nil"/>
            </w:tcBorders>
            <w:shd w:val="clear" w:color="auto" w:fill="auto"/>
            <w:vAlign w:val="center"/>
          </w:tcPr>
          <w:p w14:paraId="4E78090B" w14:textId="77777777" w:rsidR="008037B6" w:rsidRPr="008037B6" w:rsidRDefault="008037B6" w:rsidP="008037B6">
            <w:pPr>
              <w:spacing w:before="20" w:after="20"/>
              <w:jc w:val="center"/>
              <w:rPr>
                <w:rFonts w:eastAsia="Times New Roman"/>
                <w:sz w:val="18"/>
                <w:szCs w:val="18"/>
                <w:lang w:val="es-ES"/>
              </w:rPr>
            </w:pPr>
            <w:r w:rsidRPr="008037B6">
              <w:rPr>
                <w:rFonts w:eastAsia="Times New Roman"/>
                <w:sz w:val="18"/>
                <w:szCs w:val="18"/>
                <w:lang w:val="es-ES"/>
              </w:rPr>
              <w:t>Subcompactos</w:t>
            </w:r>
          </w:p>
        </w:tc>
        <w:tc>
          <w:tcPr>
            <w:tcW w:w="1097" w:type="dxa"/>
            <w:tcBorders>
              <w:top w:val="nil"/>
              <w:bottom w:val="nil"/>
            </w:tcBorders>
            <w:shd w:val="clear" w:color="auto" w:fill="auto"/>
          </w:tcPr>
          <w:p w14:paraId="6DFFD372" w14:textId="77777777" w:rsidR="008037B6" w:rsidRPr="008037B6" w:rsidRDefault="008037B6" w:rsidP="008037B6">
            <w:pPr>
              <w:spacing w:before="20" w:after="20"/>
              <w:ind w:left="-1080" w:right="156"/>
              <w:jc w:val="right"/>
              <w:rPr>
                <w:rFonts w:eastAsia="Times New Roman"/>
                <w:sz w:val="18"/>
                <w:szCs w:val="18"/>
                <w:lang w:val="es-ES"/>
              </w:rPr>
            </w:pPr>
            <w:r w:rsidRPr="008037B6">
              <w:rPr>
                <w:rFonts w:eastAsia="Times New Roman"/>
                <w:sz w:val="18"/>
                <w:szCs w:val="18"/>
                <w:lang w:val="es-ES"/>
              </w:rPr>
              <w:t>7 249</w:t>
            </w:r>
          </w:p>
        </w:tc>
        <w:tc>
          <w:tcPr>
            <w:tcW w:w="1059" w:type="dxa"/>
            <w:tcBorders>
              <w:top w:val="nil"/>
              <w:bottom w:val="nil"/>
            </w:tcBorders>
            <w:shd w:val="clear" w:color="auto" w:fill="auto"/>
          </w:tcPr>
          <w:p w14:paraId="0A5F9E33" w14:textId="77777777" w:rsidR="008037B6" w:rsidRPr="008037B6" w:rsidRDefault="008037B6" w:rsidP="008037B6">
            <w:pPr>
              <w:spacing w:before="20" w:after="20"/>
              <w:jc w:val="center"/>
              <w:rPr>
                <w:rFonts w:eastAsia="Times New Roman"/>
                <w:sz w:val="18"/>
                <w:szCs w:val="18"/>
                <w:lang w:val="es-ES"/>
              </w:rPr>
            </w:pPr>
            <w:r w:rsidRPr="008037B6">
              <w:rPr>
                <w:rFonts w:eastAsia="Times New Roman"/>
                <w:sz w:val="18"/>
                <w:szCs w:val="18"/>
                <w:lang w:val="es-ES"/>
              </w:rPr>
              <w:t>3.6</w:t>
            </w:r>
          </w:p>
        </w:tc>
        <w:tc>
          <w:tcPr>
            <w:tcW w:w="1097" w:type="dxa"/>
            <w:tcBorders>
              <w:top w:val="nil"/>
              <w:bottom w:val="nil"/>
            </w:tcBorders>
          </w:tcPr>
          <w:p w14:paraId="1144BFA8" w14:textId="77777777" w:rsidR="008037B6" w:rsidRPr="008037B6" w:rsidRDefault="008037B6" w:rsidP="008037B6">
            <w:pPr>
              <w:spacing w:before="20" w:after="20"/>
              <w:ind w:right="170"/>
              <w:jc w:val="right"/>
              <w:rPr>
                <w:rFonts w:eastAsia="Times New Roman"/>
                <w:sz w:val="18"/>
                <w:szCs w:val="18"/>
                <w:lang w:val="es-ES"/>
              </w:rPr>
            </w:pPr>
            <w:r w:rsidRPr="008037B6">
              <w:rPr>
                <w:rFonts w:eastAsia="Times New Roman"/>
                <w:sz w:val="18"/>
                <w:szCs w:val="18"/>
                <w:lang w:val="es-ES"/>
              </w:rPr>
              <w:t>2 866</w:t>
            </w:r>
          </w:p>
        </w:tc>
        <w:tc>
          <w:tcPr>
            <w:tcW w:w="955" w:type="dxa"/>
            <w:tcBorders>
              <w:top w:val="nil"/>
              <w:bottom w:val="nil"/>
            </w:tcBorders>
            <w:shd w:val="clear" w:color="auto" w:fill="auto"/>
            <w:vAlign w:val="center"/>
          </w:tcPr>
          <w:p w14:paraId="15793B31" w14:textId="77777777" w:rsidR="008037B6" w:rsidRPr="008037B6" w:rsidRDefault="008037B6" w:rsidP="008037B6">
            <w:pPr>
              <w:spacing w:before="20" w:after="20"/>
              <w:ind w:right="170"/>
              <w:jc w:val="right"/>
              <w:rPr>
                <w:rFonts w:eastAsia="Times New Roman"/>
                <w:sz w:val="18"/>
                <w:szCs w:val="18"/>
                <w:lang w:val="es-ES"/>
              </w:rPr>
            </w:pPr>
            <w:r w:rsidRPr="008037B6">
              <w:rPr>
                <w:rFonts w:eastAsia="Times New Roman"/>
                <w:sz w:val="18"/>
                <w:szCs w:val="18"/>
                <w:lang w:val="es-ES"/>
              </w:rPr>
              <w:t>65.4</w:t>
            </w:r>
          </w:p>
        </w:tc>
      </w:tr>
      <w:tr w:rsidR="008037B6" w:rsidRPr="008037B6" w14:paraId="5101A0D8" w14:textId="77777777" w:rsidTr="008037B6">
        <w:trPr>
          <w:jc w:val="center"/>
        </w:trPr>
        <w:tc>
          <w:tcPr>
            <w:tcW w:w="946" w:type="dxa"/>
            <w:tcBorders>
              <w:top w:val="nil"/>
              <w:bottom w:val="nil"/>
            </w:tcBorders>
            <w:shd w:val="clear" w:color="auto" w:fill="auto"/>
          </w:tcPr>
          <w:p w14:paraId="50579E14" w14:textId="77777777" w:rsidR="008037B6" w:rsidRPr="008037B6" w:rsidRDefault="008037B6" w:rsidP="008037B6">
            <w:pPr>
              <w:spacing w:before="20" w:after="20"/>
              <w:jc w:val="center"/>
              <w:rPr>
                <w:rFonts w:eastAsia="Times New Roman"/>
                <w:sz w:val="18"/>
                <w:szCs w:val="18"/>
                <w:lang w:val="es-ES"/>
              </w:rPr>
            </w:pPr>
            <w:r w:rsidRPr="008037B6">
              <w:rPr>
                <w:rFonts w:eastAsia="Times New Roman"/>
                <w:sz w:val="18"/>
                <w:szCs w:val="18"/>
                <w:lang w:val="es-ES"/>
              </w:rPr>
              <w:t>7</w:t>
            </w:r>
          </w:p>
        </w:tc>
        <w:tc>
          <w:tcPr>
            <w:tcW w:w="1376" w:type="dxa"/>
            <w:tcBorders>
              <w:top w:val="nil"/>
              <w:bottom w:val="nil"/>
            </w:tcBorders>
            <w:shd w:val="clear" w:color="auto" w:fill="auto"/>
            <w:vAlign w:val="center"/>
          </w:tcPr>
          <w:p w14:paraId="4C5856A2" w14:textId="77777777" w:rsidR="008037B6" w:rsidRPr="008037B6" w:rsidRDefault="008037B6" w:rsidP="008037B6">
            <w:pPr>
              <w:spacing w:before="20" w:after="20"/>
              <w:rPr>
                <w:rFonts w:eastAsia="Times New Roman"/>
                <w:sz w:val="18"/>
                <w:szCs w:val="18"/>
                <w:lang w:val="es-ES"/>
              </w:rPr>
            </w:pPr>
            <w:r w:rsidRPr="008037B6">
              <w:rPr>
                <w:rFonts w:eastAsia="Times New Roman"/>
                <w:sz w:val="18"/>
                <w:szCs w:val="18"/>
                <w:lang w:val="es-ES"/>
              </w:rPr>
              <w:t>Sentra 2.0</w:t>
            </w:r>
          </w:p>
        </w:tc>
        <w:tc>
          <w:tcPr>
            <w:tcW w:w="937" w:type="dxa"/>
            <w:tcBorders>
              <w:top w:val="nil"/>
              <w:bottom w:val="nil"/>
            </w:tcBorders>
            <w:shd w:val="clear" w:color="auto" w:fill="auto"/>
            <w:vAlign w:val="center"/>
          </w:tcPr>
          <w:p w14:paraId="740057DF" w14:textId="77777777" w:rsidR="008037B6" w:rsidRPr="008037B6" w:rsidRDefault="008037B6" w:rsidP="008037B6">
            <w:pPr>
              <w:spacing w:before="20" w:after="20"/>
              <w:jc w:val="center"/>
              <w:rPr>
                <w:rFonts w:eastAsia="Times New Roman"/>
                <w:sz w:val="18"/>
                <w:szCs w:val="18"/>
                <w:lang w:val="es-ES"/>
              </w:rPr>
            </w:pPr>
            <w:r w:rsidRPr="008037B6">
              <w:rPr>
                <w:rFonts w:eastAsia="Times New Roman"/>
                <w:sz w:val="18"/>
                <w:szCs w:val="18"/>
                <w:lang w:val="es-ES"/>
              </w:rPr>
              <w:t>Nissan</w:t>
            </w:r>
          </w:p>
        </w:tc>
        <w:tc>
          <w:tcPr>
            <w:tcW w:w="1561" w:type="dxa"/>
            <w:tcBorders>
              <w:top w:val="nil"/>
              <w:bottom w:val="nil"/>
            </w:tcBorders>
            <w:shd w:val="clear" w:color="auto" w:fill="auto"/>
            <w:vAlign w:val="center"/>
          </w:tcPr>
          <w:p w14:paraId="4C37E9BE" w14:textId="77777777" w:rsidR="008037B6" w:rsidRPr="008037B6" w:rsidRDefault="008037B6" w:rsidP="008037B6">
            <w:pPr>
              <w:spacing w:before="20" w:after="20"/>
              <w:jc w:val="center"/>
              <w:rPr>
                <w:rFonts w:eastAsia="Times New Roman"/>
                <w:sz w:val="18"/>
                <w:szCs w:val="18"/>
                <w:lang w:val="es-ES"/>
              </w:rPr>
            </w:pPr>
            <w:r w:rsidRPr="008037B6">
              <w:rPr>
                <w:rFonts w:eastAsia="Times New Roman"/>
                <w:sz w:val="18"/>
                <w:szCs w:val="18"/>
                <w:lang w:val="es-ES"/>
              </w:rPr>
              <w:t>Compactos</w:t>
            </w:r>
          </w:p>
        </w:tc>
        <w:tc>
          <w:tcPr>
            <w:tcW w:w="1097" w:type="dxa"/>
            <w:tcBorders>
              <w:top w:val="nil"/>
              <w:bottom w:val="nil"/>
            </w:tcBorders>
            <w:shd w:val="clear" w:color="auto" w:fill="auto"/>
          </w:tcPr>
          <w:p w14:paraId="180EEEE0" w14:textId="77777777" w:rsidR="008037B6" w:rsidRPr="008037B6" w:rsidRDefault="008037B6" w:rsidP="008037B6">
            <w:pPr>
              <w:spacing w:before="20" w:after="20"/>
              <w:ind w:left="-1080" w:right="156"/>
              <w:jc w:val="right"/>
              <w:rPr>
                <w:rFonts w:eastAsia="Times New Roman"/>
                <w:sz w:val="18"/>
                <w:szCs w:val="18"/>
                <w:lang w:val="es-ES"/>
              </w:rPr>
            </w:pPr>
            <w:r w:rsidRPr="008037B6">
              <w:rPr>
                <w:rFonts w:eastAsia="Times New Roman"/>
                <w:sz w:val="18"/>
                <w:szCs w:val="18"/>
                <w:lang w:val="es-ES"/>
              </w:rPr>
              <w:t>5 075</w:t>
            </w:r>
          </w:p>
        </w:tc>
        <w:tc>
          <w:tcPr>
            <w:tcW w:w="1059" w:type="dxa"/>
            <w:tcBorders>
              <w:top w:val="nil"/>
              <w:bottom w:val="nil"/>
            </w:tcBorders>
            <w:shd w:val="clear" w:color="auto" w:fill="auto"/>
          </w:tcPr>
          <w:p w14:paraId="0FEEBA7B" w14:textId="77777777" w:rsidR="008037B6" w:rsidRPr="008037B6" w:rsidRDefault="008037B6" w:rsidP="008037B6">
            <w:pPr>
              <w:spacing w:before="20" w:after="20"/>
              <w:jc w:val="center"/>
              <w:rPr>
                <w:rFonts w:eastAsia="Times New Roman"/>
                <w:sz w:val="18"/>
                <w:szCs w:val="18"/>
                <w:lang w:val="es-ES"/>
              </w:rPr>
            </w:pPr>
            <w:r w:rsidRPr="008037B6">
              <w:rPr>
                <w:rFonts w:eastAsia="Times New Roman"/>
                <w:sz w:val="18"/>
                <w:szCs w:val="18"/>
                <w:lang w:val="es-ES"/>
              </w:rPr>
              <w:t>2.5</w:t>
            </w:r>
          </w:p>
        </w:tc>
        <w:tc>
          <w:tcPr>
            <w:tcW w:w="1097" w:type="dxa"/>
            <w:tcBorders>
              <w:top w:val="nil"/>
              <w:bottom w:val="nil"/>
            </w:tcBorders>
          </w:tcPr>
          <w:p w14:paraId="5474AF83" w14:textId="77777777" w:rsidR="008037B6" w:rsidRPr="008037B6" w:rsidRDefault="008037B6" w:rsidP="008037B6">
            <w:pPr>
              <w:spacing w:before="20" w:after="20"/>
              <w:ind w:right="170"/>
              <w:jc w:val="right"/>
              <w:rPr>
                <w:rFonts w:eastAsia="Times New Roman"/>
                <w:sz w:val="18"/>
                <w:szCs w:val="18"/>
                <w:lang w:val="es-ES"/>
              </w:rPr>
            </w:pPr>
            <w:r w:rsidRPr="008037B6">
              <w:rPr>
                <w:rFonts w:eastAsia="Times New Roman"/>
                <w:sz w:val="18"/>
                <w:szCs w:val="18"/>
                <w:lang w:val="es-ES"/>
              </w:rPr>
              <w:t>1 097</w:t>
            </w:r>
          </w:p>
        </w:tc>
        <w:tc>
          <w:tcPr>
            <w:tcW w:w="955" w:type="dxa"/>
            <w:tcBorders>
              <w:top w:val="nil"/>
              <w:bottom w:val="nil"/>
            </w:tcBorders>
            <w:shd w:val="clear" w:color="auto" w:fill="auto"/>
            <w:vAlign w:val="center"/>
          </w:tcPr>
          <w:p w14:paraId="1B7E2296" w14:textId="77777777" w:rsidR="008037B6" w:rsidRPr="008037B6" w:rsidRDefault="008037B6" w:rsidP="008037B6">
            <w:pPr>
              <w:spacing w:before="20" w:after="20"/>
              <w:ind w:right="170"/>
              <w:jc w:val="right"/>
              <w:rPr>
                <w:rFonts w:eastAsia="Times New Roman"/>
                <w:sz w:val="18"/>
                <w:szCs w:val="18"/>
                <w:lang w:val="es-ES"/>
              </w:rPr>
            </w:pPr>
            <w:r w:rsidRPr="008037B6">
              <w:rPr>
                <w:rFonts w:eastAsia="Times New Roman"/>
                <w:sz w:val="18"/>
                <w:szCs w:val="18"/>
                <w:lang w:val="es-ES"/>
              </w:rPr>
              <w:t>27.6</w:t>
            </w:r>
          </w:p>
        </w:tc>
      </w:tr>
      <w:tr w:rsidR="008037B6" w:rsidRPr="008037B6" w14:paraId="2F4E269B" w14:textId="77777777" w:rsidTr="008037B6">
        <w:trPr>
          <w:jc w:val="center"/>
        </w:trPr>
        <w:tc>
          <w:tcPr>
            <w:tcW w:w="946" w:type="dxa"/>
            <w:tcBorders>
              <w:top w:val="nil"/>
              <w:bottom w:val="nil"/>
            </w:tcBorders>
            <w:shd w:val="clear" w:color="auto" w:fill="auto"/>
          </w:tcPr>
          <w:p w14:paraId="46845BD4" w14:textId="77777777" w:rsidR="008037B6" w:rsidRPr="008037B6" w:rsidRDefault="008037B6" w:rsidP="008037B6">
            <w:pPr>
              <w:spacing w:before="20" w:after="20"/>
              <w:jc w:val="center"/>
              <w:rPr>
                <w:rFonts w:eastAsia="Times New Roman"/>
                <w:sz w:val="18"/>
                <w:szCs w:val="18"/>
                <w:lang w:val="es-ES"/>
              </w:rPr>
            </w:pPr>
            <w:r w:rsidRPr="008037B6">
              <w:rPr>
                <w:rFonts w:eastAsia="Times New Roman"/>
                <w:sz w:val="18"/>
                <w:szCs w:val="18"/>
                <w:lang w:val="es-ES"/>
              </w:rPr>
              <w:t>8</w:t>
            </w:r>
          </w:p>
        </w:tc>
        <w:tc>
          <w:tcPr>
            <w:tcW w:w="1376" w:type="dxa"/>
            <w:tcBorders>
              <w:top w:val="nil"/>
              <w:bottom w:val="nil"/>
            </w:tcBorders>
            <w:shd w:val="clear" w:color="auto" w:fill="auto"/>
            <w:vAlign w:val="center"/>
          </w:tcPr>
          <w:p w14:paraId="5EC3BA4B" w14:textId="77777777" w:rsidR="008037B6" w:rsidRPr="008037B6" w:rsidRDefault="008037B6" w:rsidP="008037B6">
            <w:pPr>
              <w:spacing w:before="20" w:after="20"/>
              <w:rPr>
                <w:rFonts w:eastAsia="Times New Roman"/>
                <w:sz w:val="18"/>
                <w:szCs w:val="18"/>
                <w:lang w:val="es-ES"/>
              </w:rPr>
            </w:pPr>
            <w:r w:rsidRPr="008037B6">
              <w:rPr>
                <w:rFonts w:eastAsia="Times New Roman"/>
                <w:sz w:val="18"/>
                <w:szCs w:val="18"/>
                <w:lang w:val="es-ES"/>
              </w:rPr>
              <w:t>Nuevo Jetta</w:t>
            </w:r>
          </w:p>
        </w:tc>
        <w:tc>
          <w:tcPr>
            <w:tcW w:w="937" w:type="dxa"/>
            <w:tcBorders>
              <w:top w:val="nil"/>
              <w:bottom w:val="nil"/>
            </w:tcBorders>
            <w:shd w:val="clear" w:color="auto" w:fill="auto"/>
            <w:vAlign w:val="center"/>
          </w:tcPr>
          <w:p w14:paraId="15CEA6C4" w14:textId="77777777" w:rsidR="008037B6" w:rsidRPr="008037B6" w:rsidRDefault="008037B6" w:rsidP="008037B6">
            <w:pPr>
              <w:spacing w:before="20" w:after="20"/>
              <w:jc w:val="center"/>
              <w:rPr>
                <w:rFonts w:eastAsia="Times New Roman"/>
                <w:sz w:val="18"/>
                <w:szCs w:val="18"/>
                <w:lang w:val="es-ES"/>
              </w:rPr>
            </w:pPr>
            <w:r w:rsidRPr="008037B6">
              <w:rPr>
                <w:rFonts w:eastAsia="Times New Roman"/>
                <w:sz w:val="18"/>
                <w:szCs w:val="18"/>
                <w:lang w:val="es-ES"/>
              </w:rPr>
              <w:t>VW</w:t>
            </w:r>
          </w:p>
        </w:tc>
        <w:tc>
          <w:tcPr>
            <w:tcW w:w="1561" w:type="dxa"/>
            <w:tcBorders>
              <w:top w:val="nil"/>
              <w:bottom w:val="nil"/>
            </w:tcBorders>
            <w:shd w:val="clear" w:color="auto" w:fill="auto"/>
            <w:vAlign w:val="center"/>
          </w:tcPr>
          <w:p w14:paraId="33E066AD" w14:textId="77777777" w:rsidR="008037B6" w:rsidRPr="008037B6" w:rsidRDefault="008037B6" w:rsidP="008037B6">
            <w:pPr>
              <w:spacing w:before="20" w:after="20"/>
              <w:jc w:val="center"/>
              <w:rPr>
                <w:rFonts w:eastAsia="Times New Roman"/>
                <w:sz w:val="18"/>
                <w:szCs w:val="18"/>
                <w:lang w:val="es-ES"/>
              </w:rPr>
            </w:pPr>
            <w:r w:rsidRPr="008037B6">
              <w:rPr>
                <w:rFonts w:eastAsia="Times New Roman"/>
                <w:sz w:val="18"/>
                <w:szCs w:val="18"/>
                <w:lang w:val="es-ES"/>
              </w:rPr>
              <w:t>Compactos</w:t>
            </w:r>
          </w:p>
        </w:tc>
        <w:tc>
          <w:tcPr>
            <w:tcW w:w="1097" w:type="dxa"/>
            <w:tcBorders>
              <w:top w:val="nil"/>
              <w:bottom w:val="nil"/>
            </w:tcBorders>
            <w:shd w:val="clear" w:color="auto" w:fill="auto"/>
          </w:tcPr>
          <w:p w14:paraId="42CFBA89" w14:textId="77777777" w:rsidR="008037B6" w:rsidRPr="008037B6" w:rsidRDefault="008037B6" w:rsidP="008037B6">
            <w:pPr>
              <w:spacing w:before="20" w:after="20"/>
              <w:ind w:left="-1080" w:right="156"/>
              <w:jc w:val="right"/>
              <w:rPr>
                <w:rFonts w:eastAsia="Times New Roman"/>
                <w:sz w:val="18"/>
                <w:szCs w:val="18"/>
                <w:lang w:val="es-ES"/>
              </w:rPr>
            </w:pPr>
            <w:r w:rsidRPr="008037B6">
              <w:rPr>
                <w:rFonts w:eastAsia="Times New Roman"/>
                <w:sz w:val="18"/>
                <w:szCs w:val="18"/>
                <w:lang w:val="es-ES"/>
              </w:rPr>
              <w:t>4 659</w:t>
            </w:r>
          </w:p>
        </w:tc>
        <w:tc>
          <w:tcPr>
            <w:tcW w:w="1059" w:type="dxa"/>
            <w:tcBorders>
              <w:top w:val="nil"/>
              <w:bottom w:val="nil"/>
            </w:tcBorders>
            <w:shd w:val="clear" w:color="auto" w:fill="auto"/>
          </w:tcPr>
          <w:p w14:paraId="363402BF" w14:textId="77777777" w:rsidR="008037B6" w:rsidRPr="008037B6" w:rsidRDefault="008037B6" w:rsidP="008037B6">
            <w:pPr>
              <w:spacing w:before="20" w:after="20"/>
              <w:jc w:val="center"/>
              <w:rPr>
                <w:rFonts w:eastAsia="Times New Roman"/>
                <w:sz w:val="18"/>
                <w:szCs w:val="18"/>
                <w:lang w:val="es-ES"/>
              </w:rPr>
            </w:pPr>
            <w:r w:rsidRPr="008037B6">
              <w:rPr>
                <w:rFonts w:eastAsia="Times New Roman"/>
                <w:sz w:val="18"/>
                <w:szCs w:val="18"/>
                <w:lang w:val="es-ES"/>
              </w:rPr>
              <w:t>2.3</w:t>
            </w:r>
          </w:p>
        </w:tc>
        <w:tc>
          <w:tcPr>
            <w:tcW w:w="1097" w:type="dxa"/>
            <w:tcBorders>
              <w:top w:val="nil"/>
              <w:bottom w:val="nil"/>
            </w:tcBorders>
          </w:tcPr>
          <w:p w14:paraId="045A1F39" w14:textId="77777777" w:rsidR="008037B6" w:rsidRPr="008037B6" w:rsidRDefault="008037B6" w:rsidP="008037B6">
            <w:pPr>
              <w:spacing w:before="20" w:after="20"/>
              <w:ind w:right="170"/>
              <w:jc w:val="right"/>
              <w:rPr>
                <w:rFonts w:eastAsia="Times New Roman"/>
                <w:sz w:val="18"/>
                <w:szCs w:val="18"/>
                <w:lang w:val="es-ES"/>
              </w:rPr>
            </w:pPr>
            <w:r w:rsidRPr="008037B6">
              <w:rPr>
                <w:rFonts w:eastAsia="Times New Roman"/>
                <w:sz w:val="18"/>
                <w:szCs w:val="18"/>
                <w:lang w:val="es-ES"/>
              </w:rPr>
              <w:t>-846</w:t>
            </w:r>
          </w:p>
        </w:tc>
        <w:tc>
          <w:tcPr>
            <w:tcW w:w="955" w:type="dxa"/>
            <w:tcBorders>
              <w:top w:val="nil"/>
              <w:bottom w:val="nil"/>
            </w:tcBorders>
            <w:shd w:val="clear" w:color="auto" w:fill="auto"/>
            <w:vAlign w:val="center"/>
          </w:tcPr>
          <w:p w14:paraId="106C8C46" w14:textId="77777777" w:rsidR="008037B6" w:rsidRPr="008037B6" w:rsidRDefault="008037B6" w:rsidP="008037B6">
            <w:pPr>
              <w:spacing w:before="20" w:after="20"/>
              <w:ind w:right="170"/>
              <w:jc w:val="right"/>
              <w:rPr>
                <w:rFonts w:eastAsia="Times New Roman"/>
                <w:sz w:val="18"/>
                <w:szCs w:val="18"/>
                <w:lang w:val="es-ES"/>
              </w:rPr>
            </w:pPr>
            <w:r w:rsidRPr="008037B6">
              <w:rPr>
                <w:rFonts w:eastAsia="Times New Roman"/>
                <w:sz w:val="18"/>
                <w:szCs w:val="18"/>
                <w:lang w:val="es-ES"/>
              </w:rPr>
              <w:t>-15.4</w:t>
            </w:r>
          </w:p>
        </w:tc>
      </w:tr>
      <w:tr w:rsidR="008037B6" w:rsidRPr="008037B6" w14:paraId="013D9F4F" w14:textId="77777777" w:rsidTr="008037B6">
        <w:trPr>
          <w:jc w:val="center"/>
        </w:trPr>
        <w:tc>
          <w:tcPr>
            <w:tcW w:w="946" w:type="dxa"/>
            <w:tcBorders>
              <w:top w:val="nil"/>
              <w:bottom w:val="nil"/>
            </w:tcBorders>
            <w:shd w:val="clear" w:color="auto" w:fill="auto"/>
          </w:tcPr>
          <w:p w14:paraId="642BE598" w14:textId="77777777" w:rsidR="008037B6" w:rsidRPr="008037B6" w:rsidRDefault="008037B6" w:rsidP="008037B6">
            <w:pPr>
              <w:spacing w:before="20" w:after="20"/>
              <w:jc w:val="center"/>
              <w:rPr>
                <w:rFonts w:eastAsia="Times New Roman"/>
                <w:sz w:val="18"/>
                <w:szCs w:val="18"/>
                <w:lang w:val="es-ES"/>
              </w:rPr>
            </w:pPr>
            <w:r w:rsidRPr="008037B6">
              <w:rPr>
                <w:rFonts w:eastAsia="Times New Roman"/>
                <w:sz w:val="18"/>
                <w:szCs w:val="18"/>
                <w:lang w:val="es-ES"/>
              </w:rPr>
              <w:t>9</w:t>
            </w:r>
          </w:p>
        </w:tc>
        <w:tc>
          <w:tcPr>
            <w:tcW w:w="1376" w:type="dxa"/>
            <w:tcBorders>
              <w:top w:val="nil"/>
              <w:bottom w:val="nil"/>
            </w:tcBorders>
            <w:shd w:val="clear" w:color="auto" w:fill="auto"/>
            <w:vAlign w:val="center"/>
          </w:tcPr>
          <w:p w14:paraId="0313D788" w14:textId="77777777" w:rsidR="008037B6" w:rsidRPr="008037B6" w:rsidRDefault="008037B6" w:rsidP="008037B6">
            <w:pPr>
              <w:spacing w:before="20" w:after="20"/>
              <w:rPr>
                <w:rFonts w:eastAsia="Times New Roman"/>
                <w:sz w:val="18"/>
                <w:szCs w:val="18"/>
                <w:lang w:val="es-ES"/>
              </w:rPr>
            </w:pPr>
            <w:r w:rsidRPr="008037B6">
              <w:rPr>
                <w:rFonts w:eastAsia="Times New Roman"/>
                <w:sz w:val="18"/>
                <w:szCs w:val="18"/>
                <w:lang w:val="es-ES"/>
              </w:rPr>
              <w:t>Matiz</w:t>
            </w:r>
          </w:p>
        </w:tc>
        <w:tc>
          <w:tcPr>
            <w:tcW w:w="937" w:type="dxa"/>
            <w:tcBorders>
              <w:top w:val="nil"/>
              <w:bottom w:val="nil"/>
            </w:tcBorders>
            <w:shd w:val="clear" w:color="auto" w:fill="auto"/>
            <w:vAlign w:val="center"/>
          </w:tcPr>
          <w:p w14:paraId="2B4031AF" w14:textId="77777777" w:rsidR="008037B6" w:rsidRPr="008037B6" w:rsidRDefault="008037B6" w:rsidP="008037B6">
            <w:pPr>
              <w:spacing w:before="20" w:after="20"/>
              <w:jc w:val="center"/>
              <w:rPr>
                <w:rFonts w:eastAsia="Times New Roman"/>
                <w:sz w:val="18"/>
                <w:szCs w:val="18"/>
                <w:lang w:val="es-ES"/>
              </w:rPr>
            </w:pPr>
            <w:r w:rsidRPr="008037B6">
              <w:rPr>
                <w:rFonts w:eastAsia="Times New Roman"/>
                <w:sz w:val="18"/>
                <w:szCs w:val="18"/>
                <w:lang w:val="es-ES"/>
              </w:rPr>
              <w:t>GM</w:t>
            </w:r>
          </w:p>
        </w:tc>
        <w:tc>
          <w:tcPr>
            <w:tcW w:w="1561" w:type="dxa"/>
            <w:tcBorders>
              <w:top w:val="nil"/>
              <w:bottom w:val="nil"/>
            </w:tcBorders>
            <w:shd w:val="clear" w:color="auto" w:fill="auto"/>
            <w:vAlign w:val="center"/>
          </w:tcPr>
          <w:p w14:paraId="58BEBFAC" w14:textId="77777777" w:rsidR="008037B6" w:rsidRPr="008037B6" w:rsidRDefault="008037B6" w:rsidP="008037B6">
            <w:pPr>
              <w:spacing w:before="20" w:after="20"/>
              <w:jc w:val="center"/>
              <w:rPr>
                <w:rFonts w:eastAsia="Times New Roman"/>
                <w:sz w:val="18"/>
                <w:szCs w:val="18"/>
                <w:lang w:val="es-ES"/>
              </w:rPr>
            </w:pPr>
            <w:r w:rsidRPr="008037B6">
              <w:rPr>
                <w:rFonts w:eastAsia="Times New Roman"/>
                <w:sz w:val="18"/>
                <w:szCs w:val="18"/>
                <w:lang w:val="es-ES"/>
              </w:rPr>
              <w:t>Subcompactos</w:t>
            </w:r>
          </w:p>
        </w:tc>
        <w:tc>
          <w:tcPr>
            <w:tcW w:w="1097" w:type="dxa"/>
            <w:tcBorders>
              <w:top w:val="nil"/>
              <w:bottom w:val="nil"/>
            </w:tcBorders>
            <w:shd w:val="clear" w:color="auto" w:fill="auto"/>
          </w:tcPr>
          <w:p w14:paraId="28CC03B3" w14:textId="77777777" w:rsidR="008037B6" w:rsidRPr="008037B6" w:rsidRDefault="008037B6" w:rsidP="008037B6">
            <w:pPr>
              <w:spacing w:before="20" w:after="20"/>
              <w:ind w:left="-1080" w:right="156"/>
              <w:jc w:val="right"/>
              <w:rPr>
                <w:rFonts w:eastAsia="Times New Roman"/>
                <w:sz w:val="18"/>
                <w:szCs w:val="18"/>
                <w:lang w:val="es-ES"/>
              </w:rPr>
            </w:pPr>
            <w:r w:rsidRPr="008037B6">
              <w:rPr>
                <w:rFonts w:eastAsia="Times New Roman"/>
                <w:sz w:val="18"/>
                <w:szCs w:val="18"/>
                <w:lang w:val="es-ES"/>
              </w:rPr>
              <w:t>4 456</w:t>
            </w:r>
          </w:p>
        </w:tc>
        <w:tc>
          <w:tcPr>
            <w:tcW w:w="1059" w:type="dxa"/>
            <w:tcBorders>
              <w:top w:val="nil"/>
              <w:bottom w:val="nil"/>
            </w:tcBorders>
            <w:shd w:val="clear" w:color="auto" w:fill="auto"/>
          </w:tcPr>
          <w:p w14:paraId="35B6B82E" w14:textId="77777777" w:rsidR="008037B6" w:rsidRPr="008037B6" w:rsidRDefault="008037B6" w:rsidP="008037B6">
            <w:pPr>
              <w:spacing w:before="20" w:after="20"/>
              <w:jc w:val="center"/>
              <w:rPr>
                <w:rFonts w:eastAsia="Times New Roman"/>
                <w:sz w:val="18"/>
                <w:szCs w:val="18"/>
                <w:lang w:val="es-ES"/>
              </w:rPr>
            </w:pPr>
            <w:r w:rsidRPr="008037B6">
              <w:rPr>
                <w:rFonts w:eastAsia="Times New Roman"/>
                <w:sz w:val="18"/>
                <w:szCs w:val="18"/>
                <w:lang w:val="es-ES"/>
              </w:rPr>
              <w:t>2.2</w:t>
            </w:r>
          </w:p>
        </w:tc>
        <w:tc>
          <w:tcPr>
            <w:tcW w:w="1097" w:type="dxa"/>
            <w:tcBorders>
              <w:top w:val="nil"/>
              <w:bottom w:val="nil"/>
            </w:tcBorders>
          </w:tcPr>
          <w:p w14:paraId="3DC4817F" w14:textId="77777777" w:rsidR="008037B6" w:rsidRPr="008037B6" w:rsidRDefault="008037B6" w:rsidP="008037B6">
            <w:pPr>
              <w:spacing w:before="20" w:after="20"/>
              <w:ind w:right="170"/>
              <w:jc w:val="right"/>
              <w:rPr>
                <w:rFonts w:eastAsia="Times New Roman"/>
                <w:sz w:val="18"/>
                <w:szCs w:val="18"/>
                <w:lang w:val="es-ES"/>
              </w:rPr>
            </w:pPr>
            <w:r w:rsidRPr="008037B6">
              <w:rPr>
                <w:rFonts w:eastAsia="Times New Roman"/>
                <w:sz w:val="18"/>
                <w:szCs w:val="18"/>
                <w:lang w:val="es-ES"/>
              </w:rPr>
              <w:t>3 000</w:t>
            </w:r>
          </w:p>
        </w:tc>
        <w:tc>
          <w:tcPr>
            <w:tcW w:w="955" w:type="dxa"/>
            <w:tcBorders>
              <w:top w:val="nil"/>
              <w:bottom w:val="nil"/>
            </w:tcBorders>
            <w:shd w:val="clear" w:color="auto" w:fill="auto"/>
            <w:vAlign w:val="center"/>
          </w:tcPr>
          <w:p w14:paraId="36A8B53C" w14:textId="77777777" w:rsidR="008037B6" w:rsidRPr="008037B6" w:rsidRDefault="008037B6" w:rsidP="008037B6">
            <w:pPr>
              <w:spacing w:before="20" w:after="20"/>
              <w:ind w:right="170"/>
              <w:jc w:val="right"/>
              <w:rPr>
                <w:rFonts w:eastAsia="Times New Roman"/>
                <w:sz w:val="18"/>
                <w:szCs w:val="18"/>
                <w:lang w:val="es-ES"/>
              </w:rPr>
            </w:pPr>
            <w:r w:rsidRPr="008037B6">
              <w:rPr>
                <w:rFonts w:eastAsia="Times New Roman"/>
                <w:sz w:val="18"/>
                <w:szCs w:val="18"/>
                <w:lang w:val="es-ES"/>
              </w:rPr>
              <w:t>206.0</w:t>
            </w:r>
          </w:p>
        </w:tc>
      </w:tr>
      <w:tr w:rsidR="008037B6" w:rsidRPr="008037B6" w14:paraId="36151A63" w14:textId="77777777" w:rsidTr="008037B6">
        <w:trPr>
          <w:jc w:val="center"/>
        </w:trPr>
        <w:tc>
          <w:tcPr>
            <w:tcW w:w="946" w:type="dxa"/>
            <w:tcBorders>
              <w:top w:val="nil"/>
              <w:bottom w:val="single" w:sz="4" w:space="0" w:color="auto"/>
            </w:tcBorders>
            <w:shd w:val="clear" w:color="auto" w:fill="auto"/>
          </w:tcPr>
          <w:p w14:paraId="34154B61" w14:textId="77777777" w:rsidR="008037B6" w:rsidRPr="008037B6" w:rsidRDefault="008037B6" w:rsidP="008037B6">
            <w:pPr>
              <w:spacing w:before="20" w:after="20"/>
              <w:jc w:val="center"/>
              <w:rPr>
                <w:rFonts w:eastAsia="Times New Roman"/>
                <w:sz w:val="18"/>
                <w:szCs w:val="18"/>
                <w:lang w:val="es-ES"/>
              </w:rPr>
            </w:pPr>
            <w:r w:rsidRPr="008037B6">
              <w:rPr>
                <w:rFonts w:eastAsia="Times New Roman"/>
                <w:sz w:val="18"/>
                <w:szCs w:val="18"/>
                <w:lang w:val="es-ES"/>
              </w:rPr>
              <w:t>10</w:t>
            </w:r>
          </w:p>
        </w:tc>
        <w:tc>
          <w:tcPr>
            <w:tcW w:w="1376" w:type="dxa"/>
            <w:tcBorders>
              <w:top w:val="nil"/>
              <w:bottom w:val="single" w:sz="4" w:space="0" w:color="auto"/>
            </w:tcBorders>
            <w:shd w:val="clear" w:color="auto" w:fill="auto"/>
            <w:vAlign w:val="center"/>
          </w:tcPr>
          <w:p w14:paraId="2FF98C20" w14:textId="77777777" w:rsidR="008037B6" w:rsidRPr="008037B6" w:rsidRDefault="008037B6" w:rsidP="008037B6">
            <w:pPr>
              <w:spacing w:before="20" w:after="20"/>
              <w:rPr>
                <w:rFonts w:eastAsia="Times New Roman"/>
                <w:sz w:val="18"/>
                <w:szCs w:val="18"/>
                <w:lang w:val="es-ES"/>
              </w:rPr>
            </w:pPr>
            <w:r w:rsidRPr="008037B6">
              <w:rPr>
                <w:rFonts w:eastAsia="Times New Roman"/>
                <w:sz w:val="18"/>
                <w:szCs w:val="18"/>
                <w:lang w:val="es-ES"/>
              </w:rPr>
              <w:t>Chasis largo</w:t>
            </w:r>
          </w:p>
        </w:tc>
        <w:tc>
          <w:tcPr>
            <w:tcW w:w="937" w:type="dxa"/>
            <w:tcBorders>
              <w:top w:val="nil"/>
              <w:bottom w:val="single" w:sz="4" w:space="0" w:color="auto"/>
            </w:tcBorders>
            <w:shd w:val="clear" w:color="auto" w:fill="auto"/>
            <w:vAlign w:val="center"/>
          </w:tcPr>
          <w:p w14:paraId="13817C56" w14:textId="77777777" w:rsidR="008037B6" w:rsidRPr="008037B6" w:rsidRDefault="008037B6" w:rsidP="008037B6">
            <w:pPr>
              <w:spacing w:before="20" w:after="20"/>
              <w:jc w:val="center"/>
              <w:rPr>
                <w:rFonts w:eastAsia="Times New Roman"/>
                <w:sz w:val="18"/>
                <w:szCs w:val="18"/>
                <w:lang w:val="es-ES"/>
              </w:rPr>
            </w:pPr>
            <w:r w:rsidRPr="008037B6">
              <w:rPr>
                <w:rFonts w:eastAsia="Times New Roman"/>
                <w:sz w:val="18"/>
                <w:szCs w:val="18"/>
                <w:lang w:val="es-ES"/>
              </w:rPr>
              <w:t>Nissan</w:t>
            </w:r>
          </w:p>
        </w:tc>
        <w:tc>
          <w:tcPr>
            <w:tcW w:w="1561" w:type="dxa"/>
            <w:tcBorders>
              <w:top w:val="nil"/>
              <w:bottom w:val="single" w:sz="4" w:space="0" w:color="auto"/>
            </w:tcBorders>
            <w:shd w:val="clear" w:color="auto" w:fill="auto"/>
            <w:vAlign w:val="center"/>
          </w:tcPr>
          <w:p w14:paraId="698B9CC2" w14:textId="77777777" w:rsidR="008037B6" w:rsidRPr="008037B6" w:rsidRDefault="008037B6" w:rsidP="008037B6">
            <w:pPr>
              <w:spacing w:before="20" w:after="20"/>
              <w:jc w:val="center"/>
              <w:rPr>
                <w:rFonts w:eastAsia="Times New Roman"/>
                <w:sz w:val="18"/>
                <w:szCs w:val="18"/>
                <w:lang w:val="es-ES"/>
              </w:rPr>
            </w:pPr>
            <w:r w:rsidRPr="008037B6">
              <w:rPr>
                <w:rFonts w:eastAsia="Times New Roman"/>
                <w:sz w:val="18"/>
                <w:szCs w:val="18"/>
                <w:lang w:val="es-ES"/>
              </w:rPr>
              <w:t>Camiones ligeros</w:t>
            </w:r>
          </w:p>
        </w:tc>
        <w:tc>
          <w:tcPr>
            <w:tcW w:w="1097" w:type="dxa"/>
            <w:tcBorders>
              <w:top w:val="nil"/>
              <w:bottom w:val="single" w:sz="4" w:space="0" w:color="auto"/>
            </w:tcBorders>
            <w:shd w:val="clear" w:color="auto" w:fill="auto"/>
          </w:tcPr>
          <w:p w14:paraId="2C09B8CC" w14:textId="77777777" w:rsidR="008037B6" w:rsidRPr="008037B6" w:rsidRDefault="008037B6" w:rsidP="008037B6">
            <w:pPr>
              <w:spacing w:before="20" w:after="20"/>
              <w:ind w:left="-1080" w:right="156"/>
              <w:jc w:val="right"/>
              <w:rPr>
                <w:rFonts w:eastAsia="Times New Roman"/>
                <w:sz w:val="18"/>
                <w:szCs w:val="18"/>
                <w:lang w:val="es-ES"/>
              </w:rPr>
            </w:pPr>
            <w:r w:rsidRPr="008037B6">
              <w:rPr>
                <w:rFonts w:eastAsia="Times New Roman"/>
                <w:sz w:val="18"/>
                <w:szCs w:val="18"/>
                <w:lang w:val="es-ES"/>
              </w:rPr>
              <w:t>4 357</w:t>
            </w:r>
          </w:p>
        </w:tc>
        <w:tc>
          <w:tcPr>
            <w:tcW w:w="1059" w:type="dxa"/>
            <w:tcBorders>
              <w:top w:val="nil"/>
              <w:bottom w:val="single" w:sz="4" w:space="0" w:color="auto"/>
            </w:tcBorders>
            <w:shd w:val="clear" w:color="auto" w:fill="auto"/>
          </w:tcPr>
          <w:p w14:paraId="0C034513" w14:textId="77777777" w:rsidR="008037B6" w:rsidRPr="008037B6" w:rsidRDefault="008037B6" w:rsidP="008037B6">
            <w:pPr>
              <w:spacing w:before="20" w:after="20"/>
              <w:jc w:val="center"/>
              <w:rPr>
                <w:rFonts w:eastAsia="Times New Roman"/>
                <w:sz w:val="18"/>
                <w:szCs w:val="18"/>
                <w:lang w:val="es-ES"/>
              </w:rPr>
            </w:pPr>
            <w:r w:rsidRPr="008037B6">
              <w:rPr>
                <w:rFonts w:eastAsia="Times New Roman"/>
                <w:sz w:val="18"/>
                <w:szCs w:val="18"/>
                <w:lang w:val="es-ES"/>
              </w:rPr>
              <w:t>2.2</w:t>
            </w:r>
          </w:p>
        </w:tc>
        <w:tc>
          <w:tcPr>
            <w:tcW w:w="1097" w:type="dxa"/>
            <w:tcBorders>
              <w:top w:val="nil"/>
              <w:bottom w:val="single" w:sz="4" w:space="0" w:color="auto"/>
            </w:tcBorders>
          </w:tcPr>
          <w:p w14:paraId="747DB102" w14:textId="77777777" w:rsidR="008037B6" w:rsidRPr="008037B6" w:rsidRDefault="008037B6" w:rsidP="008037B6">
            <w:pPr>
              <w:spacing w:before="20" w:after="20"/>
              <w:ind w:right="170"/>
              <w:jc w:val="right"/>
              <w:rPr>
                <w:rFonts w:eastAsia="Times New Roman"/>
                <w:sz w:val="18"/>
                <w:szCs w:val="18"/>
                <w:lang w:val="es-ES"/>
              </w:rPr>
            </w:pPr>
            <w:r w:rsidRPr="008037B6">
              <w:rPr>
                <w:rFonts w:eastAsia="Times New Roman"/>
                <w:sz w:val="18"/>
                <w:szCs w:val="18"/>
                <w:lang w:val="es-ES"/>
              </w:rPr>
              <w:t>528</w:t>
            </w:r>
          </w:p>
        </w:tc>
        <w:tc>
          <w:tcPr>
            <w:tcW w:w="955" w:type="dxa"/>
            <w:tcBorders>
              <w:top w:val="nil"/>
              <w:bottom w:val="single" w:sz="4" w:space="0" w:color="auto"/>
            </w:tcBorders>
            <w:shd w:val="clear" w:color="auto" w:fill="auto"/>
            <w:vAlign w:val="center"/>
          </w:tcPr>
          <w:p w14:paraId="14FC8208" w14:textId="77777777" w:rsidR="008037B6" w:rsidRPr="008037B6" w:rsidRDefault="008037B6" w:rsidP="008037B6">
            <w:pPr>
              <w:spacing w:before="20" w:after="20"/>
              <w:ind w:right="170"/>
              <w:jc w:val="right"/>
              <w:rPr>
                <w:rFonts w:eastAsia="Times New Roman"/>
                <w:sz w:val="18"/>
                <w:szCs w:val="18"/>
                <w:lang w:val="es-ES"/>
              </w:rPr>
            </w:pPr>
            <w:r w:rsidRPr="008037B6">
              <w:rPr>
                <w:rFonts w:eastAsia="Times New Roman"/>
                <w:sz w:val="18"/>
                <w:szCs w:val="18"/>
                <w:lang w:val="es-ES"/>
              </w:rPr>
              <w:t>13.8</w:t>
            </w:r>
          </w:p>
        </w:tc>
      </w:tr>
      <w:tr w:rsidR="008037B6" w:rsidRPr="008037B6" w14:paraId="02703C92" w14:textId="77777777" w:rsidTr="004F1C40">
        <w:trPr>
          <w:jc w:val="center"/>
        </w:trPr>
        <w:tc>
          <w:tcPr>
            <w:tcW w:w="9028" w:type="dxa"/>
            <w:gridSpan w:val="8"/>
            <w:tcBorders>
              <w:left w:val="nil"/>
              <w:bottom w:val="nil"/>
              <w:right w:val="nil"/>
            </w:tcBorders>
          </w:tcPr>
          <w:p w14:paraId="62A22B9E" w14:textId="77777777" w:rsidR="008037B6" w:rsidRPr="008037B6" w:rsidRDefault="008037B6" w:rsidP="008037B6">
            <w:pPr>
              <w:rPr>
                <w:rFonts w:eastAsia="Times New Roman"/>
                <w:bCs/>
                <w:sz w:val="20"/>
                <w:szCs w:val="20"/>
                <w:lang w:val="es-ES"/>
              </w:rPr>
            </w:pPr>
            <w:r w:rsidRPr="008037B6">
              <w:rPr>
                <w:rFonts w:eastAsia="Times New Roman"/>
                <w:bCs/>
                <w:sz w:val="20"/>
                <w:szCs w:val="20"/>
                <w:lang w:val="es-ES"/>
              </w:rPr>
              <w:t>FUENTE: AMDA con información de AMIA.</w:t>
            </w:r>
          </w:p>
        </w:tc>
      </w:tr>
    </w:tbl>
    <w:p w14:paraId="26D05D4B" w14:textId="77777777" w:rsidR="008037B6" w:rsidRPr="008037B6" w:rsidRDefault="008037B6" w:rsidP="008037B6">
      <w:pPr>
        <w:spacing w:after="360" w:line="360" w:lineRule="auto"/>
        <w:ind w:right="-159"/>
        <w:rPr>
          <w:rFonts w:eastAsia="Times New Roman"/>
          <w:bCs/>
          <w:sz w:val="26"/>
          <w:szCs w:val="26"/>
          <w:lang w:val="es-ES"/>
        </w:rPr>
      </w:pPr>
    </w:p>
    <w:p w14:paraId="2297DF31" w14:textId="77777777" w:rsidR="008037B6" w:rsidRPr="008037B6" w:rsidRDefault="008037B6" w:rsidP="008037B6">
      <w:pPr>
        <w:spacing w:after="360" w:line="360" w:lineRule="auto"/>
        <w:ind w:right="-159"/>
        <w:jc w:val="both"/>
        <w:rPr>
          <w:rFonts w:eastAsia="Times New Roman"/>
          <w:bCs/>
          <w:sz w:val="26"/>
          <w:szCs w:val="26"/>
          <w:lang w:val="es-ES"/>
        </w:rPr>
      </w:pPr>
      <w:r w:rsidRPr="008037B6">
        <w:rPr>
          <w:rFonts w:eastAsia="Times New Roman"/>
          <w:bCs/>
          <w:sz w:val="26"/>
          <w:szCs w:val="26"/>
          <w:lang w:val="es-ES"/>
        </w:rPr>
        <w:lastRenderedPageBreak/>
        <w:t>Los diez modelos de mayor venta en el mercado mexicano durante los meses de enero a febrero de 2015 acumularon 72 mil 644 unidades, lo que significa una cobertura del 36.1% del total de vehículos ligeros comercializados en el lapso de referencia.</w:t>
      </w:r>
    </w:p>
    <w:p w14:paraId="375A1638" w14:textId="77777777" w:rsidR="008037B6" w:rsidRPr="008037B6" w:rsidRDefault="008037B6" w:rsidP="008037B6">
      <w:pPr>
        <w:spacing w:after="360" w:line="360" w:lineRule="auto"/>
        <w:ind w:right="-159"/>
        <w:jc w:val="both"/>
        <w:rPr>
          <w:rFonts w:eastAsia="Times New Roman"/>
          <w:bCs/>
          <w:sz w:val="26"/>
          <w:szCs w:val="26"/>
          <w:lang w:val="es-ES"/>
        </w:rPr>
      </w:pPr>
      <w:r w:rsidRPr="008037B6">
        <w:rPr>
          <w:rFonts w:eastAsia="Times New Roman"/>
          <w:bCs/>
          <w:sz w:val="26"/>
          <w:szCs w:val="26"/>
          <w:lang w:val="es-ES"/>
        </w:rPr>
        <w:t>Nissan coloca en esta ocasión cinco de los 10 modelos más vendidos en el país, General Motors tres y VW dos.</w:t>
      </w:r>
    </w:p>
    <w:p w14:paraId="16133DC2" w14:textId="77777777" w:rsidR="008037B6" w:rsidRPr="008037B6" w:rsidRDefault="008037B6" w:rsidP="008037B6">
      <w:pPr>
        <w:spacing w:after="360" w:line="360" w:lineRule="auto"/>
        <w:ind w:right="-159"/>
        <w:rPr>
          <w:rFonts w:eastAsia="Times New Roman"/>
          <w:b/>
          <w:bCs/>
          <w:sz w:val="26"/>
          <w:szCs w:val="26"/>
          <w:lang w:val="es-ES"/>
        </w:rPr>
      </w:pPr>
      <w:r w:rsidRPr="008037B6">
        <w:rPr>
          <w:rFonts w:eastAsia="Times New Roman"/>
          <w:b/>
          <w:bCs/>
          <w:sz w:val="26"/>
          <w:szCs w:val="26"/>
          <w:lang w:val="es-ES"/>
        </w:rPr>
        <w:t>Pronóstico mensual de vehículos ligeros</w:t>
      </w:r>
    </w:p>
    <w:p w14:paraId="7B350607" w14:textId="77777777" w:rsidR="008037B6" w:rsidRPr="008037B6" w:rsidRDefault="008037B6" w:rsidP="008037B6">
      <w:pPr>
        <w:spacing w:after="360" w:line="360" w:lineRule="auto"/>
        <w:ind w:right="-159"/>
        <w:jc w:val="both"/>
        <w:rPr>
          <w:rFonts w:eastAsia="Times New Roman"/>
          <w:bCs/>
          <w:sz w:val="26"/>
          <w:szCs w:val="26"/>
        </w:rPr>
      </w:pPr>
      <w:r w:rsidRPr="008037B6">
        <w:rPr>
          <w:rFonts w:eastAsia="Times New Roman"/>
          <w:bCs/>
          <w:sz w:val="26"/>
          <w:szCs w:val="26"/>
        </w:rPr>
        <w:t>El volumen de unidades comercializadas de enero a febrero de 2015 fue de 201 mil 255 unidades, 8% por encima de lo estimado por AMDA para este lapso.</w:t>
      </w:r>
    </w:p>
    <w:tbl>
      <w:tblPr>
        <w:tblW w:w="8830" w:type="dxa"/>
        <w:jc w:val="center"/>
        <w:tblLook w:val="04A0" w:firstRow="1" w:lastRow="0" w:firstColumn="1" w:lastColumn="0" w:noHBand="0" w:noVBand="1"/>
      </w:tblPr>
      <w:tblGrid>
        <w:gridCol w:w="1260"/>
        <w:gridCol w:w="1283"/>
        <w:gridCol w:w="1473"/>
        <w:gridCol w:w="1648"/>
        <w:gridCol w:w="1583"/>
        <w:gridCol w:w="1583"/>
      </w:tblGrid>
      <w:tr w:rsidR="008037B6" w:rsidRPr="008037B6" w14:paraId="5F91B4ED" w14:textId="77777777" w:rsidTr="009A4CE7">
        <w:trPr>
          <w:jc w:val="center"/>
        </w:trPr>
        <w:tc>
          <w:tcPr>
            <w:tcW w:w="8830" w:type="dxa"/>
            <w:gridSpan w:val="6"/>
            <w:tcBorders>
              <w:top w:val="nil"/>
              <w:left w:val="nil"/>
              <w:bottom w:val="single" w:sz="4" w:space="0" w:color="auto"/>
              <w:right w:val="nil"/>
            </w:tcBorders>
            <w:vAlign w:val="center"/>
          </w:tcPr>
          <w:p w14:paraId="3C35307B" w14:textId="77777777" w:rsidR="008037B6" w:rsidRPr="008037B6" w:rsidRDefault="008037B6" w:rsidP="008037B6">
            <w:pPr>
              <w:jc w:val="center"/>
              <w:rPr>
                <w:rFonts w:eastAsia="Times New Roman"/>
                <w:b/>
                <w:bCs/>
                <w:sz w:val="22"/>
                <w:szCs w:val="22"/>
              </w:rPr>
            </w:pPr>
            <w:r w:rsidRPr="008037B6">
              <w:rPr>
                <w:rFonts w:eastAsia="Times New Roman"/>
                <w:b/>
                <w:bCs/>
                <w:sz w:val="22"/>
                <w:szCs w:val="22"/>
              </w:rPr>
              <w:t>PRONÓSTICO MENSUAL DE VEHÍCULOS LIGEROS</w:t>
            </w:r>
          </w:p>
        </w:tc>
      </w:tr>
      <w:tr w:rsidR="008037B6" w:rsidRPr="008037B6" w14:paraId="5588F554" w14:textId="77777777" w:rsidTr="009A4CE7">
        <w:trPr>
          <w:jc w:val="center"/>
        </w:trPr>
        <w:tc>
          <w:tcPr>
            <w:tcW w:w="1260" w:type="dxa"/>
            <w:tcBorders>
              <w:top w:val="single" w:sz="4" w:space="0" w:color="auto"/>
              <w:left w:val="single" w:sz="4" w:space="0" w:color="auto"/>
              <w:bottom w:val="single" w:sz="4" w:space="0" w:color="auto"/>
              <w:right w:val="single" w:sz="4" w:space="0" w:color="auto"/>
            </w:tcBorders>
            <w:vAlign w:val="center"/>
          </w:tcPr>
          <w:p w14:paraId="73D6C48E" w14:textId="77777777" w:rsidR="008037B6" w:rsidRPr="008037B6" w:rsidRDefault="008037B6" w:rsidP="008037B6">
            <w:pPr>
              <w:jc w:val="center"/>
              <w:rPr>
                <w:rFonts w:eastAsia="Times New Roman"/>
                <w:b/>
                <w:bCs/>
                <w:sz w:val="18"/>
                <w:szCs w:val="18"/>
              </w:rPr>
            </w:pPr>
          </w:p>
        </w:tc>
        <w:tc>
          <w:tcPr>
            <w:tcW w:w="1283" w:type="dxa"/>
            <w:tcBorders>
              <w:top w:val="single" w:sz="4" w:space="0" w:color="auto"/>
              <w:left w:val="single" w:sz="4" w:space="0" w:color="auto"/>
              <w:bottom w:val="single" w:sz="4" w:space="0" w:color="auto"/>
              <w:right w:val="single" w:sz="4" w:space="0" w:color="auto"/>
            </w:tcBorders>
            <w:vAlign w:val="center"/>
          </w:tcPr>
          <w:p w14:paraId="113F8156" w14:textId="77777777" w:rsidR="008037B6" w:rsidRPr="008037B6" w:rsidRDefault="008037B6" w:rsidP="008037B6">
            <w:pPr>
              <w:jc w:val="center"/>
              <w:rPr>
                <w:rFonts w:eastAsia="Times New Roman"/>
                <w:b/>
                <w:bCs/>
                <w:sz w:val="18"/>
                <w:szCs w:val="18"/>
              </w:rPr>
            </w:pPr>
            <w:r w:rsidRPr="008037B6">
              <w:rPr>
                <w:rFonts w:eastAsia="Times New Roman"/>
                <w:b/>
                <w:bCs/>
                <w:sz w:val="18"/>
                <w:szCs w:val="18"/>
              </w:rPr>
              <w:t>Enero-Febrero</w:t>
            </w:r>
          </w:p>
        </w:tc>
        <w:tc>
          <w:tcPr>
            <w:tcW w:w="1473" w:type="dxa"/>
            <w:tcBorders>
              <w:top w:val="single" w:sz="4" w:space="0" w:color="auto"/>
              <w:left w:val="single" w:sz="4" w:space="0" w:color="auto"/>
              <w:bottom w:val="single" w:sz="4" w:space="0" w:color="auto"/>
              <w:right w:val="single" w:sz="4" w:space="0" w:color="auto"/>
            </w:tcBorders>
            <w:vAlign w:val="center"/>
          </w:tcPr>
          <w:p w14:paraId="4C517C8F" w14:textId="77777777" w:rsidR="008037B6" w:rsidRPr="008037B6" w:rsidRDefault="008037B6" w:rsidP="008037B6">
            <w:pPr>
              <w:jc w:val="center"/>
              <w:rPr>
                <w:rFonts w:eastAsia="Times New Roman"/>
                <w:b/>
                <w:bCs/>
                <w:sz w:val="18"/>
                <w:szCs w:val="18"/>
              </w:rPr>
            </w:pPr>
            <w:r w:rsidRPr="008037B6">
              <w:rPr>
                <w:rFonts w:eastAsia="Times New Roman"/>
                <w:b/>
                <w:bCs/>
                <w:sz w:val="18"/>
                <w:szCs w:val="18"/>
              </w:rPr>
              <w:t>Variación %</w:t>
            </w:r>
          </w:p>
        </w:tc>
        <w:tc>
          <w:tcPr>
            <w:tcW w:w="1648" w:type="dxa"/>
            <w:tcBorders>
              <w:top w:val="single" w:sz="4" w:space="0" w:color="auto"/>
              <w:left w:val="single" w:sz="4" w:space="0" w:color="auto"/>
              <w:bottom w:val="single" w:sz="4" w:space="0" w:color="auto"/>
              <w:right w:val="single" w:sz="4" w:space="0" w:color="auto"/>
            </w:tcBorders>
            <w:vAlign w:val="center"/>
          </w:tcPr>
          <w:p w14:paraId="6D245C41" w14:textId="77777777" w:rsidR="008037B6" w:rsidRPr="008037B6" w:rsidRDefault="008037B6" w:rsidP="008037B6">
            <w:pPr>
              <w:jc w:val="center"/>
              <w:rPr>
                <w:rFonts w:eastAsia="Times New Roman"/>
                <w:b/>
                <w:bCs/>
                <w:sz w:val="18"/>
                <w:szCs w:val="18"/>
              </w:rPr>
            </w:pPr>
            <w:r w:rsidRPr="008037B6">
              <w:rPr>
                <w:rFonts w:eastAsia="Times New Roman"/>
                <w:b/>
                <w:bCs/>
                <w:sz w:val="18"/>
                <w:szCs w:val="18"/>
              </w:rPr>
              <w:t xml:space="preserve">Febrero </w:t>
            </w:r>
          </w:p>
        </w:tc>
        <w:tc>
          <w:tcPr>
            <w:tcW w:w="1583" w:type="dxa"/>
            <w:tcBorders>
              <w:top w:val="single" w:sz="4" w:space="0" w:color="auto"/>
              <w:left w:val="single" w:sz="4" w:space="0" w:color="auto"/>
              <w:bottom w:val="single" w:sz="4" w:space="0" w:color="auto"/>
              <w:right w:val="single" w:sz="4" w:space="0" w:color="auto"/>
            </w:tcBorders>
            <w:vAlign w:val="center"/>
          </w:tcPr>
          <w:p w14:paraId="26F40F71" w14:textId="77777777" w:rsidR="008037B6" w:rsidRPr="008037B6" w:rsidRDefault="008037B6" w:rsidP="008037B6">
            <w:pPr>
              <w:jc w:val="center"/>
              <w:rPr>
                <w:rFonts w:eastAsia="Times New Roman"/>
                <w:b/>
                <w:bCs/>
                <w:sz w:val="18"/>
                <w:szCs w:val="18"/>
              </w:rPr>
            </w:pPr>
            <w:r w:rsidRPr="008037B6">
              <w:rPr>
                <w:rFonts w:eastAsia="Times New Roman"/>
                <w:b/>
                <w:bCs/>
                <w:sz w:val="18"/>
                <w:szCs w:val="18"/>
              </w:rPr>
              <w:t>Variación %</w:t>
            </w:r>
          </w:p>
        </w:tc>
        <w:tc>
          <w:tcPr>
            <w:tcW w:w="1583" w:type="dxa"/>
            <w:tcBorders>
              <w:top w:val="single" w:sz="4" w:space="0" w:color="auto"/>
              <w:left w:val="single" w:sz="4" w:space="0" w:color="auto"/>
              <w:bottom w:val="single" w:sz="4" w:space="0" w:color="auto"/>
              <w:right w:val="single" w:sz="4" w:space="0" w:color="auto"/>
            </w:tcBorders>
          </w:tcPr>
          <w:p w14:paraId="7C013631" w14:textId="77777777" w:rsidR="008037B6" w:rsidRPr="008037B6" w:rsidRDefault="008037B6" w:rsidP="008037B6">
            <w:pPr>
              <w:jc w:val="center"/>
              <w:rPr>
                <w:rFonts w:eastAsia="Times New Roman"/>
                <w:b/>
                <w:bCs/>
                <w:sz w:val="18"/>
                <w:szCs w:val="18"/>
              </w:rPr>
            </w:pPr>
            <w:r w:rsidRPr="008037B6">
              <w:rPr>
                <w:rFonts w:eastAsia="Times New Roman"/>
                <w:b/>
                <w:bCs/>
                <w:sz w:val="18"/>
                <w:szCs w:val="18"/>
              </w:rPr>
              <w:t>Pronóstico para marzo de 2015</w:t>
            </w:r>
          </w:p>
        </w:tc>
      </w:tr>
      <w:tr w:rsidR="008037B6" w:rsidRPr="008037B6" w14:paraId="12B744BE" w14:textId="77777777" w:rsidTr="009A4CE7">
        <w:trPr>
          <w:jc w:val="center"/>
        </w:trPr>
        <w:tc>
          <w:tcPr>
            <w:tcW w:w="1260" w:type="dxa"/>
            <w:tcBorders>
              <w:top w:val="single" w:sz="4" w:space="0" w:color="auto"/>
              <w:left w:val="single" w:sz="4" w:space="0" w:color="auto"/>
              <w:bottom w:val="single" w:sz="4" w:space="0" w:color="auto"/>
              <w:right w:val="single" w:sz="4" w:space="0" w:color="auto"/>
            </w:tcBorders>
            <w:vAlign w:val="center"/>
          </w:tcPr>
          <w:p w14:paraId="0238775A" w14:textId="77777777" w:rsidR="008037B6" w:rsidRPr="008037B6" w:rsidRDefault="008037B6" w:rsidP="008037B6">
            <w:pPr>
              <w:spacing w:before="20" w:after="20"/>
              <w:rPr>
                <w:rFonts w:eastAsia="Times New Roman"/>
                <w:bCs/>
                <w:sz w:val="18"/>
                <w:szCs w:val="18"/>
              </w:rPr>
            </w:pPr>
            <w:r w:rsidRPr="008037B6">
              <w:rPr>
                <w:rFonts w:eastAsia="Times New Roman"/>
                <w:bCs/>
                <w:sz w:val="18"/>
                <w:szCs w:val="18"/>
              </w:rPr>
              <w:t>Pronóstico</w:t>
            </w:r>
          </w:p>
        </w:tc>
        <w:tc>
          <w:tcPr>
            <w:tcW w:w="1283" w:type="dxa"/>
            <w:tcBorders>
              <w:top w:val="single" w:sz="4" w:space="0" w:color="auto"/>
              <w:left w:val="single" w:sz="4" w:space="0" w:color="auto"/>
              <w:bottom w:val="single" w:sz="4" w:space="0" w:color="auto"/>
              <w:right w:val="single" w:sz="4" w:space="0" w:color="auto"/>
            </w:tcBorders>
          </w:tcPr>
          <w:p w14:paraId="4B477762" w14:textId="77777777" w:rsidR="008037B6" w:rsidRPr="008037B6" w:rsidRDefault="008037B6" w:rsidP="008037B6">
            <w:pPr>
              <w:spacing w:before="20" w:after="20"/>
              <w:jc w:val="center"/>
              <w:rPr>
                <w:rFonts w:eastAsia="Times New Roman"/>
                <w:bCs/>
                <w:sz w:val="18"/>
                <w:szCs w:val="18"/>
              </w:rPr>
            </w:pPr>
            <w:r w:rsidRPr="008037B6">
              <w:rPr>
                <w:rFonts w:eastAsia="Times New Roman"/>
                <w:bCs/>
                <w:sz w:val="18"/>
                <w:szCs w:val="18"/>
              </w:rPr>
              <w:t>185 633</w:t>
            </w:r>
          </w:p>
        </w:tc>
        <w:tc>
          <w:tcPr>
            <w:tcW w:w="1473" w:type="dxa"/>
            <w:vMerge w:val="restart"/>
            <w:tcBorders>
              <w:top w:val="single" w:sz="4" w:space="0" w:color="auto"/>
              <w:left w:val="single" w:sz="4" w:space="0" w:color="auto"/>
              <w:bottom w:val="single" w:sz="4" w:space="0" w:color="auto"/>
              <w:right w:val="single" w:sz="4" w:space="0" w:color="auto"/>
            </w:tcBorders>
            <w:vAlign w:val="center"/>
          </w:tcPr>
          <w:p w14:paraId="0FBBD395" w14:textId="77777777" w:rsidR="008037B6" w:rsidRPr="008037B6" w:rsidRDefault="008037B6" w:rsidP="008037B6">
            <w:pPr>
              <w:spacing w:before="20" w:after="20"/>
              <w:jc w:val="center"/>
              <w:rPr>
                <w:rFonts w:eastAsia="Times New Roman"/>
                <w:bCs/>
                <w:sz w:val="18"/>
                <w:szCs w:val="18"/>
              </w:rPr>
            </w:pPr>
            <w:r w:rsidRPr="008037B6">
              <w:rPr>
                <w:rFonts w:eastAsia="Times New Roman"/>
                <w:bCs/>
                <w:sz w:val="18"/>
                <w:szCs w:val="18"/>
              </w:rPr>
              <w:t>8</w:t>
            </w:r>
          </w:p>
        </w:tc>
        <w:tc>
          <w:tcPr>
            <w:tcW w:w="1648" w:type="dxa"/>
            <w:tcBorders>
              <w:top w:val="single" w:sz="4" w:space="0" w:color="auto"/>
              <w:left w:val="single" w:sz="4" w:space="0" w:color="auto"/>
              <w:bottom w:val="single" w:sz="4" w:space="0" w:color="auto"/>
              <w:right w:val="single" w:sz="4" w:space="0" w:color="auto"/>
            </w:tcBorders>
            <w:vAlign w:val="center"/>
          </w:tcPr>
          <w:p w14:paraId="33B0B19A" w14:textId="77777777" w:rsidR="008037B6" w:rsidRPr="008037B6" w:rsidRDefault="008037B6" w:rsidP="008037B6">
            <w:pPr>
              <w:spacing w:before="20" w:after="20"/>
              <w:jc w:val="center"/>
              <w:rPr>
                <w:rFonts w:eastAsia="Times New Roman"/>
                <w:bCs/>
                <w:sz w:val="18"/>
                <w:szCs w:val="18"/>
              </w:rPr>
            </w:pPr>
            <w:r w:rsidRPr="008037B6">
              <w:rPr>
                <w:rFonts w:eastAsia="Times New Roman"/>
                <w:bCs/>
                <w:sz w:val="18"/>
                <w:szCs w:val="18"/>
              </w:rPr>
              <w:t>89 247</w:t>
            </w:r>
          </w:p>
        </w:tc>
        <w:tc>
          <w:tcPr>
            <w:tcW w:w="1583" w:type="dxa"/>
            <w:vMerge w:val="restart"/>
            <w:tcBorders>
              <w:top w:val="single" w:sz="4" w:space="0" w:color="auto"/>
              <w:left w:val="single" w:sz="4" w:space="0" w:color="auto"/>
              <w:bottom w:val="single" w:sz="4" w:space="0" w:color="auto"/>
              <w:right w:val="single" w:sz="4" w:space="0" w:color="auto"/>
            </w:tcBorders>
            <w:vAlign w:val="center"/>
          </w:tcPr>
          <w:p w14:paraId="1C9A3CCF" w14:textId="77777777" w:rsidR="008037B6" w:rsidRPr="008037B6" w:rsidRDefault="008037B6" w:rsidP="008037B6">
            <w:pPr>
              <w:spacing w:before="20" w:after="20"/>
              <w:jc w:val="center"/>
              <w:rPr>
                <w:rFonts w:eastAsia="Times New Roman"/>
                <w:bCs/>
                <w:sz w:val="18"/>
                <w:szCs w:val="18"/>
              </w:rPr>
            </w:pPr>
            <w:r w:rsidRPr="008037B6">
              <w:rPr>
                <w:rFonts w:eastAsia="Times New Roman"/>
                <w:bCs/>
                <w:sz w:val="18"/>
                <w:szCs w:val="18"/>
              </w:rPr>
              <w:t>9</w:t>
            </w:r>
          </w:p>
        </w:tc>
        <w:tc>
          <w:tcPr>
            <w:tcW w:w="1583" w:type="dxa"/>
            <w:vMerge w:val="restart"/>
            <w:tcBorders>
              <w:top w:val="single" w:sz="4" w:space="0" w:color="auto"/>
              <w:left w:val="single" w:sz="4" w:space="0" w:color="auto"/>
              <w:bottom w:val="single" w:sz="4" w:space="0" w:color="auto"/>
              <w:right w:val="single" w:sz="4" w:space="0" w:color="auto"/>
            </w:tcBorders>
            <w:vAlign w:val="center"/>
          </w:tcPr>
          <w:p w14:paraId="641B9F33" w14:textId="77777777" w:rsidR="008037B6" w:rsidRPr="008037B6" w:rsidRDefault="008037B6" w:rsidP="008037B6">
            <w:pPr>
              <w:spacing w:before="20" w:after="20"/>
              <w:jc w:val="center"/>
              <w:rPr>
                <w:rFonts w:eastAsia="Times New Roman"/>
                <w:bCs/>
                <w:sz w:val="18"/>
                <w:szCs w:val="18"/>
              </w:rPr>
            </w:pPr>
            <w:r w:rsidRPr="008037B6">
              <w:rPr>
                <w:rFonts w:eastAsia="Times New Roman"/>
                <w:bCs/>
                <w:sz w:val="18"/>
                <w:szCs w:val="18"/>
              </w:rPr>
              <w:t>97 008</w:t>
            </w:r>
          </w:p>
        </w:tc>
      </w:tr>
      <w:tr w:rsidR="008037B6" w:rsidRPr="008037B6" w14:paraId="5EE8D187" w14:textId="77777777" w:rsidTr="009A4CE7">
        <w:trPr>
          <w:jc w:val="center"/>
        </w:trPr>
        <w:tc>
          <w:tcPr>
            <w:tcW w:w="1260" w:type="dxa"/>
            <w:tcBorders>
              <w:top w:val="single" w:sz="4" w:space="0" w:color="auto"/>
              <w:left w:val="single" w:sz="4" w:space="0" w:color="auto"/>
              <w:bottom w:val="single" w:sz="4" w:space="0" w:color="auto"/>
              <w:right w:val="single" w:sz="4" w:space="0" w:color="auto"/>
            </w:tcBorders>
            <w:vAlign w:val="center"/>
          </w:tcPr>
          <w:p w14:paraId="1BD4DF01" w14:textId="77777777" w:rsidR="008037B6" w:rsidRPr="008037B6" w:rsidRDefault="008037B6" w:rsidP="008037B6">
            <w:pPr>
              <w:spacing w:before="20" w:after="20"/>
              <w:rPr>
                <w:rFonts w:eastAsia="Times New Roman"/>
                <w:bCs/>
                <w:sz w:val="18"/>
                <w:szCs w:val="18"/>
              </w:rPr>
            </w:pPr>
            <w:r w:rsidRPr="008037B6">
              <w:rPr>
                <w:rFonts w:eastAsia="Times New Roman"/>
                <w:bCs/>
                <w:sz w:val="18"/>
                <w:szCs w:val="18"/>
              </w:rPr>
              <w:t>Real</w:t>
            </w:r>
          </w:p>
        </w:tc>
        <w:tc>
          <w:tcPr>
            <w:tcW w:w="1283" w:type="dxa"/>
            <w:tcBorders>
              <w:top w:val="single" w:sz="4" w:space="0" w:color="auto"/>
              <w:left w:val="single" w:sz="4" w:space="0" w:color="auto"/>
              <w:bottom w:val="single" w:sz="4" w:space="0" w:color="auto"/>
              <w:right w:val="single" w:sz="4" w:space="0" w:color="auto"/>
            </w:tcBorders>
          </w:tcPr>
          <w:p w14:paraId="507BE2C2" w14:textId="77777777" w:rsidR="008037B6" w:rsidRPr="008037B6" w:rsidRDefault="008037B6" w:rsidP="008037B6">
            <w:pPr>
              <w:spacing w:before="20" w:after="20"/>
              <w:jc w:val="center"/>
              <w:rPr>
                <w:rFonts w:eastAsia="Times New Roman"/>
                <w:bCs/>
                <w:sz w:val="18"/>
                <w:szCs w:val="18"/>
              </w:rPr>
            </w:pPr>
            <w:r w:rsidRPr="008037B6">
              <w:rPr>
                <w:rFonts w:eastAsia="Times New Roman"/>
                <w:bCs/>
                <w:sz w:val="18"/>
                <w:szCs w:val="18"/>
              </w:rPr>
              <w:t>201 255</w:t>
            </w:r>
          </w:p>
        </w:tc>
        <w:tc>
          <w:tcPr>
            <w:tcW w:w="1473" w:type="dxa"/>
            <w:vMerge/>
            <w:tcBorders>
              <w:top w:val="single" w:sz="4" w:space="0" w:color="auto"/>
              <w:left w:val="single" w:sz="4" w:space="0" w:color="auto"/>
              <w:bottom w:val="single" w:sz="4" w:space="0" w:color="auto"/>
              <w:right w:val="single" w:sz="4" w:space="0" w:color="auto"/>
            </w:tcBorders>
          </w:tcPr>
          <w:p w14:paraId="3BB70B90" w14:textId="77777777" w:rsidR="008037B6" w:rsidRPr="008037B6" w:rsidRDefault="008037B6" w:rsidP="008037B6">
            <w:pPr>
              <w:spacing w:before="20" w:after="20"/>
              <w:jc w:val="center"/>
              <w:rPr>
                <w:rFonts w:eastAsia="Times New Roman"/>
                <w:bCs/>
                <w:sz w:val="18"/>
                <w:szCs w:val="18"/>
              </w:rPr>
            </w:pPr>
          </w:p>
        </w:tc>
        <w:tc>
          <w:tcPr>
            <w:tcW w:w="1648" w:type="dxa"/>
            <w:tcBorders>
              <w:top w:val="single" w:sz="4" w:space="0" w:color="auto"/>
              <w:left w:val="single" w:sz="4" w:space="0" w:color="auto"/>
              <w:bottom w:val="single" w:sz="4" w:space="0" w:color="auto"/>
              <w:right w:val="single" w:sz="4" w:space="0" w:color="auto"/>
            </w:tcBorders>
          </w:tcPr>
          <w:p w14:paraId="78435A0B" w14:textId="77777777" w:rsidR="008037B6" w:rsidRPr="008037B6" w:rsidRDefault="008037B6" w:rsidP="008037B6">
            <w:pPr>
              <w:spacing w:before="20" w:after="20"/>
              <w:jc w:val="center"/>
              <w:rPr>
                <w:rFonts w:eastAsia="Times New Roman"/>
                <w:bCs/>
                <w:sz w:val="18"/>
                <w:szCs w:val="18"/>
              </w:rPr>
            </w:pPr>
            <w:r w:rsidRPr="008037B6">
              <w:rPr>
                <w:rFonts w:eastAsia="Times New Roman"/>
                <w:bCs/>
                <w:sz w:val="18"/>
                <w:szCs w:val="18"/>
              </w:rPr>
              <w:t>97 558</w:t>
            </w:r>
          </w:p>
        </w:tc>
        <w:tc>
          <w:tcPr>
            <w:tcW w:w="1583" w:type="dxa"/>
            <w:vMerge/>
            <w:tcBorders>
              <w:top w:val="single" w:sz="4" w:space="0" w:color="auto"/>
              <w:left w:val="single" w:sz="4" w:space="0" w:color="auto"/>
              <w:bottom w:val="single" w:sz="4" w:space="0" w:color="auto"/>
              <w:right w:val="single" w:sz="4" w:space="0" w:color="auto"/>
            </w:tcBorders>
          </w:tcPr>
          <w:p w14:paraId="4AE243D1" w14:textId="77777777" w:rsidR="008037B6" w:rsidRPr="008037B6" w:rsidRDefault="008037B6" w:rsidP="008037B6">
            <w:pPr>
              <w:spacing w:before="20" w:after="20"/>
              <w:jc w:val="center"/>
              <w:rPr>
                <w:rFonts w:eastAsia="Times New Roman"/>
                <w:bCs/>
                <w:sz w:val="18"/>
                <w:szCs w:val="18"/>
              </w:rPr>
            </w:pPr>
          </w:p>
        </w:tc>
        <w:tc>
          <w:tcPr>
            <w:tcW w:w="1583" w:type="dxa"/>
            <w:vMerge/>
            <w:tcBorders>
              <w:top w:val="single" w:sz="4" w:space="0" w:color="auto"/>
              <w:left w:val="single" w:sz="4" w:space="0" w:color="auto"/>
              <w:bottom w:val="single" w:sz="4" w:space="0" w:color="auto"/>
              <w:right w:val="single" w:sz="4" w:space="0" w:color="auto"/>
            </w:tcBorders>
          </w:tcPr>
          <w:p w14:paraId="65509173" w14:textId="77777777" w:rsidR="008037B6" w:rsidRPr="008037B6" w:rsidRDefault="008037B6" w:rsidP="008037B6">
            <w:pPr>
              <w:spacing w:before="20" w:after="20"/>
              <w:jc w:val="center"/>
              <w:rPr>
                <w:rFonts w:eastAsia="Times New Roman"/>
                <w:bCs/>
                <w:sz w:val="18"/>
                <w:szCs w:val="18"/>
              </w:rPr>
            </w:pPr>
          </w:p>
        </w:tc>
      </w:tr>
      <w:tr w:rsidR="008037B6" w:rsidRPr="008037B6" w14:paraId="34E2512C" w14:textId="77777777" w:rsidTr="004F1C40">
        <w:trPr>
          <w:jc w:val="center"/>
        </w:trPr>
        <w:tc>
          <w:tcPr>
            <w:tcW w:w="8830" w:type="dxa"/>
            <w:gridSpan w:val="6"/>
            <w:tcBorders>
              <w:top w:val="single" w:sz="4" w:space="0" w:color="auto"/>
              <w:left w:val="nil"/>
              <w:bottom w:val="nil"/>
              <w:right w:val="nil"/>
            </w:tcBorders>
            <w:vAlign w:val="center"/>
          </w:tcPr>
          <w:p w14:paraId="24BAFF56" w14:textId="77777777" w:rsidR="008037B6" w:rsidRPr="008037B6" w:rsidRDefault="008037B6" w:rsidP="008037B6">
            <w:pPr>
              <w:spacing w:before="20" w:after="20"/>
              <w:rPr>
                <w:rFonts w:eastAsia="Times New Roman"/>
                <w:bCs/>
                <w:sz w:val="20"/>
                <w:szCs w:val="20"/>
              </w:rPr>
            </w:pPr>
            <w:r w:rsidRPr="008037B6">
              <w:rPr>
                <w:rFonts w:eastAsia="Times New Roman"/>
                <w:bCs/>
                <w:sz w:val="20"/>
                <w:szCs w:val="20"/>
              </w:rPr>
              <w:t>FUENTE: AMDA.</w:t>
            </w:r>
          </w:p>
        </w:tc>
      </w:tr>
    </w:tbl>
    <w:p w14:paraId="6950D109" w14:textId="77777777" w:rsidR="008037B6" w:rsidRPr="008037B6" w:rsidRDefault="008037B6" w:rsidP="008037B6">
      <w:pPr>
        <w:spacing w:after="360" w:line="360" w:lineRule="auto"/>
        <w:ind w:right="-159"/>
        <w:rPr>
          <w:rFonts w:eastAsia="Times New Roman"/>
          <w:b/>
          <w:sz w:val="26"/>
          <w:szCs w:val="26"/>
        </w:rPr>
      </w:pPr>
    </w:p>
    <w:tbl>
      <w:tblPr>
        <w:tblW w:w="0" w:type="auto"/>
        <w:jc w:val="center"/>
        <w:tblLook w:val="04A0" w:firstRow="1" w:lastRow="0" w:firstColumn="1" w:lastColumn="0" w:noHBand="0" w:noVBand="1"/>
      </w:tblPr>
      <w:tblGrid>
        <w:gridCol w:w="8367"/>
      </w:tblGrid>
      <w:tr w:rsidR="008037B6" w:rsidRPr="008037B6" w14:paraId="56A62BA9" w14:textId="77777777" w:rsidTr="004F1C40">
        <w:trPr>
          <w:jc w:val="center"/>
        </w:trPr>
        <w:tc>
          <w:tcPr>
            <w:tcW w:w="8367" w:type="dxa"/>
          </w:tcPr>
          <w:p w14:paraId="5C702E1E" w14:textId="77777777" w:rsidR="008037B6" w:rsidRPr="008037B6" w:rsidRDefault="008037B6" w:rsidP="008037B6">
            <w:pPr>
              <w:ind w:right="-159"/>
              <w:jc w:val="center"/>
              <w:rPr>
                <w:rFonts w:eastAsia="Times New Roman"/>
                <w:b/>
                <w:bCs/>
                <w:sz w:val="22"/>
                <w:szCs w:val="22"/>
                <w:lang w:val="es-ES"/>
              </w:rPr>
            </w:pPr>
            <w:r w:rsidRPr="008037B6">
              <w:rPr>
                <w:rFonts w:eastAsia="Times New Roman"/>
                <w:b/>
                <w:bCs/>
                <w:sz w:val="22"/>
                <w:szCs w:val="22"/>
                <w:lang w:val="es-ES"/>
              </w:rPr>
              <w:t>PRONÓSTICO MENSUAL DE VEHÍCULOS LIGEROS</w:t>
            </w:r>
          </w:p>
        </w:tc>
      </w:tr>
      <w:tr w:rsidR="008037B6" w:rsidRPr="008037B6" w14:paraId="6D465210" w14:textId="77777777" w:rsidTr="004F1C40">
        <w:trPr>
          <w:jc w:val="center"/>
        </w:trPr>
        <w:tc>
          <w:tcPr>
            <w:tcW w:w="8367" w:type="dxa"/>
          </w:tcPr>
          <w:p w14:paraId="3FE5C86A" w14:textId="77777777" w:rsidR="008037B6" w:rsidRPr="008037B6" w:rsidRDefault="008037B6" w:rsidP="008037B6">
            <w:pPr>
              <w:ind w:right="-159"/>
              <w:jc w:val="center"/>
              <w:rPr>
                <w:rFonts w:eastAsia="Times New Roman"/>
                <w:b/>
                <w:bCs/>
                <w:sz w:val="26"/>
                <w:szCs w:val="26"/>
                <w:lang w:val="es-ES"/>
              </w:rPr>
            </w:pPr>
            <w:r w:rsidRPr="008037B6">
              <w:rPr>
                <w:rFonts w:eastAsia="Times New Roman"/>
                <w:b/>
                <w:bCs/>
                <w:noProof/>
                <w:sz w:val="26"/>
                <w:szCs w:val="26"/>
                <w:lang w:eastAsia="es-MX"/>
              </w:rPr>
              <w:drawing>
                <wp:inline distT="0" distB="0" distL="0" distR="0" wp14:anchorId="680C5157" wp14:editId="3B9974B6">
                  <wp:extent cx="4925683" cy="2616237"/>
                  <wp:effectExtent l="0" t="0" r="8890" b="0"/>
                  <wp:docPr id="1559" name="Imagen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32" cstate="print">
                            <a:extLst>
                              <a:ext uri="{28A0092B-C50C-407E-A947-70E740481C1C}">
                                <a14:useLocalDpi xmlns:a14="http://schemas.microsoft.com/office/drawing/2010/main" val="0"/>
                              </a:ext>
                            </a:extLst>
                          </a:blip>
                          <a:srcRect l="2307" r="3533" b="8172"/>
                          <a:stretch/>
                        </pic:blipFill>
                        <pic:spPr bwMode="auto">
                          <a:xfrm>
                            <a:off x="0" y="0"/>
                            <a:ext cx="4935789" cy="262160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037B6" w:rsidRPr="008037B6" w14:paraId="1A791E95" w14:textId="77777777" w:rsidTr="004F1C40">
        <w:trPr>
          <w:jc w:val="center"/>
        </w:trPr>
        <w:tc>
          <w:tcPr>
            <w:tcW w:w="8367" w:type="dxa"/>
          </w:tcPr>
          <w:p w14:paraId="3DC71B8F" w14:textId="77777777" w:rsidR="008037B6" w:rsidRPr="008037B6" w:rsidRDefault="008037B6" w:rsidP="008037B6">
            <w:pPr>
              <w:ind w:left="1026" w:right="-159"/>
              <w:rPr>
                <w:rFonts w:eastAsia="Times New Roman"/>
                <w:bCs/>
                <w:sz w:val="20"/>
                <w:szCs w:val="20"/>
                <w:lang w:val="es-ES"/>
              </w:rPr>
            </w:pPr>
            <w:r w:rsidRPr="008037B6">
              <w:rPr>
                <w:rFonts w:eastAsia="Times New Roman"/>
                <w:bCs/>
                <w:sz w:val="20"/>
                <w:szCs w:val="20"/>
                <w:lang w:val="es-ES"/>
              </w:rPr>
              <w:t>FUENTE: AMDA.</w:t>
            </w:r>
          </w:p>
        </w:tc>
      </w:tr>
    </w:tbl>
    <w:p w14:paraId="3397079B" w14:textId="77777777" w:rsidR="008037B6" w:rsidRDefault="008037B6" w:rsidP="008037B6">
      <w:pPr>
        <w:spacing w:after="360" w:line="360" w:lineRule="auto"/>
        <w:ind w:right="-159"/>
        <w:rPr>
          <w:rFonts w:eastAsia="Times New Roman"/>
          <w:sz w:val="26"/>
          <w:szCs w:val="26"/>
        </w:rPr>
      </w:pPr>
    </w:p>
    <w:p w14:paraId="440B981B" w14:textId="77777777" w:rsidR="008037B6" w:rsidRPr="008037B6" w:rsidRDefault="008037B6" w:rsidP="00E1255F">
      <w:pPr>
        <w:spacing w:after="360" w:line="360" w:lineRule="auto"/>
        <w:ind w:right="-159"/>
        <w:jc w:val="both"/>
        <w:rPr>
          <w:rFonts w:eastAsia="Times New Roman"/>
          <w:b/>
          <w:sz w:val="26"/>
          <w:szCs w:val="26"/>
        </w:rPr>
      </w:pPr>
      <w:r w:rsidRPr="008037B6">
        <w:rPr>
          <w:rFonts w:eastAsia="Times New Roman"/>
          <w:b/>
          <w:sz w:val="26"/>
          <w:szCs w:val="26"/>
        </w:rPr>
        <w:lastRenderedPageBreak/>
        <w:t>Comercialización de vehículos ligeros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9"/>
        <w:gridCol w:w="1020"/>
        <w:gridCol w:w="964"/>
        <w:gridCol w:w="992"/>
        <w:gridCol w:w="1206"/>
        <w:gridCol w:w="1204"/>
        <w:gridCol w:w="992"/>
      </w:tblGrid>
      <w:tr w:rsidR="008037B6" w:rsidRPr="008037B6" w14:paraId="7D099447" w14:textId="77777777" w:rsidTr="008037B6">
        <w:trPr>
          <w:jc w:val="center"/>
        </w:trPr>
        <w:tc>
          <w:tcPr>
            <w:tcW w:w="9067" w:type="dxa"/>
            <w:gridSpan w:val="7"/>
            <w:tcBorders>
              <w:top w:val="nil"/>
              <w:left w:val="nil"/>
              <w:bottom w:val="single" w:sz="6" w:space="0" w:color="000000"/>
              <w:right w:val="nil"/>
            </w:tcBorders>
            <w:vAlign w:val="center"/>
          </w:tcPr>
          <w:p w14:paraId="0BD712A3" w14:textId="77777777" w:rsidR="008037B6" w:rsidRPr="008037B6" w:rsidRDefault="008037B6" w:rsidP="008037B6">
            <w:pPr>
              <w:jc w:val="center"/>
              <w:rPr>
                <w:rFonts w:eastAsia="Times New Roman"/>
                <w:b/>
                <w:sz w:val="22"/>
                <w:szCs w:val="22"/>
                <w:lang w:val="es-ES"/>
              </w:rPr>
            </w:pPr>
            <w:r w:rsidRPr="008037B6">
              <w:rPr>
                <w:rFonts w:eastAsia="Times New Roman"/>
                <w:b/>
                <w:sz w:val="22"/>
                <w:szCs w:val="22"/>
                <w:lang w:val="es-ES"/>
              </w:rPr>
              <w:t>VENTAS EN ALGUNOS PAÍSES</w:t>
            </w:r>
          </w:p>
          <w:p w14:paraId="54F2ADFD" w14:textId="77777777" w:rsidR="008037B6" w:rsidRPr="008037B6" w:rsidRDefault="008037B6" w:rsidP="008037B6">
            <w:pPr>
              <w:spacing w:before="20" w:after="20"/>
              <w:jc w:val="center"/>
              <w:rPr>
                <w:rFonts w:eastAsia="Times New Roman"/>
                <w:b/>
                <w:sz w:val="18"/>
                <w:szCs w:val="18"/>
                <w:lang w:val="es-ES"/>
              </w:rPr>
            </w:pPr>
            <w:r w:rsidRPr="008037B6">
              <w:rPr>
                <w:rFonts w:eastAsia="Times New Roman"/>
                <w:b/>
                <w:sz w:val="22"/>
                <w:szCs w:val="22"/>
                <w:lang w:val="es-ES"/>
              </w:rPr>
              <w:t>-Unidades-</w:t>
            </w:r>
          </w:p>
        </w:tc>
      </w:tr>
      <w:tr w:rsidR="008037B6" w:rsidRPr="008037B6" w14:paraId="0C88C084" w14:textId="77777777" w:rsidTr="008037B6">
        <w:trPr>
          <w:jc w:val="center"/>
        </w:trPr>
        <w:tc>
          <w:tcPr>
            <w:tcW w:w="2689" w:type="dxa"/>
            <w:vMerge w:val="restart"/>
            <w:tcBorders>
              <w:top w:val="single" w:sz="6" w:space="0" w:color="000000"/>
              <w:left w:val="single" w:sz="6" w:space="0" w:color="000000"/>
              <w:bottom w:val="single" w:sz="6" w:space="0" w:color="000000"/>
              <w:right w:val="single" w:sz="6" w:space="0" w:color="000000"/>
            </w:tcBorders>
            <w:vAlign w:val="center"/>
          </w:tcPr>
          <w:p w14:paraId="738A7208" w14:textId="77777777" w:rsidR="008037B6" w:rsidRPr="008037B6" w:rsidRDefault="008037B6" w:rsidP="008037B6">
            <w:pPr>
              <w:spacing w:before="20" w:after="20"/>
              <w:jc w:val="center"/>
              <w:rPr>
                <w:rFonts w:eastAsia="Times New Roman"/>
                <w:b/>
                <w:sz w:val="18"/>
                <w:szCs w:val="18"/>
                <w:lang w:val="es-ES"/>
              </w:rPr>
            </w:pPr>
            <w:r w:rsidRPr="008037B6">
              <w:rPr>
                <w:rFonts w:eastAsia="Times New Roman"/>
                <w:b/>
                <w:sz w:val="18"/>
                <w:szCs w:val="18"/>
                <w:lang w:val="es-ES"/>
              </w:rPr>
              <w:t xml:space="preserve">País </w:t>
            </w:r>
          </w:p>
        </w:tc>
        <w:tc>
          <w:tcPr>
            <w:tcW w:w="2976" w:type="dxa"/>
            <w:gridSpan w:val="3"/>
            <w:tcBorders>
              <w:top w:val="single" w:sz="6" w:space="0" w:color="000000"/>
              <w:left w:val="single" w:sz="6" w:space="0" w:color="000000"/>
              <w:bottom w:val="single" w:sz="6" w:space="0" w:color="000000"/>
              <w:right w:val="single" w:sz="6" w:space="0" w:color="000000"/>
            </w:tcBorders>
            <w:vAlign w:val="center"/>
          </w:tcPr>
          <w:p w14:paraId="2145A20E" w14:textId="77777777" w:rsidR="008037B6" w:rsidRPr="008037B6" w:rsidRDefault="008037B6" w:rsidP="008037B6">
            <w:pPr>
              <w:spacing w:before="20" w:after="20"/>
              <w:jc w:val="center"/>
              <w:rPr>
                <w:rFonts w:eastAsia="Times New Roman"/>
                <w:b/>
                <w:sz w:val="18"/>
                <w:szCs w:val="18"/>
                <w:lang w:val="es-ES"/>
              </w:rPr>
            </w:pPr>
            <w:r w:rsidRPr="008037B6">
              <w:rPr>
                <w:rFonts w:eastAsia="Times New Roman"/>
                <w:b/>
                <w:sz w:val="18"/>
                <w:szCs w:val="18"/>
                <w:lang w:val="es-ES"/>
              </w:rPr>
              <w:t>Febrero</w:t>
            </w:r>
          </w:p>
        </w:tc>
        <w:tc>
          <w:tcPr>
            <w:tcW w:w="3402" w:type="dxa"/>
            <w:gridSpan w:val="3"/>
            <w:tcBorders>
              <w:top w:val="single" w:sz="6" w:space="0" w:color="000000"/>
              <w:left w:val="single" w:sz="6" w:space="0" w:color="000000"/>
              <w:bottom w:val="single" w:sz="6" w:space="0" w:color="000000"/>
              <w:right w:val="single" w:sz="6" w:space="0" w:color="000000"/>
            </w:tcBorders>
          </w:tcPr>
          <w:p w14:paraId="0766C463" w14:textId="77777777" w:rsidR="008037B6" w:rsidRPr="008037B6" w:rsidRDefault="008037B6" w:rsidP="008037B6">
            <w:pPr>
              <w:spacing w:before="20" w:after="20"/>
              <w:jc w:val="center"/>
              <w:rPr>
                <w:rFonts w:eastAsia="Times New Roman"/>
                <w:b/>
                <w:sz w:val="18"/>
                <w:szCs w:val="18"/>
                <w:lang w:val="es-ES"/>
              </w:rPr>
            </w:pPr>
            <w:r w:rsidRPr="008037B6">
              <w:rPr>
                <w:rFonts w:eastAsia="Times New Roman"/>
                <w:b/>
                <w:sz w:val="18"/>
                <w:szCs w:val="18"/>
                <w:lang w:val="es-ES"/>
              </w:rPr>
              <w:t>Enero-Febrero</w:t>
            </w:r>
          </w:p>
        </w:tc>
      </w:tr>
      <w:tr w:rsidR="008037B6" w:rsidRPr="008037B6" w14:paraId="211DFDE8" w14:textId="77777777" w:rsidTr="008037B6">
        <w:trPr>
          <w:jc w:val="center"/>
        </w:trPr>
        <w:tc>
          <w:tcPr>
            <w:tcW w:w="2689" w:type="dxa"/>
            <w:vMerge/>
            <w:tcBorders>
              <w:top w:val="single" w:sz="6" w:space="0" w:color="000000"/>
              <w:left w:val="single" w:sz="6" w:space="0" w:color="000000"/>
              <w:bottom w:val="single" w:sz="6" w:space="0" w:color="000000"/>
              <w:right w:val="single" w:sz="6" w:space="0" w:color="000000"/>
            </w:tcBorders>
            <w:vAlign w:val="center"/>
          </w:tcPr>
          <w:p w14:paraId="754E446B" w14:textId="77777777" w:rsidR="008037B6" w:rsidRPr="008037B6" w:rsidRDefault="008037B6" w:rsidP="008037B6">
            <w:pPr>
              <w:spacing w:before="20" w:after="20"/>
              <w:jc w:val="center"/>
              <w:rPr>
                <w:rFonts w:eastAsia="Times New Roman"/>
                <w:b/>
                <w:sz w:val="18"/>
                <w:szCs w:val="18"/>
                <w:lang w:val="es-ES"/>
              </w:rPr>
            </w:pPr>
          </w:p>
        </w:tc>
        <w:tc>
          <w:tcPr>
            <w:tcW w:w="1020" w:type="dxa"/>
            <w:tcBorders>
              <w:top w:val="single" w:sz="6" w:space="0" w:color="000000"/>
              <w:left w:val="single" w:sz="6" w:space="0" w:color="000000"/>
              <w:bottom w:val="single" w:sz="6" w:space="0" w:color="000000"/>
              <w:right w:val="single" w:sz="6" w:space="0" w:color="000000"/>
            </w:tcBorders>
            <w:vAlign w:val="center"/>
          </w:tcPr>
          <w:p w14:paraId="56A3AD1D" w14:textId="77777777" w:rsidR="008037B6" w:rsidRPr="008037B6" w:rsidRDefault="008037B6" w:rsidP="008037B6">
            <w:pPr>
              <w:spacing w:before="20" w:after="20"/>
              <w:jc w:val="center"/>
              <w:rPr>
                <w:rFonts w:eastAsia="Times New Roman"/>
                <w:b/>
                <w:sz w:val="18"/>
                <w:szCs w:val="18"/>
                <w:lang w:val="es-ES"/>
              </w:rPr>
            </w:pPr>
            <w:r w:rsidRPr="008037B6">
              <w:rPr>
                <w:rFonts w:eastAsia="Times New Roman"/>
                <w:b/>
                <w:sz w:val="18"/>
                <w:szCs w:val="18"/>
                <w:lang w:val="es-ES"/>
              </w:rPr>
              <w:t>2015</w:t>
            </w:r>
          </w:p>
        </w:tc>
        <w:tc>
          <w:tcPr>
            <w:tcW w:w="964" w:type="dxa"/>
            <w:tcBorders>
              <w:top w:val="single" w:sz="6" w:space="0" w:color="000000"/>
              <w:left w:val="single" w:sz="6" w:space="0" w:color="000000"/>
              <w:bottom w:val="single" w:sz="6" w:space="0" w:color="000000"/>
              <w:right w:val="single" w:sz="6" w:space="0" w:color="000000"/>
            </w:tcBorders>
            <w:vAlign w:val="center"/>
          </w:tcPr>
          <w:p w14:paraId="60350F45" w14:textId="77777777" w:rsidR="008037B6" w:rsidRPr="008037B6" w:rsidRDefault="008037B6" w:rsidP="008037B6">
            <w:pPr>
              <w:spacing w:before="20" w:after="20"/>
              <w:jc w:val="center"/>
              <w:rPr>
                <w:rFonts w:eastAsia="Times New Roman"/>
                <w:b/>
                <w:sz w:val="18"/>
                <w:szCs w:val="18"/>
                <w:lang w:val="es-ES"/>
              </w:rPr>
            </w:pPr>
            <w:r w:rsidRPr="008037B6">
              <w:rPr>
                <w:rFonts w:eastAsia="Times New Roman"/>
                <w:b/>
                <w:sz w:val="18"/>
                <w:szCs w:val="18"/>
                <w:lang w:val="es-ES"/>
              </w:rPr>
              <w:t>2014</w:t>
            </w:r>
          </w:p>
        </w:tc>
        <w:tc>
          <w:tcPr>
            <w:tcW w:w="992" w:type="dxa"/>
            <w:tcBorders>
              <w:top w:val="single" w:sz="6" w:space="0" w:color="000000"/>
              <w:left w:val="single" w:sz="6" w:space="0" w:color="000000"/>
              <w:bottom w:val="single" w:sz="6" w:space="0" w:color="000000"/>
              <w:right w:val="single" w:sz="6" w:space="0" w:color="000000"/>
            </w:tcBorders>
            <w:vAlign w:val="center"/>
          </w:tcPr>
          <w:p w14:paraId="6E97ACD2" w14:textId="77777777" w:rsidR="008037B6" w:rsidRPr="008037B6" w:rsidRDefault="008037B6" w:rsidP="008037B6">
            <w:pPr>
              <w:spacing w:before="20" w:after="20"/>
              <w:jc w:val="center"/>
              <w:rPr>
                <w:rFonts w:eastAsia="Times New Roman"/>
                <w:b/>
                <w:sz w:val="18"/>
                <w:szCs w:val="18"/>
                <w:lang w:val="es-ES"/>
              </w:rPr>
            </w:pPr>
            <w:r w:rsidRPr="008037B6">
              <w:rPr>
                <w:rFonts w:eastAsia="Times New Roman"/>
                <w:b/>
                <w:sz w:val="18"/>
                <w:szCs w:val="18"/>
                <w:lang w:val="es-ES"/>
              </w:rPr>
              <w:t>Variación %</w:t>
            </w:r>
          </w:p>
        </w:tc>
        <w:tc>
          <w:tcPr>
            <w:tcW w:w="1206" w:type="dxa"/>
            <w:tcBorders>
              <w:top w:val="single" w:sz="6" w:space="0" w:color="000000"/>
              <w:left w:val="single" w:sz="6" w:space="0" w:color="000000"/>
              <w:bottom w:val="single" w:sz="6" w:space="0" w:color="000000"/>
              <w:right w:val="single" w:sz="6" w:space="0" w:color="000000"/>
            </w:tcBorders>
            <w:vAlign w:val="center"/>
          </w:tcPr>
          <w:p w14:paraId="4BCDDD90" w14:textId="77777777" w:rsidR="008037B6" w:rsidRPr="008037B6" w:rsidRDefault="008037B6" w:rsidP="008037B6">
            <w:pPr>
              <w:spacing w:before="20" w:after="20"/>
              <w:jc w:val="center"/>
              <w:rPr>
                <w:rFonts w:eastAsia="Times New Roman"/>
                <w:b/>
                <w:sz w:val="18"/>
                <w:szCs w:val="18"/>
                <w:lang w:val="es-ES"/>
              </w:rPr>
            </w:pPr>
            <w:r w:rsidRPr="008037B6">
              <w:rPr>
                <w:rFonts w:eastAsia="Times New Roman"/>
                <w:b/>
                <w:sz w:val="18"/>
                <w:szCs w:val="18"/>
                <w:lang w:val="es-ES"/>
              </w:rPr>
              <w:t>2015</w:t>
            </w:r>
          </w:p>
        </w:tc>
        <w:tc>
          <w:tcPr>
            <w:tcW w:w="1204" w:type="dxa"/>
            <w:tcBorders>
              <w:top w:val="single" w:sz="6" w:space="0" w:color="000000"/>
              <w:left w:val="single" w:sz="6" w:space="0" w:color="000000"/>
              <w:bottom w:val="single" w:sz="6" w:space="0" w:color="000000"/>
              <w:right w:val="single" w:sz="6" w:space="0" w:color="000000"/>
            </w:tcBorders>
            <w:vAlign w:val="center"/>
          </w:tcPr>
          <w:p w14:paraId="33B9BF18" w14:textId="77777777" w:rsidR="008037B6" w:rsidRPr="008037B6" w:rsidRDefault="008037B6" w:rsidP="008037B6">
            <w:pPr>
              <w:spacing w:before="20" w:after="20"/>
              <w:jc w:val="center"/>
              <w:rPr>
                <w:rFonts w:eastAsia="Times New Roman"/>
                <w:b/>
                <w:sz w:val="18"/>
                <w:szCs w:val="18"/>
                <w:lang w:val="es-ES"/>
              </w:rPr>
            </w:pPr>
            <w:r w:rsidRPr="008037B6">
              <w:rPr>
                <w:rFonts w:eastAsia="Times New Roman"/>
                <w:b/>
                <w:sz w:val="18"/>
                <w:szCs w:val="18"/>
                <w:lang w:val="es-ES"/>
              </w:rPr>
              <w:t>2014</w:t>
            </w:r>
          </w:p>
        </w:tc>
        <w:tc>
          <w:tcPr>
            <w:tcW w:w="992" w:type="dxa"/>
            <w:tcBorders>
              <w:top w:val="single" w:sz="6" w:space="0" w:color="000000"/>
              <w:left w:val="single" w:sz="6" w:space="0" w:color="000000"/>
              <w:bottom w:val="single" w:sz="6" w:space="0" w:color="000000"/>
              <w:right w:val="single" w:sz="6" w:space="0" w:color="000000"/>
            </w:tcBorders>
            <w:vAlign w:val="center"/>
          </w:tcPr>
          <w:p w14:paraId="77E4D721" w14:textId="77777777" w:rsidR="008037B6" w:rsidRPr="008037B6" w:rsidRDefault="008037B6" w:rsidP="008037B6">
            <w:pPr>
              <w:spacing w:before="20" w:after="20"/>
              <w:jc w:val="center"/>
              <w:rPr>
                <w:rFonts w:eastAsia="Times New Roman"/>
                <w:b/>
                <w:sz w:val="18"/>
                <w:szCs w:val="18"/>
                <w:lang w:val="es-ES"/>
              </w:rPr>
            </w:pPr>
            <w:r w:rsidRPr="008037B6">
              <w:rPr>
                <w:rFonts w:eastAsia="Times New Roman"/>
                <w:b/>
                <w:sz w:val="18"/>
                <w:szCs w:val="18"/>
                <w:lang w:val="es-ES"/>
              </w:rPr>
              <w:t>Variación %</w:t>
            </w:r>
          </w:p>
        </w:tc>
      </w:tr>
      <w:tr w:rsidR="008037B6" w:rsidRPr="008037B6" w14:paraId="0D111DFB" w14:textId="77777777" w:rsidTr="008037B6">
        <w:trPr>
          <w:jc w:val="center"/>
        </w:trPr>
        <w:tc>
          <w:tcPr>
            <w:tcW w:w="2689" w:type="dxa"/>
            <w:tcBorders>
              <w:top w:val="single" w:sz="6" w:space="0" w:color="000000"/>
              <w:left w:val="single" w:sz="6" w:space="0" w:color="000000"/>
              <w:bottom w:val="nil"/>
              <w:right w:val="single" w:sz="6" w:space="0" w:color="000000"/>
            </w:tcBorders>
            <w:shd w:val="clear" w:color="auto" w:fill="auto"/>
            <w:vAlign w:val="center"/>
          </w:tcPr>
          <w:p w14:paraId="16A27CEF" w14:textId="77777777" w:rsidR="008037B6" w:rsidRPr="008037B6" w:rsidRDefault="008037B6" w:rsidP="008037B6">
            <w:pPr>
              <w:spacing w:before="20" w:after="20"/>
              <w:rPr>
                <w:rFonts w:eastAsia="Times New Roman"/>
                <w:sz w:val="18"/>
                <w:szCs w:val="18"/>
                <w:lang w:val="es-ES"/>
              </w:rPr>
            </w:pPr>
            <w:r w:rsidRPr="008037B6">
              <w:rPr>
                <w:rFonts w:eastAsia="Times New Roman"/>
                <w:sz w:val="18"/>
                <w:szCs w:val="18"/>
                <w:lang w:val="es-ES"/>
              </w:rPr>
              <w:t>Estados Unidos de Norteamérica</w:t>
            </w:r>
          </w:p>
        </w:tc>
        <w:tc>
          <w:tcPr>
            <w:tcW w:w="1020" w:type="dxa"/>
            <w:tcBorders>
              <w:top w:val="single" w:sz="6" w:space="0" w:color="000000"/>
              <w:left w:val="single" w:sz="6" w:space="0" w:color="000000"/>
              <w:bottom w:val="nil"/>
              <w:right w:val="single" w:sz="6" w:space="0" w:color="000000"/>
            </w:tcBorders>
            <w:shd w:val="clear" w:color="auto" w:fill="auto"/>
            <w:vAlign w:val="center"/>
          </w:tcPr>
          <w:p w14:paraId="729F9385" w14:textId="77777777" w:rsidR="008037B6" w:rsidRPr="008037B6" w:rsidRDefault="008037B6" w:rsidP="008037B6">
            <w:pPr>
              <w:spacing w:before="20" w:after="20"/>
              <w:jc w:val="right"/>
              <w:rPr>
                <w:rFonts w:eastAsia="Times New Roman"/>
                <w:sz w:val="18"/>
                <w:szCs w:val="18"/>
                <w:lang w:val="es-ES"/>
              </w:rPr>
            </w:pPr>
            <w:r w:rsidRPr="008037B6">
              <w:rPr>
                <w:rFonts w:eastAsia="Times New Roman"/>
                <w:sz w:val="18"/>
                <w:szCs w:val="18"/>
                <w:lang w:val="es-ES"/>
              </w:rPr>
              <w:t>1 258 570</w:t>
            </w:r>
          </w:p>
        </w:tc>
        <w:tc>
          <w:tcPr>
            <w:tcW w:w="964" w:type="dxa"/>
            <w:tcBorders>
              <w:top w:val="single" w:sz="6" w:space="0" w:color="000000"/>
              <w:left w:val="single" w:sz="6" w:space="0" w:color="000000"/>
              <w:bottom w:val="nil"/>
              <w:right w:val="single" w:sz="6" w:space="0" w:color="000000"/>
            </w:tcBorders>
            <w:shd w:val="clear" w:color="auto" w:fill="auto"/>
            <w:vAlign w:val="center"/>
          </w:tcPr>
          <w:p w14:paraId="6EEB4615" w14:textId="77777777" w:rsidR="008037B6" w:rsidRPr="008037B6" w:rsidRDefault="008037B6" w:rsidP="008037B6">
            <w:pPr>
              <w:spacing w:before="20" w:after="20"/>
              <w:jc w:val="right"/>
              <w:rPr>
                <w:rFonts w:eastAsia="Times New Roman"/>
                <w:sz w:val="18"/>
                <w:szCs w:val="18"/>
                <w:lang w:val="es-ES"/>
              </w:rPr>
            </w:pPr>
            <w:r w:rsidRPr="008037B6">
              <w:rPr>
                <w:rFonts w:eastAsia="Times New Roman"/>
                <w:sz w:val="18"/>
                <w:szCs w:val="18"/>
                <w:lang w:val="es-ES"/>
              </w:rPr>
              <w:t>1 194 679</w:t>
            </w:r>
          </w:p>
        </w:tc>
        <w:tc>
          <w:tcPr>
            <w:tcW w:w="992" w:type="dxa"/>
            <w:tcBorders>
              <w:top w:val="single" w:sz="6" w:space="0" w:color="000000"/>
              <w:left w:val="single" w:sz="6" w:space="0" w:color="000000"/>
              <w:bottom w:val="nil"/>
              <w:right w:val="single" w:sz="6" w:space="0" w:color="000000"/>
            </w:tcBorders>
            <w:shd w:val="clear" w:color="auto" w:fill="auto"/>
            <w:vAlign w:val="center"/>
          </w:tcPr>
          <w:p w14:paraId="52EC7BB4" w14:textId="77777777" w:rsidR="008037B6" w:rsidRPr="008037B6" w:rsidRDefault="008037B6" w:rsidP="008037B6">
            <w:pPr>
              <w:spacing w:before="20" w:after="20"/>
              <w:ind w:right="227"/>
              <w:jc w:val="right"/>
              <w:rPr>
                <w:rFonts w:eastAsia="Times New Roman"/>
                <w:sz w:val="18"/>
                <w:szCs w:val="18"/>
                <w:lang w:val="es-ES"/>
              </w:rPr>
            </w:pPr>
            <w:r w:rsidRPr="008037B6">
              <w:rPr>
                <w:rFonts w:eastAsia="Times New Roman"/>
                <w:sz w:val="18"/>
                <w:szCs w:val="18"/>
                <w:lang w:val="es-ES"/>
              </w:rPr>
              <w:t>5.3</w:t>
            </w:r>
          </w:p>
        </w:tc>
        <w:tc>
          <w:tcPr>
            <w:tcW w:w="1206" w:type="dxa"/>
            <w:tcBorders>
              <w:top w:val="single" w:sz="6" w:space="0" w:color="000000"/>
              <w:left w:val="single" w:sz="6" w:space="0" w:color="000000"/>
              <w:bottom w:val="nil"/>
              <w:right w:val="single" w:sz="6" w:space="0" w:color="000000"/>
            </w:tcBorders>
          </w:tcPr>
          <w:p w14:paraId="55528DC5" w14:textId="77777777" w:rsidR="008037B6" w:rsidRPr="008037B6" w:rsidRDefault="008037B6" w:rsidP="008037B6">
            <w:pPr>
              <w:spacing w:before="20" w:after="20"/>
              <w:ind w:right="227"/>
              <w:jc w:val="right"/>
              <w:rPr>
                <w:rFonts w:eastAsia="Times New Roman"/>
                <w:sz w:val="18"/>
                <w:szCs w:val="18"/>
                <w:lang w:val="es-ES"/>
              </w:rPr>
            </w:pPr>
            <w:r w:rsidRPr="008037B6">
              <w:rPr>
                <w:rFonts w:eastAsia="Times New Roman"/>
                <w:sz w:val="18"/>
                <w:szCs w:val="18"/>
                <w:lang w:val="es-ES"/>
              </w:rPr>
              <w:t>2 411 050</w:t>
            </w:r>
          </w:p>
        </w:tc>
        <w:tc>
          <w:tcPr>
            <w:tcW w:w="1204" w:type="dxa"/>
            <w:tcBorders>
              <w:top w:val="single" w:sz="6" w:space="0" w:color="000000"/>
              <w:left w:val="single" w:sz="6" w:space="0" w:color="000000"/>
              <w:bottom w:val="nil"/>
              <w:right w:val="single" w:sz="6" w:space="0" w:color="000000"/>
            </w:tcBorders>
          </w:tcPr>
          <w:p w14:paraId="5B158F30" w14:textId="77777777" w:rsidR="008037B6" w:rsidRPr="008037B6" w:rsidRDefault="008037B6" w:rsidP="008037B6">
            <w:pPr>
              <w:spacing w:before="20" w:after="20"/>
              <w:ind w:right="227"/>
              <w:jc w:val="right"/>
              <w:rPr>
                <w:rFonts w:eastAsia="Times New Roman"/>
                <w:sz w:val="18"/>
                <w:szCs w:val="18"/>
                <w:lang w:val="es-ES"/>
              </w:rPr>
            </w:pPr>
            <w:r w:rsidRPr="008037B6">
              <w:rPr>
                <w:rFonts w:eastAsia="Times New Roman"/>
                <w:sz w:val="18"/>
                <w:szCs w:val="18"/>
                <w:lang w:val="es-ES"/>
              </w:rPr>
              <w:t>2 208 105</w:t>
            </w:r>
          </w:p>
        </w:tc>
        <w:tc>
          <w:tcPr>
            <w:tcW w:w="992" w:type="dxa"/>
            <w:tcBorders>
              <w:top w:val="single" w:sz="6" w:space="0" w:color="000000"/>
              <w:left w:val="single" w:sz="6" w:space="0" w:color="000000"/>
              <w:bottom w:val="nil"/>
              <w:right w:val="single" w:sz="6" w:space="0" w:color="000000"/>
            </w:tcBorders>
          </w:tcPr>
          <w:p w14:paraId="65230F5C" w14:textId="77777777" w:rsidR="008037B6" w:rsidRPr="008037B6" w:rsidRDefault="008037B6" w:rsidP="008037B6">
            <w:pPr>
              <w:spacing w:before="20" w:after="20"/>
              <w:ind w:right="227"/>
              <w:jc w:val="right"/>
              <w:rPr>
                <w:rFonts w:eastAsia="Times New Roman"/>
                <w:sz w:val="18"/>
                <w:szCs w:val="18"/>
                <w:lang w:val="es-ES"/>
              </w:rPr>
            </w:pPr>
            <w:r w:rsidRPr="008037B6">
              <w:rPr>
                <w:rFonts w:eastAsia="Times New Roman"/>
                <w:sz w:val="18"/>
                <w:szCs w:val="18"/>
                <w:lang w:val="es-ES"/>
              </w:rPr>
              <w:t>9.2</w:t>
            </w:r>
          </w:p>
        </w:tc>
      </w:tr>
      <w:tr w:rsidR="008037B6" w:rsidRPr="008037B6" w14:paraId="3EDE991B" w14:textId="77777777" w:rsidTr="008037B6">
        <w:trPr>
          <w:jc w:val="center"/>
        </w:trPr>
        <w:tc>
          <w:tcPr>
            <w:tcW w:w="2689" w:type="dxa"/>
            <w:tcBorders>
              <w:top w:val="nil"/>
              <w:left w:val="single" w:sz="6" w:space="0" w:color="000000"/>
              <w:bottom w:val="nil"/>
              <w:right w:val="single" w:sz="6" w:space="0" w:color="000000"/>
            </w:tcBorders>
            <w:shd w:val="clear" w:color="auto" w:fill="auto"/>
            <w:vAlign w:val="center"/>
          </w:tcPr>
          <w:p w14:paraId="64B7ECB0" w14:textId="77777777" w:rsidR="008037B6" w:rsidRPr="008037B6" w:rsidRDefault="008037B6" w:rsidP="008037B6">
            <w:pPr>
              <w:spacing w:before="20" w:after="20"/>
              <w:rPr>
                <w:rFonts w:eastAsia="Times New Roman"/>
                <w:sz w:val="18"/>
                <w:szCs w:val="18"/>
                <w:lang w:val="es-ES"/>
              </w:rPr>
            </w:pPr>
            <w:r w:rsidRPr="008037B6">
              <w:rPr>
                <w:rFonts w:eastAsia="Times New Roman"/>
                <w:sz w:val="18"/>
                <w:szCs w:val="18"/>
                <w:lang w:val="es-ES"/>
              </w:rPr>
              <w:t xml:space="preserve">Italia </w:t>
            </w:r>
          </w:p>
        </w:tc>
        <w:tc>
          <w:tcPr>
            <w:tcW w:w="1020" w:type="dxa"/>
            <w:tcBorders>
              <w:top w:val="nil"/>
              <w:left w:val="single" w:sz="6" w:space="0" w:color="000000"/>
              <w:bottom w:val="nil"/>
              <w:right w:val="single" w:sz="6" w:space="0" w:color="000000"/>
            </w:tcBorders>
            <w:shd w:val="clear" w:color="auto" w:fill="auto"/>
            <w:vAlign w:val="center"/>
          </w:tcPr>
          <w:p w14:paraId="7F001937" w14:textId="77777777" w:rsidR="008037B6" w:rsidRPr="008037B6" w:rsidRDefault="008037B6" w:rsidP="008037B6">
            <w:pPr>
              <w:spacing w:before="20" w:after="20"/>
              <w:jc w:val="right"/>
              <w:rPr>
                <w:rFonts w:eastAsia="Times New Roman"/>
                <w:sz w:val="18"/>
                <w:szCs w:val="18"/>
                <w:lang w:val="es-ES"/>
              </w:rPr>
            </w:pPr>
            <w:r w:rsidRPr="008037B6">
              <w:rPr>
                <w:rFonts w:eastAsia="Times New Roman"/>
                <w:sz w:val="18"/>
                <w:szCs w:val="18"/>
                <w:lang w:val="es-ES"/>
              </w:rPr>
              <w:t>134 697</w:t>
            </w:r>
          </w:p>
        </w:tc>
        <w:tc>
          <w:tcPr>
            <w:tcW w:w="964" w:type="dxa"/>
            <w:tcBorders>
              <w:top w:val="nil"/>
              <w:left w:val="single" w:sz="6" w:space="0" w:color="000000"/>
              <w:bottom w:val="nil"/>
              <w:right w:val="single" w:sz="6" w:space="0" w:color="000000"/>
            </w:tcBorders>
            <w:shd w:val="clear" w:color="auto" w:fill="auto"/>
            <w:vAlign w:val="center"/>
          </w:tcPr>
          <w:p w14:paraId="41D447CB" w14:textId="77777777" w:rsidR="008037B6" w:rsidRPr="008037B6" w:rsidRDefault="008037B6" w:rsidP="008037B6">
            <w:pPr>
              <w:spacing w:before="20" w:after="20"/>
              <w:jc w:val="right"/>
              <w:rPr>
                <w:rFonts w:eastAsia="Times New Roman"/>
                <w:sz w:val="18"/>
                <w:szCs w:val="18"/>
                <w:lang w:val="es-ES"/>
              </w:rPr>
            </w:pPr>
            <w:r w:rsidRPr="008037B6">
              <w:rPr>
                <w:rFonts w:eastAsia="Times New Roman"/>
                <w:sz w:val="18"/>
                <w:szCs w:val="18"/>
                <w:lang w:val="es-ES"/>
              </w:rPr>
              <w:t>118 976</w:t>
            </w:r>
          </w:p>
        </w:tc>
        <w:tc>
          <w:tcPr>
            <w:tcW w:w="992" w:type="dxa"/>
            <w:tcBorders>
              <w:top w:val="nil"/>
              <w:left w:val="single" w:sz="6" w:space="0" w:color="000000"/>
              <w:bottom w:val="nil"/>
              <w:right w:val="single" w:sz="6" w:space="0" w:color="000000"/>
            </w:tcBorders>
            <w:shd w:val="clear" w:color="auto" w:fill="auto"/>
            <w:vAlign w:val="center"/>
          </w:tcPr>
          <w:p w14:paraId="07D3177B" w14:textId="77777777" w:rsidR="008037B6" w:rsidRPr="008037B6" w:rsidRDefault="008037B6" w:rsidP="008037B6">
            <w:pPr>
              <w:spacing w:before="20" w:after="20"/>
              <w:ind w:right="227"/>
              <w:jc w:val="right"/>
              <w:rPr>
                <w:rFonts w:eastAsia="Times New Roman"/>
                <w:sz w:val="18"/>
                <w:szCs w:val="18"/>
                <w:lang w:val="es-ES"/>
              </w:rPr>
            </w:pPr>
            <w:r w:rsidRPr="008037B6">
              <w:rPr>
                <w:rFonts w:eastAsia="Times New Roman"/>
                <w:sz w:val="18"/>
                <w:szCs w:val="18"/>
                <w:lang w:val="es-ES"/>
              </w:rPr>
              <w:t>13.2</w:t>
            </w:r>
          </w:p>
        </w:tc>
        <w:tc>
          <w:tcPr>
            <w:tcW w:w="1206" w:type="dxa"/>
            <w:tcBorders>
              <w:top w:val="nil"/>
              <w:left w:val="single" w:sz="6" w:space="0" w:color="000000"/>
              <w:bottom w:val="nil"/>
              <w:right w:val="single" w:sz="6" w:space="0" w:color="000000"/>
            </w:tcBorders>
          </w:tcPr>
          <w:p w14:paraId="48389044" w14:textId="77777777" w:rsidR="008037B6" w:rsidRPr="008037B6" w:rsidRDefault="008037B6" w:rsidP="008037B6">
            <w:pPr>
              <w:spacing w:before="20" w:after="20"/>
              <w:ind w:right="227"/>
              <w:jc w:val="right"/>
              <w:rPr>
                <w:rFonts w:eastAsia="Times New Roman"/>
                <w:sz w:val="18"/>
                <w:szCs w:val="18"/>
                <w:lang w:val="es-ES"/>
              </w:rPr>
            </w:pPr>
            <w:r w:rsidRPr="008037B6">
              <w:rPr>
                <w:rFonts w:eastAsia="Times New Roman"/>
                <w:sz w:val="18"/>
                <w:szCs w:val="18"/>
                <w:lang w:val="es-ES"/>
              </w:rPr>
              <w:t>266 555</w:t>
            </w:r>
          </w:p>
        </w:tc>
        <w:tc>
          <w:tcPr>
            <w:tcW w:w="1204" w:type="dxa"/>
            <w:tcBorders>
              <w:top w:val="nil"/>
              <w:left w:val="single" w:sz="6" w:space="0" w:color="000000"/>
              <w:bottom w:val="nil"/>
              <w:right w:val="single" w:sz="6" w:space="0" w:color="000000"/>
            </w:tcBorders>
          </w:tcPr>
          <w:p w14:paraId="3D035E97" w14:textId="77777777" w:rsidR="008037B6" w:rsidRPr="008037B6" w:rsidRDefault="008037B6" w:rsidP="008037B6">
            <w:pPr>
              <w:spacing w:before="20" w:after="20"/>
              <w:ind w:right="227"/>
              <w:jc w:val="right"/>
              <w:rPr>
                <w:rFonts w:eastAsia="Times New Roman"/>
                <w:sz w:val="18"/>
                <w:szCs w:val="18"/>
                <w:lang w:val="es-ES"/>
              </w:rPr>
            </w:pPr>
            <w:r w:rsidRPr="008037B6">
              <w:rPr>
                <w:rFonts w:eastAsia="Times New Roman"/>
                <w:sz w:val="18"/>
                <w:szCs w:val="18"/>
                <w:lang w:val="es-ES"/>
              </w:rPr>
              <w:t>237 441</w:t>
            </w:r>
          </w:p>
        </w:tc>
        <w:tc>
          <w:tcPr>
            <w:tcW w:w="992" w:type="dxa"/>
            <w:tcBorders>
              <w:top w:val="nil"/>
              <w:left w:val="single" w:sz="6" w:space="0" w:color="000000"/>
              <w:bottom w:val="nil"/>
              <w:right w:val="single" w:sz="6" w:space="0" w:color="000000"/>
            </w:tcBorders>
          </w:tcPr>
          <w:p w14:paraId="4550912F" w14:textId="77777777" w:rsidR="008037B6" w:rsidRPr="008037B6" w:rsidRDefault="008037B6" w:rsidP="008037B6">
            <w:pPr>
              <w:spacing w:before="20" w:after="20"/>
              <w:ind w:right="227"/>
              <w:jc w:val="right"/>
              <w:rPr>
                <w:rFonts w:eastAsia="Times New Roman"/>
                <w:sz w:val="18"/>
                <w:szCs w:val="18"/>
                <w:lang w:val="es-ES"/>
              </w:rPr>
            </w:pPr>
            <w:r w:rsidRPr="008037B6">
              <w:rPr>
                <w:rFonts w:eastAsia="Times New Roman"/>
                <w:sz w:val="18"/>
                <w:szCs w:val="18"/>
                <w:lang w:val="es-ES"/>
              </w:rPr>
              <w:t>12.3</w:t>
            </w:r>
          </w:p>
        </w:tc>
      </w:tr>
      <w:tr w:rsidR="008037B6" w:rsidRPr="008037B6" w14:paraId="3EB86816" w14:textId="77777777" w:rsidTr="008037B6">
        <w:trPr>
          <w:jc w:val="center"/>
        </w:trPr>
        <w:tc>
          <w:tcPr>
            <w:tcW w:w="2689" w:type="dxa"/>
            <w:tcBorders>
              <w:top w:val="nil"/>
              <w:left w:val="single" w:sz="6" w:space="0" w:color="000000"/>
              <w:bottom w:val="nil"/>
              <w:right w:val="single" w:sz="6" w:space="0" w:color="000000"/>
            </w:tcBorders>
            <w:shd w:val="clear" w:color="auto" w:fill="auto"/>
            <w:vAlign w:val="center"/>
          </w:tcPr>
          <w:p w14:paraId="7CA48343" w14:textId="77777777" w:rsidR="008037B6" w:rsidRPr="008037B6" w:rsidRDefault="008037B6" w:rsidP="008037B6">
            <w:pPr>
              <w:spacing w:before="20" w:after="20"/>
              <w:rPr>
                <w:rFonts w:eastAsia="Times New Roman"/>
                <w:sz w:val="18"/>
                <w:szCs w:val="18"/>
                <w:lang w:val="es-ES"/>
              </w:rPr>
            </w:pPr>
            <w:r w:rsidRPr="008037B6">
              <w:rPr>
                <w:rFonts w:eastAsia="Times New Roman"/>
                <w:sz w:val="18"/>
                <w:szCs w:val="18"/>
                <w:lang w:val="es-ES"/>
              </w:rPr>
              <w:t xml:space="preserve">Brasil </w:t>
            </w:r>
          </w:p>
        </w:tc>
        <w:tc>
          <w:tcPr>
            <w:tcW w:w="1020" w:type="dxa"/>
            <w:tcBorders>
              <w:top w:val="nil"/>
              <w:left w:val="single" w:sz="6" w:space="0" w:color="000000"/>
              <w:bottom w:val="nil"/>
              <w:right w:val="single" w:sz="6" w:space="0" w:color="000000"/>
            </w:tcBorders>
            <w:shd w:val="clear" w:color="auto" w:fill="auto"/>
            <w:vAlign w:val="center"/>
          </w:tcPr>
          <w:p w14:paraId="4E4C951A" w14:textId="77777777" w:rsidR="008037B6" w:rsidRPr="008037B6" w:rsidRDefault="008037B6" w:rsidP="008037B6">
            <w:pPr>
              <w:spacing w:before="20" w:after="20"/>
              <w:jc w:val="right"/>
              <w:rPr>
                <w:rFonts w:eastAsia="Times New Roman"/>
                <w:sz w:val="18"/>
                <w:szCs w:val="18"/>
                <w:lang w:val="es-ES"/>
              </w:rPr>
            </w:pPr>
            <w:r w:rsidRPr="008037B6">
              <w:rPr>
                <w:rFonts w:eastAsia="Times New Roman"/>
                <w:sz w:val="18"/>
                <w:szCs w:val="18"/>
                <w:lang w:val="es-ES"/>
              </w:rPr>
              <w:t>178 822</w:t>
            </w:r>
          </w:p>
        </w:tc>
        <w:tc>
          <w:tcPr>
            <w:tcW w:w="964" w:type="dxa"/>
            <w:tcBorders>
              <w:top w:val="nil"/>
              <w:left w:val="single" w:sz="6" w:space="0" w:color="000000"/>
              <w:bottom w:val="nil"/>
              <w:right w:val="single" w:sz="6" w:space="0" w:color="000000"/>
            </w:tcBorders>
            <w:shd w:val="clear" w:color="auto" w:fill="auto"/>
            <w:vAlign w:val="center"/>
          </w:tcPr>
          <w:p w14:paraId="6B00F8B5" w14:textId="77777777" w:rsidR="008037B6" w:rsidRPr="008037B6" w:rsidRDefault="008037B6" w:rsidP="008037B6">
            <w:pPr>
              <w:spacing w:before="20" w:after="20"/>
              <w:jc w:val="right"/>
              <w:rPr>
                <w:rFonts w:eastAsia="Times New Roman"/>
                <w:sz w:val="18"/>
                <w:szCs w:val="18"/>
                <w:lang w:val="es-ES"/>
              </w:rPr>
            </w:pPr>
            <w:r w:rsidRPr="008037B6">
              <w:rPr>
                <w:rFonts w:eastAsia="Times New Roman"/>
                <w:sz w:val="18"/>
                <w:szCs w:val="18"/>
                <w:lang w:val="es-ES"/>
              </w:rPr>
              <w:t>245 904</w:t>
            </w:r>
          </w:p>
        </w:tc>
        <w:tc>
          <w:tcPr>
            <w:tcW w:w="992" w:type="dxa"/>
            <w:tcBorders>
              <w:top w:val="nil"/>
              <w:left w:val="single" w:sz="6" w:space="0" w:color="000000"/>
              <w:bottom w:val="nil"/>
              <w:right w:val="single" w:sz="6" w:space="0" w:color="000000"/>
            </w:tcBorders>
            <w:shd w:val="clear" w:color="auto" w:fill="auto"/>
            <w:vAlign w:val="center"/>
          </w:tcPr>
          <w:p w14:paraId="1F523809" w14:textId="77777777" w:rsidR="008037B6" w:rsidRPr="008037B6" w:rsidRDefault="008037B6" w:rsidP="008037B6">
            <w:pPr>
              <w:spacing w:before="20" w:after="20"/>
              <w:ind w:right="227"/>
              <w:jc w:val="right"/>
              <w:rPr>
                <w:rFonts w:eastAsia="Times New Roman"/>
                <w:sz w:val="18"/>
                <w:szCs w:val="18"/>
                <w:lang w:val="es-ES"/>
              </w:rPr>
            </w:pPr>
            <w:r w:rsidRPr="008037B6">
              <w:rPr>
                <w:rFonts w:eastAsia="Times New Roman"/>
                <w:sz w:val="18"/>
                <w:szCs w:val="18"/>
                <w:lang w:val="es-ES"/>
              </w:rPr>
              <w:t>-27.3</w:t>
            </w:r>
          </w:p>
        </w:tc>
        <w:tc>
          <w:tcPr>
            <w:tcW w:w="1206" w:type="dxa"/>
            <w:tcBorders>
              <w:top w:val="nil"/>
              <w:left w:val="single" w:sz="6" w:space="0" w:color="000000"/>
              <w:bottom w:val="nil"/>
              <w:right w:val="single" w:sz="6" w:space="0" w:color="000000"/>
            </w:tcBorders>
          </w:tcPr>
          <w:p w14:paraId="303C638C" w14:textId="77777777" w:rsidR="008037B6" w:rsidRPr="008037B6" w:rsidRDefault="008037B6" w:rsidP="008037B6">
            <w:pPr>
              <w:spacing w:before="20" w:after="20"/>
              <w:ind w:right="227"/>
              <w:jc w:val="right"/>
              <w:rPr>
                <w:rFonts w:eastAsia="Times New Roman"/>
                <w:sz w:val="18"/>
                <w:szCs w:val="18"/>
                <w:lang w:val="es-ES"/>
              </w:rPr>
            </w:pPr>
            <w:r w:rsidRPr="008037B6">
              <w:rPr>
                <w:rFonts w:eastAsia="Times New Roman"/>
                <w:sz w:val="18"/>
                <w:szCs w:val="18"/>
                <w:lang w:val="es-ES"/>
              </w:rPr>
              <w:t>422 717</w:t>
            </w:r>
          </w:p>
        </w:tc>
        <w:tc>
          <w:tcPr>
            <w:tcW w:w="1204" w:type="dxa"/>
            <w:tcBorders>
              <w:top w:val="nil"/>
              <w:left w:val="single" w:sz="6" w:space="0" w:color="000000"/>
              <w:bottom w:val="nil"/>
              <w:right w:val="single" w:sz="6" w:space="0" w:color="000000"/>
            </w:tcBorders>
          </w:tcPr>
          <w:p w14:paraId="17C3C721" w14:textId="77777777" w:rsidR="008037B6" w:rsidRPr="008037B6" w:rsidRDefault="008037B6" w:rsidP="008037B6">
            <w:pPr>
              <w:spacing w:before="20" w:after="20"/>
              <w:ind w:right="227"/>
              <w:jc w:val="right"/>
              <w:rPr>
                <w:rFonts w:eastAsia="Times New Roman"/>
                <w:sz w:val="18"/>
                <w:szCs w:val="18"/>
                <w:lang w:val="es-ES"/>
              </w:rPr>
            </w:pPr>
            <w:r w:rsidRPr="008037B6">
              <w:rPr>
                <w:rFonts w:eastAsia="Times New Roman"/>
                <w:sz w:val="18"/>
                <w:szCs w:val="18"/>
                <w:lang w:val="es-ES"/>
              </w:rPr>
              <w:t>545 641</w:t>
            </w:r>
          </w:p>
        </w:tc>
        <w:tc>
          <w:tcPr>
            <w:tcW w:w="992" w:type="dxa"/>
            <w:tcBorders>
              <w:top w:val="nil"/>
              <w:left w:val="single" w:sz="6" w:space="0" w:color="000000"/>
              <w:bottom w:val="nil"/>
              <w:right w:val="single" w:sz="6" w:space="0" w:color="000000"/>
            </w:tcBorders>
          </w:tcPr>
          <w:p w14:paraId="4CBB0B96" w14:textId="77777777" w:rsidR="008037B6" w:rsidRPr="008037B6" w:rsidRDefault="008037B6" w:rsidP="008037B6">
            <w:pPr>
              <w:spacing w:before="20" w:after="20"/>
              <w:ind w:right="227"/>
              <w:jc w:val="right"/>
              <w:rPr>
                <w:rFonts w:eastAsia="Times New Roman"/>
                <w:sz w:val="18"/>
                <w:szCs w:val="18"/>
                <w:lang w:val="es-ES"/>
              </w:rPr>
            </w:pPr>
            <w:r w:rsidRPr="008037B6">
              <w:rPr>
                <w:rFonts w:eastAsia="Times New Roman"/>
                <w:sz w:val="18"/>
                <w:szCs w:val="18"/>
                <w:lang w:val="es-ES"/>
              </w:rPr>
              <w:t>-22.5</w:t>
            </w:r>
          </w:p>
        </w:tc>
      </w:tr>
      <w:tr w:rsidR="008037B6" w:rsidRPr="008037B6" w14:paraId="06588AE2" w14:textId="77777777" w:rsidTr="008037B6">
        <w:trPr>
          <w:jc w:val="center"/>
        </w:trPr>
        <w:tc>
          <w:tcPr>
            <w:tcW w:w="2689" w:type="dxa"/>
            <w:tcBorders>
              <w:top w:val="nil"/>
              <w:left w:val="single" w:sz="6" w:space="0" w:color="000000"/>
              <w:bottom w:val="nil"/>
              <w:right w:val="single" w:sz="6" w:space="0" w:color="000000"/>
            </w:tcBorders>
            <w:shd w:val="clear" w:color="auto" w:fill="auto"/>
            <w:vAlign w:val="center"/>
          </w:tcPr>
          <w:p w14:paraId="437DF1BA" w14:textId="77777777" w:rsidR="008037B6" w:rsidRPr="008037B6" w:rsidRDefault="008037B6" w:rsidP="008037B6">
            <w:pPr>
              <w:spacing w:before="20" w:after="20"/>
              <w:rPr>
                <w:rFonts w:eastAsia="Times New Roman"/>
                <w:sz w:val="18"/>
                <w:szCs w:val="18"/>
                <w:lang w:val="es-ES"/>
              </w:rPr>
            </w:pPr>
            <w:r w:rsidRPr="008037B6">
              <w:rPr>
                <w:rFonts w:eastAsia="Times New Roman"/>
                <w:sz w:val="18"/>
                <w:szCs w:val="18"/>
                <w:lang w:val="es-ES"/>
              </w:rPr>
              <w:t xml:space="preserve">España </w:t>
            </w:r>
          </w:p>
        </w:tc>
        <w:tc>
          <w:tcPr>
            <w:tcW w:w="1020" w:type="dxa"/>
            <w:tcBorders>
              <w:top w:val="nil"/>
              <w:left w:val="single" w:sz="6" w:space="0" w:color="000000"/>
              <w:bottom w:val="nil"/>
              <w:right w:val="single" w:sz="6" w:space="0" w:color="000000"/>
            </w:tcBorders>
            <w:shd w:val="clear" w:color="auto" w:fill="auto"/>
            <w:vAlign w:val="center"/>
          </w:tcPr>
          <w:p w14:paraId="51AF4F53" w14:textId="77777777" w:rsidR="008037B6" w:rsidRPr="008037B6" w:rsidRDefault="008037B6" w:rsidP="008037B6">
            <w:pPr>
              <w:spacing w:before="20" w:after="20"/>
              <w:jc w:val="right"/>
              <w:rPr>
                <w:rFonts w:eastAsia="Times New Roman"/>
                <w:sz w:val="18"/>
                <w:szCs w:val="18"/>
                <w:lang w:val="es-ES"/>
              </w:rPr>
            </w:pPr>
            <w:r w:rsidRPr="008037B6">
              <w:rPr>
                <w:rFonts w:eastAsia="Times New Roman"/>
                <w:sz w:val="18"/>
                <w:szCs w:val="18"/>
                <w:lang w:val="es-ES"/>
              </w:rPr>
              <w:t>86 717</w:t>
            </w:r>
          </w:p>
        </w:tc>
        <w:tc>
          <w:tcPr>
            <w:tcW w:w="964" w:type="dxa"/>
            <w:tcBorders>
              <w:top w:val="nil"/>
              <w:left w:val="single" w:sz="6" w:space="0" w:color="000000"/>
              <w:bottom w:val="nil"/>
              <w:right w:val="single" w:sz="6" w:space="0" w:color="000000"/>
            </w:tcBorders>
            <w:shd w:val="clear" w:color="auto" w:fill="auto"/>
            <w:vAlign w:val="center"/>
          </w:tcPr>
          <w:p w14:paraId="4D830C6D" w14:textId="77777777" w:rsidR="008037B6" w:rsidRPr="008037B6" w:rsidRDefault="008037B6" w:rsidP="008037B6">
            <w:pPr>
              <w:spacing w:before="20" w:after="20"/>
              <w:jc w:val="right"/>
              <w:rPr>
                <w:rFonts w:eastAsia="Times New Roman"/>
                <w:sz w:val="18"/>
                <w:szCs w:val="18"/>
                <w:lang w:val="es-ES"/>
              </w:rPr>
            </w:pPr>
            <w:r w:rsidRPr="008037B6">
              <w:rPr>
                <w:rFonts w:eastAsia="Times New Roman"/>
                <w:sz w:val="18"/>
                <w:szCs w:val="18"/>
                <w:lang w:val="es-ES"/>
              </w:rPr>
              <w:t>68 763</w:t>
            </w:r>
          </w:p>
        </w:tc>
        <w:tc>
          <w:tcPr>
            <w:tcW w:w="992" w:type="dxa"/>
            <w:tcBorders>
              <w:top w:val="nil"/>
              <w:left w:val="single" w:sz="6" w:space="0" w:color="000000"/>
              <w:bottom w:val="nil"/>
              <w:right w:val="single" w:sz="6" w:space="0" w:color="000000"/>
            </w:tcBorders>
            <w:shd w:val="clear" w:color="auto" w:fill="auto"/>
            <w:vAlign w:val="center"/>
          </w:tcPr>
          <w:p w14:paraId="3780934E" w14:textId="77777777" w:rsidR="008037B6" w:rsidRPr="008037B6" w:rsidRDefault="008037B6" w:rsidP="008037B6">
            <w:pPr>
              <w:spacing w:before="20" w:after="20"/>
              <w:ind w:right="227"/>
              <w:jc w:val="right"/>
              <w:rPr>
                <w:rFonts w:eastAsia="Times New Roman"/>
                <w:sz w:val="18"/>
                <w:szCs w:val="18"/>
                <w:lang w:val="es-ES"/>
              </w:rPr>
            </w:pPr>
            <w:r w:rsidRPr="008037B6">
              <w:rPr>
                <w:rFonts w:eastAsia="Times New Roman"/>
                <w:sz w:val="18"/>
                <w:szCs w:val="18"/>
                <w:lang w:val="es-ES"/>
              </w:rPr>
              <w:t>26.1</w:t>
            </w:r>
          </w:p>
        </w:tc>
        <w:tc>
          <w:tcPr>
            <w:tcW w:w="1206" w:type="dxa"/>
            <w:tcBorders>
              <w:top w:val="nil"/>
              <w:left w:val="single" w:sz="6" w:space="0" w:color="000000"/>
              <w:bottom w:val="nil"/>
              <w:right w:val="single" w:sz="6" w:space="0" w:color="000000"/>
            </w:tcBorders>
          </w:tcPr>
          <w:p w14:paraId="5A9FEBC7" w14:textId="77777777" w:rsidR="008037B6" w:rsidRPr="008037B6" w:rsidRDefault="008037B6" w:rsidP="008037B6">
            <w:pPr>
              <w:spacing w:before="20" w:after="20"/>
              <w:ind w:right="227"/>
              <w:jc w:val="right"/>
              <w:rPr>
                <w:rFonts w:eastAsia="Times New Roman"/>
                <w:sz w:val="18"/>
                <w:szCs w:val="18"/>
                <w:lang w:val="es-ES"/>
              </w:rPr>
            </w:pPr>
            <w:r w:rsidRPr="008037B6">
              <w:rPr>
                <w:rFonts w:eastAsia="Times New Roman"/>
                <w:sz w:val="18"/>
                <w:szCs w:val="18"/>
                <w:lang w:val="es-ES"/>
              </w:rPr>
              <w:t>154 836</w:t>
            </w:r>
          </w:p>
        </w:tc>
        <w:tc>
          <w:tcPr>
            <w:tcW w:w="1204" w:type="dxa"/>
            <w:tcBorders>
              <w:top w:val="nil"/>
              <w:left w:val="single" w:sz="6" w:space="0" w:color="000000"/>
              <w:bottom w:val="nil"/>
              <w:right w:val="single" w:sz="6" w:space="0" w:color="000000"/>
            </w:tcBorders>
          </w:tcPr>
          <w:p w14:paraId="44252655" w14:textId="77777777" w:rsidR="008037B6" w:rsidRPr="008037B6" w:rsidRDefault="008037B6" w:rsidP="008037B6">
            <w:pPr>
              <w:spacing w:before="20" w:after="20"/>
              <w:ind w:right="227"/>
              <w:jc w:val="right"/>
              <w:rPr>
                <w:rFonts w:eastAsia="Times New Roman"/>
                <w:sz w:val="18"/>
                <w:szCs w:val="18"/>
                <w:lang w:val="es-ES"/>
              </w:rPr>
            </w:pPr>
            <w:r w:rsidRPr="008037B6">
              <w:rPr>
                <w:rFonts w:eastAsia="Times New Roman"/>
                <w:sz w:val="18"/>
                <w:szCs w:val="18"/>
                <w:lang w:val="es-ES"/>
              </w:rPr>
              <w:t>122 199</w:t>
            </w:r>
          </w:p>
        </w:tc>
        <w:tc>
          <w:tcPr>
            <w:tcW w:w="992" w:type="dxa"/>
            <w:tcBorders>
              <w:top w:val="nil"/>
              <w:left w:val="single" w:sz="6" w:space="0" w:color="000000"/>
              <w:bottom w:val="nil"/>
              <w:right w:val="single" w:sz="6" w:space="0" w:color="000000"/>
            </w:tcBorders>
          </w:tcPr>
          <w:p w14:paraId="603C5A14" w14:textId="77777777" w:rsidR="008037B6" w:rsidRPr="008037B6" w:rsidRDefault="008037B6" w:rsidP="008037B6">
            <w:pPr>
              <w:spacing w:before="20" w:after="20"/>
              <w:ind w:right="227"/>
              <w:jc w:val="right"/>
              <w:rPr>
                <w:rFonts w:eastAsia="Times New Roman"/>
                <w:sz w:val="18"/>
                <w:szCs w:val="18"/>
                <w:lang w:val="es-ES"/>
              </w:rPr>
            </w:pPr>
            <w:r w:rsidRPr="008037B6">
              <w:rPr>
                <w:rFonts w:eastAsia="Times New Roman"/>
                <w:sz w:val="18"/>
                <w:szCs w:val="18"/>
                <w:lang w:val="es-ES"/>
              </w:rPr>
              <w:t>26.7</w:t>
            </w:r>
          </w:p>
        </w:tc>
      </w:tr>
      <w:tr w:rsidR="008037B6" w:rsidRPr="008037B6" w14:paraId="79655702" w14:textId="77777777" w:rsidTr="008037B6">
        <w:trPr>
          <w:jc w:val="center"/>
        </w:trPr>
        <w:tc>
          <w:tcPr>
            <w:tcW w:w="2689" w:type="dxa"/>
            <w:tcBorders>
              <w:top w:val="nil"/>
              <w:left w:val="single" w:sz="6" w:space="0" w:color="000000"/>
              <w:bottom w:val="nil"/>
              <w:right w:val="single" w:sz="6" w:space="0" w:color="000000"/>
            </w:tcBorders>
            <w:shd w:val="clear" w:color="auto" w:fill="auto"/>
            <w:vAlign w:val="center"/>
          </w:tcPr>
          <w:p w14:paraId="0DD4BCDF" w14:textId="77777777" w:rsidR="008037B6" w:rsidRPr="008037B6" w:rsidRDefault="008037B6" w:rsidP="008037B6">
            <w:pPr>
              <w:spacing w:before="20" w:after="20"/>
              <w:rPr>
                <w:rFonts w:eastAsia="Times New Roman"/>
                <w:sz w:val="18"/>
                <w:szCs w:val="18"/>
                <w:lang w:val="es-ES"/>
              </w:rPr>
            </w:pPr>
            <w:r w:rsidRPr="008037B6">
              <w:rPr>
                <w:rFonts w:eastAsia="Times New Roman"/>
                <w:sz w:val="18"/>
                <w:szCs w:val="18"/>
                <w:lang w:val="es-ES"/>
              </w:rPr>
              <w:t xml:space="preserve">Canadá </w:t>
            </w:r>
          </w:p>
        </w:tc>
        <w:tc>
          <w:tcPr>
            <w:tcW w:w="1020" w:type="dxa"/>
            <w:tcBorders>
              <w:top w:val="nil"/>
              <w:left w:val="single" w:sz="6" w:space="0" w:color="000000"/>
              <w:bottom w:val="nil"/>
              <w:right w:val="single" w:sz="6" w:space="0" w:color="000000"/>
            </w:tcBorders>
            <w:shd w:val="clear" w:color="auto" w:fill="auto"/>
            <w:vAlign w:val="center"/>
          </w:tcPr>
          <w:p w14:paraId="355E7667" w14:textId="77777777" w:rsidR="008037B6" w:rsidRPr="008037B6" w:rsidRDefault="008037B6" w:rsidP="008037B6">
            <w:pPr>
              <w:spacing w:before="20" w:after="20"/>
              <w:jc w:val="right"/>
              <w:rPr>
                <w:rFonts w:eastAsia="Times New Roman"/>
                <w:sz w:val="18"/>
                <w:szCs w:val="18"/>
                <w:lang w:val="es-ES"/>
              </w:rPr>
            </w:pPr>
            <w:r w:rsidRPr="008037B6">
              <w:rPr>
                <w:rFonts w:eastAsia="Times New Roman"/>
                <w:sz w:val="18"/>
                <w:szCs w:val="18"/>
                <w:lang w:val="es-ES"/>
              </w:rPr>
              <w:t>109 248</w:t>
            </w:r>
          </w:p>
        </w:tc>
        <w:tc>
          <w:tcPr>
            <w:tcW w:w="964" w:type="dxa"/>
            <w:tcBorders>
              <w:top w:val="nil"/>
              <w:left w:val="single" w:sz="6" w:space="0" w:color="000000"/>
              <w:bottom w:val="nil"/>
              <w:right w:val="single" w:sz="6" w:space="0" w:color="000000"/>
            </w:tcBorders>
            <w:shd w:val="clear" w:color="auto" w:fill="auto"/>
            <w:vAlign w:val="center"/>
          </w:tcPr>
          <w:p w14:paraId="03F11A86" w14:textId="77777777" w:rsidR="008037B6" w:rsidRPr="008037B6" w:rsidRDefault="008037B6" w:rsidP="008037B6">
            <w:pPr>
              <w:spacing w:before="20" w:after="20"/>
              <w:jc w:val="right"/>
              <w:rPr>
                <w:rFonts w:eastAsia="Times New Roman"/>
                <w:sz w:val="18"/>
                <w:szCs w:val="18"/>
                <w:lang w:val="es-ES"/>
              </w:rPr>
            </w:pPr>
            <w:r w:rsidRPr="008037B6">
              <w:rPr>
                <w:rFonts w:eastAsia="Times New Roman"/>
                <w:sz w:val="18"/>
                <w:szCs w:val="18"/>
                <w:lang w:val="es-ES"/>
              </w:rPr>
              <w:t>105 865</w:t>
            </w:r>
          </w:p>
        </w:tc>
        <w:tc>
          <w:tcPr>
            <w:tcW w:w="992" w:type="dxa"/>
            <w:tcBorders>
              <w:top w:val="nil"/>
              <w:left w:val="single" w:sz="6" w:space="0" w:color="000000"/>
              <w:bottom w:val="nil"/>
              <w:right w:val="single" w:sz="6" w:space="0" w:color="000000"/>
            </w:tcBorders>
            <w:shd w:val="clear" w:color="auto" w:fill="auto"/>
            <w:vAlign w:val="center"/>
          </w:tcPr>
          <w:p w14:paraId="539336A2" w14:textId="77777777" w:rsidR="008037B6" w:rsidRPr="008037B6" w:rsidRDefault="008037B6" w:rsidP="008037B6">
            <w:pPr>
              <w:spacing w:before="20" w:after="20"/>
              <w:ind w:right="227"/>
              <w:jc w:val="right"/>
              <w:rPr>
                <w:rFonts w:eastAsia="Times New Roman"/>
                <w:sz w:val="18"/>
                <w:szCs w:val="18"/>
                <w:lang w:val="es-ES"/>
              </w:rPr>
            </w:pPr>
            <w:r w:rsidRPr="008037B6">
              <w:rPr>
                <w:rFonts w:eastAsia="Times New Roman"/>
                <w:sz w:val="18"/>
                <w:szCs w:val="18"/>
                <w:lang w:val="es-ES"/>
              </w:rPr>
              <w:t>3.2</w:t>
            </w:r>
          </w:p>
        </w:tc>
        <w:tc>
          <w:tcPr>
            <w:tcW w:w="1206" w:type="dxa"/>
            <w:tcBorders>
              <w:top w:val="nil"/>
              <w:left w:val="single" w:sz="6" w:space="0" w:color="000000"/>
              <w:bottom w:val="nil"/>
              <w:right w:val="single" w:sz="6" w:space="0" w:color="000000"/>
            </w:tcBorders>
          </w:tcPr>
          <w:p w14:paraId="51A3C848" w14:textId="77777777" w:rsidR="008037B6" w:rsidRPr="008037B6" w:rsidRDefault="008037B6" w:rsidP="008037B6">
            <w:pPr>
              <w:spacing w:before="20" w:after="20"/>
              <w:ind w:right="227"/>
              <w:jc w:val="right"/>
              <w:rPr>
                <w:rFonts w:eastAsia="Times New Roman"/>
                <w:sz w:val="18"/>
                <w:szCs w:val="18"/>
                <w:lang w:val="es-ES"/>
              </w:rPr>
            </w:pPr>
            <w:r w:rsidRPr="008037B6">
              <w:rPr>
                <w:rFonts w:eastAsia="Times New Roman"/>
                <w:sz w:val="18"/>
                <w:szCs w:val="18"/>
                <w:lang w:val="es-ES"/>
              </w:rPr>
              <w:t>208 299</w:t>
            </w:r>
          </w:p>
        </w:tc>
        <w:tc>
          <w:tcPr>
            <w:tcW w:w="1204" w:type="dxa"/>
            <w:tcBorders>
              <w:top w:val="nil"/>
              <w:left w:val="single" w:sz="6" w:space="0" w:color="000000"/>
              <w:bottom w:val="nil"/>
              <w:right w:val="single" w:sz="6" w:space="0" w:color="000000"/>
            </w:tcBorders>
          </w:tcPr>
          <w:p w14:paraId="13474D6C" w14:textId="77777777" w:rsidR="008037B6" w:rsidRPr="008037B6" w:rsidRDefault="008037B6" w:rsidP="008037B6">
            <w:pPr>
              <w:spacing w:before="20" w:after="20"/>
              <w:ind w:right="227"/>
              <w:jc w:val="right"/>
              <w:rPr>
                <w:rFonts w:eastAsia="Times New Roman"/>
                <w:sz w:val="18"/>
                <w:szCs w:val="18"/>
                <w:lang w:val="es-ES"/>
              </w:rPr>
            </w:pPr>
            <w:r w:rsidRPr="008037B6">
              <w:rPr>
                <w:rFonts w:eastAsia="Times New Roman"/>
                <w:sz w:val="18"/>
                <w:szCs w:val="18"/>
                <w:lang w:val="es-ES"/>
              </w:rPr>
              <w:t>201 613</w:t>
            </w:r>
          </w:p>
        </w:tc>
        <w:tc>
          <w:tcPr>
            <w:tcW w:w="992" w:type="dxa"/>
            <w:tcBorders>
              <w:top w:val="nil"/>
              <w:left w:val="single" w:sz="6" w:space="0" w:color="000000"/>
              <w:bottom w:val="nil"/>
              <w:right w:val="single" w:sz="6" w:space="0" w:color="000000"/>
            </w:tcBorders>
          </w:tcPr>
          <w:p w14:paraId="3171E4DA" w14:textId="77777777" w:rsidR="008037B6" w:rsidRPr="008037B6" w:rsidRDefault="008037B6" w:rsidP="008037B6">
            <w:pPr>
              <w:spacing w:before="20" w:after="20"/>
              <w:ind w:right="227"/>
              <w:jc w:val="right"/>
              <w:rPr>
                <w:rFonts w:eastAsia="Times New Roman"/>
                <w:sz w:val="18"/>
                <w:szCs w:val="18"/>
                <w:lang w:val="es-ES"/>
              </w:rPr>
            </w:pPr>
            <w:r w:rsidRPr="008037B6">
              <w:rPr>
                <w:rFonts w:eastAsia="Times New Roman"/>
                <w:sz w:val="18"/>
                <w:szCs w:val="18"/>
                <w:lang w:val="es-ES"/>
              </w:rPr>
              <w:t>3.3</w:t>
            </w:r>
          </w:p>
        </w:tc>
      </w:tr>
      <w:tr w:rsidR="008037B6" w:rsidRPr="008037B6" w14:paraId="4B928D6F" w14:textId="77777777" w:rsidTr="008037B6">
        <w:trPr>
          <w:jc w:val="center"/>
        </w:trPr>
        <w:tc>
          <w:tcPr>
            <w:tcW w:w="2689" w:type="dxa"/>
            <w:tcBorders>
              <w:top w:val="nil"/>
              <w:left w:val="single" w:sz="6" w:space="0" w:color="000000"/>
              <w:bottom w:val="single" w:sz="6" w:space="0" w:color="000000"/>
              <w:right w:val="single" w:sz="6" w:space="0" w:color="000000"/>
            </w:tcBorders>
            <w:shd w:val="clear" w:color="auto" w:fill="auto"/>
            <w:vAlign w:val="center"/>
          </w:tcPr>
          <w:p w14:paraId="3FC7E36F" w14:textId="77777777" w:rsidR="008037B6" w:rsidRPr="008037B6" w:rsidRDefault="008037B6" w:rsidP="008037B6">
            <w:pPr>
              <w:spacing w:before="20" w:after="20"/>
              <w:rPr>
                <w:rFonts w:eastAsia="Times New Roman"/>
                <w:sz w:val="18"/>
                <w:szCs w:val="18"/>
                <w:lang w:val="es-ES"/>
              </w:rPr>
            </w:pPr>
            <w:r w:rsidRPr="008037B6">
              <w:rPr>
                <w:rFonts w:eastAsia="Times New Roman"/>
                <w:sz w:val="18"/>
                <w:szCs w:val="18"/>
                <w:lang w:val="es-ES"/>
              </w:rPr>
              <w:t xml:space="preserve">México </w:t>
            </w:r>
          </w:p>
        </w:tc>
        <w:tc>
          <w:tcPr>
            <w:tcW w:w="1020" w:type="dxa"/>
            <w:tcBorders>
              <w:top w:val="nil"/>
              <w:left w:val="single" w:sz="6" w:space="0" w:color="000000"/>
              <w:bottom w:val="single" w:sz="6" w:space="0" w:color="000000"/>
              <w:right w:val="single" w:sz="6" w:space="0" w:color="000000"/>
            </w:tcBorders>
            <w:shd w:val="clear" w:color="auto" w:fill="auto"/>
            <w:vAlign w:val="center"/>
          </w:tcPr>
          <w:p w14:paraId="726CEEF7" w14:textId="77777777" w:rsidR="008037B6" w:rsidRPr="008037B6" w:rsidRDefault="008037B6" w:rsidP="008037B6">
            <w:pPr>
              <w:spacing w:before="20" w:after="20"/>
              <w:jc w:val="right"/>
              <w:rPr>
                <w:rFonts w:eastAsia="Times New Roman"/>
                <w:sz w:val="18"/>
                <w:szCs w:val="18"/>
                <w:lang w:val="es-ES"/>
              </w:rPr>
            </w:pPr>
            <w:r w:rsidRPr="008037B6">
              <w:rPr>
                <w:rFonts w:eastAsia="Times New Roman"/>
                <w:sz w:val="18"/>
                <w:szCs w:val="18"/>
                <w:lang w:val="es-ES"/>
              </w:rPr>
              <w:t>97 558</w:t>
            </w:r>
          </w:p>
        </w:tc>
        <w:tc>
          <w:tcPr>
            <w:tcW w:w="964" w:type="dxa"/>
            <w:tcBorders>
              <w:top w:val="nil"/>
              <w:left w:val="single" w:sz="6" w:space="0" w:color="000000"/>
              <w:bottom w:val="single" w:sz="6" w:space="0" w:color="000000"/>
              <w:right w:val="single" w:sz="6" w:space="0" w:color="000000"/>
            </w:tcBorders>
            <w:shd w:val="clear" w:color="auto" w:fill="auto"/>
            <w:vAlign w:val="center"/>
          </w:tcPr>
          <w:p w14:paraId="58186B2C" w14:textId="77777777" w:rsidR="008037B6" w:rsidRPr="008037B6" w:rsidRDefault="008037B6" w:rsidP="008037B6">
            <w:pPr>
              <w:spacing w:before="20" w:after="20"/>
              <w:jc w:val="right"/>
              <w:rPr>
                <w:rFonts w:eastAsia="Times New Roman"/>
                <w:sz w:val="18"/>
                <w:szCs w:val="18"/>
                <w:lang w:val="es-ES"/>
              </w:rPr>
            </w:pPr>
            <w:r w:rsidRPr="008037B6">
              <w:rPr>
                <w:rFonts w:eastAsia="Times New Roman"/>
                <w:sz w:val="18"/>
                <w:szCs w:val="18"/>
                <w:lang w:val="es-ES"/>
              </w:rPr>
              <w:t>79 938</w:t>
            </w:r>
          </w:p>
        </w:tc>
        <w:tc>
          <w:tcPr>
            <w:tcW w:w="992" w:type="dxa"/>
            <w:tcBorders>
              <w:top w:val="nil"/>
              <w:left w:val="single" w:sz="6" w:space="0" w:color="000000"/>
              <w:bottom w:val="single" w:sz="6" w:space="0" w:color="000000"/>
              <w:right w:val="single" w:sz="6" w:space="0" w:color="000000"/>
            </w:tcBorders>
            <w:shd w:val="clear" w:color="auto" w:fill="auto"/>
            <w:vAlign w:val="center"/>
          </w:tcPr>
          <w:p w14:paraId="3BD45120" w14:textId="77777777" w:rsidR="008037B6" w:rsidRPr="008037B6" w:rsidRDefault="008037B6" w:rsidP="008037B6">
            <w:pPr>
              <w:spacing w:before="20" w:after="20"/>
              <w:ind w:right="227"/>
              <w:jc w:val="right"/>
              <w:rPr>
                <w:rFonts w:eastAsia="Times New Roman"/>
                <w:sz w:val="18"/>
                <w:szCs w:val="18"/>
                <w:lang w:val="es-ES"/>
              </w:rPr>
            </w:pPr>
            <w:r w:rsidRPr="008037B6">
              <w:rPr>
                <w:rFonts w:eastAsia="Times New Roman"/>
                <w:sz w:val="18"/>
                <w:szCs w:val="18"/>
                <w:lang w:val="es-ES"/>
              </w:rPr>
              <w:t>22.0</w:t>
            </w:r>
          </w:p>
        </w:tc>
        <w:tc>
          <w:tcPr>
            <w:tcW w:w="1206" w:type="dxa"/>
            <w:tcBorders>
              <w:top w:val="nil"/>
              <w:left w:val="single" w:sz="6" w:space="0" w:color="000000"/>
              <w:bottom w:val="single" w:sz="6" w:space="0" w:color="000000"/>
              <w:right w:val="single" w:sz="6" w:space="0" w:color="000000"/>
            </w:tcBorders>
          </w:tcPr>
          <w:p w14:paraId="5B38FFCE" w14:textId="77777777" w:rsidR="008037B6" w:rsidRPr="008037B6" w:rsidRDefault="008037B6" w:rsidP="008037B6">
            <w:pPr>
              <w:spacing w:before="20" w:after="20"/>
              <w:ind w:right="227"/>
              <w:jc w:val="right"/>
              <w:rPr>
                <w:rFonts w:eastAsia="Times New Roman"/>
                <w:sz w:val="18"/>
                <w:szCs w:val="18"/>
                <w:lang w:val="es-ES"/>
              </w:rPr>
            </w:pPr>
            <w:r w:rsidRPr="008037B6">
              <w:rPr>
                <w:rFonts w:eastAsia="Times New Roman"/>
                <w:sz w:val="18"/>
                <w:szCs w:val="18"/>
                <w:lang w:val="es-ES"/>
              </w:rPr>
              <w:t>201 255</w:t>
            </w:r>
          </w:p>
        </w:tc>
        <w:tc>
          <w:tcPr>
            <w:tcW w:w="1204" w:type="dxa"/>
            <w:tcBorders>
              <w:top w:val="nil"/>
              <w:left w:val="single" w:sz="6" w:space="0" w:color="000000"/>
              <w:bottom w:val="single" w:sz="6" w:space="0" w:color="000000"/>
              <w:right w:val="single" w:sz="6" w:space="0" w:color="000000"/>
            </w:tcBorders>
          </w:tcPr>
          <w:p w14:paraId="34BA711B" w14:textId="77777777" w:rsidR="008037B6" w:rsidRPr="008037B6" w:rsidRDefault="008037B6" w:rsidP="008037B6">
            <w:pPr>
              <w:spacing w:before="20" w:after="20"/>
              <w:ind w:right="227"/>
              <w:jc w:val="right"/>
              <w:rPr>
                <w:rFonts w:eastAsia="Times New Roman"/>
                <w:sz w:val="18"/>
                <w:szCs w:val="18"/>
                <w:lang w:val="es-ES"/>
              </w:rPr>
            </w:pPr>
            <w:r w:rsidRPr="008037B6">
              <w:rPr>
                <w:rFonts w:eastAsia="Times New Roman"/>
                <w:sz w:val="18"/>
                <w:szCs w:val="18"/>
                <w:lang w:val="es-ES"/>
              </w:rPr>
              <w:t>165 442</w:t>
            </w:r>
          </w:p>
        </w:tc>
        <w:tc>
          <w:tcPr>
            <w:tcW w:w="992" w:type="dxa"/>
            <w:tcBorders>
              <w:top w:val="nil"/>
              <w:left w:val="single" w:sz="6" w:space="0" w:color="000000"/>
              <w:bottom w:val="single" w:sz="6" w:space="0" w:color="000000"/>
              <w:right w:val="single" w:sz="6" w:space="0" w:color="000000"/>
            </w:tcBorders>
          </w:tcPr>
          <w:p w14:paraId="6F91E888" w14:textId="77777777" w:rsidR="008037B6" w:rsidRPr="008037B6" w:rsidRDefault="008037B6" w:rsidP="008037B6">
            <w:pPr>
              <w:spacing w:before="20" w:after="20"/>
              <w:ind w:right="227"/>
              <w:jc w:val="right"/>
              <w:rPr>
                <w:rFonts w:eastAsia="Times New Roman"/>
                <w:sz w:val="18"/>
                <w:szCs w:val="18"/>
                <w:lang w:val="es-ES"/>
              </w:rPr>
            </w:pPr>
            <w:r w:rsidRPr="008037B6">
              <w:rPr>
                <w:rFonts w:eastAsia="Times New Roman"/>
                <w:sz w:val="18"/>
                <w:szCs w:val="18"/>
                <w:lang w:val="es-ES"/>
              </w:rPr>
              <w:t>21.6</w:t>
            </w:r>
          </w:p>
        </w:tc>
      </w:tr>
      <w:tr w:rsidR="008037B6" w:rsidRPr="008037B6" w14:paraId="132F3D58" w14:textId="77777777" w:rsidTr="008037B6">
        <w:trPr>
          <w:jc w:val="center"/>
        </w:trPr>
        <w:tc>
          <w:tcPr>
            <w:tcW w:w="9067" w:type="dxa"/>
            <w:gridSpan w:val="7"/>
            <w:tcBorders>
              <w:top w:val="single" w:sz="6" w:space="0" w:color="000000"/>
              <w:left w:val="nil"/>
              <w:bottom w:val="nil"/>
              <w:right w:val="nil"/>
            </w:tcBorders>
            <w:shd w:val="clear" w:color="auto" w:fill="auto"/>
            <w:vAlign w:val="center"/>
          </w:tcPr>
          <w:p w14:paraId="5048C80B" w14:textId="77777777" w:rsidR="008037B6" w:rsidRPr="008037B6" w:rsidRDefault="008037B6" w:rsidP="008037B6">
            <w:pPr>
              <w:spacing w:before="20" w:after="20"/>
              <w:ind w:right="227"/>
              <w:rPr>
                <w:rFonts w:eastAsia="Times New Roman"/>
                <w:sz w:val="20"/>
                <w:szCs w:val="20"/>
                <w:lang w:val="es-ES"/>
              </w:rPr>
            </w:pPr>
            <w:r w:rsidRPr="008037B6">
              <w:rPr>
                <w:rFonts w:eastAsia="Times New Roman"/>
                <w:sz w:val="20"/>
                <w:szCs w:val="20"/>
                <w:lang w:val="es-ES"/>
              </w:rPr>
              <w:t>FUENTE: AN, FEDERAUTO, AMDA, DESROSSIERS, FENABRAVE Y ANFAC.</w:t>
            </w:r>
          </w:p>
        </w:tc>
      </w:tr>
    </w:tbl>
    <w:p w14:paraId="1651094D" w14:textId="77777777" w:rsidR="008037B6" w:rsidRPr="008037B6" w:rsidRDefault="008037B6" w:rsidP="008037B6">
      <w:pPr>
        <w:spacing w:after="360" w:line="360" w:lineRule="auto"/>
        <w:ind w:right="-159"/>
        <w:jc w:val="both"/>
        <w:rPr>
          <w:rFonts w:eastAsia="Times New Roman"/>
          <w:sz w:val="26"/>
          <w:szCs w:val="26"/>
        </w:rPr>
      </w:pPr>
    </w:p>
    <w:p w14:paraId="3DDE8885" w14:textId="77777777" w:rsidR="008037B6" w:rsidRPr="008037B6" w:rsidRDefault="008037B6" w:rsidP="008037B6">
      <w:pPr>
        <w:spacing w:after="360" w:line="360" w:lineRule="auto"/>
        <w:ind w:right="-159"/>
        <w:jc w:val="both"/>
        <w:rPr>
          <w:rFonts w:eastAsia="Times New Roman"/>
          <w:b/>
          <w:sz w:val="26"/>
          <w:szCs w:val="26"/>
        </w:rPr>
      </w:pPr>
      <w:r w:rsidRPr="008037B6">
        <w:rPr>
          <w:rFonts w:eastAsia="Times New Roman"/>
          <w:b/>
          <w:sz w:val="26"/>
          <w:szCs w:val="26"/>
        </w:rPr>
        <w:t>Exportaciones manufactureras y automotrices</w:t>
      </w:r>
    </w:p>
    <w:p w14:paraId="1D281CFA" w14:textId="77777777" w:rsidR="008037B6" w:rsidRPr="008037B6" w:rsidRDefault="008037B6" w:rsidP="008037B6">
      <w:pPr>
        <w:spacing w:after="360" w:line="360" w:lineRule="auto"/>
        <w:ind w:right="-159"/>
        <w:jc w:val="both"/>
        <w:rPr>
          <w:rFonts w:eastAsia="Times New Roman"/>
          <w:sz w:val="26"/>
          <w:szCs w:val="26"/>
        </w:rPr>
      </w:pPr>
      <w:r w:rsidRPr="008037B6">
        <w:rPr>
          <w:rFonts w:eastAsia="Times New Roman"/>
          <w:sz w:val="26"/>
          <w:szCs w:val="26"/>
        </w:rPr>
        <w:t>Las exportaciones manufactureras registraron una disminución de 23.8% de noviembre de 2014 a enero de 2015, mientras que de enero de 2014 al mismo mes de 2015 se reportó un aumento de 5.6 por ciento.</w:t>
      </w:r>
    </w:p>
    <w:p w14:paraId="26EC6150" w14:textId="77777777" w:rsidR="008037B6" w:rsidRPr="008037B6" w:rsidRDefault="008037B6" w:rsidP="008037B6">
      <w:pPr>
        <w:spacing w:after="360" w:line="360" w:lineRule="auto"/>
        <w:ind w:right="-159"/>
        <w:jc w:val="both"/>
        <w:rPr>
          <w:rFonts w:eastAsia="Times New Roman"/>
          <w:sz w:val="26"/>
          <w:szCs w:val="26"/>
        </w:rPr>
      </w:pPr>
      <w:r w:rsidRPr="008037B6">
        <w:rPr>
          <w:rFonts w:eastAsia="Times New Roman"/>
          <w:sz w:val="26"/>
          <w:szCs w:val="26"/>
        </w:rPr>
        <w:t>Por su parte, las exportaciones automotrices cayeron 16.4% de diciembre de 2014 a enero de 2015, en tanto que, de enero de 2014 al mismo mes de 2015 registraron un aumento de 15.3 por ciento.</w:t>
      </w:r>
    </w:p>
    <w:p w14:paraId="555E0045" w14:textId="77777777" w:rsidR="008037B6" w:rsidRPr="008037B6" w:rsidRDefault="008037B6" w:rsidP="00276F3E">
      <w:pPr>
        <w:numPr>
          <w:ilvl w:val="0"/>
          <w:numId w:val="95"/>
        </w:numPr>
        <w:tabs>
          <w:tab w:val="left" w:pos="2655"/>
        </w:tabs>
        <w:spacing w:after="360" w:line="360" w:lineRule="auto"/>
        <w:ind w:left="568" w:hanging="284"/>
        <w:jc w:val="both"/>
        <w:rPr>
          <w:rFonts w:eastAsia="Times New Roman"/>
          <w:bCs/>
          <w:sz w:val="26"/>
          <w:szCs w:val="26"/>
          <w:lang w:val="es-ES"/>
        </w:rPr>
      </w:pPr>
      <w:r w:rsidRPr="008037B6">
        <w:rPr>
          <w:rFonts w:eastAsia="Times New Roman"/>
          <w:bCs/>
          <w:sz w:val="26"/>
          <w:szCs w:val="26"/>
          <w:lang w:val="es-ES"/>
        </w:rPr>
        <w:t>El</w:t>
      </w:r>
      <w:r w:rsidRPr="008037B6">
        <w:rPr>
          <w:rFonts w:eastAsia="Times New Roman"/>
          <w:sz w:val="26"/>
          <w:szCs w:val="26"/>
        </w:rPr>
        <w:t xml:space="preserve"> déficit del sector manufacturero en diciembre de 2014 fue de 7 mil 542 </w:t>
      </w:r>
      <w:r w:rsidRPr="008037B6">
        <w:rPr>
          <w:rFonts w:eastAsia="Times New Roman"/>
          <w:bCs/>
          <w:sz w:val="26"/>
          <w:szCs w:val="26"/>
          <w:lang w:val="es-ES"/>
        </w:rPr>
        <w:t>millones de dólares.</w:t>
      </w:r>
    </w:p>
    <w:p w14:paraId="123D387A" w14:textId="77777777" w:rsidR="008037B6" w:rsidRPr="008037B6" w:rsidRDefault="008037B6" w:rsidP="00276F3E">
      <w:pPr>
        <w:numPr>
          <w:ilvl w:val="0"/>
          <w:numId w:val="95"/>
        </w:numPr>
        <w:tabs>
          <w:tab w:val="left" w:pos="2655"/>
        </w:tabs>
        <w:spacing w:after="360" w:line="360" w:lineRule="auto"/>
        <w:ind w:left="568" w:hanging="284"/>
        <w:jc w:val="both"/>
        <w:rPr>
          <w:rFonts w:eastAsia="Times New Roman"/>
          <w:bCs/>
          <w:sz w:val="26"/>
          <w:szCs w:val="26"/>
          <w:lang w:val="es-ES"/>
        </w:rPr>
      </w:pPr>
      <w:r w:rsidRPr="008037B6">
        <w:rPr>
          <w:rFonts w:eastAsia="Times New Roman"/>
          <w:sz w:val="26"/>
          <w:szCs w:val="26"/>
        </w:rPr>
        <w:t xml:space="preserve">El superávit de la balanza automotriz fue en octubre de 2014 de 49 mil 656 </w:t>
      </w:r>
      <w:r w:rsidRPr="008037B6">
        <w:rPr>
          <w:rFonts w:eastAsia="Times New Roman"/>
          <w:bCs/>
          <w:sz w:val="26"/>
          <w:szCs w:val="26"/>
          <w:lang w:val="es-ES"/>
        </w:rPr>
        <w:t>millones de dólares.</w:t>
      </w:r>
    </w:p>
    <w:p w14:paraId="51AC58E4" w14:textId="77777777" w:rsidR="008037B6" w:rsidRDefault="008037B6" w:rsidP="00276F3E">
      <w:pPr>
        <w:numPr>
          <w:ilvl w:val="0"/>
          <w:numId w:val="95"/>
        </w:numPr>
        <w:tabs>
          <w:tab w:val="left" w:pos="2655"/>
        </w:tabs>
        <w:spacing w:after="360" w:line="360" w:lineRule="auto"/>
        <w:ind w:left="568" w:hanging="284"/>
        <w:jc w:val="both"/>
        <w:rPr>
          <w:rFonts w:eastAsia="Times New Roman"/>
          <w:sz w:val="26"/>
          <w:szCs w:val="26"/>
        </w:rPr>
      </w:pPr>
      <w:r w:rsidRPr="008037B6">
        <w:rPr>
          <w:rFonts w:eastAsia="Times New Roman"/>
          <w:bCs/>
          <w:sz w:val="26"/>
          <w:szCs w:val="26"/>
          <w:lang w:val="es-ES"/>
        </w:rPr>
        <w:t>Sin</w:t>
      </w:r>
      <w:r w:rsidRPr="008037B6">
        <w:rPr>
          <w:rFonts w:eastAsia="Times New Roman"/>
          <w:sz w:val="26"/>
          <w:szCs w:val="26"/>
        </w:rPr>
        <w:t xml:space="preserve"> considerar el saldo positivo de la balanza automotriz, el déficit manufacturero hubiera sido de 57 mil 198 millones de dólares.</w:t>
      </w:r>
    </w:p>
    <w:tbl>
      <w:tblPr>
        <w:tblW w:w="0" w:type="auto"/>
        <w:tblLook w:val="04A0" w:firstRow="1" w:lastRow="0" w:firstColumn="1" w:lastColumn="0" w:noHBand="0" w:noVBand="1"/>
      </w:tblPr>
      <w:tblGrid>
        <w:gridCol w:w="8840"/>
      </w:tblGrid>
      <w:tr w:rsidR="008037B6" w:rsidRPr="008037B6" w14:paraId="65F50156" w14:textId="77777777" w:rsidTr="00F664AC">
        <w:tc>
          <w:tcPr>
            <w:tcW w:w="8840" w:type="dxa"/>
          </w:tcPr>
          <w:p w14:paraId="5BDB01FC" w14:textId="77777777" w:rsidR="008037B6" w:rsidRPr="008037B6" w:rsidRDefault="008037B6" w:rsidP="008037B6">
            <w:pPr>
              <w:tabs>
                <w:tab w:val="left" w:pos="2835"/>
              </w:tabs>
              <w:ind w:right="-159"/>
              <w:rPr>
                <w:rFonts w:eastAsia="Times New Roman"/>
                <w:b/>
                <w:sz w:val="22"/>
                <w:szCs w:val="22"/>
                <w:lang w:val="es-ES"/>
              </w:rPr>
            </w:pPr>
          </w:p>
          <w:p w14:paraId="7BE8149C" w14:textId="77777777" w:rsidR="008037B6" w:rsidRPr="008037B6" w:rsidRDefault="008037B6" w:rsidP="008037B6">
            <w:pPr>
              <w:tabs>
                <w:tab w:val="left" w:pos="2835"/>
              </w:tabs>
              <w:ind w:right="-159"/>
              <w:jc w:val="center"/>
              <w:rPr>
                <w:rFonts w:eastAsia="Times New Roman"/>
                <w:b/>
                <w:sz w:val="22"/>
                <w:szCs w:val="22"/>
                <w:lang w:val="es-ES"/>
              </w:rPr>
            </w:pPr>
            <w:r w:rsidRPr="008037B6">
              <w:rPr>
                <w:rFonts w:eastAsia="Times New Roman"/>
                <w:b/>
                <w:sz w:val="22"/>
                <w:szCs w:val="22"/>
                <w:lang w:val="es-ES"/>
              </w:rPr>
              <w:lastRenderedPageBreak/>
              <w:t>EXPORTACIONES MANUFACTURERAS</w:t>
            </w:r>
          </w:p>
          <w:p w14:paraId="116B8C60" w14:textId="77777777" w:rsidR="008037B6" w:rsidRPr="008037B6" w:rsidRDefault="008037B6" w:rsidP="008037B6">
            <w:pPr>
              <w:tabs>
                <w:tab w:val="left" w:pos="2835"/>
              </w:tabs>
              <w:ind w:right="-159"/>
              <w:jc w:val="center"/>
              <w:rPr>
                <w:rFonts w:eastAsia="Times New Roman"/>
                <w:sz w:val="22"/>
                <w:szCs w:val="22"/>
                <w:lang w:val="es-ES"/>
              </w:rPr>
            </w:pPr>
            <w:r w:rsidRPr="008037B6">
              <w:rPr>
                <w:rFonts w:eastAsia="Times New Roman"/>
                <w:sz w:val="22"/>
                <w:szCs w:val="22"/>
                <w:lang w:val="es-ES"/>
              </w:rPr>
              <w:t>-Millones de dólares-</w:t>
            </w:r>
          </w:p>
        </w:tc>
      </w:tr>
      <w:tr w:rsidR="008037B6" w:rsidRPr="008037B6" w14:paraId="743C01AB" w14:textId="77777777" w:rsidTr="00F664AC">
        <w:tc>
          <w:tcPr>
            <w:tcW w:w="8840" w:type="dxa"/>
          </w:tcPr>
          <w:p w14:paraId="03411E82" w14:textId="77777777" w:rsidR="008037B6" w:rsidRPr="008037B6" w:rsidRDefault="008037B6" w:rsidP="008037B6">
            <w:pPr>
              <w:tabs>
                <w:tab w:val="left" w:pos="2835"/>
              </w:tabs>
              <w:spacing w:line="360" w:lineRule="auto"/>
              <w:ind w:right="-159"/>
              <w:jc w:val="center"/>
              <w:rPr>
                <w:rFonts w:eastAsia="Times New Roman"/>
                <w:b/>
                <w:sz w:val="26"/>
                <w:szCs w:val="26"/>
                <w:lang w:val="es-ES"/>
              </w:rPr>
            </w:pPr>
            <w:r w:rsidRPr="008037B6">
              <w:rPr>
                <w:rFonts w:eastAsia="Times New Roman"/>
                <w:b/>
                <w:noProof/>
                <w:sz w:val="26"/>
                <w:szCs w:val="26"/>
                <w:lang w:eastAsia="es-MX"/>
              </w:rPr>
              <w:lastRenderedPageBreak/>
              <w:drawing>
                <wp:inline distT="0" distB="0" distL="0" distR="0" wp14:anchorId="091F387F" wp14:editId="0DC71377">
                  <wp:extent cx="5025396" cy="2880000"/>
                  <wp:effectExtent l="0" t="0" r="0" b="0"/>
                  <wp:docPr id="1560" name="Imagen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33" cstate="print">
                            <a:extLst>
                              <a:ext uri="{28A0092B-C50C-407E-A947-70E740481C1C}">
                                <a14:useLocalDpi xmlns:a14="http://schemas.microsoft.com/office/drawing/2010/main" val="0"/>
                              </a:ext>
                            </a:extLst>
                          </a:blip>
                          <a:srcRect t="5905" b="1365"/>
                          <a:stretch/>
                        </pic:blipFill>
                        <pic:spPr bwMode="auto">
                          <a:xfrm>
                            <a:off x="0" y="0"/>
                            <a:ext cx="5025396" cy="288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037B6" w:rsidRPr="008037B6" w14:paraId="00B8B90E" w14:textId="77777777" w:rsidTr="00F664AC">
        <w:tc>
          <w:tcPr>
            <w:tcW w:w="8840" w:type="dxa"/>
          </w:tcPr>
          <w:p w14:paraId="3D18EFEA" w14:textId="77777777" w:rsidR="008037B6" w:rsidRPr="008037B6" w:rsidRDefault="008037B6" w:rsidP="008037B6">
            <w:pPr>
              <w:tabs>
                <w:tab w:val="left" w:pos="2835"/>
              </w:tabs>
              <w:spacing w:line="360" w:lineRule="auto"/>
              <w:ind w:left="851" w:right="-159" w:firstLine="850"/>
              <w:jc w:val="both"/>
              <w:rPr>
                <w:rFonts w:eastAsia="Times New Roman"/>
                <w:sz w:val="20"/>
                <w:szCs w:val="20"/>
                <w:lang w:val="es-ES"/>
              </w:rPr>
            </w:pPr>
            <w:r w:rsidRPr="008037B6">
              <w:rPr>
                <w:rFonts w:eastAsia="Times New Roman"/>
                <w:sz w:val="20"/>
                <w:szCs w:val="20"/>
                <w:lang w:val="es-ES"/>
              </w:rPr>
              <w:t>FUENTE: INEGI.</w:t>
            </w:r>
          </w:p>
        </w:tc>
      </w:tr>
      <w:tr w:rsidR="008037B6" w:rsidRPr="008037B6" w14:paraId="24D1A229" w14:textId="77777777" w:rsidTr="004F1C40">
        <w:tc>
          <w:tcPr>
            <w:tcW w:w="8840" w:type="dxa"/>
          </w:tcPr>
          <w:p w14:paraId="1B575841" w14:textId="1B58AF95" w:rsidR="008037B6" w:rsidRPr="008037B6" w:rsidRDefault="00F664AC" w:rsidP="008037B6">
            <w:pPr>
              <w:tabs>
                <w:tab w:val="left" w:pos="2835"/>
              </w:tabs>
              <w:ind w:right="-159"/>
              <w:jc w:val="center"/>
              <w:rPr>
                <w:rFonts w:eastAsia="Times New Roman"/>
                <w:b/>
                <w:sz w:val="22"/>
                <w:szCs w:val="22"/>
                <w:lang w:val="es-ES"/>
              </w:rPr>
            </w:pPr>
            <w:r>
              <w:rPr>
                <w:rFonts w:eastAsia="Times New Roman"/>
                <w:b/>
                <w:sz w:val="22"/>
                <w:szCs w:val="22"/>
                <w:lang w:val="es-ES"/>
              </w:rPr>
              <w:br/>
            </w:r>
            <w:r>
              <w:rPr>
                <w:rFonts w:eastAsia="Times New Roman"/>
                <w:b/>
                <w:sz w:val="22"/>
                <w:szCs w:val="22"/>
                <w:lang w:val="es-ES"/>
              </w:rPr>
              <w:br/>
            </w:r>
            <w:r w:rsidR="008037B6" w:rsidRPr="008037B6">
              <w:rPr>
                <w:rFonts w:eastAsia="Times New Roman"/>
                <w:b/>
                <w:sz w:val="22"/>
                <w:szCs w:val="22"/>
                <w:lang w:val="es-ES"/>
              </w:rPr>
              <w:t>DÉFICIT DEL SECTOR MANUFACTURERO</w:t>
            </w:r>
          </w:p>
          <w:p w14:paraId="00E17754" w14:textId="7C4CC856" w:rsidR="008037B6" w:rsidRPr="008037B6" w:rsidRDefault="00D2103B" w:rsidP="008037B6">
            <w:pPr>
              <w:tabs>
                <w:tab w:val="left" w:pos="2835"/>
              </w:tabs>
              <w:ind w:right="-159"/>
              <w:jc w:val="center"/>
              <w:rPr>
                <w:rFonts w:eastAsia="Times New Roman"/>
                <w:b/>
                <w:sz w:val="22"/>
                <w:szCs w:val="22"/>
                <w:lang w:val="es-ES"/>
              </w:rPr>
            </w:pPr>
            <w:r>
              <w:rPr>
                <w:rFonts w:eastAsia="Times New Roman"/>
                <w:b/>
                <w:sz w:val="22"/>
                <w:szCs w:val="22"/>
                <w:lang w:val="es-ES"/>
              </w:rPr>
              <w:t>DICIEMBRE</w:t>
            </w:r>
            <w:r w:rsidR="008037B6" w:rsidRPr="008037B6">
              <w:rPr>
                <w:rFonts w:eastAsia="Times New Roman"/>
                <w:b/>
                <w:sz w:val="22"/>
                <w:szCs w:val="22"/>
                <w:lang w:val="es-ES"/>
              </w:rPr>
              <w:t xml:space="preserve"> 201</w:t>
            </w:r>
            <w:r>
              <w:rPr>
                <w:rFonts w:eastAsia="Times New Roman"/>
                <w:b/>
                <w:sz w:val="22"/>
                <w:szCs w:val="22"/>
                <w:lang w:val="es-ES"/>
              </w:rPr>
              <w:t>4</w:t>
            </w:r>
          </w:p>
          <w:p w14:paraId="64AB9074" w14:textId="77777777" w:rsidR="008037B6" w:rsidRPr="008037B6" w:rsidRDefault="008037B6" w:rsidP="008037B6">
            <w:pPr>
              <w:tabs>
                <w:tab w:val="left" w:pos="2835"/>
              </w:tabs>
              <w:ind w:right="-159"/>
              <w:jc w:val="center"/>
              <w:rPr>
                <w:rFonts w:eastAsia="Times New Roman"/>
                <w:sz w:val="22"/>
                <w:szCs w:val="22"/>
                <w:lang w:val="es-ES"/>
              </w:rPr>
            </w:pPr>
            <w:r w:rsidRPr="008037B6">
              <w:rPr>
                <w:rFonts w:eastAsia="Times New Roman"/>
                <w:noProof/>
                <w:sz w:val="22"/>
                <w:szCs w:val="22"/>
                <w:lang w:eastAsia="es-MX"/>
              </w:rPr>
              <w:drawing>
                <wp:inline distT="0" distB="0" distL="0" distR="0" wp14:anchorId="29427FF8" wp14:editId="7734085C">
                  <wp:extent cx="4549278" cy="2880000"/>
                  <wp:effectExtent l="0" t="0" r="0" b="0"/>
                  <wp:docPr id="1561" name="Imagen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34" cstate="print">
                            <a:extLst>
                              <a:ext uri="{28A0092B-C50C-407E-A947-70E740481C1C}">
                                <a14:useLocalDpi xmlns:a14="http://schemas.microsoft.com/office/drawing/2010/main" val="0"/>
                              </a:ext>
                            </a:extLst>
                          </a:blip>
                          <a:srcRect t="2190" b="2737"/>
                          <a:stretch/>
                        </pic:blipFill>
                        <pic:spPr bwMode="auto">
                          <a:xfrm>
                            <a:off x="0" y="0"/>
                            <a:ext cx="4549278" cy="288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037B6" w:rsidRPr="008037B6" w14:paraId="4D1AFFCC" w14:textId="77777777" w:rsidTr="004F1C40">
        <w:tc>
          <w:tcPr>
            <w:tcW w:w="8840" w:type="dxa"/>
          </w:tcPr>
          <w:p w14:paraId="1946D30B" w14:textId="77777777" w:rsidR="008037B6" w:rsidRPr="008037B6" w:rsidRDefault="008037B6" w:rsidP="008037B6">
            <w:pPr>
              <w:tabs>
                <w:tab w:val="left" w:pos="2835"/>
              </w:tabs>
              <w:ind w:right="-159" w:firstLine="1026"/>
              <w:rPr>
                <w:rFonts w:eastAsia="Times New Roman"/>
                <w:sz w:val="22"/>
                <w:szCs w:val="22"/>
                <w:lang w:val="es-ES"/>
              </w:rPr>
            </w:pPr>
            <w:r w:rsidRPr="008037B6">
              <w:rPr>
                <w:rFonts w:eastAsia="Times New Roman"/>
                <w:sz w:val="22"/>
                <w:szCs w:val="22"/>
                <w:lang w:val="es-ES"/>
              </w:rPr>
              <w:t>FUENTE: INEGI.</w:t>
            </w:r>
          </w:p>
        </w:tc>
      </w:tr>
    </w:tbl>
    <w:p w14:paraId="1FD414CC" w14:textId="77777777" w:rsidR="008037B6" w:rsidRPr="008037B6" w:rsidRDefault="008037B6" w:rsidP="008037B6">
      <w:pPr>
        <w:spacing w:after="360" w:line="360" w:lineRule="auto"/>
        <w:ind w:right="-159"/>
        <w:rPr>
          <w:rFonts w:eastAsia="Times New Roman"/>
          <w:sz w:val="26"/>
          <w:szCs w:val="26"/>
        </w:rPr>
      </w:pPr>
    </w:p>
    <w:p w14:paraId="262E87DD" w14:textId="77777777" w:rsidR="008037B6" w:rsidRPr="008037B6" w:rsidRDefault="008037B6" w:rsidP="008037B6">
      <w:pPr>
        <w:ind w:right="-159"/>
        <w:jc w:val="both"/>
        <w:rPr>
          <w:rFonts w:eastAsia="Times New Roman"/>
          <w:b/>
          <w:sz w:val="20"/>
          <w:szCs w:val="20"/>
        </w:rPr>
      </w:pPr>
      <w:r w:rsidRPr="008037B6">
        <w:rPr>
          <w:rFonts w:eastAsia="Times New Roman"/>
          <w:b/>
          <w:sz w:val="20"/>
          <w:szCs w:val="20"/>
        </w:rPr>
        <w:t>Fuente de información:</w:t>
      </w:r>
    </w:p>
    <w:p w14:paraId="621EF423" w14:textId="77777777" w:rsidR="008037B6" w:rsidRPr="00F664AC" w:rsidRDefault="0093224F" w:rsidP="008037B6">
      <w:pPr>
        <w:ind w:right="-159"/>
        <w:jc w:val="both"/>
        <w:rPr>
          <w:rFonts w:eastAsia="Times New Roman"/>
          <w:color w:val="0000FF"/>
          <w:sz w:val="20"/>
          <w:szCs w:val="20"/>
        </w:rPr>
      </w:pPr>
      <w:hyperlink r:id="rId235" w:history="1">
        <w:r w:rsidR="008037B6" w:rsidRPr="00F664AC">
          <w:rPr>
            <w:rFonts w:eastAsia="Times New Roman"/>
            <w:color w:val="0000FF"/>
            <w:sz w:val="20"/>
            <w:szCs w:val="20"/>
            <w:u w:val="single"/>
          </w:rPr>
          <w:t>http://www.amda.mx/images/stories/estadisticas/coyuntura/2015/ventas/1502Reporte_Mercado_Automotor.pdf</w:t>
        </w:r>
      </w:hyperlink>
    </w:p>
    <w:p w14:paraId="5D3D37DC" w14:textId="77777777" w:rsidR="008037B6" w:rsidRPr="008037B6" w:rsidRDefault="008037B6" w:rsidP="008037B6">
      <w:pPr>
        <w:spacing w:after="360" w:line="360" w:lineRule="auto"/>
        <w:ind w:right="-159"/>
        <w:jc w:val="both"/>
        <w:rPr>
          <w:rFonts w:eastAsia="Calibri"/>
          <w:sz w:val="26"/>
          <w:szCs w:val="26"/>
          <w:lang w:eastAsia="en-US"/>
        </w:rPr>
      </w:pPr>
    </w:p>
    <w:p w14:paraId="55FF076E" w14:textId="77777777" w:rsidR="0095263B" w:rsidRPr="0095263B" w:rsidRDefault="0095263B" w:rsidP="0095263B">
      <w:pPr>
        <w:ind w:right="-159"/>
        <w:jc w:val="both"/>
        <w:rPr>
          <w:rFonts w:eastAsia="Calibri"/>
          <w:b/>
          <w:sz w:val="26"/>
          <w:szCs w:val="26"/>
          <w:lang w:eastAsia="en-US"/>
        </w:rPr>
      </w:pPr>
      <w:r w:rsidRPr="0095263B">
        <w:rPr>
          <w:rFonts w:eastAsia="Calibri"/>
          <w:b/>
          <w:sz w:val="26"/>
          <w:szCs w:val="26"/>
          <w:lang w:eastAsia="en-US"/>
        </w:rPr>
        <w:lastRenderedPageBreak/>
        <w:t>Los pactos comerciales convierten a México</w:t>
      </w:r>
    </w:p>
    <w:p w14:paraId="33CCD94F" w14:textId="6CB4F07E" w:rsidR="0095263B" w:rsidRPr="0095263B" w:rsidRDefault="0095263B" w:rsidP="0095263B">
      <w:pPr>
        <w:spacing w:after="360" w:line="360" w:lineRule="auto"/>
        <w:ind w:right="-159"/>
        <w:jc w:val="both"/>
        <w:rPr>
          <w:rFonts w:eastAsia="Calibri"/>
          <w:sz w:val="26"/>
          <w:szCs w:val="26"/>
          <w:lang w:eastAsia="en-US"/>
        </w:rPr>
      </w:pPr>
      <w:r w:rsidRPr="0095263B">
        <w:rPr>
          <w:rFonts w:eastAsia="Calibri"/>
          <w:b/>
          <w:sz w:val="26"/>
          <w:szCs w:val="26"/>
          <w:lang w:eastAsia="en-US"/>
        </w:rPr>
        <w:t xml:space="preserve">en </w:t>
      </w:r>
      <w:r>
        <w:rPr>
          <w:rFonts w:eastAsia="Calibri"/>
          <w:b/>
          <w:sz w:val="26"/>
          <w:szCs w:val="26"/>
          <w:lang w:eastAsia="en-US"/>
        </w:rPr>
        <w:t xml:space="preserve"> </w:t>
      </w:r>
      <w:r w:rsidRPr="0095263B">
        <w:rPr>
          <w:rFonts w:eastAsia="Calibri"/>
          <w:b/>
          <w:sz w:val="26"/>
          <w:szCs w:val="26"/>
          <w:lang w:eastAsia="en-US"/>
        </w:rPr>
        <w:t xml:space="preserve">una  potencia  automotriz  global </w:t>
      </w:r>
      <w:r w:rsidRPr="0095263B">
        <w:rPr>
          <w:rFonts w:eastAsia="Calibri"/>
          <w:sz w:val="26"/>
          <w:szCs w:val="26"/>
          <w:lang w:eastAsia="en-US"/>
        </w:rPr>
        <w:t xml:space="preserve"> </w:t>
      </w:r>
      <w:r w:rsidRPr="0095263B">
        <w:rPr>
          <w:rFonts w:eastAsia="Calibri"/>
          <w:b/>
          <w:sz w:val="26"/>
          <w:szCs w:val="26"/>
          <w:lang w:eastAsia="en-US"/>
        </w:rPr>
        <w:t>(WSJ)</w:t>
      </w:r>
    </w:p>
    <w:p w14:paraId="54B97713" w14:textId="099460B1" w:rsidR="0095263B" w:rsidRPr="0095263B" w:rsidRDefault="0095263B" w:rsidP="0095263B">
      <w:pPr>
        <w:spacing w:after="360" w:line="360" w:lineRule="auto"/>
        <w:ind w:right="-159"/>
        <w:jc w:val="both"/>
        <w:rPr>
          <w:rFonts w:eastAsia="Calibri"/>
          <w:sz w:val="26"/>
          <w:szCs w:val="26"/>
          <w:lang w:eastAsia="en-US"/>
        </w:rPr>
      </w:pPr>
      <w:r w:rsidRPr="0095263B">
        <w:rPr>
          <w:rFonts w:eastAsia="Calibri"/>
          <w:sz w:val="26"/>
          <w:szCs w:val="26"/>
          <w:lang w:eastAsia="en-US"/>
        </w:rPr>
        <w:t xml:space="preserve">El 18 de marzo de 2015, el periódico </w:t>
      </w:r>
      <w:r w:rsidRPr="0095263B">
        <w:rPr>
          <w:rFonts w:eastAsia="Calibri"/>
          <w:i/>
          <w:sz w:val="26"/>
          <w:szCs w:val="26"/>
          <w:lang w:eastAsia="en-US"/>
        </w:rPr>
        <w:t>The Wall Street Journal</w:t>
      </w:r>
      <w:r w:rsidRPr="0095263B">
        <w:rPr>
          <w:rFonts w:eastAsia="Calibri"/>
          <w:sz w:val="26"/>
          <w:szCs w:val="26"/>
          <w:lang w:eastAsia="en-US"/>
        </w:rPr>
        <w:t xml:space="preserve"> (WSJ) publicó la nota “Los pactos comerciales convierten a México en una potencia automotriz global”</w:t>
      </w:r>
      <w:r w:rsidR="00F664AC">
        <w:rPr>
          <w:rFonts w:eastAsia="Calibri"/>
          <w:sz w:val="26"/>
          <w:szCs w:val="26"/>
          <w:lang w:eastAsia="en-US"/>
        </w:rPr>
        <w:t>,</w:t>
      </w:r>
      <w:r w:rsidRPr="0095263B">
        <w:rPr>
          <w:rFonts w:eastAsia="Calibri"/>
          <w:sz w:val="26"/>
          <w:szCs w:val="26"/>
          <w:lang w:eastAsia="en-US"/>
        </w:rPr>
        <w:t xml:space="preserve"> a continuación se presenta la información.</w:t>
      </w:r>
    </w:p>
    <w:p w14:paraId="6A1A09C3" w14:textId="77777777" w:rsidR="0095263B" w:rsidRPr="0095263B" w:rsidRDefault="0095263B" w:rsidP="0095263B">
      <w:pPr>
        <w:spacing w:after="360" w:line="360" w:lineRule="auto"/>
        <w:ind w:right="-159"/>
        <w:jc w:val="both"/>
        <w:rPr>
          <w:rFonts w:eastAsia="Calibri"/>
          <w:sz w:val="26"/>
          <w:szCs w:val="26"/>
          <w:lang w:eastAsia="en-US"/>
        </w:rPr>
      </w:pPr>
      <w:r w:rsidRPr="0095263B">
        <w:rPr>
          <w:rFonts w:eastAsia="Calibri"/>
          <w:sz w:val="26"/>
          <w:szCs w:val="26"/>
          <w:lang w:eastAsia="en-US"/>
        </w:rPr>
        <w:t>Una zona sin vegetación en las accidentadas colinas que bordean el río Tennessee es una señal de cómo México ha sobrepasado al sur de Estados Unidos de Norteamérica en la competencia global por la inversión en el sector automotor.</w:t>
      </w:r>
    </w:p>
    <w:p w14:paraId="03F57355" w14:textId="77777777" w:rsidR="0095263B" w:rsidRPr="0095263B" w:rsidRDefault="0095263B" w:rsidP="0095263B">
      <w:pPr>
        <w:spacing w:after="360" w:line="360" w:lineRule="auto"/>
        <w:ind w:right="-159"/>
        <w:jc w:val="both"/>
        <w:rPr>
          <w:rFonts w:eastAsia="Calibri"/>
          <w:sz w:val="26"/>
          <w:szCs w:val="26"/>
          <w:lang w:eastAsia="en-US"/>
        </w:rPr>
      </w:pPr>
      <w:r w:rsidRPr="0095263B">
        <w:rPr>
          <w:rFonts w:eastAsia="Calibri"/>
          <w:sz w:val="26"/>
          <w:szCs w:val="26"/>
          <w:lang w:eastAsia="en-US"/>
        </w:rPr>
        <w:t xml:space="preserve">La zona talada se ubica junto a una fábrica que </w:t>
      </w:r>
      <w:r w:rsidRPr="0095263B">
        <w:rPr>
          <w:rFonts w:eastAsia="Calibri"/>
          <w:i/>
          <w:sz w:val="26"/>
          <w:szCs w:val="26"/>
          <w:lang w:eastAsia="en-US"/>
        </w:rPr>
        <w:t>Volkswagen AG</w:t>
      </w:r>
      <w:r w:rsidRPr="0095263B">
        <w:rPr>
          <w:rFonts w:eastAsia="Calibri"/>
          <w:sz w:val="26"/>
          <w:szCs w:val="26"/>
          <w:lang w:eastAsia="en-US"/>
        </w:rPr>
        <w:t xml:space="preserve"> empezó a construir en 2008. VW logró la opción de adquirir las 324 hectáreas adyacentes como el lugar donde su división Audi podría construir algún día una planta para el mercado de Estados Unidos de Norteamérica y Canadá.</w:t>
      </w:r>
    </w:p>
    <w:p w14:paraId="7A563029" w14:textId="77777777" w:rsidR="0095263B" w:rsidRPr="0095263B" w:rsidRDefault="0095263B" w:rsidP="0095263B">
      <w:pPr>
        <w:spacing w:after="360" w:line="360" w:lineRule="auto"/>
        <w:ind w:right="-159"/>
        <w:jc w:val="both"/>
        <w:rPr>
          <w:rFonts w:eastAsia="Calibri"/>
          <w:sz w:val="26"/>
          <w:szCs w:val="26"/>
          <w:lang w:eastAsia="en-US"/>
        </w:rPr>
      </w:pPr>
      <w:r w:rsidRPr="0095263B">
        <w:rPr>
          <w:rFonts w:eastAsia="Calibri"/>
          <w:sz w:val="26"/>
          <w:szCs w:val="26"/>
          <w:lang w:eastAsia="en-US"/>
        </w:rPr>
        <w:t>Cuatro años más tarde, cuando Audi decidió trasladar la producción global de su todoterreno Q5 a América del Norte, el premio se lo llevó México. Audi está terminando una planta de un mil 300 millones de dólares en una localidad del centro-sur de México llamada San José Chiapa. Los enormes edificios de la fábrica sobresalen como enormes tanques en medio de campos pardos donde familias cultivan maíz y frijoles para sobrevivir.</w:t>
      </w:r>
    </w:p>
    <w:p w14:paraId="57827C25" w14:textId="77777777" w:rsidR="0095263B" w:rsidRPr="0095263B" w:rsidRDefault="0095263B" w:rsidP="0095263B">
      <w:pPr>
        <w:spacing w:after="360" w:line="360" w:lineRule="auto"/>
        <w:ind w:right="-159"/>
        <w:jc w:val="both"/>
        <w:rPr>
          <w:rFonts w:eastAsia="Calibri"/>
          <w:sz w:val="26"/>
          <w:szCs w:val="26"/>
          <w:lang w:eastAsia="en-US"/>
        </w:rPr>
      </w:pPr>
      <w:r w:rsidRPr="0095263B">
        <w:rPr>
          <w:rFonts w:eastAsia="Calibri"/>
          <w:sz w:val="26"/>
          <w:szCs w:val="26"/>
          <w:lang w:eastAsia="en-US"/>
        </w:rPr>
        <w:t>Los salarios bajos y las mejoras de logística en México fueron parte del atractivo. Para Audi, que planea enviar la producción de la fábrica al resto del mundo, lo que inclinó la balanza a favor de la segunda economía de América Latina fueron sus inigualables relaciones comerciales.</w:t>
      </w:r>
    </w:p>
    <w:p w14:paraId="43E17CF8" w14:textId="77777777" w:rsidR="0095263B" w:rsidRPr="0095263B" w:rsidRDefault="0095263B" w:rsidP="0095263B">
      <w:pPr>
        <w:spacing w:after="360" w:line="360" w:lineRule="auto"/>
        <w:ind w:right="-159"/>
        <w:jc w:val="both"/>
        <w:rPr>
          <w:rFonts w:eastAsia="Calibri"/>
          <w:sz w:val="26"/>
          <w:szCs w:val="26"/>
          <w:lang w:eastAsia="en-US"/>
        </w:rPr>
      </w:pPr>
      <w:r w:rsidRPr="0095263B">
        <w:rPr>
          <w:rFonts w:eastAsia="Calibri"/>
          <w:sz w:val="26"/>
          <w:szCs w:val="26"/>
          <w:lang w:eastAsia="en-US"/>
        </w:rPr>
        <w:lastRenderedPageBreak/>
        <w:t>“México tiene más de 40 acuerdos de libre comercio”, dijo Rupert Stadler, Presidente Ejecutivo de Audi. Los exportadores mexicanos tienen acceso libre de aranceles a mercados que representan 60% de la producción económica mundial.</w:t>
      </w:r>
    </w:p>
    <w:p w14:paraId="3C8414A7" w14:textId="33715135" w:rsidR="0095263B" w:rsidRPr="0095263B" w:rsidRDefault="000473E8" w:rsidP="0095263B">
      <w:pPr>
        <w:spacing w:after="360" w:line="360" w:lineRule="auto"/>
        <w:ind w:right="-159"/>
        <w:jc w:val="center"/>
        <w:rPr>
          <w:rFonts w:eastAsia="Calibri"/>
          <w:sz w:val="26"/>
          <w:szCs w:val="26"/>
          <w:lang w:eastAsia="en-US"/>
        </w:rPr>
      </w:pPr>
      <w:r w:rsidRPr="00ED3D89">
        <w:rPr>
          <w:noProof/>
          <w:lang w:eastAsia="es-MX"/>
        </w:rPr>
        <w:drawing>
          <wp:inline distT="0" distB="0" distL="0" distR="0" wp14:anchorId="1D452417" wp14:editId="008644ED">
            <wp:extent cx="5612130" cy="4867428"/>
            <wp:effectExtent l="0" t="0" r="0" b="0"/>
            <wp:docPr id="1688" name="Imagen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5612130" cy="4867428"/>
                    </a:xfrm>
                    <a:prstGeom prst="rect">
                      <a:avLst/>
                    </a:prstGeom>
                    <a:noFill/>
                    <a:ln>
                      <a:noFill/>
                    </a:ln>
                  </pic:spPr>
                </pic:pic>
              </a:graphicData>
            </a:graphic>
          </wp:inline>
        </w:drawing>
      </w:r>
    </w:p>
    <w:p w14:paraId="32192D5A" w14:textId="77777777" w:rsidR="0095263B" w:rsidRPr="0095263B" w:rsidRDefault="0095263B" w:rsidP="0095263B">
      <w:pPr>
        <w:spacing w:after="360" w:line="360" w:lineRule="auto"/>
        <w:ind w:right="-159"/>
        <w:jc w:val="both"/>
        <w:rPr>
          <w:rFonts w:eastAsia="Calibri"/>
          <w:sz w:val="26"/>
          <w:szCs w:val="26"/>
          <w:lang w:eastAsia="en-US"/>
        </w:rPr>
      </w:pPr>
      <w:r w:rsidRPr="0095263B">
        <w:rPr>
          <w:rFonts w:eastAsia="Calibri"/>
          <w:sz w:val="26"/>
          <w:szCs w:val="26"/>
          <w:lang w:eastAsia="en-US"/>
        </w:rPr>
        <w:t>Estados Unidos de Norteamérica negocia la ampliación de sus acuerdos comerciales, pero el avance ha sido lento conforme la oposición en el Congreso hasta ahora le ha negado a la Casa Blanca la autoridad de promoción comercial conocida como “vía rápida”. Los opositores temen que los pactos de libre comercio trasladen los empleos a países con costos laborales más bajos.</w:t>
      </w:r>
    </w:p>
    <w:p w14:paraId="0AED91A4" w14:textId="77777777" w:rsidR="0095263B" w:rsidRPr="0095263B" w:rsidRDefault="0095263B" w:rsidP="0095263B">
      <w:pPr>
        <w:spacing w:after="360" w:line="360" w:lineRule="auto"/>
        <w:ind w:right="-159"/>
        <w:jc w:val="both"/>
        <w:rPr>
          <w:rFonts w:eastAsia="Calibri"/>
          <w:sz w:val="26"/>
          <w:szCs w:val="26"/>
          <w:lang w:eastAsia="en-US"/>
        </w:rPr>
      </w:pPr>
      <w:r w:rsidRPr="0095263B">
        <w:rPr>
          <w:rFonts w:eastAsia="Calibri"/>
          <w:sz w:val="26"/>
          <w:szCs w:val="26"/>
          <w:lang w:eastAsia="en-US"/>
        </w:rPr>
        <w:lastRenderedPageBreak/>
        <w:t>En el caso de algunos fabricantes de autos de lujo, lo contrario puede ser cierto. El acuerdo de Audi demuestra que además de los bajos costos laborales, son los acuerdos comerciales lo que vuelven a México atractivo en el mercado global y, de paso, amenazan la renovación industrial del sur estadounidense.</w:t>
      </w:r>
    </w:p>
    <w:p w14:paraId="56F9000B" w14:textId="77777777" w:rsidR="0095263B" w:rsidRPr="0095263B" w:rsidRDefault="0095263B" w:rsidP="0095263B">
      <w:pPr>
        <w:spacing w:after="360" w:line="360" w:lineRule="auto"/>
        <w:ind w:right="-159"/>
        <w:jc w:val="both"/>
        <w:rPr>
          <w:rFonts w:eastAsia="Calibri"/>
          <w:sz w:val="26"/>
          <w:szCs w:val="26"/>
          <w:lang w:eastAsia="en-US"/>
        </w:rPr>
      </w:pPr>
      <w:r w:rsidRPr="0095263B">
        <w:rPr>
          <w:rFonts w:eastAsia="Calibri"/>
          <w:sz w:val="26"/>
          <w:szCs w:val="26"/>
          <w:lang w:eastAsia="en-US"/>
        </w:rPr>
        <w:t xml:space="preserve">Siete automotrices asiáticas y europeas han inaugurado plantas de ensamblaje en México, o han anunciado planes de hacerlo, en poco más de un año. Otros fabricantes han financiado expansiones significativas en el país latinoamericano, entre ellas </w:t>
      </w:r>
      <w:r w:rsidRPr="0095263B">
        <w:rPr>
          <w:rFonts w:eastAsia="Calibri"/>
          <w:i/>
          <w:sz w:val="26"/>
          <w:szCs w:val="26"/>
          <w:lang w:eastAsia="en-US"/>
        </w:rPr>
        <w:t>Nissan Motor Co., General Motors Co., Ford Motor Co</w:t>
      </w:r>
      <w:r w:rsidRPr="0095263B">
        <w:rPr>
          <w:rFonts w:eastAsia="Calibri"/>
          <w:sz w:val="26"/>
          <w:szCs w:val="26"/>
          <w:lang w:eastAsia="en-US"/>
        </w:rPr>
        <w:t xml:space="preserve">. y </w:t>
      </w:r>
      <w:r w:rsidRPr="0095263B">
        <w:rPr>
          <w:rFonts w:eastAsia="Calibri"/>
          <w:i/>
          <w:sz w:val="26"/>
          <w:szCs w:val="26"/>
          <w:lang w:eastAsia="en-US"/>
        </w:rPr>
        <w:t>Fiat Chrysler Automobiles NV</w:t>
      </w:r>
      <w:r w:rsidRPr="0095263B">
        <w:rPr>
          <w:rFonts w:eastAsia="Calibri"/>
          <w:sz w:val="26"/>
          <w:szCs w:val="26"/>
          <w:lang w:eastAsia="en-US"/>
        </w:rPr>
        <w:t>.</w:t>
      </w:r>
    </w:p>
    <w:p w14:paraId="29837A11" w14:textId="77777777" w:rsidR="0095263B" w:rsidRPr="0095263B" w:rsidRDefault="0095263B" w:rsidP="0095263B">
      <w:pPr>
        <w:spacing w:after="360" w:line="360" w:lineRule="auto"/>
        <w:ind w:right="-159"/>
        <w:jc w:val="both"/>
        <w:rPr>
          <w:rFonts w:eastAsia="Calibri"/>
          <w:sz w:val="26"/>
          <w:szCs w:val="26"/>
          <w:lang w:eastAsia="en-US"/>
        </w:rPr>
      </w:pPr>
      <w:r w:rsidRPr="0095263B">
        <w:rPr>
          <w:rFonts w:eastAsia="Calibri"/>
          <w:sz w:val="26"/>
          <w:szCs w:val="26"/>
          <w:lang w:eastAsia="en-US"/>
        </w:rPr>
        <w:t>VW anunció la semana pasada que gastará un mil millones de dólares en la expansión de una planta en México para fabricar un todoterreno pequeño para Estados Unidos de Norteamérica y otros países. En total, las automotrices y los proveedores de autopartes han destinado más de 20 mil millones de dólares a inversiones nuevas, según funcionarios mexicanos.</w:t>
      </w:r>
    </w:p>
    <w:p w14:paraId="33EEB060" w14:textId="77777777" w:rsidR="0095263B" w:rsidRPr="0095263B" w:rsidRDefault="0095263B" w:rsidP="0095263B">
      <w:pPr>
        <w:spacing w:after="360" w:line="360" w:lineRule="auto"/>
        <w:ind w:right="-159"/>
        <w:jc w:val="both"/>
        <w:rPr>
          <w:rFonts w:eastAsia="Calibri"/>
          <w:sz w:val="26"/>
          <w:szCs w:val="26"/>
          <w:lang w:eastAsia="en-US"/>
        </w:rPr>
      </w:pPr>
      <w:r w:rsidRPr="0095263B">
        <w:rPr>
          <w:rFonts w:eastAsia="Calibri"/>
          <w:sz w:val="26"/>
          <w:szCs w:val="26"/>
          <w:lang w:eastAsia="en-US"/>
        </w:rPr>
        <w:t>Aunque la mayor parte de las exportaciones automotrices de México van a Estados Unidos de Norteamérica y Canadá, sus socios del Tratado de Libre Comercio de América del Norte (NAFTA), los fabricantes acuden cada vez más a México como plataforma para exportar hacia el resto del mundo.</w:t>
      </w:r>
    </w:p>
    <w:p w14:paraId="66F11050" w14:textId="77777777" w:rsidR="0095263B" w:rsidRPr="0095263B" w:rsidRDefault="0095263B" w:rsidP="0095263B">
      <w:pPr>
        <w:spacing w:after="360" w:line="360" w:lineRule="auto"/>
        <w:ind w:right="-159"/>
        <w:jc w:val="both"/>
        <w:rPr>
          <w:rFonts w:eastAsia="Calibri"/>
          <w:sz w:val="26"/>
          <w:szCs w:val="26"/>
          <w:lang w:eastAsia="en-US"/>
        </w:rPr>
      </w:pPr>
      <w:r w:rsidRPr="0095263B">
        <w:rPr>
          <w:rFonts w:eastAsia="Calibri"/>
          <w:sz w:val="26"/>
          <w:szCs w:val="26"/>
          <w:lang w:eastAsia="en-US"/>
        </w:rPr>
        <w:t>El beneficio de costos relacionado con los acuerdos comerciales es muy grande. Cuando BMW, rival de Audi, envía autos a Europa desde la planta que tiene hace dos décadas en el estado de Carolina del Sur, Estados Unidos de Norteamérica, paga un arancel de 10% por unidad. En un vehículo de 50 mil dólares, esos 5 mil dólares son un factor de mucho mayor peso que las diferencias en los costos laborales. BMW informó en julio que construirá una fábrica en el estado de San Luis Potosí para producir anualmente 150 mil vehículos aún no especificados para 2019. La “gran cantidad de acuerdos de libre comercio internacional” de México “fue un factor decisivo en la elección del lugar”, precisó BMW.</w:t>
      </w:r>
    </w:p>
    <w:p w14:paraId="490BCB2B" w14:textId="77777777" w:rsidR="0095263B" w:rsidRPr="0095263B" w:rsidRDefault="0095263B" w:rsidP="0095263B">
      <w:pPr>
        <w:spacing w:after="360" w:line="360" w:lineRule="auto"/>
        <w:ind w:right="-159"/>
        <w:jc w:val="both"/>
        <w:rPr>
          <w:rFonts w:eastAsia="Calibri"/>
          <w:sz w:val="26"/>
          <w:szCs w:val="26"/>
          <w:lang w:eastAsia="en-US"/>
        </w:rPr>
      </w:pPr>
      <w:r w:rsidRPr="0095263B">
        <w:rPr>
          <w:rFonts w:eastAsia="Calibri"/>
          <w:sz w:val="26"/>
          <w:szCs w:val="26"/>
          <w:lang w:eastAsia="en-US"/>
        </w:rPr>
        <w:lastRenderedPageBreak/>
        <w:t>La ola de inversiones ha convertido a México en el séptimo productor mundial de autos —superó a Brasil el año pasado— y el cuarto exportador después de Alemania, Japón y Corea del Sur. México acaba de superar a Japón para convertirse en el segundo proveedor de vehículos para el mercado estadounidense, después de Canadá. Analistas consideran que la actual producción anual mexicana de 3.2 millones de autos y camionetas aumentará más de 50% a 5 millones para 2018.</w:t>
      </w:r>
    </w:p>
    <w:p w14:paraId="647DFEFF" w14:textId="77777777" w:rsidR="0095263B" w:rsidRPr="0095263B" w:rsidRDefault="0095263B" w:rsidP="0095263B">
      <w:pPr>
        <w:spacing w:after="360" w:line="360" w:lineRule="auto"/>
        <w:ind w:right="-159"/>
        <w:jc w:val="both"/>
        <w:rPr>
          <w:rFonts w:eastAsia="Calibri"/>
          <w:sz w:val="26"/>
          <w:szCs w:val="26"/>
          <w:lang w:eastAsia="en-US"/>
        </w:rPr>
      </w:pPr>
      <w:r w:rsidRPr="0095263B">
        <w:rPr>
          <w:rFonts w:eastAsia="Calibri"/>
          <w:sz w:val="26"/>
          <w:szCs w:val="26"/>
          <w:lang w:eastAsia="en-US"/>
        </w:rPr>
        <w:t>Eso aún estaría muy por debajo de la producción anual de Estados Unidos de Norteamérica, que asciende a 11.4 millones. De esta cifra, seis estados del sudeste estadounidense producen 3.9 millones. En los años 80, las automotrices comenzaron a trasladarse al sur de Estados Unidos de Norteamérica debido a su fuerza laboral mayormente no sindicalizada y a las buenas rutas de transporte, así como sus redes eléctricas. La región llegó a considerarse la nueva Detroit, sede de la industria automotriz de Estados Unidos de Norteamérica y Canadá. Ahora, cuando México cobra impulso, hay mucho en juego para el sur estadounidense.</w:t>
      </w:r>
    </w:p>
    <w:p w14:paraId="50AC5653" w14:textId="77777777" w:rsidR="0095263B" w:rsidRPr="0095263B" w:rsidRDefault="0095263B" w:rsidP="0095263B">
      <w:pPr>
        <w:spacing w:after="360" w:line="360" w:lineRule="auto"/>
        <w:ind w:right="-159"/>
        <w:jc w:val="center"/>
        <w:rPr>
          <w:rFonts w:eastAsia="Calibri"/>
          <w:sz w:val="26"/>
          <w:szCs w:val="26"/>
          <w:lang w:eastAsia="en-US"/>
        </w:rPr>
      </w:pPr>
      <w:r w:rsidRPr="0095263B">
        <w:rPr>
          <w:rFonts w:ascii="Calibri" w:eastAsia="Calibri" w:hAnsi="Calibri"/>
          <w:noProof/>
          <w:sz w:val="22"/>
          <w:szCs w:val="22"/>
          <w:lang w:eastAsia="es-MX"/>
        </w:rPr>
        <w:drawing>
          <wp:inline distT="0" distB="0" distL="0" distR="0" wp14:anchorId="4AA81CB0" wp14:editId="2E617AE8">
            <wp:extent cx="3581729" cy="2880000"/>
            <wp:effectExtent l="0" t="0" r="0" b="0"/>
            <wp:docPr id="1649" name="Imagen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3581729" cy="2880000"/>
                    </a:xfrm>
                    <a:prstGeom prst="rect">
                      <a:avLst/>
                    </a:prstGeom>
                    <a:noFill/>
                    <a:ln>
                      <a:noFill/>
                    </a:ln>
                  </pic:spPr>
                </pic:pic>
              </a:graphicData>
            </a:graphic>
          </wp:inline>
        </w:drawing>
      </w:r>
    </w:p>
    <w:p w14:paraId="7E78983F" w14:textId="77777777" w:rsidR="0095263B" w:rsidRPr="0095263B" w:rsidRDefault="0095263B" w:rsidP="0095263B">
      <w:pPr>
        <w:spacing w:after="360" w:line="360" w:lineRule="auto"/>
        <w:ind w:right="-159"/>
        <w:jc w:val="both"/>
        <w:rPr>
          <w:rFonts w:eastAsia="Calibri"/>
          <w:sz w:val="26"/>
          <w:szCs w:val="26"/>
          <w:lang w:eastAsia="en-US"/>
        </w:rPr>
      </w:pPr>
      <w:r w:rsidRPr="0095263B">
        <w:rPr>
          <w:rFonts w:eastAsia="Calibri"/>
          <w:sz w:val="26"/>
          <w:szCs w:val="26"/>
          <w:lang w:eastAsia="en-US"/>
        </w:rPr>
        <w:t xml:space="preserve">El sur de Estados Unidos de Norteamérica aún mantiene un atractivo económico. </w:t>
      </w:r>
      <w:r w:rsidRPr="0095263B">
        <w:rPr>
          <w:rFonts w:eastAsia="Calibri"/>
          <w:i/>
          <w:sz w:val="26"/>
          <w:szCs w:val="26"/>
          <w:lang w:eastAsia="en-US"/>
        </w:rPr>
        <w:t>Daimler AG</w:t>
      </w:r>
      <w:r w:rsidRPr="0095263B">
        <w:rPr>
          <w:rFonts w:eastAsia="Calibri"/>
          <w:sz w:val="26"/>
          <w:szCs w:val="26"/>
          <w:lang w:eastAsia="en-US"/>
        </w:rPr>
        <w:t xml:space="preserve">, BMW AG y otras automotrices están expandiendo sus actuales plantas de </w:t>
      </w:r>
      <w:r w:rsidRPr="0095263B">
        <w:rPr>
          <w:rFonts w:eastAsia="Calibri"/>
          <w:sz w:val="26"/>
          <w:szCs w:val="26"/>
          <w:lang w:eastAsia="en-US"/>
        </w:rPr>
        <w:lastRenderedPageBreak/>
        <w:t>ensamblaje en los estados de Alabama y Carolina del Sur. La primera semana de marzo, Daimler reveló una inversión de 500 millones de dólares para expandir una planta cerca de Charleston, Carolina del Sur.</w:t>
      </w:r>
    </w:p>
    <w:p w14:paraId="7375B0E1" w14:textId="77777777" w:rsidR="0095263B" w:rsidRPr="0095263B" w:rsidRDefault="0095263B" w:rsidP="0095263B">
      <w:pPr>
        <w:spacing w:after="360" w:line="360" w:lineRule="auto"/>
        <w:ind w:right="-159"/>
        <w:jc w:val="both"/>
        <w:rPr>
          <w:rFonts w:eastAsia="Calibri"/>
          <w:sz w:val="26"/>
          <w:szCs w:val="26"/>
          <w:lang w:eastAsia="en-US"/>
        </w:rPr>
      </w:pPr>
      <w:r w:rsidRPr="0095263B">
        <w:rPr>
          <w:rFonts w:eastAsia="Calibri"/>
          <w:sz w:val="26"/>
          <w:szCs w:val="26"/>
          <w:lang w:eastAsia="en-US"/>
        </w:rPr>
        <w:t>Pero han pasado más de seis años desde que una automotriz eligió el sur estadounidense para establecer una planta desde cero, es decir, en un lugar donde no tuviera otras instalaciones. Últimamente, todos esos proyectos se fueron a México.</w:t>
      </w:r>
    </w:p>
    <w:p w14:paraId="050F9BA8" w14:textId="77777777" w:rsidR="0095263B" w:rsidRPr="0095263B" w:rsidRDefault="0095263B" w:rsidP="0095263B">
      <w:pPr>
        <w:spacing w:after="360" w:line="360" w:lineRule="auto"/>
        <w:ind w:right="-159"/>
        <w:jc w:val="both"/>
        <w:rPr>
          <w:rFonts w:eastAsia="Calibri"/>
          <w:sz w:val="26"/>
          <w:szCs w:val="26"/>
          <w:lang w:eastAsia="en-US"/>
        </w:rPr>
      </w:pPr>
      <w:r w:rsidRPr="0095263B">
        <w:rPr>
          <w:rFonts w:eastAsia="Calibri"/>
          <w:sz w:val="26"/>
          <w:szCs w:val="26"/>
          <w:lang w:eastAsia="en-US"/>
        </w:rPr>
        <w:t xml:space="preserve">La surcoreana </w:t>
      </w:r>
      <w:r w:rsidRPr="0095263B">
        <w:rPr>
          <w:rFonts w:eastAsia="Calibri"/>
          <w:i/>
          <w:sz w:val="26"/>
          <w:szCs w:val="26"/>
          <w:lang w:eastAsia="en-US"/>
        </w:rPr>
        <w:t>Kia Motors Corp</w:t>
      </w:r>
      <w:r w:rsidRPr="0095263B">
        <w:rPr>
          <w:rFonts w:eastAsia="Calibri"/>
          <w:sz w:val="26"/>
          <w:szCs w:val="26"/>
          <w:lang w:eastAsia="en-US"/>
        </w:rPr>
        <w:t>., que hace seis años eligió el estado de Georgia para abrir su primera fábrica en América del Norte, pasó por alto varios lugares en Estados Unidos de Norteamérica a la hora de establecer una segunda planta y, en cambio, optó por una zona cercana a Monterrey, en México. Una alianza entre Nissan y Daimler indicó en junio que construirá una planta de un mil 400 millones de dólares en el estado mexicano de Aguascalientes para fabricar modelos Infiniti y Mercedes. Nissan, que tiene tres plantas de ensamblaje en el sur estadounidense además de su sede central para la región en Nashville, también terminó a fines de 2013 una expansión de 2 mil millones de dólares en una planta en México.</w:t>
      </w:r>
    </w:p>
    <w:p w14:paraId="42D32F82" w14:textId="77777777" w:rsidR="0095263B" w:rsidRPr="0095263B" w:rsidRDefault="0095263B" w:rsidP="0095263B">
      <w:pPr>
        <w:spacing w:after="360" w:line="360" w:lineRule="auto"/>
        <w:ind w:right="-159"/>
        <w:jc w:val="both"/>
        <w:rPr>
          <w:rFonts w:eastAsia="Calibri"/>
          <w:sz w:val="26"/>
          <w:szCs w:val="26"/>
          <w:lang w:eastAsia="en-US"/>
        </w:rPr>
      </w:pPr>
      <w:r w:rsidRPr="0095263B">
        <w:rPr>
          <w:rFonts w:eastAsia="Calibri"/>
          <w:sz w:val="26"/>
          <w:szCs w:val="26"/>
          <w:lang w:eastAsia="en-US"/>
        </w:rPr>
        <w:t>“Vemos una cantidad de triunfos en México, uno tras otro, que podrían haber venido aquí”, dijo Greg Canfield, Secretario de desarrollo económico de Alabama. “Lo que estamos viendo en Alabama y el Sur (de Estados Unidos de Norteamérica) es el reconocimiento de que realmente tenemos un nuevo competidor”.</w:t>
      </w:r>
    </w:p>
    <w:p w14:paraId="3AD25FE6" w14:textId="77777777" w:rsidR="0095263B" w:rsidRPr="0095263B" w:rsidRDefault="0095263B" w:rsidP="0095263B">
      <w:pPr>
        <w:spacing w:after="360" w:line="360" w:lineRule="auto"/>
        <w:ind w:right="-159"/>
        <w:jc w:val="both"/>
        <w:rPr>
          <w:rFonts w:eastAsia="Calibri"/>
          <w:sz w:val="26"/>
          <w:szCs w:val="26"/>
          <w:lang w:eastAsia="en-US"/>
        </w:rPr>
      </w:pPr>
      <w:r w:rsidRPr="0095263B">
        <w:rPr>
          <w:rFonts w:eastAsia="Calibri"/>
          <w:sz w:val="26"/>
          <w:szCs w:val="26"/>
          <w:lang w:eastAsia="en-US"/>
        </w:rPr>
        <w:t xml:space="preserve">En el caso de Audi, la empresa quería una planta en América del Norte no solo para alimentar la robusta demanda del mercado estadounidense por un todoterreno de tamaño mediano como el Q5, sino también para abastecer a Europa y buena parte del resto del mundo. </w:t>
      </w:r>
    </w:p>
    <w:p w14:paraId="33B5D3F2" w14:textId="77777777" w:rsidR="0095263B" w:rsidRPr="0095263B" w:rsidRDefault="0095263B" w:rsidP="0095263B">
      <w:pPr>
        <w:spacing w:after="360" w:line="360" w:lineRule="auto"/>
        <w:ind w:right="-159"/>
        <w:jc w:val="both"/>
        <w:rPr>
          <w:rFonts w:eastAsia="Calibri"/>
          <w:sz w:val="26"/>
          <w:szCs w:val="26"/>
          <w:lang w:eastAsia="en-US"/>
        </w:rPr>
      </w:pPr>
      <w:r w:rsidRPr="0095263B">
        <w:rPr>
          <w:rFonts w:eastAsia="Calibri"/>
          <w:sz w:val="26"/>
          <w:szCs w:val="26"/>
          <w:lang w:eastAsia="en-US"/>
        </w:rPr>
        <w:t xml:space="preserve">Desde un comienzo, Audi prefería aprovechar la infraestructura en la región, como caminos y proveedores, que tenía su matriz VW. En la competencia por elegir el lugar, </w:t>
      </w:r>
      <w:r w:rsidRPr="0095263B">
        <w:rPr>
          <w:rFonts w:eastAsia="Calibri"/>
          <w:sz w:val="26"/>
          <w:szCs w:val="26"/>
          <w:lang w:eastAsia="en-US"/>
        </w:rPr>
        <w:lastRenderedPageBreak/>
        <w:t xml:space="preserve">eso implicaba en gran medida una carrera de dos caballos entre la planta de VW en Chattanooga, Estados Unidos de Norteamérica, y otra en el estado mexicano de Puebla. </w:t>
      </w:r>
    </w:p>
    <w:p w14:paraId="6190B923" w14:textId="77777777" w:rsidR="0095263B" w:rsidRPr="0095263B" w:rsidRDefault="0095263B" w:rsidP="0095263B">
      <w:pPr>
        <w:spacing w:after="360" w:line="360" w:lineRule="auto"/>
        <w:ind w:right="-159"/>
        <w:jc w:val="both"/>
        <w:rPr>
          <w:rFonts w:eastAsia="Calibri"/>
          <w:sz w:val="26"/>
          <w:szCs w:val="26"/>
          <w:lang w:eastAsia="en-US"/>
        </w:rPr>
      </w:pPr>
      <w:r w:rsidRPr="0095263B">
        <w:rPr>
          <w:rFonts w:eastAsia="Calibri"/>
          <w:sz w:val="26"/>
          <w:szCs w:val="26"/>
          <w:lang w:eastAsia="en-US"/>
        </w:rPr>
        <w:t xml:space="preserve">El lugar que eligió Audi, San José Chiapa, parece a primera vista estar en medio de la nada: una localidad de casas de bloques de hormigón con unos 10 mil habitantes. Sin embargo, el puerto de Veracruz en el Golfo de México se encuentra a medio día en tren o camión. Las fábricas de proveedores para la planta de VW se encuentran a aproximadamente una hora en auto hacia el Oeste. </w:t>
      </w:r>
    </w:p>
    <w:p w14:paraId="081B65D6" w14:textId="77777777" w:rsidR="0095263B" w:rsidRPr="0095263B" w:rsidRDefault="0095263B" w:rsidP="0095263B">
      <w:pPr>
        <w:spacing w:after="360" w:line="360" w:lineRule="auto"/>
        <w:ind w:right="-159"/>
        <w:jc w:val="both"/>
        <w:rPr>
          <w:rFonts w:eastAsia="Calibri"/>
          <w:sz w:val="26"/>
          <w:szCs w:val="26"/>
          <w:lang w:eastAsia="en-US"/>
        </w:rPr>
      </w:pPr>
      <w:r w:rsidRPr="0095263B">
        <w:rPr>
          <w:rFonts w:eastAsia="Calibri"/>
          <w:sz w:val="26"/>
          <w:szCs w:val="26"/>
          <w:lang w:eastAsia="en-US"/>
        </w:rPr>
        <w:t>Los funcionarios del estado de Puebla aumentaron el atractivo de San José Chiapa al acordar financiar un centro de capacitación y donar 485 hectáreas de terreno. Hay planes en marcha para construir una comunidad modelo con viviendas, tiendas, escuelas y salas de cines para las familias de los 20 mil empleados que se anticipa trabajarán en las plantas de Audi y los proveedores adicionales de autopartes.</w:t>
      </w:r>
    </w:p>
    <w:p w14:paraId="1E1E685C" w14:textId="77777777" w:rsidR="0095263B" w:rsidRPr="0095263B" w:rsidRDefault="0095263B" w:rsidP="0095263B">
      <w:pPr>
        <w:spacing w:after="360" w:line="360" w:lineRule="auto"/>
        <w:ind w:right="-159"/>
        <w:jc w:val="both"/>
        <w:rPr>
          <w:rFonts w:eastAsia="Calibri"/>
          <w:sz w:val="26"/>
          <w:szCs w:val="26"/>
          <w:lang w:eastAsia="en-US"/>
        </w:rPr>
      </w:pPr>
      <w:r w:rsidRPr="0095263B">
        <w:rPr>
          <w:rFonts w:eastAsia="Calibri"/>
          <w:sz w:val="26"/>
          <w:szCs w:val="26"/>
          <w:lang w:eastAsia="en-US"/>
        </w:rPr>
        <w:t>“Es como si aquí explotó una bomba”, expresó Josué Martínez, un albañil que se desempeña como alcalde de San José Chiapa. “Para este pueblo, hay un antes y un después de la planta de Audi”.</w:t>
      </w:r>
    </w:p>
    <w:p w14:paraId="0F964BF2" w14:textId="77777777" w:rsidR="0095263B" w:rsidRPr="0095263B" w:rsidRDefault="0095263B" w:rsidP="0095263B">
      <w:pPr>
        <w:spacing w:after="360" w:line="360" w:lineRule="auto"/>
        <w:ind w:right="-159"/>
        <w:jc w:val="both"/>
        <w:rPr>
          <w:rFonts w:eastAsia="Calibri"/>
          <w:sz w:val="26"/>
          <w:szCs w:val="26"/>
          <w:lang w:eastAsia="en-US"/>
        </w:rPr>
      </w:pPr>
      <w:r w:rsidRPr="0095263B">
        <w:rPr>
          <w:rFonts w:eastAsia="Calibri"/>
          <w:sz w:val="26"/>
          <w:szCs w:val="26"/>
          <w:lang w:eastAsia="en-US"/>
        </w:rPr>
        <w:t>Producir el Q5 en México es un riesgo para Audi. Esta planta ensamblará todas las camionetas Q5 vendidas en el mundo, con excepción de China e India, es decir que cualquier falla en la fábrica interrumpiría las ventas globales de un modelo popular.</w:t>
      </w:r>
    </w:p>
    <w:p w14:paraId="13EC3113" w14:textId="77777777" w:rsidR="0095263B" w:rsidRPr="0095263B" w:rsidRDefault="0095263B" w:rsidP="0095263B">
      <w:pPr>
        <w:spacing w:after="360" w:line="360" w:lineRule="auto"/>
        <w:ind w:right="-159"/>
        <w:jc w:val="both"/>
        <w:rPr>
          <w:rFonts w:eastAsia="Calibri"/>
          <w:sz w:val="26"/>
          <w:szCs w:val="26"/>
          <w:lang w:eastAsia="en-US"/>
        </w:rPr>
      </w:pPr>
      <w:r w:rsidRPr="0095263B">
        <w:rPr>
          <w:rFonts w:eastAsia="Calibri"/>
          <w:sz w:val="26"/>
          <w:szCs w:val="26"/>
          <w:lang w:eastAsia="en-US"/>
        </w:rPr>
        <w:t xml:space="preserve">Audi está tomando medidas inusuales para mitigar su riesgo. Para asegurar la calidad, la compañía creó una consultoría que acudió a 160 proveedores de autopartes en México y llevó a algunos a cambiar los diseños de sus plantas o mejorar procesos débiles de producción. </w:t>
      </w:r>
    </w:p>
    <w:p w14:paraId="6723552E" w14:textId="77777777" w:rsidR="0095263B" w:rsidRPr="0095263B" w:rsidRDefault="0095263B" w:rsidP="0095263B">
      <w:pPr>
        <w:spacing w:after="360" w:line="360" w:lineRule="auto"/>
        <w:ind w:right="-159"/>
        <w:jc w:val="both"/>
        <w:rPr>
          <w:rFonts w:eastAsia="Calibri"/>
          <w:sz w:val="26"/>
          <w:szCs w:val="26"/>
          <w:lang w:eastAsia="en-US"/>
        </w:rPr>
      </w:pPr>
      <w:r w:rsidRPr="0095263B">
        <w:rPr>
          <w:rFonts w:eastAsia="Calibri"/>
          <w:sz w:val="26"/>
          <w:szCs w:val="26"/>
          <w:lang w:eastAsia="en-US"/>
        </w:rPr>
        <w:t xml:space="preserve">Audi también desarrolló un proceso para evaluar materias primas, una tarea que normalmente es asignada a los proveedores. Uno objetivo es que la mayoría de las </w:t>
      </w:r>
      <w:r w:rsidRPr="0095263B">
        <w:rPr>
          <w:rFonts w:eastAsia="Calibri"/>
          <w:sz w:val="26"/>
          <w:szCs w:val="26"/>
          <w:lang w:eastAsia="en-US"/>
        </w:rPr>
        <w:lastRenderedPageBreak/>
        <w:t xml:space="preserve">materias primas sean cotizadas en dólares, para que los costos no estén sujetos a las oscilaciones de los tipos de cambio, como ocurriría si fuesen importadas. Audi califica la estrategia de “una cobertura natural”. </w:t>
      </w:r>
    </w:p>
    <w:p w14:paraId="5187B727" w14:textId="77777777" w:rsidR="0095263B" w:rsidRPr="0095263B" w:rsidRDefault="0095263B" w:rsidP="0095263B">
      <w:pPr>
        <w:spacing w:after="360" w:line="360" w:lineRule="auto"/>
        <w:ind w:right="-159"/>
        <w:jc w:val="both"/>
        <w:rPr>
          <w:rFonts w:eastAsia="Calibri"/>
          <w:sz w:val="26"/>
          <w:szCs w:val="26"/>
          <w:lang w:eastAsia="en-US"/>
        </w:rPr>
      </w:pPr>
      <w:r w:rsidRPr="0095263B">
        <w:rPr>
          <w:rFonts w:eastAsia="Calibri"/>
          <w:sz w:val="26"/>
          <w:szCs w:val="26"/>
          <w:lang w:eastAsia="en-US"/>
        </w:rPr>
        <w:t xml:space="preserve">La compañía creó un inventario de fuentes locales para todas las partes y materiales usados en la Q5 y requirió que los proveedores se abastezcan de su lista. “Pensamos que si cada proveedor lo hace por su cuenta, sería un fracaso”, afirmó Bernd Martens, Director de adquisiciones de Audi. “Por tanto, lo hicimos en Audi”. </w:t>
      </w:r>
    </w:p>
    <w:p w14:paraId="5E8A2D28" w14:textId="77777777" w:rsidR="0095263B" w:rsidRPr="0095263B" w:rsidRDefault="0095263B" w:rsidP="0095263B">
      <w:pPr>
        <w:spacing w:after="360" w:line="360" w:lineRule="auto"/>
        <w:ind w:right="-159"/>
        <w:jc w:val="both"/>
        <w:rPr>
          <w:rFonts w:eastAsia="Calibri"/>
          <w:sz w:val="26"/>
          <w:szCs w:val="26"/>
          <w:lang w:eastAsia="en-US"/>
        </w:rPr>
      </w:pPr>
      <w:r w:rsidRPr="0095263B">
        <w:rPr>
          <w:rFonts w:eastAsia="Calibri"/>
          <w:sz w:val="26"/>
          <w:szCs w:val="26"/>
          <w:lang w:eastAsia="en-US"/>
        </w:rPr>
        <w:t xml:space="preserve">En estos momentos, Audi está capacitando a 600 personas del estado de Puebla en su sede en Ingolstadt, Alemania. En cursos de 18 meses, los mexicanos, la mayoría supervisores, estudian alemán, se capacitan en los sistemas de Audi y se familiarizan con el decidido enfoque de la empresa en la calidad. </w:t>
      </w:r>
    </w:p>
    <w:p w14:paraId="75F33723" w14:textId="77777777" w:rsidR="0095263B" w:rsidRPr="0095263B" w:rsidRDefault="0095263B" w:rsidP="0095263B">
      <w:pPr>
        <w:spacing w:after="360" w:line="360" w:lineRule="auto"/>
        <w:ind w:right="-159"/>
        <w:jc w:val="both"/>
        <w:rPr>
          <w:rFonts w:eastAsia="Calibri"/>
          <w:sz w:val="26"/>
          <w:szCs w:val="26"/>
          <w:lang w:eastAsia="en-US"/>
        </w:rPr>
      </w:pPr>
      <w:r w:rsidRPr="0095263B">
        <w:rPr>
          <w:rFonts w:eastAsia="Calibri"/>
          <w:sz w:val="26"/>
          <w:szCs w:val="26"/>
          <w:lang w:eastAsia="en-US"/>
        </w:rPr>
        <w:t xml:space="preserve">Las conversaciones en español flotan por el aire en los cafés de la ciudad bávara al borde del Danubio. Una vez a la semana, los empleados mexicanos y sus colegas alemanes se reúnen en el Havana Bar para bailar salsa. </w:t>
      </w:r>
    </w:p>
    <w:p w14:paraId="0E97313B" w14:textId="77777777" w:rsidR="0095263B" w:rsidRPr="0095263B" w:rsidRDefault="0095263B" w:rsidP="0095263B">
      <w:pPr>
        <w:spacing w:after="360" w:line="360" w:lineRule="auto"/>
        <w:ind w:right="-159"/>
        <w:jc w:val="both"/>
        <w:rPr>
          <w:rFonts w:eastAsia="Calibri"/>
          <w:sz w:val="26"/>
          <w:szCs w:val="26"/>
          <w:lang w:eastAsia="en-US"/>
        </w:rPr>
      </w:pPr>
      <w:r w:rsidRPr="0095263B">
        <w:rPr>
          <w:rFonts w:eastAsia="Calibri"/>
          <w:sz w:val="26"/>
          <w:szCs w:val="26"/>
          <w:lang w:eastAsia="en-US"/>
        </w:rPr>
        <w:t>“Cuando tenemos un problema en México, tenemos que saber quién nos puede ayudar en Ingolstadt”, indicó Isaúl López Gutiérrez, que dirigirá a un grupo de analistas de sistemas en Puebla. Su hija mayor, de siete años, estudia en un colegio alemán.</w:t>
      </w:r>
    </w:p>
    <w:p w14:paraId="59484D1E" w14:textId="77777777" w:rsidR="0095263B" w:rsidRPr="0095263B" w:rsidRDefault="0095263B" w:rsidP="0095263B">
      <w:pPr>
        <w:spacing w:after="360" w:line="360" w:lineRule="auto"/>
        <w:ind w:right="-159"/>
        <w:jc w:val="both"/>
        <w:rPr>
          <w:rFonts w:eastAsia="Calibri"/>
          <w:sz w:val="26"/>
          <w:szCs w:val="26"/>
          <w:lang w:eastAsia="en-US"/>
        </w:rPr>
      </w:pPr>
      <w:r w:rsidRPr="0095263B">
        <w:rPr>
          <w:rFonts w:eastAsia="Calibri"/>
          <w:sz w:val="26"/>
          <w:szCs w:val="26"/>
          <w:lang w:eastAsia="en-US"/>
        </w:rPr>
        <w:t xml:space="preserve">Audi concluyó que construir su planta para la Q5 en México le permitiría ahorrar hasta 50% en costos laborales, comparado con Tennessee, además de 10% en componentes, dijo Martens, el director de adquisiciones. </w:t>
      </w:r>
    </w:p>
    <w:p w14:paraId="45C369F0" w14:textId="30B66EF6" w:rsidR="0095263B" w:rsidRPr="0095263B" w:rsidRDefault="0095263B" w:rsidP="0095263B">
      <w:pPr>
        <w:spacing w:after="360" w:line="360" w:lineRule="auto"/>
        <w:ind w:right="-159"/>
        <w:jc w:val="both"/>
        <w:rPr>
          <w:rFonts w:eastAsia="Calibri"/>
          <w:sz w:val="26"/>
          <w:szCs w:val="26"/>
          <w:lang w:eastAsia="en-US"/>
        </w:rPr>
      </w:pPr>
      <w:r w:rsidRPr="0095263B">
        <w:rPr>
          <w:rFonts w:eastAsia="Calibri"/>
          <w:sz w:val="26"/>
          <w:szCs w:val="26"/>
          <w:lang w:eastAsia="en-US"/>
        </w:rPr>
        <w:t>Pero la mayor atracción fue el comercio. México cuenta con 10 pactos de libre comercio que abarcan a 45 países, contando por separado a los miembros de la Unión Europea, además de otros acuerdos comerciales en América Latina y Asia Pac</w:t>
      </w:r>
      <w:r w:rsidR="00F664AC">
        <w:rPr>
          <w:rFonts w:eastAsia="Calibri"/>
          <w:sz w:val="26"/>
          <w:szCs w:val="26"/>
          <w:lang w:eastAsia="en-US"/>
        </w:rPr>
        <w:t>í</w:t>
      </w:r>
      <w:r w:rsidRPr="0095263B">
        <w:rPr>
          <w:rFonts w:eastAsia="Calibri"/>
          <w:sz w:val="26"/>
          <w:szCs w:val="26"/>
          <w:lang w:eastAsia="en-US"/>
        </w:rPr>
        <w:t>f</w:t>
      </w:r>
      <w:r w:rsidR="00F664AC">
        <w:rPr>
          <w:rFonts w:eastAsia="Calibri"/>
          <w:sz w:val="26"/>
          <w:szCs w:val="26"/>
          <w:lang w:eastAsia="en-US"/>
        </w:rPr>
        <w:t>i</w:t>
      </w:r>
      <w:r w:rsidRPr="0095263B">
        <w:rPr>
          <w:rFonts w:eastAsia="Calibri"/>
          <w:sz w:val="26"/>
          <w:szCs w:val="26"/>
          <w:lang w:eastAsia="en-US"/>
        </w:rPr>
        <w:t xml:space="preserve">co, según la oficina de comercio del gobierno. En comparación, Estados Unidos de Norteamérica </w:t>
      </w:r>
      <w:r w:rsidRPr="0095263B">
        <w:rPr>
          <w:rFonts w:eastAsia="Calibri"/>
          <w:sz w:val="26"/>
          <w:szCs w:val="26"/>
          <w:lang w:eastAsia="en-US"/>
        </w:rPr>
        <w:lastRenderedPageBreak/>
        <w:t>tiene acuerdos de libre comercio con 20 países, la mayoría economías más pequeñas como Colombia, Chile, Panamá y Jordania, informó la oficina del representante de comercio de Estados Unidos de Norteamérica.</w:t>
      </w:r>
    </w:p>
    <w:p w14:paraId="74C4078F" w14:textId="77777777" w:rsidR="0095263B" w:rsidRPr="0095263B" w:rsidRDefault="0095263B" w:rsidP="0095263B">
      <w:pPr>
        <w:spacing w:after="360" w:line="360" w:lineRule="auto"/>
        <w:ind w:right="-159"/>
        <w:jc w:val="both"/>
        <w:rPr>
          <w:rFonts w:eastAsia="Calibri"/>
          <w:sz w:val="26"/>
          <w:szCs w:val="26"/>
          <w:lang w:eastAsia="en-US"/>
        </w:rPr>
      </w:pPr>
      <w:r w:rsidRPr="0095263B">
        <w:rPr>
          <w:rFonts w:eastAsia="Calibri"/>
          <w:sz w:val="26"/>
          <w:szCs w:val="26"/>
          <w:lang w:eastAsia="en-US"/>
        </w:rPr>
        <w:t xml:space="preserve">Las autoridades estadounidenses negocian con Japón y otros 10 países asiáticos y de América Latina con la esperanza de completar en los próximos meses un marco conocido como el Acuerdo de Asociación Trans-Pacífico. El pacto, que según los funcionarios ayudaría a los países a competir con China, necesita del mecanismo conocido como “vía rápida” para facilitar su aprobación en el Congreso. Si se presenta y aprueba este año, la “vía rápida” también podría acelerar un acuerdo comercial con la UE que se encuentra en las etapas preliminares de negociación. </w:t>
      </w:r>
    </w:p>
    <w:p w14:paraId="1F62DDF4" w14:textId="77777777" w:rsidR="0095263B" w:rsidRPr="0095263B" w:rsidRDefault="0095263B" w:rsidP="0095263B">
      <w:pPr>
        <w:spacing w:after="360" w:line="360" w:lineRule="auto"/>
        <w:ind w:right="-159"/>
        <w:jc w:val="both"/>
        <w:rPr>
          <w:rFonts w:eastAsia="Calibri"/>
          <w:sz w:val="26"/>
          <w:szCs w:val="26"/>
          <w:lang w:eastAsia="en-US"/>
        </w:rPr>
      </w:pPr>
      <w:r w:rsidRPr="0095263B">
        <w:rPr>
          <w:rFonts w:eastAsia="Calibri"/>
          <w:sz w:val="26"/>
          <w:szCs w:val="26"/>
          <w:lang w:eastAsia="en-US"/>
        </w:rPr>
        <w:t xml:space="preserve">Debido a los acuerdos comerciales de México, la consideración de Chattanooga por parte de Audi para la planta de la Q5 “nunca pareció real”, apuntó el senador republicano de Tennessee Bob Corker. La mayor cantidad de pactos comerciales de México “nos pone en desventaja. Esto es algo que es muy importante para nuestro país”. </w:t>
      </w:r>
    </w:p>
    <w:p w14:paraId="2EE9ADC9" w14:textId="77777777" w:rsidR="0095263B" w:rsidRPr="0095263B" w:rsidRDefault="0095263B" w:rsidP="0095263B">
      <w:pPr>
        <w:spacing w:after="360" w:line="360" w:lineRule="auto"/>
        <w:ind w:right="-159"/>
        <w:jc w:val="both"/>
        <w:rPr>
          <w:rFonts w:eastAsia="Calibri"/>
          <w:sz w:val="26"/>
          <w:szCs w:val="26"/>
          <w:lang w:eastAsia="en-US"/>
        </w:rPr>
      </w:pPr>
      <w:r w:rsidRPr="0095263B">
        <w:rPr>
          <w:rFonts w:eastAsia="Calibri"/>
          <w:sz w:val="26"/>
          <w:szCs w:val="26"/>
          <w:lang w:eastAsia="en-US"/>
        </w:rPr>
        <w:t xml:space="preserve">Sin embargo, el Gobierno del Presidente de los Estados Unidos de Norteamérica se ha topado con una férrea resistencia de integrantes del Partido Demócrata. “La experiencia amarga nos dice que los malos acuerdos comerciales devastan los empleos, devastan los sueldos”, afirmó la representante de Connecticut Rosa DeLauro, quién está encabezando la oposición a la “vía rápida” entre los demócratas en la cámara baja. </w:t>
      </w:r>
    </w:p>
    <w:p w14:paraId="55BCD12F" w14:textId="77777777" w:rsidR="0095263B" w:rsidRPr="0095263B" w:rsidRDefault="0095263B" w:rsidP="0095263B">
      <w:pPr>
        <w:spacing w:after="360" w:line="360" w:lineRule="auto"/>
        <w:ind w:right="-159"/>
        <w:jc w:val="both"/>
        <w:rPr>
          <w:rFonts w:eastAsia="Calibri"/>
          <w:sz w:val="26"/>
          <w:szCs w:val="26"/>
          <w:lang w:eastAsia="en-US"/>
        </w:rPr>
      </w:pPr>
      <w:r w:rsidRPr="0095263B">
        <w:rPr>
          <w:rFonts w:eastAsia="Calibri"/>
          <w:sz w:val="26"/>
          <w:szCs w:val="26"/>
          <w:lang w:eastAsia="en-US"/>
        </w:rPr>
        <w:t>Después de que Audi optara por México en 2012, funcionarios del Departamento de Comercio visitaron Chattanooga para reunirse con líderes empresariales y del gobierno. Sentados en torno a una mesa de conferencia de nogal en las oficinas de la Cámara de Comercio, los representantes locales dijeron que la decisión de Audi debería ser un llamado de atención sobre la ventaja de México.</w:t>
      </w:r>
    </w:p>
    <w:p w14:paraId="47B1D7C2" w14:textId="77777777" w:rsidR="0095263B" w:rsidRPr="0095263B" w:rsidRDefault="0095263B" w:rsidP="0095263B">
      <w:pPr>
        <w:spacing w:after="360" w:line="360" w:lineRule="auto"/>
        <w:ind w:right="-159"/>
        <w:jc w:val="both"/>
        <w:rPr>
          <w:rFonts w:eastAsia="Calibri"/>
          <w:sz w:val="26"/>
          <w:szCs w:val="26"/>
          <w:lang w:eastAsia="en-US"/>
        </w:rPr>
      </w:pPr>
      <w:r w:rsidRPr="0095263B">
        <w:rPr>
          <w:rFonts w:eastAsia="Calibri"/>
          <w:sz w:val="26"/>
          <w:szCs w:val="26"/>
          <w:lang w:eastAsia="en-US"/>
        </w:rPr>
        <w:lastRenderedPageBreak/>
        <w:t xml:space="preserve">La discusión “no se centró tanto en el proyecto de Audi en sí: se trataba de un ejemplo de lo que otros proyectos que estén considerando a Chattanooga podrían convertirse”, anotó Charles Wood, un Ejecutivo de la Cámara de Comercio de Chattanooga. </w:t>
      </w:r>
    </w:p>
    <w:p w14:paraId="0CAF0598" w14:textId="77777777" w:rsidR="0095263B" w:rsidRPr="0095263B" w:rsidRDefault="0095263B" w:rsidP="0095263B">
      <w:pPr>
        <w:spacing w:after="360" w:line="360" w:lineRule="auto"/>
        <w:ind w:right="-159"/>
        <w:jc w:val="both"/>
        <w:rPr>
          <w:rFonts w:eastAsia="Calibri"/>
          <w:sz w:val="26"/>
          <w:szCs w:val="26"/>
          <w:lang w:eastAsia="en-US"/>
        </w:rPr>
      </w:pPr>
      <w:r w:rsidRPr="0095263B">
        <w:rPr>
          <w:rFonts w:eastAsia="Calibri"/>
          <w:sz w:val="26"/>
          <w:szCs w:val="26"/>
          <w:lang w:eastAsia="en-US"/>
        </w:rPr>
        <w:t xml:space="preserve">Seis estados del Sur de Estados Unidos de Norteamérica encargaron un estudio sobre cómo competir con México. El informe del Centro de Investigación Automotriz señaló que necesitaban tomar medidas como fortalecer la concentración de proveedores de autopartes y capacitar a la fuerza laboral para trabajos de producción de mayor valor. </w:t>
      </w:r>
    </w:p>
    <w:p w14:paraId="31766313" w14:textId="77777777" w:rsidR="0095263B" w:rsidRPr="0095263B" w:rsidRDefault="0095263B" w:rsidP="0095263B">
      <w:pPr>
        <w:spacing w:after="360" w:line="360" w:lineRule="auto"/>
        <w:ind w:right="-159"/>
        <w:jc w:val="both"/>
        <w:rPr>
          <w:rFonts w:eastAsia="Calibri"/>
          <w:sz w:val="26"/>
          <w:szCs w:val="26"/>
          <w:lang w:eastAsia="en-US"/>
        </w:rPr>
      </w:pPr>
      <w:r w:rsidRPr="0095263B">
        <w:rPr>
          <w:rFonts w:eastAsia="Calibri"/>
          <w:sz w:val="26"/>
          <w:szCs w:val="26"/>
          <w:lang w:eastAsia="en-US"/>
        </w:rPr>
        <w:t xml:space="preserve">Tres cuartas partes de los empleos manufactureros en Tennessee se pueden vincular a los fabricantes de autos y sus proveedores, según un estudio del centro de estudios </w:t>
      </w:r>
      <w:r w:rsidRPr="0095263B">
        <w:rPr>
          <w:rFonts w:eastAsia="Calibri"/>
          <w:i/>
          <w:sz w:val="26"/>
          <w:szCs w:val="26"/>
          <w:lang w:eastAsia="en-US"/>
        </w:rPr>
        <w:t>Brookings Institution</w:t>
      </w:r>
      <w:r w:rsidRPr="0095263B">
        <w:rPr>
          <w:rFonts w:eastAsia="Calibri"/>
          <w:sz w:val="26"/>
          <w:szCs w:val="26"/>
          <w:lang w:eastAsia="en-US"/>
        </w:rPr>
        <w:t xml:space="preserve">. El estado ahora ofrece a los habitantes adultos capacitación vocacional gratuita para aprender destrezas avanzadas que necesitan los fabricantes de autos, señaló el Comisionado de desarrollo económico de Tennessee, Randy Boyd. </w:t>
      </w:r>
    </w:p>
    <w:p w14:paraId="25C394FD" w14:textId="77777777" w:rsidR="0095263B" w:rsidRPr="0095263B" w:rsidRDefault="0095263B" w:rsidP="0095263B">
      <w:pPr>
        <w:spacing w:after="360" w:line="360" w:lineRule="auto"/>
        <w:ind w:right="-159"/>
        <w:jc w:val="both"/>
        <w:rPr>
          <w:rFonts w:eastAsia="Calibri"/>
          <w:sz w:val="26"/>
          <w:szCs w:val="26"/>
          <w:lang w:eastAsia="en-US"/>
        </w:rPr>
      </w:pPr>
      <w:r w:rsidRPr="0095263B">
        <w:rPr>
          <w:rFonts w:eastAsia="Calibri"/>
          <w:sz w:val="26"/>
          <w:szCs w:val="26"/>
          <w:lang w:eastAsia="en-US"/>
        </w:rPr>
        <w:t>Mirando por la ventana de su oficina hacia el centro de Nashville, la capital del estado, Boyd regresó a la ventaja comercial de México. “Nos encantaría competir en terreno parejo”, dijo. “Esto definitivamente será problemático si México tiene esa ventaja y nosotros no”.</w:t>
      </w:r>
    </w:p>
    <w:p w14:paraId="5B377384" w14:textId="77777777" w:rsidR="0095263B" w:rsidRPr="0095263B" w:rsidRDefault="0095263B" w:rsidP="0095263B">
      <w:pPr>
        <w:ind w:right="-159"/>
        <w:jc w:val="both"/>
        <w:rPr>
          <w:rFonts w:eastAsia="Calibri"/>
          <w:b/>
          <w:sz w:val="20"/>
          <w:szCs w:val="26"/>
          <w:lang w:eastAsia="en-US"/>
        </w:rPr>
      </w:pPr>
      <w:r w:rsidRPr="0095263B">
        <w:rPr>
          <w:rFonts w:eastAsia="Calibri"/>
          <w:b/>
          <w:sz w:val="20"/>
          <w:szCs w:val="26"/>
          <w:lang w:eastAsia="en-US"/>
        </w:rPr>
        <w:t>Fuente de información:</w:t>
      </w:r>
    </w:p>
    <w:p w14:paraId="79578556" w14:textId="77777777" w:rsidR="0095263B" w:rsidRPr="0027100E" w:rsidRDefault="0093224F" w:rsidP="0027100E">
      <w:pPr>
        <w:spacing w:after="720"/>
        <w:ind w:right="-159"/>
        <w:jc w:val="both"/>
        <w:rPr>
          <w:rFonts w:eastAsia="Calibri"/>
          <w:color w:val="0000FF"/>
          <w:sz w:val="20"/>
          <w:szCs w:val="20"/>
          <w:lang w:eastAsia="en-US"/>
        </w:rPr>
      </w:pPr>
      <w:hyperlink r:id="rId238" w:history="1">
        <w:r w:rsidR="0095263B" w:rsidRPr="0027100E">
          <w:rPr>
            <w:rFonts w:eastAsia="Calibri"/>
            <w:color w:val="0000FF"/>
            <w:sz w:val="20"/>
            <w:szCs w:val="20"/>
            <w:u w:val="single"/>
            <w:lang w:eastAsia="en-US"/>
          </w:rPr>
          <w:t>http://lat.wsj.com/articles/SB10884764161162954107804580524621302959094?tesla=y</w:t>
        </w:r>
      </w:hyperlink>
      <w:r w:rsidR="0095263B" w:rsidRPr="0027100E">
        <w:rPr>
          <w:rFonts w:eastAsia="Calibri"/>
          <w:color w:val="0000FF"/>
          <w:sz w:val="20"/>
          <w:szCs w:val="20"/>
          <w:lang w:eastAsia="en-US"/>
        </w:rPr>
        <w:t xml:space="preserve"> </w:t>
      </w:r>
    </w:p>
    <w:p w14:paraId="385A78A8" w14:textId="77777777" w:rsidR="008037B6" w:rsidRPr="008037B6" w:rsidRDefault="008037B6" w:rsidP="008037B6">
      <w:pPr>
        <w:spacing w:after="360" w:line="360" w:lineRule="auto"/>
        <w:ind w:right="-159"/>
        <w:jc w:val="both"/>
        <w:rPr>
          <w:rFonts w:eastAsia="Calibri"/>
          <w:sz w:val="26"/>
          <w:szCs w:val="26"/>
          <w:lang w:eastAsia="en-US"/>
        </w:rPr>
      </w:pPr>
    </w:p>
    <w:p w14:paraId="01D39DFA" w14:textId="77777777" w:rsidR="008037B6" w:rsidRPr="008037B6" w:rsidRDefault="008037B6" w:rsidP="008037B6">
      <w:pPr>
        <w:spacing w:after="360" w:line="360" w:lineRule="auto"/>
        <w:ind w:right="-159"/>
        <w:jc w:val="both"/>
        <w:rPr>
          <w:rFonts w:eastAsia="Calibri"/>
          <w:sz w:val="26"/>
          <w:szCs w:val="26"/>
          <w:lang w:eastAsia="en-US"/>
        </w:rPr>
      </w:pPr>
    </w:p>
    <w:p w14:paraId="38F8B592" w14:textId="77777777" w:rsidR="008037B6" w:rsidRDefault="008037B6">
      <w:pPr>
        <w:rPr>
          <w:rFonts w:eastAsia="Calibri"/>
          <w:b/>
          <w:sz w:val="26"/>
          <w:szCs w:val="26"/>
          <w:lang w:eastAsia="en-US"/>
        </w:rPr>
      </w:pPr>
      <w:r>
        <w:rPr>
          <w:rFonts w:eastAsia="Calibri"/>
          <w:b/>
          <w:sz w:val="26"/>
          <w:szCs w:val="26"/>
          <w:lang w:eastAsia="en-US"/>
        </w:rPr>
        <w:br w:type="page"/>
      </w:r>
    </w:p>
    <w:p w14:paraId="3B3817FA" w14:textId="1094D694" w:rsidR="005B6BED" w:rsidRPr="005B6BED" w:rsidRDefault="005B6BED" w:rsidP="005B6BED">
      <w:pPr>
        <w:ind w:right="-159"/>
        <w:jc w:val="both"/>
        <w:rPr>
          <w:rFonts w:eastAsia="Calibri"/>
          <w:b/>
          <w:sz w:val="26"/>
          <w:szCs w:val="26"/>
          <w:lang w:eastAsia="en-US"/>
        </w:rPr>
      </w:pPr>
      <w:r w:rsidRPr="005B6BED">
        <w:rPr>
          <w:rFonts w:eastAsia="Calibri"/>
          <w:b/>
          <w:sz w:val="26"/>
          <w:szCs w:val="26"/>
          <w:lang w:eastAsia="en-US"/>
        </w:rPr>
        <w:lastRenderedPageBreak/>
        <w:t>Encuesta sobre las Expectativas de los</w:t>
      </w:r>
    </w:p>
    <w:p w14:paraId="71FCACC8" w14:textId="77777777" w:rsidR="005B6BED" w:rsidRPr="005B6BED" w:rsidRDefault="005B6BED" w:rsidP="005B6BED">
      <w:pPr>
        <w:ind w:right="-159"/>
        <w:jc w:val="both"/>
        <w:rPr>
          <w:rFonts w:eastAsia="Calibri"/>
          <w:b/>
          <w:sz w:val="26"/>
          <w:szCs w:val="26"/>
          <w:lang w:eastAsia="en-US"/>
        </w:rPr>
      </w:pPr>
      <w:r w:rsidRPr="005B6BED">
        <w:rPr>
          <w:rFonts w:eastAsia="Calibri"/>
          <w:b/>
          <w:sz w:val="26"/>
          <w:szCs w:val="26"/>
          <w:lang w:eastAsia="en-US"/>
        </w:rPr>
        <w:t>Especialistas  en  Economía del Sector</w:t>
      </w:r>
    </w:p>
    <w:p w14:paraId="057D6221" w14:textId="599DD0C8" w:rsidR="005B6BED" w:rsidRPr="005B6BED" w:rsidRDefault="005B6BED" w:rsidP="005B6BED">
      <w:pPr>
        <w:spacing w:after="360" w:line="360" w:lineRule="auto"/>
        <w:ind w:right="-159"/>
        <w:jc w:val="both"/>
        <w:rPr>
          <w:rFonts w:eastAsia="Calibri"/>
          <w:b/>
          <w:sz w:val="26"/>
          <w:szCs w:val="26"/>
          <w:lang w:eastAsia="en-US"/>
        </w:rPr>
      </w:pPr>
      <w:r w:rsidRPr="005B6BED">
        <w:rPr>
          <w:rFonts w:eastAsia="Calibri"/>
          <w:b/>
          <w:sz w:val="26"/>
          <w:szCs w:val="26"/>
          <w:lang w:eastAsia="en-US"/>
        </w:rPr>
        <w:t xml:space="preserve">Privado:  </w:t>
      </w:r>
      <w:r w:rsidR="00D35A32">
        <w:rPr>
          <w:rFonts w:eastAsia="Calibri"/>
          <w:b/>
          <w:sz w:val="26"/>
          <w:szCs w:val="26"/>
          <w:lang w:eastAsia="en-US"/>
        </w:rPr>
        <w:t>Febrero</w:t>
      </w:r>
      <w:r w:rsidRPr="005B6BED">
        <w:rPr>
          <w:rFonts w:eastAsia="Calibri"/>
          <w:b/>
          <w:sz w:val="26"/>
          <w:szCs w:val="26"/>
          <w:lang w:eastAsia="en-US"/>
        </w:rPr>
        <w:t xml:space="preserve">  de  2015  (Banxico)</w:t>
      </w:r>
    </w:p>
    <w:p w14:paraId="689DC6CE" w14:textId="77777777" w:rsidR="00C443FC" w:rsidRPr="00C443FC" w:rsidRDefault="00C443FC" w:rsidP="00C443FC">
      <w:pPr>
        <w:spacing w:after="360" w:line="360" w:lineRule="auto"/>
        <w:ind w:right="-159"/>
        <w:jc w:val="both"/>
        <w:rPr>
          <w:rFonts w:eastAsia="Calibri"/>
          <w:sz w:val="26"/>
          <w:szCs w:val="26"/>
          <w:lang w:eastAsia="en-US"/>
        </w:rPr>
      </w:pPr>
      <w:r w:rsidRPr="00C443FC">
        <w:rPr>
          <w:rFonts w:eastAsia="Calibri"/>
          <w:sz w:val="26"/>
          <w:szCs w:val="26"/>
          <w:lang w:eastAsia="en-US"/>
        </w:rPr>
        <w:t>El 5 de marzo de 2015, el Banco de México (Banxico) dio a conocer la Encuesta sobre las Expectativas de los Especialistas en Economía del Sector Privado: Febrero de 2015</w:t>
      </w:r>
      <w:r w:rsidRPr="00C443FC">
        <w:rPr>
          <w:rFonts w:eastAsia="Calibri"/>
          <w:i/>
          <w:sz w:val="26"/>
          <w:szCs w:val="26"/>
          <w:lang w:eastAsia="en-US"/>
        </w:rPr>
        <w:t xml:space="preserve">. </w:t>
      </w:r>
      <w:r w:rsidRPr="00C443FC">
        <w:rPr>
          <w:rFonts w:eastAsia="Calibri"/>
          <w:sz w:val="26"/>
          <w:szCs w:val="26"/>
          <w:lang w:eastAsia="en-US"/>
        </w:rPr>
        <w:t>A continuación se presenta la información.</w:t>
      </w:r>
    </w:p>
    <w:p w14:paraId="07E0B7D6" w14:textId="77777777" w:rsidR="00C443FC" w:rsidRPr="00C443FC" w:rsidRDefault="00C443FC" w:rsidP="00C443FC">
      <w:pPr>
        <w:spacing w:after="360" w:line="360" w:lineRule="auto"/>
        <w:ind w:right="-159"/>
        <w:jc w:val="both"/>
        <w:rPr>
          <w:rFonts w:eastAsia="Calibri"/>
          <w:b/>
          <w:sz w:val="26"/>
          <w:szCs w:val="26"/>
          <w:lang w:eastAsia="en-US"/>
        </w:rPr>
      </w:pPr>
      <w:r w:rsidRPr="00C443FC">
        <w:rPr>
          <w:rFonts w:eastAsia="Calibri"/>
          <w:b/>
          <w:sz w:val="26"/>
          <w:szCs w:val="26"/>
          <w:lang w:eastAsia="en-US"/>
        </w:rPr>
        <w:t>Resumen</w:t>
      </w:r>
    </w:p>
    <w:p w14:paraId="52F94EE7" w14:textId="77777777" w:rsidR="00C443FC" w:rsidRPr="00C443FC" w:rsidRDefault="00C443FC" w:rsidP="00C443FC">
      <w:pPr>
        <w:spacing w:after="360" w:line="360" w:lineRule="auto"/>
        <w:ind w:right="-159"/>
        <w:jc w:val="both"/>
        <w:rPr>
          <w:rFonts w:eastAsia="Calibri"/>
          <w:sz w:val="26"/>
          <w:szCs w:val="26"/>
          <w:lang w:eastAsia="en-US"/>
        </w:rPr>
      </w:pPr>
      <w:r w:rsidRPr="00C443FC">
        <w:rPr>
          <w:rFonts w:eastAsia="Calibri"/>
          <w:sz w:val="26"/>
          <w:szCs w:val="26"/>
          <w:lang w:eastAsia="en-US"/>
        </w:rPr>
        <w:t>En esta nota se reportan los resultados de la encuesta de febrero de 2015, sobre las expectativas de los especialistas en economía del sector privado. Dicha encuesta fue recabada por Banxico entre 35 grupos de análisis y consultoría económica del sector privado nacional y extranjero. Las respuestas se recibieron entre los días 24 y 27 de febrero.</w:t>
      </w:r>
    </w:p>
    <w:p w14:paraId="4154DCAB" w14:textId="77777777" w:rsidR="00C443FC" w:rsidRDefault="00C443FC" w:rsidP="00C443FC">
      <w:pPr>
        <w:spacing w:after="360" w:line="360" w:lineRule="auto"/>
        <w:ind w:right="-159"/>
        <w:jc w:val="both"/>
        <w:rPr>
          <w:rFonts w:eastAsia="Calibri"/>
          <w:sz w:val="26"/>
          <w:szCs w:val="26"/>
          <w:lang w:eastAsia="en-US"/>
        </w:rPr>
      </w:pPr>
      <w:r w:rsidRPr="00C443FC">
        <w:rPr>
          <w:rFonts w:eastAsia="Calibri"/>
          <w:sz w:val="26"/>
          <w:szCs w:val="26"/>
          <w:lang w:eastAsia="en-US"/>
        </w:rPr>
        <w:t>El siguiente cuadro resume los principales resultados de la encuesta, comparándolos con los del mes previo.</w:t>
      </w:r>
    </w:p>
    <w:p w14:paraId="03EEBA84" w14:textId="77777777" w:rsidR="001B4DFF" w:rsidRDefault="001B4DFF" w:rsidP="00C443FC">
      <w:pPr>
        <w:spacing w:after="360" w:line="360" w:lineRule="auto"/>
        <w:ind w:right="-159"/>
        <w:jc w:val="both"/>
        <w:rPr>
          <w:rFonts w:eastAsia="Calibri"/>
          <w:sz w:val="26"/>
          <w:szCs w:val="26"/>
          <w:lang w:eastAsia="en-US"/>
        </w:rPr>
      </w:pPr>
    </w:p>
    <w:p w14:paraId="78761EBC" w14:textId="77777777" w:rsidR="001B4DFF" w:rsidRDefault="001B4DFF" w:rsidP="00C443FC">
      <w:pPr>
        <w:spacing w:after="360" w:line="360" w:lineRule="auto"/>
        <w:ind w:right="-159"/>
        <w:jc w:val="both"/>
        <w:rPr>
          <w:rFonts w:eastAsia="Calibri"/>
          <w:sz w:val="26"/>
          <w:szCs w:val="26"/>
          <w:lang w:eastAsia="en-US"/>
        </w:rPr>
      </w:pPr>
    </w:p>
    <w:p w14:paraId="668608C2" w14:textId="77777777" w:rsidR="001B4DFF" w:rsidRDefault="001B4DFF" w:rsidP="00C443FC">
      <w:pPr>
        <w:spacing w:after="360" w:line="360" w:lineRule="auto"/>
        <w:ind w:right="-159"/>
        <w:jc w:val="both"/>
        <w:rPr>
          <w:rFonts w:eastAsia="Calibri"/>
          <w:sz w:val="26"/>
          <w:szCs w:val="26"/>
          <w:lang w:eastAsia="en-US"/>
        </w:rPr>
      </w:pPr>
    </w:p>
    <w:p w14:paraId="3F0ADB0F" w14:textId="77777777" w:rsidR="001B4DFF" w:rsidRDefault="001B4DFF" w:rsidP="00C443FC">
      <w:pPr>
        <w:spacing w:after="360" w:line="360" w:lineRule="auto"/>
        <w:ind w:right="-159"/>
        <w:jc w:val="both"/>
        <w:rPr>
          <w:rFonts w:eastAsia="Calibri"/>
          <w:sz w:val="26"/>
          <w:szCs w:val="26"/>
          <w:lang w:eastAsia="en-US"/>
        </w:rPr>
      </w:pPr>
    </w:p>
    <w:p w14:paraId="1E82AD76" w14:textId="77777777" w:rsidR="001B4DFF" w:rsidRDefault="001B4DFF" w:rsidP="00C443FC">
      <w:pPr>
        <w:spacing w:after="360" w:line="360" w:lineRule="auto"/>
        <w:ind w:right="-159"/>
        <w:jc w:val="both"/>
        <w:rPr>
          <w:rFonts w:eastAsia="Calibri"/>
          <w:sz w:val="26"/>
          <w:szCs w:val="26"/>
          <w:lang w:eastAsia="en-US"/>
        </w:rPr>
      </w:pPr>
    </w:p>
    <w:p w14:paraId="164547A2" w14:textId="77777777" w:rsidR="001B4DFF" w:rsidRDefault="001B4DFF" w:rsidP="00C443FC">
      <w:pPr>
        <w:spacing w:after="360" w:line="360" w:lineRule="auto"/>
        <w:ind w:right="-159"/>
        <w:jc w:val="both"/>
        <w:rPr>
          <w:rFonts w:eastAsia="Calibri"/>
          <w:sz w:val="26"/>
          <w:szCs w:val="26"/>
          <w:lang w:eastAsia="en-US"/>
        </w:rPr>
      </w:pPr>
    </w:p>
    <w:tbl>
      <w:tblPr>
        <w:tblW w:w="6650" w:type="dxa"/>
        <w:jc w:val="center"/>
        <w:tblLayout w:type="fixed"/>
        <w:tblLook w:val="04A0" w:firstRow="1" w:lastRow="0" w:firstColumn="1" w:lastColumn="0" w:noHBand="0" w:noVBand="1"/>
      </w:tblPr>
      <w:tblGrid>
        <w:gridCol w:w="4172"/>
        <w:gridCol w:w="1202"/>
        <w:gridCol w:w="1276"/>
      </w:tblGrid>
      <w:tr w:rsidR="00C443FC" w:rsidRPr="00C443FC" w14:paraId="1CCD28BE" w14:textId="77777777" w:rsidTr="005C0CDD">
        <w:trPr>
          <w:jc w:val="center"/>
        </w:trPr>
        <w:tc>
          <w:tcPr>
            <w:tcW w:w="6650" w:type="dxa"/>
            <w:gridSpan w:val="3"/>
            <w:tcBorders>
              <w:top w:val="nil"/>
              <w:left w:val="nil"/>
              <w:bottom w:val="single" w:sz="4" w:space="0" w:color="auto"/>
              <w:right w:val="nil"/>
            </w:tcBorders>
          </w:tcPr>
          <w:p w14:paraId="6FA26369" w14:textId="77777777" w:rsidR="00C443FC" w:rsidRPr="00C443FC" w:rsidRDefault="00C443FC" w:rsidP="00C443FC">
            <w:pPr>
              <w:jc w:val="center"/>
              <w:rPr>
                <w:rFonts w:eastAsia="Calibri"/>
                <w:b/>
                <w:sz w:val="22"/>
                <w:szCs w:val="22"/>
                <w:lang w:eastAsia="en-US"/>
              </w:rPr>
            </w:pPr>
            <w:r w:rsidRPr="00C443FC">
              <w:rPr>
                <w:rFonts w:eastAsia="Calibri"/>
                <w:b/>
                <w:sz w:val="22"/>
                <w:szCs w:val="22"/>
                <w:lang w:eastAsia="en-US"/>
              </w:rPr>
              <w:lastRenderedPageBreak/>
              <w:t>EXPECTATIVAS DE LOS ESPECIALISTAS SOBRE LOS PRINCIPALES INDICADORES DE LA ECONOMÍA</w:t>
            </w:r>
          </w:p>
          <w:p w14:paraId="43CCA470" w14:textId="77777777" w:rsidR="00C443FC" w:rsidRPr="00C443FC" w:rsidRDefault="00C443FC" w:rsidP="00C443FC">
            <w:pPr>
              <w:jc w:val="center"/>
              <w:rPr>
                <w:rFonts w:eastAsia="Calibri"/>
                <w:b/>
                <w:sz w:val="22"/>
                <w:szCs w:val="22"/>
                <w:lang w:eastAsia="en-US"/>
              </w:rPr>
            </w:pPr>
            <w:r w:rsidRPr="00C443FC">
              <w:rPr>
                <w:rFonts w:eastAsia="Calibri"/>
                <w:b/>
                <w:sz w:val="22"/>
                <w:szCs w:val="22"/>
                <w:lang w:eastAsia="en-US"/>
              </w:rPr>
              <w:t>-Media de los pronósticos-</w:t>
            </w:r>
          </w:p>
        </w:tc>
      </w:tr>
      <w:tr w:rsidR="00C443FC" w:rsidRPr="00C443FC" w14:paraId="1F341EEE" w14:textId="77777777" w:rsidTr="005C0CDD">
        <w:trPr>
          <w:jc w:val="center"/>
        </w:trPr>
        <w:tc>
          <w:tcPr>
            <w:tcW w:w="4172" w:type="dxa"/>
            <w:vMerge w:val="restart"/>
            <w:tcBorders>
              <w:top w:val="single" w:sz="4" w:space="0" w:color="auto"/>
              <w:left w:val="single" w:sz="4" w:space="0" w:color="auto"/>
              <w:bottom w:val="single" w:sz="4" w:space="0" w:color="auto"/>
              <w:right w:val="single" w:sz="4" w:space="0" w:color="auto"/>
            </w:tcBorders>
          </w:tcPr>
          <w:p w14:paraId="05A0C284" w14:textId="77777777" w:rsidR="00C443FC" w:rsidRPr="00C443FC" w:rsidRDefault="00C443FC" w:rsidP="00C443FC">
            <w:pPr>
              <w:jc w:val="both"/>
              <w:rPr>
                <w:rFonts w:eastAsia="Calibri"/>
                <w:sz w:val="20"/>
                <w:szCs w:val="20"/>
                <w:lang w:eastAsia="en-US"/>
              </w:rPr>
            </w:pPr>
          </w:p>
        </w:tc>
        <w:tc>
          <w:tcPr>
            <w:tcW w:w="2478" w:type="dxa"/>
            <w:gridSpan w:val="2"/>
            <w:tcBorders>
              <w:top w:val="single" w:sz="4" w:space="0" w:color="auto"/>
              <w:left w:val="single" w:sz="4" w:space="0" w:color="auto"/>
              <w:bottom w:val="single" w:sz="4" w:space="0" w:color="auto"/>
              <w:right w:val="single" w:sz="4" w:space="0" w:color="auto"/>
            </w:tcBorders>
          </w:tcPr>
          <w:p w14:paraId="0352EBFE"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Encuesta</w:t>
            </w:r>
          </w:p>
        </w:tc>
      </w:tr>
      <w:tr w:rsidR="00C443FC" w:rsidRPr="00C443FC" w14:paraId="38460210" w14:textId="77777777" w:rsidTr="005C0CDD">
        <w:trPr>
          <w:jc w:val="center"/>
        </w:trPr>
        <w:tc>
          <w:tcPr>
            <w:tcW w:w="4172" w:type="dxa"/>
            <w:vMerge/>
            <w:tcBorders>
              <w:top w:val="single" w:sz="4" w:space="0" w:color="auto"/>
              <w:left w:val="single" w:sz="4" w:space="0" w:color="auto"/>
              <w:bottom w:val="single" w:sz="4" w:space="0" w:color="auto"/>
              <w:right w:val="single" w:sz="4" w:space="0" w:color="auto"/>
            </w:tcBorders>
          </w:tcPr>
          <w:p w14:paraId="2D935805" w14:textId="77777777" w:rsidR="00C443FC" w:rsidRPr="00C443FC" w:rsidRDefault="00C443FC" w:rsidP="00C443FC">
            <w:pPr>
              <w:jc w:val="both"/>
              <w:rPr>
                <w:rFonts w:eastAsia="Calibri"/>
                <w:sz w:val="20"/>
                <w:szCs w:val="20"/>
                <w:lang w:eastAsia="en-US"/>
              </w:rPr>
            </w:pPr>
          </w:p>
        </w:tc>
        <w:tc>
          <w:tcPr>
            <w:tcW w:w="1202" w:type="dxa"/>
            <w:tcBorders>
              <w:top w:val="single" w:sz="4" w:space="0" w:color="auto"/>
              <w:left w:val="single" w:sz="4" w:space="0" w:color="auto"/>
              <w:bottom w:val="single" w:sz="4" w:space="0" w:color="auto"/>
              <w:right w:val="single" w:sz="4" w:space="0" w:color="auto"/>
            </w:tcBorders>
          </w:tcPr>
          <w:p w14:paraId="08A49435"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Enero de 2015</w:t>
            </w:r>
          </w:p>
        </w:tc>
        <w:tc>
          <w:tcPr>
            <w:tcW w:w="1276" w:type="dxa"/>
            <w:tcBorders>
              <w:top w:val="single" w:sz="4" w:space="0" w:color="auto"/>
              <w:left w:val="single" w:sz="4" w:space="0" w:color="auto"/>
              <w:bottom w:val="single" w:sz="4" w:space="0" w:color="auto"/>
              <w:right w:val="single" w:sz="4" w:space="0" w:color="auto"/>
            </w:tcBorders>
          </w:tcPr>
          <w:p w14:paraId="2CD6674F"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Febrero de 2015</w:t>
            </w:r>
          </w:p>
        </w:tc>
      </w:tr>
      <w:tr w:rsidR="00C443FC" w:rsidRPr="00C443FC" w14:paraId="1F4A26C7" w14:textId="77777777" w:rsidTr="005C0CDD">
        <w:trPr>
          <w:jc w:val="center"/>
        </w:trPr>
        <w:tc>
          <w:tcPr>
            <w:tcW w:w="4172" w:type="dxa"/>
            <w:tcBorders>
              <w:top w:val="single" w:sz="4" w:space="0" w:color="auto"/>
              <w:left w:val="single" w:sz="4" w:space="0" w:color="auto"/>
              <w:right w:val="single" w:sz="4" w:space="0" w:color="auto"/>
            </w:tcBorders>
          </w:tcPr>
          <w:p w14:paraId="70C9FAC6" w14:textId="77777777" w:rsidR="00C443FC" w:rsidRPr="00C443FC" w:rsidRDefault="00C443FC" w:rsidP="00C443FC">
            <w:pPr>
              <w:jc w:val="both"/>
              <w:rPr>
                <w:rFonts w:eastAsia="Calibri"/>
                <w:b/>
                <w:sz w:val="20"/>
                <w:szCs w:val="20"/>
                <w:lang w:eastAsia="en-US"/>
              </w:rPr>
            </w:pPr>
            <w:r w:rsidRPr="00C443FC">
              <w:rPr>
                <w:rFonts w:eastAsia="Calibri"/>
                <w:b/>
                <w:sz w:val="20"/>
                <w:szCs w:val="20"/>
                <w:lang w:eastAsia="en-US"/>
              </w:rPr>
              <w:t>Inflación General (dic.-dic.)</w:t>
            </w:r>
          </w:p>
        </w:tc>
        <w:tc>
          <w:tcPr>
            <w:tcW w:w="1202" w:type="dxa"/>
            <w:tcBorders>
              <w:top w:val="single" w:sz="4" w:space="0" w:color="auto"/>
              <w:left w:val="single" w:sz="4" w:space="0" w:color="auto"/>
              <w:right w:val="single" w:sz="4" w:space="0" w:color="auto"/>
            </w:tcBorders>
          </w:tcPr>
          <w:p w14:paraId="0FA66B67" w14:textId="77777777" w:rsidR="00C443FC" w:rsidRPr="00C443FC" w:rsidRDefault="00C443FC" w:rsidP="00C443FC">
            <w:pPr>
              <w:jc w:val="both"/>
              <w:rPr>
                <w:rFonts w:eastAsia="Calibri"/>
                <w:sz w:val="20"/>
                <w:szCs w:val="20"/>
                <w:lang w:eastAsia="en-US"/>
              </w:rPr>
            </w:pPr>
          </w:p>
        </w:tc>
        <w:tc>
          <w:tcPr>
            <w:tcW w:w="1276" w:type="dxa"/>
            <w:tcBorders>
              <w:top w:val="single" w:sz="4" w:space="0" w:color="auto"/>
              <w:left w:val="single" w:sz="4" w:space="0" w:color="auto"/>
              <w:right w:val="single" w:sz="4" w:space="0" w:color="auto"/>
            </w:tcBorders>
          </w:tcPr>
          <w:p w14:paraId="7E73106D" w14:textId="77777777" w:rsidR="00C443FC" w:rsidRPr="00C443FC" w:rsidRDefault="00C443FC" w:rsidP="00C443FC">
            <w:pPr>
              <w:jc w:val="both"/>
              <w:rPr>
                <w:rFonts w:eastAsia="Calibri"/>
                <w:sz w:val="20"/>
                <w:szCs w:val="20"/>
                <w:lang w:eastAsia="en-US"/>
              </w:rPr>
            </w:pPr>
          </w:p>
        </w:tc>
      </w:tr>
      <w:tr w:rsidR="00C443FC" w:rsidRPr="00C443FC" w14:paraId="2F6355AD" w14:textId="77777777" w:rsidTr="005C0CDD">
        <w:trPr>
          <w:jc w:val="center"/>
        </w:trPr>
        <w:tc>
          <w:tcPr>
            <w:tcW w:w="4172" w:type="dxa"/>
            <w:tcBorders>
              <w:left w:val="single" w:sz="4" w:space="0" w:color="auto"/>
              <w:right w:val="single" w:sz="4" w:space="0" w:color="auto"/>
            </w:tcBorders>
          </w:tcPr>
          <w:p w14:paraId="7ABE5976" w14:textId="77777777" w:rsidR="00C443FC" w:rsidRPr="00C443FC" w:rsidRDefault="00C443FC" w:rsidP="00C443FC">
            <w:pPr>
              <w:jc w:val="both"/>
              <w:rPr>
                <w:rFonts w:eastAsia="Calibri"/>
                <w:sz w:val="20"/>
                <w:szCs w:val="20"/>
                <w:lang w:eastAsia="en-US"/>
              </w:rPr>
            </w:pPr>
            <w:r w:rsidRPr="00C443FC">
              <w:rPr>
                <w:rFonts w:eastAsia="Calibri"/>
                <w:sz w:val="20"/>
                <w:szCs w:val="20"/>
                <w:lang w:eastAsia="en-US"/>
              </w:rPr>
              <w:t xml:space="preserve">     Expectativa para 2015</w:t>
            </w:r>
          </w:p>
        </w:tc>
        <w:tc>
          <w:tcPr>
            <w:tcW w:w="1202" w:type="dxa"/>
            <w:tcBorders>
              <w:left w:val="single" w:sz="4" w:space="0" w:color="auto"/>
              <w:right w:val="single" w:sz="4" w:space="0" w:color="auto"/>
            </w:tcBorders>
          </w:tcPr>
          <w:p w14:paraId="737AF468" w14:textId="77777777" w:rsidR="00C443FC" w:rsidRPr="00C443FC" w:rsidRDefault="00C443FC" w:rsidP="00C443FC">
            <w:pPr>
              <w:ind w:right="340"/>
              <w:jc w:val="right"/>
              <w:rPr>
                <w:rFonts w:eastAsia="Calibri"/>
                <w:sz w:val="20"/>
                <w:szCs w:val="20"/>
                <w:lang w:eastAsia="en-US"/>
              </w:rPr>
            </w:pPr>
            <w:r w:rsidRPr="00C443FC">
              <w:rPr>
                <w:rFonts w:eastAsia="Calibri"/>
                <w:sz w:val="20"/>
                <w:szCs w:val="20"/>
                <w:lang w:eastAsia="en-US"/>
              </w:rPr>
              <w:t>3.20</w:t>
            </w:r>
          </w:p>
        </w:tc>
        <w:tc>
          <w:tcPr>
            <w:tcW w:w="1276" w:type="dxa"/>
            <w:tcBorders>
              <w:left w:val="single" w:sz="4" w:space="0" w:color="auto"/>
              <w:right w:val="single" w:sz="4" w:space="0" w:color="auto"/>
            </w:tcBorders>
          </w:tcPr>
          <w:p w14:paraId="4EFF3364" w14:textId="77777777" w:rsidR="00C443FC" w:rsidRPr="00C443FC" w:rsidRDefault="00C443FC" w:rsidP="00C443FC">
            <w:pPr>
              <w:ind w:right="340"/>
              <w:jc w:val="right"/>
              <w:rPr>
                <w:rFonts w:eastAsia="Calibri"/>
                <w:sz w:val="20"/>
                <w:szCs w:val="20"/>
                <w:lang w:eastAsia="en-US"/>
              </w:rPr>
            </w:pPr>
            <w:r w:rsidRPr="00C443FC">
              <w:rPr>
                <w:rFonts w:eastAsia="Calibri"/>
                <w:sz w:val="20"/>
                <w:szCs w:val="20"/>
                <w:lang w:eastAsia="en-US"/>
              </w:rPr>
              <w:t>3.11</w:t>
            </w:r>
          </w:p>
        </w:tc>
      </w:tr>
      <w:tr w:rsidR="00C443FC" w:rsidRPr="00C443FC" w14:paraId="76FB8AE7" w14:textId="77777777" w:rsidTr="005C0CDD">
        <w:trPr>
          <w:jc w:val="center"/>
        </w:trPr>
        <w:tc>
          <w:tcPr>
            <w:tcW w:w="4172" w:type="dxa"/>
            <w:tcBorders>
              <w:left w:val="single" w:sz="4" w:space="0" w:color="auto"/>
              <w:right w:val="single" w:sz="4" w:space="0" w:color="auto"/>
            </w:tcBorders>
          </w:tcPr>
          <w:p w14:paraId="10DA993B" w14:textId="77777777" w:rsidR="00C443FC" w:rsidRPr="00C443FC" w:rsidRDefault="00C443FC" w:rsidP="00C443FC">
            <w:pPr>
              <w:jc w:val="both"/>
              <w:rPr>
                <w:rFonts w:eastAsia="Calibri"/>
                <w:b/>
                <w:sz w:val="20"/>
                <w:szCs w:val="20"/>
                <w:lang w:eastAsia="en-US"/>
              </w:rPr>
            </w:pPr>
            <w:r w:rsidRPr="00C443FC">
              <w:rPr>
                <w:rFonts w:eastAsia="Calibri"/>
                <w:b/>
                <w:sz w:val="20"/>
                <w:szCs w:val="20"/>
                <w:lang w:eastAsia="en-US"/>
              </w:rPr>
              <w:t xml:space="preserve">     </w:t>
            </w:r>
            <w:r w:rsidRPr="00C443FC">
              <w:rPr>
                <w:rFonts w:eastAsia="Calibri"/>
                <w:sz w:val="20"/>
                <w:szCs w:val="20"/>
                <w:lang w:eastAsia="en-US"/>
              </w:rPr>
              <w:t>Expectativa para 2016</w:t>
            </w:r>
          </w:p>
        </w:tc>
        <w:tc>
          <w:tcPr>
            <w:tcW w:w="1202" w:type="dxa"/>
            <w:tcBorders>
              <w:left w:val="single" w:sz="4" w:space="0" w:color="auto"/>
              <w:right w:val="single" w:sz="4" w:space="0" w:color="auto"/>
            </w:tcBorders>
          </w:tcPr>
          <w:p w14:paraId="2D351592" w14:textId="77777777" w:rsidR="00C443FC" w:rsidRPr="00C443FC" w:rsidRDefault="00C443FC" w:rsidP="00C443FC">
            <w:pPr>
              <w:ind w:right="340"/>
              <w:jc w:val="right"/>
              <w:rPr>
                <w:rFonts w:eastAsia="Calibri"/>
                <w:sz w:val="20"/>
                <w:szCs w:val="20"/>
                <w:lang w:eastAsia="en-US"/>
              </w:rPr>
            </w:pPr>
            <w:r w:rsidRPr="00C443FC">
              <w:rPr>
                <w:rFonts w:eastAsia="Calibri"/>
                <w:sz w:val="20"/>
                <w:szCs w:val="20"/>
                <w:lang w:eastAsia="en-US"/>
              </w:rPr>
              <w:t>3.49</w:t>
            </w:r>
          </w:p>
        </w:tc>
        <w:tc>
          <w:tcPr>
            <w:tcW w:w="1276" w:type="dxa"/>
            <w:tcBorders>
              <w:left w:val="single" w:sz="4" w:space="0" w:color="auto"/>
              <w:right w:val="single" w:sz="4" w:space="0" w:color="auto"/>
            </w:tcBorders>
          </w:tcPr>
          <w:p w14:paraId="68895129" w14:textId="77777777" w:rsidR="00C443FC" w:rsidRPr="00C443FC" w:rsidRDefault="00C443FC" w:rsidP="00C443FC">
            <w:pPr>
              <w:ind w:right="340"/>
              <w:jc w:val="right"/>
              <w:rPr>
                <w:rFonts w:eastAsia="Calibri"/>
                <w:sz w:val="20"/>
                <w:szCs w:val="20"/>
                <w:lang w:eastAsia="en-US"/>
              </w:rPr>
            </w:pPr>
            <w:r w:rsidRPr="00C443FC">
              <w:rPr>
                <w:rFonts w:eastAsia="Calibri"/>
                <w:sz w:val="20"/>
                <w:szCs w:val="20"/>
                <w:lang w:eastAsia="en-US"/>
              </w:rPr>
              <w:t>3.46</w:t>
            </w:r>
          </w:p>
        </w:tc>
      </w:tr>
      <w:tr w:rsidR="00C443FC" w:rsidRPr="00C443FC" w14:paraId="035AB478" w14:textId="77777777" w:rsidTr="005C0CDD">
        <w:trPr>
          <w:jc w:val="center"/>
        </w:trPr>
        <w:tc>
          <w:tcPr>
            <w:tcW w:w="4172" w:type="dxa"/>
            <w:tcBorders>
              <w:left w:val="single" w:sz="4" w:space="0" w:color="auto"/>
              <w:right w:val="single" w:sz="4" w:space="0" w:color="auto"/>
            </w:tcBorders>
          </w:tcPr>
          <w:p w14:paraId="2B0CA72C" w14:textId="77777777" w:rsidR="00C443FC" w:rsidRPr="00C443FC" w:rsidRDefault="00C443FC" w:rsidP="00C443FC">
            <w:pPr>
              <w:jc w:val="both"/>
              <w:rPr>
                <w:rFonts w:eastAsia="Calibri"/>
                <w:b/>
                <w:sz w:val="20"/>
                <w:szCs w:val="20"/>
                <w:lang w:eastAsia="en-US"/>
              </w:rPr>
            </w:pPr>
            <w:r w:rsidRPr="00C443FC">
              <w:rPr>
                <w:rFonts w:eastAsia="Calibri"/>
                <w:b/>
                <w:sz w:val="20"/>
                <w:szCs w:val="20"/>
                <w:lang w:eastAsia="en-US"/>
              </w:rPr>
              <w:t xml:space="preserve">     </w:t>
            </w:r>
            <w:r w:rsidRPr="00C443FC">
              <w:rPr>
                <w:rFonts w:eastAsia="Calibri"/>
                <w:sz w:val="20"/>
                <w:szCs w:val="20"/>
                <w:lang w:eastAsia="en-US"/>
              </w:rPr>
              <w:t>Expectativa para 2017</w:t>
            </w:r>
          </w:p>
        </w:tc>
        <w:tc>
          <w:tcPr>
            <w:tcW w:w="1202" w:type="dxa"/>
            <w:tcBorders>
              <w:left w:val="single" w:sz="4" w:space="0" w:color="auto"/>
              <w:right w:val="single" w:sz="4" w:space="0" w:color="auto"/>
            </w:tcBorders>
          </w:tcPr>
          <w:p w14:paraId="1F760227" w14:textId="77777777" w:rsidR="00C443FC" w:rsidRPr="00C443FC" w:rsidRDefault="00C443FC" w:rsidP="00C443FC">
            <w:pPr>
              <w:ind w:right="340"/>
              <w:jc w:val="right"/>
              <w:rPr>
                <w:rFonts w:eastAsia="Calibri"/>
                <w:sz w:val="20"/>
                <w:szCs w:val="20"/>
                <w:lang w:eastAsia="en-US"/>
              </w:rPr>
            </w:pPr>
            <w:r w:rsidRPr="00C443FC">
              <w:rPr>
                <w:rFonts w:eastAsia="Calibri"/>
                <w:sz w:val="20"/>
                <w:szCs w:val="20"/>
                <w:lang w:eastAsia="en-US"/>
              </w:rPr>
              <w:t>3.47</w:t>
            </w:r>
          </w:p>
        </w:tc>
        <w:tc>
          <w:tcPr>
            <w:tcW w:w="1276" w:type="dxa"/>
            <w:tcBorders>
              <w:left w:val="single" w:sz="4" w:space="0" w:color="auto"/>
              <w:right w:val="single" w:sz="4" w:space="0" w:color="auto"/>
            </w:tcBorders>
          </w:tcPr>
          <w:p w14:paraId="0D3D4A5E" w14:textId="77777777" w:rsidR="00C443FC" w:rsidRPr="00C443FC" w:rsidRDefault="00C443FC" w:rsidP="00C443FC">
            <w:pPr>
              <w:ind w:right="340"/>
              <w:jc w:val="right"/>
              <w:rPr>
                <w:rFonts w:eastAsia="Calibri"/>
                <w:sz w:val="20"/>
                <w:szCs w:val="20"/>
                <w:lang w:eastAsia="en-US"/>
              </w:rPr>
            </w:pPr>
            <w:r w:rsidRPr="00C443FC">
              <w:rPr>
                <w:rFonts w:eastAsia="Calibri"/>
                <w:sz w:val="20"/>
                <w:szCs w:val="20"/>
                <w:lang w:eastAsia="en-US"/>
              </w:rPr>
              <w:t>3.47</w:t>
            </w:r>
          </w:p>
        </w:tc>
      </w:tr>
      <w:tr w:rsidR="00C443FC" w:rsidRPr="00C443FC" w14:paraId="2A8B11DE" w14:textId="77777777" w:rsidTr="005C0CDD">
        <w:trPr>
          <w:jc w:val="center"/>
        </w:trPr>
        <w:tc>
          <w:tcPr>
            <w:tcW w:w="4172" w:type="dxa"/>
            <w:tcBorders>
              <w:left w:val="single" w:sz="4" w:space="0" w:color="auto"/>
              <w:right w:val="single" w:sz="4" w:space="0" w:color="auto"/>
            </w:tcBorders>
          </w:tcPr>
          <w:p w14:paraId="49CA1B89" w14:textId="77777777" w:rsidR="00C443FC" w:rsidRPr="00C443FC" w:rsidRDefault="00C443FC" w:rsidP="00C443FC">
            <w:pPr>
              <w:jc w:val="both"/>
              <w:rPr>
                <w:rFonts w:eastAsia="Calibri"/>
                <w:b/>
                <w:sz w:val="20"/>
                <w:szCs w:val="20"/>
                <w:lang w:eastAsia="en-US"/>
              </w:rPr>
            </w:pPr>
            <w:r w:rsidRPr="00C443FC">
              <w:rPr>
                <w:rFonts w:eastAsia="Calibri"/>
                <w:b/>
                <w:sz w:val="20"/>
                <w:szCs w:val="20"/>
                <w:lang w:eastAsia="en-US"/>
              </w:rPr>
              <w:t>Inflación Subyacente (dic.-dic.)</w:t>
            </w:r>
          </w:p>
        </w:tc>
        <w:tc>
          <w:tcPr>
            <w:tcW w:w="1202" w:type="dxa"/>
            <w:tcBorders>
              <w:left w:val="single" w:sz="4" w:space="0" w:color="auto"/>
              <w:right w:val="single" w:sz="4" w:space="0" w:color="auto"/>
            </w:tcBorders>
          </w:tcPr>
          <w:p w14:paraId="698F3C98" w14:textId="77777777" w:rsidR="00C443FC" w:rsidRPr="00C443FC" w:rsidRDefault="00C443FC" w:rsidP="00C443FC">
            <w:pPr>
              <w:ind w:right="340"/>
              <w:jc w:val="right"/>
              <w:rPr>
                <w:rFonts w:eastAsia="Calibri"/>
                <w:sz w:val="20"/>
                <w:szCs w:val="20"/>
                <w:lang w:eastAsia="en-US"/>
              </w:rPr>
            </w:pPr>
          </w:p>
        </w:tc>
        <w:tc>
          <w:tcPr>
            <w:tcW w:w="1276" w:type="dxa"/>
            <w:tcBorders>
              <w:left w:val="single" w:sz="4" w:space="0" w:color="auto"/>
              <w:right w:val="single" w:sz="4" w:space="0" w:color="auto"/>
            </w:tcBorders>
          </w:tcPr>
          <w:p w14:paraId="37148DA7" w14:textId="77777777" w:rsidR="00C443FC" w:rsidRPr="00C443FC" w:rsidRDefault="00C443FC" w:rsidP="00C443FC">
            <w:pPr>
              <w:ind w:right="340"/>
              <w:jc w:val="right"/>
              <w:rPr>
                <w:rFonts w:eastAsia="Calibri"/>
                <w:sz w:val="20"/>
                <w:szCs w:val="20"/>
                <w:lang w:eastAsia="en-US"/>
              </w:rPr>
            </w:pPr>
          </w:p>
        </w:tc>
      </w:tr>
      <w:tr w:rsidR="00C443FC" w:rsidRPr="00C443FC" w14:paraId="5051A031" w14:textId="77777777" w:rsidTr="005C0CDD">
        <w:trPr>
          <w:jc w:val="center"/>
        </w:trPr>
        <w:tc>
          <w:tcPr>
            <w:tcW w:w="4172" w:type="dxa"/>
            <w:tcBorders>
              <w:left w:val="single" w:sz="4" w:space="0" w:color="auto"/>
              <w:right w:val="single" w:sz="4" w:space="0" w:color="auto"/>
            </w:tcBorders>
          </w:tcPr>
          <w:p w14:paraId="34392F17" w14:textId="77777777" w:rsidR="00C443FC" w:rsidRPr="00C443FC" w:rsidRDefault="00C443FC" w:rsidP="00C443FC">
            <w:pPr>
              <w:jc w:val="both"/>
              <w:rPr>
                <w:rFonts w:eastAsia="Calibri"/>
                <w:sz w:val="20"/>
                <w:szCs w:val="20"/>
                <w:lang w:eastAsia="en-US"/>
              </w:rPr>
            </w:pPr>
            <w:r w:rsidRPr="00C443FC">
              <w:rPr>
                <w:rFonts w:eastAsia="Calibri"/>
                <w:sz w:val="20"/>
                <w:szCs w:val="20"/>
                <w:lang w:eastAsia="en-US"/>
              </w:rPr>
              <w:t xml:space="preserve">     Expectativa para 2015</w:t>
            </w:r>
          </w:p>
        </w:tc>
        <w:tc>
          <w:tcPr>
            <w:tcW w:w="1202" w:type="dxa"/>
            <w:tcBorders>
              <w:left w:val="single" w:sz="4" w:space="0" w:color="auto"/>
              <w:right w:val="single" w:sz="4" w:space="0" w:color="auto"/>
            </w:tcBorders>
          </w:tcPr>
          <w:p w14:paraId="10D05D1A" w14:textId="77777777" w:rsidR="00C443FC" w:rsidRPr="00C443FC" w:rsidRDefault="00C443FC" w:rsidP="00C443FC">
            <w:pPr>
              <w:ind w:right="340"/>
              <w:jc w:val="right"/>
              <w:rPr>
                <w:rFonts w:eastAsia="Calibri"/>
                <w:sz w:val="20"/>
                <w:szCs w:val="20"/>
                <w:lang w:eastAsia="en-US"/>
              </w:rPr>
            </w:pPr>
            <w:r w:rsidRPr="00C443FC">
              <w:rPr>
                <w:rFonts w:eastAsia="Calibri"/>
                <w:sz w:val="20"/>
                <w:szCs w:val="20"/>
                <w:lang w:eastAsia="en-US"/>
              </w:rPr>
              <w:t>2.93</w:t>
            </w:r>
          </w:p>
        </w:tc>
        <w:tc>
          <w:tcPr>
            <w:tcW w:w="1276" w:type="dxa"/>
            <w:tcBorders>
              <w:left w:val="single" w:sz="4" w:space="0" w:color="auto"/>
              <w:right w:val="single" w:sz="4" w:space="0" w:color="auto"/>
            </w:tcBorders>
          </w:tcPr>
          <w:p w14:paraId="24905676" w14:textId="77777777" w:rsidR="00C443FC" w:rsidRPr="00C443FC" w:rsidRDefault="00C443FC" w:rsidP="00C443FC">
            <w:pPr>
              <w:ind w:right="340"/>
              <w:jc w:val="right"/>
              <w:rPr>
                <w:rFonts w:eastAsia="Calibri"/>
                <w:sz w:val="20"/>
                <w:szCs w:val="20"/>
                <w:lang w:eastAsia="en-US"/>
              </w:rPr>
            </w:pPr>
            <w:r w:rsidRPr="00C443FC">
              <w:rPr>
                <w:rFonts w:eastAsia="Calibri"/>
                <w:sz w:val="20"/>
                <w:szCs w:val="20"/>
                <w:lang w:eastAsia="en-US"/>
              </w:rPr>
              <w:t>2.90</w:t>
            </w:r>
          </w:p>
        </w:tc>
      </w:tr>
      <w:tr w:rsidR="00C443FC" w:rsidRPr="00C443FC" w14:paraId="7439EFCD" w14:textId="77777777" w:rsidTr="005C0CDD">
        <w:trPr>
          <w:jc w:val="center"/>
        </w:trPr>
        <w:tc>
          <w:tcPr>
            <w:tcW w:w="4172" w:type="dxa"/>
            <w:tcBorders>
              <w:left w:val="single" w:sz="4" w:space="0" w:color="auto"/>
              <w:right w:val="single" w:sz="4" w:space="0" w:color="auto"/>
            </w:tcBorders>
          </w:tcPr>
          <w:p w14:paraId="667B61E6" w14:textId="77777777" w:rsidR="00C443FC" w:rsidRPr="00C443FC" w:rsidRDefault="00C443FC" w:rsidP="00C443FC">
            <w:pPr>
              <w:jc w:val="both"/>
              <w:rPr>
                <w:rFonts w:eastAsia="Calibri"/>
                <w:b/>
                <w:sz w:val="20"/>
                <w:szCs w:val="20"/>
                <w:lang w:eastAsia="en-US"/>
              </w:rPr>
            </w:pPr>
            <w:r w:rsidRPr="00C443FC">
              <w:rPr>
                <w:rFonts w:eastAsia="Calibri"/>
                <w:b/>
                <w:sz w:val="20"/>
                <w:szCs w:val="20"/>
                <w:lang w:eastAsia="en-US"/>
              </w:rPr>
              <w:t xml:space="preserve">     </w:t>
            </w:r>
            <w:r w:rsidRPr="00C443FC">
              <w:rPr>
                <w:rFonts w:eastAsia="Calibri"/>
                <w:sz w:val="20"/>
                <w:szCs w:val="20"/>
                <w:lang w:eastAsia="en-US"/>
              </w:rPr>
              <w:t>Expectativa para 2016</w:t>
            </w:r>
          </w:p>
        </w:tc>
        <w:tc>
          <w:tcPr>
            <w:tcW w:w="1202" w:type="dxa"/>
            <w:tcBorders>
              <w:left w:val="single" w:sz="4" w:space="0" w:color="auto"/>
              <w:right w:val="single" w:sz="4" w:space="0" w:color="auto"/>
            </w:tcBorders>
          </w:tcPr>
          <w:p w14:paraId="26679630" w14:textId="77777777" w:rsidR="00C443FC" w:rsidRPr="00C443FC" w:rsidRDefault="00C443FC" w:rsidP="00C443FC">
            <w:pPr>
              <w:ind w:right="340"/>
              <w:jc w:val="right"/>
              <w:rPr>
                <w:rFonts w:eastAsia="Calibri"/>
                <w:sz w:val="20"/>
                <w:szCs w:val="20"/>
                <w:lang w:eastAsia="en-US"/>
              </w:rPr>
            </w:pPr>
            <w:r w:rsidRPr="00C443FC">
              <w:rPr>
                <w:rFonts w:eastAsia="Calibri"/>
                <w:sz w:val="20"/>
                <w:szCs w:val="20"/>
                <w:lang w:eastAsia="en-US"/>
              </w:rPr>
              <w:t>3.12</w:t>
            </w:r>
          </w:p>
        </w:tc>
        <w:tc>
          <w:tcPr>
            <w:tcW w:w="1276" w:type="dxa"/>
            <w:tcBorders>
              <w:left w:val="single" w:sz="4" w:space="0" w:color="auto"/>
              <w:right w:val="single" w:sz="4" w:space="0" w:color="auto"/>
            </w:tcBorders>
          </w:tcPr>
          <w:p w14:paraId="6EF97CE9" w14:textId="77777777" w:rsidR="00C443FC" w:rsidRPr="00C443FC" w:rsidRDefault="00C443FC" w:rsidP="00C443FC">
            <w:pPr>
              <w:ind w:right="340"/>
              <w:jc w:val="right"/>
              <w:rPr>
                <w:rFonts w:eastAsia="Calibri"/>
                <w:sz w:val="20"/>
                <w:szCs w:val="20"/>
                <w:lang w:eastAsia="en-US"/>
              </w:rPr>
            </w:pPr>
            <w:r w:rsidRPr="00C443FC">
              <w:rPr>
                <w:rFonts w:eastAsia="Calibri"/>
                <w:sz w:val="20"/>
                <w:szCs w:val="20"/>
                <w:lang w:eastAsia="en-US"/>
              </w:rPr>
              <w:t>3.13</w:t>
            </w:r>
          </w:p>
        </w:tc>
      </w:tr>
      <w:tr w:rsidR="00C443FC" w:rsidRPr="00C443FC" w14:paraId="781EAA22" w14:textId="77777777" w:rsidTr="005C0CDD">
        <w:trPr>
          <w:jc w:val="center"/>
        </w:trPr>
        <w:tc>
          <w:tcPr>
            <w:tcW w:w="4172" w:type="dxa"/>
            <w:tcBorders>
              <w:left w:val="single" w:sz="4" w:space="0" w:color="auto"/>
              <w:right w:val="single" w:sz="4" w:space="0" w:color="auto"/>
            </w:tcBorders>
          </w:tcPr>
          <w:p w14:paraId="6DB180BC" w14:textId="77777777" w:rsidR="00C443FC" w:rsidRPr="00C443FC" w:rsidRDefault="00C443FC" w:rsidP="00C443FC">
            <w:pPr>
              <w:jc w:val="both"/>
              <w:rPr>
                <w:rFonts w:eastAsia="Calibri"/>
                <w:b/>
                <w:sz w:val="20"/>
                <w:szCs w:val="20"/>
                <w:lang w:eastAsia="en-US"/>
              </w:rPr>
            </w:pPr>
            <w:r w:rsidRPr="00C443FC">
              <w:rPr>
                <w:rFonts w:eastAsia="Calibri"/>
                <w:b/>
                <w:sz w:val="20"/>
                <w:szCs w:val="20"/>
                <w:lang w:eastAsia="en-US"/>
              </w:rPr>
              <w:t xml:space="preserve">     </w:t>
            </w:r>
            <w:r w:rsidRPr="00C443FC">
              <w:rPr>
                <w:rFonts w:eastAsia="Calibri"/>
                <w:sz w:val="20"/>
                <w:szCs w:val="20"/>
                <w:lang w:eastAsia="en-US"/>
              </w:rPr>
              <w:t>Expectativa para 2017</w:t>
            </w:r>
          </w:p>
        </w:tc>
        <w:tc>
          <w:tcPr>
            <w:tcW w:w="1202" w:type="dxa"/>
            <w:tcBorders>
              <w:left w:val="single" w:sz="4" w:space="0" w:color="auto"/>
              <w:right w:val="single" w:sz="4" w:space="0" w:color="auto"/>
            </w:tcBorders>
          </w:tcPr>
          <w:p w14:paraId="4DA4907A" w14:textId="77777777" w:rsidR="00C443FC" w:rsidRPr="00C443FC" w:rsidRDefault="00C443FC" w:rsidP="00C443FC">
            <w:pPr>
              <w:ind w:right="340"/>
              <w:jc w:val="right"/>
              <w:rPr>
                <w:rFonts w:eastAsia="Calibri"/>
                <w:sz w:val="20"/>
                <w:szCs w:val="20"/>
                <w:lang w:eastAsia="en-US"/>
              </w:rPr>
            </w:pPr>
            <w:r w:rsidRPr="00C443FC">
              <w:rPr>
                <w:rFonts w:eastAsia="Calibri"/>
                <w:sz w:val="20"/>
                <w:szCs w:val="20"/>
                <w:lang w:eastAsia="en-US"/>
              </w:rPr>
              <w:t>3.15</w:t>
            </w:r>
          </w:p>
        </w:tc>
        <w:tc>
          <w:tcPr>
            <w:tcW w:w="1276" w:type="dxa"/>
            <w:tcBorders>
              <w:left w:val="single" w:sz="4" w:space="0" w:color="auto"/>
              <w:right w:val="single" w:sz="4" w:space="0" w:color="auto"/>
            </w:tcBorders>
          </w:tcPr>
          <w:p w14:paraId="3D476C9D" w14:textId="77777777" w:rsidR="00C443FC" w:rsidRPr="00C443FC" w:rsidRDefault="00C443FC" w:rsidP="00C443FC">
            <w:pPr>
              <w:ind w:right="340"/>
              <w:jc w:val="right"/>
              <w:rPr>
                <w:rFonts w:eastAsia="Calibri"/>
                <w:sz w:val="20"/>
                <w:szCs w:val="20"/>
                <w:lang w:eastAsia="en-US"/>
              </w:rPr>
            </w:pPr>
            <w:r w:rsidRPr="00C443FC">
              <w:rPr>
                <w:rFonts w:eastAsia="Calibri"/>
                <w:sz w:val="20"/>
                <w:szCs w:val="20"/>
                <w:lang w:eastAsia="en-US"/>
              </w:rPr>
              <w:t>3.12</w:t>
            </w:r>
          </w:p>
        </w:tc>
      </w:tr>
      <w:tr w:rsidR="00C443FC" w:rsidRPr="00C443FC" w14:paraId="11EBD3C7" w14:textId="77777777" w:rsidTr="005C0CDD">
        <w:trPr>
          <w:jc w:val="center"/>
        </w:trPr>
        <w:tc>
          <w:tcPr>
            <w:tcW w:w="4172" w:type="dxa"/>
            <w:tcBorders>
              <w:left w:val="single" w:sz="4" w:space="0" w:color="auto"/>
              <w:right w:val="single" w:sz="4" w:space="0" w:color="auto"/>
            </w:tcBorders>
          </w:tcPr>
          <w:p w14:paraId="4B71D828" w14:textId="77777777" w:rsidR="00C443FC" w:rsidRPr="00C443FC" w:rsidRDefault="00C443FC" w:rsidP="00C443FC">
            <w:pPr>
              <w:jc w:val="both"/>
              <w:rPr>
                <w:rFonts w:eastAsia="Calibri"/>
                <w:b/>
                <w:sz w:val="20"/>
                <w:szCs w:val="20"/>
                <w:lang w:eastAsia="en-US"/>
              </w:rPr>
            </w:pPr>
            <w:r w:rsidRPr="00C443FC">
              <w:rPr>
                <w:rFonts w:eastAsia="Calibri"/>
                <w:b/>
                <w:sz w:val="20"/>
                <w:szCs w:val="20"/>
                <w:lang w:eastAsia="en-US"/>
              </w:rPr>
              <w:t>Crecimiento del PIB (anual)</w:t>
            </w:r>
          </w:p>
        </w:tc>
        <w:tc>
          <w:tcPr>
            <w:tcW w:w="1202" w:type="dxa"/>
            <w:tcBorders>
              <w:left w:val="single" w:sz="4" w:space="0" w:color="auto"/>
              <w:right w:val="single" w:sz="4" w:space="0" w:color="auto"/>
            </w:tcBorders>
          </w:tcPr>
          <w:p w14:paraId="697E4F78" w14:textId="77777777" w:rsidR="00C443FC" w:rsidRPr="00C443FC" w:rsidRDefault="00C443FC" w:rsidP="00C443FC">
            <w:pPr>
              <w:ind w:right="340"/>
              <w:jc w:val="right"/>
              <w:rPr>
                <w:rFonts w:eastAsia="Calibri"/>
                <w:sz w:val="20"/>
                <w:szCs w:val="20"/>
                <w:lang w:eastAsia="en-US"/>
              </w:rPr>
            </w:pPr>
          </w:p>
        </w:tc>
        <w:tc>
          <w:tcPr>
            <w:tcW w:w="1276" w:type="dxa"/>
            <w:tcBorders>
              <w:left w:val="single" w:sz="4" w:space="0" w:color="auto"/>
              <w:right w:val="single" w:sz="4" w:space="0" w:color="auto"/>
            </w:tcBorders>
          </w:tcPr>
          <w:p w14:paraId="2DBB9FBD" w14:textId="77777777" w:rsidR="00C443FC" w:rsidRPr="00C443FC" w:rsidRDefault="00C443FC" w:rsidP="00C443FC">
            <w:pPr>
              <w:ind w:right="340"/>
              <w:jc w:val="right"/>
              <w:rPr>
                <w:rFonts w:eastAsia="Calibri"/>
                <w:sz w:val="20"/>
                <w:szCs w:val="20"/>
                <w:lang w:eastAsia="en-US"/>
              </w:rPr>
            </w:pPr>
          </w:p>
        </w:tc>
      </w:tr>
      <w:tr w:rsidR="00C443FC" w:rsidRPr="00C443FC" w14:paraId="4AD80FAB" w14:textId="77777777" w:rsidTr="005C0CDD">
        <w:trPr>
          <w:jc w:val="center"/>
        </w:trPr>
        <w:tc>
          <w:tcPr>
            <w:tcW w:w="4172" w:type="dxa"/>
            <w:tcBorders>
              <w:left w:val="single" w:sz="4" w:space="0" w:color="auto"/>
              <w:right w:val="single" w:sz="4" w:space="0" w:color="auto"/>
            </w:tcBorders>
          </w:tcPr>
          <w:p w14:paraId="1F284306" w14:textId="77777777" w:rsidR="00C443FC" w:rsidRPr="00C443FC" w:rsidRDefault="00C443FC" w:rsidP="00C443FC">
            <w:pPr>
              <w:jc w:val="both"/>
              <w:rPr>
                <w:rFonts w:eastAsia="Calibri"/>
                <w:sz w:val="20"/>
                <w:szCs w:val="20"/>
                <w:lang w:eastAsia="en-US"/>
              </w:rPr>
            </w:pPr>
            <w:r w:rsidRPr="00C443FC">
              <w:rPr>
                <w:rFonts w:eastAsia="Calibri"/>
                <w:sz w:val="20"/>
                <w:szCs w:val="20"/>
                <w:lang w:eastAsia="en-US"/>
              </w:rPr>
              <w:t xml:space="preserve">     Expectativa para 2015</w:t>
            </w:r>
          </w:p>
        </w:tc>
        <w:tc>
          <w:tcPr>
            <w:tcW w:w="1202" w:type="dxa"/>
            <w:tcBorders>
              <w:left w:val="single" w:sz="4" w:space="0" w:color="auto"/>
              <w:right w:val="single" w:sz="4" w:space="0" w:color="auto"/>
            </w:tcBorders>
          </w:tcPr>
          <w:p w14:paraId="66A00CD4" w14:textId="77777777" w:rsidR="00C443FC" w:rsidRPr="00C443FC" w:rsidRDefault="00C443FC" w:rsidP="00C443FC">
            <w:pPr>
              <w:ind w:right="340"/>
              <w:jc w:val="right"/>
              <w:rPr>
                <w:rFonts w:eastAsia="Calibri"/>
                <w:sz w:val="20"/>
                <w:szCs w:val="20"/>
                <w:lang w:eastAsia="en-US"/>
              </w:rPr>
            </w:pPr>
            <w:r w:rsidRPr="00C443FC">
              <w:rPr>
                <w:rFonts w:eastAsia="Calibri"/>
                <w:sz w:val="20"/>
                <w:szCs w:val="20"/>
                <w:lang w:eastAsia="en-US"/>
              </w:rPr>
              <w:t>3.29</w:t>
            </w:r>
          </w:p>
        </w:tc>
        <w:tc>
          <w:tcPr>
            <w:tcW w:w="1276" w:type="dxa"/>
            <w:tcBorders>
              <w:left w:val="single" w:sz="4" w:space="0" w:color="auto"/>
              <w:right w:val="single" w:sz="4" w:space="0" w:color="auto"/>
            </w:tcBorders>
          </w:tcPr>
          <w:p w14:paraId="2518FE14" w14:textId="77777777" w:rsidR="00C443FC" w:rsidRPr="00C443FC" w:rsidRDefault="00C443FC" w:rsidP="00C443FC">
            <w:pPr>
              <w:ind w:right="340"/>
              <w:jc w:val="right"/>
              <w:rPr>
                <w:rFonts w:eastAsia="Calibri"/>
                <w:sz w:val="20"/>
                <w:szCs w:val="20"/>
                <w:lang w:eastAsia="en-US"/>
              </w:rPr>
            </w:pPr>
            <w:r w:rsidRPr="00C443FC">
              <w:rPr>
                <w:rFonts w:eastAsia="Calibri"/>
                <w:sz w:val="20"/>
                <w:szCs w:val="20"/>
                <w:lang w:eastAsia="en-US"/>
              </w:rPr>
              <w:t>3.08</w:t>
            </w:r>
          </w:p>
        </w:tc>
      </w:tr>
      <w:tr w:rsidR="00C443FC" w:rsidRPr="00C443FC" w14:paraId="52BC42BA" w14:textId="77777777" w:rsidTr="005C0CDD">
        <w:trPr>
          <w:jc w:val="center"/>
        </w:trPr>
        <w:tc>
          <w:tcPr>
            <w:tcW w:w="4172" w:type="dxa"/>
            <w:tcBorders>
              <w:left w:val="single" w:sz="4" w:space="0" w:color="auto"/>
              <w:right w:val="single" w:sz="4" w:space="0" w:color="auto"/>
            </w:tcBorders>
          </w:tcPr>
          <w:p w14:paraId="5DDDFB1F" w14:textId="77777777" w:rsidR="00C443FC" w:rsidRPr="00C443FC" w:rsidRDefault="00C443FC" w:rsidP="00C443FC">
            <w:pPr>
              <w:jc w:val="both"/>
              <w:rPr>
                <w:rFonts w:eastAsia="Calibri"/>
                <w:b/>
                <w:sz w:val="20"/>
                <w:szCs w:val="20"/>
                <w:lang w:eastAsia="en-US"/>
              </w:rPr>
            </w:pPr>
            <w:r w:rsidRPr="00C443FC">
              <w:rPr>
                <w:rFonts w:eastAsia="Calibri"/>
                <w:b/>
                <w:sz w:val="20"/>
                <w:szCs w:val="20"/>
                <w:lang w:eastAsia="en-US"/>
              </w:rPr>
              <w:t xml:space="preserve">     </w:t>
            </w:r>
            <w:r w:rsidRPr="00C443FC">
              <w:rPr>
                <w:rFonts w:eastAsia="Calibri"/>
                <w:sz w:val="20"/>
                <w:szCs w:val="20"/>
                <w:lang w:eastAsia="en-US"/>
              </w:rPr>
              <w:t>Expectativa para 2016</w:t>
            </w:r>
          </w:p>
        </w:tc>
        <w:tc>
          <w:tcPr>
            <w:tcW w:w="1202" w:type="dxa"/>
            <w:tcBorders>
              <w:left w:val="single" w:sz="4" w:space="0" w:color="auto"/>
              <w:right w:val="single" w:sz="4" w:space="0" w:color="auto"/>
            </w:tcBorders>
          </w:tcPr>
          <w:p w14:paraId="27F7B299" w14:textId="77777777" w:rsidR="00C443FC" w:rsidRPr="00C443FC" w:rsidRDefault="00C443FC" w:rsidP="00C443FC">
            <w:pPr>
              <w:ind w:right="340"/>
              <w:jc w:val="right"/>
              <w:rPr>
                <w:rFonts w:eastAsia="Calibri"/>
                <w:sz w:val="20"/>
                <w:szCs w:val="20"/>
                <w:lang w:eastAsia="en-US"/>
              </w:rPr>
            </w:pPr>
            <w:r w:rsidRPr="00C443FC">
              <w:rPr>
                <w:rFonts w:eastAsia="Calibri"/>
                <w:sz w:val="20"/>
                <w:szCs w:val="20"/>
                <w:lang w:eastAsia="en-US"/>
              </w:rPr>
              <w:t>3.80</w:t>
            </w:r>
          </w:p>
        </w:tc>
        <w:tc>
          <w:tcPr>
            <w:tcW w:w="1276" w:type="dxa"/>
            <w:tcBorders>
              <w:left w:val="single" w:sz="4" w:space="0" w:color="auto"/>
              <w:right w:val="single" w:sz="4" w:space="0" w:color="auto"/>
            </w:tcBorders>
          </w:tcPr>
          <w:p w14:paraId="648B655B" w14:textId="77777777" w:rsidR="00C443FC" w:rsidRPr="00C443FC" w:rsidRDefault="00C443FC" w:rsidP="00C443FC">
            <w:pPr>
              <w:ind w:right="340"/>
              <w:jc w:val="right"/>
              <w:rPr>
                <w:rFonts w:eastAsia="Calibri"/>
                <w:sz w:val="20"/>
                <w:szCs w:val="20"/>
                <w:lang w:eastAsia="en-US"/>
              </w:rPr>
            </w:pPr>
            <w:r w:rsidRPr="00C443FC">
              <w:rPr>
                <w:rFonts w:eastAsia="Calibri"/>
                <w:sz w:val="20"/>
                <w:szCs w:val="20"/>
                <w:lang w:eastAsia="en-US"/>
              </w:rPr>
              <w:t>3.63</w:t>
            </w:r>
          </w:p>
        </w:tc>
      </w:tr>
      <w:tr w:rsidR="00C443FC" w:rsidRPr="00C443FC" w14:paraId="54D7320D" w14:textId="77777777" w:rsidTr="005C0CDD">
        <w:trPr>
          <w:jc w:val="center"/>
        </w:trPr>
        <w:tc>
          <w:tcPr>
            <w:tcW w:w="4172" w:type="dxa"/>
            <w:tcBorders>
              <w:left w:val="single" w:sz="4" w:space="0" w:color="auto"/>
              <w:right w:val="single" w:sz="4" w:space="0" w:color="auto"/>
            </w:tcBorders>
          </w:tcPr>
          <w:p w14:paraId="1B58BE47" w14:textId="77777777" w:rsidR="00C443FC" w:rsidRPr="00C443FC" w:rsidRDefault="00C443FC" w:rsidP="00C443FC">
            <w:pPr>
              <w:jc w:val="both"/>
              <w:rPr>
                <w:rFonts w:eastAsia="Calibri"/>
                <w:b/>
                <w:sz w:val="20"/>
                <w:szCs w:val="20"/>
                <w:lang w:eastAsia="en-US"/>
              </w:rPr>
            </w:pPr>
            <w:r w:rsidRPr="00C443FC">
              <w:rPr>
                <w:rFonts w:eastAsia="Calibri"/>
                <w:b/>
                <w:sz w:val="20"/>
                <w:szCs w:val="20"/>
                <w:lang w:eastAsia="en-US"/>
              </w:rPr>
              <w:t xml:space="preserve">     </w:t>
            </w:r>
            <w:r w:rsidRPr="00C443FC">
              <w:rPr>
                <w:rFonts w:eastAsia="Calibri"/>
                <w:sz w:val="20"/>
                <w:szCs w:val="20"/>
                <w:lang w:eastAsia="en-US"/>
              </w:rPr>
              <w:t>Expectativa para 2017</w:t>
            </w:r>
          </w:p>
        </w:tc>
        <w:tc>
          <w:tcPr>
            <w:tcW w:w="1202" w:type="dxa"/>
            <w:tcBorders>
              <w:left w:val="single" w:sz="4" w:space="0" w:color="auto"/>
              <w:right w:val="single" w:sz="4" w:space="0" w:color="auto"/>
            </w:tcBorders>
          </w:tcPr>
          <w:p w14:paraId="36886211" w14:textId="77777777" w:rsidR="00C443FC" w:rsidRPr="00C443FC" w:rsidRDefault="00C443FC" w:rsidP="00C443FC">
            <w:pPr>
              <w:ind w:right="340"/>
              <w:jc w:val="right"/>
              <w:rPr>
                <w:rFonts w:eastAsia="Calibri"/>
                <w:sz w:val="20"/>
                <w:szCs w:val="20"/>
                <w:lang w:eastAsia="en-US"/>
              </w:rPr>
            </w:pPr>
            <w:r w:rsidRPr="00C443FC">
              <w:rPr>
                <w:rFonts w:eastAsia="Calibri"/>
                <w:sz w:val="20"/>
                <w:szCs w:val="20"/>
                <w:lang w:eastAsia="en-US"/>
              </w:rPr>
              <w:t>3.98</w:t>
            </w:r>
          </w:p>
        </w:tc>
        <w:tc>
          <w:tcPr>
            <w:tcW w:w="1276" w:type="dxa"/>
            <w:tcBorders>
              <w:left w:val="single" w:sz="4" w:space="0" w:color="auto"/>
              <w:right w:val="single" w:sz="4" w:space="0" w:color="auto"/>
            </w:tcBorders>
          </w:tcPr>
          <w:p w14:paraId="2926E977" w14:textId="77777777" w:rsidR="00C443FC" w:rsidRPr="00C443FC" w:rsidRDefault="00C443FC" w:rsidP="00C443FC">
            <w:pPr>
              <w:ind w:right="340"/>
              <w:jc w:val="right"/>
              <w:rPr>
                <w:rFonts w:eastAsia="Calibri"/>
                <w:sz w:val="20"/>
                <w:szCs w:val="20"/>
                <w:lang w:eastAsia="en-US"/>
              </w:rPr>
            </w:pPr>
            <w:r w:rsidRPr="00C443FC">
              <w:rPr>
                <w:rFonts w:eastAsia="Calibri"/>
                <w:sz w:val="20"/>
                <w:szCs w:val="20"/>
                <w:lang w:eastAsia="en-US"/>
              </w:rPr>
              <w:t>3.93</w:t>
            </w:r>
          </w:p>
        </w:tc>
      </w:tr>
      <w:tr w:rsidR="00C443FC" w:rsidRPr="00C443FC" w14:paraId="00F53E06" w14:textId="77777777" w:rsidTr="005C0CDD">
        <w:trPr>
          <w:jc w:val="center"/>
        </w:trPr>
        <w:tc>
          <w:tcPr>
            <w:tcW w:w="4172" w:type="dxa"/>
            <w:tcBorders>
              <w:left w:val="single" w:sz="4" w:space="0" w:color="auto"/>
              <w:right w:val="single" w:sz="4" w:space="0" w:color="auto"/>
            </w:tcBorders>
          </w:tcPr>
          <w:p w14:paraId="5EA802EC" w14:textId="77777777" w:rsidR="00C443FC" w:rsidRPr="00C443FC" w:rsidRDefault="00C443FC" w:rsidP="00C443FC">
            <w:pPr>
              <w:jc w:val="both"/>
              <w:rPr>
                <w:rFonts w:eastAsia="Calibri"/>
                <w:b/>
                <w:sz w:val="20"/>
                <w:szCs w:val="20"/>
                <w:lang w:eastAsia="en-US"/>
              </w:rPr>
            </w:pPr>
            <w:r w:rsidRPr="00C443FC">
              <w:rPr>
                <w:rFonts w:eastAsia="Calibri"/>
                <w:b/>
                <w:sz w:val="20"/>
                <w:szCs w:val="20"/>
                <w:lang w:eastAsia="en-US"/>
              </w:rPr>
              <w:t>Tasa de Interés Cete 28 días (cierre del año)</w:t>
            </w:r>
          </w:p>
        </w:tc>
        <w:tc>
          <w:tcPr>
            <w:tcW w:w="1202" w:type="dxa"/>
            <w:tcBorders>
              <w:left w:val="single" w:sz="4" w:space="0" w:color="auto"/>
              <w:right w:val="single" w:sz="4" w:space="0" w:color="auto"/>
            </w:tcBorders>
          </w:tcPr>
          <w:p w14:paraId="6E850EA5" w14:textId="77777777" w:rsidR="00C443FC" w:rsidRPr="00C443FC" w:rsidRDefault="00C443FC" w:rsidP="00C443FC">
            <w:pPr>
              <w:ind w:right="340"/>
              <w:jc w:val="right"/>
              <w:rPr>
                <w:rFonts w:eastAsia="Calibri"/>
                <w:sz w:val="20"/>
                <w:szCs w:val="20"/>
                <w:lang w:eastAsia="en-US"/>
              </w:rPr>
            </w:pPr>
          </w:p>
        </w:tc>
        <w:tc>
          <w:tcPr>
            <w:tcW w:w="1276" w:type="dxa"/>
            <w:tcBorders>
              <w:left w:val="single" w:sz="4" w:space="0" w:color="auto"/>
              <w:right w:val="single" w:sz="4" w:space="0" w:color="auto"/>
            </w:tcBorders>
          </w:tcPr>
          <w:p w14:paraId="018FB3E6" w14:textId="77777777" w:rsidR="00C443FC" w:rsidRPr="00C443FC" w:rsidRDefault="00C443FC" w:rsidP="00C443FC">
            <w:pPr>
              <w:ind w:right="340"/>
              <w:jc w:val="right"/>
              <w:rPr>
                <w:rFonts w:eastAsia="Calibri"/>
                <w:sz w:val="20"/>
                <w:szCs w:val="20"/>
                <w:lang w:eastAsia="en-US"/>
              </w:rPr>
            </w:pPr>
          </w:p>
        </w:tc>
      </w:tr>
      <w:tr w:rsidR="00C443FC" w:rsidRPr="00C443FC" w14:paraId="54F1701F" w14:textId="77777777" w:rsidTr="005C0CDD">
        <w:trPr>
          <w:jc w:val="center"/>
        </w:trPr>
        <w:tc>
          <w:tcPr>
            <w:tcW w:w="4172" w:type="dxa"/>
            <w:tcBorders>
              <w:left w:val="single" w:sz="4" w:space="0" w:color="auto"/>
              <w:right w:val="single" w:sz="4" w:space="0" w:color="auto"/>
            </w:tcBorders>
          </w:tcPr>
          <w:p w14:paraId="5B5919E3" w14:textId="77777777" w:rsidR="00C443FC" w:rsidRPr="00C443FC" w:rsidRDefault="00C443FC" w:rsidP="00C443FC">
            <w:pPr>
              <w:jc w:val="both"/>
              <w:rPr>
                <w:rFonts w:eastAsia="Calibri"/>
                <w:sz w:val="20"/>
                <w:szCs w:val="20"/>
                <w:lang w:eastAsia="en-US"/>
              </w:rPr>
            </w:pPr>
            <w:r w:rsidRPr="00C443FC">
              <w:rPr>
                <w:rFonts w:eastAsia="Calibri"/>
                <w:sz w:val="20"/>
                <w:szCs w:val="20"/>
                <w:lang w:eastAsia="en-US"/>
              </w:rPr>
              <w:t xml:space="preserve">     Expectativa para 2015</w:t>
            </w:r>
          </w:p>
        </w:tc>
        <w:tc>
          <w:tcPr>
            <w:tcW w:w="1202" w:type="dxa"/>
            <w:tcBorders>
              <w:left w:val="single" w:sz="4" w:space="0" w:color="auto"/>
              <w:right w:val="single" w:sz="4" w:space="0" w:color="auto"/>
            </w:tcBorders>
          </w:tcPr>
          <w:p w14:paraId="0442F72A" w14:textId="77777777" w:rsidR="00C443FC" w:rsidRPr="00C443FC" w:rsidRDefault="00C443FC" w:rsidP="00C443FC">
            <w:pPr>
              <w:ind w:right="340"/>
              <w:jc w:val="right"/>
              <w:rPr>
                <w:rFonts w:eastAsia="Calibri"/>
                <w:sz w:val="20"/>
                <w:szCs w:val="20"/>
                <w:lang w:eastAsia="en-US"/>
              </w:rPr>
            </w:pPr>
            <w:r w:rsidRPr="00C443FC">
              <w:rPr>
                <w:rFonts w:eastAsia="Calibri"/>
                <w:sz w:val="20"/>
                <w:szCs w:val="20"/>
                <w:lang w:eastAsia="en-US"/>
              </w:rPr>
              <w:t>3.51</w:t>
            </w:r>
          </w:p>
        </w:tc>
        <w:tc>
          <w:tcPr>
            <w:tcW w:w="1276" w:type="dxa"/>
            <w:tcBorders>
              <w:left w:val="single" w:sz="4" w:space="0" w:color="auto"/>
              <w:right w:val="single" w:sz="4" w:space="0" w:color="auto"/>
            </w:tcBorders>
          </w:tcPr>
          <w:p w14:paraId="1810BB62" w14:textId="77777777" w:rsidR="00C443FC" w:rsidRPr="00C443FC" w:rsidRDefault="00C443FC" w:rsidP="00C443FC">
            <w:pPr>
              <w:ind w:right="340"/>
              <w:jc w:val="right"/>
              <w:rPr>
                <w:rFonts w:eastAsia="Calibri"/>
                <w:sz w:val="20"/>
                <w:szCs w:val="20"/>
                <w:lang w:eastAsia="en-US"/>
              </w:rPr>
            </w:pPr>
            <w:r w:rsidRPr="00C443FC">
              <w:rPr>
                <w:rFonts w:eastAsia="Calibri"/>
                <w:sz w:val="20"/>
                <w:szCs w:val="20"/>
                <w:lang w:eastAsia="en-US"/>
              </w:rPr>
              <w:t>3.53</w:t>
            </w:r>
          </w:p>
        </w:tc>
      </w:tr>
      <w:tr w:rsidR="00C443FC" w:rsidRPr="00C443FC" w14:paraId="1FCFB7FF" w14:textId="77777777" w:rsidTr="005C0CDD">
        <w:trPr>
          <w:jc w:val="center"/>
        </w:trPr>
        <w:tc>
          <w:tcPr>
            <w:tcW w:w="4172" w:type="dxa"/>
            <w:tcBorders>
              <w:left w:val="single" w:sz="4" w:space="0" w:color="auto"/>
              <w:right w:val="single" w:sz="4" w:space="0" w:color="auto"/>
            </w:tcBorders>
          </w:tcPr>
          <w:p w14:paraId="4D674714" w14:textId="77777777" w:rsidR="00C443FC" w:rsidRPr="00C443FC" w:rsidRDefault="00C443FC" w:rsidP="00C443FC">
            <w:pPr>
              <w:jc w:val="both"/>
              <w:rPr>
                <w:rFonts w:eastAsia="Calibri"/>
                <w:b/>
                <w:sz w:val="20"/>
                <w:szCs w:val="20"/>
                <w:lang w:eastAsia="en-US"/>
              </w:rPr>
            </w:pPr>
            <w:r w:rsidRPr="00C443FC">
              <w:rPr>
                <w:rFonts w:eastAsia="Calibri"/>
                <w:b/>
                <w:sz w:val="20"/>
                <w:szCs w:val="20"/>
                <w:lang w:eastAsia="en-US"/>
              </w:rPr>
              <w:t xml:space="preserve">     </w:t>
            </w:r>
            <w:r w:rsidRPr="00C443FC">
              <w:rPr>
                <w:rFonts w:eastAsia="Calibri"/>
                <w:sz w:val="20"/>
                <w:szCs w:val="20"/>
                <w:lang w:eastAsia="en-US"/>
              </w:rPr>
              <w:t>Expectativa para 2016</w:t>
            </w:r>
          </w:p>
        </w:tc>
        <w:tc>
          <w:tcPr>
            <w:tcW w:w="1202" w:type="dxa"/>
            <w:tcBorders>
              <w:left w:val="single" w:sz="4" w:space="0" w:color="auto"/>
              <w:right w:val="single" w:sz="4" w:space="0" w:color="auto"/>
            </w:tcBorders>
          </w:tcPr>
          <w:p w14:paraId="0E1EA0BC" w14:textId="77777777" w:rsidR="00C443FC" w:rsidRPr="00C443FC" w:rsidRDefault="00C443FC" w:rsidP="00C443FC">
            <w:pPr>
              <w:ind w:right="340"/>
              <w:jc w:val="right"/>
              <w:rPr>
                <w:rFonts w:eastAsia="Calibri"/>
                <w:sz w:val="20"/>
                <w:szCs w:val="20"/>
                <w:lang w:eastAsia="en-US"/>
              </w:rPr>
            </w:pPr>
            <w:r w:rsidRPr="00C443FC">
              <w:rPr>
                <w:rFonts w:eastAsia="Calibri"/>
                <w:sz w:val="20"/>
                <w:szCs w:val="20"/>
                <w:lang w:eastAsia="en-US"/>
              </w:rPr>
              <w:t>4.48</w:t>
            </w:r>
          </w:p>
        </w:tc>
        <w:tc>
          <w:tcPr>
            <w:tcW w:w="1276" w:type="dxa"/>
            <w:tcBorders>
              <w:left w:val="single" w:sz="4" w:space="0" w:color="auto"/>
              <w:right w:val="single" w:sz="4" w:space="0" w:color="auto"/>
            </w:tcBorders>
          </w:tcPr>
          <w:p w14:paraId="4809174D" w14:textId="77777777" w:rsidR="00C443FC" w:rsidRPr="00C443FC" w:rsidRDefault="00C443FC" w:rsidP="00C443FC">
            <w:pPr>
              <w:ind w:right="340"/>
              <w:jc w:val="right"/>
              <w:rPr>
                <w:rFonts w:eastAsia="Calibri"/>
                <w:sz w:val="20"/>
                <w:szCs w:val="20"/>
                <w:lang w:eastAsia="en-US"/>
              </w:rPr>
            </w:pPr>
            <w:r w:rsidRPr="00C443FC">
              <w:rPr>
                <w:rFonts w:eastAsia="Calibri"/>
                <w:sz w:val="20"/>
                <w:szCs w:val="20"/>
                <w:lang w:eastAsia="en-US"/>
              </w:rPr>
              <w:t>4.31</w:t>
            </w:r>
          </w:p>
        </w:tc>
      </w:tr>
      <w:tr w:rsidR="00C443FC" w:rsidRPr="00C443FC" w14:paraId="158DF7AD" w14:textId="77777777" w:rsidTr="005C0CDD">
        <w:trPr>
          <w:jc w:val="center"/>
        </w:trPr>
        <w:tc>
          <w:tcPr>
            <w:tcW w:w="4172" w:type="dxa"/>
            <w:tcBorders>
              <w:left w:val="single" w:sz="4" w:space="0" w:color="auto"/>
              <w:right w:val="single" w:sz="4" w:space="0" w:color="auto"/>
            </w:tcBorders>
          </w:tcPr>
          <w:p w14:paraId="7ED26F00" w14:textId="77777777" w:rsidR="00C443FC" w:rsidRPr="00C443FC" w:rsidRDefault="00C443FC" w:rsidP="00C443FC">
            <w:pPr>
              <w:jc w:val="both"/>
              <w:rPr>
                <w:rFonts w:eastAsia="Calibri"/>
                <w:b/>
                <w:sz w:val="20"/>
                <w:szCs w:val="20"/>
                <w:lang w:eastAsia="en-US"/>
              </w:rPr>
            </w:pPr>
            <w:r w:rsidRPr="00C443FC">
              <w:rPr>
                <w:rFonts w:eastAsia="Calibri"/>
                <w:b/>
                <w:sz w:val="20"/>
                <w:szCs w:val="20"/>
                <w:lang w:eastAsia="en-US"/>
              </w:rPr>
              <w:t xml:space="preserve">     </w:t>
            </w:r>
            <w:r w:rsidRPr="00C443FC">
              <w:rPr>
                <w:rFonts w:eastAsia="Calibri"/>
                <w:sz w:val="20"/>
                <w:szCs w:val="20"/>
                <w:lang w:eastAsia="en-US"/>
              </w:rPr>
              <w:t>Expectativa para 2017</w:t>
            </w:r>
          </w:p>
        </w:tc>
        <w:tc>
          <w:tcPr>
            <w:tcW w:w="1202" w:type="dxa"/>
            <w:tcBorders>
              <w:left w:val="single" w:sz="4" w:space="0" w:color="auto"/>
              <w:right w:val="single" w:sz="4" w:space="0" w:color="auto"/>
            </w:tcBorders>
          </w:tcPr>
          <w:p w14:paraId="69F94A22" w14:textId="77777777" w:rsidR="00C443FC" w:rsidRPr="00C443FC" w:rsidRDefault="00C443FC" w:rsidP="00C443FC">
            <w:pPr>
              <w:ind w:right="340"/>
              <w:jc w:val="right"/>
              <w:rPr>
                <w:rFonts w:eastAsia="Calibri"/>
                <w:sz w:val="20"/>
                <w:szCs w:val="20"/>
                <w:lang w:eastAsia="en-US"/>
              </w:rPr>
            </w:pPr>
            <w:r w:rsidRPr="00C443FC">
              <w:rPr>
                <w:rFonts w:eastAsia="Calibri"/>
                <w:sz w:val="20"/>
                <w:szCs w:val="20"/>
                <w:lang w:eastAsia="en-US"/>
              </w:rPr>
              <w:t>5.09</w:t>
            </w:r>
          </w:p>
        </w:tc>
        <w:tc>
          <w:tcPr>
            <w:tcW w:w="1276" w:type="dxa"/>
            <w:tcBorders>
              <w:left w:val="single" w:sz="4" w:space="0" w:color="auto"/>
              <w:right w:val="single" w:sz="4" w:space="0" w:color="auto"/>
            </w:tcBorders>
          </w:tcPr>
          <w:p w14:paraId="1B9DF35D" w14:textId="77777777" w:rsidR="00C443FC" w:rsidRPr="00C443FC" w:rsidRDefault="00C443FC" w:rsidP="00C443FC">
            <w:pPr>
              <w:ind w:right="340"/>
              <w:jc w:val="right"/>
              <w:rPr>
                <w:rFonts w:eastAsia="Calibri"/>
                <w:sz w:val="20"/>
                <w:szCs w:val="20"/>
                <w:lang w:eastAsia="en-US"/>
              </w:rPr>
            </w:pPr>
            <w:r w:rsidRPr="00C443FC">
              <w:rPr>
                <w:rFonts w:eastAsia="Calibri"/>
                <w:sz w:val="20"/>
                <w:szCs w:val="20"/>
                <w:lang w:eastAsia="en-US"/>
              </w:rPr>
              <w:t>4.95</w:t>
            </w:r>
          </w:p>
        </w:tc>
      </w:tr>
      <w:tr w:rsidR="00C443FC" w:rsidRPr="00C443FC" w14:paraId="26C83274" w14:textId="77777777" w:rsidTr="005C0CDD">
        <w:trPr>
          <w:jc w:val="center"/>
        </w:trPr>
        <w:tc>
          <w:tcPr>
            <w:tcW w:w="4172" w:type="dxa"/>
            <w:tcBorders>
              <w:left w:val="single" w:sz="4" w:space="0" w:color="auto"/>
              <w:right w:val="single" w:sz="4" w:space="0" w:color="auto"/>
            </w:tcBorders>
          </w:tcPr>
          <w:p w14:paraId="026366DE" w14:textId="77777777" w:rsidR="00C443FC" w:rsidRPr="00C443FC" w:rsidRDefault="00C443FC" w:rsidP="00C443FC">
            <w:pPr>
              <w:jc w:val="both"/>
              <w:rPr>
                <w:rFonts w:eastAsia="Calibri"/>
                <w:b/>
                <w:sz w:val="20"/>
                <w:szCs w:val="20"/>
                <w:lang w:eastAsia="en-US"/>
              </w:rPr>
            </w:pPr>
            <w:r w:rsidRPr="00C443FC">
              <w:rPr>
                <w:rFonts w:eastAsia="Calibri"/>
                <w:b/>
                <w:sz w:val="20"/>
                <w:szCs w:val="20"/>
                <w:lang w:eastAsia="en-US"/>
              </w:rPr>
              <w:t>Tipo de Cambio Pesos/Dólar (cierre del año)</w:t>
            </w:r>
          </w:p>
        </w:tc>
        <w:tc>
          <w:tcPr>
            <w:tcW w:w="1202" w:type="dxa"/>
            <w:tcBorders>
              <w:left w:val="single" w:sz="4" w:space="0" w:color="auto"/>
              <w:right w:val="single" w:sz="4" w:space="0" w:color="auto"/>
            </w:tcBorders>
          </w:tcPr>
          <w:p w14:paraId="3A6DFCE9" w14:textId="77777777" w:rsidR="00C443FC" w:rsidRPr="00C443FC" w:rsidRDefault="00C443FC" w:rsidP="00C443FC">
            <w:pPr>
              <w:ind w:right="340"/>
              <w:jc w:val="right"/>
              <w:rPr>
                <w:rFonts w:eastAsia="Calibri"/>
                <w:sz w:val="20"/>
                <w:szCs w:val="20"/>
                <w:lang w:eastAsia="en-US"/>
              </w:rPr>
            </w:pPr>
          </w:p>
        </w:tc>
        <w:tc>
          <w:tcPr>
            <w:tcW w:w="1276" w:type="dxa"/>
            <w:tcBorders>
              <w:left w:val="single" w:sz="4" w:space="0" w:color="auto"/>
              <w:right w:val="single" w:sz="4" w:space="0" w:color="auto"/>
            </w:tcBorders>
          </w:tcPr>
          <w:p w14:paraId="288C3B35" w14:textId="77777777" w:rsidR="00C443FC" w:rsidRPr="00C443FC" w:rsidRDefault="00C443FC" w:rsidP="00C443FC">
            <w:pPr>
              <w:ind w:right="340"/>
              <w:jc w:val="right"/>
              <w:rPr>
                <w:rFonts w:eastAsia="Calibri"/>
                <w:sz w:val="20"/>
                <w:szCs w:val="20"/>
                <w:lang w:eastAsia="en-US"/>
              </w:rPr>
            </w:pPr>
          </w:p>
        </w:tc>
      </w:tr>
      <w:tr w:rsidR="00C443FC" w:rsidRPr="00C443FC" w14:paraId="441594CE" w14:textId="77777777" w:rsidTr="005C0CDD">
        <w:trPr>
          <w:jc w:val="center"/>
        </w:trPr>
        <w:tc>
          <w:tcPr>
            <w:tcW w:w="4172" w:type="dxa"/>
            <w:tcBorders>
              <w:left w:val="single" w:sz="4" w:space="0" w:color="auto"/>
              <w:right w:val="single" w:sz="4" w:space="0" w:color="auto"/>
            </w:tcBorders>
          </w:tcPr>
          <w:p w14:paraId="69444994" w14:textId="77777777" w:rsidR="00C443FC" w:rsidRPr="00C443FC" w:rsidRDefault="00C443FC" w:rsidP="00C443FC">
            <w:pPr>
              <w:jc w:val="both"/>
              <w:rPr>
                <w:rFonts w:eastAsia="Calibri"/>
                <w:sz w:val="20"/>
                <w:szCs w:val="20"/>
                <w:lang w:eastAsia="en-US"/>
              </w:rPr>
            </w:pPr>
            <w:r w:rsidRPr="00C443FC">
              <w:rPr>
                <w:rFonts w:eastAsia="Calibri"/>
                <w:b/>
                <w:sz w:val="20"/>
                <w:szCs w:val="20"/>
                <w:lang w:eastAsia="en-US"/>
              </w:rPr>
              <w:t xml:space="preserve">     </w:t>
            </w:r>
            <w:r w:rsidRPr="00C443FC">
              <w:rPr>
                <w:rFonts w:eastAsia="Calibri"/>
                <w:sz w:val="20"/>
                <w:szCs w:val="20"/>
                <w:lang w:eastAsia="en-US"/>
              </w:rPr>
              <w:t>Expectativa para 2015</w:t>
            </w:r>
          </w:p>
        </w:tc>
        <w:tc>
          <w:tcPr>
            <w:tcW w:w="1202" w:type="dxa"/>
            <w:tcBorders>
              <w:left w:val="single" w:sz="4" w:space="0" w:color="auto"/>
              <w:right w:val="single" w:sz="4" w:space="0" w:color="auto"/>
            </w:tcBorders>
          </w:tcPr>
          <w:p w14:paraId="7BC7B0DE" w14:textId="77777777" w:rsidR="00C443FC" w:rsidRPr="00C443FC" w:rsidRDefault="00C443FC" w:rsidP="00C443FC">
            <w:pPr>
              <w:ind w:right="340"/>
              <w:jc w:val="right"/>
              <w:rPr>
                <w:rFonts w:eastAsia="Calibri"/>
                <w:sz w:val="20"/>
                <w:szCs w:val="20"/>
                <w:lang w:eastAsia="en-US"/>
              </w:rPr>
            </w:pPr>
            <w:r w:rsidRPr="00C443FC">
              <w:rPr>
                <w:rFonts w:eastAsia="Calibri"/>
                <w:sz w:val="20"/>
                <w:szCs w:val="20"/>
                <w:lang w:eastAsia="en-US"/>
              </w:rPr>
              <w:t>14.18</w:t>
            </w:r>
          </w:p>
        </w:tc>
        <w:tc>
          <w:tcPr>
            <w:tcW w:w="1276" w:type="dxa"/>
            <w:tcBorders>
              <w:left w:val="single" w:sz="4" w:space="0" w:color="auto"/>
              <w:right w:val="single" w:sz="4" w:space="0" w:color="auto"/>
            </w:tcBorders>
          </w:tcPr>
          <w:p w14:paraId="36D92963" w14:textId="77777777" w:rsidR="00C443FC" w:rsidRPr="00C443FC" w:rsidRDefault="00C443FC" w:rsidP="00C443FC">
            <w:pPr>
              <w:ind w:right="340"/>
              <w:jc w:val="right"/>
              <w:rPr>
                <w:rFonts w:eastAsia="Calibri"/>
                <w:sz w:val="20"/>
                <w:szCs w:val="20"/>
                <w:lang w:eastAsia="en-US"/>
              </w:rPr>
            </w:pPr>
            <w:r w:rsidRPr="00C443FC">
              <w:rPr>
                <w:rFonts w:eastAsia="Calibri"/>
                <w:sz w:val="20"/>
                <w:szCs w:val="20"/>
                <w:lang w:eastAsia="en-US"/>
              </w:rPr>
              <w:t>14.54</w:t>
            </w:r>
          </w:p>
        </w:tc>
      </w:tr>
      <w:tr w:rsidR="00C443FC" w:rsidRPr="00C443FC" w14:paraId="3591ACE1" w14:textId="77777777" w:rsidTr="005C0CDD">
        <w:trPr>
          <w:jc w:val="center"/>
        </w:trPr>
        <w:tc>
          <w:tcPr>
            <w:tcW w:w="4172" w:type="dxa"/>
            <w:tcBorders>
              <w:left w:val="single" w:sz="4" w:space="0" w:color="auto"/>
              <w:bottom w:val="single" w:sz="4" w:space="0" w:color="auto"/>
              <w:right w:val="single" w:sz="4" w:space="0" w:color="auto"/>
            </w:tcBorders>
          </w:tcPr>
          <w:p w14:paraId="0AFA7483" w14:textId="77777777" w:rsidR="00C443FC" w:rsidRPr="00C443FC" w:rsidRDefault="00C443FC" w:rsidP="00C443FC">
            <w:pPr>
              <w:jc w:val="both"/>
              <w:rPr>
                <w:rFonts w:eastAsia="Calibri"/>
                <w:b/>
                <w:sz w:val="20"/>
                <w:szCs w:val="20"/>
                <w:lang w:eastAsia="en-US"/>
              </w:rPr>
            </w:pPr>
            <w:r w:rsidRPr="00C443FC">
              <w:rPr>
                <w:rFonts w:eastAsia="Calibri"/>
                <w:b/>
                <w:sz w:val="20"/>
                <w:szCs w:val="20"/>
                <w:lang w:eastAsia="en-US"/>
              </w:rPr>
              <w:t xml:space="preserve">     </w:t>
            </w:r>
            <w:r w:rsidRPr="00C443FC">
              <w:rPr>
                <w:rFonts w:eastAsia="Calibri"/>
                <w:sz w:val="20"/>
                <w:szCs w:val="20"/>
                <w:lang w:eastAsia="en-US"/>
              </w:rPr>
              <w:t>Expectativa para 2016</w:t>
            </w:r>
          </w:p>
        </w:tc>
        <w:tc>
          <w:tcPr>
            <w:tcW w:w="1202" w:type="dxa"/>
            <w:tcBorders>
              <w:left w:val="single" w:sz="4" w:space="0" w:color="auto"/>
              <w:bottom w:val="single" w:sz="4" w:space="0" w:color="auto"/>
              <w:right w:val="single" w:sz="4" w:space="0" w:color="auto"/>
            </w:tcBorders>
          </w:tcPr>
          <w:p w14:paraId="4554789E" w14:textId="77777777" w:rsidR="00C443FC" w:rsidRPr="00C443FC" w:rsidRDefault="00C443FC" w:rsidP="00C443FC">
            <w:pPr>
              <w:ind w:right="340"/>
              <w:jc w:val="right"/>
              <w:rPr>
                <w:rFonts w:eastAsia="Calibri"/>
                <w:sz w:val="20"/>
                <w:szCs w:val="20"/>
                <w:lang w:eastAsia="en-US"/>
              </w:rPr>
            </w:pPr>
            <w:r w:rsidRPr="00C443FC">
              <w:rPr>
                <w:rFonts w:eastAsia="Calibri"/>
                <w:sz w:val="20"/>
                <w:szCs w:val="20"/>
                <w:lang w:eastAsia="en-US"/>
              </w:rPr>
              <w:t>14.09</w:t>
            </w:r>
          </w:p>
        </w:tc>
        <w:tc>
          <w:tcPr>
            <w:tcW w:w="1276" w:type="dxa"/>
            <w:tcBorders>
              <w:left w:val="single" w:sz="4" w:space="0" w:color="auto"/>
              <w:bottom w:val="single" w:sz="4" w:space="0" w:color="auto"/>
              <w:right w:val="single" w:sz="4" w:space="0" w:color="auto"/>
            </w:tcBorders>
          </w:tcPr>
          <w:p w14:paraId="54A4139F" w14:textId="77777777" w:rsidR="00C443FC" w:rsidRPr="00C443FC" w:rsidRDefault="00C443FC" w:rsidP="00C443FC">
            <w:pPr>
              <w:ind w:right="340"/>
              <w:jc w:val="right"/>
              <w:rPr>
                <w:rFonts w:eastAsia="Calibri"/>
                <w:sz w:val="20"/>
                <w:szCs w:val="20"/>
                <w:lang w:eastAsia="en-US"/>
              </w:rPr>
            </w:pPr>
            <w:r w:rsidRPr="00C443FC">
              <w:rPr>
                <w:rFonts w:eastAsia="Calibri"/>
                <w:sz w:val="20"/>
                <w:szCs w:val="20"/>
                <w:lang w:eastAsia="en-US"/>
              </w:rPr>
              <w:t>14.31</w:t>
            </w:r>
          </w:p>
        </w:tc>
      </w:tr>
      <w:tr w:rsidR="00C443FC" w:rsidRPr="00C443FC" w14:paraId="51DBF05D" w14:textId="77777777" w:rsidTr="007B7E95">
        <w:trPr>
          <w:jc w:val="center"/>
        </w:trPr>
        <w:tc>
          <w:tcPr>
            <w:tcW w:w="6650" w:type="dxa"/>
            <w:gridSpan w:val="3"/>
            <w:tcBorders>
              <w:left w:val="nil"/>
              <w:bottom w:val="nil"/>
              <w:right w:val="nil"/>
            </w:tcBorders>
          </w:tcPr>
          <w:p w14:paraId="30A1FFB8" w14:textId="77777777" w:rsidR="00C443FC" w:rsidRPr="00C443FC" w:rsidRDefault="00C443FC" w:rsidP="00C443FC">
            <w:pPr>
              <w:ind w:right="170"/>
              <w:jc w:val="both"/>
              <w:rPr>
                <w:rFonts w:eastAsia="Calibri"/>
                <w:sz w:val="20"/>
                <w:szCs w:val="20"/>
                <w:lang w:eastAsia="en-US"/>
              </w:rPr>
            </w:pPr>
            <w:r w:rsidRPr="00C443FC">
              <w:rPr>
                <w:rFonts w:eastAsia="Calibri"/>
                <w:sz w:val="20"/>
                <w:szCs w:val="20"/>
                <w:lang w:eastAsia="en-US"/>
              </w:rPr>
              <w:t>FUENTE: Banco de México.</w:t>
            </w:r>
          </w:p>
        </w:tc>
      </w:tr>
    </w:tbl>
    <w:p w14:paraId="7DA0F44D" w14:textId="77777777" w:rsidR="00C443FC" w:rsidRPr="00C443FC" w:rsidRDefault="00C443FC" w:rsidP="00C443FC">
      <w:pPr>
        <w:spacing w:after="360" w:line="360" w:lineRule="auto"/>
        <w:ind w:right="-159"/>
        <w:jc w:val="both"/>
        <w:rPr>
          <w:rFonts w:eastAsia="Calibri"/>
          <w:sz w:val="26"/>
          <w:szCs w:val="26"/>
          <w:lang w:eastAsia="en-US"/>
        </w:rPr>
      </w:pPr>
    </w:p>
    <w:p w14:paraId="22C929FB" w14:textId="77777777" w:rsidR="00C443FC" w:rsidRPr="00C443FC" w:rsidRDefault="00C443FC" w:rsidP="00C443FC">
      <w:pPr>
        <w:spacing w:after="360" w:line="360" w:lineRule="auto"/>
        <w:ind w:right="-159"/>
        <w:jc w:val="both"/>
        <w:rPr>
          <w:rFonts w:eastAsia="Calibri"/>
          <w:sz w:val="26"/>
          <w:szCs w:val="26"/>
          <w:lang w:eastAsia="en-US"/>
        </w:rPr>
      </w:pPr>
      <w:r w:rsidRPr="00C443FC">
        <w:rPr>
          <w:rFonts w:eastAsia="Calibri"/>
          <w:sz w:val="26"/>
          <w:szCs w:val="26"/>
          <w:lang w:eastAsia="en-US"/>
        </w:rPr>
        <w:t>De la encuesta de febrero de 2015, se destaca lo siguiente:</w:t>
      </w:r>
    </w:p>
    <w:p w14:paraId="1A5C4D57" w14:textId="77777777" w:rsidR="00C443FC" w:rsidRPr="00C443FC" w:rsidRDefault="00C443FC" w:rsidP="00276F3E">
      <w:pPr>
        <w:numPr>
          <w:ilvl w:val="0"/>
          <w:numId w:val="63"/>
        </w:numPr>
        <w:spacing w:after="360" w:line="360" w:lineRule="auto"/>
        <w:ind w:right="-159"/>
        <w:jc w:val="both"/>
        <w:rPr>
          <w:rFonts w:eastAsia="Calibri"/>
          <w:sz w:val="26"/>
          <w:szCs w:val="26"/>
          <w:lang w:eastAsia="en-US"/>
        </w:rPr>
      </w:pPr>
      <w:r w:rsidRPr="00C443FC">
        <w:rPr>
          <w:rFonts w:eastAsia="Calibri"/>
          <w:sz w:val="26"/>
          <w:szCs w:val="26"/>
          <w:lang w:eastAsia="en-US"/>
        </w:rPr>
        <w:t>Las expectativas de inflación general para el cierre de 2015 disminuyeron en relación con la encuesta de enero, al tiempo que las correspondientes al cierre de 2016 se mantuvieron en niveles similares. En cuanto a las perspectivas de inflación subyacente para los cierres de 2015 y 2016, éstas permanecieron en niveles cercanos a los de la encuesta anterior, si bien la mediana para el cierre de 2015 disminuyó.</w:t>
      </w:r>
    </w:p>
    <w:p w14:paraId="620FBD33" w14:textId="77777777" w:rsidR="00C443FC" w:rsidRPr="00C443FC" w:rsidRDefault="00C443FC" w:rsidP="00276F3E">
      <w:pPr>
        <w:numPr>
          <w:ilvl w:val="0"/>
          <w:numId w:val="63"/>
        </w:numPr>
        <w:spacing w:after="360" w:line="360" w:lineRule="auto"/>
        <w:ind w:right="-159"/>
        <w:jc w:val="both"/>
        <w:rPr>
          <w:rFonts w:eastAsia="Calibri"/>
          <w:sz w:val="26"/>
          <w:szCs w:val="26"/>
          <w:lang w:eastAsia="en-US"/>
        </w:rPr>
      </w:pPr>
      <w:r w:rsidRPr="00C443FC">
        <w:rPr>
          <w:rFonts w:eastAsia="Calibri"/>
          <w:sz w:val="26"/>
          <w:szCs w:val="26"/>
          <w:lang w:eastAsia="en-US"/>
        </w:rPr>
        <w:t xml:space="preserve">La probabilidad que le asignaron los analistas a que la inflación general se ubique dentro del intervalo de variabilidad de más o menos un punto porcentual en torno al objetivo de 3% aumentó con respecto a la reportada en la encuesta de diciembre para el cierre de 2015, al tiempo que permaneció en niveles similares para el cierre de 2016. En cuanto a la inflación subyacente, la </w:t>
      </w:r>
      <w:r w:rsidRPr="00C443FC">
        <w:rPr>
          <w:rFonts w:eastAsia="Calibri"/>
          <w:sz w:val="26"/>
          <w:szCs w:val="26"/>
          <w:lang w:eastAsia="en-US"/>
        </w:rPr>
        <w:lastRenderedPageBreak/>
        <w:t xml:space="preserve">probabilidad otorgada a que ésta se encuentre en el intervalo entre 2 y 4% permaneció cercana a la de la encuesta anterior para los cierres de 2015 y 2016. </w:t>
      </w:r>
    </w:p>
    <w:p w14:paraId="10DA2905" w14:textId="77777777" w:rsidR="00C443FC" w:rsidRPr="00C443FC" w:rsidRDefault="00C443FC" w:rsidP="00276F3E">
      <w:pPr>
        <w:numPr>
          <w:ilvl w:val="0"/>
          <w:numId w:val="63"/>
        </w:numPr>
        <w:spacing w:after="360" w:line="360" w:lineRule="auto"/>
        <w:ind w:right="-159"/>
        <w:jc w:val="both"/>
        <w:rPr>
          <w:rFonts w:eastAsia="Calibri"/>
          <w:sz w:val="26"/>
          <w:szCs w:val="26"/>
          <w:lang w:eastAsia="en-US"/>
        </w:rPr>
      </w:pPr>
      <w:r w:rsidRPr="00C443FC">
        <w:rPr>
          <w:rFonts w:eastAsia="Calibri"/>
          <w:sz w:val="26"/>
          <w:szCs w:val="26"/>
          <w:lang w:eastAsia="en-US"/>
        </w:rPr>
        <w:t xml:space="preserve">Las expectativas de crecimiento del Producto Interno Bruto (PIB) real para 2015 y 2016 disminuyeron en relación con los pronósticos de diciembre. </w:t>
      </w:r>
    </w:p>
    <w:p w14:paraId="1C644FFA" w14:textId="77777777" w:rsidR="00C443FC" w:rsidRPr="00C443FC" w:rsidRDefault="00C443FC" w:rsidP="00276F3E">
      <w:pPr>
        <w:numPr>
          <w:ilvl w:val="0"/>
          <w:numId w:val="63"/>
        </w:numPr>
        <w:spacing w:after="360" w:line="360" w:lineRule="auto"/>
        <w:ind w:right="-159"/>
        <w:jc w:val="both"/>
        <w:rPr>
          <w:rFonts w:eastAsia="Calibri"/>
          <w:sz w:val="26"/>
          <w:szCs w:val="26"/>
          <w:lang w:eastAsia="en-US"/>
        </w:rPr>
      </w:pPr>
      <w:r w:rsidRPr="00C443FC">
        <w:rPr>
          <w:rFonts w:eastAsia="Calibri"/>
          <w:sz w:val="26"/>
          <w:szCs w:val="26"/>
          <w:lang w:eastAsia="en-US"/>
        </w:rPr>
        <w:t>En cuanto al tipo de cambio, las perspectivas de los analistas para los cierres de 2015 y 2016 se revisaron al alza con respecto a la encuesta del mes previo.</w:t>
      </w:r>
    </w:p>
    <w:p w14:paraId="4F5CF546" w14:textId="77777777" w:rsidR="00C443FC" w:rsidRPr="00C443FC" w:rsidRDefault="00C443FC" w:rsidP="00C443FC">
      <w:pPr>
        <w:spacing w:after="360" w:line="360" w:lineRule="auto"/>
        <w:ind w:right="-159"/>
        <w:jc w:val="both"/>
        <w:rPr>
          <w:rFonts w:eastAsia="Calibri"/>
          <w:sz w:val="26"/>
          <w:szCs w:val="26"/>
          <w:lang w:eastAsia="en-US"/>
        </w:rPr>
      </w:pPr>
      <w:r w:rsidRPr="00C443FC">
        <w:rPr>
          <w:rFonts w:eastAsia="Calibri"/>
          <w:sz w:val="26"/>
          <w:szCs w:val="26"/>
          <w:lang w:eastAsia="en-US"/>
        </w:rPr>
        <w:t>A continuación se detallan los resultados correspondientes a las expectativas de los analistas respecto a la inflación, el crecimiento real del PIB, las tasas de interés y el tipo de cambio. Asimismo, se reportan sus pronósticos en relación con indicadores del mercado laboral, de finanzas públicas, del sector externo, de la percepción sobre el entorno económico y, finalmente, sobre el crecimiento de la economía estadounidense.</w:t>
      </w:r>
    </w:p>
    <w:p w14:paraId="3C3A54E6" w14:textId="77777777" w:rsidR="00C443FC" w:rsidRPr="00C443FC" w:rsidRDefault="00C443FC" w:rsidP="00C443FC">
      <w:pPr>
        <w:spacing w:after="360" w:line="360" w:lineRule="auto"/>
        <w:ind w:right="-159"/>
        <w:jc w:val="both"/>
        <w:rPr>
          <w:rFonts w:eastAsia="Calibri"/>
          <w:b/>
          <w:sz w:val="26"/>
          <w:szCs w:val="26"/>
          <w:lang w:eastAsia="en-US"/>
        </w:rPr>
      </w:pPr>
      <w:r w:rsidRPr="00C443FC">
        <w:rPr>
          <w:rFonts w:eastAsia="Calibri"/>
          <w:b/>
          <w:sz w:val="26"/>
          <w:szCs w:val="26"/>
          <w:lang w:eastAsia="en-US"/>
        </w:rPr>
        <w:t>Inflación</w:t>
      </w:r>
    </w:p>
    <w:p w14:paraId="24D7C68F" w14:textId="4680D518" w:rsidR="00C443FC" w:rsidRPr="00C443FC" w:rsidRDefault="00C443FC" w:rsidP="00C443FC">
      <w:pPr>
        <w:spacing w:after="360" w:line="360" w:lineRule="auto"/>
        <w:ind w:right="-159"/>
        <w:jc w:val="both"/>
        <w:rPr>
          <w:rFonts w:eastAsia="Calibri"/>
          <w:sz w:val="26"/>
          <w:szCs w:val="26"/>
          <w:lang w:eastAsia="en-US"/>
        </w:rPr>
      </w:pPr>
      <w:r w:rsidRPr="00C443FC">
        <w:rPr>
          <w:rFonts w:eastAsia="Calibri"/>
          <w:sz w:val="26"/>
          <w:szCs w:val="26"/>
          <w:lang w:eastAsia="en-US"/>
        </w:rPr>
        <w:t xml:space="preserve">Los resultados relativos a las expectativas de inflación general y subyacente anual para el cierre de 2015, para los próximos 12 meses y para los cierres de 2016 y 2017 se presentan en el cuadro </w:t>
      </w:r>
      <w:r w:rsidRPr="00C443FC">
        <w:rPr>
          <w:rFonts w:eastAsia="Calibri"/>
          <w:i/>
          <w:sz w:val="26"/>
          <w:szCs w:val="26"/>
          <w:lang w:eastAsia="en-US"/>
        </w:rPr>
        <w:t>Expectativas de inflación anual</w:t>
      </w:r>
      <w:r w:rsidRPr="00C443FC">
        <w:rPr>
          <w:rFonts w:eastAsia="Calibri"/>
          <w:sz w:val="26"/>
          <w:szCs w:val="26"/>
          <w:lang w:eastAsia="en-US"/>
        </w:rPr>
        <w:t xml:space="preserve">. La inflación general mensual esperada para cada uno de los próximos doce meses y los pronósticos de inflación subyacente para el mes en que se levantó la encuesta se muestran en el Cuadro </w:t>
      </w:r>
      <w:r w:rsidRPr="00C443FC">
        <w:rPr>
          <w:rFonts w:eastAsia="Calibri"/>
          <w:i/>
          <w:sz w:val="26"/>
          <w:szCs w:val="26"/>
          <w:lang w:eastAsia="en-US"/>
        </w:rPr>
        <w:t>Expectativas de inflación mensual</w:t>
      </w:r>
      <w:r w:rsidRPr="00C443FC">
        <w:rPr>
          <w:rFonts w:eastAsia="Calibri"/>
          <w:sz w:val="26"/>
          <w:szCs w:val="26"/>
          <w:lang w:eastAsia="en-US"/>
        </w:rPr>
        <w:t xml:space="preserve">. La gráfica </w:t>
      </w:r>
      <w:r w:rsidRPr="00C443FC">
        <w:rPr>
          <w:rFonts w:eastAsia="Calibri"/>
          <w:i/>
          <w:sz w:val="26"/>
          <w:szCs w:val="26"/>
          <w:lang w:eastAsia="en-US"/>
        </w:rPr>
        <w:t>Expectativas de inflación anual</w:t>
      </w:r>
      <w:r w:rsidRPr="00C443FC">
        <w:rPr>
          <w:rFonts w:eastAsia="Calibri"/>
          <w:sz w:val="26"/>
          <w:szCs w:val="26"/>
          <w:lang w:eastAsia="en-US"/>
        </w:rPr>
        <w:t xml:space="preserve"> muestra el comportamiento reciente de las expectativas de inflación anual, general y subyacente, para el cierre de 2015, para los próximos 12 meses y para los cierres de 2016 y 2017</w:t>
      </w:r>
      <w:r w:rsidRPr="00C443FC">
        <w:rPr>
          <w:rFonts w:eastAsia="Calibri"/>
          <w:sz w:val="26"/>
          <w:szCs w:val="26"/>
          <w:vertAlign w:val="superscript"/>
          <w:lang w:eastAsia="en-US"/>
        </w:rPr>
        <w:footnoteReference w:id="82"/>
      </w:r>
      <w:r w:rsidR="00D7095B">
        <w:rPr>
          <w:rFonts w:eastAsia="Calibri"/>
          <w:sz w:val="26"/>
          <w:szCs w:val="26"/>
          <w:lang w:eastAsia="en-US"/>
        </w:rPr>
        <w:t>.</w:t>
      </w:r>
      <w:r w:rsidRPr="00C443FC">
        <w:rPr>
          <w:rFonts w:eastAsia="Calibri"/>
          <w:sz w:val="26"/>
          <w:szCs w:val="26"/>
          <w:lang w:eastAsia="en-US"/>
        </w:rPr>
        <w:t xml:space="preserve"> </w:t>
      </w:r>
    </w:p>
    <w:tbl>
      <w:tblPr>
        <w:tblW w:w="0" w:type="auto"/>
        <w:jc w:val="center"/>
        <w:tblLook w:val="04A0" w:firstRow="1" w:lastRow="0" w:firstColumn="1" w:lastColumn="0" w:noHBand="0" w:noVBand="1"/>
      </w:tblPr>
      <w:tblGrid>
        <w:gridCol w:w="2586"/>
        <w:gridCol w:w="1161"/>
        <w:gridCol w:w="1161"/>
        <w:gridCol w:w="1194"/>
        <w:gridCol w:w="1165"/>
      </w:tblGrid>
      <w:tr w:rsidR="00C443FC" w:rsidRPr="00C443FC" w14:paraId="3E54466D" w14:textId="77777777" w:rsidTr="005C0CDD">
        <w:trPr>
          <w:jc w:val="center"/>
        </w:trPr>
        <w:tc>
          <w:tcPr>
            <w:tcW w:w="7267" w:type="dxa"/>
            <w:gridSpan w:val="5"/>
            <w:tcBorders>
              <w:top w:val="nil"/>
              <w:left w:val="nil"/>
              <w:bottom w:val="single" w:sz="4" w:space="0" w:color="auto"/>
              <w:right w:val="nil"/>
            </w:tcBorders>
          </w:tcPr>
          <w:p w14:paraId="04E92EF9" w14:textId="77777777" w:rsidR="00C443FC" w:rsidRPr="00C443FC" w:rsidRDefault="00C443FC" w:rsidP="00C443FC">
            <w:pPr>
              <w:jc w:val="center"/>
              <w:rPr>
                <w:rFonts w:eastAsia="Calibri"/>
                <w:b/>
                <w:sz w:val="22"/>
                <w:szCs w:val="22"/>
                <w:lang w:eastAsia="en-US"/>
              </w:rPr>
            </w:pPr>
            <w:r w:rsidRPr="00C443FC">
              <w:rPr>
                <w:rFonts w:eastAsia="Calibri"/>
                <w:b/>
                <w:sz w:val="22"/>
                <w:szCs w:val="22"/>
                <w:lang w:eastAsia="en-US"/>
              </w:rPr>
              <w:lastRenderedPageBreak/>
              <w:t>EXPECTATIVAS DE INFLACIÓN ANUAL</w:t>
            </w:r>
          </w:p>
          <w:p w14:paraId="00BBC3D4" w14:textId="77777777" w:rsidR="00C443FC" w:rsidRPr="00C443FC" w:rsidRDefault="00C443FC" w:rsidP="00C443FC">
            <w:pPr>
              <w:jc w:val="center"/>
              <w:rPr>
                <w:rFonts w:eastAsia="Calibri"/>
                <w:b/>
                <w:sz w:val="22"/>
                <w:szCs w:val="22"/>
                <w:lang w:eastAsia="en-US"/>
              </w:rPr>
            </w:pPr>
            <w:r w:rsidRPr="00C443FC">
              <w:rPr>
                <w:rFonts w:eastAsia="Calibri"/>
                <w:b/>
                <w:sz w:val="22"/>
                <w:szCs w:val="22"/>
                <w:lang w:eastAsia="en-US"/>
              </w:rPr>
              <w:t>-Por ciento-</w:t>
            </w:r>
          </w:p>
        </w:tc>
      </w:tr>
      <w:tr w:rsidR="00C443FC" w:rsidRPr="00C443FC" w14:paraId="33F46430" w14:textId="77777777" w:rsidTr="005C0CDD">
        <w:trPr>
          <w:jc w:val="center"/>
        </w:trPr>
        <w:tc>
          <w:tcPr>
            <w:tcW w:w="2586" w:type="dxa"/>
            <w:vMerge w:val="restart"/>
            <w:tcBorders>
              <w:top w:val="single" w:sz="4" w:space="0" w:color="auto"/>
              <w:left w:val="single" w:sz="4" w:space="0" w:color="auto"/>
              <w:bottom w:val="single" w:sz="4" w:space="0" w:color="auto"/>
              <w:right w:val="single" w:sz="4" w:space="0" w:color="auto"/>
            </w:tcBorders>
          </w:tcPr>
          <w:p w14:paraId="421E9618" w14:textId="77777777" w:rsidR="00C443FC" w:rsidRPr="00C443FC" w:rsidRDefault="00C443FC" w:rsidP="00C443FC">
            <w:pPr>
              <w:jc w:val="both"/>
              <w:rPr>
                <w:rFonts w:eastAsia="Calibri"/>
                <w:sz w:val="20"/>
                <w:szCs w:val="20"/>
                <w:lang w:eastAsia="en-US"/>
              </w:rPr>
            </w:pPr>
          </w:p>
        </w:tc>
        <w:tc>
          <w:tcPr>
            <w:tcW w:w="2322" w:type="dxa"/>
            <w:gridSpan w:val="2"/>
            <w:tcBorders>
              <w:top w:val="single" w:sz="4" w:space="0" w:color="auto"/>
              <w:left w:val="single" w:sz="4" w:space="0" w:color="auto"/>
              <w:bottom w:val="single" w:sz="4" w:space="0" w:color="auto"/>
              <w:right w:val="single" w:sz="4" w:space="0" w:color="auto"/>
            </w:tcBorders>
          </w:tcPr>
          <w:p w14:paraId="2A70FB80"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Inflación General</w:t>
            </w:r>
          </w:p>
        </w:tc>
        <w:tc>
          <w:tcPr>
            <w:tcW w:w="2359" w:type="dxa"/>
            <w:gridSpan w:val="2"/>
            <w:tcBorders>
              <w:top w:val="single" w:sz="4" w:space="0" w:color="auto"/>
              <w:left w:val="single" w:sz="4" w:space="0" w:color="auto"/>
              <w:bottom w:val="single" w:sz="4" w:space="0" w:color="auto"/>
              <w:right w:val="single" w:sz="4" w:space="0" w:color="auto"/>
            </w:tcBorders>
          </w:tcPr>
          <w:p w14:paraId="4B6D1CBD"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Inflación Subyacente</w:t>
            </w:r>
          </w:p>
        </w:tc>
      </w:tr>
      <w:tr w:rsidR="00C443FC" w:rsidRPr="00C443FC" w14:paraId="346F4CC3" w14:textId="77777777" w:rsidTr="005C0CDD">
        <w:trPr>
          <w:jc w:val="center"/>
        </w:trPr>
        <w:tc>
          <w:tcPr>
            <w:tcW w:w="2586" w:type="dxa"/>
            <w:vMerge/>
            <w:tcBorders>
              <w:top w:val="single" w:sz="4" w:space="0" w:color="auto"/>
              <w:left w:val="single" w:sz="4" w:space="0" w:color="auto"/>
              <w:bottom w:val="single" w:sz="4" w:space="0" w:color="auto"/>
              <w:right w:val="single" w:sz="4" w:space="0" w:color="auto"/>
            </w:tcBorders>
          </w:tcPr>
          <w:p w14:paraId="41B463FF" w14:textId="77777777" w:rsidR="00C443FC" w:rsidRPr="00C443FC" w:rsidRDefault="00C443FC" w:rsidP="00C443FC">
            <w:pPr>
              <w:jc w:val="both"/>
              <w:rPr>
                <w:rFonts w:eastAsia="Calibri"/>
                <w:sz w:val="20"/>
                <w:szCs w:val="20"/>
                <w:lang w:eastAsia="en-US"/>
              </w:rPr>
            </w:pPr>
          </w:p>
        </w:tc>
        <w:tc>
          <w:tcPr>
            <w:tcW w:w="2322" w:type="dxa"/>
            <w:gridSpan w:val="2"/>
            <w:tcBorders>
              <w:top w:val="single" w:sz="4" w:space="0" w:color="auto"/>
              <w:left w:val="single" w:sz="4" w:space="0" w:color="auto"/>
              <w:bottom w:val="single" w:sz="4" w:space="0" w:color="auto"/>
              <w:right w:val="single" w:sz="4" w:space="0" w:color="auto"/>
            </w:tcBorders>
          </w:tcPr>
          <w:p w14:paraId="406D1051"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Encuesta</w:t>
            </w:r>
          </w:p>
        </w:tc>
        <w:tc>
          <w:tcPr>
            <w:tcW w:w="2359" w:type="dxa"/>
            <w:gridSpan w:val="2"/>
            <w:tcBorders>
              <w:top w:val="single" w:sz="4" w:space="0" w:color="auto"/>
              <w:left w:val="single" w:sz="4" w:space="0" w:color="auto"/>
              <w:bottom w:val="single" w:sz="4" w:space="0" w:color="auto"/>
              <w:right w:val="single" w:sz="4" w:space="0" w:color="auto"/>
            </w:tcBorders>
          </w:tcPr>
          <w:p w14:paraId="3317D5BC"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Encuesta</w:t>
            </w:r>
          </w:p>
        </w:tc>
      </w:tr>
      <w:tr w:rsidR="00C443FC" w:rsidRPr="00C443FC" w14:paraId="0B276B4D" w14:textId="77777777" w:rsidTr="005C0CDD">
        <w:trPr>
          <w:jc w:val="center"/>
        </w:trPr>
        <w:tc>
          <w:tcPr>
            <w:tcW w:w="2586" w:type="dxa"/>
            <w:vMerge/>
            <w:tcBorders>
              <w:top w:val="single" w:sz="4" w:space="0" w:color="auto"/>
              <w:left w:val="single" w:sz="4" w:space="0" w:color="auto"/>
              <w:bottom w:val="single" w:sz="4" w:space="0" w:color="auto"/>
              <w:right w:val="single" w:sz="4" w:space="0" w:color="auto"/>
            </w:tcBorders>
          </w:tcPr>
          <w:p w14:paraId="2CE0A8E9" w14:textId="77777777" w:rsidR="00C443FC" w:rsidRPr="00C443FC" w:rsidRDefault="00C443FC" w:rsidP="00C443FC">
            <w:pPr>
              <w:jc w:val="both"/>
              <w:rPr>
                <w:rFonts w:eastAsia="Calibri"/>
                <w:sz w:val="20"/>
                <w:szCs w:val="20"/>
                <w:lang w:eastAsia="en-US"/>
              </w:rPr>
            </w:pPr>
          </w:p>
        </w:tc>
        <w:tc>
          <w:tcPr>
            <w:tcW w:w="1161" w:type="dxa"/>
            <w:tcBorders>
              <w:top w:val="single" w:sz="4" w:space="0" w:color="auto"/>
              <w:left w:val="single" w:sz="4" w:space="0" w:color="auto"/>
              <w:bottom w:val="single" w:sz="4" w:space="0" w:color="auto"/>
              <w:right w:val="single" w:sz="4" w:space="0" w:color="auto"/>
            </w:tcBorders>
          </w:tcPr>
          <w:p w14:paraId="41BCC4D7"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Enero</w:t>
            </w:r>
          </w:p>
        </w:tc>
        <w:tc>
          <w:tcPr>
            <w:tcW w:w="1161" w:type="dxa"/>
            <w:tcBorders>
              <w:top w:val="single" w:sz="4" w:space="0" w:color="auto"/>
              <w:left w:val="single" w:sz="4" w:space="0" w:color="auto"/>
              <w:bottom w:val="single" w:sz="4" w:space="0" w:color="auto"/>
              <w:right w:val="single" w:sz="4" w:space="0" w:color="auto"/>
            </w:tcBorders>
          </w:tcPr>
          <w:p w14:paraId="01D84FEA"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Febrero</w:t>
            </w:r>
          </w:p>
        </w:tc>
        <w:tc>
          <w:tcPr>
            <w:tcW w:w="1194" w:type="dxa"/>
            <w:tcBorders>
              <w:top w:val="single" w:sz="4" w:space="0" w:color="auto"/>
              <w:left w:val="single" w:sz="4" w:space="0" w:color="auto"/>
              <w:bottom w:val="single" w:sz="4" w:space="0" w:color="auto"/>
              <w:right w:val="single" w:sz="4" w:space="0" w:color="auto"/>
            </w:tcBorders>
          </w:tcPr>
          <w:p w14:paraId="627E7562"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Enero</w:t>
            </w:r>
          </w:p>
        </w:tc>
        <w:tc>
          <w:tcPr>
            <w:tcW w:w="1165" w:type="dxa"/>
            <w:tcBorders>
              <w:top w:val="single" w:sz="4" w:space="0" w:color="auto"/>
              <w:left w:val="single" w:sz="4" w:space="0" w:color="auto"/>
              <w:bottom w:val="single" w:sz="4" w:space="0" w:color="auto"/>
              <w:right w:val="single" w:sz="4" w:space="0" w:color="auto"/>
            </w:tcBorders>
          </w:tcPr>
          <w:p w14:paraId="286A2558"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Febrero</w:t>
            </w:r>
          </w:p>
        </w:tc>
      </w:tr>
      <w:tr w:rsidR="00C443FC" w:rsidRPr="00C443FC" w14:paraId="50AAD312" w14:textId="77777777" w:rsidTr="005C0CDD">
        <w:trPr>
          <w:jc w:val="center"/>
        </w:trPr>
        <w:tc>
          <w:tcPr>
            <w:tcW w:w="2586" w:type="dxa"/>
            <w:tcBorders>
              <w:top w:val="single" w:sz="4" w:space="0" w:color="auto"/>
              <w:left w:val="single" w:sz="4" w:space="0" w:color="auto"/>
              <w:right w:val="single" w:sz="4" w:space="0" w:color="auto"/>
            </w:tcBorders>
          </w:tcPr>
          <w:p w14:paraId="024C23A5" w14:textId="77777777" w:rsidR="00C443FC" w:rsidRPr="00C443FC" w:rsidRDefault="00C443FC" w:rsidP="00C443FC">
            <w:pPr>
              <w:jc w:val="both"/>
              <w:rPr>
                <w:rFonts w:eastAsia="Calibri"/>
                <w:b/>
                <w:sz w:val="20"/>
                <w:szCs w:val="20"/>
                <w:lang w:eastAsia="en-US"/>
              </w:rPr>
            </w:pPr>
            <w:r w:rsidRPr="00C443FC">
              <w:rPr>
                <w:rFonts w:eastAsia="Calibri"/>
                <w:b/>
                <w:sz w:val="20"/>
                <w:szCs w:val="20"/>
                <w:lang w:eastAsia="en-US"/>
              </w:rPr>
              <w:t>Para 2015 (dic.-dic.)</w:t>
            </w:r>
          </w:p>
        </w:tc>
        <w:tc>
          <w:tcPr>
            <w:tcW w:w="1161" w:type="dxa"/>
            <w:tcBorders>
              <w:top w:val="single" w:sz="4" w:space="0" w:color="auto"/>
              <w:left w:val="single" w:sz="4" w:space="0" w:color="auto"/>
              <w:right w:val="single" w:sz="4" w:space="0" w:color="auto"/>
            </w:tcBorders>
          </w:tcPr>
          <w:p w14:paraId="3E002D09" w14:textId="77777777" w:rsidR="00C443FC" w:rsidRPr="00C443FC" w:rsidRDefault="00C443FC" w:rsidP="00C443FC">
            <w:pPr>
              <w:jc w:val="center"/>
              <w:rPr>
                <w:rFonts w:eastAsia="Calibri"/>
                <w:sz w:val="20"/>
                <w:szCs w:val="20"/>
                <w:lang w:eastAsia="en-US"/>
              </w:rPr>
            </w:pPr>
          </w:p>
        </w:tc>
        <w:tc>
          <w:tcPr>
            <w:tcW w:w="1161" w:type="dxa"/>
            <w:tcBorders>
              <w:top w:val="single" w:sz="4" w:space="0" w:color="auto"/>
              <w:left w:val="single" w:sz="4" w:space="0" w:color="auto"/>
              <w:right w:val="single" w:sz="4" w:space="0" w:color="auto"/>
            </w:tcBorders>
          </w:tcPr>
          <w:p w14:paraId="27CC7FAD" w14:textId="77777777" w:rsidR="00C443FC" w:rsidRPr="00C443FC" w:rsidRDefault="00C443FC" w:rsidP="00C443FC">
            <w:pPr>
              <w:jc w:val="center"/>
              <w:rPr>
                <w:rFonts w:eastAsia="Calibri"/>
                <w:sz w:val="20"/>
                <w:szCs w:val="20"/>
                <w:lang w:eastAsia="en-US"/>
              </w:rPr>
            </w:pPr>
          </w:p>
        </w:tc>
        <w:tc>
          <w:tcPr>
            <w:tcW w:w="1194" w:type="dxa"/>
            <w:tcBorders>
              <w:top w:val="single" w:sz="4" w:space="0" w:color="auto"/>
              <w:left w:val="single" w:sz="4" w:space="0" w:color="auto"/>
              <w:right w:val="single" w:sz="4" w:space="0" w:color="auto"/>
            </w:tcBorders>
          </w:tcPr>
          <w:p w14:paraId="6B4ACC50" w14:textId="77777777" w:rsidR="00C443FC" w:rsidRPr="00C443FC" w:rsidRDefault="00C443FC" w:rsidP="00C443FC">
            <w:pPr>
              <w:jc w:val="center"/>
              <w:rPr>
                <w:rFonts w:eastAsia="Calibri"/>
                <w:sz w:val="20"/>
                <w:szCs w:val="20"/>
                <w:lang w:eastAsia="en-US"/>
              </w:rPr>
            </w:pPr>
          </w:p>
        </w:tc>
        <w:tc>
          <w:tcPr>
            <w:tcW w:w="1165" w:type="dxa"/>
            <w:tcBorders>
              <w:top w:val="single" w:sz="4" w:space="0" w:color="auto"/>
              <w:left w:val="single" w:sz="4" w:space="0" w:color="auto"/>
              <w:right w:val="single" w:sz="4" w:space="0" w:color="auto"/>
            </w:tcBorders>
          </w:tcPr>
          <w:p w14:paraId="2F8D094E" w14:textId="77777777" w:rsidR="00C443FC" w:rsidRPr="00C443FC" w:rsidRDefault="00C443FC" w:rsidP="00C443FC">
            <w:pPr>
              <w:jc w:val="center"/>
              <w:rPr>
                <w:rFonts w:eastAsia="Calibri"/>
                <w:sz w:val="20"/>
                <w:szCs w:val="20"/>
                <w:lang w:eastAsia="en-US"/>
              </w:rPr>
            </w:pPr>
          </w:p>
        </w:tc>
      </w:tr>
      <w:tr w:rsidR="00C443FC" w:rsidRPr="00C443FC" w14:paraId="536DDBAC" w14:textId="77777777" w:rsidTr="005C0CDD">
        <w:trPr>
          <w:jc w:val="center"/>
        </w:trPr>
        <w:tc>
          <w:tcPr>
            <w:tcW w:w="2586" w:type="dxa"/>
            <w:tcBorders>
              <w:left w:val="single" w:sz="4" w:space="0" w:color="auto"/>
              <w:right w:val="single" w:sz="4" w:space="0" w:color="auto"/>
            </w:tcBorders>
          </w:tcPr>
          <w:p w14:paraId="44703C4B" w14:textId="77777777" w:rsidR="00C443FC" w:rsidRPr="00C443FC" w:rsidRDefault="00C443FC" w:rsidP="00C443FC">
            <w:pPr>
              <w:jc w:val="both"/>
              <w:rPr>
                <w:rFonts w:eastAsia="Calibri"/>
                <w:sz w:val="20"/>
                <w:szCs w:val="20"/>
                <w:lang w:eastAsia="en-US"/>
              </w:rPr>
            </w:pPr>
            <w:r w:rsidRPr="00C443FC">
              <w:rPr>
                <w:rFonts w:eastAsia="Calibri"/>
                <w:sz w:val="20"/>
                <w:szCs w:val="20"/>
                <w:lang w:eastAsia="en-US"/>
              </w:rPr>
              <w:t xml:space="preserve">     Media</w:t>
            </w:r>
          </w:p>
        </w:tc>
        <w:tc>
          <w:tcPr>
            <w:tcW w:w="1161" w:type="dxa"/>
            <w:tcBorders>
              <w:left w:val="single" w:sz="4" w:space="0" w:color="auto"/>
              <w:right w:val="single" w:sz="4" w:space="0" w:color="auto"/>
            </w:tcBorders>
          </w:tcPr>
          <w:p w14:paraId="20C5F286"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3.20</w:t>
            </w:r>
          </w:p>
        </w:tc>
        <w:tc>
          <w:tcPr>
            <w:tcW w:w="1161" w:type="dxa"/>
            <w:tcBorders>
              <w:left w:val="single" w:sz="4" w:space="0" w:color="auto"/>
              <w:right w:val="single" w:sz="4" w:space="0" w:color="auto"/>
            </w:tcBorders>
          </w:tcPr>
          <w:p w14:paraId="64F5BA05"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3.11</w:t>
            </w:r>
          </w:p>
        </w:tc>
        <w:tc>
          <w:tcPr>
            <w:tcW w:w="1194" w:type="dxa"/>
            <w:tcBorders>
              <w:left w:val="single" w:sz="4" w:space="0" w:color="auto"/>
              <w:right w:val="single" w:sz="4" w:space="0" w:color="auto"/>
            </w:tcBorders>
          </w:tcPr>
          <w:p w14:paraId="41EE4CA0"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2.93</w:t>
            </w:r>
          </w:p>
        </w:tc>
        <w:tc>
          <w:tcPr>
            <w:tcW w:w="1165" w:type="dxa"/>
            <w:tcBorders>
              <w:left w:val="single" w:sz="4" w:space="0" w:color="auto"/>
              <w:right w:val="single" w:sz="4" w:space="0" w:color="auto"/>
            </w:tcBorders>
          </w:tcPr>
          <w:p w14:paraId="6DFE64CC"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2.90</w:t>
            </w:r>
          </w:p>
        </w:tc>
      </w:tr>
      <w:tr w:rsidR="00C443FC" w:rsidRPr="00C443FC" w14:paraId="07233E80" w14:textId="77777777" w:rsidTr="005C0CDD">
        <w:trPr>
          <w:jc w:val="center"/>
        </w:trPr>
        <w:tc>
          <w:tcPr>
            <w:tcW w:w="2586" w:type="dxa"/>
            <w:tcBorders>
              <w:left w:val="single" w:sz="4" w:space="0" w:color="auto"/>
              <w:right w:val="single" w:sz="4" w:space="0" w:color="auto"/>
            </w:tcBorders>
          </w:tcPr>
          <w:p w14:paraId="38912F2D" w14:textId="77777777" w:rsidR="00C443FC" w:rsidRPr="00C443FC" w:rsidRDefault="00C443FC" w:rsidP="00C443FC">
            <w:pPr>
              <w:jc w:val="both"/>
              <w:rPr>
                <w:rFonts w:eastAsia="Calibri"/>
                <w:sz w:val="20"/>
                <w:szCs w:val="20"/>
                <w:lang w:eastAsia="en-US"/>
              </w:rPr>
            </w:pPr>
            <w:r w:rsidRPr="00C443FC">
              <w:rPr>
                <w:rFonts w:eastAsia="Calibri"/>
                <w:sz w:val="20"/>
                <w:szCs w:val="20"/>
                <w:lang w:eastAsia="en-US"/>
              </w:rPr>
              <w:t xml:space="preserve">     Mediana</w:t>
            </w:r>
          </w:p>
        </w:tc>
        <w:tc>
          <w:tcPr>
            <w:tcW w:w="1161" w:type="dxa"/>
            <w:tcBorders>
              <w:left w:val="single" w:sz="4" w:space="0" w:color="auto"/>
              <w:right w:val="single" w:sz="4" w:space="0" w:color="auto"/>
            </w:tcBorders>
          </w:tcPr>
          <w:p w14:paraId="34CB9515"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3.15</w:t>
            </w:r>
          </w:p>
        </w:tc>
        <w:tc>
          <w:tcPr>
            <w:tcW w:w="1161" w:type="dxa"/>
            <w:tcBorders>
              <w:left w:val="single" w:sz="4" w:space="0" w:color="auto"/>
              <w:right w:val="single" w:sz="4" w:space="0" w:color="auto"/>
            </w:tcBorders>
          </w:tcPr>
          <w:p w14:paraId="01232844"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3.06</w:t>
            </w:r>
          </w:p>
        </w:tc>
        <w:tc>
          <w:tcPr>
            <w:tcW w:w="1194" w:type="dxa"/>
            <w:tcBorders>
              <w:left w:val="single" w:sz="4" w:space="0" w:color="auto"/>
              <w:right w:val="single" w:sz="4" w:space="0" w:color="auto"/>
            </w:tcBorders>
          </w:tcPr>
          <w:p w14:paraId="3CCC5FD1"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2.90</w:t>
            </w:r>
          </w:p>
        </w:tc>
        <w:tc>
          <w:tcPr>
            <w:tcW w:w="1165" w:type="dxa"/>
            <w:tcBorders>
              <w:left w:val="single" w:sz="4" w:space="0" w:color="auto"/>
              <w:right w:val="single" w:sz="4" w:space="0" w:color="auto"/>
            </w:tcBorders>
          </w:tcPr>
          <w:p w14:paraId="0784A7BA"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2.85</w:t>
            </w:r>
          </w:p>
        </w:tc>
      </w:tr>
      <w:tr w:rsidR="00C443FC" w:rsidRPr="00C443FC" w14:paraId="32B2A88C" w14:textId="77777777" w:rsidTr="005C0CDD">
        <w:trPr>
          <w:jc w:val="center"/>
        </w:trPr>
        <w:tc>
          <w:tcPr>
            <w:tcW w:w="2586" w:type="dxa"/>
            <w:tcBorders>
              <w:left w:val="single" w:sz="4" w:space="0" w:color="auto"/>
              <w:right w:val="single" w:sz="4" w:space="0" w:color="auto"/>
            </w:tcBorders>
          </w:tcPr>
          <w:p w14:paraId="6E216341" w14:textId="77777777" w:rsidR="00C443FC" w:rsidRPr="00C443FC" w:rsidRDefault="00C443FC" w:rsidP="00C443FC">
            <w:pPr>
              <w:jc w:val="both"/>
              <w:rPr>
                <w:rFonts w:eastAsia="Calibri"/>
                <w:b/>
                <w:sz w:val="20"/>
                <w:szCs w:val="20"/>
                <w:lang w:eastAsia="en-US"/>
              </w:rPr>
            </w:pPr>
            <w:r w:rsidRPr="00C443FC">
              <w:rPr>
                <w:rFonts w:eastAsia="Calibri"/>
                <w:b/>
                <w:sz w:val="20"/>
                <w:szCs w:val="20"/>
                <w:lang w:eastAsia="en-US"/>
              </w:rPr>
              <w:t>Para los próximos 12 meses</w:t>
            </w:r>
          </w:p>
        </w:tc>
        <w:tc>
          <w:tcPr>
            <w:tcW w:w="1161" w:type="dxa"/>
            <w:tcBorders>
              <w:left w:val="single" w:sz="4" w:space="0" w:color="auto"/>
              <w:right w:val="single" w:sz="4" w:space="0" w:color="auto"/>
            </w:tcBorders>
          </w:tcPr>
          <w:p w14:paraId="11E99BA5" w14:textId="77777777" w:rsidR="00C443FC" w:rsidRPr="00C443FC" w:rsidRDefault="00C443FC" w:rsidP="00C443FC">
            <w:pPr>
              <w:jc w:val="center"/>
              <w:rPr>
                <w:rFonts w:eastAsia="Calibri"/>
                <w:sz w:val="20"/>
                <w:szCs w:val="20"/>
                <w:lang w:eastAsia="en-US"/>
              </w:rPr>
            </w:pPr>
          </w:p>
        </w:tc>
        <w:tc>
          <w:tcPr>
            <w:tcW w:w="1161" w:type="dxa"/>
            <w:tcBorders>
              <w:left w:val="single" w:sz="4" w:space="0" w:color="auto"/>
              <w:right w:val="single" w:sz="4" w:space="0" w:color="auto"/>
            </w:tcBorders>
          </w:tcPr>
          <w:p w14:paraId="4A04B320" w14:textId="77777777" w:rsidR="00C443FC" w:rsidRPr="00C443FC" w:rsidRDefault="00C443FC" w:rsidP="00C443FC">
            <w:pPr>
              <w:jc w:val="center"/>
              <w:rPr>
                <w:rFonts w:eastAsia="Calibri"/>
                <w:sz w:val="20"/>
                <w:szCs w:val="20"/>
                <w:lang w:eastAsia="en-US"/>
              </w:rPr>
            </w:pPr>
          </w:p>
        </w:tc>
        <w:tc>
          <w:tcPr>
            <w:tcW w:w="1194" w:type="dxa"/>
            <w:tcBorders>
              <w:left w:val="single" w:sz="4" w:space="0" w:color="auto"/>
              <w:right w:val="single" w:sz="4" w:space="0" w:color="auto"/>
            </w:tcBorders>
          </w:tcPr>
          <w:p w14:paraId="3158B695" w14:textId="77777777" w:rsidR="00C443FC" w:rsidRPr="00C443FC" w:rsidRDefault="00C443FC" w:rsidP="00C443FC">
            <w:pPr>
              <w:jc w:val="center"/>
              <w:rPr>
                <w:rFonts w:eastAsia="Calibri"/>
                <w:sz w:val="20"/>
                <w:szCs w:val="20"/>
                <w:lang w:eastAsia="en-US"/>
              </w:rPr>
            </w:pPr>
          </w:p>
        </w:tc>
        <w:tc>
          <w:tcPr>
            <w:tcW w:w="1165" w:type="dxa"/>
            <w:tcBorders>
              <w:left w:val="single" w:sz="4" w:space="0" w:color="auto"/>
              <w:right w:val="single" w:sz="4" w:space="0" w:color="auto"/>
            </w:tcBorders>
          </w:tcPr>
          <w:p w14:paraId="33613172" w14:textId="77777777" w:rsidR="00C443FC" w:rsidRPr="00C443FC" w:rsidRDefault="00C443FC" w:rsidP="00C443FC">
            <w:pPr>
              <w:jc w:val="center"/>
              <w:rPr>
                <w:rFonts w:eastAsia="Calibri"/>
                <w:sz w:val="20"/>
                <w:szCs w:val="20"/>
                <w:lang w:eastAsia="en-US"/>
              </w:rPr>
            </w:pPr>
          </w:p>
        </w:tc>
      </w:tr>
      <w:tr w:rsidR="00C443FC" w:rsidRPr="00C443FC" w14:paraId="7FAFD1F8" w14:textId="77777777" w:rsidTr="005C0CDD">
        <w:trPr>
          <w:jc w:val="center"/>
        </w:trPr>
        <w:tc>
          <w:tcPr>
            <w:tcW w:w="2586" w:type="dxa"/>
            <w:tcBorders>
              <w:left w:val="single" w:sz="4" w:space="0" w:color="auto"/>
              <w:right w:val="single" w:sz="4" w:space="0" w:color="auto"/>
            </w:tcBorders>
          </w:tcPr>
          <w:p w14:paraId="0AF8DD4D" w14:textId="77777777" w:rsidR="00C443FC" w:rsidRPr="00C443FC" w:rsidRDefault="00C443FC" w:rsidP="00C443FC">
            <w:pPr>
              <w:jc w:val="both"/>
              <w:rPr>
                <w:rFonts w:eastAsia="Calibri"/>
                <w:sz w:val="20"/>
                <w:szCs w:val="20"/>
                <w:lang w:eastAsia="en-US"/>
              </w:rPr>
            </w:pPr>
            <w:r w:rsidRPr="00C443FC">
              <w:rPr>
                <w:rFonts w:eastAsia="Calibri"/>
                <w:sz w:val="20"/>
                <w:szCs w:val="20"/>
                <w:lang w:eastAsia="en-US"/>
              </w:rPr>
              <w:t xml:space="preserve">     Media</w:t>
            </w:r>
          </w:p>
        </w:tc>
        <w:tc>
          <w:tcPr>
            <w:tcW w:w="1161" w:type="dxa"/>
            <w:tcBorders>
              <w:left w:val="single" w:sz="4" w:space="0" w:color="auto"/>
              <w:right w:val="single" w:sz="4" w:space="0" w:color="auto"/>
            </w:tcBorders>
          </w:tcPr>
          <w:p w14:paraId="084E8FAB"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3.65</w:t>
            </w:r>
          </w:p>
        </w:tc>
        <w:tc>
          <w:tcPr>
            <w:tcW w:w="1161" w:type="dxa"/>
            <w:tcBorders>
              <w:left w:val="single" w:sz="4" w:space="0" w:color="auto"/>
              <w:right w:val="single" w:sz="4" w:space="0" w:color="auto"/>
            </w:tcBorders>
          </w:tcPr>
          <w:p w14:paraId="48EA4B8B"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3.67</w:t>
            </w:r>
          </w:p>
        </w:tc>
        <w:tc>
          <w:tcPr>
            <w:tcW w:w="1194" w:type="dxa"/>
            <w:tcBorders>
              <w:left w:val="single" w:sz="4" w:space="0" w:color="auto"/>
              <w:right w:val="single" w:sz="4" w:space="0" w:color="auto"/>
            </w:tcBorders>
          </w:tcPr>
          <w:p w14:paraId="5F60E4B7"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3.23</w:t>
            </w:r>
          </w:p>
        </w:tc>
        <w:tc>
          <w:tcPr>
            <w:tcW w:w="1165" w:type="dxa"/>
            <w:tcBorders>
              <w:left w:val="single" w:sz="4" w:space="0" w:color="auto"/>
              <w:right w:val="single" w:sz="4" w:space="0" w:color="auto"/>
            </w:tcBorders>
          </w:tcPr>
          <w:p w14:paraId="23333CCA"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3.18</w:t>
            </w:r>
          </w:p>
        </w:tc>
      </w:tr>
      <w:tr w:rsidR="00C443FC" w:rsidRPr="00C443FC" w14:paraId="340F1400" w14:textId="77777777" w:rsidTr="005C0CDD">
        <w:trPr>
          <w:jc w:val="center"/>
        </w:trPr>
        <w:tc>
          <w:tcPr>
            <w:tcW w:w="2586" w:type="dxa"/>
            <w:tcBorders>
              <w:left w:val="single" w:sz="4" w:space="0" w:color="auto"/>
              <w:right w:val="single" w:sz="4" w:space="0" w:color="auto"/>
            </w:tcBorders>
          </w:tcPr>
          <w:p w14:paraId="171706F7" w14:textId="77777777" w:rsidR="00C443FC" w:rsidRPr="00C443FC" w:rsidRDefault="00C443FC" w:rsidP="00C443FC">
            <w:pPr>
              <w:jc w:val="both"/>
              <w:rPr>
                <w:rFonts w:eastAsia="Calibri"/>
                <w:sz w:val="20"/>
                <w:szCs w:val="20"/>
                <w:lang w:eastAsia="en-US"/>
              </w:rPr>
            </w:pPr>
            <w:r w:rsidRPr="00C443FC">
              <w:rPr>
                <w:rFonts w:eastAsia="Calibri"/>
                <w:sz w:val="20"/>
                <w:szCs w:val="20"/>
                <w:lang w:eastAsia="en-US"/>
              </w:rPr>
              <w:t xml:space="preserve">     Mediana</w:t>
            </w:r>
          </w:p>
        </w:tc>
        <w:tc>
          <w:tcPr>
            <w:tcW w:w="1161" w:type="dxa"/>
            <w:tcBorders>
              <w:left w:val="single" w:sz="4" w:space="0" w:color="auto"/>
              <w:right w:val="single" w:sz="4" w:space="0" w:color="auto"/>
            </w:tcBorders>
          </w:tcPr>
          <w:p w14:paraId="6972EC8C"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3.64</w:t>
            </w:r>
          </w:p>
        </w:tc>
        <w:tc>
          <w:tcPr>
            <w:tcW w:w="1161" w:type="dxa"/>
            <w:tcBorders>
              <w:left w:val="single" w:sz="4" w:space="0" w:color="auto"/>
              <w:right w:val="single" w:sz="4" w:space="0" w:color="auto"/>
            </w:tcBorders>
          </w:tcPr>
          <w:p w14:paraId="78E9A740"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3.63</w:t>
            </w:r>
          </w:p>
        </w:tc>
        <w:tc>
          <w:tcPr>
            <w:tcW w:w="1194" w:type="dxa"/>
            <w:tcBorders>
              <w:left w:val="single" w:sz="4" w:space="0" w:color="auto"/>
              <w:right w:val="single" w:sz="4" w:space="0" w:color="auto"/>
            </w:tcBorders>
          </w:tcPr>
          <w:p w14:paraId="36C22DC6"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3.25</w:t>
            </w:r>
          </w:p>
        </w:tc>
        <w:tc>
          <w:tcPr>
            <w:tcW w:w="1165" w:type="dxa"/>
            <w:tcBorders>
              <w:left w:val="single" w:sz="4" w:space="0" w:color="auto"/>
              <w:right w:val="single" w:sz="4" w:space="0" w:color="auto"/>
            </w:tcBorders>
          </w:tcPr>
          <w:p w14:paraId="5262D195"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3.19</w:t>
            </w:r>
          </w:p>
        </w:tc>
      </w:tr>
      <w:tr w:rsidR="00C443FC" w:rsidRPr="00C443FC" w14:paraId="73845C19" w14:textId="77777777" w:rsidTr="005C0CDD">
        <w:trPr>
          <w:jc w:val="center"/>
        </w:trPr>
        <w:tc>
          <w:tcPr>
            <w:tcW w:w="2586" w:type="dxa"/>
            <w:tcBorders>
              <w:left w:val="single" w:sz="4" w:space="0" w:color="auto"/>
              <w:right w:val="single" w:sz="4" w:space="0" w:color="auto"/>
            </w:tcBorders>
          </w:tcPr>
          <w:p w14:paraId="417F19CB" w14:textId="77777777" w:rsidR="00C443FC" w:rsidRPr="00C443FC" w:rsidRDefault="00C443FC" w:rsidP="00C443FC">
            <w:pPr>
              <w:jc w:val="both"/>
              <w:rPr>
                <w:rFonts w:eastAsia="Calibri"/>
                <w:b/>
                <w:sz w:val="20"/>
                <w:szCs w:val="20"/>
                <w:lang w:eastAsia="en-US"/>
              </w:rPr>
            </w:pPr>
            <w:r w:rsidRPr="00C443FC">
              <w:rPr>
                <w:rFonts w:eastAsia="Calibri"/>
                <w:b/>
                <w:sz w:val="20"/>
                <w:szCs w:val="20"/>
                <w:lang w:eastAsia="en-US"/>
              </w:rPr>
              <w:t>Para 2016 (dic.-dic.)</w:t>
            </w:r>
          </w:p>
        </w:tc>
        <w:tc>
          <w:tcPr>
            <w:tcW w:w="1161" w:type="dxa"/>
            <w:tcBorders>
              <w:left w:val="single" w:sz="4" w:space="0" w:color="auto"/>
              <w:right w:val="single" w:sz="4" w:space="0" w:color="auto"/>
            </w:tcBorders>
          </w:tcPr>
          <w:p w14:paraId="440D59C3" w14:textId="77777777" w:rsidR="00C443FC" w:rsidRPr="00C443FC" w:rsidRDefault="00C443FC" w:rsidP="00C443FC">
            <w:pPr>
              <w:jc w:val="center"/>
              <w:rPr>
                <w:rFonts w:eastAsia="Calibri"/>
                <w:sz w:val="20"/>
                <w:szCs w:val="20"/>
                <w:lang w:eastAsia="en-US"/>
              </w:rPr>
            </w:pPr>
          </w:p>
        </w:tc>
        <w:tc>
          <w:tcPr>
            <w:tcW w:w="1161" w:type="dxa"/>
            <w:tcBorders>
              <w:left w:val="single" w:sz="4" w:space="0" w:color="auto"/>
              <w:right w:val="single" w:sz="4" w:space="0" w:color="auto"/>
            </w:tcBorders>
          </w:tcPr>
          <w:p w14:paraId="4F395F96" w14:textId="77777777" w:rsidR="00C443FC" w:rsidRPr="00C443FC" w:rsidRDefault="00C443FC" w:rsidP="00C443FC">
            <w:pPr>
              <w:jc w:val="center"/>
              <w:rPr>
                <w:rFonts w:eastAsia="Calibri"/>
                <w:sz w:val="20"/>
                <w:szCs w:val="20"/>
                <w:lang w:eastAsia="en-US"/>
              </w:rPr>
            </w:pPr>
          </w:p>
        </w:tc>
        <w:tc>
          <w:tcPr>
            <w:tcW w:w="1194" w:type="dxa"/>
            <w:tcBorders>
              <w:left w:val="single" w:sz="4" w:space="0" w:color="auto"/>
              <w:right w:val="single" w:sz="4" w:space="0" w:color="auto"/>
            </w:tcBorders>
          </w:tcPr>
          <w:p w14:paraId="6714DDD9" w14:textId="77777777" w:rsidR="00C443FC" w:rsidRPr="00C443FC" w:rsidRDefault="00C443FC" w:rsidP="00C443FC">
            <w:pPr>
              <w:jc w:val="center"/>
              <w:rPr>
                <w:rFonts w:eastAsia="Calibri"/>
                <w:sz w:val="20"/>
                <w:szCs w:val="20"/>
                <w:lang w:eastAsia="en-US"/>
              </w:rPr>
            </w:pPr>
          </w:p>
        </w:tc>
        <w:tc>
          <w:tcPr>
            <w:tcW w:w="1165" w:type="dxa"/>
            <w:tcBorders>
              <w:left w:val="single" w:sz="4" w:space="0" w:color="auto"/>
              <w:right w:val="single" w:sz="4" w:space="0" w:color="auto"/>
            </w:tcBorders>
          </w:tcPr>
          <w:p w14:paraId="268FBE4D" w14:textId="77777777" w:rsidR="00C443FC" w:rsidRPr="00C443FC" w:rsidRDefault="00C443FC" w:rsidP="00C443FC">
            <w:pPr>
              <w:jc w:val="center"/>
              <w:rPr>
                <w:rFonts w:eastAsia="Calibri"/>
                <w:sz w:val="20"/>
                <w:szCs w:val="20"/>
                <w:lang w:eastAsia="en-US"/>
              </w:rPr>
            </w:pPr>
          </w:p>
        </w:tc>
      </w:tr>
      <w:tr w:rsidR="00C443FC" w:rsidRPr="00C443FC" w14:paraId="2A22AC72" w14:textId="77777777" w:rsidTr="005C0CDD">
        <w:trPr>
          <w:jc w:val="center"/>
        </w:trPr>
        <w:tc>
          <w:tcPr>
            <w:tcW w:w="2586" w:type="dxa"/>
            <w:tcBorders>
              <w:left w:val="single" w:sz="4" w:space="0" w:color="auto"/>
              <w:right w:val="single" w:sz="4" w:space="0" w:color="auto"/>
            </w:tcBorders>
          </w:tcPr>
          <w:p w14:paraId="37CE19E7" w14:textId="77777777" w:rsidR="00C443FC" w:rsidRPr="00C443FC" w:rsidRDefault="00C443FC" w:rsidP="00C443FC">
            <w:pPr>
              <w:jc w:val="both"/>
              <w:rPr>
                <w:rFonts w:eastAsia="Calibri"/>
                <w:sz w:val="20"/>
                <w:szCs w:val="20"/>
                <w:lang w:eastAsia="en-US"/>
              </w:rPr>
            </w:pPr>
            <w:r w:rsidRPr="00C443FC">
              <w:rPr>
                <w:rFonts w:eastAsia="Calibri"/>
                <w:sz w:val="20"/>
                <w:szCs w:val="20"/>
                <w:lang w:eastAsia="en-US"/>
              </w:rPr>
              <w:t xml:space="preserve">     Media</w:t>
            </w:r>
          </w:p>
        </w:tc>
        <w:tc>
          <w:tcPr>
            <w:tcW w:w="1161" w:type="dxa"/>
            <w:tcBorders>
              <w:left w:val="single" w:sz="4" w:space="0" w:color="auto"/>
              <w:right w:val="single" w:sz="4" w:space="0" w:color="auto"/>
            </w:tcBorders>
          </w:tcPr>
          <w:p w14:paraId="78C47F44"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3.49</w:t>
            </w:r>
          </w:p>
        </w:tc>
        <w:tc>
          <w:tcPr>
            <w:tcW w:w="1161" w:type="dxa"/>
            <w:tcBorders>
              <w:left w:val="single" w:sz="4" w:space="0" w:color="auto"/>
              <w:right w:val="single" w:sz="4" w:space="0" w:color="auto"/>
            </w:tcBorders>
          </w:tcPr>
          <w:p w14:paraId="2553576E"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3.46</w:t>
            </w:r>
          </w:p>
        </w:tc>
        <w:tc>
          <w:tcPr>
            <w:tcW w:w="1194" w:type="dxa"/>
            <w:tcBorders>
              <w:left w:val="single" w:sz="4" w:space="0" w:color="auto"/>
              <w:right w:val="single" w:sz="4" w:space="0" w:color="auto"/>
            </w:tcBorders>
          </w:tcPr>
          <w:p w14:paraId="094DD707"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3.12</w:t>
            </w:r>
          </w:p>
        </w:tc>
        <w:tc>
          <w:tcPr>
            <w:tcW w:w="1165" w:type="dxa"/>
            <w:tcBorders>
              <w:left w:val="single" w:sz="4" w:space="0" w:color="auto"/>
              <w:right w:val="single" w:sz="4" w:space="0" w:color="auto"/>
            </w:tcBorders>
          </w:tcPr>
          <w:p w14:paraId="0A3EE6A3"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3.13</w:t>
            </w:r>
          </w:p>
        </w:tc>
      </w:tr>
      <w:tr w:rsidR="00C443FC" w:rsidRPr="00C443FC" w14:paraId="58AC62E5" w14:textId="77777777" w:rsidTr="005C0CDD">
        <w:trPr>
          <w:jc w:val="center"/>
        </w:trPr>
        <w:tc>
          <w:tcPr>
            <w:tcW w:w="2586" w:type="dxa"/>
            <w:tcBorders>
              <w:left w:val="single" w:sz="4" w:space="0" w:color="auto"/>
              <w:right w:val="single" w:sz="4" w:space="0" w:color="auto"/>
            </w:tcBorders>
          </w:tcPr>
          <w:p w14:paraId="0F3E51DB" w14:textId="77777777" w:rsidR="00C443FC" w:rsidRPr="00C443FC" w:rsidRDefault="00C443FC" w:rsidP="00C443FC">
            <w:pPr>
              <w:jc w:val="both"/>
              <w:rPr>
                <w:rFonts w:eastAsia="Calibri"/>
                <w:sz w:val="20"/>
                <w:szCs w:val="20"/>
                <w:lang w:eastAsia="en-US"/>
              </w:rPr>
            </w:pPr>
            <w:r w:rsidRPr="00C443FC">
              <w:rPr>
                <w:rFonts w:eastAsia="Calibri"/>
                <w:sz w:val="20"/>
                <w:szCs w:val="20"/>
                <w:lang w:eastAsia="en-US"/>
              </w:rPr>
              <w:t xml:space="preserve">     Mediana</w:t>
            </w:r>
          </w:p>
        </w:tc>
        <w:tc>
          <w:tcPr>
            <w:tcW w:w="1161" w:type="dxa"/>
            <w:tcBorders>
              <w:left w:val="single" w:sz="4" w:space="0" w:color="auto"/>
              <w:right w:val="single" w:sz="4" w:space="0" w:color="auto"/>
            </w:tcBorders>
          </w:tcPr>
          <w:p w14:paraId="64D6FA20"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3.50</w:t>
            </w:r>
          </w:p>
        </w:tc>
        <w:tc>
          <w:tcPr>
            <w:tcW w:w="1161" w:type="dxa"/>
            <w:tcBorders>
              <w:left w:val="single" w:sz="4" w:space="0" w:color="auto"/>
              <w:right w:val="single" w:sz="4" w:space="0" w:color="auto"/>
            </w:tcBorders>
          </w:tcPr>
          <w:p w14:paraId="264686FA"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3.50</w:t>
            </w:r>
          </w:p>
        </w:tc>
        <w:tc>
          <w:tcPr>
            <w:tcW w:w="1194" w:type="dxa"/>
            <w:tcBorders>
              <w:left w:val="single" w:sz="4" w:space="0" w:color="auto"/>
              <w:right w:val="single" w:sz="4" w:space="0" w:color="auto"/>
            </w:tcBorders>
          </w:tcPr>
          <w:p w14:paraId="7AB4E721"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3.10</w:t>
            </w:r>
          </w:p>
        </w:tc>
        <w:tc>
          <w:tcPr>
            <w:tcW w:w="1165" w:type="dxa"/>
            <w:tcBorders>
              <w:left w:val="single" w:sz="4" w:space="0" w:color="auto"/>
              <w:right w:val="single" w:sz="4" w:space="0" w:color="auto"/>
            </w:tcBorders>
          </w:tcPr>
          <w:p w14:paraId="0913D3AE"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3.09</w:t>
            </w:r>
          </w:p>
        </w:tc>
      </w:tr>
      <w:tr w:rsidR="00C443FC" w:rsidRPr="00C443FC" w14:paraId="7045E44D" w14:textId="77777777" w:rsidTr="005C0CDD">
        <w:trPr>
          <w:jc w:val="center"/>
        </w:trPr>
        <w:tc>
          <w:tcPr>
            <w:tcW w:w="2586" w:type="dxa"/>
            <w:tcBorders>
              <w:left w:val="single" w:sz="4" w:space="0" w:color="auto"/>
              <w:right w:val="single" w:sz="4" w:space="0" w:color="auto"/>
            </w:tcBorders>
          </w:tcPr>
          <w:p w14:paraId="685ADD3B" w14:textId="77777777" w:rsidR="00C443FC" w:rsidRPr="00C443FC" w:rsidRDefault="00C443FC" w:rsidP="00C443FC">
            <w:pPr>
              <w:jc w:val="both"/>
              <w:rPr>
                <w:rFonts w:eastAsia="Calibri"/>
                <w:b/>
                <w:sz w:val="20"/>
                <w:szCs w:val="20"/>
                <w:lang w:eastAsia="en-US"/>
              </w:rPr>
            </w:pPr>
            <w:r w:rsidRPr="00C443FC">
              <w:rPr>
                <w:rFonts w:eastAsia="Calibri"/>
                <w:b/>
                <w:sz w:val="20"/>
                <w:szCs w:val="20"/>
                <w:lang w:eastAsia="en-US"/>
              </w:rPr>
              <w:t>Para 2017 (dic.-dic.)</w:t>
            </w:r>
          </w:p>
        </w:tc>
        <w:tc>
          <w:tcPr>
            <w:tcW w:w="1161" w:type="dxa"/>
            <w:tcBorders>
              <w:left w:val="single" w:sz="4" w:space="0" w:color="auto"/>
              <w:right w:val="single" w:sz="4" w:space="0" w:color="auto"/>
            </w:tcBorders>
          </w:tcPr>
          <w:p w14:paraId="00E60BCF" w14:textId="77777777" w:rsidR="00C443FC" w:rsidRPr="00C443FC" w:rsidRDefault="00C443FC" w:rsidP="00C443FC">
            <w:pPr>
              <w:jc w:val="center"/>
              <w:rPr>
                <w:rFonts w:eastAsia="Calibri"/>
                <w:sz w:val="20"/>
                <w:szCs w:val="20"/>
                <w:lang w:eastAsia="en-US"/>
              </w:rPr>
            </w:pPr>
          </w:p>
        </w:tc>
        <w:tc>
          <w:tcPr>
            <w:tcW w:w="1161" w:type="dxa"/>
            <w:tcBorders>
              <w:left w:val="single" w:sz="4" w:space="0" w:color="auto"/>
              <w:right w:val="single" w:sz="4" w:space="0" w:color="auto"/>
            </w:tcBorders>
          </w:tcPr>
          <w:p w14:paraId="145FC2D8" w14:textId="77777777" w:rsidR="00C443FC" w:rsidRPr="00C443FC" w:rsidRDefault="00C443FC" w:rsidP="00C443FC">
            <w:pPr>
              <w:jc w:val="center"/>
              <w:rPr>
                <w:rFonts w:eastAsia="Calibri"/>
                <w:sz w:val="20"/>
                <w:szCs w:val="20"/>
                <w:lang w:eastAsia="en-US"/>
              </w:rPr>
            </w:pPr>
          </w:p>
        </w:tc>
        <w:tc>
          <w:tcPr>
            <w:tcW w:w="1194" w:type="dxa"/>
            <w:tcBorders>
              <w:left w:val="single" w:sz="4" w:space="0" w:color="auto"/>
              <w:right w:val="single" w:sz="4" w:space="0" w:color="auto"/>
            </w:tcBorders>
          </w:tcPr>
          <w:p w14:paraId="38C28640" w14:textId="77777777" w:rsidR="00C443FC" w:rsidRPr="00C443FC" w:rsidRDefault="00C443FC" w:rsidP="00C443FC">
            <w:pPr>
              <w:jc w:val="center"/>
              <w:rPr>
                <w:rFonts w:eastAsia="Calibri"/>
                <w:sz w:val="20"/>
                <w:szCs w:val="20"/>
                <w:lang w:eastAsia="en-US"/>
              </w:rPr>
            </w:pPr>
          </w:p>
        </w:tc>
        <w:tc>
          <w:tcPr>
            <w:tcW w:w="1165" w:type="dxa"/>
            <w:tcBorders>
              <w:left w:val="single" w:sz="4" w:space="0" w:color="auto"/>
              <w:right w:val="single" w:sz="4" w:space="0" w:color="auto"/>
            </w:tcBorders>
          </w:tcPr>
          <w:p w14:paraId="19A529EB" w14:textId="77777777" w:rsidR="00C443FC" w:rsidRPr="00C443FC" w:rsidRDefault="00C443FC" w:rsidP="00C443FC">
            <w:pPr>
              <w:jc w:val="center"/>
              <w:rPr>
                <w:rFonts w:eastAsia="Calibri"/>
                <w:sz w:val="20"/>
                <w:szCs w:val="20"/>
                <w:lang w:eastAsia="en-US"/>
              </w:rPr>
            </w:pPr>
          </w:p>
        </w:tc>
      </w:tr>
      <w:tr w:rsidR="00C443FC" w:rsidRPr="00C443FC" w14:paraId="679039C1" w14:textId="77777777" w:rsidTr="005C0CDD">
        <w:trPr>
          <w:jc w:val="center"/>
        </w:trPr>
        <w:tc>
          <w:tcPr>
            <w:tcW w:w="2586" w:type="dxa"/>
            <w:tcBorders>
              <w:left w:val="single" w:sz="4" w:space="0" w:color="auto"/>
              <w:right w:val="single" w:sz="4" w:space="0" w:color="auto"/>
            </w:tcBorders>
          </w:tcPr>
          <w:p w14:paraId="44544633" w14:textId="77777777" w:rsidR="00C443FC" w:rsidRPr="00C443FC" w:rsidRDefault="00C443FC" w:rsidP="00C443FC">
            <w:pPr>
              <w:jc w:val="both"/>
              <w:rPr>
                <w:rFonts w:eastAsia="Calibri"/>
                <w:sz w:val="20"/>
                <w:szCs w:val="20"/>
                <w:lang w:eastAsia="en-US"/>
              </w:rPr>
            </w:pPr>
            <w:r w:rsidRPr="00C443FC">
              <w:rPr>
                <w:rFonts w:eastAsia="Calibri"/>
                <w:sz w:val="20"/>
                <w:szCs w:val="20"/>
                <w:lang w:eastAsia="en-US"/>
              </w:rPr>
              <w:t xml:space="preserve">     Media</w:t>
            </w:r>
          </w:p>
        </w:tc>
        <w:tc>
          <w:tcPr>
            <w:tcW w:w="1161" w:type="dxa"/>
            <w:tcBorders>
              <w:left w:val="single" w:sz="4" w:space="0" w:color="auto"/>
              <w:right w:val="single" w:sz="4" w:space="0" w:color="auto"/>
            </w:tcBorders>
          </w:tcPr>
          <w:p w14:paraId="7015DF7A"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3.47</w:t>
            </w:r>
          </w:p>
        </w:tc>
        <w:tc>
          <w:tcPr>
            <w:tcW w:w="1161" w:type="dxa"/>
            <w:tcBorders>
              <w:left w:val="single" w:sz="4" w:space="0" w:color="auto"/>
              <w:right w:val="single" w:sz="4" w:space="0" w:color="auto"/>
            </w:tcBorders>
          </w:tcPr>
          <w:p w14:paraId="122B3A11"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3.47</w:t>
            </w:r>
          </w:p>
        </w:tc>
        <w:tc>
          <w:tcPr>
            <w:tcW w:w="1194" w:type="dxa"/>
            <w:tcBorders>
              <w:left w:val="single" w:sz="4" w:space="0" w:color="auto"/>
              <w:right w:val="single" w:sz="4" w:space="0" w:color="auto"/>
            </w:tcBorders>
          </w:tcPr>
          <w:p w14:paraId="1F5F63A3"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3.15</w:t>
            </w:r>
          </w:p>
        </w:tc>
        <w:tc>
          <w:tcPr>
            <w:tcW w:w="1165" w:type="dxa"/>
            <w:tcBorders>
              <w:left w:val="single" w:sz="4" w:space="0" w:color="auto"/>
              <w:right w:val="single" w:sz="4" w:space="0" w:color="auto"/>
            </w:tcBorders>
          </w:tcPr>
          <w:p w14:paraId="297E264E"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3.12</w:t>
            </w:r>
          </w:p>
        </w:tc>
      </w:tr>
      <w:tr w:rsidR="00C443FC" w:rsidRPr="00C443FC" w14:paraId="659549B6" w14:textId="77777777" w:rsidTr="005C0CDD">
        <w:trPr>
          <w:jc w:val="center"/>
        </w:trPr>
        <w:tc>
          <w:tcPr>
            <w:tcW w:w="2586" w:type="dxa"/>
            <w:tcBorders>
              <w:left w:val="single" w:sz="4" w:space="0" w:color="auto"/>
              <w:bottom w:val="single" w:sz="4" w:space="0" w:color="auto"/>
              <w:right w:val="single" w:sz="4" w:space="0" w:color="auto"/>
            </w:tcBorders>
          </w:tcPr>
          <w:p w14:paraId="23047C87" w14:textId="77777777" w:rsidR="00C443FC" w:rsidRPr="00C443FC" w:rsidRDefault="00C443FC" w:rsidP="00C443FC">
            <w:pPr>
              <w:jc w:val="both"/>
              <w:rPr>
                <w:rFonts w:eastAsia="Calibri"/>
                <w:sz w:val="20"/>
                <w:szCs w:val="20"/>
                <w:lang w:eastAsia="en-US"/>
              </w:rPr>
            </w:pPr>
            <w:r w:rsidRPr="00C443FC">
              <w:rPr>
                <w:rFonts w:eastAsia="Calibri"/>
                <w:sz w:val="20"/>
                <w:szCs w:val="20"/>
                <w:lang w:eastAsia="en-US"/>
              </w:rPr>
              <w:t xml:space="preserve">     Mediana</w:t>
            </w:r>
          </w:p>
        </w:tc>
        <w:tc>
          <w:tcPr>
            <w:tcW w:w="1161" w:type="dxa"/>
            <w:tcBorders>
              <w:left w:val="single" w:sz="4" w:space="0" w:color="auto"/>
              <w:bottom w:val="single" w:sz="4" w:space="0" w:color="auto"/>
              <w:right w:val="single" w:sz="4" w:space="0" w:color="auto"/>
            </w:tcBorders>
          </w:tcPr>
          <w:p w14:paraId="7E2A1198"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3.50</w:t>
            </w:r>
          </w:p>
        </w:tc>
        <w:tc>
          <w:tcPr>
            <w:tcW w:w="1161" w:type="dxa"/>
            <w:tcBorders>
              <w:left w:val="single" w:sz="4" w:space="0" w:color="auto"/>
              <w:bottom w:val="single" w:sz="4" w:space="0" w:color="auto"/>
              <w:right w:val="single" w:sz="4" w:space="0" w:color="auto"/>
            </w:tcBorders>
          </w:tcPr>
          <w:p w14:paraId="2EF1EA28"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3.50</w:t>
            </w:r>
          </w:p>
        </w:tc>
        <w:tc>
          <w:tcPr>
            <w:tcW w:w="1194" w:type="dxa"/>
            <w:tcBorders>
              <w:left w:val="single" w:sz="4" w:space="0" w:color="auto"/>
              <w:bottom w:val="single" w:sz="4" w:space="0" w:color="auto"/>
              <w:right w:val="single" w:sz="4" w:space="0" w:color="auto"/>
            </w:tcBorders>
          </w:tcPr>
          <w:p w14:paraId="11B0D6C7"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3.10</w:t>
            </w:r>
          </w:p>
        </w:tc>
        <w:tc>
          <w:tcPr>
            <w:tcW w:w="1165" w:type="dxa"/>
            <w:tcBorders>
              <w:left w:val="single" w:sz="4" w:space="0" w:color="auto"/>
              <w:bottom w:val="single" w:sz="4" w:space="0" w:color="auto"/>
              <w:right w:val="single" w:sz="4" w:space="0" w:color="auto"/>
            </w:tcBorders>
          </w:tcPr>
          <w:p w14:paraId="482C4664"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3.10</w:t>
            </w:r>
          </w:p>
        </w:tc>
      </w:tr>
      <w:tr w:rsidR="00C443FC" w:rsidRPr="00C443FC" w14:paraId="5ECA6D8B" w14:textId="77777777" w:rsidTr="007B7E95">
        <w:trPr>
          <w:jc w:val="center"/>
        </w:trPr>
        <w:tc>
          <w:tcPr>
            <w:tcW w:w="7267" w:type="dxa"/>
            <w:gridSpan w:val="5"/>
            <w:tcBorders>
              <w:left w:val="nil"/>
              <w:bottom w:val="nil"/>
              <w:right w:val="nil"/>
            </w:tcBorders>
          </w:tcPr>
          <w:p w14:paraId="2B39ADB9" w14:textId="77777777" w:rsidR="00C443FC" w:rsidRPr="00C443FC" w:rsidRDefault="00C443FC" w:rsidP="00C443FC">
            <w:pPr>
              <w:jc w:val="both"/>
              <w:rPr>
                <w:rFonts w:eastAsia="Calibri"/>
                <w:sz w:val="20"/>
                <w:szCs w:val="20"/>
                <w:lang w:eastAsia="en-US"/>
              </w:rPr>
            </w:pPr>
            <w:r w:rsidRPr="00C443FC">
              <w:rPr>
                <w:rFonts w:eastAsia="Calibri"/>
                <w:sz w:val="20"/>
                <w:szCs w:val="20"/>
                <w:lang w:eastAsia="en-US"/>
              </w:rPr>
              <w:t>FUENTE: Banco de México.</w:t>
            </w:r>
          </w:p>
        </w:tc>
      </w:tr>
    </w:tbl>
    <w:p w14:paraId="16D95773" w14:textId="77777777" w:rsidR="00C443FC" w:rsidRPr="00C443FC" w:rsidRDefault="00C443FC" w:rsidP="00C443FC">
      <w:pPr>
        <w:spacing w:after="360" w:line="360" w:lineRule="auto"/>
        <w:ind w:right="-159"/>
        <w:jc w:val="both"/>
        <w:rPr>
          <w:rFonts w:eastAsia="Calibri"/>
          <w:sz w:val="26"/>
          <w:szCs w:val="26"/>
          <w:lang w:eastAsia="en-US"/>
        </w:rPr>
      </w:pPr>
    </w:p>
    <w:tbl>
      <w:tblPr>
        <w:tblW w:w="0" w:type="auto"/>
        <w:jc w:val="center"/>
        <w:tblLook w:val="04A0" w:firstRow="1" w:lastRow="0" w:firstColumn="1" w:lastColumn="0" w:noHBand="0" w:noVBand="1"/>
      </w:tblPr>
      <w:tblGrid>
        <w:gridCol w:w="701"/>
        <w:gridCol w:w="1340"/>
        <w:gridCol w:w="1194"/>
        <w:gridCol w:w="1167"/>
        <w:gridCol w:w="34"/>
        <w:gridCol w:w="1017"/>
        <w:gridCol w:w="177"/>
        <w:gridCol w:w="963"/>
      </w:tblGrid>
      <w:tr w:rsidR="00C443FC" w:rsidRPr="00C443FC" w14:paraId="21202BE0" w14:textId="77777777" w:rsidTr="005B2CE5">
        <w:trPr>
          <w:jc w:val="center"/>
        </w:trPr>
        <w:tc>
          <w:tcPr>
            <w:tcW w:w="6593" w:type="dxa"/>
            <w:gridSpan w:val="8"/>
            <w:tcBorders>
              <w:top w:val="nil"/>
              <w:left w:val="nil"/>
              <w:bottom w:val="single" w:sz="4" w:space="0" w:color="auto"/>
              <w:right w:val="nil"/>
            </w:tcBorders>
          </w:tcPr>
          <w:p w14:paraId="2AFC841C" w14:textId="77777777" w:rsidR="00C443FC" w:rsidRPr="00C443FC" w:rsidRDefault="00C443FC" w:rsidP="00C443FC">
            <w:pPr>
              <w:jc w:val="center"/>
              <w:rPr>
                <w:rFonts w:eastAsia="Calibri"/>
                <w:b/>
                <w:sz w:val="22"/>
                <w:szCs w:val="22"/>
                <w:lang w:eastAsia="en-US"/>
              </w:rPr>
            </w:pPr>
            <w:r w:rsidRPr="00C443FC">
              <w:rPr>
                <w:rFonts w:eastAsia="Calibri"/>
                <w:b/>
                <w:sz w:val="22"/>
                <w:szCs w:val="22"/>
                <w:lang w:eastAsia="en-US"/>
              </w:rPr>
              <w:t>EXPECTATIVAS DE INFLACIÓN MENSUAL</w:t>
            </w:r>
          </w:p>
          <w:p w14:paraId="3464FBE4" w14:textId="77777777" w:rsidR="00C443FC" w:rsidRPr="00C443FC" w:rsidRDefault="00C443FC" w:rsidP="00C443FC">
            <w:pPr>
              <w:jc w:val="center"/>
              <w:rPr>
                <w:rFonts w:eastAsia="Calibri"/>
                <w:b/>
                <w:sz w:val="22"/>
                <w:szCs w:val="22"/>
                <w:lang w:eastAsia="en-US"/>
              </w:rPr>
            </w:pPr>
            <w:r w:rsidRPr="00C443FC">
              <w:rPr>
                <w:rFonts w:eastAsia="Calibri"/>
                <w:b/>
                <w:sz w:val="22"/>
                <w:szCs w:val="22"/>
                <w:lang w:eastAsia="en-US"/>
              </w:rPr>
              <w:t>-Por ciento-</w:t>
            </w:r>
          </w:p>
        </w:tc>
      </w:tr>
      <w:tr w:rsidR="00C443FC" w:rsidRPr="00C443FC" w14:paraId="41F0CBEE" w14:textId="77777777" w:rsidTr="005B2CE5">
        <w:trPr>
          <w:jc w:val="center"/>
        </w:trPr>
        <w:tc>
          <w:tcPr>
            <w:tcW w:w="2041" w:type="dxa"/>
            <w:gridSpan w:val="2"/>
            <w:vMerge w:val="restart"/>
            <w:tcBorders>
              <w:top w:val="single" w:sz="4" w:space="0" w:color="auto"/>
              <w:left w:val="single" w:sz="4" w:space="0" w:color="auto"/>
              <w:bottom w:val="single" w:sz="4" w:space="0" w:color="auto"/>
              <w:right w:val="single" w:sz="4" w:space="0" w:color="auto"/>
            </w:tcBorders>
          </w:tcPr>
          <w:p w14:paraId="6A40063E" w14:textId="77777777" w:rsidR="00C443FC" w:rsidRPr="00C443FC" w:rsidRDefault="00C443FC" w:rsidP="00C443FC">
            <w:pPr>
              <w:jc w:val="center"/>
              <w:rPr>
                <w:rFonts w:eastAsia="Calibri"/>
                <w:b/>
                <w:sz w:val="20"/>
                <w:szCs w:val="20"/>
                <w:lang w:eastAsia="en-US"/>
              </w:rPr>
            </w:pPr>
          </w:p>
        </w:tc>
        <w:tc>
          <w:tcPr>
            <w:tcW w:w="2395" w:type="dxa"/>
            <w:gridSpan w:val="3"/>
            <w:tcBorders>
              <w:top w:val="single" w:sz="4" w:space="0" w:color="auto"/>
              <w:left w:val="single" w:sz="4" w:space="0" w:color="auto"/>
              <w:bottom w:val="single" w:sz="4" w:space="0" w:color="auto"/>
              <w:right w:val="single" w:sz="4" w:space="0" w:color="auto"/>
            </w:tcBorders>
          </w:tcPr>
          <w:p w14:paraId="353C5882"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Media</w:t>
            </w:r>
          </w:p>
        </w:tc>
        <w:tc>
          <w:tcPr>
            <w:tcW w:w="2157" w:type="dxa"/>
            <w:gridSpan w:val="3"/>
            <w:tcBorders>
              <w:top w:val="single" w:sz="4" w:space="0" w:color="auto"/>
              <w:left w:val="single" w:sz="4" w:space="0" w:color="auto"/>
              <w:bottom w:val="single" w:sz="4" w:space="0" w:color="auto"/>
              <w:right w:val="single" w:sz="4" w:space="0" w:color="auto"/>
            </w:tcBorders>
          </w:tcPr>
          <w:p w14:paraId="671C40DA"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Mediana</w:t>
            </w:r>
          </w:p>
        </w:tc>
      </w:tr>
      <w:tr w:rsidR="00C443FC" w:rsidRPr="00C443FC" w14:paraId="34992FFE" w14:textId="77777777" w:rsidTr="005B2CE5">
        <w:trPr>
          <w:trHeight w:val="290"/>
          <w:jc w:val="center"/>
        </w:trPr>
        <w:tc>
          <w:tcPr>
            <w:tcW w:w="2041" w:type="dxa"/>
            <w:gridSpan w:val="2"/>
            <w:vMerge/>
            <w:tcBorders>
              <w:top w:val="single" w:sz="4" w:space="0" w:color="auto"/>
              <w:left w:val="single" w:sz="4" w:space="0" w:color="auto"/>
              <w:bottom w:val="single" w:sz="4" w:space="0" w:color="auto"/>
              <w:right w:val="single" w:sz="4" w:space="0" w:color="auto"/>
            </w:tcBorders>
          </w:tcPr>
          <w:p w14:paraId="4DCC300B" w14:textId="77777777" w:rsidR="00C443FC" w:rsidRPr="00C443FC" w:rsidRDefault="00C443FC" w:rsidP="00C443FC">
            <w:pPr>
              <w:jc w:val="center"/>
              <w:rPr>
                <w:rFonts w:eastAsia="Calibri"/>
                <w:b/>
                <w:sz w:val="20"/>
                <w:szCs w:val="20"/>
                <w:lang w:eastAsia="en-US"/>
              </w:rPr>
            </w:pPr>
          </w:p>
        </w:tc>
        <w:tc>
          <w:tcPr>
            <w:tcW w:w="2395" w:type="dxa"/>
            <w:gridSpan w:val="3"/>
            <w:tcBorders>
              <w:top w:val="single" w:sz="4" w:space="0" w:color="auto"/>
              <w:left w:val="single" w:sz="4" w:space="0" w:color="auto"/>
              <w:bottom w:val="single" w:sz="4" w:space="0" w:color="auto"/>
              <w:right w:val="single" w:sz="4" w:space="0" w:color="auto"/>
            </w:tcBorders>
          </w:tcPr>
          <w:p w14:paraId="2D5BF3E2"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Encuesta</w:t>
            </w:r>
          </w:p>
        </w:tc>
        <w:tc>
          <w:tcPr>
            <w:tcW w:w="2157" w:type="dxa"/>
            <w:gridSpan w:val="3"/>
            <w:tcBorders>
              <w:top w:val="single" w:sz="4" w:space="0" w:color="auto"/>
              <w:left w:val="single" w:sz="4" w:space="0" w:color="auto"/>
              <w:bottom w:val="single" w:sz="4" w:space="0" w:color="auto"/>
              <w:right w:val="single" w:sz="4" w:space="0" w:color="auto"/>
            </w:tcBorders>
          </w:tcPr>
          <w:p w14:paraId="3BA7EF6E"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Encuesta</w:t>
            </w:r>
          </w:p>
        </w:tc>
      </w:tr>
      <w:tr w:rsidR="00C443FC" w:rsidRPr="00C443FC" w14:paraId="7B3E9F60" w14:textId="77777777" w:rsidTr="005B2CE5">
        <w:trPr>
          <w:jc w:val="center"/>
        </w:trPr>
        <w:tc>
          <w:tcPr>
            <w:tcW w:w="2041" w:type="dxa"/>
            <w:gridSpan w:val="2"/>
            <w:vMerge/>
            <w:tcBorders>
              <w:top w:val="single" w:sz="4" w:space="0" w:color="auto"/>
              <w:left w:val="single" w:sz="4" w:space="0" w:color="auto"/>
              <w:bottom w:val="single" w:sz="4" w:space="0" w:color="auto"/>
              <w:right w:val="single" w:sz="4" w:space="0" w:color="auto"/>
            </w:tcBorders>
          </w:tcPr>
          <w:p w14:paraId="73D305BA" w14:textId="77777777" w:rsidR="00C443FC" w:rsidRPr="00C443FC" w:rsidRDefault="00C443FC" w:rsidP="00C443FC">
            <w:pPr>
              <w:jc w:val="center"/>
              <w:rPr>
                <w:rFonts w:eastAsia="Calibri"/>
                <w:b/>
                <w:sz w:val="20"/>
                <w:szCs w:val="20"/>
                <w:lang w:eastAsia="en-US"/>
              </w:rPr>
            </w:pPr>
          </w:p>
        </w:tc>
        <w:tc>
          <w:tcPr>
            <w:tcW w:w="1194" w:type="dxa"/>
            <w:tcBorders>
              <w:top w:val="single" w:sz="4" w:space="0" w:color="auto"/>
              <w:left w:val="single" w:sz="4" w:space="0" w:color="auto"/>
              <w:bottom w:val="single" w:sz="4" w:space="0" w:color="auto"/>
              <w:right w:val="single" w:sz="4" w:space="0" w:color="auto"/>
            </w:tcBorders>
          </w:tcPr>
          <w:p w14:paraId="018FA457"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Enero</w:t>
            </w:r>
          </w:p>
        </w:tc>
        <w:tc>
          <w:tcPr>
            <w:tcW w:w="1201" w:type="dxa"/>
            <w:gridSpan w:val="2"/>
            <w:tcBorders>
              <w:top w:val="single" w:sz="4" w:space="0" w:color="auto"/>
              <w:left w:val="single" w:sz="4" w:space="0" w:color="auto"/>
              <w:bottom w:val="single" w:sz="4" w:space="0" w:color="auto"/>
              <w:right w:val="single" w:sz="4" w:space="0" w:color="auto"/>
            </w:tcBorders>
          </w:tcPr>
          <w:p w14:paraId="7EA04324"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Febrero</w:t>
            </w:r>
          </w:p>
        </w:tc>
        <w:tc>
          <w:tcPr>
            <w:tcW w:w="1194" w:type="dxa"/>
            <w:gridSpan w:val="2"/>
            <w:tcBorders>
              <w:top w:val="single" w:sz="4" w:space="0" w:color="auto"/>
              <w:left w:val="single" w:sz="4" w:space="0" w:color="auto"/>
              <w:bottom w:val="single" w:sz="4" w:space="0" w:color="auto"/>
              <w:right w:val="single" w:sz="4" w:space="0" w:color="auto"/>
            </w:tcBorders>
          </w:tcPr>
          <w:p w14:paraId="653CBC5B"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Enero</w:t>
            </w:r>
          </w:p>
        </w:tc>
        <w:tc>
          <w:tcPr>
            <w:tcW w:w="963" w:type="dxa"/>
            <w:tcBorders>
              <w:top w:val="single" w:sz="4" w:space="0" w:color="auto"/>
              <w:left w:val="single" w:sz="4" w:space="0" w:color="auto"/>
              <w:bottom w:val="single" w:sz="4" w:space="0" w:color="auto"/>
              <w:right w:val="single" w:sz="4" w:space="0" w:color="auto"/>
            </w:tcBorders>
          </w:tcPr>
          <w:p w14:paraId="6612D33C"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Febrero</w:t>
            </w:r>
          </w:p>
        </w:tc>
      </w:tr>
      <w:tr w:rsidR="00C443FC" w:rsidRPr="00C443FC" w14:paraId="36F5D544" w14:textId="77777777" w:rsidTr="005B2CE5">
        <w:trPr>
          <w:jc w:val="center"/>
        </w:trPr>
        <w:tc>
          <w:tcPr>
            <w:tcW w:w="2041" w:type="dxa"/>
            <w:gridSpan w:val="2"/>
            <w:tcBorders>
              <w:top w:val="single" w:sz="4" w:space="0" w:color="auto"/>
              <w:left w:val="single" w:sz="4" w:space="0" w:color="auto"/>
              <w:bottom w:val="single" w:sz="4" w:space="0" w:color="auto"/>
              <w:right w:val="single" w:sz="4" w:space="0" w:color="auto"/>
            </w:tcBorders>
          </w:tcPr>
          <w:p w14:paraId="2C752C5F" w14:textId="77777777" w:rsidR="00C443FC" w:rsidRPr="00C443FC" w:rsidRDefault="00C443FC" w:rsidP="00C443FC">
            <w:pPr>
              <w:jc w:val="both"/>
              <w:rPr>
                <w:rFonts w:eastAsia="Calibri"/>
                <w:sz w:val="20"/>
                <w:szCs w:val="20"/>
                <w:lang w:eastAsia="en-US"/>
              </w:rPr>
            </w:pPr>
            <w:r w:rsidRPr="00C443FC">
              <w:rPr>
                <w:rFonts w:eastAsia="Calibri"/>
                <w:b/>
                <w:sz w:val="20"/>
                <w:szCs w:val="20"/>
                <w:lang w:eastAsia="en-US"/>
              </w:rPr>
              <w:t>Inflación General</w:t>
            </w:r>
          </w:p>
        </w:tc>
        <w:tc>
          <w:tcPr>
            <w:tcW w:w="4552" w:type="dxa"/>
            <w:gridSpan w:val="6"/>
            <w:tcBorders>
              <w:top w:val="single" w:sz="4" w:space="0" w:color="auto"/>
              <w:left w:val="single" w:sz="4" w:space="0" w:color="auto"/>
              <w:bottom w:val="single" w:sz="4" w:space="0" w:color="auto"/>
              <w:right w:val="single" w:sz="4" w:space="0" w:color="auto"/>
            </w:tcBorders>
          </w:tcPr>
          <w:p w14:paraId="26341427" w14:textId="77777777" w:rsidR="00C443FC" w:rsidRPr="00C443FC" w:rsidRDefault="00C443FC" w:rsidP="00C443FC">
            <w:pPr>
              <w:jc w:val="both"/>
              <w:rPr>
                <w:rFonts w:eastAsia="Calibri"/>
                <w:sz w:val="20"/>
                <w:szCs w:val="20"/>
                <w:lang w:eastAsia="en-US"/>
              </w:rPr>
            </w:pPr>
          </w:p>
        </w:tc>
      </w:tr>
      <w:tr w:rsidR="00D7095B" w:rsidRPr="00C443FC" w14:paraId="77921A60" w14:textId="77777777" w:rsidTr="005B2CE5">
        <w:trPr>
          <w:jc w:val="center"/>
        </w:trPr>
        <w:tc>
          <w:tcPr>
            <w:tcW w:w="701" w:type="dxa"/>
            <w:vMerge w:val="restart"/>
            <w:tcBorders>
              <w:top w:val="single" w:sz="4" w:space="0" w:color="auto"/>
              <w:left w:val="single" w:sz="4" w:space="0" w:color="auto"/>
              <w:right w:val="single" w:sz="4" w:space="0" w:color="auto"/>
            </w:tcBorders>
            <w:vAlign w:val="center"/>
          </w:tcPr>
          <w:p w14:paraId="100354EB" w14:textId="77777777" w:rsidR="00D7095B" w:rsidRPr="00C443FC" w:rsidRDefault="00D7095B" w:rsidP="00C443FC">
            <w:pPr>
              <w:jc w:val="center"/>
              <w:rPr>
                <w:rFonts w:eastAsia="Calibri"/>
                <w:b/>
                <w:sz w:val="20"/>
                <w:szCs w:val="20"/>
                <w:lang w:eastAsia="en-US"/>
              </w:rPr>
            </w:pPr>
            <w:r w:rsidRPr="00C443FC">
              <w:rPr>
                <w:rFonts w:eastAsia="Calibri"/>
                <w:b/>
                <w:sz w:val="20"/>
                <w:szCs w:val="20"/>
                <w:lang w:eastAsia="en-US"/>
              </w:rPr>
              <w:t>2015</w:t>
            </w:r>
          </w:p>
        </w:tc>
        <w:tc>
          <w:tcPr>
            <w:tcW w:w="1340" w:type="dxa"/>
            <w:tcBorders>
              <w:top w:val="single" w:sz="4" w:space="0" w:color="auto"/>
              <w:left w:val="single" w:sz="4" w:space="0" w:color="auto"/>
              <w:bottom w:val="nil"/>
              <w:right w:val="single" w:sz="4" w:space="0" w:color="auto"/>
            </w:tcBorders>
          </w:tcPr>
          <w:p w14:paraId="6ADD6C39" w14:textId="77777777" w:rsidR="00D7095B" w:rsidRPr="00C443FC" w:rsidRDefault="00D7095B" w:rsidP="00C443FC">
            <w:pPr>
              <w:jc w:val="center"/>
              <w:rPr>
                <w:rFonts w:eastAsia="Calibri"/>
                <w:b/>
                <w:sz w:val="20"/>
                <w:szCs w:val="20"/>
                <w:lang w:eastAsia="en-US"/>
              </w:rPr>
            </w:pPr>
            <w:r w:rsidRPr="00C443FC">
              <w:rPr>
                <w:rFonts w:eastAsia="Calibri"/>
                <w:b/>
                <w:sz w:val="20"/>
                <w:szCs w:val="20"/>
                <w:lang w:eastAsia="en-US"/>
              </w:rPr>
              <w:t>Feb.</w:t>
            </w:r>
          </w:p>
        </w:tc>
        <w:tc>
          <w:tcPr>
            <w:tcW w:w="1194" w:type="dxa"/>
            <w:tcBorders>
              <w:top w:val="single" w:sz="4" w:space="0" w:color="auto"/>
              <w:left w:val="single" w:sz="4" w:space="0" w:color="auto"/>
              <w:bottom w:val="nil"/>
              <w:right w:val="single" w:sz="4" w:space="0" w:color="auto"/>
            </w:tcBorders>
          </w:tcPr>
          <w:p w14:paraId="4B8DB108" w14:textId="77777777" w:rsidR="00D7095B" w:rsidRPr="00C443FC" w:rsidRDefault="00D7095B" w:rsidP="00C443FC">
            <w:pPr>
              <w:ind w:right="284"/>
              <w:jc w:val="right"/>
              <w:rPr>
                <w:rFonts w:eastAsia="Calibri"/>
                <w:sz w:val="20"/>
                <w:szCs w:val="20"/>
                <w:lang w:eastAsia="en-US"/>
              </w:rPr>
            </w:pPr>
            <w:r w:rsidRPr="00C443FC">
              <w:rPr>
                <w:rFonts w:eastAsia="Calibri"/>
                <w:sz w:val="20"/>
                <w:szCs w:val="20"/>
                <w:lang w:eastAsia="en-US"/>
              </w:rPr>
              <w:t>0.33</w:t>
            </w:r>
          </w:p>
        </w:tc>
        <w:tc>
          <w:tcPr>
            <w:tcW w:w="1201" w:type="dxa"/>
            <w:gridSpan w:val="2"/>
            <w:tcBorders>
              <w:top w:val="single" w:sz="4" w:space="0" w:color="auto"/>
              <w:left w:val="single" w:sz="4" w:space="0" w:color="auto"/>
              <w:bottom w:val="nil"/>
              <w:right w:val="single" w:sz="4" w:space="0" w:color="auto"/>
            </w:tcBorders>
          </w:tcPr>
          <w:p w14:paraId="15CD5028" w14:textId="77777777" w:rsidR="00D7095B" w:rsidRPr="00C443FC" w:rsidRDefault="00D7095B" w:rsidP="00C443FC">
            <w:pPr>
              <w:ind w:right="284"/>
              <w:jc w:val="right"/>
              <w:rPr>
                <w:rFonts w:eastAsia="Calibri"/>
                <w:sz w:val="20"/>
                <w:szCs w:val="20"/>
                <w:lang w:eastAsia="en-US"/>
              </w:rPr>
            </w:pPr>
            <w:r w:rsidRPr="00C443FC">
              <w:rPr>
                <w:rFonts w:eastAsia="Calibri"/>
                <w:sz w:val="20"/>
                <w:szCs w:val="20"/>
                <w:lang w:eastAsia="en-US"/>
              </w:rPr>
              <w:t>0.23</w:t>
            </w:r>
          </w:p>
        </w:tc>
        <w:tc>
          <w:tcPr>
            <w:tcW w:w="1017" w:type="dxa"/>
            <w:tcBorders>
              <w:top w:val="single" w:sz="4" w:space="0" w:color="auto"/>
              <w:left w:val="single" w:sz="4" w:space="0" w:color="auto"/>
              <w:bottom w:val="nil"/>
              <w:right w:val="single" w:sz="4" w:space="0" w:color="auto"/>
            </w:tcBorders>
          </w:tcPr>
          <w:p w14:paraId="0088D69E" w14:textId="77777777" w:rsidR="00D7095B" w:rsidRPr="00C443FC" w:rsidRDefault="00D7095B" w:rsidP="00C443FC">
            <w:pPr>
              <w:ind w:right="284"/>
              <w:jc w:val="right"/>
              <w:rPr>
                <w:rFonts w:eastAsia="Calibri"/>
                <w:sz w:val="20"/>
                <w:szCs w:val="20"/>
                <w:lang w:eastAsia="en-US"/>
              </w:rPr>
            </w:pPr>
            <w:r w:rsidRPr="00C443FC">
              <w:rPr>
                <w:rFonts w:eastAsia="Calibri"/>
                <w:sz w:val="20"/>
                <w:szCs w:val="20"/>
                <w:lang w:eastAsia="en-US"/>
              </w:rPr>
              <w:t>0.29</w:t>
            </w:r>
          </w:p>
        </w:tc>
        <w:tc>
          <w:tcPr>
            <w:tcW w:w="1140" w:type="dxa"/>
            <w:gridSpan w:val="2"/>
            <w:tcBorders>
              <w:top w:val="single" w:sz="4" w:space="0" w:color="auto"/>
              <w:left w:val="single" w:sz="4" w:space="0" w:color="auto"/>
              <w:bottom w:val="nil"/>
              <w:right w:val="single" w:sz="4" w:space="0" w:color="auto"/>
            </w:tcBorders>
          </w:tcPr>
          <w:p w14:paraId="1C9E14D6" w14:textId="77777777" w:rsidR="00D7095B" w:rsidRPr="00C443FC" w:rsidRDefault="00D7095B" w:rsidP="00C443FC">
            <w:pPr>
              <w:ind w:right="284"/>
              <w:jc w:val="right"/>
              <w:rPr>
                <w:rFonts w:eastAsia="Calibri"/>
                <w:sz w:val="20"/>
                <w:szCs w:val="20"/>
                <w:lang w:eastAsia="en-US"/>
              </w:rPr>
            </w:pPr>
            <w:r w:rsidRPr="00C443FC">
              <w:rPr>
                <w:rFonts w:eastAsia="Calibri"/>
                <w:sz w:val="20"/>
                <w:szCs w:val="20"/>
                <w:lang w:eastAsia="en-US"/>
              </w:rPr>
              <w:t>0.22</w:t>
            </w:r>
          </w:p>
        </w:tc>
      </w:tr>
      <w:tr w:rsidR="00D7095B" w:rsidRPr="00C443FC" w14:paraId="2C538276" w14:textId="77777777" w:rsidTr="005B2CE5">
        <w:trPr>
          <w:jc w:val="center"/>
        </w:trPr>
        <w:tc>
          <w:tcPr>
            <w:tcW w:w="701" w:type="dxa"/>
            <w:vMerge/>
            <w:tcBorders>
              <w:left w:val="single" w:sz="4" w:space="0" w:color="auto"/>
              <w:right w:val="single" w:sz="4" w:space="0" w:color="auto"/>
            </w:tcBorders>
            <w:vAlign w:val="center"/>
          </w:tcPr>
          <w:p w14:paraId="3B0AC8E7" w14:textId="77777777" w:rsidR="00D7095B" w:rsidRPr="00C443FC" w:rsidRDefault="00D7095B" w:rsidP="00C443FC">
            <w:pPr>
              <w:jc w:val="center"/>
              <w:rPr>
                <w:rFonts w:eastAsia="Calibri"/>
                <w:b/>
                <w:sz w:val="20"/>
                <w:szCs w:val="20"/>
                <w:lang w:eastAsia="en-US"/>
              </w:rPr>
            </w:pPr>
          </w:p>
        </w:tc>
        <w:tc>
          <w:tcPr>
            <w:tcW w:w="1340" w:type="dxa"/>
            <w:tcBorders>
              <w:top w:val="nil"/>
              <w:left w:val="single" w:sz="4" w:space="0" w:color="auto"/>
              <w:bottom w:val="nil"/>
              <w:right w:val="single" w:sz="4" w:space="0" w:color="auto"/>
            </w:tcBorders>
          </w:tcPr>
          <w:p w14:paraId="27CA1711" w14:textId="77777777" w:rsidR="00D7095B" w:rsidRPr="00C443FC" w:rsidRDefault="00D7095B" w:rsidP="00C443FC">
            <w:pPr>
              <w:jc w:val="center"/>
              <w:rPr>
                <w:rFonts w:eastAsia="Calibri"/>
                <w:b/>
                <w:sz w:val="20"/>
                <w:szCs w:val="20"/>
                <w:lang w:eastAsia="en-US"/>
              </w:rPr>
            </w:pPr>
            <w:r w:rsidRPr="00C443FC">
              <w:rPr>
                <w:rFonts w:eastAsia="Calibri"/>
                <w:b/>
                <w:sz w:val="20"/>
                <w:szCs w:val="20"/>
                <w:lang w:eastAsia="en-US"/>
              </w:rPr>
              <w:t>Mar.</w:t>
            </w:r>
          </w:p>
        </w:tc>
        <w:tc>
          <w:tcPr>
            <w:tcW w:w="1194" w:type="dxa"/>
            <w:tcBorders>
              <w:top w:val="nil"/>
              <w:left w:val="single" w:sz="4" w:space="0" w:color="auto"/>
              <w:bottom w:val="nil"/>
              <w:right w:val="single" w:sz="4" w:space="0" w:color="auto"/>
            </w:tcBorders>
          </w:tcPr>
          <w:p w14:paraId="0EE3B627" w14:textId="77777777" w:rsidR="00D7095B" w:rsidRPr="00C443FC" w:rsidRDefault="00D7095B" w:rsidP="00C443FC">
            <w:pPr>
              <w:ind w:right="284"/>
              <w:jc w:val="right"/>
              <w:rPr>
                <w:rFonts w:eastAsia="Calibri"/>
                <w:sz w:val="20"/>
                <w:szCs w:val="20"/>
                <w:lang w:eastAsia="en-US"/>
              </w:rPr>
            </w:pPr>
            <w:r w:rsidRPr="00C443FC">
              <w:rPr>
                <w:rFonts w:eastAsia="Calibri"/>
                <w:sz w:val="20"/>
                <w:szCs w:val="20"/>
                <w:lang w:eastAsia="en-US"/>
              </w:rPr>
              <w:t>0.31</w:t>
            </w:r>
          </w:p>
        </w:tc>
        <w:tc>
          <w:tcPr>
            <w:tcW w:w="1201" w:type="dxa"/>
            <w:gridSpan w:val="2"/>
            <w:tcBorders>
              <w:top w:val="nil"/>
              <w:left w:val="single" w:sz="4" w:space="0" w:color="auto"/>
              <w:bottom w:val="nil"/>
              <w:right w:val="single" w:sz="4" w:space="0" w:color="auto"/>
            </w:tcBorders>
          </w:tcPr>
          <w:p w14:paraId="50CFBAE0" w14:textId="77777777" w:rsidR="00D7095B" w:rsidRPr="00C443FC" w:rsidRDefault="00D7095B" w:rsidP="00C443FC">
            <w:pPr>
              <w:ind w:right="284"/>
              <w:jc w:val="right"/>
              <w:rPr>
                <w:rFonts w:eastAsia="Calibri"/>
                <w:sz w:val="20"/>
                <w:szCs w:val="20"/>
                <w:lang w:eastAsia="en-US"/>
              </w:rPr>
            </w:pPr>
            <w:r w:rsidRPr="00C443FC">
              <w:rPr>
                <w:rFonts w:eastAsia="Calibri"/>
                <w:sz w:val="20"/>
                <w:szCs w:val="20"/>
                <w:lang w:eastAsia="en-US"/>
              </w:rPr>
              <w:t>0.32</w:t>
            </w:r>
          </w:p>
        </w:tc>
        <w:tc>
          <w:tcPr>
            <w:tcW w:w="1017" w:type="dxa"/>
            <w:tcBorders>
              <w:top w:val="nil"/>
              <w:left w:val="single" w:sz="4" w:space="0" w:color="auto"/>
              <w:bottom w:val="nil"/>
              <w:right w:val="single" w:sz="4" w:space="0" w:color="auto"/>
            </w:tcBorders>
          </w:tcPr>
          <w:p w14:paraId="4C4112DE" w14:textId="77777777" w:rsidR="00D7095B" w:rsidRPr="00C443FC" w:rsidRDefault="00D7095B" w:rsidP="00C443FC">
            <w:pPr>
              <w:ind w:right="284"/>
              <w:jc w:val="right"/>
              <w:rPr>
                <w:rFonts w:eastAsia="Calibri"/>
                <w:sz w:val="20"/>
                <w:szCs w:val="20"/>
                <w:lang w:eastAsia="en-US"/>
              </w:rPr>
            </w:pPr>
            <w:r w:rsidRPr="00C443FC">
              <w:rPr>
                <w:rFonts w:eastAsia="Calibri"/>
                <w:sz w:val="20"/>
                <w:szCs w:val="20"/>
                <w:lang w:eastAsia="en-US"/>
              </w:rPr>
              <w:t>0.31</w:t>
            </w:r>
          </w:p>
        </w:tc>
        <w:tc>
          <w:tcPr>
            <w:tcW w:w="1140" w:type="dxa"/>
            <w:gridSpan w:val="2"/>
            <w:tcBorders>
              <w:top w:val="nil"/>
              <w:left w:val="single" w:sz="4" w:space="0" w:color="auto"/>
              <w:bottom w:val="nil"/>
              <w:right w:val="single" w:sz="4" w:space="0" w:color="auto"/>
            </w:tcBorders>
          </w:tcPr>
          <w:p w14:paraId="777DB346" w14:textId="77777777" w:rsidR="00D7095B" w:rsidRPr="00C443FC" w:rsidRDefault="00D7095B" w:rsidP="00C443FC">
            <w:pPr>
              <w:ind w:right="284"/>
              <w:jc w:val="right"/>
              <w:rPr>
                <w:rFonts w:eastAsia="Calibri"/>
                <w:sz w:val="20"/>
                <w:szCs w:val="20"/>
                <w:lang w:eastAsia="en-US"/>
              </w:rPr>
            </w:pPr>
            <w:r w:rsidRPr="00C443FC">
              <w:rPr>
                <w:rFonts w:eastAsia="Calibri"/>
                <w:sz w:val="20"/>
                <w:szCs w:val="20"/>
                <w:lang w:eastAsia="en-US"/>
              </w:rPr>
              <w:t>0.31</w:t>
            </w:r>
          </w:p>
        </w:tc>
      </w:tr>
      <w:tr w:rsidR="00D7095B" w:rsidRPr="00C443FC" w14:paraId="7E67466F" w14:textId="77777777" w:rsidTr="005B2CE5">
        <w:trPr>
          <w:jc w:val="center"/>
        </w:trPr>
        <w:tc>
          <w:tcPr>
            <w:tcW w:w="701" w:type="dxa"/>
            <w:vMerge/>
            <w:tcBorders>
              <w:left w:val="single" w:sz="4" w:space="0" w:color="auto"/>
              <w:right w:val="single" w:sz="4" w:space="0" w:color="auto"/>
            </w:tcBorders>
            <w:vAlign w:val="center"/>
          </w:tcPr>
          <w:p w14:paraId="1AC0B06D" w14:textId="77777777" w:rsidR="00D7095B" w:rsidRPr="00C443FC" w:rsidRDefault="00D7095B" w:rsidP="00C443FC">
            <w:pPr>
              <w:jc w:val="center"/>
              <w:rPr>
                <w:rFonts w:eastAsia="Calibri"/>
                <w:b/>
                <w:sz w:val="20"/>
                <w:szCs w:val="20"/>
                <w:lang w:eastAsia="en-US"/>
              </w:rPr>
            </w:pPr>
          </w:p>
        </w:tc>
        <w:tc>
          <w:tcPr>
            <w:tcW w:w="1340" w:type="dxa"/>
            <w:tcBorders>
              <w:top w:val="nil"/>
              <w:left w:val="single" w:sz="4" w:space="0" w:color="auto"/>
              <w:bottom w:val="nil"/>
              <w:right w:val="single" w:sz="4" w:space="0" w:color="auto"/>
            </w:tcBorders>
          </w:tcPr>
          <w:p w14:paraId="6D3D0AFB" w14:textId="77777777" w:rsidR="00D7095B" w:rsidRPr="00C443FC" w:rsidRDefault="00D7095B" w:rsidP="00C443FC">
            <w:pPr>
              <w:jc w:val="center"/>
              <w:rPr>
                <w:rFonts w:eastAsia="Calibri"/>
                <w:b/>
                <w:sz w:val="20"/>
                <w:szCs w:val="20"/>
                <w:lang w:eastAsia="en-US"/>
              </w:rPr>
            </w:pPr>
            <w:r w:rsidRPr="00C443FC">
              <w:rPr>
                <w:rFonts w:eastAsia="Calibri"/>
                <w:b/>
                <w:sz w:val="20"/>
                <w:szCs w:val="20"/>
                <w:lang w:eastAsia="en-US"/>
              </w:rPr>
              <w:t>Abr.</w:t>
            </w:r>
          </w:p>
        </w:tc>
        <w:tc>
          <w:tcPr>
            <w:tcW w:w="1194" w:type="dxa"/>
            <w:tcBorders>
              <w:top w:val="nil"/>
              <w:left w:val="single" w:sz="4" w:space="0" w:color="auto"/>
              <w:bottom w:val="nil"/>
              <w:right w:val="single" w:sz="4" w:space="0" w:color="auto"/>
            </w:tcBorders>
          </w:tcPr>
          <w:p w14:paraId="59DB20AA" w14:textId="77777777" w:rsidR="00D7095B" w:rsidRPr="00C443FC" w:rsidRDefault="00D7095B" w:rsidP="00C443FC">
            <w:pPr>
              <w:ind w:right="284"/>
              <w:jc w:val="right"/>
              <w:rPr>
                <w:rFonts w:eastAsia="Calibri"/>
                <w:sz w:val="20"/>
                <w:szCs w:val="20"/>
                <w:lang w:eastAsia="en-US"/>
              </w:rPr>
            </w:pPr>
            <w:r w:rsidRPr="00C443FC">
              <w:rPr>
                <w:rFonts w:eastAsia="Calibri"/>
                <w:sz w:val="20"/>
                <w:szCs w:val="20"/>
                <w:lang w:eastAsia="en-US"/>
              </w:rPr>
              <w:t>-0.05</w:t>
            </w:r>
          </w:p>
        </w:tc>
        <w:tc>
          <w:tcPr>
            <w:tcW w:w="1201" w:type="dxa"/>
            <w:gridSpan w:val="2"/>
            <w:tcBorders>
              <w:top w:val="nil"/>
              <w:left w:val="single" w:sz="4" w:space="0" w:color="auto"/>
              <w:bottom w:val="nil"/>
              <w:right w:val="single" w:sz="4" w:space="0" w:color="auto"/>
            </w:tcBorders>
          </w:tcPr>
          <w:p w14:paraId="4680FFBC" w14:textId="77777777" w:rsidR="00D7095B" w:rsidRPr="00C443FC" w:rsidRDefault="00D7095B" w:rsidP="00C443FC">
            <w:pPr>
              <w:ind w:right="284"/>
              <w:jc w:val="right"/>
              <w:rPr>
                <w:rFonts w:eastAsia="Calibri"/>
                <w:sz w:val="20"/>
                <w:szCs w:val="20"/>
                <w:lang w:eastAsia="en-US"/>
              </w:rPr>
            </w:pPr>
            <w:r w:rsidRPr="00C443FC">
              <w:rPr>
                <w:rFonts w:eastAsia="Calibri"/>
                <w:sz w:val="20"/>
                <w:szCs w:val="20"/>
                <w:lang w:eastAsia="en-US"/>
              </w:rPr>
              <w:t>-0.06</w:t>
            </w:r>
          </w:p>
        </w:tc>
        <w:tc>
          <w:tcPr>
            <w:tcW w:w="1017" w:type="dxa"/>
            <w:tcBorders>
              <w:top w:val="nil"/>
              <w:left w:val="single" w:sz="4" w:space="0" w:color="auto"/>
              <w:bottom w:val="nil"/>
              <w:right w:val="single" w:sz="4" w:space="0" w:color="auto"/>
            </w:tcBorders>
          </w:tcPr>
          <w:p w14:paraId="5DDFB14D" w14:textId="77777777" w:rsidR="00D7095B" w:rsidRPr="00C443FC" w:rsidRDefault="00D7095B" w:rsidP="00C443FC">
            <w:pPr>
              <w:ind w:right="284"/>
              <w:jc w:val="right"/>
              <w:rPr>
                <w:rFonts w:eastAsia="Calibri"/>
                <w:sz w:val="20"/>
                <w:szCs w:val="20"/>
                <w:lang w:eastAsia="en-US"/>
              </w:rPr>
            </w:pPr>
            <w:r w:rsidRPr="00C443FC">
              <w:rPr>
                <w:rFonts w:eastAsia="Calibri"/>
                <w:sz w:val="20"/>
                <w:szCs w:val="20"/>
                <w:lang w:eastAsia="en-US"/>
              </w:rPr>
              <w:t>-0.06</w:t>
            </w:r>
          </w:p>
        </w:tc>
        <w:tc>
          <w:tcPr>
            <w:tcW w:w="1140" w:type="dxa"/>
            <w:gridSpan w:val="2"/>
            <w:tcBorders>
              <w:top w:val="nil"/>
              <w:left w:val="single" w:sz="4" w:space="0" w:color="auto"/>
              <w:bottom w:val="nil"/>
              <w:right w:val="single" w:sz="4" w:space="0" w:color="auto"/>
            </w:tcBorders>
          </w:tcPr>
          <w:p w14:paraId="69A1C74A" w14:textId="77777777" w:rsidR="00D7095B" w:rsidRPr="00C443FC" w:rsidRDefault="00D7095B" w:rsidP="00C443FC">
            <w:pPr>
              <w:ind w:right="284"/>
              <w:jc w:val="right"/>
              <w:rPr>
                <w:rFonts w:eastAsia="Calibri"/>
                <w:sz w:val="20"/>
                <w:szCs w:val="20"/>
                <w:lang w:eastAsia="en-US"/>
              </w:rPr>
            </w:pPr>
            <w:r w:rsidRPr="00C443FC">
              <w:rPr>
                <w:rFonts w:eastAsia="Calibri"/>
                <w:sz w:val="20"/>
                <w:szCs w:val="20"/>
                <w:lang w:eastAsia="en-US"/>
              </w:rPr>
              <w:t>-0.08</w:t>
            </w:r>
          </w:p>
        </w:tc>
      </w:tr>
      <w:tr w:rsidR="00D7095B" w:rsidRPr="00C443FC" w14:paraId="477E057E" w14:textId="77777777" w:rsidTr="005B2CE5">
        <w:trPr>
          <w:jc w:val="center"/>
        </w:trPr>
        <w:tc>
          <w:tcPr>
            <w:tcW w:w="701" w:type="dxa"/>
            <w:vMerge/>
            <w:tcBorders>
              <w:left w:val="single" w:sz="4" w:space="0" w:color="auto"/>
              <w:right w:val="single" w:sz="4" w:space="0" w:color="auto"/>
            </w:tcBorders>
            <w:vAlign w:val="center"/>
          </w:tcPr>
          <w:p w14:paraId="5B060762" w14:textId="77777777" w:rsidR="00D7095B" w:rsidRPr="00C443FC" w:rsidRDefault="00D7095B" w:rsidP="00C443FC">
            <w:pPr>
              <w:jc w:val="center"/>
              <w:rPr>
                <w:rFonts w:eastAsia="Calibri"/>
                <w:b/>
                <w:sz w:val="20"/>
                <w:szCs w:val="20"/>
                <w:lang w:eastAsia="en-US"/>
              </w:rPr>
            </w:pPr>
          </w:p>
        </w:tc>
        <w:tc>
          <w:tcPr>
            <w:tcW w:w="1340" w:type="dxa"/>
            <w:tcBorders>
              <w:top w:val="nil"/>
              <w:left w:val="single" w:sz="4" w:space="0" w:color="auto"/>
              <w:bottom w:val="nil"/>
              <w:right w:val="single" w:sz="4" w:space="0" w:color="auto"/>
            </w:tcBorders>
          </w:tcPr>
          <w:p w14:paraId="11562C92" w14:textId="77777777" w:rsidR="00D7095B" w:rsidRPr="00C443FC" w:rsidRDefault="00D7095B" w:rsidP="00C443FC">
            <w:pPr>
              <w:jc w:val="center"/>
              <w:rPr>
                <w:rFonts w:eastAsia="Calibri"/>
                <w:b/>
                <w:sz w:val="20"/>
                <w:szCs w:val="20"/>
                <w:lang w:eastAsia="en-US"/>
              </w:rPr>
            </w:pPr>
            <w:r w:rsidRPr="00C443FC">
              <w:rPr>
                <w:rFonts w:eastAsia="Calibri"/>
                <w:b/>
                <w:sz w:val="20"/>
                <w:szCs w:val="20"/>
                <w:lang w:eastAsia="en-US"/>
              </w:rPr>
              <w:t>May.</w:t>
            </w:r>
          </w:p>
        </w:tc>
        <w:tc>
          <w:tcPr>
            <w:tcW w:w="1194" w:type="dxa"/>
            <w:tcBorders>
              <w:top w:val="nil"/>
              <w:left w:val="single" w:sz="4" w:space="0" w:color="auto"/>
              <w:bottom w:val="nil"/>
              <w:right w:val="single" w:sz="4" w:space="0" w:color="auto"/>
            </w:tcBorders>
          </w:tcPr>
          <w:p w14:paraId="31F89B15" w14:textId="77777777" w:rsidR="00D7095B" w:rsidRPr="00C443FC" w:rsidRDefault="00D7095B" w:rsidP="00C443FC">
            <w:pPr>
              <w:ind w:right="284"/>
              <w:jc w:val="right"/>
              <w:rPr>
                <w:rFonts w:eastAsia="Calibri"/>
                <w:sz w:val="20"/>
                <w:szCs w:val="20"/>
                <w:lang w:eastAsia="en-US"/>
              </w:rPr>
            </w:pPr>
            <w:r w:rsidRPr="00C443FC">
              <w:rPr>
                <w:rFonts w:eastAsia="Calibri"/>
                <w:sz w:val="20"/>
                <w:szCs w:val="20"/>
                <w:lang w:eastAsia="en-US"/>
              </w:rPr>
              <w:t>-0.32</w:t>
            </w:r>
          </w:p>
        </w:tc>
        <w:tc>
          <w:tcPr>
            <w:tcW w:w="1201" w:type="dxa"/>
            <w:gridSpan w:val="2"/>
            <w:tcBorders>
              <w:top w:val="nil"/>
              <w:left w:val="single" w:sz="4" w:space="0" w:color="auto"/>
              <w:bottom w:val="nil"/>
              <w:right w:val="single" w:sz="4" w:space="0" w:color="auto"/>
            </w:tcBorders>
          </w:tcPr>
          <w:p w14:paraId="29623764" w14:textId="77777777" w:rsidR="00D7095B" w:rsidRPr="00C443FC" w:rsidRDefault="00D7095B" w:rsidP="00C443FC">
            <w:pPr>
              <w:ind w:right="284"/>
              <w:jc w:val="right"/>
              <w:rPr>
                <w:rFonts w:eastAsia="Calibri"/>
                <w:sz w:val="20"/>
                <w:szCs w:val="20"/>
                <w:lang w:eastAsia="en-US"/>
              </w:rPr>
            </w:pPr>
            <w:r w:rsidRPr="00C443FC">
              <w:rPr>
                <w:rFonts w:eastAsia="Calibri"/>
                <w:sz w:val="20"/>
                <w:szCs w:val="20"/>
                <w:lang w:eastAsia="en-US"/>
              </w:rPr>
              <w:t>-0.31</w:t>
            </w:r>
          </w:p>
        </w:tc>
        <w:tc>
          <w:tcPr>
            <w:tcW w:w="1017" w:type="dxa"/>
            <w:tcBorders>
              <w:top w:val="nil"/>
              <w:left w:val="single" w:sz="4" w:space="0" w:color="auto"/>
              <w:bottom w:val="nil"/>
              <w:right w:val="single" w:sz="4" w:space="0" w:color="auto"/>
            </w:tcBorders>
          </w:tcPr>
          <w:p w14:paraId="37F3CB19" w14:textId="77777777" w:rsidR="00D7095B" w:rsidRPr="00C443FC" w:rsidRDefault="00D7095B" w:rsidP="00C443FC">
            <w:pPr>
              <w:ind w:right="284"/>
              <w:jc w:val="right"/>
              <w:rPr>
                <w:rFonts w:eastAsia="Calibri"/>
                <w:sz w:val="20"/>
                <w:szCs w:val="20"/>
                <w:lang w:eastAsia="en-US"/>
              </w:rPr>
            </w:pPr>
            <w:r w:rsidRPr="00C443FC">
              <w:rPr>
                <w:rFonts w:eastAsia="Calibri"/>
                <w:sz w:val="20"/>
                <w:szCs w:val="20"/>
                <w:lang w:eastAsia="en-US"/>
              </w:rPr>
              <w:t>-0.32</w:t>
            </w:r>
          </w:p>
        </w:tc>
        <w:tc>
          <w:tcPr>
            <w:tcW w:w="1140" w:type="dxa"/>
            <w:gridSpan w:val="2"/>
            <w:tcBorders>
              <w:top w:val="nil"/>
              <w:left w:val="single" w:sz="4" w:space="0" w:color="auto"/>
              <w:bottom w:val="nil"/>
              <w:right w:val="single" w:sz="4" w:space="0" w:color="auto"/>
            </w:tcBorders>
          </w:tcPr>
          <w:p w14:paraId="1EC35AC5" w14:textId="77777777" w:rsidR="00D7095B" w:rsidRPr="00C443FC" w:rsidRDefault="00D7095B" w:rsidP="00C443FC">
            <w:pPr>
              <w:ind w:right="284"/>
              <w:jc w:val="right"/>
              <w:rPr>
                <w:rFonts w:eastAsia="Calibri"/>
                <w:sz w:val="20"/>
                <w:szCs w:val="20"/>
                <w:lang w:eastAsia="en-US"/>
              </w:rPr>
            </w:pPr>
            <w:r w:rsidRPr="00C443FC">
              <w:rPr>
                <w:rFonts w:eastAsia="Calibri"/>
                <w:sz w:val="20"/>
                <w:szCs w:val="20"/>
                <w:lang w:eastAsia="en-US"/>
              </w:rPr>
              <w:t>-0.31</w:t>
            </w:r>
          </w:p>
        </w:tc>
      </w:tr>
      <w:tr w:rsidR="00D7095B" w:rsidRPr="00C443FC" w14:paraId="5BEA4C2A" w14:textId="77777777" w:rsidTr="005B2CE5">
        <w:trPr>
          <w:jc w:val="center"/>
        </w:trPr>
        <w:tc>
          <w:tcPr>
            <w:tcW w:w="701" w:type="dxa"/>
            <w:vMerge/>
            <w:tcBorders>
              <w:left w:val="single" w:sz="4" w:space="0" w:color="auto"/>
              <w:right w:val="single" w:sz="4" w:space="0" w:color="auto"/>
            </w:tcBorders>
            <w:vAlign w:val="center"/>
          </w:tcPr>
          <w:p w14:paraId="48A58904" w14:textId="77777777" w:rsidR="00D7095B" w:rsidRPr="00C443FC" w:rsidRDefault="00D7095B" w:rsidP="00C443FC">
            <w:pPr>
              <w:jc w:val="center"/>
              <w:rPr>
                <w:rFonts w:eastAsia="Calibri"/>
                <w:b/>
                <w:sz w:val="20"/>
                <w:szCs w:val="20"/>
                <w:lang w:eastAsia="en-US"/>
              </w:rPr>
            </w:pPr>
          </w:p>
        </w:tc>
        <w:tc>
          <w:tcPr>
            <w:tcW w:w="1340" w:type="dxa"/>
            <w:tcBorders>
              <w:top w:val="nil"/>
              <w:left w:val="single" w:sz="4" w:space="0" w:color="auto"/>
              <w:bottom w:val="nil"/>
              <w:right w:val="single" w:sz="4" w:space="0" w:color="auto"/>
            </w:tcBorders>
          </w:tcPr>
          <w:p w14:paraId="11863AEB" w14:textId="77777777" w:rsidR="00D7095B" w:rsidRPr="00C443FC" w:rsidRDefault="00D7095B" w:rsidP="00C443FC">
            <w:pPr>
              <w:jc w:val="center"/>
              <w:rPr>
                <w:rFonts w:eastAsia="Calibri"/>
                <w:b/>
                <w:sz w:val="20"/>
                <w:szCs w:val="20"/>
                <w:lang w:eastAsia="en-US"/>
              </w:rPr>
            </w:pPr>
            <w:r w:rsidRPr="00C443FC">
              <w:rPr>
                <w:rFonts w:eastAsia="Calibri"/>
                <w:b/>
                <w:sz w:val="20"/>
                <w:szCs w:val="20"/>
                <w:lang w:eastAsia="en-US"/>
              </w:rPr>
              <w:t>Jun.</w:t>
            </w:r>
          </w:p>
        </w:tc>
        <w:tc>
          <w:tcPr>
            <w:tcW w:w="1194" w:type="dxa"/>
            <w:tcBorders>
              <w:top w:val="nil"/>
              <w:left w:val="single" w:sz="4" w:space="0" w:color="auto"/>
              <w:bottom w:val="nil"/>
              <w:right w:val="single" w:sz="4" w:space="0" w:color="auto"/>
            </w:tcBorders>
          </w:tcPr>
          <w:p w14:paraId="658F0264" w14:textId="77777777" w:rsidR="00D7095B" w:rsidRPr="00C443FC" w:rsidRDefault="00D7095B" w:rsidP="00C443FC">
            <w:pPr>
              <w:ind w:right="284"/>
              <w:jc w:val="right"/>
              <w:rPr>
                <w:rFonts w:eastAsia="Calibri"/>
                <w:sz w:val="20"/>
                <w:szCs w:val="20"/>
                <w:lang w:eastAsia="en-US"/>
              </w:rPr>
            </w:pPr>
            <w:r w:rsidRPr="00C443FC">
              <w:rPr>
                <w:rFonts w:eastAsia="Calibri"/>
                <w:sz w:val="20"/>
                <w:szCs w:val="20"/>
                <w:lang w:eastAsia="en-US"/>
              </w:rPr>
              <w:t>0.16</w:t>
            </w:r>
          </w:p>
        </w:tc>
        <w:tc>
          <w:tcPr>
            <w:tcW w:w="1201" w:type="dxa"/>
            <w:gridSpan w:val="2"/>
            <w:tcBorders>
              <w:top w:val="nil"/>
              <w:left w:val="single" w:sz="4" w:space="0" w:color="auto"/>
              <w:bottom w:val="nil"/>
              <w:right w:val="single" w:sz="4" w:space="0" w:color="auto"/>
            </w:tcBorders>
          </w:tcPr>
          <w:p w14:paraId="3A5B98EF" w14:textId="77777777" w:rsidR="00D7095B" w:rsidRPr="00C443FC" w:rsidRDefault="00D7095B" w:rsidP="00C443FC">
            <w:pPr>
              <w:ind w:right="284"/>
              <w:jc w:val="right"/>
              <w:rPr>
                <w:rFonts w:eastAsia="Calibri"/>
                <w:sz w:val="20"/>
                <w:szCs w:val="20"/>
                <w:lang w:eastAsia="en-US"/>
              </w:rPr>
            </w:pPr>
            <w:r w:rsidRPr="00C443FC">
              <w:rPr>
                <w:rFonts w:eastAsia="Calibri"/>
                <w:sz w:val="20"/>
                <w:szCs w:val="20"/>
                <w:lang w:eastAsia="en-US"/>
              </w:rPr>
              <w:t>0.17</w:t>
            </w:r>
          </w:p>
        </w:tc>
        <w:tc>
          <w:tcPr>
            <w:tcW w:w="1017" w:type="dxa"/>
            <w:tcBorders>
              <w:top w:val="nil"/>
              <w:left w:val="single" w:sz="4" w:space="0" w:color="auto"/>
              <w:bottom w:val="nil"/>
              <w:right w:val="single" w:sz="4" w:space="0" w:color="auto"/>
            </w:tcBorders>
          </w:tcPr>
          <w:p w14:paraId="6706E429" w14:textId="77777777" w:rsidR="00D7095B" w:rsidRPr="00C443FC" w:rsidRDefault="00D7095B" w:rsidP="00C443FC">
            <w:pPr>
              <w:ind w:right="284"/>
              <w:jc w:val="right"/>
              <w:rPr>
                <w:rFonts w:eastAsia="Calibri"/>
                <w:sz w:val="20"/>
                <w:szCs w:val="20"/>
                <w:lang w:eastAsia="en-US"/>
              </w:rPr>
            </w:pPr>
            <w:r w:rsidRPr="00C443FC">
              <w:rPr>
                <w:rFonts w:eastAsia="Calibri"/>
                <w:sz w:val="20"/>
                <w:szCs w:val="20"/>
                <w:lang w:eastAsia="en-US"/>
              </w:rPr>
              <w:t>0.17</w:t>
            </w:r>
          </w:p>
        </w:tc>
        <w:tc>
          <w:tcPr>
            <w:tcW w:w="1140" w:type="dxa"/>
            <w:gridSpan w:val="2"/>
            <w:tcBorders>
              <w:top w:val="nil"/>
              <w:left w:val="single" w:sz="4" w:space="0" w:color="auto"/>
              <w:bottom w:val="nil"/>
              <w:right w:val="single" w:sz="4" w:space="0" w:color="auto"/>
            </w:tcBorders>
          </w:tcPr>
          <w:p w14:paraId="0E6BE2D9" w14:textId="77777777" w:rsidR="00D7095B" w:rsidRPr="00C443FC" w:rsidRDefault="00D7095B" w:rsidP="00C443FC">
            <w:pPr>
              <w:ind w:right="284"/>
              <w:jc w:val="right"/>
              <w:rPr>
                <w:rFonts w:eastAsia="Calibri"/>
                <w:sz w:val="20"/>
                <w:szCs w:val="20"/>
                <w:lang w:eastAsia="en-US"/>
              </w:rPr>
            </w:pPr>
            <w:r w:rsidRPr="00C443FC">
              <w:rPr>
                <w:rFonts w:eastAsia="Calibri"/>
                <w:sz w:val="20"/>
                <w:szCs w:val="20"/>
                <w:lang w:eastAsia="en-US"/>
              </w:rPr>
              <w:t>0.17</w:t>
            </w:r>
          </w:p>
        </w:tc>
      </w:tr>
      <w:tr w:rsidR="00D7095B" w:rsidRPr="00C443FC" w14:paraId="7709EB30" w14:textId="77777777" w:rsidTr="005B2CE5">
        <w:trPr>
          <w:jc w:val="center"/>
        </w:trPr>
        <w:tc>
          <w:tcPr>
            <w:tcW w:w="701" w:type="dxa"/>
            <w:vMerge/>
            <w:tcBorders>
              <w:left w:val="single" w:sz="4" w:space="0" w:color="auto"/>
              <w:right w:val="single" w:sz="4" w:space="0" w:color="auto"/>
            </w:tcBorders>
            <w:vAlign w:val="center"/>
          </w:tcPr>
          <w:p w14:paraId="4678BCFA" w14:textId="77777777" w:rsidR="00D7095B" w:rsidRPr="00C443FC" w:rsidRDefault="00D7095B" w:rsidP="00C443FC">
            <w:pPr>
              <w:jc w:val="center"/>
              <w:rPr>
                <w:rFonts w:eastAsia="Calibri"/>
                <w:b/>
                <w:sz w:val="20"/>
                <w:szCs w:val="20"/>
                <w:lang w:eastAsia="en-US"/>
              </w:rPr>
            </w:pPr>
          </w:p>
        </w:tc>
        <w:tc>
          <w:tcPr>
            <w:tcW w:w="1340" w:type="dxa"/>
            <w:tcBorders>
              <w:top w:val="nil"/>
              <w:left w:val="single" w:sz="4" w:space="0" w:color="auto"/>
              <w:bottom w:val="nil"/>
              <w:right w:val="single" w:sz="4" w:space="0" w:color="auto"/>
            </w:tcBorders>
          </w:tcPr>
          <w:p w14:paraId="20F694DE" w14:textId="77777777" w:rsidR="00D7095B" w:rsidRPr="00C443FC" w:rsidRDefault="00D7095B" w:rsidP="00C443FC">
            <w:pPr>
              <w:jc w:val="center"/>
              <w:rPr>
                <w:rFonts w:eastAsia="Calibri"/>
                <w:b/>
                <w:sz w:val="20"/>
                <w:szCs w:val="20"/>
                <w:lang w:eastAsia="en-US"/>
              </w:rPr>
            </w:pPr>
            <w:r w:rsidRPr="00C443FC">
              <w:rPr>
                <w:rFonts w:eastAsia="Calibri"/>
                <w:b/>
                <w:sz w:val="20"/>
                <w:szCs w:val="20"/>
                <w:lang w:eastAsia="en-US"/>
              </w:rPr>
              <w:t>Jul.</w:t>
            </w:r>
          </w:p>
        </w:tc>
        <w:tc>
          <w:tcPr>
            <w:tcW w:w="1194" w:type="dxa"/>
            <w:tcBorders>
              <w:top w:val="nil"/>
              <w:left w:val="single" w:sz="4" w:space="0" w:color="auto"/>
              <w:bottom w:val="nil"/>
              <w:right w:val="single" w:sz="4" w:space="0" w:color="auto"/>
            </w:tcBorders>
          </w:tcPr>
          <w:p w14:paraId="2EB9DE85" w14:textId="77777777" w:rsidR="00D7095B" w:rsidRPr="00C443FC" w:rsidRDefault="00D7095B" w:rsidP="00C443FC">
            <w:pPr>
              <w:ind w:right="284"/>
              <w:jc w:val="right"/>
              <w:rPr>
                <w:rFonts w:eastAsia="Calibri"/>
                <w:sz w:val="20"/>
                <w:szCs w:val="20"/>
                <w:lang w:eastAsia="en-US"/>
              </w:rPr>
            </w:pPr>
            <w:r w:rsidRPr="00C443FC">
              <w:rPr>
                <w:rFonts w:eastAsia="Calibri"/>
                <w:sz w:val="20"/>
                <w:szCs w:val="20"/>
                <w:lang w:eastAsia="en-US"/>
              </w:rPr>
              <w:t>0.27</w:t>
            </w:r>
          </w:p>
        </w:tc>
        <w:tc>
          <w:tcPr>
            <w:tcW w:w="1201" w:type="dxa"/>
            <w:gridSpan w:val="2"/>
            <w:tcBorders>
              <w:top w:val="nil"/>
              <w:left w:val="single" w:sz="4" w:space="0" w:color="auto"/>
              <w:bottom w:val="nil"/>
              <w:right w:val="single" w:sz="4" w:space="0" w:color="auto"/>
            </w:tcBorders>
          </w:tcPr>
          <w:p w14:paraId="2B9A4DF0" w14:textId="77777777" w:rsidR="00D7095B" w:rsidRPr="00C443FC" w:rsidRDefault="00D7095B" w:rsidP="00C443FC">
            <w:pPr>
              <w:ind w:right="284"/>
              <w:jc w:val="right"/>
              <w:rPr>
                <w:rFonts w:eastAsia="Calibri"/>
                <w:sz w:val="20"/>
                <w:szCs w:val="20"/>
                <w:lang w:eastAsia="en-US"/>
              </w:rPr>
            </w:pPr>
            <w:r w:rsidRPr="00C443FC">
              <w:rPr>
                <w:rFonts w:eastAsia="Calibri"/>
                <w:sz w:val="20"/>
                <w:szCs w:val="20"/>
                <w:lang w:eastAsia="en-US"/>
              </w:rPr>
              <w:t>0.29</w:t>
            </w:r>
          </w:p>
        </w:tc>
        <w:tc>
          <w:tcPr>
            <w:tcW w:w="1017" w:type="dxa"/>
            <w:tcBorders>
              <w:top w:val="nil"/>
              <w:left w:val="single" w:sz="4" w:space="0" w:color="auto"/>
              <w:bottom w:val="nil"/>
              <w:right w:val="single" w:sz="4" w:space="0" w:color="auto"/>
            </w:tcBorders>
          </w:tcPr>
          <w:p w14:paraId="59ACBDD0" w14:textId="77777777" w:rsidR="00D7095B" w:rsidRPr="00C443FC" w:rsidRDefault="00D7095B" w:rsidP="00C443FC">
            <w:pPr>
              <w:ind w:right="284"/>
              <w:jc w:val="right"/>
              <w:rPr>
                <w:rFonts w:eastAsia="Calibri"/>
                <w:sz w:val="20"/>
                <w:szCs w:val="20"/>
                <w:lang w:eastAsia="en-US"/>
              </w:rPr>
            </w:pPr>
            <w:r w:rsidRPr="00C443FC">
              <w:rPr>
                <w:rFonts w:eastAsia="Calibri"/>
                <w:sz w:val="20"/>
                <w:szCs w:val="20"/>
                <w:lang w:eastAsia="en-US"/>
              </w:rPr>
              <w:t>0.29</w:t>
            </w:r>
          </w:p>
        </w:tc>
        <w:tc>
          <w:tcPr>
            <w:tcW w:w="1140" w:type="dxa"/>
            <w:gridSpan w:val="2"/>
            <w:tcBorders>
              <w:top w:val="nil"/>
              <w:left w:val="single" w:sz="4" w:space="0" w:color="auto"/>
              <w:bottom w:val="nil"/>
              <w:right w:val="single" w:sz="4" w:space="0" w:color="auto"/>
            </w:tcBorders>
          </w:tcPr>
          <w:p w14:paraId="52FAB54B" w14:textId="77777777" w:rsidR="00D7095B" w:rsidRPr="00C443FC" w:rsidRDefault="00D7095B" w:rsidP="00C443FC">
            <w:pPr>
              <w:ind w:right="284"/>
              <w:jc w:val="right"/>
              <w:rPr>
                <w:rFonts w:eastAsia="Calibri"/>
                <w:sz w:val="20"/>
                <w:szCs w:val="20"/>
                <w:lang w:eastAsia="en-US"/>
              </w:rPr>
            </w:pPr>
            <w:r w:rsidRPr="00C443FC">
              <w:rPr>
                <w:rFonts w:eastAsia="Calibri"/>
                <w:sz w:val="20"/>
                <w:szCs w:val="20"/>
                <w:lang w:eastAsia="en-US"/>
              </w:rPr>
              <w:t>0.29</w:t>
            </w:r>
          </w:p>
        </w:tc>
      </w:tr>
      <w:tr w:rsidR="00D7095B" w:rsidRPr="00C443FC" w14:paraId="4576F340" w14:textId="77777777" w:rsidTr="005B2CE5">
        <w:trPr>
          <w:jc w:val="center"/>
        </w:trPr>
        <w:tc>
          <w:tcPr>
            <w:tcW w:w="701" w:type="dxa"/>
            <w:vMerge/>
            <w:tcBorders>
              <w:left w:val="single" w:sz="4" w:space="0" w:color="auto"/>
              <w:right w:val="single" w:sz="4" w:space="0" w:color="auto"/>
            </w:tcBorders>
          </w:tcPr>
          <w:p w14:paraId="529094AF" w14:textId="77777777" w:rsidR="00D7095B" w:rsidRPr="00C443FC" w:rsidRDefault="00D7095B" w:rsidP="00C443FC">
            <w:pPr>
              <w:jc w:val="center"/>
              <w:rPr>
                <w:rFonts w:eastAsia="Calibri"/>
                <w:b/>
                <w:sz w:val="20"/>
                <w:szCs w:val="20"/>
                <w:lang w:eastAsia="en-US"/>
              </w:rPr>
            </w:pPr>
          </w:p>
        </w:tc>
        <w:tc>
          <w:tcPr>
            <w:tcW w:w="1340" w:type="dxa"/>
            <w:tcBorders>
              <w:top w:val="nil"/>
              <w:left w:val="single" w:sz="4" w:space="0" w:color="auto"/>
              <w:bottom w:val="nil"/>
              <w:right w:val="single" w:sz="4" w:space="0" w:color="auto"/>
            </w:tcBorders>
          </w:tcPr>
          <w:p w14:paraId="0FA4EE58" w14:textId="77777777" w:rsidR="00D7095B" w:rsidRPr="00C443FC" w:rsidRDefault="00D7095B" w:rsidP="00C443FC">
            <w:pPr>
              <w:jc w:val="center"/>
              <w:rPr>
                <w:rFonts w:eastAsia="Calibri"/>
                <w:b/>
                <w:sz w:val="20"/>
                <w:szCs w:val="20"/>
                <w:lang w:eastAsia="en-US"/>
              </w:rPr>
            </w:pPr>
            <w:r w:rsidRPr="00C443FC">
              <w:rPr>
                <w:rFonts w:eastAsia="Calibri"/>
                <w:b/>
                <w:sz w:val="20"/>
                <w:szCs w:val="20"/>
                <w:lang w:eastAsia="en-US"/>
              </w:rPr>
              <w:t>Ago.</w:t>
            </w:r>
          </w:p>
        </w:tc>
        <w:tc>
          <w:tcPr>
            <w:tcW w:w="1194" w:type="dxa"/>
            <w:tcBorders>
              <w:top w:val="nil"/>
              <w:left w:val="single" w:sz="4" w:space="0" w:color="auto"/>
              <w:bottom w:val="nil"/>
              <w:right w:val="single" w:sz="4" w:space="0" w:color="auto"/>
            </w:tcBorders>
          </w:tcPr>
          <w:p w14:paraId="4558679B" w14:textId="77777777" w:rsidR="00D7095B" w:rsidRPr="00C443FC" w:rsidRDefault="00D7095B" w:rsidP="00C443FC">
            <w:pPr>
              <w:ind w:right="284"/>
              <w:jc w:val="right"/>
              <w:rPr>
                <w:rFonts w:eastAsia="Calibri"/>
                <w:sz w:val="20"/>
                <w:szCs w:val="20"/>
                <w:lang w:eastAsia="en-US"/>
              </w:rPr>
            </w:pPr>
            <w:r w:rsidRPr="00C443FC">
              <w:rPr>
                <w:rFonts w:eastAsia="Calibri"/>
                <w:sz w:val="20"/>
                <w:szCs w:val="20"/>
                <w:lang w:eastAsia="en-US"/>
              </w:rPr>
              <w:t>0.30</w:t>
            </w:r>
          </w:p>
        </w:tc>
        <w:tc>
          <w:tcPr>
            <w:tcW w:w="1201" w:type="dxa"/>
            <w:gridSpan w:val="2"/>
            <w:tcBorders>
              <w:top w:val="nil"/>
              <w:left w:val="single" w:sz="4" w:space="0" w:color="auto"/>
              <w:bottom w:val="nil"/>
              <w:right w:val="single" w:sz="4" w:space="0" w:color="auto"/>
            </w:tcBorders>
          </w:tcPr>
          <w:p w14:paraId="6B8B83A4" w14:textId="77777777" w:rsidR="00D7095B" w:rsidRPr="00C443FC" w:rsidRDefault="00D7095B" w:rsidP="00C443FC">
            <w:pPr>
              <w:ind w:right="284"/>
              <w:jc w:val="right"/>
              <w:rPr>
                <w:rFonts w:eastAsia="Calibri"/>
                <w:sz w:val="20"/>
                <w:szCs w:val="20"/>
                <w:lang w:eastAsia="en-US"/>
              </w:rPr>
            </w:pPr>
            <w:r w:rsidRPr="00C443FC">
              <w:rPr>
                <w:rFonts w:eastAsia="Calibri"/>
                <w:sz w:val="20"/>
                <w:szCs w:val="20"/>
                <w:lang w:eastAsia="en-US"/>
              </w:rPr>
              <w:t>0.31</w:t>
            </w:r>
          </w:p>
        </w:tc>
        <w:tc>
          <w:tcPr>
            <w:tcW w:w="1017" w:type="dxa"/>
            <w:tcBorders>
              <w:top w:val="nil"/>
              <w:left w:val="single" w:sz="4" w:space="0" w:color="auto"/>
              <w:bottom w:val="nil"/>
              <w:right w:val="single" w:sz="4" w:space="0" w:color="auto"/>
            </w:tcBorders>
          </w:tcPr>
          <w:p w14:paraId="62461EB7" w14:textId="77777777" w:rsidR="00D7095B" w:rsidRPr="00C443FC" w:rsidRDefault="00D7095B" w:rsidP="00C443FC">
            <w:pPr>
              <w:ind w:right="284"/>
              <w:jc w:val="right"/>
              <w:rPr>
                <w:rFonts w:eastAsia="Calibri"/>
                <w:sz w:val="20"/>
                <w:szCs w:val="20"/>
                <w:lang w:eastAsia="en-US"/>
              </w:rPr>
            </w:pPr>
            <w:r w:rsidRPr="00C443FC">
              <w:rPr>
                <w:rFonts w:eastAsia="Calibri"/>
                <w:sz w:val="20"/>
                <w:szCs w:val="20"/>
                <w:lang w:eastAsia="en-US"/>
              </w:rPr>
              <w:t>0.30</w:t>
            </w:r>
          </w:p>
        </w:tc>
        <w:tc>
          <w:tcPr>
            <w:tcW w:w="1140" w:type="dxa"/>
            <w:gridSpan w:val="2"/>
            <w:tcBorders>
              <w:top w:val="nil"/>
              <w:left w:val="single" w:sz="4" w:space="0" w:color="auto"/>
              <w:bottom w:val="nil"/>
              <w:right w:val="single" w:sz="4" w:space="0" w:color="auto"/>
            </w:tcBorders>
          </w:tcPr>
          <w:p w14:paraId="3715414D" w14:textId="77777777" w:rsidR="00D7095B" w:rsidRPr="00C443FC" w:rsidRDefault="00D7095B" w:rsidP="00C443FC">
            <w:pPr>
              <w:ind w:right="284"/>
              <w:jc w:val="right"/>
              <w:rPr>
                <w:rFonts w:eastAsia="Calibri"/>
                <w:sz w:val="20"/>
                <w:szCs w:val="20"/>
                <w:lang w:eastAsia="en-US"/>
              </w:rPr>
            </w:pPr>
            <w:r w:rsidRPr="00C443FC">
              <w:rPr>
                <w:rFonts w:eastAsia="Calibri"/>
                <w:sz w:val="20"/>
                <w:szCs w:val="20"/>
                <w:lang w:eastAsia="en-US"/>
              </w:rPr>
              <w:t>0.30</w:t>
            </w:r>
          </w:p>
        </w:tc>
      </w:tr>
      <w:tr w:rsidR="00D7095B" w:rsidRPr="00C443FC" w14:paraId="6F2A7B96" w14:textId="77777777" w:rsidTr="005B2CE5">
        <w:trPr>
          <w:jc w:val="center"/>
        </w:trPr>
        <w:tc>
          <w:tcPr>
            <w:tcW w:w="701" w:type="dxa"/>
            <w:vMerge/>
            <w:tcBorders>
              <w:left w:val="single" w:sz="4" w:space="0" w:color="auto"/>
              <w:right w:val="single" w:sz="4" w:space="0" w:color="auto"/>
            </w:tcBorders>
          </w:tcPr>
          <w:p w14:paraId="7F5EB4A4" w14:textId="77777777" w:rsidR="00D7095B" w:rsidRPr="00C443FC" w:rsidRDefault="00D7095B" w:rsidP="00C443FC">
            <w:pPr>
              <w:jc w:val="center"/>
              <w:rPr>
                <w:rFonts w:eastAsia="Calibri"/>
                <w:b/>
                <w:sz w:val="20"/>
                <w:szCs w:val="20"/>
                <w:lang w:eastAsia="en-US"/>
              </w:rPr>
            </w:pPr>
          </w:p>
        </w:tc>
        <w:tc>
          <w:tcPr>
            <w:tcW w:w="1340" w:type="dxa"/>
            <w:tcBorders>
              <w:top w:val="nil"/>
              <w:left w:val="single" w:sz="4" w:space="0" w:color="auto"/>
              <w:bottom w:val="nil"/>
              <w:right w:val="single" w:sz="4" w:space="0" w:color="auto"/>
            </w:tcBorders>
          </w:tcPr>
          <w:p w14:paraId="6F44E1F9" w14:textId="77777777" w:rsidR="00D7095B" w:rsidRPr="00C443FC" w:rsidRDefault="00D7095B" w:rsidP="00C443FC">
            <w:pPr>
              <w:jc w:val="center"/>
              <w:rPr>
                <w:rFonts w:eastAsia="Calibri"/>
                <w:b/>
                <w:sz w:val="20"/>
                <w:szCs w:val="20"/>
                <w:lang w:eastAsia="en-US"/>
              </w:rPr>
            </w:pPr>
            <w:r w:rsidRPr="00C443FC">
              <w:rPr>
                <w:rFonts w:eastAsia="Calibri"/>
                <w:b/>
                <w:sz w:val="20"/>
                <w:szCs w:val="20"/>
                <w:lang w:eastAsia="en-US"/>
              </w:rPr>
              <w:t>Sep.</w:t>
            </w:r>
          </w:p>
        </w:tc>
        <w:tc>
          <w:tcPr>
            <w:tcW w:w="1194" w:type="dxa"/>
            <w:tcBorders>
              <w:top w:val="nil"/>
              <w:left w:val="single" w:sz="4" w:space="0" w:color="auto"/>
              <w:bottom w:val="nil"/>
              <w:right w:val="single" w:sz="4" w:space="0" w:color="auto"/>
            </w:tcBorders>
          </w:tcPr>
          <w:p w14:paraId="409E0AF6" w14:textId="77777777" w:rsidR="00D7095B" w:rsidRPr="00C443FC" w:rsidRDefault="00D7095B" w:rsidP="00C443FC">
            <w:pPr>
              <w:ind w:right="284"/>
              <w:jc w:val="right"/>
              <w:rPr>
                <w:rFonts w:eastAsia="Calibri"/>
                <w:sz w:val="20"/>
                <w:szCs w:val="20"/>
                <w:lang w:eastAsia="en-US"/>
              </w:rPr>
            </w:pPr>
            <w:r w:rsidRPr="00C443FC">
              <w:rPr>
                <w:rFonts w:eastAsia="Calibri"/>
                <w:sz w:val="20"/>
                <w:szCs w:val="20"/>
                <w:lang w:eastAsia="en-US"/>
              </w:rPr>
              <w:t>0.40</w:t>
            </w:r>
          </w:p>
        </w:tc>
        <w:tc>
          <w:tcPr>
            <w:tcW w:w="1201" w:type="dxa"/>
            <w:gridSpan w:val="2"/>
            <w:tcBorders>
              <w:top w:val="nil"/>
              <w:left w:val="single" w:sz="4" w:space="0" w:color="auto"/>
              <w:bottom w:val="nil"/>
              <w:right w:val="single" w:sz="4" w:space="0" w:color="auto"/>
            </w:tcBorders>
          </w:tcPr>
          <w:p w14:paraId="0A1762CD" w14:textId="77777777" w:rsidR="00D7095B" w:rsidRPr="00C443FC" w:rsidRDefault="00D7095B" w:rsidP="00C443FC">
            <w:pPr>
              <w:ind w:right="284"/>
              <w:jc w:val="right"/>
              <w:rPr>
                <w:rFonts w:eastAsia="Calibri"/>
                <w:sz w:val="20"/>
                <w:szCs w:val="20"/>
                <w:lang w:eastAsia="en-US"/>
              </w:rPr>
            </w:pPr>
            <w:r w:rsidRPr="00C443FC">
              <w:rPr>
                <w:rFonts w:eastAsia="Calibri"/>
                <w:sz w:val="20"/>
                <w:szCs w:val="20"/>
                <w:lang w:eastAsia="en-US"/>
              </w:rPr>
              <w:t>0.41</w:t>
            </w:r>
          </w:p>
        </w:tc>
        <w:tc>
          <w:tcPr>
            <w:tcW w:w="1017" w:type="dxa"/>
            <w:tcBorders>
              <w:top w:val="nil"/>
              <w:left w:val="single" w:sz="4" w:space="0" w:color="auto"/>
              <w:bottom w:val="nil"/>
              <w:right w:val="single" w:sz="4" w:space="0" w:color="auto"/>
            </w:tcBorders>
          </w:tcPr>
          <w:p w14:paraId="3E36075F" w14:textId="77777777" w:rsidR="00D7095B" w:rsidRPr="00C443FC" w:rsidRDefault="00D7095B" w:rsidP="00C443FC">
            <w:pPr>
              <w:ind w:right="284"/>
              <w:jc w:val="right"/>
              <w:rPr>
                <w:rFonts w:eastAsia="Calibri"/>
                <w:sz w:val="20"/>
                <w:szCs w:val="20"/>
                <w:lang w:eastAsia="en-US"/>
              </w:rPr>
            </w:pPr>
            <w:r w:rsidRPr="00C443FC">
              <w:rPr>
                <w:rFonts w:eastAsia="Calibri"/>
                <w:sz w:val="20"/>
                <w:szCs w:val="20"/>
                <w:lang w:eastAsia="en-US"/>
              </w:rPr>
              <w:t>0.40</w:t>
            </w:r>
          </w:p>
        </w:tc>
        <w:tc>
          <w:tcPr>
            <w:tcW w:w="1140" w:type="dxa"/>
            <w:gridSpan w:val="2"/>
            <w:tcBorders>
              <w:top w:val="nil"/>
              <w:left w:val="single" w:sz="4" w:space="0" w:color="auto"/>
              <w:bottom w:val="nil"/>
              <w:right w:val="single" w:sz="4" w:space="0" w:color="auto"/>
            </w:tcBorders>
          </w:tcPr>
          <w:p w14:paraId="39C5AA7E" w14:textId="77777777" w:rsidR="00D7095B" w:rsidRPr="00C443FC" w:rsidRDefault="00D7095B" w:rsidP="00C443FC">
            <w:pPr>
              <w:ind w:right="284"/>
              <w:jc w:val="right"/>
              <w:rPr>
                <w:rFonts w:eastAsia="Calibri"/>
                <w:sz w:val="20"/>
                <w:szCs w:val="20"/>
                <w:lang w:eastAsia="en-US"/>
              </w:rPr>
            </w:pPr>
            <w:r w:rsidRPr="00C443FC">
              <w:rPr>
                <w:rFonts w:eastAsia="Calibri"/>
                <w:sz w:val="20"/>
                <w:szCs w:val="20"/>
                <w:lang w:eastAsia="en-US"/>
              </w:rPr>
              <w:t>0.41</w:t>
            </w:r>
          </w:p>
        </w:tc>
      </w:tr>
      <w:tr w:rsidR="00D7095B" w:rsidRPr="00C443FC" w14:paraId="666EF444" w14:textId="77777777" w:rsidTr="005B2CE5">
        <w:trPr>
          <w:jc w:val="center"/>
        </w:trPr>
        <w:tc>
          <w:tcPr>
            <w:tcW w:w="701" w:type="dxa"/>
            <w:vMerge/>
            <w:tcBorders>
              <w:left w:val="single" w:sz="4" w:space="0" w:color="auto"/>
              <w:right w:val="single" w:sz="4" w:space="0" w:color="auto"/>
            </w:tcBorders>
            <w:vAlign w:val="center"/>
          </w:tcPr>
          <w:p w14:paraId="4BD42533" w14:textId="77777777" w:rsidR="00D7095B" w:rsidRPr="00C443FC" w:rsidRDefault="00D7095B" w:rsidP="00C443FC">
            <w:pPr>
              <w:jc w:val="center"/>
              <w:rPr>
                <w:rFonts w:eastAsia="Calibri"/>
                <w:b/>
                <w:sz w:val="20"/>
                <w:szCs w:val="20"/>
                <w:lang w:eastAsia="en-US"/>
              </w:rPr>
            </w:pPr>
          </w:p>
        </w:tc>
        <w:tc>
          <w:tcPr>
            <w:tcW w:w="1340" w:type="dxa"/>
            <w:tcBorders>
              <w:top w:val="nil"/>
              <w:left w:val="single" w:sz="4" w:space="0" w:color="auto"/>
              <w:bottom w:val="nil"/>
              <w:right w:val="single" w:sz="4" w:space="0" w:color="auto"/>
            </w:tcBorders>
          </w:tcPr>
          <w:p w14:paraId="24A3EB2C" w14:textId="77777777" w:rsidR="00D7095B" w:rsidRPr="00C443FC" w:rsidRDefault="00D7095B" w:rsidP="00C443FC">
            <w:pPr>
              <w:jc w:val="center"/>
              <w:rPr>
                <w:rFonts w:eastAsia="Calibri"/>
                <w:b/>
                <w:sz w:val="20"/>
                <w:szCs w:val="20"/>
                <w:lang w:eastAsia="en-US"/>
              </w:rPr>
            </w:pPr>
            <w:r w:rsidRPr="00C443FC">
              <w:rPr>
                <w:rFonts w:eastAsia="Calibri"/>
                <w:b/>
                <w:sz w:val="20"/>
                <w:szCs w:val="20"/>
                <w:lang w:eastAsia="en-US"/>
              </w:rPr>
              <w:t>Oct.</w:t>
            </w:r>
          </w:p>
        </w:tc>
        <w:tc>
          <w:tcPr>
            <w:tcW w:w="1194" w:type="dxa"/>
            <w:tcBorders>
              <w:top w:val="nil"/>
              <w:left w:val="single" w:sz="4" w:space="0" w:color="auto"/>
              <w:bottom w:val="nil"/>
              <w:right w:val="single" w:sz="4" w:space="0" w:color="auto"/>
            </w:tcBorders>
          </w:tcPr>
          <w:p w14:paraId="3F81C210" w14:textId="77777777" w:rsidR="00D7095B" w:rsidRPr="00C443FC" w:rsidRDefault="00D7095B" w:rsidP="00C443FC">
            <w:pPr>
              <w:ind w:right="284"/>
              <w:jc w:val="right"/>
              <w:rPr>
                <w:rFonts w:eastAsia="Calibri"/>
                <w:sz w:val="20"/>
                <w:szCs w:val="20"/>
                <w:lang w:eastAsia="en-US"/>
              </w:rPr>
            </w:pPr>
            <w:r w:rsidRPr="00C443FC">
              <w:rPr>
                <w:rFonts w:eastAsia="Calibri"/>
                <w:sz w:val="20"/>
                <w:szCs w:val="20"/>
                <w:lang w:eastAsia="en-US"/>
              </w:rPr>
              <w:t>0.49</w:t>
            </w:r>
          </w:p>
        </w:tc>
        <w:tc>
          <w:tcPr>
            <w:tcW w:w="1201" w:type="dxa"/>
            <w:gridSpan w:val="2"/>
            <w:tcBorders>
              <w:top w:val="nil"/>
              <w:left w:val="single" w:sz="4" w:space="0" w:color="auto"/>
              <w:bottom w:val="nil"/>
              <w:right w:val="single" w:sz="4" w:space="0" w:color="auto"/>
            </w:tcBorders>
          </w:tcPr>
          <w:p w14:paraId="6FFEB9CC" w14:textId="77777777" w:rsidR="00D7095B" w:rsidRPr="00C443FC" w:rsidRDefault="00D7095B" w:rsidP="00C443FC">
            <w:pPr>
              <w:ind w:right="284"/>
              <w:jc w:val="right"/>
              <w:rPr>
                <w:rFonts w:eastAsia="Calibri"/>
                <w:sz w:val="20"/>
                <w:szCs w:val="20"/>
                <w:lang w:eastAsia="en-US"/>
              </w:rPr>
            </w:pPr>
            <w:r w:rsidRPr="00C443FC">
              <w:rPr>
                <w:rFonts w:eastAsia="Calibri"/>
                <w:sz w:val="20"/>
                <w:szCs w:val="20"/>
                <w:lang w:eastAsia="en-US"/>
              </w:rPr>
              <w:t>0.53</w:t>
            </w:r>
          </w:p>
        </w:tc>
        <w:tc>
          <w:tcPr>
            <w:tcW w:w="1017" w:type="dxa"/>
            <w:tcBorders>
              <w:top w:val="nil"/>
              <w:left w:val="single" w:sz="4" w:space="0" w:color="auto"/>
              <w:bottom w:val="nil"/>
              <w:right w:val="single" w:sz="4" w:space="0" w:color="auto"/>
            </w:tcBorders>
          </w:tcPr>
          <w:p w14:paraId="1A2ACD15" w14:textId="77777777" w:rsidR="00D7095B" w:rsidRPr="00C443FC" w:rsidRDefault="00D7095B" w:rsidP="00C443FC">
            <w:pPr>
              <w:ind w:right="284"/>
              <w:jc w:val="right"/>
              <w:rPr>
                <w:rFonts w:eastAsia="Calibri"/>
                <w:sz w:val="20"/>
                <w:szCs w:val="20"/>
                <w:lang w:eastAsia="en-US"/>
              </w:rPr>
            </w:pPr>
            <w:r w:rsidRPr="00C443FC">
              <w:rPr>
                <w:rFonts w:eastAsia="Calibri"/>
                <w:sz w:val="20"/>
                <w:szCs w:val="20"/>
                <w:lang w:eastAsia="en-US"/>
              </w:rPr>
              <w:t>0.52</w:t>
            </w:r>
          </w:p>
        </w:tc>
        <w:tc>
          <w:tcPr>
            <w:tcW w:w="1140" w:type="dxa"/>
            <w:gridSpan w:val="2"/>
            <w:tcBorders>
              <w:top w:val="nil"/>
              <w:left w:val="single" w:sz="4" w:space="0" w:color="auto"/>
              <w:bottom w:val="nil"/>
              <w:right w:val="single" w:sz="4" w:space="0" w:color="auto"/>
            </w:tcBorders>
          </w:tcPr>
          <w:p w14:paraId="770A6FC6" w14:textId="77777777" w:rsidR="00D7095B" w:rsidRPr="00C443FC" w:rsidRDefault="00D7095B" w:rsidP="00C443FC">
            <w:pPr>
              <w:ind w:right="284"/>
              <w:jc w:val="right"/>
              <w:rPr>
                <w:rFonts w:eastAsia="Calibri"/>
                <w:sz w:val="20"/>
                <w:szCs w:val="20"/>
                <w:lang w:eastAsia="en-US"/>
              </w:rPr>
            </w:pPr>
            <w:r w:rsidRPr="00C443FC">
              <w:rPr>
                <w:rFonts w:eastAsia="Calibri"/>
                <w:sz w:val="20"/>
                <w:szCs w:val="20"/>
                <w:lang w:eastAsia="en-US"/>
              </w:rPr>
              <w:t>0.52</w:t>
            </w:r>
          </w:p>
        </w:tc>
      </w:tr>
      <w:tr w:rsidR="00D7095B" w:rsidRPr="00C443FC" w14:paraId="770F27A7" w14:textId="77777777" w:rsidTr="00D7095B">
        <w:trPr>
          <w:jc w:val="center"/>
        </w:trPr>
        <w:tc>
          <w:tcPr>
            <w:tcW w:w="701" w:type="dxa"/>
            <w:vMerge/>
            <w:tcBorders>
              <w:left w:val="single" w:sz="4" w:space="0" w:color="auto"/>
              <w:right w:val="single" w:sz="4" w:space="0" w:color="auto"/>
            </w:tcBorders>
            <w:vAlign w:val="center"/>
          </w:tcPr>
          <w:p w14:paraId="499DBFED" w14:textId="77777777" w:rsidR="00D7095B" w:rsidRPr="00C443FC" w:rsidRDefault="00D7095B" w:rsidP="00C443FC">
            <w:pPr>
              <w:jc w:val="center"/>
              <w:rPr>
                <w:rFonts w:eastAsia="Calibri"/>
                <w:b/>
                <w:sz w:val="20"/>
                <w:szCs w:val="20"/>
                <w:lang w:eastAsia="en-US"/>
              </w:rPr>
            </w:pPr>
          </w:p>
        </w:tc>
        <w:tc>
          <w:tcPr>
            <w:tcW w:w="1340" w:type="dxa"/>
            <w:tcBorders>
              <w:top w:val="nil"/>
              <w:left w:val="single" w:sz="4" w:space="0" w:color="auto"/>
              <w:right w:val="single" w:sz="4" w:space="0" w:color="auto"/>
            </w:tcBorders>
          </w:tcPr>
          <w:p w14:paraId="43D8BE2A" w14:textId="77777777" w:rsidR="00D7095B" w:rsidRPr="00C443FC" w:rsidRDefault="00D7095B" w:rsidP="00C443FC">
            <w:pPr>
              <w:jc w:val="center"/>
              <w:rPr>
                <w:rFonts w:eastAsia="Calibri"/>
                <w:b/>
                <w:sz w:val="20"/>
                <w:szCs w:val="20"/>
                <w:lang w:eastAsia="en-US"/>
              </w:rPr>
            </w:pPr>
            <w:r w:rsidRPr="00C443FC">
              <w:rPr>
                <w:rFonts w:eastAsia="Calibri"/>
                <w:b/>
                <w:sz w:val="20"/>
                <w:szCs w:val="20"/>
                <w:lang w:eastAsia="en-US"/>
              </w:rPr>
              <w:t>Nov.</w:t>
            </w:r>
          </w:p>
        </w:tc>
        <w:tc>
          <w:tcPr>
            <w:tcW w:w="1194" w:type="dxa"/>
            <w:tcBorders>
              <w:top w:val="nil"/>
              <w:left w:val="single" w:sz="4" w:space="0" w:color="auto"/>
              <w:right w:val="single" w:sz="4" w:space="0" w:color="auto"/>
            </w:tcBorders>
          </w:tcPr>
          <w:p w14:paraId="6D042DA4" w14:textId="77777777" w:rsidR="00D7095B" w:rsidRPr="00C443FC" w:rsidRDefault="00D7095B" w:rsidP="00C443FC">
            <w:pPr>
              <w:ind w:right="284"/>
              <w:jc w:val="right"/>
              <w:rPr>
                <w:rFonts w:eastAsia="Calibri"/>
                <w:sz w:val="20"/>
                <w:szCs w:val="20"/>
                <w:lang w:eastAsia="en-US"/>
              </w:rPr>
            </w:pPr>
            <w:r w:rsidRPr="00C443FC">
              <w:rPr>
                <w:rFonts w:eastAsia="Calibri"/>
                <w:sz w:val="20"/>
                <w:szCs w:val="20"/>
                <w:lang w:eastAsia="en-US"/>
              </w:rPr>
              <w:t>0.78</w:t>
            </w:r>
          </w:p>
        </w:tc>
        <w:tc>
          <w:tcPr>
            <w:tcW w:w="1201" w:type="dxa"/>
            <w:gridSpan w:val="2"/>
            <w:tcBorders>
              <w:top w:val="nil"/>
              <w:left w:val="single" w:sz="4" w:space="0" w:color="auto"/>
              <w:right w:val="single" w:sz="4" w:space="0" w:color="auto"/>
            </w:tcBorders>
          </w:tcPr>
          <w:p w14:paraId="5457EB5B" w14:textId="77777777" w:rsidR="00D7095B" w:rsidRPr="00C443FC" w:rsidRDefault="00D7095B" w:rsidP="00C443FC">
            <w:pPr>
              <w:ind w:right="284"/>
              <w:jc w:val="right"/>
              <w:rPr>
                <w:rFonts w:eastAsia="Calibri"/>
                <w:sz w:val="20"/>
                <w:szCs w:val="20"/>
                <w:lang w:eastAsia="en-US"/>
              </w:rPr>
            </w:pPr>
            <w:r w:rsidRPr="00C443FC">
              <w:rPr>
                <w:rFonts w:eastAsia="Calibri"/>
                <w:sz w:val="20"/>
                <w:szCs w:val="20"/>
                <w:lang w:eastAsia="en-US"/>
              </w:rPr>
              <w:t>0.80</w:t>
            </w:r>
          </w:p>
        </w:tc>
        <w:tc>
          <w:tcPr>
            <w:tcW w:w="1017" w:type="dxa"/>
            <w:tcBorders>
              <w:top w:val="nil"/>
              <w:left w:val="single" w:sz="4" w:space="0" w:color="auto"/>
              <w:right w:val="single" w:sz="4" w:space="0" w:color="auto"/>
            </w:tcBorders>
          </w:tcPr>
          <w:p w14:paraId="4BECE8C9" w14:textId="77777777" w:rsidR="00D7095B" w:rsidRPr="00C443FC" w:rsidRDefault="00D7095B" w:rsidP="00C443FC">
            <w:pPr>
              <w:ind w:right="284"/>
              <w:jc w:val="right"/>
              <w:rPr>
                <w:rFonts w:eastAsia="Calibri"/>
                <w:sz w:val="20"/>
                <w:szCs w:val="20"/>
                <w:lang w:eastAsia="en-US"/>
              </w:rPr>
            </w:pPr>
            <w:r w:rsidRPr="00C443FC">
              <w:rPr>
                <w:rFonts w:eastAsia="Calibri"/>
                <w:sz w:val="20"/>
                <w:szCs w:val="20"/>
                <w:lang w:eastAsia="en-US"/>
              </w:rPr>
              <w:t>0.79</w:t>
            </w:r>
          </w:p>
        </w:tc>
        <w:tc>
          <w:tcPr>
            <w:tcW w:w="1140" w:type="dxa"/>
            <w:gridSpan w:val="2"/>
            <w:tcBorders>
              <w:top w:val="nil"/>
              <w:left w:val="single" w:sz="4" w:space="0" w:color="auto"/>
              <w:right w:val="single" w:sz="4" w:space="0" w:color="auto"/>
            </w:tcBorders>
          </w:tcPr>
          <w:p w14:paraId="5AAB41FB" w14:textId="77777777" w:rsidR="00D7095B" w:rsidRPr="00C443FC" w:rsidRDefault="00D7095B" w:rsidP="00C443FC">
            <w:pPr>
              <w:ind w:right="284"/>
              <w:jc w:val="right"/>
              <w:rPr>
                <w:rFonts w:eastAsia="Calibri"/>
                <w:sz w:val="20"/>
                <w:szCs w:val="20"/>
                <w:lang w:eastAsia="en-US"/>
              </w:rPr>
            </w:pPr>
            <w:r w:rsidRPr="00C443FC">
              <w:rPr>
                <w:rFonts w:eastAsia="Calibri"/>
                <w:sz w:val="20"/>
                <w:szCs w:val="20"/>
                <w:lang w:eastAsia="en-US"/>
              </w:rPr>
              <w:t>0.80</w:t>
            </w:r>
          </w:p>
        </w:tc>
      </w:tr>
      <w:tr w:rsidR="00D7095B" w:rsidRPr="00C443FC" w14:paraId="1065A5C1" w14:textId="77777777" w:rsidTr="00D7095B">
        <w:trPr>
          <w:jc w:val="center"/>
        </w:trPr>
        <w:tc>
          <w:tcPr>
            <w:tcW w:w="701" w:type="dxa"/>
            <w:vMerge/>
            <w:tcBorders>
              <w:left w:val="single" w:sz="4" w:space="0" w:color="auto"/>
              <w:bottom w:val="single" w:sz="4" w:space="0" w:color="auto"/>
              <w:right w:val="single" w:sz="4" w:space="0" w:color="auto"/>
            </w:tcBorders>
            <w:vAlign w:val="center"/>
          </w:tcPr>
          <w:p w14:paraId="1B7119F9" w14:textId="77777777" w:rsidR="00D7095B" w:rsidRPr="00C443FC" w:rsidRDefault="00D7095B" w:rsidP="00C443FC">
            <w:pPr>
              <w:jc w:val="center"/>
              <w:rPr>
                <w:rFonts w:eastAsia="Calibri"/>
                <w:b/>
                <w:sz w:val="20"/>
                <w:szCs w:val="20"/>
                <w:lang w:eastAsia="en-US"/>
              </w:rPr>
            </w:pPr>
          </w:p>
        </w:tc>
        <w:tc>
          <w:tcPr>
            <w:tcW w:w="1340" w:type="dxa"/>
            <w:tcBorders>
              <w:top w:val="nil"/>
              <w:left w:val="single" w:sz="4" w:space="0" w:color="auto"/>
              <w:bottom w:val="single" w:sz="4" w:space="0" w:color="auto"/>
              <w:right w:val="single" w:sz="4" w:space="0" w:color="auto"/>
            </w:tcBorders>
          </w:tcPr>
          <w:p w14:paraId="5CFE12F0" w14:textId="77777777" w:rsidR="00D7095B" w:rsidRPr="00C443FC" w:rsidRDefault="00D7095B" w:rsidP="00C443FC">
            <w:pPr>
              <w:jc w:val="center"/>
              <w:rPr>
                <w:rFonts w:eastAsia="Calibri"/>
                <w:b/>
                <w:sz w:val="20"/>
                <w:szCs w:val="20"/>
                <w:lang w:eastAsia="en-US"/>
              </w:rPr>
            </w:pPr>
            <w:r w:rsidRPr="00C443FC">
              <w:rPr>
                <w:rFonts w:eastAsia="Calibri"/>
                <w:b/>
                <w:sz w:val="20"/>
                <w:szCs w:val="20"/>
                <w:lang w:eastAsia="en-US"/>
              </w:rPr>
              <w:t>Dic.</w:t>
            </w:r>
          </w:p>
        </w:tc>
        <w:tc>
          <w:tcPr>
            <w:tcW w:w="1194" w:type="dxa"/>
            <w:tcBorders>
              <w:top w:val="nil"/>
              <w:left w:val="single" w:sz="4" w:space="0" w:color="auto"/>
              <w:bottom w:val="single" w:sz="4" w:space="0" w:color="auto"/>
              <w:right w:val="single" w:sz="4" w:space="0" w:color="auto"/>
            </w:tcBorders>
          </w:tcPr>
          <w:p w14:paraId="1A2964D8" w14:textId="77777777" w:rsidR="00D7095B" w:rsidRPr="00C443FC" w:rsidRDefault="00D7095B" w:rsidP="00C443FC">
            <w:pPr>
              <w:ind w:right="284"/>
              <w:jc w:val="right"/>
              <w:rPr>
                <w:rFonts w:eastAsia="Calibri"/>
                <w:sz w:val="20"/>
                <w:szCs w:val="20"/>
                <w:lang w:eastAsia="en-US"/>
              </w:rPr>
            </w:pPr>
            <w:r w:rsidRPr="00C443FC">
              <w:rPr>
                <w:rFonts w:eastAsia="Calibri"/>
                <w:sz w:val="20"/>
                <w:szCs w:val="20"/>
                <w:lang w:eastAsia="en-US"/>
              </w:rPr>
              <w:t>0.49</w:t>
            </w:r>
          </w:p>
        </w:tc>
        <w:tc>
          <w:tcPr>
            <w:tcW w:w="1201" w:type="dxa"/>
            <w:gridSpan w:val="2"/>
            <w:tcBorders>
              <w:top w:val="nil"/>
              <w:left w:val="single" w:sz="4" w:space="0" w:color="auto"/>
              <w:bottom w:val="single" w:sz="4" w:space="0" w:color="auto"/>
              <w:right w:val="single" w:sz="4" w:space="0" w:color="auto"/>
            </w:tcBorders>
          </w:tcPr>
          <w:p w14:paraId="410E7C46" w14:textId="77777777" w:rsidR="00D7095B" w:rsidRPr="00C443FC" w:rsidRDefault="00D7095B" w:rsidP="00C443FC">
            <w:pPr>
              <w:ind w:right="284"/>
              <w:jc w:val="right"/>
              <w:rPr>
                <w:rFonts w:eastAsia="Calibri"/>
                <w:sz w:val="20"/>
                <w:szCs w:val="20"/>
                <w:lang w:eastAsia="en-US"/>
              </w:rPr>
            </w:pPr>
            <w:r w:rsidRPr="00C443FC">
              <w:rPr>
                <w:rFonts w:eastAsia="Calibri"/>
                <w:sz w:val="20"/>
                <w:szCs w:val="20"/>
                <w:lang w:eastAsia="en-US"/>
              </w:rPr>
              <w:t>0.50</w:t>
            </w:r>
          </w:p>
        </w:tc>
        <w:tc>
          <w:tcPr>
            <w:tcW w:w="1017" w:type="dxa"/>
            <w:tcBorders>
              <w:top w:val="nil"/>
              <w:left w:val="single" w:sz="4" w:space="0" w:color="auto"/>
              <w:bottom w:val="single" w:sz="4" w:space="0" w:color="auto"/>
              <w:right w:val="single" w:sz="4" w:space="0" w:color="auto"/>
            </w:tcBorders>
          </w:tcPr>
          <w:p w14:paraId="63C2600C" w14:textId="77777777" w:rsidR="00D7095B" w:rsidRPr="00C443FC" w:rsidRDefault="00D7095B" w:rsidP="00C443FC">
            <w:pPr>
              <w:ind w:right="284"/>
              <w:jc w:val="right"/>
              <w:rPr>
                <w:rFonts w:eastAsia="Calibri"/>
                <w:sz w:val="20"/>
                <w:szCs w:val="20"/>
                <w:lang w:eastAsia="en-US"/>
              </w:rPr>
            </w:pPr>
            <w:r w:rsidRPr="00C443FC">
              <w:rPr>
                <w:rFonts w:eastAsia="Calibri"/>
                <w:sz w:val="20"/>
                <w:szCs w:val="20"/>
                <w:lang w:eastAsia="en-US"/>
              </w:rPr>
              <w:t>0.46</w:t>
            </w:r>
          </w:p>
        </w:tc>
        <w:tc>
          <w:tcPr>
            <w:tcW w:w="1140" w:type="dxa"/>
            <w:gridSpan w:val="2"/>
            <w:tcBorders>
              <w:top w:val="nil"/>
              <w:left w:val="single" w:sz="4" w:space="0" w:color="auto"/>
              <w:bottom w:val="single" w:sz="4" w:space="0" w:color="auto"/>
              <w:right w:val="single" w:sz="4" w:space="0" w:color="auto"/>
            </w:tcBorders>
          </w:tcPr>
          <w:p w14:paraId="32EB854D" w14:textId="77777777" w:rsidR="00D7095B" w:rsidRPr="00C443FC" w:rsidRDefault="00D7095B" w:rsidP="00C443FC">
            <w:pPr>
              <w:ind w:right="284"/>
              <w:jc w:val="right"/>
              <w:rPr>
                <w:rFonts w:eastAsia="Calibri"/>
                <w:sz w:val="20"/>
                <w:szCs w:val="20"/>
                <w:lang w:eastAsia="en-US"/>
              </w:rPr>
            </w:pPr>
            <w:r w:rsidRPr="00C443FC">
              <w:rPr>
                <w:rFonts w:eastAsia="Calibri"/>
                <w:sz w:val="20"/>
                <w:szCs w:val="20"/>
                <w:lang w:eastAsia="en-US"/>
              </w:rPr>
              <w:t>0.47</w:t>
            </w:r>
          </w:p>
        </w:tc>
      </w:tr>
      <w:tr w:rsidR="00C443FC" w:rsidRPr="00C443FC" w14:paraId="5DC56CEC" w14:textId="77777777" w:rsidTr="00D7095B">
        <w:trPr>
          <w:jc w:val="center"/>
        </w:trPr>
        <w:tc>
          <w:tcPr>
            <w:tcW w:w="701" w:type="dxa"/>
            <w:vMerge w:val="restart"/>
            <w:tcBorders>
              <w:top w:val="single" w:sz="4" w:space="0" w:color="auto"/>
              <w:left w:val="single" w:sz="4" w:space="0" w:color="auto"/>
              <w:right w:val="single" w:sz="4" w:space="0" w:color="auto"/>
            </w:tcBorders>
            <w:vAlign w:val="center"/>
          </w:tcPr>
          <w:p w14:paraId="26949B3B"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2016</w:t>
            </w:r>
          </w:p>
        </w:tc>
        <w:tc>
          <w:tcPr>
            <w:tcW w:w="1340" w:type="dxa"/>
            <w:tcBorders>
              <w:top w:val="single" w:sz="4" w:space="0" w:color="auto"/>
              <w:left w:val="single" w:sz="4" w:space="0" w:color="auto"/>
              <w:bottom w:val="nil"/>
              <w:right w:val="single" w:sz="4" w:space="0" w:color="auto"/>
            </w:tcBorders>
          </w:tcPr>
          <w:p w14:paraId="2E13F02A"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Ene.</w:t>
            </w:r>
          </w:p>
        </w:tc>
        <w:tc>
          <w:tcPr>
            <w:tcW w:w="1194" w:type="dxa"/>
            <w:tcBorders>
              <w:top w:val="single" w:sz="4" w:space="0" w:color="auto"/>
              <w:left w:val="single" w:sz="4" w:space="0" w:color="auto"/>
              <w:bottom w:val="nil"/>
              <w:right w:val="single" w:sz="4" w:space="0" w:color="auto"/>
            </w:tcBorders>
          </w:tcPr>
          <w:p w14:paraId="4DF14AE8" w14:textId="77777777" w:rsidR="00C443FC" w:rsidRPr="00C443FC" w:rsidRDefault="00C443FC" w:rsidP="00C443FC">
            <w:pPr>
              <w:ind w:right="284"/>
              <w:jc w:val="right"/>
              <w:rPr>
                <w:rFonts w:eastAsia="Calibri"/>
                <w:sz w:val="20"/>
                <w:szCs w:val="20"/>
                <w:lang w:eastAsia="en-US"/>
              </w:rPr>
            </w:pPr>
            <w:r w:rsidRPr="00C443FC">
              <w:rPr>
                <w:rFonts w:eastAsia="Calibri"/>
                <w:sz w:val="20"/>
                <w:szCs w:val="20"/>
                <w:lang w:eastAsia="en-US"/>
              </w:rPr>
              <w:t>0.44</w:t>
            </w:r>
          </w:p>
        </w:tc>
        <w:tc>
          <w:tcPr>
            <w:tcW w:w="1201" w:type="dxa"/>
            <w:gridSpan w:val="2"/>
            <w:tcBorders>
              <w:top w:val="single" w:sz="4" w:space="0" w:color="auto"/>
              <w:left w:val="single" w:sz="4" w:space="0" w:color="auto"/>
              <w:bottom w:val="nil"/>
              <w:right w:val="single" w:sz="4" w:space="0" w:color="auto"/>
            </w:tcBorders>
          </w:tcPr>
          <w:p w14:paraId="3CD38358" w14:textId="77777777" w:rsidR="00C443FC" w:rsidRPr="00C443FC" w:rsidRDefault="00C443FC" w:rsidP="00C443FC">
            <w:pPr>
              <w:ind w:right="284"/>
              <w:jc w:val="right"/>
              <w:rPr>
                <w:rFonts w:eastAsia="Calibri"/>
                <w:sz w:val="20"/>
                <w:szCs w:val="20"/>
                <w:lang w:eastAsia="en-US"/>
              </w:rPr>
            </w:pPr>
            <w:r w:rsidRPr="00C443FC">
              <w:rPr>
                <w:rFonts w:eastAsia="Calibri"/>
                <w:sz w:val="20"/>
                <w:szCs w:val="20"/>
                <w:lang w:eastAsia="en-US"/>
              </w:rPr>
              <w:t>0.41</w:t>
            </w:r>
          </w:p>
        </w:tc>
        <w:tc>
          <w:tcPr>
            <w:tcW w:w="1017" w:type="dxa"/>
            <w:tcBorders>
              <w:top w:val="single" w:sz="4" w:space="0" w:color="auto"/>
              <w:left w:val="single" w:sz="4" w:space="0" w:color="auto"/>
              <w:bottom w:val="nil"/>
              <w:right w:val="single" w:sz="4" w:space="0" w:color="auto"/>
            </w:tcBorders>
          </w:tcPr>
          <w:p w14:paraId="19629160" w14:textId="77777777" w:rsidR="00C443FC" w:rsidRPr="00C443FC" w:rsidRDefault="00C443FC" w:rsidP="00C443FC">
            <w:pPr>
              <w:ind w:right="284"/>
              <w:jc w:val="right"/>
              <w:rPr>
                <w:rFonts w:eastAsia="Calibri"/>
                <w:sz w:val="20"/>
                <w:szCs w:val="20"/>
                <w:lang w:eastAsia="en-US"/>
              </w:rPr>
            </w:pPr>
            <w:r w:rsidRPr="00C443FC">
              <w:rPr>
                <w:rFonts w:eastAsia="Calibri"/>
                <w:sz w:val="20"/>
                <w:szCs w:val="20"/>
                <w:lang w:eastAsia="en-US"/>
              </w:rPr>
              <w:t>0.45</w:t>
            </w:r>
          </w:p>
        </w:tc>
        <w:tc>
          <w:tcPr>
            <w:tcW w:w="1140" w:type="dxa"/>
            <w:gridSpan w:val="2"/>
            <w:tcBorders>
              <w:top w:val="single" w:sz="4" w:space="0" w:color="auto"/>
              <w:left w:val="single" w:sz="4" w:space="0" w:color="auto"/>
              <w:bottom w:val="nil"/>
              <w:right w:val="single" w:sz="4" w:space="0" w:color="auto"/>
            </w:tcBorders>
          </w:tcPr>
          <w:p w14:paraId="756FD182" w14:textId="77777777" w:rsidR="00C443FC" w:rsidRPr="00C443FC" w:rsidRDefault="00C443FC" w:rsidP="00C443FC">
            <w:pPr>
              <w:ind w:right="284"/>
              <w:jc w:val="right"/>
              <w:rPr>
                <w:rFonts w:eastAsia="Calibri"/>
                <w:sz w:val="20"/>
                <w:szCs w:val="20"/>
                <w:lang w:eastAsia="en-US"/>
              </w:rPr>
            </w:pPr>
            <w:r w:rsidRPr="00C443FC">
              <w:rPr>
                <w:rFonts w:eastAsia="Calibri"/>
                <w:sz w:val="20"/>
                <w:szCs w:val="20"/>
                <w:lang w:eastAsia="en-US"/>
              </w:rPr>
              <w:t>0.44</w:t>
            </w:r>
          </w:p>
        </w:tc>
      </w:tr>
      <w:tr w:rsidR="00C443FC" w:rsidRPr="00C443FC" w14:paraId="6B5EA6B5" w14:textId="77777777" w:rsidTr="005B2CE5">
        <w:trPr>
          <w:jc w:val="center"/>
        </w:trPr>
        <w:tc>
          <w:tcPr>
            <w:tcW w:w="701" w:type="dxa"/>
            <w:vMerge/>
            <w:tcBorders>
              <w:left w:val="single" w:sz="4" w:space="0" w:color="auto"/>
              <w:bottom w:val="single" w:sz="4" w:space="0" w:color="auto"/>
              <w:right w:val="single" w:sz="4" w:space="0" w:color="auto"/>
            </w:tcBorders>
          </w:tcPr>
          <w:p w14:paraId="79F08DF2" w14:textId="77777777" w:rsidR="00C443FC" w:rsidRPr="00C443FC" w:rsidRDefault="00C443FC" w:rsidP="00C443FC">
            <w:pPr>
              <w:jc w:val="center"/>
              <w:rPr>
                <w:rFonts w:eastAsia="Calibri"/>
                <w:b/>
                <w:sz w:val="20"/>
                <w:szCs w:val="20"/>
                <w:lang w:eastAsia="en-US"/>
              </w:rPr>
            </w:pPr>
          </w:p>
        </w:tc>
        <w:tc>
          <w:tcPr>
            <w:tcW w:w="1340" w:type="dxa"/>
            <w:tcBorders>
              <w:top w:val="nil"/>
              <w:left w:val="single" w:sz="4" w:space="0" w:color="auto"/>
              <w:bottom w:val="single" w:sz="4" w:space="0" w:color="auto"/>
              <w:right w:val="single" w:sz="4" w:space="0" w:color="auto"/>
            </w:tcBorders>
          </w:tcPr>
          <w:p w14:paraId="1C82728E"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Feb.</w:t>
            </w:r>
          </w:p>
        </w:tc>
        <w:tc>
          <w:tcPr>
            <w:tcW w:w="1194" w:type="dxa"/>
            <w:tcBorders>
              <w:top w:val="nil"/>
              <w:left w:val="single" w:sz="4" w:space="0" w:color="auto"/>
              <w:bottom w:val="single" w:sz="4" w:space="0" w:color="auto"/>
              <w:right w:val="single" w:sz="4" w:space="0" w:color="auto"/>
            </w:tcBorders>
          </w:tcPr>
          <w:p w14:paraId="53716BF4" w14:textId="77777777" w:rsidR="00C443FC" w:rsidRPr="00C443FC" w:rsidRDefault="00C443FC" w:rsidP="00C443FC">
            <w:pPr>
              <w:ind w:right="284"/>
              <w:jc w:val="right"/>
              <w:rPr>
                <w:rFonts w:eastAsia="Calibri"/>
                <w:sz w:val="20"/>
                <w:szCs w:val="20"/>
                <w:lang w:eastAsia="en-US"/>
              </w:rPr>
            </w:pPr>
          </w:p>
        </w:tc>
        <w:tc>
          <w:tcPr>
            <w:tcW w:w="1201" w:type="dxa"/>
            <w:gridSpan w:val="2"/>
            <w:tcBorders>
              <w:top w:val="nil"/>
              <w:left w:val="single" w:sz="4" w:space="0" w:color="auto"/>
              <w:bottom w:val="single" w:sz="4" w:space="0" w:color="auto"/>
              <w:right w:val="single" w:sz="4" w:space="0" w:color="auto"/>
            </w:tcBorders>
          </w:tcPr>
          <w:p w14:paraId="41475C96" w14:textId="77777777" w:rsidR="00C443FC" w:rsidRPr="00C443FC" w:rsidRDefault="00C443FC" w:rsidP="00C443FC">
            <w:pPr>
              <w:ind w:right="284"/>
              <w:jc w:val="right"/>
              <w:rPr>
                <w:rFonts w:eastAsia="Calibri"/>
                <w:sz w:val="20"/>
                <w:szCs w:val="20"/>
                <w:lang w:eastAsia="en-US"/>
              </w:rPr>
            </w:pPr>
            <w:r w:rsidRPr="00C443FC">
              <w:rPr>
                <w:rFonts w:eastAsia="Calibri"/>
                <w:sz w:val="20"/>
                <w:szCs w:val="20"/>
                <w:lang w:eastAsia="en-US"/>
              </w:rPr>
              <w:t>0.27</w:t>
            </w:r>
          </w:p>
        </w:tc>
        <w:tc>
          <w:tcPr>
            <w:tcW w:w="1017" w:type="dxa"/>
            <w:tcBorders>
              <w:top w:val="nil"/>
              <w:left w:val="single" w:sz="4" w:space="0" w:color="auto"/>
              <w:bottom w:val="single" w:sz="4" w:space="0" w:color="auto"/>
              <w:right w:val="single" w:sz="4" w:space="0" w:color="auto"/>
            </w:tcBorders>
          </w:tcPr>
          <w:p w14:paraId="69B7C460" w14:textId="77777777" w:rsidR="00C443FC" w:rsidRPr="00C443FC" w:rsidRDefault="00C443FC" w:rsidP="00C443FC">
            <w:pPr>
              <w:ind w:right="284"/>
              <w:jc w:val="right"/>
              <w:rPr>
                <w:rFonts w:eastAsia="Calibri"/>
                <w:sz w:val="20"/>
                <w:szCs w:val="20"/>
                <w:lang w:eastAsia="en-US"/>
              </w:rPr>
            </w:pPr>
          </w:p>
        </w:tc>
        <w:tc>
          <w:tcPr>
            <w:tcW w:w="1140" w:type="dxa"/>
            <w:gridSpan w:val="2"/>
            <w:tcBorders>
              <w:top w:val="nil"/>
              <w:left w:val="single" w:sz="4" w:space="0" w:color="auto"/>
              <w:bottom w:val="single" w:sz="4" w:space="0" w:color="auto"/>
              <w:right w:val="single" w:sz="4" w:space="0" w:color="auto"/>
            </w:tcBorders>
          </w:tcPr>
          <w:p w14:paraId="49F58791" w14:textId="77777777" w:rsidR="00C443FC" w:rsidRPr="00C443FC" w:rsidRDefault="00C443FC" w:rsidP="00C443FC">
            <w:pPr>
              <w:ind w:right="284"/>
              <w:jc w:val="right"/>
              <w:rPr>
                <w:rFonts w:eastAsia="Calibri"/>
                <w:sz w:val="20"/>
                <w:szCs w:val="20"/>
                <w:lang w:eastAsia="en-US"/>
              </w:rPr>
            </w:pPr>
            <w:r w:rsidRPr="00C443FC">
              <w:rPr>
                <w:rFonts w:eastAsia="Calibri"/>
                <w:sz w:val="20"/>
                <w:szCs w:val="20"/>
                <w:lang w:eastAsia="en-US"/>
              </w:rPr>
              <w:t>0.27</w:t>
            </w:r>
          </w:p>
        </w:tc>
      </w:tr>
      <w:tr w:rsidR="00C443FC" w:rsidRPr="00C443FC" w14:paraId="42154C63" w14:textId="77777777" w:rsidTr="005B2CE5">
        <w:trPr>
          <w:jc w:val="center"/>
        </w:trPr>
        <w:tc>
          <w:tcPr>
            <w:tcW w:w="2041" w:type="dxa"/>
            <w:gridSpan w:val="2"/>
            <w:tcBorders>
              <w:top w:val="single" w:sz="4" w:space="0" w:color="auto"/>
              <w:left w:val="single" w:sz="4" w:space="0" w:color="auto"/>
              <w:bottom w:val="single" w:sz="4" w:space="0" w:color="auto"/>
              <w:right w:val="single" w:sz="4" w:space="0" w:color="auto"/>
            </w:tcBorders>
          </w:tcPr>
          <w:p w14:paraId="292E5036" w14:textId="77777777" w:rsidR="00C443FC" w:rsidRPr="00C443FC" w:rsidRDefault="00C443FC" w:rsidP="00C443FC">
            <w:pPr>
              <w:rPr>
                <w:rFonts w:eastAsia="Calibri"/>
                <w:b/>
                <w:sz w:val="20"/>
                <w:szCs w:val="20"/>
                <w:lang w:eastAsia="en-US"/>
              </w:rPr>
            </w:pPr>
            <w:r w:rsidRPr="00C443FC">
              <w:rPr>
                <w:rFonts w:eastAsia="Calibri"/>
                <w:b/>
                <w:sz w:val="20"/>
                <w:szCs w:val="20"/>
                <w:lang w:eastAsia="en-US"/>
              </w:rPr>
              <w:t>Inflación Subyacente</w:t>
            </w:r>
          </w:p>
        </w:tc>
        <w:tc>
          <w:tcPr>
            <w:tcW w:w="4552" w:type="dxa"/>
            <w:gridSpan w:val="6"/>
            <w:tcBorders>
              <w:top w:val="single" w:sz="4" w:space="0" w:color="auto"/>
              <w:left w:val="single" w:sz="4" w:space="0" w:color="auto"/>
              <w:bottom w:val="single" w:sz="4" w:space="0" w:color="auto"/>
              <w:right w:val="single" w:sz="4" w:space="0" w:color="auto"/>
            </w:tcBorders>
          </w:tcPr>
          <w:p w14:paraId="70C7F52A" w14:textId="77777777" w:rsidR="00C443FC" w:rsidRPr="00C443FC" w:rsidRDefault="00C443FC" w:rsidP="00C443FC">
            <w:pPr>
              <w:ind w:right="284"/>
              <w:jc w:val="right"/>
              <w:rPr>
                <w:rFonts w:eastAsia="Calibri"/>
                <w:sz w:val="20"/>
                <w:szCs w:val="20"/>
                <w:lang w:eastAsia="en-US"/>
              </w:rPr>
            </w:pPr>
          </w:p>
        </w:tc>
      </w:tr>
      <w:tr w:rsidR="00C443FC" w:rsidRPr="00C443FC" w14:paraId="24649058" w14:textId="77777777" w:rsidTr="005B2CE5">
        <w:trPr>
          <w:jc w:val="center"/>
        </w:trPr>
        <w:tc>
          <w:tcPr>
            <w:tcW w:w="701" w:type="dxa"/>
            <w:tcBorders>
              <w:top w:val="single" w:sz="4" w:space="0" w:color="auto"/>
              <w:left w:val="single" w:sz="4" w:space="0" w:color="auto"/>
              <w:bottom w:val="single" w:sz="4" w:space="0" w:color="auto"/>
              <w:right w:val="single" w:sz="4" w:space="0" w:color="auto"/>
            </w:tcBorders>
          </w:tcPr>
          <w:p w14:paraId="46203CD1"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2015</w:t>
            </w:r>
          </w:p>
        </w:tc>
        <w:tc>
          <w:tcPr>
            <w:tcW w:w="1340" w:type="dxa"/>
            <w:tcBorders>
              <w:top w:val="single" w:sz="4" w:space="0" w:color="auto"/>
              <w:left w:val="single" w:sz="4" w:space="0" w:color="auto"/>
              <w:bottom w:val="single" w:sz="4" w:space="0" w:color="auto"/>
              <w:right w:val="single" w:sz="4" w:space="0" w:color="auto"/>
            </w:tcBorders>
          </w:tcPr>
          <w:p w14:paraId="5DCA095F"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Feb.</w:t>
            </w:r>
          </w:p>
        </w:tc>
        <w:tc>
          <w:tcPr>
            <w:tcW w:w="1194" w:type="dxa"/>
            <w:tcBorders>
              <w:top w:val="single" w:sz="4" w:space="0" w:color="auto"/>
              <w:left w:val="single" w:sz="4" w:space="0" w:color="auto"/>
              <w:bottom w:val="single" w:sz="4" w:space="0" w:color="auto"/>
              <w:right w:val="single" w:sz="4" w:space="0" w:color="auto"/>
            </w:tcBorders>
          </w:tcPr>
          <w:p w14:paraId="2AD66D7C" w14:textId="77777777" w:rsidR="00C443FC" w:rsidRPr="00C443FC" w:rsidRDefault="00C443FC" w:rsidP="00C443FC">
            <w:pPr>
              <w:ind w:right="113"/>
              <w:jc w:val="right"/>
              <w:rPr>
                <w:rFonts w:eastAsia="Calibri"/>
                <w:sz w:val="20"/>
                <w:szCs w:val="20"/>
                <w:lang w:eastAsia="en-US"/>
              </w:rPr>
            </w:pPr>
          </w:p>
        </w:tc>
        <w:tc>
          <w:tcPr>
            <w:tcW w:w="1167" w:type="dxa"/>
            <w:tcBorders>
              <w:top w:val="single" w:sz="4" w:space="0" w:color="auto"/>
              <w:left w:val="single" w:sz="4" w:space="0" w:color="auto"/>
              <w:bottom w:val="single" w:sz="4" w:space="0" w:color="auto"/>
              <w:right w:val="single" w:sz="4" w:space="0" w:color="auto"/>
            </w:tcBorders>
          </w:tcPr>
          <w:p w14:paraId="7F32FE11" w14:textId="77777777" w:rsidR="00C443FC" w:rsidRPr="00C443FC" w:rsidRDefault="00C443FC" w:rsidP="00C443FC">
            <w:pPr>
              <w:ind w:right="284"/>
              <w:jc w:val="right"/>
              <w:rPr>
                <w:rFonts w:eastAsia="Calibri"/>
                <w:sz w:val="20"/>
                <w:szCs w:val="20"/>
                <w:lang w:eastAsia="en-US"/>
              </w:rPr>
            </w:pPr>
            <w:r w:rsidRPr="00C443FC">
              <w:rPr>
                <w:rFonts w:eastAsia="Calibri"/>
                <w:sz w:val="20"/>
                <w:szCs w:val="20"/>
                <w:lang w:eastAsia="en-US"/>
              </w:rPr>
              <w:t>0.35</w:t>
            </w:r>
          </w:p>
        </w:tc>
        <w:tc>
          <w:tcPr>
            <w:tcW w:w="1051" w:type="dxa"/>
            <w:gridSpan w:val="2"/>
            <w:tcBorders>
              <w:top w:val="single" w:sz="4" w:space="0" w:color="auto"/>
              <w:left w:val="single" w:sz="4" w:space="0" w:color="auto"/>
              <w:bottom w:val="single" w:sz="4" w:space="0" w:color="auto"/>
              <w:right w:val="single" w:sz="4" w:space="0" w:color="auto"/>
            </w:tcBorders>
          </w:tcPr>
          <w:p w14:paraId="6249D214" w14:textId="77777777" w:rsidR="00C443FC" w:rsidRPr="00C443FC" w:rsidRDefault="00C443FC" w:rsidP="00C443FC">
            <w:pPr>
              <w:ind w:right="284"/>
              <w:jc w:val="right"/>
              <w:rPr>
                <w:rFonts w:eastAsia="Calibri"/>
                <w:sz w:val="20"/>
                <w:szCs w:val="20"/>
                <w:lang w:eastAsia="en-US"/>
              </w:rPr>
            </w:pPr>
          </w:p>
        </w:tc>
        <w:tc>
          <w:tcPr>
            <w:tcW w:w="1140" w:type="dxa"/>
            <w:gridSpan w:val="2"/>
            <w:tcBorders>
              <w:top w:val="single" w:sz="4" w:space="0" w:color="auto"/>
              <w:left w:val="single" w:sz="4" w:space="0" w:color="auto"/>
              <w:bottom w:val="single" w:sz="4" w:space="0" w:color="auto"/>
              <w:right w:val="single" w:sz="4" w:space="0" w:color="auto"/>
            </w:tcBorders>
          </w:tcPr>
          <w:p w14:paraId="450D2581" w14:textId="77777777" w:rsidR="00C443FC" w:rsidRPr="00C443FC" w:rsidRDefault="00C443FC" w:rsidP="00C443FC">
            <w:pPr>
              <w:ind w:right="284"/>
              <w:jc w:val="right"/>
              <w:rPr>
                <w:rFonts w:eastAsia="Calibri"/>
                <w:sz w:val="20"/>
                <w:szCs w:val="20"/>
                <w:lang w:eastAsia="en-US"/>
              </w:rPr>
            </w:pPr>
            <w:r w:rsidRPr="00C443FC">
              <w:rPr>
                <w:rFonts w:eastAsia="Calibri"/>
                <w:sz w:val="20"/>
                <w:szCs w:val="20"/>
                <w:lang w:eastAsia="en-US"/>
              </w:rPr>
              <w:t>0.36</w:t>
            </w:r>
          </w:p>
        </w:tc>
      </w:tr>
      <w:tr w:rsidR="00C443FC" w:rsidRPr="00C443FC" w14:paraId="0FA7099F" w14:textId="77777777" w:rsidTr="005B2CE5">
        <w:trPr>
          <w:jc w:val="center"/>
        </w:trPr>
        <w:tc>
          <w:tcPr>
            <w:tcW w:w="6593" w:type="dxa"/>
            <w:gridSpan w:val="8"/>
            <w:tcBorders>
              <w:left w:val="nil"/>
              <w:bottom w:val="nil"/>
              <w:right w:val="nil"/>
            </w:tcBorders>
          </w:tcPr>
          <w:p w14:paraId="41024893" w14:textId="77777777" w:rsidR="00C443FC" w:rsidRPr="00C443FC" w:rsidRDefault="00C443FC" w:rsidP="00C443FC">
            <w:pPr>
              <w:jc w:val="both"/>
              <w:rPr>
                <w:rFonts w:eastAsia="Calibri"/>
                <w:sz w:val="20"/>
                <w:szCs w:val="20"/>
                <w:lang w:eastAsia="en-US"/>
              </w:rPr>
            </w:pPr>
            <w:r w:rsidRPr="00C443FC">
              <w:rPr>
                <w:rFonts w:eastAsia="Calibri"/>
                <w:sz w:val="20"/>
                <w:szCs w:val="20"/>
                <w:lang w:eastAsia="en-US"/>
              </w:rPr>
              <w:t>FUENTE: Banco de México.</w:t>
            </w:r>
          </w:p>
        </w:tc>
      </w:tr>
    </w:tbl>
    <w:p w14:paraId="1628C08D" w14:textId="77777777" w:rsidR="00C443FC" w:rsidRPr="00C443FC" w:rsidRDefault="00C443FC" w:rsidP="00C443FC">
      <w:pPr>
        <w:spacing w:after="360" w:line="360" w:lineRule="auto"/>
        <w:ind w:right="-159"/>
        <w:jc w:val="both"/>
        <w:rPr>
          <w:rFonts w:eastAsia="Calibri"/>
          <w:sz w:val="26"/>
          <w:szCs w:val="26"/>
          <w:lang w:eastAsia="en-US"/>
        </w:rPr>
      </w:pPr>
    </w:p>
    <w:p w14:paraId="346FA602" w14:textId="77777777" w:rsidR="00C443FC" w:rsidRPr="00C443FC" w:rsidRDefault="00C443FC" w:rsidP="00C443FC">
      <w:pPr>
        <w:spacing w:after="360" w:line="360" w:lineRule="auto"/>
        <w:ind w:right="-159"/>
        <w:jc w:val="both"/>
        <w:rPr>
          <w:rFonts w:eastAsia="Calibri"/>
          <w:sz w:val="26"/>
          <w:szCs w:val="26"/>
          <w:lang w:eastAsia="en-US"/>
        </w:rPr>
      </w:pPr>
      <w:r w:rsidRPr="00C443FC">
        <w:rPr>
          <w:rFonts w:eastAsia="Calibri"/>
          <w:sz w:val="26"/>
          <w:szCs w:val="26"/>
          <w:lang w:eastAsia="en-US"/>
        </w:rPr>
        <w:t xml:space="preserve">Como puede apreciarse, las expectativas de inflación general para el cierre de 2015, disminuyeron en relación con las de la encuesta de enero, en tanto que para los próximos 12 meses y para el cierre de 2016 se mantuvieron en niveles similares. En cuanto a las perspectivas de inflación subyacente para los cierres de 2015 y 2016, éstas </w:t>
      </w:r>
      <w:r w:rsidRPr="00C443FC">
        <w:rPr>
          <w:rFonts w:eastAsia="Calibri"/>
          <w:sz w:val="26"/>
          <w:szCs w:val="26"/>
          <w:lang w:eastAsia="en-US"/>
        </w:rPr>
        <w:lastRenderedPageBreak/>
        <w:t>permanecieron cercanas a las del mes previo, si bien la mediana de dichos pronósticos para el cierre de 2015 disminuyó. Para los próximos 12 meses, las previsiones de inflación subyacente se revisaron a la baja con respecto al mes anterior.</w:t>
      </w:r>
    </w:p>
    <w:p w14:paraId="3A406AD3" w14:textId="733FF061" w:rsidR="00C443FC" w:rsidRDefault="00C443FC" w:rsidP="00C443FC">
      <w:pPr>
        <w:spacing w:after="360" w:line="360" w:lineRule="auto"/>
        <w:ind w:right="-159"/>
        <w:jc w:val="both"/>
        <w:rPr>
          <w:rFonts w:eastAsia="Calibri"/>
          <w:sz w:val="26"/>
          <w:szCs w:val="26"/>
          <w:lang w:eastAsia="en-US"/>
        </w:rPr>
      </w:pPr>
      <w:r w:rsidRPr="00C443FC">
        <w:rPr>
          <w:rFonts w:eastAsia="Calibri"/>
          <w:sz w:val="26"/>
          <w:szCs w:val="26"/>
          <w:lang w:eastAsia="en-US"/>
        </w:rPr>
        <w:t xml:space="preserve">La gráfica </w:t>
      </w:r>
      <w:r w:rsidRPr="00C443FC">
        <w:rPr>
          <w:rFonts w:eastAsia="Calibri"/>
          <w:i/>
          <w:sz w:val="26"/>
          <w:szCs w:val="26"/>
          <w:lang w:eastAsia="en-US"/>
        </w:rPr>
        <w:t>Expectativas de la inflación anual (Probabilidad media de que la inflación se encuentre en el intervalo indicado)</w:t>
      </w:r>
      <w:r w:rsidRPr="00C443FC">
        <w:rPr>
          <w:rFonts w:eastAsia="Calibri"/>
          <w:sz w:val="26"/>
          <w:szCs w:val="26"/>
          <w:lang w:eastAsia="en-US"/>
        </w:rPr>
        <w:t xml:space="preserve"> presenta la media de las probabilidades que los analistas asignan a que la inflación general y subyacente, para los mismos plazos, se ubique dentro de distintos intervalos</w:t>
      </w:r>
      <w:r w:rsidRPr="00C443FC">
        <w:rPr>
          <w:rFonts w:eastAsia="Calibri"/>
          <w:sz w:val="26"/>
          <w:szCs w:val="26"/>
          <w:vertAlign w:val="superscript"/>
          <w:lang w:eastAsia="en-US"/>
        </w:rPr>
        <w:footnoteReference w:id="83"/>
      </w:r>
      <w:r w:rsidR="00D7095B">
        <w:rPr>
          <w:rFonts w:eastAsia="Calibri"/>
          <w:sz w:val="26"/>
          <w:szCs w:val="26"/>
          <w:lang w:eastAsia="en-US"/>
        </w:rPr>
        <w:t>.</w:t>
      </w:r>
      <w:r w:rsidRPr="00C443FC">
        <w:rPr>
          <w:rFonts w:eastAsia="Calibri"/>
          <w:sz w:val="26"/>
          <w:szCs w:val="26"/>
          <w:lang w:eastAsia="en-US"/>
        </w:rPr>
        <w:t xml:space="preserve"> Como puede observarse, para la inflación general correspondiente al cierre de 2015, los especialistas disminuyeron con respecto al mes anterior la probabilidad asignada al intervalo de 3.6 a 4.0%, al tiempo que aumentaron la probabilidad otorgada al intervalo de 3.1 a 3.5%, siendo este último intervalo al que mayor probabilidad se asignó en esta ocasión. Para el cierre de 2016, los analistas continuaron otorgando la mayor probabilidad al intervalo de 3.1 a 3.5%. En lo referente a la inflación subyacente para el cierre de 2015, los especialistas disminuyeron la probabilidad asignada a los intervalos de 2.1 a 2.5% y de 3.1 a 3.5%, en tanto que aumentaron la probabilidad otorgada al intervalo de 2.6 a 3.0%, siendo este último intervalo al que mayor probabilidad se continuó asignando. Para 2016, la mayor probabilidad continuó siendo otorgada al intervalo de 3.1 a 3.5 por</w:t>
      </w:r>
      <w:r w:rsidR="00D7095B">
        <w:rPr>
          <w:rFonts w:eastAsia="Calibri"/>
          <w:sz w:val="26"/>
          <w:szCs w:val="26"/>
          <w:lang w:eastAsia="en-US"/>
        </w:rPr>
        <w:t xml:space="preserve"> </w:t>
      </w:r>
      <w:r w:rsidRPr="00C443FC">
        <w:rPr>
          <w:rFonts w:eastAsia="Calibri"/>
          <w:sz w:val="26"/>
          <w:szCs w:val="26"/>
          <w:lang w:eastAsia="en-US"/>
        </w:rPr>
        <w:t>ciento.</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28"/>
      </w:tblGrid>
      <w:tr w:rsidR="00186358" w:rsidRPr="00186358" w14:paraId="10484307" w14:textId="77777777" w:rsidTr="00F443FB">
        <w:tc>
          <w:tcPr>
            <w:tcW w:w="8828" w:type="dxa"/>
          </w:tcPr>
          <w:p w14:paraId="38E3A546" w14:textId="4345686C" w:rsidR="00186358" w:rsidRPr="00186358" w:rsidRDefault="00186358" w:rsidP="00186358">
            <w:pPr>
              <w:jc w:val="center"/>
              <w:rPr>
                <w:rFonts w:ascii="Calibri" w:eastAsia="Calibri" w:hAnsi="Calibri"/>
                <w:sz w:val="22"/>
                <w:szCs w:val="22"/>
                <w:lang w:eastAsia="en-US"/>
              </w:rPr>
            </w:pPr>
            <w:r w:rsidRPr="00186358">
              <w:rPr>
                <w:rFonts w:ascii="Calibri" w:eastAsia="Calibri" w:hAnsi="Calibri"/>
                <w:sz w:val="22"/>
                <w:szCs w:val="22"/>
                <w:lang w:eastAsia="en-US"/>
              </w:rPr>
              <w:lastRenderedPageBreak/>
              <w:fldChar w:fldCharType="begin"/>
            </w:r>
            <w:r w:rsidRPr="00186358">
              <w:rPr>
                <w:rFonts w:ascii="Calibri" w:eastAsia="Calibri" w:hAnsi="Calibri"/>
                <w:sz w:val="22"/>
                <w:szCs w:val="22"/>
                <w:lang w:eastAsia="en-US"/>
              </w:rPr>
              <w:instrText xml:space="preserve"> LINK PowerPoint.Slide.8 "D:\\2015\\MARZO 2014\\GRÁFICAS EN POWER POINT\\13.- GRÁFICAS DE EXPECTATIVAS.pptx!257" "" \a \p </w:instrText>
            </w:r>
            <w:r w:rsidRPr="00186358">
              <w:rPr>
                <w:rFonts w:ascii="Calibri" w:eastAsia="Calibri" w:hAnsi="Calibri"/>
                <w:sz w:val="22"/>
                <w:szCs w:val="22"/>
                <w:lang w:eastAsia="en-US"/>
              </w:rPr>
              <w:fldChar w:fldCharType="separate"/>
            </w:r>
            <w:r w:rsidRPr="00186358">
              <w:rPr>
                <w:rFonts w:ascii="Calibri" w:eastAsia="Calibri" w:hAnsi="Calibri"/>
                <w:noProof/>
                <w:sz w:val="22"/>
                <w:szCs w:val="22"/>
                <w:lang w:eastAsia="es-MX"/>
              </w:rPr>
              <w:drawing>
                <wp:inline distT="0" distB="0" distL="0" distR="0" wp14:anchorId="624753DF" wp14:editId="51E46D64">
                  <wp:extent cx="5097145" cy="2156460"/>
                  <wp:effectExtent l="0" t="0" r="8255" b="0"/>
                  <wp:docPr id="184" name="Imagen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
                          <pic:cNvPicPr>
                            <a:picLocks noChangeAspect="1" noChangeArrowheads="1"/>
                          </pic:cNvPicPr>
                        </pic:nvPicPr>
                        <pic:blipFill>
                          <a:blip r:embed="rId239" cstate="print">
                            <a:extLst>
                              <a:ext uri="{28A0092B-C50C-407E-A947-70E740481C1C}">
                                <a14:useLocalDpi xmlns:a14="http://schemas.microsoft.com/office/drawing/2010/main" val="0"/>
                              </a:ext>
                            </a:extLst>
                          </a:blip>
                          <a:srcRect l="4396" t="1761" r="4114" b="29724"/>
                          <a:stretch>
                            <a:fillRect/>
                          </a:stretch>
                        </pic:blipFill>
                        <pic:spPr bwMode="auto">
                          <a:xfrm>
                            <a:off x="0" y="0"/>
                            <a:ext cx="5097145" cy="2156460"/>
                          </a:xfrm>
                          <a:prstGeom prst="rect">
                            <a:avLst/>
                          </a:prstGeom>
                          <a:noFill/>
                          <a:ln>
                            <a:noFill/>
                          </a:ln>
                        </pic:spPr>
                      </pic:pic>
                    </a:graphicData>
                  </a:graphic>
                </wp:inline>
              </w:drawing>
            </w:r>
            <w:r w:rsidRPr="00186358">
              <w:rPr>
                <w:rFonts w:ascii="Calibri" w:eastAsia="Calibri" w:hAnsi="Calibri"/>
                <w:sz w:val="22"/>
                <w:szCs w:val="22"/>
                <w:lang w:eastAsia="en-US"/>
              </w:rPr>
              <w:fldChar w:fldCharType="end"/>
            </w:r>
          </w:p>
        </w:tc>
      </w:tr>
      <w:tr w:rsidR="00186358" w:rsidRPr="00186358" w14:paraId="192A47B5" w14:textId="77777777" w:rsidTr="00F443FB">
        <w:tc>
          <w:tcPr>
            <w:tcW w:w="8828" w:type="dxa"/>
          </w:tcPr>
          <w:p w14:paraId="3F4019CB" w14:textId="670EFE71" w:rsidR="00186358" w:rsidRPr="00186358" w:rsidRDefault="00186358" w:rsidP="00186358">
            <w:pPr>
              <w:jc w:val="center"/>
              <w:rPr>
                <w:rFonts w:ascii="Calibri" w:eastAsia="Calibri" w:hAnsi="Calibri"/>
                <w:sz w:val="22"/>
                <w:szCs w:val="22"/>
                <w:lang w:eastAsia="en-US"/>
              </w:rPr>
            </w:pPr>
            <w:r w:rsidRPr="00186358">
              <w:rPr>
                <w:rFonts w:ascii="Calibri" w:eastAsia="Calibri" w:hAnsi="Calibri"/>
                <w:sz w:val="22"/>
                <w:szCs w:val="22"/>
                <w:lang w:eastAsia="en-US"/>
              </w:rPr>
              <w:fldChar w:fldCharType="begin"/>
            </w:r>
            <w:r w:rsidRPr="00186358">
              <w:rPr>
                <w:rFonts w:ascii="Calibri" w:eastAsia="Calibri" w:hAnsi="Calibri"/>
                <w:sz w:val="22"/>
                <w:szCs w:val="22"/>
                <w:lang w:eastAsia="en-US"/>
              </w:rPr>
              <w:instrText xml:space="preserve"> LINK PowerPoint.Slide.8 "D:\\2015\\MARZO 2014\\GRÁFICAS EN POWER POINT\\13.- GRÁFICAS DE EXPECTATIVAS.pptx!269" "" \a \p </w:instrText>
            </w:r>
            <w:r w:rsidRPr="00186358">
              <w:rPr>
                <w:rFonts w:ascii="Calibri" w:eastAsia="Calibri" w:hAnsi="Calibri"/>
                <w:sz w:val="22"/>
                <w:szCs w:val="22"/>
                <w:lang w:eastAsia="en-US"/>
              </w:rPr>
              <w:fldChar w:fldCharType="separate"/>
            </w:r>
            <w:r w:rsidRPr="00186358">
              <w:rPr>
                <w:rFonts w:ascii="Calibri" w:eastAsia="Calibri" w:hAnsi="Calibri"/>
                <w:noProof/>
                <w:sz w:val="22"/>
                <w:szCs w:val="22"/>
                <w:lang w:eastAsia="es-MX"/>
              </w:rPr>
              <w:drawing>
                <wp:inline distT="0" distB="0" distL="0" distR="0" wp14:anchorId="65697717" wp14:editId="4FA4243C">
                  <wp:extent cx="5128260" cy="1748790"/>
                  <wp:effectExtent l="0" t="0" r="0" b="3810"/>
                  <wp:docPr id="183" name="Imagen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
                          <pic:cNvPicPr>
                            <a:picLocks noChangeAspect="1" noChangeArrowheads="1"/>
                          </pic:cNvPicPr>
                        </pic:nvPicPr>
                        <pic:blipFill>
                          <a:blip r:embed="rId240" cstate="print">
                            <a:extLst>
                              <a:ext uri="{28A0092B-C50C-407E-A947-70E740481C1C}">
                                <a14:useLocalDpi xmlns:a14="http://schemas.microsoft.com/office/drawing/2010/main" val="0"/>
                              </a:ext>
                            </a:extLst>
                          </a:blip>
                          <a:srcRect l="3967" r="4407" b="44336"/>
                          <a:stretch>
                            <a:fillRect/>
                          </a:stretch>
                        </pic:blipFill>
                        <pic:spPr bwMode="auto">
                          <a:xfrm>
                            <a:off x="0" y="0"/>
                            <a:ext cx="5128260" cy="1748790"/>
                          </a:xfrm>
                          <a:prstGeom prst="rect">
                            <a:avLst/>
                          </a:prstGeom>
                          <a:noFill/>
                          <a:ln>
                            <a:noFill/>
                          </a:ln>
                        </pic:spPr>
                      </pic:pic>
                    </a:graphicData>
                  </a:graphic>
                </wp:inline>
              </w:drawing>
            </w:r>
            <w:r w:rsidRPr="00186358">
              <w:rPr>
                <w:rFonts w:ascii="Calibri" w:eastAsia="Calibri" w:hAnsi="Calibri"/>
                <w:sz w:val="22"/>
                <w:szCs w:val="22"/>
                <w:lang w:eastAsia="en-US"/>
              </w:rPr>
              <w:fldChar w:fldCharType="end"/>
            </w:r>
          </w:p>
        </w:tc>
      </w:tr>
      <w:tr w:rsidR="00186358" w:rsidRPr="00186358" w14:paraId="53902E33" w14:textId="77777777" w:rsidTr="00F443FB">
        <w:tc>
          <w:tcPr>
            <w:tcW w:w="8828" w:type="dxa"/>
          </w:tcPr>
          <w:p w14:paraId="060D9EC2" w14:textId="25500B5D" w:rsidR="00186358" w:rsidRPr="00186358" w:rsidRDefault="00186358" w:rsidP="00186358">
            <w:pPr>
              <w:jc w:val="center"/>
              <w:rPr>
                <w:rFonts w:ascii="Calibri" w:eastAsia="Calibri" w:hAnsi="Calibri"/>
                <w:sz w:val="22"/>
                <w:szCs w:val="22"/>
                <w:lang w:eastAsia="en-US"/>
              </w:rPr>
            </w:pPr>
            <w:r w:rsidRPr="00186358">
              <w:rPr>
                <w:rFonts w:ascii="Calibri" w:eastAsia="Calibri" w:hAnsi="Calibri"/>
                <w:sz w:val="22"/>
                <w:szCs w:val="22"/>
                <w:lang w:eastAsia="en-US"/>
              </w:rPr>
              <w:fldChar w:fldCharType="begin"/>
            </w:r>
            <w:r w:rsidRPr="00186358">
              <w:rPr>
                <w:rFonts w:ascii="Calibri" w:eastAsia="Calibri" w:hAnsi="Calibri"/>
                <w:sz w:val="22"/>
                <w:szCs w:val="22"/>
                <w:lang w:eastAsia="en-US"/>
              </w:rPr>
              <w:instrText xml:space="preserve"> LINK PowerPoint.Slide.8 "D:\\2015\\MARZO 2014\\GRÁFICAS EN POWER POINT\\13.- GRÁFICAS DE EXPECTATIVAS.pptx!283" "" \a \p </w:instrText>
            </w:r>
            <w:r w:rsidRPr="00186358">
              <w:rPr>
                <w:rFonts w:ascii="Calibri" w:eastAsia="Calibri" w:hAnsi="Calibri"/>
                <w:sz w:val="22"/>
                <w:szCs w:val="22"/>
                <w:lang w:eastAsia="en-US"/>
              </w:rPr>
              <w:fldChar w:fldCharType="separate"/>
            </w:r>
            <w:r w:rsidRPr="00186358">
              <w:rPr>
                <w:rFonts w:ascii="Calibri" w:eastAsia="Calibri" w:hAnsi="Calibri"/>
                <w:noProof/>
                <w:sz w:val="22"/>
                <w:szCs w:val="22"/>
                <w:lang w:eastAsia="es-MX"/>
              </w:rPr>
              <w:drawing>
                <wp:inline distT="0" distB="0" distL="0" distR="0" wp14:anchorId="1A0A8879" wp14:editId="11E5508E">
                  <wp:extent cx="5035550" cy="1797685"/>
                  <wp:effectExtent l="0" t="0" r="0" b="0"/>
                  <wp:docPr id="182" name="Imagen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
                          <pic:cNvPicPr>
                            <a:picLocks noChangeAspect="1" noChangeArrowheads="1"/>
                          </pic:cNvPicPr>
                        </pic:nvPicPr>
                        <pic:blipFill>
                          <a:blip r:embed="rId241" cstate="print">
                            <a:extLst>
                              <a:ext uri="{28A0092B-C50C-407E-A947-70E740481C1C}">
                                <a14:useLocalDpi xmlns:a14="http://schemas.microsoft.com/office/drawing/2010/main" val="0"/>
                              </a:ext>
                            </a:extLst>
                          </a:blip>
                          <a:srcRect l="3687" t="3284" r="4114" b="38272"/>
                          <a:stretch>
                            <a:fillRect/>
                          </a:stretch>
                        </pic:blipFill>
                        <pic:spPr bwMode="auto">
                          <a:xfrm>
                            <a:off x="0" y="0"/>
                            <a:ext cx="5035550" cy="1797685"/>
                          </a:xfrm>
                          <a:prstGeom prst="rect">
                            <a:avLst/>
                          </a:prstGeom>
                          <a:noFill/>
                          <a:ln>
                            <a:noFill/>
                          </a:ln>
                        </pic:spPr>
                      </pic:pic>
                    </a:graphicData>
                  </a:graphic>
                </wp:inline>
              </w:drawing>
            </w:r>
            <w:r w:rsidRPr="00186358">
              <w:rPr>
                <w:rFonts w:ascii="Calibri" w:eastAsia="Calibri" w:hAnsi="Calibri"/>
                <w:sz w:val="22"/>
                <w:szCs w:val="22"/>
                <w:lang w:eastAsia="en-US"/>
              </w:rPr>
              <w:fldChar w:fldCharType="end"/>
            </w:r>
          </w:p>
        </w:tc>
      </w:tr>
      <w:tr w:rsidR="00186358" w:rsidRPr="00186358" w14:paraId="5DC69C2C" w14:textId="77777777" w:rsidTr="00F443FB">
        <w:tc>
          <w:tcPr>
            <w:tcW w:w="8828" w:type="dxa"/>
          </w:tcPr>
          <w:p w14:paraId="5D493D6E" w14:textId="4F8336D0" w:rsidR="00186358" w:rsidRPr="00186358" w:rsidRDefault="00186358" w:rsidP="00186358">
            <w:pPr>
              <w:jc w:val="center"/>
              <w:rPr>
                <w:rFonts w:ascii="Calibri" w:eastAsia="Calibri" w:hAnsi="Calibri"/>
                <w:sz w:val="22"/>
                <w:szCs w:val="22"/>
                <w:lang w:eastAsia="en-US"/>
              </w:rPr>
            </w:pPr>
            <w:r w:rsidRPr="00186358">
              <w:rPr>
                <w:rFonts w:ascii="Calibri" w:eastAsia="Calibri" w:hAnsi="Calibri"/>
                <w:sz w:val="22"/>
                <w:szCs w:val="22"/>
                <w:lang w:eastAsia="en-US"/>
              </w:rPr>
              <w:fldChar w:fldCharType="begin"/>
            </w:r>
            <w:r w:rsidRPr="00186358">
              <w:rPr>
                <w:rFonts w:ascii="Calibri" w:eastAsia="Calibri" w:hAnsi="Calibri"/>
                <w:sz w:val="22"/>
                <w:szCs w:val="22"/>
                <w:lang w:eastAsia="en-US"/>
              </w:rPr>
              <w:instrText xml:space="preserve"> LINK PowerPoint.Slide.8 "D:\\2015\\MARZO 2014\\GRÁFICAS EN POWER POINT\\13.- GRÁFICAS DE EXPECTATIVAS.pptx!285" "" \a \p </w:instrText>
            </w:r>
            <w:r w:rsidRPr="00186358">
              <w:rPr>
                <w:rFonts w:ascii="Calibri" w:eastAsia="Calibri" w:hAnsi="Calibri"/>
                <w:sz w:val="22"/>
                <w:szCs w:val="22"/>
                <w:lang w:eastAsia="en-US"/>
              </w:rPr>
              <w:fldChar w:fldCharType="separate"/>
            </w:r>
            <w:r w:rsidRPr="00186358">
              <w:rPr>
                <w:rFonts w:ascii="Calibri" w:eastAsia="Calibri" w:hAnsi="Calibri"/>
                <w:noProof/>
                <w:sz w:val="22"/>
                <w:szCs w:val="22"/>
                <w:lang w:eastAsia="es-MX"/>
              </w:rPr>
              <w:drawing>
                <wp:inline distT="0" distB="0" distL="0" distR="0" wp14:anchorId="212238A4" wp14:editId="0C2A581E">
                  <wp:extent cx="5239385" cy="2261235"/>
                  <wp:effectExtent l="0" t="0" r="0" b="5715"/>
                  <wp:docPr id="181" name="Imagen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ChangeAspect="1" noChangeArrowheads="1"/>
                          </pic:cNvPicPr>
                        </pic:nvPicPr>
                        <pic:blipFill>
                          <a:blip r:embed="rId242" cstate="print">
                            <a:extLst>
                              <a:ext uri="{28A0092B-C50C-407E-A947-70E740481C1C}">
                                <a14:useLocalDpi xmlns:a14="http://schemas.microsoft.com/office/drawing/2010/main" val="0"/>
                              </a:ext>
                            </a:extLst>
                          </a:blip>
                          <a:srcRect l="4095" t="7460" r="4324" b="22377"/>
                          <a:stretch>
                            <a:fillRect/>
                          </a:stretch>
                        </pic:blipFill>
                        <pic:spPr bwMode="auto">
                          <a:xfrm>
                            <a:off x="0" y="0"/>
                            <a:ext cx="5239385" cy="2261235"/>
                          </a:xfrm>
                          <a:prstGeom prst="rect">
                            <a:avLst/>
                          </a:prstGeom>
                          <a:noFill/>
                          <a:ln>
                            <a:noFill/>
                          </a:ln>
                        </pic:spPr>
                      </pic:pic>
                    </a:graphicData>
                  </a:graphic>
                </wp:inline>
              </w:drawing>
            </w:r>
            <w:r w:rsidRPr="00186358">
              <w:rPr>
                <w:rFonts w:ascii="Calibri" w:eastAsia="Calibri" w:hAnsi="Calibri"/>
                <w:sz w:val="22"/>
                <w:szCs w:val="22"/>
                <w:lang w:eastAsia="en-US"/>
              </w:rPr>
              <w:fldChar w:fldCharType="end"/>
            </w:r>
          </w:p>
        </w:tc>
      </w:tr>
    </w:tbl>
    <w:p w14:paraId="27621D73" w14:textId="77777777" w:rsidR="00186358" w:rsidRPr="00186358" w:rsidRDefault="00186358" w:rsidP="00186358">
      <w:pPr>
        <w:spacing w:after="160" w:line="259" w:lineRule="auto"/>
        <w:jc w:val="center"/>
        <w:rPr>
          <w:rFonts w:ascii="Calibri" w:eastAsia="Calibri" w:hAnsi="Calibri"/>
          <w:sz w:val="22"/>
          <w:szCs w:val="22"/>
          <w:lang w:eastAsia="en-US"/>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28"/>
      </w:tblGrid>
      <w:tr w:rsidR="0079008B" w:rsidRPr="0079008B" w14:paraId="3F4B9CAE" w14:textId="77777777" w:rsidTr="005B2CE5">
        <w:tc>
          <w:tcPr>
            <w:tcW w:w="8828" w:type="dxa"/>
          </w:tcPr>
          <w:p w14:paraId="27ECB795" w14:textId="25289EAB" w:rsidR="0079008B" w:rsidRPr="0079008B" w:rsidRDefault="0079008B" w:rsidP="0079008B">
            <w:pPr>
              <w:jc w:val="center"/>
              <w:rPr>
                <w:rFonts w:ascii="Calibri" w:eastAsia="Calibri" w:hAnsi="Calibri"/>
                <w:sz w:val="22"/>
                <w:szCs w:val="22"/>
                <w:lang w:eastAsia="en-US"/>
              </w:rPr>
            </w:pPr>
            <w:r w:rsidRPr="0079008B">
              <w:rPr>
                <w:rFonts w:ascii="Calibri" w:eastAsia="Calibri" w:hAnsi="Calibri"/>
                <w:sz w:val="22"/>
                <w:szCs w:val="22"/>
                <w:lang w:eastAsia="en-US"/>
              </w:rPr>
              <w:lastRenderedPageBreak/>
              <w:fldChar w:fldCharType="begin"/>
            </w:r>
            <w:r w:rsidRPr="0079008B">
              <w:rPr>
                <w:rFonts w:ascii="Calibri" w:eastAsia="Calibri" w:hAnsi="Calibri"/>
                <w:sz w:val="22"/>
                <w:szCs w:val="22"/>
                <w:lang w:eastAsia="en-US"/>
              </w:rPr>
              <w:instrText xml:space="preserve"> LINK PowerPoint.Slide.8 "D:\\2015\\MARZO 2014\\GRÁFICAS EN POWER POINT\\13.- GRÁFICAS DE EXPECTATIVAS.pptx!262" "" \a \p </w:instrText>
            </w:r>
            <w:r w:rsidRPr="0079008B">
              <w:rPr>
                <w:rFonts w:ascii="Calibri" w:eastAsia="Calibri" w:hAnsi="Calibri"/>
                <w:sz w:val="22"/>
                <w:szCs w:val="22"/>
                <w:lang w:eastAsia="en-US"/>
              </w:rPr>
              <w:fldChar w:fldCharType="separate"/>
            </w:r>
            <w:r w:rsidRPr="0079008B">
              <w:rPr>
                <w:rFonts w:ascii="Calibri" w:eastAsia="Calibri" w:hAnsi="Calibri"/>
                <w:noProof/>
                <w:sz w:val="22"/>
                <w:szCs w:val="22"/>
                <w:lang w:eastAsia="es-MX"/>
              </w:rPr>
              <w:drawing>
                <wp:inline distT="0" distB="0" distL="0" distR="0" wp14:anchorId="1270BAE8" wp14:editId="4B1FFC8E">
                  <wp:extent cx="4744720" cy="2168525"/>
                  <wp:effectExtent l="0" t="0" r="0" b="3175"/>
                  <wp:docPr id="1501" name="Imagen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60"/>
                          <pic:cNvPicPr>
                            <a:picLocks noChangeAspect="1" noChangeArrowheads="1"/>
                          </pic:cNvPicPr>
                        </pic:nvPicPr>
                        <pic:blipFill>
                          <a:blip r:embed="rId243" cstate="print">
                            <a:extLst>
                              <a:ext uri="{28A0092B-C50C-407E-A947-70E740481C1C}">
                                <a14:useLocalDpi xmlns:a14="http://schemas.microsoft.com/office/drawing/2010/main" val="0"/>
                              </a:ext>
                            </a:extLst>
                          </a:blip>
                          <a:srcRect l="2695" t="13091" r="6953" b="13852"/>
                          <a:stretch>
                            <a:fillRect/>
                          </a:stretch>
                        </pic:blipFill>
                        <pic:spPr bwMode="auto">
                          <a:xfrm>
                            <a:off x="0" y="0"/>
                            <a:ext cx="4744720" cy="2168525"/>
                          </a:xfrm>
                          <a:prstGeom prst="rect">
                            <a:avLst/>
                          </a:prstGeom>
                          <a:noFill/>
                          <a:ln>
                            <a:noFill/>
                          </a:ln>
                        </pic:spPr>
                      </pic:pic>
                    </a:graphicData>
                  </a:graphic>
                </wp:inline>
              </w:drawing>
            </w:r>
            <w:r w:rsidRPr="0079008B">
              <w:rPr>
                <w:rFonts w:ascii="Calibri" w:eastAsia="Calibri" w:hAnsi="Calibri"/>
                <w:sz w:val="22"/>
                <w:szCs w:val="22"/>
                <w:lang w:eastAsia="en-US"/>
              </w:rPr>
              <w:fldChar w:fldCharType="end"/>
            </w:r>
          </w:p>
        </w:tc>
      </w:tr>
      <w:tr w:rsidR="0079008B" w:rsidRPr="0079008B" w14:paraId="27E77987" w14:textId="77777777" w:rsidTr="005B2CE5">
        <w:tc>
          <w:tcPr>
            <w:tcW w:w="8828" w:type="dxa"/>
          </w:tcPr>
          <w:p w14:paraId="52C698F9" w14:textId="18BC0041" w:rsidR="0079008B" w:rsidRPr="0079008B" w:rsidRDefault="0079008B" w:rsidP="0079008B">
            <w:pPr>
              <w:jc w:val="center"/>
              <w:rPr>
                <w:rFonts w:ascii="Calibri" w:eastAsia="Calibri" w:hAnsi="Calibri"/>
                <w:sz w:val="22"/>
                <w:szCs w:val="22"/>
                <w:lang w:eastAsia="en-US"/>
              </w:rPr>
            </w:pPr>
            <w:r w:rsidRPr="0079008B">
              <w:rPr>
                <w:rFonts w:ascii="Calibri" w:eastAsia="Calibri" w:hAnsi="Calibri"/>
                <w:sz w:val="22"/>
                <w:szCs w:val="22"/>
                <w:lang w:eastAsia="en-US"/>
              </w:rPr>
              <w:fldChar w:fldCharType="begin"/>
            </w:r>
            <w:r w:rsidRPr="0079008B">
              <w:rPr>
                <w:rFonts w:ascii="Calibri" w:eastAsia="Calibri" w:hAnsi="Calibri"/>
                <w:sz w:val="22"/>
                <w:szCs w:val="22"/>
                <w:lang w:eastAsia="en-US"/>
              </w:rPr>
              <w:instrText xml:space="preserve"> LINK PowerPoint.Slide.8 "D:\\2015\\MARZO 2014\\GRÁFICAS EN POWER POINT\\13.- GRÁFICAS DE EXPECTATIVAS.pptx!271" "" \a \p </w:instrText>
            </w:r>
            <w:r w:rsidRPr="0079008B">
              <w:rPr>
                <w:rFonts w:ascii="Calibri" w:eastAsia="Calibri" w:hAnsi="Calibri"/>
                <w:sz w:val="22"/>
                <w:szCs w:val="22"/>
                <w:lang w:eastAsia="en-US"/>
              </w:rPr>
              <w:fldChar w:fldCharType="separate"/>
            </w:r>
            <w:r w:rsidRPr="0079008B">
              <w:rPr>
                <w:rFonts w:ascii="Calibri" w:eastAsia="Calibri" w:hAnsi="Calibri"/>
                <w:noProof/>
                <w:sz w:val="22"/>
                <w:szCs w:val="22"/>
                <w:lang w:eastAsia="es-MX"/>
              </w:rPr>
              <w:drawing>
                <wp:inline distT="0" distB="0" distL="0" distR="0" wp14:anchorId="09BF19B8" wp14:editId="268A0A5B">
                  <wp:extent cx="4812665" cy="1736090"/>
                  <wp:effectExtent l="0" t="0" r="6985" b="0"/>
                  <wp:docPr id="1500" name="Imagen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61"/>
                          <pic:cNvPicPr>
                            <a:picLocks noChangeAspect="1" noChangeArrowheads="1"/>
                          </pic:cNvPicPr>
                        </pic:nvPicPr>
                        <pic:blipFill>
                          <a:blip r:embed="rId244" cstate="print">
                            <a:extLst>
                              <a:ext uri="{28A0092B-C50C-407E-A947-70E740481C1C}">
                                <a14:useLocalDpi xmlns:a14="http://schemas.microsoft.com/office/drawing/2010/main" val="0"/>
                              </a:ext>
                            </a:extLst>
                          </a:blip>
                          <a:srcRect l="2986" t="28964" r="6516" b="12849"/>
                          <a:stretch>
                            <a:fillRect/>
                          </a:stretch>
                        </pic:blipFill>
                        <pic:spPr bwMode="auto">
                          <a:xfrm>
                            <a:off x="0" y="0"/>
                            <a:ext cx="4812665" cy="1736090"/>
                          </a:xfrm>
                          <a:prstGeom prst="rect">
                            <a:avLst/>
                          </a:prstGeom>
                          <a:noFill/>
                          <a:ln>
                            <a:noFill/>
                          </a:ln>
                        </pic:spPr>
                      </pic:pic>
                    </a:graphicData>
                  </a:graphic>
                </wp:inline>
              </w:drawing>
            </w:r>
            <w:r w:rsidRPr="0079008B">
              <w:rPr>
                <w:rFonts w:ascii="Calibri" w:eastAsia="Calibri" w:hAnsi="Calibri"/>
                <w:sz w:val="22"/>
                <w:szCs w:val="22"/>
                <w:lang w:eastAsia="en-US"/>
              </w:rPr>
              <w:fldChar w:fldCharType="end"/>
            </w:r>
          </w:p>
        </w:tc>
      </w:tr>
      <w:tr w:rsidR="0079008B" w:rsidRPr="0079008B" w14:paraId="5A0B10A6" w14:textId="77777777" w:rsidTr="005B2CE5">
        <w:tc>
          <w:tcPr>
            <w:tcW w:w="8828" w:type="dxa"/>
          </w:tcPr>
          <w:p w14:paraId="762DE730" w14:textId="1B2F9FA3" w:rsidR="0079008B" w:rsidRPr="0079008B" w:rsidRDefault="0079008B" w:rsidP="0079008B">
            <w:pPr>
              <w:jc w:val="center"/>
              <w:rPr>
                <w:rFonts w:ascii="Calibri" w:eastAsia="Calibri" w:hAnsi="Calibri"/>
                <w:sz w:val="22"/>
                <w:szCs w:val="22"/>
                <w:lang w:eastAsia="en-US"/>
              </w:rPr>
            </w:pPr>
            <w:r w:rsidRPr="0079008B">
              <w:rPr>
                <w:rFonts w:ascii="Calibri" w:eastAsia="Calibri" w:hAnsi="Calibri"/>
                <w:sz w:val="22"/>
                <w:szCs w:val="22"/>
                <w:lang w:eastAsia="en-US"/>
              </w:rPr>
              <w:fldChar w:fldCharType="begin"/>
            </w:r>
            <w:r w:rsidRPr="0079008B">
              <w:rPr>
                <w:rFonts w:ascii="Calibri" w:eastAsia="Calibri" w:hAnsi="Calibri"/>
                <w:sz w:val="22"/>
                <w:szCs w:val="22"/>
                <w:lang w:eastAsia="en-US"/>
              </w:rPr>
              <w:instrText xml:space="preserve"> LINK PowerPoint.Slide.8 "D:\\2015\\MARZO 2014\\GRÁFICAS EN POWER POINT\\13.- GRÁFICAS DE EXPECTATIVAS.pptx!273" "" \a \p </w:instrText>
            </w:r>
            <w:r w:rsidRPr="0079008B">
              <w:rPr>
                <w:rFonts w:ascii="Calibri" w:eastAsia="Calibri" w:hAnsi="Calibri"/>
                <w:sz w:val="22"/>
                <w:szCs w:val="22"/>
                <w:lang w:eastAsia="en-US"/>
              </w:rPr>
              <w:fldChar w:fldCharType="separate"/>
            </w:r>
            <w:r w:rsidRPr="0079008B">
              <w:rPr>
                <w:rFonts w:ascii="Calibri" w:eastAsia="Calibri" w:hAnsi="Calibri"/>
                <w:noProof/>
                <w:sz w:val="22"/>
                <w:szCs w:val="22"/>
                <w:lang w:eastAsia="es-MX"/>
              </w:rPr>
              <w:drawing>
                <wp:inline distT="0" distB="0" distL="0" distR="0" wp14:anchorId="034A6D9B" wp14:editId="5DA19720">
                  <wp:extent cx="4812665" cy="1804035"/>
                  <wp:effectExtent l="0" t="0" r="6985" b="5715"/>
                  <wp:docPr id="1499" name="Imagen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62"/>
                          <pic:cNvPicPr>
                            <a:picLocks noChangeAspect="1" noChangeArrowheads="1"/>
                          </pic:cNvPicPr>
                        </pic:nvPicPr>
                        <pic:blipFill>
                          <a:blip r:embed="rId245" cstate="print">
                            <a:extLst>
                              <a:ext uri="{28A0092B-C50C-407E-A947-70E740481C1C}">
                                <a14:useLocalDpi xmlns:a14="http://schemas.microsoft.com/office/drawing/2010/main" val="0"/>
                              </a:ext>
                            </a:extLst>
                          </a:blip>
                          <a:srcRect l="2840" t="28703" r="6244" b="10588"/>
                          <a:stretch>
                            <a:fillRect/>
                          </a:stretch>
                        </pic:blipFill>
                        <pic:spPr bwMode="auto">
                          <a:xfrm>
                            <a:off x="0" y="0"/>
                            <a:ext cx="4812665" cy="1804035"/>
                          </a:xfrm>
                          <a:prstGeom prst="rect">
                            <a:avLst/>
                          </a:prstGeom>
                          <a:noFill/>
                          <a:ln>
                            <a:noFill/>
                          </a:ln>
                        </pic:spPr>
                      </pic:pic>
                    </a:graphicData>
                  </a:graphic>
                </wp:inline>
              </w:drawing>
            </w:r>
            <w:r w:rsidRPr="0079008B">
              <w:rPr>
                <w:rFonts w:ascii="Calibri" w:eastAsia="Calibri" w:hAnsi="Calibri"/>
                <w:sz w:val="22"/>
                <w:szCs w:val="22"/>
                <w:lang w:eastAsia="en-US"/>
              </w:rPr>
              <w:fldChar w:fldCharType="end"/>
            </w:r>
          </w:p>
        </w:tc>
      </w:tr>
      <w:tr w:rsidR="0079008B" w:rsidRPr="0079008B" w14:paraId="630FCF01" w14:textId="77777777" w:rsidTr="005B2CE5">
        <w:tc>
          <w:tcPr>
            <w:tcW w:w="8828" w:type="dxa"/>
          </w:tcPr>
          <w:p w14:paraId="758AA604" w14:textId="689B5B20" w:rsidR="0079008B" w:rsidRPr="0079008B" w:rsidRDefault="0079008B" w:rsidP="0079008B">
            <w:pPr>
              <w:jc w:val="center"/>
              <w:rPr>
                <w:rFonts w:ascii="Calibri" w:eastAsia="Calibri" w:hAnsi="Calibri"/>
                <w:sz w:val="22"/>
                <w:szCs w:val="22"/>
                <w:lang w:eastAsia="en-US"/>
              </w:rPr>
            </w:pPr>
            <w:r w:rsidRPr="0079008B">
              <w:rPr>
                <w:rFonts w:ascii="Calibri" w:eastAsia="Calibri" w:hAnsi="Calibri"/>
                <w:sz w:val="22"/>
                <w:szCs w:val="22"/>
                <w:lang w:eastAsia="en-US"/>
              </w:rPr>
              <w:fldChar w:fldCharType="begin"/>
            </w:r>
            <w:r w:rsidRPr="0079008B">
              <w:rPr>
                <w:rFonts w:ascii="Calibri" w:eastAsia="Calibri" w:hAnsi="Calibri"/>
                <w:sz w:val="22"/>
                <w:szCs w:val="22"/>
                <w:lang w:eastAsia="en-US"/>
              </w:rPr>
              <w:instrText xml:space="preserve"> LINK PowerPoint.Slide.8 "D:\\2015\\MARZO 2014\\GRÁFICAS EN POWER POINT\\13.- GRÁFICAS DE EXPECTATIVAS.pptx!272" "" \a \p </w:instrText>
            </w:r>
            <w:r w:rsidRPr="0079008B">
              <w:rPr>
                <w:rFonts w:ascii="Calibri" w:eastAsia="Calibri" w:hAnsi="Calibri"/>
                <w:sz w:val="22"/>
                <w:szCs w:val="22"/>
                <w:lang w:eastAsia="en-US"/>
              </w:rPr>
              <w:fldChar w:fldCharType="separate"/>
            </w:r>
            <w:r w:rsidRPr="0079008B">
              <w:rPr>
                <w:rFonts w:ascii="Calibri" w:eastAsia="Calibri" w:hAnsi="Calibri"/>
                <w:noProof/>
                <w:sz w:val="22"/>
                <w:szCs w:val="22"/>
                <w:lang w:eastAsia="es-MX"/>
              </w:rPr>
              <w:drawing>
                <wp:inline distT="0" distB="0" distL="0" distR="0" wp14:anchorId="595B8AE7" wp14:editId="3BC751D6">
                  <wp:extent cx="4720590" cy="2181225"/>
                  <wp:effectExtent l="0" t="0" r="3810" b="9525"/>
                  <wp:docPr id="1498" name="Imagen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63"/>
                          <pic:cNvPicPr>
                            <a:picLocks noChangeAspect="1" noChangeArrowheads="1"/>
                          </pic:cNvPicPr>
                        </pic:nvPicPr>
                        <pic:blipFill>
                          <a:blip r:embed="rId246" cstate="print">
                            <a:extLst>
                              <a:ext uri="{28A0092B-C50C-407E-A947-70E740481C1C}">
                                <a14:useLocalDpi xmlns:a14="http://schemas.microsoft.com/office/drawing/2010/main" val="0"/>
                              </a:ext>
                            </a:extLst>
                          </a:blip>
                          <a:srcRect l="3122" t="7045" r="6097" b="18394"/>
                          <a:stretch>
                            <a:fillRect/>
                          </a:stretch>
                        </pic:blipFill>
                        <pic:spPr bwMode="auto">
                          <a:xfrm>
                            <a:off x="0" y="0"/>
                            <a:ext cx="4720590" cy="2181225"/>
                          </a:xfrm>
                          <a:prstGeom prst="rect">
                            <a:avLst/>
                          </a:prstGeom>
                          <a:noFill/>
                          <a:ln>
                            <a:noFill/>
                          </a:ln>
                        </pic:spPr>
                      </pic:pic>
                    </a:graphicData>
                  </a:graphic>
                </wp:inline>
              </w:drawing>
            </w:r>
            <w:r w:rsidRPr="0079008B">
              <w:rPr>
                <w:rFonts w:ascii="Calibri" w:eastAsia="Calibri" w:hAnsi="Calibri"/>
                <w:sz w:val="22"/>
                <w:szCs w:val="22"/>
                <w:lang w:eastAsia="en-US"/>
              </w:rPr>
              <w:fldChar w:fldCharType="end"/>
            </w:r>
          </w:p>
        </w:tc>
      </w:tr>
    </w:tbl>
    <w:p w14:paraId="75EC59EF" w14:textId="7FC1ECA8" w:rsidR="00C443FC" w:rsidRPr="00C443FC" w:rsidRDefault="00C443FC" w:rsidP="0079008B">
      <w:pPr>
        <w:spacing w:after="360" w:line="360" w:lineRule="auto"/>
        <w:ind w:right="-159"/>
        <w:jc w:val="center"/>
        <w:rPr>
          <w:rFonts w:eastAsia="Calibri"/>
          <w:sz w:val="26"/>
          <w:szCs w:val="26"/>
          <w:lang w:eastAsia="en-US"/>
        </w:rPr>
      </w:pPr>
    </w:p>
    <w:p w14:paraId="07431014" w14:textId="77777777" w:rsidR="00C443FC" w:rsidRPr="00C443FC" w:rsidRDefault="00C443FC" w:rsidP="00C443FC">
      <w:pPr>
        <w:spacing w:after="360" w:line="360" w:lineRule="auto"/>
        <w:ind w:right="-159"/>
        <w:jc w:val="both"/>
        <w:rPr>
          <w:rFonts w:eastAsia="Calibri"/>
          <w:sz w:val="26"/>
          <w:szCs w:val="26"/>
          <w:lang w:eastAsia="en-US"/>
        </w:rPr>
      </w:pPr>
      <w:r w:rsidRPr="00C443FC">
        <w:rPr>
          <w:rFonts w:eastAsia="Calibri"/>
          <w:sz w:val="26"/>
          <w:szCs w:val="26"/>
          <w:lang w:eastAsia="en-US"/>
        </w:rPr>
        <w:lastRenderedPageBreak/>
        <w:t xml:space="preserve">La probabilidad que los analistas asignaron en promedio a que la inflación general se ubique dentro del intervalo de variabilidad de más o menos un punto porcentual en torno al objetivo de 3%, se mantuvo en niveles similares a los reportados en la encuesta de enero para los cierres de 2015 y 2016 (ver la gráfica </w:t>
      </w:r>
      <w:r w:rsidRPr="00C443FC">
        <w:rPr>
          <w:rFonts w:eastAsia="Calibri"/>
          <w:i/>
          <w:sz w:val="26"/>
          <w:szCs w:val="26"/>
          <w:lang w:eastAsia="en-US"/>
        </w:rPr>
        <w:t>Probabilidad media de que la inflación se ubique entre 2 y 4% (a) Inflación general</w:t>
      </w:r>
      <w:r w:rsidRPr="00C443FC">
        <w:rPr>
          <w:rFonts w:eastAsia="Calibri"/>
          <w:sz w:val="26"/>
          <w:szCs w:val="26"/>
          <w:lang w:eastAsia="en-US"/>
        </w:rPr>
        <w:t xml:space="preserve">). Por su parte, la probabilidad que los analistas asignaron a que la inflación subyacente se encuentre en el intervalo entre 2 y 4%, también permaneció cercana a la de la encuesta previa para los cierres de 2015 y 2016 (ver la gráfica </w:t>
      </w:r>
      <w:r w:rsidRPr="00C443FC">
        <w:rPr>
          <w:rFonts w:eastAsia="Calibri"/>
          <w:i/>
          <w:sz w:val="26"/>
          <w:szCs w:val="26"/>
          <w:lang w:eastAsia="en-US"/>
        </w:rPr>
        <w:t>Probabilidad media de que la inflación se ubique entre 2 y 4% (b) Inflación subyacente</w:t>
      </w:r>
      <w:r w:rsidRPr="00C443FC">
        <w:rPr>
          <w:rFonts w:eastAsia="Calibri"/>
          <w:sz w:val="26"/>
          <w:szCs w:val="26"/>
          <w:lang w:eastAsia="en-US"/>
        </w:rPr>
        <w:t>).</w:t>
      </w:r>
    </w:p>
    <w:p w14:paraId="15C27E23" w14:textId="1667358F" w:rsidR="00D27C30" w:rsidRPr="00D27C30" w:rsidRDefault="00D27C30" w:rsidP="00D27C30">
      <w:pPr>
        <w:spacing w:after="160" w:line="259" w:lineRule="auto"/>
        <w:jc w:val="center"/>
        <w:rPr>
          <w:rFonts w:ascii="Calibri" w:eastAsia="Calibri" w:hAnsi="Calibri"/>
          <w:sz w:val="22"/>
          <w:szCs w:val="22"/>
          <w:lang w:eastAsia="en-US"/>
        </w:rPr>
      </w:pPr>
      <w:r w:rsidRPr="00D27C30">
        <w:rPr>
          <w:rFonts w:ascii="Calibri" w:eastAsia="Calibri" w:hAnsi="Calibri"/>
          <w:sz w:val="22"/>
          <w:szCs w:val="22"/>
          <w:lang w:eastAsia="en-US"/>
        </w:rPr>
        <w:fldChar w:fldCharType="begin"/>
      </w:r>
      <w:r w:rsidRPr="00D27C30">
        <w:rPr>
          <w:rFonts w:ascii="Calibri" w:eastAsia="Calibri" w:hAnsi="Calibri"/>
          <w:sz w:val="22"/>
          <w:szCs w:val="22"/>
          <w:lang w:eastAsia="en-US"/>
        </w:rPr>
        <w:instrText xml:space="preserve"> LINK PowerPoint.Slide.8 "D:\\2015\\MARZO 2014\\GRÁFICAS EN POWER POINT\\14.-GRÁFICAS DE EXPECTATIVAS II.pptx!444" "" \a \p </w:instrText>
      </w:r>
      <w:r w:rsidRPr="00D27C30">
        <w:rPr>
          <w:rFonts w:ascii="Calibri" w:eastAsia="Calibri" w:hAnsi="Calibri"/>
          <w:sz w:val="22"/>
          <w:szCs w:val="22"/>
          <w:lang w:eastAsia="en-US"/>
        </w:rPr>
        <w:fldChar w:fldCharType="separate"/>
      </w:r>
      <w:r w:rsidRPr="00D27C30">
        <w:rPr>
          <w:rFonts w:ascii="Calibri" w:eastAsia="Calibri" w:hAnsi="Calibri"/>
          <w:noProof/>
          <w:sz w:val="22"/>
          <w:szCs w:val="22"/>
          <w:lang w:eastAsia="es-MX"/>
        </w:rPr>
        <w:drawing>
          <wp:inline distT="0" distB="0" distL="0" distR="0" wp14:anchorId="19687833" wp14:editId="1FDA57CE">
            <wp:extent cx="3910965" cy="3286760"/>
            <wp:effectExtent l="0" t="0" r="0" b="8890"/>
            <wp:docPr id="1503" name="Imagen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71"/>
                    <pic:cNvPicPr>
                      <a:picLocks noChangeAspect="1" noChangeArrowheads="1"/>
                    </pic:cNvPicPr>
                  </pic:nvPicPr>
                  <pic:blipFill>
                    <a:blip r:embed="rId247" cstate="print">
                      <a:extLst>
                        <a:ext uri="{28A0092B-C50C-407E-A947-70E740481C1C}">
                          <a14:useLocalDpi xmlns:a14="http://schemas.microsoft.com/office/drawing/2010/main" val="0"/>
                        </a:ext>
                      </a:extLst>
                    </a:blip>
                    <a:srcRect l="5859" r="8502" b="4024"/>
                    <a:stretch>
                      <a:fillRect/>
                    </a:stretch>
                  </pic:blipFill>
                  <pic:spPr bwMode="auto">
                    <a:xfrm>
                      <a:off x="0" y="0"/>
                      <a:ext cx="3910965" cy="3286760"/>
                    </a:xfrm>
                    <a:prstGeom prst="rect">
                      <a:avLst/>
                    </a:prstGeom>
                    <a:noFill/>
                    <a:ln>
                      <a:noFill/>
                    </a:ln>
                  </pic:spPr>
                </pic:pic>
              </a:graphicData>
            </a:graphic>
          </wp:inline>
        </w:drawing>
      </w:r>
      <w:r w:rsidRPr="00D27C30">
        <w:rPr>
          <w:rFonts w:ascii="Calibri" w:eastAsia="Calibri" w:hAnsi="Calibri"/>
          <w:sz w:val="22"/>
          <w:szCs w:val="22"/>
          <w:lang w:eastAsia="en-US"/>
        </w:rPr>
        <w:fldChar w:fldCharType="end"/>
      </w:r>
    </w:p>
    <w:p w14:paraId="616DBF3B" w14:textId="77777777" w:rsidR="00D27C30" w:rsidRPr="00D27C30" w:rsidRDefault="00D27C30" w:rsidP="00D27C30">
      <w:pPr>
        <w:spacing w:after="160" w:line="259" w:lineRule="auto"/>
        <w:jc w:val="center"/>
        <w:rPr>
          <w:rFonts w:ascii="Calibri" w:eastAsia="Calibri" w:hAnsi="Calibri"/>
          <w:sz w:val="22"/>
          <w:szCs w:val="22"/>
          <w:lang w:eastAsia="en-US"/>
        </w:rPr>
      </w:pPr>
    </w:p>
    <w:p w14:paraId="4A4E3551" w14:textId="3508E733" w:rsidR="00D27C30" w:rsidRPr="00D27C30" w:rsidRDefault="00D27C30" w:rsidP="00D27C30">
      <w:pPr>
        <w:spacing w:after="160" w:line="259" w:lineRule="auto"/>
        <w:jc w:val="center"/>
        <w:rPr>
          <w:rFonts w:ascii="Calibri" w:eastAsia="Calibri" w:hAnsi="Calibri"/>
          <w:sz w:val="22"/>
          <w:szCs w:val="22"/>
          <w:lang w:eastAsia="en-US"/>
        </w:rPr>
      </w:pPr>
      <w:r w:rsidRPr="00D27C30">
        <w:rPr>
          <w:rFonts w:ascii="Calibri" w:eastAsia="Calibri" w:hAnsi="Calibri"/>
          <w:sz w:val="22"/>
          <w:szCs w:val="22"/>
          <w:lang w:eastAsia="en-US"/>
        </w:rPr>
        <w:lastRenderedPageBreak/>
        <w:fldChar w:fldCharType="begin"/>
      </w:r>
      <w:r w:rsidRPr="00D27C30">
        <w:rPr>
          <w:rFonts w:ascii="Calibri" w:eastAsia="Calibri" w:hAnsi="Calibri"/>
          <w:sz w:val="22"/>
          <w:szCs w:val="22"/>
          <w:lang w:eastAsia="en-US"/>
        </w:rPr>
        <w:instrText xml:space="preserve"> LINK PowerPoint.Slide.8 "D:\\2015\\MARZO 2014\\GRÁFICAS EN POWER POINT\\14.-GRÁFICAS DE EXPECTATIVAS II.pptx!445" "" \a \p </w:instrText>
      </w:r>
      <w:r w:rsidRPr="00D27C30">
        <w:rPr>
          <w:rFonts w:ascii="Calibri" w:eastAsia="Calibri" w:hAnsi="Calibri"/>
          <w:sz w:val="22"/>
          <w:szCs w:val="22"/>
          <w:lang w:eastAsia="en-US"/>
        </w:rPr>
        <w:fldChar w:fldCharType="separate"/>
      </w:r>
      <w:r w:rsidRPr="00D27C30">
        <w:rPr>
          <w:rFonts w:ascii="Calibri" w:eastAsia="Calibri" w:hAnsi="Calibri"/>
          <w:noProof/>
          <w:sz w:val="22"/>
          <w:szCs w:val="22"/>
          <w:lang w:eastAsia="es-MX"/>
        </w:rPr>
        <w:drawing>
          <wp:inline distT="0" distB="0" distL="0" distR="0" wp14:anchorId="57D80847" wp14:editId="4445638D">
            <wp:extent cx="3898265" cy="3422650"/>
            <wp:effectExtent l="0" t="0" r="6985" b="6350"/>
            <wp:docPr id="1502" name="Imagen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72"/>
                    <pic:cNvPicPr>
                      <a:picLocks noChangeAspect="1" noChangeArrowheads="1"/>
                    </pic:cNvPicPr>
                  </pic:nvPicPr>
                  <pic:blipFill>
                    <a:blip r:embed="rId248" cstate="print">
                      <a:extLst>
                        <a:ext uri="{28A0092B-C50C-407E-A947-70E740481C1C}">
                          <a14:useLocalDpi xmlns:a14="http://schemas.microsoft.com/office/drawing/2010/main" val="0"/>
                        </a:ext>
                      </a:extLst>
                    </a:blip>
                    <a:srcRect l="4912" r="9644"/>
                    <a:stretch>
                      <a:fillRect/>
                    </a:stretch>
                  </pic:blipFill>
                  <pic:spPr bwMode="auto">
                    <a:xfrm>
                      <a:off x="0" y="0"/>
                      <a:ext cx="3898265" cy="3422650"/>
                    </a:xfrm>
                    <a:prstGeom prst="rect">
                      <a:avLst/>
                    </a:prstGeom>
                    <a:noFill/>
                    <a:ln>
                      <a:noFill/>
                    </a:ln>
                  </pic:spPr>
                </pic:pic>
              </a:graphicData>
            </a:graphic>
          </wp:inline>
        </w:drawing>
      </w:r>
      <w:r w:rsidRPr="00D27C30">
        <w:rPr>
          <w:rFonts w:ascii="Calibri" w:eastAsia="Calibri" w:hAnsi="Calibri"/>
          <w:sz w:val="22"/>
          <w:szCs w:val="22"/>
          <w:lang w:eastAsia="en-US"/>
        </w:rPr>
        <w:fldChar w:fldCharType="end"/>
      </w:r>
    </w:p>
    <w:p w14:paraId="32CC7242" w14:textId="107E5983" w:rsidR="00C443FC" w:rsidRPr="00C443FC" w:rsidRDefault="00C443FC" w:rsidP="00C443FC">
      <w:pPr>
        <w:spacing w:after="360" w:line="360" w:lineRule="auto"/>
        <w:ind w:right="-159"/>
        <w:jc w:val="center"/>
        <w:rPr>
          <w:rFonts w:eastAsia="Calibri"/>
          <w:sz w:val="26"/>
          <w:szCs w:val="26"/>
          <w:lang w:eastAsia="en-US"/>
        </w:rPr>
      </w:pPr>
    </w:p>
    <w:p w14:paraId="68482125" w14:textId="77777777" w:rsidR="00C443FC" w:rsidRDefault="00C443FC" w:rsidP="00C443FC">
      <w:pPr>
        <w:spacing w:after="360" w:line="360" w:lineRule="auto"/>
        <w:ind w:right="-159"/>
        <w:jc w:val="both"/>
        <w:rPr>
          <w:rFonts w:eastAsia="Calibri"/>
          <w:sz w:val="26"/>
          <w:szCs w:val="26"/>
          <w:lang w:eastAsia="en-US"/>
        </w:rPr>
      </w:pPr>
      <w:r w:rsidRPr="00C443FC">
        <w:rPr>
          <w:rFonts w:eastAsia="Calibri"/>
          <w:sz w:val="26"/>
          <w:szCs w:val="26"/>
          <w:lang w:eastAsia="en-US"/>
        </w:rPr>
        <w:t xml:space="preserve">Finalmente, las expectativas para la inflación general correspondientes a los horizontes de uno a cuatro años y de cinco a ocho años se mantuvieron en niveles similares a los reportados en la encuesta de enero, si bien la mediana de los pronósticos para el horizonte de uno a cuatro años disminuyó (ver el cuadro siguiente y la gráfica </w:t>
      </w:r>
      <w:r w:rsidRPr="00C443FC">
        <w:rPr>
          <w:rFonts w:eastAsia="Calibri"/>
          <w:i/>
          <w:sz w:val="26"/>
          <w:szCs w:val="26"/>
          <w:lang w:eastAsia="en-US"/>
        </w:rPr>
        <w:t>Expectativas de largo plazo para la inflación general</w:t>
      </w:r>
      <w:r w:rsidRPr="00C443FC">
        <w:rPr>
          <w:rFonts w:eastAsia="Calibri"/>
          <w:sz w:val="26"/>
          <w:szCs w:val="26"/>
          <w:lang w:eastAsia="en-US"/>
        </w:rPr>
        <w:t xml:space="preserve">). Por su parte, las perspectivas para la inflación subyacente correspondientes a los horizontes de uno a cuatro años y de cinco a ocho años también permanecieron cercanas a las registradas en el mes previo, si bien la mediana de las previsiones para el horizonte de cinco a ocho años se revisó a la baja (ver el cuadro siguiente y la gráfica </w:t>
      </w:r>
      <w:r w:rsidRPr="00C443FC">
        <w:rPr>
          <w:rFonts w:eastAsia="Calibri"/>
          <w:i/>
          <w:sz w:val="26"/>
          <w:szCs w:val="26"/>
          <w:lang w:eastAsia="en-US"/>
        </w:rPr>
        <w:t>Expectativas de largo plazo para la inflación subyacente</w:t>
      </w:r>
      <w:r w:rsidRPr="00C443FC">
        <w:rPr>
          <w:rFonts w:eastAsia="Calibri"/>
          <w:sz w:val="26"/>
          <w:szCs w:val="26"/>
          <w:lang w:eastAsia="en-US"/>
        </w:rPr>
        <w:t>).</w:t>
      </w:r>
    </w:p>
    <w:p w14:paraId="67E19C5F" w14:textId="77777777" w:rsidR="009A4CE7" w:rsidRDefault="009A4CE7" w:rsidP="00C443FC">
      <w:pPr>
        <w:spacing w:after="360" w:line="360" w:lineRule="auto"/>
        <w:ind w:right="-159"/>
        <w:jc w:val="both"/>
        <w:rPr>
          <w:rFonts w:eastAsia="Calibri"/>
          <w:sz w:val="26"/>
          <w:szCs w:val="26"/>
          <w:lang w:eastAsia="en-US"/>
        </w:rPr>
      </w:pPr>
    </w:p>
    <w:p w14:paraId="5538D528" w14:textId="77777777" w:rsidR="009A4CE7" w:rsidRPr="00C443FC" w:rsidRDefault="009A4CE7" w:rsidP="00C443FC">
      <w:pPr>
        <w:spacing w:after="360" w:line="360" w:lineRule="auto"/>
        <w:ind w:right="-159"/>
        <w:jc w:val="both"/>
        <w:rPr>
          <w:rFonts w:eastAsia="Calibri"/>
          <w:sz w:val="26"/>
          <w:szCs w:val="26"/>
          <w:lang w:eastAsia="en-US"/>
        </w:rPr>
      </w:pPr>
    </w:p>
    <w:tbl>
      <w:tblPr>
        <w:tblW w:w="0" w:type="auto"/>
        <w:jc w:val="center"/>
        <w:tblLook w:val="04A0" w:firstRow="1" w:lastRow="0" w:firstColumn="1" w:lastColumn="0" w:noHBand="0" w:noVBand="1"/>
      </w:tblPr>
      <w:tblGrid>
        <w:gridCol w:w="2615"/>
        <w:gridCol w:w="1194"/>
        <w:gridCol w:w="1194"/>
        <w:gridCol w:w="1194"/>
        <w:gridCol w:w="1194"/>
      </w:tblGrid>
      <w:tr w:rsidR="00C443FC" w:rsidRPr="00C443FC" w14:paraId="366C68A3" w14:textId="77777777" w:rsidTr="005C0CDD">
        <w:trPr>
          <w:jc w:val="center"/>
        </w:trPr>
        <w:tc>
          <w:tcPr>
            <w:tcW w:w="7391" w:type="dxa"/>
            <w:gridSpan w:val="5"/>
            <w:tcBorders>
              <w:top w:val="nil"/>
              <w:left w:val="nil"/>
              <w:bottom w:val="single" w:sz="4" w:space="0" w:color="auto"/>
              <w:right w:val="nil"/>
            </w:tcBorders>
          </w:tcPr>
          <w:p w14:paraId="322C7A1C" w14:textId="77777777" w:rsidR="00C443FC" w:rsidRPr="00C443FC" w:rsidRDefault="00C443FC" w:rsidP="00C443FC">
            <w:pPr>
              <w:jc w:val="center"/>
              <w:rPr>
                <w:rFonts w:eastAsia="Calibri"/>
                <w:b/>
                <w:sz w:val="22"/>
                <w:szCs w:val="22"/>
                <w:lang w:eastAsia="en-US"/>
              </w:rPr>
            </w:pPr>
            <w:r w:rsidRPr="00C443FC">
              <w:rPr>
                <w:rFonts w:eastAsia="Calibri"/>
                <w:b/>
                <w:sz w:val="22"/>
                <w:szCs w:val="22"/>
                <w:lang w:eastAsia="en-US"/>
              </w:rPr>
              <w:lastRenderedPageBreak/>
              <w:t>EXPECTATIVAS DE LARGO PLAZO PARA LA INFLACIÓN</w:t>
            </w:r>
          </w:p>
          <w:p w14:paraId="6F554CB3" w14:textId="77777777" w:rsidR="00C443FC" w:rsidRPr="00C443FC" w:rsidRDefault="00C443FC" w:rsidP="00C443FC">
            <w:pPr>
              <w:jc w:val="center"/>
              <w:rPr>
                <w:rFonts w:eastAsia="Calibri"/>
                <w:b/>
                <w:sz w:val="22"/>
                <w:szCs w:val="22"/>
                <w:lang w:eastAsia="en-US"/>
              </w:rPr>
            </w:pPr>
            <w:r w:rsidRPr="00C443FC">
              <w:rPr>
                <w:rFonts w:eastAsia="Calibri"/>
                <w:b/>
                <w:sz w:val="22"/>
                <w:szCs w:val="22"/>
                <w:lang w:eastAsia="en-US"/>
              </w:rPr>
              <w:t>-Por ciento-</w:t>
            </w:r>
          </w:p>
        </w:tc>
      </w:tr>
      <w:tr w:rsidR="00C443FC" w:rsidRPr="00C443FC" w14:paraId="7883E256" w14:textId="77777777" w:rsidTr="005C0CDD">
        <w:trPr>
          <w:jc w:val="center"/>
        </w:trPr>
        <w:tc>
          <w:tcPr>
            <w:tcW w:w="2615" w:type="dxa"/>
            <w:vMerge w:val="restart"/>
            <w:tcBorders>
              <w:top w:val="single" w:sz="4" w:space="0" w:color="auto"/>
              <w:left w:val="single" w:sz="4" w:space="0" w:color="auto"/>
              <w:bottom w:val="single" w:sz="4" w:space="0" w:color="auto"/>
              <w:right w:val="single" w:sz="4" w:space="0" w:color="auto"/>
            </w:tcBorders>
          </w:tcPr>
          <w:p w14:paraId="77F7078F" w14:textId="77777777" w:rsidR="00C443FC" w:rsidRPr="00C443FC" w:rsidRDefault="00C443FC" w:rsidP="00C443FC">
            <w:pPr>
              <w:jc w:val="center"/>
              <w:rPr>
                <w:rFonts w:eastAsia="Calibri"/>
                <w:b/>
                <w:sz w:val="20"/>
                <w:szCs w:val="20"/>
                <w:lang w:eastAsia="en-US"/>
              </w:rPr>
            </w:pPr>
          </w:p>
        </w:tc>
        <w:tc>
          <w:tcPr>
            <w:tcW w:w="2388" w:type="dxa"/>
            <w:gridSpan w:val="2"/>
            <w:tcBorders>
              <w:top w:val="single" w:sz="4" w:space="0" w:color="auto"/>
              <w:left w:val="single" w:sz="4" w:space="0" w:color="auto"/>
              <w:bottom w:val="single" w:sz="4" w:space="0" w:color="auto"/>
              <w:right w:val="single" w:sz="4" w:space="0" w:color="auto"/>
            </w:tcBorders>
          </w:tcPr>
          <w:p w14:paraId="5AE9EAB0"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Inflación general</w:t>
            </w:r>
          </w:p>
        </w:tc>
        <w:tc>
          <w:tcPr>
            <w:tcW w:w="2388" w:type="dxa"/>
            <w:gridSpan w:val="2"/>
            <w:tcBorders>
              <w:top w:val="single" w:sz="4" w:space="0" w:color="auto"/>
              <w:left w:val="single" w:sz="4" w:space="0" w:color="auto"/>
              <w:bottom w:val="single" w:sz="4" w:space="0" w:color="auto"/>
              <w:right w:val="single" w:sz="4" w:space="0" w:color="auto"/>
            </w:tcBorders>
          </w:tcPr>
          <w:p w14:paraId="5ADD57F3"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Inflación subyacente</w:t>
            </w:r>
          </w:p>
        </w:tc>
      </w:tr>
      <w:tr w:rsidR="00C443FC" w:rsidRPr="00C443FC" w14:paraId="60CFFED1" w14:textId="77777777" w:rsidTr="005C0CDD">
        <w:trPr>
          <w:jc w:val="center"/>
        </w:trPr>
        <w:tc>
          <w:tcPr>
            <w:tcW w:w="2615" w:type="dxa"/>
            <w:vMerge/>
            <w:tcBorders>
              <w:top w:val="single" w:sz="4" w:space="0" w:color="auto"/>
              <w:left w:val="single" w:sz="4" w:space="0" w:color="auto"/>
              <w:bottom w:val="single" w:sz="4" w:space="0" w:color="auto"/>
              <w:right w:val="single" w:sz="4" w:space="0" w:color="auto"/>
            </w:tcBorders>
          </w:tcPr>
          <w:p w14:paraId="768EEE02" w14:textId="77777777" w:rsidR="00C443FC" w:rsidRPr="00C443FC" w:rsidRDefault="00C443FC" w:rsidP="00C443FC">
            <w:pPr>
              <w:jc w:val="center"/>
              <w:rPr>
                <w:rFonts w:eastAsia="Calibri"/>
                <w:b/>
                <w:sz w:val="20"/>
                <w:szCs w:val="20"/>
                <w:lang w:eastAsia="en-US"/>
              </w:rPr>
            </w:pPr>
          </w:p>
        </w:tc>
        <w:tc>
          <w:tcPr>
            <w:tcW w:w="2388" w:type="dxa"/>
            <w:gridSpan w:val="2"/>
            <w:tcBorders>
              <w:top w:val="single" w:sz="4" w:space="0" w:color="auto"/>
              <w:left w:val="single" w:sz="4" w:space="0" w:color="auto"/>
              <w:bottom w:val="single" w:sz="4" w:space="0" w:color="auto"/>
              <w:right w:val="single" w:sz="4" w:space="0" w:color="auto"/>
            </w:tcBorders>
          </w:tcPr>
          <w:p w14:paraId="644DAACD"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Encuesta</w:t>
            </w:r>
          </w:p>
        </w:tc>
        <w:tc>
          <w:tcPr>
            <w:tcW w:w="2388" w:type="dxa"/>
            <w:gridSpan w:val="2"/>
            <w:tcBorders>
              <w:top w:val="single" w:sz="4" w:space="0" w:color="auto"/>
              <w:left w:val="single" w:sz="4" w:space="0" w:color="auto"/>
              <w:bottom w:val="single" w:sz="4" w:space="0" w:color="auto"/>
              <w:right w:val="single" w:sz="4" w:space="0" w:color="auto"/>
            </w:tcBorders>
          </w:tcPr>
          <w:p w14:paraId="129E5FDB"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Encuesta</w:t>
            </w:r>
          </w:p>
        </w:tc>
      </w:tr>
      <w:tr w:rsidR="00C443FC" w:rsidRPr="00C443FC" w14:paraId="5C5FCE20" w14:textId="77777777" w:rsidTr="005C0CDD">
        <w:trPr>
          <w:jc w:val="center"/>
        </w:trPr>
        <w:tc>
          <w:tcPr>
            <w:tcW w:w="2615" w:type="dxa"/>
            <w:vMerge/>
            <w:tcBorders>
              <w:top w:val="single" w:sz="4" w:space="0" w:color="auto"/>
              <w:left w:val="single" w:sz="4" w:space="0" w:color="auto"/>
              <w:bottom w:val="single" w:sz="4" w:space="0" w:color="auto"/>
              <w:right w:val="single" w:sz="4" w:space="0" w:color="auto"/>
            </w:tcBorders>
          </w:tcPr>
          <w:p w14:paraId="266F82DA" w14:textId="77777777" w:rsidR="00C443FC" w:rsidRPr="00C443FC" w:rsidRDefault="00C443FC" w:rsidP="00C443FC">
            <w:pPr>
              <w:jc w:val="center"/>
              <w:rPr>
                <w:rFonts w:eastAsia="Calibri"/>
                <w:b/>
                <w:sz w:val="20"/>
                <w:szCs w:val="20"/>
                <w:lang w:eastAsia="en-US"/>
              </w:rPr>
            </w:pPr>
          </w:p>
        </w:tc>
        <w:tc>
          <w:tcPr>
            <w:tcW w:w="1194" w:type="dxa"/>
            <w:tcBorders>
              <w:top w:val="single" w:sz="4" w:space="0" w:color="auto"/>
              <w:left w:val="single" w:sz="4" w:space="0" w:color="auto"/>
              <w:bottom w:val="single" w:sz="4" w:space="0" w:color="auto"/>
              <w:right w:val="single" w:sz="4" w:space="0" w:color="auto"/>
            </w:tcBorders>
          </w:tcPr>
          <w:p w14:paraId="1EFBA064"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Enero</w:t>
            </w:r>
          </w:p>
        </w:tc>
        <w:tc>
          <w:tcPr>
            <w:tcW w:w="1194" w:type="dxa"/>
            <w:tcBorders>
              <w:top w:val="single" w:sz="4" w:space="0" w:color="auto"/>
              <w:left w:val="single" w:sz="4" w:space="0" w:color="auto"/>
              <w:bottom w:val="single" w:sz="4" w:space="0" w:color="auto"/>
              <w:right w:val="single" w:sz="4" w:space="0" w:color="auto"/>
            </w:tcBorders>
          </w:tcPr>
          <w:p w14:paraId="3644E2D6"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Febrero</w:t>
            </w:r>
          </w:p>
        </w:tc>
        <w:tc>
          <w:tcPr>
            <w:tcW w:w="1194" w:type="dxa"/>
            <w:tcBorders>
              <w:top w:val="single" w:sz="4" w:space="0" w:color="auto"/>
              <w:left w:val="single" w:sz="4" w:space="0" w:color="auto"/>
              <w:bottom w:val="single" w:sz="4" w:space="0" w:color="auto"/>
              <w:right w:val="single" w:sz="4" w:space="0" w:color="auto"/>
            </w:tcBorders>
          </w:tcPr>
          <w:p w14:paraId="0BBF02AA"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Enero</w:t>
            </w:r>
          </w:p>
        </w:tc>
        <w:tc>
          <w:tcPr>
            <w:tcW w:w="1194" w:type="dxa"/>
            <w:tcBorders>
              <w:top w:val="single" w:sz="4" w:space="0" w:color="auto"/>
              <w:left w:val="single" w:sz="4" w:space="0" w:color="auto"/>
              <w:bottom w:val="single" w:sz="4" w:space="0" w:color="auto"/>
              <w:right w:val="single" w:sz="4" w:space="0" w:color="auto"/>
            </w:tcBorders>
          </w:tcPr>
          <w:p w14:paraId="39D5DBD8"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Febrero</w:t>
            </w:r>
          </w:p>
        </w:tc>
      </w:tr>
      <w:tr w:rsidR="00C443FC" w:rsidRPr="00C443FC" w14:paraId="1DFF5A99" w14:textId="77777777" w:rsidTr="005C0CDD">
        <w:trPr>
          <w:jc w:val="center"/>
        </w:trPr>
        <w:tc>
          <w:tcPr>
            <w:tcW w:w="2615" w:type="dxa"/>
            <w:tcBorders>
              <w:top w:val="single" w:sz="4" w:space="0" w:color="auto"/>
              <w:left w:val="single" w:sz="4" w:space="0" w:color="auto"/>
              <w:bottom w:val="single" w:sz="4" w:space="0" w:color="auto"/>
              <w:right w:val="single" w:sz="4" w:space="0" w:color="auto"/>
            </w:tcBorders>
          </w:tcPr>
          <w:p w14:paraId="6273879A" w14:textId="77777777" w:rsidR="00C443FC" w:rsidRPr="00C443FC" w:rsidRDefault="00C443FC" w:rsidP="00C443FC">
            <w:pPr>
              <w:jc w:val="both"/>
              <w:rPr>
                <w:rFonts w:eastAsia="Calibri"/>
                <w:sz w:val="20"/>
                <w:szCs w:val="20"/>
                <w:lang w:eastAsia="en-US"/>
              </w:rPr>
            </w:pPr>
            <w:r w:rsidRPr="00C443FC">
              <w:rPr>
                <w:rFonts w:eastAsia="Calibri"/>
                <w:b/>
                <w:sz w:val="20"/>
                <w:szCs w:val="20"/>
                <w:lang w:eastAsia="en-US"/>
              </w:rPr>
              <w:t>Promedio anual</w:t>
            </w:r>
          </w:p>
        </w:tc>
        <w:tc>
          <w:tcPr>
            <w:tcW w:w="4776" w:type="dxa"/>
            <w:gridSpan w:val="4"/>
            <w:tcBorders>
              <w:top w:val="single" w:sz="4" w:space="0" w:color="auto"/>
              <w:left w:val="single" w:sz="4" w:space="0" w:color="auto"/>
              <w:bottom w:val="single" w:sz="4" w:space="0" w:color="auto"/>
              <w:right w:val="single" w:sz="4" w:space="0" w:color="auto"/>
            </w:tcBorders>
          </w:tcPr>
          <w:p w14:paraId="052600F5" w14:textId="77777777" w:rsidR="00C443FC" w:rsidRPr="00C443FC" w:rsidRDefault="00C443FC" w:rsidP="00C443FC">
            <w:pPr>
              <w:jc w:val="both"/>
              <w:rPr>
                <w:rFonts w:eastAsia="Calibri"/>
                <w:sz w:val="20"/>
                <w:szCs w:val="20"/>
                <w:lang w:eastAsia="en-US"/>
              </w:rPr>
            </w:pPr>
          </w:p>
        </w:tc>
      </w:tr>
      <w:tr w:rsidR="00C443FC" w:rsidRPr="00C443FC" w14:paraId="09003DAA" w14:textId="77777777" w:rsidTr="005C0CDD">
        <w:trPr>
          <w:jc w:val="center"/>
        </w:trPr>
        <w:tc>
          <w:tcPr>
            <w:tcW w:w="2615" w:type="dxa"/>
            <w:tcBorders>
              <w:top w:val="single" w:sz="4" w:space="0" w:color="auto"/>
              <w:left w:val="single" w:sz="4" w:space="0" w:color="auto"/>
              <w:right w:val="single" w:sz="4" w:space="0" w:color="auto"/>
            </w:tcBorders>
          </w:tcPr>
          <w:p w14:paraId="68435DC5" w14:textId="77777777" w:rsidR="00C443FC" w:rsidRPr="00C443FC" w:rsidRDefault="00C443FC" w:rsidP="00C443FC">
            <w:pPr>
              <w:rPr>
                <w:rFonts w:eastAsia="Calibri"/>
                <w:b/>
                <w:sz w:val="20"/>
                <w:szCs w:val="20"/>
                <w:lang w:eastAsia="en-US"/>
              </w:rPr>
            </w:pPr>
            <w:r w:rsidRPr="00C443FC">
              <w:rPr>
                <w:rFonts w:eastAsia="Calibri"/>
                <w:b/>
                <w:sz w:val="20"/>
                <w:szCs w:val="20"/>
                <w:lang w:eastAsia="en-US"/>
              </w:rPr>
              <w:t xml:space="preserve">     De uno a cuatro años</w:t>
            </w:r>
            <w:r w:rsidRPr="00C443FC">
              <w:rPr>
                <w:rFonts w:eastAsia="Calibri"/>
                <w:b/>
                <w:sz w:val="20"/>
                <w:szCs w:val="20"/>
                <w:u w:val="single"/>
                <w:vertAlign w:val="superscript"/>
                <w:lang w:eastAsia="en-US"/>
              </w:rPr>
              <w:t>1</w:t>
            </w:r>
            <w:r w:rsidRPr="00C443FC">
              <w:rPr>
                <w:rFonts w:eastAsia="Calibri"/>
                <w:b/>
                <w:sz w:val="20"/>
                <w:szCs w:val="20"/>
                <w:vertAlign w:val="superscript"/>
                <w:lang w:eastAsia="en-US"/>
              </w:rPr>
              <w:t>/</w:t>
            </w:r>
          </w:p>
        </w:tc>
        <w:tc>
          <w:tcPr>
            <w:tcW w:w="1194" w:type="dxa"/>
            <w:tcBorders>
              <w:top w:val="single" w:sz="4" w:space="0" w:color="auto"/>
              <w:left w:val="single" w:sz="4" w:space="0" w:color="auto"/>
              <w:right w:val="single" w:sz="4" w:space="0" w:color="auto"/>
            </w:tcBorders>
          </w:tcPr>
          <w:p w14:paraId="7B7145A0" w14:textId="77777777" w:rsidR="00C443FC" w:rsidRPr="00C443FC" w:rsidRDefault="00C443FC" w:rsidP="00C443FC">
            <w:pPr>
              <w:jc w:val="center"/>
              <w:rPr>
                <w:rFonts w:eastAsia="Calibri"/>
                <w:sz w:val="20"/>
                <w:szCs w:val="20"/>
                <w:lang w:eastAsia="en-US"/>
              </w:rPr>
            </w:pPr>
          </w:p>
        </w:tc>
        <w:tc>
          <w:tcPr>
            <w:tcW w:w="1194" w:type="dxa"/>
            <w:tcBorders>
              <w:top w:val="single" w:sz="4" w:space="0" w:color="auto"/>
              <w:left w:val="single" w:sz="4" w:space="0" w:color="auto"/>
              <w:right w:val="single" w:sz="4" w:space="0" w:color="auto"/>
            </w:tcBorders>
          </w:tcPr>
          <w:p w14:paraId="4388FD04" w14:textId="77777777" w:rsidR="00C443FC" w:rsidRPr="00C443FC" w:rsidRDefault="00C443FC" w:rsidP="00C443FC">
            <w:pPr>
              <w:jc w:val="center"/>
              <w:rPr>
                <w:rFonts w:eastAsia="Calibri"/>
                <w:sz w:val="20"/>
                <w:szCs w:val="20"/>
                <w:lang w:eastAsia="en-US"/>
              </w:rPr>
            </w:pPr>
          </w:p>
        </w:tc>
        <w:tc>
          <w:tcPr>
            <w:tcW w:w="1194" w:type="dxa"/>
            <w:tcBorders>
              <w:top w:val="single" w:sz="4" w:space="0" w:color="auto"/>
              <w:left w:val="single" w:sz="4" w:space="0" w:color="auto"/>
              <w:right w:val="single" w:sz="4" w:space="0" w:color="auto"/>
            </w:tcBorders>
          </w:tcPr>
          <w:p w14:paraId="795F5FE3" w14:textId="77777777" w:rsidR="00C443FC" w:rsidRPr="00C443FC" w:rsidRDefault="00C443FC" w:rsidP="00C443FC">
            <w:pPr>
              <w:jc w:val="center"/>
              <w:rPr>
                <w:rFonts w:eastAsia="Calibri"/>
                <w:sz w:val="20"/>
                <w:szCs w:val="20"/>
                <w:lang w:eastAsia="en-US"/>
              </w:rPr>
            </w:pPr>
          </w:p>
        </w:tc>
        <w:tc>
          <w:tcPr>
            <w:tcW w:w="1194" w:type="dxa"/>
            <w:tcBorders>
              <w:top w:val="single" w:sz="4" w:space="0" w:color="auto"/>
              <w:left w:val="single" w:sz="4" w:space="0" w:color="auto"/>
              <w:right w:val="single" w:sz="4" w:space="0" w:color="auto"/>
            </w:tcBorders>
          </w:tcPr>
          <w:p w14:paraId="5AEE74B6" w14:textId="77777777" w:rsidR="00C443FC" w:rsidRPr="00C443FC" w:rsidRDefault="00C443FC" w:rsidP="00C443FC">
            <w:pPr>
              <w:jc w:val="center"/>
              <w:rPr>
                <w:rFonts w:eastAsia="Calibri"/>
                <w:sz w:val="20"/>
                <w:szCs w:val="20"/>
                <w:lang w:eastAsia="en-US"/>
              </w:rPr>
            </w:pPr>
          </w:p>
        </w:tc>
      </w:tr>
      <w:tr w:rsidR="00C443FC" w:rsidRPr="00C443FC" w14:paraId="6B8AAE32" w14:textId="77777777" w:rsidTr="005C0CDD">
        <w:trPr>
          <w:jc w:val="center"/>
        </w:trPr>
        <w:tc>
          <w:tcPr>
            <w:tcW w:w="2615" w:type="dxa"/>
            <w:tcBorders>
              <w:left w:val="single" w:sz="4" w:space="0" w:color="auto"/>
              <w:right w:val="single" w:sz="4" w:space="0" w:color="auto"/>
            </w:tcBorders>
          </w:tcPr>
          <w:p w14:paraId="694A6A89" w14:textId="77777777" w:rsidR="00C443FC" w:rsidRPr="00C443FC" w:rsidRDefault="00C443FC" w:rsidP="00C443FC">
            <w:pPr>
              <w:ind w:left="397"/>
              <w:rPr>
                <w:rFonts w:eastAsia="Calibri"/>
                <w:sz w:val="20"/>
                <w:szCs w:val="20"/>
                <w:lang w:eastAsia="en-US"/>
              </w:rPr>
            </w:pPr>
            <w:r w:rsidRPr="00C443FC">
              <w:rPr>
                <w:rFonts w:eastAsia="Calibri"/>
                <w:sz w:val="20"/>
                <w:szCs w:val="20"/>
                <w:lang w:eastAsia="en-US"/>
              </w:rPr>
              <w:t>Media</w:t>
            </w:r>
          </w:p>
        </w:tc>
        <w:tc>
          <w:tcPr>
            <w:tcW w:w="1194" w:type="dxa"/>
            <w:tcBorders>
              <w:left w:val="single" w:sz="4" w:space="0" w:color="auto"/>
              <w:right w:val="single" w:sz="4" w:space="0" w:color="auto"/>
            </w:tcBorders>
          </w:tcPr>
          <w:p w14:paraId="66E60A6B"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3.46</w:t>
            </w:r>
          </w:p>
        </w:tc>
        <w:tc>
          <w:tcPr>
            <w:tcW w:w="1194" w:type="dxa"/>
            <w:tcBorders>
              <w:left w:val="single" w:sz="4" w:space="0" w:color="auto"/>
              <w:right w:val="single" w:sz="4" w:space="0" w:color="auto"/>
            </w:tcBorders>
          </w:tcPr>
          <w:p w14:paraId="222AA65B"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3.42</w:t>
            </w:r>
          </w:p>
        </w:tc>
        <w:tc>
          <w:tcPr>
            <w:tcW w:w="1194" w:type="dxa"/>
            <w:tcBorders>
              <w:left w:val="single" w:sz="4" w:space="0" w:color="auto"/>
              <w:right w:val="single" w:sz="4" w:space="0" w:color="auto"/>
            </w:tcBorders>
          </w:tcPr>
          <w:p w14:paraId="593CB1B8"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3.14</w:t>
            </w:r>
          </w:p>
        </w:tc>
        <w:tc>
          <w:tcPr>
            <w:tcW w:w="1194" w:type="dxa"/>
            <w:tcBorders>
              <w:left w:val="single" w:sz="4" w:space="0" w:color="auto"/>
              <w:right w:val="single" w:sz="4" w:space="0" w:color="auto"/>
            </w:tcBorders>
          </w:tcPr>
          <w:p w14:paraId="087AD6AF"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3.13</w:t>
            </w:r>
          </w:p>
        </w:tc>
      </w:tr>
      <w:tr w:rsidR="00C443FC" w:rsidRPr="00C443FC" w14:paraId="4280D301" w14:textId="77777777" w:rsidTr="005C0CDD">
        <w:trPr>
          <w:jc w:val="center"/>
        </w:trPr>
        <w:tc>
          <w:tcPr>
            <w:tcW w:w="2615" w:type="dxa"/>
            <w:tcBorders>
              <w:left w:val="single" w:sz="4" w:space="0" w:color="auto"/>
              <w:right w:val="single" w:sz="4" w:space="0" w:color="auto"/>
            </w:tcBorders>
          </w:tcPr>
          <w:p w14:paraId="42499DF7" w14:textId="77777777" w:rsidR="00C443FC" w:rsidRPr="00C443FC" w:rsidRDefault="00C443FC" w:rsidP="00C443FC">
            <w:pPr>
              <w:ind w:left="397"/>
              <w:rPr>
                <w:rFonts w:eastAsia="Calibri"/>
                <w:sz w:val="20"/>
                <w:szCs w:val="20"/>
                <w:lang w:eastAsia="en-US"/>
              </w:rPr>
            </w:pPr>
            <w:r w:rsidRPr="00C443FC">
              <w:rPr>
                <w:rFonts w:eastAsia="Calibri"/>
                <w:sz w:val="20"/>
                <w:szCs w:val="20"/>
                <w:lang w:eastAsia="en-US"/>
              </w:rPr>
              <w:t>Mediana</w:t>
            </w:r>
          </w:p>
        </w:tc>
        <w:tc>
          <w:tcPr>
            <w:tcW w:w="1194" w:type="dxa"/>
            <w:tcBorders>
              <w:left w:val="single" w:sz="4" w:space="0" w:color="auto"/>
              <w:right w:val="single" w:sz="4" w:space="0" w:color="auto"/>
            </w:tcBorders>
          </w:tcPr>
          <w:p w14:paraId="1D3DD27E"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3.50</w:t>
            </w:r>
          </w:p>
        </w:tc>
        <w:tc>
          <w:tcPr>
            <w:tcW w:w="1194" w:type="dxa"/>
            <w:tcBorders>
              <w:left w:val="single" w:sz="4" w:space="0" w:color="auto"/>
              <w:right w:val="single" w:sz="4" w:space="0" w:color="auto"/>
            </w:tcBorders>
          </w:tcPr>
          <w:p w14:paraId="67C0E35E"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3.45</w:t>
            </w:r>
          </w:p>
        </w:tc>
        <w:tc>
          <w:tcPr>
            <w:tcW w:w="1194" w:type="dxa"/>
            <w:tcBorders>
              <w:left w:val="single" w:sz="4" w:space="0" w:color="auto"/>
              <w:right w:val="single" w:sz="4" w:space="0" w:color="auto"/>
            </w:tcBorders>
          </w:tcPr>
          <w:p w14:paraId="6DDF84CE"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3.10</w:t>
            </w:r>
          </w:p>
        </w:tc>
        <w:tc>
          <w:tcPr>
            <w:tcW w:w="1194" w:type="dxa"/>
            <w:tcBorders>
              <w:left w:val="single" w:sz="4" w:space="0" w:color="auto"/>
              <w:right w:val="single" w:sz="4" w:space="0" w:color="auto"/>
            </w:tcBorders>
          </w:tcPr>
          <w:p w14:paraId="32F6D61D"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3.10</w:t>
            </w:r>
          </w:p>
        </w:tc>
      </w:tr>
      <w:tr w:rsidR="00C443FC" w:rsidRPr="00C443FC" w14:paraId="57D524F1" w14:textId="77777777" w:rsidTr="005C0CDD">
        <w:trPr>
          <w:jc w:val="center"/>
        </w:trPr>
        <w:tc>
          <w:tcPr>
            <w:tcW w:w="2615" w:type="dxa"/>
            <w:tcBorders>
              <w:left w:val="single" w:sz="4" w:space="0" w:color="auto"/>
              <w:right w:val="single" w:sz="4" w:space="0" w:color="auto"/>
            </w:tcBorders>
          </w:tcPr>
          <w:p w14:paraId="632B973E" w14:textId="77777777" w:rsidR="00C443FC" w:rsidRPr="00C443FC" w:rsidRDefault="00C443FC" w:rsidP="00C443FC">
            <w:pPr>
              <w:rPr>
                <w:rFonts w:eastAsia="Calibri"/>
                <w:b/>
                <w:sz w:val="20"/>
                <w:szCs w:val="20"/>
                <w:lang w:eastAsia="en-US"/>
              </w:rPr>
            </w:pPr>
            <w:r w:rsidRPr="00C443FC">
              <w:rPr>
                <w:rFonts w:eastAsia="Calibri"/>
                <w:b/>
                <w:sz w:val="20"/>
                <w:szCs w:val="20"/>
                <w:lang w:eastAsia="en-US"/>
              </w:rPr>
              <w:t xml:space="preserve">     De cinco a ocho años</w:t>
            </w:r>
            <w:r w:rsidRPr="00C443FC">
              <w:rPr>
                <w:rFonts w:eastAsia="Calibri"/>
                <w:b/>
                <w:sz w:val="20"/>
                <w:szCs w:val="20"/>
                <w:u w:val="single"/>
                <w:vertAlign w:val="superscript"/>
                <w:lang w:eastAsia="en-US"/>
              </w:rPr>
              <w:t>2</w:t>
            </w:r>
            <w:r w:rsidRPr="00C443FC">
              <w:rPr>
                <w:rFonts w:eastAsia="Calibri"/>
                <w:b/>
                <w:sz w:val="20"/>
                <w:szCs w:val="20"/>
                <w:vertAlign w:val="superscript"/>
                <w:lang w:eastAsia="en-US"/>
              </w:rPr>
              <w:t>/</w:t>
            </w:r>
          </w:p>
        </w:tc>
        <w:tc>
          <w:tcPr>
            <w:tcW w:w="1194" w:type="dxa"/>
            <w:tcBorders>
              <w:left w:val="single" w:sz="4" w:space="0" w:color="auto"/>
              <w:right w:val="single" w:sz="4" w:space="0" w:color="auto"/>
            </w:tcBorders>
          </w:tcPr>
          <w:p w14:paraId="1A56031D" w14:textId="77777777" w:rsidR="00C443FC" w:rsidRPr="00C443FC" w:rsidRDefault="00C443FC" w:rsidP="00C443FC">
            <w:pPr>
              <w:jc w:val="center"/>
              <w:rPr>
                <w:rFonts w:eastAsia="Calibri"/>
                <w:sz w:val="20"/>
                <w:szCs w:val="20"/>
                <w:lang w:eastAsia="en-US"/>
              </w:rPr>
            </w:pPr>
          </w:p>
        </w:tc>
        <w:tc>
          <w:tcPr>
            <w:tcW w:w="1194" w:type="dxa"/>
            <w:tcBorders>
              <w:left w:val="single" w:sz="4" w:space="0" w:color="auto"/>
              <w:right w:val="single" w:sz="4" w:space="0" w:color="auto"/>
            </w:tcBorders>
          </w:tcPr>
          <w:p w14:paraId="70C21DFD" w14:textId="77777777" w:rsidR="00C443FC" w:rsidRPr="00C443FC" w:rsidRDefault="00C443FC" w:rsidP="00C443FC">
            <w:pPr>
              <w:jc w:val="center"/>
              <w:rPr>
                <w:rFonts w:eastAsia="Calibri"/>
                <w:sz w:val="20"/>
                <w:szCs w:val="20"/>
                <w:lang w:eastAsia="en-US"/>
              </w:rPr>
            </w:pPr>
          </w:p>
        </w:tc>
        <w:tc>
          <w:tcPr>
            <w:tcW w:w="1194" w:type="dxa"/>
            <w:tcBorders>
              <w:left w:val="single" w:sz="4" w:space="0" w:color="auto"/>
              <w:right w:val="single" w:sz="4" w:space="0" w:color="auto"/>
            </w:tcBorders>
          </w:tcPr>
          <w:p w14:paraId="6205646D" w14:textId="77777777" w:rsidR="00C443FC" w:rsidRPr="00C443FC" w:rsidRDefault="00C443FC" w:rsidP="00C443FC">
            <w:pPr>
              <w:jc w:val="center"/>
              <w:rPr>
                <w:rFonts w:eastAsia="Calibri"/>
                <w:sz w:val="20"/>
                <w:szCs w:val="20"/>
                <w:lang w:eastAsia="en-US"/>
              </w:rPr>
            </w:pPr>
          </w:p>
        </w:tc>
        <w:tc>
          <w:tcPr>
            <w:tcW w:w="1194" w:type="dxa"/>
            <w:tcBorders>
              <w:left w:val="single" w:sz="4" w:space="0" w:color="auto"/>
              <w:right w:val="single" w:sz="4" w:space="0" w:color="auto"/>
            </w:tcBorders>
          </w:tcPr>
          <w:p w14:paraId="03EA8AA2" w14:textId="77777777" w:rsidR="00C443FC" w:rsidRPr="00C443FC" w:rsidRDefault="00C443FC" w:rsidP="00C443FC">
            <w:pPr>
              <w:jc w:val="center"/>
              <w:rPr>
                <w:rFonts w:eastAsia="Calibri"/>
                <w:sz w:val="20"/>
                <w:szCs w:val="20"/>
                <w:lang w:eastAsia="en-US"/>
              </w:rPr>
            </w:pPr>
          </w:p>
        </w:tc>
      </w:tr>
      <w:tr w:rsidR="00C443FC" w:rsidRPr="00C443FC" w14:paraId="46E3C81A" w14:textId="77777777" w:rsidTr="005C0CDD">
        <w:trPr>
          <w:jc w:val="center"/>
        </w:trPr>
        <w:tc>
          <w:tcPr>
            <w:tcW w:w="2615" w:type="dxa"/>
            <w:tcBorders>
              <w:left w:val="single" w:sz="4" w:space="0" w:color="auto"/>
              <w:right w:val="single" w:sz="4" w:space="0" w:color="auto"/>
            </w:tcBorders>
          </w:tcPr>
          <w:p w14:paraId="26F72551" w14:textId="77777777" w:rsidR="00C443FC" w:rsidRPr="00C443FC" w:rsidRDefault="00C443FC" w:rsidP="00C443FC">
            <w:pPr>
              <w:ind w:left="397"/>
              <w:rPr>
                <w:rFonts w:eastAsia="Calibri"/>
                <w:sz w:val="20"/>
                <w:szCs w:val="20"/>
                <w:lang w:eastAsia="en-US"/>
              </w:rPr>
            </w:pPr>
            <w:r w:rsidRPr="00C443FC">
              <w:rPr>
                <w:rFonts w:eastAsia="Calibri"/>
                <w:sz w:val="20"/>
                <w:szCs w:val="20"/>
                <w:lang w:eastAsia="en-US"/>
              </w:rPr>
              <w:t>Media</w:t>
            </w:r>
          </w:p>
        </w:tc>
        <w:tc>
          <w:tcPr>
            <w:tcW w:w="1194" w:type="dxa"/>
            <w:tcBorders>
              <w:left w:val="single" w:sz="4" w:space="0" w:color="auto"/>
              <w:right w:val="single" w:sz="4" w:space="0" w:color="auto"/>
            </w:tcBorders>
          </w:tcPr>
          <w:p w14:paraId="725F6040"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3.44</w:t>
            </w:r>
          </w:p>
        </w:tc>
        <w:tc>
          <w:tcPr>
            <w:tcW w:w="1194" w:type="dxa"/>
            <w:tcBorders>
              <w:left w:val="single" w:sz="4" w:space="0" w:color="auto"/>
              <w:right w:val="single" w:sz="4" w:space="0" w:color="auto"/>
            </w:tcBorders>
          </w:tcPr>
          <w:p w14:paraId="4FFC708F"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3.40</w:t>
            </w:r>
          </w:p>
        </w:tc>
        <w:tc>
          <w:tcPr>
            <w:tcW w:w="1194" w:type="dxa"/>
            <w:tcBorders>
              <w:left w:val="single" w:sz="4" w:space="0" w:color="auto"/>
              <w:right w:val="single" w:sz="4" w:space="0" w:color="auto"/>
            </w:tcBorders>
          </w:tcPr>
          <w:p w14:paraId="2276FACA"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3.08</w:t>
            </w:r>
          </w:p>
        </w:tc>
        <w:tc>
          <w:tcPr>
            <w:tcW w:w="1194" w:type="dxa"/>
            <w:tcBorders>
              <w:left w:val="single" w:sz="4" w:space="0" w:color="auto"/>
              <w:right w:val="single" w:sz="4" w:space="0" w:color="auto"/>
            </w:tcBorders>
          </w:tcPr>
          <w:p w14:paraId="497FCCE2"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3.08</w:t>
            </w:r>
          </w:p>
        </w:tc>
      </w:tr>
      <w:tr w:rsidR="00C443FC" w:rsidRPr="00C443FC" w14:paraId="4239C628" w14:textId="77777777" w:rsidTr="005C0CDD">
        <w:trPr>
          <w:jc w:val="center"/>
        </w:trPr>
        <w:tc>
          <w:tcPr>
            <w:tcW w:w="2615" w:type="dxa"/>
            <w:tcBorders>
              <w:left w:val="single" w:sz="4" w:space="0" w:color="auto"/>
              <w:bottom w:val="single" w:sz="4" w:space="0" w:color="auto"/>
              <w:right w:val="single" w:sz="4" w:space="0" w:color="auto"/>
            </w:tcBorders>
          </w:tcPr>
          <w:p w14:paraId="2B806AA8" w14:textId="77777777" w:rsidR="00C443FC" w:rsidRPr="00C443FC" w:rsidRDefault="00C443FC" w:rsidP="00C443FC">
            <w:pPr>
              <w:ind w:left="397"/>
              <w:rPr>
                <w:rFonts w:eastAsia="Calibri"/>
                <w:sz w:val="20"/>
                <w:szCs w:val="20"/>
                <w:lang w:eastAsia="en-US"/>
              </w:rPr>
            </w:pPr>
            <w:r w:rsidRPr="00C443FC">
              <w:rPr>
                <w:rFonts w:eastAsia="Calibri"/>
                <w:sz w:val="20"/>
                <w:szCs w:val="20"/>
                <w:lang w:eastAsia="en-US"/>
              </w:rPr>
              <w:t>Mediana</w:t>
            </w:r>
          </w:p>
        </w:tc>
        <w:tc>
          <w:tcPr>
            <w:tcW w:w="1194" w:type="dxa"/>
            <w:tcBorders>
              <w:left w:val="single" w:sz="4" w:space="0" w:color="auto"/>
              <w:bottom w:val="single" w:sz="4" w:space="0" w:color="auto"/>
              <w:right w:val="single" w:sz="4" w:space="0" w:color="auto"/>
            </w:tcBorders>
          </w:tcPr>
          <w:p w14:paraId="7888875E"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3.50</w:t>
            </w:r>
          </w:p>
        </w:tc>
        <w:tc>
          <w:tcPr>
            <w:tcW w:w="1194" w:type="dxa"/>
            <w:tcBorders>
              <w:left w:val="single" w:sz="4" w:space="0" w:color="auto"/>
              <w:bottom w:val="single" w:sz="4" w:space="0" w:color="auto"/>
              <w:right w:val="single" w:sz="4" w:space="0" w:color="auto"/>
            </w:tcBorders>
          </w:tcPr>
          <w:p w14:paraId="28BE2746"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3.50</w:t>
            </w:r>
          </w:p>
        </w:tc>
        <w:tc>
          <w:tcPr>
            <w:tcW w:w="1194" w:type="dxa"/>
            <w:tcBorders>
              <w:left w:val="single" w:sz="4" w:space="0" w:color="auto"/>
              <w:bottom w:val="single" w:sz="4" w:space="0" w:color="auto"/>
              <w:right w:val="single" w:sz="4" w:space="0" w:color="auto"/>
            </w:tcBorders>
          </w:tcPr>
          <w:p w14:paraId="21F5614D"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3.12</w:t>
            </w:r>
          </w:p>
        </w:tc>
        <w:tc>
          <w:tcPr>
            <w:tcW w:w="1194" w:type="dxa"/>
            <w:tcBorders>
              <w:left w:val="single" w:sz="4" w:space="0" w:color="auto"/>
              <w:bottom w:val="single" w:sz="4" w:space="0" w:color="auto"/>
              <w:right w:val="single" w:sz="4" w:space="0" w:color="auto"/>
            </w:tcBorders>
          </w:tcPr>
          <w:p w14:paraId="5DA29BA4"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3.05</w:t>
            </w:r>
          </w:p>
        </w:tc>
      </w:tr>
      <w:tr w:rsidR="00C443FC" w:rsidRPr="00C443FC" w14:paraId="14D38D07" w14:textId="77777777" w:rsidTr="007B7E95">
        <w:trPr>
          <w:jc w:val="center"/>
        </w:trPr>
        <w:tc>
          <w:tcPr>
            <w:tcW w:w="7391" w:type="dxa"/>
            <w:gridSpan w:val="5"/>
            <w:tcBorders>
              <w:left w:val="nil"/>
              <w:bottom w:val="nil"/>
              <w:right w:val="nil"/>
            </w:tcBorders>
          </w:tcPr>
          <w:p w14:paraId="3D73D5BB" w14:textId="77777777" w:rsidR="00C443FC" w:rsidRPr="00C443FC" w:rsidRDefault="00C443FC" w:rsidP="00C443FC">
            <w:pPr>
              <w:ind w:left="227" w:hanging="227"/>
              <w:jc w:val="both"/>
              <w:rPr>
                <w:rFonts w:eastAsia="Calibri"/>
                <w:sz w:val="20"/>
                <w:szCs w:val="20"/>
                <w:lang w:eastAsia="en-US"/>
              </w:rPr>
            </w:pPr>
            <w:r w:rsidRPr="00C443FC">
              <w:rPr>
                <w:rFonts w:eastAsia="Calibri"/>
                <w:sz w:val="20"/>
                <w:szCs w:val="20"/>
                <w:u w:val="single"/>
                <w:lang w:eastAsia="en-US"/>
              </w:rPr>
              <w:t>1</w:t>
            </w:r>
            <w:r w:rsidRPr="00C443FC">
              <w:rPr>
                <w:rFonts w:eastAsia="Calibri"/>
                <w:sz w:val="20"/>
                <w:szCs w:val="20"/>
                <w:lang w:eastAsia="en-US"/>
              </w:rPr>
              <w:t>/ Corresponde al promedio anual de 2016 a 2019.</w:t>
            </w:r>
          </w:p>
          <w:p w14:paraId="1FDB41AD" w14:textId="77777777" w:rsidR="00C443FC" w:rsidRPr="00C443FC" w:rsidRDefault="00C443FC" w:rsidP="00C443FC">
            <w:pPr>
              <w:ind w:left="227" w:hanging="227"/>
              <w:jc w:val="both"/>
              <w:rPr>
                <w:rFonts w:eastAsia="Calibri"/>
                <w:sz w:val="20"/>
                <w:szCs w:val="20"/>
                <w:lang w:eastAsia="en-US"/>
              </w:rPr>
            </w:pPr>
            <w:r w:rsidRPr="00C443FC">
              <w:rPr>
                <w:rFonts w:eastAsia="Calibri"/>
                <w:sz w:val="20"/>
                <w:szCs w:val="20"/>
                <w:u w:val="single"/>
                <w:lang w:eastAsia="en-US"/>
              </w:rPr>
              <w:t>2</w:t>
            </w:r>
            <w:r w:rsidRPr="00C443FC">
              <w:rPr>
                <w:rFonts w:eastAsia="Calibri"/>
                <w:sz w:val="20"/>
                <w:szCs w:val="20"/>
                <w:lang w:eastAsia="en-US"/>
              </w:rPr>
              <w:t>/ Corresponde al promedio anual de 2020 a 2023.</w:t>
            </w:r>
          </w:p>
          <w:p w14:paraId="39733C0D" w14:textId="77777777" w:rsidR="00C443FC" w:rsidRPr="00C443FC" w:rsidRDefault="00C443FC" w:rsidP="00C443FC">
            <w:pPr>
              <w:ind w:left="227" w:hanging="227"/>
              <w:jc w:val="both"/>
              <w:rPr>
                <w:rFonts w:eastAsia="Calibri"/>
                <w:sz w:val="20"/>
                <w:szCs w:val="20"/>
                <w:lang w:eastAsia="en-US"/>
              </w:rPr>
            </w:pPr>
            <w:r w:rsidRPr="00C443FC">
              <w:rPr>
                <w:rFonts w:eastAsia="Calibri"/>
                <w:sz w:val="20"/>
                <w:szCs w:val="20"/>
                <w:lang w:eastAsia="en-US"/>
              </w:rPr>
              <w:t>FUENTE: Banco de México.</w:t>
            </w:r>
          </w:p>
        </w:tc>
      </w:tr>
    </w:tbl>
    <w:p w14:paraId="12D5F1E7" w14:textId="77777777" w:rsidR="00C443FC" w:rsidRPr="00C443FC" w:rsidRDefault="00C443FC" w:rsidP="00C443FC">
      <w:pPr>
        <w:spacing w:after="360" w:line="360" w:lineRule="auto"/>
        <w:ind w:right="-159"/>
        <w:jc w:val="both"/>
        <w:rPr>
          <w:rFonts w:eastAsia="Calibri"/>
          <w:sz w:val="26"/>
          <w:szCs w:val="26"/>
          <w:lang w:eastAsia="en-US"/>
        </w:rPr>
      </w:pPr>
    </w:p>
    <w:p w14:paraId="731A0629" w14:textId="14B16674" w:rsidR="00D27C30" w:rsidRPr="00D27C30" w:rsidRDefault="00D27C30" w:rsidP="00D27C30">
      <w:pPr>
        <w:spacing w:after="160" w:line="259" w:lineRule="auto"/>
        <w:jc w:val="center"/>
        <w:rPr>
          <w:rFonts w:ascii="Calibri" w:eastAsia="Calibri" w:hAnsi="Calibri"/>
          <w:sz w:val="22"/>
          <w:szCs w:val="22"/>
          <w:lang w:eastAsia="en-US"/>
        </w:rPr>
      </w:pPr>
      <w:r w:rsidRPr="00D27C30">
        <w:rPr>
          <w:rFonts w:ascii="Calibri" w:eastAsia="Calibri" w:hAnsi="Calibri"/>
          <w:sz w:val="22"/>
          <w:szCs w:val="22"/>
          <w:lang w:eastAsia="en-US"/>
        </w:rPr>
        <w:fldChar w:fldCharType="begin"/>
      </w:r>
      <w:r w:rsidRPr="00D27C30">
        <w:rPr>
          <w:rFonts w:ascii="Calibri" w:eastAsia="Calibri" w:hAnsi="Calibri"/>
          <w:sz w:val="22"/>
          <w:szCs w:val="22"/>
          <w:lang w:eastAsia="en-US"/>
        </w:rPr>
        <w:instrText xml:space="preserve"> LINK PowerPoint.Slide.8 "D:\\2015\\MARZO 2014\\GRÁFICAS EN POWER POINT\\14.-GRÁFICAS DE EXPECTATIVAS II.pptx!447" "" \a \p </w:instrText>
      </w:r>
      <w:r w:rsidRPr="00D27C30">
        <w:rPr>
          <w:rFonts w:ascii="Calibri" w:eastAsia="Calibri" w:hAnsi="Calibri"/>
          <w:sz w:val="22"/>
          <w:szCs w:val="22"/>
          <w:lang w:eastAsia="en-US"/>
        </w:rPr>
        <w:fldChar w:fldCharType="separate"/>
      </w:r>
      <w:r w:rsidRPr="00D27C30">
        <w:rPr>
          <w:rFonts w:ascii="Calibri" w:eastAsia="Calibri" w:hAnsi="Calibri"/>
          <w:noProof/>
          <w:sz w:val="22"/>
          <w:szCs w:val="22"/>
          <w:lang w:eastAsia="es-MX"/>
        </w:rPr>
        <w:drawing>
          <wp:inline distT="0" distB="0" distL="0" distR="0" wp14:anchorId="3D5DE380" wp14:editId="05D9EEF8">
            <wp:extent cx="4244340" cy="3422650"/>
            <wp:effectExtent l="0" t="0" r="3810" b="6350"/>
            <wp:docPr id="1507" name="Imagen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78"/>
                    <pic:cNvPicPr>
                      <a:picLocks noChangeAspect="1" noChangeArrowheads="1"/>
                    </pic:cNvPicPr>
                  </pic:nvPicPr>
                  <pic:blipFill>
                    <a:blip r:embed="rId249" cstate="print">
                      <a:extLst>
                        <a:ext uri="{28A0092B-C50C-407E-A947-70E740481C1C}">
                          <a14:useLocalDpi xmlns:a14="http://schemas.microsoft.com/office/drawing/2010/main" val="0"/>
                        </a:ext>
                      </a:extLst>
                    </a:blip>
                    <a:srcRect l="4341" r="2644"/>
                    <a:stretch>
                      <a:fillRect/>
                    </a:stretch>
                  </pic:blipFill>
                  <pic:spPr bwMode="auto">
                    <a:xfrm>
                      <a:off x="0" y="0"/>
                      <a:ext cx="4244340" cy="3422650"/>
                    </a:xfrm>
                    <a:prstGeom prst="rect">
                      <a:avLst/>
                    </a:prstGeom>
                    <a:noFill/>
                    <a:ln>
                      <a:noFill/>
                    </a:ln>
                  </pic:spPr>
                </pic:pic>
              </a:graphicData>
            </a:graphic>
          </wp:inline>
        </w:drawing>
      </w:r>
      <w:r w:rsidRPr="00D27C30">
        <w:rPr>
          <w:rFonts w:ascii="Calibri" w:eastAsia="Calibri" w:hAnsi="Calibri"/>
          <w:sz w:val="22"/>
          <w:szCs w:val="22"/>
          <w:lang w:eastAsia="en-US"/>
        </w:rPr>
        <w:fldChar w:fldCharType="end"/>
      </w:r>
    </w:p>
    <w:p w14:paraId="486B3546" w14:textId="77777777" w:rsidR="00D27C30" w:rsidRPr="00D27C30" w:rsidRDefault="00D27C30" w:rsidP="00D27C30">
      <w:pPr>
        <w:spacing w:after="160" w:line="259" w:lineRule="auto"/>
        <w:jc w:val="center"/>
        <w:rPr>
          <w:rFonts w:ascii="Calibri" w:eastAsia="Calibri" w:hAnsi="Calibri"/>
          <w:sz w:val="22"/>
          <w:szCs w:val="22"/>
          <w:lang w:eastAsia="en-US"/>
        </w:rPr>
      </w:pPr>
    </w:p>
    <w:p w14:paraId="53E7AB4D" w14:textId="127285D1" w:rsidR="00D27C30" w:rsidRPr="00D27C30" w:rsidRDefault="00D27C30" w:rsidP="00D27C30">
      <w:pPr>
        <w:spacing w:after="160" w:line="259" w:lineRule="auto"/>
        <w:jc w:val="center"/>
        <w:rPr>
          <w:rFonts w:ascii="Calibri" w:eastAsia="Calibri" w:hAnsi="Calibri"/>
          <w:sz w:val="22"/>
          <w:szCs w:val="22"/>
          <w:lang w:eastAsia="en-US"/>
        </w:rPr>
      </w:pPr>
      <w:r w:rsidRPr="00D27C30">
        <w:rPr>
          <w:rFonts w:ascii="Calibri" w:eastAsia="Calibri" w:hAnsi="Calibri"/>
          <w:sz w:val="22"/>
          <w:szCs w:val="22"/>
          <w:lang w:eastAsia="en-US"/>
        </w:rPr>
        <w:lastRenderedPageBreak/>
        <w:fldChar w:fldCharType="begin"/>
      </w:r>
      <w:r w:rsidRPr="00D27C30">
        <w:rPr>
          <w:rFonts w:ascii="Calibri" w:eastAsia="Calibri" w:hAnsi="Calibri"/>
          <w:sz w:val="22"/>
          <w:szCs w:val="22"/>
          <w:lang w:eastAsia="en-US"/>
        </w:rPr>
        <w:instrText xml:space="preserve"> LINK PowerPoint.Slide.8 "D:\\2015\\MARZO 2014\\GRÁFICAS EN POWER POINT\\14.-GRÁFICAS DE EXPECTATIVAS II.pptx!588" "" \a \p </w:instrText>
      </w:r>
      <w:r w:rsidRPr="00D27C30">
        <w:rPr>
          <w:rFonts w:ascii="Calibri" w:eastAsia="Calibri" w:hAnsi="Calibri"/>
          <w:sz w:val="22"/>
          <w:szCs w:val="22"/>
          <w:lang w:eastAsia="en-US"/>
        </w:rPr>
        <w:fldChar w:fldCharType="separate"/>
      </w:r>
      <w:r w:rsidRPr="00D27C30">
        <w:rPr>
          <w:rFonts w:ascii="Calibri" w:eastAsia="Calibri" w:hAnsi="Calibri"/>
          <w:noProof/>
          <w:sz w:val="22"/>
          <w:szCs w:val="22"/>
          <w:lang w:eastAsia="es-MX"/>
        </w:rPr>
        <w:drawing>
          <wp:inline distT="0" distB="0" distL="0" distR="0" wp14:anchorId="55ED7B97" wp14:editId="14A4D455">
            <wp:extent cx="4559935" cy="3422650"/>
            <wp:effectExtent l="0" t="0" r="0" b="6350"/>
            <wp:docPr id="1506" name="Imagen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79"/>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4559935" cy="3422650"/>
                    </a:xfrm>
                    <a:prstGeom prst="rect">
                      <a:avLst/>
                    </a:prstGeom>
                    <a:noFill/>
                    <a:ln>
                      <a:noFill/>
                    </a:ln>
                  </pic:spPr>
                </pic:pic>
              </a:graphicData>
            </a:graphic>
          </wp:inline>
        </w:drawing>
      </w:r>
      <w:r w:rsidRPr="00D27C30">
        <w:rPr>
          <w:rFonts w:ascii="Calibri" w:eastAsia="Calibri" w:hAnsi="Calibri"/>
          <w:sz w:val="22"/>
          <w:szCs w:val="22"/>
          <w:lang w:eastAsia="en-US"/>
        </w:rPr>
        <w:fldChar w:fldCharType="end"/>
      </w:r>
    </w:p>
    <w:p w14:paraId="79A37FE3" w14:textId="77777777" w:rsidR="00D27C30" w:rsidRPr="00D27C30" w:rsidRDefault="00D27C30" w:rsidP="00D27C30">
      <w:pPr>
        <w:spacing w:after="160" w:line="259" w:lineRule="auto"/>
        <w:jc w:val="center"/>
        <w:rPr>
          <w:rFonts w:ascii="Calibri" w:eastAsia="Calibri" w:hAnsi="Calibri"/>
          <w:sz w:val="22"/>
          <w:szCs w:val="22"/>
          <w:lang w:eastAsia="en-US"/>
        </w:rPr>
      </w:pPr>
    </w:p>
    <w:p w14:paraId="106E1C48" w14:textId="77777777" w:rsidR="00D27C30" w:rsidRPr="00D27C30" w:rsidRDefault="00D27C30" w:rsidP="00D27C30">
      <w:pPr>
        <w:spacing w:after="160" w:line="259" w:lineRule="auto"/>
        <w:jc w:val="center"/>
        <w:rPr>
          <w:rFonts w:ascii="Calibri" w:eastAsia="Calibri" w:hAnsi="Calibri"/>
          <w:sz w:val="22"/>
          <w:szCs w:val="22"/>
          <w:lang w:eastAsia="en-US"/>
        </w:rPr>
      </w:pPr>
    </w:p>
    <w:p w14:paraId="6B3FB086" w14:textId="1B7A1938" w:rsidR="00D27C30" w:rsidRPr="00D27C30" w:rsidRDefault="00D27C30" w:rsidP="00D27C30">
      <w:pPr>
        <w:spacing w:after="160" w:line="259" w:lineRule="auto"/>
        <w:jc w:val="center"/>
        <w:rPr>
          <w:rFonts w:ascii="Calibri" w:eastAsia="Calibri" w:hAnsi="Calibri"/>
          <w:sz w:val="22"/>
          <w:szCs w:val="22"/>
          <w:lang w:eastAsia="en-US"/>
        </w:rPr>
      </w:pPr>
      <w:r w:rsidRPr="00D27C30">
        <w:rPr>
          <w:rFonts w:ascii="Calibri" w:eastAsia="Calibri" w:hAnsi="Calibri"/>
          <w:sz w:val="22"/>
          <w:szCs w:val="22"/>
          <w:lang w:eastAsia="en-US"/>
        </w:rPr>
        <w:fldChar w:fldCharType="begin"/>
      </w:r>
      <w:r w:rsidRPr="00D27C30">
        <w:rPr>
          <w:rFonts w:ascii="Calibri" w:eastAsia="Calibri" w:hAnsi="Calibri"/>
          <w:sz w:val="22"/>
          <w:szCs w:val="22"/>
          <w:lang w:eastAsia="en-US"/>
        </w:rPr>
        <w:instrText xml:space="preserve"> LINK PowerPoint.Slide.8 "D:\\2015\\MARZO 2014\\GRÁFICAS EN POWER POINT\\14.-GRÁFICAS DE EXPECTATIVAS II.pptx!529" "" \a \p </w:instrText>
      </w:r>
      <w:r w:rsidRPr="00D27C30">
        <w:rPr>
          <w:rFonts w:ascii="Calibri" w:eastAsia="Calibri" w:hAnsi="Calibri"/>
          <w:sz w:val="22"/>
          <w:szCs w:val="22"/>
          <w:lang w:eastAsia="en-US"/>
        </w:rPr>
        <w:fldChar w:fldCharType="separate"/>
      </w:r>
      <w:r w:rsidRPr="00D27C30">
        <w:rPr>
          <w:rFonts w:ascii="Calibri" w:eastAsia="Calibri" w:hAnsi="Calibri"/>
          <w:noProof/>
          <w:sz w:val="22"/>
          <w:szCs w:val="22"/>
          <w:lang w:eastAsia="es-MX"/>
        </w:rPr>
        <w:drawing>
          <wp:inline distT="0" distB="0" distL="0" distR="0" wp14:anchorId="12AB44BF" wp14:editId="7D435753">
            <wp:extent cx="4559935" cy="3422650"/>
            <wp:effectExtent l="0" t="0" r="0" b="6350"/>
            <wp:docPr id="1505" name="Imagen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80"/>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4559935" cy="3422650"/>
                    </a:xfrm>
                    <a:prstGeom prst="rect">
                      <a:avLst/>
                    </a:prstGeom>
                    <a:noFill/>
                    <a:ln>
                      <a:noFill/>
                    </a:ln>
                  </pic:spPr>
                </pic:pic>
              </a:graphicData>
            </a:graphic>
          </wp:inline>
        </w:drawing>
      </w:r>
      <w:r w:rsidRPr="00D27C30">
        <w:rPr>
          <w:rFonts w:ascii="Calibri" w:eastAsia="Calibri" w:hAnsi="Calibri"/>
          <w:sz w:val="22"/>
          <w:szCs w:val="22"/>
          <w:lang w:eastAsia="en-US"/>
        </w:rPr>
        <w:fldChar w:fldCharType="end"/>
      </w:r>
    </w:p>
    <w:p w14:paraId="0563F1A1" w14:textId="77777777" w:rsidR="00D27C30" w:rsidRPr="00D27C30" w:rsidRDefault="00D27C30" w:rsidP="00D27C30">
      <w:pPr>
        <w:spacing w:after="160" w:line="259" w:lineRule="auto"/>
        <w:jc w:val="center"/>
        <w:rPr>
          <w:rFonts w:ascii="Calibri" w:eastAsia="Calibri" w:hAnsi="Calibri"/>
          <w:sz w:val="22"/>
          <w:szCs w:val="22"/>
          <w:lang w:eastAsia="en-US"/>
        </w:rPr>
      </w:pPr>
    </w:p>
    <w:p w14:paraId="66396528" w14:textId="67133904" w:rsidR="00D27C30" w:rsidRPr="00D27C30" w:rsidRDefault="00D27C30" w:rsidP="00D27C30">
      <w:pPr>
        <w:spacing w:after="160" w:line="259" w:lineRule="auto"/>
        <w:jc w:val="center"/>
        <w:rPr>
          <w:rFonts w:ascii="Calibri" w:eastAsia="Calibri" w:hAnsi="Calibri"/>
          <w:sz w:val="22"/>
          <w:szCs w:val="22"/>
          <w:lang w:eastAsia="en-US"/>
        </w:rPr>
      </w:pPr>
      <w:r w:rsidRPr="00D27C30">
        <w:rPr>
          <w:rFonts w:ascii="Calibri" w:eastAsia="Calibri" w:hAnsi="Calibri"/>
          <w:sz w:val="22"/>
          <w:szCs w:val="22"/>
          <w:lang w:eastAsia="en-US"/>
        </w:rPr>
        <w:lastRenderedPageBreak/>
        <w:fldChar w:fldCharType="begin"/>
      </w:r>
      <w:r w:rsidRPr="00D27C30">
        <w:rPr>
          <w:rFonts w:ascii="Calibri" w:eastAsia="Calibri" w:hAnsi="Calibri"/>
          <w:sz w:val="22"/>
          <w:szCs w:val="22"/>
          <w:lang w:eastAsia="en-US"/>
        </w:rPr>
        <w:instrText xml:space="preserve"> LINK PowerPoint.Slide.8 "D:\\2015\\MARZO 2014\\GRÁFICAS EN POWER POINT\\14.-GRÁFICAS DE EXPECTATIVAS II.pptx!589" "" \a \p </w:instrText>
      </w:r>
      <w:r w:rsidRPr="00D27C30">
        <w:rPr>
          <w:rFonts w:ascii="Calibri" w:eastAsia="Calibri" w:hAnsi="Calibri"/>
          <w:sz w:val="22"/>
          <w:szCs w:val="22"/>
          <w:lang w:eastAsia="en-US"/>
        </w:rPr>
        <w:fldChar w:fldCharType="separate"/>
      </w:r>
      <w:r w:rsidRPr="00D27C30">
        <w:rPr>
          <w:rFonts w:ascii="Calibri" w:eastAsia="Calibri" w:hAnsi="Calibri"/>
          <w:noProof/>
          <w:sz w:val="22"/>
          <w:szCs w:val="22"/>
          <w:lang w:eastAsia="es-MX"/>
        </w:rPr>
        <w:drawing>
          <wp:inline distT="0" distB="0" distL="0" distR="0" wp14:anchorId="4F7914A6" wp14:editId="18F0C070">
            <wp:extent cx="4071620" cy="3422650"/>
            <wp:effectExtent l="0" t="0" r="5080" b="6350"/>
            <wp:docPr id="1504" name="Imagen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81"/>
                    <pic:cNvPicPr>
                      <a:picLocks noChangeAspect="1" noChangeArrowheads="1"/>
                    </pic:cNvPicPr>
                  </pic:nvPicPr>
                  <pic:blipFill>
                    <a:blip r:embed="rId252" cstate="print">
                      <a:extLst>
                        <a:ext uri="{28A0092B-C50C-407E-A947-70E740481C1C}">
                          <a14:useLocalDpi xmlns:a14="http://schemas.microsoft.com/office/drawing/2010/main" val="0"/>
                        </a:ext>
                      </a:extLst>
                    </a:blip>
                    <a:srcRect l="7751" r="3006"/>
                    <a:stretch>
                      <a:fillRect/>
                    </a:stretch>
                  </pic:blipFill>
                  <pic:spPr bwMode="auto">
                    <a:xfrm>
                      <a:off x="0" y="0"/>
                      <a:ext cx="4071620" cy="3422650"/>
                    </a:xfrm>
                    <a:prstGeom prst="rect">
                      <a:avLst/>
                    </a:prstGeom>
                    <a:noFill/>
                    <a:ln>
                      <a:noFill/>
                    </a:ln>
                  </pic:spPr>
                </pic:pic>
              </a:graphicData>
            </a:graphic>
          </wp:inline>
        </w:drawing>
      </w:r>
      <w:r w:rsidRPr="00D27C30">
        <w:rPr>
          <w:rFonts w:ascii="Calibri" w:eastAsia="Calibri" w:hAnsi="Calibri"/>
          <w:sz w:val="22"/>
          <w:szCs w:val="22"/>
          <w:lang w:eastAsia="en-US"/>
        </w:rPr>
        <w:fldChar w:fldCharType="end"/>
      </w:r>
    </w:p>
    <w:p w14:paraId="42EAAE29" w14:textId="77777777" w:rsidR="00D27C30" w:rsidRPr="00D27C30" w:rsidRDefault="00D27C30" w:rsidP="00D27C30">
      <w:pPr>
        <w:spacing w:after="160" w:line="259" w:lineRule="auto"/>
        <w:jc w:val="center"/>
        <w:rPr>
          <w:rFonts w:ascii="Calibri" w:eastAsia="Calibri" w:hAnsi="Calibri"/>
          <w:sz w:val="22"/>
          <w:szCs w:val="22"/>
          <w:lang w:eastAsia="en-US"/>
        </w:rPr>
      </w:pPr>
    </w:p>
    <w:p w14:paraId="5A3CB0A8" w14:textId="77777777" w:rsidR="00D27C30" w:rsidRDefault="00D27C30" w:rsidP="00C443FC">
      <w:pPr>
        <w:spacing w:after="360" w:line="360" w:lineRule="auto"/>
        <w:ind w:right="-159"/>
        <w:jc w:val="center"/>
        <w:rPr>
          <w:rFonts w:eastAsia="Calibri"/>
          <w:sz w:val="26"/>
          <w:szCs w:val="26"/>
          <w:lang w:eastAsia="en-US"/>
        </w:rPr>
      </w:pPr>
    </w:p>
    <w:p w14:paraId="3DA5B2BA" w14:textId="77777777" w:rsidR="00C443FC" w:rsidRPr="00C443FC" w:rsidRDefault="00C443FC" w:rsidP="00C443FC">
      <w:pPr>
        <w:spacing w:after="360" w:line="360" w:lineRule="auto"/>
        <w:ind w:right="-159"/>
        <w:jc w:val="both"/>
        <w:rPr>
          <w:rFonts w:eastAsia="Calibri"/>
          <w:b/>
          <w:sz w:val="26"/>
          <w:szCs w:val="26"/>
          <w:lang w:eastAsia="en-US"/>
        </w:rPr>
      </w:pPr>
      <w:r w:rsidRPr="00C443FC">
        <w:rPr>
          <w:rFonts w:eastAsia="Calibri"/>
          <w:b/>
          <w:sz w:val="26"/>
          <w:szCs w:val="26"/>
          <w:lang w:eastAsia="en-US"/>
        </w:rPr>
        <w:t>Crecimiento real del PIB</w:t>
      </w:r>
    </w:p>
    <w:p w14:paraId="18C65686" w14:textId="77777777" w:rsidR="00C443FC" w:rsidRDefault="00C443FC" w:rsidP="00C443FC">
      <w:pPr>
        <w:spacing w:after="360" w:line="360" w:lineRule="auto"/>
        <w:ind w:right="-159"/>
        <w:jc w:val="both"/>
        <w:rPr>
          <w:rFonts w:eastAsia="Calibri"/>
          <w:sz w:val="26"/>
          <w:szCs w:val="26"/>
          <w:lang w:eastAsia="en-US"/>
        </w:rPr>
      </w:pPr>
      <w:r w:rsidRPr="00C443FC">
        <w:rPr>
          <w:rFonts w:eastAsia="Calibri"/>
          <w:sz w:val="26"/>
          <w:szCs w:val="26"/>
          <w:lang w:eastAsia="en-US"/>
        </w:rPr>
        <w:t xml:space="preserve">A continuación se presentan los resultados de los pronósticos de los analistas para el crecimiento real del PIB de México en  2015, 2016 y 2017, así como para el promedio de los próximos diez años (ver el cuadro </w:t>
      </w:r>
      <w:r w:rsidRPr="00C443FC">
        <w:rPr>
          <w:rFonts w:eastAsia="Calibri"/>
          <w:i/>
          <w:sz w:val="26"/>
          <w:szCs w:val="26"/>
          <w:lang w:eastAsia="en-US"/>
        </w:rPr>
        <w:t>Pronósticos de la variación del PIB</w:t>
      </w:r>
      <w:r w:rsidRPr="00C443FC">
        <w:rPr>
          <w:rFonts w:eastAsia="Calibri"/>
          <w:sz w:val="26"/>
          <w:szCs w:val="26"/>
          <w:lang w:eastAsia="en-US"/>
        </w:rPr>
        <w:t xml:space="preserve"> y las cuatro gráficas siguientes). También se reportan las expectativas sobre las tasas de variación anual del PIB para cada uno de los trimestres de 2015 y 2016 (ver la gráfica </w:t>
      </w:r>
      <w:r w:rsidRPr="00C443FC">
        <w:rPr>
          <w:rFonts w:eastAsia="Calibri"/>
          <w:i/>
          <w:sz w:val="26"/>
          <w:szCs w:val="26"/>
          <w:lang w:eastAsia="en-US"/>
        </w:rPr>
        <w:t>Pronósticos de la variación del PIB trimestral</w:t>
      </w:r>
      <w:r w:rsidRPr="00C443FC">
        <w:rPr>
          <w:rFonts w:eastAsia="Calibri"/>
          <w:sz w:val="26"/>
          <w:szCs w:val="26"/>
          <w:lang w:eastAsia="en-US"/>
        </w:rPr>
        <w:t>). Destaca que las previsiones de crecimiento económico para 2015 y 2016 disminuyeron en relación con las registradas en la encuesta del mes previo.</w:t>
      </w:r>
    </w:p>
    <w:p w14:paraId="56241AB9" w14:textId="77777777" w:rsidR="00593607" w:rsidRDefault="00593607" w:rsidP="00C443FC">
      <w:pPr>
        <w:spacing w:after="360" w:line="360" w:lineRule="auto"/>
        <w:ind w:right="-159"/>
        <w:jc w:val="both"/>
        <w:rPr>
          <w:rFonts w:eastAsia="Calibri"/>
          <w:sz w:val="26"/>
          <w:szCs w:val="26"/>
          <w:lang w:eastAsia="en-US"/>
        </w:rPr>
      </w:pPr>
    </w:p>
    <w:p w14:paraId="4221FDDA" w14:textId="77777777" w:rsidR="00593607" w:rsidRPr="00C443FC" w:rsidRDefault="00593607" w:rsidP="00C443FC">
      <w:pPr>
        <w:spacing w:after="360" w:line="360" w:lineRule="auto"/>
        <w:ind w:right="-159"/>
        <w:jc w:val="both"/>
        <w:rPr>
          <w:rFonts w:eastAsia="Calibri"/>
          <w:sz w:val="26"/>
          <w:szCs w:val="26"/>
          <w:lang w:eastAsia="en-US"/>
        </w:rPr>
      </w:pPr>
    </w:p>
    <w:tbl>
      <w:tblPr>
        <w:tblW w:w="0" w:type="auto"/>
        <w:jc w:val="center"/>
        <w:tblLook w:val="04A0" w:firstRow="1" w:lastRow="0" w:firstColumn="1" w:lastColumn="0" w:noHBand="0" w:noVBand="1"/>
      </w:tblPr>
      <w:tblGrid>
        <w:gridCol w:w="2832"/>
        <w:gridCol w:w="1194"/>
        <w:gridCol w:w="1194"/>
        <w:gridCol w:w="1194"/>
        <w:gridCol w:w="1194"/>
      </w:tblGrid>
      <w:tr w:rsidR="00C443FC" w:rsidRPr="00C443FC" w14:paraId="73FC51C6" w14:textId="77777777" w:rsidTr="005C0CDD">
        <w:trPr>
          <w:jc w:val="center"/>
        </w:trPr>
        <w:tc>
          <w:tcPr>
            <w:tcW w:w="7608" w:type="dxa"/>
            <w:gridSpan w:val="5"/>
            <w:tcBorders>
              <w:top w:val="nil"/>
              <w:left w:val="nil"/>
              <w:bottom w:val="single" w:sz="4" w:space="0" w:color="auto"/>
              <w:right w:val="nil"/>
            </w:tcBorders>
          </w:tcPr>
          <w:p w14:paraId="0BF21B10" w14:textId="77777777" w:rsidR="00C443FC" w:rsidRPr="00C443FC" w:rsidRDefault="00C443FC" w:rsidP="00C443FC">
            <w:pPr>
              <w:jc w:val="center"/>
              <w:rPr>
                <w:rFonts w:eastAsia="Calibri"/>
                <w:b/>
                <w:sz w:val="22"/>
                <w:szCs w:val="22"/>
                <w:lang w:eastAsia="en-US"/>
              </w:rPr>
            </w:pPr>
            <w:r w:rsidRPr="00C443FC">
              <w:rPr>
                <w:rFonts w:eastAsia="Calibri"/>
                <w:b/>
                <w:sz w:val="22"/>
                <w:szCs w:val="22"/>
                <w:lang w:eastAsia="en-US"/>
              </w:rPr>
              <w:lastRenderedPageBreak/>
              <w:t>PRONÓSTICOS DE LA VARIACIÓN DEL PIB</w:t>
            </w:r>
          </w:p>
          <w:p w14:paraId="6204FA1F" w14:textId="77777777" w:rsidR="00C443FC" w:rsidRPr="00C443FC" w:rsidRDefault="00C443FC" w:rsidP="00C443FC">
            <w:pPr>
              <w:jc w:val="center"/>
              <w:rPr>
                <w:rFonts w:eastAsia="Calibri"/>
                <w:b/>
                <w:sz w:val="22"/>
                <w:szCs w:val="22"/>
                <w:lang w:eastAsia="en-US"/>
              </w:rPr>
            </w:pPr>
            <w:r w:rsidRPr="00C443FC">
              <w:rPr>
                <w:rFonts w:eastAsia="Calibri"/>
                <w:b/>
                <w:sz w:val="22"/>
                <w:szCs w:val="22"/>
                <w:lang w:eastAsia="en-US"/>
              </w:rPr>
              <w:t>-Tasa anual en por ciento-</w:t>
            </w:r>
          </w:p>
        </w:tc>
      </w:tr>
      <w:tr w:rsidR="00C443FC" w:rsidRPr="00C443FC" w14:paraId="2021F723" w14:textId="77777777" w:rsidTr="005C0CDD">
        <w:trPr>
          <w:jc w:val="center"/>
        </w:trPr>
        <w:tc>
          <w:tcPr>
            <w:tcW w:w="2832" w:type="dxa"/>
            <w:vMerge w:val="restart"/>
            <w:tcBorders>
              <w:top w:val="single" w:sz="4" w:space="0" w:color="auto"/>
              <w:left w:val="single" w:sz="4" w:space="0" w:color="auto"/>
              <w:bottom w:val="single" w:sz="4" w:space="0" w:color="auto"/>
              <w:right w:val="single" w:sz="4" w:space="0" w:color="auto"/>
            </w:tcBorders>
          </w:tcPr>
          <w:p w14:paraId="31DA02F4" w14:textId="77777777" w:rsidR="00C443FC" w:rsidRPr="00C443FC" w:rsidRDefault="00C443FC" w:rsidP="00C443FC">
            <w:pPr>
              <w:jc w:val="center"/>
              <w:rPr>
                <w:rFonts w:eastAsia="Calibri"/>
                <w:b/>
                <w:sz w:val="20"/>
                <w:szCs w:val="20"/>
                <w:lang w:eastAsia="en-US"/>
              </w:rPr>
            </w:pPr>
          </w:p>
        </w:tc>
        <w:tc>
          <w:tcPr>
            <w:tcW w:w="2388" w:type="dxa"/>
            <w:gridSpan w:val="2"/>
            <w:tcBorders>
              <w:top w:val="single" w:sz="4" w:space="0" w:color="auto"/>
              <w:left w:val="single" w:sz="4" w:space="0" w:color="auto"/>
              <w:bottom w:val="single" w:sz="4" w:space="0" w:color="auto"/>
              <w:right w:val="single" w:sz="4" w:space="0" w:color="auto"/>
            </w:tcBorders>
          </w:tcPr>
          <w:p w14:paraId="13B02562"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Media</w:t>
            </w:r>
          </w:p>
        </w:tc>
        <w:tc>
          <w:tcPr>
            <w:tcW w:w="2388" w:type="dxa"/>
            <w:gridSpan w:val="2"/>
            <w:tcBorders>
              <w:top w:val="single" w:sz="4" w:space="0" w:color="auto"/>
              <w:left w:val="single" w:sz="4" w:space="0" w:color="auto"/>
              <w:bottom w:val="single" w:sz="4" w:space="0" w:color="auto"/>
              <w:right w:val="single" w:sz="4" w:space="0" w:color="auto"/>
            </w:tcBorders>
          </w:tcPr>
          <w:p w14:paraId="6796D2CD"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Mediana</w:t>
            </w:r>
          </w:p>
        </w:tc>
      </w:tr>
      <w:tr w:rsidR="00C443FC" w:rsidRPr="00C443FC" w14:paraId="728A8A1C" w14:textId="77777777" w:rsidTr="005C0CDD">
        <w:trPr>
          <w:jc w:val="center"/>
        </w:trPr>
        <w:tc>
          <w:tcPr>
            <w:tcW w:w="2832" w:type="dxa"/>
            <w:vMerge/>
            <w:tcBorders>
              <w:top w:val="single" w:sz="4" w:space="0" w:color="auto"/>
              <w:left w:val="single" w:sz="4" w:space="0" w:color="auto"/>
              <w:bottom w:val="single" w:sz="4" w:space="0" w:color="auto"/>
              <w:right w:val="single" w:sz="4" w:space="0" w:color="auto"/>
            </w:tcBorders>
          </w:tcPr>
          <w:p w14:paraId="5212CC6F" w14:textId="77777777" w:rsidR="00C443FC" w:rsidRPr="00C443FC" w:rsidRDefault="00C443FC" w:rsidP="00C443FC">
            <w:pPr>
              <w:jc w:val="center"/>
              <w:rPr>
                <w:rFonts w:eastAsia="Calibri"/>
                <w:b/>
                <w:sz w:val="20"/>
                <w:szCs w:val="20"/>
                <w:lang w:eastAsia="en-US"/>
              </w:rPr>
            </w:pPr>
          </w:p>
        </w:tc>
        <w:tc>
          <w:tcPr>
            <w:tcW w:w="2388" w:type="dxa"/>
            <w:gridSpan w:val="2"/>
            <w:tcBorders>
              <w:top w:val="single" w:sz="4" w:space="0" w:color="auto"/>
              <w:left w:val="single" w:sz="4" w:space="0" w:color="auto"/>
              <w:bottom w:val="single" w:sz="4" w:space="0" w:color="auto"/>
              <w:right w:val="single" w:sz="4" w:space="0" w:color="auto"/>
            </w:tcBorders>
          </w:tcPr>
          <w:p w14:paraId="3639AC8B"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Encuesta</w:t>
            </w:r>
          </w:p>
        </w:tc>
        <w:tc>
          <w:tcPr>
            <w:tcW w:w="2388" w:type="dxa"/>
            <w:gridSpan w:val="2"/>
            <w:tcBorders>
              <w:top w:val="single" w:sz="4" w:space="0" w:color="auto"/>
              <w:left w:val="single" w:sz="4" w:space="0" w:color="auto"/>
              <w:bottom w:val="single" w:sz="4" w:space="0" w:color="auto"/>
              <w:right w:val="single" w:sz="4" w:space="0" w:color="auto"/>
            </w:tcBorders>
          </w:tcPr>
          <w:p w14:paraId="5D9D31C0"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Encuesta</w:t>
            </w:r>
          </w:p>
        </w:tc>
      </w:tr>
      <w:tr w:rsidR="00C443FC" w:rsidRPr="00C443FC" w14:paraId="7FF50FD8" w14:textId="77777777" w:rsidTr="005C0CDD">
        <w:trPr>
          <w:jc w:val="center"/>
        </w:trPr>
        <w:tc>
          <w:tcPr>
            <w:tcW w:w="2832" w:type="dxa"/>
            <w:vMerge/>
            <w:tcBorders>
              <w:top w:val="single" w:sz="4" w:space="0" w:color="auto"/>
              <w:left w:val="single" w:sz="4" w:space="0" w:color="auto"/>
              <w:bottom w:val="single" w:sz="4" w:space="0" w:color="auto"/>
              <w:right w:val="single" w:sz="4" w:space="0" w:color="auto"/>
            </w:tcBorders>
          </w:tcPr>
          <w:p w14:paraId="47E13B93" w14:textId="77777777" w:rsidR="00C443FC" w:rsidRPr="00C443FC" w:rsidRDefault="00C443FC" w:rsidP="00C443FC">
            <w:pPr>
              <w:jc w:val="center"/>
              <w:rPr>
                <w:rFonts w:eastAsia="Calibri"/>
                <w:b/>
                <w:sz w:val="20"/>
                <w:szCs w:val="20"/>
                <w:lang w:eastAsia="en-US"/>
              </w:rPr>
            </w:pPr>
          </w:p>
        </w:tc>
        <w:tc>
          <w:tcPr>
            <w:tcW w:w="1194" w:type="dxa"/>
            <w:tcBorders>
              <w:top w:val="single" w:sz="4" w:space="0" w:color="auto"/>
              <w:left w:val="single" w:sz="4" w:space="0" w:color="auto"/>
              <w:bottom w:val="single" w:sz="4" w:space="0" w:color="auto"/>
              <w:right w:val="single" w:sz="4" w:space="0" w:color="auto"/>
            </w:tcBorders>
          </w:tcPr>
          <w:p w14:paraId="26B7435B"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Enero</w:t>
            </w:r>
          </w:p>
        </w:tc>
        <w:tc>
          <w:tcPr>
            <w:tcW w:w="1194" w:type="dxa"/>
            <w:tcBorders>
              <w:top w:val="single" w:sz="4" w:space="0" w:color="auto"/>
              <w:left w:val="single" w:sz="4" w:space="0" w:color="auto"/>
              <w:bottom w:val="single" w:sz="4" w:space="0" w:color="auto"/>
              <w:right w:val="single" w:sz="4" w:space="0" w:color="auto"/>
            </w:tcBorders>
          </w:tcPr>
          <w:p w14:paraId="5F9FC270"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Febrero</w:t>
            </w:r>
          </w:p>
        </w:tc>
        <w:tc>
          <w:tcPr>
            <w:tcW w:w="1194" w:type="dxa"/>
            <w:tcBorders>
              <w:top w:val="single" w:sz="4" w:space="0" w:color="auto"/>
              <w:left w:val="single" w:sz="4" w:space="0" w:color="auto"/>
              <w:bottom w:val="single" w:sz="4" w:space="0" w:color="auto"/>
              <w:right w:val="single" w:sz="4" w:space="0" w:color="auto"/>
            </w:tcBorders>
          </w:tcPr>
          <w:p w14:paraId="0EF32E5D"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Enero</w:t>
            </w:r>
          </w:p>
        </w:tc>
        <w:tc>
          <w:tcPr>
            <w:tcW w:w="1194" w:type="dxa"/>
            <w:tcBorders>
              <w:top w:val="single" w:sz="4" w:space="0" w:color="auto"/>
              <w:left w:val="single" w:sz="4" w:space="0" w:color="auto"/>
              <w:bottom w:val="single" w:sz="4" w:space="0" w:color="auto"/>
              <w:right w:val="single" w:sz="4" w:space="0" w:color="auto"/>
            </w:tcBorders>
          </w:tcPr>
          <w:p w14:paraId="224659F0"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Febrero</w:t>
            </w:r>
          </w:p>
        </w:tc>
      </w:tr>
      <w:tr w:rsidR="00C443FC" w:rsidRPr="00C443FC" w14:paraId="6FDC4026" w14:textId="77777777" w:rsidTr="005C0CDD">
        <w:trPr>
          <w:jc w:val="center"/>
        </w:trPr>
        <w:tc>
          <w:tcPr>
            <w:tcW w:w="2832" w:type="dxa"/>
            <w:tcBorders>
              <w:top w:val="single" w:sz="4" w:space="0" w:color="auto"/>
              <w:left w:val="single" w:sz="4" w:space="0" w:color="auto"/>
              <w:right w:val="single" w:sz="4" w:space="0" w:color="auto"/>
            </w:tcBorders>
          </w:tcPr>
          <w:p w14:paraId="776DD27E" w14:textId="77777777" w:rsidR="00C443FC" w:rsidRPr="00C443FC" w:rsidRDefault="00C443FC" w:rsidP="00C443FC">
            <w:pPr>
              <w:rPr>
                <w:rFonts w:eastAsia="Calibri"/>
                <w:b/>
                <w:sz w:val="20"/>
                <w:szCs w:val="20"/>
                <w:lang w:eastAsia="en-US"/>
              </w:rPr>
            </w:pPr>
            <w:r w:rsidRPr="00C443FC">
              <w:rPr>
                <w:rFonts w:eastAsia="Calibri"/>
                <w:b/>
                <w:sz w:val="20"/>
                <w:szCs w:val="20"/>
                <w:lang w:eastAsia="en-US"/>
              </w:rPr>
              <w:t>Para 2015</w:t>
            </w:r>
          </w:p>
        </w:tc>
        <w:tc>
          <w:tcPr>
            <w:tcW w:w="1194" w:type="dxa"/>
            <w:tcBorders>
              <w:top w:val="single" w:sz="4" w:space="0" w:color="auto"/>
              <w:left w:val="single" w:sz="4" w:space="0" w:color="auto"/>
              <w:right w:val="single" w:sz="4" w:space="0" w:color="auto"/>
            </w:tcBorders>
          </w:tcPr>
          <w:p w14:paraId="4B3123E2"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3.29</w:t>
            </w:r>
          </w:p>
        </w:tc>
        <w:tc>
          <w:tcPr>
            <w:tcW w:w="1194" w:type="dxa"/>
            <w:tcBorders>
              <w:top w:val="single" w:sz="4" w:space="0" w:color="auto"/>
              <w:left w:val="single" w:sz="4" w:space="0" w:color="auto"/>
              <w:right w:val="single" w:sz="4" w:space="0" w:color="auto"/>
            </w:tcBorders>
          </w:tcPr>
          <w:p w14:paraId="373A7589"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3.08</w:t>
            </w:r>
          </w:p>
        </w:tc>
        <w:tc>
          <w:tcPr>
            <w:tcW w:w="1194" w:type="dxa"/>
            <w:tcBorders>
              <w:top w:val="single" w:sz="4" w:space="0" w:color="auto"/>
              <w:left w:val="single" w:sz="4" w:space="0" w:color="auto"/>
              <w:right w:val="single" w:sz="4" w:space="0" w:color="auto"/>
            </w:tcBorders>
          </w:tcPr>
          <w:p w14:paraId="58BBD9D7"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3.29</w:t>
            </w:r>
          </w:p>
        </w:tc>
        <w:tc>
          <w:tcPr>
            <w:tcW w:w="1194" w:type="dxa"/>
            <w:tcBorders>
              <w:top w:val="single" w:sz="4" w:space="0" w:color="auto"/>
              <w:left w:val="single" w:sz="4" w:space="0" w:color="auto"/>
              <w:right w:val="single" w:sz="4" w:space="0" w:color="auto"/>
            </w:tcBorders>
          </w:tcPr>
          <w:p w14:paraId="39A0FB7A"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3.00</w:t>
            </w:r>
          </w:p>
        </w:tc>
      </w:tr>
      <w:tr w:rsidR="00C443FC" w:rsidRPr="00C443FC" w14:paraId="571C09C2" w14:textId="77777777" w:rsidTr="005C0CDD">
        <w:trPr>
          <w:jc w:val="center"/>
        </w:trPr>
        <w:tc>
          <w:tcPr>
            <w:tcW w:w="2832" w:type="dxa"/>
            <w:tcBorders>
              <w:left w:val="single" w:sz="4" w:space="0" w:color="auto"/>
              <w:right w:val="single" w:sz="4" w:space="0" w:color="auto"/>
            </w:tcBorders>
          </w:tcPr>
          <w:p w14:paraId="6F95E0EC" w14:textId="77777777" w:rsidR="00C443FC" w:rsidRPr="00C443FC" w:rsidRDefault="00C443FC" w:rsidP="00C443FC">
            <w:pPr>
              <w:rPr>
                <w:rFonts w:eastAsia="Calibri"/>
                <w:b/>
                <w:sz w:val="20"/>
                <w:szCs w:val="20"/>
                <w:lang w:eastAsia="en-US"/>
              </w:rPr>
            </w:pPr>
            <w:r w:rsidRPr="00C443FC">
              <w:rPr>
                <w:rFonts w:eastAsia="Calibri"/>
                <w:b/>
                <w:sz w:val="20"/>
                <w:szCs w:val="20"/>
                <w:lang w:eastAsia="en-US"/>
              </w:rPr>
              <w:t>Para 2016</w:t>
            </w:r>
          </w:p>
        </w:tc>
        <w:tc>
          <w:tcPr>
            <w:tcW w:w="1194" w:type="dxa"/>
            <w:tcBorders>
              <w:left w:val="single" w:sz="4" w:space="0" w:color="auto"/>
              <w:right w:val="single" w:sz="4" w:space="0" w:color="auto"/>
            </w:tcBorders>
          </w:tcPr>
          <w:p w14:paraId="63E2A5F5"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3.80</w:t>
            </w:r>
          </w:p>
        </w:tc>
        <w:tc>
          <w:tcPr>
            <w:tcW w:w="1194" w:type="dxa"/>
            <w:tcBorders>
              <w:left w:val="single" w:sz="4" w:space="0" w:color="auto"/>
              <w:right w:val="single" w:sz="4" w:space="0" w:color="auto"/>
            </w:tcBorders>
          </w:tcPr>
          <w:p w14:paraId="09059B52"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3.63</w:t>
            </w:r>
          </w:p>
        </w:tc>
        <w:tc>
          <w:tcPr>
            <w:tcW w:w="1194" w:type="dxa"/>
            <w:tcBorders>
              <w:left w:val="single" w:sz="4" w:space="0" w:color="auto"/>
              <w:right w:val="single" w:sz="4" w:space="0" w:color="auto"/>
            </w:tcBorders>
          </w:tcPr>
          <w:p w14:paraId="3724612C"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3.80</w:t>
            </w:r>
          </w:p>
        </w:tc>
        <w:tc>
          <w:tcPr>
            <w:tcW w:w="1194" w:type="dxa"/>
            <w:tcBorders>
              <w:left w:val="single" w:sz="4" w:space="0" w:color="auto"/>
              <w:right w:val="single" w:sz="4" w:space="0" w:color="auto"/>
            </w:tcBorders>
          </w:tcPr>
          <w:p w14:paraId="09B09A4C"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3.50</w:t>
            </w:r>
          </w:p>
        </w:tc>
      </w:tr>
      <w:tr w:rsidR="00C443FC" w:rsidRPr="00C443FC" w14:paraId="091A8CDD" w14:textId="77777777" w:rsidTr="005C0CDD">
        <w:trPr>
          <w:jc w:val="center"/>
        </w:trPr>
        <w:tc>
          <w:tcPr>
            <w:tcW w:w="2832" w:type="dxa"/>
            <w:tcBorders>
              <w:left w:val="single" w:sz="4" w:space="0" w:color="auto"/>
              <w:right w:val="single" w:sz="4" w:space="0" w:color="auto"/>
            </w:tcBorders>
          </w:tcPr>
          <w:p w14:paraId="69AF417F" w14:textId="77777777" w:rsidR="00C443FC" w:rsidRPr="00C443FC" w:rsidRDefault="00C443FC" w:rsidP="00C443FC">
            <w:pPr>
              <w:rPr>
                <w:rFonts w:eastAsia="Calibri"/>
                <w:b/>
                <w:sz w:val="20"/>
                <w:szCs w:val="20"/>
                <w:lang w:eastAsia="en-US"/>
              </w:rPr>
            </w:pPr>
            <w:r w:rsidRPr="00C443FC">
              <w:rPr>
                <w:rFonts w:eastAsia="Calibri"/>
                <w:b/>
                <w:sz w:val="20"/>
                <w:szCs w:val="20"/>
                <w:lang w:eastAsia="en-US"/>
              </w:rPr>
              <w:t>Para 2017</w:t>
            </w:r>
          </w:p>
        </w:tc>
        <w:tc>
          <w:tcPr>
            <w:tcW w:w="1194" w:type="dxa"/>
            <w:tcBorders>
              <w:left w:val="single" w:sz="4" w:space="0" w:color="auto"/>
              <w:right w:val="single" w:sz="4" w:space="0" w:color="auto"/>
            </w:tcBorders>
          </w:tcPr>
          <w:p w14:paraId="0370A62B"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3.98</w:t>
            </w:r>
          </w:p>
        </w:tc>
        <w:tc>
          <w:tcPr>
            <w:tcW w:w="1194" w:type="dxa"/>
            <w:tcBorders>
              <w:left w:val="single" w:sz="4" w:space="0" w:color="auto"/>
              <w:right w:val="single" w:sz="4" w:space="0" w:color="auto"/>
            </w:tcBorders>
          </w:tcPr>
          <w:p w14:paraId="13A36ADC"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3.93</w:t>
            </w:r>
          </w:p>
        </w:tc>
        <w:tc>
          <w:tcPr>
            <w:tcW w:w="1194" w:type="dxa"/>
            <w:tcBorders>
              <w:left w:val="single" w:sz="4" w:space="0" w:color="auto"/>
              <w:right w:val="single" w:sz="4" w:space="0" w:color="auto"/>
            </w:tcBorders>
          </w:tcPr>
          <w:p w14:paraId="7F4725FA"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3.95</w:t>
            </w:r>
          </w:p>
        </w:tc>
        <w:tc>
          <w:tcPr>
            <w:tcW w:w="1194" w:type="dxa"/>
            <w:tcBorders>
              <w:left w:val="single" w:sz="4" w:space="0" w:color="auto"/>
              <w:right w:val="single" w:sz="4" w:space="0" w:color="auto"/>
            </w:tcBorders>
          </w:tcPr>
          <w:p w14:paraId="6788E087"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3.93</w:t>
            </w:r>
          </w:p>
        </w:tc>
      </w:tr>
      <w:tr w:rsidR="00C443FC" w:rsidRPr="00C443FC" w14:paraId="39BA43BE" w14:textId="77777777" w:rsidTr="005C0CDD">
        <w:trPr>
          <w:jc w:val="center"/>
        </w:trPr>
        <w:tc>
          <w:tcPr>
            <w:tcW w:w="2832" w:type="dxa"/>
            <w:tcBorders>
              <w:left w:val="single" w:sz="4" w:space="0" w:color="auto"/>
              <w:bottom w:val="single" w:sz="4" w:space="0" w:color="auto"/>
              <w:right w:val="single" w:sz="4" w:space="0" w:color="auto"/>
            </w:tcBorders>
          </w:tcPr>
          <w:p w14:paraId="5A9AAA63" w14:textId="77777777" w:rsidR="00C443FC" w:rsidRPr="00C443FC" w:rsidRDefault="00C443FC" w:rsidP="00C443FC">
            <w:pPr>
              <w:rPr>
                <w:rFonts w:eastAsia="Calibri"/>
                <w:b/>
                <w:sz w:val="20"/>
                <w:szCs w:val="20"/>
                <w:lang w:eastAsia="en-US"/>
              </w:rPr>
            </w:pPr>
            <w:r w:rsidRPr="00C443FC">
              <w:rPr>
                <w:rFonts w:eastAsia="Calibri"/>
                <w:b/>
                <w:sz w:val="20"/>
                <w:szCs w:val="20"/>
                <w:lang w:eastAsia="en-US"/>
              </w:rPr>
              <w:t>Promedio próximos 10 años</w:t>
            </w:r>
            <w:r w:rsidRPr="00C443FC">
              <w:rPr>
                <w:rFonts w:eastAsia="Calibri"/>
                <w:b/>
                <w:sz w:val="20"/>
                <w:szCs w:val="20"/>
                <w:u w:val="single"/>
                <w:vertAlign w:val="superscript"/>
                <w:lang w:eastAsia="en-US"/>
              </w:rPr>
              <w:t>1</w:t>
            </w:r>
            <w:r w:rsidRPr="00C443FC">
              <w:rPr>
                <w:rFonts w:eastAsia="Calibri"/>
                <w:b/>
                <w:sz w:val="20"/>
                <w:szCs w:val="20"/>
                <w:vertAlign w:val="superscript"/>
                <w:lang w:eastAsia="en-US"/>
              </w:rPr>
              <w:t>/</w:t>
            </w:r>
          </w:p>
        </w:tc>
        <w:tc>
          <w:tcPr>
            <w:tcW w:w="1194" w:type="dxa"/>
            <w:tcBorders>
              <w:left w:val="single" w:sz="4" w:space="0" w:color="auto"/>
              <w:bottom w:val="single" w:sz="4" w:space="0" w:color="auto"/>
              <w:right w:val="single" w:sz="4" w:space="0" w:color="auto"/>
            </w:tcBorders>
          </w:tcPr>
          <w:p w14:paraId="7A878954"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3.93</w:t>
            </w:r>
          </w:p>
        </w:tc>
        <w:tc>
          <w:tcPr>
            <w:tcW w:w="1194" w:type="dxa"/>
            <w:tcBorders>
              <w:left w:val="single" w:sz="4" w:space="0" w:color="auto"/>
              <w:bottom w:val="single" w:sz="4" w:space="0" w:color="auto"/>
              <w:right w:val="single" w:sz="4" w:space="0" w:color="auto"/>
            </w:tcBorders>
          </w:tcPr>
          <w:p w14:paraId="3CAC54E6"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3.84</w:t>
            </w:r>
          </w:p>
        </w:tc>
        <w:tc>
          <w:tcPr>
            <w:tcW w:w="1194" w:type="dxa"/>
            <w:tcBorders>
              <w:left w:val="single" w:sz="4" w:space="0" w:color="auto"/>
              <w:bottom w:val="single" w:sz="4" w:space="0" w:color="auto"/>
              <w:right w:val="single" w:sz="4" w:space="0" w:color="auto"/>
            </w:tcBorders>
          </w:tcPr>
          <w:p w14:paraId="3A41DF49"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4.00</w:t>
            </w:r>
          </w:p>
        </w:tc>
        <w:tc>
          <w:tcPr>
            <w:tcW w:w="1194" w:type="dxa"/>
            <w:tcBorders>
              <w:left w:val="single" w:sz="4" w:space="0" w:color="auto"/>
              <w:bottom w:val="single" w:sz="4" w:space="0" w:color="auto"/>
              <w:right w:val="single" w:sz="4" w:space="0" w:color="auto"/>
            </w:tcBorders>
          </w:tcPr>
          <w:p w14:paraId="0C1FC44C"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3.80</w:t>
            </w:r>
          </w:p>
        </w:tc>
      </w:tr>
      <w:tr w:rsidR="00C443FC" w:rsidRPr="00C443FC" w14:paraId="29652F29" w14:textId="77777777" w:rsidTr="007B7E95">
        <w:trPr>
          <w:jc w:val="center"/>
        </w:trPr>
        <w:tc>
          <w:tcPr>
            <w:tcW w:w="7608" w:type="dxa"/>
            <w:gridSpan w:val="5"/>
            <w:tcBorders>
              <w:left w:val="nil"/>
              <w:bottom w:val="nil"/>
              <w:right w:val="nil"/>
            </w:tcBorders>
          </w:tcPr>
          <w:p w14:paraId="39C5A957" w14:textId="77777777" w:rsidR="00C443FC" w:rsidRPr="00C443FC" w:rsidRDefault="00C443FC" w:rsidP="00C443FC">
            <w:pPr>
              <w:ind w:left="227" w:hanging="227"/>
              <w:jc w:val="both"/>
              <w:rPr>
                <w:rFonts w:eastAsia="Calibri"/>
                <w:sz w:val="20"/>
                <w:szCs w:val="20"/>
                <w:lang w:eastAsia="en-US"/>
              </w:rPr>
            </w:pPr>
            <w:r w:rsidRPr="00C443FC">
              <w:rPr>
                <w:rFonts w:eastAsia="Calibri"/>
                <w:sz w:val="20"/>
                <w:szCs w:val="20"/>
                <w:u w:val="single"/>
                <w:lang w:eastAsia="en-US"/>
              </w:rPr>
              <w:t>1</w:t>
            </w:r>
            <w:r w:rsidRPr="00C443FC">
              <w:rPr>
                <w:rFonts w:eastAsia="Calibri"/>
                <w:sz w:val="20"/>
                <w:szCs w:val="20"/>
                <w:lang w:eastAsia="en-US"/>
              </w:rPr>
              <w:t>/ Corresponde al período 2016-2025.</w:t>
            </w:r>
          </w:p>
          <w:p w14:paraId="6EFE35DC" w14:textId="77777777" w:rsidR="00C443FC" w:rsidRPr="00C443FC" w:rsidRDefault="00C443FC" w:rsidP="00C443FC">
            <w:pPr>
              <w:jc w:val="both"/>
              <w:rPr>
                <w:rFonts w:eastAsia="Calibri"/>
                <w:sz w:val="20"/>
                <w:szCs w:val="20"/>
                <w:lang w:eastAsia="en-US"/>
              </w:rPr>
            </w:pPr>
            <w:r w:rsidRPr="00C443FC">
              <w:rPr>
                <w:rFonts w:eastAsia="Calibri"/>
                <w:sz w:val="20"/>
                <w:szCs w:val="20"/>
                <w:lang w:eastAsia="en-US"/>
              </w:rPr>
              <w:t>FUENTE: Banco de México.</w:t>
            </w:r>
          </w:p>
        </w:tc>
      </w:tr>
    </w:tbl>
    <w:p w14:paraId="29CF03A6" w14:textId="77777777" w:rsidR="00C443FC" w:rsidRPr="00C443FC" w:rsidRDefault="00C443FC" w:rsidP="00C443FC">
      <w:pPr>
        <w:spacing w:after="360" w:line="360" w:lineRule="auto"/>
        <w:ind w:right="-159"/>
        <w:jc w:val="both"/>
        <w:rPr>
          <w:rFonts w:eastAsia="Calibri"/>
          <w:sz w:val="26"/>
          <w:szCs w:val="26"/>
          <w:lang w:eastAsia="en-US"/>
        </w:rPr>
      </w:pPr>
    </w:p>
    <w:p w14:paraId="6A343CF6" w14:textId="3098714C" w:rsidR="00D27C30" w:rsidRPr="00D27C30" w:rsidRDefault="00D27C30" w:rsidP="00D27C30">
      <w:pPr>
        <w:spacing w:after="160" w:line="259" w:lineRule="auto"/>
        <w:jc w:val="center"/>
        <w:rPr>
          <w:rFonts w:ascii="Calibri" w:eastAsia="Calibri" w:hAnsi="Calibri"/>
          <w:sz w:val="22"/>
          <w:szCs w:val="22"/>
          <w:lang w:eastAsia="en-US"/>
        </w:rPr>
      </w:pPr>
      <w:r w:rsidRPr="00D27C30">
        <w:rPr>
          <w:rFonts w:ascii="Calibri" w:eastAsia="Calibri" w:hAnsi="Calibri"/>
          <w:sz w:val="22"/>
          <w:szCs w:val="22"/>
          <w:lang w:eastAsia="en-US"/>
        </w:rPr>
        <w:fldChar w:fldCharType="begin"/>
      </w:r>
      <w:r w:rsidRPr="00D27C30">
        <w:rPr>
          <w:rFonts w:ascii="Calibri" w:eastAsia="Calibri" w:hAnsi="Calibri"/>
          <w:sz w:val="22"/>
          <w:szCs w:val="22"/>
          <w:lang w:eastAsia="en-US"/>
        </w:rPr>
        <w:instrText xml:space="preserve"> LINK PowerPoint.Slide.8 "D:\\2015\\MARZO 2014\\GRÁFICAS EN POWER POINT\\14.-GRÁFICAS DE EXPECTATIVAS II.pptx!587" "" \a \p </w:instrText>
      </w:r>
      <w:r w:rsidRPr="00D27C30">
        <w:rPr>
          <w:rFonts w:ascii="Calibri" w:eastAsia="Calibri" w:hAnsi="Calibri"/>
          <w:sz w:val="22"/>
          <w:szCs w:val="22"/>
          <w:lang w:eastAsia="en-US"/>
        </w:rPr>
        <w:fldChar w:fldCharType="separate"/>
      </w:r>
      <w:r w:rsidRPr="00D27C30">
        <w:rPr>
          <w:rFonts w:ascii="Calibri" w:eastAsia="Calibri" w:hAnsi="Calibri"/>
          <w:noProof/>
          <w:sz w:val="22"/>
          <w:szCs w:val="22"/>
          <w:lang w:eastAsia="es-MX"/>
        </w:rPr>
        <w:drawing>
          <wp:inline distT="0" distB="0" distL="0" distR="0" wp14:anchorId="62D6E783" wp14:editId="720E7B2D">
            <wp:extent cx="4238625" cy="3286760"/>
            <wp:effectExtent l="0" t="0" r="9525" b="8890"/>
            <wp:docPr id="1512" name="Imagen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89"/>
                    <pic:cNvPicPr>
                      <a:picLocks noChangeAspect="1" noChangeArrowheads="1"/>
                    </pic:cNvPicPr>
                  </pic:nvPicPr>
                  <pic:blipFill>
                    <a:blip r:embed="rId253" cstate="print">
                      <a:extLst>
                        <a:ext uri="{28A0092B-C50C-407E-A947-70E740481C1C}">
                          <a14:useLocalDpi xmlns:a14="http://schemas.microsoft.com/office/drawing/2010/main" val="0"/>
                        </a:ext>
                      </a:extLst>
                    </a:blip>
                    <a:srcRect l="7181" b="4024"/>
                    <a:stretch>
                      <a:fillRect/>
                    </a:stretch>
                  </pic:blipFill>
                  <pic:spPr bwMode="auto">
                    <a:xfrm>
                      <a:off x="0" y="0"/>
                      <a:ext cx="4238625" cy="3286760"/>
                    </a:xfrm>
                    <a:prstGeom prst="rect">
                      <a:avLst/>
                    </a:prstGeom>
                    <a:noFill/>
                    <a:ln>
                      <a:noFill/>
                    </a:ln>
                  </pic:spPr>
                </pic:pic>
              </a:graphicData>
            </a:graphic>
          </wp:inline>
        </w:drawing>
      </w:r>
      <w:r w:rsidRPr="00D27C30">
        <w:rPr>
          <w:rFonts w:ascii="Calibri" w:eastAsia="Calibri" w:hAnsi="Calibri"/>
          <w:sz w:val="22"/>
          <w:szCs w:val="22"/>
          <w:lang w:eastAsia="en-US"/>
        </w:rPr>
        <w:fldChar w:fldCharType="end"/>
      </w:r>
    </w:p>
    <w:p w14:paraId="71139962" w14:textId="77777777" w:rsidR="00D27C30" w:rsidRPr="00D27C30" w:rsidRDefault="00D27C30" w:rsidP="00D27C30">
      <w:pPr>
        <w:spacing w:after="160" w:line="259" w:lineRule="auto"/>
        <w:jc w:val="center"/>
        <w:rPr>
          <w:rFonts w:ascii="Calibri" w:eastAsia="Calibri" w:hAnsi="Calibri"/>
          <w:sz w:val="22"/>
          <w:szCs w:val="22"/>
          <w:lang w:eastAsia="en-US"/>
        </w:rPr>
      </w:pPr>
    </w:p>
    <w:p w14:paraId="17F033A6" w14:textId="271D744F" w:rsidR="00D27C30" w:rsidRPr="00D27C30" w:rsidRDefault="00D27C30" w:rsidP="00D27C30">
      <w:pPr>
        <w:spacing w:after="160" w:line="259" w:lineRule="auto"/>
        <w:jc w:val="center"/>
        <w:rPr>
          <w:rFonts w:ascii="Calibri" w:eastAsia="Calibri" w:hAnsi="Calibri"/>
          <w:sz w:val="22"/>
          <w:szCs w:val="22"/>
          <w:lang w:eastAsia="en-US"/>
        </w:rPr>
      </w:pPr>
      <w:r w:rsidRPr="00D27C30">
        <w:rPr>
          <w:rFonts w:ascii="Calibri" w:eastAsia="Calibri" w:hAnsi="Calibri"/>
          <w:sz w:val="22"/>
          <w:szCs w:val="22"/>
          <w:lang w:eastAsia="en-US"/>
        </w:rPr>
        <w:lastRenderedPageBreak/>
        <w:fldChar w:fldCharType="begin"/>
      </w:r>
      <w:r w:rsidRPr="00D27C30">
        <w:rPr>
          <w:rFonts w:ascii="Calibri" w:eastAsia="Calibri" w:hAnsi="Calibri"/>
          <w:sz w:val="22"/>
          <w:szCs w:val="22"/>
          <w:lang w:eastAsia="en-US"/>
        </w:rPr>
        <w:instrText xml:space="preserve"> LINK PowerPoint.Slide.8 "D:\\2015\\MARZO 2014\\GRÁFICAS EN POWER POINT\\14.-GRÁFICAS DE EXPECTATIVAS II.pptx!600" "" \a \p </w:instrText>
      </w:r>
      <w:r w:rsidRPr="00D27C30">
        <w:rPr>
          <w:rFonts w:ascii="Calibri" w:eastAsia="Calibri" w:hAnsi="Calibri"/>
          <w:sz w:val="22"/>
          <w:szCs w:val="22"/>
          <w:lang w:eastAsia="en-US"/>
        </w:rPr>
        <w:fldChar w:fldCharType="separate"/>
      </w:r>
      <w:r w:rsidRPr="00D27C30">
        <w:rPr>
          <w:rFonts w:ascii="Calibri" w:eastAsia="Calibri" w:hAnsi="Calibri"/>
          <w:noProof/>
          <w:sz w:val="22"/>
          <w:szCs w:val="22"/>
          <w:lang w:eastAsia="es-MX"/>
        </w:rPr>
        <w:drawing>
          <wp:inline distT="0" distB="0" distL="0" distR="0" wp14:anchorId="697C6B99" wp14:editId="5CE3B82D">
            <wp:extent cx="4121150" cy="3305175"/>
            <wp:effectExtent l="0" t="0" r="0" b="9525"/>
            <wp:docPr id="1511" name="Imagen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90"/>
                    <pic:cNvPicPr>
                      <a:picLocks noChangeAspect="1" noChangeArrowheads="1"/>
                    </pic:cNvPicPr>
                  </pic:nvPicPr>
                  <pic:blipFill>
                    <a:blip r:embed="rId254" cstate="print">
                      <a:extLst>
                        <a:ext uri="{28A0092B-C50C-407E-A947-70E740481C1C}">
                          <a14:useLocalDpi xmlns:a14="http://schemas.microsoft.com/office/drawing/2010/main" val="0"/>
                        </a:ext>
                      </a:extLst>
                    </a:blip>
                    <a:srcRect l="6053" r="3590" b="3523"/>
                    <a:stretch>
                      <a:fillRect/>
                    </a:stretch>
                  </pic:blipFill>
                  <pic:spPr bwMode="auto">
                    <a:xfrm>
                      <a:off x="0" y="0"/>
                      <a:ext cx="4121150" cy="3305175"/>
                    </a:xfrm>
                    <a:prstGeom prst="rect">
                      <a:avLst/>
                    </a:prstGeom>
                    <a:noFill/>
                    <a:ln>
                      <a:noFill/>
                    </a:ln>
                  </pic:spPr>
                </pic:pic>
              </a:graphicData>
            </a:graphic>
          </wp:inline>
        </w:drawing>
      </w:r>
      <w:r w:rsidRPr="00D27C30">
        <w:rPr>
          <w:rFonts w:ascii="Calibri" w:eastAsia="Calibri" w:hAnsi="Calibri"/>
          <w:sz w:val="22"/>
          <w:szCs w:val="22"/>
          <w:lang w:eastAsia="en-US"/>
        </w:rPr>
        <w:fldChar w:fldCharType="end"/>
      </w:r>
    </w:p>
    <w:p w14:paraId="74FA2245" w14:textId="77777777" w:rsidR="00D27C30" w:rsidRPr="00D27C30" w:rsidRDefault="00D27C30" w:rsidP="00D27C30">
      <w:pPr>
        <w:spacing w:after="160" w:line="259" w:lineRule="auto"/>
        <w:jc w:val="center"/>
        <w:rPr>
          <w:rFonts w:ascii="Calibri" w:eastAsia="Calibri" w:hAnsi="Calibri"/>
          <w:sz w:val="22"/>
          <w:szCs w:val="22"/>
          <w:lang w:eastAsia="en-US"/>
        </w:rPr>
      </w:pPr>
    </w:p>
    <w:p w14:paraId="3B01AF65" w14:textId="62A95995" w:rsidR="00D27C30" w:rsidRPr="00D27C30" w:rsidRDefault="00D27C30" w:rsidP="00D27C30">
      <w:pPr>
        <w:spacing w:after="160" w:line="259" w:lineRule="auto"/>
        <w:jc w:val="center"/>
        <w:rPr>
          <w:rFonts w:ascii="Calibri" w:eastAsia="Calibri" w:hAnsi="Calibri"/>
          <w:sz w:val="22"/>
          <w:szCs w:val="22"/>
          <w:lang w:eastAsia="en-US"/>
        </w:rPr>
      </w:pPr>
      <w:r w:rsidRPr="00D27C30">
        <w:rPr>
          <w:rFonts w:ascii="Calibri" w:eastAsia="Calibri" w:hAnsi="Calibri"/>
          <w:sz w:val="22"/>
          <w:szCs w:val="22"/>
          <w:lang w:eastAsia="en-US"/>
        </w:rPr>
        <w:fldChar w:fldCharType="begin"/>
      </w:r>
      <w:r w:rsidRPr="00D27C30">
        <w:rPr>
          <w:rFonts w:ascii="Calibri" w:eastAsia="Calibri" w:hAnsi="Calibri"/>
          <w:sz w:val="22"/>
          <w:szCs w:val="22"/>
          <w:lang w:eastAsia="en-US"/>
        </w:rPr>
        <w:instrText xml:space="preserve"> LINK PowerPoint.Slide.8 "D:\\2015\\MARZO 2014\\GRÁFICAS EN POWER POINT\\14.-GRÁFICAS DE EXPECTATIVAS II.pptx!591" "" \a \p </w:instrText>
      </w:r>
      <w:r w:rsidRPr="00D27C30">
        <w:rPr>
          <w:rFonts w:ascii="Calibri" w:eastAsia="Calibri" w:hAnsi="Calibri"/>
          <w:sz w:val="22"/>
          <w:szCs w:val="22"/>
          <w:lang w:eastAsia="en-US"/>
        </w:rPr>
        <w:fldChar w:fldCharType="separate"/>
      </w:r>
      <w:r w:rsidRPr="00D27C30">
        <w:rPr>
          <w:rFonts w:ascii="Calibri" w:eastAsia="Calibri" w:hAnsi="Calibri"/>
          <w:noProof/>
          <w:sz w:val="22"/>
          <w:szCs w:val="22"/>
          <w:lang w:eastAsia="es-MX"/>
        </w:rPr>
        <w:drawing>
          <wp:inline distT="0" distB="0" distL="0" distR="0" wp14:anchorId="6538B2B5" wp14:editId="01819121">
            <wp:extent cx="4034790" cy="3329940"/>
            <wp:effectExtent l="0" t="0" r="3810" b="3810"/>
            <wp:docPr id="1510" name="Imagen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91"/>
                    <pic:cNvPicPr>
                      <a:picLocks noChangeAspect="1" noChangeArrowheads="1"/>
                    </pic:cNvPicPr>
                  </pic:nvPicPr>
                  <pic:blipFill>
                    <a:blip r:embed="rId255" cstate="print">
                      <a:extLst>
                        <a:ext uri="{28A0092B-C50C-407E-A947-70E740481C1C}">
                          <a14:useLocalDpi xmlns:a14="http://schemas.microsoft.com/office/drawing/2010/main" val="0"/>
                        </a:ext>
                      </a:extLst>
                    </a:blip>
                    <a:srcRect l="7375" r="4161" b="2782"/>
                    <a:stretch>
                      <a:fillRect/>
                    </a:stretch>
                  </pic:blipFill>
                  <pic:spPr bwMode="auto">
                    <a:xfrm>
                      <a:off x="0" y="0"/>
                      <a:ext cx="4034790" cy="3329940"/>
                    </a:xfrm>
                    <a:prstGeom prst="rect">
                      <a:avLst/>
                    </a:prstGeom>
                    <a:noFill/>
                    <a:ln>
                      <a:noFill/>
                    </a:ln>
                  </pic:spPr>
                </pic:pic>
              </a:graphicData>
            </a:graphic>
          </wp:inline>
        </w:drawing>
      </w:r>
      <w:r w:rsidRPr="00D27C30">
        <w:rPr>
          <w:rFonts w:ascii="Calibri" w:eastAsia="Calibri" w:hAnsi="Calibri"/>
          <w:sz w:val="22"/>
          <w:szCs w:val="22"/>
          <w:lang w:eastAsia="en-US"/>
        </w:rPr>
        <w:fldChar w:fldCharType="end"/>
      </w:r>
    </w:p>
    <w:p w14:paraId="4AB2991F" w14:textId="77777777" w:rsidR="00D27C30" w:rsidRPr="00D27C30" w:rsidRDefault="00D27C30" w:rsidP="00D27C30">
      <w:pPr>
        <w:spacing w:after="160" w:line="259" w:lineRule="auto"/>
        <w:jc w:val="center"/>
        <w:rPr>
          <w:rFonts w:ascii="Calibri" w:eastAsia="Calibri" w:hAnsi="Calibri"/>
          <w:sz w:val="22"/>
          <w:szCs w:val="22"/>
          <w:lang w:eastAsia="en-US"/>
        </w:rPr>
      </w:pPr>
    </w:p>
    <w:p w14:paraId="40A91586" w14:textId="70832FFC" w:rsidR="00D27C30" w:rsidRPr="00D27C30" w:rsidRDefault="00186358" w:rsidP="00D27C30">
      <w:pPr>
        <w:spacing w:after="160" w:line="259" w:lineRule="auto"/>
        <w:jc w:val="center"/>
        <w:rPr>
          <w:rFonts w:ascii="Calibri" w:eastAsia="Calibri" w:hAnsi="Calibri"/>
          <w:sz w:val="22"/>
          <w:szCs w:val="22"/>
          <w:lang w:eastAsia="en-US"/>
        </w:rPr>
      </w:pPr>
      <w:r w:rsidRPr="00186358">
        <w:rPr>
          <w:rFonts w:ascii="Calibri" w:eastAsia="Calibri" w:hAnsi="Calibri"/>
          <w:sz w:val="22"/>
          <w:szCs w:val="22"/>
          <w:lang w:eastAsia="en-US"/>
        </w:rPr>
        <w:lastRenderedPageBreak/>
        <w:fldChar w:fldCharType="begin"/>
      </w:r>
      <w:r w:rsidRPr="00186358">
        <w:rPr>
          <w:rFonts w:ascii="Calibri" w:eastAsia="Calibri" w:hAnsi="Calibri"/>
          <w:sz w:val="22"/>
          <w:szCs w:val="22"/>
          <w:lang w:eastAsia="en-US"/>
        </w:rPr>
        <w:instrText xml:space="preserve"> LINK PowerPoint.Slide.8 "D:\\2015\\MARZO 2014\\GRÁFICAS EN POWER POINT\\14.-GRÁFICAS DE EXPECTATIVAS II.pptx!534" "" \a \p </w:instrText>
      </w:r>
      <w:r w:rsidRPr="00186358">
        <w:rPr>
          <w:rFonts w:ascii="Calibri" w:eastAsia="Calibri" w:hAnsi="Calibri"/>
          <w:sz w:val="22"/>
          <w:szCs w:val="22"/>
          <w:lang w:eastAsia="en-US"/>
        </w:rPr>
        <w:fldChar w:fldCharType="separate"/>
      </w:r>
      <w:r w:rsidRPr="00186358">
        <w:rPr>
          <w:rFonts w:ascii="Calibri" w:eastAsia="Calibri" w:hAnsi="Calibri"/>
          <w:noProof/>
          <w:sz w:val="22"/>
          <w:szCs w:val="22"/>
          <w:lang w:eastAsia="es-MX"/>
        </w:rPr>
        <w:drawing>
          <wp:inline distT="0" distB="0" distL="0" distR="0" wp14:anchorId="2A0DDB67" wp14:editId="4839E7EC">
            <wp:extent cx="4022090" cy="3429000"/>
            <wp:effectExtent l="0" t="0" r="0" b="0"/>
            <wp:docPr id="185" name="Imagen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2"/>
                    <pic:cNvPicPr>
                      <a:picLocks noChangeAspect="1" noChangeArrowheads="1"/>
                    </pic:cNvPicPr>
                  </pic:nvPicPr>
                  <pic:blipFill>
                    <a:blip r:embed="rId256" cstate="print">
                      <a:extLst>
                        <a:ext uri="{28A0092B-C50C-407E-A947-70E740481C1C}">
                          <a14:useLocalDpi xmlns:a14="http://schemas.microsoft.com/office/drawing/2010/main" val="0"/>
                        </a:ext>
                      </a:extLst>
                    </a:blip>
                    <a:srcRect l="8499" r="3366"/>
                    <a:stretch>
                      <a:fillRect/>
                    </a:stretch>
                  </pic:blipFill>
                  <pic:spPr bwMode="auto">
                    <a:xfrm>
                      <a:off x="0" y="0"/>
                      <a:ext cx="4022090" cy="3429000"/>
                    </a:xfrm>
                    <a:prstGeom prst="rect">
                      <a:avLst/>
                    </a:prstGeom>
                    <a:noFill/>
                    <a:ln>
                      <a:noFill/>
                    </a:ln>
                  </pic:spPr>
                </pic:pic>
              </a:graphicData>
            </a:graphic>
          </wp:inline>
        </w:drawing>
      </w:r>
      <w:r w:rsidRPr="00186358">
        <w:rPr>
          <w:rFonts w:ascii="Calibri" w:eastAsia="Calibri" w:hAnsi="Calibri"/>
          <w:sz w:val="22"/>
          <w:szCs w:val="22"/>
          <w:lang w:eastAsia="en-US"/>
        </w:rPr>
        <w:fldChar w:fldCharType="end"/>
      </w:r>
    </w:p>
    <w:p w14:paraId="31AB98A9" w14:textId="77777777" w:rsidR="00D27C30" w:rsidRPr="00D27C30" w:rsidRDefault="00D27C30" w:rsidP="00D27C30">
      <w:pPr>
        <w:spacing w:after="160" w:line="259" w:lineRule="auto"/>
        <w:jc w:val="center"/>
        <w:rPr>
          <w:rFonts w:ascii="Calibri" w:eastAsia="Calibri" w:hAnsi="Calibri"/>
          <w:sz w:val="22"/>
          <w:szCs w:val="22"/>
          <w:lang w:eastAsia="en-US"/>
        </w:rPr>
      </w:pPr>
    </w:p>
    <w:p w14:paraId="1F0C6336" w14:textId="218BD0D4" w:rsidR="00D27C30" w:rsidRPr="00D27C30" w:rsidRDefault="00D27C30" w:rsidP="00D27C30">
      <w:pPr>
        <w:spacing w:after="160" w:line="259" w:lineRule="auto"/>
        <w:jc w:val="center"/>
        <w:rPr>
          <w:rFonts w:ascii="Calibri" w:eastAsia="Calibri" w:hAnsi="Calibri"/>
          <w:sz w:val="22"/>
          <w:szCs w:val="22"/>
          <w:lang w:eastAsia="en-US"/>
        </w:rPr>
      </w:pPr>
      <w:r w:rsidRPr="00D27C30">
        <w:rPr>
          <w:rFonts w:ascii="Calibri" w:eastAsia="Calibri" w:hAnsi="Calibri"/>
          <w:sz w:val="22"/>
          <w:szCs w:val="22"/>
          <w:lang w:eastAsia="en-US"/>
        </w:rPr>
        <w:fldChar w:fldCharType="begin"/>
      </w:r>
      <w:r w:rsidRPr="00D27C30">
        <w:rPr>
          <w:rFonts w:ascii="Calibri" w:eastAsia="Calibri" w:hAnsi="Calibri"/>
          <w:sz w:val="22"/>
          <w:szCs w:val="22"/>
          <w:lang w:eastAsia="en-US"/>
        </w:rPr>
        <w:instrText xml:space="preserve"> LINK PowerPoint.Slide.8 "D:\\2015\\MARZO 2014\\GRÁFICAS EN POWER POINT\\14.-GRÁFICAS DE EXPECTATIVAS II.pptx!453" "" \a \p </w:instrText>
      </w:r>
      <w:r w:rsidRPr="00D27C30">
        <w:rPr>
          <w:rFonts w:ascii="Calibri" w:eastAsia="Calibri" w:hAnsi="Calibri"/>
          <w:sz w:val="22"/>
          <w:szCs w:val="22"/>
          <w:lang w:eastAsia="en-US"/>
        </w:rPr>
        <w:fldChar w:fldCharType="separate"/>
      </w:r>
      <w:r w:rsidRPr="00D27C30">
        <w:rPr>
          <w:rFonts w:ascii="Calibri" w:eastAsia="Calibri" w:hAnsi="Calibri"/>
          <w:noProof/>
          <w:sz w:val="22"/>
          <w:szCs w:val="22"/>
          <w:lang w:eastAsia="es-MX"/>
        </w:rPr>
        <w:drawing>
          <wp:inline distT="0" distB="0" distL="0" distR="0" wp14:anchorId="0DDCC9BE" wp14:editId="1E2F8EF3">
            <wp:extent cx="3942080" cy="3107690"/>
            <wp:effectExtent l="0" t="0" r="1270" b="0"/>
            <wp:docPr id="1508" name="Imagen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93"/>
                    <pic:cNvPicPr>
                      <a:picLocks noChangeAspect="1" noChangeArrowheads="1"/>
                    </pic:cNvPicPr>
                  </pic:nvPicPr>
                  <pic:blipFill>
                    <a:blip r:embed="rId257" cstate="print">
                      <a:extLst>
                        <a:ext uri="{28A0092B-C50C-407E-A947-70E740481C1C}">
                          <a14:useLocalDpi xmlns:a14="http://schemas.microsoft.com/office/drawing/2010/main" val="0"/>
                        </a:ext>
                      </a:extLst>
                    </a:blip>
                    <a:srcRect l="5858" r="7751" b="9326"/>
                    <a:stretch>
                      <a:fillRect/>
                    </a:stretch>
                  </pic:blipFill>
                  <pic:spPr bwMode="auto">
                    <a:xfrm>
                      <a:off x="0" y="0"/>
                      <a:ext cx="3942080" cy="3107690"/>
                    </a:xfrm>
                    <a:prstGeom prst="rect">
                      <a:avLst/>
                    </a:prstGeom>
                    <a:noFill/>
                    <a:ln>
                      <a:noFill/>
                    </a:ln>
                  </pic:spPr>
                </pic:pic>
              </a:graphicData>
            </a:graphic>
          </wp:inline>
        </w:drawing>
      </w:r>
      <w:r w:rsidRPr="00D27C30">
        <w:rPr>
          <w:rFonts w:ascii="Calibri" w:eastAsia="Calibri" w:hAnsi="Calibri"/>
          <w:sz w:val="22"/>
          <w:szCs w:val="22"/>
          <w:lang w:eastAsia="en-US"/>
        </w:rPr>
        <w:fldChar w:fldCharType="end"/>
      </w:r>
    </w:p>
    <w:p w14:paraId="74B4391E" w14:textId="77777777" w:rsidR="00D27C30" w:rsidRDefault="00D27C30" w:rsidP="00C443FC">
      <w:pPr>
        <w:spacing w:after="360" w:line="360" w:lineRule="auto"/>
        <w:ind w:right="-159"/>
        <w:jc w:val="center"/>
        <w:rPr>
          <w:rFonts w:eastAsia="Calibri"/>
          <w:sz w:val="26"/>
          <w:szCs w:val="26"/>
          <w:lang w:eastAsia="en-US"/>
        </w:rPr>
      </w:pPr>
    </w:p>
    <w:p w14:paraId="22E64671" w14:textId="77777777" w:rsidR="00C443FC" w:rsidRPr="00C443FC" w:rsidRDefault="00C443FC" w:rsidP="00C443FC">
      <w:pPr>
        <w:spacing w:after="360" w:line="360" w:lineRule="auto"/>
        <w:ind w:right="-159"/>
        <w:jc w:val="both"/>
        <w:rPr>
          <w:rFonts w:eastAsia="Calibri"/>
          <w:sz w:val="26"/>
          <w:szCs w:val="26"/>
          <w:lang w:eastAsia="en-US"/>
        </w:rPr>
      </w:pPr>
      <w:r w:rsidRPr="00C443FC">
        <w:rPr>
          <w:rFonts w:eastAsia="Calibri"/>
          <w:sz w:val="26"/>
          <w:szCs w:val="26"/>
          <w:lang w:eastAsia="en-US"/>
        </w:rPr>
        <w:t xml:space="preserve">Se consultó a los analistas sobre la probabilidad de que en alguno de los próximos trimestres se observe una reducción respecto al trimestre previo en el nivel del PIB real </w:t>
      </w:r>
      <w:r w:rsidRPr="00C443FC">
        <w:rPr>
          <w:rFonts w:eastAsia="Calibri"/>
          <w:sz w:val="26"/>
          <w:szCs w:val="26"/>
          <w:lang w:eastAsia="en-US"/>
        </w:rPr>
        <w:lastRenderedPageBreak/>
        <w:t>ajustado por estacionalidad; es decir, la expectativa de que se registre una tasa negativa de variación trimestral desestacionalizada del PIB real. Como puede apreciarse en el cuadro siguiente, la probabilidad media de que en alguno de los trimestres sobre los que se preguntó se observe una caída del PIB aumentó con respecto a la encuesta de enero para todos los trimestres de 2015, si bien se mantiene en niveles moderados.</w:t>
      </w:r>
    </w:p>
    <w:tbl>
      <w:tblPr>
        <w:tblW w:w="0" w:type="auto"/>
        <w:jc w:val="center"/>
        <w:tblLook w:val="04A0" w:firstRow="1" w:lastRow="0" w:firstColumn="1" w:lastColumn="0" w:noHBand="0" w:noVBand="1"/>
      </w:tblPr>
      <w:tblGrid>
        <w:gridCol w:w="2879"/>
        <w:gridCol w:w="1161"/>
        <w:gridCol w:w="1194"/>
        <w:gridCol w:w="1194"/>
        <w:gridCol w:w="1174"/>
      </w:tblGrid>
      <w:tr w:rsidR="00C443FC" w:rsidRPr="00C443FC" w14:paraId="280C4B77" w14:textId="77777777" w:rsidTr="005C0CDD">
        <w:trPr>
          <w:jc w:val="center"/>
        </w:trPr>
        <w:tc>
          <w:tcPr>
            <w:tcW w:w="7602" w:type="dxa"/>
            <w:gridSpan w:val="5"/>
            <w:tcBorders>
              <w:top w:val="nil"/>
              <w:left w:val="nil"/>
              <w:bottom w:val="single" w:sz="4" w:space="0" w:color="auto"/>
              <w:right w:val="nil"/>
            </w:tcBorders>
          </w:tcPr>
          <w:p w14:paraId="7729122C" w14:textId="77777777" w:rsidR="00C443FC" w:rsidRPr="00C443FC" w:rsidRDefault="00C443FC" w:rsidP="00C443FC">
            <w:pPr>
              <w:jc w:val="center"/>
              <w:rPr>
                <w:rFonts w:eastAsia="Calibri"/>
                <w:b/>
                <w:sz w:val="22"/>
                <w:szCs w:val="22"/>
                <w:lang w:eastAsia="en-US"/>
              </w:rPr>
            </w:pPr>
            <w:r w:rsidRPr="00C443FC">
              <w:rPr>
                <w:rFonts w:eastAsia="Calibri"/>
                <w:b/>
                <w:sz w:val="22"/>
                <w:szCs w:val="22"/>
                <w:lang w:eastAsia="en-US"/>
              </w:rPr>
              <w:t>PROBABILIDAD MEDIA DE QUE SE OBSERVE UNA REDUCCIÓN EN EL NIVEL DEL PIB REAL AJUSTADO POR ESTACIONALIDAD RESPECTO AL TRIMESTRE PREVIO</w:t>
            </w:r>
          </w:p>
          <w:p w14:paraId="7DAB19DE" w14:textId="77777777" w:rsidR="00C443FC" w:rsidRPr="00C443FC" w:rsidRDefault="00C443FC" w:rsidP="00C443FC">
            <w:pPr>
              <w:jc w:val="center"/>
              <w:rPr>
                <w:rFonts w:eastAsia="Calibri"/>
                <w:b/>
                <w:sz w:val="22"/>
                <w:szCs w:val="22"/>
                <w:lang w:eastAsia="en-US"/>
              </w:rPr>
            </w:pPr>
            <w:r w:rsidRPr="00C443FC">
              <w:rPr>
                <w:rFonts w:eastAsia="Calibri"/>
                <w:b/>
                <w:sz w:val="22"/>
                <w:szCs w:val="22"/>
                <w:lang w:eastAsia="en-US"/>
              </w:rPr>
              <w:t>-Por ciento-</w:t>
            </w:r>
          </w:p>
        </w:tc>
      </w:tr>
      <w:tr w:rsidR="00C443FC" w:rsidRPr="00C443FC" w14:paraId="00558FF9" w14:textId="77777777" w:rsidTr="005C0CDD">
        <w:trPr>
          <w:jc w:val="center"/>
        </w:trPr>
        <w:tc>
          <w:tcPr>
            <w:tcW w:w="2879" w:type="dxa"/>
            <w:vMerge w:val="restart"/>
            <w:tcBorders>
              <w:top w:val="single" w:sz="4" w:space="0" w:color="auto"/>
              <w:left w:val="single" w:sz="4" w:space="0" w:color="auto"/>
              <w:bottom w:val="single" w:sz="4" w:space="0" w:color="auto"/>
              <w:right w:val="single" w:sz="4" w:space="0" w:color="auto"/>
            </w:tcBorders>
          </w:tcPr>
          <w:p w14:paraId="7AB7EAC5" w14:textId="77777777" w:rsidR="00C443FC" w:rsidRPr="00C443FC" w:rsidRDefault="00C443FC" w:rsidP="00C443FC">
            <w:pPr>
              <w:jc w:val="both"/>
              <w:rPr>
                <w:rFonts w:eastAsia="Calibri"/>
                <w:sz w:val="20"/>
                <w:szCs w:val="20"/>
                <w:lang w:eastAsia="en-US"/>
              </w:rPr>
            </w:pPr>
          </w:p>
        </w:tc>
        <w:tc>
          <w:tcPr>
            <w:tcW w:w="4723" w:type="dxa"/>
            <w:gridSpan w:val="4"/>
            <w:tcBorders>
              <w:top w:val="single" w:sz="4" w:space="0" w:color="auto"/>
              <w:left w:val="single" w:sz="4" w:space="0" w:color="auto"/>
              <w:bottom w:val="single" w:sz="4" w:space="0" w:color="auto"/>
              <w:right w:val="single" w:sz="4" w:space="0" w:color="auto"/>
            </w:tcBorders>
          </w:tcPr>
          <w:p w14:paraId="7CB67FE6"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 xml:space="preserve">Encuesta </w:t>
            </w:r>
          </w:p>
        </w:tc>
      </w:tr>
      <w:tr w:rsidR="00C443FC" w:rsidRPr="00C443FC" w14:paraId="46AD18C9" w14:textId="77777777" w:rsidTr="005C0CDD">
        <w:trPr>
          <w:jc w:val="center"/>
        </w:trPr>
        <w:tc>
          <w:tcPr>
            <w:tcW w:w="2879" w:type="dxa"/>
            <w:vMerge/>
            <w:tcBorders>
              <w:top w:val="single" w:sz="4" w:space="0" w:color="auto"/>
              <w:left w:val="single" w:sz="4" w:space="0" w:color="auto"/>
              <w:bottom w:val="single" w:sz="4" w:space="0" w:color="auto"/>
              <w:right w:val="single" w:sz="4" w:space="0" w:color="auto"/>
            </w:tcBorders>
          </w:tcPr>
          <w:p w14:paraId="6D80E8D8" w14:textId="77777777" w:rsidR="00C443FC" w:rsidRPr="00C443FC" w:rsidRDefault="00C443FC" w:rsidP="00C443FC">
            <w:pPr>
              <w:jc w:val="both"/>
              <w:rPr>
                <w:rFonts w:eastAsia="Calibri"/>
                <w:sz w:val="20"/>
                <w:szCs w:val="20"/>
                <w:lang w:eastAsia="en-US"/>
              </w:rPr>
            </w:pPr>
          </w:p>
        </w:tc>
        <w:tc>
          <w:tcPr>
            <w:tcW w:w="1161" w:type="dxa"/>
            <w:tcBorders>
              <w:top w:val="single" w:sz="4" w:space="0" w:color="auto"/>
              <w:left w:val="single" w:sz="4" w:space="0" w:color="auto"/>
              <w:bottom w:val="single" w:sz="4" w:space="0" w:color="auto"/>
              <w:right w:val="single" w:sz="4" w:space="0" w:color="auto"/>
            </w:tcBorders>
          </w:tcPr>
          <w:p w14:paraId="057198D1"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Noviembre</w:t>
            </w:r>
          </w:p>
        </w:tc>
        <w:tc>
          <w:tcPr>
            <w:tcW w:w="1194" w:type="dxa"/>
            <w:tcBorders>
              <w:top w:val="single" w:sz="4" w:space="0" w:color="auto"/>
              <w:left w:val="single" w:sz="4" w:space="0" w:color="auto"/>
              <w:bottom w:val="single" w:sz="4" w:space="0" w:color="auto"/>
              <w:right w:val="single" w:sz="4" w:space="0" w:color="auto"/>
            </w:tcBorders>
          </w:tcPr>
          <w:p w14:paraId="72002C77"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Diciembre</w:t>
            </w:r>
          </w:p>
        </w:tc>
        <w:tc>
          <w:tcPr>
            <w:tcW w:w="1194" w:type="dxa"/>
            <w:tcBorders>
              <w:top w:val="single" w:sz="4" w:space="0" w:color="auto"/>
              <w:left w:val="single" w:sz="4" w:space="0" w:color="auto"/>
              <w:bottom w:val="single" w:sz="4" w:space="0" w:color="auto"/>
              <w:right w:val="single" w:sz="4" w:space="0" w:color="auto"/>
            </w:tcBorders>
          </w:tcPr>
          <w:p w14:paraId="0BB6C752"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Enero</w:t>
            </w:r>
          </w:p>
        </w:tc>
        <w:tc>
          <w:tcPr>
            <w:tcW w:w="1174" w:type="dxa"/>
            <w:tcBorders>
              <w:top w:val="single" w:sz="4" w:space="0" w:color="auto"/>
              <w:left w:val="single" w:sz="4" w:space="0" w:color="auto"/>
              <w:bottom w:val="single" w:sz="4" w:space="0" w:color="auto"/>
              <w:right w:val="single" w:sz="4" w:space="0" w:color="auto"/>
            </w:tcBorders>
          </w:tcPr>
          <w:p w14:paraId="7E095274"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Febrero</w:t>
            </w:r>
          </w:p>
        </w:tc>
      </w:tr>
      <w:tr w:rsidR="00C443FC" w:rsidRPr="00C443FC" w14:paraId="0BB91ABF" w14:textId="77777777" w:rsidTr="005C0CDD">
        <w:trPr>
          <w:jc w:val="center"/>
        </w:trPr>
        <w:tc>
          <w:tcPr>
            <w:tcW w:w="2879" w:type="dxa"/>
            <w:tcBorders>
              <w:top w:val="single" w:sz="4" w:space="0" w:color="auto"/>
              <w:left w:val="single" w:sz="4" w:space="0" w:color="auto"/>
              <w:right w:val="single" w:sz="4" w:space="0" w:color="auto"/>
            </w:tcBorders>
          </w:tcPr>
          <w:p w14:paraId="799CBF8B" w14:textId="77777777" w:rsidR="00C443FC" w:rsidRPr="00C443FC" w:rsidRDefault="00C443FC" w:rsidP="00C443FC">
            <w:pPr>
              <w:jc w:val="both"/>
              <w:rPr>
                <w:rFonts w:eastAsia="Calibri"/>
                <w:b/>
                <w:sz w:val="20"/>
                <w:szCs w:val="20"/>
                <w:lang w:eastAsia="en-US"/>
              </w:rPr>
            </w:pPr>
            <w:r w:rsidRPr="00C443FC">
              <w:rPr>
                <w:rFonts w:eastAsia="Calibri"/>
                <w:b/>
                <w:sz w:val="20"/>
                <w:szCs w:val="20"/>
                <w:lang w:eastAsia="en-US"/>
              </w:rPr>
              <w:t>2015-I     respecto al 2014-IV</w:t>
            </w:r>
          </w:p>
        </w:tc>
        <w:tc>
          <w:tcPr>
            <w:tcW w:w="1161" w:type="dxa"/>
            <w:tcBorders>
              <w:top w:val="single" w:sz="4" w:space="0" w:color="auto"/>
              <w:left w:val="single" w:sz="4" w:space="0" w:color="auto"/>
              <w:right w:val="single" w:sz="4" w:space="0" w:color="auto"/>
            </w:tcBorders>
          </w:tcPr>
          <w:p w14:paraId="0D6D2040" w14:textId="77777777" w:rsidR="00C443FC" w:rsidRPr="00C443FC" w:rsidRDefault="00C443FC" w:rsidP="00C443FC">
            <w:pPr>
              <w:ind w:right="284"/>
              <w:jc w:val="right"/>
              <w:rPr>
                <w:rFonts w:eastAsia="Calibri"/>
                <w:sz w:val="20"/>
                <w:szCs w:val="20"/>
                <w:lang w:eastAsia="en-US"/>
              </w:rPr>
            </w:pPr>
            <w:r w:rsidRPr="00C443FC">
              <w:rPr>
                <w:rFonts w:eastAsia="Calibri"/>
                <w:sz w:val="20"/>
                <w:szCs w:val="20"/>
                <w:lang w:eastAsia="en-US"/>
              </w:rPr>
              <w:t>10.85</w:t>
            </w:r>
          </w:p>
        </w:tc>
        <w:tc>
          <w:tcPr>
            <w:tcW w:w="1194" w:type="dxa"/>
            <w:tcBorders>
              <w:top w:val="single" w:sz="4" w:space="0" w:color="auto"/>
              <w:left w:val="single" w:sz="4" w:space="0" w:color="auto"/>
              <w:right w:val="single" w:sz="4" w:space="0" w:color="auto"/>
            </w:tcBorders>
          </w:tcPr>
          <w:p w14:paraId="2E7AE854" w14:textId="77777777" w:rsidR="00C443FC" w:rsidRPr="00C443FC" w:rsidRDefault="00C443FC" w:rsidP="00C443FC">
            <w:pPr>
              <w:ind w:right="57"/>
              <w:jc w:val="center"/>
              <w:rPr>
                <w:rFonts w:eastAsia="Calibri"/>
                <w:sz w:val="20"/>
                <w:szCs w:val="20"/>
                <w:lang w:eastAsia="en-US"/>
              </w:rPr>
            </w:pPr>
            <w:r w:rsidRPr="00C443FC">
              <w:rPr>
                <w:rFonts w:eastAsia="Calibri"/>
                <w:sz w:val="20"/>
                <w:szCs w:val="20"/>
                <w:lang w:eastAsia="en-US"/>
              </w:rPr>
              <w:t>8.16</w:t>
            </w:r>
          </w:p>
        </w:tc>
        <w:tc>
          <w:tcPr>
            <w:tcW w:w="1194" w:type="dxa"/>
            <w:tcBorders>
              <w:top w:val="single" w:sz="4" w:space="0" w:color="auto"/>
              <w:left w:val="single" w:sz="4" w:space="0" w:color="auto"/>
              <w:right w:val="single" w:sz="4" w:space="0" w:color="auto"/>
            </w:tcBorders>
          </w:tcPr>
          <w:p w14:paraId="3C2FB762" w14:textId="77777777" w:rsidR="00C443FC" w:rsidRPr="00C443FC" w:rsidRDefault="00C443FC" w:rsidP="00C443FC">
            <w:pPr>
              <w:ind w:right="57"/>
              <w:jc w:val="center"/>
              <w:rPr>
                <w:rFonts w:eastAsia="Calibri"/>
                <w:sz w:val="20"/>
                <w:szCs w:val="20"/>
                <w:lang w:eastAsia="en-US"/>
              </w:rPr>
            </w:pPr>
            <w:r w:rsidRPr="00C443FC">
              <w:rPr>
                <w:rFonts w:eastAsia="Calibri"/>
                <w:sz w:val="20"/>
                <w:szCs w:val="20"/>
                <w:lang w:eastAsia="en-US"/>
              </w:rPr>
              <w:t>7.50</w:t>
            </w:r>
          </w:p>
        </w:tc>
        <w:tc>
          <w:tcPr>
            <w:tcW w:w="1174" w:type="dxa"/>
            <w:tcBorders>
              <w:top w:val="single" w:sz="4" w:space="0" w:color="auto"/>
              <w:left w:val="single" w:sz="4" w:space="0" w:color="auto"/>
              <w:right w:val="single" w:sz="4" w:space="0" w:color="auto"/>
            </w:tcBorders>
          </w:tcPr>
          <w:p w14:paraId="0D9AEE6A" w14:textId="77777777" w:rsidR="00C443FC" w:rsidRPr="00C443FC" w:rsidRDefault="00C443FC" w:rsidP="00C443FC">
            <w:pPr>
              <w:ind w:right="284"/>
              <w:jc w:val="right"/>
              <w:rPr>
                <w:rFonts w:eastAsia="Calibri"/>
                <w:sz w:val="20"/>
                <w:szCs w:val="20"/>
                <w:lang w:eastAsia="en-US"/>
              </w:rPr>
            </w:pPr>
            <w:r w:rsidRPr="00C443FC">
              <w:rPr>
                <w:rFonts w:eastAsia="Calibri"/>
                <w:sz w:val="20"/>
                <w:szCs w:val="20"/>
                <w:lang w:eastAsia="en-US"/>
              </w:rPr>
              <w:t>10.44</w:t>
            </w:r>
          </w:p>
        </w:tc>
      </w:tr>
      <w:tr w:rsidR="00C443FC" w:rsidRPr="00C443FC" w14:paraId="6B85D248" w14:textId="77777777" w:rsidTr="005C0CDD">
        <w:trPr>
          <w:jc w:val="center"/>
        </w:trPr>
        <w:tc>
          <w:tcPr>
            <w:tcW w:w="2879" w:type="dxa"/>
            <w:tcBorders>
              <w:left w:val="single" w:sz="4" w:space="0" w:color="auto"/>
              <w:right w:val="single" w:sz="4" w:space="0" w:color="auto"/>
            </w:tcBorders>
          </w:tcPr>
          <w:p w14:paraId="5743DABE" w14:textId="77777777" w:rsidR="00C443FC" w:rsidRPr="00C443FC" w:rsidRDefault="00C443FC" w:rsidP="00C443FC">
            <w:pPr>
              <w:jc w:val="both"/>
              <w:rPr>
                <w:rFonts w:eastAsia="Calibri"/>
                <w:b/>
                <w:sz w:val="20"/>
                <w:szCs w:val="20"/>
                <w:lang w:eastAsia="en-US"/>
              </w:rPr>
            </w:pPr>
            <w:r w:rsidRPr="00C443FC">
              <w:rPr>
                <w:rFonts w:eastAsia="Calibri"/>
                <w:b/>
                <w:sz w:val="20"/>
                <w:szCs w:val="20"/>
                <w:lang w:eastAsia="en-US"/>
              </w:rPr>
              <w:t>2015-II   respecto al 2015-I</w:t>
            </w:r>
          </w:p>
        </w:tc>
        <w:tc>
          <w:tcPr>
            <w:tcW w:w="1161" w:type="dxa"/>
            <w:tcBorders>
              <w:left w:val="single" w:sz="4" w:space="0" w:color="auto"/>
              <w:right w:val="single" w:sz="4" w:space="0" w:color="auto"/>
            </w:tcBorders>
          </w:tcPr>
          <w:p w14:paraId="612B7E31" w14:textId="77777777" w:rsidR="00C443FC" w:rsidRPr="00C443FC" w:rsidRDefault="00C443FC" w:rsidP="00C443FC">
            <w:pPr>
              <w:ind w:right="284"/>
              <w:jc w:val="right"/>
              <w:rPr>
                <w:rFonts w:eastAsia="Calibri"/>
                <w:sz w:val="20"/>
                <w:szCs w:val="20"/>
                <w:lang w:eastAsia="en-US"/>
              </w:rPr>
            </w:pPr>
            <w:r w:rsidRPr="00C443FC">
              <w:rPr>
                <w:rFonts w:eastAsia="Calibri"/>
                <w:sz w:val="20"/>
                <w:szCs w:val="20"/>
                <w:lang w:eastAsia="en-US"/>
              </w:rPr>
              <w:t>9.91</w:t>
            </w:r>
          </w:p>
        </w:tc>
        <w:tc>
          <w:tcPr>
            <w:tcW w:w="1194" w:type="dxa"/>
            <w:tcBorders>
              <w:left w:val="single" w:sz="4" w:space="0" w:color="auto"/>
              <w:right w:val="single" w:sz="4" w:space="0" w:color="auto"/>
            </w:tcBorders>
          </w:tcPr>
          <w:p w14:paraId="5C950F77" w14:textId="77777777" w:rsidR="00C443FC" w:rsidRPr="00C443FC" w:rsidRDefault="00C443FC" w:rsidP="00C443FC">
            <w:pPr>
              <w:ind w:right="57"/>
              <w:jc w:val="center"/>
              <w:rPr>
                <w:rFonts w:eastAsia="Calibri"/>
                <w:sz w:val="20"/>
                <w:szCs w:val="20"/>
                <w:lang w:eastAsia="en-US"/>
              </w:rPr>
            </w:pPr>
            <w:r w:rsidRPr="00C443FC">
              <w:rPr>
                <w:rFonts w:eastAsia="Calibri"/>
                <w:sz w:val="20"/>
                <w:szCs w:val="20"/>
                <w:lang w:eastAsia="en-US"/>
              </w:rPr>
              <w:t>9.32</w:t>
            </w:r>
          </w:p>
        </w:tc>
        <w:tc>
          <w:tcPr>
            <w:tcW w:w="1194" w:type="dxa"/>
            <w:tcBorders>
              <w:left w:val="single" w:sz="4" w:space="0" w:color="auto"/>
              <w:right w:val="single" w:sz="4" w:space="0" w:color="auto"/>
            </w:tcBorders>
          </w:tcPr>
          <w:p w14:paraId="5D7F371F" w14:textId="77777777" w:rsidR="00C443FC" w:rsidRPr="00C443FC" w:rsidRDefault="00C443FC" w:rsidP="00C443FC">
            <w:pPr>
              <w:ind w:right="57"/>
              <w:jc w:val="center"/>
              <w:rPr>
                <w:rFonts w:eastAsia="Calibri"/>
                <w:sz w:val="20"/>
                <w:szCs w:val="20"/>
                <w:lang w:eastAsia="en-US"/>
              </w:rPr>
            </w:pPr>
            <w:r w:rsidRPr="00C443FC">
              <w:rPr>
                <w:rFonts w:eastAsia="Calibri"/>
                <w:sz w:val="20"/>
                <w:szCs w:val="20"/>
                <w:lang w:eastAsia="en-US"/>
              </w:rPr>
              <w:t>5.95</w:t>
            </w:r>
          </w:p>
        </w:tc>
        <w:tc>
          <w:tcPr>
            <w:tcW w:w="1174" w:type="dxa"/>
            <w:tcBorders>
              <w:left w:val="single" w:sz="4" w:space="0" w:color="auto"/>
              <w:right w:val="single" w:sz="4" w:space="0" w:color="auto"/>
            </w:tcBorders>
          </w:tcPr>
          <w:p w14:paraId="747299DE" w14:textId="77777777" w:rsidR="00C443FC" w:rsidRPr="00C443FC" w:rsidRDefault="00C443FC" w:rsidP="00C443FC">
            <w:pPr>
              <w:ind w:right="284"/>
              <w:jc w:val="right"/>
              <w:rPr>
                <w:rFonts w:eastAsia="Calibri"/>
                <w:sz w:val="20"/>
                <w:szCs w:val="20"/>
                <w:lang w:eastAsia="en-US"/>
              </w:rPr>
            </w:pPr>
            <w:r w:rsidRPr="00C443FC">
              <w:rPr>
                <w:rFonts w:eastAsia="Calibri"/>
                <w:sz w:val="20"/>
                <w:szCs w:val="20"/>
                <w:lang w:eastAsia="en-US"/>
              </w:rPr>
              <w:t>8.01</w:t>
            </w:r>
          </w:p>
        </w:tc>
      </w:tr>
      <w:tr w:rsidR="00C443FC" w:rsidRPr="00C443FC" w14:paraId="5B65FC1D" w14:textId="77777777" w:rsidTr="005C0CDD">
        <w:trPr>
          <w:jc w:val="center"/>
        </w:trPr>
        <w:tc>
          <w:tcPr>
            <w:tcW w:w="2879" w:type="dxa"/>
            <w:tcBorders>
              <w:left w:val="single" w:sz="4" w:space="0" w:color="auto"/>
              <w:right w:val="single" w:sz="4" w:space="0" w:color="auto"/>
            </w:tcBorders>
          </w:tcPr>
          <w:p w14:paraId="07E0FF15" w14:textId="77777777" w:rsidR="00C443FC" w:rsidRPr="00C443FC" w:rsidRDefault="00C443FC" w:rsidP="00C443FC">
            <w:pPr>
              <w:jc w:val="both"/>
              <w:rPr>
                <w:rFonts w:eastAsia="Calibri"/>
                <w:b/>
                <w:sz w:val="20"/>
                <w:szCs w:val="20"/>
                <w:lang w:eastAsia="en-US"/>
              </w:rPr>
            </w:pPr>
            <w:r w:rsidRPr="00C443FC">
              <w:rPr>
                <w:rFonts w:eastAsia="Calibri"/>
                <w:b/>
                <w:sz w:val="20"/>
                <w:szCs w:val="20"/>
                <w:lang w:eastAsia="en-US"/>
              </w:rPr>
              <w:t>2015-III  respecto al 2015-II</w:t>
            </w:r>
          </w:p>
        </w:tc>
        <w:tc>
          <w:tcPr>
            <w:tcW w:w="1161" w:type="dxa"/>
            <w:tcBorders>
              <w:left w:val="single" w:sz="4" w:space="0" w:color="auto"/>
              <w:right w:val="single" w:sz="4" w:space="0" w:color="auto"/>
            </w:tcBorders>
          </w:tcPr>
          <w:p w14:paraId="5DA683E5" w14:textId="77777777" w:rsidR="00C443FC" w:rsidRPr="00C443FC" w:rsidRDefault="00C443FC" w:rsidP="00C443FC">
            <w:pPr>
              <w:ind w:right="284"/>
              <w:jc w:val="right"/>
              <w:rPr>
                <w:rFonts w:eastAsia="Calibri"/>
                <w:sz w:val="20"/>
                <w:szCs w:val="20"/>
                <w:lang w:eastAsia="en-US"/>
              </w:rPr>
            </w:pPr>
            <w:r w:rsidRPr="00C443FC">
              <w:rPr>
                <w:rFonts w:eastAsia="Calibri"/>
                <w:sz w:val="20"/>
                <w:szCs w:val="20"/>
                <w:lang w:eastAsia="en-US"/>
              </w:rPr>
              <w:t>6.63</w:t>
            </w:r>
          </w:p>
        </w:tc>
        <w:tc>
          <w:tcPr>
            <w:tcW w:w="1194" w:type="dxa"/>
            <w:tcBorders>
              <w:left w:val="single" w:sz="4" w:space="0" w:color="auto"/>
              <w:right w:val="single" w:sz="4" w:space="0" w:color="auto"/>
            </w:tcBorders>
          </w:tcPr>
          <w:p w14:paraId="581EDC08" w14:textId="77777777" w:rsidR="00C443FC" w:rsidRPr="00C443FC" w:rsidRDefault="00C443FC" w:rsidP="00C443FC">
            <w:pPr>
              <w:ind w:right="57"/>
              <w:jc w:val="center"/>
              <w:rPr>
                <w:rFonts w:eastAsia="Calibri"/>
                <w:sz w:val="20"/>
                <w:szCs w:val="20"/>
                <w:lang w:eastAsia="en-US"/>
              </w:rPr>
            </w:pPr>
            <w:r w:rsidRPr="00C443FC">
              <w:rPr>
                <w:rFonts w:eastAsia="Calibri"/>
                <w:sz w:val="20"/>
                <w:szCs w:val="20"/>
                <w:lang w:eastAsia="en-US"/>
              </w:rPr>
              <w:t>7.17</w:t>
            </w:r>
          </w:p>
        </w:tc>
        <w:tc>
          <w:tcPr>
            <w:tcW w:w="1194" w:type="dxa"/>
            <w:tcBorders>
              <w:left w:val="single" w:sz="4" w:space="0" w:color="auto"/>
              <w:right w:val="single" w:sz="4" w:space="0" w:color="auto"/>
            </w:tcBorders>
          </w:tcPr>
          <w:p w14:paraId="32EBF1B4" w14:textId="77777777" w:rsidR="00C443FC" w:rsidRPr="00C443FC" w:rsidRDefault="00C443FC" w:rsidP="00C443FC">
            <w:pPr>
              <w:ind w:right="57"/>
              <w:jc w:val="center"/>
              <w:rPr>
                <w:rFonts w:eastAsia="Calibri"/>
                <w:sz w:val="20"/>
                <w:szCs w:val="20"/>
                <w:lang w:eastAsia="en-US"/>
              </w:rPr>
            </w:pPr>
            <w:r w:rsidRPr="00C443FC">
              <w:rPr>
                <w:rFonts w:eastAsia="Calibri"/>
                <w:sz w:val="20"/>
                <w:szCs w:val="20"/>
                <w:lang w:eastAsia="en-US"/>
              </w:rPr>
              <w:t>5.29</w:t>
            </w:r>
          </w:p>
        </w:tc>
        <w:tc>
          <w:tcPr>
            <w:tcW w:w="1174" w:type="dxa"/>
            <w:tcBorders>
              <w:left w:val="single" w:sz="4" w:space="0" w:color="auto"/>
              <w:right w:val="single" w:sz="4" w:space="0" w:color="auto"/>
            </w:tcBorders>
          </w:tcPr>
          <w:p w14:paraId="20A45538" w14:textId="77777777" w:rsidR="00C443FC" w:rsidRPr="00C443FC" w:rsidRDefault="00C443FC" w:rsidP="00C443FC">
            <w:pPr>
              <w:ind w:right="284"/>
              <w:jc w:val="right"/>
              <w:rPr>
                <w:rFonts w:eastAsia="Calibri"/>
                <w:sz w:val="20"/>
                <w:szCs w:val="20"/>
                <w:lang w:eastAsia="en-US"/>
              </w:rPr>
            </w:pPr>
            <w:r w:rsidRPr="00C443FC">
              <w:rPr>
                <w:rFonts w:eastAsia="Calibri"/>
                <w:sz w:val="20"/>
                <w:szCs w:val="20"/>
                <w:lang w:eastAsia="en-US"/>
              </w:rPr>
              <w:t>6.68</w:t>
            </w:r>
          </w:p>
        </w:tc>
      </w:tr>
      <w:tr w:rsidR="00C443FC" w:rsidRPr="00C443FC" w14:paraId="3AEA4BC1" w14:textId="77777777" w:rsidTr="005C0CDD">
        <w:trPr>
          <w:jc w:val="center"/>
        </w:trPr>
        <w:tc>
          <w:tcPr>
            <w:tcW w:w="2879" w:type="dxa"/>
            <w:tcBorders>
              <w:left w:val="single" w:sz="4" w:space="0" w:color="auto"/>
              <w:right w:val="single" w:sz="4" w:space="0" w:color="auto"/>
            </w:tcBorders>
          </w:tcPr>
          <w:p w14:paraId="7285DC45" w14:textId="77777777" w:rsidR="00C443FC" w:rsidRPr="00C443FC" w:rsidRDefault="00C443FC" w:rsidP="00C443FC">
            <w:pPr>
              <w:jc w:val="both"/>
              <w:rPr>
                <w:rFonts w:eastAsia="Calibri"/>
                <w:b/>
                <w:sz w:val="20"/>
                <w:szCs w:val="20"/>
                <w:lang w:eastAsia="en-US"/>
              </w:rPr>
            </w:pPr>
            <w:r w:rsidRPr="00C443FC">
              <w:rPr>
                <w:rFonts w:eastAsia="Calibri"/>
                <w:b/>
                <w:sz w:val="20"/>
                <w:szCs w:val="20"/>
                <w:lang w:eastAsia="en-US"/>
              </w:rPr>
              <w:t>2015-IV  respecto al 2015-III</w:t>
            </w:r>
          </w:p>
        </w:tc>
        <w:tc>
          <w:tcPr>
            <w:tcW w:w="1161" w:type="dxa"/>
            <w:tcBorders>
              <w:left w:val="single" w:sz="4" w:space="0" w:color="auto"/>
              <w:right w:val="single" w:sz="4" w:space="0" w:color="auto"/>
            </w:tcBorders>
          </w:tcPr>
          <w:p w14:paraId="146026F3" w14:textId="77777777" w:rsidR="00C443FC" w:rsidRPr="00C443FC" w:rsidRDefault="00C443FC" w:rsidP="00C443FC">
            <w:pPr>
              <w:ind w:right="284"/>
              <w:jc w:val="right"/>
              <w:rPr>
                <w:rFonts w:eastAsia="Calibri"/>
                <w:sz w:val="20"/>
                <w:szCs w:val="20"/>
                <w:lang w:eastAsia="en-US"/>
              </w:rPr>
            </w:pPr>
            <w:r w:rsidRPr="00C443FC">
              <w:rPr>
                <w:rFonts w:eastAsia="Calibri"/>
                <w:sz w:val="20"/>
                <w:szCs w:val="20"/>
                <w:lang w:eastAsia="en-US"/>
              </w:rPr>
              <w:t>6.10</w:t>
            </w:r>
          </w:p>
        </w:tc>
        <w:tc>
          <w:tcPr>
            <w:tcW w:w="1194" w:type="dxa"/>
            <w:tcBorders>
              <w:left w:val="single" w:sz="4" w:space="0" w:color="auto"/>
              <w:right w:val="single" w:sz="4" w:space="0" w:color="auto"/>
            </w:tcBorders>
          </w:tcPr>
          <w:p w14:paraId="47C2F0B3" w14:textId="77777777" w:rsidR="00C443FC" w:rsidRPr="00C443FC" w:rsidRDefault="00C443FC" w:rsidP="00C443FC">
            <w:pPr>
              <w:ind w:right="57"/>
              <w:jc w:val="center"/>
              <w:rPr>
                <w:rFonts w:eastAsia="Calibri"/>
                <w:sz w:val="20"/>
                <w:szCs w:val="20"/>
                <w:lang w:eastAsia="en-US"/>
              </w:rPr>
            </w:pPr>
            <w:r w:rsidRPr="00C443FC">
              <w:rPr>
                <w:rFonts w:eastAsia="Calibri"/>
                <w:sz w:val="20"/>
                <w:szCs w:val="20"/>
                <w:lang w:eastAsia="en-US"/>
              </w:rPr>
              <w:t>7.05</w:t>
            </w:r>
          </w:p>
        </w:tc>
        <w:tc>
          <w:tcPr>
            <w:tcW w:w="1194" w:type="dxa"/>
            <w:tcBorders>
              <w:left w:val="single" w:sz="4" w:space="0" w:color="auto"/>
              <w:right w:val="single" w:sz="4" w:space="0" w:color="auto"/>
            </w:tcBorders>
          </w:tcPr>
          <w:p w14:paraId="1C98D441" w14:textId="77777777" w:rsidR="00C443FC" w:rsidRPr="00C443FC" w:rsidRDefault="00C443FC" w:rsidP="00C443FC">
            <w:pPr>
              <w:ind w:right="57"/>
              <w:jc w:val="center"/>
              <w:rPr>
                <w:rFonts w:eastAsia="Calibri"/>
                <w:sz w:val="20"/>
                <w:szCs w:val="20"/>
                <w:lang w:eastAsia="en-US"/>
              </w:rPr>
            </w:pPr>
            <w:r w:rsidRPr="00C443FC">
              <w:rPr>
                <w:rFonts w:eastAsia="Calibri"/>
                <w:sz w:val="20"/>
                <w:szCs w:val="20"/>
                <w:lang w:eastAsia="en-US"/>
              </w:rPr>
              <w:t>5.11</w:t>
            </w:r>
          </w:p>
        </w:tc>
        <w:tc>
          <w:tcPr>
            <w:tcW w:w="1174" w:type="dxa"/>
            <w:tcBorders>
              <w:left w:val="single" w:sz="4" w:space="0" w:color="auto"/>
              <w:right w:val="single" w:sz="4" w:space="0" w:color="auto"/>
            </w:tcBorders>
          </w:tcPr>
          <w:p w14:paraId="2E137132" w14:textId="77777777" w:rsidR="00C443FC" w:rsidRPr="00C443FC" w:rsidRDefault="00C443FC" w:rsidP="00C443FC">
            <w:pPr>
              <w:ind w:right="284"/>
              <w:jc w:val="right"/>
              <w:rPr>
                <w:rFonts w:eastAsia="Calibri"/>
                <w:sz w:val="20"/>
                <w:szCs w:val="20"/>
                <w:lang w:eastAsia="en-US"/>
              </w:rPr>
            </w:pPr>
            <w:r w:rsidRPr="00C443FC">
              <w:rPr>
                <w:rFonts w:eastAsia="Calibri"/>
                <w:sz w:val="20"/>
                <w:szCs w:val="20"/>
                <w:lang w:eastAsia="en-US"/>
              </w:rPr>
              <w:t>6.68</w:t>
            </w:r>
          </w:p>
        </w:tc>
      </w:tr>
      <w:tr w:rsidR="00C443FC" w:rsidRPr="00C443FC" w14:paraId="1DFBC14B" w14:textId="77777777" w:rsidTr="005C0CDD">
        <w:trPr>
          <w:jc w:val="center"/>
        </w:trPr>
        <w:tc>
          <w:tcPr>
            <w:tcW w:w="2879" w:type="dxa"/>
            <w:tcBorders>
              <w:left w:val="single" w:sz="4" w:space="0" w:color="auto"/>
              <w:bottom w:val="single" w:sz="4" w:space="0" w:color="auto"/>
              <w:right w:val="single" w:sz="4" w:space="0" w:color="auto"/>
            </w:tcBorders>
          </w:tcPr>
          <w:p w14:paraId="4968F49E" w14:textId="77777777" w:rsidR="00C443FC" w:rsidRPr="00C443FC" w:rsidRDefault="00C443FC" w:rsidP="00C443FC">
            <w:pPr>
              <w:jc w:val="both"/>
              <w:rPr>
                <w:rFonts w:eastAsia="Calibri"/>
                <w:b/>
                <w:sz w:val="20"/>
                <w:szCs w:val="20"/>
                <w:lang w:eastAsia="en-US"/>
              </w:rPr>
            </w:pPr>
            <w:r w:rsidRPr="00C443FC">
              <w:rPr>
                <w:rFonts w:eastAsia="Calibri"/>
                <w:b/>
                <w:sz w:val="20"/>
                <w:szCs w:val="20"/>
                <w:lang w:eastAsia="en-US"/>
              </w:rPr>
              <w:t>2016-I     respecto al 2015-IV</w:t>
            </w:r>
          </w:p>
        </w:tc>
        <w:tc>
          <w:tcPr>
            <w:tcW w:w="1161" w:type="dxa"/>
            <w:tcBorders>
              <w:left w:val="single" w:sz="4" w:space="0" w:color="auto"/>
              <w:bottom w:val="single" w:sz="4" w:space="0" w:color="auto"/>
              <w:right w:val="single" w:sz="4" w:space="0" w:color="auto"/>
            </w:tcBorders>
          </w:tcPr>
          <w:p w14:paraId="5A7D3281" w14:textId="77777777" w:rsidR="00C443FC" w:rsidRPr="00C443FC" w:rsidRDefault="00C443FC" w:rsidP="00C443FC">
            <w:pPr>
              <w:ind w:right="284"/>
              <w:jc w:val="right"/>
              <w:rPr>
                <w:rFonts w:eastAsia="Calibri"/>
                <w:sz w:val="20"/>
                <w:szCs w:val="20"/>
                <w:lang w:eastAsia="en-US"/>
              </w:rPr>
            </w:pPr>
          </w:p>
        </w:tc>
        <w:tc>
          <w:tcPr>
            <w:tcW w:w="1194" w:type="dxa"/>
            <w:tcBorders>
              <w:left w:val="single" w:sz="4" w:space="0" w:color="auto"/>
              <w:bottom w:val="single" w:sz="4" w:space="0" w:color="auto"/>
              <w:right w:val="single" w:sz="4" w:space="0" w:color="auto"/>
            </w:tcBorders>
          </w:tcPr>
          <w:p w14:paraId="1007684A" w14:textId="77777777" w:rsidR="00C443FC" w:rsidRPr="00C443FC" w:rsidRDefault="00C443FC" w:rsidP="00C443FC">
            <w:pPr>
              <w:ind w:right="57"/>
              <w:jc w:val="center"/>
              <w:rPr>
                <w:rFonts w:eastAsia="Calibri"/>
                <w:sz w:val="20"/>
                <w:szCs w:val="20"/>
                <w:lang w:eastAsia="en-US"/>
              </w:rPr>
            </w:pPr>
          </w:p>
        </w:tc>
        <w:tc>
          <w:tcPr>
            <w:tcW w:w="1194" w:type="dxa"/>
            <w:tcBorders>
              <w:left w:val="single" w:sz="4" w:space="0" w:color="auto"/>
              <w:bottom w:val="single" w:sz="4" w:space="0" w:color="auto"/>
              <w:right w:val="single" w:sz="4" w:space="0" w:color="auto"/>
            </w:tcBorders>
          </w:tcPr>
          <w:p w14:paraId="0738A82B" w14:textId="77777777" w:rsidR="00C443FC" w:rsidRPr="00C443FC" w:rsidRDefault="00C443FC" w:rsidP="00C443FC">
            <w:pPr>
              <w:ind w:right="57"/>
              <w:jc w:val="center"/>
              <w:rPr>
                <w:rFonts w:eastAsia="Calibri"/>
                <w:sz w:val="20"/>
                <w:szCs w:val="20"/>
                <w:lang w:eastAsia="en-US"/>
              </w:rPr>
            </w:pPr>
          </w:p>
        </w:tc>
        <w:tc>
          <w:tcPr>
            <w:tcW w:w="1174" w:type="dxa"/>
            <w:tcBorders>
              <w:left w:val="single" w:sz="4" w:space="0" w:color="auto"/>
              <w:bottom w:val="single" w:sz="4" w:space="0" w:color="auto"/>
              <w:right w:val="single" w:sz="4" w:space="0" w:color="auto"/>
            </w:tcBorders>
          </w:tcPr>
          <w:p w14:paraId="23981F76" w14:textId="77777777" w:rsidR="00C443FC" w:rsidRPr="00C443FC" w:rsidRDefault="00C443FC" w:rsidP="00C443FC">
            <w:pPr>
              <w:ind w:right="284"/>
              <w:jc w:val="right"/>
              <w:rPr>
                <w:rFonts w:eastAsia="Calibri"/>
                <w:sz w:val="20"/>
                <w:szCs w:val="20"/>
                <w:lang w:eastAsia="en-US"/>
              </w:rPr>
            </w:pPr>
            <w:r w:rsidRPr="00C443FC">
              <w:rPr>
                <w:rFonts w:eastAsia="Calibri"/>
                <w:sz w:val="20"/>
                <w:szCs w:val="20"/>
                <w:lang w:eastAsia="en-US"/>
              </w:rPr>
              <w:t>7.08</w:t>
            </w:r>
          </w:p>
        </w:tc>
      </w:tr>
      <w:tr w:rsidR="00C443FC" w:rsidRPr="00C443FC" w14:paraId="6ABBA02F" w14:textId="77777777" w:rsidTr="007B7E95">
        <w:trPr>
          <w:jc w:val="center"/>
        </w:trPr>
        <w:tc>
          <w:tcPr>
            <w:tcW w:w="7602" w:type="dxa"/>
            <w:gridSpan w:val="5"/>
            <w:tcBorders>
              <w:left w:val="nil"/>
              <w:bottom w:val="nil"/>
              <w:right w:val="nil"/>
            </w:tcBorders>
          </w:tcPr>
          <w:p w14:paraId="5E332267" w14:textId="77777777" w:rsidR="00C443FC" w:rsidRPr="00C443FC" w:rsidRDefault="00C443FC" w:rsidP="00C443FC">
            <w:pPr>
              <w:jc w:val="both"/>
              <w:rPr>
                <w:rFonts w:eastAsia="Calibri"/>
                <w:sz w:val="20"/>
                <w:szCs w:val="20"/>
                <w:lang w:eastAsia="en-US"/>
              </w:rPr>
            </w:pPr>
            <w:r w:rsidRPr="00C443FC">
              <w:rPr>
                <w:rFonts w:eastAsia="Calibri"/>
                <w:sz w:val="20"/>
                <w:szCs w:val="20"/>
                <w:lang w:eastAsia="en-US"/>
              </w:rPr>
              <w:t>FUENTE: Banco de México.</w:t>
            </w:r>
          </w:p>
        </w:tc>
      </w:tr>
    </w:tbl>
    <w:p w14:paraId="3AFD11F4" w14:textId="77777777" w:rsidR="00C443FC" w:rsidRPr="00C443FC" w:rsidRDefault="00C443FC" w:rsidP="00C443FC">
      <w:pPr>
        <w:spacing w:after="360" w:line="360" w:lineRule="auto"/>
        <w:ind w:right="-159"/>
        <w:jc w:val="both"/>
        <w:rPr>
          <w:rFonts w:eastAsia="Calibri"/>
          <w:sz w:val="26"/>
          <w:szCs w:val="26"/>
          <w:lang w:eastAsia="en-US"/>
        </w:rPr>
      </w:pPr>
    </w:p>
    <w:p w14:paraId="19A6802E" w14:textId="77777777" w:rsidR="00C443FC" w:rsidRPr="00C443FC" w:rsidRDefault="00C443FC" w:rsidP="00C443FC">
      <w:pPr>
        <w:spacing w:after="360" w:line="360" w:lineRule="auto"/>
        <w:ind w:right="-159"/>
        <w:jc w:val="both"/>
        <w:rPr>
          <w:rFonts w:eastAsia="Calibri"/>
          <w:sz w:val="26"/>
          <w:szCs w:val="26"/>
          <w:lang w:eastAsia="en-US"/>
        </w:rPr>
      </w:pPr>
      <w:r w:rsidRPr="00C443FC">
        <w:rPr>
          <w:rFonts w:eastAsia="Calibri"/>
          <w:sz w:val="26"/>
          <w:szCs w:val="26"/>
          <w:lang w:eastAsia="en-US"/>
        </w:rPr>
        <w:t xml:space="preserve">Finalmente, en la gráfica </w:t>
      </w:r>
      <w:r w:rsidRPr="00C443FC">
        <w:rPr>
          <w:rFonts w:eastAsia="Calibri"/>
          <w:i/>
          <w:sz w:val="26"/>
          <w:szCs w:val="26"/>
          <w:lang w:eastAsia="en-US"/>
        </w:rPr>
        <w:t>Tasa de crecimiento anual del PIB</w:t>
      </w:r>
      <w:r w:rsidRPr="00C443FC">
        <w:rPr>
          <w:rFonts w:eastAsia="Calibri"/>
          <w:sz w:val="26"/>
          <w:szCs w:val="26"/>
          <w:lang w:eastAsia="en-US"/>
        </w:rPr>
        <w:t xml:space="preserve"> se muestra la probabilidad que los analistas asignaron a que la tasa de crecimiento anual del PIB para  2015 y 2016 se ubique dentro de distintos intervalos. Como puede observarse, para 2015 los analistas aumentaron la probabilidad asignada al intervalo de 2.5 a 2.9%, al tiempo que disminuyeron la probabilidad otorgada a los intervalos de 3.0 a 3.4% y de 3.5 a 3.9%. El intervalo de crecimiento entre 3.0 y 3.4% es al que se le continuó asignando la mayor probabilidad, aunque en esta ocasión ésta es cercana a la otorgada al intervalo de 2.5 a 2.9%. Para 2016, los especialistas continuaron asignando la mayor probabilidad al intervalo de 3.5 a 3.9%, si bien disminuyeron la probabilidad otorgada al intervalo de 4.0 a 4.4% y aumentaron la probabilidad asignada al intervalo de 3.0 a 3.4 por ciento. </w:t>
      </w:r>
    </w:p>
    <w:p w14:paraId="60FBCCB7" w14:textId="7C22CD97" w:rsidR="00D27C30" w:rsidRPr="00D27C30" w:rsidRDefault="00D27C30" w:rsidP="00D27C30">
      <w:pPr>
        <w:spacing w:after="160" w:line="259" w:lineRule="auto"/>
        <w:jc w:val="center"/>
        <w:rPr>
          <w:rFonts w:ascii="Calibri" w:eastAsia="Calibri" w:hAnsi="Calibri"/>
          <w:sz w:val="22"/>
          <w:szCs w:val="22"/>
          <w:lang w:eastAsia="en-US"/>
        </w:rPr>
      </w:pPr>
      <w:r w:rsidRPr="00D27C30">
        <w:rPr>
          <w:rFonts w:ascii="Calibri" w:eastAsia="Calibri" w:hAnsi="Calibri"/>
          <w:sz w:val="22"/>
          <w:szCs w:val="22"/>
          <w:lang w:eastAsia="en-US"/>
        </w:rPr>
        <w:lastRenderedPageBreak/>
        <w:fldChar w:fldCharType="begin"/>
      </w:r>
      <w:r w:rsidRPr="00D27C30">
        <w:rPr>
          <w:rFonts w:ascii="Calibri" w:eastAsia="Calibri" w:hAnsi="Calibri"/>
          <w:sz w:val="22"/>
          <w:szCs w:val="22"/>
          <w:lang w:eastAsia="en-US"/>
        </w:rPr>
        <w:instrText xml:space="preserve"> LINK PowerPoint.Slide.8 "D:\\2015\\MARZO 2014\\GRÁFICAS EN POWER POINT\\14.-GRÁFICAS DE EXPECTATIVAS II.pptx!484" "" \a \p </w:instrText>
      </w:r>
      <w:r w:rsidRPr="00D27C30">
        <w:rPr>
          <w:rFonts w:ascii="Calibri" w:eastAsia="Calibri" w:hAnsi="Calibri"/>
          <w:sz w:val="22"/>
          <w:szCs w:val="22"/>
          <w:lang w:eastAsia="en-US"/>
        </w:rPr>
        <w:fldChar w:fldCharType="separate"/>
      </w:r>
      <w:r w:rsidRPr="00D27C30">
        <w:rPr>
          <w:rFonts w:ascii="Calibri" w:eastAsia="Calibri" w:hAnsi="Calibri"/>
          <w:noProof/>
          <w:sz w:val="22"/>
          <w:szCs w:val="22"/>
          <w:lang w:eastAsia="es-MX"/>
        </w:rPr>
        <w:drawing>
          <wp:inline distT="0" distB="0" distL="0" distR="0" wp14:anchorId="44838C08" wp14:editId="341DF3E8">
            <wp:extent cx="4559935" cy="3218815"/>
            <wp:effectExtent l="0" t="0" r="0" b="635"/>
            <wp:docPr id="1514" name="Imagen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02"/>
                    <pic:cNvPicPr>
                      <a:picLocks noChangeAspect="1" noChangeArrowheads="1"/>
                    </pic:cNvPicPr>
                  </pic:nvPicPr>
                  <pic:blipFill>
                    <a:blip r:embed="rId258" cstate="print">
                      <a:extLst>
                        <a:ext uri="{28A0092B-C50C-407E-A947-70E740481C1C}">
                          <a14:useLocalDpi xmlns:a14="http://schemas.microsoft.com/office/drawing/2010/main" val="0"/>
                        </a:ext>
                      </a:extLst>
                    </a:blip>
                    <a:srcRect b="6046"/>
                    <a:stretch>
                      <a:fillRect/>
                    </a:stretch>
                  </pic:blipFill>
                  <pic:spPr bwMode="auto">
                    <a:xfrm>
                      <a:off x="0" y="0"/>
                      <a:ext cx="4559935" cy="3218815"/>
                    </a:xfrm>
                    <a:prstGeom prst="rect">
                      <a:avLst/>
                    </a:prstGeom>
                    <a:noFill/>
                    <a:ln>
                      <a:noFill/>
                    </a:ln>
                  </pic:spPr>
                </pic:pic>
              </a:graphicData>
            </a:graphic>
          </wp:inline>
        </w:drawing>
      </w:r>
      <w:r w:rsidRPr="00D27C30">
        <w:rPr>
          <w:rFonts w:ascii="Calibri" w:eastAsia="Calibri" w:hAnsi="Calibri"/>
          <w:sz w:val="22"/>
          <w:szCs w:val="22"/>
          <w:lang w:eastAsia="en-US"/>
        </w:rPr>
        <w:fldChar w:fldCharType="end"/>
      </w:r>
    </w:p>
    <w:p w14:paraId="36E96E75" w14:textId="77777777" w:rsidR="00D27C30" w:rsidRPr="00D27C30" w:rsidRDefault="00D27C30" w:rsidP="00D27C30">
      <w:pPr>
        <w:spacing w:after="160" w:line="259" w:lineRule="auto"/>
        <w:jc w:val="center"/>
        <w:rPr>
          <w:rFonts w:ascii="Calibri" w:eastAsia="Calibri" w:hAnsi="Calibri"/>
          <w:sz w:val="22"/>
          <w:szCs w:val="22"/>
          <w:lang w:eastAsia="en-US"/>
        </w:rPr>
      </w:pPr>
    </w:p>
    <w:p w14:paraId="343F6083" w14:textId="31F09A15" w:rsidR="00D27C30" w:rsidRPr="00D27C30" w:rsidRDefault="00D27C30" w:rsidP="00D27C30">
      <w:pPr>
        <w:spacing w:after="160" w:line="259" w:lineRule="auto"/>
        <w:jc w:val="center"/>
        <w:rPr>
          <w:rFonts w:ascii="Calibri" w:eastAsia="Calibri" w:hAnsi="Calibri"/>
          <w:sz w:val="22"/>
          <w:szCs w:val="22"/>
          <w:lang w:eastAsia="en-US"/>
        </w:rPr>
      </w:pPr>
      <w:r w:rsidRPr="00D27C30">
        <w:rPr>
          <w:rFonts w:ascii="Calibri" w:eastAsia="Calibri" w:hAnsi="Calibri"/>
          <w:sz w:val="22"/>
          <w:szCs w:val="22"/>
          <w:lang w:eastAsia="en-US"/>
        </w:rPr>
        <w:fldChar w:fldCharType="begin"/>
      </w:r>
      <w:r w:rsidRPr="00D27C30">
        <w:rPr>
          <w:rFonts w:ascii="Calibri" w:eastAsia="Calibri" w:hAnsi="Calibri"/>
          <w:sz w:val="22"/>
          <w:szCs w:val="22"/>
          <w:lang w:eastAsia="en-US"/>
        </w:rPr>
        <w:instrText xml:space="preserve"> LINK PowerPoint.Slide.8 "D:\\2015\\MARZO 2014\\GRÁFICAS EN POWER POINT\\14.-GRÁFICAS DE EXPECTATIVAS II.pptx!601" "" \a \p </w:instrText>
      </w:r>
      <w:r w:rsidRPr="00D27C30">
        <w:rPr>
          <w:rFonts w:ascii="Calibri" w:eastAsia="Calibri" w:hAnsi="Calibri"/>
          <w:sz w:val="22"/>
          <w:szCs w:val="22"/>
          <w:lang w:eastAsia="en-US"/>
        </w:rPr>
        <w:fldChar w:fldCharType="separate"/>
      </w:r>
      <w:r w:rsidRPr="00D27C30">
        <w:rPr>
          <w:rFonts w:ascii="Calibri" w:eastAsia="Calibri" w:hAnsi="Calibri"/>
          <w:noProof/>
          <w:sz w:val="22"/>
          <w:szCs w:val="22"/>
          <w:lang w:eastAsia="es-MX"/>
        </w:rPr>
        <w:drawing>
          <wp:inline distT="0" distB="0" distL="0" distR="0" wp14:anchorId="059FDD5C" wp14:editId="54C8AF0E">
            <wp:extent cx="4392930" cy="3293110"/>
            <wp:effectExtent l="0" t="0" r="7620" b="2540"/>
            <wp:docPr id="1513" name="Imagen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03"/>
                    <pic:cNvPicPr>
                      <a:picLocks noChangeAspect="1" noChangeArrowheads="1"/>
                    </pic:cNvPicPr>
                  </pic:nvPicPr>
                  <pic:blipFill>
                    <a:blip r:embed="rId259" cstate="print">
                      <a:extLst>
                        <a:ext uri="{28A0092B-C50C-407E-A947-70E740481C1C}">
                          <a14:useLocalDpi xmlns:a14="http://schemas.microsoft.com/office/drawing/2010/main" val="0"/>
                        </a:ext>
                      </a:extLst>
                    </a:blip>
                    <a:srcRect l="3786" b="3783"/>
                    <a:stretch>
                      <a:fillRect/>
                    </a:stretch>
                  </pic:blipFill>
                  <pic:spPr bwMode="auto">
                    <a:xfrm>
                      <a:off x="0" y="0"/>
                      <a:ext cx="4392930" cy="3293110"/>
                    </a:xfrm>
                    <a:prstGeom prst="rect">
                      <a:avLst/>
                    </a:prstGeom>
                    <a:noFill/>
                    <a:ln>
                      <a:noFill/>
                    </a:ln>
                  </pic:spPr>
                </pic:pic>
              </a:graphicData>
            </a:graphic>
          </wp:inline>
        </w:drawing>
      </w:r>
      <w:r w:rsidRPr="00D27C30">
        <w:rPr>
          <w:rFonts w:ascii="Calibri" w:eastAsia="Calibri" w:hAnsi="Calibri"/>
          <w:sz w:val="22"/>
          <w:szCs w:val="22"/>
          <w:lang w:eastAsia="en-US"/>
        </w:rPr>
        <w:fldChar w:fldCharType="end"/>
      </w:r>
    </w:p>
    <w:p w14:paraId="2D147B73" w14:textId="77777777" w:rsidR="00593607" w:rsidRDefault="00593607" w:rsidP="00C443FC">
      <w:pPr>
        <w:spacing w:after="360" w:line="360" w:lineRule="auto"/>
        <w:ind w:right="-159"/>
        <w:jc w:val="both"/>
        <w:rPr>
          <w:rFonts w:eastAsia="Calibri"/>
          <w:b/>
          <w:sz w:val="26"/>
          <w:szCs w:val="26"/>
          <w:lang w:eastAsia="en-US"/>
        </w:rPr>
      </w:pPr>
    </w:p>
    <w:p w14:paraId="05D0A9CC" w14:textId="77777777" w:rsidR="00593607" w:rsidRDefault="00593607" w:rsidP="00C443FC">
      <w:pPr>
        <w:spacing w:after="360" w:line="360" w:lineRule="auto"/>
        <w:ind w:right="-159"/>
        <w:jc w:val="both"/>
        <w:rPr>
          <w:rFonts w:eastAsia="Calibri"/>
          <w:b/>
          <w:sz w:val="26"/>
          <w:szCs w:val="26"/>
          <w:lang w:eastAsia="en-US"/>
        </w:rPr>
      </w:pPr>
    </w:p>
    <w:p w14:paraId="310EA15F" w14:textId="77777777" w:rsidR="00593607" w:rsidRDefault="00593607" w:rsidP="00C443FC">
      <w:pPr>
        <w:spacing w:after="360" w:line="360" w:lineRule="auto"/>
        <w:ind w:right="-159"/>
        <w:jc w:val="both"/>
        <w:rPr>
          <w:rFonts w:eastAsia="Calibri"/>
          <w:b/>
          <w:sz w:val="26"/>
          <w:szCs w:val="26"/>
          <w:lang w:eastAsia="en-US"/>
        </w:rPr>
      </w:pPr>
    </w:p>
    <w:p w14:paraId="6BB1A773" w14:textId="77777777" w:rsidR="00C443FC" w:rsidRPr="00C443FC" w:rsidRDefault="00C443FC" w:rsidP="00C443FC">
      <w:pPr>
        <w:spacing w:after="360" w:line="360" w:lineRule="auto"/>
        <w:ind w:right="-159"/>
        <w:jc w:val="both"/>
        <w:rPr>
          <w:rFonts w:eastAsia="Calibri"/>
          <w:b/>
          <w:sz w:val="26"/>
          <w:szCs w:val="26"/>
          <w:lang w:eastAsia="en-US"/>
        </w:rPr>
      </w:pPr>
      <w:r w:rsidRPr="00C443FC">
        <w:rPr>
          <w:rFonts w:eastAsia="Calibri"/>
          <w:b/>
          <w:sz w:val="26"/>
          <w:szCs w:val="26"/>
          <w:lang w:eastAsia="en-US"/>
        </w:rPr>
        <w:lastRenderedPageBreak/>
        <w:t>Tasa de interés</w:t>
      </w:r>
    </w:p>
    <w:p w14:paraId="1971D9F2" w14:textId="77777777" w:rsidR="00C443FC" w:rsidRPr="00C443FC" w:rsidRDefault="00C443FC" w:rsidP="00C443FC">
      <w:pPr>
        <w:spacing w:after="360" w:line="360" w:lineRule="auto"/>
        <w:ind w:right="-159"/>
        <w:jc w:val="both"/>
        <w:rPr>
          <w:rFonts w:eastAsia="Calibri"/>
          <w:b/>
          <w:sz w:val="26"/>
          <w:szCs w:val="26"/>
          <w:lang w:eastAsia="en-US"/>
        </w:rPr>
      </w:pPr>
      <w:r w:rsidRPr="00C443FC">
        <w:rPr>
          <w:rFonts w:eastAsia="Calibri"/>
          <w:b/>
          <w:sz w:val="26"/>
          <w:szCs w:val="26"/>
          <w:lang w:eastAsia="en-US"/>
        </w:rPr>
        <w:t>A. Tasa de Fondeo Interbancario</w:t>
      </w:r>
    </w:p>
    <w:p w14:paraId="3FC2D36F" w14:textId="77777777" w:rsidR="00C443FC" w:rsidRPr="00C443FC" w:rsidRDefault="00C443FC" w:rsidP="00C443FC">
      <w:pPr>
        <w:spacing w:after="360" w:line="360" w:lineRule="auto"/>
        <w:ind w:right="-159"/>
        <w:jc w:val="both"/>
        <w:rPr>
          <w:rFonts w:eastAsia="Calibri"/>
          <w:sz w:val="26"/>
          <w:szCs w:val="26"/>
          <w:lang w:eastAsia="en-US"/>
        </w:rPr>
      </w:pPr>
      <w:r w:rsidRPr="00C443FC">
        <w:rPr>
          <w:rFonts w:eastAsia="Calibri"/>
          <w:sz w:val="26"/>
          <w:szCs w:val="26"/>
          <w:lang w:eastAsia="en-US"/>
        </w:rPr>
        <w:t xml:space="preserve">Los analistas económicos prevén que en promedio el objetivo de Banxico para la tasa de fondeo interbancario permanezca en niveles cercanos al objetivo actual de 3.0% hasta el segundo trimestre de 2015. Del tercer trimestre de 2015 al cuarto de 2016, los especialistas anticipan en promedio una tasa objetivo mayor a la actual (ver la gráfica </w:t>
      </w:r>
      <w:r w:rsidRPr="00C443FC">
        <w:rPr>
          <w:rFonts w:eastAsia="Calibri"/>
          <w:i/>
          <w:sz w:val="26"/>
          <w:szCs w:val="26"/>
          <w:lang w:eastAsia="en-US"/>
        </w:rPr>
        <w:t>Evolución de las expectativas promedio para la Tasa de Fondeo Interbancario al final de cada trimestre</w:t>
      </w:r>
      <w:r w:rsidRPr="00C443FC">
        <w:rPr>
          <w:rFonts w:eastAsia="Calibri"/>
          <w:sz w:val="26"/>
          <w:szCs w:val="26"/>
          <w:lang w:eastAsia="en-US"/>
        </w:rPr>
        <w:t xml:space="preserve">). De manera relacionada, en la gráfica </w:t>
      </w:r>
      <w:r w:rsidRPr="00C443FC">
        <w:rPr>
          <w:rFonts w:eastAsia="Calibri"/>
          <w:i/>
          <w:sz w:val="26"/>
          <w:szCs w:val="26"/>
          <w:lang w:eastAsia="en-US"/>
        </w:rPr>
        <w:t>Porcentaje de analistas que consideran que la Tasa de Fondeo Interbancario se encontrará por encima, en el mismo nivel o por debajo de la tasa objetivo actual en cada trimestre,</w:t>
      </w:r>
      <w:r w:rsidRPr="00C443FC">
        <w:rPr>
          <w:rFonts w:eastAsia="Calibri"/>
          <w:sz w:val="26"/>
          <w:szCs w:val="26"/>
          <w:lang w:eastAsia="en-US"/>
        </w:rPr>
        <w:t xml:space="preserve"> se muestra el porcentaje de analistas que considera que la tasa se encontrará estrictamente por encima, en el mismo nivel o por debajo de la tasa objetivo actual en el trimestre indicado. Se aprecia que para el primer y segundo trimestres de 2015, la mayoría de los analistas espera que la tasa de fondeo interbancario sea igual a la tasa objetivo actual. Para el tercer y cuarto trimestre de 2015, la mayoría de los analistas anticipa una tasa de fondeo interbancario por encima de la tasa objetivo actual y, a partir del primer trimestre de 2016, todos prevén una tasa de fondeo interbancario por encima de la tasa objetivo actual. Ningún analista anticipa una tasa por debajo del objetivo actual en el horizonte de pronósticos.</w:t>
      </w:r>
    </w:p>
    <w:p w14:paraId="30361DD8" w14:textId="77777777" w:rsidR="00C443FC" w:rsidRPr="00C443FC" w:rsidRDefault="00C443FC" w:rsidP="00C443FC">
      <w:pPr>
        <w:spacing w:after="360" w:line="360" w:lineRule="auto"/>
        <w:ind w:right="-159"/>
        <w:jc w:val="both"/>
        <w:rPr>
          <w:rFonts w:eastAsia="Calibri"/>
          <w:sz w:val="26"/>
          <w:szCs w:val="26"/>
          <w:lang w:eastAsia="en-US"/>
        </w:rPr>
      </w:pPr>
      <w:r w:rsidRPr="00C443FC">
        <w:rPr>
          <w:rFonts w:eastAsia="Calibri"/>
          <w:sz w:val="26"/>
          <w:szCs w:val="26"/>
          <w:lang w:eastAsia="en-US"/>
        </w:rPr>
        <w:t>Es importante recordar que estos resultados corresponden a las expectativas de los consultores entrevistados y no condicionan de modo alguno las decisiones de la Junta de Gobierno de Banxico.</w:t>
      </w:r>
    </w:p>
    <w:p w14:paraId="12F08051" w14:textId="2AD27DEB" w:rsidR="00D27C30" w:rsidRPr="00D27C30" w:rsidRDefault="00D27C30" w:rsidP="00D27C30">
      <w:pPr>
        <w:spacing w:after="160" w:line="259" w:lineRule="auto"/>
        <w:jc w:val="center"/>
        <w:rPr>
          <w:rFonts w:ascii="Calibri" w:eastAsia="Calibri" w:hAnsi="Calibri"/>
          <w:sz w:val="22"/>
          <w:szCs w:val="22"/>
          <w:lang w:eastAsia="en-US"/>
        </w:rPr>
      </w:pPr>
      <w:r w:rsidRPr="00D27C30">
        <w:rPr>
          <w:rFonts w:ascii="Calibri" w:eastAsia="Calibri" w:hAnsi="Calibri"/>
          <w:sz w:val="22"/>
          <w:szCs w:val="22"/>
          <w:lang w:eastAsia="en-US"/>
        </w:rPr>
        <w:lastRenderedPageBreak/>
        <w:fldChar w:fldCharType="begin"/>
      </w:r>
      <w:r w:rsidRPr="00D27C30">
        <w:rPr>
          <w:rFonts w:ascii="Calibri" w:eastAsia="Calibri" w:hAnsi="Calibri"/>
          <w:sz w:val="22"/>
          <w:szCs w:val="22"/>
          <w:lang w:eastAsia="en-US"/>
        </w:rPr>
        <w:instrText xml:space="preserve"> LINK PowerPoint.Slide.8 "D:\\2015\\MARZO 2014\\GRÁFICAS EN POWER POINT\\14.-GRÁFICAS DE EXPECTATIVAS II.pptx!562" "" \a \p </w:instrText>
      </w:r>
      <w:r w:rsidRPr="00D27C30">
        <w:rPr>
          <w:rFonts w:ascii="Calibri" w:eastAsia="Calibri" w:hAnsi="Calibri"/>
          <w:sz w:val="22"/>
          <w:szCs w:val="22"/>
          <w:lang w:eastAsia="en-US"/>
        </w:rPr>
        <w:fldChar w:fldCharType="separate"/>
      </w:r>
      <w:r w:rsidRPr="00D27C30">
        <w:rPr>
          <w:rFonts w:ascii="Calibri" w:eastAsia="Calibri" w:hAnsi="Calibri"/>
          <w:noProof/>
          <w:sz w:val="22"/>
          <w:szCs w:val="22"/>
          <w:lang w:eastAsia="es-MX"/>
        </w:rPr>
        <w:drawing>
          <wp:inline distT="0" distB="0" distL="0" distR="0" wp14:anchorId="219D705C" wp14:editId="20F67AD2">
            <wp:extent cx="4559935" cy="3422650"/>
            <wp:effectExtent l="0" t="0" r="0" b="6350"/>
            <wp:docPr id="1516" name="Imagen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09"/>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4559935" cy="3422650"/>
                    </a:xfrm>
                    <a:prstGeom prst="rect">
                      <a:avLst/>
                    </a:prstGeom>
                    <a:noFill/>
                    <a:ln>
                      <a:noFill/>
                    </a:ln>
                  </pic:spPr>
                </pic:pic>
              </a:graphicData>
            </a:graphic>
          </wp:inline>
        </w:drawing>
      </w:r>
      <w:r w:rsidRPr="00D27C30">
        <w:rPr>
          <w:rFonts w:ascii="Calibri" w:eastAsia="Calibri" w:hAnsi="Calibri"/>
          <w:sz w:val="22"/>
          <w:szCs w:val="22"/>
          <w:lang w:eastAsia="en-US"/>
        </w:rPr>
        <w:fldChar w:fldCharType="end"/>
      </w:r>
    </w:p>
    <w:p w14:paraId="2F77534E" w14:textId="77777777" w:rsidR="00D27C30" w:rsidRPr="00D27C30" w:rsidRDefault="00D27C30" w:rsidP="00D27C30">
      <w:pPr>
        <w:spacing w:after="160" w:line="259" w:lineRule="auto"/>
        <w:jc w:val="center"/>
        <w:rPr>
          <w:rFonts w:ascii="Calibri" w:eastAsia="Calibri" w:hAnsi="Calibri"/>
          <w:sz w:val="22"/>
          <w:szCs w:val="22"/>
          <w:lang w:eastAsia="en-US"/>
        </w:rPr>
      </w:pPr>
    </w:p>
    <w:p w14:paraId="0FC3B3CD" w14:textId="77777777" w:rsidR="00D27C30" w:rsidRPr="00D27C30" w:rsidRDefault="00D27C30" w:rsidP="00D27C30">
      <w:pPr>
        <w:spacing w:after="160" w:line="259" w:lineRule="auto"/>
        <w:jc w:val="center"/>
        <w:rPr>
          <w:rFonts w:ascii="Calibri" w:eastAsia="Calibri" w:hAnsi="Calibri"/>
          <w:sz w:val="22"/>
          <w:szCs w:val="22"/>
          <w:lang w:eastAsia="en-US"/>
        </w:rPr>
      </w:pPr>
    </w:p>
    <w:p w14:paraId="61D5787E" w14:textId="174F3D69" w:rsidR="00D27C30" w:rsidRPr="00D27C30" w:rsidRDefault="00D27C30" w:rsidP="00D27C30">
      <w:pPr>
        <w:spacing w:after="160" w:line="259" w:lineRule="auto"/>
        <w:jc w:val="center"/>
        <w:rPr>
          <w:rFonts w:ascii="Calibri" w:eastAsia="Calibri" w:hAnsi="Calibri"/>
          <w:sz w:val="22"/>
          <w:szCs w:val="22"/>
          <w:lang w:eastAsia="en-US"/>
        </w:rPr>
      </w:pPr>
      <w:r w:rsidRPr="00D27C30">
        <w:rPr>
          <w:rFonts w:ascii="Calibri" w:eastAsia="Calibri" w:hAnsi="Calibri"/>
          <w:sz w:val="22"/>
          <w:szCs w:val="22"/>
          <w:lang w:eastAsia="en-US"/>
        </w:rPr>
        <w:fldChar w:fldCharType="begin"/>
      </w:r>
      <w:r w:rsidRPr="00D27C30">
        <w:rPr>
          <w:rFonts w:ascii="Calibri" w:eastAsia="Calibri" w:hAnsi="Calibri"/>
          <w:sz w:val="22"/>
          <w:szCs w:val="22"/>
          <w:lang w:eastAsia="en-US"/>
        </w:rPr>
        <w:instrText xml:space="preserve"> LINK PowerPoint.Slide.8 "D:\\2015\\MARZO 2014\\GRÁFICAS EN POWER POINT\\14.-GRÁFICAS DE EXPECTATIVAS II.pptx!563" "" \a \p </w:instrText>
      </w:r>
      <w:r w:rsidRPr="00D27C30">
        <w:rPr>
          <w:rFonts w:ascii="Calibri" w:eastAsia="Calibri" w:hAnsi="Calibri"/>
          <w:sz w:val="22"/>
          <w:szCs w:val="22"/>
          <w:lang w:eastAsia="en-US"/>
        </w:rPr>
        <w:fldChar w:fldCharType="separate"/>
      </w:r>
      <w:r w:rsidRPr="00D27C30">
        <w:rPr>
          <w:rFonts w:ascii="Calibri" w:eastAsia="Calibri" w:hAnsi="Calibri"/>
          <w:noProof/>
          <w:sz w:val="22"/>
          <w:szCs w:val="22"/>
          <w:lang w:eastAsia="es-MX"/>
        </w:rPr>
        <w:drawing>
          <wp:inline distT="0" distB="0" distL="0" distR="0" wp14:anchorId="2FEC2FBF" wp14:editId="721B2B0B">
            <wp:extent cx="3966210" cy="3175635"/>
            <wp:effectExtent l="0" t="0" r="0" b="5715"/>
            <wp:docPr id="1515" name="Imagen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10"/>
                    <pic:cNvPicPr>
                      <a:picLocks noChangeAspect="1" noChangeArrowheads="1"/>
                    </pic:cNvPicPr>
                  </pic:nvPicPr>
                  <pic:blipFill>
                    <a:blip r:embed="rId261" cstate="print">
                      <a:extLst>
                        <a:ext uri="{28A0092B-C50C-407E-A947-70E740481C1C}">
                          <a14:useLocalDpi xmlns:a14="http://schemas.microsoft.com/office/drawing/2010/main" val="0"/>
                        </a:ext>
                      </a:extLst>
                    </a:blip>
                    <a:srcRect l="7375" r="5678" b="7306"/>
                    <a:stretch>
                      <a:fillRect/>
                    </a:stretch>
                  </pic:blipFill>
                  <pic:spPr bwMode="auto">
                    <a:xfrm>
                      <a:off x="0" y="0"/>
                      <a:ext cx="3966210" cy="3175635"/>
                    </a:xfrm>
                    <a:prstGeom prst="rect">
                      <a:avLst/>
                    </a:prstGeom>
                    <a:noFill/>
                    <a:ln>
                      <a:noFill/>
                    </a:ln>
                  </pic:spPr>
                </pic:pic>
              </a:graphicData>
            </a:graphic>
          </wp:inline>
        </w:drawing>
      </w:r>
      <w:r w:rsidRPr="00D27C30">
        <w:rPr>
          <w:rFonts w:ascii="Calibri" w:eastAsia="Calibri" w:hAnsi="Calibri"/>
          <w:sz w:val="22"/>
          <w:szCs w:val="22"/>
          <w:lang w:eastAsia="en-US"/>
        </w:rPr>
        <w:fldChar w:fldCharType="end"/>
      </w:r>
    </w:p>
    <w:p w14:paraId="557C5C61" w14:textId="77777777" w:rsidR="00D27C30" w:rsidRPr="00D27C30" w:rsidRDefault="00D27C30" w:rsidP="00D27C30">
      <w:pPr>
        <w:spacing w:after="160" w:line="259" w:lineRule="auto"/>
        <w:jc w:val="center"/>
        <w:rPr>
          <w:rFonts w:ascii="Calibri" w:eastAsia="Calibri" w:hAnsi="Calibri"/>
          <w:sz w:val="22"/>
          <w:szCs w:val="22"/>
          <w:lang w:eastAsia="en-US"/>
        </w:rPr>
      </w:pPr>
    </w:p>
    <w:p w14:paraId="5E36108A" w14:textId="77777777" w:rsidR="00D27C30" w:rsidRDefault="00D27C30" w:rsidP="00D27C30">
      <w:pPr>
        <w:spacing w:after="360" w:line="360" w:lineRule="auto"/>
        <w:ind w:right="-159"/>
        <w:jc w:val="center"/>
        <w:rPr>
          <w:rFonts w:eastAsia="Calibri"/>
          <w:sz w:val="26"/>
          <w:szCs w:val="26"/>
          <w:lang w:eastAsia="en-US"/>
        </w:rPr>
      </w:pPr>
    </w:p>
    <w:p w14:paraId="1C287D07" w14:textId="77777777" w:rsidR="00C443FC" w:rsidRPr="00C443FC" w:rsidRDefault="00C443FC" w:rsidP="00C443FC">
      <w:pPr>
        <w:spacing w:after="360" w:line="360" w:lineRule="auto"/>
        <w:ind w:right="-159"/>
        <w:jc w:val="both"/>
        <w:rPr>
          <w:rFonts w:eastAsia="Calibri"/>
          <w:b/>
          <w:sz w:val="26"/>
          <w:szCs w:val="26"/>
          <w:lang w:eastAsia="en-US"/>
        </w:rPr>
      </w:pPr>
      <w:r w:rsidRPr="00C443FC">
        <w:rPr>
          <w:rFonts w:eastAsia="Calibri"/>
          <w:b/>
          <w:sz w:val="26"/>
          <w:szCs w:val="26"/>
          <w:lang w:eastAsia="en-US"/>
        </w:rPr>
        <w:lastRenderedPageBreak/>
        <w:t>B. Tasa de interés del Cete a 28 días</w:t>
      </w:r>
    </w:p>
    <w:p w14:paraId="58512EC9" w14:textId="77777777" w:rsidR="00C443FC" w:rsidRPr="00C443FC" w:rsidRDefault="00C443FC" w:rsidP="00C443FC">
      <w:pPr>
        <w:spacing w:after="360" w:line="360" w:lineRule="auto"/>
        <w:ind w:right="-159"/>
        <w:jc w:val="both"/>
        <w:rPr>
          <w:rFonts w:eastAsia="Calibri"/>
          <w:sz w:val="26"/>
          <w:szCs w:val="26"/>
          <w:lang w:eastAsia="en-US"/>
        </w:rPr>
      </w:pPr>
      <w:r w:rsidRPr="00C443FC">
        <w:rPr>
          <w:rFonts w:eastAsia="Calibri"/>
          <w:sz w:val="26"/>
          <w:szCs w:val="26"/>
          <w:lang w:eastAsia="en-US"/>
        </w:rPr>
        <w:t>En relación con el nivel de la tasa de interés del Cete a 28 días,</w:t>
      </w:r>
      <w:r w:rsidRPr="00C443FC">
        <w:rPr>
          <w:rFonts w:ascii="Calibri" w:eastAsia="Calibri" w:hAnsi="Calibri"/>
          <w:sz w:val="22"/>
          <w:szCs w:val="22"/>
          <w:lang w:eastAsia="en-US"/>
        </w:rPr>
        <w:t xml:space="preserve"> </w:t>
      </w:r>
      <w:r w:rsidRPr="00C443FC">
        <w:rPr>
          <w:rFonts w:eastAsia="Calibri"/>
          <w:sz w:val="26"/>
          <w:szCs w:val="26"/>
          <w:lang w:eastAsia="en-US"/>
        </w:rPr>
        <w:t xml:space="preserve">las expectativas de la encuesta de febrero para el cierre de 2015 se mantuvieron en niveles similares a los de la encuesta del mes previo, en tanto que las correspondientes al cierre de 2016 se revisaron a la baja (ver el cuadro siguiente y las tres gráficas siguientes). </w:t>
      </w:r>
    </w:p>
    <w:tbl>
      <w:tblPr>
        <w:tblW w:w="0" w:type="auto"/>
        <w:jc w:val="center"/>
        <w:tblLook w:val="04A0" w:firstRow="1" w:lastRow="0" w:firstColumn="1" w:lastColumn="0" w:noHBand="0" w:noVBand="1"/>
      </w:tblPr>
      <w:tblGrid>
        <w:gridCol w:w="1860"/>
        <w:gridCol w:w="1194"/>
        <w:gridCol w:w="1194"/>
        <w:gridCol w:w="1194"/>
        <w:gridCol w:w="1194"/>
      </w:tblGrid>
      <w:tr w:rsidR="00C443FC" w:rsidRPr="00C443FC" w14:paraId="00E21051" w14:textId="77777777" w:rsidTr="00646128">
        <w:trPr>
          <w:jc w:val="center"/>
        </w:trPr>
        <w:tc>
          <w:tcPr>
            <w:tcW w:w="6636" w:type="dxa"/>
            <w:gridSpan w:val="5"/>
            <w:tcBorders>
              <w:top w:val="nil"/>
              <w:left w:val="nil"/>
              <w:bottom w:val="single" w:sz="4" w:space="0" w:color="auto"/>
              <w:right w:val="nil"/>
            </w:tcBorders>
          </w:tcPr>
          <w:p w14:paraId="3D7CCC88" w14:textId="77777777" w:rsidR="00C443FC" w:rsidRPr="00C443FC" w:rsidRDefault="00C443FC" w:rsidP="00C443FC">
            <w:pPr>
              <w:jc w:val="center"/>
              <w:rPr>
                <w:rFonts w:eastAsia="Calibri"/>
                <w:b/>
                <w:sz w:val="22"/>
                <w:szCs w:val="22"/>
                <w:lang w:eastAsia="en-US"/>
              </w:rPr>
            </w:pPr>
            <w:r w:rsidRPr="00C443FC">
              <w:rPr>
                <w:rFonts w:eastAsia="Calibri"/>
                <w:b/>
                <w:sz w:val="22"/>
                <w:szCs w:val="22"/>
                <w:lang w:eastAsia="en-US"/>
              </w:rPr>
              <w:t>EXPECTATIVAS DE TASA DE INTERÉS DEL CETE A 28 DÍAS</w:t>
            </w:r>
          </w:p>
          <w:p w14:paraId="77BF4C61" w14:textId="77777777" w:rsidR="00C443FC" w:rsidRPr="00C443FC" w:rsidRDefault="00C443FC" w:rsidP="00C443FC">
            <w:pPr>
              <w:jc w:val="center"/>
              <w:rPr>
                <w:rFonts w:eastAsia="Calibri"/>
                <w:b/>
                <w:sz w:val="22"/>
                <w:szCs w:val="22"/>
                <w:lang w:eastAsia="en-US"/>
              </w:rPr>
            </w:pPr>
            <w:r w:rsidRPr="00C443FC">
              <w:rPr>
                <w:rFonts w:eastAsia="Calibri"/>
                <w:b/>
                <w:sz w:val="22"/>
                <w:szCs w:val="22"/>
                <w:lang w:eastAsia="en-US"/>
              </w:rPr>
              <w:t>-Por ciento-</w:t>
            </w:r>
          </w:p>
        </w:tc>
      </w:tr>
      <w:tr w:rsidR="00C443FC" w:rsidRPr="00C443FC" w14:paraId="0C7F152F" w14:textId="77777777" w:rsidTr="00646128">
        <w:trPr>
          <w:jc w:val="center"/>
        </w:trPr>
        <w:tc>
          <w:tcPr>
            <w:tcW w:w="1860" w:type="dxa"/>
            <w:vMerge w:val="restart"/>
            <w:tcBorders>
              <w:top w:val="single" w:sz="4" w:space="0" w:color="auto"/>
              <w:left w:val="single" w:sz="4" w:space="0" w:color="auto"/>
              <w:bottom w:val="single" w:sz="4" w:space="0" w:color="auto"/>
              <w:right w:val="single" w:sz="4" w:space="0" w:color="auto"/>
            </w:tcBorders>
          </w:tcPr>
          <w:p w14:paraId="7B989644" w14:textId="77777777" w:rsidR="00C443FC" w:rsidRPr="00C443FC" w:rsidRDefault="00C443FC" w:rsidP="00C443FC">
            <w:pPr>
              <w:jc w:val="center"/>
              <w:rPr>
                <w:rFonts w:eastAsia="Calibri"/>
                <w:b/>
                <w:sz w:val="20"/>
                <w:szCs w:val="20"/>
                <w:lang w:eastAsia="en-US"/>
              </w:rPr>
            </w:pPr>
          </w:p>
        </w:tc>
        <w:tc>
          <w:tcPr>
            <w:tcW w:w="2388" w:type="dxa"/>
            <w:gridSpan w:val="2"/>
            <w:tcBorders>
              <w:top w:val="single" w:sz="4" w:space="0" w:color="auto"/>
              <w:left w:val="single" w:sz="4" w:space="0" w:color="auto"/>
              <w:bottom w:val="single" w:sz="4" w:space="0" w:color="auto"/>
              <w:right w:val="single" w:sz="4" w:space="0" w:color="auto"/>
            </w:tcBorders>
          </w:tcPr>
          <w:p w14:paraId="27C99A4E"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Media</w:t>
            </w:r>
          </w:p>
        </w:tc>
        <w:tc>
          <w:tcPr>
            <w:tcW w:w="2388" w:type="dxa"/>
            <w:gridSpan w:val="2"/>
            <w:tcBorders>
              <w:top w:val="single" w:sz="4" w:space="0" w:color="auto"/>
              <w:left w:val="single" w:sz="4" w:space="0" w:color="auto"/>
              <w:bottom w:val="single" w:sz="4" w:space="0" w:color="auto"/>
              <w:right w:val="single" w:sz="4" w:space="0" w:color="auto"/>
            </w:tcBorders>
          </w:tcPr>
          <w:p w14:paraId="7C315B0E"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Mediana</w:t>
            </w:r>
          </w:p>
        </w:tc>
      </w:tr>
      <w:tr w:rsidR="00C443FC" w:rsidRPr="00C443FC" w14:paraId="01638906" w14:textId="77777777" w:rsidTr="00646128">
        <w:trPr>
          <w:jc w:val="center"/>
        </w:trPr>
        <w:tc>
          <w:tcPr>
            <w:tcW w:w="1860" w:type="dxa"/>
            <w:vMerge/>
            <w:tcBorders>
              <w:top w:val="single" w:sz="4" w:space="0" w:color="auto"/>
              <w:left w:val="single" w:sz="4" w:space="0" w:color="auto"/>
              <w:bottom w:val="single" w:sz="4" w:space="0" w:color="auto"/>
              <w:right w:val="single" w:sz="4" w:space="0" w:color="auto"/>
            </w:tcBorders>
          </w:tcPr>
          <w:p w14:paraId="025C7189" w14:textId="77777777" w:rsidR="00C443FC" w:rsidRPr="00C443FC" w:rsidRDefault="00C443FC" w:rsidP="00C443FC">
            <w:pPr>
              <w:jc w:val="center"/>
              <w:rPr>
                <w:rFonts w:eastAsia="Calibri"/>
                <w:b/>
                <w:sz w:val="20"/>
                <w:szCs w:val="20"/>
                <w:lang w:eastAsia="en-US"/>
              </w:rPr>
            </w:pPr>
          </w:p>
        </w:tc>
        <w:tc>
          <w:tcPr>
            <w:tcW w:w="2388" w:type="dxa"/>
            <w:gridSpan w:val="2"/>
            <w:tcBorders>
              <w:top w:val="single" w:sz="4" w:space="0" w:color="auto"/>
              <w:left w:val="single" w:sz="4" w:space="0" w:color="auto"/>
              <w:bottom w:val="single" w:sz="4" w:space="0" w:color="auto"/>
              <w:right w:val="single" w:sz="4" w:space="0" w:color="auto"/>
            </w:tcBorders>
          </w:tcPr>
          <w:p w14:paraId="2F7C56DC"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Encuesta</w:t>
            </w:r>
          </w:p>
        </w:tc>
        <w:tc>
          <w:tcPr>
            <w:tcW w:w="2388" w:type="dxa"/>
            <w:gridSpan w:val="2"/>
            <w:tcBorders>
              <w:top w:val="single" w:sz="4" w:space="0" w:color="auto"/>
              <w:left w:val="single" w:sz="4" w:space="0" w:color="auto"/>
              <w:bottom w:val="single" w:sz="4" w:space="0" w:color="auto"/>
              <w:right w:val="single" w:sz="4" w:space="0" w:color="auto"/>
            </w:tcBorders>
          </w:tcPr>
          <w:p w14:paraId="501CF157"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Encuesta</w:t>
            </w:r>
          </w:p>
        </w:tc>
      </w:tr>
      <w:tr w:rsidR="00C443FC" w:rsidRPr="00C443FC" w14:paraId="0851C511" w14:textId="77777777" w:rsidTr="00646128">
        <w:trPr>
          <w:jc w:val="center"/>
        </w:trPr>
        <w:tc>
          <w:tcPr>
            <w:tcW w:w="1860" w:type="dxa"/>
            <w:vMerge/>
            <w:tcBorders>
              <w:top w:val="single" w:sz="4" w:space="0" w:color="auto"/>
              <w:left w:val="single" w:sz="4" w:space="0" w:color="auto"/>
              <w:bottom w:val="single" w:sz="4" w:space="0" w:color="auto"/>
              <w:right w:val="single" w:sz="4" w:space="0" w:color="auto"/>
            </w:tcBorders>
          </w:tcPr>
          <w:p w14:paraId="628C6CAA" w14:textId="77777777" w:rsidR="00C443FC" w:rsidRPr="00C443FC" w:rsidRDefault="00C443FC" w:rsidP="00C443FC">
            <w:pPr>
              <w:jc w:val="center"/>
              <w:rPr>
                <w:rFonts w:eastAsia="Calibri"/>
                <w:b/>
                <w:sz w:val="20"/>
                <w:szCs w:val="20"/>
                <w:lang w:eastAsia="en-US"/>
              </w:rPr>
            </w:pPr>
          </w:p>
        </w:tc>
        <w:tc>
          <w:tcPr>
            <w:tcW w:w="1194" w:type="dxa"/>
            <w:tcBorders>
              <w:top w:val="single" w:sz="4" w:space="0" w:color="auto"/>
              <w:left w:val="single" w:sz="4" w:space="0" w:color="auto"/>
              <w:bottom w:val="single" w:sz="4" w:space="0" w:color="auto"/>
              <w:right w:val="single" w:sz="4" w:space="0" w:color="auto"/>
            </w:tcBorders>
          </w:tcPr>
          <w:p w14:paraId="4031AC85"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Enero</w:t>
            </w:r>
          </w:p>
        </w:tc>
        <w:tc>
          <w:tcPr>
            <w:tcW w:w="1194" w:type="dxa"/>
            <w:tcBorders>
              <w:top w:val="single" w:sz="4" w:space="0" w:color="auto"/>
              <w:left w:val="single" w:sz="4" w:space="0" w:color="auto"/>
              <w:bottom w:val="single" w:sz="4" w:space="0" w:color="auto"/>
              <w:right w:val="single" w:sz="4" w:space="0" w:color="auto"/>
            </w:tcBorders>
          </w:tcPr>
          <w:p w14:paraId="4CB44BCC"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Febrero</w:t>
            </w:r>
          </w:p>
        </w:tc>
        <w:tc>
          <w:tcPr>
            <w:tcW w:w="1194" w:type="dxa"/>
            <w:tcBorders>
              <w:top w:val="single" w:sz="4" w:space="0" w:color="auto"/>
              <w:left w:val="single" w:sz="4" w:space="0" w:color="auto"/>
              <w:bottom w:val="single" w:sz="4" w:space="0" w:color="auto"/>
              <w:right w:val="single" w:sz="4" w:space="0" w:color="auto"/>
            </w:tcBorders>
          </w:tcPr>
          <w:p w14:paraId="3BCCB703"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Enero</w:t>
            </w:r>
          </w:p>
        </w:tc>
        <w:tc>
          <w:tcPr>
            <w:tcW w:w="1194" w:type="dxa"/>
            <w:tcBorders>
              <w:top w:val="single" w:sz="4" w:space="0" w:color="auto"/>
              <w:left w:val="single" w:sz="4" w:space="0" w:color="auto"/>
              <w:bottom w:val="single" w:sz="4" w:space="0" w:color="auto"/>
              <w:right w:val="single" w:sz="4" w:space="0" w:color="auto"/>
            </w:tcBorders>
          </w:tcPr>
          <w:p w14:paraId="3795C921"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Febrero</w:t>
            </w:r>
          </w:p>
        </w:tc>
      </w:tr>
      <w:tr w:rsidR="00C443FC" w:rsidRPr="00C443FC" w14:paraId="67EC9470" w14:textId="77777777" w:rsidTr="00646128">
        <w:trPr>
          <w:jc w:val="center"/>
        </w:trPr>
        <w:tc>
          <w:tcPr>
            <w:tcW w:w="1860" w:type="dxa"/>
            <w:tcBorders>
              <w:top w:val="single" w:sz="4" w:space="0" w:color="auto"/>
              <w:left w:val="single" w:sz="4" w:space="0" w:color="auto"/>
              <w:right w:val="single" w:sz="4" w:space="0" w:color="auto"/>
            </w:tcBorders>
          </w:tcPr>
          <w:p w14:paraId="4401DAFE" w14:textId="77777777" w:rsidR="00C443FC" w:rsidRPr="00C443FC" w:rsidRDefault="00C443FC" w:rsidP="00C443FC">
            <w:pPr>
              <w:rPr>
                <w:rFonts w:eastAsia="Calibri"/>
                <w:b/>
                <w:sz w:val="20"/>
                <w:szCs w:val="20"/>
                <w:lang w:eastAsia="en-US"/>
              </w:rPr>
            </w:pPr>
            <w:r w:rsidRPr="00C443FC">
              <w:rPr>
                <w:rFonts w:eastAsia="Calibri"/>
                <w:b/>
                <w:sz w:val="20"/>
                <w:szCs w:val="20"/>
                <w:lang w:eastAsia="en-US"/>
              </w:rPr>
              <w:t>Al cierre de 2015</w:t>
            </w:r>
          </w:p>
        </w:tc>
        <w:tc>
          <w:tcPr>
            <w:tcW w:w="1194" w:type="dxa"/>
            <w:tcBorders>
              <w:top w:val="single" w:sz="4" w:space="0" w:color="auto"/>
              <w:left w:val="single" w:sz="4" w:space="0" w:color="auto"/>
              <w:right w:val="single" w:sz="4" w:space="0" w:color="auto"/>
            </w:tcBorders>
          </w:tcPr>
          <w:p w14:paraId="163B167F"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3.51</w:t>
            </w:r>
          </w:p>
        </w:tc>
        <w:tc>
          <w:tcPr>
            <w:tcW w:w="1194" w:type="dxa"/>
            <w:tcBorders>
              <w:top w:val="single" w:sz="4" w:space="0" w:color="auto"/>
              <w:left w:val="single" w:sz="4" w:space="0" w:color="auto"/>
              <w:right w:val="single" w:sz="4" w:space="0" w:color="auto"/>
            </w:tcBorders>
          </w:tcPr>
          <w:p w14:paraId="73DABFE7"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3.53</w:t>
            </w:r>
          </w:p>
        </w:tc>
        <w:tc>
          <w:tcPr>
            <w:tcW w:w="1194" w:type="dxa"/>
            <w:tcBorders>
              <w:top w:val="single" w:sz="4" w:space="0" w:color="auto"/>
              <w:left w:val="single" w:sz="4" w:space="0" w:color="auto"/>
              <w:right w:val="single" w:sz="4" w:space="0" w:color="auto"/>
            </w:tcBorders>
          </w:tcPr>
          <w:p w14:paraId="2A0102D8"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3.50</w:t>
            </w:r>
          </w:p>
        </w:tc>
        <w:tc>
          <w:tcPr>
            <w:tcW w:w="1194" w:type="dxa"/>
            <w:tcBorders>
              <w:top w:val="single" w:sz="4" w:space="0" w:color="auto"/>
              <w:left w:val="single" w:sz="4" w:space="0" w:color="auto"/>
              <w:right w:val="single" w:sz="4" w:space="0" w:color="auto"/>
            </w:tcBorders>
          </w:tcPr>
          <w:p w14:paraId="03D6F11D"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3.50</w:t>
            </w:r>
          </w:p>
        </w:tc>
      </w:tr>
      <w:tr w:rsidR="00C443FC" w:rsidRPr="00C443FC" w14:paraId="1CDDA032" w14:textId="77777777" w:rsidTr="005C0CDD">
        <w:trPr>
          <w:jc w:val="center"/>
        </w:trPr>
        <w:tc>
          <w:tcPr>
            <w:tcW w:w="1860" w:type="dxa"/>
            <w:tcBorders>
              <w:left w:val="single" w:sz="4" w:space="0" w:color="auto"/>
              <w:right w:val="single" w:sz="4" w:space="0" w:color="auto"/>
            </w:tcBorders>
          </w:tcPr>
          <w:p w14:paraId="7A0781A6" w14:textId="77777777" w:rsidR="00C443FC" w:rsidRPr="00C443FC" w:rsidRDefault="00C443FC" w:rsidP="00C443FC">
            <w:pPr>
              <w:rPr>
                <w:rFonts w:eastAsia="Calibri"/>
                <w:b/>
                <w:sz w:val="20"/>
                <w:szCs w:val="20"/>
                <w:lang w:eastAsia="en-US"/>
              </w:rPr>
            </w:pPr>
            <w:r w:rsidRPr="00C443FC">
              <w:rPr>
                <w:rFonts w:eastAsia="Calibri"/>
                <w:b/>
                <w:sz w:val="20"/>
                <w:szCs w:val="20"/>
                <w:lang w:eastAsia="en-US"/>
              </w:rPr>
              <w:t>Al cierre de 2016</w:t>
            </w:r>
          </w:p>
        </w:tc>
        <w:tc>
          <w:tcPr>
            <w:tcW w:w="1194" w:type="dxa"/>
            <w:tcBorders>
              <w:left w:val="single" w:sz="4" w:space="0" w:color="auto"/>
              <w:right w:val="single" w:sz="4" w:space="0" w:color="auto"/>
            </w:tcBorders>
          </w:tcPr>
          <w:p w14:paraId="0D05ABE7"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4.48</w:t>
            </w:r>
          </w:p>
        </w:tc>
        <w:tc>
          <w:tcPr>
            <w:tcW w:w="1194" w:type="dxa"/>
            <w:tcBorders>
              <w:left w:val="single" w:sz="4" w:space="0" w:color="auto"/>
              <w:right w:val="single" w:sz="4" w:space="0" w:color="auto"/>
            </w:tcBorders>
          </w:tcPr>
          <w:p w14:paraId="2DA0744B"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4.31</w:t>
            </w:r>
          </w:p>
        </w:tc>
        <w:tc>
          <w:tcPr>
            <w:tcW w:w="1194" w:type="dxa"/>
            <w:tcBorders>
              <w:left w:val="single" w:sz="4" w:space="0" w:color="auto"/>
              <w:right w:val="single" w:sz="4" w:space="0" w:color="auto"/>
            </w:tcBorders>
          </w:tcPr>
          <w:p w14:paraId="7F9A1DA2"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4.40</w:t>
            </w:r>
          </w:p>
        </w:tc>
        <w:tc>
          <w:tcPr>
            <w:tcW w:w="1194" w:type="dxa"/>
            <w:tcBorders>
              <w:left w:val="single" w:sz="4" w:space="0" w:color="auto"/>
              <w:right w:val="single" w:sz="4" w:space="0" w:color="auto"/>
            </w:tcBorders>
          </w:tcPr>
          <w:p w14:paraId="566FDF7D"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4.31</w:t>
            </w:r>
          </w:p>
        </w:tc>
      </w:tr>
      <w:tr w:rsidR="00C443FC" w:rsidRPr="00C443FC" w14:paraId="1C4EC713" w14:textId="77777777" w:rsidTr="005C0CDD">
        <w:trPr>
          <w:jc w:val="center"/>
        </w:trPr>
        <w:tc>
          <w:tcPr>
            <w:tcW w:w="1860" w:type="dxa"/>
            <w:tcBorders>
              <w:left w:val="single" w:sz="4" w:space="0" w:color="auto"/>
              <w:bottom w:val="single" w:sz="4" w:space="0" w:color="auto"/>
              <w:right w:val="single" w:sz="4" w:space="0" w:color="auto"/>
            </w:tcBorders>
          </w:tcPr>
          <w:p w14:paraId="7D575336" w14:textId="77777777" w:rsidR="00C443FC" w:rsidRPr="00C443FC" w:rsidRDefault="00C443FC" w:rsidP="00C443FC">
            <w:pPr>
              <w:rPr>
                <w:rFonts w:eastAsia="Calibri"/>
                <w:b/>
                <w:sz w:val="20"/>
                <w:szCs w:val="20"/>
                <w:lang w:eastAsia="en-US"/>
              </w:rPr>
            </w:pPr>
            <w:r w:rsidRPr="00C443FC">
              <w:rPr>
                <w:rFonts w:eastAsia="Calibri"/>
                <w:b/>
                <w:sz w:val="20"/>
                <w:szCs w:val="20"/>
                <w:lang w:eastAsia="en-US"/>
              </w:rPr>
              <w:t>Al cierre de 2017</w:t>
            </w:r>
          </w:p>
        </w:tc>
        <w:tc>
          <w:tcPr>
            <w:tcW w:w="1194" w:type="dxa"/>
            <w:tcBorders>
              <w:left w:val="single" w:sz="4" w:space="0" w:color="auto"/>
              <w:bottom w:val="single" w:sz="4" w:space="0" w:color="auto"/>
              <w:right w:val="single" w:sz="4" w:space="0" w:color="auto"/>
            </w:tcBorders>
          </w:tcPr>
          <w:p w14:paraId="1A202F89"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5.09</w:t>
            </w:r>
          </w:p>
        </w:tc>
        <w:tc>
          <w:tcPr>
            <w:tcW w:w="1194" w:type="dxa"/>
            <w:tcBorders>
              <w:left w:val="single" w:sz="4" w:space="0" w:color="auto"/>
              <w:bottom w:val="single" w:sz="4" w:space="0" w:color="auto"/>
              <w:right w:val="single" w:sz="4" w:space="0" w:color="auto"/>
            </w:tcBorders>
          </w:tcPr>
          <w:p w14:paraId="5FCC6A6B"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4.95</w:t>
            </w:r>
          </w:p>
        </w:tc>
        <w:tc>
          <w:tcPr>
            <w:tcW w:w="1194" w:type="dxa"/>
            <w:tcBorders>
              <w:left w:val="single" w:sz="4" w:space="0" w:color="auto"/>
              <w:bottom w:val="single" w:sz="4" w:space="0" w:color="auto"/>
              <w:right w:val="single" w:sz="4" w:space="0" w:color="auto"/>
            </w:tcBorders>
          </w:tcPr>
          <w:p w14:paraId="401B67EF"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5.25</w:t>
            </w:r>
          </w:p>
        </w:tc>
        <w:tc>
          <w:tcPr>
            <w:tcW w:w="1194" w:type="dxa"/>
            <w:tcBorders>
              <w:left w:val="single" w:sz="4" w:space="0" w:color="auto"/>
              <w:bottom w:val="single" w:sz="4" w:space="0" w:color="auto"/>
              <w:right w:val="single" w:sz="4" w:space="0" w:color="auto"/>
            </w:tcBorders>
          </w:tcPr>
          <w:p w14:paraId="766F063A"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4.89</w:t>
            </w:r>
          </w:p>
        </w:tc>
      </w:tr>
      <w:tr w:rsidR="00C443FC" w:rsidRPr="00C443FC" w14:paraId="1AFAEE27" w14:textId="77777777" w:rsidTr="007B7E95">
        <w:trPr>
          <w:jc w:val="center"/>
        </w:trPr>
        <w:tc>
          <w:tcPr>
            <w:tcW w:w="6636" w:type="dxa"/>
            <w:gridSpan w:val="5"/>
            <w:tcBorders>
              <w:left w:val="nil"/>
              <w:bottom w:val="nil"/>
              <w:right w:val="nil"/>
            </w:tcBorders>
          </w:tcPr>
          <w:p w14:paraId="1537DBE0" w14:textId="77777777" w:rsidR="00C443FC" w:rsidRPr="00C443FC" w:rsidRDefault="00C443FC" w:rsidP="00C443FC">
            <w:pPr>
              <w:rPr>
                <w:rFonts w:eastAsia="Calibri"/>
                <w:sz w:val="20"/>
                <w:szCs w:val="20"/>
                <w:lang w:eastAsia="en-US"/>
              </w:rPr>
            </w:pPr>
            <w:r w:rsidRPr="00C443FC">
              <w:rPr>
                <w:rFonts w:eastAsia="Calibri"/>
                <w:sz w:val="20"/>
                <w:szCs w:val="20"/>
                <w:lang w:eastAsia="en-US"/>
              </w:rPr>
              <w:t>FUENTE: Banco de México</w:t>
            </w:r>
          </w:p>
        </w:tc>
      </w:tr>
    </w:tbl>
    <w:p w14:paraId="278F167A" w14:textId="77777777" w:rsidR="00C443FC" w:rsidRPr="00C443FC" w:rsidRDefault="00C443FC" w:rsidP="00C443FC">
      <w:pPr>
        <w:spacing w:after="360" w:line="360" w:lineRule="auto"/>
        <w:ind w:right="-159"/>
        <w:jc w:val="both"/>
        <w:rPr>
          <w:rFonts w:eastAsia="Calibri"/>
          <w:sz w:val="26"/>
          <w:szCs w:val="26"/>
          <w:lang w:eastAsia="en-US"/>
        </w:rPr>
      </w:pPr>
    </w:p>
    <w:p w14:paraId="6835599D" w14:textId="171D4AB2" w:rsidR="00D27C30" w:rsidRDefault="00D27C30" w:rsidP="00C443FC">
      <w:pPr>
        <w:spacing w:after="360" w:line="360" w:lineRule="auto"/>
        <w:ind w:right="-159"/>
        <w:jc w:val="center"/>
        <w:rPr>
          <w:rFonts w:eastAsia="Calibri"/>
          <w:sz w:val="26"/>
          <w:szCs w:val="26"/>
          <w:lang w:eastAsia="en-US"/>
        </w:rPr>
      </w:pPr>
      <w:r w:rsidRPr="00D27C30">
        <w:rPr>
          <w:rFonts w:ascii="Calibri" w:eastAsia="Calibri" w:hAnsi="Calibri"/>
          <w:sz w:val="22"/>
          <w:szCs w:val="22"/>
          <w:lang w:eastAsia="en-US"/>
        </w:rPr>
        <w:fldChar w:fldCharType="begin"/>
      </w:r>
      <w:r w:rsidRPr="00D27C30">
        <w:rPr>
          <w:rFonts w:ascii="Calibri" w:eastAsia="Calibri" w:hAnsi="Calibri"/>
          <w:sz w:val="22"/>
          <w:szCs w:val="22"/>
          <w:lang w:eastAsia="en-US"/>
        </w:rPr>
        <w:instrText xml:space="preserve"> LINK PowerPoint.Slide.8 "D:\\2015\\MARZO 2014\\GRÁFICAS EN POWER POINT\\14.-GRÁFICAS DE EXPECTATIVAS II.pptx!564" "" \a \p </w:instrText>
      </w:r>
      <w:r w:rsidRPr="00D27C30">
        <w:rPr>
          <w:rFonts w:ascii="Calibri" w:eastAsia="Calibri" w:hAnsi="Calibri"/>
          <w:sz w:val="22"/>
          <w:szCs w:val="22"/>
          <w:lang w:eastAsia="en-US"/>
        </w:rPr>
        <w:fldChar w:fldCharType="separate"/>
      </w:r>
      <w:r w:rsidRPr="00D27C30">
        <w:rPr>
          <w:rFonts w:ascii="Calibri" w:eastAsia="Calibri" w:hAnsi="Calibri"/>
          <w:noProof/>
          <w:sz w:val="22"/>
          <w:szCs w:val="22"/>
          <w:lang w:eastAsia="es-MX"/>
        </w:rPr>
        <w:drawing>
          <wp:inline distT="0" distB="0" distL="0" distR="0" wp14:anchorId="1FB3587E" wp14:editId="47976C29">
            <wp:extent cx="4355465" cy="3157220"/>
            <wp:effectExtent l="0" t="0" r="6985" b="5080"/>
            <wp:docPr id="1517" name="Imagen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16"/>
                    <pic:cNvPicPr>
                      <a:picLocks noChangeAspect="1" noChangeArrowheads="1"/>
                    </pic:cNvPicPr>
                  </pic:nvPicPr>
                  <pic:blipFill>
                    <a:blip r:embed="rId262" cstate="print">
                      <a:extLst>
                        <a:ext uri="{28A0092B-C50C-407E-A947-70E740481C1C}">
                          <a14:useLocalDpi xmlns:a14="http://schemas.microsoft.com/office/drawing/2010/main" val="0"/>
                        </a:ext>
                      </a:extLst>
                    </a:blip>
                    <a:srcRect l="4536" b="7806"/>
                    <a:stretch>
                      <a:fillRect/>
                    </a:stretch>
                  </pic:blipFill>
                  <pic:spPr bwMode="auto">
                    <a:xfrm>
                      <a:off x="0" y="0"/>
                      <a:ext cx="4355465" cy="3157220"/>
                    </a:xfrm>
                    <a:prstGeom prst="rect">
                      <a:avLst/>
                    </a:prstGeom>
                    <a:noFill/>
                    <a:ln>
                      <a:noFill/>
                    </a:ln>
                  </pic:spPr>
                </pic:pic>
              </a:graphicData>
            </a:graphic>
          </wp:inline>
        </w:drawing>
      </w:r>
      <w:r w:rsidRPr="00D27C30">
        <w:rPr>
          <w:rFonts w:ascii="Calibri" w:eastAsia="Calibri" w:hAnsi="Calibri"/>
          <w:sz w:val="22"/>
          <w:szCs w:val="22"/>
          <w:lang w:eastAsia="en-US"/>
        </w:rPr>
        <w:fldChar w:fldCharType="end"/>
      </w:r>
    </w:p>
    <w:p w14:paraId="5D90F090" w14:textId="77777777" w:rsidR="00D27C30" w:rsidRDefault="00D27C30" w:rsidP="00C443FC">
      <w:pPr>
        <w:spacing w:after="360" w:line="360" w:lineRule="auto"/>
        <w:ind w:right="-159"/>
        <w:jc w:val="center"/>
        <w:rPr>
          <w:rFonts w:eastAsia="Calibri"/>
          <w:sz w:val="26"/>
          <w:szCs w:val="26"/>
          <w:lang w:eastAsia="en-US"/>
        </w:rPr>
      </w:pPr>
    </w:p>
    <w:p w14:paraId="332B4463" w14:textId="50FB0B98" w:rsidR="00D27C30" w:rsidRPr="00D27C30" w:rsidRDefault="00D27C30" w:rsidP="00D27C30">
      <w:pPr>
        <w:spacing w:after="160" w:line="259" w:lineRule="auto"/>
        <w:jc w:val="center"/>
        <w:rPr>
          <w:rFonts w:ascii="Calibri" w:eastAsia="Calibri" w:hAnsi="Calibri"/>
          <w:sz w:val="22"/>
          <w:szCs w:val="22"/>
          <w:lang w:eastAsia="en-US"/>
        </w:rPr>
      </w:pPr>
      <w:r w:rsidRPr="00D27C30">
        <w:rPr>
          <w:rFonts w:ascii="Calibri" w:eastAsia="Calibri" w:hAnsi="Calibri"/>
          <w:sz w:val="22"/>
          <w:szCs w:val="22"/>
          <w:lang w:eastAsia="en-US"/>
        </w:rPr>
        <w:lastRenderedPageBreak/>
        <w:fldChar w:fldCharType="begin"/>
      </w:r>
      <w:r w:rsidRPr="00D27C30">
        <w:rPr>
          <w:rFonts w:ascii="Calibri" w:eastAsia="Calibri" w:hAnsi="Calibri"/>
          <w:sz w:val="22"/>
          <w:szCs w:val="22"/>
          <w:lang w:eastAsia="en-US"/>
        </w:rPr>
        <w:instrText xml:space="preserve"> LINK PowerPoint.Slide.8 "D:\\2015\\MARZO 2014\\GRÁFICAS EN POWER POINT\\14.-GRÁFICAS DE EXPECTATIVAS II.pptx!594" "" \a \p </w:instrText>
      </w:r>
      <w:r w:rsidRPr="00D27C30">
        <w:rPr>
          <w:rFonts w:ascii="Calibri" w:eastAsia="Calibri" w:hAnsi="Calibri"/>
          <w:sz w:val="22"/>
          <w:szCs w:val="22"/>
          <w:lang w:eastAsia="en-US"/>
        </w:rPr>
        <w:fldChar w:fldCharType="separate"/>
      </w:r>
      <w:r w:rsidRPr="00D27C30">
        <w:rPr>
          <w:rFonts w:ascii="Calibri" w:eastAsia="Calibri" w:hAnsi="Calibri"/>
          <w:noProof/>
          <w:sz w:val="22"/>
          <w:szCs w:val="22"/>
          <w:lang w:eastAsia="es-MX"/>
        </w:rPr>
        <w:drawing>
          <wp:inline distT="0" distB="0" distL="0" distR="0" wp14:anchorId="2CCC8D42" wp14:editId="51C6C186">
            <wp:extent cx="4139565" cy="3231515"/>
            <wp:effectExtent l="0" t="0" r="0" b="6985"/>
            <wp:docPr id="1519" name="Imagen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18"/>
                    <pic:cNvPicPr>
                      <a:picLocks noChangeAspect="1" noChangeArrowheads="1"/>
                    </pic:cNvPicPr>
                  </pic:nvPicPr>
                  <pic:blipFill>
                    <a:blip r:embed="rId263" cstate="print">
                      <a:extLst>
                        <a:ext uri="{28A0092B-C50C-407E-A947-70E740481C1C}">
                          <a14:useLocalDpi xmlns:a14="http://schemas.microsoft.com/office/drawing/2010/main" val="0"/>
                        </a:ext>
                      </a:extLst>
                    </a:blip>
                    <a:srcRect l="5820" r="3494" b="5582"/>
                    <a:stretch>
                      <a:fillRect/>
                    </a:stretch>
                  </pic:blipFill>
                  <pic:spPr bwMode="auto">
                    <a:xfrm>
                      <a:off x="0" y="0"/>
                      <a:ext cx="4139565" cy="3231515"/>
                    </a:xfrm>
                    <a:prstGeom prst="rect">
                      <a:avLst/>
                    </a:prstGeom>
                    <a:noFill/>
                    <a:ln>
                      <a:noFill/>
                    </a:ln>
                  </pic:spPr>
                </pic:pic>
              </a:graphicData>
            </a:graphic>
          </wp:inline>
        </w:drawing>
      </w:r>
      <w:r w:rsidRPr="00D27C30">
        <w:rPr>
          <w:rFonts w:ascii="Calibri" w:eastAsia="Calibri" w:hAnsi="Calibri"/>
          <w:sz w:val="22"/>
          <w:szCs w:val="22"/>
          <w:lang w:eastAsia="en-US"/>
        </w:rPr>
        <w:fldChar w:fldCharType="end"/>
      </w:r>
    </w:p>
    <w:p w14:paraId="1DEB5F63" w14:textId="77777777" w:rsidR="00D27C30" w:rsidRPr="00D27C30" w:rsidRDefault="00D27C30" w:rsidP="00D27C30">
      <w:pPr>
        <w:spacing w:after="160" w:line="259" w:lineRule="auto"/>
        <w:jc w:val="center"/>
        <w:rPr>
          <w:rFonts w:ascii="Calibri" w:eastAsia="Calibri" w:hAnsi="Calibri"/>
          <w:sz w:val="22"/>
          <w:szCs w:val="22"/>
          <w:lang w:eastAsia="en-US"/>
        </w:rPr>
      </w:pPr>
    </w:p>
    <w:p w14:paraId="69B70F23" w14:textId="0A71F4B7" w:rsidR="00D27C30" w:rsidRPr="00D27C30" w:rsidRDefault="00D27C30" w:rsidP="00D27C30">
      <w:pPr>
        <w:spacing w:after="160" w:line="259" w:lineRule="auto"/>
        <w:jc w:val="center"/>
        <w:rPr>
          <w:rFonts w:ascii="Calibri" w:eastAsia="Calibri" w:hAnsi="Calibri"/>
          <w:sz w:val="22"/>
          <w:szCs w:val="22"/>
          <w:lang w:eastAsia="en-US"/>
        </w:rPr>
      </w:pPr>
      <w:r w:rsidRPr="00D27C30">
        <w:rPr>
          <w:rFonts w:ascii="Calibri" w:eastAsia="Calibri" w:hAnsi="Calibri"/>
          <w:sz w:val="22"/>
          <w:szCs w:val="22"/>
          <w:lang w:eastAsia="en-US"/>
        </w:rPr>
        <w:fldChar w:fldCharType="begin"/>
      </w:r>
      <w:r w:rsidRPr="00D27C30">
        <w:rPr>
          <w:rFonts w:ascii="Calibri" w:eastAsia="Calibri" w:hAnsi="Calibri"/>
          <w:sz w:val="22"/>
          <w:szCs w:val="22"/>
          <w:lang w:eastAsia="en-US"/>
        </w:rPr>
        <w:instrText xml:space="preserve"> LINK PowerPoint.Slide.8 "D:\\2015\\MARZO 2014\\GRÁFICAS EN POWER POINT\\14.-GRÁFICAS DE EXPECTATIVAS II.pptx!602" "" \a \p </w:instrText>
      </w:r>
      <w:r w:rsidRPr="00D27C30">
        <w:rPr>
          <w:rFonts w:ascii="Calibri" w:eastAsia="Calibri" w:hAnsi="Calibri"/>
          <w:sz w:val="22"/>
          <w:szCs w:val="22"/>
          <w:lang w:eastAsia="en-US"/>
        </w:rPr>
        <w:fldChar w:fldCharType="separate"/>
      </w:r>
      <w:r w:rsidRPr="00D27C30">
        <w:rPr>
          <w:rFonts w:ascii="Calibri" w:eastAsia="Calibri" w:hAnsi="Calibri"/>
          <w:noProof/>
          <w:sz w:val="22"/>
          <w:szCs w:val="22"/>
          <w:lang w:eastAsia="es-MX"/>
        </w:rPr>
        <w:drawing>
          <wp:inline distT="0" distB="0" distL="0" distR="0" wp14:anchorId="3E53E2A9" wp14:editId="7D24DE52">
            <wp:extent cx="4349750" cy="3138805"/>
            <wp:effectExtent l="0" t="0" r="0" b="4445"/>
            <wp:docPr id="1518" name="Imagen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19"/>
                    <pic:cNvPicPr>
                      <a:picLocks noChangeAspect="1" noChangeArrowheads="1"/>
                    </pic:cNvPicPr>
                  </pic:nvPicPr>
                  <pic:blipFill>
                    <a:blip r:embed="rId264" cstate="print">
                      <a:extLst>
                        <a:ext uri="{28A0092B-C50C-407E-A947-70E740481C1C}">
                          <a14:useLocalDpi xmlns:a14="http://schemas.microsoft.com/office/drawing/2010/main" val="0"/>
                        </a:ext>
                      </a:extLst>
                    </a:blip>
                    <a:srcRect l="4663" b="8383"/>
                    <a:stretch>
                      <a:fillRect/>
                    </a:stretch>
                  </pic:blipFill>
                  <pic:spPr bwMode="auto">
                    <a:xfrm>
                      <a:off x="0" y="0"/>
                      <a:ext cx="4349750" cy="3138805"/>
                    </a:xfrm>
                    <a:prstGeom prst="rect">
                      <a:avLst/>
                    </a:prstGeom>
                    <a:noFill/>
                    <a:ln>
                      <a:noFill/>
                    </a:ln>
                  </pic:spPr>
                </pic:pic>
              </a:graphicData>
            </a:graphic>
          </wp:inline>
        </w:drawing>
      </w:r>
      <w:r w:rsidRPr="00D27C30">
        <w:rPr>
          <w:rFonts w:ascii="Calibri" w:eastAsia="Calibri" w:hAnsi="Calibri"/>
          <w:sz w:val="22"/>
          <w:szCs w:val="22"/>
          <w:lang w:eastAsia="en-US"/>
        </w:rPr>
        <w:fldChar w:fldCharType="end"/>
      </w:r>
    </w:p>
    <w:p w14:paraId="4EFE9132" w14:textId="77777777" w:rsidR="00D27C30" w:rsidRDefault="00D27C30" w:rsidP="00C443FC">
      <w:pPr>
        <w:spacing w:after="360" w:line="360" w:lineRule="auto"/>
        <w:ind w:right="-159"/>
        <w:jc w:val="center"/>
        <w:rPr>
          <w:rFonts w:eastAsia="Calibri"/>
          <w:sz w:val="26"/>
          <w:szCs w:val="26"/>
          <w:lang w:eastAsia="en-US"/>
        </w:rPr>
      </w:pPr>
    </w:p>
    <w:p w14:paraId="19517E13" w14:textId="77777777" w:rsidR="00593607" w:rsidRDefault="00593607" w:rsidP="00C443FC">
      <w:pPr>
        <w:spacing w:after="360" w:line="360" w:lineRule="auto"/>
        <w:ind w:right="-159"/>
        <w:jc w:val="both"/>
        <w:rPr>
          <w:rFonts w:eastAsia="Calibri"/>
          <w:b/>
          <w:sz w:val="26"/>
          <w:szCs w:val="26"/>
          <w:lang w:eastAsia="en-US"/>
        </w:rPr>
      </w:pPr>
    </w:p>
    <w:p w14:paraId="665E5A18" w14:textId="77777777" w:rsidR="00593607" w:rsidRDefault="00593607" w:rsidP="00C443FC">
      <w:pPr>
        <w:spacing w:after="360" w:line="360" w:lineRule="auto"/>
        <w:ind w:right="-159"/>
        <w:jc w:val="both"/>
        <w:rPr>
          <w:rFonts w:eastAsia="Calibri"/>
          <w:b/>
          <w:sz w:val="26"/>
          <w:szCs w:val="26"/>
          <w:lang w:eastAsia="en-US"/>
        </w:rPr>
      </w:pPr>
    </w:p>
    <w:p w14:paraId="2787E9FD" w14:textId="77777777" w:rsidR="00C443FC" w:rsidRPr="00C443FC" w:rsidRDefault="00C443FC" w:rsidP="00C443FC">
      <w:pPr>
        <w:spacing w:after="360" w:line="360" w:lineRule="auto"/>
        <w:ind w:right="-159"/>
        <w:jc w:val="both"/>
        <w:rPr>
          <w:rFonts w:eastAsia="Calibri"/>
          <w:b/>
          <w:sz w:val="26"/>
          <w:szCs w:val="26"/>
          <w:lang w:eastAsia="en-US"/>
        </w:rPr>
      </w:pPr>
      <w:r w:rsidRPr="00C443FC">
        <w:rPr>
          <w:rFonts w:eastAsia="Calibri"/>
          <w:b/>
          <w:sz w:val="26"/>
          <w:szCs w:val="26"/>
          <w:lang w:eastAsia="en-US"/>
        </w:rPr>
        <w:lastRenderedPageBreak/>
        <w:t>C. Tasa de interés del Bono M a 10 años</w:t>
      </w:r>
    </w:p>
    <w:p w14:paraId="24284EC1" w14:textId="77777777" w:rsidR="00C443FC" w:rsidRPr="00C443FC" w:rsidRDefault="00C443FC" w:rsidP="00C443FC">
      <w:pPr>
        <w:spacing w:after="360" w:line="360" w:lineRule="auto"/>
        <w:ind w:right="-159"/>
        <w:jc w:val="both"/>
        <w:rPr>
          <w:rFonts w:eastAsia="Calibri"/>
          <w:sz w:val="26"/>
          <w:szCs w:val="26"/>
          <w:lang w:eastAsia="en-US"/>
        </w:rPr>
      </w:pPr>
      <w:r w:rsidRPr="00C443FC">
        <w:rPr>
          <w:rFonts w:eastAsia="Calibri"/>
          <w:sz w:val="26"/>
          <w:szCs w:val="26"/>
          <w:lang w:eastAsia="en-US"/>
        </w:rPr>
        <w:t>En cuanto al nivel de la tasa del Bono M a 10 años, las perspectivas para el cierre de 2015 permanecieron cercanas a las reportadas en el mes previo, si bien la mediana de los pronósticos disminuyó. Para el cierre de 2016, las perspectivas correspondientes se revisaron a la baja en relación con la encuesta precedente (ver cuadro siguiente y las tres gráficas siguientes).</w:t>
      </w:r>
    </w:p>
    <w:tbl>
      <w:tblPr>
        <w:tblW w:w="0" w:type="auto"/>
        <w:jc w:val="center"/>
        <w:tblLook w:val="04A0" w:firstRow="1" w:lastRow="0" w:firstColumn="1" w:lastColumn="0" w:noHBand="0" w:noVBand="1"/>
      </w:tblPr>
      <w:tblGrid>
        <w:gridCol w:w="1860"/>
        <w:gridCol w:w="1194"/>
        <w:gridCol w:w="1194"/>
        <w:gridCol w:w="1194"/>
        <w:gridCol w:w="1194"/>
      </w:tblGrid>
      <w:tr w:rsidR="00C443FC" w:rsidRPr="00C443FC" w14:paraId="1DB3CDBF" w14:textId="77777777" w:rsidTr="00646128">
        <w:trPr>
          <w:jc w:val="center"/>
        </w:trPr>
        <w:tc>
          <w:tcPr>
            <w:tcW w:w="6636" w:type="dxa"/>
            <w:gridSpan w:val="5"/>
            <w:tcBorders>
              <w:top w:val="nil"/>
              <w:left w:val="nil"/>
              <w:bottom w:val="single" w:sz="4" w:space="0" w:color="auto"/>
              <w:right w:val="nil"/>
            </w:tcBorders>
          </w:tcPr>
          <w:p w14:paraId="3961F7CD" w14:textId="77777777" w:rsidR="00C443FC" w:rsidRPr="00C443FC" w:rsidRDefault="00C443FC" w:rsidP="00C443FC">
            <w:pPr>
              <w:jc w:val="center"/>
              <w:rPr>
                <w:rFonts w:eastAsia="Calibri"/>
                <w:b/>
                <w:sz w:val="22"/>
                <w:szCs w:val="22"/>
                <w:lang w:eastAsia="en-US"/>
              </w:rPr>
            </w:pPr>
            <w:r w:rsidRPr="00C443FC">
              <w:rPr>
                <w:rFonts w:eastAsia="Calibri"/>
                <w:b/>
                <w:sz w:val="22"/>
                <w:szCs w:val="22"/>
                <w:lang w:eastAsia="en-US"/>
              </w:rPr>
              <w:t xml:space="preserve">EXPECTATIVAS DE TASA DE INTERÉS DEL </w:t>
            </w:r>
          </w:p>
          <w:p w14:paraId="7E6C3FB5" w14:textId="77777777" w:rsidR="00C443FC" w:rsidRPr="00C443FC" w:rsidRDefault="00C443FC" w:rsidP="00C443FC">
            <w:pPr>
              <w:jc w:val="center"/>
              <w:rPr>
                <w:rFonts w:eastAsia="Calibri"/>
                <w:b/>
                <w:sz w:val="22"/>
                <w:szCs w:val="22"/>
                <w:lang w:eastAsia="en-US"/>
              </w:rPr>
            </w:pPr>
            <w:r w:rsidRPr="00C443FC">
              <w:rPr>
                <w:rFonts w:eastAsia="Calibri"/>
                <w:b/>
                <w:sz w:val="22"/>
                <w:szCs w:val="22"/>
                <w:lang w:eastAsia="en-US"/>
              </w:rPr>
              <w:t>BONO M A 10 AÑOS</w:t>
            </w:r>
          </w:p>
          <w:p w14:paraId="19D50F2C" w14:textId="77777777" w:rsidR="00C443FC" w:rsidRPr="00C443FC" w:rsidRDefault="00C443FC" w:rsidP="00C443FC">
            <w:pPr>
              <w:jc w:val="center"/>
              <w:rPr>
                <w:rFonts w:eastAsia="Calibri"/>
                <w:b/>
                <w:sz w:val="22"/>
                <w:szCs w:val="22"/>
                <w:lang w:eastAsia="en-US"/>
              </w:rPr>
            </w:pPr>
            <w:r w:rsidRPr="00C443FC">
              <w:rPr>
                <w:rFonts w:eastAsia="Calibri"/>
                <w:b/>
                <w:sz w:val="22"/>
                <w:szCs w:val="22"/>
                <w:lang w:eastAsia="en-US"/>
              </w:rPr>
              <w:t>-Por ciento-</w:t>
            </w:r>
          </w:p>
        </w:tc>
      </w:tr>
      <w:tr w:rsidR="00C443FC" w:rsidRPr="00C443FC" w14:paraId="139FE650" w14:textId="77777777" w:rsidTr="00646128">
        <w:trPr>
          <w:jc w:val="center"/>
        </w:trPr>
        <w:tc>
          <w:tcPr>
            <w:tcW w:w="1860" w:type="dxa"/>
            <w:vMerge w:val="restart"/>
            <w:tcBorders>
              <w:top w:val="single" w:sz="4" w:space="0" w:color="auto"/>
              <w:left w:val="single" w:sz="4" w:space="0" w:color="auto"/>
              <w:bottom w:val="single" w:sz="4" w:space="0" w:color="auto"/>
              <w:right w:val="single" w:sz="4" w:space="0" w:color="auto"/>
            </w:tcBorders>
          </w:tcPr>
          <w:p w14:paraId="15E8EC29" w14:textId="77777777" w:rsidR="00C443FC" w:rsidRPr="00C443FC" w:rsidRDefault="00C443FC" w:rsidP="00C443FC">
            <w:pPr>
              <w:jc w:val="center"/>
              <w:rPr>
                <w:rFonts w:eastAsia="Calibri"/>
                <w:b/>
                <w:sz w:val="20"/>
                <w:szCs w:val="20"/>
                <w:lang w:eastAsia="en-US"/>
              </w:rPr>
            </w:pPr>
          </w:p>
        </w:tc>
        <w:tc>
          <w:tcPr>
            <w:tcW w:w="2388" w:type="dxa"/>
            <w:gridSpan w:val="2"/>
            <w:tcBorders>
              <w:top w:val="single" w:sz="4" w:space="0" w:color="auto"/>
              <w:left w:val="single" w:sz="4" w:space="0" w:color="auto"/>
              <w:bottom w:val="single" w:sz="4" w:space="0" w:color="auto"/>
              <w:right w:val="single" w:sz="4" w:space="0" w:color="auto"/>
            </w:tcBorders>
          </w:tcPr>
          <w:p w14:paraId="23B89738"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Media</w:t>
            </w:r>
          </w:p>
        </w:tc>
        <w:tc>
          <w:tcPr>
            <w:tcW w:w="2388" w:type="dxa"/>
            <w:gridSpan w:val="2"/>
            <w:tcBorders>
              <w:top w:val="single" w:sz="4" w:space="0" w:color="auto"/>
              <w:left w:val="single" w:sz="4" w:space="0" w:color="auto"/>
              <w:bottom w:val="single" w:sz="4" w:space="0" w:color="auto"/>
              <w:right w:val="single" w:sz="4" w:space="0" w:color="auto"/>
            </w:tcBorders>
          </w:tcPr>
          <w:p w14:paraId="7B8E0D44"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Mediana</w:t>
            </w:r>
          </w:p>
        </w:tc>
      </w:tr>
      <w:tr w:rsidR="00C443FC" w:rsidRPr="00C443FC" w14:paraId="33284B56" w14:textId="77777777" w:rsidTr="00646128">
        <w:trPr>
          <w:jc w:val="center"/>
        </w:trPr>
        <w:tc>
          <w:tcPr>
            <w:tcW w:w="1860" w:type="dxa"/>
            <w:vMerge/>
            <w:tcBorders>
              <w:top w:val="single" w:sz="4" w:space="0" w:color="auto"/>
              <w:left w:val="single" w:sz="4" w:space="0" w:color="auto"/>
              <w:bottom w:val="single" w:sz="4" w:space="0" w:color="auto"/>
              <w:right w:val="single" w:sz="4" w:space="0" w:color="auto"/>
            </w:tcBorders>
          </w:tcPr>
          <w:p w14:paraId="7853413C" w14:textId="77777777" w:rsidR="00C443FC" w:rsidRPr="00C443FC" w:rsidRDefault="00C443FC" w:rsidP="00C443FC">
            <w:pPr>
              <w:jc w:val="center"/>
              <w:rPr>
                <w:rFonts w:eastAsia="Calibri"/>
                <w:b/>
                <w:sz w:val="20"/>
                <w:szCs w:val="20"/>
                <w:lang w:eastAsia="en-US"/>
              </w:rPr>
            </w:pPr>
          </w:p>
        </w:tc>
        <w:tc>
          <w:tcPr>
            <w:tcW w:w="2388" w:type="dxa"/>
            <w:gridSpan w:val="2"/>
            <w:tcBorders>
              <w:top w:val="single" w:sz="4" w:space="0" w:color="auto"/>
              <w:left w:val="single" w:sz="4" w:space="0" w:color="auto"/>
              <w:bottom w:val="single" w:sz="4" w:space="0" w:color="auto"/>
              <w:right w:val="single" w:sz="4" w:space="0" w:color="auto"/>
            </w:tcBorders>
          </w:tcPr>
          <w:p w14:paraId="2CFA8127"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Encuesta</w:t>
            </w:r>
          </w:p>
        </w:tc>
        <w:tc>
          <w:tcPr>
            <w:tcW w:w="2388" w:type="dxa"/>
            <w:gridSpan w:val="2"/>
            <w:tcBorders>
              <w:top w:val="single" w:sz="4" w:space="0" w:color="auto"/>
              <w:left w:val="single" w:sz="4" w:space="0" w:color="auto"/>
              <w:bottom w:val="single" w:sz="4" w:space="0" w:color="auto"/>
              <w:right w:val="single" w:sz="4" w:space="0" w:color="auto"/>
            </w:tcBorders>
          </w:tcPr>
          <w:p w14:paraId="21396D71"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Encuesta</w:t>
            </w:r>
          </w:p>
        </w:tc>
      </w:tr>
      <w:tr w:rsidR="00C443FC" w:rsidRPr="00C443FC" w14:paraId="4E5BE905" w14:textId="77777777" w:rsidTr="00646128">
        <w:trPr>
          <w:jc w:val="center"/>
        </w:trPr>
        <w:tc>
          <w:tcPr>
            <w:tcW w:w="1860" w:type="dxa"/>
            <w:vMerge/>
            <w:tcBorders>
              <w:top w:val="single" w:sz="4" w:space="0" w:color="auto"/>
              <w:left w:val="single" w:sz="4" w:space="0" w:color="auto"/>
              <w:bottom w:val="single" w:sz="4" w:space="0" w:color="auto"/>
              <w:right w:val="single" w:sz="4" w:space="0" w:color="auto"/>
            </w:tcBorders>
          </w:tcPr>
          <w:p w14:paraId="2BDF006E" w14:textId="77777777" w:rsidR="00C443FC" w:rsidRPr="00C443FC" w:rsidRDefault="00C443FC" w:rsidP="00C443FC">
            <w:pPr>
              <w:jc w:val="center"/>
              <w:rPr>
                <w:rFonts w:eastAsia="Calibri"/>
                <w:b/>
                <w:sz w:val="20"/>
                <w:szCs w:val="20"/>
                <w:lang w:eastAsia="en-US"/>
              </w:rPr>
            </w:pPr>
          </w:p>
        </w:tc>
        <w:tc>
          <w:tcPr>
            <w:tcW w:w="1194" w:type="dxa"/>
            <w:tcBorders>
              <w:top w:val="single" w:sz="4" w:space="0" w:color="auto"/>
              <w:left w:val="single" w:sz="4" w:space="0" w:color="auto"/>
              <w:bottom w:val="single" w:sz="4" w:space="0" w:color="auto"/>
              <w:right w:val="single" w:sz="4" w:space="0" w:color="auto"/>
            </w:tcBorders>
          </w:tcPr>
          <w:p w14:paraId="25203BCD"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Enero</w:t>
            </w:r>
          </w:p>
        </w:tc>
        <w:tc>
          <w:tcPr>
            <w:tcW w:w="1194" w:type="dxa"/>
            <w:tcBorders>
              <w:top w:val="single" w:sz="4" w:space="0" w:color="auto"/>
              <w:left w:val="single" w:sz="4" w:space="0" w:color="auto"/>
              <w:bottom w:val="single" w:sz="4" w:space="0" w:color="auto"/>
              <w:right w:val="single" w:sz="4" w:space="0" w:color="auto"/>
            </w:tcBorders>
          </w:tcPr>
          <w:p w14:paraId="60A2F805"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Febrero</w:t>
            </w:r>
          </w:p>
        </w:tc>
        <w:tc>
          <w:tcPr>
            <w:tcW w:w="1194" w:type="dxa"/>
            <w:tcBorders>
              <w:top w:val="single" w:sz="4" w:space="0" w:color="auto"/>
              <w:left w:val="single" w:sz="4" w:space="0" w:color="auto"/>
              <w:bottom w:val="single" w:sz="4" w:space="0" w:color="auto"/>
              <w:right w:val="single" w:sz="4" w:space="0" w:color="auto"/>
            </w:tcBorders>
          </w:tcPr>
          <w:p w14:paraId="6711BBC5"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Enero</w:t>
            </w:r>
          </w:p>
        </w:tc>
        <w:tc>
          <w:tcPr>
            <w:tcW w:w="1194" w:type="dxa"/>
            <w:tcBorders>
              <w:top w:val="single" w:sz="4" w:space="0" w:color="auto"/>
              <w:left w:val="single" w:sz="4" w:space="0" w:color="auto"/>
              <w:bottom w:val="single" w:sz="4" w:space="0" w:color="auto"/>
              <w:right w:val="single" w:sz="4" w:space="0" w:color="auto"/>
            </w:tcBorders>
          </w:tcPr>
          <w:p w14:paraId="2E5D5A3F"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Febrero</w:t>
            </w:r>
          </w:p>
        </w:tc>
      </w:tr>
      <w:tr w:rsidR="00C443FC" w:rsidRPr="00C443FC" w14:paraId="22766DCA" w14:textId="77777777" w:rsidTr="00646128">
        <w:trPr>
          <w:jc w:val="center"/>
        </w:trPr>
        <w:tc>
          <w:tcPr>
            <w:tcW w:w="1860" w:type="dxa"/>
            <w:tcBorders>
              <w:top w:val="single" w:sz="4" w:space="0" w:color="auto"/>
              <w:left w:val="single" w:sz="4" w:space="0" w:color="auto"/>
              <w:right w:val="single" w:sz="4" w:space="0" w:color="auto"/>
            </w:tcBorders>
          </w:tcPr>
          <w:p w14:paraId="37073F41" w14:textId="77777777" w:rsidR="00C443FC" w:rsidRPr="00C443FC" w:rsidRDefault="00C443FC" w:rsidP="00C443FC">
            <w:pPr>
              <w:rPr>
                <w:rFonts w:eastAsia="Calibri"/>
                <w:b/>
                <w:sz w:val="20"/>
                <w:szCs w:val="20"/>
                <w:lang w:eastAsia="en-US"/>
              </w:rPr>
            </w:pPr>
            <w:r w:rsidRPr="00C443FC">
              <w:rPr>
                <w:rFonts w:eastAsia="Calibri"/>
                <w:b/>
                <w:sz w:val="20"/>
                <w:szCs w:val="20"/>
                <w:lang w:eastAsia="en-US"/>
              </w:rPr>
              <w:t>Al cierre de 2015</w:t>
            </w:r>
          </w:p>
        </w:tc>
        <w:tc>
          <w:tcPr>
            <w:tcW w:w="1194" w:type="dxa"/>
            <w:tcBorders>
              <w:top w:val="single" w:sz="4" w:space="0" w:color="auto"/>
              <w:left w:val="single" w:sz="4" w:space="0" w:color="auto"/>
              <w:right w:val="single" w:sz="4" w:space="0" w:color="auto"/>
            </w:tcBorders>
          </w:tcPr>
          <w:p w14:paraId="2C1283AC"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6.22</w:t>
            </w:r>
          </w:p>
        </w:tc>
        <w:tc>
          <w:tcPr>
            <w:tcW w:w="1194" w:type="dxa"/>
            <w:tcBorders>
              <w:top w:val="single" w:sz="4" w:space="0" w:color="auto"/>
              <w:left w:val="single" w:sz="4" w:space="0" w:color="auto"/>
              <w:right w:val="single" w:sz="4" w:space="0" w:color="auto"/>
            </w:tcBorders>
          </w:tcPr>
          <w:p w14:paraId="5D5215E7"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6.18</w:t>
            </w:r>
          </w:p>
        </w:tc>
        <w:tc>
          <w:tcPr>
            <w:tcW w:w="1194" w:type="dxa"/>
            <w:tcBorders>
              <w:top w:val="single" w:sz="4" w:space="0" w:color="auto"/>
              <w:left w:val="single" w:sz="4" w:space="0" w:color="auto"/>
              <w:right w:val="single" w:sz="4" w:space="0" w:color="auto"/>
            </w:tcBorders>
          </w:tcPr>
          <w:p w14:paraId="311F3681"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6.25</w:t>
            </w:r>
          </w:p>
        </w:tc>
        <w:tc>
          <w:tcPr>
            <w:tcW w:w="1194" w:type="dxa"/>
            <w:tcBorders>
              <w:top w:val="single" w:sz="4" w:space="0" w:color="auto"/>
              <w:left w:val="single" w:sz="4" w:space="0" w:color="auto"/>
              <w:right w:val="single" w:sz="4" w:space="0" w:color="auto"/>
            </w:tcBorders>
          </w:tcPr>
          <w:p w14:paraId="157AC8CF"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6.10</w:t>
            </w:r>
          </w:p>
        </w:tc>
      </w:tr>
      <w:tr w:rsidR="00C443FC" w:rsidRPr="00C443FC" w14:paraId="70FF642B" w14:textId="77777777" w:rsidTr="00646128">
        <w:trPr>
          <w:jc w:val="center"/>
        </w:trPr>
        <w:tc>
          <w:tcPr>
            <w:tcW w:w="1860" w:type="dxa"/>
            <w:tcBorders>
              <w:left w:val="single" w:sz="4" w:space="0" w:color="auto"/>
              <w:right w:val="single" w:sz="4" w:space="0" w:color="auto"/>
            </w:tcBorders>
          </w:tcPr>
          <w:p w14:paraId="345EA7E3" w14:textId="77777777" w:rsidR="00C443FC" w:rsidRPr="00C443FC" w:rsidRDefault="00C443FC" w:rsidP="00C443FC">
            <w:pPr>
              <w:rPr>
                <w:rFonts w:eastAsia="Calibri"/>
                <w:b/>
                <w:sz w:val="20"/>
                <w:szCs w:val="20"/>
                <w:lang w:eastAsia="en-US"/>
              </w:rPr>
            </w:pPr>
            <w:r w:rsidRPr="00C443FC">
              <w:rPr>
                <w:rFonts w:eastAsia="Calibri"/>
                <w:b/>
                <w:sz w:val="20"/>
                <w:szCs w:val="20"/>
                <w:lang w:eastAsia="en-US"/>
              </w:rPr>
              <w:t>Al cierre de 2016</w:t>
            </w:r>
          </w:p>
        </w:tc>
        <w:tc>
          <w:tcPr>
            <w:tcW w:w="1194" w:type="dxa"/>
            <w:tcBorders>
              <w:left w:val="single" w:sz="4" w:space="0" w:color="auto"/>
              <w:right w:val="single" w:sz="4" w:space="0" w:color="auto"/>
            </w:tcBorders>
          </w:tcPr>
          <w:p w14:paraId="2E5B9093"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6.80</w:t>
            </w:r>
          </w:p>
        </w:tc>
        <w:tc>
          <w:tcPr>
            <w:tcW w:w="1194" w:type="dxa"/>
            <w:tcBorders>
              <w:left w:val="single" w:sz="4" w:space="0" w:color="auto"/>
              <w:right w:val="single" w:sz="4" w:space="0" w:color="auto"/>
            </w:tcBorders>
          </w:tcPr>
          <w:p w14:paraId="09C61A78"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6.74</w:t>
            </w:r>
          </w:p>
        </w:tc>
        <w:tc>
          <w:tcPr>
            <w:tcW w:w="1194" w:type="dxa"/>
            <w:tcBorders>
              <w:left w:val="single" w:sz="4" w:space="0" w:color="auto"/>
              <w:right w:val="single" w:sz="4" w:space="0" w:color="auto"/>
            </w:tcBorders>
          </w:tcPr>
          <w:p w14:paraId="0FF21083"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6.66</w:t>
            </w:r>
          </w:p>
        </w:tc>
        <w:tc>
          <w:tcPr>
            <w:tcW w:w="1194" w:type="dxa"/>
            <w:tcBorders>
              <w:left w:val="single" w:sz="4" w:space="0" w:color="auto"/>
              <w:right w:val="single" w:sz="4" w:space="0" w:color="auto"/>
            </w:tcBorders>
          </w:tcPr>
          <w:p w14:paraId="54703DCA"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6.61</w:t>
            </w:r>
          </w:p>
        </w:tc>
      </w:tr>
      <w:tr w:rsidR="00C443FC" w:rsidRPr="00C443FC" w14:paraId="6CEC16A9" w14:textId="77777777" w:rsidTr="00646128">
        <w:trPr>
          <w:jc w:val="center"/>
        </w:trPr>
        <w:tc>
          <w:tcPr>
            <w:tcW w:w="1860" w:type="dxa"/>
            <w:tcBorders>
              <w:left w:val="single" w:sz="4" w:space="0" w:color="auto"/>
              <w:bottom w:val="single" w:sz="4" w:space="0" w:color="auto"/>
              <w:right w:val="single" w:sz="4" w:space="0" w:color="auto"/>
            </w:tcBorders>
          </w:tcPr>
          <w:p w14:paraId="10B2B425" w14:textId="77777777" w:rsidR="00C443FC" w:rsidRPr="00C443FC" w:rsidRDefault="00C443FC" w:rsidP="00C443FC">
            <w:pPr>
              <w:rPr>
                <w:rFonts w:eastAsia="Calibri"/>
                <w:b/>
                <w:sz w:val="20"/>
                <w:szCs w:val="20"/>
                <w:lang w:eastAsia="en-US"/>
              </w:rPr>
            </w:pPr>
            <w:r w:rsidRPr="00C443FC">
              <w:rPr>
                <w:rFonts w:eastAsia="Calibri"/>
                <w:b/>
                <w:sz w:val="20"/>
                <w:szCs w:val="20"/>
                <w:lang w:eastAsia="en-US"/>
              </w:rPr>
              <w:t>Al cierre de 2017</w:t>
            </w:r>
          </w:p>
        </w:tc>
        <w:tc>
          <w:tcPr>
            <w:tcW w:w="1194" w:type="dxa"/>
            <w:tcBorders>
              <w:left w:val="single" w:sz="4" w:space="0" w:color="auto"/>
              <w:bottom w:val="single" w:sz="4" w:space="0" w:color="auto"/>
              <w:right w:val="single" w:sz="4" w:space="0" w:color="auto"/>
            </w:tcBorders>
          </w:tcPr>
          <w:p w14:paraId="32B59FEC"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7.06</w:t>
            </w:r>
          </w:p>
        </w:tc>
        <w:tc>
          <w:tcPr>
            <w:tcW w:w="1194" w:type="dxa"/>
            <w:tcBorders>
              <w:left w:val="single" w:sz="4" w:space="0" w:color="auto"/>
              <w:bottom w:val="single" w:sz="4" w:space="0" w:color="auto"/>
              <w:right w:val="single" w:sz="4" w:space="0" w:color="auto"/>
            </w:tcBorders>
          </w:tcPr>
          <w:p w14:paraId="7CC4E836"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7.02</w:t>
            </w:r>
          </w:p>
        </w:tc>
        <w:tc>
          <w:tcPr>
            <w:tcW w:w="1194" w:type="dxa"/>
            <w:tcBorders>
              <w:left w:val="single" w:sz="4" w:space="0" w:color="auto"/>
              <w:bottom w:val="single" w:sz="4" w:space="0" w:color="auto"/>
              <w:right w:val="single" w:sz="4" w:space="0" w:color="auto"/>
            </w:tcBorders>
          </w:tcPr>
          <w:p w14:paraId="290D6AC3"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6.95</w:t>
            </w:r>
          </w:p>
        </w:tc>
        <w:tc>
          <w:tcPr>
            <w:tcW w:w="1194" w:type="dxa"/>
            <w:tcBorders>
              <w:left w:val="single" w:sz="4" w:space="0" w:color="auto"/>
              <w:bottom w:val="single" w:sz="4" w:space="0" w:color="auto"/>
              <w:right w:val="single" w:sz="4" w:space="0" w:color="auto"/>
            </w:tcBorders>
          </w:tcPr>
          <w:p w14:paraId="02C57A29"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7.00</w:t>
            </w:r>
          </w:p>
        </w:tc>
      </w:tr>
      <w:tr w:rsidR="00C443FC" w:rsidRPr="00C443FC" w14:paraId="64144238" w14:textId="77777777" w:rsidTr="007B7E95">
        <w:trPr>
          <w:jc w:val="center"/>
        </w:trPr>
        <w:tc>
          <w:tcPr>
            <w:tcW w:w="6636" w:type="dxa"/>
            <w:gridSpan w:val="5"/>
            <w:tcBorders>
              <w:left w:val="nil"/>
              <w:bottom w:val="nil"/>
              <w:right w:val="nil"/>
            </w:tcBorders>
          </w:tcPr>
          <w:p w14:paraId="382E5233" w14:textId="77777777" w:rsidR="00C443FC" w:rsidRPr="00C443FC" w:rsidRDefault="00C443FC" w:rsidP="00C443FC">
            <w:pPr>
              <w:rPr>
                <w:rFonts w:eastAsia="Calibri"/>
                <w:sz w:val="20"/>
                <w:szCs w:val="20"/>
                <w:lang w:eastAsia="en-US"/>
              </w:rPr>
            </w:pPr>
            <w:r w:rsidRPr="00C443FC">
              <w:rPr>
                <w:rFonts w:eastAsia="Calibri"/>
                <w:sz w:val="20"/>
                <w:szCs w:val="20"/>
                <w:lang w:eastAsia="en-US"/>
              </w:rPr>
              <w:t>FUENTE: Banco de México</w:t>
            </w:r>
          </w:p>
        </w:tc>
      </w:tr>
    </w:tbl>
    <w:p w14:paraId="783D5A6C" w14:textId="77777777" w:rsidR="00C443FC" w:rsidRPr="00C443FC" w:rsidRDefault="00C443FC" w:rsidP="00C443FC">
      <w:pPr>
        <w:spacing w:after="360" w:line="360" w:lineRule="auto"/>
        <w:ind w:right="-159"/>
        <w:jc w:val="both"/>
        <w:rPr>
          <w:rFonts w:eastAsia="Calibri"/>
          <w:sz w:val="26"/>
          <w:szCs w:val="26"/>
          <w:lang w:eastAsia="en-US"/>
        </w:rPr>
      </w:pPr>
    </w:p>
    <w:p w14:paraId="7C2A48D8" w14:textId="68C1C9C7" w:rsidR="00D27C30" w:rsidRPr="00D27C30" w:rsidRDefault="00D27C30" w:rsidP="00D27C30">
      <w:pPr>
        <w:spacing w:after="160" w:line="259" w:lineRule="auto"/>
        <w:jc w:val="center"/>
        <w:rPr>
          <w:rFonts w:ascii="Calibri" w:eastAsia="Calibri" w:hAnsi="Calibri"/>
          <w:sz w:val="22"/>
          <w:szCs w:val="22"/>
          <w:lang w:eastAsia="en-US"/>
        </w:rPr>
      </w:pPr>
      <w:r w:rsidRPr="00D27C30">
        <w:rPr>
          <w:rFonts w:ascii="Calibri" w:eastAsia="Calibri" w:hAnsi="Calibri"/>
          <w:sz w:val="22"/>
          <w:szCs w:val="22"/>
          <w:lang w:eastAsia="en-US"/>
        </w:rPr>
        <w:fldChar w:fldCharType="begin"/>
      </w:r>
      <w:r w:rsidRPr="00D27C30">
        <w:rPr>
          <w:rFonts w:ascii="Calibri" w:eastAsia="Calibri" w:hAnsi="Calibri"/>
          <w:sz w:val="22"/>
          <w:szCs w:val="22"/>
          <w:lang w:eastAsia="en-US"/>
        </w:rPr>
        <w:instrText xml:space="preserve"> LINK PowerPoint.Slide.8 "D:\\2015\\MARZO 2014\\GRÁFICAS EN POWER POINT\\14.-GRÁFICAS DE EXPECTATIVAS II.pptx!567" "" \a \p </w:instrText>
      </w:r>
      <w:r w:rsidRPr="00D27C30">
        <w:rPr>
          <w:rFonts w:ascii="Calibri" w:eastAsia="Calibri" w:hAnsi="Calibri"/>
          <w:sz w:val="22"/>
          <w:szCs w:val="22"/>
          <w:lang w:eastAsia="en-US"/>
        </w:rPr>
        <w:fldChar w:fldCharType="separate"/>
      </w:r>
      <w:r w:rsidRPr="00D27C30">
        <w:rPr>
          <w:rFonts w:ascii="Calibri" w:eastAsia="Calibri" w:hAnsi="Calibri"/>
          <w:noProof/>
          <w:sz w:val="22"/>
          <w:szCs w:val="22"/>
          <w:lang w:eastAsia="es-MX"/>
        </w:rPr>
        <w:drawing>
          <wp:inline distT="0" distB="0" distL="0" distR="0" wp14:anchorId="02D0DB45" wp14:editId="6A5F6565">
            <wp:extent cx="4207510" cy="3256280"/>
            <wp:effectExtent l="0" t="0" r="2540" b="1270"/>
            <wp:docPr id="1522" name="Imagen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25"/>
                    <pic:cNvPicPr>
                      <a:picLocks noChangeAspect="1" noChangeArrowheads="1"/>
                    </pic:cNvPicPr>
                  </pic:nvPicPr>
                  <pic:blipFill>
                    <a:blip r:embed="rId265" cstate="print">
                      <a:extLst>
                        <a:ext uri="{28A0092B-C50C-407E-A947-70E740481C1C}">
                          <a14:useLocalDpi xmlns:a14="http://schemas.microsoft.com/office/drawing/2010/main" val="0"/>
                        </a:ext>
                      </a:extLst>
                    </a:blip>
                    <a:srcRect l="5136" r="2576" b="4970"/>
                    <a:stretch>
                      <a:fillRect/>
                    </a:stretch>
                  </pic:blipFill>
                  <pic:spPr bwMode="auto">
                    <a:xfrm>
                      <a:off x="0" y="0"/>
                      <a:ext cx="4207510" cy="3256280"/>
                    </a:xfrm>
                    <a:prstGeom prst="rect">
                      <a:avLst/>
                    </a:prstGeom>
                    <a:noFill/>
                    <a:ln>
                      <a:noFill/>
                    </a:ln>
                  </pic:spPr>
                </pic:pic>
              </a:graphicData>
            </a:graphic>
          </wp:inline>
        </w:drawing>
      </w:r>
      <w:r w:rsidRPr="00D27C30">
        <w:rPr>
          <w:rFonts w:ascii="Calibri" w:eastAsia="Calibri" w:hAnsi="Calibri"/>
          <w:sz w:val="22"/>
          <w:szCs w:val="22"/>
          <w:lang w:eastAsia="en-US"/>
        </w:rPr>
        <w:fldChar w:fldCharType="end"/>
      </w:r>
    </w:p>
    <w:p w14:paraId="7D396E77" w14:textId="77777777" w:rsidR="00D27C30" w:rsidRPr="00D27C30" w:rsidRDefault="00D27C30" w:rsidP="00D27C30">
      <w:pPr>
        <w:spacing w:after="160" w:line="259" w:lineRule="auto"/>
        <w:jc w:val="center"/>
        <w:rPr>
          <w:rFonts w:ascii="Calibri" w:eastAsia="Calibri" w:hAnsi="Calibri"/>
          <w:sz w:val="22"/>
          <w:szCs w:val="22"/>
          <w:lang w:eastAsia="en-US"/>
        </w:rPr>
      </w:pPr>
    </w:p>
    <w:p w14:paraId="1F4FCFEE" w14:textId="56804E30" w:rsidR="00D27C30" w:rsidRPr="00D27C30" w:rsidRDefault="00D27C30" w:rsidP="00D27C30">
      <w:pPr>
        <w:spacing w:after="160" w:line="259" w:lineRule="auto"/>
        <w:jc w:val="center"/>
        <w:rPr>
          <w:rFonts w:ascii="Calibri" w:eastAsia="Calibri" w:hAnsi="Calibri"/>
          <w:sz w:val="22"/>
          <w:szCs w:val="22"/>
          <w:lang w:eastAsia="en-US"/>
        </w:rPr>
      </w:pPr>
      <w:r w:rsidRPr="00D27C30">
        <w:rPr>
          <w:rFonts w:ascii="Calibri" w:eastAsia="Calibri" w:hAnsi="Calibri"/>
          <w:sz w:val="22"/>
          <w:szCs w:val="22"/>
          <w:lang w:eastAsia="en-US"/>
        </w:rPr>
        <w:lastRenderedPageBreak/>
        <w:fldChar w:fldCharType="begin"/>
      </w:r>
      <w:r w:rsidRPr="00D27C30">
        <w:rPr>
          <w:rFonts w:ascii="Calibri" w:eastAsia="Calibri" w:hAnsi="Calibri"/>
          <w:sz w:val="22"/>
          <w:szCs w:val="22"/>
          <w:lang w:eastAsia="en-US"/>
        </w:rPr>
        <w:instrText xml:space="preserve"> LINK PowerPoint.Slide.8 "D:\\2015\\MARZO 2014\\GRÁFICAS EN POWER POINT\\14.-GRÁFICAS DE EXPECTATIVAS II.pptx!595" "" \a \p </w:instrText>
      </w:r>
      <w:r w:rsidRPr="00D27C30">
        <w:rPr>
          <w:rFonts w:ascii="Calibri" w:eastAsia="Calibri" w:hAnsi="Calibri"/>
          <w:sz w:val="22"/>
          <w:szCs w:val="22"/>
          <w:lang w:eastAsia="en-US"/>
        </w:rPr>
        <w:fldChar w:fldCharType="separate"/>
      </w:r>
      <w:r w:rsidRPr="00D27C30">
        <w:rPr>
          <w:rFonts w:ascii="Calibri" w:eastAsia="Calibri" w:hAnsi="Calibri"/>
          <w:noProof/>
          <w:sz w:val="22"/>
          <w:szCs w:val="22"/>
          <w:lang w:eastAsia="es-MX"/>
        </w:rPr>
        <w:drawing>
          <wp:inline distT="0" distB="0" distL="0" distR="0" wp14:anchorId="2178A083" wp14:editId="66048572">
            <wp:extent cx="4157980" cy="3138805"/>
            <wp:effectExtent l="0" t="0" r="0" b="4445"/>
            <wp:docPr id="1521" name="Imagen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26"/>
                    <pic:cNvPicPr>
                      <a:picLocks noChangeAspect="1" noChangeArrowheads="1"/>
                    </pic:cNvPicPr>
                  </pic:nvPicPr>
                  <pic:blipFill>
                    <a:blip r:embed="rId266" cstate="print">
                      <a:extLst>
                        <a:ext uri="{28A0092B-C50C-407E-A947-70E740481C1C}">
                          <a14:useLocalDpi xmlns:a14="http://schemas.microsoft.com/office/drawing/2010/main" val="0"/>
                        </a:ext>
                      </a:extLst>
                    </a:blip>
                    <a:srcRect l="6056" r="2798" b="8383"/>
                    <a:stretch>
                      <a:fillRect/>
                    </a:stretch>
                  </pic:blipFill>
                  <pic:spPr bwMode="auto">
                    <a:xfrm>
                      <a:off x="0" y="0"/>
                      <a:ext cx="4157980" cy="3138805"/>
                    </a:xfrm>
                    <a:prstGeom prst="rect">
                      <a:avLst/>
                    </a:prstGeom>
                    <a:noFill/>
                    <a:ln>
                      <a:noFill/>
                    </a:ln>
                  </pic:spPr>
                </pic:pic>
              </a:graphicData>
            </a:graphic>
          </wp:inline>
        </w:drawing>
      </w:r>
      <w:r w:rsidRPr="00D27C30">
        <w:rPr>
          <w:rFonts w:ascii="Calibri" w:eastAsia="Calibri" w:hAnsi="Calibri"/>
          <w:sz w:val="22"/>
          <w:szCs w:val="22"/>
          <w:lang w:eastAsia="en-US"/>
        </w:rPr>
        <w:fldChar w:fldCharType="end"/>
      </w:r>
    </w:p>
    <w:p w14:paraId="53E8AB4F" w14:textId="77777777" w:rsidR="00D27C30" w:rsidRPr="00D27C30" w:rsidRDefault="00D27C30" w:rsidP="00D27C30">
      <w:pPr>
        <w:spacing w:after="160" w:line="259" w:lineRule="auto"/>
        <w:jc w:val="center"/>
        <w:rPr>
          <w:rFonts w:ascii="Calibri" w:eastAsia="Calibri" w:hAnsi="Calibri"/>
          <w:sz w:val="22"/>
          <w:szCs w:val="22"/>
          <w:lang w:eastAsia="en-US"/>
        </w:rPr>
      </w:pPr>
    </w:p>
    <w:p w14:paraId="2000EB57" w14:textId="1E4BE607" w:rsidR="00D27C30" w:rsidRPr="00D27C30" w:rsidRDefault="00D27C30" w:rsidP="00D27C30">
      <w:pPr>
        <w:spacing w:after="160" w:line="259" w:lineRule="auto"/>
        <w:jc w:val="center"/>
        <w:rPr>
          <w:rFonts w:ascii="Calibri" w:eastAsia="Calibri" w:hAnsi="Calibri"/>
          <w:sz w:val="22"/>
          <w:szCs w:val="22"/>
          <w:lang w:eastAsia="en-US"/>
        </w:rPr>
      </w:pPr>
      <w:r w:rsidRPr="00D27C30">
        <w:rPr>
          <w:rFonts w:ascii="Calibri" w:eastAsia="Calibri" w:hAnsi="Calibri"/>
          <w:sz w:val="22"/>
          <w:szCs w:val="22"/>
          <w:lang w:eastAsia="en-US"/>
        </w:rPr>
        <w:fldChar w:fldCharType="begin"/>
      </w:r>
      <w:r w:rsidRPr="00D27C30">
        <w:rPr>
          <w:rFonts w:ascii="Calibri" w:eastAsia="Calibri" w:hAnsi="Calibri"/>
          <w:sz w:val="22"/>
          <w:szCs w:val="22"/>
          <w:lang w:eastAsia="en-US"/>
        </w:rPr>
        <w:instrText xml:space="preserve"> LINK PowerPoint.Slide.8 "D:\\2015\\MARZO 2014\\GRÁFICAS EN POWER POINT\\14.-GRÁFICAS DE EXPECTATIVAS II.pptx!603" "" \a \p </w:instrText>
      </w:r>
      <w:r w:rsidRPr="00D27C30">
        <w:rPr>
          <w:rFonts w:ascii="Calibri" w:eastAsia="Calibri" w:hAnsi="Calibri"/>
          <w:sz w:val="22"/>
          <w:szCs w:val="22"/>
          <w:lang w:eastAsia="en-US"/>
        </w:rPr>
        <w:fldChar w:fldCharType="separate"/>
      </w:r>
      <w:r w:rsidRPr="00D27C30">
        <w:rPr>
          <w:rFonts w:ascii="Calibri" w:eastAsia="Calibri" w:hAnsi="Calibri"/>
          <w:noProof/>
          <w:sz w:val="22"/>
          <w:szCs w:val="22"/>
          <w:lang w:eastAsia="es-MX"/>
        </w:rPr>
        <w:drawing>
          <wp:inline distT="0" distB="0" distL="0" distR="0" wp14:anchorId="2BB28F25" wp14:editId="1C84660E">
            <wp:extent cx="4201160" cy="3169285"/>
            <wp:effectExtent l="0" t="0" r="8890" b="0"/>
            <wp:docPr id="1520" name="Imagen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27"/>
                    <pic:cNvPicPr>
                      <a:picLocks noChangeAspect="1" noChangeArrowheads="1"/>
                    </pic:cNvPicPr>
                  </pic:nvPicPr>
                  <pic:blipFill>
                    <a:blip r:embed="rId267" cstate="print">
                      <a:extLst>
                        <a:ext uri="{28A0092B-C50C-407E-A947-70E740481C1C}">
                          <a14:useLocalDpi xmlns:a14="http://schemas.microsoft.com/office/drawing/2010/main" val="0"/>
                        </a:ext>
                      </a:extLst>
                    </a:blip>
                    <a:srcRect l="6056" r="1851" b="7437"/>
                    <a:stretch>
                      <a:fillRect/>
                    </a:stretch>
                  </pic:blipFill>
                  <pic:spPr bwMode="auto">
                    <a:xfrm>
                      <a:off x="0" y="0"/>
                      <a:ext cx="4201160" cy="3169285"/>
                    </a:xfrm>
                    <a:prstGeom prst="rect">
                      <a:avLst/>
                    </a:prstGeom>
                    <a:noFill/>
                    <a:ln>
                      <a:noFill/>
                    </a:ln>
                  </pic:spPr>
                </pic:pic>
              </a:graphicData>
            </a:graphic>
          </wp:inline>
        </w:drawing>
      </w:r>
      <w:r w:rsidRPr="00D27C30">
        <w:rPr>
          <w:rFonts w:ascii="Calibri" w:eastAsia="Calibri" w:hAnsi="Calibri"/>
          <w:sz w:val="22"/>
          <w:szCs w:val="22"/>
          <w:lang w:eastAsia="en-US"/>
        </w:rPr>
        <w:fldChar w:fldCharType="end"/>
      </w:r>
    </w:p>
    <w:p w14:paraId="34B0F797" w14:textId="77777777" w:rsidR="00C443FC" w:rsidRPr="00C443FC" w:rsidRDefault="00C443FC" w:rsidP="00C443FC">
      <w:pPr>
        <w:spacing w:after="360" w:line="360" w:lineRule="auto"/>
        <w:ind w:right="-159"/>
        <w:jc w:val="both"/>
        <w:rPr>
          <w:rFonts w:eastAsia="Calibri"/>
          <w:b/>
          <w:sz w:val="26"/>
          <w:szCs w:val="26"/>
          <w:lang w:eastAsia="en-US"/>
        </w:rPr>
      </w:pPr>
      <w:r w:rsidRPr="00C443FC">
        <w:rPr>
          <w:rFonts w:eastAsia="Calibri"/>
          <w:b/>
          <w:sz w:val="26"/>
          <w:szCs w:val="26"/>
          <w:lang w:eastAsia="en-US"/>
        </w:rPr>
        <w:t>Tipo de cambio</w:t>
      </w:r>
    </w:p>
    <w:p w14:paraId="04173CF7" w14:textId="77777777" w:rsidR="00C443FC" w:rsidRDefault="00C443FC" w:rsidP="00C443FC">
      <w:pPr>
        <w:spacing w:after="360" w:line="360" w:lineRule="auto"/>
        <w:ind w:right="-159"/>
        <w:jc w:val="both"/>
        <w:rPr>
          <w:rFonts w:eastAsia="Calibri"/>
          <w:sz w:val="26"/>
          <w:szCs w:val="26"/>
          <w:lang w:eastAsia="en-US"/>
        </w:rPr>
      </w:pPr>
      <w:r w:rsidRPr="00C443FC">
        <w:rPr>
          <w:rFonts w:eastAsia="Calibri"/>
          <w:sz w:val="26"/>
          <w:szCs w:val="26"/>
          <w:lang w:eastAsia="en-US"/>
        </w:rPr>
        <w:t xml:space="preserve">En esta sección se presentan las expectativas sobre el nivel del tipo de cambio del peso frente al dólar estadounidense para los cierres de 2015 y 2016 (ver el cuadro </w:t>
      </w:r>
      <w:r w:rsidRPr="00C443FC">
        <w:rPr>
          <w:rFonts w:eastAsia="Calibri"/>
          <w:i/>
          <w:sz w:val="26"/>
          <w:szCs w:val="26"/>
          <w:lang w:eastAsia="en-US"/>
        </w:rPr>
        <w:t>Expectativas del tipo de cambio para el cierre del año</w:t>
      </w:r>
      <w:r w:rsidRPr="00C443FC">
        <w:rPr>
          <w:rFonts w:eastAsia="Calibri"/>
          <w:sz w:val="26"/>
          <w:szCs w:val="26"/>
          <w:lang w:eastAsia="en-US"/>
        </w:rPr>
        <w:t xml:space="preserve"> y las gráficaa </w:t>
      </w:r>
      <w:r w:rsidRPr="00C443FC">
        <w:rPr>
          <w:rFonts w:eastAsia="Calibri"/>
          <w:i/>
          <w:sz w:val="26"/>
          <w:szCs w:val="26"/>
          <w:lang w:eastAsia="en-US"/>
        </w:rPr>
        <w:t xml:space="preserve">Expectativas del </w:t>
      </w:r>
      <w:r w:rsidRPr="00C443FC">
        <w:rPr>
          <w:rFonts w:eastAsia="Calibri"/>
          <w:i/>
          <w:sz w:val="26"/>
          <w:szCs w:val="26"/>
          <w:lang w:eastAsia="en-US"/>
        </w:rPr>
        <w:lastRenderedPageBreak/>
        <w:t>tipo de cambio para el cierre de 2015 y 2016</w:t>
      </w:r>
      <w:r w:rsidRPr="00C443FC">
        <w:rPr>
          <w:rFonts w:eastAsia="Calibri"/>
          <w:sz w:val="26"/>
          <w:szCs w:val="26"/>
          <w:lang w:eastAsia="en-US"/>
        </w:rPr>
        <w:t xml:space="preserve">), así como los pronósticos acerca de dicha variable para cada uno de los próximos doce meses (ver el cuadro </w:t>
      </w:r>
      <w:r w:rsidRPr="00C443FC">
        <w:rPr>
          <w:rFonts w:eastAsia="Calibri"/>
          <w:i/>
          <w:sz w:val="26"/>
          <w:szCs w:val="26"/>
          <w:lang w:eastAsia="en-US"/>
        </w:rPr>
        <w:t>Expectativas del tipo de cambio para los próximos meses</w:t>
      </w:r>
      <w:r w:rsidRPr="00C443FC">
        <w:rPr>
          <w:rFonts w:eastAsia="Calibri"/>
          <w:sz w:val="26"/>
          <w:szCs w:val="26"/>
          <w:lang w:eastAsia="en-US"/>
        </w:rPr>
        <w:t>). Como puede apreciarse, las expectativas recabadas en febrero sobre los niveles esperados del tipo de cambio para los cierres de 2015 y 2016 se revisaron al alza en relación con la encuesta del mes previo.</w:t>
      </w:r>
    </w:p>
    <w:tbl>
      <w:tblPr>
        <w:tblW w:w="0" w:type="auto"/>
        <w:jc w:val="center"/>
        <w:tblLook w:val="04A0" w:firstRow="1" w:lastRow="0" w:firstColumn="1" w:lastColumn="0" w:noHBand="0" w:noVBand="1"/>
      </w:tblPr>
      <w:tblGrid>
        <w:gridCol w:w="1293"/>
        <w:gridCol w:w="1194"/>
        <w:gridCol w:w="1194"/>
        <w:gridCol w:w="1194"/>
        <w:gridCol w:w="1194"/>
      </w:tblGrid>
      <w:tr w:rsidR="00C443FC" w:rsidRPr="00C443FC" w14:paraId="6634BBBE" w14:textId="77777777" w:rsidTr="00284BB1">
        <w:trPr>
          <w:jc w:val="center"/>
        </w:trPr>
        <w:tc>
          <w:tcPr>
            <w:tcW w:w="6069" w:type="dxa"/>
            <w:gridSpan w:val="5"/>
            <w:tcBorders>
              <w:top w:val="nil"/>
              <w:left w:val="nil"/>
              <w:bottom w:val="single" w:sz="4" w:space="0" w:color="auto"/>
              <w:right w:val="nil"/>
            </w:tcBorders>
          </w:tcPr>
          <w:p w14:paraId="0A8A92CB" w14:textId="77777777" w:rsidR="00C443FC" w:rsidRPr="00C443FC" w:rsidRDefault="00C443FC" w:rsidP="00C443FC">
            <w:pPr>
              <w:jc w:val="center"/>
              <w:rPr>
                <w:rFonts w:eastAsia="Calibri"/>
                <w:b/>
                <w:sz w:val="22"/>
                <w:szCs w:val="22"/>
                <w:lang w:eastAsia="en-US"/>
              </w:rPr>
            </w:pPr>
            <w:r w:rsidRPr="00C443FC">
              <w:rPr>
                <w:rFonts w:eastAsia="Calibri"/>
                <w:b/>
                <w:sz w:val="22"/>
                <w:szCs w:val="22"/>
                <w:lang w:eastAsia="en-US"/>
              </w:rPr>
              <w:t>EXPECTATIVAS DEL TIPO DE CAMBIO PARA EL CIERRE DEL AÑO</w:t>
            </w:r>
          </w:p>
          <w:p w14:paraId="012E3F08" w14:textId="77777777" w:rsidR="00C443FC" w:rsidRPr="00C443FC" w:rsidRDefault="00C443FC" w:rsidP="00C443FC">
            <w:pPr>
              <w:jc w:val="center"/>
              <w:rPr>
                <w:rFonts w:eastAsia="Calibri"/>
                <w:b/>
                <w:sz w:val="22"/>
                <w:szCs w:val="22"/>
                <w:lang w:eastAsia="en-US"/>
              </w:rPr>
            </w:pPr>
            <w:r w:rsidRPr="00C443FC">
              <w:rPr>
                <w:rFonts w:eastAsia="Calibri"/>
                <w:b/>
                <w:sz w:val="22"/>
                <w:szCs w:val="22"/>
                <w:lang w:eastAsia="en-US"/>
              </w:rPr>
              <w:t>-Pesos por dólar-</w:t>
            </w:r>
          </w:p>
        </w:tc>
      </w:tr>
      <w:tr w:rsidR="00C443FC" w:rsidRPr="00C443FC" w14:paraId="0D6F51D3" w14:textId="77777777" w:rsidTr="00284BB1">
        <w:trPr>
          <w:jc w:val="center"/>
        </w:trPr>
        <w:tc>
          <w:tcPr>
            <w:tcW w:w="1293" w:type="dxa"/>
            <w:vMerge w:val="restart"/>
            <w:tcBorders>
              <w:top w:val="single" w:sz="4" w:space="0" w:color="auto"/>
              <w:left w:val="single" w:sz="4" w:space="0" w:color="auto"/>
              <w:bottom w:val="single" w:sz="4" w:space="0" w:color="auto"/>
              <w:right w:val="single" w:sz="4" w:space="0" w:color="auto"/>
            </w:tcBorders>
          </w:tcPr>
          <w:p w14:paraId="10135DD1" w14:textId="77777777" w:rsidR="00C443FC" w:rsidRPr="00C443FC" w:rsidRDefault="00C443FC" w:rsidP="00C443FC">
            <w:pPr>
              <w:jc w:val="center"/>
              <w:rPr>
                <w:rFonts w:eastAsia="Calibri"/>
                <w:b/>
                <w:sz w:val="20"/>
                <w:szCs w:val="20"/>
                <w:lang w:eastAsia="en-US"/>
              </w:rPr>
            </w:pPr>
          </w:p>
        </w:tc>
        <w:tc>
          <w:tcPr>
            <w:tcW w:w="2388" w:type="dxa"/>
            <w:gridSpan w:val="2"/>
            <w:tcBorders>
              <w:top w:val="single" w:sz="4" w:space="0" w:color="auto"/>
              <w:left w:val="single" w:sz="4" w:space="0" w:color="auto"/>
              <w:bottom w:val="single" w:sz="4" w:space="0" w:color="auto"/>
              <w:right w:val="single" w:sz="4" w:space="0" w:color="auto"/>
            </w:tcBorders>
          </w:tcPr>
          <w:p w14:paraId="5202C82F"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Media</w:t>
            </w:r>
          </w:p>
        </w:tc>
        <w:tc>
          <w:tcPr>
            <w:tcW w:w="2388" w:type="dxa"/>
            <w:gridSpan w:val="2"/>
            <w:tcBorders>
              <w:top w:val="single" w:sz="4" w:space="0" w:color="auto"/>
              <w:left w:val="single" w:sz="4" w:space="0" w:color="auto"/>
              <w:bottom w:val="single" w:sz="4" w:space="0" w:color="auto"/>
              <w:right w:val="single" w:sz="4" w:space="0" w:color="auto"/>
            </w:tcBorders>
          </w:tcPr>
          <w:p w14:paraId="4FC681D3"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Mediana</w:t>
            </w:r>
          </w:p>
        </w:tc>
      </w:tr>
      <w:tr w:rsidR="00C443FC" w:rsidRPr="00C443FC" w14:paraId="5D95AA7C" w14:textId="77777777" w:rsidTr="00284BB1">
        <w:trPr>
          <w:jc w:val="center"/>
        </w:trPr>
        <w:tc>
          <w:tcPr>
            <w:tcW w:w="1293" w:type="dxa"/>
            <w:vMerge/>
            <w:tcBorders>
              <w:top w:val="single" w:sz="4" w:space="0" w:color="auto"/>
              <w:left w:val="single" w:sz="4" w:space="0" w:color="auto"/>
              <w:bottom w:val="single" w:sz="4" w:space="0" w:color="auto"/>
              <w:right w:val="single" w:sz="4" w:space="0" w:color="auto"/>
            </w:tcBorders>
          </w:tcPr>
          <w:p w14:paraId="02A2BAC9" w14:textId="77777777" w:rsidR="00C443FC" w:rsidRPr="00C443FC" w:rsidRDefault="00C443FC" w:rsidP="00C443FC">
            <w:pPr>
              <w:jc w:val="center"/>
              <w:rPr>
                <w:rFonts w:eastAsia="Calibri"/>
                <w:b/>
                <w:sz w:val="20"/>
                <w:szCs w:val="20"/>
                <w:lang w:eastAsia="en-US"/>
              </w:rPr>
            </w:pPr>
          </w:p>
        </w:tc>
        <w:tc>
          <w:tcPr>
            <w:tcW w:w="2388" w:type="dxa"/>
            <w:gridSpan w:val="2"/>
            <w:tcBorders>
              <w:top w:val="single" w:sz="4" w:space="0" w:color="auto"/>
              <w:left w:val="single" w:sz="4" w:space="0" w:color="auto"/>
              <w:bottom w:val="single" w:sz="4" w:space="0" w:color="auto"/>
              <w:right w:val="single" w:sz="4" w:space="0" w:color="auto"/>
            </w:tcBorders>
          </w:tcPr>
          <w:p w14:paraId="37E46E29"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Encuesta</w:t>
            </w:r>
          </w:p>
        </w:tc>
        <w:tc>
          <w:tcPr>
            <w:tcW w:w="2388" w:type="dxa"/>
            <w:gridSpan w:val="2"/>
            <w:tcBorders>
              <w:top w:val="single" w:sz="4" w:space="0" w:color="auto"/>
              <w:left w:val="single" w:sz="4" w:space="0" w:color="auto"/>
              <w:bottom w:val="single" w:sz="4" w:space="0" w:color="auto"/>
              <w:right w:val="single" w:sz="4" w:space="0" w:color="auto"/>
            </w:tcBorders>
          </w:tcPr>
          <w:p w14:paraId="5162FD21"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Encuesta</w:t>
            </w:r>
          </w:p>
        </w:tc>
      </w:tr>
      <w:tr w:rsidR="00C443FC" w:rsidRPr="00C443FC" w14:paraId="57DF2F6A" w14:textId="77777777" w:rsidTr="00284BB1">
        <w:trPr>
          <w:jc w:val="center"/>
        </w:trPr>
        <w:tc>
          <w:tcPr>
            <w:tcW w:w="1293" w:type="dxa"/>
            <w:vMerge/>
            <w:tcBorders>
              <w:top w:val="single" w:sz="4" w:space="0" w:color="auto"/>
              <w:left w:val="single" w:sz="4" w:space="0" w:color="auto"/>
              <w:bottom w:val="single" w:sz="4" w:space="0" w:color="auto"/>
              <w:right w:val="single" w:sz="4" w:space="0" w:color="auto"/>
            </w:tcBorders>
          </w:tcPr>
          <w:p w14:paraId="51BA4C89" w14:textId="77777777" w:rsidR="00C443FC" w:rsidRPr="00C443FC" w:rsidRDefault="00C443FC" w:rsidP="00C443FC">
            <w:pPr>
              <w:jc w:val="center"/>
              <w:rPr>
                <w:rFonts w:eastAsia="Calibri"/>
                <w:b/>
                <w:sz w:val="20"/>
                <w:szCs w:val="20"/>
                <w:lang w:eastAsia="en-US"/>
              </w:rPr>
            </w:pPr>
          </w:p>
        </w:tc>
        <w:tc>
          <w:tcPr>
            <w:tcW w:w="1194" w:type="dxa"/>
            <w:tcBorders>
              <w:top w:val="single" w:sz="4" w:space="0" w:color="auto"/>
              <w:left w:val="single" w:sz="4" w:space="0" w:color="auto"/>
              <w:bottom w:val="single" w:sz="4" w:space="0" w:color="auto"/>
              <w:right w:val="single" w:sz="4" w:space="0" w:color="auto"/>
            </w:tcBorders>
          </w:tcPr>
          <w:p w14:paraId="7316F66A"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Enero</w:t>
            </w:r>
          </w:p>
        </w:tc>
        <w:tc>
          <w:tcPr>
            <w:tcW w:w="1194" w:type="dxa"/>
            <w:tcBorders>
              <w:top w:val="single" w:sz="4" w:space="0" w:color="auto"/>
              <w:left w:val="single" w:sz="4" w:space="0" w:color="auto"/>
              <w:bottom w:val="single" w:sz="4" w:space="0" w:color="auto"/>
              <w:right w:val="single" w:sz="4" w:space="0" w:color="auto"/>
            </w:tcBorders>
          </w:tcPr>
          <w:p w14:paraId="52F827C2"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Febrero</w:t>
            </w:r>
          </w:p>
        </w:tc>
        <w:tc>
          <w:tcPr>
            <w:tcW w:w="1194" w:type="dxa"/>
            <w:tcBorders>
              <w:top w:val="single" w:sz="4" w:space="0" w:color="auto"/>
              <w:left w:val="single" w:sz="4" w:space="0" w:color="auto"/>
              <w:bottom w:val="single" w:sz="4" w:space="0" w:color="auto"/>
              <w:right w:val="single" w:sz="4" w:space="0" w:color="auto"/>
            </w:tcBorders>
          </w:tcPr>
          <w:p w14:paraId="151A2302"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Enero</w:t>
            </w:r>
          </w:p>
        </w:tc>
        <w:tc>
          <w:tcPr>
            <w:tcW w:w="1194" w:type="dxa"/>
            <w:tcBorders>
              <w:top w:val="single" w:sz="4" w:space="0" w:color="auto"/>
              <w:left w:val="single" w:sz="4" w:space="0" w:color="auto"/>
              <w:bottom w:val="single" w:sz="4" w:space="0" w:color="auto"/>
              <w:right w:val="single" w:sz="4" w:space="0" w:color="auto"/>
            </w:tcBorders>
          </w:tcPr>
          <w:p w14:paraId="26BDBBED"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Febrero</w:t>
            </w:r>
          </w:p>
        </w:tc>
      </w:tr>
      <w:tr w:rsidR="00C443FC" w:rsidRPr="00C443FC" w14:paraId="79E4CED3" w14:textId="77777777" w:rsidTr="00284BB1">
        <w:trPr>
          <w:jc w:val="center"/>
        </w:trPr>
        <w:tc>
          <w:tcPr>
            <w:tcW w:w="1293" w:type="dxa"/>
            <w:tcBorders>
              <w:top w:val="single" w:sz="4" w:space="0" w:color="auto"/>
              <w:left w:val="single" w:sz="4" w:space="0" w:color="auto"/>
              <w:right w:val="single" w:sz="4" w:space="0" w:color="auto"/>
            </w:tcBorders>
          </w:tcPr>
          <w:p w14:paraId="282AD7D1" w14:textId="77777777" w:rsidR="00C443FC" w:rsidRPr="00C443FC" w:rsidRDefault="00C443FC" w:rsidP="00C443FC">
            <w:pPr>
              <w:rPr>
                <w:rFonts w:eastAsia="Calibri"/>
                <w:b/>
                <w:sz w:val="20"/>
                <w:szCs w:val="20"/>
                <w:lang w:eastAsia="en-US"/>
              </w:rPr>
            </w:pPr>
            <w:r w:rsidRPr="00C443FC">
              <w:rPr>
                <w:rFonts w:eastAsia="Calibri"/>
                <w:b/>
                <w:sz w:val="20"/>
                <w:szCs w:val="20"/>
                <w:lang w:eastAsia="en-US"/>
              </w:rPr>
              <w:t>Para 2015</w:t>
            </w:r>
          </w:p>
        </w:tc>
        <w:tc>
          <w:tcPr>
            <w:tcW w:w="1194" w:type="dxa"/>
            <w:tcBorders>
              <w:top w:val="single" w:sz="4" w:space="0" w:color="auto"/>
              <w:left w:val="single" w:sz="4" w:space="0" w:color="auto"/>
              <w:right w:val="single" w:sz="4" w:space="0" w:color="auto"/>
            </w:tcBorders>
          </w:tcPr>
          <w:p w14:paraId="0EA62C65"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14.18</w:t>
            </w:r>
          </w:p>
        </w:tc>
        <w:tc>
          <w:tcPr>
            <w:tcW w:w="1194" w:type="dxa"/>
            <w:tcBorders>
              <w:top w:val="single" w:sz="4" w:space="0" w:color="auto"/>
              <w:left w:val="single" w:sz="4" w:space="0" w:color="auto"/>
              <w:right w:val="single" w:sz="4" w:space="0" w:color="auto"/>
            </w:tcBorders>
          </w:tcPr>
          <w:p w14:paraId="1801CC67"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14.54</w:t>
            </w:r>
          </w:p>
        </w:tc>
        <w:tc>
          <w:tcPr>
            <w:tcW w:w="1194" w:type="dxa"/>
            <w:tcBorders>
              <w:top w:val="single" w:sz="4" w:space="0" w:color="auto"/>
              <w:left w:val="single" w:sz="4" w:space="0" w:color="auto"/>
              <w:right w:val="single" w:sz="4" w:space="0" w:color="auto"/>
            </w:tcBorders>
          </w:tcPr>
          <w:p w14:paraId="180B3741"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14.15</w:t>
            </w:r>
          </w:p>
        </w:tc>
        <w:tc>
          <w:tcPr>
            <w:tcW w:w="1194" w:type="dxa"/>
            <w:tcBorders>
              <w:top w:val="single" w:sz="4" w:space="0" w:color="auto"/>
              <w:left w:val="single" w:sz="4" w:space="0" w:color="auto"/>
              <w:right w:val="single" w:sz="4" w:space="0" w:color="auto"/>
            </w:tcBorders>
          </w:tcPr>
          <w:p w14:paraId="0153760F"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14.50</w:t>
            </w:r>
          </w:p>
        </w:tc>
      </w:tr>
      <w:tr w:rsidR="00C443FC" w:rsidRPr="00C443FC" w14:paraId="47193D8B" w14:textId="77777777" w:rsidTr="00284BB1">
        <w:trPr>
          <w:jc w:val="center"/>
        </w:trPr>
        <w:tc>
          <w:tcPr>
            <w:tcW w:w="1293" w:type="dxa"/>
            <w:tcBorders>
              <w:left w:val="single" w:sz="4" w:space="0" w:color="auto"/>
              <w:bottom w:val="single" w:sz="4" w:space="0" w:color="auto"/>
              <w:right w:val="single" w:sz="4" w:space="0" w:color="auto"/>
            </w:tcBorders>
          </w:tcPr>
          <w:p w14:paraId="59DF6964" w14:textId="77777777" w:rsidR="00C443FC" w:rsidRPr="00C443FC" w:rsidRDefault="00C443FC" w:rsidP="00C443FC">
            <w:pPr>
              <w:rPr>
                <w:rFonts w:eastAsia="Calibri"/>
                <w:b/>
                <w:sz w:val="20"/>
                <w:szCs w:val="20"/>
                <w:lang w:eastAsia="en-US"/>
              </w:rPr>
            </w:pPr>
            <w:r w:rsidRPr="00C443FC">
              <w:rPr>
                <w:rFonts w:eastAsia="Calibri"/>
                <w:b/>
                <w:sz w:val="20"/>
                <w:szCs w:val="20"/>
                <w:lang w:eastAsia="en-US"/>
              </w:rPr>
              <w:t>Para 2016</w:t>
            </w:r>
          </w:p>
        </w:tc>
        <w:tc>
          <w:tcPr>
            <w:tcW w:w="1194" w:type="dxa"/>
            <w:tcBorders>
              <w:left w:val="single" w:sz="4" w:space="0" w:color="auto"/>
              <w:bottom w:val="single" w:sz="4" w:space="0" w:color="auto"/>
              <w:right w:val="single" w:sz="4" w:space="0" w:color="auto"/>
            </w:tcBorders>
          </w:tcPr>
          <w:p w14:paraId="6ADB068E"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14.09</w:t>
            </w:r>
          </w:p>
        </w:tc>
        <w:tc>
          <w:tcPr>
            <w:tcW w:w="1194" w:type="dxa"/>
            <w:tcBorders>
              <w:left w:val="single" w:sz="4" w:space="0" w:color="auto"/>
              <w:bottom w:val="single" w:sz="4" w:space="0" w:color="auto"/>
              <w:right w:val="single" w:sz="4" w:space="0" w:color="auto"/>
            </w:tcBorders>
          </w:tcPr>
          <w:p w14:paraId="6F975EA2"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14.31</w:t>
            </w:r>
          </w:p>
        </w:tc>
        <w:tc>
          <w:tcPr>
            <w:tcW w:w="1194" w:type="dxa"/>
            <w:tcBorders>
              <w:left w:val="single" w:sz="4" w:space="0" w:color="auto"/>
              <w:bottom w:val="single" w:sz="4" w:space="0" w:color="auto"/>
              <w:right w:val="single" w:sz="4" w:space="0" w:color="auto"/>
            </w:tcBorders>
          </w:tcPr>
          <w:p w14:paraId="1D16602B"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14.00</w:t>
            </w:r>
          </w:p>
        </w:tc>
        <w:tc>
          <w:tcPr>
            <w:tcW w:w="1194" w:type="dxa"/>
            <w:tcBorders>
              <w:left w:val="single" w:sz="4" w:space="0" w:color="auto"/>
              <w:bottom w:val="single" w:sz="4" w:space="0" w:color="auto"/>
              <w:right w:val="single" w:sz="4" w:space="0" w:color="auto"/>
            </w:tcBorders>
          </w:tcPr>
          <w:p w14:paraId="7E741A13"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14.38</w:t>
            </w:r>
          </w:p>
        </w:tc>
      </w:tr>
      <w:tr w:rsidR="00C443FC" w:rsidRPr="00C443FC" w14:paraId="6D85559A" w14:textId="77777777" w:rsidTr="007B7E95">
        <w:trPr>
          <w:jc w:val="center"/>
        </w:trPr>
        <w:tc>
          <w:tcPr>
            <w:tcW w:w="6069" w:type="dxa"/>
            <w:gridSpan w:val="5"/>
            <w:tcBorders>
              <w:left w:val="nil"/>
              <w:bottom w:val="nil"/>
              <w:right w:val="nil"/>
            </w:tcBorders>
          </w:tcPr>
          <w:p w14:paraId="2E5AD40A" w14:textId="77777777" w:rsidR="00C443FC" w:rsidRPr="00C443FC" w:rsidRDefault="00C443FC" w:rsidP="00C443FC">
            <w:pPr>
              <w:jc w:val="both"/>
              <w:rPr>
                <w:rFonts w:eastAsia="Calibri"/>
                <w:sz w:val="20"/>
                <w:szCs w:val="20"/>
                <w:lang w:eastAsia="en-US"/>
              </w:rPr>
            </w:pPr>
            <w:r w:rsidRPr="00C443FC">
              <w:rPr>
                <w:rFonts w:eastAsia="Calibri"/>
                <w:sz w:val="20"/>
                <w:szCs w:val="20"/>
                <w:lang w:eastAsia="en-US"/>
              </w:rPr>
              <w:t>FUENTE: Banco de México.</w:t>
            </w:r>
          </w:p>
        </w:tc>
      </w:tr>
    </w:tbl>
    <w:p w14:paraId="2F31EA36" w14:textId="77777777" w:rsidR="00C443FC" w:rsidRDefault="00C443FC" w:rsidP="00C443FC">
      <w:pPr>
        <w:spacing w:after="360" w:line="360" w:lineRule="auto"/>
        <w:ind w:right="-159"/>
        <w:jc w:val="both"/>
        <w:rPr>
          <w:rFonts w:eastAsia="Calibri"/>
          <w:sz w:val="26"/>
          <w:szCs w:val="26"/>
          <w:lang w:eastAsia="en-US"/>
        </w:rPr>
      </w:pPr>
    </w:p>
    <w:p w14:paraId="5ADC631A" w14:textId="29D94C0E" w:rsidR="00D27C30" w:rsidRPr="00D27C30" w:rsidRDefault="00D27C30" w:rsidP="00D27C30">
      <w:pPr>
        <w:spacing w:after="160" w:line="259" w:lineRule="auto"/>
        <w:jc w:val="center"/>
        <w:rPr>
          <w:rFonts w:ascii="Calibri" w:eastAsia="Calibri" w:hAnsi="Calibri"/>
          <w:sz w:val="22"/>
          <w:szCs w:val="22"/>
          <w:lang w:eastAsia="en-US"/>
        </w:rPr>
      </w:pPr>
      <w:r w:rsidRPr="00D27C30">
        <w:rPr>
          <w:rFonts w:ascii="Calibri" w:eastAsia="Calibri" w:hAnsi="Calibri"/>
          <w:sz w:val="22"/>
          <w:szCs w:val="22"/>
          <w:lang w:eastAsia="en-US"/>
        </w:rPr>
        <w:fldChar w:fldCharType="begin"/>
      </w:r>
      <w:r w:rsidRPr="00D27C30">
        <w:rPr>
          <w:rFonts w:ascii="Calibri" w:eastAsia="Calibri" w:hAnsi="Calibri"/>
          <w:sz w:val="22"/>
          <w:szCs w:val="22"/>
          <w:lang w:eastAsia="en-US"/>
        </w:rPr>
        <w:instrText xml:space="preserve"> LINK PowerPoint.Slide.8 "D:\\2015\\MARZO 2014\\GRÁFICAS EN POWER POINT\\14.-GRÁFICAS DE EXPECTATIVAS II.pptx!571" "" \a \p </w:instrText>
      </w:r>
      <w:r w:rsidRPr="00D27C30">
        <w:rPr>
          <w:rFonts w:ascii="Calibri" w:eastAsia="Calibri" w:hAnsi="Calibri"/>
          <w:sz w:val="22"/>
          <w:szCs w:val="22"/>
          <w:lang w:eastAsia="en-US"/>
        </w:rPr>
        <w:fldChar w:fldCharType="separate"/>
      </w:r>
      <w:r w:rsidRPr="00D27C30">
        <w:rPr>
          <w:rFonts w:ascii="Calibri" w:eastAsia="Calibri" w:hAnsi="Calibri"/>
          <w:noProof/>
          <w:sz w:val="22"/>
          <w:szCs w:val="22"/>
          <w:lang w:eastAsia="es-MX"/>
        </w:rPr>
        <w:drawing>
          <wp:inline distT="0" distB="0" distL="0" distR="0" wp14:anchorId="4E1582AB" wp14:editId="1AA0E762">
            <wp:extent cx="4139565" cy="3256280"/>
            <wp:effectExtent l="0" t="0" r="0" b="1270"/>
            <wp:docPr id="1524" name="Imagen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34"/>
                    <pic:cNvPicPr>
                      <a:picLocks noChangeAspect="1" noChangeArrowheads="1"/>
                    </pic:cNvPicPr>
                  </pic:nvPicPr>
                  <pic:blipFill>
                    <a:blip r:embed="rId268" cstate="print">
                      <a:extLst>
                        <a:ext uri="{28A0092B-C50C-407E-A947-70E740481C1C}">
                          <a14:useLocalDpi xmlns:a14="http://schemas.microsoft.com/office/drawing/2010/main" val="0"/>
                        </a:ext>
                      </a:extLst>
                    </a:blip>
                    <a:srcRect l="6291" r="3035" b="4970"/>
                    <a:stretch>
                      <a:fillRect/>
                    </a:stretch>
                  </pic:blipFill>
                  <pic:spPr bwMode="auto">
                    <a:xfrm>
                      <a:off x="0" y="0"/>
                      <a:ext cx="4139565" cy="3256280"/>
                    </a:xfrm>
                    <a:prstGeom prst="rect">
                      <a:avLst/>
                    </a:prstGeom>
                    <a:noFill/>
                    <a:ln>
                      <a:noFill/>
                    </a:ln>
                  </pic:spPr>
                </pic:pic>
              </a:graphicData>
            </a:graphic>
          </wp:inline>
        </w:drawing>
      </w:r>
      <w:r w:rsidRPr="00D27C30">
        <w:rPr>
          <w:rFonts w:ascii="Calibri" w:eastAsia="Calibri" w:hAnsi="Calibri"/>
          <w:sz w:val="22"/>
          <w:szCs w:val="22"/>
          <w:lang w:eastAsia="en-US"/>
        </w:rPr>
        <w:fldChar w:fldCharType="end"/>
      </w:r>
    </w:p>
    <w:p w14:paraId="53D2B010" w14:textId="77777777" w:rsidR="00D27C30" w:rsidRPr="00D27C30" w:rsidRDefault="00D27C30" w:rsidP="00D27C30">
      <w:pPr>
        <w:spacing w:after="160" w:line="259" w:lineRule="auto"/>
        <w:jc w:val="center"/>
        <w:rPr>
          <w:rFonts w:ascii="Calibri" w:eastAsia="Calibri" w:hAnsi="Calibri"/>
          <w:sz w:val="22"/>
          <w:szCs w:val="22"/>
          <w:lang w:eastAsia="en-US"/>
        </w:rPr>
      </w:pPr>
    </w:p>
    <w:p w14:paraId="54B94AED" w14:textId="3FE777A6" w:rsidR="00D27C30" w:rsidRPr="00D27C30" w:rsidRDefault="00D27C30" w:rsidP="00D27C30">
      <w:pPr>
        <w:spacing w:after="160" w:line="259" w:lineRule="auto"/>
        <w:jc w:val="center"/>
        <w:rPr>
          <w:rFonts w:ascii="Calibri" w:eastAsia="Calibri" w:hAnsi="Calibri"/>
          <w:sz w:val="22"/>
          <w:szCs w:val="22"/>
          <w:lang w:eastAsia="en-US"/>
        </w:rPr>
      </w:pPr>
      <w:r w:rsidRPr="00D27C30">
        <w:rPr>
          <w:rFonts w:ascii="Calibri" w:eastAsia="Calibri" w:hAnsi="Calibri"/>
          <w:sz w:val="22"/>
          <w:szCs w:val="22"/>
          <w:lang w:eastAsia="en-US"/>
        </w:rPr>
        <w:lastRenderedPageBreak/>
        <w:fldChar w:fldCharType="begin"/>
      </w:r>
      <w:r w:rsidRPr="00D27C30">
        <w:rPr>
          <w:rFonts w:ascii="Calibri" w:eastAsia="Calibri" w:hAnsi="Calibri"/>
          <w:sz w:val="22"/>
          <w:szCs w:val="22"/>
          <w:lang w:eastAsia="en-US"/>
        </w:rPr>
        <w:instrText xml:space="preserve"> LINK PowerPoint.Slide.8 "D:\\2015\\MARZO 2014\\GRÁFICAS EN POWER POINT\\14.-GRÁFICAS DE EXPECTATIVAS II.pptx!604" "" \a \p </w:instrText>
      </w:r>
      <w:r w:rsidRPr="00D27C30">
        <w:rPr>
          <w:rFonts w:ascii="Calibri" w:eastAsia="Calibri" w:hAnsi="Calibri"/>
          <w:sz w:val="22"/>
          <w:szCs w:val="22"/>
          <w:lang w:eastAsia="en-US"/>
        </w:rPr>
        <w:fldChar w:fldCharType="separate"/>
      </w:r>
      <w:r w:rsidRPr="00D27C30">
        <w:rPr>
          <w:rFonts w:ascii="Calibri" w:eastAsia="Calibri" w:hAnsi="Calibri"/>
          <w:noProof/>
          <w:sz w:val="22"/>
          <w:szCs w:val="22"/>
          <w:lang w:eastAsia="es-MX"/>
        </w:rPr>
        <w:drawing>
          <wp:inline distT="0" distB="0" distL="0" distR="0" wp14:anchorId="2A42AC65" wp14:editId="07B4D8A2">
            <wp:extent cx="4219575" cy="3231515"/>
            <wp:effectExtent l="0" t="0" r="9525" b="6985"/>
            <wp:docPr id="1523" name="Imagen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35"/>
                    <pic:cNvPicPr>
                      <a:picLocks noChangeAspect="1" noChangeArrowheads="1"/>
                    </pic:cNvPicPr>
                  </pic:nvPicPr>
                  <pic:blipFill>
                    <a:blip r:embed="rId269" cstate="print">
                      <a:extLst>
                        <a:ext uri="{28A0092B-C50C-407E-A947-70E740481C1C}">
                          <a14:useLocalDpi xmlns:a14="http://schemas.microsoft.com/office/drawing/2010/main" val="0"/>
                        </a:ext>
                      </a:extLst>
                    </a:blip>
                    <a:srcRect l="5597" r="1866" b="5582"/>
                    <a:stretch>
                      <a:fillRect/>
                    </a:stretch>
                  </pic:blipFill>
                  <pic:spPr bwMode="auto">
                    <a:xfrm>
                      <a:off x="0" y="0"/>
                      <a:ext cx="4219575" cy="3231515"/>
                    </a:xfrm>
                    <a:prstGeom prst="rect">
                      <a:avLst/>
                    </a:prstGeom>
                    <a:noFill/>
                    <a:ln>
                      <a:noFill/>
                    </a:ln>
                  </pic:spPr>
                </pic:pic>
              </a:graphicData>
            </a:graphic>
          </wp:inline>
        </w:drawing>
      </w:r>
      <w:r w:rsidRPr="00D27C30">
        <w:rPr>
          <w:rFonts w:ascii="Calibri" w:eastAsia="Calibri" w:hAnsi="Calibri"/>
          <w:sz w:val="22"/>
          <w:szCs w:val="22"/>
          <w:lang w:eastAsia="en-US"/>
        </w:rPr>
        <w:fldChar w:fldCharType="end"/>
      </w:r>
    </w:p>
    <w:p w14:paraId="6D66BB52" w14:textId="77777777" w:rsidR="00D27C30" w:rsidRPr="00C443FC" w:rsidRDefault="00D27C30" w:rsidP="00D27C30">
      <w:pPr>
        <w:spacing w:after="360" w:line="360" w:lineRule="auto"/>
        <w:ind w:right="-159"/>
        <w:jc w:val="center"/>
        <w:rPr>
          <w:rFonts w:eastAsia="Calibri"/>
          <w:sz w:val="26"/>
          <w:szCs w:val="26"/>
          <w:lang w:eastAsia="en-US"/>
        </w:rPr>
      </w:pPr>
    </w:p>
    <w:tbl>
      <w:tblPr>
        <w:tblW w:w="0" w:type="auto"/>
        <w:jc w:val="center"/>
        <w:tblLook w:val="04A0" w:firstRow="1" w:lastRow="0" w:firstColumn="1" w:lastColumn="0" w:noHBand="0" w:noVBand="1"/>
      </w:tblPr>
      <w:tblGrid>
        <w:gridCol w:w="701"/>
        <w:gridCol w:w="1340"/>
        <w:gridCol w:w="1194"/>
        <w:gridCol w:w="1194"/>
        <w:gridCol w:w="1194"/>
        <w:gridCol w:w="1194"/>
      </w:tblGrid>
      <w:tr w:rsidR="00C443FC" w:rsidRPr="00C443FC" w14:paraId="40C68037" w14:textId="77777777" w:rsidTr="00284BB1">
        <w:trPr>
          <w:jc w:val="center"/>
        </w:trPr>
        <w:tc>
          <w:tcPr>
            <w:tcW w:w="6817" w:type="dxa"/>
            <w:gridSpan w:val="6"/>
            <w:tcBorders>
              <w:top w:val="nil"/>
              <w:left w:val="nil"/>
              <w:bottom w:val="single" w:sz="4" w:space="0" w:color="auto"/>
              <w:right w:val="nil"/>
            </w:tcBorders>
          </w:tcPr>
          <w:p w14:paraId="2CBF61A1" w14:textId="77777777" w:rsidR="00C443FC" w:rsidRPr="00C443FC" w:rsidRDefault="00C443FC" w:rsidP="00C443FC">
            <w:pPr>
              <w:jc w:val="center"/>
              <w:rPr>
                <w:rFonts w:eastAsia="Calibri"/>
                <w:b/>
                <w:sz w:val="22"/>
                <w:szCs w:val="22"/>
                <w:lang w:eastAsia="en-US"/>
              </w:rPr>
            </w:pPr>
            <w:r w:rsidRPr="00C443FC">
              <w:rPr>
                <w:rFonts w:eastAsia="Calibri"/>
                <w:b/>
                <w:sz w:val="22"/>
                <w:szCs w:val="22"/>
                <w:lang w:eastAsia="en-US"/>
              </w:rPr>
              <w:t>EXPECTATIVAS DEL TIPO DE CAMBIO PARA LOS PRÓXIMOS MESES</w:t>
            </w:r>
          </w:p>
          <w:p w14:paraId="4511390D" w14:textId="77777777" w:rsidR="00C443FC" w:rsidRPr="00C443FC" w:rsidRDefault="00C443FC" w:rsidP="00C443FC">
            <w:pPr>
              <w:jc w:val="center"/>
              <w:rPr>
                <w:rFonts w:eastAsia="Calibri"/>
                <w:b/>
                <w:sz w:val="22"/>
                <w:szCs w:val="22"/>
                <w:lang w:eastAsia="en-US"/>
              </w:rPr>
            </w:pPr>
            <w:r w:rsidRPr="00C443FC">
              <w:rPr>
                <w:rFonts w:eastAsia="Calibri"/>
                <w:b/>
                <w:sz w:val="22"/>
                <w:szCs w:val="22"/>
                <w:lang w:eastAsia="en-US"/>
              </w:rPr>
              <w:t>-Pesos por dólar promedio del mes</w:t>
            </w:r>
            <w:r w:rsidRPr="00C443FC">
              <w:rPr>
                <w:rFonts w:eastAsia="Calibri"/>
                <w:b/>
                <w:sz w:val="22"/>
                <w:szCs w:val="22"/>
                <w:u w:val="single"/>
                <w:vertAlign w:val="superscript"/>
                <w:lang w:eastAsia="en-US"/>
              </w:rPr>
              <w:t>1</w:t>
            </w:r>
            <w:r w:rsidRPr="00C443FC">
              <w:rPr>
                <w:rFonts w:eastAsia="Calibri"/>
                <w:b/>
                <w:sz w:val="22"/>
                <w:szCs w:val="22"/>
                <w:vertAlign w:val="superscript"/>
                <w:lang w:eastAsia="en-US"/>
              </w:rPr>
              <w:t>/</w:t>
            </w:r>
            <w:r w:rsidRPr="00C443FC">
              <w:rPr>
                <w:rFonts w:eastAsia="Calibri"/>
                <w:b/>
                <w:sz w:val="22"/>
                <w:szCs w:val="22"/>
                <w:lang w:eastAsia="en-US"/>
              </w:rPr>
              <w:t>-</w:t>
            </w:r>
          </w:p>
        </w:tc>
      </w:tr>
      <w:tr w:rsidR="00C443FC" w:rsidRPr="00C443FC" w14:paraId="6335E0C4" w14:textId="77777777" w:rsidTr="00284BB1">
        <w:trPr>
          <w:jc w:val="center"/>
        </w:trPr>
        <w:tc>
          <w:tcPr>
            <w:tcW w:w="2041" w:type="dxa"/>
            <w:gridSpan w:val="2"/>
            <w:vMerge w:val="restart"/>
            <w:tcBorders>
              <w:top w:val="single" w:sz="4" w:space="0" w:color="auto"/>
              <w:left w:val="single" w:sz="4" w:space="0" w:color="auto"/>
              <w:bottom w:val="single" w:sz="4" w:space="0" w:color="auto"/>
              <w:right w:val="single" w:sz="4" w:space="0" w:color="auto"/>
            </w:tcBorders>
          </w:tcPr>
          <w:p w14:paraId="1A318551" w14:textId="77777777" w:rsidR="00C443FC" w:rsidRPr="00C443FC" w:rsidRDefault="00C443FC" w:rsidP="00C443FC">
            <w:pPr>
              <w:jc w:val="center"/>
              <w:rPr>
                <w:rFonts w:eastAsia="Calibri"/>
                <w:b/>
                <w:sz w:val="20"/>
                <w:szCs w:val="20"/>
                <w:lang w:eastAsia="en-US"/>
              </w:rPr>
            </w:pPr>
          </w:p>
        </w:tc>
        <w:tc>
          <w:tcPr>
            <w:tcW w:w="2388" w:type="dxa"/>
            <w:gridSpan w:val="2"/>
            <w:tcBorders>
              <w:top w:val="single" w:sz="4" w:space="0" w:color="auto"/>
              <w:left w:val="single" w:sz="4" w:space="0" w:color="auto"/>
              <w:bottom w:val="single" w:sz="4" w:space="0" w:color="auto"/>
              <w:right w:val="single" w:sz="4" w:space="0" w:color="auto"/>
            </w:tcBorders>
          </w:tcPr>
          <w:p w14:paraId="78D424E7"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Media</w:t>
            </w:r>
          </w:p>
        </w:tc>
        <w:tc>
          <w:tcPr>
            <w:tcW w:w="2388" w:type="dxa"/>
            <w:gridSpan w:val="2"/>
            <w:tcBorders>
              <w:top w:val="single" w:sz="4" w:space="0" w:color="auto"/>
              <w:left w:val="single" w:sz="4" w:space="0" w:color="auto"/>
              <w:bottom w:val="single" w:sz="4" w:space="0" w:color="auto"/>
              <w:right w:val="single" w:sz="4" w:space="0" w:color="auto"/>
            </w:tcBorders>
          </w:tcPr>
          <w:p w14:paraId="7D989FC2"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Mediana</w:t>
            </w:r>
          </w:p>
        </w:tc>
      </w:tr>
      <w:tr w:rsidR="00C443FC" w:rsidRPr="00C443FC" w14:paraId="7D499690" w14:textId="77777777" w:rsidTr="00284BB1">
        <w:trPr>
          <w:jc w:val="center"/>
        </w:trPr>
        <w:tc>
          <w:tcPr>
            <w:tcW w:w="2041" w:type="dxa"/>
            <w:gridSpan w:val="2"/>
            <w:vMerge/>
            <w:tcBorders>
              <w:top w:val="single" w:sz="4" w:space="0" w:color="auto"/>
              <w:left w:val="single" w:sz="4" w:space="0" w:color="auto"/>
              <w:bottom w:val="single" w:sz="4" w:space="0" w:color="auto"/>
              <w:right w:val="single" w:sz="4" w:space="0" w:color="auto"/>
            </w:tcBorders>
          </w:tcPr>
          <w:p w14:paraId="24FCB2D2" w14:textId="77777777" w:rsidR="00C443FC" w:rsidRPr="00C443FC" w:rsidRDefault="00C443FC" w:rsidP="00C443FC">
            <w:pPr>
              <w:jc w:val="center"/>
              <w:rPr>
                <w:rFonts w:eastAsia="Calibri"/>
                <w:b/>
                <w:sz w:val="20"/>
                <w:szCs w:val="20"/>
                <w:lang w:eastAsia="en-US"/>
              </w:rPr>
            </w:pPr>
          </w:p>
        </w:tc>
        <w:tc>
          <w:tcPr>
            <w:tcW w:w="2388" w:type="dxa"/>
            <w:gridSpan w:val="2"/>
            <w:tcBorders>
              <w:top w:val="single" w:sz="4" w:space="0" w:color="auto"/>
              <w:left w:val="single" w:sz="4" w:space="0" w:color="auto"/>
              <w:bottom w:val="single" w:sz="4" w:space="0" w:color="auto"/>
              <w:right w:val="single" w:sz="4" w:space="0" w:color="auto"/>
            </w:tcBorders>
          </w:tcPr>
          <w:p w14:paraId="0D64E02F"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Encuesta</w:t>
            </w:r>
          </w:p>
        </w:tc>
        <w:tc>
          <w:tcPr>
            <w:tcW w:w="2388" w:type="dxa"/>
            <w:gridSpan w:val="2"/>
            <w:tcBorders>
              <w:top w:val="single" w:sz="4" w:space="0" w:color="auto"/>
              <w:left w:val="single" w:sz="4" w:space="0" w:color="auto"/>
              <w:bottom w:val="single" w:sz="4" w:space="0" w:color="auto"/>
              <w:right w:val="single" w:sz="4" w:space="0" w:color="auto"/>
            </w:tcBorders>
          </w:tcPr>
          <w:p w14:paraId="71F91FE5"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Encuesta</w:t>
            </w:r>
          </w:p>
        </w:tc>
      </w:tr>
      <w:tr w:rsidR="00C443FC" w:rsidRPr="00C443FC" w14:paraId="3D0831F5" w14:textId="77777777" w:rsidTr="00D7095B">
        <w:trPr>
          <w:jc w:val="center"/>
        </w:trPr>
        <w:tc>
          <w:tcPr>
            <w:tcW w:w="2041" w:type="dxa"/>
            <w:gridSpan w:val="2"/>
            <w:vMerge/>
            <w:tcBorders>
              <w:top w:val="single" w:sz="4" w:space="0" w:color="auto"/>
              <w:left w:val="single" w:sz="4" w:space="0" w:color="auto"/>
              <w:bottom w:val="single" w:sz="4" w:space="0" w:color="auto"/>
              <w:right w:val="single" w:sz="4" w:space="0" w:color="auto"/>
            </w:tcBorders>
          </w:tcPr>
          <w:p w14:paraId="0B22149E" w14:textId="77777777" w:rsidR="00C443FC" w:rsidRPr="00C443FC" w:rsidRDefault="00C443FC" w:rsidP="00C443FC">
            <w:pPr>
              <w:jc w:val="center"/>
              <w:rPr>
                <w:rFonts w:eastAsia="Calibri"/>
                <w:b/>
                <w:sz w:val="20"/>
                <w:szCs w:val="20"/>
                <w:lang w:eastAsia="en-US"/>
              </w:rPr>
            </w:pPr>
          </w:p>
        </w:tc>
        <w:tc>
          <w:tcPr>
            <w:tcW w:w="1194" w:type="dxa"/>
            <w:tcBorders>
              <w:top w:val="single" w:sz="4" w:space="0" w:color="auto"/>
              <w:left w:val="single" w:sz="4" w:space="0" w:color="auto"/>
              <w:bottom w:val="single" w:sz="4" w:space="0" w:color="auto"/>
              <w:right w:val="single" w:sz="4" w:space="0" w:color="auto"/>
            </w:tcBorders>
          </w:tcPr>
          <w:p w14:paraId="357DA014"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Enero</w:t>
            </w:r>
          </w:p>
        </w:tc>
        <w:tc>
          <w:tcPr>
            <w:tcW w:w="1194" w:type="dxa"/>
            <w:tcBorders>
              <w:top w:val="single" w:sz="4" w:space="0" w:color="auto"/>
              <w:left w:val="single" w:sz="4" w:space="0" w:color="auto"/>
              <w:bottom w:val="single" w:sz="4" w:space="0" w:color="auto"/>
              <w:right w:val="single" w:sz="4" w:space="0" w:color="auto"/>
            </w:tcBorders>
          </w:tcPr>
          <w:p w14:paraId="2F72FF53"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Febrero</w:t>
            </w:r>
          </w:p>
        </w:tc>
        <w:tc>
          <w:tcPr>
            <w:tcW w:w="1194" w:type="dxa"/>
            <w:tcBorders>
              <w:top w:val="single" w:sz="4" w:space="0" w:color="auto"/>
              <w:left w:val="single" w:sz="4" w:space="0" w:color="auto"/>
              <w:bottom w:val="single" w:sz="4" w:space="0" w:color="auto"/>
              <w:right w:val="single" w:sz="4" w:space="0" w:color="auto"/>
            </w:tcBorders>
          </w:tcPr>
          <w:p w14:paraId="69B9E7BF"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Enero</w:t>
            </w:r>
          </w:p>
        </w:tc>
        <w:tc>
          <w:tcPr>
            <w:tcW w:w="1194" w:type="dxa"/>
            <w:tcBorders>
              <w:top w:val="single" w:sz="4" w:space="0" w:color="auto"/>
              <w:left w:val="single" w:sz="4" w:space="0" w:color="auto"/>
              <w:bottom w:val="single" w:sz="4" w:space="0" w:color="auto"/>
              <w:right w:val="single" w:sz="4" w:space="0" w:color="auto"/>
            </w:tcBorders>
          </w:tcPr>
          <w:p w14:paraId="1BFC6700"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Febrero</w:t>
            </w:r>
          </w:p>
        </w:tc>
      </w:tr>
      <w:tr w:rsidR="00C443FC" w:rsidRPr="00C443FC" w14:paraId="6691AABC" w14:textId="77777777" w:rsidTr="00D7095B">
        <w:trPr>
          <w:jc w:val="center"/>
        </w:trPr>
        <w:tc>
          <w:tcPr>
            <w:tcW w:w="701" w:type="dxa"/>
            <w:tcBorders>
              <w:top w:val="single" w:sz="4" w:space="0" w:color="auto"/>
              <w:left w:val="single" w:sz="4" w:space="0" w:color="auto"/>
              <w:bottom w:val="single" w:sz="4" w:space="0" w:color="auto"/>
              <w:right w:val="single" w:sz="4" w:space="0" w:color="auto"/>
            </w:tcBorders>
            <w:vAlign w:val="center"/>
          </w:tcPr>
          <w:p w14:paraId="7E715E5D"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2014</w:t>
            </w:r>
          </w:p>
        </w:tc>
        <w:tc>
          <w:tcPr>
            <w:tcW w:w="1340" w:type="dxa"/>
            <w:tcBorders>
              <w:top w:val="single" w:sz="4" w:space="0" w:color="auto"/>
              <w:left w:val="single" w:sz="4" w:space="0" w:color="auto"/>
              <w:bottom w:val="single" w:sz="4" w:space="0" w:color="auto"/>
              <w:right w:val="single" w:sz="4" w:space="0" w:color="auto"/>
            </w:tcBorders>
          </w:tcPr>
          <w:p w14:paraId="5E3E183C"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Dic.</w:t>
            </w:r>
            <w:r w:rsidRPr="00C443FC">
              <w:rPr>
                <w:rFonts w:eastAsia="Calibri"/>
                <w:b/>
                <w:sz w:val="20"/>
                <w:szCs w:val="20"/>
                <w:u w:val="single"/>
                <w:vertAlign w:val="superscript"/>
                <w:lang w:eastAsia="en-US"/>
              </w:rPr>
              <w:t>1</w:t>
            </w:r>
            <w:r w:rsidRPr="00C443FC">
              <w:rPr>
                <w:rFonts w:eastAsia="Calibri"/>
                <w:b/>
                <w:sz w:val="20"/>
                <w:szCs w:val="20"/>
                <w:vertAlign w:val="superscript"/>
                <w:lang w:eastAsia="en-US"/>
              </w:rPr>
              <w:t>/</w:t>
            </w:r>
          </w:p>
        </w:tc>
        <w:tc>
          <w:tcPr>
            <w:tcW w:w="1194" w:type="dxa"/>
            <w:tcBorders>
              <w:top w:val="single" w:sz="4" w:space="0" w:color="auto"/>
              <w:left w:val="single" w:sz="4" w:space="0" w:color="auto"/>
              <w:bottom w:val="single" w:sz="4" w:space="0" w:color="auto"/>
              <w:right w:val="single" w:sz="4" w:space="0" w:color="auto"/>
            </w:tcBorders>
          </w:tcPr>
          <w:p w14:paraId="0F3498C8"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14.66</w:t>
            </w:r>
          </w:p>
        </w:tc>
        <w:tc>
          <w:tcPr>
            <w:tcW w:w="1194" w:type="dxa"/>
            <w:tcBorders>
              <w:top w:val="single" w:sz="4" w:space="0" w:color="auto"/>
              <w:left w:val="single" w:sz="4" w:space="0" w:color="auto"/>
              <w:bottom w:val="single" w:sz="4" w:space="0" w:color="auto"/>
              <w:right w:val="single" w:sz="4" w:space="0" w:color="auto"/>
            </w:tcBorders>
          </w:tcPr>
          <w:p w14:paraId="6FD5E21B" w14:textId="77777777" w:rsidR="00C443FC" w:rsidRPr="00C443FC" w:rsidRDefault="00C443FC" w:rsidP="00C443FC">
            <w:pPr>
              <w:jc w:val="center"/>
              <w:rPr>
                <w:rFonts w:eastAsia="Calibri"/>
                <w:sz w:val="20"/>
                <w:szCs w:val="20"/>
                <w:lang w:eastAsia="en-US"/>
              </w:rPr>
            </w:pPr>
          </w:p>
        </w:tc>
        <w:tc>
          <w:tcPr>
            <w:tcW w:w="1194" w:type="dxa"/>
            <w:tcBorders>
              <w:top w:val="single" w:sz="4" w:space="0" w:color="auto"/>
              <w:left w:val="single" w:sz="4" w:space="0" w:color="auto"/>
              <w:bottom w:val="single" w:sz="4" w:space="0" w:color="auto"/>
              <w:right w:val="single" w:sz="4" w:space="0" w:color="auto"/>
            </w:tcBorders>
          </w:tcPr>
          <w:p w14:paraId="7B502183"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14.67</w:t>
            </w:r>
          </w:p>
        </w:tc>
        <w:tc>
          <w:tcPr>
            <w:tcW w:w="1194" w:type="dxa"/>
            <w:tcBorders>
              <w:top w:val="single" w:sz="4" w:space="0" w:color="auto"/>
              <w:left w:val="single" w:sz="4" w:space="0" w:color="auto"/>
              <w:bottom w:val="single" w:sz="4" w:space="0" w:color="auto"/>
              <w:right w:val="single" w:sz="4" w:space="0" w:color="auto"/>
            </w:tcBorders>
          </w:tcPr>
          <w:p w14:paraId="4C229A99" w14:textId="77777777" w:rsidR="00C443FC" w:rsidRPr="00C443FC" w:rsidRDefault="00C443FC" w:rsidP="00C443FC">
            <w:pPr>
              <w:jc w:val="center"/>
              <w:rPr>
                <w:rFonts w:eastAsia="Calibri"/>
                <w:sz w:val="20"/>
                <w:szCs w:val="20"/>
                <w:lang w:eastAsia="en-US"/>
              </w:rPr>
            </w:pPr>
          </w:p>
        </w:tc>
      </w:tr>
      <w:tr w:rsidR="00C443FC" w:rsidRPr="00C443FC" w14:paraId="500979E8" w14:textId="77777777" w:rsidTr="00D7095B">
        <w:trPr>
          <w:jc w:val="center"/>
        </w:trPr>
        <w:tc>
          <w:tcPr>
            <w:tcW w:w="701" w:type="dxa"/>
            <w:vMerge w:val="restart"/>
            <w:tcBorders>
              <w:top w:val="single" w:sz="4" w:space="0" w:color="auto"/>
              <w:left w:val="single" w:sz="4" w:space="0" w:color="auto"/>
              <w:right w:val="single" w:sz="4" w:space="0" w:color="auto"/>
            </w:tcBorders>
            <w:vAlign w:val="center"/>
          </w:tcPr>
          <w:p w14:paraId="7D4FCF40"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2015</w:t>
            </w:r>
          </w:p>
        </w:tc>
        <w:tc>
          <w:tcPr>
            <w:tcW w:w="1340" w:type="dxa"/>
            <w:tcBorders>
              <w:top w:val="single" w:sz="4" w:space="0" w:color="auto"/>
              <w:left w:val="single" w:sz="4" w:space="0" w:color="auto"/>
              <w:bottom w:val="nil"/>
              <w:right w:val="single" w:sz="4" w:space="0" w:color="auto"/>
            </w:tcBorders>
          </w:tcPr>
          <w:p w14:paraId="79CECC19"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Ene.</w:t>
            </w:r>
          </w:p>
        </w:tc>
        <w:tc>
          <w:tcPr>
            <w:tcW w:w="1194" w:type="dxa"/>
            <w:tcBorders>
              <w:top w:val="single" w:sz="4" w:space="0" w:color="auto"/>
              <w:left w:val="single" w:sz="4" w:space="0" w:color="auto"/>
              <w:bottom w:val="nil"/>
              <w:right w:val="single" w:sz="4" w:space="0" w:color="auto"/>
            </w:tcBorders>
          </w:tcPr>
          <w:p w14:paraId="0D78D30C"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14.58</w:t>
            </w:r>
          </w:p>
        </w:tc>
        <w:tc>
          <w:tcPr>
            <w:tcW w:w="1194" w:type="dxa"/>
            <w:tcBorders>
              <w:top w:val="single" w:sz="4" w:space="0" w:color="auto"/>
              <w:left w:val="single" w:sz="4" w:space="0" w:color="auto"/>
              <w:bottom w:val="nil"/>
              <w:right w:val="single" w:sz="4" w:space="0" w:color="auto"/>
            </w:tcBorders>
          </w:tcPr>
          <w:p w14:paraId="6F451F7D"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14.91</w:t>
            </w:r>
          </w:p>
        </w:tc>
        <w:tc>
          <w:tcPr>
            <w:tcW w:w="1194" w:type="dxa"/>
            <w:tcBorders>
              <w:top w:val="single" w:sz="4" w:space="0" w:color="auto"/>
              <w:left w:val="single" w:sz="4" w:space="0" w:color="auto"/>
              <w:bottom w:val="nil"/>
              <w:right w:val="single" w:sz="4" w:space="0" w:color="auto"/>
            </w:tcBorders>
          </w:tcPr>
          <w:p w14:paraId="49D5FE16"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14.58</w:t>
            </w:r>
          </w:p>
        </w:tc>
        <w:tc>
          <w:tcPr>
            <w:tcW w:w="1194" w:type="dxa"/>
            <w:tcBorders>
              <w:top w:val="single" w:sz="4" w:space="0" w:color="auto"/>
              <w:left w:val="single" w:sz="4" w:space="0" w:color="auto"/>
              <w:bottom w:val="nil"/>
              <w:right w:val="single" w:sz="4" w:space="0" w:color="auto"/>
            </w:tcBorders>
          </w:tcPr>
          <w:p w14:paraId="31817F9D"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14.92</w:t>
            </w:r>
          </w:p>
        </w:tc>
      </w:tr>
      <w:tr w:rsidR="00C443FC" w:rsidRPr="00C443FC" w14:paraId="2B454802" w14:textId="77777777" w:rsidTr="00284BB1">
        <w:trPr>
          <w:jc w:val="center"/>
        </w:trPr>
        <w:tc>
          <w:tcPr>
            <w:tcW w:w="701" w:type="dxa"/>
            <w:vMerge/>
            <w:tcBorders>
              <w:left w:val="single" w:sz="4" w:space="0" w:color="auto"/>
              <w:right w:val="single" w:sz="4" w:space="0" w:color="auto"/>
            </w:tcBorders>
            <w:vAlign w:val="center"/>
          </w:tcPr>
          <w:p w14:paraId="1696AB40" w14:textId="77777777" w:rsidR="00C443FC" w:rsidRPr="00C443FC" w:rsidRDefault="00C443FC" w:rsidP="00C443FC">
            <w:pPr>
              <w:jc w:val="center"/>
              <w:rPr>
                <w:rFonts w:eastAsia="Calibri"/>
                <w:b/>
                <w:sz w:val="20"/>
                <w:szCs w:val="20"/>
                <w:lang w:eastAsia="en-US"/>
              </w:rPr>
            </w:pPr>
          </w:p>
        </w:tc>
        <w:tc>
          <w:tcPr>
            <w:tcW w:w="1340" w:type="dxa"/>
            <w:tcBorders>
              <w:top w:val="nil"/>
              <w:left w:val="single" w:sz="4" w:space="0" w:color="auto"/>
              <w:bottom w:val="nil"/>
              <w:right w:val="single" w:sz="4" w:space="0" w:color="auto"/>
            </w:tcBorders>
          </w:tcPr>
          <w:p w14:paraId="2D34744B"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Feb.</w:t>
            </w:r>
          </w:p>
        </w:tc>
        <w:tc>
          <w:tcPr>
            <w:tcW w:w="1194" w:type="dxa"/>
            <w:tcBorders>
              <w:top w:val="nil"/>
              <w:left w:val="single" w:sz="4" w:space="0" w:color="auto"/>
              <w:bottom w:val="nil"/>
              <w:right w:val="single" w:sz="4" w:space="0" w:color="auto"/>
            </w:tcBorders>
          </w:tcPr>
          <w:p w14:paraId="505E2402"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14.54</w:t>
            </w:r>
          </w:p>
        </w:tc>
        <w:tc>
          <w:tcPr>
            <w:tcW w:w="1194" w:type="dxa"/>
            <w:tcBorders>
              <w:top w:val="nil"/>
              <w:left w:val="single" w:sz="4" w:space="0" w:color="auto"/>
              <w:bottom w:val="nil"/>
              <w:right w:val="single" w:sz="4" w:space="0" w:color="auto"/>
            </w:tcBorders>
          </w:tcPr>
          <w:p w14:paraId="4698347F"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14.83</w:t>
            </w:r>
          </w:p>
        </w:tc>
        <w:tc>
          <w:tcPr>
            <w:tcW w:w="1194" w:type="dxa"/>
            <w:tcBorders>
              <w:top w:val="nil"/>
              <w:left w:val="single" w:sz="4" w:space="0" w:color="auto"/>
              <w:bottom w:val="nil"/>
              <w:right w:val="single" w:sz="4" w:space="0" w:color="auto"/>
            </w:tcBorders>
          </w:tcPr>
          <w:p w14:paraId="5822C8D2"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14.56</w:t>
            </w:r>
          </w:p>
        </w:tc>
        <w:tc>
          <w:tcPr>
            <w:tcW w:w="1194" w:type="dxa"/>
            <w:tcBorders>
              <w:top w:val="nil"/>
              <w:left w:val="single" w:sz="4" w:space="0" w:color="auto"/>
              <w:bottom w:val="nil"/>
              <w:right w:val="single" w:sz="4" w:space="0" w:color="auto"/>
            </w:tcBorders>
          </w:tcPr>
          <w:p w14:paraId="497F1494"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14.84</w:t>
            </w:r>
          </w:p>
        </w:tc>
      </w:tr>
      <w:tr w:rsidR="00C443FC" w:rsidRPr="00C443FC" w14:paraId="5683C9E3" w14:textId="77777777" w:rsidTr="00284BB1">
        <w:trPr>
          <w:jc w:val="center"/>
        </w:trPr>
        <w:tc>
          <w:tcPr>
            <w:tcW w:w="701" w:type="dxa"/>
            <w:vMerge/>
            <w:tcBorders>
              <w:left w:val="single" w:sz="4" w:space="0" w:color="auto"/>
              <w:right w:val="single" w:sz="4" w:space="0" w:color="auto"/>
            </w:tcBorders>
            <w:vAlign w:val="center"/>
          </w:tcPr>
          <w:p w14:paraId="1BE85131" w14:textId="77777777" w:rsidR="00C443FC" w:rsidRPr="00C443FC" w:rsidRDefault="00C443FC" w:rsidP="00C443FC">
            <w:pPr>
              <w:jc w:val="center"/>
              <w:rPr>
                <w:rFonts w:eastAsia="Calibri"/>
                <w:b/>
                <w:sz w:val="20"/>
                <w:szCs w:val="20"/>
                <w:lang w:eastAsia="en-US"/>
              </w:rPr>
            </w:pPr>
          </w:p>
        </w:tc>
        <w:tc>
          <w:tcPr>
            <w:tcW w:w="1340" w:type="dxa"/>
            <w:tcBorders>
              <w:top w:val="nil"/>
              <w:left w:val="single" w:sz="4" w:space="0" w:color="auto"/>
              <w:bottom w:val="nil"/>
              <w:right w:val="single" w:sz="4" w:space="0" w:color="auto"/>
            </w:tcBorders>
          </w:tcPr>
          <w:p w14:paraId="3A7F7DD2"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Mar.</w:t>
            </w:r>
          </w:p>
        </w:tc>
        <w:tc>
          <w:tcPr>
            <w:tcW w:w="1194" w:type="dxa"/>
            <w:tcBorders>
              <w:top w:val="nil"/>
              <w:left w:val="single" w:sz="4" w:space="0" w:color="auto"/>
              <w:bottom w:val="nil"/>
              <w:right w:val="single" w:sz="4" w:space="0" w:color="auto"/>
            </w:tcBorders>
          </w:tcPr>
          <w:p w14:paraId="480AC3E5"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14.44</w:t>
            </w:r>
          </w:p>
        </w:tc>
        <w:tc>
          <w:tcPr>
            <w:tcW w:w="1194" w:type="dxa"/>
            <w:tcBorders>
              <w:top w:val="nil"/>
              <w:left w:val="single" w:sz="4" w:space="0" w:color="auto"/>
              <w:bottom w:val="nil"/>
              <w:right w:val="single" w:sz="4" w:space="0" w:color="auto"/>
            </w:tcBorders>
          </w:tcPr>
          <w:p w14:paraId="600A0387"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14.78</w:t>
            </w:r>
          </w:p>
        </w:tc>
        <w:tc>
          <w:tcPr>
            <w:tcW w:w="1194" w:type="dxa"/>
            <w:tcBorders>
              <w:top w:val="nil"/>
              <w:left w:val="single" w:sz="4" w:space="0" w:color="auto"/>
              <w:bottom w:val="nil"/>
              <w:right w:val="single" w:sz="4" w:space="0" w:color="auto"/>
            </w:tcBorders>
          </w:tcPr>
          <w:p w14:paraId="7B363BFD"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14.49</w:t>
            </w:r>
          </w:p>
        </w:tc>
        <w:tc>
          <w:tcPr>
            <w:tcW w:w="1194" w:type="dxa"/>
            <w:tcBorders>
              <w:top w:val="nil"/>
              <w:left w:val="single" w:sz="4" w:space="0" w:color="auto"/>
              <w:bottom w:val="nil"/>
              <w:right w:val="single" w:sz="4" w:space="0" w:color="auto"/>
            </w:tcBorders>
          </w:tcPr>
          <w:p w14:paraId="6AA852F7"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14.80</w:t>
            </w:r>
          </w:p>
        </w:tc>
      </w:tr>
      <w:tr w:rsidR="00C443FC" w:rsidRPr="00C443FC" w14:paraId="087E64AB" w14:textId="77777777" w:rsidTr="00284BB1">
        <w:trPr>
          <w:jc w:val="center"/>
        </w:trPr>
        <w:tc>
          <w:tcPr>
            <w:tcW w:w="701" w:type="dxa"/>
            <w:vMerge/>
            <w:tcBorders>
              <w:left w:val="single" w:sz="4" w:space="0" w:color="auto"/>
              <w:right w:val="single" w:sz="4" w:space="0" w:color="auto"/>
            </w:tcBorders>
            <w:vAlign w:val="center"/>
          </w:tcPr>
          <w:p w14:paraId="18E4E27B" w14:textId="77777777" w:rsidR="00C443FC" w:rsidRPr="00C443FC" w:rsidRDefault="00C443FC" w:rsidP="00C443FC">
            <w:pPr>
              <w:jc w:val="center"/>
              <w:rPr>
                <w:rFonts w:eastAsia="Calibri"/>
                <w:b/>
                <w:sz w:val="20"/>
                <w:szCs w:val="20"/>
                <w:lang w:eastAsia="en-US"/>
              </w:rPr>
            </w:pPr>
          </w:p>
        </w:tc>
        <w:tc>
          <w:tcPr>
            <w:tcW w:w="1340" w:type="dxa"/>
            <w:tcBorders>
              <w:top w:val="nil"/>
              <w:left w:val="single" w:sz="4" w:space="0" w:color="auto"/>
              <w:bottom w:val="nil"/>
              <w:right w:val="single" w:sz="4" w:space="0" w:color="auto"/>
            </w:tcBorders>
          </w:tcPr>
          <w:p w14:paraId="1FD15A6F"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Abr.</w:t>
            </w:r>
          </w:p>
        </w:tc>
        <w:tc>
          <w:tcPr>
            <w:tcW w:w="1194" w:type="dxa"/>
            <w:tcBorders>
              <w:top w:val="nil"/>
              <w:left w:val="single" w:sz="4" w:space="0" w:color="auto"/>
              <w:bottom w:val="nil"/>
              <w:right w:val="single" w:sz="4" w:space="0" w:color="auto"/>
            </w:tcBorders>
          </w:tcPr>
          <w:p w14:paraId="3D870E52"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14.41</w:t>
            </w:r>
          </w:p>
        </w:tc>
        <w:tc>
          <w:tcPr>
            <w:tcW w:w="1194" w:type="dxa"/>
            <w:tcBorders>
              <w:top w:val="nil"/>
              <w:left w:val="single" w:sz="4" w:space="0" w:color="auto"/>
              <w:bottom w:val="nil"/>
              <w:right w:val="single" w:sz="4" w:space="0" w:color="auto"/>
            </w:tcBorders>
          </w:tcPr>
          <w:p w14:paraId="013D29E6"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14.75</w:t>
            </w:r>
          </w:p>
        </w:tc>
        <w:tc>
          <w:tcPr>
            <w:tcW w:w="1194" w:type="dxa"/>
            <w:tcBorders>
              <w:top w:val="nil"/>
              <w:left w:val="single" w:sz="4" w:space="0" w:color="auto"/>
              <w:bottom w:val="nil"/>
              <w:right w:val="single" w:sz="4" w:space="0" w:color="auto"/>
            </w:tcBorders>
          </w:tcPr>
          <w:p w14:paraId="227D0252"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14.47</w:t>
            </w:r>
          </w:p>
        </w:tc>
        <w:tc>
          <w:tcPr>
            <w:tcW w:w="1194" w:type="dxa"/>
            <w:tcBorders>
              <w:top w:val="nil"/>
              <w:left w:val="single" w:sz="4" w:space="0" w:color="auto"/>
              <w:bottom w:val="nil"/>
              <w:right w:val="single" w:sz="4" w:space="0" w:color="auto"/>
            </w:tcBorders>
          </w:tcPr>
          <w:p w14:paraId="30CECC3F"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14.78</w:t>
            </w:r>
          </w:p>
        </w:tc>
      </w:tr>
      <w:tr w:rsidR="00C443FC" w:rsidRPr="00C443FC" w14:paraId="682358F6" w14:textId="77777777" w:rsidTr="00284BB1">
        <w:trPr>
          <w:jc w:val="center"/>
        </w:trPr>
        <w:tc>
          <w:tcPr>
            <w:tcW w:w="701" w:type="dxa"/>
            <w:vMerge/>
            <w:tcBorders>
              <w:left w:val="single" w:sz="4" w:space="0" w:color="auto"/>
              <w:right w:val="single" w:sz="4" w:space="0" w:color="auto"/>
            </w:tcBorders>
            <w:vAlign w:val="center"/>
          </w:tcPr>
          <w:p w14:paraId="73E8B2CC" w14:textId="77777777" w:rsidR="00C443FC" w:rsidRPr="00C443FC" w:rsidRDefault="00C443FC" w:rsidP="00C443FC">
            <w:pPr>
              <w:jc w:val="center"/>
              <w:rPr>
                <w:rFonts w:eastAsia="Calibri"/>
                <w:b/>
                <w:sz w:val="20"/>
                <w:szCs w:val="20"/>
                <w:lang w:eastAsia="en-US"/>
              </w:rPr>
            </w:pPr>
          </w:p>
        </w:tc>
        <w:tc>
          <w:tcPr>
            <w:tcW w:w="1340" w:type="dxa"/>
            <w:tcBorders>
              <w:top w:val="nil"/>
              <w:left w:val="single" w:sz="4" w:space="0" w:color="auto"/>
              <w:bottom w:val="nil"/>
              <w:right w:val="single" w:sz="4" w:space="0" w:color="auto"/>
            </w:tcBorders>
          </w:tcPr>
          <w:p w14:paraId="412026EB"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May.</w:t>
            </w:r>
          </w:p>
        </w:tc>
        <w:tc>
          <w:tcPr>
            <w:tcW w:w="1194" w:type="dxa"/>
            <w:tcBorders>
              <w:top w:val="nil"/>
              <w:left w:val="single" w:sz="4" w:space="0" w:color="auto"/>
              <w:bottom w:val="nil"/>
              <w:right w:val="single" w:sz="4" w:space="0" w:color="auto"/>
            </w:tcBorders>
          </w:tcPr>
          <w:p w14:paraId="0981EFB3"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14.42</w:t>
            </w:r>
          </w:p>
        </w:tc>
        <w:tc>
          <w:tcPr>
            <w:tcW w:w="1194" w:type="dxa"/>
            <w:tcBorders>
              <w:top w:val="nil"/>
              <w:left w:val="single" w:sz="4" w:space="0" w:color="auto"/>
              <w:bottom w:val="nil"/>
              <w:right w:val="single" w:sz="4" w:space="0" w:color="auto"/>
            </w:tcBorders>
          </w:tcPr>
          <w:p w14:paraId="58D54FD6"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14.73</w:t>
            </w:r>
          </w:p>
        </w:tc>
        <w:tc>
          <w:tcPr>
            <w:tcW w:w="1194" w:type="dxa"/>
            <w:tcBorders>
              <w:top w:val="nil"/>
              <w:left w:val="single" w:sz="4" w:space="0" w:color="auto"/>
              <w:bottom w:val="nil"/>
              <w:right w:val="single" w:sz="4" w:space="0" w:color="auto"/>
            </w:tcBorders>
          </w:tcPr>
          <w:p w14:paraId="0A64AC39"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14.47</w:t>
            </w:r>
          </w:p>
        </w:tc>
        <w:tc>
          <w:tcPr>
            <w:tcW w:w="1194" w:type="dxa"/>
            <w:tcBorders>
              <w:top w:val="nil"/>
              <w:left w:val="single" w:sz="4" w:space="0" w:color="auto"/>
              <w:bottom w:val="nil"/>
              <w:right w:val="single" w:sz="4" w:space="0" w:color="auto"/>
            </w:tcBorders>
          </w:tcPr>
          <w:p w14:paraId="532FB443"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14.75</w:t>
            </w:r>
          </w:p>
        </w:tc>
      </w:tr>
      <w:tr w:rsidR="00C443FC" w:rsidRPr="00C443FC" w14:paraId="591903D8" w14:textId="77777777" w:rsidTr="00284BB1">
        <w:trPr>
          <w:jc w:val="center"/>
        </w:trPr>
        <w:tc>
          <w:tcPr>
            <w:tcW w:w="701" w:type="dxa"/>
            <w:vMerge/>
            <w:tcBorders>
              <w:left w:val="single" w:sz="4" w:space="0" w:color="auto"/>
              <w:right w:val="single" w:sz="4" w:space="0" w:color="auto"/>
            </w:tcBorders>
            <w:vAlign w:val="center"/>
          </w:tcPr>
          <w:p w14:paraId="2F18C16A" w14:textId="77777777" w:rsidR="00C443FC" w:rsidRPr="00C443FC" w:rsidRDefault="00C443FC" w:rsidP="00C443FC">
            <w:pPr>
              <w:jc w:val="center"/>
              <w:rPr>
                <w:rFonts w:eastAsia="Calibri"/>
                <w:b/>
                <w:sz w:val="20"/>
                <w:szCs w:val="20"/>
                <w:lang w:eastAsia="en-US"/>
              </w:rPr>
            </w:pPr>
          </w:p>
        </w:tc>
        <w:tc>
          <w:tcPr>
            <w:tcW w:w="1340" w:type="dxa"/>
            <w:tcBorders>
              <w:top w:val="nil"/>
              <w:left w:val="single" w:sz="4" w:space="0" w:color="auto"/>
              <w:bottom w:val="nil"/>
              <w:right w:val="single" w:sz="4" w:space="0" w:color="auto"/>
            </w:tcBorders>
          </w:tcPr>
          <w:p w14:paraId="63C0D67F"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Jun.</w:t>
            </w:r>
          </w:p>
        </w:tc>
        <w:tc>
          <w:tcPr>
            <w:tcW w:w="1194" w:type="dxa"/>
            <w:tcBorders>
              <w:top w:val="nil"/>
              <w:left w:val="single" w:sz="4" w:space="0" w:color="auto"/>
              <w:bottom w:val="nil"/>
              <w:right w:val="single" w:sz="4" w:space="0" w:color="auto"/>
            </w:tcBorders>
          </w:tcPr>
          <w:p w14:paraId="77F1C1EA"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14.39</w:t>
            </w:r>
          </w:p>
        </w:tc>
        <w:tc>
          <w:tcPr>
            <w:tcW w:w="1194" w:type="dxa"/>
            <w:tcBorders>
              <w:top w:val="nil"/>
              <w:left w:val="single" w:sz="4" w:space="0" w:color="auto"/>
              <w:bottom w:val="nil"/>
              <w:right w:val="single" w:sz="4" w:space="0" w:color="auto"/>
            </w:tcBorders>
          </w:tcPr>
          <w:p w14:paraId="10A930E9"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14.71</w:t>
            </w:r>
          </w:p>
        </w:tc>
        <w:tc>
          <w:tcPr>
            <w:tcW w:w="1194" w:type="dxa"/>
            <w:tcBorders>
              <w:top w:val="nil"/>
              <w:left w:val="single" w:sz="4" w:space="0" w:color="auto"/>
              <w:bottom w:val="nil"/>
              <w:right w:val="single" w:sz="4" w:space="0" w:color="auto"/>
            </w:tcBorders>
          </w:tcPr>
          <w:p w14:paraId="45C61AB5"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14.43</w:t>
            </w:r>
          </w:p>
        </w:tc>
        <w:tc>
          <w:tcPr>
            <w:tcW w:w="1194" w:type="dxa"/>
            <w:tcBorders>
              <w:top w:val="nil"/>
              <w:left w:val="single" w:sz="4" w:space="0" w:color="auto"/>
              <w:bottom w:val="nil"/>
              <w:right w:val="single" w:sz="4" w:space="0" w:color="auto"/>
            </w:tcBorders>
          </w:tcPr>
          <w:p w14:paraId="5BFB7735"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14.71</w:t>
            </w:r>
          </w:p>
        </w:tc>
      </w:tr>
      <w:tr w:rsidR="00C443FC" w:rsidRPr="00C443FC" w14:paraId="7A08D1C1" w14:textId="77777777" w:rsidTr="00284BB1">
        <w:trPr>
          <w:jc w:val="center"/>
        </w:trPr>
        <w:tc>
          <w:tcPr>
            <w:tcW w:w="701" w:type="dxa"/>
            <w:vMerge/>
            <w:tcBorders>
              <w:left w:val="single" w:sz="4" w:space="0" w:color="auto"/>
              <w:right w:val="single" w:sz="4" w:space="0" w:color="auto"/>
            </w:tcBorders>
          </w:tcPr>
          <w:p w14:paraId="2FB55C46" w14:textId="77777777" w:rsidR="00C443FC" w:rsidRPr="00C443FC" w:rsidRDefault="00C443FC" w:rsidP="00C443FC">
            <w:pPr>
              <w:jc w:val="center"/>
              <w:rPr>
                <w:rFonts w:eastAsia="Calibri"/>
                <w:b/>
                <w:sz w:val="20"/>
                <w:szCs w:val="20"/>
                <w:lang w:eastAsia="en-US"/>
              </w:rPr>
            </w:pPr>
          </w:p>
        </w:tc>
        <w:tc>
          <w:tcPr>
            <w:tcW w:w="1340" w:type="dxa"/>
            <w:tcBorders>
              <w:top w:val="nil"/>
              <w:left w:val="single" w:sz="4" w:space="0" w:color="auto"/>
              <w:bottom w:val="nil"/>
              <w:right w:val="single" w:sz="4" w:space="0" w:color="auto"/>
            </w:tcBorders>
          </w:tcPr>
          <w:p w14:paraId="5BA1A4FF"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Jul.</w:t>
            </w:r>
          </w:p>
        </w:tc>
        <w:tc>
          <w:tcPr>
            <w:tcW w:w="1194" w:type="dxa"/>
            <w:tcBorders>
              <w:top w:val="nil"/>
              <w:left w:val="single" w:sz="4" w:space="0" w:color="auto"/>
              <w:bottom w:val="nil"/>
              <w:right w:val="single" w:sz="4" w:space="0" w:color="auto"/>
            </w:tcBorders>
          </w:tcPr>
          <w:p w14:paraId="6343B3FC"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14.37</w:t>
            </w:r>
          </w:p>
        </w:tc>
        <w:tc>
          <w:tcPr>
            <w:tcW w:w="1194" w:type="dxa"/>
            <w:tcBorders>
              <w:top w:val="nil"/>
              <w:left w:val="single" w:sz="4" w:space="0" w:color="auto"/>
              <w:bottom w:val="nil"/>
              <w:right w:val="single" w:sz="4" w:space="0" w:color="auto"/>
            </w:tcBorders>
          </w:tcPr>
          <w:p w14:paraId="375CB339"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14.69</w:t>
            </w:r>
          </w:p>
        </w:tc>
        <w:tc>
          <w:tcPr>
            <w:tcW w:w="1194" w:type="dxa"/>
            <w:tcBorders>
              <w:top w:val="nil"/>
              <w:left w:val="single" w:sz="4" w:space="0" w:color="auto"/>
              <w:bottom w:val="nil"/>
              <w:right w:val="single" w:sz="4" w:space="0" w:color="auto"/>
            </w:tcBorders>
          </w:tcPr>
          <w:p w14:paraId="7A546207"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14.42</w:t>
            </w:r>
          </w:p>
        </w:tc>
        <w:tc>
          <w:tcPr>
            <w:tcW w:w="1194" w:type="dxa"/>
            <w:tcBorders>
              <w:top w:val="nil"/>
              <w:left w:val="single" w:sz="4" w:space="0" w:color="auto"/>
              <w:bottom w:val="nil"/>
              <w:right w:val="single" w:sz="4" w:space="0" w:color="auto"/>
            </w:tcBorders>
          </w:tcPr>
          <w:p w14:paraId="12419BF5"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14.74</w:t>
            </w:r>
          </w:p>
        </w:tc>
      </w:tr>
      <w:tr w:rsidR="00C443FC" w:rsidRPr="00C443FC" w14:paraId="15A61A8B" w14:textId="77777777" w:rsidTr="00284BB1">
        <w:trPr>
          <w:jc w:val="center"/>
        </w:trPr>
        <w:tc>
          <w:tcPr>
            <w:tcW w:w="701" w:type="dxa"/>
            <w:vMerge/>
            <w:tcBorders>
              <w:left w:val="single" w:sz="4" w:space="0" w:color="auto"/>
              <w:right w:val="single" w:sz="4" w:space="0" w:color="auto"/>
            </w:tcBorders>
            <w:vAlign w:val="center"/>
          </w:tcPr>
          <w:p w14:paraId="3F63CB74" w14:textId="77777777" w:rsidR="00C443FC" w:rsidRPr="00C443FC" w:rsidRDefault="00C443FC" w:rsidP="00C443FC">
            <w:pPr>
              <w:jc w:val="center"/>
              <w:rPr>
                <w:rFonts w:eastAsia="Calibri"/>
                <w:b/>
                <w:sz w:val="20"/>
                <w:szCs w:val="20"/>
                <w:lang w:eastAsia="en-US"/>
              </w:rPr>
            </w:pPr>
          </w:p>
        </w:tc>
        <w:tc>
          <w:tcPr>
            <w:tcW w:w="1340" w:type="dxa"/>
            <w:tcBorders>
              <w:top w:val="nil"/>
              <w:left w:val="single" w:sz="4" w:space="0" w:color="auto"/>
              <w:bottom w:val="nil"/>
              <w:right w:val="single" w:sz="4" w:space="0" w:color="auto"/>
            </w:tcBorders>
          </w:tcPr>
          <w:p w14:paraId="7281022C"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Ago.</w:t>
            </w:r>
          </w:p>
        </w:tc>
        <w:tc>
          <w:tcPr>
            <w:tcW w:w="1194" w:type="dxa"/>
            <w:tcBorders>
              <w:top w:val="nil"/>
              <w:left w:val="single" w:sz="4" w:space="0" w:color="auto"/>
              <w:bottom w:val="nil"/>
              <w:right w:val="single" w:sz="4" w:space="0" w:color="auto"/>
            </w:tcBorders>
          </w:tcPr>
          <w:p w14:paraId="5A3D3470"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14.33</w:t>
            </w:r>
          </w:p>
        </w:tc>
        <w:tc>
          <w:tcPr>
            <w:tcW w:w="1194" w:type="dxa"/>
            <w:tcBorders>
              <w:top w:val="nil"/>
              <w:left w:val="single" w:sz="4" w:space="0" w:color="auto"/>
              <w:bottom w:val="nil"/>
              <w:right w:val="single" w:sz="4" w:space="0" w:color="auto"/>
            </w:tcBorders>
          </w:tcPr>
          <w:p w14:paraId="7911A099"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14.65</w:t>
            </w:r>
          </w:p>
        </w:tc>
        <w:tc>
          <w:tcPr>
            <w:tcW w:w="1194" w:type="dxa"/>
            <w:tcBorders>
              <w:top w:val="nil"/>
              <w:left w:val="single" w:sz="4" w:space="0" w:color="auto"/>
              <w:bottom w:val="nil"/>
              <w:right w:val="single" w:sz="4" w:space="0" w:color="auto"/>
            </w:tcBorders>
          </w:tcPr>
          <w:p w14:paraId="344B0DB6"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14.36</w:t>
            </w:r>
          </w:p>
        </w:tc>
        <w:tc>
          <w:tcPr>
            <w:tcW w:w="1194" w:type="dxa"/>
            <w:tcBorders>
              <w:top w:val="nil"/>
              <w:left w:val="single" w:sz="4" w:space="0" w:color="auto"/>
              <w:bottom w:val="nil"/>
              <w:right w:val="single" w:sz="4" w:space="0" w:color="auto"/>
            </w:tcBorders>
          </w:tcPr>
          <w:p w14:paraId="3E59C9F9"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14.70</w:t>
            </w:r>
          </w:p>
        </w:tc>
      </w:tr>
      <w:tr w:rsidR="00C443FC" w:rsidRPr="00C443FC" w14:paraId="0680B726" w14:textId="77777777" w:rsidTr="00284BB1">
        <w:trPr>
          <w:jc w:val="center"/>
        </w:trPr>
        <w:tc>
          <w:tcPr>
            <w:tcW w:w="701" w:type="dxa"/>
            <w:vMerge/>
            <w:tcBorders>
              <w:left w:val="single" w:sz="4" w:space="0" w:color="auto"/>
              <w:right w:val="single" w:sz="4" w:space="0" w:color="auto"/>
            </w:tcBorders>
            <w:vAlign w:val="center"/>
          </w:tcPr>
          <w:p w14:paraId="20550C1B" w14:textId="77777777" w:rsidR="00C443FC" w:rsidRPr="00C443FC" w:rsidRDefault="00C443FC" w:rsidP="00C443FC">
            <w:pPr>
              <w:jc w:val="center"/>
              <w:rPr>
                <w:rFonts w:eastAsia="Calibri"/>
                <w:b/>
                <w:sz w:val="20"/>
                <w:szCs w:val="20"/>
                <w:lang w:eastAsia="en-US"/>
              </w:rPr>
            </w:pPr>
          </w:p>
        </w:tc>
        <w:tc>
          <w:tcPr>
            <w:tcW w:w="1340" w:type="dxa"/>
            <w:tcBorders>
              <w:top w:val="nil"/>
              <w:left w:val="single" w:sz="4" w:space="0" w:color="auto"/>
              <w:bottom w:val="nil"/>
              <w:right w:val="single" w:sz="4" w:space="0" w:color="auto"/>
            </w:tcBorders>
          </w:tcPr>
          <w:p w14:paraId="79BE37D4"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Sep.</w:t>
            </w:r>
          </w:p>
        </w:tc>
        <w:tc>
          <w:tcPr>
            <w:tcW w:w="1194" w:type="dxa"/>
            <w:tcBorders>
              <w:top w:val="nil"/>
              <w:left w:val="single" w:sz="4" w:space="0" w:color="auto"/>
              <w:bottom w:val="nil"/>
              <w:right w:val="single" w:sz="4" w:space="0" w:color="auto"/>
            </w:tcBorders>
          </w:tcPr>
          <w:p w14:paraId="1170BFEC"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14.28</w:t>
            </w:r>
          </w:p>
        </w:tc>
        <w:tc>
          <w:tcPr>
            <w:tcW w:w="1194" w:type="dxa"/>
            <w:tcBorders>
              <w:top w:val="nil"/>
              <w:left w:val="single" w:sz="4" w:space="0" w:color="auto"/>
              <w:bottom w:val="nil"/>
              <w:right w:val="single" w:sz="4" w:space="0" w:color="auto"/>
            </w:tcBorders>
          </w:tcPr>
          <w:p w14:paraId="2D7F769C"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14.61</w:t>
            </w:r>
          </w:p>
        </w:tc>
        <w:tc>
          <w:tcPr>
            <w:tcW w:w="1194" w:type="dxa"/>
            <w:tcBorders>
              <w:top w:val="nil"/>
              <w:left w:val="single" w:sz="4" w:space="0" w:color="auto"/>
              <w:bottom w:val="nil"/>
              <w:right w:val="single" w:sz="4" w:space="0" w:color="auto"/>
            </w:tcBorders>
          </w:tcPr>
          <w:p w14:paraId="0DF60927"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14.30</w:t>
            </w:r>
          </w:p>
        </w:tc>
        <w:tc>
          <w:tcPr>
            <w:tcW w:w="1194" w:type="dxa"/>
            <w:tcBorders>
              <w:top w:val="nil"/>
              <w:left w:val="single" w:sz="4" w:space="0" w:color="auto"/>
              <w:bottom w:val="nil"/>
              <w:right w:val="single" w:sz="4" w:space="0" w:color="auto"/>
            </w:tcBorders>
          </w:tcPr>
          <w:p w14:paraId="32C9E5C6"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14.64</w:t>
            </w:r>
          </w:p>
        </w:tc>
      </w:tr>
      <w:tr w:rsidR="00C443FC" w:rsidRPr="00C443FC" w14:paraId="01B45730" w14:textId="77777777" w:rsidTr="00284BB1">
        <w:trPr>
          <w:jc w:val="center"/>
        </w:trPr>
        <w:tc>
          <w:tcPr>
            <w:tcW w:w="701" w:type="dxa"/>
            <w:vMerge/>
            <w:tcBorders>
              <w:left w:val="single" w:sz="4" w:space="0" w:color="auto"/>
              <w:right w:val="single" w:sz="4" w:space="0" w:color="auto"/>
            </w:tcBorders>
            <w:vAlign w:val="center"/>
          </w:tcPr>
          <w:p w14:paraId="12FED498" w14:textId="77777777" w:rsidR="00C443FC" w:rsidRPr="00C443FC" w:rsidRDefault="00C443FC" w:rsidP="00C443FC">
            <w:pPr>
              <w:jc w:val="center"/>
              <w:rPr>
                <w:rFonts w:eastAsia="Calibri"/>
                <w:b/>
                <w:sz w:val="20"/>
                <w:szCs w:val="20"/>
                <w:lang w:eastAsia="en-US"/>
              </w:rPr>
            </w:pPr>
          </w:p>
        </w:tc>
        <w:tc>
          <w:tcPr>
            <w:tcW w:w="1340" w:type="dxa"/>
            <w:tcBorders>
              <w:top w:val="nil"/>
              <w:left w:val="single" w:sz="4" w:space="0" w:color="auto"/>
              <w:bottom w:val="nil"/>
              <w:right w:val="single" w:sz="4" w:space="0" w:color="auto"/>
            </w:tcBorders>
          </w:tcPr>
          <w:p w14:paraId="552E9001"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Oct.</w:t>
            </w:r>
          </w:p>
        </w:tc>
        <w:tc>
          <w:tcPr>
            <w:tcW w:w="1194" w:type="dxa"/>
            <w:tcBorders>
              <w:top w:val="nil"/>
              <w:left w:val="single" w:sz="4" w:space="0" w:color="auto"/>
              <w:bottom w:val="nil"/>
              <w:right w:val="single" w:sz="4" w:space="0" w:color="auto"/>
            </w:tcBorders>
          </w:tcPr>
          <w:p w14:paraId="76574675"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14.23</w:t>
            </w:r>
          </w:p>
        </w:tc>
        <w:tc>
          <w:tcPr>
            <w:tcW w:w="1194" w:type="dxa"/>
            <w:tcBorders>
              <w:top w:val="nil"/>
              <w:left w:val="single" w:sz="4" w:space="0" w:color="auto"/>
              <w:bottom w:val="nil"/>
              <w:right w:val="single" w:sz="4" w:space="0" w:color="auto"/>
            </w:tcBorders>
          </w:tcPr>
          <w:p w14:paraId="0D36FD61"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14.58</w:t>
            </w:r>
          </w:p>
        </w:tc>
        <w:tc>
          <w:tcPr>
            <w:tcW w:w="1194" w:type="dxa"/>
            <w:tcBorders>
              <w:top w:val="nil"/>
              <w:left w:val="single" w:sz="4" w:space="0" w:color="auto"/>
              <w:bottom w:val="nil"/>
              <w:right w:val="single" w:sz="4" w:space="0" w:color="auto"/>
            </w:tcBorders>
          </w:tcPr>
          <w:p w14:paraId="11A323EB"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14.21</w:t>
            </w:r>
          </w:p>
        </w:tc>
        <w:tc>
          <w:tcPr>
            <w:tcW w:w="1194" w:type="dxa"/>
            <w:tcBorders>
              <w:top w:val="nil"/>
              <w:left w:val="single" w:sz="4" w:space="0" w:color="auto"/>
              <w:bottom w:val="nil"/>
              <w:right w:val="single" w:sz="4" w:space="0" w:color="auto"/>
            </w:tcBorders>
          </w:tcPr>
          <w:p w14:paraId="3AA5B242"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14.59</w:t>
            </w:r>
          </w:p>
        </w:tc>
      </w:tr>
      <w:tr w:rsidR="00C443FC" w:rsidRPr="00C443FC" w14:paraId="669081E7" w14:textId="77777777" w:rsidTr="00284BB1">
        <w:trPr>
          <w:jc w:val="center"/>
        </w:trPr>
        <w:tc>
          <w:tcPr>
            <w:tcW w:w="701" w:type="dxa"/>
            <w:vMerge/>
            <w:tcBorders>
              <w:left w:val="single" w:sz="4" w:space="0" w:color="auto"/>
              <w:right w:val="single" w:sz="4" w:space="0" w:color="auto"/>
            </w:tcBorders>
            <w:vAlign w:val="center"/>
          </w:tcPr>
          <w:p w14:paraId="7E816B4E" w14:textId="77777777" w:rsidR="00C443FC" w:rsidRPr="00C443FC" w:rsidRDefault="00C443FC" w:rsidP="00C443FC">
            <w:pPr>
              <w:jc w:val="center"/>
              <w:rPr>
                <w:rFonts w:eastAsia="Calibri"/>
                <w:b/>
                <w:sz w:val="20"/>
                <w:szCs w:val="20"/>
                <w:lang w:eastAsia="en-US"/>
              </w:rPr>
            </w:pPr>
          </w:p>
        </w:tc>
        <w:tc>
          <w:tcPr>
            <w:tcW w:w="1340" w:type="dxa"/>
            <w:tcBorders>
              <w:top w:val="nil"/>
              <w:left w:val="single" w:sz="4" w:space="0" w:color="auto"/>
              <w:bottom w:val="nil"/>
              <w:right w:val="single" w:sz="4" w:space="0" w:color="auto"/>
            </w:tcBorders>
          </w:tcPr>
          <w:p w14:paraId="45FE893F"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Nov.</w:t>
            </w:r>
          </w:p>
        </w:tc>
        <w:tc>
          <w:tcPr>
            <w:tcW w:w="1194" w:type="dxa"/>
            <w:tcBorders>
              <w:top w:val="nil"/>
              <w:left w:val="single" w:sz="4" w:space="0" w:color="auto"/>
              <w:bottom w:val="nil"/>
              <w:right w:val="single" w:sz="4" w:space="0" w:color="auto"/>
            </w:tcBorders>
          </w:tcPr>
          <w:p w14:paraId="50E414AC"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14.18</w:t>
            </w:r>
          </w:p>
        </w:tc>
        <w:tc>
          <w:tcPr>
            <w:tcW w:w="1194" w:type="dxa"/>
            <w:tcBorders>
              <w:top w:val="nil"/>
              <w:left w:val="single" w:sz="4" w:space="0" w:color="auto"/>
              <w:bottom w:val="nil"/>
              <w:right w:val="single" w:sz="4" w:space="0" w:color="auto"/>
            </w:tcBorders>
          </w:tcPr>
          <w:p w14:paraId="58F9DBB5"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14.54</w:t>
            </w:r>
          </w:p>
        </w:tc>
        <w:tc>
          <w:tcPr>
            <w:tcW w:w="1194" w:type="dxa"/>
            <w:tcBorders>
              <w:top w:val="nil"/>
              <w:left w:val="single" w:sz="4" w:space="0" w:color="auto"/>
              <w:bottom w:val="nil"/>
              <w:right w:val="single" w:sz="4" w:space="0" w:color="auto"/>
            </w:tcBorders>
          </w:tcPr>
          <w:p w14:paraId="046E84B3"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14.15</w:t>
            </w:r>
          </w:p>
        </w:tc>
        <w:tc>
          <w:tcPr>
            <w:tcW w:w="1194" w:type="dxa"/>
            <w:tcBorders>
              <w:top w:val="nil"/>
              <w:left w:val="single" w:sz="4" w:space="0" w:color="auto"/>
              <w:bottom w:val="nil"/>
              <w:right w:val="single" w:sz="4" w:space="0" w:color="auto"/>
            </w:tcBorders>
          </w:tcPr>
          <w:p w14:paraId="1EE5879E"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14.50</w:t>
            </w:r>
          </w:p>
        </w:tc>
      </w:tr>
      <w:tr w:rsidR="00C443FC" w:rsidRPr="00C443FC" w14:paraId="5FAC6CF7" w14:textId="77777777" w:rsidTr="00D7095B">
        <w:trPr>
          <w:jc w:val="center"/>
        </w:trPr>
        <w:tc>
          <w:tcPr>
            <w:tcW w:w="701" w:type="dxa"/>
            <w:vMerge/>
            <w:tcBorders>
              <w:left w:val="single" w:sz="4" w:space="0" w:color="auto"/>
              <w:bottom w:val="single" w:sz="4" w:space="0" w:color="auto"/>
              <w:right w:val="single" w:sz="4" w:space="0" w:color="auto"/>
            </w:tcBorders>
            <w:vAlign w:val="center"/>
          </w:tcPr>
          <w:p w14:paraId="50D45C06" w14:textId="77777777" w:rsidR="00C443FC" w:rsidRPr="00C443FC" w:rsidRDefault="00C443FC" w:rsidP="00C443FC">
            <w:pPr>
              <w:jc w:val="center"/>
              <w:rPr>
                <w:rFonts w:eastAsia="Calibri"/>
                <w:b/>
                <w:sz w:val="20"/>
                <w:szCs w:val="20"/>
                <w:lang w:eastAsia="en-US"/>
              </w:rPr>
            </w:pPr>
          </w:p>
        </w:tc>
        <w:tc>
          <w:tcPr>
            <w:tcW w:w="1340" w:type="dxa"/>
            <w:tcBorders>
              <w:top w:val="nil"/>
              <w:left w:val="single" w:sz="4" w:space="0" w:color="auto"/>
              <w:bottom w:val="single" w:sz="4" w:space="0" w:color="auto"/>
              <w:right w:val="single" w:sz="4" w:space="0" w:color="auto"/>
            </w:tcBorders>
          </w:tcPr>
          <w:p w14:paraId="7DDB3B9A"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Dic.</w:t>
            </w:r>
            <w:r w:rsidRPr="00C443FC">
              <w:rPr>
                <w:rFonts w:eastAsia="Calibri"/>
                <w:b/>
                <w:sz w:val="20"/>
                <w:szCs w:val="20"/>
                <w:u w:val="single"/>
                <w:vertAlign w:val="superscript"/>
                <w:lang w:eastAsia="en-US"/>
              </w:rPr>
              <w:t>1</w:t>
            </w:r>
            <w:r w:rsidRPr="00C443FC">
              <w:rPr>
                <w:rFonts w:eastAsia="Calibri"/>
                <w:b/>
                <w:sz w:val="20"/>
                <w:szCs w:val="20"/>
                <w:vertAlign w:val="superscript"/>
                <w:lang w:eastAsia="en-US"/>
              </w:rPr>
              <w:t>/</w:t>
            </w:r>
          </w:p>
        </w:tc>
        <w:tc>
          <w:tcPr>
            <w:tcW w:w="1194" w:type="dxa"/>
            <w:tcBorders>
              <w:top w:val="nil"/>
              <w:left w:val="single" w:sz="4" w:space="0" w:color="auto"/>
              <w:bottom w:val="single" w:sz="4" w:space="0" w:color="auto"/>
              <w:right w:val="single" w:sz="4" w:space="0" w:color="auto"/>
            </w:tcBorders>
          </w:tcPr>
          <w:p w14:paraId="5E8A7296"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14.23</w:t>
            </w:r>
          </w:p>
        </w:tc>
        <w:tc>
          <w:tcPr>
            <w:tcW w:w="1194" w:type="dxa"/>
            <w:tcBorders>
              <w:top w:val="nil"/>
              <w:left w:val="single" w:sz="4" w:space="0" w:color="auto"/>
              <w:bottom w:val="single" w:sz="4" w:space="0" w:color="auto"/>
              <w:right w:val="single" w:sz="4" w:space="0" w:color="auto"/>
            </w:tcBorders>
          </w:tcPr>
          <w:p w14:paraId="005AD736"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14.52</w:t>
            </w:r>
          </w:p>
        </w:tc>
        <w:tc>
          <w:tcPr>
            <w:tcW w:w="1194" w:type="dxa"/>
            <w:tcBorders>
              <w:top w:val="nil"/>
              <w:left w:val="single" w:sz="4" w:space="0" w:color="auto"/>
              <w:bottom w:val="single" w:sz="4" w:space="0" w:color="auto"/>
              <w:right w:val="single" w:sz="4" w:space="0" w:color="auto"/>
            </w:tcBorders>
          </w:tcPr>
          <w:p w14:paraId="37FEE99E"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14.20</w:t>
            </w:r>
          </w:p>
        </w:tc>
        <w:tc>
          <w:tcPr>
            <w:tcW w:w="1194" w:type="dxa"/>
            <w:tcBorders>
              <w:top w:val="nil"/>
              <w:left w:val="single" w:sz="4" w:space="0" w:color="auto"/>
              <w:bottom w:val="single" w:sz="4" w:space="0" w:color="auto"/>
              <w:right w:val="single" w:sz="4" w:space="0" w:color="auto"/>
            </w:tcBorders>
          </w:tcPr>
          <w:p w14:paraId="49551250"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14.49</w:t>
            </w:r>
          </w:p>
        </w:tc>
      </w:tr>
      <w:tr w:rsidR="00C443FC" w:rsidRPr="00C443FC" w14:paraId="199BB8A9" w14:textId="77777777" w:rsidTr="00D7095B">
        <w:trPr>
          <w:jc w:val="center"/>
        </w:trPr>
        <w:tc>
          <w:tcPr>
            <w:tcW w:w="701" w:type="dxa"/>
            <w:tcBorders>
              <w:top w:val="single" w:sz="4" w:space="0" w:color="auto"/>
              <w:left w:val="single" w:sz="4" w:space="0" w:color="auto"/>
              <w:bottom w:val="single" w:sz="4" w:space="0" w:color="auto"/>
              <w:right w:val="single" w:sz="4" w:space="0" w:color="auto"/>
            </w:tcBorders>
          </w:tcPr>
          <w:p w14:paraId="74DD1AC4"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2016</w:t>
            </w:r>
          </w:p>
        </w:tc>
        <w:tc>
          <w:tcPr>
            <w:tcW w:w="1340" w:type="dxa"/>
            <w:tcBorders>
              <w:top w:val="single" w:sz="4" w:space="0" w:color="auto"/>
              <w:left w:val="single" w:sz="4" w:space="0" w:color="auto"/>
              <w:bottom w:val="single" w:sz="4" w:space="0" w:color="auto"/>
              <w:right w:val="single" w:sz="4" w:space="0" w:color="auto"/>
            </w:tcBorders>
          </w:tcPr>
          <w:p w14:paraId="6158C5A4"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Ene.</w:t>
            </w:r>
          </w:p>
        </w:tc>
        <w:tc>
          <w:tcPr>
            <w:tcW w:w="1194" w:type="dxa"/>
            <w:tcBorders>
              <w:top w:val="single" w:sz="4" w:space="0" w:color="auto"/>
              <w:left w:val="single" w:sz="4" w:space="0" w:color="auto"/>
              <w:bottom w:val="single" w:sz="4" w:space="0" w:color="auto"/>
              <w:right w:val="single" w:sz="4" w:space="0" w:color="auto"/>
            </w:tcBorders>
          </w:tcPr>
          <w:p w14:paraId="25A308E9" w14:textId="77777777" w:rsidR="00C443FC" w:rsidRPr="00C443FC" w:rsidRDefault="00C443FC" w:rsidP="00C443FC">
            <w:pPr>
              <w:jc w:val="center"/>
              <w:rPr>
                <w:rFonts w:eastAsia="Calibri"/>
                <w:sz w:val="20"/>
                <w:szCs w:val="20"/>
                <w:lang w:eastAsia="en-US"/>
              </w:rPr>
            </w:pPr>
          </w:p>
        </w:tc>
        <w:tc>
          <w:tcPr>
            <w:tcW w:w="1194" w:type="dxa"/>
            <w:tcBorders>
              <w:top w:val="single" w:sz="4" w:space="0" w:color="auto"/>
              <w:left w:val="single" w:sz="4" w:space="0" w:color="auto"/>
              <w:bottom w:val="single" w:sz="4" w:space="0" w:color="auto"/>
              <w:right w:val="single" w:sz="4" w:space="0" w:color="auto"/>
            </w:tcBorders>
          </w:tcPr>
          <w:p w14:paraId="7A998E6F"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14.42</w:t>
            </w:r>
          </w:p>
        </w:tc>
        <w:tc>
          <w:tcPr>
            <w:tcW w:w="1194" w:type="dxa"/>
            <w:tcBorders>
              <w:top w:val="single" w:sz="4" w:space="0" w:color="auto"/>
              <w:left w:val="single" w:sz="4" w:space="0" w:color="auto"/>
              <w:bottom w:val="single" w:sz="4" w:space="0" w:color="auto"/>
              <w:right w:val="single" w:sz="4" w:space="0" w:color="auto"/>
            </w:tcBorders>
          </w:tcPr>
          <w:p w14:paraId="6FFA3693" w14:textId="77777777" w:rsidR="00C443FC" w:rsidRPr="00C443FC" w:rsidRDefault="00C443FC" w:rsidP="00C443FC">
            <w:pPr>
              <w:jc w:val="center"/>
              <w:rPr>
                <w:rFonts w:eastAsia="Calibri"/>
                <w:sz w:val="20"/>
                <w:szCs w:val="20"/>
                <w:lang w:eastAsia="en-US"/>
              </w:rPr>
            </w:pPr>
          </w:p>
        </w:tc>
        <w:tc>
          <w:tcPr>
            <w:tcW w:w="1194" w:type="dxa"/>
            <w:tcBorders>
              <w:top w:val="single" w:sz="4" w:space="0" w:color="auto"/>
              <w:left w:val="single" w:sz="4" w:space="0" w:color="auto"/>
              <w:bottom w:val="single" w:sz="4" w:space="0" w:color="auto"/>
              <w:right w:val="single" w:sz="4" w:space="0" w:color="auto"/>
            </w:tcBorders>
          </w:tcPr>
          <w:p w14:paraId="6D0CA826"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14.39</w:t>
            </w:r>
          </w:p>
        </w:tc>
      </w:tr>
      <w:tr w:rsidR="00C443FC" w:rsidRPr="00C443FC" w14:paraId="1A1833E2" w14:textId="77777777" w:rsidTr="007B7E95">
        <w:trPr>
          <w:jc w:val="center"/>
        </w:trPr>
        <w:tc>
          <w:tcPr>
            <w:tcW w:w="6817" w:type="dxa"/>
            <w:gridSpan w:val="6"/>
            <w:tcBorders>
              <w:left w:val="nil"/>
              <w:bottom w:val="nil"/>
              <w:right w:val="nil"/>
            </w:tcBorders>
          </w:tcPr>
          <w:p w14:paraId="0607F2CE" w14:textId="77777777" w:rsidR="00C443FC" w:rsidRPr="00C443FC" w:rsidRDefault="00C443FC" w:rsidP="00C443FC">
            <w:pPr>
              <w:jc w:val="both"/>
              <w:rPr>
                <w:rFonts w:eastAsia="Calibri"/>
                <w:sz w:val="20"/>
                <w:szCs w:val="20"/>
                <w:lang w:eastAsia="en-US"/>
              </w:rPr>
            </w:pPr>
            <w:r w:rsidRPr="00C443FC">
              <w:rPr>
                <w:rFonts w:eastAsia="Calibri"/>
                <w:sz w:val="20"/>
                <w:szCs w:val="20"/>
                <w:u w:val="single"/>
                <w:lang w:eastAsia="en-US"/>
              </w:rPr>
              <w:t>1</w:t>
            </w:r>
            <w:r w:rsidRPr="00C443FC">
              <w:rPr>
                <w:rFonts w:eastAsia="Calibri"/>
                <w:sz w:val="20"/>
                <w:szCs w:val="20"/>
                <w:lang w:eastAsia="en-US"/>
              </w:rPr>
              <w:t>/ Para diciembre se refiere a la expectativa al cierre del año.</w:t>
            </w:r>
          </w:p>
          <w:p w14:paraId="79FA8048" w14:textId="77777777" w:rsidR="00C443FC" w:rsidRPr="00C443FC" w:rsidRDefault="00C443FC" w:rsidP="00C443FC">
            <w:pPr>
              <w:jc w:val="both"/>
              <w:rPr>
                <w:rFonts w:eastAsia="Calibri"/>
                <w:sz w:val="20"/>
                <w:szCs w:val="20"/>
                <w:lang w:eastAsia="en-US"/>
              </w:rPr>
            </w:pPr>
            <w:r w:rsidRPr="00C443FC">
              <w:rPr>
                <w:rFonts w:eastAsia="Calibri"/>
                <w:sz w:val="20"/>
                <w:szCs w:val="20"/>
                <w:lang w:eastAsia="en-US"/>
              </w:rPr>
              <w:t>FUENTE: Banco de México.</w:t>
            </w:r>
          </w:p>
        </w:tc>
      </w:tr>
    </w:tbl>
    <w:p w14:paraId="2D8B23F8" w14:textId="77777777" w:rsidR="00C443FC" w:rsidRDefault="00C443FC" w:rsidP="00C443FC">
      <w:pPr>
        <w:spacing w:after="360" w:line="360" w:lineRule="auto"/>
        <w:ind w:right="-159"/>
        <w:jc w:val="both"/>
        <w:rPr>
          <w:rFonts w:eastAsia="Calibri"/>
          <w:sz w:val="26"/>
          <w:szCs w:val="26"/>
          <w:lang w:eastAsia="en-US"/>
        </w:rPr>
      </w:pPr>
    </w:p>
    <w:p w14:paraId="4CB33797" w14:textId="77777777" w:rsidR="00593607" w:rsidRPr="00C443FC" w:rsidRDefault="00593607" w:rsidP="00C443FC">
      <w:pPr>
        <w:spacing w:after="360" w:line="360" w:lineRule="auto"/>
        <w:ind w:right="-159"/>
        <w:jc w:val="both"/>
        <w:rPr>
          <w:rFonts w:eastAsia="Calibri"/>
          <w:sz w:val="26"/>
          <w:szCs w:val="26"/>
          <w:lang w:eastAsia="en-US"/>
        </w:rPr>
      </w:pPr>
    </w:p>
    <w:p w14:paraId="4DEFA3C8" w14:textId="77777777" w:rsidR="00C443FC" w:rsidRPr="00C443FC" w:rsidRDefault="00C443FC" w:rsidP="00C443FC">
      <w:pPr>
        <w:spacing w:after="360" w:line="360" w:lineRule="auto"/>
        <w:ind w:right="-159"/>
        <w:jc w:val="both"/>
        <w:rPr>
          <w:rFonts w:eastAsia="Calibri"/>
          <w:b/>
          <w:sz w:val="26"/>
          <w:szCs w:val="26"/>
          <w:lang w:eastAsia="en-US"/>
        </w:rPr>
      </w:pPr>
      <w:r w:rsidRPr="00C443FC">
        <w:rPr>
          <w:rFonts w:eastAsia="Calibri"/>
          <w:b/>
          <w:sz w:val="26"/>
          <w:szCs w:val="26"/>
          <w:lang w:eastAsia="en-US"/>
        </w:rPr>
        <w:lastRenderedPageBreak/>
        <w:t>Mercado laboral</w:t>
      </w:r>
    </w:p>
    <w:p w14:paraId="7D6AFC74" w14:textId="77777777" w:rsidR="00C443FC" w:rsidRPr="00C443FC" w:rsidRDefault="00C443FC" w:rsidP="00C443FC">
      <w:pPr>
        <w:spacing w:after="360" w:line="360" w:lineRule="auto"/>
        <w:ind w:right="-159"/>
        <w:jc w:val="both"/>
        <w:rPr>
          <w:rFonts w:eastAsia="Calibri"/>
          <w:sz w:val="26"/>
          <w:szCs w:val="26"/>
          <w:lang w:eastAsia="en-US"/>
        </w:rPr>
      </w:pPr>
      <w:r w:rsidRPr="00C443FC">
        <w:rPr>
          <w:rFonts w:eastAsia="Calibri"/>
          <w:sz w:val="26"/>
          <w:szCs w:val="26"/>
          <w:lang w:eastAsia="en-US"/>
        </w:rPr>
        <w:t xml:space="preserve">La variación prevista por los analistas en cuanto al número de trabajadores asegurados en el Instituto Mexicano del Seguro Social (IMSS) (permanentes y eventuales urbanos) para los cierres de 2015 y de 2016 se mantuvieron en niveles similares a los reportados en la encuesta de enero, (ver el cuadro </w:t>
      </w:r>
      <w:r w:rsidRPr="00C443FC">
        <w:rPr>
          <w:rFonts w:eastAsia="Calibri"/>
          <w:i/>
          <w:sz w:val="26"/>
          <w:szCs w:val="26"/>
          <w:lang w:eastAsia="en-US"/>
        </w:rPr>
        <w:t>Expectativas de variación anual en el número de trabajadores asegurados en el IMSS</w:t>
      </w:r>
      <w:r w:rsidRPr="00C443FC">
        <w:rPr>
          <w:rFonts w:eastAsia="Calibri"/>
          <w:sz w:val="26"/>
          <w:szCs w:val="26"/>
          <w:lang w:eastAsia="en-US"/>
        </w:rPr>
        <w:t xml:space="preserve"> y las gráficas </w:t>
      </w:r>
      <w:r w:rsidRPr="00C443FC">
        <w:rPr>
          <w:rFonts w:eastAsia="Calibri"/>
          <w:i/>
          <w:sz w:val="26"/>
          <w:szCs w:val="26"/>
          <w:lang w:eastAsia="en-US"/>
        </w:rPr>
        <w:t>Expectativas de variación en el número de trabajadores asegurados en el IMSS para 2015 y 2016</w:t>
      </w:r>
      <w:r w:rsidRPr="00C443FC">
        <w:rPr>
          <w:rFonts w:eastAsia="Calibri"/>
          <w:sz w:val="26"/>
          <w:szCs w:val="26"/>
          <w:lang w:eastAsia="en-US"/>
        </w:rPr>
        <w:t xml:space="preserve">). El cuadro </w:t>
      </w:r>
      <w:r w:rsidRPr="00C443FC">
        <w:rPr>
          <w:rFonts w:eastAsia="Calibri"/>
          <w:i/>
          <w:sz w:val="26"/>
          <w:szCs w:val="26"/>
          <w:lang w:eastAsia="en-US"/>
        </w:rPr>
        <w:t>Expectativas de la tasa de desocupación nacional</w:t>
      </w:r>
      <w:r w:rsidRPr="00C443FC">
        <w:rPr>
          <w:rFonts w:eastAsia="Calibri"/>
          <w:sz w:val="26"/>
          <w:szCs w:val="26"/>
          <w:lang w:eastAsia="en-US"/>
        </w:rPr>
        <w:t xml:space="preserve"> presenta las expectativas de la tasa de desocupación nacional para 2015 y 2016. Puede apreciarse que las expectativas sobre la tasa de desocupación nacional para los cierres de 2015 y 2016 también permanecieron cercanas a las del mes previo, si bien la mediana de los pronósticos para el cierre de 2016 disminuyó (ver las gráficas </w:t>
      </w:r>
      <w:r w:rsidRPr="00C443FC">
        <w:rPr>
          <w:rFonts w:eastAsia="Calibri"/>
          <w:i/>
          <w:sz w:val="26"/>
          <w:szCs w:val="26"/>
          <w:lang w:eastAsia="en-US"/>
        </w:rPr>
        <w:t>Expectativas de la tasa de desocupación nacional para 2015 y 2016</w:t>
      </w:r>
      <w:r w:rsidRPr="00C443FC">
        <w:rPr>
          <w:rFonts w:eastAsia="Calibri"/>
          <w:sz w:val="26"/>
          <w:szCs w:val="26"/>
          <w:lang w:eastAsia="en-US"/>
        </w:rPr>
        <w:t xml:space="preserve">). </w:t>
      </w:r>
    </w:p>
    <w:tbl>
      <w:tblPr>
        <w:tblW w:w="0" w:type="auto"/>
        <w:jc w:val="center"/>
        <w:tblLook w:val="04A0" w:firstRow="1" w:lastRow="0" w:firstColumn="1" w:lastColumn="0" w:noHBand="0" w:noVBand="1"/>
      </w:tblPr>
      <w:tblGrid>
        <w:gridCol w:w="1293"/>
        <w:gridCol w:w="1194"/>
        <w:gridCol w:w="1194"/>
        <w:gridCol w:w="1194"/>
        <w:gridCol w:w="1194"/>
      </w:tblGrid>
      <w:tr w:rsidR="00C443FC" w:rsidRPr="00C443FC" w14:paraId="727E1FCC" w14:textId="77777777" w:rsidTr="00284BB1">
        <w:trPr>
          <w:jc w:val="center"/>
        </w:trPr>
        <w:tc>
          <w:tcPr>
            <w:tcW w:w="6069" w:type="dxa"/>
            <w:gridSpan w:val="5"/>
            <w:tcBorders>
              <w:top w:val="nil"/>
              <w:left w:val="nil"/>
              <w:bottom w:val="single" w:sz="4" w:space="0" w:color="auto"/>
              <w:right w:val="nil"/>
            </w:tcBorders>
          </w:tcPr>
          <w:p w14:paraId="0C63F551" w14:textId="77777777" w:rsidR="00C443FC" w:rsidRPr="00C443FC" w:rsidRDefault="00C443FC" w:rsidP="00C443FC">
            <w:pPr>
              <w:jc w:val="center"/>
              <w:rPr>
                <w:rFonts w:eastAsia="Calibri"/>
                <w:b/>
                <w:sz w:val="22"/>
                <w:szCs w:val="22"/>
                <w:lang w:eastAsia="en-US"/>
              </w:rPr>
            </w:pPr>
            <w:r w:rsidRPr="00C443FC">
              <w:rPr>
                <w:rFonts w:eastAsia="Calibri"/>
                <w:b/>
                <w:sz w:val="22"/>
                <w:szCs w:val="22"/>
                <w:lang w:eastAsia="en-US"/>
              </w:rPr>
              <w:t>EXPECTATIVAS DE VARIACIÓN ANUAL EN EL NÚMERO DE TRABAJADORES ASEGURADOS EN EL IMSS</w:t>
            </w:r>
          </w:p>
          <w:p w14:paraId="71C6CB9C" w14:textId="77777777" w:rsidR="00C443FC" w:rsidRPr="00C443FC" w:rsidRDefault="00C443FC" w:rsidP="00C443FC">
            <w:pPr>
              <w:jc w:val="center"/>
              <w:rPr>
                <w:rFonts w:eastAsia="Calibri"/>
                <w:b/>
                <w:sz w:val="22"/>
                <w:szCs w:val="22"/>
                <w:lang w:eastAsia="en-US"/>
              </w:rPr>
            </w:pPr>
            <w:r w:rsidRPr="00C443FC">
              <w:rPr>
                <w:rFonts w:eastAsia="Calibri"/>
                <w:b/>
                <w:sz w:val="22"/>
                <w:szCs w:val="22"/>
                <w:lang w:eastAsia="en-US"/>
              </w:rPr>
              <w:t>-Miles de personas-</w:t>
            </w:r>
          </w:p>
        </w:tc>
      </w:tr>
      <w:tr w:rsidR="00C443FC" w:rsidRPr="00C443FC" w14:paraId="3260875F" w14:textId="77777777" w:rsidTr="00284BB1">
        <w:trPr>
          <w:jc w:val="center"/>
        </w:trPr>
        <w:tc>
          <w:tcPr>
            <w:tcW w:w="1293" w:type="dxa"/>
            <w:vMerge w:val="restart"/>
            <w:tcBorders>
              <w:top w:val="single" w:sz="4" w:space="0" w:color="auto"/>
              <w:left w:val="single" w:sz="4" w:space="0" w:color="auto"/>
              <w:bottom w:val="single" w:sz="4" w:space="0" w:color="auto"/>
              <w:right w:val="single" w:sz="4" w:space="0" w:color="auto"/>
            </w:tcBorders>
          </w:tcPr>
          <w:p w14:paraId="6B96C653" w14:textId="77777777" w:rsidR="00C443FC" w:rsidRPr="00C443FC" w:rsidRDefault="00C443FC" w:rsidP="00C443FC">
            <w:pPr>
              <w:jc w:val="center"/>
              <w:rPr>
                <w:rFonts w:eastAsia="Calibri"/>
                <w:b/>
                <w:sz w:val="20"/>
                <w:szCs w:val="20"/>
                <w:lang w:eastAsia="en-US"/>
              </w:rPr>
            </w:pPr>
          </w:p>
        </w:tc>
        <w:tc>
          <w:tcPr>
            <w:tcW w:w="2388" w:type="dxa"/>
            <w:gridSpan w:val="2"/>
            <w:tcBorders>
              <w:top w:val="single" w:sz="4" w:space="0" w:color="auto"/>
              <w:left w:val="single" w:sz="4" w:space="0" w:color="auto"/>
              <w:bottom w:val="single" w:sz="4" w:space="0" w:color="auto"/>
              <w:right w:val="single" w:sz="4" w:space="0" w:color="auto"/>
            </w:tcBorders>
          </w:tcPr>
          <w:p w14:paraId="124349AD"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Media</w:t>
            </w:r>
          </w:p>
        </w:tc>
        <w:tc>
          <w:tcPr>
            <w:tcW w:w="2388" w:type="dxa"/>
            <w:gridSpan w:val="2"/>
            <w:tcBorders>
              <w:top w:val="single" w:sz="4" w:space="0" w:color="auto"/>
              <w:left w:val="single" w:sz="4" w:space="0" w:color="auto"/>
              <w:bottom w:val="single" w:sz="4" w:space="0" w:color="auto"/>
              <w:right w:val="single" w:sz="4" w:space="0" w:color="auto"/>
            </w:tcBorders>
          </w:tcPr>
          <w:p w14:paraId="3A6E3E80"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Mediana</w:t>
            </w:r>
          </w:p>
        </w:tc>
      </w:tr>
      <w:tr w:rsidR="00C443FC" w:rsidRPr="00C443FC" w14:paraId="505F4769" w14:textId="77777777" w:rsidTr="00284BB1">
        <w:trPr>
          <w:trHeight w:val="274"/>
          <w:jc w:val="center"/>
        </w:trPr>
        <w:tc>
          <w:tcPr>
            <w:tcW w:w="1293" w:type="dxa"/>
            <w:vMerge/>
            <w:tcBorders>
              <w:top w:val="single" w:sz="4" w:space="0" w:color="auto"/>
              <w:left w:val="single" w:sz="4" w:space="0" w:color="auto"/>
              <w:bottom w:val="single" w:sz="4" w:space="0" w:color="auto"/>
              <w:right w:val="single" w:sz="4" w:space="0" w:color="auto"/>
            </w:tcBorders>
          </w:tcPr>
          <w:p w14:paraId="3C361D4E" w14:textId="77777777" w:rsidR="00C443FC" w:rsidRPr="00C443FC" w:rsidRDefault="00C443FC" w:rsidP="00C443FC">
            <w:pPr>
              <w:jc w:val="center"/>
              <w:rPr>
                <w:rFonts w:eastAsia="Calibri"/>
                <w:b/>
                <w:sz w:val="20"/>
                <w:szCs w:val="20"/>
                <w:lang w:eastAsia="en-US"/>
              </w:rPr>
            </w:pPr>
          </w:p>
        </w:tc>
        <w:tc>
          <w:tcPr>
            <w:tcW w:w="2388" w:type="dxa"/>
            <w:gridSpan w:val="2"/>
            <w:tcBorders>
              <w:top w:val="single" w:sz="4" w:space="0" w:color="auto"/>
              <w:left w:val="single" w:sz="4" w:space="0" w:color="auto"/>
              <w:bottom w:val="single" w:sz="4" w:space="0" w:color="auto"/>
              <w:right w:val="single" w:sz="4" w:space="0" w:color="auto"/>
            </w:tcBorders>
          </w:tcPr>
          <w:p w14:paraId="030F125B"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Encuesta</w:t>
            </w:r>
          </w:p>
        </w:tc>
        <w:tc>
          <w:tcPr>
            <w:tcW w:w="2388" w:type="dxa"/>
            <w:gridSpan w:val="2"/>
            <w:tcBorders>
              <w:top w:val="single" w:sz="4" w:space="0" w:color="auto"/>
              <w:left w:val="single" w:sz="4" w:space="0" w:color="auto"/>
              <w:bottom w:val="single" w:sz="4" w:space="0" w:color="auto"/>
              <w:right w:val="single" w:sz="4" w:space="0" w:color="auto"/>
            </w:tcBorders>
          </w:tcPr>
          <w:p w14:paraId="743FD870"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Encuesta</w:t>
            </w:r>
          </w:p>
        </w:tc>
      </w:tr>
      <w:tr w:rsidR="00C443FC" w:rsidRPr="00C443FC" w14:paraId="3F636B22" w14:textId="77777777" w:rsidTr="00284BB1">
        <w:trPr>
          <w:jc w:val="center"/>
        </w:trPr>
        <w:tc>
          <w:tcPr>
            <w:tcW w:w="1293" w:type="dxa"/>
            <w:vMerge/>
            <w:tcBorders>
              <w:top w:val="single" w:sz="4" w:space="0" w:color="auto"/>
              <w:left w:val="single" w:sz="4" w:space="0" w:color="auto"/>
              <w:bottom w:val="single" w:sz="4" w:space="0" w:color="auto"/>
              <w:right w:val="single" w:sz="4" w:space="0" w:color="auto"/>
            </w:tcBorders>
          </w:tcPr>
          <w:p w14:paraId="72436853" w14:textId="77777777" w:rsidR="00C443FC" w:rsidRPr="00C443FC" w:rsidRDefault="00C443FC" w:rsidP="00C443FC">
            <w:pPr>
              <w:jc w:val="center"/>
              <w:rPr>
                <w:rFonts w:eastAsia="Calibri"/>
                <w:b/>
                <w:sz w:val="20"/>
                <w:szCs w:val="20"/>
                <w:lang w:eastAsia="en-US"/>
              </w:rPr>
            </w:pPr>
          </w:p>
        </w:tc>
        <w:tc>
          <w:tcPr>
            <w:tcW w:w="1194" w:type="dxa"/>
            <w:tcBorders>
              <w:top w:val="single" w:sz="4" w:space="0" w:color="auto"/>
              <w:left w:val="single" w:sz="4" w:space="0" w:color="auto"/>
              <w:bottom w:val="single" w:sz="4" w:space="0" w:color="auto"/>
              <w:right w:val="single" w:sz="4" w:space="0" w:color="auto"/>
            </w:tcBorders>
          </w:tcPr>
          <w:p w14:paraId="1F06288C"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Enero</w:t>
            </w:r>
          </w:p>
        </w:tc>
        <w:tc>
          <w:tcPr>
            <w:tcW w:w="1194" w:type="dxa"/>
            <w:tcBorders>
              <w:top w:val="single" w:sz="4" w:space="0" w:color="auto"/>
              <w:left w:val="single" w:sz="4" w:space="0" w:color="auto"/>
              <w:bottom w:val="single" w:sz="4" w:space="0" w:color="auto"/>
              <w:right w:val="single" w:sz="4" w:space="0" w:color="auto"/>
            </w:tcBorders>
          </w:tcPr>
          <w:p w14:paraId="4A4E4805"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Febrero</w:t>
            </w:r>
          </w:p>
        </w:tc>
        <w:tc>
          <w:tcPr>
            <w:tcW w:w="1194" w:type="dxa"/>
            <w:tcBorders>
              <w:top w:val="single" w:sz="4" w:space="0" w:color="auto"/>
              <w:left w:val="single" w:sz="4" w:space="0" w:color="auto"/>
              <w:bottom w:val="single" w:sz="4" w:space="0" w:color="auto"/>
              <w:right w:val="single" w:sz="4" w:space="0" w:color="auto"/>
            </w:tcBorders>
          </w:tcPr>
          <w:p w14:paraId="382DB465"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Enero</w:t>
            </w:r>
          </w:p>
        </w:tc>
        <w:tc>
          <w:tcPr>
            <w:tcW w:w="1194" w:type="dxa"/>
            <w:tcBorders>
              <w:top w:val="single" w:sz="4" w:space="0" w:color="auto"/>
              <w:left w:val="single" w:sz="4" w:space="0" w:color="auto"/>
              <w:bottom w:val="single" w:sz="4" w:space="0" w:color="auto"/>
              <w:right w:val="single" w:sz="4" w:space="0" w:color="auto"/>
            </w:tcBorders>
          </w:tcPr>
          <w:p w14:paraId="4C6E5298"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Febrero</w:t>
            </w:r>
          </w:p>
        </w:tc>
      </w:tr>
      <w:tr w:rsidR="00C443FC" w:rsidRPr="00C443FC" w14:paraId="31646CDE" w14:textId="77777777" w:rsidTr="00284BB1">
        <w:trPr>
          <w:jc w:val="center"/>
        </w:trPr>
        <w:tc>
          <w:tcPr>
            <w:tcW w:w="1293" w:type="dxa"/>
            <w:tcBorders>
              <w:top w:val="single" w:sz="4" w:space="0" w:color="auto"/>
              <w:left w:val="single" w:sz="4" w:space="0" w:color="auto"/>
              <w:right w:val="single" w:sz="4" w:space="0" w:color="auto"/>
            </w:tcBorders>
          </w:tcPr>
          <w:p w14:paraId="6411CFFD" w14:textId="77777777" w:rsidR="00C443FC" w:rsidRPr="00C443FC" w:rsidRDefault="00C443FC" w:rsidP="00C443FC">
            <w:pPr>
              <w:rPr>
                <w:rFonts w:eastAsia="Calibri"/>
                <w:b/>
                <w:sz w:val="20"/>
                <w:szCs w:val="20"/>
                <w:lang w:eastAsia="en-US"/>
              </w:rPr>
            </w:pPr>
            <w:r w:rsidRPr="00C443FC">
              <w:rPr>
                <w:rFonts w:eastAsia="Calibri"/>
                <w:b/>
                <w:sz w:val="20"/>
                <w:szCs w:val="20"/>
                <w:lang w:eastAsia="en-US"/>
              </w:rPr>
              <w:t>Para 2015</w:t>
            </w:r>
          </w:p>
        </w:tc>
        <w:tc>
          <w:tcPr>
            <w:tcW w:w="1194" w:type="dxa"/>
            <w:tcBorders>
              <w:top w:val="single" w:sz="4" w:space="0" w:color="auto"/>
              <w:left w:val="single" w:sz="4" w:space="0" w:color="auto"/>
              <w:right w:val="single" w:sz="4" w:space="0" w:color="auto"/>
            </w:tcBorders>
          </w:tcPr>
          <w:p w14:paraId="1A65188B"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684</w:t>
            </w:r>
          </w:p>
        </w:tc>
        <w:tc>
          <w:tcPr>
            <w:tcW w:w="1194" w:type="dxa"/>
            <w:tcBorders>
              <w:top w:val="single" w:sz="4" w:space="0" w:color="auto"/>
              <w:left w:val="single" w:sz="4" w:space="0" w:color="auto"/>
              <w:right w:val="single" w:sz="4" w:space="0" w:color="auto"/>
            </w:tcBorders>
          </w:tcPr>
          <w:p w14:paraId="336B5B19"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688</w:t>
            </w:r>
          </w:p>
        </w:tc>
        <w:tc>
          <w:tcPr>
            <w:tcW w:w="1194" w:type="dxa"/>
            <w:tcBorders>
              <w:top w:val="single" w:sz="4" w:space="0" w:color="auto"/>
              <w:left w:val="single" w:sz="4" w:space="0" w:color="auto"/>
              <w:right w:val="single" w:sz="4" w:space="0" w:color="auto"/>
            </w:tcBorders>
          </w:tcPr>
          <w:p w14:paraId="38929650"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677</w:t>
            </w:r>
          </w:p>
        </w:tc>
        <w:tc>
          <w:tcPr>
            <w:tcW w:w="1194" w:type="dxa"/>
            <w:tcBorders>
              <w:top w:val="single" w:sz="4" w:space="0" w:color="auto"/>
              <w:left w:val="single" w:sz="4" w:space="0" w:color="auto"/>
              <w:right w:val="single" w:sz="4" w:space="0" w:color="auto"/>
            </w:tcBorders>
          </w:tcPr>
          <w:p w14:paraId="6A9D58CC"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681</w:t>
            </w:r>
          </w:p>
        </w:tc>
      </w:tr>
      <w:tr w:rsidR="00C443FC" w:rsidRPr="00C443FC" w14:paraId="57BA8D5B" w14:textId="77777777" w:rsidTr="00284BB1">
        <w:trPr>
          <w:jc w:val="center"/>
        </w:trPr>
        <w:tc>
          <w:tcPr>
            <w:tcW w:w="1293" w:type="dxa"/>
            <w:tcBorders>
              <w:left w:val="single" w:sz="4" w:space="0" w:color="auto"/>
              <w:bottom w:val="single" w:sz="4" w:space="0" w:color="auto"/>
              <w:right w:val="single" w:sz="4" w:space="0" w:color="auto"/>
            </w:tcBorders>
          </w:tcPr>
          <w:p w14:paraId="74B1438E" w14:textId="77777777" w:rsidR="00C443FC" w:rsidRPr="00C443FC" w:rsidRDefault="00C443FC" w:rsidP="00C443FC">
            <w:pPr>
              <w:rPr>
                <w:rFonts w:eastAsia="Calibri"/>
                <w:b/>
                <w:sz w:val="20"/>
                <w:szCs w:val="20"/>
                <w:lang w:eastAsia="en-US"/>
              </w:rPr>
            </w:pPr>
            <w:r w:rsidRPr="00C443FC">
              <w:rPr>
                <w:rFonts w:eastAsia="Calibri"/>
                <w:b/>
                <w:sz w:val="20"/>
                <w:szCs w:val="20"/>
                <w:lang w:eastAsia="en-US"/>
              </w:rPr>
              <w:t>Para 2016</w:t>
            </w:r>
          </w:p>
        </w:tc>
        <w:tc>
          <w:tcPr>
            <w:tcW w:w="1194" w:type="dxa"/>
            <w:tcBorders>
              <w:left w:val="single" w:sz="4" w:space="0" w:color="auto"/>
              <w:bottom w:val="single" w:sz="4" w:space="0" w:color="auto"/>
              <w:right w:val="single" w:sz="4" w:space="0" w:color="auto"/>
            </w:tcBorders>
          </w:tcPr>
          <w:p w14:paraId="4F79A6A8"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736</w:t>
            </w:r>
          </w:p>
        </w:tc>
        <w:tc>
          <w:tcPr>
            <w:tcW w:w="1194" w:type="dxa"/>
            <w:tcBorders>
              <w:left w:val="single" w:sz="4" w:space="0" w:color="auto"/>
              <w:bottom w:val="single" w:sz="4" w:space="0" w:color="auto"/>
              <w:right w:val="single" w:sz="4" w:space="0" w:color="auto"/>
            </w:tcBorders>
          </w:tcPr>
          <w:p w14:paraId="08FB4F7B"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744</w:t>
            </w:r>
          </w:p>
        </w:tc>
        <w:tc>
          <w:tcPr>
            <w:tcW w:w="1194" w:type="dxa"/>
            <w:tcBorders>
              <w:left w:val="single" w:sz="4" w:space="0" w:color="auto"/>
              <w:bottom w:val="single" w:sz="4" w:space="0" w:color="auto"/>
              <w:right w:val="single" w:sz="4" w:space="0" w:color="auto"/>
            </w:tcBorders>
          </w:tcPr>
          <w:p w14:paraId="2C24C9FF"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734</w:t>
            </w:r>
          </w:p>
        </w:tc>
        <w:tc>
          <w:tcPr>
            <w:tcW w:w="1194" w:type="dxa"/>
            <w:tcBorders>
              <w:left w:val="single" w:sz="4" w:space="0" w:color="auto"/>
              <w:bottom w:val="single" w:sz="4" w:space="0" w:color="auto"/>
              <w:right w:val="single" w:sz="4" w:space="0" w:color="auto"/>
            </w:tcBorders>
          </w:tcPr>
          <w:p w14:paraId="1A660AD7"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742</w:t>
            </w:r>
          </w:p>
        </w:tc>
      </w:tr>
      <w:tr w:rsidR="00C443FC" w:rsidRPr="00C443FC" w14:paraId="322C7A31" w14:textId="77777777" w:rsidTr="007B7E95">
        <w:trPr>
          <w:jc w:val="center"/>
        </w:trPr>
        <w:tc>
          <w:tcPr>
            <w:tcW w:w="6069" w:type="dxa"/>
            <w:gridSpan w:val="5"/>
            <w:tcBorders>
              <w:left w:val="nil"/>
              <w:bottom w:val="nil"/>
              <w:right w:val="nil"/>
            </w:tcBorders>
          </w:tcPr>
          <w:p w14:paraId="2ACDBF31" w14:textId="77777777" w:rsidR="00C443FC" w:rsidRPr="00C443FC" w:rsidRDefault="00C443FC" w:rsidP="00C443FC">
            <w:pPr>
              <w:jc w:val="both"/>
              <w:rPr>
                <w:rFonts w:eastAsia="Calibri"/>
                <w:sz w:val="20"/>
                <w:szCs w:val="20"/>
                <w:lang w:eastAsia="en-US"/>
              </w:rPr>
            </w:pPr>
            <w:r w:rsidRPr="00C443FC">
              <w:rPr>
                <w:rFonts w:eastAsia="Calibri"/>
                <w:sz w:val="20"/>
                <w:szCs w:val="20"/>
                <w:lang w:eastAsia="en-US"/>
              </w:rPr>
              <w:t>FUENTE: Banco de México.</w:t>
            </w:r>
          </w:p>
        </w:tc>
      </w:tr>
    </w:tbl>
    <w:p w14:paraId="6F5876E6" w14:textId="77777777" w:rsidR="00C443FC" w:rsidRPr="00C443FC" w:rsidRDefault="00C443FC" w:rsidP="00C443FC">
      <w:pPr>
        <w:spacing w:after="360" w:line="360" w:lineRule="auto"/>
        <w:ind w:right="-159"/>
        <w:jc w:val="both"/>
        <w:rPr>
          <w:rFonts w:eastAsia="Calibri"/>
          <w:sz w:val="26"/>
          <w:szCs w:val="26"/>
          <w:lang w:eastAsia="en-US"/>
        </w:rPr>
      </w:pPr>
    </w:p>
    <w:p w14:paraId="34D62FE5" w14:textId="56D7C45D" w:rsidR="00D27C30" w:rsidRPr="00D27C30" w:rsidRDefault="00D27C30" w:rsidP="00D27C30">
      <w:pPr>
        <w:spacing w:after="160" w:line="259" w:lineRule="auto"/>
        <w:jc w:val="center"/>
        <w:rPr>
          <w:rFonts w:ascii="Calibri" w:eastAsia="Calibri" w:hAnsi="Calibri"/>
          <w:sz w:val="22"/>
          <w:szCs w:val="22"/>
          <w:lang w:eastAsia="en-US"/>
        </w:rPr>
      </w:pPr>
      <w:r w:rsidRPr="00D27C30">
        <w:rPr>
          <w:rFonts w:ascii="Calibri" w:eastAsia="Calibri" w:hAnsi="Calibri"/>
          <w:sz w:val="22"/>
          <w:szCs w:val="22"/>
          <w:lang w:eastAsia="en-US"/>
        </w:rPr>
        <w:lastRenderedPageBreak/>
        <w:fldChar w:fldCharType="begin"/>
      </w:r>
      <w:r w:rsidRPr="00D27C30">
        <w:rPr>
          <w:rFonts w:ascii="Calibri" w:eastAsia="Calibri" w:hAnsi="Calibri"/>
          <w:sz w:val="22"/>
          <w:szCs w:val="22"/>
          <w:lang w:eastAsia="en-US"/>
        </w:rPr>
        <w:instrText xml:space="preserve"> LINK PowerPoint.Slide.8 "D:\\2015\\MARZO 2014\\GRÁFICAS EN POWER POINT\\14.-GRÁFICAS DE EXPECTATIVAS II.pptx!572" "" \a \p </w:instrText>
      </w:r>
      <w:r w:rsidRPr="00D27C30">
        <w:rPr>
          <w:rFonts w:ascii="Calibri" w:eastAsia="Calibri" w:hAnsi="Calibri"/>
          <w:sz w:val="22"/>
          <w:szCs w:val="22"/>
          <w:lang w:eastAsia="en-US"/>
        </w:rPr>
        <w:fldChar w:fldCharType="separate"/>
      </w:r>
      <w:r w:rsidRPr="00D27C30">
        <w:rPr>
          <w:rFonts w:ascii="Calibri" w:eastAsia="Calibri" w:hAnsi="Calibri"/>
          <w:noProof/>
          <w:sz w:val="22"/>
          <w:szCs w:val="22"/>
          <w:lang w:eastAsia="es-MX"/>
        </w:rPr>
        <w:drawing>
          <wp:inline distT="0" distB="0" distL="0" distR="0" wp14:anchorId="0E5704AE" wp14:editId="6C215C1D">
            <wp:extent cx="4096385" cy="3212465"/>
            <wp:effectExtent l="0" t="0" r="0" b="6985"/>
            <wp:docPr id="1526" name="Imagen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41"/>
                    <pic:cNvPicPr>
                      <a:picLocks noChangeAspect="1" noChangeArrowheads="1"/>
                    </pic:cNvPicPr>
                  </pic:nvPicPr>
                  <pic:blipFill>
                    <a:blip r:embed="rId270" cstate="print">
                      <a:extLst>
                        <a:ext uri="{28A0092B-C50C-407E-A947-70E740481C1C}">
                          <a14:useLocalDpi xmlns:a14="http://schemas.microsoft.com/office/drawing/2010/main" val="0"/>
                        </a:ext>
                      </a:extLst>
                    </a:blip>
                    <a:srcRect l="7462" r="2798" b="6213"/>
                    <a:stretch>
                      <a:fillRect/>
                    </a:stretch>
                  </pic:blipFill>
                  <pic:spPr bwMode="auto">
                    <a:xfrm>
                      <a:off x="0" y="0"/>
                      <a:ext cx="4096385" cy="3212465"/>
                    </a:xfrm>
                    <a:prstGeom prst="rect">
                      <a:avLst/>
                    </a:prstGeom>
                    <a:noFill/>
                    <a:ln>
                      <a:noFill/>
                    </a:ln>
                  </pic:spPr>
                </pic:pic>
              </a:graphicData>
            </a:graphic>
          </wp:inline>
        </w:drawing>
      </w:r>
      <w:r w:rsidRPr="00D27C30">
        <w:rPr>
          <w:rFonts w:ascii="Calibri" w:eastAsia="Calibri" w:hAnsi="Calibri"/>
          <w:sz w:val="22"/>
          <w:szCs w:val="22"/>
          <w:lang w:eastAsia="en-US"/>
        </w:rPr>
        <w:fldChar w:fldCharType="end"/>
      </w:r>
    </w:p>
    <w:p w14:paraId="17F84573" w14:textId="77777777" w:rsidR="00D27C30" w:rsidRPr="00D27C30" w:rsidRDefault="00D27C30" w:rsidP="00D27C30">
      <w:pPr>
        <w:spacing w:after="160" w:line="259" w:lineRule="auto"/>
        <w:jc w:val="center"/>
        <w:rPr>
          <w:rFonts w:ascii="Calibri" w:eastAsia="Calibri" w:hAnsi="Calibri"/>
          <w:sz w:val="22"/>
          <w:szCs w:val="22"/>
          <w:lang w:eastAsia="en-US"/>
        </w:rPr>
      </w:pPr>
    </w:p>
    <w:p w14:paraId="2A8D1DC7" w14:textId="702A26A1" w:rsidR="00D27C30" w:rsidRPr="00D27C30" w:rsidRDefault="00D27C30" w:rsidP="00D27C30">
      <w:pPr>
        <w:spacing w:after="160" w:line="259" w:lineRule="auto"/>
        <w:jc w:val="center"/>
        <w:rPr>
          <w:rFonts w:ascii="Calibri" w:eastAsia="Calibri" w:hAnsi="Calibri"/>
          <w:sz w:val="22"/>
          <w:szCs w:val="22"/>
          <w:lang w:eastAsia="en-US"/>
        </w:rPr>
      </w:pPr>
      <w:r w:rsidRPr="00D27C30">
        <w:rPr>
          <w:rFonts w:ascii="Calibri" w:eastAsia="Calibri" w:hAnsi="Calibri"/>
          <w:sz w:val="22"/>
          <w:szCs w:val="22"/>
          <w:lang w:eastAsia="en-US"/>
        </w:rPr>
        <w:fldChar w:fldCharType="begin"/>
      </w:r>
      <w:r w:rsidRPr="00D27C30">
        <w:rPr>
          <w:rFonts w:ascii="Calibri" w:eastAsia="Calibri" w:hAnsi="Calibri"/>
          <w:sz w:val="22"/>
          <w:szCs w:val="22"/>
          <w:lang w:eastAsia="en-US"/>
        </w:rPr>
        <w:instrText xml:space="preserve"> LINK PowerPoint.Slide.8 "D:\\2015\\MARZO 2014\\GRÁFICAS EN POWER POINT\\14.-GRÁFICAS DE EXPECTATIVAS II.pptx!605" "" \a \p </w:instrText>
      </w:r>
      <w:r w:rsidRPr="00D27C30">
        <w:rPr>
          <w:rFonts w:ascii="Calibri" w:eastAsia="Calibri" w:hAnsi="Calibri"/>
          <w:sz w:val="22"/>
          <w:szCs w:val="22"/>
          <w:lang w:eastAsia="en-US"/>
        </w:rPr>
        <w:fldChar w:fldCharType="separate"/>
      </w:r>
      <w:r w:rsidRPr="00D27C30">
        <w:rPr>
          <w:rFonts w:ascii="Calibri" w:eastAsia="Calibri" w:hAnsi="Calibri"/>
          <w:noProof/>
          <w:sz w:val="22"/>
          <w:szCs w:val="22"/>
          <w:lang w:eastAsia="es-MX"/>
        </w:rPr>
        <w:drawing>
          <wp:inline distT="0" distB="0" distL="0" distR="0" wp14:anchorId="3B5B3392" wp14:editId="6C1802A3">
            <wp:extent cx="4096385" cy="3175635"/>
            <wp:effectExtent l="0" t="0" r="0" b="5715"/>
            <wp:docPr id="1525" name="Imagen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42"/>
                    <pic:cNvPicPr>
                      <a:picLocks noChangeAspect="1" noChangeArrowheads="1"/>
                    </pic:cNvPicPr>
                  </pic:nvPicPr>
                  <pic:blipFill>
                    <a:blip r:embed="rId271" cstate="print">
                      <a:extLst>
                        <a:ext uri="{28A0092B-C50C-407E-A947-70E740481C1C}">
                          <a14:useLocalDpi xmlns:a14="http://schemas.microsoft.com/office/drawing/2010/main" val="0"/>
                        </a:ext>
                      </a:extLst>
                    </a:blip>
                    <a:srcRect l="7684" r="2562" b="7140"/>
                    <a:stretch>
                      <a:fillRect/>
                    </a:stretch>
                  </pic:blipFill>
                  <pic:spPr bwMode="auto">
                    <a:xfrm>
                      <a:off x="0" y="0"/>
                      <a:ext cx="4096385" cy="3175635"/>
                    </a:xfrm>
                    <a:prstGeom prst="rect">
                      <a:avLst/>
                    </a:prstGeom>
                    <a:noFill/>
                    <a:ln>
                      <a:noFill/>
                    </a:ln>
                  </pic:spPr>
                </pic:pic>
              </a:graphicData>
            </a:graphic>
          </wp:inline>
        </w:drawing>
      </w:r>
      <w:r w:rsidRPr="00D27C30">
        <w:rPr>
          <w:rFonts w:ascii="Calibri" w:eastAsia="Calibri" w:hAnsi="Calibri"/>
          <w:sz w:val="22"/>
          <w:szCs w:val="22"/>
          <w:lang w:eastAsia="en-US"/>
        </w:rPr>
        <w:fldChar w:fldCharType="end"/>
      </w:r>
    </w:p>
    <w:p w14:paraId="6001DC5E" w14:textId="77777777" w:rsidR="00284BB1" w:rsidRDefault="00284BB1" w:rsidP="00C443FC">
      <w:pPr>
        <w:spacing w:after="360" w:line="360" w:lineRule="auto"/>
        <w:ind w:right="-159"/>
        <w:jc w:val="center"/>
        <w:rPr>
          <w:rFonts w:eastAsia="Calibri"/>
          <w:sz w:val="26"/>
          <w:szCs w:val="26"/>
          <w:lang w:eastAsia="en-US"/>
        </w:rPr>
      </w:pPr>
    </w:p>
    <w:p w14:paraId="126872C7" w14:textId="77777777" w:rsidR="00593607" w:rsidRDefault="00593607" w:rsidP="00C443FC">
      <w:pPr>
        <w:spacing w:after="360" w:line="360" w:lineRule="auto"/>
        <w:ind w:right="-159"/>
        <w:jc w:val="center"/>
        <w:rPr>
          <w:rFonts w:eastAsia="Calibri"/>
          <w:sz w:val="26"/>
          <w:szCs w:val="26"/>
          <w:lang w:eastAsia="en-US"/>
        </w:rPr>
      </w:pPr>
    </w:p>
    <w:tbl>
      <w:tblPr>
        <w:tblW w:w="0" w:type="auto"/>
        <w:jc w:val="center"/>
        <w:tblLook w:val="04A0" w:firstRow="1" w:lastRow="0" w:firstColumn="1" w:lastColumn="0" w:noHBand="0" w:noVBand="1"/>
      </w:tblPr>
      <w:tblGrid>
        <w:gridCol w:w="1199"/>
        <w:gridCol w:w="1194"/>
        <w:gridCol w:w="1194"/>
        <w:gridCol w:w="1194"/>
        <w:gridCol w:w="1194"/>
      </w:tblGrid>
      <w:tr w:rsidR="00C443FC" w:rsidRPr="00C443FC" w14:paraId="7C89D5BC" w14:textId="77777777" w:rsidTr="00284BB1">
        <w:trPr>
          <w:jc w:val="center"/>
        </w:trPr>
        <w:tc>
          <w:tcPr>
            <w:tcW w:w="5975" w:type="dxa"/>
            <w:gridSpan w:val="5"/>
            <w:tcBorders>
              <w:top w:val="nil"/>
              <w:left w:val="nil"/>
              <w:bottom w:val="single" w:sz="4" w:space="0" w:color="auto"/>
              <w:right w:val="nil"/>
            </w:tcBorders>
          </w:tcPr>
          <w:p w14:paraId="293EAB56" w14:textId="77777777" w:rsidR="00C443FC" w:rsidRPr="00C443FC" w:rsidRDefault="00C443FC" w:rsidP="00C443FC">
            <w:pPr>
              <w:jc w:val="center"/>
              <w:rPr>
                <w:rFonts w:eastAsia="Calibri"/>
                <w:b/>
                <w:sz w:val="22"/>
                <w:szCs w:val="22"/>
                <w:lang w:eastAsia="en-US"/>
              </w:rPr>
            </w:pPr>
            <w:r w:rsidRPr="00C443FC">
              <w:rPr>
                <w:rFonts w:eastAsia="Calibri"/>
                <w:b/>
                <w:sz w:val="22"/>
                <w:szCs w:val="22"/>
                <w:lang w:eastAsia="en-US"/>
              </w:rPr>
              <w:lastRenderedPageBreak/>
              <w:t>EXPECTATIVAS DE LA TASA DE DESOCUPACIÓN NACIONAL</w:t>
            </w:r>
          </w:p>
          <w:p w14:paraId="643FBEDB" w14:textId="77777777" w:rsidR="00C443FC" w:rsidRPr="00C443FC" w:rsidRDefault="00C443FC" w:rsidP="00C443FC">
            <w:pPr>
              <w:jc w:val="center"/>
              <w:rPr>
                <w:rFonts w:eastAsia="Calibri"/>
                <w:b/>
                <w:sz w:val="22"/>
                <w:szCs w:val="22"/>
                <w:lang w:eastAsia="en-US"/>
              </w:rPr>
            </w:pPr>
            <w:r w:rsidRPr="00C443FC">
              <w:rPr>
                <w:rFonts w:eastAsia="Calibri"/>
                <w:b/>
                <w:sz w:val="22"/>
                <w:szCs w:val="22"/>
                <w:lang w:eastAsia="en-US"/>
              </w:rPr>
              <w:t>-Por ciento-</w:t>
            </w:r>
          </w:p>
        </w:tc>
      </w:tr>
      <w:tr w:rsidR="00C443FC" w:rsidRPr="00C443FC" w14:paraId="1FDC9CD4" w14:textId="77777777" w:rsidTr="00284BB1">
        <w:trPr>
          <w:jc w:val="center"/>
        </w:trPr>
        <w:tc>
          <w:tcPr>
            <w:tcW w:w="1199" w:type="dxa"/>
            <w:vMerge w:val="restart"/>
            <w:tcBorders>
              <w:top w:val="single" w:sz="4" w:space="0" w:color="auto"/>
              <w:left w:val="single" w:sz="4" w:space="0" w:color="auto"/>
              <w:bottom w:val="single" w:sz="4" w:space="0" w:color="auto"/>
              <w:right w:val="single" w:sz="4" w:space="0" w:color="auto"/>
            </w:tcBorders>
          </w:tcPr>
          <w:p w14:paraId="4ED98901" w14:textId="77777777" w:rsidR="00C443FC" w:rsidRPr="00C443FC" w:rsidRDefault="00C443FC" w:rsidP="00C443FC">
            <w:pPr>
              <w:jc w:val="center"/>
              <w:rPr>
                <w:rFonts w:eastAsia="Calibri"/>
                <w:b/>
                <w:sz w:val="20"/>
                <w:szCs w:val="20"/>
                <w:lang w:eastAsia="en-US"/>
              </w:rPr>
            </w:pPr>
          </w:p>
        </w:tc>
        <w:tc>
          <w:tcPr>
            <w:tcW w:w="2388" w:type="dxa"/>
            <w:gridSpan w:val="2"/>
            <w:tcBorders>
              <w:top w:val="single" w:sz="4" w:space="0" w:color="auto"/>
              <w:left w:val="single" w:sz="4" w:space="0" w:color="auto"/>
              <w:bottom w:val="single" w:sz="4" w:space="0" w:color="auto"/>
              <w:right w:val="single" w:sz="4" w:space="0" w:color="auto"/>
            </w:tcBorders>
          </w:tcPr>
          <w:p w14:paraId="0A69C103"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Cierre del año</w:t>
            </w:r>
          </w:p>
        </w:tc>
        <w:tc>
          <w:tcPr>
            <w:tcW w:w="2388" w:type="dxa"/>
            <w:gridSpan w:val="2"/>
            <w:tcBorders>
              <w:top w:val="single" w:sz="4" w:space="0" w:color="auto"/>
              <w:left w:val="single" w:sz="4" w:space="0" w:color="auto"/>
              <w:bottom w:val="single" w:sz="4" w:space="0" w:color="auto"/>
              <w:right w:val="single" w:sz="4" w:space="0" w:color="auto"/>
            </w:tcBorders>
          </w:tcPr>
          <w:p w14:paraId="161E34CF"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Promedio del año</w:t>
            </w:r>
          </w:p>
        </w:tc>
      </w:tr>
      <w:tr w:rsidR="00C443FC" w:rsidRPr="00C443FC" w14:paraId="17DE618C" w14:textId="77777777" w:rsidTr="00284BB1">
        <w:trPr>
          <w:jc w:val="center"/>
        </w:trPr>
        <w:tc>
          <w:tcPr>
            <w:tcW w:w="1199" w:type="dxa"/>
            <w:vMerge/>
            <w:tcBorders>
              <w:top w:val="single" w:sz="4" w:space="0" w:color="auto"/>
              <w:left w:val="single" w:sz="4" w:space="0" w:color="auto"/>
              <w:bottom w:val="single" w:sz="4" w:space="0" w:color="auto"/>
              <w:right w:val="single" w:sz="4" w:space="0" w:color="auto"/>
            </w:tcBorders>
          </w:tcPr>
          <w:p w14:paraId="6D792A42" w14:textId="77777777" w:rsidR="00C443FC" w:rsidRPr="00C443FC" w:rsidRDefault="00C443FC" w:rsidP="00C443FC">
            <w:pPr>
              <w:jc w:val="center"/>
              <w:rPr>
                <w:rFonts w:eastAsia="Calibri"/>
                <w:b/>
                <w:sz w:val="20"/>
                <w:szCs w:val="20"/>
                <w:lang w:eastAsia="en-US"/>
              </w:rPr>
            </w:pPr>
          </w:p>
        </w:tc>
        <w:tc>
          <w:tcPr>
            <w:tcW w:w="2388" w:type="dxa"/>
            <w:gridSpan w:val="2"/>
            <w:tcBorders>
              <w:top w:val="single" w:sz="4" w:space="0" w:color="auto"/>
              <w:left w:val="single" w:sz="4" w:space="0" w:color="auto"/>
              <w:bottom w:val="single" w:sz="4" w:space="0" w:color="auto"/>
              <w:right w:val="single" w:sz="4" w:space="0" w:color="auto"/>
            </w:tcBorders>
          </w:tcPr>
          <w:p w14:paraId="5C571D7C"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Encuesta</w:t>
            </w:r>
          </w:p>
        </w:tc>
        <w:tc>
          <w:tcPr>
            <w:tcW w:w="2388" w:type="dxa"/>
            <w:gridSpan w:val="2"/>
            <w:tcBorders>
              <w:top w:val="single" w:sz="4" w:space="0" w:color="auto"/>
              <w:left w:val="single" w:sz="4" w:space="0" w:color="auto"/>
              <w:bottom w:val="single" w:sz="4" w:space="0" w:color="auto"/>
              <w:right w:val="single" w:sz="4" w:space="0" w:color="auto"/>
            </w:tcBorders>
          </w:tcPr>
          <w:p w14:paraId="15131376"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Encuesta</w:t>
            </w:r>
          </w:p>
        </w:tc>
      </w:tr>
      <w:tr w:rsidR="00C443FC" w:rsidRPr="00C443FC" w14:paraId="220623BC" w14:textId="77777777" w:rsidTr="00284BB1">
        <w:trPr>
          <w:jc w:val="center"/>
        </w:trPr>
        <w:tc>
          <w:tcPr>
            <w:tcW w:w="1199" w:type="dxa"/>
            <w:vMerge/>
            <w:tcBorders>
              <w:top w:val="single" w:sz="4" w:space="0" w:color="auto"/>
              <w:left w:val="single" w:sz="4" w:space="0" w:color="auto"/>
              <w:bottom w:val="single" w:sz="4" w:space="0" w:color="auto"/>
              <w:right w:val="single" w:sz="4" w:space="0" w:color="auto"/>
            </w:tcBorders>
          </w:tcPr>
          <w:p w14:paraId="4950FCDE" w14:textId="77777777" w:rsidR="00C443FC" w:rsidRPr="00C443FC" w:rsidRDefault="00C443FC" w:rsidP="00C443FC">
            <w:pPr>
              <w:jc w:val="center"/>
              <w:rPr>
                <w:rFonts w:eastAsia="Calibri"/>
                <w:b/>
                <w:sz w:val="20"/>
                <w:szCs w:val="20"/>
                <w:lang w:eastAsia="en-US"/>
              </w:rPr>
            </w:pPr>
          </w:p>
        </w:tc>
        <w:tc>
          <w:tcPr>
            <w:tcW w:w="1194" w:type="dxa"/>
            <w:tcBorders>
              <w:top w:val="single" w:sz="4" w:space="0" w:color="auto"/>
              <w:left w:val="single" w:sz="4" w:space="0" w:color="auto"/>
              <w:bottom w:val="single" w:sz="4" w:space="0" w:color="auto"/>
              <w:right w:val="single" w:sz="4" w:space="0" w:color="auto"/>
            </w:tcBorders>
          </w:tcPr>
          <w:p w14:paraId="4301B5A7"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Enero</w:t>
            </w:r>
          </w:p>
        </w:tc>
        <w:tc>
          <w:tcPr>
            <w:tcW w:w="1194" w:type="dxa"/>
            <w:tcBorders>
              <w:top w:val="single" w:sz="4" w:space="0" w:color="auto"/>
              <w:left w:val="single" w:sz="4" w:space="0" w:color="auto"/>
              <w:bottom w:val="single" w:sz="4" w:space="0" w:color="auto"/>
              <w:right w:val="single" w:sz="4" w:space="0" w:color="auto"/>
            </w:tcBorders>
          </w:tcPr>
          <w:p w14:paraId="33A29BD0"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Febrero</w:t>
            </w:r>
          </w:p>
        </w:tc>
        <w:tc>
          <w:tcPr>
            <w:tcW w:w="1194" w:type="dxa"/>
            <w:tcBorders>
              <w:top w:val="single" w:sz="4" w:space="0" w:color="auto"/>
              <w:left w:val="single" w:sz="4" w:space="0" w:color="auto"/>
              <w:bottom w:val="single" w:sz="4" w:space="0" w:color="auto"/>
              <w:right w:val="single" w:sz="4" w:space="0" w:color="auto"/>
            </w:tcBorders>
          </w:tcPr>
          <w:p w14:paraId="004053BB"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Enero</w:t>
            </w:r>
          </w:p>
        </w:tc>
        <w:tc>
          <w:tcPr>
            <w:tcW w:w="1194" w:type="dxa"/>
            <w:tcBorders>
              <w:top w:val="single" w:sz="4" w:space="0" w:color="auto"/>
              <w:left w:val="single" w:sz="4" w:space="0" w:color="auto"/>
              <w:bottom w:val="single" w:sz="4" w:space="0" w:color="auto"/>
              <w:right w:val="single" w:sz="4" w:space="0" w:color="auto"/>
            </w:tcBorders>
          </w:tcPr>
          <w:p w14:paraId="3ED8E641"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Febrero</w:t>
            </w:r>
          </w:p>
        </w:tc>
      </w:tr>
      <w:tr w:rsidR="00C443FC" w:rsidRPr="00C443FC" w14:paraId="1FF3DB0F" w14:textId="77777777" w:rsidTr="00284BB1">
        <w:trPr>
          <w:jc w:val="center"/>
        </w:trPr>
        <w:tc>
          <w:tcPr>
            <w:tcW w:w="1199" w:type="dxa"/>
            <w:tcBorders>
              <w:top w:val="single" w:sz="4" w:space="0" w:color="auto"/>
              <w:left w:val="single" w:sz="4" w:space="0" w:color="auto"/>
              <w:right w:val="single" w:sz="4" w:space="0" w:color="auto"/>
            </w:tcBorders>
          </w:tcPr>
          <w:p w14:paraId="6095962C" w14:textId="77777777" w:rsidR="00C443FC" w:rsidRPr="00C443FC" w:rsidRDefault="00C443FC" w:rsidP="00C443FC">
            <w:pPr>
              <w:rPr>
                <w:rFonts w:eastAsia="Calibri"/>
                <w:b/>
                <w:sz w:val="20"/>
                <w:szCs w:val="20"/>
                <w:lang w:eastAsia="en-US"/>
              </w:rPr>
            </w:pPr>
            <w:r w:rsidRPr="00C443FC">
              <w:rPr>
                <w:rFonts w:eastAsia="Calibri"/>
                <w:b/>
                <w:sz w:val="20"/>
                <w:szCs w:val="20"/>
                <w:lang w:eastAsia="en-US"/>
              </w:rPr>
              <w:t>Para 2015</w:t>
            </w:r>
          </w:p>
        </w:tc>
        <w:tc>
          <w:tcPr>
            <w:tcW w:w="1194" w:type="dxa"/>
            <w:tcBorders>
              <w:top w:val="single" w:sz="4" w:space="0" w:color="auto"/>
              <w:left w:val="single" w:sz="4" w:space="0" w:color="auto"/>
              <w:right w:val="single" w:sz="4" w:space="0" w:color="auto"/>
            </w:tcBorders>
          </w:tcPr>
          <w:p w14:paraId="65AEFCA2" w14:textId="77777777" w:rsidR="00C443FC" w:rsidRPr="00C443FC" w:rsidRDefault="00C443FC" w:rsidP="00C443FC">
            <w:pPr>
              <w:jc w:val="center"/>
              <w:rPr>
                <w:rFonts w:eastAsia="Calibri"/>
                <w:sz w:val="20"/>
                <w:szCs w:val="20"/>
                <w:lang w:eastAsia="en-US"/>
              </w:rPr>
            </w:pPr>
          </w:p>
        </w:tc>
        <w:tc>
          <w:tcPr>
            <w:tcW w:w="1194" w:type="dxa"/>
            <w:tcBorders>
              <w:top w:val="single" w:sz="4" w:space="0" w:color="auto"/>
              <w:left w:val="single" w:sz="4" w:space="0" w:color="auto"/>
              <w:right w:val="single" w:sz="4" w:space="0" w:color="auto"/>
            </w:tcBorders>
          </w:tcPr>
          <w:p w14:paraId="051ECD37" w14:textId="77777777" w:rsidR="00C443FC" w:rsidRPr="00C443FC" w:rsidRDefault="00C443FC" w:rsidP="00C443FC">
            <w:pPr>
              <w:jc w:val="center"/>
              <w:rPr>
                <w:rFonts w:eastAsia="Calibri"/>
                <w:sz w:val="20"/>
                <w:szCs w:val="20"/>
                <w:lang w:eastAsia="en-US"/>
              </w:rPr>
            </w:pPr>
          </w:p>
        </w:tc>
        <w:tc>
          <w:tcPr>
            <w:tcW w:w="1194" w:type="dxa"/>
            <w:tcBorders>
              <w:top w:val="single" w:sz="4" w:space="0" w:color="auto"/>
              <w:left w:val="single" w:sz="4" w:space="0" w:color="auto"/>
              <w:right w:val="single" w:sz="4" w:space="0" w:color="auto"/>
            </w:tcBorders>
          </w:tcPr>
          <w:p w14:paraId="09B35BD9" w14:textId="77777777" w:rsidR="00C443FC" w:rsidRPr="00C443FC" w:rsidRDefault="00C443FC" w:rsidP="00C443FC">
            <w:pPr>
              <w:jc w:val="center"/>
              <w:rPr>
                <w:rFonts w:eastAsia="Calibri"/>
                <w:sz w:val="20"/>
                <w:szCs w:val="20"/>
                <w:lang w:eastAsia="en-US"/>
              </w:rPr>
            </w:pPr>
          </w:p>
        </w:tc>
        <w:tc>
          <w:tcPr>
            <w:tcW w:w="1194" w:type="dxa"/>
            <w:tcBorders>
              <w:top w:val="single" w:sz="4" w:space="0" w:color="auto"/>
              <w:left w:val="single" w:sz="4" w:space="0" w:color="auto"/>
              <w:right w:val="single" w:sz="4" w:space="0" w:color="auto"/>
            </w:tcBorders>
          </w:tcPr>
          <w:p w14:paraId="40D75565" w14:textId="77777777" w:rsidR="00C443FC" w:rsidRPr="00C443FC" w:rsidRDefault="00C443FC" w:rsidP="00C443FC">
            <w:pPr>
              <w:jc w:val="center"/>
              <w:rPr>
                <w:rFonts w:eastAsia="Calibri"/>
                <w:sz w:val="20"/>
                <w:szCs w:val="20"/>
                <w:lang w:eastAsia="en-US"/>
              </w:rPr>
            </w:pPr>
          </w:p>
        </w:tc>
      </w:tr>
      <w:tr w:rsidR="00C443FC" w:rsidRPr="00C443FC" w14:paraId="089D656F" w14:textId="77777777" w:rsidTr="00284BB1">
        <w:trPr>
          <w:jc w:val="center"/>
        </w:trPr>
        <w:tc>
          <w:tcPr>
            <w:tcW w:w="1199" w:type="dxa"/>
            <w:tcBorders>
              <w:left w:val="single" w:sz="4" w:space="0" w:color="auto"/>
              <w:right w:val="single" w:sz="4" w:space="0" w:color="auto"/>
            </w:tcBorders>
          </w:tcPr>
          <w:p w14:paraId="6927A058" w14:textId="77777777" w:rsidR="00C443FC" w:rsidRPr="00C443FC" w:rsidRDefault="00C443FC" w:rsidP="00C443FC">
            <w:pPr>
              <w:tabs>
                <w:tab w:val="left" w:pos="1150"/>
              </w:tabs>
              <w:rPr>
                <w:rFonts w:eastAsia="Calibri"/>
                <w:sz w:val="20"/>
                <w:szCs w:val="20"/>
                <w:lang w:eastAsia="en-US"/>
              </w:rPr>
            </w:pPr>
            <w:r w:rsidRPr="00C443FC">
              <w:rPr>
                <w:rFonts w:eastAsia="Calibri"/>
                <w:sz w:val="20"/>
                <w:szCs w:val="20"/>
                <w:lang w:eastAsia="en-US"/>
              </w:rPr>
              <w:t xml:space="preserve">     Media</w:t>
            </w:r>
          </w:p>
        </w:tc>
        <w:tc>
          <w:tcPr>
            <w:tcW w:w="1194" w:type="dxa"/>
            <w:tcBorders>
              <w:left w:val="single" w:sz="4" w:space="0" w:color="auto"/>
              <w:right w:val="single" w:sz="4" w:space="0" w:color="auto"/>
            </w:tcBorders>
          </w:tcPr>
          <w:p w14:paraId="303F3E44"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4.10</w:t>
            </w:r>
          </w:p>
        </w:tc>
        <w:tc>
          <w:tcPr>
            <w:tcW w:w="1194" w:type="dxa"/>
            <w:tcBorders>
              <w:left w:val="single" w:sz="4" w:space="0" w:color="auto"/>
              <w:right w:val="single" w:sz="4" w:space="0" w:color="auto"/>
            </w:tcBorders>
          </w:tcPr>
          <w:p w14:paraId="05447892"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4.12</w:t>
            </w:r>
          </w:p>
        </w:tc>
        <w:tc>
          <w:tcPr>
            <w:tcW w:w="1194" w:type="dxa"/>
            <w:tcBorders>
              <w:left w:val="single" w:sz="4" w:space="0" w:color="auto"/>
              <w:right w:val="single" w:sz="4" w:space="0" w:color="auto"/>
            </w:tcBorders>
          </w:tcPr>
          <w:p w14:paraId="2ED21F8E"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4.51</w:t>
            </w:r>
          </w:p>
        </w:tc>
        <w:tc>
          <w:tcPr>
            <w:tcW w:w="1194" w:type="dxa"/>
            <w:tcBorders>
              <w:left w:val="single" w:sz="4" w:space="0" w:color="auto"/>
              <w:right w:val="single" w:sz="4" w:space="0" w:color="auto"/>
            </w:tcBorders>
          </w:tcPr>
          <w:p w14:paraId="4E114BFF"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4.54</w:t>
            </w:r>
          </w:p>
        </w:tc>
      </w:tr>
      <w:tr w:rsidR="00C443FC" w:rsidRPr="00C443FC" w14:paraId="34E4D86B" w14:textId="77777777" w:rsidTr="00284BB1">
        <w:trPr>
          <w:jc w:val="center"/>
        </w:trPr>
        <w:tc>
          <w:tcPr>
            <w:tcW w:w="1199" w:type="dxa"/>
            <w:tcBorders>
              <w:left w:val="single" w:sz="4" w:space="0" w:color="auto"/>
              <w:right w:val="single" w:sz="4" w:space="0" w:color="auto"/>
            </w:tcBorders>
          </w:tcPr>
          <w:p w14:paraId="1949071A" w14:textId="77777777" w:rsidR="00C443FC" w:rsidRPr="00C443FC" w:rsidRDefault="00C443FC" w:rsidP="00C443FC">
            <w:pPr>
              <w:rPr>
                <w:rFonts w:eastAsia="Calibri"/>
                <w:sz w:val="20"/>
                <w:szCs w:val="20"/>
                <w:lang w:eastAsia="en-US"/>
              </w:rPr>
            </w:pPr>
            <w:r w:rsidRPr="00C443FC">
              <w:rPr>
                <w:rFonts w:eastAsia="Calibri"/>
                <w:sz w:val="20"/>
                <w:szCs w:val="20"/>
                <w:lang w:eastAsia="en-US"/>
              </w:rPr>
              <w:t xml:space="preserve">     Mediana</w:t>
            </w:r>
          </w:p>
        </w:tc>
        <w:tc>
          <w:tcPr>
            <w:tcW w:w="1194" w:type="dxa"/>
            <w:tcBorders>
              <w:left w:val="single" w:sz="4" w:space="0" w:color="auto"/>
              <w:right w:val="single" w:sz="4" w:space="0" w:color="auto"/>
            </w:tcBorders>
          </w:tcPr>
          <w:p w14:paraId="21A237A1"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4.00</w:t>
            </w:r>
          </w:p>
        </w:tc>
        <w:tc>
          <w:tcPr>
            <w:tcW w:w="1194" w:type="dxa"/>
            <w:tcBorders>
              <w:left w:val="single" w:sz="4" w:space="0" w:color="auto"/>
              <w:right w:val="single" w:sz="4" w:space="0" w:color="auto"/>
            </w:tcBorders>
          </w:tcPr>
          <w:p w14:paraId="673CE464"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4.04</w:t>
            </w:r>
          </w:p>
        </w:tc>
        <w:tc>
          <w:tcPr>
            <w:tcW w:w="1194" w:type="dxa"/>
            <w:tcBorders>
              <w:left w:val="single" w:sz="4" w:space="0" w:color="auto"/>
              <w:right w:val="single" w:sz="4" w:space="0" w:color="auto"/>
            </w:tcBorders>
          </w:tcPr>
          <w:p w14:paraId="2612C66B"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4.50</w:t>
            </w:r>
          </w:p>
        </w:tc>
        <w:tc>
          <w:tcPr>
            <w:tcW w:w="1194" w:type="dxa"/>
            <w:tcBorders>
              <w:left w:val="single" w:sz="4" w:space="0" w:color="auto"/>
              <w:right w:val="single" w:sz="4" w:space="0" w:color="auto"/>
            </w:tcBorders>
          </w:tcPr>
          <w:p w14:paraId="3952B48A"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4.50</w:t>
            </w:r>
          </w:p>
        </w:tc>
      </w:tr>
      <w:tr w:rsidR="00C443FC" w:rsidRPr="00C443FC" w14:paraId="5E1D7B52" w14:textId="77777777" w:rsidTr="00284BB1">
        <w:trPr>
          <w:jc w:val="center"/>
        </w:trPr>
        <w:tc>
          <w:tcPr>
            <w:tcW w:w="1199" w:type="dxa"/>
            <w:tcBorders>
              <w:left w:val="single" w:sz="4" w:space="0" w:color="auto"/>
              <w:right w:val="single" w:sz="4" w:space="0" w:color="auto"/>
            </w:tcBorders>
          </w:tcPr>
          <w:p w14:paraId="4A4F42E2" w14:textId="77777777" w:rsidR="00C443FC" w:rsidRPr="00C443FC" w:rsidRDefault="00C443FC" w:rsidP="00C443FC">
            <w:pPr>
              <w:rPr>
                <w:rFonts w:eastAsia="Calibri"/>
                <w:b/>
                <w:sz w:val="20"/>
                <w:szCs w:val="20"/>
                <w:lang w:eastAsia="en-US"/>
              </w:rPr>
            </w:pPr>
            <w:r w:rsidRPr="00C443FC">
              <w:rPr>
                <w:rFonts w:eastAsia="Calibri"/>
                <w:b/>
                <w:sz w:val="20"/>
                <w:szCs w:val="20"/>
                <w:lang w:eastAsia="en-US"/>
              </w:rPr>
              <w:t>Para 2016</w:t>
            </w:r>
          </w:p>
        </w:tc>
        <w:tc>
          <w:tcPr>
            <w:tcW w:w="1194" w:type="dxa"/>
            <w:tcBorders>
              <w:left w:val="single" w:sz="4" w:space="0" w:color="auto"/>
              <w:right w:val="single" w:sz="4" w:space="0" w:color="auto"/>
            </w:tcBorders>
          </w:tcPr>
          <w:p w14:paraId="5DC5B2EA" w14:textId="77777777" w:rsidR="00C443FC" w:rsidRPr="00C443FC" w:rsidRDefault="00C443FC" w:rsidP="00C443FC">
            <w:pPr>
              <w:jc w:val="center"/>
              <w:rPr>
                <w:rFonts w:eastAsia="Calibri"/>
                <w:sz w:val="20"/>
                <w:szCs w:val="20"/>
                <w:lang w:eastAsia="en-US"/>
              </w:rPr>
            </w:pPr>
          </w:p>
        </w:tc>
        <w:tc>
          <w:tcPr>
            <w:tcW w:w="1194" w:type="dxa"/>
            <w:tcBorders>
              <w:left w:val="single" w:sz="4" w:space="0" w:color="auto"/>
              <w:right w:val="single" w:sz="4" w:space="0" w:color="auto"/>
            </w:tcBorders>
          </w:tcPr>
          <w:p w14:paraId="046D9A8C" w14:textId="77777777" w:rsidR="00C443FC" w:rsidRPr="00C443FC" w:rsidRDefault="00C443FC" w:rsidP="00C443FC">
            <w:pPr>
              <w:jc w:val="center"/>
              <w:rPr>
                <w:rFonts w:eastAsia="Calibri"/>
                <w:sz w:val="20"/>
                <w:szCs w:val="20"/>
                <w:lang w:eastAsia="en-US"/>
              </w:rPr>
            </w:pPr>
          </w:p>
        </w:tc>
        <w:tc>
          <w:tcPr>
            <w:tcW w:w="1194" w:type="dxa"/>
            <w:tcBorders>
              <w:left w:val="single" w:sz="4" w:space="0" w:color="auto"/>
              <w:right w:val="single" w:sz="4" w:space="0" w:color="auto"/>
            </w:tcBorders>
          </w:tcPr>
          <w:p w14:paraId="7BCE90AC" w14:textId="77777777" w:rsidR="00C443FC" w:rsidRPr="00C443FC" w:rsidRDefault="00C443FC" w:rsidP="00C443FC">
            <w:pPr>
              <w:jc w:val="center"/>
              <w:rPr>
                <w:rFonts w:eastAsia="Calibri"/>
                <w:sz w:val="20"/>
                <w:szCs w:val="20"/>
                <w:lang w:eastAsia="en-US"/>
              </w:rPr>
            </w:pPr>
          </w:p>
        </w:tc>
        <w:tc>
          <w:tcPr>
            <w:tcW w:w="1194" w:type="dxa"/>
            <w:tcBorders>
              <w:left w:val="single" w:sz="4" w:space="0" w:color="auto"/>
              <w:right w:val="single" w:sz="4" w:space="0" w:color="auto"/>
            </w:tcBorders>
          </w:tcPr>
          <w:p w14:paraId="3E910FF2" w14:textId="77777777" w:rsidR="00C443FC" w:rsidRPr="00C443FC" w:rsidRDefault="00C443FC" w:rsidP="00C443FC">
            <w:pPr>
              <w:jc w:val="center"/>
              <w:rPr>
                <w:rFonts w:eastAsia="Calibri"/>
                <w:sz w:val="20"/>
                <w:szCs w:val="20"/>
                <w:lang w:eastAsia="en-US"/>
              </w:rPr>
            </w:pPr>
          </w:p>
        </w:tc>
      </w:tr>
      <w:tr w:rsidR="00C443FC" w:rsidRPr="00C443FC" w14:paraId="616C2ECA" w14:textId="77777777" w:rsidTr="00284BB1">
        <w:trPr>
          <w:jc w:val="center"/>
        </w:trPr>
        <w:tc>
          <w:tcPr>
            <w:tcW w:w="1199" w:type="dxa"/>
            <w:tcBorders>
              <w:left w:val="single" w:sz="4" w:space="0" w:color="auto"/>
              <w:right w:val="single" w:sz="4" w:space="0" w:color="auto"/>
            </w:tcBorders>
          </w:tcPr>
          <w:p w14:paraId="2C10F2C6" w14:textId="77777777" w:rsidR="00C443FC" w:rsidRPr="00C443FC" w:rsidRDefault="00C443FC" w:rsidP="00C443FC">
            <w:pPr>
              <w:tabs>
                <w:tab w:val="left" w:pos="1150"/>
              </w:tabs>
              <w:rPr>
                <w:rFonts w:eastAsia="Calibri"/>
                <w:sz w:val="20"/>
                <w:szCs w:val="20"/>
                <w:lang w:eastAsia="en-US"/>
              </w:rPr>
            </w:pPr>
            <w:r w:rsidRPr="00C443FC">
              <w:rPr>
                <w:rFonts w:eastAsia="Calibri"/>
                <w:sz w:val="20"/>
                <w:szCs w:val="20"/>
                <w:lang w:eastAsia="en-US"/>
              </w:rPr>
              <w:t xml:space="preserve">     Media</w:t>
            </w:r>
          </w:p>
        </w:tc>
        <w:tc>
          <w:tcPr>
            <w:tcW w:w="1194" w:type="dxa"/>
            <w:tcBorders>
              <w:left w:val="single" w:sz="4" w:space="0" w:color="auto"/>
              <w:right w:val="single" w:sz="4" w:space="0" w:color="auto"/>
            </w:tcBorders>
          </w:tcPr>
          <w:p w14:paraId="213E64AE"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3.99</w:t>
            </w:r>
          </w:p>
        </w:tc>
        <w:tc>
          <w:tcPr>
            <w:tcW w:w="1194" w:type="dxa"/>
            <w:tcBorders>
              <w:left w:val="single" w:sz="4" w:space="0" w:color="auto"/>
              <w:right w:val="single" w:sz="4" w:space="0" w:color="auto"/>
            </w:tcBorders>
          </w:tcPr>
          <w:p w14:paraId="71A93D60"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3.98</w:t>
            </w:r>
          </w:p>
        </w:tc>
        <w:tc>
          <w:tcPr>
            <w:tcW w:w="1194" w:type="dxa"/>
            <w:tcBorders>
              <w:left w:val="single" w:sz="4" w:space="0" w:color="auto"/>
              <w:right w:val="single" w:sz="4" w:space="0" w:color="auto"/>
            </w:tcBorders>
          </w:tcPr>
          <w:p w14:paraId="04A487BC"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4.35</w:t>
            </w:r>
          </w:p>
        </w:tc>
        <w:tc>
          <w:tcPr>
            <w:tcW w:w="1194" w:type="dxa"/>
            <w:tcBorders>
              <w:left w:val="single" w:sz="4" w:space="0" w:color="auto"/>
              <w:right w:val="single" w:sz="4" w:space="0" w:color="auto"/>
            </w:tcBorders>
          </w:tcPr>
          <w:p w14:paraId="36F7F484"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4.34</w:t>
            </w:r>
          </w:p>
        </w:tc>
      </w:tr>
      <w:tr w:rsidR="00C443FC" w:rsidRPr="00C443FC" w14:paraId="14AF59BB" w14:textId="77777777" w:rsidTr="00284BB1">
        <w:trPr>
          <w:jc w:val="center"/>
        </w:trPr>
        <w:tc>
          <w:tcPr>
            <w:tcW w:w="1199" w:type="dxa"/>
            <w:tcBorders>
              <w:left w:val="single" w:sz="4" w:space="0" w:color="auto"/>
              <w:bottom w:val="single" w:sz="4" w:space="0" w:color="auto"/>
              <w:right w:val="single" w:sz="4" w:space="0" w:color="auto"/>
            </w:tcBorders>
          </w:tcPr>
          <w:p w14:paraId="0E4BD620" w14:textId="77777777" w:rsidR="00C443FC" w:rsidRPr="00C443FC" w:rsidRDefault="00C443FC" w:rsidP="00C443FC">
            <w:pPr>
              <w:rPr>
                <w:rFonts w:eastAsia="Calibri"/>
                <w:sz w:val="20"/>
                <w:szCs w:val="20"/>
                <w:lang w:eastAsia="en-US"/>
              </w:rPr>
            </w:pPr>
            <w:r w:rsidRPr="00C443FC">
              <w:rPr>
                <w:rFonts w:eastAsia="Calibri"/>
                <w:sz w:val="20"/>
                <w:szCs w:val="20"/>
                <w:lang w:eastAsia="en-US"/>
              </w:rPr>
              <w:t xml:space="preserve">     Mediana</w:t>
            </w:r>
          </w:p>
        </w:tc>
        <w:tc>
          <w:tcPr>
            <w:tcW w:w="1194" w:type="dxa"/>
            <w:tcBorders>
              <w:left w:val="single" w:sz="4" w:space="0" w:color="auto"/>
              <w:bottom w:val="single" w:sz="4" w:space="0" w:color="auto"/>
              <w:right w:val="single" w:sz="4" w:space="0" w:color="auto"/>
            </w:tcBorders>
          </w:tcPr>
          <w:p w14:paraId="0E623BD5"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4.00</w:t>
            </w:r>
          </w:p>
        </w:tc>
        <w:tc>
          <w:tcPr>
            <w:tcW w:w="1194" w:type="dxa"/>
            <w:tcBorders>
              <w:left w:val="single" w:sz="4" w:space="0" w:color="auto"/>
              <w:bottom w:val="single" w:sz="4" w:space="0" w:color="auto"/>
              <w:right w:val="single" w:sz="4" w:space="0" w:color="auto"/>
            </w:tcBorders>
          </w:tcPr>
          <w:p w14:paraId="699E0250"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3.95</w:t>
            </w:r>
          </w:p>
        </w:tc>
        <w:tc>
          <w:tcPr>
            <w:tcW w:w="1194" w:type="dxa"/>
            <w:tcBorders>
              <w:left w:val="single" w:sz="4" w:space="0" w:color="auto"/>
              <w:bottom w:val="single" w:sz="4" w:space="0" w:color="auto"/>
              <w:right w:val="single" w:sz="4" w:space="0" w:color="auto"/>
            </w:tcBorders>
          </w:tcPr>
          <w:p w14:paraId="6DCBB025"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4.37</w:t>
            </w:r>
          </w:p>
        </w:tc>
        <w:tc>
          <w:tcPr>
            <w:tcW w:w="1194" w:type="dxa"/>
            <w:tcBorders>
              <w:left w:val="single" w:sz="4" w:space="0" w:color="auto"/>
              <w:bottom w:val="single" w:sz="4" w:space="0" w:color="auto"/>
              <w:right w:val="single" w:sz="4" w:space="0" w:color="auto"/>
            </w:tcBorders>
          </w:tcPr>
          <w:p w14:paraId="3A3169A9"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4.32</w:t>
            </w:r>
          </w:p>
        </w:tc>
      </w:tr>
      <w:tr w:rsidR="00C443FC" w:rsidRPr="00C443FC" w14:paraId="1D77C70D" w14:textId="77777777" w:rsidTr="00284BB1">
        <w:trPr>
          <w:jc w:val="center"/>
        </w:trPr>
        <w:tc>
          <w:tcPr>
            <w:tcW w:w="5975" w:type="dxa"/>
            <w:gridSpan w:val="5"/>
            <w:tcBorders>
              <w:top w:val="single" w:sz="4" w:space="0" w:color="auto"/>
              <w:left w:val="nil"/>
              <w:bottom w:val="nil"/>
              <w:right w:val="nil"/>
            </w:tcBorders>
          </w:tcPr>
          <w:p w14:paraId="26120C8A" w14:textId="77777777" w:rsidR="00C443FC" w:rsidRPr="00C443FC" w:rsidRDefault="00C443FC" w:rsidP="00C443FC">
            <w:pPr>
              <w:jc w:val="both"/>
              <w:rPr>
                <w:rFonts w:eastAsia="Calibri"/>
                <w:sz w:val="20"/>
                <w:szCs w:val="20"/>
                <w:lang w:eastAsia="en-US"/>
              </w:rPr>
            </w:pPr>
            <w:r w:rsidRPr="00C443FC">
              <w:rPr>
                <w:rFonts w:eastAsia="Calibri"/>
                <w:sz w:val="20"/>
                <w:szCs w:val="20"/>
                <w:lang w:eastAsia="en-US"/>
              </w:rPr>
              <w:t>FUENTE: Banco de México.</w:t>
            </w:r>
          </w:p>
        </w:tc>
      </w:tr>
    </w:tbl>
    <w:p w14:paraId="171C0B0D" w14:textId="77777777" w:rsidR="00C443FC" w:rsidRDefault="00C443FC" w:rsidP="00C443FC">
      <w:pPr>
        <w:spacing w:after="360" w:line="360" w:lineRule="auto"/>
        <w:ind w:right="-159"/>
        <w:jc w:val="center"/>
        <w:rPr>
          <w:rFonts w:eastAsia="Calibri"/>
          <w:sz w:val="26"/>
          <w:szCs w:val="26"/>
          <w:lang w:eastAsia="en-US"/>
        </w:rPr>
      </w:pPr>
    </w:p>
    <w:p w14:paraId="1FA92FB2" w14:textId="202B46A8" w:rsidR="00D27C30" w:rsidRPr="00D27C30" w:rsidRDefault="00D27C30" w:rsidP="00D27C30">
      <w:pPr>
        <w:spacing w:after="160" w:line="259" w:lineRule="auto"/>
        <w:jc w:val="center"/>
        <w:rPr>
          <w:rFonts w:ascii="Calibri" w:eastAsia="Calibri" w:hAnsi="Calibri"/>
          <w:sz w:val="22"/>
          <w:szCs w:val="22"/>
          <w:lang w:eastAsia="en-US"/>
        </w:rPr>
      </w:pPr>
      <w:r w:rsidRPr="00D27C30">
        <w:rPr>
          <w:rFonts w:ascii="Calibri" w:eastAsia="Calibri" w:hAnsi="Calibri"/>
          <w:sz w:val="22"/>
          <w:szCs w:val="22"/>
          <w:lang w:eastAsia="en-US"/>
        </w:rPr>
        <w:fldChar w:fldCharType="begin"/>
      </w:r>
      <w:r w:rsidRPr="00D27C30">
        <w:rPr>
          <w:rFonts w:ascii="Calibri" w:eastAsia="Calibri" w:hAnsi="Calibri"/>
          <w:sz w:val="22"/>
          <w:szCs w:val="22"/>
          <w:lang w:eastAsia="en-US"/>
        </w:rPr>
        <w:instrText xml:space="preserve"> LINK PowerPoint.Slide.8 "D:\\2015\\MARZO 2014\\GRÁFICAS EN POWER POINT\\14.-GRÁFICAS DE EXPECTATIVAS II.pptx!574" "" \a \p </w:instrText>
      </w:r>
      <w:r w:rsidRPr="00D27C30">
        <w:rPr>
          <w:rFonts w:ascii="Calibri" w:eastAsia="Calibri" w:hAnsi="Calibri"/>
          <w:sz w:val="22"/>
          <w:szCs w:val="22"/>
          <w:lang w:eastAsia="en-US"/>
        </w:rPr>
        <w:fldChar w:fldCharType="separate"/>
      </w:r>
      <w:r w:rsidRPr="00D27C30">
        <w:rPr>
          <w:rFonts w:ascii="Calibri" w:eastAsia="Calibri" w:hAnsi="Calibri"/>
          <w:noProof/>
          <w:sz w:val="22"/>
          <w:szCs w:val="22"/>
          <w:lang w:eastAsia="es-MX"/>
        </w:rPr>
        <w:drawing>
          <wp:inline distT="0" distB="0" distL="0" distR="0" wp14:anchorId="55EF23CF" wp14:editId="1231EBAF">
            <wp:extent cx="4139565" cy="3422650"/>
            <wp:effectExtent l="0" t="0" r="0" b="6350"/>
            <wp:docPr id="1528" name="Imagen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48"/>
                    <pic:cNvPicPr>
                      <a:picLocks noChangeAspect="1" noChangeArrowheads="1"/>
                    </pic:cNvPicPr>
                  </pic:nvPicPr>
                  <pic:blipFill>
                    <a:blip r:embed="rId272" cstate="print">
                      <a:extLst>
                        <a:ext uri="{28A0092B-C50C-407E-A947-70E740481C1C}">
                          <a14:useLocalDpi xmlns:a14="http://schemas.microsoft.com/office/drawing/2010/main" val="0"/>
                        </a:ext>
                      </a:extLst>
                    </a:blip>
                    <a:srcRect l="5820" r="3494"/>
                    <a:stretch>
                      <a:fillRect/>
                    </a:stretch>
                  </pic:blipFill>
                  <pic:spPr bwMode="auto">
                    <a:xfrm>
                      <a:off x="0" y="0"/>
                      <a:ext cx="4139565" cy="3422650"/>
                    </a:xfrm>
                    <a:prstGeom prst="rect">
                      <a:avLst/>
                    </a:prstGeom>
                    <a:noFill/>
                    <a:ln>
                      <a:noFill/>
                    </a:ln>
                  </pic:spPr>
                </pic:pic>
              </a:graphicData>
            </a:graphic>
          </wp:inline>
        </w:drawing>
      </w:r>
      <w:r w:rsidRPr="00D27C30">
        <w:rPr>
          <w:rFonts w:ascii="Calibri" w:eastAsia="Calibri" w:hAnsi="Calibri"/>
          <w:sz w:val="22"/>
          <w:szCs w:val="22"/>
          <w:lang w:eastAsia="en-US"/>
        </w:rPr>
        <w:fldChar w:fldCharType="end"/>
      </w:r>
    </w:p>
    <w:p w14:paraId="38977F0E" w14:textId="77777777" w:rsidR="00D27C30" w:rsidRPr="00D27C30" w:rsidRDefault="00D27C30" w:rsidP="00D27C30">
      <w:pPr>
        <w:spacing w:after="160" w:line="259" w:lineRule="auto"/>
        <w:jc w:val="center"/>
        <w:rPr>
          <w:rFonts w:ascii="Calibri" w:eastAsia="Calibri" w:hAnsi="Calibri"/>
          <w:sz w:val="22"/>
          <w:szCs w:val="22"/>
          <w:lang w:eastAsia="en-US"/>
        </w:rPr>
      </w:pPr>
    </w:p>
    <w:p w14:paraId="26F20930" w14:textId="2FA12222" w:rsidR="00D27C30" w:rsidRPr="00D27C30" w:rsidRDefault="00D27C30" w:rsidP="00D27C30">
      <w:pPr>
        <w:spacing w:after="160" w:line="259" w:lineRule="auto"/>
        <w:jc w:val="center"/>
        <w:rPr>
          <w:rFonts w:ascii="Calibri" w:eastAsia="Calibri" w:hAnsi="Calibri"/>
          <w:sz w:val="22"/>
          <w:szCs w:val="22"/>
          <w:lang w:eastAsia="en-US"/>
        </w:rPr>
      </w:pPr>
      <w:r w:rsidRPr="00D27C30">
        <w:rPr>
          <w:rFonts w:ascii="Calibri" w:eastAsia="Calibri" w:hAnsi="Calibri"/>
          <w:sz w:val="22"/>
          <w:szCs w:val="22"/>
          <w:lang w:eastAsia="en-US"/>
        </w:rPr>
        <w:lastRenderedPageBreak/>
        <w:fldChar w:fldCharType="begin"/>
      </w:r>
      <w:r w:rsidRPr="00D27C30">
        <w:rPr>
          <w:rFonts w:ascii="Calibri" w:eastAsia="Calibri" w:hAnsi="Calibri"/>
          <w:sz w:val="22"/>
          <w:szCs w:val="22"/>
          <w:lang w:eastAsia="en-US"/>
        </w:rPr>
        <w:instrText xml:space="preserve"> LINK PowerPoint.Slide.8 "D:\\2015\\MARZO 2014\\GRÁFICAS EN POWER POINT\\14.-GRÁFICAS DE EXPECTATIVAS II.pptx!606" "" \a \p </w:instrText>
      </w:r>
      <w:r w:rsidRPr="00D27C30">
        <w:rPr>
          <w:rFonts w:ascii="Calibri" w:eastAsia="Calibri" w:hAnsi="Calibri"/>
          <w:sz w:val="22"/>
          <w:szCs w:val="22"/>
          <w:lang w:eastAsia="en-US"/>
        </w:rPr>
        <w:fldChar w:fldCharType="separate"/>
      </w:r>
      <w:r w:rsidRPr="00D27C30">
        <w:rPr>
          <w:rFonts w:ascii="Calibri" w:eastAsia="Calibri" w:hAnsi="Calibri"/>
          <w:noProof/>
          <w:sz w:val="22"/>
          <w:szCs w:val="22"/>
          <w:lang w:eastAsia="es-MX"/>
        </w:rPr>
        <w:drawing>
          <wp:inline distT="0" distB="0" distL="0" distR="0" wp14:anchorId="523D95D0" wp14:editId="33C1DF52">
            <wp:extent cx="4096385" cy="3422650"/>
            <wp:effectExtent l="0" t="0" r="0" b="6350"/>
            <wp:docPr id="1527" name="Imagen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49"/>
                    <pic:cNvPicPr>
                      <a:picLocks noChangeAspect="1" noChangeArrowheads="1"/>
                    </pic:cNvPicPr>
                  </pic:nvPicPr>
                  <pic:blipFill>
                    <a:blip r:embed="rId273" cstate="print">
                      <a:extLst>
                        <a:ext uri="{28A0092B-C50C-407E-A947-70E740481C1C}">
                          <a14:useLocalDpi xmlns:a14="http://schemas.microsoft.com/office/drawing/2010/main" val="0"/>
                        </a:ext>
                      </a:extLst>
                    </a:blip>
                    <a:srcRect l="5597" r="4663"/>
                    <a:stretch>
                      <a:fillRect/>
                    </a:stretch>
                  </pic:blipFill>
                  <pic:spPr bwMode="auto">
                    <a:xfrm>
                      <a:off x="0" y="0"/>
                      <a:ext cx="4096385" cy="3422650"/>
                    </a:xfrm>
                    <a:prstGeom prst="rect">
                      <a:avLst/>
                    </a:prstGeom>
                    <a:noFill/>
                    <a:ln>
                      <a:noFill/>
                    </a:ln>
                  </pic:spPr>
                </pic:pic>
              </a:graphicData>
            </a:graphic>
          </wp:inline>
        </w:drawing>
      </w:r>
      <w:r w:rsidRPr="00D27C30">
        <w:rPr>
          <w:rFonts w:ascii="Calibri" w:eastAsia="Calibri" w:hAnsi="Calibri"/>
          <w:sz w:val="22"/>
          <w:szCs w:val="22"/>
          <w:lang w:eastAsia="en-US"/>
        </w:rPr>
        <w:fldChar w:fldCharType="end"/>
      </w:r>
    </w:p>
    <w:p w14:paraId="69EDFE0F" w14:textId="77777777" w:rsidR="00D27C30" w:rsidRPr="00C443FC" w:rsidRDefault="00D27C30" w:rsidP="00C443FC">
      <w:pPr>
        <w:spacing w:after="360" w:line="360" w:lineRule="auto"/>
        <w:ind w:right="-159"/>
        <w:jc w:val="center"/>
        <w:rPr>
          <w:rFonts w:eastAsia="Calibri"/>
          <w:sz w:val="26"/>
          <w:szCs w:val="26"/>
          <w:lang w:eastAsia="en-US"/>
        </w:rPr>
      </w:pPr>
    </w:p>
    <w:p w14:paraId="4109DF8D" w14:textId="77777777" w:rsidR="00C443FC" w:rsidRPr="00C443FC" w:rsidRDefault="00C443FC" w:rsidP="00C443FC">
      <w:pPr>
        <w:spacing w:after="360" w:line="360" w:lineRule="auto"/>
        <w:ind w:right="-159"/>
        <w:jc w:val="both"/>
        <w:rPr>
          <w:rFonts w:eastAsia="Calibri"/>
          <w:b/>
          <w:sz w:val="26"/>
          <w:szCs w:val="26"/>
          <w:lang w:eastAsia="en-US"/>
        </w:rPr>
      </w:pPr>
      <w:r w:rsidRPr="00C443FC">
        <w:rPr>
          <w:rFonts w:eastAsia="Calibri"/>
          <w:b/>
          <w:sz w:val="26"/>
          <w:szCs w:val="26"/>
          <w:lang w:eastAsia="en-US"/>
        </w:rPr>
        <w:t>Finanzas Públicas</w:t>
      </w:r>
    </w:p>
    <w:p w14:paraId="32D1FCA4" w14:textId="290EC5B1" w:rsidR="00C443FC" w:rsidRPr="00C443FC" w:rsidRDefault="00C443FC" w:rsidP="00C443FC">
      <w:pPr>
        <w:spacing w:after="360" w:line="360" w:lineRule="auto"/>
        <w:ind w:right="-159"/>
        <w:jc w:val="both"/>
        <w:rPr>
          <w:rFonts w:eastAsia="Calibri"/>
          <w:sz w:val="26"/>
          <w:szCs w:val="26"/>
          <w:lang w:eastAsia="en-US"/>
        </w:rPr>
      </w:pPr>
      <w:r w:rsidRPr="00C443FC">
        <w:rPr>
          <w:rFonts w:eastAsia="Calibri"/>
          <w:sz w:val="26"/>
          <w:szCs w:val="26"/>
          <w:lang w:eastAsia="en-US"/>
        </w:rPr>
        <w:t xml:space="preserve">Las expectativas referentes al déficit económico del sector público para los cierres de 2015 y 2016 se presentan en el cuadro </w:t>
      </w:r>
      <w:r w:rsidRPr="00C443FC">
        <w:rPr>
          <w:rFonts w:eastAsia="Calibri"/>
          <w:i/>
          <w:sz w:val="26"/>
          <w:szCs w:val="26"/>
          <w:lang w:eastAsia="en-US"/>
        </w:rPr>
        <w:t xml:space="preserve">Expectativas sobre el Déficit Económico </w:t>
      </w:r>
      <w:r w:rsidRPr="00C443FC">
        <w:rPr>
          <w:rFonts w:eastAsia="Calibri"/>
          <w:sz w:val="26"/>
          <w:szCs w:val="26"/>
          <w:lang w:eastAsia="en-US"/>
        </w:rPr>
        <w:t>y en las dos gráficas siguientes</w:t>
      </w:r>
      <w:r w:rsidRPr="00C443FC">
        <w:rPr>
          <w:rFonts w:eastAsia="Calibri"/>
          <w:i/>
          <w:sz w:val="26"/>
          <w:szCs w:val="26"/>
          <w:lang w:eastAsia="en-US"/>
        </w:rPr>
        <w:t xml:space="preserve">. </w:t>
      </w:r>
      <w:r w:rsidRPr="00C443FC">
        <w:rPr>
          <w:rFonts w:eastAsia="Calibri"/>
          <w:sz w:val="26"/>
          <w:szCs w:val="26"/>
          <w:lang w:eastAsia="en-US"/>
        </w:rPr>
        <w:t>Las perspectivas de déficit económico para los cierres de 2015 y 2016 se mantuvieron en niveles similares a los de la encuesta de enero, si bien la mediana de dichos pronósticos para el cierre de 2016 aumentó.</w:t>
      </w:r>
    </w:p>
    <w:tbl>
      <w:tblPr>
        <w:tblW w:w="0" w:type="auto"/>
        <w:jc w:val="center"/>
        <w:tblLook w:val="04A0" w:firstRow="1" w:lastRow="0" w:firstColumn="1" w:lastColumn="0" w:noHBand="0" w:noVBand="1"/>
      </w:tblPr>
      <w:tblGrid>
        <w:gridCol w:w="1293"/>
        <w:gridCol w:w="1194"/>
        <w:gridCol w:w="1194"/>
        <w:gridCol w:w="1194"/>
        <w:gridCol w:w="1194"/>
      </w:tblGrid>
      <w:tr w:rsidR="00C443FC" w:rsidRPr="00C443FC" w14:paraId="4B49BE0F" w14:textId="77777777" w:rsidTr="00284BB1">
        <w:trPr>
          <w:jc w:val="center"/>
        </w:trPr>
        <w:tc>
          <w:tcPr>
            <w:tcW w:w="6069" w:type="dxa"/>
            <w:gridSpan w:val="5"/>
            <w:tcBorders>
              <w:top w:val="nil"/>
              <w:left w:val="nil"/>
              <w:bottom w:val="single" w:sz="4" w:space="0" w:color="auto"/>
              <w:right w:val="nil"/>
            </w:tcBorders>
          </w:tcPr>
          <w:p w14:paraId="3CD5DFF1" w14:textId="77777777" w:rsidR="00C443FC" w:rsidRPr="00C443FC" w:rsidRDefault="00C443FC" w:rsidP="00C443FC">
            <w:pPr>
              <w:jc w:val="center"/>
              <w:rPr>
                <w:rFonts w:eastAsia="Calibri"/>
                <w:b/>
                <w:sz w:val="22"/>
                <w:szCs w:val="22"/>
                <w:lang w:eastAsia="en-US"/>
              </w:rPr>
            </w:pPr>
            <w:r w:rsidRPr="00C443FC">
              <w:rPr>
                <w:rFonts w:eastAsia="Calibri"/>
                <w:b/>
                <w:sz w:val="22"/>
                <w:szCs w:val="22"/>
                <w:lang w:eastAsia="en-US"/>
              </w:rPr>
              <w:t>EXPECTATIVAS SOBRE EL DÉFICIT ECONÓMICO</w:t>
            </w:r>
          </w:p>
          <w:p w14:paraId="73FCFB83" w14:textId="77777777" w:rsidR="00C443FC" w:rsidRPr="00C443FC" w:rsidRDefault="00C443FC" w:rsidP="00C443FC">
            <w:pPr>
              <w:jc w:val="center"/>
              <w:rPr>
                <w:rFonts w:eastAsia="Calibri"/>
                <w:b/>
                <w:sz w:val="22"/>
                <w:szCs w:val="22"/>
                <w:lang w:eastAsia="en-US"/>
              </w:rPr>
            </w:pPr>
            <w:r w:rsidRPr="00C443FC">
              <w:rPr>
                <w:rFonts w:eastAsia="Calibri"/>
                <w:b/>
                <w:sz w:val="22"/>
                <w:szCs w:val="22"/>
                <w:lang w:eastAsia="en-US"/>
              </w:rPr>
              <w:t>-Porcentaje del PIB-</w:t>
            </w:r>
          </w:p>
        </w:tc>
      </w:tr>
      <w:tr w:rsidR="00C443FC" w:rsidRPr="00C443FC" w14:paraId="5BB36F75" w14:textId="77777777" w:rsidTr="00284BB1">
        <w:trPr>
          <w:jc w:val="center"/>
        </w:trPr>
        <w:tc>
          <w:tcPr>
            <w:tcW w:w="1293" w:type="dxa"/>
            <w:vMerge w:val="restart"/>
            <w:tcBorders>
              <w:top w:val="single" w:sz="4" w:space="0" w:color="auto"/>
              <w:left w:val="single" w:sz="4" w:space="0" w:color="auto"/>
              <w:bottom w:val="single" w:sz="4" w:space="0" w:color="auto"/>
              <w:right w:val="single" w:sz="4" w:space="0" w:color="auto"/>
            </w:tcBorders>
          </w:tcPr>
          <w:p w14:paraId="670D2DD3" w14:textId="77777777" w:rsidR="00C443FC" w:rsidRPr="00C443FC" w:rsidRDefault="00C443FC" w:rsidP="00C443FC">
            <w:pPr>
              <w:jc w:val="center"/>
              <w:rPr>
                <w:rFonts w:eastAsia="Calibri"/>
                <w:b/>
                <w:sz w:val="20"/>
                <w:szCs w:val="20"/>
                <w:lang w:eastAsia="en-US"/>
              </w:rPr>
            </w:pPr>
          </w:p>
        </w:tc>
        <w:tc>
          <w:tcPr>
            <w:tcW w:w="2388" w:type="dxa"/>
            <w:gridSpan w:val="2"/>
            <w:tcBorders>
              <w:top w:val="single" w:sz="4" w:space="0" w:color="auto"/>
              <w:left w:val="single" w:sz="4" w:space="0" w:color="auto"/>
              <w:bottom w:val="single" w:sz="4" w:space="0" w:color="auto"/>
              <w:right w:val="single" w:sz="4" w:space="0" w:color="auto"/>
            </w:tcBorders>
          </w:tcPr>
          <w:p w14:paraId="7FA3D276"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Media</w:t>
            </w:r>
          </w:p>
        </w:tc>
        <w:tc>
          <w:tcPr>
            <w:tcW w:w="2388" w:type="dxa"/>
            <w:gridSpan w:val="2"/>
            <w:tcBorders>
              <w:top w:val="single" w:sz="4" w:space="0" w:color="auto"/>
              <w:left w:val="single" w:sz="4" w:space="0" w:color="auto"/>
              <w:bottom w:val="single" w:sz="4" w:space="0" w:color="auto"/>
              <w:right w:val="single" w:sz="4" w:space="0" w:color="auto"/>
            </w:tcBorders>
          </w:tcPr>
          <w:p w14:paraId="4ACDFEC4"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Mediana</w:t>
            </w:r>
          </w:p>
        </w:tc>
      </w:tr>
      <w:tr w:rsidR="00C443FC" w:rsidRPr="00C443FC" w14:paraId="422D76ED" w14:textId="77777777" w:rsidTr="00284BB1">
        <w:trPr>
          <w:jc w:val="center"/>
        </w:trPr>
        <w:tc>
          <w:tcPr>
            <w:tcW w:w="1293" w:type="dxa"/>
            <w:vMerge/>
            <w:tcBorders>
              <w:top w:val="single" w:sz="4" w:space="0" w:color="auto"/>
              <w:left w:val="single" w:sz="4" w:space="0" w:color="auto"/>
              <w:bottom w:val="single" w:sz="4" w:space="0" w:color="auto"/>
              <w:right w:val="single" w:sz="4" w:space="0" w:color="auto"/>
            </w:tcBorders>
          </w:tcPr>
          <w:p w14:paraId="0DC7B592" w14:textId="77777777" w:rsidR="00C443FC" w:rsidRPr="00C443FC" w:rsidRDefault="00C443FC" w:rsidP="00C443FC">
            <w:pPr>
              <w:jc w:val="center"/>
              <w:rPr>
                <w:rFonts w:eastAsia="Calibri"/>
                <w:b/>
                <w:sz w:val="20"/>
                <w:szCs w:val="20"/>
                <w:lang w:eastAsia="en-US"/>
              </w:rPr>
            </w:pPr>
          </w:p>
        </w:tc>
        <w:tc>
          <w:tcPr>
            <w:tcW w:w="2388" w:type="dxa"/>
            <w:gridSpan w:val="2"/>
            <w:tcBorders>
              <w:top w:val="single" w:sz="4" w:space="0" w:color="auto"/>
              <w:left w:val="single" w:sz="4" w:space="0" w:color="auto"/>
              <w:bottom w:val="single" w:sz="4" w:space="0" w:color="auto"/>
              <w:right w:val="single" w:sz="4" w:space="0" w:color="auto"/>
            </w:tcBorders>
          </w:tcPr>
          <w:p w14:paraId="418D6241"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Encuesta</w:t>
            </w:r>
          </w:p>
        </w:tc>
        <w:tc>
          <w:tcPr>
            <w:tcW w:w="2388" w:type="dxa"/>
            <w:gridSpan w:val="2"/>
            <w:tcBorders>
              <w:top w:val="single" w:sz="4" w:space="0" w:color="auto"/>
              <w:left w:val="single" w:sz="4" w:space="0" w:color="auto"/>
              <w:bottom w:val="single" w:sz="4" w:space="0" w:color="auto"/>
              <w:right w:val="single" w:sz="4" w:space="0" w:color="auto"/>
            </w:tcBorders>
          </w:tcPr>
          <w:p w14:paraId="67FF24A3"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Encuesta</w:t>
            </w:r>
          </w:p>
        </w:tc>
      </w:tr>
      <w:tr w:rsidR="00C443FC" w:rsidRPr="00C443FC" w14:paraId="4CA98612" w14:textId="77777777" w:rsidTr="00284BB1">
        <w:trPr>
          <w:jc w:val="center"/>
        </w:trPr>
        <w:tc>
          <w:tcPr>
            <w:tcW w:w="1293" w:type="dxa"/>
            <w:vMerge/>
            <w:tcBorders>
              <w:top w:val="single" w:sz="4" w:space="0" w:color="auto"/>
              <w:left w:val="single" w:sz="4" w:space="0" w:color="auto"/>
              <w:bottom w:val="single" w:sz="4" w:space="0" w:color="auto"/>
              <w:right w:val="single" w:sz="4" w:space="0" w:color="auto"/>
            </w:tcBorders>
          </w:tcPr>
          <w:p w14:paraId="653849A6" w14:textId="77777777" w:rsidR="00C443FC" w:rsidRPr="00C443FC" w:rsidRDefault="00C443FC" w:rsidP="00C443FC">
            <w:pPr>
              <w:jc w:val="center"/>
              <w:rPr>
                <w:rFonts w:eastAsia="Calibri"/>
                <w:b/>
                <w:sz w:val="20"/>
                <w:szCs w:val="20"/>
                <w:lang w:eastAsia="en-US"/>
              </w:rPr>
            </w:pPr>
          </w:p>
        </w:tc>
        <w:tc>
          <w:tcPr>
            <w:tcW w:w="1194" w:type="dxa"/>
            <w:tcBorders>
              <w:top w:val="single" w:sz="4" w:space="0" w:color="auto"/>
              <w:left w:val="single" w:sz="4" w:space="0" w:color="auto"/>
              <w:bottom w:val="single" w:sz="4" w:space="0" w:color="auto"/>
              <w:right w:val="single" w:sz="4" w:space="0" w:color="auto"/>
            </w:tcBorders>
          </w:tcPr>
          <w:p w14:paraId="3B6E4031"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Enero</w:t>
            </w:r>
          </w:p>
        </w:tc>
        <w:tc>
          <w:tcPr>
            <w:tcW w:w="1194" w:type="dxa"/>
            <w:tcBorders>
              <w:top w:val="single" w:sz="4" w:space="0" w:color="auto"/>
              <w:left w:val="single" w:sz="4" w:space="0" w:color="auto"/>
              <w:bottom w:val="single" w:sz="4" w:space="0" w:color="auto"/>
              <w:right w:val="single" w:sz="4" w:space="0" w:color="auto"/>
            </w:tcBorders>
          </w:tcPr>
          <w:p w14:paraId="0FA17E4E"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Febrero</w:t>
            </w:r>
          </w:p>
        </w:tc>
        <w:tc>
          <w:tcPr>
            <w:tcW w:w="1194" w:type="dxa"/>
            <w:tcBorders>
              <w:top w:val="single" w:sz="4" w:space="0" w:color="auto"/>
              <w:left w:val="single" w:sz="4" w:space="0" w:color="auto"/>
              <w:bottom w:val="single" w:sz="4" w:space="0" w:color="auto"/>
              <w:right w:val="single" w:sz="4" w:space="0" w:color="auto"/>
            </w:tcBorders>
          </w:tcPr>
          <w:p w14:paraId="41773C65"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Enero</w:t>
            </w:r>
          </w:p>
        </w:tc>
        <w:tc>
          <w:tcPr>
            <w:tcW w:w="1194" w:type="dxa"/>
            <w:tcBorders>
              <w:top w:val="single" w:sz="4" w:space="0" w:color="auto"/>
              <w:left w:val="single" w:sz="4" w:space="0" w:color="auto"/>
              <w:bottom w:val="single" w:sz="4" w:space="0" w:color="auto"/>
              <w:right w:val="single" w:sz="4" w:space="0" w:color="auto"/>
            </w:tcBorders>
          </w:tcPr>
          <w:p w14:paraId="1654C22A"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Febrero</w:t>
            </w:r>
          </w:p>
        </w:tc>
      </w:tr>
      <w:tr w:rsidR="00C443FC" w:rsidRPr="00C443FC" w14:paraId="78922E18" w14:textId="77777777" w:rsidTr="00284BB1">
        <w:trPr>
          <w:jc w:val="center"/>
        </w:trPr>
        <w:tc>
          <w:tcPr>
            <w:tcW w:w="1293" w:type="dxa"/>
            <w:tcBorders>
              <w:top w:val="single" w:sz="4" w:space="0" w:color="auto"/>
              <w:left w:val="single" w:sz="4" w:space="0" w:color="auto"/>
              <w:right w:val="single" w:sz="4" w:space="0" w:color="auto"/>
            </w:tcBorders>
          </w:tcPr>
          <w:p w14:paraId="1E893EF3" w14:textId="77777777" w:rsidR="00C443FC" w:rsidRPr="00C443FC" w:rsidRDefault="00C443FC" w:rsidP="00C443FC">
            <w:pPr>
              <w:rPr>
                <w:rFonts w:eastAsia="Calibri"/>
                <w:b/>
                <w:sz w:val="20"/>
                <w:szCs w:val="20"/>
                <w:lang w:eastAsia="en-US"/>
              </w:rPr>
            </w:pPr>
            <w:r w:rsidRPr="00C443FC">
              <w:rPr>
                <w:rFonts w:eastAsia="Calibri"/>
                <w:b/>
                <w:sz w:val="20"/>
                <w:szCs w:val="20"/>
                <w:lang w:eastAsia="en-US"/>
              </w:rPr>
              <w:t>Para 2015</w:t>
            </w:r>
          </w:p>
        </w:tc>
        <w:tc>
          <w:tcPr>
            <w:tcW w:w="1194" w:type="dxa"/>
            <w:tcBorders>
              <w:top w:val="single" w:sz="4" w:space="0" w:color="auto"/>
              <w:left w:val="single" w:sz="4" w:space="0" w:color="auto"/>
              <w:right w:val="single" w:sz="4" w:space="0" w:color="auto"/>
            </w:tcBorders>
          </w:tcPr>
          <w:p w14:paraId="1240C506"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3.46</w:t>
            </w:r>
          </w:p>
        </w:tc>
        <w:tc>
          <w:tcPr>
            <w:tcW w:w="1194" w:type="dxa"/>
            <w:tcBorders>
              <w:top w:val="single" w:sz="4" w:space="0" w:color="auto"/>
              <w:left w:val="single" w:sz="4" w:space="0" w:color="auto"/>
              <w:right w:val="single" w:sz="4" w:space="0" w:color="auto"/>
            </w:tcBorders>
          </w:tcPr>
          <w:p w14:paraId="59D33B5D"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3.47</w:t>
            </w:r>
          </w:p>
        </w:tc>
        <w:tc>
          <w:tcPr>
            <w:tcW w:w="1194" w:type="dxa"/>
            <w:tcBorders>
              <w:top w:val="single" w:sz="4" w:space="0" w:color="auto"/>
              <w:left w:val="single" w:sz="4" w:space="0" w:color="auto"/>
              <w:right w:val="single" w:sz="4" w:space="0" w:color="auto"/>
            </w:tcBorders>
          </w:tcPr>
          <w:p w14:paraId="179943DE"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3.50</w:t>
            </w:r>
          </w:p>
        </w:tc>
        <w:tc>
          <w:tcPr>
            <w:tcW w:w="1194" w:type="dxa"/>
            <w:tcBorders>
              <w:top w:val="single" w:sz="4" w:space="0" w:color="auto"/>
              <w:left w:val="single" w:sz="4" w:space="0" w:color="auto"/>
              <w:right w:val="single" w:sz="4" w:space="0" w:color="auto"/>
            </w:tcBorders>
          </w:tcPr>
          <w:p w14:paraId="6DCD5065"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3.50</w:t>
            </w:r>
          </w:p>
        </w:tc>
      </w:tr>
      <w:tr w:rsidR="00C443FC" w:rsidRPr="00C443FC" w14:paraId="32442100" w14:textId="77777777" w:rsidTr="00284BB1">
        <w:trPr>
          <w:jc w:val="center"/>
        </w:trPr>
        <w:tc>
          <w:tcPr>
            <w:tcW w:w="1293" w:type="dxa"/>
            <w:tcBorders>
              <w:left w:val="single" w:sz="4" w:space="0" w:color="auto"/>
              <w:bottom w:val="single" w:sz="4" w:space="0" w:color="auto"/>
              <w:right w:val="single" w:sz="4" w:space="0" w:color="auto"/>
            </w:tcBorders>
          </w:tcPr>
          <w:p w14:paraId="1AFF5538" w14:textId="77777777" w:rsidR="00C443FC" w:rsidRPr="00C443FC" w:rsidRDefault="00C443FC" w:rsidP="00C443FC">
            <w:pPr>
              <w:rPr>
                <w:rFonts w:eastAsia="Calibri"/>
                <w:b/>
                <w:sz w:val="20"/>
                <w:szCs w:val="20"/>
                <w:lang w:eastAsia="en-US"/>
              </w:rPr>
            </w:pPr>
            <w:r w:rsidRPr="00C443FC">
              <w:rPr>
                <w:rFonts w:eastAsia="Calibri"/>
                <w:b/>
                <w:sz w:val="20"/>
                <w:szCs w:val="20"/>
                <w:lang w:eastAsia="en-US"/>
              </w:rPr>
              <w:t>Para 2016</w:t>
            </w:r>
          </w:p>
        </w:tc>
        <w:tc>
          <w:tcPr>
            <w:tcW w:w="1194" w:type="dxa"/>
            <w:tcBorders>
              <w:left w:val="single" w:sz="4" w:space="0" w:color="auto"/>
              <w:bottom w:val="single" w:sz="4" w:space="0" w:color="auto"/>
              <w:right w:val="single" w:sz="4" w:space="0" w:color="auto"/>
            </w:tcBorders>
          </w:tcPr>
          <w:p w14:paraId="5074FA9E"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3.18</w:t>
            </w:r>
          </w:p>
        </w:tc>
        <w:tc>
          <w:tcPr>
            <w:tcW w:w="1194" w:type="dxa"/>
            <w:tcBorders>
              <w:left w:val="single" w:sz="4" w:space="0" w:color="auto"/>
              <w:bottom w:val="single" w:sz="4" w:space="0" w:color="auto"/>
              <w:right w:val="single" w:sz="4" w:space="0" w:color="auto"/>
            </w:tcBorders>
          </w:tcPr>
          <w:p w14:paraId="32BF5EDC"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3.15</w:t>
            </w:r>
          </w:p>
        </w:tc>
        <w:tc>
          <w:tcPr>
            <w:tcW w:w="1194" w:type="dxa"/>
            <w:tcBorders>
              <w:left w:val="single" w:sz="4" w:space="0" w:color="auto"/>
              <w:bottom w:val="single" w:sz="4" w:space="0" w:color="auto"/>
              <w:right w:val="single" w:sz="4" w:space="0" w:color="auto"/>
            </w:tcBorders>
          </w:tcPr>
          <w:p w14:paraId="72A6E121"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3.00</w:t>
            </w:r>
          </w:p>
        </w:tc>
        <w:tc>
          <w:tcPr>
            <w:tcW w:w="1194" w:type="dxa"/>
            <w:tcBorders>
              <w:left w:val="single" w:sz="4" w:space="0" w:color="auto"/>
              <w:bottom w:val="single" w:sz="4" w:space="0" w:color="auto"/>
              <w:right w:val="single" w:sz="4" w:space="0" w:color="auto"/>
            </w:tcBorders>
          </w:tcPr>
          <w:p w14:paraId="0717AC92"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3.05</w:t>
            </w:r>
          </w:p>
        </w:tc>
      </w:tr>
      <w:tr w:rsidR="00C443FC" w:rsidRPr="00C443FC" w14:paraId="3875F876" w14:textId="77777777" w:rsidTr="007B7E95">
        <w:trPr>
          <w:jc w:val="center"/>
        </w:trPr>
        <w:tc>
          <w:tcPr>
            <w:tcW w:w="6069" w:type="dxa"/>
            <w:gridSpan w:val="5"/>
            <w:tcBorders>
              <w:left w:val="nil"/>
              <w:bottom w:val="nil"/>
              <w:right w:val="nil"/>
            </w:tcBorders>
          </w:tcPr>
          <w:p w14:paraId="7AB2CD2C" w14:textId="77777777" w:rsidR="00C443FC" w:rsidRPr="00C443FC" w:rsidRDefault="00C443FC" w:rsidP="00C443FC">
            <w:pPr>
              <w:jc w:val="both"/>
              <w:rPr>
                <w:rFonts w:eastAsia="Calibri"/>
                <w:sz w:val="20"/>
                <w:szCs w:val="20"/>
                <w:lang w:eastAsia="en-US"/>
              </w:rPr>
            </w:pPr>
            <w:r w:rsidRPr="00C443FC">
              <w:rPr>
                <w:rFonts w:eastAsia="Calibri"/>
                <w:sz w:val="20"/>
                <w:szCs w:val="20"/>
                <w:lang w:eastAsia="en-US"/>
              </w:rPr>
              <w:t>FUENTE: Banco de México.</w:t>
            </w:r>
          </w:p>
        </w:tc>
      </w:tr>
    </w:tbl>
    <w:p w14:paraId="20C99ADD" w14:textId="77777777" w:rsidR="00C443FC" w:rsidRPr="00C443FC" w:rsidRDefault="00C443FC" w:rsidP="00C443FC">
      <w:pPr>
        <w:spacing w:after="360" w:line="360" w:lineRule="auto"/>
        <w:ind w:right="-159"/>
        <w:jc w:val="both"/>
        <w:rPr>
          <w:rFonts w:eastAsia="Calibri"/>
          <w:sz w:val="26"/>
          <w:szCs w:val="26"/>
          <w:lang w:eastAsia="en-US"/>
        </w:rPr>
      </w:pPr>
    </w:p>
    <w:p w14:paraId="538CC04F" w14:textId="54C8038B" w:rsidR="00D27C30" w:rsidRPr="00D27C30" w:rsidRDefault="00D27C30" w:rsidP="00D27C30">
      <w:pPr>
        <w:spacing w:after="160" w:line="259" w:lineRule="auto"/>
        <w:jc w:val="center"/>
        <w:rPr>
          <w:rFonts w:ascii="Calibri" w:eastAsia="Calibri" w:hAnsi="Calibri"/>
          <w:sz w:val="22"/>
          <w:szCs w:val="22"/>
          <w:lang w:eastAsia="en-US"/>
        </w:rPr>
      </w:pPr>
      <w:r w:rsidRPr="00D27C30">
        <w:rPr>
          <w:rFonts w:ascii="Calibri" w:eastAsia="Calibri" w:hAnsi="Calibri"/>
          <w:sz w:val="22"/>
          <w:szCs w:val="22"/>
          <w:lang w:eastAsia="en-US"/>
        </w:rPr>
        <w:lastRenderedPageBreak/>
        <w:fldChar w:fldCharType="begin"/>
      </w:r>
      <w:r w:rsidRPr="00D27C30">
        <w:rPr>
          <w:rFonts w:ascii="Calibri" w:eastAsia="Calibri" w:hAnsi="Calibri"/>
          <w:sz w:val="22"/>
          <w:szCs w:val="22"/>
          <w:lang w:eastAsia="en-US"/>
        </w:rPr>
        <w:instrText xml:space="preserve"> LINK PowerPoint.Slide.8 "D:\\2015\\MARZO 2014\\GRÁFICAS EN POWER POINT\\14.-GRÁFICAS DE EXPECTATIVAS II.pptx!577" "" \a \p </w:instrText>
      </w:r>
      <w:r w:rsidRPr="00D27C30">
        <w:rPr>
          <w:rFonts w:ascii="Calibri" w:eastAsia="Calibri" w:hAnsi="Calibri"/>
          <w:sz w:val="22"/>
          <w:szCs w:val="22"/>
          <w:lang w:eastAsia="en-US"/>
        </w:rPr>
        <w:fldChar w:fldCharType="separate"/>
      </w:r>
      <w:r w:rsidRPr="00D27C30">
        <w:rPr>
          <w:rFonts w:ascii="Calibri" w:eastAsia="Calibri" w:hAnsi="Calibri"/>
          <w:noProof/>
          <w:sz w:val="22"/>
          <w:szCs w:val="22"/>
          <w:lang w:eastAsia="es-MX"/>
        </w:rPr>
        <w:drawing>
          <wp:inline distT="0" distB="0" distL="0" distR="0" wp14:anchorId="13DCCABB" wp14:editId="2BA785E2">
            <wp:extent cx="4170680" cy="3261995"/>
            <wp:effectExtent l="0" t="0" r="1270" b="0"/>
            <wp:docPr id="1530" name="Imagen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55"/>
                    <pic:cNvPicPr>
                      <a:picLocks noChangeAspect="1" noChangeArrowheads="1"/>
                    </pic:cNvPicPr>
                  </pic:nvPicPr>
                  <pic:blipFill>
                    <a:blip r:embed="rId274" cstate="print">
                      <a:extLst>
                        <a:ext uri="{28A0092B-C50C-407E-A947-70E740481C1C}">
                          <a14:useLocalDpi xmlns:a14="http://schemas.microsoft.com/office/drawing/2010/main" val="0"/>
                        </a:ext>
                      </a:extLst>
                    </a:blip>
                    <a:srcRect l="6293" r="2325" b="4655"/>
                    <a:stretch>
                      <a:fillRect/>
                    </a:stretch>
                  </pic:blipFill>
                  <pic:spPr bwMode="auto">
                    <a:xfrm>
                      <a:off x="0" y="0"/>
                      <a:ext cx="4170680" cy="3261995"/>
                    </a:xfrm>
                    <a:prstGeom prst="rect">
                      <a:avLst/>
                    </a:prstGeom>
                    <a:noFill/>
                    <a:ln>
                      <a:noFill/>
                    </a:ln>
                  </pic:spPr>
                </pic:pic>
              </a:graphicData>
            </a:graphic>
          </wp:inline>
        </w:drawing>
      </w:r>
      <w:r w:rsidRPr="00D27C30">
        <w:rPr>
          <w:rFonts w:ascii="Calibri" w:eastAsia="Calibri" w:hAnsi="Calibri"/>
          <w:sz w:val="22"/>
          <w:szCs w:val="22"/>
          <w:lang w:eastAsia="en-US"/>
        </w:rPr>
        <w:fldChar w:fldCharType="end"/>
      </w:r>
    </w:p>
    <w:p w14:paraId="59BA6C44" w14:textId="77777777" w:rsidR="00D27C30" w:rsidRPr="00D27C30" w:rsidRDefault="00D27C30" w:rsidP="00D27C30">
      <w:pPr>
        <w:spacing w:after="160" w:line="259" w:lineRule="auto"/>
        <w:jc w:val="center"/>
        <w:rPr>
          <w:rFonts w:ascii="Calibri" w:eastAsia="Calibri" w:hAnsi="Calibri"/>
          <w:sz w:val="22"/>
          <w:szCs w:val="22"/>
          <w:lang w:eastAsia="en-US"/>
        </w:rPr>
      </w:pPr>
    </w:p>
    <w:p w14:paraId="5FD8572D" w14:textId="67787E1B" w:rsidR="00D27C30" w:rsidRPr="00D27C30" w:rsidRDefault="00D27C30" w:rsidP="00D27C30">
      <w:pPr>
        <w:spacing w:after="160" w:line="259" w:lineRule="auto"/>
        <w:jc w:val="center"/>
        <w:rPr>
          <w:rFonts w:ascii="Calibri" w:eastAsia="Calibri" w:hAnsi="Calibri"/>
          <w:sz w:val="22"/>
          <w:szCs w:val="22"/>
          <w:lang w:eastAsia="en-US"/>
        </w:rPr>
      </w:pPr>
      <w:r w:rsidRPr="00D27C30">
        <w:rPr>
          <w:rFonts w:ascii="Calibri" w:eastAsia="Calibri" w:hAnsi="Calibri"/>
          <w:sz w:val="22"/>
          <w:szCs w:val="22"/>
          <w:lang w:eastAsia="en-US"/>
        </w:rPr>
        <w:fldChar w:fldCharType="begin"/>
      </w:r>
      <w:r w:rsidRPr="00D27C30">
        <w:rPr>
          <w:rFonts w:ascii="Calibri" w:eastAsia="Calibri" w:hAnsi="Calibri"/>
          <w:sz w:val="22"/>
          <w:szCs w:val="22"/>
          <w:lang w:eastAsia="en-US"/>
        </w:rPr>
        <w:instrText xml:space="preserve"> LINK PowerPoint.Slide.8 "D:\\2015\\MARZO 2014\\GRÁFICAS EN POWER POINT\\14.-GRÁFICAS DE EXPECTATIVAS II.pptx!607" "" \a \p </w:instrText>
      </w:r>
      <w:r w:rsidRPr="00D27C30">
        <w:rPr>
          <w:rFonts w:ascii="Calibri" w:eastAsia="Calibri" w:hAnsi="Calibri"/>
          <w:sz w:val="22"/>
          <w:szCs w:val="22"/>
          <w:lang w:eastAsia="en-US"/>
        </w:rPr>
        <w:fldChar w:fldCharType="separate"/>
      </w:r>
      <w:r w:rsidRPr="00D27C30">
        <w:rPr>
          <w:rFonts w:ascii="Calibri" w:eastAsia="Calibri" w:hAnsi="Calibri"/>
          <w:noProof/>
          <w:sz w:val="22"/>
          <w:szCs w:val="22"/>
          <w:lang w:eastAsia="es-MX"/>
        </w:rPr>
        <w:drawing>
          <wp:inline distT="0" distB="0" distL="0" distR="0" wp14:anchorId="185A1964" wp14:editId="728B5CEA">
            <wp:extent cx="4312285" cy="3157220"/>
            <wp:effectExtent l="0" t="0" r="0" b="5080"/>
            <wp:docPr id="1529" name="Imagen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56"/>
                    <pic:cNvPicPr>
                      <a:picLocks noChangeAspect="1" noChangeArrowheads="1"/>
                    </pic:cNvPicPr>
                  </pic:nvPicPr>
                  <pic:blipFill>
                    <a:blip r:embed="rId275" cstate="print">
                      <a:extLst>
                        <a:ext uri="{28A0092B-C50C-407E-A947-70E740481C1C}">
                          <a14:useLocalDpi xmlns:a14="http://schemas.microsoft.com/office/drawing/2010/main" val="0"/>
                        </a:ext>
                      </a:extLst>
                    </a:blip>
                    <a:srcRect l="5360" b="7751"/>
                    <a:stretch>
                      <a:fillRect/>
                    </a:stretch>
                  </pic:blipFill>
                  <pic:spPr bwMode="auto">
                    <a:xfrm>
                      <a:off x="0" y="0"/>
                      <a:ext cx="4312285" cy="3157220"/>
                    </a:xfrm>
                    <a:prstGeom prst="rect">
                      <a:avLst/>
                    </a:prstGeom>
                    <a:noFill/>
                    <a:ln>
                      <a:noFill/>
                    </a:ln>
                  </pic:spPr>
                </pic:pic>
              </a:graphicData>
            </a:graphic>
          </wp:inline>
        </w:drawing>
      </w:r>
      <w:r w:rsidRPr="00D27C30">
        <w:rPr>
          <w:rFonts w:ascii="Calibri" w:eastAsia="Calibri" w:hAnsi="Calibri"/>
          <w:sz w:val="22"/>
          <w:szCs w:val="22"/>
          <w:lang w:eastAsia="en-US"/>
        </w:rPr>
        <w:fldChar w:fldCharType="end"/>
      </w:r>
    </w:p>
    <w:p w14:paraId="374269B5" w14:textId="77777777" w:rsidR="00D27C30" w:rsidRDefault="00D27C30" w:rsidP="00C443FC">
      <w:pPr>
        <w:spacing w:after="360" w:line="360" w:lineRule="auto"/>
        <w:ind w:right="-159"/>
        <w:jc w:val="center"/>
        <w:rPr>
          <w:rFonts w:eastAsia="Calibri"/>
          <w:noProof/>
          <w:sz w:val="26"/>
          <w:szCs w:val="26"/>
          <w:lang w:eastAsia="es-MX"/>
        </w:rPr>
      </w:pPr>
    </w:p>
    <w:p w14:paraId="4C07E461" w14:textId="77777777" w:rsidR="00593607" w:rsidRDefault="00593607" w:rsidP="00C443FC">
      <w:pPr>
        <w:spacing w:after="360" w:line="360" w:lineRule="auto"/>
        <w:ind w:right="-159"/>
        <w:jc w:val="center"/>
        <w:rPr>
          <w:rFonts w:eastAsia="Calibri"/>
          <w:noProof/>
          <w:sz w:val="26"/>
          <w:szCs w:val="26"/>
          <w:lang w:eastAsia="es-MX"/>
        </w:rPr>
      </w:pPr>
    </w:p>
    <w:p w14:paraId="65D13DE5" w14:textId="77777777" w:rsidR="00593607" w:rsidRDefault="00593607" w:rsidP="00C443FC">
      <w:pPr>
        <w:spacing w:after="360" w:line="360" w:lineRule="auto"/>
        <w:ind w:right="-159"/>
        <w:jc w:val="center"/>
        <w:rPr>
          <w:rFonts w:eastAsia="Calibri"/>
          <w:noProof/>
          <w:sz w:val="26"/>
          <w:szCs w:val="26"/>
          <w:lang w:eastAsia="es-MX"/>
        </w:rPr>
      </w:pPr>
    </w:p>
    <w:p w14:paraId="6F995764" w14:textId="77777777" w:rsidR="00C443FC" w:rsidRPr="00C443FC" w:rsidRDefault="00C443FC" w:rsidP="00C443FC">
      <w:pPr>
        <w:spacing w:after="360" w:line="360" w:lineRule="auto"/>
        <w:ind w:right="-159"/>
        <w:jc w:val="both"/>
        <w:rPr>
          <w:rFonts w:eastAsia="Calibri"/>
          <w:b/>
          <w:sz w:val="26"/>
          <w:szCs w:val="26"/>
          <w:lang w:eastAsia="en-US"/>
        </w:rPr>
      </w:pPr>
      <w:r w:rsidRPr="00C443FC">
        <w:rPr>
          <w:rFonts w:eastAsia="Calibri"/>
          <w:b/>
          <w:sz w:val="26"/>
          <w:szCs w:val="26"/>
          <w:lang w:eastAsia="en-US"/>
        </w:rPr>
        <w:lastRenderedPageBreak/>
        <w:t>Sector externo</w:t>
      </w:r>
    </w:p>
    <w:p w14:paraId="68BA968E" w14:textId="77777777" w:rsidR="00C443FC" w:rsidRPr="00C443FC" w:rsidRDefault="00C443FC" w:rsidP="00C443FC">
      <w:pPr>
        <w:spacing w:after="360" w:line="360" w:lineRule="auto"/>
        <w:ind w:right="-159"/>
        <w:jc w:val="both"/>
        <w:rPr>
          <w:rFonts w:eastAsia="Calibri"/>
          <w:sz w:val="26"/>
          <w:szCs w:val="26"/>
          <w:lang w:eastAsia="en-US"/>
        </w:rPr>
      </w:pPr>
      <w:r w:rsidRPr="00C443FC">
        <w:rPr>
          <w:rFonts w:eastAsia="Calibri"/>
          <w:sz w:val="26"/>
          <w:szCs w:val="26"/>
          <w:lang w:eastAsia="en-US"/>
        </w:rPr>
        <w:t xml:space="preserve">En el cuadro </w:t>
      </w:r>
      <w:r w:rsidRPr="00C443FC">
        <w:rPr>
          <w:rFonts w:eastAsia="Calibri"/>
          <w:i/>
          <w:sz w:val="26"/>
          <w:szCs w:val="26"/>
          <w:lang w:eastAsia="en-US"/>
        </w:rPr>
        <w:t>Expectativas sobre el sector externo</w:t>
      </w:r>
      <w:r w:rsidRPr="00C443FC">
        <w:rPr>
          <w:rFonts w:eastAsia="Calibri"/>
          <w:sz w:val="26"/>
          <w:szCs w:val="26"/>
          <w:lang w:eastAsia="en-US"/>
        </w:rPr>
        <w:t>, se reportan las expectativas para 2015 y 2016 del déficit de la balanza comercial, del déficit de la cuenta corriente y de los flujos de entrada de recursos por concepto de inversión extranjera directa (IED).</w:t>
      </w:r>
    </w:p>
    <w:p w14:paraId="592EAFE8" w14:textId="77777777" w:rsidR="00C443FC" w:rsidRPr="00C443FC" w:rsidRDefault="00C443FC" w:rsidP="00C443FC">
      <w:pPr>
        <w:spacing w:after="360" w:line="360" w:lineRule="auto"/>
        <w:ind w:right="-159"/>
        <w:jc w:val="both"/>
        <w:rPr>
          <w:rFonts w:eastAsia="Calibri"/>
          <w:sz w:val="26"/>
          <w:szCs w:val="26"/>
          <w:lang w:eastAsia="en-US"/>
        </w:rPr>
      </w:pPr>
      <w:r w:rsidRPr="00C443FC">
        <w:rPr>
          <w:rFonts w:eastAsia="Calibri"/>
          <w:sz w:val="26"/>
          <w:szCs w:val="26"/>
          <w:lang w:eastAsia="en-US"/>
        </w:rPr>
        <w:t>Las expectativas de déficit comercial para 2015 y 2016 permanecieron cercanas a las de la encuesta de enero. En lo que se refiere a las perspectivas de déficit de la cuenta corriente para 2015 y 2016, éstas también se mantuvieron en niveles similares a los registrados en el mes previo, si bien la mediana de ambos pronósticos disminuyó. Finalmente, las expectativas sobre los flujos de entrada de recursos por concepto de IED para 2015 y 2016 disminuyeron con respecto a las del mes anterior, si bien la mediana de dichas previsiones para 2016 permaneció en el mismo nivel. Las seis gráficas siguientes ilustran la tendencia reciente de las expectativas de las variables anteriores para los cierres de 2015 y 2016.</w:t>
      </w:r>
    </w:p>
    <w:tbl>
      <w:tblPr>
        <w:tblW w:w="0" w:type="auto"/>
        <w:jc w:val="center"/>
        <w:tblLook w:val="04A0" w:firstRow="1" w:lastRow="0" w:firstColumn="1" w:lastColumn="0" w:noHBand="0" w:noVBand="1"/>
      </w:tblPr>
      <w:tblGrid>
        <w:gridCol w:w="2806"/>
        <w:gridCol w:w="1161"/>
        <w:gridCol w:w="1275"/>
        <w:gridCol w:w="1194"/>
        <w:gridCol w:w="1193"/>
      </w:tblGrid>
      <w:tr w:rsidR="00C443FC" w:rsidRPr="00C443FC" w14:paraId="590F6D69" w14:textId="77777777" w:rsidTr="00284BB1">
        <w:trPr>
          <w:jc w:val="center"/>
        </w:trPr>
        <w:tc>
          <w:tcPr>
            <w:tcW w:w="7629" w:type="dxa"/>
            <w:gridSpan w:val="5"/>
            <w:tcBorders>
              <w:top w:val="nil"/>
              <w:left w:val="nil"/>
              <w:bottom w:val="single" w:sz="4" w:space="0" w:color="auto"/>
              <w:right w:val="nil"/>
            </w:tcBorders>
          </w:tcPr>
          <w:p w14:paraId="6F1F4DD1" w14:textId="77777777" w:rsidR="00C443FC" w:rsidRPr="00C443FC" w:rsidRDefault="00C443FC" w:rsidP="00C443FC">
            <w:pPr>
              <w:jc w:val="center"/>
              <w:rPr>
                <w:rFonts w:eastAsia="Calibri"/>
                <w:b/>
                <w:sz w:val="22"/>
                <w:szCs w:val="22"/>
                <w:lang w:eastAsia="en-US"/>
              </w:rPr>
            </w:pPr>
            <w:r w:rsidRPr="00C443FC">
              <w:rPr>
                <w:rFonts w:eastAsia="Calibri"/>
                <w:b/>
                <w:sz w:val="22"/>
                <w:szCs w:val="22"/>
                <w:lang w:eastAsia="en-US"/>
              </w:rPr>
              <w:t>EXPECTATIVAS SOBRE EL SECTOR EXTERNO</w:t>
            </w:r>
          </w:p>
          <w:p w14:paraId="1EF93267" w14:textId="77777777" w:rsidR="00C443FC" w:rsidRPr="00C443FC" w:rsidRDefault="00C443FC" w:rsidP="00C443FC">
            <w:pPr>
              <w:jc w:val="center"/>
              <w:rPr>
                <w:rFonts w:eastAsia="Calibri"/>
                <w:b/>
                <w:sz w:val="22"/>
                <w:szCs w:val="22"/>
                <w:lang w:eastAsia="en-US"/>
              </w:rPr>
            </w:pPr>
            <w:r w:rsidRPr="00C443FC">
              <w:rPr>
                <w:rFonts w:eastAsia="Calibri"/>
                <w:b/>
                <w:sz w:val="22"/>
                <w:szCs w:val="22"/>
                <w:lang w:eastAsia="en-US"/>
              </w:rPr>
              <w:t>-Millones de dólares-</w:t>
            </w:r>
          </w:p>
        </w:tc>
      </w:tr>
      <w:tr w:rsidR="00C443FC" w:rsidRPr="00C443FC" w14:paraId="418F56CD" w14:textId="77777777" w:rsidTr="00284BB1">
        <w:trPr>
          <w:jc w:val="center"/>
        </w:trPr>
        <w:tc>
          <w:tcPr>
            <w:tcW w:w="2806" w:type="dxa"/>
            <w:vMerge w:val="restart"/>
            <w:tcBorders>
              <w:top w:val="single" w:sz="4" w:space="0" w:color="auto"/>
              <w:left w:val="single" w:sz="4" w:space="0" w:color="auto"/>
              <w:bottom w:val="single" w:sz="4" w:space="0" w:color="auto"/>
              <w:right w:val="single" w:sz="4" w:space="0" w:color="auto"/>
            </w:tcBorders>
          </w:tcPr>
          <w:p w14:paraId="3FE546BC" w14:textId="77777777" w:rsidR="00C443FC" w:rsidRPr="00C443FC" w:rsidRDefault="00C443FC" w:rsidP="00C443FC">
            <w:pPr>
              <w:jc w:val="center"/>
              <w:rPr>
                <w:rFonts w:eastAsia="Calibri"/>
                <w:b/>
                <w:sz w:val="20"/>
                <w:szCs w:val="20"/>
                <w:lang w:eastAsia="en-US"/>
              </w:rPr>
            </w:pPr>
          </w:p>
        </w:tc>
        <w:tc>
          <w:tcPr>
            <w:tcW w:w="2436" w:type="dxa"/>
            <w:gridSpan w:val="2"/>
            <w:tcBorders>
              <w:top w:val="single" w:sz="4" w:space="0" w:color="auto"/>
              <w:left w:val="single" w:sz="4" w:space="0" w:color="auto"/>
              <w:bottom w:val="single" w:sz="4" w:space="0" w:color="auto"/>
              <w:right w:val="single" w:sz="4" w:space="0" w:color="auto"/>
            </w:tcBorders>
          </w:tcPr>
          <w:p w14:paraId="59D78239"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Media</w:t>
            </w:r>
          </w:p>
        </w:tc>
        <w:tc>
          <w:tcPr>
            <w:tcW w:w="2387" w:type="dxa"/>
            <w:gridSpan w:val="2"/>
            <w:tcBorders>
              <w:top w:val="single" w:sz="4" w:space="0" w:color="auto"/>
              <w:left w:val="single" w:sz="4" w:space="0" w:color="auto"/>
              <w:bottom w:val="single" w:sz="4" w:space="0" w:color="auto"/>
              <w:right w:val="single" w:sz="4" w:space="0" w:color="auto"/>
            </w:tcBorders>
          </w:tcPr>
          <w:p w14:paraId="3BAB9C13"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Mediana</w:t>
            </w:r>
          </w:p>
        </w:tc>
      </w:tr>
      <w:tr w:rsidR="00C443FC" w:rsidRPr="00C443FC" w14:paraId="1DA5ECB4" w14:textId="77777777" w:rsidTr="00284BB1">
        <w:trPr>
          <w:jc w:val="center"/>
        </w:trPr>
        <w:tc>
          <w:tcPr>
            <w:tcW w:w="2806" w:type="dxa"/>
            <w:vMerge/>
            <w:tcBorders>
              <w:top w:val="single" w:sz="4" w:space="0" w:color="auto"/>
              <w:left w:val="single" w:sz="4" w:space="0" w:color="auto"/>
              <w:bottom w:val="single" w:sz="4" w:space="0" w:color="auto"/>
              <w:right w:val="single" w:sz="4" w:space="0" w:color="auto"/>
            </w:tcBorders>
          </w:tcPr>
          <w:p w14:paraId="3301BE68" w14:textId="77777777" w:rsidR="00C443FC" w:rsidRPr="00C443FC" w:rsidRDefault="00C443FC" w:rsidP="00C443FC">
            <w:pPr>
              <w:jc w:val="center"/>
              <w:rPr>
                <w:rFonts w:eastAsia="Calibri"/>
                <w:b/>
                <w:sz w:val="20"/>
                <w:szCs w:val="20"/>
                <w:lang w:eastAsia="en-US"/>
              </w:rPr>
            </w:pPr>
          </w:p>
        </w:tc>
        <w:tc>
          <w:tcPr>
            <w:tcW w:w="2436" w:type="dxa"/>
            <w:gridSpan w:val="2"/>
            <w:tcBorders>
              <w:top w:val="single" w:sz="4" w:space="0" w:color="auto"/>
              <w:left w:val="single" w:sz="4" w:space="0" w:color="auto"/>
              <w:bottom w:val="single" w:sz="4" w:space="0" w:color="auto"/>
              <w:right w:val="single" w:sz="4" w:space="0" w:color="auto"/>
            </w:tcBorders>
          </w:tcPr>
          <w:p w14:paraId="64F25DA4"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Encuesta</w:t>
            </w:r>
          </w:p>
        </w:tc>
        <w:tc>
          <w:tcPr>
            <w:tcW w:w="2387" w:type="dxa"/>
            <w:gridSpan w:val="2"/>
            <w:tcBorders>
              <w:top w:val="single" w:sz="4" w:space="0" w:color="auto"/>
              <w:left w:val="single" w:sz="4" w:space="0" w:color="auto"/>
              <w:bottom w:val="single" w:sz="4" w:space="0" w:color="auto"/>
              <w:right w:val="single" w:sz="4" w:space="0" w:color="auto"/>
            </w:tcBorders>
          </w:tcPr>
          <w:p w14:paraId="40FF4FD1"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Encuesta</w:t>
            </w:r>
          </w:p>
        </w:tc>
      </w:tr>
      <w:tr w:rsidR="00C443FC" w:rsidRPr="00C443FC" w14:paraId="1701EF77" w14:textId="77777777" w:rsidTr="00284BB1">
        <w:trPr>
          <w:jc w:val="center"/>
        </w:trPr>
        <w:tc>
          <w:tcPr>
            <w:tcW w:w="2806" w:type="dxa"/>
            <w:vMerge/>
            <w:tcBorders>
              <w:top w:val="single" w:sz="4" w:space="0" w:color="auto"/>
              <w:left w:val="single" w:sz="4" w:space="0" w:color="auto"/>
              <w:bottom w:val="single" w:sz="4" w:space="0" w:color="auto"/>
              <w:right w:val="single" w:sz="4" w:space="0" w:color="auto"/>
            </w:tcBorders>
          </w:tcPr>
          <w:p w14:paraId="01767ED3" w14:textId="77777777" w:rsidR="00C443FC" w:rsidRPr="00C443FC" w:rsidRDefault="00C443FC" w:rsidP="00C443FC">
            <w:pPr>
              <w:jc w:val="center"/>
              <w:rPr>
                <w:rFonts w:eastAsia="Calibri"/>
                <w:b/>
                <w:sz w:val="20"/>
                <w:szCs w:val="20"/>
                <w:lang w:eastAsia="en-US"/>
              </w:rPr>
            </w:pPr>
          </w:p>
        </w:tc>
        <w:tc>
          <w:tcPr>
            <w:tcW w:w="1161" w:type="dxa"/>
            <w:tcBorders>
              <w:top w:val="single" w:sz="4" w:space="0" w:color="auto"/>
              <w:left w:val="single" w:sz="4" w:space="0" w:color="auto"/>
              <w:bottom w:val="single" w:sz="4" w:space="0" w:color="auto"/>
              <w:right w:val="single" w:sz="4" w:space="0" w:color="auto"/>
            </w:tcBorders>
          </w:tcPr>
          <w:p w14:paraId="39EC186E"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Enero</w:t>
            </w:r>
          </w:p>
        </w:tc>
        <w:tc>
          <w:tcPr>
            <w:tcW w:w="1275" w:type="dxa"/>
            <w:tcBorders>
              <w:top w:val="single" w:sz="4" w:space="0" w:color="auto"/>
              <w:left w:val="single" w:sz="4" w:space="0" w:color="auto"/>
              <w:bottom w:val="single" w:sz="4" w:space="0" w:color="auto"/>
              <w:right w:val="single" w:sz="4" w:space="0" w:color="auto"/>
            </w:tcBorders>
          </w:tcPr>
          <w:p w14:paraId="3171FB25"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Febrero</w:t>
            </w:r>
          </w:p>
        </w:tc>
        <w:tc>
          <w:tcPr>
            <w:tcW w:w="1194" w:type="dxa"/>
            <w:tcBorders>
              <w:top w:val="single" w:sz="4" w:space="0" w:color="auto"/>
              <w:left w:val="single" w:sz="4" w:space="0" w:color="auto"/>
              <w:bottom w:val="single" w:sz="4" w:space="0" w:color="auto"/>
              <w:right w:val="single" w:sz="4" w:space="0" w:color="auto"/>
            </w:tcBorders>
          </w:tcPr>
          <w:p w14:paraId="7CBC8ECF"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Enero</w:t>
            </w:r>
          </w:p>
        </w:tc>
        <w:tc>
          <w:tcPr>
            <w:tcW w:w="1193" w:type="dxa"/>
            <w:tcBorders>
              <w:top w:val="single" w:sz="4" w:space="0" w:color="auto"/>
              <w:left w:val="single" w:sz="4" w:space="0" w:color="auto"/>
              <w:bottom w:val="single" w:sz="4" w:space="0" w:color="auto"/>
              <w:right w:val="single" w:sz="4" w:space="0" w:color="auto"/>
            </w:tcBorders>
          </w:tcPr>
          <w:p w14:paraId="68BF8944"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Febrero</w:t>
            </w:r>
          </w:p>
        </w:tc>
      </w:tr>
      <w:tr w:rsidR="00C443FC" w:rsidRPr="00C443FC" w14:paraId="4B5FFE9E" w14:textId="77777777" w:rsidTr="00284BB1">
        <w:trPr>
          <w:jc w:val="center"/>
        </w:trPr>
        <w:tc>
          <w:tcPr>
            <w:tcW w:w="2806" w:type="dxa"/>
            <w:tcBorders>
              <w:top w:val="single" w:sz="4" w:space="0" w:color="auto"/>
              <w:left w:val="single" w:sz="4" w:space="0" w:color="auto"/>
              <w:right w:val="single" w:sz="4" w:space="0" w:color="auto"/>
            </w:tcBorders>
          </w:tcPr>
          <w:p w14:paraId="404C6213" w14:textId="77777777" w:rsidR="00C443FC" w:rsidRPr="00C443FC" w:rsidRDefault="00C443FC" w:rsidP="00C443FC">
            <w:pPr>
              <w:rPr>
                <w:rFonts w:eastAsia="Calibri"/>
                <w:b/>
                <w:sz w:val="20"/>
                <w:szCs w:val="20"/>
                <w:lang w:eastAsia="en-US"/>
              </w:rPr>
            </w:pPr>
            <w:r w:rsidRPr="00C443FC">
              <w:rPr>
                <w:rFonts w:eastAsia="Calibri"/>
                <w:b/>
                <w:sz w:val="20"/>
                <w:szCs w:val="20"/>
                <w:lang w:eastAsia="en-US"/>
              </w:rPr>
              <w:t>Balanza Comercial</w:t>
            </w:r>
            <w:r w:rsidRPr="00C443FC">
              <w:rPr>
                <w:rFonts w:eastAsia="Calibri"/>
                <w:b/>
                <w:sz w:val="20"/>
                <w:szCs w:val="20"/>
                <w:u w:val="single"/>
                <w:vertAlign w:val="superscript"/>
                <w:lang w:eastAsia="en-US"/>
              </w:rPr>
              <w:t>1</w:t>
            </w:r>
            <w:r w:rsidRPr="00C443FC">
              <w:rPr>
                <w:rFonts w:eastAsia="Calibri"/>
                <w:b/>
                <w:sz w:val="20"/>
                <w:szCs w:val="20"/>
                <w:vertAlign w:val="superscript"/>
                <w:lang w:eastAsia="en-US"/>
              </w:rPr>
              <w:t>/</w:t>
            </w:r>
          </w:p>
        </w:tc>
        <w:tc>
          <w:tcPr>
            <w:tcW w:w="1161" w:type="dxa"/>
            <w:tcBorders>
              <w:top w:val="single" w:sz="4" w:space="0" w:color="auto"/>
              <w:left w:val="single" w:sz="4" w:space="0" w:color="auto"/>
              <w:right w:val="single" w:sz="4" w:space="0" w:color="auto"/>
            </w:tcBorders>
          </w:tcPr>
          <w:p w14:paraId="4D5B556F" w14:textId="77777777" w:rsidR="00C443FC" w:rsidRPr="00C443FC" w:rsidRDefault="00C443FC" w:rsidP="00C443FC">
            <w:pPr>
              <w:jc w:val="center"/>
              <w:rPr>
                <w:rFonts w:eastAsia="Calibri"/>
                <w:sz w:val="20"/>
                <w:szCs w:val="20"/>
                <w:lang w:eastAsia="en-US"/>
              </w:rPr>
            </w:pPr>
          </w:p>
        </w:tc>
        <w:tc>
          <w:tcPr>
            <w:tcW w:w="1275" w:type="dxa"/>
            <w:tcBorders>
              <w:top w:val="single" w:sz="4" w:space="0" w:color="auto"/>
              <w:left w:val="single" w:sz="4" w:space="0" w:color="auto"/>
              <w:right w:val="single" w:sz="4" w:space="0" w:color="auto"/>
            </w:tcBorders>
          </w:tcPr>
          <w:p w14:paraId="43E957B2" w14:textId="77777777" w:rsidR="00C443FC" w:rsidRPr="00C443FC" w:rsidRDefault="00C443FC" w:rsidP="00C443FC">
            <w:pPr>
              <w:jc w:val="center"/>
              <w:rPr>
                <w:rFonts w:eastAsia="Calibri"/>
                <w:sz w:val="20"/>
                <w:szCs w:val="20"/>
                <w:lang w:eastAsia="en-US"/>
              </w:rPr>
            </w:pPr>
          </w:p>
        </w:tc>
        <w:tc>
          <w:tcPr>
            <w:tcW w:w="1194" w:type="dxa"/>
            <w:tcBorders>
              <w:top w:val="single" w:sz="4" w:space="0" w:color="auto"/>
              <w:left w:val="single" w:sz="4" w:space="0" w:color="auto"/>
              <w:right w:val="single" w:sz="4" w:space="0" w:color="auto"/>
            </w:tcBorders>
          </w:tcPr>
          <w:p w14:paraId="69D60F5E" w14:textId="77777777" w:rsidR="00C443FC" w:rsidRPr="00C443FC" w:rsidRDefault="00C443FC" w:rsidP="00C443FC">
            <w:pPr>
              <w:jc w:val="center"/>
              <w:rPr>
                <w:rFonts w:eastAsia="Calibri"/>
                <w:sz w:val="20"/>
                <w:szCs w:val="20"/>
                <w:lang w:eastAsia="en-US"/>
              </w:rPr>
            </w:pPr>
          </w:p>
        </w:tc>
        <w:tc>
          <w:tcPr>
            <w:tcW w:w="1193" w:type="dxa"/>
            <w:tcBorders>
              <w:top w:val="single" w:sz="4" w:space="0" w:color="auto"/>
              <w:left w:val="single" w:sz="4" w:space="0" w:color="auto"/>
              <w:right w:val="single" w:sz="4" w:space="0" w:color="auto"/>
            </w:tcBorders>
          </w:tcPr>
          <w:p w14:paraId="541882D5" w14:textId="77777777" w:rsidR="00C443FC" w:rsidRPr="00C443FC" w:rsidRDefault="00C443FC" w:rsidP="00C443FC">
            <w:pPr>
              <w:jc w:val="center"/>
              <w:rPr>
                <w:rFonts w:eastAsia="Calibri"/>
                <w:sz w:val="20"/>
                <w:szCs w:val="20"/>
                <w:lang w:eastAsia="en-US"/>
              </w:rPr>
            </w:pPr>
          </w:p>
        </w:tc>
      </w:tr>
      <w:tr w:rsidR="00C443FC" w:rsidRPr="00C443FC" w14:paraId="6702737A" w14:textId="77777777" w:rsidTr="00284BB1">
        <w:trPr>
          <w:jc w:val="center"/>
        </w:trPr>
        <w:tc>
          <w:tcPr>
            <w:tcW w:w="2806" w:type="dxa"/>
            <w:tcBorders>
              <w:left w:val="single" w:sz="4" w:space="0" w:color="auto"/>
              <w:right w:val="single" w:sz="4" w:space="0" w:color="auto"/>
            </w:tcBorders>
          </w:tcPr>
          <w:p w14:paraId="3CB7DA0D" w14:textId="77777777" w:rsidR="00C443FC" w:rsidRPr="00C443FC" w:rsidRDefault="00C443FC" w:rsidP="00C443FC">
            <w:pPr>
              <w:rPr>
                <w:rFonts w:eastAsia="Calibri"/>
                <w:sz w:val="20"/>
                <w:szCs w:val="20"/>
                <w:lang w:eastAsia="en-US"/>
              </w:rPr>
            </w:pPr>
            <w:r w:rsidRPr="00C443FC">
              <w:rPr>
                <w:rFonts w:eastAsia="Calibri"/>
                <w:sz w:val="20"/>
                <w:szCs w:val="20"/>
                <w:lang w:eastAsia="en-US"/>
              </w:rPr>
              <w:t xml:space="preserve">     Para 2015</w:t>
            </w:r>
          </w:p>
        </w:tc>
        <w:tc>
          <w:tcPr>
            <w:tcW w:w="1161" w:type="dxa"/>
            <w:tcBorders>
              <w:left w:val="single" w:sz="4" w:space="0" w:color="auto"/>
              <w:right w:val="single" w:sz="4" w:space="0" w:color="auto"/>
            </w:tcBorders>
          </w:tcPr>
          <w:p w14:paraId="7434F8B7" w14:textId="77777777" w:rsidR="00C443FC" w:rsidRPr="00C443FC" w:rsidRDefault="00C443FC" w:rsidP="00C443FC">
            <w:pPr>
              <w:ind w:left="-57" w:right="170"/>
              <w:jc w:val="right"/>
              <w:rPr>
                <w:rFonts w:eastAsia="Calibri"/>
                <w:sz w:val="20"/>
                <w:szCs w:val="20"/>
                <w:lang w:eastAsia="en-US"/>
              </w:rPr>
            </w:pPr>
            <w:r w:rsidRPr="00C443FC">
              <w:rPr>
                <w:rFonts w:eastAsia="Calibri"/>
                <w:sz w:val="20"/>
                <w:szCs w:val="20"/>
                <w:lang w:eastAsia="en-US"/>
              </w:rPr>
              <w:t>-6 214</w:t>
            </w:r>
          </w:p>
        </w:tc>
        <w:tc>
          <w:tcPr>
            <w:tcW w:w="1275" w:type="dxa"/>
            <w:tcBorders>
              <w:left w:val="single" w:sz="4" w:space="0" w:color="auto"/>
              <w:right w:val="single" w:sz="4" w:space="0" w:color="auto"/>
            </w:tcBorders>
          </w:tcPr>
          <w:p w14:paraId="2F367613" w14:textId="77777777" w:rsidR="00C443FC" w:rsidRPr="00C443FC" w:rsidRDefault="00C443FC" w:rsidP="00C443FC">
            <w:pPr>
              <w:ind w:left="-57" w:right="170"/>
              <w:jc w:val="right"/>
              <w:rPr>
                <w:rFonts w:eastAsia="Calibri"/>
                <w:sz w:val="20"/>
                <w:szCs w:val="20"/>
                <w:lang w:eastAsia="en-US"/>
              </w:rPr>
            </w:pPr>
            <w:r w:rsidRPr="00C443FC">
              <w:rPr>
                <w:rFonts w:eastAsia="Calibri"/>
                <w:sz w:val="20"/>
                <w:szCs w:val="20"/>
                <w:lang w:eastAsia="en-US"/>
              </w:rPr>
              <w:t>-5 990</w:t>
            </w:r>
          </w:p>
        </w:tc>
        <w:tc>
          <w:tcPr>
            <w:tcW w:w="1194" w:type="dxa"/>
            <w:tcBorders>
              <w:left w:val="single" w:sz="4" w:space="0" w:color="auto"/>
              <w:right w:val="single" w:sz="4" w:space="0" w:color="auto"/>
            </w:tcBorders>
          </w:tcPr>
          <w:p w14:paraId="575C7877" w14:textId="574B02FD" w:rsidR="00C443FC" w:rsidRPr="00C443FC" w:rsidRDefault="00C443FC" w:rsidP="00D7095B">
            <w:pPr>
              <w:ind w:left="-57" w:right="170"/>
              <w:jc w:val="right"/>
              <w:rPr>
                <w:rFonts w:eastAsia="Calibri"/>
                <w:sz w:val="20"/>
                <w:szCs w:val="20"/>
                <w:lang w:eastAsia="en-US"/>
              </w:rPr>
            </w:pPr>
            <w:r w:rsidRPr="00C443FC">
              <w:rPr>
                <w:rFonts w:eastAsia="Calibri"/>
                <w:sz w:val="20"/>
                <w:szCs w:val="20"/>
                <w:lang w:eastAsia="en-US"/>
              </w:rPr>
              <w:t>-5 640</w:t>
            </w:r>
          </w:p>
        </w:tc>
        <w:tc>
          <w:tcPr>
            <w:tcW w:w="1193" w:type="dxa"/>
            <w:tcBorders>
              <w:left w:val="single" w:sz="4" w:space="0" w:color="auto"/>
              <w:right w:val="single" w:sz="4" w:space="0" w:color="auto"/>
            </w:tcBorders>
          </w:tcPr>
          <w:p w14:paraId="1186449A" w14:textId="77777777" w:rsidR="00C443FC" w:rsidRPr="00C443FC" w:rsidRDefault="00C443FC" w:rsidP="00C443FC">
            <w:pPr>
              <w:ind w:left="-57" w:right="170"/>
              <w:jc w:val="right"/>
              <w:rPr>
                <w:rFonts w:eastAsia="Calibri"/>
                <w:sz w:val="20"/>
                <w:szCs w:val="20"/>
                <w:lang w:eastAsia="en-US"/>
              </w:rPr>
            </w:pPr>
            <w:r w:rsidRPr="00C443FC">
              <w:rPr>
                <w:rFonts w:eastAsia="Calibri"/>
                <w:sz w:val="20"/>
                <w:szCs w:val="20"/>
                <w:lang w:eastAsia="en-US"/>
              </w:rPr>
              <w:t>-6 050</w:t>
            </w:r>
          </w:p>
        </w:tc>
      </w:tr>
      <w:tr w:rsidR="00C443FC" w:rsidRPr="00C443FC" w14:paraId="77DD456B" w14:textId="77777777" w:rsidTr="00284BB1">
        <w:trPr>
          <w:jc w:val="center"/>
        </w:trPr>
        <w:tc>
          <w:tcPr>
            <w:tcW w:w="2806" w:type="dxa"/>
            <w:tcBorders>
              <w:left w:val="single" w:sz="4" w:space="0" w:color="auto"/>
              <w:right w:val="single" w:sz="4" w:space="0" w:color="auto"/>
            </w:tcBorders>
          </w:tcPr>
          <w:p w14:paraId="6414FD9D" w14:textId="77777777" w:rsidR="00C443FC" w:rsidRPr="00C443FC" w:rsidRDefault="00C443FC" w:rsidP="00C443FC">
            <w:pPr>
              <w:rPr>
                <w:rFonts w:eastAsia="Calibri"/>
                <w:b/>
                <w:sz w:val="20"/>
                <w:szCs w:val="20"/>
                <w:lang w:eastAsia="en-US"/>
              </w:rPr>
            </w:pPr>
            <w:r w:rsidRPr="00C443FC">
              <w:rPr>
                <w:rFonts w:eastAsia="Calibri"/>
                <w:sz w:val="20"/>
                <w:szCs w:val="20"/>
                <w:lang w:eastAsia="en-US"/>
              </w:rPr>
              <w:t xml:space="preserve">     Para 2016</w:t>
            </w:r>
          </w:p>
        </w:tc>
        <w:tc>
          <w:tcPr>
            <w:tcW w:w="1161" w:type="dxa"/>
            <w:tcBorders>
              <w:left w:val="single" w:sz="4" w:space="0" w:color="auto"/>
              <w:right w:val="single" w:sz="4" w:space="0" w:color="auto"/>
            </w:tcBorders>
          </w:tcPr>
          <w:p w14:paraId="14525843" w14:textId="77777777" w:rsidR="00C443FC" w:rsidRPr="00C443FC" w:rsidRDefault="00C443FC" w:rsidP="00C443FC">
            <w:pPr>
              <w:ind w:left="-57" w:right="170"/>
              <w:jc w:val="right"/>
              <w:rPr>
                <w:rFonts w:eastAsia="Calibri"/>
                <w:sz w:val="20"/>
                <w:szCs w:val="20"/>
                <w:lang w:eastAsia="en-US"/>
              </w:rPr>
            </w:pPr>
            <w:r w:rsidRPr="00C443FC">
              <w:rPr>
                <w:rFonts w:eastAsia="Calibri"/>
                <w:sz w:val="20"/>
                <w:szCs w:val="20"/>
                <w:lang w:eastAsia="en-US"/>
              </w:rPr>
              <w:t>-7 041</w:t>
            </w:r>
          </w:p>
        </w:tc>
        <w:tc>
          <w:tcPr>
            <w:tcW w:w="1275" w:type="dxa"/>
            <w:tcBorders>
              <w:left w:val="single" w:sz="4" w:space="0" w:color="auto"/>
              <w:right w:val="single" w:sz="4" w:space="0" w:color="auto"/>
            </w:tcBorders>
          </w:tcPr>
          <w:p w14:paraId="3610CF38" w14:textId="77777777" w:rsidR="00C443FC" w:rsidRPr="00C443FC" w:rsidRDefault="00C443FC" w:rsidP="00C443FC">
            <w:pPr>
              <w:ind w:left="-57" w:right="170"/>
              <w:jc w:val="right"/>
              <w:rPr>
                <w:rFonts w:eastAsia="Calibri"/>
                <w:sz w:val="20"/>
                <w:szCs w:val="20"/>
                <w:lang w:eastAsia="en-US"/>
              </w:rPr>
            </w:pPr>
            <w:r w:rsidRPr="00C443FC">
              <w:rPr>
                <w:rFonts w:eastAsia="Calibri"/>
                <w:sz w:val="20"/>
                <w:szCs w:val="20"/>
                <w:lang w:eastAsia="en-US"/>
              </w:rPr>
              <w:t>-7 189</w:t>
            </w:r>
          </w:p>
        </w:tc>
        <w:tc>
          <w:tcPr>
            <w:tcW w:w="1194" w:type="dxa"/>
            <w:tcBorders>
              <w:left w:val="single" w:sz="4" w:space="0" w:color="auto"/>
              <w:right w:val="single" w:sz="4" w:space="0" w:color="auto"/>
            </w:tcBorders>
          </w:tcPr>
          <w:p w14:paraId="3DEA58C2" w14:textId="77777777" w:rsidR="00C443FC" w:rsidRPr="00C443FC" w:rsidRDefault="00C443FC" w:rsidP="00C443FC">
            <w:pPr>
              <w:ind w:left="-57" w:right="170"/>
              <w:jc w:val="right"/>
              <w:rPr>
                <w:rFonts w:eastAsia="Calibri"/>
                <w:sz w:val="20"/>
                <w:szCs w:val="20"/>
                <w:lang w:eastAsia="en-US"/>
              </w:rPr>
            </w:pPr>
            <w:r w:rsidRPr="00C443FC">
              <w:rPr>
                <w:rFonts w:eastAsia="Calibri"/>
                <w:sz w:val="20"/>
                <w:szCs w:val="20"/>
                <w:lang w:eastAsia="en-US"/>
              </w:rPr>
              <w:t>-6 868</w:t>
            </w:r>
          </w:p>
        </w:tc>
        <w:tc>
          <w:tcPr>
            <w:tcW w:w="1193" w:type="dxa"/>
            <w:tcBorders>
              <w:left w:val="single" w:sz="4" w:space="0" w:color="auto"/>
              <w:right w:val="single" w:sz="4" w:space="0" w:color="auto"/>
            </w:tcBorders>
          </w:tcPr>
          <w:p w14:paraId="625BD3E8" w14:textId="77777777" w:rsidR="00C443FC" w:rsidRPr="00C443FC" w:rsidRDefault="00C443FC" w:rsidP="00C443FC">
            <w:pPr>
              <w:ind w:left="-57" w:right="170"/>
              <w:jc w:val="right"/>
              <w:rPr>
                <w:rFonts w:eastAsia="Calibri"/>
                <w:sz w:val="20"/>
                <w:szCs w:val="20"/>
                <w:lang w:eastAsia="en-US"/>
              </w:rPr>
            </w:pPr>
            <w:r w:rsidRPr="00C443FC">
              <w:rPr>
                <w:rFonts w:eastAsia="Calibri"/>
                <w:sz w:val="20"/>
                <w:szCs w:val="20"/>
                <w:lang w:eastAsia="en-US"/>
              </w:rPr>
              <w:t>-7 100</w:t>
            </w:r>
          </w:p>
        </w:tc>
      </w:tr>
      <w:tr w:rsidR="00C443FC" w:rsidRPr="00C443FC" w14:paraId="4293F7D5" w14:textId="77777777" w:rsidTr="00284BB1">
        <w:trPr>
          <w:jc w:val="center"/>
        </w:trPr>
        <w:tc>
          <w:tcPr>
            <w:tcW w:w="2806" w:type="dxa"/>
            <w:tcBorders>
              <w:left w:val="single" w:sz="4" w:space="0" w:color="auto"/>
              <w:right w:val="single" w:sz="4" w:space="0" w:color="auto"/>
            </w:tcBorders>
          </w:tcPr>
          <w:p w14:paraId="7EBD076A" w14:textId="77777777" w:rsidR="00C443FC" w:rsidRPr="00C443FC" w:rsidRDefault="00C443FC" w:rsidP="00C443FC">
            <w:pPr>
              <w:rPr>
                <w:rFonts w:eastAsia="Calibri"/>
                <w:b/>
                <w:sz w:val="20"/>
                <w:szCs w:val="20"/>
                <w:lang w:eastAsia="en-US"/>
              </w:rPr>
            </w:pPr>
            <w:r w:rsidRPr="00C443FC">
              <w:rPr>
                <w:rFonts w:eastAsia="Calibri"/>
                <w:b/>
                <w:sz w:val="20"/>
                <w:szCs w:val="20"/>
                <w:lang w:eastAsia="en-US"/>
              </w:rPr>
              <w:t>Cuenta Corriente</w:t>
            </w:r>
            <w:r w:rsidRPr="00C443FC">
              <w:rPr>
                <w:rFonts w:eastAsia="Calibri"/>
                <w:b/>
                <w:sz w:val="20"/>
                <w:szCs w:val="20"/>
                <w:u w:val="single"/>
                <w:vertAlign w:val="superscript"/>
                <w:lang w:eastAsia="en-US"/>
              </w:rPr>
              <w:t>1</w:t>
            </w:r>
            <w:r w:rsidRPr="00C443FC">
              <w:rPr>
                <w:rFonts w:eastAsia="Calibri"/>
                <w:b/>
                <w:sz w:val="20"/>
                <w:szCs w:val="20"/>
                <w:vertAlign w:val="superscript"/>
                <w:lang w:eastAsia="en-US"/>
              </w:rPr>
              <w:t>/</w:t>
            </w:r>
          </w:p>
        </w:tc>
        <w:tc>
          <w:tcPr>
            <w:tcW w:w="1161" w:type="dxa"/>
            <w:tcBorders>
              <w:left w:val="single" w:sz="4" w:space="0" w:color="auto"/>
              <w:right w:val="single" w:sz="4" w:space="0" w:color="auto"/>
            </w:tcBorders>
          </w:tcPr>
          <w:p w14:paraId="34D25CED" w14:textId="77777777" w:rsidR="00C443FC" w:rsidRPr="00C443FC" w:rsidRDefault="00C443FC" w:rsidP="00C443FC">
            <w:pPr>
              <w:ind w:left="-57" w:right="170"/>
              <w:jc w:val="right"/>
              <w:rPr>
                <w:rFonts w:eastAsia="Calibri"/>
                <w:sz w:val="20"/>
                <w:szCs w:val="20"/>
                <w:lang w:eastAsia="en-US"/>
              </w:rPr>
            </w:pPr>
          </w:p>
        </w:tc>
        <w:tc>
          <w:tcPr>
            <w:tcW w:w="1275" w:type="dxa"/>
            <w:tcBorders>
              <w:left w:val="single" w:sz="4" w:space="0" w:color="auto"/>
              <w:right w:val="single" w:sz="4" w:space="0" w:color="auto"/>
            </w:tcBorders>
          </w:tcPr>
          <w:p w14:paraId="0543CDD6" w14:textId="77777777" w:rsidR="00C443FC" w:rsidRPr="00C443FC" w:rsidRDefault="00C443FC" w:rsidP="00C443FC">
            <w:pPr>
              <w:ind w:left="-57" w:right="170"/>
              <w:jc w:val="right"/>
              <w:rPr>
                <w:rFonts w:eastAsia="Calibri"/>
                <w:sz w:val="20"/>
                <w:szCs w:val="20"/>
                <w:lang w:eastAsia="en-US"/>
              </w:rPr>
            </w:pPr>
          </w:p>
        </w:tc>
        <w:tc>
          <w:tcPr>
            <w:tcW w:w="1194" w:type="dxa"/>
            <w:tcBorders>
              <w:left w:val="single" w:sz="4" w:space="0" w:color="auto"/>
              <w:right w:val="single" w:sz="4" w:space="0" w:color="auto"/>
            </w:tcBorders>
          </w:tcPr>
          <w:p w14:paraId="153C4723" w14:textId="77777777" w:rsidR="00C443FC" w:rsidRPr="00C443FC" w:rsidRDefault="00C443FC" w:rsidP="00C443FC">
            <w:pPr>
              <w:ind w:left="-57" w:right="170"/>
              <w:jc w:val="right"/>
              <w:rPr>
                <w:rFonts w:eastAsia="Calibri"/>
                <w:sz w:val="20"/>
                <w:szCs w:val="20"/>
                <w:lang w:eastAsia="en-US"/>
              </w:rPr>
            </w:pPr>
          </w:p>
        </w:tc>
        <w:tc>
          <w:tcPr>
            <w:tcW w:w="1193" w:type="dxa"/>
            <w:tcBorders>
              <w:left w:val="single" w:sz="4" w:space="0" w:color="auto"/>
              <w:right w:val="single" w:sz="4" w:space="0" w:color="auto"/>
            </w:tcBorders>
          </w:tcPr>
          <w:p w14:paraId="4481CCA0" w14:textId="77777777" w:rsidR="00C443FC" w:rsidRPr="00C443FC" w:rsidRDefault="00C443FC" w:rsidP="00C443FC">
            <w:pPr>
              <w:ind w:left="-57" w:right="170"/>
              <w:jc w:val="right"/>
              <w:rPr>
                <w:rFonts w:eastAsia="Calibri"/>
                <w:sz w:val="20"/>
                <w:szCs w:val="20"/>
                <w:lang w:eastAsia="en-US"/>
              </w:rPr>
            </w:pPr>
          </w:p>
        </w:tc>
      </w:tr>
      <w:tr w:rsidR="00C443FC" w:rsidRPr="00C443FC" w14:paraId="485D4159" w14:textId="77777777" w:rsidTr="00284BB1">
        <w:trPr>
          <w:jc w:val="center"/>
        </w:trPr>
        <w:tc>
          <w:tcPr>
            <w:tcW w:w="2806" w:type="dxa"/>
            <w:tcBorders>
              <w:left w:val="single" w:sz="4" w:space="0" w:color="auto"/>
              <w:right w:val="single" w:sz="4" w:space="0" w:color="auto"/>
            </w:tcBorders>
          </w:tcPr>
          <w:p w14:paraId="41977AD3" w14:textId="77777777" w:rsidR="00C443FC" w:rsidRPr="00C443FC" w:rsidRDefault="00C443FC" w:rsidP="00C443FC">
            <w:pPr>
              <w:rPr>
                <w:rFonts w:eastAsia="Calibri"/>
                <w:sz w:val="20"/>
                <w:szCs w:val="20"/>
                <w:lang w:eastAsia="en-US"/>
              </w:rPr>
            </w:pPr>
            <w:r w:rsidRPr="00C443FC">
              <w:rPr>
                <w:rFonts w:eastAsia="Calibri"/>
                <w:sz w:val="20"/>
                <w:szCs w:val="20"/>
                <w:lang w:eastAsia="en-US"/>
              </w:rPr>
              <w:t xml:space="preserve">     Para 2015</w:t>
            </w:r>
          </w:p>
        </w:tc>
        <w:tc>
          <w:tcPr>
            <w:tcW w:w="1161" w:type="dxa"/>
            <w:tcBorders>
              <w:left w:val="single" w:sz="4" w:space="0" w:color="auto"/>
              <w:right w:val="single" w:sz="4" w:space="0" w:color="auto"/>
            </w:tcBorders>
          </w:tcPr>
          <w:p w14:paraId="6B4FBF53" w14:textId="77777777" w:rsidR="00C443FC" w:rsidRPr="00C443FC" w:rsidRDefault="00C443FC" w:rsidP="00C443FC">
            <w:pPr>
              <w:ind w:left="-57" w:right="170"/>
              <w:jc w:val="right"/>
              <w:rPr>
                <w:rFonts w:eastAsia="Calibri"/>
                <w:sz w:val="20"/>
                <w:szCs w:val="20"/>
                <w:lang w:eastAsia="en-US"/>
              </w:rPr>
            </w:pPr>
            <w:r w:rsidRPr="00C443FC">
              <w:rPr>
                <w:rFonts w:eastAsia="Calibri"/>
                <w:sz w:val="20"/>
                <w:szCs w:val="20"/>
                <w:lang w:eastAsia="en-US"/>
              </w:rPr>
              <w:t>-28 810</w:t>
            </w:r>
          </w:p>
        </w:tc>
        <w:tc>
          <w:tcPr>
            <w:tcW w:w="1275" w:type="dxa"/>
            <w:tcBorders>
              <w:left w:val="single" w:sz="4" w:space="0" w:color="auto"/>
              <w:right w:val="single" w:sz="4" w:space="0" w:color="auto"/>
            </w:tcBorders>
          </w:tcPr>
          <w:p w14:paraId="6D6BC8B6" w14:textId="77777777" w:rsidR="00C443FC" w:rsidRPr="00C443FC" w:rsidRDefault="00C443FC" w:rsidP="00C443FC">
            <w:pPr>
              <w:ind w:left="-57" w:right="170"/>
              <w:jc w:val="right"/>
              <w:rPr>
                <w:rFonts w:eastAsia="Calibri"/>
                <w:sz w:val="20"/>
                <w:szCs w:val="20"/>
                <w:lang w:eastAsia="en-US"/>
              </w:rPr>
            </w:pPr>
            <w:r w:rsidRPr="00C443FC">
              <w:rPr>
                <w:rFonts w:eastAsia="Calibri"/>
                <w:sz w:val="20"/>
                <w:szCs w:val="20"/>
                <w:lang w:eastAsia="en-US"/>
              </w:rPr>
              <w:t>-28 427</w:t>
            </w:r>
          </w:p>
        </w:tc>
        <w:tc>
          <w:tcPr>
            <w:tcW w:w="1194" w:type="dxa"/>
            <w:tcBorders>
              <w:left w:val="single" w:sz="4" w:space="0" w:color="auto"/>
              <w:right w:val="single" w:sz="4" w:space="0" w:color="auto"/>
            </w:tcBorders>
          </w:tcPr>
          <w:p w14:paraId="5AFFEE2B" w14:textId="77777777" w:rsidR="00C443FC" w:rsidRPr="00C443FC" w:rsidRDefault="00C443FC" w:rsidP="00C443FC">
            <w:pPr>
              <w:ind w:left="-57" w:right="170"/>
              <w:jc w:val="right"/>
              <w:rPr>
                <w:rFonts w:eastAsia="Calibri"/>
                <w:sz w:val="20"/>
                <w:szCs w:val="20"/>
                <w:lang w:eastAsia="en-US"/>
              </w:rPr>
            </w:pPr>
            <w:r w:rsidRPr="00C443FC">
              <w:rPr>
                <w:rFonts w:eastAsia="Calibri"/>
                <w:sz w:val="20"/>
                <w:szCs w:val="20"/>
                <w:lang w:eastAsia="en-US"/>
              </w:rPr>
              <w:t>-28 566</w:t>
            </w:r>
          </w:p>
        </w:tc>
        <w:tc>
          <w:tcPr>
            <w:tcW w:w="1193" w:type="dxa"/>
            <w:tcBorders>
              <w:left w:val="single" w:sz="4" w:space="0" w:color="auto"/>
              <w:right w:val="single" w:sz="4" w:space="0" w:color="auto"/>
            </w:tcBorders>
          </w:tcPr>
          <w:p w14:paraId="2760D1CC" w14:textId="77777777" w:rsidR="00C443FC" w:rsidRPr="00C443FC" w:rsidRDefault="00C443FC" w:rsidP="00C443FC">
            <w:pPr>
              <w:ind w:left="-57" w:right="170"/>
              <w:jc w:val="right"/>
              <w:rPr>
                <w:rFonts w:eastAsia="Calibri"/>
                <w:sz w:val="20"/>
                <w:szCs w:val="20"/>
                <w:lang w:eastAsia="en-US"/>
              </w:rPr>
            </w:pPr>
            <w:r w:rsidRPr="00C443FC">
              <w:rPr>
                <w:rFonts w:eastAsia="Calibri"/>
                <w:sz w:val="20"/>
                <w:szCs w:val="20"/>
                <w:lang w:eastAsia="en-US"/>
              </w:rPr>
              <w:t>-28 000</w:t>
            </w:r>
          </w:p>
        </w:tc>
      </w:tr>
      <w:tr w:rsidR="00C443FC" w:rsidRPr="00C443FC" w14:paraId="6B332136" w14:textId="77777777" w:rsidTr="00284BB1">
        <w:trPr>
          <w:jc w:val="center"/>
        </w:trPr>
        <w:tc>
          <w:tcPr>
            <w:tcW w:w="2806" w:type="dxa"/>
            <w:tcBorders>
              <w:left w:val="single" w:sz="4" w:space="0" w:color="auto"/>
              <w:right w:val="single" w:sz="4" w:space="0" w:color="auto"/>
            </w:tcBorders>
          </w:tcPr>
          <w:p w14:paraId="3CA0BCB0" w14:textId="77777777" w:rsidR="00C443FC" w:rsidRPr="00C443FC" w:rsidRDefault="00C443FC" w:rsidP="00C443FC">
            <w:pPr>
              <w:rPr>
                <w:rFonts w:eastAsia="Calibri"/>
                <w:b/>
                <w:sz w:val="20"/>
                <w:szCs w:val="20"/>
                <w:lang w:eastAsia="en-US"/>
              </w:rPr>
            </w:pPr>
            <w:r w:rsidRPr="00C443FC">
              <w:rPr>
                <w:rFonts w:eastAsia="Calibri"/>
                <w:sz w:val="20"/>
                <w:szCs w:val="20"/>
                <w:lang w:eastAsia="en-US"/>
              </w:rPr>
              <w:t xml:space="preserve">     Para 2016</w:t>
            </w:r>
          </w:p>
        </w:tc>
        <w:tc>
          <w:tcPr>
            <w:tcW w:w="1161" w:type="dxa"/>
            <w:tcBorders>
              <w:left w:val="single" w:sz="4" w:space="0" w:color="auto"/>
              <w:right w:val="single" w:sz="4" w:space="0" w:color="auto"/>
            </w:tcBorders>
          </w:tcPr>
          <w:p w14:paraId="7D737F1B" w14:textId="77777777" w:rsidR="00C443FC" w:rsidRPr="00C443FC" w:rsidRDefault="00C443FC" w:rsidP="00C443FC">
            <w:pPr>
              <w:ind w:left="-57" w:right="170"/>
              <w:jc w:val="right"/>
              <w:rPr>
                <w:rFonts w:eastAsia="Calibri"/>
                <w:sz w:val="20"/>
                <w:szCs w:val="20"/>
                <w:lang w:eastAsia="en-US"/>
              </w:rPr>
            </w:pPr>
            <w:r w:rsidRPr="00C443FC">
              <w:rPr>
                <w:rFonts w:eastAsia="Calibri"/>
                <w:sz w:val="20"/>
                <w:szCs w:val="20"/>
                <w:lang w:eastAsia="en-US"/>
              </w:rPr>
              <w:t>-30 986</w:t>
            </w:r>
          </w:p>
        </w:tc>
        <w:tc>
          <w:tcPr>
            <w:tcW w:w="1275" w:type="dxa"/>
            <w:tcBorders>
              <w:left w:val="single" w:sz="4" w:space="0" w:color="auto"/>
              <w:right w:val="single" w:sz="4" w:space="0" w:color="auto"/>
            </w:tcBorders>
          </w:tcPr>
          <w:p w14:paraId="52E02079" w14:textId="77777777" w:rsidR="00C443FC" w:rsidRPr="00C443FC" w:rsidRDefault="00C443FC" w:rsidP="00C443FC">
            <w:pPr>
              <w:ind w:left="-57" w:right="170"/>
              <w:jc w:val="right"/>
              <w:rPr>
                <w:rFonts w:eastAsia="Calibri"/>
                <w:sz w:val="20"/>
                <w:szCs w:val="20"/>
                <w:lang w:eastAsia="en-US"/>
              </w:rPr>
            </w:pPr>
            <w:r w:rsidRPr="00C443FC">
              <w:rPr>
                <w:rFonts w:eastAsia="Calibri"/>
                <w:sz w:val="20"/>
                <w:szCs w:val="20"/>
                <w:lang w:eastAsia="en-US"/>
              </w:rPr>
              <w:t>-30 908</w:t>
            </w:r>
          </w:p>
        </w:tc>
        <w:tc>
          <w:tcPr>
            <w:tcW w:w="1194" w:type="dxa"/>
            <w:tcBorders>
              <w:left w:val="single" w:sz="4" w:space="0" w:color="auto"/>
              <w:right w:val="single" w:sz="4" w:space="0" w:color="auto"/>
            </w:tcBorders>
          </w:tcPr>
          <w:p w14:paraId="7B4AB0EC" w14:textId="77777777" w:rsidR="00C443FC" w:rsidRPr="00C443FC" w:rsidRDefault="00C443FC" w:rsidP="00C443FC">
            <w:pPr>
              <w:ind w:left="-57" w:right="170"/>
              <w:jc w:val="right"/>
              <w:rPr>
                <w:rFonts w:eastAsia="Calibri"/>
                <w:sz w:val="20"/>
                <w:szCs w:val="20"/>
                <w:lang w:eastAsia="en-US"/>
              </w:rPr>
            </w:pPr>
            <w:r w:rsidRPr="00C443FC">
              <w:rPr>
                <w:rFonts w:eastAsia="Calibri"/>
                <w:sz w:val="20"/>
                <w:szCs w:val="20"/>
                <w:lang w:eastAsia="en-US"/>
              </w:rPr>
              <w:t>-30 950</w:t>
            </w:r>
          </w:p>
        </w:tc>
        <w:tc>
          <w:tcPr>
            <w:tcW w:w="1193" w:type="dxa"/>
            <w:tcBorders>
              <w:left w:val="single" w:sz="4" w:space="0" w:color="auto"/>
              <w:right w:val="single" w:sz="4" w:space="0" w:color="auto"/>
            </w:tcBorders>
          </w:tcPr>
          <w:p w14:paraId="7B724E4F" w14:textId="77777777" w:rsidR="00C443FC" w:rsidRPr="00C443FC" w:rsidRDefault="00C443FC" w:rsidP="00C443FC">
            <w:pPr>
              <w:ind w:left="-57" w:right="170"/>
              <w:jc w:val="right"/>
              <w:rPr>
                <w:rFonts w:eastAsia="Calibri"/>
                <w:sz w:val="20"/>
                <w:szCs w:val="20"/>
                <w:lang w:eastAsia="en-US"/>
              </w:rPr>
            </w:pPr>
            <w:r w:rsidRPr="00C443FC">
              <w:rPr>
                <w:rFonts w:eastAsia="Calibri"/>
                <w:sz w:val="20"/>
                <w:szCs w:val="20"/>
                <w:lang w:eastAsia="en-US"/>
              </w:rPr>
              <w:t>-30 450</w:t>
            </w:r>
          </w:p>
        </w:tc>
      </w:tr>
      <w:tr w:rsidR="00C443FC" w:rsidRPr="00C443FC" w14:paraId="6EB31CFB" w14:textId="77777777" w:rsidTr="00284BB1">
        <w:trPr>
          <w:jc w:val="center"/>
        </w:trPr>
        <w:tc>
          <w:tcPr>
            <w:tcW w:w="2806" w:type="dxa"/>
            <w:tcBorders>
              <w:left w:val="single" w:sz="4" w:space="0" w:color="auto"/>
              <w:right w:val="single" w:sz="4" w:space="0" w:color="auto"/>
            </w:tcBorders>
          </w:tcPr>
          <w:p w14:paraId="238DFFD7" w14:textId="77777777" w:rsidR="00C443FC" w:rsidRPr="00C443FC" w:rsidRDefault="00C443FC" w:rsidP="00C443FC">
            <w:pPr>
              <w:rPr>
                <w:rFonts w:eastAsia="Calibri"/>
                <w:b/>
                <w:sz w:val="20"/>
                <w:szCs w:val="20"/>
                <w:lang w:eastAsia="en-US"/>
              </w:rPr>
            </w:pPr>
            <w:r w:rsidRPr="00C443FC">
              <w:rPr>
                <w:rFonts w:eastAsia="Calibri"/>
                <w:b/>
                <w:sz w:val="20"/>
                <w:szCs w:val="20"/>
                <w:lang w:eastAsia="en-US"/>
              </w:rPr>
              <w:t>Inversión Extranjera Directa</w:t>
            </w:r>
          </w:p>
        </w:tc>
        <w:tc>
          <w:tcPr>
            <w:tcW w:w="1161" w:type="dxa"/>
            <w:tcBorders>
              <w:left w:val="single" w:sz="4" w:space="0" w:color="auto"/>
              <w:right w:val="single" w:sz="4" w:space="0" w:color="auto"/>
            </w:tcBorders>
          </w:tcPr>
          <w:p w14:paraId="199CB240" w14:textId="77777777" w:rsidR="00C443FC" w:rsidRPr="00C443FC" w:rsidRDefault="00C443FC" w:rsidP="00C443FC">
            <w:pPr>
              <w:ind w:left="-57" w:right="170"/>
              <w:jc w:val="right"/>
              <w:rPr>
                <w:rFonts w:eastAsia="Calibri"/>
                <w:sz w:val="20"/>
                <w:szCs w:val="20"/>
                <w:lang w:eastAsia="en-US"/>
              </w:rPr>
            </w:pPr>
          </w:p>
        </w:tc>
        <w:tc>
          <w:tcPr>
            <w:tcW w:w="1275" w:type="dxa"/>
            <w:tcBorders>
              <w:left w:val="single" w:sz="4" w:space="0" w:color="auto"/>
              <w:right w:val="single" w:sz="4" w:space="0" w:color="auto"/>
            </w:tcBorders>
          </w:tcPr>
          <w:p w14:paraId="2B6EFE3E" w14:textId="77777777" w:rsidR="00C443FC" w:rsidRPr="00C443FC" w:rsidRDefault="00C443FC" w:rsidP="00C443FC">
            <w:pPr>
              <w:ind w:left="-57" w:right="170"/>
              <w:jc w:val="right"/>
              <w:rPr>
                <w:rFonts w:eastAsia="Calibri"/>
                <w:sz w:val="20"/>
                <w:szCs w:val="20"/>
                <w:lang w:eastAsia="en-US"/>
              </w:rPr>
            </w:pPr>
          </w:p>
        </w:tc>
        <w:tc>
          <w:tcPr>
            <w:tcW w:w="1194" w:type="dxa"/>
            <w:tcBorders>
              <w:left w:val="single" w:sz="4" w:space="0" w:color="auto"/>
              <w:right w:val="single" w:sz="4" w:space="0" w:color="auto"/>
            </w:tcBorders>
          </w:tcPr>
          <w:p w14:paraId="5C1C64D1" w14:textId="77777777" w:rsidR="00C443FC" w:rsidRPr="00C443FC" w:rsidRDefault="00C443FC" w:rsidP="00C443FC">
            <w:pPr>
              <w:ind w:left="-57" w:right="170"/>
              <w:jc w:val="right"/>
              <w:rPr>
                <w:rFonts w:eastAsia="Calibri"/>
                <w:sz w:val="20"/>
                <w:szCs w:val="20"/>
                <w:lang w:eastAsia="en-US"/>
              </w:rPr>
            </w:pPr>
          </w:p>
        </w:tc>
        <w:tc>
          <w:tcPr>
            <w:tcW w:w="1193" w:type="dxa"/>
            <w:tcBorders>
              <w:left w:val="single" w:sz="4" w:space="0" w:color="auto"/>
              <w:right w:val="single" w:sz="4" w:space="0" w:color="auto"/>
            </w:tcBorders>
          </w:tcPr>
          <w:p w14:paraId="48548D07" w14:textId="77777777" w:rsidR="00C443FC" w:rsidRPr="00C443FC" w:rsidRDefault="00C443FC" w:rsidP="00C443FC">
            <w:pPr>
              <w:ind w:left="-57" w:right="170"/>
              <w:jc w:val="right"/>
              <w:rPr>
                <w:rFonts w:eastAsia="Calibri"/>
                <w:sz w:val="20"/>
                <w:szCs w:val="20"/>
                <w:lang w:eastAsia="en-US"/>
              </w:rPr>
            </w:pPr>
          </w:p>
        </w:tc>
      </w:tr>
      <w:tr w:rsidR="00C443FC" w:rsidRPr="00C443FC" w14:paraId="1567427C" w14:textId="77777777" w:rsidTr="00284BB1">
        <w:trPr>
          <w:jc w:val="center"/>
        </w:trPr>
        <w:tc>
          <w:tcPr>
            <w:tcW w:w="2806" w:type="dxa"/>
            <w:tcBorders>
              <w:left w:val="single" w:sz="4" w:space="0" w:color="auto"/>
              <w:right w:val="single" w:sz="4" w:space="0" w:color="auto"/>
            </w:tcBorders>
          </w:tcPr>
          <w:p w14:paraId="686BC869" w14:textId="77777777" w:rsidR="00C443FC" w:rsidRPr="00C443FC" w:rsidRDefault="00C443FC" w:rsidP="00C443FC">
            <w:pPr>
              <w:rPr>
                <w:rFonts w:eastAsia="Calibri"/>
                <w:sz w:val="20"/>
                <w:szCs w:val="20"/>
                <w:lang w:eastAsia="en-US"/>
              </w:rPr>
            </w:pPr>
            <w:r w:rsidRPr="00C443FC">
              <w:rPr>
                <w:rFonts w:eastAsia="Calibri"/>
                <w:sz w:val="20"/>
                <w:szCs w:val="20"/>
                <w:lang w:eastAsia="en-US"/>
              </w:rPr>
              <w:t xml:space="preserve">     Para 2015</w:t>
            </w:r>
          </w:p>
        </w:tc>
        <w:tc>
          <w:tcPr>
            <w:tcW w:w="1161" w:type="dxa"/>
            <w:tcBorders>
              <w:left w:val="single" w:sz="4" w:space="0" w:color="auto"/>
              <w:right w:val="single" w:sz="4" w:space="0" w:color="auto"/>
            </w:tcBorders>
          </w:tcPr>
          <w:p w14:paraId="09F44E79" w14:textId="77777777" w:rsidR="00C443FC" w:rsidRPr="00C443FC" w:rsidRDefault="00C443FC" w:rsidP="00C443FC">
            <w:pPr>
              <w:ind w:left="-57" w:right="170"/>
              <w:jc w:val="right"/>
              <w:rPr>
                <w:rFonts w:eastAsia="Calibri"/>
                <w:sz w:val="20"/>
                <w:szCs w:val="20"/>
                <w:lang w:eastAsia="en-US"/>
              </w:rPr>
            </w:pPr>
            <w:r w:rsidRPr="00C443FC">
              <w:rPr>
                <w:rFonts w:eastAsia="Calibri"/>
                <w:sz w:val="20"/>
                <w:szCs w:val="20"/>
                <w:lang w:eastAsia="en-US"/>
              </w:rPr>
              <w:t>27 247</w:t>
            </w:r>
          </w:p>
        </w:tc>
        <w:tc>
          <w:tcPr>
            <w:tcW w:w="1275" w:type="dxa"/>
            <w:tcBorders>
              <w:left w:val="single" w:sz="4" w:space="0" w:color="auto"/>
              <w:right w:val="single" w:sz="4" w:space="0" w:color="auto"/>
            </w:tcBorders>
          </w:tcPr>
          <w:p w14:paraId="7C7321C3" w14:textId="77777777" w:rsidR="00C443FC" w:rsidRPr="00C443FC" w:rsidRDefault="00C443FC" w:rsidP="00C443FC">
            <w:pPr>
              <w:ind w:left="-57" w:right="170"/>
              <w:jc w:val="right"/>
              <w:rPr>
                <w:rFonts w:eastAsia="Calibri"/>
                <w:sz w:val="20"/>
                <w:szCs w:val="20"/>
                <w:lang w:eastAsia="en-US"/>
              </w:rPr>
            </w:pPr>
            <w:r w:rsidRPr="00C443FC">
              <w:rPr>
                <w:rFonts w:eastAsia="Calibri"/>
                <w:sz w:val="20"/>
                <w:szCs w:val="20"/>
                <w:lang w:eastAsia="en-US"/>
              </w:rPr>
              <w:t>25 639</w:t>
            </w:r>
          </w:p>
        </w:tc>
        <w:tc>
          <w:tcPr>
            <w:tcW w:w="1194" w:type="dxa"/>
            <w:tcBorders>
              <w:left w:val="single" w:sz="4" w:space="0" w:color="auto"/>
              <w:right w:val="single" w:sz="4" w:space="0" w:color="auto"/>
            </w:tcBorders>
          </w:tcPr>
          <w:p w14:paraId="67E343AD" w14:textId="77777777" w:rsidR="00C443FC" w:rsidRPr="00C443FC" w:rsidRDefault="00C443FC" w:rsidP="00C443FC">
            <w:pPr>
              <w:ind w:left="-57" w:right="170"/>
              <w:jc w:val="right"/>
              <w:rPr>
                <w:rFonts w:eastAsia="Calibri"/>
                <w:sz w:val="20"/>
                <w:szCs w:val="20"/>
                <w:lang w:eastAsia="en-US"/>
              </w:rPr>
            </w:pPr>
            <w:r w:rsidRPr="00C443FC">
              <w:rPr>
                <w:rFonts w:eastAsia="Calibri"/>
                <w:sz w:val="20"/>
                <w:szCs w:val="20"/>
                <w:lang w:eastAsia="en-US"/>
              </w:rPr>
              <w:t>27 000</w:t>
            </w:r>
          </w:p>
        </w:tc>
        <w:tc>
          <w:tcPr>
            <w:tcW w:w="1193" w:type="dxa"/>
            <w:tcBorders>
              <w:left w:val="single" w:sz="4" w:space="0" w:color="auto"/>
              <w:right w:val="single" w:sz="4" w:space="0" w:color="auto"/>
            </w:tcBorders>
          </w:tcPr>
          <w:p w14:paraId="14A83E35" w14:textId="77777777" w:rsidR="00C443FC" w:rsidRPr="00C443FC" w:rsidRDefault="00C443FC" w:rsidP="00C443FC">
            <w:pPr>
              <w:ind w:left="-57" w:right="170"/>
              <w:jc w:val="right"/>
              <w:rPr>
                <w:rFonts w:eastAsia="Calibri"/>
                <w:sz w:val="20"/>
                <w:szCs w:val="20"/>
                <w:lang w:eastAsia="en-US"/>
              </w:rPr>
            </w:pPr>
            <w:r w:rsidRPr="00C443FC">
              <w:rPr>
                <w:rFonts w:eastAsia="Calibri"/>
                <w:sz w:val="20"/>
                <w:szCs w:val="20"/>
                <w:lang w:eastAsia="en-US"/>
              </w:rPr>
              <w:t>25 150</w:t>
            </w:r>
          </w:p>
        </w:tc>
      </w:tr>
      <w:tr w:rsidR="00C443FC" w:rsidRPr="00C443FC" w14:paraId="35771579" w14:textId="77777777" w:rsidTr="00284BB1">
        <w:trPr>
          <w:jc w:val="center"/>
        </w:trPr>
        <w:tc>
          <w:tcPr>
            <w:tcW w:w="2806" w:type="dxa"/>
            <w:tcBorders>
              <w:left w:val="single" w:sz="4" w:space="0" w:color="auto"/>
              <w:bottom w:val="single" w:sz="4" w:space="0" w:color="auto"/>
              <w:right w:val="single" w:sz="4" w:space="0" w:color="auto"/>
            </w:tcBorders>
          </w:tcPr>
          <w:p w14:paraId="356E509C" w14:textId="77777777" w:rsidR="00C443FC" w:rsidRPr="00C443FC" w:rsidRDefault="00C443FC" w:rsidP="00C443FC">
            <w:pPr>
              <w:rPr>
                <w:rFonts w:eastAsia="Calibri"/>
                <w:sz w:val="20"/>
                <w:szCs w:val="20"/>
                <w:lang w:eastAsia="en-US"/>
              </w:rPr>
            </w:pPr>
            <w:r w:rsidRPr="00C443FC">
              <w:rPr>
                <w:rFonts w:eastAsia="Calibri"/>
                <w:sz w:val="20"/>
                <w:szCs w:val="20"/>
                <w:lang w:eastAsia="en-US"/>
              </w:rPr>
              <w:t xml:space="preserve">     Para 2016</w:t>
            </w:r>
          </w:p>
        </w:tc>
        <w:tc>
          <w:tcPr>
            <w:tcW w:w="1161" w:type="dxa"/>
            <w:tcBorders>
              <w:left w:val="single" w:sz="4" w:space="0" w:color="auto"/>
              <w:bottom w:val="single" w:sz="4" w:space="0" w:color="auto"/>
              <w:right w:val="single" w:sz="4" w:space="0" w:color="auto"/>
            </w:tcBorders>
          </w:tcPr>
          <w:p w14:paraId="64174809" w14:textId="77777777" w:rsidR="00C443FC" w:rsidRPr="00C443FC" w:rsidRDefault="00C443FC" w:rsidP="00C443FC">
            <w:pPr>
              <w:ind w:left="-57" w:right="170"/>
              <w:jc w:val="right"/>
              <w:rPr>
                <w:rFonts w:eastAsia="Calibri"/>
                <w:sz w:val="20"/>
                <w:szCs w:val="20"/>
                <w:lang w:eastAsia="en-US"/>
              </w:rPr>
            </w:pPr>
            <w:r w:rsidRPr="00C443FC">
              <w:rPr>
                <w:rFonts w:eastAsia="Calibri"/>
                <w:sz w:val="20"/>
                <w:szCs w:val="20"/>
                <w:lang w:eastAsia="en-US"/>
              </w:rPr>
              <w:t>30 197</w:t>
            </w:r>
          </w:p>
        </w:tc>
        <w:tc>
          <w:tcPr>
            <w:tcW w:w="1275" w:type="dxa"/>
            <w:tcBorders>
              <w:left w:val="single" w:sz="4" w:space="0" w:color="auto"/>
              <w:bottom w:val="single" w:sz="4" w:space="0" w:color="auto"/>
              <w:right w:val="single" w:sz="4" w:space="0" w:color="auto"/>
            </w:tcBorders>
          </w:tcPr>
          <w:p w14:paraId="6C337987" w14:textId="77777777" w:rsidR="00C443FC" w:rsidRPr="00C443FC" w:rsidRDefault="00C443FC" w:rsidP="00C443FC">
            <w:pPr>
              <w:ind w:left="-57" w:right="170"/>
              <w:jc w:val="right"/>
              <w:rPr>
                <w:rFonts w:eastAsia="Calibri"/>
                <w:sz w:val="20"/>
                <w:szCs w:val="20"/>
                <w:lang w:eastAsia="en-US"/>
              </w:rPr>
            </w:pPr>
            <w:r w:rsidRPr="00C443FC">
              <w:rPr>
                <w:rFonts w:eastAsia="Calibri"/>
                <w:sz w:val="20"/>
                <w:szCs w:val="20"/>
                <w:lang w:eastAsia="en-US"/>
              </w:rPr>
              <w:t>29 439</w:t>
            </w:r>
          </w:p>
        </w:tc>
        <w:tc>
          <w:tcPr>
            <w:tcW w:w="1194" w:type="dxa"/>
            <w:tcBorders>
              <w:left w:val="single" w:sz="4" w:space="0" w:color="auto"/>
              <w:bottom w:val="single" w:sz="4" w:space="0" w:color="auto"/>
              <w:right w:val="single" w:sz="4" w:space="0" w:color="auto"/>
            </w:tcBorders>
          </w:tcPr>
          <w:p w14:paraId="0DCA1E57" w14:textId="77777777" w:rsidR="00C443FC" w:rsidRPr="00C443FC" w:rsidRDefault="00C443FC" w:rsidP="00C443FC">
            <w:pPr>
              <w:ind w:left="-57" w:right="170"/>
              <w:jc w:val="right"/>
              <w:rPr>
                <w:rFonts w:eastAsia="Calibri"/>
                <w:sz w:val="20"/>
                <w:szCs w:val="20"/>
                <w:lang w:eastAsia="en-US"/>
              </w:rPr>
            </w:pPr>
            <w:r w:rsidRPr="00C443FC">
              <w:rPr>
                <w:rFonts w:eastAsia="Calibri"/>
                <w:sz w:val="20"/>
                <w:szCs w:val="20"/>
                <w:lang w:eastAsia="en-US"/>
              </w:rPr>
              <w:t>30 000</w:t>
            </w:r>
          </w:p>
        </w:tc>
        <w:tc>
          <w:tcPr>
            <w:tcW w:w="1193" w:type="dxa"/>
            <w:tcBorders>
              <w:left w:val="single" w:sz="4" w:space="0" w:color="auto"/>
              <w:bottom w:val="single" w:sz="4" w:space="0" w:color="auto"/>
              <w:right w:val="single" w:sz="4" w:space="0" w:color="auto"/>
            </w:tcBorders>
          </w:tcPr>
          <w:p w14:paraId="1DFAB178" w14:textId="77777777" w:rsidR="00C443FC" w:rsidRPr="00C443FC" w:rsidRDefault="00C443FC" w:rsidP="00C443FC">
            <w:pPr>
              <w:ind w:left="-57" w:right="170"/>
              <w:jc w:val="right"/>
              <w:rPr>
                <w:rFonts w:eastAsia="Calibri"/>
                <w:sz w:val="20"/>
                <w:szCs w:val="20"/>
                <w:lang w:eastAsia="en-US"/>
              </w:rPr>
            </w:pPr>
            <w:r w:rsidRPr="00C443FC">
              <w:rPr>
                <w:rFonts w:eastAsia="Calibri"/>
                <w:sz w:val="20"/>
                <w:szCs w:val="20"/>
                <w:lang w:eastAsia="en-US"/>
              </w:rPr>
              <w:t>30 000</w:t>
            </w:r>
          </w:p>
        </w:tc>
      </w:tr>
      <w:tr w:rsidR="00C443FC" w:rsidRPr="00C443FC" w14:paraId="4F526CB0" w14:textId="77777777" w:rsidTr="00284BB1">
        <w:trPr>
          <w:jc w:val="center"/>
        </w:trPr>
        <w:tc>
          <w:tcPr>
            <w:tcW w:w="7629" w:type="dxa"/>
            <w:gridSpan w:val="5"/>
            <w:tcBorders>
              <w:top w:val="single" w:sz="4" w:space="0" w:color="auto"/>
              <w:left w:val="nil"/>
              <w:bottom w:val="nil"/>
              <w:right w:val="nil"/>
            </w:tcBorders>
          </w:tcPr>
          <w:p w14:paraId="347F845F" w14:textId="77777777" w:rsidR="00C443FC" w:rsidRPr="00C443FC" w:rsidRDefault="00C443FC" w:rsidP="00C443FC">
            <w:pPr>
              <w:ind w:left="-57" w:right="57"/>
              <w:jc w:val="both"/>
              <w:rPr>
                <w:rFonts w:eastAsia="Calibri"/>
                <w:sz w:val="20"/>
                <w:szCs w:val="20"/>
                <w:lang w:eastAsia="en-US"/>
              </w:rPr>
            </w:pPr>
            <w:r w:rsidRPr="00C443FC">
              <w:rPr>
                <w:rFonts w:eastAsia="Calibri"/>
                <w:sz w:val="20"/>
                <w:szCs w:val="20"/>
                <w:u w:val="single"/>
                <w:lang w:eastAsia="en-US"/>
              </w:rPr>
              <w:t>1</w:t>
            </w:r>
            <w:r w:rsidRPr="00C443FC">
              <w:rPr>
                <w:rFonts w:eastAsia="Calibri"/>
                <w:sz w:val="20"/>
                <w:szCs w:val="20"/>
                <w:lang w:eastAsia="en-US"/>
              </w:rPr>
              <w:t>/ Signo negativo significa déficit y signo positivo, superávit.</w:t>
            </w:r>
          </w:p>
          <w:p w14:paraId="1B05F9F2" w14:textId="77777777" w:rsidR="00C443FC" w:rsidRPr="00C443FC" w:rsidRDefault="00C443FC" w:rsidP="00C443FC">
            <w:pPr>
              <w:ind w:left="-57" w:right="57"/>
              <w:jc w:val="both"/>
              <w:rPr>
                <w:rFonts w:eastAsia="Calibri"/>
                <w:sz w:val="20"/>
                <w:szCs w:val="20"/>
                <w:lang w:eastAsia="en-US"/>
              </w:rPr>
            </w:pPr>
            <w:r w:rsidRPr="00C443FC">
              <w:rPr>
                <w:rFonts w:eastAsia="Calibri"/>
                <w:sz w:val="20"/>
                <w:szCs w:val="20"/>
                <w:lang w:eastAsia="en-US"/>
              </w:rPr>
              <w:t>FUENTE: Banco de México.</w:t>
            </w:r>
          </w:p>
        </w:tc>
      </w:tr>
    </w:tbl>
    <w:p w14:paraId="2820897C" w14:textId="77777777" w:rsidR="00C443FC" w:rsidRPr="00C443FC" w:rsidRDefault="00C443FC" w:rsidP="00C443FC">
      <w:pPr>
        <w:spacing w:after="360" w:line="360" w:lineRule="auto"/>
        <w:ind w:right="-159"/>
        <w:jc w:val="both"/>
        <w:rPr>
          <w:rFonts w:eastAsia="Calibri"/>
          <w:sz w:val="26"/>
          <w:szCs w:val="26"/>
          <w:lang w:eastAsia="en-US"/>
        </w:rPr>
      </w:pPr>
    </w:p>
    <w:p w14:paraId="50FE8BBB" w14:textId="7EA70074" w:rsidR="00D27C30" w:rsidRPr="00D27C30" w:rsidRDefault="00D27C30" w:rsidP="00D27C30">
      <w:pPr>
        <w:spacing w:after="160" w:line="259" w:lineRule="auto"/>
        <w:jc w:val="center"/>
        <w:rPr>
          <w:rFonts w:ascii="Calibri" w:eastAsia="Calibri" w:hAnsi="Calibri"/>
          <w:sz w:val="22"/>
          <w:szCs w:val="22"/>
          <w:lang w:eastAsia="en-US"/>
        </w:rPr>
      </w:pPr>
      <w:r w:rsidRPr="00D27C30">
        <w:rPr>
          <w:rFonts w:ascii="Calibri" w:eastAsia="Calibri" w:hAnsi="Calibri"/>
          <w:sz w:val="22"/>
          <w:szCs w:val="22"/>
          <w:lang w:eastAsia="en-US"/>
        </w:rPr>
        <w:lastRenderedPageBreak/>
        <w:fldChar w:fldCharType="begin"/>
      </w:r>
      <w:r w:rsidRPr="00D27C30">
        <w:rPr>
          <w:rFonts w:ascii="Calibri" w:eastAsia="Calibri" w:hAnsi="Calibri"/>
          <w:sz w:val="22"/>
          <w:szCs w:val="22"/>
          <w:lang w:eastAsia="en-US"/>
        </w:rPr>
        <w:instrText xml:space="preserve"> LINK PowerPoint.Slide.8 "D:\\2015\\MARZO 2014\\GRÁFICAS EN POWER POINT\\14.-GRÁFICAS DE EXPECTATIVAS II.pptx!579" "" \a \p </w:instrText>
      </w:r>
      <w:r w:rsidRPr="00D27C30">
        <w:rPr>
          <w:rFonts w:ascii="Calibri" w:eastAsia="Calibri" w:hAnsi="Calibri"/>
          <w:sz w:val="22"/>
          <w:szCs w:val="22"/>
          <w:lang w:eastAsia="en-US"/>
        </w:rPr>
        <w:fldChar w:fldCharType="separate"/>
      </w:r>
      <w:r w:rsidRPr="00D27C30">
        <w:rPr>
          <w:rFonts w:ascii="Calibri" w:eastAsia="Calibri" w:hAnsi="Calibri"/>
          <w:noProof/>
          <w:sz w:val="22"/>
          <w:szCs w:val="22"/>
          <w:lang w:eastAsia="es-MX"/>
        </w:rPr>
        <w:drawing>
          <wp:inline distT="0" distB="0" distL="0" distR="0" wp14:anchorId="33E13482" wp14:editId="59F3F265">
            <wp:extent cx="4244340" cy="3157220"/>
            <wp:effectExtent l="0" t="0" r="3810" b="5080"/>
            <wp:docPr id="141"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62"/>
                    <pic:cNvPicPr>
                      <a:picLocks noChangeAspect="1" noChangeArrowheads="1"/>
                    </pic:cNvPicPr>
                  </pic:nvPicPr>
                  <pic:blipFill>
                    <a:blip r:embed="rId276" cstate="print">
                      <a:extLst>
                        <a:ext uri="{28A0092B-C50C-407E-A947-70E740481C1C}">
                          <a14:useLocalDpi xmlns:a14="http://schemas.microsoft.com/office/drawing/2010/main" val="0"/>
                        </a:ext>
                      </a:extLst>
                    </a:blip>
                    <a:srcRect l="5138" r="1866" b="7751"/>
                    <a:stretch>
                      <a:fillRect/>
                    </a:stretch>
                  </pic:blipFill>
                  <pic:spPr bwMode="auto">
                    <a:xfrm>
                      <a:off x="0" y="0"/>
                      <a:ext cx="4244340" cy="3157220"/>
                    </a:xfrm>
                    <a:prstGeom prst="rect">
                      <a:avLst/>
                    </a:prstGeom>
                    <a:noFill/>
                    <a:ln>
                      <a:noFill/>
                    </a:ln>
                  </pic:spPr>
                </pic:pic>
              </a:graphicData>
            </a:graphic>
          </wp:inline>
        </w:drawing>
      </w:r>
      <w:r w:rsidRPr="00D27C30">
        <w:rPr>
          <w:rFonts w:ascii="Calibri" w:eastAsia="Calibri" w:hAnsi="Calibri"/>
          <w:sz w:val="22"/>
          <w:szCs w:val="22"/>
          <w:lang w:eastAsia="en-US"/>
        </w:rPr>
        <w:fldChar w:fldCharType="end"/>
      </w:r>
    </w:p>
    <w:p w14:paraId="50436105" w14:textId="77777777" w:rsidR="00D27C30" w:rsidRPr="00D27C30" w:rsidRDefault="00D27C30" w:rsidP="00D27C30">
      <w:pPr>
        <w:spacing w:after="160" w:line="259" w:lineRule="auto"/>
        <w:jc w:val="center"/>
        <w:rPr>
          <w:rFonts w:ascii="Calibri" w:eastAsia="Calibri" w:hAnsi="Calibri"/>
          <w:sz w:val="22"/>
          <w:szCs w:val="22"/>
          <w:lang w:eastAsia="en-US"/>
        </w:rPr>
      </w:pPr>
    </w:p>
    <w:p w14:paraId="43EDDFB9" w14:textId="05357CDB" w:rsidR="00D27C30" w:rsidRPr="00D27C30" w:rsidRDefault="00D27C30" w:rsidP="00D27C30">
      <w:pPr>
        <w:spacing w:after="160" w:line="259" w:lineRule="auto"/>
        <w:jc w:val="center"/>
        <w:rPr>
          <w:rFonts w:ascii="Calibri" w:eastAsia="Calibri" w:hAnsi="Calibri"/>
          <w:sz w:val="22"/>
          <w:szCs w:val="22"/>
          <w:lang w:eastAsia="en-US"/>
        </w:rPr>
      </w:pPr>
      <w:r w:rsidRPr="00D27C30">
        <w:rPr>
          <w:rFonts w:ascii="Calibri" w:eastAsia="Calibri" w:hAnsi="Calibri"/>
          <w:sz w:val="22"/>
          <w:szCs w:val="22"/>
          <w:lang w:eastAsia="en-US"/>
        </w:rPr>
        <w:fldChar w:fldCharType="begin"/>
      </w:r>
      <w:r w:rsidRPr="00D27C30">
        <w:rPr>
          <w:rFonts w:ascii="Calibri" w:eastAsia="Calibri" w:hAnsi="Calibri"/>
          <w:sz w:val="22"/>
          <w:szCs w:val="22"/>
          <w:lang w:eastAsia="en-US"/>
        </w:rPr>
        <w:instrText xml:space="preserve"> LINK PowerPoint.Slide.8 "D:\\2015\\MARZO 2014\\GRÁFICAS EN POWER POINT\\14.-GRÁFICAS DE EXPECTATIVAS II.pptx!608" "" \a \p </w:instrText>
      </w:r>
      <w:r w:rsidRPr="00D27C30">
        <w:rPr>
          <w:rFonts w:ascii="Calibri" w:eastAsia="Calibri" w:hAnsi="Calibri"/>
          <w:sz w:val="22"/>
          <w:szCs w:val="22"/>
          <w:lang w:eastAsia="en-US"/>
        </w:rPr>
        <w:fldChar w:fldCharType="separate"/>
      </w:r>
      <w:r w:rsidRPr="00D27C30">
        <w:rPr>
          <w:rFonts w:ascii="Calibri" w:eastAsia="Calibri" w:hAnsi="Calibri"/>
          <w:noProof/>
          <w:sz w:val="22"/>
          <w:szCs w:val="22"/>
          <w:lang w:eastAsia="es-MX"/>
        </w:rPr>
        <w:drawing>
          <wp:inline distT="0" distB="0" distL="0" distR="0" wp14:anchorId="61A83445" wp14:editId="6F254E30">
            <wp:extent cx="4102735" cy="3188335"/>
            <wp:effectExtent l="0" t="0" r="0" b="0"/>
            <wp:docPr id="1535" name="Imagen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63"/>
                    <pic:cNvPicPr>
                      <a:picLocks noChangeAspect="1" noChangeArrowheads="1"/>
                    </pic:cNvPicPr>
                  </pic:nvPicPr>
                  <pic:blipFill>
                    <a:blip r:embed="rId277" cstate="print">
                      <a:extLst>
                        <a:ext uri="{28A0092B-C50C-407E-A947-70E740481C1C}">
                          <a14:useLocalDpi xmlns:a14="http://schemas.microsoft.com/office/drawing/2010/main" val="0"/>
                        </a:ext>
                      </a:extLst>
                    </a:blip>
                    <a:srcRect l="7462" r="2562" b="6825"/>
                    <a:stretch>
                      <a:fillRect/>
                    </a:stretch>
                  </pic:blipFill>
                  <pic:spPr bwMode="auto">
                    <a:xfrm>
                      <a:off x="0" y="0"/>
                      <a:ext cx="4102735" cy="3188335"/>
                    </a:xfrm>
                    <a:prstGeom prst="rect">
                      <a:avLst/>
                    </a:prstGeom>
                    <a:noFill/>
                    <a:ln>
                      <a:noFill/>
                    </a:ln>
                  </pic:spPr>
                </pic:pic>
              </a:graphicData>
            </a:graphic>
          </wp:inline>
        </w:drawing>
      </w:r>
      <w:r w:rsidRPr="00D27C30">
        <w:rPr>
          <w:rFonts w:ascii="Calibri" w:eastAsia="Calibri" w:hAnsi="Calibri"/>
          <w:sz w:val="22"/>
          <w:szCs w:val="22"/>
          <w:lang w:eastAsia="en-US"/>
        </w:rPr>
        <w:fldChar w:fldCharType="end"/>
      </w:r>
    </w:p>
    <w:p w14:paraId="17AC8D0F" w14:textId="77777777" w:rsidR="00D27C30" w:rsidRPr="00D27C30" w:rsidRDefault="00D27C30" w:rsidP="00D27C30">
      <w:pPr>
        <w:spacing w:after="160" w:line="259" w:lineRule="auto"/>
        <w:jc w:val="center"/>
        <w:rPr>
          <w:rFonts w:ascii="Calibri" w:eastAsia="Calibri" w:hAnsi="Calibri"/>
          <w:sz w:val="22"/>
          <w:szCs w:val="22"/>
          <w:lang w:eastAsia="en-US"/>
        </w:rPr>
      </w:pPr>
    </w:p>
    <w:p w14:paraId="51AC2B8D" w14:textId="2281F857" w:rsidR="00D27C30" w:rsidRPr="00D27C30" w:rsidRDefault="00D27C30" w:rsidP="00D27C30">
      <w:pPr>
        <w:spacing w:after="160" w:line="259" w:lineRule="auto"/>
        <w:jc w:val="center"/>
        <w:rPr>
          <w:rFonts w:ascii="Calibri" w:eastAsia="Calibri" w:hAnsi="Calibri"/>
          <w:sz w:val="22"/>
          <w:szCs w:val="22"/>
          <w:lang w:eastAsia="en-US"/>
        </w:rPr>
      </w:pPr>
      <w:r w:rsidRPr="00D27C30">
        <w:rPr>
          <w:rFonts w:ascii="Calibri" w:eastAsia="Calibri" w:hAnsi="Calibri"/>
          <w:sz w:val="22"/>
          <w:szCs w:val="22"/>
          <w:lang w:eastAsia="en-US"/>
        </w:rPr>
        <w:lastRenderedPageBreak/>
        <w:fldChar w:fldCharType="begin"/>
      </w:r>
      <w:r w:rsidRPr="00D27C30">
        <w:rPr>
          <w:rFonts w:ascii="Calibri" w:eastAsia="Calibri" w:hAnsi="Calibri"/>
          <w:sz w:val="22"/>
          <w:szCs w:val="22"/>
          <w:lang w:eastAsia="en-US"/>
        </w:rPr>
        <w:instrText xml:space="preserve"> LINK PowerPoint.Slide.8 "D:\\2015\\MARZO 2014\\GRÁFICAS EN POWER POINT\\14.-GRÁFICAS DE EXPECTATIVAS II.pptx!596" "" \a \p </w:instrText>
      </w:r>
      <w:r w:rsidRPr="00D27C30">
        <w:rPr>
          <w:rFonts w:ascii="Calibri" w:eastAsia="Calibri" w:hAnsi="Calibri"/>
          <w:sz w:val="22"/>
          <w:szCs w:val="22"/>
          <w:lang w:eastAsia="en-US"/>
        </w:rPr>
        <w:fldChar w:fldCharType="separate"/>
      </w:r>
      <w:r w:rsidRPr="00D27C30">
        <w:rPr>
          <w:rFonts w:ascii="Calibri" w:eastAsia="Calibri" w:hAnsi="Calibri"/>
          <w:noProof/>
          <w:sz w:val="22"/>
          <w:szCs w:val="22"/>
          <w:lang w:eastAsia="es-MX"/>
        </w:rPr>
        <w:drawing>
          <wp:inline distT="0" distB="0" distL="0" distR="0" wp14:anchorId="0CEA1B21" wp14:editId="4696CEA2">
            <wp:extent cx="4219575" cy="3261995"/>
            <wp:effectExtent l="0" t="0" r="9525" b="0"/>
            <wp:docPr id="1534" name="Imagen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64"/>
                    <pic:cNvPicPr>
                      <a:picLocks noChangeAspect="1" noChangeArrowheads="1"/>
                    </pic:cNvPicPr>
                  </pic:nvPicPr>
                  <pic:blipFill>
                    <a:blip r:embed="rId278" cstate="print">
                      <a:extLst>
                        <a:ext uri="{28A0092B-C50C-407E-A947-70E740481C1C}">
                          <a14:useLocalDpi xmlns:a14="http://schemas.microsoft.com/office/drawing/2010/main" val="0"/>
                        </a:ext>
                      </a:extLst>
                    </a:blip>
                    <a:srcRect l="4649" r="2798" b="4655"/>
                    <a:stretch>
                      <a:fillRect/>
                    </a:stretch>
                  </pic:blipFill>
                  <pic:spPr bwMode="auto">
                    <a:xfrm>
                      <a:off x="0" y="0"/>
                      <a:ext cx="4219575" cy="3261995"/>
                    </a:xfrm>
                    <a:prstGeom prst="rect">
                      <a:avLst/>
                    </a:prstGeom>
                    <a:noFill/>
                    <a:ln>
                      <a:noFill/>
                    </a:ln>
                  </pic:spPr>
                </pic:pic>
              </a:graphicData>
            </a:graphic>
          </wp:inline>
        </w:drawing>
      </w:r>
      <w:r w:rsidRPr="00D27C30">
        <w:rPr>
          <w:rFonts w:ascii="Calibri" w:eastAsia="Calibri" w:hAnsi="Calibri"/>
          <w:sz w:val="22"/>
          <w:szCs w:val="22"/>
          <w:lang w:eastAsia="en-US"/>
        </w:rPr>
        <w:fldChar w:fldCharType="end"/>
      </w:r>
    </w:p>
    <w:p w14:paraId="550F956A" w14:textId="77777777" w:rsidR="00D27C30" w:rsidRPr="00D27C30" w:rsidRDefault="00D27C30" w:rsidP="00D27C30">
      <w:pPr>
        <w:spacing w:after="160" w:line="259" w:lineRule="auto"/>
        <w:jc w:val="center"/>
        <w:rPr>
          <w:rFonts w:ascii="Calibri" w:eastAsia="Calibri" w:hAnsi="Calibri"/>
          <w:sz w:val="22"/>
          <w:szCs w:val="22"/>
          <w:lang w:eastAsia="en-US"/>
        </w:rPr>
      </w:pPr>
    </w:p>
    <w:p w14:paraId="51E3F180" w14:textId="07EAF313" w:rsidR="00D27C30" w:rsidRPr="00D27C30" w:rsidRDefault="00D27C30" w:rsidP="00D27C30">
      <w:pPr>
        <w:spacing w:after="160" w:line="259" w:lineRule="auto"/>
        <w:jc w:val="center"/>
        <w:rPr>
          <w:rFonts w:ascii="Calibri" w:eastAsia="Calibri" w:hAnsi="Calibri"/>
          <w:sz w:val="22"/>
          <w:szCs w:val="22"/>
          <w:lang w:eastAsia="en-US"/>
        </w:rPr>
      </w:pPr>
      <w:r w:rsidRPr="00D27C30">
        <w:rPr>
          <w:rFonts w:ascii="Calibri" w:eastAsia="Calibri" w:hAnsi="Calibri"/>
          <w:sz w:val="22"/>
          <w:szCs w:val="22"/>
          <w:lang w:eastAsia="en-US"/>
        </w:rPr>
        <w:fldChar w:fldCharType="begin"/>
      </w:r>
      <w:r w:rsidRPr="00D27C30">
        <w:rPr>
          <w:rFonts w:ascii="Calibri" w:eastAsia="Calibri" w:hAnsi="Calibri"/>
          <w:sz w:val="22"/>
          <w:szCs w:val="22"/>
          <w:lang w:eastAsia="en-US"/>
        </w:rPr>
        <w:instrText xml:space="preserve"> LINK PowerPoint.Slide.8 "D:\\2015\\MARZO 2014\\GRÁFICAS EN POWER POINT\\14.-GRÁFICAS DE EXPECTATIVAS II.pptx!609" "" \a \p </w:instrText>
      </w:r>
      <w:r w:rsidRPr="00D27C30">
        <w:rPr>
          <w:rFonts w:ascii="Calibri" w:eastAsia="Calibri" w:hAnsi="Calibri"/>
          <w:sz w:val="22"/>
          <w:szCs w:val="22"/>
          <w:lang w:eastAsia="en-US"/>
        </w:rPr>
        <w:fldChar w:fldCharType="separate"/>
      </w:r>
      <w:r w:rsidRPr="00D27C30">
        <w:rPr>
          <w:rFonts w:ascii="Calibri" w:eastAsia="Calibri" w:hAnsi="Calibri"/>
          <w:noProof/>
          <w:sz w:val="22"/>
          <w:szCs w:val="22"/>
          <w:lang w:eastAsia="es-MX"/>
        </w:rPr>
        <w:drawing>
          <wp:inline distT="0" distB="0" distL="0" distR="0" wp14:anchorId="0C1F6F39" wp14:editId="113DB8E5">
            <wp:extent cx="4145915" cy="3212465"/>
            <wp:effectExtent l="0" t="0" r="6985" b="6985"/>
            <wp:docPr id="1533" name="Imagen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65"/>
                    <pic:cNvPicPr>
                      <a:picLocks noChangeAspect="1" noChangeArrowheads="1"/>
                    </pic:cNvPicPr>
                  </pic:nvPicPr>
                  <pic:blipFill>
                    <a:blip r:embed="rId279" cstate="print">
                      <a:extLst>
                        <a:ext uri="{28A0092B-C50C-407E-A947-70E740481C1C}">
                          <a14:useLocalDpi xmlns:a14="http://schemas.microsoft.com/office/drawing/2010/main" val="0"/>
                        </a:ext>
                      </a:extLst>
                    </a:blip>
                    <a:srcRect l="5595" r="3508" b="6213"/>
                    <a:stretch>
                      <a:fillRect/>
                    </a:stretch>
                  </pic:blipFill>
                  <pic:spPr bwMode="auto">
                    <a:xfrm>
                      <a:off x="0" y="0"/>
                      <a:ext cx="4145915" cy="3212465"/>
                    </a:xfrm>
                    <a:prstGeom prst="rect">
                      <a:avLst/>
                    </a:prstGeom>
                    <a:noFill/>
                    <a:ln>
                      <a:noFill/>
                    </a:ln>
                  </pic:spPr>
                </pic:pic>
              </a:graphicData>
            </a:graphic>
          </wp:inline>
        </w:drawing>
      </w:r>
      <w:r w:rsidRPr="00D27C30">
        <w:rPr>
          <w:rFonts w:ascii="Calibri" w:eastAsia="Calibri" w:hAnsi="Calibri"/>
          <w:sz w:val="22"/>
          <w:szCs w:val="22"/>
          <w:lang w:eastAsia="en-US"/>
        </w:rPr>
        <w:fldChar w:fldCharType="end"/>
      </w:r>
    </w:p>
    <w:p w14:paraId="30B4AE37" w14:textId="77777777" w:rsidR="00D27C30" w:rsidRPr="00D27C30" w:rsidRDefault="00D27C30" w:rsidP="00D27C30">
      <w:pPr>
        <w:spacing w:after="160" w:line="259" w:lineRule="auto"/>
        <w:jc w:val="center"/>
        <w:rPr>
          <w:rFonts w:ascii="Calibri" w:eastAsia="Calibri" w:hAnsi="Calibri"/>
          <w:sz w:val="22"/>
          <w:szCs w:val="22"/>
          <w:lang w:eastAsia="en-US"/>
        </w:rPr>
      </w:pPr>
    </w:p>
    <w:p w14:paraId="1E8C5158" w14:textId="09CEF722" w:rsidR="00D27C30" w:rsidRPr="00D27C30" w:rsidRDefault="00D27C30" w:rsidP="00D27C30">
      <w:pPr>
        <w:spacing w:after="160" w:line="259" w:lineRule="auto"/>
        <w:jc w:val="center"/>
        <w:rPr>
          <w:rFonts w:ascii="Calibri" w:eastAsia="Calibri" w:hAnsi="Calibri"/>
          <w:sz w:val="22"/>
          <w:szCs w:val="22"/>
          <w:lang w:eastAsia="en-US"/>
        </w:rPr>
      </w:pPr>
      <w:r w:rsidRPr="00D27C30">
        <w:rPr>
          <w:rFonts w:ascii="Calibri" w:eastAsia="Calibri" w:hAnsi="Calibri"/>
          <w:sz w:val="22"/>
          <w:szCs w:val="22"/>
          <w:lang w:eastAsia="en-US"/>
        </w:rPr>
        <w:lastRenderedPageBreak/>
        <w:fldChar w:fldCharType="begin"/>
      </w:r>
      <w:r w:rsidRPr="00D27C30">
        <w:rPr>
          <w:rFonts w:ascii="Calibri" w:eastAsia="Calibri" w:hAnsi="Calibri"/>
          <w:sz w:val="22"/>
          <w:szCs w:val="22"/>
          <w:lang w:eastAsia="en-US"/>
        </w:rPr>
        <w:instrText xml:space="preserve"> LINK PowerPoint.Slide.8 "D:\\2015\\MARZO 2014\\GRÁFICAS EN POWER POINT\\14.-GRÁFICAS DE EXPECTATIVAS II.pptx!597" "" \a \p </w:instrText>
      </w:r>
      <w:r w:rsidRPr="00D27C30">
        <w:rPr>
          <w:rFonts w:ascii="Calibri" w:eastAsia="Calibri" w:hAnsi="Calibri"/>
          <w:sz w:val="22"/>
          <w:szCs w:val="22"/>
          <w:lang w:eastAsia="en-US"/>
        </w:rPr>
        <w:fldChar w:fldCharType="separate"/>
      </w:r>
      <w:r w:rsidRPr="00D27C30">
        <w:rPr>
          <w:rFonts w:ascii="Calibri" w:eastAsia="Calibri" w:hAnsi="Calibri"/>
          <w:noProof/>
          <w:sz w:val="22"/>
          <w:szCs w:val="22"/>
          <w:lang w:eastAsia="es-MX"/>
        </w:rPr>
        <w:drawing>
          <wp:inline distT="0" distB="0" distL="0" distR="0" wp14:anchorId="2CFA93F5" wp14:editId="55F742EA">
            <wp:extent cx="4170680" cy="3225165"/>
            <wp:effectExtent l="0" t="0" r="1270" b="0"/>
            <wp:docPr id="1532" name="Imagen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66"/>
                    <pic:cNvPicPr>
                      <a:picLocks noChangeAspect="1" noChangeArrowheads="1"/>
                    </pic:cNvPicPr>
                  </pic:nvPicPr>
                  <pic:blipFill>
                    <a:blip r:embed="rId280" cstate="print">
                      <a:extLst>
                        <a:ext uri="{28A0092B-C50C-407E-A947-70E740481C1C}">
                          <a14:useLocalDpi xmlns:a14="http://schemas.microsoft.com/office/drawing/2010/main" val="0"/>
                        </a:ext>
                      </a:extLst>
                    </a:blip>
                    <a:srcRect l="5833" r="2783" b="5898"/>
                    <a:stretch>
                      <a:fillRect/>
                    </a:stretch>
                  </pic:blipFill>
                  <pic:spPr bwMode="auto">
                    <a:xfrm>
                      <a:off x="0" y="0"/>
                      <a:ext cx="4170680" cy="3225165"/>
                    </a:xfrm>
                    <a:prstGeom prst="rect">
                      <a:avLst/>
                    </a:prstGeom>
                    <a:noFill/>
                    <a:ln>
                      <a:noFill/>
                    </a:ln>
                  </pic:spPr>
                </pic:pic>
              </a:graphicData>
            </a:graphic>
          </wp:inline>
        </w:drawing>
      </w:r>
      <w:r w:rsidRPr="00D27C30">
        <w:rPr>
          <w:rFonts w:ascii="Calibri" w:eastAsia="Calibri" w:hAnsi="Calibri"/>
          <w:sz w:val="22"/>
          <w:szCs w:val="22"/>
          <w:lang w:eastAsia="en-US"/>
        </w:rPr>
        <w:fldChar w:fldCharType="end"/>
      </w:r>
    </w:p>
    <w:p w14:paraId="08195CE3" w14:textId="77777777" w:rsidR="00D27C30" w:rsidRPr="00D27C30" w:rsidRDefault="00D27C30" w:rsidP="00D27C30">
      <w:pPr>
        <w:spacing w:after="160" w:line="259" w:lineRule="auto"/>
        <w:jc w:val="center"/>
        <w:rPr>
          <w:rFonts w:ascii="Calibri" w:eastAsia="Calibri" w:hAnsi="Calibri"/>
          <w:sz w:val="22"/>
          <w:szCs w:val="22"/>
          <w:lang w:eastAsia="en-US"/>
        </w:rPr>
      </w:pPr>
    </w:p>
    <w:p w14:paraId="500D219E" w14:textId="7B0115FD" w:rsidR="00D27C30" w:rsidRPr="00D27C30" w:rsidRDefault="00D27C30" w:rsidP="00D27C30">
      <w:pPr>
        <w:spacing w:after="160" w:line="259" w:lineRule="auto"/>
        <w:jc w:val="center"/>
        <w:rPr>
          <w:rFonts w:ascii="Calibri" w:eastAsia="Calibri" w:hAnsi="Calibri"/>
          <w:sz w:val="22"/>
          <w:szCs w:val="22"/>
          <w:lang w:eastAsia="en-US"/>
        </w:rPr>
      </w:pPr>
      <w:r w:rsidRPr="00D27C30">
        <w:rPr>
          <w:rFonts w:ascii="Calibri" w:eastAsia="Calibri" w:hAnsi="Calibri"/>
          <w:sz w:val="22"/>
          <w:szCs w:val="22"/>
          <w:lang w:eastAsia="en-US"/>
        </w:rPr>
        <w:fldChar w:fldCharType="begin"/>
      </w:r>
      <w:r w:rsidRPr="00D27C30">
        <w:rPr>
          <w:rFonts w:ascii="Calibri" w:eastAsia="Calibri" w:hAnsi="Calibri"/>
          <w:sz w:val="22"/>
          <w:szCs w:val="22"/>
          <w:lang w:eastAsia="en-US"/>
        </w:rPr>
        <w:instrText xml:space="preserve"> LINK PowerPoint.Slide.8 "D:\\2015\\MARZO 2014\\GRÁFICAS EN POWER POINT\\14.-GRÁFICAS DE EXPECTATIVAS II.pptx!610" "" \a \p </w:instrText>
      </w:r>
      <w:r w:rsidRPr="00D27C30">
        <w:rPr>
          <w:rFonts w:ascii="Calibri" w:eastAsia="Calibri" w:hAnsi="Calibri"/>
          <w:sz w:val="22"/>
          <w:szCs w:val="22"/>
          <w:lang w:eastAsia="en-US"/>
        </w:rPr>
        <w:fldChar w:fldCharType="separate"/>
      </w:r>
      <w:r w:rsidRPr="00D27C30">
        <w:rPr>
          <w:rFonts w:ascii="Calibri" w:eastAsia="Calibri" w:hAnsi="Calibri"/>
          <w:noProof/>
          <w:sz w:val="22"/>
          <w:szCs w:val="22"/>
          <w:lang w:eastAsia="es-MX"/>
        </w:rPr>
        <w:drawing>
          <wp:inline distT="0" distB="0" distL="0" distR="0" wp14:anchorId="240AE4F7" wp14:editId="7A571D04">
            <wp:extent cx="4189095" cy="3212465"/>
            <wp:effectExtent l="0" t="0" r="1905" b="6985"/>
            <wp:docPr id="1531" name="Imagen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67"/>
                    <pic:cNvPicPr>
                      <a:picLocks noChangeAspect="1" noChangeArrowheads="1"/>
                    </pic:cNvPicPr>
                  </pic:nvPicPr>
                  <pic:blipFill>
                    <a:blip r:embed="rId281" cstate="print">
                      <a:extLst>
                        <a:ext uri="{28A0092B-C50C-407E-A947-70E740481C1C}">
                          <a14:useLocalDpi xmlns:a14="http://schemas.microsoft.com/office/drawing/2010/main" val="0"/>
                        </a:ext>
                      </a:extLst>
                    </a:blip>
                    <a:srcRect l="5833" r="2324" b="6213"/>
                    <a:stretch>
                      <a:fillRect/>
                    </a:stretch>
                  </pic:blipFill>
                  <pic:spPr bwMode="auto">
                    <a:xfrm>
                      <a:off x="0" y="0"/>
                      <a:ext cx="4189095" cy="3212465"/>
                    </a:xfrm>
                    <a:prstGeom prst="rect">
                      <a:avLst/>
                    </a:prstGeom>
                    <a:noFill/>
                    <a:ln>
                      <a:noFill/>
                    </a:ln>
                  </pic:spPr>
                </pic:pic>
              </a:graphicData>
            </a:graphic>
          </wp:inline>
        </w:drawing>
      </w:r>
      <w:r w:rsidRPr="00D27C30">
        <w:rPr>
          <w:rFonts w:ascii="Calibri" w:eastAsia="Calibri" w:hAnsi="Calibri"/>
          <w:sz w:val="22"/>
          <w:szCs w:val="22"/>
          <w:lang w:eastAsia="en-US"/>
        </w:rPr>
        <w:fldChar w:fldCharType="end"/>
      </w:r>
    </w:p>
    <w:p w14:paraId="034722F5" w14:textId="05B501FE" w:rsidR="00C443FC" w:rsidRDefault="00C443FC" w:rsidP="00D27C30">
      <w:pPr>
        <w:spacing w:after="360" w:line="360" w:lineRule="auto"/>
        <w:ind w:right="-159"/>
        <w:jc w:val="center"/>
        <w:rPr>
          <w:rFonts w:eastAsia="Calibri"/>
          <w:sz w:val="26"/>
          <w:szCs w:val="26"/>
          <w:lang w:eastAsia="en-US"/>
        </w:rPr>
      </w:pPr>
    </w:p>
    <w:p w14:paraId="2740602C" w14:textId="77777777" w:rsidR="00593607" w:rsidRPr="00C443FC" w:rsidRDefault="00593607" w:rsidP="00D27C30">
      <w:pPr>
        <w:spacing w:after="360" w:line="360" w:lineRule="auto"/>
        <w:ind w:right="-159"/>
        <w:jc w:val="center"/>
        <w:rPr>
          <w:rFonts w:eastAsia="Calibri"/>
          <w:sz w:val="26"/>
          <w:szCs w:val="26"/>
          <w:lang w:eastAsia="en-US"/>
        </w:rPr>
      </w:pPr>
    </w:p>
    <w:p w14:paraId="5B14BA5D" w14:textId="77777777" w:rsidR="00C443FC" w:rsidRPr="00C443FC" w:rsidRDefault="00C443FC" w:rsidP="00C443FC">
      <w:pPr>
        <w:ind w:right="-159"/>
        <w:jc w:val="both"/>
        <w:rPr>
          <w:rFonts w:eastAsia="Calibri"/>
          <w:b/>
          <w:sz w:val="26"/>
          <w:szCs w:val="26"/>
          <w:lang w:eastAsia="en-US"/>
        </w:rPr>
      </w:pPr>
      <w:r w:rsidRPr="00C443FC">
        <w:rPr>
          <w:rFonts w:eastAsia="Calibri"/>
          <w:b/>
          <w:sz w:val="26"/>
          <w:szCs w:val="26"/>
          <w:lang w:eastAsia="en-US"/>
        </w:rPr>
        <w:lastRenderedPageBreak/>
        <w:t>Entorno económico y factores que podrían obstaculizar el crecimiento económico de México</w:t>
      </w:r>
    </w:p>
    <w:p w14:paraId="453E65D1" w14:textId="77777777" w:rsidR="00C443FC" w:rsidRPr="00C443FC" w:rsidRDefault="00C443FC" w:rsidP="00C443FC">
      <w:pPr>
        <w:ind w:right="-159"/>
        <w:jc w:val="both"/>
        <w:rPr>
          <w:rFonts w:eastAsia="Calibri"/>
          <w:b/>
          <w:sz w:val="26"/>
          <w:szCs w:val="26"/>
          <w:lang w:eastAsia="en-US"/>
        </w:rPr>
      </w:pPr>
    </w:p>
    <w:p w14:paraId="05D4E037" w14:textId="77777777" w:rsidR="00C443FC" w:rsidRDefault="00C443FC" w:rsidP="00C443FC">
      <w:pPr>
        <w:spacing w:after="360" w:line="360" w:lineRule="auto"/>
        <w:ind w:right="-159"/>
        <w:jc w:val="both"/>
        <w:rPr>
          <w:rFonts w:eastAsia="Calibri"/>
          <w:sz w:val="26"/>
          <w:szCs w:val="26"/>
          <w:lang w:eastAsia="en-US"/>
        </w:rPr>
      </w:pPr>
      <w:r w:rsidRPr="00C443FC">
        <w:rPr>
          <w:rFonts w:eastAsia="Calibri"/>
          <w:sz w:val="26"/>
          <w:szCs w:val="26"/>
          <w:lang w:eastAsia="en-US"/>
        </w:rPr>
        <w:t>El cuadro siguiente presenta la distribución de las respuestas de los analistas consultados por Banxico en relación con los factores que podrían obstaculizar el crecimiento económico de México en los próximos meses. Como se aprecia, los especialistas consideran que los principales factores son, en orden de importancia: los problemas de inseguridad pública (24% de las respuestas y el de mayor frecuencia por décimo quinto mes consecutivo); el precio de exportación del petróleo (16% de las respuestas); la debilidad en el mercado interno (13% de las respuestas); la inestabilidad financiera internacional (12% de las respuestas); y la política fiscal que se está instrumentando (10% de las respuestas).</w:t>
      </w:r>
    </w:p>
    <w:tbl>
      <w:tblPr>
        <w:tblW w:w="8702" w:type="dxa"/>
        <w:jc w:val="center"/>
        <w:tblLayout w:type="fixed"/>
        <w:tblLook w:val="04A0" w:firstRow="1" w:lastRow="0" w:firstColumn="1" w:lastColumn="0" w:noHBand="0" w:noVBand="1"/>
      </w:tblPr>
      <w:tblGrid>
        <w:gridCol w:w="3119"/>
        <w:gridCol w:w="421"/>
        <w:gridCol w:w="425"/>
        <w:gridCol w:w="426"/>
        <w:gridCol w:w="425"/>
        <w:gridCol w:w="425"/>
        <w:gridCol w:w="425"/>
        <w:gridCol w:w="426"/>
        <w:gridCol w:w="429"/>
        <w:gridCol w:w="425"/>
        <w:gridCol w:w="425"/>
        <w:gridCol w:w="426"/>
        <w:gridCol w:w="466"/>
        <w:gridCol w:w="439"/>
      </w:tblGrid>
      <w:tr w:rsidR="00C443FC" w:rsidRPr="00C443FC" w14:paraId="7D1114C1" w14:textId="77777777" w:rsidTr="00D27C30">
        <w:trPr>
          <w:jc w:val="center"/>
        </w:trPr>
        <w:tc>
          <w:tcPr>
            <w:tcW w:w="8702" w:type="dxa"/>
            <w:gridSpan w:val="14"/>
            <w:tcBorders>
              <w:top w:val="nil"/>
              <w:left w:val="nil"/>
              <w:bottom w:val="single" w:sz="4" w:space="0" w:color="auto"/>
              <w:right w:val="nil"/>
            </w:tcBorders>
          </w:tcPr>
          <w:p w14:paraId="52AA56ED" w14:textId="77777777" w:rsidR="00C443FC" w:rsidRPr="00C443FC" w:rsidRDefault="00C443FC" w:rsidP="00C443FC">
            <w:pPr>
              <w:jc w:val="center"/>
              <w:rPr>
                <w:rFonts w:eastAsia="Calibri"/>
                <w:b/>
                <w:sz w:val="22"/>
                <w:szCs w:val="22"/>
                <w:lang w:eastAsia="en-US"/>
              </w:rPr>
            </w:pPr>
            <w:r w:rsidRPr="00C443FC">
              <w:rPr>
                <w:rFonts w:eastAsia="Calibri"/>
                <w:b/>
                <w:sz w:val="22"/>
                <w:szCs w:val="22"/>
                <w:lang w:eastAsia="en-US"/>
              </w:rPr>
              <w:t>PORCENTAJE DE RESPUESTAS RESPECTO A LOS PRINCIPALES FACTORES QUE PODRÍAN OBSTACULIZAR EL CRECIMIENTO ECONÓMICO EN MÉXICO</w:t>
            </w:r>
          </w:p>
          <w:p w14:paraId="6BD59DBC" w14:textId="77777777" w:rsidR="00C443FC" w:rsidRPr="00C443FC" w:rsidRDefault="00C443FC" w:rsidP="00C443FC">
            <w:pPr>
              <w:jc w:val="center"/>
              <w:rPr>
                <w:rFonts w:eastAsia="Calibri"/>
                <w:b/>
                <w:sz w:val="22"/>
                <w:szCs w:val="22"/>
                <w:lang w:eastAsia="en-US"/>
              </w:rPr>
            </w:pPr>
            <w:r w:rsidRPr="00C443FC">
              <w:rPr>
                <w:rFonts w:eastAsia="Calibri"/>
                <w:b/>
                <w:sz w:val="22"/>
                <w:szCs w:val="22"/>
                <w:lang w:eastAsia="en-US"/>
              </w:rPr>
              <w:t>-Distribución porcentual de respuestas-</w:t>
            </w:r>
          </w:p>
        </w:tc>
      </w:tr>
      <w:tr w:rsidR="00C443FC" w:rsidRPr="00C443FC" w14:paraId="3C36E23E" w14:textId="77777777" w:rsidTr="00D27C30">
        <w:trPr>
          <w:jc w:val="center"/>
        </w:trPr>
        <w:tc>
          <w:tcPr>
            <w:tcW w:w="3119" w:type="dxa"/>
            <w:vMerge w:val="restart"/>
            <w:tcBorders>
              <w:top w:val="single" w:sz="4" w:space="0" w:color="auto"/>
              <w:left w:val="single" w:sz="4" w:space="0" w:color="auto"/>
              <w:bottom w:val="single" w:sz="4" w:space="0" w:color="auto"/>
              <w:right w:val="single" w:sz="4" w:space="0" w:color="auto"/>
            </w:tcBorders>
            <w:vAlign w:val="center"/>
          </w:tcPr>
          <w:p w14:paraId="135619D7" w14:textId="77777777" w:rsidR="00C443FC" w:rsidRPr="00C443FC" w:rsidRDefault="00C443FC" w:rsidP="00C443FC">
            <w:pPr>
              <w:jc w:val="center"/>
              <w:rPr>
                <w:rFonts w:eastAsia="Calibri"/>
                <w:sz w:val="14"/>
                <w:szCs w:val="14"/>
                <w:lang w:eastAsia="en-US"/>
              </w:rPr>
            </w:pPr>
          </w:p>
        </w:tc>
        <w:tc>
          <w:tcPr>
            <w:tcW w:w="4678" w:type="dxa"/>
            <w:gridSpan w:val="11"/>
            <w:tcBorders>
              <w:top w:val="single" w:sz="4" w:space="0" w:color="auto"/>
              <w:left w:val="single" w:sz="4" w:space="0" w:color="auto"/>
              <w:bottom w:val="single" w:sz="4" w:space="0" w:color="auto"/>
              <w:right w:val="single" w:sz="4" w:space="0" w:color="auto"/>
            </w:tcBorders>
          </w:tcPr>
          <w:p w14:paraId="692A0BF8" w14:textId="77777777" w:rsidR="00C443FC" w:rsidRPr="00C443FC" w:rsidRDefault="00C443FC" w:rsidP="00C443FC">
            <w:pPr>
              <w:ind w:right="-57"/>
              <w:jc w:val="center"/>
              <w:rPr>
                <w:rFonts w:eastAsia="Calibri"/>
                <w:sz w:val="14"/>
                <w:szCs w:val="14"/>
                <w:lang w:eastAsia="en-US"/>
              </w:rPr>
            </w:pPr>
            <w:r w:rsidRPr="00C443FC">
              <w:rPr>
                <w:rFonts w:eastAsia="Calibri"/>
                <w:sz w:val="14"/>
                <w:szCs w:val="14"/>
                <w:lang w:eastAsia="en-US"/>
              </w:rPr>
              <w:t>2014</w:t>
            </w:r>
          </w:p>
        </w:tc>
        <w:tc>
          <w:tcPr>
            <w:tcW w:w="905" w:type="dxa"/>
            <w:gridSpan w:val="2"/>
            <w:tcBorders>
              <w:top w:val="single" w:sz="4" w:space="0" w:color="auto"/>
              <w:left w:val="single" w:sz="4" w:space="0" w:color="auto"/>
              <w:bottom w:val="single" w:sz="4" w:space="0" w:color="auto"/>
              <w:right w:val="single" w:sz="4" w:space="0" w:color="auto"/>
            </w:tcBorders>
          </w:tcPr>
          <w:p w14:paraId="0D1A1226" w14:textId="77777777" w:rsidR="00C443FC" w:rsidRPr="00C443FC" w:rsidRDefault="00C443FC" w:rsidP="00C443FC">
            <w:pPr>
              <w:ind w:right="-57"/>
              <w:jc w:val="center"/>
              <w:rPr>
                <w:rFonts w:eastAsia="Calibri"/>
                <w:sz w:val="14"/>
                <w:szCs w:val="14"/>
                <w:lang w:eastAsia="en-US"/>
              </w:rPr>
            </w:pPr>
            <w:r w:rsidRPr="00C443FC">
              <w:rPr>
                <w:rFonts w:eastAsia="Calibri"/>
                <w:sz w:val="14"/>
                <w:szCs w:val="14"/>
                <w:lang w:eastAsia="en-US"/>
              </w:rPr>
              <w:t>2015</w:t>
            </w:r>
          </w:p>
        </w:tc>
      </w:tr>
      <w:tr w:rsidR="00C443FC" w:rsidRPr="00C443FC" w14:paraId="15609484" w14:textId="77777777" w:rsidTr="00D27C30">
        <w:trPr>
          <w:jc w:val="center"/>
        </w:trPr>
        <w:tc>
          <w:tcPr>
            <w:tcW w:w="3119" w:type="dxa"/>
            <w:vMerge/>
            <w:tcBorders>
              <w:top w:val="single" w:sz="4" w:space="0" w:color="auto"/>
              <w:left w:val="single" w:sz="4" w:space="0" w:color="auto"/>
              <w:bottom w:val="single" w:sz="4" w:space="0" w:color="auto"/>
              <w:right w:val="single" w:sz="4" w:space="0" w:color="auto"/>
            </w:tcBorders>
          </w:tcPr>
          <w:p w14:paraId="20924555" w14:textId="77777777" w:rsidR="00C443FC" w:rsidRPr="00C443FC" w:rsidRDefault="00C443FC" w:rsidP="00C443FC">
            <w:pPr>
              <w:jc w:val="both"/>
              <w:rPr>
                <w:rFonts w:eastAsia="Calibri"/>
                <w:sz w:val="14"/>
                <w:szCs w:val="14"/>
                <w:lang w:eastAsia="en-US"/>
              </w:rPr>
            </w:pPr>
          </w:p>
        </w:tc>
        <w:tc>
          <w:tcPr>
            <w:tcW w:w="421" w:type="dxa"/>
            <w:tcBorders>
              <w:top w:val="single" w:sz="4" w:space="0" w:color="auto"/>
              <w:left w:val="single" w:sz="4" w:space="0" w:color="auto"/>
              <w:bottom w:val="single" w:sz="4" w:space="0" w:color="auto"/>
              <w:right w:val="single" w:sz="4" w:space="0" w:color="auto"/>
            </w:tcBorders>
          </w:tcPr>
          <w:p w14:paraId="267A9B6E" w14:textId="77777777" w:rsidR="00C443FC" w:rsidRPr="00C443FC" w:rsidRDefault="00C443FC" w:rsidP="00C443FC">
            <w:pPr>
              <w:ind w:right="-113"/>
              <w:jc w:val="center"/>
              <w:rPr>
                <w:rFonts w:eastAsia="Calibri"/>
                <w:sz w:val="14"/>
                <w:szCs w:val="14"/>
                <w:lang w:eastAsia="en-US"/>
              </w:rPr>
            </w:pPr>
            <w:r w:rsidRPr="00C443FC">
              <w:rPr>
                <w:rFonts w:eastAsia="Calibri"/>
                <w:sz w:val="14"/>
                <w:szCs w:val="14"/>
                <w:lang w:eastAsia="en-US"/>
              </w:rPr>
              <w:t>Feb.</w:t>
            </w:r>
          </w:p>
        </w:tc>
        <w:tc>
          <w:tcPr>
            <w:tcW w:w="425" w:type="dxa"/>
            <w:tcBorders>
              <w:top w:val="single" w:sz="4" w:space="0" w:color="auto"/>
              <w:left w:val="single" w:sz="4" w:space="0" w:color="auto"/>
              <w:bottom w:val="single" w:sz="4" w:space="0" w:color="auto"/>
              <w:right w:val="single" w:sz="4" w:space="0" w:color="auto"/>
            </w:tcBorders>
          </w:tcPr>
          <w:p w14:paraId="48A9A4BA" w14:textId="77777777" w:rsidR="00C443FC" w:rsidRPr="00C443FC" w:rsidRDefault="00C443FC" w:rsidP="00C443FC">
            <w:pPr>
              <w:ind w:right="-113"/>
              <w:jc w:val="center"/>
              <w:rPr>
                <w:rFonts w:eastAsia="Calibri"/>
                <w:sz w:val="14"/>
                <w:szCs w:val="14"/>
                <w:lang w:eastAsia="en-US"/>
              </w:rPr>
            </w:pPr>
            <w:r w:rsidRPr="00C443FC">
              <w:rPr>
                <w:rFonts w:eastAsia="Calibri"/>
                <w:sz w:val="14"/>
                <w:szCs w:val="14"/>
                <w:lang w:eastAsia="en-US"/>
              </w:rPr>
              <w:t>Mar.</w:t>
            </w:r>
          </w:p>
        </w:tc>
        <w:tc>
          <w:tcPr>
            <w:tcW w:w="426" w:type="dxa"/>
            <w:tcBorders>
              <w:top w:val="single" w:sz="4" w:space="0" w:color="auto"/>
              <w:left w:val="single" w:sz="4" w:space="0" w:color="auto"/>
              <w:bottom w:val="single" w:sz="4" w:space="0" w:color="auto"/>
              <w:right w:val="single" w:sz="4" w:space="0" w:color="auto"/>
            </w:tcBorders>
          </w:tcPr>
          <w:p w14:paraId="2F213E46" w14:textId="77777777" w:rsidR="00C443FC" w:rsidRPr="00C443FC" w:rsidRDefault="00C443FC" w:rsidP="00C443FC">
            <w:pPr>
              <w:ind w:right="-113"/>
              <w:jc w:val="center"/>
              <w:rPr>
                <w:rFonts w:eastAsia="Calibri"/>
                <w:sz w:val="14"/>
                <w:szCs w:val="14"/>
                <w:lang w:eastAsia="en-US"/>
              </w:rPr>
            </w:pPr>
            <w:r w:rsidRPr="00C443FC">
              <w:rPr>
                <w:rFonts w:eastAsia="Calibri"/>
                <w:sz w:val="14"/>
                <w:szCs w:val="14"/>
                <w:lang w:eastAsia="en-US"/>
              </w:rPr>
              <w:t>Abr.</w:t>
            </w:r>
          </w:p>
        </w:tc>
        <w:tc>
          <w:tcPr>
            <w:tcW w:w="425" w:type="dxa"/>
            <w:tcBorders>
              <w:top w:val="single" w:sz="4" w:space="0" w:color="auto"/>
              <w:left w:val="single" w:sz="4" w:space="0" w:color="auto"/>
              <w:bottom w:val="single" w:sz="4" w:space="0" w:color="auto"/>
              <w:right w:val="single" w:sz="4" w:space="0" w:color="auto"/>
            </w:tcBorders>
          </w:tcPr>
          <w:p w14:paraId="295EE0F1" w14:textId="77777777" w:rsidR="00C443FC" w:rsidRPr="00C443FC" w:rsidRDefault="00C443FC" w:rsidP="00C443FC">
            <w:pPr>
              <w:ind w:right="-113"/>
              <w:jc w:val="center"/>
              <w:rPr>
                <w:rFonts w:eastAsia="Calibri"/>
                <w:sz w:val="14"/>
                <w:szCs w:val="14"/>
                <w:lang w:eastAsia="en-US"/>
              </w:rPr>
            </w:pPr>
            <w:r w:rsidRPr="00C443FC">
              <w:rPr>
                <w:rFonts w:eastAsia="Calibri"/>
                <w:sz w:val="14"/>
                <w:szCs w:val="14"/>
                <w:lang w:eastAsia="en-US"/>
              </w:rPr>
              <w:t>May.</w:t>
            </w:r>
          </w:p>
        </w:tc>
        <w:tc>
          <w:tcPr>
            <w:tcW w:w="425" w:type="dxa"/>
            <w:tcBorders>
              <w:top w:val="single" w:sz="4" w:space="0" w:color="auto"/>
              <w:left w:val="single" w:sz="4" w:space="0" w:color="auto"/>
              <w:bottom w:val="single" w:sz="4" w:space="0" w:color="auto"/>
              <w:right w:val="single" w:sz="4" w:space="0" w:color="auto"/>
            </w:tcBorders>
          </w:tcPr>
          <w:p w14:paraId="37E84B67" w14:textId="77777777" w:rsidR="00C443FC" w:rsidRPr="00C443FC" w:rsidRDefault="00C443FC" w:rsidP="00C443FC">
            <w:pPr>
              <w:ind w:right="-113"/>
              <w:jc w:val="center"/>
              <w:rPr>
                <w:rFonts w:eastAsia="Calibri"/>
                <w:sz w:val="14"/>
                <w:szCs w:val="14"/>
                <w:lang w:eastAsia="en-US"/>
              </w:rPr>
            </w:pPr>
            <w:r w:rsidRPr="00C443FC">
              <w:rPr>
                <w:rFonts w:eastAsia="Calibri"/>
                <w:sz w:val="14"/>
                <w:szCs w:val="14"/>
                <w:lang w:eastAsia="en-US"/>
              </w:rPr>
              <w:t>Jun.</w:t>
            </w:r>
          </w:p>
        </w:tc>
        <w:tc>
          <w:tcPr>
            <w:tcW w:w="425" w:type="dxa"/>
            <w:tcBorders>
              <w:top w:val="single" w:sz="4" w:space="0" w:color="auto"/>
              <w:left w:val="single" w:sz="4" w:space="0" w:color="auto"/>
              <w:bottom w:val="single" w:sz="4" w:space="0" w:color="auto"/>
              <w:right w:val="single" w:sz="4" w:space="0" w:color="auto"/>
            </w:tcBorders>
          </w:tcPr>
          <w:p w14:paraId="65A17DB1" w14:textId="77777777" w:rsidR="00C443FC" w:rsidRPr="00C443FC" w:rsidRDefault="00C443FC" w:rsidP="00C443FC">
            <w:pPr>
              <w:ind w:right="-113"/>
              <w:jc w:val="center"/>
              <w:rPr>
                <w:rFonts w:eastAsia="Calibri"/>
                <w:sz w:val="14"/>
                <w:szCs w:val="14"/>
                <w:lang w:eastAsia="en-US"/>
              </w:rPr>
            </w:pPr>
            <w:r w:rsidRPr="00C443FC">
              <w:rPr>
                <w:rFonts w:eastAsia="Calibri"/>
                <w:sz w:val="14"/>
                <w:szCs w:val="14"/>
                <w:lang w:eastAsia="en-US"/>
              </w:rPr>
              <w:t>Jul.</w:t>
            </w:r>
          </w:p>
        </w:tc>
        <w:tc>
          <w:tcPr>
            <w:tcW w:w="426" w:type="dxa"/>
            <w:tcBorders>
              <w:top w:val="single" w:sz="4" w:space="0" w:color="auto"/>
              <w:left w:val="single" w:sz="4" w:space="0" w:color="auto"/>
              <w:bottom w:val="single" w:sz="4" w:space="0" w:color="auto"/>
              <w:right w:val="single" w:sz="4" w:space="0" w:color="auto"/>
            </w:tcBorders>
          </w:tcPr>
          <w:p w14:paraId="7F5FCFE1" w14:textId="77777777" w:rsidR="00C443FC" w:rsidRPr="00C443FC" w:rsidRDefault="00C443FC" w:rsidP="00C443FC">
            <w:pPr>
              <w:ind w:right="-113"/>
              <w:jc w:val="center"/>
              <w:rPr>
                <w:rFonts w:eastAsia="Calibri"/>
                <w:sz w:val="14"/>
                <w:szCs w:val="14"/>
                <w:lang w:eastAsia="en-US"/>
              </w:rPr>
            </w:pPr>
            <w:r w:rsidRPr="00C443FC">
              <w:rPr>
                <w:rFonts w:eastAsia="Calibri"/>
                <w:sz w:val="14"/>
                <w:szCs w:val="14"/>
                <w:lang w:eastAsia="en-US"/>
              </w:rPr>
              <w:t>Ago.</w:t>
            </w:r>
          </w:p>
        </w:tc>
        <w:tc>
          <w:tcPr>
            <w:tcW w:w="429" w:type="dxa"/>
            <w:tcBorders>
              <w:top w:val="single" w:sz="4" w:space="0" w:color="auto"/>
              <w:left w:val="single" w:sz="4" w:space="0" w:color="auto"/>
              <w:bottom w:val="single" w:sz="4" w:space="0" w:color="auto"/>
              <w:right w:val="single" w:sz="4" w:space="0" w:color="auto"/>
            </w:tcBorders>
          </w:tcPr>
          <w:p w14:paraId="19B6F01D" w14:textId="77777777" w:rsidR="00C443FC" w:rsidRPr="00C443FC" w:rsidRDefault="00C443FC" w:rsidP="00C443FC">
            <w:pPr>
              <w:ind w:right="-113"/>
              <w:jc w:val="center"/>
              <w:rPr>
                <w:rFonts w:eastAsia="Calibri"/>
                <w:sz w:val="14"/>
                <w:szCs w:val="14"/>
                <w:lang w:eastAsia="en-US"/>
              </w:rPr>
            </w:pPr>
            <w:r w:rsidRPr="00C443FC">
              <w:rPr>
                <w:rFonts w:eastAsia="Calibri"/>
                <w:sz w:val="14"/>
                <w:szCs w:val="14"/>
                <w:lang w:eastAsia="en-US"/>
              </w:rPr>
              <w:t>Sep.</w:t>
            </w:r>
          </w:p>
        </w:tc>
        <w:tc>
          <w:tcPr>
            <w:tcW w:w="425" w:type="dxa"/>
            <w:tcBorders>
              <w:top w:val="single" w:sz="4" w:space="0" w:color="auto"/>
              <w:left w:val="single" w:sz="4" w:space="0" w:color="auto"/>
              <w:bottom w:val="single" w:sz="4" w:space="0" w:color="auto"/>
              <w:right w:val="single" w:sz="4" w:space="0" w:color="auto"/>
            </w:tcBorders>
          </w:tcPr>
          <w:p w14:paraId="1A26484D" w14:textId="77777777" w:rsidR="00C443FC" w:rsidRPr="00C443FC" w:rsidRDefault="00C443FC" w:rsidP="00C443FC">
            <w:pPr>
              <w:ind w:right="-113"/>
              <w:jc w:val="center"/>
              <w:rPr>
                <w:rFonts w:eastAsia="Calibri"/>
                <w:sz w:val="14"/>
                <w:szCs w:val="14"/>
                <w:lang w:eastAsia="en-US"/>
              </w:rPr>
            </w:pPr>
            <w:r w:rsidRPr="00C443FC">
              <w:rPr>
                <w:rFonts w:eastAsia="Calibri"/>
                <w:sz w:val="14"/>
                <w:szCs w:val="14"/>
                <w:lang w:eastAsia="en-US"/>
              </w:rPr>
              <w:t>Oct.</w:t>
            </w:r>
          </w:p>
        </w:tc>
        <w:tc>
          <w:tcPr>
            <w:tcW w:w="425" w:type="dxa"/>
            <w:tcBorders>
              <w:top w:val="single" w:sz="4" w:space="0" w:color="auto"/>
              <w:left w:val="single" w:sz="4" w:space="0" w:color="auto"/>
              <w:bottom w:val="single" w:sz="4" w:space="0" w:color="auto"/>
              <w:right w:val="single" w:sz="4" w:space="0" w:color="auto"/>
            </w:tcBorders>
          </w:tcPr>
          <w:p w14:paraId="49B07B8D" w14:textId="77777777" w:rsidR="00C443FC" w:rsidRPr="00C443FC" w:rsidRDefault="00C443FC" w:rsidP="00C443FC">
            <w:pPr>
              <w:ind w:right="-113"/>
              <w:jc w:val="center"/>
              <w:rPr>
                <w:rFonts w:eastAsia="Calibri"/>
                <w:sz w:val="14"/>
                <w:szCs w:val="14"/>
                <w:lang w:eastAsia="en-US"/>
              </w:rPr>
            </w:pPr>
            <w:r w:rsidRPr="00C443FC">
              <w:rPr>
                <w:rFonts w:eastAsia="Calibri"/>
                <w:sz w:val="14"/>
                <w:szCs w:val="14"/>
                <w:lang w:eastAsia="en-US"/>
              </w:rPr>
              <w:t>Nov.</w:t>
            </w:r>
          </w:p>
        </w:tc>
        <w:tc>
          <w:tcPr>
            <w:tcW w:w="426" w:type="dxa"/>
            <w:tcBorders>
              <w:top w:val="single" w:sz="4" w:space="0" w:color="auto"/>
              <w:left w:val="single" w:sz="4" w:space="0" w:color="auto"/>
              <w:bottom w:val="single" w:sz="4" w:space="0" w:color="auto"/>
              <w:right w:val="single" w:sz="4" w:space="0" w:color="auto"/>
            </w:tcBorders>
          </w:tcPr>
          <w:p w14:paraId="1280B84D" w14:textId="77777777" w:rsidR="00C443FC" w:rsidRPr="00C443FC" w:rsidRDefault="00C443FC" w:rsidP="00C443FC">
            <w:pPr>
              <w:ind w:right="-113"/>
              <w:jc w:val="center"/>
              <w:rPr>
                <w:rFonts w:eastAsia="Calibri"/>
                <w:sz w:val="14"/>
                <w:szCs w:val="14"/>
                <w:lang w:eastAsia="en-US"/>
              </w:rPr>
            </w:pPr>
            <w:r w:rsidRPr="00C443FC">
              <w:rPr>
                <w:rFonts w:eastAsia="Calibri"/>
                <w:sz w:val="14"/>
                <w:szCs w:val="14"/>
                <w:lang w:eastAsia="en-US"/>
              </w:rPr>
              <w:t>Dic.</w:t>
            </w:r>
          </w:p>
        </w:tc>
        <w:tc>
          <w:tcPr>
            <w:tcW w:w="466" w:type="dxa"/>
            <w:tcBorders>
              <w:top w:val="single" w:sz="4" w:space="0" w:color="auto"/>
              <w:left w:val="single" w:sz="4" w:space="0" w:color="auto"/>
              <w:bottom w:val="single" w:sz="4" w:space="0" w:color="auto"/>
              <w:right w:val="single" w:sz="4" w:space="0" w:color="auto"/>
            </w:tcBorders>
          </w:tcPr>
          <w:p w14:paraId="6F2B20E9" w14:textId="77777777" w:rsidR="00C443FC" w:rsidRPr="00C443FC" w:rsidRDefault="00C443FC" w:rsidP="00C443FC">
            <w:pPr>
              <w:ind w:right="-113"/>
              <w:jc w:val="center"/>
              <w:rPr>
                <w:rFonts w:eastAsia="Calibri"/>
                <w:sz w:val="14"/>
                <w:szCs w:val="14"/>
                <w:lang w:eastAsia="en-US"/>
              </w:rPr>
            </w:pPr>
            <w:r w:rsidRPr="00C443FC">
              <w:rPr>
                <w:rFonts w:eastAsia="Calibri"/>
                <w:sz w:val="14"/>
                <w:szCs w:val="14"/>
                <w:lang w:eastAsia="en-US"/>
              </w:rPr>
              <w:t>Ene.</w:t>
            </w:r>
          </w:p>
        </w:tc>
        <w:tc>
          <w:tcPr>
            <w:tcW w:w="439" w:type="dxa"/>
            <w:tcBorders>
              <w:top w:val="single" w:sz="4" w:space="0" w:color="auto"/>
              <w:left w:val="single" w:sz="4" w:space="0" w:color="auto"/>
              <w:bottom w:val="single" w:sz="4" w:space="0" w:color="auto"/>
              <w:right w:val="single" w:sz="4" w:space="0" w:color="auto"/>
            </w:tcBorders>
          </w:tcPr>
          <w:p w14:paraId="649A7AA9" w14:textId="77777777" w:rsidR="00C443FC" w:rsidRPr="00C443FC" w:rsidRDefault="00C443FC" w:rsidP="00C443FC">
            <w:pPr>
              <w:ind w:right="-113"/>
              <w:jc w:val="center"/>
              <w:rPr>
                <w:rFonts w:eastAsia="Calibri"/>
                <w:sz w:val="14"/>
                <w:szCs w:val="14"/>
                <w:lang w:eastAsia="en-US"/>
              </w:rPr>
            </w:pPr>
            <w:r w:rsidRPr="00C443FC">
              <w:rPr>
                <w:rFonts w:eastAsia="Calibri"/>
                <w:sz w:val="14"/>
                <w:szCs w:val="14"/>
                <w:lang w:eastAsia="en-US"/>
              </w:rPr>
              <w:t>Feb.</w:t>
            </w:r>
          </w:p>
        </w:tc>
      </w:tr>
      <w:tr w:rsidR="00C443FC" w:rsidRPr="00C443FC" w14:paraId="169B66EA" w14:textId="77777777" w:rsidTr="00D27C30">
        <w:trPr>
          <w:jc w:val="center"/>
        </w:trPr>
        <w:tc>
          <w:tcPr>
            <w:tcW w:w="3119" w:type="dxa"/>
            <w:tcBorders>
              <w:top w:val="single" w:sz="4" w:space="0" w:color="auto"/>
              <w:left w:val="single" w:sz="4" w:space="0" w:color="auto"/>
              <w:right w:val="single" w:sz="4" w:space="0" w:color="auto"/>
            </w:tcBorders>
          </w:tcPr>
          <w:p w14:paraId="352E4DBE" w14:textId="77777777" w:rsidR="00C443FC" w:rsidRPr="00C443FC" w:rsidRDefault="00C443FC" w:rsidP="00C443FC">
            <w:pPr>
              <w:jc w:val="both"/>
              <w:rPr>
                <w:rFonts w:eastAsia="Calibri"/>
                <w:sz w:val="14"/>
                <w:szCs w:val="14"/>
                <w:lang w:eastAsia="en-US"/>
              </w:rPr>
            </w:pPr>
            <w:r w:rsidRPr="00C443FC">
              <w:rPr>
                <w:rFonts w:eastAsia="Calibri"/>
                <w:sz w:val="14"/>
                <w:szCs w:val="14"/>
                <w:lang w:eastAsia="en-US"/>
              </w:rPr>
              <w:t>Problemas de inseguridad pública</w:t>
            </w:r>
          </w:p>
        </w:tc>
        <w:tc>
          <w:tcPr>
            <w:tcW w:w="421" w:type="dxa"/>
            <w:tcBorders>
              <w:top w:val="single" w:sz="4" w:space="0" w:color="auto"/>
              <w:left w:val="single" w:sz="4" w:space="0" w:color="auto"/>
              <w:right w:val="single" w:sz="4" w:space="0" w:color="auto"/>
            </w:tcBorders>
          </w:tcPr>
          <w:p w14:paraId="4C6937EE" w14:textId="77777777" w:rsidR="00C443FC" w:rsidRPr="00C443FC" w:rsidRDefault="00C443FC" w:rsidP="00C443FC">
            <w:pPr>
              <w:ind w:left="-113"/>
              <w:jc w:val="right"/>
              <w:rPr>
                <w:rFonts w:eastAsia="Calibri"/>
                <w:sz w:val="14"/>
                <w:szCs w:val="14"/>
                <w:lang w:eastAsia="en-US"/>
              </w:rPr>
            </w:pPr>
            <w:r w:rsidRPr="00C443FC">
              <w:rPr>
                <w:rFonts w:eastAsia="Calibri"/>
                <w:sz w:val="14"/>
                <w:szCs w:val="14"/>
                <w:lang w:eastAsia="en-US"/>
              </w:rPr>
              <w:t>18</w:t>
            </w:r>
          </w:p>
        </w:tc>
        <w:tc>
          <w:tcPr>
            <w:tcW w:w="425" w:type="dxa"/>
            <w:tcBorders>
              <w:top w:val="single" w:sz="4" w:space="0" w:color="auto"/>
              <w:left w:val="single" w:sz="4" w:space="0" w:color="auto"/>
              <w:right w:val="single" w:sz="4" w:space="0" w:color="auto"/>
            </w:tcBorders>
          </w:tcPr>
          <w:p w14:paraId="7B93915B"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21</w:t>
            </w:r>
          </w:p>
        </w:tc>
        <w:tc>
          <w:tcPr>
            <w:tcW w:w="426" w:type="dxa"/>
            <w:tcBorders>
              <w:top w:val="single" w:sz="4" w:space="0" w:color="auto"/>
              <w:left w:val="single" w:sz="4" w:space="0" w:color="auto"/>
              <w:right w:val="single" w:sz="4" w:space="0" w:color="auto"/>
            </w:tcBorders>
          </w:tcPr>
          <w:p w14:paraId="673C3F7A"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20</w:t>
            </w:r>
          </w:p>
        </w:tc>
        <w:tc>
          <w:tcPr>
            <w:tcW w:w="425" w:type="dxa"/>
            <w:tcBorders>
              <w:top w:val="single" w:sz="4" w:space="0" w:color="auto"/>
              <w:left w:val="single" w:sz="4" w:space="0" w:color="auto"/>
              <w:right w:val="single" w:sz="4" w:space="0" w:color="auto"/>
            </w:tcBorders>
          </w:tcPr>
          <w:p w14:paraId="0D5C090F"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20</w:t>
            </w:r>
          </w:p>
        </w:tc>
        <w:tc>
          <w:tcPr>
            <w:tcW w:w="425" w:type="dxa"/>
            <w:tcBorders>
              <w:top w:val="single" w:sz="4" w:space="0" w:color="auto"/>
              <w:left w:val="single" w:sz="4" w:space="0" w:color="auto"/>
              <w:right w:val="single" w:sz="4" w:space="0" w:color="auto"/>
            </w:tcBorders>
          </w:tcPr>
          <w:p w14:paraId="1ED440D8"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20</w:t>
            </w:r>
          </w:p>
        </w:tc>
        <w:tc>
          <w:tcPr>
            <w:tcW w:w="425" w:type="dxa"/>
            <w:tcBorders>
              <w:top w:val="single" w:sz="4" w:space="0" w:color="auto"/>
              <w:left w:val="single" w:sz="4" w:space="0" w:color="auto"/>
              <w:right w:val="single" w:sz="4" w:space="0" w:color="auto"/>
            </w:tcBorders>
          </w:tcPr>
          <w:p w14:paraId="4FC86161"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19</w:t>
            </w:r>
          </w:p>
        </w:tc>
        <w:tc>
          <w:tcPr>
            <w:tcW w:w="426" w:type="dxa"/>
            <w:tcBorders>
              <w:top w:val="single" w:sz="4" w:space="0" w:color="auto"/>
              <w:left w:val="single" w:sz="4" w:space="0" w:color="auto"/>
              <w:right w:val="single" w:sz="4" w:space="0" w:color="auto"/>
            </w:tcBorders>
          </w:tcPr>
          <w:p w14:paraId="554CA7F2"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22</w:t>
            </w:r>
          </w:p>
        </w:tc>
        <w:tc>
          <w:tcPr>
            <w:tcW w:w="429" w:type="dxa"/>
            <w:tcBorders>
              <w:top w:val="single" w:sz="4" w:space="0" w:color="auto"/>
              <w:left w:val="single" w:sz="4" w:space="0" w:color="auto"/>
              <w:right w:val="single" w:sz="4" w:space="0" w:color="auto"/>
            </w:tcBorders>
          </w:tcPr>
          <w:p w14:paraId="78D3C35B"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24</w:t>
            </w:r>
          </w:p>
        </w:tc>
        <w:tc>
          <w:tcPr>
            <w:tcW w:w="425" w:type="dxa"/>
            <w:tcBorders>
              <w:top w:val="single" w:sz="4" w:space="0" w:color="auto"/>
              <w:left w:val="single" w:sz="4" w:space="0" w:color="auto"/>
              <w:right w:val="single" w:sz="4" w:space="0" w:color="auto"/>
            </w:tcBorders>
          </w:tcPr>
          <w:p w14:paraId="6EFA6F18"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26</w:t>
            </w:r>
          </w:p>
        </w:tc>
        <w:tc>
          <w:tcPr>
            <w:tcW w:w="425" w:type="dxa"/>
            <w:tcBorders>
              <w:top w:val="single" w:sz="4" w:space="0" w:color="auto"/>
              <w:left w:val="single" w:sz="4" w:space="0" w:color="auto"/>
              <w:right w:val="single" w:sz="4" w:space="0" w:color="auto"/>
            </w:tcBorders>
          </w:tcPr>
          <w:p w14:paraId="1884E16F"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26</w:t>
            </w:r>
          </w:p>
        </w:tc>
        <w:tc>
          <w:tcPr>
            <w:tcW w:w="426" w:type="dxa"/>
            <w:tcBorders>
              <w:top w:val="single" w:sz="4" w:space="0" w:color="auto"/>
              <w:left w:val="single" w:sz="4" w:space="0" w:color="auto"/>
              <w:right w:val="single" w:sz="4" w:space="0" w:color="auto"/>
            </w:tcBorders>
          </w:tcPr>
          <w:p w14:paraId="3CC92096"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23</w:t>
            </w:r>
          </w:p>
        </w:tc>
        <w:tc>
          <w:tcPr>
            <w:tcW w:w="466" w:type="dxa"/>
            <w:tcBorders>
              <w:top w:val="single" w:sz="4" w:space="0" w:color="auto"/>
              <w:left w:val="single" w:sz="4" w:space="0" w:color="auto"/>
              <w:right w:val="single" w:sz="4" w:space="0" w:color="auto"/>
            </w:tcBorders>
          </w:tcPr>
          <w:p w14:paraId="0AF3FC5A"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26</w:t>
            </w:r>
          </w:p>
        </w:tc>
        <w:tc>
          <w:tcPr>
            <w:tcW w:w="439" w:type="dxa"/>
            <w:tcBorders>
              <w:top w:val="single" w:sz="4" w:space="0" w:color="auto"/>
              <w:left w:val="single" w:sz="4" w:space="0" w:color="auto"/>
              <w:right w:val="single" w:sz="4" w:space="0" w:color="auto"/>
            </w:tcBorders>
            <w:shd w:val="clear" w:color="auto" w:fill="auto"/>
          </w:tcPr>
          <w:p w14:paraId="4D24C4B6"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24</w:t>
            </w:r>
          </w:p>
        </w:tc>
      </w:tr>
      <w:tr w:rsidR="00C443FC" w:rsidRPr="00C443FC" w14:paraId="3F3E9B3B" w14:textId="77777777" w:rsidTr="00D27C30">
        <w:trPr>
          <w:jc w:val="center"/>
        </w:trPr>
        <w:tc>
          <w:tcPr>
            <w:tcW w:w="3119" w:type="dxa"/>
            <w:tcBorders>
              <w:left w:val="single" w:sz="4" w:space="0" w:color="auto"/>
              <w:right w:val="single" w:sz="4" w:space="0" w:color="auto"/>
            </w:tcBorders>
          </w:tcPr>
          <w:p w14:paraId="62C7EEF4" w14:textId="77777777" w:rsidR="00C443FC" w:rsidRPr="00C443FC" w:rsidRDefault="00C443FC" w:rsidP="00C443FC">
            <w:pPr>
              <w:jc w:val="both"/>
              <w:rPr>
                <w:rFonts w:eastAsia="Calibri"/>
                <w:sz w:val="14"/>
                <w:szCs w:val="14"/>
                <w:lang w:eastAsia="en-US"/>
              </w:rPr>
            </w:pPr>
            <w:r w:rsidRPr="00C443FC">
              <w:rPr>
                <w:rFonts w:eastAsia="Calibri"/>
                <w:sz w:val="14"/>
                <w:szCs w:val="14"/>
                <w:lang w:eastAsia="en-US"/>
              </w:rPr>
              <w:t>El precio de exportación del petróleo</w:t>
            </w:r>
          </w:p>
        </w:tc>
        <w:tc>
          <w:tcPr>
            <w:tcW w:w="421" w:type="dxa"/>
            <w:tcBorders>
              <w:left w:val="single" w:sz="4" w:space="0" w:color="auto"/>
              <w:right w:val="single" w:sz="4" w:space="0" w:color="auto"/>
            </w:tcBorders>
          </w:tcPr>
          <w:p w14:paraId="2B26FF94" w14:textId="77777777" w:rsidR="00C443FC" w:rsidRPr="00C443FC" w:rsidRDefault="00C443FC" w:rsidP="00C443FC">
            <w:pPr>
              <w:ind w:left="-113"/>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12278AB0"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6" w:type="dxa"/>
            <w:tcBorders>
              <w:left w:val="single" w:sz="4" w:space="0" w:color="auto"/>
              <w:right w:val="single" w:sz="4" w:space="0" w:color="auto"/>
            </w:tcBorders>
          </w:tcPr>
          <w:p w14:paraId="12004514"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2F66BA27"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13003241"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0994910D"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6" w:type="dxa"/>
            <w:tcBorders>
              <w:left w:val="single" w:sz="4" w:space="0" w:color="auto"/>
              <w:right w:val="single" w:sz="4" w:space="0" w:color="auto"/>
            </w:tcBorders>
          </w:tcPr>
          <w:p w14:paraId="238D645C"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9" w:type="dxa"/>
            <w:tcBorders>
              <w:left w:val="single" w:sz="4" w:space="0" w:color="auto"/>
              <w:right w:val="single" w:sz="4" w:space="0" w:color="auto"/>
            </w:tcBorders>
          </w:tcPr>
          <w:p w14:paraId="024FDF96"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4D413FE1"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8</w:t>
            </w:r>
          </w:p>
        </w:tc>
        <w:tc>
          <w:tcPr>
            <w:tcW w:w="425" w:type="dxa"/>
            <w:tcBorders>
              <w:left w:val="single" w:sz="4" w:space="0" w:color="auto"/>
              <w:right w:val="single" w:sz="4" w:space="0" w:color="auto"/>
            </w:tcBorders>
          </w:tcPr>
          <w:p w14:paraId="5B3C7208"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4</w:t>
            </w:r>
          </w:p>
        </w:tc>
        <w:tc>
          <w:tcPr>
            <w:tcW w:w="426" w:type="dxa"/>
            <w:tcBorders>
              <w:left w:val="single" w:sz="4" w:space="0" w:color="auto"/>
              <w:right w:val="single" w:sz="4" w:space="0" w:color="auto"/>
            </w:tcBorders>
          </w:tcPr>
          <w:p w14:paraId="38EF7ED7"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14</w:t>
            </w:r>
          </w:p>
        </w:tc>
        <w:tc>
          <w:tcPr>
            <w:tcW w:w="466" w:type="dxa"/>
            <w:tcBorders>
              <w:left w:val="single" w:sz="4" w:space="0" w:color="auto"/>
              <w:right w:val="single" w:sz="4" w:space="0" w:color="auto"/>
            </w:tcBorders>
          </w:tcPr>
          <w:p w14:paraId="56E1C117"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12</w:t>
            </w:r>
          </w:p>
        </w:tc>
        <w:tc>
          <w:tcPr>
            <w:tcW w:w="439" w:type="dxa"/>
            <w:tcBorders>
              <w:left w:val="single" w:sz="4" w:space="0" w:color="auto"/>
              <w:right w:val="single" w:sz="4" w:space="0" w:color="auto"/>
            </w:tcBorders>
          </w:tcPr>
          <w:p w14:paraId="2DB97808"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16</w:t>
            </w:r>
          </w:p>
        </w:tc>
      </w:tr>
      <w:tr w:rsidR="00C443FC" w:rsidRPr="00C443FC" w14:paraId="5178F2EA" w14:textId="77777777" w:rsidTr="00D27C30">
        <w:trPr>
          <w:jc w:val="center"/>
        </w:trPr>
        <w:tc>
          <w:tcPr>
            <w:tcW w:w="3119" w:type="dxa"/>
            <w:tcBorders>
              <w:left w:val="single" w:sz="4" w:space="0" w:color="auto"/>
              <w:right w:val="single" w:sz="4" w:space="0" w:color="auto"/>
            </w:tcBorders>
          </w:tcPr>
          <w:p w14:paraId="5FD5F57B" w14:textId="77777777" w:rsidR="00C443FC" w:rsidRPr="00C443FC" w:rsidRDefault="00C443FC" w:rsidP="00C443FC">
            <w:pPr>
              <w:jc w:val="both"/>
              <w:rPr>
                <w:rFonts w:eastAsia="Calibri"/>
                <w:sz w:val="14"/>
                <w:szCs w:val="14"/>
                <w:lang w:eastAsia="en-US"/>
              </w:rPr>
            </w:pPr>
            <w:r w:rsidRPr="00C443FC">
              <w:rPr>
                <w:rFonts w:eastAsia="Calibri"/>
                <w:sz w:val="14"/>
                <w:szCs w:val="14"/>
                <w:lang w:eastAsia="en-US"/>
              </w:rPr>
              <w:t>Debilidad del mercado interno</w:t>
            </w:r>
          </w:p>
        </w:tc>
        <w:tc>
          <w:tcPr>
            <w:tcW w:w="421" w:type="dxa"/>
            <w:tcBorders>
              <w:left w:val="single" w:sz="4" w:space="0" w:color="auto"/>
              <w:right w:val="single" w:sz="4" w:space="0" w:color="auto"/>
            </w:tcBorders>
            <w:shd w:val="clear" w:color="auto" w:fill="auto"/>
          </w:tcPr>
          <w:p w14:paraId="2E3761BA" w14:textId="77777777" w:rsidR="00C443FC" w:rsidRPr="00C443FC" w:rsidRDefault="00C443FC" w:rsidP="00C443FC">
            <w:pPr>
              <w:ind w:left="-113"/>
              <w:jc w:val="right"/>
              <w:rPr>
                <w:rFonts w:eastAsia="Calibri"/>
                <w:sz w:val="14"/>
                <w:szCs w:val="14"/>
                <w:lang w:eastAsia="en-US"/>
              </w:rPr>
            </w:pPr>
            <w:r w:rsidRPr="00C443FC">
              <w:rPr>
                <w:rFonts w:eastAsia="Calibri"/>
                <w:sz w:val="14"/>
                <w:szCs w:val="14"/>
                <w:lang w:eastAsia="en-US"/>
              </w:rPr>
              <w:t>15</w:t>
            </w:r>
          </w:p>
        </w:tc>
        <w:tc>
          <w:tcPr>
            <w:tcW w:w="425" w:type="dxa"/>
            <w:tcBorders>
              <w:left w:val="single" w:sz="4" w:space="0" w:color="auto"/>
              <w:right w:val="single" w:sz="4" w:space="0" w:color="auto"/>
            </w:tcBorders>
            <w:shd w:val="clear" w:color="auto" w:fill="auto"/>
          </w:tcPr>
          <w:p w14:paraId="1DACE195"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16</w:t>
            </w:r>
          </w:p>
        </w:tc>
        <w:tc>
          <w:tcPr>
            <w:tcW w:w="426" w:type="dxa"/>
            <w:tcBorders>
              <w:left w:val="single" w:sz="4" w:space="0" w:color="auto"/>
              <w:right w:val="single" w:sz="4" w:space="0" w:color="auto"/>
            </w:tcBorders>
            <w:shd w:val="clear" w:color="auto" w:fill="auto"/>
          </w:tcPr>
          <w:p w14:paraId="0C56CFC6"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15</w:t>
            </w:r>
          </w:p>
        </w:tc>
        <w:tc>
          <w:tcPr>
            <w:tcW w:w="425" w:type="dxa"/>
            <w:tcBorders>
              <w:left w:val="single" w:sz="4" w:space="0" w:color="auto"/>
              <w:right w:val="single" w:sz="4" w:space="0" w:color="auto"/>
            </w:tcBorders>
            <w:shd w:val="clear" w:color="auto" w:fill="auto"/>
          </w:tcPr>
          <w:p w14:paraId="796D8CB5"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16</w:t>
            </w:r>
          </w:p>
        </w:tc>
        <w:tc>
          <w:tcPr>
            <w:tcW w:w="425" w:type="dxa"/>
            <w:tcBorders>
              <w:left w:val="single" w:sz="4" w:space="0" w:color="auto"/>
              <w:right w:val="single" w:sz="4" w:space="0" w:color="auto"/>
            </w:tcBorders>
            <w:shd w:val="clear" w:color="auto" w:fill="auto"/>
          </w:tcPr>
          <w:p w14:paraId="7ABBFB47"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18</w:t>
            </w:r>
          </w:p>
        </w:tc>
        <w:tc>
          <w:tcPr>
            <w:tcW w:w="425" w:type="dxa"/>
            <w:tcBorders>
              <w:left w:val="single" w:sz="4" w:space="0" w:color="auto"/>
              <w:right w:val="single" w:sz="4" w:space="0" w:color="auto"/>
            </w:tcBorders>
            <w:shd w:val="clear" w:color="auto" w:fill="auto"/>
          </w:tcPr>
          <w:p w14:paraId="18A3D8FE"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15</w:t>
            </w:r>
          </w:p>
        </w:tc>
        <w:tc>
          <w:tcPr>
            <w:tcW w:w="426" w:type="dxa"/>
            <w:tcBorders>
              <w:left w:val="single" w:sz="4" w:space="0" w:color="auto"/>
              <w:right w:val="single" w:sz="4" w:space="0" w:color="auto"/>
            </w:tcBorders>
            <w:shd w:val="clear" w:color="auto" w:fill="auto"/>
          </w:tcPr>
          <w:p w14:paraId="60C84809"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19</w:t>
            </w:r>
          </w:p>
        </w:tc>
        <w:tc>
          <w:tcPr>
            <w:tcW w:w="429" w:type="dxa"/>
            <w:tcBorders>
              <w:left w:val="single" w:sz="4" w:space="0" w:color="auto"/>
              <w:right w:val="single" w:sz="4" w:space="0" w:color="auto"/>
            </w:tcBorders>
            <w:shd w:val="clear" w:color="auto" w:fill="auto"/>
          </w:tcPr>
          <w:p w14:paraId="7E807135"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14</w:t>
            </w:r>
          </w:p>
        </w:tc>
        <w:tc>
          <w:tcPr>
            <w:tcW w:w="425" w:type="dxa"/>
            <w:tcBorders>
              <w:left w:val="single" w:sz="4" w:space="0" w:color="auto"/>
              <w:right w:val="single" w:sz="4" w:space="0" w:color="auto"/>
            </w:tcBorders>
            <w:shd w:val="clear" w:color="auto" w:fill="auto"/>
          </w:tcPr>
          <w:p w14:paraId="20840CB2"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16</w:t>
            </w:r>
          </w:p>
        </w:tc>
        <w:tc>
          <w:tcPr>
            <w:tcW w:w="425" w:type="dxa"/>
            <w:tcBorders>
              <w:left w:val="single" w:sz="4" w:space="0" w:color="auto"/>
              <w:right w:val="single" w:sz="4" w:space="0" w:color="auto"/>
            </w:tcBorders>
            <w:shd w:val="clear" w:color="auto" w:fill="auto"/>
          </w:tcPr>
          <w:p w14:paraId="04E7C7AF"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12</w:t>
            </w:r>
          </w:p>
        </w:tc>
        <w:tc>
          <w:tcPr>
            <w:tcW w:w="426" w:type="dxa"/>
            <w:tcBorders>
              <w:left w:val="single" w:sz="4" w:space="0" w:color="auto"/>
              <w:right w:val="single" w:sz="4" w:space="0" w:color="auto"/>
            </w:tcBorders>
            <w:shd w:val="clear" w:color="auto" w:fill="auto"/>
          </w:tcPr>
          <w:p w14:paraId="4AE42ED5"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11</w:t>
            </w:r>
          </w:p>
        </w:tc>
        <w:tc>
          <w:tcPr>
            <w:tcW w:w="466" w:type="dxa"/>
            <w:tcBorders>
              <w:left w:val="single" w:sz="4" w:space="0" w:color="auto"/>
              <w:right w:val="single" w:sz="4" w:space="0" w:color="auto"/>
            </w:tcBorders>
            <w:shd w:val="clear" w:color="auto" w:fill="auto"/>
          </w:tcPr>
          <w:p w14:paraId="2EE58C4E"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14</w:t>
            </w:r>
          </w:p>
        </w:tc>
        <w:tc>
          <w:tcPr>
            <w:tcW w:w="439" w:type="dxa"/>
            <w:tcBorders>
              <w:left w:val="single" w:sz="4" w:space="0" w:color="auto"/>
              <w:right w:val="single" w:sz="4" w:space="0" w:color="auto"/>
            </w:tcBorders>
          </w:tcPr>
          <w:p w14:paraId="37444788"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13</w:t>
            </w:r>
          </w:p>
        </w:tc>
      </w:tr>
      <w:tr w:rsidR="00C443FC" w:rsidRPr="00C443FC" w14:paraId="5588D032" w14:textId="77777777" w:rsidTr="00D27C30">
        <w:trPr>
          <w:jc w:val="center"/>
        </w:trPr>
        <w:tc>
          <w:tcPr>
            <w:tcW w:w="3119" w:type="dxa"/>
            <w:tcBorders>
              <w:left w:val="single" w:sz="4" w:space="0" w:color="auto"/>
              <w:right w:val="single" w:sz="4" w:space="0" w:color="auto"/>
            </w:tcBorders>
          </w:tcPr>
          <w:p w14:paraId="280BD1ED" w14:textId="77777777" w:rsidR="00C443FC" w:rsidRPr="00C443FC" w:rsidRDefault="00C443FC" w:rsidP="00C443FC">
            <w:pPr>
              <w:jc w:val="both"/>
              <w:rPr>
                <w:rFonts w:eastAsia="Calibri"/>
                <w:sz w:val="14"/>
                <w:szCs w:val="14"/>
                <w:lang w:eastAsia="en-US"/>
              </w:rPr>
            </w:pPr>
            <w:r w:rsidRPr="00C443FC">
              <w:rPr>
                <w:rFonts w:eastAsia="Calibri"/>
                <w:sz w:val="14"/>
                <w:szCs w:val="14"/>
                <w:lang w:eastAsia="en-US"/>
              </w:rPr>
              <w:t>Inestabilidad financiera internacional</w:t>
            </w:r>
          </w:p>
        </w:tc>
        <w:tc>
          <w:tcPr>
            <w:tcW w:w="421" w:type="dxa"/>
            <w:tcBorders>
              <w:left w:val="single" w:sz="4" w:space="0" w:color="auto"/>
              <w:right w:val="single" w:sz="4" w:space="0" w:color="auto"/>
            </w:tcBorders>
            <w:shd w:val="clear" w:color="auto" w:fill="auto"/>
          </w:tcPr>
          <w:p w14:paraId="68813F8C" w14:textId="77777777" w:rsidR="00C443FC" w:rsidRPr="00C443FC" w:rsidRDefault="00C443FC" w:rsidP="00C443FC">
            <w:pPr>
              <w:ind w:left="-113"/>
              <w:jc w:val="right"/>
              <w:rPr>
                <w:rFonts w:eastAsia="Calibri"/>
                <w:sz w:val="14"/>
                <w:szCs w:val="14"/>
                <w:lang w:eastAsia="en-US"/>
              </w:rPr>
            </w:pPr>
            <w:r w:rsidRPr="00C443FC">
              <w:rPr>
                <w:rFonts w:eastAsia="Calibri"/>
                <w:sz w:val="14"/>
                <w:szCs w:val="14"/>
                <w:lang w:eastAsia="en-US"/>
              </w:rPr>
              <w:t>13</w:t>
            </w:r>
          </w:p>
        </w:tc>
        <w:tc>
          <w:tcPr>
            <w:tcW w:w="425" w:type="dxa"/>
            <w:tcBorders>
              <w:left w:val="single" w:sz="4" w:space="0" w:color="auto"/>
              <w:right w:val="single" w:sz="4" w:space="0" w:color="auto"/>
            </w:tcBorders>
            <w:shd w:val="clear" w:color="auto" w:fill="auto"/>
          </w:tcPr>
          <w:p w14:paraId="416FBE84"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9</w:t>
            </w:r>
          </w:p>
        </w:tc>
        <w:tc>
          <w:tcPr>
            <w:tcW w:w="426" w:type="dxa"/>
            <w:tcBorders>
              <w:left w:val="single" w:sz="4" w:space="0" w:color="auto"/>
              <w:right w:val="single" w:sz="4" w:space="0" w:color="auto"/>
            </w:tcBorders>
            <w:shd w:val="clear" w:color="auto" w:fill="auto"/>
          </w:tcPr>
          <w:p w14:paraId="76ECB3ED"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9</w:t>
            </w:r>
          </w:p>
        </w:tc>
        <w:tc>
          <w:tcPr>
            <w:tcW w:w="425" w:type="dxa"/>
            <w:tcBorders>
              <w:left w:val="single" w:sz="4" w:space="0" w:color="auto"/>
              <w:right w:val="single" w:sz="4" w:space="0" w:color="auto"/>
            </w:tcBorders>
            <w:shd w:val="clear" w:color="auto" w:fill="auto"/>
          </w:tcPr>
          <w:p w14:paraId="71BF9377"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8</w:t>
            </w:r>
          </w:p>
        </w:tc>
        <w:tc>
          <w:tcPr>
            <w:tcW w:w="425" w:type="dxa"/>
            <w:tcBorders>
              <w:left w:val="single" w:sz="4" w:space="0" w:color="auto"/>
              <w:right w:val="single" w:sz="4" w:space="0" w:color="auto"/>
            </w:tcBorders>
            <w:shd w:val="clear" w:color="auto" w:fill="auto"/>
          </w:tcPr>
          <w:p w14:paraId="5D892C8C"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4</w:t>
            </w:r>
          </w:p>
        </w:tc>
        <w:tc>
          <w:tcPr>
            <w:tcW w:w="425" w:type="dxa"/>
            <w:tcBorders>
              <w:left w:val="single" w:sz="4" w:space="0" w:color="auto"/>
              <w:right w:val="single" w:sz="4" w:space="0" w:color="auto"/>
            </w:tcBorders>
            <w:shd w:val="clear" w:color="auto" w:fill="auto"/>
          </w:tcPr>
          <w:p w14:paraId="727EDB7C"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9</w:t>
            </w:r>
          </w:p>
        </w:tc>
        <w:tc>
          <w:tcPr>
            <w:tcW w:w="426" w:type="dxa"/>
            <w:tcBorders>
              <w:left w:val="single" w:sz="4" w:space="0" w:color="auto"/>
              <w:right w:val="single" w:sz="4" w:space="0" w:color="auto"/>
            </w:tcBorders>
            <w:shd w:val="clear" w:color="auto" w:fill="auto"/>
          </w:tcPr>
          <w:p w14:paraId="07B72214"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10</w:t>
            </w:r>
          </w:p>
        </w:tc>
        <w:tc>
          <w:tcPr>
            <w:tcW w:w="429" w:type="dxa"/>
            <w:tcBorders>
              <w:left w:val="single" w:sz="4" w:space="0" w:color="auto"/>
              <w:right w:val="single" w:sz="4" w:space="0" w:color="auto"/>
            </w:tcBorders>
            <w:shd w:val="clear" w:color="auto" w:fill="auto"/>
          </w:tcPr>
          <w:p w14:paraId="17A320D3"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14</w:t>
            </w:r>
          </w:p>
        </w:tc>
        <w:tc>
          <w:tcPr>
            <w:tcW w:w="425" w:type="dxa"/>
            <w:tcBorders>
              <w:left w:val="single" w:sz="4" w:space="0" w:color="auto"/>
              <w:right w:val="single" w:sz="4" w:space="0" w:color="auto"/>
            </w:tcBorders>
            <w:shd w:val="clear" w:color="auto" w:fill="auto"/>
          </w:tcPr>
          <w:p w14:paraId="682F0409"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11</w:t>
            </w:r>
          </w:p>
        </w:tc>
        <w:tc>
          <w:tcPr>
            <w:tcW w:w="425" w:type="dxa"/>
            <w:tcBorders>
              <w:left w:val="single" w:sz="4" w:space="0" w:color="auto"/>
              <w:right w:val="single" w:sz="4" w:space="0" w:color="auto"/>
            </w:tcBorders>
            <w:shd w:val="clear" w:color="auto" w:fill="auto"/>
          </w:tcPr>
          <w:p w14:paraId="6EBAAEC0"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9</w:t>
            </w:r>
          </w:p>
        </w:tc>
        <w:tc>
          <w:tcPr>
            <w:tcW w:w="426" w:type="dxa"/>
            <w:tcBorders>
              <w:left w:val="single" w:sz="4" w:space="0" w:color="auto"/>
              <w:right w:val="single" w:sz="4" w:space="0" w:color="auto"/>
            </w:tcBorders>
            <w:shd w:val="clear" w:color="auto" w:fill="auto"/>
          </w:tcPr>
          <w:p w14:paraId="0ACEE1A8"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13</w:t>
            </w:r>
          </w:p>
        </w:tc>
        <w:tc>
          <w:tcPr>
            <w:tcW w:w="466" w:type="dxa"/>
            <w:tcBorders>
              <w:left w:val="single" w:sz="4" w:space="0" w:color="auto"/>
              <w:right w:val="single" w:sz="4" w:space="0" w:color="auto"/>
            </w:tcBorders>
            <w:shd w:val="clear" w:color="auto" w:fill="auto"/>
          </w:tcPr>
          <w:p w14:paraId="3DB39EB5"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9</w:t>
            </w:r>
          </w:p>
        </w:tc>
        <w:tc>
          <w:tcPr>
            <w:tcW w:w="439" w:type="dxa"/>
            <w:tcBorders>
              <w:left w:val="single" w:sz="4" w:space="0" w:color="auto"/>
              <w:right w:val="single" w:sz="4" w:space="0" w:color="auto"/>
            </w:tcBorders>
            <w:shd w:val="clear" w:color="auto" w:fill="FFFFFF"/>
          </w:tcPr>
          <w:p w14:paraId="2EDC53D5"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12</w:t>
            </w:r>
          </w:p>
        </w:tc>
      </w:tr>
      <w:tr w:rsidR="00C443FC" w:rsidRPr="00C443FC" w14:paraId="779F6CE0" w14:textId="77777777" w:rsidTr="00D27C30">
        <w:trPr>
          <w:jc w:val="center"/>
        </w:trPr>
        <w:tc>
          <w:tcPr>
            <w:tcW w:w="3119" w:type="dxa"/>
            <w:tcBorders>
              <w:left w:val="single" w:sz="4" w:space="0" w:color="auto"/>
              <w:right w:val="single" w:sz="4" w:space="0" w:color="auto"/>
            </w:tcBorders>
          </w:tcPr>
          <w:p w14:paraId="7CA7E261" w14:textId="77777777" w:rsidR="00C443FC" w:rsidRPr="00C443FC" w:rsidRDefault="00C443FC" w:rsidP="00C443FC">
            <w:pPr>
              <w:jc w:val="both"/>
              <w:rPr>
                <w:rFonts w:eastAsia="Calibri"/>
                <w:sz w:val="14"/>
                <w:szCs w:val="14"/>
                <w:lang w:eastAsia="en-US"/>
              </w:rPr>
            </w:pPr>
            <w:r w:rsidRPr="00C443FC">
              <w:rPr>
                <w:rFonts w:eastAsia="Calibri"/>
                <w:sz w:val="14"/>
                <w:szCs w:val="14"/>
                <w:lang w:eastAsia="en-US"/>
              </w:rPr>
              <w:t>La política fiscal que se está instrumentando</w:t>
            </w:r>
          </w:p>
        </w:tc>
        <w:tc>
          <w:tcPr>
            <w:tcW w:w="421" w:type="dxa"/>
            <w:tcBorders>
              <w:left w:val="single" w:sz="4" w:space="0" w:color="auto"/>
              <w:right w:val="single" w:sz="4" w:space="0" w:color="auto"/>
            </w:tcBorders>
            <w:shd w:val="clear" w:color="auto" w:fill="auto"/>
          </w:tcPr>
          <w:p w14:paraId="4FA4A9BC" w14:textId="77777777" w:rsidR="00C443FC" w:rsidRPr="00C443FC" w:rsidRDefault="00C443FC" w:rsidP="00C443FC">
            <w:pPr>
              <w:ind w:left="-113"/>
              <w:jc w:val="right"/>
              <w:rPr>
                <w:rFonts w:eastAsia="Calibri"/>
                <w:sz w:val="14"/>
                <w:szCs w:val="14"/>
                <w:lang w:eastAsia="en-US"/>
              </w:rPr>
            </w:pPr>
            <w:r w:rsidRPr="00C443FC">
              <w:rPr>
                <w:rFonts w:eastAsia="Calibri"/>
                <w:sz w:val="14"/>
                <w:szCs w:val="14"/>
                <w:lang w:eastAsia="en-US"/>
              </w:rPr>
              <w:t>10</w:t>
            </w:r>
          </w:p>
        </w:tc>
        <w:tc>
          <w:tcPr>
            <w:tcW w:w="425" w:type="dxa"/>
            <w:tcBorders>
              <w:left w:val="single" w:sz="4" w:space="0" w:color="auto"/>
              <w:right w:val="single" w:sz="4" w:space="0" w:color="auto"/>
            </w:tcBorders>
            <w:shd w:val="clear" w:color="auto" w:fill="auto"/>
          </w:tcPr>
          <w:p w14:paraId="7B106CEE"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12</w:t>
            </w:r>
          </w:p>
        </w:tc>
        <w:tc>
          <w:tcPr>
            <w:tcW w:w="426" w:type="dxa"/>
            <w:tcBorders>
              <w:left w:val="single" w:sz="4" w:space="0" w:color="auto"/>
              <w:right w:val="single" w:sz="4" w:space="0" w:color="auto"/>
            </w:tcBorders>
            <w:shd w:val="clear" w:color="auto" w:fill="auto"/>
          </w:tcPr>
          <w:p w14:paraId="402FEC48"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11</w:t>
            </w:r>
          </w:p>
        </w:tc>
        <w:tc>
          <w:tcPr>
            <w:tcW w:w="425" w:type="dxa"/>
            <w:tcBorders>
              <w:left w:val="single" w:sz="4" w:space="0" w:color="auto"/>
              <w:right w:val="single" w:sz="4" w:space="0" w:color="auto"/>
            </w:tcBorders>
            <w:shd w:val="clear" w:color="auto" w:fill="auto"/>
          </w:tcPr>
          <w:p w14:paraId="09886FE2"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11</w:t>
            </w:r>
          </w:p>
        </w:tc>
        <w:tc>
          <w:tcPr>
            <w:tcW w:w="425" w:type="dxa"/>
            <w:tcBorders>
              <w:left w:val="single" w:sz="4" w:space="0" w:color="auto"/>
              <w:right w:val="single" w:sz="4" w:space="0" w:color="auto"/>
            </w:tcBorders>
            <w:shd w:val="clear" w:color="auto" w:fill="auto"/>
          </w:tcPr>
          <w:p w14:paraId="5238EFE4"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12</w:t>
            </w:r>
          </w:p>
        </w:tc>
        <w:tc>
          <w:tcPr>
            <w:tcW w:w="425" w:type="dxa"/>
            <w:tcBorders>
              <w:left w:val="single" w:sz="4" w:space="0" w:color="auto"/>
              <w:right w:val="single" w:sz="4" w:space="0" w:color="auto"/>
            </w:tcBorders>
            <w:shd w:val="clear" w:color="auto" w:fill="auto"/>
          </w:tcPr>
          <w:p w14:paraId="6D57DFE8"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13</w:t>
            </w:r>
          </w:p>
        </w:tc>
        <w:tc>
          <w:tcPr>
            <w:tcW w:w="426" w:type="dxa"/>
            <w:tcBorders>
              <w:left w:val="single" w:sz="4" w:space="0" w:color="auto"/>
              <w:right w:val="single" w:sz="4" w:space="0" w:color="auto"/>
            </w:tcBorders>
            <w:shd w:val="clear" w:color="auto" w:fill="auto"/>
          </w:tcPr>
          <w:p w14:paraId="5F35BE91"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13</w:t>
            </w:r>
          </w:p>
        </w:tc>
        <w:tc>
          <w:tcPr>
            <w:tcW w:w="429" w:type="dxa"/>
            <w:tcBorders>
              <w:left w:val="single" w:sz="4" w:space="0" w:color="auto"/>
              <w:right w:val="single" w:sz="4" w:space="0" w:color="auto"/>
            </w:tcBorders>
            <w:shd w:val="clear" w:color="auto" w:fill="auto"/>
          </w:tcPr>
          <w:p w14:paraId="2BDCA11C"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15</w:t>
            </w:r>
          </w:p>
        </w:tc>
        <w:tc>
          <w:tcPr>
            <w:tcW w:w="425" w:type="dxa"/>
            <w:tcBorders>
              <w:left w:val="single" w:sz="4" w:space="0" w:color="auto"/>
              <w:right w:val="single" w:sz="4" w:space="0" w:color="auto"/>
            </w:tcBorders>
            <w:shd w:val="clear" w:color="auto" w:fill="auto"/>
          </w:tcPr>
          <w:p w14:paraId="4A1D803E"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13</w:t>
            </w:r>
          </w:p>
        </w:tc>
        <w:tc>
          <w:tcPr>
            <w:tcW w:w="425" w:type="dxa"/>
            <w:tcBorders>
              <w:left w:val="single" w:sz="4" w:space="0" w:color="auto"/>
              <w:right w:val="single" w:sz="4" w:space="0" w:color="auto"/>
            </w:tcBorders>
            <w:shd w:val="clear" w:color="auto" w:fill="auto"/>
          </w:tcPr>
          <w:p w14:paraId="68CDB8E4"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10</w:t>
            </w:r>
          </w:p>
        </w:tc>
        <w:tc>
          <w:tcPr>
            <w:tcW w:w="426" w:type="dxa"/>
            <w:tcBorders>
              <w:left w:val="single" w:sz="4" w:space="0" w:color="auto"/>
              <w:right w:val="single" w:sz="4" w:space="0" w:color="auto"/>
            </w:tcBorders>
            <w:shd w:val="clear" w:color="auto" w:fill="auto"/>
          </w:tcPr>
          <w:p w14:paraId="373AF206"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7</w:t>
            </w:r>
          </w:p>
        </w:tc>
        <w:tc>
          <w:tcPr>
            <w:tcW w:w="466" w:type="dxa"/>
            <w:tcBorders>
              <w:left w:val="single" w:sz="4" w:space="0" w:color="auto"/>
              <w:right w:val="single" w:sz="4" w:space="0" w:color="auto"/>
            </w:tcBorders>
            <w:shd w:val="clear" w:color="auto" w:fill="auto"/>
          </w:tcPr>
          <w:p w14:paraId="6B6398EF"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8</w:t>
            </w:r>
          </w:p>
        </w:tc>
        <w:tc>
          <w:tcPr>
            <w:tcW w:w="439" w:type="dxa"/>
            <w:tcBorders>
              <w:left w:val="single" w:sz="4" w:space="0" w:color="auto"/>
              <w:right w:val="single" w:sz="4" w:space="0" w:color="auto"/>
            </w:tcBorders>
            <w:shd w:val="clear" w:color="auto" w:fill="auto"/>
          </w:tcPr>
          <w:p w14:paraId="66EEF0F9"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10</w:t>
            </w:r>
          </w:p>
        </w:tc>
      </w:tr>
      <w:tr w:rsidR="00C443FC" w:rsidRPr="00C443FC" w14:paraId="0454668C" w14:textId="77777777" w:rsidTr="00D27C30">
        <w:trPr>
          <w:jc w:val="center"/>
        </w:trPr>
        <w:tc>
          <w:tcPr>
            <w:tcW w:w="3119" w:type="dxa"/>
            <w:tcBorders>
              <w:left w:val="single" w:sz="4" w:space="0" w:color="auto"/>
              <w:right w:val="single" w:sz="4" w:space="0" w:color="auto"/>
            </w:tcBorders>
          </w:tcPr>
          <w:p w14:paraId="3A20C736" w14:textId="77777777" w:rsidR="00C443FC" w:rsidRPr="00C443FC" w:rsidRDefault="00C443FC" w:rsidP="00C443FC">
            <w:pPr>
              <w:jc w:val="both"/>
              <w:rPr>
                <w:rFonts w:eastAsia="Calibri"/>
                <w:sz w:val="14"/>
                <w:szCs w:val="14"/>
                <w:lang w:eastAsia="en-US"/>
              </w:rPr>
            </w:pPr>
            <w:r w:rsidRPr="00C443FC">
              <w:rPr>
                <w:rFonts w:eastAsia="Calibri"/>
                <w:sz w:val="14"/>
                <w:szCs w:val="14"/>
                <w:lang w:eastAsia="en-US"/>
              </w:rPr>
              <w:t>Debilidad de mercado externo y de la economía mundial</w:t>
            </w:r>
          </w:p>
        </w:tc>
        <w:tc>
          <w:tcPr>
            <w:tcW w:w="421" w:type="dxa"/>
            <w:tcBorders>
              <w:left w:val="single" w:sz="4" w:space="0" w:color="auto"/>
              <w:right w:val="single" w:sz="4" w:space="0" w:color="auto"/>
            </w:tcBorders>
            <w:shd w:val="clear" w:color="auto" w:fill="auto"/>
            <w:vAlign w:val="center"/>
          </w:tcPr>
          <w:p w14:paraId="16872395" w14:textId="77777777" w:rsidR="00C443FC" w:rsidRPr="00C443FC" w:rsidRDefault="00C443FC" w:rsidP="00C443FC">
            <w:pPr>
              <w:ind w:left="-113"/>
              <w:jc w:val="right"/>
              <w:rPr>
                <w:rFonts w:eastAsia="Calibri"/>
                <w:sz w:val="14"/>
                <w:szCs w:val="14"/>
                <w:lang w:eastAsia="en-US"/>
              </w:rPr>
            </w:pPr>
            <w:r w:rsidRPr="00C443FC">
              <w:rPr>
                <w:rFonts w:eastAsia="Calibri"/>
                <w:sz w:val="14"/>
                <w:szCs w:val="14"/>
                <w:lang w:eastAsia="en-US"/>
              </w:rPr>
              <w:t>17</w:t>
            </w:r>
          </w:p>
        </w:tc>
        <w:tc>
          <w:tcPr>
            <w:tcW w:w="425" w:type="dxa"/>
            <w:tcBorders>
              <w:left w:val="single" w:sz="4" w:space="0" w:color="auto"/>
              <w:right w:val="single" w:sz="4" w:space="0" w:color="auto"/>
            </w:tcBorders>
            <w:shd w:val="clear" w:color="auto" w:fill="auto"/>
            <w:vAlign w:val="center"/>
          </w:tcPr>
          <w:p w14:paraId="596CD11C"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16</w:t>
            </w:r>
          </w:p>
        </w:tc>
        <w:tc>
          <w:tcPr>
            <w:tcW w:w="426" w:type="dxa"/>
            <w:tcBorders>
              <w:left w:val="single" w:sz="4" w:space="0" w:color="auto"/>
              <w:right w:val="single" w:sz="4" w:space="0" w:color="auto"/>
            </w:tcBorders>
            <w:shd w:val="clear" w:color="auto" w:fill="auto"/>
            <w:vAlign w:val="center"/>
          </w:tcPr>
          <w:p w14:paraId="3E9F120A"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13</w:t>
            </w:r>
          </w:p>
        </w:tc>
        <w:tc>
          <w:tcPr>
            <w:tcW w:w="425" w:type="dxa"/>
            <w:tcBorders>
              <w:left w:val="single" w:sz="4" w:space="0" w:color="auto"/>
              <w:right w:val="single" w:sz="4" w:space="0" w:color="auto"/>
            </w:tcBorders>
            <w:shd w:val="clear" w:color="auto" w:fill="auto"/>
            <w:vAlign w:val="center"/>
          </w:tcPr>
          <w:p w14:paraId="7783CE90"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14</w:t>
            </w:r>
          </w:p>
        </w:tc>
        <w:tc>
          <w:tcPr>
            <w:tcW w:w="425" w:type="dxa"/>
            <w:tcBorders>
              <w:left w:val="single" w:sz="4" w:space="0" w:color="auto"/>
              <w:right w:val="single" w:sz="4" w:space="0" w:color="auto"/>
            </w:tcBorders>
            <w:shd w:val="clear" w:color="auto" w:fill="auto"/>
            <w:vAlign w:val="center"/>
          </w:tcPr>
          <w:p w14:paraId="16986EB7"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16</w:t>
            </w:r>
          </w:p>
        </w:tc>
        <w:tc>
          <w:tcPr>
            <w:tcW w:w="425" w:type="dxa"/>
            <w:tcBorders>
              <w:left w:val="single" w:sz="4" w:space="0" w:color="auto"/>
              <w:right w:val="single" w:sz="4" w:space="0" w:color="auto"/>
            </w:tcBorders>
            <w:shd w:val="clear" w:color="auto" w:fill="auto"/>
            <w:vAlign w:val="center"/>
          </w:tcPr>
          <w:p w14:paraId="70DC1474"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13</w:t>
            </w:r>
          </w:p>
        </w:tc>
        <w:tc>
          <w:tcPr>
            <w:tcW w:w="426" w:type="dxa"/>
            <w:tcBorders>
              <w:left w:val="single" w:sz="4" w:space="0" w:color="auto"/>
              <w:right w:val="single" w:sz="4" w:space="0" w:color="auto"/>
            </w:tcBorders>
            <w:shd w:val="clear" w:color="auto" w:fill="auto"/>
            <w:vAlign w:val="center"/>
          </w:tcPr>
          <w:p w14:paraId="4609AC43"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10</w:t>
            </w:r>
          </w:p>
        </w:tc>
        <w:tc>
          <w:tcPr>
            <w:tcW w:w="429" w:type="dxa"/>
            <w:tcBorders>
              <w:left w:val="single" w:sz="4" w:space="0" w:color="auto"/>
              <w:right w:val="single" w:sz="4" w:space="0" w:color="auto"/>
            </w:tcBorders>
            <w:shd w:val="clear" w:color="auto" w:fill="auto"/>
            <w:vAlign w:val="center"/>
          </w:tcPr>
          <w:p w14:paraId="7C226592"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11</w:t>
            </w:r>
          </w:p>
        </w:tc>
        <w:tc>
          <w:tcPr>
            <w:tcW w:w="425" w:type="dxa"/>
            <w:tcBorders>
              <w:left w:val="single" w:sz="4" w:space="0" w:color="auto"/>
              <w:right w:val="single" w:sz="4" w:space="0" w:color="auto"/>
            </w:tcBorders>
            <w:shd w:val="clear" w:color="auto" w:fill="auto"/>
            <w:vAlign w:val="center"/>
          </w:tcPr>
          <w:p w14:paraId="4E9F8D12"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11</w:t>
            </w:r>
          </w:p>
        </w:tc>
        <w:tc>
          <w:tcPr>
            <w:tcW w:w="425" w:type="dxa"/>
            <w:tcBorders>
              <w:left w:val="single" w:sz="4" w:space="0" w:color="auto"/>
              <w:right w:val="single" w:sz="4" w:space="0" w:color="auto"/>
            </w:tcBorders>
            <w:shd w:val="clear" w:color="auto" w:fill="auto"/>
            <w:vAlign w:val="center"/>
          </w:tcPr>
          <w:p w14:paraId="59F3CF44"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13</w:t>
            </w:r>
          </w:p>
        </w:tc>
        <w:tc>
          <w:tcPr>
            <w:tcW w:w="426" w:type="dxa"/>
            <w:tcBorders>
              <w:left w:val="single" w:sz="4" w:space="0" w:color="auto"/>
              <w:right w:val="single" w:sz="4" w:space="0" w:color="auto"/>
            </w:tcBorders>
            <w:shd w:val="clear" w:color="auto" w:fill="auto"/>
            <w:vAlign w:val="center"/>
          </w:tcPr>
          <w:p w14:paraId="79635AD6"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11</w:t>
            </w:r>
          </w:p>
        </w:tc>
        <w:tc>
          <w:tcPr>
            <w:tcW w:w="466" w:type="dxa"/>
            <w:tcBorders>
              <w:left w:val="single" w:sz="4" w:space="0" w:color="auto"/>
              <w:right w:val="single" w:sz="4" w:space="0" w:color="auto"/>
            </w:tcBorders>
            <w:shd w:val="clear" w:color="auto" w:fill="auto"/>
            <w:vAlign w:val="center"/>
          </w:tcPr>
          <w:p w14:paraId="73A0BC99"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12</w:t>
            </w:r>
          </w:p>
        </w:tc>
        <w:tc>
          <w:tcPr>
            <w:tcW w:w="439" w:type="dxa"/>
            <w:tcBorders>
              <w:left w:val="single" w:sz="4" w:space="0" w:color="auto"/>
              <w:right w:val="single" w:sz="4" w:space="0" w:color="auto"/>
            </w:tcBorders>
            <w:shd w:val="clear" w:color="auto" w:fill="auto"/>
            <w:vAlign w:val="center"/>
          </w:tcPr>
          <w:p w14:paraId="78703955"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7</w:t>
            </w:r>
          </w:p>
        </w:tc>
      </w:tr>
      <w:tr w:rsidR="00C443FC" w:rsidRPr="00C443FC" w14:paraId="40118AB8" w14:textId="77777777" w:rsidTr="00D27C30">
        <w:trPr>
          <w:jc w:val="center"/>
        </w:trPr>
        <w:tc>
          <w:tcPr>
            <w:tcW w:w="3119" w:type="dxa"/>
            <w:tcBorders>
              <w:left w:val="single" w:sz="4" w:space="0" w:color="auto"/>
              <w:right w:val="single" w:sz="4" w:space="0" w:color="auto"/>
            </w:tcBorders>
          </w:tcPr>
          <w:p w14:paraId="34EEB54B" w14:textId="77777777" w:rsidR="00C443FC" w:rsidRPr="00C443FC" w:rsidRDefault="00C443FC" w:rsidP="00C443FC">
            <w:pPr>
              <w:jc w:val="both"/>
              <w:rPr>
                <w:rFonts w:eastAsia="Calibri"/>
                <w:sz w:val="14"/>
                <w:szCs w:val="14"/>
                <w:lang w:eastAsia="en-US"/>
              </w:rPr>
            </w:pPr>
            <w:r w:rsidRPr="00C443FC">
              <w:rPr>
                <w:rFonts w:eastAsia="Calibri"/>
                <w:sz w:val="14"/>
                <w:szCs w:val="14"/>
                <w:lang w:eastAsia="en-US"/>
              </w:rPr>
              <w:t>Incertidumbre cambiaria</w:t>
            </w:r>
          </w:p>
        </w:tc>
        <w:tc>
          <w:tcPr>
            <w:tcW w:w="421" w:type="dxa"/>
            <w:tcBorders>
              <w:left w:val="single" w:sz="4" w:space="0" w:color="auto"/>
              <w:right w:val="single" w:sz="4" w:space="0" w:color="auto"/>
            </w:tcBorders>
          </w:tcPr>
          <w:p w14:paraId="44ADCD12" w14:textId="77777777" w:rsidR="00C443FC" w:rsidRPr="00C443FC" w:rsidRDefault="00C443FC" w:rsidP="00C443FC">
            <w:pPr>
              <w:ind w:left="-113"/>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5AA108AC"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6" w:type="dxa"/>
            <w:tcBorders>
              <w:left w:val="single" w:sz="4" w:space="0" w:color="auto"/>
              <w:right w:val="single" w:sz="4" w:space="0" w:color="auto"/>
            </w:tcBorders>
          </w:tcPr>
          <w:p w14:paraId="6ED6A638"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3BB39639"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7396E77D"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7F3B9DFE"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6" w:type="dxa"/>
            <w:tcBorders>
              <w:left w:val="single" w:sz="4" w:space="0" w:color="auto"/>
              <w:right w:val="single" w:sz="4" w:space="0" w:color="auto"/>
            </w:tcBorders>
          </w:tcPr>
          <w:p w14:paraId="2D291595"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9" w:type="dxa"/>
            <w:tcBorders>
              <w:left w:val="single" w:sz="4" w:space="0" w:color="auto"/>
              <w:right w:val="single" w:sz="4" w:space="0" w:color="auto"/>
            </w:tcBorders>
          </w:tcPr>
          <w:p w14:paraId="1C2DB5CB"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20A3FD39"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4E362A54"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6" w:type="dxa"/>
            <w:tcBorders>
              <w:left w:val="single" w:sz="4" w:space="0" w:color="auto"/>
              <w:right w:val="single" w:sz="4" w:space="0" w:color="auto"/>
            </w:tcBorders>
          </w:tcPr>
          <w:p w14:paraId="0F02C251"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5</w:t>
            </w:r>
          </w:p>
        </w:tc>
        <w:tc>
          <w:tcPr>
            <w:tcW w:w="466" w:type="dxa"/>
            <w:tcBorders>
              <w:left w:val="single" w:sz="4" w:space="0" w:color="auto"/>
              <w:right w:val="single" w:sz="4" w:space="0" w:color="auto"/>
            </w:tcBorders>
          </w:tcPr>
          <w:p w14:paraId="77E5632E"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39" w:type="dxa"/>
            <w:tcBorders>
              <w:left w:val="single" w:sz="4" w:space="0" w:color="auto"/>
              <w:right w:val="single" w:sz="4" w:space="0" w:color="auto"/>
            </w:tcBorders>
          </w:tcPr>
          <w:p w14:paraId="361AE009"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4</w:t>
            </w:r>
          </w:p>
        </w:tc>
      </w:tr>
      <w:tr w:rsidR="00C443FC" w:rsidRPr="00C443FC" w14:paraId="44EA082C" w14:textId="77777777" w:rsidTr="00D27C30">
        <w:trPr>
          <w:jc w:val="center"/>
        </w:trPr>
        <w:tc>
          <w:tcPr>
            <w:tcW w:w="3119" w:type="dxa"/>
            <w:tcBorders>
              <w:left w:val="single" w:sz="4" w:space="0" w:color="auto"/>
              <w:right w:val="single" w:sz="4" w:space="0" w:color="auto"/>
            </w:tcBorders>
          </w:tcPr>
          <w:p w14:paraId="7C037953" w14:textId="77777777" w:rsidR="00C443FC" w:rsidRPr="00C443FC" w:rsidRDefault="00C443FC" w:rsidP="00C443FC">
            <w:pPr>
              <w:jc w:val="both"/>
              <w:rPr>
                <w:rFonts w:eastAsia="Calibri"/>
                <w:sz w:val="14"/>
                <w:szCs w:val="14"/>
                <w:lang w:eastAsia="en-US"/>
              </w:rPr>
            </w:pPr>
            <w:r w:rsidRPr="00C443FC">
              <w:rPr>
                <w:rFonts w:eastAsia="Calibri"/>
                <w:sz w:val="14"/>
                <w:szCs w:val="14"/>
                <w:lang w:eastAsia="en-US"/>
              </w:rPr>
              <w:t>Los niveles de las tasas de interés externas</w:t>
            </w:r>
          </w:p>
        </w:tc>
        <w:tc>
          <w:tcPr>
            <w:tcW w:w="421" w:type="dxa"/>
            <w:tcBorders>
              <w:left w:val="single" w:sz="4" w:space="0" w:color="auto"/>
              <w:right w:val="single" w:sz="4" w:space="0" w:color="auto"/>
            </w:tcBorders>
          </w:tcPr>
          <w:p w14:paraId="2C52661B" w14:textId="77777777" w:rsidR="00C443FC" w:rsidRPr="00C443FC" w:rsidRDefault="00C443FC" w:rsidP="00C443FC">
            <w:pPr>
              <w:ind w:left="-113"/>
              <w:jc w:val="right"/>
              <w:rPr>
                <w:rFonts w:eastAsia="Calibri"/>
                <w:sz w:val="14"/>
                <w:szCs w:val="14"/>
                <w:lang w:eastAsia="en-US"/>
              </w:rPr>
            </w:pPr>
            <w:r w:rsidRPr="00C443FC">
              <w:rPr>
                <w:rFonts w:eastAsia="Calibri"/>
                <w:sz w:val="14"/>
                <w:szCs w:val="14"/>
                <w:lang w:eastAsia="en-US"/>
              </w:rPr>
              <w:t>3</w:t>
            </w:r>
          </w:p>
        </w:tc>
        <w:tc>
          <w:tcPr>
            <w:tcW w:w="425" w:type="dxa"/>
            <w:tcBorders>
              <w:left w:val="single" w:sz="4" w:space="0" w:color="auto"/>
              <w:right w:val="single" w:sz="4" w:space="0" w:color="auto"/>
            </w:tcBorders>
          </w:tcPr>
          <w:p w14:paraId="7023E482"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3</w:t>
            </w:r>
          </w:p>
        </w:tc>
        <w:tc>
          <w:tcPr>
            <w:tcW w:w="426" w:type="dxa"/>
            <w:tcBorders>
              <w:left w:val="single" w:sz="4" w:space="0" w:color="auto"/>
              <w:right w:val="single" w:sz="4" w:space="0" w:color="auto"/>
            </w:tcBorders>
          </w:tcPr>
          <w:p w14:paraId="2C02531A"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703ADA4B"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3</w:t>
            </w:r>
          </w:p>
        </w:tc>
        <w:tc>
          <w:tcPr>
            <w:tcW w:w="425" w:type="dxa"/>
            <w:tcBorders>
              <w:left w:val="single" w:sz="4" w:space="0" w:color="auto"/>
              <w:right w:val="single" w:sz="4" w:space="0" w:color="auto"/>
            </w:tcBorders>
          </w:tcPr>
          <w:p w14:paraId="1CD564E3"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418C12D6"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3</w:t>
            </w:r>
          </w:p>
        </w:tc>
        <w:tc>
          <w:tcPr>
            <w:tcW w:w="426" w:type="dxa"/>
            <w:tcBorders>
              <w:left w:val="single" w:sz="4" w:space="0" w:color="auto"/>
              <w:right w:val="single" w:sz="4" w:space="0" w:color="auto"/>
            </w:tcBorders>
          </w:tcPr>
          <w:p w14:paraId="35BB6253"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4</w:t>
            </w:r>
          </w:p>
        </w:tc>
        <w:tc>
          <w:tcPr>
            <w:tcW w:w="429" w:type="dxa"/>
            <w:tcBorders>
              <w:left w:val="single" w:sz="4" w:space="0" w:color="auto"/>
              <w:right w:val="single" w:sz="4" w:space="0" w:color="auto"/>
            </w:tcBorders>
          </w:tcPr>
          <w:p w14:paraId="70B7E809"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5</w:t>
            </w:r>
          </w:p>
        </w:tc>
        <w:tc>
          <w:tcPr>
            <w:tcW w:w="425" w:type="dxa"/>
            <w:tcBorders>
              <w:left w:val="single" w:sz="4" w:space="0" w:color="auto"/>
              <w:right w:val="single" w:sz="4" w:space="0" w:color="auto"/>
            </w:tcBorders>
          </w:tcPr>
          <w:p w14:paraId="5A4D91F6"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6CE56B66"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6" w:type="dxa"/>
            <w:tcBorders>
              <w:left w:val="single" w:sz="4" w:space="0" w:color="auto"/>
              <w:right w:val="single" w:sz="4" w:space="0" w:color="auto"/>
            </w:tcBorders>
          </w:tcPr>
          <w:p w14:paraId="38560A83"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66" w:type="dxa"/>
            <w:tcBorders>
              <w:left w:val="single" w:sz="4" w:space="0" w:color="auto"/>
              <w:right w:val="single" w:sz="4" w:space="0" w:color="auto"/>
            </w:tcBorders>
          </w:tcPr>
          <w:p w14:paraId="57DE1124"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2</w:t>
            </w:r>
          </w:p>
        </w:tc>
        <w:tc>
          <w:tcPr>
            <w:tcW w:w="439" w:type="dxa"/>
            <w:tcBorders>
              <w:left w:val="single" w:sz="4" w:space="0" w:color="auto"/>
              <w:right w:val="single" w:sz="4" w:space="0" w:color="auto"/>
            </w:tcBorders>
          </w:tcPr>
          <w:p w14:paraId="7D446BD7"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4</w:t>
            </w:r>
          </w:p>
        </w:tc>
      </w:tr>
      <w:tr w:rsidR="00C443FC" w:rsidRPr="00C443FC" w14:paraId="62AC48F3" w14:textId="77777777" w:rsidTr="00D27C30">
        <w:trPr>
          <w:jc w:val="center"/>
        </w:trPr>
        <w:tc>
          <w:tcPr>
            <w:tcW w:w="3119" w:type="dxa"/>
            <w:tcBorders>
              <w:left w:val="single" w:sz="4" w:space="0" w:color="auto"/>
              <w:right w:val="single" w:sz="4" w:space="0" w:color="auto"/>
            </w:tcBorders>
          </w:tcPr>
          <w:p w14:paraId="61485D91" w14:textId="77777777" w:rsidR="00C443FC" w:rsidRPr="00C443FC" w:rsidRDefault="00C443FC" w:rsidP="00C443FC">
            <w:pPr>
              <w:jc w:val="both"/>
              <w:rPr>
                <w:rFonts w:eastAsia="Calibri"/>
                <w:sz w:val="14"/>
                <w:szCs w:val="14"/>
                <w:lang w:eastAsia="en-US"/>
              </w:rPr>
            </w:pPr>
            <w:r w:rsidRPr="00C443FC">
              <w:rPr>
                <w:rFonts w:eastAsia="Calibri"/>
                <w:sz w:val="14"/>
                <w:szCs w:val="14"/>
                <w:lang w:eastAsia="en-US"/>
              </w:rPr>
              <w:t>Incertidumbre sobre la situación económica interna</w:t>
            </w:r>
          </w:p>
        </w:tc>
        <w:tc>
          <w:tcPr>
            <w:tcW w:w="421" w:type="dxa"/>
            <w:tcBorders>
              <w:left w:val="single" w:sz="4" w:space="0" w:color="auto"/>
              <w:right w:val="single" w:sz="4" w:space="0" w:color="auto"/>
            </w:tcBorders>
            <w:shd w:val="clear" w:color="auto" w:fill="auto"/>
            <w:vAlign w:val="center"/>
          </w:tcPr>
          <w:p w14:paraId="303A7EDC" w14:textId="77777777" w:rsidR="00C443FC" w:rsidRPr="00C443FC" w:rsidRDefault="00C443FC" w:rsidP="00C443FC">
            <w:pPr>
              <w:ind w:left="-113"/>
              <w:jc w:val="right"/>
              <w:rPr>
                <w:rFonts w:eastAsia="Calibri"/>
                <w:sz w:val="14"/>
                <w:szCs w:val="14"/>
                <w:lang w:eastAsia="en-US"/>
              </w:rPr>
            </w:pPr>
            <w:r w:rsidRPr="00C443FC">
              <w:rPr>
                <w:rFonts w:eastAsia="Calibri"/>
                <w:sz w:val="14"/>
                <w:szCs w:val="14"/>
                <w:lang w:eastAsia="en-US"/>
              </w:rPr>
              <w:t>9</w:t>
            </w:r>
          </w:p>
        </w:tc>
        <w:tc>
          <w:tcPr>
            <w:tcW w:w="425" w:type="dxa"/>
            <w:tcBorders>
              <w:left w:val="single" w:sz="4" w:space="0" w:color="auto"/>
              <w:right w:val="single" w:sz="4" w:space="0" w:color="auto"/>
            </w:tcBorders>
            <w:shd w:val="clear" w:color="auto" w:fill="auto"/>
            <w:vAlign w:val="center"/>
          </w:tcPr>
          <w:p w14:paraId="4F218913"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10</w:t>
            </w:r>
          </w:p>
        </w:tc>
        <w:tc>
          <w:tcPr>
            <w:tcW w:w="426" w:type="dxa"/>
            <w:tcBorders>
              <w:left w:val="single" w:sz="4" w:space="0" w:color="auto"/>
              <w:right w:val="single" w:sz="4" w:space="0" w:color="auto"/>
            </w:tcBorders>
            <w:shd w:val="clear" w:color="auto" w:fill="auto"/>
            <w:vAlign w:val="center"/>
          </w:tcPr>
          <w:p w14:paraId="54947EDC"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12</w:t>
            </w:r>
          </w:p>
        </w:tc>
        <w:tc>
          <w:tcPr>
            <w:tcW w:w="425" w:type="dxa"/>
            <w:tcBorders>
              <w:left w:val="single" w:sz="4" w:space="0" w:color="auto"/>
              <w:right w:val="single" w:sz="4" w:space="0" w:color="auto"/>
            </w:tcBorders>
            <w:shd w:val="clear" w:color="auto" w:fill="auto"/>
            <w:vAlign w:val="center"/>
          </w:tcPr>
          <w:p w14:paraId="5FD39968"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13</w:t>
            </w:r>
          </w:p>
        </w:tc>
        <w:tc>
          <w:tcPr>
            <w:tcW w:w="425" w:type="dxa"/>
            <w:tcBorders>
              <w:left w:val="single" w:sz="4" w:space="0" w:color="auto"/>
              <w:right w:val="single" w:sz="4" w:space="0" w:color="auto"/>
            </w:tcBorders>
            <w:shd w:val="clear" w:color="auto" w:fill="auto"/>
            <w:vAlign w:val="center"/>
          </w:tcPr>
          <w:p w14:paraId="53B122AA"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8</w:t>
            </w:r>
          </w:p>
        </w:tc>
        <w:tc>
          <w:tcPr>
            <w:tcW w:w="425" w:type="dxa"/>
            <w:tcBorders>
              <w:left w:val="single" w:sz="4" w:space="0" w:color="auto"/>
              <w:right w:val="single" w:sz="4" w:space="0" w:color="auto"/>
            </w:tcBorders>
            <w:shd w:val="clear" w:color="auto" w:fill="auto"/>
            <w:vAlign w:val="center"/>
          </w:tcPr>
          <w:p w14:paraId="4D8BC593"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10</w:t>
            </w:r>
          </w:p>
        </w:tc>
        <w:tc>
          <w:tcPr>
            <w:tcW w:w="426" w:type="dxa"/>
            <w:tcBorders>
              <w:left w:val="single" w:sz="4" w:space="0" w:color="auto"/>
              <w:right w:val="single" w:sz="4" w:space="0" w:color="auto"/>
            </w:tcBorders>
            <w:shd w:val="clear" w:color="auto" w:fill="auto"/>
            <w:vAlign w:val="center"/>
          </w:tcPr>
          <w:p w14:paraId="06276EE0"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6</w:t>
            </w:r>
          </w:p>
        </w:tc>
        <w:tc>
          <w:tcPr>
            <w:tcW w:w="429" w:type="dxa"/>
            <w:tcBorders>
              <w:left w:val="single" w:sz="4" w:space="0" w:color="auto"/>
              <w:right w:val="single" w:sz="4" w:space="0" w:color="auto"/>
            </w:tcBorders>
            <w:shd w:val="clear" w:color="auto" w:fill="auto"/>
            <w:vAlign w:val="center"/>
          </w:tcPr>
          <w:p w14:paraId="31D52C04"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4</w:t>
            </w:r>
          </w:p>
        </w:tc>
        <w:tc>
          <w:tcPr>
            <w:tcW w:w="425" w:type="dxa"/>
            <w:tcBorders>
              <w:left w:val="single" w:sz="4" w:space="0" w:color="auto"/>
              <w:right w:val="single" w:sz="4" w:space="0" w:color="auto"/>
            </w:tcBorders>
            <w:shd w:val="clear" w:color="auto" w:fill="auto"/>
            <w:vAlign w:val="center"/>
          </w:tcPr>
          <w:p w14:paraId="5A066879"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3</w:t>
            </w:r>
          </w:p>
        </w:tc>
        <w:tc>
          <w:tcPr>
            <w:tcW w:w="425" w:type="dxa"/>
            <w:tcBorders>
              <w:left w:val="single" w:sz="4" w:space="0" w:color="auto"/>
              <w:right w:val="single" w:sz="4" w:space="0" w:color="auto"/>
            </w:tcBorders>
            <w:shd w:val="clear" w:color="auto" w:fill="auto"/>
            <w:vAlign w:val="center"/>
          </w:tcPr>
          <w:p w14:paraId="42E2CDB0"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8</w:t>
            </w:r>
          </w:p>
        </w:tc>
        <w:tc>
          <w:tcPr>
            <w:tcW w:w="426" w:type="dxa"/>
            <w:tcBorders>
              <w:left w:val="single" w:sz="4" w:space="0" w:color="auto"/>
              <w:right w:val="single" w:sz="4" w:space="0" w:color="auto"/>
            </w:tcBorders>
            <w:shd w:val="clear" w:color="auto" w:fill="auto"/>
            <w:vAlign w:val="center"/>
          </w:tcPr>
          <w:p w14:paraId="11F9A9B7"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6</w:t>
            </w:r>
          </w:p>
        </w:tc>
        <w:tc>
          <w:tcPr>
            <w:tcW w:w="466" w:type="dxa"/>
            <w:tcBorders>
              <w:left w:val="single" w:sz="4" w:space="0" w:color="auto"/>
              <w:right w:val="single" w:sz="4" w:space="0" w:color="auto"/>
            </w:tcBorders>
            <w:shd w:val="clear" w:color="auto" w:fill="auto"/>
            <w:vAlign w:val="center"/>
          </w:tcPr>
          <w:p w14:paraId="31F07D9D"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4</w:t>
            </w:r>
          </w:p>
        </w:tc>
        <w:tc>
          <w:tcPr>
            <w:tcW w:w="439" w:type="dxa"/>
            <w:tcBorders>
              <w:left w:val="single" w:sz="4" w:space="0" w:color="auto"/>
              <w:right w:val="single" w:sz="4" w:space="0" w:color="auto"/>
            </w:tcBorders>
            <w:vAlign w:val="center"/>
          </w:tcPr>
          <w:p w14:paraId="720FC959"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3</w:t>
            </w:r>
          </w:p>
        </w:tc>
      </w:tr>
      <w:tr w:rsidR="00C443FC" w:rsidRPr="00C443FC" w14:paraId="19D5C134" w14:textId="77777777" w:rsidTr="00D27C30">
        <w:trPr>
          <w:jc w:val="center"/>
        </w:trPr>
        <w:tc>
          <w:tcPr>
            <w:tcW w:w="3119" w:type="dxa"/>
            <w:tcBorders>
              <w:left w:val="single" w:sz="4" w:space="0" w:color="auto"/>
              <w:right w:val="single" w:sz="4" w:space="0" w:color="auto"/>
            </w:tcBorders>
          </w:tcPr>
          <w:p w14:paraId="06778898" w14:textId="77777777" w:rsidR="00C443FC" w:rsidRPr="00C443FC" w:rsidRDefault="00C443FC" w:rsidP="00C443FC">
            <w:pPr>
              <w:jc w:val="both"/>
              <w:rPr>
                <w:rFonts w:eastAsia="Calibri"/>
                <w:sz w:val="14"/>
                <w:szCs w:val="14"/>
                <w:lang w:eastAsia="en-US"/>
              </w:rPr>
            </w:pPr>
            <w:r w:rsidRPr="00C443FC">
              <w:rPr>
                <w:rFonts w:eastAsia="Calibri"/>
                <w:sz w:val="14"/>
                <w:szCs w:val="14"/>
                <w:lang w:eastAsia="en-US"/>
              </w:rPr>
              <w:t>Incertidumbre política interna</w:t>
            </w:r>
          </w:p>
        </w:tc>
        <w:tc>
          <w:tcPr>
            <w:tcW w:w="421" w:type="dxa"/>
            <w:tcBorders>
              <w:left w:val="single" w:sz="4" w:space="0" w:color="auto"/>
              <w:right w:val="single" w:sz="4" w:space="0" w:color="auto"/>
            </w:tcBorders>
          </w:tcPr>
          <w:p w14:paraId="32BFDB6D" w14:textId="77777777" w:rsidR="00C443FC" w:rsidRPr="00C443FC" w:rsidRDefault="00C443FC" w:rsidP="00C443FC">
            <w:pPr>
              <w:ind w:left="-113"/>
              <w:jc w:val="right"/>
              <w:rPr>
                <w:rFonts w:eastAsia="Calibri"/>
                <w:sz w:val="14"/>
                <w:szCs w:val="14"/>
                <w:lang w:eastAsia="en-US"/>
              </w:rPr>
            </w:pPr>
            <w:r w:rsidRPr="00C443FC">
              <w:rPr>
                <w:rFonts w:eastAsia="Calibri"/>
                <w:sz w:val="14"/>
                <w:szCs w:val="14"/>
                <w:lang w:eastAsia="en-US"/>
              </w:rPr>
              <w:t>4</w:t>
            </w:r>
          </w:p>
        </w:tc>
        <w:tc>
          <w:tcPr>
            <w:tcW w:w="425" w:type="dxa"/>
            <w:tcBorders>
              <w:left w:val="single" w:sz="4" w:space="0" w:color="auto"/>
              <w:right w:val="single" w:sz="4" w:space="0" w:color="auto"/>
            </w:tcBorders>
          </w:tcPr>
          <w:p w14:paraId="0551C4E2"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6" w:type="dxa"/>
            <w:tcBorders>
              <w:left w:val="single" w:sz="4" w:space="0" w:color="auto"/>
              <w:right w:val="single" w:sz="4" w:space="0" w:color="auto"/>
            </w:tcBorders>
          </w:tcPr>
          <w:p w14:paraId="2CFAD53D"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6</w:t>
            </w:r>
          </w:p>
        </w:tc>
        <w:tc>
          <w:tcPr>
            <w:tcW w:w="425" w:type="dxa"/>
            <w:tcBorders>
              <w:left w:val="single" w:sz="4" w:space="0" w:color="auto"/>
              <w:right w:val="single" w:sz="4" w:space="0" w:color="auto"/>
            </w:tcBorders>
          </w:tcPr>
          <w:p w14:paraId="2DD35569"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1F80653A"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10</w:t>
            </w:r>
          </w:p>
        </w:tc>
        <w:tc>
          <w:tcPr>
            <w:tcW w:w="425" w:type="dxa"/>
            <w:tcBorders>
              <w:left w:val="single" w:sz="4" w:space="0" w:color="auto"/>
              <w:right w:val="single" w:sz="4" w:space="0" w:color="auto"/>
            </w:tcBorders>
          </w:tcPr>
          <w:p w14:paraId="1BB831DF"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6" w:type="dxa"/>
            <w:tcBorders>
              <w:left w:val="single" w:sz="4" w:space="0" w:color="auto"/>
              <w:right w:val="single" w:sz="4" w:space="0" w:color="auto"/>
            </w:tcBorders>
          </w:tcPr>
          <w:p w14:paraId="045DFCA6"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9" w:type="dxa"/>
            <w:tcBorders>
              <w:left w:val="single" w:sz="4" w:space="0" w:color="auto"/>
              <w:right w:val="single" w:sz="4" w:space="0" w:color="auto"/>
            </w:tcBorders>
          </w:tcPr>
          <w:p w14:paraId="24B22E78"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62AD73FA"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4</w:t>
            </w:r>
          </w:p>
        </w:tc>
        <w:tc>
          <w:tcPr>
            <w:tcW w:w="425" w:type="dxa"/>
            <w:tcBorders>
              <w:left w:val="single" w:sz="4" w:space="0" w:color="auto"/>
              <w:right w:val="single" w:sz="4" w:space="0" w:color="auto"/>
            </w:tcBorders>
          </w:tcPr>
          <w:p w14:paraId="33473B7A"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9</w:t>
            </w:r>
          </w:p>
        </w:tc>
        <w:tc>
          <w:tcPr>
            <w:tcW w:w="426" w:type="dxa"/>
            <w:tcBorders>
              <w:left w:val="single" w:sz="4" w:space="0" w:color="auto"/>
              <w:right w:val="single" w:sz="4" w:space="0" w:color="auto"/>
            </w:tcBorders>
          </w:tcPr>
          <w:p w14:paraId="4EC1823F"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2</w:t>
            </w:r>
          </w:p>
        </w:tc>
        <w:tc>
          <w:tcPr>
            <w:tcW w:w="466" w:type="dxa"/>
            <w:tcBorders>
              <w:left w:val="single" w:sz="4" w:space="0" w:color="auto"/>
              <w:right w:val="single" w:sz="4" w:space="0" w:color="auto"/>
            </w:tcBorders>
          </w:tcPr>
          <w:p w14:paraId="70AE9D4D"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2</w:t>
            </w:r>
          </w:p>
        </w:tc>
        <w:tc>
          <w:tcPr>
            <w:tcW w:w="439" w:type="dxa"/>
            <w:tcBorders>
              <w:left w:val="single" w:sz="4" w:space="0" w:color="auto"/>
              <w:right w:val="single" w:sz="4" w:space="0" w:color="auto"/>
            </w:tcBorders>
          </w:tcPr>
          <w:p w14:paraId="75D57AD2"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3</w:t>
            </w:r>
          </w:p>
        </w:tc>
      </w:tr>
      <w:tr w:rsidR="00C443FC" w:rsidRPr="00C443FC" w14:paraId="6E7E21C4" w14:textId="77777777" w:rsidTr="00D27C30">
        <w:trPr>
          <w:jc w:val="center"/>
        </w:trPr>
        <w:tc>
          <w:tcPr>
            <w:tcW w:w="3119" w:type="dxa"/>
            <w:tcBorders>
              <w:left w:val="single" w:sz="4" w:space="0" w:color="auto"/>
              <w:right w:val="single" w:sz="4" w:space="0" w:color="auto"/>
            </w:tcBorders>
          </w:tcPr>
          <w:p w14:paraId="3861A58F" w14:textId="77777777" w:rsidR="00C443FC" w:rsidRPr="00C443FC" w:rsidRDefault="00C443FC" w:rsidP="00C443FC">
            <w:pPr>
              <w:jc w:val="both"/>
              <w:rPr>
                <w:rFonts w:eastAsia="Calibri"/>
                <w:sz w:val="14"/>
                <w:szCs w:val="14"/>
                <w:lang w:eastAsia="en-US"/>
              </w:rPr>
            </w:pPr>
            <w:r w:rsidRPr="00C443FC">
              <w:rPr>
                <w:rFonts w:eastAsia="Calibri"/>
                <w:sz w:val="14"/>
                <w:szCs w:val="14"/>
                <w:lang w:eastAsia="en-US"/>
              </w:rPr>
              <w:t>Disponibilidad de financiamiento interno en nuestro país</w:t>
            </w:r>
          </w:p>
        </w:tc>
        <w:tc>
          <w:tcPr>
            <w:tcW w:w="421" w:type="dxa"/>
            <w:tcBorders>
              <w:left w:val="single" w:sz="4" w:space="0" w:color="auto"/>
              <w:right w:val="single" w:sz="4" w:space="0" w:color="auto"/>
            </w:tcBorders>
            <w:vAlign w:val="center"/>
          </w:tcPr>
          <w:p w14:paraId="1519253C" w14:textId="77777777" w:rsidR="00C443FC" w:rsidRPr="00C443FC" w:rsidRDefault="00C443FC" w:rsidP="00C443FC">
            <w:pPr>
              <w:ind w:left="-113"/>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vAlign w:val="center"/>
          </w:tcPr>
          <w:p w14:paraId="00B630D0"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6" w:type="dxa"/>
            <w:tcBorders>
              <w:left w:val="single" w:sz="4" w:space="0" w:color="auto"/>
              <w:right w:val="single" w:sz="4" w:space="0" w:color="auto"/>
            </w:tcBorders>
            <w:vAlign w:val="center"/>
          </w:tcPr>
          <w:p w14:paraId="687B5003"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vAlign w:val="center"/>
          </w:tcPr>
          <w:p w14:paraId="5DB962A0"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vAlign w:val="center"/>
          </w:tcPr>
          <w:p w14:paraId="2C0969C5"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vAlign w:val="center"/>
          </w:tcPr>
          <w:p w14:paraId="002B75A6"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4</w:t>
            </w:r>
          </w:p>
        </w:tc>
        <w:tc>
          <w:tcPr>
            <w:tcW w:w="426" w:type="dxa"/>
            <w:tcBorders>
              <w:left w:val="single" w:sz="4" w:space="0" w:color="auto"/>
              <w:right w:val="single" w:sz="4" w:space="0" w:color="auto"/>
            </w:tcBorders>
            <w:vAlign w:val="center"/>
          </w:tcPr>
          <w:p w14:paraId="1E4D14EF"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9" w:type="dxa"/>
            <w:tcBorders>
              <w:left w:val="single" w:sz="4" w:space="0" w:color="auto"/>
              <w:right w:val="single" w:sz="4" w:space="0" w:color="auto"/>
            </w:tcBorders>
            <w:vAlign w:val="center"/>
          </w:tcPr>
          <w:p w14:paraId="0E28CE13"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vAlign w:val="center"/>
          </w:tcPr>
          <w:p w14:paraId="4E766812"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vAlign w:val="center"/>
          </w:tcPr>
          <w:p w14:paraId="2F836B15"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3</w:t>
            </w:r>
          </w:p>
        </w:tc>
        <w:tc>
          <w:tcPr>
            <w:tcW w:w="426" w:type="dxa"/>
            <w:tcBorders>
              <w:left w:val="single" w:sz="4" w:space="0" w:color="auto"/>
              <w:right w:val="single" w:sz="4" w:space="0" w:color="auto"/>
            </w:tcBorders>
            <w:vAlign w:val="center"/>
          </w:tcPr>
          <w:p w14:paraId="5FAFD7B9"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66" w:type="dxa"/>
            <w:tcBorders>
              <w:left w:val="single" w:sz="4" w:space="0" w:color="auto"/>
              <w:right w:val="single" w:sz="4" w:space="0" w:color="auto"/>
            </w:tcBorders>
            <w:vAlign w:val="center"/>
          </w:tcPr>
          <w:p w14:paraId="77F3BEE7"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3</w:t>
            </w:r>
          </w:p>
        </w:tc>
        <w:tc>
          <w:tcPr>
            <w:tcW w:w="439" w:type="dxa"/>
            <w:tcBorders>
              <w:left w:val="single" w:sz="4" w:space="0" w:color="auto"/>
              <w:right w:val="single" w:sz="4" w:space="0" w:color="auto"/>
            </w:tcBorders>
            <w:vAlign w:val="center"/>
          </w:tcPr>
          <w:p w14:paraId="5CEF96EE"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r>
      <w:tr w:rsidR="00C443FC" w:rsidRPr="00C443FC" w14:paraId="53ECCCBF" w14:textId="77777777" w:rsidTr="00D27C30">
        <w:trPr>
          <w:jc w:val="center"/>
        </w:trPr>
        <w:tc>
          <w:tcPr>
            <w:tcW w:w="3119" w:type="dxa"/>
            <w:tcBorders>
              <w:left w:val="single" w:sz="4" w:space="0" w:color="auto"/>
              <w:right w:val="single" w:sz="4" w:space="0" w:color="auto"/>
            </w:tcBorders>
          </w:tcPr>
          <w:p w14:paraId="77E25F53" w14:textId="77777777" w:rsidR="00C443FC" w:rsidRPr="00C443FC" w:rsidRDefault="00C443FC" w:rsidP="00C443FC">
            <w:pPr>
              <w:jc w:val="both"/>
              <w:rPr>
                <w:rFonts w:eastAsia="Calibri"/>
                <w:sz w:val="14"/>
                <w:szCs w:val="14"/>
                <w:lang w:eastAsia="en-US"/>
              </w:rPr>
            </w:pPr>
            <w:r w:rsidRPr="00C443FC">
              <w:rPr>
                <w:rFonts w:eastAsia="Calibri"/>
                <w:sz w:val="14"/>
                <w:szCs w:val="14"/>
                <w:lang w:eastAsia="en-US"/>
              </w:rPr>
              <w:t>La política monetaria que se está aplicando</w:t>
            </w:r>
          </w:p>
        </w:tc>
        <w:tc>
          <w:tcPr>
            <w:tcW w:w="421" w:type="dxa"/>
            <w:tcBorders>
              <w:left w:val="single" w:sz="4" w:space="0" w:color="auto"/>
              <w:right w:val="single" w:sz="4" w:space="0" w:color="auto"/>
            </w:tcBorders>
          </w:tcPr>
          <w:p w14:paraId="426FEE8F" w14:textId="77777777" w:rsidR="00C443FC" w:rsidRPr="00C443FC" w:rsidRDefault="00C443FC" w:rsidP="00C443FC">
            <w:pPr>
              <w:ind w:left="-113"/>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5B1FC415"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6" w:type="dxa"/>
            <w:tcBorders>
              <w:left w:val="single" w:sz="4" w:space="0" w:color="auto"/>
              <w:right w:val="single" w:sz="4" w:space="0" w:color="auto"/>
            </w:tcBorders>
          </w:tcPr>
          <w:p w14:paraId="6CB23530"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0BAF714B"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649A11A7"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05A4117B"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6" w:type="dxa"/>
            <w:tcBorders>
              <w:left w:val="single" w:sz="4" w:space="0" w:color="auto"/>
              <w:right w:val="single" w:sz="4" w:space="0" w:color="auto"/>
            </w:tcBorders>
          </w:tcPr>
          <w:p w14:paraId="023F5F0C"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9" w:type="dxa"/>
            <w:tcBorders>
              <w:left w:val="single" w:sz="4" w:space="0" w:color="auto"/>
              <w:right w:val="single" w:sz="4" w:space="0" w:color="auto"/>
            </w:tcBorders>
          </w:tcPr>
          <w:p w14:paraId="542E0E26"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05E1A9E4"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3D3F5164"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6" w:type="dxa"/>
            <w:tcBorders>
              <w:left w:val="single" w:sz="4" w:space="0" w:color="auto"/>
              <w:right w:val="single" w:sz="4" w:space="0" w:color="auto"/>
            </w:tcBorders>
          </w:tcPr>
          <w:p w14:paraId="412240B2"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66" w:type="dxa"/>
            <w:tcBorders>
              <w:left w:val="single" w:sz="4" w:space="0" w:color="auto"/>
              <w:right w:val="single" w:sz="4" w:space="0" w:color="auto"/>
            </w:tcBorders>
          </w:tcPr>
          <w:p w14:paraId="5A18BE8F"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2</w:t>
            </w:r>
          </w:p>
        </w:tc>
        <w:tc>
          <w:tcPr>
            <w:tcW w:w="439" w:type="dxa"/>
            <w:tcBorders>
              <w:left w:val="single" w:sz="4" w:space="0" w:color="auto"/>
              <w:right w:val="single" w:sz="4" w:space="0" w:color="auto"/>
            </w:tcBorders>
          </w:tcPr>
          <w:p w14:paraId="0253623F"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r>
      <w:tr w:rsidR="00C443FC" w:rsidRPr="00C443FC" w14:paraId="314D1218" w14:textId="77777777" w:rsidTr="00D27C30">
        <w:trPr>
          <w:jc w:val="center"/>
        </w:trPr>
        <w:tc>
          <w:tcPr>
            <w:tcW w:w="3119" w:type="dxa"/>
            <w:tcBorders>
              <w:left w:val="single" w:sz="4" w:space="0" w:color="auto"/>
              <w:right w:val="single" w:sz="4" w:space="0" w:color="auto"/>
            </w:tcBorders>
          </w:tcPr>
          <w:p w14:paraId="3E77AEA1" w14:textId="77777777" w:rsidR="00C443FC" w:rsidRPr="00C443FC" w:rsidRDefault="00C443FC" w:rsidP="00C443FC">
            <w:pPr>
              <w:jc w:val="both"/>
              <w:rPr>
                <w:rFonts w:eastAsia="Calibri"/>
                <w:sz w:val="14"/>
                <w:szCs w:val="14"/>
                <w:lang w:eastAsia="en-US"/>
              </w:rPr>
            </w:pPr>
            <w:r w:rsidRPr="00C443FC">
              <w:rPr>
                <w:rFonts w:eastAsia="Calibri"/>
                <w:sz w:val="14"/>
                <w:szCs w:val="14"/>
                <w:lang w:eastAsia="en-US"/>
              </w:rPr>
              <w:t>Elevado costo del financiamiento interno</w:t>
            </w:r>
          </w:p>
        </w:tc>
        <w:tc>
          <w:tcPr>
            <w:tcW w:w="421" w:type="dxa"/>
            <w:tcBorders>
              <w:left w:val="single" w:sz="4" w:space="0" w:color="auto"/>
              <w:right w:val="single" w:sz="4" w:space="0" w:color="auto"/>
            </w:tcBorders>
          </w:tcPr>
          <w:p w14:paraId="10732EE8" w14:textId="77777777" w:rsidR="00C443FC" w:rsidRPr="00C443FC" w:rsidRDefault="00C443FC" w:rsidP="00C443FC">
            <w:pPr>
              <w:ind w:left="-113"/>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2DDB3AA5"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3</w:t>
            </w:r>
          </w:p>
        </w:tc>
        <w:tc>
          <w:tcPr>
            <w:tcW w:w="426" w:type="dxa"/>
            <w:tcBorders>
              <w:left w:val="single" w:sz="4" w:space="0" w:color="auto"/>
              <w:right w:val="single" w:sz="4" w:space="0" w:color="auto"/>
            </w:tcBorders>
          </w:tcPr>
          <w:p w14:paraId="4E65A6E7"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5</w:t>
            </w:r>
          </w:p>
        </w:tc>
        <w:tc>
          <w:tcPr>
            <w:tcW w:w="425" w:type="dxa"/>
            <w:tcBorders>
              <w:left w:val="single" w:sz="4" w:space="0" w:color="auto"/>
              <w:right w:val="single" w:sz="4" w:space="0" w:color="auto"/>
            </w:tcBorders>
          </w:tcPr>
          <w:p w14:paraId="2CC0D964"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7D609343"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7CFE6B8B"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3</w:t>
            </w:r>
          </w:p>
        </w:tc>
        <w:tc>
          <w:tcPr>
            <w:tcW w:w="426" w:type="dxa"/>
            <w:tcBorders>
              <w:left w:val="single" w:sz="4" w:space="0" w:color="auto"/>
              <w:right w:val="single" w:sz="4" w:space="0" w:color="auto"/>
            </w:tcBorders>
          </w:tcPr>
          <w:p w14:paraId="4770BD97"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9" w:type="dxa"/>
            <w:tcBorders>
              <w:left w:val="single" w:sz="4" w:space="0" w:color="auto"/>
              <w:right w:val="single" w:sz="4" w:space="0" w:color="auto"/>
            </w:tcBorders>
          </w:tcPr>
          <w:p w14:paraId="4B261AB4"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3</w:t>
            </w:r>
          </w:p>
        </w:tc>
        <w:tc>
          <w:tcPr>
            <w:tcW w:w="425" w:type="dxa"/>
            <w:tcBorders>
              <w:left w:val="single" w:sz="4" w:space="0" w:color="auto"/>
              <w:right w:val="single" w:sz="4" w:space="0" w:color="auto"/>
            </w:tcBorders>
          </w:tcPr>
          <w:p w14:paraId="0FDB44DC"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3</w:t>
            </w:r>
          </w:p>
        </w:tc>
        <w:tc>
          <w:tcPr>
            <w:tcW w:w="425" w:type="dxa"/>
            <w:tcBorders>
              <w:left w:val="single" w:sz="4" w:space="0" w:color="auto"/>
              <w:right w:val="single" w:sz="4" w:space="0" w:color="auto"/>
            </w:tcBorders>
          </w:tcPr>
          <w:p w14:paraId="69ED5AC0"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6" w:type="dxa"/>
            <w:tcBorders>
              <w:left w:val="single" w:sz="4" w:space="0" w:color="auto"/>
              <w:right w:val="single" w:sz="4" w:space="0" w:color="auto"/>
            </w:tcBorders>
          </w:tcPr>
          <w:p w14:paraId="51BF65BE"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66" w:type="dxa"/>
            <w:tcBorders>
              <w:left w:val="single" w:sz="4" w:space="0" w:color="auto"/>
              <w:right w:val="single" w:sz="4" w:space="0" w:color="auto"/>
            </w:tcBorders>
          </w:tcPr>
          <w:p w14:paraId="36AF1CBD"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39" w:type="dxa"/>
            <w:tcBorders>
              <w:left w:val="single" w:sz="4" w:space="0" w:color="auto"/>
              <w:right w:val="single" w:sz="4" w:space="0" w:color="auto"/>
            </w:tcBorders>
          </w:tcPr>
          <w:p w14:paraId="76EE5C05"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r>
      <w:tr w:rsidR="00C443FC" w:rsidRPr="00C443FC" w14:paraId="5D434121" w14:textId="77777777" w:rsidTr="00D27C30">
        <w:trPr>
          <w:trHeight w:val="50"/>
          <w:jc w:val="center"/>
        </w:trPr>
        <w:tc>
          <w:tcPr>
            <w:tcW w:w="3119" w:type="dxa"/>
            <w:tcBorders>
              <w:left w:val="single" w:sz="4" w:space="0" w:color="auto"/>
              <w:right w:val="single" w:sz="4" w:space="0" w:color="auto"/>
            </w:tcBorders>
          </w:tcPr>
          <w:p w14:paraId="74BBFA4F" w14:textId="77777777" w:rsidR="00C443FC" w:rsidRPr="00C443FC" w:rsidRDefault="00C443FC" w:rsidP="00C443FC">
            <w:pPr>
              <w:jc w:val="both"/>
              <w:rPr>
                <w:rFonts w:eastAsia="Calibri"/>
                <w:sz w:val="14"/>
                <w:szCs w:val="14"/>
                <w:lang w:eastAsia="en-US"/>
              </w:rPr>
            </w:pPr>
            <w:r w:rsidRPr="00C443FC">
              <w:rPr>
                <w:rFonts w:eastAsia="Calibri"/>
                <w:sz w:val="14"/>
                <w:szCs w:val="14"/>
                <w:lang w:eastAsia="en-US"/>
              </w:rPr>
              <w:t>Inestabilidad política internacional</w:t>
            </w:r>
          </w:p>
        </w:tc>
        <w:tc>
          <w:tcPr>
            <w:tcW w:w="421" w:type="dxa"/>
            <w:tcBorders>
              <w:left w:val="single" w:sz="4" w:space="0" w:color="auto"/>
              <w:right w:val="single" w:sz="4" w:space="0" w:color="auto"/>
            </w:tcBorders>
          </w:tcPr>
          <w:p w14:paraId="6A7E8F80" w14:textId="77777777" w:rsidR="00C443FC" w:rsidRPr="00C443FC" w:rsidRDefault="00C443FC" w:rsidP="00C443FC">
            <w:pPr>
              <w:ind w:left="-113"/>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1454036F"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6" w:type="dxa"/>
            <w:tcBorders>
              <w:left w:val="single" w:sz="4" w:space="0" w:color="auto"/>
              <w:right w:val="single" w:sz="4" w:space="0" w:color="auto"/>
            </w:tcBorders>
          </w:tcPr>
          <w:p w14:paraId="76147C4F"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3</w:t>
            </w:r>
          </w:p>
        </w:tc>
        <w:tc>
          <w:tcPr>
            <w:tcW w:w="425" w:type="dxa"/>
            <w:tcBorders>
              <w:left w:val="single" w:sz="4" w:space="0" w:color="auto"/>
              <w:right w:val="single" w:sz="4" w:space="0" w:color="auto"/>
            </w:tcBorders>
          </w:tcPr>
          <w:p w14:paraId="0AF1CB61"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7913F245"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0D423D73"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5</w:t>
            </w:r>
          </w:p>
        </w:tc>
        <w:tc>
          <w:tcPr>
            <w:tcW w:w="426" w:type="dxa"/>
            <w:tcBorders>
              <w:left w:val="single" w:sz="4" w:space="0" w:color="auto"/>
              <w:right w:val="single" w:sz="4" w:space="0" w:color="auto"/>
            </w:tcBorders>
          </w:tcPr>
          <w:p w14:paraId="413C2C56"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5</w:t>
            </w:r>
          </w:p>
        </w:tc>
        <w:tc>
          <w:tcPr>
            <w:tcW w:w="429" w:type="dxa"/>
            <w:tcBorders>
              <w:left w:val="single" w:sz="4" w:space="0" w:color="auto"/>
              <w:right w:val="single" w:sz="4" w:space="0" w:color="auto"/>
            </w:tcBorders>
          </w:tcPr>
          <w:p w14:paraId="3C7DA4A0"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4</w:t>
            </w:r>
          </w:p>
        </w:tc>
        <w:tc>
          <w:tcPr>
            <w:tcW w:w="425" w:type="dxa"/>
            <w:tcBorders>
              <w:left w:val="single" w:sz="4" w:space="0" w:color="auto"/>
              <w:right w:val="single" w:sz="4" w:space="0" w:color="auto"/>
            </w:tcBorders>
          </w:tcPr>
          <w:p w14:paraId="3B216F9B"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0CC37337"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6" w:type="dxa"/>
            <w:tcBorders>
              <w:left w:val="single" w:sz="4" w:space="0" w:color="auto"/>
              <w:right w:val="single" w:sz="4" w:space="0" w:color="auto"/>
            </w:tcBorders>
          </w:tcPr>
          <w:p w14:paraId="4127B9A8"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66" w:type="dxa"/>
            <w:tcBorders>
              <w:left w:val="single" w:sz="4" w:space="0" w:color="auto"/>
              <w:right w:val="single" w:sz="4" w:space="0" w:color="auto"/>
            </w:tcBorders>
          </w:tcPr>
          <w:p w14:paraId="2C0A301C"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39" w:type="dxa"/>
            <w:tcBorders>
              <w:left w:val="single" w:sz="4" w:space="0" w:color="auto"/>
              <w:right w:val="single" w:sz="4" w:space="0" w:color="auto"/>
            </w:tcBorders>
          </w:tcPr>
          <w:p w14:paraId="1DE45FFD"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r>
      <w:tr w:rsidR="00C443FC" w:rsidRPr="00C443FC" w14:paraId="73DF5AA5" w14:textId="77777777" w:rsidTr="00D27C30">
        <w:trPr>
          <w:jc w:val="center"/>
        </w:trPr>
        <w:tc>
          <w:tcPr>
            <w:tcW w:w="3119" w:type="dxa"/>
            <w:tcBorders>
              <w:left w:val="single" w:sz="4" w:space="0" w:color="auto"/>
              <w:right w:val="single" w:sz="4" w:space="0" w:color="auto"/>
            </w:tcBorders>
          </w:tcPr>
          <w:p w14:paraId="78266F1E" w14:textId="77777777" w:rsidR="00C443FC" w:rsidRPr="00C443FC" w:rsidRDefault="00C443FC" w:rsidP="00C443FC">
            <w:pPr>
              <w:jc w:val="both"/>
              <w:rPr>
                <w:rFonts w:eastAsia="Calibri"/>
                <w:sz w:val="14"/>
                <w:szCs w:val="14"/>
                <w:lang w:eastAsia="en-US"/>
              </w:rPr>
            </w:pPr>
            <w:r w:rsidRPr="00C443FC">
              <w:rPr>
                <w:rFonts w:eastAsia="Calibri"/>
                <w:sz w:val="14"/>
                <w:szCs w:val="14"/>
                <w:lang w:eastAsia="en-US"/>
              </w:rPr>
              <w:t>Ausencia de cambio estructural en México</w:t>
            </w:r>
          </w:p>
        </w:tc>
        <w:tc>
          <w:tcPr>
            <w:tcW w:w="421" w:type="dxa"/>
            <w:tcBorders>
              <w:left w:val="single" w:sz="4" w:space="0" w:color="auto"/>
              <w:right w:val="single" w:sz="4" w:space="0" w:color="auto"/>
            </w:tcBorders>
            <w:shd w:val="clear" w:color="auto" w:fill="auto"/>
          </w:tcPr>
          <w:p w14:paraId="7581D3D2" w14:textId="77777777" w:rsidR="00C443FC" w:rsidRPr="00C443FC" w:rsidRDefault="00C443FC" w:rsidP="00C443FC">
            <w:pPr>
              <w:ind w:left="-113"/>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shd w:val="clear" w:color="auto" w:fill="auto"/>
          </w:tcPr>
          <w:p w14:paraId="10A81E4C"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4</w:t>
            </w:r>
          </w:p>
        </w:tc>
        <w:tc>
          <w:tcPr>
            <w:tcW w:w="426" w:type="dxa"/>
            <w:tcBorders>
              <w:left w:val="single" w:sz="4" w:space="0" w:color="auto"/>
              <w:right w:val="single" w:sz="4" w:space="0" w:color="auto"/>
            </w:tcBorders>
            <w:shd w:val="clear" w:color="auto" w:fill="auto"/>
          </w:tcPr>
          <w:p w14:paraId="1C9EF898"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4</w:t>
            </w:r>
          </w:p>
        </w:tc>
        <w:tc>
          <w:tcPr>
            <w:tcW w:w="425" w:type="dxa"/>
            <w:tcBorders>
              <w:left w:val="single" w:sz="4" w:space="0" w:color="auto"/>
              <w:right w:val="single" w:sz="4" w:space="0" w:color="auto"/>
            </w:tcBorders>
            <w:shd w:val="clear" w:color="auto" w:fill="FFFFFF"/>
          </w:tcPr>
          <w:p w14:paraId="19B38E6D"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4</w:t>
            </w:r>
          </w:p>
        </w:tc>
        <w:tc>
          <w:tcPr>
            <w:tcW w:w="425" w:type="dxa"/>
            <w:tcBorders>
              <w:left w:val="single" w:sz="4" w:space="0" w:color="auto"/>
              <w:right w:val="single" w:sz="4" w:space="0" w:color="auto"/>
            </w:tcBorders>
            <w:shd w:val="clear" w:color="auto" w:fill="auto"/>
          </w:tcPr>
          <w:p w14:paraId="186BAFB6"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4</w:t>
            </w:r>
          </w:p>
        </w:tc>
        <w:tc>
          <w:tcPr>
            <w:tcW w:w="425" w:type="dxa"/>
            <w:tcBorders>
              <w:left w:val="single" w:sz="4" w:space="0" w:color="auto"/>
              <w:right w:val="single" w:sz="4" w:space="0" w:color="auto"/>
            </w:tcBorders>
            <w:shd w:val="clear" w:color="auto" w:fill="auto"/>
          </w:tcPr>
          <w:p w14:paraId="764090DC"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3</w:t>
            </w:r>
          </w:p>
        </w:tc>
        <w:tc>
          <w:tcPr>
            <w:tcW w:w="426" w:type="dxa"/>
            <w:tcBorders>
              <w:left w:val="single" w:sz="4" w:space="0" w:color="auto"/>
              <w:right w:val="single" w:sz="4" w:space="0" w:color="auto"/>
            </w:tcBorders>
            <w:shd w:val="clear" w:color="auto" w:fill="FFFFFF"/>
          </w:tcPr>
          <w:p w14:paraId="26024D85"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3</w:t>
            </w:r>
          </w:p>
        </w:tc>
        <w:tc>
          <w:tcPr>
            <w:tcW w:w="429" w:type="dxa"/>
            <w:tcBorders>
              <w:left w:val="single" w:sz="4" w:space="0" w:color="auto"/>
              <w:right w:val="single" w:sz="4" w:space="0" w:color="auto"/>
            </w:tcBorders>
            <w:shd w:val="clear" w:color="auto" w:fill="auto"/>
          </w:tcPr>
          <w:p w14:paraId="4164BC0F"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shd w:val="clear" w:color="auto" w:fill="FFFFFF"/>
          </w:tcPr>
          <w:p w14:paraId="508F75FF"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shd w:val="clear" w:color="auto" w:fill="auto"/>
          </w:tcPr>
          <w:p w14:paraId="2AAE9CB7"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6" w:type="dxa"/>
            <w:tcBorders>
              <w:left w:val="single" w:sz="4" w:space="0" w:color="auto"/>
              <w:right w:val="single" w:sz="4" w:space="0" w:color="auto"/>
            </w:tcBorders>
            <w:shd w:val="clear" w:color="auto" w:fill="FFFFFF"/>
          </w:tcPr>
          <w:p w14:paraId="07BEF399"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66" w:type="dxa"/>
            <w:tcBorders>
              <w:left w:val="single" w:sz="4" w:space="0" w:color="auto"/>
              <w:right w:val="single" w:sz="4" w:space="0" w:color="auto"/>
            </w:tcBorders>
            <w:shd w:val="clear" w:color="auto" w:fill="auto"/>
          </w:tcPr>
          <w:p w14:paraId="4393E343"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39" w:type="dxa"/>
            <w:tcBorders>
              <w:left w:val="single" w:sz="4" w:space="0" w:color="auto"/>
              <w:right w:val="single" w:sz="4" w:space="0" w:color="auto"/>
            </w:tcBorders>
            <w:shd w:val="clear" w:color="auto" w:fill="FFFFFF"/>
          </w:tcPr>
          <w:p w14:paraId="1B826167"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r>
      <w:tr w:rsidR="00C443FC" w:rsidRPr="00C443FC" w14:paraId="44A3CE44" w14:textId="77777777" w:rsidTr="00D27C30">
        <w:trPr>
          <w:jc w:val="center"/>
        </w:trPr>
        <w:tc>
          <w:tcPr>
            <w:tcW w:w="3119" w:type="dxa"/>
            <w:tcBorders>
              <w:left w:val="single" w:sz="4" w:space="0" w:color="auto"/>
              <w:right w:val="single" w:sz="4" w:space="0" w:color="auto"/>
            </w:tcBorders>
          </w:tcPr>
          <w:p w14:paraId="5AA56EEA" w14:textId="77777777" w:rsidR="00C443FC" w:rsidRPr="00C443FC" w:rsidRDefault="00C443FC" w:rsidP="00C443FC">
            <w:pPr>
              <w:jc w:val="both"/>
              <w:rPr>
                <w:rFonts w:eastAsia="Calibri"/>
                <w:sz w:val="14"/>
                <w:szCs w:val="14"/>
                <w:lang w:eastAsia="en-US"/>
              </w:rPr>
            </w:pPr>
            <w:r w:rsidRPr="00C443FC">
              <w:rPr>
                <w:rFonts w:eastAsia="Calibri"/>
                <w:sz w:val="14"/>
                <w:szCs w:val="14"/>
                <w:lang w:eastAsia="en-US"/>
              </w:rPr>
              <w:t>Contracción de la oferta de recursos del exterior</w:t>
            </w:r>
          </w:p>
        </w:tc>
        <w:tc>
          <w:tcPr>
            <w:tcW w:w="421" w:type="dxa"/>
            <w:tcBorders>
              <w:left w:val="single" w:sz="4" w:space="0" w:color="auto"/>
              <w:right w:val="single" w:sz="4" w:space="0" w:color="auto"/>
            </w:tcBorders>
          </w:tcPr>
          <w:p w14:paraId="179CF455" w14:textId="77777777" w:rsidR="00C443FC" w:rsidRPr="00C443FC" w:rsidRDefault="00C443FC" w:rsidP="00C443FC">
            <w:pPr>
              <w:ind w:left="-113"/>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7B5614E0"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6" w:type="dxa"/>
            <w:tcBorders>
              <w:left w:val="single" w:sz="4" w:space="0" w:color="auto"/>
              <w:right w:val="single" w:sz="4" w:space="0" w:color="auto"/>
            </w:tcBorders>
          </w:tcPr>
          <w:p w14:paraId="306BD7D4"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34439CA2"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3</w:t>
            </w:r>
          </w:p>
        </w:tc>
        <w:tc>
          <w:tcPr>
            <w:tcW w:w="425" w:type="dxa"/>
            <w:tcBorders>
              <w:left w:val="single" w:sz="4" w:space="0" w:color="auto"/>
              <w:right w:val="single" w:sz="4" w:space="0" w:color="auto"/>
            </w:tcBorders>
          </w:tcPr>
          <w:p w14:paraId="20DCCAAB"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5157D777"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6" w:type="dxa"/>
            <w:tcBorders>
              <w:left w:val="single" w:sz="4" w:space="0" w:color="auto"/>
              <w:right w:val="single" w:sz="4" w:space="0" w:color="auto"/>
            </w:tcBorders>
          </w:tcPr>
          <w:p w14:paraId="31F1C5CD"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9" w:type="dxa"/>
            <w:tcBorders>
              <w:left w:val="single" w:sz="4" w:space="0" w:color="auto"/>
              <w:right w:val="single" w:sz="4" w:space="0" w:color="auto"/>
            </w:tcBorders>
          </w:tcPr>
          <w:p w14:paraId="233E0D96"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1E9BEB3E"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5E9C6264"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6" w:type="dxa"/>
            <w:tcBorders>
              <w:left w:val="single" w:sz="4" w:space="0" w:color="auto"/>
              <w:right w:val="single" w:sz="4" w:space="0" w:color="auto"/>
            </w:tcBorders>
          </w:tcPr>
          <w:p w14:paraId="3077915D"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66" w:type="dxa"/>
            <w:tcBorders>
              <w:left w:val="single" w:sz="4" w:space="0" w:color="auto"/>
              <w:right w:val="single" w:sz="4" w:space="0" w:color="auto"/>
            </w:tcBorders>
          </w:tcPr>
          <w:p w14:paraId="76105A00"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39" w:type="dxa"/>
            <w:tcBorders>
              <w:left w:val="single" w:sz="4" w:space="0" w:color="auto"/>
              <w:right w:val="single" w:sz="4" w:space="0" w:color="auto"/>
            </w:tcBorders>
          </w:tcPr>
          <w:p w14:paraId="6C599B32"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r>
      <w:tr w:rsidR="00C443FC" w:rsidRPr="00C443FC" w14:paraId="518C9331" w14:textId="77777777" w:rsidTr="00D27C30">
        <w:trPr>
          <w:jc w:val="center"/>
        </w:trPr>
        <w:tc>
          <w:tcPr>
            <w:tcW w:w="3119" w:type="dxa"/>
            <w:tcBorders>
              <w:left w:val="single" w:sz="4" w:space="0" w:color="auto"/>
              <w:right w:val="single" w:sz="4" w:space="0" w:color="auto"/>
            </w:tcBorders>
          </w:tcPr>
          <w:p w14:paraId="5B2CDF58" w14:textId="77777777" w:rsidR="00C443FC" w:rsidRPr="00C443FC" w:rsidRDefault="00C443FC" w:rsidP="00C443FC">
            <w:pPr>
              <w:jc w:val="both"/>
              <w:rPr>
                <w:rFonts w:eastAsia="Calibri"/>
                <w:sz w:val="14"/>
                <w:szCs w:val="14"/>
                <w:lang w:eastAsia="en-US"/>
              </w:rPr>
            </w:pPr>
            <w:r w:rsidRPr="00C443FC">
              <w:rPr>
                <w:rFonts w:eastAsia="Calibri"/>
                <w:sz w:val="14"/>
                <w:szCs w:val="14"/>
                <w:lang w:eastAsia="en-US"/>
              </w:rPr>
              <w:t>Presiones inflacionarias en nuestro país</w:t>
            </w:r>
          </w:p>
        </w:tc>
        <w:tc>
          <w:tcPr>
            <w:tcW w:w="421" w:type="dxa"/>
            <w:tcBorders>
              <w:left w:val="single" w:sz="4" w:space="0" w:color="auto"/>
              <w:right w:val="single" w:sz="4" w:space="0" w:color="auto"/>
            </w:tcBorders>
          </w:tcPr>
          <w:p w14:paraId="6381083C" w14:textId="77777777" w:rsidR="00C443FC" w:rsidRPr="00C443FC" w:rsidRDefault="00C443FC" w:rsidP="00C443FC">
            <w:pPr>
              <w:ind w:left="-113"/>
              <w:jc w:val="right"/>
              <w:rPr>
                <w:rFonts w:eastAsia="Calibri"/>
                <w:sz w:val="14"/>
                <w:szCs w:val="14"/>
                <w:lang w:eastAsia="en-US"/>
              </w:rPr>
            </w:pPr>
            <w:r w:rsidRPr="00C443FC">
              <w:rPr>
                <w:rFonts w:eastAsia="Calibri"/>
                <w:sz w:val="14"/>
                <w:szCs w:val="14"/>
                <w:lang w:eastAsia="en-US"/>
              </w:rPr>
              <w:t>3</w:t>
            </w:r>
          </w:p>
        </w:tc>
        <w:tc>
          <w:tcPr>
            <w:tcW w:w="425" w:type="dxa"/>
            <w:tcBorders>
              <w:left w:val="single" w:sz="4" w:space="0" w:color="auto"/>
              <w:right w:val="single" w:sz="4" w:space="0" w:color="auto"/>
            </w:tcBorders>
          </w:tcPr>
          <w:p w14:paraId="6825DAC2"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6" w:type="dxa"/>
            <w:tcBorders>
              <w:left w:val="single" w:sz="4" w:space="0" w:color="auto"/>
              <w:right w:val="single" w:sz="4" w:space="0" w:color="auto"/>
            </w:tcBorders>
          </w:tcPr>
          <w:p w14:paraId="0F463313"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13221747"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1DE3BB30"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4490E359"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6" w:type="dxa"/>
            <w:tcBorders>
              <w:left w:val="single" w:sz="4" w:space="0" w:color="auto"/>
              <w:right w:val="single" w:sz="4" w:space="0" w:color="auto"/>
            </w:tcBorders>
          </w:tcPr>
          <w:p w14:paraId="056EAF0B"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9" w:type="dxa"/>
            <w:tcBorders>
              <w:left w:val="single" w:sz="4" w:space="0" w:color="auto"/>
              <w:right w:val="single" w:sz="4" w:space="0" w:color="auto"/>
            </w:tcBorders>
          </w:tcPr>
          <w:p w14:paraId="023DE715"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1BD6B8F1"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1781C4C1"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6" w:type="dxa"/>
            <w:tcBorders>
              <w:left w:val="single" w:sz="4" w:space="0" w:color="auto"/>
              <w:right w:val="single" w:sz="4" w:space="0" w:color="auto"/>
            </w:tcBorders>
          </w:tcPr>
          <w:p w14:paraId="6865EA5D"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66" w:type="dxa"/>
            <w:tcBorders>
              <w:left w:val="single" w:sz="4" w:space="0" w:color="auto"/>
              <w:right w:val="single" w:sz="4" w:space="0" w:color="auto"/>
            </w:tcBorders>
          </w:tcPr>
          <w:p w14:paraId="28DCF237"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39" w:type="dxa"/>
            <w:tcBorders>
              <w:left w:val="single" w:sz="4" w:space="0" w:color="auto"/>
              <w:right w:val="single" w:sz="4" w:space="0" w:color="auto"/>
            </w:tcBorders>
          </w:tcPr>
          <w:p w14:paraId="3F44E832"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r>
      <w:tr w:rsidR="00C443FC" w:rsidRPr="00C443FC" w14:paraId="2F1C3356" w14:textId="77777777" w:rsidTr="00D27C30">
        <w:trPr>
          <w:trHeight w:val="47"/>
          <w:jc w:val="center"/>
        </w:trPr>
        <w:tc>
          <w:tcPr>
            <w:tcW w:w="3119" w:type="dxa"/>
            <w:tcBorders>
              <w:left w:val="single" w:sz="4" w:space="0" w:color="auto"/>
              <w:right w:val="single" w:sz="4" w:space="0" w:color="auto"/>
            </w:tcBorders>
          </w:tcPr>
          <w:p w14:paraId="18F78E27" w14:textId="77777777" w:rsidR="00C443FC" w:rsidRPr="00C443FC" w:rsidRDefault="00C443FC" w:rsidP="00C443FC">
            <w:pPr>
              <w:jc w:val="both"/>
              <w:rPr>
                <w:rFonts w:eastAsia="Calibri"/>
                <w:sz w:val="14"/>
                <w:szCs w:val="14"/>
                <w:lang w:eastAsia="en-US"/>
              </w:rPr>
            </w:pPr>
            <w:r w:rsidRPr="00C443FC">
              <w:rPr>
                <w:rFonts w:eastAsia="Calibri"/>
                <w:sz w:val="14"/>
                <w:szCs w:val="14"/>
                <w:lang w:eastAsia="en-US"/>
              </w:rPr>
              <w:t>Aumento en los costos salariales</w:t>
            </w:r>
          </w:p>
        </w:tc>
        <w:tc>
          <w:tcPr>
            <w:tcW w:w="421" w:type="dxa"/>
            <w:tcBorders>
              <w:left w:val="single" w:sz="4" w:space="0" w:color="auto"/>
              <w:right w:val="single" w:sz="4" w:space="0" w:color="auto"/>
            </w:tcBorders>
          </w:tcPr>
          <w:p w14:paraId="6C152F5A" w14:textId="77777777" w:rsidR="00C443FC" w:rsidRPr="00C443FC" w:rsidRDefault="00C443FC" w:rsidP="00C443FC">
            <w:pPr>
              <w:ind w:left="-113"/>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03C690F3"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6" w:type="dxa"/>
            <w:tcBorders>
              <w:left w:val="single" w:sz="4" w:space="0" w:color="auto"/>
              <w:right w:val="single" w:sz="4" w:space="0" w:color="auto"/>
            </w:tcBorders>
          </w:tcPr>
          <w:p w14:paraId="73B37A7D"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476F00CD"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087E87D3"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792D6AD6"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6" w:type="dxa"/>
            <w:tcBorders>
              <w:left w:val="single" w:sz="4" w:space="0" w:color="auto"/>
              <w:right w:val="single" w:sz="4" w:space="0" w:color="auto"/>
            </w:tcBorders>
          </w:tcPr>
          <w:p w14:paraId="5E6894FE"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9" w:type="dxa"/>
            <w:tcBorders>
              <w:left w:val="single" w:sz="4" w:space="0" w:color="auto"/>
              <w:right w:val="single" w:sz="4" w:space="0" w:color="auto"/>
            </w:tcBorders>
          </w:tcPr>
          <w:p w14:paraId="6D28BAD9"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4E950A39"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46B5FC0E"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6" w:type="dxa"/>
            <w:tcBorders>
              <w:left w:val="single" w:sz="4" w:space="0" w:color="auto"/>
              <w:right w:val="single" w:sz="4" w:space="0" w:color="auto"/>
            </w:tcBorders>
          </w:tcPr>
          <w:p w14:paraId="4E938CA3"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66" w:type="dxa"/>
            <w:tcBorders>
              <w:left w:val="single" w:sz="4" w:space="0" w:color="auto"/>
              <w:right w:val="single" w:sz="4" w:space="0" w:color="auto"/>
            </w:tcBorders>
          </w:tcPr>
          <w:p w14:paraId="0D87241B"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39" w:type="dxa"/>
            <w:tcBorders>
              <w:left w:val="single" w:sz="4" w:space="0" w:color="auto"/>
              <w:right w:val="single" w:sz="4" w:space="0" w:color="auto"/>
            </w:tcBorders>
          </w:tcPr>
          <w:p w14:paraId="1480DFF3"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r>
      <w:tr w:rsidR="00C443FC" w:rsidRPr="00C443FC" w14:paraId="63B256E2" w14:textId="77777777" w:rsidTr="00D27C30">
        <w:trPr>
          <w:jc w:val="center"/>
        </w:trPr>
        <w:tc>
          <w:tcPr>
            <w:tcW w:w="3119" w:type="dxa"/>
            <w:tcBorders>
              <w:left w:val="single" w:sz="4" w:space="0" w:color="auto"/>
              <w:right w:val="single" w:sz="4" w:space="0" w:color="auto"/>
            </w:tcBorders>
          </w:tcPr>
          <w:p w14:paraId="67EA3DB6" w14:textId="77777777" w:rsidR="00C443FC" w:rsidRPr="00C443FC" w:rsidRDefault="00C443FC" w:rsidP="00C443FC">
            <w:pPr>
              <w:jc w:val="both"/>
              <w:rPr>
                <w:rFonts w:eastAsia="Calibri"/>
                <w:sz w:val="14"/>
                <w:szCs w:val="14"/>
                <w:lang w:eastAsia="en-US"/>
              </w:rPr>
            </w:pPr>
            <w:r w:rsidRPr="00C443FC">
              <w:rPr>
                <w:rFonts w:eastAsia="Calibri"/>
                <w:sz w:val="14"/>
                <w:szCs w:val="14"/>
                <w:lang w:eastAsia="en-US"/>
              </w:rPr>
              <w:t>Aumento en precios de insumos y materias primas</w:t>
            </w:r>
          </w:p>
        </w:tc>
        <w:tc>
          <w:tcPr>
            <w:tcW w:w="421" w:type="dxa"/>
            <w:tcBorders>
              <w:left w:val="single" w:sz="4" w:space="0" w:color="auto"/>
              <w:right w:val="single" w:sz="4" w:space="0" w:color="auto"/>
            </w:tcBorders>
          </w:tcPr>
          <w:p w14:paraId="204E564C" w14:textId="77777777" w:rsidR="00C443FC" w:rsidRPr="00C443FC" w:rsidRDefault="00C443FC" w:rsidP="00C443FC">
            <w:pPr>
              <w:ind w:left="-113"/>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785159A7"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6" w:type="dxa"/>
            <w:tcBorders>
              <w:left w:val="single" w:sz="4" w:space="0" w:color="auto"/>
              <w:right w:val="single" w:sz="4" w:space="0" w:color="auto"/>
            </w:tcBorders>
          </w:tcPr>
          <w:p w14:paraId="63E956C6"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09B2D48E"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2C911145"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54505B0F"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6" w:type="dxa"/>
            <w:tcBorders>
              <w:left w:val="single" w:sz="4" w:space="0" w:color="auto"/>
              <w:right w:val="single" w:sz="4" w:space="0" w:color="auto"/>
            </w:tcBorders>
          </w:tcPr>
          <w:p w14:paraId="29C223DF"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9" w:type="dxa"/>
            <w:tcBorders>
              <w:left w:val="single" w:sz="4" w:space="0" w:color="auto"/>
              <w:right w:val="single" w:sz="4" w:space="0" w:color="auto"/>
            </w:tcBorders>
          </w:tcPr>
          <w:p w14:paraId="17E6D830"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0E00696E"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40D95915"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6" w:type="dxa"/>
            <w:tcBorders>
              <w:left w:val="single" w:sz="4" w:space="0" w:color="auto"/>
              <w:right w:val="single" w:sz="4" w:space="0" w:color="auto"/>
            </w:tcBorders>
          </w:tcPr>
          <w:p w14:paraId="6D3B5657"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66" w:type="dxa"/>
            <w:tcBorders>
              <w:left w:val="single" w:sz="4" w:space="0" w:color="auto"/>
              <w:right w:val="single" w:sz="4" w:space="0" w:color="auto"/>
            </w:tcBorders>
          </w:tcPr>
          <w:p w14:paraId="186C2E09"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39" w:type="dxa"/>
            <w:tcBorders>
              <w:left w:val="single" w:sz="4" w:space="0" w:color="auto"/>
              <w:right w:val="single" w:sz="4" w:space="0" w:color="auto"/>
            </w:tcBorders>
          </w:tcPr>
          <w:p w14:paraId="092ECE70"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r>
      <w:tr w:rsidR="00C443FC" w:rsidRPr="00C443FC" w14:paraId="39739C03" w14:textId="77777777" w:rsidTr="00D27C30">
        <w:trPr>
          <w:jc w:val="center"/>
        </w:trPr>
        <w:tc>
          <w:tcPr>
            <w:tcW w:w="3119" w:type="dxa"/>
            <w:tcBorders>
              <w:left w:val="single" w:sz="4" w:space="0" w:color="auto"/>
              <w:right w:val="single" w:sz="4" w:space="0" w:color="auto"/>
            </w:tcBorders>
          </w:tcPr>
          <w:p w14:paraId="4BBBFEC8" w14:textId="77777777" w:rsidR="00C443FC" w:rsidRPr="00C443FC" w:rsidRDefault="00C443FC" w:rsidP="00C443FC">
            <w:pPr>
              <w:jc w:val="both"/>
              <w:rPr>
                <w:rFonts w:eastAsia="Calibri"/>
                <w:sz w:val="14"/>
                <w:szCs w:val="14"/>
                <w:lang w:eastAsia="en-US"/>
              </w:rPr>
            </w:pPr>
            <w:r w:rsidRPr="00C443FC">
              <w:rPr>
                <w:rFonts w:eastAsia="Calibri"/>
                <w:sz w:val="14"/>
                <w:szCs w:val="14"/>
                <w:lang w:eastAsia="en-US"/>
              </w:rPr>
              <w:t>El nivel de endeudamiento de las empresas</w:t>
            </w:r>
          </w:p>
        </w:tc>
        <w:tc>
          <w:tcPr>
            <w:tcW w:w="421" w:type="dxa"/>
            <w:tcBorders>
              <w:left w:val="single" w:sz="4" w:space="0" w:color="auto"/>
              <w:right w:val="single" w:sz="4" w:space="0" w:color="auto"/>
            </w:tcBorders>
          </w:tcPr>
          <w:p w14:paraId="062A20F7" w14:textId="77777777" w:rsidR="00C443FC" w:rsidRPr="00C443FC" w:rsidRDefault="00C443FC" w:rsidP="00C443FC">
            <w:pPr>
              <w:ind w:left="-113"/>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193F6333"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6" w:type="dxa"/>
            <w:tcBorders>
              <w:left w:val="single" w:sz="4" w:space="0" w:color="auto"/>
              <w:right w:val="single" w:sz="4" w:space="0" w:color="auto"/>
            </w:tcBorders>
          </w:tcPr>
          <w:p w14:paraId="2FCD493C"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717F54FE"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3CEC7814"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56C76F01"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6" w:type="dxa"/>
            <w:tcBorders>
              <w:left w:val="single" w:sz="4" w:space="0" w:color="auto"/>
              <w:right w:val="single" w:sz="4" w:space="0" w:color="auto"/>
            </w:tcBorders>
          </w:tcPr>
          <w:p w14:paraId="3BFA6E1A"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9" w:type="dxa"/>
            <w:tcBorders>
              <w:left w:val="single" w:sz="4" w:space="0" w:color="auto"/>
              <w:right w:val="single" w:sz="4" w:space="0" w:color="auto"/>
            </w:tcBorders>
          </w:tcPr>
          <w:p w14:paraId="115EB523"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7957C372"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36F1F469"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6" w:type="dxa"/>
            <w:tcBorders>
              <w:left w:val="single" w:sz="4" w:space="0" w:color="auto"/>
              <w:right w:val="single" w:sz="4" w:space="0" w:color="auto"/>
            </w:tcBorders>
          </w:tcPr>
          <w:p w14:paraId="7B3A2DB1"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66" w:type="dxa"/>
            <w:tcBorders>
              <w:left w:val="single" w:sz="4" w:space="0" w:color="auto"/>
              <w:right w:val="single" w:sz="4" w:space="0" w:color="auto"/>
            </w:tcBorders>
          </w:tcPr>
          <w:p w14:paraId="01F7DF6F"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39" w:type="dxa"/>
            <w:tcBorders>
              <w:left w:val="single" w:sz="4" w:space="0" w:color="auto"/>
              <w:right w:val="single" w:sz="4" w:space="0" w:color="auto"/>
            </w:tcBorders>
          </w:tcPr>
          <w:p w14:paraId="1D4349D1"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r>
      <w:tr w:rsidR="00C443FC" w:rsidRPr="00C443FC" w14:paraId="6FCC3B83" w14:textId="77777777" w:rsidTr="00D27C30">
        <w:trPr>
          <w:jc w:val="center"/>
        </w:trPr>
        <w:tc>
          <w:tcPr>
            <w:tcW w:w="3119" w:type="dxa"/>
            <w:tcBorders>
              <w:left w:val="single" w:sz="4" w:space="0" w:color="auto"/>
              <w:right w:val="single" w:sz="4" w:space="0" w:color="auto"/>
            </w:tcBorders>
          </w:tcPr>
          <w:p w14:paraId="2334FBB4" w14:textId="77777777" w:rsidR="00C443FC" w:rsidRPr="00C443FC" w:rsidRDefault="00C443FC" w:rsidP="00C443FC">
            <w:pPr>
              <w:jc w:val="both"/>
              <w:rPr>
                <w:rFonts w:eastAsia="Calibri"/>
                <w:sz w:val="14"/>
                <w:szCs w:val="14"/>
                <w:lang w:eastAsia="en-US"/>
              </w:rPr>
            </w:pPr>
            <w:r w:rsidRPr="00C443FC">
              <w:rPr>
                <w:rFonts w:eastAsia="Calibri"/>
                <w:sz w:val="14"/>
                <w:szCs w:val="14"/>
                <w:lang w:eastAsia="en-US"/>
              </w:rPr>
              <w:t>El nivel de endeudamiento de las familias</w:t>
            </w:r>
          </w:p>
        </w:tc>
        <w:tc>
          <w:tcPr>
            <w:tcW w:w="421" w:type="dxa"/>
            <w:tcBorders>
              <w:left w:val="single" w:sz="4" w:space="0" w:color="auto"/>
              <w:right w:val="single" w:sz="4" w:space="0" w:color="auto"/>
            </w:tcBorders>
          </w:tcPr>
          <w:p w14:paraId="42A8EF59" w14:textId="77777777" w:rsidR="00C443FC" w:rsidRPr="00C443FC" w:rsidRDefault="00C443FC" w:rsidP="00C443FC">
            <w:pPr>
              <w:ind w:left="-113"/>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65F303B2"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6" w:type="dxa"/>
            <w:tcBorders>
              <w:left w:val="single" w:sz="4" w:space="0" w:color="auto"/>
              <w:right w:val="single" w:sz="4" w:space="0" w:color="auto"/>
            </w:tcBorders>
          </w:tcPr>
          <w:p w14:paraId="36E19FC0"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08BA6BA9"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72C0DCE0"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6BE67D33"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6" w:type="dxa"/>
            <w:tcBorders>
              <w:left w:val="single" w:sz="4" w:space="0" w:color="auto"/>
              <w:right w:val="single" w:sz="4" w:space="0" w:color="auto"/>
            </w:tcBorders>
          </w:tcPr>
          <w:p w14:paraId="045E093D"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9" w:type="dxa"/>
            <w:tcBorders>
              <w:left w:val="single" w:sz="4" w:space="0" w:color="auto"/>
              <w:right w:val="single" w:sz="4" w:space="0" w:color="auto"/>
            </w:tcBorders>
          </w:tcPr>
          <w:p w14:paraId="26951871"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40D77221"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244235FB"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6" w:type="dxa"/>
            <w:tcBorders>
              <w:left w:val="single" w:sz="4" w:space="0" w:color="auto"/>
              <w:right w:val="single" w:sz="4" w:space="0" w:color="auto"/>
            </w:tcBorders>
          </w:tcPr>
          <w:p w14:paraId="1B1D976E"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66" w:type="dxa"/>
            <w:tcBorders>
              <w:left w:val="single" w:sz="4" w:space="0" w:color="auto"/>
              <w:right w:val="single" w:sz="4" w:space="0" w:color="auto"/>
            </w:tcBorders>
          </w:tcPr>
          <w:p w14:paraId="5947281B"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39" w:type="dxa"/>
            <w:tcBorders>
              <w:left w:val="single" w:sz="4" w:space="0" w:color="auto"/>
              <w:right w:val="single" w:sz="4" w:space="0" w:color="auto"/>
            </w:tcBorders>
          </w:tcPr>
          <w:p w14:paraId="19DA8926"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r>
      <w:tr w:rsidR="00C443FC" w:rsidRPr="00C443FC" w14:paraId="7B47F048" w14:textId="77777777" w:rsidTr="00D27C30">
        <w:trPr>
          <w:jc w:val="center"/>
        </w:trPr>
        <w:tc>
          <w:tcPr>
            <w:tcW w:w="3119" w:type="dxa"/>
            <w:tcBorders>
              <w:left w:val="single" w:sz="4" w:space="0" w:color="auto"/>
              <w:right w:val="single" w:sz="4" w:space="0" w:color="auto"/>
            </w:tcBorders>
          </w:tcPr>
          <w:p w14:paraId="09140016" w14:textId="77777777" w:rsidR="00C443FC" w:rsidRPr="00C443FC" w:rsidRDefault="00C443FC" w:rsidP="00C443FC">
            <w:pPr>
              <w:jc w:val="both"/>
              <w:rPr>
                <w:rFonts w:eastAsia="Calibri"/>
                <w:sz w:val="14"/>
                <w:szCs w:val="14"/>
                <w:lang w:eastAsia="en-US"/>
              </w:rPr>
            </w:pPr>
            <w:r w:rsidRPr="00C443FC">
              <w:rPr>
                <w:rFonts w:eastAsia="Calibri"/>
                <w:sz w:val="14"/>
                <w:szCs w:val="14"/>
                <w:lang w:eastAsia="en-US"/>
              </w:rPr>
              <w:t>El nivel del tipo de cambio real</w:t>
            </w:r>
          </w:p>
        </w:tc>
        <w:tc>
          <w:tcPr>
            <w:tcW w:w="421" w:type="dxa"/>
            <w:tcBorders>
              <w:left w:val="single" w:sz="4" w:space="0" w:color="auto"/>
              <w:right w:val="single" w:sz="4" w:space="0" w:color="auto"/>
            </w:tcBorders>
          </w:tcPr>
          <w:p w14:paraId="5F540A42" w14:textId="77777777" w:rsidR="00C443FC" w:rsidRPr="00C443FC" w:rsidRDefault="00C443FC" w:rsidP="00C443FC">
            <w:pPr>
              <w:ind w:left="-113"/>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361A5DA5"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6" w:type="dxa"/>
            <w:tcBorders>
              <w:left w:val="single" w:sz="4" w:space="0" w:color="auto"/>
              <w:right w:val="single" w:sz="4" w:space="0" w:color="auto"/>
            </w:tcBorders>
          </w:tcPr>
          <w:p w14:paraId="2C874A59"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5D3C1624"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652A4CCD"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22D139A1"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6" w:type="dxa"/>
            <w:tcBorders>
              <w:left w:val="single" w:sz="4" w:space="0" w:color="auto"/>
              <w:right w:val="single" w:sz="4" w:space="0" w:color="auto"/>
            </w:tcBorders>
          </w:tcPr>
          <w:p w14:paraId="4F9C9135"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9" w:type="dxa"/>
            <w:tcBorders>
              <w:left w:val="single" w:sz="4" w:space="0" w:color="auto"/>
              <w:right w:val="single" w:sz="4" w:space="0" w:color="auto"/>
            </w:tcBorders>
          </w:tcPr>
          <w:p w14:paraId="447B6F2D"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4E64F1C8"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right w:val="single" w:sz="4" w:space="0" w:color="auto"/>
            </w:tcBorders>
          </w:tcPr>
          <w:p w14:paraId="119C56BB"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6" w:type="dxa"/>
            <w:tcBorders>
              <w:left w:val="single" w:sz="4" w:space="0" w:color="auto"/>
              <w:right w:val="single" w:sz="4" w:space="0" w:color="auto"/>
            </w:tcBorders>
          </w:tcPr>
          <w:p w14:paraId="35B80BF1"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66" w:type="dxa"/>
            <w:tcBorders>
              <w:left w:val="single" w:sz="4" w:space="0" w:color="auto"/>
              <w:right w:val="single" w:sz="4" w:space="0" w:color="auto"/>
            </w:tcBorders>
          </w:tcPr>
          <w:p w14:paraId="70AEE561"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39" w:type="dxa"/>
            <w:tcBorders>
              <w:left w:val="single" w:sz="4" w:space="0" w:color="auto"/>
              <w:right w:val="single" w:sz="4" w:space="0" w:color="auto"/>
            </w:tcBorders>
          </w:tcPr>
          <w:p w14:paraId="00A2A95C"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r>
      <w:tr w:rsidR="00C443FC" w:rsidRPr="00C443FC" w14:paraId="3CC48A15" w14:textId="77777777" w:rsidTr="00D27C30">
        <w:trPr>
          <w:jc w:val="center"/>
        </w:trPr>
        <w:tc>
          <w:tcPr>
            <w:tcW w:w="3119" w:type="dxa"/>
            <w:tcBorders>
              <w:left w:val="single" w:sz="4" w:space="0" w:color="auto"/>
              <w:bottom w:val="single" w:sz="4" w:space="0" w:color="auto"/>
              <w:right w:val="single" w:sz="4" w:space="0" w:color="auto"/>
            </w:tcBorders>
          </w:tcPr>
          <w:p w14:paraId="11D9ED66" w14:textId="77777777" w:rsidR="00C443FC" w:rsidRPr="00C443FC" w:rsidRDefault="00C443FC" w:rsidP="00C443FC">
            <w:pPr>
              <w:jc w:val="both"/>
              <w:rPr>
                <w:rFonts w:eastAsia="Calibri"/>
                <w:sz w:val="14"/>
                <w:szCs w:val="14"/>
                <w:lang w:eastAsia="en-US"/>
              </w:rPr>
            </w:pPr>
            <w:r w:rsidRPr="00C443FC">
              <w:rPr>
                <w:rFonts w:eastAsia="Calibri"/>
                <w:sz w:val="14"/>
                <w:szCs w:val="14"/>
                <w:lang w:eastAsia="en-US"/>
              </w:rPr>
              <w:t>Otros</w:t>
            </w:r>
          </w:p>
        </w:tc>
        <w:tc>
          <w:tcPr>
            <w:tcW w:w="421" w:type="dxa"/>
            <w:tcBorders>
              <w:left w:val="single" w:sz="4" w:space="0" w:color="auto"/>
              <w:bottom w:val="single" w:sz="4" w:space="0" w:color="auto"/>
              <w:right w:val="single" w:sz="4" w:space="0" w:color="auto"/>
            </w:tcBorders>
          </w:tcPr>
          <w:p w14:paraId="70752F01" w14:textId="77777777" w:rsidR="00C443FC" w:rsidRPr="00C443FC" w:rsidRDefault="00C443FC" w:rsidP="00C443FC">
            <w:pPr>
              <w:ind w:left="-113"/>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bottom w:val="single" w:sz="4" w:space="0" w:color="auto"/>
              <w:right w:val="single" w:sz="4" w:space="0" w:color="auto"/>
            </w:tcBorders>
          </w:tcPr>
          <w:p w14:paraId="5A99281B"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6" w:type="dxa"/>
            <w:tcBorders>
              <w:left w:val="single" w:sz="4" w:space="0" w:color="auto"/>
              <w:bottom w:val="single" w:sz="4" w:space="0" w:color="auto"/>
              <w:right w:val="single" w:sz="4" w:space="0" w:color="auto"/>
            </w:tcBorders>
          </w:tcPr>
          <w:p w14:paraId="40A47FA1"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bottom w:val="single" w:sz="4" w:space="0" w:color="auto"/>
              <w:right w:val="single" w:sz="4" w:space="0" w:color="auto"/>
            </w:tcBorders>
          </w:tcPr>
          <w:p w14:paraId="01C12BF1"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bottom w:val="single" w:sz="4" w:space="0" w:color="auto"/>
              <w:right w:val="single" w:sz="4" w:space="0" w:color="auto"/>
            </w:tcBorders>
          </w:tcPr>
          <w:p w14:paraId="6ABF77F7"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bottom w:val="single" w:sz="4" w:space="0" w:color="auto"/>
              <w:right w:val="single" w:sz="4" w:space="0" w:color="auto"/>
            </w:tcBorders>
          </w:tcPr>
          <w:p w14:paraId="4E6A4082"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6" w:type="dxa"/>
            <w:tcBorders>
              <w:left w:val="single" w:sz="4" w:space="0" w:color="auto"/>
              <w:bottom w:val="single" w:sz="4" w:space="0" w:color="auto"/>
              <w:right w:val="single" w:sz="4" w:space="0" w:color="auto"/>
            </w:tcBorders>
          </w:tcPr>
          <w:p w14:paraId="5D399CC8"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9" w:type="dxa"/>
            <w:tcBorders>
              <w:left w:val="single" w:sz="4" w:space="0" w:color="auto"/>
              <w:bottom w:val="single" w:sz="4" w:space="0" w:color="auto"/>
              <w:right w:val="single" w:sz="4" w:space="0" w:color="auto"/>
            </w:tcBorders>
          </w:tcPr>
          <w:p w14:paraId="06409188"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bottom w:val="single" w:sz="4" w:space="0" w:color="auto"/>
              <w:right w:val="single" w:sz="4" w:space="0" w:color="auto"/>
            </w:tcBorders>
          </w:tcPr>
          <w:p w14:paraId="761BBEF5"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5" w:type="dxa"/>
            <w:tcBorders>
              <w:left w:val="single" w:sz="4" w:space="0" w:color="auto"/>
              <w:bottom w:val="single" w:sz="4" w:space="0" w:color="auto"/>
              <w:right w:val="single" w:sz="4" w:space="0" w:color="auto"/>
            </w:tcBorders>
          </w:tcPr>
          <w:p w14:paraId="2179B1D2"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26" w:type="dxa"/>
            <w:tcBorders>
              <w:left w:val="single" w:sz="4" w:space="0" w:color="auto"/>
              <w:bottom w:val="single" w:sz="4" w:space="0" w:color="auto"/>
              <w:right w:val="single" w:sz="4" w:space="0" w:color="auto"/>
            </w:tcBorders>
          </w:tcPr>
          <w:p w14:paraId="54A77FA8"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66" w:type="dxa"/>
            <w:tcBorders>
              <w:left w:val="single" w:sz="4" w:space="0" w:color="auto"/>
              <w:bottom w:val="single" w:sz="4" w:space="0" w:color="auto"/>
              <w:right w:val="single" w:sz="4" w:space="0" w:color="auto"/>
            </w:tcBorders>
          </w:tcPr>
          <w:p w14:paraId="38D93CFA"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c>
          <w:tcPr>
            <w:tcW w:w="439" w:type="dxa"/>
            <w:tcBorders>
              <w:left w:val="single" w:sz="4" w:space="0" w:color="auto"/>
              <w:bottom w:val="single" w:sz="4" w:space="0" w:color="auto"/>
              <w:right w:val="single" w:sz="4" w:space="0" w:color="auto"/>
            </w:tcBorders>
          </w:tcPr>
          <w:p w14:paraId="010520B6" w14:textId="77777777" w:rsidR="00C443FC" w:rsidRPr="00C443FC" w:rsidRDefault="00C443FC" w:rsidP="00C443FC">
            <w:pPr>
              <w:ind w:left="-57" w:right="57"/>
              <w:jc w:val="right"/>
              <w:rPr>
                <w:rFonts w:eastAsia="Calibri"/>
                <w:sz w:val="14"/>
                <w:szCs w:val="14"/>
                <w:lang w:eastAsia="en-US"/>
              </w:rPr>
            </w:pPr>
            <w:r w:rsidRPr="00C443FC">
              <w:rPr>
                <w:rFonts w:eastAsia="Calibri"/>
                <w:sz w:val="14"/>
                <w:szCs w:val="14"/>
                <w:lang w:eastAsia="en-US"/>
              </w:rPr>
              <w:t>-</w:t>
            </w:r>
          </w:p>
        </w:tc>
      </w:tr>
      <w:tr w:rsidR="00C443FC" w:rsidRPr="00C443FC" w14:paraId="2D4DEDD0" w14:textId="77777777" w:rsidTr="00D27C30">
        <w:trPr>
          <w:jc w:val="center"/>
        </w:trPr>
        <w:tc>
          <w:tcPr>
            <w:tcW w:w="8702" w:type="dxa"/>
            <w:gridSpan w:val="14"/>
            <w:tcBorders>
              <w:top w:val="single" w:sz="4" w:space="0" w:color="auto"/>
              <w:left w:val="nil"/>
              <w:bottom w:val="nil"/>
              <w:right w:val="nil"/>
            </w:tcBorders>
          </w:tcPr>
          <w:p w14:paraId="5AF228A9" w14:textId="77777777" w:rsidR="00C443FC" w:rsidRPr="00C443FC" w:rsidRDefault="00C443FC" w:rsidP="00C443FC">
            <w:pPr>
              <w:ind w:left="312" w:hanging="369"/>
              <w:jc w:val="both"/>
              <w:rPr>
                <w:rFonts w:eastAsia="Calibri"/>
                <w:sz w:val="14"/>
                <w:szCs w:val="14"/>
                <w:lang w:eastAsia="en-US"/>
              </w:rPr>
            </w:pPr>
            <w:r w:rsidRPr="00C443FC">
              <w:rPr>
                <w:rFonts w:eastAsia="Calibri"/>
                <w:sz w:val="14"/>
                <w:szCs w:val="14"/>
                <w:lang w:eastAsia="en-US"/>
              </w:rPr>
              <w:t>Nota: Distribución con respecto al total de respuestas de los analistas, quienes pueden mencionar hasta tres factores que podrían obstaculizar el crecimiento económico de México. El guión indica que el porcentaje de respuestas se ubica estrictamente por debajo de 2%. Los factores se ordenan de acuerdo con la frecuencia con que aparecen las respuestas en la última encuesta. Pregunta de la Encuesta: en su opinión, ¿durante los próximos seis meses, cuáles serían los tres principales factores limitantes al crecimiento de la actividad económica?</w:t>
            </w:r>
          </w:p>
          <w:p w14:paraId="170EC951" w14:textId="77777777" w:rsidR="00C443FC" w:rsidRPr="00C443FC" w:rsidRDefault="00C443FC" w:rsidP="00C443FC">
            <w:pPr>
              <w:ind w:left="-57"/>
              <w:jc w:val="both"/>
              <w:rPr>
                <w:rFonts w:eastAsia="Calibri"/>
                <w:sz w:val="14"/>
                <w:szCs w:val="14"/>
                <w:lang w:eastAsia="en-US"/>
              </w:rPr>
            </w:pPr>
            <w:r w:rsidRPr="00C443FC">
              <w:rPr>
                <w:rFonts w:eastAsia="Calibri"/>
                <w:sz w:val="14"/>
                <w:szCs w:val="14"/>
                <w:lang w:eastAsia="en-US"/>
              </w:rPr>
              <w:t>FUENTE: Banco de México.</w:t>
            </w:r>
          </w:p>
        </w:tc>
      </w:tr>
    </w:tbl>
    <w:p w14:paraId="21A8FFAF" w14:textId="77777777" w:rsidR="00C443FC" w:rsidRPr="00C443FC" w:rsidRDefault="00C443FC" w:rsidP="00C443FC">
      <w:pPr>
        <w:spacing w:after="360" w:line="360" w:lineRule="auto"/>
        <w:ind w:right="-159"/>
        <w:jc w:val="both"/>
        <w:rPr>
          <w:rFonts w:eastAsia="Calibri"/>
          <w:sz w:val="26"/>
          <w:szCs w:val="26"/>
          <w:lang w:eastAsia="en-US"/>
        </w:rPr>
      </w:pPr>
    </w:p>
    <w:p w14:paraId="6B659C1C" w14:textId="77777777" w:rsidR="00C443FC" w:rsidRPr="00C443FC" w:rsidRDefault="00C443FC" w:rsidP="00C443FC">
      <w:pPr>
        <w:spacing w:after="360" w:line="360" w:lineRule="auto"/>
        <w:ind w:right="-159"/>
        <w:jc w:val="both"/>
        <w:rPr>
          <w:rFonts w:eastAsia="Calibri"/>
          <w:sz w:val="26"/>
          <w:szCs w:val="26"/>
          <w:lang w:eastAsia="en-US"/>
        </w:rPr>
      </w:pPr>
      <w:r w:rsidRPr="00C443FC">
        <w:rPr>
          <w:rFonts w:eastAsia="Calibri"/>
          <w:sz w:val="26"/>
          <w:szCs w:val="26"/>
          <w:lang w:eastAsia="en-US"/>
        </w:rPr>
        <w:lastRenderedPageBreak/>
        <w:t xml:space="preserve">Asimismo, a continuación se reportan los resultados sobre la percepción que tienen los analistas respecto al entorno económico actual (ver el cuadro </w:t>
      </w:r>
      <w:r w:rsidRPr="00C443FC">
        <w:rPr>
          <w:rFonts w:eastAsia="Calibri"/>
          <w:i/>
          <w:sz w:val="26"/>
          <w:szCs w:val="26"/>
          <w:lang w:eastAsia="en-US"/>
        </w:rPr>
        <w:t xml:space="preserve">Percepción del entorno económico </w:t>
      </w:r>
      <w:r w:rsidRPr="00C443FC">
        <w:rPr>
          <w:rFonts w:eastAsia="Calibri"/>
          <w:sz w:val="26"/>
          <w:szCs w:val="26"/>
          <w:lang w:eastAsia="en-US"/>
        </w:rPr>
        <w:t>y las tres gráficas siguientes). Se aprecia que:</w:t>
      </w:r>
    </w:p>
    <w:p w14:paraId="3422DF93" w14:textId="77777777" w:rsidR="00C443FC" w:rsidRPr="00C443FC" w:rsidRDefault="00C443FC" w:rsidP="00276F3E">
      <w:pPr>
        <w:numPr>
          <w:ilvl w:val="0"/>
          <w:numId w:val="64"/>
        </w:numPr>
        <w:spacing w:after="360" w:line="360" w:lineRule="auto"/>
        <w:ind w:right="-159"/>
        <w:jc w:val="both"/>
        <w:rPr>
          <w:rFonts w:eastAsia="Calibri"/>
          <w:sz w:val="26"/>
          <w:szCs w:val="26"/>
          <w:lang w:eastAsia="en-US"/>
        </w:rPr>
      </w:pPr>
      <w:r w:rsidRPr="00C443FC">
        <w:rPr>
          <w:rFonts w:eastAsia="Calibri"/>
          <w:sz w:val="26"/>
          <w:szCs w:val="26"/>
          <w:lang w:eastAsia="en-US"/>
        </w:rPr>
        <w:t>La distribución de respuestas sobre el clima de negocios en los próximos seis meses permaneció similar a la de la encuesta previa. Así, la mayoría de los analistas consideran que el clima de negocios mejorará en ese horizonte de tiempo.</w:t>
      </w:r>
    </w:p>
    <w:p w14:paraId="38E7D88E" w14:textId="6908855D" w:rsidR="00C443FC" w:rsidRPr="00C443FC" w:rsidRDefault="00C443FC" w:rsidP="00276F3E">
      <w:pPr>
        <w:numPr>
          <w:ilvl w:val="0"/>
          <w:numId w:val="64"/>
        </w:numPr>
        <w:spacing w:after="360" w:line="360" w:lineRule="auto"/>
        <w:ind w:right="-159"/>
        <w:jc w:val="both"/>
        <w:rPr>
          <w:rFonts w:eastAsia="Calibri"/>
          <w:sz w:val="26"/>
          <w:szCs w:val="26"/>
          <w:lang w:eastAsia="en-US"/>
        </w:rPr>
      </w:pPr>
      <w:r w:rsidRPr="00C443FC">
        <w:rPr>
          <w:rFonts w:eastAsia="Calibri"/>
          <w:sz w:val="26"/>
          <w:szCs w:val="26"/>
          <w:lang w:eastAsia="en-US"/>
        </w:rPr>
        <w:t xml:space="preserve">La fracción de analistas que considera que la economía está mejor que hace un año </w:t>
      </w:r>
      <w:r w:rsidR="00D7095B">
        <w:rPr>
          <w:rFonts w:eastAsia="Calibri"/>
          <w:sz w:val="26"/>
          <w:szCs w:val="26"/>
          <w:lang w:eastAsia="en-US"/>
        </w:rPr>
        <w:t>s</w:t>
      </w:r>
      <w:r w:rsidRPr="00C443FC">
        <w:rPr>
          <w:rFonts w:eastAsia="Calibri"/>
          <w:sz w:val="26"/>
          <w:szCs w:val="26"/>
          <w:lang w:eastAsia="en-US"/>
        </w:rPr>
        <w:t xml:space="preserve">e mantuvo en el mismo nivel que en la encuesta anterior y siguió siendo la preponderante. </w:t>
      </w:r>
    </w:p>
    <w:p w14:paraId="316B845F" w14:textId="77777777" w:rsidR="00C443FC" w:rsidRPr="00C443FC" w:rsidRDefault="00C443FC" w:rsidP="00276F3E">
      <w:pPr>
        <w:numPr>
          <w:ilvl w:val="0"/>
          <w:numId w:val="64"/>
        </w:numPr>
        <w:spacing w:after="360" w:line="360" w:lineRule="auto"/>
        <w:ind w:right="-159"/>
        <w:jc w:val="both"/>
        <w:rPr>
          <w:rFonts w:eastAsia="Calibri"/>
          <w:sz w:val="26"/>
          <w:szCs w:val="26"/>
          <w:lang w:eastAsia="en-US"/>
        </w:rPr>
      </w:pPr>
      <w:r w:rsidRPr="00C443FC">
        <w:rPr>
          <w:rFonts w:eastAsia="Calibri"/>
          <w:sz w:val="26"/>
          <w:szCs w:val="26"/>
          <w:lang w:eastAsia="en-US"/>
        </w:rPr>
        <w:t>La distribución de respuestas sobre la coyuntura actual para realizar inversiones permaneció igual que la del mes anterior. Destaca que la mayoría de los analistas considera que es un buen momento para invertir.</w:t>
      </w:r>
    </w:p>
    <w:tbl>
      <w:tblPr>
        <w:tblW w:w="0" w:type="auto"/>
        <w:jc w:val="center"/>
        <w:tblLayout w:type="fixed"/>
        <w:tblLook w:val="04A0" w:firstRow="1" w:lastRow="0" w:firstColumn="1" w:lastColumn="0" w:noHBand="0" w:noVBand="1"/>
      </w:tblPr>
      <w:tblGrid>
        <w:gridCol w:w="2977"/>
        <w:gridCol w:w="1199"/>
        <w:gridCol w:w="1211"/>
      </w:tblGrid>
      <w:tr w:rsidR="00C443FC" w:rsidRPr="00C443FC" w14:paraId="4F3759C0" w14:textId="77777777" w:rsidTr="00284BB1">
        <w:trPr>
          <w:jc w:val="center"/>
        </w:trPr>
        <w:tc>
          <w:tcPr>
            <w:tcW w:w="5387" w:type="dxa"/>
            <w:gridSpan w:val="3"/>
            <w:tcBorders>
              <w:top w:val="nil"/>
              <w:left w:val="nil"/>
              <w:bottom w:val="single" w:sz="4" w:space="0" w:color="auto"/>
              <w:right w:val="nil"/>
            </w:tcBorders>
          </w:tcPr>
          <w:p w14:paraId="04C2009D" w14:textId="77777777" w:rsidR="00C443FC" w:rsidRPr="00C443FC" w:rsidRDefault="00C443FC" w:rsidP="00C443FC">
            <w:pPr>
              <w:jc w:val="center"/>
              <w:rPr>
                <w:rFonts w:eastAsia="Calibri"/>
                <w:b/>
                <w:sz w:val="22"/>
                <w:szCs w:val="22"/>
                <w:lang w:eastAsia="en-US"/>
              </w:rPr>
            </w:pPr>
            <w:r w:rsidRPr="00C443FC">
              <w:rPr>
                <w:rFonts w:eastAsia="Calibri"/>
                <w:b/>
                <w:sz w:val="22"/>
                <w:szCs w:val="22"/>
                <w:lang w:eastAsia="en-US"/>
              </w:rPr>
              <w:t>PERCEPCIÓN DEL ENTORNO ECONÓMICO</w:t>
            </w:r>
          </w:p>
          <w:p w14:paraId="219E412F" w14:textId="77777777" w:rsidR="00C443FC" w:rsidRPr="00C443FC" w:rsidRDefault="00C443FC" w:rsidP="00C443FC">
            <w:pPr>
              <w:jc w:val="center"/>
              <w:rPr>
                <w:rFonts w:eastAsia="Calibri"/>
                <w:b/>
                <w:sz w:val="22"/>
                <w:szCs w:val="22"/>
                <w:lang w:eastAsia="en-US"/>
              </w:rPr>
            </w:pPr>
            <w:r w:rsidRPr="00C443FC">
              <w:rPr>
                <w:rFonts w:eastAsia="Calibri"/>
                <w:b/>
                <w:sz w:val="22"/>
                <w:szCs w:val="22"/>
                <w:lang w:eastAsia="en-US"/>
              </w:rPr>
              <w:t>-Distribución porcentual de respuestas-</w:t>
            </w:r>
          </w:p>
        </w:tc>
      </w:tr>
      <w:tr w:rsidR="00C443FC" w:rsidRPr="00C443FC" w14:paraId="63D7A87C" w14:textId="77777777" w:rsidTr="00284BB1">
        <w:trPr>
          <w:jc w:val="center"/>
        </w:trPr>
        <w:tc>
          <w:tcPr>
            <w:tcW w:w="2977" w:type="dxa"/>
            <w:vMerge w:val="restart"/>
            <w:tcBorders>
              <w:top w:val="single" w:sz="4" w:space="0" w:color="auto"/>
              <w:left w:val="single" w:sz="4" w:space="0" w:color="auto"/>
              <w:bottom w:val="single" w:sz="4" w:space="0" w:color="auto"/>
              <w:right w:val="single" w:sz="4" w:space="0" w:color="auto"/>
            </w:tcBorders>
          </w:tcPr>
          <w:p w14:paraId="197B0500" w14:textId="77777777" w:rsidR="00C443FC" w:rsidRPr="00C443FC" w:rsidRDefault="00C443FC" w:rsidP="00C443FC">
            <w:pPr>
              <w:jc w:val="both"/>
              <w:rPr>
                <w:rFonts w:eastAsia="Calibri"/>
                <w:sz w:val="20"/>
                <w:szCs w:val="20"/>
                <w:lang w:eastAsia="en-US"/>
              </w:rPr>
            </w:pPr>
          </w:p>
        </w:tc>
        <w:tc>
          <w:tcPr>
            <w:tcW w:w="2410" w:type="dxa"/>
            <w:gridSpan w:val="2"/>
            <w:tcBorders>
              <w:top w:val="single" w:sz="4" w:space="0" w:color="auto"/>
              <w:left w:val="single" w:sz="4" w:space="0" w:color="auto"/>
              <w:bottom w:val="single" w:sz="4" w:space="0" w:color="auto"/>
              <w:right w:val="single" w:sz="4" w:space="0" w:color="auto"/>
            </w:tcBorders>
          </w:tcPr>
          <w:p w14:paraId="1F7B9A35"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Encuesta</w:t>
            </w:r>
          </w:p>
        </w:tc>
      </w:tr>
      <w:tr w:rsidR="00C443FC" w:rsidRPr="00C443FC" w14:paraId="40C2FCD1" w14:textId="77777777" w:rsidTr="00284BB1">
        <w:trPr>
          <w:jc w:val="center"/>
        </w:trPr>
        <w:tc>
          <w:tcPr>
            <w:tcW w:w="2977" w:type="dxa"/>
            <w:vMerge/>
            <w:tcBorders>
              <w:top w:val="single" w:sz="4" w:space="0" w:color="auto"/>
              <w:left w:val="single" w:sz="4" w:space="0" w:color="auto"/>
              <w:bottom w:val="single" w:sz="4" w:space="0" w:color="auto"/>
              <w:right w:val="single" w:sz="4" w:space="0" w:color="auto"/>
            </w:tcBorders>
          </w:tcPr>
          <w:p w14:paraId="636796F4" w14:textId="77777777" w:rsidR="00C443FC" w:rsidRPr="00C443FC" w:rsidRDefault="00C443FC" w:rsidP="00C443FC">
            <w:pPr>
              <w:jc w:val="both"/>
              <w:rPr>
                <w:rFonts w:eastAsia="Calibri"/>
                <w:sz w:val="20"/>
                <w:szCs w:val="20"/>
                <w:lang w:eastAsia="en-US"/>
              </w:rPr>
            </w:pPr>
          </w:p>
        </w:tc>
        <w:tc>
          <w:tcPr>
            <w:tcW w:w="1199" w:type="dxa"/>
            <w:tcBorders>
              <w:top w:val="single" w:sz="4" w:space="0" w:color="auto"/>
              <w:left w:val="single" w:sz="4" w:space="0" w:color="auto"/>
              <w:bottom w:val="single" w:sz="4" w:space="0" w:color="auto"/>
              <w:right w:val="single" w:sz="4" w:space="0" w:color="auto"/>
            </w:tcBorders>
          </w:tcPr>
          <w:p w14:paraId="1816FCCA"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Enero</w:t>
            </w:r>
          </w:p>
        </w:tc>
        <w:tc>
          <w:tcPr>
            <w:tcW w:w="1211" w:type="dxa"/>
            <w:tcBorders>
              <w:top w:val="single" w:sz="4" w:space="0" w:color="auto"/>
              <w:left w:val="single" w:sz="4" w:space="0" w:color="auto"/>
              <w:bottom w:val="single" w:sz="4" w:space="0" w:color="auto"/>
              <w:right w:val="single" w:sz="4" w:space="0" w:color="auto"/>
            </w:tcBorders>
          </w:tcPr>
          <w:p w14:paraId="44EC854F"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Febrero</w:t>
            </w:r>
          </w:p>
        </w:tc>
      </w:tr>
      <w:tr w:rsidR="00C443FC" w:rsidRPr="00C443FC" w14:paraId="5BB5951D" w14:textId="77777777" w:rsidTr="00284BB1">
        <w:trPr>
          <w:jc w:val="center"/>
        </w:trPr>
        <w:tc>
          <w:tcPr>
            <w:tcW w:w="5387" w:type="dxa"/>
            <w:gridSpan w:val="3"/>
            <w:tcBorders>
              <w:top w:val="single" w:sz="4" w:space="0" w:color="auto"/>
              <w:left w:val="single" w:sz="4" w:space="0" w:color="auto"/>
              <w:bottom w:val="single" w:sz="4" w:space="0" w:color="auto"/>
              <w:right w:val="single" w:sz="4" w:space="0" w:color="auto"/>
            </w:tcBorders>
          </w:tcPr>
          <w:p w14:paraId="1369C4F5" w14:textId="77777777" w:rsidR="00C443FC" w:rsidRPr="00C443FC" w:rsidRDefault="00C443FC" w:rsidP="00C443FC">
            <w:pPr>
              <w:jc w:val="both"/>
              <w:rPr>
                <w:rFonts w:eastAsia="Calibri"/>
                <w:b/>
                <w:sz w:val="20"/>
                <w:szCs w:val="20"/>
                <w:lang w:eastAsia="en-US"/>
              </w:rPr>
            </w:pPr>
            <w:r w:rsidRPr="00C443FC">
              <w:rPr>
                <w:rFonts w:eastAsia="Calibri"/>
                <w:b/>
                <w:sz w:val="20"/>
                <w:szCs w:val="20"/>
                <w:lang w:eastAsia="en-US"/>
              </w:rPr>
              <w:t>Clima de los negocios en los próximos 6 meses</w:t>
            </w:r>
            <w:r w:rsidRPr="00C443FC">
              <w:rPr>
                <w:rFonts w:eastAsia="Calibri"/>
                <w:b/>
                <w:sz w:val="20"/>
                <w:szCs w:val="20"/>
                <w:u w:val="single"/>
                <w:vertAlign w:val="superscript"/>
                <w:lang w:eastAsia="en-US"/>
              </w:rPr>
              <w:t>1</w:t>
            </w:r>
            <w:r w:rsidRPr="00C443FC">
              <w:rPr>
                <w:rFonts w:eastAsia="Calibri"/>
                <w:b/>
                <w:sz w:val="20"/>
                <w:szCs w:val="20"/>
                <w:vertAlign w:val="superscript"/>
                <w:lang w:eastAsia="en-US"/>
              </w:rPr>
              <w:t>/</w:t>
            </w:r>
          </w:p>
        </w:tc>
      </w:tr>
      <w:tr w:rsidR="00C443FC" w:rsidRPr="00C443FC" w14:paraId="6AB504FD" w14:textId="77777777" w:rsidTr="00284BB1">
        <w:trPr>
          <w:jc w:val="center"/>
        </w:trPr>
        <w:tc>
          <w:tcPr>
            <w:tcW w:w="2977" w:type="dxa"/>
            <w:tcBorders>
              <w:top w:val="single" w:sz="4" w:space="0" w:color="auto"/>
              <w:left w:val="single" w:sz="4" w:space="0" w:color="auto"/>
              <w:right w:val="single" w:sz="4" w:space="0" w:color="auto"/>
            </w:tcBorders>
          </w:tcPr>
          <w:p w14:paraId="60265685" w14:textId="77777777" w:rsidR="00C443FC" w:rsidRPr="00C443FC" w:rsidRDefault="00C443FC" w:rsidP="00C443FC">
            <w:pPr>
              <w:jc w:val="both"/>
              <w:rPr>
                <w:rFonts w:eastAsia="Calibri"/>
                <w:sz w:val="20"/>
                <w:szCs w:val="20"/>
                <w:lang w:eastAsia="en-US"/>
              </w:rPr>
            </w:pPr>
            <w:r w:rsidRPr="00C443FC">
              <w:rPr>
                <w:rFonts w:eastAsia="Calibri"/>
                <w:sz w:val="20"/>
                <w:szCs w:val="20"/>
                <w:lang w:eastAsia="en-US"/>
              </w:rPr>
              <w:t xml:space="preserve">     Mejorará</w:t>
            </w:r>
          </w:p>
        </w:tc>
        <w:tc>
          <w:tcPr>
            <w:tcW w:w="1199" w:type="dxa"/>
            <w:tcBorders>
              <w:top w:val="single" w:sz="4" w:space="0" w:color="auto"/>
              <w:left w:val="single" w:sz="4" w:space="0" w:color="auto"/>
              <w:right w:val="single" w:sz="4" w:space="0" w:color="auto"/>
            </w:tcBorders>
          </w:tcPr>
          <w:p w14:paraId="39D2161E" w14:textId="77777777" w:rsidR="00C443FC" w:rsidRPr="00C443FC" w:rsidRDefault="00C443FC" w:rsidP="00C443FC">
            <w:pPr>
              <w:ind w:right="454"/>
              <w:jc w:val="right"/>
              <w:rPr>
                <w:rFonts w:eastAsia="Calibri"/>
                <w:sz w:val="20"/>
                <w:szCs w:val="20"/>
                <w:lang w:eastAsia="en-US"/>
              </w:rPr>
            </w:pPr>
            <w:r w:rsidRPr="00C443FC">
              <w:rPr>
                <w:rFonts w:eastAsia="Calibri"/>
                <w:sz w:val="20"/>
                <w:szCs w:val="20"/>
                <w:lang w:eastAsia="en-US"/>
              </w:rPr>
              <w:t>76</w:t>
            </w:r>
          </w:p>
        </w:tc>
        <w:tc>
          <w:tcPr>
            <w:tcW w:w="1211" w:type="dxa"/>
            <w:tcBorders>
              <w:top w:val="single" w:sz="4" w:space="0" w:color="auto"/>
              <w:left w:val="single" w:sz="4" w:space="0" w:color="auto"/>
              <w:right w:val="single" w:sz="4" w:space="0" w:color="auto"/>
            </w:tcBorders>
          </w:tcPr>
          <w:p w14:paraId="4BA742A8" w14:textId="77777777" w:rsidR="00C443FC" w:rsidRPr="00C443FC" w:rsidRDefault="00C443FC" w:rsidP="00C443FC">
            <w:pPr>
              <w:ind w:right="454"/>
              <w:jc w:val="right"/>
              <w:rPr>
                <w:rFonts w:eastAsia="Calibri"/>
                <w:sz w:val="20"/>
                <w:szCs w:val="20"/>
                <w:lang w:eastAsia="en-US"/>
              </w:rPr>
            </w:pPr>
            <w:r w:rsidRPr="00C443FC">
              <w:rPr>
                <w:rFonts w:eastAsia="Calibri"/>
                <w:sz w:val="20"/>
                <w:szCs w:val="20"/>
                <w:lang w:eastAsia="en-US"/>
              </w:rPr>
              <w:t>76</w:t>
            </w:r>
          </w:p>
        </w:tc>
      </w:tr>
      <w:tr w:rsidR="00C443FC" w:rsidRPr="00C443FC" w14:paraId="71620320" w14:textId="77777777" w:rsidTr="00284BB1">
        <w:trPr>
          <w:jc w:val="center"/>
        </w:trPr>
        <w:tc>
          <w:tcPr>
            <w:tcW w:w="2977" w:type="dxa"/>
            <w:tcBorders>
              <w:left w:val="single" w:sz="4" w:space="0" w:color="auto"/>
              <w:right w:val="single" w:sz="4" w:space="0" w:color="auto"/>
            </w:tcBorders>
          </w:tcPr>
          <w:p w14:paraId="3D8D5592" w14:textId="77777777" w:rsidR="00C443FC" w:rsidRPr="00C443FC" w:rsidRDefault="00C443FC" w:rsidP="00C443FC">
            <w:pPr>
              <w:jc w:val="both"/>
              <w:rPr>
                <w:rFonts w:eastAsia="Calibri"/>
                <w:sz w:val="20"/>
                <w:szCs w:val="20"/>
                <w:lang w:eastAsia="en-US"/>
              </w:rPr>
            </w:pPr>
            <w:r w:rsidRPr="00C443FC">
              <w:rPr>
                <w:rFonts w:eastAsia="Calibri"/>
                <w:sz w:val="20"/>
                <w:szCs w:val="20"/>
                <w:lang w:eastAsia="en-US"/>
              </w:rPr>
              <w:t xml:space="preserve">     Permanecerá igual</w:t>
            </w:r>
          </w:p>
        </w:tc>
        <w:tc>
          <w:tcPr>
            <w:tcW w:w="1199" w:type="dxa"/>
            <w:tcBorders>
              <w:left w:val="single" w:sz="4" w:space="0" w:color="auto"/>
              <w:right w:val="single" w:sz="4" w:space="0" w:color="auto"/>
            </w:tcBorders>
          </w:tcPr>
          <w:p w14:paraId="72189EF3" w14:textId="77777777" w:rsidR="00C443FC" w:rsidRPr="00C443FC" w:rsidRDefault="00C443FC" w:rsidP="00C443FC">
            <w:pPr>
              <w:ind w:right="454"/>
              <w:jc w:val="right"/>
              <w:rPr>
                <w:rFonts w:eastAsia="Calibri"/>
                <w:sz w:val="20"/>
                <w:szCs w:val="20"/>
                <w:lang w:eastAsia="en-US"/>
              </w:rPr>
            </w:pPr>
            <w:r w:rsidRPr="00C443FC">
              <w:rPr>
                <w:rFonts w:eastAsia="Calibri"/>
                <w:sz w:val="20"/>
                <w:szCs w:val="20"/>
                <w:lang w:eastAsia="en-US"/>
              </w:rPr>
              <w:t>18</w:t>
            </w:r>
          </w:p>
        </w:tc>
        <w:tc>
          <w:tcPr>
            <w:tcW w:w="1211" w:type="dxa"/>
            <w:tcBorders>
              <w:left w:val="single" w:sz="4" w:space="0" w:color="auto"/>
              <w:right w:val="single" w:sz="4" w:space="0" w:color="auto"/>
            </w:tcBorders>
          </w:tcPr>
          <w:p w14:paraId="3596B31C" w14:textId="77777777" w:rsidR="00C443FC" w:rsidRPr="00C443FC" w:rsidRDefault="00C443FC" w:rsidP="00C443FC">
            <w:pPr>
              <w:ind w:right="454"/>
              <w:jc w:val="right"/>
              <w:rPr>
                <w:rFonts w:eastAsia="Calibri"/>
                <w:sz w:val="20"/>
                <w:szCs w:val="20"/>
                <w:lang w:eastAsia="en-US"/>
              </w:rPr>
            </w:pPr>
            <w:r w:rsidRPr="00C443FC">
              <w:rPr>
                <w:rFonts w:eastAsia="Calibri"/>
                <w:sz w:val="20"/>
                <w:szCs w:val="20"/>
                <w:lang w:eastAsia="en-US"/>
              </w:rPr>
              <w:t>21</w:t>
            </w:r>
          </w:p>
        </w:tc>
      </w:tr>
      <w:tr w:rsidR="00C443FC" w:rsidRPr="00C443FC" w14:paraId="304682B4" w14:textId="77777777" w:rsidTr="00284BB1">
        <w:trPr>
          <w:jc w:val="center"/>
        </w:trPr>
        <w:tc>
          <w:tcPr>
            <w:tcW w:w="2977" w:type="dxa"/>
            <w:tcBorders>
              <w:left w:val="single" w:sz="4" w:space="0" w:color="auto"/>
              <w:bottom w:val="single" w:sz="4" w:space="0" w:color="auto"/>
              <w:right w:val="single" w:sz="4" w:space="0" w:color="auto"/>
            </w:tcBorders>
          </w:tcPr>
          <w:p w14:paraId="581EC72D" w14:textId="77777777" w:rsidR="00C443FC" w:rsidRPr="00C443FC" w:rsidRDefault="00C443FC" w:rsidP="00C443FC">
            <w:pPr>
              <w:jc w:val="both"/>
              <w:rPr>
                <w:rFonts w:eastAsia="Calibri"/>
                <w:sz w:val="20"/>
                <w:szCs w:val="20"/>
                <w:lang w:eastAsia="en-US"/>
              </w:rPr>
            </w:pPr>
            <w:r w:rsidRPr="00C443FC">
              <w:rPr>
                <w:rFonts w:eastAsia="Calibri"/>
                <w:sz w:val="20"/>
                <w:szCs w:val="20"/>
                <w:lang w:eastAsia="en-US"/>
              </w:rPr>
              <w:t xml:space="preserve">     Empeorará</w:t>
            </w:r>
          </w:p>
        </w:tc>
        <w:tc>
          <w:tcPr>
            <w:tcW w:w="1199" w:type="dxa"/>
            <w:tcBorders>
              <w:left w:val="single" w:sz="4" w:space="0" w:color="auto"/>
              <w:bottom w:val="single" w:sz="4" w:space="0" w:color="auto"/>
              <w:right w:val="single" w:sz="4" w:space="0" w:color="auto"/>
            </w:tcBorders>
          </w:tcPr>
          <w:p w14:paraId="2FCC008F" w14:textId="77777777" w:rsidR="00C443FC" w:rsidRPr="00C443FC" w:rsidRDefault="00C443FC" w:rsidP="00C443FC">
            <w:pPr>
              <w:ind w:right="454"/>
              <w:jc w:val="right"/>
              <w:rPr>
                <w:rFonts w:eastAsia="Calibri"/>
                <w:sz w:val="20"/>
                <w:szCs w:val="20"/>
                <w:lang w:eastAsia="en-US"/>
              </w:rPr>
            </w:pPr>
            <w:r w:rsidRPr="00C443FC">
              <w:rPr>
                <w:rFonts w:eastAsia="Calibri"/>
                <w:sz w:val="20"/>
                <w:szCs w:val="20"/>
                <w:lang w:eastAsia="en-US"/>
              </w:rPr>
              <w:t>6</w:t>
            </w:r>
          </w:p>
        </w:tc>
        <w:tc>
          <w:tcPr>
            <w:tcW w:w="1211" w:type="dxa"/>
            <w:tcBorders>
              <w:left w:val="single" w:sz="4" w:space="0" w:color="auto"/>
              <w:bottom w:val="single" w:sz="4" w:space="0" w:color="auto"/>
              <w:right w:val="single" w:sz="4" w:space="0" w:color="auto"/>
            </w:tcBorders>
          </w:tcPr>
          <w:p w14:paraId="403E476A" w14:textId="77777777" w:rsidR="00C443FC" w:rsidRPr="00C443FC" w:rsidRDefault="00C443FC" w:rsidP="00C443FC">
            <w:pPr>
              <w:ind w:right="454"/>
              <w:jc w:val="right"/>
              <w:rPr>
                <w:rFonts w:eastAsia="Calibri"/>
                <w:sz w:val="20"/>
                <w:szCs w:val="20"/>
                <w:lang w:eastAsia="en-US"/>
              </w:rPr>
            </w:pPr>
            <w:r w:rsidRPr="00C443FC">
              <w:rPr>
                <w:rFonts w:eastAsia="Calibri"/>
                <w:sz w:val="20"/>
                <w:szCs w:val="20"/>
                <w:lang w:eastAsia="en-US"/>
              </w:rPr>
              <w:t>3</w:t>
            </w:r>
          </w:p>
        </w:tc>
      </w:tr>
      <w:tr w:rsidR="00C443FC" w:rsidRPr="00C443FC" w14:paraId="527AE188" w14:textId="77777777" w:rsidTr="00284BB1">
        <w:trPr>
          <w:jc w:val="center"/>
        </w:trPr>
        <w:tc>
          <w:tcPr>
            <w:tcW w:w="5387" w:type="dxa"/>
            <w:gridSpan w:val="3"/>
            <w:tcBorders>
              <w:top w:val="single" w:sz="4" w:space="0" w:color="auto"/>
              <w:left w:val="single" w:sz="4" w:space="0" w:color="auto"/>
              <w:bottom w:val="single" w:sz="4" w:space="0" w:color="auto"/>
              <w:right w:val="single" w:sz="4" w:space="0" w:color="auto"/>
            </w:tcBorders>
          </w:tcPr>
          <w:p w14:paraId="1C10FB06" w14:textId="1723D9E9" w:rsidR="00C443FC" w:rsidRPr="00C443FC" w:rsidRDefault="00C443FC" w:rsidP="0063761A">
            <w:pPr>
              <w:ind w:right="454"/>
              <w:jc w:val="both"/>
              <w:rPr>
                <w:rFonts w:eastAsia="Calibri"/>
                <w:b/>
                <w:sz w:val="20"/>
                <w:szCs w:val="20"/>
                <w:lang w:eastAsia="en-US"/>
              </w:rPr>
            </w:pPr>
            <w:r w:rsidRPr="00C443FC">
              <w:rPr>
                <w:rFonts w:eastAsia="Calibri"/>
                <w:b/>
                <w:sz w:val="20"/>
                <w:szCs w:val="20"/>
                <w:lang w:eastAsia="en-US"/>
              </w:rPr>
              <w:t>Actualmente la economía está mejor que hace un año</w:t>
            </w:r>
            <w:r w:rsidRPr="00C443FC">
              <w:rPr>
                <w:rFonts w:eastAsia="Calibri"/>
                <w:b/>
                <w:sz w:val="20"/>
                <w:szCs w:val="20"/>
                <w:u w:val="single"/>
                <w:vertAlign w:val="superscript"/>
                <w:lang w:eastAsia="en-US"/>
              </w:rPr>
              <w:t>2</w:t>
            </w:r>
            <w:r w:rsidRPr="00C443FC">
              <w:rPr>
                <w:rFonts w:eastAsia="Calibri"/>
                <w:b/>
                <w:sz w:val="20"/>
                <w:szCs w:val="20"/>
                <w:vertAlign w:val="superscript"/>
                <w:lang w:eastAsia="en-US"/>
              </w:rPr>
              <w:t>/</w:t>
            </w:r>
          </w:p>
        </w:tc>
      </w:tr>
      <w:tr w:rsidR="00C443FC" w:rsidRPr="00C443FC" w14:paraId="1EE5065D" w14:textId="77777777" w:rsidTr="00284BB1">
        <w:trPr>
          <w:jc w:val="center"/>
        </w:trPr>
        <w:tc>
          <w:tcPr>
            <w:tcW w:w="2977" w:type="dxa"/>
            <w:tcBorders>
              <w:top w:val="single" w:sz="4" w:space="0" w:color="auto"/>
              <w:left w:val="single" w:sz="4" w:space="0" w:color="auto"/>
              <w:right w:val="single" w:sz="4" w:space="0" w:color="auto"/>
            </w:tcBorders>
          </w:tcPr>
          <w:p w14:paraId="4F2AFBC4" w14:textId="77777777" w:rsidR="00C443FC" w:rsidRPr="00C443FC" w:rsidRDefault="00C443FC" w:rsidP="00C443FC">
            <w:pPr>
              <w:jc w:val="both"/>
              <w:rPr>
                <w:rFonts w:eastAsia="Calibri"/>
                <w:sz w:val="20"/>
                <w:szCs w:val="20"/>
                <w:lang w:eastAsia="en-US"/>
              </w:rPr>
            </w:pPr>
            <w:r w:rsidRPr="00C443FC">
              <w:rPr>
                <w:rFonts w:eastAsia="Calibri"/>
                <w:sz w:val="20"/>
                <w:szCs w:val="20"/>
                <w:lang w:eastAsia="en-US"/>
              </w:rPr>
              <w:t xml:space="preserve">     Sí</w:t>
            </w:r>
          </w:p>
        </w:tc>
        <w:tc>
          <w:tcPr>
            <w:tcW w:w="1199" w:type="dxa"/>
            <w:tcBorders>
              <w:top w:val="single" w:sz="4" w:space="0" w:color="auto"/>
              <w:left w:val="single" w:sz="4" w:space="0" w:color="auto"/>
              <w:right w:val="single" w:sz="4" w:space="0" w:color="auto"/>
            </w:tcBorders>
          </w:tcPr>
          <w:p w14:paraId="3F09747B" w14:textId="77777777" w:rsidR="00C443FC" w:rsidRPr="00C443FC" w:rsidRDefault="00C443FC" w:rsidP="00C443FC">
            <w:pPr>
              <w:ind w:right="454"/>
              <w:jc w:val="right"/>
              <w:rPr>
                <w:rFonts w:eastAsia="Calibri"/>
                <w:sz w:val="20"/>
                <w:szCs w:val="20"/>
                <w:lang w:eastAsia="en-US"/>
              </w:rPr>
            </w:pPr>
            <w:r w:rsidRPr="00C443FC">
              <w:rPr>
                <w:rFonts w:eastAsia="Calibri"/>
                <w:sz w:val="20"/>
                <w:szCs w:val="20"/>
                <w:lang w:eastAsia="en-US"/>
              </w:rPr>
              <w:t>82</w:t>
            </w:r>
          </w:p>
        </w:tc>
        <w:tc>
          <w:tcPr>
            <w:tcW w:w="1211" w:type="dxa"/>
            <w:tcBorders>
              <w:top w:val="single" w:sz="4" w:space="0" w:color="auto"/>
              <w:left w:val="single" w:sz="4" w:space="0" w:color="auto"/>
              <w:right w:val="single" w:sz="4" w:space="0" w:color="auto"/>
            </w:tcBorders>
          </w:tcPr>
          <w:p w14:paraId="68C66A33" w14:textId="77777777" w:rsidR="00C443FC" w:rsidRPr="00C443FC" w:rsidRDefault="00C443FC" w:rsidP="00C443FC">
            <w:pPr>
              <w:ind w:right="454"/>
              <w:jc w:val="right"/>
              <w:rPr>
                <w:rFonts w:eastAsia="Calibri"/>
                <w:sz w:val="20"/>
                <w:szCs w:val="20"/>
                <w:lang w:eastAsia="en-US"/>
              </w:rPr>
            </w:pPr>
            <w:r w:rsidRPr="00C443FC">
              <w:rPr>
                <w:rFonts w:eastAsia="Calibri"/>
                <w:sz w:val="20"/>
                <w:szCs w:val="20"/>
                <w:lang w:eastAsia="en-US"/>
              </w:rPr>
              <w:t>82</w:t>
            </w:r>
          </w:p>
        </w:tc>
      </w:tr>
      <w:tr w:rsidR="00C443FC" w:rsidRPr="00C443FC" w14:paraId="1972BAF6" w14:textId="77777777" w:rsidTr="00284BB1">
        <w:trPr>
          <w:jc w:val="center"/>
        </w:trPr>
        <w:tc>
          <w:tcPr>
            <w:tcW w:w="2977" w:type="dxa"/>
            <w:tcBorders>
              <w:left w:val="single" w:sz="4" w:space="0" w:color="auto"/>
              <w:bottom w:val="single" w:sz="4" w:space="0" w:color="auto"/>
              <w:right w:val="single" w:sz="4" w:space="0" w:color="auto"/>
            </w:tcBorders>
          </w:tcPr>
          <w:p w14:paraId="5331DD79" w14:textId="77777777" w:rsidR="00C443FC" w:rsidRPr="00C443FC" w:rsidRDefault="00C443FC" w:rsidP="00C443FC">
            <w:pPr>
              <w:jc w:val="both"/>
              <w:rPr>
                <w:rFonts w:eastAsia="Calibri"/>
                <w:sz w:val="20"/>
                <w:szCs w:val="20"/>
                <w:lang w:eastAsia="en-US"/>
              </w:rPr>
            </w:pPr>
            <w:r w:rsidRPr="00C443FC">
              <w:rPr>
                <w:rFonts w:eastAsia="Calibri"/>
                <w:sz w:val="20"/>
                <w:szCs w:val="20"/>
                <w:lang w:eastAsia="en-US"/>
              </w:rPr>
              <w:t xml:space="preserve">     No</w:t>
            </w:r>
          </w:p>
        </w:tc>
        <w:tc>
          <w:tcPr>
            <w:tcW w:w="1199" w:type="dxa"/>
            <w:tcBorders>
              <w:left w:val="single" w:sz="4" w:space="0" w:color="auto"/>
              <w:bottom w:val="single" w:sz="4" w:space="0" w:color="auto"/>
              <w:right w:val="single" w:sz="4" w:space="0" w:color="auto"/>
            </w:tcBorders>
          </w:tcPr>
          <w:p w14:paraId="3B0A53EF" w14:textId="77777777" w:rsidR="00C443FC" w:rsidRPr="00C443FC" w:rsidRDefault="00C443FC" w:rsidP="00C443FC">
            <w:pPr>
              <w:ind w:right="454"/>
              <w:jc w:val="right"/>
              <w:rPr>
                <w:rFonts w:eastAsia="Calibri"/>
                <w:sz w:val="20"/>
                <w:szCs w:val="20"/>
                <w:lang w:eastAsia="en-US"/>
              </w:rPr>
            </w:pPr>
            <w:r w:rsidRPr="00C443FC">
              <w:rPr>
                <w:rFonts w:eastAsia="Calibri"/>
                <w:sz w:val="20"/>
                <w:szCs w:val="20"/>
                <w:lang w:eastAsia="en-US"/>
              </w:rPr>
              <w:t>18</w:t>
            </w:r>
          </w:p>
        </w:tc>
        <w:tc>
          <w:tcPr>
            <w:tcW w:w="1211" w:type="dxa"/>
            <w:tcBorders>
              <w:left w:val="single" w:sz="4" w:space="0" w:color="auto"/>
              <w:bottom w:val="single" w:sz="4" w:space="0" w:color="auto"/>
              <w:right w:val="single" w:sz="4" w:space="0" w:color="auto"/>
            </w:tcBorders>
          </w:tcPr>
          <w:p w14:paraId="1642BDA9" w14:textId="77777777" w:rsidR="00C443FC" w:rsidRPr="00C443FC" w:rsidRDefault="00C443FC" w:rsidP="00C443FC">
            <w:pPr>
              <w:ind w:right="454"/>
              <w:jc w:val="right"/>
              <w:rPr>
                <w:rFonts w:eastAsia="Calibri"/>
                <w:sz w:val="20"/>
                <w:szCs w:val="20"/>
                <w:lang w:eastAsia="en-US"/>
              </w:rPr>
            </w:pPr>
            <w:r w:rsidRPr="00C443FC">
              <w:rPr>
                <w:rFonts w:eastAsia="Calibri"/>
                <w:sz w:val="20"/>
                <w:szCs w:val="20"/>
                <w:lang w:eastAsia="en-US"/>
              </w:rPr>
              <w:t>18</w:t>
            </w:r>
          </w:p>
        </w:tc>
      </w:tr>
      <w:tr w:rsidR="00C443FC" w:rsidRPr="00C443FC" w14:paraId="4FCE7DC8" w14:textId="77777777" w:rsidTr="00284BB1">
        <w:trPr>
          <w:jc w:val="center"/>
        </w:trPr>
        <w:tc>
          <w:tcPr>
            <w:tcW w:w="5387" w:type="dxa"/>
            <w:gridSpan w:val="3"/>
            <w:tcBorders>
              <w:top w:val="single" w:sz="4" w:space="0" w:color="auto"/>
              <w:left w:val="single" w:sz="4" w:space="0" w:color="auto"/>
              <w:bottom w:val="single" w:sz="4" w:space="0" w:color="auto"/>
              <w:right w:val="single" w:sz="4" w:space="0" w:color="auto"/>
            </w:tcBorders>
          </w:tcPr>
          <w:p w14:paraId="617B3C8B" w14:textId="77777777" w:rsidR="00C443FC" w:rsidRPr="00C443FC" w:rsidRDefault="00C443FC" w:rsidP="00C443FC">
            <w:pPr>
              <w:ind w:right="454"/>
              <w:jc w:val="both"/>
              <w:rPr>
                <w:rFonts w:eastAsia="Calibri"/>
                <w:b/>
                <w:sz w:val="20"/>
                <w:szCs w:val="20"/>
                <w:lang w:eastAsia="en-US"/>
              </w:rPr>
            </w:pPr>
            <w:r w:rsidRPr="00C443FC">
              <w:rPr>
                <w:rFonts w:eastAsia="Calibri"/>
                <w:b/>
                <w:sz w:val="20"/>
                <w:szCs w:val="20"/>
                <w:lang w:eastAsia="en-US"/>
              </w:rPr>
              <w:t>Coyuntura actual para realizar inversiones</w:t>
            </w:r>
            <w:r w:rsidRPr="00C443FC">
              <w:rPr>
                <w:rFonts w:eastAsia="Calibri"/>
                <w:b/>
                <w:sz w:val="20"/>
                <w:szCs w:val="20"/>
                <w:u w:val="single"/>
                <w:vertAlign w:val="superscript"/>
                <w:lang w:eastAsia="en-US"/>
              </w:rPr>
              <w:t>3</w:t>
            </w:r>
            <w:r w:rsidRPr="00C443FC">
              <w:rPr>
                <w:rFonts w:eastAsia="Calibri"/>
                <w:b/>
                <w:sz w:val="20"/>
                <w:szCs w:val="20"/>
                <w:vertAlign w:val="superscript"/>
                <w:lang w:eastAsia="en-US"/>
              </w:rPr>
              <w:t>/</w:t>
            </w:r>
          </w:p>
        </w:tc>
      </w:tr>
      <w:tr w:rsidR="00C443FC" w:rsidRPr="00C443FC" w14:paraId="11C57BE3" w14:textId="77777777" w:rsidTr="00284BB1">
        <w:trPr>
          <w:jc w:val="center"/>
        </w:trPr>
        <w:tc>
          <w:tcPr>
            <w:tcW w:w="2977" w:type="dxa"/>
            <w:tcBorders>
              <w:top w:val="single" w:sz="4" w:space="0" w:color="auto"/>
              <w:left w:val="single" w:sz="4" w:space="0" w:color="auto"/>
              <w:right w:val="single" w:sz="4" w:space="0" w:color="auto"/>
            </w:tcBorders>
          </w:tcPr>
          <w:p w14:paraId="3FBC40F7" w14:textId="77777777" w:rsidR="00C443FC" w:rsidRPr="00C443FC" w:rsidRDefault="00C443FC" w:rsidP="00C443FC">
            <w:pPr>
              <w:jc w:val="both"/>
              <w:rPr>
                <w:rFonts w:eastAsia="Calibri"/>
                <w:sz w:val="20"/>
                <w:szCs w:val="20"/>
                <w:lang w:eastAsia="en-US"/>
              </w:rPr>
            </w:pPr>
            <w:r w:rsidRPr="00C443FC">
              <w:rPr>
                <w:rFonts w:eastAsia="Calibri"/>
                <w:sz w:val="20"/>
                <w:szCs w:val="20"/>
                <w:lang w:eastAsia="en-US"/>
              </w:rPr>
              <w:t xml:space="preserve">     Buen momento</w:t>
            </w:r>
          </w:p>
        </w:tc>
        <w:tc>
          <w:tcPr>
            <w:tcW w:w="1199" w:type="dxa"/>
            <w:tcBorders>
              <w:top w:val="single" w:sz="4" w:space="0" w:color="auto"/>
              <w:left w:val="single" w:sz="4" w:space="0" w:color="auto"/>
              <w:right w:val="single" w:sz="4" w:space="0" w:color="auto"/>
            </w:tcBorders>
          </w:tcPr>
          <w:p w14:paraId="34151F5E" w14:textId="77777777" w:rsidR="00C443FC" w:rsidRPr="00C443FC" w:rsidRDefault="00C443FC" w:rsidP="00C443FC">
            <w:pPr>
              <w:ind w:right="454"/>
              <w:jc w:val="right"/>
              <w:rPr>
                <w:rFonts w:eastAsia="Calibri"/>
                <w:sz w:val="20"/>
                <w:szCs w:val="20"/>
                <w:lang w:eastAsia="en-US"/>
              </w:rPr>
            </w:pPr>
            <w:r w:rsidRPr="00C443FC">
              <w:rPr>
                <w:rFonts w:eastAsia="Calibri"/>
                <w:sz w:val="20"/>
                <w:szCs w:val="20"/>
                <w:lang w:eastAsia="en-US"/>
              </w:rPr>
              <w:t>58</w:t>
            </w:r>
          </w:p>
        </w:tc>
        <w:tc>
          <w:tcPr>
            <w:tcW w:w="1211" w:type="dxa"/>
            <w:tcBorders>
              <w:top w:val="single" w:sz="4" w:space="0" w:color="auto"/>
              <w:left w:val="single" w:sz="4" w:space="0" w:color="auto"/>
              <w:right w:val="single" w:sz="4" w:space="0" w:color="auto"/>
            </w:tcBorders>
          </w:tcPr>
          <w:p w14:paraId="2961389C" w14:textId="77777777" w:rsidR="00C443FC" w:rsidRPr="00C443FC" w:rsidRDefault="00C443FC" w:rsidP="00C443FC">
            <w:pPr>
              <w:ind w:right="454"/>
              <w:jc w:val="right"/>
              <w:rPr>
                <w:rFonts w:eastAsia="Calibri"/>
                <w:sz w:val="20"/>
                <w:szCs w:val="20"/>
                <w:lang w:eastAsia="en-US"/>
              </w:rPr>
            </w:pPr>
            <w:r w:rsidRPr="00C443FC">
              <w:rPr>
                <w:rFonts w:eastAsia="Calibri"/>
                <w:sz w:val="20"/>
                <w:szCs w:val="20"/>
                <w:lang w:eastAsia="en-US"/>
              </w:rPr>
              <w:t>58</w:t>
            </w:r>
          </w:p>
        </w:tc>
      </w:tr>
      <w:tr w:rsidR="00C443FC" w:rsidRPr="00C443FC" w14:paraId="28B58F5D" w14:textId="77777777" w:rsidTr="00284BB1">
        <w:trPr>
          <w:jc w:val="center"/>
        </w:trPr>
        <w:tc>
          <w:tcPr>
            <w:tcW w:w="2977" w:type="dxa"/>
            <w:tcBorders>
              <w:left w:val="single" w:sz="4" w:space="0" w:color="auto"/>
              <w:right w:val="single" w:sz="4" w:space="0" w:color="auto"/>
            </w:tcBorders>
          </w:tcPr>
          <w:p w14:paraId="602E6451" w14:textId="77777777" w:rsidR="00C443FC" w:rsidRPr="00C443FC" w:rsidRDefault="00C443FC" w:rsidP="00C443FC">
            <w:pPr>
              <w:jc w:val="both"/>
              <w:rPr>
                <w:rFonts w:eastAsia="Calibri"/>
                <w:sz w:val="20"/>
                <w:szCs w:val="20"/>
                <w:lang w:eastAsia="en-US"/>
              </w:rPr>
            </w:pPr>
            <w:r w:rsidRPr="00C443FC">
              <w:rPr>
                <w:rFonts w:eastAsia="Calibri"/>
                <w:sz w:val="20"/>
                <w:szCs w:val="20"/>
                <w:lang w:eastAsia="en-US"/>
              </w:rPr>
              <w:t xml:space="preserve">     Mal momento</w:t>
            </w:r>
          </w:p>
        </w:tc>
        <w:tc>
          <w:tcPr>
            <w:tcW w:w="1199" w:type="dxa"/>
            <w:tcBorders>
              <w:left w:val="single" w:sz="4" w:space="0" w:color="auto"/>
              <w:right w:val="single" w:sz="4" w:space="0" w:color="auto"/>
            </w:tcBorders>
          </w:tcPr>
          <w:p w14:paraId="6ECB61BF" w14:textId="77777777" w:rsidR="00C443FC" w:rsidRPr="00C443FC" w:rsidRDefault="00C443FC" w:rsidP="00C443FC">
            <w:pPr>
              <w:ind w:right="454"/>
              <w:jc w:val="right"/>
              <w:rPr>
                <w:rFonts w:eastAsia="Calibri"/>
                <w:sz w:val="20"/>
                <w:szCs w:val="20"/>
                <w:lang w:eastAsia="en-US"/>
              </w:rPr>
            </w:pPr>
            <w:r w:rsidRPr="00C443FC">
              <w:rPr>
                <w:rFonts w:eastAsia="Calibri"/>
                <w:sz w:val="20"/>
                <w:szCs w:val="20"/>
                <w:lang w:eastAsia="en-US"/>
              </w:rPr>
              <w:t>6</w:t>
            </w:r>
          </w:p>
        </w:tc>
        <w:tc>
          <w:tcPr>
            <w:tcW w:w="1211" w:type="dxa"/>
            <w:tcBorders>
              <w:left w:val="single" w:sz="4" w:space="0" w:color="auto"/>
              <w:right w:val="single" w:sz="4" w:space="0" w:color="auto"/>
            </w:tcBorders>
          </w:tcPr>
          <w:p w14:paraId="0B71D2ED" w14:textId="77777777" w:rsidR="00C443FC" w:rsidRPr="00C443FC" w:rsidRDefault="00C443FC" w:rsidP="00C443FC">
            <w:pPr>
              <w:ind w:right="454"/>
              <w:jc w:val="right"/>
              <w:rPr>
                <w:rFonts w:eastAsia="Calibri"/>
                <w:sz w:val="20"/>
                <w:szCs w:val="20"/>
                <w:lang w:eastAsia="en-US"/>
              </w:rPr>
            </w:pPr>
            <w:r w:rsidRPr="00C443FC">
              <w:rPr>
                <w:rFonts w:eastAsia="Calibri"/>
                <w:sz w:val="20"/>
                <w:szCs w:val="20"/>
                <w:lang w:eastAsia="en-US"/>
              </w:rPr>
              <w:t>6</w:t>
            </w:r>
          </w:p>
        </w:tc>
      </w:tr>
      <w:tr w:rsidR="00C443FC" w:rsidRPr="00C443FC" w14:paraId="6B20089A" w14:textId="77777777" w:rsidTr="00284BB1">
        <w:trPr>
          <w:jc w:val="center"/>
        </w:trPr>
        <w:tc>
          <w:tcPr>
            <w:tcW w:w="2977" w:type="dxa"/>
            <w:tcBorders>
              <w:left w:val="single" w:sz="4" w:space="0" w:color="auto"/>
              <w:bottom w:val="single" w:sz="4" w:space="0" w:color="auto"/>
              <w:right w:val="single" w:sz="4" w:space="0" w:color="auto"/>
            </w:tcBorders>
          </w:tcPr>
          <w:p w14:paraId="58499E47" w14:textId="77777777" w:rsidR="00C443FC" w:rsidRPr="00C443FC" w:rsidRDefault="00C443FC" w:rsidP="00C443FC">
            <w:pPr>
              <w:jc w:val="both"/>
              <w:rPr>
                <w:rFonts w:eastAsia="Calibri"/>
                <w:sz w:val="20"/>
                <w:szCs w:val="20"/>
                <w:lang w:eastAsia="en-US"/>
              </w:rPr>
            </w:pPr>
            <w:r w:rsidRPr="00C443FC">
              <w:rPr>
                <w:rFonts w:eastAsia="Calibri"/>
                <w:sz w:val="20"/>
                <w:szCs w:val="20"/>
                <w:lang w:eastAsia="en-US"/>
              </w:rPr>
              <w:t xml:space="preserve">     No está seguro</w:t>
            </w:r>
          </w:p>
        </w:tc>
        <w:tc>
          <w:tcPr>
            <w:tcW w:w="1199" w:type="dxa"/>
            <w:tcBorders>
              <w:left w:val="single" w:sz="4" w:space="0" w:color="auto"/>
              <w:bottom w:val="single" w:sz="4" w:space="0" w:color="auto"/>
              <w:right w:val="single" w:sz="4" w:space="0" w:color="auto"/>
            </w:tcBorders>
          </w:tcPr>
          <w:p w14:paraId="1B49EC2D" w14:textId="77777777" w:rsidR="00C443FC" w:rsidRPr="00C443FC" w:rsidRDefault="00C443FC" w:rsidP="00C443FC">
            <w:pPr>
              <w:ind w:right="454"/>
              <w:jc w:val="right"/>
              <w:rPr>
                <w:rFonts w:eastAsia="Calibri"/>
                <w:sz w:val="20"/>
                <w:szCs w:val="20"/>
                <w:lang w:eastAsia="en-US"/>
              </w:rPr>
            </w:pPr>
            <w:r w:rsidRPr="00C443FC">
              <w:rPr>
                <w:rFonts w:eastAsia="Calibri"/>
                <w:sz w:val="20"/>
                <w:szCs w:val="20"/>
                <w:lang w:eastAsia="en-US"/>
              </w:rPr>
              <w:t>36</w:t>
            </w:r>
          </w:p>
        </w:tc>
        <w:tc>
          <w:tcPr>
            <w:tcW w:w="1211" w:type="dxa"/>
            <w:tcBorders>
              <w:left w:val="single" w:sz="4" w:space="0" w:color="auto"/>
              <w:bottom w:val="single" w:sz="4" w:space="0" w:color="auto"/>
              <w:right w:val="single" w:sz="4" w:space="0" w:color="auto"/>
            </w:tcBorders>
          </w:tcPr>
          <w:p w14:paraId="7DF640C7" w14:textId="77777777" w:rsidR="00C443FC" w:rsidRPr="00C443FC" w:rsidRDefault="00C443FC" w:rsidP="00C443FC">
            <w:pPr>
              <w:ind w:right="454"/>
              <w:jc w:val="right"/>
              <w:rPr>
                <w:rFonts w:eastAsia="Calibri"/>
                <w:sz w:val="20"/>
                <w:szCs w:val="20"/>
                <w:lang w:eastAsia="en-US"/>
              </w:rPr>
            </w:pPr>
            <w:r w:rsidRPr="00C443FC">
              <w:rPr>
                <w:rFonts w:eastAsia="Calibri"/>
                <w:sz w:val="20"/>
                <w:szCs w:val="20"/>
                <w:lang w:eastAsia="en-US"/>
              </w:rPr>
              <w:t>36</w:t>
            </w:r>
          </w:p>
        </w:tc>
      </w:tr>
      <w:tr w:rsidR="00C443FC" w:rsidRPr="00C443FC" w14:paraId="1E270081" w14:textId="77777777" w:rsidTr="007B7E95">
        <w:trPr>
          <w:jc w:val="center"/>
        </w:trPr>
        <w:tc>
          <w:tcPr>
            <w:tcW w:w="5387" w:type="dxa"/>
            <w:gridSpan w:val="3"/>
            <w:tcBorders>
              <w:left w:val="nil"/>
              <w:bottom w:val="nil"/>
              <w:right w:val="nil"/>
            </w:tcBorders>
          </w:tcPr>
          <w:p w14:paraId="46F6F4F4" w14:textId="77777777" w:rsidR="00C443FC" w:rsidRPr="00C443FC" w:rsidRDefault="00C443FC" w:rsidP="00C443FC">
            <w:pPr>
              <w:ind w:left="284" w:hanging="284"/>
              <w:jc w:val="both"/>
              <w:rPr>
                <w:rFonts w:eastAsia="Calibri"/>
                <w:sz w:val="20"/>
                <w:szCs w:val="20"/>
                <w:lang w:eastAsia="en-US"/>
              </w:rPr>
            </w:pPr>
            <w:r w:rsidRPr="00C443FC">
              <w:rPr>
                <w:rFonts w:eastAsia="Calibri"/>
                <w:sz w:val="20"/>
                <w:szCs w:val="20"/>
                <w:u w:val="single"/>
                <w:lang w:eastAsia="en-US"/>
              </w:rPr>
              <w:t>1</w:t>
            </w:r>
            <w:r w:rsidRPr="00C443FC">
              <w:rPr>
                <w:rFonts w:eastAsia="Calibri"/>
                <w:sz w:val="20"/>
                <w:szCs w:val="20"/>
                <w:lang w:eastAsia="en-US"/>
              </w:rPr>
              <w:t>/ ¿Cómo considera que evolucione el clima de negocios para las actividades productivas del sector privado en los próximos seis meses en comparación con los pasados seis meses?</w:t>
            </w:r>
          </w:p>
          <w:p w14:paraId="0B201BF8" w14:textId="77777777" w:rsidR="00C443FC" w:rsidRPr="00C443FC" w:rsidRDefault="00C443FC" w:rsidP="00C443FC">
            <w:pPr>
              <w:ind w:left="312" w:hanging="312"/>
              <w:jc w:val="both"/>
              <w:rPr>
                <w:rFonts w:eastAsia="Calibri"/>
                <w:sz w:val="20"/>
                <w:szCs w:val="20"/>
                <w:lang w:eastAsia="en-US"/>
              </w:rPr>
            </w:pPr>
            <w:r w:rsidRPr="00C443FC">
              <w:rPr>
                <w:rFonts w:eastAsia="Calibri"/>
                <w:sz w:val="20"/>
                <w:szCs w:val="20"/>
                <w:u w:val="single"/>
                <w:lang w:eastAsia="en-US"/>
              </w:rPr>
              <w:t>2</w:t>
            </w:r>
            <w:r w:rsidRPr="00C443FC">
              <w:rPr>
                <w:rFonts w:eastAsia="Calibri"/>
                <w:sz w:val="20"/>
                <w:szCs w:val="20"/>
                <w:lang w:eastAsia="en-US"/>
              </w:rPr>
              <w:t>/ Tomando en cuenta el entorno económico-financiero actual: ¿Considera usted que actualmente la economía del país está mejor que hace un año?</w:t>
            </w:r>
          </w:p>
          <w:p w14:paraId="69DDBF13" w14:textId="77777777" w:rsidR="00C443FC" w:rsidRPr="00C443FC" w:rsidRDefault="00C443FC" w:rsidP="00C443FC">
            <w:pPr>
              <w:ind w:left="284" w:hanging="284"/>
              <w:jc w:val="both"/>
              <w:rPr>
                <w:rFonts w:eastAsia="Calibri"/>
                <w:sz w:val="20"/>
                <w:szCs w:val="20"/>
                <w:lang w:eastAsia="en-US"/>
              </w:rPr>
            </w:pPr>
            <w:r w:rsidRPr="00C443FC">
              <w:rPr>
                <w:rFonts w:eastAsia="Calibri"/>
                <w:sz w:val="20"/>
                <w:szCs w:val="20"/>
                <w:u w:val="single"/>
                <w:lang w:eastAsia="en-US"/>
              </w:rPr>
              <w:t>3</w:t>
            </w:r>
            <w:r w:rsidRPr="00C443FC">
              <w:rPr>
                <w:rFonts w:eastAsia="Calibri"/>
                <w:sz w:val="20"/>
                <w:szCs w:val="20"/>
                <w:lang w:eastAsia="en-US"/>
              </w:rPr>
              <w:t>/ ¿Cómo considera que sea la coyuntura actual de las empresas para efectuar inversiones?</w:t>
            </w:r>
          </w:p>
          <w:p w14:paraId="7AF82EC4" w14:textId="77777777" w:rsidR="00C443FC" w:rsidRPr="00C443FC" w:rsidRDefault="00C443FC" w:rsidP="00C443FC">
            <w:pPr>
              <w:ind w:left="227" w:hanging="227"/>
              <w:jc w:val="both"/>
              <w:rPr>
                <w:rFonts w:eastAsia="Calibri"/>
                <w:sz w:val="20"/>
                <w:szCs w:val="20"/>
                <w:lang w:eastAsia="en-US"/>
              </w:rPr>
            </w:pPr>
            <w:r w:rsidRPr="00C443FC">
              <w:rPr>
                <w:rFonts w:eastAsia="Calibri"/>
                <w:sz w:val="20"/>
                <w:szCs w:val="20"/>
                <w:lang w:eastAsia="en-US"/>
              </w:rPr>
              <w:t>FUENTE: Banco de México.</w:t>
            </w:r>
          </w:p>
        </w:tc>
      </w:tr>
    </w:tbl>
    <w:p w14:paraId="75889153" w14:textId="308CBC31" w:rsidR="0051422E" w:rsidRPr="0051422E" w:rsidRDefault="0051422E" w:rsidP="0051422E">
      <w:pPr>
        <w:spacing w:after="160" w:line="259" w:lineRule="auto"/>
        <w:jc w:val="center"/>
        <w:rPr>
          <w:rFonts w:ascii="Calibri" w:eastAsia="Calibri" w:hAnsi="Calibri"/>
          <w:sz w:val="22"/>
          <w:szCs w:val="22"/>
          <w:lang w:eastAsia="en-US"/>
        </w:rPr>
      </w:pPr>
      <w:r w:rsidRPr="0051422E">
        <w:rPr>
          <w:rFonts w:ascii="Calibri" w:eastAsia="Calibri" w:hAnsi="Calibri"/>
          <w:sz w:val="22"/>
          <w:szCs w:val="22"/>
          <w:lang w:eastAsia="en-US"/>
        </w:rPr>
        <w:lastRenderedPageBreak/>
        <w:fldChar w:fldCharType="begin"/>
      </w:r>
      <w:r w:rsidRPr="0051422E">
        <w:rPr>
          <w:rFonts w:ascii="Calibri" w:eastAsia="Calibri" w:hAnsi="Calibri"/>
          <w:sz w:val="22"/>
          <w:szCs w:val="22"/>
          <w:lang w:eastAsia="en-US"/>
        </w:rPr>
        <w:instrText xml:space="preserve"> LINK PowerPoint.Slide.8 "D:\\2015\\MARZO 2014\\GRÁFICAS EN POWER POINT\\13.- GRÁFICAS DE EXPECTATIVAS.pptx!284" "" \a \p </w:instrText>
      </w:r>
      <w:r w:rsidRPr="0051422E">
        <w:rPr>
          <w:rFonts w:ascii="Calibri" w:eastAsia="Calibri" w:hAnsi="Calibri"/>
          <w:sz w:val="22"/>
          <w:szCs w:val="22"/>
          <w:lang w:eastAsia="en-US"/>
        </w:rPr>
        <w:fldChar w:fldCharType="separate"/>
      </w:r>
      <w:r w:rsidRPr="0051422E">
        <w:rPr>
          <w:rFonts w:ascii="Calibri" w:eastAsia="Calibri" w:hAnsi="Calibri"/>
          <w:noProof/>
          <w:sz w:val="22"/>
          <w:szCs w:val="22"/>
          <w:lang w:eastAsia="es-MX"/>
        </w:rPr>
        <w:drawing>
          <wp:inline distT="0" distB="0" distL="0" distR="0" wp14:anchorId="0E3F5C2C" wp14:editId="2460CC5C">
            <wp:extent cx="5177790" cy="3422650"/>
            <wp:effectExtent l="0" t="0" r="3810" b="6350"/>
            <wp:docPr id="146" name="Imagen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84"/>
                    <pic:cNvPicPr>
                      <a:picLocks noChangeAspect="1" noChangeArrowheads="1"/>
                    </pic:cNvPicPr>
                  </pic:nvPicPr>
                  <pic:blipFill>
                    <a:blip r:embed="rId282" cstate="print">
                      <a:extLst>
                        <a:ext uri="{28A0092B-C50C-407E-A947-70E740481C1C}">
                          <a14:useLocalDpi xmlns:a14="http://schemas.microsoft.com/office/drawing/2010/main" val="0"/>
                        </a:ext>
                      </a:extLst>
                    </a:blip>
                    <a:srcRect l="7695" r="7162"/>
                    <a:stretch>
                      <a:fillRect/>
                    </a:stretch>
                  </pic:blipFill>
                  <pic:spPr bwMode="auto">
                    <a:xfrm>
                      <a:off x="0" y="0"/>
                      <a:ext cx="5177790" cy="3422650"/>
                    </a:xfrm>
                    <a:prstGeom prst="rect">
                      <a:avLst/>
                    </a:prstGeom>
                    <a:noFill/>
                    <a:ln>
                      <a:noFill/>
                    </a:ln>
                  </pic:spPr>
                </pic:pic>
              </a:graphicData>
            </a:graphic>
          </wp:inline>
        </w:drawing>
      </w:r>
      <w:r w:rsidRPr="0051422E">
        <w:rPr>
          <w:rFonts w:ascii="Calibri" w:eastAsia="Calibri" w:hAnsi="Calibri"/>
          <w:sz w:val="22"/>
          <w:szCs w:val="22"/>
          <w:lang w:eastAsia="en-US"/>
        </w:rPr>
        <w:fldChar w:fldCharType="end"/>
      </w:r>
    </w:p>
    <w:p w14:paraId="133C1E08" w14:textId="77777777" w:rsidR="0051422E" w:rsidRPr="0051422E" w:rsidRDefault="0051422E" w:rsidP="0051422E">
      <w:pPr>
        <w:spacing w:after="160" w:line="259" w:lineRule="auto"/>
        <w:jc w:val="center"/>
        <w:rPr>
          <w:rFonts w:ascii="Calibri" w:eastAsia="Calibri" w:hAnsi="Calibri"/>
          <w:sz w:val="22"/>
          <w:szCs w:val="22"/>
          <w:lang w:eastAsia="en-US"/>
        </w:rPr>
      </w:pPr>
    </w:p>
    <w:p w14:paraId="0458DC92" w14:textId="646A752E" w:rsidR="0051422E" w:rsidRPr="0051422E" w:rsidRDefault="0051422E" w:rsidP="0051422E">
      <w:pPr>
        <w:spacing w:after="160" w:line="259" w:lineRule="auto"/>
        <w:jc w:val="center"/>
        <w:rPr>
          <w:rFonts w:ascii="Calibri" w:eastAsia="Calibri" w:hAnsi="Calibri"/>
          <w:sz w:val="22"/>
          <w:szCs w:val="22"/>
          <w:lang w:eastAsia="en-US"/>
        </w:rPr>
      </w:pPr>
      <w:r w:rsidRPr="0051422E">
        <w:rPr>
          <w:rFonts w:ascii="Calibri" w:eastAsia="Calibri" w:hAnsi="Calibri"/>
          <w:sz w:val="22"/>
          <w:szCs w:val="22"/>
          <w:lang w:eastAsia="en-US"/>
        </w:rPr>
        <w:fldChar w:fldCharType="begin"/>
      </w:r>
      <w:r w:rsidRPr="0051422E">
        <w:rPr>
          <w:rFonts w:ascii="Calibri" w:eastAsia="Calibri" w:hAnsi="Calibri"/>
          <w:sz w:val="22"/>
          <w:szCs w:val="22"/>
          <w:lang w:eastAsia="en-US"/>
        </w:rPr>
        <w:instrText xml:space="preserve"> LINK PowerPoint.Slide.8 "D:\\2015\\MARZO 2014\\GRÁFICAS EN POWER POINT\\13.- GRÁFICAS DE EXPECTATIVAS.pptx!278" "" \a \p </w:instrText>
      </w:r>
      <w:r w:rsidRPr="0051422E">
        <w:rPr>
          <w:rFonts w:ascii="Calibri" w:eastAsia="Calibri" w:hAnsi="Calibri"/>
          <w:sz w:val="22"/>
          <w:szCs w:val="22"/>
          <w:lang w:eastAsia="en-US"/>
        </w:rPr>
        <w:fldChar w:fldCharType="separate"/>
      </w:r>
      <w:r w:rsidRPr="0051422E">
        <w:rPr>
          <w:rFonts w:ascii="Calibri" w:eastAsia="Calibri" w:hAnsi="Calibri"/>
          <w:noProof/>
          <w:sz w:val="22"/>
          <w:szCs w:val="22"/>
          <w:lang w:eastAsia="es-MX"/>
        </w:rPr>
        <w:drawing>
          <wp:inline distT="0" distB="0" distL="0" distR="0" wp14:anchorId="2FBFAA93" wp14:editId="33AF3AAB">
            <wp:extent cx="4775835" cy="3422650"/>
            <wp:effectExtent l="0" t="0" r="5715" b="6350"/>
            <wp:docPr id="145" name="Imagen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85"/>
                    <pic:cNvPicPr>
                      <a:picLocks noChangeAspect="1" noChangeArrowheads="1"/>
                    </pic:cNvPicPr>
                  </pic:nvPicPr>
                  <pic:blipFill>
                    <a:blip r:embed="rId283" cstate="print">
                      <a:extLst>
                        <a:ext uri="{28A0092B-C50C-407E-A947-70E740481C1C}">
                          <a14:useLocalDpi xmlns:a14="http://schemas.microsoft.com/office/drawing/2010/main" val="0"/>
                        </a:ext>
                      </a:extLst>
                    </a:blip>
                    <a:srcRect l="8217" r="13290"/>
                    <a:stretch>
                      <a:fillRect/>
                    </a:stretch>
                  </pic:blipFill>
                  <pic:spPr bwMode="auto">
                    <a:xfrm>
                      <a:off x="0" y="0"/>
                      <a:ext cx="4775835" cy="3422650"/>
                    </a:xfrm>
                    <a:prstGeom prst="rect">
                      <a:avLst/>
                    </a:prstGeom>
                    <a:noFill/>
                    <a:ln>
                      <a:noFill/>
                    </a:ln>
                  </pic:spPr>
                </pic:pic>
              </a:graphicData>
            </a:graphic>
          </wp:inline>
        </w:drawing>
      </w:r>
      <w:r w:rsidRPr="0051422E">
        <w:rPr>
          <w:rFonts w:ascii="Calibri" w:eastAsia="Calibri" w:hAnsi="Calibri"/>
          <w:sz w:val="22"/>
          <w:szCs w:val="22"/>
          <w:lang w:eastAsia="en-US"/>
        </w:rPr>
        <w:fldChar w:fldCharType="end"/>
      </w:r>
    </w:p>
    <w:p w14:paraId="60128156" w14:textId="77777777" w:rsidR="0051422E" w:rsidRPr="0051422E" w:rsidRDefault="0051422E" w:rsidP="0051422E">
      <w:pPr>
        <w:spacing w:after="160" w:line="259" w:lineRule="auto"/>
        <w:jc w:val="center"/>
        <w:rPr>
          <w:rFonts w:ascii="Calibri" w:eastAsia="Calibri" w:hAnsi="Calibri"/>
          <w:sz w:val="22"/>
          <w:szCs w:val="22"/>
          <w:lang w:eastAsia="en-US"/>
        </w:rPr>
      </w:pPr>
    </w:p>
    <w:p w14:paraId="40F8B834" w14:textId="548AD6A7" w:rsidR="0051422E" w:rsidRPr="0051422E" w:rsidRDefault="0051422E" w:rsidP="0051422E">
      <w:pPr>
        <w:spacing w:after="160" w:line="259" w:lineRule="auto"/>
        <w:jc w:val="center"/>
        <w:rPr>
          <w:rFonts w:ascii="Calibri" w:eastAsia="Calibri" w:hAnsi="Calibri"/>
          <w:sz w:val="22"/>
          <w:szCs w:val="22"/>
          <w:lang w:eastAsia="en-US"/>
        </w:rPr>
      </w:pPr>
      <w:r w:rsidRPr="0051422E">
        <w:rPr>
          <w:rFonts w:ascii="Calibri" w:eastAsia="Calibri" w:hAnsi="Calibri"/>
          <w:sz w:val="22"/>
          <w:szCs w:val="22"/>
          <w:lang w:eastAsia="en-US"/>
        </w:rPr>
        <w:lastRenderedPageBreak/>
        <w:fldChar w:fldCharType="begin"/>
      </w:r>
      <w:r w:rsidRPr="0051422E">
        <w:rPr>
          <w:rFonts w:ascii="Calibri" w:eastAsia="Calibri" w:hAnsi="Calibri"/>
          <w:sz w:val="22"/>
          <w:szCs w:val="22"/>
          <w:lang w:eastAsia="en-US"/>
        </w:rPr>
        <w:instrText xml:space="preserve"> LINK PowerPoint.Slide.8 "D:\\2015\\MARZO 2014\\GRÁFICAS EN POWER POINT\\13.- GRÁFICAS DE EXPECTATIVAS.pptx!281" "" \a \p </w:instrText>
      </w:r>
      <w:r w:rsidRPr="0051422E">
        <w:rPr>
          <w:rFonts w:ascii="Calibri" w:eastAsia="Calibri" w:hAnsi="Calibri"/>
          <w:sz w:val="22"/>
          <w:szCs w:val="22"/>
          <w:lang w:eastAsia="en-US"/>
        </w:rPr>
        <w:fldChar w:fldCharType="separate"/>
      </w:r>
      <w:r w:rsidRPr="0051422E">
        <w:rPr>
          <w:rFonts w:ascii="Calibri" w:eastAsia="Calibri" w:hAnsi="Calibri"/>
          <w:noProof/>
          <w:sz w:val="22"/>
          <w:szCs w:val="22"/>
          <w:lang w:eastAsia="es-MX"/>
        </w:rPr>
        <w:drawing>
          <wp:inline distT="0" distB="0" distL="0" distR="0" wp14:anchorId="66FF91C8" wp14:editId="5EFABF54">
            <wp:extent cx="4751070" cy="3422650"/>
            <wp:effectExtent l="0" t="0" r="0" b="6350"/>
            <wp:docPr id="144" name="Imagen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86"/>
                    <pic:cNvPicPr>
                      <a:picLocks noChangeAspect="1" noChangeArrowheads="1"/>
                    </pic:cNvPicPr>
                  </pic:nvPicPr>
                  <pic:blipFill>
                    <a:blip r:embed="rId284" cstate="print">
                      <a:extLst>
                        <a:ext uri="{28A0092B-C50C-407E-A947-70E740481C1C}">
                          <a14:useLocalDpi xmlns:a14="http://schemas.microsoft.com/office/drawing/2010/main" val="0"/>
                        </a:ext>
                      </a:extLst>
                    </a:blip>
                    <a:srcRect l="8751" r="13103"/>
                    <a:stretch>
                      <a:fillRect/>
                    </a:stretch>
                  </pic:blipFill>
                  <pic:spPr bwMode="auto">
                    <a:xfrm>
                      <a:off x="0" y="0"/>
                      <a:ext cx="4751070" cy="3422650"/>
                    </a:xfrm>
                    <a:prstGeom prst="rect">
                      <a:avLst/>
                    </a:prstGeom>
                    <a:noFill/>
                    <a:ln>
                      <a:noFill/>
                    </a:ln>
                  </pic:spPr>
                </pic:pic>
              </a:graphicData>
            </a:graphic>
          </wp:inline>
        </w:drawing>
      </w:r>
      <w:r w:rsidRPr="0051422E">
        <w:rPr>
          <w:rFonts w:ascii="Calibri" w:eastAsia="Calibri" w:hAnsi="Calibri"/>
          <w:sz w:val="22"/>
          <w:szCs w:val="22"/>
          <w:lang w:eastAsia="en-US"/>
        </w:rPr>
        <w:fldChar w:fldCharType="end"/>
      </w:r>
    </w:p>
    <w:p w14:paraId="2F2CBC09" w14:textId="52479EC1" w:rsidR="00C443FC" w:rsidRPr="00C443FC" w:rsidRDefault="00C443FC" w:rsidP="00D27C30">
      <w:pPr>
        <w:spacing w:after="360" w:line="360" w:lineRule="auto"/>
        <w:ind w:right="-159"/>
        <w:jc w:val="center"/>
        <w:rPr>
          <w:rFonts w:eastAsia="Calibri"/>
          <w:sz w:val="26"/>
          <w:szCs w:val="26"/>
          <w:lang w:eastAsia="en-US"/>
        </w:rPr>
      </w:pPr>
    </w:p>
    <w:p w14:paraId="62367E0F" w14:textId="77777777" w:rsidR="00C443FC" w:rsidRPr="00C443FC" w:rsidRDefault="00C443FC" w:rsidP="00C443FC">
      <w:pPr>
        <w:spacing w:after="360" w:line="360" w:lineRule="auto"/>
        <w:ind w:right="-159"/>
        <w:jc w:val="both"/>
        <w:rPr>
          <w:rFonts w:eastAsia="Calibri"/>
          <w:b/>
          <w:sz w:val="26"/>
          <w:szCs w:val="26"/>
          <w:lang w:eastAsia="en-US"/>
        </w:rPr>
      </w:pPr>
      <w:r w:rsidRPr="00C443FC">
        <w:rPr>
          <w:rFonts w:eastAsia="Calibri"/>
          <w:b/>
          <w:sz w:val="26"/>
          <w:szCs w:val="26"/>
          <w:lang w:eastAsia="en-US"/>
        </w:rPr>
        <w:t>Evolución de la actividad económica de Estados Unidos de Norteamérica</w:t>
      </w:r>
    </w:p>
    <w:p w14:paraId="5F8EE8A7" w14:textId="77777777" w:rsidR="00C443FC" w:rsidRPr="00C443FC" w:rsidRDefault="00C443FC" w:rsidP="00C443FC">
      <w:pPr>
        <w:spacing w:after="360" w:line="360" w:lineRule="auto"/>
        <w:ind w:right="-159"/>
        <w:jc w:val="both"/>
        <w:rPr>
          <w:rFonts w:eastAsia="Calibri"/>
          <w:sz w:val="26"/>
          <w:szCs w:val="26"/>
          <w:lang w:eastAsia="en-US"/>
        </w:rPr>
      </w:pPr>
      <w:r w:rsidRPr="00C443FC">
        <w:rPr>
          <w:rFonts w:eastAsia="Calibri"/>
          <w:sz w:val="26"/>
          <w:szCs w:val="26"/>
          <w:lang w:eastAsia="en-US"/>
        </w:rPr>
        <w:t>Finalmente, las expectativas de crecimiento del PIB de Estados Unidos de Norteamérica para 2015, se revisaron a la baja, tiempo que para 2016 se mantuvieron en niveles similares (ver el cuadro siguiente y las gráficas siguientes).</w:t>
      </w:r>
    </w:p>
    <w:tbl>
      <w:tblPr>
        <w:tblW w:w="0" w:type="auto"/>
        <w:jc w:val="center"/>
        <w:tblLook w:val="04A0" w:firstRow="1" w:lastRow="0" w:firstColumn="1" w:lastColumn="0" w:noHBand="0" w:noVBand="1"/>
      </w:tblPr>
      <w:tblGrid>
        <w:gridCol w:w="1293"/>
        <w:gridCol w:w="1194"/>
        <w:gridCol w:w="1194"/>
        <w:gridCol w:w="1194"/>
        <w:gridCol w:w="1194"/>
      </w:tblGrid>
      <w:tr w:rsidR="00C443FC" w:rsidRPr="00C443FC" w14:paraId="70AA9163" w14:textId="77777777" w:rsidTr="00A73519">
        <w:trPr>
          <w:jc w:val="center"/>
        </w:trPr>
        <w:tc>
          <w:tcPr>
            <w:tcW w:w="6069" w:type="dxa"/>
            <w:gridSpan w:val="5"/>
            <w:tcBorders>
              <w:top w:val="nil"/>
              <w:left w:val="nil"/>
              <w:bottom w:val="single" w:sz="4" w:space="0" w:color="auto"/>
              <w:right w:val="nil"/>
            </w:tcBorders>
          </w:tcPr>
          <w:p w14:paraId="08803B65" w14:textId="77777777" w:rsidR="00C443FC" w:rsidRPr="00C443FC" w:rsidRDefault="00C443FC" w:rsidP="00C443FC">
            <w:pPr>
              <w:jc w:val="center"/>
              <w:rPr>
                <w:rFonts w:eastAsia="Calibri"/>
                <w:b/>
                <w:sz w:val="22"/>
                <w:szCs w:val="22"/>
                <w:lang w:eastAsia="en-US"/>
              </w:rPr>
            </w:pPr>
            <w:r w:rsidRPr="00C443FC">
              <w:rPr>
                <w:rFonts w:eastAsia="Calibri"/>
                <w:b/>
                <w:sz w:val="22"/>
                <w:szCs w:val="22"/>
                <w:lang w:eastAsia="en-US"/>
              </w:rPr>
              <w:t>PRONÓSTICOS DE LA VARIACIÓN DEL PIB DE ESTADOS UNIDOS DE NORTEAMÉRICA</w:t>
            </w:r>
          </w:p>
          <w:p w14:paraId="3A73344F" w14:textId="77777777" w:rsidR="00C443FC" w:rsidRPr="00C443FC" w:rsidRDefault="00C443FC" w:rsidP="00C443FC">
            <w:pPr>
              <w:jc w:val="center"/>
              <w:rPr>
                <w:rFonts w:eastAsia="Calibri"/>
                <w:b/>
                <w:sz w:val="22"/>
                <w:szCs w:val="22"/>
                <w:lang w:eastAsia="en-US"/>
              </w:rPr>
            </w:pPr>
            <w:r w:rsidRPr="00C443FC">
              <w:rPr>
                <w:rFonts w:eastAsia="Calibri"/>
                <w:b/>
                <w:sz w:val="22"/>
                <w:szCs w:val="22"/>
                <w:lang w:eastAsia="en-US"/>
              </w:rPr>
              <w:t>-Por ciento-</w:t>
            </w:r>
          </w:p>
        </w:tc>
      </w:tr>
      <w:tr w:rsidR="00C443FC" w:rsidRPr="00C443FC" w14:paraId="6D37C3DD" w14:textId="77777777" w:rsidTr="00A73519">
        <w:trPr>
          <w:jc w:val="center"/>
        </w:trPr>
        <w:tc>
          <w:tcPr>
            <w:tcW w:w="1293" w:type="dxa"/>
            <w:vMerge w:val="restart"/>
            <w:tcBorders>
              <w:top w:val="single" w:sz="4" w:space="0" w:color="auto"/>
              <w:left w:val="single" w:sz="4" w:space="0" w:color="auto"/>
              <w:bottom w:val="single" w:sz="4" w:space="0" w:color="auto"/>
              <w:right w:val="single" w:sz="4" w:space="0" w:color="auto"/>
            </w:tcBorders>
          </w:tcPr>
          <w:p w14:paraId="5A98893C" w14:textId="77777777" w:rsidR="00C443FC" w:rsidRPr="00C443FC" w:rsidRDefault="00C443FC" w:rsidP="00C443FC">
            <w:pPr>
              <w:jc w:val="center"/>
              <w:rPr>
                <w:rFonts w:eastAsia="Calibri"/>
                <w:b/>
                <w:sz w:val="20"/>
                <w:szCs w:val="20"/>
                <w:lang w:eastAsia="en-US"/>
              </w:rPr>
            </w:pPr>
          </w:p>
        </w:tc>
        <w:tc>
          <w:tcPr>
            <w:tcW w:w="2388" w:type="dxa"/>
            <w:gridSpan w:val="2"/>
            <w:tcBorders>
              <w:top w:val="single" w:sz="4" w:space="0" w:color="auto"/>
              <w:left w:val="single" w:sz="4" w:space="0" w:color="auto"/>
              <w:bottom w:val="single" w:sz="4" w:space="0" w:color="auto"/>
              <w:right w:val="single" w:sz="4" w:space="0" w:color="auto"/>
            </w:tcBorders>
          </w:tcPr>
          <w:p w14:paraId="28D5AFD2"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Media</w:t>
            </w:r>
          </w:p>
        </w:tc>
        <w:tc>
          <w:tcPr>
            <w:tcW w:w="2388" w:type="dxa"/>
            <w:gridSpan w:val="2"/>
            <w:tcBorders>
              <w:top w:val="single" w:sz="4" w:space="0" w:color="auto"/>
              <w:left w:val="single" w:sz="4" w:space="0" w:color="auto"/>
              <w:bottom w:val="single" w:sz="4" w:space="0" w:color="auto"/>
              <w:right w:val="single" w:sz="4" w:space="0" w:color="auto"/>
            </w:tcBorders>
          </w:tcPr>
          <w:p w14:paraId="28C6C9C8"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Mediana</w:t>
            </w:r>
          </w:p>
        </w:tc>
      </w:tr>
      <w:tr w:rsidR="00C443FC" w:rsidRPr="00C443FC" w14:paraId="1162EBB5" w14:textId="77777777" w:rsidTr="00A73519">
        <w:trPr>
          <w:jc w:val="center"/>
        </w:trPr>
        <w:tc>
          <w:tcPr>
            <w:tcW w:w="1293" w:type="dxa"/>
            <w:vMerge/>
            <w:tcBorders>
              <w:top w:val="single" w:sz="4" w:space="0" w:color="auto"/>
              <w:left w:val="single" w:sz="4" w:space="0" w:color="auto"/>
              <w:bottom w:val="single" w:sz="4" w:space="0" w:color="auto"/>
              <w:right w:val="single" w:sz="4" w:space="0" w:color="auto"/>
            </w:tcBorders>
          </w:tcPr>
          <w:p w14:paraId="0F61D6B2" w14:textId="77777777" w:rsidR="00C443FC" w:rsidRPr="00C443FC" w:rsidRDefault="00C443FC" w:rsidP="00C443FC">
            <w:pPr>
              <w:jc w:val="center"/>
              <w:rPr>
                <w:rFonts w:eastAsia="Calibri"/>
                <w:b/>
                <w:sz w:val="20"/>
                <w:szCs w:val="20"/>
                <w:lang w:eastAsia="en-US"/>
              </w:rPr>
            </w:pPr>
          </w:p>
        </w:tc>
        <w:tc>
          <w:tcPr>
            <w:tcW w:w="2388" w:type="dxa"/>
            <w:gridSpan w:val="2"/>
            <w:tcBorders>
              <w:top w:val="single" w:sz="4" w:space="0" w:color="auto"/>
              <w:left w:val="single" w:sz="4" w:space="0" w:color="auto"/>
              <w:bottom w:val="single" w:sz="4" w:space="0" w:color="auto"/>
              <w:right w:val="single" w:sz="4" w:space="0" w:color="auto"/>
            </w:tcBorders>
          </w:tcPr>
          <w:p w14:paraId="3776233C"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Encuesta</w:t>
            </w:r>
          </w:p>
        </w:tc>
        <w:tc>
          <w:tcPr>
            <w:tcW w:w="2388" w:type="dxa"/>
            <w:gridSpan w:val="2"/>
            <w:tcBorders>
              <w:top w:val="single" w:sz="4" w:space="0" w:color="auto"/>
              <w:left w:val="single" w:sz="4" w:space="0" w:color="auto"/>
              <w:bottom w:val="single" w:sz="4" w:space="0" w:color="auto"/>
              <w:right w:val="single" w:sz="4" w:space="0" w:color="auto"/>
            </w:tcBorders>
          </w:tcPr>
          <w:p w14:paraId="4A3293F5" w14:textId="77777777" w:rsidR="00C443FC" w:rsidRPr="00C443FC" w:rsidRDefault="00C443FC" w:rsidP="00C443FC">
            <w:pPr>
              <w:jc w:val="center"/>
              <w:rPr>
                <w:rFonts w:eastAsia="Calibri"/>
                <w:b/>
                <w:sz w:val="20"/>
                <w:szCs w:val="20"/>
                <w:lang w:eastAsia="en-US"/>
              </w:rPr>
            </w:pPr>
            <w:r w:rsidRPr="00C443FC">
              <w:rPr>
                <w:rFonts w:eastAsia="Calibri"/>
                <w:b/>
                <w:sz w:val="20"/>
                <w:szCs w:val="20"/>
                <w:lang w:eastAsia="en-US"/>
              </w:rPr>
              <w:t>Encuesta</w:t>
            </w:r>
          </w:p>
        </w:tc>
      </w:tr>
      <w:tr w:rsidR="00C443FC" w:rsidRPr="00C443FC" w14:paraId="47F32351" w14:textId="77777777" w:rsidTr="00A73519">
        <w:trPr>
          <w:jc w:val="center"/>
        </w:trPr>
        <w:tc>
          <w:tcPr>
            <w:tcW w:w="1293" w:type="dxa"/>
            <w:vMerge/>
            <w:tcBorders>
              <w:top w:val="single" w:sz="4" w:space="0" w:color="auto"/>
              <w:left w:val="single" w:sz="4" w:space="0" w:color="auto"/>
              <w:bottom w:val="single" w:sz="4" w:space="0" w:color="auto"/>
              <w:right w:val="single" w:sz="4" w:space="0" w:color="auto"/>
            </w:tcBorders>
          </w:tcPr>
          <w:p w14:paraId="1AF94018" w14:textId="77777777" w:rsidR="00C443FC" w:rsidRPr="00C443FC" w:rsidRDefault="00C443FC" w:rsidP="00C443FC">
            <w:pPr>
              <w:jc w:val="center"/>
              <w:rPr>
                <w:rFonts w:eastAsia="Calibri"/>
                <w:b/>
                <w:sz w:val="20"/>
                <w:szCs w:val="20"/>
                <w:lang w:eastAsia="en-US"/>
              </w:rPr>
            </w:pPr>
          </w:p>
        </w:tc>
        <w:tc>
          <w:tcPr>
            <w:tcW w:w="1194" w:type="dxa"/>
            <w:tcBorders>
              <w:top w:val="single" w:sz="4" w:space="0" w:color="auto"/>
              <w:left w:val="single" w:sz="4" w:space="0" w:color="auto"/>
              <w:bottom w:val="single" w:sz="4" w:space="0" w:color="auto"/>
              <w:right w:val="single" w:sz="4" w:space="0" w:color="auto"/>
            </w:tcBorders>
          </w:tcPr>
          <w:p w14:paraId="671C9B2E" w14:textId="5299E6A2" w:rsidR="00C443FC" w:rsidRPr="00C443FC" w:rsidRDefault="0063761A" w:rsidP="0063761A">
            <w:pPr>
              <w:jc w:val="center"/>
              <w:rPr>
                <w:rFonts w:eastAsia="Calibri"/>
                <w:b/>
                <w:sz w:val="20"/>
                <w:szCs w:val="20"/>
                <w:lang w:eastAsia="en-US"/>
              </w:rPr>
            </w:pPr>
            <w:r>
              <w:rPr>
                <w:rFonts w:eastAsia="Calibri"/>
                <w:b/>
                <w:sz w:val="20"/>
                <w:szCs w:val="20"/>
                <w:lang w:eastAsia="en-US"/>
              </w:rPr>
              <w:t>Enero</w:t>
            </w:r>
          </w:p>
        </w:tc>
        <w:tc>
          <w:tcPr>
            <w:tcW w:w="1194" w:type="dxa"/>
            <w:tcBorders>
              <w:top w:val="single" w:sz="4" w:space="0" w:color="auto"/>
              <w:left w:val="single" w:sz="4" w:space="0" w:color="auto"/>
              <w:bottom w:val="single" w:sz="4" w:space="0" w:color="auto"/>
              <w:right w:val="single" w:sz="4" w:space="0" w:color="auto"/>
            </w:tcBorders>
          </w:tcPr>
          <w:p w14:paraId="4F7A11F8" w14:textId="0C132108" w:rsidR="00C443FC" w:rsidRPr="00C443FC" w:rsidRDefault="0063761A" w:rsidP="0063761A">
            <w:pPr>
              <w:jc w:val="center"/>
              <w:rPr>
                <w:rFonts w:eastAsia="Calibri"/>
                <w:b/>
                <w:sz w:val="20"/>
                <w:szCs w:val="20"/>
                <w:lang w:eastAsia="en-US"/>
              </w:rPr>
            </w:pPr>
            <w:r>
              <w:rPr>
                <w:rFonts w:eastAsia="Calibri"/>
                <w:b/>
                <w:sz w:val="20"/>
                <w:szCs w:val="20"/>
                <w:lang w:eastAsia="en-US"/>
              </w:rPr>
              <w:t>Febrero</w:t>
            </w:r>
          </w:p>
        </w:tc>
        <w:tc>
          <w:tcPr>
            <w:tcW w:w="1194" w:type="dxa"/>
            <w:tcBorders>
              <w:top w:val="single" w:sz="4" w:space="0" w:color="auto"/>
              <w:left w:val="single" w:sz="4" w:space="0" w:color="auto"/>
              <w:bottom w:val="single" w:sz="4" w:space="0" w:color="auto"/>
              <w:right w:val="single" w:sz="4" w:space="0" w:color="auto"/>
            </w:tcBorders>
          </w:tcPr>
          <w:p w14:paraId="19104444" w14:textId="6C5E0812" w:rsidR="00C443FC" w:rsidRPr="00C443FC" w:rsidRDefault="0063761A" w:rsidP="0063761A">
            <w:pPr>
              <w:jc w:val="center"/>
              <w:rPr>
                <w:rFonts w:eastAsia="Calibri"/>
                <w:b/>
                <w:sz w:val="20"/>
                <w:szCs w:val="20"/>
                <w:lang w:eastAsia="en-US"/>
              </w:rPr>
            </w:pPr>
            <w:r>
              <w:rPr>
                <w:rFonts w:eastAsia="Calibri"/>
                <w:b/>
                <w:sz w:val="20"/>
                <w:szCs w:val="20"/>
                <w:lang w:eastAsia="en-US"/>
              </w:rPr>
              <w:t>Enero</w:t>
            </w:r>
          </w:p>
        </w:tc>
        <w:tc>
          <w:tcPr>
            <w:tcW w:w="1194" w:type="dxa"/>
            <w:tcBorders>
              <w:top w:val="single" w:sz="4" w:space="0" w:color="auto"/>
              <w:left w:val="single" w:sz="4" w:space="0" w:color="auto"/>
              <w:bottom w:val="single" w:sz="4" w:space="0" w:color="auto"/>
              <w:right w:val="single" w:sz="4" w:space="0" w:color="auto"/>
            </w:tcBorders>
          </w:tcPr>
          <w:p w14:paraId="2017B122" w14:textId="4CB2DDC1" w:rsidR="00C443FC" w:rsidRPr="00C443FC" w:rsidRDefault="0063761A" w:rsidP="0063761A">
            <w:pPr>
              <w:jc w:val="center"/>
              <w:rPr>
                <w:rFonts w:eastAsia="Calibri"/>
                <w:b/>
                <w:sz w:val="20"/>
                <w:szCs w:val="20"/>
                <w:lang w:eastAsia="en-US"/>
              </w:rPr>
            </w:pPr>
            <w:r>
              <w:rPr>
                <w:rFonts w:eastAsia="Calibri"/>
                <w:b/>
                <w:sz w:val="20"/>
                <w:szCs w:val="20"/>
                <w:lang w:eastAsia="en-US"/>
              </w:rPr>
              <w:t>Febrero</w:t>
            </w:r>
          </w:p>
        </w:tc>
      </w:tr>
      <w:tr w:rsidR="00C443FC" w:rsidRPr="00C443FC" w14:paraId="5C39CA92" w14:textId="77777777" w:rsidTr="00A73519">
        <w:trPr>
          <w:jc w:val="center"/>
        </w:trPr>
        <w:tc>
          <w:tcPr>
            <w:tcW w:w="1293" w:type="dxa"/>
            <w:tcBorders>
              <w:top w:val="single" w:sz="4" w:space="0" w:color="auto"/>
              <w:left w:val="single" w:sz="4" w:space="0" w:color="auto"/>
              <w:right w:val="single" w:sz="4" w:space="0" w:color="auto"/>
            </w:tcBorders>
          </w:tcPr>
          <w:p w14:paraId="559EBC95" w14:textId="77777777" w:rsidR="00C443FC" w:rsidRPr="00C443FC" w:rsidRDefault="00C443FC" w:rsidP="00C443FC">
            <w:pPr>
              <w:rPr>
                <w:rFonts w:eastAsia="Calibri"/>
                <w:b/>
                <w:sz w:val="20"/>
                <w:szCs w:val="20"/>
                <w:lang w:eastAsia="en-US"/>
              </w:rPr>
            </w:pPr>
            <w:r w:rsidRPr="00C443FC">
              <w:rPr>
                <w:rFonts w:eastAsia="Calibri"/>
                <w:b/>
                <w:sz w:val="20"/>
                <w:szCs w:val="20"/>
                <w:lang w:eastAsia="en-US"/>
              </w:rPr>
              <w:t>Para 2015</w:t>
            </w:r>
          </w:p>
        </w:tc>
        <w:tc>
          <w:tcPr>
            <w:tcW w:w="1194" w:type="dxa"/>
            <w:tcBorders>
              <w:top w:val="single" w:sz="4" w:space="0" w:color="auto"/>
              <w:left w:val="single" w:sz="4" w:space="0" w:color="auto"/>
              <w:right w:val="single" w:sz="4" w:space="0" w:color="auto"/>
            </w:tcBorders>
          </w:tcPr>
          <w:p w14:paraId="45B57805" w14:textId="42C77353" w:rsidR="00C443FC" w:rsidRPr="00C443FC" w:rsidRDefault="0063761A" w:rsidP="0063761A">
            <w:pPr>
              <w:jc w:val="center"/>
              <w:rPr>
                <w:rFonts w:eastAsia="Calibri"/>
                <w:sz w:val="20"/>
                <w:szCs w:val="20"/>
                <w:lang w:eastAsia="en-US"/>
              </w:rPr>
            </w:pPr>
            <w:r>
              <w:rPr>
                <w:rFonts w:eastAsia="Calibri"/>
                <w:sz w:val="20"/>
                <w:szCs w:val="20"/>
                <w:lang w:eastAsia="en-US"/>
              </w:rPr>
              <w:t>3.17</w:t>
            </w:r>
          </w:p>
        </w:tc>
        <w:tc>
          <w:tcPr>
            <w:tcW w:w="1194" w:type="dxa"/>
            <w:tcBorders>
              <w:top w:val="single" w:sz="4" w:space="0" w:color="auto"/>
              <w:left w:val="single" w:sz="4" w:space="0" w:color="auto"/>
              <w:right w:val="single" w:sz="4" w:space="0" w:color="auto"/>
            </w:tcBorders>
          </w:tcPr>
          <w:p w14:paraId="5DCA3420" w14:textId="09198F27" w:rsidR="00C443FC" w:rsidRPr="00C443FC" w:rsidRDefault="00C443FC" w:rsidP="0063761A">
            <w:pPr>
              <w:jc w:val="center"/>
              <w:rPr>
                <w:rFonts w:eastAsia="Calibri"/>
                <w:sz w:val="20"/>
                <w:szCs w:val="20"/>
                <w:lang w:eastAsia="en-US"/>
              </w:rPr>
            </w:pPr>
            <w:r w:rsidRPr="00C443FC">
              <w:rPr>
                <w:rFonts w:eastAsia="Calibri"/>
                <w:sz w:val="20"/>
                <w:szCs w:val="20"/>
                <w:lang w:eastAsia="en-US"/>
              </w:rPr>
              <w:t>3.</w:t>
            </w:r>
            <w:r w:rsidR="0063761A">
              <w:rPr>
                <w:rFonts w:eastAsia="Calibri"/>
                <w:sz w:val="20"/>
                <w:szCs w:val="20"/>
                <w:lang w:eastAsia="en-US"/>
              </w:rPr>
              <w:t>09</w:t>
            </w:r>
          </w:p>
        </w:tc>
        <w:tc>
          <w:tcPr>
            <w:tcW w:w="1194" w:type="dxa"/>
            <w:tcBorders>
              <w:top w:val="single" w:sz="4" w:space="0" w:color="auto"/>
              <w:left w:val="single" w:sz="4" w:space="0" w:color="auto"/>
              <w:right w:val="single" w:sz="4" w:space="0" w:color="auto"/>
            </w:tcBorders>
          </w:tcPr>
          <w:p w14:paraId="313EA770" w14:textId="1D0931EA" w:rsidR="00C443FC" w:rsidRPr="00C443FC" w:rsidRDefault="00C443FC" w:rsidP="0063761A">
            <w:pPr>
              <w:jc w:val="center"/>
              <w:rPr>
                <w:rFonts w:eastAsia="Calibri"/>
                <w:sz w:val="20"/>
                <w:szCs w:val="20"/>
                <w:lang w:eastAsia="en-US"/>
              </w:rPr>
            </w:pPr>
            <w:r w:rsidRPr="00C443FC">
              <w:rPr>
                <w:rFonts w:eastAsia="Calibri"/>
                <w:sz w:val="20"/>
                <w:szCs w:val="20"/>
                <w:lang w:eastAsia="en-US"/>
              </w:rPr>
              <w:t>3.</w:t>
            </w:r>
            <w:r w:rsidR="0063761A">
              <w:rPr>
                <w:rFonts w:eastAsia="Calibri"/>
                <w:sz w:val="20"/>
                <w:szCs w:val="20"/>
                <w:lang w:eastAsia="en-US"/>
              </w:rPr>
              <w:t>2</w:t>
            </w:r>
            <w:r w:rsidRPr="00C443FC">
              <w:rPr>
                <w:rFonts w:eastAsia="Calibri"/>
                <w:sz w:val="20"/>
                <w:szCs w:val="20"/>
                <w:lang w:eastAsia="en-US"/>
              </w:rPr>
              <w:t>0</w:t>
            </w:r>
          </w:p>
        </w:tc>
        <w:tc>
          <w:tcPr>
            <w:tcW w:w="1194" w:type="dxa"/>
            <w:tcBorders>
              <w:top w:val="single" w:sz="4" w:space="0" w:color="auto"/>
              <w:left w:val="single" w:sz="4" w:space="0" w:color="auto"/>
              <w:right w:val="single" w:sz="4" w:space="0" w:color="auto"/>
            </w:tcBorders>
          </w:tcPr>
          <w:p w14:paraId="4BAA382C" w14:textId="0A058CC6" w:rsidR="00C443FC" w:rsidRPr="00C443FC" w:rsidRDefault="00C443FC" w:rsidP="0063761A">
            <w:pPr>
              <w:jc w:val="center"/>
              <w:rPr>
                <w:rFonts w:eastAsia="Calibri"/>
                <w:sz w:val="20"/>
                <w:szCs w:val="20"/>
                <w:lang w:eastAsia="en-US"/>
              </w:rPr>
            </w:pPr>
            <w:r w:rsidRPr="00C443FC">
              <w:rPr>
                <w:rFonts w:eastAsia="Calibri"/>
                <w:sz w:val="20"/>
                <w:szCs w:val="20"/>
                <w:lang w:eastAsia="en-US"/>
              </w:rPr>
              <w:t>3.</w:t>
            </w:r>
            <w:r w:rsidR="0063761A">
              <w:rPr>
                <w:rFonts w:eastAsia="Calibri"/>
                <w:sz w:val="20"/>
                <w:szCs w:val="20"/>
                <w:lang w:eastAsia="en-US"/>
              </w:rPr>
              <w:t>1</w:t>
            </w:r>
            <w:r w:rsidRPr="00C443FC">
              <w:rPr>
                <w:rFonts w:eastAsia="Calibri"/>
                <w:sz w:val="20"/>
                <w:szCs w:val="20"/>
                <w:lang w:eastAsia="en-US"/>
              </w:rPr>
              <w:t>0</w:t>
            </w:r>
          </w:p>
        </w:tc>
      </w:tr>
      <w:tr w:rsidR="00C443FC" w:rsidRPr="00C443FC" w14:paraId="4B6E832D" w14:textId="77777777" w:rsidTr="00284BB1">
        <w:trPr>
          <w:jc w:val="center"/>
        </w:trPr>
        <w:tc>
          <w:tcPr>
            <w:tcW w:w="1293" w:type="dxa"/>
            <w:tcBorders>
              <w:left w:val="single" w:sz="4" w:space="0" w:color="auto"/>
              <w:bottom w:val="single" w:sz="4" w:space="0" w:color="auto"/>
              <w:right w:val="single" w:sz="4" w:space="0" w:color="auto"/>
            </w:tcBorders>
          </w:tcPr>
          <w:p w14:paraId="301D3408" w14:textId="77777777" w:rsidR="00C443FC" w:rsidRPr="00C443FC" w:rsidRDefault="00C443FC" w:rsidP="00C443FC">
            <w:pPr>
              <w:rPr>
                <w:rFonts w:eastAsia="Calibri"/>
                <w:b/>
                <w:sz w:val="20"/>
                <w:szCs w:val="20"/>
                <w:lang w:eastAsia="en-US"/>
              </w:rPr>
            </w:pPr>
            <w:r w:rsidRPr="00C443FC">
              <w:rPr>
                <w:rFonts w:eastAsia="Calibri"/>
                <w:b/>
                <w:sz w:val="20"/>
                <w:szCs w:val="20"/>
                <w:lang w:eastAsia="en-US"/>
              </w:rPr>
              <w:t>Para 2016</w:t>
            </w:r>
          </w:p>
        </w:tc>
        <w:tc>
          <w:tcPr>
            <w:tcW w:w="1194" w:type="dxa"/>
            <w:tcBorders>
              <w:left w:val="single" w:sz="4" w:space="0" w:color="auto"/>
              <w:bottom w:val="single" w:sz="4" w:space="0" w:color="auto"/>
              <w:right w:val="single" w:sz="4" w:space="0" w:color="auto"/>
            </w:tcBorders>
          </w:tcPr>
          <w:p w14:paraId="6B61ED72" w14:textId="615F9958" w:rsidR="00C443FC" w:rsidRPr="00C443FC" w:rsidRDefault="0063761A" w:rsidP="0063761A">
            <w:pPr>
              <w:jc w:val="center"/>
              <w:rPr>
                <w:rFonts w:eastAsia="Calibri"/>
                <w:sz w:val="20"/>
                <w:szCs w:val="20"/>
                <w:lang w:eastAsia="en-US"/>
              </w:rPr>
            </w:pPr>
            <w:r>
              <w:rPr>
                <w:rFonts w:eastAsia="Calibri"/>
                <w:sz w:val="20"/>
                <w:szCs w:val="20"/>
                <w:lang w:eastAsia="en-US"/>
              </w:rPr>
              <w:t>2.89</w:t>
            </w:r>
          </w:p>
        </w:tc>
        <w:tc>
          <w:tcPr>
            <w:tcW w:w="1194" w:type="dxa"/>
            <w:tcBorders>
              <w:left w:val="single" w:sz="4" w:space="0" w:color="auto"/>
              <w:bottom w:val="single" w:sz="4" w:space="0" w:color="auto"/>
              <w:right w:val="single" w:sz="4" w:space="0" w:color="auto"/>
            </w:tcBorders>
          </w:tcPr>
          <w:p w14:paraId="26DF26C0" w14:textId="67534429" w:rsidR="00C443FC" w:rsidRPr="00C443FC" w:rsidRDefault="00C443FC" w:rsidP="0063761A">
            <w:pPr>
              <w:jc w:val="center"/>
              <w:rPr>
                <w:rFonts w:eastAsia="Calibri"/>
                <w:sz w:val="20"/>
                <w:szCs w:val="20"/>
                <w:lang w:eastAsia="en-US"/>
              </w:rPr>
            </w:pPr>
            <w:r w:rsidRPr="00C443FC">
              <w:rPr>
                <w:rFonts w:eastAsia="Calibri"/>
                <w:sz w:val="20"/>
                <w:szCs w:val="20"/>
                <w:lang w:eastAsia="en-US"/>
              </w:rPr>
              <w:t>2.9</w:t>
            </w:r>
            <w:r w:rsidR="0063761A">
              <w:rPr>
                <w:rFonts w:eastAsia="Calibri"/>
                <w:sz w:val="20"/>
                <w:szCs w:val="20"/>
                <w:lang w:eastAsia="en-US"/>
              </w:rPr>
              <w:t>0</w:t>
            </w:r>
          </w:p>
        </w:tc>
        <w:tc>
          <w:tcPr>
            <w:tcW w:w="1194" w:type="dxa"/>
            <w:tcBorders>
              <w:left w:val="single" w:sz="4" w:space="0" w:color="auto"/>
              <w:bottom w:val="single" w:sz="4" w:space="0" w:color="auto"/>
              <w:right w:val="single" w:sz="4" w:space="0" w:color="auto"/>
            </w:tcBorders>
          </w:tcPr>
          <w:p w14:paraId="59DE62CC" w14:textId="295F3A33" w:rsidR="00C443FC" w:rsidRPr="00C443FC" w:rsidRDefault="0063761A" w:rsidP="0063761A">
            <w:pPr>
              <w:jc w:val="center"/>
              <w:rPr>
                <w:rFonts w:eastAsia="Calibri"/>
                <w:sz w:val="20"/>
                <w:szCs w:val="20"/>
                <w:lang w:eastAsia="en-US"/>
              </w:rPr>
            </w:pPr>
            <w:r>
              <w:rPr>
                <w:rFonts w:eastAsia="Calibri"/>
                <w:sz w:val="20"/>
                <w:szCs w:val="20"/>
                <w:lang w:eastAsia="en-US"/>
              </w:rPr>
              <w:t>2.9</w:t>
            </w:r>
            <w:r w:rsidR="00C443FC" w:rsidRPr="00C443FC">
              <w:rPr>
                <w:rFonts w:eastAsia="Calibri"/>
                <w:sz w:val="20"/>
                <w:szCs w:val="20"/>
                <w:lang w:eastAsia="en-US"/>
              </w:rPr>
              <w:t>0</w:t>
            </w:r>
          </w:p>
        </w:tc>
        <w:tc>
          <w:tcPr>
            <w:tcW w:w="1194" w:type="dxa"/>
            <w:tcBorders>
              <w:left w:val="single" w:sz="4" w:space="0" w:color="auto"/>
              <w:bottom w:val="single" w:sz="4" w:space="0" w:color="auto"/>
              <w:right w:val="single" w:sz="4" w:space="0" w:color="auto"/>
            </w:tcBorders>
          </w:tcPr>
          <w:p w14:paraId="43811E26" w14:textId="77777777" w:rsidR="00C443FC" w:rsidRPr="00C443FC" w:rsidRDefault="00C443FC" w:rsidP="00C443FC">
            <w:pPr>
              <w:jc w:val="center"/>
              <w:rPr>
                <w:rFonts w:eastAsia="Calibri"/>
                <w:sz w:val="20"/>
                <w:szCs w:val="20"/>
                <w:lang w:eastAsia="en-US"/>
              </w:rPr>
            </w:pPr>
            <w:r w:rsidRPr="00C443FC">
              <w:rPr>
                <w:rFonts w:eastAsia="Calibri"/>
                <w:sz w:val="20"/>
                <w:szCs w:val="20"/>
                <w:lang w:eastAsia="en-US"/>
              </w:rPr>
              <w:t>2.90</w:t>
            </w:r>
          </w:p>
        </w:tc>
      </w:tr>
      <w:tr w:rsidR="00C443FC" w:rsidRPr="00C443FC" w14:paraId="68EA62D6" w14:textId="77777777" w:rsidTr="007B7E95">
        <w:trPr>
          <w:jc w:val="center"/>
        </w:trPr>
        <w:tc>
          <w:tcPr>
            <w:tcW w:w="6069" w:type="dxa"/>
            <w:gridSpan w:val="5"/>
            <w:tcBorders>
              <w:left w:val="nil"/>
              <w:bottom w:val="nil"/>
              <w:right w:val="nil"/>
            </w:tcBorders>
          </w:tcPr>
          <w:p w14:paraId="69AB3A59" w14:textId="77777777" w:rsidR="00C443FC" w:rsidRPr="00C443FC" w:rsidRDefault="00C443FC" w:rsidP="00C443FC">
            <w:pPr>
              <w:jc w:val="both"/>
              <w:rPr>
                <w:rFonts w:eastAsia="Calibri"/>
                <w:sz w:val="20"/>
                <w:szCs w:val="20"/>
                <w:lang w:eastAsia="en-US"/>
              </w:rPr>
            </w:pPr>
            <w:r w:rsidRPr="00C443FC">
              <w:rPr>
                <w:rFonts w:eastAsia="Calibri"/>
                <w:sz w:val="20"/>
                <w:szCs w:val="20"/>
                <w:lang w:eastAsia="en-US"/>
              </w:rPr>
              <w:t>FUENTE: Banco de México.</w:t>
            </w:r>
          </w:p>
        </w:tc>
      </w:tr>
    </w:tbl>
    <w:p w14:paraId="02DEAB46" w14:textId="77777777" w:rsidR="00C443FC" w:rsidRPr="00C443FC" w:rsidRDefault="00C443FC" w:rsidP="00C443FC">
      <w:pPr>
        <w:spacing w:after="360" w:line="360" w:lineRule="auto"/>
        <w:ind w:right="-159"/>
        <w:jc w:val="both"/>
        <w:rPr>
          <w:rFonts w:eastAsia="Calibri"/>
          <w:sz w:val="26"/>
          <w:szCs w:val="26"/>
          <w:lang w:eastAsia="en-US"/>
        </w:rPr>
      </w:pPr>
    </w:p>
    <w:p w14:paraId="6FE6E5C9" w14:textId="78B3402A" w:rsidR="00D27C30" w:rsidRPr="00D27C30" w:rsidRDefault="00D27C30" w:rsidP="00D27C30">
      <w:pPr>
        <w:spacing w:after="160" w:line="259" w:lineRule="auto"/>
        <w:jc w:val="center"/>
        <w:rPr>
          <w:rFonts w:ascii="Calibri" w:eastAsia="Calibri" w:hAnsi="Calibri"/>
          <w:sz w:val="22"/>
          <w:szCs w:val="22"/>
          <w:lang w:eastAsia="en-US"/>
        </w:rPr>
      </w:pPr>
      <w:r w:rsidRPr="00D27C30">
        <w:rPr>
          <w:rFonts w:ascii="Calibri" w:eastAsia="Calibri" w:hAnsi="Calibri"/>
          <w:sz w:val="22"/>
          <w:szCs w:val="22"/>
          <w:lang w:eastAsia="en-US"/>
        </w:rPr>
        <w:lastRenderedPageBreak/>
        <w:fldChar w:fldCharType="begin"/>
      </w:r>
      <w:r w:rsidRPr="00D27C30">
        <w:rPr>
          <w:rFonts w:ascii="Calibri" w:eastAsia="Calibri" w:hAnsi="Calibri"/>
          <w:sz w:val="22"/>
          <w:szCs w:val="22"/>
          <w:lang w:eastAsia="en-US"/>
        </w:rPr>
        <w:instrText xml:space="preserve"> LINK PowerPoint.Slide.8 "D:\\2015\\MARZO 2014\\GRÁFICAS EN POWER POINT\\14.-GRÁFICAS DE EXPECTATIVAS II.pptx!599" "" \a \p </w:instrText>
      </w:r>
      <w:r w:rsidRPr="00D27C30">
        <w:rPr>
          <w:rFonts w:ascii="Calibri" w:eastAsia="Calibri" w:hAnsi="Calibri"/>
          <w:sz w:val="22"/>
          <w:szCs w:val="22"/>
          <w:lang w:eastAsia="en-US"/>
        </w:rPr>
        <w:fldChar w:fldCharType="separate"/>
      </w:r>
      <w:r w:rsidRPr="00D27C30">
        <w:rPr>
          <w:rFonts w:ascii="Calibri" w:eastAsia="Calibri" w:hAnsi="Calibri"/>
          <w:noProof/>
          <w:sz w:val="22"/>
          <w:szCs w:val="22"/>
          <w:lang w:eastAsia="es-MX"/>
        </w:rPr>
        <w:drawing>
          <wp:inline distT="0" distB="0" distL="0" distR="0" wp14:anchorId="3A933449" wp14:editId="5A8D4595">
            <wp:extent cx="4096385" cy="3422650"/>
            <wp:effectExtent l="0" t="0" r="0" b="6350"/>
            <wp:docPr id="143" name="Imagen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77"/>
                    <pic:cNvPicPr>
                      <a:picLocks noChangeAspect="1" noChangeArrowheads="1"/>
                    </pic:cNvPicPr>
                  </pic:nvPicPr>
                  <pic:blipFill>
                    <a:blip r:embed="rId285" cstate="print">
                      <a:extLst>
                        <a:ext uri="{28A0092B-C50C-407E-A947-70E740481C1C}">
                          <a14:useLocalDpi xmlns:a14="http://schemas.microsoft.com/office/drawing/2010/main" val="0"/>
                        </a:ext>
                      </a:extLst>
                    </a:blip>
                    <a:srcRect l="7225" r="3021"/>
                    <a:stretch>
                      <a:fillRect/>
                    </a:stretch>
                  </pic:blipFill>
                  <pic:spPr bwMode="auto">
                    <a:xfrm>
                      <a:off x="0" y="0"/>
                      <a:ext cx="4096385" cy="3422650"/>
                    </a:xfrm>
                    <a:prstGeom prst="rect">
                      <a:avLst/>
                    </a:prstGeom>
                    <a:noFill/>
                    <a:ln>
                      <a:noFill/>
                    </a:ln>
                  </pic:spPr>
                </pic:pic>
              </a:graphicData>
            </a:graphic>
          </wp:inline>
        </w:drawing>
      </w:r>
      <w:r w:rsidRPr="00D27C30">
        <w:rPr>
          <w:rFonts w:ascii="Calibri" w:eastAsia="Calibri" w:hAnsi="Calibri"/>
          <w:sz w:val="22"/>
          <w:szCs w:val="22"/>
          <w:lang w:eastAsia="en-US"/>
        </w:rPr>
        <w:fldChar w:fldCharType="end"/>
      </w:r>
    </w:p>
    <w:p w14:paraId="080A309B" w14:textId="77777777" w:rsidR="00D27C30" w:rsidRPr="00D27C30" w:rsidRDefault="00D27C30" w:rsidP="00D27C30">
      <w:pPr>
        <w:spacing w:after="160" w:line="259" w:lineRule="auto"/>
        <w:jc w:val="center"/>
        <w:rPr>
          <w:rFonts w:ascii="Calibri" w:eastAsia="Calibri" w:hAnsi="Calibri"/>
          <w:sz w:val="22"/>
          <w:szCs w:val="22"/>
          <w:lang w:eastAsia="en-US"/>
        </w:rPr>
      </w:pPr>
    </w:p>
    <w:p w14:paraId="09F76308" w14:textId="31945BE4" w:rsidR="00D27C30" w:rsidRPr="00D27C30" w:rsidRDefault="00D27C30" w:rsidP="00D27C30">
      <w:pPr>
        <w:spacing w:after="160" w:line="259" w:lineRule="auto"/>
        <w:jc w:val="center"/>
        <w:rPr>
          <w:rFonts w:ascii="Calibri" w:eastAsia="Calibri" w:hAnsi="Calibri"/>
          <w:sz w:val="22"/>
          <w:szCs w:val="22"/>
          <w:lang w:eastAsia="en-US"/>
        </w:rPr>
      </w:pPr>
      <w:r w:rsidRPr="00D27C30">
        <w:rPr>
          <w:rFonts w:ascii="Calibri" w:eastAsia="Calibri" w:hAnsi="Calibri"/>
          <w:sz w:val="22"/>
          <w:szCs w:val="22"/>
          <w:lang w:eastAsia="en-US"/>
        </w:rPr>
        <w:fldChar w:fldCharType="begin"/>
      </w:r>
      <w:r w:rsidRPr="00D27C30">
        <w:rPr>
          <w:rFonts w:ascii="Calibri" w:eastAsia="Calibri" w:hAnsi="Calibri"/>
          <w:sz w:val="22"/>
          <w:szCs w:val="22"/>
          <w:lang w:eastAsia="en-US"/>
        </w:rPr>
        <w:instrText xml:space="preserve"> LINK PowerPoint.Slide.8 "D:\\2015\\MARZO 2014\\GRÁFICAS EN POWER POINT\\14.-GRÁFICAS DE EXPECTATIVAS II.pptx!611" "" \a \p </w:instrText>
      </w:r>
      <w:r w:rsidRPr="00D27C30">
        <w:rPr>
          <w:rFonts w:ascii="Calibri" w:eastAsia="Calibri" w:hAnsi="Calibri"/>
          <w:sz w:val="22"/>
          <w:szCs w:val="22"/>
          <w:lang w:eastAsia="en-US"/>
        </w:rPr>
        <w:fldChar w:fldCharType="separate"/>
      </w:r>
      <w:r w:rsidRPr="00D27C30">
        <w:rPr>
          <w:rFonts w:ascii="Calibri" w:eastAsia="Calibri" w:hAnsi="Calibri"/>
          <w:noProof/>
          <w:sz w:val="22"/>
          <w:szCs w:val="22"/>
          <w:lang w:eastAsia="es-MX"/>
        </w:rPr>
        <w:drawing>
          <wp:inline distT="0" distB="0" distL="0" distR="0" wp14:anchorId="3C49A25F" wp14:editId="4218196E">
            <wp:extent cx="4201160" cy="3293110"/>
            <wp:effectExtent l="0" t="0" r="8890" b="2540"/>
            <wp:docPr id="142" name="Imagen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78"/>
                    <pic:cNvPicPr>
                      <a:picLocks noChangeAspect="1" noChangeArrowheads="1"/>
                    </pic:cNvPicPr>
                  </pic:nvPicPr>
                  <pic:blipFill>
                    <a:blip r:embed="rId286" cstate="print">
                      <a:extLst>
                        <a:ext uri="{28A0092B-C50C-407E-A947-70E740481C1C}">
                          <a14:useLocalDpi xmlns:a14="http://schemas.microsoft.com/office/drawing/2010/main" val="0"/>
                        </a:ext>
                      </a:extLst>
                    </a:blip>
                    <a:srcRect l="6293" r="1628" b="3728"/>
                    <a:stretch>
                      <a:fillRect/>
                    </a:stretch>
                  </pic:blipFill>
                  <pic:spPr bwMode="auto">
                    <a:xfrm>
                      <a:off x="0" y="0"/>
                      <a:ext cx="4201160" cy="3293110"/>
                    </a:xfrm>
                    <a:prstGeom prst="rect">
                      <a:avLst/>
                    </a:prstGeom>
                    <a:noFill/>
                    <a:ln>
                      <a:noFill/>
                    </a:ln>
                  </pic:spPr>
                </pic:pic>
              </a:graphicData>
            </a:graphic>
          </wp:inline>
        </w:drawing>
      </w:r>
      <w:r w:rsidRPr="00D27C30">
        <w:rPr>
          <w:rFonts w:ascii="Calibri" w:eastAsia="Calibri" w:hAnsi="Calibri"/>
          <w:sz w:val="22"/>
          <w:szCs w:val="22"/>
          <w:lang w:eastAsia="en-US"/>
        </w:rPr>
        <w:fldChar w:fldCharType="end"/>
      </w:r>
    </w:p>
    <w:p w14:paraId="4DA2EC81" w14:textId="77777777" w:rsidR="00C443FC" w:rsidRPr="00C443FC" w:rsidRDefault="00C443FC" w:rsidP="00C443FC">
      <w:pPr>
        <w:ind w:right="-159"/>
        <w:jc w:val="both"/>
        <w:rPr>
          <w:rFonts w:eastAsia="Calibri"/>
          <w:b/>
          <w:sz w:val="20"/>
          <w:szCs w:val="20"/>
          <w:lang w:eastAsia="en-US"/>
        </w:rPr>
      </w:pPr>
      <w:r w:rsidRPr="00C443FC">
        <w:rPr>
          <w:rFonts w:eastAsia="Calibri"/>
          <w:b/>
          <w:sz w:val="20"/>
          <w:szCs w:val="20"/>
          <w:lang w:eastAsia="en-US"/>
        </w:rPr>
        <w:t>Fuente de información:</w:t>
      </w:r>
    </w:p>
    <w:p w14:paraId="7E57F33E" w14:textId="77777777" w:rsidR="00C443FC" w:rsidRPr="001B4DFF" w:rsidRDefault="0093224F" w:rsidP="00C443FC">
      <w:pPr>
        <w:ind w:right="-159"/>
        <w:jc w:val="both"/>
        <w:rPr>
          <w:rFonts w:eastAsia="Calibri"/>
          <w:color w:val="0000FF"/>
          <w:sz w:val="20"/>
          <w:szCs w:val="20"/>
          <w:lang w:eastAsia="en-US"/>
        </w:rPr>
      </w:pPr>
      <w:hyperlink r:id="rId287" w:history="1">
        <w:r w:rsidR="00C443FC" w:rsidRPr="001B4DFF">
          <w:rPr>
            <w:rFonts w:eastAsia="Calibri"/>
            <w:color w:val="0000FF"/>
            <w:sz w:val="20"/>
            <w:szCs w:val="20"/>
            <w:u w:val="single"/>
            <w:lang w:eastAsia="en-US"/>
          </w:rPr>
          <w:t>http://www.banxico.org.mx/informacion-para-la-prensa/comunicados/resultados-de-encuestas/expectativas-de-los-especialistas/%7BD795F12E-B364-3607-F859-1A86C869B07E%7D.pdf</w:t>
        </w:r>
      </w:hyperlink>
      <w:r w:rsidR="00C443FC" w:rsidRPr="001B4DFF">
        <w:rPr>
          <w:rFonts w:eastAsia="Calibri"/>
          <w:color w:val="0000FF"/>
          <w:sz w:val="20"/>
          <w:szCs w:val="20"/>
          <w:lang w:eastAsia="en-US"/>
        </w:rPr>
        <w:t xml:space="preserve"> </w:t>
      </w:r>
    </w:p>
    <w:p w14:paraId="362A4E00" w14:textId="1AD21985" w:rsidR="0051422E" w:rsidRDefault="0051422E">
      <w:pPr>
        <w:rPr>
          <w:rFonts w:eastAsia="Calibri"/>
          <w:sz w:val="26"/>
          <w:szCs w:val="26"/>
          <w:lang w:eastAsia="en-US"/>
        </w:rPr>
      </w:pPr>
      <w:r>
        <w:rPr>
          <w:rFonts w:eastAsia="Calibri"/>
          <w:sz w:val="26"/>
          <w:szCs w:val="26"/>
          <w:lang w:eastAsia="en-US"/>
        </w:rPr>
        <w:br w:type="page"/>
      </w:r>
    </w:p>
    <w:p w14:paraId="65C91AD1" w14:textId="77777777" w:rsidR="00320B41" w:rsidRPr="00B35BB9" w:rsidRDefault="00320B41" w:rsidP="00320B41">
      <w:pPr>
        <w:spacing w:after="360" w:line="360" w:lineRule="auto"/>
        <w:ind w:right="-159"/>
        <w:jc w:val="both"/>
        <w:rPr>
          <w:rFonts w:eastAsia="Calibri"/>
          <w:b/>
          <w:color w:val="0000FF"/>
          <w:sz w:val="28"/>
          <w:szCs w:val="28"/>
          <w:lang w:eastAsia="en-US"/>
        </w:rPr>
      </w:pPr>
      <w:r w:rsidRPr="00B35BB9">
        <w:rPr>
          <w:rFonts w:eastAsia="Calibri"/>
          <w:b/>
          <w:color w:val="0000FF"/>
          <w:sz w:val="28"/>
          <w:szCs w:val="28"/>
          <w:lang w:eastAsia="en-US"/>
        </w:rPr>
        <w:lastRenderedPageBreak/>
        <w:t>FINANZAS PÚBLICAS</w:t>
      </w:r>
    </w:p>
    <w:p w14:paraId="38F6E1D6" w14:textId="77777777" w:rsidR="00191E41" w:rsidRPr="00191E41" w:rsidRDefault="00191E41" w:rsidP="00191E41">
      <w:pPr>
        <w:spacing w:after="360" w:line="360" w:lineRule="auto"/>
        <w:ind w:right="-159"/>
        <w:jc w:val="both"/>
        <w:rPr>
          <w:rFonts w:eastAsia="Calibri"/>
          <w:b/>
          <w:sz w:val="26"/>
          <w:szCs w:val="26"/>
          <w:lang w:eastAsia="en-US"/>
        </w:rPr>
      </w:pPr>
      <w:r w:rsidRPr="00191E41">
        <w:rPr>
          <w:rFonts w:eastAsia="Calibri"/>
          <w:b/>
          <w:sz w:val="26"/>
          <w:szCs w:val="26"/>
          <w:lang w:eastAsia="en-US"/>
        </w:rPr>
        <w:t>Finanzas Públicas y la Deuda Pública a enero de 2015 (SHCP)</w:t>
      </w:r>
    </w:p>
    <w:p w14:paraId="724295B2" w14:textId="77777777" w:rsidR="00191E41" w:rsidRPr="00191E41" w:rsidRDefault="00191E41" w:rsidP="00191E41">
      <w:pPr>
        <w:spacing w:after="360" w:line="360" w:lineRule="auto"/>
        <w:ind w:right="-159"/>
        <w:jc w:val="both"/>
        <w:rPr>
          <w:rFonts w:eastAsia="Calibri"/>
          <w:sz w:val="26"/>
          <w:szCs w:val="26"/>
          <w:lang w:eastAsia="en-US"/>
        </w:rPr>
      </w:pPr>
      <w:r w:rsidRPr="00191E41">
        <w:rPr>
          <w:rFonts w:eastAsia="Calibri"/>
          <w:sz w:val="26"/>
          <w:szCs w:val="26"/>
          <w:lang w:eastAsia="en-US"/>
        </w:rPr>
        <w:t>El 2 de marzo de 2015, la Secretaría de Hacienda y Crédito Pública (SHCP) dio a conocer el documento “Las Finanzas Públicas y la Deuda Pública a enero de 2015”. A continuación se presenta la información.</w:t>
      </w:r>
    </w:p>
    <w:p w14:paraId="7F75CE63" w14:textId="77777777" w:rsidR="00191E41" w:rsidRPr="00191E41" w:rsidRDefault="00191E41" w:rsidP="00191E41">
      <w:pPr>
        <w:spacing w:after="360" w:line="360" w:lineRule="auto"/>
        <w:ind w:right="-159"/>
        <w:jc w:val="both"/>
        <w:rPr>
          <w:rFonts w:eastAsia="Calibri"/>
          <w:b/>
          <w:sz w:val="26"/>
          <w:szCs w:val="26"/>
          <w:lang w:eastAsia="en-US"/>
        </w:rPr>
      </w:pPr>
      <w:r w:rsidRPr="00191E41">
        <w:rPr>
          <w:rFonts w:eastAsia="Calibri"/>
          <w:b/>
          <w:sz w:val="26"/>
          <w:szCs w:val="26"/>
          <w:lang w:eastAsia="en-US"/>
        </w:rPr>
        <w:t>Evolución de las finanzas públicas durante enero-noviembre</w:t>
      </w:r>
    </w:p>
    <w:p w14:paraId="657BAE90" w14:textId="77777777" w:rsidR="00191E41" w:rsidRPr="00191E41" w:rsidRDefault="00191E41" w:rsidP="00191E41">
      <w:pPr>
        <w:spacing w:after="360" w:line="360" w:lineRule="auto"/>
        <w:ind w:right="-159"/>
        <w:jc w:val="both"/>
        <w:rPr>
          <w:rFonts w:eastAsia="Calibri"/>
          <w:sz w:val="26"/>
          <w:szCs w:val="26"/>
          <w:lang w:eastAsia="en-US"/>
        </w:rPr>
      </w:pPr>
      <w:r w:rsidRPr="00191E41">
        <w:rPr>
          <w:rFonts w:eastAsia="Calibri"/>
          <w:sz w:val="26"/>
          <w:szCs w:val="26"/>
          <w:lang w:eastAsia="en-US"/>
        </w:rPr>
        <w:t xml:space="preserve">A enero de 2015, el balance público registro un déficit de 91 mil 544.3 millones de pesos en tanto que el balance primario presentó un déficit de 66 mil 585.3 millones de pesos. Si se excluye la inversión productiva para evaluar la meta anual del balance equivalente a 1.5% del Producto Interno Bruto (PIB), de acuerdo con el Artículo 1° de la Ley de Ingresos de la Federación para el ejercicio fiscal 2015, el balance público resultó en un déficit de 32 mil 373.1 millones de pesos. </w:t>
      </w:r>
    </w:p>
    <w:p w14:paraId="54E4BB3A" w14:textId="70D414ED" w:rsidR="00191E41" w:rsidRPr="00191E41" w:rsidRDefault="00191E41" w:rsidP="00191E41">
      <w:pPr>
        <w:spacing w:after="360" w:line="360" w:lineRule="auto"/>
        <w:ind w:right="-159"/>
        <w:jc w:val="both"/>
        <w:rPr>
          <w:rFonts w:eastAsia="Calibri"/>
          <w:sz w:val="26"/>
          <w:szCs w:val="26"/>
          <w:lang w:eastAsia="en-US"/>
        </w:rPr>
      </w:pPr>
      <w:r w:rsidRPr="00191E41">
        <w:rPr>
          <w:rFonts w:eastAsia="Calibri"/>
          <w:sz w:val="26"/>
          <w:szCs w:val="26"/>
          <w:lang w:eastAsia="en-US"/>
        </w:rPr>
        <w:t>Los Requerimientos Financieros del Sector Público (RFSP) sumaron 68 mil 900 millones de pesos. En línea con las adecuaciones a la Ley Federal de Presupuesto y Responsabilidad Hacendaria realizadas en 2014 y con las guías internacionales, los RFSP se miden como la diferencia entre los ingresos y los gastos distintos de la adquisición neta de pasivos y activos financieros, incluyendo las actividades del sector privado y social cuando actúan por cuenta del Gobierno Federal o de las entidades. Esta medida incluye un ajuste por los ingresos derivados de la venta neta de activos financieros y por la adquisición neta de pasivos distintos a la deuda pública, eliminando así el registro de ingresos no recurrentes.</w:t>
      </w:r>
    </w:p>
    <w:p w14:paraId="65EF9601" w14:textId="77777777" w:rsidR="00191E41" w:rsidRPr="00191E41" w:rsidRDefault="00191E41" w:rsidP="00191E41">
      <w:pPr>
        <w:spacing w:after="360" w:line="360" w:lineRule="auto"/>
        <w:ind w:right="-159"/>
        <w:jc w:val="both"/>
        <w:rPr>
          <w:rFonts w:eastAsia="Calibri"/>
          <w:sz w:val="26"/>
          <w:szCs w:val="26"/>
          <w:lang w:eastAsia="en-US"/>
        </w:rPr>
      </w:pPr>
      <w:r w:rsidRPr="00191E41">
        <w:rPr>
          <w:rFonts w:eastAsia="Calibri"/>
          <w:sz w:val="26"/>
          <w:szCs w:val="26"/>
          <w:lang w:eastAsia="en-US"/>
        </w:rPr>
        <w:t>Los resultados obtenidos en el primer mes de 2015 son congruentes con las metas aprobadas para estas variables por el H. Congreso de la Unión para 2015.</w:t>
      </w:r>
    </w:p>
    <w:tbl>
      <w:tblPr>
        <w:tblW w:w="9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3"/>
        <w:gridCol w:w="1260"/>
        <w:gridCol w:w="1248"/>
        <w:gridCol w:w="738"/>
        <w:gridCol w:w="774"/>
        <w:gridCol w:w="749"/>
      </w:tblGrid>
      <w:tr w:rsidR="00191E41" w:rsidRPr="00191E41" w14:paraId="721F104B" w14:textId="77777777" w:rsidTr="001E7D79">
        <w:trPr>
          <w:jc w:val="center"/>
        </w:trPr>
        <w:tc>
          <w:tcPr>
            <w:tcW w:w="9442" w:type="dxa"/>
            <w:gridSpan w:val="6"/>
            <w:tcBorders>
              <w:top w:val="nil"/>
              <w:left w:val="nil"/>
              <w:bottom w:val="single" w:sz="4" w:space="0" w:color="auto"/>
              <w:right w:val="nil"/>
            </w:tcBorders>
            <w:shd w:val="clear" w:color="auto" w:fill="auto"/>
          </w:tcPr>
          <w:p w14:paraId="36D866D1" w14:textId="77777777" w:rsidR="00191E41" w:rsidRPr="00191E41" w:rsidRDefault="00191E41" w:rsidP="00191E41">
            <w:pPr>
              <w:jc w:val="center"/>
              <w:rPr>
                <w:rFonts w:eastAsia="Times New Roman"/>
                <w:b/>
                <w:sz w:val="20"/>
                <w:szCs w:val="20"/>
              </w:rPr>
            </w:pPr>
            <w:r w:rsidRPr="00191E41">
              <w:rPr>
                <w:rFonts w:eastAsia="Times New Roman"/>
                <w:b/>
                <w:sz w:val="20"/>
                <w:szCs w:val="20"/>
              </w:rPr>
              <w:lastRenderedPageBreak/>
              <w:t>SITUACIÓN FINANCIERA DEL SECTOR PÚBLICO</w:t>
            </w:r>
          </w:p>
          <w:p w14:paraId="26ED2131" w14:textId="77777777" w:rsidR="00191E41" w:rsidRPr="00191E41" w:rsidRDefault="00191E41" w:rsidP="00191E41">
            <w:pPr>
              <w:jc w:val="center"/>
              <w:rPr>
                <w:rFonts w:eastAsia="Times New Roman"/>
                <w:b/>
                <w:sz w:val="20"/>
                <w:szCs w:val="20"/>
              </w:rPr>
            </w:pPr>
            <w:r w:rsidRPr="00191E41">
              <w:rPr>
                <w:rFonts w:eastAsia="Times New Roman"/>
                <w:b/>
                <w:sz w:val="20"/>
                <w:szCs w:val="20"/>
              </w:rPr>
              <w:t>- Millones de pesos-</w:t>
            </w:r>
          </w:p>
        </w:tc>
      </w:tr>
      <w:tr w:rsidR="00191E41" w:rsidRPr="00191E41" w14:paraId="3B771564" w14:textId="77777777" w:rsidTr="001E7D79">
        <w:trPr>
          <w:jc w:val="center"/>
        </w:trPr>
        <w:tc>
          <w:tcPr>
            <w:tcW w:w="467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CC0EFA1" w14:textId="77777777" w:rsidR="00191E41" w:rsidRPr="00191E41" w:rsidRDefault="00191E41" w:rsidP="00191E41">
            <w:pPr>
              <w:jc w:val="center"/>
              <w:rPr>
                <w:rFonts w:eastAsia="Times New Roman"/>
                <w:b/>
                <w:sz w:val="18"/>
                <w:szCs w:val="18"/>
              </w:rPr>
            </w:pPr>
            <w:r w:rsidRPr="00191E41">
              <w:rPr>
                <w:rFonts w:eastAsia="Times New Roman"/>
                <w:b/>
                <w:sz w:val="18"/>
                <w:szCs w:val="18"/>
              </w:rPr>
              <w:t>Concepto</w:t>
            </w:r>
          </w:p>
        </w:tc>
        <w:tc>
          <w:tcPr>
            <w:tcW w:w="25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5BA00" w14:textId="77777777" w:rsidR="00191E41" w:rsidRPr="00191E41" w:rsidRDefault="00191E41" w:rsidP="00191E41">
            <w:pPr>
              <w:jc w:val="center"/>
              <w:rPr>
                <w:rFonts w:eastAsia="Times New Roman"/>
                <w:b/>
                <w:sz w:val="18"/>
                <w:szCs w:val="18"/>
              </w:rPr>
            </w:pPr>
            <w:r w:rsidRPr="00191E41">
              <w:rPr>
                <w:rFonts w:eastAsia="Times New Roman"/>
                <w:b/>
                <w:sz w:val="18"/>
                <w:szCs w:val="18"/>
              </w:rPr>
              <w:t>Enero</w:t>
            </w:r>
          </w:p>
        </w:tc>
        <w:tc>
          <w:tcPr>
            <w:tcW w:w="738" w:type="dxa"/>
            <w:tcBorders>
              <w:top w:val="single" w:sz="4" w:space="0" w:color="auto"/>
              <w:left w:val="single" w:sz="4" w:space="0" w:color="auto"/>
              <w:bottom w:val="nil"/>
              <w:right w:val="single" w:sz="4" w:space="0" w:color="auto"/>
            </w:tcBorders>
            <w:shd w:val="clear" w:color="auto" w:fill="auto"/>
          </w:tcPr>
          <w:p w14:paraId="56AD428D" w14:textId="77777777" w:rsidR="00191E41" w:rsidRPr="00191E41" w:rsidRDefault="00191E41" w:rsidP="00191E41">
            <w:pPr>
              <w:jc w:val="center"/>
              <w:rPr>
                <w:rFonts w:eastAsia="Times New Roman"/>
                <w:b/>
                <w:sz w:val="18"/>
                <w:szCs w:val="18"/>
              </w:rPr>
            </w:pPr>
            <w:r w:rsidRPr="00191E41">
              <w:rPr>
                <w:rFonts w:eastAsia="Times New Roman"/>
                <w:b/>
                <w:sz w:val="18"/>
                <w:szCs w:val="18"/>
              </w:rPr>
              <w:t>Var. %</w:t>
            </w:r>
          </w:p>
        </w:tc>
        <w:tc>
          <w:tcPr>
            <w:tcW w:w="152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DF1009" w14:textId="77777777" w:rsidR="00191E41" w:rsidRPr="00191E41" w:rsidRDefault="00191E41" w:rsidP="00191E41">
            <w:pPr>
              <w:jc w:val="center"/>
              <w:rPr>
                <w:rFonts w:eastAsia="Times New Roman"/>
                <w:b/>
                <w:sz w:val="18"/>
                <w:szCs w:val="18"/>
              </w:rPr>
            </w:pPr>
            <w:r w:rsidRPr="00191E41">
              <w:rPr>
                <w:rFonts w:eastAsia="Times New Roman"/>
                <w:b/>
                <w:sz w:val="18"/>
                <w:szCs w:val="18"/>
              </w:rPr>
              <w:t>Composición %</w:t>
            </w:r>
          </w:p>
        </w:tc>
      </w:tr>
      <w:tr w:rsidR="00191E41" w:rsidRPr="00191E41" w14:paraId="77E32DB3" w14:textId="77777777" w:rsidTr="001E7D79">
        <w:trPr>
          <w:jc w:val="center"/>
        </w:trPr>
        <w:tc>
          <w:tcPr>
            <w:tcW w:w="4673" w:type="dxa"/>
            <w:vMerge/>
            <w:tcBorders>
              <w:top w:val="single" w:sz="4" w:space="0" w:color="auto"/>
              <w:left w:val="single" w:sz="4" w:space="0" w:color="auto"/>
              <w:bottom w:val="single" w:sz="4" w:space="0" w:color="auto"/>
              <w:right w:val="single" w:sz="4" w:space="0" w:color="auto"/>
            </w:tcBorders>
            <w:shd w:val="clear" w:color="auto" w:fill="auto"/>
          </w:tcPr>
          <w:p w14:paraId="627C7B49" w14:textId="77777777" w:rsidR="00191E41" w:rsidRPr="00191E41" w:rsidRDefault="00191E41" w:rsidP="00191E41">
            <w:pPr>
              <w:jc w:val="center"/>
              <w:rPr>
                <w:rFonts w:eastAsia="Times New Roman"/>
                <w:b/>
                <w:sz w:val="18"/>
                <w:szCs w:val="18"/>
              </w:rPr>
            </w:pP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C92972E" w14:textId="77777777" w:rsidR="00191E41" w:rsidRPr="00191E41" w:rsidRDefault="00191E41" w:rsidP="00191E41">
            <w:pPr>
              <w:jc w:val="center"/>
              <w:rPr>
                <w:rFonts w:eastAsia="Times New Roman"/>
                <w:b/>
                <w:sz w:val="18"/>
                <w:szCs w:val="18"/>
              </w:rPr>
            </w:pPr>
            <w:r w:rsidRPr="00191E41">
              <w:rPr>
                <w:rFonts w:eastAsia="Times New Roman"/>
                <w:b/>
                <w:sz w:val="18"/>
                <w:szCs w:val="18"/>
              </w:rPr>
              <w:t>2014</w:t>
            </w:r>
            <w:r w:rsidRPr="00191E41">
              <w:rPr>
                <w:rFonts w:eastAsia="Times New Roman"/>
                <w:b/>
                <w:sz w:val="18"/>
                <w:szCs w:val="18"/>
                <w:u w:val="single"/>
                <w:vertAlign w:val="superscript"/>
              </w:rPr>
              <w:t>p</w:t>
            </w:r>
            <w:r w:rsidRPr="00191E41">
              <w:rPr>
                <w:rFonts w:eastAsia="Times New Roman"/>
                <w:b/>
                <w:sz w:val="18"/>
                <w:szCs w:val="18"/>
                <w:vertAlign w:val="superscript"/>
              </w:rPr>
              <w:t>/</w:t>
            </w:r>
          </w:p>
        </w:tc>
        <w:tc>
          <w:tcPr>
            <w:tcW w:w="1248" w:type="dxa"/>
            <w:tcBorders>
              <w:top w:val="single" w:sz="4" w:space="0" w:color="auto"/>
              <w:left w:val="single" w:sz="4" w:space="0" w:color="auto"/>
              <w:bottom w:val="single" w:sz="4" w:space="0" w:color="auto"/>
              <w:right w:val="single" w:sz="4" w:space="0" w:color="auto"/>
            </w:tcBorders>
            <w:shd w:val="clear" w:color="auto" w:fill="auto"/>
          </w:tcPr>
          <w:p w14:paraId="7EBE9C9E" w14:textId="77777777" w:rsidR="00191E41" w:rsidRPr="00191E41" w:rsidRDefault="00191E41" w:rsidP="00191E41">
            <w:pPr>
              <w:jc w:val="center"/>
              <w:rPr>
                <w:rFonts w:eastAsia="Times New Roman"/>
                <w:b/>
                <w:sz w:val="18"/>
                <w:szCs w:val="18"/>
              </w:rPr>
            </w:pPr>
            <w:r w:rsidRPr="00191E41">
              <w:rPr>
                <w:rFonts w:eastAsia="Times New Roman"/>
                <w:b/>
                <w:sz w:val="18"/>
                <w:szCs w:val="18"/>
              </w:rPr>
              <w:t>2015</w:t>
            </w:r>
            <w:r w:rsidRPr="00191E41">
              <w:rPr>
                <w:rFonts w:eastAsia="Times New Roman"/>
                <w:b/>
                <w:sz w:val="18"/>
                <w:szCs w:val="18"/>
                <w:u w:val="single"/>
                <w:vertAlign w:val="superscript"/>
              </w:rPr>
              <w:t>p</w:t>
            </w:r>
            <w:r w:rsidRPr="00191E41">
              <w:rPr>
                <w:rFonts w:eastAsia="Times New Roman"/>
                <w:b/>
                <w:sz w:val="18"/>
                <w:szCs w:val="18"/>
                <w:vertAlign w:val="superscript"/>
              </w:rPr>
              <w:t>/</w:t>
            </w:r>
          </w:p>
        </w:tc>
        <w:tc>
          <w:tcPr>
            <w:tcW w:w="738" w:type="dxa"/>
            <w:tcBorders>
              <w:top w:val="nil"/>
              <w:left w:val="single" w:sz="4" w:space="0" w:color="auto"/>
              <w:bottom w:val="single" w:sz="4" w:space="0" w:color="auto"/>
              <w:right w:val="single" w:sz="4" w:space="0" w:color="auto"/>
            </w:tcBorders>
            <w:shd w:val="clear" w:color="auto" w:fill="auto"/>
          </w:tcPr>
          <w:p w14:paraId="718B6297" w14:textId="77777777" w:rsidR="00191E41" w:rsidRPr="00191E41" w:rsidRDefault="00191E41" w:rsidP="00191E41">
            <w:pPr>
              <w:jc w:val="center"/>
              <w:rPr>
                <w:rFonts w:eastAsia="Times New Roman"/>
                <w:b/>
                <w:sz w:val="18"/>
                <w:szCs w:val="18"/>
              </w:rPr>
            </w:pPr>
            <w:r w:rsidRPr="00191E41">
              <w:rPr>
                <w:rFonts w:eastAsia="Times New Roman"/>
                <w:b/>
                <w:sz w:val="18"/>
                <w:szCs w:val="18"/>
              </w:rPr>
              <w:t>real</w:t>
            </w:r>
          </w:p>
        </w:tc>
        <w:tc>
          <w:tcPr>
            <w:tcW w:w="774" w:type="dxa"/>
            <w:tcBorders>
              <w:top w:val="single" w:sz="4" w:space="0" w:color="auto"/>
              <w:left w:val="single" w:sz="4" w:space="0" w:color="auto"/>
              <w:bottom w:val="single" w:sz="4" w:space="0" w:color="auto"/>
              <w:right w:val="single" w:sz="4" w:space="0" w:color="auto"/>
            </w:tcBorders>
            <w:shd w:val="clear" w:color="auto" w:fill="auto"/>
          </w:tcPr>
          <w:p w14:paraId="0B522B2D" w14:textId="77777777" w:rsidR="00191E41" w:rsidRPr="00191E41" w:rsidRDefault="00191E41" w:rsidP="00191E41">
            <w:pPr>
              <w:jc w:val="center"/>
              <w:rPr>
                <w:rFonts w:eastAsia="Times New Roman"/>
                <w:b/>
                <w:sz w:val="18"/>
                <w:szCs w:val="18"/>
              </w:rPr>
            </w:pPr>
            <w:r w:rsidRPr="00191E41">
              <w:rPr>
                <w:rFonts w:eastAsia="Times New Roman"/>
                <w:b/>
                <w:sz w:val="18"/>
                <w:szCs w:val="18"/>
              </w:rPr>
              <w:t>2014</w:t>
            </w:r>
            <w:r w:rsidRPr="00191E41">
              <w:rPr>
                <w:rFonts w:eastAsia="Times New Roman"/>
                <w:b/>
                <w:sz w:val="18"/>
                <w:szCs w:val="18"/>
                <w:u w:val="single"/>
                <w:vertAlign w:val="superscript"/>
              </w:rPr>
              <w:t>p</w:t>
            </w:r>
            <w:r w:rsidRPr="00191E41">
              <w:rPr>
                <w:rFonts w:eastAsia="Times New Roman"/>
                <w:b/>
                <w:sz w:val="18"/>
                <w:szCs w:val="18"/>
                <w:vertAlign w:val="superscript"/>
              </w:rPr>
              <w:t>/</w:t>
            </w:r>
          </w:p>
        </w:tc>
        <w:tc>
          <w:tcPr>
            <w:tcW w:w="749" w:type="dxa"/>
            <w:tcBorders>
              <w:top w:val="single" w:sz="4" w:space="0" w:color="auto"/>
              <w:left w:val="single" w:sz="4" w:space="0" w:color="auto"/>
              <w:bottom w:val="single" w:sz="4" w:space="0" w:color="auto"/>
              <w:right w:val="single" w:sz="4" w:space="0" w:color="auto"/>
            </w:tcBorders>
            <w:shd w:val="clear" w:color="auto" w:fill="auto"/>
          </w:tcPr>
          <w:p w14:paraId="6A4F1B9C" w14:textId="77777777" w:rsidR="00191E41" w:rsidRPr="00191E41" w:rsidRDefault="00191E41" w:rsidP="00191E41">
            <w:pPr>
              <w:jc w:val="center"/>
              <w:rPr>
                <w:rFonts w:eastAsia="Times New Roman"/>
                <w:b/>
                <w:sz w:val="18"/>
                <w:szCs w:val="18"/>
              </w:rPr>
            </w:pPr>
            <w:r w:rsidRPr="00191E41">
              <w:rPr>
                <w:rFonts w:eastAsia="Times New Roman"/>
                <w:b/>
                <w:sz w:val="18"/>
                <w:szCs w:val="18"/>
              </w:rPr>
              <w:t>2015</w:t>
            </w:r>
            <w:r w:rsidRPr="00191E41">
              <w:rPr>
                <w:rFonts w:eastAsia="Times New Roman"/>
                <w:b/>
                <w:sz w:val="18"/>
                <w:szCs w:val="18"/>
                <w:u w:val="single"/>
                <w:vertAlign w:val="superscript"/>
              </w:rPr>
              <w:t>p</w:t>
            </w:r>
            <w:r w:rsidRPr="00191E41">
              <w:rPr>
                <w:rFonts w:eastAsia="Times New Roman"/>
                <w:b/>
                <w:sz w:val="18"/>
                <w:szCs w:val="18"/>
                <w:vertAlign w:val="superscript"/>
              </w:rPr>
              <w:t>/</w:t>
            </w:r>
          </w:p>
        </w:tc>
      </w:tr>
      <w:tr w:rsidR="00191E41" w:rsidRPr="00191E41" w14:paraId="62F8FDEB" w14:textId="77777777" w:rsidTr="001E7D79">
        <w:trPr>
          <w:jc w:val="center"/>
        </w:trPr>
        <w:tc>
          <w:tcPr>
            <w:tcW w:w="4673" w:type="dxa"/>
            <w:tcBorders>
              <w:top w:val="single" w:sz="4" w:space="0" w:color="auto"/>
              <w:left w:val="single" w:sz="4" w:space="0" w:color="auto"/>
              <w:bottom w:val="nil"/>
              <w:right w:val="single" w:sz="4" w:space="0" w:color="auto"/>
            </w:tcBorders>
            <w:shd w:val="clear" w:color="auto" w:fill="auto"/>
          </w:tcPr>
          <w:p w14:paraId="615D19CC" w14:textId="77777777" w:rsidR="00191E41" w:rsidRPr="00191E41" w:rsidRDefault="00191E41" w:rsidP="00191E41">
            <w:pPr>
              <w:rPr>
                <w:rFonts w:eastAsia="Times New Roman"/>
                <w:b/>
                <w:sz w:val="18"/>
                <w:szCs w:val="18"/>
              </w:rPr>
            </w:pPr>
            <w:r w:rsidRPr="00191E41">
              <w:rPr>
                <w:rFonts w:eastAsia="Times New Roman"/>
                <w:b/>
                <w:sz w:val="18"/>
                <w:szCs w:val="18"/>
              </w:rPr>
              <w:t>BALANCE PÚBLICO</w:t>
            </w:r>
          </w:p>
        </w:tc>
        <w:tc>
          <w:tcPr>
            <w:tcW w:w="1260" w:type="dxa"/>
            <w:tcBorders>
              <w:top w:val="single" w:sz="4" w:space="0" w:color="auto"/>
              <w:left w:val="single" w:sz="4" w:space="0" w:color="auto"/>
              <w:bottom w:val="nil"/>
              <w:right w:val="single" w:sz="4" w:space="0" w:color="auto"/>
            </w:tcBorders>
            <w:shd w:val="clear" w:color="auto" w:fill="auto"/>
          </w:tcPr>
          <w:p w14:paraId="4BB384FE" w14:textId="77777777" w:rsidR="00191E41" w:rsidRPr="00191E41" w:rsidRDefault="00191E41" w:rsidP="00191E41">
            <w:pPr>
              <w:ind w:right="113"/>
              <w:jc w:val="right"/>
              <w:rPr>
                <w:b/>
                <w:sz w:val="18"/>
                <w:szCs w:val="18"/>
              </w:rPr>
            </w:pPr>
            <w:r w:rsidRPr="00191E41">
              <w:rPr>
                <w:b/>
                <w:sz w:val="18"/>
                <w:szCs w:val="18"/>
              </w:rPr>
              <w:t>-4 907.9</w:t>
            </w:r>
          </w:p>
        </w:tc>
        <w:tc>
          <w:tcPr>
            <w:tcW w:w="1248" w:type="dxa"/>
            <w:tcBorders>
              <w:top w:val="single" w:sz="4" w:space="0" w:color="auto"/>
              <w:left w:val="single" w:sz="4" w:space="0" w:color="auto"/>
              <w:bottom w:val="nil"/>
              <w:right w:val="single" w:sz="4" w:space="0" w:color="auto"/>
            </w:tcBorders>
            <w:shd w:val="clear" w:color="auto" w:fill="auto"/>
          </w:tcPr>
          <w:p w14:paraId="4101F4F7" w14:textId="77777777" w:rsidR="00191E41" w:rsidRPr="00191E41" w:rsidRDefault="00191E41" w:rsidP="00191E41">
            <w:pPr>
              <w:ind w:right="113"/>
              <w:jc w:val="right"/>
              <w:rPr>
                <w:b/>
                <w:sz w:val="18"/>
                <w:szCs w:val="18"/>
              </w:rPr>
            </w:pPr>
            <w:r w:rsidRPr="00191E41">
              <w:rPr>
                <w:b/>
                <w:sz w:val="18"/>
                <w:szCs w:val="18"/>
              </w:rPr>
              <w:t>-91 544.3</w:t>
            </w:r>
          </w:p>
        </w:tc>
        <w:tc>
          <w:tcPr>
            <w:tcW w:w="738" w:type="dxa"/>
            <w:tcBorders>
              <w:top w:val="single" w:sz="4" w:space="0" w:color="auto"/>
              <w:left w:val="single" w:sz="4" w:space="0" w:color="auto"/>
              <w:bottom w:val="nil"/>
              <w:right w:val="single" w:sz="4" w:space="0" w:color="auto"/>
            </w:tcBorders>
            <w:shd w:val="clear" w:color="auto" w:fill="auto"/>
          </w:tcPr>
          <w:p w14:paraId="031F88C4" w14:textId="77777777" w:rsidR="00191E41" w:rsidRPr="00191E41" w:rsidRDefault="00191E41" w:rsidP="00191E41">
            <w:pPr>
              <w:ind w:right="57"/>
              <w:jc w:val="right"/>
              <w:rPr>
                <w:b/>
                <w:sz w:val="18"/>
                <w:szCs w:val="18"/>
              </w:rPr>
            </w:pPr>
            <w:r w:rsidRPr="00191E41">
              <w:rPr>
                <w:b/>
                <w:sz w:val="18"/>
                <w:szCs w:val="18"/>
              </w:rPr>
              <w:t>n.s</w:t>
            </w:r>
          </w:p>
        </w:tc>
        <w:tc>
          <w:tcPr>
            <w:tcW w:w="774" w:type="dxa"/>
            <w:tcBorders>
              <w:top w:val="single" w:sz="4" w:space="0" w:color="auto"/>
              <w:left w:val="single" w:sz="4" w:space="0" w:color="auto"/>
              <w:bottom w:val="nil"/>
              <w:right w:val="single" w:sz="4" w:space="0" w:color="auto"/>
            </w:tcBorders>
            <w:shd w:val="clear" w:color="auto" w:fill="auto"/>
          </w:tcPr>
          <w:p w14:paraId="6BCE834B" w14:textId="77777777" w:rsidR="00191E41" w:rsidRPr="00191E41" w:rsidRDefault="00191E41" w:rsidP="00191E41">
            <w:pPr>
              <w:ind w:right="57"/>
              <w:jc w:val="right"/>
              <w:rPr>
                <w:b/>
                <w:sz w:val="18"/>
                <w:szCs w:val="18"/>
              </w:rPr>
            </w:pPr>
          </w:p>
        </w:tc>
        <w:tc>
          <w:tcPr>
            <w:tcW w:w="749" w:type="dxa"/>
            <w:tcBorders>
              <w:top w:val="single" w:sz="4" w:space="0" w:color="auto"/>
              <w:left w:val="single" w:sz="4" w:space="0" w:color="auto"/>
              <w:bottom w:val="nil"/>
              <w:right w:val="single" w:sz="4" w:space="0" w:color="auto"/>
            </w:tcBorders>
            <w:shd w:val="clear" w:color="auto" w:fill="auto"/>
          </w:tcPr>
          <w:p w14:paraId="6C8FC803" w14:textId="77777777" w:rsidR="00191E41" w:rsidRPr="00191E41" w:rsidRDefault="00191E41" w:rsidP="00191E41">
            <w:pPr>
              <w:ind w:right="57"/>
              <w:jc w:val="right"/>
              <w:rPr>
                <w:b/>
                <w:sz w:val="18"/>
                <w:szCs w:val="18"/>
              </w:rPr>
            </w:pPr>
          </w:p>
        </w:tc>
      </w:tr>
      <w:tr w:rsidR="00191E41" w:rsidRPr="00191E41" w14:paraId="0EABD610" w14:textId="77777777" w:rsidTr="001E7D79">
        <w:trPr>
          <w:jc w:val="center"/>
        </w:trPr>
        <w:tc>
          <w:tcPr>
            <w:tcW w:w="4673" w:type="dxa"/>
            <w:tcBorders>
              <w:top w:val="nil"/>
              <w:left w:val="single" w:sz="4" w:space="0" w:color="auto"/>
              <w:bottom w:val="nil"/>
              <w:right w:val="single" w:sz="4" w:space="0" w:color="auto"/>
            </w:tcBorders>
            <w:shd w:val="clear" w:color="auto" w:fill="auto"/>
          </w:tcPr>
          <w:p w14:paraId="053210B1" w14:textId="77777777" w:rsidR="00191E41" w:rsidRPr="00191E41" w:rsidRDefault="00191E41" w:rsidP="00191E41">
            <w:pPr>
              <w:ind w:right="-113"/>
              <w:rPr>
                <w:rFonts w:eastAsia="Times New Roman"/>
                <w:b/>
                <w:sz w:val="18"/>
                <w:szCs w:val="18"/>
              </w:rPr>
            </w:pPr>
            <w:r w:rsidRPr="00191E41">
              <w:rPr>
                <w:rFonts w:eastAsia="Times New Roman"/>
                <w:b/>
                <w:sz w:val="18"/>
                <w:szCs w:val="18"/>
              </w:rPr>
              <w:t>BALANCE PÚBLICO SIN INVERSIÓN PRODUCTIVA</w:t>
            </w:r>
            <w:r w:rsidRPr="00191E41">
              <w:rPr>
                <w:rFonts w:eastAsia="Times New Roman"/>
                <w:b/>
                <w:sz w:val="18"/>
                <w:szCs w:val="18"/>
                <w:vertAlign w:val="superscript"/>
              </w:rPr>
              <w:t>1/</w:t>
            </w:r>
          </w:p>
        </w:tc>
        <w:tc>
          <w:tcPr>
            <w:tcW w:w="1260" w:type="dxa"/>
            <w:tcBorders>
              <w:top w:val="nil"/>
              <w:left w:val="single" w:sz="4" w:space="0" w:color="auto"/>
              <w:bottom w:val="nil"/>
              <w:right w:val="single" w:sz="4" w:space="0" w:color="auto"/>
            </w:tcBorders>
            <w:shd w:val="clear" w:color="auto" w:fill="auto"/>
          </w:tcPr>
          <w:p w14:paraId="6CB7147D" w14:textId="77777777" w:rsidR="00191E41" w:rsidRPr="00191E41" w:rsidRDefault="00191E41" w:rsidP="00191E41">
            <w:pPr>
              <w:ind w:right="113"/>
              <w:jc w:val="right"/>
              <w:rPr>
                <w:b/>
                <w:sz w:val="18"/>
                <w:szCs w:val="18"/>
              </w:rPr>
            </w:pPr>
            <w:r w:rsidRPr="00191E41">
              <w:rPr>
                <w:b/>
                <w:sz w:val="18"/>
                <w:szCs w:val="18"/>
              </w:rPr>
              <w:t>41 777.7</w:t>
            </w:r>
          </w:p>
        </w:tc>
        <w:tc>
          <w:tcPr>
            <w:tcW w:w="1248" w:type="dxa"/>
            <w:tcBorders>
              <w:top w:val="nil"/>
              <w:left w:val="single" w:sz="4" w:space="0" w:color="auto"/>
              <w:bottom w:val="nil"/>
              <w:right w:val="single" w:sz="4" w:space="0" w:color="auto"/>
            </w:tcBorders>
            <w:shd w:val="clear" w:color="auto" w:fill="auto"/>
          </w:tcPr>
          <w:p w14:paraId="4699F679" w14:textId="77777777" w:rsidR="00191E41" w:rsidRPr="00191E41" w:rsidRDefault="00191E41" w:rsidP="00191E41">
            <w:pPr>
              <w:ind w:right="113"/>
              <w:jc w:val="right"/>
              <w:rPr>
                <w:b/>
                <w:sz w:val="18"/>
                <w:szCs w:val="18"/>
              </w:rPr>
            </w:pPr>
            <w:r w:rsidRPr="00191E41">
              <w:rPr>
                <w:b/>
                <w:sz w:val="18"/>
                <w:szCs w:val="18"/>
              </w:rPr>
              <w:t>-32 373.1</w:t>
            </w:r>
          </w:p>
        </w:tc>
        <w:tc>
          <w:tcPr>
            <w:tcW w:w="738" w:type="dxa"/>
            <w:tcBorders>
              <w:top w:val="nil"/>
              <w:left w:val="single" w:sz="4" w:space="0" w:color="auto"/>
              <w:bottom w:val="nil"/>
              <w:right w:val="single" w:sz="4" w:space="0" w:color="auto"/>
            </w:tcBorders>
            <w:shd w:val="clear" w:color="auto" w:fill="auto"/>
          </w:tcPr>
          <w:p w14:paraId="1B914B90" w14:textId="77777777" w:rsidR="00191E41" w:rsidRPr="00191E41" w:rsidRDefault="00191E41" w:rsidP="00191E41">
            <w:pPr>
              <w:ind w:right="57"/>
              <w:jc w:val="right"/>
              <w:rPr>
                <w:b/>
                <w:sz w:val="18"/>
                <w:szCs w:val="18"/>
              </w:rPr>
            </w:pPr>
            <w:r w:rsidRPr="00191E41">
              <w:rPr>
                <w:b/>
                <w:sz w:val="18"/>
                <w:szCs w:val="18"/>
              </w:rPr>
              <w:t>n.s</w:t>
            </w:r>
          </w:p>
        </w:tc>
        <w:tc>
          <w:tcPr>
            <w:tcW w:w="774" w:type="dxa"/>
            <w:tcBorders>
              <w:top w:val="nil"/>
              <w:left w:val="single" w:sz="4" w:space="0" w:color="auto"/>
              <w:bottom w:val="nil"/>
              <w:right w:val="single" w:sz="4" w:space="0" w:color="auto"/>
            </w:tcBorders>
            <w:shd w:val="clear" w:color="auto" w:fill="auto"/>
          </w:tcPr>
          <w:p w14:paraId="300C915B" w14:textId="77777777" w:rsidR="00191E41" w:rsidRPr="00191E41" w:rsidRDefault="00191E41" w:rsidP="00191E41">
            <w:pPr>
              <w:ind w:right="57"/>
              <w:jc w:val="right"/>
              <w:rPr>
                <w:b/>
                <w:sz w:val="18"/>
                <w:szCs w:val="18"/>
              </w:rPr>
            </w:pPr>
          </w:p>
        </w:tc>
        <w:tc>
          <w:tcPr>
            <w:tcW w:w="749" w:type="dxa"/>
            <w:tcBorders>
              <w:top w:val="nil"/>
              <w:left w:val="single" w:sz="4" w:space="0" w:color="auto"/>
              <w:bottom w:val="nil"/>
              <w:right w:val="single" w:sz="4" w:space="0" w:color="auto"/>
            </w:tcBorders>
            <w:shd w:val="clear" w:color="auto" w:fill="auto"/>
          </w:tcPr>
          <w:p w14:paraId="6D3112D1" w14:textId="77777777" w:rsidR="00191E41" w:rsidRPr="00191E41" w:rsidRDefault="00191E41" w:rsidP="00191E41">
            <w:pPr>
              <w:ind w:right="57"/>
              <w:jc w:val="right"/>
              <w:rPr>
                <w:b/>
                <w:sz w:val="18"/>
                <w:szCs w:val="18"/>
              </w:rPr>
            </w:pPr>
          </w:p>
        </w:tc>
      </w:tr>
      <w:tr w:rsidR="00191E41" w:rsidRPr="00191E41" w14:paraId="33ECE364" w14:textId="77777777" w:rsidTr="001E7D79">
        <w:trPr>
          <w:jc w:val="center"/>
        </w:trPr>
        <w:tc>
          <w:tcPr>
            <w:tcW w:w="4673" w:type="dxa"/>
            <w:tcBorders>
              <w:top w:val="nil"/>
              <w:left w:val="single" w:sz="4" w:space="0" w:color="auto"/>
              <w:bottom w:val="nil"/>
              <w:right w:val="single" w:sz="4" w:space="0" w:color="auto"/>
            </w:tcBorders>
            <w:shd w:val="clear" w:color="auto" w:fill="auto"/>
          </w:tcPr>
          <w:p w14:paraId="713FDA48" w14:textId="77777777" w:rsidR="00191E41" w:rsidRPr="00191E41" w:rsidRDefault="00191E41" w:rsidP="00191E41">
            <w:pPr>
              <w:ind w:left="113"/>
              <w:rPr>
                <w:rFonts w:eastAsia="Times New Roman"/>
                <w:sz w:val="18"/>
                <w:szCs w:val="18"/>
              </w:rPr>
            </w:pPr>
            <w:r w:rsidRPr="00191E41">
              <w:rPr>
                <w:rFonts w:eastAsia="Times New Roman"/>
                <w:sz w:val="18"/>
                <w:szCs w:val="18"/>
              </w:rPr>
              <w:t xml:space="preserve">Balance presupuestario </w:t>
            </w:r>
          </w:p>
        </w:tc>
        <w:tc>
          <w:tcPr>
            <w:tcW w:w="1260" w:type="dxa"/>
            <w:tcBorders>
              <w:top w:val="nil"/>
              <w:left w:val="single" w:sz="4" w:space="0" w:color="auto"/>
              <w:bottom w:val="nil"/>
              <w:right w:val="single" w:sz="4" w:space="0" w:color="auto"/>
            </w:tcBorders>
            <w:shd w:val="clear" w:color="auto" w:fill="auto"/>
          </w:tcPr>
          <w:p w14:paraId="39A5FE62" w14:textId="77777777" w:rsidR="00191E41" w:rsidRPr="00191E41" w:rsidRDefault="00191E41" w:rsidP="00191E41">
            <w:pPr>
              <w:ind w:right="113"/>
              <w:jc w:val="right"/>
              <w:rPr>
                <w:sz w:val="18"/>
                <w:szCs w:val="18"/>
              </w:rPr>
            </w:pPr>
            <w:r w:rsidRPr="00191E41">
              <w:rPr>
                <w:sz w:val="18"/>
                <w:szCs w:val="18"/>
              </w:rPr>
              <w:t>-11 773.4</w:t>
            </w:r>
          </w:p>
        </w:tc>
        <w:tc>
          <w:tcPr>
            <w:tcW w:w="1248" w:type="dxa"/>
            <w:tcBorders>
              <w:top w:val="nil"/>
              <w:left w:val="single" w:sz="4" w:space="0" w:color="auto"/>
              <w:bottom w:val="nil"/>
              <w:right w:val="single" w:sz="4" w:space="0" w:color="auto"/>
            </w:tcBorders>
            <w:shd w:val="clear" w:color="auto" w:fill="auto"/>
          </w:tcPr>
          <w:p w14:paraId="301CC3C1" w14:textId="77777777" w:rsidR="00191E41" w:rsidRPr="00191E41" w:rsidRDefault="00191E41" w:rsidP="00191E41">
            <w:pPr>
              <w:ind w:right="113"/>
              <w:jc w:val="right"/>
              <w:rPr>
                <w:sz w:val="18"/>
                <w:szCs w:val="18"/>
              </w:rPr>
            </w:pPr>
            <w:r w:rsidRPr="00191E41">
              <w:rPr>
                <w:sz w:val="18"/>
                <w:szCs w:val="18"/>
              </w:rPr>
              <w:t>-95 776.8</w:t>
            </w:r>
          </w:p>
        </w:tc>
        <w:tc>
          <w:tcPr>
            <w:tcW w:w="738" w:type="dxa"/>
            <w:tcBorders>
              <w:top w:val="nil"/>
              <w:left w:val="single" w:sz="4" w:space="0" w:color="auto"/>
              <w:bottom w:val="nil"/>
              <w:right w:val="single" w:sz="4" w:space="0" w:color="auto"/>
            </w:tcBorders>
            <w:shd w:val="clear" w:color="auto" w:fill="auto"/>
          </w:tcPr>
          <w:p w14:paraId="5A8E87E5" w14:textId="77777777" w:rsidR="00191E41" w:rsidRPr="00191E41" w:rsidRDefault="00191E41" w:rsidP="00191E41">
            <w:pPr>
              <w:ind w:right="57"/>
              <w:jc w:val="right"/>
              <w:rPr>
                <w:sz w:val="18"/>
                <w:szCs w:val="18"/>
              </w:rPr>
            </w:pPr>
            <w:r w:rsidRPr="00191E41">
              <w:rPr>
                <w:sz w:val="18"/>
                <w:szCs w:val="18"/>
              </w:rPr>
              <w:t>n.s</w:t>
            </w:r>
          </w:p>
        </w:tc>
        <w:tc>
          <w:tcPr>
            <w:tcW w:w="774" w:type="dxa"/>
            <w:tcBorders>
              <w:top w:val="nil"/>
              <w:left w:val="single" w:sz="4" w:space="0" w:color="auto"/>
              <w:bottom w:val="nil"/>
              <w:right w:val="single" w:sz="4" w:space="0" w:color="auto"/>
            </w:tcBorders>
            <w:shd w:val="clear" w:color="auto" w:fill="auto"/>
          </w:tcPr>
          <w:p w14:paraId="290052A8" w14:textId="77777777" w:rsidR="00191E41" w:rsidRPr="00191E41" w:rsidRDefault="00191E41" w:rsidP="00191E41">
            <w:pPr>
              <w:ind w:right="57"/>
              <w:jc w:val="right"/>
              <w:rPr>
                <w:sz w:val="18"/>
                <w:szCs w:val="18"/>
              </w:rPr>
            </w:pPr>
          </w:p>
        </w:tc>
        <w:tc>
          <w:tcPr>
            <w:tcW w:w="749" w:type="dxa"/>
            <w:tcBorders>
              <w:top w:val="nil"/>
              <w:left w:val="single" w:sz="4" w:space="0" w:color="auto"/>
              <w:bottom w:val="nil"/>
              <w:right w:val="single" w:sz="4" w:space="0" w:color="auto"/>
            </w:tcBorders>
            <w:shd w:val="clear" w:color="auto" w:fill="auto"/>
          </w:tcPr>
          <w:p w14:paraId="0C6FB12E" w14:textId="77777777" w:rsidR="00191E41" w:rsidRPr="00191E41" w:rsidRDefault="00191E41" w:rsidP="00191E41">
            <w:pPr>
              <w:ind w:right="57"/>
              <w:jc w:val="right"/>
              <w:rPr>
                <w:sz w:val="18"/>
                <w:szCs w:val="18"/>
              </w:rPr>
            </w:pPr>
          </w:p>
        </w:tc>
      </w:tr>
      <w:tr w:rsidR="00191E41" w:rsidRPr="00191E41" w14:paraId="75A653ED" w14:textId="77777777" w:rsidTr="001E7D79">
        <w:trPr>
          <w:jc w:val="center"/>
        </w:trPr>
        <w:tc>
          <w:tcPr>
            <w:tcW w:w="4673" w:type="dxa"/>
            <w:tcBorders>
              <w:top w:val="nil"/>
              <w:left w:val="single" w:sz="4" w:space="0" w:color="auto"/>
              <w:bottom w:val="nil"/>
              <w:right w:val="single" w:sz="4" w:space="0" w:color="auto"/>
            </w:tcBorders>
            <w:shd w:val="clear" w:color="auto" w:fill="auto"/>
          </w:tcPr>
          <w:p w14:paraId="21DC3737" w14:textId="77777777" w:rsidR="00191E41" w:rsidRPr="00191E41" w:rsidRDefault="00191E41" w:rsidP="00191E41">
            <w:pPr>
              <w:ind w:left="227"/>
              <w:rPr>
                <w:rFonts w:eastAsia="Times New Roman"/>
                <w:sz w:val="18"/>
                <w:szCs w:val="18"/>
              </w:rPr>
            </w:pPr>
            <w:r w:rsidRPr="00191E41">
              <w:rPr>
                <w:rFonts w:eastAsia="Times New Roman"/>
                <w:sz w:val="18"/>
                <w:szCs w:val="18"/>
              </w:rPr>
              <w:t xml:space="preserve">Ingreso presupuestario </w:t>
            </w:r>
          </w:p>
        </w:tc>
        <w:tc>
          <w:tcPr>
            <w:tcW w:w="1260" w:type="dxa"/>
            <w:tcBorders>
              <w:top w:val="nil"/>
              <w:left w:val="single" w:sz="4" w:space="0" w:color="auto"/>
              <w:bottom w:val="nil"/>
              <w:right w:val="single" w:sz="4" w:space="0" w:color="auto"/>
            </w:tcBorders>
            <w:shd w:val="clear" w:color="auto" w:fill="auto"/>
          </w:tcPr>
          <w:p w14:paraId="183F0230" w14:textId="77777777" w:rsidR="00191E41" w:rsidRPr="00191E41" w:rsidRDefault="00191E41" w:rsidP="00191E41">
            <w:pPr>
              <w:ind w:right="113"/>
              <w:jc w:val="right"/>
              <w:rPr>
                <w:sz w:val="18"/>
                <w:szCs w:val="18"/>
              </w:rPr>
            </w:pPr>
            <w:r w:rsidRPr="00191E41">
              <w:rPr>
                <w:sz w:val="18"/>
                <w:szCs w:val="18"/>
              </w:rPr>
              <w:t>366 828.6</w:t>
            </w:r>
          </w:p>
        </w:tc>
        <w:tc>
          <w:tcPr>
            <w:tcW w:w="1248" w:type="dxa"/>
            <w:tcBorders>
              <w:top w:val="nil"/>
              <w:left w:val="single" w:sz="4" w:space="0" w:color="auto"/>
              <w:bottom w:val="nil"/>
              <w:right w:val="single" w:sz="4" w:space="0" w:color="auto"/>
            </w:tcBorders>
            <w:shd w:val="clear" w:color="auto" w:fill="auto"/>
          </w:tcPr>
          <w:p w14:paraId="4443B0AC" w14:textId="77777777" w:rsidR="00191E41" w:rsidRPr="00191E41" w:rsidRDefault="00191E41" w:rsidP="00191E41">
            <w:pPr>
              <w:ind w:right="113"/>
              <w:jc w:val="right"/>
              <w:rPr>
                <w:sz w:val="18"/>
                <w:szCs w:val="18"/>
              </w:rPr>
            </w:pPr>
            <w:r w:rsidRPr="00191E41">
              <w:rPr>
                <w:sz w:val="18"/>
                <w:szCs w:val="18"/>
              </w:rPr>
              <w:t>365 049.4</w:t>
            </w:r>
          </w:p>
        </w:tc>
        <w:tc>
          <w:tcPr>
            <w:tcW w:w="738" w:type="dxa"/>
            <w:tcBorders>
              <w:top w:val="nil"/>
              <w:left w:val="single" w:sz="4" w:space="0" w:color="auto"/>
              <w:bottom w:val="nil"/>
              <w:right w:val="single" w:sz="4" w:space="0" w:color="auto"/>
            </w:tcBorders>
            <w:shd w:val="clear" w:color="auto" w:fill="auto"/>
          </w:tcPr>
          <w:p w14:paraId="73DD8A07" w14:textId="77777777" w:rsidR="00191E41" w:rsidRPr="00191E41" w:rsidRDefault="00191E41" w:rsidP="00191E41">
            <w:pPr>
              <w:ind w:right="57"/>
              <w:jc w:val="right"/>
              <w:rPr>
                <w:sz w:val="18"/>
                <w:szCs w:val="18"/>
              </w:rPr>
            </w:pPr>
            <w:r w:rsidRPr="00191E41">
              <w:rPr>
                <w:sz w:val="18"/>
                <w:szCs w:val="18"/>
              </w:rPr>
              <w:t>-3.4</w:t>
            </w:r>
          </w:p>
        </w:tc>
        <w:tc>
          <w:tcPr>
            <w:tcW w:w="774" w:type="dxa"/>
            <w:tcBorders>
              <w:top w:val="nil"/>
              <w:left w:val="single" w:sz="4" w:space="0" w:color="auto"/>
              <w:bottom w:val="nil"/>
              <w:right w:val="single" w:sz="4" w:space="0" w:color="auto"/>
            </w:tcBorders>
            <w:shd w:val="clear" w:color="auto" w:fill="auto"/>
          </w:tcPr>
          <w:p w14:paraId="15051CB1" w14:textId="77777777" w:rsidR="00191E41" w:rsidRPr="00191E41" w:rsidRDefault="00191E41" w:rsidP="00191E41">
            <w:pPr>
              <w:ind w:right="113"/>
              <w:jc w:val="right"/>
              <w:rPr>
                <w:sz w:val="18"/>
                <w:szCs w:val="18"/>
              </w:rPr>
            </w:pPr>
            <w:r w:rsidRPr="00191E41">
              <w:rPr>
                <w:sz w:val="18"/>
                <w:szCs w:val="18"/>
              </w:rPr>
              <w:t>100.0</w:t>
            </w:r>
          </w:p>
        </w:tc>
        <w:tc>
          <w:tcPr>
            <w:tcW w:w="749" w:type="dxa"/>
            <w:tcBorders>
              <w:top w:val="nil"/>
              <w:left w:val="single" w:sz="4" w:space="0" w:color="auto"/>
              <w:bottom w:val="nil"/>
              <w:right w:val="single" w:sz="4" w:space="0" w:color="auto"/>
            </w:tcBorders>
            <w:shd w:val="clear" w:color="auto" w:fill="auto"/>
          </w:tcPr>
          <w:p w14:paraId="002A6661" w14:textId="77777777" w:rsidR="00191E41" w:rsidRPr="00191E41" w:rsidRDefault="00191E41" w:rsidP="00191E41">
            <w:pPr>
              <w:ind w:right="113"/>
              <w:jc w:val="right"/>
              <w:rPr>
                <w:sz w:val="18"/>
                <w:szCs w:val="18"/>
              </w:rPr>
            </w:pPr>
            <w:r w:rsidRPr="00191E41">
              <w:rPr>
                <w:sz w:val="18"/>
                <w:szCs w:val="18"/>
              </w:rPr>
              <w:t>100.0</w:t>
            </w:r>
          </w:p>
        </w:tc>
      </w:tr>
      <w:tr w:rsidR="00191E41" w:rsidRPr="00191E41" w14:paraId="21C34DFB" w14:textId="77777777" w:rsidTr="001E7D79">
        <w:trPr>
          <w:jc w:val="center"/>
        </w:trPr>
        <w:tc>
          <w:tcPr>
            <w:tcW w:w="4673" w:type="dxa"/>
            <w:tcBorders>
              <w:top w:val="nil"/>
              <w:left w:val="single" w:sz="4" w:space="0" w:color="auto"/>
              <w:bottom w:val="nil"/>
              <w:right w:val="single" w:sz="4" w:space="0" w:color="auto"/>
            </w:tcBorders>
            <w:shd w:val="clear" w:color="auto" w:fill="auto"/>
          </w:tcPr>
          <w:p w14:paraId="08EEB040" w14:textId="77777777" w:rsidR="00191E41" w:rsidRPr="00191E41" w:rsidRDefault="00191E41" w:rsidP="00191E41">
            <w:pPr>
              <w:ind w:left="340"/>
              <w:rPr>
                <w:rFonts w:eastAsia="Times New Roman"/>
                <w:sz w:val="18"/>
                <w:szCs w:val="18"/>
              </w:rPr>
            </w:pPr>
            <w:r w:rsidRPr="00191E41">
              <w:rPr>
                <w:rFonts w:eastAsia="Times New Roman"/>
                <w:sz w:val="18"/>
                <w:szCs w:val="18"/>
              </w:rPr>
              <w:t>Petrolero</w:t>
            </w:r>
          </w:p>
        </w:tc>
        <w:tc>
          <w:tcPr>
            <w:tcW w:w="1260" w:type="dxa"/>
            <w:tcBorders>
              <w:top w:val="nil"/>
              <w:left w:val="single" w:sz="4" w:space="0" w:color="auto"/>
              <w:bottom w:val="nil"/>
              <w:right w:val="single" w:sz="4" w:space="0" w:color="auto"/>
            </w:tcBorders>
            <w:shd w:val="clear" w:color="auto" w:fill="auto"/>
          </w:tcPr>
          <w:p w14:paraId="47EC4092" w14:textId="77777777" w:rsidR="00191E41" w:rsidRPr="00191E41" w:rsidRDefault="00191E41" w:rsidP="00191E41">
            <w:pPr>
              <w:ind w:right="113"/>
              <w:jc w:val="right"/>
              <w:rPr>
                <w:sz w:val="18"/>
                <w:szCs w:val="18"/>
              </w:rPr>
            </w:pPr>
            <w:r w:rsidRPr="00191E41">
              <w:rPr>
                <w:sz w:val="18"/>
                <w:szCs w:val="18"/>
              </w:rPr>
              <w:t>97 902.9</w:t>
            </w:r>
          </w:p>
        </w:tc>
        <w:tc>
          <w:tcPr>
            <w:tcW w:w="1248" w:type="dxa"/>
            <w:tcBorders>
              <w:top w:val="nil"/>
              <w:left w:val="single" w:sz="4" w:space="0" w:color="auto"/>
              <w:bottom w:val="nil"/>
              <w:right w:val="single" w:sz="4" w:space="0" w:color="auto"/>
            </w:tcBorders>
            <w:shd w:val="clear" w:color="auto" w:fill="auto"/>
          </w:tcPr>
          <w:p w14:paraId="4D75F927" w14:textId="77777777" w:rsidR="00191E41" w:rsidRPr="00191E41" w:rsidRDefault="00191E41" w:rsidP="00191E41">
            <w:pPr>
              <w:ind w:right="113"/>
              <w:jc w:val="right"/>
              <w:rPr>
                <w:sz w:val="18"/>
                <w:szCs w:val="18"/>
              </w:rPr>
            </w:pPr>
            <w:r w:rsidRPr="00191E41">
              <w:rPr>
                <w:sz w:val="18"/>
                <w:szCs w:val="18"/>
              </w:rPr>
              <w:t>56 994.8</w:t>
            </w:r>
          </w:p>
        </w:tc>
        <w:tc>
          <w:tcPr>
            <w:tcW w:w="738" w:type="dxa"/>
            <w:tcBorders>
              <w:top w:val="nil"/>
              <w:left w:val="single" w:sz="4" w:space="0" w:color="auto"/>
              <w:bottom w:val="nil"/>
              <w:right w:val="single" w:sz="4" w:space="0" w:color="auto"/>
            </w:tcBorders>
            <w:shd w:val="clear" w:color="auto" w:fill="auto"/>
          </w:tcPr>
          <w:p w14:paraId="41E43E63" w14:textId="77777777" w:rsidR="00191E41" w:rsidRPr="00191E41" w:rsidRDefault="00191E41" w:rsidP="00191E41">
            <w:pPr>
              <w:ind w:right="57"/>
              <w:jc w:val="right"/>
              <w:rPr>
                <w:sz w:val="18"/>
                <w:szCs w:val="18"/>
              </w:rPr>
            </w:pPr>
            <w:r w:rsidRPr="00191E41">
              <w:rPr>
                <w:sz w:val="18"/>
                <w:szCs w:val="18"/>
              </w:rPr>
              <w:t>-43.5</w:t>
            </w:r>
          </w:p>
        </w:tc>
        <w:tc>
          <w:tcPr>
            <w:tcW w:w="774" w:type="dxa"/>
            <w:tcBorders>
              <w:top w:val="nil"/>
              <w:left w:val="single" w:sz="4" w:space="0" w:color="auto"/>
              <w:bottom w:val="nil"/>
              <w:right w:val="single" w:sz="4" w:space="0" w:color="auto"/>
            </w:tcBorders>
            <w:shd w:val="clear" w:color="auto" w:fill="auto"/>
          </w:tcPr>
          <w:p w14:paraId="6C3A210C" w14:textId="77777777" w:rsidR="00191E41" w:rsidRPr="00191E41" w:rsidRDefault="00191E41" w:rsidP="00191E41">
            <w:pPr>
              <w:ind w:right="113"/>
              <w:jc w:val="right"/>
              <w:rPr>
                <w:sz w:val="18"/>
                <w:szCs w:val="18"/>
              </w:rPr>
            </w:pPr>
            <w:r w:rsidRPr="00191E41">
              <w:rPr>
                <w:sz w:val="18"/>
                <w:szCs w:val="18"/>
              </w:rPr>
              <w:t>26.7</w:t>
            </w:r>
          </w:p>
        </w:tc>
        <w:tc>
          <w:tcPr>
            <w:tcW w:w="749" w:type="dxa"/>
            <w:tcBorders>
              <w:top w:val="nil"/>
              <w:left w:val="single" w:sz="4" w:space="0" w:color="auto"/>
              <w:bottom w:val="nil"/>
              <w:right w:val="single" w:sz="4" w:space="0" w:color="auto"/>
            </w:tcBorders>
            <w:shd w:val="clear" w:color="auto" w:fill="auto"/>
          </w:tcPr>
          <w:p w14:paraId="0D12B556" w14:textId="77777777" w:rsidR="00191E41" w:rsidRPr="00191E41" w:rsidRDefault="00191E41" w:rsidP="00191E41">
            <w:pPr>
              <w:ind w:right="113"/>
              <w:jc w:val="right"/>
              <w:rPr>
                <w:sz w:val="18"/>
                <w:szCs w:val="18"/>
              </w:rPr>
            </w:pPr>
            <w:r w:rsidRPr="00191E41">
              <w:rPr>
                <w:sz w:val="18"/>
                <w:szCs w:val="18"/>
              </w:rPr>
              <w:t>15.6</w:t>
            </w:r>
          </w:p>
        </w:tc>
      </w:tr>
      <w:tr w:rsidR="00191E41" w:rsidRPr="00191E41" w14:paraId="1D125780" w14:textId="77777777" w:rsidTr="001E7D79">
        <w:trPr>
          <w:jc w:val="center"/>
        </w:trPr>
        <w:tc>
          <w:tcPr>
            <w:tcW w:w="4673" w:type="dxa"/>
            <w:tcBorders>
              <w:top w:val="nil"/>
              <w:left w:val="single" w:sz="4" w:space="0" w:color="auto"/>
              <w:bottom w:val="nil"/>
              <w:right w:val="single" w:sz="4" w:space="0" w:color="auto"/>
            </w:tcBorders>
            <w:shd w:val="clear" w:color="auto" w:fill="auto"/>
          </w:tcPr>
          <w:p w14:paraId="5C935054" w14:textId="77777777" w:rsidR="00191E41" w:rsidRPr="00191E41" w:rsidRDefault="00191E41" w:rsidP="00191E41">
            <w:pPr>
              <w:ind w:left="454"/>
              <w:rPr>
                <w:rFonts w:eastAsia="Times New Roman"/>
                <w:sz w:val="18"/>
                <w:szCs w:val="18"/>
              </w:rPr>
            </w:pPr>
            <w:r w:rsidRPr="00191E41">
              <w:rPr>
                <w:rFonts w:eastAsia="Times New Roman"/>
                <w:sz w:val="18"/>
                <w:szCs w:val="18"/>
              </w:rPr>
              <w:t>Pemex</w:t>
            </w:r>
          </w:p>
        </w:tc>
        <w:tc>
          <w:tcPr>
            <w:tcW w:w="1260" w:type="dxa"/>
            <w:tcBorders>
              <w:top w:val="nil"/>
              <w:left w:val="single" w:sz="4" w:space="0" w:color="auto"/>
              <w:bottom w:val="nil"/>
              <w:right w:val="single" w:sz="4" w:space="0" w:color="auto"/>
            </w:tcBorders>
            <w:shd w:val="clear" w:color="auto" w:fill="auto"/>
          </w:tcPr>
          <w:p w14:paraId="1A7D7E8F" w14:textId="77777777" w:rsidR="00191E41" w:rsidRPr="00191E41" w:rsidRDefault="00191E41" w:rsidP="00191E41">
            <w:pPr>
              <w:ind w:right="113"/>
              <w:jc w:val="right"/>
              <w:rPr>
                <w:sz w:val="18"/>
                <w:szCs w:val="18"/>
              </w:rPr>
            </w:pPr>
            <w:r w:rsidRPr="00191E41">
              <w:rPr>
                <w:sz w:val="18"/>
                <w:szCs w:val="18"/>
              </w:rPr>
              <w:t>29 372.3</w:t>
            </w:r>
          </w:p>
        </w:tc>
        <w:tc>
          <w:tcPr>
            <w:tcW w:w="1248" w:type="dxa"/>
            <w:tcBorders>
              <w:top w:val="nil"/>
              <w:left w:val="single" w:sz="4" w:space="0" w:color="auto"/>
              <w:bottom w:val="nil"/>
              <w:right w:val="single" w:sz="4" w:space="0" w:color="auto"/>
            </w:tcBorders>
            <w:shd w:val="clear" w:color="auto" w:fill="auto"/>
          </w:tcPr>
          <w:p w14:paraId="5B6CF7D5" w14:textId="77777777" w:rsidR="00191E41" w:rsidRPr="00191E41" w:rsidRDefault="00191E41" w:rsidP="00191E41">
            <w:pPr>
              <w:ind w:right="113"/>
              <w:jc w:val="right"/>
              <w:rPr>
                <w:sz w:val="18"/>
                <w:szCs w:val="18"/>
              </w:rPr>
            </w:pPr>
            <w:r w:rsidRPr="00191E41">
              <w:rPr>
                <w:sz w:val="18"/>
                <w:szCs w:val="18"/>
              </w:rPr>
              <w:t>12 502.6</w:t>
            </w:r>
          </w:p>
        </w:tc>
        <w:tc>
          <w:tcPr>
            <w:tcW w:w="738" w:type="dxa"/>
            <w:tcBorders>
              <w:top w:val="nil"/>
              <w:left w:val="single" w:sz="4" w:space="0" w:color="auto"/>
              <w:bottom w:val="nil"/>
              <w:right w:val="single" w:sz="4" w:space="0" w:color="auto"/>
            </w:tcBorders>
            <w:shd w:val="clear" w:color="auto" w:fill="auto"/>
          </w:tcPr>
          <w:p w14:paraId="7E6C95F2" w14:textId="77777777" w:rsidR="00191E41" w:rsidRPr="00191E41" w:rsidRDefault="00191E41" w:rsidP="00191E41">
            <w:pPr>
              <w:ind w:right="57"/>
              <w:jc w:val="right"/>
              <w:rPr>
                <w:sz w:val="18"/>
                <w:szCs w:val="18"/>
              </w:rPr>
            </w:pPr>
            <w:r w:rsidRPr="00191E41">
              <w:rPr>
                <w:sz w:val="18"/>
                <w:szCs w:val="18"/>
              </w:rPr>
              <w:t>-58.7</w:t>
            </w:r>
          </w:p>
        </w:tc>
        <w:tc>
          <w:tcPr>
            <w:tcW w:w="774" w:type="dxa"/>
            <w:tcBorders>
              <w:top w:val="nil"/>
              <w:left w:val="single" w:sz="4" w:space="0" w:color="auto"/>
              <w:bottom w:val="nil"/>
              <w:right w:val="single" w:sz="4" w:space="0" w:color="auto"/>
            </w:tcBorders>
            <w:shd w:val="clear" w:color="auto" w:fill="auto"/>
          </w:tcPr>
          <w:p w14:paraId="26C15083" w14:textId="77777777" w:rsidR="00191E41" w:rsidRPr="00191E41" w:rsidRDefault="00191E41" w:rsidP="00191E41">
            <w:pPr>
              <w:ind w:right="113"/>
              <w:jc w:val="right"/>
              <w:rPr>
                <w:sz w:val="18"/>
                <w:szCs w:val="18"/>
              </w:rPr>
            </w:pPr>
            <w:r w:rsidRPr="00191E41">
              <w:rPr>
                <w:sz w:val="18"/>
                <w:szCs w:val="18"/>
              </w:rPr>
              <w:t>8.0</w:t>
            </w:r>
          </w:p>
        </w:tc>
        <w:tc>
          <w:tcPr>
            <w:tcW w:w="749" w:type="dxa"/>
            <w:tcBorders>
              <w:top w:val="nil"/>
              <w:left w:val="single" w:sz="4" w:space="0" w:color="auto"/>
              <w:bottom w:val="nil"/>
              <w:right w:val="single" w:sz="4" w:space="0" w:color="auto"/>
            </w:tcBorders>
            <w:shd w:val="clear" w:color="auto" w:fill="auto"/>
          </w:tcPr>
          <w:p w14:paraId="613A8522" w14:textId="77777777" w:rsidR="00191E41" w:rsidRPr="00191E41" w:rsidRDefault="00191E41" w:rsidP="00191E41">
            <w:pPr>
              <w:ind w:right="113"/>
              <w:jc w:val="right"/>
              <w:rPr>
                <w:sz w:val="18"/>
                <w:szCs w:val="18"/>
              </w:rPr>
            </w:pPr>
            <w:r w:rsidRPr="00191E41">
              <w:rPr>
                <w:sz w:val="18"/>
                <w:szCs w:val="18"/>
              </w:rPr>
              <w:t>3.4</w:t>
            </w:r>
          </w:p>
        </w:tc>
      </w:tr>
      <w:tr w:rsidR="00191E41" w:rsidRPr="00191E41" w14:paraId="49902DDD" w14:textId="77777777" w:rsidTr="001E7D79">
        <w:trPr>
          <w:jc w:val="center"/>
        </w:trPr>
        <w:tc>
          <w:tcPr>
            <w:tcW w:w="4673" w:type="dxa"/>
            <w:tcBorders>
              <w:top w:val="nil"/>
              <w:left w:val="single" w:sz="4" w:space="0" w:color="auto"/>
              <w:bottom w:val="nil"/>
              <w:right w:val="single" w:sz="4" w:space="0" w:color="auto"/>
            </w:tcBorders>
            <w:shd w:val="clear" w:color="auto" w:fill="auto"/>
          </w:tcPr>
          <w:p w14:paraId="63B37D6C" w14:textId="77777777" w:rsidR="00191E41" w:rsidRPr="00191E41" w:rsidRDefault="00191E41" w:rsidP="00191E41">
            <w:pPr>
              <w:ind w:left="454"/>
              <w:rPr>
                <w:rFonts w:eastAsia="Times New Roman"/>
                <w:sz w:val="18"/>
                <w:szCs w:val="18"/>
              </w:rPr>
            </w:pPr>
            <w:r w:rsidRPr="00191E41">
              <w:rPr>
                <w:rFonts w:eastAsia="Times New Roman"/>
                <w:sz w:val="18"/>
                <w:szCs w:val="18"/>
              </w:rPr>
              <w:t>Gobierno Federal</w:t>
            </w:r>
          </w:p>
        </w:tc>
        <w:tc>
          <w:tcPr>
            <w:tcW w:w="1260" w:type="dxa"/>
            <w:tcBorders>
              <w:top w:val="nil"/>
              <w:left w:val="single" w:sz="4" w:space="0" w:color="auto"/>
              <w:bottom w:val="nil"/>
              <w:right w:val="single" w:sz="4" w:space="0" w:color="auto"/>
            </w:tcBorders>
            <w:shd w:val="clear" w:color="auto" w:fill="auto"/>
          </w:tcPr>
          <w:p w14:paraId="77DF93B7" w14:textId="77777777" w:rsidR="00191E41" w:rsidRPr="00191E41" w:rsidRDefault="00191E41" w:rsidP="00191E41">
            <w:pPr>
              <w:ind w:right="113"/>
              <w:jc w:val="right"/>
              <w:rPr>
                <w:sz w:val="18"/>
                <w:szCs w:val="18"/>
              </w:rPr>
            </w:pPr>
            <w:r w:rsidRPr="00191E41">
              <w:rPr>
                <w:sz w:val="18"/>
                <w:szCs w:val="18"/>
              </w:rPr>
              <w:t>68 530.6</w:t>
            </w:r>
          </w:p>
        </w:tc>
        <w:tc>
          <w:tcPr>
            <w:tcW w:w="1248" w:type="dxa"/>
            <w:tcBorders>
              <w:top w:val="nil"/>
              <w:left w:val="single" w:sz="4" w:space="0" w:color="auto"/>
              <w:bottom w:val="nil"/>
              <w:right w:val="single" w:sz="4" w:space="0" w:color="auto"/>
            </w:tcBorders>
            <w:shd w:val="clear" w:color="auto" w:fill="auto"/>
          </w:tcPr>
          <w:p w14:paraId="5732BA81" w14:textId="77777777" w:rsidR="00191E41" w:rsidRPr="00191E41" w:rsidRDefault="00191E41" w:rsidP="00191E41">
            <w:pPr>
              <w:ind w:right="113"/>
              <w:jc w:val="right"/>
              <w:rPr>
                <w:sz w:val="18"/>
                <w:szCs w:val="18"/>
              </w:rPr>
            </w:pPr>
            <w:r w:rsidRPr="00191E41">
              <w:rPr>
                <w:sz w:val="18"/>
                <w:szCs w:val="18"/>
              </w:rPr>
              <w:t>44 492.2</w:t>
            </w:r>
          </w:p>
        </w:tc>
        <w:tc>
          <w:tcPr>
            <w:tcW w:w="738" w:type="dxa"/>
            <w:tcBorders>
              <w:top w:val="nil"/>
              <w:left w:val="single" w:sz="4" w:space="0" w:color="auto"/>
              <w:bottom w:val="nil"/>
              <w:right w:val="single" w:sz="4" w:space="0" w:color="auto"/>
            </w:tcBorders>
            <w:shd w:val="clear" w:color="auto" w:fill="auto"/>
          </w:tcPr>
          <w:p w14:paraId="5029DDC6" w14:textId="77777777" w:rsidR="00191E41" w:rsidRPr="00191E41" w:rsidRDefault="00191E41" w:rsidP="00191E41">
            <w:pPr>
              <w:ind w:right="57"/>
              <w:jc w:val="right"/>
              <w:rPr>
                <w:sz w:val="18"/>
                <w:szCs w:val="18"/>
              </w:rPr>
            </w:pPr>
            <w:r w:rsidRPr="00191E41">
              <w:rPr>
                <w:sz w:val="18"/>
                <w:szCs w:val="18"/>
              </w:rPr>
              <w:t>-37.0</w:t>
            </w:r>
          </w:p>
        </w:tc>
        <w:tc>
          <w:tcPr>
            <w:tcW w:w="774" w:type="dxa"/>
            <w:tcBorders>
              <w:top w:val="nil"/>
              <w:left w:val="single" w:sz="4" w:space="0" w:color="auto"/>
              <w:bottom w:val="nil"/>
              <w:right w:val="single" w:sz="4" w:space="0" w:color="auto"/>
            </w:tcBorders>
            <w:shd w:val="clear" w:color="auto" w:fill="auto"/>
          </w:tcPr>
          <w:p w14:paraId="712DD8E2" w14:textId="77777777" w:rsidR="00191E41" w:rsidRPr="00191E41" w:rsidRDefault="00191E41" w:rsidP="00191E41">
            <w:pPr>
              <w:ind w:right="113"/>
              <w:jc w:val="right"/>
              <w:rPr>
                <w:sz w:val="18"/>
                <w:szCs w:val="18"/>
              </w:rPr>
            </w:pPr>
            <w:r w:rsidRPr="00191E41">
              <w:rPr>
                <w:sz w:val="18"/>
                <w:szCs w:val="18"/>
              </w:rPr>
              <w:t>18.7</w:t>
            </w:r>
          </w:p>
        </w:tc>
        <w:tc>
          <w:tcPr>
            <w:tcW w:w="749" w:type="dxa"/>
            <w:tcBorders>
              <w:top w:val="nil"/>
              <w:left w:val="single" w:sz="4" w:space="0" w:color="auto"/>
              <w:bottom w:val="nil"/>
              <w:right w:val="single" w:sz="4" w:space="0" w:color="auto"/>
            </w:tcBorders>
            <w:shd w:val="clear" w:color="auto" w:fill="auto"/>
          </w:tcPr>
          <w:p w14:paraId="06E63BC8" w14:textId="77777777" w:rsidR="00191E41" w:rsidRPr="00191E41" w:rsidRDefault="00191E41" w:rsidP="00191E41">
            <w:pPr>
              <w:ind w:right="113"/>
              <w:jc w:val="right"/>
              <w:rPr>
                <w:sz w:val="18"/>
                <w:szCs w:val="18"/>
              </w:rPr>
            </w:pPr>
            <w:r w:rsidRPr="00191E41">
              <w:rPr>
                <w:sz w:val="18"/>
                <w:szCs w:val="18"/>
              </w:rPr>
              <w:t>12.2</w:t>
            </w:r>
          </w:p>
        </w:tc>
      </w:tr>
      <w:tr w:rsidR="00191E41" w:rsidRPr="00191E41" w14:paraId="2B70C3F9" w14:textId="77777777" w:rsidTr="001E7D79">
        <w:trPr>
          <w:jc w:val="center"/>
        </w:trPr>
        <w:tc>
          <w:tcPr>
            <w:tcW w:w="4673" w:type="dxa"/>
            <w:tcBorders>
              <w:top w:val="nil"/>
              <w:left w:val="single" w:sz="4" w:space="0" w:color="auto"/>
              <w:bottom w:val="nil"/>
              <w:right w:val="single" w:sz="4" w:space="0" w:color="auto"/>
            </w:tcBorders>
            <w:shd w:val="clear" w:color="auto" w:fill="auto"/>
          </w:tcPr>
          <w:p w14:paraId="3B3C58B1" w14:textId="77777777" w:rsidR="00191E41" w:rsidRPr="00191E41" w:rsidRDefault="00191E41" w:rsidP="00191E41">
            <w:pPr>
              <w:ind w:left="340"/>
              <w:rPr>
                <w:rFonts w:eastAsia="Times New Roman"/>
                <w:sz w:val="18"/>
                <w:szCs w:val="18"/>
              </w:rPr>
            </w:pPr>
            <w:r w:rsidRPr="00191E41">
              <w:rPr>
                <w:rFonts w:eastAsia="Times New Roman"/>
                <w:sz w:val="18"/>
                <w:szCs w:val="18"/>
              </w:rPr>
              <w:t xml:space="preserve">No petrolero </w:t>
            </w:r>
          </w:p>
        </w:tc>
        <w:tc>
          <w:tcPr>
            <w:tcW w:w="1260" w:type="dxa"/>
            <w:tcBorders>
              <w:top w:val="nil"/>
              <w:left w:val="single" w:sz="4" w:space="0" w:color="auto"/>
              <w:bottom w:val="nil"/>
              <w:right w:val="single" w:sz="4" w:space="0" w:color="auto"/>
            </w:tcBorders>
            <w:shd w:val="clear" w:color="auto" w:fill="auto"/>
          </w:tcPr>
          <w:p w14:paraId="15235D3D" w14:textId="77777777" w:rsidR="00191E41" w:rsidRPr="00191E41" w:rsidRDefault="00191E41" w:rsidP="00191E41">
            <w:pPr>
              <w:ind w:right="113"/>
              <w:jc w:val="right"/>
              <w:rPr>
                <w:sz w:val="18"/>
                <w:szCs w:val="18"/>
              </w:rPr>
            </w:pPr>
            <w:r w:rsidRPr="00191E41">
              <w:rPr>
                <w:sz w:val="18"/>
                <w:szCs w:val="18"/>
              </w:rPr>
              <w:t>268 925.7</w:t>
            </w:r>
          </w:p>
        </w:tc>
        <w:tc>
          <w:tcPr>
            <w:tcW w:w="1248" w:type="dxa"/>
            <w:tcBorders>
              <w:top w:val="nil"/>
              <w:left w:val="single" w:sz="4" w:space="0" w:color="auto"/>
              <w:bottom w:val="nil"/>
              <w:right w:val="single" w:sz="4" w:space="0" w:color="auto"/>
            </w:tcBorders>
            <w:shd w:val="clear" w:color="auto" w:fill="auto"/>
          </w:tcPr>
          <w:p w14:paraId="08BCA5F6" w14:textId="77777777" w:rsidR="00191E41" w:rsidRPr="00191E41" w:rsidRDefault="00191E41" w:rsidP="00191E41">
            <w:pPr>
              <w:ind w:right="113"/>
              <w:jc w:val="right"/>
              <w:rPr>
                <w:sz w:val="18"/>
                <w:szCs w:val="18"/>
              </w:rPr>
            </w:pPr>
            <w:r w:rsidRPr="00191E41">
              <w:rPr>
                <w:sz w:val="18"/>
                <w:szCs w:val="18"/>
              </w:rPr>
              <w:t>308 054.6</w:t>
            </w:r>
          </w:p>
        </w:tc>
        <w:tc>
          <w:tcPr>
            <w:tcW w:w="738" w:type="dxa"/>
            <w:tcBorders>
              <w:top w:val="nil"/>
              <w:left w:val="single" w:sz="4" w:space="0" w:color="auto"/>
              <w:bottom w:val="nil"/>
              <w:right w:val="single" w:sz="4" w:space="0" w:color="auto"/>
            </w:tcBorders>
            <w:shd w:val="clear" w:color="auto" w:fill="auto"/>
          </w:tcPr>
          <w:p w14:paraId="483775B4" w14:textId="77777777" w:rsidR="00191E41" w:rsidRPr="00191E41" w:rsidRDefault="00191E41" w:rsidP="00191E41">
            <w:pPr>
              <w:ind w:right="57"/>
              <w:jc w:val="right"/>
              <w:rPr>
                <w:sz w:val="18"/>
                <w:szCs w:val="18"/>
              </w:rPr>
            </w:pPr>
            <w:r w:rsidRPr="00191E41">
              <w:rPr>
                <w:sz w:val="18"/>
                <w:szCs w:val="18"/>
              </w:rPr>
              <w:t>11.1</w:t>
            </w:r>
          </w:p>
        </w:tc>
        <w:tc>
          <w:tcPr>
            <w:tcW w:w="774" w:type="dxa"/>
            <w:tcBorders>
              <w:top w:val="nil"/>
              <w:left w:val="single" w:sz="4" w:space="0" w:color="auto"/>
              <w:bottom w:val="nil"/>
              <w:right w:val="single" w:sz="4" w:space="0" w:color="auto"/>
            </w:tcBorders>
            <w:shd w:val="clear" w:color="auto" w:fill="auto"/>
          </w:tcPr>
          <w:p w14:paraId="12AB6218" w14:textId="77777777" w:rsidR="00191E41" w:rsidRPr="00191E41" w:rsidRDefault="00191E41" w:rsidP="00191E41">
            <w:pPr>
              <w:ind w:right="113"/>
              <w:jc w:val="right"/>
              <w:rPr>
                <w:sz w:val="18"/>
                <w:szCs w:val="18"/>
              </w:rPr>
            </w:pPr>
            <w:r w:rsidRPr="00191E41">
              <w:rPr>
                <w:sz w:val="18"/>
                <w:szCs w:val="18"/>
              </w:rPr>
              <w:t>73.3</w:t>
            </w:r>
          </w:p>
        </w:tc>
        <w:tc>
          <w:tcPr>
            <w:tcW w:w="749" w:type="dxa"/>
            <w:tcBorders>
              <w:top w:val="nil"/>
              <w:left w:val="single" w:sz="4" w:space="0" w:color="auto"/>
              <w:bottom w:val="nil"/>
              <w:right w:val="single" w:sz="4" w:space="0" w:color="auto"/>
            </w:tcBorders>
            <w:shd w:val="clear" w:color="auto" w:fill="auto"/>
          </w:tcPr>
          <w:p w14:paraId="53DEF52E" w14:textId="77777777" w:rsidR="00191E41" w:rsidRPr="00191E41" w:rsidRDefault="00191E41" w:rsidP="00191E41">
            <w:pPr>
              <w:ind w:right="113"/>
              <w:jc w:val="right"/>
              <w:rPr>
                <w:sz w:val="18"/>
                <w:szCs w:val="18"/>
              </w:rPr>
            </w:pPr>
            <w:r w:rsidRPr="00191E41">
              <w:rPr>
                <w:sz w:val="18"/>
                <w:szCs w:val="18"/>
              </w:rPr>
              <w:t>84.4</w:t>
            </w:r>
          </w:p>
        </w:tc>
      </w:tr>
      <w:tr w:rsidR="00191E41" w:rsidRPr="00191E41" w14:paraId="5D6C214E" w14:textId="77777777" w:rsidTr="001E7D79">
        <w:trPr>
          <w:jc w:val="center"/>
        </w:trPr>
        <w:tc>
          <w:tcPr>
            <w:tcW w:w="4673" w:type="dxa"/>
            <w:tcBorders>
              <w:top w:val="nil"/>
              <w:left w:val="single" w:sz="4" w:space="0" w:color="auto"/>
              <w:bottom w:val="nil"/>
              <w:right w:val="single" w:sz="4" w:space="0" w:color="auto"/>
            </w:tcBorders>
            <w:shd w:val="clear" w:color="auto" w:fill="auto"/>
          </w:tcPr>
          <w:p w14:paraId="201AEE44" w14:textId="77777777" w:rsidR="00191E41" w:rsidRPr="00191E41" w:rsidRDefault="00191E41" w:rsidP="00191E41">
            <w:pPr>
              <w:ind w:left="454"/>
              <w:rPr>
                <w:rFonts w:eastAsia="Times New Roman"/>
                <w:sz w:val="18"/>
                <w:szCs w:val="18"/>
              </w:rPr>
            </w:pPr>
            <w:r w:rsidRPr="00191E41">
              <w:rPr>
                <w:rFonts w:eastAsia="Times New Roman"/>
                <w:sz w:val="18"/>
                <w:szCs w:val="18"/>
              </w:rPr>
              <w:t xml:space="preserve">Gobierno Federal </w:t>
            </w:r>
          </w:p>
        </w:tc>
        <w:tc>
          <w:tcPr>
            <w:tcW w:w="1260" w:type="dxa"/>
            <w:tcBorders>
              <w:top w:val="nil"/>
              <w:left w:val="single" w:sz="4" w:space="0" w:color="auto"/>
              <w:bottom w:val="nil"/>
              <w:right w:val="single" w:sz="4" w:space="0" w:color="auto"/>
            </w:tcBorders>
            <w:shd w:val="clear" w:color="auto" w:fill="auto"/>
          </w:tcPr>
          <w:p w14:paraId="44337321" w14:textId="77777777" w:rsidR="00191E41" w:rsidRPr="00191E41" w:rsidRDefault="00191E41" w:rsidP="00191E41">
            <w:pPr>
              <w:ind w:right="113"/>
              <w:jc w:val="right"/>
              <w:rPr>
                <w:sz w:val="18"/>
                <w:szCs w:val="18"/>
              </w:rPr>
            </w:pPr>
            <w:r w:rsidRPr="00191E41">
              <w:rPr>
                <w:sz w:val="18"/>
                <w:szCs w:val="18"/>
              </w:rPr>
              <w:t>220 062.9</w:t>
            </w:r>
          </w:p>
        </w:tc>
        <w:tc>
          <w:tcPr>
            <w:tcW w:w="1248" w:type="dxa"/>
            <w:tcBorders>
              <w:top w:val="nil"/>
              <w:left w:val="single" w:sz="4" w:space="0" w:color="auto"/>
              <w:bottom w:val="nil"/>
              <w:right w:val="single" w:sz="4" w:space="0" w:color="auto"/>
            </w:tcBorders>
            <w:shd w:val="clear" w:color="auto" w:fill="auto"/>
          </w:tcPr>
          <w:p w14:paraId="04D49D52" w14:textId="77777777" w:rsidR="00191E41" w:rsidRPr="00191E41" w:rsidRDefault="00191E41" w:rsidP="00191E41">
            <w:pPr>
              <w:ind w:right="113"/>
              <w:jc w:val="right"/>
              <w:rPr>
                <w:sz w:val="18"/>
                <w:szCs w:val="18"/>
              </w:rPr>
            </w:pPr>
            <w:r w:rsidRPr="00191E41">
              <w:rPr>
                <w:sz w:val="18"/>
                <w:szCs w:val="18"/>
              </w:rPr>
              <w:t>257 090.6</w:t>
            </w:r>
          </w:p>
        </w:tc>
        <w:tc>
          <w:tcPr>
            <w:tcW w:w="738" w:type="dxa"/>
            <w:tcBorders>
              <w:top w:val="nil"/>
              <w:left w:val="single" w:sz="4" w:space="0" w:color="auto"/>
              <w:bottom w:val="nil"/>
              <w:right w:val="single" w:sz="4" w:space="0" w:color="auto"/>
            </w:tcBorders>
            <w:shd w:val="clear" w:color="auto" w:fill="auto"/>
          </w:tcPr>
          <w:p w14:paraId="6BA40E94" w14:textId="77777777" w:rsidR="00191E41" w:rsidRPr="00191E41" w:rsidRDefault="00191E41" w:rsidP="00191E41">
            <w:pPr>
              <w:ind w:right="57"/>
              <w:jc w:val="right"/>
              <w:rPr>
                <w:sz w:val="18"/>
                <w:szCs w:val="18"/>
              </w:rPr>
            </w:pPr>
            <w:r w:rsidRPr="00191E41">
              <w:rPr>
                <w:sz w:val="18"/>
                <w:szCs w:val="18"/>
              </w:rPr>
              <w:t>13.4</w:t>
            </w:r>
          </w:p>
        </w:tc>
        <w:tc>
          <w:tcPr>
            <w:tcW w:w="774" w:type="dxa"/>
            <w:tcBorders>
              <w:top w:val="nil"/>
              <w:left w:val="single" w:sz="4" w:space="0" w:color="auto"/>
              <w:bottom w:val="nil"/>
              <w:right w:val="single" w:sz="4" w:space="0" w:color="auto"/>
            </w:tcBorders>
            <w:shd w:val="clear" w:color="auto" w:fill="auto"/>
          </w:tcPr>
          <w:p w14:paraId="0FD04206" w14:textId="77777777" w:rsidR="00191E41" w:rsidRPr="00191E41" w:rsidRDefault="00191E41" w:rsidP="00191E41">
            <w:pPr>
              <w:ind w:right="113"/>
              <w:jc w:val="right"/>
              <w:rPr>
                <w:sz w:val="18"/>
                <w:szCs w:val="18"/>
              </w:rPr>
            </w:pPr>
            <w:r w:rsidRPr="00191E41">
              <w:rPr>
                <w:sz w:val="18"/>
                <w:szCs w:val="18"/>
              </w:rPr>
              <w:t>60.0</w:t>
            </w:r>
          </w:p>
        </w:tc>
        <w:tc>
          <w:tcPr>
            <w:tcW w:w="749" w:type="dxa"/>
            <w:tcBorders>
              <w:top w:val="nil"/>
              <w:left w:val="single" w:sz="4" w:space="0" w:color="auto"/>
              <w:bottom w:val="nil"/>
              <w:right w:val="single" w:sz="4" w:space="0" w:color="auto"/>
            </w:tcBorders>
            <w:shd w:val="clear" w:color="auto" w:fill="auto"/>
          </w:tcPr>
          <w:p w14:paraId="43819634" w14:textId="77777777" w:rsidR="00191E41" w:rsidRPr="00191E41" w:rsidRDefault="00191E41" w:rsidP="00191E41">
            <w:pPr>
              <w:ind w:right="113"/>
              <w:jc w:val="right"/>
              <w:rPr>
                <w:sz w:val="18"/>
                <w:szCs w:val="18"/>
              </w:rPr>
            </w:pPr>
            <w:r w:rsidRPr="00191E41">
              <w:rPr>
                <w:sz w:val="18"/>
                <w:szCs w:val="18"/>
              </w:rPr>
              <w:t>70.4</w:t>
            </w:r>
          </w:p>
        </w:tc>
      </w:tr>
      <w:tr w:rsidR="00191E41" w:rsidRPr="00191E41" w14:paraId="20DCE65C" w14:textId="77777777" w:rsidTr="001E7D79">
        <w:trPr>
          <w:jc w:val="center"/>
        </w:trPr>
        <w:tc>
          <w:tcPr>
            <w:tcW w:w="4673" w:type="dxa"/>
            <w:tcBorders>
              <w:top w:val="nil"/>
              <w:left w:val="single" w:sz="4" w:space="0" w:color="auto"/>
              <w:bottom w:val="nil"/>
              <w:right w:val="single" w:sz="4" w:space="0" w:color="auto"/>
            </w:tcBorders>
            <w:shd w:val="clear" w:color="auto" w:fill="auto"/>
          </w:tcPr>
          <w:p w14:paraId="18469411" w14:textId="77777777" w:rsidR="00191E41" w:rsidRPr="00191E41" w:rsidRDefault="00191E41" w:rsidP="00191E41">
            <w:pPr>
              <w:ind w:left="454"/>
              <w:rPr>
                <w:rFonts w:eastAsia="Times New Roman"/>
                <w:sz w:val="18"/>
                <w:szCs w:val="18"/>
              </w:rPr>
            </w:pPr>
            <w:r w:rsidRPr="00191E41">
              <w:rPr>
                <w:rFonts w:eastAsia="Times New Roman"/>
                <w:sz w:val="18"/>
                <w:szCs w:val="18"/>
              </w:rPr>
              <w:t xml:space="preserve">  Tributarios </w:t>
            </w:r>
          </w:p>
        </w:tc>
        <w:tc>
          <w:tcPr>
            <w:tcW w:w="1260" w:type="dxa"/>
            <w:tcBorders>
              <w:top w:val="nil"/>
              <w:left w:val="single" w:sz="4" w:space="0" w:color="auto"/>
              <w:bottom w:val="nil"/>
              <w:right w:val="single" w:sz="4" w:space="0" w:color="auto"/>
            </w:tcBorders>
            <w:shd w:val="clear" w:color="auto" w:fill="auto"/>
          </w:tcPr>
          <w:p w14:paraId="66AB04C6" w14:textId="77777777" w:rsidR="00191E41" w:rsidRPr="00191E41" w:rsidRDefault="00191E41" w:rsidP="00191E41">
            <w:pPr>
              <w:ind w:right="113"/>
              <w:jc w:val="right"/>
              <w:rPr>
                <w:sz w:val="18"/>
                <w:szCs w:val="18"/>
              </w:rPr>
            </w:pPr>
            <w:r w:rsidRPr="00191E41">
              <w:rPr>
                <w:sz w:val="18"/>
                <w:szCs w:val="18"/>
              </w:rPr>
              <w:t>207 946.6</w:t>
            </w:r>
          </w:p>
        </w:tc>
        <w:tc>
          <w:tcPr>
            <w:tcW w:w="1248" w:type="dxa"/>
            <w:tcBorders>
              <w:top w:val="nil"/>
              <w:left w:val="single" w:sz="4" w:space="0" w:color="auto"/>
              <w:bottom w:val="nil"/>
              <w:right w:val="single" w:sz="4" w:space="0" w:color="auto"/>
            </w:tcBorders>
            <w:shd w:val="clear" w:color="auto" w:fill="auto"/>
          </w:tcPr>
          <w:p w14:paraId="49E30D66" w14:textId="77777777" w:rsidR="00191E41" w:rsidRPr="00191E41" w:rsidRDefault="00191E41" w:rsidP="00191E41">
            <w:pPr>
              <w:ind w:right="113"/>
              <w:jc w:val="right"/>
              <w:rPr>
                <w:sz w:val="18"/>
                <w:szCs w:val="18"/>
              </w:rPr>
            </w:pPr>
            <w:r w:rsidRPr="00191E41">
              <w:rPr>
                <w:sz w:val="18"/>
                <w:szCs w:val="18"/>
              </w:rPr>
              <w:t>241 612.2</w:t>
            </w:r>
          </w:p>
        </w:tc>
        <w:tc>
          <w:tcPr>
            <w:tcW w:w="738" w:type="dxa"/>
            <w:tcBorders>
              <w:top w:val="nil"/>
              <w:left w:val="single" w:sz="4" w:space="0" w:color="auto"/>
              <w:bottom w:val="nil"/>
              <w:right w:val="single" w:sz="4" w:space="0" w:color="auto"/>
            </w:tcBorders>
            <w:shd w:val="clear" w:color="auto" w:fill="auto"/>
          </w:tcPr>
          <w:p w14:paraId="2685EA5B" w14:textId="77777777" w:rsidR="00191E41" w:rsidRPr="00191E41" w:rsidRDefault="00191E41" w:rsidP="00191E41">
            <w:pPr>
              <w:ind w:right="57"/>
              <w:jc w:val="right"/>
              <w:rPr>
                <w:sz w:val="18"/>
                <w:szCs w:val="18"/>
              </w:rPr>
            </w:pPr>
            <w:r w:rsidRPr="00191E41">
              <w:rPr>
                <w:sz w:val="18"/>
                <w:szCs w:val="18"/>
              </w:rPr>
              <w:t>12.7</w:t>
            </w:r>
          </w:p>
        </w:tc>
        <w:tc>
          <w:tcPr>
            <w:tcW w:w="774" w:type="dxa"/>
            <w:tcBorders>
              <w:top w:val="nil"/>
              <w:left w:val="single" w:sz="4" w:space="0" w:color="auto"/>
              <w:bottom w:val="nil"/>
              <w:right w:val="single" w:sz="4" w:space="0" w:color="auto"/>
            </w:tcBorders>
            <w:shd w:val="clear" w:color="auto" w:fill="auto"/>
          </w:tcPr>
          <w:p w14:paraId="7A7C78E6" w14:textId="77777777" w:rsidR="00191E41" w:rsidRPr="00191E41" w:rsidRDefault="00191E41" w:rsidP="00191E41">
            <w:pPr>
              <w:ind w:right="113"/>
              <w:jc w:val="right"/>
              <w:rPr>
                <w:sz w:val="18"/>
                <w:szCs w:val="18"/>
              </w:rPr>
            </w:pPr>
            <w:r w:rsidRPr="00191E41">
              <w:rPr>
                <w:sz w:val="18"/>
                <w:szCs w:val="18"/>
              </w:rPr>
              <w:t>56.7</w:t>
            </w:r>
          </w:p>
        </w:tc>
        <w:tc>
          <w:tcPr>
            <w:tcW w:w="749" w:type="dxa"/>
            <w:tcBorders>
              <w:top w:val="nil"/>
              <w:left w:val="single" w:sz="4" w:space="0" w:color="auto"/>
              <w:bottom w:val="nil"/>
              <w:right w:val="single" w:sz="4" w:space="0" w:color="auto"/>
            </w:tcBorders>
            <w:shd w:val="clear" w:color="auto" w:fill="auto"/>
          </w:tcPr>
          <w:p w14:paraId="14371993" w14:textId="77777777" w:rsidR="00191E41" w:rsidRPr="00191E41" w:rsidRDefault="00191E41" w:rsidP="00191E41">
            <w:pPr>
              <w:ind w:right="113"/>
              <w:jc w:val="right"/>
              <w:rPr>
                <w:sz w:val="18"/>
                <w:szCs w:val="18"/>
              </w:rPr>
            </w:pPr>
            <w:r w:rsidRPr="00191E41">
              <w:rPr>
                <w:sz w:val="18"/>
                <w:szCs w:val="18"/>
              </w:rPr>
              <w:t>66.2</w:t>
            </w:r>
          </w:p>
        </w:tc>
      </w:tr>
      <w:tr w:rsidR="00191E41" w:rsidRPr="00191E41" w14:paraId="20124ECC" w14:textId="77777777" w:rsidTr="001E7D79">
        <w:trPr>
          <w:jc w:val="center"/>
        </w:trPr>
        <w:tc>
          <w:tcPr>
            <w:tcW w:w="4673" w:type="dxa"/>
            <w:tcBorders>
              <w:top w:val="nil"/>
              <w:left w:val="single" w:sz="4" w:space="0" w:color="auto"/>
              <w:bottom w:val="nil"/>
              <w:right w:val="single" w:sz="4" w:space="0" w:color="auto"/>
            </w:tcBorders>
            <w:shd w:val="clear" w:color="auto" w:fill="auto"/>
          </w:tcPr>
          <w:p w14:paraId="557E159D" w14:textId="77777777" w:rsidR="00191E41" w:rsidRPr="00191E41" w:rsidRDefault="00191E41" w:rsidP="00191E41">
            <w:pPr>
              <w:ind w:left="454"/>
              <w:rPr>
                <w:rFonts w:eastAsia="Times New Roman"/>
                <w:sz w:val="18"/>
                <w:szCs w:val="18"/>
              </w:rPr>
            </w:pPr>
            <w:r w:rsidRPr="00191E41">
              <w:rPr>
                <w:rFonts w:eastAsia="Times New Roman"/>
                <w:sz w:val="18"/>
                <w:szCs w:val="18"/>
              </w:rPr>
              <w:t xml:space="preserve">  No tributarios </w:t>
            </w:r>
          </w:p>
        </w:tc>
        <w:tc>
          <w:tcPr>
            <w:tcW w:w="1260" w:type="dxa"/>
            <w:tcBorders>
              <w:top w:val="nil"/>
              <w:left w:val="single" w:sz="4" w:space="0" w:color="auto"/>
              <w:bottom w:val="nil"/>
              <w:right w:val="single" w:sz="4" w:space="0" w:color="auto"/>
            </w:tcBorders>
            <w:shd w:val="clear" w:color="auto" w:fill="auto"/>
          </w:tcPr>
          <w:p w14:paraId="610FF8BB" w14:textId="77777777" w:rsidR="00191E41" w:rsidRPr="00191E41" w:rsidRDefault="00191E41" w:rsidP="00191E41">
            <w:pPr>
              <w:ind w:right="113"/>
              <w:jc w:val="right"/>
              <w:rPr>
                <w:sz w:val="18"/>
                <w:szCs w:val="18"/>
              </w:rPr>
            </w:pPr>
            <w:r w:rsidRPr="00191E41">
              <w:rPr>
                <w:sz w:val="18"/>
                <w:szCs w:val="18"/>
              </w:rPr>
              <w:t>12 116.3</w:t>
            </w:r>
          </w:p>
        </w:tc>
        <w:tc>
          <w:tcPr>
            <w:tcW w:w="1248" w:type="dxa"/>
            <w:tcBorders>
              <w:top w:val="nil"/>
              <w:left w:val="single" w:sz="4" w:space="0" w:color="auto"/>
              <w:bottom w:val="nil"/>
              <w:right w:val="single" w:sz="4" w:space="0" w:color="auto"/>
            </w:tcBorders>
            <w:shd w:val="clear" w:color="auto" w:fill="auto"/>
          </w:tcPr>
          <w:p w14:paraId="3CC60FD3" w14:textId="77777777" w:rsidR="00191E41" w:rsidRPr="00191E41" w:rsidRDefault="00191E41" w:rsidP="00191E41">
            <w:pPr>
              <w:ind w:right="113"/>
              <w:jc w:val="right"/>
              <w:rPr>
                <w:sz w:val="18"/>
                <w:szCs w:val="18"/>
              </w:rPr>
            </w:pPr>
            <w:r w:rsidRPr="00191E41">
              <w:rPr>
                <w:sz w:val="18"/>
                <w:szCs w:val="18"/>
              </w:rPr>
              <w:t>15 478.4</w:t>
            </w:r>
          </w:p>
        </w:tc>
        <w:tc>
          <w:tcPr>
            <w:tcW w:w="738" w:type="dxa"/>
            <w:tcBorders>
              <w:top w:val="nil"/>
              <w:left w:val="single" w:sz="4" w:space="0" w:color="auto"/>
              <w:bottom w:val="nil"/>
              <w:right w:val="single" w:sz="4" w:space="0" w:color="auto"/>
            </w:tcBorders>
            <w:shd w:val="clear" w:color="auto" w:fill="auto"/>
          </w:tcPr>
          <w:p w14:paraId="1559EF17" w14:textId="77777777" w:rsidR="00191E41" w:rsidRPr="00191E41" w:rsidRDefault="00191E41" w:rsidP="00191E41">
            <w:pPr>
              <w:ind w:right="57"/>
              <w:jc w:val="right"/>
              <w:rPr>
                <w:sz w:val="18"/>
                <w:szCs w:val="18"/>
              </w:rPr>
            </w:pPr>
            <w:r w:rsidRPr="00191E41">
              <w:rPr>
                <w:sz w:val="18"/>
                <w:szCs w:val="18"/>
              </w:rPr>
              <w:t>23.9</w:t>
            </w:r>
          </w:p>
        </w:tc>
        <w:tc>
          <w:tcPr>
            <w:tcW w:w="774" w:type="dxa"/>
            <w:tcBorders>
              <w:top w:val="nil"/>
              <w:left w:val="single" w:sz="4" w:space="0" w:color="auto"/>
              <w:bottom w:val="nil"/>
              <w:right w:val="single" w:sz="4" w:space="0" w:color="auto"/>
            </w:tcBorders>
            <w:shd w:val="clear" w:color="auto" w:fill="auto"/>
          </w:tcPr>
          <w:p w14:paraId="36360C3D" w14:textId="77777777" w:rsidR="00191E41" w:rsidRPr="00191E41" w:rsidRDefault="00191E41" w:rsidP="00191E41">
            <w:pPr>
              <w:ind w:right="113"/>
              <w:jc w:val="right"/>
              <w:rPr>
                <w:sz w:val="18"/>
                <w:szCs w:val="18"/>
              </w:rPr>
            </w:pPr>
            <w:r w:rsidRPr="00191E41">
              <w:rPr>
                <w:sz w:val="18"/>
                <w:szCs w:val="18"/>
              </w:rPr>
              <w:t>3.3</w:t>
            </w:r>
          </w:p>
        </w:tc>
        <w:tc>
          <w:tcPr>
            <w:tcW w:w="749" w:type="dxa"/>
            <w:tcBorders>
              <w:top w:val="nil"/>
              <w:left w:val="single" w:sz="4" w:space="0" w:color="auto"/>
              <w:bottom w:val="nil"/>
              <w:right w:val="single" w:sz="4" w:space="0" w:color="auto"/>
            </w:tcBorders>
            <w:shd w:val="clear" w:color="auto" w:fill="auto"/>
          </w:tcPr>
          <w:p w14:paraId="5280538E" w14:textId="77777777" w:rsidR="00191E41" w:rsidRPr="00191E41" w:rsidRDefault="00191E41" w:rsidP="00191E41">
            <w:pPr>
              <w:ind w:right="113"/>
              <w:jc w:val="right"/>
              <w:rPr>
                <w:sz w:val="18"/>
                <w:szCs w:val="18"/>
              </w:rPr>
            </w:pPr>
            <w:r w:rsidRPr="00191E41">
              <w:rPr>
                <w:sz w:val="18"/>
                <w:szCs w:val="18"/>
              </w:rPr>
              <w:t>4.2</w:t>
            </w:r>
          </w:p>
        </w:tc>
      </w:tr>
      <w:tr w:rsidR="00191E41" w:rsidRPr="00191E41" w14:paraId="44BFDA8D" w14:textId="77777777" w:rsidTr="001E7D79">
        <w:trPr>
          <w:jc w:val="center"/>
        </w:trPr>
        <w:tc>
          <w:tcPr>
            <w:tcW w:w="4673" w:type="dxa"/>
            <w:tcBorders>
              <w:top w:val="nil"/>
              <w:left w:val="single" w:sz="4" w:space="0" w:color="auto"/>
              <w:bottom w:val="nil"/>
              <w:right w:val="single" w:sz="4" w:space="0" w:color="auto"/>
            </w:tcBorders>
            <w:shd w:val="clear" w:color="auto" w:fill="auto"/>
          </w:tcPr>
          <w:p w14:paraId="7965A446" w14:textId="77777777" w:rsidR="00191E41" w:rsidRPr="00191E41" w:rsidRDefault="00191E41" w:rsidP="00191E41">
            <w:pPr>
              <w:ind w:left="454"/>
              <w:rPr>
                <w:rFonts w:eastAsia="Times New Roman"/>
                <w:sz w:val="18"/>
                <w:szCs w:val="18"/>
              </w:rPr>
            </w:pPr>
            <w:r w:rsidRPr="00191E41">
              <w:rPr>
                <w:rFonts w:eastAsia="Times New Roman"/>
                <w:sz w:val="18"/>
                <w:szCs w:val="18"/>
              </w:rPr>
              <w:t xml:space="preserve">Organismos y empresas </w:t>
            </w:r>
          </w:p>
        </w:tc>
        <w:tc>
          <w:tcPr>
            <w:tcW w:w="1260" w:type="dxa"/>
            <w:tcBorders>
              <w:top w:val="nil"/>
              <w:left w:val="single" w:sz="4" w:space="0" w:color="auto"/>
              <w:bottom w:val="nil"/>
              <w:right w:val="single" w:sz="4" w:space="0" w:color="auto"/>
            </w:tcBorders>
            <w:shd w:val="clear" w:color="auto" w:fill="auto"/>
          </w:tcPr>
          <w:p w14:paraId="4B5C0C29" w14:textId="77777777" w:rsidR="00191E41" w:rsidRPr="00191E41" w:rsidRDefault="00191E41" w:rsidP="00191E41">
            <w:pPr>
              <w:ind w:right="113"/>
              <w:jc w:val="right"/>
              <w:rPr>
                <w:sz w:val="18"/>
                <w:szCs w:val="18"/>
              </w:rPr>
            </w:pPr>
            <w:r w:rsidRPr="00191E41">
              <w:rPr>
                <w:sz w:val="18"/>
                <w:szCs w:val="18"/>
              </w:rPr>
              <w:t>48 862.8</w:t>
            </w:r>
          </w:p>
        </w:tc>
        <w:tc>
          <w:tcPr>
            <w:tcW w:w="1248" w:type="dxa"/>
            <w:tcBorders>
              <w:top w:val="nil"/>
              <w:left w:val="single" w:sz="4" w:space="0" w:color="auto"/>
              <w:bottom w:val="nil"/>
              <w:right w:val="single" w:sz="4" w:space="0" w:color="auto"/>
            </w:tcBorders>
            <w:shd w:val="clear" w:color="auto" w:fill="auto"/>
          </w:tcPr>
          <w:p w14:paraId="254B6F1E" w14:textId="77777777" w:rsidR="00191E41" w:rsidRPr="00191E41" w:rsidRDefault="00191E41" w:rsidP="00191E41">
            <w:pPr>
              <w:ind w:right="113"/>
              <w:jc w:val="right"/>
              <w:rPr>
                <w:sz w:val="18"/>
                <w:szCs w:val="18"/>
              </w:rPr>
            </w:pPr>
            <w:r w:rsidRPr="00191E41">
              <w:rPr>
                <w:sz w:val="18"/>
                <w:szCs w:val="18"/>
              </w:rPr>
              <w:t>50 963.9</w:t>
            </w:r>
          </w:p>
        </w:tc>
        <w:tc>
          <w:tcPr>
            <w:tcW w:w="738" w:type="dxa"/>
            <w:tcBorders>
              <w:top w:val="nil"/>
              <w:left w:val="single" w:sz="4" w:space="0" w:color="auto"/>
              <w:bottom w:val="nil"/>
              <w:right w:val="single" w:sz="4" w:space="0" w:color="auto"/>
            </w:tcBorders>
            <w:shd w:val="clear" w:color="auto" w:fill="auto"/>
          </w:tcPr>
          <w:p w14:paraId="59F28CCA" w14:textId="77777777" w:rsidR="00191E41" w:rsidRPr="00191E41" w:rsidRDefault="00191E41" w:rsidP="00191E41">
            <w:pPr>
              <w:ind w:right="57"/>
              <w:jc w:val="right"/>
              <w:rPr>
                <w:sz w:val="18"/>
                <w:szCs w:val="18"/>
              </w:rPr>
            </w:pPr>
            <w:r w:rsidRPr="00191E41">
              <w:rPr>
                <w:sz w:val="18"/>
                <w:szCs w:val="18"/>
              </w:rPr>
              <w:t>1.2</w:t>
            </w:r>
          </w:p>
        </w:tc>
        <w:tc>
          <w:tcPr>
            <w:tcW w:w="774" w:type="dxa"/>
            <w:tcBorders>
              <w:top w:val="nil"/>
              <w:left w:val="single" w:sz="4" w:space="0" w:color="auto"/>
              <w:bottom w:val="nil"/>
              <w:right w:val="single" w:sz="4" w:space="0" w:color="auto"/>
            </w:tcBorders>
            <w:shd w:val="clear" w:color="auto" w:fill="auto"/>
          </w:tcPr>
          <w:p w14:paraId="491018BE" w14:textId="77777777" w:rsidR="00191E41" w:rsidRPr="00191E41" w:rsidRDefault="00191E41" w:rsidP="00191E41">
            <w:pPr>
              <w:ind w:right="113"/>
              <w:jc w:val="right"/>
              <w:rPr>
                <w:sz w:val="18"/>
                <w:szCs w:val="18"/>
              </w:rPr>
            </w:pPr>
            <w:r w:rsidRPr="00191E41">
              <w:rPr>
                <w:sz w:val="18"/>
                <w:szCs w:val="18"/>
              </w:rPr>
              <w:t>13.3</w:t>
            </w:r>
          </w:p>
        </w:tc>
        <w:tc>
          <w:tcPr>
            <w:tcW w:w="749" w:type="dxa"/>
            <w:tcBorders>
              <w:top w:val="nil"/>
              <w:left w:val="single" w:sz="4" w:space="0" w:color="auto"/>
              <w:bottom w:val="nil"/>
              <w:right w:val="single" w:sz="4" w:space="0" w:color="auto"/>
            </w:tcBorders>
            <w:shd w:val="clear" w:color="auto" w:fill="auto"/>
          </w:tcPr>
          <w:p w14:paraId="0992186E" w14:textId="77777777" w:rsidR="00191E41" w:rsidRPr="00191E41" w:rsidRDefault="00191E41" w:rsidP="00191E41">
            <w:pPr>
              <w:ind w:right="113"/>
              <w:jc w:val="right"/>
              <w:rPr>
                <w:sz w:val="18"/>
                <w:szCs w:val="18"/>
              </w:rPr>
            </w:pPr>
            <w:r w:rsidRPr="00191E41">
              <w:rPr>
                <w:sz w:val="18"/>
                <w:szCs w:val="18"/>
              </w:rPr>
              <w:t>14.0</w:t>
            </w:r>
          </w:p>
        </w:tc>
      </w:tr>
      <w:tr w:rsidR="00191E41" w:rsidRPr="00191E41" w14:paraId="6F918AD1" w14:textId="77777777" w:rsidTr="001E7D79">
        <w:trPr>
          <w:jc w:val="center"/>
        </w:trPr>
        <w:tc>
          <w:tcPr>
            <w:tcW w:w="4673" w:type="dxa"/>
            <w:tcBorders>
              <w:top w:val="nil"/>
              <w:left w:val="single" w:sz="4" w:space="0" w:color="auto"/>
              <w:bottom w:val="nil"/>
              <w:right w:val="single" w:sz="4" w:space="0" w:color="auto"/>
            </w:tcBorders>
            <w:shd w:val="clear" w:color="auto" w:fill="auto"/>
          </w:tcPr>
          <w:p w14:paraId="0F301B9B" w14:textId="77777777" w:rsidR="00191E41" w:rsidRPr="00191E41" w:rsidRDefault="00191E41" w:rsidP="00191E41">
            <w:pPr>
              <w:ind w:left="227"/>
              <w:rPr>
                <w:rFonts w:eastAsia="Times New Roman"/>
                <w:sz w:val="18"/>
                <w:szCs w:val="18"/>
              </w:rPr>
            </w:pPr>
            <w:r w:rsidRPr="00191E41">
              <w:rPr>
                <w:rFonts w:eastAsia="Times New Roman"/>
                <w:sz w:val="18"/>
                <w:szCs w:val="18"/>
              </w:rPr>
              <w:t xml:space="preserve">Gasto neto presupuestario </w:t>
            </w:r>
          </w:p>
        </w:tc>
        <w:tc>
          <w:tcPr>
            <w:tcW w:w="1260" w:type="dxa"/>
            <w:tcBorders>
              <w:top w:val="nil"/>
              <w:left w:val="single" w:sz="4" w:space="0" w:color="auto"/>
              <w:bottom w:val="nil"/>
              <w:right w:val="single" w:sz="4" w:space="0" w:color="auto"/>
            </w:tcBorders>
            <w:shd w:val="clear" w:color="auto" w:fill="auto"/>
          </w:tcPr>
          <w:p w14:paraId="439FCE9E" w14:textId="77777777" w:rsidR="00191E41" w:rsidRPr="00191E41" w:rsidRDefault="00191E41" w:rsidP="00191E41">
            <w:pPr>
              <w:ind w:right="113"/>
              <w:jc w:val="right"/>
              <w:rPr>
                <w:sz w:val="18"/>
                <w:szCs w:val="18"/>
              </w:rPr>
            </w:pPr>
            <w:r w:rsidRPr="00191E41">
              <w:rPr>
                <w:sz w:val="18"/>
                <w:szCs w:val="18"/>
              </w:rPr>
              <w:t>378 602.0</w:t>
            </w:r>
          </w:p>
        </w:tc>
        <w:tc>
          <w:tcPr>
            <w:tcW w:w="1248" w:type="dxa"/>
            <w:tcBorders>
              <w:top w:val="nil"/>
              <w:left w:val="single" w:sz="4" w:space="0" w:color="auto"/>
              <w:bottom w:val="nil"/>
              <w:right w:val="single" w:sz="4" w:space="0" w:color="auto"/>
            </w:tcBorders>
            <w:shd w:val="clear" w:color="auto" w:fill="auto"/>
          </w:tcPr>
          <w:p w14:paraId="64C65DE9" w14:textId="77777777" w:rsidR="00191E41" w:rsidRPr="00191E41" w:rsidRDefault="00191E41" w:rsidP="00191E41">
            <w:pPr>
              <w:ind w:right="113"/>
              <w:jc w:val="right"/>
              <w:rPr>
                <w:sz w:val="18"/>
                <w:szCs w:val="18"/>
              </w:rPr>
            </w:pPr>
            <w:r w:rsidRPr="00191E41">
              <w:rPr>
                <w:sz w:val="18"/>
                <w:szCs w:val="18"/>
              </w:rPr>
              <w:t>460 826.2</w:t>
            </w:r>
          </w:p>
        </w:tc>
        <w:tc>
          <w:tcPr>
            <w:tcW w:w="738" w:type="dxa"/>
            <w:tcBorders>
              <w:top w:val="nil"/>
              <w:left w:val="single" w:sz="4" w:space="0" w:color="auto"/>
              <w:bottom w:val="nil"/>
              <w:right w:val="single" w:sz="4" w:space="0" w:color="auto"/>
            </w:tcBorders>
            <w:shd w:val="clear" w:color="auto" w:fill="auto"/>
          </w:tcPr>
          <w:p w14:paraId="290D9DAB" w14:textId="77777777" w:rsidR="00191E41" w:rsidRPr="00191E41" w:rsidRDefault="00191E41" w:rsidP="00191E41">
            <w:pPr>
              <w:ind w:right="57"/>
              <w:jc w:val="right"/>
              <w:rPr>
                <w:sz w:val="18"/>
                <w:szCs w:val="18"/>
              </w:rPr>
            </w:pPr>
            <w:r w:rsidRPr="00191E41">
              <w:rPr>
                <w:sz w:val="18"/>
                <w:szCs w:val="18"/>
              </w:rPr>
              <w:t>18.1</w:t>
            </w:r>
          </w:p>
        </w:tc>
        <w:tc>
          <w:tcPr>
            <w:tcW w:w="774" w:type="dxa"/>
            <w:tcBorders>
              <w:top w:val="nil"/>
              <w:left w:val="single" w:sz="4" w:space="0" w:color="auto"/>
              <w:bottom w:val="nil"/>
              <w:right w:val="single" w:sz="4" w:space="0" w:color="auto"/>
            </w:tcBorders>
            <w:shd w:val="clear" w:color="auto" w:fill="auto"/>
          </w:tcPr>
          <w:p w14:paraId="0A6683CA" w14:textId="77777777" w:rsidR="00191E41" w:rsidRPr="00191E41" w:rsidRDefault="00191E41" w:rsidP="00191E41">
            <w:pPr>
              <w:ind w:right="113"/>
              <w:jc w:val="right"/>
              <w:rPr>
                <w:sz w:val="18"/>
                <w:szCs w:val="18"/>
              </w:rPr>
            </w:pPr>
            <w:r w:rsidRPr="00191E41">
              <w:rPr>
                <w:sz w:val="18"/>
                <w:szCs w:val="18"/>
              </w:rPr>
              <w:t>100.0</w:t>
            </w:r>
          </w:p>
        </w:tc>
        <w:tc>
          <w:tcPr>
            <w:tcW w:w="749" w:type="dxa"/>
            <w:tcBorders>
              <w:top w:val="nil"/>
              <w:left w:val="single" w:sz="4" w:space="0" w:color="auto"/>
              <w:bottom w:val="nil"/>
              <w:right w:val="single" w:sz="4" w:space="0" w:color="auto"/>
            </w:tcBorders>
            <w:shd w:val="clear" w:color="auto" w:fill="auto"/>
          </w:tcPr>
          <w:p w14:paraId="19DA879E" w14:textId="77777777" w:rsidR="00191E41" w:rsidRPr="00191E41" w:rsidRDefault="00191E41" w:rsidP="00191E41">
            <w:pPr>
              <w:ind w:right="113"/>
              <w:jc w:val="right"/>
              <w:rPr>
                <w:sz w:val="18"/>
                <w:szCs w:val="18"/>
              </w:rPr>
            </w:pPr>
            <w:r w:rsidRPr="00191E41">
              <w:rPr>
                <w:sz w:val="18"/>
                <w:szCs w:val="18"/>
              </w:rPr>
              <w:t>100.0</w:t>
            </w:r>
          </w:p>
        </w:tc>
      </w:tr>
      <w:tr w:rsidR="00191E41" w:rsidRPr="00191E41" w14:paraId="11D86302" w14:textId="77777777" w:rsidTr="001E7D79">
        <w:trPr>
          <w:jc w:val="center"/>
        </w:trPr>
        <w:tc>
          <w:tcPr>
            <w:tcW w:w="4673" w:type="dxa"/>
            <w:tcBorders>
              <w:top w:val="nil"/>
              <w:left w:val="single" w:sz="4" w:space="0" w:color="auto"/>
              <w:bottom w:val="nil"/>
              <w:right w:val="single" w:sz="4" w:space="0" w:color="auto"/>
            </w:tcBorders>
            <w:shd w:val="clear" w:color="auto" w:fill="auto"/>
          </w:tcPr>
          <w:p w14:paraId="3D876CA3" w14:textId="77777777" w:rsidR="00191E41" w:rsidRPr="00191E41" w:rsidRDefault="00191E41" w:rsidP="00191E41">
            <w:pPr>
              <w:ind w:left="454"/>
              <w:rPr>
                <w:rFonts w:eastAsia="Times New Roman"/>
                <w:sz w:val="18"/>
                <w:szCs w:val="18"/>
              </w:rPr>
            </w:pPr>
            <w:r w:rsidRPr="00191E41">
              <w:rPr>
                <w:rFonts w:eastAsia="Times New Roman"/>
                <w:sz w:val="18"/>
                <w:szCs w:val="18"/>
              </w:rPr>
              <w:t>Programable</w:t>
            </w:r>
          </w:p>
        </w:tc>
        <w:tc>
          <w:tcPr>
            <w:tcW w:w="1260" w:type="dxa"/>
            <w:tcBorders>
              <w:top w:val="nil"/>
              <w:left w:val="single" w:sz="4" w:space="0" w:color="auto"/>
              <w:bottom w:val="nil"/>
              <w:right w:val="single" w:sz="4" w:space="0" w:color="auto"/>
            </w:tcBorders>
            <w:shd w:val="clear" w:color="auto" w:fill="auto"/>
          </w:tcPr>
          <w:p w14:paraId="0F5F74AC" w14:textId="77777777" w:rsidR="00191E41" w:rsidRPr="00191E41" w:rsidRDefault="00191E41" w:rsidP="00191E41">
            <w:pPr>
              <w:ind w:right="113"/>
              <w:jc w:val="right"/>
              <w:rPr>
                <w:sz w:val="18"/>
                <w:szCs w:val="18"/>
              </w:rPr>
            </w:pPr>
            <w:r w:rsidRPr="00191E41">
              <w:rPr>
                <w:sz w:val="18"/>
                <w:szCs w:val="18"/>
              </w:rPr>
              <w:t>282 378.7</w:t>
            </w:r>
          </w:p>
        </w:tc>
        <w:tc>
          <w:tcPr>
            <w:tcW w:w="1248" w:type="dxa"/>
            <w:tcBorders>
              <w:top w:val="nil"/>
              <w:left w:val="single" w:sz="4" w:space="0" w:color="auto"/>
              <w:bottom w:val="nil"/>
              <w:right w:val="single" w:sz="4" w:space="0" w:color="auto"/>
            </w:tcBorders>
            <w:shd w:val="clear" w:color="auto" w:fill="auto"/>
          </w:tcPr>
          <w:p w14:paraId="5C0B9A96" w14:textId="77777777" w:rsidR="00191E41" w:rsidRPr="00191E41" w:rsidRDefault="00191E41" w:rsidP="00191E41">
            <w:pPr>
              <w:ind w:right="113"/>
              <w:jc w:val="right"/>
              <w:rPr>
                <w:sz w:val="18"/>
                <w:szCs w:val="18"/>
              </w:rPr>
            </w:pPr>
            <w:r w:rsidRPr="00191E41">
              <w:rPr>
                <w:sz w:val="18"/>
                <w:szCs w:val="18"/>
              </w:rPr>
              <w:t>358 960.5</w:t>
            </w:r>
          </w:p>
        </w:tc>
        <w:tc>
          <w:tcPr>
            <w:tcW w:w="738" w:type="dxa"/>
            <w:tcBorders>
              <w:top w:val="nil"/>
              <w:left w:val="single" w:sz="4" w:space="0" w:color="auto"/>
              <w:bottom w:val="nil"/>
              <w:right w:val="single" w:sz="4" w:space="0" w:color="auto"/>
            </w:tcBorders>
            <w:shd w:val="clear" w:color="auto" w:fill="auto"/>
          </w:tcPr>
          <w:p w14:paraId="44365DDC" w14:textId="77777777" w:rsidR="00191E41" w:rsidRPr="00191E41" w:rsidRDefault="00191E41" w:rsidP="00191E41">
            <w:pPr>
              <w:ind w:right="57"/>
              <w:jc w:val="right"/>
              <w:rPr>
                <w:sz w:val="18"/>
                <w:szCs w:val="18"/>
              </w:rPr>
            </w:pPr>
            <w:r w:rsidRPr="00191E41">
              <w:rPr>
                <w:sz w:val="18"/>
                <w:szCs w:val="18"/>
              </w:rPr>
              <w:t>23.3</w:t>
            </w:r>
          </w:p>
        </w:tc>
        <w:tc>
          <w:tcPr>
            <w:tcW w:w="774" w:type="dxa"/>
            <w:tcBorders>
              <w:top w:val="nil"/>
              <w:left w:val="single" w:sz="4" w:space="0" w:color="auto"/>
              <w:bottom w:val="nil"/>
              <w:right w:val="single" w:sz="4" w:space="0" w:color="auto"/>
            </w:tcBorders>
            <w:shd w:val="clear" w:color="auto" w:fill="auto"/>
          </w:tcPr>
          <w:p w14:paraId="74BB93F1" w14:textId="77777777" w:rsidR="00191E41" w:rsidRPr="00191E41" w:rsidRDefault="00191E41" w:rsidP="00191E41">
            <w:pPr>
              <w:ind w:right="113"/>
              <w:jc w:val="right"/>
              <w:rPr>
                <w:sz w:val="18"/>
                <w:szCs w:val="18"/>
              </w:rPr>
            </w:pPr>
            <w:r w:rsidRPr="00191E41">
              <w:rPr>
                <w:sz w:val="18"/>
                <w:szCs w:val="18"/>
              </w:rPr>
              <w:t>74.6</w:t>
            </w:r>
          </w:p>
        </w:tc>
        <w:tc>
          <w:tcPr>
            <w:tcW w:w="749" w:type="dxa"/>
            <w:tcBorders>
              <w:top w:val="nil"/>
              <w:left w:val="single" w:sz="4" w:space="0" w:color="auto"/>
              <w:bottom w:val="nil"/>
              <w:right w:val="single" w:sz="4" w:space="0" w:color="auto"/>
            </w:tcBorders>
            <w:shd w:val="clear" w:color="auto" w:fill="auto"/>
          </w:tcPr>
          <w:p w14:paraId="5B276847" w14:textId="77777777" w:rsidR="00191E41" w:rsidRPr="00191E41" w:rsidRDefault="00191E41" w:rsidP="00191E41">
            <w:pPr>
              <w:ind w:right="113"/>
              <w:jc w:val="right"/>
              <w:rPr>
                <w:sz w:val="18"/>
                <w:szCs w:val="18"/>
              </w:rPr>
            </w:pPr>
            <w:r w:rsidRPr="00191E41">
              <w:rPr>
                <w:sz w:val="18"/>
                <w:szCs w:val="18"/>
              </w:rPr>
              <w:t>77.9</w:t>
            </w:r>
          </w:p>
        </w:tc>
      </w:tr>
      <w:tr w:rsidR="00191E41" w:rsidRPr="00191E41" w14:paraId="412BAB8D" w14:textId="77777777" w:rsidTr="001E7D79">
        <w:trPr>
          <w:jc w:val="center"/>
        </w:trPr>
        <w:tc>
          <w:tcPr>
            <w:tcW w:w="4673" w:type="dxa"/>
            <w:tcBorders>
              <w:top w:val="nil"/>
              <w:left w:val="single" w:sz="4" w:space="0" w:color="auto"/>
              <w:bottom w:val="nil"/>
              <w:right w:val="single" w:sz="4" w:space="0" w:color="auto"/>
            </w:tcBorders>
            <w:shd w:val="clear" w:color="auto" w:fill="auto"/>
          </w:tcPr>
          <w:p w14:paraId="355AF6D4" w14:textId="77777777" w:rsidR="00191E41" w:rsidRPr="00191E41" w:rsidRDefault="00191E41" w:rsidP="00191E41">
            <w:pPr>
              <w:ind w:left="454"/>
              <w:rPr>
                <w:rFonts w:eastAsia="Times New Roman"/>
                <w:sz w:val="18"/>
                <w:szCs w:val="18"/>
              </w:rPr>
            </w:pPr>
            <w:r w:rsidRPr="00191E41">
              <w:rPr>
                <w:rFonts w:eastAsia="Times New Roman"/>
                <w:sz w:val="18"/>
                <w:szCs w:val="18"/>
              </w:rPr>
              <w:t xml:space="preserve">No programable </w:t>
            </w:r>
          </w:p>
        </w:tc>
        <w:tc>
          <w:tcPr>
            <w:tcW w:w="1260" w:type="dxa"/>
            <w:tcBorders>
              <w:top w:val="nil"/>
              <w:left w:val="single" w:sz="4" w:space="0" w:color="auto"/>
              <w:bottom w:val="nil"/>
              <w:right w:val="single" w:sz="4" w:space="0" w:color="auto"/>
            </w:tcBorders>
            <w:shd w:val="clear" w:color="auto" w:fill="auto"/>
          </w:tcPr>
          <w:p w14:paraId="7DBBF835" w14:textId="77777777" w:rsidR="00191E41" w:rsidRPr="00191E41" w:rsidRDefault="00191E41" w:rsidP="00191E41">
            <w:pPr>
              <w:ind w:right="113"/>
              <w:jc w:val="right"/>
              <w:rPr>
                <w:sz w:val="18"/>
                <w:szCs w:val="18"/>
              </w:rPr>
            </w:pPr>
            <w:r w:rsidRPr="00191E41">
              <w:rPr>
                <w:sz w:val="18"/>
                <w:szCs w:val="18"/>
              </w:rPr>
              <w:t>96 223.4</w:t>
            </w:r>
          </w:p>
        </w:tc>
        <w:tc>
          <w:tcPr>
            <w:tcW w:w="1248" w:type="dxa"/>
            <w:tcBorders>
              <w:top w:val="nil"/>
              <w:left w:val="single" w:sz="4" w:space="0" w:color="auto"/>
              <w:bottom w:val="nil"/>
              <w:right w:val="single" w:sz="4" w:space="0" w:color="auto"/>
            </w:tcBorders>
            <w:shd w:val="clear" w:color="auto" w:fill="auto"/>
          </w:tcPr>
          <w:p w14:paraId="2F2DF740" w14:textId="0786982D" w:rsidR="00191E41" w:rsidRPr="00191E41" w:rsidRDefault="00191E41" w:rsidP="00CB7BE4">
            <w:pPr>
              <w:ind w:right="113"/>
              <w:jc w:val="right"/>
              <w:rPr>
                <w:sz w:val="18"/>
                <w:szCs w:val="18"/>
              </w:rPr>
            </w:pPr>
            <w:r w:rsidRPr="00191E41">
              <w:rPr>
                <w:sz w:val="18"/>
                <w:szCs w:val="18"/>
              </w:rPr>
              <w:t xml:space="preserve">101 </w:t>
            </w:r>
            <w:r w:rsidR="00CB7BE4">
              <w:rPr>
                <w:sz w:val="18"/>
                <w:szCs w:val="18"/>
              </w:rPr>
              <w:t>8</w:t>
            </w:r>
            <w:r w:rsidRPr="00191E41">
              <w:rPr>
                <w:sz w:val="18"/>
                <w:szCs w:val="18"/>
              </w:rPr>
              <w:t>65.6</w:t>
            </w:r>
          </w:p>
        </w:tc>
        <w:tc>
          <w:tcPr>
            <w:tcW w:w="738" w:type="dxa"/>
            <w:tcBorders>
              <w:top w:val="nil"/>
              <w:left w:val="single" w:sz="4" w:space="0" w:color="auto"/>
              <w:bottom w:val="nil"/>
              <w:right w:val="single" w:sz="4" w:space="0" w:color="auto"/>
            </w:tcBorders>
            <w:shd w:val="clear" w:color="auto" w:fill="auto"/>
          </w:tcPr>
          <w:p w14:paraId="11731E9B" w14:textId="77777777" w:rsidR="00191E41" w:rsidRPr="00191E41" w:rsidRDefault="00191E41" w:rsidP="00191E41">
            <w:pPr>
              <w:ind w:right="57"/>
              <w:jc w:val="right"/>
              <w:rPr>
                <w:sz w:val="18"/>
                <w:szCs w:val="18"/>
              </w:rPr>
            </w:pPr>
            <w:r w:rsidRPr="00191E41">
              <w:rPr>
                <w:sz w:val="18"/>
                <w:szCs w:val="18"/>
              </w:rPr>
              <w:t>2.7</w:t>
            </w:r>
          </w:p>
        </w:tc>
        <w:tc>
          <w:tcPr>
            <w:tcW w:w="774" w:type="dxa"/>
            <w:tcBorders>
              <w:top w:val="nil"/>
              <w:left w:val="single" w:sz="4" w:space="0" w:color="auto"/>
              <w:bottom w:val="nil"/>
              <w:right w:val="single" w:sz="4" w:space="0" w:color="auto"/>
            </w:tcBorders>
            <w:shd w:val="clear" w:color="auto" w:fill="auto"/>
          </w:tcPr>
          <w:p w14:paraId="0869D74F" w14:textId="77777777" w:rsidR="00191E41" w:rsidRPr="00191E41" w:rsidRDefault="00191E41" w:rsidP="00191E41">
            <w:pPr>
              <w:ind w:right="113"/>
              <w:jc w:val="right"/>
              <w:rPr>
                <w:sz w:val="18"/>
                <w:szCs w:val="18"/>
              </w:rPr>
            </w:pPr>
            <w:r w:rsidRPr="00191E41">
              <w:rPr>
                <w:sz w:val="18"/>
                <w:szCs w:val="18"/>
              </w:rPr>
              <w:t>25.4</w:t>
            </w:r>
          </w:p>
        </w:tc>
        <w:tc>
          <w:tcPr>
            <w:tcW w:w="749" w:type="dxa"/>
            <w:tcBorders>
              <w:top w:val="nil"/>
              <w:left w:val="single" w:sz="4" w:space="0" w:color="auto"/>
              <w:bottom w:val="nil"/>
              <w:right w:val="single" w:sz="4" w:space="0" w:color="auto"/>
            </w:tcBorders>
            <w:shd w:val="clear" w:color="auto" w:fill="auto"/>
          </w:tcPr>
          <w:p w14:paraId="5F75B19D" w14:textId="77777777" w:rsidR="00191E41" w:rsidRPr="00191E41" w:rsidRDefault="00191E41" w:rsidP="00191E41">
            <w:pPr>
              <w:ind w:right="113"/>
              <w:jc w:val="right"/>
              <w:rPr>
                <w:sz w:val="18"/>
                <w:szCs w:val="18"/>
              </w:rPr>
            </w:pPr>
            <w:r w:rsidRPr="00191E41">
              <w:rPr>
                <w:sz w:val="18"/>
                <w:szCs w:val="18"/>
              </w:rPr>
              <w:t>22.1</w:t>
            </w:r>
          </w:p>
        </w:tc>
      </w:tr>
      <w:tr w:rsidR="00191E41" w:rsidRPr="00191E41" w14:paraId="4C56E844" w14:textId="77777777" w:rsidTr="001E7D79">
        <w:trPr>
          <w:jc w:val="center"/>
        </w:trPr>
        <w:tc>
          <w:tcPr>
            <w:tcW w:w="4673" w:type="dxa"/>
            <w:tcBorders>
              <w:top w:val="nil"/>
              <w:left w:val="single" w:sz="4" w:space="0" w:color="auto"/>
              <w:bottom w:val="nil"/>
              <w:right w:val="single" w:sz="4" w:space="0" w:color="auto"/>
            </w:tcBorders>
            <w:shd w:val="clear" w:color="auto" w:fill="auto"/>
          </w:tcPr>
          <w:p w14:paraId="4361200E" w14:textId="77777777" w:rsidR="00191E41" w:rsidRPr="00191E41" w:rsidRDefault="00191E41" w:rsidP="00191E41">
            <w:pPr>
              <w:ind w:left="113"/>
              <w:rPr>
                <w:rFonts w:eastAsia="Times New Roman"/>
                <w:sz w:val="18"/>
                <w:szCs w:val="18"/>
              </w:rPr>
            </w:pPr>
            <w:r w:rsidRPr="00191E41">
              <w:rPr>
                <w:rFonts w:eastAsia="Times New Roman"/>
                <w:sz w:val="18"/>
                <w:szCs w:val="18"/>
              </w:rPr>
              <w:t xml:space="preserve">Balance de entidades bajo control presupuestario indirecto </w:t>
            </w:r>
          </w:p>
        </w:tc>
        <w:tc>
          <w:tcPr>
            <w:tcW w:w="1260" w:type="dxa"/>
            <w:tcBorders>
              <w:top w:val="nil"/>
              <w:left w:val="single" w:sz="4" w:space="0" w:color="auto"/>
              <w:bottom w:val="nil"/>
              <w:right w:val="single" w:sz="4" w:space="0" w:color="auto"/>
            </w:tcBorders>
            <w:shd w:val="clear" w:color="auto" w:fill="auto"/>
            <w:vAlign w:val="center"/>
          </w:tcPr>
          <w:p w14:paraId="00179F24" w14:textId="77777777" w:rsidR="00191E41" w:rsidRPr="00191E41" w:rsidRDefault="00191E41" w:rsidP="00191E41">
            <w:pPr>
              <w:ind w:right="113"/>
              <w:jc w:val="right"/>
              <w:rPr>
                <w:sz w:val="18"/>
                <w:szCs w:val="18"/>
              </w:rPr>
            </w:pPr>
            <w:r w:rsidRPr="00191E41">
              <w:rPr>
                <w:sz w:val="18"/>
                <w:szCs w:val="18"/>
              </w:rPr>
              <w:t>6 865.6</w:t>
            </w:r>
          </w:p>
        </w:tc>
        <w:tc>
          <w:tcPr>
            <w:tcW w:w="1248" w:type="dxa"/>
            <w:tcBorders>
              <w:top w:val="nil"/>
              <w:left w:val="single" w:sz="4" w:space="0" w:color="auto"/>
              <w:bottom w:val="nil"/>
              <w:right w:val="single" w:sz="4" w:space="0" w:color="auto"/>
            </w:tcBorders>
            <w:shd w:val="clear" w:color="auto" w:fill="auto"/>
            <w:vAlign w:val="center"/>
          </w:tcPr>
          <w:p w14:paraId="2540EAB1" w14:textId="77777777" w:rsidR="00191E41" w:rsidRPr="00191E41" w:rsidRDefault="00191E41" w:rsidP="00191E41">
            <w:pPr>
              <w:ind w:right="113"/>
              <w:jc w:val="right"/>
              <w:rPr>
                <w:sz w:val="18"/>
                <w:szCs w:val="18"/>
              </w:rPr>
            </w:pPr>
            <w:r w:rsidRPr="00191E41">
              <w:rPr>
                <w:sz w:val="18"/>
                <w:szCs w:val="18"/>
              </w:rPr>
              <w:t>4 232.5</w:t>
            </w:r>
          </w:p>
        </w:tc>
        <w:tc>
          <w:tcPr>
            <w:tcW w:w="738" w:type="dxa"/>
            <w:tcBorders>
              <w:top w:val="nil"/>
              <w:left w:val="single" w:sz="4" w:space="0" w:color="auto"/>
              <w:bottom w:val="nil"/>
              <w:right w:val="single" w:sz="4" w:space="0" w:color="auto"/>
            </w:tcBorders>
            <w:shd w:val="clear" w:color="auto" w:fill="auto"/>
          </w:tcPr>
          <w:p w14:paraId="46784E23" w14:textId="77777777" w:rsidR="00191E41" w:rsidRPr="00191E41" w:rsidRDefault="00191E41" w:rsidP="00191E41">
            <w:pPr>
              <w:ind w:right="57"/>
              <w:jc w:val="right"/>
              <w:rPr>
                <w:sz w:val="18"/>
                <w:szCs w:val="18"/>
              </w:rPr>
            </w:pPr>
            <w:r w:rsidRPr="00191E41">
              <w:rPr>
                <w:sz w:val="18"/>
                <w:szCs w:val="18"/>
              </w:rPr>
              <w:t>-40.2</w:t>
            </w:r>
          </w:p>
        </w:tc>
        <w:tc>
          <w:tcPr>
            <w:tcW w:w="774" w:type="dxa"/>
            <w:tcBorders>
              <w:top w:val="nil"/>
              <w:left w:val="single" w:sz="4" w:space="0" w:color="auto"/>
              <w:bottom w:val="nil"/>
              <w:right w:val="single" w:sz="4" w:space="0" w:color="auto"/>
            </w:tcBorders>
            <w:shd w:val="clear" w:color="auto" w:fill="auto"/>
            <w:vAlign w:val="center"/>
          </w:tcPr>
          <w:p w14:paraId="105A60EC" w14:textId="77777777" w:rsidR="00191E41" w:rsidRPr="00191E41" w:rsidRDefault="00191E41" w:rsidP="00191E41">
            <w:pPr>
              <w:ind w:right="57"/>
              <w:jc w:val="right"/>
              <w:rPr>
                <w:sz w:val="18"/>
                <w:szCs w:val="18"/>
              </w:rPr>
            </w:pPr>
          </w:p>
        </w:tc>
        <w:tc>
          <w:tcPr>
            <w:tcW w:w="749" w:type="dxa"/>
            <w:tcBorders>
              <w:top w:val="nil"/>
              <w:left w:val="single" w:sz="4" w:space="0" w:color="auto"/>
              <w:bottom w:val="nil"/>
              <w:right w:val="single" w:sz="4" w:space="0" w:color="auto"/>
            </w:tcBorders>
            <w:shd w:val="clear" w:color="auto" w:fill="auto"/>
            <w:vAlign w:val="center"/>
          </w:tcPr>
          <w:p w14:paraId="7644E6CB" w14:textId="77777777" w:rsidR="00191E41" w:rsidRPr="00191E41" w:rsidRDefault="00191E41" w:rsidP="00191E41">
            <w:pPr>
              <w:ind w:right="57"/>
              <w:jc w:val="right"/>
              <w:rPr>
                <w:sz w:val="18"/>
                <w:szCs w:val="18"/>
              </w:rPr>
            </w:pPr>
          </w:p>
        </w:tc>
      </w:tr>
      <w:tr w:rsidR="00191E41" w:rsidRPr="00191E41" w14:paraId="215601A5" w14:textId="77777777" w:rsidTr="001E7D79">
        <w:trPr>
          <w:jc w:val="center"/>
        </w:trPr>
        <w:tc>
          <w:tcPr>
            <w:tcW w:w="4673" w:type="dxa"/>
            <w:tcBorders>
              <w:top w:val="nil"/>
              <w:left w:val="single" w:sz="4" w:space="0" w:color="auto"/>
              <w:bottom w:val="single" w:sz="4" w:space="0" w:color="auto"/>
              <w:right w:val="single" w:sz="4" w:space="0" w:color="auto"/>
            </w:tcBorders>
            <w:shd w:val="clear" w:color="auto" w:fill="auto"/>
          </w:tcPr>
          <w:p w14:paraId="3D194F8C" w14:textId="77777777" w:rsidR="00191E41" w:rsidRPr="00191E41" w:rsidRDefault="00191E41" w:rsidP="00191E41">
            <w:pPr>
              <w:rPr>
                <w:rFonts w:eastAsia="Times New Roman"/>
                <w:sz w:val="18"/>
                <w:szCs w:val="18"/>
              </w:rPr>
            </w:pPr>
            <w:r w:rsidRPr="00191E41">
              <w:rPr>
                <w:rFonts w:eastAsia="Times New Roman"/>
                <w:sz w:val="18"/>
                <w:szCs w:val="18"/>
              </w:rPr>
              <w:t>Balance primario</w:t>
            </w:r>
          </w:p>
        </w:tc>
        <w:tc>
          <w:tcPr>
            <w:tcW w:w="1260" w:type="dxa"/>
            <w:tcBorders>
              <w:top w:val="nil"/>
              <w:left w:val="single" w:sz="4" w:space="0" w:color="auto"/>
              <w:bottom w:val="single" w:sz="4" w:space="0" w:color="auto"/>
              <w:right w:val="single" w:sz="4" w:space="0" w:color="auto"/>
            </w:tcBorders>
            <w:shd w:val="clear" w:color="auto" w:fill="auto"/>
          </w:tcPr>
          <w:p w14:paraId="0F0D7558" w14:textId="77777777" w:rsidR="00191E41" w:rsidRPr="00191E41" w:rsidRDefault="00191E41" w:rsidP="00191E41">
            <w:pPr>
              <w:ind w:right="113"/>
              <w:jc w:val="right"/>
              <w:rPr>
                <w:sz w:val="18"/>
                <w:szCs w:val="18"/>
              </w:rPr>
            </w:pPr>
            <w:r w:rsidRPr="00191E41">
              <w:rPr>
                <w:sz w:val="18"/>
                <w:szCs w:val="18"/>
              </w:rPr>
              <w:t>12 183.5</w:t>
            </w:r>
          </w:p>
        </w:tc>
        <w:tc>
          <w:tcPr>
            <w:tcW w:w="1248" w:type="dxa"/>
            <w:tcBorders>
              <w:top w:val="nil"/>
              <w:left w:val="single" w:sz="4" w:space="0" w:color="auto"/>
              <w:bottom w:val="single" w:sz="4" w:space="0" w:color="auto"/>
              <w:right w:val="single" w:sz="4" w:space="0" w:color="auto"/>
            </w:tcBorders>
            <w:shd w:val="clear" w:color="auto" w:fill="auto"/>
          </w:tcPr>
          <w:p w14:paraId="125B6F63" w14:textId="77777777" w:rsidR="00191E41" w:rsidRPr="00191E41" w:rsidRDefault="00191E41" w:rsidP="00191E41">
            <w:pPr>
              <w:ind w:right="113"/>
              <w:jc w:val="right"/>
              <w:rPr>
                <w:sz w:val="18"/>
                <w:szCs w:val="18"/>
              </w:rPr>
            </w:pPr>
            <w:r w:rsidRPr="00191E41">
              <w:rPr>
                <w:sz w:val="18"/>
                <w:szCs w:val="18"/>
              </w:rPr>
              <w:t>-66 585.3</w:t>
            </w:r>
          </w:p>
        </w:tc>
        <w:tc>
          <w:tcPr>
            <w:tcW w:w="738" w:type="dxa"/>
            <w:tcBorders>
              <w:top w:val="nil"/>
              <w:left w:val="single" w:sz="4" w:space="0" w:color="auto"/>
              <w:bottom w:val="nil"/>
              <w:right w:val="single" w:sz="4" w:space="0" w:color="auto"/>
            </w:tcBorders>
            <w:shd w:val="clear" w:color="auto" w:fill="auto"/>
          </w:tcPr>
          <w:p w14:paraId="58CCE834" w14:textId="77777777" w:rsidR="00191E41" w:rsidRPr="00191E41" w:rsidRDefault="00191E41" w:rsidP="00191E41">
            <w:pPr>
              <w:ind w:right="57"/>
              <w:jc w:val="right"/>
              <w:rPr>
                <w:sz w:val="18"/>
                <w:szCs w:val="18"/>
              </w:rPr>
            </w:pPr>
            <w:r w:rsidRPr="00191E41">
              <w:rPr>
                <w:sz w:val="18"/>
                <w:szCs w:val="18"/>
              </w:rPr>
              <w:t>n.s</w:t>
            </w:r>
          </w:p>
        </w:tc>
        <w:tc>
          <w:tcPr>
            <w:tcW w:w="774" w:type="dxa"/>
            <w:tcBorders>
              <w:top w:val="nil"/>
              <w:left w:val="single" w:sz="4" w:space="0" w:color="auto"/>
              <w:bottom w:val="single" w:sz="4" w:space="0" w:color="auto"/>
              <w:right w:val="single" w:sz="4" w:space="0" w:color="auto"/>
            </w:tcBorders>
            <w:shd w:val="clear" w:color="auto" w:fill="auto"/>
          </w:tcPr>
          <w:p w14:paraId="47F4F86B" w14:textId="77777777" w:rsidR="00191E41" w:rsidRPr="00191E41" w:rsidRDefault="00191E41" w:rsidP="00191E41">
            <w:pPr>
              <w:ind w:right="57"/>
              <w:jc w:val="right"/>
              <w:rPr>
                <w:sz w:val="18"/>
                <w:szCs w:val="18"/>
              </w:rPr>
            </w:pPr>
          </w:p>
        </w:tc>
        <w:tc>
          <w:tcPr>
            <w:tcW w:w="749" w:type="dxa"/>
            <w:tcBorders>
              <w:top w:val="nil"/>
              <w:left w:val="single" w:sz="4" w:space="0" w:color="auto"/>
              <w:bottom w:val="single" w:sz="4" w:space="0" w:color="auto"/>
              <w:right w:val="single" w:sz="4" w:space="0" w:color="auto"/>
            </w:tcBorders>
            <w:shd w:val="clear" w:color="auto" w:fill="auto"/>
          </w:tcPr>
          <w:p w14:paraId="1BEAFF6F" w14:textId="77777777" w:rsidR="00191E41" w:rsidRPr="00191E41" w:rsidRDefault="00191E41" w:rsidP="00191E41">
            <w:pPr>
              <w:ind w:right="57"/>
              <w:jc w:val="right"/>
              <w:rPr>
                <w:sz w:val="18"/>
                <w:szCs w:val="18"/>
              </w:rPr>
            </w:pPr>
          </w:p>
        </w:tc>
      </w:tr>
      <w:tr w:rsidR="00191E41" w:rsidRPr="00191E41" w14:paraId="13033096" w14:textId="77777777" w:rsidTr="001E7D79">
        <w:trPr>
          <w:jc w:val="center"/>
        </w:trPr>
        <w:tc>
          <w:tcPr>
            <w:tcW w:w="9442" w:type="dxa"/>
            <w:gridSpan w:val="6"/>
            <w:tcBorders>
              <w:top w:val="single" w:sz="4" w:space="0" w:color="auto"/>
              <w:left w:val="nil"/>
              <w:bottom w:val="nil"/>
              <w:right w:val="nil"/>
            </w:tcBorders>
            <w:shd w:val="clear" w:color="auto" w:fill="auto"/>
          </w:tcPr>
          <w:p w14:paraId="7B89D2E1" w14:textId="77777777" w:rsidR="00191E41" w:rsidRPr="00191E41" w:rsidRDefault="00191E41" w:rsidP="00191E41">
            <w:pPr>
              <w:jc w:val="both"/>
              <w:rPr>
                <w:rFonts w:eastAsia="Times New Roman"/>
                <w:sz w:val="18"/>
                <w:szCs w:val="18"/>
                <w:lang w:val="es-ES"/>
              </w:rPr>
            </w:pPr>
            <w:r w:rsidRPr="00191E41">
              <w:rPr>
                <w:rFonts w:eastAsia="Times New Roman"/>
                <w:sz w:val="18"/>
                <w:szCs w:val="18"/>
                <w:lang w:val="es-ES"/>
              </w:rPr>
              <w:t>Nota: Las sumas parciales y las variaciones pueden no coincidir debido al redondeo.</w:t>
            </w:r>
          </w:p>
          <w:p w14:paraId="716C0DED" w14:textId="77777777" w:rsidR="00191E41" w:rsidRPr="00191E41" w:rsidRDefault="00191E41" w:rsidP="00191E41">
            <w:pPr>
              <w:jc w:val="both"/>
              <w:rPr>
                <w:rFonts w:eastAsia="Times New Roman"/>
                <w:sz w:val="18"/>
                <w:szCs w:val="18"/>
              </w:rPr>
            </w:pPr>
            <w:r w:rsidRPr="00191E41">
              <w:rPr>
                <w:rFonts w:eastAsia="Times New Roman"/>
                <w:sz w:val="18"/>
                <w:szCs w:val="18"/>
                <w:u w:val="single"/>
              </w:rPr>
              <w:t>p</w:t>
            </w:r>
            <w:r w:rsidRPr="00191E41">
              <w:rPr>
                <w:rFonts w:eastAsia="Times New Roman"/>
                <w:sz w:val="18"/>
                <w:szCs w:val="18"/>
              </w:rPr>
              <w:t>/ Cifras preliminares.</w:t>
            </w:r>
          </w:p>
          <w:p w14:paraId="595F379B" w14:textId="77777777" w:rsidR="00191E41" w:rsidRPr="00191E41" w:rsidRDefault="00191E41" w:rsidP="00191E41">
            <w:pPr>
              <w:jc w:val="both"/>
              <w:rPr>
                <w:rFonts w:eastAsia="Times New Roman"/>
                <w:sz w:val="18"/>
                <w:szCs w:val="18"/>
              </w:rPr>
            </w:pPr>
            <w:r w:rsidRPr="00191E41">
              <w:rPr>
                <w:rFonts w:eastAsia="Times New Roman"/>
                <w:sz w:val="18"/>
                <w:szCs w:val="18"/>
              </w:rPr>
              <w:t>n.s.: no significativo.</w:t>
            </w:r>
          </w:p>
          <w:p w14:paraId="34E50E8D" w14:textId="77777777" w:rsidR="00191E41" w:rsidRPr="00191E41" w:rsidRDefault="00191E41" w:rsidP="00191E41">
            <w:pPr>
              <w:jc w:val="both"/>
              <w:rPr>
                <w:rFonts w:eastAsia="Times New Roman"/>
                <w:sz w:val="18"/>
                <w:szCs w:val="18"/>
              </w:rPr>
            </w:pPr>
            <w:r w:rsidRPr="00191E41">
              <w:rPr>
                <w:rFonts w:eastAsia="Times New Roman"/>
                <w:sz w:val="18"/>
                <w:szCs w:val="18"/>
                <w:u w:val="single"/>
              </w:rPr>
              <w:t>1</w:t>
            </w:r>
            <w:r w:rsidRPr="00191E41">
              <w:rPr>
                <w:rFonts w:eastAsia="Times New Roman"/>
                <w:sz w:val="18"/>
                <w:szCs w:val="18"/>
              </w:rPr>
              <w:t>/ Excluye la inversión física de Pemex, CFE e inversiones de alto impacto del Gobierno Federal.</w:t>
            </w:r>
          </w:p>
          <w:p w14:paraId="526BF783" w14:textId="77777777" w:rsidR="00191E41" w:rsidRPr="00191E41" w:rsidRDefault="00191E41" w:rsidP="00191E41">
            <w:pPr>
              <w:jc w:val="both"/>
              <w:rPr>
                <w:rFonts w:eastAsia="Times New Roman"/>
                <w:sz w:val="18"/>
                <w:szCs w:val="18"/>
                <w:lang w:val="es-ES"/>
              </w:rPr>
            </w:pPr>
            <w:r w:rsidRPr="00191E41">
              <w:rPr>
                <w:rFonts w:eastAsia="Times New Roman"/>
                <w:sz w:val="18"/>
                <w:szCs w:val="18"/>
                <w:lang w:val="es-ES"/>
              </w:rPr>
              <w:t xml:space="preserve">FUENTE: </w:t>
            </w:r>
            <w:r w:rsidRPr="00191E41">
              <w:rPr>
                <w:rFonts w:eastAsia="Times New Roman"/>
                <w:sz w:val="20"/>
                <w:szCs w:val="20"/>
              </w:rPr>
              <w:t>Dirección General Adjunta de Estadística de la Hacienda Pública, UPEHP.</w:t>
            </w:r>
          </w:p>
        </w:tc>
      </w:tr>
    </w:tbl>
    <w:p w14:paraId="7C6BB5B8" w14:textId="77777777" w:rsidR="00191E41" w:rsidRPr="00191E41" w:rsidRDefault="00191E41" w:rsidP="00191E41">
      <w:pPr>
        <w:spacing w:after="360" w:line="360" w:lineRule="auto"/>
        <w:ind w:right="-159"/>
        <w:jc w:val="both"/>
        <w:rPr>
          <w:rFonts w:eastAsia="Calibri"/>
          <w:sz w:val="26"/>
          <w:szCs w:val="26"/>
          <w:lang w:eastAsia="en-US"/>
        </w:rPr>
      </w:pPr>
    </w:p>
    <w:p w14:paraId="4B273BC5" w14:textId="77777777" w:rsidR="00191E41" w:rsidRPr="00191E41" w:rsidRDefault="00191E41" w:rsidP="00191E41">
      <w:pPr>
        <w:spacing w:after="360" w:line="360" w:lineRule="auto"/>
        <w:ind w:right="-159"/>
        <w:jc w:val="both"/>
        <w:rPr>
          <w:rFonts w:eastAsia="Calibri"/>
          <w:b/>
          <w:sz w:val="26"/>
          <w:szCs w:val="26"/>
          <w:lang w:eastAsia="en-US"/>
        </w:rPr>
      </w:pPr>
      <w:r w:rsidRPr="00191E41">
        <w:rPr>
          <w:rFonts w:eastAsia="Calibri"/>
          <w:b/>
          <w:sz w:val="26"/>
          <w:szCs w:val="26"/>
          <w:lang w:eastAsia="en-US"/>
        </w:rPr>
        <w:t>Ingresos presupuestarios del sector público</w:t>
      </w:r>
    </w:p>
    <w:p w14:paraId="3B2CCC02" w14:textId="77777777" w:rsidR="00191E41" w:rsidRPr="00191E41" w:rsidRDefault="00191E41" w:rsidP="00191E41">
      <w:pPr>
        <w:spacing w:after="360" w:line="360" w:lineRule="auto"/>
        <w:ind w:right="-159"/>
        <w:jc w:val="both"/>
        <w:rPr>
          <w:rFonts w:eastAsia="Calibri"/>
          <w:sz w:val="26"/>
          <w:szCs w:val="26"/>
          <w:lang w:eastAsia="en-US"/>
        </w:rPr>
      </w:pPr>
      <w:r w:rsidRPr="00191E41">
        <w:rPr>
          <w:rFonts w:eastAsia="Calibri"/>
          <w:sz w:val="26"/>
          <w:szCs w:val="26"/>
          <w:lang w:eastAsia="en-US"/>
        </w:rPr>
        <w:t>Los ingresos presupuestarios del sector público en enero de 2015 se ubicaron en          365 mil 49.4 millones de pesos, monto inferior en 3.4% en términos reales respecto al primer mes de 2014. La evolución de los principales rubros de ingresos fue la siguiente:</w:t>
      </w:r>
    </w:p>
    <w:p w14:paraId="409B4198" w14:textId="3208199B" w:rsidR="00191E41" w:rsidRPr="00191E41" w:rsidRDefault="00191E41" w:rsidP="00276F3E">
      <w:pPr>
        <w:numPr>
          <w:ilvl w:val="0"/>
          <w:numId w:val="41"/>
        </w:numPr>
        <w:spacing w:after="360" w:line="360" w:lineRule="auto"/>
        <w:ind w:left="714" w:right="-159" w:hanging="357"/>
        <w:jc w:val="both"/>
        <w:rPr>
          <w:rFonts w:eastAsia="Calibri"/>
          <w:sz w:val="26"/>
          <w:szCs w:val="26"/>
          <w:lang w:eastAsia="en-US"/>
        </w:rPr>
      </w:pPr>
      <w:r w:rsidRPr="00191E41">
        <w:rPr>
          <w:rFonts w:eastAsia="Calibri"/>
          <w:sz w:val="26"/>
          <w:szCs w:val="26"/>
          <w:lang w:eastAsia="en-US"/>
        </w:rPr>
        <w:t xml:space="preserve">Los ingresos petroleros se ubicaron en 56 mil 994.8 millones de pesos, inferiores en 43.5% en términos reales a los de enero de 2014. Este resultado se explica por la menor producción de petróleo, en 6.5% respecto al año anterior; por la menor producción de gas natural, en 3.6% respecto a enero de 2014; así como por el menor precio promedio de exportación de la mezcla mexicana de petróleo, de 52.4 dólares por barril (dpb) comparado con 91.8 dpb durante el mismo período de 2014. Estos efectos se compensaron parcialmente con el mayor precio del gas natural, en 12.5%, y la depreciación del tipo de cambio. Estos resultados no incluyen el pago de las coberturas petroleras adquiridas por el Gobierno de la </w:t>
      </w:r>
      <w:r w:rsidRPr="00191E41">
        <w:rPr>
          <w:rFonts w:eastAsia="Calibri"/>
          <w:sz w:val="26"/>
          <w:szCs w:val="26"/>
          <w:lang w:eastAsia="en-US"/>
        </w:rPr>
        <w:lastRenderedPageBreak/>
        <w:t xml:space="preserve">República. En caso de que el precio promedio de 2015 de la mezcla mexicana sea inferior a los 79 </w:t>
      </w:r>
      <w:r w:rsidR="00D06F13">
        <w:rPr>
          <w:rFonts w:eastAsia="Calibri"/>
          <w:sz w:val="26"/>
          <w:szCs w:val="26"/>
          <w:lang w:eastAsia="en-US"/>
        </w:rPr>
        <w:t>dólares por barril (</w:t>
      </w:r>
      <w:r w:rsidRPr="00191E41">
        <w:rPr>
          <w:rFonts w:eastAsia="Calibri"/>
          <w:sz w:val="26"/>
          <w:szCs w:val="26"/>
          <w:lang w:eastAsia="en-US"/>
        </w:rPr>
        <w:t>d</w:t>
      </w:r>
      <w:r w:rsidR="00D06F13">
        <w:rPr>
          <w:rFonts w:eastAsia="Calibri"/>
          <w:sz w:val="26"/>
          <w:szCs w:val="26"/>
          <w:lang w:eastAsia="en-US"/>
        </w:rPr>
        <w:t>/</w:t>
      </w:r>
      <w:r w:rsidRPr="00191E41">
        <w:rPr>
          <w:rFonts w:eastAsia="Calibri"/>
          <w:sz w:val="26"/>
          <w:szCs w:val="26"/>
          <w:lang w:eastAsia="en-US"/>
        </w:rPr>
        <w:t>b</w:t>
      </w:r>
      <w:r w:rsidR="00D06F13">
        <w:rPr>
          <w:rFonts w:eastAsia="Calibri"/>
          <w:sz w:val="26"/>
          <w:szCs w:val="26"/>
          <w:lang w:eastAsia="en-US"/>
        </w:rPr>
        <w:t>)</w:t>
      </w:r>
      <w:r w:rsidRPr="00191E41">
        <w:rPr>
          <w:rFonts w:eastAsia="Calibri"/>
          <w:sz w:val="26"/>
          <w:szCs w:val="26"/>
          <w:lang w:eastAsia="en-US"/>
        </w:rPr>
        <w:t xml:space="preserve"> el pago correspondiente a las coberturas petroleras ingresará en diciembre de este año. </w:t>
      </w:r>
    </w:p>
    <w:p w14:paraId="1F302808" w14:textId="77777777" w:rsidR="00191E41" w:rsidRPr="00191E41" w:rsidRDefault="00191E41" w:rsidP="00276F3E">
      <w:pPr>
        <w:numPr>
          <w:ilvl w:val="0"/>
          <w:numId w:val="41"/>
        </w:numPr>
        <w:spacing w:after="360" w:line="360" w:lineRule="auto"/>
        <w:ind w:right="-159"/>
        <w:jc w:val="both"/>
        <w:rPr>
          <w:rFonts w:eastAsia="Calibri"/>
          <w:sz w:val="26"/>
          <w:szCs w:val="26"/>
          <w:lang w:eastAsia="en-US"/>
        </w:rPr>
      </w:pPr>
      <w:r w:rsidRPr="00191E41">
        <w:rPr>
          <w:rFonts w:eastAsia="Calibri"/>
          <w:sz w:val="26"/>
          <w:szCs w:val="26"/>
          <w:lang w:eastAsia="en-US"/>
        </w:rPr>
        <w:t xml:space="preserve">Los ingresos tributarios no petroleros ascendieron a 241 mil 612.2 millones de pesos, con un incremento real de 12.7% respecto a 2014. Destacan los crecimientos en la recaudación del Impuesto Especial sobre Producción y Servicios (IEPS), del impuesto a las importaciones, y el Impuesto al Valor Agregado (IVA) de 186.1, 14.1 y 6.4% en términos reales, respectivamente. Estos resultados favorables se explican, principalmente, por la entrada en vigor de las medidas que conforman las reformas hacendaria y energética, así como por las medidas de administración tributaria adoptadas. </w:t>
      </w:r>
    </w:p>
    <w:p w14:paraId="157C7D25" w14:textId="77777777" w:rsidR="00191E41" w:rsidRPr="00191E41" w:rsidRDefault="00191E41" w:rsidP="00276F3E">
      <w:pPr>
        <w:numPr>
          <w:ilvl w:val="0"/>
          <w:numId w:val="41"/>
        </w:numPr>
        <w:spacing w:after="360" w:line="360" w:lineRule="auto"/>
        <w:ind w:right="-159"/>
        <w:jc w:val="both"/>
        <w:rPr>
          <w:rFonts w:eastAsia="Calibri"/>
          <w:sz w:val="26"/>
          <w:szCs w:val="26"/>
          <w:lang w:eastAsia="en-US"/>
        </w:rPr>
      </w:pPr>
      <w:r w:rsidRPr="00191E41">
        <w:rPr>
          <w:rFonts w:eastAsia="Calibri"/>
          <w:sz w:val="26"/>
          <w:szCs w:val="26"/>
          <w:lang w:eastAsia="en-US"/>
        </w:rPr>
        <w:t xml:space="preserve">Por su parte, los ingresos propios de la Comisión Federal de Electricidad (CFE), Instituto Mexicano del Seguro Social (IMSS) e Instituto de Seguridad y Servicios Sociales de los Trabajadores del Estado (ISSSTE) sumaron 51 mil millones de pesos, monto que muestra un incremento de 1.2% en términos reales respecto a 2014. Esto se explica, principalmente, por un mayor valor de las ventas de energía eléctrica y mayores ingresos por cuotas a la seguridad social del IMSS. </w:t>
      </w:r>
    </w:p>
    <w:p w14:paraId="63D9BDCB" w14:textId="77777777" w:rsidR="00191E41" w:rsidRPr="00191E41" w:rsidRDefault="00191E41" w:rsidP="00276F3E">
      <w:pPr>
        <w:numPr>
          <w:ilvl w:val="0"/>
          <w:numId w:val="41"/>
        </w:numPr>
        <w:spacing w:after="360" w:line="360" w:lineRule="auto"/>
        <w:ind w:left="714" w:right="-159" w:hanging="357"/>
        <w:jc w:val="both"/>
        <w:rPr>
          <w:rFonts w:eastAsia="Calibri"/>
          <w:sz w:val="26"/>
          <w:szCs w:val="26"/>
          <w:lang w:eastAsia="en-US"/>
        </w:rPr>
      </w:pPr>
      <w:r w:rsidRPr="00191E41">
        <w:rPr>
          <w:rFonts w:eastAsia="Calibri"/>
          <w:sz w:val="26"/>
          <w:szCs w:val="26"/>
          <w:lang w:eastAsia="en-US"/>
        </w:rPr>
        <w:t>Los ingresos no tributarios del Gobierno Federal sumaron 15 mil 478.4 millones de pesos, lo que representa un aumento real de 23.9% debido a mayores ingresos por aprovechamientos y derechos.</w:t>
      </w:r>
    </w:p>
    <w:p w14:paraId="33530E48" w14:textId="77777777" w:rsidR="00191E41" w:rsidRPr="00191E41" w:rsidRDefault="00191E41" w:rsidP="00191E41">
      <w:pPr>
        <w:spacing w:after="360" w:line="360" w:lineRule="auto"/>
        <w:ind w:right="-159"/>
        <w:jc w:val="both"/>
        <w:rPr>
          <w:rFonts w:eastAsia="Calibri"/>
          <w:sz w:val="26"/>
          <w:szCs w:val="26"/>
          <w:lang w:eastAsia="en-US"/>
        </w:rPr>
      </w:pPr>
    </w:p>
    <w:p w14:paraId="1457AB76" w14:textId="77777777" w:rsidR="00191E41" w:rsidRPr="00191E41" w:rsidRDefault="00191E41" w:rsidP="00191E41">
      <w:pPr>
        <w:spacing w:after="360" w:line="360" w:lineRule="auto"/>
        <w:ind w:right="-159"/>
        <w:jc w:val="both"/>
        <w:rPr>
          <w:rFonts w:eastAsia="Calibri"/>
          <w:sz w:val="26"/>
          <w:szCs w:val="26"/>
          <w:lang w:eastAsia="en-US"/>
        </w:rPr>
      </w:pPr>
    </w:p>
    <w:p w14:paraId="02599667" w14:textId="77777777" w:rsidR="00191E41" w:rsidRPr="00191E41" w:rsidRDefault="00191E41" w:rsidP="00191E41">
      <w:pPr>
        <w:spacing w:after="360" w:line="360" w:lineRule="auto"/>
        <w:ind w:right="-159"/>
        <w:jc w:val="both"/>
        <w:rPr>
          <w:rFonts w:eastAsia="Calibri"/>
          <w:sz w:val="26"/>
          <w:szCs w:val="26"/>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80"/>
        <w:gridCol w:w="1189"/>
        <w:gridCol w:w="1197"/>
        <w:gridCol w:w="800"/>
        <w:gridCol w:w="813"/>
        <w:gridCol w:w="807"/>
      </w:tblGrid>
      <w:tr w:rsidR="00191E41" w:rsidRPr="00191E41" w14:paraId="2945A24D" w14:textId="77777777" w:rsidTr="001E7D79">
        <w:trPr>
          <w:jc w:val="center"/>
        </w:trPr>
        <w:tc>
          <w:tcPr>
            <w:tcW w:w="8586" w:type="dxa"/>
            <w:gridSpan w:val="6"/>
            <w:tcBorders>
              <w:top w:val="nil"/>
              <w:left w:val="nil"/>
              <w:bottom w:val="single" w:sz="4" w:space="0" w:color="auto"/>
              <w:right w:val="nil"/>
            </w:tcBorders>
            <w:shd w:val="clear" w:color="auto" w:fill="auto"/>
          </w:tcPr>
          <w:p w14:paraId="41EB9A4D" w14:textId="77777777" w:rsidR="00191E41" w:rsidRPr="00191E41" w:rsidRDefault="00191E41" w:rsidP="00191E41">
            <w:pPr>
              <w:jc w:val="center"/>
              <w:rPr>
                <w:rFonts w:eastAsia="Calibri"/>
                <w:b/>
                <w:sz w:val="20"/>
                <w:szCs w:val="20"/>
              </w:rPr>
            </w:pPr>
            <w:r w:rsidRPr="00191E41">
              <w:rPr>
                <w:rFonts w:eastAsia="Calibri"/>
                <w:b/>
                <w:sz w:val="20"/>
                <w:szCs w:val="20"/>
              </w:rPr>
              <w:lastRenderedPageBreak/>
              <w:t>INGRESOS PRESUPUESTARIOS DEL SECTOR PÚBLICO</w:t>
            </w:r>
          </w:p>
          <w:p w14:paraId="068B4E40" w14:textId="77777777" w:rsidR="00191E41" w:rsidRPr="00191E41" w:rsidRDefault="00191E41" w:rsidP="00191E41">
            <w:pPr>
              <w:jc w:val="center"/>
              <w:rPr>
                <w:rFonts w:eastAsia="Calibri"/>
                <w:b/>
                <w:sz w:val="20"/>
                <w:szCs w:val="20"/>
              </w:rPr>
            </w:pPr>
            <w:r w:rsidRPr="00191E41">
              <w:rPr>
                <w:rFonts w:eastAsia="Calibri"/>
                <w:b/>
                <w:sz w:val="20"/>
                <w:szCs w:val="20"/>
              </w:rPr>
              <w:t>-Millones de pesos-</w:t>
            </w:r>
          </w:p>
        </w:tc>
      </w:tr>
      <w:tr w:rsidR="00191E41" w:rsidRPr="00191E41" w14:paraId="7A36AA04" w14:textId="77777777" w:rsidTr="001E7D79">
        <w:trPr>
          <w:jc w:val="center"/>
        </w:trPr>
        <w:tc>
          <w:tcPr>
            <w:tcW w:w="37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F702E86" w14:textId="77777777" w:rsidR="00191E41" w:rsidRPr="00191E41" w:rsidRDefault="00191E41" w:rsidP="00191E41">
            <w:pPr>
              <w:jc w:val="center"/>
              <w:rPr>
                <w:rFonts w:eastAsia="Calibri"/>
                <w:b/>
                <w:sz w:val="18"/>
                <w:szCs w:val="18"/>
              </w:rPr>
            </w:pPr>
            <w:r w:rsidRPr="00191E41">
              <w:rPr>
                <w:rFonts w:eastAsia="Calibri"/>
                <w:b/>
                <w:sz w:val="18"/>
                <w:szCs w:val="18"/>
              </w:rPr>
              <w:t>Concepto</w:t>
            </w:r>
          </w:p>
        </w:tc>
        <w:tc>
          <w:tcPr>
            <w:tcW w:w="2386" w:type="dxa"/>
            <w:gridSpan w:val="2"/>
            <w:tcBorders>
              <w:top w:val="single" w:sz="4" w:space="0" w:color="auto"/>
              <w:left w:val="single" w:sz="4" w:space="0" w:color="auto"/>
              <w:bottom w:val="single" w:sz="4" w:space="0" w:color="auto"/>
              <w:right w:val="single" w:sz="4" w:space="0" w:color="auto"/>
            </w:tcBorders>
            <w:shd w:val="clear" w:color="auto" w:fill="auto"/>
          </w:tcPr>
          <w:p w14:paraId="3DB5C09E" w14:textId="77777777" w:rsidR="00191E41" w:rsidRPr="00191E41" w:rsidRDefault="00191E41" w:rsidP="00191E41">
            <w:pPr>
              <w:jc w:val="center"/>
              <w:rPr>
                <w:rFonts w:eastAsia="Calibri"/>
                <w:b/>
                <w:sz w:val="18"/>
                <w:szCs w:val="18"/>
              </w:rPr>
            </w:pPr>
            <w:r w:rsidRPr="00191E41">
              <w:rPr>
                <w:rFonts w:eastAsia="Calibri"/>
                <w:b/>
                <w:sz w:val="18"/>
                <w:szCs w:val="18"/>
              </w:rPr>
              <w:t>Enero</w:t>
            </w:r>
          </w:p>
        </w:tc>
        <w:tc>
          <w:tcPr>
            <w:tcW w:w="800" w:type="dxa"/>
            <w:tcBorders>
              <w:top w:val="single" w:sz="4" w:space="0" w:color="auto"/>
              <w:left w:val="single" w:sz="4" w:space="0" w:color="auto"/>
              <w:bottom w:val="nil"/>
              <w:right w:val="single" w:sz="4" w:space="0" w:color="auto"/>
            </w:tcBorders>
            <w:shd w:val="clear" w:color="auto" w:fill="auto"/>
          </w:tcPr>
          <w:p w14:paraId="00AB43A5" w14:textId="77777777" w:rsidR="00191E41" w:rsidRPr="00191E41" w:rsidRDefault="00191E41" w:rsidP="00191E41">
            <w:pPr>
              <w:jc w:val="center"/>
              <w:rPr>
                <w:rFonts w:eastAsia="Calibri"/>
                <w:b/>
                <w:sz w:val="18"/>
                <w:szCs w:val="18"/>
              </w:rPr>
            </w:pPr>
            <w:r w:rsidRPr="00191E41">
              <w:rPr>
                <w:rFonts w:eastAsia="Calibri"/>
                <w:b/>
                <w:sz w:val="18"/>
                <w:szCs w:val="18"/>
              </w:rPr>
              <w:t>Var. %</w:t>
            </w:r>
          </w:p>
        </w:tc>
        <w:tc>
          <w:tcPr>
            <w:tcW w:w="1620" w:type="dxa"/>
            <w:gridSpan w:val="2"/>
            <w:tcBorders>
              <w:top w:val="single" w:sz="4" w:space="0" w:color="auto"/>
              <w:left w:val="single" w:sz="4" w:space="0" w:color="auto"/>
              <w:bottom w:val="single" w:sz="4" w:space="0" w:color="auto"/>
              <w:right w:val="single" w:sz="4" w:space="0" w:color="auto"/>
            </w:tcBorders>
            <w:shd w:val="clear" w:color="auto" w:fill="auto"/>
          </w:tcPr>
          <w:p w14:paraId="454EC70A" w14:textId="77777777" w:rsidR="00191E41" w:rsidRPr="00191E41" w:rsidRDefault="00191E41" w:rsidP="00191E41">
            <w:pPr>
              <w:jc w:val="center"/>
              <w:rPr>
                <w:rFonts w:eastAsia="Calibri"/>
                <w:b/>
                <w:sz w:val="18"/>
                <w:szCs w:val="18"/>
              </w:rPr>
            </w:pPr>
            <w:r w:rsidRPr="00191E41">
              <w:rPr>
                <w:rFonts w:eastAsia="Calibri"/>
                <w:b/>
                <w:sz w:val="18"/>
                <w:szCs w:val="18"/>
              </w:rPr>
              <w:t>Composición %</w:t>
            </w:r>
          </w:p>
        </w:tc>
      </w:tr>
      <w:tr w:rsidR="00191E41" w:rsidRPr="00191E41" w14:paraId="66B9E564" w14:textId="77777777" w:rsidTr="001E7D79">
        <w:trPr>
          <w:jc w:val="center"/>
        </w:trPr>
        <w:tc>
          <w:tcPr>
            <w:tcW w:w="3780" w:type="dxa"/>
            <w:vMerge/>
            <w:tcBorders>
              <w:top w:val="single" w:sz="4" w:space="0" w:color="auto"/>
              <w:left w:val="single" w:sz="4" w:space="0" w:color="auto"/>
              <w:bottom w:val="single" w:sz="4" w:space="0" w:color="auto"/>
              <w:right w:val="single" w:sz="4" w:space="0" w:color="auto"/>
            </w:tcBorders>
            <w:shd w:val="clear" w:color="auto" w:fill="auto"/>
          </w:tcPr>
          <w:p w14:paraId="1E254986" w14:textId="77777777" w:rsidR="00191E41" w:rsidRPr="00191E41" w:rsidRDefault="00191E41" w:rsidP="00191E41">
            <w:pPr>
              <w:jc w:val="center"/>
              <w:rPr>
                <w:rFonts w:eastAsia="Calibri"/>
                <w:b/>
                <w:sz w:val="18"/>
                <w:szCs w:val="18"/>
              </w:rPr>
            </w:pPr>
          </w:p>
        </w:tc>
        <w:tc>
          <w:tcPr>
            <w:tcW w:w="1189" w:type="dxa"/>
            <w:tcBorders>
              <w:top w:val="single" w:sz="4" w:space="0" w:color="auto"/>
              <w:left w:val="single" w:sz="4" w:space="0" w:color="auto"/>
              <w:bottom w:val="single" w:sz="4" w:space="0" w:color="auto"/>
              <w:right w:val="single" w:sz="4" w:space="0" w:color="auto"/>
            </w:tcBorders>
            <w:shd w:val="clear" w:color="auto" w:fill="auto"/>
          </w:tcPr>
          <w:p w14:paraId="17826D14" w14:textId="77777777" w:rsidR="00191E41" w:rsidRPr="00191E41" w:rsidRDefault="00191E41" w:rsidP="00191E41">
            <w:pPr>
              <w:jc w:val="center"/>
              <w:rPr>
                <w:rFonts w:eastAsia="Times New Roman"/>
                <w:b/>
                <w:sz w:val="18"/>
                <w:szCs w:val="18"/>
              </w:rPr>
            </w:pPr>
            <w:r w:rsidRPr="00191E41">
              <w:rPr>
                <w:rFonts w:eastAsia="Times New Roman"/>
                <w:b/>
                <w:sz w:val="18"/>
                <w:szCs w:val="18"/>
              </w:rPr>
              <w:t>2014</w:t>
            </w:r>
            <w:r w:rsidRPr="00191E41">
              <w:rPr>
                <w:rFonts w:eastAsia="Times New Roman"/>
                <w:b/>
                <w:sz w:val="18"/>
                <w:szCs w:val="18"/>
                <w:u w:val="single"/>
                <w:vertAlign w:val="superscript"/>
              </w:rPr>
              <w:t>p</w:t>
            </w:r>
            <w:r w:rsidRPr="00191E41">
              <w:rPr>
                <w:rFonts w:eastAsia="Times New Roman"/>
                <w:b/>
                <w:sz w:val="18"/>
                <w:szCs w:val="18"/>
                <w:vertAlign w:val="superscript"/>
              </w:rPr>
              <w:t>/</w:t>
            </w:r>
          </w:p>
        </w:tc>
        <w:tc>
          <w:tcPr>
            <w:tcW w:w="1197" w:type="dxa"/>
            <w:tcBorders>
              <w:top w:val="single" w:sz="4" w:space="0" w:color="auto"/>
              <w:left w:val="single" w:sz="4" w:space="0" w:color="auto"/>
              <w:bottom w:val="single" w:sz="4" w:space="0" w:color="auto"/>
              <w:right w:val="single" w:sz="4" w:space="0" w:color="auto"/>
            </w:tcBorders>
            <w:shd w:val="clear" w:color="auto" w:fill="auto"/>
          </w:tcPr>
          <w:p w14:paraId="019F521D" w14:textId="77777777" w:rsidR="00191E41" w:rsidRPr="00191E41" w:rsidRDefault="00191E41" w:rsidP="00191E41">
            <w:pPr>
              <w:jc w:val="center"/>
              <w:rPr>
                <w:rFonts w:eastAsia="Times New Roman"/>
                <w:b/>
                <w:sz w:val="18"/>
                <w:szCs w:val="18"/>
              </w:rPr>
            </w:pPr>
            <w:r w:rsidRPr="00191E41">
              <w:rPr>
                <w:rFonts w:eastAsia="Times New Roman"/>
                <w:b/>
                <w:sz w:val="18"/>
                <w:szCs w:val="18"/>
              </w:rPr>
              <w:t>2015</w:t>
            </w:r>
            <w:r w:rsidRPr="00191E41">
              <w:rPr>
                <w:rFonts w:eastAsia="Times New Roman"/>
                <w:b/>
                <w:sz w:val="18"/>
                <w:szCs w:val="18"/>
                <w:u w:val="single"/>
                <w:vertAlign w:val="superscript"/>
              </w:rPr>
              <w:t>p</w:t>
            </w:r>
            <w:r w:rsidRPr="00191E41">
              <w:rPr>
                <w:rFonts w:eastAsia="Times New Roman"/>
                <w:b/>
                <w:sz w:val="18"/>
                <w:szCs w:val="18"/>
                <w:vertAlign w:val="superscript"/>
              </w:rPr>
              <w:t>/</w:t>
            </w:r>
          </w:p>
        </w:tc>
        <w:tc>
          <w:tcPr>
            <w:tcW w:w="800" w:type="dxa"/>
            <w:tcBorders>
              <w:top w:val="nil"/>
              <w:left w:val="single" w:sz="4" w:space="0" w:color="auto"/>
              <w:bottom w:val="single" w:sz="4" w:space="0" w:color="auto"/>
              <w:right w:val="single" w:sz="4" w:space="0" w:color="auto"/>
            </w:tcBorders>
            <w:shd w:val="clear" w:color="auto" w:fill="auto"/>
          </w:tcPr>
          <w:p w14:paraId="581DDEB4" w14:textId="77777777" w:rsidR="00191E41" w:rsidRPr="00191E41" w:rsidRDefault="00191E41" w:rsidP="00191E41">
            <w:pPr>
              <w:jc w:val="center"/>
              <w:rPr>
                <w:rFonts w:eastAsia="Calibri"/>
                <w:b/>
                <w:sz w:val="18"/>
                <w:szCs w:val="18"/>
              </w:rPr>
            </w:pPr>
            <w:r w:rsidRPr="00191E41">
              <w:rPr>
                <w:rFonts w:eastAsia="Calibri"/>
                <w:b/>
                <w:sz w:val="18"/>
                <w:szCs w:val="18"/>
              </w:rPr>
              <w:t>real</w:t>
            </w:r>
          </w:p>
        </w:tc>
        <w:tc>
          <w:tcPr>
            <w:tcW w:w="813" w:type="dxa"/>
            <w:tcBorders>
              <w:top w:val="single" w:sz="4" w:space="0" w:color="auto"/>
              <w:left w:val="single" w:sz="4" w:space="0" w:color="auto"/>
              <w:bottom w:val="single" w:sz="4" w:space="0" w:color="auto"/>
              <w:right w:val="single" w:sz="4" w:space="0" w:color="auto"/>
            </w:tcBorders>
            <w:shd w:val="clear" w:color="auto" w:fill="auto"/>
          </w:tcPr>
          <w:p w14:paraId="0CF573C4" w14:textId="77777777" w:rsidR="00191E41" w:rsidRPr="00191E41" w:rsidRDefault="00191E41" w:rsidP="00191E41">
            <w:pPr>
              <w:jc w:val="center"/>
              <w:rPr>
                <w:rFonts w:eastAsia="Times New Roman"/>
                <w:b/>
                <w:sz w:val="18"/>
                <w:szCs w:val="18"/>
              </w:rPr>
            </w:pPr>
            <w:r w:rsidRPr="00191E41">
              <w:rPr>
                <w:rFonts w:eastAsia="Times New Roman"/>
                <w:b/>
                <w:sz w:val="18"/>
                <w:szCs w:val="18"/>
              </w:rPr>
              <w:t>2014</w:t>
            </w:r>
            <w:r w:rsidRPr="00191E41">
              <w:rPr>
                <w:rFonts w:eastAsia="Times New Roman"/>
                <w:b/>
                <w:sz w:val="18"/>
                <w:szCs w:val="18"/>
                <w:u w:val="single"/>
                <w:vertAlign w:val="superscript"/>
              </w:rPr>
              <w:t>p</w:t>
            </w:r>
            <w:r w:rsidRPr="00191E41">
              <w:rPr>
                <w:rFonts w:eastAsia="Times New Roman"/>
                <w:b/>
                <w:sz w:val="18"/>
                <w:szCs w:val="18"/>
                <w:vertAlign w:val="superscript"/>
              </w:rPr>
              <w:t>/</w:t>
            </w:r>
          </w:p>
        </w:tc>
        <w:tc>
          <w:tcPr>
            <w:tcW w:w="807" w:type="dxa"/>
            <w:tcBorders>
              <w:top w:val="single" w:sz="4" w:space="0" w:color="auto"/>
              <w:left w:val="single" w:sz="4" w:space="0" w:color="auto"/>
              <w:bottom w:val="single" w:sz="4" w:space="0" w:color="auto"/>
              <w:right w:val="single" w:sz="4" w:space="0" w:color="auto"/>
            </w:tcBorders>
            <w:shd w:val="clear" w:color="auto" w:fill="auto"/>
          </w:tcPr>
          <w:p w14:paraId="3F66D303" w14:textId="77777777" w:rsidR="00191E41" w:rsidRPr="00191E41" w:rsidRDefault="00191E41" w:rsidP="00191E41">
            <w:pPr>
              <w:jc w:val="center"/>
              <w:rPr>
                <w:rFonts w:eastAsia="Times New Roman"/>
                <w:b/>
                <w:sz w:val="18"/>
                <w:szCs w:val="18"/>
              </w:rPr>
            </w:pPr>
            <w:r w:rsidRPr="00191E41">
              <w:rPr>
                <w:rFonts w:eastAsia="Times New Roman"/>
                <w:b/>
                <w:sz w:val="18"/>
                <w:szCs w:val="18"/>
              </w:rPr>
              <w:t>2015</w:t>
            </w:r>
            <w:r w:rsidRPr="00191E41">
              <w:rPr>
                <w:rFonts w:eastAsia="Times New Roman"/>
                <w:b/>
                <w:sz w:val="18"/>
                <w:szCs w:val="18"/>
                <w:u w:val="single"/>
                <w:vertAlign w:val="superscript"/>
              </w:rPr>
              <w:t>p</w:t>
            </w:r>
            <w:r w:rsidRPr="00191E41">
              <w:rPr>
                <w:rFonts w:eastAsia="Times New Roman"/>
                <w:b/>
                <w:sz w:val="18"/>
                <w:szCs w:val="18"/>
                <w:vertAlign w:val="superscript"/>
              </w:rPr>
              <w:t>/</w:t>
            </w:r>
          </w:p>
        </w:tc>
      </w:tr>
      <w:tr w:rsidR="00191E41" w:rsidRPr="00191E41" w14:paraId="5C9696D9" w14:textId="77777777" w:rsidTr="001E7D79">
        <w:trPr>
          <w:jc w:val="center"/>
        </w:trPr>
        <w:tc>
          <w:tcPr>
            <w:tcW w:w="3780" w:type="dxa"/>
            <w:tcBorders>
              <w:top w:val="single" w:sz="4" w:space="0" w:color="auto"/>
              <w:left w:val="single" w:sz="4" w:space="0" w:color="auto"/>
              <w:bottom w:val="nil"/>
              <w:right w:val="single" w:sz="4" w:space="0" w:color="auto"/>
            </w:tcBorders>
            <w:shd w:val="clear" w:color="auto" w:fill="auto"/>
          </w:tcPr>
          <w:p w14:paraId="04A21C3A" w14:textId="77777777" w:rsidR="00191E41" w:rsidRPr="00191E41" w:rsidRDefault="00191E41" w:rsidP="00191E41">
            <w:pPr>
              <w:rPr>
                <w:rFonts w:eastAsia="Calibri"/>
                <w:b/>
                <w:sz w:val="18"/>
                <w:szCs w:val="18"/>
              </w:rPr>
            </w:pPr>
            <w:r w:rsidRPr="00191E41">
              <w:rPr>
                <w:rFonts w:eastAsia="Calibri"/>
                <w:b/>
                <w:sz w:val="18"/>
                <w:szCs w:val="18"/>
              </w:rPr>
              <w:t>INGRESOS PRESUPUESTARIOS (I+II)</w:t>
            </w:r>
          </w:p>
        </w:tc>
        <w:tc>
          <w:tcPr>
            <w:tcW w:w="1189" w:type="dxa"/>
            <w:tcBorders>
              <w:top w:val="single" w:sz="4" w:space="0" w:color="auto"/>
              <w:left w:val="single" w:sz="4" w:space="0" w:color="auto"/>
              <w:bottom w:val="nil"/>
              <w:right w:val="single" w:sz="4" w:space="0" w:color="auto"/>
            </w:tcBorders>
            <w:shd w:val="clear" w:color="auto" w:fill="auto"/>
          </w:tcPr>
          <w:p w14:paraId="5A2189F3" w14:textId="77777777" w:rsidR="00191E41" w:rsidRPr="00191E41" w:rsidRDefault="00191E41" w:rsidP="00191E41">
            <w:pPr>
              <w:ind w:right="113"/>
              <w:jc w:val="right"/>
              <w:rPr>
                <w:b/>
                <w:sz w:val="18"/>
                <w:szCs w:val="18"/>
              </w:rPr>
            </w:pPr>
            <w:r w:rsidRPr="00191E41">
              <w:rPr>
                <w:b/>
                <w:sz w:val="18"/>
                <w:szCs w:val="18"/>
              </w:rPr>
              <w:t>366 828.6</w:t>
            </w:r>
          </w:p>
        </w:tc>
        <w:tc>
          <w:tcPr>
            <w:tcW w:w="1197" w:type="dxa"/>
            <w:tcBorders>
              <w:top w:val="single" w:sz="4" w:space="0" w:color="auto"/>
              <w:left w:val="single" w:sz="4" w:space="0" w:color="auto"/>
              <w:bottom w:val="nil"/>
              <w:right w:val="single" w:sz="4" w:space="0" w:color="auto"/>
            </w:tcBorders>
            <w:shd w:val="clear" w:color="auto" w:fill="auto"/>
          </w:tcPr>
          <w:p w14:paraId="53B627E9" w14:textId="77777777" w:rsidR="00191E41" w:rsidRPr="00191E41" w:rsidRDefault="00191E41" w:rsidP="00191E41">
            <w:pPr>
              <w:ind w:right="113"/>
              <w:jc w:val="right"/>
              <w:rPr>
                <w:b/>
                <w:sz w:val="18"/>
                <w:szCs w:val="18"/>
              </w:rPr>
            </w:pPr>
            <w:r w:rsidRPr="00191E41">
              <w:rPr>
                <w:b/>
                <w:sz w:val="18"/>
                <w:szCs w:val="18"/>
              </w:rPr>
              <w:t>365 049.4</w:t>
            </w:r>
          </w:p>
        </w:tc>
        <w:tc>
          <w:tcPr>
            <w:tcW w:w="800" w:type="dxa"/>
            <w:tcBorders>
              <w:top w:val="single" w:sz="4" w:space="0" w:color="auto"/>
              <w:left w:val="single" w:sz="4" w:space="0" w:color="auto"/>
              <w:bottom w:val="nil"/>
              <w:right w:val="single" w:sz="4" w:space="0" w:color="auto"/>
            </w:tcBorders>
            <w:shd w:val="clear" w:color="auto" w:fill="auto"/>
          </w:tcPr>
          <w:p w14:paraId="0E26006C" w14:textId="77777777" w:rsidR="00191E41" w:rsidRPr="00191E41" w:rsidRDefault="00191E41" w:rsidP="00191E41">
            <w:pPr>
              <w:ind w:right="113"/>
              <w:jc w:val="right"/>
              <w:rPr>
                <w:b/>
                <w:sz w:val="18"/>
                <w:szCs w:val="18"/>
              </w:rPr>
            </w:pPr>
            <w:r w:rsidRPr="00191E41">
              <w:rPr>
                <w:b/>
                <w:sz w:val="18"/>
                <w:szCs w:val="18"/>
              </w:rPr>
              <w:t>-3.4</w:t>
            </w:r>
          </w:p>
        </w:tc>
        <w:tc>
          <w:tcPr>
            <w:tcW w:w="813" w:type="dxa"/>
            <w:tcBorders>
              <w:top w:val="single" w:sz="4" w:space="0" w:color="auto"/>
              <w:left w:val="single" w:sz="4" w:space="0" w:color="auto"/>
              <w:bottom w:val="nil"/>
              <w:right w:val="single" w:sz="4" w:space="0" w:color="auto"/>
            </w:tcBorders>
            <w:shd w:val="clear" w:color="auto" w:fill="auto"/>
          </w:tcPr>
          <w:p w14:paraId="62EADC7D" w14:textId="77777777" w:rsidR="00191E41" w:rsidRPr="00191E41" w:rsidRDefault="00191E41" w:rsidP="00191E41">
            <w:pPr>
              <w:ind w:right="113"/>
              <w:jc w:val="right"/>
              <w:rPr>
                <w:b/>
                <w:sz w:val="18"/>
                <w:szCs w:val="18"/>
              </w:rPr>
            </w:pPr>
            <w:r w:rsidRPr="00191E41">
              <w:rPr>
                <w:b/>
                <w:sz w:val="18"/>
                <w:szCs w:val="18"/>
              </w:rPr>
              <w:t>100.0</w:t>
            </w:r>
          </w:p>
        </w:tc>
        <w:tc>
          <w:tcPr>
            <w:tcW w:w="807" w:type="dxa"/>
            <w:tcBorders>
              <w:top w:val="single" w:sz="4" w:space="0" w:color="auto"/>
              <w:left w:val="single" w:sz="4" w:space="0" w:color="auto"/>
              <w:bottom w:val="nil"/>
              <w:right w:val="single" w:sz="4" w:space="0" w:color="auto"/>
            </w:tcBorders>
            <w:shd w:val="clear" w:color="auto" w:fill="auto"/>
          </w:tcPr>
          <w:p w14:paraId="67199C85" w14:textId="77777777" w:rsidR="00191E41" w:rsidRPr="00191E41" w:rsidRDefault="00191E41" w:rsidP="00191E41">
            <w:pPr>
              <w:ind w:right="113"/>
              <w:jc w:val="right"/>
              <w:rPr>
                <w:b/>
                <w:sz w:val="18"/>
                <w:szCs w:val="18"/>
              </w:rPr>
            </w:pPr>
            <w:r w:rsidRPr="00191E41">
              <w:rPr>
                <w:b/>
                <w:sz w:val="18"/>
                <w:szCs w:val="18"/>
              </w:rPr>
              <w:t>100.0</w:t>
            </w:r>
          </w:p>
        </w:tc>
      </w:tr>
      <w:tr w:rsidR="00191E41" w:rsidRPr="00191E41" w14:paraId="20C61C4A" w14:textId="77777777" w:rsidTr="001E7D79">
        <w:trPr>
          <w:jc w:val="center"/>
        </w:trPr>
        <w:tc>
          <w:tcPr>
            <w:tcW w:w="3780" w:type="dxa"/>
            <w:tcBorders>
              <w:top w:val="nil"/>
              <w:left w:val="single" w:sz="4" w:space="0" w:color="auto"/>
              <w:bottom w:val="nil"/>
              <w:right w:val="single" w:sz="4" w:space="0" w:color="auto"/>
            </w:tcBorders>
            <w:shd w:val="clear" w:color="auto" w:fill="auto"/>
          </w:tcPr>
          <w:p w14:paraId="1825D854" w14:textId="77777777" w:rsidR="00191E41" w:rsidRPr="00191E41" w:rsidRDefault="00191E41" w:rsidP="00191E41">
            <w:pPr>
              <w:ind w:left="113"/>
              <w:rPr>
                <w:rFonts w:eastAsia="Calibri"/>
                <w:sz w:val="18"/>
                <w:szCs w:val="18"/>
                <w:vertAlign w:val="superscript"/>
              </w:rPr>
            </w:pPr>
            <w:r w:rsidRPr="00191E41">
              <w:rPr>
                <w:rFonts w:eastAsia="Calibri"/>
                <w:sz w:val="18"/>
                <w:szCs w:val="18"/>
              </w:rPr>
              <w:t>I  Petroleros (a+b)</w:t>
            </w:r>
          </w:p>
        </w:tc>
        <w:tc>
          <w:tcPr>
            <w:tcW w:w="1189" w:type="dxa"/>
            <w:tcBorders>
              <w:top w:val="nil"/>
              <w:left w:val="single" w:sz="4" w:space="0" w:color="auto"/>
              <w:bottom w:val="nil"/>
              <w:right w:val="single" w:sz="4" w:space="0" w:color="auto"/>
            </w:tcBorders>
            <w:shd w:val="clear" w:color="auto" w:fill="auto"/>
          </w:tcPr>
          <w:p w14:paraId="7EE8CBA7" w14:textId="77777777" w:rsidR="00191E41" w:rsidRPr="00191E41" w:rsidRDefault="00191E41" w:rsidP="00191E41">
            <w:pPr>
              <w:ind w:right="113"/>
              <w:jc w:val="right"/>
              <w:rPr>
                <w:sz w:val="18"/>
                <w:szCs w:val="18"/>
              </w:rPr>
            </w:pPr>
            <w:r w:rsidRPr="00191E41">
              <w:rPr>
                <w:sz w:val="18"/>
                <w:szCs w:val="18"/>
              </w:rPr>
              <w:t>97 902.9</w:t>
            </w:r>
          </w:p>
        </w:tc>
        <w:tc>
          <w:tcPr>
            <w:tcW w:w="1197" w:type="dxa"/>
            <w:tcBorders>
              <w:top w:val="nil"/>
              <w:left w:val="single" w:sz="4" w:space="0" w:color="auto"/>
              <w:bottom w:val="nil"/>
              <w:right w:val="single" w:sz="4" w:space="0" w:color="auto"/>
            </w:tcBorders>
            <w:shd w:val="clear" w:color="auto" w:fill="auto"/>
          </w:tcPr>
          <w:p w14:paraId="43D9CE43" w14:textId="77777777" w:rsidR="00191E41" w:rsidRPr="00191E41" w:rsidRDefault="00191E41" w:rsidP="00191E41">
            <w:pPr>
              <w:ind w:right="113"/>
              <w:jc w:val="right"/>
              <w:rPr>
                <w:sz w:val="18"/>
                <w:szCs w:val="18"/>
              </w:rPr>
            </w:pPr>
            <w:r w:rsidRPr="00191E41">
              <w:rPr>
                <w:sz w:val="18"/>
                <w:szCs w:val="18"/>
              </w:rPr>
              <w:t>56 994.8</w:t>
            </w:r>
          </w:p>
        </w:tc>
        <w:tc>
          <w:tcPr>
            <w:tcW w:w="800" w:type="dxa"/>
            <w:tcBorders>
              <w:top w:val="nil"/>
              <w:left w:val="single" w:sz="4" w:space="0" w:color="auto"/>
              <w:bottom w:val="nil"/>
              <w:right w:val="single" w:sz="4" w:space="0" w:color="auto"/>
            </w:tcBorders>
            <w:shd w:val="clear" w:color="auto" w:fill="auto"/>
          </w:tcPr>
          <w:p w14:paraId="15CABF47" w14:textId="77777777" w:rsidR="00191E41" w:rsidRPr="00191E41" w:rsidRDefault="00191E41" w:rsidP="00191E41">
            <w:pPr>
              <w:ind w:right="113"/>
              <w:jc w:val="right"/>
              <w:rPr>
                <w:sz w:val="18"/>
                <w:szCs w:val="18"/>
              </w:rPr>
            </w:pPr>
            <w:r w:rsidRPr="00191E41">
              <w:rPr>
                <w:sz w:val="18"/>
                <w:szCs w:val="18"/>
              </w:rPr>
              <w:t>-43.5</w:t>
            </w:r>
          </w:p>
        </w:tc>
        <w:tc>
          <w:tcPr>
            <w:tcW w:w="813" w:type="dxa"/>
            <w:tcBorders>
              <w:top w:val="nil"/>
              <w:left w:val="single" w:sz="4" w:space="0" w:color="auto"/>
              <w:bottom w:val="nil"/>
              <w:right w:val="single" w:sz="4" w:space="0" w:color="auto"/>
            </w:tcBorders>
            <w:shd w:val="clear" w:color="auto" w:fill="auto"/>
          </w:tcPr>
          <w:p w14:paraId="1E18BF97" w14:textId="77777777" w:rsidR="00191E41" w:rsidRPr="00191E41" w:rsidRDefault="00191E41" w:rsidP="00191E41">
            <w:pPr>
              <w:ind w:right="113"/>
              <w:jc w:val="right"/>
              <w:rPr>
                <w:sz w:val="18"/>
                <w:szCs w:val="18"/>
              </w:rPr>
            </w:pPr>
            <w:r w:rsidRPr="00191E41">
              <w:rPr>
                <w:sz w:val="18"/>
                <w:szCs w:val="18"/>
              </w:rPr>
              <w:t>26.7</w:t>
            </w:r>
          </w:p>
        </w:tc>
        <w:tc>
          <w:tcPr>
            <w:tcW w:w="807" w:type="dxa"/>
            <w:tcBorders>
              <w:top w:val="nil"/>
              <w:left w:val="single" w:sz="4" w:space="0" w:color="auto"/>
              <w:bottom w:val="nil"/>
              <w:right w:val="single" w:sz="4" w:space="0" w:color="auto"/>
            </w:tcBorders>
            <w:shd w:val="clear" w:color="auto" w:fill="auto"/>
          </w:tcPr>
          <w:p w14:paraId="367AD18F" w14:textId="77777777" w:rsidR="00191E41" w:rsidRPr="00191E41" w:rsidRDefault="00191E41" w:rsidP="00191E41">
            <w:pPr>
              <w:ind w:right="113"/>
              <w:jc w:val="right"/>
              <w:rPr>
                <w:sz w:val="18"/>
                <w:szCs w:val="18"/>
              </w:rPr>
            </w:pPr>
            <w:r w:rsidRPr="00191E41">
              <w:rPr>
                <w:sz w:val="18"/>
                <w:szCs w:val="18"/>
              </w:rPr>
              <w:t>15.6</w:t>
            </w:r>
          </w:p>
        </w:tc>
      </w:tr>
      <w:tr w:rsidR="00191E41" w:rsidRPr="00191E41" w14:paraId="1FB8A4DD" w14:textId="77777777" w:rsidTr="001E7D79">
        <w:trPr>
          <w:jc w:val="center"/>
        </w:trPr>
        <w:tc>
          <w:tcPr>
            <w:tcW w:w="3780" w:type="dxa"/>
            <w:tcBorders>
              <w:top w:val="nil"/>
              <w:left w:val="single" w:sz="4" w:space="0" w:color="auto"/>
              <w:bottom w:val="nil"/>
              <w:right w:val="single" w:sz="4" w:space="0" w:color="auto"/>
            </w:tcBorders>
            <w:shd w:val="clear" w:color="auto" w:fill="auto"/>
          </w:tcPr>
          <w:p w14:paraId="6B380558" w14:textId="77777777" w:rsidR="00191E41" w:rsidRPr="00191E41" w:rsidRDefault="00191E41" w:rsidP="00191E41">
            <w:pPr>
              <w:ind w:left="284"/>
              <w:rPr>
                <w:rFonts w:eastAsia="Calibri"/>
                <w:sz w:val="18"/>
                <w:szCs w:val="18"/>
              </w:rPr>
            </w:pPr>
            <w:r w:rsidRPr="00191E41">
              <w:rPr>
                <w:rFonts w:eastAsia="Calibri"/>
                <w:sz w:val="18"/>
                <w:szCs w:val="18"/>
              </w:rPr>
              <w:t>a) Pemex</w:t>
            </w:r>
          </w:p>
        </w:tc>
        <w:tc>
          <w:tcPr>
            <w:tcW w:w="1189" w:type="dxa"/>
            <w:tcBorders>
              <w:top w:val="nil"/>
              <w:left w:val="single" w:sz="4" w:space="0" w:color="auto"/>
              <w:bottom w:val="nil"/>
              <w:right w:val="single" w:sz="4" w:space="0" w:color="auto"/>
            </w:tcBorders>
            <w:shd w:val="clear" w:color="auto" w:fill="auto"/>
          </w:tcPr>
          <w:p w14:paraId="5F31DF3A" w14:textId="77777777" w:rsidR="00191E41" w:rsidRPr="00191E41" w:rsidRDefault="00191E41" w:rsidP="00191E41">
            <w:pPr>
              <w:ind w:right="113"/>
              <w:jc w:val="right"/>
              <w:rPr>
                <w:sz w:val="18"/>
                <w:szCs w:val="18"/>
              </w:rPr>
            </w:pPr>
            <w:r w:rsidRPr="00191E41">
              <w:rPr>
                <w:sz w:val="18"/>
                <w:szCs w:val="18"/>
              </w:rPr>
              <w:t>29 372.3</w:t>
            </w:r>
          </w:p>
        </w:tc>
        <w:tc>
          <w:tcPr>
            <w:tcW w:w="1197" w:type="dxa"/>
            <w:tcBorders>
              <w:top w:val="nil"/>
              <w:left w:val="single" w:sz="4" w:space="0" w:color="auto"/>
              <w:bottom w:val="nil"/>
              <w:right w:val="single" w:sz="4" w:space="0" w:color="auto"/>
            </w:tcBorders>
            <w:shd w:val="clear" w:color="auto" w:fill="auto"/>
          </w:tcPr>
          <w:p w14:paraId="174DA165" w14:textId="77777777" w:rsidR="00191E41" w:rsidRPr="00191E41" w:rsidRDefault="00191E41" w:rsidP="00191E41">
            <w:pPr>
              <w:ind w:right="113"/>
              <w:jc w:val="right"/>
              <w:rPr>
                <w:sz w:val="18"/>
                <w:szCs w:val="18"/>
              </w:rPr>
            </w:pPr>
            <w:r w:rsidRPr="00191E41">
              <w:rPr>
                <w:sz w:val="18"/>
                <w:szCs w:val="18"/>
              </w:rPr>
              <w:t>12 502.6</w:t>
            </w:r>
          </w:p>
        </w:tc>
        <w:tc>
          <w:tcPr>
            <w:tcW w:w="800" w:type="dxa"/>
            <w:tcBorders>
              <w:top w:val="nil"/>
              <w:left w:val="single" w:sz="4" w:space="0" w:color="auto"/>
              <w:bottom w:val="nil"/>
              <w:right w:val="single" w:sz="4" w:space="0" w:color="auto"/>
            </w:tcBorders>
            <w:shd w:val="clear" w:color="auto" w:fill="auto"/>
          </w:tcPr>
          <w:p w14:paraId="183553B2" w14:textId="77777777" w:rsidR="00191E41" w:rsidRPr="00191E41" w:rsidRDefault="00191E41" w:rsidP="00191E41">
            <w:pPr>
              <w:ind w:right="113"/>
              <w:jc w:val="right"/>
              <w:rPr>
                <w:sz w:val="18"/>
                <w:szCs w:val="18"/>
              </w:rPr>
            </w:pPr>
            <w:r w:rsidRPr="00191E41">
              <w:rPr>
                <w:sz w:val="18"/>
                <w:szCs w:val="18"/>
              </w:rPr>
              <w:t>-58.7</w:t>
            </w:r>
          </w:p>
        </w:tc>
        <w:tc>
          <w:tcPr>
            <w:tcW w:w="813" w:type="dxa"/>
            <w:tcBorders>
              <w:top w:val="nil"/>
              <w:left w:val="single" w:sz="4" w:space="0" w:color="auto"/>
              <w:bottom w:val="nil"/>
              <w:right w:val="single" w:sz="4" w:space="0" w:color="auto"/>
            </w:tcBorders>
            <w:shd w:val="clear" w:color="auto" w:fill="auto"/>
          </w:tcPr>
          <w:p w14:paraId="50D88963" w14:textId="77777777" w:rsidR="00191E41" w:rsidRPr="00191E41" w:rsidRDefault="00191E41" w:rsidP="00191E41">
            <w:pPr>
              <w:ind w:right="113"/>
              <w:jc w:val="right"/>
              <w:rPr>
                <w:sz w:val="18"/>
                <w:szCs w:val="18"/>
              </w:rPr>
            </w:pPr>
            <w:r w:rsidRPr="00191E41">
              <w:rPr>
                <w:sz w:val="18"/>
                <w:szCs w:val="18"/>
              </w:rPr>
              <w:t>8.0</w:t>
            </w:r>
          </w:p>
        </w:tc>
        <w:tc>
          <w:tcPr>
            <w:tcW w:w="807" w:type="dxa"/>
            <w:tcBorders>
              <w:top w:val="nil"/>
              <w:left w:val="single" w:sz="4" w:space="0" w:color="auto"/>
              <w:bottom w:val="nil"/>
              <w:right w:val="single" w:sz="4" w:space="0" w:color="auto"/>
            </w:tcBorders>
            <w:shd w:val="clear" w:color="auto" w:fill="auto"/>
          </w:tcPr>
          <w:p w14:paraId="1E1B7DDF" w14:textId="77777777" w:rsidR="00191E41" w:rsidRPr="00191E41" w:rsidRDefault="00191E41" w:rsidP="00191E41">
            <w:pPr>
              <w:ind w:right="113"/>
              <w:jc w:val="right"/>
              <w:rPr>
                <w:sz w:val="18"/>
                <w:szCs w:val="18"/>
              </w:rPr>
            </w:pPr>
            <w:r w:rsidRPr="00191E41">
              <w:rPr>
                <w:sz w:val="18"/>
                <w:szCs w:val="18"/>
              </w:rPr>
              <w:t>3.4</w:t>
            </w:r>
          </w:p>
        </w:tc>
      </w:tr>
      <w:tr w:rsidR="00191E41" w:rsidRPr="00191E41" w14:paraId="1963A798" w14:textId="77777777" w:rsidTr="001E7D79">
        <w:trPr>
          <w:jc w:val="center"/>
        </w:trPr>
        <w:tc>
          <w:tcPr>
            <w:tcW w:w="3780" w:type="dxa"/>
            <w:tcBorders>
              <w:top w:val="nil"/>
              <w:left w:val="single" w:sz="4" w:space="0" w:color="auto"/>
              <w:bottom w:val="nil"/>
              <w:right w:val="single" w:sz="4" w:space="0" w:color="auto"/>
            </w:tcBorders>
            <w:shd w:val="clear" w:color="auto" w:fill="auto"/>
          </w:tcPr>
          <w:p w14:paraId="09996564" w14:textId="77777777" w:rsidR="00191E41" w:rsidRPr="00191E41" w:rsidRDefault="00191E41" w:rsidP="00191E41">
            <w:pPr>
              <w:ind w:left="284"/>
              <w:rPr>
                <w:rFonts w:eastAsia="Calibri"/>
                <w:sz w:val="18"/>
                <w:szCs w:val="18"/>
              </w:rPr>
            </w:pPr>
            <w:r w:rsidRPr="00191E41">
              <w:rPr>
                <w:rFonts w:eastAsia="Calibri"/>
                <w:sz w:val="18"/>
                <w:szCs w:val="18"/>
              </w:rPr>
              <w:t>b) Gobierno Federal</w:t>
            </w:r>
          </w:p>
        </w:tc>
        <w:tc>
          <w:tcPr>
            <w:tcW w:w="1189" w:type="dxa"/>
            <w:tcBorders>
              <w:top w:val="nil"/>
              <w:left w:val="single" w:sz="4" w:space="0" w:color="auto"/>
              <w:bottom w:val="nil"/>
              <w:right w:val="single" w:sz="4" w:space="0" w:color="auto"/>
            </w:tcBorders>
            <w:shd w:val="clear" w:color="auto" w:fill="auto"/>
          </w:tcPr>
          <w:p w14:paraId="5CD35C28" w14:textId="77777777" w:rsidR="00191E41" w:rsidRPr="00191E41" w:rsidRDefault="00191E41" w:rsidP="00191E41">
            <w:pPr>
              <w:ind w:right="113"/>
              <w:jc w:val="right"/>
              <w:rPr>
                <w:sz w:val="18"/>
                <w:szCs w:val="18"/>
              </w:rPr>
            </w:pPr>
            <w:r w:rsidRPr="00191E41">
              <w:rPr>
                <w:sz w:val="18"/>
                <w:szCs w:val="18"/>
              </w:rPr>
              <w:t>68 530.6</w:t>
            </w:r>
          </w:p>
        </w:tc>
        <w:tc>
          <w:tcPr>
            <w:tcW w:w="1197" w:type="dxa"/>
            <w:tcBorders>
              <w:top w:val="nil"/>
              <w:left w:val="single" w:sz="4" w:space="0" w:color="auto"/>
              <w:bottom w:val="nil"/>
              <w:right w:val="single" w:sz="4" w:space="0" w:color="auto"/>
            </w:tcBorders>
            <w:shd w:val="clear" w:color="auto" w:fill="auto"/>
          </w:tcPr>
          <w:p w14:paraId="33835887" w14:textId="77777777" w:rsidR="00191E41" w:rsidRPr="00191E41" w:rsidRDefault="00191E41" w:rsidP="00191E41">
            <w:pPr>
              <w:ind w:right="113"/>
              <w:jc w:val="right"/>
              <w:rPr>
                <w:sz w:val="18"/>
                <w:szCs w:val="18"/>
              </w:rPr>
            </w:pPr>
            <w:r w:rsidRPr="00191E41">
              <w:rPr>
                <w:sz w:val="18"/>
                <w:szCs w:val="18"/>
              </w:rPr>
              <w:t>44 492.2</w:t>
            </w:r>
          </w:p>
        </w:tc>
        <w:tc>
          <w:tcPr>
            <w:tcW w:w="800" w:type="dxa"/>
            <w:tcBorders>
              <w:top w:val="nil"/>
              <w:left w:val="single" w:sz="4" w:space="0" w:color="auto"/>
              <w:bottom w:val="nil"/>
              <w:right w:val="single" w:sz="4" w:space="0" w:color="auto"/>
            </w:tcBorders>
            <w:shd w:val="clear" w:color="auto" w:fill="auto"/>
          </w:tcPr>
          <w:p w14:paraId="50E7FF65" w14:textId="77777777" w:rsidR="00191E41" w:rsidRPr="00191E41" w:rsidRDefault="00191E41" w:rsidP="00191E41">
            <w:pPr>
              <w:ind w:right="113"/>
              <w:jc w:val="right"/>
              <w:rPr>
                <w:sz w:val="18"/>
                <w:szCs w:val="18"/>
              </w:rPr>
            </w:pPr>
            <w:r w:rsidRPr="00191E41">
              <w:rPr>
                <w:sz w:val="18"/>
                <w:szCs w:val="18"/>
              </w:rPr>
              <w:t>-37.0</w:t>
            </w:r>
          </w:p>
        </w:tc>
        <w:tc>
          <w:tcPr>
            <w:tcW w:w="813" w:type="dxa"/>
            <w:tcBorders>
              <w:top w:val="nil"/>
              <w:left w:val="single" w:sz="4" w:space="0" w:color="auto"/>
              <w:bottom w:val="nil"/>
              <w:right w:val="single" w:sz="4" w:space="0" w:color="auto"/>
            </w:tcBorders>
            <w:shd w:val="clear" w:color="auto" w:fill="auto"/>
          </w:tcPr>
          <w:p w14:paraId="6F3DA30D" w14:textId="77777777" w:rsidR="00191E41" w:rsidRPr="00191E41" w:rsidRDefault="00191E41" w:rsidP="00191E41">
            <w:pPr>
              <w:ind w:right="113"/>
              <w:jc w:val="right"/>
              <w:rPr>
                <w:sz w:val="18"/>
                <w:szCs w:val="18"/>
              </w:rPr>
            </w:pPr>
            <w:r w:rsidRPr="00191E41">
              <w:rPr>
                <w:sz w:val="18"/>
                <w:szCs w:val="18"/>
              </w:rPr>
              <w:t>18.7</w:t>
            </w:r>
          </w:p>
        </w:tc>
        <w:tc>
          <w:tcPr>
            <w:tcW w:w="807" w:type="dxa"/>
            <w:tcBorders>
              <w:top w:val="nil"/>
              <w:left w:val="single" w:sz="4" w:space="0" w:color="auto"/>
              <w:bottom w:val="nil"/>
              <w:right w:val="single" w:sz="4" w:space="0" w:color="auto"/>
            </w:tcBorders>
            <w:shd w:val="clear" w:color="auto" w:fill="auto"/>
          </w:tcPr>
          <w:p w14:paraId="2AA51000" w14:textId="77777777" w:rsidR="00191E41" w:rsidRPr="00191E41" w:rsidRDefault="00191E41" w:rsidP="00191E41">
            <w:pPr>
              <w:ind w:right="113"/>
              <w:jc w:val="right"/>
              <w:rPr>
                <w:sz w:val="18"/>
                <w:szCs w:val="18"/>
              </w:rPr>
            </w:pPr>
            <w:r w:rsidRPr="00191E41">
              <w:rPr>
                <w:sz w:val="18"/>
                <w:szCs w:val="18"/>
              </w:rPr>
              <w:t>12.2</w:t>
            </w:r>
          </w:p>
        </w:tc>
      </w:tr>
      <w:tr w:rsidR="00191E41" w:rsidRPr="00191E41" w14:paraId="3F30315A" w14:textId="77777777" w:rsidTr="001E7D79">
        <w:trPr>
          <w:jc w:val="center"/>
        </w:trPr>
        <w:tc>
          <w:tcPr>
            <w:tcW w:w="3780" w:type="dxa"/>
            <w:tcBorders>
              <w:top w:val="nil"/>
              <w:left w:val="single" w:sz="4" w:space="0" w:color="auto"/>
              <w:bottom w:val="nil"/>
              <w:right w:val="single" w:sz="4" w:space="0" w:color="auto"/>
            </w:tcBorders>
            <w:shd w:val="clear" w:color="auto" w:fill="auto"/>
          </w:tcPr>
          <w:p w14:paraId="1F2132A9" w14:textId="77777777" w:rsidR="00191E41" w:rsidRPr="00191E41" w:rsidRDefault="00191E41" w:rsidP="00191E41">
            <w:pPr>
              <w:ind w:left="454"/>
              <w:rPr>
                <w:rFonts w:eastAsia="Calibri"/>
                <w:sz w:val="18"/>
                <w:szCs w:val="18"/>
              </w:rPr>
            </w:pPr>
            <w:r w:rsidRPr="00191E41">
              <w:rPr>
                <w:rFonts w:eastAsia="Calibri"/>
                <w:sz w:val="18"/>
                <w:szCs w:val="18"/>
              </w:rPr>
              <w:t>Fondo Mexicano del Petróleo</w:t>
            </w:r>
          </w:p>
        </w:tc>
        <w:tc>
          <w:tcPr>
            <w:tcW w:w="1189" w:type="dxa"/>
            <w:tcBorders>
              <w:top w:val="nil"/>
              <w:left w:val="single" w:sz="4" w:space="0" w:color="auto"/>
              <w:bottom w:val="nil"/>
              <w:right w:val="single" w:sz="4" w:space="0" w:color="auto"/>
            </w:tcBorders>
            <w:shd w:val="clear" w:color="auto" w:fill="auto"/>
          </w:tcPr>
          <w:p w14:paraId="57A138F6" w14:textId="77777777" w:rsidR="00191E41" w:rsidRPr="00191E41" w:rsidRDefault="00191E41" w:rsidP="00191E41">
            <w:pPr>
              <w:ind w:right="113"/>
              <w:jc w:val="right"/>
              <w:rPr>
                <w:sz w:val="18"/>
                <w:szCs w:val="18"/>
              </w:rPr>
            </w:pPr>
            <w:r w:rsidRPr="00191E41">
              <w:rPr>
                <w:sz w:val="18"/>
                <w:szCs w:val="18"/>
              </w:rPr>
              <w:t>0.0</w:t>
            </w:r>
          </w:p>
        </w:tc>
        <w:tc>
          <w:tcPr>
            <w:tcW w:w="1197" w:type="dxa"/>
            <w:tcBorders>
              <w:top w:val="nil"/>
              <w:left w:val="single" w:sz="4" w:space="0" w:color="auto"/>
              <w:bottom w:val="nil"/>
              <w:right w:val="single" w:sz="4" w:space="0" w:color="auto"/>
            </w:tcBorders>
            <w:shd w:val="clear" w:color="auto" w:fill="auto"/>
          </w:tcPr>
          <w:p w14:paraId="5F131EB7" w14:textId="77777777" w:rsidR="00191E41" w:rsidRPr="00191E41" w:rsidRDefault="00191E41" w:rsidP="00191E41">
            <w:pPr>
              <w:ind w:right="113"/>
              <w:jc w:val="right"/>
              <w:rPr>
                <w:sz w:val="18"/>
                <w:szCs w:val="18"/>
              </w:rPr>
            </w:pPr>
            <w:r w:rsidRPr="00191E41">
              <w:rPr>
                <w:sz w:val="18"/>
                <w:szCs w:val="18"/>
              </w:rPr>
              <w:t>34 323.0</w:t>
            </w:r>
          </w:p>
        </w:tc>
        <w:tc>
          <w:tcPr>
            <w:tcW w:w="800" w:type="dxa"/>
            <w:tcBorders>
              <w:top w:val="nil"/>
              <w:left w:val="single" w:sz="4" w:space="0" w:color="auto"/>
              <w:bottom w:val="nil"/>
              <w:right w:val="single" w:sz="4" w:space="0" w:color="auto"/>
            </w:tcBorders>
            <w:shd w:val="clear" w:color="auto" w:fill="auto"/>
          </w:tcPr>
          <w:p w14:paraId="7B8E3B27" w14:textId="77777777" w:rsidR="00191E41" w:rsidRPr="00191E41" w:rsidRDefault="00191E41" w:rsidP="00191E41">
            <w:pPr>
              <w:ind w:right="113"/>
              <w:jc w:val="right"/>
              <w:rPr>
                <w:sz w:val="18"/>
                <w:szCs w:val="18"/>
              </w:rPr>
            </w:pPr>
            <w:r w:rsidRPr="00191E41">
              <w:rPr>
                <w:sz w:val="18"/>
                <w:szCs w:val="18"/>
              </w:rPr>
              <w:t>n.s</w:t>
            </w:r>
          </w:p>
        </w:tc>
        <w:tc>
          <w:tcPr>
            <w:tcW w:w="813" w:type="dxa"/>
            <w:tcBorders>
              <w:top w:val="nil"/>
              <w:left w:val="single" w:sz="4" w:space="0" w:color="auto"/>
              <w:bottom w:val="nil"/>
              <w:right w:val="single" w:sz="4" w:space="0" w:color="auto"/>
            </w:tcBorders>
            <w:shd w:val="clear" w:color="auto" w:fill="auto"/>
          </w:tcPr>
          <w:p w14:paraId="1A803DDB" w14:textId="77777777" w:rsidR="00191E41" w:rsidRPr="00191E41" w:rsidRDefault="00191E41" w:rsidP="00191E41">
            <w:pPr>
              <w:ind w:right="113"/>
              <w:jc w:val="right"/>
              <w:rPr>
                <w:sz w:val="18"/>
                <w:szCs w:val="18"/>
              </w:rPr>
            </w:pPr>
            <w:r w:rsidRPr="00191E41">
              <w:rPr>
                <w:sz w:val="18"/>
                <w:szCs w:val="18"/>
              </w:rPr>
              <w:t>0.0</w:t>
            </w:r>
          </w:p>
        </w:tc>
        <w:tc>
          <w:tcPr>
            <w:tcW w:w="807" w:type="dxa"/>
            <w:tcBorders>
              <w:top w:val="nil"/>
              <w:left w:val="single" w:sz="4" w:space="0" w:color="auto"/>
              <w:bottom w:val="nil"/>
              <w:right w:val="single" w:sz="4" w:space="0" w:color="auto"/>
            </w:tcBorders>
            <w:shd w:val="clear" w:color="auto" w:fill="auto"/>
          </w:tcPr>
          <w:p w14:paraId="44D1C99C" w14:textId="77777777" w:rsidR="00191E41" w:rsidRPr="00191E41" w:rsidRDefault="00191E41" w:rsidP="00191E41">
            <w:pPr>
              <w:ind w:right="113"/>
              <w:jc w:val="right"/>
              <w:rPr>
                <w:sz w:val="18"/>
                <w:szCs w:val="18"/>
              </w:rPr>
            </w:pPr>
            <w:r w:rsidRPr="00191E41">
              <w:rPr>
                <w:sz w:val="18"/>
                <w:szCs w:val="18"/>
              </w:rPr>
              <w:t>9.4</w:t>
            </w:r>
          </w:p>
        </w:tc>
      </w:tr>
      <w:tr w:rsidR="00191E41" w:rsidRPr="00191E41" w14:paraId="3E6C25B0" w14:textId="77777777" w:rsidTr="001E7D79">
        <w:trPr>
          <w:jc w:val="center"/>
        </w:trPr>
        <w:tc>
          <w:tcPr>
            <w:tcW w:w="3780" w:type="dxa"/>
            <w:tcBorders>
              <w:top w:val="nil"/>
              <w:left w:val="single" w:sz="4" w:space="0" w:color="auto"/>
              <w:bottom w:val="nil"/>
              <w:right w:val="single" w:sz="4" w:space="0" w:color="auto"/>
            </w:tcBorders>
            <w:shd w:val="clear" w:color="auto" w:fill="auto"/>
          </w:tcPr>
          <w:p w14:paraId="36E20EB5" w14:textId="77777777" w:rsidR="00191E41" w:rsidRPr="00191E41" w:rsidRDefault="00191E41" w:rsidP="00191E41">
            <w:pPr>
              <w:ind w:left="454"/>
              <w:rPr>
                <w:rFonts w:eastAsia="Calibri"/>
                <w:sz w:val="18"/>
                <w:szCs w:val="18"/>
              </w:rPr>
            </w:pPr>
            <w:r w:rsidRPr="00191E41">
              <w:rPr>
                <w:rFonts w:eastAsia="Calibri"/>
                <w:sz w:val="18"/>
                <w:szCs w:val="18"/>
              </w:rPr>
              <w:t>ISR de contratistas y asignatarios</w:t>
            </w:r>
          </w:p>
        </w:tc>
        <w:tc>
          <w:tcPr>
            <w:tcW w:w="1189" w:type="dxa"/>
            <w:tcBorders>
              <w:top w:val="nil"/>
              <w:left w:val="single" w:sz="4" w:space="0" w:color="auto"/>
              <w:bottom w:val="nil"/>
              <w:right w:val="single" w:sz="4" w:space="0" w:color="auto"/>
            </w:tcBorders>
            <w:shd w:val="clear" w:color="auto" w:fill="auto"/>
          </w:tcPr>
          <w:p w14:paraId="195AF466" w14:textId="77777777" w:rsidR="00191E41" w:rsidRPr="00191E41" w:rsidRDefault="00191E41" w:rsidP="00191E41">
            <w:pPr>
              <w:ind w:right="113"/>
              <w:jc w:val="right"/>
              <w:rPr>
                <w:sz w:val="18"/>
                <w:szCs w:val="18"/>
              </w:rPr>
            </w:pPr>
            <w:r w:rsidRPr="00191E41">
              <w:rPr>
                <w:sz w:val="18"/>
                <w:szCs w:val="18"/>
              </w:rPr>
              <w:t>0.0</w:t>
            </w:r>
          </w:p>
        </w:tc>
        <w:tc>
          <w:tcPr>
            <w:tcW w:w="1197" w:type="dxa"/>
            <w:tcBorders>
              <w:top w:val="nil"/>
              <w:left w:val="single" w:sz="4" w:space="0" w:color="auto"/>
              <w:bottom w:val="nil"/>
              <w:right w:val="single" w:sz="4" w:space="0" w:color="auto"/>
            </w:tcBorders>
            <w:shd w:val="clear" w:color="auto" w:fill="auto"/>
          </w:tcPr>
          <w:p w14:paraId="515E9AD6" w14:textId="77777777" w:rsidR="00191E41" w:rsidRPr="00191E41" w:rsidRDefault="00191E41" w:rsidP="00191E41">
            <w:pPr>
              <w:ind w:right="113"/>
              <w:jc w:val="right"/>
              <w:rPr>
                <w:sz w:val="18"/>
                <w:szCs w:val="18"/>
              </w:rPr>
            </w:pPr>
            <w:r w:rsidRPr="00191E41">
              <w:rPr>
                <w:sz w:val="18"/>
                <w:szCs w:val="18"/>
              </w:rPr>
              <w:t>0.0</w:t>
            </w:r>
          </w:p>
        </w:tc>
        <w:tc>
          <w:tcPr>
            <w:tcW w:w="800" w:type="dxa"/>
            <w:tcBorders>
              <w:top w:val="nil"/>
              <w:left w:val="single" w:sz="4" w:space="0" w:color="auto"/>
              <w:bottom w:val="nil"/>
              <w:right w:val="single" w:sz="4" w:space="0" w:color="auto"/>
            </w:tcBorders>
            <w:shd w:val="clear" w:color="auto" w:fill="auto"/>
          </w:tcPr>
          <w:p w14:paraId="3566DCE8" w14:textId="77777777" w:rsidR="00191E41" w:rsidRPr="00191E41" w:rsidRDefault="00191E41" w:rsidP="00191E41">
            <w:pPr>
              <w:ind w:right="113"/>
              <w:jc w:val="right"/>
              <w:rPr>
                <w:sz w:val="18"/>
                <w:szCs w:val="18"/>
              </w:rPr>
            </w:pPr>
            <w:r w:rsidRPr="00191E41">
              <w:rPr>
                <w:sz w:val="18"/>
                <w:szCs w:val="18"/>
              </w:rPr>
              <w:t>n.s</w:t>
            </w:r>
          </w:p>
        </w:tc>
        <w:tc>
          <w:tcPr>
            <w:tcW w:w="813" w:type="dxa"/>
            <w:tcBorders>
              <w:top w:val="nil"/>
              <w:left w:val="single" w:sz="4" w:space="0" w:color="auto"/>
              <w:bottom w:val="nil"/>
              <w:right w:val="single" w:sz="4" w:space="0" w:color="auto"/>
            </w:tcBorders>
            <w:shd w:val="clear" w:color="auto" w:fill="auto"/>
          </w:tcPr>
          <w:p w14:paraId="46358FF7" w14:textId="77777777" w:rsidR="00191E41" w:rsidRPr="00191E41" w:rsidRDefault="00191E41" w:rsidP="00191E41">
            <w:pPr>
              <w:ind w:right="113"/>
              <w:jc w:val="right"/>
              <w:rPr>
                <w:sz w:val="18"/>
                <w:szCs w:val="18"/>
              </w:rPr>
            </w:pPr>
            <w:r w:rsidRPr="00191E41">
              <w:rPr>
                <w:sz w:val="18"/>
                <w:szCs w:val="18"/>
              </w:rPr>
              <w:t>0.0</w:t>
            </w:r>
          </w:p>
        </w:tc>
        <w:tc>
          <w:tcPr>
            <w:tcW w:w="807" w:type="dxa"/>
            <w:tcBorders>
              <w:top w:val="nil"/>
              <w:left w:val="single" w:sz="4" w:space="0" w:color="auto"/>
              <w:bottom w:val="nil"/>
              <w:right w:val="single" w:sz="4" w:space="0" w:color="auto"/>
            </w:tcBorders>
            <w:shd w:val="clear" w:color="auto" w:fill="auto"/>
          </w:tcPr>
          <w:p w14:paraId="0FE0CED9" w14:textId="77777777" w:rsidR="00191E41" w:rsidRPr="00191E41" w:rsidRDefault="00191E41" w:rsidP="00191E41">
            <w:pPr>
              <w:ind w:right="113"/>
              <w:jc w:val="right"/>
              <w:rPr>
                <w:sz w:val="18"/>
                <w:szCs w:val="18"/>
              </w:rPr>
            </w:pPr>
            <w:r w:rsidRPr="00191E41">
              <w:rPr>
                <w:sz w:val="18"/>
                <w:szCs w:val="18"/>
              </w:rPr>
              <w:t>0.0</w:t>
            </w:r>
          </w:p>
        </w:tc>
      </w:tr>
      <w:tr w:rsidR="00191E41" w:rsidRPr="00191E41" w14:paraId="091BC4A9" w14:textId="77777777" w:rsidTr="001E7D79">
        <w:trPr>
          <w:jc w:val="center"/>
        </w:trPr>
        <w:tc>
          <w:tcPr>
            <w:tcW w:w="3780" w:type="dxa"/>
            <w:tcBorders>
              <w:top w:val="nil"/>
              <w:left w:val="single" w:sz="4" w:space="0" w:color="auto"/>
              <w:bottom w:val="nil"/>
              <w:right w:val="single" w:sz="4" w:space="0" w:color="auto"/>
            </w:tcBorders>
            <w:shd w:val="clear" w:color="auto" w:fill="auto"/>
          </w:tcPr>
          <w:p w14:paraId="55EE9605" w14:textId="77777777" w:rsidR="00191E41" w:rsidRPr="00191E41" w:rsidRDefault="00191E41" w:rsidP="00191E41">
            <w:pPr>
              <w:ind w:left="454"/>
              <w:rPr>
                <w:rFonts w:eastAsia="Calibri"/>
                <w:sz w:val="18"/>
                <w:szCs w:val="18"/>
              </w:rPr>
            </w:pPr>
            <w:r w:rsidRPr="00191E41">
              <w:rPr>
                <w:rFonts w:eastAsia="Calibri"/>
                <w:sz w:val="18"/>
                <w:szCs w:val="18"/>
              </w:rPr>
              <w:t>Derechos vigentes hasta 2014</w:t>
            </w:r>
          </w:p>
        </w:tc>
        <w:tc>
          <w:tcPr>
            <w:tcW w:w="1189" w:type="dxa"/>
            <w:tcBorders>
              <w:top w:val="nil"/>
              <w:left w:val="single" w:sz="4" w:space="0" w:color="auto"/>
              <w:bottom w:val="nil"/>
              <w:right w:val="single" w:sz="4" w:space="0" w:color="auto"/>
            </w:tcBorders>
            <w:shd w:val="clear" w:color="auto" w:fill="auto"/>
          </w:tcPr>
          <w:p w14:paraId="3CFE29CA" w14:textId="77777777" w:rsidR="00191E41" w:rsidRPr="00191E41" w:rsidRDefault="00191E41" w:rsidP="00191E41">
            <w:pPr>
              <w:ind w:right="113"/>
              <w:jc w:val="right"/>
              <w:rPr>
                <w:sz w:val="18"/>
                <w:szCs w:val="18"/>
              </w:rPr>
            </w:pPr>
            <w:r w:rsidRPr="00191E41">
              <w:rPr>
                <w:sz w:val="18"/>
                <w:szCs w:val="18"/>
              </w:rPr>
              <w:t>68 530.6</w:t>
            </w:r>
          </w:p>
        </w:tc>
        <w:tc>
          <w:tcPr>
            <w:tcW w:w="1197" w:type="dxa"/>
            <w:tcBorders>
              <w:top w:val="nil"/>
              <w:left w:val="single" w:sz="4" w:space="0" w:color="auto"/>
              <w:bottom w:val="nil"/>
              <w:right w:val="single" w:sz="4" w:space="0" w:color="auto"/>
            </w:tcBorders>
            <w:shd w:val="clear" w:color="auto" w:fill="auto"/>
          </w:tcPr>
          <w:p w14:paraId="7D95FA67" w14:textId="77777777" w:rsidR="00191E41" w:rsidRPr="00191E41" w:rsidRDefault="00191E41" w:rsidP="00191E41">
            <w:pPr>
              <w:ind w:right="113"/>
              <w:jc w:val="right"/>
              <w:rPr>
                <w:sz w:val="18"/>
                <w:szCs w:val="18"/>
              </w:rPr>
            </w:pPr>
            <w:r w:rsidRPr="00191E41">
              <w:rPr>
                <w:sz w:val="18"/>
                <w:szCs w:val="18"/>
              </w:rPr>
              <w:t>10 169.2</w:t>
            </w:r>
          </w:p>
        </w:tc>
        <w:tc>
          <w:tcPr>
            <w:tcW w:w="800" w:type="dxa"/>
            <w:tcBorders>
              <w:top w:val="nil"/>
              <w:left w:val="single" w:sz="4" w:space="0" w:color="auto"/>
              <w:bottom w:val="nil"/>
              <w:right w:val="single" w:sz="4" w:space="0" w:color="auto"/>
            </w:tcBorders>
            <w:shd w:val="clear" w:color="auto" w:fill="auto"/>
          </w:tcPr>
          <w:p w14:paraId="7DB44151" w14:textId="77777777" w:rsidR="00191E41" w:rsidRPr="00191E41" w:rsidRDefault="00191E41" w:rsidP="00191E41">
            <w:pPr>
              <w:ind w:right="113"/>
              <w:jc w:val="right"/>
              <w:rPr>
                <w:sz w:val="18"/>
                <w:szCs w:val="18"/>
              </w:rPr>
            </w:pPr>
            <w:r w:rsidRPr="00191E41">
              <w:rPr>
                <w:sz w:val="18"/>
                <w:szCs w:val="18"/>
              </w:rPr>
              <w:t>-85.6</w:t>
            </w:r>
          </w:p>
        </w:tc>
        <w:tc>
          <w:tcPr>
            <w:tcW w:w="813" w:type="dxa"/>
            <w:tcBorders>
              <w:top w:val="nil"/>
              <w:left w:val="single" w:sz="4" w:space="0" w:color="auto"/>
              <w:bottom w:val="nil"/>
              <w:right w:val="single" w:sz="4" w:space="0" w:color="auto"/>
            </w:tcBorders>
            <w:shd w:val="clear" w:color="auto" w:fill="auto"/>
          </w:tcPr>
          <w:p w14:paraId="073AC308" w14:textId="77777777" w:rsidR="00191E41" w:rsidRPr="00191E41" w:rsidRDefault="00191E41" w:rsidP="00191E41">
            <w:pPr>
              <w:ind w:right="113"/>
              <w:jc w:val="right"/>
              <w:rPr>
                <w:sz w:val="18"/>
                <w:szCs w:val="18"/>
              </w:rPr>
            </w:pPr>
            <w:r w:rsidRPr="00191E41">
              <w:rPr>
                <w:sz w:val="18"/>
                <w:szCs w:val="18"/>
              </w:rPr>
              <w:t>18.7</w:t>
            </w:r>
          </w:p>
        </w:tc>
        <w:tc>
          <w:tcPr>
            <w:tcW w:w="807" w:type="dxa"/>
            <w:tcBorders>
              <w:top w:val="nil"/>
              <w:left w:val="single" w:sz="4" w:space="0" w:color="auto"/>
              <w:bottom w:val="nil"/>
              <w:right w:val="single" w:sz="4" w:space="0" w:color="auto"/>
            </w:tcBorders>
            <w:shd w:val="clear" w:color="auto" w:fill="auto"/>
          </w:tcPr>
          <w:p w14:paraId="7458AE18" w14:textId="77777777" w:rsidR="00191E41" w:rsidRPr="00191E41" w:rsidRDefault="00191E41" w:rsidP="00191E41">
            <w:pPr>
              <w:ind w:right="113"/>
              <w:jc w:val="right"/>
              <w:rPr>
                <w:sz w:val="18"/>
                <w:szCs w:val="18"/>
              </w:rPr>
            </w:pPr>
            <w:r w:rsidRPr="00191E41">
              <w:rPr>
                <w:sz w:val="18"/>
                <w:szCs w:val="18"/>
              </w:rPr>
              <w:t>2.8</w:t>
            </w:r>
          </w:p>
        </w:tc>
      </w:tr>
      <w:tr w:rsidR="00191E41" w:rsidRPr="00191E41" w14:paraId="2C6BAAB4" w14:textId="77777777" w:rsidTr="001E7D79">
        <w:trPr>
          <w:jc w:val="center"/>
        </w:trPr>
        <w:tc>
          <w:tcPr>
            <w:tcW w:w="3780" w:type="dxa"/>
            <w:tcBorders>
              <w:top w:val="nil"/>
              <w:left w:val="single" w:sz="4" w:space="0" w:color="auto"/>
              <w:bottom w:val="nil"/>
              <w:right w:val="single" w:sz="4" w:space="0" w:color="auto"/>
            </w:tcBorders>
            <w:shd w:val="clear" w:color="auto" w:fill="auto"/>
          </w:tcPr>
          <w:p w14:paraId="09543747" w14:textId="77777777" w:rsidR="00191E41" w:rsidRPr="00191E41" w:rsidRDefault="00191E41" w:rsidP="00191E41">
            <w:pPr>
              <w:ind w:left="113"/>
              <w:rPr>
                <w:rFonts w:eastAsia="Calibri"/>
                <w:sz w:val="18"/>
                <w:szCs w:val="18"/>
              </w:rPr>
            </w:pPr>
            <w:r w:rsidRPr="00191E41">
              <w:rPr>
                <w:rFonts w:eastAsia="Calibri"/>
                <w:sz w:val="18"/>
                <w:szCs w:val="18"/>
              </w:rPr>
              <w:t>II. No petroleros (c+d)</w:t>
            </w:r>
          </w:p>
        </w:tc>
        <w:tc>
          <w:tcPr>
            <w:tcW w:w="1189" w:type="dxa"/>
            <w:tcBorders>
              <w:top w:val="nil"/>
              <w:left w:val="single" w:sz="4" w:space="0" w:color="auto"/>
              <w:bottom w:val="nil"/>
              <w:right w:val="single" w:sz="4" w:space="0" w:color="auto"/>
            </w:tcBorders>
            <w:shd w:val="clear" w:color="auto" w:fill="auto"/>
          </w:tcPr>
          <w:p w14:paraId="7ED954E3" w14:textId="77777777" w:rsidR="00191E41" w:rsidRPr="00191E41" w:rsidRDefault="00191E41" w:rsidP="00191E41">
            <w:pPr>
              <w:ind w:right="113"/>
              <w:jc w:val="right"/>
              <w:rPr>
                <w:sz w:val="18"/>
                <w:szCs w:val="18"/>
              </w:rPr>
            </w:pPr>
            <w:r w:rsidRPr="00191E41">
              <w:rPr>
                <w:sz w:val="18"/>
                <w:szCs w:val="18"/>
              </w:rPr>
              <w:t>268 925.7</w:t>
            </w:r>
          </w:p>
        </w:tc>
        <w:tc>
          <w:tcPr>
            <w:tcW w:w="1197" w:type="dxa"/>
            <w:tcBorders>
              <w:top w:val="nil"/>
              <w:left w:val="single" w:sz="4" w:space="0" w:color="auto"/>
              <w:bottom w:val="nil"/>
              <w:right w:val="single" w:sz="4" w:space="0" w:color="auto"/>
            </w:tcBorders>
            <w:shd w:val="clear" w:color="auto" w:fill="auto"/>
          </w:tcPr>
          <w:p w14:paraId="729A8E36" w14:textId="77777777" w:rsidR="00191E41" w:rsidRPr="00191E41" w:rsidRDefault="00191E41" w:rsidP="00191E41">
            <w:pPr>
              <w:ind w:right="113"/>
              <w:jc w:val="right"/>
              <w:rPr>
                <w:sz w:val="18"/>
                <w:szCs w:val="18"/>
              </w:rPr>
            </w:pPr>
            <w:r w:rsidRPr="00191E41">
              <w:rPr>
                <w:sz w:val="18"/>
                <w:szCs w:val="18"/>
              </w:rPr>
              <w:t>308 054.6</w:t>
            </w:r>
          </w:p>
        </w:tc>
        <w:tc>
          <w:tcPr>
            <w:tcW w:w="800" w:type="dxa"/>
            <w:tcBorders>
              <w:top w:val="nil"/>
              <w:left w:val="single" w:sz="4" w:space="0" w:color="auto"/>
              <w:bottom w:val="nil"/>
              <w:right w:val="single" w:sz="4" w:space="0" w:color="auto"/>
            </w:tcBorders>
            <w:shd w:val="clear" w:color="auto" w:fill="auto"/>
          </w:tcPr>
          <w:p w14:paraId="2E4E904D" w14:textId="77777777" w:rsidR="00191E41" w:rsidRPr="00191E41" w:rsidRDefault="00191E41" w:rsidP="00191E41">
            <w:pPr>
              <w:ind w:right="113"/>
              <w:jc w:val="right"/>
              <w:rPr>
                <w:sz w:val="18"/>
                <w:szCs w:val="18"/>
              </w:rPr>
            </w:pPr>
            <w:r w:rsidRPr="00191E41">
              <w:rPr>
                <w:sz w:val="18"/>
                <w:szCs w:val="18"/>
              </w:rPr>
              <w:t>11.1</w:t>
            </w:r>
          </w:p>
        </w:tc>
        <w:tc>
          <w:tcPr>
            <w:tcW w:w="813" w:type="dxa"/>
            <w:tcBorders>
              <w:top w:val="nil"/>
              <w:left w:val="single" w:sz="4" w:space="0" w:color="auto"/>
              <w:bottom w:val="nil"/>
              <w:right w:val="single" w:sz="4" w:space="0" w:color="auto"/>
            </w:tcBorders>
            <w:shd w:val="clear" w:color="auto" w:fill="auto"/>
          </w:tcPr>
          <w:p w14:paraId="170295FE" w14:textId="77777777" w:rsidR="00191E41" w:rsidRPr="00191E41" w:rsidRDefault="00191E41" w:rsidP="00191E41">
            <w:pPr>
              <w:ind w:right="113"/>
              <w:jc w:val="right"/>
              <w:rPr>
                <w:sz w:val="18"/>
                <w:szCs w:val="18"/>
              </w:rPr>
            </w:pPr>
            <w:r w:rsidRPr="00191E41">
              <w:rPr>
                <w:sz w:val="18"/>
                <w:szCs w:val="18"/>
              </w:rPr>
              <w:t>73.3</w:t>
            </w:r>
          </w:p>
        </w:tc>
        <w:tc>
          <w:tcPr>
            <w:tcW w:w="807" w:type="dxa"/>
            <w:tcBorders>
              <w:top w:val="nil"/>
              <w:left w:val="single" w:sz="4" w:space="0" w:color="auto"/>
              <w:bottom w:val="nil"/>
              <w:right w:val="single" w:sz="4" w:space="0" w:color="auto"/>
            </w:tcBorders>
            <w:shd w:val="clear" w:color="auto" w:fill="auto"/>
          </w:tcPr>
          <w:p w14:paraId="5940F7B4" w14:textId="77777777" w:rsidR="00191E41" w:rsidRPr="00191E41" w:rsidRDefault="00191E41" w:rsidP="00191E41">
            <w:pPr>
              <w:ind w:right="113"/>
              <w:jc w:val="right"/>
              <w:rPr>
                <w:sz w:val="18"/>
                <w:szCs w:val="18"/>
              </w:rPr>
            </w:pPr>
            <w:r w:rsidRPr="00191E41">
              <w:rPr>
                <w:sz w:val="18"/>
                <w:szCs w:val="18"/>
              </w:rPr>
              <w:t>84.4</w:t>
            </w:r>
          </w:p>
        </w:tc>
      </w:tr>
      <w:tr w:rsidR="00191E41" w:rsidRPr="00191E41" w14:paraId="2B717BC5" w14:textId="77777777" w:rsidTr="001E7D79">
        <w:trPr>
          <w:jc w:val="center"/>
        </w:trPr>
        <w:tc>
          <w:tcPr>
            <w:tcW w:w="3780" w:type="dxa"/>
            <w:tcBorders>
              <w:top w:val="nil"/>
              <w:left w:val="single" w:sz="4" w:space="0" w:color="auto"/>
              <w:bottom w:val="nil"/>
              <w:right w:val="single" w:sz="4" w:space="0" w:color="auto"/>
            </w:tcBorders>
            <w:shd w:val="clear" w:color="auto" w:fill="auto"/>
          </w:tcPr>
          <w:p w14:paraId="39808DF6" w14:textId="77777777" w:rsidR="00191E41" w:rsidRPr="00191E41" w:rsidRDefault="00191E41" w:rsidP="00191E41">
            <w:pPr>
              <w:ind w:left="284"/>
              <w:rPr>
                <w:rFonts w:eastAsia="Calibri"/>
                <w:sz w:val="18"/>
                <w:szCs w:val="18"/>
              </w:rPr>
            </w:pPr>
            <w:r w:rsidRPr="00191E41">
              <w:rPr>
                <w:rFonts w:eastAsia="Calibri"/>
                <w:sz w:val="18"/>
                <w:szCs w:val="18"/>
              </w:rPr>
              <w:t>c) Gobierno Federal</w:t>
            </w:r>
          </w:p>
        </w:tc>
        <w:tc>
          <w:tcPr>
            <w:tcW w:w="1189" w:type="dxa"/>
            <w:tcBorders>
              <w:top w:val="nil"/>
              <w:left w:val="single" w:sz="4" w:space="0" w:color="auto"/>
              <w:bottom w:val="nil"/>
              <w:right w:val="single" w:sz="4" w:space="0" w:color="auto"/>
            </w:tcBorders>
            <w:shd w:val="clear" w:color="auto" w:fill="auto"/>
          </w:tcPr>
          <w:p w14:paraId="13D2F6A7" w14:textId="77777777" w:rsidR="00191E41" w:rsidRPr="00191E41" w:rsidRDefault="00191E41" w:rsidP="00191E41">
            <w:pPr>
              <w:ind w:right="113"/>
              <w:jc w:val="right"/>
              <w:rPr>
                <w:sz w:val="18"/>
                <w:szCs w:val="18"/>
              </w:rPr>
            </w:pPr>
            <w:r w:rsidRPr="00191E41">
              <w:rPr>
                <w:sz w:val="18"/>
                <w:szCs w:val="18"/>
              </w:rPr>
              <w:t>220 062.9</w:t>
            </w:r>
          </w:p>
        </w:tc>
        <w:tc>
          <w:tcPr>
            <w:tcW w:w="1197" w:type="dxa"/>
            <w:tcBorders>
              <w:top w:val="nil"/>
              <w:left w:val="single" w:sz="4" w:space="0" w:color="auto"/>
              <w:bottom w:val="nil"/>
              <w:right w:val="single" w:sz="4" w:space="0" w:color="auto"/>
            </w:tcBorders>
            <w:shd w:val="clear" w:color="auto" w:fill="auto"/>
          </w:tcPr>
          <w:p w14:paraId="1F4D27CE" w14:textId="77777777" w:rsidR="00191E41" w:rsidRPr="00191E41" w:rsidRDefault="00191E41" w:rsidP="00191E41">
            <w:pPr>
              <w:ind w:right="113"/>
              <w:jc w:val="right"/>
              <w:rPr>
                <w:sz w:val="18"/>
                <w:szCs w:val="18"/>
              </w:rPr>
            </w:pPr>
            <w:r w:rsidRPr="00191E41">
              <w:rPr>
                <w:sz w:val="18"/>
                <w:szCs w:val="18"/>
              </w:rPr>
              <w:t>257 090.6</w:t>
            </w:r>
          </w:p>
        </w:tc>
        <w:tc>
          <w:tcPr>
            <w:tcW w:w="800" w:type="dxa"/>
            <w:tcBorders>
              <w:top w:val="nil"/>
              <w:left w:val="single" w:sz="4" w:space="0" w:color="auto"/>
              <w:bottom w:val="nil"/>
              <w:right w:val="single" w:sz="4" w:space="0" w:color="auto"/>
            </w:tcBorders>
            <w:shd w:val="clear" w:color="auto" w:fill="auto"/>
          </w:tcPr>
          <w:p w14:paraId="6DFCDA15" w14:textId="77777777" w:rsidR="00191E41" w:rsidRPr="00191E41" w:rsidRDefault="00191E41" w:rsidP="00191E41">
            <w:pPr>
              <w:ind w:right="113"/>
              <w:jc w:val="right"/>
              <w:rPr>
                <w:sz w:val="18"/>
                <w:szCs w:val="18"/>
              </w:rPr>
            </w:pPr>
            <w:r w:rsidRPr="00191E41">
              <w:rPr>
                <w:sz w:val="18"/>
                <w:szCs w:val="18"/>
              </w:rPr>
              <w:t>13.4</w:t>
            </w:r>
          </w:p>
        </w:tc>
        <w:tc>
          <w:tcPr>
            <w:tcW w:w="813" w:type="dxa"/>
            <w:tcBorders>
              <w:top w:val="nil"/>
              <w:left w:val="single" w:sz="4" w:space="0" w:color="auto"/>
              <w:bottom w:val="nil"/>
              <w:right w:val="single" w:sz="4" w:space="0" w:color="auto"/>
            </w:tcBorders>
            <w:shd w:val="clear" w:color="auto" w:fill="auto"/>
          </w:tcPr>
          <w:p w14:paraId="18474613" w14:textId="77777777" w:rsidR="00191E41" w:rsidRPr="00191E41" w:rsidRDefault="00191E41" w:rsidP="00191E41">
            <w:pPr>
              <w:ind w:right="113"/>
              <w:jc w:val="right"/>
              <w:rPr>
                <w:sz w:val="18"/>
                <w:szCs w:val="18"/>
              </w:rPr>
            </w:pPr>
            <w:r w:rsidRPr="00191E41">
              <w:rPr>
                <w:sz w:val="18"/>
                <w:szCs w:val="18"/>
              </w:rPr>
              <w:t>60.0</w:t>
            </w:r>
          </w:p>
        </w:tc>
        <w:tc>
          <w:tcPr>
            <w:tcW w:w="807" w:type="dxa"/>
            <w:tcBorders>
              <w:top w:val="nil"/>
              <w:left w:val="single" w:sz="4" w:space="0" w:color="auto"/>
              <w:bottom w:val="nil"/>
              <w:right w:val="single" w:sz="4" w:space="0" w:color="auto"/>
            </w:tcBorders>
            <w:shd w:val="clear" w:color="auto" w:fill="auto"/>
          </w:tcPr>
          <w:p w14:paraId="015816DB" w14:textId="77777777" w:rsidR="00191E41" w:rsidRPr="00191E41" w:rsidRDefault="00191E41" w:rsidP="00191E41">
            <w:pPr>
              <w:ind w:right="113"/>
              <w:jc w:val="right"/>
              <w:rPr>
                <w:sz w:val="18"/>
                <w:szCs w:val="18"/>
              </w:rPr>
            </w:pPr>
            <w:r w:rsidRPr="00191E41">
              <w:rPr>
                <w:sz w:val="18"/>
                <w:szCs w:val="18"/>
              </w:rPr>
              <w:t>70.4</w:t>
            </w:r>
          </w:p>
        </w:tc>
      </w:tr>
      <w:tr w:rsidR="00191E41" w:rsidRPr="00191E41" w14:paraId="5C3FE10E" w14:textId="77777777" w:rsidTr="001E7D79">
        <w:trPr>
          <w:jc w:val="center"/>
        </w:trPr>
        <w:tc>
          <w:tcPr>
            <w:tcW w:w="3780" w:type="dxa"/>
            <w:tcBorders>
              <w:top w:val="nil"/>
              <w:left w:val="single" w:sz="4" w:space="0" w:color="auto"/>
              <w:bottom w:val="nil"/>
              <w:right w:val="single" w:sz="4" w:space="0" w:color="auto"/>
            </w:tcBorders>
            <w:shd w:val="clear" w:color="auto" w:fill="auto"/>
          </w:tcPr>
          <w:p w14:paraId="3BA5EE7D" w14:textId="77777777" w:rsidR="00191E41" w:rsidRPr="00191E41" w:rsidRDefault="00191E41" w:rsidP="00191E41">
            <w:pPr>
              <w:ind w:left="454"/>
              <w:rPr>
                <w:rFonts w:eastAsia="Calibri"/>
                <w:sz w:val="18"/>
                <w:szCs w:val="18"/>
              </w:rPr>
            </w:pPr>
            <w:r w:rsidRPr="00191E41">
              <w:rPr>
                <w:rFonts w:eastAsia="Calibri"/>
                <w:sz w:val="18"/>
                <w:szCs w:val="18"/>
              </w:rPr>
              <w:t>Tributarios</w:t>
            </w:r>
          </w:p>
        </w:tc>
        <w:tc>
          <w:tcPr>
            <w:tcW w:w="1189" w:type="dxa"/>
            <w:tcBorders>
              <w:top w:val="nil"/>
              <w:left w:val="single" w:sz="4" w:space="0" w:color="auto"/>
              <w:bottom w:val="nil"/>
              <w:right w:val="single" w:sz="4" w:space="0" w:color="auto"/>
            </w:tcBorders>
            <w:shd w:val="clear" w:color="auto" w:fill="auto"/>
          </w:tcPr>
          <w:p w14:paraId="67BB000C" w14:textId="77777777" w:rsidR="00191E41" w:rsidRPr="00191E41" w:rsidRDefault="00191E41" w:rsidP="00191E41">
            <w:pPr>
              <w:ind w:right="113"/>
              <w:jc w:val="right"/>
              <w:rPr>
                <w:sz w:val="18"/>
                <w:szCs w:val="18"/>
              </w:rPr>
            </w:pPr>
            <w:r w:rsidRPr="00191E41">
              <w:rPr>
                <w:sz w:val="18"/>
                <w:szCs w:val="18"/>
              </w:rPr>
              <w:t>207 946.6</w:t>
            </w:r>
          </w:p>
        </w:tc>
        <w:tc>
          <w:tcPr>
            <w:tcW w:w="1197" w:type="dxa"/>
            <w:tcBorders>
              <w:top w:val="nil"/>
              <w:left w:val="single" w:sz="4" w:space="0" w:color="auto"/>
              <w:bottom w:val="nil"/>
              <w:right w:val="single" w:sz="4" w:space="0" w:color="auto"/>
            </w:tcBorders>
            <w:shd w:val="clear" w:color="auto" w:fill="auto"/>
          </w:tcPr>
          <w:p w14:paraId="0BFDAB39" w14:textId="77777777" w:rsidR="00191E41" w:rsidRPr="00191E41" w:rsidRDefault="00191E41" w:rsidP="00191E41">
            <w:pPr>
              <w:ind w:right="113"/>
              <w:jc w:val="right"/>
              <w:rPr>
                <w:sz w:val="18"/>
                <w:szCs w:val="18"/>
              </w:rPr>
            </w:pPr>
            <w:r w:rsidRPr="00191E41">
              <w:rPr>
                <w:sz w:val="18"/>
                <w:szCs w:val="18"/>
              </w:rPr>
              <w:t>241 612.2</w:t>
            </w:r>
          </w:p>
        </w:tc>
        <w:tc>
          <w:tcPr>
            <w:tcW w:w="800" w:type="dxa"/>
            <w:tcBorders>
              <w:top w:val="nil"/>
              <w:left w:val="single" w:sz="4" w:space="0" w:color="auto"/>
              <w:bottom w:val="nil"/>
              <w:right w:val="single" w:sz="4" w:space="0" w:color="auto"/>
            </w:tcBorders>
            <w:shd w:val="clear" w:color="auto" w:fill="auto"/>
          </w:tcPr>
          <w:p w14:paraId="1D9E5B89" w14:textId="77777777" w:rsidR="00191E41" w:rsidRPr="00191E41" w:rsidRDefault="00191E41" w:rsidP="00191E41">
            <w:pPr>
              <w:ind w:right="113"/>
              <w:jc w:val="right"/>
              <w:rPr>
                <w:sz w:val="18"/>
                <w:szCs w:val="18"/>
              </w:rPr>
            </w:pPr>
            <w:r w:rsidRPr="00191E41">
              <w:rPr>
                <w:sz w:val="18"/>
                <w:szCs w:val="18"/>
              </w:rPr>
              <w:t>12.7</w:t>
            </w:r>
          </w:p>
        </w:tc>
        <w:tc>
          <w:tcPr>
            <w:tcW w:w="813" w:type="dxa"/>
            <w:tcBorders>
              <w:top w:val="nil"/>
              <w:left w:val="single" w:sz="4" w:space="0" w:color="auto"/>
              <w:bottom w:val="nil"/>
              <w:right w:val="single" w:sz="4" w:space="0" w:color="auto"/>
            </w:tcBorders>
            <w:shd w:val="clear" w:color="auto" w:fill="auto"/>
          </w:tcPr>
          <w:p w14:paraId="5F2A6897" w14:textId="77777777" w:rsidR="00191E41" w:rsidRPr="00191E41" w:rsidRDefault="00191E41" w:rsidP="00191E41">
            <w:pPr>
              <w:ind w:right="113"/>
              <w:jc w:val="right"/>
              <w:rPr>
                <w:sz w:val="18"/>
                <w:szCs w:val="18"/>
              </w:rPr>
            </w:pPr>
            <w:r w:rsidRPr="00191E41">
              <w:rPr>
                <w:sz w:val="18"/>
                <w:szCs w:val="18"/>
              </w:rPr>
              <w:t>56.7</w:t>
            </w:r>
          </w:p>
        </w:tc>
        <w:tc>
          <w:tcPr>
            <w:tcW w:w="807" w:type="dxa"/>
            <w:tcBorders>
              <w:top w:val="nil"/>
              <w:left w:val="single" w:sz="4" w:space="0" w:color="auto"/>
              <w:bottom w:val="nil"/>
              <w:right w:val="single" w:sz="4" w:space="0" w:color="auto"/>
            </w:tcBorders>
            <w:shd w:val="clear" w:color="auto" w:fill="auto"/>
          </w:tcPr>
          <w:p w14:paraId="78FB502E" w14:textId="77777777" w:rsidR="00191E41" w:rsidRPr="00191E41" w:rsidRDefault="00191E41" w:rsidP="00191E41">
            <w:pPr>
              <w:ind w:right="113"/>
              <w:jc w:val="right"/>
              <w:rPr>
                <w:sz w:val="18"/>
                <w:szCs w:val="18"/>
              </w:rPr>
            </w:pPr>
            <w:r w:rsidRPr="00191E41">
              <w:rPr>
                <w:sz w:val="18"/>
                <w:szCs w:val="18"/>
              </w:rPr>
              <w:t>66.2</w:t>
            </w:r>
          </w:p>
        </w:tc>
      </w:tr>
      <w:tr w:rsidR="00191E41" w:rsidRPr="00191E41" w14:paraId="59B2FA49" w14:textId="77777777" w:rsidTr="001E7D79">
        <w:trPr>
          <w:jc w:val="center"/>
        </w:trPr>
        <w:tc>
          <w:tcPr>
            <w:tcW w:w="3780" w:type="dxa"/>
            <w:tcBorders>
              <w:top w:val="nil"/>
              <w:left w:val="single" w:sz="4" w:space="0" w:color="auto"/>
              <w:bottom w:val="nil"/>
              <w:right w:val="single" w:sz="4" w:space="0" w:color="auto"/>
            </w:tcBorders>
            <w:shd w:val="clear" w:color="auto" w:fill="auto"/>
          </w:tcPr>
          <w:p w14:paraId="19A9C91B" w14:textId="77777777" w:rsidR="00191E41" w:rsidRPr="00191E41" w:rsidRDefault="00191E41" w:rsidP="00191E41">
            <w:pPr>
              <w:ind w:left="567"/>
              <w:rPr>
                <w:rFonts w:eastAsia="Calibri"/>
                <w:sz w:val="18"/>
                <w:szCs w:val="18"/>
              </w:rPr>
            </w:pPr>
            <w:r w:rsidRPr="00191E41">
              <w:rPr>
                <w:rFonts w:eastAsia="Calibri"/>
                <w:sz w:val="18"/>
                <w:szCs w:val="18"/>
              </w:rPr>
              <w:t>ISR</w:t>
            </w:r>
          </w:p>
        </w:tc>
        <w:tc>
          <w:tcPr>
            <w:tcW w:w="1189" w:type="dxa"/>
            <w:tcBorders>
              <w:top w:val="nil"/>
              <w:left w:val="single" w:sz="4" w:space="0" w:color="auto"/>
              <w:bottom w:val="nil"/>
              <w:right w:val="single" w:sz="4" w:space="0" w:color="auto"/>
            </w:tcBorders>
            <w:shd w:val="clear" w:color="auto" w:fill="auto"/>
          </w:tcPr>
          <w:p w14:paraId="2194BD51" w14:textId="77777777" w:rsidR="00191E41" w:rsidRPr="00191E41" w:rsidRDefault="00191E41" w:rsidP="00191E41">
            <w:pPr>
              <w:ind w:right="113"/>
              <w:jc w:val="right"/>
              <w:rPr>
                <w:sz w:val="18"/>
                <w:szCs w:val="18"/>
              </w:rPr>
            </w:pPr>
            <w:r w:rsidRPr="00191E41">
              <w:rPr>
                <w:sz w:val="18"/>
                <w:szCs w:val="18"/>
              </w:rPr>
              <w:t>120 806.5</w:t>
            </w:r>
          </w:p>
        </w:tc>
        <w:tc>
          <w:tcPr>
            <w:tcW w:w="1197" w:type="dxa"/>
            <w:tcBorders>
              <w:top w:val="nil"/>
              <w:left w:val="single" w:sz="4" w:space="0" w:color="auto"/>
              <w:bottom w:val="nil"/>
              <w:right w:val="single" w:sz="4" w:space="0" w:color="auto"/>
            </w:tcBorders>
            <w:shd w:val="clear" w:color="auto" w:fill="auto"/>
          </w:tcPr>
          <w:p w14:paraId="622FA238" w14:textId="77777777" w:rsidR="00191E41" w:rsidRPr="00191E41" w:rsidRDefault="00191E41" w:rsidP="00191E41">
            <w:pPr>
              <w:ind w:right="113"/>
              <w:jc w:val="right"/>
              <w:rPr>
                <w:sz w:val="18"/>
                <w:szCs w:val="18"/>
              </w:rPr>
            </w:pPr>
            <w:r w:rsidRPr="00191E41">
              <w:rPr>
                <w:sz w:val="18"/>
                <w:szCs w:val="18"/>
              </w:rPr>
              <w:t>121 617.4</w:t>
            </w:r>
          </w:p>
        </w:tc>
        <w:tc>
          <w:tcPr>
            <w:tcW w:w="800" w:type="dxa"/>
            <w:tcBorders>
              <w:top w:val="nil"/>
              <w:left w:val="single" w:sz="4" w:space="0" w:color="auto"/>
              <w:bottom w:val="nil"/>
              <w:right w:val="single" w:sz="4" w:space="0" w:color="auto"/>
            </w:tcBorders>
            <w:shd w:val="clear" w:color="auto" w:fill="auto"/>
          </w:tcPr>
          <w:p w14:paraId="586F175B" w14:textId="77777777" w:rsidR="00191E41" w:rsidRPr="00191E41" w:rsidRDefault="00191E41" w:rsidP="00191E41">
            <w:pPr>
              <w:ind w:right="113"/>
              <w:jc w:val="right"/>
              <w:rPr>
                <w:sz w:val="18"/>
                <w:szCs w:val="18"/>
              </w:rPr>
            </w:pPr>
            <w:r w:rsidRPr="00191E41">
              <w:rPr>
                <w:sz w:val="18"/>
                <w:szCs w:val="18"/>
              </w:rPr>
              <w:t>-2.3</w:t>
            </w:r>
          </w:p>
        </w:tc>
        <w:tc>
          <w:tcPr>
            <w:tcW w:w="813" w:type="dxa"/>
            <w:tcBorders>
              <w:top w:val="nil"/>
              <w:left w:val="single" w:sz="4" w:space="0" w:color="auto"/>
              <w:bottom w:val="nil"/>
              <w:right w:val="single" w:sz="4" w:space="0" w:color="auto"/>
            </w:tcBorders>
            <w:shd w:val="clear" w:color="auto" w:fill="auto"/>
          </w:tcPr>
          <w:p w14:paraId="38DFF62B" w14:textId="77777777" w:rsidR="00191E41" w:rsidRPr="00191E41" w:rsidRDefault="00191E41" w:rsidP="00191E41">
            <w:pPr>
              <w:ind w:right="113"/>
              <w:jc w:val="right"/>
              <w:rPr>
                <w:sz w:val="18"/>
                <w:szCs w:val="18"/>
              </w:rPr>
            </w:pPr>
            <w:r w:rsidRPr="00191E41">
              <w:rPr>
                <w:sz w:val="18"/>
                <w:szCs w:val="18"/>
              </w:rPr>
              <w:t>32.9</w:t>
            </w:r>
          </w:p>
        </w:tc>
        <w:tc>
          <w:tcPr>
            <w:tcW w:w="807" w:type="dxa"/>
            <w:tcBorders>
              <w:top w:val="nil"/>
              <w:left w:val="single" w:sz="4" w:space="0" w:color="auto"/>
              <w:bottom w:val="nil"/>
              <w:right w:val="single" w:sz="4" w:space="0" w:color="auto"/>
            </w:tcBorders>
            <w:shd w:val="clear" w:color="auto" w:fill="auto"/>
          </w:tcPr>
          <w:p w14:paraId="02F3AFFC" w14:textId="77777777" w:rsidR="00191E41" w:rsidRPr="00191E41" w:rsidRDefault="00191E41" w:rsidP="00191E41">
            <w:pPr>
              <w:ind w:right="113"/>
              <w:jc w:val="right"/>
              <w:rPr>
                <w:sz w:val="18"/>
                <w:szCs w:val="18"/>
              </w:rPr>
            </w:pPr>
            <w:r w:rsidRPr="00191E41">
              <w:rPr>
                <w:sz w:val="18"/>
                <w:szCs w:val="18"/>
              </w:rPr>
              <w:t>33.3</w:t>
            </w:r>
          </w:p>
        </w:tc>
      </w:tr>
      <w:tr w:rsidR="00191E41" w:rsidRPr="00191E41" w14:paraId="2E7E3C53" w14:textId="77777777" w:rsidTr="001E7D79">
        <w:trPr>
          <w:jc w:val="center"/>
        </w:trPr>
        <w:tc>
          <w:tcPr>
            <w:tcW w:w="3780" w:type="dxa"/>
            <w:tcBorders>
              <w:top w:val="nil"/>
              <w:left w:val="single" w:sz="4" w:space="0" w:color="auto"/>
              <w:bottom w:val="nil"/>
              <w:right w:val="single" w:sz="4" w:space="0" w:color="auto"/>
            </w:tcBorders>
            <w:shd w:val="clear" w:color="auto" w:fill="auto"/>
          </w:tcPr>
          <w:p w14:paraId="4238B503" w14:textId="77777777" w:rsidR="00191E41" w:rsidRPr="00191E41" w:rsidRDefault="00191E41" w:rsidP="00191E41">
            <w:pPr>
              <w:ind w:left="567"/>
              <w:rPr>
                <w:rFonts w:eastAsia="Calibri"/>
                <w:sz w:val="18"/>
                <w:szCs w:val="18"/>
              </w:rPr>
            </w:pPr>
            <w:r w:rsidRPr="00191E41">
              <w:rPr>
                <w:rFonts w:eastAsia="Calibri"/>
                <w:sz w:val="18"/>
                <w:szCs w:val="18"/>
              </w:rPr>
              <w:t>IVA</w:t>
            </w:r>
          </w:p>
        </w:tc>
        <w:tc>
          <w:tcPr>
            <w:tcW w:w="1189" w:type="dxa"/>
            <w:tcBorders>
              <w:top w:val="nil"/>
              <w:left w:val="single" w:sz="4" w:space="0" w:color="auto"/>
              <w:bottom w:val="nil"/>
              <w:right w:val="single" w:sz="4" w:space="0" w:color="auto"/>
            </w:tcBorders>
            <w:shd w:val="clear" w:color="auto" w:fill="auto"/>
          </w:tcPr>
          <w:p w14:paraId="1485138D" w14:textId="77777777" w:rsidR="00191E41" w:rsidRPr="00191E41" w:rsidRDefault="00191E41" w:rsidP="00191E41">
            <w:pPr>
              <w:ind w:right="113"/>
              <w:jc w:val="right"/>
              <w:rPr>
                <w:sz w:val="18"/>
                <w:szCs w:val="18"/>
              </w:rPr>
            </w:pPr>
            <w:r w:rsidRPr="00191E41">
              <w:rPr>
                <w:sz w:val="18"/>
                <w:szCs w:val="18"/>
              </w:rPr>
              <w:t>69 304.9</w:t>
            </w:r>
          </w:p>
        </w:tc>
        <w:tc>
          <w:tcPr>
            <w:tcW w:w="1197" w:type="dxa"/>
            <w:tcBorders>
              <w:top w:val="nil"/>
              <w:left w:val="single" w:sz="4" w:space="0" w:color="auto"/>
              <w:bottom w:val="nil"/>
              <w:right w:val="single" w:sz="4" w:space="0" w:color="auto"/>
            </w:tcBorders>
            <w:shd w:val="clear" w:color="auto" w:fill="auto"/>
          </w:tcPr>
          <w:p w14:paraId="504BCB6F" w14:textId="77777777" w:rsidR="00191E41" w:rsidRPr="00191E41" w:rsidRDefault="00191E41" w:rsidP="00191E41">
            <w:pPr>
              <w:ind w:right="113"/>
              <w:jc w:val="right"/>
              <w:rPr>
                <w:sz w:val="18"/>
                <w:szCs w:val="18"/>
              </w:rPr>
            </w:pPr>
            <w:r w:rsidRPr="00191E41">
              <w:rPr>
                <w:sz w:val="18"/>
                <w:szCs w:val="18"/>
              </w:rPr>
              <w:t>75 970.3</w:t>
            </w:r>
          </w:p>
        </w:tc>
        <w:tc>
          <w:tcPr>
            <w:tcW w:w="800" w:type="dxa"/>
            <w:tcBorders>
              <w:top w:val="nil"/>
              <w:left w:val="single" w:sz="4" w:space="0" w:color="auto"/>
              <w:bottom w:val="nil"/>
              <w:right w:val="single" w:sz="4" w:space="0" w:color="auto"/>
            </w:tcBorders>
            <w:shd w:val="clear" w:color="auto" w:fill="auto"/>
          </w:tcPr>
          <w:p w14:paraId="06C8388B" w14:textId="77777777" w:rsidR="00191E41" w:rsidRPr="00191E41" w:rsidRDefault="00191E41" w:rsidP="00191E41">
            <w:pPr>
              <w:ind w:right="113"/>
              <w:jc w:val="right"/>
              <w:rPr>
                <w:sz w:val="18"/>
                <w:szCs w:val="18"/>
              </w:rPr>
            </w:pPr>
            <w:r w:rsidRPr="00191E41">
              <w:rPr>
                <w:sz w:val="18"/>
                <w:szCs w:val="18"/>
              </w:rPr>
              <w:t>6.4</w:t>
            </w:r>
          </w:p>
        </w:tc>
        <w:tc>
          <w:tcPr>
            <w:tcW w:w="813" w:type="dxa"/>
            <w:tcBorders>
              <w:top w:val="nil"/>
              <w:left w:val="single" w:sz="4" w:space="0" w:color="auto"/>
              <w:bottom w:val="nil"/>
              <w:right w:val="single" w:sz="4" w:space="0" w:color="auto"/>
            </w:tcBorders>
            <w:shd w:val="clear" w:color="auto" w:fill="auto"/>
          </w:tcPr>
          <w:p w14:paraId="4A2DF075" w14:textId="77777777" w:rsidR="00191E41" w:rsidRPr="00191E41" w:rsidRDefault="00191E41" w:rsidP="00191E41">
            <w:pPr>
              <w:ind w:right="113"/>
              <w:jc w:val="right"/>
              <w:rPr>
                <w:sz w:val="18"/>
                <w:szCs w:val="18"/>
              </w:rPr>
            </w:pPr>
            <w:r w:rsidRPr="00191E41">
              <w:rPr>
                <w:sz w:val="18"/>
                <w:szCs w:val="18"/>
              </w:rPr>
              <w:t>18.9</w:t>
            </w:r>
          </w:p>
        </w:tc>
        <w:tc>
          <w:tcPr>
            <w:tcW w:w="807" w:type="dxa"/>
            <w:tcBorders>
              <w:top w:val="nil"/>
              <w:left w:val="single" w:sz="4" w:space="0" w:color="auto"/>
              <w:bottom w:val="nil"/>
              <w:right w:val="single" w:sz="4" w:space="0" w:color="auto"/>
            </w:tcBorders>
            <w:shd w:val="clear" w:color="auto" w:fill="auto"/>
          </w:tcPr>
          <w:p w14:paraId="5F6E88AD" w14:textId="77777777" w:rsidR="00191E41" w:rsidRPr="00191E41" w:rsidRDefault="00191E41" w:rsidP="00191E41">
            <w:pPr>
              <w:ind w:right="113"/>
              <w:jc w:val="right"/>
              <w:rPr>
                <w:sz w:val="18"/>
                <w:szCs w:val="18"/>
              </w:rPr>
            </w:pPr>
            <w:r w:rsidRPr="00191E41">
              <w:rPr>
                <w:sz w:val="18"/>
                <w:szCs w:val="18"/>
              </w:rPr>
              <w:t>20.8</w:t>
            </w:r>
          </w:p>
        </w:tc>
      </w:tr>
      <w:tr w:rsidR="00191E41" w:rsidRPr="00191E41" w14:paraId="7FD741EB" w14:textId="77777777" w:rsidTr="001E7D79">
        <w:trPr>
          <w:jc w:val="center"/>
        </w:trPr>
        <w:tc>
          <w:tcPr>
            <w:tcW w:w="3780" w:type="dxa"/>
            <w:tcBorders>
              <w:top w:val="nil"/>
              <w:left w:val="single" w:sz="4" w:space="0" w:color="auto"/>
              <w:bottom w:val="nil"/>
              <w:right w:val="single" w:sz="4" w:space="0" w:color="auto"/>
            </w:tcBorders>
            <w:shd w:val="clear" w:color="auto" w:fill="auto"/>
          </w:tcPr>
          <w:p w14:paraId="3BDD1013" w14:textId="77777777" w:rsidR="00191E41" w:rsidRPr="00191E41" w:rsidRDefault="00191E41" w:rsidP="00191E41">
            <w:pPr>
              <w:ind w:left="567"/>
              <w:rPr>
                <w:rFonts w:eastAsia="Calibri"/>
                <w:sz w:val="18"/>
                <w:szCs w:val="18"/>
              </w:rPr>
            </w:pPr>
            <w:r w:rsidRPr="00191E41">
              <w:rPr>
                <w:rFonts w:eastAsia="Calibri"/>
                <w:sz w:val="18"/>
                <w:szCs w:val="18"/>
              </w:rPr>
              <w:t>IEPS</w:t>
            </w:r>
          </w:p>
        </w:tc>
        <w:tc>
          <w:tcPr>
            <w:tcW w:w="1189" w:type="dxa"/>
            <w:tcBorders>
              <w:top w:val="nil"/>
              <w:left w:val="single" w:sz="4" w:space="0" w:color="auto"/>
              <w:bottom w:val="nil"/>
              <w:right w:val="single" w:sz="4" w:space="0" w:color="auto"/>
            </w:tcBorders>
            <w:shd w:val="clear" w:color="auto" w:fill="auto"/>
          </w:tcPr>
          <w:p w14:paraId="2ABE6D2A" w14:textId="77777777" w:rsidR="00191E41" w:rsidRPr="00191E41" w:rsidRDefault="00191E41" w:rsidP="00191E41">
            <w:pPr>
              <w:ind w:right="113"/>
              <w:jc w:val="right"/>
              <w:rPr>
                <w:sz w:val="18"/>
                <w:szCs w:val="18"/>
              </w:rPr>
            </w:pPr>
            <w:r w:rsidRPr="00191E41">
              <w:rPr>
                <w:sz w:val="18"/>
                <w:szCs w:val="18"/>
              </w:rPr>
              <w:t>12 853.6</w:t>
            </w:r>
          </w:p>
        </w:tc>
        <w:tc>
          <w:tcPr>
            <w:tcW w:w="1197" w:type="dxa"/>
            <w:tcBorders>
              <w:top w:val="nil"/>
              <w:left w:val="single" w:sz="4" w:space="0" w:color="auto"/>
              <w:bottom w:val="nil"/>
              <w:right w:val="single" w:sz="4" w:space="0" w:color="auto"/>
            </w:tcBorders>
            <w:shd w:val="clear" w:color="auto" w:fill="auto"/>
          </w:tcPr>
          <w:p w14:paraId="666EA9F0" w14:textId="77777777" w:rsidR="00191E41" w:rsidRPr="00191E41" w:rsidRDefault="00191E41" w:rsidP="00191E41">
            <w:pPr>
              <w:ind w:right="113"/>
              <w:jc w:val="right"/>
              <w:rPr>
                <w:sz w:val="18"/>
                <w:szCs w:val="18"/>
              </w:rPr>
            </w:pPr>
            <w:r w:rsidRPr="00191E41">
              <w:rPr>
                <w:sz w:val="18"/>
                <w:szCs w:val="18"/>
              </w:rPr>
              <w:t>37 896.9</w:t>
            </w:r>
          </w:p>
        </w:tc>
        <w:tc>
          <w:tcPr>
            <w:tcW w:w="800" w:type="dxa"/>
            <w:tcBorders>
              <w:top w:val="nil"/>
              <w:left w:val="single" w:sz="4" w:space="0" w:color="auto"/>
              <w:bottom w:val="nil"/>
              <w:right w:val="single" w:sz="4" w:space="0" w:color="auto"/>
            </w:tcBorders>
            <w:shd w:val="clear" w:color="auto" w:fill="auto"/>
          </w:tcPr>
          <w:p w14:paraId="3E7A598B" w14:textId="77777777" w:rsidR="00191E41" w:rsidRPr="00191E41" w:rsidRDefault="00191E41" w:rsidP="00191E41">
            <w:pPr>
              <w:ind w:right="113"/>
              <w:jc w:val="right"/>
              <w:rPr>
                <w:sz w:val="18"/>
                <w:szCs w:val="18"/>
              </w:rPr>
            </w:pPr>
            <w:r w:rsidRPr="00191E41">
              <w:rPr>
                <w:sz w:val="18"/>
                <w:szCs w:val="18"/>
              </w:rPr>
              <w:t>186.1</w:t>
            </w:r>
          </w:p>
        </w:tc>
        <w:tc>
          <w:tcPr>
            <w:tcW w:w="813" w:type="dxa"/>
            <w:tcBorders>
              <w:top w:val="nil"/>
              <w:left w:val="single" w:sz="4" w:space="0" w:color="auto"/>
              <w:bottom w:val="nil"/>
              <w:right w:val="single" w:sz="4" w:space="0" w:color="auto"/>
            </w:tcBorders>
            <w:shd w:val="clear" w:color="auto" w:fill="auto"/>
          </w:tcPr>
          <w:p w14:paraId="76C9FEE9" w14:textId="77777777" w:rsidR="00191E41" w:rsidRPr="00191E41" w:rsidRDefault="00191E41" w:rsidP="00191E41">
            <w:pPr>
              <w:ind w:right="113"/>
              <w:jc w:val="right"/>
              <w:rPr>
                <w:sz w:val="18"/>
                <w:szCs w:val="18"/>
              </w:rPr>
            </w:pPr>
            <w:r w:rsidRPr="00191E41">
              <w:rPr>
                <w:sz w:val="18"/>
                <w:szCs w:val="18"/>
              </w:rPr>
              <w:t>3.5</w:t>
            </w:r>
          </w:p>
        </w:tc>
        <w:tc>
          <w:tcPr>
            <w:tcW w:w="807" w:type="dxa"/>
            <w:tcBorders>
              <w:top w:val="nil"/>
              <w:left w:val="single" w:sz="4" w:space="0" w:color="auto"/>
              <w:bottom w:val="nil"/>
              <w:right w:val="single" w:sz="4" w:space="0" w:color="auto"/>
            </w:tcBorders>
            <w:shd w:val="clear" w:color="auto" w:fill="auto"/>
          </w:tcPr>
          <w:p w14:paraId="3E45338B" w14:textId="77777777" w:rsidR="00191E41" w:rsidRPr="00191E41" w:rsidRDefault="00191E41" w:rsidP="00191E41">
            <w:pPr>
              <w:ind w:right="113"/>
              <w:jc w:val="right"/>
              <w:rPr>
                <w:sz w:val="18"/>
                <w:szCs w:val="18"/>
              </w:rPr>
            </w:pPr>
            <w:r w:rsidRPr="00191E41">
              <w:rPr>
                <w:sz w:val="18"/>
                <w:szCs w:val="18"/>
              </w:rPr>
              <w:t>10.4</w:t>
            </w:r>
          </w:p>
        </w:tc>
      </w:tr>
      <w:tr w:rsidR="00191E41" w:rsidRPr="00191E41" w14:paraId="62FCBDA9" w14:textId="77777777" w:rsidTr="001E7D79">
        <w:trPr>
          <w:jc w:val="center"/>
        </w:trPr>
        <w:tc>
          <w:tcPr>
            <w:tcW w:w="3780" w:type="dxa"/>
            <w:tcBorders>
              <w:top w:val="nil"/>
              <w:left w:val="single" w:sz="4" w:space="0" w:color="auto"/>
              <w:bottom w:val="nil"/>
              <w:right w:val="single" w:sz="4" w:space="0" w:color="auto"/>
            </w:tcBorders>
            <w:shd w:val="clear" w:color="auto" w:fill="auto"/>
          </w:tcPr>
          <w:p w14:paraId="0008E031" w14:textId="77777777" w:rsidR="00191E41" w:rsidRPr="00191E41" w:rsidRDefault="00191E41" w:rsidP="00191E41">
            <w:pPr>
              <w:ind w:left="567"/>
              <w:rPr>
                <w:rFonts w:eastAsia="Calibri"/>
                <w:sz w:val="18"/>
                <w:szCs w:val="18"/>
              </w:rPr>
            </w:pPr>
            <w:r w:rsidRPr="00191E41">
              <w:rPr>
                <w:rFonts w:eastAsia="Calibri"/>
                <w:sz w:val="18"/>
                <w:szCs w:val="18"/>
              </w:rPr>
              <w:t>Importaciones</w:t>
            </w:r>
          </w:p>
        </w:tc>
        <w:tc>
          <w:tcPr>
            <w:tcW w:w="1189" w:type="dxa"/>
            <w:tcBorders>
              <w:top w:val="nil"/>
              <w:left w:val="single" w:sz="4" w:space="0" w:color="auto"/>
              <w:bottom w:val="nil"/>
              <w:right w:val="single" w:sz="4" w:space="0" w:color="auto"/>
            </w:tcBorders>
            <w:shd w:val="clear" w:color="auto" w:fill="auto"/>
          </w:tcPr>
          <w:p w14:paraId="6F8D692D" w14:textId="77777777" w:rsidR="00191E41" w:rsidRPr="00191E41" w:rsidRDefault="00191E41" w:rsidP="00191E41">
            <w:pPr>
              <w:ind w:right="113"/>
              <w:jc w:val="right"/>
              <w:rPr>
                <w:sz w:val="18"/>
                <w:szCs w:val="18"/>
              </w:rPr>
            </w:pPr>
            <w:r w:rsidRPr="00191E41">
              <w:rPr>
                <w:sz w:val="18"/>
                <w:szCs w:val="18"/>
              </w:rPr>
              <w:t>2 826.1</w:t>
            </w:r>
          </w:p>
        </w:tc>
        <w:tc>
          <w:tcPr>
            <w:tcW w:w="1197" w:type="dxa"/>
            <w:tcBorders>
              <w:top w:val="nil"/>
              <w:left w:val="single" w:sz="4" w:space="0" w:color="auto"/>
              <w:bottom w:val="nil"/>
              <w:right w:val="single" w:sz="4" w:space="0" w:color="auto"/>
            </w:tcBorders>
            <w:shd w:val="clear" w:color="auto" w:fill="auto"/>
          </w:tcPr>
          <w:p w14:paraId="1F08D817" w14:textId="77777777" w:rsidR="00191E41" w:rsidRPr="00191E41" w:rsidRDefault="00191E41" w:rsidP="00191E41">
            <w:pPr>
              <w:ind w:right="113"/>
              <w:jc w:val="right"/>
              <w:rPr>
                <w:sz w:val="18"/>
                <w:szCs w:val="18"/>
              </w:rPr>
            </w:pPr>
            <w:r w:rsidRPr="00191E41">
              <w:rPr>
                <w:sz w:val="18"/>
                <w:szCs w:val="18"/>
              </w:rPr>
              <w:t>3 323.7</w:t>
            </w:r>
          </w:p>
        </w:tc>
        <w:tc>
          <w:tcPr>
            <w:tcW w:w="800" w:type="dxa"/>
            <w:tcBorders>
              <w:top w:val="nil"/>
              <w:left w:val="single" w:sz="4" w:space="0" w:color="auto"/>
              <w:bottom w:val="nil"/>
              <w:right w:val="single" w:sz="4" w:space="0" w:color="auto"/>
            </w:tcBorders>
            <w:shd w:val="clear" w:color="auto" w:fill="auto"/>
          </w:tcPr>
          <w:p w14:paraId="3156AB78" w14:textId="77777777" w:rsidR="00191E41" w:rsidRPr="00191E41" w:rsidRDefault="00191E41" w:rsidP="00191E41">
            <w:pPr>
              <w:ind w:right="113"/>
              <w:jc w:val="right"/>
              <w:rPr>
                <w:sz w:val="18"/>
                <w:szCs w:val="18"/>
              </w:rPr>
            </w:pPr>
            <w:r w:rsidRPr="00191E41">
              <w:rPr>
                <w:sz w:val="18"/>
                <w:szCs w:val="18"/>
              </w:rPr>
              <w:t>14.1</w:t>
            </w:r>
          </w:p>
        </w:tc>
        <w:tc>
          <w:tcPr>
            <w:tcW w:w="813" w:type="dxa"/>
            <w:tcBorders>
              <w:top w:val="nil"/>
              <w:left w:val="single" w:sz="4" w:space="0" w:color="auto"/>
              <w:bottom w:val="nil"/>
              <w:right w:val="single" w:sz="4" w:space="0" w:color="auto"/>
            </w:tcBorders>
            <w:shd w:val="clear" w:color="auto" w:fill="auto"/>
          </w:tcPr>
          <w:p w14:paraId="64FCEE83" w14:textId="77777777" w:rsidR="00191E41" w:rsidRPr="00191E41" w:rsidRDefault="00191E41" w:rsidP="00191E41">
            <w:pPr>
              <w:ind w:right="113"/>
              <w:jc w:val="right"/>
              <w:rPr>
                <w:sz w:val="18"/>
                <w:szCs w:val="18"/>
              </w:rPr>
            </w:pPr>
            <w:r w:rsidRPr="00191E41">
              <w:rPr>
                <w:sz w:val="18"/>
                <w:szCs w:val="18"/>
              </w:rPr>
              <w:t>0.8</w:t>
            </w:r>
          </w:p>
        </w:tc>
        <w:tc>
          <w:tcPr>
            <w:tcW w:w="807" w:type="dxa"/>
            <w:tcBorders>
              <w:top w:val="nil"/>
              <w:left w:val="single" w:sz="4" w:space="0" w:color="auto"/>
              <w:bottom w:val="nil"/>
              <w:right w:val="single" w:sz="4" w:space="0" w:color="auto"/>
            </w:tcBorders>
            <w:shd w:val="clear" w:color="auto" w:fill="auto"/>
          </w:tcPr>
          <w:p w14:paraId="56570236" w14:textId="77777777" w:rsidR="00191E41" w:rsidRPr="00191E41" w:rsidRDefault="00191E41" w:rsidP="00191E41">
            <w:pPr>
              <w:ind w:right="113"/>
              <w:jc w:val="right"/>
              <w:rPr>
                <w:sz w:val="18"/>
                <w:szCs w:val="18"/>
              </w:rPr>
            </w:pPr>
            <w:r w:rsidRPr="00191E41">
              <w:rPr>
                <w:sz w:val="18"/>
                <w:szCs w:val="18"/>
              </w:rPr>
              <w:t>0.9</w:t>
            </w:r>
          </w:p>
        </w:tc>
      </w:tr>
      <w:tr w:rsidR="00191E41" w:rsidRPr="00191E41" w14:paraId="2C40CD86" w14:textId="77777777" w:rsidTr="001E7D79">
        <w:trPr>
          <w:jc w:val="center"/>
        </w:trPr>
        <w:tc>
          <w:tcPr>
            <w:tcW w:w="3780" w:type="dxa"/>
            <w:tcBorders>
              <w:top w:val="nil"/>
              <w:left w:val="single" w:sz="4" w:space="0" w:color="auto"/>
              <w:bottom w:val="nil"/>
              <w:right w:val="single" w:sz="4" w:space="0" w:color="auto"/>
            </w:tcBorders>
            <w:shd w:val="clear" w:color="auto" w:fill="auto"/>
          </w:tcPr>
          <w:p w14:paraId="1504F9C1" w14:textId="77777777" w:rsidR="00191E41" w:rsidRPr="00191E41" w:rsidRDefault="00191E41" w:rsidP="00191E41">
            <w:pPr>
              <w:ind w:left="567"/>
              <w:rPr>
                <w:rFonts w:eastAsia="Calibri"/>
                <w:sz w:val="18"/>
                <w:szCs w:val="18"/>
              </w:rPr>
            </w:pPr>
            <w:r w:rsidRPr="00191E41">
              <w:rPr>
                <w:rFonts w:eastAsia="Calibri"/>
                <w:sz w:val="18"/>
                <w:szCs w:val="18"/>
              </w:rPr>
              <w:t>IAEEH</w:t>
            </w:r>
            <w:r w:rsidRPr="00191E41">
              <w:rPr>
                <w:rFonts w:eastAsia="Calibri"/>
                <w:sz w:val="18"/>
                <w:szCs w:val="18"/>
                <w:u w:val="single"/>
                <w:vertAlign w:val="superscript"/>
              </w:rPr>
              <w:t>1</w:t>
            </w:r>
            <w:r w:rsidRPr="00191E41">
              <w:rPr>
                <w:rFonts w:eastAsia="Calibri"/>
                <w:sz w:val="18"/>
                <w:szCs w:val="18"/>
                <w:vertAlign w:val="superscript"/>
              </w:rPr>
              <w:t>/</w:t>
            </w:r>
          </w:p>
        </w:tc>
        <w:tc>
          <w:tcPr>
            <w:tcW w:w="1189" w:type="dxa"/>
            <w:tcBorders>
              <w:top w:val="nil"/>
              <w:left w:val="single" w:sz="4" w:space="0" w:color="auto"/>
              <w:bottom w:val="nil"/>
              <w:right w:val="single" w:sz="4" w:space="0" w:color="auto"/>
            </w:tcBorders>
            <w:shd w:val="clear" w:color="auto" w:fill="auto"/>
          </w:tcPr>
          <w:p w14:paraId="7AEE102A" w14:textId="77777777" w:rsidR="00191E41" w:rsidRPr="00191E41" w:rsidRDefault="00191E41" w:rsidP="00191E41">
            <w:pPr>
              <w:ind w:right="113"/>
              <w:jc w:val="right"/>
              <w:rPr>
                <w:sz w:val="18"/>
                <w:szCs w:val="18"/>
              </w:rPr>
            </w:pPr>
            <w:r w:rsidRPr="00191E41">
              <w:rPr>
                <w:sz w:val="18"/>
                <w:szCs w:val="18"/>
              </w:rPr>
              <w:t>0.0</w:t>
            </w:r>
          </w:p>
        </w:tc>
        <w:tc>
          <w:tcPr>
            <w:tcW w:w="1197" w:type="dxa"/>
            <w:tcBorders>
              <w:top w:val="nil"/>
              <w:left w:val="single" w:sz="4" w:space="0" w:color="auto"/>
              <w:bottom w:val="nil"/>
              <w:right w:val="single" w:sz="4" w:space="0" w:color="auto"/>
            </w:tcBorders>
            <w:shd w:val="clear" w:color="auto" w:fill="auto"/>
          </w:tcPr>
          <w:p w14:paraId="19EF1E29" w14:textId="77777777" w:rsidR="00191E41" w:rsidRPr="00191E41" w:rsidRDefault="00191E41" w:rsidP="00191E41">
            <w:pPr>
              <w:ind w:right="113"/>
              <w:jc w:val="right"/>
              <w:rPr>
                <w:sz w:val="18"/>
                <w:szCs w:val="18"/>
              </w:rPr>
            </w:pPr>
            <w:r w:rsidRPr="00191E41">
              <w:rPr>
                <w:sz w:val="18"/>
                <w:szCs w:val="18"/>
              </w:rPr>
              <w:t>0.0</w:t>
            </w:r>
          </w:p>
        </w:tc>
        <w:tc>
          <w:tcPr>
            <w:tcW w:w="800" w:type="dxa"/>
            <w:tcBorders>
              <w:top w:val="nil"/>
              <w:left w:val="single" w:sz="4" w:space="0" w:color="auto"/>
              <w:bottom w:val="nil"/>
              <w:right w:val="single" w:sz="4" w:space="0" w:color="auto"/>
            </w:tcBorders>
            <w:shd w:val="clear" w:color="auto" w:fill="auto"/>
          </w:tcPr>
          <w:p w14:paraId="0564CAF6" w14:textId="77777777" w:rsidR="00191E41" w:rsidRPr="00191E41" w:rsidRDefault="00191E41" w:rsidP="00191E41">
            <w:pPr>
              <w:ind w:right="113"/>
              <w:jc w:val="right"/>
              <w:rPr>
                <w:sz w:val="18"/>
                <w:szCs w:val="18"/>
              </w:rPr>
            </w:pPr>
            <w:r w:rsidRPr="00191E41">
              <w:rPr>
                <w:sz w:val="18"/>
                <w:szCs w:val="18"/>
              </w:rPr>
              <w:t>n.s</w:t>
            </w:r>
          </w:p>
        </w:tc>
        <w:tc>
          <w:tcPr>
            <w:tcW w:w="813" w:type="dxa"/>
            <w:tcBorders>
              <w:top w:val="nil"/>
              <w:left w:val="single" w:sz="4" w:space="0" w:color="auto"/>
              <w:bottom w:val="nil"/>
              <w:right w:val="single" w:sz="4" w:space="0" w:color="auto"/>
            </w:tcBorders>
            <w:shd w:val="clear" w:color="auto" w:fill="auto"/>
          </w:tcPr>
          <w:p w14:paraId="06CAFE76" w14:textId="77777777" w:rsidR="00191E41" w:rsidRPr="00191E41" w:rsidRDefault="00191E41" w:rsidP="00191E41">
            <w:pPr>
              <w:ind w:right="113"/>
              <w:jc w:val="right"/>
              <w:rPr>
                <w:sz w:val="18"/>
                <w:szCs w:val="18"/>
              </w:rPr>
            </w:pPr>
            <w:r w:rsidRPr="00191E41">
              <w:rPr>
                <w:sz w:val="18"/>
                <w:szCs w:val="18"/>
              </w:rPr>
              <w:t>0.0</w:t>
            </w:r>
          </w:p>
        </w:tc>
        <w:tc>
          <w:tcPr>
            <w:tcW w:w="807" w:type="dxa"/>
            <w:tcBorders>
              <w:top w:val="nil"/>
              <w:left w:val="single" w:sz="4" w:space="0" w:color="auto"/>
              <w:bottom w:val="nil"/>
              <w:right w:val="single" w:sz="4" w:space="0" w:color="auto"/>
            </w:tcBorders>
            <w:shd w:val="clear" w:color="auto" w:fill="auto"/>
          </w:tcPr>
          <w:p w14:paraId="3490A619" w14:textId="77777777" w:rsidR="00191E41" w:rsidRPr="00191E41" w:rsidRDefault="00191E41" w:rsidP="00191E41">
            <w:pPr>
              <w:ind w:right="113"/>
              <w:jc w:val="right"/>
              <w:rPr>
                <w:sz w:val="18"/>
                <w:szCs w:val="18"/>
              </w:rPr>
            </w:pPr>
            <w:r w:rsidRPr="00191E41">
              <w:rPr>
                <w:sz w:val="18"/>
                <w:szCs w:val="18"/>
              </w:rPr>
              <w:t>0.0</w:t>
            </w:r>
          </w:p>
        </w:tc>
      </w:tr>
      <w:tr w:rsidR="00191E41" w:rsidRPr="00191E41" w14:paraId="5EC3F5D5" w14:textId="77777777" w:rsidTr="001E7D79">
        <w:trPr>
          <w:jc w:val="center"/>
        </w:trPr>
        <w:tc>
          <w:tcPr>
            <w:tcW w:w="3780" w:type="dxa"/>
            <w:tcBorders>
              <w:top w:val="nil"/>
              <w:left w:val="single" w:sz="4" w:space="0" w:color="auto"/>
              <w:bottom w:val="nil"/>
              <w:right w:val="single" w:sz="4" w:space="0" w:color="auto"/>
            </w:tcBorders>
            <w:shd w:val="clear" w:color="auto" w:fill="auto"/>
          </w:tcPr>
          <w:p w14:paraId="4D19493F" w14:textId="77777777" w:rsidR="00191E41" w:rsidRPr="00191E41" w:rsidRDefault="00191E41" w:rsidP="00191E41">
            <w:pPr>
              <w:ind w:left="567"/>
              <w:rPr>
                <w:rFonts w:eastAsia="Calibri"/>
                <w:sz w:val="18"/>
                <w:szCs w:val="18"/>
              </w:rPr>
            </w:pPr>
            <w:r w:rsidRPr="00191E41">
              <w:rPr>
                <w:rFonts w:eastAsia="Calibri"/>
                <w:sz w:val="18"/>
                <w:szCs w:val="18"/>
              </w:rPr>
              <w:t>Otros impuestos</w:t>
            </w:r>
            <w:r w:rsidRPr="00191E41">
              <w:rPr>
                <w:rFonts w:eastAsia="Calibri"/>
                <w:sz w:val="18"/>
                <w:szCs w:val="18"/>
                <w:u w:val="single"/>
                <w:vertAlign w:val="superscript"/>
              </w:rPr>
              <w:t>2</w:t>
            </w:r>
            <w:r w:rsidRPr="00191E41">
              <w:rPr>
                <w:rFonts w:eastAsia="Calibri"/>
                <w:sz w:val="18"/>
                <w:szCs w:val="18"/>
                <w:vertAlign w:val="superscript"/>
              </w:rPr>
              <w:t>/</w:t>
            </w:r>
          </w:p>
        </w:tc>
        <w:tc>
          <w:tcPr>
            <w:tcW w:w="1189" w:type="dxa"/>
            <w:tcBorders>
              <w:top w:val="nil"/>
              <w:left w:val="single" w:sz="4" w:space="0" w:color="auto"/>
              <w:bottom w:val="nil"/>
              <w:right w:val="single" w:sz="4" w:space="0" w:color="auto"/>
            </w:tcBorders>
            <w:shd w:val="clear" w:color="auto" w:fill="auto"/>
          </w:tcPr>
          <w:p w14:paraId="5E1BDF3C" w14:textId="77777777" w:rsidR="00191E41" w:rsidRPr="00191E41" w:rsidRDefault="00191E41" w:rsidP="00191E41">
            <w:pPr>
              <w:ind w:right="113"/>
              <w:jc w:val="right"/>
              <w:rPr>
                <w:sz w:val="18"/>
                <w:szCs w:val="18"/>
              </w:rPr>
            </w:pPr>
            <w:r w:rsidRPr="00191E41">
              <w:rPr>
                <w:sz w:val="18"/>
                <w:szCs w:val="18"/>
              </w:rPr>
              <w:t>2 155.6</w:t>
            </w:r>
          </w:p>
        </w:tc>
        <w:tc>
          <w:tcPr>
            <w:tcW w:w="1197" w:type="dxa"/>
            <w:tcBorders>
              <w:top w:val="nil"/>
              <w:left w:val="single" w:sz="4" w:space="0" w:color="auto"/>
              <w:bottom w:val="nil"/>
              <w:right w:val="single" w:sz="4" w:space="0" w:color="auto"/>
            </w:tcBorders>
            <w:shd w:val="clear" w:color="auto" w:fill="auto"/>
          </w:tcPr>
          <w:p w14:paraId="6E4FE978" w14:textId="77777777" w:rsidR="00191E41" w:rsidRPr="00191E41" w:rsidRDefault="00191E41" w:rsidP="00191E41">
            <w:pPr>
              <w:ind w:right="113"/>
              <w:jc w:val="right"/>
              <w:rPr>
                <w:sz w:val="18"/>
                <w:szCs w:val="18"/>
              </w:rPr>
            </w:pPr>
            <w:r w:rsidRPr="00191E41">
              <w:rPr>
                <w:sz w:val="18"/>
                <w:szCs w:val="18"/>
              </w:rPr>
              <w:t>2 803.9</w:t>
            </w:r>
          </w:p>
        </w:tc>
        <w:tc>
          <w:tcPr>
            <w:tcW w:w="800" w:type="dxa"/>
            <w:tcBorders>
              <w:top w:val="nil"/>
              <w:left w:val="single" w:sz="4" w:space="0" w:color="auto"/>
              <w:bottom w:val="nil"/>
              <w:right w:val="single" w:sz="4" w:space="0" w:color="auto"/>
            </w:tcBorders>
            <w:shd w:val="clear" w:color="auto" w:fill="auto"/>
          </w:tcPr>
          <w:p w14:paraId="0ABC9749" w14:textId="77777777" w:rsidR="00191E41" w:rsidRPr="00191E41" w:rsidRDefault="00191E41" w:rsidP="00191E41">
            <w:pPr>
              <w:ind w:right="113"/>
              <w:jc w:val="right"/>
              <w:rPr>
                <w:sz w:val="18"/>
                <w:szCs w:val="18"/>
              </w:rPr>
            </w:pPr>
            <w:r w:rsidRPr="00191E41">
              <w:rPr>
                <w:sz w:val="18"/>
                <w:szCs w:val="18"/>
              </w:rPr>
              <w:t>26.2</w:t>
            </w:r>
          </w:p>
        </w:tc>
        <w:tc>
          <w:tcPr>
            <w:tcW w:w="813" w:type="dxa"/>
            <w:tcBorders>
              <w:top w:val="nil"/>
              <w:left w:val="single" w:sz="4" w:space="0" w:color="auto"/>
              <w:bottom w:val="nil"/>
              <w:right w:val="single" w:sz="4" w:space="0" w:color="auto"/>
            </w:tcBorders>
            <w:shd w:val="clear" w:color="auto" w:fill="auto"/>
          </w:tcPr>
          <w:p w14:paraId="00047436" w14:textId="77777777" w:rsidR="00191E41" w:rsidRPr="00191E41" w:rsidRDefault="00191E41" w:rsidP="00191E41">
            <w:pPr>
              <w:ind w:right="113"/>
              <w:jc w:val="right"/>
              <w:rPr>
                <w:sz w:val="18"/>
                <w:szCs w:val="18"/>
              </w:rPr>
            </w:pPr>
            <w:r w:rsidRPr="00191E41">
              <w:rPr>
                <w:sz w:val="18"/>
                <w:szCs w:val="18"/>
              </w:rPr>
              <w:t>0.6</w:t>
            </w:r>
          </w:p>
        </w:tc>
        <w:tc>
          <w:tcPr>
            <w:tcW w:w="807" w:type="dxa"/>
            <w:tcBorders>
              <w:top w:val="nil"/>
              <w:left w:val="single" w:sz="4" w:space="0" w:color="auto"/>
              <w:bottom w:val="nil"/>
              <w:right w:val="single" w:sz="4" w:space="0" w:color="auto"/>
            </w:tcBorders>
            <w:shd w:val="clear" w:color="auto" w:fill="auto"/>
          </w:tcPr>
          <w:p w14:paraId="45EAE0EE" w14:textId="77777777" w:rsidR="00191E41" w:rsidRPr="00191E41" w:rsidRDefault="00191E41" w:rsidP="00191E41">
            <w:pPr>
              <w:ind w:right="113"/>
              <w:jc w:val="right"/>
              <w:rPr>
                <w:sz w:val="18"/>
                <w:szCs w:val="18"/>
              </w:rPr>
            </w:pPr>
            <w:r w:rsidRPr="00191E41">
              <w:rPr>
                <w:sz w:val="18"/>
                <w:szCs w:val="18"/>
              </w:rPr>
              <w:t>0.8</w:t>
            </w:r>
          </w:p>
        </w:tc>
      </w:tr>
      <w:tr w:rsidR="00191E41" w:rsidRPr="00191E41" w14:paraId="5BB993BC" w14:textId="77777777" w:rsidTr="001E7D79">
        <w:trPr>
          <w:jc w:val="center"/>
        </w:trPr>
        <w:tc>
          <w:tcPr>
            <w:tcW w:w="3780" w:type="dxa"/>
            <w:tcBorders>
              <w:top w:val="nil"/>
              <w:left w:val="single" w:sz="4" w:space="0" w:color="auto"/>
              <w:bottom w:val="nil"/>
              <w:right w:val="single" w:sz="4" w:space="0" w:color="auto"/>
            </w:tcBorders>
            <w:shd w:val="clear" w:color="auto" w:fill="auto"/>
          </w:tcPr>
          <w:p w14:paraId="1EBADF3F" w14:textId="77777777" w:rsidR="00191E41" w:rsidRPr="00191E41" w:rsidRDefault="00191E41" w:rsidP="00191E41">
            <w:pPr>
              <w:ind w:left="454"/>
              <w:rPr>
                <w:rFonts w:eastAsia="Calibri"/>
                <w:sz w:val="18"/>
                <w:szCs w:val="18"/>
              </w:rPr>
            </w:pPr>
            <w:r w:rsidRPr="00191E41">
              <w:rPr>
                <w:rFonts w:eastAsia="Calibri"/>
                <w:sz w:val="18"/>
                <w:szCs w:val="18"/>
              </w:rPr>
              <w:t>No tributarios</w:t>
            </w:r>
          </w:p>
        </w:tc>
        <w:tc>
          <w:tcPr>
            <w:tcW w:w="1189" w:type="dxa"/>
            <w:tcBorders>
              <w:top w:val="nil"/>
              <w:left w:val="single" w:sz="4" w:space="0" w:color="auto"/>
              <w:bottom w:val="nil"/>
              <w:right w:val="single" w:sz="4" w:space="0" w:color="auto"/>
            </w:tcBorders>
            <w:shd w:val="clear" w:color="auto" w:fill="auto"/>
          </w:tcPr>
          <w:p w14:paraId="021338D3" w14:textId="77777777" w:rsidR="00191E41" w:rsidRPr="00191E41" w:rsidRDefault="00191E41" w:rsidP="00191E41">
            <w:pPr>
              <w:ind w:right="113"/>
              <w:jc w:val="right"/>
              <w:rPr>
                <w:sz w:val="18"/>
                <w:szCs w:val="18"/>
              </w:rPr>
            </w:pPr>
            <w:r w:rsidRPr="00191E41">
              <w:rPr>
                <w:sz w:val="18"/>
                <w:szCs w:val="18"/>
              </w:rPr>
              <w:t>12 116.3</w:t>
            </w:r>
          </w:p>
        </w:tc>
        <w:tc>
          <w:tcPr>
            <w:tcW w:w="1197" w:type="dxa"/>
            <w:tcBorders>
              <w:top w:val="nil"/>
              <w:left w:val="single" w:sz="4" w:space="0" w:color="auto"/>
              <w:bottom w:val="nil"/>
              <w:right w:val="single" w:sz="4" w:space="0" w:color="auto"/>
            </w:tcBorders>
            <w:shd w:val="clear" w:color="auto" w:fill="auto"/>
          </w:tcPr>
          <w:p w14:paraId="3677AE53" w14:textId="77777777" w:rsidR="00191E41" w:rsidRPr="00191E41" w:rsidRDefault="00191E41" w:rsidP="00191E41">
            <w:pPr>
              <w:ind w:right="113"/>
              <w:jc w:val="right"/>
              <w:rPr>
                <w:sz w:val="18"/>
                <w:szCs w:val="18"/>
              </w:rPr>
            </w:pPr>
            <w:r w:rsidRPr="00191E41">
              <w:rPr>
                <w:sz w:val="18"/>
                <w:szCs w:val="18"/>
              </w:rPr>
              <w:t>15 478.4</w:t>
            </w:r>
          </w:p>
        </w:tc>
        <w:tc>
          <w:tcPr>
            <w:tcW w:w="800" w:type="dxa"/>
            <w:tcBorders>
              <w:top w:val="nil"/>
              <w:left w:val="single" w:sz="4" w:space="0" w:color="auto"/>
              <w:bottom w:val="nil"/>
              <w:right w:val="single" w:sz="4" w:space="0" w:color="auto"/>
            </w:tcBorders>
            <w:shd w:val="clear" w:color="auto" w:fill="auto"/>
          </w:tcPr>
          <w:p w14:paraId="28677E6C" w14:textId="77777777" w:rsidR="00191E41" w:rsidRPr="00191E41" w:rsidRDefault="00191E41" w:rsidP="00191E41">
            <w:pPr>
              <w:ind w:right="113"/>
              <w:jc w:val="right"/>
              <w:rPr>
                <w:sz w:val="18"/>
                <w:szCs w:val="18"/>
              </w:rPr>
            </w:pPr>
            <w:r w:rsidRPr="00191E41">
              <w:rPr>
                <w:sz w:val="18"/>
                <w:szCs w:val="18"/>
              </w:rPr>
              <w:t>23.9</w:t>
            </w:r>
          </w:p>
        </w:tc>
        <w:tc>
          <w:tcPr>
            <w:tcW w:w="813" w:type="dxa"/>
            <w:tcBorders>
              <w:top w:val="nil"/>
              <w:left w:val="single" w:sz="4" w:space="0" w:color="auto"/>
              <w:bottom w:val="nil"/>
              <w:right w:val="single" w:sz="4" w:space="0" w:color="auto"/>
            </w:tcBorders>
            <w:shd w:val="clear" w:color="auto" w:fill="auto"/>
          </w:tcPr>
          <w:p w14:paraId="2569BEAB" w14:textId="77777777" w:rsidR="00191E41" w:rsidRPr="00191E41" w:rsidRDefault="00191E41" w:rsidP="00191E41">
            <w:pPr>
              <w:ind w:right="113"/>
              <w:jc w:val="right"/>
              <w:rPr>
                <w:sz w:val="18"/>
                <w:szCs w:val="18"/>
              </w:rPr>
            </w:pPr>
            <w:r w:rsidRPr="00191E41">
              <w:rPr>
                <w:sz w:val="18"/>
                <w:szCs w:val="18"/>
              </w:rPr>
              <w:t>3.3</w:t>
            </w:r>
          </w:p>
        </w:tc>
        <w:tc>
          <w:tcPr>
            <w:tcW w:w="807" w:type="dxa"/>
            <w:tcBorders>
              <w:top w:val="nil"/>
              <w:left w:val="single" w:sz="4" w:space="0" w:color="auto"/>
              <w:bottom w:val="nil"/>
              <w:right w:val="single" w:sz="4" w:space="0" w:color="auto"/>
            </w:tcBorders>
            <w:shd w:val="clear" w:color="auto" w:fill="auto"/>
          </w:tcPr>
          <w:p w14:paraId="64C459E5" w14:textId="77777777" w:rsidR="00191E41" w:rsidRPr="00191E41" w:rsidRDefault="00191E41" w:rsidP="00191E41">
            <w:pPr>
              <w:ind w:right="113"/>
              <w:jc w:val="right"/>
              <w:rPr>
                <w:sz w:val="18"/>
                <w:szCs w:val="18"/>
              </w:rPr>
            </w:pPr>
            <w:r w:rsidRPr="00191E41">
              <w:rPr>
                <w:sz w:val="18"/>
                <w:szCs w:val="18"/>
              </w:rPr>
              <w:t>4.2</w:t>
            </w:r>
          </w:p>
        </w:tc>
      </w:tr>
      <w:tr w:rsidR="00191E41" w:rsidRPr="00191E41" w14:paraId="07C4CCD8" w14:textId="77777777" w:rsidTr="001E7D79">
        <w:trPr>
          <w:jc w:val="center"/>
        </w:trPr>
        <w:tc>
          <w:tcPr>
            <w:tcW w:w="3780" w:type="dxa"/>
            <w:tcBorders>
              <w:top w:val="nil"/>
              <w:left w:val="single" w:sz="4" w:space="0" w:color="auto"/>
              <w:bottom w:val="nil"/>
              <w:right w:val="single" w:sz="4" w:space="0" w:color="auto"/>
            </w:tcBorders>
            <w:shd w:val="clear" w:color="auto" w:fill="auto"/>
          </w:tcPr>
          <w:p w14:paraId="79658290" w14:textId="77777777" w:rsidR="00191E41" w:rsidRPr="00191E41" w:rsidRDefault="00191E41" w:rsidP="00191E41">
            <w:pPr>
              <w:ind w:left="284"/>
              <w:rPr>
                <w:rFonts w:eastAsia="Calibri"/>
                <w:sz w:val="18"/>
                <w:szCs w:val="18"/>
                <w:vertAlign w:val="superscript"/>
              </w:rPr>
            </w:pPr>
            <w:r w:rsidRPr="00191E41">
              <w:rPr>
                <w:rFonts w:eastAsia="Calibri"/>
                <w:sz w:val="18"/>
                <w:szCs w:val="18"/>
              </w:rPr>
              <w:t>d) Organismos y empresas</w:t>
            </w:r>
            <w:r w:rsidRPr="00191E41">
              <w:rPr>
                <w:rFonts w:eastAsia="Calibri"/>
                <w:sz w:val="18"/>
                <w:szCs w:val="18"/>
                <w:u w:val="single"/>
                <w:vertAlign w:val="superscript"/>
              </w:rPr>
              <w:t>3</w:t>
            </w:r>
            <w:r w:rsidRPr="00191E41">
              <w:rPr>
                <w:rFonts w:eastAsia="Calibri"/>
                <w:sz w:val="18"/>
                <w:szCs w:val="18"/>
                <w:vertAlign w:val="superscript"/>
              </w:rPr>
              <w:t>/</w:t>
            </w:r>
          </w:p>
        </w:tc>
        <w:tc>
          <w:tcPr>
            <w:tcW w:w="1189" w:type="dxa"/>
            <w:tcBorders>
              <w:top w:val="nil"/>
              <w:left w:val="single" w:sz="4" w:space="0" w:color="auto"/>
              <w:bottom w:val="nil"/>
              <w:right w:val="single" w:sz="4" w:space="0" w:color="auto"/>
            </w:tcBorders>
            <w:shd w:val="clear" w:color="auto" w:fill="auto"/>
          </w:tcPr>
          <w:p w14:paraId="464EC466" w14:textId="77777777" w:rsidR="00191E41" w:rsidRPr="00191E41" w:rsidRDefault="00191E41" w:rsidP="00191E41">
            <w:pPr>
              <w:ind w:right="113"/>
              <w:jc w:val="right"/>
              <w:rPr>
                <w:sz w:val="18"/>
                <w:szCs w:val="18"/>
              </w:rPr>
            </w:pPr>
            <w:r w:rsidRPr="00191E41">
              <w:rPr>
                <w:sz w:val="18"/>
                <w:szCs w:val="18"/>
              </w:rPr>
              <w:t>48 862.8</w:t>
            </w:r>
          </w:p>
        </w:tc>
        <w:tc>
          <w:tcPr>
            <w:tcW w:w="1197" w:type="dxa"/>
            <w:tcBorders>
              <w:top w:val="nil"/>
              <w:left w:val="single" w:sz="4" w:space="0" w:color="auto"/>
              <w:bottom w:val="nil"/>
              <w:right w:val="single" w:sz="4" w:space="0" w:color="auto"/>
            </w:tcBorders>
            <w:shd w:val="clear" w:color="auto" w:fill="auto"/>
          </w:tcPr>
          <w:p w14:paraId="56D16115" w14:textId="77777777" w:rsidR="00191E41" w:rsidRPr="00191E41" w:rsidRDefault="00191E41" w:rsidP="00191E41">
            <w:pPr>
              <w:ind w:right="113"/>
              <w:jc w:val="right"/>
              <w:rPr>
                <w:sz w:val="18"/>
                <w:szCs w:val="18"/>
              </w:rPr>
            </w:pPr>
            <w:r w:rsidRPr="00191E41">
              <w:rPr>
                <w:sz w:val="18"/>
                <w:szCs w:val="18"/>
              </w:rPr>
              <w:t>50 963.9</w:t>
            </w:r>
          </w:p>
        </w:tc>
        <w:tc>
          <w:tcPr>
            <w:tcW w:w="800" w:type="dxa"/>
            <w:tcBorders>
              <w:top w:val="nil"/>
              <w:left w:val="single" w:sz="4" w:space="0" w:color="auto"/>
              <w:bottom w:val="nil"/>
              <w:right w:val="single" w:sz="4" w:space="0" w:color="auto"/>
            </w:tcBorders>
            <w:shd w:val="clear" w:color="auto" w:fill="auto"/>
          </w:tcPr>
          <w:p w14:paraId="39864F47" w14:textId="77777777" w:rsidR="00191E41" w:rsidRPr="00191E41" w:rsidRDefault="00191E41" w:rsidP="00191E41">
            <w:pPr>
              <w:ind w:right="113"/>
              <w:jc w:val="right"/>
              <w:rPr>
                <w:sz w:val="18"/>
                <w:szCs w:val="18"/>
              </w:rPr>
            </w:pPr>
            <w:r w:rsidRPr="00191E41">
              <w:rPr>
                <w:sz w:val="18"/>
                <w:szCs w:val="18"/>
              </w:rPr>
              <w:t>1.2</w:t>
            </w:r>
          </w:p>
        </w:tc>
        <w:tc>
          <w:tcPr>
            <w:tcW w:w="813" w:type="dxa"/>
            <w:tcBorders>
              <w:top w:val="nil"/>
              <w:left w:val="single" w:sz="4" w:space="0" w:color="auto"/>
              <w:bottom w:val="nil"/>
              <w:right w:val="single" w:sz="4" w:space="0" w:color="auto"/>
            </w:tcBorders>
            <w:shd w:val="clear" w:color="auto" w:fill="auto"/>
          </w:tcPr>
          <w:p w14:paraId="709C18CD" w14:textId="77777777" w:rsidR="00191E41" w:rsidRPr="00191E41" w:rsidRDefault="00191E41" w:rsidP="00191E41">
            <w:pPr>
              <w:ind w:right="113"/>
              <w:jc w:val="right"/>
              <w:rPr>
                <w:sz w:val="18"/>
                <w:szCs w:val="18"/>
              </w:rPr>
            </w:pPr>
            <w:r w:rsidRPr="00191E41">
              <w:rPr>
                <w:sz w:val="18"/>
                <w:szCs w:val="18"/>
              </w:rPr>
              <w:t>13.3</w:t>
            </w:r>
          </w:p>
        </w:tc>
        <w:tc>
          <w:tcPr>
            <w:tcW w:w="807" w:type="dxa"/>
            <w:tcBorders>
              <w:top w:val="nil"/>
              <w:left w:val="single" w:sz="4" w:space="0" w:color="auto"/>
              <w:bottom w:val="nil"/>
              <w:right w:val="single" w:sz="4" w:space="0" w:color="auto"/>
            </w:tcBorders>
            <w:shd w:val="clear" w:color="auto" w:fill="auto"/>
          </w:tcPr>
          <w:p w14:paraId="2F7071A6" w14:textId="77777777" w:rsidR="00191E41" w:rsidRPr="00191E41" w:rsidRDefault="00191E41" w:rsidP="00191E41">
            <w:pPr>
              <w:ind w:right="113"/>
              <w:jc w:val="right"/>
              <w:rPr>
                <w:sz w:val="18"/>
                <w:szCs w:val="18"/>
              </w:rPr>
            </w:pPr>
            <w:r w:rsidRPr="00191E41">
              <w:rPr>
                <w:sz w:val="18"/>
                <w:szCs w:val="18"/>
              </w:rPr>
              <w:t>14.0</w:t>
            </w:r>
          </w:p>
        </w:tc>
      </w:tr>
      <w:tr w:rsidR="00191E41" w:rsidRPr="00191E41" w14:paraId="4B447354" w14:textId="77777777" w:rsidTr="001E7D79">
        <w:trPr>
          <w:jc w:val="center"/>
        </w:trPr>
        <w:tc>
          <w:tcPr>
            <w:tcW w:w="8586" w:type="dxa"/>
            <w:gridSpan w:val="6"/>
            <w:tcBorders>
              <w:top w:val="single" w:sz="4" w:space="0" w:color="auto"/>
              <w:left w:val="nil"/>
              <w:bottom w:val="nil"/>
              <w:right w:val="nil"/>
            </w:tcBorders>
            <w:shd w:val="clear" w:color="auto" w:fill="auto"/>
          </w:tcPr>
          <w:p w14:paraId="23F31E49" w14:textId="77777777" w:rsidR="00191E41" w:rsidRPr="00191E41" w:rsidRDefault="00191E41" w:rsidP="00191E41">
            <w:pPr>
              <w:jc w:val="both"/>
              <w:rPr>
                <w:rFonts w:eastAsia="Calibri"/>
                <w:sz w:val="18"/>
                <w:szCs w:val="18"/>
              </w:rPr>
            </w:pPr>
            <w:r w:rsidRPr="00191E41">
              <w:rPr>
                <w:rFonts w:eastAsia="Calibri"/>
                <w:sz w:val="18"/>
                <w:szCs w:val="18"/>
              </w:rPr>
              <w:t>Nota: Las sumas parciales y las variaciones pueden no coincidir debido al redondeo.</w:t>
            </w:r>
          </w:p>
          <w:p w14:paraId="40DDA99E" w14:textId="77777777" w:rsidR="00191E41" w:rsidRPr="00191E41" w:rsidRDefault="00191E41" w:rsidP="00191E41">
            <w:pPr>
              <w:jc w:val="both"/>
              <w:rPr>
                <w:rFonts w:eastAsia="Calibri"/>
                <w:sz w:val="18"/>
                <w:szCs w:val="18"/>
              </w:rPr>
            </w:pPr>
            <w:r w:rsidRPr="00191E41">
              <w:rPr>
                <w:rFonts w:eastAsia="Calibri"/>
                <w:sz w:val="18"/>
                <w:szCs w:val="18"/>
                <w:u w:val="single"/>
              </w:rPr>
              <w:t>p</w:t>
            </w:r>
            <w:r w:rsidRPr="00191E41">
              <w:rPr>
                <w:rFonts w:eastAsia="Calibri"/>
                <w:sz w:val="18"/>
                <w:szCs w:val="18"/>
              </w:rPr>
              <w:t>/ Cifras preliminares.</w:t>
            </w:r>
          </w:p>
          <w:p w14:paraId="12C0D6BC" w14:textId="77777777" w:rsidR="00191E41" w:rsidRPr="00191E41" w:rsidRDefault="00191E41" w:rsidP="00191E41">
            <w:pPr>
              <w:jc w:val="both"/>
              <w:rPr>
                <w:rFonts w:eastAsia="Calibri"/>
                <w:sz w:val="18"/>
                <w:szCs w:val="18"/>
              </w:rPr>
            </w:pPr>
            <w:r w:rsidRPr="00191E41">
              <w:rPr>
                <w:rFonts w:eastAsia="Calibri"/>
                <w:sz w:val="18"/>
                <w:szCs w:val="18"/>
              </w:rPr>
              <w:t>n.s.: no significativo.</w:t>
            </w:r>
          </w:p>
          <w:p w14:paraId="0AFAB6F4" w14:textId="77777777" w:rsidR="00191E41" w:rsidRPr="00191E41" w:rsidRDefault="00191E41" w:rsidP="00191E41">
            <w:pPr>
              <w:ind w:left="187" w:hanging="187"/>
              <w:jc w:val="both"/>
              <w:rPr>
                <w:rFonts w:eastAsia="Calibri"/>
                <w:sz w:val="18"/>
                <w:szCs w:val="18"/>
              </w:rPr>
            </w:pPr>
            <w:r w:rsidRPr="00191E41">
              <w:rPr>
                <w:rFonts w:eastAsia="Calibri"/>
                <w:sz w:val="18"/>
                <w:szCs w:val="18"/>
                <w:u w:val="single"/>
              </w:rPr>
              <w:t>1</w:t>
            </w:r>
            <w:r w:rsidRPr="00191E41">
              <w:rPr>
                <w:rFonts w:eastAsia="Calibri"/>
                <w:sz w:val="18"/>
                <w:szCs w:val="18"/>
              </w:rPr>
              <w:t>/ impuesto por la actividad de exploración y extracción de hidrocarburos.</w:t>
            </w:r>
          </w:p>
          <w:p w14:paraId="4F495B26" w14:textId="77777777" w:rsidR="00191E41" w:rsidRPr="00191E41" w:rsidRDefault="00191E41" w:rsidP="00191E41">
            <w:pPr>
              <w:ind w:left="187" w:hanging="187"/>
              <w:jc w:val="both"/>
              <w:rPr>
                <w:rFonts w:eastAsia="Calibri"/>
                <w:sz w:val="18"/>
                <w:szCs w:val="18"/>
              </w:rPr>
            </w:pPr>
            <w:r w:rsidRPr="00191E41">
              <w:rPr>
                <w:rFonts w:eastAsia="Calibri"/>
                <w:sz w:val="18"/>
                <w:szCs w:val="18"/>
                <w:u w:val="single"/>
              </w:rPr>
              <w:t>2</w:t>
            </w:r>
            <w:r w:rsidRPr="00191E41">
              <w:rPr>
                <w:rFonts w:eastAsia="Calibri"/>
                <w:sz w:val="18"/>
                <w:szCs w:val="18"/>
              </w:rPr>
              <w:t>/ Incluye los impuestos sobre automóviles nuevos, exportaciones, a los rendimientos petroleros, no comprendidos en las fracciones anteriores y accesorios.</w:t>
            </w:r>
          </w:p>
          <w:p w14:paraId="4C3A9699" w14:textId="77777777" w:rsidR="00191E41" w:rsidRPr="00191E41" w:rsidRDefault="00191E41" w:rsidP="00191E41">
            <w:pPr>
              <w:ind w:left="187" w:hanging="187"/>
              <w:jc w:val="both"/>
              <w:rPr>
                <w:rFonts w:eastAsia="Calibri"/>
                <w:sz w:val="18"/>
                <w:szCs w:val="18"/>
              </w:rPr>
            </w:pPr>
            <w:r w:rsidRPr="00191E41">
              <w:rPr>
                <w:rFonts w:eastAsia="Calibri"/>
                <w:sz w:val="18"/>
                <w:szCs w:val="18"/>
                <w:u w:val="single"/>
              </w:rPr>
              <w:t>3</w:t>
            </w:r>
            <w:r w:rsidRPr="00191E41">
              <w:rPr>
                <w:rFonts w:eastAsia="Calibri"/>
                <w:sz w:val="18"/>
                <w:szCs w:val="18"/>
              </w:rPr>
              <w:t>/ Excluye las aportaciones del Gobierno Federal al ISSSTE.</w:t>
            </w:r>
          </w:p>
          <w:p w14:paraId="7EB04498" w14:textId="77777777" w:rsidR="00191E41" w:rsidRPr="00191E41" w:rsidRDefault="00191E41" w:rsidP="00191E41">
            <w:pPr>
              <w:ind w:left="227" w:hanging="227"/>
              <w:jc w:val="both"/>
              <w:rPr>
                <w:rFonts w:eastAsia="Calibri"/>
                <w:sz w:val="18"/>
                <w:szCs w:val="18"/>
              </w:rPr>
            </w:pPr>
            <w:r w:rsidRPr="00191E41">
              <w:rPr>
                <w:rFonts w:eastAsia="Calibri"/>
                <w:sz w:val="18"/>
                <w:szCs w:val="18"/>
              </w:rPr>
              <w:t xml:space="preserve">FUENTE: </w:t>
            </w:r>
            <w:r w:rsidRPr="00191E41">
              <w:rPr>
                <w:rFonts w:eastAsia="Times New Roman"/>
                <w:sz w:val="20"/>
                <w:szCs w:val="20"/>
              </w:rPr>
              <w:t>Dirección General Adjunta de Estadística de la Hacienda Pública, UPEHP.</w:t>
            </w:r>
          </w:p>
        </w:tc>
      </w:tr>
    </w:tbl>
    <w:p w14:paraId="1C093DF3" w14:textId="77777777" w:rsidR="00191E41" w:rsidRPr="00191E41" w:rsidRDefault="00191E41" w:rsidP="00191E41">
      <w:pPr>
        <w:spacing w:after="360" w:line="360" w:lineRule="auto"/>
        <w:ind w:right="-159"/>
        <w:jc w:val="both"/>
        <w:rPr>
          <w:rFonts w:eastAsia="Calibri"/>
          <w:sz w:val="26"/>
          <w:szCs w:val="26"/>
          <w:lang w:eastAsia="en-US"/>
        </w:rPr>
      </w:pPr>
    </w:p>
    <w:p w14:paraId="299A645A" w14:textId="77777777" w:rsidR="00191E41" w:rsidRPr="00191E41" w:rsidRDefault="00191E41" w:rsidP="00191E41">
      <w:pPr>
        <w:spacing w:after="360" w:line="360" w:lineRule="auto"/>
        <w:ind w:right="-159"/>
        <w:jc w:val="both"/>
        <w:rPr>
          <w:rFonts w:eastAsia="Calibri"/>
          <w:b/>
          <w:sz w:val="26"/>
          <w:szCs w:val="26"/>
          <w:lang w:eastAsia="en-US"/>
        </w:rPr>
      </w:pPr>
      <w:r w:rsidRPr="00191E41">
        <w:rPr>
          <w:rFonts w:eastAsia="Calibri"/>
          <w:b/>
          <w:sz w:val="26"/>
          <w:szCs w:val="26"/>
          <w:lang w:eastAsia="en-US"/>
        </w:rPr>
        <w:t xml:space="preserve">Gasto neto presupuestario del sector público  </w:t>
      </w:r>
    </w:p>
    <w:p w14:paraId="230898B4" w14:textId="5188B7FC" w:rsidR="00191E41" w:rsidRPr="00191E41" w:rsidRDefault="00191E41" w:rsidP="00191E41">
      <w:pPr>
        <w:spacing w:after="360" w:line="360" w:lineRule="auto"/>
        <w:ind w:right="-159"/>
        <w:jc w:val="both"/>
        <w:rPr>
          <w:rFonts w:eastAsia="Calibri"/>
          <w:sz w:val="26"/>
          <w:szCs w:val="26"/>
          <w:lang w:eastAsia="en-US"/>
        </w:rPr>
      </w:pPr>
      <w:r w:rsidRPr="00191E41">
        <w:rPr>
          <w:rFonts w:eastAsia="Calibri"/>
          <w:sz w:val="26"/>
          <w:szCs w:val="26"/>
          <w:lang w:eastAsia="en-US"/>
        </w:rPr>
        <w:t>Durante enero de 2015</w:t>
      </w:r>
      <w:r w:rsidR="00CB7BE4">
        <w:rPr>
          <w:rFonts w:eastAsia="Calibri"/>
          <w:sz w:val="26"/>
          <w:szCs w:val="26"/>
          <w:lang w:eastAsia="en-US"/>
        </w:rPr>
        <w:t>,</w:t>
      </w:r>
      <w:r w:rsidRPr="00191E41">
        <w:rPr>
          <w:rFonts w:eastAsia="Calibri"/>
          <w:sz w:val="26"/>
          <w:szCs w:val="26"/>
          <w:lang w:eastAsia="en-US"/>
        </w:rPr>
        <w:t xml:space="preserve"> el gasto neto presupuestario del sector público ascendió a         460 mil 826.2 millones de pesos, monto superior al de enero del año anterior en 18.1% real. </w:t>
      </w:r>
    </w:p>
    <w:p w14:paraId="1BD6FA39" w14:textId="77777777" w:rsidR="00191E41" w:rsidRPr="00191E41" w:rsidRDefault="00191E41" w:rsidP="00276F3E">
      <w:pPr>
        <w:numPr>
          <w:ilvl w:val="0"/>
          <w:numId w:val="42"/>
        </w:numPr>
        <w:spacing w:after="360" w:line="360" w:lineRule="auto"/>
        <w:ind w:left="714" w:right="-159" w:hanging="357"/>
        <w:jc w:val="both"/>
        <w:rPr>
          <w:rFonts w:eastAsia="Calibri"/>
          <w:sz w:val="26"/>
          <w:szCs w:val="26"/>
          <w:lang w:eastAsia="en-US"/>
        </w:rPr>
      </w:pPr>
      <w:r w:rsidRPr="00191E41">
        <w:rPr>
          <w:rFonts w:eastAsia="Calibri"/>
          <w:sz w:val="26"/>
          <w:szCs w:val="26"/>
          <w:lang w:eastAsia="en-US"/>
        </w:rPr>
        <w:t xml:space="preserve">El gasto programable pagado sumó 358 mil 960.5 millones de pesos y fue superior en 23.3% real al de enero de 2014.  </w:t>
      </w:r>
    </w:p>
    <w:p w14:paraId="214A2577" w14:textId="77777777" w:rsidR="00191E41" w:rsidRPr="00191E41" w:rsidRDefault="00191E41" w:rsidP="00276F3E">
      <w:pPr>
        <w:numPr>
          <w:ilvl w:val="0"/>
          <w:numId w:val="42"/>
        </w:numPr>
        <w:spacing w:after="360" w:line="360" w:lineRule="auto"/>
        <w:ind w:left="714" w:right="-159" w:hanging="357"/>
        <w:jc w:val="both"/>
        <w:rPr>
          <w:rFonts w:eastAsia="Calibri"/>
          <w:sz w:val="26"/>
          <w:szCs w:val="26"/>
          <w:lang w:eastAsia="en-US"/>
        </w:rPr>
      </w:pPr>
      <w:r w:rsidRPr="00191E41">
        <w:rPr>
          <w:rFonts w:eastAsia="Calibri"/>
          <w:sz w:val="26"/>
          <w:szCs w:val="26"/>
          <w:lang w:eastAsia="en-US"/>
        </w:rPr>
        <w:t xml:space="preserve">Durante el primer mes del año, destacan los incrementos reales en el gasto de inversión física de 23.6% y en el gasto en subsidios, transferencias y aportaciones corrientes de 43.5 por ciento, ambos respecto a enero de 2014. </w:t>
      </w:r>
    </w:p>
    <w:p w14:paraId="348C0805" w14:textId="77777777" w:rsidR="00191E41" w:rsidRPr="00191E41" w:rsidRDefault="00191E41" w:rsidP="00276F3E">
      <w:pPr>
        <w:numPr>
          <w:ilvl w:val="0"/>
          <w:numId w:val="42"/>
        </w:numPr>
        <w:spacing w:after="360" w:line="360" w:lineRule="auto"/>
        <w:ind w:left="714" w:right="-159" w:hanging="357"/>
        <w:jc w:val="both"/>
        <w:rPr>
          <w:rFonts w:eastAsia="Calibri"/>
          <w:sz w:val="26"/>
          <w:szCs w:val="26"/>
          <w:lang w:eastAsia="en-US"/>
        </w:rPr>
      </w:pPr>
      <w:r w:rsidRPr="00191E41">
        <w:rPr>
          <w:rFonts w:eastAsia="Calibri"/>
          <w:sz w:val="26"/>
          <w:szCs w:val="26"/>
          <w:lang w:eastAsia="en-US"/>
        </w:rPr>
        <w:lastRenderedPageBreak/>
        <w:t xml:space="preserve">El gasto de operación, incluyendo los servicios personales, disminuyó en 4.3% en términos reales. </w:t>
      </w:r>
    </w:p>
    <w:p w14:paraId="7B1C6DB9" w14:textId="77777777" w:rsidR="00191E41" w:rsidRPr="00191E41" w:rsidRDefault="00191E41" w:rsidP="00276F3E">
      <w:pPr>
        <w:numPr>
          <w:ilvl w:val="0"/>
          <w:numId w:val="42"/>
        </w:numPr>
        <w:spacing w:after="360" w:line="360" w:lineRule="auto"/>
        <w:ind w:left="714" w:right="-159" w:hanging="357"/>
        <w:jc w:val="both"/>
        <w:rPr>
          <w:rFonts w:eastAsia="Calibri"/>
          <w:sz w:val="26"/>
          <w:szCs w:val="26"/>
          <w:lang w:eastAsia="en-US"/>
        </w:rPr>
      </w:pPr>
      <w:r w:rsidRPr="00191E41">
        <w:rPr>
          <w:rFonts w:eastAsia="Calibri"/>
          <w:sz w:val="26"/>
          <w:szCs w:val="26"/>
          <w:lang w:eastAsia="en-US"/>
        </w:rPr>
        <w:t xml:space="preserve">En particular, el gasto de las dependencias del Gobierno Federal aumentó 58.1% en términos reales respecto al primer mes de 2014. Sobresalen los incrementos en Salud con 338.8%, Gobernación con 136.6%, Turismo con 135.3%, Secretaría de Medio Ambiente y Recursos Naturales (SEMARNAT) con 90.1%, Hacienda con 85.6%, Desarrollo Social con 72.9% y Educación con 12 por ciento. </w:t>
      </w:r>
    </w:p>
    <w:p w14:paraId="0CAA3E1B" w14:textId="77777777" w:rsidR="00191E41" w:rsidRPr="00191E41" w:rsidRDefault="00191E41" w:rsidP="00276F3E">
      <w:pPr>
        <w:numPr>
          <w:ilvl w:val="0"/>
          <w:numId w:val="42"/>
        </w:numPr>
        <w:spacing w:after="360" w:line="360" w:lineRule="auto"/>
        <w:ind w:left="714" w:right="-159" w:hanging="357"/>
        <w:jc w:val="both"/>
        <w:rPr>
          <w:rFonts w:eastAsia="Calibri"/>
          <w:sz w:val="26"/>
          <w:szCs w:val="26"/>
          <w:lang w:eastAsia="en-US"/>
        </w:rPr>
      </w:pPr>
      <w:r w:rsidRPr="00191E41">
        <w:rPr>
          <w:rFonts w:eastAsia="Calibri"/>
          <w:sz w:val="26"/>
          <w:szCs w:val="26"/>
          <w:lang w:eastAsia="en-US"/>
        </w:rPr>
        <w:t xml:space="preserve">Los recursos canalizados a las entidades federativas y municipios a través de participaciones, aportaciones y otras transferencias aumentaron 6.9% real. En particular, las participaciones federales disminuyeron 5.4% en términos reales. </w:t>
      </w:r>
    </w:p>
    <w:tbl>
      <w:tblPr>
        <w:tblW w:w="0" w:type="auto"/>
        <w:jc w:val="center"/>
        <w:tblCellMar>
          <w:left w:w="70" w:type="dxa"/>
          <w:right w:w="70" w:type="dxa"/>
        </w:tblCellMar>
        <w:tblLook w:val="0000" w:firstRow="0" w:lastRow="0" w:firstColumn="0" w:lastColumn="0" w:noHBand="0" w:noVBand="0"/>
      </w:tblPr>
      <w:tblGrid>
        <w:gridCol w:w="3720"/>
        <w:gridCol w:w="1278"/>
        <w:gridCol w:w="1278"/>
        <w:gridCol w:w="831"/>
        <w:gridCol w:w="881"/>
        <w:gridCol w:w="852"/>
      </w:tblGrid>
      <w:tr w:rsidR="00191E41" w:rsidRPr="00191E41" w14:paraId="00A4F8DB" w14:textId="77777777" w:rsidTr="001E7D79">
        <w:trPr>
          <w:cantSplit/>
          <w:jc w:val="center"/>
        </w:trPr>
        <w:tc>
          <w:tcPr>
            <w:tcW w:w="10053" w:type="dxa"/>
            <w:gridSpan w:val="6"/>
            <w:tcBorders>
              <w:bottom w:val="single" w:sz="4" w:space="0" w:color="auto"/>
            </w:tcBorders>
            <w:shd w:val="clear" w:color="auto" w:fill="auto"/>
          </w:tcPr>
          <w:p w14:paraId="7A1D5ADC" w14:textId="77777777" w:rsidR="00191E41" w:rsidRPr="00191E41" w:rsidRDefault="00191E41" w:rsidP="00191E41">
            <w:pPr>
              <w:jc w:val="center"/>
              <w:rPr>
                <w:rFonts w:eastAsia="Times New Roman"/>
                <w:b/>
                <w:bCs/>
                <w:sz w:val="22"/>
                <w:szCs w:val="22"/>
              </w:rPr>
            </w:pPr>
            <w:r w:rsidRPr="00191E41">
              <w:rPr>
                <w:rFonts w:eastAsia="Times New Roman"/>
                <w:b/>
                <w:bCs/>
                <w:sz w:val="22"/>
                <w:szCs w:val="22"/>
              </w:rPr>
              <w:t>GASTO NETO PRESUPUESTARIO DEL SECTOR PÚBLICO</w:t>
            </w:r>
          </w:p>
          <w:p w14:paraId="5333ADF2" w14:textId="77777777" w:rsidR="00191E41" w:rsidRPr="00191E41" w:rsidRDefault="00191E41" w:rsidP="00191E41">
            <w:pPr>
              <w:jc w:val="center"/>
              <w:rPr>
                <w:rFonts w:eastAsia="Times New Roman"/>
                <w:b/>
                <w:bCs/>
                <w:sz w:val="22"/>
                <w:szCs w:val="22"/>
              </w:rPr>
            </w:pPr>
            <w:r w:rsidRPr="00191E41">
              <w:rPr>
                <w:rFonts w:eastAsia="Times New Roman"/>
                <w:b/>
                <w:bCs/>
                <w:sz w:val="22"/>
                <w:szCs w:val="22"/>
              </w:rPr>
              <w:t>-Millones de pesos-</w:t>
            </w:r>
          </w:p>
        </w:tc>
      </w:tr>
      <w:tr w:rsidR="00191E41" w:rsidRPr="00191E41" w14:paraId="26BCBC56" w14:textId="77777777" w:rsidTr="001E7D79">
        <w:trPr>
          <w:cantSplit/>
          <w:jc w:val="center"/>
        </w:trPr>
        <w:tc>
          <w:tcPr>
            <w:tcW w:w="445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EB982A" w14:textId="77777777" w:rsidR="00191E41" w:rsidRPr="00191E41" w:rsidRDefault="00191E41" w:rsidP="00191E41">
            <w:pPr>
              <w:jc w:val="center"/>
              <w:rPr>
                <w:rFonts w:eastAsia="Times New Roman"/>
                <w:b/>
                <w:sz w:val="20"/>
                <w:szCs w:val="20"/>
              </w:rPr>
            </w:pPr>
            <w:r w:rsidRPr="00191E41">
              <w:rPr>
                <w:rFonts w:eastAsia="Times New Roman"/>
                <w:b/>
                <w:sz w:val="20"/>
                <w:szCs w:val="20"/>
              </w:rPr>
              <w:t>Concepto</w:t>
            </w:r>
          </w:p>
        </w:tc>
        <w:tc>
          <w:tcPr>
            <w:tcW w:w="2880" w:type="dxa"/>
            <w:gridSpan w:val="2"/>
            <w:tcBorders>
              <w:top w:val="single" w:sz="4" w:space="0" w:color="auto"/>
              <w:left w:val="single" w:sz="4" w:space="0" w:color="auto"/>
              <w:bottom w:val="single" w:sz="4" w:space="0" w:color="auto"/>
              <w:right w:val="single" w:sz="4" w:space="0" w:color="auto"/>
            </w:tcBorders>
            <w:shd w:val="clear" w:color="auto" w:fill="auto"/>
          </w:tcPr>
          <w:p w14:paraId="10395C5A" w14:textId="77777777" w:rsidR="00191E41" w:rsidRPr="00191E41" w:rsidRDefault="00191E41" w:rsidP="00191E41">
            <w:pPr>
              <w:jc w:val="center"/>
              <w:rPr>
                <w:rFonts w:eastAsia="Times New Roman"/>
                <w:b/>
                <w:sz w:val="20"/>
                <w:szCs w:val="20"/>
              </w:rPr>
            </w:pPr>
            <w:r w:rsidRPr="00191E41">
              <w:rPr>
                <w:rFonts w:eastAsia="Times New Roman"/>
                <w:b/>
                <w:sz w:val="20"/>
                <w:szCs w:val="20"/>
              </w:rPr>
              <w:t>Enero</w:t>
            </w:r>
          </w:p>
        </w:tc>
        <w:tc>
          <w:tcPr>
            <w:tcW w:w="900" w:type="dxa"/>
            <w:tcBorders>
              <w:top w:val="single" w:sz="4" w:space="0" w:color="auto"/>
              <w:left w:val="single" w:sz="4" w:space="0" w:color="auto"/>
              <w:right w:val="single" w:sz="4" w:space="0" w:color="auto"/>
            </w:tcBorders>
            <w:shd w:val="clear" w:color="auto" w:fill="auto"/>
          </w:tcPr>
          <w:p w14:paraId="0398A684" w14:textId="77777777" w:rsidR="00191E41" w:rsidRPr="00191E41" w:rsidRDefault="00191E41" w:rsidP="00191E41">
            <w:pPr>
              <w:jc w:val="center"/>
              <w:rPr>
                <w:rFonts w:eastAsia="Times New Roman"/>
                <w:b/>
                <w:sz w:val="20"/>
                <w:szCs w:val="20"/>
              </w:rPr>
            </w:pPr>
            <w:r w:rsidRPr="00191E41">
              <w:rPr>
                <w:rFonts w:eastAsia="Times New Roman"/>
                <w:b/>
                <w:sz w:val="20"/>
                <w:szCs w:val="20"/>
              </w:rPr>
              <w:t>Var. %</w:t>
            </w:r>
          </w:p>
        </w:tc>
        <w:tc>
          <w:tcPr>
            <w:tcW w:w="1818" w:type="dxa"/>
            <w:gridSpan w:val="2"/>
            <w:tcBorders>
              <w:top w:val="single" w:sz="4" w:space="0" w:color="auto"/>
              <w:left w:val="single" w:sz="4" w:space="0" w:color="auto"/>
              <w:bottom w:val="single" w:sz="4" w:space="0" w:color="auto"/>
              <w:right w:val="single" w:sz="4" w:space="0" w:color="auto"/>
            </w:tcBorders>
            <w:shd w:val="clear" w:color="auto" w:fill="auto"/>
          </w:tcPr>
          <w:p w14:paraId="1238C3D0" w14:textId="77777777" w:rsidR="00191E41" w:rsidRPr="00191E41" w:rsidRDefault="00191E41" w:rsidP="00191E41">
            <w:pPr>
              <w:jc w:val="center"/>
              <w:rPr>
                <w:rFonts w:eastAsia="Times New Roman"/>
                <w:b/>
                <w:sz w:val="20"/>
                <w:szCs w:val="20"/>
              </w:rPr>
            </w:pPr>
            <w:r w:rsidRPr="00191E41">
              <w:rPr>
                <w:rFonts w:eastAsia="Times New Roman"/>
                <w:b/>
                <w:sz w:val="20"/>
                <w:szCs w:val="20"/>
              </w:rPr>
              <w:t>Composición %</w:t>
            </w:r>
          </w:p>
        </w:tc>
      </w:tr>
      <w:tr w:rsidR="00191E41" w:rsidRPr="00191E41" w14:paraId="03BCEFC5" w14:textId="77777777" w:rsidTr="001E7D79">
        <w:trPr>
          <w:cantSplit/>
          <w:jc w:val="center"/>
        </w:trPr>
        <w:tc>
          <w:tcPr>
            <w:tcW w:w="4455" w:type="dxa"/>
            <w:vMerge/>
            <w:tcBorders>
              <w:top w:val="single" w:sz="4" w:space="0" w:color="auto"/>
              <w:left w:val="single" w:sz="4" w:space="0" w:color="auto"/>
              <w:bottom w:val="single" w:sz="4" w:space="0" w:color="auto"/>
              <w:right w:val="single" w:sz="4" w:space="0" w:color="auto"/>
            </w:tcBorders>
            <w:shd w:val="clear" w:color="auto" w:fill="auto"/>
          </w:tcPr>
          <w:p w14:paraId="3191E471" w14:textId="77777777" w:rsidR="00191E41" w:rsidRPr="00191E41" w:rsidRDefault="00191E41" w:rsidP="00191E41">
            <w:pPr>
              <w:jc w:val="center"/>
              <w:rPr>
                <w:rFonts w:eastAsia="Times New Roman"/>
                <w:b/>
                <w:sz w:val="20"/>
                <w:szCs w:val="20"/>
              </w:rPr>
            </w:pP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4F59B8B" w14:textId="77777777" w:rsidR="00191E41" w:rsidRPr="00191E41" w:rsidRDefault="00191E41" w:rsidP="00191E41">
            <w:pPr>
              <w:jc w:val="center"/>
              <w:rPr>
                <w:rFonts w:eastAsia="Times New Roman"/>
                <w:b/>
                <w:sz w:val="18"/>
                <w:szCs w:val="18"/>
              </w:rPr>
            </w:pPr>
            <w:r w:rsidRPr="00191E41">
              <w:rPr>
                <w:rFonts w:eastAsia="Times New Roman"/>
                <w:b/>
                <w:sz w:val="18"/>
                <w:szCs w:val="18"/>
              </w:rPr>
              <w:t>2014</w:t>
            </w:r>
            <w:r w:rsidRPr="00191E41">
              <w:rPr>
                <w:rFonts w:eastAsia="Times New Roman"/>
                <w:b/>
                <w:sz w:val="18"/>
                <w:szCs w:val="18"/>
                <w:u w:val="single"/>
                <w:vertAlign w:val="superscript"/>
              </w:rPr>
              <w:t>p</w:t>
            </w:r>
            <w:r w:rsidRPr="00191E41">
              <w:rPr>
                <w:rFonts w:eastAsia="Times New Roman"/>
                <w:b/>
                <w:sz w:val="18"/>
                <w:szCs w:val="18"/>
                <w:vertAlign w:val="superscript"/>
              </w:rPr>
              <w:t>/</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D5CEAD5" w14:textId="77777777" w:rsidR="00191E41" w:rsidRPr="00191E41" w:rsidRDefault="00191E41" w:rsidP="00191E41">
            <w:pPr>
              <w:jc w:val="center"/>
              <w:rPr>
                <w:rFonts w:eastAsia="Times New Roman"/>
                <w:b/>
                <w:sz w:val="18"/>
                <w:szCs w:val="18"/>
              </w:rPr>
            </w:pPr>
            <w:r w:rsidRPr="00191E41">
              <w:rPr>
                <w:rFonts w:eastAsia="Times New Roman"/>
                <w:b/>
                <w:sz w:val="18"/>
                <w:szCs w:val="18"/>
              </w:rPr>
              <w:t>2015</w:t>
            </w:r>
            <w:r w:rsidRPr="00191E41">
              <w:rPr>
                <w:rFonts w:eastAsia="Times New Roman"/>
                <w:b/>
                <w:sz w:val="18"/>
                <w:szCs w:val="18"/>
                <w:u w:val="single"/>
                <w:vertAlign w:val="superscript"/>
              </w:rPr>
              <w:t>p</w:t>
            </w:r>
            <w:r w:rsidRPr="00191E41">
              <w:rPr>
                <w:rFonts w:eastAsia="Times New Roman"/>
                <w:b/>
                <w:sz w:val="18"/>
                <w:szCs w:val="18"/>
                <w:vertAlign w:val="superscript"/>
              </w:rPr>
              <w:t>/</w:t>
            </w:r>
          </w:p>
        </w:tc>
        <w:tc>
          <w:tcPr>
            <w:tcW w:w="900" w:type="dxa"/>
            <w:tcBorders>
              <w:left w:val="single" w:sz="4" w:space="0" w:color="auto"/>
              <w:bottom w:val="single" w:sz="4" w:space="0" w:color="auto"/>
              <w:right w:val="single" w:sz="4" w:space="0" w:color="auto"/>
            </w:tcBorders>
            <w:shd w:val="clear" w:color="auto" w:fill="auto"/>
          </w:tcPr>
          <w:p w14:paraId="10A99DDC" w14:textId="77777777" w:rsidR="00191E41" w:rsidRPr="00191E41" w:rsidRDefault="00191E41" w:rsidP="00191E41">
            <w:pPr>
              <w:jc w:val="center"/>
              <w:rPr>
                <w:rFonts w:eastAsia="Times New Roman"/>
                <w:b/>
                <w:sz w:val="20"/>
                <w:szCs w:val="20"/>
              </w:rPr>
            </w:pPr>
            <w:r w:rsidRPr="00191E41">
              <w:rPr>
                <w:rFonts w:eastAsia="Times New Roman"/>
                <w:b/>
                <w:sz w:val="20"/>
                <w:szCs w:val="20"/>
              </w:rPr>
              <w:t>real</w:t>
            </w: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5619C867" w14:textId="77777777" w:rsidR="00191E41" w:rsidRPr="00191E41" w:rsidRDefault="00191E41" w:rsidP="00191E41">
            <w:pPr>
              <w:jc w:val="center"/>
              <w:rPr>
                <w:rFonts w:eastAsia="Times New Roman"/>
                <w:b/>
                <w:sz w:val="18"/>
                <w:szCs w:val="18"/>
              </w:rPr>
            </w:pPr>
            <w:r w:rsidRPr="00191E41">
              <w:rPr>
                <w:rFonts w:eastAsia="Times New Roman"/>
                <w:b/>
                <w:sz w:val="18"/>
                <w:szCs w:val="18"/>
              </w:rPr>
              <w:t>2014</w:t>
            </w:r>
            <w:r w:rsidRPr="00191E41">
              <w:rPr>
                <w:rFonts w:eastAsia="Times New Roman"/>
                <w:b/>
                <w:sz w:val="18"/>
                <w:szCs w:val="18"/>
                <w:u w:val="single"/>
                <w:vertAlign w:val="superscript"/>
              </w:rPr>
              <w:t>p</w:t>
            </w:r>
            <w:r w:rsidRPr="00191E41">
              <w:rPr>
                <w:rFonts w:eastAsia="Times New Roman"/>
                <w:b/>
                <w:sz w:val="18"/>
                <w:szCs w:val="18"/>
                <w:vertAlign w:val="superscript"/>
              </w:rPr>
              <w:t>/</w:t>
            </w:r>
          </w:p>
        </w:tc>
        <w:tc>
          <w:tcPr>
            <w:tcW w:w="889" w:type="dxa"/>
            <w:tcBorders>
              <w:top w:val="single" w:sz="4" w:space="0" w:color="auto"/>
              <w:left w:val="single" w:sz="4" w:space="0" w:color="auto"/>
              <w:bottom w:val="single" w:sz="4" w:space="0" w:color="auto"/>
              <w:right w:val="single" w:sz="4" w:space="0" w:color="auto"/>
            </w:tcBorders>
            <w:shd w:val="clear" w:color="auto" w:fill="auto"/>
          </w:tcPr>
          <w:p w14:paraId="3629FC33" w14:textId="77777777" w:rsidR="00191E41" w:rsidRPr="00191E41" w:rsidRDefault="00191E41" w:rsidP="00191E41">
            <w:pPr>
              <w:jc w:val="center"/>
              <w:rPr>
                <w:rFonts w:eastAsia="Times New Roman"/>
                <w:b/>
                <w:sz w:val="18"/>
                <w:szCs w:val="18"/>
              </w:rPr>
            </w:pPr>
            <w:r w:rsidRPr="00191E41">
              <w:rPr>
                <w:rFonts w:eastAsia="Times New Roman"/>
                <w:b/>
                <w:sz w:val="18"/>
                <w:szCs w:val="18"/>
              </w:rPr>
              <w:t>2015</w:t>
            </w:r>
            <w:r w:rsidRPr="00191E41">
              <w:rPr>
                <w:rFonts w:eastAsia="Times New Roman"/>
                <w:b/>
                <w:sz w:val="18"/>
                <w:szCs w:val="18"/>
                <w:u w:val="single"/>
                <w:vertAlign w:val="superscript"/>
              </w:rPr>
              <w:t>p</w:t>
            </w:r>
            <w:r w:rsidRPr="00191E41">
              <w:rPr>
                <w:rFonts w:eastAsia="Times New Roman"/>
                <w:b/>
                <w:sz w:val="18"/>
                <w:szCs w:val="18"/>
                <w:vertAlign w:val="superscript"/>
              </w:rPr>
              <w:t>/</w:t>
            </w:r>
          </w:p>
        </w:tc>
      </w:tr>
      <w:tr w:rsidR="00191E41" w:rsidRPr="00191E41" w14:paraId="07B2D58F" w14:textId="77777777" w:rsidTr="001E7D79">
        <w:trPr>
          <w:jc w:val="center"/>
        </w:trPr>
        <w:tc>
          <w:tcPr>
            <w:tcW w:w="4455" w:type="dxa"/>
            <w:tcBorders>
              <w:top w:val="single" w:sz="4" w:space="0" w:color="auto"/>
              <w:left w:val="single" w:sz="4" w:space="0" w:color="auto"/>
              <w:right w:val="single" w:sz="4" w:space="0" w:color="auto"/>
            </w:tcBorders>
            <w:shd w:val="clear" w:color="auto" w:fill="auto"/>
          </w:tcPr>
          <w:p w14:paraId="024717BC" w14:textId="77777777" w:rsidR="00191E41" w:rsidRPr="00191E41" w:rsidRDefault="00191E41" w:rsidP="00191E41">
            <w:pPr>
              <w:jc w:val="both"/>
              <w:rPr>
                <w:rFonts w:eastAsia="Times New Roman"/>
                <w:b/>
                <w:bCs/>
                <w:sz w:val="20"/>
                <w:szCs w:val="20"/>
              </w:rPr>
            </w:pPr>
            <w:r w:rsidRPr="00191E41">
              <w:rPr>
                <w:rFonts w:eastAsia="Times New Roman"/>
                <w:b/>
                <w:bCs/>
                <w:sz w:val="20"/>
                <w:szCs w:val="20"/>
              </w:rPr>
              <w:t>TOTAL (I+II)</w:t>
            </w:r>
          </w:p>
        </w:tc>
        <w:tc>
          <w:tcPr>
            <w:tcW w:w="1440" w:type="dxa"/>
            <w:tcBorders>
              <w:top w:val="single" w:sz="4" w:space="0" w:color="auto"/>
              <w:left w:val="single" w:sz="4" w:space="0" w:color="auto"/>
              <w:right w:val="single" w:sz="4" w:space="0" w:color="auto"/>
            </w:tcBorders>
            <w:shd w:val="clear" w:color="auto" w:fill="auto"/>
          </w:tcPr>
          <w:p w14:paraId="7C663F7D" w14:textId="77777777" w:rsidR="00191E41" w:rsidRPr="00191E41" w:rsidRDefault="00191E41" w:rsidP="00191E41">
            <w:pPr>
              <w:ind w:right="284"/>
              <w:jc w:val="right"/>
              <w:rPr>
                <w:b/>
                <w:sz w:val="20"/>
                <w:szCs w:val="20"/>
              </w:rPr>
            </w:pPr>
            <w:r w:rsidRPr="00191E41">
              <w:rPr>
                <w:b/>
                <w:sz w:val="20"/>
                <w:szCs w:val="20"/>
              </w:rPr>
              <w:t>378 602.0</w:t>
            </w:r>
          </w:p>
        </w:tc>
        <w:tc>
          <w:tcPr>
            <w:tcW w:w="1440" w:type="dxa"/>
            <w:tcBorders>
              <w:top w:val="single" w:sz="4" w:space="0" w:color="auto"/>
              <w:left w:val="single" w:sz="4" w:space="0" w:color="auto"/>
              <w:right w:val="single" w:sz="4" w:space="0" w:color="auto"/>
            </w:tcBorders>
            <w:shd w:val="clear" w:color="auto" w:fill="auto"/>
          </w:tcPr>
          <w:p w14:paraId="799EA774" w14:textId="77777777" w:rsidR="00191E41" w:rsidRPr="00191E41" w:rsidRDefault="00191E41" w:rsidP="00191E41">
            <w:pPr>
              <w:ind w:right="284"/>
              <w:jc w:val="right"/>
              <w:rPr>
                <w:b/>
                <w:sz w:val="20"/>
                <w:szCs w:val="20"/>
              </w:rPr>
            </w:pPr>
            <w:r w:rsidRPr="00191E41">
              <w:rPr>
                <w:b/>
                <w:sz w:val="20"/>
                <w:szCs w:val="20"/>
              </w:rPr>
              <w:t>460 826.2</w:t>
            </w:r>
          </w:p>
        </w:tc>
        <w:tc>
          <w:tcPr>
            <w:tcW w:w="900" w:type="dxa"/>
            <w:tcBorders>
              <w:top w:val="single" w:sz="4" w:space="0" w:color="auto"/>
              <w:left w:val="single" w:sz="4" w:space="0" w:color="auto"/>
              <w:right w:val="single" w:sz="4" w:space="0" w:color="auto"/>
            </w:tcBorders>
            <w:shd w:val="clear" w:color="auto" w:fill="auto"/>
          </w:tcPr>
          <w:p w14:paraId="568B0673" w14:textId="77777777" w:rsidR="00191E41" w:rsidRPr="00191E41" w:rsidRDefault="00191E41" w:rsidP="00191E41">
            <w:pPr>
              <w:ind w:right="170"/>
              <w:jc w:val="right"/>
              <w:rPr>
                <w:b/>
                <w:sz w:val="20"/>
                <w:szCs w:val="20"/>
              </w:rPr>
            </w:pPr>
            <w:r w:rsidRPr="00191E41">
              <w:rPr>
                <w:b/>
                <w:sz w:val="20"/>
                <w:szCs w:val="20"/>
              </w:rPr>
              <w:t>18.1</w:t>
            </w:r>
          </w:p>
        </w:tc>
        <w:tc>
          <w:tcPr>
            <w:tcW w:w="929" w:type="dxa"/>
            <w:tcBorders>
              <w:top w:val="single" w:sz="4" w:space="0" w:color="auto"/>
              <w:left w:val="single" w:sz="4" w:space="0" w:color="auto"/>
              <w:right w:val="single" w:sz="4" w:space="0" w:color="auto"/>
            </w:tcBorders>
            <w:shd w:val="clear" w:color="auto" w:fill="auto"/>
          </w:tcPr>
          <w:p w14:paraId="2E83469D" w14:textId="77777777" w:rsidR="00191E41" w:rsidRPr="00191E41" w:rsidRDefault="00191E41" w:rsidP="00191E41">
            <w:pPr>
              <w:ind w:right="170"/>
              <w:jc w:val="right"/>
              <w:rPr>
                <w:b/>
                <w:sz w:val="20"/>
                <w:szCs w:val="20"/>
              </w:rPr>
            </w:pPr>
            <w:r w:rsidRPr="00191E41">
              <w:rPr>
                <w:b/>
                <w:sz w:val="20"/>
                <w:szCs w:val="20"/>
              </w:rPr>
              <w:t>100.0</w:t>
            </w:r>
          </w:p>
        </w:tc>
        <w:tc>
          <w:tcPr>
            <w:tcW w:w="889" w:type="dxa"/>
            <w:tcBorders>
              <w:top w:val="single" w:sz="4" w:space="0" w:color="auto"/>
              <w:left w:val="single" w:sz="4" w:space="0" w:color="auto"/>
              <w:right w:val="single" w:sz="4" w:space="0" w:color="auto"/>
            </w:tcBorders>
            <w:shd w:val="clear" w:color="auto" w:fill="auto"/>
          </w:tcPr>
          <w:p w14:paraId="7D38D0E5" w14:textId="77777777" w:rsidR="00191E41" w:rsidRPr="00191E41" w:rsidRDefault="00191E41" w:rsidP="00191E41">
            <w:pPr>
              <w:ind w:right="170"/>
              <w:jc w:val="right"/>
              <w:rPr>
                <w:b/>
                <w:sz w:val="20"/>
                <w:szCs w:val="20"/>
              </w:rPr>
            </w:pPr>
            <w:r w:rsidRPr="00191E41">
              <w:rPr>
                <w:b/>
                <w:sz w:val="20"/>
                <w:szCs w:val="20"/>
              </w:rPr>
              <w:t>100.0</w:t>
            </w:r>
          </w:p>
        </w:tc>
      </w:tr>
      <w:tr w:rsidR="00191E41" w:rsidRPr="00191E41" w14:paraId="3612DBFF" w14:textId="77777777" w:rsidTr="001E7D79">
        <w:trPr>
          <w:jc w:val="center"/>
        </w:trPr>
        <w:tc>
          <w:tcPr>
            <w:tcW w:w="4455" w:type="dxa"/>
            <w:tcBorders>
              <w:left w:val="single" w:sz="4" w:space="0" w:color="auto"/>
              <w:right w:val="single" w:sz="4" w:space="0" w:color="auto"/>
            </w:tcBorders>
            <w:shd w:val="clear" w:color="auto" w:fill="auto"/>
          </w:tcPr>
          <w:p w14:paraId="72B785DE" w14:textId="77777777" w:rsidR="00191E41" w:rsidRPr="00191E41" w:rsidRDefault="00191E41" w:rsidP="00191E41">
            <w:pPr>
              <w:ind w:left="113"/>
              <w:jc w:val="both"/>
              <w:rPr>
                <w:rFonts w:eastAsia="Times New Roman"/>
                <w:sz w:val="20"/>
                <w:szCs w:val="20"/>
              </w:rPr>
            </w:pPr>
            <w:r w:rsidRPr="00191E41">
              <w:rPr>
                <w:rFonts w:eastAsia="Times New Roman"/>
                <w:sz w:val="20"/>
                <w:szCs w:val="20"/>
              </w:rPr>
              <w:t>I. Gasto primario (a+b)</w:t>
            </w:r>
          </w:p>
        </w:tc>
        <w:tc>
          <w:tcPr>
            <w:tcW w:w="1440" w:type="dxa"/>
            <w:tcBorders>
              <w:left w:val="single" w:sz="4" w:space="0" w:color="auto"/>
              <w:right w:val="single" w:sz="4" w:space="0" w:color="auto"/>
            </w:tcBorders>
            <w:shd w:val="clear" w:color="auto" w:fill="auto"/>
          </w:tcPr>
          <w:p w14:paraId="05979B53" w14:textId="77777777" w:rsidR="00191E41" w:rsidRPr="00191E41" w:rsidRDefault="00191E41" w:rsidP="00191E41">
            <w:pPr>
              <w:ind w:right="284"/>
              <w:jc w:val="right"/>
              <w:rPr>
                <w:sz w:val="20"/>
                <w:szCs w:val="20"/>
              </w:rPr>
            </w:pPr>
            <w:r w:rsidRPr="00191E41">
              <w:rPr>
                <w:sz w:val="20"/>
                <w:szCs w:val="20"/>
              </w:rPr>
              <w:t>359 028.5</w:t>
            </w:r>
          </w:p>
        </w:tc>
        <w:tc>
          <w:tcPr>
            <w:tcW w:w="1440" w:type="dxa"/>
            <w:tcBorders>
              <w:left w:val="single" w:sz="4" w:space="0" w:color="auto"/>
              <w:right w:val="single" w:sz="4" w:space="0" w:color="auto"/>
            </w:tcBorders>
            <w:shd w:val="clear" w:color="auto" w:fill="auto"/>
          </w:tcPr>
          <w:p w14:paraId="242E746E" w14:textId="77777777" w:rsidR="00191E41" w:rsidRPr="00191E41" w:rsidRDefault="00191E41" w:rsidP="00191E41">
            <w:pPr>
              <w:ind w:right="284"/>
              <w:jc w:val="right"/>
              <w:rPr>
                <w:sz w:val="20"/>
                <w:szCs w:val="20"/>
              </w:rPr>
            </w:pPr>
            <w:r w:rsidRPr="00191E41">
              <w:rPr>
                <w:sz w:val="20"/>
                <w:szCs w:val="20"/>
              </w:rPr>
              <w:t>433 067.2</w:t>
            </w:r>
          </w:p>
        </w:tc>
        <w:tc>
          <w:tcPr>
            <w:tcW w:w="900" w:type="dxa"/>
            <w:tcBorders>
              <w:left w:val="single" w:sz="4" w:space="0" w:color="auto"/>
              <w:right w:val="single" w:sz="4" w:space="0" w:color="auto"/>
            </w:tcBorders>
            <w:shd w:val="clear" w:color="auto" w:fill="auto"/>
          </w:tcPr>
          <w:p w14:paraId="2535590F" w14:textId="77777777" w:rsidR="00191E41" w:rsidRPr="00191E41" w:rsidRDefault="00191E41" w:rsidP="00191E41">
            <w:pPr>
              <w:ind w:right="170"/>
              <w:jc w:val="right"/>
              <w:rPr>
                <w:sz w:val="20"/>
                <w:szCs w:val="20"/>
              </w:rPr>
            </w:pPr>
            <w:r w:rsidRPr="00191E41">
              <w:rPr>
                <w:sz w:val="20"/>
                <w:szCs w:val="20"/>
              </w:rPr>
              <w:t>17.0</w:t>
            </w:r>
          </w:p>
        </w:tc>
        <w:tc>
          <w:tcPr>
            <w:tcW w:w="929" w:type="dxa"/>
            <w:tcBorders>
              <w:left w:val="single" w:sz="4" w:space="0" w:color="auto"/>
              <w:right w:val="single" w:sz="4" w:space="0" w:color="auto"/>
            </w:tcBorders>
            <w:shd w:val="clear" w:color="auto" w:fill="auto"/>
          </w:tcPr>
          <w:p w14:paraId="0AA657AA" w14:textId="77777777" w:rsidR="00191E41" w:rsidRPr="00191E41" w:rsidRDefault="00191E41" w:rsidP="00191E41">
            <w:pPr>
              <w:ind w:right="170"/>
              <w:jc w:val="right"/>
              <w:rPr>
                <w:sz w:val="20"/>
                <w:szCs w:val="20"/>
              </w:rPr>
            </w:pPr>
            <w:r w:rsidRPr="00191E41">
              <w:rPr>
                <w:sz w:val="20"/>
                <w:szCs w:val="20"/>
              </w:rPr>
              <w:t>94.8</w:t>
            </w:r>
          </w:p>
        </w:tc>
        <w:tc>
          <w:tcPr>
            <w:tcW w:w="889" w:type="dxa"/>
            <w:tcBorders>
              <w:left w:val="single" w:sz="4" w:space="0" w:color="auto"/>
              <w:right w:val="single" w:sz="4" w:space="0" w:color="auto"/>
            </w:tcBorders>
            <w:shd w:val="clear" w:color="auto" w:fill="auto"/>
          </w:tcPr>
          <w:p w14:paraId="2A7DC59D" w14:textId="77777777" w:rsidR="00191E41" w:rsidRPr="00191E41" w:rsidRDefault="00191E41" w:rsidP="00191E41">
            <w:pPr>
              <w:ind w:right="170"/>
              <w:jc w:val="right"/>
              <w:rPr>
                <w:sz w:val="20"/>
                <w:szCs w:val="20"/>
              </w:rPr>
            </w:pPr>
            <w:r w:rsidRPr="00191E41">
              <w:rPr>
                <w:sz w:val="20"/>
                <w:szCs w:val="20"/>
              </w:rPr>
              <w:t>94.0</w:t>
            </w:r>
          </w:p>
        </w:tc>
      </w:tr>
      <w:tr w:rsidR="00191E41" w:rsidRPr="00191E41" w14:paraId="5440F2BC" w14:textId="77777777" w:rsidTr="001E7D79">
        <w:trPr>
          <w:jc w:val="center"/>
        </w:trPr>
        <w:tc>
          <w:tcPr>
            <w:tcW w:w="4455" w:type="dxa"/>
            <w:tcBorders>
              <w:left w:val="single" w:sz="4" w:space="0" w:color="auto"/>
              <w:right w:val="single" w:sz="4" w:space="0" w:color="auto"/>
            </w:tcBorders>
            <w:shd w:val="clear" w:color="auto" w:fill="auto"/>
          </w:tcPr>
          <w:p w14:paraId="0C8E95D0" w14:textId="77777777" w:rsidR="00191E41" w:rsidRPr="00191E41" w:rsidRDefault="00191E41" w:rsidP="00191E41">
            <w:pPr>
              <w:ind w:left="284"/>
              <w:jc w:val="both"/>
              <w:rPr>
                <w:rFonts w:eastAsia="Times New Roman"/>
                <w:sz w:val="20"/>
                <w:szCs w:val="20"/>
              </w:rPr>
            </w:pPr>
            <w:r w:rsidRPr="00191E41">
              <w:rPr>
                <w:rFonts w:eastAsia="Times New Roman"/>
                <w:sz w:val="20"/>
                <w:szCs w:val="20"/>
              </w:rPr>
              <w:t>a) Programable</w:t>
            </w:r>
            <w:r w:rsidRPr="00191E41">
              <w:rPr>
                <w:rFonts w:eastAsia="Times New Roman"/>
                <w:sz w:val="20"/>
                <w:szCs w:val="20"/>
                <w:vertAlign w:val="superscript"/>
              </w:rPr>
              <w:t xml:space="preserve"> </w:t>
            </w:r>
          </w:p>
        </w:tc>
        <w:tc>
          <w:tcPr>
            <w:tcW w:w="1440" w:type="dxa"/>
            <w:tcBorders>
              <w:left w:val="single" w:sz="4" w:space="0" w:color="auto"/>
              <w:right w:val="single" w:sz="4" w:space="0" w:color="auto"/>
            </w:tcBorders>
            <w:shd w:val="clear" w:color="auto" w:fill="auto"/>
          </w:tcPr>
          <w:p w14:paraId="55160DAD" w14:textId="77777777" w:rsidR="00191E41" w:rsidRPr="00191E41" w:rsidRDefault="00191E41" w:rsidP="00191E41">
            <w:pPr>
              <w:ind w:right="284"/>
              <w:jc w:val="right"/>
              <w:rPr>
                <w:sz w:val="20"/>
                <w:szCs w:val="20"/>
              </w:rPr>
            </w:pPr>
            <w:r w:rsidRPr="00191E41">
              <w:rPr>
                <w:sz w:val="20"/>
                <w:szCs w:val="20"/>
              </w:rPr>
              <w:t>282 378.7</w:t>
            </w:r>
          </w:p>
        </w:tc>
        <w:tc>
          <w:tcPr>
            <w:tcW w:w="1440" w:type="dxa"/>
            <w:tcBorders>
              <w:left w:val="single" w:sz="4" w:space="0" w:color="auto"/>
              <w:right w:val="single" w:sz="4" w:space="0" w:color="auto"/>
            </w:tcBorders>
            <w:shd w:val="clear" w:color="auto" w:fill="auto"/>
          </w:tcPr>
          <w:p w14:paraId="4A1779C4" w14:textId="77777777" w:rsidR="00191E41" w:rsidRPr="00191E41" w:rsidRDefault="00191E41" w:rsidP="00191E41">
            <w:pPr>
              <w:ind w:right="284"/>
              <w:jc w:val="right"/>
              <w:rPr>
                <w:sz w:val="20"/>
                <w:szCs w:val="20"/>
              </w:rPr>
            </w:pPr>
            <w:r w:rsidRPr="00191E41">
              <w:rPr>
                <w:sz w:val="20"/>
                <w:szCs w:val="20"/>
              </w:rPr>
              <w:t>358 960.5</w:t>
            </w:r>
          </w:p>
        </w:tc>
        <w:tc>
          <w:tcPr>
            <w:tcW w:w="900" w:type="dxa"/>
            <w:tcBorders>
              <w:left w:val="single" w:sz="4" w:space="0" w:color="auto"/>
              <w:right w:val="single" w:sz="4" w:space="0" w:color="auto"/>
            </w:tcBorders>
            <w:shd w:val="clear" w:color="auto" w:fill="auto"/>
          </w:tcPr>
          <w:p w14:paraId="01A73ED5" w14:textId="77777777" w:rsidR="00191E41" w:rsidRPr="00191E41" w:rsidRDefault="00191E41" w:rsidP="00191E41">
            <w:pPr>
              <w:ind w:right="170"/>
              <w:jc w:val="right"/>
              <w:rPr>
                <w:sz w:val="20"/>
                <w:szCs w:val="20"/>
              </w:rPr>
            </w:pPr>
            <w:r w:rsidRPr="00191E41">
              <w:rPr>
                <w:sz w:val="20"/>
                <w:szCs w:val="20"/>
              </w:rPr>
              <w:t>23.3</w:t>
            </w:r>
          </w:p>
        </w:tc>
        <w:tc>
          <w:tcPr>
            <w:tcW w:w="929" w:type="dxa"/>
            <w:tcBorders>
              <w:left w:val="single" w:sz="4" w:space="0" w:color="auto"/>
              <w:right w:val="single" w:sz="4" w:space="0" w:color="auto"/>
            </w:tcBorders>
            <w:shd w:val="clear" w:color="auto" w:fill="auto"/>
          </w:tcPr>
          <w:p w14:paraId="082210B4" w14:textId="77777777" w:rsidR="00191E41" w:rsidRPr="00191E41" w:rsidRDefault="00191E41" w:rsidP="00191E41">
            <w:pPr>
              <w:ind w:right="170"/>
              <w:jc w:val="right"/>
              <w:rPr>
                <w:sz w:val="20"/>
                <w:szCs w:val="20"/>
              </w:rPr>
            </w:pPr>
            <w:r w:rsidRPr="00191E41">
              <w:rPr>
                <w:sz w:val="20"/>
                <w:szCs w:val="20"/>
              </w:rPr>
              <w:t>74.6</w:t>
            </w:r>
          </w:p>
        </w:tc>
        <w:tc>
          <w:tcPr>
            <w:tcW w:w="889" w:type="dxa"/>
            <w:tcBorders>
              <w:left w:val="single" w:sz="4" w:space="0" w:color="auto"/>
              <w:right w:val="single" w:sz="4" w:space="0" w:color="auto"/>
            </w:tcBorders>
            <w:shd w:val="clear" w:color="auto" w:fill="auto"/>
          </w:tcPr>
          <w:p w14:paraId="1DE77A06" w14:textId="77777777" w:rsidR="00191E41" w:rsidRPr="00191E41" w:rsidRDefault="00191E41" w:rsidP="00191E41">
            <w:pPr>
              <w:ind w:right="170"/>
              <w:jc w:val="right"/>
              <w:rPr>
                <w:sz w:val="20"/>
                <w:szCs w:val="20"/>
              </w:rPr>
            </w:pPr>
            <w:r w:rsidRPr="00191E41">
              <w:rPr>
                <w:sz w:val="20"/>
                <w:szCs w:val="20"/>
              </w:rPr>
              <w:t>77.9</w:t>
            </w:r>
          </w:p>
        </w:tc>
      </w:tr>
      <w:tr w:rsidR="00191E41" w:rsidRPr="00191E41" w14:paraId="2178D0E0" w14:textId="77777777" w:rsidTr="001E7D79">
        <w:trPr>
          <w:jc w:val="center"/>
        </w:trPr>
        <w:tc>
          <w:tcPr>
            <w:tcW w:w="4455" w:type="dxa"/>
            <w:tcBorders>
              <w:left w:val="single" w:sz="4" w:space="0" w:color="auto"/>
              <w:right w:val="single" w:sz="4" w:space="0" w:color="auto"/>
            </w:tcBorders>
            <w:shd w:val="clear" w:color="auto" w:fill="auto"/>
          </w:tcPr>
          <w:p w14:paraId="5AAD017B" w14:textId="77777777" w:rsidR="00191E41" w:rsidRPr="00191E41" w:rsidRDefault="00191E41" w:rsidP="00191E41">
            <w:pPr>
              <w:ind w:left="510"/>
              <w:jc w:val="both"/>
              <w:rPr>
                <w:rFonts w:eastAsia="Times New Roman"/>
                <w:sz w:val="20"/>
                <w:szCs w:val="20"/>
              </w:rPr>
            </w:pPr>
            <w:r w:rsidRPr="00191E41">
              <w:rPr>
                <w:rFonts w:eastAsia="Times New Roman"/>
                <w:sz w:val="20"/>
                <w:szCs w:val="20"/>
              </w:rPr>
              <w:t>Ramos autónomos</w:t>
            </w:r>
          </w:p>
        </w:tc>
        <w:tc>
          <w:tcPr>
            <w:tcW w:w="1440" w:type="dxa"/>
            <w:tcBorders>
              <w:left w:val="single" w:sz="4" w:space="0" w:color="auto"/>
              <w:right w:val="single" w:sz="4" w:space="0" w:color="auto"/>
            </w:tcBorders>
            <w:shd w:val="clear" w:color="auto" w:fill="auto"/>
          </w:tcPr>
          <w:p w14:paraId="3A1EB27C" w14:textId="77777777" w:rsidR="00191E41" w:rsidRPr="00191E41" w:rsidRDefault="00191E41" w:rsidP="00191E41">
            <w:pPr>
              <w:ind w:right="284"/>
              <w:jc w:val="right"/>
              <w:rPr>
                <w:sz w:val="20"/>
                <w:szCs w:val="20"/>
              </w:rPr>
            </w:pPr>
            <w:r w:rsidRPr="00191E41">
              <w:rPr>
                <w:sz w:val="20"/>
                <w:szCs w:val="20"/>
              </w:rPr>
              <w:t>4 316.3</w:t>
            </w:r>
          </w:p>
        </w:tc>
        <w:tc>
          <w:tcPr>
            <w:tcW w:w="1440" w:type="dxa"/>
            <w:tcBorders>
              <w:left w:val="single" w:sz="4" w:space="0" w:color="auto"/>
              <w:right w:val="single" w:sz="4" w:space="0" w:color="auto"/>
            </w:tcBorders>
            <w:shd w:val="clear" w:color="auto" w:fill="auto"/>
          </w:tcPr>
          <w:p w14:paraId="46B220FA" w14:textId="77777777" w:rsidR="00191E41" w:rsidRPr="00191E41" w:rsidRDefault="00191E41" w:rsidP="00191E41">
            <w:pPr>
              <w:ind w:right="284"/>
              <w:jc w:val="right"/>
              <w:rPr>
                <w:sz w:val="20"/>
                <w:szCs w:val="20"/>
              </w:rPr>
            </w:pPr>
            <w:r w:rsidRPr="00191E41">
              <w:rPr>
                <w:sz w:val="20"/>
                <w:szCs w:val="20"/>
              </w:rPr>
              <w:t>6 385.0</w:t>
            </w:r>
          </w:p>
        </w:tc>
        <w:tc>
          <w:tcPr>
            <w:tcW w:w="900" w:type="dxa"/>
            <w:tcBorders>
              <w:left w:val="single" w:sz="4" w:space="0" w:color="auto"/>
              <w:right w:val="single" w:sz="4" w:space="0" w:color="auto"/>
            </w:tcBorders>
            <w:shd w:val="clear" w:color="auto" w:fill="auto"/>
          </w:tcPr>
          <w:p w14:paraId="3AA8002C" w14:textId="77777777" w:rsidR="00191E41" w:rsidRPr="00191E41" w:rsidRDefault="00191E41" w:rsidP="00191E41">
            <w:pPr>
              <w:ind w:right="170"/>
              <w:jc w:val="right"/>
              <w:rPr>
                <w:sz w:val="20"/>
                <w:szCs w:val="20"/>
              </w:rPr>
            </w:pPr>
            <w:r w:rsidRPr="00191E41">
              <w:rPr>
                <w:sz w:val="20"/>
                <w:szCs w:val="20"/>
              </w:rPr>
              <w:t>43.5</w:t>
            </w:r>
          </w:p>
        </w:tc>
        <w:tc>
          <w:tcPr>
            <w:tcW w:w="929" w:type="dxa"/>
            <w:tcBorders>
              <w:left w:val="single" w:sz="4" w:space="0" w:color="auto"/>
              <w:right w:val="single" w:sz="4" w:space="0" w:color="auto"/>
            </w:tcBorders>
            <w:shd w:val="clear" w:color="auto" w:fill="auto"/>
          </w:tcPr>
          <w:p w14:paraId="5A1B5A4B" w14:textId="77777777" w:rsidR="00191E41" w:rsidRPr="00191E41" w:rsidRDefault="00191E41" w:rsidP="00191E41">
            <w:pPr>
              <w:ind w:right="170"/>
              <w:jc w:val="right"/>
              <w:rPr>
                <w:sz w:val="20"/>
                <w:szCs w:val="20"/>
              </w:rPr>
            </w:pPr>
            <w:r w:rsidRPr="00191E41">
              <w:rPr>
                <w:sz w:val="20"/>
                <w:szCs w:val="20"/>
              </w:rPr>
              <w:t>1.1</w:t>
            </w:r>
          </w:p>
        </w:tc>
        <w:tc>
          <w:tcPr>
            <w:tcW w:w="889" w:type="dxa"/>
            <w:tcBorders>
              <w:left w:val="single" w:sz="4" w:space="0" w:color="auto"/>
              <w:right w:val="single" w:sz="4" w:space="0" w:color="auto"/>
            </w:tcBorders>
            <w:shd w:val="clear" w:color="auto" w:fill="auto"/>
          </w:tcPr>
          <w:p w14:paraId="6663E5EE" w14:textId="77777777" w:rsidR="00191E41" w:rsidRPr="00191E41" w:rsidRDefault="00191E41" w:rsidP="00191E41">
            <w:pPr>
              <w:ind w:right="170"/>
              <w:jc w:val="right"/>
              <w:rPr>
                <w:sz w:val="20"/>
                <w:szCs w:val="20"/>
              </w:rPr>
            </w:pPr>
            <w:r w:rsidRPr="00191E41">
              <w:rPr>
                <w:sz w:val="20"/>
                <w:szCs w:val="20"/>
              </w:rPr>
              <w:t>1.4</w:t>
            </w:r>
          </w:p>
        </w:tc>
      </w:tr>
      <w:tr w:rsidR="00191E41" w:rsidRPr="00191E41" w14:paraId="3AD2636D" w14:textId="77777777" w:rsidTr="001E7D79">
        <w:trPr>
          <w:jc w:val="center"/>
        </w:trPr>
        <w:tc>
          <w:tcPr>
            <w:tcW w:w="4455" w:type="dxa"/>
            <w:tcBorders>
              <w:left w:val="single" w:sz="4" w:space="0" w:color="auto"/>
              <w:right w:val="single" w:sz="4" w:space="0" w:color="auto"/>
            </w:tcBorders>
            <w:shd w:val="clear" w:color="auto" w:fill="auto"/>
          </w:tcPr>
          <w:p w14:paraId="32F1ED0E" w14:textId="77777777" w:rsidR="00191E41" w:rsidRPr="00191E41" w:rsidRDefault="00191E41" w:rsidP="00191E41">
            <w:pPr>
              <w:ind w:left="510"/>
              <w:jc w:val="both"/>
              <w:rPr>
                <w:rFonts w:eastAsia="Times New Roman"/>
                <w:sz w:val="20"/>
                <w:szCs w:val="20"/>
              </w:rPr>
            </w:pPr>
            <w:r w:rsidRPr="00191E41">
              <w:rPr>
                <w:rFonts w:eastAsia="Times New Roman"/>
                <w:sz w:val="20"/>
                <w:szCs w:val="20"/>
              </w:rPr>
              <w:t>Ramos administrativos</w:t>
            </w:r>
          </w:p>
        </w:tc>
        <w:tc>
          <w:tcPr>
            <w:tcW w:w="1440" w:type="dxa"/>
            <w:tcBorders>
              <w:left w:val="single" w:sz="4" w:space="0" w:color="auto"/>
              <w:right w:val="single" w:sz="4" w:space="0" w:color="auto"/>
            </w:tcBorders>
            <w:shd w:val="clear" w:color="auto" w:fill="auto"/>
          </w:tcPr>
          <w:p w14:paraId="061FF719" w14:textId="77777777" w:rsidR="00191E41" w:rsidRPr="00191E41" w:rsidRDefault="00191E41" w:rsidP="00191E41">
            <w:pPr>
              <w:ind w:right="284"/>
              <w:jc w:val="right"/>
              <w:rPr>
                <w:sz w:val="20"/>
                <w:szCs w:val="20"/>
              </w:rPr>
            </w:pPr>
            <w:r w:rsidRPr="00191E41">
              <w:rPr>
                <w:sz w:val="20"/>
                <w:szCs w:val="20"/>
              </w:rPr>
              <w:t>55 558.2</w:t>
            </w:r>
          </w:p>
        </w:tc>
        <w:tc>
          <w:tcPr>
            <w:tcW w:w="1440" w:type="dxa"/>
            <w:tcBorders>
              <w:left w:val="single" w:sz="4" w:space="0" w:color="auto"/>
              <w:right w:val="single" w:sz="4" w:space="0" w:color="auto"/>
            </w:tcBorders>
            <w:shd w:val="clear" w:color="auto" w:fill="auto"/>
          </w:tcPr>
          <w:p w14:paraId="135738BA" w14:textId="77777777" w:rsidR="00191E41" w:rsidRPr="00191E41" w:rsidRDefault="00191E41" w:rsidP="00191E41">
            <w:pPr>
              <w:ind w:right="284"/>
              <w:jc w:val="right"/>
              <w:rPr>
                <w:sz w:val="20"/>
                <w:szCs w:val="20"/>
              </w:rPr>
            </w:pPr>
            <w:r w:rsidRPr="00191E41">
              <w:rPr>
                <w:sz w:val="20"/>
                <w:szCs w:val="20"/>
              </w:rPr>
              <w:t>90 541.9</w:t>
            </w:r>
          </w:p>
        </w:tc>
        <w:tc>
          <w:tcPr>
            <w:tcW w:w="900" w:type="dxa"/>
            <w:tcBorders>
              <w:left w:val="single" w:sz="4" w:space="0" w:color="auto"/>
              <w:right w:val="single" w:sz="4" w:space="0" w:color="auto"/>
            </w:tcBorders>
            <w:shd w:val="clear" w:color="auto" w:fill="auto"/>
          </w:tcPr>
          <w:p w14:paraId="1427E55B" w14:textId="77777777" w:rsidR="00191E41" w:rsidRPr="00191E41" w:rsidRDefault="00191E41" w:rsidP="00191E41">
            <w:pPr>
              <w:ind w:right="170"/>
              <w:jc w:val="right"/>
              <w:rPr>
                <w:sz w:val="20"/>
                <w:szCs w:val="20"/>
              </w:rPr>
            </w:pPr>
            <w:r w:rsidRPr="00191E41">
              <w:rPr>
                <w:sz w:val="20"/>
                <w:szCs w:val="20"/>
              </w:rPr>
              <w:t>58.1</w:t>
            </w:r>
          </w:p>
        </w:tc>
        <w:tc>
          <w:tcPr>
            <w:tcW w:w="929" w:type="dxa"/>
            <w:tcBorders>
              <w:left w:val="single" w:sz="4" w:space="0" w:color="auto"/>
              <w:right w:val="single" w:sz="4" w:space="0" w:color="auto"/>
            </w:tcBorders>
            <w:shd w:val="clear" w:color="auto" w:fill="auto"/>
          </w:tcPr>
          <w:p w14:paraId="599686DC" w14:textId="77777777" w:rsidR="00191E41" w:rsidRPr="00191E41" w:rsidRDefault="00191E41" w:rsidP="00191E41">
            <w:pPr>
              <w:ind w:right="170"/>
              <w:jc w:val="right"/>
              <w:rPr>
                <w:sz w:val="20"/>
                <w:szCs w:val="20"/>
              </w:rPr>
            </w:pPr>
            <w:r w:rsidRPr="00191E41">
              <w:rPr>
                <w:sz w:val="20"/>
                <w:szCs w:val="20"/>
              </w:rPr>
              <w:t>14.7</w:t>
            </w:r>
          </w:p>
        </w:tc>
        <w:tc>
          <w:tcPr>
            <w:tcW w:w="889" w:type="dxa"/>
            <w:tcBorders>
              <w:left w:val="single" w:sz="4" w:space="0" w:color="auto"/>
              <w:right w:val="single" w:sz="4" w:space="0" w:color="auto"/>
            </w:tcBorders>
            <w:shd w:val="clear" w:color="auto" w:fill="auto"/>
          </w:tcPr>
          <w:p w14:paraId="7EC0859A" w14:textId="77777777" w:rsidR="00191E41" w:rsidRPr="00191E41" w:rsidRDefault="00191E41" w:rsidP="00191E41">
            <w:pPr>
              <w:ind w:right="170"/>
              <w:jc w:val="right"/>
              <w:rPr>
                <w:sz w:val="20"/>
                <w:szCs w:val="20"/>
              </w:rPr>
            </w:pPr>
            <w:r w:rsidRPr="00191E41">
              <w:rPr>
                <w:sz w:val="20"/>
                <w:szCs w:val="20"/>
              </w:rPr>
              <w:t>19.6</w:t>
            </w:r>
          </w:p>
        </w:tc>
      </w:tr>
      <w:tr w:rsidR="00191E41" w:rsidRPr="00191E41" w14:paraId="05038A2B" w14:textId="77777777" w:rsidTr="001E7D79">
        <w:trPr>
          <w:jc w:val="center"/>
        </w:trPr>
        <w:tc>
          <w:tcPr>
            <w:tcW w:w="4455" w:type="dxa"/>
            <w:tcBorders>
              <w:left w:val="single" w:sz="4" w:space="0" w:color="auto"/>
              <w:right w:val="single" w:sz="4" w:space="0" w:color="auto"/>
            </w:tcBorders>
            <w:shd w:val="clear" w:color="auto" w:fill="auto"/>
          </w:tcPr>
          <w:p w14:paraId="343D1774" w14:textId="77777777" w:rsidR="00191E41" w:rsidRPr="00191E41" w:rsidRDefault="00191E41" w:rsidP="00191E41">
            <w:pPr>
              <w:ind w:left="510"/>
              <w:jc w:val="both"/>
              <w:rPr>
                <w:rFonts w:eastAsia="Times New Roman"/>
                <w:sz w:val="20"/>
                <w:szCs w:val="20"/>
              </w:rPr>
            </w:pPr>
            <w:r w:rsidRPr="00191E41">
              <w:rPr>
                <w:rFonts w:eastAsia="Times New Roman"/>
                <w:sz w:val="20"/>
                <w:szCs w:val="20"/>
              </w:rPr>
              <w:t>Ramos generales</w:t>
            </w:r>
          </w:p>
        </w:tc>
        <w:tc>
          <w:tcPr>
            <w:tcW w:w="1440" w:type="dxa"/>
            <w:tcBorders>
              <w:left w:val="single" w:sz="4" w:space="0" w:color="auto"/>
              <w:right w:val="single" w:sz="4" w:space="0" w:color="auto"/>
            </w:tcBorders>
            <w:shd w:val="clear" w:color="auto" w:fill="auto"/>
          </w:tcPr>
          <w:p w14:paraId="26B9823A" w14:textId="77777777" w:rsidR="00191E41" w:rsidRPr="00191E41" w:rsidRDefault="00191E41" w:rsidP="00191E41">
            <w:pPr>
              <w:ind w:right="284"/>
              <w:jc w:val="right"/>
              <w:rPr>
                <w:sz w:val="20"/>
                <w:szCs w:val="20"/>
              </w:rPr>
            </w:pPr>
            <w:r w:rsidRPr="00191E41">
              <w:rPr>
                <w:sz w:val="20"/>
                <w:szCs w:val="20"/>
              </w:rPr>
              <w:t>128 421.6</w:t>
            </w:r>
          </w:p>
        </w:tc>
        <w:tc>
          <w:tcPr>
            <w:tcW w:w="1440" w:type="dxa"/>
            <w:tcBorders>
              <w:left w:val="single" w:sz="4" w:space="0" w:color="auto"/>
              <w:right w:val="single" w:sz="4" w:space="0" w:color="auto"/>
            </w:tcBorders>
            <w:shd w:val="clear" w:color="auto" w:fill="auto"/>
          </w:tcPr>
          <w:p w14:paraId="35C5B0AE" w14:textId="77777777" w:rsidR="00191E41" w:rsidRPr="00191E41" w:rsidRDefault="00191E41" w:rsidP="00191E41">
            <w:pPr>
              <w:ind w:right="284"/>
              <w:jc w:val="right"/>
              <w:rPr>
                <w:sz w:val="20"/>
                <w:szCs w:val="20"/>
              </w:rPr>
            </w:pPr>
            <w:r w:rsidRPr="00191E41">
              <w:rPr>
                <w:sz w:val="20"/>
                <w:szCs w:val="20"/>
              </w:rPr>
              <w:t>157 727.4</w:t>
            </w:r>
          </w:p>
        </w:tc>
        <w:tc>
          <w:tcPr>
            <w:tcW w:w="900" w:type="dxa"/>
            <w:tcBorders>
              <w:left w:val="single" w:sz="4" w:space="0" w:color="auto"/>
              <w:right w:val="single" w:sz="4" w:space="0" w:color="auto"/>
            </w:tcBorders>
            <w:shd w:val="clear" w:color="auto" w:fill="auto"/>
          </w:tcPr>
          <w:p w14:paraId="7C17D33B" w14:textId="77777777" w:rsidR="00191E41" w:rsidRPr="00191E41" w:rsidRDefault="00191E41" w:rsidP="00191E41">
            <w:pPr>
              <w:ind w:right="170"/>
              <w:jc w:val="right"/>
              <w:rPr>
                <w:sz w:val="20"/>
                <w:szCs w:val="20"/>
              </w:rPr>
            </w:pPr>
            <w:r w:rsidRPr="00191E41">
              <w:rPr>
                <w:sz w:val="20"/>
                <w:szCs w:val="20"/>
              </w:rPr>
              <w:t>19.2</w:t>
            </w:r>
          </w:p>
        </w:tc>
        <w:tc>
          <w:tcPr>
            <w:tcW w:w="929" w:type="dxa"/>
            <w:tcBorders>
              <w:left w:val="single" w:sz="4" w:space="0" w:color="auto"/>
              <w:right w:val="single" w:sz="4" w:space="0" w:color="auto"/>
            </w:tcBorders>
            <w:shd w:val="clear" w:color="auto" w:fill="auto"/>
          </w:tcPr>
          <w:p w14:paraId="390F7E56" w14:textId="77777777" w:rsidR="00191E41" w:rsidRPr="00191E41" w:rsidRDefault="00191E41" w:rsidP="00191E41">
            <w:pPr>
              <w:ind w:right="170"/>
              <w:jc w:val="right"/>
              <w:rPr>
                <w:sz w:val="20"/>
                <w:szCs w:val="20"/>
              </w:rPr>
            </w:pPr>
            <w:r w:rsidRPr="00191E41">
              <w:rPr>
                <w:sz w:val="20"/>
                <w:szCs w:val="20"/>
              </w:rPr>
              <w:t>33.9</w:t>
            </w:r>
          </w:p>
        </w:tc>
        <w:tc>
          <w:tcPr>
            <w:tcW w:w="889" w:type="dxa"/>
            <w:tcBorders>
              <w:left w:val="single" w:sz="4" w:space="0" w:color="auto"/>
              <w:right w:val="single" w:sz="4" w:space="0" w:color="auto"/>
            </w:tcBorders>
            <w:shd w:val="clear" w:color="auto" w:fill="auto"/>
          </w:tcPr>
          <w:p w14:paraId="226E857B" w14:textId="77777777" w:rsidR="00191E41" w:rsidRPr="00191E41" w:rsidRDefault="00191E41" w:rsidP="00191E41">
            <w:pPr>
              <w:ind w:right="170"/>
              <w:jc w:val="right"/>
              <w:rPr>
                <w:sz w:val="20"/>
                <w:szCs w:val="20"/>
              </w:rPr>
            </w:pPr>
            <w:r w:rsidRPr="00191E41">
              <w:rPr>
                <w:sz w:val="20"/>
                <w:szCs w:val="20"/>
              </w:rPr>
              <w:t>34.2</w:t>
            </w:r>
          </w:p>
        </w:tc>
      </w:tr>
      <w:tr w:rsidR="00191E41" w:rsidRPr="00191E41" w14:paraId="599B79F1" w14:textId="77777777" w:rsidTr="001E7D79">
        <w:trPr>
          <w:jc w:val="center"/>
        </w:trPr>
        <w:tc>
          <w:tcPr>
            <w:tcW w:w="4455" w:type="dxa"/>
            <w:tcBorders>
              <w:left w:val="single" w:sz="4" w:space="0" w:color="auto"/>
              <w:right w:val="single" w:sz="4" w:space="0" w:color="auto"/>
            </w:tcBorders>
            <w:shd w:val="clear" w:color="auto" w:fill="auto"/>
          </w:tcPr>
          <w:p w14:paraId="73D835DC" w14:textId="77777777" w:rsidR="00191E41" w:rsidRPr="00191E41" w:rsidRDefault="00191E41" w:rsidP="00191E41">
            <w:pPr>
              <w:ind w:left="510"/>
              <w:jc w:val="both"/>
              <w:rPr>
                <w:rFonts w:eastAsia="Times New Roman"/>
                <w:sz w:val="20"/>
                <w:szCs w:val="20"/>
              </w:rPr>
            </w:pPr>
            <w:r w:rsidRPr="00191E41">
              <w:rPr>
                <w:rFonts w:eastAsia="Times New Roman"/>
                <w:sz w:val="20"/>
                <w:szCs w:val="20"/>
              </w:rPr>
              <w:t>Organismos de control presupuestario directo</w:t>
            </w:r>
          </w:p>
        </w:tc>
        <w:tc>
          <w:tcPr>
            <w:tcW w:w="1440" w:type="dxa"/>
            <w:tcBorders>
              <w:left w:val="single" w:sz="4" w:space="0" w:color="auto"/>
              <w:right w:val="single" w:sz="4" w:space="0" w:color="auto"/>
            </w:tcBorders>
            <w:shd w:val="clear" w:color="auto" w:fill="auto"/>
          </w:tcPr>
          <w:p w14:paraId="48973980" w14:textId="77777777" w:rsidR="00191E41" w:rsidRPr="00191E41" w:rsidRDefault="00191E41" w:rsidP="00191E41">
            <w:pPr>
              <w:ind w:right="284"/>
              <w:jc w:val="right"/>
              <w:rPr>
                <w:sz w:val="20"/>
                <w:szCs w:val="20"/>
              </w:rPr>
            </w:pPr>
            <w:r w:rsidRPr="00191E41">
              <w:rPr>
                <w:sz w:val="20"/>
                <w:szCs w:val="20"/>
              </w:rPr>
              <w:t>68 116.1</w:t>
            </w:r>
          </w:p>
        </w:tc>
        <w:tc>
          <w:tcPr>
            <w:tcW w:w="1440" w:type="dxa"/>
            <w:tcBorders>
              <w:left w:val="single" w:sz="4" w:space="0" w:color="auto"/>
              <w:right w:val="single" w:sz="4" w:space="0" w:color="auto"/>
            </w:tcBorders>
            <w:shd w:val="clear" w:color="auto" w:fill="auto"/>
          </w:tcPr>
          <w:p w14:paraId="6C85B1A6" w14:textId="77777777" w:rsidR="00191E41" w:rsidRPr="00191E41" w:rsidRDefault="00191E41" w:rsidP="00191E41">
            <w:pPr>
              <w:ind w:right="284"/>
              <w:jc w:val="right"/>
              <w:rPr>
                <w:sz w:val="20"/>
                <w:szCs w:val="20"/>
              </w:rPr>
            </w:pPr>
            <w:r w:rsidRPr="00191E41">
              <w:rPr>
                <w:sz w:val="20"/>
                <w:szCs w:val="20"/>
              </w:rPr>
              <w:t>67 099.0</w:t>
            </w:r>
          </w:p>
        </w:tc>
        <w:tc>
          <w:tcPr>
            <w:tcW w:w="900" w:type="dxa"/>
            <w:tcBorders>
              <w:left w:val="single" w:sz="4" w:space="0" w:color="auto"/>
              <w:right w:val="single" w:sz="4" w:space="0" w:color="auto"/>
            </w:tcBorders>
            <w:shd w:val="clear" w:color="auto" w:fill="auto"/>
          </w:tcPr>
          <w:p w14:paraId="5FFD1873" w14:textId="77777777" w:rsidR="00191E41" w:rsidRPr="00191E41" w:rsidRDefault="00191E41" w:rsidP="00CB7BE4">
            <w:pPr>
              <w:ind w:right="170"/>
              <w:jc w:val="right"/>
              <w:rPr>
                <w:sz w:val="20"/>
                <w:szCs w:val="20"/>
              </w:rPr>
            </w:pPr>
            <w:r w:rsidRPr="00191E41">
              <w:rPr>
                <w:sz w:val="20"/>
                <w:szCs w:val="20"/>
              </w:rPr>
              <w:t>-4.4</w:t>
            </w:r>
          </w:p>
        </w:tc>
        <w:tc>
          <w:tcPr>
            <w:tcW w:w="929" w:type="dxa"/>
            <w:tcBorders>
              <w:left w:val="single" w:sz="4" w:space="0" w:color="auto"/>
              <w:right w:val="single" w:sz="4" w:space="0" w:color="auto"/>
            </w:tcBorders>
            <w:shd w:val="clear" w:color="auto" w:fill="auto"/>
          </w:tcPr>
          <w:p w14:paraId="0B9FEA64" w14:textId="77777777" w:rsidR="00191E41" w:rsidRPr="00191E41" w:rsidRDefault="00191E41" w:rsidP="00191E41">
            <w:pPr>
              <w:ind w:right="170"/>
              <w:jc w:val="right"/>
              <w:rPr>
                <w:sz w:val="20"/>
                <w:szCs w:val="20"/>
              </w:rPr>
            </w:pPr>
            <w:r w:rsidRPr="00191E41">
              <w:rPr>
                <w:sz w:val="20"/>
                <w:szCs w:val="20"/>
              </w:rPr>
              <w:t>18.0</w:t>
            </w:r>
          </w:p>
        </w:tc>
        <w:tc>
          <w:tcPr>
            <w:tcW w:w="889" w:type="dxa"/>
            <w:tcBorders>
              <w:left w:val="single" w:sz="4" w:space="0" w:color="auto"/>
              <w:right w:val="single" w:sz="4" w:space="0" w:color="auto"/>
            </w:tcBorders>
            <w:shd w:val="clear" w:color="auto" w:fill="auto"/>
          </w:tcPr>
          <w:p w14:paraId="10EFC66A" w14:textId="77777777" w:rsidR="00191E41" w:rsidRPr="00191E41" w:rsidRDefault="00191E41" w:rsidP="00191E41">
            <w:pPr>
              <w:ind w:right="170"/>
              <w:jc w:val="right"/>
              <w:rPr>
                <w:sz w:val="20"/>
                <w:szCs w:val="20"/>
              </w:rPr>
            </w:pPr>
            <w:r w:rsidRPr="00191E41">
              <w:rPr>
                <w:sz w:val="20"/>
                <w:szCs w:val="20"/>
              </w:rPr>
              <w:t>14.6</w:t>
            </w:r>
          </w:p>
        </w:tc>
      </w:tr>
      <w:tr w:rsidR="00191E41" w:rsidRPr="00191E41" w14:paraId="2F818B25" w14:textId="77777777" w:rsidTr="001E7D79">
        <w:trPr>
          <w:jc w:val="center"/>
        </w:trPr>
        <w:tc>
          <w:tcPr>
            <w:tcW w:w="4455" w:type="dxa"/>
            <w:tcBorders>
              <w:left w:val="single" w:sz="4" w:space="0" w:color="auto"/>
              <w:right w:val="single" w:sz="4" w:space="0" w:color="auto"/>
            </w:tcBorders>
            <w:shd w:val="clear" w:color="auto" w:fill="auto"/>
          </w:tcPr>
          <w:p w14:paraId="3CA1FD8D" w14:textId="77777777" w:rsidR="00191E41" w:rsidRPr="00191E41" w:rsidRDefault="00191E41" w:rsidP="00191E41">
            <w:pPr>
              <w:ind w:left="680"/>
              <w:jc w:val="both"/>
              <w:rPr>
                <w:rFonts w:eastAsia="Times New Roman"/>
                <w:sz w:val="20"/>
                <w:szCs w:val="20"/>
              </w:rPr>
            </w:pPr>
            <w:r w:rsidRPr="00191E41">
              <w:rPr>
                <w:rFonts w:eastAsia="Times New Roman"/>
                <w:sz w:val="20"/>
                <w:szCs w:val="20"/>
              </w:rPr>
              <w:t>IMSS</w:t>
            </w:r>
          </w:p>
        </w:tc>
        <w:tc>
          <w:tcPr>
            <w:tcW w:w="1440" w:type="dxa"/>
            <w:tcBorders>
              <w:left w:val="single" w:sz="4" w:space="0" w:color="auto"/>
              <w:right w:val="single" w:sz="4" w:space="0" w:color="auto"/>
            </w:tcBorders>
            <w:shd w:val="clear" w:color="auto" w:fill="auto"/>
          </w:tcPr>
          <w:p w14:paraId="2D88CC63" w14:textId="77777777" w:rsidR="00191E41" w:rsidRPr="00191E41" w:rsidRDefault="00191E41" w:rsidP="00191E41">
            <w:pPr>
              <w:ind w:right="284"/>
              <w:jc w:val="right"/>
              <w:rPr>
                <w:sz w:val="20"/>
                <w:szCs w:val="20"/>
              </w:rPr>
            </w:pPr>
            <w:r w:rsidRPr="00191E41">
              <w:rPr>
                <w:sz w:val="20"/>
                <w:szCs w:val="20"/>
              </w:rPr>
              <w:t>39 991.2</w:t>
            </w:r>
          </w:p>
        </w:tc>
        <w:tc>
          <w:tcPr>
            <w:tcW w:w="1440" w:type="dxa"/>
            <w:tcBorders>
              <w:left w:val="single" w:sz="4" w:space="0" w:color="auto"/>
              <w:right w:val="single" w:sz="4" w:space="0" w:color="auto"/>
            </w:tcBorders>
            <w:shd w:val="clear" w:color="auto" w:fill="auto"/>
          </w:tcPr>
          <w:p w14:paraId="7415B459" w14:textId="77777777" w:rsidR="00191E41" w:rsidRPr="00191E41" w:rsidRDefault="00191E41" w:rsidP="00191E41">
            <w:pPr>
              <w:ind w:right="284"/>
              <w:jc w:val="right"/>
              <w:rPr>
                <w:sz w:val="20"/>
                <w:szCs w:val="20"/>
              </w:rPr>
            </w:pPr>
            <w:r w:rsidRPr="00191E41">
              <w:rPr>
                <w:sz w:val="20"/>
                <w:szCs w:val="20"/>
              </w:rPr>
              <w:t>36 472.2</w:t>
            </w:r>
          </w:p>
        </w:tc>
        <w:tc>
          <w:tcPr>
            <w:tcW w:w="900" w:type="dxa"/>
            <w:tcBorders>
              <w:left w:val="single" w:sz="4" w:space="0" w:color="auto"/>
              <w:right w:val="single" w:sz="4" w:space="0" w:color="auto"/>
            </w:tcBorders>
            <w:shd w:val="clear" w:color="auto" w:fill="auto"/>
          </w:tcPr>
          <w:p w14:paraId="7FB4B7FC" w14:textId="77777777" w:rsidR="00191E41" w:rsidRPr="00191E41" w:rsidRDefault="00191E41" w:rsidP="00191E41">
            <w:pPr>
              <w:ind w:right="170"/>
              <w:jc w:val="right"/>
              <w:rPr>
                <w:sz w:val="20"/>
                <w:szCs w:val="20"/>
              </w:rPr>
            </w:pPr>
            <w:r w:rsidRPr="00191E41">
              <w:rPr>
                <w:sz w:val="20"/>
                <w:szCs w:val="20"/>
              </w:rPr>
              <w:t>-11.5</w:t>
            </w:r>
          </w:p>
        </w:tc>
        <w:tc>
          <w:tcPr>
            <w:tcW w:w="929" w:type="dxa"/>
            <w:tcBorders>
              <w:left w:val="single" w:sz="4" w:space="0" w:color="auto"/>
              <w:right w:val="single" w:sz="4" w:space="0" w:color="auto"/>
            </w:tcBorders>
            <w:shd w:val="clear" w:color="auto" w:fill="auto"/>
          </w:tcPr>
          <w:p w14:paraId="53032FEA" w14:textId="77777777" w:rsidR="00191E41" w:rsidRPr="00191E41" w:rsidRDefault="00191E41" w:rsidP="00191E41">
            <w:pPr>
              <w:ind w:right="170"/>
              <w:jc w:val="right"/>
              <w:rPr>
                <w:sz w:val="20"/>
                <w:szCs w:val="20"/>
              </w:rPr>
            </w:pPr>
            <w:r w:rsidRPr="00191E41">
              <w:rPr>
                <w:sz w:val="20"/>
                <w:szCs w:val="20"/>
              </w:rPr>
              <w:t>10.6</w:t>
            </w:r>
          </w:p>
        </w:tc>
        <w:tc>
          <w:tcPr>
            <w:tcW w:w="889" w:type="dxa"/>
            <w:tcBorders>
              <w:left w:val="single" w:sz="4" w:space="0" w:color="auto"/>
              <w:right w:val="single" w:sz="4" w:space="0" w:color="auto"/>
            </w:tcBorders>
            <w:shd w:val="clear" w:color="auto" w:fill="auto"/>
          </w:tcPr>
          <w:p w14:paraId="3C51F71B" w14:textId="77777777" w:rsidR="00191E41" w:rsidRPr="00191E41" w:rsidRDefault="00191E41" w:rsidP="00191E41">
            <w:pPr>
              <w:ind w:right="170"/>
              <w:jc w:val="right"/>
              <w:rPr>
                <w:sz w:val="20"/>
                <w:szCs w:val="20"/>
              </w:rPr>
            </w:pPr>
            <w:r w:rsidRPr="00191E41">
              <w:rPr>
                <w:sz w:val="20"/>
                <w:szCs w:val="20"/>
              </w:rPr>
              <w:t>7.9</w:t>
            </w:r>
          </w:p>
        </w:tc>
      </w:tr>
      <w:tr w:rsidR="00191E41" w:rsidRPr="00191E41" w14:paraId="0292B819" w14:textId="77777777" w:rsidTr="001E7D79">
        <w:trPr>
          <w:jc w:val="center"/>
        </w:trPr>
        <w:tc>
          <w:tcPr>
            <w:tcW w:w="4455" w:type="dxa"/>
            <w:tcBorders>
              <w:left w:val="single" w:sz="4" w:space="0" w:color="auto"/>
              <w:right w:val="single" w:sz="4" w:space="0" w:color="auto"/>
            </w:tcBorders>
            <w:shd w:val="clear" w:color="auto" w:fill="auto"/>
          </w:tcPr>
          <w:p w14:paraId="17C3D719" w14:textId="77777777" w:rsidR="00191E41" w:rsidRPr="00191E41" w:rsidRDefault="00191E41" w:rsidP="00191E41">
            <w:pPr>
              <w:ind w:left="680"/>
              <w:jc w:val="both"/>
              <w:rPr>
                <w:rFonts w:eastAsia="Times New Roman"/>
                <w:sz w:val="20"/>
                <w:szCs w:val="20"/>
              </w:rPr>
            </w:pPr>
            <w:r w:rsidRPr="00191E41">
              <w:rPr>
                <w:rFonts w:eastAsia="Times New Roman"/>
                <w:sz w:val="20"/>
                <w:szCs w:val="20"/>
              </w:rPr>
              <w:t>ISSSTE</w:t>
            </w:r>
          </w:p>
        </w:tc>
        <w:tc>
          <w:tcPr>
            <w:tcW w:w="1440" w:type="dxa"/>
            <w:tcBorders>
              <w:left w:val="single" w:sz="4" w:space="0" w:color="auto"/>
              <w:right w:val="single" w:sz="4" w:space="0" w:color="auto"/>
            </w:tcBorders>
            <w:shd w:val="clear" w:color="auto" w:fill="auto"/>
          </w:tcPr>
          <w:p w14:paraId="4F1F8697" w14:textId="77777777" w:rsidR="00191E41" w:rsidRPr="00191E41" w:rsidRDefault="00191E41" w:rsidP="00191E41">
            <w:pPr>
              <w:ind w:right="284"/>
              <w:jc w:val="right"/>
              <w:rPr>
                <w:sz w:val="20"/>
                <w:szCs w:val="20"/>
              </w:rPr>
            </w:pPr>
            <w:r w:rsidRPr="00191E41">
              <w:rPr>
                <w:sz w:val="20"/>
                <w:szCs w:val="20"/>
              </w:rPr>
              <w:t>28 124.8</w:t>
            </w:r>
          </w:p>
        </w:tc>
        <w:tc>
          <w:tcPr>
            <w:tcW w:w="1440" w:type="dxa"/>
            <w:tcBorders>
              <w:left w:val="single" w:sz="4" w:space="0" w:color="auto"/>
              <w:right w:val="single" w:sz="4" w:space="0" w:color="auto"/>
            </w:tcBorders>
            <w:shd w:val="clear" w:color="auto" w:fill="auto"/>
          </w:tcPr>
          <w:p w14:paraId="077B24A7" w14:textId="77777777" w:rsidR="00191E41" w:rsidRPr="00191E41" w:rsidRDefault="00191E41" w:rsidP="00191E41">
            <w:pPr>
              <w:ind w:right="284"/>
              <w:jc w:val="right"/>
              <w:rPr>
                <w:sz w:val="20"/>
                <w:szCs w:val="20"/>
              </w:rPr>
            </w:pPr>
            <w:r w:rsidRPr="00191E41">
              <w:rPr>
                <w:sz w:val="20"/>
                <w:szCs w:val="20"/>
              </w:rPr>
              <w:t>30 626.8</w:t>
            </w:r>
          </w:p>
        </w:tc>
        <w:tc>
          <w:tcPr>
            <w:tcW w:w="900" w:type="dxa"/>
            <w:tcBorders>
              <w:left w:val="single" w:sz="4" w:space="0" w:color="auto"/>
              <w:right w:val="single" w:sz="4" w:space="0" w:color="auto"/>
            </w:tcBorders>
            <w:shd w:val="clear" w:color="auto" w:fill="auto"/>
          </w:tcPr>
          <w:p w14:paraId="1A39CD52" w14:textId="77777777" w:rsidR="00191E41" w:rsidRPr="00191E41" w:rsidRDefault="00191E41" w:rsidP="00191E41">
            <w:pPr>
              <w:ind w:right="170"/>
              <w:jc w:val="right"/>
              <w:rPr>
                <w:sz w:val="20"/>
                <w:szCs w:val="20"/>
              </w:rPr>
            </w:pPr>
            <w:r w:rsidRPr="00191E41">
              <w:rPr>
                <w:sz w:val="20"/>
                <w:szCs w:val="20"/>
              </w:rPr>
              <w:t>5.7</w:t>
            </w:r>
          </w:p>
        </w:tc>
        <w:tc>
          <w:tcPr>
            <w:tcW w:w="929" w:type="dxa"/>
            <w:tcBorders>
              <w:left w:val="single" w:sz="4" w:space="0" w:color="auto"/>
              <w:right w:val="single" w:sz="4" w:space="0" w:color="auto"/>
            </w:tcBorders>
            <w:shd w:val="clear" w:color="auto" w:fill="auto"/>
          </w:tcPr>
          <w:p w14:paraId="36869489" w14:textId="77777777" w:rsidR="00191E41" w:rsidRPr="00191E41" w:rsidRDefault="00191E41" w:rsidP="00191E41">
            <w:pPr>
              <w:ind w:right="170"/>
              <w:jc w:val="right"/>
              <w:rPr>
                <w:sz w:val="20"/>
                <w:szCs w:val="20"/>
              </w:rPr>
            </w:pPr>
            <w:r w:rsidRPr="00191E41">
              <w:rPr>
                <w:sz w:val="20"/>
                <w:szCs w:val="20"/>
              </w:rPr>
              <w:t>7.4</w:t>
            </w:r>
          </w:p>
        </w:tc>
        <w:tc>
          <w:tcPr>
            <w:tcW w:w="889" w:type="dxa"/>
            <w:tcBorders>
              <w:left w:val="single" w:sz="4" w:space="0" w:color="auto"/>
              <w:right w:val="single" w:sz="4" w:space="0" w:color="auto"/>
            </w:tcBorders>
            <w:shd w:val="clear" w:color="auto" w:fill="auto"/>
          </w:tcPr>
          <w:p w14:paraId="63FD2C20" w14:textId="77777777" w:rsidR="00191E41" w:rsidRPr="00191E41" w:rsidRDefault="00191E41" w:rsidP="00191E41">
            <w:pPr>
              <w:ind w:right="170"/>
              <w:jc w:val="right"/>
              <w:rPr>
                <w:sz w:val="20"/>
                <w:szCs w:val="20"/>
              </w:rPr>
            </w:pPr>
            <w:r w:rsidRPr="00191E41">
              <w:rPr>
                <w:sz w:val="20"/>
                <w:szCs w:val="20"/>
              </w:rPr>
              <w:t>6.6</w:t>
            </w:r>
          </w:p>
        </w:tc>
      </w:tr>
      <w:tr w:rsidR="00191E41" w:rsidRPr="00191E41" w14:paraId="0B3E2453" w14:textId="77777777" w:rsidTr="001E7D79">
        <w:trPr>
          <w:jc w:val="center"/>
        </w:trPr>
        <w:tc>
          <w:tcPr>
            <w:tcW w:w="4455" w:type="dxa"/>
            <w:tcBorders>
              <w:left w:val="single" w:sz="4" w:space="0" w:color="auto"/>
              <w:right w:val="single" w:sz="4" w:space="0" w:color="auto"/>
            </w:tcBorders>
            <w:shd w:val="clear" w:color="auto" w:fill="auto"/>
          </w:tcPr>
          <w:p w14:paraId="51AD3CD8" w14:textId="77777777" w:rsidR="00191E41" w:rsidRPr="00191E41" w:rsidRDefault="00191E41" w:rsidP="00191E41">
            <w:pPr>
              <w:ind w:left="510"/>
              <w:jc w:val="both"/>
              <w:rPr>
                <w:rFonts w:eastAsia="Times New Roman"/>
                <w:sz w:val="20"/>
                <w:szCs w:val="20"/>
              </w:rPr>
            </w:pPr>
            <w:r w:rsidRPr="00191E41">
              <w:rPr>
                <w:rFonts w:eastAsia="Times New Roman"/>
                <w:sz w:val="20"/>
                <w:szCs w:val="20"/>
              </w:rPr>
              <w:t>Empresas productivas del estado</w:t>
            </w:r>
          </w:p>
        </w:tc>
        <w:tc>
          <w:tcPr>
            <w:tcW w:w="1440" w:type="dxa"/>
            <w:tcBorders>
              <w:left w:val="single" w:sz="4" w:space="0" w:color="auto"/>
              <w:right w:val="single" w:sz="4" w:space="0" w:color="auto"/>
            </w:tcBorders>
            <w:shd w:val="clear" w:color="auto" w:fill="auto"/>
          </w:tcPr>
          <w:p w14:paraId="7E041949" w14:textId="77777777" w:rsidR="00191E41" w:rsidRPr="00191E41" w:rsidRDefault="00191E41" w:rsidP="00191E41">
            <w:pPr>
              <w:ind w:right="284"/>
              <w:jc w:val="right"/>
              <w:rPr>
                <w:sz w:val="20"/>
                <w:szCs w:val="20"/>
              </w:rPr>
            </w:pPr>
            <w:r w:rsidRPr="00191E41">
              <w:rPr>
                <w:sz w:val="20"/>
                <w:szCs w:val="20"/>
              </w:rPr>
              <w:t>86 527.8</w:t>
            </w:r>
          </w:p>
        </w:tc>
        <w:tc>
          <w:tcPr>
            <w:tcW w:w="1440" w:type="dxa"/>
            <w:tcBorders>
              <w:left w:val="single" w:sz="4" w:space="0" w:color="auto"/>
              <w:right w:val="single" w:sz="4" w:space="0" w:color="auto"/>
            </w:tcBorders>
            <w:shd w:val="clear" w:color="auto" w:fill="auto"/>
          </w:tcPr>
          <w:p w14:paraId="7E4B0F29" w14:textId="77777777" w:rsidR="00191E41" w:rsidRPr="00191E41" w:rsidRDefault="00191E41" w:rsidP="00191E41">
            <w:pPr>
              <w:ind w:right="284"/>
              <w:jc w:val="right"/>
              <w:rPr>
                <w:sz w:val="20"/>
                <w:szCs w:val="20"/>
              </w:rPr>
            </w:pPr>
            <w:r w:rsidRPr="00191E41">
              <w:rPr>
                <w:sz w:val="20"/>
                <w:szCs w:val="20"/>
              </w:rPr>
              <w:t>103 741.7</w:t>
            </w:r>
          </w:p>
        </w:tc>
        <w:tc>
          <w:tcPr>
            <w:tcW w:w="900" w:type="dxa"/>
            <w:tcBorders>
              <w:left w:val="single" w:sz="4" w:space="0" w:color="auto"/>
              <w:right w:val="single" w:sz="4" w:space="0" w:color="auto"/>
            </w:tcBorders>
            <w:shd w:val="clear" w:color="auto" w:fill="auto"/>
          </w:tcPr>
          <w:p w14:paraId="20918BA9" w14:textId="77777777" w:rsidR="00191E41" w:rsidRPr="00191E41" w:rsidRDefault="00191E41" w:rsidP="00191E41">
            <w:pPr>
              <w:ind w:right="170"/>
              <w:jc w:val="right"/>
              <w:rPr>
                <w:sz w:val="20"/>
                <w:szCs w:val="20"/>
              </w:rPr>
            </w:pPr>
            <w:r w:rsidRPr="00191E41">
              <w:rPr>
                <w:sz w:val="20"/>
                <w:szCs w:val="20"/>
              </w:rPr>
              <w:t>16.3</w:t>
            </w:r>
          </w:p>
        </w:tc>
        <w:tc>
          <w:tcPr>
            <w:tcW w:w="929" w:type="dxa"/>
            <w:tcBorders>
              <w:left w:val="single" w:sz="4" w:space="0" w:color="auto"/>
              <w:right w:val="single" w:sz="4" w:space="0" w:color="auto"/>
            </w:tcBorders>
            <w:shd w:val="clear" w:color="auto" w:fill="auto"/>
          </w:tcPr>
          <w:p w14:paraId="0AA79E4D" w14:textId="77777777" w:rsidR="00191E41" w:rsidRPr="00191E41" w:rsidRDefault="00191E41" w:rsidP="00191E41">
            <w:pPr>
              <w:ind w:right="170"/>
              <w:jc w:val="right"/>
              <w:rPr>
                <w:sz w:val="20"/>
                <w:szCs w:val="20"/>
              </w:rPr>
            </w:pPr>
            <w:r w:rsidRPr="00191E41">
              <w:rPr>
                <w:sz w:val="20"/>
                <w:szCs w:val="20"/>
              </w:rPr>
              <w:t>22.9</w:t>
            </w:r>
          </w:p>
        </w:tc>
        <w:tc>
          <w:tcPr>
            <w:tcW w:w="889" w:type="dxa"/>
            <w:tcBorders>
              <w:left w:val="single" w:sz="4" w:space="0" w:color="auto"/>
              <w:right w:val="single" w:sz="4" w:space="0" w:color="auto"/>
            </w:tcBorders>
            <w:shd w:val="clear" w:color="auto" w:fill="auto"/>
          </w:tcPr>
          <w:p w14:paraId="5B70A386" w14:textId="77777777" w:rsidR="00191E41" w:rsidRPr="00191E41" w:rsidRDefault="00191E41" w:rsidP="00191E41">
            <w:pPr>
              <w:ind w:right="170"/>
              <w:jc w:val="right"/>
              <w:rPr>
                <w:sz w:val="20"/>
                <w:szCs w:val="20"/>
              </w:rPr>
            </w:pPr>
            <w:r w:rsidRPr="00191E41">
              <w:rPr>
                <w:sz w:val="20"/>
                <w:szCs w:val="20"/>
              </w:rPr>
              <w:t>22.5</w:t>
            </w:r>
          </w:p>
        </w:tc>
      </w:tr>
      <w:tr w:rsidR="00191E41" w:rsidRPr="00191E41" w14:paraId="52227D8C" w14:textId="77777777" w:rsidTr="001E7D79">
        <w:trPr>
          <w:jc w:val="center"/>
        </w:trPr>
        <w:tc>
          <w:tcPr>
            <w:tcW w:w="4455" w:type="dxa"/>
            <w:tcBorders>
              <w:left w:val="single" w:sz="4" w:space="0" w:color="auto"/>
              <w:right w:val="single" w:sz="4" w:space="0" w:color="auto"/>
            </w:tcBorders>
            <w:shd w:val="clear" w:color="auto" w:fill="auto"/>
          </w:tcPr>
          <w:p w14:paraId="6A04330E" w14:textId="77777777" w:rsidR="00191E41" w:rsidRPr="00191E41" w:rsidRDefault="00191E41" w:rsidP="00191E41">
            <w:pPr>
              <w:ind w:left="680"/>
              <w:jc w:val="both"/>
              <w:rPr>
                <w:rFonts w:eastAsia="Times New Roman"/>
                <w:sz w:val="20"/>
                <w:szCs w:val="20"/>
              </w:rPr>
            </w:pPr>
            <w:r w:rsidRPr="00191E41">
              <w:rPr>
                <w:rFonts w:eastAsia="Times New Roman"/>
                <w:sz w:val="20"/>
                <w:szCs w:val="20"/>
              </w:rPr>
              <w:t>PEMEX</w:t>
            </w:r>
          </w:p>
        </w:tc>
        <w:tc>
          <w:tcPr>
            <w:tcW w:w="1440" w:type="dxa"/>
            <w:tcBorders>
              <w:left w:val="single" w:sz="4" w:space="0" w:color="auto"/>
              <w:right w:val="single" w:sz="4" w:space="0" w:color="auto"/>
            </w:tcBorders>
            <w:shd w:val="clear" w:color="auto" w:fill="auto"/>
          </w:tcPr>
          <w:p w14:paraId="3E27950D" w14:textId="77777777" w:rsidR="00191E41" w:rsidRPr="00191E41" w:rsidRDefault="00191E41" w:rsidP="00191E41">
            <w:pPr>
              <w:ind w:right="284"/>
              <w:jc w:val="right"/>
              <w:rPr>
                <w:sz w:val="20"/>
                <w:szCs w:val="20"/>
              </w:rPr>
            </w:pPr>
            <w:r w:rsidRPr="00191E41">
              <w:rPr>
                <w:sz w:val="20"/>
                <w:szCs w:val="20"/>
              </w:rPr>
              <w:t>65 876.4</w:t>
            </w:r>
          </w:p>
        </w:tc>
        <w:tc>
          <w:tcPr>
            <w:tcW w:w="1440" w:type="dxa"/>
            <w:tcBorders>
              <w:left w:val="single" w:sz="4" w:space="0" w:color="auto"/>
              <w:right w:val="single" w:sz="4" w:space="0" w:color="auto"/>
            </w:tcBorders>
            <w:shd w:val="clear" w:color="auto" w:fill="auto"/>
          </w:tcPr>
          <w:p w14:paraId="0F8DDBF5" w14:textId="77777777" w:rsidR="00191E41" w:rsidRPr="00191E41" w:rsidRDefault="00191E41" w:rsidP="00191E41">
            <w:pPr>
              <w:ind w:right="284"/>
              <w:jc w:val="right"/>
              <w:rPr>
                <w:sz w:val="20"/>
                <w:szCs w:val="20"/>
              </w:rPr>
            </w:pPr>
            <w:r w:rsidRPr="00191E41">
              <w:rPr>
                <w:sz w:val="20"/>
                <w:szCs w:val="20"/>
              </w:rPr>
              <w:t>77 199.0</w:t>
            </w:r>
          </w:p>
        </w:tc>
        <w:tc>
          <w:tcPr>
            <w:tcW w:w="900" w:type="dxa"/>
            <w:tcBorders>
              <w:left w:val="single" w:sz="4" w:space="0" w:color="auto"/>
              <w:right w:val="single" w:sz="4" w:space="0" w:color="auto"/>
            </w:tcBorders>
            <w:shd w:val="clear" w:color="auto" w:fill="auto"/>
          </w:tcPr>
          <w:p w14:paraId="503BFD60" w14:textId="77777777" w:rsidR="00191E41" w:rsidRPr="00191E41" w:rsidRDefault="00191E41" w:rsidP="00191E41">
            <w:pPr>
              <w:ind w:right="170"/>
              <w:jc w:val="right"/>
              <w:rPr>
                <w:sz w:val="20"/>
                <w:szCs w:val="20"/>
              </w:rPr>
            </w:pPr>
            <w:r w:rsidRPr="00191E41">
              <w:rPr>
                <w:sz w:val="20"/>
                <w:szCs w:val="20"/>
              </w:rPr>
              <w:t>13.7</w:t>
            </w:r>
          </w:p>
        </w:tc>
        <w:tc>
          <w:tcPr>
            <w:tcW w:w="929" w:type="dxa"/>
            <w:tcBorders>
              <w:left w:val="single" w:sz="4" w:space="0" w:color="auto"/>
              <w:right w:val="single" w:sz="4" w:space="0" w:color="auto"/>
            </w:tcBorders>
            <w:shd w:val="clear" w:color="auto" w:fill="auto"/>
          </w:tcPr>
          <w:p w14:paraId="28742EA2" w14:textId="77777777" w:rsidR="00191E41" w:rsidRPr="00191E41" w:rsidRDefault="00191E41" w:rsidP="00191E41">
            <w:pPr>
              <w:ind w:right="170"/>
              <w:jc w:val="right"/>
              <w:rPr>
                <w:sz w:val="20"/>
                <w:szCs w:val="20"/>
              </w:rPr>
            </w:pPr>
            <w:r w:rsidRPr="00191E41">
              <w:rPr>
                <w:sz w:val="20"/>
                <w:szCs w:val="20"/>
              </w:rPr>
              <w:t>17.4</w:t>
            </w:r>
          </w:p>
        </w:tc>
        <w:tc>
          <w:tcPr>
            <w:tcW w:w="889" w:type="dxa"/>
            <w:tcBorders>
              <w:left w:val="single" w:sz="4" w:space="0" w:color="auto"/>
              <w:right w:val="single" w:sz="4" w:space="0" w:color="auto"/>
            </w:tcBorders>
            <w:shd w:val="clear" w:color="auto" w:fill="auto"/>
          </w:tcPr>
          <w:p w14:paraId="0C2DBFC4" w14:textId="77777777" w:rsidR="00191E41" w:rsidRPr="00191E41" w:rsidRDefault="00191E41" w:rsidP="00191E41">
            <w:pPr>
              <w:ind w:right="170"/>
              <w:jc w:val="right"/>
              <w:rPr>
                <w:sz w:val="20"/>
                <w:szCs w:val="20"/>
              </w:rPr>
            </w:pPr>
            <w:r w:rsidRPr="00191E41">
              <w:rPr>
                <w:sz w:val="20"/>
                <w:szCs w:val="20"/>
              </w:rPr>
              <w:t>16.8</w:t>
            </w:r>
          </w:p>
        </w:tc>
      </w:tr>
      <w:tr w:rsidR="00191E41" w:rsidRPr="00191E41" w14:paraId="3782739B" w14:textId="77777777" w:rsidTr="001E7D79">
        <w:trPr>
          <w:jc w:val="center"/>
        </w:trPr>
        <w:tc>
          <w:tcPr>
            <w:tcW w:w="4455" w:type="dxa"/>
            <w:tcBorders>
              <w:left w:val="single" w:sz="4" w:space="0" w:color="auto"/>
              <w:right w:val="single" w:sz="4" w:space="0" w:color="auto"/>
            </w:tcBorders>
            <w:shd w:val="clear" w:color="auto" w:fill="auto"/>
          </w:tcPr>
          <w:p w14:paraId="1037384F" w14:textId="77777777" w:rsidR="00191E41" w:rsidRPr="00191E41" w:rsidRDefault="00191E41" w:rsidP="00191E41">
            <w:pPr>
              <w:ind w:left="680"/>
              <w:jc w:val="both"/>
              <w:rPr>
                <w:rFonts w:eastAsia="Times New Roman"/>
                <w:sz w:val="20"/>
                <w:szCs w:val="20"/>
              </w:rPr>
            </w:pPr>
            <w:r w:rsidRPr="00191E41">
              <w:rPr>
                <w:rFonts w:eastAsia="Times New Roman"/>
                <w:sz w:val="20"/>
                <w:szCs w:val="20"/>
              </w:rPr>
              <w:t>CFE</w:t>
            </w:r>
          </w:p>
        </w:tc>
        <w:tc>
          <w:tcPr>
            <w:tcW w:w="1440" w:type="dxa"/>
            <w:tcBorders>
              <w:left w:val="single" w:sz="4" w:space="0" w:color="auto"/>
              <w:right w:val="single" w:sz="4" w:space="0" w:color="auto"/>
            </w:tcBorders>
            <w:shd w:val="clear" w:color="auto" w:fill="auto"/>
          </w:tcPr>
          <w:p w14:paraId="3177D703" w14:textId="77777777" w:rsidR="00191E41" w:rsidRPr="00191E41" w:rsidRDefault="00191E41" w:rsidP="00191E41">
            <w:pPr>
              <w:ind w:right="284"/>
              <w:jc w:val="right"/>
              <w:rPr>
                <w:sz w:val="20"/>
                <w:szCs w:val="20"/>
              </w:rPr>
            </w:pPr>
            <w:r w:rsidRPr="00191E41">
              <w:rPr>
                <w:sz w:val="20"/>
                <w:szCs w:val="20"/>
              </w:rPr>
              <w:t>20 651.4</w:t>
            </w:r>
          </w:p>
        </w:tc>
        <w:tc>
          <w:tcPr>
            <w:tcW w:w="1440" w:type="dxa"/>
            <w:tcBorders>
              <w:left w:val="single" w:sz="4" w:space="0" w:color="auto"/>
              <w:right w:val="single" w:sz="4" w:space="0" w:color="auto"/>
            </w:tcBorders>
            <w:shd w:val="clear" w:color="auto" w:fill="auto"/>
          </w:tcPr>
          <w:p w14:paraId="5D805D4A" w14:textId="77777777" w:rsidR="00191E41" w:rsidRPr="00191E41" w:rsidRDefault="00191E41" w:rsidP="00191E41">
            <w:pPr>
              <w:ind w:right="284"/>
              <w:jc w:val="right"/>
              <w:rPr>
                <w:sz w:val="20"/>
                <w:szCs w:val="20"/>
              </w:rPr>
            </w:pPr>
            <w:r w:rsidRPr="00191E41">
              <w:rPr>
                <w:sz w:val="20"/>
                <w:szCs w:val="20"/>
              </w:rPr>
              <w:t>26 542.7</w:t>
            </w:r>
          </w:p>
        </w:tc>
        <w:tc>
          <w:tcPr>
            <w:tcW w:w="900" w:type="dxa"/>
            <w:tcBorders>
              <w:left w:val="single" w:sz="4" w:space="0" w:color="auto"/>
              <w:right w:val="single" w:sz="4" w:space="0" w:color="auto"/>
            </w:tcBorders>
            <w:shd w:val="clear" w:color="auto" w:fill="auto"/>
          </w:tcPr>
          <w:p w14:paraId="2087B980" w14:textId="77777777" w:rsidR="00191E41" w:rsidRPr="00191E41" w:rsidRDefault="00191E41" w:rsidP="00191E41">
            <w:pPr>
              <w:ind w:right="170"/>
              <w:jc w:val="right"/>
              <w:rPr>
                <w:sz w:val="20"/>
                <w:szCs w:val="20"/>
              </w:rPr>
            </w:pPr>
            <w:r w:rsidRPr="00191E41">
              <w:rPr>
                <w:sz w:val="20"/>
                <w:szCs w:val="20"/>
              </w:rPr>
              <w:t>24.7</w:t>
            </w:r>
          </w:p>
        </w:tc>
        <w:tc>
          <w:tcPr>
            <w:tcW w:w="929" w:type="dxa"/>
            <w:tcBorders>
              <w:left w:val="single" w:sz="4" w:space="0" w:color="auto"/>
              <w:right w:val="single" w:sz="4" w:space="0" w:color="auto"/>
            </w:tcBorders>
            <w:shd w:val="clear" w:color="auto" w:fill="auto"/>
          </w:tcPr>
          <w:p w14:paraId="11E42045" w14:textId="77777777" w:rsidR="00191E41" w:rsidRPr="00191E41" w:rsidRDefault="00191E41" w:rsidP="00191E41">
            <w:pPr>
              <w:ind w:right="170"/>
              <w:jc w:val="right"/>
              <w:rPr>
                <w:sz w:val="20"/>
                <w:szCs w:val="20"/>
              </w:rPr>
            </w:pPr>
            <w:r w:rsidRPr="00191E41">
              <w:rPr>
                <w:sz w:val="20"/>
                <w:szCs w:val="20"/>
              </w:rPr>
              <w:t>5.5</w:t>
            </w:r>
          </w:p>
        </w:tc>
        <w:tc>
          <w:tcPr>
            <w:tcW w:w="889" w:type="dxa"/>
            <w:tcBorders>
              <w:left w:val="single" w:sz="4" w:space="0" w:color="auto"/>
              <w:right w:val="single" w:sz="4" w:space="0" w:color="auto"/>
            </w:tcBorders>
            <w:shd w:val="clear" w:color="auto" w:fill="auto"/>
          </w:tcPr>
          <w:p w14:paraId="77B6B674" w14:textId="77777777" w:rsidR="00191E41" w:rsidRPr="00191E41" w:rsidRDefault="00191E41" w:rsidP="00191E41">
            <w:pPr>
              <w:ind w:right="170"/>
              <w:jc w:val="right"/>
              <w:rPr>
                <w:sz w:val="20"/>
                <w:szCs w:val="20"/>
              </w:rPr>
            </w:pPr>
            <w:r w:rsidRPr="00191E41">
              <w:rPr>
                <w:sz w:val="20"/>
                <w:szCs w:val="20"/>
              </w:rPr>
              <w:t>5.8</w:t>
            </w:r>
          </w:p>
        </w:tc>
      </w:tr>
      <w:tr w:rsidR="00191E41" w:rsidRPr="00191E41" w14:paraId="4493F70F" w14:textId="77777777" w:rsidTr="001E7D79">
        <w:trPr>
          <w:jc w:val="center"/>
        </w:trPr>
        <w:tc>
          <w:tcPr>
            <w:tcW w:w="4455" w:type="dxa"/>
            <w:tcBorders>
              <w:left w:val="single" w:sz="4" w:space="0" w:color="auto"/>
              <w:right w:val="single" w:sz="4" w:space="0" w:color="auto"/>
            </w:tcBorders>
            <w:shd w:val="clear" w:color="auto" w:fill="auto"/>
          </w:tcPr>
          <w:p w14:paraId="2299D7B4" w14:textId="77777777" w:rsidR="00191E41" w:rsidRPr="00191E41" w:rsidRDefault="00191E41" w:rsidP="00191E41">
            <w:pPr>
              <w:ind w:left="510"/>
              <w:jc w:val="both"/>
              <w:rPr>
                <w:rFonts w:eastAsia="Times New Roman"/>
                <w:sz w:val="20"/>
                <w:szCs w:val="20"/>
              </w:rPr>
            </w:pPr>
            <w:r w:rsidRPr="00191E41">
              <w:rPr>
                <w:rFonts w:eastAsia="Times New Roman"/>
                <w:sz w:val="20"/>
                <w:szCs w:val="20"/>
              </w:rPr>
              <w:t>(-) Operaciones compensadas</w:t>
            </w:r>
          </w:p>
        </w:tc>
        <w:tc>
          <w:tcPr>
            <w:tcW w:w="1440" w:type="dxa"/>
            <w:tcBorders>
              <w:left w:val="single" w:sz="4" w:space="0" w:color="auto"/>
              <w:right w:val="single" w:sz="4" w:space="0" w:color="auto"/>
            </w:tcBorders>
            <w:shd w:val="clear" w:color="auto" w:fill="auto"/>
          </w:tcPr>
          <w:p w14:paraId="02F4D86E" w14:textId="77777777" w:rsidR="00191E41" w:rsidRPr="00191E41" w:rsidRDefault="00191E41" w:rsidP="00191E41">
            <w:pPr>
              <w:ind w:right="284"/>
              <w:jc w:val="right"/>
              <w:rPr>
                <w:sz w:val="20"/>
                <w:szCs w:val="20"/>
              </w:rPr>
            </w:pPr>
            <w:r w:rsidRPr="00191E41">
              <w:rPr>
                <w:sz w:val="20"/>
                <w:szCs w:val="20"/>
              </w:rPr>
              <w:t>60 561.3</w:t>
            </w:r>
          </w:p>
        </w:tc>
        <w:tc>
          <w:tcPr>
            <w:tcW w:w="1440" w:type="dxa"/>
            <w:tcBorders>
              <w:left w:val="single" w:sz="4" w:space="0" w:color="auto"/>
              <w:right w:val="single" w:sz="4" w:space="0" w:color="auto"/>
            </w:tcBorders>
            <w:shd w:val="clear" w:color="auto" w:fill="auto"/>
          </w:tcPr>
          <w:p w14:paraId="061FA4BE" w14:textId="77777777" w:rsidR="00191E41" w:rsidRPr="00191E41" w:rsidRDefault="00191E41" w:rsidP="00191E41">
            <w:pPr>
              <w:ind w:right="284"/>
              <w:jc w:val="right"/>
              <w:rPr>
                <w:sz w:val="20"/>
                <w:szCs w:val="20"/>
              </w:rPr>
            </w:pPr>
            <w:r w:rsidRPr="00191E41">
              <w:rPr>
                <w:sz w:val="20"/>
                <w:szCs w:val="20"/>
              </w:rPr>
              <w:t>66 534.4</w:t>
            </w:r>
          </w:p>
        </w:tc>
        <w:tc>
          <w:tcPr>
            <w:tcW w:w="900" w:type="dxa"/>
            <w:tcBorders>
              <w:left w:val="single" w:sz="4" w:space="0" w:color="auto"/>
              <w:right w:val="single" w:sz="4" w:space="0" w:color="auto"/>
            </w:tcBorders>
            <w:shd w:val="clear" w:color="auto" w:fill="auto"/>
          </w:tcPr>
          <w:p w14:paraId="06FFCA05" w14:textId="77777777" w:rsidR="00191E41" w:rsidRPr="00191E41" w:rsidRDefault="00191E41" w:rsidP="00191E41">
            <w:pPr>
              <w:ind w:right="170"/>
              <w:jc w:val="right"/>
              <w:rPr>
                <w:sz w:val="20"/>
                <w:szCs w:val="20"/>
              </w:rPr>
            </w:pPr>
            <w:r w:rsidRPr="00191E41">
              <w:rPr>
                <w:sz w:val="20"/>
                <w:szCs w:val="20"/>
              </w:rPr>
              <w:t>6.6</w:t>
            </w:r>
          </w:p>
        </w:tc>
        <w:tc>
          <w:tcPr>
            <w:tcW w:w="929" w:type="dxa"/>
            <w:tcBorders>
              <w:left w:val="single" w:sz="4" w:space="0" w:color="auto"/>
              <w:right w:val="single" w:sz="4" w:space="0" w:color="auto"/>
            </w:tcBorders>
            <w:shd w:val="clear" w:color="auto" w:fill="auto"/>
          </w:tcPr>
          <w:p w14:paraId="1DF5E6BE" w14:textId="77777777" w:rsidR="00191E41" w:rsidRPr="00191E41" w:rsidRDefault="00191E41" w:rsidP="00191E41">
            <w:pPr>
              <w:ind w:right="170"/>
              <w:jc w:val="right"/>
              <w:rPr>
                <w:sz w:val="20"/>
                <w:szCs w:val="20"/>
              </w:rPr>
            </w:pPr>
            <w:r w:rsidRPr="00191E41">
              <w:rPr>
                <w:sz w:val="20"/>
                <w:szCs w:val="20"/>
              </w:rPr>
              <w:t>16.0</w:t>
            </w:r>
          </w:p>
        </w:tc>
        <w:tc>
          <w:tcPr>
            <w:tcW w:w="889" w:type="dxa"/>
            <w:tcBorders>
              <w:left w:val="single" w:sz="4" w:space="0" w:color="auto"/>
              <w:right w:val="single" w:sz="4" w:space="0" w:color="auto"/>
            </w:tcBorders>
            <w:shd w:val="clear" w:color="auto" w:fill="auto"/>
          </w:tcPr>
          <w:p w14:paraId="7DA1D5CC" w14:textId="576134E1" w:rsidR="00191E41" w:rsidRPr="00191E41" w:rsidRDefault="00191E41" w:rsidP="00CB7BE4">
            <w:pPr>
              <w:ind w:right="170"/>
              <w:jc w:val="right"/>
              <w:rPr>
                <w:sz w:val="20"/>
                <w:szCs w:val="20"/>
              </w:rPr>
            </w:pPr>
            <w:r w:rsidRPr="00191E41">
              <w:rPr>
                <w:sz w:val="20"/>
                <w:szCs w:val="20"/>
              </w:rPr>
              <w:t>14</w:t>
            </w:r>
            <w:r w:rsidR="00CB7BE4">
              <w:rPr>
                <w:sz w:val="20"/>
                <w:szCs w:val="20"/>
              </w:rPr>
              <w:t>.4</w:t>
            </w:r>
          </w:p>
        </w:tc>
      </w:tr>
      <w:tr w:rsidR="00191E41" w:rsidRPr="00191E41" w14:paraId="3E4D5947" w14:textId="77777777" w:rsidTr="001E7D79">
        <w:trPr>
          <w:jc w:val="center"/>
        </w:trPr>
        <w:tc>
          <w:tcPr>
            <w:tcW w:w="4455" w:type="dxa"/>
            <w:tcBorders>
              <w:left w:val="single" w:sz="4" w:space="0" w:color="auto"/>
              <w:right w:val="single" w:sz="4" w:space="0" w:color="auto"/>
            </w:tcBorders>
            <w:shd w:val="clear" w:color="auto" w:fill="auto"/>
          </w:tcPr>
          <w:p w14:paraId="7B79CF57" w14:textId="77777777" w:rsidR="00191E41" w:rsidRPr="00191E41" w:rsidRDefault="00191E41" w:rsidP="00191E41">
            <w:pPr>
              <w:ind w:left="284"/>
              <w:jc w:val="both"/>
              <w:rPr>
                <w:rFonts w:eastAsia="Times New Roman"/>
                <w:sz w:val="20"/>
                <w:szCs w:val="20"/>
              </w:rPr>
            </w:pPr>
            <w:r w:rsidRPr="00191E41">
              <w:rPr>
                <w:rFonts w:eastAsia="Times New Roman"/>
                <w:sz w:val="20"/>
                <w:szCs w:val="20"/>
              </w:rPr>
              <w:t>b) No programable</w:t>
            </w:r>
          </w:p>
        </w:tc>
        <w:tc>
          <w:tcPr>
            <w:tcW w:w="1440" w:type="dxa"/>
            <w:tcBorders>
              <w:left w:val="single" w:sz="4" w:space="0" w:color="auto"/>
              <w:right w:val="single" w:sz="4" w:space="0" w:color="auto"/>
            </w:tcBorders>
            <w:shd w:val="clear" w:color="auto" w:fill="auto"/>
          </w:tcPr>
          <w:p w14:paraId="0B143518" w14:textId="77777777" w:rsidR="00191E41" w:rsidRPr="00191E41" w:rsidRDefault="00191E41" w:rsidP="00191E41">
            <w:pPr>
              <w:ind w:right="284"/>
              <w:jc w:val="right"/>
              <w:rPr>
                <w:sz w:val="20"/>
                <w:szCs w:val="20"/>
              </w:rPr>
            </w:pPr>
            <w:r w:rsidRPr="00191E41">
              <w:rPr>
                <w:sz w:val="20"/>
                <w:szCs w:val="20"/>
              </w:rPr>
              <w:t>76 649.8</w:t>
            </w:r>
          </w:p>
        </w:tc>
        <w:tc>
          <w:tcPr>
            <w:tcW w:w="1440" w:type="dxa"/>
            <w:tcBorders>
              <w:left w:val="single" w:sz="4" w:space="0" w:color="auto"/>
              <w:right w:val="single" w:sz="4" w:space="0" w:color="auto"/>
            </w:tcBorders>
            <w:shd w:val="clear" w:color="auto" w:fill="auto"/>
          </w:tcPr>
          <w:p w14:paraId="21459032" w14:textId="77777777" w:rsidR="00191E41" w:rsidRPr="00191E41" w:rsidRDefault="00191E41" w:rsidP="00191E41">
            <w:pPr>
              <w:ind w:right="284"/>
              <w:jc w:val="right"/>
              <w:rPr>
                <w:sz w:val="20"/>
                <w:szCs w:val="20"/>
              </w:rPr>
            </w:pPr>
            <w:r w:rsidRPr="00191E41">
              <w:rPr>
                <w:sz w:val="20"/>
                <w:szCs w:val="20"/>
              </w:rPr>
              <w:t>74 106.6</w:t>
            </w:r>
          </w:p>
        </w:tc>
        <w:tc>
          <w:tcPr>
            <w:tcW w:w="900" w:type="dxa"/>
            <w:tcBorders>
              <w:left w:val="single" w:sz="4" w:space="0" w:color="auto"/>
              <w:right w:val="single" w:sz="4" w:space="0" w:color="auto"/>
            </w:tcBorders>
            <w:shd w:val="clear" w:color="auto" w:fill="auto"/>
          </w:tcPr>
          <w:p w14:paraId="04B983AB" w14:textId="77777777" w:rsidR="00191E41" w:rsidRPr="00191E41" w:rsidRDefault="00191E41" w:rsidP="00191E41">
            <w:pPr>
              <w:ind w:right="170"/>
              <w:jc w:val="right"/>
              <w:rPr>
                <w:sz w:val="20"/>
                <w:szCs w:val="20"/>
              </w:rPr>
            </w:pPr>
            <w:r w:rsidRPr="00191E41">
              <w:rPr>
                <w:sz w:val="20"/>
                <w:szCs w:val="20"/>
              </w:rPr>
              <w:t>-6.2</w:t>
            </w:r>
          </w:p>
        </w:tc>
        <w:tc>
          <w:tcPr>
            <w:tcW w:w="929" w:type="dxa"/>
            <w:tcBorders>
              <w:left w:val="single" w:sz="4" w:space="0" w:color="auto"/>
              <w:right w:val="single" w:sz="4" w:space="0" w:color="auto"/>
            </w:tcBorders>
            <w:shd w:val="clear" w:color="auto" w:fill="auto"/>
          </w:tcPr>
          <w:p w14:paraId="5BFCDEC2" w14:textId="77777777" w:rsidR="00191E41" w:rsidRPr="00191E41" w:rsidRDefault="00191E41" w:rsidP="00191E41">
            <w:pPr>
              <w:ind w:right="170"/>
              <w:jc w:val="right"/>
              <w:rPr>
                <w:sz w:val="20"/>
                <w:szCs w:val="20"/>
              </w:rPr>
            </w:pPr>
            <w:r w:rsidRPr="00191E41">
              <w:rPr>
                <w:sz w:val="20"/>
                <w:szCs w:val="20"/>
              </w:rPr>
              <w:t>20.2</w:t>
            </w:r>
          </w:p>
        </w:tc>
        <w:tc>
          <w:tcPr>
            <w:tcW w:w="889" w:type="dxa"/>
            <w:tcBorders>
              <w:left w:val="single" w:sz="4" w:space="0" w:color="auto"/>
              <w:right w:val="single" w:sz="4" w:space="0" w:color="auto"/>
            </w:tcBorders>
            <w:shd w:val="clear" w:color="auto" w:fill="auto"/>
          </w:tcPr>
          <w:p w14:paraId="0EFA95B1" w14:textId="77777777" w:rsidR="00191E41" w:rsidRPr="00191E41" w:rsidRDefault="00191E41" w:rsidP="00191E41">
            <w:pPr>
              <w:ind w:right="170"/>
              <w:jc w:val="right"/>
              <w:rPr>
                <w:sz w:val="20"/>
                <w:szCs w:val="20"/>
              </w:rPr>
            </w:pPr>
            <w:r w:rsidRPr="00191E41">
              <w:rPr>
                <w:sz w:val="20"/>
                <w:szCs w:val="20"/>
              </w:rPr>
              <w:t>16.1</w:t>
            </w:r>
          </w:p>
        </w:tc>
      </w:tr>
      <w:tr w:rsidR="00191E41" w:rsidRPr="00191E41" w14:paraId="3A984616" w14:textId="77777777" w:rsidTr="001E7D79">
        <w:trPr>
          <w:jc w:val="center"/>
        </w:trPr>
        <w:tc>
          <w:tcPr>
            <w:tcW w:w="4455" w:type="dxa"/>
            <w:tcBorders>
              <w:left w:val="single" w:sz="4" w:space="0" w:color="auto"/>
              <w:right w:val="single" w:sz="4" w:space="0" w:color="auto"/>
            </w:tcBorders>
            <w:shd w:val="clear" w:color="auto" w:fill="auto"/>
          </w:tcPr>
          <w:p w14:paraId="3866D88D" w14:textId="7CEBD7E0" w:rsidR="00191E41" w:rsidRPr="00191E41" w:rsidRDefault="00CB7BE4" w:rsidP="00191E41">
            <w:pPr>
              <w:ind w:left="510"/>
              <w:jc w:val="both"/>
              <w:rPr>
                <w:rFonts w:eastAsia="Times New Roman"/>
                <w:sz w:val="20"/>
                <w:szCs w:val="20"/>
              </w:rPr>
            </w:pPr>
            <w:r w:rsidRPr="00191E41">
              <w:rPr>
                <w:rFonts w:eastAsia="Times New Roman"/>
                <w:sz w:val="20"/>
                <w:szCs w:val="20"/>
              </w:rPr>
              <w:t>P</w:t>
            </w:r>
            <w:r w:rsidR="00191E41" w:rsidRPr="00191E41">
              <w:rPr>
                <w:rFonts w:eastAsia="Times New Roman"/>
                <w:sz w:val="20"/>
                <w:szCs w:val="20"/>
              </w:rPr>
              <w:t>articipaciones</w:t>
            </w:r>
          </w:p>
        </w:tc>
        <w:tc>
          <w:tcPr>
            <w:tcW w:w="1440" w:type="dxa"/>
            <w:tcBorders>
              <w:left w:val="single" w:sz="4" w:space="0" w:color="auto"/>
              <w:right w:val="single" w:sz="4" w:space="0" w:color="auto"/>
            </w:tcBorders>
            <w:shd w:val="clear" w:color="auto" w:fill="auto"/>
          </w:tcPr>
          <w:p w14:paraId="5C8E784E" w14:textId="77777777" w:rsidR="00191E41" w:rsidRPr="00191E41" w:rsidRDefault="00191E41" w:rsidP="00191E41">
            <w:pPr>
              <w:ind w:right="284"/>
              <w:jc w:val="right"/>
              <w:rPr>
                <w:sz w:val="20"/>
                <w:szCs w:val="20"/>
              </w:rPr>
            </w:pPr>
            <w:r w:rsidRPr="00191E41">
              <w:rPr>
                <w:sz w:val="20"/>
                <w:szCs w:val="20"/>
              </w:rPr>
              <w:t>52 192.6</w:t>
            </w:r>
          </w:p>
        </w:tc>
        <w:tc>
          <w:tcPr>
            <w:tcW w:w="1440" w:type="dxa"/>
            <w:tcBorders>
              <w:left w:val="single" w:sz="4" w:space="0" w:color="auto"/>
              <w:right w:val="single" w:sz="4" w:space="0" w:color="auto"/>
            </w:tcBorders>
            <w:shd w:val="clear" w:color="auto" w:fill="auto"/>
          </w:tcPr>
          <w:p w14:paraId="60AA356E" w14:textId="77777777" w:rsidR="00191E41" w:rsidRPr="00191E41" w:rsidRDefault="00191E41" w:rsidP="00191E41">
            <w:pPr>
              <w:ind w:right="284"/>
              <w:jc w:val="right"/>
              <w:rPr>
                <w:sz w:val="20"/>
                <w:szCs w:val="20"/>
              </w:rPr>
            </w:pPr>
            <w:r w:rsidRPr="00191E41">
              <w:rPr>
                <w:sz w:val="20"/>
                <w:szCs w:val="20"/>
              </w:rPr>
              <w:t>50 862.4</w:t>
            </w:r>
          </w:p>
        </w:tc>
        <w:tc>
          <w:tcPr>
            <w:tcW w:w="900" w:type="dxa"/>
            <w:tcBorders>
              <w:left w:val="single" w:sz="4" w:space="0" w:color="auto"/>
              <w:right w:val="single" w:sz="4" w:space="0" w:color="auto"/>
            </w:tcBorders>
            <w:shd w:val="clear" w:color="auto" w:fill="auto"/>
          </w:tcPr>
          <w:p w14:paraId="7CD0A8C8" w14:textId="77777777" w:rsidR="00191E41" w:rsidRPr="00191E41" w:rsidRDefault="00191E41" w:rsidP="00191E41">
            <w:pPr>
              <w:ind w:right="170"/>
              <w:jc w:val="right"/>
              <w:rPr>
                <w:sz w:val="20"/>
                <w:szCs w:val="20"/>
              </w:rPr>
            </w:pPr>
            <w:r w:rsidRPr="00191E41">
              <w:rPr>
                <w:sz w:val="20"/>
                <w:szCs w:val="20"/>
              </w:rPr>
              <w:t>-5.4</w:t>
            </w:r>
          </w:p>
        </w:tc>
        <w:tc>
          <w:tcPr>
            <w:tcW w:w="929" w:type="dxa"/>
            <w:tcBorders>
              <w:left w:val="single" w:sz="4" w:space="0" w:color="auto"/>
              <w:right w:val="single" w:sz="4" w:space="0" w:color="auto"/>
            </w:tcBorders>
            <w:shd w:val="clear" w:color="auto" w:fill="auto"/>
          </w:tcPr>
          <w:p w14:paraId="6BE7E91B" w14:textId="77777777" w:rsidR="00191E41" w:rsidRPr="00191E41" w:rsidRDefault="00191E41" w:rsidP="00191E41">
            <w:pPr>
              <w:ind w:right="170"/>
              <w:jc w:val="right"/>
              <w:rPr>
                <w:sz w:val="20"/>
                <w:szCs w:val="20"/>
              </w:rPr>
            </w:pPr>
            <w:r w:rsidRPr="00191E41">
              <w:rPr>
                <w:sz w:val="20"/>
                <w:szCs w:val="20"/>
              </w:rPr>
              <w:t>13.8</w:t>
            </w:r>
          </w:p>
        </w:tc>
        <w:tc>
          <w:tcPr>
            <w:tcW w:w="889" w:type="dxa"/>
            <w:tcBorders>
              <w:left w:val="single" w:sz="4" w:space="0" w:color="auto"/>
              <w:right w:val="single" w:sz="4" w:space="0" w:color="auto"/>
            </w:tcBorders>
            <w:shd w:val="clear" w:color="auto" w:fill="auto"/>
          </w:tcPr>
          <w:p w14:paraId="3AE692BE" w14:textId="77777777" w:rsidR="00191E41" w:rsidRPr="00191E41" w:rsidRDefault="00191E41" w:rsidP="00191E41">
            <w:pPr>
              <w:ind w:right="170"/>
              <w:jc w:val="right"/>
              <w:rPr>
                <w:sz w:val="20"/>
                <w:szCs w:val="20"/>
              </w:rPr>
            </w:pPr>
            <w:r w:rsidRPr="00191E41">
              <w:rPr>
                <w:sz w:val="20"/>
                <w:szCs w:val="20"/>
              </w:rPr>
              <w:t>11.0</w:t>
            </w:r>
          </w:p>
        </w:tc>
      </w:tr>
      <w:tr w:rsidR="00191E41" w:rsidRPr="00191E41" w14:paraId="562E375F" w14:textId="77777777" w:rsidTr="001E7D79">
        <w:trPr>
          <w:jc w:val="center"/>
        </w:trPr>
        <w:tc>
          <w:tcPr>
            <w:tcW w:w="4455" w:type="dxa"/>
            <w:tcBorders>
              <w:left w:val="single" w:sz="4" w:space="0" w:color="auto"/>
              <w:right w:val="single" w:sz="4" w:space="0" w:color="auto"/>
            </w:tcBorders>
            <w:shd w:val="clear" w:color="auto" w:fill="auto"/>
          </w:tcPr>
          <w:p w14:paraId="7EC58345" w14:textId="77777777" w:rsidR="00191E41" w:rsidRPr="00191E41" w:rsidRDefault="00191E41" w:rsidP="00191E41">
            <w:pPr>
              <w:ind w:left="510"/>
              <w:jc w:val="both"/>
              <w:rPr>
                <w:rFonts w:eastAsia="Times New Roman"/>
                <w:sz w:val="20"/>
                <w:szCs w:val="20"/>
              </w:rPr>
            </w:pPr>
            <w:r w:rsidRPr="00191E41">
              <w:rPr>
                <w:rFonts w:eastAsia="Times New Roman"/>
                <w:sz w:val="20"/>
                <w:szCs w:val="20"/>
              </w:rPr>
              <w:t>Adefas y otros</w:t>
            </w:r>
          </w:p>
        </w:tc>
        <w:tc>
          <w:tcPr>
            <w:tcW w:w="1440" w:type="dxa"/>
            <w:tcBorders>
              <w:left w:val="single" w:sz="4" w:space="0" w:color="auto"/>
              <w:right w:val="single" w:sz="4" w:space="0" w:color="auto"/>
            </w:tcBorders>
            <w:shd w:val="clear" w:color="auto" w:fill="auto"/>
          </w:tcPr>
          <w:p w14:paraId="7A49E0A1" w14:textId="77777777" w:rsidR="00191E41" w:rsidRPr="00191E41" w:rsidRDefault="00191E41" w:rsidP="00191E41">
            <w:pPr>
              <w:ind w:right="284"/>
              <w:jc w:val="right"/>
              <w:rPr>
                <w:sz w:val="20"/>
                <w:szCs w:val="20"/>
              </w:rPr>
            </w:pPr>
            <w:r w:rsidRPr="00191E41">
              <w:rPr>
                <w:sz w:val="20"/>
                <w:szCs w:val="20"/>
              </w:rPr>
              <w:t>24 457.3</w:t>
            </w:r>
          </w:p>
        </w:tc>
        <w:tc>
          <w:tcPr>
            <w:tcW w:w="1440" w:type="dxa"/>
            <w:tcBorders>
              <w:left w:val="single" w:sz="4" w:space="0" w:color="auto"/>
              <w:right w:val="single" w:sz="4" w:space="0" w:color="auto"/>
            </w:tcBorders>
            <w:shd w:val="clear" w:color="auto" w:fill="auto"/>
          </w:tcPr>
          <w:p w14:paraId="7F3B7659" w14:textId="77777777" w:rsidR="00191E41" w:rsidRPr="00191E41" w:rsidRDefault="00191E41" w:rsidP="00191E41">
            <w:pPr>
              <w:ind w:right="284"/>
              <w:jc w:val="right"/>
              <w:rPr>
                <w:sz w:val="20"/>
                <w:szCs w:val="20"/>
              </w:rPr>
            </w:pPr>
            <w:r w:rsidRPr="00191E41">
              <w:rPr>
                <w:sz w:val="20"/>
                <w:szCs w:val="20"/>
              </w:rPr>
              <w:t>23 244.3</w:t>
            </w:r>
          </w:p>
        </w:tc>
        <w:tc>
          <w:tcPr>
            <w:tcW w:w="900" w:type="dxa"/>
            <w:tcBorders>
              <w:left w:val="single" w:sz="4" w:space="0" w:color="auto"/>
              <w:right w:val="single" w:sz="4" w:space="0" w:color="auto"/>
            </w:tcBorders>
            <w:shd w:val="clear" w:color="auto" w:fill="auto"/>
          </w:tcPr>
          <w:p w14:paraId="273829E5" w14:textId="77777777" w:rsidR="00191E41" w:rsidRPr="00191E41" w:rsidRDefault="00191E41" w:rsidP="00191E41">
            <w:pPr>
              <w:ind w:right="170"/>
              <w:jc w:val="right"/>
              <w:rPr>
                <w:sz w:val="20"/>
                <w:szCs w:val="20"/>
              </w:rPr>
            </w:pPr>
            <w:r w:rsidRPr="00191E41">
              <w:rPr>
                <w:sz w:val="20"/>
                <w:szCs w:val="20"/>
              </w:rPr>
              <w:t>-7.8</w:t>
            </w:r>
          </w:p>
        </w:tc>
        <w:tc>
          <w:tcPr>
            <w:tcW w:w="929" w:type="dxa"/>
            <w:tcBorders>
              <w:left w:val="single" w:sz="4" w:space="0" w:color="auto"/>
              <w:right w:val="single" w:sz="4" w:space="0" w:color="auto"/>
            </w:tcBorders>
            <w:shd w:val="clear" w:color="auto" w:fill="auto"/>
          </w:tcPr>
          <w:p w14:paraId="30AC0FE2" w14:textId="77777777" w:rsidR="00191E41" w:rsidRPr="00191E41" w:rsidRDefault="00191E41" w:rsidP="00191E41">
            <w:pPr>
              <w:ind w:right="170"/>
              <w:jc w:val="right"/>
              <w:rPr>
                <w:sz w:val="20"/>
                <w:szCs w:val="20"/>
              </w:rPr>
            </w:pPr>
            <w:r w:rsidRPr="00191E41">
              <w:rPr>
                <w:sz w:val="20"/>
                <w:szCs w:val="20"/>
              </w:rPr>
              <w:t>6.5</w:t>
            </w:r>
          </w:p>
        </w:tc>
        <w:tc>
          <w:tcPr>
            <w:tcW w:w="889" w:type="dxa"/>
            <w:tcBorders>
              <w:left w:val="single" w:sz="4" w:space="0" w:color="auto"/>
              <w:right w:val="single" w:sz="4" w:space="0" w:color="auto"/>
            </w:tcBorders>
            <w:shd w:val="clear" w:color="auto" w:fill="auto"/>
          </w:tcPr>
          <w:p w14:paraId="53EA14D6" w14:textId="77777777" w:rsidR="00191E41" w:rsidRPr="00191E41" w:rsidRDefault="00191E41" w:rsidP="00191E41">
            <w:pPr>
              <w:ind w:right="170"/>
              <w:jc w:val="right"/>
              <w:rPr>
                <w:sz w:val="20"/>
                <w:szCs w:val="20"/>
              </w:rPr>
            </w:pPr>
            <w:r w:rsidRPr="00191E41">
              <w:rPr>
                <w:sz w:val="20"/>
                <w:szCs w:val="20"/>
              </w:rPr>
              <w:t>5.0</w:t>
            </w:r>
          </w:p>
        </w:tc>
      </w:tr>
      <w:tr w:rsidR="00191E41" w:rsidRPr="00191E41" w14:paraId="524D0F5F" w14:textId="77777777" w:rsidTr="001E7D79">
        <w:trPr>
          <w:jc w:val="center"/>
        </w:trPr>
        <w:tc>
          <w:tcPr>
            <w:tcW w:w="4455" w:type="dxa"/>
            <w:tcBorders>
              <w:left w:val="single" w:sz="4" w:space="0" w:color="auto"/>
              <w:bottom w:val="single" w:sz="4" w:space="0" w:color="auto"/>
              <w:right w:val="single" w:sz="4" w:space="0" w:color="auto"/>
            </w:tcBorders>
            <w:shd w:val="clear" w:color="auto" w:fill="auto"/>
          </w:tcPr>
          <w:p w14:paraId="460F2B5A" w14:textId="77777777" w:rsidR="00191E41" w:rsidRPr="00191E41" w:rsidRDefault="00191E41" w:rsidP="00191E41">
            <w:pPr>
              <w:ind w:left="113"/>
              <w:jc w:val="both"/>
              <w:rPr>
                <w:rFonts w:eastAsia="Times New Roman"/>
                <w:sz w:val="20"/>
                <w:szCs w:val="20"/>
              </w:rPr>
            </w:pPr>
            <w:r w:rsidRPr="00191E41">
              <w:rPr>
                <w:rFonts w:eastAsia="Times New Roman"/>
                <w:sz w:val="20"/>
                <w:szCs w:val="20"/>
              </w:rPr>
              <w:t>II. Costo financiero</w:t>
            </w:r>
            <w:r w:rsidRPr="00191E41">
              <w:rPr>
                <w:rFonts w:eastAsia="Times New Roman"/>
                <w:sz w:val="20"/>
                <w:szCs w:val="20"/>
                <w:u w:val="single"/>
                <w:vertAlign w:val="superscript"/>
              </w:rPr>
              <w:t>1</w:t>
            </w:r>
            <w:r w:rsidRPr="00191E41">
              <w:rPr>
                <w:rFonts w:eastAsia="Times New Roman"/>
                <w:sz w:val="20"/>
                <w:szCs w:val="20"/>
                <w:vertAlign w:val="superscript"/>
              </w:rPr>
              <w:t>/</w:t>
            </w:r>
          </w:p>
        </w:tc>
        <w:tc>
          <w:tcPr>
            <w:tcW w:w="1440" w:type="dxa"/>
            <w:tcBorders>
              <w:left w:val="single" w:sz="4" w:space="0" w:color="auto"/>
              <w:bottom w:val="single" w:sz="4" w:space="0" w:color="auto"/>
              <w:right w:val="single" w:sz="4" w:space="0" w:color="auto"/>
            </w:tcBorders>
            <w:shd w:val="clear" w:color="auto" w:fill="auto"/>
          </w:tcPr>
          <w:p w14:paraId="4EFEEE7E" w14:textId="77777777" w:rsidR="00191E41" w:rsidRPr="00191E41" w:rsidRDefault="00191E41" w:rsidP="00191E41">
            <w:pPr>
              <w:ind w:right="284"/>
              <w:jc w:val="right"/>
              <w:rPr>
                <w:sz w:val="20"/>
                <w:szCs w:val="20"/>
              </w:rPr>
            </w:pPr>
            <w:r w:rsidRPr="00191E41">
              <w:rPr>
                <w:sz w:val="20"/>
                <w:szCs w:val="20"/>
              </w:rPr>
              <w:t>19 573.5</w:t>
            </w:r>
          </w:p>
        </w:tc>
        <w:tc>
          <w:tcPr>
            <w:tcW w:w="1440" w:type="dxa"/>
            <w:tcBorders>
              <w:left w:val="single" w:sz="4" w:space="0" w:color="auto"/>
              <w:bottom w:val="single" w:sz="4" w:space="0" w:color="auto"/>
              <w:right w:val="single" w:sz="4" w:space="0" w:color="auto"/>
            </w:tcBorders>
            <w:shd w:val="clear" w:color="auto" w:fill="auto"/>
          </w:tcPr>
          <w:p w14:paraId="2510269A" w14:textId="77777777" w:rsidR="00191E41" w:rsidRPr="00191E41" w:rsidRDefault="00191E41" w:rsidP="00191E41">
            <w:pPr>
              <w:ind w:right="284"/>
              <w:jc w:val="right"/>
              <w:rPr>
                <w:sz w:val="20"/>
                <w:szCs w:val="20"/>
              </w:rPr>
            </w:pPr>
            <w:r w:rsidRPr="00191E41">
              <w:rPr>
                <w:sz w:val="20"/>
                <w:szCs w:val="20"/>
              </w:rPr>
              <w:t>27 759.0</w:t>
            </w:r>
          </w:p>
        </w:tc>
        <w:tc>
          <w:tcPr>
            <w:tcW w:w="900" w:type="dxa"/>
            <w:tcBorders>
              <w:left w:val="single" w:sz="4" w:space="0" w:color="auto"/>
              <w:bottom w:val="single" w:sz="4" w:space="0" w:color="auto"/>
              <w:right w:val="single" w:sz="4" w:space="0" w:color="auto"/>
            </w:tcBorders>
            <w:shd w:val="clear" w:color="auto" w:fill="auto"/>
          </w:tcPr>
          <w:p w14:paraId="77A598B7" w14:textId="77777777" w:rsidR="00191E41" w:rsidRPr="00191E41" w:rsidRDefault="00191E41" w:rsidP="00191E41">
            <w:pPr>
              <w:ind w:right="170"/>
              <w:jc w:val="right"/>
              <w:rPr>
                <w:sz w:val="20"/>
                <w:szCs w:val="20"/>
              </w:rPr>
            </w:pPr>
            <w:r w:rsidRPr="00191E41">
              <w:rPr>
                <w:sz w:val="20"/>
                <w:szCs w:val="20"/>
              </w:rPr>
              <w:t>37.6</w:t>
            </w:r>
          </w:p>
        </w:tc>
        <w:tc>
          <w:tcPr>
            <w:tcW w:w="929" w:type="dxa"/>
            <w:tcBorders>
              <w:left w:val="single" w:sz="4" w:space="0" w:color="auto"/>
              <w:bottom w:val="single" w:sz="4" w:space="0" w:color="auto"/>
              <w:right w:val="single" w:sz="4" w:space="0" w:color="auto"/>
            </w:tcBorders>
            <w:shd w:val="clear" w:color="auto" w:fill="auto"/>
          </w:tcPr>
          <w:p w14:paraId="26E09C38" w14:textId="77777777" w:rsidR="00191E41" w:rsidRPr="00191E41" w:rsidRDefault="00191E41" w:rsidP="00191E41">
            <w:pPr>
              <w:ind w:right="170"/>
              <w:jc w:val="right"/>
              <w:rPr>
                <w:sz w:val="20"/>
                <w:szCs w:val="20"/>
              </w:rPr>
            </w:pPr>
            <w:r w:rsidRPr="00191E41">
              <w:rPr>
                <w:sz w:val="20"/>
                <w:szCs w:val="20"/>
              </w:rPr>
              <w:t>5.2</w:t>
            </w:r>
          </w:p>
        </w:tc>
        <w:tc>
          <w:tcPr>
            <w:tcW w:w="889" w:type="dxa"/>
            <w:tcBorders>
              <w:left w:val="single" w:sz="4" w:space="0" w:color="auto"/>
              <w:bottom w:val="single" w:sz="4" w:space="0" w:color="auto"/>
              <w:right w:val="single" w:sz="4" w:space="0" w:color="auto"/>
            </w:tcBorders>
            <w:shd w:val="clear" w:color="auto" w:fill="auto"/>
          </w:tcPr>
          <w:p w14:paraId="11D5CE03" w14:textId="77777777" w:rsidR="00191E41" w:rsidRPr="00191E41" w:rsidRDefault="00191E41" w:rsidP="00191E41">
            <w:pPr>
              <w:ind w:right="170"/>
              <w:jc w:val="right"/>
              <w:rPr>
                <w:sz w:val="20"/>
                <w:szCs w:val="20"/>
              </w:rPr>
            </w:pPr>
            <w:r w:rsidRPr="00191E41">
              <w:rPr>
                <w:sz w:val="20"/>
                <w:szCs w:val="20"/>
              </w:rPr>
              <w:t>6.0</w:t>
            </w:r>
          </w:p>
        </w:tc>
      </w:tr>
      <w:tr w:rsidR="00191E41" w:rsidRPr="00191E41" w14:paraId="0FEDDCC3" w14:textId="77777777" w:rsidTr="001E7D79">
        <w:trPr>
          <w:cantSplit/>
          <w:jc w:val="center"/>
        </w:trPr>
        <w:tc>
          <w:tcPr>
            <w:tcW w:w="10053" w:type="dxa"/>
            <w:gridSpan w:val="6"/>
            <w:tcBorders>
              <w:top w:val="single" w:sz="4" w:space="0" w:color="auto"/>
            </w:tcBorders>
            <w:shd w:val="clear" w:color="auto" w:fill="auto"/>
          </w:tcPr>
          <w:p w14:paraId="715397E2" w14:textId="77777777" w:rsidR="00191E41" w:rsidRPr="00191E41" w:rsidRDefault="00191E41" w:rsidP="00191E41">
            <w:pPr>
              <w:jc w:val="both"/>
              <w:rPr>
                <w:rFonts w:eastAsia="Times New Roman"/>
                <w:sz w:val="20"/>
                <w:szCs w:val="20"/>
              </w:rPr>
            </w:pPr>
            <w:r w:rsidRPr="00191E41">
              <w:rPr>
                <w:rFonts w:eastAsia="Times New Roman"/>
                <w:sz w:val="20"/>
                <w:szCs w:val="20"/>
              </w:rPr>
              <w:t>Nota: Las sumas parciales y las variaciones pueden no coincidir debido al redondeo.</w:t>
            </w:r>
          </w:p>
          <w:p w14:paraId="2EF6BA48" w14:textId="77777777" w:rsidR="00191E41" w:rsidRPr="00191E41" w:rsidRDefault="00191E41" w:rsidP="00191E41">
            <w:pPr>
              <w:jc w:val="both"/>
              <w:rPr>
                <w:rFonts w:eastAsia="Times New Roman"/>
                <w:sz w:val="20"/>
                <w:szCs w:val="20"/>
              </w:rPr>
            </w:pPr>
            <w:r w:rsidRPr="00191E41">
              <w:rPr>
                <w:rFonts w:eastAsia="Times New Roman"/>
                <w:sz w:val="20"/>
                <w:szCs w:val="20"/>
                <w:u w:val="single"/>
              </w:rPr>
              <w:t>p</w:t>
            </w:r>
            <w:r w:rsidRPr="00191E41">
              <w:rPr>
                <w:rFonts w:eastAsia="Times New Roman"/>
                <w:sz w:val="20"/>
                <w:szCs w:val="20"/>
              </w:rPr>
              <w:t>/ Cifras preliminares.</w:t>
            </w:r>
          </w:p>
          <w:p w14:paraId="4A551554" w14:textId="77777777" w:rsidR="00191E41" w:rsidRPr="00191E41" w:rsidRDefault="00191E41" w:rsidP="00191E41">
            <w:pPr>
              <w:ind w:left="227" w:hanging="227"/>
              <w:jc w:val="both"/>
              <w:rPr>
                <w:rFonts w:eastAsia="Times New Roman"/>
                <w:sz w:val="20"/>
                <w:szCs w:val="20"/>
              </w:rPr>
            </w:pPr>
            <w:r w:rsidRPr="00191E41">
              <w:rPr>
                <w:rFonts w:eastAsia="Times New Roman"/>
                <w:sz w:val="20"/>
                <w:szCs w:val="20"/>
                <w:u w:val="single"/>
              </w:rPr>
              <w:t>1</w:t>
            </w:r>
            <w:r w:rsidRPr="00191E41">
              <w:rPr>
                <w:rFonts w:eastAsia="Times New Roman"/>
                <w:sz w:val="20"/>
                <w:szCs w:val="20"/>
              </w:rPr>
              <w:t>/ Incluye los intereses, comisiones y gastos de la deuda pública, así como las erogaciones para  saneamiento financiero y de apoyo a ahorradores y deudores de la banca.</w:t>
            </w:r>
          </w:p>
          <w:p w14:paraId="3D2001B2" w14:textId="77777777" w:rsidR="00191E41" w:rsidRPr="00191E41" w:rsidRDefault="00191E41" w:rsidP="00191E41">
            <w:pPr>
              <w:jc w:val="both"/>
              <w:rPr>
                <w:rFonts w:eastAsia="Times New Roman"/>
                <w:sz w:val="20"/>
                <w:szCs w:val="20"/>
              </w:rPr>
            </w:pPr>
            <w:r w:rsidRPr="00191E41">
              <w:rPr>
                <w:rFonts w:eastAsia="Times New Roman"/>
                <w:sz w:val="20"/>
                <w:szCs w:val="20"/>
              </w:rPr>
              <w:t>FUENTE: Dirección General Adjunta de Estadística de la Hacienda Pública, UPEHP.</w:t>
            </w:r>
          </w:p>
        </w:tc>
      </w:tr>
    </w:tbl>
    <w:p w14:paraId="333AE92D" w14:textId="77777777" w:rsidR="00191E41" w:rsidRPr="00191E41" w:rsidRDefault="00191E41" w:rsidP="00191E41">
      <w:pPr>
        <w:spacing w:after="360" w:line="360" w:lineRule="auto"/>
        <w:ind w:right="-159"/>
        <w:jc w:val="both"/>
        <w:rPr>
          <w:rFonts w:eastAsia="Calibri"/>
          <w:sz w:val="26"/>
          <w:szCs w:val="26"/>
          <w:lang w:eastAsia="en-US"/>
        </w:rPr>
      </w:pPr>
    </w:p>
    <w:p w14:paraId="76102FFF" w14:textId="77777777" w:rsidR="00191E41" w:rsidRPr="00191E41" w:rsidRDefault="00191E41" w:rsidP="00191E41">
      <w:pPr>
        <w:spacing w:after="360" w:line="360" w:lineRule="auto"/>
        <w:ind w:right="-159"/>
        <w:jc w:val="both"/>
        <w:rPr>
          <w:rFonts w:eastAsia="Calibri"/>
          <w:b/>
          <w:sz w:val="26"/>
          <w:szCs w:val="26"/>
          <w:lang w:eastAsia="en-US"/>
        </w:rPr>
      </w:pPr>
      <w:r w:rsidRPr="00191E41">
        <w:rPr>
          <w:rFonts w:eastAsia="Calibri"/>
          <w:b/>
          <w:sz w:val="26"/>
          <w:szCs w:val="26"/>
          <w:lang w:eastAsia="en-US"/>
        </w:rPr>
        <w:lastRenderedPageBreak/>
        <w:t xml:space="preserve">Saldo de la deuda pública a enero </w:t>
      </w:r>
    </w:p>
    <w:p w14:paraId="660E42DE" w14:textId="77777777" w:rsidR="00191E41" w:rsidRPr="00191E41" w:rsidRDefault="00191E41" w:rsidP="00191E41">
      <w:pPr>
        <w:spacing w:after="360" w:line="360" w:lineRule="auto"/>
        <w:ind w:right="-159"/>
        <w:jc w:val="both"/>
        <w:rPr>
          <w:rFonts w:eastAsia="Calibri"/>
          <w:sz w:val="26"/>
          <w:szCs w:val="26"/>
          <w:lang w:eastAsia="en-US"/>
        </w:rPr>
      </w:pPr>
      <w:r w:rsidRPr="00191E41">
        <w:rPr>
          <w:rFonts w:eastAsia="Calibri"/>
          <w:sz w:val="26"/>
          <w:szCs w:val="26"/>
          <w:lang w:eastAsia="en-US"/>
        </w:rPr>
        <w:t xml:space="preserve">El saldo de la deuda interna neta del Gobierno Federal al cierre de enero de 2015 fue de 4 billones 375 mil 297.8 millones de pesos, monto superior en 51 mil 177.2 millones de pesos al registrado al cierre de diciembre de 2014. La variación de los saldos se explica por un endeudamiento neto de 52 mil 279.3 millones de pesos, por ajustes contables al alza de 4 mil 588.9 millones de pesos y por un incremento en las disponibilidades del Gobierno Federal de 5 mil 691.0 millones de pesos. </w:t>
      </w:r>
    </w:p>
    <w:tbl>
      <w:tblPr>
        <w:tblW w:w="9351" w:type="dxa"/>
        <w:jc w:val="center"/>
        <w:tblLook w:val="01E0" w:firstRow="1" w:lastRow="1" w:firstColumn="1" w:lastColumn="1" w:noHBand="0" w:noVBand="0"/>
      </w:tblPr>
      <w:tblGrid>
        <w:gridCol w:w="2751"/>
        <w:gridCol w:w="1243"/>
        <w:gridCol w:w="1225"/>
        <w:gridCol w:w="1076"/>
        <w:gridCol w:w="992"/>
        <w:gridCol w:w="899"/>
        <w:gridCol w:w="1165"/>
      </w:tblGrid>
      <w:tr w:rsidR="00191E41" w:rsidRPr="00191E41" w14:paraId="182D55BA" w14:textId="77777777" w:rsidTr="001E7D79">
        <w:trPr>
          <w:jc w:val="center"/>
        </w:trPr>
        <w:tc>
          <w:tcPr>
            <w:tcW w:w="9351" w:type="dxa"/>
            <w:gridSpan w:val="7"/>
            <w:tcBorders>
              <w:top w:val="nil"/>
              <w:left w:val="nil"/>
              <w:bottom w:val="single" w:sz="2" w:space="0" w:color="auto"/>
              <w:right w:val="nil"/>
            </w:tcBorders>
            <w:shd w:val="clear" w:color="auto" w:fill="auto"/>
          </w:tcPr>
          <w:p w14:paraId="4C283AF4" w14:textId="77777777" w:rsidR="00191E41" w:rsidRPr="00191E41" w:rsidRDefault="00191E41" w:rsidP="00191E41">
            <w:pPr>
              <w:jc w:val="center"/>
              <w:rPr>
                <w:rFonts w:eastAsia="Times New Roman"/>
                <w:b/>
                <w:iCs/>
                <w:sz w:val="18"/>
                <w:szCs w:val="18"/>
              </w:rPr>
            </w:pPr>
            <w:r w:rsidRPr="00191E41">
              <w:rPr>
                <w:rFonts w:eastAsia="Times New Roman"/>
                <w:b/>
                <w:iCs/>
                <w:sz w:val="18"/>
                <w:szCs w:val="18"/>
              </w:rPr>
              <w:t>DEUDA INTERNA DEL GOBIERNO FEDERAL, ENERO</w:t>
            </w:r>
            <w:r w:rsidRPr="00191E41">
              <w:rPr>
                <w:rFonts w:eastAsia="Times New Roman"/>
                <w:b/>
                <w:iCs/>
                <w:sz w:val="18"/>
                <w:szCs w:val="18"/>
                <w:u w:val="single"/>
                <w:vertAlign w:val="superscript"/>
              </w:rPr>
              <w:t>*</w:t>
            </w:r>
            <w:r w:rsidRPr="00191E41">
              <w:rPr>
                <w:rFonts w:eastAsia="Times New Roman"/>
                <w:b/>
                <w:iCs/>
                <w:sz w:val="18"/>
                <w:szCs w:val="18"/>
                <w:vertAlign w:val="superscript"/>
              </w:rPr>
              <w:t>/</w:t>
            </w:r>
          </w:p>
          <w:p w14:paraId="3E6A8998" w14:textId="77777777" w:rsidR="00191E41" w:rsidRPr="00191E41" w:rsidRDefault="00191E41" w:rsidP="00191E41">
            <w:pPr>
              <w:spacing w:after="120"/>
              <w:jc w:val="center"/>
              <w:rPr>
                <w:rFonts w:eastAsia="Times New Roman"/>
                <w:iCs/>
                <w:sz w:val="18"/>
                <w:szCs w:val="18"/>
              </w:rPr>
            </w:pPr>
            <w:r w:rsidRPr="00191E41">
              <w:rPr>
                <w:rFonts w:eastAsia="Times New Roman"/>
                <w:b/>
                <w:iCs/>
                <w:sz w:val="18"/>
                <w:szCs w:val="18"/>
              </w:rPr>
              <w:t>-Millones de pesos-</w:t>
            </w:r>
          </w:p>
        </w:tc>
      </w:tr>
      <w:tr w:rsidR="00191E41" w:rsidRPr="00191E41" w14:paraId="2C9AF25D" w14:textId="77777777" w:rsidTr="001E7D79">
        <w:trPr>
          <w:jc w:val="center"/>
        </w:trPr>
        <w:tc>
          <w:tcPr>
            <w:tcW w:w="2751" w:type="dxa"/>
            <w:vMerge w:val="restart"/>
            <w:tcBorders>
              <w:top w:val="single" w:sz="2" w:space="0" w:color="auto"/>
              <w:left w:val="single" w:sz="2" w:space="0" w:color="auto"/>
              <w:bottom w:val="single" w:sz="2" w:space="0" w:color="auto"/>
              <w:right w:val="single" w:sz="2" w:space="0" w:color="auto"/>
            </w:tcBorders>
            <w:shd w:val="clear" w:color="auto" w:fill="auto"/>
            <w:vAlign w:val="center"/>
          </w:tcPr>
          <w:p w14:paraId="1E3E7B51" w14:textId="77777777" w:rsidR="00191E41" w:rsidRPr="00191E41" w:rsidRDefault="00191E41" w:rsidP="00191E41">
            <w:pPr>
              <w:jc w:val="center"/>
              <w:rPr>
                <w:rFonts w:eastAsia="Times New Roman"/>
                <w:b/>
                <w:sz w:val="16"/>
                <w:szCs w:val="16"/>
              </w:rPr>
            </w:pPr>
            <w:r w:rsidRPr="00191E41">
              <w:rPr>
                <w:rFonts w:eastAsia="Times New Roman"/>
                <w:b/>
                <w:sz w:val="16"/>
                <w:szCs w:val="16"/>
              </w:rPr>
              <w:t>Concepto</w:t>
            </w:r>
          </w:p>
        </w:tc>
        <w:tc>
          <w:tcPr>
            <w:tcW w:w="1243" w:type="dxa"/>
            <w:vMerge w:val="restart"/>
            <w:tcBorders>
              <w:top w:val="single" w:sz="2" w:space="0" w:color="auto"/>
              <w:left w:val="single" w:sz="2" w:space="0" w:color="auto"/>
              <w:bottom w:val="single" w:sz="2" w:space="0" w:color="auto"/>
              <w:right w:val="single" w:sz="2" w:space="0" w:color="auto"/>
            </w:tcBorders>
            <w:shd w:val="clear" w:color="auto" w:fill="auto"/>
            <w:vAlign w:val="center"/>
          </w:tcPr>
          <w:p w14:paraId="5E0D957C" w14:textId="77777777" w:rsidR="00191E41" w:rsidRPr="00191E41" w:rsidRDefault="00191E41" w:rsidP="00191E41">
            <w:pPr>
              <w:jc w:val="center"/>
              <w:rPr>
                <w:rFonts w:eastAsia="Times New Roman"/>
                <w:b/>
                <w:sz w:val="16"/>
                <w:szCs w:val="16"/>
              </w:rPr>
            </w:pPr>
            <w:r w:rsidRPr="00191E41">
              <w:rPr>
                <w:rFonts w:eastAsia="Times New Roman"/>
                <w:b/>
                <w:sz w:val="16"/>
                <w:szCs w:val="16"/>
              </w:rPr>
              <w:t>Saldo a diciembre</w:t>
            </w:r>
          </w:p>
          <w:p w14:paraId="4A2CA5B1" w14:textId="77777777" w:rsidR="00191E41" w:rsidRPr="00191E41" w:rsidRDefault="00191E41" w:rsidP="00191E41">
            <w:pPr>
              <w:jc w:val="center"/>
              <w:rPr>
                <w:rFonts w:eastAsia="Times New Roman"/>
                <w:b/>
                <w:sz w:val="16"/>
                <w:szCs w:val="16"/>
              </w:rPr>
            </w:pPr>
            <w:r w:rsidRPr="00191E41">
              <w:rPr>
                <w:rFonts w:eastAsia="Times New Roman"/>
                <w:b/>
                <w:sz w:val="16"/>
                <w:szCs w:val="16"/>
              </w:rPr>
              <w:t xml:space="preserve">de </w:t>
            </w:r>
            <w:r w:rsidRPr="00191E41">
              <w:rPr>
                <w:rFonts w:eastAsia="Times New Roman"/>
                <w:b/>
                <w:iCs/>
                <w:sz w:val="16"/>
                <w:szCs w:val="16"/>
              </w:rPr>
              <w:t>2014</w:t>
            </w:r>
            <w:r w:rsidRPr="00191E41">
              <w:rPr>
                <w:rFonts w:eastAsia="Times New Roman"/>
                <w:b/>
                <w:iCs/>
                <w:sz w:val="16"/>
                <w:szCs w:val="16"/>
                <w:u w:val="single"/>
                <w:vertAlign w:val="superscript"/>
              </w:rPr>
              <w:t>p</w:t>
            </w:r>
            <w:r w:rsidRPr="00191E41">
              <w:rPr>
                <w:rFonts w:eastAsia="Times New Roman"/>
                <w:b/>
                <w:iCs/>
                <w:sz w:val="16"/>
                <w:szCs w:val="16"/>
                <w:vertAlign w:val="superscript"/>
              </w:rPr>
              <w:t>/</w:t>
            </w:r>
          </w:p>
        </w:tc>
        <w:tc>
          <w:tcPr>
            <w:tcW w:w="3293" w:type="dxa"/>
            <w:gridSpan w:val="3"/>
            <w:tcBorders>
              <w:top w:val="single" w:sz="2" w:space="0" w:color="auto"/>
              <w:left w:val="single" w:sz="2" w:space="0" w:color="auto"/>
              <w:bottom w:val="single" w:sz="2" w:space="0" w:color="auto"/>
              <w:right w:val="single" w:sz="2" w:space="0" w:color="auto"/>
            </w:tcBorders>
            <w:shd w:val="clear" w:color="auto" w:fill="auto"/>
            <w:vAlign w:val="center"/>
          </w:tcPr>
          <w:p w14:paraId="2DDD4381" w14:textId="77777777" w:rsidR="00191E41" w:rsidRPr="00191E41" w:rsidRDefault="00191E41" w:rsidP="00191E41">
            <w:pPr>
              <w:jc w:val="center"/>
              <w:rPr>
                <w:rFonts w:eastAsia="Times New Roman"/>
                <w:b/>
                <w:sz w:val="16"/>
                <w:szCs w:val="16"/>
              </w:rPr>
            </w:pPr>
            <w:r w:rsidRPr="00191E41">
              <w:rPr>
                <w:rFonts w:eastAsia="Times New Roman"/>
                <w:b/>
                <w:sz w:val="16"/>
                <w:szCs w:val="16"/>
              </w:rPr>
              <w:t>Endeudamiento</w:t>
            </w:r>
          </w:p>
        </w:tc>
        <w:tc>
          <w:tcPr>
            <w:tcW w:w="899" w:type="dxa"/>
            <w:vMerge w:val="restart"/>
            <w:tcBorders>
              <w:top w:val="single" w:sz="2" w:space="0" w:color="auto"/>
              <w:left w:val="single" w:sz="2" w:space="0" w:color="auto"/>
              <w:bottom w:val="single" w:sz="2" w:space="0" w:color="auto"/>
              <w:right w:val="single" w:sz="2" w:space="0" w:color="auto"/>
            </w:tcBorders>
            <w:shd w:val="clear" w:color="auto" w:fill="auto"/>
            <w:vAlign w:val="center"/>
          </w:tcPr>
          <w:p w14:paraId="1C737B4A" w14:textId="77777777" w:rsidR="00191E41" w:rsidRPr="00191E41" w:rsidRDefault="00191E41" w:rsidP="00191E41">
            <w:pPr>
              <w:jc w:val="center"/>
              <w:rPr>
                <w:rFonts w:eastAsia="Times New Roman"/>
                <w:b/>
                <w:sz w:val="16"/>
                <w:szCs w:val="16"/>
              </w:rPr>
            </w:pPr>
            <w:r w:rsidRPr="00191E41">
              <w:rPr>
                <w:rFonts w:eastAsia="Times New Roman"/>
                <w:b/>
                <w:sz w:val="16"/>
                <w:szCs w:val="16"/>
              </w:rPr>
              <w:t>Ajustes</w:t>
            </w:r>
            <w:r w:rsidRPr="00191E41">
              <w:rPr>
                <w:rFonts w:eastAsia="Times New Roman"/>
                <w:b/>
                <w:sz w:val="16"/>
                <w:szCs w:val="16"/>
                <w:u w:val="single"/>
                <w:vertAlign w:val="superscript"/>
              </w:rPr>
              <w:t>1</w:t>
            </w:r>
            <w:r w:rsidRPr="00191E41">
              <w:rPr>
                <w:rFonts w:eastAsia="Times New Roman"/>
                <w:b/>
                <w:sz w:val="16"/>
                <w:szCs w:val="16"/>
                <w:vertAlign w:val="superscript"/>
              </w:rPr>
              <w:t>/</w:t>
            </w:r>
          </w:p>
        </w:tc>
        <w:tc>
          <w:tcPr>
            <w:tcW w:w="1165" w:type="dxa"/>
            <w:vMerge w:val="restart"/>
            <w:tcBorders>
              <w:top w:val="single" w:sz="2" w:space="0" w:color="auto"/>
              <w:left w:val="single" w:sz="2" w:space="0" w:color="auto"/>
              <w:bottom w:val="single" w:sz="2" w:space="0" w:color="auto"/>
              <w:right w:val="single" w:sz="2" w:space="0" w:color="auto"/>
            </w:tcBorders>
            <w:shd w:val="clear" w:color="auto" w:fill="auto"/>
            <w:vAlign w:val="center"/>
          </w:tcPr>
          <w:p w14:paraId="154D8E0B" w14:textId="77777777" w:rsidR="00191E41" w:rsidRPr="00191E41" w:rsidRDefault="00191E41" w:rsidP="00191E41">
            <w:pPr>
              <w:jc w:val="center"/>
              <w:rPr>
                <w:rFonts w:eastAsia="Times New Roman"/>
                <w:b/>
                <w:iCs/>
                <w:sz w:val="16"/>
                <w:szCs w:val="16"/>
              </w:rPr>
            </w:pPr>
            <w:r w:rsidRPr="00191E41">
              <w:rPr>
                <w:rFonts w:eastAsia="Times New Roman"/>
                <w:b/>
                <w:iCs/>
                <w:sz w:val="16"/>
                <w:szCs w:val="16"/>
              </w:rPr>
              <w:t>Saldo a</w:t>
            </w:r>
          </w:p>
          <w:p w14:paraId="5B4EEC66" w14:textId="77777777" w:rsidR="00191E41" w:rsidRPr="00191E41" w:rsidRDefault="00191E41" w:rsidP="00191E41">
            <w:pPr>
              <w:jc w:val="center"/>
              <w:rPr>
                <w:rFonts w:eastAsia="Times New Roman"/>
                <w:b/>
                <w:iCs/>
                <w:sz w:val="16"/>
                <w:szCs w:val="16"/>
              </w:rPr>
            </w:pPr>
            <w:r w:rsidRPr="00191E41">
              <w:rPr>
                <w:rFonts w:eastAsia="Times New Roman"/>
                <w:b/>
                <w:iCs/>
                <w:sz w:val="16"/>
                <w:szCs w:val="16"/>
              </w:rPr>
              <w:t>enero</w:t>
            </w:r>
          </w:p>
          <w:p w14:paraId="7DCFEBEE" w14:textId="77777777" w:rsidR="00191E41" w:rsidRPr="00191E41" w:rsidRDefault="00191E41" w:rsidP="00191E41">
            <w:pPr>
              <w:jc w:val="center"/>
              <w:rPr>
                <w:rFonts w:eastAsia="Times New Roman"/>
                <w:b/>
                <w:iCs/>
                <w:sz w:val="16"/>
                <w:szCs w:val="16"/>
              </w:rPr>
            </w:pPr>
            <w:r w:rsidRPr="00191E41">
              <w:rPr>
                <w:rFonts w:eastAsia="Times New Roman"/>
                <w:b/>
                <w:iCs/>
                <w:sz w:val="16"/>
                <w:szCs w:val="16"/>
              </w:rPr>
              <w:t>2015</w:t>
            </w:r>
            <w:r w:rsidRPr="00191E41">
              <w:rPr>
                <w:rFonts w:eastAsia="Times New Roman"/>
                <w:b/>
                <w:iCs/>
                <w:sz w:val="16"/>
                <w:szCs w:val="16"/>
                <w:u w:val="single"/>
                <w:vertAlign w:val="superscript"/>
              </w:rPr>
              <w:t>p</w:t>
            </w:r>
            <w:r w:rsidRPr="00191E41">
              <w:rPr>
                <w:rFonts w:eastAsia="Times New Roman"/>
                <w:b/>
                <w:iCs/>
                <w:sz w:val="16"/>
                <w:szCs w:val="16"/>
                <w:vertAlign w:val="superscript"/>
              </w:rPr>
              <w:t>/</w:t>
            </w:r>
          </w:p>
        </w:tc>
      </w:tr>
      <w:tr w:rsidR="00191E41" w:rsidRPr="00191E41" w14:paraId="24F21D4A" w14:textId="77777777" w:rsidTr="001E7D79">
        <w:trPr>
          <w:jc w:val="center"/>
        </w:trPr>
        <w:tc>
          <w:tcPr>
            <w:tcW w:w="2751" w:type="dxa"/>
            <w:vMerge/>
            <w:tcBorders>
              <w:top w:val="single" w:sz="2" w:space="0" w:color="auto"/>
              <w:left w:val="single" w:sz="2" w:space="0" w:color="auto"/>
              <w:bottom w:val="single" w:sz="2" w:space="0" w:color="auto"/>
              <w:right w:val="single" w:sz="2" w:space="0" w:color="auto"/>
            </w:tcBorders>
            <w:shd w:val="clear" w:color="auto" w:fill="auto"/>
          </w:tcPr>
          <w:p w14:paraId="4F5098A6" w14:textId="77777777" w:rsidR="00191E41" w:rsidRPr="00191E41" w:rsidRDefault="00191E41" w:rsidP="00191E41">
            <w:pPr>
              <w:jc w:val="center"/>
              <w:rPr>
                <w:rFonts w:eastAsia="Times New Roman"/>
                <w:b/>
                <w:sz w:val="16"/>
                <w:szCs w:val="16"/>
              </w:rPr>
            </w:pPr>
          </w:p>
        </w:tc>
        <w:tc>
          <w:tcPr>
            <w:tcW w:w="1243" w:type="dxa"/>
            <w:vMerge/>
            <w:tcBorders>
              <w:top w:val="single" w:sz="2" w:space="0" w:color="auto"/>
              <w:left w:val="single" w:sz="2" w:space="0" w:color="auto"/>
              <w:bottom w:val="single" w:sz="2" w:space="0" w:color="auto"/>
              <w:right w:val="single" w:sz="2" w:space="0" w:color="auto"/>
            </w:tcBorders>
            <w:shd w:val="clear" w:color="auto" w:fill="auto"/>
          </w:tcPr>
          <w:p w14:paraId="61FD015A" w14:textId="77777777" w:rsidR="00191E41" w:rsidRPr="00191E41" w:rsidRDefault="00191E41" w:rsidP="00191E41">
            <w:pPr>
              <w:jc w:val="center"/>
              <w:rPr>
                <w:rFonts w:eastAsia="Times New Roman"/>
                <w:b/>
                <w:sz w:val="16"/>
                <w:szCs w:val="16"/>
              </w:rPr>
            </w:pPr>
          </w:p>
        </w:tc>
        <w:tc>
          <w:tcPr>
            <w:tcW w:w="1225" w:type="dxa"/>
            <w:tcBorders>
              <w:top w:val="single" w:sz="2" w:space="0" w:color="auto"/>
              <w:left w:val="single" w:sz="2" w:space="0" w:color="auto"/>
              <w:bottom w:val="single" w:sz="2" w:space="0" w:color="auto"/>
              <w:right w:val="single" w:sz="2" w:space="0" w:color="auto"/>
            </w:tcBorders>
            <w:shd w:val="clear" w:color="auto" w:fill="auto"/>
            <w:vAlign w:val="center"/>
          </w:tcPr>
          <w:p w14:paraId="4229CCDC" w14:textId="77777777" w:rsidR="00191E41" w:rsidRPr="00191E41" w:rsidRDefault="00191E41" w:rsidP="00191E41">
            <w:pPr>
              <w:ind w:right="-57"/>
              <w:jc w:val="center"/>
              <w:rPr>
                <w:rFonts w:eastAsia="Times New Roman"/>
                <w:b/>
                <w:sz w:val="16"/>
                <w:szCs w:val="16"/>
              </w:rPr>
            </w:pPr>
            <w:r w:rsidRPr="00191E41">
              <w:rPr>
                <w:rFonts w:eastAsia="Times New Roman"/>
                <w:b/>
                <w:sz w:val="16"/>
                <w:szCs w:val="16"/>
              </w:rPr>
              <w:t>Disp.</w:t>
            </w:r>
          </w:p>
        </w:tc>
        <w:tc>
          <w:tcPr>
            <w:tcW w:w="1076" w:type="dxa"/>
            <w:tcBorders>
              <w:top w:val="single" w:sz="2" w:space="0" w:color="auto"/>
              <w:left w:val="single" w:sz="2" w:space="0" w:color="auto"/>
              <w:bottom w:val="single" w:sz="2" w:space="0" w:color="auto"/>
              <w:right w:val="single" w:sz="2" w:space="0" w:color="auto"/>
            </w:tcBorders>
            <w:shd w:val="clear" w:color="auto" w:fill="auto"/>
            <w:vAlign w:val="center"/>
          </w:tcPr>
          <w:p w14:paraId="58A4F4BA" w14:textId="77777777" w:rsidR="00191E41" w:rsidRPr="00191E41" w:rsidRDefault="00191E41" w:rsidP="00191E41">
            <w:pPr>
              <w:jc w:val="center"/>
              <w:rPr>
                <w:rFonts w:eastAsia="Times New Roman"/>
                <w:b/>
                <w:sz w:val="16"/>
                <w:szCs w:val="16"/>
              </w:rPr>
            </w:pPr>
            <w:r w:rsidRPr="00191E41">
              <w:rPr>
                <w:rFonts w:eastAsia="Times New Roman"/>
                <w:b/>
                <w:sz w:val="16"/>
                <w:szCs w:val="16"/>
              </w:rPr>
              <w:t>Amort.</w:t>
            </w:r>
          </w:p>
        </w:tc>
        <w:tc>
          <w:tcPr>
            <w:tcW w:w="992" w:type="dxa"/>
            <w:tcBorders>
              <w:top w:val="single" w:sz="2" w:space="0" w:color="auto"/>
              <w:left w:val="single" w:sz="2" w:space="0" w:color="auto"/>
              <w:bottom w:val="single" w:sz="2" w:space="0" w:color="auto"/>
              <w:right w:val="single" w:sz="2" w:space="0" w:color="auto"/>
            </w:tcBorders>
            <w:shd w:val="clear" w:color="auto" w:fill="auto"/>
            <w:vAlign w:val="center"/>
          </w:tcPr>
          <w:p w14:paraId="4B4D777C" w14:textId="77777777" w:rsidR="00191E41" w:rsidRPr="00191E41" w:rsidRDefault="00191E41" w:rsidP="00191E41">
            <w:pPr>
              <w:jc w:val="center"/>
              <w:rPr>
                <w:rFonts w:eastAsia="Times New Roman"/>
                <w:b/>
                <w:sz w:val="16"/>
                <w:szCs w:val="16"/>
              </w:rPr>
            </w:pPr>
            <w:r w:rsidRPr="00191E41">
              <w:rPr>
                <w:rFonts w:eastAsia="Times New Roman"/>
                <w:b/>
                <w:sz w:val="16"/>
                <w:szCs w:val="16"/>
              </w:rPr>
              <w:t>Neto</w:t>
            </w:r>
          </w:p>
        </w:tc>
        <w:tc>
          <w:tcPr>
            <w:tcW w:w="899" w:type="dxa"/>
            <w:vMerge/>
            <w:tcBorders>
              <w:top w:val="single" w:sz="2" w:space="0" w:color="auto"/>
              <w:left w:val="single" w:sz="2" w:space="0" w:color="auto"/>
              <w:bottom w:val="single" w:sz="2" w:space="0" w:color="auto"/>
              <w:right w:val="single" w:sz="2" w:space="0" w:color="auto"/>
            </w:tcBorders>
            <w:shd w:val="clear" w:color="auto" w:fill="auto"/>
          </w:tcPr>
          <w:p w14:paraId="75EDA9CF" w14:textId="77777777" w:rsidR="00191E41" w:rsidRPr="00191E41" w:rsidRDefault="00191E41" w:rsidP="00191E41">
            <w:pPr>
              <w:jc w:val="center"/>
              <w:rPr>
                <w:rFonts w:eastAsia="Times New Roman"/>
                <w:b/>
                <w:sz w:val="16"/>
                <w:szCs w:val="16"/>
              </w:rPr>
            </w:pPr>
          </w:p>
        </w:tc>
        <w:tc>
          <w:tcPr>
            <w:tcW w:w="1165" w:type="dxa"/>
            <w:vMerge/>
            <w:tcBorders>
              <w:top w:val="single" w:sz="2" w:space="0" w:color="auto"/>
              <w:left w:val="single" w:sz="2" w:space="0" w:color="auto"/>
              <w:bottom w:val="single" w:sz="2" w:space="0" w:color="auto"/>
              <w:right w:val="single" w:sz="2" w:space="0" w:color="auto"/>
            </w:tcBorders>
            <w:shd w:val="clear" w:color="auto" w:fill="auto"/>
          </w:tcPr>
          <w:p w14:paraId="39985B44" w14:textId="77777777" w:rsidR="00191E41" w:rsidRPr="00191E41" w:rsidRDefault="00191E41" w:rsidP="00191E41">
            <w:pPr>
              <w:jc w:val="center"/>
              <w:rPr>
                <w:rFonts w:eastAsia="Times New Roman"/>
                <w:b/>
                <w:i/>
                <w:iCs/>
                <w:sz w:val="16"/>
                <w:szCs w:val="16"/>
              </w:rPr>
            </w:pPr>
          </w:p>
        </w:tc>
      </w:tr>
      <w:tr w:rsidR="00191E41" w:rsidRPr="00191E41" w14:paraId="1EFEAB88" w14:textId="77777777" w:rsidTr="001E7D79">
        <w:trPr>
          <w:jc w:val="center"/>
        </w:trPr>
        <w:tc>
          <w:tcPr>
            <w:tcW w:w="2751" w:type="dxa"/>
            <w:tcBorders>
              <w:top w:val="single" w:sz="2" w:space="0" w:color="auto"/>
              <w:left w:val="single" w:sz="2" w:space="0" w:color="000000"/>
              <w:right w:val="single" w:sz="2" w:space="0" w:color="000000"/>
            </w:tcBorders>
            <w:shd w:val="clear" w:color="auto" w:fill="auto"/>
          </w:tcPr>
          <w:p w14:paraId="775A74B3" w14:textId="77777777" w:rsidR="00191E41" w:rsidRPr="00191E41" w:rsidRDefault="00191E41" w:rsidP="00191E41">
            <w:pPr>
              <w:rPr>
                <w:rFonts w:eastAsia="Times New Roman"/>
                <w:b/>
                <w:sz w:val="16"/>
                <w:szCs w:val="16"/>
              </w:rPr>
            </w:pPr>
            <w:r w:rsidRPr="00191E41">
              <w:rPr>
                <w:rFonts w:eastAsia="Times New Roman"/>
                <w:b/>
                <w:sz w:val="16"/>
                <w:szCs w:val="16"/>
              </w:rPr>
              <w:t>1. Deuda Neta (3-2)</w:t>
            </w:r>
          </w:p>
        </w:tc>
        <w:tc>
          <w:tcPr>
            <w:tcW w:w="1243" w:type="dxa"/>
            <w:tcBorders>
              <w:top w:val="single" w:sz="2" w:space="0" w:color="auto"/>
              <w:left w:val="single" w:sz="2" w:space="0" w:color="000000"/>
              <w:right w:val="single" w:sz="2" w:space="0" w:color="000000"/>
            </w:tcBorders>
            <w:shd w:val="clear" w:color="auto" w:fill="auto"/>
          </w:tcPr>
          <w:p w14:paraId="643BE88B" w14:textId="77777777" w:rsidR="00191E41" w:rsidRPr="00191E41" w:rsidRDefault="00191E41" w:rsidP="00191E41">
            <w:pPr>
              <w:ind w:right="170"/>
              <w:jc w:val="right"/>
              <w:rPr>
                <w:b/>
                <w:sz w:val="18"/>
                <w:szCs w:val="18"/>
              </w:rPr>
            </w:pPr>
            <w:r w:rsidRPr="00191E41">
              <w:rPr>
                <w:b/>
                <w:sz w:val="18"/>
                <w:szCs w:val="18"/>
              </w:rPr>
              <w:t>4 324 120.6</w:t>
            </w:r>
          </w:p>
        </w:tc>
        <w:tc>
          <w:tcPr>
            <w:tcW w:w="1225" w:type="dxa"/>
            <w:tcBorders>
              <w:top w:val="single" w:sz="2" w:space="0" w:color="auto"/>
              <w:left w:val="single" w:sz="2" w:space="0" w:color="000000"/>
              <w:right w:val="single" w:sz="2" w:space="0" w:color="000000"/>
            </w:tcBorders>
            <w:shd w:val="clear" w:color="auto" w:fill="auto"/>
          </w:tcPr>
          <w:p w14:paraId="6954FD87" w14:textId="77777777" w:rsidR="00191E41" w:rsidRPr="00191E41" w:rsidRDefault="00191E41" w:rsidP="00191E41">
            <w:pPr>
              <w:ind w:right="113"/>
              <w:jc w:val="right"/>
              <w:rPr>
                <w:b/>
                <w:sz w:val="18"/>
                <w:szCs w:val="18"/>
              </w:rPr>
            </w:pPr>
          </w:p>
        </w:tc>
        <w:tc>
          <w:tcPr>
            <w:tcW w:w="1076" w:type="dxa"/>
            <w:tcBorders>
              <w:top w:val="single" w:sz="2" w:space="0" w:color="auto"/>
              <w:left w:val="single" w:sz="2" w:space="0" w:color="000000"/>
              <w:right w:val="single" w:sz="2" w:space="0" w:color="000000"/>
            </w:tcBorders>
            <w:shd w:val="clear" w:color="auto" w:fill="auto"/>
          </w:tcPr>
          <w:p w14:paraId="7C8F067F" w14:textId="77777777" w:rsidR="00191E41" w:rsidRPr="00191E41" w:rsidRDefault="00191E41" w:rsidP="00191E41">
            <w:pPr>
              <w:jc w:val="right"/>
              <w:rPr>
                <w:b/>
                <w:sz w:val="18"/>
                <w:szCs w:val="18"/>
              </w:rPr>
            </w:pPr>
          </w:p>
        </w:tc>
        <w:tc>
          <w:tcPr>
            <w:tcW w:w="992" w:type="dxa"/>
            <w:tcBorders>
              <w:top w:val="single" w:sz="2" w:space="0" w:color="auto"/>
              <w:left w:val="single" w:sz="2" w:space="0" w:color="000000"/>
              <w:right w:val="single" w:sz="2" w:space="0" w:color="000000"/>
            </w:tcBorders>
            <w:shd w:val="clear" w:color="auto" w:fill="auto"/>
          </w:tcPr>
          <w:p w14:paraId="15F929E7" w14:textId="77777777" w:rsidR="00191E41" w:rsidRPr="00191E41" w:rsidRDefault="00191E41" w:rsidP="00191E41">
            <w:pPr>
              <w:jc w:val="right"/>
              <w:rPr>
                <w:b/>
                <w:sz w:val="18"/>
                <w:szCs w:val="18"/>
              </w:rPr>
            </w:pPr>
          </w:p>
        </w:tc>
        <w:tc>
          <w:tcPr>
            <w:tcW w:w="899" w:type="dxa"/>
            <w:tcBorders>
              <w:top w:val="single" w:sz="2" w:space="0" w:color="auto"/>
              <w:left w:val="single" w:sz="2" w:space="0" w:color="000000"/>
              <w:right w:val="single" w:sz="2" w:space="0" w:color="000000"/>
            </w:tcBorders>
            <w:shd w:val="clear" w:color="auto" w:fill="auto"/>
          </w:tcPr>
          <w:p w14:paraId="12C94ED3" w14:textId="77777777" w:rsidR="00191E41" w:rsidRPr="00191E41" w:rsidRDefault="00191E41" w:rsidP="00191E41">
            <w:pPr>
              <w:jc w:val="right"/>
              <w:rPr>
                <w:b/>
                <w:sz w:val="18"/>
                <w:szCs w:val="18"/>
              </w:rPr>
            </w:pPr>
          </w:p>
        </w:tc>
        <w:tc>
          <w:tcPr>
            <w:tcW w:w="1165" w:type="dxa"/>
            <w:tcBorders>
              <w:top w:val="single" w:sz="2" w:space="0" w:color="auto"/>
              <w:left w:val="single" w:sz="2" w:space="0" w:color="000000"/>
              <w:right w:val="single" w:sz="2" w:space="0" w:color="000000"/>
            </w:tcBorders>
            <w:shd w:val="clear" w:color="auto" w:fill="auto"/>
          </w:tcPr>
          <w:p w14:paraId="4FE1A834" w14:textId="77777777" w:rsidR="00191E41" w:rsidRPr="00191E41" w:rsidRDefault="00191E41" w:rsidP="00191E41">
            <w:pPr>
              <w:ind w:right="57"/>
              <w:jc w:val="right"/>
              <w:rPr>
                <w:b/>
                <w:iCs/>
                <w:sz w:val="18"/>
                <w:szCs w:val="18"/>
              </w:rPr>
            </w:pPr>
            <w:r w:rsidRPr="00191E41">
              <w:rPr>
                <w:b/>
                <w:iCs/>
                <w:sz w:val="18"/>
                <w:szCs w:val="18"/>
              </w:rPr>
              <w:t>4 375 297.8</w:t>
            </w:r>
          </w:p>
        </w:tc>
      </w:tr>
      <w:tr w:rsidR="00191E41" w:rsidRPr="00191E41" w14:paraId="56B784EA" w14:textId="77777777" w:rsidTr="001E7D79">
        <w:trPr>
          <w:jc w:val="center"/>
        </w:trPr>
        <w:tc>
          <w:tcPr>
            <w:tcW w:w="2751" w:type="dxa"/>
            <w:tcBorders>
              <w:left w:val="single" w:sz="2" w:space="0" w:color="000000"/>
              <w:right w:val="single" w:sz="2" w:space="0" w:color="000000"/>
            </w:tcBorders>
            <w:shd w:val="clear" w:color="auto" w:fill="auto"/>
          </w:tcPr>
          <w:p w14:paraId="2B0755AD" w14:textId="77777777" w:rsidR="00191E41" w:rsidRPr="00191E41" w:rsidRDefault="00191E41" w:rsidP="00191E41">
            <w:pPr>
              <w:rPr>
                <w:rFonts w:eastAsia="Times New Roman"/>
                <w:sz w:val="16"/>
                <w:szCs w:val="16"/>
              </w:rPr>
            </w:pPr>
            <w:r w:rsidRPr="00191E41">
              <w:rPr>
                <w:rFonts w:eastAsia="Times New Roman"/>
                <w:sz w:val="16"/>
                <w:szCs w:val="16"/>
              </w:rPr>
              <w:t>2. Activos</w:t>
            </w:r>
            <w:r w:rsidRPr="00191E41">
              <w:rPr>
                <w:rFonts w:eastAsia="Times New Roman"/>
                <w:sz w:val="16"/>
                <w:szCs w:val="16"/>
                <w:u w:val="single"/>
                <w:vertAlign w:val="superscript"/>
              </w:rPr>
              <w:t>2</w:t>
            </w:r>
            <w:r w:rsidRPr="00191E41">
              <w:rPr>
                <w:rFonts w:eastAsia="Times New Roman"/>
                <w:sz w:val="16"/>
                <w:szCs w:val="16"/>
                <w:vertAlign w:val="superscript"/>
              </w:rPr>
              <w:t>/</w:t>
            </w:r>
          </w:p>
        </w:tc>
        <w:tc>
          <w:tcPr>
            <w:tcW w:w="1243" w:type="dxa"/>
            <w:tcBorders>
              <w:left w:val="single" w:sz="2" w:space="0" w:color="000000"/>
              <w:right w:val="single" w:sz="2" w:space="0" w:color="000000"/>
            </w:tcBorders>
            <w:shd w:val="clear" w:color="auto" w:fill="auto"/>
          </w:tcPr>
          <w:p w14:paraId="536E9C72" w14:textId="77777777" w:rsidR="00191E41" w:rsidRPr="00191E41" w:rsidRDefault="00191E41" w:rsidP="00191E41">
            <w:pPr>
              <w:ind w:right="170"/>
              <w:jc w:val="right"/>
              <w:rPr>
                <w:sz w:val="18"/>
                <w:szCs w:val="18"/>
              </w:rPr>
            </w:pPr>
            <w:r w:rsidRPr="00191E41">
              <w:rPr>
                <w:sz w:val="18"/>
                <w:szCs w:val="18"/>
              </w:rPr>
              <w:t>222 499.0</w:t>
            </w:r>
          </w:p>
        </w:tc>
        <w:tc>
          <w:tcPr>
            <w:tcW w:w="1225" w:type="dxa"/>
            <w:tcBorders>
              <w:left w:val="single" w:sz="2" w:space="0" w:color="000000"/>
              <w:right w:val="single" w:sz="2" w:space="0" w:color="000000"/>
            </w:tcBorders>
            <w:shd w:val="clear" w:color="auto" w:fill="auto"/>
          </w:tcPr>
          <w:p w14:paraId="5574B002" w14:textId="77777777" w:rsidR="00191E41" w:rsidRPr="00191E41" w:rsidRDefault="00191E41" w:rsidP="00191E41">
            <w:pPr>
              <w:ind w:right="113"/>
              <w:jc w:val="right"/>
              <w:rPr>
                <w:sz w:val="18"/>
                <w:szCs w:val="18"/>
              </w:rPr>
            </w:pPr>
          </w:p>
        </w:tc>
        <w:tc>
          <w:tcPr>
            <w:tcW w:w="1076" w:type="dxa"/>
            <w:tcBorders>
              <w:left w:val="single" w:sz="2" w:space="0" w:color="000000"/>
              <w:right w:val="single" w:sz="2" w:space="0" w:color="000000"/>
            </w:tcBorders>
            <w:shd w:val="clear" w:color="auto" w:fill="auto"/>
          </w:tcPr>
          <w:p w14:paraId="78911A75" w14:textId="77777777" w:rsidR="00191E41" w:rsidRPr="00191E41" w:rsidRDefault="00191E41" w:rsidP="00191E41">
            <w:pPr>
              <w:jc w:val="right"/>
              <w:rPr>
                <w:sz w:val="18"/>
                <w:szCs w:val="18"/>
              </w:rPr>
            </w:pPr>
          </w:p>
        </w:tc>
        <w:tc>
          <w:tcPr>
            <w:tcW w:w="992" w:type="dxa"/>
            <w:tcBorders>
              <w:left w:val="single" w:sz="2" w:space="0" w:color="000000"/>
              <w:right w:val="single" w:sz="2" w:space="0" w:color="000000"/>
            </w:tcBorders>
            <w:shd w:val="clear" w:color="auto" w:fill="auto"/>
          </w:tcPr>
          <w:p w14:paraId="71B1039F" w14:textId="77777777" w:rsidR="00191E41" w:rsidRPr="00191E41" w:rsidRDefault="00191E41" w:rsidP="00191E41">
            <w:pPr>
              <w:jc w:val="right"/>
              <w:rPr>
                <w:sz w:val="18"/>
                <w:szCs w:val="18"/>
              </w:rPr>
            </w:pPr>
          </w:p>
        </w:tc>
        <w:tc>
          <w:tcPr>
            <w:tcW w:w="899" w:type="dxa"/>
            <w:tcBorders>
              <w:left w:val="single" w:sz="2" w:space="0" w:color="000000"/>
              <w:right w:val="single" w:sz="2" w:space="0" w:color="000000"/>
            </w:tcBorders>
            <w:shd w:val="clear" w:color="auto" w:fill="auto"/>
          </w:tcPr>
          <w:p w14:paraId="2EE4D430" w14:textId="77777777" w:rsidR="00191E41" w:rsidRPr="00191E41" w:rsidRDefault="00191E41" w:rsidP="00191E41">
            <w:pPr>
              <w:jc w:val="right"/>
              <w:rPr>
                <w:sz w:val="18"/>
                <w:szCs w:val="18"/>
              </w:rPr>
            </w:pPr>
          </w:p>
        </w:tc>
        <w:tc>
          <w:tcPr>
            <w:tcW w:w="1165" w:type="dxa"/>
            <w:tcBorders>
              <w:left w:val="single" w:sz="2" w:space="0" w:color="000000"/>
              <w:right w:val="single" w:sz="2" w:space="0" w:color="000000"/>
            </w:tcBorders>
            <w:shd w:val="clear" w:color="auto" w:fill="auto"/>
          </w:tcPr>
          <w:p w14:paraId="1BACFECB" w14:textId="77777777" w:rsidR="00191E41" w:rsidRPr="00191E41" w:rsidRDefault="00191E41" w:rsidP="00191E41">
            <w:pPr>
              <w:ind w:right="57"/>
              <w:jc w:val="right"/>
              <w:rPr>
                <w:iCs/>
                <w:sz w:val="18"/>
                <w:szCs w:val="18"/>
              </w:rPr>
            </w:pPr>
            <w:r w:rsidRPr="00191E41">
              <w:rPr>
                <w:iCs/>
                <w:sz w:val="18"/>
                <w:szCs w:val="18"/>
              </w:rPr>
              <w:t>228 190.0</w:t>
            </w:r>
          </w:p>
        </w:tc>
      </w:tr>
      <w:tr w:rsidR="00191E41" w:rsidRPr="00191E41" w14:paraId="0E1A39C2" w14:textId="77777777" w:rsidTr="001E7D79">
        <w:trPr>
          <w:jc w:val="center"/>
        </w:trPr>
        <w:tc>
          <w:tcPr>
            <w:tcW w:w="2751" w:type="dxa"/>
            <w:tcBorders>
              <w:left w:val="single" w:sz="2" w:space="0" w:color="000000"/>
              <w:right w:val="single" w:sz="2" w:space="0" w:color="000000"/>
            </w:tcBorders>
            <w:shd w:val="clear" w:color="auto" w:fill="auto"/>
          </w:tcPr>
          <w:p w14:paraId="5972F6AC" w14:textId="77777777" w:rsidR="00191E41" w:rsidRPr="00191E41" w:rsidRDefault="00191E41" w:rsidP="00191E41">
            <w:pPr>
              <w:rPr>
                <w:rFonts w:eastAsia="Times New Roman"/>
                <w:b/>
                <w:sz w:val="16"/>
                <w:szCs w:val="16"/>
              </w:rPr>
            </w:pPr>
            <w:r w:rsidRPr="00191E41">
              <w:rPr>
                <w:rFonts w:eastAsia="Times New Roman"/>
                <w:b/>
                <w:sz w:val="16"/>
                <w:szCs w:val="16"/>
              </w:rPr>
              <w:t>3. Deuda Bruta</w:t>
            </w:r>
          </w:p>
        </w:tc>
        <w:tc>
          <w:tcPr>
            <w:tcW w:w="1243" w:type="dxa"/>
            <w:tcBorders>
              <w:left w:val="single" w:sz="2" w:space="0" w:color="000000"/>
              <w:right w:val="single" w:sz="2" w:space="0" w:color="000000"/>
            </w:tcBorders>
            <w:shd w:val="clear" w:color="auto" w:fill="auto"/>
          </w:tcPr>
          <w:p w14:paraId="2A6E1361" w14:textId="77777777" w:rsidR="00191E41" w:rsidRPr="00191E41" w:rsidRDefault="00191E41" w:rsidP="00191E41">
            <w:pPr>
              <w:ind w:right="170"/>
              <w:jc w:val="right"/>
              <w:rPr>
                <w:b/>
                <w:sz w:val="18"/>
                <w:szCs w:val="18"/>
              </w:rPr>
            </w:pPr>
            <w:r w:rsidRPr="00191E41">
              <w:rPr>
                <w:b/>
                <w:sz w:val="18"/>
                <w:szCs w:val="18"/>
              </w:rPr>
              <w:t>4 546 619.6</w:t>
            </w:r>
          </w:p>
        </w:tc>
        <w:tc>
          <w:tcPr>
            <w:tcW w:w="1225" w:type="dxa"/>
            <w:tcBorders>
              <w:left w:val="single" w:sz="2" w:space="0" w:color="000000"/>
              <w:right w:val="single" w:sz="2" w:space="0" w:color="000000"/>
            </w:tcBorders>
            <w:shd w:val="clear" w:color="auto" w:fill="auto"/>
          </w:tcPr>
          <w:p w14:paraId="5BEA437B" w14:textId="77777777" w:rsidR="00191E41" w:rsidRPr="00191E41" w:rsidRDefault="00191E41" w:rsidP="00191E41">
            <w:pPr>
              <w:ind w:right="113"/>
              <w:jc w:val="right"/>
              <w:rPr>
                <w:b/>
                <w:sz w:val="18"/>
                <w:szCs w:val="18"/>
              </w:rPr>
            </w:pPr>
            <w:r w:rsidRPr="00191E41">
              <w:rPr>
                <w:b/>
                <w:sz w:val="18"/>
                <w:szCs w:val="18"/>
              </w:rPr>
              <w:t>217 923.3</w:t>
            </w:r>
          </w:p>
        </w:tc>
        <w:tc>
          <w:tcPr>
            <w:tcW w:w="1076" w:type="dxa"/>
            <w:tcBorders>
              <w:left w:val="single" w:sz="2" w:space="0" w:color="000000"/>
              <w:right w:val="single" w:sz="2" w:space="0" w:color="000000"/>
            </w:tcBorders>
            <w:shd w:val="clear" w:color="auto" w:fill="auto"/>
          </w:tcPr>
          <w:p w14:paraId="452BBE51" w14:textId="77777777" w:rsidR="00191E41" w:rsidRPr="00191E41" w:rsidRDefault="00191E41" w:rsidP="00191E41">
            <w:pPr>
              <w:jc w:val="right"/>
              <w:rPr>
                <w:b/>
                <w:sz w:val="18"/>
                <w:szCs w:val="18"/>
              </w:rPr>
            </w:pPr>
            <w:r w:rsidRPr="00191E41">
              <w:rPr>
                <w:b/>
                <w:sz w:val="18"/>
                <w:szCs w:val="18"/>
              </w:rPr>
              <w:t>165 644.0</w:t>
            </w:r>
          </w:p>
        </w:tc>
        <w:tc>
          <w:tcPr>
            <w:tcW w:w="992" w:type="dxa"/>
            <w:tcBorders>
              <w:left w:val="single" w:sz="2" w:space="0" w:color="000000"/>
              <w:right w:val="single" w:sz="2" w:space="0" w:color="000000"/>
            </w:tcBorders>
            <w:shd w:val="clear" w:color="auto" w:fill="auto"/>
          </w:tcPr>
          <w:p w14:paraId="3A311433" w14:textId="77777777" w:rsidR="00191E41" w:rsidRPr="00191E41" w:rsidRDefault="00191E41" w:rsidP="00191E41">
            <w:pPr>
              <w:jc w:val="right"/>
              <w:rPr>
                <w:b/>
                <w:sz w:val="18"/>
                <w:szCs w:val="18"/>
              </w:rPr>
            </w:pPr>
            <w:r w:rsidRPr="00191E41">
              <w:rPr>
                <w:b/>
                <w:sz w:val="18"/>
                <w:szCs w:val="18"/>
              </w:rPr>
              <w:t>52 279.3</w:t>
            </w:r>
          </w:p>
        </w:tc>
        <w:tc>
          <w:tcPr>
            <w:tcW w:w="899" w:type="dxa"/>
            <w:tcBorders>
              <w:left w:val="single" w:sz="2" w:space="0" w:color="000000"/>
              <w:right w:val="single" w:sz="2" w:space="0" w:color="000000"/>
            </w:tcBorders>
            <w:shd w:val="clear" w:color="auto" w:fill="auto"/>
          </w:tcPr>
          <w:p w14:paraId="07E0BC27" w14:textId="77777777" w:rsidR="00191E41" w:rsidRPr="00191E41" w:rsidRDefault="00191E41" w:rsidP="00191E41">
            <w:pPr>
              <w:ind w:left="-57" w:right="57"/>
              <w:jc w:val="right"/>
              <w:rPr>
                <w:b/>
                <w:sz w:val="18"/>
                <w:szCs w:val="18"/>
              </w:rPr>
            </w:pPr>
            <w:r w:rsidRPr="00191E41">
              <w:rPr>
                <w:b/>
                <w:sz w:val="18"/>
                <w:szCs w:val="18"/>
              </w:rPr>
              <w:t>4 588.9</w:t>
            </w:r>
          </w:p>
        </w:tc>
        <w:tc>
          <w:tcPr>
            <w:tcW w:w="1165" w:type="dxa"/>
            <w:tcBorders>
              <w:left w:val="single" w:sz="2" w:space="0" w:color="000000"/>
              <w:right w:val="single" w:sz="2" w:space="0" w:color="000000"/>
            </w:tcBorders>
            <w:shd w:val="clear" w:color="auto" w:fill="auto"/>
          </w:tcPr>
          <w:p w14:paraId="539ECC8E" w14:textId="77777777" w:rsidR="00191E41" w:rsidRPr="00191E41" w:rsidRDefault="00191E41" w:rsidP="00191E41">
            <w:pPr>
              <w:ind w:right="57"/>
              <w:jc w:val="right"/>
              <w:rPr>
                <w:b/>
                <w:iCs/>
                <w:sz w:val="18"/>
                <w:szCs w:val="18"/>
              </w:rPr>
            </w:pPr>
            <w:r w:rsidRPr="00191E41">
              <w:rPr>
                <w:b/>
                <w:iCs/>
                <w:sz w:val="18"/>
                <w:szCs w:val="18"/>
              </w:rPr>
              <w:t>4 603 487.8</w:t>
            </w:r>
          </w:p>
        </w:tc>
      </w:tr>
      <w:tr w:rsidR="00191E41" w:rsidRPr="00191E41" w14:paraId="547C61E1" w14:textId="77777777" w:rsidTr="001E7D79">
        <w:trPr>
          <w:jc w:val="center"/>
        </w:trPr>
        <w:tc>
          <w:tcPr>
            <w:tcW w:w="2751" w:type="dxa"/>
            <w:tcBorders>
              <w:left w:val="single" w:sz="2" w:space="0" w:color="000000"/>
              <w:right w:val="single" w:sz="2" w:space="0" w:color="000000"/>
            </w:tcBorders>
            <w:shd w:val="clear" w:color="auto" w:fill="auto"/>
          </w:tcPr>
          <w:p w14:paraId="1F26769C" w14:textId="77777777" w:rsidR="00191E41" w:rsidRPr="00191E41" w:rsidRDefault="00191E41" w:rsidP="00191E41">
            <w:pPr>
              <w:ind w:left="170"/>
              <w:rPr>
                <w:rFonts w:eastAsia="Times New Roman"/>
                <w:sz w:val="16"/>
                <w:szCs w:val="16"/>
              </w:rPr>
            </w:pPr>
            <w:r w:rsidRPr="00191E41">
              <w:rPr>
                <w:rFonts w:eastAsia="Times New Roman"/>
                <w:sz w:val="16"/>
                <w:szCs w:val="16"/>
              </w:rPr>
              <w:t>Valores</w:t>
            </w:r>
          </w:p>
        </w:tc>
        <w:tc>
          <w:tcPr>
            <w:tcW w:w="1243" w:type="dxa"/>
            <w:tcBorders>
              <w:left w:val="single" w:sz="2" w:space="0" w:color="000000"/>
              <w:right w:val="single" w:sz="2" w:space="0" w:color="000000"/>
            </w:tcBorders>
            <w:shd w:val="clear" w:color="auto" w:fill="auto"/>
          </w:tcPr>
          <w:p w14:paraId="21A0FBD1" w14:textId="77777777" w:rsidR="00191E41" w:rsidRPr="00191E41" w:rsidRDefault="00191E41" w:rsidP="00191E41">
            <w:pPr>
              <w:ind w:right="170"/>
              <w:jc w:val="right"/>
              <w:rPr>
                <w:sz w:val="18"/>
                <w:szCs w:val="18"/>
              </w:rPr>
            </w:pPr>
            <w:r w:rsidRPr="00191E41">
              <w:rPr>
                <w:sz w:val="18"/>
                <w:szCs w:val="18"/>
              </w:rPr>
              <w:t>4 223 281.4</w:t>
            </w:r>
          </w:p>
        </w:tc>
        <w:tc>
          <w:tcPr>
            <w:tcW w:w="1225" w:type="dxa"/>
            <w:tcBorders>
              <w:left w:val="single" w:sz="2" w:space="0" w:color="000000"/>
              <w:right w:val="single" w:sz="2" w:space="0" w:color="000000"/>
            </w:tcBorders>
            <w:shd w:val="clear" w:color="auto" w:fill="auto"/>
          </w:tcPr>
          <w:p w14:paraId="37E93CCB" w14:textId="77777777" w:rsidR="00191E41" w:rsidRPr="00191E41" w:rsidRDefault="00191E41" w:rsidP="00191E41">
            <w:pPr>
              <w:ind w:right="113"/>
              <w:jc w:val="right"/>
              <w:rPr>
                <w:sz w:val="18"/>
                <w:szCs w:val="18"/>
              </w:rPr>
            </w:pPr>
            <w:r w:rsidRPr="00191E41">
              <w:rPr>
                <w:sz w:val="18"/>
                <w:szCs w:val="18"/>
              </w:rPr>
              <w:t>192 796.3</w:t>
            </w:r>
          </w:p>
        </w:tc>
        <w:tc>
          <w:tcPr>
            <w:tcW w:w="1076" w:type="dxa"/>
            <w:tcBorders>
              <w:left w:val="single" w:sz="2" w:space="0" w:color="000000"/>
              <w:right w:val="single" w:sz="2" w:space="0" w:color="000000"/>
            </w:tcBorders>
            <w:shd w:val="clear" w:color="auto" w:fill="auto"/>
          </w:tcPr>
          <w:p w14:paraId="09CE169C" w14:textId="77777777" w:rsidR="00191E41" w:rsidRPr="00191E41" w:rsidRDefault="00191E41" w:rsidP="00191E41">
            <w:pPr>
              <w:jc w:val="right"/>
              <w:rPr>
                <w:sz w:val="18"/>
                <w:szCs w:val="18"/>
              </w:rPr>
            </w:pPr>
            <w:r w:rsidRPr="00191E41">
              <w:rPr>
                <w:sz w:val="18"/>
                <w:szCs w:val="18"/>
              </w:rPr>
              <w:t>141 027.6</w:t>
            </w:r>
          </w:p>
        </w:tc>
        <w:tc>
          <w:tcPr>
            <w:tcW w:w="992" w:type="dxa"/>
            <w:tcBorders>
              <w:left w:val="single" w:sz="2" w:space="0" w:color="000000"/>
              <w:right w:val="single" w:sz="2" w:space="0" w:color="000000"/>
            </w:tcBorders>
            <w:shd w:val="clear" w:color="auto" w:fill="auto"/>
          </w:tcPr>
          <w:p w14:paraId="42461080" w14:textId="77777777" w:rsidR="00191E41" w:rsidRPr="00191E41" w:rsidRDefault="00191E41" w:rsidP="00191E41">
            <w:pPr>
              <w:jc w:val="right"/>
              <w:rPr>
                <w:sz w:val="18"/>
                <w:szCs w:val="18"/>
              </w:rPr>
            </w:pPr>
            <w:r w:rsidRPr="00191E41">
              <w:rPr>
                <w:sz w:val="18"/>
                <w:szCs w:val="18"/>
              </w:rPr>
              <w:t>51 768.7</w:t>
            </w:r>
          </w:p>
        </w:tc>
        <w:tc>
          <w:tcPr>
            <w:tcW w:w="899" w:type="dxa"/>
            <w:tcBorders>
              <w:left w:val="single" w:sz="2" w:space="0" w:color="000000"/>
              <w:right w:val="single" w:sz="2" w:space="0" w:color="000000"/>
            </w:tcBorders>
            <w:shd w:val="clear" w:color="auto" w:fill="auto"/>
          </w:tcPr>
          <w:p w14:paraId="14F3D053" w14:textId="77777777" w:rsidR="00191E41" w:rsidRPr="00191E41" w:rsidRDefault="00191E41" w:rsidP="00191E41">
            <w:pPr>
              <w:ind w:left="-57" w:right="57"/>
              <w:jc w:val="right"/>
              <w:rPr>
                <w:sz w:val="18"/>
                <w:szCs w:val="18"/>
              </w:rPr>
            </w:pPr>
            <w:r w:rsidRPr="00191E41">
              <w:rPr>
                <w:sz w:val="18"/>
                <w:szCs w:val="18"/>
              </w:rPr>
              <w:t>3 119.0</w:t>
            </w:r>
          </w:p>
        </w:tc>
        <w:tc>
          <w:tcPr>
            <w:tcW w:w="1165" w:type="dxa"/>
            <w:tcBorders>
              <w:left w:val="single" w:sz="2" w:space="0" w:color="000000"/>
              <w:right w:val="single" w:sz="2" w:space="0" w:color="000000"/>
            </w:tcBorders>
            <w:shd w:val="clear" w:color="auto" w:fill="auto"/>
          </w:tcPr>
          <w:p w14:paraId="688BC11D" w14:textId="77777777" w:rsidR="00191E41" w:rsidRPr="00191E41" w:rsidRDefault="00191E41" w:rsidP="00191E41">
            <w:pPr>
              <w:ind w:right="57"/>
              <w:jc w:val="right"/>
              <w:rPr>
                <w:iCs/>
                <w:sz w:val="18"/>
                <w:szCs w:val="18"/>
              </w:rPr>
            </w:pPr>
            <w:r w:rsidRPr="00191E41">
              <w:rPr>
                <w:iCs/>
                <w:sz w:val="18"/>
                <w:szCs w:val="18"/>
              </w:rPr>
              <w:t>4 278 169.1</w:t>
            </w:r>
          </w:p>
        </w:tc>
      </w:tr>
      <w:tr w:rsidR="00191E41" w:rsidRPr="00191E41" w14:paraId="33D43F3C" w14:textId="77777777" w:rsidTr="001E7D79">
        <w:trPr>
          <w:jc w:val="center"/>
        </w:trPr>
        <w:tc>
          <w:tcPr>
            <w:tcW w:w="2751" w:type="dxa"/>
            <w:tcBorders>
              <w:left w:val="single" w:sz="2" w:space="0" w:color="000000"/>
              <w:right w:val="single" w:sz="2" w:space="0" w:color="000000"/>
            </w:tcBorders>
            <w:shd w:val="clear" w:color="auto" w:fill="auto"/>
          </w:tcPr>
          <w:p w14:paraId="42C3E79A" w14:textId="77777777" w:rsidR="00191E41" w:rsidRPr="00191E41" w:rsidRDefault="00191E41" w:rsidP="00191E41">
            <w:pPr>
              <w:ind w:left="284"/>
              <w:rPr>
                <w:rFonts w:eastAsia="Times New Roman"/>
                <w:sz w:val="16"/>
                <w:szCs w:val="16"/>
              </w:rPr>
            </w:pPr>
            <w:r w:rsidRPr="00191E41">
              <w:rPr>
                <w:rFonts w:eastAsia="Times New Roman"/>
                <w:sz w:val="16"/>
                <w:szCs w:val="16"/>
              </w:rPr>
              <w:t>Cetes</w:t>
            </w:r>
          </w:p>
        </w:tc>
        <w:tc>
          <w:tcPr>
            <w:tcW w:w="1243" w:type="dxa"/>
            <w:tcBorders>
              <w:left w:val="single" w:sz="2" w:space="0" w:color="000000"/>
              <w:right w:val="single" w:sz="2" w:space="0" w:color="000000"/>
            </w:tcBorders>
            <w:shd w:val="clear" w:color="auto" w:fill="auto"/>
          </w:tcPr>
          <w:p w14:paraId="7098EA3D" w14:textId="77777777" w:rsidR="00191E41" w:rsidRPr="00191E41" w:rsidRDefault="00191E41" w:rsidP="00191E41">
            <w:pPr>
              <w:ind w:right="170"/>
              <w:jc w:val="right"/>
              <w:rPr>
                <w:sz w:val="18"/>
                <w:szCs w:val="18"/>
              </w:rPr>
            </w:pPr>
            <w:r w:rsidRPr="00191E41">
              <w:rPr>
                <w:sz w:val="18"/>
                <w:szCs w:val="18"/>
              </w:rPr>
              <w:t>678 684.4</w:t>
            </w:r>
          </w:p>
        </w:tc>
        <w:tc>
          <w:tcPr>
            <w:tcW w:w="1225" w:type="dxa"/>
            <w:tcBorders>
              <w:left w:val="single" w:sz="2" w:space="0" w:color="000000"/>
              <w:right w:val="single" w:sz="2" w:space="0" w:color="000000"/>
            </w:tcBorders>
            <w:shd w:val="clear" w:color="auto" w:fill="auto"/>
          </w:tcPr>
          <w:p w14:paraId="355F2A8F" w14:textId="77777777" w:rsidR="00191E41" w:rsidRPr="00191E41" w:rsidRDefault="00191E41" w:rsidP="00191E41">
            <w:pPr>
              <w:ind w:right="113"/>
              <w:jc w:val="right"/>
              <w:rPr>
                <w:sz w:val="18"/>
                <w:szCs w:val="18"/>
              </w:rPr>
            </w:pPr>
            <w:r w:rsidRPr="00191E41">
              <w:rPr>
                <w:sz w:val="18"/>
                <w:szCs w:val="18"/>
              </w:rPr>
              <w:t>140 111.3</w:t>
            </w:r>
          </w:p>
        </w:tc>
        <w:tc>
          <w:tcPr>
            <w:tcW w:w="1076" w:type="dxa"/>
            <w:tcBorders>
              <w:left w:val="single" w:sz="2" w:space="0" w:color="000000"/>
              <w:right w:val="single" w:sz="2" w:space="0" w:color="000000"/>
            </w:tcBorders>
            <w:shd w:val="clear" w:color="auto" w:fill="auto"/>
          </w:tcPr>
          <w:p w14:paraId="1EF0884B" w14:textId="77777777" w:rsidR="00191E41" w:rsidRPr="00191E41" w:rsidRDefault="00191E41" w:rsidP="00191E41">
            <w:pPr>
              <w:jc w:val="right"/>
              <w:rPr>
                <w:sz w:val="18"/>
                <w:szCs w:val="18"/>
              </w:rPr>
            </w:pPr>
            <w:r w:rsidRPr="00191E41">
              <w:rPr>
                <w:sz w:val="18"/>
                <w:szCs w:val="18"/>
              </w:rPr>
              <w:t>131 017.6</w:t>
            </w:r>
          </w:p>
        </w:tc>
        <w:tc>
          <w:tcPr>
            <w:tcW w:w="992" w:type="dxa"/>
            <w:tcBorders>
              <w:left w:val="single" w:sz="2" w:space="0" w:color="000000"/>
              <w:right w:val="single" w:sz="2" w:space="0" w:color="000000"/>
            </w:tcBorders>
            <w:shd w:val="clear" w:color="auto" w:fill="auto"/>
          </w:tcPr>
          <w:p w14:paraId="0CA95EA5" w14:textId="77777777" w:rsidR="00191E41" w:rsidRPr="00191E41" w:rsidRDefault="00191E41" w:rsidP="00191E41">
            <w:pPr>
              <w:jc w:val="right"/>
              <w:rPr>
                <w:sz w:val="18"/>
                <w:szCs w:val="18"/>
              </w:rPr>
            </w:pPr>
            <w:r w:rsidRPr="00191E41">
              <w:rPr>
                <w:sz w:val="18"/>
                <w:szCs w:val="18"/>
              </w:rPr>
              <w:t>9 093.7</w:t>
            </w:r>
          </w:p>
        </w:tc>
        <w:tc>
          <w:tcPr>
            <w:tcW w:w="899" w:type="dxa"/>
            <w:tcBorders>
              <w:left w:val="single" w:sz="2" w:space="0" w:color="000000"/>
              <w:right w:val="single" w:sz="2" w:space="0" w:color="000000"/>
            </w:tcBorders>
            <w:shd w:val="clear" w:color="auto" w:fill="auto"/>
          </w:tcPr>
          <w:p w14:paraId="58A098A9" w14:textId="77777777" w:rsidR="00191E41" w:rsidRPr="00191E41" w:rsidRDefault="00191E41" w:rsidP="00191E41">
            <w:pPr>
              <w:ind w:left="-57" w:right="57"/>
              <w:jc w:val="right"/>
              <w:rPr>
                <w:sz w:val="18"/>
                <w:szCs w:val="18"/>
              </w:rPr>
            </w:pPr>
            <w:r w:rsidRPr="00191E41">
              <w:rPr>
                <w:sz w:val="18"/>
                <w:szCs w:val="18"/>
              </w:rPr>
              <w:t>0.0</w:t>
            </w:r>
          </w:p>
        </w:tc>
        <w:tc>
          <w:tcPr>
            <w:tcW w:w="1165" w:type="dxa"/>
            <w:tcBorders>
              <w:left w:val="single" w:sz="2" w:space="0" w:color="000000"/>
              <w:right w:val="single" w:sz="2" w:space="0" w:color="000000"/>
            </w:tcBorders>
            <w:shd w:val="clear" w:color="auto" w:fill="auto"/>
          </w:tcPr>
          <w:p w14:paraId="240D787E" w14:textId="77777777" w:rsidR="00191E41" w:rsidRPr="00191E41" w:rsidRDefault="00191E41" w:rsidP="00191E41">
            <w:pPr>
              <w:ind w:right="57"/>
              <w:jc w:val="right"/>
              <w:rPr>
                <w:iCs/>
                <w:sz w:val="18"/>
                <w:szCs w:val="18"/>
              </w:rPr>
            </w:pPr>
            <w:r w:rsidRPr="00191E41">
              <w:rPr>
                <w:iCs/>
                <w:sz w:val="18"/>
                <w:szCs w:val="18"/>
              </w:rPr>
              <w:t>687 778.1</w:t>
            </w:r>
          </w:p>
        </w:tc>
      </w:tr>
      <w:tr w:rsidR="00191E41" w:rsidRPr="00191E41" w14:paraId="276CABCE" w14:textId="77777777" w:rsidTr="001E7D79">
        <w:trPr>
          <w:jc w:val="center"/>
        </w:trPr>
        <w:tc>
          <w:tcPr>
            <w:tcW w:w="2751" w:type="dxa"/>
            <w:tcBorders>
              <w:left w:val="single" w:sz="2" w:space="0" w:color="000000"/>
              <w:right w:val="single" w:sz="2" w:space="0" w:color="000000"/>
            </w:tcBorders>
            <w:shd w:val="clear" w:color="auto" w:fill="auto"/>
          </w:tcPr>
          <w:p w14:paraId="708AA2E2" w14:textId="77777777" w:rsidR="00191E41" w:rsidRPr="00191E41" w:rsidRDefault="00191E41" w:rsidP="00191E41">
            <w:pPr>
              <w:ind w:left="284"/>
              <w:rPr>
                <w:rFonts w:eastAsia="Times New Roman"/>
                <w:sz w:val="16"/>
                <w:szCs w:val="16"/>
                <w:lang w:val="pt-BR"/>
              </w:rPr>
            </w:pPr>
            <w:r w:rsidRPr="00191E41">
              <w:rPr>
                <w:rFonts w:eastAsia="Times New Roman"/>
                <w:sz w:val="16"/>
                <w:szCs w:val="16"/>
                <w:lang w:val="pt-BR"/>
              </w:rPr>
              <w:t>Bondes “D”</w:t>
            </w:r>
          </w:p>
        </w:tc>
        <w:tc>
          <w:tcPr>
            <w:tcW w:w="1243" w:type="dxa"/>
            <w:tcBorders>
              <w:left w:val="single" w:sz="2" w:space="0" w:color="000000"/>
              <w:right w:val="single" w:sz="2" w:space="0" w:color="000000"/>
            </w:tcBorders>
            <w:shd w:val="clear" w:color="auto" w:fill="auto"/>
          </w:tcPr>
          <w:p w14:paraId="119799E3" w14:textId="77777777" w:rsidR="00191E41" w:rsidRPr="00191E41" w:rsidRDefault="00191E41" w:rsidP="00191E41">
            <w:pPr>
              <w:ind w:right="170"/>
              <w:jc w:val="right"/>
              <w:rPr>
                <w:sz w:val="18"/>
                <w:szCs w:val="18"/>
              </w:rPr>
            </w:pPr>
            <w:r w:rsidRPr="00191E41">
              <w:rPr>
                <w:sz w:val="18"/>
                <w:szCs w:val="18"/>
              </w:rPr>
              <w:t>232 622.0</w:t>
            </w:r>
          </w:p>
        </w:tc>
        <w:tc>
          <w:tcPr>
            <w:tcW w:w="1225" w:type="dxa"/>
            <w:tcBorders>
              <w:left w:val="single" w:sz="2" w:space="0" w:color="000000"/>
              <w:right w:val="single" w:sz="2" w:space="0" w:color="000000"/>
            </w:tcBorders>
            <w:shd w:val="clear" w:color="auto" w:fill="auto"/>
          </w:tcPr>
          <w:p w14:paraId="7FF74E96" w14:textId="77777777" w:rsidR="00191E41" w:rsidRPr="00191E41" w:rsidRDefault="00191E41" w:rsidP="00191E41">
            <w:pPr>
              <w:ind w:right="113"/>
              <w:jc w:val="right"/>
              <w:rPr>
                <w:sz w:val="18"/>
                <w:szCs w:val="18"/>
              </w:rPr>
            </w:pPr>
            <w:r w:rsidRPr="00191E41">
              <w:rPr>
                <w:sz w:val="18"/>
                <w:szCs w:val="18"/>
              </w:rPr>
              <w:t>7 601.4</w:t>
            </w:r>
          </w:p>
        </w:tc>
        <w:tc>
          <w:tcPr>
            <w:tcW w:w="1076" w:type="dxa"/>
            <w:tcBorders>
              <w:left w:val="single" w:sz="2" w:space="0" w:color="000000"/>
              <w:right w:val="single" w:sz="2" w:space="0" w:color="000000"/>
            </w:tcBorders>
            <w:shd w:val="clear" w:color="auto" w:fill="auto"/>
          </w:tcPr>
          <w:p w14:paraId="4D8EC860" w14:textId="77777777" w:rsidR="00191E41" w:rsidRPr="00191E41" w:rsidRDefault="00191E41" w:rsidP="00191E41">
            <w:pPr>
              <w:jc w:val="right"/>
              <w:rPr>
                <w:sz w:val="18"/>
                <w:szCs w:val="18"/>
              </w:rPr>
            </w:pPr>
            <w:r w:rsidRPr="00191E41">
              <w:rPr>
                <w:sz w:val="18"/>
                <w:szCs w:val="18"/>
              </w:rPr>
              <w:t>10 010.0</w:t>
            </w:r>
          </w:p>
        </w:tc>
        <w:tc>
          <w:tcPr>
            <w:tcW w:w="992" w:type="dxa"/>
            <w:tcBorders>
              <w:left w:val="single" w:sz="2" w:space="0" w:color="000000"/>
              <w:right w:val="single" w:sz="2" w:space="0" w:color="000000"/>
            </w:tcBorders>
            <w:shd w:val="clear" w:color="auto" w:fill="auto"/>
          </w:tcPr>
          <w:p w14:paraId="79A9FCB0" w14:textId="77777777" w:rsidR="00191E41" w:rsidRPr="00191E41" w:rsidRDefault="00191E41" w:rsidP="00191E41">
            <w:pPr>
              <w:jc w:val="right"/>
              <w:rPr>
                <w:sz w:val="18"/>
                <w:szCs w:val="18"/>
              </w:rPr>
            </w:pPr>
            <w:r w:rsidRPr="00191E41">
              <w:rPr>
                <w:sz w:val="18"/>
                <w:szCs w:val="18"/>
              </w:rPr>
              <w:t>-2 408.6</w:t>
            </w:r>
          </w:p>
        </w:tc>
        <w:tc>
          <w:tcPr>
            <w:tcW w:w="899" w:type="dxa"/>
            <w:tcBorders>
              <w:left w:val="single" w:sz="2" w:space="0" w:color="000000"/>
              <w:right w:val="single" w:sz="2" w:space="0" w:color="000000"/>
            </w:tcBorders>
            <w:shd w:val="clear" w:color="auto" w:fill="auto"/>
          </w:tcPr>
          <w:p w14:paraId="094FE8C6" w14:textId="77777777" w:rsidR="00191E41" w:rsidRPr="00191E41" w:rsidRDefault="00191E41" w:rsidP="00191E41">
            <w:pPr>
              <w:ind w:left="-57" w:right="57"/>
              <w:jc w:val="right"/>
              <w:rPr>
                <w:sz w:val="18"/>
                <w:szCs w:val="18"/>
              </w:rPr>
            </w:pPr>
            <w:r w:rsidRPr="00191E41">
              <w:rPr>
                <w:sz w:val="18"/>
                <w:szCs w:val="18"/>
              </w:rPr>
              <w:t>0.0</w:t>
            </w:r>
          </w:p>
        </w:tc>
        <w:tc>
          <w:tcPr>
            <w:tcW w:w="1165" w:type="dxa"/>
            <w:tcBorders>
              <w:left w:val="single" w:sz="2" w:space="0" w:color="000000"/>
              <w:right w:val="single" w:sz="2" w:space="0" w:color="000000"/>
            </w:tcBorders>
            <w:shd w:val="clear" w:color="auto" w:fill="auto"/>
          </w:tcPr>
          <w:p w14:paraId="59A198B8" w14:textId="77777777" w:rsidR="00191E41" w:rsidRPr="00191E41" w:rsidRDefault="00191E41" w:rsidP="00191E41">
            <w:pPr>
              <w:ind w:right="57"/>
              <w:jc w:val="right"/>
              <w:rPr>
                <w:iCs/>
                <w:sz w:val="18"/>
                <w:szCs w:val="18"/>
              </w:rPr>
            </w:pPr>
            <w:r w:rsidRPr="00191E41">
              <w:rPr>
                <w:iCs/>
                <w:sz w:val="18"/>
                <w:szCs w:val="18"/>
              </w:rPr>
              <w:t>230 213.4</w:t>
            </w:r>
          </w:p>
        </w:tc>
      </w:tr>
      <w:tr w:rsidR="00191E41" w:rsidRPr="00191E41" w14:paraId="60A2455A" w14:textId="77777777" w:rsidTr="001E7D79">
        <w:trPr>
          <w:jc w:val="center"/>
        </w:trPr>
        <w:tc>
          <w:tcPr>
            <w:tcW w:w="2751" w:type="dxa"/>
            <w:tcBorders>
              <w:left w:val="single" w:sz="2" w:space="0" w:color="000000"/>
              <w:right w:val="single" w:sz="2" w:space="0" w:color="000000"/>
            </w:tcBorders>
            <w:shd w:val="clear" w:color="auto" w:fill="auto"/>
          </w:tcPr>
          <w:p w14:paraId="0F07B2F7" w14:textId="77777777" w:rsidR="00191E41" w:rsidRPr="00191E41" w:rsidRDefault="00191E41" w:rsidP="00191E41">
            <w:pPr>
              <w:ind w:left="284"/>
              <w:rPr>
                <w:rFonts w:eastAsia="Times New Roman"/>
                <w:sz w:val="16"/>
                <w:szCs w:val="16"/>
                <w:lang w:val="es-ES"/>
              </w:rPr>
            </w:pPr>
            <w:r w:rsidRPr="00191E41">
              <w:rPr>
                <w:rFonts w:eastAsia="Times New Roman"/>
                <w:sz w:val="16"/>
                <w:szCs w:val="16"/>
                <w:lang w:val="es-ES"/>
              </w:rPr>
              <w:t>Bonos de desarrollo tasa fija</w:t>
            </w:r>
          </w:p>
        </w:tc>
        <w:tc>
          <w:tcPr>
            <w:tcW w:w="1243" w:type="dxa"/>
            <w:tcBorders>
              <w:left w:val="single" w:sz="2" w:space="0" w:color="000000"/>
              <w:right w:val="single" w:sz="2" w:space="0" w:color="000000"/>
            </w:tcBorders>
            <w:shd w:val="clear" w:color="auto" w:fill="auto"/>
          </w:tcPr>
          <w:p w14:paraId="356958E4" w14:textId="77777777" w:rsidR="00191E41" w:rsidRPr="00191E41" w:rsidRDefault="00191E41" w:rsidP="00191E41">
            <w:pPr>
              <w:ind w:right="170"/>
              <w:jc w:val="right"/>
              <w:rPr>
                <w:sz w:val="18"/>
                <w:szCs w:val="18"/>
              </w:rPr>
            </w:pPr>
            <w:r w:rsidRPr="00191E41">
              <w:rPr>
                <w:sz w:val="18"/>
                <w:szCs w:val="18"/>
              </w:rPr>
              <w:t>2 295 828.3</w:t>
            </w:r>
          </w:p>
        </w:tc>
        <w:tc>
          <w:tcPr>
            <w:tcW w:w="1225" w:type="dxa"/>
            <w:tcBorders>
              <w:left w:val="single" w:sz="2" w:space="0" w:color="000000"/>
              <w:right w:val="single" w:sz="2" w:space="0" w:color="000000"/>
            </w:tcBorders>
            <w:shd w:val="clear" w:color="auto" w:fill="auto"/>
          </w:tcPr>
          <w:p w14:paraId="2583EE48" w14:textId="77777777" w:rsidR="00191E41" w:rsidRPr="00191E41" w:rsidRDefault="00191E41" w:rsidP="00191E41">
            <w:pPr>
              <w:ind w:right="113"/>
              <w:jc w:val="right"/>
              <w:rPr>
                <w:sz w:val="18"/>
                <w:szCs w:val="18"/>
              </w:rPr>
            </w:pPr>
            <w:r w:rsidRPr="00191E41">
              <w:rPr>
                <w:sz w:val="18"/>
                <w:szCs w:val="18"/>
              </w:rPr>
              <w:t>31 075.5</w:t>
            </w:r>
          </w:p>
        </w:tc>
        <w:tc>
          <w:tcPr>
            <w:tcW w:w="1076" w:type="dxa"/>
            <w:tcBorders>
              <w:left w:val="single" w:sz="2" w:space="0" w:color="000000"/>
              <w:right w:val="single" w:sz="2" w:space="0" w:color="000000"/>
            </w:tcBorders>
            <w:shd w:val="clear" w:color="auto" w:fill="auto"/>
          </w:tcPr>
          <w:p w14:paraId="5159169F" w14:textId="77777777" w:rsidR="00191E41" w:rsidRPr="00191E41" w:rsidRDefault="00191E41" w:rsidP="00191E41">
            <w:pPr>
              <w:jc w:val="right"/>
              <w:rPr>
                <w:sz w:val="18"/>
                <w:szCs w:val="18"/>
              </w:rPr>
            </w:pPr>
            <w:r w:rsidRPr="00191E41">
              <w:rPr>
                <w:sz w:val="18"/>
                <w:szCs w:val="18"/>
              </w:rPr>
              <w:t>0.0</w:t>
            </w:r>
          </w:p>
        </w:tc>
        <w:tc>
          <w:tcPr>
            <w:tcW w:w="992" w:type="dxa"/>
            <w:tcBorders>
              <w:left w:val="single" w:sz="2" w:space="0" w:color="000000"/>
              <w:right w:val="single" w:sz="2" w:space="0" w:color="000000"/>
            </w:tcBorders>
            <w:shd w:val="clear" w:color="auto" w:fill="auto"/>
          </w:tcPr>
          <w:p w14:paraId="61C5C320" w14:textId="77777777" w:rsidR="00191E41" w:rsidRPr="00191E41" w:rsidRDefault="00191E41" w:rsidP="00191E41">
            <w:pPr>
              <w:jc w:val="right"/>
              <w:rPr>
                <w:sz w:val="18"/>
                <w:szCs w:val="18"/>
              </w:rPr>
            </w:pPr>
            <w:r w:rsidRPr="00191E41">
              <w:rPr>
                <w:sz w:val="18"/>
                <w:szCs w:val="18"/>
              </w:rPr>
              <w:t>31 075.5</w:t>
            </w:r>
          </w:p>
        </w:tc>
        <w:tc>
          <w:tcPr>
            <w:tcW w:w="899" w:type="dxa"/>
            <w:tcBorders>
              <w:left w:val="single" w:sz="2" w:space="0" w:color="000000"/>
              <w:right w:val="single" w:sz="2" w:space="0" w:color="000000"/>
            </w:tcBorders>
            <w:shd w:val="clear" w:color="auto" w:fill="auto"/>
          </w:tcPr>
          <w:p w14:paraId="7ADB9C01" w14:textId="77777777" w:rsidR="00191E41" w:rsidRPr="00191E41" w:rsidRDefault="00191E41" w:rsidP="00191E41">
            <w:pPr>
              <w:ind w:left="-57" w:right="57"/>
              <w:jc w:val="right"/>
              <w:rPr>
                <w:sz w:val="18"/>
                <w:szCs w:val="18"/>
              </w:rPr>
            </w:pPr>
            <w:r w:rsidRPr="00191E41">
              <w:rPr>
                <w:sz w:val="18"/>
                <w:szCs w:val="18"/>
              </w:rPr>
              <w:t>0.0</w:t>
            </w:r>
          </w:p>
        </w:tc>
        <w:tc>
          <w:tcPr>
            <w:tcW w:w="1165" w:type="dxa"/>
            <w:tcBorders>
              <w:left w:val="single" w:sz="2" w:space="0" w:color="000000"/>
              <w:right w:val="single" w:sz="2" w:space="0" w:color="000000"/>
            </w:tcBorders>
            <w:shd w:val="clear" w:color="auto" w:fill="auto"/>
          </w:tcPr>
          <w:p w14:paraId="55FCDC75" w14:textId="77777777" w:rsidR="00191E41" w:rsidRPr="00191E41" w:rsidRDefault="00191E41" w:rsidP="00191E41">
            <w:pPr>
              <w:ind w:right="57"/>
              <w:jc w:val="right"/>
              <w:rPr>
                <w:iCs/>
                <w:sz w:val="18"/>
                <w:szCs w:val="18"/>
              </w:rPr>
            </w:pPr>
            <w:r w:rsidRPr="00191E41">
              <w:rPr>
                <w:iCs/>
                <w:sz w:val="18"/>
                <w:szCs w:val="18"/>
              </w:rPr>
              <w:t>2 326 903.8</w:t>
            </w:r>
          </w:p>
        </w:tc>
      </w:tr>
      <w:tr w:rsidR="00191E41" w:rsidRPr="00191E41" w14:paraId="7BD165CE" w14:textId="77777777" w:rsidTr="001E7D79">
        <w:trPr>
          <w:jc w:val="center"/>
        </w:trPr>
        <w:tc>
          <w:tcPr>
            <w:tcW w:w="2751" w:type="dxa"/>
            <w:tcBorders>
              <w:left w:val="single" w:sz="2" w:space="0" w:color="000000"/>
              <w:right w:val="single" w:sz="2" w:space="0" w:color="000000"/>
            </w:tcBorders>
            <w:shd w:val="clear" w:color="auto" w:fill="auto"/>
          </w:tcPr>
          <w:p w14:paraId="4C4B6729" w14:textId="77777777" w:rsidR="00191E41" w:rsidRPr="00191E41" w:rsidRDefault="00191E41" w:rsidP="00191E41">
            <w:pPr>
              <w:ind w:left="284"/>
              <w:rPr>
                <w:rFonts w:eastAsia="Times New Roman"/>
                <w:sz w:val="16"/>
                <w:szCs w:val="16"/>
                <w:lang w:val="pt-BR"/>
              </w:rPr>
            </w:pPr>
            <w:r w:rsidRPr="00191E41">
              <w:rPr>
                <w:rFonts w:eastAsia="Times New Roman"/>
                <w:sz w:val="16"/>
                <w:szCs w:val="16"/>
                <w:lang w:val="pt-BR"/>
              </w:rPr>
              <w:t>Udibonos</w:t>
            </w:r>
          </w:p>
        </w:tc>
        <w:tc>
          <w:tcPr>
            <w:tcW w:w="1243" w:type="dxa"/>
            <w:tcBorders>
              <w:left w:val="single" w:sz="2" w:space="0" w:color="000000"/>
              <w:right w:val="single" w:sz="2" w:space="0" w:color="000000"/>
            </w:tcBorders>
            <w:shd w:val="clear" w:color="auto" w:fill="auto"/>
          </w:tcPr>
          <w:p w14:paraId="03C16518" w14:textId="77777777" w:rsidR="00191E41" w:rsidRPr="00191E41" w:rsidRDefault="00191E41" w:rsidP="00191E41">
            <w:pPr>
              <w:ind w:right="170"/>
              <w:jc w:val="right"/>
              <w:rPr>
                <w:sz w:val="18"/>
                <w:szCs w:val="18"/>
              </w:rPr>
            </w:pPr>
            <w:r w:rsidRPr="00191E41">
              <w:rPr>
                <w:sz w:val="18"/>
                <w:szCs w:val="18"/>
              </w:rPr>
              <w:t>1 011 075.6</w:t>
            </w:r>
          </w:p>
        </w:tc>
        <w:tc>
          <w:tcPr>
            <w:tcW w:w="1225" w:type="dxa"/>
            <w:tcBorders>
              <w:left w:val="single" w:sz="2" w:space="0" w:color="000000"/>
              <w:right w:val="single" w:sz="2" w:space="0" w:color="000000"/>
            </w:tcBorders>
            <w:shd w:val="clear" w:color="auto" w:fill="auto"/>
          </w:tcPr>
          <w:p w14:paraId="2D4FEAFD" w14:textId="77777777" w:rsidR="00191E41" w:rsidRPr="00191E41" w:rsidRDefault="00191E41" w:rsidP="00191E41">
            <w:pPr>
              <w:ind w:right="113"/>
              <w:jc w:val="right"/>
              <w:rPr>
                <w:sz w:val="18"/>
                <w:szCs w:val="18"/>
              </w:rPr>
            </w:pPr>
            <w:r w:rsidRPr="00191E41">
              <w:rPr>
                <w:sz w:val="18"/>
                <w:szCs w:val="18"/>
              </w:rPr>
              <w:t>14 008.1</w:t>
            </w:r>
          </w:p>
        </w:tc>
        <w:tc>
          <w:tcPr>
            <w:tcW w:w="1076" w:type="dxa"/>
            <w:tcBorders>
              <w:left w:val="single" w:sz="2" w:space="0" w:color="000000"/>
              <w:right w:val="single" w:sz="2" w:space="0" w:color="000000"/>
            </w:tcBorders>
            <w:shd w:val="clear" w:color="auto" w:fill="auto"/>
          </w:tcPr>
          <w:p w14:paraId="6DF6B842" w14:textId="77777777" w:rsidR="00191E41" w:rsidRPr="00191E41" w:rsidRDefault="00191E41" w:rsidP="00191E41">
            <w:pPr>
              <w:jc w:val="right"/>
              <w:rPr>
                <w:sz w:val="18"/>
                <w:szCs w:val="18"/>
              </w:rPr>
            </w:pPr>
            <w:r w:rsidRPr="00191E41">
              <w:rPr>
                <w:sz w:val="18"/>
                <w:szCs w:val="18"/>
              </w:rPr>
              <w:t>0.0</w:t>
            </w:r>
          </w:p>
        </w:tc>
        <w:tc>
          <w:tcPr>
            <w:tcW w:w="992" w:type="dxa"/>
            <w:tcBorders>
              <w:left w:val="single" w:sz="2" w:space="0" w:color="000000"/>
              <w:right w:val="single" w:sz="2" w:space="0" w:color="000000"/>
            </w:tcBorders>
            <w:shd w:val="clear" w:color="auto" w:fill="auto"/>
          </w:tcPr>
          <w:p w14:paraId="2D07BFB4" w14:textId="77777777" w:rsidR="00191E41" w:rsidRPr="00191E41" w:rsidRDefault="00191E41" w:rsidP="00191E41">
            <w:pPr>
              <w:jc w:val="right"/>
              <w:rPr>
                <w:sz w:val="18"/>
                <w:szCs w:val="18"/>
              </w:rPr>
            </w:pPr>
            <w:r w:rsidRPr="00191E41">
              <w:rPr>
                <w:sz w:val="18"/>
                <w:szCs w:val="18"/>
              </w:rPr>
              <w:t>14 008.1</w:t>
            </w:r>
          </w:p>
        </w:tc>
        <w:tc>
          <w:tcPr>
            <w:tcW w:w="899" w:type="dxa"/>
            <w:tcBorders>
              <w:left w:val="single" w:sz="2" w:space="0" w:color="000000"/>
              <w:right w:val="single" w:sz="2" w:space="0" w:color="000000"/>
            </w:tcBorders>
            <w:shd w:val="clear" w:color="auto" w:fill="auto"/>
          </w:tcPr>
          <w:p w14:paraId="1D521C75" w14:textId="77777777" w:rsidR="00191E41" w:rsidRPr="00191E41" w:rsidRDefault="00191E41" w:rsidP="00191E41">
            <w:pPr>
              <w:ind w:left="-57" w:right="57"/>
              <w:jc w:val="right"/>
              <w:rPr>
                <w:sz w:val="18"/>
                <w:szCs w:val="18"/>
              </w:rPr>
            </w:pPr>
            <w:r w:rsidRPr="00191E41">
              <w:rPr>
                <w:sz w:val="18"/>
                <w:szCs w:val="18"/>
              </w:rPr>
              <w:t>3 103.5</w:t>
            </w:r>
          </w:p>
        </w:tc>
        <w:tc>
          <w:tcPr>
            <w:tcW w:w="1165" w:type="dxa"/>
            <w:tcBorders>
              <w:left w:val="single" w:sz="2" w:space="0" w:color="000000"/>
              <w:right w:val="single" w:sz="2" w:space="0" w:color="000000"/>
            </w:tcBorders>
            <w:shd w:val="clear" w:color="auto" w:fill="auto"/>
          </w:tcPr>
          <w:p w14:paraId="721A7397" w14:textId="77777777" w:rsidR="00191E41" w:rsidRPr="00191E41" w:rsidRDefault="00191E41" w:rsidP="00191E41">
            <w:pPr>
              <w:ind w:right="57"/>
              <w:jc w:val="right"/>
              <w:rPr>
                <w:iCs/>
                <w:sz w:val="18"/>
                <w:szCs w:val="18"/>
              </w:rPr>
            </w:pPr>
            <w:r w:rsidRPr="00191E41">
              <w:rPr>
                <w:iCs/>
                <w:sz w:val="18"/>
                <w:szCs w:val="18"/>
              </w:rPr>
              <w:t>1 028 187.2</w:t>
            </w:r>
          </w:p>
        </w:tc>
      </w:tr>
      <w:tr w:rsidR="00191E41" w:rsidRPr="00191E41" w14:paraId="66025D00" w14:textId="77777777" w:rsidTr="001E7D79">
        <w:trPr>
          <w:jc w:val="center"/>
        </w:trPr>
        <w:tc>
          <w:tcPr>
            <w:tcW w:w="2751" w:type="dxa"/>
            <w:tcBorders>
              <w:left w:val="single" w:sz="2" w:space="0" w:color="000000"/>
              <w:right w:val="single" w:sz="2" w:space="0" w:color="000000"/>
            </w:tcBorders>
            <w:shd w:val="clear" w:color="auto" w:fill="auto"/>
          </w:tcPr>
          <w:p w14:paraId="2B3B9D14" w14:textId="77777777" w:rsidR="00191E41" w:rsidRPr="00191E41" w:rsidRDefault="00191E41" w:rsidP="00191E41">
            <w:pPr>
              <w:ind w:left="284"/>
              <w:rPr>
                <w:rFonts w:eastAsia="Times New Roman"/>
                <w:i/>
                <w:sz w:val="16"/>
                <w:szCs w:val="16"/>
                <w:lang w:val="pt-BR"/>
              </w:rPr>
            </w:pPr>
            <w:r w:rsidRPr="00191E41">
              <w:rPr>
                <w:rFonts w:eastAsia="Times New Roman"/>
                <w:i/>
                <w:sz w:val="16"/>
                <w:szCs w:val="16"/>
                <w:lang w:val="pt-BR"/>
              </w:rPr>
              <w:t>Udibonos udi’s</w:t>
            </w:r>
          </w:p>
        </w:tc>
        <w:tc>
          <w:tcPr>
            <w:tcW w:w="1243" w:type="dxa"/>
            <w:tcBorders>
              <w:left w:val="single" w:sz="2" w:space="0" w:color="000000"/>
              <w:right w:val="single" w:sz="2" w:space="0" w:color="000000"/>
            </w:tcBorders>
            <w:shd w:val="clear" w:color="auto" w:fill="auto"/>
          </w:tcPr>
          <w:p w14:paraId="2905CAE1" w14:textId="77777777" w:rsidR="00191E41" w:rsidRPr="00191E41" w:rsidRDefault="00191E41" w:rsidP="00191E41">
            <w:pPr>
              <w:ind w:right="170"/>
              <w:jc w:val="right"/>
              <w:rPr>
                <w:i/>
                <w:sz w:val="18"/>
                <w:szCs w:val="18"/>
              </w:rPr>
            </w:pPr>
            <w:r w:rsidRPr="00191E41">
              <w:rPr>
                <w:i/>
                <w:sz w:val="18"/>
                <w:szCs w:val="18"/>
              </w:rPr>
              <w:t>191 841.6</w:t>
            </w:r>
          </w:p>
        </w:tc>
        <w:tc>
          <w:tcPr>
            <w:tcW w:w="1225" w:type="dxa"/>
            <w:tcBorders>
              <w:left w:val="single" w:sz="2" w:space="0" w:color="000000"/>
              <w:right w:val="single" w:sz="2" w:space="0" w:color="000000"/>
            </w:tcBorders>
            <w:shd w:val="clear" w:color="auto" w:fill="auto"/>
          </w:tcPr>
          <w:p w14:paraId="5E44DF92" w14:textId="77777777" w:rsidR="00191E41" w:rsidRPr="00191E41" w:rsidRDefault="00191E41" w:rsidP="00191E41">
            <w:pPr>
              <w:ind w:right="113"/>
              <w:jc w:val="right"/>
              <w:rPr>
                <w:i/>
                <w:sz w:val="18"/>
                <w:szCs w:val="18"/>
              </w:rPr>
            </w:pPr>
            <w:r w:rsidRPr="00191E41">
              <w:rPr>
                <w:i/>
                <w:sz w:val="18"/>
                <w:szCs w:val="18"/>
              </w:rPr>
              <w:t>2 650.4</w:t>
            </w:r>
          </w:p>
        </w:tc>
        <w:tc>
          <w:tcPr>
            <w:tcW w:w="1076" w:type="dxa"/>
            <w:tcBorders>
              <w:left w:val="single" w:sz="2" w:space="0" w:color="000000"/>
              <w:right w:val="single" w:sz="2" w:space="0" w:color="000000"/>
            </w:tcBorders>
            <w:shd w:val="clear" w:color="auto" w:fill="auto"/>
          </w:tcPr>
          <w:p w14:paraId="1341C8F8" w14:textId="77777777" w:rsidR="00191E41" w:rsidRPr="00191E41" w:rsidRDefault="00191E41" w:rsidP="00191E41">
            <w:pPr>
              <w:jc w:val="right"/>
              <w:rPr>
                <w:i/>
                <w:sz w:val="18"/>
                <w:szCs w:val="18"/>
              </w:rPr>
            </w:pPr>
            <w:r w:rsidRPr="00191E41">
              <w:rPr>
                <w:i/>
                <w:sz w:val="18"/>
                <w:szCs w:val="18"/>
              </w:rPr>
              <w:t>0.0</w:t>
            </w:r>
          </w:p>
        </w:tc>
        <w:tc>
          <w:tcPr>
            <w:tcW w:w="992" w:type="dxa"/>
            <w:tcBorders>
              <w:left w:val="single" w:sz="2" w:space="0" w:color="000000"/>
              <w:right w:val="single" w:sz="2" w:space="0" w:color="000000"/>
            </w:tcBorders>
            <w:shd w:val="clear" w:color="auto" w:fill="auto"/>
          </w:tcPr>
          <w:p w14:paraId="5DC79F45" w14:textId="77777777" w:rsidR="00191E41" w:rsidRPr="00191E41" w:rsidRDefault="00191E41" w:rsidP="00191E41">
            <w:pPr>
              <w:jc w:val="right"/>
              <w:rPr>
                <w:i/>
                <w:sz w:val="18"/>
                <w:szCs w:val="18"/>
              </w:rPr>
            </w:pPr>
            <w:r w:rsidRPr="00191E41">
              <w:rPr>
                <w:i/>
                <w:sz w:val="18"/>
                <w:szCs w:val="18"/>
              </w:rPr>
              <w:t>2 650.4</w:t>
            </w:r>
          </w:p>
        </w:tc>
        <w:tc>
          <w:tcPr>
            <w:tcW w:w="899" w:type="dxa"/>
            <w:tcBorders>
              <w:left w:val="single" w:sz="2" w:space="0" w:color="000000"/>
              <w:right w:val="single" w:sz="2" w:space="0" w:color="000000"/>
            </w:tcBorders>
            <w:shd w:val="clear" w:color="auto" w:fill="auto"/>
          </w:tcPr>
          <w:p w14:paraId="4E35F75A" w14:textId="77777777" w:rsidR="00191E41" w:rsidRPr="00191E41" w:rsidRDefault="00191E41" w:rsidP="00191E41">
            <w:pPr>
              <w:ind w:left="-57" w:right="57"/>
              <w:jc w:val="right"/>
              <w:rPr>
                <w:i/>
                <w:sz w:val="18"/>
                <w:szCs w:val="18"/>
              </w:rPr>
            </w:pPr>
            <w:r w:rsidRPr="00191E41">
              <w:rPr>
                <w:i/>
                <w:sz w:val="18"/>
                <w:szCs w:val="18"/>
              </w:rPr>
              <w:t>0.0</w:t>
            </w:r>
          </w:p>
        </w:tc>
        <w:tc>
          <w:tcPr>
            <w:tcW w:w="1165" w:type="dxa"/>
            <w:tcBorders>
              <w:left w:val="single" w:sz="2" w:space="0" w:color="000000"/>
              <w:right w:val="single" w:sz="2" w:space="0" w:color="000000"/>
            </w:tcBorders>
            <w:shd w:val="clear" w:color="auto" w:fill="auto"/>
          </w:tcPr>
          <w:p w14:paraId="075F1702" w14:textId="77777777" w:rsidR="00191E41" w:rsidRPr="00191E41" w:rsidRDefault="00191E41" w:rsidP="00191E41">
            <w:pPr>
              <w:ind w:right="57"/>
              <w:jc w:val="right"/>
              <w:rPr>
                <w:i/>
                <w:iCs/>
                <w:sz w:val="18"/>
                <w:szCs w:val="18"/>
              </w:rPr>
            </w:pPr>
            <w:r w:rsidRPr="00191E41">
              <w:rPr>
                <w:i/>
                <w:iCs/>
                <w:sz w:val="18"/>
                <w:szCs w:val="18"/>
              </w:rPr>
              <w:t>194 492.0</w:t>
            </w:r>
          </w:p>
        </w:tc>
      </w:tr>
      <w:tr w:rsidR="00191E41" w:rsidRPr="00191E41" w14:paraId="5C438B46" w14:textId="77777777" w:rsidTr="001E7D79">
        <w:trPr>
          <w:jc w:val="center"/>
        </w:trPr>
        <w:tc>
          <w:tcPr>
            <w:tcW w:w="2751" w:type="dxa"/>
            <w:tcBorders>
              <w:left w:val="single" w:sz="2" w:space="0" w:color="000000"/>
              <w:right w:val="single" w:sz="2" w:space="0" w:color="000000"/>
            </w:tcBorders>
            <w:shd w:val="clear" w:color="auto" w:fill="auto"/>
          </w:tcPr>
          <w:p w14:paraId="03B6A876" w14:textId="77777777" w:rsidR="00191E41" w:rsidRPr="00191E41" w:rsidRDefault="00191E41" w:rsidP="00191E41">
            <w:pPr>
              <w:ind w:left="284"/>
              <w:rPr>
                <w:rFonts w:eastAsia="Times New Roman"/>
                <w:sz w:val="16"/>
                <w:szCs w:val="16"/>
                <w:lang w:val="pt-BR"/>
              </w:rPr>
            </w:pPr>
            <w:r w:rsidRPr="00191E41">
              <w:rPr>
                <w:rFonts w:eastAsia="Times New Roman"/>
                <w:sz w:val="16"/>
                <w:szCs w:val="16"/>
                <w:lang w:val="pt-BR"/>
              </w:rPr>
              <w:t>Udibonos Segregados</w:t>
            </w:r>
          </w:p>
        </w:tc>
        <w:tc>
          <w:tcPr>
            <w:tcW w:w="1243" w:type="dxa"/>
            <w:tcBorders>
              <w:left w:val="single" w:sz="2" w:space="0" w:color="000000"/>
              <w:right w:val="single" w:sz="2" w:space="0" w:color="000000"/>
            </w:tcBorders>
            <w:shd w:val="clear" w:color="auto" w:fill="auto"/>
          </w:tcPr>
          <w:p w14:paraId="11697A15" w14:textId="77777777" w:rsidR="00191E41" w:rsidRPr="00191E41" w:rsidRDefault="00191E41" w:rsidP="00191E41">
            <w:pPr>
              <w:ind w:right="170"/>
              <w:jc w:val="right"/>
              <w:rPr>
                <w:sz w:val="18"/>
                <w:szCs w:val="18"/>
              </w:rPr>
            </w:pPr>
            <w:r w:rsidRPr="00191E41">
              <w:rPr>
                <w:sz w:val="18"/>
                <w:szCs w:val="18"/>
              </w:rPr>
              <w:t>5 071.1</w:t>
            </w:r>
          </w:p>
        </w:tc>
        <w:tc>
          <w:tcPr>
            <w:tcW w:w="1225" w:type="dxa"/>
            <w:tcBorders>
              <w:left w:val="single" w:sz="2" w:space="0" w:color="000000"/>
              <w:right w:val="single" w:sz="2" w:space="0" w:color="000000"/>
            </w:tcBorders>
            <w:shd w:val="clear" w:color="auto" w:fill="auto"/>
          </w:tcPr>
          <w:p w14:paraId="167D287C" w14:textId="77777777" w:rsidR="00191E41" w:rsidRPr="00191E41" w:rsidRDefault="00191E41" w:rsidP="00191E41">
            <w:pPr>
              <w:ind w:right="113"/>
              <w:jc w:val="right"/>
              <w:rPr>
                <w:sz w:val="18"/>
                <w:szCs w:val="18"/>
              </w:rPr>
            </w:pPr>
            <w:r w:rsidRPr="00191E41">
              <w:rPr>
                <w:sz w:val="18"/>
                <w:szCs w:val="18"/>
              </w:rPr>
              <w:t>0.0</w:t>
            </w:r>
          </w:p>
        </w:tc>
        <w:tc>
          <w:tcPr>
            <w:tcW w:w="1076" w:type="dxa"/>
            <w:tcBorders>
              <w:left w:val="single" w:sz="2" w:space="0" w:color="000000"/>
              <w:right w:val="single" w:sz="2" w:space="0" w:color="000000"/>
            </w:tcBorders>
            <w:shd w:val="clear" w:color="auto" w:fill="auto"/>
          </w:tcPr>
          <w:p w14:paraId="5A86E101" w14:textId="77777777" w:rsidR="00191E41" w:rsidRPr="00191E41" w:rsidRDefault="00191E41" w:rsidP="00191E41">
            <w:pPr>
              <w:jc w:val="right"/>
              <w:rPr>
                <w:sz w:val="18"/>
                <w:szCs w:val="18"/>
              </w:rPr>
            </w:pPr>
            <w:r w:rsidRPr="00191E41">
              <w:rPr>
                <w:sz w:val="18"/>
                <w:szCs w:val="18"/>
              </w:rPr>
              <w:t>0.0</w:t>
            </w:r>
          </w:p>
        </w:tc>
        <w:tc>
          <w:tcPr>
            <w:tcW w:w="992" w:type="dxa"/>
            <w:tcBorders>
              <w:left w:val="single" w:sz="2" w:space="0" w:color="000000"/>
              <w:right w:val="single" w:sz="2" w:space="0" w:color="000000"/>
            </w:tcBorders>
            <w:shd w:val="clear" w:color="auto" w:fill="auto"/>
          </w:tcPr>
          <w:p w14:paraId="0372D9E7" w14:textId="77777777" w:rsidR="00191E41" w:rsidRPr="00191E41" w:rsidRDefault="00191E41" w:rsidP="00191E41">
            <w:pPr>
              <w:jc w:val="right"/>
              <w:rPr>
                <w:sz w:val="18"/>
                <w:szCs w:val="18"/>
              </w:rPr>
            </w:pPr>
            <w:r w:rsidRPr="00191E41">
              <w:rPr>
                <w:sz w:val="18"/>
                <w:szCs w:val="18"/>
              </w:rPr>
              <w:t>0.0</w:t>
            </w:r>
          </w:p>
        </w:tc>
        <w:tc>
          <w:tcPr>
            <w:tcW w:w="899" w:type="dxa"/>
            <w:tcBorders>
              <w:left w:val="single" w:sz="2" w:space="0" w:color="000000"/>
              <w:right w:val="single" w:sz="2" w:space="0" w:color="000000"/>
            </w:tcBorders>
            <w:shd w:val="clear" w:color="auto" w:fill="auto"/>
          </w:tcPr>
          <w:p w14:paraId="681E3407" w14:textId="77777777" w:rsidR="00191E41" w:rsidRPr="00191E41" w:rsidRDefault="00191E41" w:rsidP="00191E41">
            <w:pPr>
              <w:ind w:left="-57" w:right="57"/>
              <w:jc w:val="right"/>
              <w:rPr>
                <w:sz w:val="18"/>
                <w:szCs w:val="18"/>
              </w:rPr>
            </w:pPr>
            <w:r w:rsidRPr="00191E41">
              <w:rPr>
                <w:sz w:val="18"/>
                <w:szCs w:val="18"/>
              </w:rPr>
              <w:t>15.5</w:t>
            </w:r>
          </w:p>
        </w:tc>
        <w:tc>
          <w:tcPr>
            <w:tcW w:w="1165" w:type="dxa"/>
            <w:tcBorders>
              <w:left w:val="single" w:sz="2" w:space="0" w:color="000000"/>
              <w:right w:val="single" w:sz="2" w:space="0" w:color="000000"/>
            </w:tcBorders>
            <w:shd w:val="clear" w:color="auto" w:fill="auto"/>
          </w:tcPr>
          <w:p w14:paraId="69BEEAD3" w14:textId="77777777" w:rsidR="00191E41" w:rsidRPr="00191E41" w:rsidRDefault="00191E41" w:rsidP="00191E41">
            <w:pPr>
              <w:ind w:right="57"/>
              <w:jc w:val="right"/>
              <w:rPr>
                <w:iCs/>
                <w:sz w:val="18"/>
                <w:szCs w:val="18"/>
              </w:rPr>
            </w:pPr>
            <w:r w:rsidRPr="00191E41">
              <w:rPr>
                <w:iCs/>
                <w:sz w:val="18"/>
                <w:szCs w:val="18"/>
              </w:rPr>
              <w:t>5 086.6</w:t>
            </w:r>
          </w:p>
        </w:tc>
      </w:tr>
      <w:tr w:rsidR="00191E41" w:rsidRPr="00191E41" w14:paraId="0CEF1041" w14:textId="77777777" w:rsidTr="001E7D79">
        <w:trPr>
          <w:jc w:val="center"/>
        </w:trPr>
        <w:tc>
          <w:tcPr>
            <w:tcW w:w="2751" w:type="dxa"/>
            <w:tcBorders>
              <w:left w:val="single" w:sz="2" w:space="0" w:color="000000"/>
              <w:right w:val="single" w:sz="2" w:space="0" w:color="000000"/>
            </w:tcBorders>
            <w:shd w:val="clear" w:color="auto" w:fill="auto"/>
          </w:tcPr>
          <w:p w14:paraId="2642E87A" w14:textId="77777777" w:rsidR="00191E41" w:rsidRPr="00191E41" w:rsidRDefault="00191E41" w:rsidP="00191E41">
            <w:pPr>
              <w:ind w:left="284"/>
              <w:rPr>
                <w:rFonts w:eastAsia="Times New Roman"/>
                <w:i/>
                <w:sz w:val="16"/>
                <w:szCs w:val="16"/>
                <w:lang w:val="pt-BR"/>
              </w:rPr>
            </w:pPr>
            <w:r w:rsidRPr="00191E41">
              <w:rPr>
                <w:rFonts w:eastAsia="Times New Roman"/>
                <w:i/>
                <w:sz w:val="16"/>
                <w:szCs w:val="16"/>
                <w:lang w:val="pt-BR"/>
              </w:rPr>
              <w:t>Udibonos Segregados udi’s</w:t>
            </w:r>
          </w:p>
        </w:tc>
        <w:tc>
          <w:tcPr>
            <w:tcW w:w="1243" w:type="dxa"/>
            <w:tcBorders>
              <w:left w:val="single" w:sz="2" w:space="0" w:color="000000"/>
              <w:right w:val="single" w:sz="2" w:space="0" w:color="000000"/>
            </w:tcBorders>
            <w:shd w:val="clear" w:color="auto" w:fill="auto"/>
          </w:tcPr>
          <w:p w14:paraId="6FDD674F" w14:textId="77777777" w:rsidR="00191E41" w:rsidRPr="00191E41" w:rsidRDefault="00191E41" w:rsidP="00191E41">
            <w:pPr>
              <w:ind w:right="170"/>
              <w:jc w:val="right"/>
              <w:rPr>
                <w:i/>
                <w:sz w:val="18"/>
                <w:szCs w:val="18"/>
              </w:rPr>
            </w:pPr>
            <w:r w:rsidRPr="00191E41">
              <w:rPr>
                <w:i/>
                <w:sz w:val="18"/>
                <w:szCs w:val="18"/>
              </w:rPr>
              <w:t>962.2</w:t>
            </w:r>
          </w:p>
        </w:tc>
        <w:tc>
          <w:tcPr>
            <w:tcW w:w="1225" w:type="dxa"/>
            <w:tcBorders>
              <w:left w:val="single" w:sz="2" w:space="0" w:color="000000"/>
              <w:right w:val="single" w:sz="2" w:space="0" w:color="000000"/>
            </w:tcBorders>
            <w:shd w:val="clear" w:color="auto" w:fill="auto"/>
          </w:tcPr>
          <w:p w14:paraId="1BD13D7C" w14:textId="77777777" w:rsidR="00191E41" w:rsidRPr="00191E41" w:rsidRDefault="00191E41" w:rsidP="00191E41">
            <w:pPr>
              <w:ind w:right="113"/>
              <w:jc w:val="right"/>
              <w:rPr>
                <w:i/>
                <w:sz w:val="18"/>
                <w:szCs w:val="18"/>
              </w:rPr>
            </w:pPr>
            <w:r w:rsidRPr="00191E41">
              <w:rPr>
                <w:i/>
                <w:sz w:val="18"/>
                <w:szCs w:val="18"/>
              </w:rPr>
              <w:t>0.0</w:t>
            </w:r>
          </w:p>
        </w:tc>
        <w:tc>
          <w:tcPr>
            <w:tcW w:w="1076" w:type="dxa"/>
            <w:tcBorders>
              <w:left w:val="single" w:sz="2" w:space="0" w:color="000000"/>
              <w:right w:val="single" w:sz="2" w:space="0" w:color="000000"/>
            </w:tcBorders>
            <w:shd w:val="clear" w:color="auto" w:fill="auto"/>
          </w:tcPr>
          <w:p w14:paraId="45307438" w14:textId="77777777" w:rsidR="00191E41" w:rsidRPr="00191E41" w:rsidRDefault="00191E41" w:rsidP="00191E41">
            <w:pPr>
              <w:jc w:val="right"/>
              <w:rPr>
                <w:i/>
                <w:sz w:val="18"/>
                <w:szCs w:val="18"/>
              </w:rPr>
            </w:pPr>
            <w:r w:rsidRPr="00191E41">
              <w:rPr>
                <w:i/>
                <w:sz w:val="18"/>
                <w:szCs w:val="18"/>
              </w:rPr>
              <w:t>0.0</w:t>
            </w:r>
          </w:p>
        </w:tc>
        <w:tc>
          <w:tcPr>
            <w:tcW w:w="992" w:type="dxa"/>
            <w:tcBorders>
              <w:left w:val="single" w:sz="2" w:space="0" w:color="000000"/>
              <w:right w:val="single" w:sz="2" w:space="0" w:color="000000"/>
            </w:tcBorders>
            <w:shd w:val="clear" w:color="auto" w:fill="auto"/>
          </w:tcPr>
          <w:p w14:paraId="6EE76EB1" w14:textId="77777777" w:rsidR="00191E41" w:rsidRPr="00191E41" w:rsidRDefault="00191E41" w:rsidP="00191E41">
            <w:pPr>
              <w:jc w:val="right"/>
              <w:rPr>
                <w:i/>
                <w:sz w:val="18"/>
                <w:szCs w:val="18"/>
              </w:rPr>
            </w:pPr>
            <w:r w:rsidRPr="00191E41">
              <w:rPr>
                <w:i/>
                <w:sz w:val="18"/>
                <w:szCs w:val="18"/>
              </w:rPr>
              <w:t>0.0</w:t>
            </w:r>
          </w:p>
        </w:tc>
        <w:tc>
          <w:tcPr>
            <w:tcW w:w="899" w:type="dxa"/>
            <w:tcBorders>
              <w:left w:val="single" w:sz="2" w:space="0" w:color="000000"/>
              <w:right w:val="single" w:sz="2" w:space="0" w:color="000000"/>
            </w:tcBorders>
            <w:shd w:val="clear" w:color="auto" w:fill="auto"/>
          </w:tcPr>
          <w:p w14:paraId="3F8E8126" w14:textId="77777777" w:rsidR="00191E41" w:rsidRPr="00191E41" w:rsidRDefault="00191E41" w:rsidP="00191E41">
            <w:pPr>
              <w:ind w:left="-57" w:right="57"/>
              <w:jc w:val="right"/>
              <w:rPr>
                <w:i/>
                <w:sz w:val="18"/>
                <w:szCs w:val="18"/>
              </w:rPr>
            </w:pPr>
            <w:r w:rsidRPr="00191E41">
              <w:rPr>
                <w:i/>
                <w:sz w:val="18"/>
                <w:szCs w:val="18"/>
              </w:rPr>
              <w:t>0.0</w:t>
            </w:r>
          </w:p>
        </w:tc>
        <w:tc>
          <w:tcPr>
            <w:tcW w:w="1165" w:type="dxa"/>
            <w:tcBorders>
              <w:left w:val="single" w:sz="2" w:space="0" w:color="000000"/>
              <w:right w:val="single" w:sz="2" w:space="0" w:color="000000"/>
            </w:tcBorders>
            <w:shd w:val="clear" w:color="auto" w:fill="auto"/>
          </w:tcPr>
          <w:p w14:paraId="58FD6A97" w14:textId="77777777" w:rsidR="00191E41" w:rsidRPr="00191E41" w:rsidRDefault="00191E41" w:rsidP="00191E41">
            <w:pPr>
              <w:ind w:right="57"/>
              <w:jc w:val="right"/>
              <w:rPr>
                <w:i/>
                <w:iCs/>
                <w:sz w:val="18"/>
                <w:szCs w:val="18"/>
              </w:rPr>
            </w:pPr>
            <w:r w:rsidRPr="00191E41">
              <w:rPr>
                <w:i/>
                <w:iCs/>
                <w:sz w:val="18"/>
                <w:szCs w:val="18"/>
              </w:rPr>
              <w:t>962.2</w:t>
            </w:r>
          </w:p>
        </w:tc>
      </w:tr>
      <w:tr w:rsidR="00191E41" w:rsidRPr="00191E41" w14:paraId="7426299A" w14:textId="77777777" w:rsidTr="001E7D79">
        <w:trPr>
          <w:jc w:val="center"/>
        </w:trPr>
        <w:tc>
          <w:tcPr>
            <w:tcW w:w="2751" w:type="dxa"/>
            <w:tcBorders>
              <w:left w:val="single" w:sz="2" w:space="0" w:color="000000"/>
              <w:right w:val="single" w:sz="2" w:space="0" w:color="000000"/>
            </w:tcBorders>
            <w:shd w:val="clear" w:color="auto" w:fill="auto"/>
          </w:tcPr>
          <w:p w14:paraId="4A4F4895" w14:textId="77777777" w:rsidR="00191E41" w:rsidRPr="00191E41" w:rsidRDefault="00191E41" w:rsidP="00191E41">
            <w:pPr>
              <w:ind w:left="170"/>
              <w:rPr>
                <w:rFonts w:eastAsia="Times New Roman"/>
                <w:sz w:val="16"/>
                <w:szCs w:val="16"/>
              </w:rPr>
            </w:pPr>
            <w:r w:rsidRPr="00191E41">
              <w:rPr>
                <w:rFonts w:eastAsia="Times New Roman"/>
                <w:sz w:val="16"/>
                <w:szCs w:val="16"/>
              </w:rPr>
              <w:t>Fondo de ahorro S.A.R.</w:t>
            </w:r>
          </w:p>
        </w:tc>
        <w:tc>
          <w:tcPr>
            <w:tcW w:w="1243" w:type="dxa"/>
            <w:tcBorders>
              <w:left w:val="single" w:sz="2" w:space="0" w:color="000000"/>
              <w:right w:val="single" w:sz="2" w:space="0" w:color="000000"/>
            </w:tcBorders>
            <w:shd w:val="clear" w:color="auto" w:fill="auto"/>
          </w:tcPr>
          <w:p w14:paraId="5EA05418" w14:textId="77777777" w:rsidR="00191E41" w:rsidRPr="00191E41" w:rsidRDefault="00191E41" w:rsidP="00191E41">
            <w:pPr>
              <w:ind w:right="170"/>
              <w:jc w:val="right"/>
              <w:rPr>
                <w:sz w:val="18"/>
                <w:szCs w:val="18"/>
              </w:rPr>
            </w:pPr>
            <w:r w:rsidRPr="00191E41">
              <w:rPr>
                <w:sz w:val="18"/>
                <w:szCs w:val="18"/>
              </w:rPr>
              <w:t>98 018.4</w:t>
            </w:r>
          </w:p>
        </w:tc>
        <w:tc>
          <w:tcPr>
            <w:tcW w:w="1225" w:type="dxa"/>
            <w:tcBorders>
              <w:left w:val="single" w:sz="2" w:space="0" w:color="000000"/>
              <w:right w:val="single" w:sz="2" w:space="0" w:color="000000"/>
            </w:tcBorders>
            <w:shd w:val="clear" w:color="auto" w:fill="auto"/>
          </w:tcPr>
          <w:p w14:paraId="47C70000" w14:textId="77777777" w:rsidR="00191E41" w:rsidRPr="00191E41" w:rsidRDefault="00191E41" w:rsidP="00191E41">
            <w:pPr>
              <w:ind w:right="113"/>
              <w:jc w:val="right"/>
              <w:rPr>
                <w:sz w:val="18"/>
                <w:szCs w:val="18"/>
              </w:rPr>
            </w:pPr>
            <w:r w:rsidRPr="00191E41">
              <w:rPr>
                <w:sz w:val="18"/>
                <w:szCs w:val="18"/>
              </w:rPr>
              <w:t>23 881.2</w:t>
            </w:r>
          </w:p>
        </w:tc>
        <w:tc>
          <w:tcPr>
            <w:tcW w:w="1076" w:type="dxa"/>
            <w:tcBorders>
              <w:left w:val="single" w:sz="2" w:space="0" w:color="000000"/>
              <w:right w:val="single" w:sz="2" w:space="0" w:color="000000"/>
            </w:tcBorders>
            <w:shd w:val="clear" w:color="auto" w:fill="auto"/>
          </w:tcPr>
          <w:p w14:paraId="3857CD54" w14:textId="77777777" w:rsidR="00191E41" w:rsidRPr="00191E41" w:rsidRDefault="00191E41" w:rsidP="00191E41">
            <w:pPr>
              <w:jc w:val="right"/>
              <w:rPr>
                <w:sz w:val="18"/>
                <w:szCs w:val="18"/>
              </w:rPr>
            </w:pPr>
            <w:r w:rsidRPr="00191E41">
              <w:rPr>
                <w:sz w:val="18"/>
                <w:szCs w:val="18"/>
              </w:rPr>
              <w:t>20 249.2</w:t>
            </w:r>
          </w:p>
        </w:tc>
        <w:tc>
          <w:tcPr>
            <w:tcW w:w="992" w:type="dxa"/>
            <w:tcBorders>
              <w:left w:val="single" w:sz="2" w:space="0" w:color="000000"/>
              <w:right w:val="single" w:sz="2" w:space="0" w:color="000000"/>
            </w:tcBorders>
            <w:shd w:val="clear" w:color="auto" w:fill="auto"/>
          </w:tcPr>
          <w:p w14:paraId="1B6CD461" w14:textId="77777777" w:rsidR="00191E41" w:rsidRPr="00191E41" w:rsidRDefault="00191E41" w:rsidP="00191E41">
            <w:pPr>
              <w:jc w:val="right"/>
              <w:rPr>
                <w:sz w:val="18"/>
                <w:szCs w:val="18"/>
              </w:rPr>
            </w:pPr>
            <w:r w:rsidRPr="00191E41">
              <w:rPr>
                <w:sz w:val="18"/>
                <w:szCs w:val="18"/>
              </w:rPr>
              <w:t>3 632.0</w:t>
            </w:r>
          </w:p>
        </w:tc>
        <w:tc>
          <w:tcPr>
            <w:tcW w:w="899" w:type="dxa"/>
            <w:tcBorders>
              <w:left w:val="single" w:sz="2" w:space="0" w:color="000000"/>
              <w:right w:val="single" w:sz="2" w:space="0" w:color="000000"/>
            </w:tcBorders>
            <w:shd w:val="clear" w:color="auto" w:fill="auto"/>
          </w:tcPr>
          <w:p w14:paraId="391C3DF1" w14:textId="77777777" w:rsidR="00191E41" w:rsidRPr="00191E41" w:rsidRDefault="00191E41" w:rsidP="00191E41">
            <w:pPr>
              <w:ind w:left="-57" w:right="57"/>
              <w:jc w:val="right"/>
              <w:rPr>
                <w:sz w:val="18"/>
                <w:szCs w:val="18"/>
              </w:rPr>
            </w:pPr>
            <w:r w:rsidRPr="00191E41">
              <w:rPr>
                <w:sz w:val="18"/>
                <w:szCs w:val="18"/>
              </w:rPr>
              <w:t>788.6</w:t>
            </w:r>
          </w:p>
        </w:tc>
        <w:tc>
          <w:tcPr>
            <w:tcW w:w="1165" w:type="dxa"/>
            <w:tcBorders>
              <w:left w:val="single" w:sz="2" w:space="0" w:color="000000"/>
              <w:right w:val="single" w:sz="2" w:space="0" w:color="000000"/>
            </w:tcBorders>
            <w:shd w:val="clear" w:color="auto" w:fill="auto"/>
          </w:tcPr>
          <w:p w14:paraId="0B8122F1" w14:textId="77777777" w:rsidR="00191E41" w:rsidRPr="00191E41" w:rsidRDefault="00191E41" w:rsidP="00191E41">
            <w:pPr>
              <w:ind w:right="57"/>
              <w:jc w:val="right"/>
              <w:rPr>
                <w:iCs/>
                <w:sz w:val="18"/>
                <w:szCs w:val="18"/>
              </w:rPr>
            </w:pPr>
            <w:r w:rsidRPr="00191E41">
              <w:rPr>
                <w:iCs/>
                <w:sz w:val="18"/>
                <w:szCs w:val="18"/>
              </w:rPr>
              <w:t>102 439.0</w:t>
            </w:r>
          </w:p>
        </w:tc>
      </w:tr>
      <w:tr w:rsidR="00191E41" w:rsidRPr="00191E41" w14:paraId="77F75122" w14:textId="77777777" w:rsidTr="001E7D79">
        <w:trPr>
          <w:jc w:val="center"/>
        </w:trPr>
        <w:tc>
          <w:tcPr>
            <w:tcW w:w="2751" w:type="dxa"/>
            <w:tcBorders>
              <w:left w:val="single" w:sz="2" w:space="0" w:color="000000"/>
              <w:right w:val="single" w:sz="2" w:space="0" w:color="000000"/>
            </w:tcBorders>
            <w:shd w:val="clear" w:color="auto" w:fill="auto"/>
          </w:tcPr>
          <w:p w14:paraId="7716DFAB" w14:textId="77777777" w:rsidR="00191E41" w:rsidRPr="00191E41" w:rsidRDefault="00191E41" w:rsidP="00191E41">
            <w:pPr>
              <w:ind w:left="170"/>
              <w:rPr>
                <w:rFonts w:eastAsia="Times New Roman"/>
                <w:sz w:val="16"/>
                <w:szCs w:val="16"/>
              </w:rPr>
            </w:pPr>
            <w:r w:rsidRPr="00191E41">
              <w:rPr>
                <w:rFonts w:eastAsia="Times New Roman"/>
                <w:sz w:val="16"/>
                <w:szCs w:val="16"/>
              </w:rPr>
              <w:t>Obligaciones por Ley del ISSSTE</w:t>
            </w:r>
          </w:p>
        </w:tc>
        <w:tc>
          <w:tcPr>
            <w:tcW w:w="1243" w:type="dxa"/>
            <w:tcBorders>
              <w:left w:val="single" w:sz="2" w:space="0" w:color="000000"/>
              <w:right w:val="single" w:sz="2" w:space="0" w:color="000000"/>
            </w:tcBorders>
            <w:shd w:val="clear" w:color="auto" w:fill="auto"/>
          </w:tcPr>
          <w:p w14:paraId="438FA486" w14:textId="77777777" w:rsidR="00191E41" w:rsidRPr="00191E41" w:rsidRDefault="00191E41" w:rsidP="00191E41">
            <w:pPr>
              <w:ind w:right="170"/>
              <w:jc w:val="right"/>
              <w:rPr>
                <w:sz w:val="18"/>
                <w:szCs w:val="18"/>
              </w:rPr>
            </w:pPr>
            <w:r w:rsidRPr="00191E41">
              <w:rPr>
                <w:sz w:val="18"/>
                <w:szCs w:val="18"/>
              </w:rPr>
              <w:t>161 452.0</w:t>
            </w:r>
          </w:p>
        </w:tc>
        <w:tc>
          <w:tcPr>
            <w:tcW w:w="1225" w:type="dxa"/>
            <w:tcBorders>
              <w:left w:val="single" w:sz="2" w:space="0" w:color="000000"/>
              <w:right w:val="single" w:sz="2" w:space="0" w:color="000000"/>
            </w:tcBorders>
            <w:shd w:val="clear" w:color="auto" w:fill="auto"/>
          </w:tcPr>
          <w:p w14:paraId="78A776D4" w14:textId="77777777" w:rsidR="00191E41" w:rsidRPr="00191E41" w:rsidRDefault="00191E41" w:rsidP="00191E41">
            <w:pPr>
              <w:ind w:right="113"/>
              <w:jc w:val="right"/>
              <w:rPr>
                <w:sz w:val="18"/>
                <w:szCs w:val="18"/>
              </w:rPr>
            </w:pPr>
            <w:r w:rsidRPr="00191E41">
              <w:rPr>
                <w:sz w:val="18"/>
                <w:szCs w:val="18"/>
              </w:rPr>
              <w:t>0.7</w:t>
            </w:r>
          </w:p>
        </w:tc>
        <w:tc>
          <w:tcPr>
            <w:tcW w:w="1076" w:type="dxa"/>
            <w:tcBorders>
              <w:left w:val="single" w:sz="2" w:space="0" w:color="000000"/>
              <w:right w:val="single" w:sz="2" w:space="0" w:color="000000"/>
            </w:tcBorders>
            <w:shd w:val="clear" w:color="auto" w:fill="auto"/>
          </w:tcPr>
          <w:p w14:paraId="4B868E2A" w14:textId="77777777" w:rsidR="00191E41" w:rsidRPr="00191E41" w:rsidRDefault="00191E41" w:rsidP="00191E41">
            <w:pPr>
              <w:jc w:val="right"/>
              <w:rPr>
                <w:sz w:val="18"/>
                <w:szCs w:val="18"/>
              </w:rPr>
            </w:pPr>
            <w:r w:rsidRPr="00191E41">
              <w:rPr>
                <w:sz w:val="18"/>
                <w:szCs w:val="18"/>
              </w:rPr>
              <w:t>4 207.1</w:t>
            </w:r>
          </w:p>
        </w:tc>
        <w:tc>
          <w:tcPr>
            <w:tcW w:w="992" w:type="dxa"/>
            <w:tcBorders>
              <w:left w:val="single" w:sz="2" w:space="0" w:color="000000"/>
              <w:right w:val="single" w:sz="2" w:space="0" w:color="000000"/>
            </w:tcBorders>
            <w:shd w:val="clear" w:color="auto" w:fill="auto"/>
          </w:tcPr>
          <w:p w14:paraId="0408B183" w14:textId="77777777" w:rsidR="00191E41" w:rsidRPr="00191E41" w:rsidRDefault="00191E41" w:rsidP="00191E41">
            <w:pPr>
              <w:jc w:val="right"/>
              <w:rPr>
                <w:sz w:val="18"/>
                <w:szCs w:val="18"/>
              </w:rPr>
            </w:pPr>
            <w:r w:rsidRPr="00191E41">
              <w:rPr>
                <w:sz w:val="18"/>
                <w:szCs w:val="18"/>
              </w:rPr>
              <w:t>-4 206.4</w:t>
            </w:r>
          </w:p>
        </w:tc>
        <w:tc>
          <w:tcPr>
            <w:tcW w:w="899" w:type="dxa"/>
            <w:tcBorders>
              <w:left w:val="single" w:sz="2" w:space="0" w:color="000000"/>
              <w:right w:val="single" w:sz="2" w:space="0" w:color="000000"/>
            </w:tcBorders>
            <w:shd w:val="clear" w:color="auto" w:fill="auto"/>
          </w:tcPr>
          <w:p w14:paraId="5C8E904E" w14:textId="77777777" w:rsidR="00191E41" w:rsidRPr="00191E41" w:rsidRDefault="00191E41" w:rsidP="00191E41">
            <w:pPr>
              <w:ind w:left="-57" w:right="57"/>
              <w:jc w:val="right"/>
              <w:rPr>
                <w:sz w:val="18"/>
                <w:szCs w:val="18"/>
              </w:rPr>
            </w:pPr>
            <w:r w:rsidRPr="00191E41">
              <w:rPr>
                <w:sz w:val="18"/>
                <w:szCs w:val="18"/>
              </w:rPr>
              <w:t>486.1</w:t>
            </w:r>
          </w:p>
        </w:tc>
        <w:tc>
          <w:tcPr>
            <w:tcW w:w="1165" w:type="dxa"/>
            <w:tcBorders>
              <w:left w:val="single" w:sz="2" w:space="0" w:color="000000"/>
              <w:right w:val="single" w:sz="2" w:space="0" w:color="000000"/>
            </w:tcBorders>
            <w:shd w:val="clear" w:color="auto" w:fill="auto"/>
          </w:tcPr>
          <w:p w14:paraId="6442F67F" w14:textId="77777777" w:rsidR="00191E41" w:rsidRPr="00191E41" w:rsidRDefault="00191E41" w:rsidP="00191E41">
            <w:pPr>
              <w:ind w:right="57"/>
              <w:jc w:val="right"/>
              <w:rPr>
                <w:iCs/>
                <w:sz w:val="18"/>
                <w:szCs w:val="18"/>
              </w:rPr>
            </w:pPr>
            <w:r w:rsidRPr="00191E41">
              <w:rPr>
                <w:iCs/>
                <w:sz w:val="18"/>
                <w:szCs w:val="18"/>
              </w:rPr>
              <w:t>157 731.7</w:t>
            </w:r>
          </w:p>
        </w:tc>
      </w:tr>
      <w:tr w:rsidR="00191E41" w:rsidRPr="00191E41" w14:paraId="489D4082" w14:textId="77777777" w:rsidTr="001E7D79">
        <w:trPr>
          <w:jc w:val="center"/>
        </w:trPr>
        <w:tc>
          <w:tcPr>
            <w:tcW w:w="2751" w:type="dxa"/>
            <w:tcBorders>
              <w:left w:val="single" w:sz="2" w:space="0" w:color="000000"/>
              <w:bottom w:val="single" w:sz="2" w:space="0" w:color="000000"/>
              <w:right w:val="single" w:sz="2" w:space="0" w:color="000000"/>
            </w:tcBorders>
            <w:shd w:val="clear" w:color="auto" w:fill="auto"/>
          </w:tcPr>
          <w:p w14:paraId="65F06DE0" w14:textId="77777777" w:rsidR="00191E41" w:rsidRPr="00191E41" w:rsidRDefault="00191E41" w:rsidP="00191E41">
            <w:pPr>
              <w:ind w:left="170"/>
              <w:rPr>
                <w:rFonts w:eastAsia="Times New Roman"/>
                <w:sz w:val="16"/>
                <w:szCs w:val="16"/>
              </w:rPr>
            </w:pPr>
            <w:r w:rsidRPr="00191E41">
              <w:rPr>
                <w:rFonts w:eastAsia="Times New Roman"/>
                <w:sz w:val="16"/>
                <w:szCs w:val="16"/>
              </w:rPr>
              <w:t>Otros</w:t>
            </w:r>
          </w:p>
        </w:tc>
        <w:tc>
          <w:tcPr>
            <w:tcW w:w="1243" w:type="dxa"/>
            <w:tcBorders>
              <w:left w:val="single" w:sz="2" w:space="0" w:color="000000"/>
              <w:bottom w:val="single" w:sz="2" w:space="0" w:color="000000"/>
              <w:right w:val="single" w:sz="2" w:space="0" w:color="000000"/>
            </w:tcBorders>
            <w:shd w:val="clear" w:color="auto" w:fill="auto"/>
          </w:tcPr>
          <w:p w14:paraId="53B41333" w14:textId="77777777" w:rsidR="00191E41" w:rsidRPr="00191E41" w:rsidRDefault="00191E41" w:rsidP="00191E41">
            <w:pPr>
              <w:ind w:right="170"/>
              <w:jc w:val="right"/>
              <w:rPr>
                <w:sz w:val="18"/>
                <w:szCs w:val="18"/>
              </w:rPr>
            </w:pPr>
            <w:r w:rsidRPr="00191E41">
              <w:rPr>
                <w:sz w:val="18"/>
                <w:szCs w:val="18"/>
              </w:rPr>
              <w:t>63 867.8</w:t>
            </w:r>
          </w:p>
        </w:tc>
        <w:tc>
          <w:tcPr>
            <w:tcW w:w="1225" w:type="dxa"/>
            <w:tcBorders>
              <w:left w:val="single" w:sz="2" w:space="0" w:color="000000"/>
              <w:bottom w:val="single" w:sz="2" w:space="0" w:color="000000"/>
              <w:right w:val="single" w:sz="2" w:space="0" w:color="000000"/>
            </w:tcBorders>
            <w:shd w:val="clear" w:color="auto" w:fill="auto"/>
          </w:tcPr>
          <w:p w14:paraId="3E5169CA" w14:textId="77777777" w:rsidR="00191E41" w:rsidRPr="00191E41" w:rsidRDefault="00191E41" w:rsidP="00191E41">
            <w:pPr>
              <w:ind w:right="113"/>
              <w:jc w:val="right"/>
              <w:rPr>
                <w:sz w:val="18"/>
                <w:szCs w:val="18"/>
              </w:rPr>
            </w:pPr>
            <w:r w:rsidRPr="00191E41">
              <w:rPr>
                <w:sz w:val="18"/>
                <w:szCs w:val="18"/>
              </w:rPr>
              <w:t>1 245.1</w:t>
            </w:r>
          </w:p>
        </w:tc>
        <w:tc>
          <w:tcPr>
            <w:tcW w:w="1076" w:type="dxa"/>
            <w:tcBorders>
              <w:left w:val="single" w:sz="2" w:space="0" w:color="000000"/>
              <w:bottom w:val="single" w:sz="2" w:space="0" w:color="000000"/>
              <w:right w:val="single" w:sz="2" w:space="0" w:color="000000"/>
            </w:tcBorders>
            <w:shd w:val="clear" w:color="auto" w:fill="auto"/>
          </w:tcPr>
          <w:p w14:paraId="54543130" w14:textId="77777777" w:rsidR="00191E41" w:rsidRPr="00191E41" w:rsidRDefault="00191E41" w:rsidP="00191E41">
            <w:pPr>
              <w:jc w:val="right"/>
              <w:rPr>
                <w:sz w:val="18"/>
                <w:szCs w:val="18"/>
              </w:rPr>
            </w:pPr>
            <w:r w:rsidRPr="00191E41">
              <w:rPr>
                <w:sz w:val="18"/>
                <w:szCs w:val="18"/>
              </w:rPr>
              <w:t>160.1</w:t>
            </w:r>
          </w:p>
        </w:tc>
        <w:tc>
          <w:tcPr>
            <w:tcW w:w="992" w:type="dxa"/>
            <w:tcBorders>
              <w:left w:val="single" w:sz="2" w:space="0" w:color="000000"/>
              <w:bottom w:val="single" w:sz="2" w:space="0" w:color="000000"/>
              <w:right w:val="single" w:sz="2" w:space="0" w:color="000000"/>
            </w:tcBorders>
            <w:shd w:val="clear" w:color="auto" w:fill="auto"/>
          </w:tcPr>
          <w:p w14:paraId="3CEFF13A" w14:textId="77777777" w:rsidR="00191E41" w:rsidRPr="00191E41" w:rsidRDefault="00191E41" w:rsidP="00191E41">
            <w:pPr>
              <w:jc w:val="right"/>
              <w:rPr>
                <w:sz w:val="18"/>
                <w:szCs w:val="18"/>
              </w:rPr>
            </w:pPr>
            <w:r w:rsidRPr="00191E41">
              <w:rPr>
                <w:sz w:val="18"/>
                <w:szCs w:val="18"/>
              </w:rPr>
              <w:t>1 085.0</w:t>
            </w:r>
          </w:p>
        </w:tc>
        <w:tc>
          <w:tcPr>
            <w:tcW w:w="899" w:type="dxa"/>
            <w:tcBorders>
              <w:left w:val="single" w:sz="2" w:space="0" w:color="000000"/>
              <w:bottom w:val="single" w:sz="2" w:space="0" w:color="000000"/>
              <w:right w:val="single" w:sz="2" w:space="0" w:color="000000"/>
            </w:tcBorders>
            <w:shd w:val="clear" w:color="auto" w:fill="auto"/>
          </w:tcPr>
          <w:p w14:paraId="5C062266" w14:textId="77777777" w:rsidR="00191E41" w:rsidRPr="00191E41" w:rsidRDefault="00191E41" w:rsidP="00191E41">
            <w:pPr>
              <w:ind w:left="-57" w:right="57"/>
              <w:jc w:val="right"/>
              <w:rPr>
                <w:sz w:val="18"/>
                <w:szCs w:val="18"/>
              </w:rPr>
            </w:pPr>
            <w:r w:rsidRPr="00191E41">
              <w:rPr>
                <w:sz w:val="18"/>
                <w:szCs w:val="18"/>
              </w:rPr>
              <w:t>195.2</w:t>
            </w:r>
          </w:p>
        </w:tc>
        <w:tc>
          <w:tcPr>
            <w:tcW w:w="1165" w:type="dxa"/>
            <w:tcBorders>
              <w:left w:val="single" w:sz="2" w:space="0" w:color="000000"/>
              <w:bottom w:val="single" w:sz="2" w:space="0" w:color="000000"/>
              <w:right w:val="single" w:sz="2" w:space="0" w:color="000000"/>
            </w:tcBorders>
            <w:shd w:val="clear" w:color="auto" w:fill="auto"/>
          </w:tcPr>
          <w:p w14:paraId="72628535" w14:textId="77777777" w:rsidR="00191E41" w:rsidRPr="00191E41" w:rsidRDefault="00191E41" w:rsidP="00191E41">
            <w:pPr>
              <w:ind w:right="57"/>
              <w:jc w:val="right"/>
              <w:rPr>
                <w:iCs/>
                <w:sz w:val="18"/>
                <w:szCs w:val="18"/>
              </w:rPr>
            </w:pPr>
            <w:r w:rsidRPr="00191E41">
              <w:rPr>
                <w:iCs/>
                <w:sz w:val="18"/>
                <w:szCs w:val="18"/>
              </w:rPr>
              <w:t>65 148.0</w:t>
            </w:r>
          </w:p>
        </w:tc>
      </w:tr>
      <w:tr w:rsidR="00191E41" w:rsidRPr="00191E41" w14:paraId="05E2BFF1" w14:textId="77777777" w:rsidTr="001E7D79">
        <w:trPr>
          <w:jc w:val="center"/>
        </w:trPr>
        <w:tc>
          <w:tcPr>
            <w:tcW w:w="9351" w:type="dxa"/>
            <w:gridSpan w:val="7"/>
            <w:tcBorders>
              <w:top w:val="single" w:sz="2" w:space="0" w:color="000000"/>
              <w:left w:val="nil"/>
              <w:bottom w:val="nil"/>
              <w:right w:val="nil"/>
            </w:tcBorders>
            <w:shd w:val="clear" w:color="auto" w:fill="auto"/>
          </w:tcPr>
          <w:p w14:paraId="53C0979D" w14:textId="77777777" w:rsidR="00191E41" w:rsidRPr="00191E41" w:rsidRDefault="00191E41" w:rsidP="00191E41">
            <w:pPr>
              <w:spacing w:before="120"/>
              <w:jc w:val="both"/>
              <w:rPr>
                <w:rFonts w:eastAsia="Times New Roman"/>
                <w:iCs/>
                <w:sz w:val="16"/>
                <w:szCs w:val="16"/>
                <w:lang w:val="es-ES"/>
              </w:rPr>
            </w:pPr>
            <w:r w:rsidRPr="00191E41">
              <w:rPr>
                <w:rFonts w:eastAsia="Times New Roman"/>
                <w:iCs/>
                <w:sz w:val="16"/>
                <w:szCs w:val="16"/>
                <w:lang w:val="es-ES"/>
              </w:rPr>
              <w:t>Nota: Las sumas parciales pueden no coincidir debido al redondeo.</w:t>
            </w:r>
          </w:p>
          <w:p w14:paraId="1E853A74" w14:textId="77777777" w:rsidR="00191E41" w:rsidRPr="00191E41" w:rsidRDefault="00191E41" w:rsidP="00191E41">
            <w:pPr>
              <w:jc w:val="both"/>
              <w:rPr>
                <w:rFonts w:eastAsia="Times New Roman"/>
                <w:iCs/>
                <w:sz w:val="16"/>
                <w:szCs w:val="16"/>
                <w:lang w:val="es-ES"/>
              </w:rPr>
            </w:pPr>
            <w:r w:rsidRPr="00191E41">
              <w:rPr>
                <w:rFonts w:eastAsia="Times New Roman"/>
                <w:iCs/>
                <w:sz w:val="16"/>
                <w:szCs w:val="16"/>
                <w:lang w:val="es-ES"/>
              </w:rPr>
              <w:t>* Cifras sujetas a revisiones por cambios y adecuaciones metodológicas.</w:t>
            </w:r>
          </w:p>
          <w:p w14:paraId="78203480" w14:textId="77777777" w:rsidR="00191E41" w:rsidRPr="00191E41" w:rsidRDefault="00191E41" w:rsidP="00191E41">
            <w:pPr>
              <w:jc w:val="both"/>
              <w:rPr>
                <w:rFonts w:eastAsia="Times New Roman"/>
                <w:iCs/>
                <w:sz w:val="16"/>
                <w:szCs w:val="16"/>
                <w:lang w:val="es-ES"/>
              </w:rPr>
            </w:pPr>
            <w:r w:rsidRPr="00191E41">
              <w:rPr>
                <w:rFonts w:eastAsia="Times New Roman"/>
                <w:iCs/>
                <w:sz w:val="16"/>
                <w:szCs w:val="16"/>
                <w:u w:val="single"/>
                <w:lang w:val="es-ES"/>
              </w:rPr>
              <w:t>p</w:t>
            </w:r>
            <w:r w:rsidRPr="00191E41">
              <w:rPr>
                <w:rFonts w:eastAsia="Times New Roman"/>
                <w:iCs/>
                <w:sz w:val="16"/>
                <w:szCs w:val="16"/>
                <w:lang w:val="es-ES"/>
              </w:rPr>
              <w:t>/ Cifras preliminares.</w:t>
            </w:r>
          </w:p>
          <w:p w14:paraId="068B13D4" w14:textId="77777777" w:rsidR="00191E41" w:rsidRPr="00191E41" w:rsidRDefault="00191E41" w:rsidP="00191E41">
            <w:pPr>
              <w:ind w:left="170" w:hanging="170"/>
              <w:jc w:val="both"/>
              <w:rPr>
                <w:rFonts w:eastAsia="Times New Roman"/>
                <w:iCs/>
                <w:sz w:val="16"/>
                <w:szCs w:val="16"/>
                <w:u w:val="single"/>
              </w:rPr>
            </w:pPr>
            <w:r w:rsidRPr="00191E41">
              <w:rPr>
                <w:rFonts w:eastAsia="Times New Roman"/>
                <w:iCs/>
                <w:sz w:val="16"/>
                <w:szCs w:val="16"/>
                <w:u w:val="single"/>
              </w:rPr>
              <w:t>1</w:t>
            </w:r>
            <w:r w:rsidRPr="00191E41">
              <w:rPr>
                <w:rFonts w:eastAsia="Times New Roman"/>
                <w:iCs/>
                <w:sz w:val="16"/>
                <w:szCs w:val="16"/>
              </w:rPr>
              <w:t xml:space="preserve">/ Corresponde al ajuste por el efecto inflacionario. </w:t>
            </w:r>
          </w:p>
          <w:p w14:paraId="20847346" w14:textId="77777777" w:rsidR="00191E41" w:rsidRPr="00191E41" w:rsidRDefault="00191E41" w:rsidP="00191E41">
            <w:pPr>
              <w:jc w:val="both"/>
              <w:rPr>
                <w:rFonts w:eastAsia="Times New Roman"/>
                <w:iCs/>
                <w:sz w:val="16"/>
                <w:szCs w:val="16"/>
                <w:lang w:val="es-ES"/>
              </w:rPr>
            </w:pPr>
            <w:r w:rsidRPr="00191E41">
              <w:rPr>
                <w:rFonts w:eastAsia="Times New Roman"/>
                <w:iCs/>
                <w:sz w:val="16"/>
                <w:szCs w:val="16"/>
                <w:u w:val="single"/>
              </w:rPr>
              <w:t>2</w:t>
            </w:r>
            <w:r w:rsidRPr="00191E41">
              <w:rPr>
                <w:rFonts w:eastAsia="Times New Roman"/>
                <w:iCs/>
                <w:sz w:val="16"/>
                <w:szCs w:val="16"/>
              </w:rPr>
              <w:t>/ Integra el saldo neto denominado en moneda nacional de la Cuenta General de la Tesorería de la Federación.</w:t>
            </w:r>
          </w:p>
          <w:p w14:paraId="1447144E" w14:textId="77777777" w:rsidR="00191E41" w:rsidRPr="00191E41" w:rsidRDefault="00191E41" w:rsidP="00191E41">
            <w:pPr>
              <w:jc w:val="both"/>
              <w:rPr>
                <w:rFonts w:eastAsia="Times New Roman"/>
                <w:iCs/>
                <w:sz w:val="16"/>
                <w:szCs w:val="16"/>
              </w:rPr>
            </w:pPr>
            <w:r w:rsidRPr="00191E41">
              <w:rPr>
                <w:rFonts w:eastAsia="Times New Roman"/>
                <w:iCs/>
                <w:sz w:val="16"/>
                <w:szCs w:val="16"/>
              </w:rPr>
              <w:t>FUENTE: Dirección General Adjunta de Deuda Pública, UCP</w:t>
            </w:r>
            <w:r w:rsidRPr="00191E41">
              <w:rPr>
                <w:rFonts w:eastAsia="Times New Roman"/>
                <w:i/>
                <w:iCs/>
                <w:sz w:val="20"/>
                <w:szCs w:val="20"/>
              </w:rPr>
              <w:t>.</w:t>
            </w:r>
          </w:p>
        </w:tc>
      </w:tr>
    </w:tbl>
    <w:p w14:paraId="66EA3E97" w14:textId="77777777" w:rsidR="00191E41" w:rsidRPr="00191E41" w:rsidRDefault="00191E41" w:rsidP="00191E41">
      <w:pPr>
        <w:spacing w:after="360" w:line="360" w:lineRule="auto"/>
        <w:ind w:right="-159"/>
        <w:jc w:val="both"/>
        <w:rPr>
          <w:rFonts w:eastAsia="Calibri"/>
          <w:sz w:val="26"/>
          <w:szCs w:val="26"/>
          <w:lang w:eastAsia="en-US"/>
        </w:rPr>
      </w:pPr>
    </w:p>
    <w:p w14:paraId="43700FFB" w14:textId="77777777" w:rsidR="00191E41" w:rsidRPr="00191E41" w:rsidRDefault="00191E41" w:rsidP="00191E41">
      <w:pPr>
        <w:spacing w:after="360" w:line="360" w:lineRule="auto"/>
        <w:ind w:right="-159"/>
        <w:jc w:val="both"/>
        <w:rPr>
          <w:rFonts w:eastAsia="Calibri"/>
          <w:sz w:val="26"/>
          <w:szCs w:val="26"/>
          <w:lang w:eastAsia="en-US"/>
        </w:rPr>
      </w:pPr>
      <w:r w:rsidRPr="00191E41">
        <w:rPr>
          <w:rFonts w:eastAsia="Calibri"/>
          <w:sz w:val="26"/>
          <w:szCs w:val="26"/>
          <w:lang w:eastAsia="en-US"/>
        </w:rPr>
        <w:t xml:space="preserve">El saldo de la deuda externa neta del Gobierno Federal al cierre de enero registró            77 mil 773.3 millones de dólares, cifra superior en 420.9  millones de dólares a la observada al cierre de 2014. Este resultado se explica por un endeudamiento neto de     2 mil 389.1 millones de dólares, por ajustes contables a la baja de 107.2 millones de dólares y un incremento en las disponibilidades del Gobierno Federal de 1 mil 861.0 millones de dólares. </w:t>
      </w:r>
    </w:p>
    <w:tbl>
      <w:tblPr>
        <w:tblW w:w="9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84"/>
        <w:gridCol w:w="1016"/>
        <w:gridCol w:w="855"/>
        <w:gridCol w:w="871"/>
        <w:gridCol w:w="801"/>
        <w:gridCol w:w="797"/>
        <w:gridCol w:w="1193"/>
      </w:tblGrid>
      <w:tr w:rsidR="00191E41" w:rsidRPr="00191E41" w14:paraId="336E3871" w14:textId="77777777" w:rsidTr="001E7D79">
        <w:trPr>
          <w:jc w:val="center"/>
        </w:trPr>
        <w:tc>
          <w:tcPr>
            <w:tcW w:w="9317" w:type="dxa"/>
            <w:gridSpan w:val="7"/>
            <w:tcBorders>
              <w:top w:val="nil"/>
              <w:left w:val="nil"/>
              <w:bottom w:val="single" w:sz="4" w:space="0" w:color="auto"/>
              <w:right w:val="nil"/>
            </w:tcBorders>
            <w:shd w:val="clear" w:color="auto" w:fill="auto"/>
            <w:vAlign w:val="center"/>
          </w:tcPr>
          <w:p w14:paraId="3D21E3F4" w14:textId="77777777" w:rsidR="00191E41" w:rsidRPr="00191E41" w:rsidRDefault="00191E41" w:rsidP="00191E41">
            <w:pPr>
              <w:jc w:val="center"/>
              <w:rPr>
                <w:rFonts w:eastAsia="Times New Roman"/>
                <w:b/>
                <w:sz w:val="20"/>
                <w:szCs w:val="20"/>
              </w:rPr>
            </w:pPr>
            <w:r w:rsidRPr="00191E41">
              <w:rPr>
                <w:rFonts w:eastAsia="Times New Roman"/>
                <w:b/>
                <w:sz w:val="20"/>
                <w:szCs w:val="20"/>
              </w:rPr>
              <w:lastRenderedPageBreak/>
              <w:t>DEUDA EXTERNA DEL GOBIERNO FEDERAL, ENERO</w:t>
            </w:r>
            <w:r w:rsidRPr="00191E41">
              <w:rPr>
                <w:rFonts w:eastAsia="Times New Roman"/>
                <w:b/>
                <w:sz w:val="20"/>
                <w:szCs w:val="20"/>
                <w:u w:val="single"/>
                <w:vertAlign w:val="superscript"/>
              </w:rPr>
              <w:t>*</w:t>
            </w:r>
            <w:r w:rsidRPr="00191E41">
              <w:rPr>
                <w:rFonts w:eastAsia="Times New Roman"/>
                <w:b/>
                <w:sz w:val="20"/>
                <w:szCs w:val="20"/>
                <w:vertAlign w:val="superscript"/>
              </w:rPr>
              <w:t>/</w:t>
            </w:r>
          </w:p>
          <w:p w14:paraId="5832E453" w14:textId="77777777" w:rsidR="00191E41" w:rsidRPr="00191E41" w:rsidRDefault="00191E41" w:rsidP="00191E41">
            <w:pPr>
              <w:jc w:val="center"/>
              <w:rPr>
                <w:rFonts w:eastAsia="Times New Roman"/>
                <w:sz w:val="20"/>
                <w:szCs w:val="20"/>
              </w:rPr>
            </w:pPr>
            <w:r w:rsidRPr="00191E41">
              <w:rPr>
                <w:rFonts w:eastAsia="Times New Roman"/>
                <w:b/>
                <w:sz w:val="20"/>
                <w:szCs w:val="20"/>
              </w:rPr>
              <w:t>-Millones de dólares-</w:t>
            </w:r>
          </w:p>
        </w:tc>
      </w:tr>
      <w:tr w:rsidR="00191E41" w:rsidRPr="00191E41" w14:paraId="7530BD84" w14:textId="77777777" w:rsidTr="001E7D79">
        <w:trPr>
          <w:jc w:val="center"/>
        </w:trPr>
        <w:tc>
          <w:tcPr>
            <w:tcW w:w="3784" w:type="dxa"/>
            <w:vMerge w:val="restart"/>
            <w:tcBorders>
              <w:bottom w:val="single" w:sz="4" w:space="0" w:color="auto"/>
              <w:right w:val="single" w:sz="4" w:space="0" w:color="auto"/>
            </w:tcBorders>
            <w:shd w:val="clear" w:color="auto" w:fill="auto"/>
            <w:vAlign w:val="center"/>
          </w:tcPr>
          <w:p w14:paraId="26781D4C" w14:textId="77777777" w:rsidR="00191E41" w:rsidRPr="00191E41" w:rsidRDefault="00191E41" w:rsidP="00191E41">
            <w:pPr>
              <w:jc w:val="center"/>
              <w:rPr>
                <w:rFonts w:eastAsia="Times New Roman"/>
                <w:b/>
                <w:sz w:val="18"/>
                <w:szCs w:val="18"/>
              </w:rPr>
            </w:pPr>
            <w:r w:rsidRPr="00191E41">
              <w:rPr>
                <w:rFonts w:eastAsia="Times New Roman"/>
                <w:b/>
                <w:sz w:val="18"/>
                <w:szCs w:val="18"/>
              </w:rPr>
              <w:t>Concepto</w:t>
            </w:r>
          </w:p>
        </w:tc>
        <w:tc>
          <w:tcPr>
            <w:tcW w:w="1016" w:type="dxa"/>
            <w:vMerge w:val="restart"/>
            <w:tcBorders>
              <w:left w:val="single" w:sz="4" w:space="0" w:color="auto"/>
              <w:bottom w:val="single" w:sz="4" w:space="0" w:color="auto"/>
              <w:right w:val="single" w:sz="4" w:space="0" w:color="auto"/>
            </w:tcBorders>
            <w:shd w:val="clear" w:color="auto" w:fill="auto"/>
            <w:vAlign w:val="center"/>
          </w:tcPr>
          <w:p w14:paraId="6908A2B5" w14:textId="77777777" w:rsidR="00191E41" w:rsidRPr="00191E41" w:rsidRDefault="00191E41" w:rsidP="00191E41">
            <w:pPr>
              <w:jc w:val="center"/>
              <w:rPr>
                <w:rFonts w:eastAsia="Times New Roman"/>
                <w:b/>
                <w:sz w:val="18"/>
                <w:szCs w:val="18"/>
              </w:rPr>
            </w:pPr>
            <w:r w:rsidRPr="00191E41">
              <w:rPr>
                <w:rFonts w:eastAsia="Times New Roman"/>
                <w:b/>
                <w:sz w:val="18"/>
                <w:szCs w:val="18"/>
              </w:rPr>
              <w:t>Saldo a diciembre</w:t>
            </w:r>
          </w:p>
          <w:p w14:paraId="0B56D924" w14:textId="77777777" w:rsidR="00191E41" w:rsidRPr="00191E41" w:rsidRDefault="00191E41" w:rsidP="00191E41">
            <w:pPr>
              <w:jc w:val="center"/>
              <w:rPr>
                <w:rFonts w:eastAsia="Times New Roman"/>
                <w:b/>
                <w:sz w:val="18"/>
                <w:szCs w:val="18"/>
              </w:rPr>
            </w:pPr>
            <w:r w:rsidRPr="00191E41">
              <w:rPr>
                <w:rFonts w:eastAsia="Times New Roman"/>
                <w:b/>
                <w:sz w:val="18"/>
                <w:szCs w:val="18"/>
              </w:rPr>
              <w:t xml:space="preserve">de </w:t>
            </w:r>
            <w:r w:rsidRPr="00191E41">
              <w:rPr>
                <w:rFonts w:eastAsia="Times New Roman"/>
                <w:b/>
                <w:iCs/>
                <w:sz w:val="18"/>
                <w:szCs w:val="18"/>
              </w:rPr>
              <w:t>2014</w:t>
            </w:r>
            <w:r w:rsidRPr="00191E41">
              <w:rPr>
                <w:rFonts w:eastAsia="Times New Roman"/>
                <w:b/>
                <w:iCs/>
                <w:sz w:val="18"/>
                <w:szCs w:val="18"/>
                <w:u w:val="single"/>
                <w:vertAlign w:val="superscript"/>
              </w:rPr>
              <w:t>p</w:t>
            </w:r>
            <w:r w:rsidRPr="00191E41">
              <w:rPr>
                <w:rFonts w:eastAsia="Times New Roman"/>
                <w:b/>
                <w:iCs/>
                <w:sz w:val="18"/>
                <w:szCs w:val="18"/>
                <w:vertAlign w:val="superscript"/>
              </w:rPr>
              <w:t>/</w:t>
            </w:r>
          </w:p>
        </w:tc>
        <w:tc>
          <w:tcPr>
            <w:tcW w:w="2527" w:type="dxa"/>
            <w:gridSpan w:val="3"/>
            <w:tcBorders>
              <w:left w:val="single" w:sz="4" w:space="0" w:color="auto"/>
              <w:bottom w:val="single" w:sz="4" w:space="0" w:color="auto"/>
              <w:right w:val="single" w:sz="4" w:space="0" w:color="auto"/>
            </w:tcBorders>
            <w:shd w:val="clear" w:color="auto" w:fill="auto"/>
            <w:vAlign w:val="center"/>
          </w:tcPr>
          <w:p w14:paraId="1DD4F653" w14:textId="77777777" w:rsidR="00191E41" w:rsidRPr="00191E41" w:rsidRDefault="00191E41" w:rsidP="00191E41">
            <w:pPr>
              <w:jc w:val="center"/>
              <w:rPr>
                <w:rFonts w:eastAsia="Times New Roman"/>
                <w:b/>
                <w:sz w:val="18"/>
                <w:szCs w:val="18"/>
              </w:rPr>
            </w:pPr>
            <w:r w:rsidRPr="00191E41">
              <w:rPr>
                <w:rFonts w:eastAsia="Times New Roman"/>
                <w:b/>
                <w:sz w:val="18"/>
                <w:szCs w:val="18"/>
              </w:rPr>
              <w:t>Endeudamiento</w:t>
            </w:r>
          </w:p>
        </w:tc>
        <w:tc>
          <w:tcPr>
            <w:tcW w:w="797" w:type="dxa"/>
            <w:vMerge w:val="restart"/>
            <w:tcBorders>
              <w:left w:val="single" w:sz="4" w:space="0" w:color="auto"/>
              <w:bottom w:val="single" w:sz="4" w:space="0" w:color="auto"/>
              <w:right w:val="single" w:sz="4" w:space="0" w:color="auto"/>
            </w:tcBorders>
            <w:shd w:val="clear" w:color="auto" w:fill="auto"/>
            <w:vAlign w:val="center"/>
          </w:tcPr>
          <w:p w14:paraId="0DFA8321" w14:textId="77777777" w:rsidR="00191E41" w:rsidRPr="00191E41" w:rsidRDefault="00191E41" w:rsidP="00191E41">
            <w:pPr>
              <w:jc w:val="center"/>
              <w:rPr>
                <w:rFonts w:eastAsia="Times New Roman"/>
                <w:b/>
                <w:sz w:val="18"/>
                <w:szCs w:val="18"/>
              </w:rPr>
            </w:pPr>
            <w:r w:rsidRPr="00191E41">
              <w:rPr>
                <w:rFonts w:eastAsia="Times New Roman"/>
                <w:b/>
                <w:sz w:val="18"/>
                <w:szCs w:val="18"/>
              </w:rPr>
              <w:t>Ajustes</w:t>
            </w:r>
          </w:p>
        </w:tc>
        <w:tc>
          <w:tcPr>
            <w:tcW w:w="1193" w:type="dxa"/>
            <w:vMerge w:val="restart"/>
            <w:tcBorders>
              <w:left w:val="single" w:sz="4" w:space="0" w:color="auto"/>
              <w:bottom w:val="single" w:sz="4" w:space="0" w:color="auto"/>
            </w:tcBorders>
            <w:shd w:val="clear" w:color="auto" w:fill="auto"/>
            <w:vAlign w:val="center"/>
          </w:tcPr>
          <w:p w14:paraId="5E854C92" w14:textId="77777777" w:rsidR="00191E41" w:rsidRPr="00191E41" w:rsidRDefault="00191E41" w:rsidP="00191E41">
            <w:pPr>
              <w:jc w:val="center"/>
              <w:rPr>
                <w:rFonts w:eastAsia="Times New Roman"/>
                <w:b/>
                <w:sz w:val="18"/>
                <w:szCs w:val="18"/>
              </w:rPr>
            </w:pPr>
            <w:r w:rsidRPr="00191E41">
              <w:rPr>
                <w:rFonts w:eastAsia="Times New Roman"/>
                <w:b/>
                <w:sz w:val="18"/>
                <w:szCs w:val="18"/>
              </w:rPr>
              <w:t>Saldo a</w:t>
            </w:r>
          </w:p>
          <w:p w14:paraId="3AD77719" w14:textId="77777777" w:rsidR="00191E41" w:rsidRPr="00191E41" w:rsidRDefault="00191E41" w:rsidP="00191E41">
            <w:pPr>
              <w:jc w:val="center"/>
              <w:rPr>
                <w:rFonts w:eastAsia="Times New Roman"/>
                <w:b/>
                <w:sz w:val="18"/>
                <w:szCs w:val="18"/>
              </w:rPr>
            </w:pPr>
            <w:r w:rsidRPr="00191E41">
              <w:rPr>
                <w:rFonts w:eastAsia="Times New Roman"/>
                <w:b/>
                <w:sz w:val="18"/>
                <w:szCs w:val="18"/>
              </w:rPr>
              <w:t>enero</w:t>
            </w:r>
          </w:p>
          <w:p w14:paraId="7700CFCC" w14:textId="77777777" w:rsidR="00191E41" w:rsidRPr="00191E41" w:rsidRDefault="00191E41" w:rsidP="00191E41">
            <w:pPr>
              <w:jc w:val="center"/>
              <w:rPr>
                <w:rFonts w:eastAsia="Times New Roman"/>
                <w:b/>
                <w:sz w:val="18"/>
                <w:szCs w:val="18"/>
              </w:rPr>
            </w:pPr>
            <w:r w:rsidRPr="00191E41">
              <w:rPr>
                <w:rFonts w:eastAsia="Times New Roman"/>
                <w:b/>
                <w:sz w:val="18"/>
                <w:szCs w:val="18"/>
              </w:rPr>
              <w:t>2015</w:t>
            </w:r>
            <w:r w:rsidRPr="00191E41">
              <w:rPr>
                <w:rFonts w:eastAsia="Times New Roman"/>
                <w:b/>
                <w:sz w:val="18"/>
                <w:szCs w:val="18"/>
                <w:u w:val="single"/>
                <w:vertAlign w:val="superscript"/>
              </w:rPr>
              <w:t>p</w:t>
            </w:r>
            <w:r w:rsidRPr="00191E41">
              <w:rPr>
                <w:rFonts w:eastAsia="Times New Roman"/>
                <w:b/>
                <w:sz w:val="18"/>
                <w:szCs w:val="18"/>
                <w:vertAlign w:val="superscript"/>
              </w:rPr>
              <w:t>/</w:t>
            </w:r>
          </w:p>
        </w:tc>
      </w:tr>
      <w:tr w:rsidR="00191E41" w:rsidRPr="00191E41" w14:paraId="71696DD6" w14:textId="77777777" w:rsidTr="001E7D79">
        <w:trPr>
          <w:jc w:val="center"/>
        </w:trPr>
        <w:tc>
          <w:tcPr>
            <w:tcW w:w="3784" w:type="dxa"/>
            <w:vMerge/>
            <w:tcBorders>
              <w:top w:val="single" w:sz="4" w:space="0" w:color="auto"/>
              <w:bottom w:val="single" w:sz="4" w:space="0" w:color="auto"/>
              <w:right w:val="single" w:sz="4" w:space="0" w:color="auto"/>
            </w:tcBorders>
            <w:shd w:val="clear" w:color="auto" w:fill="auto"/>
            <w:vAlign w:val="center"/>
          </w:tcPr>
          <w:p w14:paraId="69E36D42" w14:textId="77777777" w:rsidR="00191E41" w:rsidRPr="00191E41" w:rsidRDefault="00191E41" w:rsidP="00191E41">
            <w:pPr>
              <w:jc w:val="center"/>
              <w:rPr>
                <w:rFonts w:eastAsia="Times New Roman"/>
                <w:b/>
                <w:sz w:val="18"/>
                <w:szCs w:val="18"/>
              </w:rPr>
            </w:pPr>
          </w:p>
        </w:tc>
        <w:tc>
          <w:tcPr>
            <w:tcW w:w="101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4E36401" w14:textId="77777777" w:rsidR="00191E41" w:rsidRPr="00191E41" w:rsidRDefault="00191E41" w:rsidP="00191E41">
            <w:pPr>
              <w:jc w:val="center"/>
              <w:rPr>
                <w:rFonts w:eastAsia="Times New Roman"/>
                <w:b/>
                <w:sz w:val="18"/>
                <w:szCs w:val="18"/>
              </w:rPr>
            </w:pP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tcPr>
          <w:p w14:paraId="32804AD6" w14:textId="77777777" w:rsidR="00191E41" w:rsidRPr="00191E41" w:rsidRDefault="00191E41" w:rsidP="00191E41">
            <w:pPr>
              <w:ind w:right="-57"/>
              <w:jc w:val="center"/>
              <w:rPr>
                <w:rFonts w:eastAsia="Times New Roman"/>
                <w:b/>
                <w:sz w:val="18"/>
                <w:szCs w:val="18"/>
              </w:rPr>
            </w:pPr>
            <w:r w:rsidRPr="00191E41">
              <w:rPr>
                <w:rFonts w:eastAsia="Times New Roman"/>
                <w:b/>
                <w:sz w:val="18"/>
                <w:szCs w:val="18"/>
              </w:rPr>
              <w:t>Disp.</w:t>
            </w:r>
          </w:p>
        </w:tc>
        <w:tc>
          <w:tcPr>
            <w:tcW w:w="871" w:type="dxa"/>
            <w:tcBorders>
              <w:top w:val="single" w:sz="4" w:space="0" w:color="auto"/>
              <w:left w:val="single" w:sz="4" w:space="0" w:color="auto"/>
              <w:bottom w:val="single" w:sz="4" w:space="0" w:color="auto"/>
              <w:right w:val="single" w:sz="4" w:space="0" w:color="auto"/>
            </w:tcBorders>
            <w:shd w:val="clear" w:color="auto" w:fill="auto"/>
            <w:vAlign w:val="center"/>
          </w:tcPr>
          <w:p w14:paraId="7EC3D0BA" w14:textId="77777777" w:rsidR="00191E41" w:rsidRPr="00191E41" w:rsidRDefault="00191E41" w:rsidP="00191E41">
            <w:pPr>
              <w:jc w:val="center"/>
              <w:rPr>
                <w:rFonts w:eastAsia="Times New Roman"/>
                <w:b/>
                <w:sz w:val="18"/>
                <w:szCs w:val="18"/>
              </w:rPr>
            </w:pPr>
            <w:r w:rsidRPr="00191E41">
              <w:rPr>
                <w:rFonts w:eastAsia="Times New Roman"/>
                <w:b/>
                <w:sz w:val="18"/>
                <w:szCs w:val="18"/>
              </w:rPr>
              <w:t>Amort.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2B595F" w14:textId="77777777" w:rsidR="00191E41" w:rsidRPr="00191E41" w:rsidRDefault="00191E41" w:rsidP="00191E41">
            <w:pPr>
              <w:jc w:val="center"/>
              <w:rPr>
                <w:rFonts w:eastAsia="Times New Roman"/>
                <w:b/>
                <w:sz w:val="18"/>
                <w:szCs w:val="18"/>
              </w:rPr>
            </w:pPr>
            <w:r w:rsidRPr="00191E41">
              <w:rPr>
                <w:rFonts w:eastAsia="Times New Roman"/>
                <w:b/>
                <w:sz w:val="18"/>
                <w:szCs w:val="18"/>
              </w:rPr>
              <w:t>Neto</w:t>
            </w:r>
          </w:p>
        </w:tc>
        <w:tc>
          <w:tcPr>
            <w:tcW w:w="79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F105745" w14:textId="77777777" w:rsidR="00191E41" w:rsidRPr="00191E41" w:rsidRDefault="00191E41" w:rsidP="00191E41">
            <w:pPr>
              <w:jc w:val="center"/>
              <w:rPr>
                <w:rFonts w:eastAsia="Times New Roman"/>
                <w:b/>
                <w:sz w:val="18"/>
                <w:szCs w:val="18"/>
              </w:rPr>
            </w:pPr>
          </w:p>
        </w:tc>
        <w:tc>
          <w:tcPr>
            <w:tcW w:w="1193" w:type="dxa"/>
            <w:vMerge/>
            <w:tcBorders>
              <w:top w:val="single" w:sz="4" w:space="0" w:color="auto"/>
              <w:left w:val="single" w:sz="4" w:space="0" w:color="auto"/>
              <w:bottom w:val="single" w:sz="4" w:space="0" w:color="auto"/>
            </w:tcBorders>
            <w:shd w:val="clear" w:color="auto" w:fill="auto"/>
            <w:vAlign w:val="center"/>
          </w:tcPr>
          <w:p w14:paraId="40F0D007" w14:textId="77777777" w:rsidR="00191E41" w:rsidRPr="00191E41" w:rsidRDefault="00191E41" w:rsidP="00191E41">
            <w:pPr>
              <w:jc w:val="center"/>
              <w:rPr>
                <w:rFonts w:eastAsia="Times New Roman"/>
                <w:b/>
                <w:sz w:val="18"/>
                <w:szCs w:val="18"/>
              </w:rPr>
            </w:pPr>
          </w:p>
        </w:tc>
      </w:tr>
      <w:tr w:rsidR="00191E41" w:rsidRPr="00191E41" w14:paraId="325AD603" w14:textId="77777777" w:rsidTr="001E7D79">
        <w:trPr>
          <w:jc w:val="center"/>
        </w:trPr>
        <w:tc>
          <w:tcPr>
            <w:tcW w:w="3784" w:type="dxa"/>
            <w:tcBorders>
              <w:top w:val="single" w:sz="4" w:space="0" w:color="auto"/>
              <w:bottom w:val="nil"/>
              <w:right w:val="single" w:sz="4" w:space="0" w:color="auto"/>
            </w:tcBorders>
            <w:shd w:val="clear" w:color="auto" w:fill="auto"/>
          </w:tcPr>
          <w:p w14:paraId="74A7AE03" w14:textId="77777777" w:rsidR="00191E41" w:rsidRPr="00191E41" w:rsidRDefault="00191E41" w:rsidP="00191E41">
            <w:pPr>
              <w:rPr>
                <w:rFonts w:eastAsia="Times New Roman"/>
                <w:b/>
                <w:sz w:val="18"/>
                <w:szCs w:val="18"/>
              </w:rPr>
            </w:pPr>
            <w:r w:rsidRPr="00191E41">
              <w:rPr>
                <w:rFonts w:eastAsia="Times New Roman"/>
                <w:b/>
                <w:sz w:val="18"/>
                <w:szCs w:val="18"/>
              </w:rPr>
              <w:t>1. Deuda Neta (3-2)</w:t>
            </w:r>
          </w:p>
        </w:tc>
        <w:tc>
          <w:tcPr>
            <w:tcW w:w="1016" w:type="dxa"/>
            <w:tcBorders>
              <w:top w:val="single" w:sz="4" w:space="0" w:color="auto"/>
              <w:left w:val="single" w:sz="4" w:space="0" w:color="auto"/>
              <w:bottom w:val="nil"/>
              <w:right w:val="single" w:sz="4" w:space="0" w:color="auto"/>
            </w:tcBorders>
            <w:shd w:val="clear" w:color="auto" w:fill="auto"/>
          </w:tcPr>
          <w:p w14:paraId="5FCBB248" w14:textId="77777777" w:rsidR="00191E41" w:rsidRPr="00191E41" w:rsidRDefault="00191E41" w:rsidP="00191E41">
            <w:pPr>
              <w:ind w:right="57"/>
              <w:jc w:val="right"/>
              <w:rPr>
                <w:b/>
                <w:sz w:val="18"/>
                <w:szCs w:val="18"/>
              </w:rPr>
            </w:pPr>
            <w:r w:rsidRPr="00191E41">
              <w:rPr>
                <w:b/>
                <w:sz w:val="18"/>
                <w:szCs w:val="18"/>
              </w:rPr>
              <w:t>77 352.4</w:t>
            </w:r>
          </w:p>
        </w:tc>
        <w:tc>
          <w:tcPr>
            <w:tcW w:w="855" w:type="dxa"/>
            <w:tcBorders>
              <w:top w:val="single" w:sz="4" w:space="0" w:color="auto"/>
              <w:left w:val="single" w:sz="4" w:space="0" w:color="auto"/>
              <w:bottom w:val="nil"/>
              <w:right w:val="single" w:sz="4" w:space="0" w:color="auto"/>
            </w:tcBorders>
            <w:shd w:val="clear" w:color="auto" w:fill="auto"/>
          </w:tcPr>
          <w:p w14:paraId="2483647A" w14:textId="77777777" w:rsidR="00191E41" w:rsidRPr="00191E41" w:rsidRDefault="00191E41" w:rsidP="00191E41">
            <w:pPr>
              <w:jc w:val="right"/>
              <w:rPr>
                <w:b/>
                <w:sz w:val="18"/>
                <w:szCs w:val="18"/>
              </w:rPr>
            </w:pPr>
          </w:p>
        </w:tc>
        <w:tc>
          <w:tcPr>
            <w:tcW w:w="871" w:type="dxa"/>
            <w:tcBorders>
              <w:top w:val="single" w:sz="4" w:space="0" w:color="auto"/>
              <w:left w:val="single" w:sz="4" w:space="0" w:color="auto"/>
              <w:bottom w:val="nil"/>
              <w:right w:val="single" w:sz="4" w:space="0" w:color="auto"/>
            </w:tcBorders>
            <w:shd w:val="clear" w:color="auto" w:fill="auto"/>
          </w:tcPr>
          <w:p w14:paraId="5FB25A82" w14:textId="77777777" w:rsidR="00191E41" w:rsidRPr="00191E41" w:rsidRDefault="00191E41" w:rsidP="00191E41">
            <w:pPr>
              <w:jc w:val="right"/>
              <w:rPr>
                <w:b/>
                <w:sz w:val="18"/>
                <w:szCs w:val="18"/>
              </w:rPr>
            </w:pPr>
          </w:p>
        </w:tc>
        <w:tc>
          <w:tcPr>
            <w:tcW w:w="801" w:type="dxa"/>
            <w:tcBorders>
              <w:top w:val="single" w:sz="4" w:space="0" w:color="auto"/>
              <w:left w:val="single" w:sz="4" w:space="0" w:color="auto"/>
              <w:bottom w:val="nil"/>
              <w:right w:val="single" w:sz="4" w:space="0" w:color="auto"/>
            </w:tcBorders>
            <w:shd w:val="clear" w:color="auto" w:fill="auto"/>
          </w:tcPr>
          <w:p w14:paraId="58472449" w14:textId="77777777" w:rsidR="00191E41" w:rsidRPr="00191E41" w:rsidRDefault="00191E41" w:rsidP="00191E41">
            <w:pPr>
              <w:jc w:val="right"/>
              <w:rPr>
                <w:b/>
                <w:sz w:val="18"/>
                <w:szCs w:val="18"/>
              </w:rPr>
            </w:pPr>
          </w:p>
        </w:tc>
        <w:tc>
          <w:tcPr>
            <w:tcW w:w="797" w:type="dxa"/>
            <w:tcBorders>
              <w:top w:val="single" w:sz="4" w:space="0" w:color="auto"/>
              <w:left w:val="single" w:sz="4" w:space="0" w:color="auto"/>
              <w:bottom w:val="nil"/>
              <w:right w:val="single" w:sz="4" w:space="0" w:color="auto"/>
            </w:tcBorders>
            <w:shd w:val="clear" w:color="auto" w:fill="auto"/>
          </w:tcPr>
          <w:p w14:paraId="3C47F669" w14:textId="77777777" w:rsidR="00191E41" w:rsidRPr="00191E41" w:rsidRDefault="00191E41" w:rsidP="00191E41">
            <w:pPr>
              <w:jc w:val="right"/>
              <w:rPr>
                <w:b/>
                <w:sz w:val="18"/>
                <w:szCs w:val="18"/>
              </w:rPr>
            </w:pPr>
          </w:p>
        </w:tc>
        <w:tc>
          <w:tcPr>
            <w:tcW w:w="1193" w:type="dxa"/>
            <w:tcBorders>
              <w:top w:val="single" w:sz="4" w:space="0" w:color="auto"/>
              <w:left w:val="single" w:sz="4" w:space="0" w:color="auto"/>
              <w:bottom w:val="nil"/>
            </w:tcBorders>
            <w:shd w:val="clear" w:color="auto" w:fill="auto"/>
          </w:tcPr>
          <w:p w14:paraId="2FC4F795" w14:textId="77777777" w:rsidR="00191E41" w:rsidRPr="00191E41" w:rsidRDefault="00191E41" w:rsidP="00191E41">
            <w:pPr>
              <w:ind w:right="113"/>
              <w:jc w:val="right"/>
              <w:rPr>
                <w:b/>
                <w:sz w:val="18"/>
                <w:szCs w:val="18"/>
              </w:rPr>
            </w:pPr>
            <w:r w:rsidRPr="00191E41">
              <w:rPr>
                <w:b/>
                <w:sz w:val="18"/>
                <w:szCs w:val="18"/>
              </w:rPr>
              <w:t>77 773.3</w:t>
            </w:r>
          </w:p>
        </w:tc>
      </w:tr>
      <w:tr w:rsidR="00191E41" w:rsidRPr="00191E41" w14:paraId="4031848C" w14:textId="77777777" w:rsidTr="001E7D79">
        <w:trPr>
          <w:jc w:val="center"/>
        </w:trPr>
        <w:tc>
          <w:tcPr>
            <w:tcW w:w="3784" w:type="dxa"/>
            <w:tcBorders>
              <w:top w:val="nil"/>
              <w:bottom w:val="nil"/>
              <w:right w:val="single" w:sz="4" w:space="0" w:color="auto"/>
            </w:tcBorders>
            <w:shd w:val="clear" w:color="auto" w:fill="auto"/>
          </w:tcPr>
          <w:p w14:paraId="61D1047C" w14:textId="77777777" w:rsidR="00191E41" w:rsidRPr="00191E41" w:rsidRDefault="00191E41" w:rsidP="00191E41">
            <w:pPr>
              <w:ind w:left="113"/>
              <w:rPr>
                <w:rFonts w:eastAsia="Times New Roman"/>
                <w:sz w:val="18"/>
                <w:szCs w:val="18"/>
              </w:rPr>
            </w:pPr>
            <w:r w:rsidRPr="00191E41">
              <w:rPr>
                <w:rFonts w:eastAsia="Times New Roman"/>
                <w:sz w:val="18"/>
                <w:szCs w:val="18"/>
              </w:rPr>
              <w:t>2. Activos</w:t>
            </w:r>
            <w:r w:rsidRPr="00191E41">
              <w:rPr>
                <w:rFonts w:eastAsia="Times New Roman"/>
                <w:sz w:val="18"/>
                <w:szCs w:val="18"/>
                <w:u w:val="single"/>
                <w:vertAlign w:val="superscript"/>
              </w:rPr>
              <w:t>1</w:t>
            </w:r>
            <w:r w:rsidRPr="00191E41">
              <w:rPr>
                <w:rFonts w:eastAsia="Times New Roman"/>
                <w:sz w:val="18"/>
                <w:szCs w:val="18"/>
                <w:vertAlign w:val="superscript"/>
              </w:rPr>
              <w:t>/</w:t>
            </w:r>
          </w:p>
        </w:tc>
        <w:tc>
          <w:tcPr>
            <w:tcW w:w="1016" w:type="dxa"/>
            <w:tcBorders>
              <w:top w:val="nil"/>
              <w:left w:val="single" w:sz="4" w:space="0" w:color="auto"/>
              <w:bottom w:val="nil"/>
              <w:right w:val="single" w:sz="4" w:space="0" w:color="auto"/>
            </w:tcBorders>
            <w:shd w:val="clear" w:color="auto" w:fill="auto"/>
          </w:tcPr>
          <w:p w14:paraId="2AA5E942" w14:textId="77777777" w:rsidR="00191E41" w:rsidRPr="00191E41" w:rsidRDefault="00191E41" w:rsidP="00191E41">
            <w:pPr>
              <w:ind w:right="57"/>
              <w:jc w:val="right"/>
              <w:rPr>
                <w:sz w:val="18"/>
                <w:szCs w:val="18"/>
              </w:rPr>
            </w:pPr>
            <w:r w:rsidRPr="00191E41">
              <w:rPr>
                <w:sz w:val="18"/>
                <w:szCs w:val="18"/>
              </w:rPr>
              <w:t>1 221.0</w:t>
            </w:r>
          </w:p>
        </w:tc>
        <w:tc>
          <w:tcPr>
            <w:tcW w:w="855" w:type="dxa"/>
            <w:tcBorders>
              <w:top w:val="nil"/>
              <w:left w:val="single" w:sz="4" w:space="0" w:color="auto"/>
              <w:bottom w:val="nil"/>
              <w:right w:val="single" w:sz="4" w:space="0" w:color="auto"/>
            </w:tcBorders>
            <w:shd w:val="clear" w:color="auto" w:fill="auto"/>
          </w:tcPr>
          <w:p w14:paraId="39F24525" w14:textId="77777777" w:rsidR="00191E41" w:rsidRPr="00191E41" w:rsidRDefault="00191E41" w:rsidP="00191E41">
            <w:pPr>
              <w:jc w:val="right"/>
              <w:rPr>
                <w:sz w:val="18"/>
                <w:szCs w:val="18"/>
              </w:rPr>
            </w:pPr>
          </w:p>
        </w:tc>
        <w:tc>
          <w:tcPr>
            <w:tcW w:w="871" w:type="dxa"/>
            <w:tcBorders>
              <w:top w:val="nil"/>
              <w:left w:val="single" w:sz="4" w:space="0" w:color="auto"/>
              <w:bottom w:val="nil"/>
              <w:right w:val="single" w:sz="4" w:space="0" w:color="auto"/>
            </w:tcBorders>
            <w:shd w:val="clear" w:color="auto" w:fill="auto"/>
          </w:tcPr>
          <w:p w14:paraId="1E5370D0" w14:textId="77777777" w:rsidR="00191E41" w:rsidRPr="00191E41" w:rsidRDefault="00191E41" w:rsidP="00191E41">
            <w:pPr>
              <w:jc w:val="right"/>
              <w:rPr>
                <w:sz w:val="18"/>
                <w:szCs w:val="18"/>
              </w:rPr>
            </w:pPr>
          </w:p>
        </w:tc>
        <w:tc>
          <w:tcPr>
            <w:tcW w:w="801" w:type="dxa"/>
            <w:tcBorders>
              <w:top w:val="nil"/>
              <w:left w:val="single" w:sz="4" w:space="0" w:color="auto"/>
              <w:bottom w:val="nil"/>
              <w:right w:val="single" w:sz="4" w:space="0" w:color="auto"/>
            </w:tcBorders>
            <w:shd w:val="clear" w:color="auto" w:fill="auto"/>
          </w:tcPr>
          <w:p w14:paraId="021BA346" w14:textId="77777777" w:rsidR="00191E41" w:rsidRPr="00191E41" w:rsidRDefault="00191E41" w:rsidP="00191E41">
            <w:pPr>
              <w:jc w:val="right"/>
              <w:rPr>
                <w:sz w:val="18"/>
                <w:szCs w:val="18"/>
              </w:rPr>
            </w:pPr>
          </w:p>
        </w:tc>
        <w:tc>
          <w:tcPr>
            <w:tcW w:w="797" w:type="dxa"/>
            <w:tcBorders>
              <w:top w:val="nil"/>
              <w:left w:val="single" w:sz="4" w:space="0" w:color="auto"/>
              <w:bottom w:val="nil"/>
              <w:right w:val="single" w:sz="4" w:space="0" w:color="auto"/>
            </w:tcBorders>
            <w:shd w:val="clear" w:color="auto" w:fill="auto"/>
          </w:tcPr>
          <w:p w14:paraId="79536162" w14:textId="77777777" w:rsidR="00191E41" w:rsidRPr="00191E41" w:rsidRDefault="00191E41" w:rsidP="00191E41">
            <w:pPr>
              <w:jc w:val="right"/>
              <w:rPr>
                <w:sz w:val="18"/>
                <w:szCs w:val="18"/>
              </w:rPr>
            </w:pPr>
          </w:p>
        </w:tc>
        <w:tc>
          <w:tcPr>
            <w:tcW w:w="1193" w:type="dxa"/>
            <w:tcBorders>
              <w:top w:val="nil"/>
              <w:left w:val="single" w:sz="4" w:space="0" w:color="auto"/>
              <w:bottom w:val="nil"/>
            </w:tcBorders>
            <w:shd w:val="clear" w:color="auto" w:fill="auto"/>
          </w:tcPr>
          <w:p w14:paraId="0ECBEC36" w14:textId="77777777" w:rsidR="00191E41" w:rsidRPr="00191E41" w:rsidRDefault="00191E41" w:rsidP="00191E41">
            <w:pPr>
              <w:ind w:right="113"/>
              <w:jc w:val="right"/>
              <w:rPr>
                <w:sz w:val="18"/>
                <w:szCs w:val="18"/>
              </w:rPr>
            </w:pPr>
            <w:r w:rsidRPr="00191E41">
              <w:rPr>
                <w:sz w:val="18"/>
                <w:szCs w:val="18"/>
              </w:rPr>
              <w:t>3 082.0</w:t>
            </w:r>
          </w:p>
        </w:tc>
      </w:tr>
      <w:tr w:rsidR="00191E41" w:rsidRPr="00191E41" w14:paraId="47730401" w14:textId="77777777" w:rsidTr="001E7D79">
        <w:trPr>
          <w:jc w:val="center"/>
        </w:trPr>
        <w:tc>
          <w:tcPr>
            <w:tcW w:w="3784" w:type="dxa"/>
            <w:tcBorders>
              <w:top w:val="nil"/>
              <w:bottom w:val="nil"/>
              <w:right w:val="single" w:sz="4" w:space="0" w:color="auto"/>
            </w:tcBorders>
            <w:shd w:val="clear" w:color="auto" w:fill="auto"/>
          </w:tcPr>
          <w:p w14:paraId="46B6B9CA" w14:textId="77777777" w:rsidR="00191E41" w:rsidRPr="00191E41" w:rsidRDefault="00191E41" w:rsidP="00191E41">
            <w:pPr>
              <w:rPr>
                <w:rFonts w:eastAsia="Times New Roman"/>
                <w:b/>
                <w:sz w:val="18"/>
                <w:szCs w:val="18"/>
              </w:rPr>
            </w:pPr>
            <w:r w:rsidRPr="00191E41">
              <w:rPr>
                <w:rFonts w:eastAsia="Times New Roman"/>
                <w:b/>
                <w:sz w:val="18"/>
                <w:szCs w:val="18"/>
              </w:rPr>
              <w:t>3. Deuda Bruta</w:t>
            </w:r>
          </w:p>
        </w:tc>
        <w:tc>
          <w:tcPr>
            <w:tcW w:w="1016" w:type="dxa"/>
            <w:tcBorders>
              <w:top w:val="nil"/>
              <w:left w:val="single" w:sz="4" w:space="0" w:color="auto"/>
              <w:bottom w:val="nil"/>
              <w:right w:val="single" w:sz="4" w:space="0" w:color="auto"/>
            </w:tcBorders>
            <w:shd w:val="clear" w:color="auto" w:fill="auto"/>
          </w:tcPr>
          <w:p w14:paraId="6B02466F" w14:textId="77777777" w:rsidR="00191E41" w:rsidRPr="00191E41" w:rsidRDefault="00191E41" w:rsidP="00191E41">
            <w:pPr>
              <w:ind w:right="57"/>
              <w:jc w:val="right"/>
              <w:rPr>
                <w:b/>
                <w:sz w:val="18"/>
                <w:szCs w:val="18"/>
              </w:rPr>
            </w:pPr>
            <w:r w:rsidRPr="00191E41">
              <w:rPr>
                <w:b/>
                <w:sz w:val="18"/>
                <w:szCs w:val="18"/>
              </w:rPr>
              <w:t>78 573.4</w:t>
            </w:r>
          </w:p>
        </w:tc>
        <w:tc>
          <w:tcPr>
            <w:tcW w:w="855" w:type="dxa"/>
            <w:tcBorders>
              <w:top w:val="nil"/>
              <w:left w:val="single" w:sz="4" w:space="0" w:color="auto"/>
              <w:bottom w:val="nil"/>
              <w:right w:val="single" w:sz="4" w:space="0" w:color="auto"/>
            </w:tcBorders>
            <w:shd w:val="clear" w:color="auto" w:fill="auto"/>
          </w:tcPr>
          <w:p w14:paraId="5154F82D" w14:textId="77777777" w:rsidR="00191E41" w:rsidRPr="00191E41" w:rsidRDefault="00191E41" w:rsidP="00191E41">
            <w:pPr>
              <w:ind w:left="-57" w:right="57"/>
              <w:jc w:val="right"/>
              <w:rPr>
                <w:b/>
                <w:sz w:val="18"/>
                <w:szCs w:val="18"/>
              </w:rPr>
            </w:pPr>
            <w:r w:rsidRPr="00191E41">
              <w:rPr>
                <w:b/>
                <w:sz w:val="18"/>
                <w:szCs w:val="18"/>
              </w:rPr>
              <w:t>4 468.4</w:t>
            </w:r>
          </w:p>
        </w:tc>
        <w:tc>
          <w:tcPr>
            <w:tcW w:w="871" w:type="dxa"/>
            <w:tcBorders>
              <w:top w:val="nil"/>
              <w:left w:val="single" w:sz="4" w:space="0" w:color="auto"/>
              <w:bottom w:val="nil"/>
              <w:right w:val="single" w:sz="4" w:space="0" w:color="auto"/>
            </w:tcBorders>
            <w:shd w:val="clear" w:color="auto" w:fill="auto"/>
          </w:tcPr>
          <w:p w14:paraId="43C1A6E5" w14:textId="77777777" w:rsidR="00191E41" w:rsidRPr="00191E41" w:rsidRDefault="00191E41" w:rsidP="00191E41">
            <w:pPr>
              <w:ind w:left="-57" w:right="57"/>
              <w:jc w:val="right"/>
              <w:rPr>
                <w:b/>
                <w:sz w:val="18"/>
                <w:szCs w:val="18"/>
              </w:rPr>
            </w:pPr>
            <w:r w:rsidRPr="00191E41">
              <w:rPr>
                <w:b/>
                <w:sz w:val="18"/>
                <w:szCs w:val="18"/>
              </w:rPr>
              <w:t>2 079.3</w:t>
            </w:r>
          </w:p>
        </w:tc>
        <w:tc>
          <w:tcPr>
            <w:tcW w:w="801" w:type="dxa"/>
            <w:tcBorders>
              <w:top w:val="nil"/>
              <w:left w:val="single" w:sz="4" w:space="0" w:color="auto"/>
              <w:bottom w:val="nil"/>
              <w:right w:val="single" w:sz="4" w:space="0" w:color="auto"/>
            </w:tcBorders>
            <w:shd w:val="clear" w:color="auto" w:fill="auto"/>
          </w:tcPr>
          <w:p w14:paraId="772C8325" w14:textId="77777777" w:rsidR="00191E41" w:rsidRPr="00191E41" w:rsidRDefault="00191E41" w:rsidP="00191E41">
            <w:pPr>
              <w:ind w:left="-57" w:right="57"/>
              <w:jc w:val="right"/>
              <w:rPr>
                <w:b/>
                <w:sz w:val="18"/>
                <w:szCs w:val="18"/>
              </w:rPr>
            </w:pPr>
            <w:r w:rsidRPr="00191E41">
              <w:rPr>
                <w:b/>
                <w:sz w:val="18"/>
                <w:szCs w:val="18"/>
              </w:rPr>
              <w:t>2 389.1</w:t>
            </w:r>
          </w:p>
        </w:tc>
        <w:tc>
          <w:tcPr>
            <w:tcW w:w="797" w:type="dxa"/>
            <w:tcBorders>
              <w:top w:val="nil"/>
              <w:left w:val="single" w:sz="4" w:space="0" w:color="auto"/>
              <w:bottom w:val="nil"/>
              <w:right w:val="single" w:sz="4" w:space="0" w:color="auto"/>
            </w:tcBorders>
            <w:shd w:val="clear" w:color="auto" w:fill="auto"/>
          </w:tcPr>
          <w:p w14:paraId="01B00820" w14:textId="77777777" w:rsidR="00191E41" w:rsidRPr="00191E41" w:rsidRDefault="00191E41" w:rsidP="00191E41">
            <w:pPr>
              <w:ind w:left="-57" w:right="113"/>
              <w:jc w:val="right"/>
              <w:rPr>
                <w:b/>
                <w:sz w:val="18"/>
                <w:szCs w:val="18"/>
              </w:rPr>
            </w:pPr>
            <w:r w:rsidRPr="00191E41">
              <w:rPr>
                <w:b/>
                <w:sz w:val="18"/>
                <w:szCs w:val="18"/>
              </w:rPr>
              <w:t>-107.2</w:t>
            </w:r>
          </w:p>
        </w:tc>
        <w:tc>
          <w:tcPr>
            <w:tcW w:w="1193" w:type="dxa"/>
            <w:tcBorders>
              <w:top w:val="nil"/>
              <w:left w:val="single" w:sz="4" w:space="0" w:color="auto"/>
              <w:bottom w:val="nil"/>
            </w:tcBorders>
            <w:shd w:val="clear" w:color="auto" w:fill="auto"/>
          </w:tcPr>
          <w:p w14:paraId="59345378" w14:textId="77777777" w:rsidR="00191E41" w:rsidRPr="00191E41" w:rsidRDefault="00191E41" w:rsidP="00191E41">
            <w:pPr>
              <w:ind w:right="113"/>
              <w:jc w:val="right"/>
              <w:rPr>
                <w:b/>
                <w:sz w:val="18"/>
                <w:szCs w:val="18"/>
              </w:rPr>
            </w:pPr>
            <w:r w:rsidRPr="00191E41">
              <w:rPr>
                <w:b/>
                <w:sz w:val="18"/>
                <w:szCs w:val="18"/>
              </w:rPr>
              <w:t>80 855.3</w:t>
            </w:r>
          </w:p>
        </w:tc>
      </w:tr>
      <w:tr w:rsidR="00191E41" w:rsidRPr="00191E41" w14:paraId="12F00AFE" w14:textId="77777777" w:rsidTr="001E7D79">
        <w:trPr>
          <w:jc w:val="center"/>
        </w:trPr>
        <w:tc>
          <w:tcPr>
            <w:tcW w:w="3784" w:type="dxa"/>
            <w:tcBorders>
              <w:top w:val="nil"/>
              <w:bottom w:val="nil"/>
              <w:right w:val="single" w:sz="4" w:space="0" w:color="auto"/>
            </w:tcBorders>
            <w:shd w:val="clear" w:color="auto" w:fill="auto"/>
          </w:tcPr>
          <w:p w14:paraId="226D69F0" w14:textId="77777777" w:rsidR="00191E41" w:rsidRPr="00191E41" w:rsidRDefault="00191E41" w:rsidP="00191E41">
            <w:pPr>
              <w:ind w:left="181"/>
              <w:rPr>
                <w:rFonts w:eastAsia="Times New Roman"/>
                <w:sz w:val="18"/>
                <w:szCs w:val="18"/>
              </w:rPr>
            </w:pPr>
            <w:r w:rsidRPr="00191E41">
              <w:rPr>
                <w:rFonts w:eastAsia="Times New Roman"/>
                <w:sz w:val="18"/>
                <w:szCs w:val="18"/>
              </w:rPr>
              <w:t>Mercado de Capitales</w:t>
            </w:r>
          </w:p>
        </w:tc>
        <w:tc>
          <w:tcPr>
            <w:tcW w:w="1016" w:type="dxa"/>
            <w:tcBorders>
              <w:top w:val="nil"/>
              <w:left w:val="single" w:sz="4" w:space="0" w:color="auto"/>
              <w:bottom w:val="nil"/>
              <w:right w:val="single" w:sz="4" w:space="0" w:color="auto"/>
            </w:tcBorders>
            <w:shd w:val="clear" w:color="auto" w:fill="auto"/>
          </w:tcPr>
          <w:p w14:paraId="5A85F247" w14:textId="77777777" w:rsidR="00191E41" w:rsidRPr="00191E41" w:rsidRDefault="00191E41" w:rsidP="00191E41">
            <w:pPr>
              <w:ind w:right="57"/>
              <w:jc w:val="right"/>
              <w:rPr>
                <w:sz w:val="18"/>
                <w:szCs w:val="18"/>
              </w:rPr>
            </w:pPr>
            <w:r w:rsidRPr="00191E41">
              <w:rPr>
                <w:sz w:val="18"/>
                <w:szCs w:val="18"/>
              </w:rPr>
              <w:t>52 926.9</w:t>
            </w:r>
          </w:p>
        </w:tc>
        <w:tc>
          <w:tcPr>
            <w:tcW w:w="855" w:type="dxa"/>
            <w:tcBorders>
              <w:top w:val="nil"/>
              <w:left w:val="single" w:sz="4" w:space="0" w:color="auto"/>
              <w:bottom w:val="nil"/>
              <w:right w:val="single" w:sz="4" w:space="0" w:color="auto"/>
            </w:tcBorders>
            <w:shd w:val="clear" w:color="auto" w:fill="auto"/>
          </w:tcPr>
          <w:p w14:paraId="5FAC82AE" w14:textId="77777777" w:rsidR="00191E41" w:rsidRPr="00191E41" w:rsidRDefault="00191E41" w:rsidP="00191E41">
            <w:pPr>
              <w:ind w:left="-57" w:right="57"/>
              <w:jc w:val="right"/>
              <w:rPr>
                <w:sz w:val="18"/>
                <w:szCs w:val="18"/>
              </w:rPr>
            </w:pPr>
            <w:r w:rsidRPr="00191E41">
              <w:rPr>
                <w:sz w:val="18"/>
                <w:szCs w:val="18"/>
              </w:rPr>
              <w:t>4 000.0</w:t>
            </w:r>
          </w:p>
        </w:tc>
        <w:tc>
          <w:tcPr>
            <w:tcW w:w="871" w:type="dxa"/>
            <w:tcBorders>
              <w:top w:val="nil"/>
              <w:left w:val="single" w:sz="4" w:space="0" w:color="auto"/>
              <w:bottom w:val="nil"/>
              <w:right w:val="single" w:sz="4" w:space="0" w:color="auto"/>
            </w:tcBorders>
            <w:shd w:val="clear" w:color="auto" w:fill="auto"/>
          </w:tcPr>
          <w:p w14:paraId="781E34D5" w14:textId="77777777" w:rsidR="00191E41" w:rsidRPr="00191E41" w:rsidRDefault="00191E41" w:rsidP="00191E41">
            <w:pPr>
              <w:ind w:left="-57" w:right="57"/>
              <w:jc w:val="right"/>
              <w:rPr>
                <w:sz w:val="18"/>
                <w:szCs w:val="18"/>
              </w:rPr>
            </w:pPr>
            <w:r w:rsidRPr="00191E41">
              <w:rPr>
                <w:sz w:val="18"/>
                <w:szCs w:val="18"/>
              </w:rPr>
              <w:t>2 001.5</w:t>
            </w:r>
          </w:p>
        </w:tc>
        <w:tc>
          <w:tcPr>
            <w:tcW w:w="801" w:type="dxa"/>
            <w:tcBorders>
              <w:top w:val="nil"/>
              <w:left w:val="single" w:sz="4" w:space="0" w:color="auto"/>
              <w:bottom w:val="nil"/>
              <w:right w:val="single" w:sz="4" w:space="0" w:color="auto"/>
            </w:tcBorders>
            <w:shd w:val="clear" w:color="auto" w:fill="auto"/>
          </w:tcPr>
          <w:p w14:paraId="39DDD799" w14:textId="77777777" w:rsidR="00191E41" w:rsidRPr="00191E41" w:rsidRDefault="00191E41" w:rsidP="00191E41">
            <w:pPr>
              <w:ind w:left="-57" w:right="57"/>
              <w:jc w:val="right"/>
              <w:rPr>
                <w:sz w:val="18"/>
                <w:szCs w:val="18"/>
              </w:rPr>
            </w:pPr>
            <w:r w:rsidRPr="00191E41">
              <w:rPr>
                <w:sz w:val="18"/>
                <w:szCs w:val="18"/>
              </w:rPr>
              <w:t>1 998.5</w:t>
            </w:r>
          </w:p>
        </w:tc>
        <w:tc>
          <w:tcPr>
            <w:tcW w:w="797" w:type="dxa"/>
            <w:tcBorders>
              <w:top w:val="nil"/>
              <w:left w:val="single" w:sz="4" w:space="0" w:color="auto"/>
              <w:bottom w:val="nil"/>
              <w:right w:val="single" w:sz="4" w:space="0" w:color="auto"/>
            </w:tcBorders>
            <w:shd w:val="clear" w:color="auto" w:fill="auto"/>
          </w:tcPr>
          <w:p w14:paraId="0EA4EB1E" w14:textId="77777777" w:rsidR="00191E41" w:rsidRPr="00191E41" w:rsidRDefault="00191E41" w:rsidP="00191E41">
            <w:pPr>
              <w:ind w:left="-57" w:right="113"/>
              <w:jc w:val="right"/>
              <w:rPr>
                <w:sz w:val="18"/>
                <w:szCs w:val="18"/>
              </w:rPr>
            </w:pPr>
            <w:r w:rsidRPr="00191E41">
              <w:rPr>
                <w:sz w:val="18"/>
                <w:szCs w:val="18"/>
              </w:rPr>
              <w:t>-42.2</w:t>
            </w:r>
          </w:p>
        </w:tc>
        <w:tc>
          <w:tcPr>
            <w:tcW w:w="1193" w:type="dxa"/>
            <w:tcBorders>
              <w:top w:val="nil"/>
              <w:left w:val="single" w:sz="4" w:space="0" w:color="auto"/>
              <w:bottom w:val="nil"/>
            </w:tcBorders>
            <w:shd w:val="clear" w:color="auto" w:fill="auto"/>
          </w:tcPr>
          <w:p w14:paraId="67DC8BE7" w14:textId="77777777" w:rsidR="00191E41" w:rsidRPr="00191E41" w:rsidRDefault="00191E41" w:rsidP="00191E41">
            <w:pPr>
              <w:ind w:right="113"/>
              <w:jc w:val="right"/>
              <w:rPr>
                <w:sz w:val="18"/>
                <w:szCs w:val="18"/>
              </w:rPr>
            </w:pPr>
            <w:r w:rsidRPr="00191E41">
              <w:rPr>
                <w:sz w:val="18"/>
                <w:szCs w:val="18"/>
              </w:rPr>
              <w:t>54 883.2</w:t>
            </w:r>
          </w:p>
        </w:tc>
      </w:tr>
      <w:tr w:rsidR="00191E41" w:rsidRPr="00191E41" w14:paraId="4897E1B7" w14:textId="77777777" w:rsidTr="001E7D79">
        <w:trPr>
          <w:jc w:val="center"/>
        </w:trPr>
        <w:tc>
          <w:tcPr>
            <w:tcW w:w="3784" w:type="dxa"/>
            <w:tcBorders>
              <w:top w:val="nil"/>
              <w:bottom w:val="nil"/>
              <w:right w:val="single" w:sz="4" w:space="0" w:color="auto"/>
            </w:tcBorders>
            <w:shd w:val="clear" w:color="auto" w:fill="auto"/>
          </w:tcPr>
          <w:p w14:paraId="1DE25F3C" w14:textId="77777777" w:rsidR="00191E41" w:rsidRPr="00191E41" w:rsidRDefault="00191E41" w:rsidP="00191E41">
            <w:pPr>
              <w:ind w:left="181"/>
              <w:rPr>
                <w:rFonts w:eastAsia="Times New Roman"/>
                <w:sz w:val="18"/>
                <w:szCs w:val="18"/>
              </w:rPr>
            </w:pPr>
            <w:r w:rsidRPr="00191E41">
              <w:rPr>
                <w:rFonts w:eastAsia="Times New Roman"/>
                <w:sz w:val="18"/>
                <w:szCs w:val="18"/>
              </w:rPr>
              <w:t>Organismos Financieros Internacionales (OFI’s)</w:t>
            </w:r>
          </w:p>
        </w:tc>
        <w:tc>
          <w:tcPr>
            <w:tcW w:w="1016" w:type="dxa"/>
            <w:tcBorders>
              <w:top w:val="nil"/>
              <w:left w:val="single" w:sz="4" w:space="0" w:color="auto"/>
              <w:bottom w:val="nil"/>
              <w:right w:val="single" w:sz="4" w:space="0" w:color="auto"/>
            </w:tcBorders>
            <w:shd w:val="clear" w:color="auto" w:fill="auto"/>
            <w:vAlign w:val="center"/>
          </w:tcPr>
          <w:p w14:paraId="106C33AD" w14:textId="77777777" w:rsidR="00191E41" w:rsidRPr="00191E41" w:rsidRDefault="00191E41" w:rsidP="00191E41">
            <w:pPr>
              <w:ind w:right="57"/>
              <w:jc w:val="right"/>
              <w:rPr>
                <w:sz w:val="18"/>
                <w:szCs w:val="18"/>
              </w:rPr>
            </w:pPr>
            <w:r w:rsidRPr="00191E41">
              <w:rPr>
                <w:sz w:val="18"/>
                <w:szCs w:val="18"/>
              </w:rPr>
              <w:t>23 563.1</w:t>
            </w:r>
          </w:p>
        </w:tc>
        <w:tc>
          <w:tcPr>
            <w:tcW w:w="855" w:type="dxa"/>
            <w:tcBorders>
              <w:top w:val="nil"/>
              <w:left w:val="single" w:sz="4" w:space="0" w:color="auto"/>
              <w:bottom w:val="nil"/>
              <w:right w:val="single" w:sz="4" w:space="0" w:color="auto"/>
            </w:tcBorders>
            <w:shd w:val="clear" w:color="auto" w:fill="auto"/>
            <w:vAlign w:val="center"/>
          </w:tcPr>
          <w:p w14:paraId="22073423" w14:textId="77777777" w:rsidR="00191E41" w:rsidRPr="00191E41" w:rsidRDefault="00191E41" w:rsidP="00191E41">
            <w:pPr>
              <w:ind w:left="-57" w:right="57"/>
              <w:jc w:val="right"/>
              <w:rPr>
                <w:sz w:val="18"/>
                <w:szCs w:val="18"/>
              </w:rPr>
            </w:pPr>
            <w:r w:rsidRPr="00191E41">
              <w:rPr>
                <w:sz w:val="18"/>
                <w:szCs w:val="18"/>
              </w:rPr>
              <w:t>468.4</w:t>
            </w:r>
          </w:p>
        </w:tc>
        <w:tc>
          <w:tcPr>
            <w:tcW w:w="871" w:type="dxa"/>
            <w:tcBorders>
              <w:top w:val="nil"/>
              <w:left w:val="single" w:sz="4" w:space="0" w:color="auto"/>
              <w:bottom w:val="nil"/>
              <w:right w:val="single" w:sz="4" w:space="0" w:color="auto"/>
            </w:tcBorders>
            <w:shd w:val="clear" w:color="auto" w:fill="auto"/>
            <w:vAlign w:val="center"/>
          </w:tcPr>
          <w:p w14:paraId="0967F6B7" w14:textId="77777777" w:rsidR="00191E41" w:rsidRPr="00191E41" w:rsidRDefault="00191E41" w:rsidP="00191E41">
            <w:pPr>
              <w:ind w:left="-57" w:right="57"/>
              <w:jc w:val="right"/>
              <w:rPr>
                <w:sz w:val="18"/>
                <w:szCs w:val="18"/>
              </w:rPr>
            </w:pPr>
            <w:r w:rsidRPr="00191E41">
              <w:rPr>
                <w:sz w:val="18"/>
                <w:szCs w:val="18"/>
              </w:rPr>
              <w:t>63.3</w:t>
            </w:r>
          </w:p>
        </w:tc>
        <w:tc>
          <w:tcPr>
            <w:tcW w:w="801" w:type="dxa"/>
            <w:tcBorders>
              <w:top w:val="nil"/>
              <w:left w:val="single" w:sz="4" w:space="0" w:color="auto"/>
              <w:bottom w:val="nil"/>
              <w:right w:val="single" w:sz="4" w:space="0" w:color="auto"/>
            </w:tcBorders>
            <w:shd w:val="clear" w:color="auto" w:fill="auto"/>
            <w:vAlign w:val="center"/>
          </w:tcPr>
          <w:p w14:paraId="74706F58" w14:textId="77777777" w:rsidR="00191E41" w:rsidRPr="00191E41" w:rsidRDefault="00191E41" w:rsidP="00191E41">
            <w:pPr>
              <w:ind w:left="-57" w:right="57"/>
              <w:jc w:val="right"/>
              <w:rPr>
                <w:sz w:val="18"/>
                <w:szCs w:val="18"/>
              </w:rPr>
            </w:pPr>
            <w:r w:rsidRPr="00191E41">
              <w:rPr>
                <w:sz w:val="18"/>
                <w:szCs w:val="18"/>
              </w:rPr>
              <w:t>405.1</w:t>
            </w:r>
          </w:p>
        </w:tc>
        <w:tc>
          <w:tcPr>
            <w:tcW w:w="797" w:type="dxa"/>
            <w:tcBorders>
              <w:top w:val="nil"/>
              <w:left w:val="single" w:sz="4" w:space="0" w:color="auto"/>
              <w:bottom w:val="nil"/>
              <w:right w:val="single" w:sz="4" w:space="0" w:color="auto"/>
            </w:tcBorders>
            <w:shd w:val="clear" w:color="auto" w:fill="auto"/>
            <w:vAlign w:val="center"/>
          </w:tcPr>
          <w:p w14:paraId="186C6AE6" w14:textId="77777777" w:rsidR="00191E41" w:rsidRPr="00191E41" w:rsidRDefault="00191E41" w:rsidP="00191E41">
            <w:pPr>
              <w:ind w:left="-57" w:right="113"/>
              <w:jc w:val="right"/>
              <w:rPr>
                <w:sz w:val="18"/>
                <w:szCs w:val="18"/>
              </w:rPr>
            </w:pPr>
            <w:r w:rsidRPr="00191E41">
              <w:rPr>
                <w:sz w:val="18"/>
                <w:szCs w:val="18"/>
              </w:rPr>
              <w:t>-1.0</w:t>
            </w:r>
          </w:p>
        </w:tc>
        <w:tc>
          <w:tcPr>
            <w:tcW w:w="1193" w:type="dxa"/>
            <w:tcBorders>
              <w:top w:val="nil"/>
              <w:left w:val="single" w:sz="4" w:space="0" w:color="auto"/>
              <w:bottom w:val="nil"/>
            </w:tcBorders>
            <w:shd w:val="clear" w:color="auto" w:fill="auto"/>
            <w:vAlign w:val="center"/>
          </w:tcPr>
          <w:p w14:paraId="124DAAA3" w14:textId="77777777" w:rsidR="00191E41" w:rsidRPr="00191E41" w:rsidRDefault="00191E41" w:rsidP="00191E41">
            <w:pPr>
              <w:ind w:right="113"/>
              <w:jc w:val="right"/>
              <w:rPr>
                <w:sz w:val="18"/>
                <w:szCs w:val="18"/>
              </w:rPr>
            </w:pPr>
            <w:r w:rsidRPr="00191E41">
              <w:rPr>
                <w:sz w:val="18"/>
                <w:szCs w:val="18"/>
              </w:rPr>
              <w:t>23 967.2</w:t>
            </w:r>
          </w:p>
        </w:tc>
      </w:tr>
      <w:tr w:rsidR="00191E41" w:rsidRPr="00191E41" w14:paraId="21D78D64" w14:textId="77777777" w:rsidTr="001E7D79">
        <w:trPr>
          <w:jc w:val="center"/>
        </w:trPr>
        <w:tc>
          <w:tcPr>
            <w:tcW w:w="3784" w:type="dxa"/>
            <w:tcBorders>
              <w:top w:val="nil"/>
              <w:bottom w:val="single" w:sz="4" w:space="0" w:color="auto"/>
              <w:right w:val="single" w:sz="4" w:space="0" w:color="auto"/>
            </w:tcBorders>
            <w:shd w:val="clear" w:color="auto" w:fill="auto"/>
          </w:tcPr>
          <w:p w14:paraId="05BB13A8" w14:textId="77777777" w:rsidR="00191E41" w:rsidRPr="00191E41" w:rsidRDefault="00191E41" w:rsidP="00191E41">
            <w:pPr>
              <w:ind w:left="181"/>
              <w:rPr>
                <w:rFonts w:eastAsia="Times New Roman"/>
                <w:sz w:val="18"/>
                <w:szCs w:val="18"/>
              </w:rPr>
            </w:pPr>
            <w:r w:rsidRPr="00191E41">
              <w:rPr>
                <w:rFonts w:eastAsia="Times New Roman"/>
                <w:sz w:val="18"/>
                <w:szCs w:val="18"/>
              </w:rPr>
              <w:t>Comercio Exterior</w:t>
            </w:r>
          </w:p>
        </w:tc>
        <w:tc>
          <w:tcPr>
            <w:tcW w:w="1016" w:type="dxa"/>
            <w:tcBorders>
              <w:top w:val="nil"/>
              <w:left w:val="single" w:sz="4" w:space="0" w:color="auto"/>
              <w:bottom w:val="single" w:sz="4" w:space="0" w:color="auto"/>
              <w:right w:val="single" w:sz="4" w:space="0" w:color="auto"/>
            </w:tcBorders>
            <w:shd w:val="clear" w:color="auto" w:fill="auto"/>
          </w:tcPr>
          <w:p w14:paraId="74EDD644" w14:textId="77777777" w:rsidR="00191E41" w:rsidRPr="00191E41" w:rsidRDefault="00191E41" w:rsidP="00191E41">
            <w:pPr>
              <w:ind w:right="57"/>
              <w:jc w:val="right"/>
              <w:rPr>
                <w:sz w:val="18"/>
                <w:szCs w:val="18"/>
              </w:rPr>
            </w:pPr>
            <w:r w:rsidRPr="00191E41">
              <w:rPr>
                <w:sz w:val="18"/>
                <w:szCs w:val="18"/>
              </w:rPr>
              <w:t>2 083.4</w:t>
            </w:r>
          </w:p>
        </w:tc>
        <w:tc>
          <w:tcPr>
            <w:tcW w:w="855" w:type="dxa"/>
            <w:tcBorders>
              <w:top w:val="nil"/>
              <w:left w:val="single" w:sz="4" w:space="0" w:color="auto"/>
              <w:bottom w:val="single" w:sz="4" w:space="0" w:color="auto"/>
              <w:right w:val="single" w:sz="4" w:space="0" w:color="auto"/>
            </w:tcBorders>
            <w:shd w:val="clear" w:color="auto" w:fill="auto"/>
          </w:tcPr>
          <w:p w14:paraId="6341DE6B" w14:textId="77777777" w:rsidR="00191E41" w:rsidRPr="00191E41" w:rsidRDefault="00191E41" w:rsidP="00191E41">
            <w:pPr>
              <w:ind w:left="-57" w:right="57"/>
              <w:jc w:val="right"/>
              <w:rPr>
                <w:sz w:val="18"/>
                <w:szCs w:val="18"/>
              </w:rPr>
            </w:pPr>
            <w:r w:rsidRPr="00191E41">
              <w:rPr>
                <w:sz w:val="18"/>
                <w:szCs w:val="18"/>
              </w:rPr>
              <w:t>0.0</w:t>
            </w:r>
          </w:p>
        </w:tc>
        <w:tc>
          <w:tcPr>
            <w:tcW w:w="871" w:type="dxa"/>
            <w:tcBorders>
              <w:top w:val="nil"/>
              <w:left w:val="single" w:sz="4" w:space="0" w:color="auto"/>
              <w:bottom w:val="single" w:sz="4" w:space="0" w:color="auto"/>
              <w:right w:val="single" w:sz="4" w:space="0" w:color="auto"/>
            </w:tcBorders>
            <w:shd w:val="clear" w:color="auto" w:fill="auto"/>
          </w:tcPr>
          <w:p w14:paraId="70FEA87A" w14:textId="77777777" w:rsidR="00191E41" w:rsidRPr="00191E41" w:rsidRDefault="00191E41" w:rsidP="00191E41">
            <w:pPr>
              <w:ind w:left="-57" w:right="57"/>
              <w:jc w:val="right"/>
              <w:rPr>
                <w:sz w:val="18"/>
                <w:szCs w:val="18"/>
              </w:rPr>
            </w:pPr>
            <w:r w:rsidRPr="00191E41">
              <w:rPr>
                <w:sz w:val="18"/>
                <w:szCs w:val="18"/>
              </w:rPr>
              <w:t>14.5</w:t>
            </w:r>
          </w:p>
        </w:tc>
        <w:tc>
          <w:tcPr>
            <w:tcW w:w="801" w:type="dxa"/>
            <w:tcBorders>
              <w:top w:val="nil"/>
              <w:left w:val="single" w:sz="4" w:space="0" w:color="auto"/>
              <w:bottom w:val="single" w:sz="4" w:space="0" w:color="auto"/>
              <w:right w:val="single" w:sz="4" w:space="0" w:color="auto"/>
            </w:tcBorders>
            <w:shd w:val="clear" w:color="auto" w:fill="auto"/>
          </w:tcPr>
          <w:p w14:paraId="749248F4" w14:textId="77777777" w:rsidR="00191E41" w:rsidRPr="00191E41" w:rsidRDefault="00191E41" w:rsidP="00191E41">
            <w:pPr>
              <w:ind w:left="-57" w:right="57"/>
              <w:jc w:val="right"/>
              <w:rPr>
                <w:sz w:val="18"/>
                <w:szCs w:val="18"/>
              </w:rPr>
            </w:pPr>
            <w:r w:rsidRPr="00191E41">
              <w:rPr>
                <w:sz w:val="18"/>
                <w:szCs w:val="18"/>
              </w:rPr>
              <w:t>-14.5</w:t>
            </w:r>
          </w:p>
        </w:tc>
        <w:tc>
          <w:tcPr>
            <w:tcW w:w="797" w:type="dxa"/>
            <w:tcBorders>
              <w:top w:val="nil"/>
              <w:left w:val="single" w:sz="4" w:space="0" w:color="auto"/>
              <w:bottom w:val="single" w:sz="4" w:space="0" w:color="auto"/>
              <w:right w:val="single" w:sz="4" w:space="0" w:color="auto"/>
            </w:tcBorders>
            <w:shd w:val="clear" w:color="auto" w:fill="auto"/>
          </w:tcPr>
          <w:p w14:paraId="2B05A391" w14:textId="77777777" w:rsidR="00191E41" w:rsidRPr="00191E41" w:rsidRDefault="00191E41" w:rsidP="00191E41">
            <w:pPr>
              <w:ind w:left="-57" w:right="113"/>
              <w:jc w:val="right"/>
              <w:rPr>
                <w:sz w:val="18"/>
                <w:szCs w:val="18"/>
              </w:rPr>
            </w:pPr>
            <w:r w:rsidRPr="00191E41">
              <w:rPr>
                <w:sz w:val="18"/>
                <w:szCs w:val="18"/>
              </w:rPr>
              <w:t>-64.0</w:t>
            </w:r>
          </w:p>
        </w:tc>
        <w:tc>
          <w:tcPr>
            <w:tcW w:w="1193" w:type="dxa"/>
            <w:tcBorders>
              <w:top w:val="nil"/>
              <w:left w:val="single" w:sz="4" w:space="0" w:color="auto"/>
              <w:bottom w:val="single" w:sz="4" w:space="0" w:color="auto"/>
            </w:tcBorders>
            <w:shd w:val="clear" w:color="auto" w:fill="auto"/>
          </w:tcPr>
          <w:p w14:paraId="1260ACF2" w14:textId="77777777" w:rsidR="00191E41" w:rsidRPr="00191E41" w:rsidRDefault="00191E41" w:rsidP="00191E41">
            <w:pPr>
              <w:ind w:right="113"/>
              <w:jc w:val="right"/>
              <w:rPr>
                <w:sz w:val="18"/>
                <w:szCs w:val="18"/>
              </w:rPr>
            </w:pPr>
            <w:r w:rsidRPr="00191E41">
              <w:rPr>
                <w:sz w:val="18"/>
                <w:szCs w:val="18"/>
              </w:rPr>
              <w:t>2 004.9</w:t>
            </w:r>
          </w:p>
        </w:tc>
      </w:tr>
      <w:tr w:rsidR="00191E41" w:rsidRPr="00191E41" w14:paraId="6DF96CA5" w14:textId="77777777" w:rsidTr="001E7D79">
        <w:trPr>
          <w:jc w:val="center"/>
        </w:trPr>
        <w:tc>
          <w:tcPr>
            <w:tcW w:w="9317" w:type="dxa"/>
            <w:gridSpan w:val="7"/>
            <w:tcBorders>
              <w:top w:val="single" w:sz="4" w:space="0" w:color="auto"/>
              <w:left w:val="nil"/>
              <w:bottom w:val="nil"/>
              <w:right w:val="nil"/>
            </w:tcBorders>
            <w:shd w:val="clear" w:color="auto" w:fill="auto"/>
          </w:tcPr>
          <w:p w14:paraId="6558081F" w14:textId="77777777" w:rsidR="00191E41" w:rsidRPr="00191E41" w:rsidRDefault="00191E41" w:rsidP="00191E41">
            <w:pPr>
              <w:jc w:val="both"/>
              <w:rPr>
                <w:rFonts w:eastAsia="Times New Roman"/>
                <w:sz w:val="18"/>
                <w:szCs w:val="18"/>
              </w:rPr>
            </w:pPr>
            <w:r w:rsidRPr="00191E41">
              <w:rPr>
                <w:rFonts w:eastAsia="Times New Roman"/>
                <w:sz w:val="18"/>
                <w:szCs w:val="18"/>
              </w:rPr>
              <w:t>Nota: Las sumas parciales pueden no coincidir debido al redondeo.</w:t>
            </w:r>
          </w:p>
          <w:p w14:paraId="7D3C8272" w14:textId="77777777" w:rsidR="00191E41" w:rsidRPr="00191E41" w:rsidRDefault="00191E41" w:rsidP="00191E41">
            <w:pPr>
              <w:jc w:val="both"/>
              <w:rPr>
                <w:rFonts w:eastAsia="Times New Roman"/>
                <w:sz w:val="18"/>
                <w:szCs w:val="18"/>
              </w:rPr>
            </w:pPr>
            <w:r w:rsidRPr="00191E41">
              <w:rPr>
                <w:rFonts w:eastAsia="Times New Roman"/>
                <w:sz w:val="18"/>
                <w:szCs w:val="18"/>
                <w:u w:val="single"/>
              </w:rPr>
              <w:t>*</w:t>
            </w:r>
            <w:r w:rsidRPr="00191E41">
              <w:rPr>
                <w:rFonts w:eastAsia="Times New Roman"/>
                <w:sz w:val="18"/>
                <w:szCs w:val="18"/>
              </w:rPr>
              <w:t>/ Cifras sujetas a revisiones por cambios y adecuaciones metodológicas.</w:t>
            </w:r>
          </w:p>
          <w:p w14:paraId="156552EB" w14:textId="77777777" w:rsidR="00191E41" w:rsidRPr="00191E41" w:rsidRDefault="00191E41" w:rsidP="00191E41">
            <w:pPr>
              <w:jc w:val="both"/>
              <w:rPr>
                <w:rFonts w:eastAsia="Times New Roman"/>
                <w:sz w:val="18"/>
                <w:szCs w:val="18"/>
              </w:rPr>
            </w:pPr>
            <w:r w:rsidRPr="00191E41">
              <w:rPr>
                <w:rFonts w:eastAsia="Times New Roman"/>
                <w:sz w:val="18"/>
                <w:szCs w:val="18"/>
                <w:u w:val="single"/>
              </w:rPr>
              <w:t>p</w:t>
            </w:r>
            <w:r w:rsidRPr="00191E41">
              <w:rPr>
                <w:rFonts w:eastAsia="Times New Roman"/>
                <w:sz w:val="18"/>
                <w:szCs w:val="18"/>
              </w:rPr>
              <w:t>/ Cifras preliminares.</w:t>
            </w:r>
          </w:p>
          <w:p w14:paraId="6B2AAC74" w14:textId="77777777" w:rsidR="00191E41" w:rsidRPr="00191E41" w:rsidRDefault="00191E41" w:rsidP="00191E41">
            <w:pPr>
              <w:jc w:val="both"/>
              <w:rPr>
                <w:rFonts w:eastAsia="Times New Roman"/>
                <w:sz w:val="18"/>
                <w:szCs w:val="18"/>
              </w:rPr>
            </w:pPr>
            <w:r w:rsidRPr="00191E41">
              <w:rPr>
                <w:rFonts w:eastAsia="Times New Roman"/>
                <w:sz w:val="18"/>
                <w:szCs w:val="18"/>
                <w:u w:val="single"/>
              </w:rPr>
              <w:t>1</w:t>
            </w:r>
            <w:r w:rsidRPr="00191E41">
              <w:rPr>
                <w:rFonts w:eastAsia="Times New Roman"/>
                <w:sz w:val="18"/>
                <w:szCs w:val="18"/>
              </w:rPr>
              <w:t>/ Considera el saldo neto denominado en dólares de la Cuenta General de la Tesorería de la Federación.</w:t>
            </w:r>
          </w:p>
          <w:p w14:paraId="5F26C8FD" w14:textId="77777777" w:rsidR="00191E41" w:rsidRPr="00191E41" w:rsidRDefault="00191E41" w:rsidP="00191E41">
            <w:pPr>
              <w:jc w:val="both"/>
              <w:rPr>
                <w:rFonts w:eastAsia="Times New Roman"/>
                <w:sz w:val="18"/>
                <w:szCs w:val="18"/>
              </w:rPr>
            </w:pPr>
            <w:r w:rsidRPr="00191E41">
              <w:rPr>
                <w:rFonts w:eastAsia="Times New Roman"/>
                <w:sz w:val="18"/>
                <w:szCs w:val="18"/>
              </w:rPr>
              <w:t xml:space="preserve">FUENTE: </w:t>
            </w:r>
            <w:r w:rsidRPr="00191E41">
              <w:rPr>
                <w:rFonts w:eastAsia="Times New Roman"/>
                <w:iCs/>
                <w:sz w:val="18"/>
                <w:szCs w:val="18"/>
              </w:rPr>
              <w:t>Dirección General Adjunta de Deuda Pública, UCP</w:t>
            </w:r>
            <w:r w:rsidRPr="00191E41">
              <w:rPr>
                <w:rFonts w:eastAsia="Times New Roman"/>
                <w:i/>
                <w:iCs/>
                <w:sz w:val="18"/>
                <w:szCs w:val="18"/>
              </w:rPr>
              <w:t>.</w:t>
            </w:r>
          </w:p>
        </w:tc>
      </w:tr>
    </w:tbl>
    <w:p w14:paraId="14C9F4DF" w14:textId="77777777" w:rsidR="00191E41" w:rsidRPr="00191E41" w:rsidRDefault="00191E41" w:rsidP="00191E41">
      <w:pPr>
        <w:spacing w:after="360" w:line="360" w:lineRule="auto"/>
        <w:ind w:right="-159"/>
        <w:jc w:val="both"/>
        <w:rPr>
          <w:rFonts w:eastAsia="Calibri"/>
          <w:sz w:val="26"/>
          <w:szCs w:val="26"/>
          <w:lang w:eastAsia="en-US"/>
        </w:rPr>
      </w:pPr>
    </w:p>
    <w:p w14:paraId="22C3DD77" w14:textId="17700D4D" w:rsidR="00191E41" w:rsidRPr="00191E41" w:rsidRDefault="00191E41" w:rsidP="00191E41">
      <w:pPr>
        <w:spacing w:after="360" w:line="360" w:lineRule="auto"/>
        <w:ind w:right="-159"/>
        <w:jc w:val="both"/>
        <w:rPr>
          <w:rFonts w:eastAsia="Calibri"/>
          <w:sz w:val="26"/>
          <w:szCs w:val="26"/>
          <w:lang w:eastAsia="en-US"/>
        </w:rPr>
      </w:pPr>
      <w:r w:rsidRPr="00191E41">
        <w:rPr>
          <w:rFonts w:eastAsia="Calibri"/>
          <w:sz w:val="26"/>
          <w:szCs w:val="26"/>
          <w:lang w:eastAsia="en-US"/>
        </w:rPr>
        <w:t xml:space="preserve">El saldo de la deuda interna neta del </w:t>
      </w:r>
      <w:r w:rsidR="00DE0DF6">
        <w:rPr>
          <w:rFonts w:eastAsia="Calibri"/>
          <w:sz w:val="26"/>
          <w:szCs w:val="26"/>
          <w:lang w:eastAsia="en-US"/>
        </w:rPr>
        <w:t>S</w:t>
      </w:r>
      <w:r w:rsidRPr="00191E41">
        <w:rPr>
          <w:rFonts w:eastAsia="Calibri"/>
          <w:sz w:val="26"/>
          <w:szCs w:val="26"/>
          <w:lang w:eastAsia="en-US"/>
        </w:rPr>
        <w:t xml:space="preserve">ector </w:t>
      </w:r>
      <w:r w:rsidR="00DE0DF6">
        <w:rPr>
          <w:rFonts w:eastAsia="Calibri"/>
          <w:sz w:val="26"/>
          <w:szCs w:val="26"/>
          <w:lang w:eastAsia="en-US"/>
        </w:rPr>
        <w:t>P</w:t>
      </w:r>
      <w:r w:rsidRPr="00191E41">
        <w:rPr>
          <w:rFonts w:eastAsia="Calibri"/>
          <w:sz w:val="26"/>
          <w:szCs w:val="26"/>
          <w:lang w:eastAsia="en-US"/>
        </w:rPr>
        <w:t xml:space="preserve">úblico </w:t>
      </w:r>
      <w:r w:rsidR="00DE0DF6">
        <w:rPr>
          <w:rFonts w:eastAsia="Calibri"/>
          <w:sz w:val="26"/>
          <w:szCs w:val="26"/>
          <w:lang w:eastAsia="en-US"/>
        </w:rPr>
        <w:t>F</w:t>
      </w:r>
      <w:r w:rsidRPr="00191E41">
        <w:rPr>
          <w:rFonts w:eastAsia="Calibri"/>
          <w:sz w:val="26"/>
          <w:szCs w:val="26"/>
          <w:lang w:eastAsia="en-US"/>
        </w:rPr>
        <w:t xml:space="preserve">ederal (Gobierno Federal, empresas productivas del estado y la banca de desarrollo), se ubicó en 4 billones 779 mil 424.7 millones de pesos al cierre de enero, lo que significa una disminución de 24 mil 825.5 millones de pesos respecto del saldo registrado al cierre de 2014. Ello obedece a un endeudamiento interno neto durante el período de 61 mil 667.3 millones de pesos, a ajustes contables al alza de 3 mil 256.8 millones de pesos y a un incremento en las disponibilidades del sector público federal de 89 mil 749.6 millones de pesos. </w:t>
      </w:r>
    </w:p>
    <w:p w14:paraId="4F13D886" w14:textId="77777777" w:rsidR="00191E41" w:rsidRPr="00191E41" w:rsidRDefault="00191E41" w:rsidP="00191E41">
      <w:pPr>
        <w:spacing w:after="360" w:line="360" w:lineRule="auto"/>
        <w:ind w:right="-159"/>
        <w:jc w:val="both"/>
        <w:rPr>
          <w:rFonts w:eastAsia="Calibri"/>
          <w:sz w:val="26"/>
          <w:szCs w:val="26"/>
          <w:lang w:eastAsia="en-US"/>
        </w:rPr>
      </w:pPr>
    </w:p>
    <w:p w14:paraId="476672A8" w14:textId="77777777" w:rsidR="00191E41" w:rsidRPr="00191E41" w:rsidRDefault="00191E41" w:rsidP="00191E41">
      <w:pPr>
        <w:spacing w:after="360" w:line="360" w:lineRule="auto"/>
        <w:ind w:right="-159"/>
        <w:jc w:val="both"/>
        <w:rPr>
          <w:rFonts w:eastAsia="Calibri"/>
          <w:sz w:val="26"/>
          <w:szCs w:val="26"/>
          <w:lang w:eastAsia="en-US"/>
        </w:rPr>
      </w:pPr>
    </w:p>
    <w:p w14:paraId="4049790A" w14:textId="77777777" w:rsidR="00191E41" w:rsidRPr="00191E41" w:rsidRDefault="00191E41" w:rsidP="00191E41">
      <w:pPr>
        <w:spacing w:after="360" w:line="360" w:lineRule="auto"/>
        <w:ind w:right="-159"/>
        <w:jc w:val="both"/>
        <w:rPr>
          <w:rFonts w:eastAsia="Calibri"/>
          <w:sz w:val="26"/>
          <w:szCs w:val="26"/>
          <w:lang w:eastAsia="en-US"/>
        </w:rPr>
      </w:pPr>
    </w:p>
    <w:p w14:paraId="5DB53E96" w14:textId="77777777" w:rsidR="00191E41" w:rsidRPr="00191E41" w:rsidRDefault="00191E41" w:rsidP="00191E41">
      <w:pPr>
        <w:spacing w:after="360" w:line="360" w:lineRule="auto"/>
        <w:ind w:right="-159"/>
        <w:jc w:val="both"/>
        <w:rPr>
          <w:rFonts w:eastAsia="Calibri"/>
          <w:sz w:val="26"/>
          <w:szCs w:val="26"/>
          <w:lang w:eastAsia="en-US"/>
        </w:rPr>
      </w:pPr>
    </w:p>
    <w:p w14:paraId="0D2EE50D" w14:textId="77777777" w:rsidR="00191E41" w:rsidRPr="00191E41" w:rsidRDefault="00191E41" w:rsidP="00191E41">
      <w:pPr>
        <w:spacing w:after="360" w:line="360" w:lineRule="auto"/>
        <w:ind w:right="-159"/>
        <w:jc w:val="both"/>
        <w:rPr>
          <w:rFonts w:eastAsia="Calibri"/>
          <w:sz w:val="26"/>
          <w:szCs w:val="26"/>
          <w:lang w:eastAsia="en-US"/>
        </w:rPr>
      </w:pPr>
    </w:p>
    <w:p w14:paraId="5B15CE0E" w14:textId="77777777" w:rsidR="00191E41" w:rsidRPr="00191E41" w:rsidRDefault="00191E41" w:rsidP="00191E41">
      <w:pPr>
        <w:spacing w:after="360" w:line="360" w:lineRule="auto"/>
        <w:ind w:right="-159"/>
        <w:jc w:val="both"/>
        <w:rPr>
          <w:rFonts w:eastAsia="Calibri"/>
          <w:sz w:val="26"/>
          <w:szCs w:val="26"/>
          <w:lang w:eastAsia="en-US"/>
        </w:rPr>
      </w:pPr>
    </w:p>
    <w:p w14:paraId="6E8EE0F9" w14:textId="77777777" w:rsidR="00191E41" w:rsidRPr="00191E41" w:rsidRDefault="00191E41" w:rsidP="00402217">
      <w:pPr>
        <w:spacing w:after="240"/>
        <w:ind w:right="-159"/>
        <w:jc w:val="both"/>
        <w:rPr>
          <w:rFonts w:eastAsia="Calibri"/>
          <w:sz w:val="26"/>
          <w:szCs w:val="26"/>
          <w:lang w:eastAsia="en-US"/>
        </w:rPr>
      </w:pPr>
    </w:p>
    <w:tbl>
      <w:tblPr>
        <w:tblW w:w="89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0"/>
        <w:gridCol w:w="1134"/>
        <w:gridCol w:w="983"/>
        <w:gridCol w:w="1002"/>
        <w:gridCol w:w="992"/>
        <w:gridCol w:w="938"/>
        <w:gridCol w:w="1028"/>
      </w:tblGrid>
      <w:tr w:rsidR="00191E41" w:rsidRPr="00191E41" w14:paraId="65FAC143" w14:textId="77777777" w:rsidTr="001E7D79">
        <w:trPr>
          <w:jc w:val="center"/>
        </w:trPr>
        <w:tc>
          <w:tcPr>
            <w:tcW w:w="8987" w:type="dxa"/>
            <w:gridSpan w:val="7"/>
            <w:tcBorders>
              <w:top w:val="nil"/>
              <w:left w:val="nil"/>
              <w:bottom w:val="single" w:sz="4" w:space="0" w:color="auto"/>
              <w:right w:val="nil"/>
            </w:tcBorders>
            <w:shd w:val="clear" w:color="auto" w:fill="auto"/>
            <w:vAlign w:val="center"/>
          </w:tcPr>
          <w:p w14:paraId="7A59B441" w14:textId="77777777" w:rsidR="00191E41" w:rsidRPr="00191E41" w:rsidRDefault="00191E41" w:rsidP="00191E41">
            <w:pPr>
              <w:jc w:val="center"/>
              <w:rPr>
                <w:rFonts w:eastAsia="Times New Roman"/>
                <w:b/>
                <w:sz w:val="18"/>
                <w:szCs w:val="18"/>
              </w:rPr>
            </w:pPr>
            <w:r w:rsidRPr="00191E41">
              <w:rPr>
                <w:rFonts w:eastAsia="Times New Roman"/>
                <w:b/>
                <w:sz w:val="18"/>
                <w:szCs w:val="18"/>
              </w:rPr>
              <w:t>DEUDA INTERNA DEL SECTOR PÚBLICO FEDERAL, ENERO</w:t>
            </w:r>
            <w:r w:rsidRPr="00191E41">
              <w:rPr>
                <w:rFonts w:eastAsia="Times New Roman"/>
                <w:b/>
                <w:sz w:val="18"/>
                <w:szCs w:val="18"/>
                <w:u w:val="single"/>
                <w:vertAlign w:val="superscript"/>
              </w:rPr>
              <w:t>*</w:t>
            </w:r>
            <w:r w:rsidRPr="00191E41">
              <w:rPr>
                <w:rFonts w:eastAsia="Times New Roman"/>
                <w:b/>
                <w:sz w:val="18"/>
                <w:szCs w:val="18"/>
                <w:vertAlign w:val="superscript"/>
              </w:rPr>
              <w:t>/</w:t>
            </w:r>
            <w:r w:rsidRPr="00191E41">
              <w:rPr>
                <w:rFonts w:eastAsia="Times New Roman"/>
                <w:b/>
                <w:sz w:val="18"/>
                <w:szCs w:val="18"/>
                <w:u w:val="single"/>
                <w:vertAlign w:val="superscript"/>
              </w:rPr>
              <w:t>1</w:t>
            </w:r>
            <w:r w:rsidRPr="00191E41">
              <w:rPr>
                <w:rFonts w:eastAsia="Times New Roman"/>
                <w:b/>
                <w:sz w:val="18"/>
                <w:szCs w:val="18"/>
                <w:vertAlign w:val="superscript"/>
              </w:rPr>
              <w:t>/</w:t>
            </w:r>
          </w:p>
          <w:p w14:paraId="5E650EEF" w14:textId="77777777" w:rsidR="00191E41" w:rsidRPr="00191E41" w:rsidRDefault="00191E41" w:rsidP="00191E41">
            <w:pPr>
              <w:jc w:val="center"/>
              <w:rPr>
                <w:rFonts w:eastAsia="Times New Roman"/>
                <w:sz w:val="18"/>
                <w:szCs w:val="18"/>
              </w:rPr>
            </w:pPr>
            <w:r w:rsidRPr="00191E41">
              <w:rPr>
                <w:rFonts w:eastAsia="Times New Roman"/>
                <w:b/>
                <w:sz w:val="18"/>
                <w:szCs w:val="18"/>
              </w:rPr>
              <w:t>-Millones de pesos-</w:t>
            </w:r>
          </w:p>
        </w:tc>
      </w:tr>
      <w:tr w:rsidR="00191E41" w:rsidRPr="00191E41" w14:paraId="1B9FBB7E" w14:textId="77777777" w:rsidTr="001E7D79">
        <w:trPr>
          <w:jc w:val="center"/>
        </w:trPr>
        <w:tc>
          <w:tcPr>
            <w:tcW w:w="2910" w:type="dxa"/>
            <w:vMerge w:val="restart"/>
            <w:tcBorders>
              <w:bottom w:val="single" w:sz="4" w:space="0" w:color="auto"/>
              <w:right w:val="single" w:sz="4" w:space="0" w:color="auto"/>
            </w:tcBorders>
            <w:shd w:val="clear" w:color="auto" w:fill="auto"/>
            <w:vAlign w:val="center"/>
          </w:tcPr>
          <w:p w14:paraId="5FD50A65" w14:textId="77777777" w:rsidR="00191E41" w:rsidRPr="00191E41" w:rsidRDefault="00191E41" w:rsidP="00191E41">
            <w:pPr>
              <w:jc w:val="center"/>
              <w:rPr>
                <w:rFonts w:eastAsia="Times New Roman"/>
                <w:b/>
                <w:sz w:val="16"/>
                <w:szCs w:val="16"/>
              </w:rPr>
            </w:pPr>
            <w:r w:rsidRPr="00191E41">
              <w:rPr>
                <w:rFonts w:eastAsia="Times New Roman"/>
                <w:b/>
                <w:sz w:val="16"/>
                <w:szCs w:val="16"/>
              </w:rPr>
              <w:t>Concepto</w:t>
            </w:r>
          </w:p>
        </w:tc>
        <w:tc>
          <w:tcPr>
            <w:tcW w:w="1134" w:type="dxa"/>
            <w:vMerge w:val="restart"/>
            <w:tcBorders>
              <w:left w:val="single" w:sz="4" w:space="0" w:color="auto"/>
              <w:bottom w:val="single" w:sz="4" w:space="0" w:color="auto"/>
              <w:right w:val="single" w:sz="4" w:space="0" w:color="auto"/>
            </w:tcBorders>
            <w:shd w:val="clear" w:color="auto" w:fill="auto"/>
            <w:vAlign w:val="center"/>
          </w:tcPr>
          <w:p w14:paraId="0AFCA37B" w14:textId="77777777" w:rsidR="00191E41" w:rsidRPr="00191E41" w:rsidRDefault="00191E41" w:rsidP="00191E41">
            <w:pPr>
              <w:jc w:val="center"/>
              <w:rPr>
                <w:rFonts w:eastAsia="Times New Roman"/>
                <w:b/>
                <w:sz w:val="16"/>
                <w:szCs w:val="16"/>
              </w:rPr>
            </w:pPr>
            <w:r w:rsidRPr="00191E41">
              <w:rPr>
                <w:rFonts w:eastAsia="Times New Roman"/>
                <w:b/>
                <w:sz w:val="16"/>
                <w:szCs w:val="16"/>
              </w:rPr>
              <w:t>Saldo a diciembre</w:t>
            </w:r>
          </w:p>
          <w:p w14:paraId="1918508C" w14:textId="77777777" w:rsidR="00191E41" w:rsidRPr="00191E41" w:rsidRDefault="00191E41" w:rsidP="00191E41">
            <w:pPr>
              <w:jc w:val="center"/>
              <w:rPr>
                <w:rFonts w:eastAsia="Times New Roman"/>
                <w:b/>
                <w:sz w:val="16"/>
                <w:szCs w:val="16"/>
              </w:rPr>
            </w:pPr>
            <w:r w:rsidRPr="00191E41">
              <w:rPr>
                <w:rFonts w:eastAsia="Times New Roman"/>
                <w:b/>
                <w:sz w:val="16"/>
                <w:szCs w:val="16"/>
              </w:rPr>
              <w:t xml:space="preserve">de </w:t>
            </w:r>
            <w:r w:rsidRPr="00191E41">
              <w:rPr>
                <w:rFonts w:eastAsia="Times New Roman"/>
                <w:b/>
                <w:iCs/>
                <w:sz w:val="16"/>
                <w:szCs w:val="16"/>
              </w:rPr>
              <w:t>2014</w:t>
            </w:r>
            <w:r w:rsidRPr="00191E41">
              <w:rPr>
                <w:rFonts w:eastAsia="Times New Roman"/>
                <w:b/>
                <w:iCs/>
                <w:sz w:val="16"/>
                <w:szCs w:val="16"/>
                <w:u w:val="single"/>
                <w:vertAlign w:val="superscript"/>
              </w:rPr>
              <w:t>p</w:t>
            </w:r>
            <w:r w:rsidRPr="00191E41">
              <w:rPr>
                <w:rFonts w:eastAsia="Times New Roman"/>
                <w:b/>
                <w:iCs/>
                <w:sz w:val="16"/>
                <w:szCs w:val="16"/>
                <w:vertAlign w:val="superscript"/>
              </w:rPr>
              <w:t>/</w:t>
            </w:r>
          </w:p>
        </w:tc>
        <w:tc>
          <w:tcPr>
            <w:tcW w:w="2977" w:type="dxa"/>
            <w:gridSpan w:val="3"/>
            <w:tcBorders>
              <w:left w:val="single" w:sz="4" w:space="0" w:color="auto"/>
              <w:bottom w:val="single" w:sz="4" w:space="0" w:color="auto"/>
              <w:right w:val="single" w:sz="4" w:space="0" w:color="auto"/>
            </w:tcBorders>
            <w:shd w:val="clear" w:color="auto" w:fill="auto"/>
            <w:vAlign w:val="center"/>
          </w:tcPr>
          <w:p w14:paraId="54D6BA70" w14:textId="77777777" w:rsidR="00191E41" w:rsidRPr="00191E41" w:rsidRDefault="00191E41" w:rsidP="00191E41">
            <w:pPr>
              <w:jc w:val="center"/>
              <w:rPr>
                <w:rFonts w:eastAsia="Times New Roman"/>
                <w:b/>
                <w:sz w:val="16"/>
                <w:szCs w:val="16"/>
              </w:rPr>
            </w:pPr>
            <w:r w:rsidRPr="00191E41">
              <w:rPr>
                <w:rFonts w:eastAsia="Times New Roman"/>
                <w:b/>
                <w:sz w:val="16"/>
                <w:szCs w:val="16"/>
              </w:rPr>
              <w:t>Endeudamiento</w:t>
            </w:r>
          </w:p>
        </w:tc>
        <w:tc>
          <w:tcPr>
            <w:tcW w:w="938" w:type="dxa"/>
            <w:vMerge w:val="restart"/>
            <w:tcBorders>
              <w:left w:val="single" w:sz="4" w:space="0" w:color="auto"/>
              <w:bottom w:val="single" w:sz="4" w:space="0" w:color="auto"/>
              <w:right w:val="single" w:sz="4" w:space="0" w:color="auto"/>
            </w:tcBorders>
            <w:shd w:val="clear" w:color="auto" w:fill="auto"/>
            <w:vAlign w:val="center"/>
          </w:tcPr>
          <w:p w14:paraId="4CBB41A3" w14:textId="77777777" w:rsidR="00191E41" w:rsidRPr="00191E41" w:rsidRDefault="00191E41" w:rsidP="00191E41">
            <w:pPr>
              <w:jc w:val="center"/>
              <w:rPr>
                <w:rFonts w:eastAsia="Times New Roman"/>
                <w:b/>
                <w:sz w:val="16"/>
                <w:szCs w:val="16"/>
              </w:rPr>
            </w:pPr>
            <w:r w:rsidRPr="00191E41">
              <w:rPr>
                <w:rFonts w:eastAsia="Times New Roman"/>
                <w:b/>
                <w:sz w:val="16"/>
                <w:szCs w:val="16"/>
              </w:rPr>
              <w:t>Ajustes</w:t>
            </w:r>
          </w:p>
        </w:tc>
        <w:tc>
          <w:tcPr>
            <w:tcW w:w="1028" w:type="dxa"/>
            <w:vMerge w:val="restart"/>
            <w:tcBorders>
              <w:left w:val="single" w:sz="4" w:space="0" w:color="auto"/>
              <w:bottom w:val="single" w:sz="4" w:space="0" w:color="auto"/>
            </w:tcBorders>
            <w:shd w:val="clear" w:color="auto" w:fill="auto"/>
            <w:vAlign w:val="center"/>
          </w:tcPr>
          <w:p w14:paraId="46D1FA15" w14:textId="77777777" w:rsidR="00191E41" w:rsidRPr="00191E41" w:rsidRDefault="00191E41" w:rsidP="00191E41">
            <w:pPr>
              <w:jc w:val="center"/>
              <w:rPr>
                <w:rFonts w:eastAsia="Times New Roman"/>
                <w:b/>
                <w:sz w:val="16"/>
                <w:szCs w:val="16"/>
              </w:rPr>
            </w:pPr>
            <w:r w:rsidRPr="00191E41">
              <w:rPr>
                <w:rFonts w:eastAsia="Times New Roman"/>
                <w:b/>
                <w:sz w:val="16"/>
                <w:szCs w:val="16"/>
              </w:rPr>
              <w:t>Saldo a</w:t>
            </w:r>
          </w:p>
          <w:p w14:paraId="0073D8BD" w14:textId="77777777" w:rsidR="00191E41" w:rsidRPr="00191E41" w:rsidRDefault="00191E41" w:rsidP="00191E41">
            <w:pPr>
              <w:jc w:val="center"/>
              <w:rPr>
                <w:rFonts w:eastAsia="Times New Roman"/>
                <w:b/>
                <w:sz w:val="16"/>
                <w:szCs w:val="16"/>
              </w:rPr>
            </w:pPr>
            <w:r w:rsidRPr="00191E41">
              <w:rPr>
                <w:rFonts w:eastAsia="Times New Roman"/>
                <w:b/>
                <w:sz w:val="16"/>
                <w:szCs w:val="16"/>
              </w:rPr>
              <w:t>enero</w:t>
            </w:r>
          </w:p>
          <w:p w14:paraId="774E8DB8" w14:textId="77777777" w:rsidR="00191E41" w:rsidRPr="00191E41" w:rsidRDefault="00191E41" w:rsidP="00191E41">
            <w:pPr>
              <w:jc w:val="center"/>
              <w:rPr>
                <w:rFonts w:eastAsia="Times New Roman"/>
                <w:b/>
                <w:sz w:val="16"/>
                <w:szCs w:val="16"/>
              </w:rPr>
            </w:pPr>
            <w:r w:rsidRPr="00191E41">
              <w:rPr>
                <w:rFonts w:eastAsia="Times New Roman"/>
                <w:b/>
                <w:sz w:val="16"/>
                <w:szCs w:val="16"/>
              </w:rPr>
              <w:t>de 2015</w:t>
            </w:r>
            <w:r w:rsidRPr="00191E41">
              <w:rPr>
                <w:rFonts w:eastAsia="Times New Roman"/>
                <w:b/>
                <w:sz w:val="16"/>
                <w:szCs w:val="16"/>
                <w:u w:val="single"/>
                <w:vertAlign w:val="superscript"/>
              </w:rPr>
              <w:t>p</w:t>
            </w:r>
            <w:r w:rsidRPr="00191E41">
              <w:rPr>
                <w:rFonts w:eastAsia="Times New Roman"/>
                <w:b/>
                <w:sz w:val="16"/>
                <w:szCs w:val="16"/>
                <w:vertAlign w:val="superscript"/>
              </w:rPr>
              <w:t>/</w:t>
            </w:r>
          </w:p>
        </w:tc>
      </w:tr>
      <w:tr w:rsidR="00191E41" w:rsidRPr="00191E41" w14:paraId="251BF3D0" w14:textId="77777777" w:rsidTr="001E7D79">
        <w:trPr>
          <w:jc w:val="center"/>
        </w:trPr>
        <w:tc>
          <w:tcPr>
            <w:tcW w:w="2910" w:type="dxa"/>
            <w:vMerge/>
            <w:tcBorders>
              <w:top w:val="single" w:sz="4" w:space="0" w:color="auto"/>
              <w:bottom w:val="single" w:sz="4" w:space="0" w:color="auto"/>
              <w:right w:val="single" w:sz="4" w:space="0" w:color="auto"/>
            </w:tcBorders>
            <w:shd w:val="clear" w:color="auto" w:fill="auto"/>
            <w:vAlign w:val="center"/>
          </w:tcPr>
          <w:p w14:paraId="59E88226" w14:textId="77777777" w:rsidR="00191E41" w:rsidRPr="00191E41" w:rsidRDefault="00191E41" w:rsidP="00191E41">
            <w:pPr>
              <w:jc w:val="center"/>
              <w:rPr>
                <w:rFonts w:eastAsia="Times New Roman"/>
                <w:b/>
                <w:sz w:val="16"/>
                <w:szCs w:val="16"/>
              </w:rPr>
            </w:pPr>
          </w:p>
        </w:tc>
        <w:tc>
          <w:tcPr>
            <w:tcW w:w="113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7D5E08B" w14:textId="77777777" w:rsidR="00191E41" w:rsidRPr="00191E41" w:rsidRDefault="00191E41" w:rsidP="00191E41">
            <w:pPr>
              <w:jc w:val="center"/>
              <w:rPr>
                <w:rFonts w:eastAsia="Times New Roman"/>
                <w:b/>
                <w:sz w:val="16"/>
                <w:szCs w:val="16"/>
              </w:rPr>
            </w:pP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3140E2F" w14:textId="77777777" w:rsidR="00191E41" w:rsidRPr="00191E41" w:rsidRDefault="00191E41" w:rsidP="00191E41">
            <w:pPr>
              <w:ind w:right="-57"/>
              <w:jc w:val="center"/>
              <w:rPr>
                <w:rFonts w:eastAsia="Times New Roman"/>
                <w:b/>
                <w:sz w:val="16"/>
                <w:szCs w:val="16"/>
              </w:rPr>
            </w:pPr>
            <w:r w:rsidRPr="00191E41">
              <w:rPr>
                <w:rFonts w:eastAsia="Times New Roman"/>
                <w:b/>
                <w:sz w:val="16"/>
                <w:szCs w:val="16"/>
              </w:rPr>
              <w:t>Disp.</w:t>
            </w:r>
          </w:p>
        </w:tc>
        <w:tc>
          <w:tcPr>
            <w:tcW w:w="1002" w:type="dxa"/>
            <w:tcBorders>
              <w:top w:val="single" w:sz="4" w:space="0" w:color="auto"/>
              <w:left w:val="single" w:sz="4" w:space="0" w:color="auto"/>
              <w:bottom w:val="single" w:sz="4" w:space="0" w:color="auto"/>
              <w:right w:val="single" w:sz="4" w:space="0" w:color="auto"/>
            </w:tcBorders>
            <w:shd w:val="clear" w:color="auto" w:fill="auto"/>
            <w:vAlign w:val="center"/>
          </w:tcPr>
          <w:p w14:paraId="63710B2C" w14:textId="77777777" w:rsidR="00191E41" w:rsidRPr="00191E41" w:rsidRDefault="00191E41" w:rsidP="00191E41">
            <w:pPr>
              <w:jc w:val="center"/>
              <w:rPr>
                <w:rFonts w:eastAsia="Times New Roman"/>
                <w:b/>
                <w:sz w:val="16"/>
                <w:szCs w:val="16"/>
              </w:rPr>
            </w:pPr>
            <w:r w:rsidRPr="00191E41">
              <w:rPr>
                <w:rFonts w:eastAsia="Times New Roman"/>
                <w:b/>
                <w:sz w:val="16"/>
                <w:szCs w:val="16"/>
              </w:rPr>
              <w:t>Amort.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2C6789F" w14:textId="77777777" w:rsidR="00191E41" w:rsidRPr="00191E41" w:rsidRDefault="00191E41" w:rsidP="00191E41">
            <w:pPr>
              <w:jc w:val="center"/>
              <w:rPr>
                <w:rFonts w:eastAsia="Times New Roman"/>
                <w:b/>
                <w:sz w:val="16"/>
                <w:szCs w:val="16"/>
              </w:rPr>
            </w:pPr>
            <w:r w:rsidRPr="00191E41">
              <w:rPr>
                <w:rFonts w:eastAsia="Times New Roman"/>
                <w:b/>
                <w:sz w:val="16"/>
                <w:szCs w:val="16"/>
              </w:rPr>
              <w:t>Neto</w:t>
            </w:r>
          </w:p>
        </w:tc>
        <w:tc>
          <w:tcPr>
            <w:tcW w:w="93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30E12E1" w14:textId="77777777" w:rsidR="00191E41" w:rsidRPr="00191E41" w:rsidRDefault="00191E41" w:rsidP="00191E41">
            <w:pPr>
              <w:jc w:val="center"/>
              <w:rPr>
                <w:rFonts w:eastAsia="Times New Roman"/>
                <w:b/>
                <w:sz w:val="16"/>
                <w:szCs w:val="16"/>
              </w:rPr>
            </w:pPr>
          </w:p>
        </w:tc>
        <w:tc>
          <w:tcPr>
            <w:tcW w:w="1028" w:type="dxa"/>
            <w:vMerge/>
            <w:tcBorders>
              <w:top w:val="single" w:sz="4" w:space="0" w:color="auto"/>
              <w:left w:val="single" w:sz="4" w:space="0" w:color="auto"/>
              <w:bottom w:val="single" w:sz="4" w:space="0" w:color="auto"/>
            </w:tcBorders>
            <w:shd w:val="clear" w:color="auto" w:fill="auto"/>
            <w:vAlign w:val="center"/>
          </w:tcPr>
          <w:p w14:paraId="1DF6EE2D" w14:textId="77777777" w:rsidR="00191E41" w:rsidRPr="00191E41" w:rsidRDefault="00191E41" w:rsidP="00191E41">
            <w:pPr>
              <w:jc w:val="center"/>
              <w:rPr>
                <w:rFonts w:eastAsia="Times New Roman"/>
                <w:b/>
                <w:sz w:val="16"/>
                <w:szCs w:val="16"/>
              </w:rPr>
            </w:pPr>
          </w:p>
        </w:tc>
      </w:tr>
      <w:tr w:rsidR="00191E41" w:rsidRPr="00191E41" w14:paraId="0C290BB6" w14:textId="77777777" w:rsidTr="001E7D79">
        <w:trPr>
          <w:trHeight w:val="142"/>
          <w:jc w:val="center"/>
        </w:trPr>
        <w:tc>
          <w:tcPr>
            <w:tcW w:w="2910" w:type="dxa"/>
            <w:tcBorders>
              <w:top w:val="single" w:sz="4" w:space="0" w:color="auto"/>
              <w:bottom w:val="nil"/>
              <w:right w:val="single" w:sz="4" w:space="0" w:color="auto"/>
            </w:tcBorders>
            <w:shd w:val="clear" w:color="auto" w:fill="auto"/>
          </w:tcPr>
          <w:p w14:paraId="3C6546A2" w14:textId="77777777" w:rsidR="00191E41" w:rsidRPr="00191E41" w:rsidRDefault="00191E41" w:rsidP="00191E41">
            <w:pPr>
              <w:rPr>
                <w:rFonts w:eastAsia="Times New Roman"/>
                <w:b/>
                <w:sz w:val="16"/>
                <w:szCs w:val="16"/>
              </w:rPr>
            </w:pPr>
            <w:r w:rsidRPr="00191E41">
              <w:rPr>
                <w:rFonts w:eastAsia="Times New Roman"/>
                <w:b/>
                <w:sz w:val="16"/>
                <w:szCs w:val="16"/>
              </w:rPr>
              <w:t>1. Deuda Neta (3-2)</w:t>
            </w:r>
          </w:p>
        </w:tc>
        <w:tc>
          <w:tcPr>
            <w:tcW w:w="1134" w:type="dxa"/>
            <w:tcBorders>
              <w:top w:val="single" w:sz="4" w:space="0" w:color="auto"/>
              <w:left w:val="single" w:sz="4" w:space="0" w:color="auto"/>
              <w:bottom w:val="nil"/>
              <w:right w:val="single" w:sz="4" w:space="0" w:color="auto"/>
            </w:tcBorders>
            <w:shd w:val="clear" w:color="auto" w:fill="auto"/>
          </w:tcPr>
          <w:p w14:paraId="1453870D" w14:textId="77777777" w:rsidR="00191E41" w:rsidRPr="00191E41" w:rsidRDefault="00191E41" w:rsidP="00191E41">
            <w:pPr>
              <w:ind w:right="113"/>
              <w:jc w:val="right"/>
              <w:rPr>
                <w:b/>
                <w:sz w:val="16"/>
                <w:szCs w:val="16"/>
              </w:rPr>
            </w:pPr>
            <w:r w:rsidRPr="00191E41">
              <w:rPr>
                <w:b/>
                <w:sz w:val="16"/>
                <w:szCs w:val="16"/>
              </w:rPr>
              <w:t>4 804 250.2</w:t>
            </w:r>
          </w:p>
        </w:tc>
        <w:tc>
          <w:tcPr>
            <w:tcW w:w="983" w:type="dxa"/>
            <w:tcBorders>
              <w:top w:val="single" w:sz="4" w:space="0" w:color="auto"/>
              <w:left w:val="single" w:sz="4" w:space="0" w:color="auto"/>
              <w:bottom w:val="nil"/>
              <w:right w:val="single" w:sz="4" w:space="0" w:color="auto"/>
            </w:tcBorders>
            <w:shd w:val="clear" w:color="auto" w:fill="auto"/>
          </w:tcPr>
          <w:p w14:paraId="6370BB29" w14:textId="77777777" w:rsidR="00191E41" w:rsidRPr="00191E41" w:rsidRDefault="00191E41" w:rsidP="00191E41">
            <w:pPr>
              <w:ind w:right="57"/>
              <w:jc w:val="right"/>
              <w:rPr>
                <w:b/>
                <w:sz w:val="16"/>
                <w:szCs w:val="16"/>
              </w:rPr>
            </w:pPr>
          </w:p>
        </w:tc>
        <w:tc>
          <w:tcPr>
            <w:tcW w:w="1002" w:type="dxa"/>
            <w:tcBorders>
              <w:top w:val="single" w:sz="4" w:space="0" w:color="auto"/>
              <w:left w:val="single" w:sz="4" w:space="0" w:color="auto"/>
              <w:bottom w:val="nil"/>
              <w:right w:val="single" w:sz="4" w:space="0" w:color="auto"/>
            </w:tcBorders>
            <w:shd w:val="clear" w:color="auto" w:fill="auto"/>
          </w:tcPr>
          <w:p w14:paraId="76C911FF" w14:textId="77777777" w:rsidR="00191E41" w:rsidRPr="00191E41" w:rsidRDefault="00191E41" w:rsidP="00191E41">
            <w:pPr>
              <w:ind w:right="-113"/>
              <w:jc w:val="right"/>
              <w:rPr>
                <w:sz w:val="16"/>
                <w:szCs w:val="16"/>
              </w:rPr>
            </w:pPr>
          </w:p>
        </w:tc>
        <w:tc>
          <w:tcPr>
            <w:tcW w:w="992" w:type="dxa"/>
            <w:tcBorders>
              <w:top w:val="single" w:sz="4" w:space="0" w:color="auto"/>
              <w:left w:val="single" w:sz="4" w:space="0" w:color="auto"/>
              <w:bottom w:val="nil"/>
              <w:right w:val="single" w:sz="4" w:space="0" w:color="auto"/>
            </w:tcBorders>
            <w:shd w:val="clear" w:color="auto" w:fill="auto"/>
          </w:tcPr>
          <w:p w14:paraId="1AC45861" w14:textId="77777777" w:rsidR="00191E41" w:rsidRPr="00191E41" w:rsidRDefault="00191E41" w:rsidP="00191E41">
            <w:pPr>
              <w:jc w:val="right"/>
              <w:rPr>
                <w:sz w:val="16"/>
                <w:szCs w:val="16"/>
              </w:rPr>
            </w:pPr>
          </w:p>
        </w:tc>
        <w:tc>
          <w:tcPr>
            <w:tcW w:w="938" w:type="dxa"/>
            <w:tcBorders>
              <w:top w:val="single" w:sz="4" w:space="0" w:color="auto"/>
              <w:left w:val="single" w:sz="4" w:space="0" w:color="auto"/>
              <w:bottom w:val="nil"/>
              <w:right w:val="single" w:sz="4" w:space="0" w:color="auto"/>
            </w:tcBorders>
            <w:shd w:val="clear" w:color="auto" w:fill="auto"/>
          </w:tcPr>
          <w:p w14:paraId="797F34B6" w14:textId="77777777" w:rsidR="00191E41" w:rsidRPr="00191E41" w:rsidRDefault="00191E41" w:rsidP="00191E41">
            <w:pPr>
              <w:jc w:val="right"/>
              <w:rPr>
                <w:sz w:val="16"/>
                <w:szCs w:val="16"/>
              </w:rPr>
            </w:pPr>
          </w:p>
        </w:tc>
        <w:tc>
          <w:tcPr>
            <w:tcW w:w="1028" w:type="dxa"/>
            <w:tcBorders>
              <w:top w:val="single" w:sz="4" w:space="0" w:color="auto"/>
              <w:left w:val="single" w:sz="4" w:space="0" w:color="auto"/>
              <w:bottom w:val="nil"/>
            </w:tcBorders>
            <w:shd w:val="clear" w:color="auto" w:fill="auto"/>
          </w:tcPr>
          <w:p w14:paraId="20162228" w14:textId="77777777" w:rsidR="00191E41" w:rsidRPr="00191E41" w:rsidRDefault="00191E41" w:rsidP="00191E41">
            <w:pPr>
              <w:jc w:val="right"/>
              <w:rPr>
                <w:b/>
                <w:sz w:val="16"/>
                <w:szCs w:val="16"/>
              </w:rPr>
            </w:pPr>
            <w:r w:rsidRPr="00191E41">
              <w:rPr>
                <w:b/>
                <w:sz w:val="16"/>
                <w:szCs w:val="16"/>
              </w:rPr>
              <w:t>4 779 424.7</w:t>
            </w:r>
          </w:p>
        </w:tc>
      </w:tr>
      <w:tr w:rsidR="00191E41" w:rsidRPr="00191E41" w14:paraId="3F3B6A7E" w14:textId="77777777" w:rsidTr="001E7D79">
        <w:trPr>
          <w:jc w:val="center"/>
        </w:trPr>
        <w:tc>
          <w:tcPr>
            <w:tcW w:w="2910" w:type="dxa"/>
            <w:tcBorders>
              <w:top w:val="nil"/>
              <w:bottom w:val="nil"/>
              <w:right w:val="single" w:sz="4" w:space="0" w:color="auto"/>
            </w:tcBorders>
            <w:shd w:val="clear" w:color="auto" w:fill="auto"/>
          </w:tcPr>
          <w:p w14:paraId="1DB2FAEB" w14:textId="77777777" w:rsidR="00191E41" w:rsidRPr="00191E41" w:rsidRDefault="00191E41" w:rsidP="00191E41">
            <w:pPr>
              <w:rPr>
                <w:rFonts w:eastAsia="Times New Roman"/>
                <w:sz w:val="16"/>
                <w:szCs w:val="16"/>
              </w:rPr>
            </w:pPr>
            <w:r w:rsidRPr="00191E41">
              <w:rPr>
                <w:rFonts w:eastAsia="Times New Roman"/>
                <w:sz w:val="16"/>
                <w:szCs w:val="16"/>
              </w:rPr>
              <w:t>2. Activos</w:t>
            </w:r>
            <w:r w:rsidRPr="00191E41">
              <w:rPr>
                <w:rFonts w:eastAsia="Times New Roman"/>
                <w:sz w:val="16"/>
                <w:szCs w:val="16"/>
                <w:vertAlign w:val="superscript"/>
              </w:rPr>
              <w:t>2/</w:t>
            </w:r>
          </w:p>
        </w:tc>
        <w:tc>
          <w:tcPr>
            <w:tcW w:w="1134" w:type="dxa"/>
            <w:tcBorders>
              <w:top w:val="nil"/>
              <w:left w:val="single" w:sz="4" w:space="0" w:color="auto"/>
              <w:bottom w:val="nil"/>
              <w:right w:val="single" w:sz="4" w:space="0" w:color="auto"/>
            </w:tcBorders>
            <w:shd w:val="clear" w:color="auto" w:fill="auto"/>
          </w:tcPr>
          <w:p w14:paraId="7650CCE1" w14:textId="77777777" w:rsidR="00191E41" w:rsidRPr="00191E41" w:rsidRDefault="00191E41" w:rsidP="00191E41">
            <w:pPr>
              <w:ind w:right="113"/>
              <w:jc w:val="right"/>
              <w:rPr>
                <w:sz w:val="16"/>
                <w:szCs w:val="16"/>
              </w:rPr>
            </w:pPr>
            <w:r w:rsidRPr="00191E41">
              <w:rPr>
                <w:sz w:val="16"/>
                <w:szCs w:val="16"/>
              </w:rPr>
              <w:t>245 283.1</w:t>
            </w:r>
          </w:p>
        </w:tc>
        <w:tc>
          <w:tcPr>
            <w:tcW w:w="983" w:type="dxa"/>
            <w:tcBorders>
              <w:top w:val="nil"/>
              <w:left w:val="single" w:sz="4" w:space="0" w:color="auto"/>
              <w:bottom w:val="nil"/>
              <w:right w:val="single" w:sz="4" w:space="0" w:color="auto"/>
            </w:tcBorders>
            <w:shd w:val="clear" w:color="auto" w:fill="auto"/>
          </w:tcPr>
          <w:p w14:paraId="14D0C6D5" w14:textId="77777777" w:rsidR="00191E41" w:rsidRPr="00191E41" w:rsidRDefault="00191E41" w:rsidP="00191E41">
            <w:pPr>
              <w:ind w:right="57"/>
              <w:jc w:val="right"/>
              <w:rPr>
                <w:sz w:val="16"/>
                <w:szCs w:val="16"/>
              </w:rPr>
            </w:pPr>
          </w:p>
        </w:tc>
        <w:tc>
          <w:tcPr>
            <w:tcW w:w="1002" w:type="dxa"/>
            <w:tcBorders>
              <w:top w:val="nil"/>
              <w:left w:val="single" w:sz="4" w:space="0" w:color="auto"/>
              <w:bottom w:val="nil"/>
              <w:right w:val="single" w:sz="4" w:space="0" w:color="auto"/>
            </w:tcBorders>
            <w:shd w:val="clear" w:color="auto" w:fill="auto"/>
          </w:tcPr>
          <w:p w14:paraId="28688CDB" w14:textId="77777777" w:rsidR="00191E41" w:rsidRPr="00191E41" w:rsidRDefault="00191E41" w:rsidP="00191E41">
            <w:pPr>
              <w:ind w:right="-113"/>
              <w:jc w:val="right"/>
              <w:rPr>
                <w:sz w:val="16"/>
                <w:szCs w:val="16"/>
              </w:rPr>
            </w:pPr>
          </w:p>
        </w:tc>
        <w:tc>
          <w:tcPr>
            <w:tcW w:w="992" w:type="dxa"/>
            <w:tcBorders>
              <w:top w:val="nil"/>
              <w:left w:val="single" w:sz="4" w:space="0" w:color="auto"/>
              <w:bottom w:val="nil"/>
              <w:right w:val="single" w:sz="4" w:space="0" w:color="auto"/>
            </w:tcBorders>
            <w:shd w:val="clear" w:color="auto" w:fill="auto"/>
          </w:tcPr>
          <w:p w14:paraId="4DF07F3B" w14:textId="77777777" w:rsidR="00191E41" w:rsidRPr="00191E41" w:rsidRDefault="00191E41" w:rsidP="00191E41">
            <w:pPr>
              <w:jc w:val="right"/>
              <w:rPr>
                <w:sz w:val="16"/>
                <w:szCs w:val="16"/>
              </w:rPr>
            </w:pPr>
          </w:p>
        </w:tc>
        <w:tc>
          <w:tcPr>
            <w:tcW w:w="938" w:type="dxa"/>
            <w:tcBorders>
              <w:top w:val="nil"/>
              <w:left w:val="single" w:sz="4" w:space="0" w:color="auto"/>
              <w:bottom w:val="nil"/>
              <w:right w:val="single" w:sz="4" w:space="0" w:color="auto"/>
            </w:tcBorders>
            <w:shd w:val="clear" w:color="auto" w:fill="auto"/>
          </w:tcPr>
          <w:p w14:paraId="1E4DD3D3" w14:textId="77777777" w:rsidR="00191E41" w:rsidRPr="00191E41" w:rsidRDefault="00191E41" w:rsidP="00191E41">
            <w:pPr>
              <w:jc w:val="right"/>
              <w:rPr>
                <w:sz w:val="16"/>
                <w:szCs w:val="16"/>
              </w:rPr>
            </w:pPr>
          </w:p>
        </w:tc>
        <w:tc>
          <w:tcPr>
            <w:tcW w:w="1028" w:type="dxa"/>
            <w:tcBorders>
              <w:top w:val="nil"/>
              <w:left w:val="single" w:sz="4" w:space="0" w:color="auto"/>
              <w:bottom w:val="nil"/>
            </w:tcBorders>
            <w:shd w:val="clear" w:color="auto" w:fill="auto"/>
          </w:tcPr>
          <w:p w14:paraId="2AC413E1" w14:textId="77777777" w:rsidR="00191E41" w:rsidRPr="00191E41" w:rsidRDefault="00191E41" w:rsidP="00191E41">
            <w:pPr>
              <w:jc w:val="right"/>
              <w:rPr>
                <w:sz w:val="16"/>
                <w:szCs w:val="16"/>
              </w:rPr>
            </w:pPr>
            <w:r w:rsidRPr="00191E41">
              <w:rPr>
                <w:sz w:val="16"/>
                <w:szCs w:val="16"/>
              </w:rPr>
              <w:t>335 032.7</w:t>
            </w:r>
          </w:p>
        </w:tc>
      </w:tr>
      <w:tr w:rsidR="00191E41" w:rsidRPr="00191E41" w14:paraId="56BBC774" w14:textId="77777777" w:rsidTr="001E7D79">
        <w:trPr>
          <w:jc w:val="center"/>
        </w:trPr>
        <w:tc>
          <w:tcPr>
            <w:tcW w:w="2910" w:type="dxa"/>
            <w:tcBorders>
              <w:top w:val="nil"/>
              <w:bottom w:val="nil"/>
              <w:right w:val="single" w:sz="4" w:space="0" w:color="auto"/>
            </w:tcBorders>
            <w:shd w:val="clear" w:color="auto" w:fill="auto"/>
          </w:tcPr>
          <w:p w14:paraId="65712FC0" w14:textId="77777777" w:rsidR="00191E41" w:rsidRPr="00191E41" w:rsidRDefault="00191E41" w:rsidP="00191E41">
            <w:pPr>
              <w:rPr>
                <w:rFonts w:eastAsia="Times New Roman"/>
                <w:b/>
                <w:sz w:val="16"/>
                <w:szCs w:val="16"/>
              </w:rPr>
            </w:pPr>
            <w:r w:rsidRPr="00191E41">
              <w:rPr>
                <w:rFonts w:eastAsia="Times New Roman"/>
                <w:b/>
                <w:sz w:val="16"/>
                <w:szCs w:val="16"/>
              </w:rPr>
              <w:t>3. Deuda Bruta</w:t>
            </w:r>
          </w:p>
        </w:tc>
        <w:tc>
          <w:tcPr>
            <w:tcW w:w="1134" w:type="dxa"/>
            <w:tcBorders>
              <w:top w:val="nil"/>
              <w:left w:val="single" w:sz="4" w:space="0" w:color="auto"/>
              <w:bottom w:val="nil"/>
              <w:right w:val="single" w:sz="4" w:space="0" w:color="auto"/>
            </w:tcBorders>
            <w:shd w:val="clear" w:color="auto" w:fill="auto"/>
          </w:tcPr>
          <w:p w14:paraId="4241B9A2" w14:textId="77777777" w:rsidR="00191E41" w:rsidRPr="00191E41" w:rsidRDefault="00191E41" w:rsidP="00191E41">
            <w:pPr>
              <w:ind w:right="113"/>
              <w:jc w:val="right"/>
              <w:rPr>
                <w:b/>
                <w:sz w:val="16"/>
                <w:szCs w:val="16"/>
              </w:rPr>
            </w:pPr>
            <w:r w:rsidRPr="00191E41">
              <w:rPr>
                <w:b/>
                <w:sz w:val="16"/>
                <w:szCs w:val="16"/>
              </w:rPr>
              <w:t>5 049 533.3</w:t>
            </w:r>
          </w:p>
        </w:tc>
        <w:tc>
          <w:tcPr>
            <w:tcW w:w="983" w:type="dxa"/>
            <w:tcBorders>
              <w:top w:val="nil"/>
              <w:left w:val="single" w:sz="4" w:space="0" w:color="auto"/>
              <w:bottom w:val="nil"/>
              <w:right w:val="single" w:sz="4" w:space="0" w:color="auto"/>
            </w:tcBorders>
            <w:shd w:val="clear" w:color="auto" w:fill="auto"/>
          </w:tcPr>
          <w:p w14:paraId="6E7B505E" w14:textId="77777777" w:rsidR="00191E41" w:rsidRPr="00191E41" w:rsidRDefault="00191E41" w:rsidP="00191E41">
            <w:pPr>
              <w:ind w:right="57"/>
              <w:jc w:val="right"/>
              <w:rPr>
                <w:b/>
                <w:sz w:val="16"/>
                <w:szCs w:val="16"/>
              </w:rPr>
            </w:pPr>
            <w:r w:rsidRPr="00191E41">
              <w:rPr>
                <w:b/>
                <w:sz w:val="16"/>
                <w:szCs w:val="16"/>
              </w:rPr>
              <w:t>271 794.9</w:t>
            </w:r>
          </w:p>
        </w:tc>
        <w:tc>
          <w:tcPr>
            <w:tcW w:w="1002" w:type="dxa"/>
            <w:tcBorders>
              <w:top w:val="nil"/>
              <w:left w:val="single" w:sz="4" w:space="0" w:color="auto"/>
              <w:bottom w:val="nil"/>
              <w:right w:val="single" w:sz="4" w:space="0" w:color="auto"/>
            </w:tcBorders>
            <w:shd w:val="clear" w:color="auto" w:fill="auto"/>
          </w:tcPr>
          <w:p w14:paraId="0BC72229" w14:textId="77777777" w:rsidR="00191E41" w:rsidRPr="00191E41" w:rsidRDefault="00191E41" w:rsidP="00191E41">
            <w:pPr>
              <w:ind w:right="113"/>
              <w:jc w:val="right"/>
              <w:rPr>
                <w:b/>
                <w:sz w:val="16"/>
                <w:szCs w:val="16"/>
              </w:rPr>
            </w:pPr>
            <w:r w:rsidRPr="00191E41">
              <w:rPr>
                <w:b/>
                <w:sz w:val="16"/>
                <w:szCs w:val="16"/>
              </w:rPr>
              <w:t>210 127.6</w:t>
            </w:r>
          </w:p>
        </w:tc>
        <w:tc>
          <w:tcPr>
            <w:tcW w:w="992" w:type="dxa"/>
            <w:tcBorders>
              <w:top w:val="nil"/>
              <w:left w:val="single" w:sz="4" w:space="0" w:color="auto"/>
              <w:bottom w:val="nil"/>
              <w:right w:val="single" w:sz="4" w:space="0" w:color="auto"/>
            </w:tcBorders>
            <w:shd w:val="clear" w:color="auto" w:fill="auto"/>
          </w:tcPr>
          <w:p w14:paraId="717623AE" w14:textId="77777777" w:rsidR="00191E41" w:rsidRPr="00191E41" w:rsidRDefault="00191E41" w:rsidP="00191E41">
            <w:pPr>
              <w:ind w:right="57"/>
              <w:jc w:val="right"/>
              <w:rPr>
                <w:b/>
                <w:sz w:val="16"/>
                <w:szCs w:val="16"/>
              </w:rPr>
            </w:pPr>
            <w:r w:rsidRPr="00191E41">
              <w:rPr>
                <w:b/>
                <w:sz w:val="16"/>
                <w:szCs w:val="16"/>
              </w:rPr>
              <w:t>61 667.3</w:t>
            </w:r>
          </w:p>
        </w:tc>
        <w:tc>
          <w:tcPr>
            <w:tcW w:w="938" w:type="dxa"/>
            <w:tcBorders>
              <w:top w:val="nil"/>
              <w:left w:val="single" w:sz="4" w:space="0" w:color="auto"/>
              <w:bottom w:val="nil"/>
              <w:right w:val="single" w:sz="4" w:space="0" w:color="auto"/>
            </w:tcBorders>
            <w:shd w:val="clear" w:color="auto" w:fill="auto"/>
          </w:tcPr>
          <w:p w14:paraId="5C43D188" w14:textId="77777777" w:rsidR="00191E41" w:rsidRPr="00191E41" w:rsidRDefault="00191E41" w:rsidP="00191E41">
            <w:pPr>
              <w:ind w:right="57"/>
              <w:jc w:val="right"/>
              <w:rPr>
                <w:b/>
                <w:sz w:val="16"/>
                <w:szCs w:val="16"/>
              </w:rPr>
            </w:pPr>
            <w:r w:rsidRPr="00191E41">
              <w:rPr>
                <w:b/>
                <w:sz w:val="16"/>
                <w:szCs w:val="16"/>
              </w:rPr>
              <w:t>3 256.8</w:t>
            </w:r>
          </w:p>
        </w:tc>
        <w:tc>
          <w:tcPr>
            <w:tcW w:w="1028" w:type="dxa"/>
            <w:tcBorders>
              <w:top w:val="nil"/>
              <w:left w:val="single" w:sz="4" w:space="0" w:color="auto"/>
              <w:bottom w:val="nil"/>
            </w:tcBorders>
            <w:shd w:val="clear" w:color="auto" w:fill="auto"/>
          </w:tcPr>
          <w:p w14:paraId="30CA2A0B" w14:textId="77777777" w:rsidR="00191E41" w:rsidRPr="00191E41" w:rsidRDefault="00191E41" w:rsidP="00191E41">
            <w:pPr>
              <w:jc w:val="right"/>
              <w:rPr>
                <w:b/>
                <w:sz w:val="16"/>
                <w:szCs w:val="16"/>
              </w:rPr>
            </w:pPr>
            <w:r w:rsidRPr="00191E41">
              <w:rPr>
                <w:b/>
                <w:sz w:val="16"/>
                <w:szCs w:val="16"/>
              </w:rPr>
              <w:t>5 114 457.4</w:t>
            </w:r>
          </w:p>
        </w:tc>
      </w:tr>
      <w:tr w:rsidR="00191E41" w:rsidRPr="00191E41" w14:paraId="5CE22F54" w14:textId="77777777" w:rsidTr="001E7D79">
        <w:trPr>
          <w:jc w:val="center"/>
        </w:trPr>
        <w:tc>
          <w:tcPr>
            <w:tcW w:w="2910" w:type="dxa"/>
            <w:tcBorders>
              <w:top w:val="nil"/>
              <w:bottom w:val="nil"/>
              <w:right w:val="single" w:sz="4" w:space="0" w:color="auto"/>
            </w:tcBorders>
            <w:shd w:val="clear" w:color="auto" w:fill="auto"/>
          </w:tcPr>
          <w:p w14:paraId="7CDF96B6" w14:textId="77777777" w:rsidR="00191E41" w:rsidRPr="00191E41" w:rsidRDefault="00191E41" w:rsidP="00191E41">
            <w:pPr>
              <w:ind w:left="170"/>
              <w:rPr>
                <w:rFonts w:eastAsia="Times New Roman"/>
                <w:b/>
                <w:sz w:val="16"/>
                <w:szCs w:val="16"/>
              </w:rPr>
            </w:pPr>
            <w:r w:rsidRPr="00191E41">
              <w:rPr>
                <w:rFonts w:eastAsia="Times New Roman"/>
                <w:b/>
                <w:sz w:val="16"/>
                <w:szCs w:val="16"/>
              </w:rPr>
              <w:t>Estructura por plazo</w:t>
            </w:r>
          </w:p>
        </w:tc>
        <w:tc>
          <w:tcPr>
            <w:tcW w:w="1134" w:type="dxa"/>
            <w:tcBorders>
              <w:top w:val="nil"/>
              <w:left w:val="single" w:sz="4" w:space="0" w:color="auto"/>
              <w:bottom w:val="nil"/>
              <w:right w:val="single" w:sz="4" w:space="0" w:color="auto"/>
            </w:tcBorders>
            <w:shd w:val="clear" w:color="auto" w:fill="auto"/>
          </w:tcPr>
          <w:p w14:paraId="28A5C1B3" w14:textId="77777777" w:rsidR="00191E41" w:rsidRPr="00191E41" w:rsidRDefault="00191E41" w:rsidP="00191E41">
            <w:pPr>
              <w:ind w:right="113"/>
              <w:jc w:val="right"/>
              <w:rPr>
                <w:b/>
                <w:sz w:val="16"/>
                <w:szCs w:val="16"/>
              </w:rPr>
            </w:pPr>
            <w:r w:rsidRPr="00191E41">
              <w:rPr>
                <w:b/>
                <w:sz w:val="16"/>
                <w:szCs w:val="16"/>
              </w:rPr>
              <w:t>5 049 533.3</w:t>
            </w:r>
          </w:p>
        </w:tc>
        <w:tc>
          <w:tcPr>
            <w:tcW w:w="983" w:type="dxa"/>
            <w:tcBorders>
              <w:top w:val="nil"/>
              <w:left w:val="single" w:sz="4" w:space="0" w:color="auto"/>
              <w:bottom w:val="nil"/>
              <w:right w:val="single" w:sz="4" w:space="0" w:color="auto"/>
            </w:tcBorders>
            <w:shd w:val="clear" w:color="auto" w:fill="auto"/>
          </w:tcPr>
          <w:p w14:paraId="7A04B3FC" w14:textId="77777777" w:rsidR="00191E41" w:rsidRPr="00191E41" w:rsidRDefault="00191E41" w:rsidP="00191E41">
            <w:pPr>
              <w:ind w:right="57"/>
              <w:jc w:val="right"/>
              <w:rPr>
                <w:b/>
                <w:sz w:val="16"/>
                <w:szCs w:val="16"/>
              </w:rPr>
            </w:pPr>
            <w:r w:rsidRPr="00191E41">
              <w:rPr>
                <w:b/>
                <w:sz w:val="16"/>
                <w:szCs w:val="16"/>
              </w:rPr>
              <w:t>271 794.9</w:t>
            </w:r>
          </w:p>
        </w:tc>
        <w:tc>
          <w:tcPr>
            <w:tcW w:w="1002" w:type="dxa"/>
            <w:tcBorders>
              <w:top w:val="nil"/>
              <w:left w:val="single" w:sz="4" w:space="0" w:color="auto"/>
              <w:bottom w:val="nil"/>
              <w:right w:val="single" w:sz="4" w:space="0" w:color="auto"/>
            </w:tcBorders>
            <w:shd w:val="clear" w:color="auto" w:fill="auto"/>
          </w:tcPr>
          <w:p w14:paraId="2179C116" w14:textId="77777777" w:rsidR="00191E41" w:rsidRPr="00191E41" w:rsidRDefault="00191E41" w:rsidP="00191E41">
            <w:pPr>
              <w:ind w:right="113"/>
              <w:jc w:val="right"/>
              <w:rPr>
                <w:b/>
                <w:sz w:val="16"/>
                <w:szCs w:val="16"/>
              </w:rPr>
            </w:pPr>
            <w:r w:rsidRPr="00191E41">
              <w:rPr>
                <w:b/>
                <w:sz w:val="16"/>
                <w:szCs w:val="16"/>
              </w:rPr>
              <w:t>210 127.6</w:t>
            </w:r>
          </w:p>
        </w:tc>
        <w:tc>
          <w:tcPr>
            <w:tcW w:w="992" w:type="dxa"/>
            <w:tcBorders>
              <w:top w:val="nil"/>
              <w:left w:val="single" w:sz="4" w:space="0" w:color="auto"/>
              <w:bottom w:val="nil"/>
              <w:right w:val="single" w:sz="4" w:space="0" w:color="auto"/>
            </w:tcBorders>
            <w:shd w:val="clear" w:color="auto" w:fill="auto"/>
          </w:tcPr>
          <w:p w14:paraId="56F12A41" w14:textId="77777777" w:rsidR="00191E41" w:rsidRPr="00191E41" w:rsidRDefault="00191E41" w:rsidP="00191E41">
            <w:pPr>
              <w:ind w:right="57"/>
              <w:jc w:val="right"/>
              <w:rPr>
                <w:b/>
                <w:sz w:val="16"/>
                <w:szCs w:val="16"/>
              </w:rPr>
            </w:pPr>
            <w:r w:rsidRPr="00191E41">
              <w:rPr>
                <w:b/>
                <w:sz w:val="16"/>
                <w:szCs w:val="16"/>
              </w:rPr>
              <w:t>61 667.2</w:t>
            </w:r>
          </w:p>
        </w:tc>
        <w:tc>
          <w:tcPr>
            <w:tcW w:w="938" w:type="dxa"/>
            <w:tcBorders>
              <w:top w:val="nil"/>
              <w:left w:val="single" w:sz="4" w:space="0" w:color="auto"/>
              <w:bottom w:val="nil"/>
              <w:right w:val="single" w:sz="4" w:space="0" w:color="auto"/>
            </w:tcBorders>
            <w:shd w:val="clear" w:color="auto" w:fill="auto"/>
          </w:tcPr>
          <w:p w14:paraId="7CEEE177" w14:textId="77777777" w:rsidR="00191E41" w:rsidRPr="00191E41" w:rsidRDefault="00191E41" w:rsidP="00191E41">
            <w:pPr>
              <w:ind w:right="57"/>
              <w:jc w:val="right"/>
              <w:rPr>
                <w:b/>
                <w:sz w:val="16"/>
                <w:szCs w:val="16"/>
              </w:rPr>
            </w:pPr>
            <w:r w:rsidRPr="00191E41">
              <w:rPr>
                <w:b/>
                <w:sz w:val="16"/>
                <w:szCs w:val="16"/>
              </w:rPr>
              <w:t>3 256.8</w:t>
            </w:r>
          </w:p>
        </w:tc>
        <w:tc>
          <w:tcPr>
            <w:tcW w:w="1028" w:type="dxa"/>
            <w:tcBorders>
              <w:top w:val="nil"/>
              <w:left w:val="single" w:sz="4" w:space="0" w:color="auto"/>
              <w:bottom w:val="nil"/>
            </w:tcBorders>
            <w:shd w:val="clear" w:color="auto" w:fill="auto"/>
          </w:tcPr>
          <w:p w14:paraId="734C9AF9" w14:textId="77777777" w:rsidR="00191E41" w:rsidRPr="00191E41" w:rsidRDefault="00191E41" w:rsidP="00191E41">
            <w:pPr>
              <w:jc w:val="right"/>
              <w:rPr>
                <w:b/>
                <w:sz w:val="16"/>
                <w:szCs w:val="16"/>
              </w:rPr>
            </w:pPr>
            <w:r w:rsidRPr="00191E41">
              <w:rPr>
                <w:b/>
                <w:sz w:val="16"/>
                <w:szCs w:val="16"/>
              </w:rPr>
              <w:t>5 114 457.4</w:t>
            </w:r>
          </w:p>
        </w:tc>
      </w:tr>
      <w:tr w:rsidR="00191E41" w:rsidRPr="00191E41" w14:paraId="21C65DCB" w14:textId="77777777" w:rsidTr="001E7D79">
        <w:trPr>
          <w:jc w:val="center"/>
        </w:trPr>
        <w:tc>
          <w:tcPr>
            <w:tcW w:w="2910" w:type="dxa"/>
            <w:tcBorders>
              <w:top w:val="nil"/>
              <w:bottom w:val="nil"/>
              <w:right w:val="single" w:sz="4" w:space="0" w:color="auto"/>
            </w:tcBorders>
            <w:shd w:val="clear" w:color="auto" w:fill="auto"/>
          </w:tcPr>
          <w:p w14:paraId="6C3E8081" w14:textId="77777777" w:rsidR="00191E41" w:rsidRPr="00191E41" w:rsidRDefault="00191E41" w:rsidP="00191E41">
            <w:pPr>
              <w:ind w:left="340"/>
              <w:rPr>
                <w:rFonts w:eastAsia="Times New Roman"/>
                <w:sz w:val="16"/>
                <w:szCs w:val="16"/>
              </w:rPr>
            </w:pPr>
            <w:r w:rsidRPr="00191E41">
              <w:rPr>
                <w:rFonts w:eastAsia="Times New Roman"/>
                <w:sz w:val="16"/>
                <w:szCs w:val="16"/>
              </w:rPr>
              <w:t>Largo plazo</w:t>
            </w:r>
          </w:p>
        </w:tc>
        <w:tc>
          <w:tcPr>
            <w:tcW w:w="1134" w:type="dxa"/>
            <w:tcBorders>
              <w:top w:val="nil"/>
              <w:left w:val="single" w:sz="4" w:space="0" w:color="auto"/>
              <w:bottom w:val="nil"/>
              <w:right w:val="single" w:sz="4" w:space="0" w:color="auto"/>
            </w:tcBorders>
            <w:shd w:val="clear" w:color="auto" w:fill="auto"/>
          </w:tcPr>
          <w:p w14:paraId="34D4D0A5" w14:textId="77777777" w:rsidR="00191E41" w:rsidRPr="00191E41" w:rsidRDefault="00191E41" w:rsidP="00191E41">
            <w:pPr>
              <w:ind w:right="113"/>
              <w:jc w:val="right"/>
              <w:rPr>
                <w:sz w:val="16"/>
                <w:szCs w:val="16"/>
              </w:rPr>
            </w:pPr>
            <w:r w:rsidRPr="00191E41">
              <w:rPr>
                <w:sz w:val="16"/>
                <w:szCs w:val="16"/>
              </w:rPr>
              <w:t>4 518 242.5</w:t>
            </w:r>
          </w:p>
        </w:tc>
        <w:tc>
          <w:tcPr>
            <w:tcW w:w="983" w:type="dxa"/>
            <w:tcBorders>
              <w:top w:val="nil"/>
              <w:left w:val="single" w:sz="4" w:space="0" w:color="auto"/>
              <w:bottom w:val="nil"/>
              <w:right w:val="single" w:sz="4" w:space="0" w:color="auto"/>
            </w:tcBorders>
            <w:shd w:val="clear" w:color="auto" w:fill="auto"/>
          </w:tcPr>
          <w:p w14:paraId="6355267A" w14:textId="77777777" w:rsidR="00191E41" w:rsidRPr="00191E41" w:rsidRDefault="00191E41" w:rsidP="00191E41">
            <w:pPr>
              <w:ind w:right="57"/>
              <w:jc w:val="right"/>
              <w:rPr>
                <w:sz w:val="16"/>
                <w:szCs w:val="16"/>
              </w:rPr>
            </w:pPr>
            <w:r w:rsidRPr="00191E41">
              <w:rPr>
                <w:sz w:val="16"/>
                <w:szCs w:val="16"/>
              </w:rPr>
              <w:t>90 211.9</w:t>
            </w:r>
          </w:p>
        </w:tc>
        <w:tc>
          <w:tcPr>
            <w:tcW w:w="1002" w:type="dxa"/>
            <w:tcBorders>
              <w:top w:val="nil"/>
              <w:left w:val="single" w:sz="4" w:space="0" w:color="auto"/>
              <w:bottom w:val="nil"/>
              <w:right w:val="single" w:sz="4" w:space="0" w:color="auto"/>
            </w:tcBorders>
            <w:shd w:val="clear" w:color="auto" w:fill="auto"/>
          </w:tcPr>
          <w:p w14:paraId="54B1FCAC" w14:textId="77777777" w:rsidR="00191E41" w:rsidRPr="00191E41" w:rsidRDefault="00191E41" w:rsidP="00191E41">
            <w:pPr>
              <w:ind w:right="113"/>
              <w:jc w:val="right"/>
              <w:rPr>
                <w:sz w:val="16"/>
                <w:szCs w:val="16"/>
              </w:rPr>
            </w:pPr>
            <w:r w:rsidRPr="00191E41">
              <w:rPr>
                <w:sz w:val="16"/>
                <w:szCs w:val="16"/>
              </w:rPr>
              <w:t>37 800.4</w:t>
            </w:r>
          </w:p>
        </w:tc>
        <w:tc>
          <w:tcPr>
            <w:tcW w:w="992" w:type="dxa"/>
            <w:tcBorders>
              <w:top w:val="nil"/>
              <w:left w:val="single" w:sz="4" w:space="0" w:color="auto"/>
              <w:bottom w:val="nil"/>
              <w:right w:val="single" w:sz="4" w:space="0" w:color="auto"/>
            </w:tcBorders>
            <w:shd w:val="clear" w:color="auto" w:fill="auto"/>
          </w:tcPr>
          <w:p w14:paraId="4B3730F8" w14:textId="77777777" w:rsidR="00191E41" w:rsidRPr="00191E41" w:rsidRDefault="00191E41" w:rsidP="00191E41">
            <w:pPr>
              <w:ind w:right="57"/>
              <w:jc w:val="right"/>
              <w:rPr>
                <w:sz w:val="16"/>
                <w:szCs w:val="16"/>
              </w:rPr>
            </w:pPr>
            <w:r w:rsidRPr="00191E41">
              <w:rPr>
                <w:sz w:val="16"/>
                <w:szCs w:val="16"/>
              </w:rPr>
              <w:t>52 411.5</w:t>
            </w:r>
          </w:p>
        </w:tc>
        <w:tc>
          <w:tcPr>
            <w:tcW w:w="938" w:type="dxa"/>
            <w:tcBorders>
              <w:top w:val="nil"/>
              <w:left w:val="single" w:sz="4" w:space="0" w:color="auto"/>
              <w:bottom w:val="nil"/>
              <w:right w:val="single" w:sz="4" w:space="0" w:color="auto"/>
            </w:tcBorders>
            <w:shd w:val="clear" w:color="auto" w:fill="auto"/>
          </w:tcPr>
          <w:p w14:paraId="1F5E75CF" w14:textId="77777777" w:rsidR="00191E41" w:rsidRPr="00191E41" w:rsidRDefault="00191E41" w:rsidP="00191E41">
            <w:pPr>
              <w:ind w:right="57"/>
              <w:jc w:val="right"/>
              <w:rPr>
                <w:sz w:val="16"/>
                <w:szCs w:val="16"/>
              </w:rPr>
            </w:pPr>
            <w:r w:rsidRPr="00191E41">
              <w:rPr>
                <w:sz w:val="16"/>
                <w:szCs w:val="16"/>
              </w:rPr>
              <w:t>3 256.8</w:t>
            </w:r>
          </w:p>
        </w:tc>
        <w:tc>
          <w:tcPr>
            <w:tcW w:w="1028" w:type="dxa"/>
            <w:tcBorders>
              <w:top w:val="nil"/>
              <w:left w:val="single" w:sz="4" w:space="0" w:color="auto"/>
              <w:bottom w:val="nil"/>
            </w:tcBorders>
            <w:shd w:val="clear" w:color="auto" w:fill="auto"/>
          </w:tcPr>
          <w:p w14:paraId="05DA4644" w14:textId="77777777" w:rsidR="00191E41" w:rsidRPr="00191E41" w:rsidRDefault="00191E41" w:rsidP="00191E41">
            <w:pPr>
              <w:jc w:val="right"/>
              <w:rPr>
                <w:sz w:val="16"/>
                <w:szCs w:val="16"/>
              </w:rPr>
            </w:pPr>
            <w:r w:rsidRPr="00191E41">
              <w:rPr>
                <w:sz w:val="16"/>
                <w:szCs w:val="16"/>
              </w:rPr>
              <w:t>4 573 910.8</w:t>
            </w:r>
          </w:p>
        </w:tc>
      </w:tr>
      <w:tr w:rsidR="00191E41" w:rsidRPr="00191E41" w14:paraId="65586617" w14:textId="77777777" w:rsidTr="001E7D79">
        <w:trPr>
          <w:jc w:val="center"/>
        </w:trPr>
        <w:tc>
          <w:tcPr>
            <w:tcW w:w="2910" w:type="dxa"/>
            <w:tcBorders>
              <w:top w:val="nil"/>
              <w:bottom w:val="nil"/>
              <w:right w:val="single" w:sz="4" w:space="0" w:color="auto"/>
            </w:tcBorders>
            <w:shd w:val="clear" w:color="auto" w:fill="auto"/>
          </w:tcPr>
          <w:p w14:paraId="52090C56" w14:textId="77777777" w:rsidR="00191E41" w:rsidRPr="00191E41" w:rsidRDefault="00191E41" w:rsidP="00191E41">
            <w:pPr>
              <w:ind w:left="340"/>
              <w:rPr>
                <w:rFonts w:eastAsia="Times New Roman"/>
                <w:sz w:val="16"/>
                <w:szCs w:val="16"/>
              </w:rPr>
            </w:pPr>
            <w:r w:rsidRPr="00191E41">
              <w:rPr>
                <w:rFonts w:eastAsia="Times New Roman"/>
                <w:sz w:val="16"/>
                <w:szCs w:val="16"/>
              </w:rPr>
              <w:t>Corto plazo</w:t>
            </w:r>
          </w:p>
        </w:tc>
        <w:tc>
          <w:tcPr>
            <w:tcW w:w="1134" w:type="dxa"/>
            <w:tcBorders>
              <w:top w:val="nil"/>
              <w:left w:val="single" w:sz="4" w:space="0" w:color="auto"/>
              <w:bottom w:val="nil"/>
              <w:right w:val="single" w:sz="4" w:space="0" w:color="auto"/>
            </w:tcBorders>
            <w:shd w:val="clear" w:color="auto" w:fill="auto"/>
          </w:tcPr>
          <w:p w14:paraId="402B260B" w14:textId="77777777" w:rsidR="00191E41" w:rsidRPr="00191E41" w:rsidRDefault="00191E41" w:rsidP="00191E41">
            <w:pPr>
              <w:ind w:right="113"/>
              <w:jc w:val="right"/>
              <w:rPr>
                <w:sz w:val="16"/>
                <w:szCs w:val="16"/>
              </w:rPr>
            </w:pPr>
            <w:r w:rsidRPr="00191E41">
              <w:rPr>
                <w:sz w:val="16"/>
                <w:szCs w:val="16"/>
              </w:rPr>
              <w:t>531 290.8</w:t>
            </w:r>
          </w:p>
        </w:tc>
        <w:tc>
          <w:tcPr>
            <w:tcW w:w="983" w:type="dxa"/>
            <w:tcBorders>
              <w:top w:val="nil"/>
              <w:left w:val="single" w:sz="4" w:space="0" w:color="auto"/>
              <w:bottom w:val="nil"/>
              <w:right w:val="single" w:sz="4" w:space="0" w:color="auto"/>
            </w:tcBorders>
            <w:shd w:val="clear" w:color="auto" w:fill="auto"/>
          </w:tcPr>
          <w:p w14:paraId="525F55ED" w14:textId="77777777" w:rsidR="00191E41" w:rsidRPr="00191E41" w:rsidRDefault="00191E41" w:rsidP="00191E41">
            <w:pPr>
              <w:ind w:right="57"/>
              <w:jc w:val="right"/>
              <w:rPr>
                <w:sz w:val="16"/>
                <w:szCs w:val="16"/>
              </w:rPr>
            </w:pPr>
            <w:r w:rsidRPr="00191E41">
              <w:rPr>
                <w:sz w:val="16"/>
                <w:szCs w:val="16"/>
              </w:rPr>
              <w:t>181 583.0</w:t>
            </w:r>
          </w:p>
        </w:tc>
        <w:tc>
          <w:tcPr>
            <w:tcW w:w="1002" w:type="dxa"/>
            <w:tcBorders>
              <w:top w:val="nil"/>
              <w:left w:val="single" w:sz="4" w:space="0" w:color="auto"/>
              <w:bottom w:val="nil"/>
              <w:right w:val="single" w:sz="4" w:space="0" w:color="auto"/>
            </w:tcBorders>
            <w:shd w:val="clear" w:color="auto" w:fill="auto"/>
          </w:tcPr>
          <w:p w14:paraId="2E704E73" w14:textId="77777777" w:rsidR="00191E41" w:rsidRPr="00191E41" w:rsidRDefault="00191E41" w:rsidP="00191E41">
            <w:pPr>
              <w:ind w:right="113"/>
              <w:jc w:val="right"/>
              <w:rPr>
                <w:sz w:val="16"/>
                <w:szCs w:val="16"/>
              </w:rPr>
            </w:pPr>
            <w:r w:rsidRPr="00191E41">
              <w:rPr>
                <w:sz w:val="16"/>
                <w:szCs w:val="16"/>
              </w:rPr>
              <w:t>172 327.2</w:t>
            </w:r>
          </w:p>
        </w:tc>
        <w:tc>
          <w:tcPr>
            <w:tcW w:w="992" w:type="dxa"/>
            <w:tcBorders>
              <w:top w:val="nil"/>
              <w:left w:val="single" w:sz="4" w:space="0" w:color="auto"/>
              <w:bottom w:val="nil"/>
              <w:right w:val="single" w:sz="4" w:space="0" w:color="auto"/>
            </w:tcBorders>
            <w:shd w:val="clear" w:color="auto" w:fill="auto"/>
          </w:tcPr>
          <w:p w14:paraId="257E5417" w14:textId="77777777" w:rsidR="00191E41" w:rsidRPr="00191E41" w:rsidRDefault="00191E41" w:rsidP="00191E41">
            <w:pPr>
              <w:ind w:right="57"/>
              <w:jc w:val="right"/>
              <w:rPr>
                <w:sz w:val="16"/>
                <w:szCs w:val="16"/>
              </w:rPr>
            </w:pPr>
            <w:r w:rsidRPr="00191E41">
              <w:rPr>
                <w:sz w:val="16"/>
                <w:szCs w:val="16"/>
              </w:rPr>
              <w:t>9 255.8</w:t>
            </w:r>
          </w:p>
        </w:tc>
        <w:tc>
          <w:tcPr>
            <w:tcW w:w="938" w:type="dxa"/>
            <w:tcBorders>
              <w:top w:val="nil"/>
              <w:left w:val="single" w:sz="4" w:space="0" w:color="auto"/>
              <w:bottom w:val="nil"/>
              <w:right w:val="single" w:sz="4" w:space="0" w:color="auto"/>
            </w:tcBorders>
            <w:shd w:val="clear" w:color="auto" w:fill="auto"/>
          </w:tcPr>
          <w:p w14:paraId="7A6CC6AD" w14:textId="77777777" w:rsidR="00191E41" w:rsidRPr="00191E41" w:rsidRDefault="00191E41" w:rsidP="00191E41">
            <w:pPr>
              <w:ind w:right="57"/>
              <w:jc w:val="right"/>
              <w:rPr>
                <w:sz w:val="16"/>
                <w:szCs w:val="16"/>
              </w:rPr>
            </w:pPr>
            <w:r w:rsidRPr="00191E41">
              <w:rPr>
                <w:sz w:val="16"/>
                <w:szCs w:val="16"/>
              </w:rPr>
              <w:t>0.0</w:t>
            </w:r>
          </w:p>
        </w:tc>
        <w:tc>
          <w:tcPr>
            <w:tcW w:w="1028" w:type="dxa"/>
            <w:tcBorders>
              <w:top w:val="nil"/>
              <w:left w:val="single" w:sz="4" w:space="0" w:color="auto"/>
              <w:bottom w:val="nil"/>
            </w:tcBorders>
            <w:shd w:val="clear" w:color="auto" w:fill="auto"/>
          </w:tcPr>
          <w:p w14:paraId="3A0ED043" w14:textId="77777777" w:rsidR="00191E41" w:rsidRPr="00191E41" w:rsidRDefault="00191E41" w:rsidP="00191E41">
            <w:pPr>
              <w:jc w:val="right"/>
              <w:rPr>
                <w:sz w:val="16"/>
                <w:szCs w:val="16"/>
              </w:rPr>
            </w:pPr>
            <w:r w:rsidRPr="00191E41">
              <w:rPr>
                <w:sz w:val="16"/>
                <w:szCs w:val="16"/>
              </w:rPr>
              <w:t>540 546.6</w:t>
            </w:r>
          </w:p>
        </w:tc>
      </w:tr>
      <w:tr w:rsidR="00191E41" w:rsidRPr="00191E41" w14:paraId="61EA5BA8" w14:textId="77777777" w:rsidTr="001E7D79">
        <w:trPr>
          <w:jc w:val="center"/>
        </w:trPr>
        <w:tc>
          <w:tcPr>
            <w:tcW w:w="2910" w:type="dxa"/>
            <w:tcBorders>
              <w:top w:val="nil"/>
              <w:bottom w:val="nil"/>
              <w:right w:val="single" w:sz="4" w:space="0" w:color="auto"/>
            </w:tcBorders>
            <w:shd w:val="clear" w:color="auto" w:fill="auto"/>
          </w:tcPr>
          <w:p w14:paraId="0B5172B3" w14:textId="77777777" w:rsidR="00191E41" w:rsidRPr="00191E41" w:rsidRDefault="00191E41" w:rsidP="00191E41">
            <w:pPr>
              <w:ind w:left="170"/>
              <w:rPr>
                <w:rFonts w:eastAsia="Times New Roman"/>
                <w:b/>
                <w:sz w:val="16"/>
                <w:szCs w:val="16"/>
              </w:rPr>
            </w:pPr>
            <w:r w:rsidRPr="00191E41">
              <w:rPr>
                <w:rFonts w:eastAsia="Times New Roman"/>
                <w:b/>
                <w:sz w:val="16"/>
                <w:szCs w:val="16"/>
              </w:rPr>
              <w:t>Estructura por Usuario</w:t>
            </w:r>
          </w:p>
        </w:tc>
        <w:tc>
          <w:tcPr>
            <w:tcW w:w="1134" w:type="dxa"/>
            <w:tcBorders>
              <w:top w:val="nil"/>
              <w:left w:val="single" w:sz="4" w:space="0" w:color="auto"/>
              <w:bottom w:val="nil"/>
              <w:right w:val="single" w:sz="4" w:space="0" w:color="auto"/>
            </w:tcBorders>
            <w:shd w:val="clear" w:color="auto" w:fill="auto"/>
          </w:tcPr>
          <w:p w14:paraId="4EA9F78C" w14:textId="77777777" w:rsidR="00191E41" w:rsidRPr="00191E41" w:rsidRDefault="00191E41" w:rsidP="00191E41">
            <w:pPr>
              <w:ind w:right="113"/>
              <w:jc w:val="right"/>
              <w:rPr>
                <w:b/>
                <w:sz w:val="16"/>
                <w:szCs w:val="16"/>
              </w:rPr>
            </w:pPr>
            <w:r w:rsidRPr="00191E41">
              <w:rPr>
                <w:b/>
                <w:sz w:val="16"/>
                <w:szCs w:val="16"/>
              </w:rPr>
              <w:t>5 049 533.3</w:t>
            </w:r>
          </w:p>
        </w:tc>
        <w:tc>
          <w:tcPr>
            <w:tcW w:w="983" w:type="dxa"/>
            <w:tcBorders>
              <w:top w:val="nil"/>
              <w:left w:val="single" w:sz="4" w:space="0" w:color="auto"/>
              <w:bottom w:val="nil"/>
              <w:right w:val="single" w:sz="4" w:space="0" w:color="auto"/>
            </w:tcBorders>
            <w:shd w:val="clear" w:color="auto" w:fill="auto"/>
          </w:tcPr>
          <w:p w14:paraId="698A8A60" w14:textId="77777777" w:rsidR="00191E41" w:rsidRPr="00191E41" w:rsidRDefault="00191E41" w:rsidP="00191E41">
            <w:pPr>
              <w:ind w:right="57"/>
              <w:jc w:val="right"/>
              <w:rPr>
                <w:b/>
                <w:sz w:val="16"/>
                <w:szCs w:val="16"/>
              </w:rPr>
            </w:pPr>
            <w:r w:rsidRPr="00191E41">
              <w:rPr>
                <w:b/>
                <w:sz w:val="16"/>
                <w:szCs w:val="16"/>
              </w:rPr>
              <w:t>271 794.9</w:t>
            </w:r>
          </w:p>
        </w:tc>
        <w:tc>
          <w:tcPr>
            <w:tcW w:w="1002" w:type="dxa"/>
            <w:tcBorders>
              <w:top w:val="nil"/>
              <w:left w:val="single" w:sz="4" w:space="0" w:color="auto"/>
              <w:bottom w:val="nil"/>
              <w:right w:val="single" w:sz="4" w:space="0" w:color="auto"/>
            </w:tcBorders>
            <w:shd w:val="clear" w:color="auto" w:fill="auto"/>
          </w:tcPr>
          <w:p w14:paraId="02EB80E3" w14:textId="77777777" w:rsidR="00191E41" w:rsidRPr="00191E41" w:rsidRDefault="00191E41" w:rsidP="00191E41">
            <w:pPr>
              <w:ind w:right="113"/>
              <w:jc w:val="right"/>
              <w:rPr>
                <w:b/>
                <w:sz w:val="16"/>
                <w:szCs w:val="16"/>
              </w:rPr>
            </w:pPr>
            <w:r w:rsidRPr="00191E41">
              <w:rPr>
                <w:b/>
                <w:sz w:val="16"/>
                <w:szCs w:val="16"/>
              </w:rPr>
              <w:t>210 127.6</w:t>
            </w:r>
          </w:p>
        </w:tc>
        <w:tc>
          <w:tcPr>
            <w:tcW w:w="992" w:type="dxa"/>
            <w:tcBorders>
              <w:top w:val="nil"/>
              <w:left w:val="single" w:sz="4" w:space="0" w:color="auto"/>
              <w:bottom w:val="nil"/>
              <w:right w:val="single" w:sz="4" w:space="0" w:color="auto"/>
            </w:tcBorders>
            <w:shd w:val="clear" w:color="auto" w:fill="auto"/>
          </w:tcPr>
          <w:p w14:paraId="1FBC292F" w14:textId="77777777" w:rsidR="00191E41" w:rsidRPr="00191E41" w:rsidRDefault="00191E41" w:rsidP="00191E41">
            <w:pPr>
              <w:ind w:right="57"/>
              <w:jc w:val="right"/>
              <w:rPr>
                <w:b/>
                <w:sz w:val="16"/>
                <w:szCs w:val="16"/>
              </w:rPr>
            </w:pPr>
            <w:r w:rsidRPr="00191E41">
              <w:rPr>
                <w:b/>
                <w:sz w:val="16"/>
                <w:szCs w:val="16"/>
              </w:rPr>
              <w:t>61 667.3</w:t>
            </w:r>
          </w:p>
        </w:tc>
        <w:tc>
          <w:tcPr>
            <w:tcW w:w="938" w:type="dxa"/>
            <w:tcBorders>
              <w:top w:val="nil"/>
              <w:left w:val="single" w:sz="4" w:space="0" w:color="auto"/>
              <w:bottom w:val="nil"/>
              <w:right w:val="single" w:sz="4" w:space="0" w:color="auto"/>
            </w:tcBorders>
            <w:shd w:val="clear" w:color="auto" w:fill="auto"/>
          </w:tcPr>
          <w:p w14:paraId="1084A3B5" w14:textId="77777777" w:rsidR="00191E41" w:rsidRPr="00191E41" w:rsidRDefault="00191E41" w:rsidP="00191E41">
            <w:pPr>
              <w:ind w:right="57"/>
              <w:jc w:val="right"/>
              <w:rPr>
                <w:b/>
                <w:sz w:val="16"/>
                <w:szCs w:val="16"/>
              </w:rPr>
            </w:pPr>
            <w:r w:rsidRPr="00191E41">
              <w:rPr>
                <w:b/>
                <w:sz w:val="16"/>
                <w:szCs w:val="16"/>
              </w:rPr>
              <w:t>3 256.8</w:t>
            </w:r>
          </w:p>
        </w:tc>
        <w:tc>
          <w:tcPr>
            <w:tcW w:w="1028" w:type="dxa"/>
            <w:tcBorders>
              <w:top w:val="nil"/>
              <w:left w:val="single" w:sz="4" w:space="0" w:color="auto"/>
              <w:bottom w:val="nil"/>
            </w:tcBorders>
            <w:shd w:val="clear" w:color="auto" w:fill="auto"/>
          </w:tcPr>
          <w:p w14:paraId="4B8900A3" w14:textId="77777777" w:rsidR="00191E41" w:rsidRPr="00191E41" w:rsidRDefault="00191E41" w:rsidP="00191E41">
            <w:pPr>
              <w:jc w:val="right"/>
              <w:rPr>
                <w:b/>
                <w:sz w:val="16"/>
                <w:szCs w:val="16"/>
              </w:rPr>
            </w:pPr>
            <w:r w:rsidRPr="00191E41">
              <w:rPr>
                <w:b/>
                <w:sz w:val="16"/>
                <w:szCs w:val="16"/>
              </w:rPr>
              <w:t>5 114 457.4</w:t>
            </w:r>
          </w:p>
        </w:tc>
      </w:tr>
      <w:tr w:rsidR="00191E41" w:rsidRPr="00191E41" w14:paraId="469EF600" w14:textId="77777777" w:rsidTr="001E7D79">
        <w:trPr>
          <w:jc w:val="center"/>
        </w:trPr>
        <w:tc>
          <w:tcPr>
            <w:tcW w:w="2910" w:type="dxa"/>
            <w:tcBorders>
              <w:top w:val="nil"/>
              <w:bottom w:val="nil"/>
              <w:right w:val="single" w:sz="4" w:space="0" w:color="auto"/>
            </w:tcBorders>
            <w:shd w:val="clear" w:color="auto" w:fill="auto"/>
          </w:tcPr>
          <w:p w14:paraId="76CB3231" w14:textId="77777777" w:rsidR="00191E41" w:rsidRPr="00191E41" w:rsidRDefault="00191E41" w:rsidP="00191E41">
            <w:pPr>
              <w:ind w:left="340"/>
              <w:rPr>
                <w:rFonts w:eastAsia="Times New Roman"/>
                <w:sz w:val="16"/>
                <w:szCs w:val="16"/>
              </w:rPr>
            </w:pPr>
            <w:r w:rsidRPr="00191E41">
              <w:rPr>
                <w:rFonts w:eastAsia="Times New Roman"/>
                <w:sz w:val="16"/>
                <w:szCs w:val="16"/>
              </w:rPr>
              <w:t>Gobierno Federal</w:t>
            </w:r>
          </w:p>
        </w:tc>
        <w:tc>
          <w:tcPr>
            <w:tcW w:w="1134" w:type="dxa"/>
            <w:tcBorders>
              <w:top w:val="nil"/>
              <w:left w:val="single" w:sz="4" w:space="0" w:color="auto"/>
              <w:bottom w:val="nil"/>
              <w:right w:val="single" w:sz="4" w:space="0" w:color="auto"/>
            </w:tcBorders>
            <w:shd w:val="clear" w:color="auto" w:fill="auto"/>
          </w:tcPr>
          <w:p w14:paraId="6C516CCC" w14:textId="77777777" w:rsidR="00191E41" w:rsidRPr="00191E41" w:rsidRDefault="00191E41" w:rsidP="00191E41">
            <w:pPr>
              <w:ind w:right="113"/>
              <w:jc w:val="right"/>
              <w:rPr>
                <w:sz w:val="16"/>
                <w:szCs w:val="16"/>
              </w:rPr>
            </w:pPr>
            <w:r w:rsidRPr="00191E41">
              <w:rPr>
                <w:sz w:val="16"/>
                <w:szCs w:val="16"/>
              </w:rPr>
              <w:t>4 546 619.6</w:t>
            </w:r>
          </w:p>
        </w:tc>
        <w:tc>
          <w:tcPr>
            <w:tcW w:w="983" w:type="dxa"/>
            <w:tcBorders>
              <w:top w:val="nil"/>
              <w:left w:val="single" w:sz="4" w:space="0" w:color="auto"/>
              <w:bottom w:val="nil"/>
              <w:right w:val="single" w:sz="4" w:space="0" w:color="auto"/>
            </w:tcBorders>
            <w:shd w:val="clear" w:color="auto" w:fill="auto"/>
          </w:tcPr>
          <w:p w14:paraId="0AC7B6A3" w14:textId="77777777" w:rsidR="00191E41" w:rsidRPr="00191E41" w:rsidRDefault="00191E41" w:rsidP="00191E41">
            <w:pPr>
              <w:ind w:right="57"/>
              <w:jc w:val="right"/>
              <w:rPr>
                <w:sz w:val="16"/>
                <w:szCs w:val="16"/>
              </w:rPr>
            </w:pPr>
            <w:r w:rsidRPr="00191E41">
              <w:rPr>
                <w:sz w:val="16"/>
                <w:szCs w:val="16"/>
              </w:rPr>
              <w:t>217 923.3</w:t>
            </w:r>
          </w:p>
        </w:tc>
        <w:tc>
          <w:tcPr>
            <w:tcW w:w="1002" w:type="dxa"/>
            <w:tcBorders>
              <w:top w:val="nil"/>
              <w:left w:val="single" w:sz="4" w:space="0" w:color="auto"/>
              <w:bottom w:val="nil"/>
              <w:right w:val="single" w:sz="4" w:space="0" w:color="auto"/>
            </w:tcBorders>
            <w:shd w:val="clear" w:color="auto" w:fill="auto"/>
          </w:tcPr>
          <w:p w14:paraId="2AB64DAE" w14:textId="77777777" w:rsidR="00191E41" w:rsidRPr="00191E41" w:rsidRDefault="00191E41" w:rsidP="00191E41">
            <w:pPr>
              <w:ind w:right="113"/>
              <w:jc w:val="right"/>
              <w:rPr>
                <w:sz w:val="16"/>
                <w:szCs w:val="16"/>
              </w:rPr>
            </w:pPr>
            <w:r w:rsidRPr="00191E41">
              <w:rPr>
                <w:sz w:val="16"/>
                <w:szCs w:val="16"/>
              </w:rPr>
              <w:t>165 644.0</w:t>
            </w:r>
          </w:p>
        </w:tc>
        <w:tc>
          <w:tcPr>
            <w:tcW w:w="992" w:type="dxa"/>
            <w:tcBorders>
              <w:top w:val="nil"/>
              <w:left w:val="single" w:sz="4" w:space="0" w:color="auto"/>
              <w:bottom w:val="nil"/>
              <w:right w:val="single" w:sz="4" w:space="0" w:color="auto"/>
            </w:tcBorders>
            <w:shd w:val="clear" w:color="auto" w:fill="auto"/>
          </w:tcPr>
          <w:p w14:paraId="2ECEC41C" w14:textId="77777777" w:rsidR="00191E41" w:rsidRPr="00191E41" w:rsidRDefault="00191E41" w:rsidP="00191E41">
            <w:pPr>
              <w:ind w:right="57"/>
              <w:jc w:val="right"/>
              <w:rPr>
                <w:sz w:val="16"/>
                <w:szCs w:val="16"/>
              </w:rPr>
            </w:pPr>
            <w:r w:rsidRPr="00191E41">
              <w:rPr>
                <w:sz w:val="16"/>
                <w:szCs w:val="16"/>
              </w:rPr>
              <w:t>52 279.3</w:t>
            </w:r>
          </w:p>
        </w:tc>
        <w:tc>
          <w:tcPr>
            <w:tcW w:w="938" w:type="dxa"/>
            <w:tcBorders>
              <w:top w:val="nil"/>
              <w:left w:val="single" w:sz="4" w:space="0" w:color="auto"/>
              <w:bottom w:val="nil"/>
              <w:right w:val="single" w:sz="4" w:space="0" w:color="auto"/>
            </w:tcBorders>
            <w:shd w:val="clear" w:color="auto" w:fill="auto"/>
          </w:tcPr>
          <w:p w14:paraId="4D462CFB" w14:textId="77777777" w:rsidR="00191E41" w:rsidRPr="00191E41" w:rsidRDefault="00191E41" w:rsidP="00191E41">
            <w:pPr>
              <w:ind w:right="57"/>
              <w:jc w:val="right"/>
              <w:rPr>
                <w:sz w:val="16"/>
                <w:szCs w:val="16"/>
              </w:rPr>
            </w:pPr>
            <w:r w:rsidRPr="00191E41">
              <w:rPr>
                <w:sz w:val="16"/>
                <w:szCs w:val="16"/>
              </w:rPr>
              <w:t>4 588.9</w:t>
            </w:r>
          </w:p>
        </w:tc>
        <w:tc>
          <w:tcPr>
            <w:tcW w:w="1028" w:type="dxa"/>
            <w:tcBorders>
              <w:top w:val="nil"/>
              <w:left w:val="single" w:sz="4" w:space="0" w:color="auto"/>
              <w:bottom w:val="nil"/>
            </w:tcBorders>
            <w:shd w:val="clear" w:color="auto" w:fill="auto"/>
          </w:tcPr>
          <w:p w14:paraId="1838659D" w14:textId="77777777" w:rsidR="00191E41" w:rsidRPr="00191E41" w:rsidRDefault="00191E41" w:rsidP="00191E41">
            <w:pPr>
              <w:jc w:val="right"/>
              <w:rPr>
                <w:sz w:val="16"/>
                <w:szCs w:val="16"/>
              </w:rPr>
            </w:pPr>
            <w:r w:rsidRPr="00191E41">
              <w:rPr>
                <w:sz w:val="16"/>
                <w:szCs w:val="16"/>
              </w:rPr>
              <w:t>4 603 487.8</w:t>
            </w:r>
          </w:p>
        </w:tc>
      </w:tr>
      <w:tr w:rsidR="00191E41" w:rsidRPr="00191E41" w14:paraId="025865B7" w14:textId="77777777" w:rsidTr="001E7D79">
        <w:trPr>
          <w:jc w:val="center"/>
        </w:trPr>
        <w:tc>
          <w:tcPr>
            <w:tcW w:w="2910" w:type="dxa"/>
            <w:tcBorders>
              <w:top w:val="nil"/>
              <w:bottom w:val="nil"/>
              <w:right w:val="single" w:sz="4" w:space="0" w:color="auto"/>
            </w:tcBorders>
            <w:shd w:val="clear" w:color="auto" w:fill="auto"/>
          </w:tcPr>
          <w:p w14:paraId="5B504028" w14:textId="77777777" w:rsidR="00191E41" w:rsidRPr="00191E41" w:rsidRDefault="00191E41" w:rsidP="00191E41">
            <w:pPr>
              <w:ind w:left="510"/>
              <w:rPr>
                <w:rFonts w:eastAsia="Times New Roman"/>
                <w:sz w:val="16"/>
                <w:szCs w:val="16"/>
              </w:rPr>
            </w:pPr>
            <w:r w:rsidRPr="00191E41">
              <w:rPr>
                <w:rFonts w:eastAsia="Times New Roman"/>
                <w:sz w:val="16"/>
                <w:szCs w:val="16"/>
              </w:rPr>
              <w:t>Largo plazo</w:t>
            </w:r>
          </w:p>
        </w:tc>
        <w:tc>
          <w:tcPr>
            <w:tcW w:w="1134" w:type="dxa"/>
            <w:tcBorders>
              <w:top w:val="nil"/>
              <w:left w:val="single" w:sz="4" w:space="0" w:color="auto"/>
              <w:bottom w:val="nil"/>
              <w:right w:val="single" w:sz="4" w:space="0" w:color="auto"/>
            </w:tcBorders>
            <w:shd w:val="clear" w:color="auto" w:fill="auto"/>
          </w:tcPr>
          <w:p w14:paraId="30BA166C" w14:textId="77777777" w:rsidR="00191E41" w:rsidRPr="00191E41" w:rsidRDefault="00191E41" w:rsidP="00191E41">
            <w:pPr>
              <w:ind w:right="113"/>
              <w:jc w:val="right"/>
              <w:rPr>
                <w:sz w:val="16"/>
                <w:szCs w:val="16"/>
              </w:rPr>
            </w:pPr>
            <w:r w:rsidRPr="00191E41">
              <w:rPr>
                <w:sz w:val="16"/>
                <w:szCs w:val="16"/>
              </w:rPr>
              <w:t>4 025 828.8</w:t>
            </w:r>
          </w:p>
        </w:tc>
        <w:tc>
          <w:tcPr>
            <w:tcW w:w="983" w:type="dxa"/>
            <w:tcBorders>
              <w:top w:val="nil"/>
              <w:left w:val="single" w:sz="4" w:space="0" w:color="auto"/>
              <w:bottom w:val="nil"/>
              <w:right w:val="single" w:sz="4" w:space="0" w:color="auto"/>
            </w:tcBorders>
            <w:shd w:val="clear" w:color="auto" w:fill="auto"/>
          </w:tcPr>
          <w:p w14:paraId="6DFB098B" w14:textId="77777777" w:rsidR="00191E41" w:rsidRPr="00191E41" w:rsidRDefault="00191E41" w:rsidP="00191E41">
            <w:pPr>
              <w:ind w:right="57"/>
              <w:jc w:val="right"/>
              <w:rPr>
                <w:sz w:val="16"/>
                <w:szCs w:val="16"/>
              </w:rPr>
            </w:pPr>
            <w:r w:rsidRPr="00191E41">
              <w:rPr>
                <w:sz w:val="16"/>
                <w:szCs w:val="16"/>
              </w:rPr>
              <w:t>90 211.7</w:t>
            </w:r>
          </w:p>
        </w:tc>
        <w:tc>
          <w:tcPr>
            <w:tcW w:w="1002" w:type="dxa"/>
            <w:tcBorders>
              <w:top w:val="nil"/>
              <w:left w:val="single" w:sz="4" w:space="0" w:color="auto"/>
              <w:bottom w:val="nil"/>
              <w:right w:val="single" w:sz="4" w:space="0" w:color="auto"/>
            </w:tcBorders>
            <w:shd w:val="clear" w:color="auto" w:fill="auto"/>
          </w:tcPr>
          <w:p w14:paraId="52AA114E" w14:textId="77777777" w:rsidR="00191E41" w:rsidRPr="00191E41" w:rsidRDefault="00191E41" w:rsidP="00191E41">
            <w:pPr>
              <w:ind w:right="113"/>
              <w:jc w:val="right"/>
              <w:rPr>
                <w:sz w:val="16"/>
                <w:szCs w:val="16"/>
              </w:rPr>
            </w:pPr>
            <w:r w:rsidRPr="00191E41">
              <w:rPr>
                <w:sz w:val="16"/>
                <w:szCs w:val="16"/>
              </w:rPr>
              <w:t>34 550.4</w:t>
            </w:r>
          </w:p>
        </w:tc>
        <w:tc>
          <w:tcPr>
            <w:tcW w:w="992" w:type="dxa"/>
            <w:tcBorders>
              <w:top w:val="nil"/>
              <w:left w:val="single" w:sz="4" w:space="0" w:color="auto"/>
              <w:bottom w:val="nil"/>
              <w:right w:val="single" w:sz="4" w:space="0" w:color="auto"/>
            </w:tcBorders>
            <w:shd w:val="clear" w:color="auto" w:fill="auto"/>
          </w:tcPr>
          <w:p w14:paraId="6166C842" w14:textId="77777777" w:rsidR="00191E41" w:rsidRPr="00191E41" w:rsidRDefault="00191E41" w:rsidP="00191E41">
            <w:pPr>
              <w:ind w:right="57"/>
              <w:jc w:val="right"/>
              <w:rPr>
                <w:sz w:val="16"/>
                <w:szCs w:val="16"/>
              </w:rPr>
            </w:pPr>
            <w:r w:rsidRPr="00191E41">
              <w:rPr>
                <w:sz w:val="16"/>
                <w:szCs w:val="16"/>
              </w:rPr>
              <w:t>55 661.3</w:t>
            </w:r>
          </w:p>
        </w:tc>
        <w:tc>
          <w:tcPr>
            <w:tcW w:w="938" w:type="dxa"/>
            <w:tcBorders>
              <w:top w:val="nil"/>
              <w:left w:val="single" w:sz="4" w:space="0" w:color="auto"/>
              <w:bottom w:val="nil"/>
              <w:right w:val="single" w:sz="4" w:space="0" w:color="auto"/>
            </w:tcBorders>
            <w:shd w:val="clear" w:color="auto" w:fill="auto"/>
          </w:tcPr>
          <w:p w14:paraId="3F1D6D89" w14:textId="77777777" w:rsidR="00191E41" w:rsidRPr="00191E41" w:rsidRDefault="00191E41" w:rsidP="00191E41">
            <w:pPr>
              <w:ind w:right="57"/>
              <w:jc w:val="right"/>
              <w:rPr>
                <w:sz w:val="16"/>
                <w:szCs w:val="16"/>
              </w:rPr>
            </w:pPr>
            <w:r w:rsidRPr="00191E41">
              <w:rPr>
                <w:sz w:val="16"/>
                <w:szCs w:val="16"/>
              </w:rPr>
              <w:t>4 588.9</w:t>
            </w:r>
          </w:p>
        </w:tc>
        <w:tc>
          <w:tcPr>
            <w:tcW w:w="1028" w:type="dxa"/>
            <w:tcBorders>
              <w:top w:val="nil"/>
              <w:left w:val="single" w:sz="4" w:space="0" w:color="auto"/>
              <w:bottom w:val="nil"/>
            </w:tcBorders>
            <w:shd w:val="clear" w:color="auto" w:fill="auto"/>
          </w:tcPr>
          <w:p w14:paraId="66FFE746" w14:textId="77777777" w:rsidR="00191E41" w:rsidRPr="00191E41" w:rsidRDefault="00191E41" w:rsidP="00191E41">
            <w:pPr>
              <w:jc w:val="right"/>
              <w:rPr>
                <w:sz w:val="16"/>
                <w:szCs w:val="16"/>
              </w:rPr>
            </w:pPr>
            <w:r w:rsidRPr="00191E41">
              <w:rPr>
                <w:sz w:val="16"/>
                <w:szCs w:val="16"/>
              </w:rPr>
              <w:t>4 086 079.0</w:t>
            </w:r>
          </w:p>
        </w:tc>
      </w:tr>
      <w:tr w:rsidR="00191E41" w:rsidRPr="00191E41" w14:paraId="1ABD5C58" w14:textId="77777777" w:rsidTr="001E7D79">
        <w:trPr>
          <w:jc w:val="center"/>
        </w:trPr>
        <w:tc>
          <w:tcPr>
            <w:tcW w:w="2910" w:type="dxa"/>
            <w:tcBorders>
              <w:top w:val="nil"/>
              <w:bottom w:val="nil"/>
              <w:right w:val="single" w:sz="4" w:space="0" w:color="auto"/>
            </w:tcBorders>
            <w:shd w:val="clear" w:color="auto" w:fill="auto"/>
          </w:tcPr>
          <w:p w14:paraId="1442C592" w14:textId="77777777" w:rsidR="00191E41" w:rsidRPr="00191E41" w:rsidRDefault="00191E41" w:rsidP="00191E41">
            <w:pPr>
              <w:ind w:left="510"/>
              <w:rPr>
                <w:rFonts w:eastAsia="Times New Roman"/>
                <w:sz w:val="16"/>
                <w:szCs w:val="16"/>
              </w:rPr>
            </w:pPr>
            <w:r w:rsidRPr="00191E41">
              <w:rPr>
                <w:rFonts w:eastAsia="Times New Roman"/>
                <w:sz w:val="16"/>
                <w:szCs w:val="16"/>
              </w:rPr>
              <w:t>Corto plazo</w:t>
            </w:r>
          </w:p>
        </w:tc>
        <w:tc>
          <w:tcPr>
            <w:tcW w:w="1134" w:type="dxa"/>
            <w:tcBorders>
              <w:top w:val="nil"/>
              <w:left w:val="single" w:sz="4" w:space="0" w:color="auto"/>
              <w:bottom w:val="nil"/>
              <w:right w:val="single" w:sz="4" w:space="0" w:color="auto"/>
            </w:tcBorders>
            <w:shd w:val="clear" w:color="auto" w:fill="auto"/>
          </w:tcPr>
          <w:p w14:paraId="60A22C55" w14:textId="77777777" w:rsidR="00191E41" w:rsidRPr="00191E41" w:rsidRDefault="00191E41" w:rsidP="00191E41">
            <w:pPr>
              <w:ind w:right="113"/>
              <w:jc w:val="right"/>
              <w:rPr>
                <w:sz w:val="16"/>
                <w:szCs w:val="16"/>
              </w:rPr>
            </w:pPr>
            <w:r w:rsidRPr="00191E41">
              <w:rPr>
                <w:sz w:val="16"/>
                <w:szCs w:val="16"/>
              </w:rPr>
              <w:t>520 790.8</w:t>
            </w:r>
          </w:p>
        </w:tc>
        <w:tc>
          <w:tcPr>
            <w:tcW w:w="983" w:type="dxa"/>
            <w:tcBorders>
              <w:top w:val="nil"/>
              <w:left w:val="single" w:sz="4" w:space="0" w:color="auto"/>
              <w:bottom w:val="nil"/>
              <w:right w:val="single" w:sz="4" w:space="0" w:color="auto"/>
            </w:tcBorders>
            <w:shd w:val="clear" w:color="auto" w:fill="auto"/>
          </w:tcPr>
          <w:p w14:paraId="488BB5DC" w14:textId="77777777" w:rsidR="00191E41" w:rsidRPr="00191E41" w:rsidRDefault="00191E41" w:rsidP="00191E41">
            <w:pPr>
              <w:ind w:right="57"/>
              <w:jc w:val="right"/>
              <w:rPr>
                <w:sz w:val="16"/>
                <w:szCs w:val="16"/>
              </w:rPr>
            </w:pPr>
            <w:r w:rsidRPr="00191E41">
              <w:rPr>
                <w:sz w:val="16"/>
                <w:szCs w:val="16"/>
              </w:rPr>
              <w:t>127 711.6</w:t>
            </w:r>
          </w:p>
        </w:tc>
        <w:tc>
          <w:tcPr>
            <w:tcW w:w="1002" w:type="dxa"/>
            <w:tcBorders>
              <w:top w:val="nil"/>
              <w:left w:val="single" w:sz="4" w:space="0" w:color="auto"/>
              <w:bottom w:val="nil"/>
              <w:right w:val="single" w:sz="4" w:space="0" w:color="auto"/>
            </w:tcBorders>
            <w:shd w:val="clear" w:color="auto" w:fill="auto"/>
          </w:tcPr>
          <w:p w14:paraId="32CC91DD" w14:textId="77777777" w:rsidR="00191E41" w:rsidRPr="00191E41" w:rsidRDefault="00191E41" w:rsidP="00191E41">
            <w:pPr>
              <w:ind w:right="113"/>
              <w:jc w:val="right"/>
              <w:rPr>
                <w:sz w:val="16"/>
                <w:szCs w:val="16"/>
              </w:rPr>
            </w:pPr>
            <w:r w:rsidRPr="00191E41">
              <w:rPr>
                <w:sz w:val="16"/>
                <w:szCs w:val="16"/>
              </w:rPr>
              <w:t>131 093.6</w:t>
            </w:r>
          </w:p>
        </w:tc>
        <w:tc>
          <w:tcPr>
            <w:tcW w:w="992" w:type="dxa"/>
            <w:tcBorders>
              <w:top w:val="nil"/>
              <w:left w:val="single" w:sz="4" w:space="0" w:color="auto"/>
              <w:bottom w:val="nil"/>
              <w:right w:val="single" w:sz="4" w:space="0" w:color="auto"/>
            </w:tcBorders>
            <w:shd w:val="clear" w:color="auto" w:fill="auto"/>
          </w:tcPr>
          <w:p w14:paraId="6D049610" w14:textId="77777777" w:rsidR="00191E41" w:rsidRPr="00191E41" w:rsidRDefault="00191E41" w:rsidP="00191E41">
            <w:pPr>
              <w:ind w:right="57"/>
              <w:jc w:val="right"/>
              <w:rPr>
                <w:sz w:val="16"/>
                <w:szCs w:val="16"/>
              </w:rPr>
            </w:pPr>
            <w:r w:rsidRPr="00191E41">
              <w:rPr>
                <w:sz w:val="16"/>
                <w:szCs w:val="16"/>
              </w:rPr>
              <w:t>-3 382.0</w:t>
            </w:r>
          </w:p>
        </w:tc>
        <w:tc>
          <w:tcPr>
            <w:tcW w:w="938" w:type="dxa"/>
            <w:tcBorders>
              <w:top w:val="nil"/>
              <w:left w:val="single" w:sz="4" w:space="0" w:color="auto"/>
              <w:bottom w:val="nil"/>
              <w:right w:val="single" w:sz="4" w:space="0" w:color="auto"/>
            </w:tcBorders>
            <w:shd w:val="clear" w:color="auto" w:fill="auto"/>
          </w:tcPr>
          <w:p w14:paraId="63FDC84A" w14:textId="77777777" w:rsidR="00191E41" w:rsidRPr="00191E41" w:rsidRDefault="00191E41" w:rsidP="00191E41">
            <w:pPr>
              <w:ind w:right="57"/>
              <w:jc w:val="right"/>
              <w:rPr>
                <w:sz w:val="16"/>
                <w:szCs w:val="16"/>
              </w:rPr>
            </w:pPr>
            <w:r w:rsidRPr="00191E41">
              <w:rPr>
                <w:sz w:val="16"/>
                <w:szCs w:val="16"/>
              </w:rPr>
              <w:t>0.0</w:t>
            </w:r>
          </w:p>
        </w:tc>
        <w:tc>
          <w:tcPr>
            <w:tcW w:w="1028" w:type="dxa"/>
            <w:tcBorders>
              <w:top w:val="nil"/>
              <w:left w:val="single" w:sz="4" w:space="0" w:color="auto"/>
              <w:bottom w:val="nil"/>
            </w:tcBorders>
            <w:shd w:val="clear" w:color="auto" w:fill="auto"/>
          </w:tcPr>
          <w:p w14:paraId="19F9AF0E" w14:textId="77777777" w:rsidR="00191E41" w:rsidRPr="00191E41" w:rsidRDefault="00191E41" w:rsidP="00191E41">
            <w:pPr>
              <w:jc w:val="right"/>
              <w:rPr>
                <w:sz w:val="16"/>
                <w:szCs w:val="16"/>
              </w:rPr>
            </w:pPr>
            <w:r w:rsidRPr="00191E41">
              <w:rPr>
                <w:sz w:val="16"/>
                <w:szCs w:val="16"/>
              </w:rPr>
              <w:t>517 408.8</w:t>
            </w:r>
          </w:p>
        </w:tc>
      </w:tr>
      <w:tr w:rsidR="00191E41" w:rsidRPr="00191E41" w14:paraId="2A074A7F" w14:textId="77777777" w:rsidTr="001E7D79">
        <w:trPr>
          <w:jc w:val="center"/>
        </w:trPr>
        <w:tc>
          <w:tcPr>
            <w:tcW w:w="2910" w:type="dxa"/>
            <w:tcBorders>
              <w:top w:val="nil"/>
              <w:bottom w:val="nil"/>
              <w:right w:val="single" w:sz="4" w:space="0" w:color="auto"/>
            </w:tcBorders>
            <w:shd w:val="clear" w:color="auto" w:fill="auto"/>
          </w:tcPr>
          <w:p w14:paraId="6D8C4E8B" w14:textId="77777777" w:rsidR="00191E41" w:rsidRPr="00191E41" w:rsidRDefault="00191E41" w:rsidP="00191E41">
            <w:pPr>
              <w:ind w:left="340"/>
              <w:rPr>
                <w:rFonts w:eastAsia="Times New Roman"/>
                <w:sz w:val="16"/>
                <w:szCs w:val="16"/>
              </w:rPr>
            </w:pPr>
            <w:r w:rsidRPr="00191E41">
              <w:rPr>
                <w:rFonts w:eastAsia="Times New Roman"/>
                <w:sz w:val="16"/>
                <w:szCs w:val="16"/>
              </w:rPr>
              <w:t>Empresas productivas del estado</w:t>
            </w:r>
          </w:p>
        </w:tc>
        <w:tc>
          <w:tcPr>
            <w:tcW w:w="1134" w:type="dxa"/>
            <w:tcBorders>
              <w:top w:val="nil"/>
              <w:left w:val="single" w:sz="4" w:space="0" w:color="auto"/>
              <w:bottom w:val="nil"/>
              <w:right w:val="single" w:sz="4" w:space="0" w:color="auto"/>
            </w:tcBorders>
            <w:shd w:val="clear" w:color="auto" w:fill="auto"/>
          </w:tcPr>
          <w:p w14:paraId="3AAE1BA3" w14:textId="77777777" w:rsidR="00191E41" w:rsidRPr="00191E41" w:rsidRDefault="00191E41" w:rsidP="00191E41">
            <w:pPr>
              <w:ind w:right="113"/>
              <w:jc w:val="right"/>
              <w:rPr>
                <w:sz w:val="16"/>
                <w:szCs w:val="16"/>
              </w:rPr>
            </w:pPr>
            <w:r w:rsidRPr="00191E41">
              <w:rPr>
                <w:sz w:val="16"/>
                <w:szCs w:val="16"/>
              </w:rPr>
              <w:t>396 402.7</w:t>
            </w:r>
          </w:p>
        </w:tc>
        <w:tc>
          <w:tcPr>
            <w:tcW w:w="983" w:type="dxa"/>
            <w:tcBorders>
              <w:top w:val="nil"/>
              <w:left w:val="single" w:sz="4" w:space="0" w:color="auto"/>
              <w:bottom w:val="nil"/>
              <w:right w:val="single" w:sz="4" w:space="0" w:color="auto"/>
            </w:tcBorders>
            <w:shd w:val="clear" w:color="auto" w:fill="auto"/>
          </w:tcPr>
          <w:p w14:paraId="446720D8" w14:textId="77777777" w:rsidR="00191E41" w:rsidRPr="00191E41" w:rsidRDefault="00191E41" w:rsidP="00191E41">
            <w:pPr>
              <w:ind w:right="57"/>
              <w:jc w:val="right"/>
              <w:rPr>
                <w:sz w:val="16"/>
                <w:szCs w:val="16"/>
              </w:rPr>
            </w:pPr>
            <w:r w:rsidRPr="00191E41">
              <w:rPr>
                <w:sz w:val="16"/>
                <w:szCs w:val="16"/>
              </w:rPr>
              <w:t>17 221.4</w:t>
            </w:r>
          </w:p>
        </w:tc>
        <w:tc>
          <w:tcPr>
            <w:tcW w:w="1002" w:type="dxa"/>
            <w:tcBorders>
              <w:top w:val="nil"/>
              <w:left w:val="single" w:sz="4" w:space="0" w:color="auto"/>
              <w:bottom w:val="nil"/>
              <w:right w:val="single" w:sz="4" w:space="0" w:color="auto"/>
            </w:tcBorders>
            <w:shd w:val="clear" w:color="auto" w:fill="auto"/>
          </w:tcPr>
          <w:p w14:paraId="4363D623" w14:textId="77777777" w:rsidR="00191E41" w:rsidRPr="00191E41" w:rsidRDefault="00191E41" w:rsidP="00191E41">
            <w:pPr>
              <w:ind w:right="113"/>
              <w:jc w:val="right"/>
              <w:rPr>
                <w:sz w:val="16"/>
                <w:szCs w:val="16"/>
              </w:rPr>
            </w:pPr>
            <w:r w:rsidRPr="00191E41">
              <w:rPr>
                <w:sz w:val="16"/>
                <w:szCs w:val="16"/>
              </w:rPr>
              <w:t>1 833.6</w:t>
            </w:r>
          </w:p>
        </w:tc>
        <w:tc>
          <w:tcPr>
            <w:tcW w:w="992" w:type="dxa"/>
            <w:tcBorders>
              <w:top w:val="nil"/>
              <w:left w:val="single" w:sz="4" w:space="0" w:color="auto"/>
              <w:bottom w:val="nil"/>
              <w:right w:val="single" w:sz="4" w:space="0" w:color="auto"/>
            </w:tcBorders>
            <w:shd w:val="clear" w:color="auto" w:fill="auto"/>
          </w:tcPr>
          <w:p w14:paraId="681AC41F" w14:textId="77777777" w:rsidR="00191E41" w:rsidRPr="00191E41" w:rsidRDefault="00191E41" w:rsidP="00191E41">
            <w:pPr>
              <w:ind w:right="57"/>
              <w:jc w:val="right"/>
              <w:rPr>
                <w:sz w:val="16"/>
                <w:szCs w:val="16"/>
              </w:rPr>
            </w:pPr>
            <w:r w:rsidRPr="00191E41">
              <w:rPr>
                <w:sz w:val="16"/>
                <w:szCs w:val="16"/>
              </w:rPr>
              <w:t>15 387.8</w:t>
            </w:r>
          </w:p>
        </w:tc>
        <w:tc>
          <w:tcPr>
            <w:tcW w:w="938" w:type="dxa"/>
            <w:tcBorders>
              <w:top w:val="nil"/>
              <w:left w:val="single" w:sz="4" w:space="0" w:color="auto"/>
              <w:bottom w:val="nil"/>
              <w:right w:val="single" w:sz="4" w:space="0" w:color="auto"/>
            </w:tcBorders>
            <w:shd w:val="clear" w:color="auto" w:fill="auto"/>
          </w:tcPr>
          <w:p w14:paraId="65E2B712" w14:textId="77777777" w:rsidR="00191E41" w:rsidRPr="00191E41" w:rsidRDefault="00191E41" w:rsidP="00191E41">
            <w:pPr>
              <w:ind w:right="57"/>
              <w:jc w:val="right"/>
              <w:rPr>
                <w:sz w:val="16"/>
                <w:szCs w:val="16"/>
              </w:rPr>
            </w:pPr>
            <w:r w:rsidRPr="00191E41">
              <w:rPr>
                <w:sz w:val="16"/>
                <w:szCs w:val="16"/>
              </w:rPr>
              <w:t>-1 331.1</w:t>
            </w:r>
          </w:p>
        </w:tc>
        <w:tc>
          <w:tcPr>
            <w:tcW w:w="1028" w:type="dxa"/>
            <w:tcBorders>
              <w:top w:val="nil"/>
              <w:left w:val="single" w:sz="4" w:space="0" w:color="auto"/>
              <w:bottom w:val="nil"/>
            </w:tcBorders>
            <w:shd w:val="clear" w:color="auto" w:fill="auto"/>
          </w:tcPr>
          <w:p w14:paraId="45961743" w14:textId="77777777" w:rsidR="00191E41" w:rsidRPr="00191E41" w:rsidRDefault="00191E41" w:rsidP="00191E41">
            <w:pPr>
              <w:jc w:val="right"/>
              <w:rPr>
                <w:sz w:val="16"/>
                <w:szCs w:val="16"/>
              </w:rPr>
            </w:pPr>
            <w:r w:rsidRPr="00191E41">
              <w:rPr>
                <w:sz w:val="16"/>
                <w:szCs w:val="16"/>
              </w:rPr>
              <w:t>410 459.4</w:t>
            </w:r>
          </w:p>
        </w:tc>
      </w:tr>
      <w:tr w:rsidR="00191E41" w:rsidRPr="00191E41" w14:paraId="68503BF9" w14:textId="77777777" w:rsidTr="001E7D79">
        <w:trPr>
          <w:jc w:val="center"/>
        </w:trPr>
        <w:tc>
          <w:tcPr>
            <w:tcW w:w="2910" w:type="dxa"/>
            <w:tcBorders>
              <w:top w:val="nil"/>
              <w:bottom w:val="nil"/>
              <w:right w:val="single" w:sz="4" w:space="0" w:color="auto"/>
            </w:tcBorders>
            <w:shd w:val="clear" w:color="auto" w:fill="auto"/>
          </w:tcPr>
          <w:p w14:paraId="74C1A5DA" w14:textId="77777777" w:rsidR="00191E41" w:rsidRPr="00191E41" w:rsidRDefault="00191E41" w:rsidP="00191E41">
            <w:pPr>
              <w:ind w:left="510"/>
              <w:rPr>
                <w:rFonts w:eastAsia="Times New Roman"/>
                <w:sz w:val="16"/>
                <w:szCs w:val="16"/>
              </w:rPr>
            </w:pPr>
            <w:r w:rsidRPr="00191E41">
              <w:rPr>
                <w:rFonts w:eastAsia="Times New Roman"/>
                <w:sz w:val="16"/>
                <w:szCs w:val="16"/>
              </w:rPr>
              <w:t>Largo plazo</w:t>
            </w:r>
          </w:p>
        </w:tc>
        <w:tc>
          <w:tcPr>
            <w:tcW w:w="1134" w:type="dxa"/>
            <w:tcBorders>
              <w:top w:val="nil"/>
              <w:left w:val="single" w:sz="4" w:space="0" w:color="auto"/>
              <w:bottom w:val="nil"/>
              <w:right w:val="single" w:sz="4" w:space="0" w:color="auto"/>
            </w:tcBorders>
            <w:shd w:val="clear" w:color="auto" w:fill="auto"/>
          </w:tcPr>
          <w:p w14:paraId="4404937B" w14:textId="77777777" w:rsidR="00191E41" w:rsidRPr="00191E41" w:rsidRDefault="00191E41" w:rsidP="00191E41">
            <w:pPr>
              <w:ind w:right="113"/>
              <w:jc w:val="right"/>
              <w:rPr>
                <w:sz w:val="16"/>
                <w:szCs w:val="16"/>
              </w:rPr>
            </w:pPr>
            <w:r w:rsidRPr="00191E41">
              <w:rPr>
                <w:sz w:val="16"/>
                <w:szCs w:val="16"/>
              </w:rPr>
              <w:t>396 402.7</w:t>
            </w:r>
          </w:p>
        </w:tc>
        <w:tc>
          <w:tcPr>
            <w:tcW w:w="983" w:type="dxa"/>
            <w:tcBorders>
              <w:top w:val="nil"/>
              <w:left w:val="single" w:sz="4" w:space="0" w:color="auto"/>
              <w:bottom w:val="nil"/>
              <w:right w:val="single" w:sz="4" w:space="0" w:color="auto"/>
            </w:tcBorders>
            <w:shd w:val="clear" w:color="auto" w:fill="auto"/>
          </w:tcPr>
          <w:p w14:paraId="7E9AB61D" w14:textId="77777777" w:rsidR="00191E41" w:rsidRPr="00191E41" w:rsidRDefault="00191E41" w:rsidP="00191E41">
            <w:pPr>
              <w:ind w:right="57"/>
              <w:jc w:val="right"/>
              <w:rPr>
                <w:sz w:val="16"/>
                <w:szCs w:val="16"/>
              </w:rPr>
            </w:pPr>
            <w:r w:rsidRPr="00191E41">
              <w:rPr>
                <w:sz w:val="16"/>
                <w:szCs w:val="16"/>
              </w:rPr>
              <w:t>0.0</w:t>
            </w:r>
          </w:p>
        </w:tc>
        <w:tc>
          <w:tcPr>
            <w:tcW w:w="1002" w:type="dxa"/>
            <w:tcBorders>
              <w:top w:val="nil"/>
              <w:left w:val="single" w:sz="4" w:space="0" w:color="auto"/>
              <w:bottom w:val="nil"/>
              <w:right w:val="single" w:sz="4" w:space="0" w:color="auto"/>
            </w:tcBorders>
            <w:shd w:val="clear" w:color="auto" w:fill="auto"/>
          </w:tcPr>
          <w:p w14:paraId="10496DF9" w14:textId="77777777" w:rsidR="00191E41" w:rsidRPr="00191E41" w:rsidRDefault="00191E41" w:rsidP="00191E41">
            <w:pPr>
              <w:ind w:right="113"/>
              <w:jc w:val="right"/>
              <w:rPr>
                <w:sz w:val="16"/>
                <w:szCs w:val="16"/>
              </w:rPr>
            </w:pPr>
            <w:r w:rsidRPr="00191E41">
              <w:rPr>
                <w:sz w:val="16"/>
                <w:szCs w:val="16"/>
              </w:rPr>
              <w:t>750.0</w:t>
            </w:r>
          </w:p>
        </w:tc>
        <w:tc>
          <w:tcPr>
            <w:tcW w:w="992" w:type="dxa"/>
            <w:tcBorders>
              <w:top w:val="nil"/>
              <w:left w:val="single" w:sz="4" w:space="0" w:color="auto"/>
              <w:bottom w:val="nil"/>
              <w:right w:val="single" w:sz="4" w:space="0" w:color="auto"/>
            </w:tcBorders>
            <w:shd w:val="clear" w:color="auto" w:fill="auto"/>
          </w:tcPr>
          <w:p w14:paraId="6C0CB19C" w14:textId="77777777" w:rsidR="00191E41" w:rsidRPr="00191E41" w:rsidRDefault="00191E41" w:rsidP="00191E41">
            <w:pPr>
              <w:ind w:right="57"/>
              <w:jc w:val="right"/>
              <w:rPr>
                <w:sz w:val="16"/>
                <w:szCs w:val="16"/>
              </w:rPr>
            </w:pPr>
            <w:r w:rsidRPr="00191E41">
              <w:rPr>
                <w:sz w:val="16"/>
                <w:szCs w:val="16"/>
              </w:rPr>
              <w:t>-750.0</w:t>
            </w:r>
          </w:p>
        </w:tc>
        <w:tc>
          <w:tcPr>
            <w:tcW w:w="938" w:type="dxa"/>
            <w:tcBorders>
              <w:top w:val="nil"/>
              <w:left w:val="single" w:sz="4" w:space="0" w:color="auto"/>
              <w:bottom w:val="nil"/>
              <w:right w:val="single" w:sz="4" w:space="0" w:color="auto"/>
            </w:tcBorders>
            <w:shd w:val="clear" w:color="auto" w:fill="auto"/>
          </w:tcPr>
          <w:p w14:paraId="3E06AACD" w14:textId="77777777" w:rsidR="00191E41" w:rsidRPr="00191E41" w:rsidRDefault="00191E41" w:rsidP="00191E41">
            <w:pPr>
              <w:ind w:right="57"/>
              <w:jc w:val="right"/>
              <w:rPr>
                <w:sz w:val="16"/>
                <w:szCs w:val="16"/>
              </w:rPr>
            </w:pPr>
            <w:r w:rsidRPr="00191E41">
              <w:rPr>
                <w:sz w:val="16"/>
                <w:szCs w:val="16"/>
              </w:rPr>
              <w:t>-1 331.1</w:t>
            </w:r>
          </w:p>
        </w:tc>
        <w:tc>
          <w:tcPr>
            <w:tcW w:w="1028" w:type="dxa"/>
            <w:tcBorders>
              <w:top w:val="nil"/>
              <w:left w:val="single" w:sz="4" w:space="0" w:color="auto"/>
              <w:bottom w:val="nil"/>
            </w:tcBorders>
            <w:shd w:val="clear" w:color="auto" w:fill="auto"/>
          </w:tcPr>
          <w:p w14:paraId="20D36180" w14:textId="77777777" w:rsidR="00191E41" w:rsidRPr="00191E41" w:rsidRDefault="00191E41" w:rsidP="00191E41">
            <w:pPr>
              <w:jc w:val="right"/>
              <w:rPr>
                <w:sz w:val="16"/>
                <w:szCs w:val="16"/>
              </w:rPr>
            </w:pPr>
            <w:r w:rsidRPr="00191E41">
              <w:rPr>
                <w:sz w:val="16"/>
                <w:szCs w:val="16"/>
              </w:rPr>
              <w:t>394 321.6</w:t>
            </w:r>
          </w:p>
        </w:tc>
      </w:tr>
      <w:tr w:rsidR="00191E41" w:rsidRPr="00191E41" w14:paraId="01EA936A" w14:textId="77777777" w:rsidTr="001E7D79">
        <w:trPr>
          <w:jc w:val="center"/>
        </w:trPr>
        <w:tc>
          <w:tcPr>
            <w:tcW w:w="2910" w:type="dxa"/>
            <w:tcBorders>
              <w:top w:val="nil"/>
              <w:bottom w:val="nil"/>
              <w:right w:val="single" w:sz="4" w:space="0" w:color="auto"/>
            </w:tcBorders>
            <w:shd w:val="clear" w:color="auto" w:fill="auto"/>
          </w:tcPr>
          <w:p w14:paraId="69199C71" w14:textId="77777777" w:rsidR="00191E41" w:rsidRPr="00191E41" w:rsidRDefault="00191E41" w:rsidP="00191E41">
            <w:pPr>
              <w:ind w:left="510"/>
              <w:rPr>
                <w:rFonts w:eastAsia="Times New Roman"/>
                <w:sz w:val="16"/>
                <w:szCs w:val="16"/>
              </w:rPr>
            </w:pPr>
            <w:r w:rsidRPr="00191E41">
              <w:rPr>
                <w:rFonts w:eastAsia="Times New Roman"/>
                <w:sz w:val="16"/>
                <w:szCs w:val="16"/>
              </w:rPr>
              <w:t>Corto plazo</w:t>
            </w:r>
          </w:p>
        </w:tc>
        <w:tc>
          <w:tcPr>
            <w:tcW w:w="1134" w:type="dxa"/>
            <w:tcBorders>
              <w:top w:val="nil"/>
              <w:left w:val="single" w:sz="4" w:space="0" w:color="auto"/>
              <w:bottom w:val="nil"/>
              <w:right w:val="single" w:sz="4" w:space="0" w:color="auto"/>
            </w:tcBorders>
            <w:shd w:val="clear" w:color="auto" w:fill="auto"/>
          </w:tcPr>
          <w:p w14:paraId="169384DA" w14:textId="77777777" w:rsidR="00191E41" w:rsidRPr="00191E41" w:rsidRDefault="00191E41" w:rsidP="00191E41">
            <w:pPr>
              <w:ind w:right="113"/>
              <w:jc w:val="right"/>
              <w:rPr>
                <w:sz w:val="16"/>
                <w:szCs w:val="16"/>
              </w:rPr>
            </w:pPr>
            <w:r w:rsidRPr="00191E41">
              <w:rPr>
                <w:sz w:val="16"/>
                <w:szCs w:val="16"/>
              </w:rPr>
              <w:t>0.0</w:t>
            </w:r>
          </w:p>
        </w:tc>
        <w:tc>
          <w:tcPr>
            <w:tcW w:w="983" w:type="dxa"/>
            <w:tcBorders>
              <w:top w:val="nil"/>
              <w:left w:val="single" w:sz="4" w:space="0" w:color="auto"/>
              <w:bottom w:val="nil"/>
              <w:right w:val="single" w:sz="4" w:space="0" w:color="auto"/>
            </w:tcBorders>
            <w:shd w:val="clear" w:color="auto" w:fill="auto"/>
          </w:tcPr>
          <w:p w14:paraId="345C64F4" w14:textId="77777777" w:rsidR="00191E41" w:rsidRPr="00191E41" w:rsidRDefault="00191E41" w:rsidP="00191E41">
            <w:pPr>
              <w:ind w:right="57"/>
              <w:jc w:val="right"/>
              <w:rPr>
                <w:sz w:val="16"/>
                <w:szCs w:val="16"/>
              </w:rPr>
            </w:pPr>
            <w:r w:rsidRPr="00191E41">
              <w:rPr>
                <w:sz w:val="16"/>
                <w:szCs w:val="16"/>
              </w:rPr>
              <w:t>17 221.4</w:t>
            </w:r>
          </w:p>
        </w:tc>
        <w:tc>
          <w:tcPr>
            <w:tcW w:w="1002" w:type="dxa"/>
            <w:tcBorders>
              <w:top w:val="nil"/>
              <w:left w:val="single" w:sz="4" w:space="0" w:color="auto"/>
              <w:bottom w:val="nil"/>
              <w:right w:val="single" w:sz="4" w:space="0" w:color="auto"/>
            </w:tcBorders>
            <w:shd w:val="clear" w:color="auto" w:fill="auto"/>
          </w:tcPr>
          <w:p w14:paraId="5799C299" w14:textId="77777777" w:rsidR="00191E41" w:rsidRPr="00191E41" w:rsidRDefault="00191E41" w:rsidP="00191E41">
            <w:pPr>
              <w:ind w:right="113"/>
              <w:jc w:val="right"/>
              <w:rPr>
                <w:sz w:val="16"/>
                <w:szCs w:val="16"/>
              </w:rPr>
            </w:pPr>
            <w:r w:rsidRPr="00191E41">
              <w:rPr>
                <w:sz w:val="16"/>
                <w:szCs w:val="16"/>
              </w:rPr>
              <w:t>1 083.6</w:t>
            </w:r>
          </w:p>
        </w:tc>
        <w:tc>
          <w:tcPr>
            <w:tcW w:w="992" w:type="dxa"/>
            <w:tcBorders>
              <w:top w:val="nil"/>
              <w:left w:val="single" w:sz="4" w:space="0" w:color="auto"/>
              <w:bottom w:val="nil"/>
              <w:right w:val="single" w:sz="4" w:space="0" w:color="auto"/>
            </w:tcBorders>
            <w:shd w:val="clear" w:color="auto" w:fill="auto"/>
          </w:tcPr>
          <w:p w14:paraId="40CB5F3E" w14:textId="77777777" w:rsidR="00191E41" w:rsidRPr="00191E41" w:rsidRDefault="00191E41" w:rsidP="00191E41">
            <w:pPr>
              <w:ind w:right="57"/>
              <w:jc w:val="right"/>
              <w:rPr>
                <w:sz w:val="16"/>
                <w:szCs w:val="16"/>
              </w:rPr>
            </w:pPr>
            <w:r w:rsidRPr="00191E41">
              <w:rPr>
                <w:sz w:val="16"/>
                <w:szCs w:val="16"/>
              </w:rPr>
              <w:t>16 137.8</w:t>
            </w:r>
          </w:p>
        </w:tc>
        <w:tc>
          <w:tcPr>
            <w:tcW w:w="938" w:type="dxa"/>
            <w:tcBorders>
              <w:top w:val="nil"/>
              <w:left w:val="single" w:sz="4" w:space="0" w:color="auto"/>
              <w:bottom w:val="nil"/>
              <w:right w:val="single" w:sz="4" w:space="0" w:color="auto"/>
            </w:tcBorders>
            <w:shd w:val="clear" w:color="auto" w:fill="auto"/>
          </w:tcPr>
          <w:p w14:paraId="5511AA6F" w14:textId="77777777" w:rsidR="00191E41" w:rsidRPr="00191E41" w:rsidRDefault="00191E41" w:rsidP="00191E41">
            <w:pPr>
              <w:ind w:right="57"/>
              <w:jc w:val="right"/>
              <w:rPr>
                <w:sz w:val="16"/>
                <w:szCs w:val="16"/>
              </w:rPr>
            </w:pPr>
            <w:r w:rsidRPr="00191E41">
              <w:rPr>
                <w:sz w:val="16"/>
                <w:szCs w:val="16"/>
              </w:rPr>
              <w:t>0.0</w:t>
            </w:r>
          </w:p>
        </w:tc>
        <w:tc>
          <w:tcPr>
            <w:tcW w:w="1028" w:type="dxa"/>
            <w:tcBorders>
              <w:top w:val="nil"/>
              <w:left w:val="single" w:sz="4" w:space="0" w:color="auto"/>
              <w:bottom w:val="nil"/>
            </w:tcBorders>
            <w:shd w:val="clear" w:color="auto" w:fill="auto"/>
          </w:tcPr>
          <w:p w14:paraId="21C44728" w14:textId="77777777" w:rsidR="00191E41" w:rsidRPr="00191E41" w:rsidRDefault="00191E41" w:rsidP="00191E41">
            <w:pPr>
              <w:jc w:val="right"/>
              <w:rPr>
                <w:sz w:val="16"/>
                <w:szCs w:val="16"/>
              </w:rPr>
            </w:pPr>
            <w:r w:rsidRPr="00191E41">
              <w:rPr>
                <w:sz w:val="16"/>
                <w:szCs w:val="16"/>
              </w:rPr>
              <w:t>16 137.8</w:t>
            </w:r>
          </w:p>
        </w:tc>
      </w:tr>
      <w:tr w:rsidR="00191E41" w:rsidRPr="00191E41" w14:paraId="76D1B482" w14:textId="77777777" w:rsidTr="001E7D79">
        <w:trPr>
          <w:jc w:val="center"/>
        </w:trPr>
        <w:tc>
          <w:tcPr>
            <w:tcW w:w="2910" w:type="dxa"/>
            <w:tcBorders>
              <w:top w:val="nil"/>
              <w:bottom w:val="nil"/>
              <w:right w:val="single" w:sz="4" w:space="0" w:color="auto"/>
            </w:tcBorders>
            <w:shd w:val="clear" w:color="auto" w:fill="auto"/>
          </w:tcPr>
          <w:p w14:paraId="1F2600BB" w14:textId="77777777" w:rsidR="00191E41" w:rsidRPr="00191E41" w:rsidRDefault="00191E41" w:rsidP="00191E41">
            <w:pPr>
              <w:ind w:left="340"/>
              <w:rPr>
                <w:rFonts w:eastAsia="Times New Roman"/>
                <w:sz w:val="16"/>
                <w:szCs w:val="16"/>
              </w:rPr>
            </w:pPr>
            <w:r w:rsidRPr="00191E41">
              <w:rPr>
                <w:rFonts w:eastAsia="Times New Roman"/>
                <w:sz w:val="16"/>
                <w:szCs w:val="16"/>
              </w:rPr>
              <w:t>Banca de Desarrollo</w:t>
            </w:r>
          </w:p>
        </w:tc>
        <w:tc>
          <w:tcPr>
            <w:tcW w:w="1134" w:type="dxa"/>
            <w:tcBorders>
              <w:top w:val="nil"/>
              <w:left w:val="single" w:sz="4" w:space="0" w:color="auto"/>
              <w:bottom w:val="nil"/>
              <w:right w:val="single" w:sz="4" w:space="0" w:color="auto"/>
            </w:tcBorders>
            <w:shd w:val="clear" w:color="auto" w:fill="auto"/>
          </w:tcPr>
          <w:p w14:paraId="0FF6DAC2" w14:textId="77777777" w:rsidR="00191E41" w:rsidRPr="00191E41" w:rsidRDefault="00191E41" w:rsidP="00191E41">
            <w:pPr>
              <w:ind w:right="113"/>
              <w:jc w:val="right"/>
              <w:rPr>
                <w:sz w:val="16"/>
                <w:szCs w:val="16"/>
              </w:rPr>
            </w:pPr>
            <w:r w:rsidRPr="00191E41">
              <w:rPr>
                <w:sz w:val="16"/>
                <w:szCs w:val="16"/>
              </w:rPr>
              <w:t>106 511.0</w:t>
            </w:r>
          </w:p>
        </w:tc>
        <w:tc>
          <w:tcPr>
            <w:tcW w:w="983" w:type="dxa"/>
            <w:tcBorders>
              <w:top w:val="nil"/>
              <w:left w:val="single" w:sz="4" w:space="0" w:color="auto"/>
              <w:bottom w:val="nil"/>
              <w:right w:val="single" w:sz="4" w:space="0" w:color="auto"/>
            </w:tcBorders>
            <w:shd w:val="clear" w:color="auto" w:fill="auto"/>
          </w:tcPr>
          <w:p w14:paraId="0C330046" w14:textId="77777777" w:rsidR="00191E41" w:rsidRPr="00191E41" w:rsidRDefault="00191E41" w:rsidP="00191E41">
            <w:pPr>
              <w:ind w:right="57"/>
              <w:jc w:val="right"/>
              <w:rPr>
                <w:sz w:val="16"/>
                <w:szCs w:val="16"/>
              </w:rPr>
            </w:pPr>
            <w:r w:rsidRPr="00191E41">
              <w:rPr>
                <w:sz w:val="16"/>
                <w:szCs w:val="16"/>
              </w:rPr>
              <w:t>36 650.2</w:t>
            </w:r>
          </w:p>
        </w:tc>
        <w:tc>
          <w:tcPr>
            <w:tcW w:w="1002" w:type="dxa"/>
            <w:tcBorders>
              <w:top w:val="nil"/>
              <w:left w:val="single" w:sz="4" w:space="0" w:color="auto"/>
              <w:bottom w:val="nil"/>
              <w:right w:val="single" w:sz="4" w:space="0" w:color="auto"/>
            </w:tcBorders>
            <w:shd w:val="clear" w:color="auto" w:fill="auto"/>
          </w:tcPr>
          <w:p w14:paraId="1B9E2EF6" w14:textId="77777777" w:rsidR="00191E41" w:rsidRPr="00191E41" w:rsidRDefault="00191E41" w:rsidP="00191E41">
            <w:pPr>
              <w:ind w:right="113"/>
              <w:jc w:val="right"/>
              <w:rPr>
                <w:sz w:val="16"/>
                <w:szCs w:val="16"/>
              </w:rPr>
            </w:pPr>
            <w:r w:rsidRPr="00191E41">
              <w:rPr>
                <w:sz w:val="16"/>
                <w:szCs w:val="16"/>
              </w:rPr>
              <w:t>42 650.0</w:t>
            </w:r>
          </w:p>
        </w:tc>
        <w:tc>
          <w:tcPr>
            <w:tcW w:w="992" w:type="dxa"/>
            <w:tcBorders>
              <w:top w:val="nil"/>
              <w:left w:val="single" w:sz="4" w:space="0" w:color="auto"/>
              <w:bottom w:val="nil"/>
              <w:right w:val="single" w:sz="4" w:space="0" w:color="auto"/>
            </w:tcBorders>
            <w:shd w:val="clear" w:color="auto" w:fill="auto"/>
          </w:tcPr>
          <w:p w14:paraId="1E7C4951" w14:textId="77777777" w:rsidR="00191E41" w:rsidRPr="00191E41" w:rsidRDefault="00191E41" w:rsidP="00191E41">
            <w:pPr>
              <w:ind w:right="57"/>
              <w:jc w:val="right"/>
              <w:rPr>
                <w:sz w:val="16"/>
                <w:szCs w:val="16"/>
              </w:rPr>
            </w:pPr>
            <w:r w:rsidRPr="00191E41">
              <w:rPr>
                <w:sz w:val="16"/>
                <w:szCs w:val="16"/>
              </w:rPr>
              <w:t>-5 999.8</w:t>
            </w:r>
          </w:p>
        </w:tc>
        <w:tc>
          <w:tcPr>
            <w:tcW w:w="938" w:type="dxa"/>
            <w:tcBorders>
              <w:top w:val="nil"/>
              <w:left w:val="single" w:sz="4" w:space="0" w:color="auto"/>
              <w:bottom w:val="nil"/>
              <w:right w:val="single" w:sz="4" w:space="0" w:color="auto"/>
            </w:tcBorders>
            <w:shd w:val="clear" w:color="auto" w:fill="auto"/>
          </w:tcPr>
          <w:p w14:paraId="211579E0" w14:textId="77777777" w:rsidR="00191E41" w:rsidRPr="00191E41" w:rsidRDefault="00191E41" w:rsidP="00191E41">
            <w:pPr>
              <w:ind w:right="57"/>
              <w:jc w:val="right"/>
              <w:rPr>
                <w:sz w:val="16"/>
                <w:szCs w:val="16"/>
              </w:rPr>
            </w:pPr>
            <w:r w:rsidRPr="00191E41">
              <w:rPr>
                <w:sz w:val="16"/>
                <w:szCs w:val="16"/>
              </w:rPr>
              <w:t>-1.0</w:t>
            </w:r>
          </w:p>
        </w:tc>
        <w:tc>
          <w:tcPr>
            <w:tcW w:w="1028" w:type="dxa"/>
            <w:tcBorders>
              <w:top w:val="nil"/>
              <w:left w:val="single" w:sz="4" w:space="0" w:color="auto"/>
              <w:bottom w:val="nil"/>
            </w:tcBorders>
            <w:shd w:val="clear" w:color="auto" w:fill="auto"/>
          </w:tcPr>
          <w:p w14:paraId="4FF14ADC" w14:textId="77777777" w:rsidR="00191E41" w:rsidRPr="00191E41" w:rsidRDefault="00191E41" w:rsidP="00191E41">
            <w:pPr>
              <w:jc w:val="right"/>
              <w:rPr>
                <w:sz w:val="16"/>
                <w:szCs w:val="16"/>
              </w:rPr>
            </w:pPr>
            <w:r w:rsidRPr="00191E41">
              <w:rPr>
                <w:sz w:val="16"/>
                <w:szCs w:val="16"/>
              </w:rPr>
              <w:t>100 510.2</w:t>
            </w:r>
          </w:p>
        </w:tc>
      </w:tr>
      <w:tr w:rsidR="00191E41" w:rsidRPr="00191E41" w14:paraId="2A51A43E" w14:textId="77777777" w:rsidTr="001E7D79">
        <w:trPr>
          <w:jc w:val="center"/>
        </w:trPr>
        <w:tc>
          <w:tcPr>
            <w:tcW w:w="2910" w:type="dxa"/>
            <w:tcBorders>
              <w:top w:val="nil"/>
              <w:bottom w:val="nil"/>
              <w:right w:val="single" w:sz="4" w:space="0" w:color="auto"/>
            </w:tcBorders>
            <w:shd w:val="clear" w:color="auto" w:fill="auto"/>
          </w:tcPr>
          <w:p w14:paraId="6606D037" w14:textId="77777777" w:rsidR="00191E41" w:rsidRPr="00191E41" w:rsidRDefault="00191E41" w:rsidP="00191E41">
            <w:pPr>
              <w:ind w:left="510"/>
              <w:rPr>
                <w:rFonts w:eastAsia="Times New Roman"/>
                <w:sz w:val="16"/>
                <w:szCs w:val="16"/>
              </w:rPr>
            </w:pPr>
            <w:r w:rsidRPr="00191E41">
              <w:rPr>
                <w:rFonts w:eastAsia="Times New Roman"/>
                <w:sz w:val="16"/>
                <w:szCs w:val="16"/>
              </w:rPr>
              <w:t>Largo plazo</w:t>
            </w:r>
          </w:p>
        </w:tc>
        <w:tc>
          <w:tcPr>
            <w:tcW w:w="1134" w:type="dxa"/>
            <w:tcBorders>
              <w:top w:val="nil"/>
              <w:left w:val="single" w:sz="4" w:space="0" w:color="auto"/>
              <w:bottom w:val="nil"/>
              <w:right w:val="single" w:sz="4" w:space="0" w:color="auto"/>
            </w:tcBorders>
            <w:shd w:val="clear" w:color="auto" w:fill="auto"/>
          </w:tcPr>
          <w:p w14:paraId="2E6ECAE3" w14:textId="77777777" w:rsidR="00191E41" w:rsidRPr="00191E41" w:rsidRDefault="00191E41" w:rsidP="00191E41">
            <w:pPr>
              <w:ind w:right="113"/>
              <w:jc w:val="right"/>
              <w:rPr>
                <w:sz w:val="16"/>
                <w:szCs w:val="16"/>
              </w:rPr>
            </w:pPr>
            <w:r w:rsidRPr="00191E41">
              <w:rPr>
                <w:sz w:val="16"/>
                <w:szCs w:val="16"/>
              </w:rPr>
              <w:t>96 011.0</w:t>
            </w:r>
          </w:p>
        </w:tc>
        <w:tc>
          <w:tcPr>
            <w:tcW w:w="983" w:type="dxa"/>
            <w:tcBorders>
              <w:top w:val="nil"/>
              <w:left w:val="single" w:sz="4" w:space="0" w:color="auto"/>
              <w:bottom w:val="nil"/>
              <w:right w:val="single" w:sz="4" w:space="0" w:color="auto"/>
            </w:tcBorders>
            <w:shd w:val="clear" w:color="auto" w:fill="auto"/>
          </w:tcPr>
          <w:p w14:paraId="6B6A386F" w14:textId="77777777" w:rsidR="00191E41" w:rsidRPr="00191E41" w:rsidRDefault="00191E41" w:rsidP="00191E41">
            <w:pPr>
              <w:ind w:right="57"/>
              <w:jc w:val="right"/>
              <w:rPr>
                <w:sz w:val="16"/>
                <w:szCs w:val="16"/>
              </w:rPr>
            </w:pPr>
            <w:r w:rsidRPr="00191E41">
              <w:rPr>
                <w:sz w:val="16"/>
                <w:szCs w:val="16"/>
              </w:rPr>
              <w:t>0.2</w:t>
            </w:r>
          </w:p>
        </w:tc>
        <w:tc>
          <w:tcPr>
            <w:tcW w:w="1002" w:type="dxa"/>
            <w:tcBorders>
              <w:top w:val="nil"/>
              <w:left w:val="single" w:sz="4" w:space="0" w:color="auto"/>
              <w:bottom w:val="nil"/>
              <w:right w:val="single" w:sz="4" w:space="0" w:color="auto"/>
            </w:tcBorders>
            <w:shd w:val="clear" w:color="auto" w:fill="auto"/>
          </w:tcPr>
          <w:p w14:paraId="6503EF96" w14:textId="77777777" w:rsidR="00191E41" w:rsidRPr="00191E41" w:rsidRDefault="00191E41" w:rsidP="00191E41">
            <w:pPr>
              <w:ind w:right="113"/>
              <w:jc w:val="right"/>
              <w:rPr>
                <w:sz w:val="16"/>
                <w:szCs w:val="16"/>
              </w:rPr>
            </w:pPr>
            <w:r w:rsidRPr="00191E41">
              <w:rPr>
                <w:sz w:val="16"/>
                <w:szCs w:val="16"/>
              </w:rPr>
              <w:t>2 500.0</w:t>
            </w:r>
          </w:p>
        </w:tc>
        <w:tc>
          <w:tcPr>
            <w:tcW w:w="992" w:type="dxa"/>
            <w:tcBorders>
              <w:top w:val="nil"/>
              <w:left w:val="single" w:sz="4" w:space="0" w:color="auto"/>
              <w:bottom w:val="nil"/>
              <w:right w:val="single" w:sz="4" w:space="0" w:color="auto"/>
            </w:tcBorders>
            <w:shd w:val="clear" w:color="auto" w:fill="auto"/>
          </w:tcPr>
          <w:p w14:paraId="630B31AB" w14:textId="77777777" w:rsidR="00191E41" w:rsidRPr="00191E41" w:rsidRDefault="00191E41" w:rsidP="00191E41">
            <w:pPr>
              <w:ind w:right="57"/>
              <w:jc w:val="right"/>
              <w:rPr>
                <w:sz w:val="16"/>
                <w:szCs w:val="16"/>
              </w:rPr>
            </w:pPr>
            <w:r w:rsidRPr="00191E41">
              <w:rPr>
                <w:sz w:val="16"/>
                <w:szCs w:val="16"/>
              </w:rPr>
              <w:t>-2 499.8</w:t>
            </w:r>
          </w:p>
        </w:tc>
        <w:tc>
          <w:tcPr>
            <w:tcW w:w="938" w:type="dxa"/>
            <w:tcBorders>
              <w:top w:val="nil"/>
              <w:left w:val="single" w:sz="4" w:space="0" w:color="auto"/>
              <w:bottom w:val="nil"/>
              <w:right w:val="single" w:sz="4" w:space="0" w:color="auto"/>
            </w:tcBorders>
            <w:shd w:val="clear" w:color="auto" w:fill="auto"/>
          </w:tcPr>
          <w:p w14:paraId="3F7D67B4" w14:textId="77777777" w:rsidR="00191E41" w:rsidRPr="00191E41" w:rsidRDefault="00191E41" w:rsidP="00191E41">
            <w:pPr>
              <w:ind w:right="57"/>
              <w:jc w:val="right"/>
              <w:rPr>
                <w:sz w:val="16"/>
                <w:szCs w:val="16"/>
              </w:rPr>
            </w:pPr>
            <w:r w:rsidRPr="00191E41">
              <w:rPr>
                <w:sz w:val="16"/>
                <w:szCs w:val="16"/>
              </w:rPr>
              <w:t>-1.0</w:t>
            </w:r>
          </w:p>
        </w:tc>
        <w:tc>
          <w:tcPr>
            <w:tcW w:w="1028" w:type="dxa"/>
            <w:tcBorders>
              <w:top w:val="nil"/>
              <w:left w:val="single" w:sz="4" w:space="0" w:color="auto"/>
              <w:bottom w:val="nil"/>
            </w:tcBorders>
            <w:shd w:val="clear" w:color="auto" w:fill="auto"/>
          </w:tcPr>
          <w:p w14:paraId="49004486" w14:textId="77777777" w:rsidR="00191E41" w:rsidRPr="00191E41" w:rsidRDefault="00191E41" w:rsidP="00191E41">
            <w:pPr>
              <w:jc w:val="right"/>
              <w:rPr>
                <w:sz w:val="16"/>
                <w:szCs w:val="16"/>
              </w:rPr>
            </w:pPr>
            <w:r w:rsidRPr="00191E41">
              <w:rPr>
                <w:sz w:val="16"/>
                <w:szCs w:val="16"/>
              </w:rPr>
              <w:t>93 510.2</w:t>
            </w:r>
          </w:p>
        </w:tc>
      </w:tr>
      <w:tr w:rsidR="00191E41" w:rsidRPr="00191E41" w14:paraId="3EB077D3" w14:textId="77777777" w:rsidTr="001E7D79">
        <w:trPr>
          <w:jc w:val="center"/>
        </w:trPr>
        <w:tc>
          <w:tcPr>
            <w:tcW w:w="2910" w:type="dxa"/>
            <w:tcBorders>
              <w:top w:val="nil"/>
              <w:bottom w:val="nil"/>
              <w:right w:val="single" w:sz="4" w:space="0" w:color="auto"/>
            </w:tcBorders>
            <w:shd w:val="clear" w:color="auto" w:fill="auto"/>
          </w:tcPr>
          <w:p w14:paraId="1916B704" w14:textId="77777777" w:rsidR="00191E41" w:rsidRPr="00191E41" w:rsidRDefault="00191E41" w:rsidP="00191E41">
            <w:pPr>
              <w:ind w:left="510"/>
              <w:rPr>
                <w:rFonts w:eastAsia="Times New Roman"/>
                <w:sz w:val="16"/>
                <w:szCs w:val="16"/>
              </w:rPr>
            </w:pPr>
            <w:r w:rsidRPr="00191E41">
              <w:rPr>
                <w:rFonts w:eastAsia="Times New Roman"/>
                <w:sz w:val="16"/>
                <w:szCs w:val="16"/>
              </w:rPr>
              <w:t>Corto plazo</w:t>
            </w:r>
          </w:p>
        </w:tc>
        <w:tc>
          <w:tcPr>
            <w:tcW w:w="1134" w:type="dxa"/>
            <w:tcBorders>
              <w:top w:val="nil"/>
              <w:left w:val="single" w:sz="4" w:space="0" w:color="auto"/>
              <w:bottom w:val="nil"/>
              <w:right w:val="single" w:sz="4" w:space="0" w:color="auto"/>
            </w:tcBorders>
            <w:shd w:val="clear" w:color="auto" w:fill="auto"/>
          </w:tcPr>
          <w:p w14:paraId="1777DBCA" w14:textId="77777777" w:rsidR="00191E41" w:rsidRPr="00191E41" w:rsidRDefault="00191E41" w:rsidP="00191E41">
            <w:pPr>
              <w:ind w:right="113"/>
              <w:jc w:val="right"/>
              <w:rPr>
                <w:sz w:val="16"/>
                <w:szCs w:val="16"/>
              </w:rPr>
            </w:pPr>
            <w:r w:rsidRPr="00191E41">
              <w:rPr>
                <w:sz w:val="16"/>
                <w:szCs w:val="16"/>
              </w:rPr>
              <w:t>10 500.0</w:t>
            </w:r>
          </w:p>
        </w:tc>
        <w:tc>
          <w:tcPr>
            <w:tcW w:w="983" w:type="dxa"/>
            <w:tcBorders>
              <w:top w:val="nil"/>
              <w:left w:val="single" w:sz="4" w:space="0" w:color="auto"/>
              <w:bottom w:val="nil"/>
              <w:right w:val="single" w:sz="4" w:space="0" w:color="auto"/>
            </w:tcBorders>
            <w:shd w:val="clear" w:color="auto" w:fill="auto"/>
          </w:tcPr>
          <w:p w14:paraId="6C3784DC" w14:textId="77777777" w:rsidR="00191E41" w:rsidRPr="00191E41" w:rsidRDefault="00191E41" w:rsidP="00191E41">
            <w:pPr>
              <w:ind w:right="57"/>
              <w:jc w:val="right"/>
              <w:rPr>
                <w:sz w:val="16"/>
                <w:szCs w:val="16"/>
              </w:rPr>
            </w:pPr>
            <w:r w:rsidRPr="00191E41">
              <w:rPr>
                <w:sz w:val="16"/>
                <w:szCs w:val="16"/>
              </w:rPr>
              <w:t>36 650.0</w:t>
            </w:r>
          </w:p>
        </w:tc>
        <w:tc>
          <w:tcPr>
            <w:tcW w:w="1002" w:type="dxa"/>
            <w:tcBorders>
              <w:top w:val="nil"/>
              <w:left w:val="single" w:sz="4" w:space="0" w:color="auto"/>
              <w:bottom w:val="nil"/>
              <w:right w:val="single" w:sz="4" w:space="0" w:color="auto"/>
            </w:tcBorders>
            <w:shd w:val="clear" w:color="auto" w:fill="auto"/>
          </w:tcPr>
          <w:p w14:paraId="28F0D9C5" w14:textId="77777777" w:rsidR="00191E41" w:rsidRPr="00191E41" w:rsidRDefault="00191E41" w:rsidP="00191E41">
            <w:pPr>
              <w:ind w:right="113"/>
              <w:jc w:val="right"/>
              <w:rPr>
                <w:sz w:val="16"/>
                <w:szCs w:val="16"/>
              </w:rPr>
            </w:pPr>
            <w:r w:rsidRPr="00191E41">
              <w:rPr>
                <w:sz w:val="16"/>
                <w:szCs w:val="16"/>
              </w:rPr>
              <w:t>40 150.0</w:t>
            </w:r>
          </w:p>
        </w:tc>
        <w:tc>
          <w:tcPr>
            <w:tcW w:w="992" w:type="dxa"/>
            <w:tcBorders>
              <w:top w:val="nil"/>
              <w:left w:val="single" w:sz="4" w:space="0" w:color="auto"/>
              <w:bottom w:val="nil"/>
              <w:right w:val="single" w:sz="4" w:space="0" w:color="auto"/>
            </w:tcBorders>
            <w:shd w:val="clear" w:color="auto" w:fill="auto"/>
          </w:tcPr>
          <w:p w14:paraId="3ADF1922" w14:textId="77777777" w:rsidR="00191E41" w:rsidRPr="00191E41" w:rsidRDefault="00191E41" w:rsidP="00191E41">
            <w:pPr>
              <w:ind w:right="57"/>
              <w:jc w:val="right"/>
              <w:rPr>
                <w:sz w:val="16"/>
                <w:szCs w:val="16"/>
              </w:rPr>
            </w:pPr>
            <w:r w:rsidRPr="00191E41">
              <w:rPr>
                <w:sz w:val="16"/>
                <w:szCs w:val="16"/>
              </w:rPr>
              <w:t>-3 500.0</w:t>
            </w:r>
          </w:p>
        </w:tc>
        <w:tc>
          <w:tcPr>
            <w:tcW w:w="938" w:type="dxa"/>
            <w:tcBorders>
              <w:top w:val="nil"/>
              <w:left w:val="single" w:sz="4" w:space="0" w:color="auto"/>
              <w:bottom w:val="nil"/>
              <w:right w:val="single" w:sz="4" w:space="0" w:color="auto"/>
            </w:tcBorders>
            <w:shd w:val="clear" w:color="auto" w:fill="auto"/>
          </w:tcPr>
          <w:p w14:paraId="1BD3FA88" w14:textId="77777777" w:rsidR="00191E41" w:rsidRPr="00191E41" w:rsidRDefault="00191E41" w:rsidP="00191E41">
            <w:pPr>
              <w:ind w:right="57"/>
              <w:jc w:val="right"/>
              <w:rPr>
                <w:sz w:val="16"/>
                <w:szCs w:val="16"/>
              </w:rPr>
            </w:pPr>
            <w:r w:rsidRPr="00191E41">
              <w:rPr>
                <w:sz w:val="16"/>
                <w:szCs w:val="16"/>
              </w:rPr>
              <w:t>0.0</w:t>
            </w:r>
          </w:p>
        </w:tc>
        <w:tc>
          <w:tcPr>
            <w:tcW w:w="1028" w:type="dxa"/>
            <w:tcBorders>
              <w:top w:val="nil"/>
              <w:left w:val="single" w:sz="4" w:space="0" w:color="auto"/>
              <w:bottom w:val="nil"/>
            </w:tcBorders>
            <w:shd w:val="clear" w:color="auto" w:fill="auto"/>
          </w:tcPr>
          <w:p w14:paraId="2E3EEA55" w14:textId="77777777" w:rsidR="00191E41" w:rsidRPr="00191E41" w:rsidRDefault="00191E41" w:rsidP="00191E41">
            <w:pPr>
              <w:jc w:val="right"/>
              <w:rPr>
                <w:sz w:val="16"/>
                <w:szCs w:val="16"/>
              </w:rPr>
            </w:pPr>
            <w:r w:rsidRPr="00191E41">
              <w:rPr>
                <w:sz w:val="16"/>
                <w:szCs w:val="16"/>
              </w:rPr>
              <w:t>7 000.0</w:t>
            </w:r>
          </w:p>
        </w:tc>
      </w:tr>
      <w:tr w:rsidR="00191E41" w:rsidRPr="00191E41" w14:paraId="74A5BEA2" w14:textId="77777777" w:rsidTr="001E7D79">
        <w:trPr>
          <w:jc w:val="center"/>
        </w:trPr>
        <w:tc>
          <w:tcPr>
            <w:tcW w:w="2910" w:type="dxa"/>
            <w:tcBorders>
              <w:top w:val="nil"/>
              <w:bottom w:val="nil"/>
              <w:right w:val="single" w:sz="4" w:space="0" w:color="auto"/>
            </w:tcBorders>
            <w:shd w:val="clear" w:color="auto" w:fill="auto"/>
          </w:tcPr>
          <w:p w14:paraId="12F1B54B" w14:textId="77777777" w:rsidR="00191E41" w:rsidRPr="00191E41" w:rsidRDefault="00191E41" w:rsidP="00191E41">
            <w:pPr>
              <w:ind w:left="170"/>
              <w:rPr>
                <w:rFonts w:eastAsia="Times New Roman"/>
                <w:b/>
                <w:sz w:val="16"/>
                <w:szCs w:val="16"/>
              </w:rPr>
            </w:pPr>
            <w:r w:rsidRPr="00191E41">
              <w:rPr>
                <w:rFonts w:eastAsia="Times New Roman"/>
                <w:b/>
                <w:sz w:val="16"/>
                <w:szCs w:val="16"/>
              </w:rPr>
              <w:t>Por fuentes de financiamiento</w:t>
            </w:r>
          </w:p>
        </w:tc>
        <w:tc>
          <w:tcPr>
            <w:tcW w:w="1134" w:type="dxa"/>
            <w:tcBorders>
              <w:top w:val="nil"/>
              <w:left w:val="single" w:sz="4" w:space="0" w:color="auto"/>
              <w:bottom w:val="nil"/>
              <w:right w:val="single" w:sz="4" w:space="0" w:color="auto"/>
            </w:tcBorders>
            <w:shd w:val="clear" w:color="auto" w:fill="auto"/>
          </w:tcPr>
          <w:p w14:paraId="5DC4B757" w14:textId="77777777" w:rsidR="00191E41" w:rsidRPr="00191E41" w:rsidRDefault="00191E41" w:rsidP="00191E41">
            <w:pPr>
              <w:ind w:right="113"/>
              <w:jc w:val="right"/>
              <w:rPr>
                <w:b/>
                <w:sz w:val="16"/>
                <w:szCs w:val="16"/>
              </w:rPr>
            </w:pPr>
            <w:r w:rsidRPr="00191E41">
              <w:rPr>
                <w:b/>
                <w:sz w:val="16"/>
                <w:szCs w:val="16"/>
              </w:rPr>
              <w:t>5 049 533.3</w:t>
            </w:r>
          </w:p>
        </w:tc>
        <w:tc>
          <w:tcPr>
            <w:tcW w:w="983" w:type="dxa"/>
            <w:tcBorders>
              <w:top w:val="nil"/>
              <w:left w:val="single" w:sz="4" w:space="0" w:color="auto"/>
              <w:bottom w:val="nil"/>
              <w:right w:val="single" w:sz="4" w:space="0" w:color="auto"/>
            </w:tcBorders>
            <w:shd w:val="clear" w:color="auto" w:fill="auto"/>
          </w:tcPr>
          <w:p w14:paraId="5EBA6E2E" w14:textId="77777777" w:rsidR="00191E41" w:rsidRPr="00191E41" w:rsidRDefault="00191E41" w:rsidP="00191E41">
            <w:pPr>
              <w:ind w:right="57"/>
              <w:jc w:val="right"/>
              <w:rPr>
                <w:b/>
                <w:sz w:val="16"/>
                <w:szCs w:val="16"/>
              </w:rPr>
            </w:pPr>
            <w:r w:rsidRPr="00191E41">
              <w:rPr>
                <w:b/>
                <w:sz w:val="16"/>
                <w:szCs w:val="16"/>
              </w:rPr>
              <w:t>271 749.9</w:t>
            </w:r>
          </w:p>
        </w:tc>
        <w:tc>
          <w:tcPr>
            <w:tcW w:w="1002" w:type="dxa"/>
            <w:tcBorders>
              <w:top w:val="nil"/>
              <w:left w:val="single" w:sz="4" w:space="0" w:color="auto"/>
              <w:bottom w:val="nil"/>
              <w:right w:val="single" w:sz="4" w:space="0" w:color="auto"/>
            </w:tcBorders>
            <w:shd w:val="clear" w:color="auto" w:fill="auto"/>
          </w:tcPr>
          <w:p w14:paraId="3121B1EE" w14:textId="77777777" w:rsidR="00191E41" w:rsidRPr="00191E41" w:rsidRDefault="00191E41" w:rsidP="00191E41">
            <w:pPr>
              <w:ind w:right="113"/>
              <w:jc w:val="right"/>
              <w:rPr>
                <w:b/>
                <w:sz w:val="16"/>
                <w:szCs w:val="16"/>
              </w:rPr>
            </w:pPr>
            <w:r w:rsidRPr="00191E41">
              <w:rPr>
                <w:b/>
                <w:sz w:val="16"/>
                <w:szCs w:val="16"/>
              </w:rPr>
              <w:t>210 127.6</w:t>
            </w:r>
          </w:p>
        </w:tc>
        <w:tc>
          <w:tcPr>
            <w:tcW w:w="992" w:type="dxa"/>
            <w:tcBorders>
              <w:top w:val="nil"/>
              <w:left w:val="single" w:sz="4" w:space="0" w:color="auto"/>
              <w:bottom w:val="nil"/>
              <w:right w:val="single" w:sz="4" w:space="0" w:color="auto"/>
            </w:tcBorders>
            <w:shd w:val="clear" w:color="auto" w:fill="auto"/>
          </w:tcPr>
          <w:p w14:paraId="74B3BB6B" w14:textId="77777777" w:rsidR="00191E41" w:rsidRPr="00191E41" w:rsidRDefault="00191E41" w:rsidP="00191E41">
            <w:pPr>
              <w:ind w:right="57"/>
              <w:jc w:val="right"/>
              <w:rPr>
                <w:b/>
                <w:sz w:val="16"/>
                <w:szCs w:val="16"/>
              </w:rPr>
            </w:pPr>
            <w:r w:rsidRPr="00191E41">
              <w:rPr>
                <w:b/>
                <w:sz w:val="16"/>
                <w:szCs w:val="16"/>
              </w:rPr>
              <w:t>61 667.3</w:t>
            </w:r>
          </w:p>
        </w:tc>
        <w:tc>
          <w:tcPr>
            <w:tcW w:w="938" w:type="dxa"/>
            <w:tcBorders>
              <w:top w:val="nil"/>
              <w:left w:val="single" w:sz="4" w:space="0" w:color="auto"/>
              <w:bottom w:val="nil"/>
              <w:right w:val="single" w:sz="4" w:space="0" w:color="auto"/>
            </w:tcBorders>
            <w:shd w:val="clear" w:color="auto" w:fill="auto"/>
          </w:tcPr>
          <w:p w14:paraId="2E29EE69" w14:textId="77777777" w:rsidR="00191E41" w:rsidRPr="00191E41" w:rsidRDefault="00191E41" w:rsidP="00191E41">
            <w:pPr>
              <w:ind w:right="57"/>
              <w:jc w:val="right"/>
              <w:rPr>
                <w:b/>
                <w:sz w:val="16"/>
                <w:szCs w:val="16"/>
              </w:rPr>
            </w:pPr>
            <w:r w:rsidRPr="00191E41">
              <w:rPr>
                <w:b/>
                <w:sz w:val="16"/>
                <w:szCs w:val="16"/>
              </w:rPr>
              <w:t>3 256.8</w:t>
            </w:r>
          </w:p>
        </w:tc>
        <w:tc>
          <w:tcPr>
            <w:tcW w:w="1028" w:type="dxa"/>
            <w:tcBorders>
              <w:top w:val="nil"/>
              <w:left w:val="single" w:sz="4" w:space="0" w:color="auto"/>
              <w:bottom w:val="nil"/>
            </w:tcBorders>
            <w:shd w:val="clear" w:color="auto" w:fill="auto"/>
          </w:tcPr>
          <w:p w14:paraId="19ABF369" w14:textId="77777777" w:rsidR="00191E41" w:rsidRPr="00191E41" w:rsidRDefault="00191E41" w:rsidP="00191E41">
            <w:pPr>
              <w:jc w:val="right"/>
              <w:rPr>
                <w:b/>
                <w:sz w:val="16"/>
                <w:szCs w:val="16"/>
              </w:rPr>
            </w:pPr>
            <w:r w:rsidRPr="00191E41">
              <w:rPr>
                <w:b/>
                <w:sz w:val="16"/>
                <w:szCs w:val="16"/>
              </w:rPr>
              <w:t>5 114 457.4</w:t>
            </w:r>
          </w:p>
        </w:tc>
      </w:tr>
      <w:tr w:rsidR="00191E41" w:rsidRPr="00191E41" w14:paraId="07D4E326" w14:textId="77777777" w:rsidTr="001E7D79">
        <w:trPr>
          <w:jc w:val="center"/>
        </w:trPr>
        <w:tc>
          <w:tcPr>
            <w:tcW w:w="2910" w:type="dxa"/>
            <w:tcBorders>
              <w:top w:val="nil"/>
              <w:bottom w:val="nil"/>
              <w:right w:val="single" w:sz="4" w:space="0" w:color="auto"/>
            </w:tcBorders>
            <w:shd w:val="clear" w:color="auto" w:fill="auto"/>
          </w:tcPr>
          <w:p w14:paraId="158F5599" w14:textId="77777777" w:rsidR="00191E41" w:rsidRPr="00191E41" w:rsidRDefault="00191E41" w:rsidP="00191E41">
            <w:pPr>
              <w:ind w:left="284"/>
              <w:rPr>
                <w:rFonts w:eastAsia="Times New Roman"/>
                <w:sz w:val="16"/>
                <w:szCs w:val="16"/>
              </w:rPr>
            </w:pPr>
            <w:r w:rsidRPr="00191E41">
              <w:rPr>
                <w:rFonts w:eastAsia="Times New Roman"/>
                <w:sz w:val="16"/>
                <w:szCs w:val="16"/>
              </w:rPr>
              <w:t>Emisión de Valores</w:t>
            </w:r>
          </w:p>
        </w:tc>
        <w:tc>
          <w:tcPr>
            <w:tcW w:w="1134" w:type="dxa"/>
            <w:tcBorders>
              <w:top w:val="nil"/>
              <w:left w:val="single" w:sz="4" w:space="0" w:color="auto"/>
              <w:bottom w:val="nil"/>
              <w:right w:val="single" w:sz="4" w:space="0" w:color="auto"/>
            </w:tcBorders>
            <w:shd w:val="clear" w:color="auto" w:fill="auto"/>
          </w:tcPr>
          <w:p w14:paraId="36D39517" w14:textId="77777777" w:rsidR="00191E41" w:rsidRPr="00191E41" w:rsidRDefault="00191E41" w:rsidP="00191E41">
            <w:pPr>
              <w:ind w:right="113"/>
              <w:jc w:val="right"/>
              <w:rPr>
                <w:sz w:val="16"/>
                <w:szCs w:val="16"/>
              </w:rPr>
            </w:pPr>
            <w:r w:rsidRPr="00191E41">
              <w:rPr>
                <w:sz w:val="16"/>
                <w:szCs w:val="16"/>
              </w:rPr>
              <w:t>4 581 547.3</w:t>
            </w:r>
          </w:p>
        </w:tc>
        <w:tc>
          <w:tcPr>
            <w:tcW w:w="983" w:type="dxa"/>
            <w:tcBorders>
              <w:top w:val="nil"/>
              <w:left w:val="single" w:sz="4" w:space="0" w:color="auto"/>
              <w:bottom w:val="nil"/>
              <w:right w:val="single" w:sz="4" w:space="0" w:color="auto"/>
            </w:tcBorders>
            <w:shd w:val="clear" w:color="auto" w:fill="auto"/>
          </w:tcPr>
          <w:p w14:paraId="6E0B6A45" w14:textId="77777777" w:rsidR="00191E41" w:rsidRPr="00191E41" w:rsidRDefault="00191E41" w:rsidP="00191E41">
            <w:pPr>
              <w:ind w:right="57"/>
              <w:jc w:val="right"/>
              <w:rPr>
                <w:sz w:val="16"/>
                <w:szCs w:val="16"/>
              </w:rPr>
            </w:pPr>
            <w:r w:rsidRPr="00191E41">
              <w:rPr>
                <w:sz w:val="16"/>
                <w:szCs w:val="16"/>
              </w:rPr>
              <w:t>192 796.3</w:t>
            </w:r>
          </w:p>
        </w:tc>
        <w:tc>
          <w:tcPr>
            <w:tcW w:w="1002" w:type="dxa"/>
            <w:tcBorders>
              <w:top w:val="nil"/>
              <w:left w:val="single" w:sz="4" w:space="0" w:color="auto"/>
              <w:bottom w:val="nil"/>
              <w:right w:val="single" w:sz="4" w:space="0" w:color="auto"/>
            </w:tcBorders>
            <w:shd w:val="clear" w:color="auto" w:fill="auto"/>
          </w:tcPr>
          <w:p w14:paraId="46F8CDE1" w14:textId="77777777" w:rsidR="00191E41" w:rsidRPr="00191E41" w:rsidRDefault="00191E41" w:rsidP="00191E41">
            <w:pPr>
              <w:ind w:right="113"/>
              <w:jc w:val="right"/>
              <w:rPr>
                <w:sz w:val="16"/>
                <w:szCs w:val="16"/>
              </w:rPr>
            </w:pPr>
            <w:r w:rsidRPr="00191E41">
              <w:rPr>
                <w:sz w:val="16"/>
                <w:szCs w:val="16"/>
              </w:rPr>
              <w:t>141 027.6</w:t>
            </w:r>
          </w:p>
        </w:tc>
        <w:tc>
          <w:tcPr>
            <w:tcW w:w="992" w:type="dxa"/>
            <w:tcBorders>
              <w:top w:val="nil"/>
              <w:left w:val="single" w:sz="4" w:space="0" w:color="auto"/>
              <w:bottom w:val="nil"/>
              <w:right w:val="single" w:sz="4" w:space="0" w:color="auto"/>
            </w:tcBorders>
            <w:shd w:val="clear" w:color="auto" w:fill="auto"/>
          </w:tcPr>
          <w:p w14:paraId="51FF1178" w14:textId="77777777" w:rsidR="00191E41" w:rsidRPr="00191E41" w:rsidRDefault="00191E41" w:rsidP="00191E41">
            <w:pPr>
              <w:ind w:right="57"/>
              <w:jc w:val="right"/>
              <w:rPr>
                <w:sz w:val="16"/>
                <w:szCs w:val="16"/>
              </w:rPr>
            </w:pPr>
            <w:r w:rsidRPr="00191E41">
              <w:rPr>
                <w:sz w:val="16"/>
                <w:szCs w:val="16"/>
              </w:rPr>
              <w:t>51 768.7</w:t>
            </w:r>
          </w:p>
        </w:tc>
        <w:tc>
          <w:tcPr>
            <w:tcW w:w="938" w:type="dxa"/>
            <w:tcBorders>
              <w:top w:val="nil"/>
              <w:left w:val="single" w:sz="4" w:space="0" w:color="auto"/>
              <w:bottom w:val="nil"/>
              <w:right w:val="single" w:sz="4" w:space="0" w:color="auto"/>
            </w:tcBorders>
            <w:shd w:val="clear" w:color="auto" w:fill="auto"/>
          </w:tcPr>
          <w:p w14:paraId="414E158A" w14:textId="77777777" w:rsidR="00191E41" w:rsidRPr="00191E41" w:rsidRDefault="00191E41" w:rsidP="00191E41">
            <w:pPr>
              <w:ind w:right="57"/>
              <w:jc w:val="right"/>
              <w:rPr>
                <w:sz w:val="16"/>
                <w:szCs w:val="16"/>
              </w:rPr>
            </w:pPr>
            <w:r w:rsidRPr="00191E41">
              <w:rPr>
                <w:sz w:val="16"/>
                <w:szCs w:val="16"/>
              </w:rPr>
              <w:t>3 239.8</w:t>
            </w:r>
          </w:p>
        </w:tc>
        <w:tc>
          <w:tcPr>
            <w:tcW w:w="1028" w:type="dxa"/>
            <w:tcBorders>
              <w:top w:val="nil"/>
              <w:left w:val="single" w:sz="4" w:space="0" w:color="auto"/>
              <w:bottom w:val="nil"/>
            </w:tcBorders>
            <w:shd w:val="clear" w:color="auto" w:fill="auto"/>
          </w:tcPr>
          <w:p w14:paraId="6B9D2D04" w14:textId="77777777" w:rsidR="00191E41" w:rsidRPr="00191E41" w:rsidRDefault="00191E41" w:rsidP="00191E41">
            <w:pPr>
              <w:jc w:val="right"/>
              <w:rPr>
                <w:sz w:val="16"/>
                <w:szCs w:val="16"/>
              </w:rPr>
            </w:pPr>
            <w:r w:rsidRPr="00191E41">
              <w:rPr>
                <w:sz w:val="16"/>
                <w:szCs w:val="16"/>
              </w:rPr>
              <w:t>4 636 555.8</w:t>
            </w:r>
          </w:p>
        </w:tc>
      </w:tr>
      <w:tr w:rsidR="00191E41" w:rsidRPr="00191E41" w14:paraId="08FF4FEF" w14:textId="77777777" w:rsidTr="001E7D79">
        <w:trPr>
          <w:jc w:val="center"/>
        </w:trPr>
        <w:tc>
          <w:tcPr>
            <w:tcW w:w="2910" w:type="dxa"/>
            <w:tcBorders>
              <w:top w:val="nil"/>
              <w:bottom w:val="nil"/>
              <w:right w:val="single" w:sz="4" w:space="0" w:color="auto"/>
            </w:tcBorders>
            <w:shd w:val="clear" w:color="auto" w:fill="auto"/>
          </w:tcPr>
          <w:p w14:paraId="0D1AE37A" w14:textId="77777777" w:rsidR="00191E41" w:rsidRPr="00191E41" w:rsidRDefault="00191E41" w:rsidP="00191E41">
            <w:pPr>
              <w:ind w:left="284"/>
              <w:rPr>
                <w:rFonts w:eastAsia="Times New Roman"/>
                <w:sz w:val="16"/>
                <w:szCs w:val="16"/>
              </w:rPr>
            </w:pPr>
            <w:r w:rsidRPr="00191E41">
              <w:rPr>
                <w:rFonts w:eastAsia="Times New Roman"/>
                <w:sz w:val="16"/>
                <w:szCs w:val="16"/>
              </w:rPr>
              <w:t>Fondo de Ahorro SAR</w:t>
            </w:r>
          </w:p>
        </w:tc>
        <w:tc>
          <w:tcPr>
            <w:tcW w:w="1134" w:type="dxa"/>
            <w:tcBorders>
              <w:top w:val="nil"/>
              <w:left w:val="single" w:sz="4" w:space="0" w:color="auto"/>
              <w:bottom w:val="nil"/>
              <w:right w:val="single" w:sz="4" w:space="0" w:color="auto"/>
            </w:tcBorders>
            <w:shd w:val="clear" w:color="auto" w:fill="auto"/>
          </w:tcPr>
          <w:p w14:paraId="5B957B69" w14:textId="77777777" w:rsidR="00191E41" w:rsidRPr="00191E41" w:rsidRDefault="00191E41" w:rsidP="00191E41">
            <w:pPr>
              <w:ind w:right="113"/>
              <w:jc w:val="right"/>
              <w:rPr>
                <w:sz w:val="16"/>
                <w:szCs w:val="16"/>
              </w:rPr>
            </w:pPr>
            <w:r w:rsidRPr="00191E41">
              <w:rPr>
                <w:sz w:val="16"/>
                <w:szCs w:val="16"/>
              </w:rPr>
              <w:t>98 018.4</w:t>
            </w:r>
          </w:p>
        </w:tc>
        <w:tc>
          <w:tcPr>
            <w:tcW w:w="983" w:type="dxa"/>
            <w:tcBorders>
              <w:top w:val="nil"/>
              <w:left w:val="single" w:sz="4" w:space="0" w:color="auto"/>
              <w:bottom w:val="nil"/>
              <w:right w:val="single" w:sz="4" w:space="0" w:color="auto"/>
            </w:tcBorders>
            <w:shd w:val="clear" w:color="auto" w:fill="auto"/>
          </w:tcPr>
          <w:p w14:paraId="10AC5EE9" w14:textId="77777777" w:rsidR="00191E41" w:rsidRPr="00191E41" w:rsidRDefault="00191E41" w:rsidP="00191E41">
            <w:pPr>
              <w:ind w:right="57"/>
              <w:jc w:val="right"/>
              <w:rPr>
                <w:sz w:val="16"/>
                <w:szCs w:val="16"/>
              </w:rPr>
            </w:pPr>
            <w:r w:rsidRPr="00191E41">
              <w:rPr>
                <w:sz w:val="16"/>
                <w:szCs w:val="16"/>
              </w:rPr>
              <w:t>23 881.2</w:t>
            </w:r>
          </w:p>
        </w:tc>
        <w:tc>
          <w:tcPr>
            <w:tcW w:w="1002" w:type="dxa"/>
            <w:tcBorders>
              <w:top w:val="nil"/>
              <w:left w:val="single" w:sz="4" w:space="0" w:color="auto"/>
              <w:bottom w:val="nil"/>
              <w:right w:val="single" w:sz="4" w:space="0" w:color="auto"/>
            </w:tcBorders>
            <w:shd w:val="clear" w:color="auto" w:fill="auto"/>
          </w:tcPr>
          <w:p w14:paraId="3FC1DC79" w14:textId="77777777" w:rsidR="00191E41" w:rsidRPr="00191E41" w:rsidRDefault="00191E41" w:rsidP="00191E41">
            <w:pPr>
              <w:ind w:right="113"/>
              <w:jc w:val="right"/>
              <w:rPr>
                <w:sz w:val="16"/>
                <w:szCs w:val="16"/>
              </w:rPr>
            </w:pPr>
            <w:r w:rsidRPr="00191E41">
              <w:rPr>
                <w:sz w:val="16"/>
                <w:szCs w:val="16"/>
              </w:rPr>
              <w:t>20 249.2</w:t>
            </w:r>
          </w:p>
        </w:tc>
        <w:tc>
          <w:tcPr>
            <w:tcW w:w="992" w:type="dxa"/>
            <w:tcBorders>
              <w:top w:val="nil"/>
              <w:left w:val="single" w:sz="4" w:space="0" w:color="auto"/>
              <w:bottom w:val="nil"/>
              <w:right w:val="single" w:sz="4" w:space="0" w:color="auto"/>
            </w:tcBorders>
            <w:shd w:val="clear" w:color="auto" w:fill="auto"/>
          </w:tcPr>
          <w:p w14:paraId="0B33E0E8" w14:textId="77777777" w:rsidR="00191E41" w:rsidRPr="00191E41" w:rsidRDefault="00191E41" w:rsidP="00191E41">
            <w:pPr>
              <w:ind w:right="57"/>
              <w:jc w:val="right"/>
              <w:rPr>
                <w:sz w:val="16"/>
                <w:szCs w:val="16"/>
              </w:rPr>
            </w:pPr>
            <w:r w:rsidRPr="00191E41">
              <w:rPr>
                <w:sz w:val="16"/>
                <w:szCs w:val="16"/>
              </w:rPr>
              <w:t>3 632.0</w:t>
            </w:r>
          </w:p>
        </w:tc>
        <w:tc>
          <w:tcPr>
            <w:tcW w:w="938" w:type="dxa"/>
            <w:tcBorders>
              <w:top w:val="nil"/>
              <w:left w:val="single" w:sz="4" w:space="0" w:color="auto"/>
              <w:bottom w:val="nil"/>
              <w:right w:val="single" w:sz="4" w:space="0" w:color="auto"/>
            </w:tcBorders>
            <w:shd w:val="clear" w:color="auto" w:fill="auto"/>
          </w:tcPr>
          <w:p w14:paraId="6047DAAD" w14:textId="77777777" w:rsidR="00191E41" w:rsidRPr="00191E41" w:rsidRDefault="00191E41" w:rsidP="00191E41">
            <w:pPr>
              <w:ind w:right="57"/>
              <w:jc w:val="right"/>
              <w:rPr>
                <w:sz w:val="16"/>
                <w:szCs w:val="16"/>
              </w:rPr>
            </w:pPr>
            <w:r w:rsidRPr="00191E41">
              <w:rPr>
                <w:sz w:val="16"/>
                <w:szCs w:val="16"/>
              </w:rPr>
              <w:t>788.6</w:t>
            </w:r>
          </w:p>
        </w:tc>
        <w:tc>
          <w:tcPr>
            <w:tcW w:w="1028" w:type="dxa"/>
            <w:tcBorders>
              <w:top w:val="nil"/>
              <w:left w:val="single" w:sz="4" w:space="0" w:color="auto"/>
              <w:bottom w:val="nil"/>
            </w:tcBorders>
            <w:shd w:val="clear" w:color="auto" w:fill="auto"/>
          </w:tcPr>
          <w:p w14:paraId="3F9D1A1B" w14:textId="77777777" w:rsidR="00191E41" w:rsidRPr="00191E41" w:rsidRDefault="00191E41" w:rsidP="00191E41">
            <w:pPr>
              <w:jc w:val="right"/>
              <w:rPr>
                <w:sz w:val="16"/>
                <w:szCs w:val="16"/>
              </w:rPr>
            </w:pPr>
            <w:r w:rsidRPr="00191E41">
              <w:rPr>
                <w:sz w:val="16"/>
                <w:szCs w:val="16"/>
              </w:rPr>
              <w:t>102 439.0</w:t>
            </w:r>
          </w:p>
        </w:tc>
      </w:tr>
      <w:tr w:rsidR="00191E41" w:rsidRPr="00191E41" w14:paraId="4DEA7EA5" w14:textId="77777777" w:rsidTr="001E7D79">
        <w:trPr>
          <w:jc w:val="center"/>
        </w:trPr>
        <w:tc>
          <w:tcPr>
            <w:tcW w:w="2910" w:type="dxa"/>
            <w:tcBorders>
              <w:top w:val="nil"/>
              <w:bottom w:val="nil"/>
              <w:right w:val="single" w:sz="4" w:space="0" w:color="auto"/>
            </w:tcBorders>
            <w:shd w:val="clear" w:color="auto" w:fill="auto"/>
          </w:tcPr>
          <w:p w14:paraId="45AA3A4C" w14:textId="77777777" w:rsidR="00191E41" w:rsidRPr="00191E41" w:rsidRDefault="00191E41" w:rsidP="00191E41">
            <w:pPr>
              <w:ind w:left="284"/>
              <w:rPr>
                <w:rFonts w:eastAsia="Times New Roman"/>
                <w:sz w:val="16"/>
                <w:szCs w:val="16"/>
              </w:rPr>
            </w:pPr>
            <w:r w:rsidRPr="00191E41">
              <w:rPr>
                <w:rFonts w:eastAsia="Times New Roman"/>
                <w:sz w:val="16"/>
                <w:szCs w:val="16"/>
              </w:rPr>
              <w:t>Banca Comercial</w:t>
            </w:r>
          </w:p>
        </w:tc>
        <w:tc>
          <w:tcPr>
            <w:tcW w:w="1134" w:type="dxa"/>
            <w:tcBorders>
              <w:top w:val="nil"/>
              <w:left w:val="single" w:sz="4" w:space="0" w:color="auto"/>
              <w:bottom w:val="nil"/>
              <w:right w:val="single" w:sz="4" w:space="0" w:color="auto"/>
            </w:tcBorders>
            <w:shd w:val="clear" w:color="auto" w:fill="auto"/>
          </w:tcPr>
          <w:p w14:paraId="2E8B5179" w14:textId="77777777" w:rsidR="00191E41" w:rsidRPr="00191E41" w:rsidRDefault="00191E41" w:rsidP="00191E41">
            <w:pPr>
              <w:ind w:right="113"/>
              <w:jc w:val="right"/>
              <w:rPr>
                <w:sz w:val="16"/>
                <w:szCs w:val="16"/>
              </w:rPr>
            </w:pPr>
            <w:r w:rsidRPr="00191E41">
              <w:rPr>
                <w:sz w:val="16"/>
                <w:szCs w:val="16"/>
              </w:rPr>
              <w:t>123 929.7</w:t>
            </w:r>
          </w:p>
        </w:tc>
        <w:tc>
          <w:tcPr>
            <w:tcW w:w="983" w:type="dxa"/>
            <w:tcBorders>
              <w:top w:val="nil"/>
              <w:left w:val="single" w:sz="4" w:space="0" w:color="auto"/>
              <w:bottom w:val="nil"/>
              <w:right w:val="single" w:sz="4" w:space="0" w:color="auto"/>
            </w:tcBorders>
            <w:shd w:val="clear" w:color="auto" w:fill="auto"/>
          </w:tcPr>
          <w:p w14:paraId="31C15CF5" w14:textId="77777777" w:rsidR="00191E41" w:rsidRPr="00191E41" w:rsidRDefault="00191E41" w:rsidP="00191E41">
            <w:pPr>
              <w:ind w:right="57"/>
              <w:jc w:val="right"/>
              <w:rPr>
                <w:sz w:val="16"/>
                <w:szCs w:val="16"/>
              </w:rPr>
            </w:pPr>
            <w:r w:rsidRPr="00191E41">
              <w:rPr>
                <w:sz w:val="16"/>
                <w:szCs w:val="16"/>
              </w:rPr>
              <w:t>7 000.2</w:t>
            </w:r>
          </w:p>
        </w:tc>
        <w:tc>
          <w:tcPr>
            <w:tcW w:w="1002" w:type="dxa"/>
            <w:tcBorders>
              <w:top w:val="nil"/>
              <w:left w:val="single" w:sz="4" w:space="0" w:color="auto"/>
              <w:bottom w:val="nil"/>
              <w:right w:val="single" w:sz="4" w:space="0" w:color="auto"/>
            </w:tcBorders>
            <w:shd w:val="clear" w:color="auto" w:fill="auto"/>
          </w:tcPr>
          <w:p w14:paraId="62180037" w14:textId="77777777" w:rsidR="00191E41" w:rsidRPr="00191E41" w:rsidRDefault="00191E41" w:rsidP="00191E41">
            <w:pPr>
              <w:ind w:right="113"/>
              <w:jc w:val="right"/>
              <w:rPr>
                <w:sz w:val="16"/>
                <w:szCs w:val="16"/>
              </w:rPr>
            </w:pPr>
            <w:r w:rsidRPr="00191E41">
              <w:rPr>
                <w:sz w:val="16"/>
                <w:szCs w:val="16"/>
              </w:rPr>
              <w:t>3 250.0</w:t>
            </w:r>
          </w:p>
        </w:tc>
        <w:tc>
          <w:tcPr>
            <w:tcW w:w="992" w:type="dxa"/>
            <w:tcBorders>
              <w:top w:val="nil"/>
              <w:left w:val="single" w:sz="4" w:space="0" w:color="auto"/>
              <w:bottom w:val="nil"/>
              <w:right w:val="single" w:sz="4" w:space="0" w:color="auto"/>
            </w:tcBorders>
            <w:shd w:val="clear" w:color="auto" w:fill="auto"/>
          </w:tcPr>
          <w:p w14:paraId="4DCD1652" w14:textId="77777777" w:rsidR="00191E41" w:rsidRPr="00191E41" w:rsidRDefault="00191E41" w:rsidP="00191E41">
            <w:pPr>
              <w:ind w:right="57"/>
              <w:jc w:val="right"/>
              <w:rPr>
                <w:sz w:val="16"/>
                <w:szCs w:val="16"/>
              </w:rPr>
            </w:pPr>
            <w:r w:rsidRPr="00191E41">
              <w:rPr>
                <w:sz w:val="16"/>
                <w:szCs w:val="16"/>
              </w:rPr>
              <w:t>3 750.2</w:t>
            </w:r>
          </w:p>
        </w:tc>
        <w:tc>
          <w:tcPr>
            <w:tcW w:w="938" w:type="dxa"/>
            <w:tcBorders>
              <w:top w:val="nil"/>
              <w:left w:val="single" w:sz="4" w:space="0" w:color="auto"/>
              <w:bottom w:val="nil"/>
              <w:right w:val="single" w:sz="4" w:space="0" w:color="auto"/>
            </w:tcBorders>
            <w:shd w:val="clear" w:color="auto" w:fill="auto"/>
          </w:tcPr>
          <w:p w14:paraId="4FDE278C" w14:textId="77777777" w:rsidR="00191E41" w:rsidRPr="00191E41" w:rsidRDefault="00191E41" w:rsidP="00191E41">
            <w:pPr>
              <w:ind w:right="57"/>
              <w:jc w:val="right"/>
              <w:rPr>
                <w:sz w:val="16"/>
                <w:szCs w:val="16"/>
              </w:rPr>
            </w:pPr>
            <w:r w:rsidRPr="00191E41">
              <w:rPr>
                <w:sz w:val="16"/>
                <w:szCs w:val="16"/>
              </w:rPr>
              <w:t>-2.7</w:t>
            </w:r>
          </w:p>
        </w:tc>
        <w:tc>
          <w:tcPr>
            <w:tcW w:w="1028" w:type="dxa"/>
            <w:tcBorders>
              <w:top w:val="nil"/>
              <w:left w:val="single" w:sz="4" w:space="0" w:color="auto"/>
              <w:bottom w:val="nil"/>
            </w:tcBorders>
            <w:shd w:val="clear" w:color="auto" w:fill="auto"/>
          </w:tcPr>
          <w:p w14:paraId="18A004F2" w14:textId="77777777" w:rsidR="00191E41" w:rsidRPr="00191E41" w:rsidRDefault="00191E41" w:rsidP="00191E41">
            <w:pPr>
              <w:jc w:val="right"/>
              <w:rPr>
                <w:sz w:val="16"/>
                <w:szCs w:val="16"/>
              </w:rPr>
            </w:pPr>
            <w:r w:rsidRPr="00191E41">
              <w:rPr>
                <w:sz w:val="16"/>
                <w:szCs w:val="16"/>
              </w:rPr>
              <w:t>127 677.2</w:t>
            </w:r>
          </w:p>
        </w:tc>
      </w:tr>
      <w:tr w:rsidR="00191E41" w:rsidRPr="00191E41" w14:paraId="5E8C5CCA" w14:textId="77777777" w:rsidTr="001E7D79">
        <w:trPr>
          <w:jc w:val="center"/>
        </w:trPr>
        <w:tc>
          <w:tcPr>
            <w:tcW w:w="2910" w:type="dxa"/>
            <w:tcBorders>
              <w:top w:val="nil"/>
              <w:bottom w:val="nil"/>
              <w:right w:val="single" w:sz="4" w:space="0" w:color="auto"/>
            </w:tcBorders>
            <w:shd w:val="clear" w:color="auto" w:fill="auto"/>
          </w:tcPr>
          <w:p w14:paraId="38096BC4" w14:textId="77777777" w:rsidR="00191E41" w:rsidRPr="00191E41" w:rsidRDefault="00191E41" w:rsidP="00191E41">
            <w:pPr>
              <w:ind w:left="284"/>
              <w:rPr>
                <w:rFonts w:eastAsia="Times New Roman"/>
                <w:sz w:val="16"/>
                <w:szCs w:val="16"/>
              </w:rPr>
            </w:pPr>
            <w:r w:rsidRPr="00191E41">
              <w:rPr>
                <w:rFonts w:eastAsia="Times New Roman"/>
                <w:sz w:val="16"/>
                <w:szCs w:val="16"/>
              </w:rPr>
              <w:t>Obligaciones por Ley del ISSSTE</w:t>
            </w:r>
          </w:p>
        </w:tc>
        <w:tc>
          <w:tcPr>
            <w:tcW w:w="1134" w:type="dxa"/>
            <w:tcBorders>
              <w:top w:val="nil"/>
              <w:left w:val="single" w:sz="4" w:space="0" w:color="auto"/>
              <w:bottom w:val="nil"/>
              <w:right w:val="single" w:sz="4" w:space="0" w:color="auto"/>
            </w:tcBorders>
            <w:shd w:val="clear" w:color="auto" w:fill="auto"/>
          </w:tcPr>
          <w:p w14:paraId="5C78004A" w14:textId="77777777" w:rsidR="00191E41" w:rsidRPr="00191E41" w:rsidRDefault="00191E41" w:rsidP="00191E41">
            <w:pPr>
              <w:ind w:right="113"/>
              <w:jc w:val="right"/>
              <w:rPr>
                <w:sz w:val="16"/>
                <w:szCs w:val="16"/>
              </w:rPr>
            </w:pPr>
            <w:r w:rsidRPr="00191E41">
              <w:rPr>
                <w:sz w:val="16"/>
                <w:szCs w:val="16"/>
              </w:rPr>
              <w:t>161 452.0</w:t>
            </w:r>
          </w:p>
        </w:tc>
        <w:tc>
          <w:tcPr>
            <w:tcW w:w="983" w:type="dxa"/>
            <w:tcBorders>
              <w:top w:val="nil"/>
              <w:left w:val="single" w:sz="4" w:space="0" w:color="auto"/>
              <w:bottom w:val="nil"/>
              <w:right w:val="single" w:sz="4" w:space="0" w:color="auto"/>
            </w:tcBorders>
            <w:shd w:val="clear" w:color="auto" w:fill="auto"/>
          </w:tcPr>
          <w:p w14:paraId="02AFF8AB" w14:textId="77777777" w:rsidR="00191E41" w:rsidRPr="00191E41" w:rsidRDefault="00191E41" w:rsidP="00191E41">
            <w:pPr>
              <w:ind w:right="57"/>
              <w:jc w:val="right"/>
              <w:rPr>
                <w:sz w:val="16"/>
                <w:szCs w:val="16"/>
              </w:rPr>
            </w:pPr>
            <w:r w:rsidRPr="00191E41">
              <w:rPr>
                <w:sz w:val="16"/>
                <w:szCs w:val="16"/>
              </w:rPr>
              <w:t>0.7</w:t>
            </w:r>
          </w:p>
        </w:tc>
        <w:tc>
          <w:tcPr>
            <w:tcW w:w="1002" w:type="dxa"/>
            <w:tcBorders>
              <w:top w:val="nil"/>
              <w:left w:val="single" w:sz="4" w:space="0" w:color="auto"/>
              <w:bottom w:val="nil"/>
              <w:right w:val="single" w:sz="4" w:space="0" w:color="auto"/>
            </w:tcBorders>
            <w:shd w:val="clear" w:color="auto" w:fill="auto"/>
          </w:tcPr>
          <w:p w14:paraId="33E36D2C" w14:textId="77777777" w:rsidR="00191E41" w:rsidRPr="00191E41" w:rsidRDefault="00191E41" w:rsidP="00191E41">
            <w:pPr>
              <w:ind w:right="113"/>
              <w:jc w:val="right"/>
              <w:rPr>
                <w:sz w:val="16"/>
                <w:szCs w:val="16"/>
              </w:rPr>
            </w:pPr>
            <w:r w:rsidRPr="00191E41">
              <w:rPr>
                <w:sz w:val="16"/>
                <w:szCs w:val="16"/>
              </w:rPr>
              <w:t>4 207.1</w:t>
            </w:r>
          </w:p>
        </w:tc>
        <w:tc>
          <w:tcPr>
            <w:tcW w:w="992" w:type="dxa"/>
            <w:tcBorders>
              <w:top w:val="nil"/>
              <w:left w:val="single" w:sz="4" w:space="0" w:color="auto"/>
              <w:bottom w:val="nil"/>
              <w:right w:val="single" w:sz="4" w:space="0" w:color="auto"/>
            </w:tcBorders>
            <w:shd w:val="clear" w:color="auto" w:fill="auto"/>
          </w:tcPr>
          <w:p w14:paraId="36DFFB8B" w14:textId="77777777" w:rsidR="00191E41" w:rsidRPr="00191E41" w:rsidRDefault="00191E41" w:rsidP="00191E41">
            <w:pPr>
              <w:ind w:right="57"/>
              <w:jc w:val="right"/>
              <w:rPr>
                <w:sz w:val="16"/>
                <w:szCs w:val="16"/>
              </w:rPr>
            </w:pPr>
            <w:r w:rsidRPr="00191E41">
              <w:rPr>
                <w:sz w:val="16"/>
                <w:szCs w:val="16"/>
              </w:rPr>
              <w:t>-4 206.4</w:t>
            </w:r>
          </w:p>
        </w:tc>
        <w:tc>
          <w:tcPr>
            <w:tcW w:w="938" w:type="dxa"/>
            <w:tcBorders>
              <w:top w:val="nil"/>
              <w:left w:val="single" w:sz="4" w:space="0" w:color="auto"/>
              <w:bottom w:val="nil"/>
              <w:right w:val="single" w:sz="4" w:space="0" w:color="auto"/>
            </w:tcBorders>
            <w:shd w:val="clear" w:color="auto" w:fill="auto"/>
          </w:tcPr>
          <w:p w14:paraId="49C1C3B6" w14:textId="77777777" w:rsidR="00191E41" w:rsidRPr="00191E41" w:rsidRDefault="00191E41" w:rsidP="00191E41">
            <w:pPr>
              <w:ind w:right="57"/>
              <w:jc w:val="right"/>
              <w:rPr>
                <w:sz w:val="16"/>
                <w:szCs w:val="16"/>
              </w:rPr>
            </w:pPr>
            <w:r w:rsidRPr="00191E41">
              <w:rPr>
                <w:sz w:val="16"/>
                <w:szCs w:val="16"/>
              </w:rPr>
              <w:t>486.1</w:t>
            </w:r>
          </w:p>
        </w:tc>
        <w:tc>
          <w:tcPr>
            <w:tcW w:w="1028" w:type="dxa"/>
            <w:tcBorders>
              <w:top w:val="nil"/>
              <w:left w:val="single" w:sz="4" w:space="0" w:color="auto"/>
              <w:bottom w:val="nil"/>
            </w:tcBorders>
            <w:shd w:val="clear" w:color="auto" w:fill="auto"/>
          </w:tcPr>
          <w:p w14:paraId="297DEA25" w14:textId="77777777" w:rsidR="00191E41" w:rsidRPr="00191E41" w:rsidRDefault="00191E41" w:rsidP="00191E41">
            <w:pPr>
              <w:jc w:val="right"/>
              <w:rPr>
                <w:sz w:val="16"/>
                <w:szCs w:val="16"/>
              </w:rPr>
            </w:pPr>
            <w:r w:rsidRPr="00191E41">
              <w:rPr>
                <w:sz w:val="16"/>
                <w:szCs w:val="16"/>
              </w:rPr>
              <w:t>157 731.7</w:t>
            </w:r>
          </w:p>
        </w:tc>
      </w:tr>
      <w:tr w:rsidR="00191E41" w:rsidRPr="00191E41" w14:paraId="0543A0CB" w14:textId="77777777" w:rsidTr="001E7D79">
        <w:trPr>
          <w:jc w:val="center"/>
        </w:trPr>
        <w:tc>
          <w:tcPr>
            <w:tcW w:w="2910" w:type="dxa"/>
            <w:tcBorders>
              <w:top w:val="nil"/>
              <w:bottom w:val="nil"/>
              <w:right w:val="single" w:sz="4" w:space="0" w:color="auto"/>
            </w:tcBorders>
            <w:shd w:val="clear" w:color="auto" w:fill="auto"/>
          </w:tcPr>
          <w:p w14:paraId="49D098EF" w14:textId="77777777" w:rsidR="00191E41" w:rsidRPr="00191E41" w:rsidRDefault="00191E41" w:rsidP="00191E41">
            <w:pPr>
              <w:rPr>
                <w:rFonts w:eastAsia="Times New Roman"/>
                <w:sz w:val="16"/>
                <w:szCs w:val="16"/>
              </w:rPr>
            </w:pPr>
            <w:r w:rsidRPr="00191E41">
              <w:rPr>
                <w:rFonts w:eastAsia="Times New Roman"/>
                <w:sz w:val="16"/>
                <w:szCs w:val="16"/>
              </w:rPr>
              <w:t>Otros</w:t>
            </w:r>
          </w:p>
        </w:tc>
        <w:tc>
          <w:tcPr>
            <w:tcW w:w="1134" w:type="dxa"/>
            <w:tcBorders>
              <w:top w:val="nil"/>
              <w:left w:val="single" w:sz="4" w:space="0" w:color="auto"/>
              <w:bottom w:val="nil"/>
              <w:right w:val="single" w:sz="4" w:space="0" w:color="auto"/>
            </w:tcBorders>
            <w:shd w:val="clear" w:color="auto" w:fill="auto"/>
          </w:tcPr>
          <w:p w14:paraId="6287E3B6" w14:textId="77777777" w:rsidR="00191E41" w:rsidRPr="00191E41" w:rsidRDefault="00191E41" w:rsidP="00191E41">
            <w:pPr>
              <w:ind w:right="113"/>
              <w:jc w:val="right"/>
              <w:rPr>
                <w:sz w:val="16"/>
                <w:szCs w:val="16"/>
              </w:rPr>
            </w:pPr>
            <w:r w:rsidRPr="00191E41">
              <w:rPr>
                <w:sz w:val="16"/>
                <w:szCs w:val="16"/>
              </w:rPr>
              <w:t>84 585.9</w:t>
            </w:r>
          </w:p>
        </w:tc>
        <w:tc>
          <w:tcPr>
            <w:tcW w:w="983" w:type="dxa"/>
            <w:tcBorders>
              <w:top w:val="nil"/>
              <w:left w:val="single" w:sz="4" w:space="0" w:color="auto"/>
              <w:bottom w:val="nil"/>
              <w:right w:val="single" w:sz="4" w:space="0" w:color="auto"/>
            </w:tcBorders>
            <w:shd w:val="clear" w:color="auto" w:fill="auto"/>
          </w:tcPr>
          <w:p w14:paraId="1237A39F" w14:textId="77777777" w:rsidR="00191E41" w:rsidRPr="00191E41" w:rsidRDefault="00191E41" w:rsidP="00191E41">
            <w:pPr>
              <w:ind w:right="57"/>
              <w:jc w:val="right"/>
              <w:rPr>
                <w:sz w:val="16"/>
                <w:szCs w:val="16"/>
              </w:rPr>
            </w:pPr>
            <w:r w:rsidRPr="00191E41">
              <w:rPr>
                <w:sz w:val="16"/>
                <w:szCs w:val="16"/>
              </w:rPr>
              <w:t>48 116.5</w:t>
            </w:r>
          </w:p>
        </w:tc>
        <w:tc>
          <w:tcPr>
            <w:tcW w:w="1002" w:type="dxa"/>
            <w:tcBorders>
              <w:top w:val="nil"/>
              <w:left w:val="single" w:sz="4" w:space="0" w:color="auto"/>
              <w:bottom w:val="nil"/>
              <w:right w:val="single" w:sz="4" w:space="0" w:color="auto"/>
            </w:tcBorders>
            <w:shd w:val="clear" w:color="auto" w:fill="auto"/>
          </w:tcPr>
          <w:p w14:paraId="7B8CD0D1" w14:textId="77777777" w:rsidR="00191E41" w:rsidRPr="00191E41" w:rsidRDefault="00191E41" w:rsidP="00191E41">
            <w:pPr>
              <w:ind w:right="113"/>
              <w:jc w:val="right"/>
              <w:rPr>
                <w:sz w:val="16"/>
                <w:szCs w:val="16"/>
              </w:rPr>
            </w:pPr>
            <w:r w:rsidRPr="00191E41">
              <w:rPr>
                <w:sz w:val="16"/>
                <w:szCs w:val="16"/>
              </w:rPr>
              <w:t>41 393.5</w:t>
            </w:r>
          </w:p>
        </w:tc>
        <w:tc>
          <w:tcPr>
            <w:tcW w:w="992" w:type="dxa"/>
            <w:tcBorders>
              <w:top w:val="nil"/>
              <w:left w:val="single" w:sz="4" w:space="0" w:color="auto"/>
              <w:bottom w:val="nil"/>
              <w:right w:val="single" w:sz="4" w:space="0" w:color="auto"/>
            </w:tcBorders>
            <w:shd w:val="clear" w:color="auto" w:fill="auto"/>
          </w:tcPr>
          <w:p w14:paraId="6433DBC2" w14:textId="77777777" w:rsidR="00191E41" w:rsidRPr="00191E41" w:rsidRDefault="00191E41" w:rsidP="00191E41">
            <w:pPr>
              <w:ind w:right="57"/>
              <w:jc w:val="right"/>
              <w:rPr>
                <w:sz w:val="16"/>
                <w:szCs w:val="16"/>
              </w:rPr>
            </w:pPr>
            <w:r w:rsidRPr="00191E41">
              <w:rPr>
                <w:sz w:val="16"/>
                <w:szCs w:val="16"/>
              </w:rPr>
              <w:t>6 722.8</w:t>
            </w:r>
          </w:p>
        </w:tc>
        <w:tc>
          <w:tcPr>
            <w:tcW w:w="938" w:type="dxa"/>
            <w:tcBorders>
              <w:top w:val="nil"/>
              <w:left w:val="single" w:sz="4" w:space="0" w:color="auto"/>
              <w:bottom w:val="nil"/>
              <w:right w:val="single" w:sz="4" w:space="0" w:color="auto"/>
            </w:tcBorders>
            <w:shd w:val="clear" w:color="auto" w:fill="auto"/>
          </w:tcPr>
          <w:p w14:paraId="348288CE" w14:textId="77777777" w:rsidR="00191E41" w:rsidRPr="00191E41" w:rsidRDefault="00191E41" w:rsidP="00191E41">
            <w:pPr>
              <w:ind w:right="57"/>
              <w:jc w:val="right"/>
              <w:rPr>
                <w:sz w:val="16"/>
                <w:szCs w:val="16"/>
              </w:rPr>
            </w:pPr>
            <w:r w:rsidRPr="00191E41">
              <w:rPr>
                <w:sz w:val="16"/>
                <w:szCs w:val="16"/>
              </w:rPr>
              <w:t>-1 255.0</w:t>
            </w:r>
          </w:p>
        </w:tc>
        <w:tc>
          <w:tcPr>
            <w:tcW w:w="1028" w:type="dxa"/>
            <w:tcBorders>
              <w:top w:val="nil"/>
              <w:left w:val="single" w:sz="4" w:space="0" w:color="auto"/>
              <w:bottom w:val="nil"/>
            </w:tcBorders>
            <w:shd w:val="clear" w:color="auto" w:fill="auto"/>
          </w:tcPr>
          <w:p w14:paraId="0EC70CD3" w14:textId="77777777" w:rsidR="00191E41" w:rsidRPr="00191E41" w:rsidRDefault="00191E41" w:rsidP="00191E41">
            <w:pPr>
              <w:jc w:val="right"/>
              <w:rPr>
                <w:sz w:val="16"/>
                <w:szCs w:val="16"/>
              </w:rPr>
            </w:pPr>
            <w:r w:rsidRPr="00191E41">
              <w:rPr>
                <w:sz w:val="16"/>
                <w:szCs w:val="16"/>
              </w:rPr>
              <w:t>90 053.7</w:t>
            </w:r>
          </w:p>
        </w:tc>
      </w:tr>
      <w:tr w:rsidR="00191E41" w:rsidRPr="00191E41" w14:paraId="53D368CD" w14:textId="77777777" w:rsidTr="001E7D79">
        <w:trPr>
          <w:jc w:val="center"/>
        </w:trPr>
        <w:tc>
          <w:tcPr>
            <w:tcW w:w="8987" w:type="dxa"/>
            <w:gridSpan w:val="7"/>
            <w:tcBorders>
              <w:left w:val="nil"/>
              <w:bottom w:val="nil"/>
              <w:right w:val="nil"/>
            </w:tcBorders>
            <w:shd w:val="clear" w:color="auto" w:fill="auto"/>
          </w:tcPr>
          <w:p w14:paraId="0E7C50AF" w14:textId="77777777" w:rsidR="00191E41" w:rsidRPr="00191E41" w:rsidRDefault="00191E41" w:rsidP="00191E41">
            <w:pPr>
              <w:jc w:val="both"/>
              <w:rPr>
                <w:rFonts w:eastAsia="Times New Roman"/>
                <w:sz w:val="16"/>
                <w:szCs w:val="16"/>
              </w:rPr>
            </w:pPr>
            <w:r w:rsidRPr="00191E41">
              <w:rPr>
                <w:rFonts w:eastAsia="Times New Roman"/>
                <w:sz w:val="16"/>
                <w:szCs w:val="16"/>
              </w:rPr>
              <w:t>Nota: Las sumas parciales pueden no coincidir debido al redondeo.</w:t>
            </w:r>
          </w:p>
          <w:p w14:paraId="5230013F" w14:textId="77777777" w:rsidR="00191E41" w:rsidRPr="00191E41" w:rsidRDefault="00191E41" w:rsidP="00191E41">
            <w:pPr>
              <w:jc w:val="both"/>
              <w:rPr>
                <w:rFonts w:eastAsia="Times New Roman"/>
                <w:sz w:val="16"/>
                <w:szCs w:val="16"/>
              </w:rPr>
            </w:pPr>
            <w:r w:rsidRPr="00191E41">
              <w:rPr>
                <w:rFonts w:eastAsia="Times New Roman"/>
                <w:sz w:val="16"/>
                <w:szCs w:val="16"/>
              </w:rPr>
              <w:t>* Cifras sujetas a revisiones por cambios y adecuaciones metodológicas.</w:t>
            </w:r>
          </w:p>
          <w:p w14:paraId="16ACA628" w14:textId="77777777" w:rsidR="00191E41" w:rsidRPr="00191E41" w:rsidRDefault="00191E41" w:rsidP="00191E41">
            <w:pPr>
              <w:jc w:val="both"/>
              <w:rPr>
                <w:rFonts w:eastAsia="Times New Roman"/>
                <w:sz w:val="16"/>
                <w:szCs w:val="16"/>
              </w:rPr>
            </w:pPr>
            <w:r w:rsidRPr="00191E41">
              <w:rPr>
                <w:rFonts w:eastAsia="Times New Roman"/>
                <w:sz w:val="16"/>
                <w:szCs w:val="16"/>
                <w:u w:val="single"/>
              </w:rPr>
              <w:t>p</w:t>
            </w:r>
            <w:r w:rsidRPr="00191E41">
              <w:rPr>
                <w:rFonts w:eastAsia="Times New Roman"/>
                <w:sz w:val="16"/>
                <w:szCs w:val="16"/>
              </w:rPr>
              <w:t>/ Cifras preliminares.</w:t>
            </w:r>
          </w:p>
          <w:p w14:paraId="786EFEF4" w14:textId="77777777" w:rsidR="00191E41" w:rsidRPr="00191E41" w:rsidRDefault="00191E41" w:rsidP="00191E41">
            <w:pPr>
              <w:jc w:val="both"/>
              <w:rPr>
                <w:rFonts w:eastAsia="Times New Roman"/>
                <w:sz w:val="16"/>
                <w:szCs w:val="16"/>
              </w:rPr>
            </w:pPr>
            <w:r w:rsidRPr="00191E41">
              <w:rPr>
                <w:rFonts w:eastAsia="Times New Roman"/>
                <w:sz w:val="16"/>
                <w:szCs w:val="16"/>
                <w:u w:val="single"/>
              </w:rPr>
              <w:t>1</w:t>
            </w:r>
            <w:r w:rsidRPr="00191E41">
              <w:rPr>
                <w:rFonts w:eastAsia="Times New Roman"/>
                <w:sz w:val="16"/>
                <w:szCs w:val="16"/>
              </w:rPr>
              <w:t>/ Incluye la deuda del Gobierno Federal, Organismos y Empresas y Banca de Desarrollo.</w:t>
            </w:r>
          </w:p>
          <w:p w14:paraId="5537E035" w14:textId="77777777" w:rsidR="00191E41" w:rsidRPr="00191E41" w:rsidRDefault="00191E41" w:rsidP="00191E41">
            <w:pPr>
              <w:ind w:left="198" w:hanging="198"/>
              <w:jc w:val="both"/>
              <w:rPr>
                <w:rFonts w:eastAsia="Times New Roman"/>
                <w:sz w:val="16"/>
                <w:szCs w:val="16"/>
              </w:rPr>
            </w:pPr>
            <w:r w:rsidRPr="00191E41">
              <w:rPr>
                <w:rFonts w:eastAsia="Times New Roman"/>
                <w:sz w:val="16"/>
                <w:szCs w:val="16"/>
                <w:u w:val="single"/>
              </w:rPr>
              <w:t>2</w:t>
            </w:r>
            <w:r w:rsidRPr="00191E41">
              <w:rPr>
                <w:rFonts w:eastAsia="Times New Roman"/>
                <w:sz w:val="16"/>
                <w:szCs w:val="16"/>
              </w:rPr>
              <w:t>/ Integra el saldo neto denominado en moneda nacional de la Cuenta General de la Tesorería de la Federación, así como las disponibilidades de los Organismos y Empresas y de la Banca de Desarrollo.</w:t>
            </w:r>
          </w:p>
          <w:p w14:paraId="5BA13DF9" w14:textId="77777777" w:rsidR="00191E41" w:rsidRPr="00191E41" w:rsidRDefault="00191E41" w:rsidP="00191E41">
            <w:pPr>
              <w:jc w:val="both"/>
              <w:rPr>
                <w:rFonts w:eastAsia="Times New Roman"/>
                <w:sz w:val="16"/>
                <w:szCs w:val="16"/>
              </w:rPr>
            </w:pPr>
            <w:r w:rsidRPr="00191E41">
              <w:rPr>
                <w:rFonts w:eastAsia="Times New Roman"/>
                <w:sz w:val="16"/>
                <w:szCs w:val="16"/>
              </w:rPr>
              <w:t xml:space="preserve">FUENTE: </w:t>
            </w:r>
            <w:r w:rsidRPr="00191E41">
              <w:rPr>
                <w:rFonts w:eastAsia="Times New Roman"/>
                <w:iCs/>
                <w:sz w:val="16"/>
                <w:szCs w:val="16"/>
              </w:rPr>
              <w:t>Dirección General Adjunta de Deuda Pública, UCP</w:t>
            </w:r>
            <w:r w:rsidRPr="00191E41">
              <w:rPr>
                <w:rFonts w:eastAsia="Times New Roman"/>
                <w:i/>
                <w:iCs/>
                <w:sz w:val="20"/>
                <w:szCs w:val="20"/>
              </w:rPr>
              <w:t>.</w:t>
            </w:r>
          </w:p>
        </w:tc>
      </w:tr>
    </w:tbl>
    <w:p w14:paraId="70685729" w14:textId="77777777" w:rsidR="00191E41" w:rsidRPr="00191E41" w:rsidRDefault="00191E41" w:rsidP="00191E41">
      <w:pPr>
        <w:spacing w:after="360" w:line="360" w:lineRule="auto"/>
        <w:ind w:right="-159"/>
        <w:jc w:val="both"/>
        <w:rPr>
          <w:rFonts w:eastAsia="Calibri"/>
          <w:sz w:val="26"/>
          <w:szCs w:val="26"/>
          <w:lang w:eastAsia="en-US"/>
        </w:rPr>
      </w:pPr>
    </w:p>
    <w:p w14:paraId="6DE4C62A" w14:textId="5197DBF8" w:rsidR="00191E41" w:rsidRPr="00191E41" w:rsidRDefault="00191E41" w:rsidP="00191E41">
      <w:pPr>
        <w:spacing w:after="360" w:line="360" w:lineRule="auto"/>
        <w:ind w:right="-159"/>
        <w:jc w:val="both"/>
        <w:rPr>
          <w:rFonts w:eastAsia="Calibri"/>
          <w:sz w:val="26"/>
          <w:szCs w:val="26"/>
          <w:lang w:eastAsia="en-US"/>
        </w:rPr>
      </w:pPr>
      <w:r w:rsidRPr="00191E41">
        <w:rPr>
          <w:rFonts w:eastAsia="Calibri"/>
          <w:sz w:val="26"/>
          <w:szCs w:val="26"/>
          <w:lang w:eastAsia="en-US"/>
        </w:rPr>
        <w:t xml:space="preserve">Por su parte, el saldo de la deuda externa neta del </w:t>
      </w:r>
      <w:r w:rsidR="00DE0DF6">
        <w:rPr>
          <w:rFonts w:eastAsia="Calibri"/>
          <w:sz w:val="26"/>
          <w:szCs w:val="26"/>
          <w:lang w:eastAsia="en-US"/>
        </w:rPr>
        <w:t>S</w:t>
      </w:r>
      <w:r w:rsidRPr="00191E41">
        <w:rPr>
          <w:rFonts w:eastAsia="Calibri"/>
          <w:sz w:val="26"/>
          <w:szCs w:val="26"/>
          <w:lang w:eastAsia="en-US"/>
        </w:rPr>
        <w:t xml:space="preserve">ector </w:t>
      </w:r>
      <w:r w:rsidR="00DE0DF6">
        <w:rPr>
          <w:rFonts w:eastAsia="Calibri"/>
          <w:sz w:val="26"/>
          <w:szCs w:val="26"/>
          <w:lang w:eastAsia="en-US"/>
        </w:rPr>
        <w:t>P</w:t>
      </w:r>
      <w:r w:rsidRPr="00191E41">
        <w:rPr>
          <w:rFonts w:eastAsia="Calibri"/>
          <w:sz w:val="26"/>
          <w:szCs w:val="26"/>
          <w:lang w:eastAsia="en-US"/>
        </w:rPr>
        <w:t xml:space="preserve">úblico </w:t>
      </w:r>
      <w:r w:rsidR="00DE0DF6">
        <w:rPr>
          <w:rFonts w:eastAsia="Calibri"/>
          <w:sz w:val="26"/>
          <w:szCs w:val="26"/>
          <w:lang w:eastAsia="en-US"/>
        </w:rPr>
        <w:t>F</w:t>
      </w:r>
      <w:r w:rsidRPr="00191E41">
        <w:rPr>
          <w:rFonts w:eastAsia="Calibri"/>
          <w:sz w:val="26"/>
          <w:szCs w:val="26"/>
          <w:lang w:eastAsia="en-US"/>
        </w:rPr>
        <w:t>ederal fue de 152 mil 369.0 millones de dólares, monto superior en 6 mil 751.6 millones de dólares al registrado al cierre de 2014. Este resultado se explica por un endeudamiento neto de     9 mil 814.2 millones de dólares, por ajustes contables a la baja de 396.8 millones de dólares y por un incremento en las disponibilidades del sector público federal de 2 mil 665.8 millones de dólares.</w:t>
      </w:r>
    </w:p>
    <w:p w14:paraId="7C932646" w14:textId="77777777" w:rsidR="00191E41" w:rsidRPr="00191E41" w:rsidRDefault="00191E41" w:rsidP="00191E41">
      <w:pPr>
        <w:spacing w:after="360" w:line="360" w:lineRule="auto"/>
        <w:ind w:right="-159"/>
        <w:jc w:val="both"/>
        <w:rPr>
          <w:rFonts w:eastAsia="Calibri"/>
          <w:sz w:val="26"/>
          <w:szCs w:val="26"/>
          <w:lang w:eastAsia="en-US"/>
        </w:rPr>
      </w:pPr>
    </w:p>
    <w:p w14:paraId="343056B9" w14:textId="77777777" w:rsidR="00191E41" w:rsidRPr="00191E41" w:rsidRDefault="00191E41" w:rsidP="00191E41">
      <w:pPr>
        <w:spacing w:after="360" w:line="360" w:lineRule="auto"/>
        <w:ind w:right="-159"/>
        <w:jc w:val="both"/>
        <w:rPr>
          <w:rFonts w:eastAsia="Calibri"/>
          <w:sz w:val="26"/>
          <w:szCs w:val="26"/>
          <w:lang w:eastAsia="en-US"/>
        </w:rPr>
      </w:pPr>
    </w:p>
    <w:p w14:paraId="3D7BC475" w14:textId="77777777" w:rsidR="00191E41" w:rsidRPr="00191E41" w:rsidRDefault="00191E41" w:rsidP="00191E41">
      <w:pPr>
        <w:spacing w:after="360" w:line="360" w:lineRule="auto"/>
        <w:ind w:right="-159"/>
        <w:jc w:val="both"/>
        <w:rPr>
          <w:rFonts w:eastAsia="Calibri"/>
          <w:sz w:val="26"/>
          <w:szCs w:val="26"/>
          <w:lang w:eastAsia="en-US"/>
        </w:rPr>
      </w:pP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85"/>
        <w:gridCol w:w="1080"/>
        <w:gridCol w:w="900"/>
        <w:gridCol w:w="900"/>
        <w:gridCol w:w="1080"/>
        <w:gridCol w:w="900"/>
        <w:gridCol w:w="1080"/>
      </w:tblGrid>
      <w:tr w:rsidR="00191E41" w:rsidRPr="00191E41" w14:paraId="77B90EC4" w14:textId="77777777" w:rsidTr="001E7D79">
        <w:trPr>
          <w:jc w:val="center"/>
        </w:trPr>
        <w:tc>
          <w:tcPr>
            <w:tcW w:w="9525" w:type="dxa"/>
            <w:gridSpan w:val="7"/>
            <w:tcBorders>
              <w:top w:val="nil"/>
              <w:left w:val="nil"/>
              <w:bottom w:val="single" w:sz="4" w:space="0" w:color="auto"/>
              <w:right w:val="nil"/>
            </w:tcBorders>
            <w:shd w:val="clear" w:color="auto" w:fill="auto"/>
            <w:vAlign w:val="center"/>
          </w:tcPr>
          <w:p w14:paraId="502CA0C2" w14:textId="77777777" w:rsidR="00191E41" w:rsidRPr="00191E41" w:rsidRDefault="00191E41" w:rsidP="00191E41">
            <w:pPr>
              <w:jc w:val="center"/>
              <w:rPr>
                <w:rFonts w:eastAsia="Times New Roman"/>
                <w:b/>
                <w:sz w:val="18"/>
                <w:szCs w:val="18"/>
              </w:rPr>
            </w:pPr>
            <w:r w:rsidRPr="00191E41">
              <w:rPr>
                <w:rFonts w:eastAsia="Times New Roman"/>
                <w:b/>
                <w:sz w:val="18"/>
                <w:szCs w:val="18"/>
              </w:rPr>
              <w:lastRenderedPageBreak/>
              <w:t xml:space="preserve">DEUDA EXTERNA DEL SECTOR PÚBLICO FEDERAL, ENERO </w:t>
            </w:r>
            <w:r w:rsidRPr="00191E41">
              <w:rPr>
                <w:rFonts w:eastAsia="Times New Roman"/>
                <w:b/>
                <w:sz w:val="18"/>
                <w:szCs w:val="18"/>
                <w:u w:val="single"/>
                <w:vertAlign w:val="superscript"/>
              </w:rPr>
              <w:t>*</w:t>
            </w:r>
            <w:r w:rsidRPr="00191E41">
              <w:rPr>
                <w:rFonts w:eastAsia="Times New Roman"/>
                <w:b/>
                <w:sz w:val="18"/>
                <w:szCs w:val="18"/>
                <w:vertAlign w:val="superscript"/>
              </w:rPr>
              <w:t xml:space="preserve">/ </w:t>
            </w:r>
            <w:r w:rsidRPr="00191E41">
              <w:rPr>
                <w:rFonts w:eastAsia="Times New Roman"/>
                <w:b/>
                <w:sz w:val="18"/>
                <w:szCs w:val="18"/>
                <w:u w:val="single"/>
                <w:vertAlign w:val="superscript"/>
              </w:rPr>
              <w:t>1</w:t>
            </w:r>
            <w:r w:rsidRPr="00191E41">
              <w:rPr>
                <w:rFonts w:eastAsia="Times New Roman"/>
                <w:b/>
                <w:sz w:val="18"/>
                <w:szCs w:val="18"/>
                <w:vertAlign w:val="superscript"/>
              </w:rPr>
              <w:t>/</w:t>
            </w:r>
          </w:p>
          <w:p w14:paraId="5B200DAA" w14:textId="77777777" w:rsidR="00191E41" w:rsidRPr="00191E41" w:rsidRDefault="00191E41" w:rsidP="00191E41">
            <w:pPr>
              <w:jc w:val="center"/>
              <w:rPr>
                <w:rFonts w:eastAsia="Times New Roman"/>
                <w:sz w:val="18"/>
                <w:szCs w:val="18"/>
              </w:rPr>
            </w:pPr>
            <w:r w:rsidRPr="00191E41">
              <w:rPr>
                <w:rFonts w:eastAsia="Times New Roman"/>
                <w:b/>
                <w:sz w:val="18"/>
                <w:szCs w:val="18"/>
              </w:rPr>
              <w:t>-Millones de dólares-</w:t>
            </w:r>
          </w:p>
        </w:tc>
      </w:tr>
      <w:tr w:rsidR="00191E41" w:rsidRPr="00191E41" w14:paraId="6C3D2A17" w14:textId="77777777" w:rsidTr="001E7D79">
        <w:trPr>
          <w:jc w:val="center"/>
        </w:trPr>
        <w:tc>
          <w:tcPr>
            <w:tcW w:w="3585" w:type="dxa"/>
            <w:vMerge w:val="restart"/>
            <w:tcBorders>
              <w:bottom w:val="single" w:sz="4" w:space="0" w:color="auto"/>
              <w:right w:val="single" w:sz="4" w:space="0" w:color="auto"/>
            </w:tcBorders>
            <w:shd w:val="clear" w:color="auto" w:fill="auto"/>
            <w:vAlign w:val="center"/>
          </w:tcPr>
          <w:p w14:paraId="11787782" w14:textId="77777777" w:rsidR="00191E41" w:rsidRPr="00191E41" w:rsidRDefault="00191E41" w:rsidP="00191E41">
            <w:pPr>
              <w:jc w:val="center"/>
              <w:rPr>
                <w:rFonts w:eastAsia="Times New Roman"/>
                <w:b/>
                <w:sz w:val="16"/>
                <w:szCs w:val="16"/>
              </w:rPr>
            </w:pPr>
            <w:r w:rsidRPr="00191E41">
              <w:rPr>
                <w:rFonts w:eastAsia="Times New Roman"/>
                <w:b/>
                <w:sz w:val="16"/>
                <w:szCs w:val="16"/>
              </w:rPr>
              <w:t>Concepto</w:t>
            </w:r>
          </w:p>
        </w:tc>
        <w:tc>
          <w:tcPr>
            <w:tcW w:w="1080" w:type="dxa"/>
            <w:vMerge w:val="restart"/>
            <w:tcBorders>
              <w:left w:val="single" w:sz="4" w:space="0" w:color="auto"/>
              <w:bottom w:val="single" w:sz="4" w:space="0" w:color="auto"/>
              <w:right w:val="single" w:sz="4" w:space="0" w:color="auto"/>
            </w:tcBorders>
            <w:shd w:val="clear" w:color="auto" w:fill="auto"/>
            <w:vAlign w:val="center"/>
          </w:tcPr>
          <w:p w14:paraId="558D64E8" w14:textId="77777777" w:rsidR="00191E41" w:rsidRPr="00191E41" w:rsidRDefault="00191E41" w:rsidP="00191E41">
            <w:pPr>
              <w:jc w:val="center"/>
              <w:rPr>
                <w:rFonts w:eastAsia="Times New Roman"/>
                <w:b/>
                <w:sz w:val="16"/>
                <w:szCs w:val="16"/>
              </w:rPr>
            </w:pPr>
            <w:r w:rsidRPr="00191E41">
              <w:rPr>
                <w:rFonts w:eastAsia="Times New Roman"/>
                <w:b/>
                <w:sz w:val="16"/>
                <w:szCs w:val="16"/>
              </w:rPr>
              <w:t>Saldo a diciembre</w:t>
            </w:r>
          </w:p>
          <w:p w14:paraId="2C64F857" w14:textId="77777777" w:rsidR="00191E41" w:rsidRPr="00191E41" w:rsidRDefault="00191E41" w:rsidP="00191E41">
            <w:pPr>
              <w:jc w:val="center"/>
              <w:rPr>
                <w:rFonts w:eastAsia="Times New Roman"/>
                <w:b/>
                <w:sz w:val="16"/>
                <w:szCs w:val="16"/>
              </w:rPr>
            </w:pPr>
            <w:r w:rsidRPr="00191E41">
              <w:rPr>
                <w:rFonts w:eastAsia="Times New Roman"/>
                <w:b/>
                <w:sz w:val="16"/>
                <w:szCs w:val="16"/>
              </w:rPr>
              <w:t xml:space="preserve">de </w:t>
            </w:r>
            <w:r w:rsidRPr="00191E41">
              <w:rPr>
                <w:rFonts w:eastAsia="Times New Roman"/>
                <w:b/>
                <w:iCs/>
                <w:sz w:val="16"/>
                <w:szCs w:val="16"/>
              </w:rPr>
              <w:t>2014</w:t>
            </w:r>
            <w:r w:rsidRPr="00191E41">
              <w:rPr>
                <w:rFonts w:eastAsia="Times New Roman"/>
                <w:b/>
                <w:iCs/>
                <w:sz w:val="16"/>
                <w:szCs w:val="16"/>
                <w:u w:val="single"/>
                <w:vertAlign w:val="superscript"/>
              </w:rPr>
              <w:t>p</w:t>
            </w:r>
            <w:r w:rsidRPr="00191E41">
              <w:rPr>
                <w:rFonts w:eastAsia="Times New Roman"/>
                <w:b/>
                <w:iCs/>
                <w:sz w:val="16"/>
                <w:szCs w:val="16"/>
                <w:vertAlign w:val="superscript"/>
              </w:rPr>
              <w:t>/</w:t>
            </w:r>
          </w:p>
        </w:tc>
        <w:tc>
          <w:tcPr>
            <w:tcW w:w="2880" w:type="dxa"/>
            <w:gridSpan w:val="3"/>
            <w:tcBorders>
              <w:left w:val="single" w:sz="4" w:space="0" w:color="auto"/>
              <w:bottom w:val="single" w:sz="4" w:space="0" w:color="auto"/>
              <w:right w:val="single" w:sz="4" w:space="0" w:color="auto"/>
            </w:tcBorders>
            <w:shd w:val="clear" w:color="auto" w:fill="auto"/>
            <w:vAlign w:val="center"/>
          </w:tcPr>
          <w:p w14:paraId="3897F633" w14:textId="77777777" w:rsidR="00191E41" w:rsidRPr="00191E41" w:rsidRDefault="00191E41" w:rsidP="00191E41">
            <w:pPr>
              <w:jc w:val="center"/>
              <w:rPr>
                <w:rFonts w:eastAsia="Times New Roman"/>
                <w:b/>
                <w:sz w:val="16"/>
                <w:szCs w:val="16"/>
              </w:rPr>
            </w:pPr>
            <w:r w:rsidRPr="00191E41">
              <w:rPr>
                <w:rFonts w:eastAsia="Times New Roman"/>
                <w:b/>
                <w:sz w:val="16"/>
                <w:szCs w:val="16"/>
              </w:rPr>
              <w:t>Endeudamiento</w:t>
            </w:r>
          </w:p>
        </w:tc>
        <w:tc>
          <w:tcPr>
            <w:tcW w:w="900" w:type="dxa"/>
            <w:vMerge w:val="restart"/>
            <w:tcBorders>
              <w:left w:val="single" w:sz="4" w:space="0" w:color="auto"/>
              <w:bottom w:val="single" w:sz="4" w:space="0" w:color="auto"/>
              <w:right w:val="single" w:sz="4" w:space="0" w:color="auto"/>
            </w:tcBorders>
            <w:shd w:val="clear" w:color="auto" w:fill="auto"/>
            <w:vAlign w:val="center"/>
          </w:tcPr>
          <w:p w14:paraId="38CCDF24" w14:textId="77777777" w:rsidR="00191E41" w:rsidRPr="00191E41" w:rsidRDefault="00191E41" w:rsidP="00191E41">
            <w:pPr>
              <w:jc w:val="center"/>
              <w:rPr>
                <w:rFonts w:eastAsia="Times New Roman"/>
                <w:b/>
                <w:sz w:val="16"/>
                <w:szCs w:val="16"/>
              </w:rPr>
            </w:pPr>
            <w:r w:rsidRPr="00191E41">
              <w:rPr>
                <w:rFonts w:eastAsia="Times New Roman"/>
                <w:b/>
                <w:sz w:val="16"/>
                <w:szCs w:val="16"/>
              </w:rPr>
              <w:t>Ajustes</w:t>
            </w:r>
          </w:p>
        </w:tc>
        <w:tc>
          <w:tcPr>
            <w:tcW w:w="1080" w:type="dxa"/>
            <w:vMerge w:val="restart"/>
            <w:tcBorders>
              <w:left w:val="single" w:sz="4" w:space="0" w:color="auto"/>
              <w:bottom w:val="single" w:sz="4" w:space="0" w:color="auto"/>
            </w:tcBorders>
            <w:shd w:val="clear" w:color="auto" w:fill="auto"/>
            <w:vAlign w:val="center"/>
          </w:tcPr>
          <w:p w14:paraId="26992F09" w14:textId="77777777" w:rsidR="00191E41" w:rsidRPr="00191E41" w:rsidRDefault="00191E41" w:rsidP="00191E41">
            <w:pPr>
              <w:jc w:val="center"/>
              <w:rPr>
                <w:rFonts w:eastAsia="Times New Roman"/>
                <w:b/>
                <w:sz w:val="16"/>
                <w:szCs w:val="16"/>
              </w:rPr>
            </w:pPr>
            <w:r w:rsidRPr="00191E41">
              <w:rPr>
                <w:rFonts w:eastAsia="Times New Roman"/>
                <w:b/>
                <w:sz w:val="16"/>
                <w:szCs w:val="16"/>
              </w:rPr>
              <w:t>Saldo a</w:t>
            </w:r>
          </w:p>
          <w:p w14:paraId="5DAE46A2" w14:textId="77777777" w:rsidR="00191E41" w:rsidRPr="00191E41" w:rsidRDefault="00191E41" w:rsidP="00191E41">
            <w:pPr>
              <w:jc w:val="center"/>
              <w:rPr>
                <w:rFonts w:eastAsia="Times New Roman"/>
                <w:b/>
                <w:sz w:val="16"/>
                <w:szCs w:val="16"/>
              </w:rPr>
            </w:pPr>
            <w:r w:rsidRPr="00191E41">
              <w:rPr>
                <w:rFonts w:eastAsia="Times New Roman"/>
                <w:b/>
                <w:sz w:val="16"/>
                <w:szCs w:val="16"/>
              </w:rPr>
              <w:t>enero</w:t>
            </w:r>
          </w:p>
          <w:p w14:paraId="01D890F1" w14:textId="77777777" w:rsidR="00191E41" w:rsidRPr="00191E41" w:rsidRDefault="00191E41" w:rsidP="00191E41">
            <w:pPr>
              <w:jc w:val="center"/>
              <w:rPr>
                <w:rFonts w:eastAsia="Times New Roman"/>
                <w:b/>
                <w:sz w:val="16"/>
                <w:szCs w:val="16"/>
              </w:rPr>
            </w:pPr>
            <w:r w:rsidRPr="00191E41">
              <w:rPr>
                <w:rFonts w:eastAsia="Times New Roman"/>
                <w:b/>
                <w:sz w:val="16"/>
                <w:szCs w:val="16"/>
              </w:rPr>
              <w:t>de 2015</w:t>
            </w:r>
            <w:r w:rsidRPr="00191E41">
              <w:rPr>
                <w:rFonts w:eastAsia="Times New Roman"/>
                <w:b/>
                <w:sz w:val="16"/>
                <w:szCs w:val="16"/>
                <w:u w:val="single"/>
                <w:vertAlign w:val="superscript"/>
              </w:rPr>
              <w:t>p</w:t>
            </w:r>
            <w:r w:rsidRPr="00191E41">
              <w:rPr>
                <w:rFonts w:eastAsia="Times New Roman"/>
                <w:b/>
                <w:sz w:val="16"/>
                <w:szCs w:val="16"/>
                <w:vertAlign w:val="superscript"/>
              </w:rPr>
              <w:t>/</w:t>
            </w:r>
          </w:p>
        </w:tc>
      </w:tr>
      <w:tr w:rsidR="00191E41" w:rsidRPr="00191E41" w14:paraId="7CB5363C" w14:textId="77777777" w:rsidTr="001E7D79">
        <w:trPr>
          <w:jc w:val="center"/>
        </w:trPr>
        <w:tc>
          <w:tcPr>
            <w:tcW w:w="3585" w:type="dxa"/>
            <w:vMerge/>
            <w:tcBorders>
              <w:top w:val="single" w:sz="4" w:space="0" w:color="auto"/>
              <w:bottom w:val="single" w:sz="4" w:space="0" w:color="auto"/>
              <w:right w:val="single" w:sz="4" w:space="0" w:color="auto"/>
            </w:tcBorders>
            <w:shd w:val="clear" w:color="auto" w:fill="auto"/>
            <w:vAlign w:val="center"/>
          </w:tcPr>
          <w:p w14:paraId="0184AB93" w14:textId="77777777" w:rsidR="00191E41" w:rsidRPr="00191E41" w:rsidRDefault="00191E41" w:rsidP="00191E41">
            <w:pPr>
              <w:jc w:val="center"/>
              <w:rPr>
                <w:rFonts w:eastAsia="Times New Roman"/>
                <w:b/>
                <w:sz w:val="16"/>
                <w:szCs w:val="16"/>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9B6CA24" w14:textId="77777777" w:rsidR="00191E41" w:rsidRPr="00191E41" w:rsidRDefault="00191E41" w:rsidP="00191E41">
            <w:pPr>
              <w:jc w:val="center"/>
              <w:rPr>
                <w:rFonts w:eastAsia="Times New Roman"/>
                <w:b/>
                <w:sz w:val="16"/>
                <w:szCs w:val="16"/>
              </w:rPr>
            </w:pP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14:paraId="5475B992" w14:textId="77777777" w:rsidR="00191E41" w:rsidRPr="00191E41" w:rsidRDefault="00191E41" w:rsidP="00191E41">
            <w:pPr>
              <w:ind w:right="-57"/>
              <w:jc w:val="center"/>
              <w:rPr>
                <w:rFonts w:eastAsia="Times New Roman"/>
                <w:b/>
                <w:sz w:val="16"/>
                <w:szCs w:val="16"/>
              </w:rPr>
            </w:pPr>
            <w:r w:rsidRPr="00191E41">
              <w:rPr>
                <w:rFonts w:eastAsia="Times New Roman"/>
                <w:b/>
                <w:sz w:val="16"/>
                <w:szCs w:val="16"/>
              </w:rPr>
              <w:t>Disp.</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14:paraId="435CE9F5" w14:textId="77777777" w:rsidR="00191E41" w:rsidRPr="00191E41" w:rsidRDefault="00191E41" w:rsidP="00191E41">
            <w:pPr>
              <w:jc w:val="center"/>
              <w:rPr>
                <w:rFonts w:eastAsia="Times New Roman"/>
                <w:b/>
                <w:sz w:val="16"/>
                <w:szCs w:val="16"/>
              </w:rPr>
            </w:pPr>
            <w:r w:rsidRPr="00191E41">
              <w:rPr>
                <w:rFonts w:eastAsia="Times New Roman"/>
                <w:b/>
                <w:sz w:val="16"/>
                <w:szCs w:val="16"/>
              </w:rPr>
              <w:t>Amort.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5E8846A0" w14:textId="77777777" w:rsidR="00191E41" w:rsidRPr="00191E41" w:rsidRDefault="00191E41" w:rsidP="00191E41">
            <w:pPr>
              <w:jc w:val="center"/>
              <w:rPr>
                <w:rFonts w:eastAsia="Times New Roman"/>
                <w:b/>
                <w:sz w:val="16"/>
                <w:szCs w:val="16"/>
              </w:rPr>
            </w:pPr>
            <w:r w:rsidRPr="00191E41">
              <w:rPr>
                <w:rFonts w:eastAsia="Times New Roman"/>
                <w:b/>
                <w:sz w:val="16"/>
                <w:szCs w:val="16"/>
              </w:rPr>
              <w:t>Neto</w:t>
            </w: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0A542C" w14:textId="77777777" w:rsidR="00191E41" w:rsidRPr="00191E41" w:rsidRDefault="00191E41" w:rsidP="00191E41">
            <w:pPr>
              <w:jc w:val="center"/>
              <w:rPr>
                <w:rFonts w:eastAsia="Times New Roman"/>
                <w:b/>
                <w:sz w:val="16"/>
                <w:szCs w:val="16"/>
              </w:rPr>
            </w:pPr>
          </w:p>
        </w:tc>
        <w:tc>
          <w:tcPr>
            <w:tcW w:w="1080" w:type="dxa"/>
            <w:vMerge/>
            <w:tcBorders>
              <w:top w:val="single" w:sz="4" w:space="0" w:color="auto"/>
              <w:left w:val="single" w:sz="4" w:space="0" w:color="auto"/>
              <w:bottom w:val="single" w:sz="4" w:space="0" w:color="auto"/>
            </w:tcBorders>
            <w:shd w:val="clear" w:color="auto" w:fill="auto"/>
            <w:vAlign w:val="center"/>
          </w:tcPr>
          <w:p w14:paraId="004BF2FB" w14:textId="77777777" w:rsidR="00191E41" w:rsidRPr="00191E41" w:rsidRDefault="00191E41" w:rsidP="00191E41">
            <w:pPr>
              <w:jc w:val="center"/>
              <w:rPr>
                <w:rFonts w:eastAsia="Times New Roman"/>
                <w:b/>
                <w:sz w:val="16"/>
                <w:szCs w:val="16"/>
              </w:rPr>
            </w:pPr>
          </w:p>
        </w:tc>
      </w:tr>
      <w:tr w:rsidR="00191E41" w:rsidRPr="00191E41" w14:paraId="4E830851" w14:textId="77777777" w:rsidTr="001E7D79">
        <w:trPr>
          <w:jc w:val="center"/>
        </w:trPr>
        <w:tc>
          <w:tcPr>
            <w:tcW w:w="3585" w:type="dxa"/>
            <w:tcBorders>
              <w:top w:val="single" w:sz="4" w:space="0" w:color="auto"/>
              <w:bottom w:val="nil"/>
              <w:right w:val="single" w:sz="4" w:space="0" w:color="auto"/>
            </w:tcBorders>
            <w:shd w:val="clear" w:color="auto" w:fill="auto"/>
          </w:tcPr>
          <w:p w14:paraId="4EEE9EB3" w14:textId="77777777" w:rsidR="00191E41" w:rsidRPr="00191E41" w:rsidRDefault="00191E41" w:rsidP="00191E41">
            <w:pPr>
              <w:rPr>
                <w:rFonts w:eastAsia="Times New Roman"/>
                <w:b/>
                <w:sz w:val="16"/>
                <w:szCs w:val="16"/>
              </w:rPr>
            </w:pPr>
            <w:r w:rsidRPr="00191E41">
              <w:rPr>
                <w:rFonts w:eastAsia="Times New Roman"/>
                <w:b/>
                <w:sz w:val="16"/>
                <w:szCs w:val="16"/>
              </w:rPr>
              <w:t>1. Deuda Neta (3-2)</w:t>
            </w:r>
          </w:p>
        </w:tc>
        <w:tc>
          <w:tcPr>
            <w:tcW w:w="1080" w:type="dxa"/>
            <w:tcBorders>
              <w:top w:val="single" w:sz="4" w:space="0" w:color="auto"/>
              <w:left w:val="single" w:sz="4" w:space="0" w:color="auto"/>
              <w:bottom w:val="nil"/>
              <w:right w:val="single" w:sz="4" w:space="0" w:color="auto"/>
            </w:tcBorders>
            <w:shd w:val="clear" w:color="auto" w:fill="auto"/>
          </w:tcPr>
          <w:p w14:paraId="334B077A" w14:textId="77777777" w:rsidR="00191E41" w:rsidRPr="00191E41" w:rsidRDefault="00191E41" w:rsidP="00191E41">
            <w:pPr>
              <w:ind w:right="113"/>
              <w:jc w:val="right"/>
              <w:rPr>
                <w:b/>
                <w:sz w:val="16"/>
                <w:szCs w:val="16"/>
              </w:rPr>
            </w:pPr>
            <w:r w:rsidRPr="00191E41">
              <w:rPr>
                <w:b/>
                <w:sz w:val="16"/>
                <w:szCs w:val="16"/>
              </w:rPr>
              <w:t>145 617.4</w:t>
            </w:r>
          </w:p>
        </w:tc>
        <w:tc>
          <w:tcPr>
            <w:tcW w:w="900" w:type="dxa"/>
            <w:tcBorders>
              <w:top w:val="single" w:sz="4" w:space="0" w:color="auto"/>
              <w:left w:val="single" w:sz="4" w:space="0" w:color="auto"/>
              <w:bottom w:val="nil"/>
              <w:right w:val="single" w:sz="4" w:space="0" w:color="auto"/>
            </w:tcBorders>
            <w:shd w:val="clear" w:color="auto" w:fill="auto"/>
          </w:tcPr>
          <w:p w14:paraId="606AB3FA" w14:textId="77777777" w:rsidR="00191E41" w:rsidRPr="00191E41" w:rsidRDefault="00191E41" w:rsidP="00191E41">
            <w:pPr>
              <w:jc w:val="right"/>
              <w:rPr>
                <w:b/>
                <w:sz w:val="16"/>
                <w:szCs w:val="16"/>
              </w:rPr>
            </w:pPr>
          </w:p>
        </w:tc>
        <w:tc>
          <w:tcPr>
            <w:tcW w:w="900" w:type="dxa"/>
            <w:tcBorders>
              <w:top w:val="single" w:sz="4" w:space="0" w:color="auto"/>
              <w:left w:val="single" w:sz="4" w:space="0" w:color="auto"/>
              <w:bottom w:val="nil"/>
              <w:right w:val="single" w:sz="4" w:space="0" w:color="auto"/>
            </w:tcBorders>
            <w:shd w:val="clear" w:color="auto" w:fill="auto"/>
          </w:tcPr>
          <w:p w14:paraId="788763CB" w14:textId="77777777" w:rsidR="00191E41" w:rsidRPr="00191E41" w:rsidRDefault="00191E41" w:rsidP="00191E41">
            <w:pPr>
              <w:jc w:val="right"/>
              <w:rPr>
                <w:b/>
                <w:sz w:val="16"/>
                <w:szCs w:val="16"/>
              </w:rPr>
            </w:pPr>
          </w:p>
        </w:tc>
        <w:tc>
          <w:tcPr>
            <w:tcW w:w="1080" w:type="dxa"/>
            <w:tcBorders>
              <w:top w:val="single" w:sz="4" w:space="0" w:color="auto"/>
              <w:left w:val="single" w:sz="4" w:space="0" w:color="auto"/>
              <w:bottom w:val="nil"/>
              <w:right w:val="single" w:sz="4" w:space="0" w:color="auto"/>
            </w:tcBorders>
            <w:shd w:val="clear" w:color="auto" w:fill="auto"/>
          </w:tcPr>
          <w:p w14:paraId="7D0C6B1D" w14:textId="77777777" w:rsidR="00191E41" w:rsidRPr="00191E41" w:rsidRDefault="00191E41" w:rsidP="00191E41">
            <w:pPr>
              <w:ind w:right="170"/>
              <w:jc w:val="right"/>
              <w:rPr>
                <w:b/>
                <w:sz w:val="16"/>
                <w:szCs w:val="16"/>
              </w:rPr>
            </w:pPr>
          </w:p>
        </w:tc>
        <w:tc>
          <w:tcPr>
            <w:tcW w:w="900" w:type="dxa"/>
            <w:tcBorders>
              <w:top w:val="single" w:sz="4" w:space="0" w:color="auto"/>
              <w:left w:val="single" w:sz="4" w:space="0" w:color="auto"/>
              <w:bottom w:val="nil"/>
              <w:right w:val="single" w:sz="4" w:space="0" w:color="auto"/>
            </w:tcBorders>
            <w:shd w:val="clear" w:color="auto" w:fill="auto"/>
          </w:tcPr>
          <w:p w14:paraId="607627DA" w14:textId="77777777" w:rsidR="00191E41" w:rsidRPr="00191E41" w:rsidRDefault="00191E41" w:rsidP="00191E41">
            <w:pPr>
              <w:ind w:right="113"/>
              <w:jc w:val="right"/>
              <w:rPr>
                <w:b/>
                <w:sz w:val="16"/>
                <w:szCs w:val="16"/>
              </w:rPr>
            </w:pPr>
          </w:p>
        </w:tc>
        <w:tc>
          <w:tcPr>
            <w:tcW w:w="1080" w:type="dxa"/>
            <w:tcBorders>
              <w:top w:val="single" w:sz="4" w:space="0" w:color="auto"/>
              <w:left w:val="single" w:sz="4" w:space="0" w:color="auto"/>
              <w:bottom w:val="nil"/>
            </w:tcBorders>
            <w:shd w:val="clear" w:color="auto" w:fill="auto"/>
          </w:tcPr>
          <w:p w14:paraId="2FE3BAD3" w14:textId="77777777" w:rsidR="00191E41" w:rsidRPr="00191E41" w:rsidRDefault="00191E41" w:rsidP="00191E41">
            <w:pPr>
              <w:ind w:right="57"/>
              <w:jc w:val="right"/>
              <w:rPr>
                <w:b/>
                <w:sz w:val="16"/>
                <w:szCs w:val="16"/>
              </w:rPr>
            </w:pPr>
            <w:r w:rsidRPr="00191E41">
              <w:rPr>
                <w:b/>
                <w:sz w:val="16"/>
                <w:szCs w:val="16"/>
              </w:rPr>
              <w:t>152 369.0</w:t>
            </w:r>
          </w:p>
        </w:tc>
      </w:tr>
      <w:tr w:rsidR="00191E41" w:rsidRPr="00191E41" w14:paraId="0B2F45F0" w14:textId="77777777" w:rsidTr="001E7D79">
        <w:trPr>
          <w:jc w:val="center"/>
        </w:trPr>
        <w:tc>
          <w:tcPr>
            <w:tcW w:w="3585" w:type="dxa"/>
            <w:tcBorders>
              <w:top w:val="nil"/>
              <w:bottom w:val="nil"/>
              <w:right w:val="single" w:sz="4" w:space="0" w:color="auto"/>
            </w:tcBorders>
            <w:shd w:val="clear" w:color="auto" w:fill="auto"/>
          </w:tcPr>
          <w:p w14:paraId="13E2F933" w14:textId="77777777" w:rsidR="00191E41" w:rsidRPr="00191E41" w:rsidRDefault="00191E41" w:rsidP="00191E41">
            <w:pPr>
              <w:rPr>
                <w:rFonts w:eastAsia="Times New Roman"/>
                <w:sz w:val="16"/>
                <w:szCs w:val="16"/>
              </w:rPr>
            </w:pPr>
            <w:r w:rsidRPr="00191E41">
              <w:rPr>
                <w:rFonts w:eastAsia="Times New Roman"/>
                <w:sz w:val="16"/>
                <w:szCs w:val="16"/>
              </w:rPr>
              <w:t>2. Activos financieros en moneda extranjera</w:t>
            </w:r>
            <w:r w:rsidRPr="00191E41">
              <w:rPr>
                <w:rFonts w:eastAsia="Times New Roman"/>
                <w:sz w:val="16"/>
                <w:szCs w:val="16"/>
                <w:u w:val="single"/>
                <w:vertAlign w:val="superscript"/>
              </w:rPr>
              <w:t>2</w:t>
            </w:r>
            <w:r w:rsidRPr="00191E41">
              <w:rPr>
                <w:rFonts w:eastAsia="Times New Roman"/>
                <w:sz w:val="16"/>
                <w:szCs w:val="16"/>
                <w:vertAlign w:val="superscript"/>
              </w:rPr>
              <w:t>/</w:t>
            </w:r>
          </w:p>
        </w:tc>
        <w:tc>
          <w:tcPr>
            <w:tcW w:w="1080" w:type="dxa"/>
            <w:tcBorders>
              <w:top w:val="nil"/>
              <w:left w:val="single" w:sz="4" w:space="0" w:color="auto"/>
              <w:bottom w:val="nil"/>
              <w:right w:val="single" w:sz="4" w:space="0" w:color="auto"/>
            </w:tcBorders>
            <w:shd w:val="clear" w:color="auto" w:fill="auto"/>
          </w:tcPr>
          <w:p w14:paraId="057ED0FA" w14:textId="77777777" w:rsidR="00191E41" w:rsidRPr="00191E41" w:rsidRDefault="00191E41" w:rsidP="00191E41">
            <w:pPr>
              <w:ind w:right="113"/>
              <w:jc w:val="right"/>
              <w:rPr>
                <w:sz w:val="16"/>
                <w:szCs w:val="16"/>
              </w:rPr>
            </w:pPr>
            <w:r w:rsidRPr="00191E41">
              <w:rPr>
                <w:sz w:val="16"/>
                <w:szCs w:val="16"/>
              </w:rPr>
              <w:t>2 048.4</w:t>
            </w:r>
          </w:p>
        </w:tc>
        <w:tc>
          <w:tcPr>
            <w:tcW w:w="900" w:type="dxa"/>
            <w:tcBorders>
              <w:top w:val="nil"/>
              <w:left w:val="single" w:sz="4" w:space="0" w:color="auto"/>
              <w:bottom w:val="nil"/>
              <w:right w:val="single" w:sz="4" w:space="0" w:color="auto"/>
            </w:tcBorders>
            <w:shd w:val="clear" w:color="auto" w:fill="auto"/>
          </w:tcPr>
          <w:p w14:paraId="6D23CA2E" w14:textId="77777777" w:rsidR="00191E41" w:rsidRPr="00191E41" w:rsidRDefault="00191E41" w:rsidP="00191E41">
            <w:pPr>
              <w:jc w:val="right"/>
              <w:rPr>
                <w:sz w:val="16"/>
                <w:szCs w:val="16"/>
              </w:rPr>
            </w:pPr>
          </w:p>
        </w:tc>
        <w:tc>
          <w:tcPr>
            <w:tcW w:w="900" w:type="dxa"/>
            <w:tcBorders>
              <w:top w:val="nil"/>
              <w:left w:val="single" w:sz="4" w:space="0" w:color="auto"/>
              <w:bottom w:val="nil"/>
              <w:right w:val="single" w:sz="4" w:space="0" w:color="auto"/>
            </w:tcBorders>
            <w:shd w:val="clear" w:color="auto" w:fill="auto"/>
          </w:tcPr>
          <w:p w14:paraId="11102BDE" w14:textId="77777777" w:rsidR="00191E41" w:rsidRPr="00191E41" w:rsidRDefault="00191E41" w:rsidP="00191E41">
            <w:pPr>
              <w:jc w:val="right"/>
              <w:rPr>
                <w:sz w:val="16"/>
                <w:szCs w:val="16"/>
              </w:rPr>
            </w:pPr>
          </w:p>
        </w:tc>
        <w:tc>
          <w:tcPr>
            <w:tcW w:w="1080" w:type="dxa"/>
            <w:tcBorders>
              <w:top w:val="nil"/>
              <w:left w:val="single" w:sz="4" w:space="0" w:color="auto"/>
              <w:bottom w:val="nil"/>
              <w:right w:val="single" w:sz="4" w:space="0" w:color="auto"/>
            </w:tcBorders>
            <w:shd w:val="clear" w:color="auto" w:fill="auto"/>
          </w:tcPr>
          <w:p w14:paraId="346F9F84" w14:textId="77777777" w:rsidR="00191E41" w:rsidRPr="00191E41" w:rsidRDefault="00191E41" w:rsidP="00191E41">
            <w:pPr>
              <w:ind w:right="170"/>
              <w:jc w:val="right"/>
              <w:rPr>
                <w:sz w:val="16"/>
                <w:szCs w:val="16"/>
              </w:rPr>
            </w:pPr>
          </w:p>
        </w:tc>
        <w:tc>
          <w:tcPr>
            <w:tcW w:w="900" w:type="dxa"/>
            <w:tcBorders>
              <w:top w:val="nil"/>
              <w:left w:val="single" w:sz="4" w:space="0" w:color="auto"/>
              <w:bottom w:val="nil"/>
              <w:right w:val="single" w:sz="4" w:space="0" w:color="auto"/>
            </w:tcBorders>
            <w:shd w:val="clear" w:color="auto" w:fill="auto"/>
          </w:tcPr>
          <w:p w14:paraId="394769D0" w14:textId="77777777" w:rsidR="00191E41" w:rsidRPr="00191E41" w:rsidRDefault="00191E41" w:rsidP="00191E41">
            <w:pPr>
              <w:ind w:right="113"/>
              <w:jc w:val="right"/>
              <w:rPr>
                <w:sz w:val="16"/>
                <w:szCs w:val="16"/>
              </w:rPr>
            </w:pPr>
          </w:p>
        </w:tc>
        <w:tc>
          <w:tcPr>
            <w:tcW w:w="1080" w:type="dxa"/>
            <w:tcBorders>
              <w:top w:val="nil"/>
              <w:left w:val="single" w:sz="4" w:space="0" w:color="auto"/>
              <w:bottom w:val="nil"/>
            </w:tcBorders>
            <w:shd w:val="clear" w:color="auto" w:fill="auto"/>
          </w:tcPr>
          <w:p w14:paraId="03B328C2" w14:textId="77777777" w:rsidR="00191E41" w:rsidRPr="00191E41" w:rsidRDefault="00191E41" w:rsidP="00191E41">
            <w:pPr>
              <w:ind w:right="57"/>
              <w:jc w:val="right"/>
              <w:rPr>
                <w:sz w:val="16"/>
                <w:szCs w:val="16"/>
              </w:rPr>
            </w:pPr>
            <w:r w:rsidRPr="00191E41">
              <w:rPr>
                <w:sz w:val="16"/>
                <w:szCs w:val="16"/>
              </w:rPr>
              <w:t>4 714.2</w:t>
            </w:r>
          </w:p>
        </w:tc>
      </w:tr>
      <w:tr w:rsidR="00191E41" w:rsidRPr="00191E41" w14:paraId="57909E82" w14:textId="77777777" w:rsidTr="001E7D79">
        <w:trPr>
          <w:jc w:val="center"/>
        </w:trPr>
        <w:tc>
          <w:tcPr>
            <w:tcW w:w="3585" w:type="dxa"/>
            <w:tcBorders>
              <w:top w:val="nil"/>
              <w:bottom w:val="nil"/>
              <w:right w:val="single" w:sz="4" w:space="0" w:color="auto"/>
            </w:tcBorders>
            <w:shd w:val="clear" w:color="auto" w:fill="auto"/>
          </w:tcPr>
          <w:p w14:paraId="2F9AC927" w14:textId="77777777" w:rsidR="00191E41" w:rsidRPr="00191E41" w:rsidRDefault="00191E41" w:rsidP="00191E41">
            <w:pPr>
              <w:rPr>
                <w:rFonts w:eastAsia="Times New Roman"/>
                <w:b/>
                <w:sz w:val="16"/>
                <w:szCs w:val="16"/>
              </w:rPr>
            </w:pPr>
            <w:r w:rsidRPr="00191E41">
              <w:rPr>
                <w:rFonts w:eastAsia="Times New Roman"/>
                <w:b/>
                <w:sz w:val="16"/>
                <w:szCs w:val="16"/>
              </w:rPr>
              <w:t>3. Deuda Bruta</w:t>
            </w:r>
          </w:p>
        </w:tc>
        <w:tc>
          <w:tcPr>
            <w:tcW w:w="1080" w:type="dxa"/>
            <w:tcBorders>
              <w:top w:val="nil"/>
              <w:left w:val="single" w:sz="4" w:space="0" w:color="auto"/>
              <w:bottom w:val="nil"/>
              <w:right w:val="single" w:sz="4" w:space="0" w:color="auto"/>
            </w:tcBorders>
            <w:shd w:val="clear" w:color="auto" w:fill="auto"/>
          </w:tcPr>
          <w:p w14:paraId="6023A326" w14:textId="77777777" w:rsidR="00191E41" w:rsidRPr="00191E41" w:rsidRDefault="00191E41" w:rsidP="00191E41">
            <w:pPr>
              <w:ind w:right="113"/>
              <w:jc w:val="right"/>
              <w:rPr>
                <w:b/>
                <w:sz w:val="16"/>
                <w:szCs w:val="16"/>
              </w:rPr>
            </w:pPr>
            <w:r w:rsidRPr="00191E41">
              <w:rPr>
                <w:b/>
                <w:sz w:val="16"/>
                <w:szCs w:val="16"/>
              </w:rPr>
              <w:t>147 665.8</w:t>
            </w:r>
          </w:p>
        </w:tc>
        <w:tc>
          <w:tcPr>
            <w:tcW w:w="900" w:type="dxa"/>
            <w:tcBorders>
              <w:top w:val="nil"/>
              <w:left w:val="single" w:sz="4" w:space="0" w:color="auto"/>
              <w:bottom w:val="nil"/>
              <w:right w:val="single" w:sz="4" w:space="0" w:color="auto"/>
            </w:tcBorders>
            <w:shd w:val="clear" w:color="auto" w:fill="auto"/>
          </w:tcPr>
          <w:p w14:paraId="5236DBAB" w14:textId="77777777" w:rsidR="00191E41" w:rsidRPr="00191E41" w:rsidRDefault="00191E41" w:rsidP="00191E41">
            <w:pPr>
              <w:ind w:right="57"/>
              <w:jc w:val="right"/>
              <w:rPr>
                <w:b/>
                <w:sz w:val="16"/>
                <w:szCs w:val="16"/>
              </w:rPr>
            </w:pPr>
            <w:r w:rsidRPr="00191E41">
              <w:rPr>
                <w:b/>
                <w:sz w:val="16"/>
                <w:szCs w:val="16"/>
              </w:rPr>
              <w:t>12 999.6</w:t>
            </w:r>
          </w:p>
        </w:tc>
        <w:tc>
          <w:tcPr>
            <w:tcW w:w="900" w:type="dxa"/>
            <w:tcBorders>
              <w:top w:val="nil"/>
              <w:left w:val="single" w:sz="4" w:space="0" w:color="auto"/>
              <w:bottom w:val="nil"/>
              <w:right w:val="single" w:sz="4" w:space="0" w:color="auto"/>
            </w:tcBorders>
            <w:shd w:val="clear" w:color="auto" w:fill="auto"/>
          </w:tcPr>
          <w:p w14:paraId="1D961A6C" w14:textId="77777777" w:rsidR="00191E41" w:rsidRPr="00191E41" w:rsidRDefault="00191E41" w:rsidP="00191E41">
            <w:pPr>
              <w:ind w:right="57"/>
              <w:jc w:val="right"/>
              <w:rPr>
                <w:b/>
                <w:sz w:val="16"/>
                <w:szCs w:val="16"/>
              </w:rPr>
            </w:pPr>
            <w:r w:rsidRPr="00191E41">
              <w:rPr>
                <w:b/>
                <w:sz w:val="16"/>
                <w:szCs w:val="16"/>
              </w:rPr>
              <w:t>3 185.4</w:t>
            </w:r>
          </w:p>
        </w:tc>
        <w:tc>
          <w:tcPr>
            <w:tcW w:w="1080" w:type="dxa"/>
            <w:tcBorders>
              <w:top w:val="nil"/>
              <w:left w:val="single" w:sz="4" w:space="0" w:color="auto"/>
              <w:bottom w:val="nil"/>
              <w:right w:val="single" w:sz="4" w:space="0" w:color="auto"/>
            </w:tcBorders>
            <w:shd w:val="clear" w:color="auto" w:fill="auto"/>
          </w:tcPr>
          <w:p w14:paraId="228058E9" w14:textId="77777777" w:rsidR="00191E41" w:rsidRPr="00191E41" w:rsidRDefault="00191E41" w:rsidP="00191E41">
            <w:pPr>
              <w:ind w:right="170"/>
              <w:jc w:val="right"/>
              <w:rPr>
                <w:b/>
                <w:sz w:val="16"/>
                <w:szCs w:val="16"/>
              </w:rPr>
            </w:pPr>
            <w:r w:rsidRPr="00191E41">
              <w:rPr>
                <w:b/>
                <w:sz w:val="16"/>
                <w:szCs w:val="16"/>
              </w:rPr>
              <w:t>9 814.2</w:t>
            </w:r>
          </w:p>
        </w:tc>
        <w:tc>
          <w:tcPr>
            <w:tcW w:w="900" w:type="dxa"/>
            <w:tcBorders>
              <w:top w:val="nil"/>
              <w:left w:val="single" w:sz="4" w:space="0" w:color="auto"/>
              <w:bottom w:val="nil"/>
              <w:right w:val="single" w:sz="4" w:space="0" w:color="auto"/>
            </w:tcBorders>
            <w:shd w:val="clear" w:color="auto" w:fill="auto"/>
          </w:tcPr>
          <w:p w14:paraId="30DF948C" w14:textId="77777777" w:rsidR="00191E41" w:rsidRPr="00191E41" w:rsidRDefault="00191E41" w:rsidP="00191E41">
            <w:pPr>
              <w:ind w:right="113"/>
              <w:jc w:val="right"/>
              <w:rPr>
                <w:b/>
                <w:sz w:val="16"/>
                <w:szCs w:val="16"/>
              </w:rPr>
            </w:pPr>
            <w:r w:rsidRPr="00191E41">
              <w:rPr>
                <w:b/>
                <w:sz w:val="16"/>
                <w:szCs w:val="16"/>
              </w:rPr>
              <w:t>-396.8</w:t>
            </w:r>
          </w:p>
        </w:tc>
        <w:tc>
          <w:tcPr>
            <w:tcW w:w="1080" w:type="dxa"/>
            <w:tcBorders>
              <w:top w:val="nil"/>
              <w:left w:val="single" w:sz="4" w:space="0" w:color="auto"/>
              <w:bottom w:val="nil"/>
            </w:tcBorders>
            <w:shd w:val="clear" w:color="auto" w:fill="auto"/>
          </w:tcPr>
          <w:p w14:paraId="0C5297A7" w14:textId="77777777" w:rsidR="00191E41" w:rsidRPr="00191E41" w:rsidRDefault="00191E41" w:rsidP="00191E41">
            <w:pPr>
              <w:ind w:right="57"/>
              <w:jc w:val="right"/>
              <w:rPr>
                <w:b/>
                <w:sz w:val="16"/>
                <w:szCs w:val="16"/>
              </w:rPr>
            </w:pPr>
            <w:r w:rsidRPr="00191E41">
              <w:rPr>
                <w:b/>
                <w:sz w:val="16"/>
                <w:szCs w:val="16"/>
              </w:rPr>
              <w:t>157 083.2</w:t>
            </w:r>
          </w:p>
        </w:tc>
      </w:tr>
      <w:tr w:rsidR="00191E41" w:rsidRPr="00191E41" w14:paraId="3808FD6C" w14:textId="77777777" w:rsidTr="001E7D79">
        <w:trPr>
          <w:jc w:val="center"/>
        </w:trPr>
        <w:tc>
          <w:tcPr>
            <w:tcW w:w="3585" w:type="dxa"/>
            <w:tcBorders>
              <w:top w:val="nil"/>
              <w:bottom w:val="nil"/>
              <w:right w:val="single" w:sz="4" w:space="0" w:color="auto"/>
            </w:tcBorders>
            <w:shd w:val="clear" w:color="auto" w:fill="auto"/>
          </w:tcPr>
          <w:p w14:paraId="621DCDF2" w14:textId="77777777" w:rsidR="00191E41" w:rsidRPr="00191E41" w:rsidRDefault="00191E41" w:rsidP="00191E41">
            <w:pPr>
              <w:ind w:left="170"/>
              <w:rPr>
                <w:rFonts w:eastAsia="Times New Roman"/>
                <w:b/>
                <w:sz w:val="16"/>
                <w:szCs w:val="16"/>
              </w:rPr>
            </w:pPr>
            <w:r w:rsidRPr="00191E41">
              <w:rPr>
                <w:rFonts w:eastAsia="Times New Roman"/>
                <w:b/>
                <w:sz w:val="16"/>
                <w:szCs w:val="16"/>
              </w:rPr>
              <w:t>Estructura por plazo</w:t>
            </w:r>
          </w:p>
        </w:tc>
        <w:tc>
          <w:tcPr>
            <w:tcW w:w="1080" w:type="dxa"/>
            <w:tcBorders>
              <w:top w:val="nil"/>
              <w:left w:val="single" w:sz="4" w:space="0" w:color="auto"/>
              <w:bottom w:val="nil"/>
              <w:right w:val="single" w:sz="4" w:space="0" w:color="auto"/>
            </w:tcBorders>
            <w:shd w:val="clear" w:color="auto" w:fill="auto"/>
          </w:tcPr>
          <w:p w14:paraId="2C72AC42" w14:textId="77777777" w:rsidR="00191E41" w:rsidRPr="00191E41" w:rsidRDefault="00191E41" w:rsidP="00191E41">
            <w:pPr>
              <w:ind w:right="113"/>
              <w:jc w:val="right"/>
              <w:rPr>
                <w:b/>
                <w:sz w:val="16"/>
                <w:szCs w:val="16"/>
              </w:rPr>
            </w:pPr>
            <w:r w:rsidRPr="00191E41">
              <w:rPr>
                <w:b/>
                <w:sz w:val="16"/>
                <w:szCs w:val="16"/>
              </w:rPr>
              <w:t>147 665.8</w:t>
            </w:r>
          </w:p>
        </w:tc>
        <w:tc>
          <w:tcPr>
            <w:tcW w:w="900" w:type="dxa"/>
            <w:tcBorders>
              <w:top w:val="nil"/>
              <w:left w:val="single" w:sz="4" w:space="0" w:color="auto"/>
              <w:bottom w:val="nil"/>
              <w:right w:val="single" w:sz="4" w:space="0" w:color="auto"/>
            </w:tcBorders>
            <w:shd w:val="clear" w:color="auto" w:fill="auto"/>
          </w:tcPr>
          <w:p w14:paraId="464736AB" w14:textId="77777777" w:rsidR="00191E41" w:rsidRPr="00191E41" w:rsidRDefault="00191E41" w:rsidP="00191E41">
            <w:pPr>
              <w:ind w:right="57"/>
              <w:jc w:val="right"/>
              <w:rPr>
                <w:b/>
                <w:sz w:val="16"/>
                <w:szCs w:val="16"/>
              </w:rPr>
            </w:pPr>
            <w:r w:rsidRPr="00191E41">
              <w:rPr>
                <w:b/>
                <w:sz w:val="16"/>
                <w:szCs w:val="16"/>
              </w:rPr>
              <w:t>12 999.6</w:t>
            </w:r>
          </w:p>
        </w:tc>
        <w:tc>
          <w:tcPr>
            <w:tcW w:w="900" w:type="dxa"/>
            <w:tcBorders>
              <w:top w:val="nil"/>
              <w:left w:val="single" w:sz="4" w:space="0" w:color="auto"/>
              <w:bottom w:val="nil"/>
              <w:right w:val="single" w:sz="4" w:space="0" w:color="auto"/>
            </w:tcBorders>
            <w:shd w:val="clear" w:color="auto" w:fill="auto"/>
          </w:tcPr>
          <w:p w14:paraId="35091E08" w14:textId="77777777" w:rsidR="00191E41" w:rsidRPr="00191E41" w:rsidRDefault="00191E41" w:rsidP="00191E41">
            <w:pPr>
              <w:ind w:right="57"/>
              <w:jc w:val="right"/>
              <w:rPr>
                <w:b/>
                <w:sz w:val="16"/>
                <w:szCs w:val="16"/>
              </w:rPr>
            </w:pPr>
            <w:r w:rsidRPr="00191E41">
              <w:rPr>
                <w:b/>
                <w:sz w:val="16"/>
                <w:szCs w:val="16"/>
              </w:rPr>
              <w:t>3 185.4</w:t>
            </w:r>
          </w:p>
        </w:tc>
        <w:tc>
          <w:tcPr>
            <w:tcW w:w="1080" w:type="dxa"/>
            <w:tcBorders>
              <w:top w:val="nil"/>
              <w:left w:val="single" w:sz="4" w:space="0" w:color="auto"/>
              <w:bottom w:val="nil"/>
              <w:right w:val="single" w:sz="4" w:space="0" w:color="auto"/>
            </w:tcBorders>
            <w:shd w:val="clear" w:color="auto" w:fill="auto"/>
          </w:tcPr>
          <w:p w14:paraId="39D1DF90" w14:textId="77777777" w:rsidR="00191E41" w:rsidRPr="00191E41" w:rsidRDefault="00191E41" w:rsidP="00191E41">
            <w:pPr>
              <w:ind w:right="170"/>
              <w:jc w:val="right"/>
              <w:rPr>
                <w:b/>
                <w:sz w:val="16"/>
                <w:szCs w:val="16"/>
              </w:rPr>
            </w:pPr>
            <w:r w:rsidRPr="00191E41">
              <w:rPr>
                <w:b/>
                <w:sz w:val="16"/>
                <w:szCs w:val="16"/>
              </w:rPr>
              <w:t>9 814.2</w:t>
            </w:r>
          </w:p>
        </w:tc>
        <w:tc>
          <w:tcPr>
            <w:tcW w:w="900" w:type="dxa"/>
            <w:tcBorders>
              <w:top w:val="nil"/>
              <w:left w:val="single" w:sz="4" w:space="0" w:color="auto"/>
              <w:bottom w:val="nil"/>
              <w:right w:val="single" w:sz="4" w:space="0" w:color="auto"/>
            </w:tcBorders>
            <w:shd w:val="clear" w:color="auto" w:fill="auto"/>
          </w:tcPr>
          <w:p w14:paraId="437A7C2B" w14:textId="77777777" w:rsidR="00191E41" w:rsidRPr="00191E41" w:rsidRDefault="00191E41" w:rsidP="00191E41">
            <w:pPr>
              <w:ind w:right="113"/>
              <w:jc w:val="right"/>
              <w:rPr>
                <w:b/>
                <w:sz w:val="16"/>
                <w:szCs w:val="16"/>
              </w:rPr>
            </w:pPr>
            <w:r w:rsidRPr="00191E41">
              <w:rPr>
                <w:b/>
                <w:sz w:val="16"/>
                <w:szCs w:val="16"/>
              </w:rPr>
              <w:t>-396.8</w:t>
            </w:r>
          </w:p>
        </w:tc>
        <w:tc>
          <w:tcPr>
            <w:tcW w:w="1080" w:type="dxa"/>
            <w:tcBorders>
              <w:top w:val="nil"/>
              <w:left w:val="single" w:sz="4" w:space="0" w:color="auto"/>
              <w:bottom w:val="nil"/>
            </w:tcBorders>
            <w:shd w:val="clear" w:color="auto" w:fill="auto"/>
          </w:tcPr>
          <w:p w14:paraId="4CFA43D4" w14:textId="77777777" w:rsidR="00191E41" w:rsidRPr="00191E41" w:rsidRDefault="00191E41" w:rsidP="00191E41">
            <w:pPr>
              <w:ind w:right="57"/>
              <w:jc w:val="right"/>
              <w:rPr>
                <w:b/>
                <w:sz w:val="16"/>
                <w:szCs w:val="16"/>
              </w:rPr>
            </w:pPr>
            <w:r w:rsidRPr="00191E41">
              <w:rPr>
                <w:b/>
                <w:sz w:val="16"/>
                <w:szCs w:val="16"/>
              </w:rPr>
              <w:t>157 083.2</w:t>
            </w:r>
          </w:p>
        </w:tc>
      </w:tr>
      <w:tr w:rsidR="00191E41" w:rsidRPr="00191E41" w14:paraId="55E7D4BC" w14:textId="77777777" w:rsidTr="001E7D79">
        <w:trPr>
          <w:jc w:val="center"/>
        </w:trPr>
        <w:tc>
          <w:tcPr>
            <w:tcW w:w="3585" w:type="dxa"/>
            <w:tcBorders>
              <w:top w:val="nil"/>
              <w:bottom w:val="nil"/>
              <w:right w:val="single" w:sz="4" w:space="0" w:color="auto"/>
            </w:tcBorders>
            <w:shd w:val="clear" w:color="auto" w:fill="auto"/>
          </w:tcPr>
          <w:p w14:paraId="4BEEF72B" w14:textId="77777777" w:rsidR="00191E41" w:rsidRPr="00191E41" w:rsidRDefault="00191E41" w:rsidP="00191E41">
            <w:pPr>
              <w:ind w:left="284"/>
              <w:rPr>
                <w:rFonts w:eastAsia="Times New Roman"/>
                <w:sz w:val="16"/>
                <w:szCs w:val="16"/>
              </w:rPr>
            </w:pPr>
            <w:r w:rsidRPr="00191E41">
              <w:rPr>
                <w:rFonts w:eastAsia="Times New Roman"/>
                <w:sz w:val="16"/>
                <w:szCs w:val="16"/>
              </w:rPr>
              <w:t>Largo Plazo</w:t>
            </w:r>
          </w:p>
        </w:tc>
        <w:tc>
          <w:tcPr>
            <w:tcW w:w="1080" w:type="dxa"/>
            <w:tcBorders>
              <w:top w:val="nil"/>
              <w:left w:val="single" w:sz="4" w:space="0" w:color="auto"/>
              <w:bottom w:val="nil"/>
              <w:right w:val="single" w:sz="4" w:space="0" w:color="auto"/>
            </w:tcBorders>
            <w:shd w:val="clear" w:color="auto" w:fill="auto"/>
          </w:tcPr>
          <w:p w14:paraId="298D0BC8" w14:textId="77777777" w:rsidR="00191E41" w:rsidRPr="00191E41" w:rsidRDefault="00191E41" w:rsidP="00191E41">
            <w:pPr>
              <w:ind w:right="113"/>
              <w:jc w:val="right"/>
              <w:rPr>
                <w:sz w:val="16"/>
                <w:szCs w:val="16"/>
              </w:rPr>
            </w:pPr>
            <w:r w:rsidRPr="00191E41">
              <w:rPr>
                <w:sz w:val="16"/>
                <w:szCs w:val="16"/>
              </w:rPr>
              <w:t>142 869.2</w:t>
            </w:r>
          </w:p>
        </w:tc>
        <w:tc>
          <w:tcPr>
            <w:tcW w:w="900" w:type="dxa"/>
            <w:tcBorders>
              <w:top w:val="nil"/>
              <w:left w:val="single" w:sz="4" w:space="0" w:color="auto"/>
              <w:bottom w:val="nil"/>
              <w:right w:val="single" w:sz="4" w:space="0" w:color="auto"/>
            </w:tcBorders>
            <w:shd w:val="clear" w:color="auto" w:fill="auto"/>
          </w:tcPr>
          <w:p w14:paraId="2309C55C" w14:textId="77777777" w:rsidR="00191E41" w:rsidRPr="00191E41" w:rsidRDefault="00191E41" w:rsidP="00191E41">
            <w:pPr>
              <w:ind w:right="57"/>
              <w:jc w:val="right"/>
              <w:rPr>
                <w:sz w:val="16"/>
                <w:szCs w:val="16"/>
              </w:rPr>
            </w:pPr>
            <w:r w:rsidRPr="00191E41">
              <w:rPr>
                <w:sz w:val="16"/>
                <w:szCs w:val="16"/>
              </w:rPr>
              <w:t>11 782.1</w:t>
            </w:r>
          </w:p>
        </w:tc>
        <w:tc>
          <w:tcPr>
            <w:tcW w:w="900" w:type="dxa"/>
            <w:tcBorders>
              <w:top w:val="nil"/>
              <w:left w:val="single" w:sz="4" w:space="0" w:color="auto"/>
              <w:bottom w:val="nil"/>
              <w:right w:val="single" w:sz="4" w:space="0" w:color="auto"/>
            </w:tcBorders>
            <w:shd w:val="clear" w:color="auto" w:fill="auto"/>
          </w:tcPr>
          <w:p w14:paraId="48E51BC2" w14:textId="77777777" w:rsidR="00191E41" w:rsidRPr="00191E41" w:rsidRDefault="00191E41" w:rsidP="00191E41">
            <w:pPr>
              <w:ind w:right="57"/>
              <w:jc w:val="right"/>
              <w:rPr>
                <w:sz w:val="16"/>
                <w:szCs w:val="16"/>
              </w:rPr>
            </w:pPr>
            <w:r w:rsidRPr="00191E41">
              <w:rPr>
                <w:sz w:val="16"/>
                <w:szCs w:val="16"/>
              </w:rPr>
              <w:t>2 207.1</w:t>
            </w:r>
          </w:p>
        </w:tc>
        <w:tc>
          <w:tcPr>
            <w:tcW w:w="1080" w:type="dxa"/>
            <w:tcBorders>
              <w:top w:val="nil"/>
              <w:left w:val="single" w:sz="4" w:space="0" w:color="auto"/>
              <w:bottom w:val="nil"/>
              <w:right w:val="single" w:sz="4" w:space="0" w:color="auto"/>
            </w:tcBorders>
            <w:shd w:val="clear" w:color="auto" w:fill="auto"/>
          </w:tcPr>
          <w:p w14:paraId="1866CA4E" w14:textId="77777777" w:rsidR="00191E41" w:rsidRPr="00191E41" w:rsidRDefault="00191E41" w:rsidP="00191E41">
            <w:pPr>
              <w:ind w:right="170"/>
              <w:jc w:val="right"/>
              <w:rPr>
                <w:sz w:val="16"/>
                <w:szCs w:val="16"/>
              </w:rPr>
            </w:pPr>
            <w:r w:rsidRPr="00191E41">
              <w:rPr>
                <w:sz w:val="16"/>
                <w:szCs w:val="16"/>
              </w:rPr>
              <w:t>9 575.0</w:t>
            </w:r>
          </w:p>
        </w:tc>
        <w:tc>
          <w:tcPr>
            <w:tcW w:w="900" w:type="dxa"/>
            <w:tcBorders>
              <w:top w:val="nil"/>
              <w:left w:val="single" w:sz="4" w:space="0" w:color="auto"/>
              <w:bottom w:val="nil"/>
              <w:right w:val="single" w:sz="4" w:space="0" w:color="auto"/>
            </w:tcBorders>
            <w:shd w:val="clear" w:color="auto" w:fill="auto"/>
          </w:tcPr>
          <w:p w14:paraId="3A6BCA3C" w14:textId="77777777" w:rsidR="00191E41" w:rsidRPr="00191E41" w:rsidRDefault="00191E41" w:rsidP="00191E41">
            <w:pPr>
              <w:ind w:right="113"/>
              <w:jc w:val="right"/>
              <w:rPr>
                <w:sz w:val="16"/>
                <w:szCs w:val="16"/>
              </w:rPr>
            </w:pPr>
            <w:r w:rsidRPr="00191E41">
              <w:rPr>
                <w:sz w:val="16"/>
                <w:szCs w:val="16"/>
              </w:rPr>
              <w:t>-394.7</w:t>
            </w:r>
          </w:p>
        </w:tc>
        <w:tc>
          <w:tcPr>
            <w:tcW w:w="1080" w:type="dxa"/>
            <w:tcBorders>
              <w:top w:val="nil"/>
              <w:left w:val="single" w:sz="4" w:space="0" w:color="auto"/>
              <w:bottom w:val="nil"/>
            </w:tcBorders>
            <w:shd w:val="clear" w:color="auto" w:fill="auto"/>
          </w:tcPr>
          <w:p w14:paraId="543A269A" w14:textId="77777777" w:rsidR="00191E41" w:rsidRPr="00191E41" w:rsidRDefault="00191E41" w:rsidP="00191E41">
            <w:pPr>
              <w:ind w:right="57"/>
              <w:jc w:val="right"/>
              <w:rPr>
                <w:sz w:val="16"/>
                <w:szCs w:val="16"/>
              </w:rPr>
            </w:pPr>
            <w:r w:rsidRPr="00191E41">
              <w:rPr>
                <w:sz w:val="16"/>
                <w:szCs w:val="16"/>
              </w:rPr>
              <w:t>152 049.5</w:t>
            </w:r>
          </w:p>
        </w:tc>
      </w:tr>
      <w:tr w:rsidR="00191E41" w:rsidRPr="00191E41" w14:paraId="4BF72041" w14:textId="77777777" w:rsidTr="001E7D79">
        <w:trPr>
          <w:jc w:val="center"/>
        </w:trPr>
        <w:tc>
          <w:tcPr>
            <w:tcW w:w="3585" w:type="dxa"/>
            <w:tcBorders>
              <w:top w:val="nil"/>
              <w:bottom w:val="nil"/>
              <w:right w:val="single" w:sz="4" w:space="0" w:color="auto"/>
            </w:tcBorders>
            <w:shd w:val="clear" w:color="auto" w:fill="auto"/>
          </w:tcPr>
          <w:p w14:paraId="39D914A0" w14:textId="77777777" w:rsidR="00191E41" w:rsidRPr="00191E41" w:rsidRDefault="00191E41" w:rsidP="00191E41">
            <w:pPr>
              <w:ind w:left="284"/>
              <w:rPr>
                <w:rFonts w:eastAsia="Times New Roman"/>
                <w:sz w:val="16"/>
                <w:szCs w:val="16"/>
              </w:rPr>
            </w:pPr>
            <w:r w:rsidRPr="00191E41">
              <w:rPr>
                <w:rFonts w:eastAsia="Times New Roman"/>
                <w:sz w:val="16"/>
                <w:szCs w:val="16"/>
              </w:rPr>
              <w:t>Corto Plazo</w:t>
            </w:r>
          </w:p>
        </w:tc>
        <w:tc>
          <w:tcPr>
            <w:tcW w:w="1080" w:type="dxa"/>
            <w:tcBorders>
              <w:top w:val="nil"/>
              <w:left w:val="single" w:sz="4" w:space="0" w:color="auto"/>
              <w:bottom w:val="nil"/>
              <w:right w:val="single" w:sz="4" w:space="0" w:color="auto"/>
            </w:tcBorders>
            <w:shd w:val="clear" w:color="auto" w:fill="auto"/>
          </w:tcPr>
          <w:p w14:paraId="57F92048" w14:textId="77777777" w:rsidR="00191E41" w:rsidRPr="00191E41" w:rsidRDefault="00191E41" w:rsidP="00191E41">
            <w:pPr>
              <w:ind w:right="113"/>
              <w:jc w:val="right"/>
              <w:rPr>
                <w:sz w:val="16"/>
                <w:szCs w:val="16"/>
              </w:rPr>
            </w:pPr>
            <w:r w:rsidRPr="00191E41">
              <w:rPr>
                <w:sz w:val="16"/>
                <w:szCs w:val="16"/>
              </w:rPr>
              <w:t>4 796.6</w:t>
            </w:r>
          </w:p>
        </w:tc>
        <w:tc>
          <w:tcPr>
            <w:tcW w:w="900" w:type="dxa"/>
            <w:tcBorders>
              <w:top w:val="nil"/>
              <w:left w:val="single" w:sz="4" w:space="0" w:color="auto"/>
              <w:bottom w:val="nil"/>
              <w:right w:val="single" w:sz="4" w:space="0" w:color="auto"/>
            </w:tcBorders>
            <w:shd w:val="clear" w:color="auto" w:fill="auto"/>
          </w:tcPr>
          <w:p w14:paraId="0B58420D" w14:textId="77777777" w:rsidR="00191E41" w:rsidRPr="00191E41" w:rsidRDefault="00191E41" w:rsidP="00191E41">
            <w:pPr>
              <w:ind w:right="57"/>
              <w:jc w:val="right"/>
              <w:rPr>
                <w:sz w:val="16"/>
                <w:szCs w:val="16"/>
              </w:rPr>
            </w:pPr>
            <w:r w:rsidRPr="00191E41">
              <w:rPr>
                <w:sz w:val="16"/>
                <w:szCs w:val="16"/>
              </w:rPr>
              <w:t>1 217.5</w:t>
            </w:r>
          </w:p>
        </w:tc>
        <w:tc>
          <w:tcPr>
            <w:tcW w:w="900" w:type="dxa"/>
            <w:tcBorders>
              <w:top w:val="nil"/>
              <w:left w:val="single" w:sz="4" w:space="0" w:color="auto"/>
              <w:bottom w:val="nil"/>
              <w:right w:val="single" w:sz="4" w:space="0" w:color="auto"/>
            </w:tcBorders>
            <w:shd w:val="clear" w:color="auto" w:fill="auto"/>
          </w:tcPr>
          <w:p w14:paraId="53EAA2AC" w14:textId="77777777" w:rsidR="00191E41" w:rsidRPr="00191E41" w:rsidRDefault="00191E41" w:rsidP="00191E41">
            <w:pPr>
              <w:ind w:right="57"/>
              <w:jc w:val="right"/>
              <w:rPr>
                <w:sz w:val="16"/>
                <w:szCs w:val="16"/>
              </w:rPr>
            </w:pPr>
            <w:r w:rsidRPr="00191E41">
              <w:rPr>
                <w:sz w:val="16"/>
                <w:szCs w:val="16"/>
              </w:rPr>
              <w:t>978.3</w:t>
            </w:r>
          </w:p>
        </w:tc>
        <w:tc>
          <w:tcPr>
            <w:tcW w:w="1080" w:type="dxa"/>
            <w:tcBorders>
              <w:top w:val="nil"/>
              <w:left w:val="single" w:sz="4" w:space="0" w:color="auto"/>
              <w:bottom w:val="nil"/>
              <w:right w:val="single" w:sz="4" w:space="0" w:color="auto"/>
            </w:tcBorders>
            <w:shd w:val="clear" w:color="auto" w:fill="auto"/>
          </w:tcPr>
          <w:p w14:paraId="6B6F71EE" w14:textId="77777777" w:rsidR="00191E41" w:rsidRPr="00191E41" w:rsidRDefault="00191E41" w:rsidP="00191E41">
            <w:pPr>
              <w:ind w:right="170"/>
              <w:jc w:val="right"/>
              <w:rPr>
                <w:sz w:val="16"/>
                <w:szCs w:val="16"/>
              </w:rPr>
            </w:pPr>
            <w:r w:rsidRPr="00191E41">
              <w:rPr>
                <w:sz w:val="16"/>
                <w:szCs w:val="16"/>
              </w:rPr>
              <w:t>239.2</w:t>
            </w:r>
          </w:p>
        </w:tc>
        <w:tc>
          <w:tcPr>
            <w:tcW w:w="900" w:type="dxa"/>
            <w:tcBorders>
              <w:top w:val="nil"/>
              <w:left w:val="single" w:sz="4" w:space="0" w:color="auto"/>
              <w:bottom w:val="nil"/>
              <w:right w:val="single" w:sz="4" w:space="0" w:color="auto"/>
            </w:tcBorders>
            <w:shd w:val="clear" w:color="auto" w:fill="auto"/>
          </w:tcPr>
          <w:p w14:paraId="2D72A24F" w14:textId="77777777" w:rsidR="00191E41" w:rsidRPr="00191E41" w:rsidRDefault="00191E41" w:rsidP="00191E41">
            <w:pPr>
              <w:ind w:right="113"/>
              <w:jc w:val="right"/>
              <w:rPr>
                <w:sz w:val="16"/>
                <w:szCs w:val="16"/>
              </w:rPr>
            </w:pPr>
            <w:r w:rsidRPr="00191E41">
              <w:rPr>
                <w:sz w:val="16"/>
                <w:szCs w:val="16"/>
              </w:rPr>
              <w:t>-2.1</w:t>
            </w:r>
          </w:p>
        </w:tc>
        <w:tc>
          <w:tcPr>
            <w:tcW w:w="1080" w:type="dxa"/>
            <w:tcBorders>
              <w:top w:val="nil"/>
              <w:left w:val="single" w:sz="4" w:space="0" w:color="auto"/>
              <w:bottom w:val="nil"/>
            </w:tcBorders>
            <w:shd w:val="clear" w:color="auto" w:fill="auto"/>
          </w:tcPr>
          <w:p w14:paraId="21C98B71" w14:textId="77777777" w:rsidR="00191E41" w:rsidRPr="00191E41" w:rsidRDefault="00191E41" w:rsidP="00191E41">
            <w:pPr>
              <w:ind w:right="57"/>
              <w:jc w:val="right"/>
              <w:rPr>
                <w:sz w:val="16"/>
                <w:szCs w:val="16"/>
              </w:rPr>
            </w:pPr>
            <w:r w:rsidRPr="00191E41">
              <w:rPr>
                <w:sz w:val="16"/>
                <w:szCs w:val="16"/>
              </w:rPr>
              <w:t>5 033.7</w:t>
            </w:r>
          </w:p>
        </w:tc>
      </w:tr>
      <w:tr w:rsidR="00191E41" w:rsidRPr="00191E41" w14:paraId="1B847FC4" w14:textId="77777777" w:rsidTr="001E7D79">
        <w:trPr>
          <w:jc w:val="center"/>
        </w:trPr>
        <w:tc>
          <w:tcPr>
            <w:tcW w:w="3585" w:type="dxa"/>
            <w:tcBorders>
              <w:top w:val="nil"/>
              <w:bottom w:val="nil"/>
              <w:right w:val="single" w:sz="4" w:space="0" w:color="auto"/>
            </w:tcBorders>
            <w:shd w:val="clear" w:color="auto" w:fill="auto"/>
          </w:tcPr>
          <w:p w14:paraId="629D2BE9" w14:textId="77777777" w:rsidR="00191E41" w:rsidRPr="00191E41" w:rsidRDefault="00191E41" w:rsidP="00191E41">
            <w:pPr>
              <w:ind w:left="170"/>
              <w:rPr>
                <w:rFonts w:eastAsia="Times New Roman"/>
                <w:b/>
                <w:sz w:val="16"/>
                <w:szCs w:val="16"/>
              </w:rPr>
            </w:pPr>
            <w:r w:rsidRPr="00191E41">
              <w:rPr>
                <w:rFonts w:eastAsia="Times New Roman"/>
                <w:b/>
                <w:sz w:val="16"/>
                <w:szCs w:val="16"/>
              </w:rPr>
              <w:t>Estructura por Usuario</w:t>
            </w:r>
          </w:p>
        </w:tc>
        <w:tc>
          <w:tcPr>
            <w:tcW w:w="1080" w:type="dxa"/>
            <w:tcBorders>
              <w:top w:val="nil"/>
              <w:left w:val="single" w:sz="4" w:space="0" w:color="auto"/>
              <w:bottom w:val="nil"/>
              <w:right w:val="single" w:sz="4" w:space="0" w:color="auto"/>
            </w:tcBorders>
            <w:shd w:val="clear" w:color="auto" w:fill="auto"/>
          </w:tcPr>
          <w:p w14:paraId="42AA82BB" w14:textId="77777777" w:rsidR="00191E41" w:rsidRPr="00191E41" w:rsidRDefault="00191E41" w:rsidP="00191E41">
            <w:pPr>
              <w:ind w:right="113"/>
              <w:jc w:val="right"/>
              <w:rPr>
                <w:b/>
                <w:sz w:val="16"/>
                <w:szCs w:val="16"/>
              </w:rPr>
            </w:pPr>
            <w:r w:rsidRPr="00191E41">
              <w:rPr>
                <w:b/>
                <w:sz w:val="16"/>
                <w:szCs w:val="16"/>
              </w:rPr>
              <w:t>147 665.8</w:t>
            </w:r>
          </w:p>
        </w:tc>
        <w:tc>
          <w:tcPr>
            <w:tcW w:w="900" w:type="dxa"/>
            <w:tcBorders>
              <w:top w:val="nil"/>
              <w:left w:val="single" w:sz="4" w:space="0" w:color="auto"/>
              <w:bottom w:val="nil"/>
              <w:right w:val="single" w:sz="4" w:space="0" w:color="auto"/>
            </w:tcBorders>
            <w:shd w:val="clear" w:color="auto" w:fill="auto"/>
          </w:tcPr>
          <w:p w14:paraId="226607CB" w14:textId="77777777" w:rsidR="00191E41" w:rsidRPr="00191E41" w:rsidRDefault="00191E41" w:rsidP="00191E41">
            <w:pPr>
              <w:ind w:right="57"/>
              <w:jc w:val="right"/>
              <w:rPr>
                <w:b/>
                <w:sz w:val="16"/>
                <w:szCs w:val="16"/>
              </w:rPr>
            </w:pPr>
            <w:r w:rsidRPr="00191E41">
              <w:rPr>
                <w:b/>
                <w:sz w:val="16"/>
                <w:szCs w:val="16"/>
              </w:rPr>
              <w:t>12 999.6</w:t>
            </w:r>
          </w:p>
        </w:tc>
        <w:tc>
          <w:tcPr>
            <w:tcW w:w="900" w:type="dxa"/>
            <w:tcBorders>
              <w:top w:val="nil"/>
              <w:left w:val="single" w:sz="4" w:space="0" w:color="auto"/>
              <w:bottom w:val="nil"/>
              <w:right w:val="single" w:sz="4" w:space="0" w:color="auto"/>
            </w:tcBorders>
            <w:shd w:val="clear" w:color="auto" w:fill="auto"/>
          </w:tcPr>
          <w:p w14:paraId="3F45B1A4" w14:textId="77777777" w:rsidR="00191E41" w:rsidRPr="00191E41" w:rsidRDefault="00191E41" w:rsidP="00191E41">
            <w:pPr>
              <w:ind w:right="57"/>
              <w:jc w:val="right"/>
              <w:rPr>
                <w:b/>
                <w:sz w:val="16"/>
                <w:szCs w:val="16"/>
              </w:rPr>
            </w:pPr>
            <w:r w:rsidRPr="00191E41">
              <w:rPr>
                <w:b/>
                <w:sz w:val="16"/>
                <w:szCs w:val="16"/>
              </w:rPr>
              <w:t>3 185.4</w:t>
            </w:r>
          </w:p>
        </w:tc>
        <w:tc>
          <w:tcPr>
            <w:tcW w:w="1080" w:type="dxa"/>
            <w:tcBorders>
              <w:top w:val="nil"/>
              <w:left w:val="single" w:sz="4" w:space="0" w:color="auto"/>
              <w:bottom w:val="nil"/>
              <w:right w:val="single" w:sz="4" w:space="0" w:color="auto"/>
            </w:tcBorders>
            <w:shd w:val="clear" w:color="auto" w:fill="auto"/>
          </w:tcPr>
          <w:p w14:paraId="6FBCB193" w14:textId="77777777" w:rsidR="00191E41" w:rsidRPr="00191E41" w:rsidRDefault="00191E41" w:rsidP="00191E41">
            <w:pPr>
              <w:ind w:right="170"/>
              <w:jc w:val="right"/>
              <w:rPr>
                <w:b/>
                <w:sz w:val="16"/>
                <w:szCs w:val="16"/>
              </w:rPr>
            </w:pPr>
            <w:r w:rsidRPr="00191E41">
              <w:rPr>
                <w:b/>
                <w:sz w:val="16"/>
                <w:szCs w:val="16"/>
              </w:rPr>
              <w:t>9 814.2</w:t>
            </w:r>
          </w:p>
        </w:tc>
        <w:tc>
          <w:tcPr>
            <w:tcW w:w="900" w:type="dxa"/>
            <w:tcBorders>
              <w:top w:val="nil"/>
              <w:left w:val="single" w:sz="4" w:space="0" w:color="auto"/>
              <w:bottom w:val="nil"/>
              <w:right w:val="single" w:sz="4" w:space="0" w:color="auto"/>
            </w:tcBorders>
            <w:shd w:val="clear" w:color="auto" w:fill="auto"/>
          </w:tcPr>
          <w:p w14:paraId="34F53BCE" w14:textId="77777777" w:rsidR="00191E41" w:rsidRPr="00191E41" w:rsidRDefault="00191E41" w:rsidP="00191E41">
            <w:pPr>
              <w:ind w:right="113"/>
              <w:jc w:val="right"/>
              <w:rPr>
                <w:b/>
                <w:sz w:val="16"/>
                <w:szCs w:val="16"/>
              </w:rPr>
            </w:pPr>
            <w:r w:rsidRPr="00191E41">
              <w:rPr>
                <w:b/>
                <w:sz w:val="16"/>
                <w:szCs w:val="16"/>
              </w:rPr>
              <w:t>-396.8</w:t>
            </w:r>
          </w:p>
        </w:tc>
        <w:tc>
          <w:tcPr>
            <w:tcW w:w="1080" w:type="dxa"/>
            <w:tcBorders>
              <w:top w:val="nil"/>
              <w:left w:val="single" w:sz="4" w:space="0" w:color="auto"/>
              <w:bottom w:val="nil"/>
            </w:tcBorders>
            <w:shd w:val="clear" w:color="auto" w:fill="auto"/>
          </w:tcPr>
          <w:p w14:paraId="3F041ACA" w14:textId="77777777" w:rsidR="00191E41" w:rsidRPr="00191E41" w:rsidRDefault="00191E41" w:rsidP="00191E41">
            <w:pPr>
              <w:ind w:right="57"/>
              <w:jc w:val="right"/>
              <w:rPr>
                <w:b/>
                <w:sz w:val="16"/>
                <w:szCs w:val="16"/>
              </w:rPr>
            </w:pPr>
            <w:r w:rsidRPr="00191E41">
              <w:rPr>
                <w:b/>
                <w:sz w:val="16"/>
                <w:szCs w:val="16"/>
              </w:rPr>
              <w:t>157 083.2</w:t>
            </w:r>
          </w:p>
        </w:tc>
      </w:tr>
      <w:tr w:rsidR="00191E41" w:rsidRPr="00191E41" w14:paraId="4FF0B676" w14:textId="77777777" w:rsidTr="001E7D79">
        <w:trPr>
          <w:jc w:val="center"/>
        </w:trPr>
        <w:tc>
          <w:tcPr>
            <w:tcW w:w="3585" w:type="dxa"/>
            <w:tcBorders>
              <w:top w:val="nil"/>
              <w:bottom w:val="nil"/>
              <w:right w:val="single" w:sz="4" w:space="0" w:color="auto"/>
            </w:tcBorders>
            <w:shd w:val="clear" w:color="auto" w:fill="auto"/>
          </w:tcPr>
          <w:p w14:paraId="45264783" w14:textId="77777777" w:rsidR="00191E41" w:rsidRPr="00191E41" w:rsidRDefault="00191E41" w:rsidP="00191E41">
            <w:pPr>
              <w:ind w:left="284"/>
              <w:rPr>
                <w:rFonts w:eastAsia="Times New Roman"/>
                <w:sz w:val="16"/>
                <w:szCs w:val="16"/>
              </w:rPr>
            </w:pPr>
            <w:r w:rsidRPr="00191E41">
              <w:rPr>
                <w:rFonts w:eastAsia="Times New Roman"/>
                <w:sz w:val="16"/>
                <w:szCs w:val="16"/>
              </w:rPr>
              <w:t>Gobierno Federal</w:t>
            </w:r>
          </w:p>
        </w:tc>
        <w:tc>
          <w:tcPr>
            <w:tcW w:w="1080" w:type="dxa"/>
            <w:tcBorders>
              <w:top w:val="nil"/>
              <w:left w:val="single" w:sz="4" w:space="0" w:color="auto"/>
              <w:bottom w:val="nil"/>
              <w:right w:val="single" w:sz="4" w:space="0" w:color="auto"/>
            </w:tcBorders>
            <w:shd w:val="clear" w:color="auto" w:fill="auto"/>
          </w:tcPr>
          <w:p w14:paraId="6892471A" w14:textId="77777777" w:rsidR="00191E41" w:rsidRPr="00191E41" w:rsidRDefault="00191E41" w:rsidP="00191E41">
            <w:pPr>
              <w:ind w:right="113"/>
              <w:jc w:val="right"/>
              <w:rPr>
                <w:sz w:val="16"/>
                <w:szCs w:val="16"/>
              </w:rPr>
            </w:pPr>
            <w:r w:rsidRPr="00191E41">
              <w:rPr>
                <w:sz w:val="16"/>
                <w:szCs w:val="16"/>
              </w:rPr>
              <w:t>78 573.4</w:t>
            </w:r>
          </w:p>
        </w:tc>
        <w:tc>
          <w:tcPr>
            <w:tcW w:w="900" w:type="dxa"/>
            <w:tcBorders>
              <w:top w:val="nil"/>
              <w:left w:val="single" w:sz="4" w:space="0" w:color="auto"/>
              <w:bottom w:val="nil"/>
              <w:right w:val="single" w:sz="4" w:space="0" w:color="auto"/>
            </w:tcBorders>
            <w:shd w:val="clear" w:color="auto" w:fill="auto"/>
          </w:tcPr>
          <w:p w14:paraId="4EBE9A78" w14:textId="77777777" w:rsidR="00191E41" w:rsidRPr="00191E41" w:rsidRDefault="00191E41" w:rsidP="00191E41">
            <w:pPr>
              <w:ind w:right="57"/>
              <w:jc w:val="right"/>
              <w:rPr>
                <w:sz w:val="16"/>
                <w:szCs w:val="16"/>
              </w:rPr>
            </w:pPr>
            <w:r w:rsidRPr="00191E41">
              <w:rPr>
                <w:sz w:val="16"/>
                <w:szCs w:val="16"/>
              </w:rPr>
              <w:t>4 468.4</w:t>
            </w:r>
          </w:p>
        </w:tc>
        <w:tc>
          <w:tcPr>
            <w:tcW w:w="900" w:type="dxa"/>
            <w:tcBorders>
              <w:top w:val="nil"/>
              <w:left w:val="single" w:sz="4" w:space="0" w:color="auto"/>
              <w:bottom w:val="nil"/>
              <w:right w:val="single" w:sz="4" w:space="0" w:color="auto"/>
            </w:tcBorders>
            <w:shd w:val="clear" w:color="auto" w:fill="auto"/>
          </w:tcPr>
          <w:p w14:paraId="0138C843" w14:textId="77777777" w:rsidR="00191E41" w:rsidRPr="00191E41" w:rsidRDefault="00191E41" w:rsidP="00191E41">
            <w:pPr>
              <w:ind w:right="57"/>
              <w:jc w:val="right"/>
              <w:rPr>
                <w:sz w:val="16"/>
                <w:szCs w:val="16"/>
              </w:rPr>
            </w:pPr>
            <w:r w:rsidRPr="00191E41">
              <w:rPr>
                <w:sz w:val="16"/>
                <w:szCs w:val="16"/>
              </w:rPr>
              <w:t>2 079.3</w:t>
            </w:r>
          </w:p>
        </w:tc>
        <w:tc>
          <w:tcPr>
            <w:tcW w:w="1080" w:type="dxa"/>
            <w:tcBorders>
              <w:top w:val="nil"/>
              <w:left w:val="single" w:sz="4" w:space="0" w:color="auto"/>
              <w:bottom w:val="nil"/>
              <w:right w:val="single" w:sz="4" w:space="0" w:color="auto"/>
            </w:tcBorders>
            <w:shd w:val="clear" w:color="auto" w:fill="auto"/>
          </w:tcPr>
          <w:p w14:paraId="7A675D92" w14:textId="77777777" w:rsidR="00191E41" w:rsidRPr="00191E41" w:rsidRDefault="00191E41" w:rsidP="00191E41">
            <w:pPr>
              <w:ind w:right="170"/>
              <w:jc w:val="right"/>
              <w:rPr>
                <w:sz w:val="16"/>
                <w:szCs w:val="16"/>
              </w:rPr>
            </w:pPr>
            <w:r w:rsidRPr="00191E41">
              <w:rPr>
                <w:sz w:val="16"/>
                <w:szCs w:val="16"/>
              </w:rPr>
              <w:t>2 389.1</w:t>
            </w:r>
          </w:p>
        </w:tc>
        <w:tc>
          <w:tcPr>
            <w:tcW w:w="900" w:type="dxa"/>
            <w:tcBorders>
              <w:top w:val="nil"/>
              <w:left w:val="single" w:sz="4" w:space="0" w:color="auto"/>
              <w:bottom w:val="nil"/>
              <w:right w:val="single" w:sz="4" w:space="0" w:color="auto"/>
            </w:tcBorders>
            <w:shd w:val="clear" w:color="auto" w:fill="auto"/>
          </w:tcPr>
          <w:p w14:paraId="6A7DA2D3" w14:textId="77777777" w:rsidR="00191E41" w:rsidRPr="00191E41" w:rsidRDefault="00191E41" w:rsidP="00191E41">
            <w:pPr>
              <w:ind w:right="113"/>
              <w:jc w:val="right"/>
              <w:rPr>
                <w:sz w:val="16"/>
                <w:szCs w:val="16"/>
              </w:rPr>
            </w:pPr>
            <w:r w:rsidRPr="00191E41">
              <w:rPr>
                <w:sz w:val="16"/>
                <w:szCs w:val="16"/>
              </w:rPr>
              <w:t>-107.2</w:t>
            </w:r>
          </w:p>
        </w:tc>
        <w:tc>
          <w:tcPr>
            <w:tcW w:w="1080" w:type="dxa"/>
            <w:tcBorders>
              <w:top w:val="nil"/>
              <w:left w:val="single" w:sz="4" w:space="0" w:color="auto"/>
              <w:bottom w:val="nil"/>
            </w:tcBorders>
            <w:shd w:val="clear" w:color="auto" w:fill="auto"/>
          </w:tcPr>
          <w:p w14:paraId="70DC5689" w14:textId="77777777" w:rsidR="00191E41" w:rsidRPr="00191E41" w:rsidRDefault="00191E41" w:rsidP="00191E41">
            <w:pPr>
              <w:ind w:right="57"/>
              <w:jc w:val="right"/>
              <w:rPr>
                <w:sz w:val="16"/>
                <w:szCs w:val="16"/>
              </w:rPr>
            </w:pPr>
            <w:r w:rsidRPr="00191E41">
              <w:rPr>
                <w:sz w:val="16"/>
                <w:szCs w:val="16"/>
              </w:rPr>
              <w:t>80 855.3</w:t>
            </w:r>
          </w:p>
        </w:tc>
      </w:tr>
      <w:tr w:rsidR="00191E41" w:rsidRPr="00191E41" w14:paraId="113DD7A3" w14:textId="77777777" w:rsidTr="001E7D79">
        <w:trPr>
          <w:jc w:val="center"/>
        </w:trPr>
        <w:tc>
          <w:tcPr>
            <w:tcW w:w="3585" w:type="dxa"/>
            <w:tcBorders>
              <w:top w:val="nil"/>
              <w:bottom w:val="nil"/>
              <w:right w:val="single" w:sz="4" w:space="0" w:color="auto"/>
            </w:tcBorders>
            <w:shd w:val="clear" w:color="auto" w:fill="auto"/>
          </w:tcPr>
          <w:p w14:paraId="6094ADE6" w14:textId="77777777" w:rsidR="00191E41" w:rsidRPr="00191E41" w:rsidRDefault="00191E41" w:rsidP="00191E41">
            <w:pPr>
              <w:ind w:left="397"/>
              <w:rPr>
                <w:rFonts w:eastAsia="Times New Roman"/>
                <w:sz w:val="16"/>
                <w:szCs w:val="16"/>
              </w:rPr>
            </w:pPr>
            <w:r w:rsidRPr="00191E41">
              <w:rPr>
                <w:rFonts w:eastAsia="Times New Roman"/>
                <w:sz w:val="16"/>
                <w:szCs w:val="16"/>
              </w:rPr>
              <w:t>Largo Plazo</w:t>
            </w:r>
          </w:p>
        </w:tc>
        <w:tc>
          <w:tcPr>
            <w:tcW w:w="1080" w:type="dxa"/>
            <w:tcBorders>
              <w:top w:val="nil"/>
              <w:left w:val="single" w:sz="4" w:space="0" w:color="auto"/>
              <w:bottom w:val="nil"/>
              <w:right w:val="single" w:sz="4" w:space="0" w:color="auto"/>
            </w:tcBorders>
            <w:shd w:val="clear" w:color="auto" w:fill="auto"/>
          </w:tcPr>
          <w:p w14:paraId="42E03303" w14:textId="77777777" w:rsidR="00191E41" w:rsidRPr="00191E41" w:rsidRDefault="00191E41" w:rsidP="00191E41">
            <w:pPr>
              <w:ind w:right="113"/>
              <w:jc w:val="right"/>
              <w:rPr>
                <w:sz w:val="16"/>
                <w:szCs w:val="16"/>
              </w:rPr>
            </w:pPr>
            <w:r w:rsidRPr="00191E41">
              <w:rPr>
                <w:sz w:val="16"/>
                <w:szCs w:val="16"/>
              </w:rPr>
              <w:t>78 573.4</w:t>
            </w:r>
          </w:p>
        </w:tc>
        <w:tc>
          <w:tcPr>
            <w:tcW w:w="900" w:type="dxa"/>
            <w:tcBorders>
              <w:top w:val="nil"/>
              <w:left w:val="single" w:sz="4" w:space="0" w:color="auto"/>
              <w:bottom w:val="nil"/>
              <w:right w:val="single" w:sz="4" w:space="0" w:color="auto"/>
            </w:tcBorders>
            <w:shd w:val="clear" w:color="auto" w:fill="auto"/>
          </w:tcPr>
          <w:p w14:paraId="2E11C77E" w14:textId="77777777" w:rsidR="00191E41" w:rsidRPr="00191E41" w:rsidRDefault="00191E41" w:rsidP="00191E41">
            <w:pPr>
              <w:ind w:right="57"/>
              <w:jc w:val="right"/>
              <w:rPr>
                <w:sz w:val="16"/>
                <w:szCs w:val="16"/>
              </w:rPr>
            </w:pPr>
            <w:r w:rsidRPr="00191E41">
              <w:rPr>
                <w:sz w:val="16"/>
                <w:szCs w:val="16"/>
              </w:rPr>
              <w:t>4 468.4</w:t>
            </w:r>
          </w:p>
        </w:tc>
        <w:tc>
          <w:tcPr>
            <w:tcW w:w="900" w:type="dxa"/>
            <w:tcBorders>
              <w:top w:val="nil"/>
              <w:left w:val="single" w:sz="4" w:space="0" w:color="auto"/>
              <w:bottom w:val="nil"/>
              <w:right w:val="single" w:sz="4" w:space="0" w:color="auto"/>
            </w:tcBorders>
            <w:shd w:val="clear" w:color="auto" w:fill="auto"/>
          </w:tcPr>
          <w:p w14:paraId="7B1EF899" w14:textId="77777777" w:rsidR="00191E41" w:rsidRPr="00191E41" w:rsidRDefault="00191E41" w:rsidP="00191E41">
            <w:pPr>
              <w:ind w:right="57"/>
              <w:jc w:val="right"/>
              <w:rPr>
                <w:sz w:val="16"/>
                <w:szCs w:val="16"/>
              </w:rPr>
            </w:pPr>
            <w:r w:rsidRPr="00191E41">
              <w:rPr>
                <w:sz w:val="16"/>
                <w:szCs w:val="16"/>
              </w:rPr>
              <w:t>2 079.3</w:t>
            </w:r>
          </w:p>
        </w:tc>
        <w:tc>
          <w:tcPr>
            <w:tcW w:w="1080" w:type="dxa"/>
            <w:tcBorders>
              <w:top w:val="nil"/>
              <w:left w:val="single" w:sz="4" w:space="0" w:color="auto"/>
              <w:bottom w:val="nil"/>
              <w:right w:val="single" w:sz="4" w:space="0" w:color="auto"/>
            </w:tcBorders>
            <w:shd w:val="clear" w:color="auto" w:fill="auto"/>
          </w:tcPr>
          <w:p w14:paraId="6E33FEE3" w14:textId="77777777" w:rsidR="00191E41" w:rsidRPr="00191E41" w:rsidRDefault="00191E41" w:rsidP="00191E41">
            <w:pPr>
              <w:ind w:right="170"/>
              <w:jc w:val="right"/>
              <w:rPr>
                <w:sz w:val="16"/>
                <w:szCs w:val="16"/>
              </w:rPr>
            </w:pPr>
            <w:r w:rsidRPr="00191E41">
              <w:rPr>
                <w:sz w:val="16"/>
                <w:szCs w:val="16"/>
              </w:rPr>
              <w:t>2 389.1</w:t>
            </w:r>
          </w:p>
        </w:tc>
        <w:tc>
          <w:tcPr>
            <w:tcW w:w="900" w:type="dxa"/>
            <w:tcBorders>
              <w:top w:val="nil"/>
              <w:left w:val="single" w:sz="4" w:space="0" w:color="auto"/>
              <w:bottom w:val="nil"/>
              <w:right w:val="single" w:sz="4" w:space="0" w:color="auto"/>
            </w:tcBorders>
            <w:shd w:val="clear" w:color="auto" w:fill="auto"/>
          </w:tcPr>
          <w:p w14:paraId="5BC64DAA" w14:textId="77777777" w:rsidR="00191E41" w:rsidRPr="00191E41" w:rsidRDefault="00191E41" w:rsidP="00191E41">
            <w:pPr>
              <w:ind w:right="113"/>
              <w:jc w:val="right"/>
              <w:rPr>
                <w:sz w:val="16"/>
                <w:szCs w:val="16"/>
              </w:rPr>
            </w:pPr>
            <w:r w:rsidRPr="00191E41">
              <w:rPr>
                <w:sz w:val="16"/>
                <w:szCs w:val="16"/>
              </w:rPr>
              <w:t>-107.2</w:t>
            </w:r>
          </w:p>
        </w:tc>
        <w:tc>
          <w:tcPr>
            <w:tcW w:w="1080" w:type="dxa"/>
            <w:tcBorders>
              <w:top w:val="nil"/>
              <w:left w:val="single" w:sz="4" w:space="0" w:color="auto"/>
              <w:bottom w:val="nil"/>
            </w:tcBorders>
            <w:shd w:val="clear" w:color="auto" w:fill="auto"/>
          </w:tcPr>
          <w:p w14:paraId="619E4EB1" w14:textId="77777777" w:rsidR="00191E41" w:rsidRPr="00191E41" w:rsidRDefault="00191E41" w:rsidP="00191E41">
            <w:pPr>
              <w:ind w:right="57"/>
              <w:jc w:val="right"/>
              <w:rPr>
                <w:sz w:val="16"/>
                <w:szCs w:val="16"/>
              </w:rPr>
            </w:pPr>
            <w:r w:rsidRPr="00191E41">
              <w:rPr>
                <w:sz w:val="16"/>
                <w:szCs w:val="16"/>
              </w:rPr>
              <w:t>80 855.3</w:t>
            </w:r>
          </w:p>
        </w:tc>
      </w:tr>
      <w:tr w:rsidR="00191E41" w:rsidRPr="00191E41" w14:paraId="16DA9F7D" w14:textId="77777777" w:rsidTr="001E7D79">
        <w:trPr>
          <w:jc w:val="center"/>
        </w:trPr>
        <w:tc>
          <w:tcPr>
            <w:tcW w:w="3585" w:type="dxa"/>
            <w:tcBorders>
              <w:top w:val="nil"/>
              <w:bottom w:val="nil"/>
              <w:right w:val="single" w:sz="4" w:space="0" w:color="auto"/>
            </w:tcBorders>
            <w:shd w:val="clear" w:color="auto" w:fill="auto"/>
          </w:tcPr>
          <w:p w14:paraId="0C863AF2" w14:textId="77777777" w:rsidR="00191E41" w:rsidRPr="00191E41" w:rsidRDefault="00191E41" w:rsidP="00191E41">
            <w:pPr>
              <w:ind w:left="397"/>
              <w:rPr>
                <w:rFonts w:eastAsia="Times New Roman"/>
                <w:sz w:val="16"/>
                <w:szCs w:val="16"/>
              </w:rPr>
            </w:pPr>
            <w:r w:rsidRPr="00191E41">
              <w:rPr>
                <w:rFonts w:eastAsia="Times New Roman"/>
                <w:sz w:val="16"/>
                <w:szCs w:val="16"/>
              </w:rPr>
              <w:t>Corto Plazo</w:t>
            </w:r>
          </w:p>
        </w:tc>
        <w:tc>
          <w:tcPr>
            <w:tcW w:w="1080" w:type="dxa"/>
            <w:tcBorders>
              <w:top w:val="nil"/>
              <w:left w:val="single" w:sz="4" w:space="0" w:color="auto"/>
              <w:bottom w:val="nil"/>
              <w:right w:val="single" w:sz="4" w:space="0" w:color="auto"/>
            </w:tcBorders>
            <w:shd w:val="clear" w:color="auto" w:fill="auto"/>
          </w:tcPr>
          <w:p w14:paraId="14900845" w14:textId="77777777" w:rsidR="00191E41" w:rsidRPr="00191E41" w:rsidRDefault="00191E41" w:rsidP="00191E41">
            <w:pPr>
              <w:ind w:right="113"/>
              <w:jc w:val="right"/>
              <w:rPr>
                <w:sz w:val="16"/>
                <w:szCs w:val="16"/>
              </w:rPr>
            </w:pPr>
            <w:r w:rsidRPr="00191E41">
              <w:rPr>
                <w:sz w:val="16"/>
                <w:szCs w:val="16"/>
              </w:rPr>
              <w:t>0.0</w:t>
            </w:r>
          </w:p>
        </w:tc>
        <w:tc>
          <w:tcPr>
            <w:tcW w:w="900" w:type="dxa"/>
            <w:tcBorders>
              <w:top w:val="nil"/>
              <w:left w:val="single" w:sz="4" w:space="0" w:color="auto"/>
              <w:bottom w:val="nil"/>
              <w:right w:val="single" w:sz="4" w:space="0" w:color="auto"/>
            </w:tcBorders>
            <w:shd w:val="clear" w:color="auto" w:fill="auto"/>
          </w:tcPr>
          <w:p w14:paraId="7499F4F0" w14:textId="77777777" w:rsidR="00191E41" w:rsidRPr="00191E41" w:rsidRDefault="00191E41" w:rsidP="00191E41">
            <w:pPr>
              <w:ind w:right="57"/>
              <w:jc w:val="right"/>
              <w:rPr>
                <w:sz w:val="16"/>
                <w:szCs w:val="16"/>
              </w:rPr>
            </w:pPr>
            <w:r w:rsidRPr="00191E41">
              <w:rPr>
                <w:sz w:val="16"/>
                <w:szCs w:val="16"/>
              </w:rPr>
              <w:t>0.0</w:t>
            </w:r>
          </w:p>
        </w:tc>
        <w:tc>
          <w:tcPr>
            <w:tcW w:w="900" w:type="dxa"/>
            <w:tcBorders>
              <w:top w:val="nil"/>
              <w:left w:val="single" w:sz="4" w:space="0" w:color="auto"/>
              <w:bottom w:val="nil"/>
              <w:right w:val="single" w:sz="4" w:space="0" w:color="auto"/>
            </w:tcBorders>
            <w:shd w:val="clear" w:color="auto" w:fill="auto"/>
          </w:tcPr>
          <w:p w14:paraId="51568C07" w14:textId="77777777" w:rsidR="00191E41" w:rsidRPr="00191E41" w:rsidRDefault="00191E41" w:rsidP="00191E41">
            <w:pPr>
              <w:ind w:right="57"/>
              <w:jc w:val="right"/>
              <w:rPr>
                <w:sz w:val="16"/>
                <w:szCs w:val="16"/>
              </w:rPr>
            </w:pPr>
            <w:r w:rsidRPr="00191E41">
              <w:rPr>
                <w:sz w:val="16"/>
                <w:szCs w:val="16"/>
              </w:rPr>
              <w:t>0.0</w:t>
            </w:r>
          </w:p>
        </w:tc>
        <w:tc>
          <w:tcPr>
            <w:tcW w:w="1080" w:type="dxa"/>
            <w:tcBorders>
              <w:top w:val="nil"/>
              <w:left w:val="single" w:sz="4" w:space="0" w:color="auto"/>
              <w:bottom w:val="nil"/>
              <w:right w:val="single" w:sz="4" w:space="0" w:color="auto"/>
            </w:tcBorders>
            <w:shd w:val="clear" w:color="auto" w:fill="auto"/>
          </w:tcPr>
          <w:p w14:paraId="0046D7AA" w14:textId="77777777" w:rsidR="00191E41" w:rsidRPr="00191E41" w:rsidRDefault="00191E41" w:rsidP="00191E41">
            <w:pPr>
              <w:ind w:right="170"/>
              <w:jc w:val="right"/>
              <w:rPr>
                <w:sz w:val="16"/>
                <w:szCs w:val="16"/>
              </w:rPr>
            </w:pPr>
            <w:r w:rsidRPr="00191E41">
              <w:rPr>
                <w:sz w:val="16"/>
                <w:szCs w:val="16"/>
              </w:rPr>
              <w:t>0.0</w:t>
            </w:r>
          </w:p>
        </w:tc>
        <w:tc>
          <w:tcPr>
            <w:tcW w:w="900" w:type="dxa"/>
            <w:tcBorders>
              <w:top w:val="nil"/>
              <w:left w:val="single" w:sz="4" w:space="0" w:color="auto"/>
              <w:bottom w:val="nil"/>
              <w:right w:val="single" w:sz="4" w:space="0" w:color="auto"/>
            </w:tcBorders>
            <w:shd w:val="clear" w:color="auto" w:fill="auto"/>
          </w:tcPr>
          <w:p w14:paraId="38CC568C" w14:textId="77777777" w:rsidR="00191E41" w:rsidRPr="00191E41" w:rsidRDefault="00191E41" w:rsidP="00191E41">
            <w:pPr>
              <w:ind w:right="113"/>
              <w:jc w:val="right"/>
              <w:rPr>
                <w:sz w:val="16"/>
                <w:szCs w:val="16"/>
              </w:rPr>
            </w:pPr>
            <w:r w:rsidRPr="00191E41">
              <w:rPr>
                <w:sz w:val="16"/>
                <w:szCs w:val="16"/>
              </w:rPr>
              <w:t>0.0</w:t>
            </w:r>
          </w:p>
        </w:tc>
        <w:tc>
          <w:tcPr>
            <w:tcW w:w="1080" w:type="dxa"/>
            <w:tcBorders>
              <w:top w:val="nil"/>
              <w:left w:val="single" w:sz="4" w:space="0" w:color="auto"/>
              <w:bottom w:val="nil"/>
            </w:tcBorders>
            <w:shd w:val="clear" w:color="auto" w:fill="auto"/>
          </w:tcPr>
          <w:p w14:paraId="1220FEC6" w14:textId="77777777" w:rsidR="00191E41" w:rsidRPr="00191E41" w:rsidRDefault="00191E41" w:rsidP="00191E41">
            <w:pPr>
              <w:ind w:right="57"/>
              <w:jc w:val="right"/>
              <w:rPr>
                <w:sz w:val="16"/>
                <w:szCs w:val="16"/>
              </w:rPr>
            </w:pPr>
            <w:r w:rsidRPr="00191E41">
              <w:rPr>
                <w:sz w:val="16"/>
                <w:szCs w:val="16"/>
              </w:rPr>
              <w:t>0.0</w:t>
            </w:r>
          </w:p>
        </w:tc>
      </w:tr>
      <w:tr w:rsidR="00191E41" w:rsidRPr="00191E41" w14:paraId="5D99A0CD" w14:textId="77777777" w:rsidTr="001E7D79">
        <w:trPr>
          <w:jc w:val="center"/>
        </w:trPr>
        <w:tc>
          <w:tcPr>
            <w:tcW w:w="3585" w:type="dxa"/>
            <w:tcBorders>
              <w:top w:val="nil"/>
              <w:bottom w:val="nil"/>
              <w:right w:val="single" w:sz="4" w:space="0" w:color="auto"/>
            </w:tcBorders>
            <w:shd w:val="clear" w:color="auto" w:fill="auto"/>
          </w:tcPr>
          <w:p w14:paraId="5C2542AB" w14:textId="77777777" w:rsidR="00191E41" w:rsidRPr="00191E41" w:rsidRDefault="00191E41" w:rsidP="00191E41">
            <w:pPr>
              <w:ind w:left="284"/>
              <w:rPr>
                <w:rFonts w:eastAsia="Times New Roman"/>
                <w:sz w:val="16"/>
                <w:szCs w:val="16"/>
              </w:rPr>
            </w:pPr>
            <w:r w:rsidRPr="00191E41">
              <w:rPr>
                <w:rFonts w:eastAsia="Times New Roman"/>
                <w:sz w:val="16"/>
                <w:szCs w:val="16"/>
              </w:rPr>
              <w:t>Empresas productivas del estado</w:t>
            </w:r>
          </w:p>
        </w:tc>
        <w:tc>
          <w:tcPr>
            <w:tcW w:w="1080" w:type="dxa"/>
            <w:tcBorders>
              <w:top w:val="nil"/>
              <w:left w:val="single" w:sz="4" w:space="0" w:color="auto"/>
              <w:bottom w:val="nil"/>
              <w:right w:val="single" w:sz="4" w:space="0" w:color="auto"/>
            </w:tcBorders>
            <w:shd w:val="clear" w:color="auto" w:fill="auto"/>
          </w:tcPr>
          <w:p w14:paraId="1C7B862C" w14:textId="77777777" w:rsidR="00191E41" w:rsidRPr="00191E41" w:rsidRDefault="00191E41" w:rsidP="00191E41">
            <w:pPr>
              <w:ind w:right="113"/>
              <w:jc w:val="right"/>
              <w:rPr>
                <w:sz w:val="16"/>
                <w:szCs w:val="16"/>
              </w:rPr>
            </w:pPr>
            <w:r w:rsidRPr="00191E41">
              <w:rPr>
                <w:sz w:val="16"/>
                <w:szCs w:val="16"/>
              </w:rPr>
              <w:t>59 563.1</w:t>
            </w:r>
          </w:p>
        </w:tc>
        <w:tc>
          <w:tcPr>
            <w:tcW w:w="900" w:type="dxa"/>
            <w:tcBorders>
              <w:top w:val="nil"/>
              <w:left w:val="single" w:sz="4" w:space="0" w:color="auto"/>
              <w:bottom w:val="nil"/>
              <w:right w:val="single" w:sz="4" w:space="0" w:color="auto"/>
            </w:tcBorders>
            <w:shd w:val="clear" w:color="auto" w:fill="auto"/>
          </w:tcPr>
          <w:p w14:paraId="49D6F69D" w14:textId="77777777" w:rsidR="00191E41" w:rsidRPr="00191E41" w:rsidRDefault="00191E41" w:rsidP="00191E41">
            <w:pPr>
              <w:ind w:right="57"/>
              <w:jc w:val="right"/>
              <w:rPr>
                <w:sz w:val="16"/>
                <w:szCs w:val="16"/>
              </w:rPr>
            </w:pPr>
            <w:r w:rsidRPr="00191E41">
              <w:rPr>
                <w:sz w:val="16"/>
                <w:szCs w:val="16"/>
              </w:rPr>
              <w:t>7 446.9</w:t>
            </w:r>
          </w:p>
        </w:tc>
        <w:tc>
          <w:tcPr>
            <w:tcW w:w="900" w:type="dxa"/>
            <w:tcBorders>
              <w:top w:val="nil"/>
              <w:left w:val="single" w:sz="4" w:space="0" w:color="auto"/>
              <w:bottom w:val="nil"/>
              <w:right w:val="single" w:sz="4" w:space="0" w:color="auto"/>
            </w:tcBorders>
            <w:shd w:val="clear" w:color="auto" w:fill="auto"/>
          </w:tcPr>
          <w:p w14:paraId="56BFBA74" w14:textId="77777777" w:rsidR="00191E41" w:rsidRPr="00191E41" w:rsidRDefault="00191E41" w:rsidP="00191E41">
            <w:pPr>
              <w:ind w:right="57"/>
              <w:jc w:val="right"/>
              <w:rPr>
                <w:sz w:val="16"/>
                <w:szCs w:val="16"/>
              </w:rPr>
            </w:pPr>
            <w:r w:rsidRPr="00191E41">
              <w:rPr>
                <w:sz w:val="16"/>
                <w:szCs w:val="16"/>
              </w:rPr>
              <w:t>109.7</w:t>
            </w:r>
          </w:p>
        </w:tc>
        <w:tc>
          <w:tcPr>
            <w:tcW w:w="1080" w:type="dxa"/>
            <w:tcBorders>
              <w:top w:val="nil"/>
              <w:left w:val="single" w:sz="4" w:space="0" w:color="auto"/>
              <w:bottom w:val="nil"/>
              <w:right w:val="single" w:sz="4" w:space="0" w:color="auto"/>
            </w:tcBorders>
            <w:shd w:val="clear" w:color="auto" w:fill="auto"/>
          </w:tcPr>
          <w:p w14:paraId="1460D0AE" w14:textId="77777777" w:rsidR="00191E41" w:rsidRPr="00191E41" w:rsidRDefault="00191E41" w:rsidP="00191E41">
            <w:pPr>
              <w:ind w:right="170"/>
              <w:jc w:val="right"/>
              <w:rPr>
                <w:sz w:val="16"/>
                <w:szCs w:val="16"/>
              </w:rPr>
            </w:pPr>
            <w:r w:rsidRPr="00191E41">
              <w:rPr>
                <w:sz w:val="16"/>
                <w:szCs w:val="16"/>
              </w:rPr>
              <w:t>7 337.2</w:t>
            </w:r>
          </w:p>
        </w:tc>
        <w:tc>
          <w:tcPr>
            <w:tcW w:w="900" w:type="dxa"/>
            <w:tcBorders>
              <w:top w:val="nil"/>
              <w:left w:val="single" w:sz="4" w:space="0" w:color="auto"/>
              <w:bottom w:val="nil"/>
              <w:right w:val="single" w:sz="4" w:space="0" w:color="auto"/>
            </w:tcBorders>
            <w:shd w:val="clear" w:color="auto" w:fill="auto"/>
          </w:tcPr>
          <w:p w14:paraId="61326333" w14:textId="77777777" w:rsidR="00191E41" w:rsidRPr="00191E41" w:rsidRDefault="00191E41" w:rsidP="00191E41">
            <w:pPr>
              <w:ind w:right="113"/>
              <w:jc w:val="right"/>
              <w:rPr>
                <w:sz w:val="16"/>
                <w:szCs w:val="16"/>
              </w:rPr>
            </w:pPr>
            <w:r w:rsidRPr="00191E41">
              <w:rPr>
                <w:sz w:val="16"/>
                <w:szCs w:val="16"/>
              </w:rPr>
              <w:t>-302.7</w:t>
            </w:r>
          </w:p>
        </w:tc>
        <w:tc>
          <w:tcPr>
            <w:tcW w:w="1080" w:type="dxa"/>
            <w:tcBorders>
              <w:top w:val="nil"/>
              <w:left w:val="single" w:sz="4" w:space="0" w:color="auto"/>
              <w:bottom w:val="nil"/>
            </w:tcBorders>
            <w:shd w:val="clear" w:color="auto" w:fill="auto"/>
          </w:tcPr>
          <w:p w14:paraId="65147A03" w14:textId="77777777" w:rsidR="00191E41" w:rsidRPr="00191E41" w:rsidRDefault="00191E41" w:rsidP="00191E41">
            <w:pPr>
              <w:ind w:right="57"/>
              <w:jc w:val="right"/>
              <w:rPr>
                <w:sz w:val="16"/>
                <w:szCs w:val="16"/>
              </w:rPr>
            </w:pPr>
            <w:r w:rsidRPr="00191E41">
              <w:rPr>
                <w:sz w:val="16"/>
                <w:szCs w:val="16"/>
              </w:rPr>
              <w:t>66 597.6</w:t>
            </w:r>
          </w:p>
        </w:tc>
      </w:tr>
      <w:tr w:rsidR="00191E41" w:rsidRPr="00191E41" w14:paraId="5D90F90C" w14:textId="77777777" w:rsidTr="001E7D79">
        <w:trPr>
          <w:jc w:val="center"/>
        </w:trPr>
        <w:tc>
          <w:tcPr>
            <w:tcW w:w="3585" w:type="dxa"/>
            <w:tcBorders>
              <w:top w:val="nil"/>
              <w:bottom w:val="nil"/>
              <w:right w:val="single" w:sz="4" w:space="0" w:color="auto"/>
            </w:tcBorders>
            <w:shd w:val="clear" w:color="auto" w:fill="auto"/>
          </w:tcPr>
          <w:p w14:paraId="69BABEE6" w14:textId="77777777" w:rsidR="00191E41" w:rsidRPr="00191E41" w:rsidRDefault="00191E41" w:rsidP="00191E41">
            <w:pPr>
              <w:ind w:left="397"/>
              <w:rPr>
                <w:rFonts w:eastAsia="Times New Roman"/>
                <w:sz w:val="16"/>
                <w:szCs w:val="16"/>
              </w:rPr>
            </w:pPr>
            <w:r w:rsidRPr="00191E41">
              <w:rPr>
                <w:rFonts w:eastAsia="Times New Roman"/>
                <w:sz w:val="16"/>
                <w:szCs w:val="16"/>
              </w:rPr>
              <w:t>Largo Plazo</w:t>
            </w:r>
          </w:p>
        </w:tc>
        <w:tc>
          <w:tcPr>
            <w:tcW w:w="1080" w:type="dxa"/>
            <w:tcBorders>
              <w:top w:val="nil"/>
              <w:left w:val="single" w:sz="4" w:space="0" w:color="auto"/>
              <w:bottom w:val="nil"/>
              <w:right w:val="single" w:sz="4" w:space="0" w:color="auto"/>
            </w:tcBorders>
            <w:shd w:val="clear" w:color="auto" w:fill="auto"/>
          </w:tcPr>
          <w:p w14:paraId="3C3A6302" w14:textId="77777777" w:rsidR="00191E41" w:rsidRPr="00191E41" w:rsidRDefault="00191E41" w:rsidP="00191E41">
            <w:pPr>
              <w:ind w:right="113"/>
              <w:jc w:val="right"/>
              <w:rPr>
                <w:sz w:val="16"/>
                <w:szCs w:val="16"/>
              </w:rPr>
            </w:pPr>
            <w:r w:rsidRPr="00191E41">
              <w:rPr>
                <w:sz w:val="16"/>
                <w:szCs w:val="16"/>
              </w:rPr>
              <w:t>58 863.1</w:t>
            </w:r>
          </w:p>
        </w:tc>
        <w:tc>
          <w:tcPr>
            <w:tcW w:w="900" w:type="dxa"/>
            <w:tcBorders>
              <w:top w:val="nil"/>
              <w:left w:val="single" w:sz="4" w:space="0" w:color="auto"/>
              <w:bottom w:val="nil"/>
              <w:right w:val="single" w:sz="4" w:space="0" w:color="auto"/>
            </w:tcBorders>
            <w:shd w:val="clear" w:color="auto" w:fill="auto"/>
          </w:tcPr>
          <w:p w14:paraId="26F51B52" w14:textId="77777777" w:rsidR="00191E41" w:rsidRPr="00191E41" w:rsidRDefault="00191E41" w:rsidP="00191E41">
            <w:pPr>
              <w:ind w:right="57"/>
              <w:jc w:val="right"/>
              <w:rPr>
                <w:sz w:val="16"/>
                <w:szCs w:val="16"/>
              </w:rPr>
            </w:pPr>
            <w:r w:rsidRPr="00191E41">
              <w:rPr>
                <w:sz w:val="16"/>
                <w:szCs w:val="16"/>
              </w:rPr>
              <w:t>7 253.7</w:t>
            </w:r>
          </w:p>
        </w:tc>
        <w:tc>
          <w:tcPr>
            <w:tcW w:w="900" w:type="dxa"/>
            <w:tcBorders>
              <w:top w:val="nil"/>
              <w:left w:val="single" w:sz="4" w:space="0" w:color="auto"/>
              <w:bottom w:val="nil"/>
              <w:right w:val="single" w:sz="4" w:space="0" w:color="auto"/>
            </w:tcBorders>
            <w:shd w:val="clear" w:color="auto" w:fill="auto"/>
          </w:tcPr>
          <w:p w14:paraId="2425D93B" w14:textId="77777777" w:rsidR="00191E41" w:rsidRPr="00191E41" w:rsidRDefault="00191E41" w:rsidP="00191E41">
            <w:pPr>
              <w:ind w:right="57"/>
              <w:jc w:val="right"/>
              <w:rPr>
                <w:sz w:val="16"/>
                <w:szCs w:val="16"/>
              </w:rPr>
            </w:pPr>
            <w:r w:rsidRPr="00191E41">
              <w:rPr>
                <w:sz w:val="16"/>
                <w:szCs w:val="16"/>
              </w:rPr>
              <w:t>106.8</w:t>
            </w:r>
          </w:p>
        </w:tc>
        <w:tc>
          <w:tcPr>
            <w:tcW w:w="1080" w:type="dxa"/>
            <w:tcBorders>
              <w:top w:val="nil"/>
              <w:left w:val="single" w:sz="4" w:space="0" w:color="auto"/>
              <w:bottom w:val="nil"/>
              <w:right w:val="single" w:sz="4" w:space="0" w:color="auto"/>
            </w:tcBorders>
            <w:shd w:val="clear" w:color="auto" w:fill="auto"/>
          </w:tcPr>
          <w:p w14:paraId="5B0B6800" w14:textId="77777777" w:rsidR="00191E41" w:rsidRPr="00191E41" w:rsidRDefault="00191E41" w:rsidP="00191E41">
            <w:pPr>
              <w:ind w:right="170"/>
              <w:jc w:val="right"/>
              <w:rPr>
                <w:sz w:val="16"/>
                <w:szCs w:val="16"/>
              </w:rPr>
            </w:pPr>
            <w:r w:rsidRPr="00191E41">
              <w:rPr>
                <w:sz w:val="16"/>
                <w:szCs w:val="16"/>
              </w:rPr>
              <w:t>7 146.9</w:t>
            </w:r>
          </w:p>
        </w:tc>
        <w:tc>
          <w:tcPr>
            <w:tcW w:w="900" w:type="dxa"/>
            <w:tcBorders>
              <w:top w:val="nil"/>
              <w:left w:val="single" w:sz="4" w:space="0" w:color="auto"/>
              <w:bottom w:val="nil"/>
              <w:right w:val="single" w:sz="4" w:space="0" w:color="auto"/>
            </w:tcBorders>
            <w:shd w:val="clear" w:color="auto" w:fill="auto"/>
          </w:tcPr>
          <w:p w14:paraId="5FA1B159" w14:textId="106BD361" w:rsidR="00191E41" w:rsidRPr="00191E41" w:rsidRDefault="00191E41" w:rsidP="00CB7BE4">
            <w:pPr>
              <w:ind w:right="113"/>
              <w:jc w:val="right"/>
              <w:rPr>
                <w:sz w:val="16"/>
                <w:szCs w:val="16"/>
              </w:rPr>
            </w:pPr>
            <w:r w:rsidRPr="00191E41">
              <w:rPr>
                <w:sz w:val="16"/>
                <w:szCs w:val="16"/>
              </w:rPr>
              <w:t>-302.7</w:t>
            </w:r>
          </w:p>
        </w:tc>
        <w:tc>
          <w:tcPr>
            <w:tcW w:w="1080" w:type="dxa"/>
            <w:tcBorders>
              <w:top w:val="nil"/>
              <w:left w:val="single" w:sz="4" w:space="0" w:color="auto"/>
              <w:bottom w:val="nil"/>
            </w:tcBorders>
            <w:shd w:val="clear" w:color="auto" w:fill="auto"/>
          </w:tcPr>
          <w:p w14:paraId="591D8C01" w14:textId="77777777" w:rsidR="00191E41" w:rsidRPr="00191E41" w:rsidRDefault="00191E41" w:rsidP="00191E41">
            <w:pPr>
              <w:ind w:right="57"/>
              <w:jc w:val="right"/>
              <w:rPr>
                <w:sz w:val="16"/>
                <w:szCs w:val="16"/>
              </w:rPr>
            </w:pPr>
            <w:r w:rsidRPr="00191E41">
              <w:rPr>
                <w:sz w:val="16"/>
                <w:szCs w:val="16"/>
              </w:rPr>
              <w:t>65 707.3</w:t>
            </w:r>
          </w:p>
        </w:tc>
      </w:tr>
      <w:tr w:rsidR="00191E41" w:rsidRPr="00191E41" w14:paraId="7DBAB95D" w14:textId="77777777" w:rsidTr="001E7D79">
        <w:trPr>
          <w:jc w:val="center"/>
        </w:trPr>
        <w:tc>
          <w:tcPr>
            <w:tcW w:w="3585" w:type="dxa"/>
            <w:tcBorders>
              <w:top w:val="nil"/>
              <w:bottom w:val="nil"/>
              <w:right w:val="single" w:sz="4" w:space="0" w:color="auto"/>
            </w:tcBorders>
            <w:shd w:val="clear" w:color="auto" w:fill="auto"/>
          </w:tcPr>
          <w:p w14:paraId="1DAF36C6" w14:textId="77777777" w:rsidR="00191E41" w:rsidRPr="00191E41" w:rsidRDefault="00191E41" w:rsidP="00191E41">
            <w:pPr>
              <w:ind w:left="397"/>
              <w:rPr>
                <w:rFonts w:eastAsia="Times New Roman"/>
                <w:sz w:val="16"/>
                <w:szCs w:val="16"/>
              </w:rPr>
            </w:pPr>
            <w:r w:rsidRPr="00191E41">
              <w:rPr>
                <w:rFonts w:eastAsia="Times New Roman"/>
                <w:sz w:val="16"/>
                <w:szCs w:val="16"/>
              </w:rPr>
              <w:t>Corto Plazo</w:t>
            </w:r>
          </w:p>
        </w:tc>
        <w:tc>
          <w:tcPr>
            <w:tcW w:w="1080" w:type="dxa"/>
            <w:tcBorders>
              <w:top w:val="nil"/>
              <w:left w:val="single" w:sz="4" w:space="0" w:color="auto"/>
              <w:bottom w:val="nil"/>
              <w:right w:val="single" w:sz="4" w:space="0" w:color="auto"/>
            </w:tcBorders>
            <w:shd w:val="clear" w:color="auto" w:fill="auto"/>
          </w:tcPr>
          <w:p w14:paraId="65D5159B" w14:textId="77777777" w:rsidR="00191E41" w:rsidRPr="00191E41" w:rsidRDefault="00191E41" w:rsidP="00191E41">
            <w:pPr>
              <w:ind w:right="113"/>
              <w:jc w:val="right"/>
              <w:rPr>
                <w:sz w:val="16"/>
                <w:szCs w:val="16"/>
              </w:rPr>
            </w:pPr>
            <w:r w:rsidRPr="00191E41">
              <w:rPr>
                <w:sz w:val="16"/>
                <w:szCs w:val="16"/>
              </w:rPr>
              <w:t>700.0</w:t>
            </w:r>
          </w:p>
        </w:tc>
        <w:tc>
          <w:tcPr>
            <w:tcW w:w="900" w:type="dxa"/>
            <w:tcBorders>
              <w:top w:val="nil"/>
              <w:left w:val="single" w:sz="4" w:space="0" w:color="auto"/>
              <w:bottom w:val="nil"/>
              <w:right w:val="single" w:sz="4" w:space="0" w:color="auto"/>
            </w:tcBorders>
            <w:shd w:val="clear" w:color="auto" w:fill="auto"/>
          </w:tcPr>
          <w:p w14:paraId="3AAAC6AE" w14:textId="77777777" w:rsidR="00191E41" w:rsidRPr="00191E41" w:rsidRDefault="00191E41" w:rsidP="00191E41">
            <w:pPr>
              <w:ind w:right="57"/>
              <w:jc w:val="right"/>
              <w:rPr>
                <w:sz w:val="16"/>
                <w:szCs w:val="16"/>
              </w:rPr>
            </w:pPr>
            <w:r w:rsidRPr="00191E41">
              <w:rPr>
                <w:sz w:val="16"/>
                <w:szCs w:val="16"/>
              </w:rPr>
              <w:t>193.2</w:t>
            </w:r>
          </w:p>
        </w:tc>
        <w:tc>
          <w:tcPr>
            <w:tcW w:w="900" w:type="dxa"/>
            <w:tcBorders>
              <w:top w:val="nil"/>
              <w:left w:val="single" w:sz="4" w:space="0" w:color="auto"/>
              <w:bottom w:val="nil"/>
              <w:right w:val="single" w:sz="4" w:space="0" w:color="auto"/>
            </w:tcBorders>
            <w:shd w:val="clear" w:color="auto" w:fill="auto"/>
          </w:tcPr>
          <w:p w14:paraId="4494E637" w14:textId="77777777" w:rsidR="00191E41" w:rsidRPr="00191E41" w:rsidRDefault="00191E41" w:rsidP="00191E41">
            <w:pPr>
              <w:ind w:right="57"/>
              <w:jc w:val="right"/>
              <w:rPr>
                <w:sz w:val="16"/>
                <w:szCs w:val="16"/>
              </w:rPr>
            </w:pPr>
            <w:r w:rsidRPr="00191E41">
              <w:rPr>
                <w:sz w:val="16"/>
                <w:szCs w:val="16"/>
              </w:rPr>
              <w:t>2.9</w:t>
            </w:r>
          </w:p>
        </w:tc>
        <w:tc>
          <w:tcPr>
            <w:tcW w:w="1080" w:type="dxa"/>
            <w:tcBorders>
              <w:top w:val="nil"/>
              <w:left w:val="single" w:sz="4" w:space="0" w:color="auto"/>
              <w:bottom w:val="nil"/>
              <w:right w:val="single" w:sz="4" w:space="0" w:color="auto"/>
            </w:tcBorders>
            <w:shd w:val="clear" w:color="auto" w:fill="auto"/>
          </w:tcPr>
          <w:p w14:paraId="1F50A021" w14:textId="77777777" w:rsidR="00191E41" w:rsidRPr="00191E41" w:rsidRDefault="00191E41" w:rsidP="00191E41">
            <w:pPr>
              <w:ind w:right="170"/>
              <w:jc w:val="right"/>
              <w:rPr>
                <w:sz w:val="16"/>
                <w:szCs w:val="16"/>
              </w:rPr>
            </w:pPr>
            <w:r w:rsidRPr="00191E41">
              <w:rPr>
                <w:sz w:val="16"/>
                <w:szCs w:val="16"/>
              </w:rPr>
              <w:t>190.3</w:t>
            </w:r>
          </w:p>
        </w:tc>
        <w:tc>
          <w:tcPr>
            <w:tcW w:w="900" w:type="dxa"/>
            <w:tcBorders>
              <w:top w:val="nil"/>
              <w:left w:val="single" w:sz="4" w:space="0" w:color="auto"/>
              <w:bottom w:val="nil"/>
              <w:right w:val="single" w:sz="4" w:space="0" w:color="auto"/>
            </w:tcBorders>
            <w:shd w:val="clear" w:color="auto" w:fill="auto"/>
          </w:tcPr>
          <w:p w14:paraId="731BC4C9" w14:textId="77777777" w:rsidR="00191E41" w:rsidRPr="00191E41" w:rsidRDefault="00191E41" w:rsidP="00191E41">
            <w:pPr>
              <w:ind w:right="113"/>
              <w:jc w:val="right"/>
              <w:rPr>
                <w:sz w:val="16"/>
                <w:szCs w:val="16"/>
              </w:rPr>
            </w:pPr>
            <w:r w:rsidRPr="00191E41">
              <w:rPr>
                <w:sz w:val="16"/>
                <w:szCs w:val="16"/>
              </w:rPr>
              <w:t>0.0</w:t>
            </w:r>
          </w:p>
        </w:tc>
        <w:tc>
          <w:tcPr>
            <w:tcW w:w="1080" w:type="dxa"/>
            <w:tcBorders>
              <w:top w:val="nil"/>
              <w:left w:val="single" w:sz="4" w:space="0" w:color="auto"/>
              <w:bottom w:val="nil"/>
            </w:tcBorders>
            <w:shd w:val="clear" w:color="auto" w:fill="auto"/>
          </w:tcPr>
          <w:p w14:paraId="0B595912" w14:textId="77777777" w:rsidR="00191E41" w:rsidRPr="00191E41" w:rsidRDefault="00191E41" w:rsidP="00191E41">
            <w:pPr>
              <w:ind w:right="57"/>
              <w:jc w:val="right"/>
              <w:rPr>
                <w:sz w:val="16"/>
                <w:szCs w:val="16"/>
              </w:rPr>
            </w:pPr>
            <w:r w:rsidRPr="00191E41">
              <w:rPr>
                <w:sz w:val="16"/>
                <w:szCs w:val="16"/>
              </w:rPr>
              <w:t>890.3</w:t>
            </w:r>
          </w:p>
        </w:tc>
      </w:tr>
      <w:tr w:rsidR="00191E41" w:rsidRPr="00191E41" w14:paraId="3F14455F" w14:textId="77777777" w:rsidTr="001E7D79">
        <w:trPr>
          <w:jc w:val="center"/>
        </w:trPr>
        <w:tc>
          <w:tcPr>
            <w:tcW w:w="3585" w:type="dxa"/>
            <w:tcBorders>
              <w:top w:val="nil"/>
              <w:bottom w:val="nil"/>
              <w:right w:val="single" w:sz="4" w:space="0" w:color="auto"/>
            </w:tcBorders>
            <w:shd w:val="clear" w:color="auto" w:fill="auto"/>
          </w:tcPr>
          <w:p w14:paraId="7F661CF7" w14:textId="77777777" w:rsidR="00191E41" w:rsidRPr="00191E41" w:rsidRDefault="00191E41" w:rsidP="00191E41">
            <w:pPr>
              <w:ind w:left="284"/>
              <w:rPr>
                <w:rFonts w:eastAsia="Times New Roman"/>
                <w:sz w:val="16"/>
                <w:szCs w:val="16"/>
              </w:rPr>
            </w:pPr>
            <w:r w:rsidRPr="00191E41">
              <w:rPr>
                <w:rFonts w:eastAsia="Times New Roman"/>
                <w:sz w:val="16"/>
                <w:szCs w:val="16"/>
              </w:rPr>
              <w:t>Banca de Desarrollo</w:t>
            </w:r>
          </w:p>
        </w:tc>
        <w:tc>
          <w:tcPr>
            <w:tcW w:w="1080" w:type="dxa"/>
            <w:tcBorders>
              <w:top w:val="nil"/>
              <w:left w:val="single" w:sz="4" w:space="0" w:color="auto"/>
              <w:bottom w:val="nil"/>
              <w:right w:val="single" w:sz="4" w:space="0" w:color="auto"/>
            </w:tcBorders>
            <w:shd w:val="clear" w:color="auto" w:fill="auto"/>
          </w:tcPr>
          <w:p w14:paraId="0B723D6C" w14:textId="77777777" w:rsidR="00191E41" w:rsidRPr="00191E41" w:rsidRDefault="00191E41" w:rsidP="00191E41">
            <w:pPr>
              <w:ind w:right="113"/>
              <w:jc w:val="right"/>
              <w:rPr>
                <w:sz w:val="16"/>
                <w:szCs w:val="16"/>
              </w:rPr>
            </w:pPr>
            <w:r w:rsidRPr="00191E41">
              <w:rPr>
                <w:sz w:val="16"/>
                <w:szCs w:val="16"/>
              </w:rPr>
              <w:t>9 529.3</w:t>
            </w:r>
          </w:p>
        </w:tc>
        <w:tc>
          <w:tcPr>
            <w:tcW w:w="900" w:type="dxa"/>
            <w:tcBorders>
              <w:top w:val="nil"/>
              <w:left w:val="single" w:sz="4" w:space="0" w:color="auto"/>
              <w:bottom w:val="nil"/>
              <w:right w:val="single" w:sz="4" w:space="0" w:color="auto"/>
            </w:tcBorders>
            <w:shd w:val="clear" w:color="auto" w:fill="auto"/>
          </w:tcPr>
          <w:p w14:paraId="38AB1E4B" w14:textId="77777777" w:rsidR="00191E41" w:rsidRPr="00191E41" w:rsidRDefault="00191E41" w:rsidP="00191E41">
            <w:pPr>
              <w:ind w:right="57"/>
              <w:jc w:val="right"/>
              <w:rPr>
                <w:sz w:val="16"/>
                <w:szCs w:val="16"/>
              </w:rPr>
            </w:pPr>
            <w:r w:rsidRPr="00191E41">
              <w:rPr>
                <w:sz w:val="16"/>
                <w:szCs w:val="16"/>
              </w:rPr>
              <w:t>1 084.3</w:t>
            </w:r>
          </w:p>
        </w:tc>
        <w:tc>
          <w:tcPr>
            <w:tcW w:w="900" w:type="dxa"/>
            <w:tcBorders>
              <w:top w:val="nil"/>
              <w:left w:val="single" w:sz="4" w:space="0" w:color="auto"/>
              <w:bottom w:val="nil"/>
              <w:right w:val="single" w:sz="4" w:space="0" w:color="auto"/>
            </w:tcBorders>
            <w:shd w:val="clear" w:color="auto" w:fill="auto"/>
          </w:tcPr>
          <w:p w14:paraId="17B5F6B8" w14:textId="77777777" w:rsidR="00191E41" w:rsidRPr="00191E41" w:rsidRDefault="00191E41" w:rsidP="00191E41">
            <w:pPr>
              <w:ind w:right="57"/>
              <w:jc w:val="right"/>
              <w:rPr>
                <w:sz w:val="16"/>
                <w:szCs w:val="16"/>
              </w:rPr>
            </w:pPr>
            <w:r w:rsidRPr="00191E41">
              <w:rPr>
                <w:sz w:val="16"/>
                <w:szCs w:val="16"/>
              </w:rPr>
              <w:t>996.4</w:t>
            </w:r>
          </w:p>
        </w:tc>
        <w:tc>
          <w:tcPr>
            <w:tcW w:w="1080" w:type="dxa"/>
            <w:tcBorders>
              <w:top w:val="nil"/>
              <w:left w:val="single" w:sz="4" w:space="0" w:color="auto"/>
              <w:bottom w:val="nil"/>
              <w:right w:val="single" w:sz="4" w:space="0" w:color="auto"/>
            </w:tcBorders>
            <w:shd w:val="clear" w:color="auto" w:fill="auto"/>
          </w:tcPr>
          <w:p w14:paraId="3AC6B1A8" w14:textId="77777777" w:rsidR="00191E41" w:rsidRPr="00191E41" w:rsidRDefault="00191E41" w:rsidP="00191E41">
            <w:pPr>
              <w:ind w:right="170"/>
              <w:jc w:val="right"/>
              <w:rPr>
                <w:sz w:val="16"/>
                <w:szCs w:val="16"/>
              </w:rPr>
            </w:pPr>
            <w:r w:rsidRPr="00191E41">
              <w:rPr>
                <w:sz w:val="16"/>
                <w:szCs w:val="16"/>
              </w:rPr>
              <w:t>87.9</w:t>
            </w:r>
          </w:p>
        </w:tc>
        <w:tc>
          <w:tcPr>
            <w:tcW w:w="900" w:type="dxa"/>
            <w:tcBorders>
              <w:top w:val="nil"/>
              <w:left w:val="single" w:sz="4" w:space="0" w:color="auto"/>
              <w:bottom w:val="nil"/>
              <w:right w:val="single" w:sz="4" w:space="0" w:color="auto"/>
            </w:tcBorders>
            <w:shd w:val="clear" w:color="auto" w:fill="auto"/>
          </w:tcPr>
          <w:p w14:paraId="739A5870" w14:textId="77777777" w:rsidR="00191E41" w:rsidRPr="00191E41" w:rsidRDefault="00191E41" w:rsidP="00191E41">
            <w:pPr>
              <w:ind w:right="113"/>
              <w:jc w:val="right"/>
              <w:rPr>
                <w:sz w:val="16"/>
                <w:szCs w:val="16"/>
              </w:rPr>
            </w:pPr>
            <w:r w:rsidRPr="00191E41">
              <w:rPr>
                <w:sz w:val="16"/>
                <w:szCs w:val="16"/>
              </w:rPr>
              <w:t>13.1</w:t>
            </w:r>
          </w:p>
        </w:tc>
        <w:tc>
          <w:tcPr>
            <w:tcW w:w="1080" w:type="dxa"/>
            <w:tcBorders>
              <w:top w:val="nil"/>
              <w:left w:val="single" w:sz="4" w:space="0" w:color="auto"/>
              <w:bottom w:val="nil"/>
            </w:tcBorders>
            <w:shd w:val="clear" w:color="auto" w:fill="auto"/>
          </w:tcPr>
          <w:p w14:paraId="033FBBCC" w14:textId="77777777" w:rsidR="00191E41" w:rsidRPr="00191E41" w:rsidRDefault="00191E41" w:rsidP="00191E41">
            <w:pPr>
              <w:ind w:right="57"/>
              <w:jc w:val="right"/>
              <w:rPr>
                <w:sz w:val="16"/>
                <w:szCs w:val="16"/>
              </w:rPr>
            </w:pPr>
            <w:r w:rsidRPr="00191E41">
              <w:rPr>
                <w:sz w:val="16"/>
                <w:szCs w:val="16"/>
              </w:rPr>
              <w:t>9 630.3</w:t>
            </w:r>
          </w:p>
        </w:tc>
      </w:tr>
      <w:tr w:rsidR="00191E41" w:rsidRPr="00191E41" w14:paraId="0A10C044" w14:textId="77777777" w:rsidTr="001E7D79">
        <w:trPr>
          <w:jc w:val="center"/>
        </w:trPr>
        <w:tc>
          <w:tcPr>
            <w:tcW w:w="3585" w:type="dxa"/>
            <w:tcBorders>
              <w:top w:val="nil"/>
              <w:bottom w:val="nil"/>
              <w:right w:val="single" w:sz="4" w:space="0" w:color="auto"/>
            </w:tcBorders>
            <w:shd w:val="clear" w:color="auto" w:fill="auto"/>
          </w:tcPr>
          <w:p w14:paraId="07B61333" w14:textId="77777777" w:rsidR="00191E41" w:rsidRPr="00191E41" w:rsidRDefault="00191E41" w:rsidP="00191E41">
            <w:pPr>
              <w:ind w:left="397"/>
              <w:rPr>
                <w:rFonts w:eastAsia="Times New Roman"/>
                <w:sz w:val="16"/>
                <w:szCs w:val="16"/>
              </w:rPr>
            </w:pPr>
            <w:r w:rsidRPr="00191E41">
              <w:rPr>
                <w:rFonts w:eastAsia="Times New Roman"/>
                <w:sz w:val="16"/>
                <w:szCs w:val="16"/>
              </w:rPr>
              <w:t>Largo Plazo</w:t>
            </w:r>
          </w:p>
        </w:tc>
        <w:tc>
          <w:tcPr>
            <w:tcW w:w="1080" w:type="dxa"/>
            <w:tcBorders>
              <w:top w:val="nil"/>
              <w:left w:val="single" w:sz="4" w:space="0" w:color="auto"/>
              <w:bottom w:val="nil"/>
              <w:right w:val="single" w:sz="4" w:space="0" w:color="auto"/>
            </w:tcBorders>
            <w:shd w:val="clear" w:color="auto" w:fill="auto"/>
          </w:tcPr>
          <w:p w14:paraId="6F0B5328" w14:textId="77777777" w:rsidR="00191E41" w:rsidRPr="00191E41" w:rsidRDefault="00191E41" w:rsidP="00191E41">
            <w:pPr>
              <w:ind w:right="113"/>
              <w:jc w:val="right"/>
              <w:rPr>
                <w:sz w:val="16"/>
                <w:szCs w:val="16"/>
              </w:rPr>
            </w:pPr>
            <w:r w:rsidRPr="00191E41">
              <w:rPr>
                <w:sz w:val="16"/>
                <w:szCs w:val="16"/>
              </w:rPr>
              <w:t>5 432.7</w:t>
            </w:r>
          </w:p>
        </w:tc>
        <w:tc>
          <w:tcPr>
            <w:tcW w:w="900" w:type="dxa"/>
            <w:tcBorders>
              <w:top w:val="nil"/>
              <w:left w:val="single" w:sz="4" w:space="0" w:color="auto"/>
              <w:bottom w:val="nil"/>
              <w:right w:val="single" w:sz="4" w:space="0" w:color="auto"/>
            </w:tcBorders>
            <w:shd w:val="clear" w:color="auto" w:fill="auto"/>
          </w:tcPr>
          <w:p w14:paraId="20821840" w14:textId="77777777" w:rsidR="00191E41" w:rsidRPr="00191E41" w:rsidRDefault="00191E41" w:rsidP="00191E41">
            <w:pPr>
              <w:ind w:right="57"/>
              <w:jc w:val="right"/>
              <w:rPr>
                <w:sz w:val="16"/>
                <w:szCs w:val="16"/>
              </w:rPr>
            </w:pPr>
            <w:r w:rsidRPr="00191E41">
              <w:rPr>
                <w:sz w:val="16"/>
                <w:szCs w:val="16"/>
              </w:rPr>
              <w:t>60.0</w:t>
            </w:r>
          </w:p>
        </w:tc>
        <w:tc>
          <w:tcPr>
            <w:tcW w:w="900" w:type="dxa"/>
            <w:tcBorders>
              <w:top w:val="nil"/>
              <w:left w:val="single" w:sz="4" w:space="0" w:color="auto"/>
              <w:bottom w:val="nil"/>
              <w:right w:val="single" w:sz="4" w:space="0" w:color="auto"/>
            </w:tcBorders>
            <w:shd w:val="clear" w:color="auto" w:fill="auto"/>
          </w:tcPr>
          <w:p w14:paraId="39E90653" w14:textId="77777777" w:rsidR="00191E41" w:rsidRPr="00191E41" w:rsidRDefault="00191E41" w:rsidP="00191E41">
            <w:pPr>
              <w:ind w:right="57"/>
              <w:jc w:val="right"/>
              <w:rPr>
                <w:sz w:val="16"/>
                <w:szCs w:val="16"/>
              </w:rPr>
            </w:pPr>
            <w:r w:rsidRPr="00191E41">
              <w:rPr>
                <w:sz w:val="16"/>
                <w:szCs w:val="16"/>
              </w:rPr>
              <w:t>21.0</w:t>
            </w:r>
          </w:p>
        </w:tc>
        <w:tc>
          <w:tcPr>
            <w:tcW w:w="1080" w:type="dxa"/>
            <w:tcBorders>
              <w:top w:val="nil"/>
              <w:left w:val="single" w:sz="4" w:space="0" w:color="auto"/>
              <w:bottom w:val="nil"/>
              <w:right w:val="single" w:sz="4" w:space="0" w:color="auto"/>
            </w:tcBorders>
            <w:shd w:val="clear" w:color="auto" w:fill="auto"/>
          </w:tcPr>
          <w:p w14:paraId="3BA46509" w14:textId="77777777" w:rsidR="00191E41" w:rsidRPr="00191E41" w:rsidRDefault="00191E41" w:rsidP="00191E41">
            <w:pPr>
              <w:ind w:right="170"/>
              <w:jc w:val="right"/>
              <w:rPr>
                <w:sz w:val="16"/>
                <w:szCs w:val="16"/>
              </w:rPr>
            </w:pPr>
            <w:r w:rsidRPr="00191E41">
              <w:rPr>
                <w:sz w:val="16"/>
                <w:szCs w:val="16"/>
              </w:rPr>
              <w:t>39.0</w:t>
            </w:r>
          </w:p>
        </w:tc>
        <w:tc>
          <w:tcPr>
            <w:tcW w:w="900" w:type="dxa"/>
            <w:tcBorders>
              <w:top w:val="nil"/>
              <w:left w:val="single" w:sz="4" w:space="0" w:color="auto"/>
              <w:bottom w:val="nil"/>
              <w:right w:val="single" w:sz="4" w:space="0" w:color="auto"/>
            </w:tcBorders>
            <w:shd w:val="clear" w:color="auto" w:fill="auto"/>
          </w:tcPr>
          <w:p w14:paraId="2CC4DDAB" w14:textId="77777777" w:rsidR="00191E41" w:rsidRPr="00191E41" w:rsidRDefault="00191E41" w:rsidP="00191E41">
            <w:pPr>
              <w:ind w:right="113"/>
              <w:jc w:val="right"/>
              <w:rPr>
                <w:sz w:val="16"/>
                <w:szCs w:val="16"/>
              </w:rPr>
            </w:pPr>
            <w:r w:rsidRPr="00191E41">
              <w:rPr>
                <w:sz w:val="16"/>
                <w:szCs w:val="16"/>
              </w:rPr>
              <w:t>15.2</w:t>
            </w:r>
          </w:p>
        </w:tc>
        <w:tc>
          <w:tcPr>
            <w:tcW w:w="1080" w:type="dxa"/>
            <w:tcBorders>
              <w:top w:val="nil"/>
              <w:left w:val="single" w:sz="4" w:space="0" w:color="auto"/>
              <w:bottom w:val="nil"/>
            </w:tcBorders>
            <w:shd w:val="clear" w:color="auto" w:fill="auto"/>
          </w:tcPr>
          <w:p w14:paraId="1778A2F8" w14:textId="77777777" w:rsidR="00191E41" w:rsidRPr="00191E41" w:rsidRDefault="00191E41" w:rsidP="00191E41">
            <w:pPr>
              <w:ind w:right="57"/>
              <w:jc w:val="right"/>
              <w:rPr>
                <w:sz w:val="16"/>
                <w:szCs w:val="16"/>
              </w:rPr>
            </w:pPr>
            <w:r w:rsidRPr="00191E41">
              <w:rPr>
                <w:sz w:val="16"/>
                <w:szCs w:val="16"/>
              </w:rPr>
              <w:t>5 486.9</w:t>
            </w:r>
          </w:p>
        </w:tc>
      </w:tr>
      <w:tr w:rsidR="00191E41" w:rsidRPr="00191E41" w14:paraId="43D85B93" w14:textId="77777777" w:rsidTr="001E7D79">
        <w:trPr>
          <w:jc w:val="center"/>
        </w:trPr>
        <w:tc>
          <w:tcPr>
            <w:tcW w:w="3585" w:type="dxa"/>
            <w:tcBorders>
              <w:top w:val="nil"/>
              <w:bottom w:val="nil"/>
              <w:right w:val="single" w:sz="4" w:space="0" w:color="auto"/>
            </w:tcBorders>
            <w:shd w:val="clear" w:color="auto" w:fill="auto"/>
          </w:tcPr>
          <w:p w14:paraId="3FAC9EB6" w14:textId="77777777" w:rsidR="00191E41" w:rsidRPr="00191E41" w:rsidRDefault="00191E41" w:rsidP="00191E41">
            <w:pPr>
              <w:ind w:left="397"/>
              <w:rPr>
                <w:rFonts w:eastAsia="Times New Roman"/>
                <w:sz w:val="16"/>
                <w:szCs w:val="16"/>
              </w:rPr>
            </w:pPr>
            <w:r w:rsidRPr="00191E41">
              <w:rPr>
                <w:rFonts w:eastAsia="Times New Roman"/>
                <w:sz w:val="16"/>
                <w:szCs w:val="16"/>
              </w:rPr>
              <w:t>Corto Plazo</w:t>
            </w:r>
          </w:p>
        </w:tc>
        <w:tc>
          <w:tcPr>
            <w:tcW w:w="1080" w:type="dxa"/>
            <w:tcBorders>
              <w:top w:val="nil"/>
              <w:left w:val="single" w:sz="4" w:space="0" w:color="auto"/>
              <w:bottom w:val="nil"/>
              <w:right w:val="single" w:sz="4" w:space="0" w:color="auto"/>
            </w:tcBorders>
            <w:shd w:val="clear" w:color="auto" w:fill="auto"/>
          </w:tcPr>
          <w:p w14:paraId="5C5173D2" w14:textId="77777777" w:rsidR="00191E41" w:rsidRPr="00191E41" w:rsidRDefault="00191E41" w:rsidP="00191E41">
            <w:pPr>
              <w:ind w:right="113"/>
              <w:jc w:val="right"/>
              <w:rPr>
                <w:sz w:val="16"/>
                <w:szCs w:val="16"/>
              </w:rPr>
            </w:pPr>
            <w:r w:rsidRPr="00191E41">
              <w:rPr>
                <w:sz w:val="16"/>
                <w:szCs w:val="16"/>
              </w:rPr>
              <w:t>4 096.6</w:t>
            </w:r>
          </w:p>
        </w:tc>
        <w:tc>
          <w:tcPr>
            <w:tcW w:w="900" w:type="dxa"/>
            <w:tcBorders>
              <w:top w:val="nil"/>
              <w:left w:val="single" w:sz="4" w:space="0" w:color="auto"/>
              <w:bottom w:val="nil"/>
              <w:right w:val="single" w:sz="4" w:space="0" w:color="auto"/>
            </w:tcBorders>
            <w:shd w:val="clear" w:color="auto" w:fill="auto"/>
          </w:tcPr>
          <w:p w14:paraId="3BD538F9" w14:textId="77777777" w:rsidR="00191E41" w:rsidRPr="00191E41" w:rsidRDefault="00191E41" w:rsidP="00191E41">
            <w:pPr>
              <w:ind w:right="57"/>
              <w:jc w:val="right"/>
              <w:rPr>
                <w:sz w:val="16"/>
                <w:szCs w:val="16"/>
              </w:rPr>
            </w:pPr>
            <w:r w:rsidRPr="00191E41">
              <w:rPr>
                <w:sz w:val="16"/>
                <w:szCs w:val="16"/>
              </w:rPr>
              <w:t>1 024.3</w:t>
            </w:r>
          </w:p>
        </w:tc>
        <w:tc>
          <w:tcPr>
            <w:tcW w:w="900" w:type="dxa"/>
            <w:tcBorders>
              <w:top w:val="nil"/>
              <w:left w:val="single" w:sz="4" w:space="0" w:color="auto"/>
              <w:bottom w:val="nil"/>
              <w:right w:val="single" w:sz="4" w:space="0" w:color="auto"/>
            </w:tcBorders>
            <w:shd w:val="clear" w:color="auto" w:fill="auto"/>
          </w:tcPr>
          <w:p w14:paraId="7DF781B1" w14:textId="77777777" w:rsidR="00191E41" w:rsidRPr="00191E41" w:rsidRDefault="00191E41" w:rsidP="00191E41">
            <w:pPr>
              <w:ind w:right="57"/>
              <w:jc w:val="right"/>
              <w:rPr>
                <w:sz w:val="16"/>
                <w:szCs w:val="16"/>
              </w:rPr>
            </w:pPr>
            <w:r w:rsidRPr="00191E41">
              <w:rPr>
                <w:sz w:val="16"/>
                <w:szCs w:val="16"/>
              </w:rPr>
              <w:t>975.4</w:t>
            </w:r>
          </w:p>
        </w:tc>
        <w:tc>
          <w:tcPr>
            <w:tcW w:w="1080" w:type="dxa"/>
            <w:tcBorders>
              <w:top w:val="nil"/>
              <w:left w:val="single" w:sz="4" w:space="0" w:color="auto"/>
              <w:bottom w:val="nil"/>
              <w:right w:val="single" w:sz="4" w:space="0" w:color="auto"/>
            </w:tcBorders>
            <w:shd w:val="clear" w:color="auto" w:fill="auto"/>
          </w:tcPr>
          <w:p w14:paraId="1B377052" w14:textId="77777777" w:rsidR="00191E41" w:rsidRPr="00191E41" w:rsidRDefault="00191E41" w:rsidP="00191E41">
            <w:pPr>
              <w:ind w:right="170"/>
              <w:jc w:val="right"/>
              <w:rPr>
                <w:sz w:val="16"/>
                <w:szCs w:val="16"/>
              </w:rPr>
            </w:pPr>
            <w:r w:rsidRPr="00191E41">
              <w:rPr>
                <w:sz w:val="16"/>
                <w:szCs w:val="16"/>
              </w:rPr>
              <w:t>48.9</w:t>
            </w:r>
          </w:p>
        </w:tc>
        <w:tc>
          <w:tcPr>
            <w:tcW w:w="900" w:type="dxa"/>
            <w:tcBorders>
              <w:top w:val="nil"/>
              <w:left w:val="single" w:sz="4" w:space="0" w:color="auto"/>
              <w:bottom w:val="nil"/>
              <w:right w:val="single" w:sz="4" w:space="0" w:color="auto"/>
            </w:tcBorders>
            <w:shd w:val="clear" w:color="auto" w:fill="auto"/>
          </w:tcPr>
          <w:p w14:paraId="38DCA792" w14:textId="77777777" w:rsidR="00191E41" w:rsidRPr="00191E41" w:rsidRDefault="00191E41" w:rsidP="00191E41">
            <w:pPr>
              <w:ind w:right="113"/>
              <w:jc w:val="right"/>
              <w:rPr>
                <w:sz w:val="16"/>
                <w:szCs w:val="16"/>
              </w:rPr>
            </w:pPr>
            <w:r w:rsidRPr="00191E41">
              <w:rPr>
                <w:sz w:val="16"/>
                <w:szCs w:val="16"/>
              </w:rPr>
              <w:t>-2.1</w:t>
            </w:r>
          </w:p>
        </w:tc>
        <w:tc>
          <w:tcPr>
            <w:tcW w:w="1080" w:type="dxa"/>
            <w:tcBorders>
              <w:top w:val="nil"/>
              <w:left w:val="single" w:sz="4" w:space="0" w:color="auto"/>
              <w:bottom w:val="nil"/>
            </w:tcBorders>
            <w:shd w:val="clear" w:color="auto" w:fill="auto"/>
          </w:tcPr>
          <w:p w14:paraId="04156535" w14:textId="77777777" w:rsidR="00191E41" w:rsidRPr="00191E41" w:rsidRDefault="00191E41" w:rsidP="00191E41">
            <w:pPr>
              <w:ind w:right="57"/>
              <w:jc w:val="right"/>
              <w:rPr>
                <w:sz w:val="16"/>
                <w:szCs w:val="16"/>
              </w:rPr>
            </w:pPr>
            <w:r w:rsidRPr="00191E41">
              <w:rPr>
                <w:sz w:val="16"/>
                <w:szCs w:val="16"/>
              </w:rPr>
              <w:t>4 143.4</w:t>
            </w:r>
          </w:p>
        </w:tc>
      </w:tr>
      <w:tr w:rsidR="00191E41" w:rsidRPr="00191E41" w14:paraId="00BF7B44" w14:textId="77777777" w:rsidTr="001E7D79">
        <w:trPr>
          <w:jc w:val="center"/>
        </w:trPr>
        <w:tc>
          <w:tcPr>
            <w:tcW w:w="3585" w:type="dxa"/>
            <w:tcBorders>
              <w:top w:val="nil"/>
              <w:bottom w:val="nil"/>
              <w:right w:val="single" w:sz="4" w:space="0" w:color="auto"/>
            </w:tcBorders>
            <w:shd w:val="clear" w:color="auto" w:fill="auto"/>
          </w:tcPr>
          <w:p w14:paraId="5E3DEE84" w14:textId="77777777" w:rsidR="00191E41" w:rsidRPr="00191E41" w:rsidRDefault="00191E41" w:rsidP="00191E41">
            <w:pPr>
              <w:ind w:left="57"/>
              <w:rPr>
                <w:rFonts w:eastAsia="Times New Roman"/>
                <w:b/>
                <w:sz w:val="16"/>
                <w:szCs w:val="16"/>
              </w:rPr>
            </w:pPr>
            <w:r w:rsidRPr="00191E41">
              <w:rPr>
                <w:rFonts w:eastAsia="Times New Roman"/>
                <w:b/>
                <w:sz w:val="16"/>
                <w:szCs w:val="16"/>
              </w:rPr>
              <w:t>Por fuentes de financiamiento</w:t>
            </w:r>
          </w:p>
        </w:tc>
        <w:tc>
          <w:tcPr>
            <w:tcW w:w="1080" w:type="dxa"/>
            <w:tcBorders>
              <w:top w:val="nil"/>
              <w:left w:val="single" w:sz="4" w:space="0" w:color="auto"/>
              <w:bottom w:val="nil"/>
              <w:right w:val="single" w:sz="4" w:space="0" w:color="auto"/>
            </w:tcBorders>
            <w:shd w:val="clear" w:color="auto" w:fill="auto"/>
          </w:tcPr>
          <w:p w14:paraId="08F42F2C" w14:textId="77777777" w:rsidR="00191E41" w:rsidRPr="00191E41" w:rsidRDefault="00191E41" w:rsidP="00191E41">
            <w:pPr>
              <w:ind w:right="113"/>
              <w:jc w:val="right"/>
              <w:rPr>
                <w:b/>
                <w:sz w:val="16"/>
                <w:szCs w:val="16"/>
              </w:rPr>
            </w:pPr>
            <w:r w:rsidRPr="00191E41">
              <w:rPr>
                <w:b/>
                <w:sz w:val="16"/>
                <w:szCs w:val="16"/>
              </w:rPr>
              <w:t>147 665.8</w:t>
            </w:r>
          </w:p>
        </w:tc>
        <w:tc>
          <w:tcPr>
            <w:tcW w:w="900" w:type="dxa"/>
            <w:tcBorders>
              <w:top w:val="nil"/>
              <w:left w:val="single" w:sz="4" w:space="0" w:color="auto"/>
              <w:bottom w:val="nil"/>
              <w:right w:val="single" w:sz="4" w:space="0" w:color="auto"/>
            </w:tcBorders>
            <w:shd w:val="clear" w:color="auto" w:fill="auto"/>
          </w:tcPr>
          <w:p w14:paraId="1AC27012" w14:textId="77777777" w:rsidR="00191E41" w:rsidRPr="00191E41" w:rsidRDefault="00191E41" w:rsidP="00191E41">
            <w:pPr>
              <w:ind w:right="57"/>
              <w:jc w:val="right"/>
              <w:rPr>
                <w:b/>
                <w:sz w:val="16"/>
                <w:szCs w:val="16"/>
              </w:rPr>
            </w:pPr>
            <w:r w:rsidRPr="00191E41">
              <w:rPr>
                <w:b/>
                <w:sz w:val="16"/>
                <w:szCs w:val="16"/>
              </w:rPr>
              <w:t>12 999.6</w:t>
            </w:r>
          </w:p>
        </w:tc>
        <w:tc>
          <w:tcPr>
            <w:tcW w:w="900" w:type="dxa"/>
            <w:tcBorders>
              <w:top w:val="nil"/>
              <w:left w:val="single" w:sz="4" w:space="0" w:color="auto"/>
              <w:bottom w:val="nil"/>
              <w:right w:val="single" w:sz="4" w:space="0" w:color="auto"/>
            </w:tcBorders>
            <w:shd w:val="clear" w:color="auto" w:fill="auto"/>
          </w:tcPr>
          <w:p w14:paraId="30522826" w14:textId="77777777" w:rsidR="00191E41" w:rsidRPr="00191E41" w:rsidRDefault="00191E41" w:rsidP="00191E41">
            <w:pPr>
              <w:ind w:right="57"/>
              <w:jc w:val="right"/>
              <w:rPr>
                <w:b/>
                <w:sz w:val="16"/>
                <w:szCs w:val="16"/>
              </w:rPr>
            </w:pPr>
            <w:r w:rsidRPr="00191E41">
              <w:rPr>
                <w:b/>
                <w:sz w:val="16"/>
                <w:szCs w:val="16"/>
              </w:rPr>
              <w:t>3 185.4</w:t>
            </w:r>
          </w:p>
        </w:tc>
        <w:tc>
          <w:tcPr>
            <w:tcW w:w="1080" w:type="dxa"/>
            <w:tcBorders>
              <w:top w:val="nil"/>
              <w:left w:val="single" w:sz="4" w:space="0" w:color="auto"/>
              <w:bottom w:val="nil"/>
              <w:right w:val="single" w:sz="4" w:space="0" w:color="auto"/>
            </w:tcBorders>
            <w:shd w:val="clear" w:color="auto" w:fill="auto"/>
          </w:tcPr>
          <w:p w14:paraId="5ADB09D4" w14:textId="77777777" w:rsidR="00191E41" w:rsidRPr="00191E41" w:rsidRDefault="00191E41" w:rsidP="00191E41">
            <w:pPr>
              <w:ind w:right="170"/>
              <w:jc w:val="right"/>
              <w:rPr>
                <w:b/>
                <w:sz w:val="16"/>
                <w:szCs w:val="16"/>
              </w:rPr>
            </w:pPr>
            <w:r w:rsidRPr="00191E41">
              <w:rPr>
                <w:b/>
                <w:sz w:val="16"/>
                <w:szCs w:val="16"/>
              </w:rPr>
              <w:t>9 814.2</w:t>
            </w:r>
          </w:p>
        </w:tc>
        <w:tc>
          <w:tcPr>
            <w:tcW w:w="900" w:type="dxa"/>
            <w:tcBorders>
              <w:top w:val="nil"/>
              <w:left w:val="single" w:sz="4" w:space="0" w:color="auto"/>
              <w:bottom w:val="nil"/>
              <w:right w:val="single" w:sz="4" w:space="0" w:color="auto"/>
            </w:tcBorders>
            <w:shd w:val="clear" w:color="auto" w:fill="auto"/>
          </w:tcPr>
          <w:p w14:paraId="2014E38F" w14:textId="77777777" w:rsidR="00191E41" w:rsidRPr="00191E41" w:rsidRDefault="00191E41" w:rsidP="00191E41">
            <w:pPr>
              <w:ind w:right="113"/>
              <w:jc w:val="right"/>
              <w:rPr>
                <w:b/>
                <w:sz w:val="16"/>
                <w:szCs w:val="16"/>
              </w:rPr>
            </w:pPr>
            <w:r w:rsidRPr="00191E41">
              <w:rPr>
                <w:b/>
                <w:sz w:val="16"/>
                <w:szCs w:val="16"/>
              </w:rPr>
              <w:t>-396.8</w:t>
            </w:r>
          </w:p>
        </w:tc>
        <w:tc>
          <w:tcPr>
            <w:tcW w:w="1080" w:type="dxa"/>
            <w:tcBorders>
              <w:top w:val="nil"/>
              <w:left w:val="single" w:sz="4" w:space="0" w:color="auto"/>
              <w:bottom w:val="nil"/>
            </w:tcBorders>
            <w:shd w:val="clear" w:color="auto" w:fill="auto"/>
          </w:tcPr>
          <w:p w14:paraId="5C6A9ABF" w14:textId="77777777" w:rsidR="00191E41" w:rsidRPr="00191E41" w:rsidRDefault="00191E41" w:rsidP="00191E41">
            <w:pPr>
              <w:ind w:right="57"/>
              <w:jc w:val="right"/>
              <w:rPr>
                <w:b/>
                <w:sz w:val="16"/>
                <w:szCs w:val="16"/>
              </w:rPr>
            </w:pPr>
            <w:r w:rsidRPr="00191E41">
              <w:rPr>
                <w:b/>
                <w:sz w:val="16"/>
                <w:szCs w:val="16"/>
              </w:rPr>
              <w:t>157 083.2</w:t>
            </w:r>
          </w:p>
        </w:tc>
      </w:tr>
      <w:tr w:rsidR="00191E41" w:rsidRPr="00191E41" w14:paraId="58D63952" w14:textId="77777777" w:rsidTr="001E7D79">
        <w:trPr>
          <w:jc w:val="center"/>
        </w:trPr>
        <w:tc>
          <w:tcPr>
            <w:tcW w:w="3585" w:type="dxa"/>
            <w:tcBorders>
              <w:top w:val="nil"/>
              <w:bottom w:val="nil"/>
              <w:right w:val="single" w:sz="4" w:space="0" w:color="auto"/>
            </w:tcBorders>
            <w:shd w:val="clear" w:color="auto" w:fill="auto"/>
          </w:tcPr>
          <w:p w14:paraId="4CE88611" w14:textId="77777777" w:rsidR="00191E41" w:rsidRPr="00191E41" w:rsidRDefault="00191E41" w:rsidP="00191E41">
            <w:pPr>
              <w:ind w:left="170"/>
              <w:rPr>
                <w:rFonts w:eastAsia="Times New Roman"/>
                <w:sz w:val="16"/>
                <w:szCs w:val="16"/>
              </w:rPr>
            </w:pPr>
            <w:r w:rsidRPr="00191E41">
              <w:rPr>
                <w:rFonts w:eastAsia="Times New Roman"/>
                <w:sz w:val="16"/>
                <w:szCs w:val="16"/>
              </w:rPr>
              <w:t>Mercado de Capitales</w:t>
            </w:r>
          </w:p>
        </w:tc>
        <w:tc>
          <w:tcPr>
            <w:tcW w:w="1080" w:type="dxa"/>
            <w:tcBorders>
              <w:top w:val="nil"/>
              <w:left w:val="single" w:sz="4" w:space="0" w:color="auto"/>
              <w:bottom w:val="nil"/>
              <w:right w:val="single" w:sz="4" w:space="0" w:color="auto"/>
            </w:tcBorders>
            <w:shd w:val="clear" w:color="auto" w:fill="auto"/>
          </w:tcPr>
          <w:p w14:paraId="0F6C1405" w14:textId="77777777" w:rsidR="00191E41" w:rsidRPr="00191E41" w:rsidRDefault="00191E41" w:rsidP="00191E41">
            <w:pPr>
              <w:ind w:right="113"/>
              <w:jc w:val="right"/>
              <w:rPr>
                <w:sz w:val="16"/>
                <w:szCs w:val="16"/>
              </w:rPr>
            </w:pPr>
            <w:r w:rsidRPr="00191E41">
              <w:rPr>
                <w:sz w:val="16"/>
                <w:szCs w:val="16"/>
              </w:rPr>
              <w:t>100 708.1</w:t>
            </w:r>
          </w:p>
        </w:tc>
        <w:tc>
          <w:tcPr>
            <w:tcW w:w="900" w:type="dxa"/>
            <w:tcBorders>
              <w:top w:val="nil"/>
              <w:left w:val="single" w:sz="4" w:space="0" w:color="auto"/>
              <w:bottom w:val="nil"/>
              <w:right w:val="single" w:sz="4" w:space="0" w:color="auto"/>
            </w:tcBorders>
            <w:shd w:val="clear" w:color="auto" w:fill="auto"/>
          </w:tcPr>
          <w:p w14:paraId="4048BA97" w14:textId="77777777" w:rsidR="00191E41" w:rsidRPr="00191E41" w:rsidRDefault="00191E41" w:rsidP="00191E41">
            <w:pPr>
              <w:ind w:right="57"/>
              <w:jc w:val="right"/>
              <w:rPr>
                <w:sz w:val="16"/>
                <w:szCs w:val="16"/>
              </w:rPr>
            </w:pPr>
            <w:r w:rsidRPr="00191E41">
              <w:rPr>
                <w:sz w:val="16"/>
                <w:szCs w:val="16"/>
              </w:rPr>
              <w:t>10 000.0</w:t>
            </w:r>
          </w:p>
        </w:tc>
        <w:tc>
          <w:tcPr>
            <w:tcW w:w="900" w:type="dxa"/>
            <w:tcBorders>
              <w:top w:val="nil"/>
              <w:left w:val="single" w:sz="4" w:space="0" w:color="auto"/>
              <w:bottom w:val="nil"/>
              <w:right w:val="single" w:sz="4" w:space="0" w:color="auto"/>
            </w:tcBorders>
            <w:shd w:val="clear" w:color="auto" w:fill="auto"/>
          </w:tcPr>
          <w:p w14:paraId="412B043A" w14:textId="77777777" w:rsidR="00191E41" w:rsidRPr="00191E41" w:rsidRDefault="00191E41" w:rsidP="00191E41">
            <w:pPr>
              <w:ind w:right="57"/>
              <w:jc w:val="right"/>
              <w:rPr>
                <w:sz w:val="16"/>
                <w:szCs w:val="16"/>
              </w:rPr>
            </w:pPr>
            <w:r w:rsidRPr="00191E41">
              <w:rPr>
                <w:sz w:val="16"/>
                <w:szCs w:val="16"/>
              </w:rPr>
              <w:t>2 001.5</w:t>
            </w:r>
          </w:p>
        </w:tc>
        <w:tc>
          <w:tcPr>
            <w:tcW w:w="1080" w:type="dxa"/>
            <w:tcBorders>
              <w:top w:val="nil"/>
              <w:left w:val="single" w:sz="4" w:space="0" w:color="auto"/>
              <w:bottom w:val="nil"/>
              <w:right w:val="single" w:sz="4" w:space="0" w:color="auto"/>
            </w:tcBorders>
            <w:shd w:val="clear" w:color="auto" w:fill="auto"/>
          </w:tcPr>
          <w:p w14:paraId="2A4E08F4" w14:textId="77777777" w:rsidR="00191E41" w:rsidRPr="00191E41" w:rsidRDefault="00191E41" w:rsidP="00191E41">
            <w:pPr>
              <w:ind w:right="170"/>
              <w:jc w:val="right"/>
              <w:rPr>
                <w:sz w:val="16"/>
                <w:szCs w:val="16"/>
              </w:rPr>
            </w:pPr>
            <w:r w:rsidRPr="00191E41">
              <w:rPr>
                <w:sz w:val="16"/>
                <w:szCs w:val="16"/>
              </w:rPr>
              <w:t>7 998.5</w:t>
            </w:r>
          </w:p>
        </w:tc>
        <w:tc>
          <w:tcPr>
            <w:tcW w:w="900" w:type="dxa"/>
            <w:tcBorders>
              <w:top w:val="nil"/>
              <w:left w:val="single" w:sz="4" w:space="0" w:color="auto"/>
              <w:bottom w:val="nil"/>
              <w:right w:val="single" w:sz="4" w:space="0" w:color="auto"/>
            </w:tcBorders>
            <w:shd w:val="clear" w:color="auto" w:fill="auto"/>
          </w:tcPr>
          <w:p w14:paraId="0EBA30FD" w14:textId="77777777" w:rsidR="00191E41" w:rsidRPr="00191E41" w:rsidRDefault="00191E41" w:rsidP="00191E41">
            <w:pPr>
              <w:ind w:right="113"/>
              <w:jc w:val="right"/>
              <w:rPr>
                <w:sz w:val="16"/>
                <w:szCs w:val="16"/>
              </w:rPr>
            </w:pPr>
            <w:r w:rsidRPr="00191E41">
              <w:rPr>
                <w:sz w:val="16"/>
                <w:szCs w:val="16"/>
              </w:rPr>
              <w:t>-458.8</w:t>
            </w:r>
          </w:p>
        </w:tc>
        <w:tc>
          <w:tcPr>
            <w:tcW w:w="1080" w:type="dxa"/>
            <w:tcBorders>
              <w:top w:val="nil"/>
              <w:left w:val="single" w:sz="4" w:space="0" w:color="auto"/>
              <w:bottom w:val="nil"/>
            </w:tcBorders>
            <w:shd w:val="clear" w:color="auto" w:fill="auto"/>
          </w:tcPr>
          <w:p w14:paraId="17F6242B" w14:textId="77777777" w:rsidR="00191E41" w:rsidRPr="00191E41" w:rsidRDefault="00191E41" w:rsidP="00191E41">
            <w:pPr>
              <w:ind w:right="57"/>
              <w:jc w:val="right"/>
              <w:rPr>
                <w:sz w:val="16"/>
                <w:szCs w:val="16"/>
              </w:rPr>
            </w:pPr>
            <w:r w:rsidRPr="00191E41">
              <w:rPr>
                <w:sz w:val="16"/>
                <w:szCs w:val="16"/>
              </w:rPr>
              <w:t>108 247.8</w:t>
            </w:r>
          </w:p>
        </w:tc>
      </w:tr>
      <w:tr w:rsidR="00191E41" w:rsidRPr="00191E41" w14:paraId="2502C061" w14:textId="77777777" w:rsidTr="001E7D79">
        <w:trPr>
          <w:jc w:val="center"/>
        </w:trPr>
        <w:tc>
          <w:tcPr>
            <w:tcW w:w="3585" w:type="dxa"/>
            <w:tcBorders>
              <w:top w:val="nil"/>
              <w:bottom w:val="nil"/>
              <w:right w:val="single" w:sz="4" w:space="0" w:color="auto"/>
            </w:tcBorders>
            <w:shd w:val="clear" w:color="auto" w:fill="auto"/>
          </w:tcPr>
          <w:p w14:paraId="2D61E55E" w14:textId="77777777" w:rsidR="00191E41" w:rsidRPr="00191E41" w:rsidRDefault="00191E41" w:rsidP="00191E41">
            <w:pPr>
              <w:ind w:left="170" w:right="-113"/>
              <w:rPr>
                <w:rFonts w:eastAsia="Times New Roman"/>
                <w:sz w:val="16"/>
                <w:szCs w:val="16"/>
              </w:rPr>
            </w:pPr>
            <w:r w:rsidRPr="00191E41">
              <w:rPr>
                <w:rFonts w:eastAsia="Times New Roman"/>
                <w:sz w:val="16"/>
                <w:szCs w:val="16"/>
              </w:rPr>
              <w:t>Organismos Financieros Internacionales (OFI’s)</w:t>
            </w:r>
          </w:p>
        </w:tc>
        <w:tc>
          <w:tcPr>
            <w:tcW w:w="1080" w:type="dxa"/>
            <w:tcBorders>
              <w:top w:val="nil"/>
              <w:left w:val="single" w:sz="4" w:space="0" w:color="auto"/>
              <w:bottom w:val="nil"/>
              <w:right w:val="single" w:sz="4" w:space="0" w:color="auto"/>
            </w:tcBorders>
            <w:shd w:val="clear" w:color="auto" w:fill="auto"/>
            <w:vAlign w:val="center"/>
          </w:tcPr>
          <w:p w14:paraId="1FA9142D" w14:textId="77777777" w:rsidR="00191E41" w:rsidRPr="00191E41" w:rsidRDefault="00191E41" w:rsidP="00191E41">
            <w:pPr>
              <w:ind w:right="113"/>
              <w:jc w:val="right"/>
              <w:rPr>
                <w:sz w:val="16"/>
                <w:szCs w:val="16"/>
              </w:rPr>
            </w:pPr>
            <w:r w:rsidRPr="00191E41">
              <w:rPr>
                <w:sz w:val="16"/>
                <w:szCs w:val="16"/>
              </w:rPr>
              <w:t>28 186.0</w:t>
            </w:r>
          </w:p>
        </w:tc>
        <w:tc>
          <w:tcPr>
            <w:tcW w:w="900" w:type="dxa"/>
            <w:tcBorders>
              <w:top w:val="nil"/>
              <w:left w:val="single" w:sz="4" w:space="0" w:color="auto"/>
              <w:bottom w:val="nil"/>
              <w:right w:val="single" w:sz="4" w:space="0" w:color="auto"/>
            </w:tcBorders>
            <w:shd w:val="clear" w:color="auto" w:fill="auto"/>
            <w:vAlign w:val="center"/>
          </w:tcPr>
          <w:p w14:paraId="3477D1B3" w14:textId="77777777" w:rsidR="00191E41" w:rsidRPr="00191E41" w:rsidRDefault="00191E41" w:rsidP="00191E41">
            <w:pPr>
              <w:ind w:right="57"/>
              <w:jc w:val="right"/>
              <w:rPr>
                <w:sz w:val="16"/>
                <w:szCs w:val="16"/>
              </w:rPr>
            </w:pPr>
            <w:r w:rsidRPr="00191E41">
              <w:rPr>
                <w:sz w:val="16"/>
                <w:szCs w:val="16"/>
              </w:rPr>
              <w:t>468.4</w:t>
            </w:r>
          </w:p>
        </w:tc>
        <w:tc>
          <w:tcPr>
            <w:tcW w:w="900" w:type="dxa"/>
            <w:tcBorders>
              <w:top w:val="nil"/>
              <w:left w:val="single" w:sz="4" w:space="0" w:color="auto"/>
              <w:bottom w:val="nil"/>
              <w:right w:val="single" w:sz="4" w:space="0" w:color="auto"/>
            </w:tcBorders>
            <w:shd w:val="clear" w:color="auto" w:fill="auto"/>
            <w:vAlign w:val="center"/>
          </w:tcPr>
          <w:p w14:paraId="73B48136" w14:textId="77777777" w:rsidR="00191E41" w:rsidRPr="00191E41" w:rsidRDefault="00191E41" w:rsidP="00191E41">
            <w:pPr>
              <w:ind w:right="57"/>
              <w:jc w:val="right"/>
              <w:rPr>
                <w:sz w:val="16"/>
                <w:szCs w:val="16"/>
              </w:rPr>
            </w:pPr>
            <w:r w:rsidRPr="00191E41">
              <w:rPr>
                <w:sz w:val="16"/>
                <w:szCs w:val="16"/>
              </w:rPr>
              <w:t>66.2</w:t>
            </w:r>
          </w:p>
        </w:tc>
        <w:tc>
          <w:tcPr>
            <w:tcW w:w="1080" w:type="dxa"/>
            <w:tcBorders>
              <w:top w:val="nil"/>
              <w:left w:val="single" w:sz="4" w:space="0" w:color="auto"/>
              <w:bottom w:val="nil"/>
              <w:right w:val="single" w:sz="4" w:space="0" w:color="auto"/>
            </w:tcBorders>
            <w:shd w:val="clear" w:color="auto" w:fill="auto"/>
            <w:vAlign w:val="center"/>
          </w:tcPr>
          <w:p w14:paraId="6ECDF5DE" w14:textId="77777777" w:rsidR="00191E41" w:rsidRPr="00191E41" w:rsidRDefault="00191E41" w:rsidP="00191E41">
            <w:pPr>
              <w:ind w:right="170"/>
              <w:jc w:val="right"/>
              <w:rPr>
                <w:sz w:val="16"/>
                <w:szCs w:val="16"/>
              </w:rPr>
            </w:pPr>
            <w:r w:rsidRPr="00191E41">
              <w:rPr>
                <w:sz w:val="16"/>
                <w:szCs w:val="16"/>
              </w:rPr>
              <w:t>402.2</w:t>
            </w:r>
          </w:p>
        </w:tc>
        <w:tc>
          <w:tcPr>
            <w:tcW w:w="900" w:type="dxa"/>
            <w:tcBorders>
              <w:top w:val="nil"/>
              <w:left w:val="single" w:sz="4" w:space="0" w:color="auto"/>
              <w:bottom w:val="nil"/>
              <w:right w:val="single" w:sz="4" w:space="0" w:color="auto"/>
            </w:tcBorders>
            <w:shd w:val="clear" w:color="auto" w:fill="auto"/>
            <w:vAlign w:val="center"/>
          </w:tcPr>
          <w:p w14:paraId="6E5E2C39" w14:textId="77777777" w:rsidR="00191E41" w:rsidRPr="00191E41" w:rsidRDefault="00191E41" w:rsidP="00191E41">
            <w:pPr>
              <w:ind w:right="113"/>
              <w:jc w:val="right"/>
              <w:rPr>
                <w:sz w:val="16"/>
                <w:szCs w:val="16"/>
              </w:rPr>
            </w:pPr>
            <w:r w:rsidRPr="00191E41">
              <w:rPr>
                <w:sz w:val="16"/>
                <w:szCs w:val="16"/>
              </w:rPr>
              <w:t>7.6</w:t>
            </w:r>
          </w:p>
        </w:tc>
        <w:tc>
          <w:tcPr>
            <w:tcW w:w="1080" w:type="dxa"/>
            <w:tcBorders>
              <w:top w:val="nil"/>
              <w:left w:val="single" w:sz="4" w:space="0" w:color="auto"/>
              <w:bottom w:val="nil"/>
            </w:tcBorders>
            <w:shd w:val="clear" w:color="auto" w:fill="auto"/>
            <w:vAlign w:val="center"/>
          </w:tcPr>
          <w:p w14:paraId="2DD37A2C" w14:textId="77777777" w:rsidR="00191E41" w:rsidRPr="00191E41" w:rsidRDefault="00191E41" w:rsidP="00191E41">
            <w:pPr>
              <w:ind w:right="57"/>
              <w:jc w:val="right"/>
              <w:rPr>
                <w:sz w:val="16"/>
                <w:szCs w:val="16"/>
              </w:rPr>
            </w:pPr>
            <w:r w:rsidRPr="00191E41">
              <w:rPr>
                <w:sz w:val="16"/>
                <w:szCs w:val="16"/>
              </w:rPr>
              <w:t>28 595.8</w:t>
            </w:r>
          </w:p>
        </w:tc>
      </w:tr>
      <w:tr w:rsidR="00191E41" w:rsidRPr="00191E41" w14:paraId="07F0F6A1" w14:textId="77777777" w:rsidTr="001E7D79">
        <w:trPr>
          <w:jc w:val="center"/>
        </w:trPr>
        <w:tc>
          <w:tcPr>
            <w:tcW w:w="3585" w:type="dxa"/>
            <w:tcBorders>
              <w:top w:val="nil"/>
              <w:bottom w:val="nil"/>
              <w:right w:val="single" w:sz="4" w:space="0" w:color="auto"/>
            </w:tcBorders>
            <w:shd w:val="clear" w:color="auto" w:fill="auto"/>
          </w:tcPr>
          <w:p w14:paraId="759B0D45" w14:textId="77777777" w:rsidR="00191E41" w:rsidRPr="00191E41" w:rsidRDefault="00191E41" w:rsidP="00191E41">
            <w:pPr>
              <w:ind w:left="170"/>
              <w:rPr>
                <w:rFonts w:eastAsia="Times New Roman"/>
                <w:sz w:val="16"/>
                <w:szCs w:val="16"/>
              </w:rPr>
            </w:pPr>
            <w:r w:rsidRPr="00191E41">
              <w:rPr>
                <w:rFonts w:eastAsia="Times New Roman"/>
                <w:sz w:val="16"/>
                <w:szCs w:val="16"/>
              </w:rPr>
              <w:t>Comercio Exterior</w:t>
            </w:r>
          </w:p>
        </w:tc>
        <w:tc>
          <w:tcPr>
            <w:tcW w:w="1080" w:type="dxa"/>
            <w:tcBorders>
              <w:top w:val="nil"/>
              <w:left w:val="single" w:sz="4" w:space="0" w:color="auto"/>
              <w:bottom w:val="nil"/>
              <w:right w:val="single" w:sz="4" w:space="0" w:color="auto"/>
            </w:tcBorders>
            <w:shd w:val="clear" w:color="auto" w:fill="auto"/>
          </w:tcPr>
          <w:p w14:paraId="58590D92" w14:textId="77777777" w:rsidR="00191E41" w:rsidRPr="00191E41" w:rsidRDefault="00191E41" w:rsidP="00191E41">
            <w:pPr>
              <w:ind w:right="113"/>
              <w:jc w:val="right"/>
              <w:rPr>
                <w:sz w:val="16"/>
                <w:szCs w:val="16"/>
              </w:rPr>
            </w:pPr>
            <w:r w:rsidRPr="00191E41">
              <w:rPr>
                <w:sz w:val="16"/>
                <w:szCs w:val="16"/>
              </w:rPr>
              <w:t>9 044.7</w:t>
            </w:r>
          </w:p>
        </w:tc>
        <w:tc>
          <w:tcPr>
            <w:tcW w:w="900" w:type="dxa"/>
            <w:tcBorders>
              <w:top w:val="nil"/>
              <w:left w:val="single" w:sz="4" w:space="0" w:color="auto"/>
              <w:bottom w:val="nil"/>
              <w:right w:val="single" w:sz="4" w:space="0" w:color="auto"/>
            </w:tcBorders>
            <w:shd w:val="clear" w:color="auto" w:fill="auto"/>
          </w:tcPr>
          <w:p w14:paraId="6B6A7D77" w14:textId="77777777" w:rsidR="00191E41" w:rsidRPr="00191E41" w:rsidRDefault="00191E41" w:rsidP="00191E41">
            <w:pPr>
              <w:ind w:right="57"/>
              <w:jc w:val="right"/>
              <w:rPr>
                <w:sz w:val="16"/>
                <w:szCs w:val="16"/>
              </w:rPr>
            </w:pPr>
            <w:r w:rsidRPr="00191E41">
              <w:rPr>
                <w:sz w:val="16"/>
                <w:szCs w:val="16"/>
              </w:rPr>
              <w:t>60.0</w:t>
            </w:r>
          </w:p>
        </w:tc>
        <w:tc>
          <w:tcPr>
            <w:tcW w:w="900" w:type="dxa"/>
            <w:tcBorders>
              <w:top w:val="nil"/>
              <w:left w:val="single" w:sz="4" w:space="0" w:color="auto"/>
              <w:bottom w:val="nil"/>
              <w:right w:val="single" w:sz="4" w:space="0" w:color="auto"/>
            </w:tcBorders>
            <w:shd w:val="clear" w:color="auto" w:fill="auto"/>
          </w:tcPr>
          <w:p w14:paraId="6F5C3FDB" w14:textId="77777777" w:rsidR="00191E41" w:rsidRPr="00191E41" w:rsidRDefault="00191E41" w:rsidP="00191E41">
            <w:pPr>
              <w:ind w:right="57"/>
              <w:jc w:val="right"/>
              <w:rPr>
                <w:sz w:val="16"/>
                <w:szCs w:val="16"/>
              </w:rPr>
            </w:pPr>
            <w:r w:rsidRPr="00191E41">
              <w:rPr>
                <w:sz w:val="16"/>
                <w:szCs w:val="16"/>
              </w:rPr>
              <w:t>123.8</w:t>
            </w:r>
          </w:p>
        </w:tc>
        <w:tc>
          <w:tcPr>
            <w:tcW w:w="1080" w:type="dxa"/>
            <w:tcBorders>
              <w:top w:val="nil"/>
              <w:left w:val="single" w:sz="4" w:space="0" w:color="auto"/>
              <w:bottom w:val="nil"/>
              <w:right w:val="single" w:sz="4" w:space="0" w:color="auto"/>
            </w:tcBorders>
            <w:shd w:val="clear" w:color="auto" w:fill="auto"/>
          </w:tcPr>
          <w:p w14:paraId="410A97B0" w14:textId="77777777" w:rsidR="00191E41" w:rsidRPr="00191E41" w:rsidRDefault="00191E41" w:rsidP="00191E41">
            <w:pPr>
              <w:ind w:right="170"/>
              <w:jc w:val="right"/>
              <w:rPr>
                <w:sz w:val="16"/>
                <w:szCs w:val="16"/>
              </w:rPr>
            </w:pPr>
            <w:r w:rsidRPr="00191E41">
              <w:rPr>
                <w:sz w:val="16"/>
                <w:szCs w:val="16"/>
              </w:rPr>
              <w:t>-63.8</w:t>
            </w:r>
          </w:p>
        </w:tc>
        <w:tc>
          <w:tcPr>
            <w:tcW w:w="900" w:type="dxa"/>
            <w:tcBorders>
              <w:top w:val="nil"/>
              <w:left w:val="single" w:sz="4" w:space="0" w:color="auto"/>
              <w:bottom w:val="nil"/>
              <w:right w:val="single" w:sz="4" w:space="0" w:color="auto"/>
            </w:tcBorders>
            <w:shd w:val="clear" w:color="auto" w:fill="auto"/>
          </w:tcPr>
          <w:p w14:paraId="4E6A20C4" w14:textId="77777777" w:rsidR="00191E41" w:rsidRPr="00191E41" w:rsidRDefault="00191E41" w:rsidP="00191E41">
            <w:pPr>
              <w:ind w:right="113"/>
              <w:jc w:val="right"/>
              <w:rPr>
                <w:sz w:val="16"/>
                <w:szCs w:val="16"/>
              </w:rPr>
            </w:pPr>
            <w:r w:rsidRPr="00191E41">
              <w:rPr>
                <w:sz w:val="16"/>
                <w:szCs w:val="16"/>
              </w:rPr>
              <w:t>-53.0</w:t>
            </w:r>
          </w:p>
        </w:tc>
        <w:tc>
          <w:tcPr>
            <w:tcW w:w="1080" w:type="dxa"/>
            <w:tcBorders>
              <w:top w:val="nil"/>
              <w:left w:val="single" w:sz="4" w:space="0" w:color="auto"/>
              <w:bottom w:val="nil"/>
            </w:tcBorders>
            <w:shd w:val="clear" w:color="auto" w:fill="auto"/>
          </w:tcPr>
          <w:p w14:paraId="5877D346" w14:textId="77777777" w:rsidR="00191E41" w:rsidRPr="00191E41" w:rsidRDefault="00191E41" w:rsidP="00191E41">
            <w:pPr>
              <w:ind w:right="57"/>
              <w:jc w:val="right"/>
              <w:rPr>
                <w:sz w:val="16"/>
                <w:szCs w:val="16"/>
              </w:rPr>
            </w:pPr>
            <w:r w:rsidRPr="00191E41">
              <w:rPr>
                <w:sz w:val="16"/>
                <w:szCs w:val="16"/>
              </w:rPr>
              <w:t>8 927.9</w:t>
            </w:r>
          </w:p>
        </w:tc>
      </w:tr>
      <w:tr w:rsidR="00191E41" w:rsidRPr="00191E41" w14:paraId="4F1E5671" w14:textId="77777777" w:rsidTr="001E7D79">
        <w:trPr>
          <w:jc w:val="center"/>
        </w:trPr>
        <w:tc>
          <w:tcPr>
            <w:tcW w:w="3585" w:type="dxa"/>
            <w:tcBorders>
              <w:top w:val="nil"/>
              <w:bottom w:val="nil"/>
              <w:right w:val="single" w:sz="4" w:space="0" w:color="auto"/>
            </w:tcBorders>
            <w:shd w:val="clear" w:color="auto" w:fill="auto"/>
          </w:tcPr>
          <w:p w14:paraId="42323BEE" w14:textId="77777777" w:rsidR="00191E41" w:rsidRPr="00191E41" w:rsidRDefault="00191E41" w:rsidP="00191E41">
            <w:pPr>
              <w:ind w:left="170"/>
              <w:rPr>
                <w:rFonts w:eastAsia="Times New Roman"/>
                <w:sz w:val="16"/>
                <w:szCs w:val="16"/>
              </w:rPr>
            </w:pPr>
            <w:r w:rsidRPr="00191E41">
              <w:rPr>
                <w:rFonts w:eastAsia="Times New Roman"/>
                <w:sz w:val="16"/>
                <w:szCs w:val="16"/>
              </w:rPr>
              <w:t>Mercado Bancario</w:t>
            </w:r>
          </w:p>
        </w:tc>
        <w:tc>
          <w:tcPr>
            <w:tcW w:w="1080" w:type="dxa"/>
            <w:tcBorders>
              <w:top w:val="nil"/>
              <w:left w:val="single" w:sz="4" w:space="0" w:color="auto"/>
              <w:bottom w:val="nil"/>
              <w:right w:val="single" w:sz="4" w:space="0" w:color="auto"/>
            </w:tcBorders>
            <w:shd w:val="clear" w:color="auto" w:fill="auto"/>
          </w:tcPr>
          <w:p w14:paraId="1C31F134" w14:textId="77777777" w:rsidR="00191E41" w:rsidRPr="00191E41" w:rsidRDefault="00191E41" w:rsidP="00191E41">
            <w:pPr>
              <w:ind w:right="113"/>
              <w:jc w:val="right"/>
              <w:rPr>
                <w:sz w:val="16"/>
                <w:szCs w:val="16"/>
              </w:rPr>
            </w:pPr>
            <w:r w:rsidRPr="00191E41">
              <w:rPr>
                <w:sz w:val="16"/>
                <w:szCs w:val="16"/>
              </w:rPr>
              <w:t>9 533.8</w:t>
            </w:r>
          </w:p>
        </w:tc>
        <w:tc>
          <w:tcPr>
            <w:tcW w:w="900" w:type="dxa"/>
            <w:tcBorders>
              <w:top w:val="nil"/>
              <w:left w:val="single" w:sz="4" w:space="0" w:color="auto"/>
              <w:bottom w:val="nil"/>
              <w:right w:val="single" w:sz="4" w:space="0" w:color="auto"/>
            </w:tcBorders>
            <w:shd w:val="clear" w:color="auto" w:fill="auto"/>
          </w:tcPr>
          <w:p w14:paraId="42FF2644" w14:textId="77777777" w:rsidR="00191E41" w:rsidRPr="00191E41" w:rsidRDefault="00191E41" w:rsidP="00191E41">
            <w:pPr>
              <w:ind w:right="57"/>
              <w:jc w:val="right"/>
              <w:rPr>
                <w:sz w:val="16"/>
                <w:szCs w:val="16"/>
              </w:rPr>
            </w:pPr>
            <w:r w:rsidRPr="00191E41">
              <w:rPr>
                <w:sz w:val="16"/>
                <w:szCs w:val="16"/>
              </w:rPr>
              <w:t>2 278.0</w:t>
            </w:r>
          </w:p>
        </w:tc>
        <w:tc>
          <w:tcPr>
            <w:tcW w:w="900" w:type="dxa"/>
            <w:tcBorders>
              <w:top w:val="nil"/>
              <w:left w:val="single" w:sz="4" w:space="0" w:color="auto"/>
              <w:bottom w:val="nil"/>
              <w:right w:val="single" w:sz="4" w:space="0" w:color="auto"/>
            </w:tcBorders>
            <w:shd w:val="clear" w:color="auto" w:fill="auto"/>
          </w:tcPr>
          <w:p w14:paraId="516BD864" w14:textId="77777777" w:rsidR="00191E41" w:rsidRPr="00191E41" w:rsidRDefault="00191E41" w:rsidP="00191E41">
            <w:pPr>
              <w:ind w:right="57"/>
              <w:jc w:val="right"/>
              <w:rPr>
                <w:sz w:val="16"/>
                <w:szCs w:val="16"/>
              </w:rPr>
            </w:pPr>
            <w:r w:rsidRPr="00191E41">
              <w:rPr>
                <w:sz w:val="16"/>
                <w:szCs w:val="16"/>
              </w:rPr>
              <w:t>991.0</w:t>
            </w:r>
          </w:p>
        </w:tc>
        <w:tc>
          <w:tcPr>
            <w:tcW w:w="1080" w:type="dxa"/>
            <w:tcBorders>
              <w:top w:val="nil"/>
              <w:left w:val="single" w:sz="4" w:space="0" w:color="auto"/>
              <w:bottom w:val="nil"/>
              <w:right w:val="single" w:sz="4" w:space="0" w:color="auto"/>
            </w:tcBorders>
            <w:shd w:val="clear" w:color="auto" w:fill="auto"/>
          </w:tcPr>
          <w:p w14:paraId="31595E6E" w14:textId="77777777" w:rsidR="00191E41" w:rsidRPr="00191E41" w:rsidRDefault="00191E41" w:rsidP="00191E41">
            <w:pPr>
              <w:ind w:right="170"/>
              <w:jc w:val="right"/>
              <w:rPr>
                <w:sz w:val="16"/>
                <w:szCs w:val="16"/>
              </w:rPr>
            </w:pPr>
            <w:r w:rsidRPr="00191E41">
              <w:rPr>
                <w:sz w:val="16"/>
                <w:szCs w:val="16"/>
              </w:rPr>
              <w:t>1 287.0</w:t>
            </w:r>
          </w:p>
        </w:tc>
        <w:tc>
          <w:tcPr>
            <w:tcW w:w="900" w:type="dxa"/>
            <w:tcBorders>
              <w:top w:val="nil"/>
              <w:left w:val="single" w:sz="4" w:space="0" w:color="auto"/>
              <w:bottom w:val="nil"/>
              <w:right w:val="single" w:sz="4" w:space="0" w:color="auto"/>
            </w:tcBorders>
            <w:shd w:val="clear" w:color="auto" w:fill="auto"/>
          </w:tcPr>
          <w:p w14:paraId="4C885D3B" w14:textId="77777777" w:rsidR="00191E41" w:rsidRPr="00191E41" w:rsidRDefault="00191E41" w:rsidP="00191E41">
            <w:pPr>
              <w:ind w:right="113"/>
              <w:jc w:val="right"/>
              <w:rPr>
                <w:sz w:val="16"/>
                <w:szCs w:val="16"/>
              </w:rPr>
            </w:pPr>
            <w:r w:rsidRPr="00191E41">
              <w:rPr>
                <w:sz w:val="16"/>
                <w:szCs w:val="16"/>
              </w:rPr>
              <w:t>-2.1</w:t>
            </w:r>
          </w:p>
        </w:tc>
        <w:tc>
          <w:tcPr>
            <w:tcW w:w="1080" w:type="dxa"/>
            <w:tcBorders>
              <w:top w:val="nil"/>
              <w:left w:val="single" w:sz="4" w:space="0" w:color="auto"/>
              <w:bottom w:val="nil"/>
            </w:tcBorders>
            <w:shd w:val="clear" w:color="auto" w:fill="auto"/>
          </w:tcPr>
          <w:p w14:paraId="266D6DE9" w14:textId="77777777" w:rsidR="00191E41" w:rsidRPr="00191E41" w:rsidRDefault="00191E41" w:rsidP="00191E41">
            <w:pPr>
              <w:ind w:right="57"/>
              <w:jc w:val="right"/>
              <w:rPr>
                <w:sz w:val="16"/>
                <w:szCs w:val="16"/>
              </w:rPr>
            </w:pPr>
            <w:r w:rsidRPr="00191E41">
              <w:rPr>
                <w:sz w:val="16"/>
                <w:szCs w:val="16"/>
              </w:rPr>
              <w:t>10 818.7</w:t>
            </w:r>
          </w:p>
        </w:tc>
      </w:tr>
      <w:tr w:rsidR="00191E41" w:rsidRPr="00191E41" w14:paraId="6103CE69" w14:textId="77777777" w:rsidTr="001E7D79">
        <w:trPr>
          <w:jc w:val="center"/>
        </w:trPr>
        <w:tc>
          <w:tcPr>
            <w:tcW w:w="3585" w:type="dxa"/>
            <w:tcBorders>
              <w:top w:val="nil"/>
              <w:right w:val="single" w:sz="4" w:space="0" w:color="auto"/>
            </w:tcBorders>
            <w:shd w:val="clear" w:color="auto" w:fill="auto"/>
          </w:tcPr>
          <w:p w14:paraId="59E6FBE0" w14:textId="77777777" w:rsidR="00191E41" w:rsidRPr="00191E41" w:rsidRDefault="00191E41" w:rsidP="00191E41">
            <w:pPr>
              <w:ind w:left="170"/>
              <w:rPr>
                <w:rFonts w:eastAsia="Times New Roman"/>
                <w:sz w:val="16"/>
                <w:szCs w:val="16"/>
              </w:rPr>
            </w:pPr>
            <w:r w:rsidRPr="00191E41">
              <w:rPr>
                <w:rFonts w:eastAsia="Times New Roman"/>
                <w:sz w:val="16"/>
                <w:szCs w:val="16"/>
              </w:rPr>
              <w:t>Pidiregas</w:t>
            </w:r>
          </w:p>
        </w:tc>
        <w:tc>
          <w:tcPr>
            <w:tcW w:w="1080" w:type="dxa"/>
            <w:tcBorders>
              <w:top w:val="nil"/>
              <w:left w:val="single" w:sz="4" w:space="0" w:color="auto"/>
              <w:right w:val="single" w:sz="4" w:space="0" w:color="auto"/>
            </w:tcBorders>
            <w:shd w:val="clear" w:color="auto" w:fill="auto"/>
          </w:tcPr>
          <w:p w14:paraId="0D599D84" w14:textId="77777777" w:rsidR="00191E41" w:rsidRPr="00191E41" w:rsidRDefault="00191E41" w:rsidP="00191E41">
            <w:pPr>
              <w:ind w:right="113"/>
              <w:jc w:val="right"/>
              <w:rPr>
                <w:sz w:val="16"/>
                <w:szCs w:val="16"/>
              </w:rPr>
            </w:pPr>
            <w:r w:rsidRPr="00191E41">
              <w:rPr>
                <w:sz w:val="16"/>
                <w:szCs w:val="16"/>
              </w:rPr>
              <w:t>193.2</w:t>
            </w:r>
          </w:p>
        </w:tc>
        <w:tc>
          <w:tcPr>
            <w:tcW w:w="900" w:type="dxa"/>
            <w:tcBorders>
              <w:top w:val="nil"/>
              <w:left w:val="single" w:sz="4" w:space="0" w:color="auto"/>
              <w:right w:val="single" w:sz="4" w:space="0" w:color="auto"/>
            </w:tcBorders>
            <w:shd w:val="clear" w:color="auto" w:fill="auto"/>
          </w:tcPr>
          <w:p w14:paraId="41FC7BF6" w14:textId="77777777" w:rsidR="00191E41" w:rsidRPr="00191E41" w:rsidRDefault="00191E41" w:rsidP="00191E41">
            <w:pPr>
              <w:ind w:right="57"/>
              <w:jc w:val="right"/>
              <w:rPr>
                <w:sz w:val="16"/>
                <w:szCs w:val="16"/>
              </w:rPr>
            </w:pPr>
            <w:r w:rsidRPr="00191E41">
              <w:rPr>
                <w:sz w:val="16"/>
                <w:szCs w:val="16"/>
              </w:rPr>
              <w:t>193.2</w:t>
            </w:r>
          </w:p>
        </w:tc>
        <w:tc>
          <w:tcPr>
            <w:tcW w:w="900" w:type="dxa"/>
            <w:tcBorders>
              <w:top w:val="nil"/>
              <w:left w:val="single" w:sz="4" w:space="0" w:color="auto"/>
              <w:right w:val="single" w:sz="4" w:space="0" w:color="auto"/>
            </w:tcBorders>
            <w:shd w:val="clear" w:color="auto" w:fill="auto"/>
          </w:tcPr>
          <w:p w14:paraId="0E2C7040" w14:textId="77777777" w:rsidR="00191E41" w:rsidRPr="00191E41" w:rsidRDefault="00191E41" w:rsidP="00191E41">
            <w:pPr>
              <w:ind w:right="57"/>
              <w:jc w:val="right"/>
              <w:rPr>
                <w:sz w:val="16"/>
                <w:szCs w:val="16"/>
              </w:rPr>
            </w:pPr>
            <w:r w:rsidRPr="00191E41">
              <w:rPr>
                <w:sz w:val="16"/>
                <w:szCs w:val="16"/>
              </w:rPr>
              <w:t>2.9</w:t>
            </w:r>
          </w:p>
        </w:tc>
        <w:tc>
          <w:tcPr>
            <w:tcW w:w="1080" w:type="dxa"/>
            <w:tcBorders>
              <w:top w:val="nil"/>
              <w:left w:val="single" w:sz="4" w:space="0" w:color="auto"/>
              <w:right w:val="single" w:sz="4" w:space="0" w:color="auto"/>
            </w:tcBorders>
            <w:shd w:val="clear" w:color="auto" w:fill="auto"/>
          </w:tcPr>
          <w:p w14:paraId="59DAFF98" w14:textId="77777777" w:rsidR="00191E41" w:rsidRPr="00191E41" w:rsidRDefault="00191E41" w:rsidP="00191E41">
            <w:pPr>
              <w:ind w:right="170"/>
              <w:jc w:val="right"/>
              <w:rPr>
                <w:sz w:val="16"/>
                <w:szCs w:val="16"/>
              </w:rPr>
            </w:pPr>
            <w:r w:rsidRPr="00191E41">
              <w:rPr>
                <w:sz w:val="16"/>
                <w:szCs w:val="16"/>
              </w:rPr>
              <w:t>190.3</w:t>
            </w:r>
          </w:p>
        </w:tc>
        <w:tc>
          <w:tcPr>
            <w:tcW w:w="900" w:type="dxa"/>
            <w:tcBorders>
              <w:top w:val="nil"/>
              <w:left w:val="single" w:sz="4" w:space="0" w:color="auto"/>
              <w:right w:val="single" w:sz="4" w:space="0" w:color="auto"/>
            </w:tcBorders>
            <w:shd w:val="clear" w:color="auto" w:fill="auto"/>
          </w:tcPr>
          <w:p w14:paraId="418C5AD6" w14:textId="77777777" w:rsidR="00191E41" w:rsidRPr="00191E41" w:rsidRDefault="00191E41" w:rsidP="00191E41">
            <w:pPr>
              <w:ind w:right="113"/>
              <w:jc w:val="right"/>
              <w:rPr>
                <w:sz w:val="16"/>
                <w:szCs w:val="16"/>
              </w:rPr>
            </w:pPr>
            <w:r w:rsidRPr="00191E41">
              <w:rPr>
                <w:sz w:val="16"/>
                <w:szCs w:val="16"/>
              </w:rPr>
              <w:t>109.5</w:t>
            </w:r>
          </w:p>
        </w:tc>
        <w:tc>
          <w:tcPr>
            <w:tcW w:w="1080" w:type="dxa"/>
            <w:tcBorders>
              <w:top w:val="nil"/>
              <w:left w:val="single" w:sz="4" w:space="0" w:color="auto"/>
            </w:tcBorders>
            <w:shd w:val="clear" w:color="auto" w:fill="auto"/>
          </w:tcPr>
          <w:p w14:paraId="40859DCE" w14:textId="77777777" w:rsidR="00191E41" w:rsidRPr="00191E41" w:rsidRDefault="00191E41" w:rsidP="00191E41">
            <w:pPr>
              <w:ind w:right="57"/>
              <w:jc w:val="right"/>
              <w:rPr>
                <w:sz w:val="16"/>
                <w:szCs w:val="16"/>
              </w:rPr>
            </w:pPr>
            <w:r w:rsidRPr="00191E41">
              <w:rPr>
                <w:sz w:val="16"/>
                <w:szCs w:val="16"/>
              </w:rPr>
              <w:t>493.0</w:t>
            </w:r>
          </w:p>
        </w:tc>
      </w:tr>
      <w:tr w:rsidR="00191E41" w:rsidRPr="00191E41" w14:paraId="5BEC5F87" w14:textId="77777777" w:rsidTr="001E7D79">
        <w:trPr>
          <w:jc w:val="center"/>
        </w:trPr>
        <w:tc>
          <w:tcPr>
            <w:tcW w:w="9525" w:type="dxa"/>
            <w:gridSpan w:val="7"/>
            <w:tcBorders>
              <w:left w:val="nil"/>
              <w:bottom w:val="nil"/>
              <w:right w:val="nil"/>
            </w:tcBorders>
            <w:shd w:val="clear" w:color="auto" w:fill="auto"/>
          </w:tcPr>
          <w:p w14:paraId="6A128588" w14:textId="77777777" w:rsidR="00191E41" w:rsidRPr="00191E41" w:rsidRDefault="00191E41" w:rsidP="00191E41">
            <w:pPr>
              <w:jc w:val="both"/>
              <w:rPr>
                <w:rFonts w:eastAsia="Times New Roman"/>
                <w:sz w:val="16"/>
                <w:szCs w:val="16"/>
              </w:rPr>
            </w:pPr>
            <w:r w:rsidRPr="00191E41">
              <w:rPr>
                <w:rFonts w:eastAsia="Times New Roman"/>
                <w:sz w:val="16"/>
                <w:szCs w:val="16"/>
              </w:rPr>
              <w:t>Nota: Las sumas parciales pueden no coincidir debido al redondeo.</w:t>
            </w:r>
          </w:p>
          <w:p w14:paraId="6399A81E" w14:textId="77777777" w:rsidR="00191E41" w:rsidRPr="00191E41" w:rsidRDefault="00191E41" w:rsidP="00191E41">
            <w:pPr>
              <w:jc w:val="both"/>
              <w:rPr>
                <w:rFonts w:eastAsia="Times New Roman"/>
                <w:sz w:val="16"/>
                <w:szCs w:val="16"/>
              </w:rPr>
            </w:pPr>
            <w:r w:rsidRPr="00191E41">
              <w:rPr>
                <w:rFonts w:eastAsia="Times New Roman"/>
                <w:sz w:val="16"/>
                <w:szCs w:val="16"/>
              </w:rPr>
              <w:t>*  Cifras sujetas a revisiones por cambios y adecuaciones metodológicas.</w:t>
            </w:r>
          </w:p>
          <w:p w14:paraId="18D36E74" w14:textId="77777777" w:rsidR="00191E41" w:rsidRPr="00191E41" w:rsidRDefault="00191E41" w:rsidP="00191E41">
            <w:pPr>
              <w:jc w:val="both"/>
              <w:rPr>
                <w:rFonts w:eastAsia="Times New Roman"/>
                <w:sz w:val="16"/>
                <w:szCs w:val="16"/>
              </w:rPr>
            </w:pPr>
            <w:r w:rsidRPr="00191E41">
              <w:rPr>
                <w:rFonts w:eastAsia="Times New Roman"/>
                <w:sz w:val="16"/>
                <w:szCs w:val="16"/>
                <w:u w:val="single"/>
              </w:rPr>
              <w:t>p</w:t>
            </w:r>
            <w:r w:rsidRPr="00191E41">
              <w:rPr>
                <w:rFonts w:eastAsia="Times New Roman"/>
                <w:sz w:val="16"/>
                <w:szCs w:val="16"/>
              </w:rPr>
              <w:t>/ Cifras preliminares.</w:t>
            </w:r>
          </w:p>
          <w:p w14:paraId="02410CAB" w14:textId="77777777" w:rsidR="00191E41" w:rsidRPr="00191E41" w:rsidRDefault="00191E41" w:rsidP="00191E41">
            <w:pPr>
              <w:jc w:val="both"/>
              <w:rPr>
                <w:rFonts w:eastAsia="Times New Roman"/>
                <w:sz w:val="16"/>
                <w:szCs w:val="16"/>
              </w:rPr>
            </w:pPr>
            <w:r w:rsidRPr="00191E41">
              <w:rPr>
                <w:rFonts w:eastAsia="Times New Roman"/>
                <w:sz w:val="16"/>
                <w:szCs w:val="16"/>
                <w:u w:val="single"/>
              </w:rPr>
              <w:t>1</w:t>
            </w:r>
            <w:r w:rsidRPr="00191E41">
              <w:rPr>
                <w:rFonts w:eastAsia="Times New Roman"/>
                <w:sz w:val="16"/>
                <w:szCs w:val="16"/>
              </w:rPr>
              <w:t>/ Incluye la deuda del Gobierno Federal, Organismos y Empresas y Banca de Desarrollo.</w:t>
            </w:r>
          </w:p>
          <w:p w14:paraId="148FBC43" w14:textId="1398E909" w:rsidR="00191E41" w:rsidRPr="00191E41" w:rsidRDefault="00191E41" w:rsidP="00191E41">
            <w:pPr>
              <w:ind w:left="170" w:hanging="170"/>
              <w:jc w:val="both"/>
              <w:rPr>
                <w:rFonts w:eastAsia="Times New Roman"/>
                <w:sz w:val="16"/>
                <w:szCs w:val="16"/>
              </w:rPr>
            </w:pPr>
            <w:r w:rsidRPr="00191E41">
              <w:rPr>
                <w:rFonts w:eastAsia="Times New Roman"/>
                <w:sz w:val="16"/>
                <w:szCs w:val="16"/>
                <w:u w:val="single"/>
              </w:rPr>
              <w:t>2</w:t>
            </w:r>
            <w:r w:rsidRPr="00191E41">
              <w:rPr>
                <w:rFonts w:eastAsia="Times New Roman"/>
                <w:sz w:val="16"/>
                <w:szCs w:val="16"/>
              </w:rPr>
              <w:t xml:space="preserve">/ Considera el saldo neto denominado en dólares de la Cuenta General de la Tesorería de la Federación, así como las disponibilidades de los Organismos y Empresas </w:t>
            </w:r>
            <w:r w:rsidR="00CB7BE4">
              <w:rPr>
                <w:rFonts w:eastAsia="Times New Roman"/>
                <w:sz w:val="16"/>
                <w:szCs w:val="16"/>
              </w:rPr>
              <w:t xml:space="preserve">Productivas del Estado </w:t>
            </w:r>
            <w:r w:rsidRPr="00191E41">
              <w:rPr>
                <w:rFonts w:eastAsia="Times New Roman"/>
                <w:sz w:val="16"/>
                <w:szCs w:val="16"/>
              </w:rPr>
              <w:t>y de la Banca de Desarrollo.</w:t>
            </w:r>
          </w:p>
          <w:p w14:paraId="69361C66" w14:textId="77777777" w:rsidR="00191E41" w:rsidRPr="00191E41" w:rsidRDefault="00191E41" w:rsidP="00191E41">
            <w:pPr>
              <w:jc w:val="both"/>
              <w:rPr>
                <w:rFonts w:eastAsia="Times New Roman"/>
                <w:sz w:val="16"/>
                <w:szCs w:val="16"/>
              </w:rPr>
            </w:pPr>
            <w:r w:rsidRPr="00191E41">
              <w:rPr>
                <w:rFonts w:eastAsia="Times New Roman"/>
                <w:sz w:val="16"/>
                <w:szCs w:val="16"/>
              </w:rPr>
              <w:t xml:space="preserve">FUENTE: </w:t>
            </w:r>
            <w:r w:rsidRPr="00191E41">
              <w:rPr>
                <w:rFonts w:eastAsia="Times New Roman"/>
                <w:iCs/>
                <w:sz w:val="16"/>
                <w:szCs w:val="16"/>
              </w:rPr>
              <w:t>Dirección General Adjunta de Deuda Pública, UCP</w:t>
            </w:r>
            <w:r w:rsidRPr="00191E41">
              <w:rPr>
                <w:rFonts w:eastAsia="Times New Roman"/>
                <w:i/>
                <w:iCs/>
                <w:sz w:val="20"/>
                <w:szCs w:val="20"/>
              </w:rPr>
              <w:t>.</w:t>
            </w:r>
          </w:p>
        </w:tc>
      </w:tr>
    </w:tbl>
    <w:p w14:paraId="16199C28" w14:textId="77777777" w:rsidR="00191E41" w:rsidRPr="00191E41" w:rsidRDefault="00191E41" w:rsidP="00191E41">
      <w:pPr>
        <w:spacing w:after="360" w:line="360" w:lineRule="auto"/>
        <w:ind w:right="-159"/>
        <w:jc w:val="both"/>
        <w:rPr>
          <w:rFonts w:eastAsia="Calibri"/>
          <w:sz w:val="26"/>
          <w:szCs w:val="26"/>
          <w:lang w:eastAsia="en-US"/>
        </w:rPr>
      </w:pPr>
    </w:p>
    <w:p w14:paraId="6F886366" w14:textId="77777777" w:rsidR="00191E41" w:rsidRPr="00191E41" w:rsidRDefault="00191E41" w:rsidP="00191E41">
      <w:pPr>
        <w:spacing w:after="360" w:line="360" w:lineRule="auto"/>
        <w:ind w:right="-159"/>
        <w:jc w:val="both"/>
        <w:rPr>
          <w:rFonts w:eastAsia="Calibri"/>
          <w:sz w:val="26"/>
          <w:szCs w:val="26"/>
          <w:lang w:eastAsia="en-US"/>
        </w:rPr>
      </w:pPr>
      <w:r w:rsidRPr="00191E41">
        <w:rPr>
          <w:rFonts w:eastAsia="Calibri"/>
          <w:sz w:val="26"/>
          <w:szCs w:val="26"/>
          <w:lang w:eastAsia="en-US"/>
        </w:rPr>
        <w:t xml:space="preserve">El Saldo Histórico de los RFSP ascendió a 7 billones 559 mil millones de pesos y fue superior en 112 mil millones de pesos al de diciembre de 2014. </w:t>
      </w:r>
    </w:p>
    <w:p w14:paraId="5E5A3B16" w14:textId="77777777" w:rsidR="00191E41" w:rsidRPr="00191E41" w:rsidRDefault="00191E41" w:rsidP="00191E41">
      <w:pPr>
        <w:spacing w:after="360" w:line="360" w:lineRule="auto"/>
        <w:ind w:right="-159"/>
        <w:jc w:val="both"/>
        <w:rPr>
          <w:rFonts w:eastAsia="Calibri"/>
          <w:sz w:val="26"/>
          <w:szCs w:val="26"/>
          <w:lang w:eastAsia="en-US"/>
        </w:rPr>
      </w:pPr>
      <w:r w:rsidRPr="00191E41">
        <w:rPr>
          <w:rFonts w:eastAsia="Calibri"/>
          <w:sz w:val="26"/>
          <w:szCs w:val="26"/>
          <w:lang w:eastAsia="en-US"/>
        </w:rPr>
        <w:t xml:space="preserve">Se puede consultar mayor detalle sobre las estadísticas de finanzas y deuda pública en la página de la SHCP, en el sitio de Internet: </w:t>
      </w:r>
      <w:hyperlink r:id="rId288" w:history="1">
        <w:r w:rsidRPr="00191E41">
          <w:rPr>
            <w:rFonts w:eastAsia="Calibri"/>
            <w:sz w:val="26"/>
            <w:szCs w:val="26"/>
            <w:u w:val="single"/>
            <w:lang w:eastAsia="en-US"/>
          </w:rPr>
          <w:t>http://bit.ly/1o7pG8v</w:t>
        </w:r>
      </w:hyperlink>
      <w:r w:rsidRPr="00191E41">
        <w:rPr>
          <w:rFonts w:eastAsia="Calibri"/>
          <w:sz w:val="26"/>
          <w:szCs w:val="26"/>
          <w:lang w:eastAsia="en-US"/>
        </w:rPr>
        <w:t xml:space="preserve"> </w:t>
      </w:r>
    </w:p>
    <w:p w14:paraId="46999EB9" w14:textId="77777777" w:rsidR="00191E41" w:rsidRPr="00191E41" w:rsidRDefault="00191E41" w:rsidP="00191E41">
      <w:pPr>
        <w:ind w:right="-159"/>
        <w:jc w:val="both"/>
        <w:rPr>
          <w:rFonts w:eastAsia="Calibri"/>
          <w:b/>
          <w:sz w:val="20"/>
          <w:szCs w:val="20"/>
          <w:lang w:eastAsia="en-US"/>
        </w:rPr>
      </w:pPr>
      <w:r w:rsidRPr="00191E41">
        <w:rPr>
          <w:rFonts w:eastAsia="Calibri"/>
          <w:b/>
          <w:sz w:val="20"/>
          <w:szCs w:val="20"/>
          <w:lang w:eastAsia="en-US"/>
        </w:rPr>
        <w:t>Fuente de información:</w:t>
      </w:r>
    </w:p>
    <w:p w14:paraId="0E6AEFFC" w14:textId="77777777" w:rsidR="00191E41" w:rsidRPr="001B4DFF" w:rsidRDefault="0093224F" w:rsidP="00191E41">
      <w:pPr>
        <w:ind w:right="-159"/>
        <w:jc w:val="both"/>
        <w:rPr>
          <w:rFonts w:eastAsia="Calibri"/>
          <w:color w:val="0000FF"/>
          <w:sz w:val="20"/>
          <w:szCs w:val="20"/>
          <w:lang w:eastAsia="en-US"/>
        </w:rPr>
      </w:pPr>
      <w:hyperlink r:id="rId289" w:history="1">
        <w:r w:rsidR="00191E41" w:rsidRPr="001B4DFF">
          <w:rPr>
            <w:rFonts w:eastAsia="Calibri"/>
            <w:color w:val="0000FF"/>
            <w:sz w:val="20"/>
            <w:szCs w:val="20"/>
            <w:u w:val="single"/>
            <w:lang w:eastAsia="en-US"/>
          </w:rPr>
          <w:t>http://www.shcp.gob.mx/Biblioteca_noticias_home/comunicado_015_2015.pdf</w:t>
        </w:r>
      </w:hyperlink>
      <w:r w:rsidR="00191E41" w:rsidRPr="001B4DFF">
        <w:rPr>
          <w:rFonts w:eastAsia="Calibri"/>
          <w:color w:val="0000FF"/>
          <w:sz w:val="20"/>
          <w:szCs w:val="20"/>
          <w:lang w:eastAsia="en-US"/>
        </w:rPr>
        <w:t xml:space="preserve"> </w:t>
      </w:r>
    </w:p>
    <w:p w14:paraId="3CE88964" w14:textId="77777777" w:rsidR="00402217" w:rsidRDefault="00402217" w:rsidP="001A7BA7">
      <w:pPr>
        <w:spacing w:after="360" w:line="360" w:lineRule="auto"/>
        <w:ind w:right="-159"/>
        <w:jc w:val="both"/>
        <w:rPr>
          <w:rFonts w:eastAsia="Calibri"/>
          <w:sz w:val="26"/>
          <w:szCs w:val="26"/>
          <w:lang w:val="en" w:eastAsia="en-US"/>
        </w:rPr>
      </w:pPr>
    </w:p>
    <w:p w14:paraId="6BB633A0" w14:textId="77777777" w:rsidR="00593607" w:rsidRDefault="00593607" w:rsidP="001A7BA7">
      <w:pPr>
        <w:spacing w:after="360" w:line="360" w:lineRule="auto"/>
        <w:ind w:right="-159"/>
        <w:jc w:val="both"/>
        <w:rPr>
          <w:rFonts w:eastAsia="Calibri"/>
          <w:sz w:val="26"/>
          <w:szCs w:val="26"/>
          <w:lang w:val="en" w:eastAsia="en-US"/>
        </w:rPr>
      </w:pPr>
    </w:p>
    <w:p w14:paraId="47E77171" w14:textId="77777777" w:rsidR="00593607" w:rsidRDefault="00593607" w:rsidP="001A7BA7">
      <w:pPr>
        <w:spacing w:after="360" w:line="360" w:lineRule="auto"/>
        <w:ind w:right="-159"/>
        <w:jc w:val="both"/>
        <w:rPr>
          <w:rFonts w:eastAsia="Calibri"/>
          <w:sz w:val="26"/>
          <w:szCs w:val="26"/>
          <w:lang w:val="en" w:eastAsia="en-US"/>
        </w:rPr>
      </w:pPr>
    </w:p>
    <w:p w14:paraId="14F7E0AF" w14:textId="77777777" w:rsidR="00593607" w:rsidRDefault="00593607" w:rsidP="001A7BA7">
      <w:pPr>
        <w:spacing w:after="360" w:line="360" w:lineRule="auto"/>
        <w:ind w:right="-159"/>
        <w:jc w:val="both"/>
        <w:rPr>
          <w:rFonts w:eastAsia="Calibri"/>
          <w:sz w:val="26"/>
          <w:szCs w:val="26"/>
          <w:lang w:val="en" w:eastAsia="en-US"/>
        </w:rPr>
      </w:pPr>
    </w:p>
    <w:p w14:paraId="30436F7A" w14:textId="77777777" w:rsidR="00FA2B71" w:rsidRPr="00FA2B71" w:rsidRDefault="00FA2B71" w:rsidP="00FA2B71">
      <w:pPr>
        <w:ind w:right="-159"/>
        <w:jc w:val="both"/>
        <w:rPr>
          <w:rFonts w:eastAsia="Calibri"/>
          <w:b/>
          <w:sz w:val="26"/>
          <w:szCs w:val="26"/>
          <w:lang w:eastAsia="en-US"/>
        </w:rPr>
      </w:pPr>
      <w:r w:rsidRPr="00FA2B71">
        <w:rPr>
          <w:rFonts w:eastAsia="Calibri"/>
          <w:b/>
          <w:sz w:val="26"/>
          <w:szCs w:val="26"/>
          <w:lang w:eastAsia="en-US"/>
        </w:rPr>
        <w:lastRenderedPageBreak/>
        <w:t>El Gobierno Federal extiende descuentos</w:t>
      </w:r>
    </w:p>
    <w:p w14:paraId="26187563" w14:textId="77777777" w:rsidR="00FA2B71" w:rsidRPr="00FA2B71" w:rsidRDefault="00FA2B71" w:rsidP="00FA2B71">
      <w:pPr>
        <w:ind w:right="-159"/>
        <w:jc w:val="both"/>
        <w:rPr>
          <w:rFonts w:eastAsia="Calibri"/>
          <w:b/>
          <w:sz w:val="26"/>
          <w:szCs w:val="26"/>
          <w:lang w:eastAsia="en-US"/>
        </w:rPr>
      </w:pPr>
      <w:r w:rsidRPr="00FA2B71">
        <w:rPr>
          <w:rFonts w:eastAsia="Calibri"/>
          <w:b/>
          <w:sz w:val="26"/>
          <w:szCs w:val="26"/>
          <w:lang w:eastAsia="en-US"/>
        </w:rPr>
        <w:t>fiscales  para impulsar la formalidad y el</w:t>
      </w:r>
    </w:p>
    <w:p w14:paraId="135C172E" w14:textId="77777777" w:rsidR="00FA2B71" w:rsidRPr="00FA2B71" w:rsidRDefault="00FA2B71" w:rsidP="00FA2B71">
      <w:pPr>
        <w:spacing w:after="360" w:line="360" w:lineRule="auto"/>
        <w:ind w:right="-159"/>
        <w:jc w:val="both"/>
        <w:rPr>
          <w:rFonts w:eastAsia="Calibri"/>
          <w:b/>
          <w:sz w:val="26"/>
          <w:szCs w:val="26"/>
          <w:lang w:eastAsia="en-US"/>
        </w:rPr>
      </w:pPr>
      <w:r w:rsidRPr="00FA2B71">
        <w:rPr>
          <w:rFonts w:eastAsia="Calibri"/>
          <w:b/>
          <w:sz w:val="26"/>
          <w:szCs w:val="26"/>
          <w:lang w:eastAsia="en-US"/>
        </w:rPr>
        <w:t>crecimiento (SHCP)</w:t>
      </w:r>
    </w:p>
    <w:p w14:paraId="4EF20CBD" w14:textId="77777777" w:rsidR="00FA2B71" w:rsidRPr="00FA2B71" w:rsidRDefault="00FA2B71" w:rsidP="00FA2B71">
      <w:pPr>
        <w:spacing w:after="360" w:line="360" w:lineRule="auto"/>
        <w:ind w:right="-159"/>
        <w:jc w:val="both"/>
        <w:rPr>
          <w:rFonts w:eastAsia="Calibri"/>
          <w:sz w:val="26"/>
          <w:szCs w:val="26"/>
          <w:lang w:eastAsia="en-US"/>
        </w:rPr>
      </w:pPr>
      <w:r w:rsidRPr="00FA2B71">
        <w:rPr>
          <w:rFonts w:eastAsia="Calibri"/>
          <w:sz w:val="26"/>
          <w:szCs w:val="26"/>
          <w:lang w:eastAsia="en-US"/>
        </w:rPr>
        <w:t>El 10 de marzo de 2015, la Secretaría de Hacienda y Crédito Público (SHCP) informó que el Gobierno Federal extiende descuentos fiscales para impulsar la formalidad y el crecimiento.</w:t>
      </w:r>
    </w:p>
    <w:p w14:paraId="36DF7E03" w14:textId="77777777" w:rsidR="00FA2B71" w:rsidRPr="00FA2B71" w:rsidRDefault="00FA2B71" w:rsidP="00FA2B71">
      <w:pPr>
        <w:spacing w:after="360" w:line="360" w:lineRule="auto"/>
        <w:ind w:right="-159"/>
        <w:jc w:val="both"/>
        <w:rPr>
          <w:rFonts w:eastAsia="Calibri"/>
          <w:sz w:val="26"/>
          <w:szCs w:val="26"/>
          <w:lang w:eastAsia="en-US"/>
        </w:rPr>
      </w:pPr>
      <w:r w:rsidRPr="00FA2B71">
        <w:rPr>
          <w:rFonts w:eastAsia="Calibri"/>
          <w:sz w:val="26"/>
          <w:szCs w:val="26"/>
          <w:lang w:eastAsia="en-US"/>
        </w:rPr>
        <w:t xml:space="preserve">Ante los locatarios del mercado José María Pino Suarez en Villahermosa, Tabasco, el Secretario de Hacienda y Crédito Público anunció hoy que se extenderán los descuentos fiscales para los participantes en el Régimen de Incorporación Fiscal (RIF), creado por la Reforma Hacendaria. Esta medida fortalecerá los resultados del RIF que, en su primer año, permitió el registro de 899 mil participantes, un aumento de 23.1% respecto al padrón de pequeños contribuyentes del año anterior. </w:t>
      </w:r>
    </w:p>
    <w:p w14:paraId="36F1FA47" w14:textId="77777777" w:rsidR="00FA2B71" w:rsidRPr="00FA2B71" w:rsidRDefault="00FA2B71" w:rsidP="00276F3E">
      <w:pPr>
        <w:numPr>
          <w:ilvl w:val="0"/>
          <w:numId w:val="98"/>
        </w:numPr>
        <w:spacing w:after="360" w:line="360" w:lineRule="auto"/>
        <w:ind w:left="714" w:right="-159" w:hanging="357"/>
        <w:jc w:val="both"/>
        <w:rPr>
          <w:rFonts w:eastAsia="Calibri"/>
          <w:sz w:val="26"/>
          <w:szCs w:val="26"/>
          <w:lang w:eastAsia="en-US"/>
        </w:rPr>
      </w:pPr>
      <w:r w:rsidRPr="00FA2B71">
        <w:rPr>
          <w:rFonts w:eastAsia="Calibri"/>
          <w:sz w:val="26"/>
          <w:szCs w:val="26"/>
          <w:lang w:eastAsia="en-US"/>
        </w:rPr>
        <w:t xml:space="preserve">Los descuentos en pagos de Impuesto Sobre la Renta (ISR), Impuesto al Valor Agregado (IVA) e Impuestos Especiales sobre Producción y Servicios (IEPS) serán de 100% a lo largo de todo 2015, en lugar del 90% contemplado originalmente para quienes participan desde el año pasado. </w:t>
      </w:r>
    </w:p>
    <w:p w14:paraId="7C1B50AD" w14:textId="77777777" w:rsidR="00FA2B71" w:rsidRPr="00FA2B71" w:rsidRDefault="00FA2B71" w:rsidP="00276F3E">
      <w:pPr>
        <w:numPr>
          <w:ilvl w:val="0"/>
          <w:numId w:val="98"/>
        </w:numPr>
        <w:spacing w:after="360" w:line="360" w:lineRule="auto"/>
        <w:ind w:left="714" w:right="-159" w:hanging="357"/>
        <w:jc w:val="both"/>
        <w:rPr>
          <w:rFonts w:eastAsia="Calibri"/>
          <w:sz w:val="26"/>
          <w:szCs w:val="26"/>
          <w:lang w:eastAsia="en-US"/>
        </w:rPr>
      </w:pPr>
      <w:r w:rsidRPr="00FA2B71">
        <w:rPr>
          <w:rFonts w:eastAsia="Calibri"/>
          <w:sz w:val="26"/>
          <w:szCs w:val="26"/>
          <w:lang w:eastAsia="en-US"/>
        </w:rPr>
        <w:t xml:space="preserve">El descuento de 50% en las cuotas de seguridad social que obtienen los dueños de los negocios participantes y sus trabajadores previsto para el 2015, se extenderá por todo el 2016.  </w:t>
      </w:r>
    </w:p>
    <w:p w14:paraId="3EF309B7" w14:textId="77777777" w:rsidR="00FA2B71" w:rsidRPr="00FA2B71" w:rsidRDefault="00FA2B71" w:rsidP="00FA2B71">
      <w:pPr>
        <w:spacing w:after="360" w:line="360" w:lineRule="auto"/>
        <w:ind w:right="-159"/>
        <w:jc w:val="both"/>
        <w:rPr>
          <w:rFonts w:eastAsia="Calibri"/>
          <w:sz w:val="26"/>
          <w:szCs w:val="26"/>
          <w:lang w:eastAsia="en-US"/>
        </w:rPr>
      </w:pPr>
      <w:r w:rsidRPr="00FA2B71">
        <w:rPr>
          <w:rFonts w:eastAsia="Calibri"/>
          <w:sz w:val="26"/>
          <w:szCs w:val="26"/>
          <w:lang w:eastAsia="en-US"/>
        </w:rPr>
        <w:t xml:space="preserve">El Secretario declaró que, a través de los descuentos en el monto de los impuestos, así como nuevas herramientas para facilitar su pago y apoyar la administración empresarial, se busca que los negocios más pequeños del país se familiaricen con el cumplimiento de sus obligaciones fiscales. De manera complementaria, informó que, a través de la estrategia “Crezcamos Juntos”, la SHCP continuará otorgando apoyos </w:t>
      </w:r>
      <w:r w:rsidRPr="00FA2B71">
        <w:rPr>
          <w:rFonts w:eastAsia="Calibri"/>
          <w:sz w:val="26"/>
          <w:szCs w:val="26"/>
          <w:lang w:eastAsia="en-US"/>
        </w:rPr>
        <w:lastRenderedPageBreak/>
        <w:t xml:space="preserve">económicos y créditos para el consumo y la vivienda de los pequeños empresarios y trabajadores mexicanos. </w:t>
      </w:r>
    </w:p>
    <w:p w14:paraId="0CC8778B" w14:textId="77777777" w:rsidR="00FA2B71" w:rsidRPr="00FA2B71" w:rsidRDefault="00FA2B71" w:rsidP="00FA2B71">
      <w:pPr>
        <w:spacing w:after="360" w:line="360" w:lineRule="auto"/>
        <w:ind w:right="-159"/>
        <w:jc w:val="both"/>
        <w:rPr>
          <w:rFonts w:eastAsia="Calibri"/>
          <w:sz w:val="26"/>
          <w:szCs w:val="26"/>
          <w:lang w:eastAsia="en-US"/>
        </w:rPr>
      </w:pPr>
      <w:r w:rsidRPr="00FA2B71">
        <w:rPr>
          <w:rFonts w:eastAsia="Calibri"/>
          <w:sz w:val="26"/>
          <w:szCs w:val="26"/>
          <w:lang w:eastAsia="en-US"/>
        </w:rPr>
        <w:t>Estas acciones fomentarán la formalidad y el crecimiento empresarial que son fundamentales para incrementar la productividad. Los descuentos, además, ampliarán el universo de contribuyentes para abonar a la construcción de un sistema fiscal más robusto y más justo. Así, la SHCP contribuye al crecimiento de la economía en beneficio de todos los mexicanos para que, todos juntos, movamos a México.</w:t>
      </w:r>
    </w:p>
    <w:p w14:paraId="019EBC9B" w14:textId="77777777" w:rsidR="00FA2B71" w:rsidRPr="00FA2B71" w:rsidRDefault="00FA2B71" w:rsidP="00FA2B71">
      <w:pPr>
        <w:ind w:right="-159"/>
        <w:jc w:val="both"/>
        <w:rPr>
          <w:rFonts w:eastAsia="Calibri"/>
          <w:b/>
          <w:sz w:val="20"/>
          <w:szCs w:val="20"/>
          <w:lang w:eastAsia="en-US"/>
        </w:rPr>
      </w:pPr>
      <w:r w:rsidRPr="00FA2B71">
        <w:rPr>
          <w:rFonts w:eastAsia="Calibri"/>
          <w:b/>
          <w:sz w:val="20"/>
          <w:szCs w:val="20"/>
          <w:lang w:eastAsia="en-US"/>
        </w:rPr>
        <w:t>Fuente de información:</w:t>
      </w:r>
    </w:p>
    <w:p w14:paraId="41B6471F" w14:textId="77777777" w:rsidR="00FA2B71" w:rsidRPr="001B4DFF" w:rsidRDefault="0093224F" w:rsidP="001B4DFF">
      <w:pPr>
        <w:spacing w:after="720"/>
        <w:ind w:right="-159"/>
        <w:jc w:val="both"/>
        <w:rPr>
          <w:rFonts w:eastAsia="Calibri"/>
          <w:color w:val="0000FF"/>
          <w:sz w:val="20"/>
          <w:szCs w:val="20"/>
          <w:lang w:eastAsia="en-US"/>
        </w:rPr>
      </w:pPr>
      <w:hyperlink r:id="rId290" w:history="1">
        <w:r w:rsidR="00FA2B71" w:rsidRPr="001B4DFF">
          <w:rPr>
            <w:rFonts w:eastAsia="Calibri"/>
            <w:color w:val="0000FF"/>
            <w:sz w:val="20"/>
            <w:szCs w:val="20"/>
            <w:u w:val="single"/>
            <w:lang w:eastAsia="en-US"/>
          </w:rPr>
          <w:t>http://www.shcp.gob.mx/Biblioteca_noticias_home/comunicado_018_2015.pdf</w:t>
        </w:r>
      </w:hyperlink>
      <w:r w:rsidR="00FA2B71" w:rsidRPr="001B4DFF">
        <w:rPr>
          <w:rFonts w:eastAsia="Calibri"/>
          <w:color w:val="0000FF"/>
          <w:sz w:val="20"/>
          <w:szCs w:val="20"/>
          <w:lang w:eastAsia="en-US"/>
        </w:rPr>
        <w:t xml:space="preserve"> </w:t>
      </w:r>
    </w:p>
    <w:p w14:paraId="2F1962C2" w14:textId="77777777" w:rsidR="00981DA4" w:rsidRPr="00981DA4" w:rsidRDefault="00981DA4" w:rsidP="00981DA4">
      <w:pPr>
        <w:spacing w:after="360" w:line="360" w:lineRule="auto"/>
        <w:ind w:right="-159"/>
        <w:jc w:val="both"/>
        <w:rPr>
          <w:rFonts w:eastAsia="Calibri"/>
          <w:b/>
          <w:sz w:val="26"/>
          <w:szCs w:val="26"/>
          <w:lang w:eastAsia="en-US"/>
        </w:rPr>
      </w:pPr>
      <w:r w:rsidRPr="00981DA4">
        <w:rPr>
          <w:rFonts w:eastAsia="Calibri"/>
          <w:b/>
          <w:sz w:val="26"/>
          <w:szCs w:val="26"/>
          <w:lang w:eastAsia="en-US"/>
        </w:rPr>
        <w:t>Aumenta la recaudación y el padrón de contribuyentes (SAT)</w:t>
      </w:r>
    </w:p>
    <w:p w14:paraId="7BEE87E3" w14:textId="270DD0CC" w:rsidR="00981DA4" w:rsidRPr="00981DA4" w:rsidRDefault="00981DA4" w:rsidP="00981DA4">
      <w:pPr>
        <w:spacing w:after="360" w:line="360" w:lineRule="auto"/>
        <w:ind w:right="-159"/>
        <w:jc w:val="both"/>
        <w:rPr>
          <w:rFonts w:eastAsia="Calibri"/>
          <w:sz w:val="26"/>
          <w:szCs w:val="26"/>
          <w:lang w:eastAsia="en-US"/>
        </w:rPr>
      </w:pPr>
      <w:r w:rsidRPr="00981DA4">
        <w:rPr>
          <w:rFonts w:eastAsia="Calibri"/>
          <w:sz w:val="26"/>
          <w:szCs w:val="26"/>
          <w:lang w:eastAsia="en-US"/>
        </w:rPr>
        <w:t>El 25 de febrero de 2015, el Servicio de Administración Tributaria (SAT) publicó en su portal el “Informe Tributario y de Gestión al cuarto trimestre de 2014”</w:t>
      </w:r>
      <w:r w:rsidRPr="00981DA4">
        <w:rPr>
          <w:rFonts w:eastAsia="Calibri"/>
          <w:sz w:val="26"/>
          <w:szCs w:val="26"/>
          <w:vertAlign w:val="superscript"/>
          <w:lang w:eastAsia="en-US"/>
        </w:rPr>
        <w:footnoteReference w:id="84"/>
      </w:r>
      <w:r w:rsidR="00CB7BE4">
        <w:rPr>
          <w:rFonts w:eastAsia="Calibri"/>
          <w:sz w:val="26"/>
          <w:szCs w:val="26"/>
          <w:lang w:eastAsia="en-US"/>
        </w:rPr>
        <w:t>,</w:t>
      </w:r>
      <w:r w:rsidRPr="00981DA4">
        <w:rPr>
          <w:rFonts w:eastAsia="Calibri"/>
          <w:sz w:val="26"/>
          <w:szCs w:val="26"/>
          <w:lang w:eastAsia="en-US"/>
        </w:rPr>
        <w:t xml:space="preserve"> en el que se destacan los resultados en materia de recaudación y de incremento en el padrón del Registro Federal de Contribuyentes (RFC).</w:t>
      </w:r>
    </w:p>
    <w:p w14:paraId="08E00063" w14:textId="77777777" w:rsidR="00981DA4" w:rsidRPr="00981DA4" w:rsidRDefault="00981DA4" w:rsidP="00981DA4">
      <w:pPr>
        <w:spacing w:after="360" w:line="360" w:lineRule="auto"/>
        <w:ind w:right="-159"/>
        <w:jc w:val="both"/>
        <w:rPr>
          <w:rFonts w:eastAsia="Calibri"/>
          <w:sz w:val="26"/>
          <w:szCs w:val="26"/>
          <w:lang w:eastAsia="en-US"/>
        </w:rPr>
      </w:pPr>
      <w:r w:rsidRPr="00981DA4">
        <w:rPr>
          <w:rFonts w:eastAsia="Calibri"/>
          <w:sz w:val="26"/>
          <w:szCs w:val="26"/>
          <w:lang w:eastAsia="en-US"/>
        </w:rPr>
        <w:t>Entre los resultados más significativos destacan los ingresos tributarios administrados por el SAT que ascendieron a 1 billón 808 mil 523 millones de pesos (mdp), lo que significó un aumento real anual de 6.2 por ciento.</w:t>
      </w:r>
    </w:p>
    <w:p w14:paraId="147B7F41" w14:textId="260889D3" w:rsidR="00981DA4" w:rsidRPr="00981DA4" w:rsidRDefault="00981DA4" w:rsidP="00981DA4">
      <w:pPr>
        <w:spacing w:after="360" w:line="360" w:lineRule="auto"/>
        <w:ind w:right="-159"/>
        <w:jc w:val="both"/>
        <w:rPr>
          <w:rFonts w:eastAsia="Calibri"/>
          <w:sz w:val="26"/>
          <w:szCs w:val="26"/>
          <w:lang w:eastAsia="en-US"/>
        </w:rPr>
      </w:pPr>
      <w:r w:rsidRPr="00981DA4">
        <w:rPr>
          <w:rFonts w:eastAsia="Calibri"/>
          <w:sz w:val="26"/>
          <w:szCs w:val="26"/>
          <w:lang w:eastAsia="en-US"/>
        </w:rPr>
        <w:t xml:space="preserve">En 2014, los ingresos del </w:t>
      </w:r>
      <w:r>
        <w:rPr>
          <w:rFonts w:eastAsia="Calibri"/>
          <w:sz w:val="26"/>
          <w:szCs w:val="26"/>
          <w:lang w:eastAsia="en-US"/>
        </w:rPr>
        <w:t>I</w:t>
      </w:r>
      <w:r w:rsidRPr="00981DA4">
        <w:rPr>
          <w:rFonts w:eastAsia="Calibri"/>
          <w:sz w:val="26"/>
          <w:szCs w:val="26"/>
          <w:lang w:eastAsia="en-US"/>
        </w:rPr>
        <w:t xml:space="preserve">mpuesto </w:t>
      </w:r>
      <w:r>
        <w:rPr>
          <w:rFonts w:eastAsia="Calibri"/>
          <w:sz w:val="26"/>
          <w:szCs w:val="26"/>
          <w:lang w:eastAsia="en-US"/>
        </w:rPr>
        <w:t>S</w:t>
      </w:r>
      <w:r w:rsidRPr="00981DA4">
        <w:rPr>
          <w:rFonts w:eastAsia="Calibri"/>
          <w:sz w:val="26"/>
          <w:szCs w:val="26"/>
          <w:lang w:eastAsia="en-US"/>
        </w:rPr>
        <w:t xml:space="preserve">obre la </w:t>
      </w:r>
      <w:r>
        <w:rPr>
          <w:rFonts w:eastAsia="Calibri"/>
          <w:sz w:val="26"/>
          <w:szCs w:val="26"/>
          <w:lang w:eastAsia="en-US"/>
        </w:rPr>
        <w:t>R</w:t>
      </w:r>
      <w:r w:rsidRPr="00981DA4">
        <w:rPr>
          <w:rFonts w:eastAsia="Calibri"/>
          <w:sz w:val="26"/>
          <w:szCs w:val="26"/>
          <w:lang w:eastAsia="en-US"/>
        </w:rPr>
        <w:t>enta ascendieron a 985 mil 866 mdp, monto mayor en 4.7% real a lo recaudado en el mismo lapso de 2013; mientras que la recaudación del impuesto al valor agregado fue de 667 mil 85.1 mdp, 15.2% real más respecto al mismo período de 2013.</w:t>
      </w:r>
    </w:p>
    <w:p w14:paraId="60CD974F" w14:textId="741E05E2" w:rsidR="00981DA4" w:rsidRPr="00981DA4" w:rsidRDefault="00981DA4" w:rsidP="00981DA4">
      <w:pPr>
        <w:spacing w:after="360" w:line="360" w:lineRule="auto"/>
        <w:ind w:right="-159"/>
        <w:jc w:val="both"/>
        <w:rPr>
          <w:rFonts w:eastAsia="Calibri"/>
          <w:sz w:val="26"/>
          <w:szCs w:val="26"/>
          <w:lang w:eastAsia="en-US"/>
        </w:rPr>
      </w:pPr>
      <w:r w:rsidRPr="00981DA4">
        <w:rPr>
          <w:rFonts w:eastAsia="Calibri"/>
          <w:sz w:val="26"/>
          <w:szCs w:val="26"/>
          <w:lang w:eastAsia="en-US"/>
        </w:rPr>
        <w:lastRenderedPageBreak/>
        <w:t xml:space="preserve">También destaca el crecimiento de 18% real del </w:t>
      </w:r>
      <w:r>
        <w:rPr>
          <w:rFonts w:eastAsia="Calibri"/>
          <w:sz w:val="26"/>
          <w:szCs w:val="26"/>
          <w:lang w:eastAsia="en-US"/>
        </w:rPr>
        <w:t>Impuesto al Valor Agregado (</w:t>
      </w:r>
      <w:r w:rsidRPr="00981DA4">
        <w:rPr>
          <w:rFonts w:eastAsia="Calibri"/>
          <w:sz w:val="26"/>
          <w:szCs w:val="26"/>
          <w:lang w:eastAsia="en-US"/>
        </w:rPr>
        <w:t>IVA</w:t>
      </w:r>
      <w:r>
        <w:rPr>
          <w:rFonts w:eastAsia="Calibri"/>
          <w:sz w:val="26"/>
          <w:szCs w:val="26"/>
          <w:lang w:eastAsia="en-US"/>
        </w:rPr>
        <w:t>)</w:t>
      </w:r>
      <w:r w:rsidRPr="00981DA4">
        <w:rPr>
          <w:rFonts w:eastAsia="Calibri"/>
          <w:sz w:val="26"/>
          <w:szCs w:val="26"/>
          <w:lang w:eastAsia="en-US"/>
        </w:rPr>
        <w:t xml:space="preserve"> no petrolero, el más alto desde que el Gobierno Federal lo administra.</w:t>
      </w:r>
    </w:p>
    <w:p w14:paraId="4A32A277" w14:textId="24045AD8" w:rsidR="00981DA4" w:rsidRPr="00981DA4" w:rsidRDefault="00981DA4" w:rsidP="00981DA4">
      <w:pPr>
        <w:spacing w:after="360" w:line="360" w:lineRule="auto"/>
        <w:ind w:right="-159"/>
        <w:jc w:val="both"/>
        <w:rPr>
          <w:rFonts w:eastAsia="Calibri"/>
          <w:sz w:val="26"/>
          <w:szCs w:val="26"/>
          <w:lang w:eastAsia="en-US"/>
        </w:rPr>
      </w:pPr>
      <w:r w:rsidRPr="00981DA4">
        <w:rPr>
          <w:rFonts w:eastAsia="Calibri"/>
          <w:sz w:val="26"/>
          <w:szCs w:val="26"/>
          <w:lang w:eastAsia="en-US"/>
        </w:rPr>
        <w:t xml:space="preserve">El </w:t>
      </w:r>
      <w:r w:rsidR="00D546E6">
        <w:rPr>
          <w:rFonts w:eastAsia="Calibri"/>
          <w:sz w:val="26"/>
          <w:szCs w:val="26"/>
          <w:lang w:eastAsia="en-US"/>
        </w:rPr>
        <w:t>I</w:t>
      </w:r>
      <w:r w:rsidRPr="00981DA4">
        <w:rPr>
          <w:rFonts w:eastAsia="Calibri"/>
          <w:sz w:val="26"/>
          <w:szCs w:val="26"/>
          <w:lang w:eastAsia="en-US"/>
        </w:rPr>
        <w:t xml:space="preserve">mpuesto </w:t>
      </w:r>
      <w:r w:rsidR="00D546E6">
        <w:rPr>
          <w:rFonts w:eastAsia="Calibri"/>
          <w:sz w:val="26"/>
          <w:szCs w:val="26"/>
          <w:lang w:eastAsia="en-US"/>
        </w:rPr>
        <w:t>E</w:t>
      </w:r>
      <w:r w:rsidRPr="00981DA4">
        <w:rPr>
          <w:rFonts w:eastAsia="Calibri"/>
          <w:sz w:val="26"/>
          <w:szCs w:val="26"/>
          <w:lang w:eastAsia="en-US"/>
        </w:rPr>
        <w:t xml:space="preserve">special sobre </w:t>
      </w:r>
      <w:r w:rsidR="00D546E6">
        <w:rPr>
          <w:rFonts w:eastAsia="Calibri"/>
          <w:sz w:val="26"/>
          <w:szCs w:val="26"/>
          <w:lang w:eastAsia="en-US"/>
        </w:rPr>
        <w:t>P</w:t>
      </w:r>
      <w:r w:rsidRPr="00981DA4">
        <w:rPr>
          <w:rFonts w:eastAsia="Calibri"/>
          <w:sz w:val="26"/>
          <w:szCs w:val="26"/>
          <w:lang w:eastAsia="en-US"/>
        </w:rPr>
        <w:t xml:space="preserve">roducción y </w:t>
      </w:r>
      <w:r w:rsidR="00D546E6">
        <w:rPr>
          <w:rFonts w:eastAsia="Calibri"/>
          <w:sz w:val="26"/>
          <w:szCs w:val="26"/>
          <w:lang w:eastAsia="en-US"/>
        </w:rPr>
        <w:t>S</w:t>
      </w:r>
      <w:r w:rsidRPr="00981DA4">
        <w:rPr>
          <w:rFonts w:eastAsia="Calibri"/>
          <w:sz w:val="26"/>
          <w:szCs w:val="26"/>
          <w:lang w:eastAsia="en-US"/>
        </w:rPr>
        <w:t>ervicios</w:t>
      </w:r>
      <w:r w:rsidR="00D546E6">
        <w:rPr>
          <w:rFonts w:eastAsia="Calibri"/>
          <w:sz w:val="26"/>
          <w:szCs w:val="26"/>
          <w:lang w:eastAsia="en-US"/>
        </w:rPr>
        <w:t xml:space="preserve"> (IEPS)</w:t>
      </w:r>
      <w:r w:rsidRPr="00981DA4">
        <w:rPr>
          <w:rFonts w:eastAsia="Calibri"/>
          <w:sz w:val="26"/>
          <w:szCs w:val="26"/>
          <w:lang w:eastAsia="en-US"/>
        </w:rPr>
        <w:t xml:space="preserve"> mostró una cifra de 111 mil 646.8 mdp y por concepto del IEPS no petrolero se recaudaron 124 mil 16.1 mdp, un aumento de 51.7% real anual, principalmente asociados a los impuestos a cerveza y a bebidas refrescantes y a la ampliación de la base del impuesto a bebidas saborizadas y alimentos no básicos con alta densidad calórica, siendo el crecimiento más alto del que se tenga registro.</w:t>
      </w:r>
    </w:p>
    <w:p w14:paraId="138F973C" w14:textId="77777777" w:rsidR="00981DA4" w:rsidRPr="00981DA4" w:rsidRDefault="00981DA4" w:rsidP="00981DA4">
      <w:pPr>
        <w:spacing w:after="360" w:line="360" w:lineRule="auto"/>
        <w:ind w:right="-159"/>
        <w:jc w:val="both"/>
        <w:rPr>
          <w:rFonts w:eastAsia="Calibri"/>
          <w:sz w:val="26"/>
          <w:szCs w:val="26"/>
          <w:lang w:eastAsia="en-US"/>
        </w:rPr>
      </w:pPr>
      <w:r w:rsidRPr="00981DA4">
        <w:rPr>
          <w:rFonts w:eastAsia="Calibri"/>
          <w:sz w:val="26"/>
          <w:szCs w:val="26"/>
          <w:lang w:eastAsia="en-US"/>
        </w:rPr>
        <w:t>Por otro lado, al 31 de diciembre de 2014 el padrón de contribuyentes activos alcanzó la cifra de 46.3 millones, lo cual se debió a la incorporación de 92 mil 423 personas morales y 4.5 millones de personas físicas.</w:t>
      </w:r>
    </w:p>
    <w:p w14:paraId="06A990C6" w14:textId="77777777" w:rsidR="00981DA4" w:rsidRPr="00981DA4" w:rsidRDefault="00981DA4" w:rsidP="00981DA4">
      <w:pPr>
        <w:spacing w:after="360" w:line="360" w:lineRule="auto"/>
        <w:ind w:right="-159"/>
        <w:jc w:val="both"/>
        <w:rPr>
          <w:rFonts w:eastAsia="Calibri"/>
          <w:sz w:val="26"/>
          <w:szCs w:val="26"/>
          <w:lang w:eastAsia="en-US"/>
        </w:rPr>
      </w:pPr>
      <w:r w:rsidRPr="00981DA4">
        <w:rPr>
          <w:rFonts w:eastAsia="Calibri"/>
          <w:sz w:val="26"/>
          <w:szCs w:val="26"/>
          <w:lang w:eastAsia="en-US"/>
        </w:rPr>
        <w:t>El SAT ha continuado con el esfuerzo para agilizar las devoluciones. En el caso del ISR aumentó el monto devuelto a los contribuyentes en 25.5% real anual, equivalente a 8 mil 609.9 mdp.</w:t>
      </w:r>
    </w:p>
    <w:p w14:paraId="3223A358" w14:textId="580FE492" w:rsidR="00981DA4" w:rsidRPr="00981DA4" w:rsidRDefault="00981DA4" w:rsidP="00981DA4">
      <w:pPr>
        <w:spacing w:after="360" w:line="360" w:lineRule="auto"/>
        <w:ind w:right="-159"/>
        <w:jc w:val="both"/>
        <w:rPr>
          <w:rFonts w:eastAsia="Calibri"/>
          <w:sz w:val="26"/>
          <w:szCs w:val="26"/>
          <w:lang w:eastAsia="en-US"/>
        </w:rPr>
      </w:pPr>
      <w:r w:rsidRPr="00981DA4">
        <w:rPr>
          <w:rFonts w:eastAsia="Calibri"/>
          <w:sz w:val="26"/>
          <w:szCs w:val="26"/>
          <w:lang w:eastAsia="en-US"/>
        </w:rPr>
        <w:t>Respecto al combate a la evasión fiscal, en 2014 se recaudaron 156 mil 398.5 mdp derivados de actos de fiscalización, lo que implicó un incremento de 26.6% real, el más alto de los últimos ocho años. Asimismo, por cada peso erogado en acciones de fiscalización se logró recuperar la cifra de 55.2 pesos, la rentabilidad más alta registrada.</w:t>
      </w:r>
    </w:p>
    <w:p w14:paraId="1C3E2F47" w14:textId="58BF462A" w:rsidR="00981DA4" w:rsidRDefault="00D546E6" w:rsidP="00981DA4">
      <w:pPr>
        <w:spacing w:after="360" w:line="360" w:lineRule="auto"/>
        <w:ind w:right="-159"/>
        <w:jc w:val="both"/>
        <w:rPr>
          <w:rFonts w:eastAsia="Calibri"/>
          <w:sz w:val="26"/>
          <w:szCs w:val="26"/>
          <w:lang w:eastAsia="en-US"/>
        </w:rPr>
      </w:pPr>
      <w:r>
        <w:rPr>
          <w:rFonts w:eastAsia="Calibri"/>
          <w:sz w:val="26"/>
          <w:szCs w:val="26"/>
          <w:lang w:eastAsia="en-US"/>
        </w:rPr>
        <w:t>A continuación se presenta</w:t>
      </w:r>
      <w:r w:rsidR="00981DA4" w:rsidRPr="00981DA4">
        <w:rPr>
          <w:rFonts w:eastAsia="Calibri"/>
          <w:sz w:val="26"/>
          <w:szCs w:val="26"/>
          <w:lang w:eastAsia="en-US"/>
        </w:rPr>
        <w:t xml:space="preserve"> el </w:t>
      </w:r>
      <w:r>
        <w:rPr>
          <w:rFonts w:eastAsia="Calibri"/>
          <w:sz w:val="26"/>
          <w:szCs w:val="26"/>
          <w:lang w:eastAsia="en-US"/>
        </w:rPr>
        <w:t>R</w:t>
      </w:r>
      <w:r w:rsidR="00981DA4" w:rsidRPr="00981DA4">
        <w:rPr>
          <w:rFonts w:eastAsia="Calibri"/>
          <w:sz w:val="26"/>
          <w:szCs w:val="26"/>
          <w:lang w:eastAsia="en-US"/>
        </w:rPr>
        <w:t xml:space="preserve">esumen </w:t>
      </w:r>
      <w:r>
        <w:rPr>
          <w:rFonts w:eastAsia="Calibri"/>
          <w:sz w:val="26"/>
          <w:szCs w:val="26"/>
          <w:lang w:eastAsia="en-US"/>
        </w:rPr>
        <w:t>E</w:t>
      </w:r>
      <w:r w:rsidR="00981DA4" w:rsidRPr="00981DA4">
        <w:rPr>
          <w:rFonts w:eastAsia="Calibri"/>
          <w:sz w:val="26"/>
          <w:szCs w:val="26"/>
          <w:lang w:eastAsia="en-US"/>
        </w:rPr>
        <w:t>jecutivo del Informe Tributario y de Gestión correspondiente tanto al cuarto trimestre de 2014, como período enero-diciembre de 2014.</w:t>
      </w:r>
    </w:p>
    <w:p w14:paraId="04734AE2" w14:textId="77777777" w:rsidR="00593607" w:rsidRPr="00981DA4" w:rsidRDefault="00593607" w:rsidP="00981DA4">
      <w:pPr>
        <w:spacing w:after="360" w:line="360" w:lineRule="auto"/>
        <w:ind w:right="-159"/>
        <w:jc w:val="both"/>
        <w:rPr>
          <w:rFonts w:eastAsia="Calibri"/>
          <w:sz w:val="26"/>
          <w:szCs w:val="26"/>
          <w:lang w:eastAsia="en-US"/>
        </w:rPr>
      </w:pPr>
    </w:p>
    <w:p w14:paraId="18A87523" w14:textId="77777777" w:rsidR="00981DA4" w:rsidRPr="00981DA4" w:rsidRDefault="00981DA4" w:rsidP="00276F3E">
      <w:pPr>
        <w:numPr>
          <w:ilvl w:val="0"/>
          <w:numId w:val="20"/>
        </w:numPr>
        <w:spacing w:after="360" w:line="360" w:lineRule="auto"/>
        <w:ind w:left="357" w:right="-159" w:hanging="357"/>
        <w:jc w:val="both"/>
        <w:rPr>
          <w:rFonts w:eastAsia="Calibri"/>
          <w:b/>
          <w:sz w:val="26"/>
          <w:szCs w:val="26"/>
          <w:lang w:eastAsia="en-US"/>
        </w:rPr>
      </w:pPr>
      <w:r w:rsidRPr="00981DA4">
        <w:rPr>
          <w:rFonts w:eastAsia="Calibri"/>
          <w:b/>
          <w:sz w:val="26"/>
          <w:szCs w:val="26"/>
          <w:lang w:eastAsia="en-US"/>
        </w:rPr>
        <w:lastRenderedPageBreak/>
        <w:t>Informe tributario y de gestión 2014, cuarto trimestre</w:t>
      </w:r>
    </w:p>
    <w:p w14:paraId="11A277FD" w14:textId="77777777" w:rsidR="00981DA4" w:rsidRPr="00981DA4" w:rsidRDefault="00981DA4" w:rsidP="00981DA4">
      <w:pPr>
        <w:spacing w:after="360" w:line="360" w:lineRule="auto"/>
        <w:ind w:right="-159"/>
        <w:jc w:val="both"/>
        <w:rPr>
          <w:rFonts w:eastAsia="Calibri"/>
          <w:sz w:val="26"/>
          <w:szCs w:val="26"/>
          <w:lang w:eastAsia="en-US"/>
        </w:rPr>
      </w:pPr>
      <w:r w:rsidRPr="00981DA4">
        <w:rPr>
          <w:rFonts w:eastAsia="Calibri"/>
          <w:sz w:val="26"/>
          <w:szCs w:val="26"/>
          <w:lang w:eastAsia="en-US"/>
        </w:rPr>
        <w:t>El “Informe tributario y de gestión” es un documento dinámico que se publica trimestralmente en la página del SAT en Internet, con el propósito de difundir los principales resultados de la evolución de la recaudación de los ingresos del Gobierno Federal en varios de sus niveles, así como de las diversas actividades que realiza la institución para cumplir con las atribuciones que tiene encomendadas.</w:t>
      </w:r>
    </w:p>
    <w:p w14:paraId="20E1E833" w14:textId="77777777" w:rsidR="00981DA4" w:rsidRPr="00981DA4" w:rsidRDefault="00981DA4" w:rsidP="00981DA4">
      <w:pPr>
        <w:spacing w:after="360" w:line="360" w:lineRule="auto"/>
        <w:ind w:right="-159"/>
        <w:jc w:val="both"/>
        <w:rPr>
          <w:rFonts w:eastAsia="Calibri"/>
          <w:b/>
          <w:bCs/>
          <w:sz w:val="26"/>
          <w:szCs w:val="26"/>
          <w:lang w:eastAsia="en-US"/>
        </w:rPr>
      </w:pPr>
      <w:r w:rsidRPr="00981DA4">
        <w:rPr>
          <w:rFonts w:eastAsia="Calibri"/>
          <w:b/>
          <w:bCs/>
          <w:sz w:val="26"/>
          <w:szCs w:val="26"/>
          <w:lang w:eastAsia="en-US"/>
        </w:rPr>
        <w:t>Principales resultados cuarto trimestre de 2014</w:t>
      </w:r>
    </w:p>
    <w:p w14:paraId="1595A45A" w14:textId="74C0934C" w:rsidR="00981DA4" w:rsidRPr="00981DA4" w:rsidRDefault="00981DA4" w:rsidP="00981DA4">
      <w:pPr>
        <w:spacing w:after="360" w:line="360" w:lineRule="auto"/>
        <w:ind w:right="-159"/>
        <w:jc w:val="both"/>
        <w:rPr>
          <w:rFonts w:eastAsia="Calibri"/>
          <w:sz w:val="26"/>
          <w:szCs w:val="26"/>
          <w:lang w:eastAsia="en-US"/>
        </w:rPr>
      </w:pPr>
      <w:r w:rsidRPr="00981DA4">
        <w:rPr>
          <w:rFonts w:eastAsia="Calibri"/>
          <w:sz w:val="26"/>
          <w:szCs w:val="26"/>
          <w:lang w:eastAsia="en-US"/>
        </w:rPr>
        <w:t>Al cuarto trimestre de 2014</w:t>
      </w:r>
      <w:r w:rsidR="00CB7BE4">
        <w:rPr>
          <w:rFonts w:eastAsia="Calibri"/>
          <w:sz w:val="26"/>
          <w:szCs w:val="26"/>
          <w:lang w:eastAsia="en-US"/>
        </w:rPr>
        <w:t>,</w:t>
      </w:r>
      <w:r w:rsidRPr="00981DA4">
        <w:rPr>
          <w:rFonts w:eastAsia="Calibri"/>
          <w:sz w:val="26"/>
          <w:szCs w:val="26"/>
          <w:lang w:eastAsia="en-US"/>
        </w:rPr>
        <w:t xml:space="preserve"> la economía mexicana continuó en proceso de expansión, según lo indican los resultados de los principales indicadores macroeconómicos.</w:t>
      </w:r>
    </w:p>
    <w:p w14:paraId="28CED089" w14:textId="77777777" w:rsidR="00981DA4" w:rsidRPr="00981DA4" w:rsidRDefault="00981DA4" w:rsidP="00981DA4">
      <w:pPr>
        <w:spacing w:after="360" w:line="360" w:lineRule="auto"/>
        <w:ind w:right="-159"/>
        <w:jc w:val="both"/>
        <w:rPr>
          <w:rFonts w:eastAsia="Calibri"/>
          <w:sz w:val="26"/>
          <w:szCs w:val="26"/>
          <w:lang w:eastAsia="en-US"/>
        </w:rPr>
      </w:pPr>
      <w:r w:rsidRPr="00981DA4">
        <w:rPr>
          <w:rFonts w:eastAsia="Calibri"/>
          <w:sz w:val="26"/>
          <w:szCs w:val="26"/>
          <w:lang w:eastAsia="en-US"/>
        </w:rPr>
        <w:t>Los ingresos tributarios administrados por el SAT ascendieron a 1 billón 808 mil 523 millones de pesos, lo que significó un aumento real anual de 6.2% y de 8.8% una vez que se ajusta por el efecto del programa “Ponte al Corriente” efectuado en 2013.</w:t>
      </w:r>
    </w:p>
    <w:p w14:paraId="2122E852" w14:textId="77777777" w:rsidR="00981DA4" w:rsidRPr="00981DA4" w:rsidRDefault="00981DA4" w:rsidP="00981DA4">
      <w:pPr>
        <w:spacing w:after="360" w:line="360" w:lineRule="auto"/>
        <w:ind w:right="-159"/>
        <w:jc w:val="both"/>
        <w:rPr>
          <w:rFonts w:eastAsia="Calibri"/>
          <w:sz w:val="26"/>
          <w:szCs w:val="26"/>
          <w:lang w:eastAsia="en-US"/>
        </w:rPr>
      </w:pPr>
      <w:r w:rsidRPr="00981DA4">
        <w:rPr>
          <w:rFonts w:eastAsia="Calibri"/>
          <w:sz w:val="26"/>
          <w:szCs w:val="26"/>
          <w:lang w:eastAsia="en-US"/>
        </w:rPr>
        <w:t>En enero-diciembre de 2014, la recaudación del sistema renta (ISR-IETU-IDE) disminuyó 2.5% real, lo que refleja la eliminación del IETU y el IDE a partir de 2014, así como que en 2013 se captaron recursos no recurrentes por el programa “Ponte al Corriente”. Una vez que se ajusta por el efecto de dicho programa, la recaudación del sistema renta tuvo un incremento real anual de 0.4%, mientras que la recaudación del ISR creció 7.7 por ciento.</w:t>
      </w:r>
    </w:p>
    <w:p w14:paraId="53374F61" w14:textId="77777777" w:rsidR="00981DA4" w:rsidRPr="00981DA4" w:rsidRDefault="00981DA4" w:rsidP="00276F3E">
      <w:pPr>
        <w:numPr>
          <w:ilvl w:val="0"/>
          <w:numId w:val="49"/>
        </w:numPr>
        <w:spacing w:after="360" w:line="360" w:lineRule="auto"/>
        <w:ind w:right="-159"/>
        <w:jc w:val="both"/>
        <w:rPr>
          <w:rFonts w:eastAsia="Calibri"/>
          <w:sz w:val="26"/>
          <w:szCs w:val="26"/>
          <w:lang w:eastAsia="en-US"/>
        </w:rPr>
      </w:pPr>
      <w:r w:rsidRPr="00981DA4">
        <w:rPr>
          <w:rFonts w:eastAsia="Calibri"/>
          <w:sz w:val="26"/>
          <w:szCs w:val="26"/>
          <w:lang w:eastAsia="en-US"/>
        </w:rPr>
        <w:t>Por concepto del Impuesto al Valor Agregado (IVA) en enero-diciembre de 2014 se obtuvieron ingresos por 667 mil 85.1 mdp, monto mayor en 15.2% real respecto al mismo período de 2013, resultado que se vio favorecido principalmente por la ampliación de la base asociada a la reforma hacendaria vigente a partir del presente año.</w:t>
      </w:r>
    </w:p>
    <w:p w14:paraId="0BED21EB" w14:textId="77777777" w:rsidR="00981DA4" w:rsidRPr="00981DA4" w:rsidRDefault="00981DA4" w:rsidP="00276F3E">
      <w:pPr>
        <w:numPr>
          <w:ilvl w:val="0"/>
          <w:numId w:val="24"/>
        </w:numPr>
        <w:spacing w:after="360" w:line="360" w:lineRule="auto"/>
        <w:ind w:right="-159"/>
        <w:jc w:val="both"/>
        <w:rPr>
          <w:rFonts w:eastAsia="Calibri"/>
          <w:sz w:val="26"/>
          <w:szCs w:val="26"/>
          <w:lang w:eastAsia="en-US"/>
        </w:rPr>
      </w:pPr>
      <w:r w:rsidRPr="00981DA4">
        <w:rPr>
          <w:rFonts w:eastAsia="Calibri"/>
          <w:sz w:val="26"/>
          <w:szCs w:val="26"/>
          <w:lang w:eastAsia="en-US"/>
        </w:rPr>
        <w:lastRenderedPageBreak/>
        <w:t>El crecimiento del IVA no petrolero en 2014 es el más alto (18% real) desde que el Gobierno Federal lo administra.</w:t>
      </w:r>
    </w:p>
    <w:p w14:paraId="233AFA82" w14:textId="77777777" w:rsidR="00981DA4" w:rsidRPr="00981DA4" w:rsidRDefault="00981DA4" w:rsidP="00276F3E">
      <w:pPr>
        <w:numPr>
          <w:ilvl w:val="0"/>
          <w:numId w:val="22"/>
        </w:numPr>
        <w:spacing w:after="360" w:line="360" w:lineRule="auto"/>
        <w:ind w:left="357" w:right="-159" w:hanging="357"/>
        <w:jc w:val="both"/>
        <w:rPr>
          <w:rFonts w:eastAsia="Calibri"/>
          <w:sz w:val="26"/>
          <w:szCs w:val="26"/>
          <w:lang w:eastAsia="en-US"/>
        </w:rPr>
      </w:pPr>
      <w:r w:rsidRPr="00981DA4">
        <w:rPr>
          <w:rFonts w:eastAsia="Calibri"/>
          <w:sz w:val="26"/>
          <w:szCs w:val="26"/>
          <w:lang w:eastAsia="en-US"/>
        </w:rPr>
        <w:t>El Impuesto Especial a la Producción y Servicios mostró una cifra de 111 mil 646.8 millones de pesos.</w:t>
      </w:r>
    </w:p>
    <w:p w14:paraId="28A9014E" w14:textId="1ADFB7C8" w:rsidR="00981DA4" w:rsidRPr="00981DA4" w:rsidRDefault="00981DA4" w:rsidP="00276F3E">
      <w:pPr>
        <w:numPr>
          <w:ilvl w:val="0"/>
          <w:numId w:val="21"/>
        </w:numPr>
        <w:spacing w:after="360" w:line="360" w:lineRule="auto"/>
        <w:ind w:left="714" w:right="-159" w:hanging="357"/>
        <w:jc w:val="both"/>
        <w:rPr>
          <w:rFonts w:eastAsia="Calibri"/>
          <w:sz w:val="26"/>
          <w:szCs w:val="26"/>
          <w:lang w:eastAsia="en-US"/>
        </w:rPr>
      </w:pPr>
      <w:r w:rsidRPr="00981DA4">
        <w:rPr>
          <w:rFonts w:eastAsia="Calibri"/>
          <w:sz w:val="26"/>
          <w:szCs w:val="26"/>
          <w:lang w:eastAsia="en-US"/>
        </w:rPr>
        <w:t>Debido a que el precio promedio de venta al público de las gasolinas y el diesel fue menor al precio productor de Pemex</w:t>
      </w:r>
      <w:r w:rsidR="00CB7BE4">
        <w:rPr>
          <w:rFonts w:eastAsia="Calibri"/>
          <w:sz w:val="26"/>
          <w:szCs w:val="26"/>
          <w:lang w:eastAsia="en-US"/>
        </w:rPr>
        <w:t>,</w:t>
      </w:r>
      <w:r w:rsidRPr="00981DA4">
        <w:rPr>
          <w:rFonts w:eastAsia="Calibri"/>
          <w:sz w:val="26"/>
          <w:szCs w:val="26"/>
          <w:lang w:eastAsia="en-US"/>
        </w:rPr>
        <w:t xml:space="preserve"> los ingresos petroleros de este impuesto fueron negativos, propiciando un traslado de recursos al consumidor final; sin embargo, en este período se redujo la recaudación negativa en comparación con el mismo período de 2013 al pasar de -85 mil 996.2 millones de pesos a -12 mil 369.3 millones de pesos. </w:t>
      </w:r>
    </w:p>
    <w:p w14:paraId="76A3CA06" w14:textId="77777777" w:rsidR="00981DA4" w:rsidRPr="00981DA4" w:rsidRDefault="00981DA4" w:rsidP="00276F3E">
      <w:pPr>
        <w:numPr>
          <w:ilvl w:val="0"/>
          <w:numId w:val="21"/>
        </w:numPr>
        <w:spacing w:after="360" w:line="360" w:lineRule="auto"/>
        <w:ind w:left="714" w:right="-159" w:hanging="357"/>
        <w:jc w:val="both"/>
        <w:rPr>
          <w:rFonts w:eastAsia="Calibri"/>
          <w:sz w:val="26"/>
          <w:szCs w:val="26"/>
          <w:lang w:eastAsia="en-US"/>
        </w:rPr>
      </w:pPr>
      <w:r w:rsidRPr="00981DA4">
        <w:rPr>
          <w:rFonts w:eastAsia="Calibri"/>
          <w:sz w:val="26"/>
          <w:szCs w:val="26"/>
          <w:lang w:eastAsia="en-US"/>
        </w:rPr>
        <w:t>Por su parte, por los ingresos no petroleros se recaudaron 124 mil 16.1 millones de pesos (un aumento de 51.7% real anual), principalmente asociados a los impuestos a cerveza y bebidas refrescantes y por la ampliación de la base del impuesto a bebidas saborizadas y alimentos no básicos con alta densidad calórica.</w:t>
      </w:r>
    </w:p>
    <w:p w14:paraId="048A4D55" w14:textId="77777777" w:rsidR="00981DA4" w:rsidRPr="00981DA4" w:rsidRDefault="00981DA4" w:rsidP="00276F3E">
      <w:pPr>
        <w:numPr>
          <w:ilvl w:val="0"/>
          <w:numId w:val="23"/>
        </w:numPr>
        <w:spacing w:after="360" w:line="360" w:lineRule="auto"/>
        <w:ind w:left="357" w:right="-159" w:hanging="357"/>
        <w:jc w:val="both"/>
        <w:rPr>
          <w:rFonts w:eastAsia="Calibri"/>
          <w:sz w:val="26"/>
          <w:szCs w:val="26"/>
          <w:lang w:eastAsia="en-US"/>
        </w:rPr>
      </w:pPr>
      <w:r w:rsidRPr="00981DA4">
        <w:rPr>
          <w:rFonts w:eastAsia="Calibri"/>
          <w:sz w:val="26"/>
          <w:szCs w:val="26"/>
          <w:lang w:eastAsia="en-US"/>
        </w:rPr>
        <w:t>Al mes de diciembre de 2014, el padrón de contribuyentes estuvo conformado por 46.3 millones de contribuyentes, lo que significó un aumento de 4.6 millones de contribuyentes (11.1%) respecto al mismo mes de 2013, lo cual se debió a la incorporación de 92 mil 423 Personas Morales, 1.4 millones de Personas Físicas y 3.2 millones de asalariados.</w:t>
      </w:r>
    </w:p>
    <w:p w14:paraId="48C560D0" w14:textId="139A4029" w:rsidR="00981DA4" w:rsidRPr="00981DA4" w:rsidRDefault="00981DA4" w:rsidP="00276F3E">
      <w:pPr>
        <w:numPr>
          <w:ilvl w:val="0"/>
          <w:numId w:val="23"/>
        </w:numPr>
        <w:spacing w:after="360" w:line="360" w:lineRule="auto"/>
        <w:ind w:left="357" w:right="-159" w:hanging="357"/>
        <w:jc w:val="both"/>
        <w:rPr>
          <w:rFonts w:eastAsia="Calibri"/>
          <w:sz w:val="26"/>
          <w:szCs w:val="26"/>
          <w:lang w:eastAsia="en-US"/>
        </w:rPr>
      </w:pPr>
      <w:r w:rsidRPr="00981DA4">
        <w:rPr>
          <w:rFonts w:eastAsia="Calibri"/>
          <w:sz w:val="26"/>
          <w:szCs w:val="26"/>
          <w:lang w:eastAsia="en-US"/>
        </w:rPr>
        <w:t>El SAT ha continuado con el esfuerzo por realizar las devoluciones de forma ágil. Dentro de este marco</w:t>
      </w:r>
      <w:r w:rsidR="00CB7BE4">
        <w:rPr>
          <w:rFonts w:eastAsia="Calibri"/>
          <w:sz w:val="26"/>
          <w:szCs w:val="26"/>
          <w:lang w:eastAsia="en-US"/>
        </w:rPr>
        <w:t>,</w:t>
      </w:r>
      <w:r w:rsidRPr="00981DA4">
        <w:rPr>
          <w:rFonts w:eastAsia="Calibri"/>
          <w:sz w:val="26"/>
          <w:szCs w:val="26"/>
          <w:lang w:eastAsia="en-US"/>
        </w:rPr>
        <w:t xml:space="preserve"> en 2014 aumentó el monto devuelto a los contribuyentes por concepto de ISR en 25.5% real anual (equivalente a 8 mil 609 millones de pesos). Respecto al IVA el monto devuelto a los contribuyentes fue de -13.0% (equivalente a -25 mil 172 millones de pesos).</w:t>
      </w:r>
    </w:p>
    <w:p w14:paraId="571FE879" w14:textId="77777777" w:rsidR="00981DA4" w:rsidRPr="00981DA4" w:rsidRDefault="00981DA4" w:rsidP="00276F3E">
      <w:pPr>
        <w:numPr>
          <w:ilvl w:val="0"/>
          <w:numId w:val="23"/>
        </w:numPr>
        <w:spacing w:after="360" w:line="360" w:lineRule="auto"/>
        <w:ind w:left="357" w:right="-159" w:hanging="357"/>
        <w:jc w:val="both"/>
        <w:rPr>
          <w:rFonts w:eastAsia="Calibri"/>
          <w:sz w:val="26"/>
          <w:szCs w:val="26"/>
          <w:lang w:eastAsia="en-US"/>
        </w:rPr>
      </w:pPr>
      <w:r w:rsidRPr="00981DA4">
        <w:rPr>
          <w:rFonts w:eastAsia="Calibri"/>
          <w:sz w:val="26"/>
          <w:szCs w:val="26"/>
          <w:lang w:eastAsia="en-US"/>
        </w:rPr>
        <w:lastRenderedPageBreak/>
        <w:t>Como resultado de las acciones que el SAT está efectuando para combatir la evasión fiscal, en enero-diciembre de 2014, se recaudaron 156 mil 398.5 millones de pesos derivados de actos de fiscalización. Asimismo, por cada peso erogado en acciones de fiscalización, se logró recuperar la cifra de 55.2 pesos.</w:t>
      </w:r>
    </w:p>
    <w:p w14:paraId="7E264CC9" w14:textId="77777777" w:rsidR="00981DA4" w:rsidRPr="00981DA4" w:rsidRDefault="00981DA4" w:rsidP="00276F3E">
      <w:pPr>
        <w:numPr>
          <w:ilvl w:val="0"/>
          <w:numId w:val="20"/>
        </w:numPr>
        <w:spacing w:after="360" w:line="360" w:lineRule="auto"/>
        <w:ind w:left="357" w:right="-159" w:hanging="357"/>
        <w:jc w:val="both"/>
        <w:rPr>
          <w:rFonts w:eastAsia="Calibri"/>
          <w:b/>
          <w:sz w:val="26"/>
          <w:szCs w:val="26"/>
          <w:lang w:eastAsia="en-US"/>
        </w:rPr>
      </w:pPr>
      <w:r w:rsidRPr="00981DA4">
        <w:rPr>
          <w:rFonts w:eastAsia="Calibri"/>
          <w:b/>
          <w:sz w:val="26"/>
          <w:szCs w:val="26"/>
          <w:lang w:eastAsia="en-US"/>
        </w:rPr>
        <w:t>Informe Tributario y de Gestión, enero-diciembre de 2014</w:t>
      </w:r>
    </w:p>
    <w:p w14:paraId="1E5CAB44" w14:textId="77777777" w:rsidR="00981DA4" w:rsidRPr="00981DA4" w:rsidRDefault="00981DA4" w:rsidP="00981DA4">
      <w:pPr>
        <w:spacing w:after="360" w:line="360" w:lineRule="auto"/>
        <w:ind w:right="-159"/>
        <w:jc w:val="both"/>
        <w:rPr>
          <w:rFonts w:eastAsia="Calibri"/>
          <w:b/>
          <w:sz w:val="26"/>
          <w:szCs w:val="26"/>
          <w:lang w:eastAsia="en-US"/>
        </w:rPr>
      </w:pPr>
      <w:r w:rsidRPr="00981DA4">
        <w:rPr>
          <w:rFonts w:eastAsia="Calibri"/>
          <w:b/>
          <w:sz w:val="26"/>
          <w:szCs w:val="26"/>
          <w:lang w:eastAsia="en-US"/>
        </w:rPr>
        <w:t>Informe Tributario</w:t>
      </w:r>
    </w:p>
    <w:p w14:paraId="64230713" w14:textId="77777777" w:rsidR="00981DA4" w:rsidRPr="00981DA4" w:rsidRDefault="00981DA4" w:rsidP="00981DA4">
      <w:pPr>
        <w:spacing w:after="360" w:line="360" w:lineRule="auto"/>
        <w:ind w:right="-159"/>
        <w:jc w:val="both"/>
        <w:rPr>
          <w:rFonts w:eastAsia="Calibri"/>
          <w:sz w:val="26"/>
          <w:szCs w:val="26"/>
          <w:lang w:eastAsia="en-US"/>
        </w:rPr>
      </w:pPr>
      <w:r w:rsidRPr="00981DA4">
        <w:rPr>
          <w:rFonts w:eastAsia="Calibri"/>
          <w:sz w:val="26"/>
          <w:szCs w:val="26"/>
          <w:lang w:eastAsia="en-US"/>
        </w:rPr>
        <w:t>Como resultado del compromiso con la transparencia, el Servicio de Administración Tributaria presenta el “Informe Tributario y de Gestión” para dar a conocer la actividad recaudatoria, aduanera y de fiscalización del Gobierno Federal.</w:t>
      </w:r>
    </w:p>
    <w:p w14:paraId="2ED346A9" w14:textId="77777777" w:rsidR="00981DA4" w:rsidRPr="00981DA4" w:rsidRDefault="00981DA4" w:rsidP="00981DA4">
      <w:pPr>
        <w:spacing w:after="360" w:line="360" w:lineRule="auto"/>
        <w:ind w:right="-159"/>
        <w:jc w:val="both"/>
        <w:rPr>
          <w:rFonts w:eastAsia="Calibri"/>
          <w:sz w:val="26"/>
          <w:szCs w:val="26"/>
          <w:lang w:eastAsia="en-US"/>
        </w:rPr>
      </w:pPr>
      <w:r w:rsidRPr="00981DA4">
        <w:rPr>
          <w:rFonts w:eastAsia="Calibri"/>
          <w:sz w:val="26"/>
          <w:szCs w:val="26"/>
          <w:lang w:eastAsia="en-US"/>
        </w:rPr>
        <w:t>El informe está compuesto por los apartados: Informe Tributario y el Informe de Gestión.</w:t>
      </w:r>
    </w:p>
    <w:p w14:paraId="7A4A844D" w14:textId="77777777" w:rsidR="00981DA4" w:rsidRPr="00981DA4" w:rsidRDefault="00981DA4" w:rsidP="00981DA4">
      <w:pPr>
        <w:spacing w:after="360" w:line="360" w:lineRule="auto"/>
        <w:ind w:right="-159"/>
        <w:jc w:val="both"/>
        <w:rPr>
          <w:rFonts w:eastAsia="Calibri"/>
          <w:sz w:val="26"/>
          <w:szCs w:val="26"/>
          <w:lang w:eastAsia="en-US"/>
        </w:rPr>
      </w:pPr>
      <w:r w:rsidRPr="00981DA4">
        <w:rPr>
          <w:rFonts w:eastAsia="Calibri"/>
          <w:sz w:val="26"/>
          <w:szCs w:val="26"/>
          <w:lang w:eastAsia="en-US"/>
        </w:rPr>
        <w:t>En el Informe Tributario se presentan datos sobre la evolución de los ingresos, su comportamiento con relación a lo estimado en la Ley de Ingresos, y un comparativo internacional; destacándose los resultados siguientes:</w:t>
      </w:r>
    </w:p>
    <w:p w14:paraId="17C2860C" w14:textId="1F9C29D5" w:rsidR="00981DA4" w:rsidRPr="00981DA4" w:rsidRDefault="00981DA4" w:rsidP="00981DA4">
      <w:pPr>
        <w:spacing w:after="360" w:line="360" w:lineRule="auto"/>
        <w:ind w:right="-159"/>
        <w:jc w:val="both"/>
        <w:rPr>
          <w:rFonts w:eastAsia="Calibri"/>
          <w:sz w:val="26"/>
          <w:szCs w:val="26"/>
          <w:lang w:eastAsia="en-US"/>
        </w:rPr>
      </w:pPr>
      <w:r w:rsidRPr="00981DA4">
        <w:rPr>
          <w:rFonts w:eastAsia="Calibri"/>
          <w:sz w:val="26"/>
          <w:szCs w:val="26"/>
          <w:lang w:eastAsia="en-US"/>
        </w:rPr>
        <w:t>De acuerdo con la información preliminar disponible, durante enero-diciembre de 2014</w:t>
      </w:r>
      <w:r w:rsidR="00CB7BE4">
        <w:rPr>
          <w:rFonts w:eastAsia="Calibri"/>
          <w:sz w:val="26"/>
          <w:szCs w:val="26"/>
          <w:lang w:eastAsia="en-US"/>
        </w:rPr>
        <w:t>,</w:t>
      </w:r>
      <w:r w:rsidRPr="00981DA4">
        <w:rPr>
          <w:rFonts w:eastAsia="Calibri"/>
          <w:sz w:val="26"/>
          <w:szCs w:val="26"/>
          <w:lang w:eastAsia="en-US"/>
        </w:rPr>
        <w:t xml:space="preserve"> los ingresos del Gobierno Federal alcanzaron un total de 2 billones 888 mil 59.6 millones de pesos, monto 2.7% superior en términos reales al obtenido en 2013.</w:t>
      </w:r>
    </w:p>
    <w:p w14:paraId="1C9D2871" w14:textId="77777777" w:rsidR="00981DA4" w:rsidRPr="00981DA4" w:rsidRDefault="00981DA4" w:rsidP="00981DA4">
      <w:pPr>
        <w:spacing w:after="360" w:line="360" w:lineRule="auto"/>
        <w:ind w:right="-159"/>
        <w:jc w:val="both"/>
        <w:rPr>
          <w:rFonts w:eastAsia="Calibri"/>
          <w:sz w:val="26"/>
          <w:szCs w:val="26"/>
          <w:lang w:eastAsia="en-US"/>
        </w:rPr>
      </w:pPr>
      <w:r w:rsidRPr="00981DA4">
        <w:rPr>
          <w:rFonts w:eastAsia="Calibri"/>
          <w:sz w:val="26"/>
          <w:szCs w:val="26"/>
          <w:lang w:eastAsia="en-US"/>
        </w:rPr>
        <w:t>Los ingresos petroleros del Gobierno Federal ascendieron a 1 billón 213 mil 347.8 millones de pesos, lo que implicó una disminución de 52 mil 377 millones de pesos respecto a lo publicado, lo cual se explica por la combinación de los siguientes factores:</w:t>
      </w:r>
    </w:p>
    <w:p w14:paraId="542545B9" w14:textId="77777777" w:rsidR="00981DA4" w:rsidRPr="00981DA4" w:rsidRDefault="00981DA4" w:rsidP="00276F3E">
      <w:pPr>
        <w:numPr>
          <w:ilvl w:val="0"/>
          <w:numId w:val="50"/>
        </w:numPr>
        <w:spacing w:after="360" w:line="360" w:lineRule="auto"/>
        <w:ind w:left="714" w:right="-159" w:hanging="357"/>
        <w:jc w:val="both"/>
        <w:rPr>
          <w:rFonts w:eastAsia="Calibri"/>
          <w:sz w:val="26"/>
          <w:szCs w:val="26"/>
          <w:lang w:eastAsia="en-US"/>
        </w:rPr>
      </w:pPr>
      <w:r w:rsidRPr="00981DA4">
        <w:rPr>
          <w:rFonts w:eastAsia="Calibri"/>
          <w:sz w:val="26"/>
          <w:szCs w:val="26"/>
          <w:lang w:eastAsia="en-US"/>
        </w:rPr>
        <w:t>Disminución en la plataforma de producción de crudo con respecto al mismo período del año anterior (76 mbd) y de gas natural de 9.6 por ciento.</w:t>
      </w:r>
    </w:p>
    <w:p w14:paraId="34F0BFC5" w14:textId="77777777" w:rsidR="00981DA4" w:rsidRPr="00981DA4" w:rsidRDefault="00981DA4" w:rsidP="00276F3E">
      <w:pPr>
        <w:numPr>
          <w:ilvl w:val="0"/>
          <w:numId w:val="50"/>
        </w:numPr>
        <w:spacing w:after="360" w:line="360" w:lineRule="auto"/>
        <w:ind w:left="714" w:right="-159" w:hanging="357"/>
        <w:jc w:val="both"/>
        <w:rPr>
          <w:rFonts w:eastAsia="Calibri"/>
          <w:sz w:val="26"/>
          <w:szCs w:val="26"/>
          <w:lang w:eastAsia="en-US"/>
        </w:rPr>
      </w:pPr>
      <w:r w:rsidRPr="00981DA4">
        <w:rPr>
          <w:rFonts w:eastAsia="Calibri"/>
          <w:sz w:val="26"/>
          <w:szCs w:val="26"/>
          <w:lang w:eastAsia="en-US"/>
        </w:rPr>
        <w:lastRenderedPageBreak/>
        <w:t>El efecto anterior se compensó en parte con el de un mayor precio del gas natural en dólares.</w:t>
      </w:r>
    </w:p>
    <w:p w14:paraId="12F9C22F" w14:textId="77777777" w:rsidR="00981DA4" w:rsidRPr="00981DA4" w:rsidRDefault="00981DA4" w:rsidP="00276F3E">
      <w:pPr>
        <w:numPr>
          <w:ilvl w:val="0"/>
          <w:numId w:val="50"/>
        </w:numPr>
        <w:spacing w:after="360" w:line="360" w:lineRule="auto"/>
        <w:ind w:left="714" w:right="-159" w:hanging="357"/>
        <w:jc w:val="both"/>
        <w:rPr>
          <w:rFonts w:eastAsia="Calibri"/>
          <w:sz w:val="26"/>
          <w:szCs w:val="26"/>
          <w:lang w:eastAsia="en-US"/>
        </w:rPr>
      </w:pPr>
      <w:r w:rsidRPr="00981DA4">
        <w:rPr>
          <w:rFonts w:eastAsia="Calibri"/>
          <w:sz w:val="26"/>
          <w:szCs w:val="26"/>
          <w:lang w:eastAsia="en-US"/>
        </w:rPr>
        <w:t>El precio promedio de venta al público de las gasolinas y el diesel fue menor al precio productor de Pemex, lo que implicó que la tasa del impuesto a dicha venta fuera negativa, propiciando un traslado de recursos hacia el consumidor final por 32 mil 928 millones de pesos.</w:t>
      </w:r>
    </w:p>
    <w:p w14:paraId="129B41D8" w14:textId="44FD880D" w:rsidR="00981DA4" w:rsidRPr="00981DA4" w:rsidRDefault="00981DA4" w:rsidP="00981DA4">
      <w:pPr>
        <w:spacing w:after="360" w:line="360" w:lineRule="auto"/>
        <w:ind w:right="-159"/>
        <w:jc w:val="both"/>
        <w:rPr>
          <w:rFonts w:eastAsia="Calibri"/>
          <w:sz w:val="26"/>
          <w:szCs w:val="26"/>
          <w:lang w:eastAsia="en-US"/>
        </w:rPr>
      </w:pPr>
      <w:r w:rsidRPr="00981DA4">
        <w:rPr>
          <w:rFonts w:eastAsia="Calibri"/>
          <w:sz w:val="26"/>
          <w:szCs w:val="26"/>
          <w:lang w:eastAsia="en-US"/>
        </w:rPr>
        <w:t>Los ingresos tributarios no petroleros registraron un incremento real de 11.3% y de 14.1%, una vez que se ajusta por el efecto del programa “Ponte al Corriente”. En 2013</w:t>
      </w:r>
      <w:r w:rsidR="00CB7BE4">
        <w:rPr>
          <w:rFonts w:eastAsia="Calibri"/>
          <w:sz w:val="26"/>
          <w:szCs w:val="26"/>
          <w:lang w:eastAsia="en-US"/>
        </w:rPr>
        <w:t>,</w:t>
      </w:r>
      <w:r w:rsidRPr="00981DA4">
        <w:rPr>
          <w:rFonts w:eastAsia="Calibri"/>
          <w:sz w:val="26"/>
          <w:szCs w:val="26"/>
          <w:lang w:eastAsia="en-US"/>
        </w:rPr>
        <w:t xml:space="preserve"> dicho programa aumentó la base de comparación de estos ingresos en 38 mil 900 millones de pesos. Asimismo, se explica por las siguientes causas:</w:t>
      </w:r>
    </w:p>
    <w:p w14:paraId="6939BADB" w14:textId="77777777" w:rsidR="00981DA4" w:rsidRPr="00981DA4" w:rsidRDefault="00981DA4" w:rsidP="00276F3E">
      <w:pPr>
        <w:numPr>
          <w:ilvl w:val="0"/>
          <w:numId w:val="25"/>
        </w:numPr>
        <w:spacing w:after="360" w:line="360" w:lineRule="auto"/>
        <w:ind w:left="357" w:right="-159" w:hanging="357"/>
        <w:jc w:val="both"/>
        <w:rPr>
          <w:rFonts w:eastAsia="Calibri"/>
          <w:sz w:val="26"/>
          <w:szCs w:val="26"/>
          <w:lang w:eastAsia="en-US"/>
        </w:rPr>
      </w:pPr>
      <w:r w:rsidRPr="00981DA4">
        <w:rPr>
          <w:rFonts w:eastAsia="Calibri"/>
          <w:sz w:val="26"/>
          <w:szCs w:val="26"/>
          <w:lang w:eastAsia="en-US"/>
        </w:rPr>
        <w:t>En enero-diciembre de 2014, la recaudación del sistema renta (ISR-IETU-IDE) disminuyó 2.5% real, lo que refleja la eliminación del IETU y el IDE a partir de 2014, así como que en 2013 se captaron recursos no recurrentes por el programa “Ponte al Corriente”. Una vez que se ajusta por el efecto de dicho programa, la recaudación del sistema renta tuvo un incremento real anual de 0.4%, mientras que la recaudación del ISR creció 7.7 por ciento.</w:t>
      </w:r>
    </w:p>
    <w:p w14:paraId="66C25705" w14:textId="77777777" w:rsidR="00981DA4" w:rsidRPr="00981DA4" w:rsidRDefault="00981DA4" w:rsidP="00981DA4">
      <w:pPr>
        <w:spacing w:after="360" w:line="360" w:lineRule="auto"/>
        <w:ind w:right="-159"/>
        <w:jc w:val="both"/>
        <w:rPr>
          <w:rFonts w:eastAsia="Calibri"/>
          <w:sz w:val="26"/>
          <w:szCs w:val="26"/>
          <w:lang w:eastAsia="en-US"/>
        </w:rPr>
      </w:pPr>
      <w:r w:rsidRPr="00981DA4">
        <w:rPr>
          <w:rFonts w:eastAsia="Calibri"/>
          <w:sz w:val="26"/>
          <w:szCs w:val="26"/>
          <w:lang w:eastAsia="en-US"/>
        </w:rPr>
        <w:t>Por su parte, los ingresos no tributarios no petroleros del Gobierno Federal mostraron un incremento real de 2.8%, debido a mayores ingresos por aprovechamientos.</w:t>
      </w:r>
    </w:p>
    <w:p w14:paraId="4891577F" w14:textId="77777777" w:rsidR="00981DA4" w:rsidRDefault="00981DA4" w:rsidP="00981DA4">
      <w:pPr>
        <w:spacing w:after="360" w:line="360" w:lineRule="auto"/>
        <w:ind w:right="-159"/>
        <w:jc w:val="both"/>
        <w:rPr>
          <w:rFonts w:eastAsia="Calibri"/>
          <w:sz w:val="26"/>
          <w:szCs w:val="26"/>
          <w:lang w:eastAsia="en-US"/>
        </w:rPr>
      </w:pPr>
      <w:r w:rsidRPr="00981DA4">
        <w:rPr>
          <w:rFonts w:eastAsia="Calibri"/>
          <w:sz w:val="26"/>
          <w:szCs w:val="26"/>
          <w:lang w:eastAsia="en-US"/>
        </w:rPr>
        <w:t>Con respecto al programa de la LIF 2014, los ingresos no petroleros del Gobierno Federal fueron superiores en 208 mil 752.1 millones de pesos.</w:t>
      </w:r>
    </w:p>
    <w:p w14:paraId="560C6125" w14:textId="77777777" w:rsidR="00593607" w:rsidRDefault="00593607" w:rsidP="00981DA4">
      <w:pPr>
        <w:spacing w:after="360" w:line="360" w:lineRule="auto"/>
        <w:ind w:right="-159"/>
        <w:jc w:val="both"/>
        <w:rPr>
          <w:rFonts w:eastAsia="Calibri"/>
          <w:sz w:val="26"/>
          <w:szCs w:val="26"/>
          <w:lang w:eastAsia="en-US"/>
        </w:rPr>
      </w:pPr>
    </w:p>
    <w:p w14:paraId="33F7A641" w14:textId="77777777" w:rsidR="00593607" w:rsidRPr="00981DA4" w:rsidRDefault="00593607" w:rsidP="00981DA4">
      <w:pPr>
        <w:spacing w:after="360" w:line="360" w:lineRule="auto"/>
        <w:ind w:right="-159"/>
        <w:jc w:val="both"/>
        <w:rPr>
          <w:rFonts w:eastAsia="Calibri"/>
          <w:sz w:val="26"/>
          <w:szCs w:val="26"/>
          <w:lang w:eastAsia="en-US"/>
        </w:rPr>
      </w:pPr>
    </w:p>
    <w:p w14:paraId="0AD68692" w14:textId="77777777" w:rsidR="00981DA4" w:rsidRPr="00981DA4" w:rsidRDefault="00981DA4" w:rsidP="00981DA4">
      <w:pPr>
        <w:spacing w:after="360" w:line="360" w:lineRule="auto"/>
        <w:ind w:right="-159"/>
        <w:jc w:val="both"/>
        <w:rPr>
          <w:rFonts w:eastAsia="Calibri"/>
          <w:sz w:val="26"/>
          <w:szCs w:val="26"/>
          <w:lang w:eastAsia="en-US"/>
        </w:rPr>
      </w:pPr>
      <w:r w:rsidRPr="00981DA4">
        <w:rPr>
          <w:rFonts w:eastAsia="Calibri"/>
          <w:sz w:val="26"/>
          <w:szCs w:val="26"/>
          <w:lang w:eastAsia="en-US"/>
        </w:rPr>
        <w:lastRenderedPageBreak/>
        <w:t>Los ingresos tributarios no petroleros estuvieron 4% por arriba de lo esperado, debido a:</w:t>
      </w:r>
    </w:p>
    <w:p w14:paraId="62F543F0" w14:textId="77777777" w:rsidR="00981DA4" w:rsidRPr="00981DA4" w:rsidRDefault="00981DA4" w:rsidP="00276F3E">
      <w:pPr>
        <w:numPr>
          <w:ilvl w:val="0"/>
          <w:numId w:val="51"/>
        </w:numPr>
        <w:spacing w:after="360" w:line="360" w:lineRule="auto"/>
        <w:ind w:right="-159"/>
        <w:jc w:val="both"/>
        <w:rPr>
          <w:rFonts w:eastAsia="Calibri"/>
          <w:sz w:val="26"/>
          <w:szCs w:val="26"/>
          <w:lang w:eastAsia="en-US"/>
        </w:rPr>
      </w:pPr>
      <w:r w:rsidRPr="00981DA4">
        <w:rPr>
          <w:rFonts w:eastAsia="Calibri"/>
          <w:sz w:val="26"/>
          <w:szCs w:val="26"/>
          <w:lang w:eastAsia="en-US"/>
        </w:rPr>
        <w:t>Mayor recaudación del IVA y de los IEPS no petroleros por 57 mil 692.6 y 6 mil 57.5 millones de pesos, respectivamente, como consecuencia de las medidas que conforman la reforma hacendaria y de acciones para mejorar la administración tributaria.</w:t>
      </w:r>
    </w:p>
    <w:p w14:paraId="763C312A" w14:textId="2A5A6724" w:rsidR="00981DA4" w:rsidRPr="00981DA4" w:rsidRDefault="00981DA4" w:rsidP="00276F3E">
      <w:pPr>
        <w:numPr>
          <w:ilvl w:val="0"/>
          <w:numId w:val="51"/>
        </w:numPr>
        <w:spacing w:after="360" w:line="360" w:lineRule="auto"/>
        <w:ind w:right="-159"/>
        <w:jc w:val="both"/>
        <w:rPr>
          <w:rFonts w:eastAsia="Calibri"/>
          <w:sz w:val="26"/>
          <w:szCs w:val="26"/>
          <w:lang w:eastAsia="en-US"/>
        </w:rPr>
      </w:pPr>
      <w:r w:rsidRPr="00981DA4">
        <w:rPr>
          <w:rFonts w:eastAsia="Calibri"/>
          <w:sz w:val="26"/>
          <w:szCs w:val="26"/>
          <w:lang w:eastAsia="en-US"/>
        </w:rPr>
        <w:t>El crecimiento del IVA no petrolero en 2014 es el más alto (18% real) desde que el Gobierno Federal lo administra</w:t>
      </w:r>
      <w:r w:rsidRPr="00981DA4">
        <w:rPr>
          <w:rFonts w:eastAsia="Calibri"/>
          <w:sz w:val="26"/>
          <w:szCs w:val="26"/>
          <w:vertAlign w:val="superscript"/>
          <w:lang w:eastAsia="en-US"/>
        </w:rPr>
        <w:footnoteReference w:id="85"/>
      </w:r>
      <w:r w:rsidR="00CB7BE4">
        <w:rPr>
          <w:rFonts w:eastAsia="Calibri"/>
          <w:sz w:val="26"/>
          <w:szCs w:val="26"/>
          <w:lang w:eastAsia="en-US"/>
        </w:rPr>
        <w:t>.</w:t>
      </w:r>
    </w:p>
    <w:p w14:paraId="7E37166F" w14:textId="488D2A28" w:rsidR="00981DA4" w:rsidRPr="00981DA4" w:rsidRDefault="008D29D8" w:rsidP="00981DA4">
      <w:pPr>
        <w:spacing w:after="360" w:line="360" w:lineRule="auto"/>
        <w:ind w:right="-159"/>
        <w:jc w:val="center"/>
        <w:rPr>
          <w:rFonts w:eastAsia="Calibri"/>
          <w:sz w:val="26"/>
          <w:szCs w:val="26"/>
          <w:lang w:eastAsia="en-US"/>
        </w:rPr>
      </w:pPr>
      <w:r w:rsidRPr="008D29D8">
        <w:rPr>
          <w:rFonts w:ascii="Calibri" w:eastAsia="Calibri" w:hAnsi="Calibri"/>
          <w:noProof/>
          <w:sz w:val="22"/>
          <w:szCs w:val="22"/>
          <w:lang w:eastAsia="es-MX"/>
        </w:rPr>
        <w:drawing>
          <wp:inline distT="0" distB="0" distL="0" distR="0" wp14:anchorId="6A972CE0" wp14:editId="44A1803D">
            <wp:extent cx="4559300" cy="2132195"/>
            <wp:effectExtent l="0" t="0" r="0" b="1905"/>
            <wp:docPr id="179" name="Imagen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91" cstate="print">
                      <a:extLst>
                        <a:ext uri="{28A0092B-C50C-407E-A947-70E740481C1C}">
                          <a14:useLocalDpi xmlns:a14="http://schemas.microsoft.com/office/drawing/2010/main" val="0"/>
                        </a:ext>
                      </a:extLst>
                    </a:blip>
                    <a:srcRect b="37842"/>
                    <a:stretch/>
                  </pic:blipFill>
                  <pic:spPr bwMode="auto">
                    <a:xfrm>
                      <a:off x="0" y="0"/>
                      <a:ext cx="4559300" cy="2132195"/>
                    </a:xfrm>
                    <a:prstGeom prst="rect">
                      <a:avLst/>
                    </a:prstGeom>
                    <a:noFill/>
                    <a:ln>
                      <a:noFill/>
                    </a:ln>
                    <a:extLst>
                      <a:ext uri="{53640926-AAD7-44D8-BBD7-CCE9431645EC}">
                        <a14:shadowObscured xmlns:a14="http://schemas.microsoft.com/office/drawing/2010/main"/>
                      </a:ext>
                    </a:extLst>
                  </pic:spPr>
                </pic:pic>
              </a:graphicData>
            </a:graphic>
          </wp:inline>
        </w:drawing>
      </w:r>
    </w:p>
    <w:p w14:paraId="22649C08" w14:textId="3A570935" w:rsidR="00981DA4" w:rsidRPr="00981DA4" w:rsidRDefault="00981DA4" w:rsidP="00276F3E">
      <w:pPr>
        <w:numPr>
          <w:ilvl w:val="0"/>
          <w:numId w:val="52"/>
        </w:numPr>
        <w:spacing w:after="360" w:line="360" w:lineRule="auto"/>
        <w:ind w:left="714" w:right="-159" w:hanging="357"/>
        <w:jc w:val="both"/>
        <w:rPr>
          <w:rFonts w:eastAsia="Calibri"/>
          <w:sz w:val="26"/>
          <w:szCs w:val="26"/>
          <w:lang w:eastAsia="en-US"/>
        </w:rPr>
      </w:pPr>
      <w:r w:rsidRPr="00981DA4">
        <w:rPr>
          <w:rFonts w:eastAsia="Calibri"/>
          <w:sz w:val="26"/>
          <w:szCs w:val="26"/>
          <w:lang w:eastAsia="en-US"/>
        </w:rPr>
        <w:t xml:space="preserve">Al mes de diciembre, los ingresos por la recaudación del Sistema Renta </w:t>
      </w:r>
      <w:r w:rsidR="00CB7BE4">
        <w:rPr>
          <w:rFonts w:eastAsia="Calibri"/>
          <w:sz w:val="26"/>
          <w:szCs w:val="26"/>
          <w:lang w:eastAsia="en-US"/>
        </w:rPr>
        <w:t xml:space="preserve">        </w:t>
      </w:r>
      <w:r w:rsidRPr="00981DA4">
        <w:rPr>
          <w:rFonts w:eastAsia="Calibri"/>
          <w:sz w:val="26"/>
          <w:szCs w:val="26"/>
          <w:lang w:eastAsia="en-US"/>
        </w:rPr>
        <w:t>(ISR-IETU</w:t>
      </w:r>
      <w:r w:rsidR="00CB7BE4">
        <w:rPr>
          <w:rFonts w:eastAsia="Calibri"/>
          <w:sz w:val="26"/>
          <w:szCs w:val="26"/>
          <w:lang w:eastAsia="en-US"/>
        </w:rPr>
        <w:t>-</w:t>
      </w:r>
      <w:r w:rsidRPr="00981DA4">
        <w:rPr>
          <w:rFonts w:eastAsia="Calibri"/>
          <w:sz w:val="26"/>
          <w:szCs w:val="26"/>
          <w:lang w:eastAsia="en-US"/>
        </w:rPr>
        <w:t>IDE) son menores al programa en 10 mil 876.5 millones de pesos.</w:t>
      </w:r>
    </w:p>
    <w:p w14:paraId="08C2B48E" w14:textId="77777777" w:rsidR="00981DA4" w:rsidRPr="00981DA4" w:rsidRDefault="00981DA4" w:rsidP="00981DA4">
      <w:pPr>
        <w:spacing w:after="360" w:line="360" w:lineRule="auto"/>
        <w:ind w:right="-159"/>
        <w:jc w:val="both"/>
        <w:rPr>
          <w:rFonts w:eastAsia="Calibri"/>
          <w:b/>
          <w:sz w:val="26"/>
          <w:szCs w:val="26"/>
          <w:lang w:eastAsia="en-US"/>
        </w:rPr>
      </w:pPr>
      <w:r w:rsidRPr="00981DA4">
        <w:rPr>
          <w:rFonts w:eastAsia="Calibri"/>
          <w:b/>
          <w:sz w:val="26"/>
          <w:szCs w:val="26"/>
          <w:lang w:eastAsia="en-US"/>
        </w:rPr>
        <w:t>Informe de Gestión</w:t>
      </w:r>
    </w:p>
    <w:p w14:paraId="3095504D" w14:textId="3809144A" w:rsidR="00981DA4" w:rsidRPr="00981DA4" w:rsidRDefault="00981DA4" w:rsidP="00981DA4">
      <w:pPr>
        <w:spacing w:after="360" w:line="360" w:lineRule="auto"/>
        <w:ind w:right="-159"/>
        <w:jc w:val="both"/>
        <w:rPr>
          <w:rFonts w:eastAsia="Calibri"/>
          <w:sz w:val="26"/>
          <w:szCs w:val="26"/>
          <w:lang w:eastAsia="en-US"/>
        </w:rPr>
      </w:pPr>
      <w:r w:rsidRPr="00981DA4">
        <w:rPr>
          <w:rFonts w:eastAsia="Calibri"/>
          <w:sz w:val="26"/>
          <w:szCs w:val="26"/>
          <w:lang w:eastAsia="en-US"/>
        </w:rPr>
        <w:t>En el Informe de Gestión se incluye información relacionada con el padrón de contribuyentes, devoluciones y actividades de fiscalización, entre otros temas. Los datos relevantes que se presentan, son los siguientes:</w:t>
      </w:r>
    </w:p>
    <w:p w14:paraId="6B3673F6" w14:textId="3829ACE3" w:rsidR="00981DA4" w:rsidRPr="00981DA4" w:rsidRDefault="00981DA4" w:rsidP="00981DA4">
      <w:pPr>
        <w:spacing w:after="360" w:line="360" w:lineRule="auto"/>
        <w:ind w:right="-159"/>
        <w:jc w:val="both"/>
        <w:rPr>
          <w:rFonts w:eastAsia="Calibri"/>
          <w:sz w:val="26"/>
          <w:szCs w:val="26"/>
          <w:lang w:eastAsia="en-US"/>
        </w:rPr>
      </w:pPr>
      <w:r w:rsidRPr="00981DA4">
        <w:rPr>
          <w:rFonts w:eastAsia="Calibri"/>
          <w:sz w:val="26"/>
          <w:szCs w:val="26"/>
          <w:lang w:eastAsia="en-US"/>
        </w:rPr>
        <w:lastRenderedPageBreak/>
        <w:t xml:space="preserve">Al mes de diciembre de 2014, el padrón de contribuyentes estuvo conformado por </w:t>
      </w:r>
      <w:r w:rsidR="005B2CE5">
        <w:rPr>
          <w:rFonts w:eastAsia="Calibri"/>
          <w:sz w:val="26"/>
          <w:szCs w:val="26"/>
          <w:lang w:eastAsia="en-US"/>
        </w:rPr>
        <w:t xml:space="preserve">         </w:t>
      </w:r>
      <w:r w:rsidRPr="00981DA4">
        <w:rPr>
          <w:rFonts w:eastAsia="Calibri"/>
          <w:sz w:val="26"/>
          <w:szCs w:val="26"/>
          <w:lang w:eastAsia="en-US"/>
        </w:rPr>
        <w:t xml:space="preserve">46.3 millones de contribuyentes, lo que significó un aumento de 4.6 millones de contribuyentes (11.1%) respecto al mismo período de 2013, lo cual se debió a la incorporación de 92 mil 423 Personas Morales, 1.4 millones de Personas Físicas y </w:t>
      </w:r>
      <w:r w:rsidR="005B2CE5">
        <w:rPr>
          <w:rFonts w:eastAsia="Calibri"/>
          <w:sz w:val="26"/>
          <w:szCs w:val="26"/>
          <w:lang w:eastAsia="en-US"/>
        </w:rPr>
        <w:t xml:space="preserve">       </w:t>
      </w:r>
      <w:r w:rsidRPr="00981DA4">
        <w:rPr>
          <w:rFonts w:eastAsia="Calibri"/>
          <w:sz w:val="26"/>
          <w:szCs w:val="26"/>
          <w:lang w:eastAsia="en-US"/>
        </w:rPr>
        <w:t>3.2 millones de asalariados.</w:t>
      </w:r>
    </w:p>
    <w:p w14:paraId="230B83FA" w14:textId="4A897CA3" w:rsidR="00981DA4" w:rsidRPr="00981DA4" w:rsidRDefault="008D29D8" w:rsidP="00981DA4">
      <w:pPr>
        <w:spacing w:after="360" w:line="360" w:lineRule="auto"/>
        <w:ind w:right="-159"/>
        <w:jc w:val="center"/>
        <w:rPr>
          <w:rFonts w:eastAsia="Calibri"/>
          <w:sz w:val="26"/>
          <w:szCs w:val="26"/>
          <w:lang w:eastAsia="en-US"/>
        </w:rPr>
      </w:pPr>
      <w:r w:rsidRPr="008D29D8">
        <w:rPr>
          <w:rFonts w:ascii="Calibri" w:eastAsia="Calibri" w:hAnsi="Calibri"/>
          <w:noProof/>
          <w:sz w:val="22"/>
          <w:szCs w:val="22"/>
          <w:lang w:eastAsia="es-MX"/>
        </w:rPr>
        <w:drawing>
          <wp:inline distT="0" distB="0" distL="0" distR="0" wp14:anchorId="177F687C" wp14:editId="0DD82CC6">
            <wp:extent cx="4558319" cy="2371848"/>
            <wp:effectExtent l="0" t="0" r="0" b="0"/>
            <wp:docPr id="180" name="Imagen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92" cstate="print">
                      <a:extLst>
                        <a:ext uri="{28A0092B-C50C-407E-A947-70E740481C1C}">
                          <a14:useLocalDpi xmlns:a14="http://schemas.microsoft.com/office/drawing/2010/main" val="0"/>
                        </a:ext>
                      </a:extLst>
                    </a:blip>
                    <a:srcRect t="3440" b="27401"/>
                    <a:stretch/>
                  </pic:blipFill>
                  <pic:spPr bwMode="auto">
                    <a:xfrm>
                      <a:off x="0" y="0"/>
                      <a:ext cx="4559300" cy="2372359"/>
                    </a:xfrm>
                    <a:prstGeom prst="rect">
                      <a:avLst/>
                    </a:prstGeom>
                    <a:noFill/>
                    <a:ln>
                      <a:noFill/>
                    </a:ln>
                    <a:extLst>
                      <a:ext uri="{53640926-AAD7-44D8-BBD7-CCE9431645EC}">
                        <a14:shadowObscured xmlns:a14="http://schemas.microsoft.com/office/drawing/2010/main"/>
                      </a:ext>
                    </a:extLst>
                  </pic:spPr>
                </pic:pic>
              </a:graphicData>
            </a:graphic>
          </wp:inline>
        </w:drawing>
      </w:r>
    </w:p>
    <w:p w14:paraId="0BD2DEF9" w14:textId="4F5C3326" w:rsidR="00981DA4" w:rsidRPr="00981DA4" w:rsidRDefault="00981DA4" w:rsidP="00981DA4">
      <w:pPr>
        <w:spacing w:after="360" w:line="360" w:lineRule="auto"/>
        <w:ind w:right="-159"/>
        <w:jc w:val="both"/>
        <w:rPr>
          <w:rFonts w:eastAsia="Calibri"/>
          <w:sz w:val="26"/>
          <w:szCs w:val="26"/>
          <w:lang w:eastAsia="en-US"/>
        </w:rPr>
      </w:pPr>
      <w:r w:rsidRPr="00981DA4">
        <w:rPr>
          <w:rFonts w:eastAsia="Calibri"/>
          <w:sz w:val="26"/>
          <w:szCs w:val="26"/>
          <w:lang w:eastAsia="en-US"/>
        </w:rPr>
        <w:t>El SAT ha continuado con el esfuerzo por realizar las devoluciones de forma ágil. Dentro de este marco</w:t>
      </w:r>
      <w:r w:rsidR="00CB7BE4">
        <w:rPr>
          <w:rFonts w:eastAsia="Calibri"/>
          <w:sz w:val="26"/>
          <w:szCs w:val="26"/>
          <w:lang w:eastAsia="en-US"/>
        </w:rPr>
        <w:t>,</w:t>
      </w:r>
      <w:r w:rsidRPr="00981DA4">
        <w:rPr>
          <w:rFonts w:eastAsia="Calibri"/>
          <w:sz w:val="26"/>
          <w:szCs w:val="26"/>
          <w:lang w:eastAsia="en-US"/>
        </w:rPr>
        <w:t xml:space="preserve"> en 2014 aumentó el monto devuelto a los contribuyentes por concepto de ISR en 25.5% real anual (equivalente a 8 mil 609 millones de pesos). Respecto al IVA el monto devuelto a los contribuyentes fue de -13.0% (equivalente a </w:t>
      </w:r>
      <w:r w:rsidR="005B2CE5">
        <w:rPr>
          <w:rFonts w:eastAsia="Calibri"/>
          <w:sz w:val="26"/>
          <w:szCs w:val="26"/>
          <w:lang w:eastAsia="en-US"/>
        </w:rPr>
        <w:t xml:space="preserve"> </w:t>
      </w:r>
      <w:r w:rsidRPr="00981DA4">
        <w:rPr>
          <w:rFonts w:eastAsia="Calibri"/>
          <w:sz w:val="26"/>
          <w:szCs w:val="26"/>
          <w:lang w:eastAsia="en-US"/>
        </w:rPr>
        <w:t>-25 mil 172 millones de pesos).</w:t>
      </w:r>
    </w:p>
    <w:p w14:paraId="33C09F12" w14:textId="77777777" w:rsidR="00981DA4" w:rsidRPr="00981DA4" w:rsidRDefault="00981DA4" w:rsidP="00981DA4">
      <w:pPr>
        <w:spacing w:after="360" w:line="360" w:lineRule="auto"/>
        <w:ind w:right="-159"/>
        <w:jc w:val="both"/>
        <w:rPr>
          <w:rFonts w:eastAsia="Calibri"/>
          <w:sz w:val="26"/>
          <w:szCs w:val="26"/>
          <w:lang w:eastAsia="en-US"/>
        </w:rPr>
      </w:pPr>
      <w:r w:rsidRPr="00981DA4">
        <w:rPr>
          <w:rFonts w:eastAsia="Calibri"/>
          <w:sz w:val="26"/>
          <w:szCs w:val="26"/>
          <w:lang w:eastAsia="en-US"/>
        </w:rPr>
        <w:t>Como resultado de las acciones que el SAT está efectuando para combatir la evasión fiscal, en enero-diciembre de 2014, se recaudaron 156 mil 398.5 millones de pesos derivados de actos de fiscalización. Asimismo, por cada peso erogado en acciones de fiscalización, se logró recuperar la cifra de 55.2 pesos.</w:t>
      </w:r>
    </w:p>
    <w:p w14:paraId="7FA33A3F" w14:textId="77777777" w:rsidR="00981DA4" w:rsidRPr="00981DA4" w:rsidRDefault="00981DA4" w:rsidP="00981DA4">
      <w:pPr>
        <w:ind w:right="-159"/>
        <w:jc w:val="both"/>
        <w:rPr>
          <w:rFonts w:eastAsia="Calibri"/>
          <w:b/>
          <w:sz w:val="20"/>
          <w:szCs w:val="20"/>
          <w:lang w:eastAsia="en-US"/>
        </w:rPr>
      </w:pPr>
      <w:r w:rsidRPr="00981DA4">
        <w:rPr>
          <w:rFonts w:eastAsia="Calibri"/>
          <w:b/>
          <w:sz w:val="20"/>
          <w:szCs w:val="20"/>
          <w:lang w:eastAsia="en-US"/>
        </w:rPr>
        <w:t>Fuente de información:</w:t>
      </w:r>
    </w:p>
    <w:p w14:paraId="33FE7262" w14:textId="77777777" w:rsidR="00981DA4" w:rsidRPr="001B4DFF" w:rsidRDefault="0093224F" w:rsidP="00981DA4">
      <w:pPr>
        <w:ind w:right="-159"/>
        <w:jc w:val="both"/>
        <w:rPr>
          <w:rFonts w:eastAsia="Calibri"/>
          <w:color w:val="0000FF"/>
          <w:sz w:val="20"/>
          <w:szCs w:val="20"/>
          <w:lang w:eastAsia="en-US"/>
        </w:rPr>
      </w:pPr>
      <w:hyperlink r:id="rId293" w:history="1">
        <w:r w:rsidR="00981DA4" w:rsidRPr="001B4DFF">
          <w:rPr>
            <w:rFonts w:eastAsia="Calibri"/>
            <w:color w:val="0000FF"/>
            <w:sz w:val="20"/>
            <w:szCs w:val="20"/>
            <w:u w:val="single"/>
            <w:lang w:eastAsia="en-US"/>
          </w:rPr>
          <w:t>http://www.sat.gob.mx/sala_prensa/comunicados_nacionales/Paginas/com2015_024.aspx</w:t>
        </w:r>
      </w:hyperlink>
      <w:r w:rsidR="00981DA4" w:rsidRPr="001B4DFF">
        <w:rPr>
          <w:rFonts w:eastAsia="Calibri"/>
          <w:color w:val="0000FF"/>
          <w:sz w:val="20"/>
          <w:szCs w:val="20"/>
          <w:lang w:eastAsia="en-US"/>
        </w:rPr>
        <w:t xml:space="preserve"> </w:t>
      </w:r>
    </w:p>
    <w:p w14:paraId="4376D7DE" w14:textId="77777777" w:rsidR="00981DA4" w:rsidRPr="001B4DFF" w:rsidRDefault="0093224F" w:rsidP="00981DA4">
      <w:pPr>
        <w:ind w:right="-159"/>
        <w:jc w:val="both"/>
        <w:rPr>
          <w:rFonts w:eastAsia="Calibri"/>
          <w:color w:val="0000FF"/>
          <w:sz w:val="20"/>
          <w:szCs w:val="20"/>
          <w:lang w:eastAsia="en-US"/>
        </w:rPr>
      </w:pPr>
      <w:hyperlink r:id="rId294" w:history="1">
        <w:r w:rsidR="00981DA4" w:rsidRPr="001B4DFF">
          <w:rPr>
            <w:rFonts w:eastAsia="Calibri"/>
            <w:color w:val="0000FF"/>
            <w:sz w:val="20"/>
            <w:szCs w:val="20"/>
            <w:u w:val="single"/>
            <w:lang w:eastAsia="en-US"/>
          </w:rPr>
          <w:t>http://www2.sat.gob.mx/sitio_internet/informe_tributario/informe2014t4/Entrada.pdf</w:t>
        </w:r>
      </w:hyperlink>
      <w:r w:rsidR="00981DA4" w:rsidRPr="001B4DFF">
        <w:rPr>
          <w:rFonts w:eastAsia="Calibri"/>
          <w:color w:val="0000FF"/>
          <w:sz w:val="20"/>
          <w:szCs w:val="20"/>
          <w:lang w:eastAsia="en-US"/>
        </w:rPr>
        <w:t xml:space="preserve"> </w:t>
      </w:r>
    </w:p>
    <w:p w14:paraId="41443751" w14:textId="77777777" w:rsidR="00981DA4" w:rsidRPr="001B4DFF" w:rsidRDefault="0093224F" w:rsidP="00981DA4">
      <w:pPr>
        <w:ind w:right="-159"/>
        <w:jc w:val="both"/>
        <w:rPr>
          <w:rFonts w:eastAsia="Calibri"/>
          <w:color w:val="0000FF"/>
          <w:sz w:val="20"/>
          <w:szCs w:val="20"/>
          <w:lang w:eastAsia="en-US"/>
        </w:rPr>
      </w:pPr>
      <w:hyperlink r:id="rId295" w:history="1">
        <w:r w:rsidR="00981DA4" w:rsidRPr="001B4DFF">
          <w:rPr>
            <w:rFonts w:eastAsia="Calibri"/>
            <w:color w:val="0000FF"/>
            <w:sz w:val="20"/>
            <w:szCs w:val="20"/>
            <w:u w:val="single"/>
            <w:lang w:eastAsia="en-US"/>
          </w:rPr>
          <w:t>http://www2.sat.gob.mx/sitio_internet/informe_tributario/informe2014t4/Informe%20Ejecutivo.pdf</w:t>
        </w:r>
      </w:hyperlink>
      <w:r w:rsidR="00981DA4" w:rsidRPr="001B4DFF">
        <w:rPr>
          <w:rFonts w:eastAsia="Calibri"/>
          <w:color w:val="0000FF"/>
          <w:sz w:val="20"/>
          <w:szCs w:val="20"/>
          <w:lang w:eastAsia="en-US"/>
        </w:rPr>
        <w:t xml:space="preserve"> </w:t>
      </w:r>
    </w:p>
    <w:p w14:paraId="6219A5D9" w14:textId="77777777" w:rsidR="00E43549" w:rsidRDefault="00E43549" w:rsidP="0063566C">
      <w:pPr>
        <w:spacing w:after="360" w:line="360" w:lineRule="auto"/>
        <w:ind w:right="-159"/>
        <w:jc w:val="both"/>
        <w:rPr>
          <w:rFonts w:eastAsia="Times New Roman"/>
          <w:sz w:val="26"/>
          <w:szCs w:val="26"/>
          <w:lang w:val="es-ES"/>
        </w:rPr>
      </w:pPr>
    </w:p>
    <w:p w14:paraId="3F34FEC9" w14:textId="77777777" w:rsidR="00EA727B" w:rsidRPr="00EA727B" w:rsidRDefault="00EA727B" w:rsidP="00EA727B">
      <w:pPr>
        <w:spacing w:after="360" w:line="360" w:lineRule="auto"/>
        <w:ind w:right="-159"/>
        <w:jc w:val="both"/>
        <w:rPr>
          <w:rFonts w:eastAsia="Calibri"/>
          <w:b/>
          <w:sz w:val="26"/>
          <w:szCs w:val="26"/>
          <w:lang w:eastAsia="en-US"/>
        </w:rPr>
      </w:pPr>
      <w:r w:rsidRPr="00EA727B">
        <w:rPr>
          <w:rFonts w:eastAsia="Calibri"/>
          <w:b/>
          <w:bCs/>
          <w:sz w:val="26"/>
          <w:szCs w:val="26"/>
          <w:lang w:eastAsia="en-US"/>
        </w:rPr>
        <w:lastRenderedPageBreak/>
        <w:t>La lista de contribuyentes incumplidos se actualiza</w:t>
      </w:r>
      <w:r w:rsidRPr="00EA727B">
        <w:rPr>
          <w:rFonts w:eastAsia="Calibri"/>
          <w:b/>
          <w:sz w:val="26"/>
          <w:szCs w:val="26"/>
          <w:lang w:eastAsia="en-US"/>
        </w:rPr>
        <w:t xml:space="preserve"> (SAT)</w:t>
      </w:r>
    </w:p>
    <w:p w14:paraId="2E83A800" w14:textId="2CD51115" w:rsidR="00EA727B" w:rsidRPr="00EA727B" w:rsidRDefault="00EA727B" w:rsidP="00EA727B">
      <w:pPr>
        <w:spacing w:after="360" w:line="360" w:lineRule="auto"/>
        <w:ind w:right="-159"/>
        <w:jc w:val="both"/>
        <w:rPr>
          <w:rFonts w:eastAsia="Calibri"/>
          <w:sz w:val="26"/>
          <w:szCs w:val="26"/>
          <w:lang w:eastAsia="en-US"/>
        </w:rPr>
      </w:pPr>
      <w:r w:rsidRPr="00EA727B">
        <w:rPr>
          <w:rFonts w:eastAsia="Calibri"/>
          <w:sz w:val="26"/>
          <w:szCs w:val="26"/>
          <w:lang w:eastAsia="en-US"/>
        </w:rPr>
        <w:t xml:space="preserve">El 2 de marzo de 2015, el Servicio de Administración Tributaria (SAT) comunicó que el </w:t>
      </w:r>
      <w:r w:rsidRPr="00EA727B">
        <w:rPr>
          <w:rFonts w:eastAsia="Calibri"/>
          <w:bCs/>
          <w:sz w:val="26"/>
          <w:szCs w:val="26"/>
          <w:lang w:eastAsia="en-US"/>
        </w:rPr>
        <w:t xml:space="preserve">listado de contribuyentes incumplidos fue actualizado. </w:t>
      </w:r>
      <w:r w:rsidRPr="00EA727B">
        <w:rPr>
          <w:rFonts w:eastAsia="Calibri"/>
          <w:sz w:val="26"/>
          <w:szCs w:val="26"/>
          <w:lang w:eastAsia="en-US"/>
        </w:rPr>
        <w:t xml:space="preserve">A continuación </w:t>
      </w:r>
      <w:r>
        <w:rPr>
          <w:rFonts w:eastAsia="Calibri"/>
          <w:sz w:val="26"/>
          <w:szCs w:val="26"/>
          <w:lang w:eastAsia="en-US"/>
        </w:rPr>
        <w:t>se presenta la información</w:t>
      </w:r>
      <w:r w:rsidRPr="00EA727B">
        <w:rPr>
          <w:rFonts w:eastAsia="Calibri"/>
          <w:sz w:val="26"/>
          <w:szCs w:val="26"/>
          <w:lang w:eastAsia="en-US"/>
        </w:rPr>
        <w:t>.</w:t>
      </w:r>
    </w:p>
    <w:p w14:paraId="0BD0CF43" w14:textId="5164D0A7" w:rsidR="00EA727B" w:rsidRPr="00EA727B" w:rsidRDefault="00EA727B" w:rsidP="00EA727B">
      <w:pPr>
        <w:spacing w:after="360" w:line="360" w:lineRule="auto"/>
        <w:ind w:right="-159"/>
        <w:jc w:val="both"/>
        <w:rPr>
          <w:rFonts w:eastAsia="Calibri"/>
          <w:sz w:val="26"/>
          <w:szCs w:val="26"/>
          <w:lang w:eastAsia="en-US"/>
        </w:rPr>
      </w:pPr>
      <w:r w:rsidRPr="00EA727B">
        <w:rPr>
          <w:rFonts w:eastAsia="Calibri"/>
          <w:sz w:val="26"/>
          <w:szCs w:val="26"/>
          <w:lang w:eastAsia="en-US"/>
        </w:rPr>
        <w:t xml:space="preserve">El SAT </w:t>
      </w:r>
      <w:r>
        <w:rPr>
          <w:rFonts w:eastAsia="Calibri"/>
          <w:sz w:val="26"/>
          <w:szCs w:val="26"/>
          <w:lang w:eastAsia="en-US"/>
        </w:rPr>
        <w:t>dio a conocer</w:t>
      </w:r>
      <w:r w:rsidRPr="00EA727B">
        <w:rPr>
          <w:rFonts w:eastAsia="Calibri"/>
          <w:sz w:val="26"/>
          <w:szCs w:val="26"/>
          <w:lang w:eastAsia="en-US"/>
        </w:rPr>
        <w:t xml:space="preserve"> que este 1</w:t>
      </w:r>
      <w:r>
        <w:rPr>
          <w:rFonts w:eastAsia="Calibri"/>
          <w:sz w:val="26"/>
          <w:szCs w:val="26"/>
          <w:lang w:eastAsia="en-US"/>
        </w:rPr>
        <w:t xml:space="preserve">º </w:t>
      </w:r>
      <w:r w:rsidRPr="00EA727B">
        <w:rPr>
          <w:rFonts w:eastAsia="Calibri"/>
          <w:sz w:val="26"/>
          <w:szCs w:val="26"/>
          <w:lang w:eastAsia="en-US"/>
        </w:rPr>
        <w:t>de marzo se agregaron a la lista pública de incumplidos los datos de nuevos contribuyentes exceptuados de la reserva fiscal; así como de aquellos de los que se presume la inexistencia de las operaciones amparadas en sus comprobantes.</w:t>
      </w:r>
    </w:p>
    <w:p w14:paraId="64ABE6D9" w14:textId="4088A3EE" w:rsidR="00EA727B" w:rsidRPr="00EA727B" w:rsidRDefault="00EA727B" w:rsidP="00EA727B">
      <w:pPr>
        <w:spacing w:after="360" w:line="360" w:lineRule="auto"/>
        <w:ind w:right="-159"/>
        <w:jc w:val="both"/>
        <w:rPr>
          <w:rFonts w:eastAsia="Calibri"/>
          <w:sz w:val="26"/>
          <w:szCs w:val="26"/>
          <w:lang w:eastAsia="en-US"/>
        </w:rPr>
      </w:pPr>
      <w:r w:rsidRPr="00EA727B">
        <w:rPr>
          <w:rFonts w:eastAsia="Calibri"/>
          <w:sz w:val="26"/>
          <w:szCs w:val="26"/>
          <w:lang w:eastAsia="en-US"/>
        </w:rPr>
        <w:t xml:space="preserve">En esta actualización, se incluyen los datos —nombre, razón social y RFC— de </w:t>
      </w:r>
      <w:r>
        <w:rPr>
          <w:rFonts w:eastAsia="Calibri"/>
          <w:sz w:val="26"/>
          <w:szCs w:val="26"/>
          <w:lang w:eastAsia="en-US"/>
        </w:rPr>
        <w:t xml:space="preserve">                 </w:t>
      </w:r>
      <w:r w:rsidRPr="00EA727B">
        <w:rPr>
          <w:rFonts w:eastAsia="Calibri"/>
          <w:sz w:val="26"/>
          <w:szCs w:val="26"/>
          <w:lang w:eastAsia="en-US"/>
        </w:rPr>
        <w:t xml:space="preserve">7 mil 2 contribuyentes. De éstos, 799 corresponden a créditos firmes, 427 a créditos exigibles, 5 mil 687 a créditos cancelados, 87 a créditos condonados y </w:t>
      </w:r>
      <w:r w:rsidR="005B2CE5">
        <w:rPr>
          <w:rFonts w:eastAsia="Calibri"/>
          <w:sz w:val="26"/>
          <w:szCs w:val="26"/>
          <w:lang w:eastAsia="en-US"/>
        </w:rPr>
        <w:t>dos</w:t>
      </w:r>
      <w:r w:rsidRPr="00EA727B">
        <w:rPr>
          <w:rFonts w:eastAsia="Calibri"/>
          <w:sz w:val="26"/>
          <w:szCs w:val="26"/>
          <w:lang w:eastAsia="en-US"/>
        </w:rPr>
        <w:t xml:space="preserve"> a sentencias ejecutorias.</w:t>
      </w:r>
    </w:p>
    <w:p w14:paraId="31C404CD" w14:textId="1F231199" w:rsidR="00EA727B" w:rsidRPr="00EA727B" w:rsidRDefault="00EA727B" w:rsidP="00EA727B">
      <w:pPr>
        <w:spacing w:after="360" w:line="360" w:lineRule="auto"/>
        <w:ind w:right="-159"/>
        <w:jc w:val="both"/>
        <w:rPr>
          <w:rFonts w:eastAsia="Calibri"/>
          <w:sz w:val="26"/>
          <w:szCs w:val="26"/>
          <w:lang w:eastAsia="en-US"/>
        </w:rPr>
      </w:pPr>
      <w:r w:rsidRPr="00EA727B">
        <w:rPr>
          <w:rFonts w:eastAsia="Calibri"/>
          <w:sz w:val="26"/>
          <w:szCs w:val="26"/>
          <w:lang w:eastAsia="en-US"/>
        </w:rPr>
        <w:t>Respecto de los créditos condonados, se generó una recaudación de 212 millones de pesos y una condonación de 65 millones de pesos. La condonación se aplica sólo a las multas y se condiciona, en su caso, al pago de la contribución omitida.</w:t>
      </w:r>
    </w:p>
    <w:p w14:paraId="47F8EA83" w14:textId="77777777" w:rsidR="00EA727B" w:rsidRPr="00EA727B" w:rsidRDefault="00EA727B" w:rsidP="00EA727B">
      <w:pPr>
        <w:spacing w:after="360" w:line="360" w:lineRule="auto"/>
        <w:ind w:right="-159"/>
        <w:jc w:val="both"/>
        <w:rPr>
          <w:rFonts w:eastAsia="Calibri"/>
          <w:sz w:val="26"/>
          <w:szCs w:val="26"/>
          <w:lang w:eastAsia="en-US"/>
        </w:rPr>
      </w:pPr>
      <w:r w:rsidRPr="00EA727B">
        <w:rPr>
          <w:rFonts w:eastAsia="Calibri"/>
          <w:sz w:val="26"/>
          <w:szCs w:val="26"/>
          <w:lang w:eastAsia="en-US"/>
        </w:rPr>
        <w:t>Los contribuyentes que estén inconformes con la publicación de sus datos, en la misma aplicación donde se da a conocer la lista pueden generar su línea de captura para pagar o bien presentar la aclaración. El SAT resolverá la solicitud de aclaración en tres días hábiles y en caso de resultar procedente, se eliminarán los datos publicados.</w:t>
      </w:r>
    </w:p>
    <w:p w14:paraId="33498CB7" w14:textId="5505BCB9" w:rsidR="00EA727B" w:rsidRPr="00EA727B" w:rsidRDefault="00EA727B" w:rsidP="00EA727B">
      <w:pPr>
        <w:spacing w:after="360" w:line="360" w:lineRule="auto"/>
        <w:ind w:right="-159"/>
        <w:jc w:val="both"/>
        <w:rPr>
          <w:rFonts w:eastAsia="Calibri"/>
          <w:sz w:val="26"/>
          <w:szCs w:val="26"/>
          <w:lang w:eastAsia="en-US"/>
        </w:rPr>
      </w:pPr>
      <w:r w:rsidRPr="00EA727B">
        <w:rPr>
          <w:rFonts w:eastAsia="Calibri"/>
          <w:sz w:val="26"/>
          <w:szCs w:val="26"/>
          <w:lang w:eastAsia="en-US"/>
        </w:rPr>
        <w:t xml:space="preserve">Por otro lado, se publicaron los datos —nombre, razón social y RFC— de </w:t>
      </w:r>
      <w:r w:rsidR="005B2CE5">
        <w:rPr>
          <w:rFonts w:eastAsia="Calibri"/>
          <w:sz w:val="26"/>
          <w:szCs w:val="26"/>
          <w:lang w:eastAsia="en-US"/>
        </w:rPr>
        <w:t xml:space="preserve">                               </w:t>
      </w:r>
      <w:r w:rsidRPr="00EA727B">
        <w:rPr>
          <w:rFonts w:eastAsia="Calibri"/>
          <w:sz w:val="26"/>
          <w:szCs w:val="26"/>
          <w:lang w:eastAsia="en-US"/>
        </w:rPr>
        <w:t>20 contribuyentes que emitieron comprobantes fiscales cuyas operaciones se presumen inexistentes, quienes cuentan con 15 días hábiles para aclarar su situación.</w:t>
      </w:r>
    </w:p>
    <w:p w14:paraId="27A81C41" w14:textId="77777777" w:rsidR="00EA727B" w:rsidRPr="00EA727B" w:rsidRDefault="00EA727B" w:rsidP="00EA727B">
      <w:pPr>
        <w:spacing w:after="360" w:line="360" w:lineRule="auto"/>
        <w:ind w:right="-159"/>
        <w:jc w:val="both"/>
        <w:rPr>
          <w:rFonts w:eastAsia="Calibri"/>
          <w:sz w:val="26"/>
          <w:szCs w:val="26"/>
          <w:lang w:eastAsia="en-US"/>
        </w:rPr>
      </w:pPr>
      <w:r w:rsidRPr="00EA727B">
        <w:rPr>
          <w:rFonts w:eastAsia="Calibri"/>
          <w:sz w:val="26"/>
          <w:szCs w:val="26"/>
          <w:lang w:eastAsia="en-US"/>
        </w:rPr>
        <w:lastRenderedPageBreak/>
        <w:t>Con estas acciones, la Secretaría de Hacienda y Crédito Público mantiene su compromiso de proteger a los contribuyentes cumplidos y de orientar a la población en general para que cuente con información que le permita tomar mejores decisiones en la realización de sus actividades comerciales y mercantiles.</w:t>
      </w:r>
    </w:p>
    <w:p w14:paraId="77509FEF" w14:textId="77777777" w:rsidR="00EA727B" w:rsidRPr="00EA727B" w:rsidRDefault="00EA727B" w:rsidP="00EA727B">
      <w:pPr>
        <w:ind w:right="-159"/>
        <w:jc w:val="both"/>
        <w:rPr>
          <w:rFonts w:eastAsia="Calibri"/>
          <w:b/>
          <w:sz w:val="20"/>
          <w:szCs w:val="20"/>
          <w:lang w:eastAsia="en-US"/>
        </w:rPr>
      </w:pPr>
      <w:r w:rsidRPr="00EA727B">
        <w:rPr>
          <w:rFonts w:eastAsia="Calibri"/>
          <w:b/>
          <w:sz w:val="20"/>
          <w:szCs w:val="20"/>
          <w:lang w:eastAsia="en-US"/>
        </w:rPr>
        <w:t>Fuente de información:</w:t>
      </w:r>
    </w:p>
    <w:p w14:paraId="6B14881C" w14:textId="77777777" w:rsidR="00EA727B" w:rsidRPr="001B4DFF" w:rsidRDefault="0093224F" w:rsidP="00EA727B">
      <w:pPr>
        <w:ind w:right="-159"/>
        <w:jc w:val="both"/>
        <w:rPr>
          <w:rFonts w:eastAsia="Calibri"/>
          <w:color w:val="0000FF"/>
          <w:sz w:val="20"/>
          <w:szCs w:val="20"/>
          <w:lang w:eastAsia="en-US"/>
        </w:rPr>
      </w:pPr>
      <w:hyperlink r:id="rId296" w:history="1">
        <w:r w:rsidR="00EA727B" w:rsidRPr="001B4DFF">
          <w:rPr>
            <w:rFonts w:eastAsia="Calibri"/>
            <w:color w:val="0000FF"/>
            <w:sz w:val="20"/>
            <w:szCs w:val="20"/>
            <w:u w:val="single"/>
            <w:lang w:eastAsia="en-US"/>
          </w:rPr>
          <w:t>http://www.sat.gob.mx/sala_prensa/comunicados_nacionales/Paginas/com2015_026.aspx</w:t>
        </w:r>
      </w:hyperlink>
      <w:r w:rsidR="00EA727B" w:rsidRPr="001B4DFF">
        <w:rPr>
          <w:rFonts w:eastAsia="Calibri"/>
          <w:color w:val="0000FF"/>
          <w:sz w:val="20"/>
          <w:szCs w:val="20"/>
          <w:lang w:eastAsia="en-US"/>
        </w:rPr>
        <w:t xml:space="preserve"> </w:t>
      </w:r>
    </w:p>
    <w:p w14:paraId="0DB696C8" w14:textId="77777777" w:rsidR="00EA727B" w:rsidRPr="001B4DFF" w:rsidRDefault="0093224F" w:rsidP="001B4DFF">
      <w:pPr>
        <w:spacing w:after="720"/>
        <w:ind w:right="-159"/>
        <w:jc w:val="both"/>
        <w:rPr>
          <w:rFonts w:eastAsia="Calibri"/>
          <w:color w:val="0000FF"/>
          <w:sz w:val="20"/>
          <w:szCs w:val="20"/>
          <w:lang w:eastAsia="en-US"/>
        </w:rPr>
      </w:pPr>
      <w:hyperlink r:id="rId297" w:history="1">
        <w:r w:rsidR="00EA727B" w:rsidRPr="001B4DFF">
          <w:rPr>
            <w:rFonts w:eastAsia="Calibri"/>
            <w:color w:val="0000FF"/>
            <w:sz w:val="20"/>
            <w:szCs w:val="20"/>
            <w:u w:val="single"/>
            <w:lang w:eastAsia="en-US"/>
          </w:rPr>
          <w:t>http://imcp.org.mx/wp-content/uploads/2015/03/ANEXO-NOTICIAS-FISCALES-65.pdf</w:t>
        </w:r>
      </w:hyperlink>
      <w:r w:rsidR="00EA727B" w:rsidRPr="001B4DFF">
        <w:rPr>
          <w:rFonts w:eastAsia="Calibri"/>
          <w:color w:val="0000FF"/>
          <w:sz w:val="20"/>
          <w:szCs w:val="20"/>
          <w:lang w:eastAsia="en-US"/>
        </w:rPr>
        <w:t xml:space="preserve"> </w:t>
      </w:r>
    </w:p>
    <w:p w14:paraId="660D9CAE" w14:textId="77777777" w:rsidR="00CF7A19" w:rsidRPr="00CF7A19" w:rsidRDefault="00CF7A19" w:rsidP="00CF7A19">
      <w:pPr>
        <w:spacing w:after="360" w:line="360" w:lineRule="auto"/>
        <w:ind w:right="-159"/>
        <w:jc w:val="both"/>
        <w:rPr>
          <w:rFonts w:eastAsia="Calibri"/>
          <w:b/>
          <w:sz w:val="26"/>
          <w:szCs w:val="26"/>
          <w:lang w:eastAsia="en-US"/>
        </w:rPr>
      </w:pPr>
      <w:r w:rsidRPr="00CF7A19">
        <w:rPr>
          <w:rFonts w:eastAsia="Calibri"/>
          <w:b/>
          <w:bCs/>
          <w:sz w:val="26"/>
          <w:szCs w:val="26"/>
          <w:lang w:eastAsia="en-US"/>
        </w:rPr>
        <w:t>Celebran convenio de colaboración</w:t>
      </w:r>
      <w:r w:rsidRPr="00CF7A19">
        <w:rPr>
          <w:rFonts w:eastAsia="Calibri"/>
          <w:b/>
          <w:sz w:val="26"/>
          <w:szCs w:val="26"/>
          <w:lang w:eastAsia="en-US"/>
        </w:rPr>
        <w:t xml:space="preserve"> (SAT)</w:t>
      </w:r>
    </w:p>
    <w:p w14:paraId="3340AAF5" w14:textId="565EBD2D" w:rsidR="00CF7A19" w:rsidRPr="00CF7A19" w:rsidRDefault="00CF7A19" w:rsidP="00CF7A19">
      <w:pPr>
        <w:spacing w:after="360" w:line="360" w:lineRule="auto"/>
        <w:ind w:right="-159"/>
        <w:jc w:val="both"/>
        <w:rPr>
          <w:rFonts w:eastAsia="Calibri"/>
          <w:sz w:val="26"/>
          <w:szCs w:val="26"/>
          <w:lang w:eastAsia="en-US"/>
        </w:rPr>
      </w:pPr>
      <w:r w:rsidRPr="00CF7A19">
        <w:rPr>
          <w:rFonts w:eastAsia="Calibri"/>
          <w:sz w:val="26"/>
          <w:szCs w:val="26"/>
          <w:lang w:eastAsia="en-US"/>
        </w:rPr>
        <w:t>El 23 de febrero de 2015, la Secretaría de Hacienda y Crédito Público (SHCP), a través del Servicio de Administración Tributaria (SAT), en coordinación con el Instituto Nacional Electoral (INE) celebraron la firma de un convenio de colaboración cuyo objetivo es garantizar el óptimo y oportuno intercambio de información y documentación entre ambas instituciones para el cumplimiento de sus respectivas atribuciones.</w:t>
      </w:r>
    </w:p>
    <w:p w14:paraId="52EB5A7C" w14:textId="77777777" w:rsidR="00CF7A19" w:rsidRPr="00CF7A19" w:rsidRDefault="00CF7A19" w:rsidP="00CF7A19">
      <w:pPr>
        <w:spacing w:after="360" w:line="360" w:lineRule="auto"/>
        <w:ind w:right="-159"/>
        <w:jc w:val="both"/>
        <w:rPr>
          <w:rFonts w:eastAsia="Calibri"/>
          <w:sz w:val="26"/>
          <w:szCs w:val="26"/>
          <w:lang w:eastAsia="en-US"/>
        </w:rPr>
      </w:pPr>
      <w:r w:rsidRPr="00CF7A19">
        <w:rPr>
          <w:rFonts w:eastAsia="Calibri"/>
          <w:sz w:val="26"/>
          <w:szCs w:val="26"/>
          <w:lang w:eastAsia="en-US"/>
        </w:rPr>
        <w:t>En presencia del Jefe del SAT, de Consejeras y de Consejeros del INE, así como del Secretario Ejecutivo de dicho instituto, el Consejero Presidente del INE afirmó que las elecciones de 2015 serán las más fiscalizadas y transparentes de la historia democrática de México.</w:t>
      </w:r>
    </w:p>
    <w:p w14:paraId="29FB2CF3" w14:textId="77777777" w:rsidR="00CF7A19" w:rsidRPr="00CF7A19" w:rsidRDefault="00CF7A19" w:rsidP="00CF7A19">
      <w:pPr>
        <w:spacing w:after="360" w:line="360" w:lineRule="auto"/>
        <w:ind w:right="-159"/>
        <w:jc w:val="both"/>
        <w:rPr>
          <w:rFonts w:eastAsia="Calibri"/>
          <w:sz w:val="26"/>
          <w:szCs w:val="26"/>
          <w:lang w:eastAsia="en-US"/>
        </w:rPr>
      </w:pPr>
      <w:r w:rsidRPr="00CF7A19">
        <w:rPr>
          <w:rFonts w:eastAsia="Calibri"/>
          <w:sz w:val="26"/>
          <w:szCs w:val="26"/>
          <w:lang w:eastAsia="en-US"/>
        </w:rPr>
        <w:t>“Estamos trabajando con pies firmes y, este Convenio, es un importante mecanismo para avanzar y fortalecer en el mecanismo de rendición de cuentas, así como verificar la congruencia y veracidad de los reportes de operaciones”, aseveró.</w:t>
      </w:r>
    </w:p>
    <w:p w14:paraId="23F84151" w14:textId="77777777" w:rsidR="00CF7A19" w:rsidRPr="00CF7A19" w:rsidRDefault="00CF7A19" w:rsidP="00CF7A19">
      <w:pPr>
        <w:spacing w:after="360" w:line="360" w:lineRule="auto"/>
        <w:ind w:right="-159"/>
        <w:jc w:val="both"/>
        <w:rPr>
          <w:rFonts w:eastAsia="Calibri"/>
          <w:sz w:val="26"/>
          <w:szCs w:val="26"/>
          <w:lang w:eastAsia="en-US"/>
        </w:rPr>
      </w:pPr>
      <w:r w:rsidRPr="00CF7A19">
        <w:rPr>
          <w:rFonts w:eastAsia="Calibri"/>
          <w:sz w:val="26"/>
          <w:szCs w:val="26"/>
          <w:lang w:eastAsia="en-US"/>
        </w:rPr>
        <w:t xml:space="preserve">El Consejero Presidente del INE destacó que en el Padrón Nacional de Proveedores se tienen registrados 5 mil 871 proveedores, en poco más de 30 días que entró en funcionamiento, lo que contribuye a garantizar la equidad y la transparencia de los </w:t>
      </w:r>
      <w:r w:rsidRPr="00CF7A19">
        <w:rPr>
          <w:rFonts w:eastAsia="Calibri"/>
          <w:sz w:val="26"/>
          <w:szCs w:val="26"/>
          <w:lang w:eastAsia="en-US"/>
        </w:rPr>
        <w:lastRenderedPageBreak/>
        <w:t>comicios así como mayor verificación en la rendición de cuentas por parte del Estado mexicano.</w:t>
      </w:r>
    </w:p>
    <w:p w14:paraId="05EE8E81" w14:textId="77777777" w:rsidR="00CF7A19" w:rsidRPr="00CF7A19" w:rsidRDefault="00CF7A19" w:rsidP="00CF7A19">
      <w:pPr>
        <w:spacing w:after="360" w:line="360" w:lineRule="auto"/>
        <w:ind w:right="-159"/>
        <w:jc w:val="both"/>
        <w:rPr>
          <w:rFonts w:eastAsia="Calibri"/>
          <w:sz w:val="26"/>
          <w:szCs w:val="26"/>
          <w:lang w:eastAsia="en-US"/>
        </w:rPr>
      </w:pPr>
      <w:r w:rsidRPr="00CF7A19">
        <w:rPr>
          <w:rFonts w:eastAsia="Calibri"/>
          <w:sz w:val="26"/>
          <w:szCs w:val="26"/>
          <w:lang w:eastAsia="en-US"/>
        </w:rPr>
        <w:t>“Estoy convencido de que aunque la reforma electoral, dispuso un complejo Sistema Nacional de Elecciones y en particular un modelo de fiscalización innovador; la colaboración entre autoridades y la responsabilidad de los partidos políticos y candidatos, servirán para que las disposiciones legales cumplan sus propósito de estandarizar y fortalecer las contiendas, puntualizó.</w:t>
      </w:r>
    </w:p>
    <w:p w14:paraId="2BDDA8AE" w14:textId="0B8C4F0D" w:rsidR="00CF7A19" w:rsidRPr="00CF7A19" w:rsidRDefault="00CF7A19" w:rsidP="00CF7A19">
      <w:pPr>
        <w:spacing w:after="360" w:line="360" w:lineRule="auto"/>
        <w:ind w:right="-159"/>
        <w:jc w:val="both"/>
        <w:rPr>
          <w:rFonts w:eastAsia="Calibri"/>
          <w:sz w:val="26"/>
          <w:szCs w:val="26"/>
          <w:lang w:eastAsia="en-US"/>
        </w:rPr>
      </w:pPr>
      <w:r w:rsidRPr="00CF7A19">
        <w:rPr>
          <w:rFonts w:eastAsia="Calibri"/>
          <w:sz w:val="26"/>
          <w:szCs w:val="26"/>
          <w:lang w:eastAsia="en-US"/>
        </w:rPr>
        <w:t>Por su parte, el Consejero Presidente de la Comisión de Fiscalización del INE manifestó que con la firma del convenio se inicia una nueva etapa de colaboración entre ambas instituciones. El instrumento –dijo– permitirá al INE acceder vía web a la información del SAT para validar que los partidos y candidatos lleven a cabo operaciones con personas debidamente acreditadas en un lapso muy breve de tiempo.</w:t>
      </w:r>
    </w:p>
    <w:p w14:paraId="719CEF6D" w14:textId="77777777" w:rsidR="00CF7A19" w:rsidRPr="00CF7A19" w:rsidRDefault="00CF7A19" w:rsidP="00CF7A19">
      <w:pPr>
        <w:spacing w:after="360" w:line="360" w:lineRule="auto"/>
        <w:ind w:right="-159"/>
        <w:jc w:val="both"/>
        <w:rPr>
          <w:rFonts w:eastAsia="Calibri"/>
          <w:sz w:val="26"/>
          <w:szCs w:val="26"/>
          <w:lang w:eastAsia="en-US"/>
        </w:rPr>
      </w:pPr>
      <w:r w:rsidRPr="00CF7A19">
        <w:rPr>
          <w:rFonts w:eastAsia="Calibri"/>
          <w:sz w:val="26"/>
          <w:szCs w:val="26"/>
          <w:lang w:eastAsia="en-US"/>
        </w:rPr>
        <w:t>El Jefe del SAT aseveró que este Convenio tiene un objetivo muy claro: que las instituciones del Gobierno de la República puedan servir a los gobernados, particularmente a lo que ha sido un reclamo de la sociedad en los últimos días: llevar a cabo un gasto transparente, eficiente y sano en beneficio de la sociedad mexicana.</w:t>
      </w:r>
    </w:p>
    <w:p w14:paraId="2C9A2F18" w14:textId="77777777" w:rsidR="00CF7A19" w:rsidRPr="00CF7A19" w:rsidRDefault="00CF7A19" w:rsidP="00CF7A19">
      <w:pPr>
        <w:spacing w:after="360" w:line="360" w:lineRule="auto"/>
        <w:ind w:right="-159"/>
        <w:jc w:val="both"/>
        <w:rPr>
          <w:rFonts w:eastAsia="Calibri"/>
          <w:sz w:val="26"/>
          <w:szCs w:val="26"/>
          <w:lang w:eastAsia="en-US"/>
        </w:rPr>
      </w:pPr>
      <w:r w:rsidRPr="00CF7A19">
        <w:rPr>
          <w:rFonts w:eastAsia="Calibri"/>
          <w:sz w:val="26"/>
          <w:szCs w:val="26"/>
          <w:lang w:eastAsia="en-US"/>
        </w:rPr>
        <w:t>“El SAT otorgará de manera proactiva toda la información que requiera el Instituto Nacional Electoral a través de su Comisión de Fiscalización y de la Unidad Técnica de Fiscalización con el ánimo de que sepa de cada partido, de cada organización política, de cada candidato, qué hizo con los recursos otorgados en sus prerrogativas, en cada gasto y en cada ingreso que tengan a través de la facturación electrónica”, explicó.</w:t>
      </w:r>
    </w:p>
    <w:p w14:paraId="320D875B" w14:textId="77777777" w:rsidR="00CF7A19" w:rsidRPr="00CF7A19" w:rsidRDefault="00CF7A19" w:rsidP="00CF7A19">
      <w:pPr>
        <w:spacing w:after="360" w:line="360" w:lineRule="auto"/>
        <w:ind w:right="-159"/>
        <w:jc w:val="both"/>
        <w:rPr>
          <w:rFonts w:eastAsia="Calibri"/>
          <w:sz w:val="26"/>
          <w:szCs w:val="26"/>
          <w:lang w:eastAsia="en-US"/>
        </w:rPr>
      </w:pPr>
      <w:r w:rsidRPr="00CF7A19">
        <w:rPr>
          <w:rFonts w:eastAsia="Calibri"/>
          <w:sz w:val="26"/>
          <w:szCs w:val="26"/>
          <w:lang w:eastAsia="en-US"/>
        </w:rPr>
        <w:t>Por parte del SAT presenciaron la firma el Administrador de Evaluación, el Administrador General Jurídico y el Administrador General de Recaudación.</w:t>
      </w:r>
    </w:p>
    <w:p w14:paraId="4C0E8D84" w14:textId="77777777" w:rsidR="00CF7A19" w:rsidRPr="00CF7A19" w:rsidRDefault="00CF7A19" w:rsidP="00CF7A19">
      <w:pPr>
        <w:spacing w:after="360" w:line="360" w:lineRule="auto"/>
        <w:ind w:right="-159"/>
        <w:jc w:val="both"/>
        <w:rPr>
          <w:rFonts w:eastAsia="Calibri"/>
          <w:sz w:val="26"/>
          <w:szCs w:val="26"/>
          <w:lang w:eastAsia="en-US"/>
        </w:rPr>
      </w:pPr>
      <w:r w:rsidRPr="00CF7A19">
        <w:rPr>
          <w:rFonts w:eastAsia="Calibri"/>
          <w:sz w:val="26"/>
          <w:szCs w:val="26"/>
          <w:lang w:eastAsia="en-US"/>
        </w:rPr>
        <w:lastRenderedPageBreak/>
        <w:t>Este acuerdo permitirá intercambiar información sobre personas políticamente expuestas, origen de los recursos obtenidos por los partidos políticos, precandidatos, candidatos, aspirantes, candidatos independientes y demás obligados en materia de fiscalización y cobro de multas.</w:t>
      </w:r>
    </w:p>
    <w:p w14:paraId="6557EA86" w14:textId="77777777" w:rsidR="00CF7A19" w:rsidRPr="00CF7A19" w:rsidRDefault="00CF7A19" w:rsidP="00CF7A19">
      <w:pPr>
        <w:spacing w:after="360" w:line="360" w:lineRule="auto"/>
        <w:ind w:right="-159"/>
        <w:jc w:val="both"/>
        <w:rPr>
          <w:rFonts w:eastAsia="Calibri"/>
          <w:sz w:val="26"/>
          <w:szCs w:val="26"/>
          <w:lang w:eastAsia="en-US"/>
        </w:rPr>
      </w:pPr>
      <w:r w:rsidRPr="00CF7A19">
        <w:rPr>
          <w:rFonts w:eastAsia="Calibri"/>
          <w:sz w:val="26"/>
          <w:szCs w:val="26"/>
          <w:lang w:eastAsia="en-US"/>
        </w:rPr>
        <w:t>Entre otras cosas, el INE informará también al SAT sobre la lista de los proveedores que por el monto de las operaciones realizadas con los precandidatos o partidos políticos están obligados a inscribirse en el Registro Nacional de Proveedores.</w:t>
      </w:r>
    </w:p>
    <w:p w14:paraId="78CD1442" w14:textId="77777777" w:rsidR="00CF7A19" w:rsidRPr="00CF7A19" w:rsidRDefault="00CF7A19" w:rsidP="00CF7A19">
      <w:pPr>
        <w:ind w:right="-159"/>
        <w:jc w:val="both"/>
        <w:rPr>
          <w:rFonts w:eastAsia="Calibri"/>
          <w:b/>
          <w:sz w:val="20"/>
          <w:szCs w:val="20"/>
          <w:lang w:eastAsia="en-US"/>
        </w:rPr>
      </w:pPr>
      <w:r w:rsidRPr="00CF7A19">
        <w:rPr>
          <w:rFonts w:eastAsia="Calibri"/>
          <w:b/>
          <w:sz w:val="20"/>
          <w:szCs w:val="20"/>
          <w:lang w:eastAsia="en-US"/>
        </w:rPr>
        <w:t>Fuente de información:</w:t>
      </w:r>
    </w:p>
    <w:p w14:paraId="6E8F124C" w14:textId="77777777" w:rsidR="00CF7A19" w:rsidRPr="001B4DFF" w:rsidRDefault="0093224F" w:rsidP="001B4DFF">
      <w:pPr>
        <w:spacing w:after="720"/>
        <w:ind w:right="-159"/>
        <w:jc w:val="both"/>
        <w:rPr>
          <w:rFonts w:eastAsia="Calibri"/>
          <w:color w:val="0000FF"/>
          <w:sz w:val="20"/>
          <w:szCs w:val="20"/>
          <w:lang w:eastAsia="en-US"/>
        </w:rPr>
      </w:pPr>
      <w:hyperlink r:id="rId298" w:history="1">
        <w:r w:rsidR="00CF7A19" w:rsidRPr="001B4DFF">
          <w:rPr>
            <w:rFonts w:eastAsia="Calibri"/>
            <w:color w:val="0000FF"/>
            <w:sz w:val="20"/>
            <w:szCs w:val="20"/>
            <w:u w:val="single"/>
            <w:lang w:eastAsia="en-US"/>
          </w:rPr>
          <w:t>http://www.sat.gob.mx/sala_prensa/comunicados_nacionales/Paginas/com2015_022.aspx</w:t>
        </w:r>
      </w:hyperlink>
      <w:r w:rsidR="00CF7A19" w:rsidRPr="001B4DFF">
        <w:rPr>
          <w:rFonts w:eastAsia="Calibri"/>
          <w:color w:val="0000FF"/>
          <w:sz w:val="20"/>
          <w:szCs w:val="20"/>
          <w:lang w:eastAsia="en-US"/>
        </w:rPr>
        <w:t xml:space="preserve"> </w:t>
      </w:r>
    </w:p>
    <w:p w14:paraId="271D03C7" w14:textId="77777777" w:rsidR="005E2641" w:rsidRPr="005E2641" w:rsidRDefault="005E2641" w:rsidP="005E2641">
      <w:pPr>
        <w:rPr>
          <w:rFonts w:eastAsia="Calibri"/>
          <w:b/>
          <w:sz w:val="26"/>
          <w:szCs w:val="26"/>
          <w:lang w:eastAsia="en-US"/>
        </w:rPr>
      </w:pPr>
      <w:r w:rsidRPr="005E2641">
        <w:rPr>
          <w:rFonts w:eastAsia="Calibri"/>
          <w:b/>
          <w:sz w:val="26"/>
          <w:szCs w:val="26"/>
          <w:lang w:eastAsia="en-US"/>
        </w:rPr>
        <w:t>Reducción  del   ISR  para  contribuyentes</w:t>
      </w:r>
    </w:p>
    <w:p w14:paraId="1F26ABE8" w14:textId="2D79DEA3" w:rsidR="005E2641" w:rsidRPr="005E2641" w:rsidRDefault="005E2641" w:rsidP="005E2641">
      <w:pPr>
        <w:rPr>
          <w:rFonts w:eastAsia="Calibri"/>
          <w:b/>
          <w:sz w:val="26"/>
          <w:szCs w:val="26"/>
          <w:lang w:eastAsia="en-US"/>
        </w:rPr>
      </w:pPr>
      <w:r w:rsidRPr="005E2641">
        <w:rPr>
          <w:rFonts w:eastAsia="Calibri"/>
          <w:b/>
          <w:sz w:val="26"/>
          <w:szCs w:val="26"/>
          <w:lang w:eastAsia="en-US"/>
        </w:rPr>
        <w:t>dedicados a realizar</w:t>
      </w:r>
      <w:r w:rsidR="00574AB5">
        <w:rPr>
          <w:rFonts w:eastAsia="Calibri"/>
          <w:b/>
          <w:sz w:val="26"/>
          <w:szCs w:val="26"/>
          <w:lang w:eastAsia="en-US"/>
        </w:rPr>
        <w:t xml:space="preserve"> </w:t>
      </w:r>
      <w:r w:rsidRPr="005E2641">
        <w:rPr>
          <w:rFonts w:eastAsia="Calibri"/>
          <w:b/>
          <w:sz w:val="26"/>
          <w:szCs w:val="26"/>
          <w:lang w:eastAsia="en-US"/>
        </w:rPr>
        <w:t xml:space="preserve"> actividades del sector</w:t>
      </w:r>
    </w:p>
    <w:p w14:paraId="299DA91E" w14:textId="77777777" w:rsidR="005E2641" w:rsidRPr="005E2641" w:rsidRDefault="005E2641" w:rsidP="005E2641">
      <w:pPr>
        <w:spacing w:after="360" w:line="360" w:lineRule="auto"/>
        <w:ind w:right="-159"/>
        <w:jc w:val="both"/>
        <w:rPr>
          <w:rFonts w:eastAsia="Calibri"/>
          <w:b/>
          <w:sz w:val="26"/>
          <w:szCs w:val="26"/>
          <w:lang w:eastAsia="en-US"/>
        </w:rPr>
      </w:pPr>
      <w:r w:rsidRPr="005E2641">
        <w:rPr>
          <w:rFonts w:eastAsia="Calibri"/>
          <w:b/>
          <w:sz w:val="26"/>
          <w:szCs w:val="26"/>
          <w:lang w:eastAsia="en-US"/>
        </w:rPr>
        <w:t>primario (IMCP)</w:t>
      </w:r>
    </w:p>
    <w:p w14:paraId="206DA277" w14:textId="38456639" w:rsidR="005E2641" w:rsidRPr="005E2641" w:rsidRDefault="005E2641" w:rsidP="005E2641">
      <w:pPr>
        <w:spacing w:after="360" w:line="360" w:lineRule="auto"/>
        <w:ind w:right="-159"/>
        <w:jc w:val="both"/>
        <w:rPr>
          <w:rFonts w:eastAsia="Calibri"/>
          <w:sz w:val="26"/>
          <w:szCs w:val="26"/>
          <w:lang w:eastAsia="en-US"/>
        </w:rPr>
      </w:pPr>
      <w:r w:rsidRPr="005E2641">
        <w:rPr>
          <w:rFonts w:eastAsia="Calibri"/>
          <w:sz w:val="26"/>
          <w:szCs w:val="26"/>
          <w:lang w:eastAsia="en-US"/>
        </w:rPr>
        <w:t xml:space="preserve">El 20 de febrero de 2015, el Instituto Mexicano de Contadores Públicos (IMCP) puso a disposición de los interesados el número 4 de su revista </w:t>
      </w:r>
      <w:r w:rsidR="0051422E">
        <w:rPr>
          <w:rFonts w:eastAsia="Calibri"/>
          <w:sz w:val="26"/>
          <w:szCs w:val="26"/>
          <w:lang w:eastAsia="en-US"/>
        </w:rPr>
        <w:t>“</w:t>
      </w:r>
      <w:r w:rsidRPr="005E2641">
        <w:rPr>
          <w:rFonts w:eastAsia="Calibri"/>
          <w:sz w:val="26"/>
          <w:szCs w:val="26"/>
          <w:lang w:eastAsia="en-US"/>
        </w:rPr>
        <w:t>Fiscoactualidades</w:t>
      </w:r>
      <w:r w:rsidR="0051422E">
        <w:rPr>
          <w:rFonts w:eastAsia="Calibri"/>
          <w:sz w:val="26"/>
          <w:szCs w:val="26"/>
          <w:lang w:eastAsia="en-US"/>
        </w:rPr>
        <w:t>”</w:t>
      </w:r>
      <w:r w:rsidRPr="005E2641">
        <w:rPr>
          <w:rFonts w:eastAsia="Calibri"/>
          <w:sz w:val="26"/>
          <w:szCs w:val="26"/>
          <w:lang w:eastAsia="en-US"/>
        </w:rPr>
        <w:t>, correspondiente a febrero del presente año. En dicho número, el C.P.C. José Luis Gallegos Barraza, integrante de la Comisión Fiscal del IMCP, realizó un análisis referente a la “Reducción del ISR para contribuyentes dedicados a realizar actividades del sector primario”. A continuación se presentan los detalles.</w:t>
      </w:r>
    </w:p>
    <w:p w14:paraId="28FE7C69" w14:textId="77777777" w:rsidR="005E2641" w:rsidRPr="005E2641" w:rsidRDefault="005E2641" w:rsidP="0051422E">
      <w:pPr>
        <w:spacing w:after="360"/>
        <w:ind w:right="-159"/>
        <w:jc w:val="both"/>
        <w:rPr>
          <w:rFonts w:eastAsia="Calibri"/>
          <w:b/>
          <w:sz w:val="26"/>
          <w:szCs w:val="26"/>
          <w:lang w:eastAsia="en-US"/>
        </w:rPr>
      </w:pPr>
      <w:r w:rsidRPr="005E2641">
        <w:rPr>
          <w:rFonts w:eastAsia="Calibri"/>
          <w:b/>
          <w:sz w:val="26"/>
          <w:szCs w:val="26"/>
          <w:lang w:eastAsia="en-US"/>
        </w:rPr>
        <w:t>Reducción del ISR para contribuyentes dedicados a realizar actividades del sector primario</w:t>
      </w:r>
    </w:p>
    <w:p w14:paraId="45F77F11" w14:textId="77777777" w:rsidR="005E2641" w:rsidRPr="005E2641" w:rsidRDefault="005E2641" w:rsidP="005E2641">
      <w:pPr>
        <w:spacing w:after="360" w:line="360" w:lineRule="auto"/>
        <w:ind w:right="-159"/>
        <w:jc w:val="both"/>
        <w:rPr>
          <w:rFonts w:eastAsia="Calibri"/>
          <w:b/>
          <w:sz w:val="26"/>
          <w:szCs w:val="26"/>
          <w:lang w:eastAsia="en-US"/>
        </w:rPr>
      </w:pPr>
      <w:r w:rsidRPr="005E2641">
        <w:rPr>
          <w:rFonts w:eastAsia="Calibri"/>
          <w:b/>
          <w:sz w:val="26"/>
          <w:szCs w:val="26"/>
          <w:lang w:eastAsia="en-US"/>
        </w:rPr>
        <w:t>Introducción</w:t>
      </w:r>
    </w:p>
    <w:p w14:paraId="42D28E7C" w14:textId="77777777" w:rsidR="005E2641" w:rsidRPr="005E2641" w:rsidRDefault="005E2641" w:rsidP="005E2641">
      <w:pPr>
        <w:spacing w:after="360" w:line="360" w:lineRule="auto"/>
        <w:ind w:right="-159"/>
        <w:jc w:val="both"/>
        <w:rPr>
          <w:rFonts w:eastAsia="Calibri"/>
          <w:sz w:val="26"/>
          <w:szCs w:val="26"/>
          <w:lang w:eastAsia="en-US"/>
        </w:rPr>
      </w:pPr>
      <w:r w:rsidRPr="005E2641">
        <w:rPr>
          <w:rFonts w:eastAsia="Calibri"/>
          <w:sz w:val="26"/>
          <w:szCs w:val="26"/>
          <w:lang w:eastAsia="en-US"/>
        </w:rPr>
        <w:t xml:space="preserve">Quienes se dedican a la realización de actividades de agricultura, ganadería, pesca y silvicultura desde hace, por lo menos, 30 años han tenido, en materia de Impuesto Sobre la Renta (ISR), regímenes fiscales que les han permitido tratamientos diferenciados o especiales respecto de quienes se dedican a la realización de otras actividades. Entre </w:t>
      </w:r>
      <w:r w:rsidRPr="005E2641">
        <w:rPr>
          <w:rFonts w:eastAsia="Calibri"/>
          <w:sz w:val="26"/>
          <w:szCs w:val="26"/>
          <w:lang w:eastAsia="en-US"/>
        </w:rPr>
        <w:lastRenderedPageBreak/>
        <w:t>estos regímenes es factible citar los siguientes: bases especiales de tributación, régimen simplificado de entradas y salidas (hasta 2001), régimen simplificado de flujo de efectivo (2002 a 2013); sin embargo, a partir de 2014 existe un nuevo régimen que también implica flujo de efectivo, pero que tiene beneficios acotados respecto del que existió hasta 2013.</w:t>
      </w:r>
    </w:p>
    <w:p w14:paraId="22B106B0" w14:textId="77777777" w:rsidR="005E2641" w:rsidRPr="005E2641" w:rsidRDefault="005E2641" w:rsidP="005E2641">
      <w:pPr>
        <w:spacing w:after="360" w:line="360" w:lineRule="auto"/>
        <w:ind w:right="-159"/>
        <w:jc w:val="both"/>
        <w:rPr>
          <w:rFonts w:eastAsia="Calibri"/>
          <w:sz w:val="26"/>
          <w:szCs w:val="26"/>
          <w:lang w:eastAsia="en-US"/>
        </w:rPr>
      </w:pPr>
      <w:r w:rsidRPr="005E2641">
        <w:rPr>
          <w:rFonts w:eastAsia="Calibri"/>
          <w:sz w:val="26"/>
          <w:szCs w:val="26"/>
          <w:lang w:eastAsia="en-US"/>
        </w:rPr>
        <w:t>Es de entenderse que estos tratamientos especiales tienen su origen en las siguientes razones: a) La importancia que reviste para el país la autosuficiencia alimentaria, es decir, que el país produzca lo que consume su población (aunque en México este objetivo no se ha logrado), y b) las características particulares de operación de este sector, en donde existe muy poca capacidad y estructura administrativa para cumplir con regulaciones fiscales complejas como las que hay en México.</w:t>
      </w:r>
    </w:p>
    <w:p w14:paraId="7C5A4708" w14:textId="77777777" w:rsidR="005E2641" w:rsidRPr="005E2641" w:rsidRDefault="005E2641" w:rsidP="005E2641">
      <w:pPr>
        <w:spacing w:after="360" w:line="360" w:lineRule="auto"/>
        <w:ind w:right="-159"/>
        <w:jc w:val="both"/>
        <w:rPr>
          <w:rFonts w:eastAsia="Calibri"/>
          <w:sz w:val="26"/>
          <w:szCs w:val="26"/>
          <w:lang w:eastAsia="en-US"/>
        </w:rPr>
      </w:pPr>
      <w:r w:rsidRPr="005E2641">
        <w:rPr>
          <w:rFonts w:eastAsia="Calibri"/>
          <w:sz w:val="26"/>
          <w:szCs w:val="26"/>
          <w:lang w:eastAsia="en-US"/>
        </w:rPr>
        <w:t>Entre los tratamientos diferenciados o beneficios se destacan, entre otros, los siguientes: a) determinación de ingresos acumulables y deducciones autorizadas en base a flujo de efectivo, b) exención de ingresos hasta ciertos montos, c) la posibilidad de deducir las adquisiciones de inventarios en lugar de aplicar disposiciones de costo de lo vendido, d) reducción del ISR que causen, y e) facilidades de comprobación para ciertos conceptos de erogaciones.</w:t>
      </w:r>
    </w:p>
    <w:p w14:paraId="2E63E77B" w14:textId="77777777" w:rsidR="005E2641" w:rsidRPr="005E2641" w:rsidRDefault="005E2641" w:rsidP="005E2641">
      <w:pPr>
        <w:spacing w:after="360" w:line="360" w:lineRule="auto"/>
        <w:ind w:right="-159"/>
        <w:jc w:val="both"/>
        <w:rPr>
          <w:rFonts w:eastAsia="Calibri"/>
          <w:sz w:val="26"/>
          <w:szCs w:val="26"/>
          <w:lang w:eastAsia="en-US"/>
        </w:rPr>
      </w:pPr>
      <w:r w:rsidRPr="005E2641">
        <w:rPr>
          <w:rFonts w:eastAsia="Calibri"/>
          <w:sz w:val="26"/>
          <w:szCs w:val="26"/>
          <w:lang w:eastAsia="en-US"/>
        </w:rPr>
        <w:t>A partir de 2014, la reducción del ISR para este sector de contribuyentes tuvo modificaciones importantes. De los efectos de estas modificaciones me ocuparé en el presente documento, en cual se analizará solo los aspectos relativos a la reducción del ISR y no se abordarán los aspectos relativos a exención de ingresos a que tienen derecho estos contribuyentes.</w:t>
      </w:r>
    </w:p>
    <w:p w14:paraId="49B430FA" w14:textId="77777777" w:rsidR="005E2641" w:rsidRDefault="005E2641" w:rsidP="005E2641">
      <w:pPr>
        <w:spacing w:after="360" w:line="360" w:lineRule="auto"/>
        <w:ind w:right="-159"/>
        <w:jc w:val="both"/>
        <w:rPr>
          <w:rFonts w:eastAsia="Calibri"/>
          <w:sz w:val="26"/>
          <w:szCs w:val="26"/>
          <w:lang w:eastAsia="en-US"/>
        </w:rPr>
      </w:pPr>
      <w:r w:rsidRPr="005E2641">
        <w:rPr>
          <w:rFonts w:eastAsia="Calibri"/>
          <w:sz w:val="26"/>
          <w:szCs w:val="26"/>
          <w:lang w:eastAsia="en-US"/>
        </w:rPr>
        <w:t>Para efectos del presente artículo, la referencia a los contribuyentes dedicados a actividades agrícolas, ganaderas, silvícolas o pesqueras se hará indistintamente como “sector primario” o “AGAPES”.</w:t>
      </w:r>
    </w:p>
    <w:p w14:paraId="20C7B1C0" w14:textId="77777777" w:rsidR="005E2641" w:rsidRPr="005E2641" w:rsidRDefault="005E2641" w:rsidP="0051422E">
      <w:pPr>
        <w:spacing w:after="360"/>
        <w:ind w:right="-159"/>
        <w:jc w:val="both"/>
        <w:rPr>
          <w:rFonts w:eastAsia="Calibri"/>
          <w:b/>
          <w:sz w:val="26"/>
          <w:szCs w:val="26"/>
          <w:lang w:eastAsia="en-US"/>
        </w:rPr>
      </w:pPr>
      <w:r w:rsidRPr="005E2641">
        <w:rPr>
          <w:rFonts w:eastAsia="Calibri"/>
          <w:b/>
          <w:sz w:val="26"/>
          <w:szCs w:val="26"/>
          <w:lang w:eastAsia="en-US"/>
        </w:rPr>
        <w:lastRenderedPageBreak/>
        <w:t>Definición de contribuyentes y parámetros a los que les es aplicable la reducción del ISR</w:t>
      </w:r>
    </w:p>
    <w:p w14:paraId="27FADECE" w14:textId="77777777" w:rsidR="005E2641" w:rsidRPr="005E2641" w:rsidRDefault="005E2641" w:rsidP="005E2641">
      <w:pPr>
        <w:spacing w:after="360" w:line="360" w:lineRule="auto"/>
        <w:ind w:right="-159"/>
        <w:jc w:val="both"/>
        <w:rPr>
          <w:rFonts w:eastAsia="Calibri"/>
          <w:sz w:val="26"/>
          <w:szCs w:val="26"/>
          <w:lang w:eastAsia="en-US"/>
        </w:rPr>
      </w:pPr>
      <w:r w:rsidRPr="005E2641">
        <w:rPr>
          <w:rFonts w:eastAsia="Calibri"/>
          <w:sz w:val="26"/>
          <w:szCs w:val="26"/>
          <w:lang w:eastAsia="en-US"/>
        </w:rPr>
        <w:t>A partir del 1 de enero de 2014, para efectos de la reducción del ISR, los contribuyentes del sector primario determinan el importe de la reducción en función de diferentes parámetros o niveles de ingresos acumulables que obtengan. Los contribuyentes y los parámetros de ingresos son los siguientes:</w:t>
      </w:r>
    </w:p>
    <w:p w14:paraId="5E424652" w14:textId="7F8DF70C" w:rsidR="005E2641" w:rsidRPr="005E2641" w:rsidRDefault="005E2641" w:rsidP="00276F3E">
      <w:pPr>
        <w:numPr>
          <w:ilvl w:val="0"/>
          <w:numId w:val="56"/>
        </w:numPr>
        <w:spacing w:after="360" w:line="360" w:lineRule="auto"/>
        <w:ind w:left="357" w:right="-159" w:hanging="357"/>
        <w:jc w:val="both"/>
        <w:rPr>
          <w:rFonts w:eastAsia="Calibri"/>
          <w:sz w:val="26"/>
          <w:szCs w:val="26"/>
          <w:lang w:eastAsia="en-US"/>
        </w:rPr>
      </w:pPr>
      <w:r w:rsidRPr="005E2641">
        <w:rPr>
          <w:rFonts w:eastAsia="Calibri"/>
          <w:sz w:val="26"/>
          <w:szCs w:val="26"/>
          <w:lang w:eastAsia="en-US"/>
        </w:rPr>
        <w:t xml:space="preserve">Personas morales con ingresos que no excedan de 20 salarios </w:t>
      </w:r>
      <w:r w:rsidR="00CB7BE4">
        <w:rPr>
          <w:rFonts w:eastAsia="Calibri"/>
          <w:sz w:val="26"/>
          <w:szCs w:val="26"/>
          <w:lang w:eastAsia="en-US"/>
        </w:rPr>
        <w:t xml:space="preserve">mínimos </w:t>
      </w:r>
      <w:r w:rsidRPr="005E2641">
        <w:rPr>
          <w:rFonts w:eastAsia="Calibri"/>
          <w:sz w:val="26"/>
          <w:szCs w:val="26"/>
          <w:lang w:eastAsia="en-US"/>
        </w:rPr>
        <w:t>generales de la zona económica de que se trate elevados al año (SMGA) por socio, sin exceder en su totalidad de 200 SMGDF; personas físicas con ingresos que no excedan de 40 SMGA. Para ambos grupos de contribuyentes, la totalidad de los ingresos son exentos y, en consecuencia, no existe ISR que causen por la obtención de los mismos. Lo anterior se encuentra regulado en el décimo primer párrafo del artículo 74 de la Ley del Impuesto sobre la Renta (LISR).</w:t>
      </w:r>
    </w:p>
    <w:p w14:paraId="2F90AE8D" w14:textId="77777777" w:rsidR="005E2641" w:rsidRPr="005E2641" w:rsidRDefault="005E2641" w:rsidP="00276F3E">
      <w:pPr>
        <w:numPr>
          <w:ilvl w:val="0"/>
          <w:numId w:val="56"/>
        </w:numPr>
        <w:spacing w:after="360" w:line="360" w:lineRule="auto"/>
        <w:ind w:left="357" w:right="-159" w:hanging="357"/>
        <w:jc w:val="both"/>
        <w:rPr>
          <w:rFonts w:eastAsia="Calibri"/>
          <w:sz w:val="26"/>
          <w:szCs w:val="26"/>
          <w:lang w:eastAsia="en-US"/>
        </w:rPr>
      </w:pPr>
      <w:r w:rsidRPr="005E2641">
        <w:rPr>
          <w:rFonts w:eastAsia="Calibri"/>
          <w:sz w:val="26"/>
          <w:szCs w:val="26"/>
          <w:lang w:eastAsia="en-US"/>
        </w:rPr>
        <w:t>Personas físicas con ingresos que excedan de 40 SMGA y personas morales cuyos ingresos excedan de 20 SMGA por socio, pero que, en ambos casos (personas físicas y morales), sus ingresos sean inferiores a 423 SMGA, la reducción del impuesto será de 40% para personas físicas y de 30% para personas morales. Lo anterior, de conformidad con el décimo segundo párrafo del artículo 74 de la LISR.</w:t>
      </w:r>
    </w:p>
    <w:p w14:paraId="5C852D3D" w14:textId="77777777" w:rsidR="005E2641" w:rsidRPr="005E2641" w:rsidRDefault="005E2641" w:rsidP="005E2641">
      <w:pPr>
        <w:spacing w:after="360" w:line="360" w:lineRule="auto"/>
        <w:ind w:right="-159"/>
        <w:jc w:val="both"/>
        <w:rPr>
          <w:rFonts w:eastAsia="Calibri"/>
          <w:sz w:val="26"/>
          <w:szCs w:val="26"/>
          <w:lang w:eastAsia="en-US"/>
        </w:rPr>
      </w:pPr>
      <w:r w:rsidRPr="005E2641">
        <w:rPr>
          <w:rFonts w:eastAsia="Calibri"/>
          <w:sz w:val="26"/>
          <w:szCs w:val="26"/>
          <w:lang w:eastAsia="en-US"/>
        </w:rPr>
        <w:t>Por lo que se refiere a este grupo de contribuyentes, es conveniente destacar que, tratándose de personas morales que no sean sociedades o asociaciones de productores (que comentaré más adelante) no se señala en la LISR que el tope máximo total sea de 4 mil 230 SMGA (que sería la cifra equivalente a 10 socios), sino 423 SMGA para dicha persona moral, independientemente del número de socios que esta tenga. Lo anterior es reiterado mediante la Resolución Miscelánea Fiscal para 2015 (RMF 2015), concretamente en la regla 3.8.1 que en su primer párrafo textualmente señala:</w:t>
      </w:r>
    </w:p>
    <w:p w14:paraId="7C256B14" w14:textId="06DDDFD3" w:rsidR="005E2641" w:rsidRPr="005E2641" w:rsidRDefault="005E2641" w:rsidP="005E2641">
      <w:pPr>
        <w:spacing w:after="360" w:line="360" w:lineRule="auto"/>
        <w:ind w:right="-159"/>
        <w:jc w:val="both"/>
        <w:rPr>
          <w:rFonts w:eastAsia="Calibri"/>
          <w:sz w:val="26"/>
          <w:szCs w:val="26"/>
          <w:lang w:eastAsia="en-US"/>
        </w:rPr>
      </w:pPr>
      <w:r w:rsidRPr="005E2641">
        <w:rPr>
          <w:rFonts w:eastAsia="Calibri"/>
          <w:sz w:val="26"/>
          <w:szCs w:val="26"/>
          <w:lang w:eastAsia="en-US"/>
        </w:rPr>
        <w:lastRenderedPageBreak/>
        <w:t xml:space="preserve">“Para los efectos del artículo 74, décimo segundo y décimo cuarto párrafos de la Ley del ISR, las personas morales que se dediquen exclusivamente a las actividades agrícolas, ganaderas, silvícolas o pesqueras, cuyos ingresos en el ejercicio rebasen los montos señalados en el décimo segundo párrafo del artículo 74 de la Ley del ISR, para determinar la reducción del ISR y determinar el ISR por el excedente a 423 </w:t>
      </w:r>
      <w:r w:rsidR="0051422E">
        <w:rPr>
          <w:rFonts w:eastAsia="Calibri"/>
          <w:sz w:val="26"/>
          <w:szCs w:val="26"/>
          <w:lang w:eastAsia="en-US"/>
        </w:rPr>
        <w:t>veces el salario mínimo (</w:t>
      </w:r>
      <w:r w:rsidRPr="005E2641">
        <w:rPr>
          <w:rFonts w:eastAsia="Calibri"/>
          <w:sz w:val="26"/>
          <w:szCs w:val="26"/>
          <w:lang w:eastAsia="en-US"/>
        </w:rPr>
        <w:t>VSM</w:t>
      </w:r>
      <w:r w:rsidR="0051422E">
        <w:rPr>
          <w:rFonts w:eastAsia="Calibri"/>
          <w:sz w:val="26"/>
          <w:szCs w:val="26"/>
          <w:lang w:eastAsia="en-US"/>
        </w:rPr>
        <w:t>)</w:t>
      </w:r>
      <w:r w:rsidRPr="005E2641">
        <w:rPr>
          <w:rFonts w:eastAsia="Calibri"/>
          <w:sz w:val="26"/>
          <w:szCs w:val="26"/>
          <w:lang w:eastAsia="en-US"/>
        </w:rPr>
        <w:t xml:space="preserve"> general del área geográfica del contribuyente elevado al año, aplicarán el procedimiento siguiente [ …]”</w:t>
      </w:r>
    </w:p>
    <w:p w14:paraId="4289CA03" w14:textId="77777777" w:rsidR="005E2641" w:rsidRPr="005E2641" w:rsidRDefault="005E2641" w:rsidP="005E2641">
      <w:pPr>
        <w:spacing w:after="360" w:line="360" w:lineRule="auto"/>
        <w:ind w:right="-159"/>
        <w:jc w:val="both"/>
        <w:rPr>
          <w:rFonts w:eastAsia="Calibri"/>
          <w:sz w:val="26"/>
          <w:szCs w:val="26"/>
          <w:lang w:eastAsia="en-US"/>
        </w:rPr>
      </w:pPr>
      <w:r w:rsidRPr="005E2641">
        <w:rPr>
          <w:rFonts w:eastAsia="Calibri"/>
          <w:sz w:val="26"/>
          <w:szCs w:val="26"/>
          <w:lang w:eastAsia="en-US"/>
        </w:rPr>
        <w:t>Esta regla contiene algunas fórmulas cuyas variables se encuentran definidas en la misma, en donde en una de ellas denominada “IAR” con claridad también se señala lo aquí comentado:</w:t>
      </w:r>
    </w:p>
    <w:p w14:paraId="3B17B6B9" w14:textId="77777777" w:rsidR="005E2641" w:rsidRPr="005E2641" w:rsidRDefault="005E2641" w:rsidP="005E2641">
      <w:pPr>
        <w:spacing w:after="360" w:line="360" w:lineRule="auto"/>
        <w:ind w:right="-159"/>
        <w:jc w:val="both"/>
        <w:rPr>
          <w:rFonts w:eastAsia="Calibri"/>
          <w:sz w:val="26"/>
          <w:szCs w:val="26"/>
          <w:lang w:eastAsia="en-US"/>
        </w:rPr>
      </w:pPr>
      <w:r w:rsidRPr="005E2641">
        <w:rPr>
          <w:rFonts w:eastAsia="Calibri"/>
          <w:sz w:val="26"/>
          <w:szCs w:val="26"/>
          <w:lang w:eastAsia="en-US"/>
        </w:rPr>
        <w:t>“IAR: Ingresos del contribuyente hasta por los cuales se aplica la reducción del ISR sin exceder de 423 VSM del área geográfica del contribuyente elevado al año.”</w:t>
      </w:r>
    </w:p>
    <w:p w14:paraId="17C9A4B0" w14:textId="77777777" w:rsidR="005E2641" w:rsidRPr="005E2641" w:rsidRDefault="005E2641" w:rsidP="005E2641">
      <w:pPr>
        <w:spacing w:after="360" w:line="360" w:lineRule="auto"/>
        <w:ind w:right="-159"/>
        <w:jc w:val="both"/>
        <w:rPr>
          <w:rFonts w:eastAsia="Calibri"/>
          <w:sz w:val="26"/>
          <w:szCs w:val="26"/>
          <w:lang w:eastAsia="en-US"/>
        </w:rPr>
      </w:pPr>
      <w:r w:rsidRPr="005E2641">
        <w:rPr>
          <w:rFonts w:eastAsia="Calibri"/>
          <w:sz w:val="26"/>
          <w:szCs w:val="26"/>
          <w:lang w:eastAsia="en-US"/>
        </w:rPr>
        <w:t>De conformidad con este análisis, resulta claro que tratándose de personas morales que no sean sociedades de productores, respecto del ISR correspondiente a ingresos que excedan de 423 SMGA no existe reducción alguna; lo anterior, independientemente del número de socios que esta tenga. No obstante, cabe efectuar el comentario de que si la persona moral es una sociedad o asociación de productores, este monto de ingresos por los que aplica reducción de ISR sería aumentado en forma importante de conformidad con lo que comento en el siguiente inciso.</w:t>
      </w:r>
    </w:p>
    <w:p w14:paraId="2DBFA05F" w14:textId="5E99E822" w:rsidR="005E2641" w:rsidRPr="005E2641" w:rsidRDefault="005E2641" w:rsidP="00276F3E">
      <w:pPr>
        <w:numPr>
          <w:ilvl w:val="0"/>
          <w:numId w:val="56"/>
        </w:numPr>
        <w:spacing w:after="360" w:line="360" w:lineRule="auto"/>
        <w:ind w:left="357" w:right="-159" w:hanging="357"/>
        <w:jc w:val="both"/>
        <w:rPr>
          <w:rFonts w:eastAsia="Calibri"/>
          <w:sz w:val="26"/>
          <w:szCs w:val="26"/>
          <w:lang w:eastAsia="en-US"/>
        </w:rPr>
      </w:pPr>
      <w:r w:rsidRPr="005E2641">
        <w:rPr>
          <w:rFonts w:eastAsia="Calibri"/>
          <w:sz w:val="26"/>
          <w:szCs w:val="26"/>
          <w:lang w:eastAsia="en-US"/>
        </w:rPr>
        <w:t xml:space="preserve"> Sociedades o asociaciones de productores; por ejemplo, las sociedades de producción rural, con ingresos que excedan de 20 SMGA por socio, pero que sean inferiores a 423 SMGA por socio, sin exceder en su totalidad de 4 mil 230 SMGA, en estos casos la reducción del impuesto será de 30% del ISR causado. Lo anterior de conformidad con lo establecido en el décimo tercer párrafo del artículo 74 de la ley del ISR.</w:t>
      </w:r>
    </w:p>
    <w:p w14:paraId="2B782B56" w14:textId="77777777" w:rsidR="005E2641" w:rsidRPr="005E2641" w:rsidRDefault="005E2641" w:rsidP="005E2641">
      <w:pPr>
        <w:spacing w:after="360" w:line="360" w:lineRule="auto"/>
        <w:ind w:right="-159"/>
        <w:jc w:val="both"/>
        <w:rPr>
          <w:rFonts w:eastAsia="Calibri"/>
          <w:sz w:val="26"/>
          <w:szCs w:val="26"/>
          <w:lang w:eastAsia="en-US"/>
        </w:rPr>
      </w:pPr>
      <w:r w:rsidRPr="005E2641">
        <w:rPr>
          <w:rFonts w:eastAsia="Calibri"/>
          <w:sz w:val="26"/>
          <w:szCs w:val="26"/>
          <w:lang w:eastAsia="en-US"/>
        </w:rPr>
        <w:lastRenderedPageBreak/>
        <w:t>Del análisis de la regla 3.8.2 de la RMF 2015, se desprende que las sociedades o asociaciones de productores que tengan ingresos que rebasen 4 mil 230 SMGA podrán aplicar la reducción del ISR hasta por ese monto de ingresos y por el excedente no se aplicará reducción de ISR, sin que deba aplicarse el décimo cuarto párrafo del artículo 74 de la LISR, que se refiere a personas morales en general.</w:t>
      </w:r>
    </w:p>
    <w:p w14:paraId="3C235F61" w14:textId="77777777" w:rsidR="005E2641" w:rsidRPr="005E2641" w:rsidRDefault="005E2641" w:rsidP="00276F3E">
      <w:pPr>
        <w:numPr>
          <w:ilvl w:val="0"/>
          <w:numId w:val="56"/>
        </w:numPr>
        <w:spacing w:after="360" w:line="360" w:lineRule="auto"/>
        <w:ind w:left="357" w:right="-159" w:hanging="357"/>
        <w:jc w:val="both"/>
        <w:rPr>
          <w:rFonts w:eastAsia="Calibri"/>
          <w:sz w:val="26"/>
          <w:szCs w:val="26"/>
          <w:lang w:eastAsia="en-US"/>
        </w:rPr>
      </w:pPr>
      <w:r w:rsidRPr="005E2641">
        <w:rPr>
          <w:rFonts w:eastAsia="Calibri"/>
          <w:sz w:val="26"/>
          <w:szCs w:val="26"/>
          <w:lang w:eastAsia="en-US"/>
        </w:rPr>
        <w:t>Personas físicas y personas morales (que estas últimas no sean asociaciones o sociedades de productores) cuyos ingresos excedan de 423 SMGA, les será aplicable la reducción del impuesto de 40% para personas físicas y 30% para morales. Lo anterior, de conformidad con el décimo cuarto párrafo del artículo 74 de la LISR.</w:t>
      </w:r>
    </w:p>
    <w:p w14:paraId="340EDD9D" w14:textId="77777777" w:rsidR="005E2641" w:rsidRPr="005E2641" w:rsidRDefault="005E2641" w:rsidP="005E2641">
      <w:pPr>
        <w:spacing w:after="360" w:line="360" w:lineRule="auto"/>
        <w:ind w:right="-159"/>
        <w:jc w:val="both"/>
        <w:rPr>
          <w:rFonts w:eastAsia="Calibri"/>
          <w:sz w:val="26"/>
          <w:szCs w:val="26"/>
          <w:lang w:eastAsia="en-US"/>
        </w:rPr>
      </w:pPr>
      <w:r w:rsidRPr="005E2641">
        <w:rPr>
          <w:rFonts w:eastAsia="Calibri"/>
          <w:sz w:val="26"/>
          <w:szCs w:val="26"/>
          <w:lang w:eastAsia="en-US"/>
        </w:rPr>
        <w:t>El procedimiento de determinación del ISR reducido para personas morales que rebasen estos montos de ingresos se encuentra en la regla 3.8.1 de la RMF 2015, en tanto que para personas físicas se contiene en la regla 3.8.3 de dicha Resolución.</w:t>
      </w:r>
    </w:p>
    <w:p w14:paraId="39588D8D" w14:textId="77777777" w:rsidR="005E2641" w:rsidRPr="005E2641" w:rsidRDefault="005E2641" w:rsidP="005E2641">
      <w:pPr>
        <w:spacing w:after="360" w:line="360" w:lineRule="auto"/>
        <w:ind w:right="-159"/>
        <w:jc w:val="both"/>
        <w:rPr>
          <w:rFonts w:eastAsia="Calibri"/>
          <w:sz w:val="26"/>
          <w:szCs w:val="26"/>
          <w:lang w:eastAsia="en-US"/>
        </w:rPr>
      </w:pPr>
      <w:r w:rsidRPr="005E2641">
        <w:rPr>
          <w:rFonts w:eastAsia="Calibri"/>
          <w:sz w:val="26"/>
          <w:szCs w:val="26"/>
          <w:lang w:eastAsia="en-US"/>
        </w:rPr>
        <w:t>Ahora bien, la Resolución de Facilidades Administrativas para 2015 (RFA 2015), permite a las personas morales que no sean sociedades o asociaciones de productores, en las que sus socios sean sólo personas físicas, cuyos ingresos no excedan de 423 SMGA por socio sin exceder en su totalidad de 4 mil 230 SMGA, obtener el beneficio de aplicar la reducción de 30% del ISR sobre la totalidad de sus ingresos. Dicha Resolución en su regla 1.11 señala textualmente lo siguiente:</w:t>
      </w:r>
    </w:p>
    <w:p w14:paraId="153B38EF" w14:textId="77777777" w:rsidR="005E2641" w:rsidRPr="005E2641" w:rsidRDefault="005E2641" w:rsidP="005E2641">
      <w:pPr>
        <w:spacing w:after="360" w:line="360" w:lineRule="auto"/>
        <w:ind w:right="-159"/>
        <w:jc w:val="both"/>
        <w:rPr>
          <w:rFonts w:eastAsia="Calibri"/>
          <w:sz w:val="26"/>
          <w:szCs w:val="26"/>
          <w:lang w:eastAsia="en-US"/>
        </w:rPr>
      </w:pPr>
      <w:r w:rsidRPr="005E2641">
        <w:rPr>
          <w:rFonts w:eastAsia="Calibri"/>
          <w:sz w:val="26"/>
          <w:szCs w:val="26"/>
          <w:lang w:eastAsia="en-US"/>
        </w:rPr>
        <w:t xml:space="preserve">“1.11. Para los efectos del artículo 74, décimo tercer párrafo de la Ley del ISR, las sociedades o asociaciones de productores, así como las demás personas morales, que se dediquen exclusivamente a las actividades agrícolas, ganaderas, silvícolas o pesqueras, constituidas exclusivamente por socios o asociados personas físicas, y que los ingresos de la persona moral en el ejercicio, por cada socio, no excedan de 423 veces el </w:t>
      </w:r>
      <w:r w:rsidRPr="0051422E">
        <w:rPr>
          <w:rFonts w:eastAsia="Calibri"/>
          <w:sz w:val="26"/>
          <w:szCs w:val="26"/>
          <w:lang w:eastAsia="en-US"/>
        </w:rPr>
        <w:t>salario mínimo general d</w:t>
      </w:r>
      <w:r w:rsidRPr="005E2641">
        <w:rPr>
          <w:rFonts w:eastAsia="Calibri"/>
          <w:sz w:val="26"/>
          <w:szCs w:val="26"/>
          <w:lang w:eastAsia="en-US"/>
        </w:rPr>
        <w:t xml:space="preserve">el área geográfica del contribuyente elevado al año, sin exceder en su totalidad de 4 mil 230 veces </w:t>
      </w:r>
      <w:r w:rsidRPr="0051422E">
        <w:rPr>
          <w:rFonts w:eastAsia="Calibri"/>
          <w:sz w:val="26"/>
          <w:szCs w:val="26"/>
          <w:lang w:eastAsia="en-US"/>
        </w:rPr>
        <w:t>el salario mínimo general del</w:t>
      </w:r>
      <w:r w:rsidRPr="005E2641">
        <w:rPr>
          <w:rFonts w:eastAsia="Calibri"/>
          <w:sz w:val="26"/>
          <w:szCs w:val="26"/>
          <w:lang w:eastAsia="en-US"/>
        </w:rPr>
        <w:t xml:space="preserve"> área geográfica del </w:t>
      </w:r>
      <w:r w:rsidRPr="005E2641">
        <w:rPr>
          <w:rFonts w:eastAsia="Calibri"/>
          <w:sz w:val="26"/>
          <w:szCs w:val="26"/>
          <w:lang w:eastAsia="en-US"/>
        </w:rPr>
        <w:lastRenderedPageBreak/>
        <w:t>contribuyente elevado al año, podrán reducir el impuesto determinado conforme al citado artículo 74, en un 30 por ciento.”</w:t>
      </w:r>
    </w:p>
    <w:p w14:paraId="1C03F315" w14:textId="77777777" w:rsidR="005E2641" w:rsidRPr="005E2641" w:rsidRDefault="005E2641" w:rsidP="005E2641">
      <w:pPr>
        <w:spacing w:after="360" w:line="360" w:lineRule="auto"/>
        <w:ind w:right="-159"/>
        <w:jc w:val="both"/>
        <w:rPr>
          <w:rFonts w:eastAsia="Calibri"/>
          <w:sz w:val="26"/>
          <w:szCs w:val="26"/>
          <w:lang w:eastAsia="en-US"/>
        </w:rPr>
      </w:pPr>
      <w:r w:rsidRPr="005E2641">
        <w:rPr>
          <w:rFonts w:eastAsia="Calibri"/>
          <w:sz w:val="26"/>
          <w:szCs w:val="26"/>
          <w:lang w:eastAsia="en-US"/>
        </w:rPr>
        <w:t>De conformidad con lo anterior, resulta claro que las personas morales que no sean sociedades o asociaciones de productores, en las que sus socios sean sólo personas físicas, cuyos ingresos no excedan 4 mil 230 SMGA (atendiendo al número de socios), tienen el derecho, otorgado por esta regla, a aplicar la reducción de 30% del ISR sobre la totalidad de sus ingresos. Cabe comentar que en la RMF 2015 no existe regla que señale el procedimiento del ISR reducido para los contribuyentes y las sociedades mercantiles que se ubiquen en los supuestos de esta regla de la RFA de 2015, por lo que las únicas regulaciones que existen para estos efectos aplicables a dichos contribuyentes son las disposiciones de la LISR.</w:t>
      </w:r>
    </w:p>
    <w:p w14:paraId="5E912054" w14:textId="77777777" w:rsidR="005E2641" w:rsidRPr="005E2641" w:rsidRDefault="005E2641" w:rsidP="005E2641">
      <w:pPr>
        <w:spacing w:after="360" w:line="360" w:lineRule="auto"/>
        <w:ind w:right="-159"/>
        <w:jc w:val="both"/>
        <w:rPr>
          <w:rFonts w:eastAsia="Calibri"/>
          <w:sz w:val="26"/>
          <w:szCs w:val="26"/>
          <w:lang w:eastAsia="en-US"/>
        </w:rPr>
      </w:pPr>
      <w:r w:rsidRPr="005E2641">
        <w:rPr>
          <w:rFonts w:eastAsia="Calibri"/>
          <w:sz w:val="26"/>
          <w:szCs w:val="26"/>
          <w:lang w:eastAsia="en-US"/>
        </w:rPr>
        <w:t>Por otro lado, en forma inequitativa, las personas morales que no sean sociedades o asociaciones de productores (por ejemplo, las sociedades mercantiles), cuyos ingresos sean superiores a 4 mil 230 SMGA, sólo tienen derecho a reducir el ISR (30%) hasta por los ingresos que no rebasen 423 SMGA y por el excedente no pueden aplicar ninguna reducción, con ello el ISR que se reduce en dichas personas morales cuando los ingresos no superan 4 mil 230 SMGA es considerablemente mayor que cuando si rebasan este parámetro.</w:t>
      </w:r>
    </w:p>
    <w:p w14:paraId="00921D19" w14:textId="77777777" w:rsidR="005E2641" w:rsidRDefault="005E2641" w:rsidP="005E2641">
      <w:pPr>
        <w:spacing w:after="360" w:line="360" w:lineRule="auto"/>
        <w:ind w:right="-159"/>
        <w:jc w:val="both"/>
        <w:rPr>
          <w:rFonts w:eastAsia="Calibri"/>
          <w:sz w:val="26"/>
          <w:szCs w:val="26"/>
          <w:lang w:eastAsia="en-US"/>
        </w:rPr>
      </w:pPr>
      <w:r w:rsidRPr="005E2641">
        <w:rPr>
          <w:rFonts w:eastAsia="Calibri"/>
          <w:sz w:val="26"/>
          <w:szCs w:val="26"/>
          <w:lang w:eastAsia="en-US"/>
        </w:rPr>
        <w:t>Lo anterior es así, toda vez que a las personas morales, que no son sociedades o asociaciones de productores, con ingresos anuales superiores a 4 mil 230 SMGA no les resulta aplicable la regla 1.11 de la RFA vigente en 2015 y deben sujetarse al límite de ingresos establecidos en el décimo segundo párrafo de la LISR.</w:t>
      </w:r>
    </w:p>
    <w:p w14:paraId="66E5EBB3" w14:textId="77777777" w:rsidR="00593607" w:rsidRDefault="00593607" w:rsidP="005E2641">
      <w:pPr>
        <w:spacing w:after="360" w:line="360" w:lineRule="auto"/>
        <w:ind w:right="-159"/>
        <w:jc w:val="both"/>
        <w:rPr>
          <w:rFonts w:eastAsia="Calibri"/>
          <w:sz w:val="26"/>
          <w:szCs w:val="26"/>
          <w:lang w:eastAsia="en-US"/>
        </w:rPr>
      </w:pPr>
    </w:p>
    <w:p w14:paraId="375ED90D" w14:textId="77777777" w:rsidR="00574AB5" w:rsidRDefault="00574AB5" w:rsidP="0051422E">
      <w:pPr>
        <w:spacing w:after="360"/>
        <w:ind w:right="-159"/>
        <w:jc w:val="both"/>
        <w:rPr>
          <w:rFonts w:eastAsia="Calibri"/>
          <w:b/>
          <w:sz w:val="26"/>
          <w:szCs w:val="26"/>
          <w:lang w:eastAsia="en-US"/>
        </w:rPr>
      </w:pPr>
    </w:p>
    <w:p w14:paraId="0072EEC0" w14:textId="77777777" w:rsidR="005E2641" w:rsidRPr="005E2641" w:rsidRDefault="005E2641" w:rsidP="0051422E">
      <w:pPr>
        <w:spacing w:after="360"/>
        <w:ind w:right="-159"/>
        <w:jc w:val="both"/>
        <w:rPr>
          <w:rFonts w:eastAsia="Calibri"/>
          <w:b/>
          <w:sz w:val="26"/>
          <w:szCs w:val="26"/>
          <w:lang w:eastAsia="en-US"/>
        </w:rPr>
      </w:pPr>
      <w:r w:rsidRPr="005E2641">
        <w:rPr>
          <w:rFonts w:eastAsia="Calibri"/>
          <w:b/>
          <w:sz w:val="26"/>
          <w:szCs w:val="26"/>
          <w:lang w:eastAsia="en-US"/>
        </w:rPr>
        <w:lastRenderedPageBreak/>
        <w:t>Algunos aspectos técnicos de la determinación de la reducción del ISR para contribuyentes dedicados a la agricultura, ganadería, pesca y silvicultura</w:t>
      </w:r>
    </w:p>
    <w:p w14:paraId="543DE4BC" w14:textId="47410D13" w:rsidR="005E2641" w:rsidRPr="005E2641" w:rsidRDefault="005E2641" w:rsidP="005E2641">
      <w:pPr>
        <w:spacing w:after="360" w:line="360" w:lineRule="auto"/>
        <w:ind w:right="-159"/>
        <w:jc w:val="both"/>
        <w:rPr>
          <w:rFonts w:eastAsia="Calibri"/>
          <w:sz w:val="26"/>
          <w:szCs w:val="26"/>
          <w:lang w:eastAsia="en-US"/>
        </w:rPr>
      </w:pPr>
      <w:r w:rsidRPr="005E2641">
        <w:rPr>
          <w:rFonts w:eastAsia="Calibri"/>
          <w:sz w:val="26"/>
          <w:szCs w:val="26"/>
          <w:lang w:eastAsia="en-US"/>
        </w:rPr>
        <w:t xml:space="preserve">No existen disposiciones legales que establezcan el procedimiento de determinación del ISR reducido atendiendo al nivel de ingresos obtenidos de contribuyentes del sector primario, lo anterior en virtud de que el ISR debe determinarse aplicando una tasa o un tarifa a una base del impuesto, para cuya determinación es necesario que sean restadas de los ingresos: las deducciones autorizadas, la </w:t>
      </w:r>
      <w:r w:rsidR="0051422E">
        <w:rPr>
          <w:rFonts w:eastAsia="Calibri"/>
          <w:sz w:val="26"/>
          <w:szCs w:val="26"/>
          <w:lang w:eastAsia="en-US"/>
        </w:rPr>
        <w:t>Participación de los Trabajadores en las Utilidades (</w:t>
      </w:r>
      <w:r w:rsidRPr="005E2641">
        <w:rPr>
          <w:rFonts w:eastAsia="Calibri"/>
          <w:sz w:val="26"/>
          <w:szCs w:val="26"/>
          <w:lang w:eastAsia="en-US"/>
        </w:rPr>
        <w:t>PTU</w:t>
      </w:r>
      <w:r w:rsidR="0051422E">
        <w:rPr>
          <w:rFonts w:eastAsia="Calibri"/>
          <w:sz w:val="26"/>
          <w:szCs w:val="26"/>
          <w:lang w:eastAsia="en-US"/>
        </w:rPr>
        <w:t>)</w:t>
      </w:r>
      <w:r w:rsidRPr="005E2641">
        <w:rPr>
          <w:rFonts w:eastAsia="Calibri"/>
          <w:sz w:val="26"/>
          <w:szCs w:val="26"/>
          <w:lang w:eastAsia="en-US"/>
        </w:rPr>
        <w:t xml:space="preserve"> pagada y las pérdidas fiscales pendientes de amortizar.</w:t>
      </w:r>
    </w:p>
    <w:p w14:paraId="657CF358" w14:textId="77777777" w:rsidR="005E2641" w:rsidRPr="005E2641" w:rsidRDefault="005E2641" w:rsidP="005E2641">
      <w:pPr>
        <w:spacing w:after="360" w:line="360" w:lineRule="auto"/>
        <w:ind w:right="-159"/>
        <w:jc w:val="both"/>
        <w:rPr>
          <w:rFonts w:eastAsia="Calibri"/>
          <w:sz w:val="26"/>
          <w:szCs w:val="26"/>
          <w:lang w:eastAsia="en-US"/>
        </w:rPr>
      </w:pPr>
      <w:r w:rsidRPr="005E2641">
        <w:rPr>
          <w:rFonts w:eastAsia="Calibri"/>
          <w:sz w:val="26"/>
          <w:szCs w:val="26"/>
          <w:lang w:eastAsia="en-US"/>
        </w:rPr>
        <w:t>En este orden de ideas, conforme a las disposiciones legales actuales no existe un procedimiento para identificar el impuesto determinado (al que se le aplicará la reducción) con los ingresos obtenidos. De análisis de la LISR resulta claro que estos contribuyentes deben cuantificar los ingresos en segmentos como sigue: a) los que son exentos, b) aquellos a los que les es aplicable una reducción de ISR y c) los que no llevan reducción de ISR, cuyos parámetros he comentado en párrafos anteriores de este artículo. Tal ausencia de asignación de deducciones, PTU y pérdidas por amortizar a los segmentos de ingresos antes comentados puede llevar a la conclusión de que los contribuyentes tienen la facultad de restar tales partidas del segmento de ingresos que ellos libremente decidan; sin embargo, si un contribuyente decidiera hacerlo así no estaría infringiendo disposición legal alguna.</w:t>
      </w:r>
    </w:p>
    <w:p w14:paraId="05906FE8" w14:textId="5F01D2FB" w:rsidR="005E2641" w:rsidRPr="005E2641" w:rsidRDefault="005E2641" w:rsidP="005E2641">
      <w:pPr>
        <w:spacing w:after="360" w:line="360" w:lineRule="auto"/>
        <w:ind w:right="-159"/>
        <w:jc w:val="both"/>
        <w:rPr>
          <w:rFonts w:eastAsia="Calibri"/>
          <w:sz w:val="26"/>
          <w:szCs w:val="26"/>
          <w:lang w:eastAsia="en-US"/>
        </w:rPr>
      </w:pPr>
      <w:r w:rsidRPr="005E2641">
        <w:rPr>
          <w:rFonts w:eastAsia="Calibri"/>
          <w:sz w:val="26"/>
          <w:szCs w:val="26"/>
          <w:lang w:eastAsia="en-US"/>
        </w:rPr>
        <w:t xml:space="preserve">Debido a la ausencia de disposiciones legales que establezcan el procedimiento de determinación del ISR reducido para este sector de contribuyentes, en la RMF 2015 existen cuatro reglas que contienen algunas fórmulas para la determinación del ISR reducido, </w:t>
      </w:r>
      <w:r w:rsidR="00CB7BE4">
        <w:rPr>
          <w:rFonts w:eastAsia="Calibri"/>
          <w:sz w:val="26"/>
          <w:szCs w:val="26"/>
          <w:lang w:eastAsia="en-US"/>
        </w:rPr>
        <w:t>é</w:t>
      </w:r>
      <w:r w:rsidRPr="005E2641">
        <w:rPr>
          <w:rFonts w:eastAsia="Calibri"/>
          <w:sz w:val="26"/>
          <w:szCs w:val="26"/>
          <w:lang w:eastAsia="en-US"/>
        </w:rPr>
        <w:t xml:space="preserve">stas son: 3.8.1, 3.8.2, 3.8.3 y 3.8.4. Las fórmulas contenidas en las cuatro reglas mencionadas son prácticamente iguales, pero difieren por el grupo de contribuyentes a quienes van dirigidas, estos grupos son: a) personas morales que no son sociedades o asociaciones de productores (3.8.1), b) sociedades o asociaciones de productores (3.8.2.), c) personas físicas con ingresos superiores a 423 SMGZ (3.8.3), y </w:t>
      </w:r>
      <w:r w:rsidRPr="005E2641">
        <w:rPr>
          <w:rFonts w:eastAsia="Calibri"/>
          <w:sz w:val="26"/>
          <w:szCs w:val="26"/>
          <w:lang w:eastAsia="en-US"/>
        </w:rPr>
        <w:lastRenderedPageBreak/>
        <w:t>d) personas físicas que solo obtengan ingresos por la realización de actividades del sector primario con ingresos inferiores a 423 SMGZ (3.8.4). Cabe comentar que en la RMF 2015 no existe regla alguna que señale el procedimiento del ISR reducido para los contribuyentes y sociedades mercantiles que se ubiquen en los supuestos de la regla 1.11 de la RFA de 2015.</w:t>
      </w:r>
    </w:p>
    <w:p w14:paraId="1121D134" w14:textId="77777777" w:rsidR="005E2641" w:rsidRPr="005E2641" w:rsidRDefault="005E2641" w:rsidP="005E2641">
      <w:pPr>
        <w:spacing w:after="360" w:line="360" w:lineRule="auto"/>
        <w:ind w:right="-159"/>
        <w:jc w:val="both"/>
        <w:rPr>
          <w:rFonts w:eastAsia="Calibri"/>
          <w:sz w:val="26"/>
          <w:szCs w:val="26"/>
          <w:lang w:eastAsia="en-US"/>
        </w:rPr>
      </w:pPr>
      <w:r w:rsidRPr="005E2641">
        <w:rPr>
          <w:rFonts w:eastAsia="Calibri"/>
          <w:sz w:val="26"/>
          <w:szCs w:val="26"/>
          <w:lang w:eastAsia="en-US"/>
        </w:rPr>
        <w:t>En el anexo I del presente artículo se muestra un caso práctico en el que se determina la utilidad gravable y el ISR anual a cargo que corresponde a cada segmento de ingresos (estos cálculos se realizaron considerando que se trata del ejercicio fiscal 2015). Los cálculos de este anexo fueron hechos sin contrariar lo establecido en la LISR. Dicho caso práctico es el relativo a una sociedad de productores agropecuarios.</w:t>
      </w:r>
    </w:p>
    <w:p w14:paraId="59637B06" w14:textId="77777777" w:rsidR="005E2641" w:rsidRPr="005E2641" w:rsidRDefault="005E2641" w:rsidP="005E2641">
      <w:pPr>
        <w:spacing w:after="360" w:line="360" w:lineRule="auto"/>
        <w:ind w:right="-159"/>
        <w:jc w:val="both"/>
        <w:rPr>
          <w:rFonts w:eastAsia="Calibri"/>
          <w:sz w:val="26"/>
          <w:szCs w:val="26"/>
          <w:lang w:eastAsia="en-US"/>
        </w:rPr>
      </w:pPr>
      <w:r w:rsidRPr="005E2641">
        <w:rPr>
          <w:rFonts w:eastAsia="Calibri"/>
          <w:sz w:val="26"/>
          <w:szCs w:val="26"/>
          <w:lang w:eastAsia="en-US"/>
        </w:rPr>
        <w:t>Por otra parte, en el anexo II, que está referido al caso práctico antes mencionado, se muestra la determinación del ISR anual a cargo que resulta de la aplicación de las fórmulas contenidas en la regla 3.8.2 de la RMF 2015.</w:t>
      </w:r>
    </w:p>
    <w:p w14:paraId="58738BCA" w14:textId="77777777" w:rsidR="005E2641" w:rsidRPr="005E2641" w:rsidRDefault="005E2641" w:rsidP="005E2641">
      <w:pPr>
        <w:spacing w:after="360" w:line="360" w:lineRule="auto"/>
        <w:ind w:right="-159"/>
        <w:jc w:val="both"/>
        <w:rPr>
          <w:rFonts w:eastAsia="Calibri"/>
          <w:sz w:val="26"/>
          <w:szCs w:val="26"/>
          <w:lang w:eastAsia="en-US"/>
        </w:rPr>
      </w:pPr>
      <w:r w:rsidRPr="005E2641">
        <w:rPr>
          <w:rFonts w:eastAsia="Calibri"/>
          <w:sz w:val="26"/>
          <w:szCs w:val="26"/>
          <w:lang w:eastAsia="en-US"/>
        </w:rPr>
        <w:t>Por último, en el anexo III se muestra la determinación del ISR anual a cargo del citado caso, hecho en el formato de estado de resultados, pero aplicando los criterios implícitos en las fórmulas contenidas en la 3.8.2 de la RMF 2015; es decir, los procedimientos que se siguieron en el anexo III fueron aplicados con la finalidad de que el resultado en él determinado sea exactamente el mismo que el obtenido de la aplicación de las fórmulas contenidas en la citada regla 3.8.2 (anexo II), no obstante que este procedimiento no se apegue a lo permitido por la LISR, se hizo de esta forma para mostrar e identificar con mayor claridad los aspectos en donde los procedimientos de las fórmulas se apartan de lo permitido por la LISR.</w:t>
      </w:r>
    </w:p>
    <w:p w14:paraId="63C6B2D3" w14:textId="77777777" w:rsidR="005E2641" w:rsidRPr="005E2641" w:rsidRDefault="005E2641" w:rsidP="005E2641">
      <w:pPr>
        <w:spacing w:after="360" w:line="360" w:lineRule="auto"/>
        <w:ind w:right="-159"/>
        <w:jc w:val="both"/>
        <w:rPr>
          <w:rFonts w:eastAsia="Calibri"/>
          <w:sz w:val="26"/>
          <w:szCs w:val="26"/>
          <w:lang w:eastAsia="en-US"/>
        </w:rPr>
      </w:pPr>
      <w:r w:rsidRPr="005E2641">
        <w:rPr>
          <w:rFonts w:eastAsia="Calibri"/>
          <w:sz w:val="26"/>
          <w:szCs w:val="26"/>
          <w:lang w:eastAsia="en-US"/>
        </w:rPr>
        <w:t xml:space="preserve">Derivado del análisis de los procedimientos y las cifras mostradas en los tres anexos anteriores, podemos llegar a la conclusión de que los procedimientos implícitos de las fórmulas de las reglas 3.8.1, 3.8.2, 3.8.3 y 3.8.4 de la RMF 2015 exceden, contrarían y/o establecen situaciones no congruentes con la LISR en vigor. Bajo este orden de </w:t>
      </w:r>
      <w:r w:rsidRPr="005E2641">
        <w:rPr>
          <w:rFonts w:eastAsia="Calibri"/>
          <w:sz w:val="26"/>
          <w:szCs w:val="26"/>
          <w:lang w:eastAsia="en-US"/>
        </w:rPr>
        <w:lastRenderedPageBreak/>
        <w:t>ideas, los aspectos de dichas reglas que no son congruentes con lo establecido en la LISR y que generan un perjuicio para los contribuyentes, son los siguientes:</w:t>
      </w:r>
    </w:p>
    <w:p w14:paraId="58C73ED0" w14:textId="77777777" w:rsidR="005E2641" w:rsidRPr="00DF70C5" w:rsidRDefault="005E2641" w:rsidP="00276F3E">
      <w:pPr>
        <w:numPr>
          <w:ilvl w:val="0"/>
          <w:numId w:val="57"/>
        </w:numPr>
        <w:spacing w:after="360"/>
        <w:ind w:left="482" w:right="-159" w:hanging="482"/>
        <w:jc w:val="both"/>
        <w:rPr>
          <w:rFonts w:eastAsia="Calibri"/>
          <w:b/>
          <w:sz w:val="26"/>
          <w:szCs w:val="26"/>
          <w:lang w:eastAsia="en-US"/>
        </w:rPr>
      </w:pPr>
      <w:r w:rsidRPr="00DF70C5">
        <w:rPr>
          <w:rFonts w:eastAsia="Calibri"/>
          <w:b/>
          <w:sz w:val="26"/>
          <w:szCs w:val="26"/>
          <w:lang w:eastAsia="en-US"/>
        </w:rPr>
        <w:t>Asignación de deducciones al segmento de ingresos por los que se aplica reducción de ISR:</w:t>
      </w:r>
    </w:p>
    <w:p w14:paraId="6EC19C8F" w14:textId="77777777" w:rsidR="005E2641" w:rsidRPr="005E2641" w:rsidRDefault="005E2641" w:rsidP="005E2641">
      <w:pPr>
        <w:spacing w:after="360" w:line="360" w:lineRule="auto"/>
        <w:ind w:left="480" w:right="-159"/>
        <w:jc w:val="both"/>
        <w:rPr>
          <w:rFonts w:eastAsia="Calibri"/>
          <w:sz w:val="26"/>
          <w:szCs w:val="26"/>
          <w:lang w:eastAsia="en-US"/>
        </w:rPr>
      </w:pPr>
      <w:r w:rsidRPr="005E2641">
        <w:rPr>
          <w:rFonts w:eastAsia="Calibri"/>
          <w:sz w:val="26"/>
          <w:szCs w:val="26"/>
          <w:lang w:eastAsia="en-US"/>
        </w:rPr>
        <w:t>La LISR no establece cómo determinar la utilidad a la que se le aplica la reducción del ISR, solo establece el monto de ingresos hasta por los cuales los contribuyentes tienen derecho a reducir tal impuesto.</w:t>
      </w:r>
    </w:p>
    <w:p w14:paraId="14A0027A" w14:textId="77777777" w:rsidR="005E2641" w:rsidRPr="005E2641" w:rsidRDefault="005E2641" w:rsidP="005E2641">
      <w:pPr>
        <w:spacing w:after="360" w:line="360" w:lineRule="auto"/>
        <w:ind w:left="480" w:right="-159"/>
        <w:jc w:val="both"/>
        <w:rPr>
          <w:rFonts w:eastAsia="Calibri"/>
          <w:sz w:val="26"/>
          <w:szCs w:val="26"/>
          <w:lang w:eastAsia="en-US"/>
        </w:rPr>
      </w:pPr>
      <w:r w:rsidRPr="005E2641">
        <w:rPr>
          <w:rFonts w:eastAsia="Calibri"/>
          <w:sz w:val="26"/>
          <w:szCs w:val="26"/>
          <w:lang w:eastAsia="en-US"/>
        </w:rPr>
        <w:t>Lo anterior implica que es posible que los contribuyentes del sector primario asignen las deducciones autorizadas al segmento de ingresos que ellos decidan, al no haber prohibición legal expresa es factible hacerlo, ya que proceder de esa forma no va en contra de la LISR.</w:t>
      </w:r>
    </w:p>
    <w:p w14:paraId="598BC4C8" w14:textId="77777777" w:rsidR="005E2641" w:rsidRPr="005E2641" w:rsidRDefault="005E2641" w:rsidP="005E2641">
      <w:pPr>
        <w:spacing w:after="360" w:line="360" w:lineRule="auto"/>
        <w:ind w:left="480" w:right="-159"/>
        <w:jc w:val="both"/>
        <w:rPr>
          <w:rFonts w:eastAsia="Calibri"/>
          <w:sz w:val="26"/>
          <w:szCs w:val="26"/>
          <w:lang w:eastAsia="en-US"/>
        </w:rPr>
      </w:pPr>
      <w:r w:rsidRPr="005E2641">
        <w:rPr>
          <w:rFonts w:eastAsia="Calibri"/>
          <w:sz w:val="26"/>
          <w:szCs w:val="26"/>
          <w:lang w:eastAsia="en-US"/>
        </w:rPr>
        <w:t>Con la aplicación de las fórmulas contenidas en las reglas comentadas, las deducciones autorizadas se aplican proporcionalmente tanto a ingresos por los que se aplica reducción y a ingresos por los que no hay reducción. Esto es incorrecto en virtud de que si la LISR no establece que así deba hacerse, las reglas administrativas de la RMF, no deben señalar, en perjuicio del contribuyente, un procedimiento no establecido en esta ley.</w:t>
      </w:r>
    </w:p>
    <w:p w14:paraId="62090AEA" w14:textId="77777777" w:rsidR="005E2641" w:rsidRPr="005E2641" w:rsidRDefault="005E2641" w:rsidP="005E2641">
      <w:pPr>
        <w:spacing w:after="360" w:line="360" w:lineRule="auto"/>
        <w:ind w:left="480" w:right="-159"/>
        <w:jc w:val="both"/>
        <w:rPr>
          <w:rFonts w:eastAsia="Calibri"/>
          <w:sz w:val="26"/>
          <w:szCs w:val="26"/>
          <w:lang w:eastAsia="en-US"/>
        </w:rPr>
      </w:pPr>
      <w:r w:rsidRPr="005E2641">
        <w:rPr>
          <w:rFonts w:eastAsia="Calibri"/>
          <w:sz w:val="26"/>
          <w:szCs w:val="26"/>
          <w:lang w:eastAsia="en-US"/>
        </w:rPr>
        <w:t>El comentario anterior también resulta aplicable a la disminución de PTU y pérdidas fiscales por amortizar (relativas a actividades del sector primario), por lo que no sería contrario a la ley disminuir 100% de tales partidas del segmento de ingresos por los que no se aplica reducción de ISR.</w:t>
      </w:r>
    </w:p>
    <w:p w14:paraId="0FF4A02E" w14:textId="77777777" w:rsidR="005E2641" w:rsidRPr="00DF70C5" w:rsidRDefault="005E2641" w:rsidP="00276F3E">
      <w:pPr>
        <w:numPr>
          <w:ilvl w:val="0"/>
          <w:numId w:val="57"/>
        </w:numPr>
        <w:spacing w:after="360"/>
        <w:ind w:left="482" w:right="-159" w:hanging="482"/>
        <w:jc w:val="both"/>
        <w:rPr>
          <w:rFonts w:eastAsia="Calibri"/>
          <w:b/>
          <w:sz w:val="26"/>
          <w:szCs w:val="26"/>
          <w:lang w:eastAsia="en-US"/>
        </w:rPr>
      </w:pPr>
      <w:r w:rsidRPr="00DF70C5">
        <w:rPr>
          <w:rFonts w:eastAsia="Calibri"/>
          <w:b/>
          <w:sz w:val="26"/>
          <w:szCs w:val="26"/>
          <w:lang w:eastAsia="en-US"/>
        </w:rPr>
        <w:t>Limitación de deducciones diferentes a gastos e inversiones relacionadas con actividades de sector primario:</w:t>
      </w:r>
    </w:p>
    <w:p w14:paraId="36B1D124" w14:textId="77777777" w:rsidR="005E2641" w:rsidRPr="005E2641" w:rsidRDefault="005E2641" w:rsidP="005E2641">
      <w:pPr>
        <w:spacing w:after="360" w:line="360" w:lineRule="auto"/>
        <w:ind w:left="480" w:right="-159"/>
        <w:jc w:val="both"/>
        <w:rPr>
          <w:rFonts w:eastAsia="Calibri"/>
          <w:sz w:val="26"/>
          <w:szCs w:val="26"/>
          <w:lang w:eastAsia="en-US"/>
        </w:rPr>
      </w:pPr>
      <w:r w:rsidRPr="005E2641">
        <w:rPr>
          <w:rFonts w:eastAsia="Calibri"/>
          <w:sz w:val="26"/>
          <w:szCs w:val="26"/>
          <w:lang w:eastAsia="en-US"/>
        </w:rPr>
        <w:t xml:space="preserve">Una parte de las fórmulas señalan lo siguiente: [DAIPA*(1-IEPA/IT)]. Con la aplicación de esta parte de las fórmulas se están limitando o disminuyendo la </w:t>
      </w:r>
      <w:r w:rsidRPr="005E2641">
        <w:rPr>
          <w:rFonts w:eastAsia="Calibri"/>
          <w:sz w:val="26"/>
          <w:szCs w:val="26"/>
          <w:lang w:eastAsia="en-US"/>
        </w:rPr>
        <w:lastRenderedPageBreak/>
        <w:t>totalidad de las deducciones en la proporción que representen los ingresos exentos respecto del total de ingresos del contribuyente, y no solo las deducciones correspondientes a gastos e inversiones; las únicas deducciones que legalmente están limitadas son las de gastos e inversiones. Lo anterior, de conformidad con lo dispuesto en el artículo 28, fracción II de la LISR. Cabe señalar que esta disposición es aplicable porque el último párrafo del artículo 103 de la LISR establece que deben considerarse los gastos e inversiones en los términos del artículo 28 de la LISR.</w:t>
      </w:r>
    </w:p>
    <w:p w14:paraId="5EB1100B" w14:textId="77777777" w:rsidR="005E2641" w:rsidRPr="005E2641" w:rsidRDefault="005E2641" w:rsidP="005E2641">
      <w:pPr>
        <w:spacing w:after="360" w:line="360" w:lineRule="auto"/>
        <w:ind w:left="480" w:right="-159"/>
        <w:jc w:val="both"/>
        <w:rPr>
          <w:rFonts w:eastAsia="Calibri"/>
          <w:sz w:val="26"/>
          <w:szCs w:val="26"/>
          <w:lang w:eastAsia="en-US"/>
        </w:rPr>
      </w:pPr>
      <w:r w:rsidRPr="005E2641">
        <w:rPr>
          <w:rFonts w:eastAsia="Calibri"/>
          <w:sz w:val="26"/>
          <w:szCs w:val="26"/>
          <w:lang w:eastAsia="en-US"/>
        </w:rPr>
        <w:t>Entre otras, las deducciones que se limitan o disminuyen indebidamente con la aplicación de esta parte de las fórmulas referidas, son las correspondientes a compras de inventarios, intereses, cuotas del seguro social y en general todos los conceptos contenidos en las fracciones diferentes a las III y IV del artículo 103 de la LISR. Cabe comentar que este artículo es aplicable por el reenvío que hace el capítulo VIII del título II a la sección I, capítulo II del título IV de la LISR.</w:t>
      </w:r>
    </w:p>
    <w:p w14:paraId="49C15827" w14:textId="77777777" w:rsidR="005E2641" w:rsidRPr="00B96277" w:rsidRDefault="005E2641" w:rsidP="00276F3E">
      <w:pPr>
        <w:numPr>
          <w:ilvl w:val="0"/>
          <w:numId w:val="57"/>
        </w:numPr>
        <w:spacing w:after="360"/>
        <w:ind w:left="482" w:right="-159" w:hanging="482"/>
        <w:jc w:val="both"/>
        <w:rPr>
          <w:rFonts w:eastAsia="Calibri"/>
          <w:b/>
          <w:sz w:val="26"/>
          <w:szCs w:val="26"/>
          <w:lang w:eastAsia="en-US"/>
        </w:rPr>
      </w:pPr>
      <w:r w:rsidRPr="00B96277">
        <w:rPr>
          <w:rFonts w:eastAsia="Calibri"/>
          <w:b/>
          <w:sz w:val="26"/>
          <w:szCs w:val="26"/>
          <w:lang w:eastAsia="en-US"/>
        </w:rPr>
        <w:t>Concepto: “deducciones autorizadas” relacionadas con ingresos propios de actividades del sector primario:</w:t>
      </w:r>
    </w:p>
    <w:p w14:paraId="195FA810" w14:textId="77777777" w:rsidR="005E2641" w:rsidRPr="005E2641" w:rsidRDefault="005E2641" w:rsidP="005E2641">
      <w:pPr>
        <w:spacing w:after="360" w:line="360" w:lineRule="auto"/>
        <w:ind w:left="480" w:right="-159"/>
        <w:jc w:val="both"/>
        <w:rPr>
          <w:rFonts w:eastAsia="Calibri"/>
          <w:sz w:val="26"/>
          <w:szCs w:val="26"/>
          <w:lang w:eastAsia="en-US"/>
        </w:rPr>
      </w:pPr>
      <w:r w:rsidRPr="005E2641">
        <w:rPr>
          <w:rFonts w:eastAsia="Calibri"/>
          <w:sz w:val="26"/>
          <w:szCs w:val="26"/>
          <w:lang w:eastAsia="en-US"/>
        </w:rPr>
        <w:t>Una parte de las fórmulas señalan lo siguiente: [DAIPA*(1-IEPA/IT)]. Para estos efectos DAIPA significa: “Deducciones autorizadas de ingresos propios de actividades agrícolas, ganaderas, silvícolas o pesqueras”. Las deducciones autorizadas, de conformidad con la LISR, ya deben estar disminuidas por el importe de las partidas no deducibles correspondientes a gastos e inversiones que derivan de la aplicación de lo dispuesto en el artículo 28, fracción II de la LISR, esto es así en virtud de que las deducciones autorizadas son justamente las que permite la ley, sin incluir en ellas las partidas no deducibles y aquellas que no reúnen requisitos fiscales.</w:t>
      </w:r>
    </w:p>
    <w:p w14:paraId="05BF23C4" w14:textId="77777777" w:rsidR="005E2641" w:rsidRPr="005E2641" w:rsidRDefault="005E2641" w:rsidP="005E2641">
      <w:pPr>
        <w:spacing w:after="360" w:line="360" w:lineRule="auto"/>
        <w:ind w:left="480" w:right="-159"/>
        <w:jc w:val="both"/>
        <w:rPr>
          <w:rFonts w:eastAsia="Calibri"/>
          <w:sz w:val="26"/>
          <w:szCs w:val="26"/>
          <w:lang w:eastAsia="en-US"/>
        </w:rPr>
      </w:pPr>
      <w:r w:rsidRPr="005E2641">
        <w:rPr>
          <w:rFonts w:eastAsia="Calibri"/>
          <w:sz w:val="26"/>
          <w:szCs w:val="26"/>
          <w:lang w:eastAsia="en-US"/>
        </w:rPr>
        <w:lastRenderedPageBreak/>
        <w:t>En caso de que a las deducciones autorizadas ya disminuidas de tales partidas no deducibles, se les aplique el factor que resulta de (1-IEPA/IT), se duplica el efecto de no deducibles establecido en el artículo 28, fracción II de LISR. Cabe decir que esta disposición es aplicable porque el último párrafo del artículo 103 de la LISR establece que deben considerarse los gastos e inversiones en los términos del artículo 28 de la LISR.</w:t>
      </w:r>
    </w:p>
    <w:p w14:paraId="10CBC14A" w14:textId="77777777" w:rsidR="005E2641" w:rsidRPr="005E2641" w:rsidRDefault="005E2641" w:rsidP="005E2641">
      <w:pPr>
        <w:spacing w:after="360" w:line="360" w:lineRule="auto"/>
        <w:ind w:left="480" w:right="-159"/>
        <w:jc w:val="both"/>
        <w:rPr>
          <w:rFonts w:eastAsia="Calibri"/>
          <w:sz w:val="26"/>
          <w:szCs w:val="26"/>
          <w:lang w:eastAsia="en-US"/>
        </w:rPr>
      </w:pPr>
      <w:r w:rsidRPr="005E2641">
        <w:rPr>
          <w:rFonts w:eastAsia="Calibri"/>
          <w:sz w:val="26"/>
          <w:szCs w:val="26"/>
          <w:lang w:eastAsia="en-US"/>
        </w:rPr>
        <w:t>En este caso, DAIPA debería definirse como “Deducciones autorizadas de ingresos propios de actividades agrícolas, ganaderas, silvícolas o pesqueras antes de restar el efecto del artículo 28 fracción II de la ley del ISR”, esto con la finalidad de evitar esta duplicidad en perjuicio de los contribuyentes del sector primario.</w:t>
      </w:r>
    </w:p>
    <w:p w14:paraId="73C2F85D" w14:textId="77777777" w:rsidR="005E2641" w:rsidRPr="00DF70C5" w:rsidRDefault="005E2641" w:rsidP="00276F3E">
      <w:pPr>
        <w:numPr>
          <w:ilvl w:val="0"/>
          <w:numId w:val="57"/>
        </w:numPr>
        <w:spacing w:after="360"/>
        <w:ind w:left="482" w:right="-159" w:hanging="482"/>
        <w:jc w:val="both"/>
        <w:rPr>
          <w:rFonts w:eastAsia="Calibri"/>
          <w:b/>
          <w:sz w:val="26"/>
          <w:szCs w:val="26"/>
          <w:lang w:eastAsia="en-US"/>
        </w:rPr>
      </w:pPr>
      <w:r w:rsidRPr="00DF70C5">
        <w:rPr>
          <w:rFonts w:eastAsia="Calibri"/>
          <w:b/>
          <w:sz w:val="26"/>
          <w:szCs w:val="26"/>
          <w:lang w:eastAsia="en-US"/>
        </w:rPr>
        <w:t>Determinación de deducciones a aplicar relativas a ingresos no propios del sector primario:</w:t>
      </w:r>
    </w:p>
    <w:p w14:paraId="19BF08BD" w14:textId="77777777" w:rsidR="005E2641" w:rsidRPr="005E2641" w:rsidRDefault="005E2641" w:rsidP="005E2641">
      <w:pPr>
        <w:spacing w:after="360" w:line="360" w:lineRule="auto"/>
        <w:ind w:left="480" w:right="-159"/>
        <w:jc w:val="both"/>
        <w:rPr>
          <w:rFonts w:eastAsia="Calibri"/>
          <w:sz w:val="26"/>
          <w:szCs w:val="26"/>
          <w:lang w:eastAsia="en-US"/>
        </w:rPr>
      </w:pPr>
      <w:r w:rsidRPr="005E2641">
        <w:rPr>
          <w:rFonts w:eastAsia="Calibri"/>
          <w:sz w:val="26"/>
          <w:szCs w:val="26"/>
          <w:lang w:eastAsia="en-US"/>
        </w:rPr>
        <w:t>Las fórmulas contenidas en las reglas administrativas en comentario señalan que DAINPA significa: “Deducciones autorizadas de ingresos no propios de actividades agrícolas, ganaderas, silvícolas o pesqueras”.</w:t>
      </w:r>
    </w:p>
    <w:p w14:paraId="50BF055D" w14:textId="1BFD0CE4" w:rsidR="005E2641" w:rsidRPr="005E2641" w:rsidRDefault="005E2641" w:rsidP="005E2641">
      <w:pPr>
        <w:spacing w:after="360" w:line="360" w:lineRule="auto"/>
        <w:ind w:left="480" w:right="-159"/>
        <w:jc w:val="both"/>
        <w:rPr>
          <w:rFonts w:eastAsia="Calibri"/>
          <w:sz w:val="26"/>
          <w:szCs w:val="26"/>
          <w:lang w:eastAsia="en-US"/>
        </w:rPr>
      </w:pPr>
      <w:r w:rsidRPr="005E2641">
        <w:rPr>
          <w:rFonts w:eastAsia="Calibri"/>
          <w:sz w:val="26"/>
          <w:szCs w:val="26"/>
          <w:lang w:eastAsia="en-US"/>
        </w:rPr>
        <w:t xml:space="preserve">Una parte de las fórmulas señalan lo siguiente: [DAINPA*(1-IEPA/IT)]. Con la aplicación de esta parte de las fórmulas son limitadas o disminuidas dichas deducciones, lo cual legalmente resulta incorrecto en virtud de que, por la realización de actividades diferentes al sector primario no se tienen ingresos exentos, en consecuencia no resulta procedente aplicar proporción alguna a dichas deducciones, sino que </w:t>
      </w:r>
      <w:r w:rsidR="00CB7BE4">
        <w:rPr>
          <w:rFonts w:eastAsia="Calibri"/>
          <w:sz w:val="26"/>
          <w:szCs w:val="26"/>
          <w:lang w:eastAsia="en-US"/>
        </w:rPr>
        <w:t>é</w:t>
      </w:r>
      <w:r w:rsidRPr="005E2641">
        <w:rPr>
          <w:rFonts w:eastAsia="Calibri"/>
          <w:sz w:val="26"/>
          <w:szCs w:val="26"/>
          <w:lang w:eastAsia="en-US"/>
        </w:rPr>
        <w:t>stas deben aplicarse a 100%. Cabe comentar que el artículo 48 del Reglamento de la LISR señala que no se consideran ingresos exentos los dividendos o utilidades ni las partidas que no se califican como ingresos, de conformidad con lo dispuesto en la LISR.</w:t>
      </w:r>
    </w:p>
    <w:p w14:paraId="4B3D9E4C" w14:textId="77777777" w:rsidR="005E2641" w:rsidRPr="005E2641" w:rsidRDefault="005E2641" w:rsidP="005E2641">
      <w:pPr>
        <w:spacing w:after="360" w:line="360" w:lineRule="auto"/>
        <w:ind w:right="-159"/>
        <w:jc w:val="both"/>
        <w:rPr>
          <w:rFonts w:eastAsia="Calibri"/>
          <w:sz w:val="26"/>
          <w:szCs w:val="26"/>
          <w:lang w:eastAsia="en-US"/>
        </w:rPr>
      </w:pPr>
      <w:r w:rsidRPr="005E2641">
        <w:rPr>
          <w:rFonts w:eastAsia="Calibri"/>
          <w:sz w:val="26"/>
          <w:szCs w:val="26"/>
          <w:lang w:eastAsia="en-US"/>
        </w:rPr>
        <w:lastRenderedPageBreak/>
        <w:t>En la Comisión Fiscal del Instituto Mexicano de Contadores Públicos, estamos atentos para intercambiar puntos de vista con las autoridades fiscales para analizar los aspectos antes comentados.</w:t>
      </w:r>
    </w:p>
    <w:p w14:paraId="15EE9776" w14:textId="77777777" w:rsidR="005E2641" w:rsidRPr="005E2641" w:rsidRDefault="005E2641" w:rsidP="005E2641">
      <w:pPr>
        <w:spacing w:after="360" w:line="360" w:lineRule="auto"/>
        <w:ind w:right="-159"/>
        <w:jc w:val="both"/>
        <w:rPr>
          <w:rFonts w:eastAsia="Calibri"/>
          <w:sz w:val="26"/>
          <w:szCs w:val="26"/>
          <w:lang w:eastAsia="en-US"/>
        </w:rPr>
      </w:pPr>
      <w:r w:rsidRPr="005E2641">
        <w:rPr>
          <w:rFonts w:eastAsia="Calibri"/>
          <w:b/>
          <w:sz w:val="26"/>
          <w:szCs w:val="26"/>
          <w:lang w:eastAsia="en-US"/>
        </w:rPr>
        <w:t>Conclusión</w:t>
      </w:r>
    </w:p>
    <w:p w14:paraId="7D355923" w14:textId="2BD67DA5" w:rsidR="005E2641" w:rsidRPr="005E2641" w:rsidRDefault="005E2641" w:rsidP="005E2641">
      <w:pPr>
        <w:spacing w:after="360" w:line="360" w:lineRule="auto"/>
        <w:ind w:right="-159"/>
        <w:jc w:val="both"/>
        <w:rPr>
          <w:rFonts w:eastAsia="Calibri"/>
          <w:sz w:val="26"/>
          <w:szCs w:val="26"/>
          <w:lang w:eastAsia="en-US"/>
        </w:rPr>
      </w:pPr>
      <w:r w:rsidRPr="005E2641">
        <w:rPr>
          <w:rFonts w:eastAsia="Calibri"/>
          <w:sz w:val="26"/>
          <w:szCs w:val="26"/>
          <w:lang w:eastAsia="en-US"/>
        </w:rPr>
        <w:t>A partir del 1</w:t>
      </w:r>
      <w:r>
        <w:rPr>
          <w:rFonts w:eastAsia="Calibri"/>
          <w:sz w:val="26"/>
          <w:szCs w:val="26"/>
          <w:lang w:eastAsia="en-US"/>
        </w:rPr>
        <w:t xml:space="preserve">º </w:t>
      </w:r>
      <w:r w:rsidRPr="005E2641">
        <w:rPr>
          <w:rFonts w:eastAsia="Calibri"/>
          <w:sz w:val="26"/>
          <w:szCs w:val="26"/>
          <w:lang w:eastAsia="en-US"/>
        </w:rPr>
        <w:t>de enero de 2014, para efectos de la determinación del ISR, los contribuyentes del sector primario determinan el importe de la reducción del impuesto en función de diferentes parámetros o niveles de ingresos que obtengan, estos segmentos son: a) los que son exentos, b) aquellos a los que les es aplicable la reducción de ISR y c) los que no llevan reducción de ISR.</w:t>
      </w:r>
    </w:p>
    <w:p w14:paraId="02A99AAA" w14:textId="77777777" w:rsidR="005E2641" w:rsidRPr="005E2641" w:rsidRDefault="005E2641" w:rsidP="005E2641">
      <w:pPr>
        <w:spacing w:after="360" w:line="360" w:lineRule="auto"/>
        <w:ind w:right="-159"/>
        <w:jc w:val="both"/>
        <w:rPr>
          <w:rFonts w:eastAsia="Calibri"/>
          <w:sz w:val="26"/>
          <w:szCs w:val="26"/>
          <w:lang w:eastAsia="en-US"/>
        </w:rPr>
      </w:pPr>
      <w:r w:rsidRPr="005E2641">
        <w:rPr>
          <w:rFonts w:eastAsia="Calibri"/>
          <w:sz w:val="26"/>
          <w:szCs w:val="26"/>
          <w:lang w:eastAsia="en-US"/>
        </w:rPr>
        <w:t>Existe un trato diferenciado en la determinación del ISR que deben pagar las sociedades mercantiles dedicadas a actividades del sector primario, respecto de sociedades o asociaciones de productores dedicadas a esas mismas actividades, no obstante que ambas tengan el mismo nivel de ingresos.</w:t>
      </w:r>
    </w:p>
    <w:p w14:paraId="3F9F247B" w14:textId="77777777" w:rsidR="005E2641" w:rsidRPr="005E2641" w:rsidRDefault="005E2641" w:rsidP="005E2641">
      <w:pPr>
        <w:spacing w:after="360" w:line="360" w:lineRule="auto"/>
        <w:ind w:right="-159"/>
        <w:jc w:val="both"/>
        <w:rPr>
          <w:rFonts w:eastAsia="Calibri"/>
          <w:sz w:val="26"/>
          <w:szCs w:val="26"/>
          <w:lang w:eastAsia="en-US"/>
        </w:rPr>
      </w:pPr>
      <w:r w:rsidRPr="005E2641">
        <w:rPr>
          <w:rFonts w:eastAsia="Calibri"/>
          <w:sz w:val="26"/>
          <w:szCs w:val="26"/>
          <w:lang w:eastAsia="en-US"/>
        </w:rPr>
        <w:t>Derivado de los análisis de los procedimientos y cifras mostrados en el presente trabajo, es factible concluir que los procedimientos implícitos en las fórmulas de las reglas 3.8.1, 3.8.2, 3.8.3 y 3.8.4 de la RMF de 2015 exceden, contrarían y/o establecen situaciones no congruentes con la LISR en vigor.</w:t>
      </w:r>
    </w:p>
    <w:p w14:paraId="5747496B" w14:textId="77777777" w:rsidR="005E2641" w:rsidRPr="005E2641" w:rsidRDefault="005E2641" w:rsidP="005E2641">
      <w:pPr>
        <w:spacing w:after="360" w:line="360" w:lineRule="auto"/>
        <w:ind w:right="-159"/>
        <w:jc w:val="both"/>
        <w:rPr>
          <w:rFonts w:eastAsia="Calibri"/>
          <w:sz w:val="26"/>
          <w:szCs w:val="26"/>
          <w:lang w:eastAsia="en-US"/>
        </w:rPr>
      </w:pPr>
      <w:r w:rsidRPr="005E2641">
        <w:rPr>
          <w:rFonts w:eastAsia="Calibri"/>
          <w:sz w:val="26"/>
          <w:szCs w:val="26"/>
          <w:lang w:eastAsia="en-US"/>
        </w:rPr>
        <w:t>Es importante que los procedimientos de determinación del ISR reducido que deben pagar estos contribuyentes sean proporcionales, equitativos y regulados en la LISR, no por medio de disposiciones administrativas.</w:t>
      </w:r>
    </w:p>
    <w:p w14:paraId="64D86A55" w14:textId="77777777" w:rsidR="005E2641" w:rsidRPr="005E2641" w:rsidRDefault="005E2641" w:rsidP="005E2641">
      <w:pPr>
        <w:ind w:right="-159"/>
        <w:jc w:val="both"/>
        <w:rPr>
          <w:rFonts w:eastAsia="Calibri"/>
          <w:sz w:val="20"/>
          <w:szCs w:val="20"/>
          <w:lang w:eastAsia="en-US"/>
        </w:rPr>
      </w:pPr>
      <w:r w:rsidRPr="005E2641">
        <w:rPr>
          <w:rFonts w:eastAsia="Calibri"/>
          <w:b/>
          <w:sz w:val="20"/>
          <w:szCs w:val="20"/>
          <w:lang w:eastAsia="en-US"/>
        </w:rPr>
        <w:t>Fuente de información</w:t>
      </w:r>
      <w:r w:rsidRPr="005E2641">
        <w:rPr>
          <w:rFonts w:eastAsia="Calibri"/>
          <w:sz w:val="20"/>
          <w:szCs w:val="20"/>
          <w:lang w:eastAsia="en-US"/>
        </w:rPr>
        <w:t>:</w:t>
      </w:r>
    </w:p>
    <w:p w14:paraId="5D741E43" w14:textId="77777777" w:rsidR="005E2641" w:rsidRPr="001B4DFF" w:rsidRDefault="0093224F" w:rsidP="005E2641">
      <w:pPr>
        <w:ind w:right="-159"/>
        <w:jc w:val="both"/>
        <w:rPr>
          <w:rFonts w:eastAsia="Calibri"/>
          <w:color w:val="0000FF"/>
          <w:sz w:val="20"/>
          <w:szCs w:val="20"/>
          <w:lang w:eastAsia="en-US"/>
        </w:rPr>
      </w:pPr>
      <w:hyperlink r:id="rId299" w:history="1">
        <w:r w:rsidR="005E2641" w:rsidRPr="001B4DFF">
          <w:rPr>
            <w:rFonts w:eastAsia="Calibri"/>
            <w:color w:val="0000FF"/>
            <w:sz w:val="20"/>
            <w:szCs w:val="20"/>
            <w:u w:val="single"/>
            <w:lang w:eastAsia="en-US"/>
          </w:rPr>
          <w:t>http://imcp.org.mx/wp-content/uploads/2015/02/Fiscoactualidades-febrero_n%C3%BAm-04.pdf</w:t>
        </w:r>
      </w:hyperlink>
    </w:p>
    <w:p w14:paraId="55DE6940" w14:textId="77777777" w:rsidR="005E2641" w:rsidRDefault="005E2641" w:rsidP="005E2641">
      <w:pPr>
        <w:spacing w:after="360" w:line="360" w:lineRule="auto"/>
        <w:ind w:right="-159"/>
        <w:jc w:val="both"/>
        <w:rPr>
          <w:rFonts w:eastAsia="Calibri"/>
          <w:sz w:val="26"/>
          <w:szCs w:val="26"/>
          <w:lang w:eastAsia="en-US"/>
        </w:rPr>
      </w:pPr>
    </w:p>
    <w:p w14:paraId="3E93823D" w14:textId="77777777" w:rsidR="00593607" w:rsidRPr="005E2641" w:rsidRDefault="00593607" w:rsidP="005E2641">
      <w:pPr>
        <w:spacing w:after="360" w:line="360" w:lineRule="auto"/>
        <w:ind w:right="-159"/>
        <w:jc w:val="both"/>
        <w:rPr>
          <w:rFonts w:eastAsia="Calibri"/>
          <w:sz w:val="26"/>
          <w:szCs w:val="26"/>
          <w:lang w:eastAsia="en-US"/>
        </w:rPr>
      </w:pPr>
    </w:p>
    <w:p w14:paraId="5B1D7FE0" w14:textId="77777777" w:rsidR="001F1785" w:rsidRPr="001F1785" w:rsidRDefault="001F1785" w:rsidP="001F1785">
      <w:pPr>
        <w:ind w:right="-159"/>
        <w:jc w:val="both"/>
        <w:rPr>
          <w:rFonts w:eastAsia="Calibri"/>
          <w:b/>
          <w:sz w:val="26"/>
          <w:szCs w:val="26"/>
          <w:lang w:eastAsia="en-US"/>
        </w:rPr>
      </w:pPr>
      <w:r w:rsidRPr="001F1785">
        <w:rPr>
          <w:rFonts w:eastAsia="Calibri"/>
          <w:b/>
          <w:sz w:val="26"/>
          <w:szCs w:val="26"/>
          <w:lang w:eastAsia="en-US"/>
        </w:rPr>
        <w:lastRenderedPageBreak/>
        <w:t>Impacto  fiscal  de  la  caída de los precios del</w:t>
      </w:r>
    </w:p>
    <w:p w14:paraId="15BF9BB4" w14:textId="77777777" w:rsidR="001F1785" w:rsidRPr="001F1785" w:rsidRDefault="001F1785" w:rsidP="001F1785">
      <w:pPr>
        <w:spacing w:after="360" w:line="360" w:lineRule="auto"/>
        <w:ind w:right="-159"/>
        <w:jc w:val="both"/>
        <w:rPr>
          <w:rFonts w:eastAsia="Calibri"/>
          <w:b/>
          <w:sz w:val="26"/>
          <w:szCs w:val="26"/>
          <w:lang w:eastAsia="en-US"/>
        </w:rPr>
      </w:pPr>
      <w:r w:rsidRPr="001F1785">
        <w:rPr>
          <w:rFonts w:eastAsia="Calibri"/>
          <w:b/>
          <w:sz w:val="26"/>
          <w:szCs w:val="26"/>
          <w:lang w:eastAsia="en-US"/>
        </w:rPr>
        <w:t>petróleo en América Latina y el Caribe (FMI)</w:t>
      </w:r>
    </w:p>
    <w:p w14:paraId="72C50E5F" w14:textId="77777777" w:rsidR="001F1785" w:rsidRPr="001F1785" w:rsidRDefault="001F1785" w:rsidP="001F1785">
      <w:pPr>
        <w:spacing w:after="360" w:line="360" w:lineRule="auto"/>
        <w:ind w:right="-159"/>
        <w:jc w:val="both"/>
        <w:rPr>
          <w:rFonts w:eastAsia="Calibri"/>
          <w:sz w:val="26"/>
          <w:szCs w:val="26"/>
          <w:lang w:eastAsia="en-US"/>
        </w:rPr>
      </w:pPr>
      <w:r w:rsidRPr="001F1785">
        <w:rPr>
          <w:rFonts w:eastAsia="Calibri"/>
          <w:sz w:val="26"/>
          <w:szCs w:val="26"/>
          <w:lang w:eastAsia="en-US"/>
        </w:rPr>
        <w:t>El 26 de febrero de 2015, el Fondo Monetario Internacional (FMI) publicó la nota “Impacto fiscal de la caída de los precios del petróleo en América Latina y el Caribe” A continuación se presenta la información.</w:t>
      </w:r>
    </w:p>
    <w:p w14:paraId="0CC54561" w14:textId="77777777" w:rsidR="001F1785" w:rsidRPr="001F1785" w:rsidRDefault="001F1785" w:rsidP="001F1785">
      <w:pPr>
        <w:spacing w:after="360" w:line="360" w:lineRule="auto"/>
        <w:ind w:right="-159"/>
        <w:jc w:val="both"/>
        <w:rPr>
          <w:rFonts w:eastAsia="Calibri"/>
          <w:sz w:val="26"/>
          <w:szCs w:val="26"/>
          <w:lang w:eastAsia="en-US"/>
        </w:rPr>
      </w:pPr>
      <w:r w:rsidRPr="001F1785">
        <w:rPr>
          <w:rFonts w:eastAsia="Calibri"/>
          <w:sz w:val="26"/>
          <w:szCs w:val="26"/>
          <w:lang w:eastAsia="en-US"/>
        </w:rPr>
        <w:t>El colapso de los precios internacionales del petróleo —de 105 dólares a alrededor de 50 dólares el barril desde mediados de 2014— ha sido una bonanza para los países que lo importan y ha planteados retos para los países que lo exportan.</w:t>
      </w:r>
    </w:p>
    <w:p w14:paraId="07035F40" w14:textId="77777777" w:rsidR="001F1785" w:rsidRDefault="001F1785" w:rsidP="001F1785">
      <w:pPr>
        <w:spacing w:after="360" w:line="360" w:lineRule="auto"/>
        <w:ind w:right="-159"/>
        <w:jc w:val="both"/>
        <w:rPr>
          <w:rFonts w:eastAsia="Calibri"/>
          <w:sz w:val="26"/>
          <w:szCs w:val="26"/>
          <w:lang w:eastAsia="en-US"/>
        </w:rPr>
      </w:pPr>
      <w:r w:rsidRPr="001F1785">
        <w:rPr>
          <w:rFonts w:eastAsia="Calibri"/>
          <w:sz w:val="26"/>
          <w:szCs w:val="26"/>
          <w:lang w:eastAsia="en-US"/>
        </w:rPr>
        <w:t>En general, los importadores de petróleo gozarán de un crecimiento más rápido, menor inflación y posiciones externas más sólidas, y la mayoría escapará a presiones fiscales significativas. Los países exportadores de petróleo tenderán a experimentar una desaceleración del crecimiento y un debilitamiento del saldo de la cuenta corriente externa, y algunos se verán sometidos a presiones fiscales, dado que muchos dependen de ingresos directos vinculados al petróleo. Un caso destacado es el de Venezuela, que ya sufría graves desequilibrios económicos antes de que los precios del petróleo comenzaran a caer, y ahora se encuentra en una situación aún más precaria.</w:t>
      </w:r>
    </w:p>
    <w:p w14:paraId="3BF826FE" w14:textId="77777777" w:rsidR="00593607" w:rsidRDefault="00593607" w:rsidP="001F1785">
      <w:pPr>
        <w:spacing w:after="360" w:line="360" w:lineRule="auto"/>
        <w:ind w:right="-159"/>
        <w:jc w:val="both"/>
        <w:rPr>
          <w:rFonts w:eastAsia="Calibri"/>
          <w:sz w:val="26"/>
          <w:szCs w:val="26"/>
          <w:lang w:eastAsia="en-US"/>
        </w:rPr>
      </w:pPr>
    </w:p>
    <w:p w14:paraId="39FCA708" w14:textId="77777777" w:rsidR="00593607" w:rsidRDefault="00593607" w:rsidP="001F1785">
      <w:pPr>
        <w:spacing w:after="360" w:line="360" w:lineRule="auto"/>
        <w:ind w:right="-159"/>
        <w:jc w:val="both"/>
        <w:rPr>
          <w:rFonts w:eastAsia="Calibri"/>
          <w:sz w:val="26"/>
          <w:szCs w:val="26"/>
          <w:lang w:eastAsia="en-US"/>
        </w:rPr>
      </w:pPr>
    </w:p>
    <w:p w14:paraId="2CA09FB2" w14:textId="77777777" w:rsidR="00593607" w:rsidRDefault="00593607" w:rsidP="001F1785">
      <w:pPr>
        <w:spacing w:after="360" w:line="360" w:lineRule="auto"/>
        <w:ind w:right="-159"/>
        <w:jc w:val="both"/>
        <w:rPr>
          <w:rFonts w:eastAsia="Calibri"/>
          <w:sz w:val="26"/>
          <w:szCs w:val="26"/>
          <w:lang w:eastAsia="en-US"/>
        </w:rPr>
      </w:pPr>
    </w:p>
    <w:p w14:paraId="291B3593" w14:textId="77777777" w:rsidR="00593607" w:rsidRDefault="00593607" w:rsidP="001F1785">
      <w:pPr>
        <w:spacing w:after="360" w:line="360" w:lineRule="auto"/>
        <w:ind w:right="-159"/>
        <w:jc w:val="both"/>
        <w:rPr>
          <w:rFonts w:eastAsia="Calibri"/>
          <w:sz w:val="26"/>
          <w:szCs w:val="26"/>
          <w:lang w:eastAsia="en-US"/>
        </w:rPr>
      </w:pPr>
    </w:p>
    <w:p w14:paraId="13E30DF0" w14:textId="77777777" w:rsidR="00593607" w:rsidRDefault="00593607" w:rsidP="001F1785">
      <w:pPr>
        <w:spacing w:after="360" w:line="360" w:lineRule="auto"/>
        <w:ind w:right="-159"/>
        <w:jc w:val="both"/>
        <w:rPr>
          <w:rFonts w:eastAsia="Calibri"/>
          <w:sz w:val="26"/>
          <w:szCs w:val="26"/>
          <w:lang w:eastAsia="en-US"/>
        </w:rPr>
      </w:pPr>
    </w:p>
    <w:p w14:paraId="089A793F" w14:textId="77777777" w:rsidR="00593607" w:rsidRPr="001F1785" w:rsidRDefault="00593607" w:rsidP="001F1785">
      <w:pPr>
        <w:spacing w:after="360" w:line="360" w:lineRule="auto"/>
        <w:ind w:right="-159"/>
        <w:jc w:val="both"/>
        <w:rPr>
          <w:rFonts w:eastAsia="Calibri"/>
          <w:sz w:val="26"/>
          <w:szCs w:val="26"/>
          <w:lang w:eastAsia="en-US"/>
        </w:rPr>
      </w:pPr>
    </w:p>
    <w:tbl>
      <w:tblPr>
        <w:tblW w:w="0" w:type="auto"/>
        <w:tblBorders>
          <w:insideV w:val="single" w:sz="4" w:space="0" w:color="auto"/>
        </w:tblBorders>
        <w:tblLook w:val="04A0" w:firstRow="1" w:lastRow="0" w:firstColumn="1" w:lastColumn="0" w:noHBand="0" w:noVBand="1"/>
      </w:tblPr>
      <w:tblGrid>
        <w:gridCol w:w="8828"/>
      </w:tblGrid>
      <w:tr w:rsidR="001F1785" w:rsidRPr="001F1785" w14:paraId="36E5D647" w14:textId="77777777" w:rsidTr="001E7D79">
        <w:tc>
          <w:tcPr>
            <w:tcW w:w="8828" w:type="dxa"/>
          </w:tcPr>
          <w:p w14:paraId="3905166D" w14:textId="77777777" w:rsidR="001F1785" w:rsidRPr="001F1785" w:rsidRDefault="001F1785" w:rsidP="001F1785">
            <w:pPr>
              <w:jc w:val="center"/>
              <w:rPr>
                <w:rFonts w:eastAsia="Calibri"/>
                <w:b/>
                <w:sz w:val="22"/>
                <w:szCs w:val="26"/>
                <w:lang w:eastAsia="en-US"/>
              </w:rPr>
            </w:pPr>
            <w:r w:rsidRPr="001F1785">
              <w:rPr>
                <w:rFonts w:eastAsia="Calibri"/>
                <w:b/>
                <w:sz w:val="22"/>
                <w:szCs w:val="26"/>
                <w:lang w:eastAsia="en-US"/>
              </w:rPr>
              <w:lastRenderedPageBreak/>
              <w:t>EXPORTACIÓN NETA DE PETRÓLEO, 2014</w:t>
            </w:r>
          </w:p>
          <w:p w14:paraId="133A1936" w14:textId="77777777" w:rsidR="001F1785" w:rsidRPr="001F1785" w:rsidRDefault="001F1785" w:rsidP="001F1785">
            <w:pPr>
              <w:jc w:val="center"/>
              <w:rPr>
                <w:rFonts w:eastAsia="Calibri"/>
                <w:b/>
                <w:sz w:val="22"/>
                <w:szCs w:val="26"/>
                <w:lang w:eastAsia="en-US"/>
              </w:rPr>
            </w:pPr>
            <w:r w:rsidRPr="001F1785">
              <w:rPr>
                <w:rFonts w:eastAsia="Calibri"/>
                <w:b/>
                <w:sz w:val="22"/>
                <w:szCs w:val="26"/>
                <w:lang w:eastAsia="en-US"/>
              </w:rPr>
              <w:t>-Porcentaje del PIB-</w:t>
            </w:r>
          </w:p>
        </w:tc>
      </w:tr>
      <w:tr w:rsidR="001F1785" w:rsidRPr="001F1785" w14:paraId="62A3080A" w14:textId="77777777" w:rsidTr="001E7D79">
        <w:tc>
          <w:tcPr>
            <w:tcW w:w="8828" w:type="dxa"/>
          </w:tcPr>
          <w:p w14:paraId="2A5A3B55" w14:textId="77777777" w:rsidR="001F1785" w:rsidRPr="001F1785" w:rsidRDefault="001F1785" w:rsidP="001F1785">
            <w:pPr>
              <w:jc w:val="both"/>
              <w:rPr>
                <w:rFonts w:eastAsia="Calibri"/>
                <w:sz w:val="26"/>
                <w:szCs w:val="26"/>
                <w:lang w:eastAsia="en-US"/>
              </w:rPr>
            </w:pPr>
            <w:r w:rsidRPr="001F1785">
              <w:rPr>
                <w:rFonts w:eastAsia="Calibri"/>
                <w:noProof/>
                <w:sz w:val="26"/>
                <w:szCs w:val="26"/>
                <w:lang w:eastAsia="es-MX"/>
              </w:rPr>
              <w:drawing>
                <wp:inline distT="0" distB="0" distL="0" distR="0" wp14:anchorId="59C35491" wp14:editId="35901286">
                  <wp:extent cx="5416853" cy="3854085"/>
                  <wp:effectExtent l="0" t="0" r="0" b="0"/>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00" cstate="print">
                            <a:extLst>
                              <a:ext uri="{28A0092B-C50C-407E-A947-70E740481C1C}">
                                <a14:useLocalDpi xmlns:a14="http://schemas.microsoft.com/office/drawing/2010/main" val="0"/>
                              </a:ext>
                            </a:extLst>
                          </a:blip>
                          <a:srcRect l="853" t="2250" r="2433"/>
                          <a:stretch/>
                        </pic:blipFill>
                        <pic:spPr bwMode="auto">
                          <a:xfrm>
                            <a:off x="0" y="0"/>
                            <a:ext cx="5418526" cy="385527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F1785" w:rsidRPr="001F1785" w14:paraId="5CB9CE7A" w14:textId="77777777" w:rsidTr="001E7D79">
        <w:tc>
          <w:tcPr>
            <w:tcW w:w="8828" w:type="dxa"/>
          </w:tcPr>
          <w:p w14:paraId="23785182" w14:textId="77777777" w:rsidR="001F1785" w:rsidRPr="001F1785" w:rsidRDefault="001F1785" w:rsidP="001F1785">
            <w:pPr>
              <w:jc w:val="both"/>
              <w:rPr>
                <w:rFonts w:eastAsia="Calibri"/>
                <w:sz w:val="20"/>
                <w:szCs w:val="26"/>
                <w:lang w:eastAsia="en-US"/>
              </w:rPr>
            </w:pPr>
            <w:r w:rsidRPr="001F1785">
              <w:rPr>
                <w:rFonts w:eastAsia="Calibri"/>
                <w:sz w:val="20"/>
                <w:szCs w:val="26"/>
                <w:u w:val="single"/>
                <w:lang w:eastAsia="en-US"/>
              </w:rPr>
              <w:t>1</w:t>
            </w:r>
            <w:r w:rsidRPr="001F1785">
              <w:rPr>
                <w:rFonts w:eastAsia="Calibri"/>
                <w:sz w:val="20"/>
                <w:szCs w:val="26"/>
                <w:lang w:eastAsia="en-US"/>
              </w:rPr>
              <w:t>/ Los datos de Bolivia incluyen las exportaciones de gas natural.</w:t>
            </w:r>
          </w:p>
          <w:p w14:paraId="59DBB4F4" w14:textId="77777777" w:rsidR="001F1785" w:rsidRPr="001F1785" w:rsidRDefault="001F1785" w:rsidP="001F1785">
            <w:pPr>
              <w:ind w:left="879" w:hanging="879"/>
              <w:jc w:val="both"/>
              <w:rPr>
                <w:rFonts w:eastAsia="Calibri"/>
                <w:sz w:val="20"/>
                <w:szCs w:val="26"/>
                <w:lang w:eastAsia="en-US"/>
              </w:rPr>
            </w:pPr>
            <w:r w:rsidRPr="001F1785">
              <w:rPr>
                <w:rFonts w:eastAsia="Calibri"/>
                <w:sz w:val="20"/>
                <w:szCs w:val="26"/>
                <w:lang w:eastAsia="en-US"/>
              </w:rPr>
              <w:t>FUENTE. FMI, Perspectivas de la economía mundial (informe WEO) y cálculos del personal técnico del FMI.</w:t>
            </w:r>
          </w:p>
        </w:tc>
      </w:tr>
    </w:tbl>
    <w:p w14:paraId="5F33165B" w14:textId="77777777" w:rsidR="001F1785" w:rsidRPr="001F1785" w:rsidRDefault="001F1785" w:rsidP="001F1785">
      <w:pPr>
        <w:spacing w:after="360" w:line="360" w:lineRule="auto"/>
        <w:ind w:right="-159"/>
        <w:jc w:val="both"/>
        <w:rPr>
          <w:rFonts w:eastAsia="Calibri"/>
          <w:sz w:val="26"/>
          <w:szCs w:val="26"/>
          <w:lang w:eastAsia="en-US"/>
        </w:rPr>
      </w:pPr>
    </w:p>
    <w:p w14:paraId="45ED7A73" w14:textId="77777777" w:rsidR="001F1785" w:rsidRPr="001F1785" w:rsidRDefault="001F1785" w:rsidP="001F1785">
      <w:pPr>
        <w:spacing w:after="360" w:line="360" w:lineRule="auto"/>
        <w:ind w:right="-159"/>
        <w:jc w:val="both"/>
        <w:rPr>
          <w:rFonts w:eastAsia="Calibri"/>
          <w:b/>
          <w:sz w:val="26"/>
          <w:szCs w:val="26"/>
          <w:lang w:eastAsia="en-US"/>
        </w:rPr>
      </w:pPr>
      <w:r w:rsidRPr="001F1785">
        <w:rPr>
          <w:rFonts w:eastAsia="Calibri"/>
          <w:b/>
          <w:sz w:val="26"/>
          <w:szCs w:val="26"/>
          <w:lang w:eastAsia="en-US"/>
        </w:rPr>
        <w:t>Una nueva realidad</w:t>
      </w:r>
    </w:p>
    <w:p w14:paraId="427F5C01" w14:textId="77777777" w:rsidR="001F1785" w:rsidRPr="001F1785" w:rsidRDefault="001F1785" w:rsidP="001F1785">
      <w:pPr>
        <w:spacing w:after="360" w:line="360" w:lineRule="auto"/>
        <w:ind w:right="-159"/>
        <w:jc w:val="both"/>
        <w:rPr>
          <w:rFonts w:eastAsia="Calibri"/>
          <w:sz w:val="26"/>
          <w:szCs w:val="26"/>
          <w:lang w:eastAsia="en-US"/>
        </w:rPr>
      </w:pPr>
      <w:r w:rsidRPr="001F1785">
        <w:rPr>
          <w:rFonts w:eastAsia="Calibri"/>
          <w:sz w:val="26"/>
          <w:szCs w:val="26"/>
          <w:lang w:eastAsia="en-US"/>
        </w:rPr>
        <w:t xml:space="preserve">Para adaptarse a este nuevo entorno mundial, muchos países están permitiendo que la caída de los precios internacionales del petróleo se traduzca en un abaratamiento de los costos energéticos internos. Esto aumenta el ingreso disponible de los consumidores y las empresas, ya que bajan los precios del transporte y la electricidad. Esta política respalda el crecimiento y alivia las presiones inflacionarias. También contribuye a estabilizar el saldo de la cuenta corriente externa al estimular la demanda de importaciones no petroleras, lo cual puede compensar en parte la disminución de las importaciones petroleras. En América Latina y el Caribe, según nuestras estimaciones, 60% de estos países —tal como en el caso de Barbados, Costa Rica y Guatemala— </w:t>
      </w:r>
      <w:r w:rsidRPr="001F1785">
        <w:rPr>
          <w:rFonts w:eastAsia="Calibri"/>
          <w:sz w:val="26"/>
          <w:szCs w:val="26"/>
          <w:lang w:eastAsia="en-US"/>
        </w:rPr>
        <w:lastRenderedPageBreak/>
        <w:t>permitirán que la caída de los precios internacionales de los combustibles se trasladen completamente a los precios internos para fines de 2015, en tanto que menos del 30% impedirán hasta el más mínimo traslado.</w:t>
      </w:r>
    </w:p>
    <w:tbl>
      <w:tblPr>
        <w:tblW w:w="0" w:type="auto"/>
        <w:tblBorders>
          <w:insideV w:val="single" w:sz="4" w:space="0" w:color="auto"/>
        </w:tblBorders>
        <w:tblLook w:val="04A0" w:firstRow="1" w:lastRow="0" w:firstColumn="1" w:lastColumn="0" w:noHBand="0" w:noVBand="1"/>
      </w:tblPr>
      <w:tblGrid>
        <w:gridCol w:w="4448"/>
        <w:gridCol w:w="4392"/>
      </w:tblGrid>
      <w:tr w:rsidR="001F1785" w:rsidRPr="001F1785" w14:paraId="32E067C8" w14:textId="77777777" w:rsidTr="001E7D79">
        <w:tc>
          <w:tcPr>
            <w:tcW w:w="4414" w:type="dxa"/>
            <w:tcBorders>
              <w:left w:val="nil"/>
              <w:right w:val="nil"/>
            </w:tcBorders>
          </w:tcPr>
          <w:p w14:paraId="2AF95E1E" w14:textId="77777777" w:rsidR="001F1785" w:rsidRPr="001F1785" w:rsidRDefault="001F1785" w:rsidP="001F1785">
            <w:pPr>
              <w:jc w:val="center"/>
              <w:rPr>
                <w:rFonts w:eastAsia="Calibri"/>
                <w:b/>
                <w:sz w:val="22"/>
                <w:szCs w:val="26"/>
                <w:lang w:eastAsia="en-US"/>
              </w:rPr>
            </w:pPr>
            <w:r w:rsidRPr="001F1785">
              <w:rPr>
                <w:rFonts w:eastAsia="Calibri"/>
                <w:b/>
                <w:sz w:val="22"/>
                <w:szCs w:val="26"/>
                <w:lang w:eastAsia="en-US"/>
              </w:rPr>
              <w:t xml:space="preserve">Mecanismos de ajustes de precios de los combustibles internos </w:t>
            </w:r>
          </w:p>
          <w:p w14:paraId="3B9C70E0" w14:textId="45CCD1A6" w:rsidR="001F1785" w:rsidRPr="001F1785" w:rsidRDefault="00CB7BE4" w:rsidP="00CB7BE4">
            <w:pPr>
              <w:jc w:val="center"/>
              <w:rPr>
                <w:rFonts w:eastAsia="Calibri"/>
                <w:b/>
                <w:sz w:val="22"/>
                <w:szCs w:val="26"/>
                <w:lang w:eastAsia="en-US"/>
              </w:rPr>
            </w:pPr>
            <w:r>
              <w:rPr>
                <w:rFonts w:eastAsia="Calibri"/>
                <w:b/>
                <w:sz w:val="22"/>
                <w:szCs w:val="26"/>
                <w:lang w:eastAsia="en-US"/>
              </w:rPr>
              <w:t>-</w:t>
            </w:r>
            <w:r w:rsidR="001F1785" w:rsidRPr="001F1785">
              <w:rPr>
                <w:rFonts w:eastAsia="Calibri"/>
                <w:b/>
                <w:sz w:val="22"/>
                <w:szCs w:val="26"/>
                <w:lang w:eastAsia="en-US"/>
              </w:rPr>
              <w:t>Porcentaje de la muestra total de economías de ALC</w:t>
            </w:r>
            <w:r>
              <w:rPr>
                <w:rFonts w:eastAsia="Calibri"/>
                <w:b/>
                <w:sz w:val="22"/>
                <w:szCs w:val="26"/>
                <w:lang w:eastAsia="en-US"/>
              </w:rPr>
              <w:t>-</w:t>
            </w:r>
          </w:p>
        </w:tc>
        <w:tc>
          <w:tcPr>
            <w:tcW w:w="4414" w:type="dxa"/>
            <w:tcBorders>
              <w:left w:val="nil"/>
            </w:tcBorders>
          </w:tcPr>
          <w:p w14:paraId="7BA32241" w14:textId="77777777" w:rsidR="001F1785" w:rsidRPr="001F1785" w:rsidRDefault="001F1785" w:rsidP="001F1785">
            <w:pPr>
              <w:jc w:val="center"/>
              <w:rPr>
                <w:rFonts w:eastAsia="Calibri"/>
                <w:b/>
                <w:sz w:val="22"/>
                <w:szCs w:val="26"/>
                <w:lang w:eastAsia="en-US"/>
              </w:rPr>
            </w:pPr>
            <w:r w:rsidRPr="001F1785">
              <w:rPr>
                <w:rFonts w:eastAsia="Calibri"/>
                <w:b/>
                <w:sz w:val="22"/>
                <w:szCs w:val="26"/>
                <w:lang w:eastAsia="en-US"/>
              </w:rPr>
              <w:t>Traslado esperado de la reciente disminución del precio del petróleo</w:t>
            </w:r>
          </w:p>
          <w:p w14:paraId="3C66127F" w14:textId="76949731" w:rsidR="001F1785" w:rsidRPr="001F1785" w:rsidRDefault="00CB7BE4" w:rsidP="00CB7BE4">
            <w:pPr>
              <w:jc w:val="center"/>
              <w:rPr>
                <w:rFonts w:eastAsia="Calibri"/>
                <w:b/>
                <w:sz w:val="22"/>
                <w:szCs w:val="26"/>
                <w:lang w:eastAsia="en-US"/>
              </w:rPr>
            </w:pPr>
            <w:r>
              <w:rPr>
                <w:rFonts w:eastAsia="Calibri"/>
                <w:b/>
                <w:sz w:val="22"/>
                <w:szCs w:val="26"/>
                <w:lang w:eastAsia="en-US"/>
              </w:rPr>
              <w:t>-</w:t>
            </w:r>
            <w:r w:rsidR="001F1785" w:rsidRPr="001F1785">
              <w:rPr>
                <w:rFonts w:eastAsia="Calibri"/>
                <w:b/>
                <w:sz w:val="22"/>
                <w:szCs w:val="26"/>
                <w:lang w:eastAsia="en-US"/>
              </w:rPr>
              <w:t>Porcentaje de la nuestra total de economías de ALC</w:t>
            </w:r>
            <w:r>
              <w:rPr>
                <w:rFonts w:eastAsia="Calibri"/>
                <w:b/>
                <w:sz w:val="22"/>
                <w:szCs w:val="26"/>
                <w:lang w:eastAsia="en-US"/>
              </w:rPr>
              <w:t>-</w:t>
            </w:r>
          </w:p>
        </w:tc>
      </w:tr>
      <w:tr w:rsidR="001F1785" w:rsidRPr="001F1785" w14:paraId="49DFBC49" w14:textId="77777777" w:rsidTr="001E7D79">
        <w:tc>
          <w:tcPr>
            <w:tcW w:w="8828" w:type="dxa"/>
            <w:gridSpan w:val="2"/>
          </w:tcPr>
          <w:p w14:paraId="65FA2EBB" w14:textId="77777777" w:rsidR="001F1785" w:rsidRPr="001F1785" w:rsidRDefault="001F1785" w:rsidP="001F1785">
            <w:pPr>
              <w:jc w:val="both"/>
              <w:rPr>
                <w:rFonts w:eastAsia="Calibri"/>
                <w:sz w:val="26"/>
                <w:szCs w:val="26"/>
                <w:lang w:eastAsia="en-US"/>
              </w:rPr>
            </w:pPr>
            <w:r w:rsidRPr="001F1785">
              <w:rPr>
                <w:rFonts w:eastAsia="Calibri"/>
                <w:noProof/>
                <w:sz w:val="26"/>
                <w:szCs w:val="26"/>
                <w:lang w:eastAsia="es-MX"/>
              </w:rPr>
              <w:drawing>
                <wp:inline distT="0" distB="0" distL="0" distR="0" wp14:anchorId="73235BF8" wp14:editId="2E8C2943">
                  <wp:extent cx="5564316" cy="3168000"/>
                  <wp:effectExtent l="0" t="0" r="0" b="0"/>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5564316" cy="3168000"/>
                          </a:xfrm>
                          <a:prstGeom prst="rect">
                            <a:avLst/>
                          </a:prstGeom>
                          <a:noFill/>
                          <a:ln>
                            <a:noFill/>
                          </a:ln>
                        </pic:spPr>
                      </pic:pic>
                    </a:graphicData>
                  </a:graphic>
                </wp:inline>
              </w:drawing>
            </w:r>
          </w:p>
        </w:tc>
      </w:tr>
      <w:tr w:rsidR="001F1785" w:rsidRPr="001F1785" w14:paraId="6E0EEF22" w14:textId="77777777" w:rsidTr="001E7D79">
        <w:tc>
          <w:tcPr>
            <w:tcW w:w="8828" w:type="dxa"/>
            <w:gridSpan w:val="2"/>
          </w:tcPr>
          <w:p w14:paraId="27471C21" w14:textId="77777777" w:rsidR="001F1785" w:rsidRPr="001F1785" w:rsidRDefault="001F1785" w:rsidP="001F1785">
            <w:pPr>
              <w:ind w:left="879" w:hanging="879"/>
              <w:jc w:val="both"/>
              <w:rPr>
                <w:rFonts w:eastAsia="Calibri"/>
                <w:sz w:val="20"/>
                <w:szCs w:val="26"/>
                <w:lang w:eastAsia="en-US"/>
              </w:rPr>
            </w:pPr>
            <w:r w:rsidRPr="001F1785">
              <w:rPr>
                <w:rFonts w:eastAsia="Calibri"/>
                <w:sz w:val="20"/>
                <w:szCs w:val="26"/>
                <w:lang w:eastAsia="en-US"/>
              </w:rPr>
              <w:t>FUENTE. Autoridades nacionales y estimaciones y cálculos del personal técnico del FMI.</w:t>
            </w:r>
          </w:p>
        </w:tc>
      </w:tr>
    </w:tbl>
    <w:p w14:paraId="4DF8E0B0" w14:textId="77777777" w:rsidR="001F1785" w:rsidRPr="001F1785" w:rsidRDefault="001F1785" w:rsidP="001F1785">
      <w:pPr>
        <w:spacing w:after="360" w:line="360" w:lineRule="auto"/>
        <w:ind w:right="-159"/>
        <w:jc w:val="both"/>
        <w:rPr>
          <w:rFonts w:eastAsia="Calibri"/>
          <w:sz w:val="26"/>
          <w:szCs w:val="26"/>
          <w:lang w:eastAsia="en-US"/>
        </w:rPr>
      </w:pPr>
    </w:p>
    <w:p w14:paraId="5FD0AB29" w14:textId="77777777" w:rsidR="001F1785" w:rsidRPr="001F1785" w:rsidRDefault="001F1785" w:rsidP="001F1785">
      <w:pPr>
        <w:spacing w:after="360" w:line="360" w:lineRule="auto"/>
        <w:ind w:right="-159"/>
        <w:jc w:val="both"/>
        <w:rPr>
          <w:rFonts w:eastAsia="Calibri"/>
          <w:b/>
          <w:sz w:val="26"/>
          <w:szCs w:val="26"/>
          <w:lang w:eastAsia="en-US"/>
        </w:rPr>
      </w:pPr>
      <w:r w:rsidRPr="001F1785">
        <w:rPr>
          <w:rFonts w:eastAsia="Calibri"/>
          <w:b/>
          <w:sz w:val="26"/>
          <w:szCs w:val="26"/>
          <w:lang w:eastAsia="en-US"/>
        </w:rPr>
        <w:t>Arma de doble filo: El impacto en los saldos fiscales</w:t>
      </w:r>
    </w:p>
    <w:p w14:paraId="63431AF6" w14:textId="77777777" w:rsidR="001F1785" w:rsidRPr="001F1785" w:rsidRDefault="001F1785" w:rsidP="001F1785">
      <w:pPr>
        <w:spacing w:after="360" w:line="360" w:lineRule="auto"/>
        <w:ind w:right="-159"/>
        <w:jc w:val="both"/>
        <w:rPr>
          <w:rFonts w:eastAsia="Calibri"/>
          <w:sz w:val="26"/>
          <w:szCs w:val="26"/>
          <w:lang w:eastAsia="en-US"/>
        </w:rPr>
      </w:pPr>
      <w:r w:rsidRPr="001F1785">
        <w:rPr>
          <w:rFonts w:eastAsia="Calibri"/>
          <w:sz w:val="26"/>
          <w:szCs w:val="26"/>
          <w:lang w:eastAsia="en-US"/>
        </w:rPr>
        <w:t xml:space="preserve">Para los importadores netos, los precios internacionales del petróleo pueden influir en los saldos fiscales de distintas maneras que podrían terminar compensándose. La recaudación por impuestos sobre las importaciones petroleras (tanto los impuestos sobre el valor agregado como los derechos de importación </w:t>
      </w:r>
      <w:r w:rsidRPr="001F1785">
        <w:rPr>
          <w:rFonts w:eastAsia="Calibri"/>
          <w:i/>
          <w:sz w:val="26"/>
          <w:szCs w:val="26"/>
          <w:lang w:eastAsia="en-US"/>
        </w:rPr>
        <w:t>ad valorem</w:t>
      </w:r>
      <w:r w:rsidRPr="001F1785">
        <w:rPr>
          <w:rFonts w:eastAsia="Calibri"/>
          <w:sz w:val="26"/>
          <w:szCs w:val="26"/>
          <w:lang w:eastAsia="en-US"/>
        </w:rPr>
        <w:t xml:space="preserve">) probablemente disminuya, pero los subsidios a los combustibles también podrían abaratarse, especialmente si el gobierno no permite un traslado total de la baja de los precios internacionales del petróleo. Nuestro análisis nos lleva a concluir que la situación fiscal de la mayoría de los países que son importadores netos de petróleo mejoraría </w:t>
      </w:r>
      <w:r w:rsidRPr="001F1785">
        <w:rPr>
          <w:rFonts w:eastAsia="Calibri"/>
          <w:sz w:val="26"/>
          <w:szCs w:val="26"/>
          <w:lang w:eastAsia="en-US"/>
        </w:rPr>
        <w:lastRenderedPageBreak/>
        <w:t>moderadamente gracias a la caída de los precios internacionales del petróleo. La situación fiscal de algunos de estos países se está fortaleciendo porque los gobiernos no están permitiendo que el retroceso de los precios internacionales se vea reflejado en los precios internos.</w:t>
      </w:r>
    </w:p>
    <w:p w14:paraId="206E2BC2" w14:textId="77777777" w:rsidR="001F1785" w:rsidRPr="001F1785" w:rsidRDefault="001F1785" w:rsidP="001F1785">
      <w:pPr>
        <w:spacing w:after="360" w:line="360" w:lineRule="auto"/>
        <w:ind w:right="-159"/>
        <w:jc w:val="both"/>
        <w:rPr>
          <w:rFonts w:eastAsia="Calibri"/>
          <w:sz w:val="26"/>
          <w:szCs w:val="26"/>
          <w:lang w:eastAsia="en-US"/>
        </w:rPr>
      </w:pPr>
      <w:r w:rsidRPr="001F1785">
        <w:rPr>
          <w:rFonts w:eastAsia="Calibri"/>
          <w:sz w:val="26"/>
          <w:szCs w:val="26"/>
          <w:lang w:eastAsia="en-US"/>
        </w:rPr>
        <w:t>Pero el efecto de los precios internacionales del petróleo en la situación fiscal de los exportadores netos de petróleo (Bolivia, Colombia, Ecuador, México, Trinidad y Tobago y Venezuela) es negativo. En la mayoría de estos países, el sector está dominado por una empresa petrolera estatal, que genera ingresos fiscales a través de impuestos sobre la renta, dividendos y regalías pagadas al gobierno. Estas empresas pueden tener el monopolio de las ventas nacionales de derivados del petróleo y pueden cargar con los costos de los subsidios internos a los combustibles.</w:t>
      </w:r>
    </w:p>
    <w:p w14:paraId="3D916387" w14:textId="77777777" w:rsidR="001F1785" w:rsidRPr="001F1785" w:rsidRDefault="001F1785" w:rsidP="001F1785">
      <w:pPr>
        <w:spacing w:after="360" w:line="360" w:lineRule="auto"/>
        <w:ind w:right="-159"/>
        <w:jc w:val="both"/>
        <w:rPr>
          <w:rFonts w:eastAsia="Calibri"/>
          <w:sz w:val="26"/>
          <w:szCs w:val="26"/>
          <w:lang w:eastAsia="en-US"/>
        </w:rPr>
      </w:pPr>
      <w:r w:rsidRPr="001F1785">
        <w:rPr>
          <w:rFonts w:eastAsia="Calibri"/>
          <w:sz w:val="26"/>
          <w:szCs w:val="26"/>
          <w:lang w:eastAsia="en-US"/>
        </w:rPr>
        <w:t>Ecuador, México y Trinidad y Tobago ya han comenzado a recortar el gasto para compensar la disminución del ingreso vinculado a los hidrocarburos. El gobierno mexicano está incrementando el precio interno de la gasolina un 1.9% en 2015, lo cual reforzará el ingreso generado por las ventas nacionales, y contrató un seguro en el mercado que contribuyó a limitar la contracción del ingreso relacionado con el petróleo en 2015. El gobierno tendrá que emprender un ajuste fiscal adicional en 2016 porque la protección del seguro no se extiende más allá de 2015.</w:t>
      </w:r>
    </w:p>
    <w:p w14:paraId="0DA418C6" w14:textId="77777777" w:rsidR="001F1785" w:rsidRPr="001F1785" w:rsidRDefault="001F1785" w:rsidP="001F1785">
      <w:pPr>
        <w:spacing w:after="360" w:line="360" w:lineRule="auto"/>
        <w:ind w:right="-159"/>
        <w:jc w:val="both"/>
        <w:rPr>
          <w:rFonts w:eastAsia="Calibri"/>
          <w:sz w:val="26"/>
          <w:szCs w:val="26"/>
          <w:lang w:eastAsia="en-US"/>
        </w:rPr>
      </w:pPr>
      <w:r w:rsidRPr="001F1785">
        <w:rPr>
          <w:rFonts w:eastAsia="Calibri"/>
          <w:sz w:val="26"/>
          <w:szCs w:val="26"/>
          <w:lang w:eastAsia="en-US"/>
        </w:rPr>
        <w:t>Colombia mantiene una regla fiscal que distribuye el ajuste según la fluctuación de los precios internacionales del petróleo. Esto significa que el déficit fiscal se profundizará en 2015, con la caída del ingreso fiscal vinculado al petróleo. Sin embargo, en los años venideros, el gobierno tendrá que recaudar ingreso no petrolero para alcanzar las metas del balance fiscal estructural impuestas por ley y proteger al mismo tiempo programas de gasto críticos.</w:t>
      </w:r>
    </w:p>
    <w:p w14:paraId="6B571887" w14:textId="77777777" w:rsidR="001F1785" w:rsidRPr="001F1785" w:rsidRDefault="001F1785" w:rsidP="001F1785">
      <w:pPr>
        <w:spacing w:after="360" w:line="360" w:lineRule="auto"/>
        <w:ind w:right="-159"/>
        <w:jc w:val="both"/>
        <w:rPr>
          <w:rFonts w:eastAsia="Calibri"/>
          <w:sz w:val="26"/>
          <w:szCs w:val="26"/>
          <w:lang w:eastAsia="en-US"/>
        </w:rPr>
      </w:pPr>
      <w:r w:rsidRPr="001F1785">
        <w:rPr>
          <w:rFonts w:eastAsia="Calibri"/>
          <w:sz w:val="26"/>
          <w:szCs w:val="26"/>
          <w:lang w:eastAsia="en-US"/>
        </w:rPr>
        <w:t xml:space="preserve">Bolivia sufrirá una pérdida significativa de ingresos, dado que el precio de sus exportaciones de gas natural está atado a los precios internacionales del petróleo, pero </w:t>
      </w:r>
      <w:r w:rsidRPr="001F1785">
        <w:rPr>
          <w:rFonts w:eastAsia="Calibri"/>
          <w:sz w:val="26"/>
          <w:szCs w:val="26"/>
          <w:lang w:eastAsia="en-US"/>
        </w:rPr>
        <w:lastRenderedPageBreak/>
        <w:t>el gobierno cuenta con una protección considerable en forma de depósitos y reservas internacionales netas que le dará margen de maniobra a corto plazo.</w:t>
      </w:r>
    </w:p>
    <w:p w14:paraId="0754E084" w14:textId="77777777" w:rsidR="001F1785" w:rsidRPr="001F1785" w:rsidRDefault="001F1785" w:rsidP="001F1785">
      <w:pPr>
        <w:spacing w:after="360" w:line="360" w:lineRule="auto"/>
        <w:ind w:right="-159"/>
        <w:jc w:val="both"/>
        <w:rPr>
          <w:rFonts w:eastAsia="Calibri"/>
          <w:sz w:val="26"/>
          <w:szCs w:val="26"/>
          <w:lang w:eastAsia="en-US"/>
        </w:rPr>
      </w:pPr>
      <w:r w:rsidRPr="001F1785">
        <w:rPr>
          <w:rFonts w:eastAsia="Calibri"/>
          <w:sz w:val="26"/>
          <w:szCs w:val="26"/>
          <w:lang w:eastAsia="en-US"/>
        </w:rPr>
        <w:t>La situación fiscal de Venezuela será la que más se deteriorará como consecuencia del abaratamiento internacional del petróleo, dado que gran parte del ingreso del sector público se deriva de las exportaciones de petróleo. Además, se prevé que el precio interno de la gasolina se mantenga cerca de cero, lo que prácticamente elimina todo ingreso potencialmente generado por las ventas nacionales.</w:t>
      </w:r>
    </w:p>
    <w:p w14:paraId="5E35E9F7" w14:textId="77777777" w:rsidR="001F1785" w:rsidRDefault="001F1785" w:rsidP="001F1785">
      <w:pPr>
        <w:spacing w:after="360" w:line="360" w:lineRule="auto"/>
        <w:ind w:right="-159"/>
        <w:jc w:val="both"/>
        <w:rPr>
          <w:rFonts w:eastAsia="Calibri"/>
          <w:sz w:val="26"/>
          <w:szCs w:val="26"/>
          <w:lang w:eastAsia="en-US"/>
        </w:rPr>
      </w:pPr>
      <w:r w:rsidRPr="001F1785">
        <w:rPr>
          <w:rFonts w:eastAsia="Calibri"/>
          <w:sz w:val="26"/>
          <w:szCs w:val="26"/>
          <w:lang w:eastAsia="en-US"/>
        </w:rPr>
        <w:t>Las dificultades fiscales de Venezuela podrían someter a presión a los países que importan su petróleo a través de Petrocaribe, un programa venezolano de asistencia energética para algunos países de América Central y el Caribe. En muchos de estos países, la disminución del valor de las importaciones petroleras excede el financiamiento proyectado recibido de Petrocaribe. Sin embargo, muchos países utilizan el componente de subsidios del financiamiento de Petrocaribe para sustentar el gasto a largo plazo, y podrían verse enfrentados a un ajuste fiscal espinoso si esta fuente de financiamiento desapareciera.</w:t>
      </w:r>
    </w:p>
    <w:p w14:paraId="292A1D2F" w14:textId="77777777" w:rsidR="00593607" w:rsidRDefault="00593607" w:rsidP="001F1785">
      <w:pPr>
        <w:spacing w:after="360" w:line="360" w:lineRule="auto"/>
        <w:ind w:right="-159"/>
        <w:jc w:val="both"/>
        <w:rPr>
          <w:rFonts w:eastAsia="Calibri"/>
          <w:sz w:val="26"/>
          <w:szCs w:val="26"/>
          <w:lang w:eastAsia="en-US"/>
        </w:rPr>
      </w:pPr>
    </w:p>
    <w:p w14:paraId="4FAE6FDC" w14:textId="77777777" w:rsidR="00593607" w:rsidRDefault="00593607" w:rsidP="001F1785">
      <w:pPr>
        <w:spacing w:after="360" w:line="360" w:lineRule="auto"/>
        <w:ind w:right="-159"/>
        <w:jc w:val="both"/>
        <w:rPr>
          <w:rFonts w:eastAsia="Calibri"/>
          <w:sz w:val="26"/>
          <w:szCs w:val="26"/>
          <w:lang w:eastAsia="en-US"/>
        </w:rPr>
      </w:pPr>
    </w:p>
    <w:p w14:paraId="72063850" w14:textId="77777777" w:rsidR="00593607" w:rsidRDefault="00593607" w:rsidP="001F1785">
      <w:pPr>
        <w:spacing w:after="360" w:line="360" w:lineRule="auto"/>
        <w:ind w:right="-159"/>
        <w:jc w:val="both"/>
        <w:rPr>
          <w:rFonts w:eastAsia="Calibri"/>
          <w:sz w:val="26"/>
          <w:szCs w:val="26"/>
          <w:lang w:eastAsia="en-US"/>
        </w:rPr>
      </w:pPr>
    </w:p>
    <w:p w14:paraId="73AB5CC1" w14:textId="77777777" w:rsidR="00593607" w:rsidRDefault="00593607" w:rsidP="001F1785">
      <w:pPr>
        <w:spacing w:after="360" w:line="360" w:lineRule="auto"/>
        <w:ind w:right="-159"/>
        <w:jc w:val="both"/>
        <w:rPr>
          <w:rFonts w:eastAsia="Calibri"/>
          <w:sz w:val="26"/>
          <w:szCs w:val="26"/>
          <w:lang w:eastAsia="en-US"/>
        </w:rPr>
      </w:pPr>
    </w:p>
    <w:p w14:paraId="10125685" w14:textId="77777777" w:rsidR="00593607" w:rsidRDefault="00593607" w:rsidP="001F1785">
      <w:pPr>
        <w:spacing w:after="360" w:line="360" w:lineRule="auto"/>
        <w:ind w:right="-159"/>
        <w:jc w:val="both"/>
        <w:rPr>
          <w:rFonts w:eastAsia="Calibri"/>
          <w:sz w:val="26"/>
          <w:szCs w:val="26"/>
          <w:lang w:eastAsia="en-US"/>
        </w:rPr>
      </w:pPr>
    </w:p>
    <w:p w14:paraId="2A8DF047" w14:textId="77777777" w:rsidR="00593607" w:rsidRDefault="00593607" w:rsidP="001F1785">
      <w:pPr>
        <w:spacing w:after="360" w:line="360" w:lineRule="auto"/>
        <w:ind w:right="-159"/>
        <w:jc w:val="both"/>
        <w:rPr>
          <w:rFonts w:eastAsia="Calibri"/>
          <w:sz w:val="26"/>
          <w:szCs w:val="26"/>
          <w:lang w:eastAsia="en-US"/>
        </w:rPr>
      </w:pPr>
    </w:p>
    <w:tbl>
      <w:tblPr>
        <w:tblW w:w="0" w:type="auto"/>
        <w:tblBorders>
          <w:insideV w:val="single" w:sz="4" w:space="0" w:color="auto"/>
        </w:tblBorders>
        <w:tblLook w:val="04A0" w:firstRow="1" w:lastRow="0" w:firstColumn="1" w:lastColumn="0" w:noHBand="0" w:noVBand="1"/>
      </w:tblPr>
      <w:tblGrid>
        <w:gridCol w:w="8828"/>
      </w:tblGrid>
      <w:tr w:rsidR="001F1785" w:rsidRPr="001F1785" w14:paraId="44273C16" w14:textId="77777777" w:rsidTr="001E7D79">
        <w:tc>
          <w:tcPr>
            <w:tcW w:w="8828" w:type="dxa"/>
          </w:tcPr>
          <w:p w14:paraId="555D838B" w14:textId="77777777" w:rsidR="001F1785" w:rsidRPr="001F1785" w:rsidRDefault="001F1785" w:rsidP="001F1785">
            <w:pPr>
              <w:jc w:val="center"/>
              <w:rPr>
                <w:rFonts w:eastAsia="Calibri"/>
                <w:b/>
                <w:sz w:val="22"/>
                <w:szCs w:val="26"/>
                <w:lang w:eastAsia="en-US"/>
              </w:rPr>
            </w:pPr>
            <w:r w:rsidRPr="001F1785">
              <w:rPr>
                <w:rFonts w:eastAsia="Calibri"/>
                <w:b/>
                <w:sz w:val="22"/>
                <w:szCs w:val="26"/>
                <w:lang w:eastAsia="en-US"/>
              </w:rPr>
              <w:lastRenderedPageBreak/>
              <w:t>DISMINUCIÓN DEL COSTO DE LA IMPORTACIÓN DE PETRÓLEO Y EXPOSICIÓN A PETROCARIBE</w:t>
            </w:r>
          </w:p>
          <w:p w14:paraId="7F8C4B07" w14:textId="77777777" w:rsidR="001F1785" w:rsidRPr="001F1785" w:rsidRDefault="001F1785" w:rsidP="001F1785">
            <w:pPr>
              <w:jc w:val="center"/>
              <w:rPr>
                <w:rFonts w:eastAsia="Calibri"/>
                <w:b/>
                <w:sz w:val="22"/>
                <w:szCs w:val="26"/>
                <w:lang w:eastAsia="en-US"/>
              </w:rPr>
            </w:pPr>
            <w:r w:rsidRPr="001F1785">
              <w:rPr>
                <w:rFonts w:eastAsia="Calibri"/>
                <w:b/>
                <w:sz w:val="22"/>
                <w:szCs w:val="26"/>
                <w:lang w:eastAsia="en-US"/>
              </w:rPr>
              <w:t>-Puntos porcentuales del PIB-</w:t>
            </w:r>
          </w:p>
        </w:tc>
      </w:tr>
      <w:tr w:rsidR="001F1785" w:rsidRPr="001F1785" w14:paraId="12A5556F" w14:textId="77777777" w:rsidTr="001E7D79">
        <w:tc>
          <w:tcPr>
            <w:tcW w:w="8828" w:type="dxa"/>
          </w:tcPr>
          <w:p w14:paraId="3038EB3D" w14:textId="77777777" w:rsidR="001F1785" w:rsidRPr="001F1785" w:rsidRDefault="001F1785" w:rsidP="001F1785">
            <w:pPr>
              <w:jc w:val="both"/>
              <w:rPr>
                <w:rFonts w:eastAsia="Calibri"/>
                <w:sz w:val="26"/>
                <w:szCs w:val="26"/>
                <w:lang w:eastAsia="en-US"/>
              </w:rPr>
            </w:pPr>
            <w:r w:rsidRPr="001F1785">
              <w:rPr>
                <w:rFonts w:eastAsia="Calibri"/>
                <w:noProof/>
                <w:sz w:val="26"/>
                <w:szCs w:val="26"/>
                <w:lang w:eastAsia="es-MX"/>
              </w:rPr>
              <w:drawing>
                <wp:inline distT="0" distB="0" distL="0" distR="0" wp14:anchorId="5217C608" wp14:editId="751500D0">
                  <wp:extent cx="5030731" cy="3960000"/>
                  <wp:effectExtent l="0" t="0" r="0" b="0"/>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5030731" cy="3960000"/>
                          </a:xfrm>
                          <a:prstGeom prst="rect">
                            <a:avLst/>
                          </a:prstGeom>
                          <a:noFill/>
                          <a:ln>
                            <a:noFill/>
                          </a:ln>
                        </pic:spPr>
                      </pic:pic>
                    </a:graphicData>
                  </a:graphic>
                </wp:inline>
              </w:drawing>
            </w:r>
          </w:p>
        </w:tc>
      </w:tr>
      <w:tr w:rsidR="001F1785" w:rsidRPr="001F1785" w14:paraId="708BCAEA" w14:textId="77777777" w:rsidTr="001E7D79">
        <w:tc>
          <w:tcPr>
            <w:tcW w:w="8828" w:type="dxa"/>
          </w:tcPr>
          <w:p w14:paraId="6BCB47BB" w14:textId="77777777" w:rsidR="001F1785" w:rsidRPr="001F1785" w:rsidRDefault="001F1785" w:rsidP="001F1785">
            <w:pPr>
              <w:ind w:left="879" w:hanging="879"/>
              <w:jc w:val="both"/>
              <w:rPr>
                <w:rFonts w:eastAsia="Calibri"/>
                <w:sz w:val="20"/>
                <w:szCs w:val="26"/>
                <w:lang w:eastAsia="en-US"/>
              </w:rPr>
            </w:pPr>
            <w:r w:rsidRPr="001F1785">
              <w:rPr>
                <w:rFonts w:eastAsia="Calibri"/>
                <w:sz w:val="20"/>
                <w:szCs w:val="26"/>
                <w:lang w:eastAsia="en-US"/>
              </w:rPr>
              <w:t>FUENTE. Autoridades nacionales y estimaciones del personal técnico del FMI.</w:t>
            </w:r>
          </w:p>
        </w:tc>
      </w:tr>
    </w:tbl>
    <w:p w14:paraId="3DF4681F" w14:textId="77777777" w:rsidR="001F1785" w:rsidRPr="001F1785" w:rsidRDefault="001F1785" w:rsidP="001F1785">
      <w:pPr>
        <w:spacing w:after="360" w:line="360" w:lineRule="auto"/>
        <w:ind w:right="-159"/>
        <w:jc w:val="both"/>
        <w:rPr>
          <w:rFonts w:eastAsia="Calibri"/>
          <w:sz w:val="26"/>
          <w:szCs w:val="26"/>
          <w:lang w:eastAsia="en-US"/>
        </w:rPr>
      </w:pPr>
    </w:p>
    <w:p w14:paraId="644B4381" w14:textId="77777777" w:rsidR="001F1785" w:rsidRPr="001F1785" w:rsidRDefault="001F1785" w:rsidP="001F1785">
      <w:pPr>
        <w:spacing w:after="360" w:line="360" w:lineRule="auto"/>
        <w:ind w:right="-159"/>
        <w:jc w:val="both"/>
        <w:rPr>
          <w:rFonts w:eastAsia="Calibri"/>
          <w:b/>
          <w:sz w:val="26"/>
          <w:szCs w:val="26"/>
          <w:lang w:eastAsia="en-US"/>
        </w:rPr>
      </w:pPr>
      <w:r w:rsidRPr="001F1785">
        <w:rPr>
          <w:rFonts w:eastAsia="Calibri"/>
          <w:b/>
          <w:sz w:val="26"/>
          <w:szCs w:val="26"/>
          <w:lang w:eastAsia="en-US"/>
        </w:rPr>
        <w:t>Implicaciones para la formulación de políticas</w:t>
      </w:r>
    </w:p>
    <w:p w14:paraId="36698853" w14:textId="77777777" w:rsidR="001F1785" w:rsidRPr="001F1785" w:rsidRDefault="001F1785" w:rsidP="001F1785">
      <w:pPr>
        <w:spacing w:after="360" w:line="360" w:lineRule="auto"/>
        <w:ind w:right="-159"/>
        <w:jc w:val="both"/>
        <w:rPr>
          <w:rFonts w:eastAsia="Calibri"/>
          <w:sz w:val="26"/>
          <w:szCs w:val="26"/>
          <w:lang w:eastAsia="en-US"/>
        </w:rPr>
      </w:pPr>
      <w:r w:rsidRPr="001F1785">
        <w:rPr>
          <w:rFonts w:eastAsia="Calibri"/>
          <w:sz w:val="26"/>
          <w:szCs w:val="26"/>
          <w:lang w:eastAsia="en-US"/>
        </w:rPr>
        <w:t>El nuevo panorama de los precios internacionales del petróleo beneficiará a algunos países y planteará retos a otros. En general, este nuevo panorama no hace peligrar la estabilidad macroeconómica de la región porque la mayoría de los países continuarán manteniendo marcos de política sólidos. Venezuela es la excepción, ya que la pérdida significativa de ingresos de exportación de petróleo agravará una situación de por sí frágil.</w:t>
      </w:r>
    </w:p>
    <w:p w14:paraId="099FB78A" w14:textId="77777777" w:rsidR="001F1785" w:rsidRPr="001F1785" w:rsidRDefault="001F1785" w:rsidP="001F1785">
      <w:pPr>
        <w:spacing w:after="360" w:line="360" w:lineRule="auto"/>
        <w:ind w:right="-159"/>
        <w:jc w:val="both"/>
        <w:rPr>
          <w:rFonts w:eastAsia="Calibri"/>
          <w:sz w:val="26"/>
          <w:szCs w:val="26"/>
          <w:lang w:eastAsia="en-US"/>
        </w:rPr>
      </w:pPr>
      <w:r w:rsidRPr="001F1785">
        <w:rPr>
          <w:rFonts w:eastAsia="Calibri"/>
          <w:sz w:val="26"/>
          <w:szCs w:val="26"/>
          <w:lang w:eastAsia="en-US"/>
        </w:rPr>
        <w:t xml:space="preserve">Para los países que aún no lo han hecho, la baja de los precios del petróleo representa una buena oportunidad para eliminar subsidios mal focalizados y establecer </w:t>
      </w:r>
      <w:r w:rsidRPr="001F1785">
        <w:rPr>
          <w:rFonts w:eastAsia="Calibri"/>
          <w:sz w:val="26"/>
          <w:szCs w:val="26"/>
          <w:lang w:eastAsia="en-US"/>
        </w:rPr>
        <w:lastRenderedPageBreak/>
        <w:t>mecanismos de fijación de precios que hagan posible un ajuste automático de los precios internos ante variaciones de los precios internacionales de los combustibles. El nuevo entorno mundial también pone de relieve la importancia de diversificar las fuentes de ingreso fiscal para evitar una dependencia excesiva de las exportaciones o las importaciones de petróleo.</w:t>
      </w:r>
    </w:p>
    <w:p w14:paraId="4F50E560" w14:textId="77777777" w:rsidR="001F1785" w:rsidRPr="001F1785" w:rsidRDefault="001F1785" w:rsidP="001F1785">
      <w:pPr>
        <w:ind w:right="-159"/>
        <w:jc w:val="both"/>
        <w:rPr>
          <w:rFonts w:eastAsia="Calibri"/>
          <w:b/>
          <w:sz w:val="20"/>
          <w:szCs w:val="26"/>
          <w:lang w:eastAsia="en-US"/>
        </w:rPr>
      </w:pPr>
      <w:r w:rsidRPr="001F1785">
        <w:rPr>
          <w:rFonts w:eastAsia="Calibri"/>
          <w:b/>
          <w:sz w:val="20"/>
          <w:szCs w:val="26"/>
          <w:lang w:eastAsia="en-US"/>
        </w:rPr>
        <w:t>Fuente de información:</w:t>
      </w:r>
    </w:p>
    <w:p w14:paraId="6D7C6F36" w14:textId="77777777" w:rsidR="001F1785" w:rsidRPr="001B4DFF" w:rsidRDefault="0093224F" w:rsidP="001B4DFF">
      <w:pPr>
        <w:spacing w:after="720"/>
        <w:ind w:right="-159"/>
        <w:jc w:val="both"/>
        <w:rPr>
          <w:rFonts w:eastAsia="Calibri"/>
          <w:color w:val="0000FF"/>
          <w:sz w:val="20"/>
          <w:szCs w:val="20"/>
          <w:lang w:eastAsia="en-US"/>
        </w:rPr>
      </w:pPr>
      <w:hyperlink r:id="rId303" w:history="1">
        <w:r w:rsidR="001F1785" w:rsidRPr="001B4DFF">
          <w:rPr>
            <w:rFonts w:eastAsia="Calibri"/>
            <w:color w:val="0000FF"/>
            <w:sz w:val="20"/>
            <w:szCs w:val="20"/>
            <w:u w:val="single"/>
            <w:lang w:eastAsia="en-US"/>
          </w:rPr>
          <w:t>http://blog-dialogoafondo.org/?p=4984</w:t>
        </w:r>
      </w:hyperlink>
      <w:r w:rsidR="001F1785" w:rsidRPr="001B4DFF">
        <w:rPr>
          <w:rFonts w:eastAsia="Calibri"/>
          <w:color w:val="0000FF"/>
          <w:sz w:val="20"/>
          <w:szCs w:val="20"/>
          <w:lang w:eastAsia="en-US"/>
        </w:rPr>
        <w:t xml:space="preserve"> </w:t>
      </w:r>
    </w:p>
    <w:p w14:paraId="71F0CBFF" w14:textId="77777777" w:rsidR="00117F22" w:rsidRPr="00117F22" w:rsidRDefault="00117F22" w:rsidP="00117F22">
      <w:pPr>
        <w:ind w:right="-159"/>
        <w:jc w:val="both"/>
        <w:rPr>
          <w:rFonts w:eastAsia="Calibri"/>
          <w:b/>
          <w:sz w:val="26"/>
          <w:szCs w:val="26"/>
          <w:lang w:eastAsia="en-US"/>
        </w:rPr>
      </w:pPr>
      <w:r w:rsidRPr="00117F22">
        <w:rPr>
          <w:rFonts w:eastAsia="Calibri"/>
          <w:b/>
          <w:sz w:val="26"/>
          <w:szCs w:val="26"/>
          <w:lang w:eastAsia="en-US"/>
        </w:rPr>
        <w:t>Panorama Fiscal de América Latina</w:t>
      </w:r>
    </w:p>
    <w:p w14:paraId="3DCEF790" w14:textId="459624C7" w:rsidR="00117F22" w:rsidRPr="00117F22" w:rsidRDefault="00117F22" w:rsidP="00117F22">
      <w:pPr>
        <w:ind w:right="-159"/>
        <w:jc w:val="both"/>
        <w:rPr>
          <w:rFonts w:eastAsia="Calibri"/>
          <w:b/>
          <w:sz w:val="26"/>
          <w:szCs w:val="26"/>
          <w:lang w:eastAsia="en-US"/>
        </w:rPr>
      </w:pPr>
      <w:r w:rsidRPr="00117F22">
        <w:rPr>
          <w:rFonts w:eastAsia="Calibri"/>
          <w:b/>
          <w:sz w:val="26"/>
          <w:szCs w:val="26"/>
          <w:lang w:eastAsia="en-US"/>
        </w:rPr>
        <w:t>y el  Caribe,  Dilemas  y  espacios de</w:t>
      </w:r>
    </w:p>
    <w:p w14:paraId="47FC27F4" w14:textId="77777777" w:rsidR="00117F22" w:rsidRPr="00117F22" w:rsidRDefault="00117F22" w:rsidP="00117F22">
      <w:pPr>
        <w:spacing w:after="360"/>
        <w:ind w:right="-159"/>
        <w:jc w:val="both"/>
        <w:rPr>
          <w:rFonts w:eastAsia="Calibri"/>
          <w:b/>
          <w:sz w:val="26"/>
          <w:szCs w:val="26"/>
          <w:lang w:eastAsia="en-US"/>
        </w:rPr>
      </w:pPr>
      <w:r w:rsidRPr="00117F22">
        <w:rPr>
          <w:rFonts w:eastAsia="Calibri"/>
          <w:b/>
          <w:sz w:val="26"/>
          <w:szCs w:val="26"/>
          <w:lang w:eastAsia="en-US"/>
        </w:rPr>
        <w:t>políticas (CEPAL)</w:t>
      </w:r>
    </w:p>
    <w:p w14:paraId="2F9590E9" w14:textId="77777777" w:rsidR="00117F22" w:rsidRPr="00117F22" w:rsidRDefault="00117F22" w:rsidP="00117F22">
      <w:pPr>
        <w:spacing w:after="360" w:line="360" w:lineRule="auto"/>
        <w:ind w:right="-159"/>
        <w:jc w:val="both"/>
        <w:rPr>
          <w:rFonts w:eastAsia="Calibri"/>
          <w:sz w:val="26"/>
          <w:szCs w:val="26"/>
          <w:lang w:val="es-ES" w:eastAsia="en-US"/>
        </w:rPr>
      </w:pPr>
      <w:r w:rsidRPr="00117F22">
        <w:rPr>
          <w:rFonts w:eastAsia="Calibri"/>
          <w:sz w:val="26"/>
          <w:szCs w:val="26"/>
          <w:lang w:val="es-ES" w:eastAsia="en-US"/>
        </w:rPr>
        <w:t xml:space="preserve">En marzo de 2015, la Comisión Económica para América Latina (CEPAL) publicó el documento “Panorama Fiscal de América Latina y el Caribe, Dilemas y espacios de políticas”. A continuación se presenta el Resumen Ejecutivo, los Comentarios Finales del Capítulo II y las Reflexiones Finales del Capítulo III. </w:t>
      </w:r>
    </w:p>
    <w:p w14:paraId="17E5093F" w14:textId="77777777" w:rsidR="00117F22" w:rsidRPr="00117F22" w:rsidRDefault="00117F22" w:rsidP="00117F22">
      <w:pPr>
        <w:spacing w:after="360" w:line="360" w:lineRule="auto"/>
        <w:ind w:right="-159"/>
        <w:jc w:val="both"/>
        <w:rPr>
          <w:rFonts w:eastAsia="Calibri"/>
          <w:b/>
          <w:sz w:val="26"/>
          <w:szCs w:val="26"/>
          <w:lang w:val="es-ES" w:eastAsia="en-US"/>
        </w:rPr>
      </w:pPr>
      <w:r w:rsidRPr="00117F22">
        <w:rPr>
          <w:rFonts w:eastAsia="Calibri"/>
          <w:b/>
          <w:sz w:val="26"/>
          <w:szCs w:val="26"/>
          <w:lang w:val="es-ES" w:eastAsia="en-US"/>
        </w:rPr>
        <w:t>Resumen Ejecutivo</w:t>
      </w:r>
    </w:p>
    <w:p w14:paraId="48A07E1E" w14:textId="77777777" w:rsidR="00117F22" w:rsidRPr="00117F22" w:rsidRDefault="00117F22" w:rsidP="00117F22">
      <w:pPr>
        <w:spacing w:after="360"/>
        <w:ind w:left="340" w:right="-159" w:hanging="340"/>
        <w:jc w:val="both"/>
        <w:rPr>
          <w:rFonts w:eastAsia="Calibri"/>
          <w:b/>
          <w:sz w:val="26"/>
          <w:szCs w:val="26"/>
          <w:lang w:val="es-ES" w:eastAsia="en-US"/>
        </w:rPr>
      </w:pPr>
      <w:r w:rsidRPr="00117F22">
        <w:rPr>
          <w:rFonts w:eastAsia="Calibri"/>
          <w:b/>
          <w:sz w:val="26"/>
          <w:szCs w:val="26"/>
          <w:lang w:val="es-ES" w:eastAsia="en-US"/>
        </w:rPr>
        <w:t>A. Los niveles de deuda pública son reducidos en América Latina y elevados en el Caribe</w:t>
      </w:r>
    </w:p>
    <w:p w14:paraId="501322A2" w14:textId="77777777" w:rsidR="00117F22" w:rsidRPr="00117F22" w:rsidRDefault="00117F22" w:rsidP="00117F22">
      <w:pPr>
        <w:spacing w:after="360" w:line="360" w:lineRule="auto"/>
        <w:ind w:right="-159"/>
        <w:jc w:val="both"/>
        <w:rPr>
          <w:rFonts w:eastAsia="Calibri"/>
          <w:sz w:val="26"/>
          <w:szCs w:val="26"/>
          <w:lang w:val="es-ES" w:eastAsia="en-US"/>
        </w:rPr>
      </w:pPr>
      <w:r w:rsidRPr="00117F22">
        <w:rPr>
          <w:rFonts w:eastAsia="Calibri"/>
          <w:sz w:val="26"/>
          <w:szCs w:val="26"/>
          <w:lang w:val="es-ES" w:eastAsia="en-US"/>
        </w:rPr>
        <w:t>Sin duda, más allá de las oscilaciones cíclicas del déficit o de otras variables de flujo, la sostenibilidad de las políticas fiscales se vincula al nivel de la deuda pública, a su composición y a su perfil de vencimientos. En una mirada de largo plazo, se aprecia que en América Latina (considerando un promedio de 19 países) tuvo lugar un largo período de aumento de la proporción de la deuda pública con respecto al  Producto Interno Bruto (PIB) (1970-1989), seguido por etapas de reducción (en los períodos 1990-1997 y 2004-2008, luego de un breve período de alza entre 1998 y 2003) y finalmente de estabilización, entre 2009 y 2014 (véase la gráfica siguiente).</w:t>
      </w:r>
    </w:p>
    <w:tbl>
      <w:tblPr>
        <w:tblW w:w="9209" w:type="dxa"/>
        <w:tblLook w:val="04A0" w:firstRow="1" w:lastRow="0" w:firstColumn="1" w:lastColumn="0" w:noHBand="0" w:noVBand="1"/>
      </w:tblPr>
      <w:tblGrid>
        <w:gridCol w:w="9209"/>
      </w:tblGrid>
      <w:tr w:rsidR="00117F22" w:rsidRPr="00117F22" w14:paraId="65D1B816" w14:textId="77777777" w:rsidTr="00117F22">
        <w:tc>
          <w:tcPr>
            <w:tcW w:w="9209" w:type="dxa"/>
          </w:tcPr>
          <w:p w14:paraId="1B12A0E3" w14:textId="77777777" w:rsidR="00117F22" w:rsidRPr="00117F22" w:rsidRDefault="00117F22" w:rsidP="00117F22">
            <w:pPr>
              <w:jc w:val="center"/>
              <w:rPr>
                <w:rFonts w:eastAsia="Calibri"/>
                <w:b/>
                <w:sz w:val="22"/>
                <w:szCs w:val="26"/>
                <w:lang w:val="es-ES" w:eastAsia="en-US"/>
              </w:rPr>
            </w:pPr>
            <w:r w:rsidRPr="00117F22">
              <w:rPr>
                <w:rFonts w:eastAsia="Calibri"/>
                <w:b/>
                <w:sz w:val="22"/>
                <w:szCs w:val="26"/>
                <w:lang w:val="es-ES" w:eastAsia="en-US"/>
              </w:rPr>
              <w:lastRenderedPageBreak/>
              <w:t>AMÉRICA LATINA</w:t>
            </w:r>
            <w:r w:rsidRPr="00117F22">
              <w:rPr>
                <w:rFonts w:eastAsia="Calibri"/>
                <w:b/>
                <w:sz w:val="22"/>
                <w:szCs w:val="26"/>
                <w:u w:val="single"/>
                <w:vertAlign w:val="superscript"/>
                <w:lang w:val="es-ES" w:eastAsia="en-US"/>
              </w:rPr>
              <w:t>a</w:t>
            </w:r>
            <w:r w:rsidRPr="00117F22">
              <w:rPr>
                <w:rFonts w:eastAsia="Calibri"/>
                <w:b/>
                <w:sz w:val="22"/>
                <w:szCs w:val="26"/>
                <w:vertAlign w:val="superscript"/>
                <w:lang w:val="es-ES" w:eastAsia="en-US"/>
              </w:rPr>
              <w:t>/</w:t>
            </w:r>
            <w:r w:rsidRPr="00117F22">
              <w:rPr>
                <w:rFonts w:eastAsia="Calibri"/>
                <w:b/>
                <w:sz w:val="22"/>
                <w:szCs w:val="26"/>
                <w:lang w:val="es-ES" w:eastAsia="en-US"/>
              </w:rPr>
              <w:t>: DEUDA PÚBLICA EXTERNA E INTERNA CON RESPECTO</w:t>
            </w:r>
          </w:p>
          <w:p w14:paraId="34B2E5A7" w14:textId="77777777" w:rsidR="00117F22" w:rsidRPr="00117F22" w:rsidRDefault="00117F22" w:rsidP="00117F22">
            <w:pPr>
              <w:jc w:val="center"/>
              <w:rPr>
                <w:rFonts w:eastAsia="Calibri"/>
                <w:b/>
                <w:sz w:val="22"/>
                <w:szCs w:val="26"/>
                <w:lang w:val="es-ES" w:eastAsia="en-US"/>
              </w:rPr>
            </w:pPr>
            <w:r w:rsidRPr="00117F22">
              <w:rPr>
                <w:rFonts w:eastAsia="Calibri"/>
                <w:b/>
                <w:sz w:val="22"/>
                <w:szCs w:val="26"/>
                <w:lang w:val="es-ES" w:eastAsia="en-US"/>
              </w:rPr>
              <w:t>AL PRODUCTO INTERNO BRUTO, 1970-2014</w:t>
            </w:r>
            <w:r w:rsidRPr="00117F22">
              <w:rPr>
                <w:rFonts w:eastAsia="Calibri"/>
                <w:b/>
                <w:sz w:val="22"/>
                <w:szCs w:val="26"/>
                <w:u w:val="single"/>
                <w:vertAlign w:val="superscript"/>
                <w:lang w:val="es-ES" w:eastAsia="en-US"/>
              </w:rPr>
              <w:t>b/</w:t>
            </w:r>
            <w:r w:rsidRPr="00117F22">
              <w:rPr>
                <w:rFonts w:eastAsia="Calibri"/>
                <w:b/>
                <w:sz w:val="22"/>
                <w:szCs w:val="26"/>
                <w:vertAlign w:val="superscript"/>
                <w:lang w:val="es-ES" w:eastAsia="en-US"/>
              </w:rPr>
              <w:t xml:space="preserve"> </w:t>
            </w:r>
            <w:r w:rsidRPr="00117F22">
              <w:rPr>
                <w:rFonts w:eastAsia="Calibri"/>
                <w:b/>
                <w:sz w:val="22"/>
                <w:szCs w:val="26"/>
                <w:u w:val="single"/>
                <w:vertAlign w:val="superscript"/>
                <w:lang w:val="es-ES" w:eastAsia="en-US"/>
              </w:rPr>
              <w:t>c</w:t>
            </w:r>
            <w:r w:rsidRPr="00117F22">
              <w:rPr>
                <w:rFonts w:eastAsia="Calibri"/>
                <w:b/>
                <w:sz w:val="22"/>
                <w:szCs w:val="26"/>
                <w:vertAlign w:val="superscript"/>
                <w:lang w:val="es-ES" w:eastAsia="en-US"/>
              </w:rPr>
              <w:t>/</w:t>
            </w:r>
            <w:r w:rsidRPr="00117F22">
              <w:rPr>
                <w:rFonts w:eastAsia="Calibri"/>
                <w:b/>
                <w:sz w:val="22"/>
                <w:szCs w:val="26"/>
                <w:lang w:val="es-ES" w:eastAsia="en-US"/>
              </w:rPr>
              <w:t xml:space="preserve"> </w:t>
            </w:r>
          </w:p>
          <w:p w14:paraId="4E21128E" w14:textId="77777777" w:rsidR="00117F22" w:rsidRPr="00117F22" w:rsidRDefault="00117F22" w:rsidP="00117F22">
            <w:pPr>
              <w:jc w:val="center"/>
              <w:rPr>
                <w:rFonts w:eastAsia="Calibri"/>
                <w:b/>
                <w:sz w:val="22"/>
                <w:szCs w:val="26"/>
                <w:lang w:val="es-ES" w:eastAsia="en-US"/>
              </w:rPr>
            </w:pPr>
            <w:r w:rsidRPr="00117F22">
              <w:rPr>
                <w:rFonts w:eastAsia="Calibri"/>
                <w:b/>
                <w:sz w:val="22"/>
                <w:szCs w:val="26"/>
                <w:lang w:val="es-ES" w:eastAsia="en-US"/>
              </w:rPr>
              <w:t>-En porcentajes-</w:t>
            </w:r>
          </w:p>
        </w:tc>
      </w:tr>
      <w:tr w:rsidR="00117F22" w:rsidRPr="00117F22" w14:paraId="66D285FA" w14:textId="77777777" w:rsidTr="00117F22">
        <w:tc>
          <w:tcPr>
            <w:tcW w:w="9209" w:type="dxa"/>
          </w:tcPr>
          <w:p w14:paraId="3990106A" w14:textId="77777777" w:rsidR="00117F22" w:rsidRPr="00117F22" w:rsidRDefault="00117F22" w:rsidP="00117F22">
            <w:pPr>
              <w:jc w:val="center"/>
              <w:rPr>
                <w:rFonts w:eastAsia="Calibri"/>
                <w:sz w:val="22"/>
                <w:szCs w:val="26"/>
                <w:lang w:val="es-ES" w:eastAsia="en-US"/>
              </w:rPr>
            </w:pPr>
            <w:r w:rsidRPr="00117F22">
              <w:rPr>
                <w:rFonts w:eastAsia="Calibri"/>
                <w:noProof/>
                <w:sz w:val="22"/>
                <w:szCs w:val="26"/>
                <w:lang w:eastAsia="es-MX"/>
              </w:rPr>
              <w:drawing>
                <wp:inline distT="0" distB="0" distL="0" distR="0" wp14:anchorId="4450C9D4" wp14:editId="6A5BA14E">
                  <wp:extent cx="4826124" cy="2808000"/>
                  <wp:effectExtent l="0" t="0" r="0" b="0"/>
                  <wp:docPr id="1571" name="Imagen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04" cstate="print">
                            <a:extLst>
                              <a:ext uri="{28A0092B-C50C-407E-A947-70E740481C1C}">
                                <a14:useLocalDpi xmlns:a14="http://schemas.microsoft.com/office/drawing/2010/main" val="0"/>
                              </a:ext>
                            </a:extLst>
                          </a:blip>
                          <a:srcRect t="3684" b="1146"/>
                          <a:stretch/>
                        </pic:blipFill>
                        <pic:spPr bwMode="auto">
                          <a:xfrm>
                            <a:off x="0" y="0"/>
                            <a:ext cx="4826124" cy="2808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17F22" w:rsidRPr="00117F22" w14:paraId="40C43FCF" w14:textId="77777777" w:rsidTr="00117F22">
        <w:tc>
          <w:tcPr>
            <w:tcW w:w="9209" w:type="dxa"/>
          </w:tcPr>
          <w:p w14:paraId="356AAEFF" w14:textId="77777777" w:rsidR="00117F22" w:rsidRPr="00117F22" w:rsidRDefault="00117F22" w:rsidP="00117F22">
            <w:pPr>
              <w:ind w:left="1091" w:right="742" w:hanging="211"/>
              <w:jc w:val="both"/>
              <w:rPr>
                <w:rFonts w:eastAsia="Calibri"/>
                <w:sz w:val="20"/>
                <w:szCs w:val="26"/>
                <w:lang w:val="es-ES" w:eastAsia="en-US"/>
              </w:rPr>
            </w:pPr>
            <w:r w:rsidRPr="00117F22">
              <w:rPr>
                <w:rFonts w:eastAsia="Calibri"/>
                <w:sz w:val="20"/>
                <w:szCs w:val="26"/>
                <w:u w:val="single"/>
                <w:lang w:val="es-ES" w:eastAsia="en-US"/>
              </w:rPr>
              <w:t>a</w:t>
            </w:r>
            <w:r w:rsidRPr="00117F22">
              <w:rPr>
                <w:rFonts w:eastAsia="Calibri"/>
                <w:sz w:val="20"/>
                <w:szCs w:val="26"/>
                <w:lang w:val="es-ES" w:eastAsia="en-US"/>
              </w:rPr>
              <w:t>/ Promedio simple de 19 países: Argentina, Bolivia (Estado Plurinacional de), Brasil, Chile, Colombia, Costa Rica, Ecuador, El Salvador, Guatemala, Haití, Honduras, México, Nicaragua, Panamá, Paraguay, Perú, República Dominicana, Uruguay y Venezuela (República Bolivariana de).</w:t>
            </w:r>
          </w:p>
          <w:p w14:paraId="58C84B0C" w14:textId="77777777" w:rsidR="00117F22" w:rsidRPr="00117F22" w:rsidRDefault="00117F22" w:rsidP="00117F22">
            <w:pPr>
              <w:ind w:left="1091" w:right="742" w:hanging="211"/>
              <w:jc w:val="both"/>
              <w:rPr>
                <w:rFonts w:eastAsia="Calibri"/>
                <w:sz w:val="20"/>
                <w:szCs w:val="26"/>
                <w:lang w:val="es-ES" w:eastAsia="en-US"/>
              </w:rPr>
            </w:pPr>
            <w:r w:rsidRPr="00117F22">
              <w:rPr>
                <w:rFonts w:eastAsia="Calibri"/>
                <w:sz w:val="20"/>
                <w:szCs w:val="26"/>
                <w:u w:val="single"/>
                <w:lang w:val="es-ES" w:eastAsia="en-US"/>
              </w:rPr>
              <w:t>b</w:t>
            </w:r>
            <w:r w:rsidRPr="00117F22">
              <w:rPr>
                <w:rFonts w:eastAsia="Calibri"/>
                <w:sz w:val="20"/>
                <w:szCs w:val="26"/>
                <w:lang w:val="es-ES" w:eastAsia="en-US"/>
              </w:rPr>
              <w:t>/ Los datos sobre la deuda pública interna corresponden al período comprendido entre 1990 y 2014.</w:t>
            </w:r>
          </w:p>
          <w:p w14:paraId="16F3E01B" w14:textId="77777777" w:rsidR="00117F22" w:rsidRPr="00117F22" w:rsidRDefault="00117F22" w:rsidP="00117F22">
            <w:pPr>
              <w:ind w:left="1091" w:right="742" w:hanging="211"/>
              <w:jc w:val="both"/>
              <w:rPr>
                <w:rFonts w:eastAsia="Calibri"/>
                <w:sz w:val="20"/>
                <w:szCs w:val="26"/>
                <w:lang w:val="es-ES" w:eastAsia="en-US"/>
              </w:rPr>
            </w:pPr>
            <w:r w:rsidRPr="00117F22">
              <w:rPr>
                <w:rFonts w:eastAsia="Calibri"/>
                <w:sz w:val="20"/>
                <w:szCs w:val="26"/>
                <w:u w:val="single"/>
                <w:lang w:val="es-ES" w:eastAsia="en-US"/>
              </w:rPr>
              <w:t>c</w:t>
            </w:r>
            <w:r w:rsidRPr="00117F22">
              <w:rPr>
                <w:rFonts w:eastAsia="Calibri"/>
                <w:sz w:val="20"/>
                <w:szCs w:val="26"/>
                <w:lang w:val="es-ES" w:eastAsia="en-US"/>
              </w:rPr>
              <w:t>/ Sector público no financiero.</w:t>
            </w:r>
          </w:p>
          <w:p w14:paraId="24E92FFF" w14:textId="77777777" w:rsidR="00117F22" w:rsidRPr="00117F22" w:rsidRDefault="00117F22" w:rsidP="00117F22">
            <w:pPr>
              <w:ind w:left="1091" w:right="742" w:hanging="211"/>
              <w:jc w:val="both"/>
              <w:rPr>
                <w:rFonts w:eastAsia="Calibri"/>
                <w:sz w:val="20"/>
                <w:szCs w:val="26"/>
                <w:lang w:val="es-ES" w:eastAsia="en-US"/>
              </w:rPr>
            </w:pPr>
            <w:r w:rsidRPr="00117F22">
              <w:rPr>
                <w:rFonts w:eastAsia="Calibri"/>
                <w:sz w:val="20"/>
                <w:szCs w:val="26"/>
                <w:u w:val="single"/>
                <w:lang w:val="es-ES" w:eastAsia="en-US"/>
              </w:rPr>
              <w:t>d</w:t>
            </w:r>
            <w:r w:rsidRPr="00117F22">
              <w:rPr>
                <w:rFonts w:eastAsia="Calibri"/>
                <w:sz w:val="20"/>
                <w:szCs w:val="26"/>
                <w:lang w:val="es-ES" w:eastAsia="en-US"/>
              </w:rPr>
              <w:t>/ Los datos de 2014 corresponden al tercer trimestre.</w:t>
            </w:r>
          </w:p>
          <w:p w14:paraId="20E3085B" w14:textId="77777777" w:rsidR="00117F22" w:rsidRPr="00117F22" w:rsidRDefault="00117F22" w:rsidP="00117F22">
            <w:pPr>
              <w:ind w:left="1810" w:right="742" w:hanging="930"/>
              <w:jc w:val="both"/>
              <w:rPr>
                <w:rFonts w:eastAsia="Calibri"/>
                <w:sz w:val="20"/>
                <w:szCs w:val="26"/>
                <w:lang w:val="es-ES" w:eastAsia="en-US"/>
              </w:rPr>
            </w:pPr>
            <w:r w:rsidRPr="00117F22">
              <w:rPr>
                <w:rFonts w:eastAsia="Calibri"/>
                <w:sz w:val="20"/>
                <w:szCs w:val="26"/>
                <w:lang w:val="es-ES" w:eastAsia="en-US"/>
              </w:rPr>
              <w:t>FUENTE: Comisión Económica para América Latina y el Caribe (CEPAL) y Banco Mundial, World Bank Data.</w:t>
            </w:r>
          </w:p>
        </w:tc>
      </w:tr>
    </w:tbl>
    <w:p w14:paraId="43D0BD3E" w14:textId="77777777" w:rsidR="00117F22" w:rsidRPr="00117F22" w:rsidRDefault="00117F22" w:rsidP="00117F22">
      <w:pPr>
        <w:spacing w:after="360" w:line="360" w:lineRule="auto"/>
        <w:ind w:right="-159"/>
        <w:jc w:val="both"/>
        <w:rPr>
          <w:rFonts w:eastAsia="Calibri"/>
          <w:sz w:val="26"/>
          <w:szCs w:val="26"/>
          <w:lang w:val="es-ES" w:eastAsia="en-US"/>
        </w:rPr>
      </w:pPr>
    </w:p>
    <w:p w14:paraId="39F8D395" w14:textId="77777777" w:rsidR="00117F22" w:rsidRPr="00117F22" w:rsidRDefault="00117F22" w:rsidP="00117F22">
      <w:pPr>
        <w:spacing w:after="360" w:line="360" w:lineRule="auto"/>
        <w:ind w:right="-159"/>
        <w:jc w:val="both"/>
        <w:rPr>
          <w:rFonts w:eastAsia="Calibri"/>
          <w:sz w:val="26"/>
          <w:szCs w:val="26"/>
          <w:lang w:val="es-ES" w:eastAsia="en-US"/>
        </w:rPr>
      </w:pPr>
      <w:r w:rsidRPr="00117F22">
        <w:rPr>
          <w:rFonts w:eastAsia="Calibri"/>
          <w:sz w:val="26"/>
          <w:szCs w:val="26"/>
          <w:lang w:val="es-ES" w:eastAsia="en-US"/>
        </w:rPr>
        <w:t>Como se advierte, en los años de bonanza —entre 2003 y 2008— se redujo considerablemente el nivel de la deuda pública y además se modificó de manera significativa su composición, observándose una extensión de los plazos, una mayor participación de la deuda a tasa fija, un aumento de la proporción de residentes en su tenencia y un creciente peso de las deudas en moneda local. De este modo, en los últimos 25 años la reducción de la deuda pública externa ha sido notable en la región: a comienzos de los años noventa representaba poco más del 70% del Producto Interno Bruto (PIB), en comparación con el 16% que registra en 2014.</w:t>
      </w:r>
    </w:p>
    <w:p w14:paraId="19D9CFBA" w14:textId="5F6D0764" w:rsidR="00117F22" w:rsidRPr="00117F22" w:rsidRDefault="00117F22" w:rsidP="00117F22">
      <w:pPr>
        <w:spacing w:after="360" w:line="360" w:lineRule="auto"/>
        <w:ind w:right="-159"/>
        <w:jc w:val="both"/>
        <w:rPr>
          <w:rFonts w:eastAsia="Calibri"/>
          <w:sz w:val="26"/>
          <w:szCs w:val="26"/>
          <w:lang w:val="es-ES" w:eastAsia="en-US"/>
        </w:rPr>
      </w:pPr>
      <w:r w:rsidRPr="00117F22">
        <w:rPr>
          <w:rFonts w:eastAsia="Calibri"/>
          <w:sz w:val="26"/>
          <w:szCs w:val="26"/>
          <w:lang w:val="es-ES" w:eastAsia="en-US"/>
        </w:rPr>
        <w:t xml:space="preserve">Entre 2000 y 2014, del conjunto de 19 países considerados de América Latina, se logró disminuir la proporción de la deuda pública con respecto al PIB en 11 países, mientras </w:t>
      </w:r>
      <w:r w:rsidRPr="00117F22">
        <w:rPr>
          <w:rFonts w:eastAsia="Calibri"/>
          <w:sz w:val="26"/>
          <w:szCs w:val="26"/>
          <w:lang w:val="es-ES" w:eastAsia="en-US"/>
        </w:rPr>
        <w:lastRenderedPageBreak/>
        <w:t xml:space="preserve">que en </w:t>
      </w:r>
      <w:r w:rsidR="00B96277">
        <w:rPr>
          <w:rFonts w:eastAsia="Calibri"/>
          <w:sz w:val="26"/>
          <w:szCs w:val="26"/>
          <w:lang w:val="es-ES" w:eastAsia="en-US"/>
        </w:rPr>
        <w:t>cinco</w:t>
      </w:r>
      <w:r w:rsidRPr="00117F22">
        <w:rPr>
          <w:rFonts w:eastAsia="Calibri"/>
          <w:sz w:val="26"/>
          <w:szCs w:val="26"/>
          <w:lang w:val="es-ES" w:eastAsia="en-US"/>
        </w:rPr>
        <w:t xml:space="preserve"> se incrementó (Chile, El Salvador, México, República Dominicana y Uruguay) y en </w:t>
      </w:r>
      <w:r w:rsidR="00B96277">
        <w:rPr>
          <w:rFonts w:eastAsia="Calibri"/>
          <w:sz w:val="26"/>
          <w:szCs w:val="26"/>
          <w:lang w:val="es-ES" w:eastAsia="en-US"/>
        </w:rPr>
        <w:t>tres</w:t>
      </w:r>
      <w:r w:rsidRPr="00117F22">
        <w:rPr>
          <w:rFonts w:eastAsia="Calibri"/>
          <w:sz w:val="26"/>
          <w:szCs w:val="26"/>
          <w:lang w:val="es-ES" w:eastAsia="en-US"/>
        </w:rPr>
        <w:t xml:space="preserve"> se mantuvo prácticamente constante (Costa Rica, Guatemala y Venezuela (República Bolivariana de)) (véase la gráfica siguiente).</w:t>
      </w:r>
    </w:p>
    <w:tbl>
      <w:tblPr>
        <w:tblW w:w="9209" w:type="dxa"/>
        <w:tblLook w:val="04A0" w:firstRow="1" w:lastRow="0" w:firstColumn="1" w:lastColumn="0" w:noHBand="0" w:noVBand="1"/>
      </w:tblPr>
      <w:tblGrid>
        <w:gridCol w:w="9209"/>
      </w:tblGrid>
      <w:tr w:rsidR="00117F22" w:rsidRPr="00117F22" w14:paraId="6AE01156" w14:textId="77777777" w:rsidTr="00117F22">
        <w:tc>
          <w:tcPr>
            <w:tcW w:w="9209" w:type="dxa"/>
          </w:tcPr>
          <w:p w14:paraId="5402C8D1" w14:textId="77777777" w:rsidR="00117F22" w:rsidRPr="00117F22" w:rsidRDefault="00117F22" w:rsidP="00117F22">
            <w:pPr>
              <w:jc w:val="center"/>
              <w:rPr>
                <w:rFonts w:eastAsia="Calibri"/>
                <w:b/>
                <w:sz w:val="22"/>
                <w:szCs w:val="26"/>
                <w:lang w:val="es-ES" w:eastAsia="en-US"/>
              </w:rPr>
            </w:pPr>
            <w:r w:rsidRPr="00117F22">
              <w:rPr>
                <w:rFonts w:eastAsia="Calibri"/>
                <w:b/>
                <w:sz w:val="22"/>
                <w:szCs w:val="26"/>
                <w:lang w:val="es-ES" w:eastAsia="en-US"/>
              </w:rPr>
              <w:t>AMÉRICA LATINA (19 PAÍSES): DEUDA PÚBLICA CON RESPECTO AL PIB,</w:t>
            </w:r>
          </w:p>
          <w:p w14:paraId="09DEE740" w14:textId="77777777" w:rsidR="00117F22" w:rsidRPr="00117F22" w:rsidRDefault="00117F22" w:rsidP="00117F22">
            <w:pPr>
              <w:jc w:val="center"/>
              <w:rPr>
                <w:rFonts w:eastAsia="Calibri"/>
                <w:b/>
                <w:sz w:val="22"/>
                <w:szCs w:val="26"/>
                <w:lang w:val="es-ES" w:eastAsia="en-US"/>
              </w:rPr>
            </w:pPr>
            <w:r w:rsidRPr="00117F22">
              <w:rPr>
                <w:rFonts w:eastAsia="Calibri"/>
                <w:b/>
                <w:sz w:val="22"/>
                <w:szCs w:val="26"/>
                <w:lang w:val="es-ES" w:eastAsia="en-US"/>
              </w:rPr>
              <w:t>POR PAÍSES, 2000 Y 2014</w:t>
            </w:r>
          </w:p>
          <w:p w14:paraId="475A3640" w14:textId="77777777" w:rsidR="00117F22" w:rsidRPr="00117F22" w:rsidRDefault="00117F22" w:rsidP="00117F22">
            <w:pPr>
              <w:jc w:val="center"/>
              <w:rPr>
                <w:rFonts w:eastAsia="Calibri"/>
                <w:b/>
                <w:sz w:val="22"/>
                <w:szCs w:val="26"/>
                <w:lang w:val="es-ES" w:eastAsia="en-US"/>
              </w:rPr>
            </w:pPr>
            <w:r w:rsidRPr="00117F22">
              <w:rPr>
                <w:rFonts w:eastAsia="Calibri"/>
                <w:b/>
                <w:sz w:val="22"/>
                <w:szCs w:val="26"/>
                <w:lang w:val="es-ES" w:eastAsia="en-US"/>
              </w:rPr>
              <w:t>-En porcentajes-</w:t>
            </w:r>
          </w:p>
        </w:tc>
      </w:tr>
      <w:tr w:rsidR="00117F22" w:rsidRPr="00117F22" w14:paraId="4C4DC9A7" w14:textId="77777777" w:rsidTr="00117F22">
        <w:tc>
          <w:tcPr>
            <w:tcW w:w="9209" w:type="dxa"/>
          </w:tcPr>
          <w:p w14:paraId="3105F326" w14:textId="77777777" w:rsidR="00117F22" w:rsidRPr="00117F22" w:rsidRDefault="00117F22" w:rsidP="00117F22">
            <w:pPr>
              <w:jc w:val="center"/>
              <w:rPr>
                <w:rFonts w:eastAsia="Calibri"/>
                <w:sz w:val="22"/>
                <w:szCs w:val="26"/>
                <w:lang w:val="es-ES" w:eastAsia="en-US"/>
              </w:rPr>
            </w:pPr>
            <w:r w:rsidRPr="00117F22">
              <w:rPr>
                <w:rFonts w:eastAsia="Calibri"/>
                <w:noProof/>
                <w:sz w:val="22"/>
                <w:szCs w:val="26"/>
                <w:lang w:eastAsia="es-MX"/>
              </w:rPr>
              <w:drawing>
                <wp:inline distT="0" distB="0" distL="0" distR="0" wp14:anchorId="58481EA0" wp14:editId="61CBD28A">
                  <wp:extent cx="5001709" cy="3240000"/>
                  <wp:effectExtent l="0" t="0" r="0" b="0"/>
                  <wp:docPr id="1572" name="Imagen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05" cstate="print">
                            <a:extLst>
                              <a:ext uri="{28A0092B-C50C-407E-A947-70E740481C1C}">
                                <a14:useLocalDpi xmlns:a14="http://schemas.microsoft.com/office/drawing/2010/main" val="0"/>
                              </a:ext>
                            </a:extLst>
                          </a:blip>
                          <a:srcRect t="1246" b="1582"/>
                          <a:stretch/>
                        </pic:blipFill>
                        <pic:spPr bwMode="auto">
                          <a:xfrm>
                            <a:off x="0" y="0"/>
                            <a:ext cx="5001709" cy="324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17F22" w:rsidRPr="00117F22" w14:paraId="648C1E8B" w14:textId="77777777" w:rsidTr="00117F22">
        <w:tc>
          <w:tcPr>
            <w:tcW w:w="9209" w:type="dxa"/>
          </w:tcPr>
          <w:p w14:paraId="5F3DE521" w14:textId="77777777" w:rsidR="00117F22" w:rsidRPr="00117F22" w:rsidRDefault="00117F22" w:rsidP="00117F22">
            <w:pPr>
              <w:ind w:left="1735" w:right="742" w:hanging="855"/>
              <w:jc w:val="both"/>
              <w:rPr>
                <w:rFonts w:eastAsia="Calibri"/>
                <w:sz w:val="20"/>
                <w:szCs w:val="26"/>
                <w:lang w:val="es-ES" w:eastAsia="en-US"/>
              </w:rPr>
            </w:pPr>
            <w:r w:rsidRPr="00117F22">
              <w:rPr>
                <w:rFonts w:eastAsia="Calibri"/>
                <w:sz w:val="20"/>
                <w:szCs w:val="26"/>
                <w:lang w:val="es-ES" w:eastAsia="en-US"/>
              </w:rPr>
              <w:t>FUENTE: Comisión Económica para América Latina y el Caribe (CEPAL), sobre la base de cifras oficiales.</w:t>
            </w:r>
          </w:p>
        </w:tc>
      </w:tr>
    </w:tbl>
    <w:p w14:paraId="6E7CA87D" w14:textId="77777777" w:rsidR="00117F22" w:rsidRPr="00117F22" w:rsidRDefault="00117F22" w:rsidP="00117F22">
      <w:pPr>
        <w:spacing w:after="360" w:line="360" w:lineRule="auto"/>
        <w:ind w:right="-159"/>
        <w:jc w:val="both"/>
        <w:rPr>
          <w:rFonts w:eastAsia="Calibri"/>
          <w:sz w:val="26"/>
          <w:szCs w:val="26"/>
          <w:lang w:val="es-ES" w:eastAsia="en-US"/>
        </w:rPr>
      </w:pPr>
    </w:p>
    <w:p w14:paraId="3F58B620" w14:textId="77777777" w:rsidR="00117F22" w:rsidRPr="00117F22" w:rsidRDefault="00117F22" w:rsidP="00117F22">
      <w:pPr>
        <w:spacing w:after="360" w:line="360" w:lineRule="auto"/>
        <w:ind w:right="-159"/>
        <w:jc w:val="both"/>
        <w:rPr>
          <w:rFonts w:eastAsia="Calibri"/>
          <w:sz w:val="26"/>
          <w:szCs w:val="26"/>
          <w:lang w:val="es-ES" w:eastAsia="en-US"/>
        </w:rPr>
      </w:pPr>
      <w:r w:rsidRPr="00117F22">
        <w:rPr>
          <w:rFonts w:eastAsia="Calibri"/>
          <w:sz w:val="26"/>
          <w:szCs w:val="26"/>
          <w:lang w:val="es-ES" w:eastAsia="en-US"/>
        </w:rPr>
        <w:t>Los niveles de endeudamiento son muy disímiles entre países. Brasil tiene la deuda pública más elevada de América Latina, que alcanza al 62% del PIB en 2014, aunque en términos de deuda neta el monto es muy inferior, como se discutió en la edición anterior del Panorama Fiscal</w:t>
      </w:r>
      <w:r w:rsidRPr="00117F22">
        <w:rPr>
          <w:rFonts w:eastAsia="Calibri"/>
          <w:sz w:val="26"/>
          <w:szCs w:val="26"/>
          <w:vertAlign w:val="superscript"/>
          <w:lang w:val="es-ES" w:eastAsia="en-US"/>
        </w:rPr>
        <w:footnoteReference w:id="86"/>
      </w:r>
      <w:r w:rsidRPr="00117F22">
        <w:rPr>
          <w:rFonts w:eastAsia="Calibri"/>
          <w:sz w:val="26"/>
          <w:szCs w:val="26"/>
          <w:lang w:val="es-ES" w:eastAsia="en-US"/>
        </w:rPr>
        <w:t xml:space="preserve"> y se consigna en el anexo estadístico de esta edición (en línea). Otros países de América del Sur (Uruguay, Colombia y Argentina) y algunos de Centroamérica (El Salvador, Costa Rica, Honduras, República Dominicana y Panamá), así como México, tienen niveles de endeudamiento moderados (entre el 36 y el 46% </w:t>
      </w:r>
      <w:r w:rsidRPr="00117F22">
        <w:rPr>
          <w:rFonts w:eastAsia="Calibri"/>
          <w:sz w:val="26"/>
          <w:szCs w:val="26"/>
          <w:lang w:val="es-ES" w:eastAsia="en-US"/>
        </w:rPr>
        <w:lastRenderedPageBreak/>
        <w:t>del PIB). En el otro extremo, con niveles inferiores al 22% del PIB, se encuentran Chile, Perú y Paraguay, cuyas proporciones son aún menores cuando se considera la deuda neta.</w:t>
      </w:r>
    </w:p>
    <w:p w14:paraId="494FC70F" w14:textId="77777777" w:rsidR="00117F22" w:rsidRPr="00117F22" w:rsidRDefault="00117F22" w:rsidP="00117F22">
      <w:pPr>
        <w:spacing w:after="360" w:line="360" w:lineRule="auto"/>
        <w:ind w:right="-159"/>
        <w:jc w:val="both"/>
        <w:rPr>
          <w:rFonts w:eastAsia="Calibri"/>
          <w:sz w:val="26"/>
          <w:szCs w:val="26"/>
          <w:lang w:val="es-ES" w:eastAsia="en-US"/>
        </w:rPr>
      </w:pPr>
      <w:r w:rsidRPr="00117F22">
        <w:rPr>
          <w:rFonts w:eastAsia="Calibri"/>
          <w:sz w:val="26"/>
          <w:szCs w:val="26"/>
          <w:lang w:val="es-ES" w:eastAsia="en-US"/>
        </w:rPr>
        <w:t>De manera notable, después de la crisis financiera internacional de 2008-2009, la relación entre la deuda pública y el PIB se ha mantenido prácticamente estable para el promedio de los 19 países considerados de América Latina, y se situó en torno al 34.4% del PIB en 2014. Sin embargo, en algunos países centroamericanos como Costa Rica, Honduras y la República Dominicana, así como en Chile, Ecuador y México, la proporción de la deuda pública bruta con respecto al PIB ha mostrado una tendencia creciente.</w:t>
      </w:r>
    </w:p>
    <w:p w14:paraId="149477B3" w14:textId="77777777" w:rsidR="00117F22" w:rsidRPr="00117F22" w:rsidRDefault="00117F22" w:rsidP="00117F22">
      <w:pPr>
        <w:spacing w:after="360" w:line="360" w:lineRule="auto"/>
        <w:ind w:right="-159"/>
        <w:jc w:val="both"/>
        <w:rPr>
          <w:rFonts w:eastAsia="Calibri"/>
          <w:sz w:val="26"/>
          <w:szCs w:val="26"/>
          <w:lang w:val="es-ES" w:eastAsia="en-US"/>
        </w:rPr>
      </w:pPr>
      <w:r w:rsidRPr="00117F22">
        <w:rPr>
          <w:rFonts w:eastAsia="Calibri"/>
          <w:sz w:val="26"/>
          <w:szCs w:val="26"/>
          <w:lang w:val="es-ES" w:eastAsia="en-US"/>
        </w:rPr>
        <w:t>En los países del Caribe, la deuda pública representa una proporción bastante superior del PIB, que en 2014 alcanzó un promedio cercano al 80%. Si se agrupan los países caribeños de acuerdo con su especialización económica, distinguiendo entre aquellos que dependen de la exportación de servicios (principalmente turismo y servicios financieros) y los que se basan en la exportación de materias primas (minerales y petróleo), se aprecia que en los primeros la proporción de la deuda pública respecto del PIB (88%) es más elevada que en los últimos (56.5%), según cifras de 2014. Asimismo, en el grupo de países que dependen del turismo, el endeudamiento público ha crecido en los últimos 15 años, mientras que en las economías especializadas en la exportación de materias primas, después de ciertas oscilaciones, se ha acercado a los niveles de principios de la década de 2000.</w:t>
      </w:r>
    </w:p>
    <w:p w14:paraId="1EC0BB10" w14:textId="77777777" w:rsidR="00117F22" w:rsidRPr="00117F22" w:rsidRDefault="00117F22" w:rsidP="00117F22">
      <w:pPr>
        <w:spacing w:after="360" w:line="360" w:lineRule="auto"/>
        <w:ind w:right="-159"/>
        <w:jc w:val="both"/>
        <w:rPr>
          <w:rFonts w:eastAsia="Calibri"/>
          <w:sz w:val="26"/>
          <w:szCs w:val="26"/>
          <w:lang w:val="es-ES" w:eastAsia="en-US"/>
        </w:rPr>
      </w:pPr>
      <w:r w:rsidRPr="00117F22">
        <w:rPr>
          <w:rFonts w:eastAsia="Calibri"/>
          <w:sz w:val="26"/>
          <w:szCs w:val="26"/>
          <w:lang w:val="es-ES" w:eastAsia="en-US"/>
        </w:rPr>
        <w:t xml:space="preserve">Al comparar en los países del Caribe la proporción de la deuda pública con respecto al PIB de comienzos de siglo con el último valor disponible (véase la gráfica siguiente), se advierte que solo cinco países pudieron disminuir este indicador (Antigua y Barbuda, Dominica, Guyana, Saint Kitts y Nevis y Surinam). La mayor reducción del endeudamiento público tuvo lugar en Guyana, país acogido a la Iniciativa en favor de </w:t>
      </w:r>
      <w:r w:rsidRPr="00117F22">
        <w:rPr>
          <w:rFonts w:eastAsia="Calibri"/>
          <w:sz w:val="26"/>
          <w:szCs w:val="26"/>
          <w:lang w:val="es-ES" w:eastAsia="en-US"/>
        </w:rPr>
        <w:lastRenderedPageBreak/>
        <w:t>los países pobres muy endeudados, donde esta proporción descendió desde el 120% del PIB en 2000 hasta el 61% del PIB en 2014. En mayor o menor medida, en los restantes ocho países el nivel de endeudamiento público se incrementó. Se destaca el caso de Barbados, que pasó de ser uno de los países menos endeudados en el año 2000 a contabilizar una deuda pública del 98% del PIB en 2014. Solo Jamaica supera ese nivel, con una deuda pública que fue equivalente al 128% del PIB ese mismo año. Varios países han firmado acuerdos de reestructuración de la deuda con el Fondo Monetario Internacional (FMI) o han anunciado amplias reformas fiscales, lo que sumado a una eventual reactivación de las economías del Caribe podría dar inicio a un proceso de desendeudamiento paulatino.</w:t>
      </w:r>
    </w:p>
    <w:tbl>
      <w:tblPr>
        <w:tblW w:w="9209" w:type="dxa"/>
        <w:tblLook w:val="04A0" w:firstRow="1" w:lastRow="0" w:firstColumn="1" w:lastColumn="0" w:noHBand="0" w:noVBand="1"/>
      </w:tblPr>
      <w:tblGrid>
        <w:gridCol w:w="9209"/>
      </w:tblGrid>
      <w:tr w:rsidR="00117F22" w:rsidRPr="00117F22" w14:paraId="1824D649" w14:textId="77777777" w:rsidTr="00117F22">
        <w:tc>
          <w:tcPr>
            <w:tcW w:w="9209" w:type="dxa"/>
          </w:tcPr>
          <w:p w14:paraId="62D50EA8" w14:textId="77777777" w:rsidR="00117F22" w:rsidRPr="00117F22" w:rsidRDefault="00117F22" w:rsidP="00117F22">
            <w:pPr>
              <w:jc w:val="center"/>
              <w:rPr>
                <w:rFonts w:eastAsia="Calibri"/>
                <w:b/>
                <w:sz w:val="22"/>
                <w:szCs w:val="26"/>
                <w:lang w:val="es-ES" w:eastAsia="en-US"/>
              </w:rPr>
            </w:pPr>
            <w:r w:rsidRPr="00117F22">
              <w:rPr>
                <w:rFonts w:eastAsia="Calibri"/>
                <w:b/>
                <w:sz w:val="22"/>
                <w:szCs w:val="26"/>
                <w:lang w:val="es-ES" w:eastAsia="en-US"/>
              </w:rPr>
              <w:t>EL CARIBE (13 PAÍSES): DEUDA PÚBLICA CON RESPECTO AL PIB,</w:t>
            </w:r>
          </w:p>
          <w:p w14:paraId="22A02590" w14:textId="77777777" w:rsidR="00117F22" w:rsidRPr="00117F22" w:rsidRDefault="00117F22" w:rsidP="00117F22">
            <w:pPr>
              <w:jc w:val="center"/>
              <w:rPr>
                <w:rFonts w:eastAsia="Calibri"/>
                <w:b/>
                <w:sz w:val="22"/>
                <w:szCs w:val="26"/>
                <w:lang w:val="es-ES" w:eastAsia="en-US"/>
              </w:rPr>
            </w:pPr>
            <w:r w:rsidRPr="00117F22">
              <w:rPr>
                <w:rFonts w:eastAsia="Calibri"/>
                <w:b/>
                <w:sz w:val="22"/>
                <w:szCs w:val="26"/>
                <w:lang w:val="es-ES" w:eastAsia="en-US"/>
              </w:rPr>
              <w:t>POR PAÍSES, 2000 Y 2014</w:t>
            </w:r>
          </w:p>
          <w:p w14:paraId="74CDD9AE" w14:textId="77777777" w:rsidR="00117F22" w:rsidRPr="00117F22" w:rsidRDefault="00117F22" w:rsidP="00117F22">
            <w:pPr>
              <w:jc w:val="center"/>
              <w:rPr>
                <w:rFonts w:eastAsia="Calibri"/>
                <w:b/>
                <w:sz w:val="22"/>
                <w:szCs w:val="26"/>
                <w:lang w:val="es-ES" w:eastAsia="en-US"/>
              </w:rPr>
            </w:pPr>
            <w:r w:rsidRPr="00117F22">
              <w:rPr>
                <w:rFonts w:eastAsia="Calibri"/>
                <w:b/>
                <w:sz w:val="22"/>
                <w:szCs w:val="26"/>
                <w:lang w:val="es-ES" w:eastAsia="en-US"/>
              </w:rPr>
              <w:t>-En porcentajes-</w:t>
            </w:r>
          </w:p>
        </w:tc>
      </w:tr>
      <w:tr w:rsidR="00117F22" w:rsidRPr="00117F22" w14:paraId="44EE106E" w14:textId="77777777" w:rsidTr="00117F22">
        <w:tc>
          <w:tcPr>
            <w:tcW w:w="9209" w:type="dxa"/>
          </w:tcPr>
          <w:p w14:paraId="583D5B8D" w14:textId="77777777" w:rsidR="00117F22" w:rsidRPr="00117F22" w:rsidRDefault="00117F22" w:rsidP="00117F22">
            <w:pPr>
              <w:jc w:val="center"/>
              <w:rPr>
                <w:rFonts w:eastAsia="Calibri"/>
                <w:sz w:val="22"/>
                <w:szCs w:val="26"/>
                <w:lang w:val="es-ES" w:eastAsia="en-US"/>
              </w:rPr>
            </w:pPr>
            <w:r w:rsidRPr="00117F22">
              <w:rPr>
                <w:rFonts w:eastAsia="Calibri"/>
                <w:noProof/>
                <w:sz w:val="22"/>
                <w:szCs w:val="26"/>
                <w:lang w:eastAsia="es-MX"/>
              </w:rPr>
              <w:drawing>
                <wp:inline distT="0" distB="0" distL="0" distR="0" wp14:anchorId="6358DFFB" wp14:editId="639596F1">
                  <wp:extent cx="5133280" cy="3240000"/>
                  <wp:effectExtent l="0" t="0" r="0" b="0"/>
                  <wp:docPr id="1573" name="Imagen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06" cstate="print">
                            <a:extLst>
                              <a:ext uri="{28A0092B-C50C-407E-A947-70E740481C1C}">
                                <a14:useLocalDpi xmlns:a14="http://schemas.microsoft.com/office/drawing/2010/main" val="0"/>
                              </a:ext>
                            </a:extLst>
                          </a:blip>
                          <a:srcRect t="3382" b="1937"/>
                          <a:stretch/>
                        </pic:blipFill>
                        <pic:spPr bwMode="auto">
                          <a:xfrm>
                            <a:off x="0" y="0"/>
                            <a:ext cx="5133280" cy="324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17F22" w:rsidRPr="00117F22" w14:paraId="21796C25" w14:textId="77777777" w:rsidTr="00117F22">
        <w:tc>
          <w:tcPr>
            <w:tcW w:w="9209" w:type="dxa"/>
          </w:tcPr>
          <w:p w14:paraId="7BF92E7D" w14:textId="77777777" w:rsidR="00117F22" w:rsidRPr="00117F22" w:rsidRDefault="00117F22" w:rsidP="00117F22">
            <w:pPr>
              <w:ind w:left="1735" w:right="742" w:hanging="855"/>
              <w:jc w:val="both"/>
              <w:rPr>
                <w:rFonts w:eastAsia="Calibri"/>
                <w:sz w:val="20"/>
                <w:szCs w:val="26"/>
                <w:lang w:val="es-ES" w:eastAsia="en-US"/>
              </w:rPr>
            </w:pPr>
            <w:r w:rsidRPr="00117F22">
              <w:rPr>
                <w:rFonts w:eastAsia="Calibri"/>
                <w:sz w:val="20"/>
                <w:szCs w:val="26"/>
                <w:lang w:val="es-ES" w:eastAsia="en-US"/>
              </w:rPr>
              <w:t>FUENTE: Comisión Económica para América Latina y el Caribe (CEPAL), sobre la base de cifras oficiales.</w:t>
            </w:r>
          </w:p>
        </w:tc>
      </w:tr>
    </w:tbl>
    <w:p w14:paraId="4A368F4C" w14:textId="77777777" w:rsidR="00117F22" w:rsidRDefault="00117F22" w:rsidP="00117F22">
      <w:pPr>
        <w:spacing w:after="360" w:line="360" w:lineRule="auto"/>
        <w:ind w:right="-159"/>
        <w:jc w:val="both"/>
        <w:rPr>
          <w:rFonts w:eastAsia="Calibri"/>
          <w:sz w:val="26"/>
          <w:szCs w:val="26"/>
          <w:lang w:val="es-ES" w:eastAsia="en-US"/>
        </w:rPr>
      </w:pPr>
    </w:p>
    <w:p w14:paraId="2247A3F8" w14:textId="77777777" w:rsidR="00593607" w:rsidRPr="00117F22" w:rsidRDefault="00593607" w:rsidP="00117F22">
      <w:pPr>
        <w:spacing w:after="360" w:line="360" w:lineRule="auto"/>
        <w:ind w:right="-159"/>
        <w:jc w:val="both"/>
        <w:rPr>
          <w:rFonts w:eastAsia="Calibri"/>
          <w:sz w:val="26"/>
          <w:szCs w:val="26"/>
          <w:lang w:val="es-ES" w:eastAsia="en-US"/>
        </w:rPr>
      </w:pPr>
    </w:p>
    <w:p w14:paraId="2A2437DE" w14:textId="77777777" w:rsidR="00117F22" w:rsidRPr="00117F22" w:rsidRDefault="00117F22" w:rsidP="00117F22">
      <w:pPr>
        <w:spacing w:after="360"/>
        <w:ind w:left="340" w:right="-159" w:hanging="340"/>
        <w:jc w:val="both"/>
        <w:rPr>
          <w:rFonts w:eastAsia="Calibri"/>
          <w:b/>
          <w:sz w:val="26"/>
          <w:szCs w:val="26"/>
          <w:lang w:val="es-ES" w:eastAsia="en-US"/>
        </w:rPr>
      </w:pPr>
      <w:r w:rsidRPr="00117F22">
        <w:rPr>
          <w:rFonts w:eastAsia="Calibri"/>
          <w:b/>
          <w:sz w:val="26"/>
          <w:szCs w:val="26"/>
          <w:lang w:val="es-ES" w:eastAsia="en-US"/>
        </w:rPr>
        <w:lastRenderedPageBreak/>
        <w:t>B. En general, existe espacio fiscal para aplicar políticas contracíclicas y potenciar el desarrollo productivo</w:t>
      </w:r>
    </w:p>
    <w:p w14:paraId="4A8010A5" w14:textId="77777777" w:rsidR="00117F22" w:rsidRPr="00117F22" w:rsidRDefault="00117F22" w:rsidP="00117F22">
      <w:pPr>
        <w:spacing w:after="360" w:line="360" w:lineRule="auto"/>
        <w:ind w:right="-159"/>
        <w:jc w:val="both"/>
        <w:rPr>
          <w:rFonts w:eastAsia="Calibri"/>
          <w:sz w:val="26"/>
          <w:szCs w:val="26"/>
          <w:lang w:val="es-ES" w:eastAsia="en-US"/>
        </w:rPr>
      </w:pPr>
      <w:r w:rsidRPr="00117F22">
        <w:rPr>
          <w:rFonts w:eastAsia="Calibri"/>
          <w:sz w:val="26"/>
          <w:szCs w:val="26"/>
          <w:lang w:val="es-ES" w:eastAsia="en-US"/>
        </w:rPr>
        <w:t>Una definición habitual del espacio fiscal se refiere a la disponibilidad de recursos para un propósito específico que no altera la sostenibilidad de la posición financiera del gobierno o de la economía en su conjunto. Si bien el concepto es claro, resulta mucho más difícil evaluar su magnitud cuando, por ejemplo, el propósito es determinar un paquete de estímulo contracíclico.</w:t>
      </w:r>
    </w:p>
    <w:p w14:paraId="2E0B7158" w14:textId="77777777" w:rsidR="00117F22" w:rsidRPr="00117F22" w:rsidRDefault="00117F22" w:rsidP="00117F22">
      <w:pPr>
        <w:spacing w:after="360" w:line="360" w:lineRule="auto"/>
        <w:ind w:right="-159"/>
        <w:jc w:val="both"/>
        <w:rPr>
          <w:rFonts w:eastAsia="Calibri"/>
          <w:sz w:val="26"/>
          <w:szCs w:val="26"/>
          <w:lang w:val="es-ES" w:eastAsia="en-US"/>
        </w:rPr>
      </w:pPr>
      <w:r w:rsidRPr="00117F22">
        <w:rPr>
          <w:rFonts w:eastAsia="Calibri"/>
          <w:sz w:val="26"/>
          <w:szCs w:val="26"/>
          <w:lang w:val="es-ES" w:eastAsia="en-US"/>
        </w:rPr>
        <w:t>Si se adopta un indicador de sostenibilidad de la deuda pública consistente en definir una norma común o estándar de deuda, al horizonte de 2015 la gran mayoría de los países latinoamericanos muestran espacios disponibles. De acuerdo con el diagnóstico presentado en este documento, en 2014 solo dos economías de la región se encontraban en situación de tensión fiscal. No obstante, en muchos países se observa un deterioro en términos de flujos (especialmente, déficit fiscal), como consecuencia del entorno macroeconómico.</w:t>
      </w:r>
    </w:p>
    <w:p w14:paraId="080809ED" w14:textId="77777777" w:rsidR="00117F22" w:rsidRPr="00117F22" w:rsidRDefault="00117F22" w:rsidP="00117F22">
      <w:pPr>
        <w:spacing w:after="360" w:line="360" w:lineRule="auto"/>
        <w:ind w:right="-159"/>
        <w:jc w:val="both"/>
        <w:rPr>
          <w:rFonts w:eastAsia="Calibri"/>
          <w:sz w:val="26"/>
          <w:szCs w:val="26"/>
          <w:lang w:val="es-ES" w:eastAsia="en-US"/>
        </w:rPr>
      </w:pPr>
      <w:r w:rsidRPr="00117F22">
        <w:rPr>
          <w:rFonts w:eastAsia="Calibri"/>
          <w:sz w:val="26"/>
          <w:szCs w:val="26"/>
          <w:lang w:val="es-ES" w:eastAsia="en-US"/>
        </w:rPr>
        <w:t>Los países en que el endeudamiento público es bajo están aprovechando este espacio fiscal para enfrentar la desaceleración, procurando dinamizar la inversión pública y privada. Esta evolución es coherente con la observación de que los proyectos de inversión financiados con recursos públicos pueden incrementar la producción, tanto a corto como a largo plazo, sin aumentar la relación entre la deuda y el PIB, especialmente en períodos de capacidad ociosa de la economía y en que las necesidades de infraestructura están claramente identificadas, como es el caso de la región.</w:t>
      </w:r>
    </w:p>
    <w:p w14:paraId="37716B1E" w14:textId="77777777" w:rsidR="00117F22" w:rsidRPr="00117F22" w:rsidRDefault="00117F22" w:rsidP="00117F22">
      <w:pPr>
        <w:spacing w:after="360" w:line="360" w:lineRule="auto"/>
        <w:ind w:right="-159"/>
        <w:jc w:val="both"/>
        <w:rPr>
          <w:rFonts w:eastAsia="Calibri"/>
          <w:sz w:val="26"/>
          <w:szCs w:val="26"/>
          <w:lang w:val="es-ES" w:eastAsia="en-US"/>
        </w:rPr>
      </w:pPr>
      <w:r w:rsidRPr="00117F22">
        <w:rPr>
          <w:rFonts w:eastAsia="Calibri"/>
          <w:sz w:val="26"/>
          <w:szCs w:val="26"/>
          <w:lang w:val="es-ES" w:eastAsia="en-US"/>
        </w:rPr>
        <w:t xml:space="preserve">En los países en que el nivel de la deuda pública es elevado o donde existen dificultades de financiamiento a causa del deterioro de las cuentas públicas previsto para 2015, se han anunciado recortes presupuestarios. Al contemplar medidas de contención del gasto, será preciso proteger la inversión y evitar círculos viciosos causados por ajustes fiscales excesivos que afectarían el crecimiento, redundarían en una merma de los </w:t>
      </w:r>
      <w:r w:rsidRPr="00117F22">
        <w:rPr>
          <w:rFonts w:eastAsia="Calibri"/>
          <w:sz w:val="26"/>
          <w:szCs w:val="26"/>
          <w:lang w:val="es-ES" w:eastAsia="en-US"/>
        </w:rPr>
        <w:lastRenderedPageBreak/>
        <w:t>recursos tributarios y, en última instancia, provocarían una agudización del déficit y un aumento de la deuda pública.</w:t>
      </w:r>
    </w:p>
    <w:p w14:paraId="15272336" w14:textId="77777777" w:rsidR="00117F22" w:rsidRPr="00117F22" w:rsidRDefault="00117F22" w:rsidP="00117F22">
      <w:pPr>
        <w:spacing w:after="360" w:line="360" w:lineRule="auto"/>
        <w:ind w:right="-159"/>
        <w:jc w:val="both"/>
        <w:rPr>
          <w:rFonts w:eastAsia="Calibri"/>
          <w:sz w:val="26"/>
          <w:szCs w:val="26"/>
          <w:lang w:val="es-ES" w:eastAsia="en-US"/>
        </w:rPr>
      </w:pPr>
      <w:r w:rsidRPr="00117F22">
        <w:rPr>
          <w:rFonts w:eastAsia="Calibri"/>
          <w:sz w:val="26"/>
          <w:szCs w:val="26"/>
          <w:lang w:val="es-ES" w:eastAsia="en-US"/>
        </w:rPr>
        <w:t>La región ha avanzado en políticas contracíclicas destinadas a moderar las variaciones de los flujos de ingresos públicos ante cambios cíclicos en las fuentes de esos ingresos. A la vez, en la medida en que la inversión pasa a ser una variable central del devenir económico y del crecimiento, se deben buscar, en el marco de la arquitectura contracíclica, mecanismos que aseguren el financiamiento de las necesidades de inversión a lo largo de las distintas fases del ciclo. Fortalecer el componente de inversión no solo ayuda a movilizar la demanda interna en el corto plazo y a promover el crecimiento, sino que además es el principal puente para pasar de los desafíos del ciclo económico al crecimiento y desarrollo en el mediano y largo plazo. En este contexto, la macroeconomía del desarrollo debe orientarse no solo a suavizar los ciclos económicos, sino también a potenciar el desarrollo productivo y el cambio estructural, mediante la protección de la dinámica de la inversión a lo largo del tiempo.</w:t>
      </w:r>
    </w:p>
    <w:p w14:paraId="197E82C5" w14:textId="77777777" w:rsidR="00117F22" w:rsidRPr="00117F22" w:rsidRDefault="00117F22" w:rsidP="00117F22">
      <w:pPr>
        <w:spacing w:after="360" w:line="360" w:lineRule="auto"/>
        <w:ind w:right="-159"/>
        <w:jc w:val="both"/>
        <w:rPr>
          <w:rFonts w:eastAsia="Calibri"/>
          <w:b/>
          <w:sz w:val="26"/>
          <w:szCs w:val="26"/>
          <w:lang w:val="es-ES" w:eastAsia="en-US"/>
        </w:rPr>
      </w:pPr>
      <w:r w:rsidRPr="00117F22">
        <w:rPr>
          <w:rFonts w:eastAsia="Calibri"/>
          <w:b/>
          <w:sz w:val="26"/>
          <w:szCs w:val="26"/>
          <w:lang w:val="es-ES" w:eastAsia="en-US"/>
        </w:rPr>
        <w:t>C. Habrá que modernizar el manejo fiscal de los recursos naturales no renovables</w:t>
      </w:r>
    </w:p>
    <w:p w14:paraId="256B833B" w14:textId="77777777" w:rsidR="00117F22" w:rsidRPr="00117F22" w:rsidRDefault="00117F22" w:rsidP="00117F22">
      <w:pPr>
        <w:spacing w:after="360" w:line="360" w:lineRule="auto"/>
        <w:ind w:right="-159"/>
        <w:jc w:val="both"/>
        <w:rPr>
          <w:rFonts w:eastAsia="Calibri"/>
          <w:sz w:val="26"/>
          <w:szCs w:val="26"/>
          <w:lang w:val="es-ES" w:eastAsia="en-US"/>
        </w:rPr>
      </w:pPr>
      <w:r w:rsidRPr="00117F22">
        <w:rPr>
          <w:rFonts w:eastAsia="Calibri"/>
          <w:sz w:val="26"/>
          <w:szCs w:val="26"/>
          <w:lang w:val="es-ES" w:eastAsia="en-US"/>
        </w:rPr>
        <w:t>Debido a su crucial contribución al destacado desempeño macroeconómico de América Latina durante la última década, el manejo fiscal de los recursos naturales no renovables se ha vuelto un tema de especial interés para la mayoría de los países de la región, tanto para aquellos de conocida tradición productora y exportadora de hidrocarburos y minerales, como para los que muestran en este rubro una actividad incipiente con cierta potencialidad de desarrollo futuro.</w:t>
      </w:r>
    </w:p>
    <w:p w14:paraId="289622BC" w14:textId="77777777" w:rsidR="00117F22" w:rsidRPr="00117F22" w:rsidRDefault="00117F22" w:rsidP="00117F22">
      <w:pPr>
        <w:spacing w:after="360" w:line="360" w:lineRule="auto"/>
        <w:ind w:right="-159"/>
        <w:jc w:val="both"/>
        <w:rPr>
          <w:rFonts w:eastAsia="Calibri"/>
          <w:sz w:val="26"/>
          <w:szCs w:val="26"/>
          <w:lang w:val="es-ES" w:eastAsia="en-US"/>
        </w:rPr>
      </w:pPr>
      <w:r w:rsidRPr="00117F22">
        <w:rPr>
          <w:rFonts w:eastAsia="Calibri"/>
          <w:sz w:val="26"/>
          <w:szCs w:val="26"/>
          <w:lang w:val="es-ES" w:eastAsia="en-US"/>
        </w:rPr>
        <w:t xml:space="preserve">La baja sensible de los precios del petróleo crudo (y de algunos minerales, como el cobre) representa todo un desafío para los países productores de la región, por sus efectos en su sector externo y sus implicancias fiscales. Como resultado de esa evolución de los precios, los países exportadores de la región enfrentan una erosión de su nivel de ingresos por exportaciones y una consecuente contracción del nivel de </w:t>
      </w:r>
      <w:r w:rsidRPr="00117F22">
        <w:rPr>
          <w:rFonts w:eastAsia="Calibri"/>
          <w:sz w:val="26"/>
          <w:szCs w:val="26"/>
          <w:lang w:val="es-ES" w:eastAsia="en-US"/>
        </w:rPr>
        <w:lastRenderedPageBreak/>
        <w:t>ingresos de los respectivos gobiernos. Por cierto, los países importadores de petróleo crudo se han visto fiscalmente beneficiados con las reducciones recientes de precios.</w:t>
      </w:r>
    </w:p>
    <w:p w14:paraId="22BF57E5" w14:textId="77777777" w:rsidR="00117F22" w:rsidRDefault="00117F22" w:rsidP="00117F22">
      <w:pPr>
        <w:spacing w:after="360" w:line="360" w:lineRule="auto"/>
        <w:ind w:right="-159"/>
        <w:jc w:val="both"/>
        <w:rPr>
          <w:rFonts w:eastAsia="Calibri"/>
          <w:sz w:val="26"/>
          <w:szCs w:val="26"/>
          <w:lang w:val="es-ES" w:eastAsia="en-US"/>
        </w:rPr>
      </w:pPr>
      <w:r w:rsidRPr="00117F22">
        <w:rPr>
          <w:rFonts w:eastAsia="Calibri"/>
          <w:sz w:val="26"/>
          <w:szCs w:val="26"/>
          <w:lang w:val="es-ES" w:eastAsia="en-US"/>
        </w:rPr>
        <w:t>Entre 2013 y 2014, los ingresos fiscales provenientes de los hidrocarburos pasaron de 7.8 a 6.7 puntos porcentuales de PIB como promedio de los siete países considerados (véase la gráfica siguiente). En Bolivia (Estado Plurinacional de), Ecuador, México y Venezuela (República Bolivariana de), el efecto del declive de los precios se combina con un crecimiento lento, o incluso una reducción, de la producción. En Colombia y Perú, se estima que tendrá lugar una disminución de los ingresos provenientes de los hidrocarburos con respecto al PIB, a pesar de un aumento de la producción de petróleo crudo y gas natural, respectivamente. En 2015, con los precios actuales, estos ingresos fiscales serían inferiores a 5 puntos porcentuales del PIB, como promedio de los países considerados, en una estimación gruesa.</w:t>
      </w:r>
    </w:p>
    <w:p w14:paraId="316A2235" w14:textId="77777777" w:rsidR="00593607" w:rsidRDefault="00593607" w:rsidP="00117F22">
      <w:pPr>
        <w:spacing w:after="360" w:line="360" w:lineRule="auto"/>
        <w:ind w:right="-159"/>
        <w:jc w:val="both"/>
        <w:rPr>
          <w:rFonts w:eastAsia="Calibri"/>
          <w:sz w:val="26"/>
          <w:szCs w:val="26"/>
          <w:lang w:val="es-ES" w:eastAsia="en-US"/>
        </w:rPr>
      </w:pPr>
    </w:p>
    <w:p w14:paraId="4FAF1F2C" w14:textId="77777777" w:rsidR="00593607" w:rsidRDefault="00593607" w:rsidP="00117F22">
      <w:pPr>
        <w:spacing w:after="360" w:line="360" w:lineRule="auto"/>
        <w:ind w:right="-159"/>
        <w:jc w:val="both"/>
        <w:rPr>
          <w:rFonts w:eastAsia="Calibri"/>
          <w:sz w:val="26"/>
          <w:szCs w:val="26"/>
          <w:lang w:val="es-ES" w:eastAsia="en-US"/>
        </w:rPr>
      </w:pPr>
    </w:p>
    <w:p w14:paraId="0C4BC59C" w14:textId="77777777" w:rsidR="00593607" w:rsidRDefault="00593607" w:rsidP="00117F22">
      <w:pPr>
        <w:spacing w:after="360" w:line="360" w:lineRule="auto"/>
        <w:ind w:right="-159"/>
        <w:jc w:val="both"/>
        <w:rPr>
          <w:rFonts w:eastAsia="Calibri"/>
          <w:sz w:val="26"/>
          <w:szCs w:val="26"/>
          <w:lang w:val="es-ES" w:eastAsia="en-US"/>
        </w:rPr>
      </w:pPr>
    </w:p>
    <w:p w14:paraId="51E8B75B" w14:textId="77777777" w:rsidR="00593607" w:rsidRDefault="00593607" w:rsidP="00117F22">
      <w:pPr>
        <w:spacing w:after="360" w:line="360" w:lineRule="auto"/>
        <w:ind w:right="-159"/>
        <w:jc w:val="both"/>
        <w:rPr>
          <w:rFonts w:eastAsia="Calibri"/>
          <w:sz w:val="26"/>
          <w:szCs w:val="26"/>
          <w:lang w:val="es-ES" w:eastAsia="en-US"/>
        </w:rPr>
      </w:pPr>
    </w:p>
    <w:p w14:paraId="67CEF50C" w14:textId="77777777" w:rsidR="00593607" w:rsidRDefault="00593607" w:rsidP="00117F22">
      <w:pPr>
        <w:spacing w:after="360" w:line="360" w:lineRule="auto"/>
        <w:ind w:right="-159"/>
        <w:jc w:val="both"/>
        <w:rPr>
          <w:rFonts w:eastAsia="Calibri"/>
          <w:sz w:val="26"/>
          <w:szCs w:val="26"/>
          <w:lang w:val="es-ES" w:eastAsia="en-US"/>
        </w:rPr>
      </w:pPr>
    </w:p>
    <w:p w14:paraId="099BC925" w14:textId="77777777" w:rsidR="00593607" w:rsidRDefault="00593607" w:rsidP="00117F22">
      <w:pPr>
        <w:spacing w:after="360" w:line="360" w:lineRule="auto"/>
        <w:ind w:right="-159"/>
        <w:jc w:val="both"/>
        <w:rPr>
          <w:rFonts w:eastAsia="Calibri"/>
          <w:sz w:val="26"/>
          <w:szCs w:val="26"/>
          <w:lang w:val="es-ES" w:eastAsia="en-US"/>
        </w:rPr>
      </w:pPr>
    </w:p>
    <w:p w14:paraId="3880469E" w14:textId="77777777" w:rsidR="00593607" w:rsidRDefault="00593607" w:rsidP="00117F22">
      <w:pPr>
        <w:spacing w:after="360" w:line="360" w:lineRule="auto"/>
        <w:ind w:right="-159"/>
        <w:jc w:val="both"/>
        <w:rPr>
          <w:rFonts w:eastAsia="Calibri"/>
          <w:sz w:val="26"/>
          <w:szCs w:val="26"/>
          <w:lang w:val="es-ES" w:eastAsia="en-US"/>
        </w:rPr>
      </w:pPr>
    </w:p>
    <w:p w14:paraId="2C21DB64" w14:textId="77777777" w:rsidR="00593607" w:rsidRPr="00117F22" w:rsidRDefault="00593607" w:rsidP="00117F22">
      <w:pPr>
        <w:spacing w:after="360" w:line="360" w:lineRule="auto"/>
        <w:ind w:right="-159"/>
        <w:jc w:val="both"/>
        <w:rPr>
          <w:rFonts w:eastAsia="Calibri"/>
          <w:sz w:val="26"/>
          <w:szCs w:val="26"/>
          <w:lang w:val="es-ES" w:eastAsia="en-US"/>
        </w:rPr>
      </w:pPr>
    </w:p>
    <w:tbl>
      <w:tblPr>
        <w:tblW w:w="9209" w:type="dxa"/>
        <w:tblLook w:val="04A0" w:firstRow="1" w:lastRow="0" w:firstColumn="1" w:lastColumn="0" w:noHBand="0" w:noVBand="1"/>
      </w:tblPr>
      <w:tblGrid>
        <w:gridCol w:w="9209"/>
      </w:tblGrid>
      <w:tr w:rsidR="00117F22" w:rsidRPr="00117F22" w14:paraId="030355D6" w14:textId="77777777" w:rsidTr="00117F22">
        <w:tc>
          <w:tcPr>
            <w:tcW w:w="9209" w:type="dxa"/>
          </w:tcPr>
          <w:p w14:paraId="219BBE9D" w14:textId="77777777" w:rsidR="00117F22" w:rsidRPr="00117F22" w:rsidRDefault="00117F22" w:rsidP="00117F22">
            <w:pPr>
              <w:jc w:val="center"/>
              <w:rPr>
                <w:rFonts w:eastAsia="Calibri"/>
                <w:b/>
                <w:sz w:val="22"/>
                <w:szCs w:val="26"/>
                <w:lang w:val="es-ES" w:eastAsia="en-US"/>
              </w:rPr>
            </w:pPr>
            <w:r w:rsidRPr="00117F22">
              <w:rPr>
                <w:rFonts w:eastAsia="Calibri"/>
                <w:b/>
                <w:sz w:val="22"/>
                <w:szCs w:val="26"/>
                <w:lang w:val="es-ES" w:eastAsia="en-US"/>
              </w:rPr>
              <w:lastRenderedPageBreak/>
              <w:t>AMÉRICA LATINA: INGRESOS FISCALES PROVENIENTES DE RECURSOS NATURALES NO RENOVABLES, POR GRUPOS SELECCIONADOS</w:t>
            </w:r>
          </w:p>
          <w:p w14:paraId="6EEC5F61" w14:textId="77777777" w:rsidR="00117F22" w:rsidRPr="00117F22" w:rsidRDefault="00117F22" w:rsidP="00117F22">
            <w:pPr>
              <w:jc w:val="center"/>
              <w:rPr>
                <w:rFonts w:eastAsia="Calibri"/>
                <w:b/>
                <w:sz w:val="22"/>
                <w:szCs w:val="26"/>
                <w:lang w:val="es-ES" w:eastAsia="en-US"/>
              </w:rPr>
            </w:pPr>
            <w:r w:rsidRPr="00117F22">
              <w:rPr>
                <w:rFonts w:eastAsia="Calibri"/>
                <w:b/>
                <w:sz w:val="22"/>
                <w:szCs w:val="26"/>
                <w:lang w:val="es-ES" w:eastAsia="en-US"/>
              </w:rPr>
              <w:t>DE MATERIAS PRIMAS, 2000-2014</w:t>
            </w:r>
          </w:p>
          <w:p w14:paraId="7D13FDFA" w14:textId="77777777" w:rsidR="00117F22" w:rsidRPr="00117F22" w:rsidRDefault="00117F22" w:rsidP="00117F22">
            <w:pPr>
              <w:jc w:val="center"/>
              <w:rPr>
                <w:rFonts w:eastAsia="Calibri"/>
                <w:b/>
                <w:sz w:val="22"/>
                <w:szCs w:val="26"/>
                <w:lang w:val="es-ES" w:eastAsia="en-US"/>
              </w:rPr>
            </w:pPr>
            <w:r w:rsidRPr="00117F22">
              <w:rPr>
                <w:rFonts w:eastAsia="Calibri"/>
                <w:b/>
                <w:sz w:val="22"/>
                <w:szCs w:val="26"/>
                <w:lang w:val="es-ES" w:eastAsia="en-US"/>
              </w:rPr>
              <w:t>-En porcentajes del PIB-</w:t>
            </w:r>
          </w:p>
        </w:tc>
      </w:tr>
      <w:tr w:rsidR="00117F22" w:rsidRPr="00117F22" w14:paraId="5E73FE53" w14:textId="77777777" w:rsidTr="00117F22">
        <w:tc>
          <w:tcPr>
            <w:tcW w:w="9209" w:type="dxa"/>
          </w:tcPr>
          <w:p w14:paraId="3200A984" w14:textId="5AB474A6" w:rsidR="00117F22" w:rsidRPr="00117F22" w:rsidRDefault="00B96E1F" w:rsidP="00117F22">
            <w:pPr>
              <w:jc w:val="center"/>
              <w:rPr>
                <w:rFonts w:eastAsia="Calibri"/>
                <w:sz w:val="22"/>
                <w:szCs w:val="26"/>
                <w:lang w:val="es-ES" w:eastAsia="en-US"/>
              </w:rPr>
            </w:pPr>
            <w:r w:rsidRPr="00B96E1F">
              <w:rPr>
                <w:rFonts w:eastAsia="Calibri"/>
                <w:noProof/>
                <w:sz w:val="22"/>
                <w:szCs w:val="26"/>
                <w:lang w:eastAsia="es-MX"/>
              </w:rPr>
              <w:drawing>
                <wp:inline distT="0" distB="0" distL="0" distR="0" wp14:anchorId="57EBE3D6" wp14:editId="0F90794A">
                  <wp:extent cx="4931743" cy="2700000"/>
                  <wp:effectExtent l="0" t="0" r="2540" b="571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07" cstate="print">
                            <a:extLst>
                              <a:ext uri="{28A0092B-C50C-407E-A947-70E740481C1C}">
                                <a14:useLocalDpi xmlns:a14="http://schemas.microsoft.com/office/drawing/2010/main" val="0"/>
                              </a:ext>
                            </a:extLst>
                          </a:blip>
                          <a:srcRect t="3901" b="1208"/>
                          <a:stretch/>
                        </pic:blipFill>
                        <pic:spPr bwMode="auto">
                          <a:xfrm>
                            <a:off x="0" y="0"/>
                            <a:ext cx="4931743" cy="270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17F22" w:rsidRPr="00117F22" w14:paraId="2A7C10CB" w14:textId="77777777" w:rsidTr="00117F22">
        <w:tc>
          <w:tcPr>
            <w:tcW w:w="9209" w:type="dxa"/>
          </w:tcPr>
          <w:p w14:paraId="22F0B109" w14:textId="77777777" w:rsidR="00117F22" w:rsidRPr="00117F22" w:rsidRDefault="00117F22" w:rsidP="00117F22">
            <w:pPr>
              <w:ind w:left="998" w:right="742" w:hanging="255"/>
              <w:jc w:val="both"/>
              <w:rPr>
                <w:rFonts w:eastAsia="Calibri"/>
                <w:sz w:val="20"/>
                <w:szCs w:val="26"/>
                <w:lang w:val="es-ES" w:eastAsia="en-US"/>
              </w:rPr>
            </w:pPr>
            <w:r w:rsidRPr="00117F22">
              <w:rPr>
                <w:rFonts w:eastAsia="Calibri"/>
                <w:sz w:val="20"/>
                <w:szCs w:val="26"/>
                <w:u w:val="single"/>
                <w:lang w:val="es-ES" w:eastAsia="en-US"/>
              </w:rPr>
              <w:t>a</w:t>
            </w:r>
            <w:r w:rsidRPr="00117F22">
              <w:rPr>
                <w:rFonts w:eastAsia="Calibri"/>
                <w:sz w:val="20"/>
                <w:szCs w:val="26"/>
                <w:lang w:val="es-ES" w:eastAsia="en-US"/>
              </w:rPr>
              <w:t>/ Los datos de 2014 provienen de previsiones gubernamentales o de estimaciones de la  CEPAL basadas en las previsiones de los precios de productos básicos y del tipo de cambio nominal, manteniendo la producción constante. Las previsiones provienen de los precios de productos básicos de la Economist Intelligence Unit (EIU) y el Fondo Monetario Internacional (FMI); los tipos de cambio nominal, de los presupuestos nacionales, y el PIB nominal, de la CEPAL.</w:t>
            </w:r>
          </w:p>
          <w:p w14:paraId="06C47BEB" w14:textId="4619E2CA" w:rsidR="00117F22" w:rsidRPr="00117F22" w:rsidRDefault="00117F22" w:rsidP="00117F22">
            <w:pPr>
              <w:ind w:left="998" w:right="742" w:hanging="255"/>
              <w:jc w:val="both"/>
              <w:rPr>
                <w:rFonts w:eastAsia="Calibri"/>
                <w:sz w:val="20"/>
                <w:szCs w:val="26"/>
                <w:lang w:val="es-ES" w:eastAsia="en-US"/>
              </w:rPr>
            </w:pPr>
            <w:r w:rsidRPr="00117F22">
              <w:rPr>
                <w:rFonts w:eastAsia="Calibri"/>
                <w:sz w:val="20"/>
                <w:szCs w:val="26"/>
                <w:u w:val="single"/>
                <w:lang w:val="es-ES" w:eastAsia="en-US"/>
              </w:rPr>
              <w:t>b</w:t>
            </w:r>
            <w:r w:rsidRPr="00117F22">
              <w:rPr>
                <w:rFonts w:eastAsia="Calibri"/>
                <w:sz w:val="20"/>
                <w:szCs w:val="26"/>
                <w:lang w:val="es-ES" w:eastAsia="en-US"/>
              </w:rPr>
              <w:t>/ Los países considerados son Bolivia (Estado Plurinacional de), Brasil, Chile, Colombia, México y Perú.</w:t>
            </w:r>
          </w:p>
          <w:p w14:paraId="3AD28B16" w14:textId="3C710C36" w:rsidR="00117F22" w:rsidRPr="00117F22" w:rsidRDefault="00117F22" w:rsidP="00117F22">
            <w:pPr>
              <w:ind w:left="998" w:right="742" w:hanging="255"/>
              <w:jc w:val="both"/>
              <w:rPr>
                <w:rFonts w:eastAsia="Calibri"/>
                <w:sz w:val="20"/>
                <w:szCs w:val="26"/>
                <w:lang w:val="es-ES" w:eastAsia="en-US"/>
              </w:rPr>
            </w:pPr>
            <w:r w:rsidRPr="00117F22">
              <w:rPr>
                <w:rFonts w:eastAsia="Calibri"/>
                <w:sz w:val="20"/>
                <w:szCs w:val="26"/>
                <w:u w:val="single"/>
                <w:lang w:val="es-ES" w:eastAsia="en-US"/>
              </w:rPr>
              <w:t>c</w:t>
            </w:r>
            <w:r w:rsidRPr="00117F22">
              <w:rPr>
                <w:rFonts w:eastAsia="Calibri"/>
                <w:sz w:val="20"/>
                <w:szCs w:val="26"/>
                <w:lang w:val="es-ES" w:eastAsia="en-US"/>
              </w:rPr>
              <w:t>/ Los países considerados son Bolivia (Estado Plurinacional de), Brasil, Colombia, Ecuador, México (incluso los ingresos propios de Petróleos Mexicanos (Pemex)), Perú y Venezuela (República Bolivariana de).</w:t>
            </w:r>
          </w:p>
          <w:p w14:paraId="3A2EA4FB" w14:textId="77777777" w:rsidR="00117F22" w:rsidRPr="00117F22" w:rsidRDefault="00117F22" w:rsidP="00117F22">
            <w:pPr>
              <w:ind w:left="1628" w:right="742" w:hanging="885"/>
              <w:jc w:val="both"/>
              <w:rPr>
                <w:rFonts w:eastAsia="Calibri"/>
                <w:sz w:val="20"/>
                <w:szCs w:val="26"/>
                <w:lang w:val="es-ES" w:eastAsia="en-US"/>
              </w:rPr>
            </w:pPr>
            <w:r w:rsidRPr="00117F22">
              <w:rPr>
                <w:rFonts w:eastAsia="Calibri"/>
                <w:sz w:val="20"/>
                <w:szCs w:val="26"/>
                <w:lang w:val="es-ES" w:eastAsia="en-US"/>
              </w:rPr>
              <w:t>FUENTE: Comisión Económica para América Latina y el Caribe (CEPAL), sobre la base de cifras oficiales.</w:t>
            </w:r>
          </w:p>
        </w:tc>
      </w:tr>
    </w:tbl>
    <w:p w14:paraId="749D0CE4" w14:textId="77777777" w:rsidR="00117F22" w:rsidRPr="00117F22" w:rsidRDefault="00117F22" w:rsidP="00117F22">
      <w:pPr>
        <w:spacing w:after="360" w:line="360" w:lineRule="auto"/>
        <w:ind w:right="-159"/>
        <w:jc w:val="both"/>
        <w:rPr>
          <w:rFonts w:eastAsia="Calibri"/>
          <w:sz w:val="26"/>
          <w:szCs w:val="26"/>
          <w:lang w:val="es-ES" w:eastAsia="en-US"/>
        </w:rPr>
      </w:pPr>
    </w:p>
    <w:p w14:paraId="48047C2A" w14:textId="77777777" w:rsidR="00117F22" w:rsidRPr="00117F22" w:rsidRDefault="00117F22" w:rsidP="00117F22">
      <w:pPr>
        <w:spacing w:after="360" w:line="360" w:lineRule="auto"/>
        <w:ind w:right="-159"/>
        <w:jc w:val="both"/>
        <w:rPr>
          <w:rFonts w:eastAsia="Calibri"/>
          <w:sz w:val="26"/>
          <w:szCs w:val="26"/>
          <w:lang w:val="es-ES" w:eastAsia="en-US"/>
        </w:rPr>
      </w:pPr>
      <w:r w:rsidRPr="00117F22">
        <w:rPr>
          <w:rFonts w:eastAsia="Calibri"/>
          <w:sz w:val="26"/>
          <w:szCs w:val="26"/>
          <w:lang w:val="es-ES" w:eastAsia="en-US"/>
        </w:rPr>
        <w:t>En cambio, el nivel de los ingresos originados en la minería como porcentaje del PIB se mantuvo en 2014, pues la caída de precios comenzó en 2011. Esto refleja el hecho de que la contribución del sector por medio del impuesto sobre la renta ha bajado al nivel previo a la bonanza. Los ingresos no tributarios, principalmente correspondientes al pago de regalías sobre la producción, han permanecido estables, en un promedio de alrededor del 0.2% del PIB. Cabe mencionar que, en 2015, el efecto neto de factores como la baja del precio, el aumento de la producción y las depreciaciones cambiarias se traduciría en una cierta estabilidad —en los niveles ya moderados de 2014— de los recursos fiscales provenientes de la minería.</w:t>
      </w:r>
    </w:p>
    <w:p w14:paraId="6F1C427A" w14:textId="77777777" w:rsidR="00117F22" w:rsidRPr="00117F22" w:rsidRDefault="00117F22" w:rsidP="00117F22">
      <w:pPr>
        <w:spacing w:after="360" w:line="360" w:lineRule="auto"/>
        <w:ind w:right="-159"/>
        <w:jc w:val="both"/>
        <w:rPr>
          <w:rFonts w:eastAsia="Calibri"/>
          <w:sz w:val="26"/>
          <w:szCs w:val="26"/>
          <w:lang w:val="es-ES" w:eastAsia="en-US"/>
        </w:rPr>
      </w:pPr>
      <w:r w:rsidRPr="00117F22">
        <w:rPr>
          <w:rFonts w:eastAsia="Calibri"/>
          <w:sz w:val="26"/>
          <w:szCs w:val="26"/>
          <w:lang w:val="es-ES" w:eastAsia="en-US"/>
        </w:rPr>
        <w:lastRenderedPageBreak/>
        <w:t>El contexto mundial actual parece imponer la necesidad de ajustar o, al menos, revisar el diseño de los regímenes fiscales aplicados, ante la posibilidad de que se prolongue la tendencia declinante de los precios internacionales que se observa desde mediados de 2014. Se ha venido enfatizando la importancia de contar con instrumentos eficientes, que no solo eviten distorsionar las decisiones de inversión y producción de las empresas privadas sino que, además, permitan alcanzar un mayor grado de progresividad de los regímenes fiscales en términos de apropiación estatal de las rentas económicas en períodos de precios elevados.</w:t>
      </w:r>
    </w:p>
    <w:p w14:paraId="2A2F3FC0" w14:textId="77777777" w:rsidR="00117F22" w:rsidRPr="00117F22" w:rsidRDefault="00117F22" w:rsidP="00117F22">
      <w:pPr>
        <w:spacing w:after="360" w:line="360" w:lineRule="auto"/>
        <w:ind w:right="-159"/>
        <w:jc w:val="both"/>
        <w:rPr>
          <w:rFonts w:eastAsia="Calibri"/>
          <w:sz w:val="26"/>
          <w:szCs w:val="26"/>
          <w:lang w:val="es-ES" w:eastAsia="en-US"/>
        </w:rPr>
      </w:pPr>
      <w:r w:rsidRPr="00117F22">
        <w:rPr>
          <w:rFonts w:eastAsia="Calibri"/>
          <w:sz w:val="26"/>
          <w:szCs w:val="26"/>
          <w:lang w:val="es-ES" w:eastAsia="en-US"/>
        </w:rPr>
        <w:t>Considerando la alta dependencia fiscal respecto de la explotación de recursos naturales no renovables que muestran varios países de la región, la reforma de los regímenes fiscales sobre las industrias extractivas debería apuntar hacia una combinación de instrumentos que permita asegurar un flujo relativamente estable de ingresos fiscales a través de la captación de rentas derivadas de estos sectores, y que al mismo tiempo contribuya a generar condiciones razonables para la inversión en las diferentes fases del ciclo económico, sobre la base de la estabilidad del marco jurídico e institucional en el largo plazo. En cualquier caso, la sostenibilidad fiscal de estos países dependerá de su capacidad para compensar, al menos en parte, la merma de la recaudación mediante reformas tributarias que apunten a fortalecer impuestos que no dependan de la volatilidad de los precios de un número reducido de productos básicos.</w:t>
      </w:r>
    </w:p>
    <w:p w14:paraId="71AD8549" w14:textId="77777777" w:rsidR="00117F22" w:rsidRPr="00117F22" w:rsidRDefault="00117F22" w:rsidP="00117F22">
      <w:pPr>
        <w:spacing w:after="360"/>
        <w:ind w:left="340" w:right="-159" w:hanging="340"/>
        <w:jc w:val="both"/>
        <w:rPr>
          <w:rFonts w:eastAsia="Calibri"/>
          <w:b/>
          <w:sz w:val="26"/>
          <w:szCs w:val="26"/>
          <w:lang w:val="es-ES" w:eastAsia="en-US"/>
        </w:rPr>
      </w:pPr>
      <w:r w:rsidRPr="00117F22">
        <w:rPr>
          <w:rFonts w:eastAsia="Calibri"/>
          <w:b/>
          <w:sz w:val="26"/>
          <w:szCs w:val="26"/>
          <w:lang w:val="es-ES" w:eastAsia="en-US"/>
        </w:rPr>
        <w:t>D. La incidencia de la política fiscal sobre la distribución del ingreso disponible es muy limitada</w:t>
      </w:r>
    </w:p>
    <w:p w14:paraId="28DF27E0" w14:textId="77777777" w:rsidR="00117F22" w:rsidRPr="00117F22" w:rsidRDefault="00117F22" w:rsidP="00117F22">
      <w:pPr>
        <w:spacing w:after="360" w:line="360" w:lineRule="auto"/>
        <w:ind w:right="-159"/>
        <w:jc w:val="both"/>
        <w:rPr>
          <w:rFonts w:eastAsia="Calibri"/>
          <w:sz w:val="26"/>
          <w:szCs w:val="26"/>
          <w:lang w:val="es-ES" w:eastAsia="en-US"/>
        </w:rPr>
      </w:pPr>
      <w:r w:rsidRPr="00117F22">
        <w:rPr>
          <w:rFonts w:eastAsia="Calibri"/>
          <w:sz w:val="26"/>
          <w:szCs w:val="26"/>
          <w:lang w:val="es-ES" w:eastAsia="en-US"/>
        </w:rPr>
        <w:t>A estas complicaciones coyunturales se agrega un problema crónico de la región, que es la desigualdad. Más allá de los progresos recientes, América Latina es la región del mundo donde existe una mayor concentración del ingreso. En este contexto, es importante evaluar el rol de la política fiscal y, sobre esa base, efectuar propuestas de reformas para que los sistemas tributarios y los programas de gasto de los países sean más redistributivos y transparentes.</w:t>
      </w:r>
    </w:p>
    <w:p w14:paraId="140974A6" w14:textId="77777777" w:rsidR="00117F22" w:rsidRPr="00117F22" w:rsidRDefault="00117F22" w:rsidP="00117F22">
      <w:pPr>
        <w:spacing w:after="360" w:line="360" w:lineRule="auto"/>
        <w:ind w:right="-159"/>
        <w:jc w:val="both"/>
        <w:rPr>
          <w:rFonts w:eastAsia="Calibri"/>
          <w:sz w:val="26"/>
          <w:szCs w:val="26"/>
          <w:lang w:val="es-ES" w:eastAsia="en-US"/>
        </w:rPr>
      </w:pPr>
      <w:r w:rsidRPr="00117F22">
        <w:rPr>
          <w:rFonts w:eastAsia="Calibri"/>
          <w:sz w:val="26"/>
          <w:szCs w:val="26"/>
          <w:lang w:val="es-ES" w:eastAsia="en-US"/>
        </w:rPr>
        <w:lastRenderedPageBreak/>
        <w:t>Los resultados que se presentan en esta edición del Panorama Fiscal demuestran que en América Latina los niveles medios de desigualdad de los ingresos de mercado (es decir, antes de impuestos directos y transferencias) son solo levemente superiores a los valores medios de los países de la Organización de Cooperación y Desarrollo Económicos (OCDE). Sin embargo, en la región los sistemas tributarios y el gasto público social tienen una menor efectividad a la hora de mejorar la distribución del ingreso disponible.</w:t>
      </w:r>
    </w:p>
    <w:p w14:paraId="49CCC797" w14:textId="77777777" w:rsidR="00117F22" w:rsidRPr="00117F22" w:rsidRDefault="00117F22" w:rsidP="00117F22">
      <w:pPr>
        <w:spacing w:after="360" w:line="360" w:lineRule="auto"/>
        <w:ind w:right="-159"/>
        <w:jc w:val="both"/>
        <w:rPr>
          <w:rFonts w:eastAsia="Calibri"/>
          <w:sz w:val="26"/>
          <w:szCs w:val="26"/>
          <w:lang w:val="es-ES" w:eastAsia="en-US"/>
        </w:rPr>
      </w:pPr>
      <w:r w:rsidRPr="00117F22">
        <w:rPr>
          <w:rFonts w:eastAsia="Calibri"/>
          <w:sz w:val="26"/>
          <w:szCs w:val="26"/>
          <w:lang w:val="es-ES" w:eastAsia="en-US"/>
        </w:rPr>
        <w:t>En los países de la región, en promedio, el coeficiente de Gini cae apenas 3 puntos porcentuales luego de la acción fiscal directa, en tanto que la provisión pública de servicios de educación y salud lo reduce 6 puntos porcentuales adicionales. En los países europeos y en otras economías de la OCDE, el efecto redistributivo conjunto de las transferencias monetarias y del impuesto sobre la renta personal alcanza valores medios de 19 y 17 puntos porcentuales del coeficiente de Gini, respectivamente, mientras que la redistribución efectuada mediante el gasto público en especie se sitúa entre los 6 y los 7 puntos porcentuales de ese indicador.</w:t>
      </w:r>
    </w:p>
    <w:p w14:paraId="5011CA0A" w14:textId="77777777" w:rsidR="00117F22" w:rsidRDefault="00117F22" w:rsidP="00117F22">
      <w:pPr>
        <w:spacing w:after="360" w:line="360" w:lineRule="auto"/>
        <w:ind w:right="-159"/>
        <w:jc w:val="both"/>
        <w:rPr>
          <w:rFonts w:eastAsia="Calibri"/>
          <w:sz w:val="26"/>
          <w:szCs w:val="26"/>
          <w:lang w:val="es-ES" w:eastAsia="en-US"/>
        </w:rPr>
      </w:pPr>
    </w:p>
    <w:p w14:paraId="29EA4373" w14:textId="77777777" w:rsidR="00593607" w:rsidRDefault="00593607" w:rsidP="00117F22">
      <w:pPr>
        <w:spacing w:after="360" w:line="360" w:lineRule="auto"/>
        <w:ind w:right="-159"/>
        <w:jc w:val="both"/>
        <w:rPr>
          <w:rFonts w:eastAsia="Calibri"/>
          <w:sz w:val="26"/>
          <w:szCs w:val="26"/>
          <w:lang w:val="es-ES" w:eastAsia="en-US"/>
        </w:rPr>
      </w:pPr>
    </w:p>
    <w:p w14:paraId="1B2A6E7E" w14:textId="77777777" w:rsidR="00593607" w:rsidRDefault="00593607" w:rsidP="00117F22">
      <w:pPr>
        <w:spacing w:after="360" w:line="360" w:lineRule="auto"/>
        <w:ind w:right="-159"/>
        <w:jc w:val="both"/>
        <w:rPr>
          <w:rFonts w:eastAsia="Calibri"/>
          <w:sz w:val="26"/>
          <w:szCs w:val="26"/>
          <w:lang w:val="es-ES" w:eastAsia="en-US"/>
        </w:rPr>
      </w:pPr>
    </w:p>
    <w:p w14:paraId="45DD97D6" w14:textId="77777777" w:rsidR="00593607" w:rsidRDefault="00593607" w:rsidP="00117F22">
      <w:pPr>
        <w:spacing w:after="360" w:line="360" w:lineRule="auto"/>
        <w:ind w:right="-159"/>
        <w:jc w:val="both"/>
        <w:rPr>
          <w:rFonts w:eastAsia="Calibri"/>
          <w:sz w:val="26"/>
          <w:szCs w:val="26"/>
          <w:lang w:val="es-ES" w:eastAsia="en-US"/>
        </w:rPr>
      </w:pPr>
    </w:p>
    <w:p w14:paraId="6116D232" w14:textId="77777777" w:rsidR="00593607" w:rsidRDefault="00593607" w:rsidP="00117F22">
      <w:pPr>
        <w:spacing w:after="360" w:line="360" w:lineRule="auto"/>
        <w:ind w:right="-159"/>
        <w:jc w:val="both"/>
        <w:rPr>
          <w:rFonts w:eastAsia="Calibri"/>
          <w:sz w:val="26"/>
          <w:szCs w:val="26"/>
          <w:lang w:val="es-ES" w:eastAsia="en-US"/>
        </w:rPr>
      </w:pPr>
    </w:p>
    <w:p w14:paraId="438A9FC1" w14:textId="77777777" w:rsidR="00593607" w:rsidRDefault="00593607" w:rsidP="00117F22">
      <w:pPr>
        <w:spacing w:after="360" w:line="360" w:lineRule="auto"/>
        <w:ind w:right="-159"/>
        <w:jc w:val="both"/>
        <w:rPr>
          <w:rFonts w:eastAsia="Calibri"/>
          <w:sz w:val="26"/>
          <w:szCs w:val="26"/>
          <w:lang w:val="es-ES" w:eastAsia="en-US"/>
        </w:rPr>
      </w:pPr>
    </w:p>
    <w:p w14:paraId="381F95EA" w14:textId="77777777" w:rsidR="00593607" w:rsidRPr="00117F22" w:rsidRDefault="00593607" w:rsidP="00117F22">
      <w:pPr>
        <w:spacing w:after="360" w:line="360" w:lineRule="auto"/>
        <w:ind w:right="-159"/>
        <w:jc w:val="both"/>
        <w:rPr>
          <w:rFonts w:eastAsia="Calibri"/>
          <w:sz w:val="26"/>
          <w:szCs w:val="26"/>
          <w:lang w:val="es-ES" w:eastAsia="en-US"/>
        </w:rPr>
      </w:pPr>
    </w:p>
    <w:tbl>
      <w:tblPr>
        <w:tblW w:w="9209" w:type="dxa"/>
        <w:tblLook w:val="04A0" w:firstRow="1" w:lastRow="0" w:firstColumn="1" w:lastColumn="0" w:noHBand="0" w:noVBand="1"/>
      </w:tblPr>
      <w:tblGrid>
        <w:gridCol w:w="9209"/>
      </w:tblGrid>
      <w:tr w:rsidR="00117F22" w:rsidRPr="00117F22" w14:paraId="51F953D6" w14:textId="77777777" w:rsidTr="00117F22">
        <w:tc>
          <w:tcPr>
            <w:tcW w:w="9209" w:type="dxa"/>
          </w:tcPr>
          <w:p w14:paraId="5580C7D6" w14:textId="77777777" w:rsidR="00117F22" w:rsidRPr="00117F22" w:rsidRDefault="00117F22" w:rsidP="00117F22">
            <w:pPr>
              <w:jc w:val="center"/>
              <w:rPr>
                <w:rFonts w:eastAsia="Calibri"/>
                <w:b/>
                <w:sz w:val="22"/>
                <w:szCs w:val="26"/>
                <w:lang w:val="es-ES" w:eastAsia="en-US"/>
              </w:rPr>
            </w:pPr>
            <w:r w:rsidRPr="00117F22">
              <w:rPr>
                <w:rFonts w:eastAsia="Calibri"/>
                <w:b/>
                <w:sz w:val="22"/>
                <w:szCs w:val="26"/>
                <w:lang w:val="es-ES" w:eastAsia="en-US"/>
              </w:rPr>
              <w:lastRenderedPageBreak/>
              <w:t>AMÉRICA LATINA (16 PAÍSES): REDUCCIÓN DE LA DESIGUALDAD SEGÚN INSTRUMENTOS DE LA POLÍTICA FISCAL, ALREDEDOR DE 2011</w:t>
            </w:r>
          </w:p>
          <w:p w14:paraId="487F2D4A" w14:textId="77777777" w:rsidR="00117F22" w:rsidRPr="00117F22" w:rsidRDefault="00117F22" w:rsidP="00117F22">
            <w:pPr>
              <w:jc w:val="center"/>
              <w:rPr>
                <w:rFonts w:eastAsia="Calibri"/>
                <w:b/>
                <w:sz w:val="22"/>
                <w:szCs w:val="26"/>
                <w:lang w:val="es-ES" w:eastAsia="en-US"/>
              </w:rPr>
            </w:pPr>
            <w:r w:rsidRPr="00117F22">
              <w:rPr>
                <w:rFonts w:eastAsia="Calibri"/>
                <w:b/>
                <w:sz w:val="22"/>
                <w:szCs w:val="26"/>
                <w:lang w:val="es-ES" w:eastAsia="en-US"/>
              </w:rPr>
              <w:t>-En puntos porcentuales del coeficiente de Gini-</w:t>
            </w:r>
          </w:p>
        </w:tc>
      </w:tr>
      <w:tr w:rsidR="00117F22" w:rsidRPr="00117F22" w14:paraId="0325DB5F" w14:textId="77777777" w:rsidTr="00117F22">
        <w:tc>
          <w:tcPr>
            <w:tcW w:w="9209" w:type="dxa"/>
          </w:tcPr>
          <w:p w14:paraId="65121E6B" w14:textId="77777777" w:rsidR="00117F22" w:rsidRPr="00117F22" w:rsidRDefault="00117F22" w:rsidP="00117F22">
            <w:pPr>
              <w:jc w:val="center"/>
              <w:rPr>
                <w:rFonts w:eastAsia="Calibri"/>
                <w:sz w:val="22"/>
                <w:szCs w:val="26"/>
                <w:lang w:val="es-ES" w:eastAsia="en-US"/>
              </w:rPr>
            </w:pPr>
            <w:r w:rsidRPr="00117F22">
              <w:rPr>
                <w:rFonts w:eastAsia="Calibri"/>
                <w:noProof/>
                <w:sz w:val="22"/>
                <w:szCs w:val="26"/>
                <w:lang w:eastAsia="es-MX"/>
              </w:rPr>
              <w:drawing>
                <wp:inline distT="0" distB="0" distL="0" distR="0" wp14:anchorId="63703C0F" wp14:editId="63BCF3E6">
                  <wp:extent cx="4830777" cy="3239418"/>
                  <wp:effectExtent l="0" t="0" r="0" b="0"/>
                  <wp:docPr id="1575" name="Imagen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08" cstate="print">
                            <a:extLst>
                              <a:ext uri="{28A0092B-C50C-407E-A947-70E740481C1C}">
                                <a14:useLocalDpi xmlns:a14="http://schemas.microsoft.com/office/drawing/2010/main" val="0"/>
                              </a:ext>
                            </a:extLst>
                          </a:blip>
                          <a:srcRect l="820" t="1247" r="2403" b="1404"/>
                          <a:stretch/>
                        </pic:blipFill>
                        <pic:spPr bwMode="auto">
                          <a:xfrm>
                            <a:off x="0" y="0"/>
                            <a:ext cx="4831646" cy="324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17F22" w:rsidRPr="00117F22" w14:paraId="15F470A6" w14:textId="77777777" w:rsidTr="00117F22">
        <w:tc>
          <w:tcPr>
            <w:tcW w:w="9209" w:type="dxa"/>
          </w:tcPr>
          <w:p w14:paraId="5E5D7F96" w14:textId="77777777" w:rsidR="00117F22" w:rsidRPr="00117F22" w:rsidRDefault="00117F22" w:rsidP="00117F22">
            <w:pPr>
              <w:ind w:left="998" w:right="742" w:hanging="255"/>
              <w:jc w:val="both"/>
              <w:rPr>
                <w:rFonts w:eastAsia="Calibri"/>
                <w:sz w:val="20"/>
                <w:szCs w:val="26"/>
                <w:lang w:val="es-ES" w:eastAsia="en-US"/>
              </w:rPr>
            </w:pPr>
            <w:r w:rsidRPr="00117F22">
              <w:rPr>
                <w:rFonts w:eastAsia="Calibri"/>
                <w:sz w:val="20"/>
                <w:szCs w:val="26"/>
                <w:u w:val="single"/>
                <w:lang w:val="es-ES" w:eastAsia="en-US"/>
              </w:rPr>
              <w:t>a</w:t>
            </w:r>
            <w:r w:rsidRPr="00117F22">
              <w:rPr>
                <w:rFonts w:eastAsia="Calibri"/>
                <w:sz w:val="20"/>
                <w:szCs w:val="26"/>
                <w:lang w:val="es-ES" w:eastAsia="en-US"/>
              </w:rPr>
              <w:t>/ Promedio simple.</w:t>
            </w:r>
          </w:p>
          <w:p w14:paraId="43F4808D" w14:textId="77777777" w:rsidR="00117F22" w:rsidRPr="00117F22" w:rsidRDefault="00117F22" w:rsidP="00117F22">
            <w:pPr>
              <w:ind w:left="1628" w:right="742" w:hanging="885"/>
              <w:jc w:val="both"/>
              <w:rPr>
                <w:rFonts w:eastAsia="Calibri"/>
                <w:sz w:val="20"/>
                <w:szCs w:val="26"/>
                <w:lang w:val="es-ES" w:eastAsia="en-US"/>
              </w:rPr>
            </w:pPr>
            <w:r w:rsidRPr="00117F22">
              <w:rPr>
                <w:rFonts w:eastAsia="Calibri"/>
                <w:sz w:val="20"/>
                <w:szCs w:val="26"/>
                <w:lang w:val="es-ES" w:eastAsia="en-US"/>
              </w:rPr>
              <w:t>FUENTE: Comisión Económica para América Latina y el Caribe (CEPAL), sobre la base de las encuestas de hogares de los respectivos países.</w:t>
            </w:r>
          </w:p>
        </w:tc>
      </w:tr>
    </w:tbl>
    <w:p w14:paraId="5D925876" w14:textId="77777777" w:rsidR="00117F22" w:rsidRPr="00117F22" w:rsidRDefault="00117F22" w:rsidP="00117F22">
      <w:pPr>
        <w:spacing w:after="360" w:line="360" w:lineRule="auto"/>
        <w:ind w:right="-159"/>
        <w:jc w:val="both"/>
        <w:rPr>
          <w:rFonts w:eastAsia="Calibri"/>
          <w:sz w:val="26"/>
          <w:szCs w:val="26"/>
          <w:lang w:val="es-ES" w:eastAsia="en-US"/>
        </w:rPr>
      </w:pPr>
    </w:p>
    <w:p w14:paraId="52587DA2" w14:textId="77777777" w:rsidR="00117F22" w:rsidRDefault="00117F22" w:rsidP="00117F22">
      <w:pPr>
        <w:spacing w:after="360" w:line="360" w:lineRule="auto"/>
        <w:ind w:right="-159"/>
        <w:jc w:val="both"/>
        <w:rPr>
          <w:rFonts w:eastAsia="Calibri"/>
          <w:sz w:val="26"/>
          <w:szCs w:val="26"/>
          <w:lang w:val="es-ES" w:eastAsia="en-US"/>
        </w:rPr>
      </w:pPr>
      <w:r w:rsidRPr="00117F22">
        <w:rPr>
          <w:rFonts w:eastAsia="Calibri"/>
          <w:sz w:val="26"/>
          <w:szCs w:val="26"/>
          <w:lang w:val="es-ES" w:eastAsia="en-US"/>
        </w:rPr>
        <w:t>En los países donde es mayor la desigualdad del ingreso de mercado, antes del efecto de impuestos y gastos públicos, la política fiscal debería cumplir un rol redistributivo más activo. En este sentido, se pueden distinguir dos grupos de países (véase la gráfica anterior). Por un lado, están aquellos que tienen un coeficiente de Gini del ingreso de mercado superior al promedio regional y en los que la política fiscal corrige en mayor medida que en los demás países esa desigualdad más alta, por ejemplo, Argentina, Brasil, Chile, Colombia, Costa Rica y Panamá. En otro grupo se encuentran Honduras, Paraguay y la República Dominicana, que también presentan una gran desigualdad del ingreso de mercado, pero en los que la política fiscal ejerce un rol menos activo en la redistribución del ingreso.</w:t>
      </w:r>
    </w:p>
    <w:p w14:paraId="2EC713F1" w14:textId="77777777" w:rsidR="00593607" w:rsidRPr="00117F22" w:rsidRDefault="00593607" w:rsidP="00117F22">
      <w:pPr>
        <w:spacing w:after="360" w:line="360" w:lineRule="auto"/>
        <w:ind w:right="-159"/>
        <w:jc w:val="both"/>
        <w:rPr>
          <w:rFonts w:eastAsia="Calibri"/>
          <w:sz w:val="26"/>
          <w:szCs w:val="26"/>
          <w:lang w:val="es-ES" w:eastAsia="en-US"/>
        </w:rPr>
      </w:pPr>
    </w:p>
    <w:p w14:paraId="27D896BB" w14:textId="77777777" w:rsidR="00117F22" w:rsidRPr="00117F22" w:rsidRDefault="00117F22" w:rsidP="00117F22">
      <w:pPr>
        <w:spacing w:after="360"/>
        <w:ind w:left="340" w:right="-159" w:hanging="340"/>
        <w:jc w:val="both"/>
        <w:rPr>
          <w:rFonts w:eastAsia="Calibri"/>
          <w:b/>
          <w:sz w:val="26"/>
          <w:szCs w:val="26"/>
          <w:lang w:val="es-ES" w:eastAsia="en-US"/>
        </w:rPr>
      </w:pPr>
      <w:r w:rsidRPr="00117F22">
        <w:rPr>
          <w:rFonts w:eastAsia="Calibri"/>
          <w:b/>
          <w:sz w:val="26"/>
          <w:szCs w:val="26"/>
          <w:lang w:val="es-ES" w:eastAsia="en-US"/>
        </w:rPr>
        <w:lastRenderedPageBreak/>
        <w:t>E. En un entorno macroeconómico volátil, las reformas tributarias deben apuntar a fortalecer el impuesto sobre la renta</w:t>
      </w:r>
    </w:p>
    <w:p w14:paraId="3B1B4678" w14:textId="77777777" w:rsidR="00117F22" w:rsidRPr="00117F22" w:rsidRDefault="00117F22" w:rsidP="00117F22">
      <w:pPr>
        <w:spacing w:after="360" w:line="360" w:lineRule="auto"/>
        <w:ind w:right="-159"/>
        <w:jc w:val="both"/>
        <w:rPr>
          <w:rFonts w:eastAsia="Calibri"/>
          <w:sz w:val="26"/>
          <w:szCs w:val="26"/>
          <w:lang w:val="es-ES" w:eastAsia="en-US"/>
        </w:rPr>
      </w:pPr>
      <w:r w:rsidRPr="00117F22">
        <w:rPr>
          <w:rFonts w:eastAsia="Calibri"/>
          <w:sz w:val="26"/>
          <w:szCs w:val="26"/>
          <w:lang w:val="es-ES" w:eastAsia="en-US"/>
        </w:rPr>
        <w:t>Un rasgo distintivo de la desigualdad en la región es la elevada proporción del ingreso que capta el estrato más alto, es decir, el 10% de los hogares más ricos. En promedio, este grupo concentra un 32% de los ingresos totales, aunque se observa una alta dispersión entre los países en torno a este valor. Por supuesto, esta situación refleja la incapacidad de los sistemas tributarios para gravar la renta de los sectores más acomodados.</w:t>
      </w:r>
    </w:p>
    <w:p w14:paraId="206B4ED3" w14:textId="77777777" w:rsidR="00117F22" w:rsidRPr="00117F22" w:rsidRDefault="00117F22" w:rsidP="00117F22">
      <w:pPr>
        <w:spacing w:after="360" w:line="360" w:lineRule="auto"/>
        <w:ind w:right="-159"/>
        <w:jc w:val="both"/>
        <w:rPr>
          <w:rFonts w:eastAsia="Calibri"/>
          <w:sz w:val="26"/>
          <w:szCs w:val="26"/>
          <w:lang w:val="es-ES" w:eastAsia="en-US"/>
        </w:rPr>
      </w:pPr>
      <w:r w:rsidRPr="00117F22">
        <w:rPr>
          <w:rFonts w:eastAsia="Calibri"/>
          <w:sz w:val="26"/>
          <w:szCs w:val="26"/>
          <w:lang w:val="es-ES" w:eastAsia="en-US"/>
        </w:rPr>
        <w:t>A pesar de que el diseño tributario es progresivo en la región, pues las tasas marginales máximas del impuesto a la renta personal se sitúan entre el 25 y el 40%, las tasas efectivas que paga el decil superior son muy reducidas, debido a la evasión y la elusión, las exenciones y deducciones, y el tratamiento preferencial de las rentas de capital, que en algunos países no están gravadas y en otros están sujetas a una tasa más baja que las rentas del trabajo. En consecuencia, el impacto redistributivo del impuesto sobre la renta es muy limitado, como se observa al comparar las tasas medias (definidas como el cociente entre el impuesto pagado y el ingreso bruto) con su efecto sobre el coeficiente de Gini (véase la gráfica siguiente).</w:t>
      </w:r>
    </w:p>
    <w:p w14:paraId="4FBBB757" w14:textId="77777777" w:rsidR="00117F22" w:rsidRPr="00117F22" w:rsidRDefault="00117F22" w:rsidP="00117F22">
      <w:pPr>
        <w:spacing w:after="360" w:line="360" w:lineRule="auto"/>
        <w:ind w:right="-159"/>
        <w:jc w:val="both"/>
        <w:rPr>
          <w:rFonts w:eastAsia="Calibri"/>
          <w:sz w:val="26"/>
          <w:szCs w:val="26"/>
          <w:lang w:val="es-ES" w:eastAsia="en-US"/>
        </w:rPr>
      </w:pPr>
    </w:p>
    <w:p w14:paraId="6F755168" w14:textId="77777777" w:rsidR="00117F22" w:rsidRPr="00117F22" w:rsidRDefault="00117F22" w:rsidP="00117F22">
      <w:pPr>
        <w:spacing w:after="360" w:line="360" w:lineRule="auto"/>
        <w:ind w:right="-159"/>
        <w:jc w:val="both"/>
        <w:rPr>
          <w:rFonts w:eastAsia="Calibri"/>
          <w:sz w:val="26"/>
          <w:szCs w:val="26"/>
          <w:lang w:val="es-ES" w:eastAsia="en-US"/>
        </w:rPr>
      </w:pPr>
    </w:p>
    <w:p w14:paraId="02C0E398" w14:textId="77777777" w:rsidR="00117F22" w:rsidRPr="00117F22" w:rsidRDefault="00117F22" w:rsidP="00117F22">
      <w:pPr>
        <w:spacing w:after="360" w:line="360" w:lineRule="auto"/>
        <w:ind w:right="-159"/>
        <w:jc w:val="both"/>
        <w:rPr>
          <w:rFonts w:eastAsia="Calibri"/>
          <w:sz w:val="26"/>
          <w:szCs w:val="26"/>
          <w:lang w:val="es-ES" w:eastAsia="en-US"/>
        </w:rPr>
      </w:pPr>
    </w:p>
    <w:p w14:paraId="0E13FC92" w14:textId="77777777" w:rsidR="00117F22" w:rsidRPr="00117F22" w:rsidRDefault="00117F22" w:rsidP="00117F22">
      <w:pPr>
        <w:spacing w:after="360" w:line="360" w:lineRule="auto"/>
        <w:ind w:right="-159"/>
        <w:jc w:val="both"/>
        <w:rPr>
          <w:rFonts w:eastAsia="Calibri"/>
          <w:sz w:val="26"/>
          <w:szCs w:val="26"/>
          <w:lang w:val="es-ES" w:eastAsia="en-US"/>
        </w:rPr>
      </w:pPr>
    </w:p>
    <w:p w14:paraId="2FCD1B1F" w14:textId="77777777" w:rsidR="00117F22" w:rsidRPr="00117F22" w:rsidRDefault="00117F22" w:rsidP="00117F22">
      <w:pPr>
        <w:spacing w:after="360" w:line="360" w:lineRule="auto"/>
        <w:ind w:right="-159"/>
        <w:jc w:val="both"/>
        <w:rPr>
          <w:rFonts w:eastAsia="Calibri"/>
          <w:sz w:val="26"/>
          <w:szCs w:val="26"/>
          <w:lang w:val="es-ES" w:eastAsia="en-US"/>
        </w:rPr>
      </w:pPr>
    </w:p>
    <w:p w14:paraId="6A9642EF" w14:textId="77777777" w:rsidR="00117F22" w:rsidRPr="00117F22" w:rsidRDefault="00117F22" w:rsidP="00117F22">
      <w:pPr>
        <w:spacing w:after="360" w:line="360" w:lineRule="auto"/>
        <w:ind w:right="-159"/>
        <w:jc w:val="both"/>
        <w:rPr>
          <w:rFonts w:eastAsia="Calibri"/>
          <w:sz w:val="26"/>
          <w:szCs w:val="26"/>
          <w:lang w:val="es-ES" w:eastAsia="en-US"/>
        </w:rPr>
      </w:pPr>
    </w:p>
    <w:tbl>
      <w:tblPr>
        <w:tblW w:w="9209" w:type="dxa"/>
        <w:tblLook w:val="04A0" w:firstRow="1" w:lastRow="0" w:firstColumn="1" w:lastColumn="0" w:noHBand="0" w:noVBand="1"/>
      </w:tblPr>
      <w:tblGrid>
        <w:gridCol w:w="9209"/>
      </w:tblGrid>
      <w:tr w:rsidR="00117F22" w:rsidRPr="00117F22" w14:paraId="03192DF3" w14:textId="77777777" w:rsidTr="00117F22">
        <w:tc>
          <w:tcPr>
            <w:tcW w:w="9209" w:type="dxa"/>
          </w:tcPr>
          <w:p w14:paraId="2192C064" w14:textId="77777777" w:rsidR="00117F22" w:rsidRPr="00117F22" w:rsidRDefault="00117F22" w:rsidP="00117F22">
            <w:pPr>
              <w:jc w:val="center"/>
              <w:rPr>
                <w:rFonts w:eastAsia="Calibri"/>
                <w:b/>
                <w:sz w:val="22"/>
                <w:szCs w:val="26"/>
                <w:lang w:val="es-ES" w:eastAsia="en-US"/>
              </w:rPr>
            </w:pPr>
            <w:r w:rsidRPr="00117F22">
              <w:rPr>
                <w:rFonts w:eastAsia="Calibri"/>
                <w:b/>
                <w:sz w:val="22"/>
                <w:szCs w:val="26"/>
                <w:lang w:val="es-ES" w:eastAsia="en-US"/>
              </w:rPr>
              <w:lastRenderedPageBreak/>
              <w:t>AMÉRICA LATINA (16 PAÍSES): TASA MEDIA DEL IMPUESTO SOBRE LA RENTA</w:t>
            </w:r>
          </w:p>
          <w:p w14:paraId="15EB6F95" w14:textId="77777777" w:rsidR="00117F22" w:rsidRPr="00117F22" w:rsidRDefault="00117F22" w:rsidP="00117F22">
            <w:pPr>
              <w:jc w:val="center"/>
              <w:rPr>
                <w:rFonts w:eastAsia="Calibri"/>
                <w:b/>
                <w:sz w:val="22"/>
                <w:szCs w:val="26"/>
                <w:lang w:val="es-ES" w:eastAsia="en-US"/>
              </w:rPr>
            </w:pPr>
            <w:r w:rsidRPr="00117F22">
              <w:rPr>
                <w:rFonts w:eastAsia="Calibri"/>
                <w:b/>
                <w:sz w:val="22"/>
                <w:szCs w:val="26"/>
                <w:lang w:val="es-ES" w:eastAsia="en-US"/>
              </w:rPr>
              <w:t>DE LAS PERSONAS FÍSICAS DEL DECIL 10 Y REDISTRIBUCIÓN DEL INGRESO, ALREDEDOR DE 2011</w:t>
            </w:r>
          </w:p>
          <w:p w14:paraId="042463E6" w14:textId="77777777" w:rsidR="00117F22" w:rsidRPr="00117F22" w:rsidRDefault="00117F22" w:rsidP="00117F22">
            <w:pPr>
              <w:jc w:val="center"/>
              <w:rPr>
                <w:rFonts w:eastAsia="Calibri"/>
                <w:b/>
                <w:sz w:val="22"/>
                <w:szCs w:val="26"/>
                <w:lang w:val="es-ES" w:eastAsia="en-US"/>
              </w:rPr>
            </w:pPr>
            <w:r w:rsidRPr="00117F22">
              <w:rPr>
                <w:rFonts w:eastAsia="Calibri"/>
                <w:b/>
                <w:sz w:val="22"/>
                <w:szCs w:val="26"/>
                <w:lang w:val="es-ES" w:eastAsia="en-US"/>
              </w:rPr>
              <w:t>-En puntos porcentuales del coeficiente de Gini y porcentajes-</w:t>
            </w:r>
          </w:p>
        </w:tc>
      </w:tr>
      <w:tr w:rsidR="00117F22" w:rsidRPr="00117F22" w14:paraId="5C63F1C5" w14:textId="77777777" w:rsidTr="00117F22">
        <w:tc>
          <w:tcPr>
            <w:tcW w:w="9209" w:type="dxa"/>
          </w:tcPr>
          <w:p w14:paraId="78046A03" w14:textId="77777777" w:rsidR="00117F22" w:rsidRPr="00117F22" w:rsidRDefault="00117F22" w:rsidP="00117F22">
            <w:pPr>
              <w:jc w:val="center"/>
              <w:rPr>
                <w:rFonts w:eastAsia="Calibri"/>
                <w:sz w:val="22"/>
                <w:szCs w:val="26"/>
                <w:lang w:val="es-ES" w:eastAsia="en-US"/>
              </w:rPr>
            </w:pPr>
            <w:r w:rsidRPr="00117F22">
              <w:rPr>
                <w:rFonts w:eastAsia="Calibri"/>
                <w:noProof/>
                <w:sz w:val="22"/>
                <w:szCs w:val="26"/>
                <w:lang w:eastAsia="es-MX"/>
              </w:rPr>
              <w:drawing>
                <wp:inline distT="0" distB="0" distL="0" distR="0" wp14:anchorId="62E5A056" wp14:editId="1E44DEA8">
                  <wp:extent cx="5607751" cy="3240000"/>
                  <wp:effectExtent l="0" t="0" r="0" b="0"/>
                  <wp:docPr id="1576" name="Imagen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09" cstate="print">
                            <a:extLst>
                              <a:ext uri="{28A0092B-C50C-407E-A947-70E740481C1C}">
                                <a14:useLocalDpi xmlns:a14="http://schemas.microsoft.com/office/drawing/2010/main" val="0"/>
                              </a:ext>
                            </a:extLst>
                          </a:blip>
                          <a:srcRect t="5714" b="1517"/>
                          <a:stretch/>
                        </pic:blipFill>
                        <pic:spPr bwMode="auto">
                          <a:xfrm>
                            <a:off x="0" y="0"/>
                            <a:ext cx="5607751" cy="324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17F22" w:rsidRPr="00117F22" w14:paraId="6AE56B11" w14:textId="77777777" w:rsidTr="00117F22">
        <w:tc>
          <w:tcPr>
            <w:tcW w:w="9209" w:type="dxa"/>
          </w:tcPr>
          <w:p w14:paraId="013F0D14" w14:textId="77777777" w:rsidR="00117F22" w:rsidRPr="00117F22" w:rsidRDefault="00117F22" w:rsidP="00117F22">
            <w:pPr>
              <w:ind w:left="1376" w:right="454" w:hanging="917"/>
              <w:jc w:val="both"/>
              <w:rPr>
                <w:rFonts w:eastAsia="Calibri"/>
                <w:sz w:val="20"/>
                <w:szCs w:val="26"/>
                <w:lang w:val="es-ES" w:eastAsia="en-US"/>
              </w:rPr>
            </w:pPr>
            <w:r w:rsidRPr="00117F22">
              <w:rPr>
                <w:rFonts w:eastAsia="Calibri"/>
                <w:sz w:val="20"/>
                <w:szCs w:val="26"/>
                <w:lang w:val="es-ES" w:eastAsia="en-US"/>
              </w:rPr>
              <w:t>FUENTE: Comisión Económica para América Latina y el Caribe (CEPAL), sobre la base de las encuestas de hogares de los respectivos países.</w:t>
            </w:r>
          </w:p>
        </w:tc>
      </w:tr>
    </w:tbl>
    <w:p w14:paraId="7E494ADB" w14:textId="77777777" w:rsidR="00117F22" w:rsidRPr="00117F22" w:rsidRDefault="00117F22" w:rsidP="00117F22">
      <w:pPr>
        <w:spacing w:after="360" w:line="360" w:lineRule="auto"/>
        <w:ind w:right="-159"/>
        <w:jc w:val="both"/>
        <w:rPr>
          <w:rFonts w:eastAsia="Calibri"/>
          <w:sz w:val="26"/>
          <w:szCs w:val="26"/>
          <w:lang w:val="es-ES" w:eastAsia="en-US"/>
        </w:rPr>
      </w:pPr>
    </w:p>
    <w:p w14:paraId="5CC9BDA6" w14:textId="77777777" w:rsidR="00117F22" w:rsidRPr="00117F22" w:rsidRDefault="00117F22" w:rsidP="00117F22">
      <w:pPr>
        <w:spacing w:after="360" w:line="360" w:lineRule="auto"/>
        <w:ind w:right="-159"/>
        <w:jc w:val="both"/>
        <w:rPr>
          <w:rFonts w:eastAsia="Calibri"/>
          <w:sz w:val="26"/>
          <w:szCs w:val="26"/>
          <w:lang w:val="es-ES" w:eastAsia="en-US"/>
        </w:rPr>
      </w:pPr>
      <w:r w:rsidRPr="00117F22">
        <w:rPr>
          <w:rFonts w:eastAsia="Calibri"/>
          <w:sz w:val="26"/>
          <w:szCs w:val="26"/>
          <w:lang w:val="es-ES" w:eastAsia="en-US"/>
        </w:rPr>
        <w:t>En efecto, el coeficiente de Gini se reduce en promedio un 2% por efecto de este impuesto (o, en términos absolutos, 1 punto porcentual del Gini), con ciertas diferencias entre los países. Como se ha reiterado en numerosos documentos y foros, la debilidad del impuesto sobre la renta es el principal problema estructural de los sistemas tributarios de América Latina. La política tributaria ha privilegiado la eficiencia, pretendiendo que el impuesto sobre la renta afecte lo menos posible las decisiones de ahorro e inversión y aproximando, en ciertos casos, la base imponible a una base de consumo en vez de la tradicional base de ingresos. En el camino, por cierto, se han sacrificado los atributos de equidad y simplicidad; el principal aspecto que afecta la equidad del impuesto a la renta es el tratamiento preferencial que reciben las rentas de capital, que produce una asimetría respecto de la tributación de las rentas del trabajo.</w:t>
      </w:r>
    </w:p>
    <w:p w14:paraId="427D8084" w14:textId="77777777" w:rsidR="00117F22" w:rsidRPr="00117F22" w:rsidRDefault="00117F22" w:rsidP="00117F22">
      <w:pPr>
        <w:spacing w:after="360" w:line="360" w:lineRule="auto"/>
        <w:ind w:right="-159"/>
        <w:jc w:val="both"/>
        <w:rPr>
          <w:rFonts w:eastAsia="Calibri"/>
          <w:sz w:val="26"/>
          <w:szCs w:val="26"/>
          <w:lang w:val="es-ES" w:eastAsia="en-US"/>
        </w:rPr>
      </w:pPr>
      <w:r w:rsidRPr="00117F22">
        <w:rPr>
          <w:rFonts w:eastAsia="Calibri"/>
          <w:sz w:val="26"/>
          <w:szCs w:val="26"/>
          <w:lang w:val="es-ES" w:eastAsia="en-US"/>
        </w:rPr>
        <w:lastRenderedPageBreak/>
        <w:t>En los últimos años, varios países de la región llevaron a cabo una serie de reformas tributarias con las que se ha buscado mejorar la recaudación mediante el aumento de las tasas, la reducción de las exenciones, la implementación de sistemas de imposición dual en algunos casos, la modificación o creación de impuestos mínimos y el aumento de la fiscalización a los grandes contribuyentes.</w:t>
      </w:r>
    </w:p>
    <w:p w14:paraId="63B8216A" w14:textId="77777777" w:rsidR="00117F22" w:rsidRPr="00117F22" w:rsidRDefault="00117F22" w:rsidP="00117F22">
      <w:pPr>
        <w:spacing w:after="360" w:line="360" w:lineRule="auto"/>
        <w:ind w:right="-159"/>
        <w:jc w:val="both"/>
        <w:rPr>
          <w:rFonts w:eastAsia="Calibri"/>
          <w:sz w:val="26"/>
          <w:szCs w:val="26"/>
          <w:lang w:val="es-ES" w:eastAsia="en-US"/>
        </w:rPr>
      </w:pPr>
      <w:r w:rsidRPr="00117F22">
        <w:rPr>
          <w:rFonts w:eastAsia="Calibri"/>
          <w:sz w:val="26"/>
          <w:szCs w:val="26"/>
          <w:lang w:val="es-ES" w:eastAsia="en-US"/>
        </w:rPr>
        <w:t>Si bien las modificaciones incluidas han sido diversas, una de las novedades más destacables con respecto a décadas anteriores es que muchos cambios se han centrado en el impuesto sobre la renta, con el propósito no solo de mejorar el desempeño recaudatorio de los sistemas tributarios, sino también de fortalecer uno de los puntos más débiles de la política fiscal en los países de la región, que es el impacto de los sistemas impositivos en la distribución de los ingresos. Las reformas han cubierto diferentes aspectos del diseño de estos impuestos, como los vinculados a la modificación de la base imponible (en especial para fortalecer la tributación sobre las rentas de capital), el cambio de alícuotas y las reglas de tributación internacional. Entre las reformas realizadas en 2014, destacan las de Chile, Colombia, Ecuador, Honduras, Perú y Venezuela (República Bolivariana de).</w:t>
      </w:r>
    </w:p>
    <w:p w14:paraId="29E6DB11" w14:textId="77777777" w:rsidR="00117F22" w:rsidRPr="00117F22" w:rsidRDefault="00117F22" w:rsidP="00117F22">
      <w:pPr>
        <w:spacing w:after="360" w:line="360" w:lineRule="auto"/>
        <w:ind w:right="-159"/>
        <w:jc w:val="both"/>
        <w:rPr>
          <w:rFonts w:eastAsia="Calibri"/>
          <w:sz w:val="26"/>
          <w:szCs w:val="26"/>
          <w:lang w:val="es-ES" w:eastAsia="en-US"/>
        </w:rPr>
      </w:pPr>
      <w:r w:rsidRPr="00117F22">
        <w:rPr>
          <w:rFonts w:eastAsia="Calibri"/>
          <w:sz w:val="26"/>
          <w:szCs w:val="26"/>
          <w:lang w:val="es-ES" w:eastAsia="en-US"/>
        </w:rPr>
        <w:t>Las simulaciones aplicadas a las encuestas de hogares sobre potenciales reformas al impuesto sobre la renta personal muestran que existe espacio para ampliar el poder redistributivo de este tributo. En el caso hipotético de que los países de la región incrementaran hasta un 20% la tasa efectiva que paga el decil superior de la escala de ingresos, el efecto redistributivo del impuesto a la renta personal aumentaría en forma considerable. Si además la mayor recaudación así obtenida se redistribuyera hacia los deciles inferiores, la acción fiscal tendría un impacto significativo sobre el coeficiente de Gini, triplicando el efecto redistributivo de la política fiscal, como se muestra en este documento.</w:t>
      </w:r>
    </w:p>
    <w:p w14:paraId="186EE2CF" w14:textId="77777777" w:rsidR="00117F22" w:rsidRPr="00117F22" w:rsidRDefault="00117F22" w:rsidP="00117F22">
      <w:pPr>
        <w:spacing w:after="360" w:line="360" w:lineRule="auto"/>
        <w:ind w:right="-159"/>
        <w:jc w:val="both"/>
        <w:rPr>
          <w:rFonts w:eastAsia="Calibri"/>
          <w:sz w:val="26"/>
          <w:szCs w:val="26"/>
          <w:lang w:val="es-ES" w:eastAsia="en-US"/>
        </w:rPr>
      </w:pPr>
      <w:r w:rsidRPr="00117F22">
        <w:rPr>
          <w:rFonts w:eastAsia="Calibri"/>
          <w:sz w:val="26"/>
          <w:szCs w:val="26"/>
          <w:lang w:val="es-ES" w:eastAsia="en-US"/>
        </w:rPr>
        <w:lastRenderedPageBreak/>
        <w:t>La evaluación del efecto redistributivo de estas potenciales reformas señala la importancia de promover acciones dirigidas a combatir la evasión y la elusión fiscal (en especial, en el caso del impuesto sobre la renta personal); otorgar a las rentas de capital un tratamiento similar al aplicado a las rentas provenientes del trabajo; reducir los tratamientos preferenciales, y rebajar el nivel de ingreso a partir del cual se aplican las tasas máximas, en concordancia con los rangos establecidos en otras regiones.</w:t>
      </w:r>
    </w:p>
    <w:p w14:paraId="70FFEB8C" w14:textId="77777777" w:rsidR="00117F22" w:rsidRPr="00117F22" w:rsidRDefault="00117F22" w:rsidP="00C47DB6">
      <w:pPr>
        <w:spacing w:after="360"/>
        <w:ind w:left="335" w:right="-159" w:hanging="335"/>
        <w:jc w:val="both"/>
        <w:rPr>
          <w:rFonts w:eastAsia="Calibri"/>
          <w:b/>
          <w:sz w:val="26"/>
          <w:szCs w:val="26"/>
          <w:lang w:val="es-ES" w:eastAsia="en-US"/>
        </w:rPr>
      </w:pPr>
      <w:r w:rsidRPr="00117F22">
        <w:rPr>
          <w:rFonts w:eastAsia="Calibri"/>
          <w:b/>
          <w:sz w:val="26"/>
          <w:szCs w:val="26"/>
          <w:lang w:val="es-ES" w:eastAsia="en-US"/>
        </w:rPr>
        <w:t>II. El impacto fiscal de los recursos naturales no renovables en los países de América Latina</w:t>
      </w:r>
    </w:p>
    <w:p w14:paraId="009F038F" w14:textId="77777777" w:rsidR="00117F22" w:rsidRPr="00117F22" w:rsidRDefault="00117F22" w:rsidP="00117F22">
      <w:pPr>
        <w:spacing w:after="360" w:line="360" w:lineRule="auto"/>
        <w:ind w:right="-159"/>
        <w:jc w:val="both"/>
        <w:rPr>
          <w:rFonts w:eastAsia="Calibri"/>
          <w:b/>
          <w:sz w:val="26"/>
          <w:szCs w:val="26"/>
          <w:lang w:val="es-ES" w:eastAsia="en-US"/>
        </w:rPr>
      </w:pPr>
      <w:r w:rsidRPr="00117F22">
        <w:rPr>
          <w:rFonts w:eastAsia="Calibri"/>
          <w:b/>
          <w:sz w:val="26"/>
          <w:szCs w:val="26"/>
          <w:lang w:val="es-ES" w:eastAsia="en-US"/>
        </w:rPr>
        <w:t>E. Comentarios finales</w:t>
      </w:r>
    </w:p>
    <w:p w14:paraId="6F584409" w14:textId="77777777" w:rsidR="00117F22" w:rsidRPr="00117F22" w:rsidRDefault="00117F22" w:rsidP="00117F22">
      <w:pPr>
        <w:spacing w:after="360" w:line="360" w:lineRule="auto"/>
        <w:ind w:right="-159"/>
        <w:jc w:val="both"/>
        <w:rPr>
          <w:rFonts w:eastAsia="Calibri"/>
          <w:sz w:val="26"/>
          <w:szCs w:val="26"/>
          <w:lang w:val="es-ES" w:eastAsia="en-US"/>
        </w:rPr>
      </w:pPr>
      <w:r w:rsidRPr="00117F22">
        <w:rPr>
          <w:rFonts w:eastAsia="Calibri"/>
          <w:sz w:val="26"/>
          <w:szCs w:val="26"/>
          <w:lang w:val="es-ES" w:eastAsia="en-US"/>
        </w:rPr>
        <w:t>En definitiva, la combinación de instrumentos aplicada a la explotación económica de recursos naturales no renovables (tanto en el sector de hidrocarburos como de minerales) varía visiblemente entre los países de la región. La mayoría de los países siguen manteniendo sistemas tradicionales de regalías y de impuestos sobre la renta que reciben objeciones en el terreno de la neutralidad y la estabilidad. Solo en el caso de los hidrocarburos, algunos países han avanzado con la introducción de instrumentos más sofisticados (impuestos o regalías escalonadas y distintas variantes de participación estatal en la producción o las utilidades), con la doble finalidad de aprovechar sus ventajas relativas en términos de eficiencia económica e incrementar el margen de apropiación de las rentas generadas en estos sectores por parte del Estado.</w:t>
      </w:r>
    </w:p>
    <w:p w14:paraId="28370B3A" w14:textId="77777777" w:rsidR="00117F22" w:rsidRPr="00117F22" w:rsidRDefault="00117F22" w:rsidP="00117F22">
      <w:pPr>
        <w:spacing w:after="360" w:line="360" w:lineRule="auto"/>
        <w:ind w:right="-159"/>
        <w:jc w:val="both"/>
        <w:rPr>
          <w:rFonts w:eastAsia="Calibri"/>
          <w:sz w:val="26"/>
          <w:szCs w:val="26"/>
          <w:lang w:val="es-ES" w:eastAsia="en-US"/>
        </w:rPr>
      </w:pPr>
      <w:r w:rsidRPr="00117F22">
        <w:rPr>
          <w:rFonts w:eastAsia="Calibri"/>
          <w:sz w:val="26"/>
          <w:szCs w:val="26"/>
          <w:lang w:val="es-ES" w:eastAsia="en-US"/>
        </w:rPr>
        <w:t xml:space="preserve">La práctica observada en la región, en especial en el sector minero, redunda en que la regalía termine siendo un mecanismo para aumentar de manera marginal la tasa efectiva del impuesto a la utilidad corporativa que pagan las empresas mineras. En cierta forma, los países han recurrido a la introducción de estas regalías como una forma de lograr que el sector minero realice un aporte fiscal relativamente mayor al de las empresas de otros sectores económicos, lo que suele justificarse por el hecho de tratarse de la extracción de un recurso natural no renovable que es de propiedad del Estado. En ese </w:t>
      </w:r>
      <w:r w:rsidRPr="00117F22">
        <w:rPr>
          <w:rFonts w:eastAsia="Calibri"/>
          <w:sz w:val="26"/>
          <w:szCs w:val="26"/>
          <w:lang w:val="es-ES" w:eastAsia="en-US"/>
        </w:rPr>
        <w:lastRenderedPageBreak/>
        <w:t>sentido, las regalías fijas brindan la posibilidad de asegurar un ingreso mínimo para el financiamiento público con la ventaja de una mayor simplicidad en términos de su administración. En su versión más moderna, cuando se establece un pago mínimo fijo, pero su determinación efectiva queda sujeta a la rentabilidad o la utilidad operativa de las empresas privadas, se mantienen dichas ventajas y además se dota a estas regalías de una mayor flexibilidad ante cambios en la ecuación financiera de los proyectos.</w:t>
      </w:r>
    </w:p>
    <w:p w14:paraId="62B67C1F" w14:textId="77777777" w:rsidR="00117F22" w:rsidRPr="00117F22" w:rsidRDefault="00117F22" w:rsidP="00117F22">
      <w:pPr>
        <w:spacing w:after="360" w:line="360" w:lineRule="auto"/>
        <w:ind w:right="-159"/>
        <w:jc w:val="both"/>
        <w:rPr>
          <w:rFonts w:eastAsia="Calibri"/>
          <w:sz w:val="26"/>
          <w:szCs w:val="26"/>
          <w:lang w:val="es-ES" w:eastAsia="en-US"/>
        </w:rPr>
      </w:pPr>
      <w:r w:rsidRPr="00117F22">
        <w:rPr>
          <w:rFonts w:eastAsia="Calibri"/>
          <w:sz w:val="26"/>
          <w:szCs w:val="26"/>
          <w:lang w:val="es-ES" w:eastAsia="en-US"/>
        </w:rPr>
        <w:t>En la literatura reciente se insiste en recomendar la introducción de instrumentos basados en alguna idea aproximada de la renta económica pura derivada de la explotación de los recursos naturales no renovables, argumentando que ellos no solo son más eficientes y estables, sino que permitirían elevar las tasas efectivas de participación estatal en la rentas económicas de cada sector mediante una mejor reacción fiscal ante ciclos de precios elevados, como el que tuvo lugar en gran parte de la década pasada. Sin embargo, el hecho de que estos instrumentos exijan un mayor conocimiento de las características específicas de la actividad (no solo de los ingresos y los costos reales de las empresas, sino además de los riesgos implícitos, para ponderar las tasas de retorno adecuadas) y, en consecuencia, requieran un nivel de desarrollo institucional que no siempre está presente en los países especializados en la producción minera, ha limitado su introducción masiva en los regímenes fiscales vigentes, más aún en períodos de estrechez financiera del Estado.</w:t>
      </w:r>
    </w:p>
    <w:p w14:paraId="0DC4991E" w14:textId="77777777" w:rsidR="00117F22" w:rsidRPr="00117F22" w:rsidRDefault="00117F22" w:rsidP="00117F22">
      <w:pPr>
        <w:spacing w:after="360" w:line="360" w:lineRule="auto"/>
        <w:ind w:right="-159"/>
        <w:jc w:val="both"/>
        <w:rPr>
          <w:rFonts w:eastAsia="Calibri"/>
          <w:sz w:val="26"/>
          <w:szCs w:val="26"/>
          <w:lang w:val="es-ES" w:eastAsia="en-US"/>
        </w:rPr>
      </w:pPr>
      <w:r w:rsidRPr="00117F22">
        <w:rPr>
          <w:rFonts w:eastAsia="Calibri"/>
          <w:sz w:val="26"/>
          <w:szCs w:val="26"/>
          <w:lang w:val="es-ES" w:eastAsia="en-US"/>
        </w:rPr>
        <w:t xml:space="preserve">Por otra parte, el cambio del contexto internacional y la mayor incertidumbre acerca de la posibilidad de recuperar un nivel de precios elevados en el mediano plazo impone desafíos adicionales, especialmente en aquellos países que presentan un elevado grado de dependencia fiscal respecto de la explotación de sus recursos naturales no renovables. En ese sentido, es importante señalar que, dada la necesidad que muestran todos los países de la región en materia de inversiones privadas para alcanzar un mayor desarrollo de sus industrias extractivas, un período de precios internacionales bajos se traduciría en una reducción del poder de negociación del Estado para establecer </w:t>
      </w:r>
      <w:r w:rsidRPr="00117F22">
        <w:rPr>
          <w:rFonts w:eastAsia="Calibri"/>
          <w:sz w:val="26"/>
          <w:szCs w:val="26"/>
          <w:lang w:val="es-ES" w:eastAsia="en-US"/>
        </w:rPr>
        <w:lastRenderedPageBreak/>
        <w:t>regímenes fiscales que protejan sus propios intereses más allá de la rentabilidad económica de los proyectos. A ello se suman las usuales implicancias sociales, económicas y ambientales que se vinculan a las industrias extractivas y que hacen que la economía política sea singularmente compleja en este ámbito.</w:t>
      </w:r>
    </w:p>
    <w:p w14:paraId="4A32BDEF" w14:textId="77777777" w:rsidR="00117F22" w:rsidRPr="00117F22" w:rsidRDefault="00117F22" w:rsidP="00C47DB6">
      <w:pPr>
        <w:autoSpaceDE w:val="0"/>
        <w:autoSpaceDN w:val="0"/>
        <w:adjustRightInd w:val="0"/>
        <w:spacing w:after="360"/>
        <w:ind w:left="425" w:hanging="425"/>
        <w:jc w:val="both"/>
        <w:rPr>
          <w:rFonts w:ascii="Perpetua-Bold" w:eastAsia="Calibri" w:hAnsi="Perpetua-Bold" w:cs="Perpetua-Bold"/>
          <w:b/>
          <w:bCs/>
          <w:sz w:val="26"/>
          <w:szCs w:val="26"/>
          <w:lang w:eastAsia="en-US"/>
        </w:rPr>
      </w:pPr>
      <w:r w:rsidRPr="00117F22">
        <w:rPr>
          <w:rFonts w:ascii="Perpetua-Bold" w:eastAsia="Calibri" w:hAnsi="Perpetua-Bold" w:cs="Perpetua-Bold"/>
          <w:b/>
          <w:bCs/>
          <w:sz w:val="26"/>
          <w:szCs w:val="26"/>
          <w:lang w:eastAsia="en-US"/>
        </w:rPr>
        <w:t>III. Efectos redistributivos de la política fiscal en América Latina y reformas tributarias recientes</w:t>
      </w:r>
    </w:p>
    <w:p w14:paraId="6EDCD906" w14:textId="77777777" w:rsidR="00117F22" w:rsidRPr="00117F22" w:rsidRDefault="00117F22" w:rsidP="00117F22">
      <w:pPr>
        <w:spacing w:after="360" w:line="360" w:lineRule="auto"/>
        <w:ind w:right="-159"/>
        <w:jc w:val="both"/>
        <w:rPr>
          <w:rFonts w:eastAsia="Calibri"/>
          <w:b/>
          <w:sz w:val="26"/>
          <w:szCs w:val="26"/>
          <w:lang w:val="es-ES" w:eastAsia="en-US"/>
        </w:rPr>
      </w:pPr>
      <w:r w:rsidRPr="00117F22">
        <w:rPr>
          <w:rFonts w:eastAsia="Calibri"/>
          <w:b/>
          <w:sz w:val="26"/>
          <w:szCs w:val="26"/>
          <w:lang w:val="es-ES" w:eastAsia="en-US"/>
        </w:rPr>
        <w:t>G. Reflexiones finales</w:t>
      </w:r>
    </w:p>
    <w:p w14:paraId="297EA6EE" w14:textId="77777777" w:rsidR="00117F22" w:rsidRPr="00117F22" w:rsidRDefault="00117F22" w:rsidP="00117F22">
      <w:pPr>
        <w:spacing w:after="360" w:line="360" w:lineRule="auto"/>
        <w:ind w:right="-159"/>
        <w:jc w:val="both"/>
        <w:rPr>
          <w:rFonts w:eastAsia="Calibri"/>
          <w:sz w:val="26"/>
          <w:szCs w:val="26"/>
          <w:lang w:val="es-ES" w:eastAsia="en-US"/>
        </w:rPr>
      </w:pPr>
      <w:r w:rsidRPr="00117F22">
        <w:rPr>
          <w:rFonts w:eastAsia="Calibri"/>
          <w:sz w:val="26"/>
          <w:szCs w:val="26"/>
          <w:lang w:val="es-ES" w:eastAsia="en-US"/>
        </w:rPr>
        <w:t>A pesar de que el poder redistributivo de la política fiscal en América Latina es considerablemente mayor cuando se evalúa el efecto del gasto público social en educación y salud, en comparación con el efecto solo de las transferencias públicas en efectivo y de los impuestos directos, el impacto final de la política fiscal en la reducción de la desigualdad es aún limitado en la región, en especial si se lo compara con el que alcanzan los países de la OCDE.</w:t>
      </w:r>
    </w:p>
    <w:p w14:paraId="7AD6B3BA" w14:textId="77777777" w:rsidR="00117F22" w:rsidRPr="00117F22" w:rsidRDefault="00117F22" w:rsidP="00117F22">
      <w:pPr>
        <w:spacing w:after="360" w:line="360" w:lineRule="auto"/>
        <w:ind w:right="-159"/>
        <w:jc w:val="both"/>
        <w:rPr>
          <w:rFonts w:eastAsia="Calibri"/>
          <w:sz w:val="26"/>
          <w:szCs w:val="26"/>
          <w:lang w:val="es-ES" w:eastAsia="en-US"/>
        </w:rPr>
      </w:pPr>
      <w:r w:rsidRPr="00117F22">
        <w:rPr>
          <w:rFonts w:eastAsia="Calibri"/>
          <w:sz w:val="26"/>
          <w:szCs w:val="26"/>
          <w:lang w:val="es-ES" w:eastAsia="en-US"/>
        </w:rPr>
        <w:t>Los resultados de este estudio demuestran que en la región los niveles de desigualdad promedio de los ingresos de mercado son levemente superiores a los valores medios de la OCDE e incluso hay países de América Latina en que la desigualdad de estos ingresos es menor que la registrada en las economías de ingresos altos. Sin embargo, los sistemas tributarios y el gasto social de la región tienen una menor efectividad a la hora de mejorar la distribución del ingreso disponible. En América Latina, el coeficiente de Gini cae, en promedio, 9 puntos porcentuales después de los impuestos directos y las transferencias en efectivo y en especie, en comparación con una reducción de 23 puntos porcentuales en la OCDE y 26 puntos porcentuales como promedio de las 15 economías consideradas de la Unión Europea. De esta forma, el coeficiente de Gini del ingreso de mercado de América Latina, de un valor promedio de 0.51, pasa a un coeficiente de Gini del ingreso disponible extendido de 0.42 después del efecto de los sistemas fiscales.</w:t>
      </w:r>
    </w:p>
    <w:p w14:paraId="19B9DA6A" w14:textId="77777777" w:rsidR="00117F22" w:rsidRPr="00117F22" w:rsidRDefault="00117F22" w:rsidP="00117F22">
      <w:pPr>
        <w:spacing w:after="360" w:line="360" w:lineRule="auto"/>
        <w:ind w:right="-159"/>
        <w:jc w:val="both"/>
        <w:rPr>
          <w:rFonts w:eastAsia="Calibri"/>
          <w:sz w:val="26"/>
          <w:szCs w:val="26"/>
          <w:lang w:val="es-ES" w:eastAsia="en-US"/>
        </w:rPr>
      </w:pPr>
      <w:r w:rsidRPr="00117F22">
        <w:rPr>
          <w:rFonts w:eastAsia="Calibri"/>
          <w:sz w:val="26"/>
          <w:szCs w:val="26"/>
          <w:lang w:val="es-ES" w:eastAsia="en-US"/>
        </w:rPr>
        <w:lastRenderedPageBreak/>
        <w:t>Además, la gran diferencia respecto del poder redistributivo de la política fiscal entre los países latinoamericanos y las economías desarrolladas está dada por las transferencias en efectivo y los impuestos directos, ya que la caída del coeficiente de Gini ocasionada por la distribución del gasto en educación y salud es bastante similar en ambos grupos de países. En los países de la región, la disminución de la desigualdad por medio de transferencias públicas en especie supera a la obtenida a través de las transferencias públicas monetarias y los impuestos sobre la renta personal. En promedio, el coeficiente de Gini cae apenas 3 puntos porcentuales luego de la acción fiscal directa, en tanto que la provisión pública de servicios de educación y salud lo reduce 6 puntos porcentuales adicionales. En los países europeos y en otras economías de la OCDE, el efecto redistributivo conjunto de las transferencias monetarias y del impuesto sobre la renta personal alcanza valores medios de 19 y 17 puntos porcentuales, respectivamente, mientras que la redistribución efectuada mediante el gasto público en especie se sitúa entre los 6 y los 7 puntos porcentuales.</w:t>
      </w:r>
    </w:p>
    <w:p w14:paraId="09FCC118" w14:textId="77777777" w:rsidR="00117F22" w:rsidRPr="00117F22" w:rsidRDefault="00117F22" w:rsidP="00117F22">
      <w:pPr>
        <w:spacing w:after="360" w:line="360" w:lineRule="auto"/>
        <w:ind w:right="-159"/>
        <w:jc w:val="both"/>
        <w:rPr>
          <w:rFonts w:eastAsia="Calibri"/>
          <w:sz w:val="26"/>
          <w:szCs w:val="26"/>
          <w:lang w:val="es-ES" w:eastAsia="en-US"/>
        </w:rPr>
      </w:pPr>
      <w:r w:rsidRPr="00117F22">
        <w:rPr>
          <w:rFonts w:eastAsia="Calibri"/>
          <w:sz w:val="26"/>
          <w:szCs w:val="26"/>
          <w:lang w:val="es-ES" w:eastAsia="en-US"/>
        </w:rPr>
        <w:t>Si solo se tiene en cuenta a la población en edad de retiro, se observa que los países de la OCDE presentan una mayor desigualdad de ingresos antes de la acción fiscal que los países de América Latina, pero después de los beneficios de la seguridad social y de otras transferencias e impuestos directos, la situación se revierte y el coeficiente de Gini se reduce alrededor de un 60% en la OCDE, mientras que en la región disminuye un 17 por ciento.</w:t>
      </w:r>
    </w:p>
    <w:p w14:paraId="40886C1E" w14:textId="77777777" w:rsidR="00117F22" w:rsidRPr="00117F22" w:rsidRDefault="00117F22" w:rsidP="00117F22">
      <w:pPr>
        <w:spacing w:after="360" w:line="360" w:lineRule="auto"/>
        <w:ind w:right="-159"/>
        <w:jc w:val="both"/>
        <w:rPr>
          <w:rFonts w:eastAsia="Calibri"/>
          <w:sz w:val="26"/>
          <w:szCs w:val="26"/>
          <w:lang w:val="es-ES" w:eastAsia="en-US"/>
        </w:rPr>
      </w:pPr>
      <w:r w:rsidRPr="00117F22">
        <w:rPr>
          <w:rFonts w:eastAsia="Calibri"/>
          <w:sz w:val="26"/>
          <w:szCs w:val="26"/>
          <w:lang w:val="es-ES" w:eastAsia="en-US"/>
        </w:rPr>
        <w:t>En síntesis, los resultados de este estudio sugieren que uno de los grandes desafíos que sigue enfrentando la región es mejorar el poder redistributivo de la política fiscal, tanto por medio de los impuestos como de los gastos, de manera de promover una mayor igualdad en la distribución del ingreso disponible y una mayor reducción de los niveles de pobreza.</w:t>
      </w:r>
    </w:p>
    <w:p w14:paraId="4CA88FCB" w14:textId="77777777" w:rsidR="00117F22" w:rsidRPr="00117F22" w:rsidRDefault="00117F22" w:rsidP="00117F22">
      <w:pPr>
        <w:spacing w:after="360" w:line="360" w:lineRule="auto"/>
        <w:ind w:right="-159"/>
        <w:jc w:val="both"/>
        <w:rPr>
          <w:rFonts w:eastAsia="Calibri"/>
          <w:sz w:val="26"/>
          <w:szCs w:val="26"/>
          <w:lang w:val="es-ES" w:eastAsia="en-US"/>
        </w:rPr>
      </w:pPr>
      <w:r w:rsidRPr="00117F22">
        <w:rPr>
          <w:rFonts w:eastAsia="Calibri"/>
          <w:sz w:val="26"/>
          <w:szCs w:val="26"/>
          <w:lang w:val="es-ES" w:eastAsia="en-US"/>
        </w:rPr>
        <w:lastRenderedPageBreak/>
        <w:t>Más allá de las claras diferencias entre países que se han ilustrado con los cálculos presentados, en promedio, dos tercios de la reducción del coeficiente de Gini de los ingresos de mercado en América Latina provienen de las transferencias públicas en especie (gasto público en educación y salud), el 21% se debe a las transferencias en efectivo (incluidas las pensiones públicas) y solo el 13% restante corresponde al efecto del impuesto sobre la renta y el pago de las contribuciones a la seguridad social. Esto indica que el impuesto sobre la renta personal constituye una de las principales áreas de la política fiscal que es necesario fortalecer y que, además, es importante garantizar el acceso de la población más vulnerable a servicios públicos de educación y salud que sean de buena calidad y comparables a los estándares internacionales.</w:t>
      </w:r>
    </w:p>
    <w:p w14:paraId="79A130DD" w14:textId="77777777" w:rsidR="00117F22" w:rsidRPr="00117F22" w:rsidRDefault="00117F22" w:rsidP="00117F22">
      <w:pPr>
        <w:spacing w:after="360" w:line="360" w:lineRule="auto"/>
        <w:ind w:right="-159"/>
        <w:jc w:val="both"/>
        <w:rPr>
          <w:rFonts w:eastAsia="Calibri"/>
          <w:sz w:val="26"/>
          <w:szCs w:val="26"/>
          <w:lang w:val="es-ES" w:eastAsia="en-US"/>
        </w:rPr>
      </w:pPr>
      <w:r w:rsidRPr="00117F22">
        <w:rPr>
          <w:rFonts w:eastAsia="Calibri"/>
          <w:sz w:val="26"/>
          <w:szCs w:val="26"/>
          <w:lang w:val="es-ES" w:eastAsia="en-US"/>
        </w:rPr>
        <w:t>En cuanto al primer desafío, las simulaciones aplicadas a las encuestas de hogares sobre potenciales reformas al impuesto sobre la renta personal muestran que existe espacio en la región para ampliar el poder redistributivo de este tributo. La equidad vertical mejora con la eliminación de los principales gastos tributarios, así como con un régimen de impuesto familiar. La aplicación de un impuesto estándar, sobre una base imponible amplia, incrementa aún más el papel redistributivo del impuesto. En el caso hipotético de que los países de la región incrementaran hasta un 20% la tasa efectiva que paga el decil superior de la escala de ingresos, el efecto redistributivo del impuesto a la renta personal aumentaría en forma considerable. Si además la mayor recaudación así obtenida se redistribuyera hacia los deciles inferiores, la acción fiscal tendría un impacto significativo sobre el coeficiente de Gini.</w:t>
      </w:r>
    </w:p>
    <w:p w14:paraId="37DC917C" w14:textId="77777777" w:rsidR="00117F22" w:rsidRPr="00117F22" w:rsidRDefault="00117F22" w:rsidP="00117F22">
      <w:pPr>
        <w:spacing w:after="360" w:line="360" w:lineRule="auto"/>
        <w:ind w:right="-159"/>
        <w:jc w:val="both"/>
        <w:rPr>
          <w:rFonts w:eastAsia="Calibri"/>
          <w:sz w:val="26"/>
          <w:szCs w:val="26"/>
          <w:lang w:val="es-ES" w:eastAsia="en-US"/>
        </w:rPr>
      </w:pPr>
      <w:r w:rsidRPr="00117F22">
        <w:rPr>
          <w:rFonts w:eastAsia="Calibri"/>
          <w:sz w:val="26"/>
          <w:szCs w:val="26"/>
          <w:lang w:val="es-ES" w:eastAsia="en-US"/>
        </w:rPr>
        <w:t>La evaluación del efecto redistributivo de estas potenciales reformas demuestra la importancia de promover acciones dirigidas a combatir la evasión y la elusión fiscal (en especial, en el caso del impuesto sobre la renta personal); otorgar a las rentas de capital un tratamiento similar al aplicado a las rentas provenientes del trabajo; reducir los tratamientos preferenciales y rebajar el nivel de ingreso a partir del cual se aplican las tasas máximas, en concordancia con los rangos establecidos en otras regiones.</w:t>
      </w:r>
    </w:p>
    <w:p w14:paraId="23C61DFC" w14:textId="77777777" w:rsidR="00117F22" w:rsidRPr="00117F22" w:rsidRDefault="00117F22" w:rsidP="00117F22">
      <w:pPr>
        <w:spacing w:after="360" w:line="360" w:lineRule="auto"/>
        <w:ind w:right="-159"/>
        <w:jc w:val="both"/>
        <w:rPr>
          <w:rFonts w:eastAsia="Calibri"/>
          <w:sz w:val="26"/>
          <w:szCs w:val="26"/>
          <w:lang w:val="es-ES" w:eastAsia="en-US"/>
        </w:rPr>
      </w:pPr>
      <w:r w:rsidRPr="00117F22">
        <w:rPr>
          <w:rFonts w:eastAsia="Calibri"/>
          <w:sz w:val="26"/>
          <w:szCs w:val="26"/>
          <w:lang w:val="es-ES" w:eastAsia="en-US"/>
        </w:rPr>
        <w:lastRenderedPageBreak/>
        <w:t>Además, si la mayor recaudación obtenida a través de estas medidas se destina a reforzar las transferencias que perciben los deciles de menores ingresos, se puede triplicar el efecto redistributivo de la política fiscal.</w:t>
      </w:r>
    </w:p>
    <w:p w14:paraId="02792185" w14:textId="77777777" w:rsidR="00117F22" w:rsidRPr="00117F22" w:rsidRDefault="00117F22" w:rsidP="00117F22">
      <w:pPr>
        <w:spacing w:after="360" w:line="360" w:lineRule="auto"/>
        <w:ind w:right="-159"/>
        <w:jc w:val="both"/>
        <w:rPr>
          <w:rFonts w:eastAsia="Calibri"/>
          <w:sz w:val="26"/>
          <w:szCs w:val="26"/>
          <w:lang w:val="es-ES" w:eastAsia="en-US"/>
        </w:rPr>
      </w:pPr>
      <w:r w:rsidRPr="00117F22">
        <w:rPr>
          <w:rFonts w:eastAsia="Calibri"/>
          <w:sz w:val="26"/>
          <w:szCs w:val="26"/>
          <w:lang w:val="es-ES" w:eastAsia="en-US"/>
        </w:rPr>
        <w:t>A fin de proveer más y mejores servicios a los hogares de menores recursos, en varios países de la región se necesita aumentar la carga tributaria de los sectores más ricos, ya que el hecho de contar con menores ingresos públicos condiciona el nivel del gasto público y de los programas sociales. En particular, es menester fortalecer la recaudación de aquellos tributos que gravan a los contribuyentes de acuerdo con su capacidad contributiva, como es el caso de los impuestos sobre la renta y sobre la propiedad inmueble u otros bienes patrimoniales. Si bien con las reformas tributarias de los últimos años se ha ido avanzando en esa dirección, todavía existe una alta dependencia respecto de la tributación indirecta, al mismo tiempo que persisten problemas de incumplimiento impositivo, tratamientos preferenciales (principalmente a las rentas de capital), exenciones y otros beneficios fiscales que erosionan las bases tributarias de los impuestos directos.</w:t>
      </w:r>
    </w:p>
    <w:p w14:paraId="7C079E0A" w14:textId="77777777" w:rsidR="00117F22" w:rsidRPr="00117F22" w:rsidRDefault="00117F22" w:rsidP="00117F22">
      <w:pPr>
        <w:spacing w:after="360" w:line="360" w:lineRule="auto"/>
        <w:ind w:right="-159"/>
        <w:jc w:val="both"/>
        <w:rPr>
          <w:rFonts w:eastAsia="Calibri"/>
          <w:sz w:val="26"/>
          <w:szCs w:val="26"/>
          <w:lang w:val="es-ES" w:eastAsia="en-US"/>
        </w:rPr>
      </w:pPr>
      <w:r w:rsidRPr="00117F22">
        <w:rPr>
          <w:rFonts w:eastAsia="Calibri"/>
          <w:sz w:val="26"/>
          <w:szCs w:val="26"/>
          <w:lang w:val="es-ES" w:eastAsia="en-US"/>
        </w:rPr>
        <w:t>Asimismo, es importante mejorar la eficiencia del uso de estos recursos: de acuerdo con los estudios existentes, América Latina cuenta con cierto margen para mejorar la calidad y la cantidad de los servicios de salud y educación con los recursos que actualmente se emplean. Según las mediciones disponibles, la eficiencia media del gasto en educación y salud es de alrededor del 80%, es decir, los sistemas educativos y de salud podrían producir un 20% más gastando lo mismo u obtener los mismos niveles de servicios con un costo un 20% menor</w:t>
      </w:r>
      <w:r w:rsidRPr="00117F22">
        <w:rPr>
          <w:rFonts w:eastAsia="Calibri"/>
          <w:sz w:val="26"/>
          <w:szCs w:val="26"/>
          <w:vertAlign w:val="superscript"/>
          <w:lang w:val="es-ES" w:eastAsia="en-US"/>
        </w:rPr>
        <w:footnoteReference w:id="87"/>
      </w:r>
      <w:r w:rsidRPr="00117F22">
        <w:rPr>
          <w:rFonts w:eastAsia="Calibri"/>
          <w:sz w:val="26"/>
          <w:szCs w:val="26"/>
          <w:lang w:val="es-ES" w:eastAsia="en-US"/>
        </w:rPr>
        <w:t>.</w:t>
      </w:r>
    </w:p>
    <w:p w14:paraId="4B46E4B7" w14:textId="77777777" w:rsidR="00117F22" w:rsidRPr="00117F22" w:rsidRDefault="00117F22" w:rsidP="00117F22">
      <w:pPr>
        <w:spacing w:after="360" w:line="360" w:lineRule="auto"/>
        <w:ind w:right="-159"/>
        <w:jc w:val="both"/>
        <w:rPr>
          <w:rFonts w:eastAsia="Calibri"/>
          <w:sz w:val="26"/>
          <w:szCs w:val="26"/>
          <w:lang w:val="es-ES" w:eastAsia="en-US"/>
        </w:rPr>
      </w:pPr>
      <w:r w:rsidRPr="00117F22">
        <w:rPr>
          <w:rFonts w:eastAsia="Calibri"/>
          <w:sz w:val="26"/>
          <w:szCs w:val="26"/>
          <w:lang w:val="es-ES" w:eastAsia="en-US"/>
        </w:rPr>
        <w:t xml:space="preserve">Además, como señala la CEPAL (2014b), el acceso a la salud y a la educación tiende a distribuirse más igualitariamente como consecuencia de los avances de los grupos más desaventajados, pero persisten brechas enormes en la calidad de dicho acceso y en los </w:t>
      </w:r>
      <w:r w:rsidRPr="00117F22">
        <w:rPr>
          <w:rFonts w:eastAsia="Calibri"/>
          <w:sz w:val="26"/>
          <w:szCs w:val="26"/>
          <w:lang w:val="es-ES" w:eastAsia="en-US"/>
        </w:rPr>
        <w:lastRenderedPageBreak/>
        <w:t>logros y aprendizajes. Por lo tanto, como se comprueba en esta investigación, dado que el gasto público en educación y salud está más concentrado en los estratos inferiores de la distribución del ingreso, es aún más relevante aunar esfuerzos para mejorar la calidad de estos servicios. Porque si las familias de ingresos más bajos reciben servicios de menor calidad que las personas de hogares de mayores ingresos, que pueden acudir al sector privado, se limitan las capacidades de los más pobres y se afecta su inserción futura en el mercado laboral y su posibilidad de generar mayores ingresos, ampliándose así la brecha de bienestar entre ambos grupos.</w:t>
      </w:r>
    </w:p>
    <w:p w14:paraId="79C10D6E" w14:textId="77777777" w:rsidR="00117F22" w:rsidRPr="00117F22" w:rsidRDefault="00117F22" w:rsidP="00117F22">
      <w:pPr>
        <w:spacing w:after="360" w:line="360" w:lineRule="auto"/>
        <w:ind w:right="-159"/>
        <w:jc w:val="both"/>
        <w:rPr>
          <w:rFonts w:eastAsia="Calibri"/>
          <w:sz w:val="26"/>
          <w:szCs w:val="26"/>
          <w:lang w:val="es-ES" w:eastAsia="en-US"/>
        </w:rPr>
      </w:pPr>
      <w:r w:rsidRPr="00117F22">
        <w:rPr>
          <w:rFonts w:eastAsia="Calibri"/>
          <w:sz w:val="26"/>
          <w:szCs w:val="26"/>
          <w:lang w:val="es-ES" w:eastAsia="en-US"/>
        </w:rPr>
        <w:t>Por otro lado, más allá del crecimiento del empleo que se ha producido en el último decenio y de la relativa mejora de su calidad, debido al aumento de la proporción de asalariados y la reducción del peso del empleo en sectores de baja productividad</w:t>
      </w:r>
      <w:r w:rsidRPr="00117F22">
        <w:rPr>
          <w:rFonts w:eastAsia="Calibri"/>
          <w:sz w:val="26"/>
          <w:szCs w:val="26"/>
          <w:vertAlign w:val="superscript"/>
          <w:lang w:val="es-ES" w:eastAsia="en-US"/>
        </w:rPr>
        <w:footnoteReference w:id="88"/>
      </w:r>
      <w:r w:rsidRPr="00117F22">
        <w:rPr>
          <w:rFonts w:eastAsia="Calibri"/>
          <w:sz w:val="26"/>
          <w:szCs w:val="26"/>
          <w:lang w:val="es-ES" w:eastAsia="en-US"/>
        </w:rPr>
        <w:t>, resulta importante disminuir los niveles de informalidad en la región y generar más empleos de buena calidad. De esta manera, una mayor proporción de la población podrá ocupar puestos de trabajo en sectores de mayor productividad, acceder a sistemas contributivos de salud y recibir mejores pensiones en el futuro, logros que contribuirían a reducir la desigualdad.</w:t>
      </w:r>
    </w:p>
    <w:p w14:paraId="7E2D23B4" w14:textId="77777777" w:rsidR="00117F22" w:rsidRPr="00117F22" w:rsidRDefault="00117F22" w:rsidP="00117F22">
      <w:pPr>
        <w:spacing w:after="360" w:line="360" w:lineRule="auto"/>
        <w:ind w:right="-159"/>
        <w:jc w:val="both"/>
        <w:rPr>
          <w:rFonts w:eastAsia="Calibri"/>
          <w:sz w:val="26"/>
          <w:szCs w:val="26"/>
          <w:lang w:val="es-ES" w:eastAsia="en-US"/>
        </w:rPr>
      </w:pPr>
      <w:r w:rsidRPr="00117F22">
        <w:rPr>
          <w:rFonts w:eastAsia="Calibri"/>
          <w:sz w:val="26"/>
          <w:szCs w:val="26"/>
          <w:lang w:val="es-ES" w:eastAsia="en-US"/>
        </w:rPr>
        <w:t>Como la distribución del ingreso “primaria” (anterior a la intervención del Estado) está determinada por diversas herencias de la riqueza tangible y material y del capital humano, la persistencia de la desigualdad en la región refleja la inexistencia de políticas capaces de modificar esta situación. Por supuesto, como lo ha enfatizado la CEPAL en su trilogía de documentos sobre la igualdad (2010, 2012c y 2014b), es menester desplegar múltiples iniciativas para el cambio estructural con igualdad. Pero, sin duda, las políticas fiscales redistributivas han de contribuir en el futuro a superar este estigma regional.</w:t>
      </w:r>
    </w:p>
    <w:p w14:paraId="24BF9C37" w14:textId="77777777" w:rsidR="00117F22" w:rsidRPr="00117F22" w:rsidRDefault="00117F22" w:rsidP="00117F22">
      <w:pPr>
        <w:ind w:right="-159"/>
        <w:jc w:val="both"/>
        <w:rPr>
          <w:rFonts w:eastAsia="Calibri"/>
          <w:b/>
          <w:sz w:val="20"/>
          <w:szCs w:val="20"/>
          <w:lang w:eastAsia="en-US"/>
        </w:rPr>
      </w:pPr>
      <w:r w:rsidRPr="00117F22">
        <w:rPr>
          <w:rFonts w:eastAsia="Calibri"/>
          <w:b/>
          <w:sz w:val="20"/>
          <w:szCs w:val="20"/>
          <w:lang w:eastAsia="en-US"/>
        </w:rPr>
        <w:t>Fuente de información:</w:t>
      </w:r>
    </w:p>
    <w:p w14:paraId="65D8AC24" w14:textId="77777777" w:rsidR="00117F22" w:rsidRPr="001B4DFF" w:rsidRDefault="0093224F" w:rsidP="00117F22">
      <w:pPr>
        <w:ind w:right="-159"/>
        <w:jc w:val="both"/>
        <w:rPr>
          <w:rFonts w:eastAsia="Calibri"/>
          <w:color w:val="0000FF"/>
          <w:sz w:val="20"/>
          <w:szCs w:val="20"/>
          <w:lang w:eastAsia="en-US"/>
        </w:rPr>
      </w:pPr>
      <w:hyperlink r:id="rId310" w:history="1">
        <w:r w:rsidR="00117F22" w:rsidRPr="001B4DFF">
          <w:rPr>
            <w:rFonts w:eastAsia="Calibri"/>
            <w:color w:val="0000FF"/>
            <w:sz w:val="20"/>
            <w:szCs w:val="20"/>
            <w:u w:val="single"/>
            <w:lang w:eastAsia="en-US"/>
          </w:rPr>
          <w:t>http://repositorio.cepal.org/bitstream/handle/11362/37747/S1500053_es.pdf?sequence=1</w:t>
        </w:r>
      </w:hyperlink>
    </w:p>
    <w:p w14:paraId="0DD5348A" w14:textId="77777777" w:rsidR="0057221A" w:rsidRPr="0057221A" w:rsidRDefault="0057221A" w:rsidP="0057221A">
      <w:pPr>
        <w:ind w:right="-159"/>
        <w:jc w:val="both"/>
        <w:rPr>
          <w:rFonts w:eastAsia="Calibri"/>
          <w:b/>
          <w:sz w:val="26"/>
          <w:szCs w:val="26"/>
          <w:lang w:eastAsia="en-US"/>
        </w:rPr>
      </w:pPr>
      <w:r w:rsidRPr="0057221A">
        <w:rPr>
          <w:rFonts w:eastAsia="Calibri"/>
          <w:b/>
          <w:sz w:val="26"/>
          <w:szCs w:val="26"/>
          <w:lang w:eastAsia="en-US"/>
        </w:rPr>
        <w:lastRenderedPageBreak/>
        <w:t xml:space="preserve">América Latina y el Caribe: Los ingresos </w:t>
      </w:r>
    </w:p>
    <w:p w14:paraId="474D3952" w14:textId="77777777" w:rsidR="0057221A" w:rsidRPr="0057221A" w:rsidRDefault="0057221A" w:rsidP="0057221A">
      <w:pPr>
        <w:spacing w:after="360" w:line="360" w:lineRule="auto"/>
        <w:ind w:right="-159"/>
        <w:jc w:val="both"/>
        <w:rPr>
          <w:rFonts w:eastAsia="Calibri"/>
          <w:b/>
          <w:sz w:val="26"/>
          <w:szCs w:val="26"/>
          <w:lang w:eastAsia="en-US"/>
        </w:rPr>
      </w:pPr>
      <w:r w:rsidRPr="0057221A">
        <w:rPr>
          <w:rFonts w:eastAsia="Calibri"/>
          <w:b/>
          <w:sz w:val="26"/>
          <w:szCs w:val="26"/>
          <w:lang w:eastAsia="en-US"/>
        </w:rPr>
        <w:t>fiscales   se   mantienen   estables   (BID)</w:t>
      </w:r>
    </w:p>
    <w:p w14:paraId="789CD88D" w14:textId="77777777" w:rsidR="0057221A" w:rsidRPr="0057221A" w:rsidRDefault="0057221A" w:rsidP="0057221A">
      <w:pPr>
        <w:spacing w:after="360" w:line="360" w:lineRule="auto"/>
        <w:ind w:right="-159"/>
        <w:jc w:val="both"/>
        <w:rPr>
          <w:rFonts w:eastAsia="Calibri"/>
          <w:sz w:val="26"/>
          <w:szCs w:val="26"/>
          <w:lang w:eastAsia="en-US"/>
        </w:rPr>
      </w:pPr>
      <w:r w:rsidRPr="0057221A">
        <w:rPr>
          <w:rFonts w:eastAsia="Calibri"/>
          <w:sz w:val="26"/>
          <w:szCs w:val="26"/>
          <w:lang w:eastAsia="en-US"/>
        </w:rPr>
        <w:t>El 10 de marzo de 2015, el Banco Interamericano de Desarrollo (BID) informó que América Latina y el Caribe: Los ingresos fiscales se mantienen estables. A continuación se presenta la información.</w:t>
      </w:r>
    </w:p>
    <w:p w14:paraId="342C8A4A" w14:textId="77777777" w:rsidR="0057221A" w:rsidRPr="0057221A" w:rsidRDefault="0057221A" w:rsidP="0057221A">
      <w:pPr>
        <w:spacing w:after="360" w:line="360" w:lineRule="auto"/>
        <w:ind w:right="-159"/>
        <w:jc w:val="both"/>
        <w:rPr>
          <w:rFonts w:eastAsia="Calibri"/>
          <w:sz w:val="26"/>
          <w:szCs w:val="26"/>
          <w:lang w:eastAsia="en-US"/>
        </w:rPr>
      </w:pPr>
      <w:r w:rsidRPr="0057221A">
        <w:rPr>
          <w:rFonts w:eastAsia="Calibri"/>
          <w:sz w:val="26"/>
          <w:szCs w:val="26"/>
          <w:lang w:eastAsia="en-US"/>
        </w:rPr>
        <w:t>Los ingresos fiscales en América Latina y el Caribe (ALC) se mantuvieron estables en 2013 y siguen siendo considerablemente bajos, como porcentaje de la renta nacional, respecto a los de la mayoría de los países de la OCDE. El informe Estadísticas tributarias en América Latina y el Caribe 1990-2013 señala en su cuarta edición que la relación media de ingresos fiscales sobre el Producto Interno Bruto (PIB) correspondiente a los 20 países de América Latina y el Caribe objeto del informe fue del 21.3% en 2013, 0.1 puntos porcentuales por encima de lo registrado en 2012. En tanto, el promedio de ingresos fiscales sobre PIB se habría incrementado en el período comprendido entre 2009 y 2012 del 19.5 al 21.2 por ciento.</w:t>
      </w:r>
    </w:p>
    <w:p w14:paraId="2BC21678" w14:textId="77777777" w:rsidR="0057221A" w:rsidRPr="0057221A" w:rsidRDefault="0057221A" w:rsidP="0057221A">
      <w:pPr>
        <w:spacing w:after="360" w:line="360" w:lineRule="auto"/>
        <w:ind w:right="-159"/>
        <w:jc w:val="both"/>
        <w:rPr>
          <w:rFonts w:eastAsia="Calibri"/>
          <w:sz w:val="26"/>
          <w:szCs w:val="26"/>
          <w:lang w:eastAsia="en-US"/>
        </w:rPr>
      </w:pPr>
      <w:r w:rsidRPr="0057221A">
        <w:rPr>
          <w:rFonts w:eastAsia="Calibri"/>
          <w:sz w:val="26"/>
          <w:szCs w:val="26"/>
          <w:lang w:eastAsia="en-US"/>
        </w:rPr>
        <w:t>Este informe, elaborado de forma conjunta por el Centro Interamericano de Administraciones Tributarias (CIAT), la Comisión Económica para América Latina y el Caribe (CEPAL), el BID, la Organización para la Cooperación y el Desarrollo Económicos (OCDE) y el Centro para el Desarrollo de la OCDE, fue presentado en el marco del XXVII Seminario Regional de Política Fiscal que se celebra en la sede de la CEPAL en Santiago, Chile.</w:t>
      </w:r>
    </w:p>
    <w:p w14:paraId="4FE4CE69" w14:textId="77777777" w:rsidR="0057221A" w:rsidRPr="0057221A" w:rsidRDefault="0057221A" w:rsidP="0057221A">
      <w:pPr>
        <w:spacing w:after="360" w:line="360" w:lineRule="auto"/>
        <w:ind w:right="-159"/>
        <w:jc w:val="both"/>
        <w:rPr>
          <w:rFonts w:eastAsia="Calibri"/>
          <w:sz w:val="26"/>
          <w:szCs w:val="26"/>
          <w:lang w:eastAsia="en-US"/>
        </w:rPr>
      </w:pPr>
      <w:r w:rsidRPr="0057221A">
        <w:rPr>
          <w:rFonts w:eastAsia="Calibri"/>
          <w:sz w:val="26"/>
          <w:szCs w:val="26"/>
          <w:lang w:eastAsia="en-US"/>
        </w:rPr>
        <w:t xml:space="preserve">El informe pone de manifiesto el considerable incremento experimentado por los ingresos fiscales en la región durante el período 1990-2013, que habría elevado la presión fiscal promedio en siete puntos porcentuales, del 14.4 al 21.3% actual. Si bien este aumento de la recaudación tributaria ha dotado a los gobiernos de una mayor capacidad para incrementar el gasto en programas sociales e infraestructuras físicas, el </w:t>
      </w:r>
      <w:r w:rsidRPr="0057221A">
        <w:rPr>
          <w:rFonts w:eastAsia="Calibri"/>
          <w:sz w:val="26"/>
          <w:szCs w:val="26"/>
          <w:lang w:eastAsia="en-US"/>
        </w:rPr>
        <w:lastRenderedPageBreak/>
        <w:t>promedio de ingresos fiscales sobre PIB se sitúa todavía 13 puntos porcentuales por debajo de la media de la OCDE, que es del 34.1%, según el informe.</w:t>
      </w:r>
    </w:p>
    <w:p w14:paraId="17CF83AA" w14:textId="77777777" w:rsidR="0057221A" w:rsidRPr="0057221A" w:rsidRDefault="0057221A" w:rsidP="0057221A">
      <w:pPr>
        <w:spacing w:after="360" w:line="360" w:lineRule="auto"/>
        <w:ind w:right="-159"/>
        <w:jc w:val="both"/>
        <w:rPr>
          <w:rFonts w:eastAsia="Calibri"/>
          <w:sz w:val="26"/>
          <w:szCs w:val="26"/>
          <w:lang w:eastAsia="en-US"/>
        </w:rPr>
      </w:pPr>
      <w:r w:rsidRPr="0057221A">
        <w:rPr>
          <w:rFonts w:eastAsia="Calibri"/>
          <w:sz w:val="26"/>
          <w:szCs w:val="26"/>
          <w:lang w:eastAsia="en-US"/>
        </w:rPr>
        <w:t>Entre los países de ALC se registran grandes diferencias. En 2013, los promedios de ingresos fiscales sobre PIB de los 20 países de ALC incluidos en el informe oscilaron entre el 35.7% de Brasil, que se sitúa por encima de la media de la OCDE, el 31.2% de Argentina, el 14% de la República Dominicana y el 13% de Guatemala. Entre los países de la OCDE los porcentajes de ingresos fiscales sobre PIB quedaron comprendidos entre el 48.6% de Dinamarca y el 19.7% de México.</w:t>
      </w:r>
    </w:p>
    <w:p w14:paraId="0EFACB5B" w14:textId="77777777" w:rsidR="0057221A" w:rsidRPr="0057221A" w:rsidRDefault="0057221A" w:rsidP="0057221A">
      <w:pPr>
        <w:spacing w:after="360" w:line="360" w:lineRule="auto"/>
        <w:ind w:right="-159"/>
        <w:jc w:val="both"/>
        <w:rPr>
          <w:rFonts w:eastAsia="Calibri"/>
          <w:sz w:val="26"/>
          <w:szCs w:val="26"/>
          <w:lang w:eastAsia="en-US"/>
        </w:rPr>
      </w:pPr>
      <w:r w:rsidRPr="0057221A">
        <w:rPr>
          <w:rFonts w:eastAsia="Calibri"/>
          <w:sz w:val="26"/>
          <w:szCs w:val="26"/>
          <w:lang w:eastAsia="en-US"/>
        </w:rPr>
        <w:t>La participación de los ingresos fiscales recaudados por gobiernos locales en América Latina es pequeña en la mayoría de los países y no ha experimentado incremento alguno, lo que refleja una autonomía tributaria relativamente limitada en comparación con los países de la OCDE.</w:t>
      </w:r>
    </w:p>
    <w:p w14:paraId="4658172F" w14:textId="77777777" w:rsidR="0057221A" w:rsidRPr="0057221A" w:rsidRDefault="0057221A" w:rsidP="0057221A">
      <w:pPr>
        <w:spacing w:after="360" w:line="360" w:lineRule="auto"/>
        <w:ind w:right="-159"/>
        <w:jc w:val="both"/>
        <w:rPr>
          <w:rFonts w:eastAsia="Calibri"/>
          <w:sz w:val="26"/>
          <w:szCs w:val="26"/>
          <w:lang w:eastAsia="en-US"/>
        </w:rPr>
      </w:pPr>
      <w:r w:rsidRPr="0057221A">
        <w:rPr>
          <w:rFonts w:eastAsia="Calibri"/>
          <w:sz w:val="26"/>
          <w:szCs w:val="26"/>
          <w:lang w:eastAsia="en-US"/>
        </w:rPr>
        <w:t>El informe incluye dos capítulos especiales. El primero evalúa la utilidad de tener en cuenta los ingresos no tributarios procedentes de recursos naturales renovables y no renovables, junto con todas las contribuciones obligatorias a salud y pensiones privadas, adicionalmente a los ingresos fiscales tradicionalmente cubiertos. El segundo presenta la evolución registrada desde 2000 por los ingresos procedentes de recursos naturales no renovables en los países de ALC, cuyas economías están impulsadas por sus riquezas naturales, con proyecciones agregadas hasta 2014.</w:t>
      </w:r>
    </w:p>
    <w:p w14:paraId="3C7E3799" w14:textId="77777777" w:rsidR="0057221A" w:rsidRPr="0057221A" w:rsidRDefault="0057221A" w:rsidP="0057221A">
      <w:pPr>
        <w:spacing w:after="360" w:line="360" w:lineRule="auto"/>
        <w:ind w:right="-159"/>
        <w:jc w:val="both"/>
        <w:rPr>
          <w:rFonts w:eastAsia="Calibri"/>
          <w:sz w:val="26"/>
          <w:szCs w:val="26"/>
          <w:lang w:eastAsia="en-US"/>
        </w:rPr>
      </w:pPr>
      <w:r w:rsidRPr="0057221A">
        <w:rPr>
          <w:rFonts w:eastAsia="Calibri"/>
          <w:sz w:val="26"/>
          <w:szCs w:val="26"/>
          <w:lang w:eastAsia="en-US"/>
        </w:rPr>
        <w:t>Está previsto que la caída de los precios del crudo registrada durante el segundo semestre de 2014 reduzca los ingresos en el equivalente a un punto o punto porcentual y medio del PIB en Bolivia, Ecuador y México. En general, los ingresos fiscales procedentes de recursos naturales no renovables siguen representando un porcentaje muy importante de la recaudación tributaria total de muchos países de la región y, en algunos casos, como Venezuela y Ecuador, suponen más del 30% de los ingresos fiscales totales.</w:t>
      </w:r>
    </w:p>
    <w:p w14:paraId="5127B409" w14:textId="77777777" w:rsidR="0057221A" w:rsidRPr="0057221A" w:rsidRDefault="0057221A" w:rsidP="0057221A">
      <w:pPr>
        <w:spacing w:after="360" w:line="360" w:lineRule="auto"/>
        <w:ind w:right="-159"/>
        <w:jc w:val="both"/>
        <w:rPr>
          <w:rFonts w:eastAsia="Calibri"/>
          <w:b/>
          <w:sz w:val="26"/>
          <w:szCs w:val="26"/>
          <w:lang w:eastAsia="en-US"/>
        </w:rPr>
      </w:pPr>
      <w:r w:rsidRPr="0057221A">
        <w:rPr>
          <w:rFonts w:eastAsia="Calibri"/>
          <w:b/>
          <w:sz w:val="26"/>
          <w:szCs w:val="26"/>
          <w:lang w:eastAsia="en-US"/>
        </w:rPr>
        <w:lastRenderedPageBreak/>
        <w:t>Principales conclusiones:</w:t>
      </w:r>
    </w:p>
    <w:p w14:paraId="7B3293BC" w14:textId="77777777" w:rsidR="0057221A" w:rsidRPr="0057221A" w:rsidRDefault="0057221A" w:rsidP="0057221A">
      <w:pPr>
        <w:spacing w:after="360" w:line="360" w:lineRule="auto"/>
        <w:ind w:right="-159"/>
        <w:jc w:val="both"/>
        <w:rPr>
          <w:rFonts w:eastAsia="Calibri"/>
          <w:b/>
          <w:sz w:val="26"/>
          <w:szCs w:val="26"/>
          <w:lang w:eastAsia="en-US"/>
        </w:rPr>
      </w:pPr>
      <w:r w:rsidRPr="0057221A">
        <w:rPr>
          <w:rFonts w:eastAsia="Calibri"/>
          <w:b/>
          <w:sz w:val="26"/>
          <w:szCs w:val="26"/>
          <w:lang w:eastAsia="en-US"/>
        </w:rPr>
        <w:t>Promedio de ingresos fiscales sobre PIB</w:t>
      </w:r>
    </w:p>
    <w:p w14:paraId="5E5A84A9" w14:textId="77777777" w:rsidR="0057221A" w:rsidRPr="0057221A" w:rsidRDefault="0057221A" w:rsidP="00276F3E">
      <w:pPr>
        <w:numPr>
          <w:ilvl w:val="0"/>
          <w:numId w:val="117"/>
        </w:numPr>
        <w:spacing w:after="360" w:line="360" w:lineRule="auto"/>
        <w:ind w:left="714" w:right="-159" w:hanging="357"/>
        <w:jc w:val="both"/>
        <w:rPr>
          <w:rFonts w:eastAsia="Calibri"/>
          <w:sz w:val="26"/>
          <w:szCs w:val="26"/>
          <w:lang w:eastAsia="en-US"/>
        </w:rPr>
      </w:pPr>
      <w:r w:rsidRPr="0057221A">
        <w:rPr>
          <w:rFonts w:eastAsia="Calibri"/>
          <w:sz w:val="26"/>
          <w:szCs w:val="26"/>
          <w:lang w:eastAsia="en-US"/>
        </w:rPr>
        <w:t>En 2013, el promedio de ingresos fiscales sobre PIB aumentó en 12 de los           20 países de ALC, se redujo en siete, y se mantuvo sin cambios en uno.</w:t>
      </w:r>
    </w:p>
    <w:p w14:paraId="51A040DA" w14:textId="77777777" w:rsidR="0057221A" w:rsidRPr="0057221A" w:rsidRDefault="0057221A" w:rsidP="00276F3E">
      <w:pPr>
        <w:numPr>
          <w:ilvl w:val="0"/>
          <w:numId w:val="117"/>
        </w:numPr>
        <w:spacing w:after="360" w:line="360" w:lineRule="auto"/>
        <w:ind w:left="714" w:right="-159" w:hanging="357"/>
        <w:jc w:val="both"/>
        <w:rPr>
          <w:rFonts w:eastAsia="Calibri"/>
          <w:sz w:val="26"/>
          <w:szCs w:val="26"/>
          <w:lang w:eastAsia="en-US"/>
        </w:rPr>
      </w:pPr>
      <w:r w:rsidRPr="0057221A">
        <w:rPr>
          <w:rFonts w:eastAsia="Calibri"/>
          <w:sz w:val="26"/>
          <w:szCs w:val="26"/>
          <w:lang w:eastAsia="en-US"/>
        </w:rPr>
        <w:t>La diferencia entre el promedio de ingresos fiscales como porcentaje del PIB de la OCDE y el de los 20 países de ALC es actualmente de alrededor de 13 puntos porcentuales, frente a los 18 puntos porcentuales de 1990.</w:t>
      </w:r>
    </w:p>
    <w:p w14:paraId="0BE4D5E6" w14:textId="77777777" w:rsidR="0057221A" w:rsidRPr="0057221A" w:rsidRDefault="0057221A" w:rsidP="00276F3E">
      <w:pPr>
        <w:numPr>
          <w:ilvl w:val="0"/>
          <w:numId w:val="117"/>
        </w:numPr>
        <w:spacing w:after="360" w:line="360" w:lineRule="auto"/>
        <w:ind w:left="714" w:right="-159" w:hanging="357"/>
        <w:jc w:val="both"/>
        <w:rPr>
          <w:rFonts w:eastAsia="Calibri"/>
          <w:sz w:val="26"/>
          <w:szCs w:val="26"/>
          <w:lang w:eastAsia="en-US"/>
        </w:rPr>
      </w:pPr>
      <w:r w:rsidRPr="0057221A">
        <w:rPr>
          <w:rFonts w:eastAsia="Calibri"/>
          <w:sz w:val="26"/>
          <w:szCs w:val="26"/>
          <w:lang w:eastAsia="en-US"/>
        </w:rPr>
        <w:t>Los países que registraron un mayor incremento del promedio de ingresos fiscales sobre PIB en 2013 fueron Bolivia (2.1 puntos porcentuales), Argentina (1.7), Costa Rica (1.2) y El Salvador (0.7).</w:t>
      </w:r>
    </w:p>
    <w:p w14:paraId="64EE7ED7" w14:textId="77777777" w:rsidR="0057221A" w:rsidRPr="0057221A" w:rsidRDefault="0057221A" w:rsidP="00276F3E">
      <w:pPr>
        <w:numPr>
          <w:ilvl w:val="0"/>
          <w:numId w:val="117"/>
        </w:numPr>
        <w:spacing w:after="360" w:line="360" w:lineRule="auto"/>
        <w:ind w:left="714" w:right="-159" w:hanging="357"/>
        <w:jc w:val="both"/>
        <w:rPr>
          <w:rFonts w:eastAsia="Calibri"/>
          <w:sz w:val="26"/>
          <w:szCs w:val="26"/>
          <w:lang w:eastAsia="en-US"/>
        </w:rPr>
      </w:pPr>
      <w:r w:rsidRPr="0057221A">
        <w:rPr>
          <w:rFonts w:eastAsia="Calibri"/>
          <w:sz w:val="26"/>
          <w:szCs w:val="26"/>
          <w:lang w:eastAsia="en-US"/>
        </w:rPr>
        <w:t>Las mayores caídas de este promedio en 2013 correspondieron a Barbados      (4.2 puntos porcentuales) y Paraguay (1.3 puntos).</w:t>
      </w:r>
    </w:p>
    <w:p w14:paraId="2C84F757" w14:textId="77777777" w:rsidR="0057221A" w:rsidRPr="0057221A" w:rsidRDefault="0057221A" w:rsidP="0057221A">
      <w:pPr>
        <w:spacing w:after="360" w:line="360" w:lineRule="auto"/>
        <w:ind w:right="-159"/>
        <w:jc w:val="both"/>
        <w:rPr>
          <w:rFonts w:eastAsia="Calibri"/>
          <w:sz w:val="26"/>
          <w:szCs w:val="26"/>
          <w:lang w:eastAsia="en-US"/>
        </w:rPr>
      </w:pPr>
      <w:r w:rsidRPr="0057221A">
        <w:rPr>
          <w:rFonts w:eastAsia="Calibri"/>
          <w:sz w:val="26"/>
          <w:szCs w:val="26"/>
          <w:lang w:eastAsia="en-US"/>
        </w:rPr>
        <w:t>Los países que mostraron los mayores incrementos de este promedio entre 1990 y 2013 fueron Bolivia (20.6 puntos porcentuales), Argentina (18.8), Ecuador (12.2), Colombia (11.1) y Paraguay (11.0). Venezuela registró un descenso de 4.5 puntos porcentuales.</w:t>
      </w:r>
    </w:p>
    <w:p w14:paraId="04119A67" w14:textId="77777777" w:rsidR="0057221A" w:rsidRPr="0057221A" w:rsidRDefault="0057221A" w:rsidP="0057221A">
      <w:pPr>
        <w:spacing w:after="360" w:line="360" w:lineRule="auto"/>
        <w:ind w:right="-159"/>
        <w:jc w:val="both"/>
        <w:rPr>
          <w:rFonts w:eastAsia="Calibri"/>
          <w:b/>
          <w:sz w:val="26"/>
          <w:szCs w:val="26"/>
          <w:lang w:eastAsia="en-US"/>
        </w:rPr>
      </w:pPr>
      <w:r w:rsidRPr="0057221A">
        <w:rPr>
          <w:rFonts w:eastAsia="Calibri"/>
          <w:b/>
          <w:sz w:val="26"/>
          <w:szCs w:val="26"/>
          <w:lang w:eastAsia="en-US"/>
        </w:rPr>
        <w:t>Estructuras impositivas</w:t>
      </w:r>
    </w:p>
    <w:p w14:paraId="325D1412" w14:textId="77777777" w:rsidR="0057221A" w:rsidRPr="0057221A" w:rsidRDefault="0057221A" w:rsidP="00276F3E">
      <w:pPr>
        <w:numPr>
          <w:ilvl w:val="0"/>
          <w:numId w:val="118"/>
        </w:numPr>
        <w:spacing w:after="360" w:line="360" w:lineRule="auto"/>
        <w:ind w:left="714" w:right="-159" w:hanging="357"/>
        <w:jc w:val="both"/>
        <w:rPr>
          <w:rFonts w:eastAsia="Calibri"/>
          <w:sz w:val="26"/>
          <w:szCs w:val="26"/>
          <w:lang w:eastAsia="en-US"/>
        </w:rPr>
      </w:pPr>
      <w:r w:rsidRPr="0057221A">
        <w:rPr>
          <w:rFonts w:eastAsia="Calibri"/>
          <w:sz w:val="26"/>
          <w:szCs w:val="26"/>
          <w:lang w:eastAsia="en-US"/>
        </w:rPr>
        <w:t xml:space="preserve">Tras el fuerte crecimiento registrado en los últimos veinte años, los impuestos generales al consumo (principalmente el Impuesto al Valor Agregado (IVA) y los impuestos sobre las ventas) representaron el 32.3% de los ingresos fiscales en los países de ALC en 2012 (frente al 20.2% en los países de la OCDE). El porcentaje que representan los impuestos sobre consumos específicos (como las excepciones y los impuestos sobre el comercio internacional) se redujo en           </w:t>
      </w:r>
      <w:r w:rsidRPr="0057221A">
        <w:rPr>
          <w:rFonts w:eastAsia="Calibri"/>
          <w:sz w:val="26"/>
          <w:szCs w:val="26"/>
          <w:lang w:eastAsia="en-US"/>
        </w:rPr>
        <w:lastRenderedPageBreak/>
        <w:t>14 puntos porcentuales, hasta el 17.6 por ciento (en la OCDE este porcentaje es del 10.7 por ciento)</w:t>
      </w:r>
    </w:p>
    <w:p w14:paraId="37D7C849" w14:textId="77777777" w:rsidR="0057221A" w:rsidRDefault="0057221A" w:rsidP="00276F3E">
      <w:pPr>
        <w:numPr>
          <w:ilvl w:val="0"/>
          <w:numId w:val="118"/>
        </w:numPr>
        <w:spacing w:after="360" w:line="360" w:lineRule="auto"/>
        <w:ind w:left="714" w:right="-159" w:hanging="357"/>
        <w:jc w:val="both"/>
        <w:rPr>
          <w:rFonts w:eastAsia="Calibri"/>
          <w:sz w:val="26"/>
          <w:szCs w:val="26"/>
          <w:lang w:eastAsia="en-US"/>
        </w:rPr>
      </w:pPr>
      <w:r w:rsidRPr="0057221A">
        <w:rPr>
          <w:rFonts w:eastAsia="Calibri"/>
          <w:sz w:val="26"/>
          <w:szCs w:val="26"/>
          <w:lang w:eastAsia="en-US"/>
        </w:rPr>
        <w:t>En 2012, los impuestos sobre la renta de las personas físicas y de sociedades representaron, en promedio, el 26.6% de la recaudación en los países de ALC, mientras que las contribuciones a la seguridad social supusieron un 16.5% (en los países de la OCDE, del 33.6 y 26.2%, respectivamente).</w:t>
      </w:r>
    </w:p>
    <w:p w14:paraId="2654C78A" w14:textId="77777777" w:rsidR="00593607" w:rsidRDefault="00593607" w:rsidP="00593607">
      <w:pPr>
        <w:spacing w:after="360" w:line="360" w:lineRule="auto"/>
        <w:ind w:right="-159"/>
        <w:jc w:val="both"/>
        <w:rPr>
          <w:rFonts w:eastAsia="Calibri"/>
          <w:sz w:val="26"/>
          <w:szCs w:val="26"/>
          <w:lang w:eastAsia="en-US"/>
        </w:rPr>
      </w:pPr>
    </w:p>
    <w:p w14:paraId="1D77BB72" w14:textId="77777777" w:rsidR="00593607" w:rsidRDefault="00593607" w:rsidP="00593607">
      <w:pPr>
        <w:spacing w:after="360" w:line="360" w:lineRule="auto"/>
        <w:ind w:right="-159"/>
        <w:jc w:val="both"/>
        <w:rPr>
          <w:rFonts w:eastAsia="Calibri"/>
          <w:sz w:val="26"/>
          <w:szCs w:val="26"/>
          <w:lang w:eastAsia="en-US"/>
        </w:rPr>
      </w:pPr>
    </w:p>
    <w:p w14:paraId="5042EBAB" w14:textId="77777777" w:rsidR="00C47DB6" w:rsidRDefault="00C47DB6" w:rsidP="00593607">
      <w:pPr>
        <w:spacing w:after="360" w:line="360" w:lineRule="auto"/>
        <w:ind w:right="-159"/>
        <w:jc w:val="both"/>
        <w:rPr>
          <w:rFonts w:eastAsia="Calibri"/>
          <w:sz w:val="26"/>
          <w:szCs w:val="26"/>
          <w:lang w:eastAsia="en-US"/>
        </w:rPr>
      </w:pPr>
    </w:p>
    <w:p w14:paraId="3257E58D" w14:textId="77777777" w:rsidR="00C47DB6" w:rsidRDefault="00C47DB6" w:rsidP="00593607">
      <w:pPr>
        <w:spacing w:after="360" w:line="360" w:lineRule="auto"/>
        <w:ind w:right="-159"/>
        <w:jc w:val="both"/>
        <w:rPr>
          <w:rFonts w:eastAsia="Calibri"/>
          <w:sz w:val="26"/>
          <w:szCs w:val="26"/>
          <w:lang w:eastAsia="en-US"/>
        </w:rPr>
      </w:pPr>
    </w:p>
    <w:p w14:paraId="710E114F" w14:textId="77777777" w:rsidR="00C47DB6" w:rsidRDefault="00C47DB6" w:rsidP="00593607">
      <w:pPr>
        <w:spacing w:after="360" w:line="360" w:lineRule="auto"/>
        <w:ind w:right="-159"/>
        <w:jc w:val="both"/>
        <w:rPr>
          <w:rFonts w:eastAsia="Calibri"/>
          <w:sz w:val="26"/>
          <w:szCs w:val="26"/>
          <w:lang w:eastAsia="en-US"/>
        </w:rPr>
      </w:pPr>
    </w:p>
    <w:p w14:paraId="43BB01A7" w14:textId="77777777" w:rsidR="00C47DB6" w:rsidRDefault="00C47DB6" w:rsidP="00593607">
      <w:pPr>
        <w:spacing w:after="360" w:line="360" w:lineRule="auto"/>
        <w:ind w:right="-159"/>
        <w:jc w:val="both"/>
        <w:rPr>
          <w:rFonts w:eastAsia="Calibri"/>
          <w:sz w:val="26"/>
          <w:szCs w:val="26"/>
          <w:lang w:eastAsia="en-US"/>
        </w:rPr>
      </w:pPr>
    </w:p>
    <w:p w14:paraId="155ED4BD" w14:textId="77777777" w:rsidR="00593607" w:rsidRDefault="00593607" w:rsidP="00593607">
      <w:pPr>
        <w:spacing w:after="360" w:line="360" w:lineRule="auto"/>
        <w:ind w:right="-159"/>
        <w:jc w:val="both"/>
        <w:rPr>
          <w:rFonts w:eastAsia="Calibri"/>
          <w:sz w:val="26"/>
          <w:szCs w:val="26"/>
          <w:lang w:eastAsia="en-US"/>
        </w:rPr>
      </w:pPr>
    </w:p>
    <w:p w14:paraId="721425B5" w14:textId="77777777" w:rsidR="00593607" w:rsidRDefault="00593607" w:rsidP="00593607">
      <w:pPr>
        <w:spacing w:after="360" w:line="360" w:lineRule="auto"/>
        <w:ind w:right="-159"/>
        <w:jc w:val="both"/>
        <w:rPr>
          <w:rFonts w:eastAsia="Calibri"/>
          <w:sz w:val="26"/>
          <w:szCs w:val="26"/>
          <w:lang w:eastAsia="en-US"/>
        </w:rPr>
      </w:pPr>
    </w:p>
    <w:p w14:paraId="09F782CC" w14:textId="77777777" w:rsidR="00593607" w:rsidRDefault="00593607" w:rsidP="00593607">
      <w:pPr>
        <w:spacing w:after="360" w:line="360" w:lineRule="auto"/>
        <w:ind w:right="-159"/>
        <w:jc w:val="both"/>
        <w:rPr>
          <w:rFonts w:eastAsia="Calibri"/>
          <w:sz w:val="26"/>
          <w:szCs w:val="26"/>
          <w:lang w:eastAsia="en-US"/>
        </w:rPr>
      </w:pPr>
    </w:p>
    <w:p w14:paraId="77619144" w14:textId="77777777" w:rsidR="00593607" w:rsidRDefault="00593607" w:rsidP="00593607">
      <w:pPr>
        <w:spacing w:after="360" w:line="360" w:lineRule="auto"/>
        <w:ind w:right="-159"/>
        <w:jc w:val="both"/>
        <w:rPr>
          <w:rFonts w:eastAsia="Calibri"/>
          <w:sz w:val="26"/>
          <w:szCs w:val="26"/>
          <w:lang w:eastAsia="en-US"/>
        </w:rPr>
      </w:pPr>
    </w:p>
    <w:p w14:paraId="750ED0A4" w14:textId="77777777" w:rsidR="00593607" w:rsidRDefault="00593607" w:rsidP="00593607">
      <w:pPr>
        <w:spacing w:after="360" w:line="360" w:lineRule="auto"/>
        <w:ind w:right="-159"/>
        <w:jc w:val="both"/>
        <w:rPr>
          <w:rFonts w:eastAsia="Calibri"/>
          <w:sz w:val="26"/>
          <w:szCs w:val="26"/>
          <w:lang w:eastAsia="en-US"/>
        </w:rPr>
      </w:pPr>
    </w:p>
    <w:p w14:paraId="546715FE" w14:textId="77777777" w:rsidR="00593607" w:rsidRPr="0057221A" w:rsidRDefault="00593607" w:rsidP="00593607">
      <w:pPr>
        <w:spacing w:after="360" w:line="360" w:lineRule="auto"/>
        <w:ind w:right="-159"/>
        <w:jc w:val="both"/>
        <w:rPr>
          <w:rFonts w:eastAsia="Calibri"/>
          <w:sz w:val="26"/>
          <w:szCs w:val="26"/>
          <w:lang w:eastAsia="en-US"/>
        </w:rPr>
      </w:pPr>
    </w:p>
    <w:tbl>
      <w:tblPr>
        <w:tblW w:w="0" w:type="auto"/>
        <w:tblBorders>
          <w:insideV w:val="single" w:sz="4" w:space="0" w:color="auto"/>
        </w:tblBorders>
        <w:tblLook w:val="04A0" w:firstRow="1" w:lastRow="0" w:firstColumn="1" w:lastColumn="0" w:noHBand="0" w:noVBand="1"/>
      </w:tblPr>
      <w:tblGrid>
        <w:gridCol w:w="8828"/>
      </w:tblGrid>
      <w:tr w:rsidR="0057221A" w:rsidRPr="0057221A" w14:paraId="5AC919D7" w14:textId="77777777" w:rsidTr="00117F22">
        <w:tc>
          <w:tcPr>
            <w:tcW w:w="8828" w:type="dxa"/>
          </w:tcPr>
          <w:p w14:paraId="6C2B78E0" w14:textId="77777777" w:rsidR="0057221A" w:rsidRPr="0057221A" w:rsidRDefault="0057221A" w:rsidP="0057221A">
            <w:pPr>
              <w:ind w:left="720"/>
              <w:contextualSpacing/>
              <w:rPr>
                <w:rFonts w:eastAsia="Calibri"/>
                <w:b/>
                <w:sz w:val="22"/>
                <w:szCs w:val="26"/>
                <w:lang w:eastAsia="en-US"/>
              </w:rPr>
            </w:pPr>
            <w:r w:rsidRPr="0057221A">
              <w:rPr>
                <w:rFonts w:eastAsia="Calibri"/>
                <w:b/>
                <w:sz w:val="22"/>
                <w:szCs w:val="26"/>
                <w:lang w:eastAsia="en-US"/>
              </w:rPr>
              <w:lastRenderedPageBreak/>
              <w:t>INGRESOS FISCALES TOTALES COMO PORCENTAJE DEL PIB, 2013</w:t>
            </w:r>
          </w:p>
        </w:tc>
      </w:tr>
      <w:tr w:rsidR="0057221A" w:rsidRPr="0057221A" w14:paraId="152478E9" w14:textId="77777777" w:rsidTr="00117F22">
        <w:tc>
          <w:tcPr>
            <w:tcW w:w="8828" w:type="dxa"/>
          </w:tcPr>
          <w:p w14:paraId="6FF13FAB" w14:textId="77777777" w:rsidR="0057221A" w:rsidRPr="0057221A" w:rsidRDefault="0057221A" w:rsidP="0057221A">
            <w:pPr>
              <w:jc w:val="both"/>
              <w:rPr>
                <w:rFonts w:eastAsia="Calibri"/>
                <w:sz w:val="26"/>
                <w:szCs w:val="26"/>
                <w:lang w:eastAsia="en-US"/>
              </w:rPr>
            </w:pPr>
            <w:r w:rsidRPr="0057221A">
              <w:rPr>
                <w:rFonts w:eastAsia="Calibri"/>
                <w:noProof/>
                <w:sz w:val="26"/>
                <w:szCs w:val="26"/>
                <w:lang w:eastAsia="es-MX"/>
              </w:rPr>
              <w:drawing>
                <wp:inline distT="0" distB="0" distL="0" distR="0" wp14:anchorId="060EDE29" wp14:editId="036D6C51">
                  <wp:extent cx="5412734" cy="4860000"/>
                  <wp:effectExtent l="0" t="0" r="0" b="0"/>
                  <wp:docPr id="1569" name="Imagen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412734" cy="4860000"/>
                          </a:xfrm>
                          <a:prstGeom prst="rect">
                            <a:avLst/>
                          </a:prstGeom>
                          <a:noFill/>
                          <a:ln>
                            <a:noFill/>
                          </a:ln>
                        </pic:spPr>
                      </pic:pic>
                    </a:graphicData>
                  </a:graphic>
                </wp:inline>
              </w:drawing>
            </w:r>
          </w:p>
        </w:tc>
      </w:tr>
      <w:tr w:rsidR="0057221A" w:rsidRPr="0057221A" w14:paraId="5684FA2B" w14:textId="77777777" w:rsidTr="00117F22">
        <w:tc>
          <w:tcPr>
            <w:tcW w:w="8828" w:type="dxa"/>
          </w:tcPr>
          <w:p w14:paraId="333F4ACD" w14:textId="77777777" w:rsidR="0057221A" w:rsidRPr="0057221A" w:rsidRDefault="0057221A" w:rsidP="003810B3">
            <w:pPr>
              <w:jc w:val="both"/>
              <w:rPr>
                <w:rFonts w:eastAsia="Calibri"/>
                <w:sz w:val="20"/>
                <w:szCs w:val="26"/>
                <w:lang w:eastAsia="en-US"/>
              </w:rPr>
            </w:pPr>
            <w:r w:rsidRPr="0057221A">
              <w:rPr>
                <w:rFonts w:eastAsia="Calibri"/>
                <w:sz w:val="20"/>
                <w:szCs w:val="26"/>
                <w:lang w:eastAsia="en-US"/>
              </w:rPr>
              <w:t>1/ Cifras estimadas.</w:t>
            </w:r>
          </w:p>
          <w:p w14:paraId="1E25713E" w14:textId="77777777" w:rsidR="0057221A" w:rsidRPr="0057221A" w:rsidRDefault="0057221A" w:rsidP="003810B3">
            <w:pPr>
              <w:ind w:left="227" w:hanging="227"/>
              <w:jc w:val="both"/>
              <w:rPr>
                <w:rFonts w:eastAsia="Calibri"/>
                <w:sz w:val="20"/>
                <w:szCs w:val="26"/>
                <w:lang w:eastAsia="en-US"/>
              </w:rPr>
            </w:pPr>
            <w:r w:rsidRPr="0057221A">
              <w:rPr>
                <w:rFonts w:eastAsia="Calibri"/>
                <w:sz w:val="20"/>
                <w:szCs w:val="26"/>
                <w:u w:val="single"/>
                <w:lang w:eastAsia="en-US"/>
              </w:rPr>
              <w:t>2</w:t>
            </w:r>
            <w:r w:rsidRPr="0057221A">
              <w:rPr>
                <w:rFonts w:eastAsia="Calibri"/>
                <w:sz w:val="20"/>
                <w:szCs w:val="26"/>
                <w:lang w:eastAsia="en-US"/>
              </w:rPr>
              <w:t>/ Representa el promedio no ponderado correspondiente a un grupo de 20 países de América Latina y el Caribe. Chile y México también forman parte del grupo OCDE (34).</w:t>
            </w:r>
          </w:p>
          <w:p w14:paraId="1D76180A" w14:textId="77777777" w:rsidR="0057221A" w:rsidRPr="0057221A" w:rsidRDefault="0057221A" w:rsidP="003810B3">
            <w:pPr>
              <w:ind w:left="227" w:hanging="227"/>
              <w:jc w:val="both"/>
              <w:rPr>
                <w:rFonts w:eastAsia="Calibri"/>
                <w:sz w:val="26"/>
                <w:szCs w:val="26"/>
                <w:lang w:eastAsia="en-US"/>
              </w:rPr>
            </w:pPr>
            <w:r w:rsidRPr="0057221A">
              <w:rPr>
                <w:rFonts w:eastAsia="Calibri"/>
                <w:sz w:val="20"/>
                <w:szCs w:val="26"/>
                <w:u w:val="single"/>
                <w:lang w:eastAsia="en-US"/>
              </w:rPr>
              <w:t>3</w:t>
            </w:r>
            <w:r w:rsidRPr="0057221A">
              <w:rPr>
                <w:rFonts w:eastAsia="Calibri"/>
                <w:sz w:val="20"/>
                <w:szCs w:val="26"/>
                <w:lang w:eastAsia="en-US"/>
              </w:rPr>
              <w:t>/ Representa el promedio no ponderado correspondiente a los países miembros de la OCDE. Se ha calculado aplicando la variación porcentual del promedio no ponderado correspondiente a 2013 de los 30 países que suministraron datos de ese año con respecto al promedio global de ingresos fiscales como porcentaje del PIB en 2012.</w:t>
            </w:r>
          </w:p>
        </w:tc>
      </w:tr>
    </w:tbl>
    <w:p w14:paraId="467E28D9" w14:textId="77777777" w:rsidR="0057221A" w:rsidRPr="0057221A" w:rsidRDefault="0057221A" w:rsidP="0057221A">
      <w:pPr>
        <w:spacing w:after="360" w:line="360" w:lineRule="auto"/>
        <w:ind w:right="-159"/>
        <w:jc w:val="both"/>
        <w:rPr>
          <w:rFonts w:eastAsia="Calibri"/>
          <w:sz w:val="26"/>
          <w:szCs w:val="26"/>
          <w:lang w:eastAsia="en-US"/>
        </w:rPr>
      </w:pPr>
    </w:p>
    <w:p w14:paraId="70F1F5E1" w14:textId="77777777" w:rsidR="0057221A" w:rsidRPr="0057221A" w:rsidRDefault="0057221A" w:rsidP="0057221A">
      <w:pPr>
        <w:spacing w:after="360" w:line="360" w:lineRule="auto"/>
        <w:ind w:right="-159"/>
        <w:jc w:val="both"/>
        <w:rPr>
          <w:rFonts w:eastAsia="Calibri"/>
          <w:b/>
          <w:sz w:val="26"/>
          <w:szCs w:val="26"/>
          <w:lang w:eastAsia="en-US"/>
        </w:rPr>
      </w:pPr>
      <w:r w:rsidRPr="0057221A">
        <w:rPr>
          <w:rFonts w:eastAsia="Calibri"/>
          <w:b/>
          <w:sz w:val="26"/>
          <w:szCs w:val="26"/>
          <w:lang w:eastAsia="en-US"/>
        </w:rPr>
        <w:t>Notas a los Editores</w:t>
      </w:r>
    </w:p>
    <w:p w14:paraId="0D72ABE8" w14:textId="77777777" w:rsidR="0057221A" w:rsidRPr="001B4DFF" w:rsidRDefault="0057221A" w:rsidP="0057221A">
      <w:pPr>
        <w:spacing w:after="360" w:line="360" w:lineRule="auto"/>
        <w:ind w:right="-159"/>
        <w:jc w:val="both"/>
        <w:rPr>
          <w:rFonts w:eastAsia="Calibri"/>
          <w:color w:val="0000FF"/>
          <w:sz w:val="26"/>
          <w:szCs w:val="26"/>
          <w:lang w:eastAsia="en-US"/>
        </w:rPr>
      </w:pPr>
      <w:r w:rsidRPr="0057221A">
        <w:rPr>
          <w:rFonts w:eastAsia="Calibri"/>
          <w:sz w:val="26"/>
          <w:szCs w:val="26"/>
          <w:lang w:eastAsia="en-US"/>
        </w:rPr>
        <w:t xml:space="preserve">La publicación Estadísticas tributarias en América Latina y el Caribe tiene por objetivo proporcionar datos comparables a escala internacional sobre los niveles y las estructuras impositivas para una selección de países de América Latina y el Caribe (ALC). Utilizando la misma metodología de la base de datos de las Estadísticas Tributarias de </w:t>
      </w:r>
      <w:r w:rsidRPr="0057221A">
        <w:rPr>
          <w:rFonts w:eastAsia="Calibri"/>
          <w:sz w:val="26"/>
          <w:szCs w:val="26"/>
          <w:lang w:eastAsia="en-US"/>
        </w:rPr>
        <w:lastRenderedPageBreak/>
        <w:t xml:space="preserve">la OCDE, esta publicación presenta comparaciones entre las economías de ALC, y entre las economías de ALC y de la OCDE. Este trabajo forma parte de la Iniciativa Fiscal LAC de la OCDE, cuyo objetivo es mejorar las políticas tributarias y de gasto público para favorecer un mayor crecimiento económico y una distribución más justa de los ingresos. Para obtener información adicional sobre el informe Estadísticas tributarias en América Latina y la Iniciativa Fiscal LAC, les rogamos consulten </w:t>
      </w:r>
      <w:hyperlink r:id="rId312" w:history="1">
        <w:r w:rsidRPr="001B4DFF">
          <w:rPr>
            <w:rFonts w:eastAsia="Calibri"/>
            <w:color w:val="0000FF"/>
            <w:sz w:val="26"/>
            <w:szCs w:val="26"/>
            <w:u w:val="single"/>
            <w:lang w:eastAsia="en-US"/>
          </w:rPr>
          <w:t>http://www.latameconomy.org/en/revenue-statistics/</w:t>
        </w:r>
      </w:hyperlink>
      <w:r w:rsidRPr="001B4DFF">
        <w:rPr>
          <w:rFonts w:eastAsia="Calibri"/>
          <w:color w:val="0000FF"/>
          <w:sz w:val="26"/>
          <w:szCs w:val="26"/>
          <w:lang w:eastAsia="en-US"/>
        </w:rPr>
        <w:t xml:space="preserve"> y </w:t>
      </w:r>
      <w:hyperlink r:id="rId313" w:history="1">
        <w:r w:rsidRPr="001B4DFF">
          <w:rPr>
            <w:rFonts w:eastAsia="Calibri"/>
            <w:color w:val="0000FF"/>
            <w:sz w:val="26"/>
            <w:szCs w:val="26"/>
            <w:u w:val="single"/>
            <w:lang w:eastAsia="en-US"/>
          </w:rPr>
          <w:t>www.OCDE.org/tax/lacfiscal</w:t>
        </w:r>
      </w:hyperlink>
      <w:r w:rsidRPr="001B4DFF">
        <w:rPr>
          <w:rFonts w:eastAsia="Calibri"/>
          <w:color w:val="0000FF"/>
          <w:sz w:val="26"/>
          <w:szCs w:val="26"/>
          <w:lang w:eastAsia="en-US"/>
        </w:rPr>
        <w:t xml:space="preserve"> </w:t>
      </w:r>
    </w:p>
    <w:p w14:paraId="03399DCE" w14:textId="77777777" w:rsidR="0057221A" w:rsidRPr="0057221A" w:rsidRDefault="0057221A" w:rsidP="0057221A">
      <w:pPr>
        <w:spacing w:after="360" w:line="360" w:lineRule="auto"/>
        <w:ind w:right="-159"/>
        <w:jc w:val="both"/>
        <w:rPr>
          <w:rFonts w:eastAsia="Calibri"/>
          <w:b/>
          <w:sz w:val="26"/>
          <w:szCs w:val="26"/>
          <w:lang w:eastAsia="en-US"/>
        </w:rPr>
      </w:pPr>
      <w:r w:rsidRPr="0057221A">
        <w:rPr>
          <w:rFonts w:eastAsia="Calibri"/>
          <w:b/>
          <w:sz w:val="26"/>
          <w:szCs w:val="26"/>
          <w:lang w:eastAsia="en-US"/>
        </w:rPr>
        <w:t>El Centro Interamericano de Administraciones Tributarias (CIAT)</w:t>
      </w:r>
    </w:p>
    <w:p w14:paraId="546795FE" w14:textId="77777777" w:rsidR="0057221A" w:rsidRPr="0057221A" w:rsidRDefault="0057221A" w:rsidP="0057221A">
      <w:pPr>
        <w:spacing w:after="360" w:line="360" w:lineRule="auto"/>
        <w:ind w:right="-159"/>
        <w:jc w:val="both"/>
        <w:rPr>
          <w:rFonts w:eastAsia="Calibri"/>
          <w:sz w:val="26"/>
          <w:szCs w:val="26"/>
          <w:lang w:eastAsia="en-US"/>
        </w:rPr>
      </w:pPr>
      <w:r w:rsidRPr="0057221A">
        <w:rPr>
          <w:rFonts w:eastAsia="Calibri"/>
          <w:sz w:val="26"/>
          <w:szCs w:val="26"/>
          <w:lang w:eastAsia="en-US"/>
        </w:rPr>
        <w:t>CIAT es un organismo internacional público, sin fines de lucro, que promueve la cooperación internacional y el intercambio de experiencias e información relacionadas con las administraciones tributarias. También ofrece servicios de asistencia técnica, estudios y formación. Fue fundado en 1967 como una iniciativa de los países de América para servir como foro permanente que aborde los problemas y preocupaciones de las administraciones tributarias. Actualmente, el CIAT cuenta con 38 países miembros y países miembros asociados de cuatro continentes: 31 países americanos, cinco países europeos, un país africano y un país asiático.</w:t>
      </w:r>
    </w:p>
    <w:p w14:paraId="24F206EC" w14:textId="77777777" w:rsidR="0057221A" w:rsidRPr="0057221A" w:rsidRDefault="0057221A" w:rsidP="0057221A">
      <w:pPr>
        <w:spacing w:after="360" w:line="360" w:lineRule="auto"/>
        <w:ind w:right="-159"/>
        <w:jc w:val="both"/>
        <w:rPr>
          <w:rFonts w:eastAsia="Calibri"/>
          <w:b/>
          <w:sz w:val="26"/>
          <w:szCs w:val="26"/>
          <w:lang w:eastAsia="en-US"/>
        </w:rPr>
      </w:pPr>
      <w:r w:rsidRPr="0057221A">
        <w:rPr>
          <w:rFonts w:eastAsia="Calibri"/>
          <w:b/>
          <w:sz w:val="26"/>
          <w:szCs w:val="26"/>
          <w:lang w:eastAsia="en-US"/>
        </w:rPr>
        <w:t>El Banco Interamericano de Desarrollo (BID)</w:t>
      </w:r>
    </w:p>
    <w:p w14:paraId="74004773" w14:textId="77777777" w:rsidR="0057221A" w:rsidRPr="0057221A" w:rsidRDefault="0057221A" w:rsidP="0057221A">
      <w:pPr>
        <w:spacing w:after="360" w:line="360" w:lineRule="auto"/>
        <w:ind w:right="-159"/>
        <w:jc w:val="both"/>
        <w:rPr>
          <w:rFonts w:eastAsia="Calibri"/>
          <w:sz w:val="26"/>
          <w:szCs w:val="26"/>
          <w:lang w:eastAsia="en-US"/>
        </w:rPr>
      </w:pPr>
      <w:r w:rsidRPr="0057221A">
        <w:rPr>
          <w:rFonts w:eastAsia="Calibri"/>
          <w:sz w:val="26"/>
          <w:szCs w:val="26"/>
          <w:lang w:eastAsia="en-US"/>
        </w:rPr>
        <w:t xml:space="preserve">El BID es la principal fuente de financiación multilateral y de conocimientos especializados para el desarrollo económico, social e institucional sostenible de América Latina y el Caribe. Con objeto de ayudar a la región a alcanzar un mayor progreso económico y social, el BID presta apoyo a los clientes en el diseño de proyectos, y proporciona financiación, asistencia técnica y servicios relacionados con el conocimiento en apoyo de intervenciones en el ámbito del desarrollo. Además, el BID se vale de los conocimientos especializados de expertos en una amplia gama de campos para llevar a cabo investigaciones y seminarios que abordan los grandes retos de la región y poner de manifiesto las intervenciones culminadas con éxito. El BID ha </w:t>
      </w:r>
      <w:r w:rsidRPr="0057221A">
        <w:rPr>
          <w:rFonts w:eastAsia="Calibri"/>
          <w:sz w:val="26"/>
          <w:szCs w:val="26"/>
          <w:lang w:eastAsia="en-US"/>
        </w:rPr>
        <w:lastRenderedPageBreak/>
        <w:t>desarrollado estrategias centradas en cuatro prioridades sectoriales: política social para la igualdad y la productividad; instituciones para el crecimiento y el bienestar social; integración internacional competitiva a nivel regional y mundial; adaptación al cambio climático y su mitigación, y fuentes de energía sostenibles y renovables.</w:t>
      </w:r>
    </w:p>
    <w:p w14:paraId="49C1FE10" w14:textId="77777777" w:rsidR="0057221A" w:rsidRPr="0057221A" w:rsidRDefault="0057221A" w:rsidP="0057221A">
      <w:pPr>
        <w:spacing w:after="360" w:line="360" w:lineRule="auto"/>
        <w:ind w:right="-159"/>
        <w:jc w:val="both"/>
        <w:rPr>
          <w:rFonts w:eastAsia="Calibri"/>
          <w:b/>
          <w:sz w:val="26"/>
          <w:szCs w:val="26"/>
          <w:lang w:eastAsia="en-US"/>
        </w:rPr>
      </w:pPr>
      <w:r w:rsidRPr="0057221A">
        <w:rPr>
          <w:rFonts w:eastAsia="Calibri"/>
          <w:b/>
          <w:sz w:val="26"/>
          <w:szCs w:val="26"/>
          <w:lang w:eastAsia="en-US"/>
        </w:rPr>
        <w:t>La Comisión Económica para América Latina y el Caribe (CEPAL)</w:t>
      </w:r>
    </w:p>
    <w:p w14:paraId="323C8C3F" w14:textId="77777777" w:rsidR="0057221A" w:rsidRPr="0057221A" w:rsidRDefault="0057221A" w:rsidP="0057221A">
      <w:pPr>
        <w:spacing w:after="360" w:line="360" w:lineRule="auto"/>
        <w:ind w:right="-159"/>
        <w:jc w:val="both"/>
        <w:rPr>
          <w:rFonts w:eastAsia="Calibri"/>
          <w:sz w:val="26"/>
          <w:szCs w:val="26"/>
          <w:lang w:eastAsia="en-US"/>
        </w:rPr>
      </w:pPr>
      <w:r w:rsidRPr="0057221A">
        <w:rPr>
          <w:rFonts w:eastAsia="Calibri"/>
          <w:sz w:val="26"/>
          <w:szCs w:val="26"/>
          <w:lang w:eastAsia="en-US"/>
        </w:rPr>
        <w:t>CEPAL es una de las cinco comisiones regionales de las Naciones Unidas. La CEPAL se fundó en 1948 con el propósito de contribuir al desarrollo económico y social de América Latina y el Caribe, coordinar acciones encaminadas a su promoción y reforzar las relaciones económicas entre los países de la región y con las demás naciones del mundo. La institución se dedica fundamentalmente a la investigación económica y social, y a la prestación de asistencia técnica a gobiernos. Su constante preocupación por el crecimiento, el progreso técnico, la justicia social y la democracia ha caracterizado su enfoque integral orientado al desarrollo que actualmente forma parte del legado de su rica tradición intelectual.</w:t>
      </w:r>
    </w:p>
    <w:p w14:paraId="57DD1DF5" w14:textId="77777777" w:rsidR="0057221A" w:rsidRPr="0057221A" w:rsidRDefault="0057221A" w:rsidP="0057221A">
      <w:pPr>
        <w:spacing w:after="360" w:line="360" w:lineRule="auto"/>
        <w:ind w:right="-159"/>
        <w:jc w:val="both"/>
        <w:rPr>
          <w:rFonts w:eastAsia="Calibri"/>
          <w:b/>
          <w:sz w:val="26"/>
          <w:szCs w:val="26"/>
          <w:lang w:eastAsia="en-US"/>
        </w:rPr>
      </w:pPr>
      <w:r w:rsidRPr="0057221A">
        <w:rPr>
          <w:rFonts w:eastAsia="Calibri"/>
          <w:b/>
          <w:sz w:val="26"/>
          <w:szCs w:val="26"/>
          <w:lang w:eastAsia="en-US"/>
        </w:rPr>
        <w:t>Centro de Política y Administración Tributaria de la OCDE</w:t>
      </w:r>
    </w:p>
    <w:p w14:paraId="58D32E5F" w14:textId="77777777" w:rsidR="0057221A" w:rsidRPr="0057221A" w:rsidRDefault="0057221A" w:rsidP="0057221A">
      <w:pPr>
        <w:spacing w:after="360" w:line="360" w:lineRule="auto"/>
        <w:ind w:right="-159"/>
        <w:jc w:val="both"/>
        <w:rPr>
          <w:rFonts w:eastAsia="Calibri"/>
          <w:sz w:val="26"/>
          <w:szCs w:val="26"/>
          <w:lang w:eastAsia="en-US"/>
        </w:rPr>
      </w:pPr>
      <w:r w:rsidRPr="0057221A">
        <w:rPr>
          <w:rFonts w:eastAsia="Calibri"/>
          <w:sz w:val="26"/>
          <w:szCs w:val="26"/>
          <w:lang w:eastAsia="en-US"/>
        </w:rPr>
        <w:t>El Centro de Política y Administración Tributaria (CTPA, por sus siglas en inglés) es el pilar de la labor de la OCDE en materia tributaria. El Centro proporciona asistencia técnica y apoyo al Comité de Asuntos Fiscales y examina todos los aspectos relacionados con la fiscalidad, excepto la política fiscal a nivel macro. Su labor abarca asuntos de tributación internacional y nacional, impuestos directos e indirectos, política fiscal y administración tributaria. El CTPA también lleva a cabo un extenso programa de diálogo a nivel global entre funcionarios tributarios de países miembros y no miembros de la OCDE. Dicho programa se lleva a cabo a través de eventos anuales que cubren la gama completa del trabajo de la OCDE y que congregan a alrededor de         120 economías no pertenecientes a la OCDE.</w:t>
      </w:r>
    </w:p>
    <w:p w14:paraId="38A6E1B5" w14:textId="77777777" w:rsidR="0057221A" w:rsidRPr="0057221A" w:rsidRDefault="0057221A" w:rsidP="0057221A">
      <w:pPr>
        <w:spacing w:after="360" w:line="360" w:lineRule="auto"/>
        <w:ind w:right="-159"/>
        <w:jc w:val="both"/>
        <w:rPr>
          <w:rFonts w:eastAsia="Calibri"/>
          <w:b/>
          <w:sz w:val="26"/>
          <w:szCs w:val="26"/>
          <w:lang w:eastAsia="en-US"/>
        </w:rPr>
      </w:pPr>
      <w:r w:rsidRPr="0057221A">
        <w:rPr>
          <w:rFonts w:eastAsia="Calibri"/>
          <w:b/>
          <w:sz w:val="26"/>
          <w:szCs w:val="26"/>
          <w:lang w:eastAsia="en-US"/>
        </w:rPr>
        <w:lastRenderedPageBreak/>
        <w:t>Centro de Desarrollo de la OCDE</w:t>
      </w:r>
    </w:p>
    <w:p w14:paraId="752DA582" w14:textId="77777777" w:rsidR="0057221A" w:rsidRPr="0057221A" w:rsidRDefault="0057221A" w:rsidP="0057221A">
      <w:pPr>
        <w:spacing w:after="360" w:line="360" w:lineRule="auto"/>
        <w:ind w:right="-159"/>
        <w:jc w:val="both"/>
        <w:rPr>
          <w:rFonts w:eastAsia="Calibri"/>
          <w:sz w:val="26"/>
          <w:szCs w:val="26"/>
          <w:lang w:eastAsia="en-US"/>
        </w:rPr>
      </w:pPr>
      <w:r w:rsidRPr="0057221A">
        <w:rPr>
          <w:rFonts w:eastAsia="Calibri"/>
          <w:sz w:val="26"/>
          <w:szCs w:val="26"/>
          <w:lang w:eastAsia="en-US"/>
        </w:rPr>
        <w:t>El Centro para el Desarrollo de la OCDE es una plataforma especial creada para el intercambio de conocimientos y el diálogo de política basado en datos, donde los países en desarrollo, los países emergentes y los países miembros de la OCDE interactúan en pie de igualdad. La amplia diversidad de sus miembros, unida a su independencia intelectual, ayuda a encontrar soluciones políticas innovadoras a los urgentes desafíos que plantea el desarrollo.</w:t>
      </w:r>
    </w:p>
    <w:p w14:paraId="73335460" w14:textId="77777777" w:rsidR="0057221A" w:rsidRPr="0057221A" w:rsidRDefault="0057221A" w:rsidP="0057221A">
      <w:pPr>
        <w:ind w:right="-159"/>
        <w:jc w:val="both"/>
        <w:rPr>
          <w:rFonts w:eastAsia="Calibri"/>
          <w:b/>
          <w:sz w:val="20"/>
          <w:szCs w:val="20"/>
          <w:lang w:eastAsia="en-US"/>
        </w:rPr>
      </w:pPr>
      <w:r w:rsidRPr="0057221A">
        <w:rPr>
          <w:rFonts w:eastAsia="Calibri"/>
          <w:b/>
          <w:sz w:val="20"/>
          <w:szCs w:val="20"/>
          <w:lang w:eastAsia="en-US"/>
        </w:rPr>
        <w:t>Fuente de información:</w:t>
      </w:r>
    </w:p>
    <w:p w14:paraId="1338D34D" w14:textId="77777777" w:rsidR="0057221A" w:rsidRPr="001B4DFF" w:rsidRDefault="0093224F" w:rsidP="001B4DFF">
      <w:pPr>
        <w:spacing w:after="720"/>
        <w:ind w:right="-159"/>
        <w:jc w:val="both"/>
        <w:rPr>
          <w:rFonts w:eastAsia="Calibri"/>
          <w:color w:val="0000FF"/>
          <w:sz w:val="20"/>
          <w:szCs w:val="20"/>
          <w:lang w:eastAsia="en-US"/>
        </w:rPr>
      </w:pPr>
      <w:hyperlink r:id="rId314" w:history="1">
        <w:r w:rsidR="0057221A" w:rsidRPr="001B4DFF">
          <w:rPr>
            <w:rFonts w:eastAsia="Calibri"/>
            <w:color w:val="0000FF"/>
            <w:sz w:val="20"/>
            <w:szCs w:val="20"/>
            <w:u w:val="single"/>
            <w:lang w:eastAsia="en-US"/>
          </w:rPr>
          <w:t>http://www.iadb.org/es/noticias/comunicados-de-prensa/2015-03-10/estadisticas-tributarias-en-america-latina-y-el-caribe,11082.html</w:t>
        </w:r>
      </w:hyperlink>
      <w:r w:rsidR="0057221A" w:rsidRPr="001B4DFF">
        <w:rPr>
          <w:rFonts w:eastAsia="Calibri"/>
          <w:color w:val="0000FF"/>
          <w:sz w:val="20"/>
          <w:szCs w:val="20"/>
          <w:lang w:eastAsia="en-US"/>
        </w:rPr>
        <w:t xml:space="preserve"> </w:t>
      </w:r>
    </w:p>
    <w:p w14:paraId="2753AA8D" w14:textId="77777777" w:rsidR="00E05D72" w:rsidRPr="00E05D72" w:rsidRDefault="00E05D72" w:rsidP="00E05D72">
      <w:pPr>
        <w:ind w:right="-159"/>
        <w:jc w:val="both"/>
        <w:rPr>
          <w:rFonts w:eastAsia="Calibri"/>
          <w:b/>
          <w:bCs/>
          <w:sz w:val="26"/>
          <w:szCs w:val="26"/>
          <w:lang w:eastAsia="en-US"/>
        </w:rPr>
      </w:pPr>
      <w:r w:rsidRPr="00E05D72">
        <w:rPr>
          <w:rFonts w:eastAsia="Calibri"/>
          <w:b/>
          <w:bCs/>
          <w:sz w:val="26"/>
          <w:szCs w:val="26"/>
          <w:lang w:eastAsia="en-US"/>
        </w:rPr>
        <w:t>Clasificación internacional de delitos</w:t>
      </w:r>
    </w:p>
    <w:p w14:paraId="4FC2A5AF" w14:textId="77777777" w:rsidR="00E05D72" w:rsidRPr="00E05D72" w:rsidRDefault="00E05D72" w:rsidP="00E05D72">
      <w:pPr>
        <w:spacing w:after="360" w:line="360" w:lineRule="auto"/>
        <w:ind w:right="-159"/>
        <w:jc w:val="both"/>
        <w:rPr>
          <w:rFonts w:eastAsia="Calibri"/>
          <w:b/>
          <w:sz w:val="26"/>
          <w:szCs w:val="26"/>
          <w:lang w:eastAsia="en-US"/>
        </w:rPr>
      </w:pPr>
      <w:r w:rsidRPr="00E05D72">
        <w:rPr>
          <w:rFonts w:eastAsia="Calibri"/>
          <w:b/>
          <w:bCs/>
          <w:sz w:val="26"/>
          <w:szCs w:val="26"/>
          <w:lang w:eastAsia="en-US"/>
        </w:rPr>
        <w:t xml:space="preserve">con fines estadísticos </w:t>
      </w:r>
      <w:r w:rsidRPr="00E05D72">
        <w:rPr>
          <w:rFonts w:eastAsia="Calibri"/>
          <w:b/>
          <w:sz w:val="26"/>
          <w:szCs w:val="26"/>
          <w:lang w:eastAsia="en-US"/>
        </w:rPr>
        <w:t>(INEGI)</w:t>
      </w:r>
    </w:p>
    <w:p w14:paraId="795B08D5" w14:textId="77777777" w:rsidR="00E05D72" w:rsidRPr="00E05D72" w:rsidRDefault="00E05D72" w:rsidP="00E05D72">
      <w:pPr>
        <w:spacing w:after="360" w:line="360" w:lineRule="auto"/>
        <w:ind w:right="-159"/>
        <w:jc w:val="both"/>
        <w:rPr>
          <w:rFonts w:eastAsia="Calibri"/>
          <w:sz w:val="26"/>
          <w:szCs w:val="26"/>
          <w:lang w:eastAsia="en-US"/>
        </w:rPr>
      </w:pPr>
      <w:r w:rsidRPr="00E05D72">
        <w:rPr>
          <w:rFonts w:eastAsia="Calibri"/>
          <w:sz w:val="26"/>
          <w:szCs w:val="26"/>
          <w:lang w:eastAsia="en-US"/>
        </w:rPr>
        <w:t>El 10 de marzo de 2015, el Instituto Nacional de Estadística y Geografía (INEGI) comunicó que en el marco del 46 Período de Sesiones de la Comisión de Estadística de la Organización de las Naciones Unidas (ONU), celebrado en Nueva York, Estados Unidos de Norteámerica, se aprobó la Clasificación Internacional de Delitos con Fines Estadísticos (ICCS</w:t>
      </w:r>
      <w:r w:rsidRPr="00E05D72">
        <w:rPr>
          <w:rFonts w:eastAsia="Calibri"/>
          <w:sz w:val="26"/>
          <w:szCs w:val="26"/>
          <w:vertAlign w:val="superscript"/>
          <w:lang w:eastAsia="en-US"/>
        </w:rPr>
        <w:footnoteReference w:id="89"/>
      </w:r>
      <w:r w:rsidRPr="00E05D72">
        <w:rPr>
          <w:rFonts w:eastAsia="Calibri"/>
          <w:sz w:val="26"/>
          <w:szCs w:val="26"/>
          <w:lang w:eastAsia="en-US"/>
        </w:rPr>
        <w:t xml:space="preserve"> por sus siglas en inglés). Este hecho constituye un paso histórico para el mejoramiento en la medición, comparabilidad y análisis de las estadísticas de delincuencia a nivel regional y global.</w:t>
      </w:r>
    </w:p>
    <w:p w14:paraId="346EC08D" w14:textId="77777777" w:rsidR="00E05D72" w:rsidRPr="00E05D72" w:rsidRDefault="00E05D72" w:rsidP="00E05D72">
      <w:pPr>
        <w:spacing w:after="360" w:line="360" w:lineRule="auto"/>
        <w:ind w:right="-159"/>
        <w:jc w:val="both"/>
        <w:rPr>
          <w:rFonts w:eastAsia="Calibri"/>
          <w:sz w:val="26"/>
          <w:szCs w:val="26"/>
          <w:lang w:eastAsia="en-US"/>
        </w:rPr>
      </w:pPr>
      <w:r w:rsidRPr="00E05D72">
        <w:rPr>
          <w:rFonts w:eastAsia="Calibri"/>
          <w:sz w:val="26"/>
          <w:szCs w:val="26"/>
          <w:lang w:eastAsia="en-US"/>
        </w:rPr>
        <w:t>La ICCS es un logro surgido del proyecto presentado por el INEGI, la Oficina de las Naciones Unidas contra la Droga y el Delito (UNODC) y el Centro de Excelencia para Información Estadística de Gobierno, Seguridad Pública, Victimización y Justicia (UNODC-INEGI), que tiene su sede en la Ciudad de México.</w:t>
      </w:r>
    </w:p>
    <w:p w14:paraId="17DDADBA" w14:textId="77777777" w:rsidR="00E05D72" w:rsidRPr="00E05D72" w:rsidRDefault="00E05D72" w:rsidP="00E05D72">
      <w:pPr>
        <w:spacing w:after="360" w:line="360" w:lineRule="auto"/>
        <w:ind w:right="-159"/>
        <w:jc w:val="both"/>
        <w:rPr>
          <w:rFonts w:eastAsia="Calibri"/>
          <w:sz w:val="26"/>
          <w:szCs w:val="26"/>
          <w:lang w:eastAsia="en-US"/>
        </w:rPr>
      </w:pPr>
      <w:r w:rsidRPr="00E05D72">
        <w:rPr>
          <w:rFonts w:eastAsia="Calibri"/>
          <w:sz w:val="26"/>
          <w:szCs w:val="26"/>
          <w:lang w:eastAsia="en-US"/>
        </w:rPr>
        <w:lastRenderedPageBreak/>
        <w:t>La aprobación de esta nueva clasificación, como una mejor práctica internacional, tendrá un efecto positivo en la recolección, coherencia y pertinencia de las estadísticas sobre delincuencia, además de proporcionar un marco común para la clasificación de datos procedentes de registros administrativos y de encuestas de victimización, así como el desarrollo de metodologías para la medición de delitos difíciles de registrar (corrupción, trata de personas, tráfico ilícito de migrantes, crimen organizado, delito cibernético y lavado de dinero).</w:t>
      </w:r>
    </w:p>
    <w:p w14:paraId="2E5E7D81" w14:textId="77777777" w:rsidR="00E05D72" w:rsidRPr="00E05D72" w:rsidRDefault="00E05D72" w:rsidP="00E05D72">
      <w:pPr>
        <w:spacing w:after="360" w:line="360" w:lineRule="auto"/>
        <w:ind w:right="-159"/>
        <w:jc w:val="both"/>
        <w:rPr>
          <w:rFonts w:eastAsia="Calibri"/>
          <w:sz w:val="26"/>
          <w:szCs w:val="26"/>
          <w:lang w:eastAsia="en-US"/>
        </w:rPr>
      </w:pPr>
      <w:r w:rsidRPr="00E05D72">
        <w:rPr>
          <w:rFonts w:eastAsia="Calibri"/>
          <w:sz w:val="26"/>
          <w:szCs w:val="26"/>
          <w:lang w:eastAsia="en-US"/>
        </w:rPr>
        <w:t>La Clasificación Internacional de Delitos con Fines Estadísticos facilitará la medición y comparabilidad de datos sobre delitos entre países, regiones y el mejor conocimiento de estos fenómenos a nivel global para orientar las políticas y los programas públicos en materia de prevención del delito, combate a la delincuencia, estado de derecho y reforma de justicia penal.</w:t>
      </w:r>
    </w:p>
    <w:p w14:paraId="7A019BE5" w14:textId="1680D45A" w:rsidR="00E05D72" w:rsidRPr="00E05D72" w:rsidRDefault="00E05D72" w:rsidP="00E05D72">
      <w:pPr>
        <w:spacing w:after="360" w:line="360" w:lineRule="auto"/>
        <w:ind w:right="-159"/>
        <w:jc w:val="both"/>
        <w:rPr>
          <w:rFonts w:eastAsia="Calibri"/>
          <w:sz w:val="26"/>
          <w:szCs w:val="26"/>
          <w:lang w:eastAsia="en-US"/>
        </w:rPr>
      </w:pPr>
      <w:r w:rsidRPr="00E05D72">
        <w:rPr>
          <w:rFonts w:eastAsia="Calibri"/>
          <w:sz w:val="26"/>
          <w:szCs w:val="26"/>
          <w:lang w:eastAsia="en-US"/>
        </w:rPr>
        <w:t>Hace 64 años, en 1951, la Comisión Social de las Naciones Unidas puso por primera vez sobre la mesa la importancia de contar con una clasificación uniforme de delitos. A partir de 2009, con la participación de UNODC y de la Comisión Económica de las Naciones Unidas para Europa (UNECE), se retoma el debate para desarrollar el Marco General sobre una Clasificación de Delitos. En 2011</w:t>
      </w:r>
      <w:r w:rsidR="003810B3">
        <w:rPr>
          <w:rFonts w:eastAsia="Calibri"/>
          <w:sz w:val="26"/>
          <w:szCs w:val="26"/>
          <w:lang w:eastAsia="en-US"/>
        </w:rPr>
        <w:t>,</w:t>
      </w:r>
      <w:r w:rsidRPr="00E05D72">
        <w:rPr>
          <w:rFonts w:eastAsia="Calibri"/>
          <w:sz w:val="26"/>
          <w:szCs w:val="26"/>
          <w:lang w:eastAsia="en-US"/>
        </w:rPr>
        <w:t xml:space="preserve"> el INEGI aprobó la Norma Técnica para la Clasificación Nacional de Delitos del Fuero Común para Fines Estadísticos, que fue incluida en el Marco General de una Clasificación de Delitos desarrollado por UNODC y UNECE, aprobado en junio de 2012. A principios de ese año, la propuesta de elaborar una clasificación internacional de delitos fue discutida en la 43 sesión de la Comisión Estadística de las Naciones Unidas (UNSC), donde por primera vez en la historia de esta Comisión, este importante tema fue tratado en su sesión plenaria, a propuesta del INEGI y de UNODC.</w:t>
      </w:r>
    </w:p>
    <w:p w14:paraId="2AC69ED2" w14:textId="77777777" w:rsidR="00E05D72" w:rsidRPr="00E05D72" w:rsidRDefault="00E05D72" w:rsidP="00E05D72">
      <w:pPr>
        <w:spacing w:after="360" w:line="360" w:lineRule="auto"/>
        <w:ind w:right="-159"/>
        <w:jc w:val="both"/>
        <w:rPr>
          <w:rFonts w:eastAsia="Calibri"/>
          <w:sz w:val="26"/>
          <w:szCs w:val="26"/>
          <w:lang w:eastAsia="en-US"/>
        </w:rPr>
      </w:pPr>
      <w:r w:rsidRPr="00E05D72">
        <w:rPr>
          <w:rFonts w:eastAsia="Calibri"/>
          <w:sz w:val="26"/>
          <w:szCs w:val="26"/>
          <w:lang w:eastAsia="en-US"/>
        </w:rPr>
        <w:lastRenderedPageBreak/>
        <w:t>Con el respaldo de más de 100 países, el pleno de la Comisión de Estadística de Naciones Unidas aprobó la Clasificación Internacional de Delitos con Fines Estadísticos como recomendación internacional.</w:t>
      </w:r>
    </w:p>
    <w:p w14:paraId="20C7B73B" w14:textId="77777777" w:rsidR="00E05D72" w:rsidRDefault="00E05D72" w:rsidP="00E05D72">
      <w:pPr>
        <w:spacing w:after="360" w:line="360" w:lineRule="auto"/>
        <w:ind w:right="-159"/>
        <w:jc w:val="both"/>
        <w:rPr>
          <w:rFonts w:eastAsia="Calibri"/>
          <w:sz w:val="26"/>
          <w:szCs w:val="26"/>
          <w:lang w:eastAsia="en-US"/>
        </w:rPr>
      </w:pPr>
      <w:r w:rsidRPr="00E05D72">
        <w:rPr>
          <w:rFonts w:eastAsia="Calibri"/>
          <w:sz w:val="26"/>
          <w:szCs w:val="26"/>
          <w:lang w:eastAsia="en-US"/>
        </w:rPr>
        <w:t>El primer nivel de la Clasificación contiene las siguientes once categorías:</w:t>
      </w:r>
    </w:p>
    <w:tbl>
      <w:tblPr>
        <w:tblW w:w="8539" w:type="dxa"/>
        <w:tblInd w:w="25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567"/>
        <w:gridCol w:w="7972"/>
      </w:tblGrid>
      <w:tr w:rsidR="00E05D72" w:rsidRPr="00E05D72" w14:paraId="298CD9D0" w14:textId="77777777" w:rsidTr="00C47DB6">
        <w:trPr>
          <w:trHeight w:val="112"/>
        </w:trPr>
        <w:tc>
          <w:tcPr>
            <w:tcW w:w="8539" w:type="dxa"/>
            <w:gridSpan w:val="2"/>
            <w:tcBorders>
              <w:top w:val="nil"/>
              <w:left w:val="nil"/>
              <w:bottom w:val="single" w:sz="2" w:space="0" w:color="auto"/>
              <w:right w:val="nil"/>
            </w:tcBorders>
            <w:shd w:val="clear" w:color="auto" w:fill="auto"/>
          </w:tcPr>
          <w:p w14:paraId="5FE68518" w14:textId="153DC3A0" w:rsidR="00E05D72" w:rsidRPr="00C47DB6" w:rsidRDefault="00E05D72" w:rsidP="00DA361F">
            <w:pPr>
              <w:autoSpaceDE w:val="0"/>
              <w:autoSpaceDN w:val="0"/>
              <w:adjustRightInd w:val="0"/>
              <w:jc w:val="center"/>
              <w:rPr>
                <w:rFonts w:eastAsia="Calibri"/>
                <w:sz w:val="20"/>
                <w:szCs w:val="20"/>
                <w:lang w:eastAsia="en-US"/>
              </w:rPr>
            </w:pPr>
            <w:r w:rsidRPr="00C47DB6">
              <w:rPr>
                <w:rFonts w:eastAsia="Calibri"/>
                <w:b/>
                <w:bCs/>
                <w:sz w:val="20"/>
                <w:szCs w:val="20"/>
                <w:lang w:eastAsia="en-US"/>
              </w:rPr>
              <w:t>CATEGORÍAS (NIVEL I)</w:t>
            </w:r>
          </w:p>
        </w:tc>
      </w:tr>
      <w:tr w:rsidR="00E05D72" w:rsidRPr="00E05D72" w14:paraId="551AD19D" w14:textId="77777777" w:rsidTr="00C47DB6">
        <w:trPr>
          <w:trHeight w:val="113"/>
        </w:trPr>
        <w:tc>
          <w:tcPr>
            <w:tcW w:w="567" w:type="dxa"/>
            <w:tcBorders>
              <w:bottom w:val="nil"/>
            </w:tcBorders>
            <w:shd w:val="clear" w:color="auto" w:fill="auto"/>
          </w:tcPr>
          <w:p w14:paraId="1B8CD037" w14:textId="77777777" w:rsidR="00E05D72" w:rsidRPr="00C47DB6" w:rsidRDefault="00E05D72" w:rsidP="00E05D72">
            <w:pPr>
              <w:autoSpaceDE w:val="0"/>
              <w:autoSpaceDN w:val="0"/>
              <w:adjustRightInd w:val="0"/>
              <w:jc w:val="center"/>
              <w:rPr>
                <w:rFonts w:eastAsia="Calibri"/>
                <w:sz w:val="20"/>
                <w:szCs w:val="20"/>
                <w:lang w:eastAsia="en-US"/>
              </w:rPr>
            </w:pPr>
            <w:r w:rsidRPr="00C47DB6">
              <w:rPr>
                <w:rFonts w:eastAsia="Calibri"/>
                <w:b/>
                <w:bCs/>
                <w:sz w:val="20"/>
                <w:szCs w:val="20"/>
                <w:lang w:eastAsia="en-US"/>
              </w:rPr>
              <w:t>01</w:t>
            </w:r>
          </w:p>
        </w:tc>
        <w:tc>
          <w:tcPr>
            <w:tcW w:w="7972" w:type="dxa"/>
            <w:tcBorders>
              <w:bottom w:val="nil"/>
            </w:tcBorders>
            <w:shd w:val="clear" w:color="auto" w:fill="auto"/>
          </w:tcPr>
          <w:p w14:paraId="041C84AF" w14:textId="77777777" w:rsidR="00E05D72" w:rsidRPr="00C47DB6" w:rsidRDefault="00E05D72" w:rsidP="00E05D72">
            <w:pPr>
              <w:autoSpaceDE w:val="0"/>
              <w:autoSpaceDN w:val="0"/>
              <w:adjustRightInd w:val="0"/>
              <w:rPr>
                <w:rFonts w:eastAsia="Calibri"/>
                <w:sz w:val="20"/>
                <w:szCs w:val="20"/>
                <w:lang w:eastAsia="en-US"/>
              </w:rPr>
            </w:pPr>
            <w:r w:rsidRPr="00C47DB6">
              <w:rPr>
                <w:rFonts w:eastAsia="Calibri"/>
                <w:sz w:val="20"/>
                <w:szCs w:val="20"/>
                <w:lang w:eastAsia="en-US"/>
              </w:rPr>
              <w:t>Actos que causan la muerte o que tienen la intención de causar la muerte.</w:t>
            </w:r>
          </w:p>
        </w:tc>
      </w:tr>
      <w:tr w:rsidR="00E05D72" w:rsidRPr="00E05D72" w14:paraId="71D43F15" w14:textId="77777777" w:rsidTr="00C47DB6">
        <w:trPr>
          <w:trHeight w:val="250"/>
        </w:trPr>
        <w:tc>
          <w:tcPr>
            <w:tcW w:w="567" w:type="dxa"/>
            <w:tcBorders>
              <w:top w:val="nil"/>
              <w:bottom w:val="nil"/>
            </w:tcBorders>
            <w:shd w:val="clear" w:color="auto" w:fill="auto"/>
          </w:tcPr>
          <w:p w14:paraId="00E85C0A" w14:textId="77777777" w:rsidR="00E05D72" w:rsidRPr="00C47DB6" w:rsidRDefault="00E05D72" w:rsidP="00E05D72">
            <w:pPr>
              <w:autoSpaceDE w:val="0"/>
              <w:autoSpaceDN w:val="0"/>
              <w:adjustRightInd w:val="0"/>
              <w:jc w:val="center"/>
              <w:rPr>
                <w:rFonts w:eastAsia="Calibri"/>
                <w:sz w:val="20"/>
                <w:szCs w:val="20"/>
                <w:lang w:eastAsia="en-US"/>
              </w:rPr>
            </w:pPr>
            <w:r w:rsidRPr="00C47DB6">
              <w:rPr>
                <w:rFonts w:eastAsia="Calibri"/>
                <w:b/>
                <w:bCs/>
                <w:sz w:val="20"/>
                <w:szCs w:val="20"/>
                <w:lang w:eastAsia="en-US"/>
              </w:rPr>
              <w:t>02</w:t>
            </w:r>
          </w:p>
        </w:tc>
        <w:tc>
          <w:tcPr>
            <w:tcW w:w="7972" w:type="dxa"/>
            <w:tcBorders>
              <w:top w:val="nil"/>
              <w:bottom w:val="nil"/>
            </w:tcBorders>
            <w:shd w:val="clear" w:color="auto" w:fill="auto"/>
          </w:tcPr>
          <w:p w14:paraId="6D1FA39A" w14:textId="77777777" w:rsidR="00E05D72" w:rsidRPr="00C47DB6" w:rsidRDefault="00E05D72" w:rsidP="00E05D72">
            <w:pPr>
              <w:autoSpaceDE w:val="0"/>
              <w:autoSpaceDN w:val="0"/>
              <w:adjustRightInd w:val="0"/>
              <w:rPr>
                <w:rFonts w:eastAsia="Calibri"/>
                <w:sz w:val="20"/>
                <w:szCs w:val="20"/>
                <w:lang w:eastAsia="en-US"/>
              </w:rPr>
            </w:pPr>
            <w:r w:rsidRPr="00C47DB6">
              <w:rPr>
                <w:rFonts w:eastAsia="Calibri"/>
                <w:sz w:val="20"/>
                <w:szCs w:val="20"/>
                <w:lang w:eastAsia="en-US"/>
              </w:rPr>
              <w:t>Actos que causan daños o que tienen la intención de causar daños a la persona.</w:t>
            </w:r>
          </w:p>
        </w:tc>
      </w:tr>
      <w:tr w:rsidR="00E05D72" w:rsidRPr="00E05D72" w14:paraId="65BA85CD" w14:textId="77777777" w:rsidTr="00C47DB6">
        <w:trPr>
          <w:trHeight w:val="120"/>
        </w:trPr>
        <w:tc>
          <w:tcPr>
            <w:tcW w:w="567" w:type="dxa"/>
            <w:tcBorders>
              <w:top w:val="nil"/>
              <w:bottom w:val="nil"/>
            </w:tcBorders>
            <w:shd w:val="clear" w:color="auto" w:fill="auto"/>
          </w:tcPr>
          <w:p w14:paraId="768502D5" w14:textId="77777777" w:rsidR="00E05D72" w:rsidRPr="00C47DB6" w:rsidRDefault="00E05D72" w:rsidP="00E05D72">
            <w:pPr>
              <w:autoSpaceDE w:val="0"/>
              <w:autoSpaceDN w:val="0"/>
              <w:adjustRightInd w:val="0"/>
              <w:jc w:val="center"/>
              <w:rPr>
                <w:rFonts w:eastAsia="Calibri"/>
                <w:sz w:val="20"/>
                <w:szCs w:val="20"/>
                <w:lang w:eastAsia="en-US"/>
              </w:rPr>
            </w:pPr>
            <w:r w:rsidRPr="00C47DB6">
              <w:rPr>
                <w:rFonts w:eastAsia="Calibri"/>
                <w:b/>
                <w:bCs/>
                <w:sz w:val="20"/>
                <w:szCs w:val="20"/>
                <w:lang w:eastAsia="en-US"/>
              </w:rPr>
              <w:t>03</w:t>
            </w:r>
          </w:p>
        </w:tc>
        <w:tc>
          <w:tcPr>
            <w:tcW w:w="7972" w:type="dxa"/>
            <w:tcBorders>
              <w:top w:val="nil"/>
              <w:bottom w:val="nil"/>
            </w:tcBorders>
            <w:shd w:val="clear" w:color="auto" w:fill="auto"/>
          </w:tcPr>
          <w:p w14:paraId="67CAAF78" w14:textId="77777777" w:rsidR="00E05D72" w:rsidRPr="00C47DB6" w:rsidRDefault="00E05D72" w:rsidP="00E05D72">
            <w:pPr>
              <w:autoSpaceDE w:val="0"/>
              <w:autoSpaceDN w:val="0"/>
              <w:adjustRightInd w:val="0"/>
              <w:rPr>
                <w:rFonts w:eastAsia="Calibri"/>
                <w:sz w:val="20"/>
                <w:szCs w:val="20"/>
                <w:lang w:eastAsia="en-US"/>
              </w:rPr>
            </w:pPr>
            <w:r w:rsidRPr="00C47DB6">
              <w:rPr>
                <w:rFonts w:eastAsia="Calibri"/>
                <w:sz w:val="20"/>
                <w:szCs w:val="20"/>
                <w:lang w:eastAsia="en-US"/>
              </w:rPr>
              <w:t>Actos lesivos de naturaleza sexual.</w:t>
            </w:r>
          </w:p>
        </w:tc>
      </w:tr>
      <w:tr w:rsidR="00E05D72" w:rsidRPr="00E05D72" w14:paraId="48BFCD41" w14:textId="77777777" w:rsidTr="00C47DB6">
        <w:trPr>
          <w:trHeight w:val="260"/>
        </w:trPr>
        <w:tc>
          <w:tcPr>
            <w:tcW w:w="567" w:type="dxa"/>
            <w:tcBorders>
              <w:top w:val="nil"/>
              <w:bottom w:val="nil"/>
            </w:tcBorders>
            <w:shd w:val="clear" w:color="auto" w:fill="auto"/>
          </w:tcPr>
          <w:p w14:paraId="3FAC094D" w14:textId="77777777" w:rsidR="00E05D72" w:rsidRPr="00C47DB6" w:rsidRDefault="00E05D72" w:rsidP="00E05D72">
            <w:pPr>
              <w:autoSpaceDE w:val="0"/>
              <w:autoSpaceDN w:val="0"/>
              <w:adjustRightInd w:val="0"/>
              <w:jc w:val="center"/>
              <w:rPr>
                <w:rFonts w:eastAsia="Calibri"/>
                <w:sz w:val="20"/>
                <w:szCs w:val="20"/>
                <w:lang w:eastAsia="en-US"/>
              </w:rPr>
            </w:pPr>
            <w:r w:rsidRPr="00C47DB6">
              <w:rPr>
                <w:rFonts w:eastAsia="Calibri"/>
                <w:b/>
                <w:bCs/>
                <w:sz w:val="20"/>
                <w:szCs w:val="20"/>
                <w:lang w:eastAsia="en-US"/>
              </w:rPr>
              <w:t>04</w:t>
            </w:r>
          </w:p>
        </w:tc>
        <w:tc>
          <w:tcPr>
            <w:tcW w:w="7972" w:type="dxa"/>
            <w:tcBorders>
              <w:top w:val="nil"/>
              <w:bottom w:val="nil"/>
            </w:tcBorders>
            <w:shd w:val="clear" w:color="auto" w:fill="auto"/>
          </w:tcPr>
          <w:p w14:paraId="45EDA42B" w14:textId="77777777" w:rsidR="00E05D72" w:rsidRPr="00C47DB6" w:rsidRDefault="00E05D72" w:rsidP="00E05D72">
            <w:pPr>
              <w:autoSpaceDE w:val="0"/>
              <w:autoSpaceDN w:val="0"/>
              <w:adjustRightInd w:val="0"/>
              <w:jc w:val="both"/>
              <w:rPr>
                <w:rFonts w:eastAsia="Calibri"/>
                <w:sz w:val="20"/>
                <w:szCs w:val="20"/>
                <w:lang w:eastAsia="en-US"/>
              </w:rPr>
            </w:pPr>
            <w:r w:rsidRPr="00C47DB6">
              <w:rPr>
                <w:rFonts w:eastAsia="Calibri"/>
                <w:sz w:val="20"/>
                <w:szCs w:val="20"/>
                <w:lang w:eastAsia="en-US"/>
              </w:rPr>
              <w:t>Actos contra la propiedad que entrañan violencia o amenaza de violencia contra una persona.</w:t>
            </w:r>
          </w:p>
        </w:tc>
      </w:tr>
      <w:tr w:rsidR="00E05D72" w:rsidRPr="00E05D72" w14:paraId="3D52A7A2" w14:textId="77777777" w:rsidTr="00C47DB6">
        <w:trPr>
          <w:trHeight w:val="120"/>
        </w:trPr>
        <w:tc>
          <w:tcPr>
            <w:tcW w:w="567" w:type="dxa"/>
            <w:tcBorders>
              <w:top w:val="nil"/>
              <w:bottom w:val="nil"/>
            </w:tcBorders>
            <w:shd w:val="clear" w:color="auto" w:fill="auto"/>
          </w:tcPr>
          <w:p w14:paraId="013202F8" w14:textId="77777777" w:rsidR="00E05D72" w:rsidRPr="00C47DB6" w:rsidRDefault="00E05D72" w:rsidP="00E05D72">
            <w:pPr>
              <w:autoSpaceDE w:val="0"/>
              <w:autoSpaceDN w:val="0"/>
              <w:adjustRightInd w:val="0"/>
              <w:jc w:val="center"/>
              <w:rPr>
                <w:rFonts w:eastAsia="Calibri"/>
                <w:sz w:val="20"/>
                <w:szCs w:val="20"/>
                <w:lang w:eastAsia="en-US"/>
              </w:rPr>
            </w:pPr>
            <w:r w:rsidRPr="00C47DB6">
              <w:rPr>
                <w:rFonts w:eastAsia="Calibri"/>
                <w:b/>
                <w:bCs/>
                <w:sz w:val="20"/>
                <w:szCs w:val="20"/>
                <w:lang w:eastAsia="en-US"/>
              </w:rPr>
              <w:t>05</w:t>
            </w:r>
          </w:p>
        </w:tc>
        <w:tc>
          <w:tcPr>
            <w:tcW w:w="7972" w:type="dxa"/>
            <w:tcBorders>
              <w:top w:val="nil"/>
              <w:bottom w:val="nil"/>
            </w:tcBorders>
            <w:shd w:val="clear" w:color="auto" w:fill="auto"/>
          </w:tcPr>
          <w:p w14:paraId="76A89B17" w14:textId="77777777" w:rsidR="00E05D72" w:rsidRPr="00C47DB6" w:rsidRDefault="00E05D72" w:rsidP="00E05D72">
            <w:pPr>
              <w:autoSpaceDE w:val="0"/>
              <w:autoSpaceDN w:val="0"/>
              <w:adjustRightInd w:val="0"/>
              <w:rPr>
                <w:rFonts w:eastAsia="Calibri"/>
                <w:sz w:val="20"/>
                <w:szCs w:val="20"/>
                <w:lang w:eastAsia="en-US"/>
              </w:rPr>
            </w:pPr>
            <w:r w:rsidRPr="00C47DB6">
              <w:rPr>
                <w:rFonts w:eastAsia="Calibri"/>
                <w:sz w:val="20"/>
                <w:szCs w:val="20"/>
                <w:lang w:eastAsia="en-US"/>
              </w:rPr>
              <w:t>Actos contra la propiedad solamente.</w:t>
            </w:r>
          </w:p>
        </w:tc>
      </w:tr>
      <w:tr w:rsidR="00E05D72" w:rsidRPr="00E05D72" w14:paraId="3C5D724A" w14:textId="77777777" w:rsidTr="00C47DB6">
        <w:trPr>
          <w:trHeight w:val="120"/>
        </w:trPr>
        <w:tc>
          <w:tcPr>
            <w:tcW w:w="567" w:type="dxa"/>
            <w:tcBorders>
              <w:top w:val="nil"/>
              <w:bottom w:val="nil"/>
            </w:tcBorders>
            <w:shd w:val="clear" w:color="auto" w:fill="auto"/>
          </w:tcPr>
          <w:p w14:paraId="26F5D4FC" w14:textId="77777777" w:rsidR="00E05D72" w:rsidRPr="00C47DB6" w:rsidRDefault="00E05D72" w:rsidP="00E05D72">
            <w:pPr>
              <w:autoSpaceDE w:val="0"/>
              <w:autoSpaceDN w:val="0"/>
              <w:adjustRightInd w:val="0"/>
              <w:jc w:val="center"/>
              <w:rPr>
                <w:rFonts w:eastAsia="Calibri"/>
                <w:sz w:val="20"/>
                <w:szCs w:val="20"/>
                <w:lang w:eastAsia="en-US"/>
              </w:rPr>
            </w:pPr>
            <w:r w:rsidRPr="00C47DB6">
              <w:rPr>
                <w:rFonts w:eastAsia="Calibri"/>
                <w:b/>
                <w:bCs/>
                <w:sz w:val="20"/>
                <w:szCs w:val="20"/>
                <w:lang w:eastAsia="en-US"/>
              </w:rPr>
              <w:t>06</w:t>
            </w:r>
          </w:p>
        </w:tc>
        <w:tc>
          <w:tcPr>
            <w:tcW w:w="7972" w:type="dxa"/>
            <w:tcBorders>
              <w:top w:val="nil"/>
              <w:bottom w:val="nil"/>
            </w:tcBorders>
            <w:shd w:val="clear" w:color="auto" w:fill="auto"/>
          </w:tcPr>
          <w:p w14:paraId="3FF886F0" w14:textId="77777777" w:rsidR="00E05D72" w:rsidRPr="00C47DB6" w:rsidRDefault="00E05D72" w:rsidP="00E05D72">
            <w:pPr>
              <w:autoSpaceDE w:val="0"/>
              <w:autoSpaceDN w:val="0"/>
              <w:adjustRightInd w:val="0"/>
              <w:rPr>
                <w:rFonts w:eastAsia="Calibri"/>
                <w:sz w:val="20"/>
                <w:szCs w:val="20"/>
                <w:lang w:eastAsia="en-US"/>
              </w:rPr>
            </w:pPr>
            <w:r w:rsidRPr="00C47DB6">
              <w:rPr>
                <w:rFonts w:eastAsia="Calibri"/>
                <w:sz w:val="20"/>
                <w:szCs w:val="20"/>
                <w:lang w:eastAsia="en-US"/>
              </w:rPr>
              <w:t xml:space="preserve">Actos que conllevan el uso de sustancias psicoactivas u otras drogas. </w:t>
            </w:r>
          </w:p>
        </w:tc>
      </w:tr>
      <w:tr w:rsidR="00E05D72" w:rsidRPr="00E05D72" w14:paraId="6555EC44" w14:textId="77777777" w:rsidTr="00C47DB6">
        <w:trPr>
          <w:trHeight w:val="120"/>
        </w:trPr>
        <w:tc>
          <w:tcPr>
            <w:tcW w:w="567" w:type="dxa"/>
            <w:tcBorders>
              <w:top w:val="nil"/>
              <w:bottom w:val="nil"/>
            </w:tcBorders>
            <w:shd w:val="clear" w:color="auto" w:fill="auto"/>
          </w:tcPr>
          <w:p w14:paraId="67F65733" w14:textId="77777777" w:rsidR="00E05D72" w:rsidRPr="00C47DB6" w:rsidRDefault="00E05D72" w:rsidP="00E05D72">
            <w:pPr>
              <w:autoSpaceDE w:val="0"/>
              <w:autoSpaceDN w:val="0"/>
              <w:adjustRightInd w:val="0"/>
              <w:jc w:val="center"/>
              <w:rPr>
                <w:rFonts w:eastAsia="Calibri"/>
                <w:sz w:val="20"/>
                <w:szCs w:val="20"/>
                <w:lang w:eastAsia="en-US"/>
              </w:rPr>
            </w:pPr>
            <w:r w:rsidRPr="00C47DB6">
              <w:rPr>
                <w:rFonts w:eastAsia="Calibri"/>
                <w:b/>
                <w:bCs/>
                <w:sz w:val="20"/>
                <w:szCs w:val="20"/>
                <w:lang w:eastAsia="en-US"/>
              </w:rPr>
              <w:t>07</w:t>
            </w:r>
          </w:p>
        </w:tc>
        <w:tc>
          <w:tcPr>
            <w:tcW w:w="7972" w:type="dxa"/>
            <w:tcBorders>
              <w:top w:val="nil"/>
              <w:bottom w:val="nil"/>
            </w:tcBorders>
            <w:shd w:val="clear" w:color="auto" w:fill="auto"/>
          </w:tcPr>
          <w:p w14:paraId="707C22F4" w14:textId="77777777" w:rsidR="00E05D72" w:rsidRPr="00C47DB6" w:rsidRDefault="00E05D72" w:rsidP="00E05D72">
            <w:pPr>
              <w:autoSpaceDE w:val="0"/>
              <w:autoSpaceDN w:val="0"/>
              <w:adjustRightInd w:val="0"/>
              <w:rPr>
                <w:rFonts w:eastAsia="Calibri"/>
                <w:sz w:val="20"/>
                <w:szCs w:val="20"/>
                <w:lang w:eastAsia="en-US"/>
              </w:rPr>
            </w:pPr>
            <w:r w:rsidRPr="00C47DB6">
              <w:rPr>
                <w:rFonts w:eastAsia="Calibri"/>
                <w:sz w:val="20"/>
                <w:szCs w:val="20"/>
                <w:lang w:eastAsia="en-US"/>
              </w:rPr>
              <w:t>Actos que conllevan fraude, engaño o corrupción.</w:t>
            </w:r>
          </w:p>
        </w:tc>
      </w:tr>
      <w:tr w:rsidR="00E05D72" w:rsidRPr="00E05D72" w14:paraId="3B925974" w14:textId="77777777" w:rsidTr="00C47DB6">
        <w:trPr>
          <w:trHeight w:val="120"/>
        </w:trPr>
        <w:tc>
          <w:tcPr>
            <w:tcW w:w="567" w:type="dxa"/>
            <w:tcBorders>
              <w:top w:val="nil"/>
              <w:bottom w:val="nil"/>
            </w:tcBorders>
            <w:shd w:val="clear" w:color="auto" w:fill="auto"/>
          </w:tcPr>
          <w:p w14:paraId="2C55CFD6" w14:textId="77777777" w:rsidR="00E05D72" w:rsidRPr="00C47DB6" w:rsidRDefault="00E05D72" w:rsidP="00E05D72">
            <w:pPr>
              <w:autoSpaceDE w:val="0"/>
              <w:autoSpaceDN w:val="0"/>
              <w:adjustRightInd w:val="0"/>
              <w:jc w:val="center"/>
              <w:rPr>
                <w:rFonts w:eastAsia="Calibri"/>
                <w:sz w:val="20"/>
                <w:szCs w:val="20"/>
                <w:lang w:eastAsia="en-US"/>
              </w:rPr>
            </w:pPr>
            <w:r w:rsidRPr="00C47DB6">
              <w:rPr>
                <w:rFonts w:eastAsia="Calibri"/>
                <w:b/>
                <w:bCs/>
                <w:sz w:val="20"/>
                <w:szCs w:val="20"/>
                <w:lang w:eastAsia="en-US"/>
              </w:rPr>
              <w:t>08</w:t>
            </w:r>
          </w:p>
        </w:tc>
        <w:tc>
          <w:tcPr>
            <w:tcW w:w="7972" w:type="dxa"/>
            <w:tcBorders>
              <w:top w:val="nil"/>
              <w:bottom w:val="nil"/>
            </w:tcBorders>
            <w:shd w:val="clear" w:color="auto" w:fill="auto"/>
          </w:tcPr>
          <w:p w14:paraId="73130421" w14:textId="77777777" w:rsidR="00E05D72" w:rsidRPr="00C47DB6" w:rsidRDefault="00E05D72" w:rsidP="00E05D72">
            <w:pPr>
              <w:autoSpaceDE w:val="0"/>
              <w:autoSpaceDN w:val="0"/>
              <w:adjustRightInd w:val="0"/>
              <w:rPr>
                <w:rFonts w:eastAsia="Calibri"/>
                <w:sz w:val="20"/>
                <w:szCs w:val="20"/>
                <w:lang w:eastAsia="en-US"/>
              </w:rPr>
            </w:pPr>
            <w:r w:rsidRPr="00C47DB6">
              <w:rPr>
                <w:rFonts w:eastAsia="Calibri"/>
                <w:sz w:val="20"/>
                <w:szCs w:val="20"/>
                <w:lang w:eastAsia="en-US"/>
              </w:rPr>
              <w:t>Actos contra el orden público, la autoridad y las disposiciones del Estado.</w:t>
            </w:r>
          </w:p>
        </w:tc>
      </w:tr>
      <w:tr w:rsidR="00E05D72" w:rsidRPr="00E05D72" w14:paraId="23DBA9FB" w14:textId="77777777" w:rsidTr="00C47DB6">
        <w:trPr>
          <w:trHeight w:val="120"/>
        </w:trPr>
        <w:tc>
          <w:tcPr>
            <w:tcW w:w="567" w:type="dxa"/>
            <w:tcBorders>
              <w:top w:val="nil"/>
              <w:bottom w:val="nil"/>
            </w:tcBorders>
            <w:shd w:val="clear" w:color="auto" w:fill="auto"/>
          </w:tcPr>
          <w:p w14:paraId="787E8D88" w14:textId="77777777" w:rsidR="00E05D72" w:rsidRPr="00C47DB6" w:rsidRDefault="00E05D72" w:rsidP="00E05D72">
            <w:pPr>
              <w:autoSpaceDE w:val="0"/>
              <w:autoSpaceDN w:val="0"/>
              <w:adjustRightInd w:val="0"/>
              <w:jc w:val="center"/>
              <w:rPr>
                <w:rFonts w:eastAsia="Calibri"/>
                <w:sz w:val="20"/>
                <w:szCs w:val="20"/>
                <w:lang w:eastAsia="en-US"/>
              </w:rPr>
            </w:pPr>
            <w:r w:rsidRPr="00C47DB6">
              <w:rPr>
                <w:rFonts w:eastAsia="Calibri"/>
                <w:b/>
                <w:bCs/>
                <w:sz w:val="20"/>
                <w:szCs w:val="20"/>
                <w:lang w:eastAsia="en-US"/>
              </w:rPr>
              <w:t>09</w:t>
            </w:r>
          </w:p>
        </w:tc>
        <w:tc>
          <w:tcPr>
            <w:tcW w:w="7972" w:type="dxa"/>
            <w:tcBorders>
              <w:top w:val="nil"/>
              <w:bottom w:val="nil"/>
            </w:tcBorders>
            <w:shd w:val="clear" w:color="auto" w:fill="auto"/>
          </w:tcPr>
          <w:p w14:paraId="2A0884CE" w14:textId="77777777" w:rsidR="00E05D72" w:rsidRPr="00C47DB6" w:rsidRDefault="00E05D72" w:rsidP="00E05D72">
            <w:pPr>
              <w:autoSpaceDE w:val="0"/>
              <w:autoSpaceDN w:val="0"/>
              <w:adjustRightInd w:val="0"/>
              <w:rPr>
                <w:rFonts w:eastAsia="Calibri"/>
                <w:sz w:val="20"/>
                <w:szCs w:val="20"/>
                <w:lang w:eastAsia="en-US"/>
              </w:rPr>
            </w:pPr>
            <w:r w:rsidRPr="00C47DB6">
              <w:rPr>
                <w:rFonts w:eastAsia="Calibri"/>
                <w:sz w:val="20"/>
                <w:szCs w:val="20"/>
                <w:lang w:eastAsia="en-US"/>
              </w:rPr>
              <w:t>Actos contra la seguridad pública y la seguridad del Estado.</w:t>
            </w:r>
          </w:p>
        </w:tc>
      </w:tr>
      <w:tr w:rsidR="00E05D72" w:rsidRPr="00E05D72" w14:paraId="203A7BAF" w14:textId="77777777" w:rsidTr="00C47DB6">
        <w:trPr>
          <w:trHeight w:val="120"/>
        </w:trPr>
        <w:tc>
          <w:tcPr>
            <w:tcW w:w="567" w:type="dxa"/>
            <w:tcBorders>
              <w:top w:val="nil"/>
              <w:bottom w:val="nil"/>
            </w:tcBorders>
            <w:shd w:val="clear" w:color="auto" w:fill="auto"/>
          </w:tcPr>
          <w:p w14:paraId="3D14BF2D" w14:textId="77777777" w:rsidR="00E05D72" w:rsidRPr="00C47DB6" w:rsidRDefault="00E05D72" w:rsidP="00E05D72">
            <w:pPr>
              <w:autoSpaceDE w:val="0"/>
              <w:autoSpaceDN w:val="0"/>
              <w:adjustRightInd w:val="0"/>
              <w:jc w:val="center"/>
              <w:rPr>
                <w:rFonts w:eastAsia="Calibri"/>
                <w:sz w:val="20"/>
                <w:szCs w:val="20"/>
                <w:lang w:eastAsia="en-US"/>
              </w:rPr>
            </w:pPr>
            <w:r w:rsidRPr="00C47DB6">
              <w:rPr>
                <w:rFonts w:eastAsia="Calibri"/>
                <w:b/>
                <w:bCs/>
                <w:sz w:val="20"/>
                <w:szCs w:val="20"/>
                <w:lang w:eastAsia="en-US"/>
              </w:rPr>
              <w:t>10</w:t>
            </w:r>
          </w:p>
        </w:tc>
        <w:tc>
          <w:tcPr>
            <w:tcW w:w="7972" w:type="dxa"/>
            <w:tcBorders>
              <w:top w:val="nil"/>
              <w:bottom w:val="nil"/>
            </w:tcBorders>
            <w:shd w:val="clear" w:color="auto" w:fill="auto"/>
          </w:tcPr>
          <w:p w14:paraId="5FF6F5A4" w14:textId="77777777" w:rsidR="00E05D72" w:rsidRPr="00C47DB6" w:rsidRDefault="00E05D72" w:rsidP="00E05D72">
            <w:pPr>
              <w:autoSpaceDE w:val="0"/>
              <w:autoSpaceDN w:val="0"/>
              <w:adjustRightInd w:val="0"/>
              <w:rPr>
                <w:rFonts w:eastAsia="Calibri"/>
                <w:sz w:val="20"/>
                <w:szCs w:val="20"/>
                <w:lang w:eastAsia="en-US"/>
              </w:rPr>
            </w:pPr>
            <w:r w:rsidRPr="00C47DB6">
              <w:rPr>
                <w:rFonts w:eastAsia="Calibri"/>
                <w:sz w:val="20"/>
                <w:szCs w:val="20"/>
                <w:lang w:eastAsia="en-US"/>
              </w:rPr>
              <w:t>Actos contra el entorno natural.</w:t>
            </w:r>
          </w:p>
        </w:tc>
      </w:tr>
      <w:tr w:rsidR="00E05D72" w:rsidRPr="00E05D72" w14:paraId="6B896FBA" w14:textId="77777777" w:rsidTr="00C47DB6">
        <w:trPr>
          <w:trHeight w:val="120"/>
        </w:trPr>
        <w:tc>
          <w:tcPr>
            <w:tcW w:w="567" w:type="dxa"/>
            <w:tcBorders>
              <w:top w:val="nil"/>
            </w:tcBorders>
            <w:shd w:val="clear" w:color="auto" w:fill="auto"/>
          </w:tcPr>
          <w:p w14:paraId="7EA799A6" w14:textId="77777777" w:rsidR="00E05D72" w:rsidRPr="00C47DB6" w:rsidRDefault="00E05D72" w:rsidP="00E05D72">
            <w:pPr>
              <w:autoSpaceDE w:val="0"/>
              <w:autoSpaceDN w:val="0"/>
              <w:adjustRightInd w:val="0"/>
              <w:jc w:val="center"/>
              <w:rPr>
                <w:rFonts w:eastAsia="Calibri"/>
                <w:sz w:val="20"/>
                <w:szCs w:val="20"/>
                <w:lang w:eastAsia="en-US"/>
              </w:rPr>
            </w:pPr>
            <w:r w:rsidRPr="00C47DB6">
              <w:rPr>
                <w:rFonts w:eastAsia="Calibri"/>
                <w:b/>
                <w:bCs/>
                <w:sz w:val="20"/>
                <w:szCs w:val="20"/>
                <w:lang w:eastAsia="en-US"/>
              </w:rPr>
              <w:t>11</w:t>
            </w:r>
          </w:p>
        </w:tc>
        <w:tc>
          <w:tcPr>
            <w:tcW w:w="7972" w:type="dxa"/>
            <w:tcBorders>
              <w:top w:val="nil"/>
            </w:tcBorders>
            <w:shd w:val="clear" w:color="auto" w:fill="auto"/>
          </w:tcPr>
          <w:p w14:paraId="7EBE7488" w14:textId="77777777" w:rsidR="00E05D72" w:rsidRPr="00C47DB6" w:rsidRDefault="00E05D72" w:rsidP="00E05D72">
            <w:pPr>
              <w:autoSpaceDE w:val="0"/>
              <w:autoSpaceDN w:val="0"/>
              <w:adjustRightInd w:val="0"/>
              <w:rPr>
                <w:rFonts w:eastAsia="Calibri"/>
                <w:sz w:val="20"/>
                <w:szCs w:val="20"/>
                <w:lang w:eastAsia="en-US"/>
              </w:rPr>
            </w:pPr>
            <w:r w:rsidRPr="00C47DB6">
              <w:rPr>
                <w:rFonts w:eastAsia="Calibri"/>
                <w:sz w:val="20"/>
                <w:szCs w:val="20"/>
                <w:lang w:eastAsia="en-US"/>
              </w:rPr>
              <w:t>Otros actos delictivos no clasificados en otra parte.</w:t>
            </w:r>
          </w:p>
        </w:tc>
      </w:tr>
    </w:tbl>
    <w:p w14:paraId="1290292F" w14:textId="13C243F1" w:rsidR="00E05D72" w:rsidRPr="00DA361F" w:rsidRDefault="00DA361F" w:rsidP="00E05D72">
      <w:pPr>
        <w:spacing w:after="360" w:line="360" w:lineRule="auto"/>
        <w:ind w:right="-159"/>
        <w:jc w:val="both"/>
        <w:rPr>
          <w:rFonts w:eastAsia="Calibri"/>
          <w:sz w:val="20"/>
          <w:szCs w:val="20"/>
          <w:lang w:eastAsia="en-US"/>
        </w:rPr>
      </w:pPr>
      <w:r>
        <w:rPr>
          <w:rFonts w:eastAsia="Calibri"/>
          <w:sz w:val="20"/>
          <w:szCs w:val="20"/>
          <w:lang w:eastAsia="en-US"/>
        </w:rPr>
        <w:t xml:space="preserve">      </w:t>
      </w:r>
      <w:r w:rsidRPr="00DA361F">
        <w:rPr>
          <w:rFonts w:eastAsia="Calibri"/>
          <w:sz w:val="20"/>
          <w:szCs w:val="20"/>
          <w:lang w:eastAsia="en-US"/>
        </w:rPr>
        <w:t>FUENTE: INEGI.</w:t>
      </w:r>
    </w:p>
    <w:p w14:paraId="3F88B83B" w14:textId="77777777" w:rsidR="00E05D72" w:rsidRPr="00E05D72" w:rsidRDefault="00E05D72" w:rsidP="00E05D72">
      <w:pPr>
        <w:spacing w:after="360" w:line="360" w:lineRule="auto"/>
        <w:ind w:right="-159"/>
        <w:jc w:val="both"/>
        <w:rPr>
          <w:rFonts w:eastAsia="Calibri"/>
          <w:sz w:val="26"/>
          <w:szCs w:val="26"/>
          <w:lang w:eastAsia="en-US"/>
        </w:rPr>
      </w:pPr>
      <w:r w:rsidRPr="00E05D72">
        <w:rPr>
          <w:rFonts w:eastAsia="Calibri"/>
          <w:b/>
          <w:bCs/>
          <w:sz w:val="26"/>
          <w:szCs w:val="26"/>
          <w:lang w:eastAsia="en-US"/>
        </w:rPr>
        <w:t>Contexto</w:t>
      </w:r>
    </w:p>
    <w:p w14:paraId="7B108633" w14:textId="77777777" w:rsidR="00E05D72" w:rsidRPr="00E05D72" w:rsidRDefault="00E05D72" w:rsidP="00E05D72">
      <w:pPr>
        <w:spacing w:after="360" w:line="360" w:lineRule="auto"/>
        <w:ind w:right="-159"/>
        <w:jc w:val="both"/>
        <w:rPr>
          <w:rFonts w:eastAsia="Calibri"/>
          <w:sz w:val="26"/>
          <w:szCs w:val="26"/>
          <w:lang w:eastAsia="en-US"/>
        </w:rPr>
      </w:pPr>
      <w:r w:rsidRPr="00E05D72">
        <w:rPr>
          <w:rFonts w:eastAsia="Calibri"/>
          <w:sz w:val="26"/>
          <w:szCs w:val="26"/>
          <w:lang w:eastAsia="en-US"/>
        </w:rPr>
        <w:t xml:space="preserve">En el marco del 46 Período de Sesiones de la Comisión de Estadística de la Organización de las Naciones Unidas (ONU), celebrado en la ciudad de Nueva York, Estados Unidos de Norteamérica, se aprobó la </w:t>
      </w:r>
      <w:r w:rsidRPr="00E05D72">
        <w:rPr>
          <w:rFonts w:eastAsia="Calibri"/>
          <w:b/>
          <w:bCs/>
          <w:sz w:val="26"/>
          <w:szCs w:val="26"/>
          <w:lang w:eastAsia="en-US"/>
        </w:rPr>
        <w:t xml:space="preserve">Clasificación Internacional de Delitos con Fines Estadísticos </w:t>
      </w:r>
      <w:r w:rsidRPr="00E05D72">
        <w:rPr>
          <w:rFonts w:eastAsia="Calibri"/>
          <w:sz w:val="26"/>
          <w:szCs w:val="26"/>
          <w:lang w:eastAsia="en-US"/>
        </w:rPr>
        <w:t>(ICCS), proyecto presentado en esta Comisión por la Oficina de las Naciones Unidas contra la Droga y el Delito (UNODC) y el INEGI de México.</w:t>
      </w:r>
    </w:p>
    <w:p w14:paraId="43F93967" w14:textId="77777777" w:rsidR="00E05D72" w:rsidRPr="00E05D72" w:rsidRDefault="00E05D72" w:rsidP="00E05D72">
      <w:pPr>
        <w:spacing w:after="360" w:line="360" w:lineRule="auto"/>
        <w:ind w:right="-159"/>
        <w:jc w:val="both"/>
        <w:rPr>
          <w:rFonts w:eastAsia="Calibri"/>
          <w:sz w:val="26"/>
          <w:szCs w:val="26"/>
          <w:lang w:eastAsia="en-US"/>
        </w:rPr>
      </w:pPr>
      <w:r w:rsidRPr="00E05D72">
        <w:rPr>
          <w:rFonts w:eastAsia="Calibri"/>
          <w:sz w:val="26"/>
          <w:szCs w:val="26"/>
          <w:lang w:eastAsia="en-US"/>
        </w:rPr>
        <w:t xml:space="preserve">Este nuevo instrumento es resultado del trabajo conjunto que desde 2012 han venido desarrollando y encabezando la UNODC, el INEGI y el Centro de Excelencia para Información Estadística de Gobierno, Seguridad Pública, Victimización y Justicia (UNODC-INEGI), conforme lo dispuesto por la Comisión de Estadística de Naciones Unidas y la Comisión de Prevención del Delito y Justicia Penal de las Naciones Unidas, las cuales en sus respectivas sesiones de 2013 aprobaron la </w:t>
      </w:r>
      <w:r w:rsidRPr="00E05D72">
        <w:rPr>
          <w:rFonts w:eastAsia="Calibri"/>
          <w:iCs/>
          <w:sz w:val="26"/>
          <w:szCs w:val="26"/>
          <w:lang w:eastAsia="en-US"/>
        </w:rPr>
        <w:t>“Hoja de Ruta para el mejoramiento de la calidad y disponibilidad de estadísticas de delincuencia a nivel nacional e internacional”</w:t>
      </w:r>
      <w:r w:rsidRPr="00E05D72">
        <w:rPr>
          <w:rFonts w:eastAsia="Calibri"/>
          <w:sz w:val="26"/>
          <w:szCs w:val="26"/>
          <w:lang w:eastAsia="en-US"/>
        </w:rPr>
        <w:t xml:space="preserve">. La “Hoja de ruta” contempla entre otros temas: la elaboración </w:t>
      </w:r>
      <w:r w:rsidRPr="00E05D72">
        <w:rPr>
          <w:rFonts w:eastAsia="Calibri"/>
          <w:sz w:val="26"/>
          <w:szCs w:val="26"/>
          <w:lang w:eastAsia="en-US"/>
        </w:rPr>
        <w:lastRenderedPageBreak/>
        <w:t>de la Clasificación Internacional que fue aprobada, el desarrollo de metodologías para la medición de delitos difíciles de medir (corrupción, trata de personas, tráfico ilícito de migrantes, crimen organizado, delito cibernético, y lavado de dinero), el fortalecimiento de las encuestas de victimización, la mejora de la reunión y análisis de datos a escala internacional, y el compendio de buenas prácticas para mejorar los datos administrativos sobre delincuencia, entre otras acciones globales.</w:t>
      </w:r>
    </w:p>
    <w:p w14:paraId="4B1C0D64" w14:textId="4AE86794" w:rsidR="00E05D72" w:rsidRPr="00E05D72" w:rsidRDefault="00E05D72" w:rsidP="00E05D72">
      <w:pPr>
        <w:spacing w:after="360" w:line="360" w:lineRule="auto"/>
        <w:ind w:right="-159"/>
        <w:jc w:val="both"/>
        <w:rPr>
          <w:rFonts w:eastAsia="Calibri"/>
          <w:sz w:val="26"/>
          <w:szCs w:val="26"/>
          <w:lang w:eastAsia="en-US"/>
        </w:rPr>
      </w:pPr>
      <w:r w:rsidRPr="00E05D72">
        <w:rPr>
          <w:rFonts w:eastAsia="Calibri"/>
          <w:sz w:val="26"/>
          <w:szCs w:val="26"/>
          <w:lang w:eastAsia="en-US"/>
        </w:rPr>
        <w:t xml:space="preserve">Durante la presentación de la Clasificación Internacional realizada en el Pleno de la Comisión de Estadística de Naciones Unidas y ante Delegados de todos los países miembros y de diversos organismos internacionales representados en este órgano, se refirió que a partir de 2009 la Comisión Económica para Europa y la UNODC crearon un Grupo de Trabajo responsable de desarrollar una serie de principios generales para la Clasificación Internacional que permitieran generar un marco base sobre la estructura del delito y la justicia penal, no sobre la base de los códigos penales nacionales, sino de acuerdo </w:t>
      </w:r>
      <w:r w:rsidR="003810B3">
        <w:rPr>
          <w:rFonts w:eastAsia="Calibri"/>
          <w:sz w:val="26"/>
          <w:szCs w:val="26"/>
          <w:lang w:eastAsia="en-US"/>
        </w:rPr>
        <w:t>con</w:t>
      </w:r>
      <w:r w:rsidRPr="00E05D72">
        <w:rPr>
          <w:rFonts w:eastAsia="Calibri"/>
          <w:sz w:val="26"/>
          <w:szCs w:val="26"/>
          <w:lang w:eastAsia="en-US"/>
        </w:rPr>
        <w:t xml:space="preserve"> acontecimientos y/o comportamientos que puedan considerarse de forma diferente en los sistemas jurídicos de cada país, pero que podrían ser acordados en un marco internacional con fines estadísticos. Estos principios fueron aprobados por la Conferencia de Estadísticos Europeos en 2012.</w:t>
      </w:r>
    </w:p>
    <w:p w14:paraId="0E3AA187" w14:textId="50DA7048" w:rsidR="00E05D72" w:rsidRPr="00E05D72" w:rsidRDefault="00E05D72" w:rsidP="00E05D72">
      <w:pPr>
        <w:spacing w:after="360" w:line="360" w:lineRule="auto"/>
        <w:ind w:right="-159"/>
        <w:jc w:val="both"/>
        <w:rPr>
          <w:rFonts w:eastAsia="Calibri"/>
          <w:sz w:val="26"/>
          <w:szCs w:val="26"/>
          <w:lang w:eastAsia="en-US"/>
        </w:rPr>
      </w:pPr>
      <w:r w:rsidRPr="00E05D72">
        <w:rPr>
          <w:rFonts w:eastAsia="Calibri"/>
          <w:sz w:val="26"/>
          <w:szCs w:val="26"/>
          <w:lang w:eastAsia="en-US"/>
        </w:rPr>
        <w:t xml:space="preserve">A este esfuerzo se integró México a través del INEGI con la </w:t>
      </w:r>
      <w:r w:rsidRPr="00E05D72">
        <w:rPr>
          <w:rFonts w:eastAsia="Calibri"/>
          <w:b/>
          <w:bCs/>
          <w:sz w:val="26"/>
          <w:szCs w:val="26"/>
          <w:lang w:eastAsia="en-US"/>
        </w:rPr>
        <w:t xml:space="preserve">Norma Técnica para la Clasificación Nacional de Delitos del Fuero Común para Fines Estadísticos </w:t>
      </w:r>
      <w:r w:rsidRPr="00E05D72">
        <w:rPr>
          <w:rFonts w:eastAsia="Calibri"/>
          <w:sz w:val="26"/>
          <w:szCs w:val="26"/>
          <w:lang w:eastAsia="en-US"/>
        </w:rPr>
        <w:t>publicada en 2011, como una mejor práctica internacional. Desde ese año</w:t>
      </w:r>
      <w:r w:rsidR="003810B3">
        <w:rPr>
          <w:rFonts w:eastAsia="Calibri"/>
          <w:sz w:val="26"/>
          <w:szCs w:val="26"/>
          <w:lang w:eastAsia="en-US"/>
        </w:rPr>
        <w:t>,</w:t>
      </w:r>
      <w:r w:rsidRPr="00E05D72">
        <w:rPr>
          <w:rFonts w:eastAsia="Calibri"/>
          <w:sz w:val="26"/>
          <w:szCs w:val="26"/>
          <w:lang w:eastAsia="en-US"/>
        </w:rPr>
        <w:t xml:space="preserve"> INEGI y UNODC trabajaron juntos en la “Hoja de ruta” referida y en la Clasificación Internacional recientemente aprobada.</w:t>
      </w:r>
    </w:p>
    <w:p w14:paraId="7A53769B" w14:textId="77777777" w:rsidR="00E05D72" w:rsidRPr="00E05D72" w:rsidRDefault="00E05D72" w:rsidP="00E05D72">
      <w:pPr>
        <w:spacing w:after="360" w:line="360" w:lineRule="auto"/>
        <w:ind w:right="-159"/>
        <w:jc w:val="both"/>
        <w:rPr>
          <w:rFonts w:eastAsia="Calibri"/>
          <w:sz w:val="26"/>
          <w:szCs w:val="26"/>
          <w:lang w:eastAsia="en-US"/>
        </w:rPr>
      </w:pPr>
      <w:r w:rsidRPr="00E05D72">
        <w:rPr>
          <w:rFonts w:eastAsia="Calibri"/>
          <w:sz w:val="26"/>
          <w:szCs w:val="26"/>
          <w:lang w:eastAsia="en-US"/>
        </w:rPr>
        <w:t xml:space="preserve">La aprobación de la </w:t>
      </w:r>
      <w:r w:rsidRPr="00E05D72">
        <w:rPr>
          <w:rFonts w:eastAsia="Calibri"/>
          <w:b/>
          <w:bCs/>
          <w:sz w:val="26"/>
          <w:szCs w:val="26"/>
          <w:lang w:eastAsia="en-US"/>
        </w:rPr>
        <w:t>Clasificación Internacional de Delitos con Fines Estadísticos</w:t>
      </w:r>
      <w:r w:rsidRPr="00E05D72">
        <w:rPr>
          <w:rFonts w:eastAsia="Calibri"/>
          <w:sz w:val="26"/>
          <w:szCs w:val="26"/>
          <w:lang w:eastAsia="en-US"/>
        </w:rPr>
        <w:t xml:space="preserve">, como una recomendación internacional fue respaldada por más de 100 países. Esta nueva Clasificación Internacional tendrá un efecto positivo en la recolección, la comparabilidad, la coherencia y la pertinencia de las estadísticas sobre delincuencia, </w:t>
      </w:r>
      <w:r w:rsidRPr="00E05D72">
        <w:rPr>
          <w:rFonts w:eastAsia="Calibri"/>
          <w:sz w:val="26"/>
          <w:szCs w:val="26"/>
          <w:lang w:eastAsia="en-US"/>
        </w:rPr>
        <w:lastRenderedPageBreak/>
        <w:t>además de que proporcionará un marco común para la clasificación de datos procedentes de registros administrativos y de encuestas de victimización. En consecuencia, facilitará la medición y comparabilidad de datos sobre delitos entre países, regiones y el mejor conocimiento de estos fenómenos a nivel global.</w:t>
      </w:r>
    </w:p>
    <w:p w14:paraId="6EFA0BD8" w14:textId="77777777" w:rsidR="00E05D72" w:rsidRPr="00E05D72" w:rsidRDefault="00E05D72" w:rsidP="00E05D72">
      <w:pPr>
        <w:spacing w:after="360" w:line="360" w:lineRule="auto"/>
        <w:ind w:right="-159"/>
        <w:jc w:val="both"/>
        <w:rPr>
          <w:rFonts w:eastAsia="Calibri"/>
          <w:sz w:val="26"/>
          <w:szCs w:val="26"/>
          <w:lang w:eastAsia="en-US"/>
        </w:rPr>
      </w:pPr>
      <w:r w:rsidRPr="00E05D72">
        <w:rPr>
          <w:rFonts w:eastAsia="Calibri"/>
          <w:sz w:val="26"/>
          <w:szCs w:val="26"/>
          <w:lang w:eastAsia="en-US"/>
        </w:rPr>
        <w:t>La aplicación de esta nueva clasificación soporta la capacidad de producir, difundir y analizar con precisión los datos sobre delincuencia que servirán para orientar las políticas y los programas públicos en materia de prevención del delito, combate a la delincuencia, estado de derecho y reforma de justicia penal, sin que ello implique cambios o esfuerzos de armonización de los marcos legales existentes. Siendo ésta, la idea revolucionaria que permitió la construcción de la ICCS.</w:t>
      </w:r>
    </w:p>
    <w:p w14:paraId="09A56145" w14:textId="77777777" w:rsidR="00E05D72" w:rsidRPr="00E05D72" w:rsidRDefault="00E05D72" w:rsidP="00E05D72">
      <w:pPr>
        <w:spacing w:after="360" w:line="360" w:lineRule="auto"/>
        <w:ind w:right="-159"/>
        <w:jc w:val="both"/>
        <w:rPr>
          <w:rFonts w:eastAsia="Calibri"/>
          <w:sz w:val="26"/>
          <w:szCs w:val="26"/>
          <w:lang w:eastAsia="en-US"/>
        </w:rPr>
      </w:pPr>
      <w:r w:rsidRPr="00E05D72">
        <w:rPr>
          <w:rFonts w:eastAsia="Calibri"/>
          <w:sz w:val="26"/>
          <w:szCs w:val="26"/>
          <w:lang w:eastAsia="en-US"/>
        </w:rPr>
        <w:t xml:space="preserve">Desde 1950 se realizaron debates sobre la elaboración de una Clasificación Internacional de los delitos, pero los trabajos quedaron inconclusos. Sin embargo, y derivado de la aprobación de la </w:t>
      </w:r>
      <w:r w:rsidRPr="00E05D72">
        <w:rPr>
          <w:rFonts w:eastAsia="Calibri"/>
          <w:iCs/>
          <w:sz w:val="26"/>
          <w:szCs w:val="26"/>
          <w:lang w:eastAsia="en-US"/>
        </w:rPr>
        <w:t>“Hoja de Ruta para el mejoramiento de la calidad y disponibilidad de estadísticas de delincuencia a nivel nacional e internacional”</w:t>
      </w:r>
      <w:r w:rsidRPr="00E05D72">
        <w:rPr>
          <w:rFonts w:eastAsia="Calibri"/>
          <w:sz w:val="26"/>
          <w:szCs w:val="26"/>
          <w:lang w:eastAsia="en-US"/>
        </w:rPr>
        <w:t>, UNODC e INEGI con el apoyo del Centro de Excelencia, encabezaron un amplio proceso de consulta en el que participaron expertos de oficinas nacionales de estadística y de instituciones de justicia penal, de organizaciones regionales e internacionales y del sector académico.</w:t>
      </w:r>
    </w:p>
    <w:p w14:paraId="28915B06" w14:textId="77777777" w:rsidR="00E05D72" w:rsidRPr="00E05D72" w:rsidRDefault="00E05D72" w:rsidP="00E05D72">
      <w:pPr>
        <w:spacing w:after="360" w:line="360" w:lineRule="auto"/>
        <w:ind w:right="-159"/>
        <w:jc w:val="both"/>
        <w:rPr>
          <w:rFonts w:eastAsia="Calibri"/>
          <w:sz w:val="26"/>
          <w:szCs w:val="26"/>
          <w:lang w:eastAsia="en-US"/>
        </w:rPr>
      </w:pPr>
      <w:r w:rsidRPr="00E05D72">
        <w:rPr>
          <w:rFonts w:eastAsia="Calibri"/>
          <w:sz w:val="26"/>
          <w:szCs w:val="26"/>
          <w:lang w:eastAsia="en-US"/>
        </w:rPr>
        <w:t xml:space="preserve">Así también se llevaron a cabo diversas reuniones de consulta entre 2012 y 2014 y durante el mismo período se realizaron importantes ensayos y pruebas a gran escala a través de las oficinas nacionales de estadística y de justicia penal de más de 44 países. Tras la reunión de consulta celebrada en agosto de 2014, el proyecto de Clasificación Internacional fue enviado a los Estados Miembros de la ONU (instituciones nacionales de justicia penal), así como a oficinas nacionales de estadística, para su revisión y comentarios finales. Se efectuaron consultas con todos los miembros del Comité de Coordinación para Actividades Estadísticas de Naciones Unidas y, posteriormente, el </w:t>
      </w:r>
      <w:r w:rsidRPr="00E05D72">
        <w:rPr>
          <w:rFonts w:eastAsia="Calibri"/>
          <w:sz w:val="26"/>
          <w:szCs w:val="26"/>
          <w:lang w:eastAsia="en-US"/>
        </w:rPr>
        <w:lastRenderedPageBreak/>
        <w:t>Grupo de Expertos en Clasificaciones Estadísticas Internacionales aprobó la Clasificación Internacional.</w:t>
      </w:r>
    </w:p>
    <w:p w14:paraId="6B5DCF8A" w14:textId="77777777" w:rsidR="00E05D72" w:rsidRPr="00E05D72" w:rsidRDefault="00E05D72" w:rsidP="00E05D72">
      <w:pPr>
        <w:spacing w:after="360" w:line="360" w:lineRule="auto"/>
        <w:ind w:right="-159"/>
        <w:jc w:val="both"/>
        <w:rPr>
          <w:rFonts w:eastAsia="Calibri"/>
          <w:sz w:val="26"/>
          <w:szCs w:val="26"/>
          <w:lang w:eastAsia="en-US"/>
        </w:rPr>
      </w:pPr>
      <w:r w:rsidRPr="00E05D72">
        <w:rPr>
          <w:rFonts w:eastAsia="Calibri"/>
          <w:sz w:val="26"/>
          <w:szCs w:val="26"/>
          <w:lang w:eastAsia="en-US"/>
        </w:rPr>
        <w:t xml:space="preserve">En este marco, la </w:t>
      </w:r>
      <w:r w:rsidRPr="00E05D72">
        <w:rPr>
          <w:rFonts w:eastAsia="Calibri"/>
          <w:b/>
          <w:bCs/>
          <w:sz w:val="26"/>
          <w:szCs w:val="26"/>
          <w:lang w:eastAsia="en-US"/>
        </w:rPr>
        <w:t xml:space="preserve">Clasificación Internacional de Delitos con Fines Estadísticos </w:t>
      </w:r>
      <w:r w:rsidRPr="00E05D72">
        <w:rPr>
          <w:rFonts w:eastAsia="Calibri"/>
          <w:sz w:val="26"/>
          <w:szCs w:val="26"/>
          <w:lang w:eastAsia="en-US"/>
        </w:rPr>
        <w:t>aprobada, es resultado de amplias consultas y ensayos que confirmaron la validez del enfoque, y su viabilidad para aplicarla de manera gradual para clasificar las estadísticas sobre delincuencia y justicia penal elaboradas a nivel nacional e internacional, lo cual constituye un paso histórico para el mejoramiento de las estadísticas de delincuencia a nivel global.</w:t>
      </w:r>
    </w:p>
    <w:p w14:paraId="2CF63FFD" w14:textId="77777777" w:rsidR="00E05D72" w:rsidRPr="00E05D72" w:rsidRDefault="00E05D72" w:rsidP="00276F3E">
      <w:pPr>
        <w:numPr>
          <w:ilvl w:val="0"/>
          <w:numId w:val="100"/>
        </w:numPr>
        <w:spacing w:after="360" w:line="360" w:lineRule="auto"/>
        <w:ind w:left="357" w:right="-159" w:hanging="357"/>
        <w:jc w:val="both"/>
        <w:rPr>
          <w:rFonts w:eastAsia="Calibri"/>
          <w:sz w:val="26"/>
          <w:szCs w:val="26"/>
          <w:lang w:eastAsia="en-US"/>
        </w:rPr>
      </w:pPr>
      <w:r w:rsidRPr="00E05D72">
        <w:rPr>
          <w:rFonts w:eastAsia="Calibri"/>
          <w:b/>
          <w:bCs/>
          <w:sz w:val="26"/>
          <w:szCs w:val="26"/>
          <w:lang w:eastAsia="en-US"/>
        </w:rPr>
        <w:t>¿Por qué una Clasificación Internacional de Delitos con fines estadísticos?</w:t>
      </w:r>
    </w:p>
    <w:p w14:paraId="7E01A240" w14:textId="77777777" w:rsidR="00E05D72" w:rsidRPr="00E05D72" w:rsidRDefault="00E05D72" w:rsidP="00E05D72">
      <w:pPr>
        <w:spacing w:after="360" w:line="360" w:lineRule="auto"/>
        <w:ind w:right="-159"/>
        <w:jc w:val="both"/>
        <w:rPr>
          <w:rFonts w:eastAsia="Calibri"/>
          <w:sz w:val="26"/>
          <w:szCs w:val="26"/>
          <w:lang w:eastAsia="en-US"/>
        </w:rPr>
      </w:pPr>
      <w:r w:rsidRPr="00E05D72">
        <w:rPr>
          <w:rFonts w:eastAsia="Calibri"/>
          <w:sz w:val="26"/>
          <w:szCs w:val="26"/>
          <w:lang w:eastAsia="en-US"/>
        </w:rPr>
        <w:t>Las estadísticas sobre delitos y el sistema de justicia penal son fundamentales para medir los cambios en los niveles delictivos, el seguimiento a la respuesta del Estado a la delincuencia, la evaluación de las políticas públicas y la comprensión de las diversas facetas de la delincuencia en diferentes contextos. Frecuentemente, algunos datos de las diferentes etapas del proceso de justicia penal están disponibles, pero se requiere su recopilación y organización estadística para generar información valiosa para su uso en la toma de decisiones. La comparación de las estadísticas de la delincuencia a través del tiempo, entre países o con otros datos disponibles ha sido históricamente difícil debido a la falta de definiciones estandarizadas y a la ausencia de un marco estadístico acordado internacionalmente para hacer posible este tipo de comparaciones.</w:t>
      </w:r>
    </w:p>
    <w:p w14:paraId="1FBA6D2F" w14:textId="77777777" w:rsidR="00E05D72" w:rsidRPr="00E05D72" w:rsidRDefault="00E05D72" w:rsidP="00E05D72">
      <w:pPr>
        <w:spacing w:after="360" w:line="360" w:lineRule="auto"/>
        <w:ind w:right="-159"/>
        <w:jc w:val="both"/>
        <w:rPr>
          <w:rFonts w:eastAsia="Calibri"/>
          <w:sz w:val="26"/>
          <w:szCs w:val="26"/>
          <w:lang w:eastAsia="en-US"/>
        </w:rPr>
      </w:pPr>
      <w:r w:rsidRPr="00E05D72">
        <w:rPr>
          <w:rFonts w:eastAsia="Calibri"/>
          <w:sz w:val="26"/>
          <w:szCs w:val="26"/>
          <w:lang w:eastAsia="en-US"/>
        </w:rPr>
        <w:t xml:space="preserve">Diversas fuentes de datos dentro de un país o dentro de una misma jurisdicción utilizan diferentes definiciones y conceptos para organizar su información siguiendo una lógica jurídica, lo cual dificulta su organización estadística. La estrecha relación entre los marcos legales y las estadísticas crea dificultades desde una perspectiva analítica, ya que los datos estadísticos a menudo se organizan y se clasifican de acuerdo con las disposiciones legales, que no siempre son relevantes desde el punto de vista analítico. Por otra parte, la comparabilidad en el tiempo y entre las diferentes jurisdicciones puede </w:t>
      </w:r>
      <w:r w:rsidRPr="00E05D72">
        <w:rPr>
          <w:rFonts w:eastAsia="Calibri"/>
          <w:sz w:val="26"/>
          <w:szCs w:val="26"/>
          <w:lang w:eastAsia="en-US"/>
        </w:rPr>
        <w:lastRenderedPageBreak/>
        <w:t>verse obstaculizada por cambios en la legislación, por el hecho de que el mismo acto puede ser tipificado como delito en una disposición jurídica en diferentes países, o bien porque puede ser considerado un delito en un país pero no en otro.</w:t>
      </w:r>
    </w:p>
    <w:p w14:paraId="4DFB6855" w14:textId="77777777" w:rsidR="00E05D72" w:rsidRPr="00E05D72" w:rsidRDefault="00E05D72" w:rsidP="00E05D72">
      <w:pPr>
        <w:spacing w:after="360" w:line="360" w:lineRule="auto"/>
        <w:ind w:right="-159"/>
        <w:jc w:val="both"/>
        <w:rPr>
          <w:rFonts w:eastAsia="Calibri"/>
          <w:sz w:val="26"/>
          <w:szCs w:val="26"/>
          <w:lang w:eastAsia="en-US"/>
        </w:rPr>
      </w:pPr>
      <w:r w:rsidRPr="00E05D72">
        <w:rPr>
          <w:rFonts w:eastAsia="Calibri"/>
          <w:sz w:val="26"/>
          <w:szCs w:val="26"/>
          <w:lang w:eastAsia="en-US"/>
        </w:rPr>
        <w:t xml:space="preserve">La </w:t>
      </w:r>
      <w:r w:rsidRPr="00E05D72">
        <w:rPr>
          <w:rFonts w:eastAsia="Calibri"/>
          <w:b/>
          <w:bCs/>
          <w:sz w:val="26"/>
          <w:szCs w:val="26"/>
          <w:lang w:eastAsia="en-US"/>
        </w:rPr>
        <w:t xml:space="preserve">Clasificación Internacional de Delitos con fines estadísticos </w:t>
      </w:r>
      <w:r w:rsidRPr="00E05D72">
        <w:rPr>
          <w:rFonts w:eastAsia="Calibri"/>
          <w:sz w:val="26"/>
          <w:szCs w:val="26"/>
          <w:lang w:eastAsia="en-US"/>
        </w:rPr>
        <w:t>se ocupa de estas cuestiones, proporcionando un estándar metodológico y estadístico y un marco de definición común para mejorar la calidad y la comparabilidad de los datos. Los delitos se agrupan de una manera significativa y sistemática, lo cual facilita la capacidad de compilar, producir, difundir y analizar datos sobre delitos y justicia de manera precisa.</w:t>
      </w:r>
    </w:p>
    <w:p w14:paraId="40DE70ED" w14:textId="77777777" w:rsidR="00E05D72" w:rsidRPr="00E05D72" w:rsidRDefault="00E05D72" w:rsidP="00E05D72">
      <w:pPr>
        <w:spacing w:after="360" w:line="360" w:lineRule="auto"/>
        <w:ind w:right="-159"/>
        <w:jc w:val="both"/>
        <w:rPr>
          <w:rFonts w:eastAsia="Calibri"/>
          <w:sz w:val="26"/>
          <w:szCs w:val="26"/>
          <w:lang w:eastAsia="en-US"/>
        </w:rPr>
      </w:pPr>
      <w:r w:rsidRPr="00E05D72">
        <w:rPr>
          <w:rFonts w:eastAsia="Calibri"/>
          <w:sz w:val="26"/>
          <w:szCs w:val="26"/>
          <w:lang w:eastAsia="en-US"/>
        </w:rPr>
        <w:t xml:space="preserve">La </w:t>
      </w:r>
      <w:r w:rsidRPr="00E05D72">
        <w:rPr>
          <w:rFonts w:eastAsia="Calibri"/>
          <w:bCs/>
          <w:sz w:val="26"/>
          <w:szCs w:val="26"/>
          <w:lang w:eastAsia="en-US"/>
        </w:rPr>
        <w:t xml:space="preserve">ICCS </w:t>
      </w:r>
      <w:r w:rsidRPr="00E05D72">
        <w:rPr>
          <w:rFonts w:eastAsia="Calibri"/>
          <w:sz w:val="26"/>
          <w:szCs w:val="26"/>
          <w:lang w:eastAsia="en-US"/>
        </w:rPr>
        <w:t>dispone de una estructura jerárquica significativa donde los datos sobre todas las formas de delito puedan estar incluidos en categorías que poseen similitud en materia conceptual, analítica y normativa.</w:t>
      </w:r>
    </w:p>
    <w:p w14:paraId="309F0B17" w14:textId="77777777" w:rsidR="00E05D72" w:rsidRPr="00E05D72" w:rsidRDefault="00E05D72" w:rsidP="00E05D72">
      <w:pPr>
        <w:spacing w:after="360" w:line="360" w:lineRule="auto"/>
        <w:ind w:right="-159"/>
        <w:jc w:val="both"/>
        <w:rPr>
          <w:rFonts w:eastAsia="Calibri"/>
          <w:sz w:val="26"/>
          <w:szCs w:val="26"/>
          <w:lang w:eastAsia="en-US"/>
        </w:rPr>
      </w:pPr>
      <w:r w:rsidRPr="00E05D72">
        <w:rPr>
          <w:rFonts w:eastAsia="Calibri"/>
          <w:sz w:val="26"/>
          <w:szCs w:val="26"/>
          <w:lang w:eastAsia="en-US"/>
        </w:rPr>
        <w:t xml:space="preserve">A nivel nacional la estructura ofrece una clasificación que permite organizar los datos relativos al registro de delitos con fines estadísticos respetando las definiciones adoptadas en los códigos penales de los países que por lo general resultan difíciles de utilizar para fines analíticos. Para el caso de México, la </w:t>
      </w:r>
      <w:r w:rsidRPr="00E05D72">
        <w:rPr>
          <w:rFonts w:eastAsia="Calibri"/>
          <w:b/>
          <w:bCs/>
          <w:sz w:val="26"/>
          <w:szCs w:val="26"/>
          <w:lang w:eastAsia="en-US"/>
        </w:rPr>
        <w:t xml:space="preserve">Norma Técnica para la Clasificación Nacional de Delitos del Fuero Común para Fines Estadísticos </w:t>
      </w:r>
      <w:r w:rsidRPr="00E05D72">
        <w:rPr>
          <w:rFonts w:eastAsia="Calibri"/>
          <w:sz w:val="26"/>
          <w:szCs w:val="26"/>
          <w:lang w:eastAsia="en-US"/>
        </w:rPr>
        <w:t>deberá ajustarse en lo mínimo, pues la Norma Mexicana publicada por INEGI en 2011 fue un insumo importante para crear la Clasificación Internacional.</w:t>
      </w:r>
    </w:p>
    <w:p w14:paraId="607946C6" w14:textId="77777777" w:rsidR="00E05D72" w:rsidRPr="00E05D72" w:rsidRDefault="00E05D72" w:rsidP="00E05D72">
      <w:pPr>
        <w:spacing w:after="360" w:line="360" w:lineRule="auto"/>
        <w:ind w:right="-159"/>
        <w:jc w:val="both"/>
        <w:rPr>
          <w:rFonts w:eastAsia="Calibri"/>
          <w:sz w:val="26"/>
          <w:szCs w:val="26"/>
          <w:lang w:eastAsia="en-US"/>
        </w:rPr>
      </w:pPr>
      <w:r w:rsidRPr="00E05D72">
        <w:rPr>
          <w:rFonts w:eastAsia="Calibri"/>
          <w:sz w:val="26"/>
          <w:szCs w:val="26"/>
          <w:lang w:eastAsia="en-US"/>
        </w:rPr>
        <w:t>A nivel internacional, la adopción de una clasificación estadística de delitos es necesaria para aumentar la comparabilidad de datos sobre delincuencia en todos los países, lo que reviste suma importancia para mejorar el análisis de las tendencias a nivel mundial y regional. Aun cuando persisten otros problemas que dificultan alcanzar un alto nivel de comparabilidad de los datos (prácticas de registro diferentes, reglas de cuantificación dispares, diferente capacidad técnica y de organización, entre otros), el uso de conceptos, nomenclaturas y criterios de agregación armonizados constituyen un paso fundamental para mejorar la comparabilidad estadística.</w:t>
      </w:r>
    </w:p>
    <w:p w14:paraId="279CF678" w14:textId="77777777" w:rsidR="00E05D72" w:rsidRPr="00E05D72" w:rsidRDefault="00E05D72" w:rsidP="00E05D72">
      <w:pPr>
        <w:spacing w:after="360" w:line="360" w:lineRule="auto"/>
        <w:ind w:right="-159"/>
        <w:jc w:val="both"/>
        <w:rPr>
          <w:rFonts w:eastAsia="Calibri"/>
          <w:sz w:val="26"/>
          <w:szCs w:val="26"/>
          <w:lang w:eastAsia="en-US"/>
        </w:rPr>
      </w:pPr>
      <w:r w:rsidRPr="00E05D72">
        <w:rPr>
          <w:rFonts w:eastAsia="Calibri"/>
          <w:sz w:val="26"/>
          <w:szCs w:val="26"/>
          <w:lang w:eastAsia="en-US"/>
        </w:rPr>
        <w:lastRenderedPageBreak/>
        <w:t xml:space="preserve">La </w:t>
      </w:r>
      <w:r w:rsidRPr="00E05D72">
        <w:rPr>
          <w:rFonts w:eastAsia="Calibri"/>
          <w:bCs/>
          <w:sz w:val="26"/>
          <w:szCs w:val="26"/>
          <w:lang w:eastAsia="en-US"/>
        </w:rPr>
        <w:t>Clasificación Internacional de Delitos con Fines Estadísticos (ICCS)</w:t>
      </w:r>
      <w:r w:rsidRPr="00E05D72">
        <w:rPr>
          <w:rFonts w:eastAsia="Calibri"/>
          <w:b/>
          <w:bCs/>
          <w:sz w:val="26"/>
          <w:szCs w:val="26"/>
          <w:lang w:eastAsia="en-US"/>
        </w:rPr>
        <w:t xml:space="preserve"> </w:t>
      </w:r>
      <w:r w:rsidRPr="00E05D72">
        <w:rPr>
          <w:rFonts w:eastAsia="Calibri"/>
          <w:sz w:val="26"/>
          <w:szCs w:val="26"/>
          <w:lang w:eastAsia="en-US"/>
        </w:rPr>
        <w:t xml:space="preserve">es la herramienta metodológica que permite agrupar delitos de manera significativa y sistemática facilitando su registro, cuantificación y posterior análisis. Esta herramienta ha sido desarrollada para hacer frente al desafío que impone el registro, conteo y comparabilidad de los delitos entre las diferentes instituciones del sistema de justicia penal (policía, fiscalía, tribunales, prisiones) y entre diferentes fuentes de datos (expedientes administrativos y estudios estadísticos), no sólo a nivel nacional, sino a nivel global. Una clasificación para los datos sobre los delitos y la justicia penal contribuye a mejorar la comprensión del fenómeno delictivo a nivel nacional, regional e internacional y, por ende, a mejorar las políticas públicas. </w:t>
      </w:r>
    </w:p>
    <w:p w14:paraId="4BA81995" w14:textId="77777777" w:rsidR="00E05D72" w:rsidRPr="00E05D72" w:rsidRDefault="00E05D72" w:rsidP="00276F3E">
      <w:pPr>
        <w:numPr>
          <w:ilvl w:val="0"/>
          <w:numId w:val="100"/>
        </w:numPr>
        <w:spacing w:after="360" w:line="360" w:lineRule="auto"/>
        <w:ind w:left="357" w:right="-159" w:hanging="357"/>
        <w:jc w:val="both"/>
        <w:rPr>
          <w:rFonts w:eastAsia="Calibri"/>
          <w:sz w:val="26"/>
          <w:szCs w:val="26"/>
          <w:lang w:eastAsia="en-US"/>
        </w:rPr>
      </w:pPr>
      <w:r w:rsidRPr="00E05D72">
        <w:rPr>
          <w:rFonts w:eastAsia="Calibri"/>
          <w:b/>
          <w:bCs/>
          <w:sz w:val="26"/>
          <w:szCs w:val="26"/>
          <w:lang w:eastAsia="en-US"/>
        </w:rPr>
        <w:t>Construcción de la Clasificación Internacional de Delitos con fines estadísticos</w:t>
      </w:r>
    </w:p>
    <w:p w14:paraId="0AEA479E" w14:textId="3549E498" w:rsidR="00E05D72" w:rsidRPr="00E05D72" w:rsidRDefault="00E05D72" w:rsidP="00E05D72">
      <w:pPr>
        <w:spacing w:after="360" w:line="360" w:lineRule="auto"/>
        <w:ind w:right="-159"/>
        <w:jc w:val="both"/>
        <w:rPr>
          <w:rFonts w:eastAsia="Calibri"/>
          <w:sz w:val="26"/>
          <w:szCs w:val="26"/>
          <w:lang w:eastAsia="en-US"/>
        </w:rPr>
      </w:pPr>
      <w:r w:rsidRPr="00E05D72">
        <w:rPr>
          <w:rFonts w:eastAsia="Calibri"/>
          <w:sz w:val="26"/>
          <w:szCs w:val="26"/>
          <w:lang w:eastAsia="en-US"/>
        </w:rPr>
        <w:t>En 1951</w:t>
      </w:r>
      <w:r w:rsidR="003810B3">
        <w:rPr>
          <w:rFonts w:eastAsia="Calibri"/>
          <w:sz w:val="26"/>
          <w:szCs w:val="26"/>
          <w:lang w:eastAsia="en-US"/>
        </w:rPr>
        <w:t>,</w:t>
      </w:r>
      <w:r w:rsidRPr="00E05D72">
        <w:rPr>
          <w:rFonts w:eastAsia="Calibri"/>
          <w:sz w:val="26"/>
          <w:szCs w:val="26"/>
          <w:lang w:eastAsia="en-US"/>
        </w:rPr>
        <w:t xml:space="preserve"> la Comisión Social de las Naciones Unidas señaló por primera vez la importancia de desarrollar una clasificación uniforme de delitos. Sin embargo, los esfuerzos sucesivos para desarrollarla mostraron ser un desafío debido a las disparidades en las definiciones, las legislaciones nacionales y los diferentes sistemas de información.</w:t>
      </w:r>
    </w:p>
    <w:p w14:paraId="58CA2DBF" w14:textId="77777777" w:rsidR="00E05D72" w:rsidRPr="00E05D72" w:rsidRDefault="00E05D72" w:rsidP="00E05D72">
      <w:pPr>
        <w:spacing w:after="360" w:line="360" w:lineRule="auto"/>
        <w:ind w:right="-159"/>
        <w:jc w:val="both"/>
        <w:rPr>
          <w:rFonts w:eastAsia="Calibri"/>
          <w:sz w:val="26"/>
          <w:szCs w:val="26"/>
          <w:lang w:eastAsia="en-US"/>
        </w:rPr>
      </w:pPr>
      <w:r w:rsidRPr="00E05D72">
        <w:rPr>
          <w:rFonts w:eastAsia="Calibri"/>
          <w:sz w:val="26"/>
          <w:szCs w:val="26"/>
          <w:lang w:eastAsia="en-US"/>
        </w:rPr>
        <w:t xml:space="preserve">En 2009, la Conferencia de Estadísticos Europeos estableció un grupo de trabajo, dirigido por la Oficina de Naciones Unidas contra la Droga y el Delito (UNODC por sus siglas en idioma inglés) y la Comisión Económica de las Naciones Unidas para Europa (UNECE) para desarrollar el marco general de una clasificación de delitos basado en descripciones de los comportamientos delictivos en lugar de utilizar las definiciones contenidas en los códigos penales. Dicho marco fue aprobado por la Conferencia de Estadísticos Europeos en junio 2012. En este marco fue incluida la </w:t>
      </w:r>
      <w:r w:rsidRPr="00DA361F">
        <w:rPr>
          <w:rFonts w:eastAsia="Calibri"/>
          <w:bCs/>
          <w:sz w:val="26"/>
          <w:szCs w:val="26"/>
          <w:lang w:eastAsia="en-US"/>
        </w:rPr>
        <w:t xml:space="preserve">Norma Técnica para la Clasificación Nacional de Delitos del Fuero Común para Fines Estadísticos </w:t>
      </w:r>
      <w:r w:rsidRPr="00DA361F">
        <w:rPr>
          <w:rFonts w:eastAsia="Calibri"/>
          <w:sz w:val="26"/>
          <w:szCs w:val="26"/>
          <w:lang w:eastAsia="en-US"/>
        </w:rPr>
        <w:t>de INEGI México, publicada en 2011 como una mejor práctica</w:t>
      </w:r>
      <w:r w:rsidRPr="00E05D72">
        <w:rPr>
          <w:rFonts w:eastAsia="Calibri"/>
          <w:sz w:val="26"/>
          <w:szCs w:val="26"/>
          <w:lang w:eastAsia="en-US"/>
        </w:rPr>
        <w:t xml:space="preserve"> internacional.</w:t>
      </w:r>
    </w:p>
    <w:p w14:paraId="5F49DED0" w14:textId="77777777" w:rsidR="00E05D72" w:rsidRPr="00E05D72" w:rsidRDefault="00E05D72" w:rsidP="00E05D72">
      <w:pPr>
        <w:spacing w:after="360" w:line="360" w:lineRule="auto"/>
        <w:ind w:right="-159"/>
        <w:jc w:val="both"/>
        <w:rPr>
          <w:rFonts w:eastAsia="Calibri"/>
          <w:sz w:val="26"/>
          <w:szCs w:val="26"/>
          <w:lang w:eastAsia="en-US"/>
        </w:rPr>
      </w:pPr>
      <w:r w:rsidRPr="00E05D72">
        <w:rPr>
          <w:rFonts w:eastAsia="Calibri"/>
          <w:sz w:val="26"/>
          <w:szCs w:val="26"/>
          <w:lang w:eastAsia="en-US"/>
        </w:rPr>
        <w:lastRenderedPageBreak/>
        <w:t xml:space="preserve">La propuesta de elaborar una clasificación internacional de delitos fue discutida en la sesión 43ª de la Comisión de Estadística de las Naciones Unidas (UNSC) y la sesión 21 de la Comisión para la Prevención del Delito y Justicia Penal (CCPCJ), donde INEGI presentó el “Informe sobre estadísticas de delincuencia”, tema que por primera vez en la historia de la Comisión Estadística de ONU era tratado en sus sesiones plenarias. En su siguiente sesión, ambas Comisiones aprobaron el plan para desarrollar una </w:t>
      </w:r>
      <w:r w:rsidRPr="00E05D72">
        <w:rPr>
          <w:rFonts w:eastAsia="Calibri"/>
          <w:b/>
          <w:bCs/>
          <w:sz w:val="26"/>
          <w:szCs w:val="26"/>
          <w:lang w:eastAsia="en-US"/>
        </w:rPr>
        <w:t xml:space="preserve">Clasificación Internacional de Delitos con fines estadísticos </w:t>
      </w:r>
      <w:r w:rsidRPr="00E05D72">
        <w:rPr>
          <w:rFonts w:eastAsia="Calibri"/>
          <w:sz w:val="26"/>
          <w:szCs w:val="26"/>
          <w:lang w:eastAsia="en-US"/>
        </w:rPr>
        <w:t>propuesta por UNODC y el INEGI.</w:t>
      </w:r>
    </w:p>
    <w:p w14:paraId="2FF5B704" w14:textId="77777777" w:rsidR="00E05D72" w:rsidRDefault="00E05D72" w:rsidP="00E05D72">
      <w:pPr>
        <w:spacing w:after="360" w:line="360" w:lineRule="auto"/>
        <w:ind w:right="-159"/>
        <w:jc w:val="both"/>
        <w:rPr>
          <w:rFonts w:eastAsia="Calibri"/>
          <w:sz w:val="26"/>
          <w:szCs w:val="26"/>
          <w:lang w:eastAsia="en-US"/>
        </w:rPr>
      </w:pPr>
      <w:r w:rsidRPr="00E05D72">
        <w:rPr>
          <w:rFonts w:eastAsia="Calibri"/>
          <w:sz w:val="26"/>
          <w:szCs w:val="26"/>
          <w:lang w:eastAsia="en-US"/>
        </w:rPr>
        <w:t>Este proceso fue encabezado activamente por la UNODC, el INEGI de México, y el Centro de Excelencia para Información Estadística de Gobierno, Seguridad Pública, Victimización y Justicia (UNODC-INEGI), en el que colaboraron Oficinas Nacionales de Estadística, expertos internacionales en estas materias, otras instituciones gubernamentales del sistema de justicia penal, organizaciones regionales e internacionales, la Organización Mundial de la Salud (OMS), el Programa de las Naciones Unidas para el Desarrollo (PNUD), Eurostat, el Banco Interamericano de Desarrollo (BID) y la Organización de Estados Americanos (OEA). Asimismo, la Clasificación fue revisada por el Grupo de Expertos en Clasificaciones Estadísticas Internacionales y el Grupo de Coordinación de las Clasificaciones Internacionales de la Comisión de Estadística de las Naciones Unidas.</w:t>
      </w:r>
    </w:p>
    <w:p w14:paraId="007AEC0C" w14:textId="77777777" w:rsidR="00E05D72" w:rsidRPr="00E05D72" w:rsidRDefault="00E05D72" w:rsidP="00276F3E">
      <w:pPr>
        <w:numPr>
          <w:ilvl w:val="0"/>
          <w:numId w:val="100"/>
        </w:numPr>
        <w:spacing w:after="360"/>
        <w:ind w:left="357" w:right="-159" w:hanging="357"/>
        <w:jc w:val="both"/>
        <w:rPr>
          <w:rFonts w:eastAsia="Calibri"/>
          <w:sz w:val="26"/>
          <w:szCs w:val="26"/>
          <w:lang w:eastAsia="en-US"/>
        </w:rPr>
      </w:pPr>
      <w:r w:rsidRPr="00E05D72">
        <w:rPr>
          <w:rFonts w:eastAsia="Calibri"/>
          <w:b/>
          <w:bCs/>
          <w:sz w:val="26"/>
          <w:szCs w:val="26"/>
          <w:lang w:eastAsia="en-US"/>
        </w:rPr>
        <w:t>Características Principales de la Clasificación Internacional de Delitos con Fines Estadísticos</w:t>
      </w:r>
    </w:p>
    <w:p w14:paraId="06BE48CD" w14:textId="77777777" w:rsidR="00E05D72" w:rsidRPr="00E05D72" w:rsidRDefault="00E05D72" w:rsidP="00E05D72">
      <w:pPr>
        <w:spacing w:after="360" w:line="360" w:lineRule="auto"/>
        <w:ind w:right="-159"/>
        <w:jc w:val="both"/>
        <w:rPr>
          <w:rFonts w:eastAsia="Calibri"/>
          <w:sz w:val="26"/>
          <w:szCs w:val="26"/>
          <w:lang w:eastAsia="en-US"/>
        </w:rPr>
      </w:pPr>
      <w:r w:rsidRPr="00E05D72">
        <w:rPr>
          <w:rFonts w:eastAsia="Calibri"/>
          <w:sz w:val="26"/>
          <w:szCs w:val="26"/>
          <w:lang w:eastAsia="en-US"/>
        </w:rPr>
        <w:t>Descripción de comportamientos. La gran disparidad existente entre lo que los países consideran actos “delictivos” ha hecho que sea imposible una definición global del delito en abstracto que no tenga relación con las leyes penales que los establecen. El común denominador de lo que constituye un “delito” es que consta de una serie de actos que se definen como tales y que son punibles por la ley.</w:t>
      </w:r>
    </w:p>
    <w:p w14:paraId="4CFB9C0B" w14:textId="77777777" w:rsidR="00E05D72" w:rsidRPr="00E05D72" w:rsidRDefault="00E05D72" w:rsidP="00E05D72">
      <w:pPr>
        <w:spacing w:after="360" w:line="360" w:lineRule="auto"/>
        <w:ind w:right="-159"/>
        <w:jc w:val="both"/>
        <w:rPr>
          <w:rFonts w:eastAsia="Calibri"/>
          <w:sz w:val="26"/>
          <w:szCs w:val="26"/>
          <w:lang w:eastAsia="en-US"/>
        </w:rPr>
      </w:pPr>
      <w:r w:rsidRPr="00E05D72">
        <w:rPr>
          <w:rFonts w:eastAsia="Calibri"/>
          <w:sz w:val="26"/>
          <w:szCs w:val="26"/>
          <w:lang w:eastAsia="en-US"/>
        </w:rPr>
        <w:lastRenderedPageBreak/>
        <w:t>Así, la Clasificación Internacional aprobada se basa en descripciones de comportamientos y no en tipificaciones jurídicas derivadas de las legislaciones penales.</w:t>
      </w:r>
    </w:p>
    <w:p w14:paraId="6B9E207B" w14:textId="41C2CC2C" w:rsidR="00E05D72" w:rsidRPr="00E05D72" w:rsidRDefault="00E05D72" w:rsidP="00E05D72">
      <w:pPr>
        <w:spacing w:after="360" w:line="360" w:lineRule="auto"/>
        <w:ind w:right="-159"/>
        <w:jc w:val="both"/>
        <w:rPr>
          <w:rFonts w:eastAsia="Calibri"/>
          <w:sz w:val="26"/>
          <w:szCs w:val="26"/>
          <w:lang w:eastAsia="en-US"/>
        </w:rPr>
      </w:pPr>
      <w:r w:rsidRPr="00E05D72">
        <w:rPr>
          <w:rFonts w:eastAsia="Calibri"/>
          <w:sz w:val="26"/>
          <w:szCs w:val="26"/>
          <w:lang w:eastAsia="en-US"/>
        </w:rPr>
        <w:t xml:space="preserve">En la </w:t>
      </w:r>
      <w:r w:rsidRPr="00E05D72">
        <w:rPr>
          <w:rFonts w:eastAsia="Calibri"/>
          <w:bCs/>
          <w:sz w:val="26"/>
          <w:szCs w:val="26"/>
          <w:lang w:eastAsia="en-US"/>
        </w:rPr>
        <w:t>Clasificación Internacional de Delitos con Fines Estadísticos</w:t>
      </w:r>
      <w:r w:rsidRPr="00E05D72">
        <w:rPr>
          <w:rFonts w:eastAsia="Calibri"/>
          <w:b/>
          <w:bCs/>
          <w:sz w:val="26"/>
          <w:szCs w:val="26"/>
          <w:lang w:eastAsia="en-US"/>
        </w:rPr>
        <w:t xml:space="preserve"> </w:t>
      </w:r>
      <w:r w:rsidRPr="00E05D72">
        <w:rPr>
          <w:rFonts w:eastAsia="Calibri"/>
          <w:sz w:val="26"/>
          <w:szCs w:val="26"/>
          <w:lang w:eastAsia="en-US"/>
        </w:rPr>
        <w:t xml:space="preserve">se considera como un delito al comportamiento que contraviene o viola los límites del comportamiento humano de acuerdo </w:t>
      </w:r>
      <w:r w:rsidR="003810B3">
        <w:rPr>
          <w:rFonts w:eastAsia="Calibri"/>
          <w:sz w:val="26"/>
          <w:szCs w:val="26"/>
          <w:lang w:eastAsia="en-US"/>
        </w:rPr>
        <w:t>con</w:t>
      </w:r>
      <w:r w:rsidRPr="00E05D72">
        <w:rPr>
          <w:rFonts w:eastAsia="Calibri"/>
          <w:sz w:val="26"/>
          <w:szCs w:val="26"/>
          <w:lang w:eastAsia="en-US"/>
        </w:rPr>
        <w:t xml:space="preserve"> lo establecido en cada legislación nacional. Los elementos comunes a cualquier delito son el victimario que es el responsable de la conducta delictiva y la víctima (persona, empresa o institución) que es quien la padece.</w:t>
      </w:r>
    </w:p>
    <w:p w14:paraId="2C5105F9" w14:textId="77777777" w:rsidR="00E05D72" w:rsidRPr="00E05D72" w:rsidRDefault="00E05D72" w:rsidP="00E05D72">
      <w:pPr>
        <w:spacing w:after="360" w:line="360" w:lineRule="auto"/>
        <w:ind w:right="-159"/>
        <w:jc w:val="both"/>
        <w:rPr>
          <w:rFonts w:eastAsia="Calibri"/>
          <w:sz w:val="26"/>
          <w:szCs w:val="26"/>
          <w:lang w:eastAsia="en-US"/>
        </w:rPr>
      </w:pPr>
      <w:r w:rsidRPr="00E05D72">
        <w:rPr>
          <w:rFonts w:eastAsia="Calibri"/>
          <w:sz w:val="26"/>
          <w:szCs w:val="26"/>
          <w:lang w:eastAsia="en-US"/>
        </w:rPr>
        <w:t>La Clasificación agrupa sistemáticamente todos los comportamientos definidos como delitos en categorías discretas y jerárquicas y comprende el universo de los hechos delictivos que pueden aparecer en la mayoría de las leyes nacionales.</w:t>
      </w:r>
    </w:p>
    <w:p w14:paraId="3B5EDB87" w14:textId="77777777" w:rsidR="00E05D72" w:rsidRPr="00E05D72" w:rsidRDefault="00E05D72" w:rsidP="00E05D72">
      <w:pPr>
        <w:spacing w:after="360" w:line="360" w:lineRule="auto"/>
        <w:ind w:right="-159"/>
        <w:jc w:val="both"/>
        <w:rPr>
          <w:rFonts w:eastAsia="Calibri"/>
          <w:sz w:val="26"/>
          <w:szCs w:val="26"/>
          <w:lang w:eastAsia="en-US"/>
        </w:rPr>
      </w:pPr>
      <w:r w:rsidRPr="00E05D72">
        <w:rPr>
          <w:rFonts w:eastAsia="Calibri"/>
          <w:sz w:val="26"/>
          <w:szCs w:val="26"/>
          <w:lang w:eastAsia="en-US"/>
        </w:rPr>
        <w:t>La Unidad de la Clasificación. La unidad básica de la Clasificación es el comportamiento que constituye un delito. La descripción de un comportamiento que es evidentemente un delito, en la mayoría de casos es suficiente para su definición. Sin embargo, en algunos casos se requiere considerar elementos adicionales, como la intencionalidad (estado de ánimo) del autor o de la condición / estado de la víctima (por ejemplo, menores de edad); en otros casos, un delito es definido por una secuencia de comportamientos, como en el caso de la trata de personas.</w:t>
      </w:r>
    </w:p>
    <w:p w14:paraId="41189B1E" w14:textId="77777777" w:rsidR="00E05D72" w:rsidRPr="00E05D72" w:rsidRDefault="00E05D72" w:rsidP="00E05D72">
      <w:pPr>
        <w:spacing w:after="360" w:line="360" w:lineRule="auto"/>
        <w:ind w:right="-159"/>
        <w:jc w:val="both"/>
        <w:rPr>
          <w:rFonts w:eastAsia="Calibri"/>
          <w:sz w:val="26"/>
          <w:szCs w:val="26"/>
          <w:lang w:eastAsia="en-US"/>
        </w:rPr>
      </w:pPr>
      <w:r w:rsidRPr="00E05D72">
        <w:rPr>
          <w:rFonts w:eastAsia="Calibri"/>
          <w:sz w:val="26"/>
          <w:szCs w:val="26"/>
          <w:lang w:eastAsia="en-US"/>
        </w:rPr>
        <w:t xml:space="preserve">Describir y clasificar el tipo de comportamiento delictivo es el principal objetivo de la Clasificación, la cual busca asignar todos los delitos penales a las categorías de acuerdo a una serie de criterios definidos metodológicamente. La </w:t>
      </w:r>
      <w:r w:rsidRPr="00E05D72">
        <w:rPr>
          <w:rFonts w:eastAsia="Calibri"/>
          <w:bCs/>
          <w:sz w:val="26"/>
          <w:szCs w:val="26"/>
          <w:lang w:eastAsia="en-US"/>
        </w:rPr>
        <w:t xml:space="preserve">ICCS </w:t>
      </w:r>
      <w:r w:rsidRPr="00E05D72">
        <w:rPr>
          <w:rFonts w:eastAsia="Calibri"/>
          <w:sz w:val="26"/>
          <w:szCs w:val="26"/>
          <w:lang w:eastAsia="en-US"/>
        </w:rPr>
        <w:t>también prevé una serie de atributos adicionales del comportamiento delictivo que, aunque no determinan la naturaleza del delito, son muy importantes para analizar datos estadísticos sobre delitos y justicia. Por ejemplo, las características de los victimarios o agresores y las víctimas, el uso de armas, la relación entre la víctima y el agresor, además del género y la edad.</w:t>
      </w:r>
    </w:p>
    <w:p w14:paraId="680395E7" w14:textId="77777777" w:rsidR="00E05D72" w:rsidRPr="00E05D72" w:rsidRDefault="00E05D72" w:rsidP="00E05D72">
      <w:pPr>
        <w:spacing w:after="360" w:line="360" w:lineRule="auto"/>
        <w:ind w:right="-159"/>
        <w:jc w:val="both"/>
        <w:rPr>
          <w:rFonts w:eastAsia="Calibri"/>
          <w:sz w:val="26"/>
          <w:szCs w:val="26"/>
          <w:lang w:eastAsia="en-US"/>
        </w:rPr>
      </w:pPr>
      <w:r w:rsidRPr="00E05D72">
        <w:rPr>
          <w:rFonts w:eastAsia="Calibri"/>
          <w:sz w:val="26"/>
          <w:szCs w:val="26"/>
          <w:lang w:eastAsia="en-US"/>
        </w:rPr>
        <w:lastRenderedPageBreak/>
        <w:t>La Clasificación puede utilizarse en el registro de presuntos comportamientos delictivos y en otras etapas del proceso de justicia penal, como la procuración y la impartición de justicia. Al utilizarse esta herramienta metodológica consistentemente en todas las fuentes de datos relevantes, se podrán medir los flujos y vínculos entre las diferentes etapas del sistema de justicia penal. Por ejemplo, si la Clasificación se aplica en todas las etapas del proceso de justicia penal, se pueden establecer vínculos entre los datos asociados a un delito determinado, el número de detenciones por el mismo tipo de delito y, en consecuencia, en los procesamientos, sentencias y sobre las personas en prisión por el mismo tipo de infracción.</w:t>
      </w:r>
    </w:p>
    <w:p w14:paraId="6C9AAE1C" w14:textId="77777777" w:rsidR="00E05D72" w:rsidRPr="00E05D72" w:rsidRDefault="00E05D72" w:rsidP="00276F3E">
      <w:pPr>
        <w:numPr>
          <w:ilvl w:val="0"/>
          <w:numId w:val="100"/>
        </w:numPr>
        <w:spacing w:after="360" w:line="360" w:lineRule="auto"/>
        <w:ind w:left="357" w:right="-159" w:hanging="357"/>
        <w:jc w:val="both"/>
        <w:rPr>
          <w:rFonts w:eastAsia="Calibri"/>
          <w:sz w:val="26"/>
          <w:szCs w:val="26"/>
          <w:lang w:eastAsia="en-US"/>
        </w:rPr>
      </w:pPr>
      <w:r w:rsidRPr="00E05D72">
        <w:rPr>
          <w:rFonts w:eastAsia="Calibri"/>
          <w:b/>
          <w:bCs/>
          <w:sz w:val="26"/>
          <w:szCs w:val="26"/>
          <w:lang w:eastAsia="en-US"/>
        </w:rPr>
        <w:t>Principios de las clasificaciones estadísticas</w:t>
      </w:r>
    </w:p>
    <w:p w14:paraId="0516574B" w14:textId="77777777" w:rsidR="00E05D72" w:rsidRDefault="00E05D72" w:rsidP="00E05D72">
      <w:pPr>
        <w:spacing w:after="360" w:line="360" w:lineRule="auto"/>
        <w:ind w:right="-159"/>
        <w:jc w:val="both"/>
        <w:rPr>
          <w:rFonts w:eastAsia="Calibri"/>
          <w:sz w:val="26"/>
          <w:szCs w:val="26"/>
          <w:lang w:eastAsia="en-US"/>
        </w:rPr>
      </w:pPr>
      <w:r w:rsidRPr="00E05D72">
        <w:rPr>
          <w:rFonts w:eastAsia="Calibri"/>
          <w:sz w:val="26"/>
          <w:szCs w:val="26"/>
          <w:lang w:eastAsia="en-US"/>
        </w:rPr>
        <w:t>Por definición, una clasificación estadística es un conjunto de categorías discretas, exhaustivas y mutuamente excluyentes que pueden ser asignadas a una o más variables usadas en la recolección y presentación de datos y que describen las características de una población en particular.</w:t>
      </w:r>
      <w:r w:rsidRPr="00E05D72">
        <w:rPr>
          <w:rFonts w:eastAsia="Calibri"/>
          <w:sz w:val="26"/>
          <w:szCs w:val="26"/>
          <w:vertAlign w:val="superscript"/>
          <w:lang w:eastAsia="en-US"/>
        </w:rPr>
        <w:footnoteReference w:id="90"/>
      </w:r>
      <w:r w:rsidRPr="00E05D72">
        <w:rPr>
          <w:rFonts w:eastAsia="Calibri"/>
          <w:sz w:val="26"/>
          <w:szCs w:val="26"/>
          <w:lang w:eastAsia="en-US"/>
        </w:rPr>
        <w:t xml:space="preserve"> En el desarrollo de la </w:t>
      </w:r>
      <w:r w:rsidRPr="00E05D72">
        <w:rPr>
          <w:rFonts w:eastAsia="Calibri"/>
          <w:bCs/>
          <w:sz w:val="26"/>
          <w:szCs w:val="26"/>
          <w:lang w:eastAsia="en-US"/>
        </w:rPr>
        <w:t xml:space="preserve">Clasificación Internacional de Delitos con fines estadísticos </w:t>
      </w:r>
      <w:r w:rsidRPr="00E05D72">
        <w:rPr>
          <w:rFonts w:eastAsia="Calibri"/>
          <w:sz w:val="26"/>
          <w:szCs w:val="26"/>
          <w:lang w:eastAsia="en-US"/>
        </w:rPr>
        <w:t>se ha puesto particular énfasis en seguir los siguientes principios de las clasificaciones estadísticas internacionales:</w:t>
      </w:r>
    </w:p>
    <w:p w14:paraId="06E2241D" w14:textId="77777777" w:rsidR="00C47DB6" w:rsidRDefault="00C47DB6" w:rsidP="00E05D72">
      <w:pPr>
        <w:spacing w:after="360" w:line="360" w:lineRule="auto"/>
        <w:ind w:right="-159"/>
        <w:jc w:val="both"/>
        <w:rPr>
          <w:rFonts w:eastAsia="Calibri"/>
          <w:sz w:val="26"/>
          <w:szCs w:val="26"/>
          <w:lang w:eastAsia="en-US"/>
        </w:rPr>
      </w:pPr>
    </w:p>
    <w:p w14:paraId="2C9031C6" w14:textId="77777777" w:rsidR="00C47DB6" w:rsidRDefault="00C47DB6" w:rsidP="00E05D72">
      <w:pPr>
        <w:spacing w:after="360" w:line="360" w:lineRule="auto"/>
        <w:ind w:right="-159"/>
        <w:jc w:val="both"/>
        <w:rPr>
          <w:rFonts w:eastAsia="Calibri"/>
          <w:sz w:val="26"/>
          <w:szCs w:val="26"/>
          <w:lang w:eastAsia="en-US"/>
        </w:rPr>
      </w:pPr>
    </w:p>
    <w:p w14:paraId="32D2319D" w14:textId="77777777" w:rsidR="00C47DB6" w:rsidRDefault="00C47DB6" w:rsidP="00E05D72">
      <w:pPr>
        <w:spacing w:after="360" w:line="360" w:lineRule="auto"/>
        <w:ind w:right="-159"/>
        <w:jc w:val="both"/>
        <w:rPr>
          <w:rFonts w:eastAsia="Calibri"/>
          <w:sz w:val="26"/>
          <w:szCs w:val="26"/>
          <w:lang w:eastAsia="en-US"/>
        </w:rPr>
      </w:pPr>
    </w:p>
    <w:p w14:paraId="44C62A77" w14:textId="77777777" w:rsidR="00C47DB6" w:rsidRDefault="00C47DB6" w:rsidP="00E05D72">
      <w:pPr>
        <w:spacing w:after="360" w:line="360" w:lineRule="auto"/>
        <w:ind w:right="-159"/>
        <w:jc w:val="both"/>
        <w:rPr>
          <w:rFonts w:eastAsia="Calibri"/>
          <w:sz w:val="26"/>
          <w:szCs w:val="26"/>
          <w:lang w:eastAsia="en-US"/>
        </w:rPr>
      </w:pPr>
    </w:p>
    <w:p w14:paraId="0157F1EF" w14:textId="77777777" w:rsidR="00C47DB6" w:rsidRPr="00E05D72" w:rsidRDefault="00C47DB6" w:rsidP="00C47DB6">
      <w:pPr>
        <w:spacing w:after="120" w:line="360" w:lineRule="auto"/>
        <w:ind w:right="-159"/>
        <w:jc w:val="both"/>
        <w:rPr>
          <w:rFonts w:eastAsia="Calibri"/>
          <w:sz w:val="26"/>
          <w:szCs w:val="26"/>
          <w:lang w:eastAsia="en-US"/>
        </w:rPr>
      </w:pPr>
    </w:p>
    <w:tbl>
      <w:tblPr>
        <w:tblW w:w="0" w:type="auto"/>
        <w:jc w:val="center"/>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ayout w:type="fixed"/>
        <w:tblLook w:val="0000" w:firstRow="0" w:lastRow="0" w:firstColumn="0" w:lastColumn="0" w:noHBand="0" w:noVBand="0"/>
      </w:tblPr>
      <w:tblGrid>
        <w:gridCol w:w="8828"/>
      </w:tblGrid>
      <w:tr w:rsidR="00E05D72" w:rsidRPr="00E05D72" w14:paraId="6867F10C" w14:textId="77777777" w:rsidTr="00D067FC">
        <w:trPr>
          <w:trHeight w:val="112"/>
          <w:jc w:val="center"/>
        </w:trPr>
        <w:tc>
          <w:tcPr>
            <w:tcW w:w="8828" w:type="dxa"/>
            <w:tcBorders>
              <w:top w:val="nil"/>
              <w:left w:val="nil"/>
              <w:bottom w:val="single" w:sz="4" w:space="0" w:color="auto"/>
              <w:right w:val="nil"/>
            </w:tcBorders>
            <w:shd w:val="clear" w:color="auto" w:fill="auto"/>
          </w:tcPr>
          <w:p w14:paraId="451F9A1C" w14:textId="77777777" w:rsidR="00E05D72" w:rsidRPr="00D067FC" w:rsidRDefault="00E05D72" w:rsidP="00C47DB6">
            <w:pPr>
              <w:autoSpaceDE w:val="0"/>
              <w:autoSpaceDN w:val="0"/>
              <w:adjustRightInd w:val="0"/>
              <w:spacing w:after="120" w:line="360" w:lineRule="auto"/>
              <w:jc w:val="center"/>
              <w:rPr>
                <w:rFonts w:eastAsia="Calibri"/>
                <w:sz w:val="26"/>
                <w:szCs w:val="26"/>
                <w:lang w:eastAsia="en-US"/>
              </w:rPr>
            </w:pPr>
            <w:r w:rsidRPr="00D067FC">
              <w:rPr>
                <w:rFonts w:eastAsia="Calibri"/>
                <w:b/>
                <w:bCs/>
                <w:sz w:val="26"/>
                <w:szCs w:val="26"/>
                <w:lang w:eastAsia="en-US"/>
              </w:rPr>
              <w:lastRenderedPageBreak/>
              <w:t>CATEGORÍAS MUTUAMENTE EXCLUYENTES</w:t>
            </w:r>
          </w:p>
        </w:tc>
      </w:tr>
      <w:tr w:rsidR="00E05D72" w:rsidRPr="00E05D72" w14:paraId="648E5694" w14:textId="77777777" w:rsidTr="00D067FC">
        <w:trPr>
          <w:trHeight w:val="902"/>
          <w:jc w:val="center"/>
        </w:trPr>
        <w:tc>
          <w:tcPr>
            <w:tcW w:w="8828" w:type="dxa"/>
            <w:tcBorders>
              <w:top w:val="single" w:sz="4" w:space="0" w:color="auto"/>
            </w:tcBorders>
            <w:shd w:val="clear" w:color="auto" w:fill="auto"/>
          </w:tcPr>
          <w:p w14:paraId="76974122" w14:textId="77777777" w:rsidR="00E05D72" w:rsidRPr="00D067FC" w:rsidRDefault="00E05D72" w:rsidP="00C47DB6">
            <w:pPr>
              <w:autoSpaceDE w:val="0"/>
              <w:autoSpaceDN w:val="0"/>
              <w:adjustRightInd w:val="0"/>
              <w:spacing w:after="360" w:line="360" w:lineRule="auto"/>
              <w:jc w:val="both"/>
              <w:rPr>
                <w:rFonts w:eastAsia="Calibri"/>
                <w:sz w:val="26"/>
                <w:szCs w:val="26"/>
                <w:lang w:eastAsia="en-US"/>
              </w:rPr>
            </w:pPr>
            <w:r w:rsidRPr="00D067FC">
              <w:rPr>
                <w:rFonts w:eastAsia="Calibri"/>
                <w:sz w:val="26"/>
                <w:szCs w:val="26"/>
                <w:lang w:eastAsia="en-US"/>
              </w:rPr>
              <w:t>Cada delito está considerado en una sola categoría.</w:t>
            </w:r>
          </w:p>
          <w:p w14:paraId="23AAA526" w14:textId="77777777" w:rsidR="00E05D72" w:rsidRPr="00D067FC" w:rsidRDefault="00E05D72" w:rsidP="00C47DB6">
            <w:pPr>
              <w:autoSpaceDE w:val="0"/>
              <w:autoSpaceDN w:val="0"/>
              <w:adjustRightInd w:val="0"/>
              <w:spacing w:after="360" w:line="360" w:lineRule="auto"/>
              <w:jc w:val="both"/>
              <w:rPr>
                <w:rFonts w:eastAsia="Calibri"/>
                <w:sz w:val="26"/>
                <w:szCs w:val="26"/>
                <w:lang w:eastAsia="en-US"/>
              </w:rPr>
            </w:pPr>
            <w:r w:rsidRPr="00D067FC">
              <w:rPr>
                <w:rFonts w:eastAsia="Calibri"/>
                <w:sz w:val="26"/>
                <w:szCs w:val="26"/>
                <w:lang w:eastAsia="en-US"/>
              </w:rPr>
              <w:t>La descripción de cada categoría se define claramente según el evento / comportamiento con la orientación adicional proporcionada por las inclusiones y exclusiones legales (ejemplos de delitos en la legislación nacional que son respectivamente incluidos o excluidos de cada categoría), en las que se establecen claramente los límites de cada categoría.</w:t>
            </w:r>
          </w:p>
        </w:tc>
      </w:tr>
    </w:tbl>
    <w:p w14:paraId="439C5950" w14:textId="77777777" w:rsidR="00E05D72" w:rsidRPr="00E05D72" w:rsidRDefault="00E05D72" w:rsidP="00E05D72">
      <w:pPr>
        <w:spacing w:after="360" w:line="360" w:lineRule="auto"/>
        <w:ind w:right="-159"/>
        <w:jc w:val="both"/>
        <w:rPr>
          <w:rFonts w:eastAsia="Calibri"/>
          <w:sz w:val="26"/>
          <w:szCs w:val="26"/>
          <w:lang w:eastAsia="en-US"/>
        </w:rPr>
      </w:pPr>
    </w:p>
    <w:tbl>
      <w:tblPr>
        <w:tblW w:w="9066"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ayout w:type="fixed"/>
        <w:tblLook w:val="0000" w:firstRow="0" w:lastRow="0" w:firstColumn="0" w:lastColumn="0" w:noHBand="0" w:noVBand="0"/>
      </w:tblPr>
      <w:tblGrid>
        <w:gridCol w:w="9066"/>
      </w:tblGrid>
      <w:tr w:rsidR="00E05D72" w:rsidRPr="00E05D72" w14:paraId="44C314F5" w14:textId="77777777" w:rsidTr="0054411E">
        <w:trPr>
          <w:trHeight w:val="112"/>
        </w:trPr>
        <w:tc>
          <w:tcPr>
            <w:tcW w:w="9066" w:type="dxa"/>
            <w:tcBorders>
              <w:top w:val="nil"/>
              <w:left w:val="nil"/>
              <w:bottom w:val="single" w:sz="4" w:space="0" w:color="auto"/>
              <w:right w:val="nil"/>
            </w:tcBorders>
            <w:shd w:val="clear" w:color="auto" w:fill="auto"/>
          </w:tcPr>
          <w:p w14:paraId="0AE66BD2" w14:textId="77777777" w:rsidR="00E05D72" w:rsidRPr="00D067FC" w:rsidRDefault="00E05D72" w:rsidP="00C47DB6">
            <w:pPr>
              <w:autoSpaceDE w:val="0"/>
              <w:autoSpaceDN w:val="0"/>
              <w:adjustRightInd w:val="0"/>
              <w:spacing w:after="120" w:line="360" w:lineRule="auto"/>
              <w:jc w:val="center"/>
              <w:rPr>
                <w:rFonts w:eastAsia="Calibri"/>
                <w:sz w:val="26"/>
                <w:szCs w:val="26"/>
                <w:lang w:eastAsia="en-US"/>
              </w:rPr>
            </w:pPr>
            <w:r w:rsidRPr="00D067FC">
              <w:rPr>
                <w:rFonts w:eastAsia="Calibri"/>
                <w:b/>
                <w:bCs/>
                <w:sz w:val="26"/>
                <w:szCs w:val="26"/>
                <w:lang w:eastAsia="en-US"/>
              </w:rPr>
              <w:t>CATEGORÍAS EXHAUSTIVAS</w:t>
            </w:r>
          </w:p>
        </w:tc>
      </w:tr>
      <w:tr w:rsidR="00E05D72" w:rsidRPr="00E05D72" w14:paraId="06786A65" w14:textId="77777777" w:rsidTr="00D067FC">
        <w:trPr>
          <w:trHeight w:val="3386"/>
        </w:trPr>
        <w:tc>
          <w:tcPr>
            <w:tcW w:w="9066" w:type="dxa"/>
            <w:tcBorders>
              <w:top w:val="single" w:sz="4" w:space="0" w:color="auto"/>
            </w:tcBorders>
            <w:shd w:val="clear" w:color="auto" w:fill="auto"/>
          </w:tcPr>
          <w:p w14:paraId="0B07C14A" w14:textId="77777777" w:rsidR="00E05D72" w:rsidRPr="00D067FC" w:rsidRDefault="00E05D72" w:rsidP="00C47DB6">
            <w:pPr>
              <w:autoSpaceDE w:val="0"/>
              <w:autoSpaceDN w:val="0"/>
              <w:adjustRightInd w:val="0"/>
              <w:spacing w:after="360" w:line="360" w:lineRule="auto"/>
              <w:jc w:val="both"/>
              <w:rPr>
                <w:rFonts w:eastAsia="Calibri"/>
                <w:sz w:val="26"/>
                <w:szCs w:val="26"/>
                <w:lang w:eastAsia="en-US"/>
              </w:rPr>
            </w:pPr>
            <w:r w:rsidRPr="00D067FC">
              <w:rPr>
                <w:rFonts w:eastAsia="Calibri"/>
                <w:sz w:val="26"/>
                <w:szCs w:val="26"/>
                <w:lang w:eastAsia="en-US"/>
              </w:rPr>
              <w:t>Cada posible manifestación del fenómeno en estudio debe ser incluido en la Clasificación.</w:t>
            </w:r>
          </w:p>
          <w:p w14:paraId="438EF5E5" w14:textId="77777777" w:rsidR="00E05D72" w:rsidRPr="00D067FC" w:rsidRDefault="00E05D72" w:rsidP="00C47DB6">
            <w:pPr>
              <w:autoSpaceDE w:val="0"/>
              <w:autoSpaceDN w:val="0"/>
              <w:adjustRightInd w:val="0"/>
              <w:spacing w:after="360" w:line="360" w:lineRule="auto"/>
              <w:jc w:val="both"/>
              <w:rPr>
                <w:rFonts w:eastAsia="Calibri"/>
                <w:sz w:val="26"/>
                <w:szCs w:val="26"/>
                <w:lang w:eastAsia="en-US"/>
              </w:rPr>
            </w:pPr>
            <w:r w:rsidRPr="00D067FC">
              <w:rPr>
                <w:rFonts w:eastAsia="Calibri"/>
                <w:sz w:val="26"/>
                <w:szCs w:val="26"/>
                <w:lang w:eastAsia="en-US"/>
              </w:rPr>
              <w:t xml:space="preserve">La </w:t>
            </w:r>
            <w:r w:rsidRPr="00D067FC">
              <w:rPr>
                <w:rFonts w:eastAsia="Calibri"/>
                <w:bCs/>
                <w:sz w:val="26"/>
                <w:szCs w:val="26"/>
                <w:lang w:eastAsia="en-US"/>
              </w:rPr>
              <w:t xml:space="preserve">ICCS </w:t>
            </w:r>
            <w:r w:rsidRPr="00D067FC">
              <w:rPr>
                <w:rFonts w:eastAsia="Calibri"/>
                <w:sz w:val="26"/>
                <w:szCs w:val="26"/>
                <w:lang w:eastAsia="en-US"/>
              </w:rPr>
              <w:t>pretende cubrir todas las manifestaciones de la delincuencia. Sin embargo, este principio debe adoptarse con la debida consideración de lo que es factible. El número de actos tipificados en las leyes, disposiciones reglamentarias y decisiones judiciales en un país determinado, así como los cambios legislativos continuos, han hecho complejo cualquier intento de construir una lista completa de todos los delitos que existen a nivel mundial.</w:t>
            </w:r>
          </w:p>
          <w:p w14:paraId="5E7C2D01" w14:textId="77777777" w:rsidR="00E05D72" w:rsidRPr="00D067FC" w:rsidRDefault="00E05D72" w:rsidP="00C47DB6">
            <w:pPr>
              <w:autoSpaceDE w:val="0"/>
              <w:autoSpaceDN w:val="0"/>
              <w:adjustRightInd w:val="0"/>
              <w:spacing w:after="360" w:line="360" w:lineRule="auto"/>
              <w:jc w:val="both"/>
              <w:rPr>
                <w:rFonts w:eastAsia="Calibri"/>
                <w:sz w:val="26"/>
                <w:szCs w:val="26"/>
                <w:lang w:eastAsia="en-US"/>
              </w:rPr>
            </w:pPr>
            <w:r w:rsidRPr="00D067FC">
              <w:rPr>
                <w:rFonts w:eastAsia="Calibri"/>
                <w:sz w:val="26"/>
                <w:szCs w:val="26"/>
                <w:lang w:eastAsia="en-US"/>
              </w:rPr>
              <w:t>Un objetivo realista para la Clasificación es capturar actos o hechos conocidos por ser considerados delitos en un número suficiente de países con cierto nivel de detalle, lo cual permite mantener la practicidad de la Clasificación y su pertinencia en el contexto de las políticas públicas a nivel internacional.</w:t>
            </w:r>
          </w:p>
          <w:p w14:paraId="5CD75EE5" w14:textId="77777777" w:rsidR="00E05D72" w:rsidRPr="00D067FC" w:rsidRDefault="00E05D72" w:rsidP="00C47DB6">
            <w:pPr>
              <w:autoSpaceDE w:val="0"/>
              <w:autoSpaceDN w:val="0"/>
              <w:adjustRightInd w:val="0"/>
              <w:spacing w:after="360" w:line="360" w:lineRule="auto"/>
              <w:jc w:val="both"/>
              <w:rPr>
                <w:rFonts w:eastAsia="Calibri"/>
                <w:sz w:val="26"/>
                <w:szCs w:val="26"/>
                <w:lang w:eastAsia="en-US"/>
              </w:rPr>
            </w:pPr>
            <w:r w:rsidRPr="00D067FC">
              <w:rPr>
                <w:rFonts w:eastAsia="Calibri"/>
                <w:sz w:val="26"/>
                <w:szCs w:val="26"/>
                <w:lang w:eastAsia="en-US"/>
              </w:rPr>
              <w:t xml:space="preserve">Por otro lado, la Clasificación no incluye en sus categorías aquellos eventos que constituyen infracciones administrativas (como violaciones de tráfico), pero sí incluye </w:t>
            </w:r>
            <w:r w:rsidRPr="00D067FC">
              <w:rPr>
                <w:rFonts w:eastAsia="Calibri"/>
                <w:sz w:val="26"/>
                <w:szCs w:val="26"/>
                <w:lang w:eastAsia="en-US"/>
              </w:rPr>
              <w:lastRenderedPageBreak/>
              <w:t>eventos o comportamientos que son considerados como delito en algunos países, mientras que se consideran legales en otros.</w:t>
            </w:r>
          </w:p>
          <w:p w14:paraId="4D6067BC" w14:textId="77777777" w:rsidR="00E05D72" w:rsidRPr="00D067FC" w:rsidRDefault="00E05D72" w:rsidP="00C47DB6">
            <w:pPr>
              <w:autoSpaceDE w:val="0"/>
              <w:autoSpaceDN w:val="0"/>
              <w:adjustRightInd w:val="0"/>
              <w:spacing w:after="360" w:line="360" w:lineRule="auto"/>
              <w:jc w:val="both"/>
              <w:rPr>
                <w:rFonts w:eastAsia="Calibri"/>
                <w:sz w:val="26"/>
                <w:szCs w:val="26"/>
                <w:lang w:eastAsia="en-US"/>
              </w:rPr>
            </w:pPr>
            <w:r w:rsidRPr="00D067FC">
              <w:rPr>
                <w:rFonts w:eastAsia="Calibri"/>
                <w:sz w:val="26"/>
                <w:szCs w:val="26"/>
                <w:lang w:eastAsia="en-US"/>
              </w:rPr>
              <w:t>Está Clasificación no busca apoyar o legitimar la criminalización de cualquier comportamiento presentado dentro de sus categorías, sino que se debe considerar como una Norma estadística, para los países que adopten la ICCS, que soporta la proporción de información con cobertura global de cada manifestación de la delincuencia para fines estadísticos.</w:t>
            </w:r>
          </w:p>
        </w:tc>
      </w:tr>
    </w:tbl>
    <w:p w14:paraId="54966906" w14:textId="77777777" w:rsidR="00E05D72" w:rsidRPr="00E05D72" w:rsidRDefault="00E05D72" w:rsidP="00E05D72">
      <w:pPr>
        <w:spacing w:after="360" w:line="360" w:lineRule="auto"/>
        <w:ind w:right="-159"/>
        <w:jc w:val="both"/>
        <w:rPr>
          <w:rFonts w:eastAsia="Calibri"/>
          <w:sz w:val="26"/>
          <w:szCs w:val="26"/>
          <w:lang w:eastAsia="en-US"/>
        </w:rPr>
      </w:pPr>
    </w:p>
    <w:tbl>
      <w:tblPr>
        <w:tblW w:w="9069"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ayout w:type="fixed"/>
        <w:tblLook w:val="0000" w:firstRow="0" w:lastRow="0" w:firstColumn="0" w:lastColumn="0" w:noHBand="0" w:noVBand="0"/>
      </w:tblPr>
      <w:tblGrid>
        <w:gridCol w:w="9069"/>
      </w:tblGrid>
      <w:tr w:rsidR="00E05D72" w:rsidRPr="00E05D72" w14:paraId="22C8E0D4" w14:textId="77777777" w:rsidTr="00593607">
        <w:trPr>
          <w:trHeight w:val="112"/>
        </w:trPr>
        <w:tc>
          <w:tcPr>
            <w:tcW w:w="9069" w:type="dxa"/>
            <w:tcBorders>
              <w:top w:val="nil"/>
              <w:left w:val="nil"/>
              <w:bottom w:val="single" w:sz="4" w:space="0" w:color="auto"/>
              <w:right w:val="nil"/>
            </w:tcBorders>
            <w:shd w:val="clear" w:color="auto" w:fill="auto"/>
          </w:tcPr>
          <w:p w14:paraId="07820A11" w14:textId="77777777" w:rsidR="00E05D72" w:rsidRPr="00D067FC" w:rsidRDefault="00E05D72" w:rsidP="00C47DB6">
            <w:pPr>
              <w:autoSpaceDE w:val="0"/>
              <w:autoSpaceDN w:val="0"/>
              <w:adjustRightInd w:val="0"/>
              <w:spacing w:after="120" w:line="360" w:lineRule="auto"/>
              <w:jc w:val="center"/>
              <w:rPr>
                <w:rFonts w:eastAsia="Calibri"/>
                <w:sz w:val="26"/>
                <w:szCs w:val="26"/>
                <w:lang w:eastAsia="en-US"/>
              </w:rPr>
            </w:pPr>
            <w:r w:rsidRPr="00D067FC">
              <w:rPr>
                <w:rFonts w:eastAsia="Calibri"/>
                <w:b/>
                <w:bCs/>
                <w:sz w:val="26"/>
                <w:szCs w:val="26"/>
                <w:lang w:eastAsia="en-US"/>
              </w:rPr>
              <w:t>CATEGORÍAS ESTADÍSTICAMENTE VIABLES</w:t>
            </w:r>
          </w:p>
        </w:tc>
      </w:tr>
      <w:tr w:rsidR="00E05D72" w:rsidRPr="00E05D72" w14:paraId="409577FB" w14:textId="77777777" w:rsidTr="00593607">
        <w:trPr>
          <w:trHeight w:val="1693"/>
        </w:trPr>
        <w:tc>
          <w:tcPr>
            <w:tcW w:w="9069" w:type="dxa"/>
            <w:tcBorders>
              <w:top w:val="single" w:sz="4" w:space="0" w:color="auto"/>
            </w:tcBorders>
            <w:shd w:val="clear" w:color="auto" w:fill="auto"/>
          </w:tcPr>
          <w:p w14:paraId="0F65F6C4" w14:textId="77777777" w:rsidR="00E05D72" w:rsidRPr="00D067FC" w:rsidRDefault="00E05D72" w:rsidP="00C47DB6">
            <w:pPr>
              <w:autoSpaceDE w:val="0"/>
              <w:autoSpaceDN w:val="0"/>
              <w:adjustRightInd w:val="0"/>
              <w:spacing w:after="360" w:line="360" w:lineRule="auto"/>
              <w:jc w:val="both"/>
              <w:rPr>
                <w:rFonts w:eastAsia="Calibri"/>
                <w:sz w:val="26"/>
                <w:szCs w:val="26"/>
                <w:lang w:eastAsia="en-US"/>
              </w:rPr>
            </w:pPr>
            <w:r w:rsidRPr="00D067FC">
              <w:rPr>
                <w:rFonts w:eastAsia="Calibri"/>
                <w:sz w:val="26"/>
                <w:szCs w:val="26"/>
                <w:lang w:eastAsia="en-US"/>
              </w:rPr>
              <w:t>Es posible distinguir de manera efectiva, precisa y consistente entre las categorías de la Clasificación sobre la base de la información disponible.</w:t>
            </w:r>
          </w:p>
          <w:p w14:paraId="55B87732" w14:textId="77777777" w:rsidR="00E05D72" w:rsidRPr="00D067FC" w:rsidRDefault="00E05D72" w:rsidP="00C47DB6">
            <w:pPr>
              <w:autoSpaceDE w:val="0"/>
              <w:autoSpaceDN w:val="0"/>
              <w:adjustRightInd w:val="0"/>
              <w:spacing w:after="360" w:line="360" w:lineRule="auto"/>
              <w:jc w:val="both"/>
              <w:rPr>
                <w:rFonts w:eastAsia="Calibri"/>
                <w:sz w:val="26"/>
                <w:szCs w:val="26"/>
                <w:lang w:eastAsia="en-US"/>
              </w:rPr>
            </w:pPr>
            <w:r w:rsidRPr="00D067FC">
              <w:rPr>
                <w:rFonts w:eastAsia="Calibri"/>
                <w:sz w:val="26"/>
                <w:szCs w:val="26"/>
                <w:lang w:eastAsia="en-US"/>
              </w:rPr>
              <w:t>La viabilidad estadística de una clasificación significa que las observaciones pueden ser asignadas a una categoría de acuerdo con la información disponible. Por ejemplo, sobre la base de las respuestas a las preguntas realizadas a través de encuestas o bien a la información que se puede recolectar a partir de registros administrativos.</w:t>
            </w:r>
          </w:p>
          <w:p w14:paraId="20C1A9A2" w14:textId="77777777" w:rsidR="00E05D72" w:rsidRPr="00D067FC" w:rsidRDefault="00E05D72" w:rsidP="00C47DB6">
            <w:pPr>
              <w:autoSpaceDE w:val="0"/>
              <w:autoSpaceDN w:val="0"/>
              <w:adjustRightInd w:val="0"/>
              <w:spacing w:after="360" w:line="360" w:lineRule="auto"/>
              <w:jc w:val="both"/>
              <w:rPr>
                <w:rFonts w:eastAsia="Calibri"/>
                <w:sz w:val="26"/>
                <w:szCs w:val="26"/>
                <w:lang w:eastAsia="en-US"/>
              </w:rPr>
            </w:pPr>
            <w:r w:rsidRPr="00D067FC">
              <w:rPr>
                <w:rFonts w:eastAsia="Calibri"/>
                <w:sz w:val="26"/>
                <w:szCs w:val="26"/>
                <w:lang w:eastAsia="en-US"/>
              </w:rPr>
              <w:t>Durante el proceso de desarrollo de la Clasificación se llevaron a cabo pruebas de aplicación en conjuntos de datos existentes en un número significativo de países con regímenes de derecho heterogéneos, quienes asignaron sus datos de delitos según las categorías de la Clasificación.</w:t>
            </w:r>
          </w:p>
        </w:tc>
      </w:tr>
    </w:tbl>
    <w:p w14:paraId="4128A0A4" w14:textId="77777777" w:rsidR="00E05D72" w:rsidRDefault="00E05D72" w:rsidP="00E05D72">
      <w:pPr>
        <w:spacing w:after="360" w:line="360" w:lineRule="auto"/>
        <w:ind w:right="-159"/>
        <w:jc w:val="both"/>
        <w:rPr>
          <w:rFonts w:eastAsia="Calibri"/>
          <w:sz w:val="26"/>
          <w:szCs w:val="26"/>
          <w:lang w:eastAsia="en-US"/>
        </w:rPr>
      </w:pPr>
    </w:p>
    <w:p w14:paraId="28552D87" w14:textId="77777777" w:rsidR="00C47DB6" w:rsidRDefault="00C47DB6" w:rsidP="00E05D72">
      <w:pPr>
        <w:spacing w:after="360" w:line="360" w:lineRule="auto"/>
        <w:ind w:right="-159"/>
        <w:jc w:val="both"/>
        <w:rPr>
          <w:rFonts w:eastAsia="Calibri"/>
          <w:sz w:val="26"/>
          <w:szCs w:val="26"/>
          <w:lang w:eastAsia="en-US"/>
        </w:rPr>
      </w:pPr>
    </w:p>
    <w:p w14:paraId="66C05FA5" w14:textId="77777777" w:rsidR="00C47DB6" w:rsidRPr="00E05D72" w:rsidRDefault="00C47DB6" w:rsidP="00E05D72">
      <w:pPr>
        <w:spacing w:after="360" w:line="360" w:lineRule="auto"/>
        <w:ind w:right="-159"/>
        <w:jc w:val="both"/>
        <w:rPr>
          <w:rFonts w:eastAsia="Calibri"/>
          <w:sz w:val="26"/>
          <w:szCs w:val="26"/>
          <w:lang w:eastAsia="en-US"/>
        </w:rPr>
      </w:pPr>
    </w:p>
    <w:p w14:paraId="4EA77FDB" w14:textId="77777777" w:rsidR="00E05D72" w:rsidRPr="00E05D72" w:rsidRDefault="00E05D72" w:rsidP="00276F3E">
      <w:pPr>
        <w:numPr>
          <w:ilvl w:val="0"/>
          <w:numId w:val="100"/>
        </w:numPr>
        <w:spacing w:after="360" w:line="360" w:lineRule="auto"/>
        <w:ind w:left="357" w:right="-159" w:hanging="357"/>
        <w:jc w:val="both"/>
        <w:rPr>
          <w:rFonts w:eastAsia="Calibri"/>
          <w:sz w:val="26"/>
          <w:szCs w:val="26"/>
          <w:lang w:eastAsia="en-US"/>
        </w:rPr>
      </w:pPr>
      <w:r w:rsidRPr="00E05D72">
        <w:rPr>
          <w:rFonts w:eastAsia="Calibri"/>
          <w:b/>
          <w:bCs/>
          <w:sz w:val="26"/>
          <w:szCs w:val="26"/>
          <w:lang w:eastAsia="en-US"/>
        </w:rPr>
        <w:lastRenderedPageBreak/>
        <w:t>Criterios utilizados para desarrollar la Clasificación</w:t>
      </w:r>
    </w:p>
    <w:p w14:paraId="0AE0CAF4" w14:textId="7AD5A638" w:rsidR="00E05D72" w:rsidRPr="00E05D72" w:rsidRDefault="00E05D72" w:rsidP="00E05D72">
      <w:pPr>
        <w:spacing w:after="360" w:line="360" w:lineRule="auto"/>
        <w:ind w:right="-159"/>
        <w:jc w:val="both"/>
        <w:rPr>
          <w:rFonts w:eastAsia="Calibri"/>
          <w:sz w:val="26"/>
          <w:szCs w:val="26"/>
          <w:lang w:eastAsia="en-US"/>
        </w:rPr>
      </w:pPr>
      <w:r w:rsidRPr="00E05D72">
        <w:rPr>
          <w:rFonts w:eastAsia="Calibri"/>
          <w:sz w:val="26"/>
          <w:szCs w:val="26"/>
          <w:lang w:eastAsia="en-US"/>
        </w:rPr>
        <w:t xml:space="preserve">Los delitos pueden ser clasificados y analizados a partir de distintos ángulos: su impacto en las víctimas, la forma en que se han perpetrado, el motivo del agresor y la gravedad de la infracción, por nombrar algunos. En la construcción de la Clasificación, se ha dado prioridad a los criterios que son particularmente relevantes desde una perspectiva de política pública. Por consiguiente, las categorías de la Clasificación y los datos que se produzcan de acuerdo </w:t>
      </w:r>
      <w:r w:rsidR="003810B3">
        <w:rPr>
          <w:rFonts w:eastAsia="Calibri"/>
          <w:sz w:val="26"/>
          <w:szCs w:val="26"/>
          <w:lang w:eastAsia="en-US"/>
        </w:rPr>
        <w:t>con</w:t>
      </w:r>
      <w:r w:rsidRPr="00E05D72">
        <w:rPr>
          <w:rFonts w:eastAsia="Calibri"/>
          <w:sz w:val="26"/>
          <w:szCs w:val="26"/>
          <w:lang w:eastAsia="en-US"/>
        </w:rPr>
        <w:t xml:space="preserve"> su estructura, deberán proporcionar información que pueda ser comprendida y utilizada en el desarrollo de las políticas de prevención y reducción del delito, así como de justicia penal.</w:t>
      </w:r>
    </w:p>
    <w:p w14:paraId="6CD6B6AC" w14:textId="77777777" w:rsidR="00E05D72" w:rsidRPr="00E05D72" w:rsidRDefault="00E05D72" w:rsidP="00E05D72">
      <w:pPr>
        <w:spacing w:after="360" w:line="360" w:lineRule="auto"/>
        <w:ind w:right="-159"/>
        <w:jc w:val="both"/>
        <w:rPr>
          <w:rFonts w:eastAsia="Calibri"/>
          <w:sz w:val="26"/>
          <w:szCs w:val="26"/>
          <w:lang w:eastAsia="en-US"/>
        </w:rPr>
      </w:pPr>
      <w:r w:rsidRPr="00E05D72">
        <w:rPr>
          <w:rFonts w:eastAsia="Calibri"/>
          <w:sz w:val="26"/>
          <w:szCs w:val="26"/>
          <w:lang w:eastAsia="en-US"/>
        </w:rPr>
        <w:t xml:space="preserve">Los criterios utilizados para construir la estructura jerárquica de las Clasificación buscan responder a una variedad de necesidades y demandas de información. En particular, se han utilizado los siguientes criterios para definir las categorías de la </w:t>
      </w:r>
      <w:r w:rsidRPr="00E05D72">
        <w:rPr>
          <w:rFonts w:eastAsia="Calibri"/>
          <w:bCs/>
          <w:sz w:val="26"/>
          <w:szCs w:val="26"/>
          <w:lang w:eastAsia="en-US"/>
        </w:rPr>
        <w:t>ICCS</w:t>
      </w:r>
      <w:r w:rsidRPr="00E05D72">
        <w:rPr>
          <w:rFonts w:eastAsia="Calibri"/>
          <w:sz w:val="26"/>
          <w:szCs w:val="26"/>
          <w:lang w:eastAsia="en-US"/>
        </w:rPr>
        <w:t>:</w:t>
      </w:r>
    </w:p>
    <w:p w14:paraId="042AE1FE" w14:textId="77777777" w:rsidR="00E05D72" w:rsidRPr="00E05D72" w:rsidRDefault="00E05D72" w:rsidP="00276F3E">
      <w:pPr>
        <w:numPr>
          <w:ilvl w:val="0"/>
          <w:numId w:val="115"/>
        </w:numPr>
        <w:spacing w:after="360" w:line="360" w:lineRule="auto"/>
        <w:ind w:right="-159"/>
        <w:jc w:val="both"/>
        <w:rPr>
          <w:rFonts w:eastAsia="Calibri"/>
          <w:sz w:val="26"/>
          <w:szCs w:val="26"/>
          <w:lang w:eastAsia="en-US"/>
        </w:rPr>
      </w:pPr>
      <w:r w:rsidRPr="00E05D72">
        <w:rPr>
          <w:rFonts w:eastAsia="Calibri"/>
          <w:sz w:val="26"/>
          <w:szCs w:val="26"/>
          <w:lang w:eastAsia="en-US"/>
        </w:rPr>
        <w:t>Ámbito de la política pública del hecho o comportamiento (protección de los derechos de propiedad, la protección de la salud, etcétera).</w:t>
      </w:r>
    </w:p>
    <w:p w14:paraId="7C2C8A56" w14:textId="77777777" w:rsidR="00E05D72" w:rsidRPr="00E05D72" w:rsidRDefault="00E05D72" w:rsidP="00276F3E">
      <w:pPr>
        <w:numPr>
          <w:ilvl w:val="0"/>
          <w:numId w:val="115"/>
        </w:numPr>
        <w:spacing w:after="360" w:line="360" w:lineRule="auto"/>
        <w:ind w:right="-159"/>
        <w:jc w:val="both"/>
        <w:rPr>
          <w:rFonts w:eastAsia="Calibri"/>
          <w:sz w:val="26"/>
          <w:szCs w:val="26"/>
          <w:lang w:eastAsia="en-US"/>
        </w:rPr>
      </w:pPr>
      <w:r w:rsidRPr="00E05D72">
        <w:rPr>
          <w:rFonts w:eastAsia="Calibri"/>
          <w:sz w:val="26"/>
          <w:szCs w:val="26"/>
          <w:lang w:eastAsia="en-US"/>
        </w:rPr>
        <w:t>Objetivo del hecho o comportamiento (persona, objeto, entorno natural, Estado, etcétera).</w:t>
      </w:r>
    </w:p>
    <w:p w14:paraId="53C406DE" w14:textId="77777777" w:rsidR="00E05D72" w:rsidRPr="00E05D72" w:rsidRDefault="00E05D72" w:rsidP="00276F3E">
      <w:pPr>
        <w:numPr>
          <w:ilvl w:val="0"/>
          <w:numId w:val="115"/>
        </w:numPr>
        <w:spacing w:after="360" w:line="360" w:lineRule="auto"/>
        <w:ind w:right="-159"/>
        <w:jc w:val="both"/>
        <w:rPr>
          <w:rFonts w:eastAsia="Calibri"/>
          <w:sz w:val="26"/>
          <w:szCs w:val="26"/>
          <w:lang w:eastAsia="en-US"/>
        </w:rPr>
      </w:pPr>
      <w:r w:rsidRPr="00E05D72">
        <w:rPr>
          <w:rFonts w:eastAsia="Calibri"/>
          <w:sz w:val="26"/>
          <w:szCs w:val="26"/>
          <w:lang w:eastAsia="en-US"/>
        </w:rPr>
        <w:t>Gravedad del hecho o comportamiento (los actos que llevan a la muerte, actos que causen daño, etcétera).</w:t>
      </w:r>
    </w:p>
    <w:p w14:paraId="224855C8" w14:textId="77777777" w:rsidR="00E05D72" w:rsidRPr="00E05D72" w:rsidRDefault="00E05D72" w:rsidP="00276F3E">
      <w:pPr>
        <w:numPr>
          <w:ilvl w:val="0"/>
          <w:numId w:val="115"/>
        </w:numPr>
        <w:spacing w:after="360" w:line="360" w:lineRule="auto"/>
        <w:ind w:right="-159"/>
        <w:jc w:val="both"/>
        <w:rPr>
          <w:rFonts w:eastAsia="Calibri"/>
          <w:sz w:val="26"/>
          <w:szCs w:val="26"/>
          <w:lang w:eastAsia="en-US"/>
        </w:rPr>
      </w:pPr>
      <w:r w:rsidRPr="00E05D72">
        <w:rPr>
          <w:rFonts w:eastAsia="Calibri"/>
          <w:sz w:val="26"/>
          <w:szCs w:val="26"/>
          <w:lang w:eastAsia="en-US"/>
        </w:rPr>
        <w:t>Medio por el cual el hecho / comportamiento es perpetrado (mediante la violencia, la amenaza de la violencia, tipo de arma utilizado, etcétera).</w:t>
      </w:r>
    </w:p>
    <w:p w14:paraId="4C0F990C" w14:textId="77777777" w:rsidR="00E05D72" w:rsidRPr="00E05D72" w:rsidRDefault="00E05D72" w:rsidP="00E05D72">
      <w:pPr>
        <w:spacing w:after="360" w:line="360" w:lineRule="auto"/>
        <w:ind w:right="-159"/>
        <w:jc w:val="both"/>
        <w:rPr>
          <w:rFonts w:eastAsia="Calibri"/>
          <w:sz w:val="26"/>
          <w:szCs w:val="26"/>
          <w:lang w:eastAsia="en-US"/>
        </w:rPr>
      </w:pPr>
      <w:r w:rsidRPr="00E05D72">
        <w:rPr>
          <w:rFonts w:eastAsia="Calibri"/>
          <w:sz w:val="26"/>
          <w:szCs w:val="26"/>
          <w:lang w:eastAsia="en-US"/>
        </w:rPr>
        <w:t xml:space="preserve">Con base en estos criterios, las infracciones penales se pueden agrupar en categorías homogéneas, las cuales se agrupan en cuatro niveles jerárquicos diferentes: niveles 1 </w:t>
      </w:r>
      <w:r w:rsidRPr="00E05D72">
        <w:rPr>
          <w:rFonts w:eastAsia="Calibri"/>
          <w:sz w:val="26"/>
          <w:szCs w:val="26"/>
          <w:lang w:eastAsia="en-US"/>
        </w:rPr>
        <w:lastRenderedPageBreak/>
        <w:t>(Categorías), 2 (Divisiones), 3 (Grupos) y 4 (Clases). Hay 11 categorías (nivel 1) diseñadas para cubrir todos los actos o comportamientos que constituyen un delito.</w:t>
      </w:r>
    </w:p>
    <w:p w14:paraId="0D6F2E77" w14:textId="77777777" w:rsidR="00E05D72" w:rsidRPr="00E05D72" w:rsidRDefault="00E05D72" w:rsidP="00276F3E">
      <w:pPr>
        <w:numPr>
          <w:ilvl w:val="0"/>
          <w:numId w:val="100"/>
        </w:numPr>
        <w:spacing w:after="360" w:line="360" w:lineRule="auto"/>
        <w:ind w:left="357" w:right="-159" w:hanging="357"/>
        <w:jc w:val="both"/>
        <w:rPr>
          <w:rFonts w:eastAsia="Calibri"/>
          <w:sz w:val="26"/>
          <w:szCs w:val="26"/>
          <w:lang w:eastAsia="en-US"/>
        </w:rPr>
      </w:pPr>
      <w:r w:rsidRPr="00E05D72">
        <w:rPr>
          <w:rFonts w:eastAsia="Calibri"/>
          <w:b/>
          <w:bCs/>
          <w:sz w:val="26"/>
          <w:szCs w:val="26"/>
          <w:lang w:eastAsia="en-US"/>
        </w:rPr>
        <w:t>Estructura de la Clasificación Internacional de Delitos con Fines Estadísticos</w:t>
      </w:r>
    </w:p>
    <w:p w14:paraId="7D563B2E" w14:textId="77777777" w:rsidR="00E05D72" w:rsidRPr="00E05D72" w:rsidRDefault="00E05D72" w:rsidP="00593607">
      <w:pPr>
        <w:spacing w:after="360" w:line="360" w:lineRule="auto"/>
        <w:ind w:left="357" w:right="-159" w:hanging="357"/>
        <w:jc w:val="both"/>
        <w:rPr>
          <w:rFonts w:eastAsia="Calibri"/>
          <w:sz w:val="26"/>
          <w:szCs w:val="26"/>
          <w:lang w:eastAsia="en-US"/>
        </w:rPr>
      </w:pPr>
      <w:r w:rsidRPr="00E05D72">
        <w:rPr>
          <w:rFonts w:eastAsia="Calibri"/>
          <w:sz w:val="26"/>
          <w:szCs w:val="26"/>
          <w:lang w:eastAsia="en-US"/>
        </w:rPr>
        <w:t>El primer nivel de la Clasificación contiene las siguientes once categorías:</w:t>
      </w:r>
    </w:p>
    <w:tbl>
      <w:tblPr>
        <w:tblW w:w="8681" w:type="dxa"/>
        <w:tblInd w:w="25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567"/>
        <w:gridCol w:w="8114"/>
      </w:tblGrid>
      <w:tr w:rsidR="00E05D72" w:rsidRPr="00C47DB6" w14:paraId="3A09038D" w14:textId="77777777" w:rsidTr="00C47DB6">
        <w:trPr>
          <w:trHeight w:val="112"/>
        </w:trPr>
        <w:tc>
          <w:tcPr>
            <w:tcW w:w="8681" w:type="dxa"/>
            <w:gridSpan w:val="2"/>
            <w:tcBorders>
              <w:top w:val="nil"/>
              <w:left w:val="nil"/>
              <w:bottom w:val="single" w:sz="4" w:space="0" w:color="auto"/>
              <w:right w:val="nil"/>
            </w:tcBorders>
            <w:shd w:val="clear" w:color="auto" w:fill="auto"/>
          </w:tcPr>
          <w:p w14:paraId="70295D80" w14:textId="77777777" w:rsidR="00E05D72" w:rsidRPr="00C47DB6" w:rsidRDefault="00E05D72" w:rsidP="00E05D72">
            <w:pPr>
              <w:autoSpaceDE w:val="0"/>
              <w:autoSpaceDN w:val="0"/>
              <w:adjustRightInd w:val="0"/>
              <w:jc w:val="center"/>
              <w:rPr>
                <w:rFonts w:eastAsia="Calibri"/>
                <w:b/>
                <w:bCs/>
                <w:sz w:val="22"/>
                <w:szCs w:val="22"/>
                <w:lang w:eastAsia="en-US"/>
              </w:rPr>
            </w:pPr>
            <w:r w:rsidRPr="00C47DB6">
              <w:rPr>
                <w:rFonts w:eastAsia="Calibri"/>
                <w:b/>
                <w:bCs/>
                <w:sz w:val="22"/>
                <w:szCs w:val="22"/>
                <w:lang w:eastAsia="en-US"/>
              </w:rPr>
              <w:t>CATEGORÍAS (NIVEL I)</w:t>
            </w:r>
          </w:p>
          <w:p w14:paraId="7DF4F933" w14:textId="77777777" w:rsidR="00E05D72" w:rsidRPr="00C47DB6" w:rsidRDefault="00E05D72" w:rsidP="00E05D72">
            <w:pPr>
              <w:autoSpaceDE w:val="0"/>
              <w:autoSpaceDN w:val="0"/>
              <w:adjustRightInd w:val="0"/>
              <w:jc w:val="center"/>
              <w:rPr>
                <w:rFonts w:eastAsia="Calibri"/>
                <w:sz w:val="22"/>
                <w:szCs w:val="22"/>
                <w:lang w:eastAsia="en-US"/>
              </w:rPr>
            </w:pPr>
          </w:p>
        </w:tc>
      </w:tr>
      <w:tr w:rsidR="00E05D72" w:rsidRPr="00E05D72" w14:paraId="2B9F8220" w14:textId="77777777" w:rsidTr="00C47DB6">
        <w:trPr>
          <w:trHeight w:val="113"/>
        </w:trPr>
        <w:tc>
          <w:tcPr>
            <w:tcW w:w="567" w:type="dxa"/>
            <w:tcBorders>
              <w:top w:val="single" w:sz="4" w:space="0" w:color="auto"/>
              <w:left w:val="single" w:sz="4" w:space="0" w:color="auto"/>
              <w:bottom w:val="nil"/>
              <w:right w:val="single" w:sz="4" w:space="0" w:color="auto"/>
            </w:tcBorders>
            <w:shd w:val="clear" w:color="auto" w:fill="auto"/>
          </w:tcPr>
          <w:p w14:paraId="06DA12F7" w14:textId="77777777" w:rsidR="00E05D72" w:rsidRPr="00C47DB6" w:rsidRDefault="00E05D72" w:rsidP="00E05D72">
            <w:pPr>
              <w:autoSpaceDE w:val="0"/>
              <w:autoSpaceDN w:val="0"/>
              <w:adjustRightInd w:val="0"/>
              <w:jc w:val="center"/>
              <w:rPr>
                <w:rFonts w:eastAsia="Calibri"/>
                <w:sz w:val="20"/>
                <w:szCs w:val="20"/>
                <w:lang w:eastAsia="en-US"/>
              </w:rPr>
            </w:pPr>
            <w:r w:rsidRPr="00C47DB6">
              <w:rPr>
                <w:rFonts w:eastAsia="Calibri"/>
                <w:b/>
                <w:bCs/>
                <w:sz w:val="20"/>
                <w:szCs w:val="20"/>
                <w:lang w:eastAsia="en-US"/>
              </w:rPr>
              <w:t>01</w:t>
            </w:r>
          </w:p>
        </w:tc>
        <w:tc>
          <w:tcPr>
            <w:tcW w:w="8114" w:type="dxa"/>
            <w:tcBorders>
              <w:top w:val="single" w:sz="4" w:space="0" w:color="auto"/>
              <w:left w:val="single" w:sz="4" w:space="0" w:color="auto"/>
              <w:bottom w:val="nil"/>
              <w:right w:val="single" w:sz="4" w:space="0" w:color="auto"/>
            </w:tcBorders>
            <w:shd w:val="clear" w:color="auto" w:fill="auto"/>
          </w:tcPr>
          <w:p w14:paraId="77163FEE" w14:textId="77777777" w:rsidR="00E05D72" w:rsidRPr="00C47DB6" w:rsidRDefault="00E05D72" w:rsidP="00E05D72">
            <w:pPr>
              <w:autoSpaceDE w:val="0"/>
              <w:autoSpaceDN w:val="0"/>
              <w:adjustRightInd w:val="0"/>
              <w:rPr>
                <w:rFonts w:eastAsia="Calibri"/>
                <w:sz w:val="20"/>
                <w:szCs w:val="20"/>
                <w:lang w:eastAsia="en-US"/>
              </w:rPr>
            </w:pPr>
            <w:r w:rsidRPr="00C47DB6">
              <w:rPr>
                <w:rFonts w:eastAsia="Calibri"/>
                <w:sz w:val="20"/>
                <w:szCs w:val="20"/>
                <w:lang w:eastAsia="en-US"/>
              </w:rPr>
              <w:t>Actos que causan la muerte o que tienen la intención de causar la muerte.</w:t>
            </w:r>
          </w:p>
        </w:tc>
      </w:tr>
      <w:tr w:rsidR="00E05D72" w:rsidRPr="00E05D72" w14:paraId="0473FA97" w14:textId="77777777" w:rsidTr="00C47DB6">
        <w:trPr>
          <w:trHeight w:val="250"/>
        </w:trPr>
        <w:tc>
          <w:tcPr>
            <w:tcW w:w="567" w:type="dxa"/>
            <w:tcBorders>
              <w:top w:val="nil"/>
              <w:left w:val="single" w:sz="4" w:space="0" w:color="auto"/>
              <w:bottom w:val="nil"/>
              <w:right w:val="single" w:sz="4" w:space="0" w:color="auto"/>
            </w:tcBorders>
            <w:shd w:val="clear" w:color="auto" w:fill="auto"/>
          </w:tcPr>
          <w:p w14:paraId="214FD86C" w14:textId="77777777" w:rsidR="00E05D72" w:rsidRPr="00C47DB6" w:rsidRDefault="00E05D72" w:rsidP="00E05D72">
            <w:pPr>
              <w:autoSpaceDE w:val="0"/>
              <w:autoSpaceDN w:val="0"/>
              <w:adjustRightInd w:val="0"/>
              <w:jc w:val="center"/>
              <w:rPr>
                <w:rFonts w:eastAsia="Calibri"/>
                <w:sz w:val="20"/>
                <w:szCs w:val="20"/>
                <w:lang w:eastAsia="en-US"/>
              </w:rPr>
            </w:pPr>
            <w:r w:rsidRPr="00C47DB6">
              <w:rPr>
                <w:rFonts w:eastAsia="Calibri"/>
                <w:b/>
                <w:bCs/>
                <w:sz w:val="20"/>
                <w:szCs w:val="20"/>
                <w:lang w:eastAsia="en-US"/>
              </w:rPr>
              <w:t>02</w:t>
            </w:r>
          </w:p>
        </w:tc>
        <w:tc>
          <w:tcPr>
            <w:tcW w:w="8114" w:type="dxa"/>
            <w:tcBorders>
              <w:top w:val="nil"/>
              <w:left w:val="single" w:sz="4" w:space="0" w:color="auto"/>
              <w:bottom w:val="nil"/>
              <w:right w:val="single" w:sz="4" w:space="0" w:color="auto"/>
            </w:tcBorders>
            <w:shd w:val="clear" w:color="auto" w:fill="auto"/>
          </w:tcPr>
          <w:p w14:paraId="0F2E7610" w14:textId="77777777" w:rsidR="00E05D72" w:rsidRPr="00C47DB6" w:rsidRDefault="00E05D72" w:rsidP="00E05D72">
            <w:pPr>
              <w:autoSpaceDE w:val="0"/>
              <w:autoSpaceDN w:val="0"/>
              <w:adjustRightInd w:val="0"/>
              <w:rPr>
                <w:rFonts w:eastAsia="Calibri"/>
                <w:sz w:val="20"/>
                <w:szCs w:val="20"/>
                <w:lang w:eastAsia="en-US"/>
              </w:rPr>
            </w:pPr>
            <w:r w:rsidRPr="00C47DB6">
              <w:rPr>
                <w:rFonts w:eastAsia="Calibri"/>
                <w:sz w:val="20"/>
                <w:szCs w:val="20"/>
                <w:lang w:eastAsia="en-US"/>
              </w:rPr>
              <w:t>Actos que causan daños o que tienen la intención de causar daños a la persona.</w:t>
            </w:r>
          </w:p>
        </w:tc>
      </w:tr>
      <w:tr w:rsidR="00E05D72" w:rsidRPr="00E05D72" w14:paraId="60BEA90A" w14:textId="77777777" w:rsidTr="00C47DB6">
        <w:trPr>
          <w:trHeight w:val="120"/>
        </w:trPr>
        <w:tc>
          <w:tcPr>
            <w:tcW w:w="567" w:type="dxa"/>
            <w:tcBorders>
              <w:top w:val="nil"/>
              <w:left w:val="single" w:sz="4" w:space="0" w:color="auto"/>
              <w:bottom w:val="nil"/>
              <w:right w:val="single" w:sz="4" w:space="0" w:color="auto"/>
            </w:tcBorders>
            <w:shd w:val="clear" w:color="auto" w:fill="auto"/>
          </w:tcPr>
          <w:p w14:paraId="70611DDD" w14:textId="77777777" w:rsidR="00E05D72" w:rsidRPr="00C47DB6" w:rsidRDefault="00E05D72" w:rsidP="00E05D72">
            <w:pPr>
              <w:autoSpaceDE w:val="0"/>
              <w:autoSpaceDN w:val="0"/>
              <w:adjustRightInd w:val="0"/>
              <w:jc w:val="center"/>
              <w:rPr>
                <w:rFonts w:eastAsia="Calibri"/>
                <w:sz w:val="20"/>
                <w:szCs w:val="20"/>
                <w:lang w:eastAsia="en-US"/>
              </w:rPr>
            </w:pPr>
            <w:r w:rsidRPr="00C47DB6">
              <w:rPr>
                <w:rFonts w:eastAsia="Calibri"/>
                <w:b/>
                <w:bCs/>
                <w:sz w:val="20"/>
                <w:szCs w:val="20"/>
                <w:lang w:eastAsia="en-US"/>
              </w:rPr>
              <w:t>03</w:t>
            </w:r>
          </w:p>
        </w:tc>
        <w:tc>
          <w:tcPr>
            <w:tcW w:w="8114" w:type="dxa"/>
            <w:tcBorders>
              <w:top w:val="nil"/>
              <w:left w:val="single" w:sz="4" w:space="0" w:color="auto"/>
              <w:bottom w:val="nil"/>
              <w:right w:val="single" w:sz="4" w:space="0" w:color="auto"/>
            </w:tcBorders>
            <w:shd w:val="clear" w:color="auto" w:fill="auto"/>
          </w:tcPr>
          <w:p w14:paraId="58C38B2A" w14:textId="77777777" w:rsidR="00E05D72" w:rsidRPr="00C47DB6" w:rsidRDefault="00E05D72" w:rsidP="00E05D72">
            <w:pPr>
              <w:autoSpaceDE w:val="0"/>
              <w:autoSpaceDN w:val="0"/>
              <w:adjustRightInd w:val="0"/>
              <w:rPr>
                <w:rFonts w:eastAsia="Calibri"/>
                <w:sz w:val="20"/>
                <w:szCs w:val="20"/>
                <w:lang w:eastAsia="en-US"/>
              </w:rPr>
            </w:pPr>
            <w:r w:rsidRPr="00C47DB6">
              <w:rPr>
                <w:rFonts w:eastAsia="Calibri"/>
                <w:sz w:val="20"/>
                <w:szCs w:val="20"/>
                <w:lang w:eastAsia="en-US"/>
              </w:rPr>
              <w:t>Actos lesivos de naturaleza sexual.</w:t>
            </w:r>
          </w:p>
        </w:tc>
      </w:tr>
      <w:tr w:rsidR="00E05D72" w:rsidRPr="00E05D72" w14:paraId="7061A578" w14:textId="77777777" w:rsidTr="00C47DB6">
        <w:trPr>
          <w:trHeight w:val="260"/>
        </w:trPr>
        <w:tc>
          <w:tcPr>
            <w:tcW w:w="567" w:type="dxa"/>
            <w:tcBorders>
              <w:top w:val="nil"/>
              <w:left w:val="single" w:sz="4" w:space="0" w:color="auto"/>
              <w:bottom w:val="nil"/>
              <w:right w:val="single" w:sz="4" w:space="0" w:color="auto"/>
            </w:tcBorders>
            <w:shd w:val="clear" w:color="auto" w:fill="auto"/>
          </w:tcPr>
          <w:p w14:paraId="0D67DC39" w14:textId="77777777" w:rsidR="00E05D72" w:rsidRPr="00C47DB6" w:rsidRDefault="00E05D72" w:rsidP="00E05D72">
            <w:pPr>
              <w:autoSpaceDE w:val="0"/>
              <w:autoSpaceDN w:val="0"/>
              <w:adjustRightInd w:val="0"/>
              <w:jc w:val="center"/>
              <w:rPr>
                <w:rFonts w:eastAsia="Calibri"/>
                <w:sz w:val="20"/>
                <w:szCs w:val="20"/>
                <w:lang w:eastAsia="en-US"/>
              </w:rPr>
            </w:pPr>
            <w:r w:rsidRPr="00C47DB6">
              <w:rPr>
                <w:rFonts w:eastAsia="Calibri"/>
                <w:b/>
                <w:bCs/>
                <w:sz w:val="20"/>
                <w:szCs w:val="20"/>
                <w:lang w:eastAsia="en-US"/>
              </w:rPr>
              <w:t>04</w:t>
            </w:r>
          </w:p>
        </w:tc>
        <w:tc>
          <w:tcPr>
            <w:tcW w:w="8114" w:type="dxa"/>
            <w:tcBorders>
              <w:top w:val="nil"/>
              <w:left w:val="single" w:sz="4" w:space="0" w:color="auto"/>
              <w:bottom w:val="nil"/>
              <w:right w:val="single" w:sz="4" w:space="0" w:color="auto"/>
            </w:tcBorders>
            <w:shd w:val="clear" w:color="auto" w:fill="auto"/>
          </w:tcPr>
          <w:p w14:paraId="64782649" w14:textId="77777777" w:rsidR="00E05D72" w:rsidRPr="00C47DB6" w:rsidRDefault="00E05D72" w:rsidP="00E05D72">
            <w:pPr>
              <w:autoSpaceDE w:val="0"/>
              <w:autoSpaceDN w:val="0"/>
              <w:adjustRightInd w:val="0"/>
              <w:jc w:val="both"/>
              <w:rPr>
                <w:rFonts w:eastAsia="Calibri"/>
                <w:sz w:val="20"/>
                <w:szCs w:val="20"/>
                <w:lang w:eastAsia="en-US"/>
              </w:rPr>
            </w:pPr>
            <w:r w:rsidRPr="00C47DB6">
              <w:rPr>
                <w:rFonts w:eastAsia="Calibri"/>
                <w:sz w:val="20"/>
                <w:szCs w:val="20"/>
                <w:lang w:eastAsia="en-US"/>
              </w:rPr>
              <w:t>Actos contra la propiedad que entrañan violencia o amenaza de violencia contra una persona.</w:t>
            </w:r>
          </w:p>
        </w:tc>
      </w:tr>
      <w:tr w:rsidR="00E05D72" w:rsidRPr="00E05D72" w14:paraId="6C1EC8D3" w14:textId="77777777" w:rsidTr="00C47DB6">
        <w:trPr>
          <w:trHeight w:val="120"/>
        </w:trPr>
        <w:tc>
          <w:tcPr>
            <w:tcW w:w="567" w:type="dxa"/>
            <w:tcBorders>
              <w:top w:val="nil"/>
              <w:left w:val="single" w:sz="4" w:space="0" w:color="auto"/>
              <w:bottom w:val="nil"/>
              <w:right w:val="single" w:sz="4" w:space="0" w:color="auto"/>
            </w:tcBorders>
            <w:shd w:val="clear" w:color="auto" w:fill="auto"/>
          </w:tcPr>
          <w:p w14:paraId="6D15DC76" w14:textId="77777777" w:rsidR="00E05D72" w:rsidRPr="00C47DB6" w:rsidRDefault="00E05D72" w:rsidP="00E05D72">
            <w:pPr>
              <w:autoSpaceDE w:val="0"/>
              <w:autoSpaceDN w:val="0"/>
              <w:adjustRightInd w:val="0"/>
              <w:jc w:val="center"/>
              <w:rPr>
                <w:rFonts w:eastAsia="Calibri"/>
                <w:sz w:val="20"/>
                <w:szCs w:val="20"/>
                <w:lang w:eastAsia="en-US"/>
              </w:rPr>
            </w:pPr>
            <w:r w:rsidRPr="00C47DB6">
              <w:rPr>
                <w:rFonts w:eastAsia="Calibri"/>
                <w:b/>
                <w:bCs/>
                <w:sz w:val="20"/>
                <w:szCs w:val="20"/>
                <w:lang w:eastAsia="en-US"/>
              </w:rPr>
              <w:t>05</w:t>
            </w:r>
          </w:p>
        </w:tc>
        <w:tc>
          <w:tcPr>
            <w:tcW w:w="8114" w:type="dxa"/>
            <w:tcBorders>
              <w:top w:val="nil"/>
              <w:left w:val="single" w:sz="4" w:space="0" w:color="auto"/>
              <w:bottom w:val="nil"/>
              <w:right w:val="single" w:sz="4" w:space="0" w:color="auto"/>
            </w:tcBorders>
            <w:shd w:val="clear" w:color="auto" w:fill="auto"/>
          </w:tcPr>
          <w:p w14:paraId="7AB77C0C" w14:textId="77777777" w:rsidR="00E05D72" w:rsidRPr="00C47DB6" w:rsidRDefault="00E05D72" w:rsidP="00E05D72">
            <w:pPr>
              <w:autoSpaceDE w:val="0"/>
              <w:autoSpaceDN w:val="0"/>
              <w:adjustRightInd w:val="0"/>
              <w:rPr>
                <w:rFonts w:eastAsia="Calibri"/>
                <w:sz w:val="20"/>
                <w:szCs w:val="20"/>
                <w:lang w:eastAsia="en-US"/>
              </w:rPr>
            </w:pPr>
            <w:r w:rsidRPr="00C47DB6">
              <w:rPr>
                <w:rFonts w:eastAsia="Calibri"/>
                <w:sz w:val="20"/>
                <w:szCs w:val="20"/>
                <w:lang w:eastAsia="en-US"/>
              </w:rPr>
              <w:t>Actos contra la propiedad solamente.</w:t>
            </w:r>
          </w:p>
        </w:tc>
      </w:tr>
      <w:tr w:rsidR="00E05D72" w:rsidRPr="00E05D72" w14:paraId="045775AC" w14:textId="77777777" w:rsidTr="00C47DB6">
        <w:trPr>
          <w:trHeight w:val="120"/>
        </w:trPr>
        <w:tc>
          <w:tcPr>
            <w:tcW w:w="567" w:type="dxa"/>
            <w:tcBorders>
              <w:top w:val="nil"/>
              <w:left w:val="single" w:sz="4" w:space="0" w:color="auto"/>
              <w:bottom w:val="nil"/>
              <w:right w:val="single" w:sz="4" w:space="0" w:color="auto"/>
            </w:tcBorders>
            <w:shd w:val="clear" w:color="auto" w:fill="auto"/>
          </w:tcPr>
          <w:p w14:paraId="740B3937" w14:textId="77777777" w:rsidR="00E05D72" w:rsidRPr="00C47DB6" w:rsidRDefault="00E05D72" w:rsidP="00E05D72">
            <w:pPr>
              <w:autoSpaceDE w:val="0"/>
              <w:autoSpaceDN w:val="0"/>
              <w:adjustRightInd w:val="0"/>
              <w:jc w:val="center"/>
              <w:rPr>
                <w:rFonts w:eastAsia="Calibri"/>
                <w:sz w:val="20"/>
                <w:szCs w:val="20"/>
                <w:lang w:eastAsia="en-US"/>
              </w:rPr>
            </w:pPr>
            <w:r w:rsidRPr="00C47DB6">
              <w:rPr>
                <w:rFonts w:eastAsia="Calibri"/>
                <w:b/>
                <w:bCs/>
                <w:sz w:val="20"/>
                <w:szCs w:val="20"/>
                <w:lang w:eastAsia="en-US"/>
              </w:rPr>
              <w:t>06</w:t>
            </w:r>
          </w:p>
        </w:tc>
        <w:tc>
          <w:tcPr>
            <w:tcW w:w="8114" w:type="dxa"/>
            <w:tcBorders>
              <w:top w:val="nil"/>
              <w:left w:val="single" w:sz="4" w:space="0" w:color="auto"/>
              <w:bottom w:val="nil"/>
              <w:right w:val="single" w:sz="4" w:space="0" w:color="auto"/>
            </w:tcBorders>
            <w:shd w:val="clear" w:color="auto" w:fill="auto"/>
          </w:tcPr>
          <w:p w14:paraId="6D9EE8D7" w14:textId="77777777" w:rsidR="00E05D72" w:rsidRPr="00C47DB6" w:rsidRDefault="00E05D72" w:rsidP="00E05D72">
            <w:pPr>
              <w:autoSpaceDE w:val="0"/>
              <w:autoSpaceDN w:val="0"/>
              <w:adjustRightInd w:val="0"/>
              <w:rPr>
                <w:rFonts w:eastAsia="Calibri"/>
                <w:sz w:val="20"/>
                <w:szCs w:val="20"/>
                <w:lang w:eastAsia="en-US"/>
              </w:rPr>
            </w:pPr>
            <w:r w:rsidRPr="00C47DB6">
              <w:rPr>
                <w:rFonts w:eastAsia="Calibri"/>
                <w:sz w:val="20"/>
                <w:szCs w:val="20"/>
                <w:lang w:eastAsia="en-US"/>
              </w:rPr>
              <w:t xml:space="preserve">Actos que conllevan el uso de sustancias psicoactivas u otras drogas. </w:t>
            </w:r>
          </w:p>
        </w:tc>
      </w:tr>
      <w:tr w:rsidR="00E05D72" w:rsidRPr="00E05D72" w14:paraId="572F623D" w14:textId="77777777" w:rsidTr="00C47DB6">
        <w:trPr>
          <w:trHeight w:val="120"/>
        </w:trPr>
        <w:tc>
          <w:tcPr>
            <w:tcW w:w="567" w:type="dxa"/>
            <w:tcBorders>
              <w:top w:val="nil"/>
              <w:left w:val="single" w:sz="4" w:space="0" w:color="auto"/>
              <w:bottom w:val="nil"/>
              <w:right w:val="single" w:sz="4" w:space="0" w:color="auto"/>
            </w:tcBorders>
            <w:shd w:val="clear" w:color="auto" w:fill="auto"/>
          </w:tcPr>
          <w:p w14:paraId="2A49FAD0" w14:textId="77777777" w:rsidR="00E05D72" w:rsidRPr="00C47DB6" w:rsidRDefault="00E05D72" w:rsidP="00E05D72">
            <w:pPr>
              <w:autoSpaceDE w:val="0"/>
              <w:autoSpaceDN w:val="0"/>
              <w:adjustRightInd w:val="0"/>
              <w:jc w:val="center"/>
              <w:rPr>
                <w:rFonts w:eastAsia="Calibri"/>
                <w:sz w:val="20"/>
                <w:szCs w:val="20"/>
                <w:lang w:eastAsia="en-US"/>
              </w:rPr>
            </w:pPr>
            <w:r w:rsidRPr="00C47DB6">
              <w:rPr>
                <w:rFonts w:eastAsia="Calibri"/>
                <w:b/>
                <w:bCs/>
                <w:sz w:val="20"/>
                <w:szCs w:val="20"/>
                <w:lang w:eastAsia="en-US"/>
              </w:rPr>
              <w:t>07</w:t>
            </w:r>
          </w:p>
        </w:tc>
        <w:tc>
          <w:tcPr>
            <w:tcW w:w="8114" w:type="dxa"/>
            <w:tcBorders>
              <w:top w:val="nil"/>
              <w:left w:val="single" w:sz="4" w:space="0" w:color="auto"/>
              <w:bottom w:val="nil"/>
              <w:right w:val="single" w:sz="4" w:space="0" w:color="auto"/>
            </w:tcBorders>
            <w:shd w:val="clear" w:color="auto" w:fill="auto"/>
          </w:tcPr>
          <w:p w14:paraId="7327C14B" w14:textId="77777777" w:rsidR="00E05D72" w:rsidRPr="00C47DB6" w:rsidRDefault="00E05D72" w:rsidP="00E05D72">
            <w:pPr>
              <w:autoSpaceDE w:val="0"/>
              <w:autoSpaceDN w:val="0"/>
              <w:adjustRightInd w:val="0"/>
              <w:rPr>
                <w:rFonts w:eastAsia="Calibri"/>
                <w:sz w:val="20"/>
                <w:szCs w:val="20"/>
                <w:lang w:eastAsia="en-US"/>
              </w:rPr>
            </w:pPr>
            <w:r w:rsidRPr="00C47DB6">
              <w:rPr>
                <w:rFonts w:eastAsia="Calibri"/>
                <w:sz w:val="20"/>
                <w:szCs w:val="20"/>
                <w:lang w:eastAsia="en-US"/>
              </w:rPr>
              <w:t>Actos que conllevan fraude, engaño o corrupción.</w:t>
            </w:r>
          </w:p>
        </w:tc>
      </w:tr>
      <w:tr w:rsidR="00E05D72" w:rsidRPr="00E05D72" w14:paraId="3ED3D6D3" w14:textId="77777777" w:rsidTr="00C47DB6">
        <w:trPr>
          <w:trHeight w:val="120"/>
        </w:trPr>
        <w:tc>
          <w:tcPr>
            <w:tcW w:w="567" w:type="dxa"/>
            <w:tcBorders>
              <w:top w:val="nil"/>
              <w:left w:val="single" w:sz="4" w:space="0" w:color="auto"/>
              <w:bottom w:val="nil"/>
              <w:right w:val="single" w:sz="4" w:space="0" w:color="auto"/>
            </w:tcBorders>
            <w:shd w:val="clear" w:color="auto" w:fill="auto"/>
          </w:tcPr>
          <w:p w14:paraId="4FD8B213" w14:textId="77777777" w:rsidR="00E05D72" w:rsidRPr="00C47DB6" w:rsidRDefault="00E05D72" w:rsidP="00E05D72">
            <w:pPr>
              <w:autoSpaceDE w:val="0"/>
              <w:autoSpaceDN w:val="0"/>
              <w:adjustRightInd w:val="0"/>
              <w:jc w:val="center"/>
              <w:rPr>
                <w:rFonts w:eastAsia="Calibri"/>
                <w:sz w:val="20"/>
                <w:szCs w:val="20"/>
                <w:lang w:eastAsia="en-US"/>
              </w:rPr>
            </w:pPr>
            <w:r w:rsidRPr="00C47DB6">
              <w:rPr>
                <w:rFonts w:eastAsia="Calibri"/>
                <w:b/>
                <w:bCs/>
                <w:sz w:val="20"/>
                <w:szCs w:val="20"/>
                <w:lang w:eastAsia="en-US"/>
              </w:rPr>
              <w:t>08</w:t>
            </w:r>
          </w:p>
        </w:tc>
        <w:tc>
          <w:tcPr>
            <w:tcW w:w="8114" w:type="dxa"/>
            <w:tcBorders>
              <w:top w:val="nil"/>
              <w:left w:val="single" w:sz="4" w:space="0" w:color="auto"/>
              <w:bottom w:val="nil"/>
              <w:right w:val="single" w:sz="4" w:space="0" w:color="auto"/>
            </w:tcBorders>
            <w:shd w:val="clear" w:color="auto" w:fill="auto"/>
          </w:tcPr>
          <w:p w14:paraId="47345CAB" w14:textId="77777777" w:rsidR="00E05D72" w:rsidRPr="00C47DB6" w:rsidRDefault="00E05D72" w:rsidP="00E05D72">
            <w:pPr>
              <w:autoSpaceDE w:val="0"/>
              <w:autoSpaceDN w:val="0"/>
              <w:adjustRightInd w:val="0"/>
              <w:rPr>
                <w:rFonts w:eastAsia="Calibri"/>
                <w:sz w:val="20"/>
                <w:szCs w:val="20"/>
                <w:lang w:eastAsia="en-US"/>
              </w:rPr>
            </w:pPr>
            <w:r w:rsidRPr="00C47DB6">
              <w:rPr>
                <w:rFonts w:eastAsia="Calibri"/>
                <w:sz w:val="20"/>
                <w:szCs w:val="20"/>
                <w:lang w:eastAsia="en-US"/>
              </w:rPr>
              <w:t>Actos contra el orden público, la autoridad y las disposiciones del Estado.</w:t>
            </w:r>
          </w:p>
        </w:tc>
      </w:tr>
      <w:tr w:rsidR="00E05D72" w:rsidRPr="00E05D72" w14:paraId="1383A073" w14:textId="77777777" w:rsidTr="00C47DB6">
        <w:trPr>
          <w:trHeight w:val="120"/>
        </w:trPr>
        <w:tc>
          <w:tcPr>
            <w:tcW w:w="567" w:type="dxa"/>
            <w:tcBorders>
              <w:top w:val="nil"/>
              <w:left w:val="single" w:sz="4" w:space="0" w:color="auto"/>
              <w:bottom w:val="nil"/>
              <w:right w:val="single" w:sz="4" w:space="0" w:color="auto"/>
            </w:tcBorders>
            <w:shd w:val="clear" w:color="auto" w:fill="auto"/>
          </w:tcPr>
          <w:p w14:paraId="5FE53A29" w14:textId="77777777" w:rsidR="00E05D72" w:rsidRPr="00C47DB6" w:rsidRDefault="00E05D72" w:rsidP="00E05D72">
            <w:pPr>
              <w:autoSpaceDE w:val="0"/>
              <w:autoSpaceDN w:val="0"/>
              <w:adjustRightInd w:val="0"/>
              <w:jc w:val="center"/>
              <w:rPr>
                <w:rFonts w:eastAsia="Calibri"/>
                <w:sz w:val="20"/>
                <w:szCs w:val="20"/>
                <w:lang w:eastAsia="en-US"/>
              </w:rPr>
            </w:pPr>
            <w:r w:rsidRPr="00C47DB6">
              <w:rPr>
                <w:rFonts w:eastAsia="Calibri"/>
                <w:b/>
                <w:bCs/>
                <w:sz w:val="20"/>
                <w:szCs w:val="20"/>
                <w:lang w:eastAsia="en-US"/>
              </w:rPr>
              <w:t>09</w:t>
            </w:r>
          </w:p>
        </w:tc>
        <w:tc>
          <w:tcPr>
            <w:tcW w:w="8114" w:type="dxa"/>
            <w:tcBorders>
              <w:top w:val="nil"/>
              <w:left w:val="single" w:sz="4" w:space="0" w:color="auto"/>
              <w:bottom w:val="nil"/>
              <w:right w:val="single" w:sz="4" w:space="0" w:color="auto"/>
            </w:tcBorders>
            <w:shd w:val="clear" w:color="auto" w:fill="auto"/>
          </w:tcPr>
          <w:p w14:paraId="77F52B1B" w14:textId="77777777" w:rsidR="00E05D72" w:rsidRPr="00C47DB6" w:rsidRDefault="00E05D72" w:rsidP="00E05D72">
            <w:pPr>
              <w:autoSpaceDE w:val="0"/>
              <w:autoSpaceDN w:val="0"/>
              <w:adjustRightInd w:val="0"/>
              <w:rPr>
                <w:rFonts w:eastAsia="Calibri"/>
                <w:sz w:val="20"/>
                <w:szCs w:val="20"/>
                <w:lang w:eastAsia="en-US"/>
              </w:rPr>
            </w:pPr>
            <w:r w:rsidRPr="00C47DB6">
              <w:rPr>
                <w:rFonts w:eastAsia="Calibri"/>
                <w:sz w:val="20"/>
                <w:szCs w:val="20"/>
                <w:lang w:eastAsia="en-US"/>
              </w:rPr>
              <w:t>Actos contra la seguridad pública y la seguridad del Estado.</w:t>
            </w:r>
          </w:p>
        </w:tc>
      </w:tr>
      <w:tr w:rsidR="00E05D72" w:rsidRPr="00E05D72" w14:paraId="385791DA" w14:textId="77777777" w:rsidTr="00C47DB6">
        <w:trPr>
          <w:trHeight w:val="120"/>
        </w:trPr>
        <w:tc>
          <w:tcPr>
            <w:tcW w:w="567" w:type="dxa"/>
            <w:tcBorders>
              <w:top w:val="nil"/>
              <w:left w:val="single" w:sz="4" w:space="0" w:color="auto"/>
              <w:bottom w:val="nil"/>
              <w:right w:val="single" w:sz="4" w:space="0" w:color="auto"/>
            </w:tcBorders>
            <w:shd w:val="clear" w:color="auto" w:fill="auto"/>
          </w:tcPr>
          <w:p w14:paraId="3BAF1626" w14:textId="77777777" w:rsidR="00E05D72" w:rsidRPr="00C47DB6" w:rsidRDefault="00E05D72" w:rsidP="00E05D72">
            <w:pPr>
              <w:autoSpaceDE w:val="0"/>
              <w:autoSpaceDN w:val="0"/>
              <w:adjustRightInd w:val="0"/>
              <w:jc w:val="center"/>
              <w:rPr>
                <w:rFonts w:eastAsia="Calibri"/>
                <w:sz w:val="20"/>
                <w:szCs w:val="20"/>
                <w:lang w:eastAsia="en-US"/>
              </w:rPr>
            </w:pPr>
            <w:r w:rsidRPr="00C47DB6">
              <w:rPr>
                <w:rFonts w:eastAsia="Calibri"/>
                <w:b/>
                <w:bCs/>
                <w:sz w:val="20"/>
                <w:szCs w:val="20"/>
                <w:lang w:eastAsia="en-US"/>
              </w:rPr>
              <w:t>10</w:t>
            </w:r>
          </w:p>
        </w:tc>
        <w:tc>
          <w:tcPr>
            <w:tcW w:w="8114" w:type="dxa"/>
            <w:tcBorders>
              <w:top w:val="nil"/>
              <w:left w:val="single" w:sz="4" w:space="0" w:color="auto"/>
              <w:bottom w:val="nil"/>
              <w:right w:val="single" w:sz="4" w:space="0" w:color="auto"/>
            </w:tcBorders>
            <w:shd w:val="clear" w:color="auto" w:fill="auto"/>
          </w:tcPr>
          <w:p w14:paraId="46F17663" w14:textId="77777777" w:rsidR="00E05D72" w:rsidRPr="00C47DB6" w:rsidRDefault="00E05D72" w:rsidP="00E05D72">
            <w:pPr>
              <w:autoSpaceDE w:val="0"/>
              <w:autoSpaceDN w:val="0"/>
              <w:adjustRightInd w:val="0"/>
              <w:rPr>
                <w:rFonts w:eastAsia="Calibri"/>
                <w:sz w:val="20"/>
                <w:szCs w:val="20"/>
                <w:lang w:eastAsia="en-US"/>
              </w:rPr>
            </w:pPr>
            <w:r w:rsidRPr="00C47DB6">
              <w:rPr>
                <w:rFonts w:eastAsia="Calibri"/>
                <w:sz w:val="20"/>
                <w:szCs w:val="20"/>
                <w:lang w:eastAsia="en-US"/>
              </w:rPr>
              <w:t>Actos contra el entorno natural.</w:t>
            </w:r>
          </w:p>
        </w:tc>
      </w:tr>
      <w:tr w:rsidR="00E05D72" w:rsidRPr="00E05D72" w14:paraId="118EDB93" w14:textId="77777777" w:rsidTr="00C47DB6">
        <w:trPr>
          <w:trHeight w:val="120"/>
        </w:trPr>
        <w:tc>
          <w:tcPr>
            <w:tcW w:w="567" w:type="dxa"/>
            <w:tcBorders>
              <w:top w:val="nil"/>
              <w:left w:val="single" w:sz="4" w:space="0" w:color="auto"/>
              <w:bottom w:val="single" w:sz="4" w:space="0" w:color="auto"/>
              <w:right w:val="single" w:sz="4" w:space="0" w:color="auto"/>
            </w:tcBorders>
            <w:shd w:val="clear" w:color="auto" w:fill="auto"/>
          </w:tcPr>
          <w:p w14:paraId="12832287" w14:textId="77777777" w:rsidR="00E05D72" w:rsidRPr="00C47DB6" w:rsidRDefault="00E05D72" w:rsidP="00E05D72">
            <w:pPr>
              <w:autoSpaceDE w:val="0"/>
              <w:autoSpaceDN w:val="0"/>
              <w:adjustRightInd w:val="0"/>
              <w:jc w:val="center"/>
              <w:rPr>
                <w:rFonts w:eastAsia="Calibri"/>
                <w:sz w:val="20"/>
                <w:szCs w:val="20"/>
                <w:lang w:eastAsia="en-US"/>
              </w:rPr>
            </w:pPr>
            <w:r w:rsidRPr="00C47DB6">
              <w:rPr>
                <w:rFonts w:eastAsia="Calibri"/>
                <w:b/>
                <w:bCs/>
                <w:sz w:val="20"/>
                <w:szCs w:val="20"/>
                <w:lang w:eastAsia="en-US"/>
              </w:rPr>
              <w:t>11</w:t>
            </w:r>
          </w:p>
        </w:tc>
        <w:tc>
          <w:tcPr>
            <w:tcW w:w="8114" w:type="dxa"/>
            <w:tcBorders>
              <w:top w:val="nil"/>
              <w:left w:val="single" w:sz="4" w:space="0" w:color="auto"/>
              <w:bottom w:val="single" w:sz="4" w:space="0" w:color="auto"/>
              <w:right w:val="single" w:sz="4" w:space="0" w:color="auto"/>
            </w:tcBorders>
            <w:shd w:val="clear" w:color="auto" w:fill="auto"/>
          </w:tcPr>
          <w:p w14:paraId="4BD04FB6" w14:textId="77777777" w:rsidR="00E05D72" w:rsidRPr="00C47DB6" w:rsidRDefault="00E05D72" w:rsidP="00E05D72">
            <w:pPr>
              <w:autoSpaceDE w:val="0"/>
              <w:autoSpaceDN w:val="0"/>
              <w:adjustRightInd w:val="0"/>
              <w:rPr>
                <w:rFonts w:eastAsia="Calibri"/>
                <w:sz w:val="20"/>
                <w:szCs w:val="20"/>
                <w:lang w:eastAsia="en-US"/>
              </w:rPr>
            </w:pPr>
            <w:r w:rsidRPr="00C47DB6">
              <w:rPr>
                <w:rFonts w:eastAsia="Calibri"/>
                <w:sz w:val="20"/>
                <w:szCs w:val="20"/>
                <w:lang w:eastAsia="en-US"/>
              </w:rPr>
              <w:t>Otros actos delictivos no clasificados en otra parte.</w:t>
            </w:r>
          </w:p>
        </w:tc>
      </w:tr>
    </w:tbl>
    <w:p w14:paraId="308A63CE" w14:textId="1E273C70" w:rsidR="00E05D72" w:rsidRPr="00D067FC" w:rsidRDefault="00C47DB6" w:rsidP="00E05D72">
      <w:pPr>
        <w:spacing w:after="360" w:line="360" w:lineRule="auto"/>
        <w:ind w:right="-159"/>
        <w:jc w:val="both"/>
        <w:rPr>
          <w:rFonts w:eastAsia="Calibri"/>
          <w:sz w:val="20"/>
          <w:szCs w:val="20"/>
          <w:lang w:eastAsia="en-US"/>
        </w:rPr>
      </w:pPr>
      <w:r>
        <w:rPr>
          <w:rFonts w:eastAsia="Calibri"/>
          <w:sz w:val="20"/>
          <w:szCs w:val="20"/>
          <w:lang w:eastAsia="en-US"/>
        </w:rPr>
        <w:t xml:space="preserve">  </w:t>
      </w:r>
      <w:r w:rsidR="00D067FC">
        <w:rPr>
          <w:rFonts w:eastAsia="Calibri"/>
          <w:sz w:val="20"/>
          <w:szCs w:val="20"/>
          <w:lang w:eastAsia="en-US"/>
        </w:rPr>
        <w:t xml:space="preserve">     </w:t>
      </w:r>
      <w:r w:rsidR="00D067FC" w:rsidRPr="00D067FC">
        <w:rPr>
          <w:rFonts w:eastAsia="Calibri"/>
          <w:sz w:val="20"/>
          <w:szCs w:val="20"/>
          <w:lang w:eastAsia="en-US"/>
        </w:rPr>
        <w:t>FUENTE: INEGI.</w:t>
      </w:r>
    </w:p>
    <w:p w14:paraId="4823A1AA" w14:textId="77777777" w:rsidR="00E05D72" w:rsidRPr="00E05D72" w:rsidRDefault="00E05D72" w:rsidP="00276F3E">
      <w:pPr>
        <w:numPr>
          <w:ilvl w:val="0"/>
          <w:numId w:val="100"/>
        </w:numPr>
        <w:spacing w:after="360" w:line="360" w:lineRule="auto"/>
        <w:ind w:left="357" w:right="-159" w:hanging="357"/>
        <w:jc w:val="both"/>
        <w:rPr>
          <w:rFonts w:eastAsia="Calibri"/>
          <w:sz w:val="26"/>
          <w:szCs w:val="26"/>
          <w:lang w:eastAsia="en-US"/>
        </w:rPr>
      </w:pPr>
      <w:r w:rsidRPr="00E05D72">
        <w:rPr>
          <w:rFonts w:eastAsia="Calibri"/>
          <w:b/>
          <w:bCs/>
          <w:sz w:val="26"/>
          <w:szCs w:val="26"/>
          <w:lang w:eastAsia="en-US"/>
        </w:rPr>
        <w:t>Características adicionales de los delitos</w:t>
      </w:r>
    </w:p>
    <w:p w14:paraId="19FDC9B5" w14:textId="77777777" w:rsidR="00E05D72" w:rsidRPr="00E05D72" w:rsidRDefault="00E05D72" w:rsidP="00E05D72">
      <w:pPr>
        <w:spacing w:after="360" w:line="360" w:lineRule="auto"/>
        <w:ind w:right="-159"/>
        <w:jc w:val="both"/>
        <w:rPr>
          <w:rFonts w:eastAsia="Calibri"/>
          <w:sz w:val="26"/>
          <w:szCs w:val="26"/>
          <w:lang w:eastAsia="en-US"/>
        </w:rPr>
      </w:pPr>
      <w:r w:rsidRPr="00E05D72">
        <w:rPr>
          <w:rFonts w:eastAsia="Calibri"/>
          <w:sz w:val="26"/>
          <w:szCs w:val="26"/>
          <w:lang w:eastAsia="en-US"/>
        </w:rPr>
        <w:t xml:space="preserve">Las categorías de la Clasificación capturan y describen la naturaleza de los actos o comportamientos. Por ello, es esencial explorar una serie de características adicionales para la plena identificación y análisis de los patrones y las tendencias de los delitos. Actualmente, los sistemas de registro de delitos sólo captan un número limitado de datos adicionales al número de delitos. Normalmente la existencia de datos adicionales suele estar determinada por factores como las necesidades específicas a raíz de las políticas públicas vigentes, las capacidades de registro y procesamiento de datos a nivel local, subnacional y nacional; el nivel de desarrollo y sofisticación del sistema nacional de estadísticas de la delincuencia; y el grado de automatización y digitalización. En particular, el último criterio (si se trata de registro en papel o en un sistema computarizado) determina si un sistema nacional de estadísticas de la delincuencia </w:t>
      </w:r>
      <w:r w:rsidRPr="00E05D72">
        <w:rPr>
          <w:rFonts w:eastAsia="Calibri"/>
          <w:sz w:val="26"/>
          <w:szCs w:val="26"/>
          <w:lang w:eastAsia="en-US"/>
        </w:rPr>
        <w:lastRenderedPageBreak/>
        <w:t xml:space="preserve">puede soportar una estructura integral de características adicionales como la propuesta en la </w:t>
      </w:r>
      <w:r w:rsidRPr="00E05D72">
        <w:rPr>
          <w:rFonts w:eastAsia="Calibri"/>
          <w:bCs/>
          <w:sz w:val="26"/>
          <w:szCs w:val="26"/>
          <w:lang w:eastAsia="en-US"/>
        </w:rPr>
        <w:t>Clasificación Internacional de Delitos con fines estadísticos</w:t>
      </w:r>
      <w:r w:rsidRPr="00E05D72">
        <w:rPr>
          <w:rFonts w:eastAsia="Calibri"/>
          <w:sz w:val="26"/>
          <w:szCs w:val="26"/>
          <w:lang w:eastAsia="en-US"/>
        </w:rPr>
        <w:t>.</w:t>
      </w:r>
    </w:p>
    <w:p w14:paraId="382FDB27" w14:textId="77777777" w:rsidR="00E05D72" w:rsidRPr="00E05D72" w:rsidRDefault="00E05D72" w:rsidP="00E05D72">
      <w:pPr>
        <w:spacing w:after="360" w:line="360" w:lineRule="auto"/>
        <w:ind w:right="-159"/>
        <w:jc w:val="both"/>
        <w:rPr>
          <w:rFonts w:eastAsia="Calibri"/>
          <w:sz w:val="26"/>
          <w:szCs w:val="26"/>
          <w:lang w:eastAsia="en-US"/>
        </w:rPr>
      </w:pPr>
      <w:r w:rsidRPr="00E05D72">
        <w:rPr>
          <w:rFonts w:eastAsia="Calibri"/>
          <w:sz w:val="26"/>
          <w:szCs w:val="26"/>
          <w:lang w:eastAsia="en-US"/>
        </w:rPr>
        <w:t>Un gran número de características del evento o comportamiento, o bien de características asociadas a la víctima y al agresor, son del interés de las autoridades en diferentes partes del mundo, por lo cual resulta eficaz establecer un conjunto armonizado de características adicionales de desagregación que permitan estudiar los delitos, a los agresores y a las víctimas con fines analíticos y comparativos.</w:t>
      </w:r>
    </w:p>
    <w:p w14:paraId="1EF73C10" w14:textId="301E0DC3" w:rsidR="00E05D72" w:rsidRPr="00E05D72" w:rsidRDefault="00E05D72" w:rsidP="00E05D72">
      <w:pPr>
        <w:spacing w:after="360" w:line="360" w:lineRule="auto"/>
        <w:ind w:right="-159"/>
        <w:jc w:val="both"/>
        <w:rPr>
          <w:rFonts w:eastAsia="Calibri"/>
          <w:sz w:val="26"/>
          <w:szCs w:val="26"/>
          <w:lang w:eastAsia="en-US"/>
        </w:rPr>
      </w:pPr>
      <w:r w:rsidRPr="00E05D72">
        <w:rPr>
          <w:rFonts w:eastAsia="Calibri"/>
          <w:sz w:val="26"/>
          <w:szCs w:val="26"/>
          <w:lang w:eastAsia="en-US"/>
        </w:rPr>
        <w:t>Por ejemplo, utilizar las mismas características adicionales sobre la relación víctima-agresor (tales como pareja / cónyuge, socio / cónyuge, pariente sanguíneo, etc</w:t>
      </w:r>
      <w:r w:rsidR="003810B3">
        <w:rPr>
          <w:rFonts w:eastAsia="Calibri"/>
          <w:sz w:val="26"/>
          <w:szCs w:val="26"/>
          <w:lang w:eastAsia="en-US"/>
        </w:rPr>
        <w:t>étera.</w:t>
      </w:r>
      <w:r w:rsidRPr="00E05D72">
        <w:rPr>
          <w:rFonts w:eastAsia="Calibri"/>
          <w:sz w:val="26"/>
          <w:szCs w:val="26"/>
          <w:lang w:eastAsia="en-US"/>
        </w:rPr>
        <w:t>) sería de gran ayuda para el análisis de los patrones y tendencias de los delitos violentos y los factores que los propician y los atenúan.</w:t>
      </w:r>
    </w:p>
    <w:p w14:paraId="0DC803F0" w14:textId="77777777" w:rsidR="00E05D72" w:rsidRPr="00E05D72" w:rsidRDefault="00E05D72" w:rsidP="00E05D72">
      <w:pPr>
        <w:spacing w:after="360" w:line="360" w:lineRule="auto"/>
        <w:ind w:right="-159"/>
        <w:jc w:val="both"/>
        <w:rPr>
          <w:rFonts w:eastAsia="Calibri"/>
          <w:sz w:val="26"/>
          <w:szCs w:val="26"/>
          <w:lang w:eastAsia="en-US"/>
        </w:rPr>
      </w:pPr>
      <w:r w:rsidRPr="00E05D72">
        <w:rPr>
          <w:rFonts w:eastAsia="Calibri"/>
          <w:sz w:val="26"/>
          <w:szCs w:val="26"/>
          <w:lang w:eastAsia="en-US"/>
        </w:rPr>
        <w:t xml:space="preserve">Considerando su relevancia en el contexto del diseño y evaluación de políticas públicas, la </w:t>
      </w:r>
      <w:r w:rsidRPr="00E05D72">
        <w:rPr>
          <w:rFonts w:eastAsia="Calibri"/>
          <w:bCs/>
          <w:sz w:val="26"/>
          <w:szCs w:val="26"/>
          <w:lang w:eastAsia="en-US"/>
        </w:rPr>
        <w:t xml:space="preserve">Clasificación Internacional de Delitos con fines estadísticos </w:t>
      </w:r>
      <w:r w:rsidRPr="00E05D72">
        <w:rPr>
          <w:rFonts w:eastAsia="Calibri"/>
          <w:sz w:val="26"/>
          <w:szCs w:val="26"/>
          <w:lang w:eastAsia="en-US"/>
        </w:rPr>
        <w:t>define el siguiente conjunto de características adicionales:</w:t>
      </w:r>
    </w:p>
    <w:p w14:paraId="4D4BC4A9" w14:textId="77777777" w:rsidR="00E05D72" w:rsidRPr="00E05D72" w:rsidRDefault="00E05D72" w:rsidP="008E27D4">
      <w:pPr>
        <w:numPr>
          <w:ilvl w:val="0"/>
          <w:numId w:val="137"/>
        </w:numPr>
        <w:spacing w:after="360" w:line="360" w:lineRule="auto"/>
        <w:ind w:right="-159"/>
        <w:jc w:val="both"/>
        <w:rPr>
          <w:rFonts w:eastAsia="Calibri"/>
          <w:sz w:val="26"/>
          <w:szCs w:val="26"/>
          <w:lang w:eastAsia="en-US"/>
        </w:rPr>
      </w:pPr>
      <w:r w:rsidRPr="00E05D72">
        <w:rPr>
          <w:rFonts w:eastAsia="Calibri"/>
          <w:sz w:val="26"/>
          <w:szCs w:val="26"/>
          <w:lang w:eastAsia="en-US"/>
        </w:rPr>
        <w:t>Descriptores de los hechos o comportamientos: grado de terminación, el tipo de arma utilizada, el contexto situacional, la ubicación geográfica, la fecha y la hora, el tipo de ubicación, motivo, asociado a ciberdelincuencia, reporte del incidente;</w:t>
      </w:r>
    </w:p>
    <w:p w14:paraId="6EC46341" w14:textId="77777777" w:rsidR="00E05D72" w:rsidRPr="00E05D72" w:rsidRDefault="00E05D72" w:rsidP="008E27D4">
      <w:pPr>
        <w:numPr>
          <w:ilvl w:val="0"/>
          <w:numId w:val="137"/>
        </w:numPr>
        <w:spacing w:after="360" w:line="360" w:lineRule="auto"/>
        <w:ind w:right="-159"/>
        <w:jc w:val="both"/>
        <w:rPr>
          <w:rFonts w:eastAsia="Calibri"/>
          <w:sz w:val="26"/>
          <w:szCs w:val="26"/>
          <w:lang w:eastAsia="en-US"/>
        </w:rPr>
      </w:pPr>
      <w:r w:rsidRPr="00E05D72">
        <w:rPr>
          <w:rFonts w:eastAsia="Calibri"/>
          <w:sz w:val="26"/>
          <w:szCs w:val="26"/>
          <w:lang w:eastAsia="en-US"/>
        </w:rPr>
        <w:t>Descriptores de la víctima: sexo, edad, nacionalidad, condición jurídica, sector económico (de las empresas víctimas), el estado de intoxicación;</w:t>
      </w:r>
    </w:p>
    <w:p w14:paraId="7F20A8F9" w14:textId="77777777" w:rsidR="00E05D72" w:rsidRPr="00E05D72" w:rsidRDefault="00E05D72" w:rsidP="008E27D4">
      <w:pPr>
        <w:numPr>
          <w:ilvl w:val="0"/>
          <w:numId w:val="137"/>
        </w:numPr>
        <w:spacing w:after="360" w:line="360" w:lineRule="auto"/>
        <w:ind w:right="-159"/>
        <w:jc w:val="both"/>
        <w:rPr>
          <w:rFonts w:eastAsia="Calibri"/>
          <w:sz w:val="26"/>
          <w:szCs w:val="26"/>
          <w:lang w:eastAsia="en-US"/>
        </w:rPr>
      </w:pPr>
      <w:r w:rsidRPr="00E05D72">
        <w:rPr>
          <w:rFonts w:eastAsia="Calibri"/>
          <w:sz w:val="26"/>
          <w:szCs w:val="26"/>
          <w:lang w:eastAsia="en-US"/>
        </w:rPr>
        <w:t>Descriptores del agresor: sexo, edad, relación víctima-agresor, ciudadanía, estado legal, estado de intoxicación, reincidencia.</w:t>
      </w:r>
    </w:p>
    <w:p w14:paraId="22FF5C1C" w14:textId="77777777" w:rsidR="00E05D72" w:rsidRDefault="00E05D72" w:rsidP="00E05D72">
      <w:pPr>
        <w:spacing w:after="360" w:line="360" w:lineRule="auto"/>
        <w:ind w:right="-159"/>
        <w:jc w:val="both"/>
        <w:rPr>
          <w:rFonts w:eastAsia="Calibri"/>
          <w:sz w:val="26"/>
          <w:szCs w:val="26"/>
          <w:lang w:eastAsia="en-US"/>
        </w:rPr>
      </w:pPr>
      <w:r w:rsidRPr="00E05D72">
        <w:rPr>
          <w:rFonts w:eastAsia="Calibri"/>
          <w:sz w:val="26"/>
          <w:szCs w:val="26"/>
          <w:lang w:eastAsia="en-US"/>
        </w:rPr>
        <w:lastRenderedPageBreak/>
        <w:t>Las características adicionales propuestas pueden ser implementadas por las instituciones que registran los delitos incorporando su registro para todo tipo de delito, lo que permite un análisis completo de su contexto, el agresor y la víctima.</w:t>
      </w:r>
    </w:p>
    <w:tbl>
      <w:tblPr>
        <w:tblW w:w="9073" w:type="dxa"/>
        <w:tblBorders>
          <w:top w:val="nil"/>
          <w:left w:val="nil"/>
          <w:bottom w:val="nil"/>
          <w:right w:val="nil"/>
        </w:tblBorders>
        <w:tblLayout w:type="fixed"/>
        <w:tblLook w:val="0000" w:firstRow="0" w:lastRow="0" w:firstColumn="0" w:lastColumn="0" w:noHBand="0" w:noVBand="0"/>
      </w:tblPr>
      <w:tblGrid>
        <w:gridCol w:w="3024"/>
        <w:gridCol w:w="3024"/>
        <w:gridCol w:w="3025"/>
      </w:tblGrid>
      <w:tr w:rsidR="00E05D72" w:rsidRPr="00C47DB6" w14:paraId="1886D569" w14:textId="77777777" w:rsidTr="00D067FC">
        <w:trPr>
          <w:trHeight w:val="375"/>
        </w:trPr>
        <w:tc>
          <w:tcPr>
            <w:tcW w:w="9073" w:type="dxa"/>
            <w:gridSpan w:val="3"/>
            <w:tcBorders>
              <w:top w:val="nil"/>
              <w:left w:val="nil"/>
              <w:bottom w:val="single" w:sz="8" w:space="0" w:color="auto"/>
              <w:right w:val="nil"/>
            </w:tcBorders>
            <w:shd w:val="clear" w:color="auto" w:fill="auto"/>
          </w:tcPr>
          <w:p w14:paraId="397D5731" w14:textId="77777777" w:rsidR="00E05D72" w:rsidRPr="00C47DB6" w:rsidRDefault="00E05D72" w:rsidP="00E05D72">
            <w:pPr>
              <w:autoSpaceDE w:val="0"/>
              <w:autoSpaceDN w:val="0"/>
              <w:adjustRightInd w:val="0"/>
              <w:spacing w:before="120" w:after="120"/>
              <w:jc w:val="center"/>
              <w:rPr>
                <w:rFonts w:eastAsia="Calibri"/>
                <w:sz w:val="22"/>
                <w:szCs w:val="22"/>
                <w:lang w:eastAsia="en-US"/>
              </w:rPr>
            </w:pPr>
            <w:r w:rsidRPr="00C47DB6">
              <w:rPr>
                <w:rFonts w:eastAsia="Calibri"/>
                <w:b/>
                <w:bCs/>
                <w:sz w:val="22"/>
                <w:szCs w:val="22"/>
                <w:lang w:eastAsia="en-US"/>
              </w:rPr>
              <w:t>CONJUNTO MÍNIMO DE CARACTERÍSTICAS DE LOS DATOS SOBRE DELITOS PARA LA FORMULACIÓN DE POLÍTICAS PÚBLICAS</w:t>
            </w:r>
          </w:p>
        </w:tc>
      </w:tr>
      <w:tr w:rsidR="00E05D72" w:rsidRPr="00E05D72" w14:paraId="30B9CAC3" w14:textId="77777777" w:rsidTr="00C47DB6">
        <w:trPr>
          <w:trHeight w:val="112"/>
        </w:trPr>
        <w:tc>
          <w:tcPr>
            <w:tcW w:w="3024" w:type="dxa"/>
            <w:tcBorders>
              <w:top w:val="single" w:sz="8" w:space="0" w:color="auto"/>
              <w:left w:val="single" w:sz="8" w:space="0" w:color="4F81BD"/>
              <w:bottom w:val="single" w:sz="8" w:space="0" w:color="auto"/>
              <w:right w:val="single" w:sz="8" w:space="0" w:color="4F81BD"/>
            </w:tcBorders>
            <w:shd w:val="clear" w:color="auto" w:fill="auto"/>
          </w:tcPr>
          <w:p w14:paraId="07B5D21F" w14:textId="77777777" w:rsidR="00E05D72" w:rsidRPr="00C47DB6" w:rsidRDefault="00E05D72" w:rsidP="00E05D72">
            <w:pPr>
              <w:autoSpaceDE w:val="0"/>
              <w:autoSpaceDN w:val="0"/>
              <w:adjustRightInd w:val="0"/>
              <w:jc w:val="center"/>
              <w:rPr>
                <w:rFonts w:eastAsia="Calibri"/>
                <w:sz w:val="20"/>
                <w:szCs w:val="20"/>
                <w:lang w:eastAsia="en-US"/>
              </w:rPr>
            </w:pPr>
            <w:r w:rsidRPr="00C47DB6">
              <w:rPr>
                <w:rFonts w:eastAsia="Calibri"/>
                <w:b/>
                <w:bCs/>
                <w:sz w:val="20"/>
                <w:szCs w:val="20"/>
                <w:lang w:eastAsia="en-US"/>
              </w:rPr>
              <w:t>Hechos</w:t>
            </w:r>
          </w:p>
        </w:tc>
        <w:tc>
          <w:tcPr>
            <w:tcW w:w="3024" w:type="dxa"/>
            <w:tcBorders>
              <w:top w:val="single" w:sz="8" w:space="0" w:color="auto"/>
              <w:left w:val="single" w:sz="8" w:space="0" w:color="4F81BD"/>
              <w:bottom w:val="single" w:sz="8" w:space="0" w:color="auto"/>
              <w:right w:val="single" w:sz="8" w:space="0" w:color="4F81BD"/>
            </w:tcBorders>
            <w:shd w:val="clear" w:color="auto" w:fill="auto"/>
          </w:tcPr>
          <w:p w14:paraId="654AB2D8" w14:textId="77777777" w:rsidR="00E05D72" w:rsidRPr="00C47DB6" w:rsidRDefault="00E05D72" w:rsidP="00E05D72">
            <w:pPr>
              <w:autoSpaceDE w:val="0"/>
              <w:autoSpaceDN w:val="0"/>
              <w:adjustRightInd w:val="0"/>
              <w:jc w:val="center"/>
              <w:rPr>
                <w:rFonts w:eastAsia="Calibri"/>
                <w:sz w:val="20"/>
                <w:szCs w:val="20"/>
                <w:lang w:eastAsia="en-US"/>
              </w:rPr>
            </w:pPr>
            <w:r w:rsidRPr="00C47DB6">
              <w:rPr>
                <w:rFonts w:eastAsia="Calibri"/>
                <w:b/>
                <w:bCs/>
                <w:sz w:val="20"/>
                <w:szCs w:val="20"/>
                <w:lang w:eastAsia="en-US"/>
              </w:rPr>
              <w:t>Víctimas</w:t>
            </w:r>
          </w:p>
        </w:tc>
        <w:tc>
          <w:tcPr>
            <w:tcW w:w="3025" w:type="dxa"/>
            <w:tcBorders>
              <w:top w:val="single" w:sz="8" w:space="0" w:color="auto"/>
              <w:left w:val="single" w:sz="8" w:space="0" w:color="4F81BD"/>
              <w:bottom w:val="single" w:sz="8" w:space="0" w:color="auto"/>
              <w:right w:val="single" w:sz="8" w:space="0" w:color="4F81BD"/>
            </w:tcBorders>
            <w:shd w:val="clear" w:color="auto" w:fill="auto"/>
          </w:tcPr>
          <w:p w14:paraId="7DBC0286" w14:textId="77777777" w:rsidR="00E05D72" w:rsidRPr="00C47DB6" w:rsidRDefault="00E05D72" w:rsidP="00E05D72">
            <w:pPr>
              <w:autoSpaceDE w:val="0"/>
              <w:autoSpaceDN w:val="0"/>
              <w:adjustRightInd w:val="0"/>
              <w:jc w:val="center"/>
              <w:rPr>
                <w:rFonts w:eastAsia="Calibri"/>
                <w:sz w:val="20"/>
                <w:szCs w:val="20"/>
                <w:lang w:eastAsia="en-US"/>
              </w:rPr>
            </w:pPr>
            <w:r w:rsidRPr="00C47DB6">
              <w:rPr>
                <w:rFonts w:eastAsia="Calibri"/>
                <w:b/>
                <w:bCs/>
                <w:sz w:val="20"/>
                <w:szCs w:val="20"/>
                <w:lang w:eastAsia="en-US"/>
              </w:rPr>
              <w:t>Agresor</w:t>
            </w:r>
          </w:p>
        </w:tc>
      </w:tr>
      <w:tr w:rsidR="00E05D72" w:rsidRPr="00E05D72" w14:paraId="3AF4DDE9" w14:textId="77777777" w:rsidTr="00C47DB6">
        <w:trPr>
          <w:trHeight w:val="250"/>
        </w:trPr>
        <w:tc>
          <w:tcPr>
            <w:tcW w:w="3024" w:type="dxa"/>
            <w:tcBorders>
              <w:top w:val="single" w:sz="8" w:space="0" w:color="auto"/>
              <w:left w:val="single" w:sz="8" w:space="0" w:color="auto"/>
              <w:bottom w:val="single" w:sz="8" w:space="0" w:color="auto"/>
              <w:right w:val="single" w:sz="8" w:space="0" w:color="auto"/>
            </w:tcBorders>
            <w:shd w:val="clear" w:color="auto" w:fill="auto"/>
          </w:tcPr>
          <w:p w14:paraId="62A46CE2" w14:textId="77777777" w:rsidR="00E05D72" w:rsidRPr="00C47DB6" w:rsidRDefault="00E05D72" w:rsidP="00E05D72">
            <w:pPr>
              <w:autoSpaceDE w:val="0"/>
              <w:autoSpaceDN w:val="0"/>
              <w:adjustRightInd w:val="0"/>
              <w:jc w:val="both"/>
              <w:rPr>
                <w:rFonts w:eastAsia="Calibri"/>
                <w:sz w:val="20"/>
                <w:szCs w:val="20"/>
                <w:lang w:eastAsia="en-US"/>
              </w:rPr>
            </w:pPr>
            <w:r w:rsidRPr="00C47DB6">
              <w:rPr>
                <w:rFonts w:eastAsia="Calibri"/>
                <w:sz w:val="20"/>
                <w:szCs w:val="20"/>
                <w:lang w:eastAsia="en-US"/>
              </w:rPr>
              <w:t>At: Intento/acto consumado</w:t>
            </w:r>
          </w:p>
        </w:tc>
        <w:tc>
          <w:tcPr>
            <w:tcW w:w="3024" w:type="dxa"/>
            <w:tcBorders>
              <w:top w:val="single" w:sz="8" w:space="0" w:color="auto"/>
              <w:left w:val="single" w:sz="8" w:space="0" w:color="auto"/>
              <w:bottom w:val="single" w:sz="8" w:space="0" w:color="auto"/>
              <w:right w:val="single" w:sz="8" w:space="0" w:color="auto"/>
            </w:tcBorders>
            <w:shd w:val="clear" w:color="auto" w:fill="auto"/>
          </w:tcPr>
          <w:p w14:paraId="58F21655" w14:textId="77777777" w:rsidR="00E05D72" w:rsidRPr="00C47DB6" w:rsidRDefault="00E05D72" w:rsidP="00E05D72">
            <w:pPr>
              <w:autoSpaceDE w:val="0"/>
              <w:autoSpaceDN w:val="0"/>
              <w:adjustRightInd w:val="0"/>
              <w:jc w:val="both"/>
              <w:rPr>
                <w:rFonts w:eastAsia="Calibri"/>
                <w:sz w:val="20"/>
                <w:szCs w:val="20"/>
                <w:lang w:eastAsia="en-US"/>
              </w:rPr>
            </w:pPr>
            <w:r w:rsidRPr="00C47DB6">
              <w:rPr>
                <w:rFonts w:eastAsia="Calibri"/>
                <w:sz w:val="20"/>
                <w:szCs w:val="20"/>
                <w:lang w:eastAsia="en-US"/>
              </w:rPr>
              <w:t>SV: Sexo de la víctima</w:t>
            </w:r>
          </w:p>
        </w:tc>
        <w:tc>
          <w:tcPr>
            <w:tcW w:w="3025" w:type="dxa"/>
            <w:tcBorders>
              <w:top w:val="single" w:sz="8" w:space="0" w:color="auto"/>
              <w:left w:val="single" w:sz="8" w:space="0" w:color="auto"/>
              <w:bottom w:val="single" w:sz="8" w:space="0" w:color="auto"/>
              <w:right w:val="single" w:sz="8" w:space="0" w:color="auto"/>
            </w:tcBorders>
            <w:shd w:val="clear" w:color="auto" w:fill="auto"/>
          </w:tcPr>
          <w:p w14:paraId="5A4F9ADC" w14:textId="77777777" w:rsidR="00E05D72" w:rsidRPr="00C47DB6" w:rsidRDefault="00E05D72" w:rsidP="00E05D72">
            <w:pPr>
              <w:autoSpaceDE w:val="0"/>
              <w:autoSpaceDN w:val="0"/>
              <w:adjustRightInd w:val="0"/>
              <w:jc w:val="both"/>
              <w:rPr>
                <w:rFonts w:eastAsia="Calibri"/>
                <w:sz w:val="20"/>
                <w:szCs w:val="20"/>
                <w:lang w:eastAsia="en-US"/>
              </w:rPr>
            </w:pPr>
            <w:r w:rsidRPr="00C47DB6">
              <w:rPr>
                <w:rFonts w:eastAsia="Calibri"/>
                <w:sz w:val="20"/>
                <w:szCs w:val="20"/>
                <w:lang w:eastAsia="en-US"/>
              </w:rPr>
              <w:t>SP: Sexo del agresor</w:t>
            </w:r>
          </w:p>
        </w:tc>
      </w:tr>
      <w:tr w:rsidR="00E05D72" w:rsidRPr="00E05D72" w14:paraId="681131AD" w14:textId="77777777" w:rsidTr="00C47DB6">
        <w:trPr>
          <w:trHeight w:val="112"/>
        </w:trPr>
        <w:tc>
          <w:tcPr>
            <w:tcW w:w="3024" w:type="dxa"/>
            <w:tcBorders>
              <w:top w:val="single" w:sz="8" w:space="0" w:color="auto"/>
              <w:left w:val="single" w:sz="8" w:space="0" w:color="auto"/>
              <w:bottom w:val="single" w:sz="8" w:space="0" w:color="auto"/>
              <w:right w:val="single" w:sz="8" w:space="0" w:color="auto"/>
            </w:tcBorders>
            <w:shd w:val="clear" w:color="auto" w:fill="auto"/>
          </w:tcPr>
          <w:p w14:paraId="5EF21460" w14:textId="77777777" w:rsidR="00E05D72" w:rsidRPr="00C47DB6" w:rsidRDefault="00E05D72" w:rsidP="00E05D72">
            <w:pPr>
              <w:autoSpaceDE w:val="0"/>
              <w:autoSpaceDN w:val="0"/>
              <w:adjustRightInd w:val="0"/>
              <w:jc w:val="both"/>
              <w:rPr>
                <w:rFonts w:eastAsia="Calibri"/>
                <w:sz w:val="20"/>
                <w:szCs w:val="20"/>
                <w:lang w:eastAsia="en-US"/>
              </w:rPr>
            </w:pPr>
            <w:r w:rsidRPr="00C47DB6">
              <w:rPr>
                <w:rFonts w:eastAsia="Calibri"/>
                <w:sz w:val="20"/>
                <w:szCs w:val="20"/>
                <w:lang w:eastAsia="en-US"/>
              </w:rPr>
              <w:t>We: Tipo de arma utilizada</w:t>
            </w:r>
          </w:p>
        </w:tc>
        <w:tc>
          <w:tcPr>
            <w:tcW w:w="3024" w:type="dxa"/>
            <w:tcBorders>
              <w:top w:val="single" w:sz="8" w:space="0" w:color="auto"/>
              <w:left w:val="single" w:sz="8" w:space="0" w:color="auto"/>
              <w:bottom w:val="single" w:sz="8" w:space="0" w:color="auto"/>
              <w:right w:val="single" w:sz="8" w:space="0" w:color="auto"/>
            </w:tcBorders>
            <w:shd w:val="clear" w:color="auto" w:fill="auto"/>
          </w:tcPr>
          <w:p w14:paraId="080493D3" w14:textId="77777777" w:rsidR="00E05D72" w:rsidRPr="00C47DB6" w:rsidRDefault="00E05D72" w:rsidP="00E05D72">
            <w:pPr>
              <w:autoSpaceDE w:val="0"/>
              <w:autoSpaceDN w:val="0"/>
              <w:adjustRightInd w:val="0"/>
              <w:jc w:val="both"/>
              <w:rPr>
                <w:rFonts w:eastAsia="Calibri"/>
                <w:sz w:val="20"/>
                <w:szCs w:val="20"/>
                <w:lang w:eastAsia="en-US"/>
              </w:rPr>
            </w:pPr>
            <w:r w:rsidRPr="00C47DB6">
              <w:rPr>
                <w:rFonts w:eastAsia="Calibri"/>
                <w:sz w:val="20"/>
                <w:szCs w:val="20"/>
                <w:lang w:eastAsia="en-US"/>
              </w:rPr>
              <w:t>AV: Edad de la víctima</w:t>
            </w:r>
          </w:p>
        </w:tc>
        <w:tc>
          <w:tcPr>
            <w:tcW w:w="3025" w:type="dxa"/>
            <w:tcBorders>
              <w:top w:val="single" w:sz="8" w:space="0" w:color="auto"/>
              <w:left w:val="single" w:sz="8" w:space="0" w:color="auto"/>
              <w:bottom w:val="single" w:sz="8" w:space="0" w:color="auto"/>
              <w:right w:val="single" w:sz="8" w:space="0" w:color="auto"/>
            </w:tcBorders>
            <w:shd w:val="clear" w:color="auto" w:fill="auto"/>
          </w:tcPr>
          <w:p w14:paraId="32A7BD2D" w14:textId="77777777" w:rsidR="00E05D72" w:rsidRPr="00C47DB6" w:rsidRDefault="00E05D72" w:rsidP="00E05D72">
            <w:pPr>
              <w:autoSpaceDE w:val="0"/>
              <w:autoSpaceDN w:val="0"/>
              <w:adjustRightInd w:val="0"/>
              <w:jc w:val="both"/>
              <w:rPr>
                <w:rFonts w:eastAsia="Calibri"/>
                <w:sz w:val="20"/>
                <w:szCs w:val="20"/>
                <w:lang w:eastAsia="en-US"/>
              </w:rPr>
            </w:pPr>
            <w:r w:rsidRPr="00C47DB6">
              <w:rPr>
                <w:rFonts w:eastAsia="Calibri"/>
                <w:sz w:val="20"/>
                <w:szCs w:val="20"/>
                <w:lang w:eastAsia="en-US"/>
              </w:rPr>
              <w:t>AP: Edad del agresor</w:t>
            </w:r>
          </w:p>
        </w:tc>
      </w:tr>
      <w:tr w:rsidR="00E05D72" w:rsidRPr="00E05D72" w14:paraId="699C713E" w14:textId="77777777" w:rsidTr="00C47DB6">
        <w:trPr>
          <w:trHeight w:val="250"/>
        </w:trPr>
        <w:tc>
          <w:tcPr>
            <w:tcW w:w="3024" w:type="dxa"/>
            <w:tcBorders>
              <w:top w:val="single" w:sz="8" w:space="0" w:color="auto"/>
              <w:left w:val="single" w:sz="8" w:space="0" w:color="auto"/>
              <w:bottom w:val="single" w:sz="8" w:space="0" w:color="auto"/>
              <w:right w:val="single" w:sz="8" w:space="0" w:color="auto"/>
            </w:tcBorders>
            <w:shd w:val="clear" w:color="auto" w:fill="auto"/>
          </w:tcPr>
          <w:p w14:paraId="76AB9AE0" w14:textId="77777777" w:rsidR="00E05D72" w:rsidRPr="00C47DB6" w:rsidRDefault="00E05D72" w:rsidP="00E05D72">
            <w:pPr>
              <w:autoSpaceDE w:val="0"/>
              <w:autoSpaceDN w:val="0"/>
              <w:adjustRightInd w:val="0"/>
              <w:jc w:val="both"/>
              <w:rPr>
                <w:rFonts w:eastAsia="Calibri"/>
                <w:sz w:val="20"/>
                <w:szCs w:val="20"/>
                <w:lang w:eastAsia="en-US"/>
              </w:rPr>
            </w:pPr>
            <w:r w:rsidRPr="00C47DB6">
              <w:rPr>
                <w:rFonts w:eastAsia="Calibri"/>
                <w:sz w:val="20"/>
                <w:szCs w:val="20"/>
                <w:lang w:eastAsia="en-US"/>
              </w:rPr>
              <w:t>SiC: Contexto situacional</w:t>
            </w:r>
          </w:p>
        </w:tc>
        <w:tc>
          <w:tcPr>
            <w:tcW w:w="3024" w:type="dxa"/>
            <w:tcBorders>
              <w:top w:val="single" w:sz="8" w:space="0" w:color="auto"/>
              <w:left w:val="single" w:sz="8" w:space="0" w:color="auto"/>
              <w:bottom w:val="single" w:sz="8" w:space="0" w:color="auto"/>
              <w:right w:val="single" w:sz="8" w:space="0" w:color="auto"/>
            </w:tcBorders>
            <w:shd w:val="clear" w:color="auto" w:fill="auto"/>
          </w:tcPr>
          <w:p w14:paraId="30618C32" w14:textId="77777777" w:rsidR="00E05D72" w:rsidRPr="00C47DB6" w:rsidRDefault="00E05D72" w:rsidP="00E05D72">
            <w:pPr>
              <w:autoSpaceDE w:val="0"/>
              <w:autoSpaceDN w:val="0"/>
              <w:adjustRightInd w:val="0"/>
              <w:jc w:val="both"/>
              <w:rPr>
                <w:rFonts w:eastAsia="Calibri"/>
                <w:sz w:val="20"/>
                <w:szCs w:val="20"/>
                <w:lang w:eastAsia="en-US"/>
              </w:rPr>
            </w:pPr>
            <w:r w:rsidRPr="00C47DB6">
              <w:rPr>
                <w:rFonts w:eastAsia="Calibri"/>
                <w:sz w:val="20"/>
                <w:szCs w:val="20"/>
                <w:lang w:eastAsia="en-US"/>
              </w:rPr>
              <w:t>STV: Edad legal de la víctima (menor/adulto)</w:t>
            </w:r>
          </w:p>
        </w:tc>
        <w:tc>
          <w:tcPr>
            <w:tcW w:w="3025" w:type="dxa"/>
            <w:tcBorders>
              <w:top w:val="single" w:sz="8" w:space="0" w:color="auto"/>
              <w:left w:val="single" w:sz="8" w:space="0" w:color="auto"/>
              <w:bottom w:val="single" w:sz="8" w:space="0" w:color="auto"/>
              <w:right w:val="single" w:sz="8" w:space="0" w:color="auto"/>
            </w:tcBorders>
            <w:shd w:val="clear" w:color="auto" w:fill="auto"/>
          </w:tcPr>
          <w:p w14:paraId="294C27B7" w14:textId="77777777" w:rsidR="00E05D72" w:rsidRPr="00C47DB6" w:rsidRDefault="00E05D72" w:rsidP="00E05D72">
            <w:pPr>
              <w:autoSpaceDE w:val="0"/>
              <w:autoSpaceDN w:val="0"/>
              <w:adjustRightInd w:val="0"/>
              <w:jc w:val="both"/>
              <w:rPr>
                <w:rFonts w:eastAsia="Calibri"/>
                <w:sz w:val="20"/>
                <w:szCs w:val="20"/>
                <w:lang w:eastAsia="en-US"/>
              </w:rPr>
            </w:pPr>
            <w:r w:rsidRPr="00C47DB6">
              <w:rPr>
                <w:rFonts w:eastAsia="Calibri"/>
                <w:sz w:val="20"/>
                <w:szCs w:val="20"/>
                <w:lang w:eastAsia="en-US"/>
              </w:rPr>
              <w:t>STP: Edad legal del agresor (menor/adulto)</w:t>
            </w:r>
          </w:p>
        </w:tc>
      </w:tr>
      <w:tr w:rsidR="00E05D72" w:rsidRPr="00E05D72" w14:paraId="4743F959" w14:textId="77777777" w:rsidTr="00C47DB6">
        <w:trPr>
          <w:trHeight w:val="375"/>
        </w:trPr>
        <w:tc>
          <w:tcPr>
            <w:tcW w:w="3024" w:type="dxa"/>
            <w:tcBorders>
              <w:top w:val="single" w:sz="8" w:space="0" w:color="auto"/>
              <w:left w:val="single" w:sz="8" w:space="0" w:color="auto"/>
              <w:bottom w:val="single" w:sz="8" w:space="0" w:color="auto"/>
              <w:right w:val="single" w:sz="8" w:space="0" w:color="auto"/>
            </w:tcBorders>
            <w:shd w:val="clear" w:color="auto" w:fill="auto"/>
          </w:tcPr>
          <w:p w14:paraId="31B14897" w14:textId="77777777" w:rsidR="00E05D72" w:rsidRPr="00C47DB6" w:rsidRDefault="00E05D72" w:rsidP="00E05D72">
            <w:pPr>
              <w:autoSpaceDE w:val="0"/>
              <w:autoSpaceDN w:val="0"/>
              <w:adjustRightInd w:val="0"/>
              <w:jc w:val="both"/>
              <w:rPr>
                <w:rFonts w:eastAsia="Calibri"/>
                <w:sz w:val="20"/>
                <w:szCs w:val="20"/>
                <w:lang w:eastAsia="en-US"/>
              </w:rPr>
            </w:pPr>
            <w:r w:rsidRPr="00C47DB6">
              <w:rPr>
                <w:rFonts w:eastAsia="Calibri"/>
                <w:sz w:val="20"/>
                <w:szCs w:val="20"/>
                <w:lang w:eastAsia="en-US"/>
              </w:rPr>
              <w:t>Geo: Ubicación geográfica</w:t>
            </w:r>
          </w:p>
        </w:tc>
        <w:tc>
          <w:tcPr>
            <w:tcW w:w="3024" w:type="dxa"/>
            <w:tcBorders>
              <w:top w:val="single" w:sz="8" w:space="0" w:color="auto"/>
              <w:left w:val="single" w:sz="8" w:space="0" w:color="auto"/>
              <w:bottom w:val="single" w:sz="8" w:space="0" w:color="auto"/>
              <w:right w:val="single" w:sz="8" w:space="0" w:color="auto"/>
            </w:tcBorders>
            <w:shd w:val="clear" w:color="auto" w:fill="auto"/>
          </w:tcPr>
          <w:p w14:paraId="793AA65D" w14:textId="77777777" w:rsidR="00E05D72" w:rsidRPr="00C47DB6" w:rsidRDefault="00E05D72" w:rsidP="00E05D72">
            <w:pPr>
              <w:autoSpaceDE w:val="0"/>
              <w:autoSpaceDN w:val="0"/>
              <w:adjustRightInd w:val="0"/>
              <w:jc w:val="both"/>
              <w:rPr>
                <w:rFonts w:eastAsia="Calibri"/>
                <w:sz w:val="20"/>
                <w:szCs w:val="20"/>
                <w:lang w:eastAsia="en-US"/>
              </w:rPr>
            </w:pPr>
            <w:r w:rsidRPr="00C47DB6">
              <w:rPr>
                <w:rFonts w:eastAsia="Calibri"/>
                <w:sz w:val="20"/>
                <w:szCs w:val="20"/>
                <w:lang w:eastAsia="en-US"/>
              </w:rPr>
              <w:t>Cit: Ciudadanía</w:t>
            </w:r>
          </w:p>
        </w:tc>
        <w:tc>
          <w:tcPr>
            <w:tcW w:w="3025" w:type="dxa"/>
            <w:tcBorders>
              <w:top w:val="single" w:sz="8" w:space="0" w:color="auto"/>
              <w:left w:val="single" w:sz="8" w:space="0" w:color="auto"/>
              <w:bottom w:val="single" w:sz="8" w:space="0" w:color="auto"/>
              <w:right w:val="single" w:sz="8" w:space="0" w:color="auto"/>
            </w:tcBorders>
            <w:shd w:val="clear" w:color="auto" w:fill="auto"/>
          </w:tcPr>
          <w:p w14:paraId="5A0D31FF" w14:textId="77777777" w:rsidR="00E05D72" w:rsidRPr="00C47DB6" w:rsidRDefault="00E05D72" w:rsidP="00E05D72">
            <w:pPr>
              <w:autoSpaceDE w:val="0"/>
              <w:autoSpaceDN w:val="0"/>
              <w:adjustRightInd w:val="0"/>
              <w:jc w:val="both"/>
              <w:rPr>
                <w:rFonts w:eastAsia="Calibri"/>
                <w:sz w:val="20"/>
                <w:szCs w:val="20"/>
                <w:lang w:eastAsia="en-US"/>
              </w:rPr>
            </w:pPr>
            <w:r w:rsidRPr="00C47DB6">
              <w:rPr>
                <w:rFonts w:eastAsia="Calibri"/>
                <w:sz w:val="20"/>
                <w:szCs w:val="20"/>
                <w:lang w:eastAsia="en-US"/>
              </w:rPr>
              <w:t>ViP: Relación entre la víctima y el agresor</w:t>
            </w:r>
          </w:p>
        </w:tc>
      </w:tr>
      <w:tr w:rsidR="00E05D72" w:rsidRPr="00E05D72" w14:paraId="1AD12A92" w14:textId="77777777" w:rsidTr="00C47DB6">
        <w:trPr>
          <w:trHeight w:val="250"/>
        </w:trPr>
        <w:tc>
          <w:tcPr>
            <w:tcW w:w="3024" w:type="dxa"/>
            <w:tcBorders>
              <w:top w:val="single" w:sz="8" w:space="0" w:color="auto"/>
              <w:left w:val="single" w:sz="8" w:space="0" w:color="auto"/>
              <w:bottom w:val="single" w:sz="8" w:space="0" w:color="auto"/>
              <w:right w:val="single" w:sz="8" w:space="0" w:color="auto"/>
            </w:tcBorders>
            <w:shd w:val="clear" w:color="auto" w:fill="auto"/>
          </w:tcPr>
          <w:p w14:paraId="15C1B2E3" w14:textId="77777777" w:rsidR="00E05D72" w:rsidRPr="00C47DB6" w:rsidRDefault="00E05D72" w:rsidP="00E05D72">
            <w:pPr>
              <w:autoSpaceDE w:val="0"/>
              <w:autoSpaceDN w:val="0"/>
              <w:adjustRightInd w:val="0"/>
              <w:jc w:val="both"/>
              <w:rPr>
                <w:rFonts w:eastAsia="Calibri"/>
                <w:sz w:val="20"/>
                <w:szCs w:val="20"/>
                <w:lang w:eastAsia="en-US"/>
              </w:rPr>
            </w:pPr>
            <w:r w:rsidRPr="00C47DB6">
              <w:rPr>
                <w:rFonts w:eastAsia="Calibri"/>
                <w:sz w:val="20"/>
                <w:szCs w:val="20"/>
                <w:lang w:eastAsia="en-US"/>
              </w:rPr>
              <w:t>Lo: Tipo de lugar</w:t>
            </w:r>
          </w:p>
        </w:tc>
        <w:tc>
          <w:tcPr>
            <w:tcW w:w="3024" w:type="dxa"/>
            <w:tcBorders>
              <w:top w:val="single" w:sz="8" w:space="0" w:color="auto"/>
              <w:left w:val="single" w:sz="8" w:space="0" w:color="auto"/>
              <w:bottom w:val="single" w:sz="8" w:space="0" w:color="auto"/>
              <w:right w:val="single" w:sz="8" w:space="0" w:color="auto"/>
            </w:tcBorders>
            <w:shd w:val="clear" w:color="auto" w:fill="auto"/>
          </w:tcPr>
          <w:p w14:paraId="42F862FD" w14:textId="77777777" w:rsidR="00E05D72" w:rsidRPr="00C47DB6" w:rsidRDefault="00E05D72" w:rsidP="00E05D72">
            <w:pPr>
              <w:autoSpaceDE w:val="0"/>
              <w:autoSpaceDN w:val="0"/>
              <w:adjustRightInd w:val="0"/>
              <w:jc w:val="both"/>
              <w:rPr>
                <w:rFonts w:eastAsia="Calibri"/>
                <w:sz w:val="20"/>
                <w:szCs w:val="20"/>
                <w:lang w:eastAsia="en-US"/>
              </w:rPr>
            </w:pPr>
            <w:r w:rsidRPr="00C47DB6">
              <w:rPr>
                <w:rFonts w:eastAsia="Calibri"/>
                <w:sz w:val="20"/>
                <w:szCs w:val="20"/>
                <w:lang w:eastAsia="en-US"/>
              </w:rPr>
              <w:t>LS: Condición jurídica de la víctima (persona natural/jurídica)</w:t>
            </w:r>
          </w:p>
        </w:tc>
        <w:tc>
          <w:tcPr>
            <w:tcW w:w="3025" w:type="dxa"/>
            <w:tcBorders>
              <w:top w:val="single" w:sz="8" w:space="0" w:color="auto"/>
              <w:left w:val="single" w:sz="8" w:space="0" w:color="auto"/>
              <w:bottom w:val="single" w:sz="8" w:space="0" w:color="auto"/>
              <w:right w:val="single" w:sz="8" w:space="0" w:color="auto"/>
            </w:tcBorders>
            <w:shd w:val="clear" w:color="auto" w:fill="auto"/>
          </w:tcPr>
          <w:p w14:paraId="4DFA6A69" w14:textId="77777777" w:rsidR="00E05D72" w:rsidRPr="00C47DB6" w:rsidRDefault="00E05D72" w:rsidP="00E05D72">
            <w:pPr>
              <w:autoSpaceDE w:val="0"/>
              <w:autoSpaceDN w:val="0"/>
              <w:adjustRightInd w:val="0"/>
              <w:jc w:val="both"/>
              <w:rPr>
                <w:rFonts w:eastAsia="Calibri"/>
                <w:sz w:val="20"/>
                <w:szCs w:val="20"/>
                <w:lang w:eastAsia="en-US"/>
              </w:rPr>
            </w:pPr>
            <w:r w:rsidRPr="00C47DB6">
              <w:rPr>
                <w:rFonts w:eastAsia="Calibri"/>
                <w:sz w:val="20"/>
                <w:szCs w:val="20"/>
                <w:lang w:eastAsia="en-US"/>
              </w:rPr>
              <w:t>Cit: Ciudadanía</w:t>
            </w:r>
          </w:p>
        </w:tc>
      </w:tr>
      <w:tr w:rsidR="00E05D72" w:rsidRPr="00E05D72" w14:paraId="2EFFEAF2" w14:textId="77777777" w:rsidTr="00C47DB6">
        <w:tblPrEx>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Ex>
        <w:trPr>
          <w:trHeight w:val="513"/>
        </w:trPr>
        <w:tc>
          <w:tcPr>
            <w:tcW w:w="3024" w:type="dxa"/>
            <w:tcBorders>
              <w:top w:val="single" w:sz="8" w:space="0" w:color="auto"/>
              <w:left w:val="single" w:sz="8" w:space="0" w:color="auto"/>
              <w:bottom w:val="single" w:sz="8" w:space="0" w:color="auto"/>
              <w:right w:val="single" w:sz="8" w:space="0" w:color="auto"/>
            </w:tcBorders>
            <w:shd w:val="clear" w:color="auto" w:fill="auto"/>
          </w:tcPr>
          <w:p w14:paraId="655AD025" w14:textId="77777777" w:rsidR="00E05D72" w:rsidRPr="00C47DB6" w:rsidRDefault="00E05D72" w:rsidP="00E05D72">
            <w:pPr>
              <w:autoSpaceDE w:val="0"/>
              <w:autoSpaceDN w:val="0"/>
              <w:adjustRightInd w:val="0"/>
              <w:jc w:val="both"/>
              <w:rPr>
                <w:rFonts w:eastAsia="Calibri"/>
                <w:sz w:val="20"/>
                <w:szCs w:val="20"/>
                <w:lang w:eastAsia="en-US"/>
              </w:rPr>
            </w:pPr>
            <w:r w:rsidRPr="00C47DB6">
              <w:rPr>
                <w:rFonts w:eastAsia="Calibri"/>
                <w:sz w:val="20"/>
                <w:szCs w:val="20"/>
                <w:lang w:eastAsia="en-US"/>
              </w:rPr>
              <w:t>Mot: Motivación</w:t>
            </w:r>
          </w:p>
        </w:tc>
        <w:tc>
          <w:tcPr>
            <w:tcW w:w="3024" w:type="dxa"/>
            <w:tcBorders>
              <w:top w:val="single" w:sz="8" w:space="0" w:color="auto"/>
              <w:left w:val="single" w:sz="8" w:space="0" w:color="auto"/>
              <w:bottom w:val="single" w:sz="8" w:space="0" w:color="auto"/>
              <w:right w:val="single" w:sz="8" w:space="0" w:color="auto"/>
            </w:tcBorders>
            <w:shd w:val="clear" w:color="auto" w:fill="auto"/>
          </w:tcPr>
          <w:p w14:paraId="67F0029E" w14:textId="77777777" w:rsidR="00E05D72" w:rsidRPr="00C47DB6" w:rsidRDefault="00E05D72" w:rsidP="00E05D72">
            <w:pPr>
              <w:autoSpaceDE w:val="0"/>
              <w:autoSpaceDN w:val="0"/>
              <w:adjustRightInd w:val="0"/>
              <w:jc w:val="both"/>
              <w:rPr>
                <w:rFonts w:eastAsia="Calibri"/>
                <w:sz w:val="20"/>
                <w:szCs w:val="20"/>
                <w:lang w:eastAsia="en-US"/>
              </w:rPr>
            </w:pPr>
            <w:r w:rsidRPr="00C47DB6">
              <w:rPr>
                <w:rFonts w:eastAsia="Calibri"/>
                <w:sz w:val="20"/>
                <w:szCs w:val="20"/>
                <w:lang w:eastAsia="en-US"/>
              </w:rPr>
              <w:t>Int: Estado de intoxicación de la víctima</w:t>
            </w:r>
          </w:p>
        </w:tc>
        <w:tc>
          <w:tcPr>
            <w:tcW w:w="3025" w:type="dxa"/>
            <w:tcBorders>
              <w:top w:val="single" w:sz="8" w:space="0" w:color="auto"/>
              <w:left w:val="single" w:sz="8" w:space="0" w:color="auto"/>
              <w:bottom w:val="single" w:sz="8" w:space="0" w:color="auto"/>
              <w:right w:val="single" w:sz="8" w:space="0" w:color="auto"/>
            </w:tcBorders>
            <w:shd w:val="clear" w:color="auto" w:fill="auto"/>
          </w:tcPr>
          <w:p w14:paraId="7DA145CE" w14:textId="77777777" w:rsidR="00E05D72" w:rsidRPr="00C47DB6" w:rsidRDefault="00E05D72" w:rsidP="00E05D72">
            <w:pPr>
              <w:autoSpaceDE w:val="0"/>
              <w:autoSpaceDN w:val="0"/>
              <w:adjustRightInd w:val="0"/>
              <w:jc w:val="both"/>
              <w:rPr>
                <w:rFonts w:eastAsia="Calibri"/>
                <w:sz w:val="20"/>
                <w:szCs w:val="20"/>
                <w:lang w:eastAsia="en-US"/>
              </w:rPr>
            </w:pPr>
            <w:r w:rsidRPr="00C47DB6">
              <w:rPr>
                <w:rFonts w:eastAsia="Calibri"/>
                <w:sz w:val="20"/>
                <w:szCs w:val="20"/>
                <w:lang w:eastAsia="en-US"/>
              </w:rPr>
              <w:t>LS: Condición jurídica del agresor (persona natural/jurídica)</w:t>
            </w:r>
          </w:p>
        </w:tc>
      </w:tr>
      <w:tr w:rsidR="00E05D72" w:rsidRPr="00E05D72" w14:paraId="2FAE67F9" w14:textId="77777777" w:rsidTr="00C47DB6">
        <w:tblPrEx>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Ex>
        <w:trPr>
          <w:trHeight w:val="250"/>
        </w:trPr>
        <w:tc>
          <w:tcPr>
            <w:tcW w:w="3024" w:type="dxa"/>
            <w:tcBorders>
              <w:top w:val="single" w:sz="8" w:space="0" w:color="auto"/>
              <w:left w:val="single" w:sz="8" w:space="0" w:color="auto"/>
              <w:bottom w:val="single" w:sz="8" w:space="0" w:color="auto"/>
              <w:right w:val="single" w:sz="8" w:space="0" w:color="auto"/>
            </w:tcBorders>
            <w:shd w:val="clear" w:color="auto" w:fill="auto"/>
          </w:tcPr>
          <w:p w14:paraId="2AE50A2D" w14:textId="77777777" w:rsidR="00E05D72" w:rsidRPr="00C47DB6" w:rsidRDefault="00E05D72" w:rsidP="00E05D72">
            <w:pPr>
              <w:autoSpaceDE w:val="0"/>
              <w:autoSpaceDN w:val="0"/>
              <w:adjustRightInd w:val="0"/>
              <w:jc w:val="both"/>
              <w:rPr>
                <w:rFonts w:eastAsia="Calibri"/>
                <w:sz w:val="20"/>
                <w:szCs w:val="20"/>
                <w:lang w:eastAsia="en-US"/>
              </w:rPr>
            </w:pPr>
            <w:r w:rsidRPr="00C47DB6">
              <w:rPr>
                <w:rFonts w:eastAsia="Calibri"/>
                <w:sz w:val="20"/>
                <w:szCs w:val="20"/>
                <w:lang w:eastAsia="en-US"/>
              </w:rPr>
              <w:t>Cy: Acto relacionado con la ciberdelincuencia</w:t>
            </w:r>
          </w:p>
        </w:tc>
        <w:tc>
          <w:tcPr>
            <w:tcW w:w="3024" w:type="dxa"/>
            <w:tcBorders>
              <w:top w:val="single" w:sz="8" w:space="0" w:color="auto"/>
              <w:left w:val="single" w:sz="8" w:space="0" w:color="auto"/>
              <w:bottom w:val="single" w:sz="8" w:space="0" w:color="auto"/>
              <w:right w:val="single" w:sz="8" w:space="0" w:color="auto"/>
            </w:tcBorders>
            <w:shd w:val="clear" w:color="auto" w:fill="auto"/>
          </w:tcPr>
          <w:p w14:paraId="2FC42608" w14:textId="77777777" w:rsidR="00E05D72" w:rsidRPr="00C47DB6" w:rsidRDefault="00E05D72" w:rsidP="00E05D72">
            <w:pPr>
              <w:autoSpaceDE w:val="0"/>
              <w:autoSpaceDN w:val="0"/>
              <w:adjustRightInd w:val="0"/>
              <w:jc w:val="both"/>
              <w:rPr>
                <w:rFonts w:eastAsia="Calibri"/>
                <w:sz w:val="20"/>
                <w:szCs w:val="20"/>
                <w:lang w:eastAsia="en-US"/>
              </w:rPr>
            </w:pPr>
            <w:r w:rsidRPr="00C47DB6">
              <w:rPr>
                <w:rFonts w:eastAsia="Calibri"/>
                <w:sz w:val="20"/>
                <w:szCs w:val="20"/>
                <w:lang w:eastAsia="en-US"/>
              </w:rPr>
              <w:t>ES: Sector económico de la víctima</w:t>
            </w:r>
          </w:p>
        </w:tc>
        <w:tc>
          <w:tcPr>
            <w:tcW w:w="3025" w:type="dxa"/>
            <w:tcBorders>
              <w:top w:val="single" w:sz="8" w:space="0" w:color="auto"/>
              <w:left w:val="single" w:sz="8" w:space="0" w:color="auto"/>
              <w:bottom w:val="single" w:sz="8" w:space="0" w:color="auto"/>
              <w:right w:val="single" w:sz="8" w:space="0" w:color="auto"/>
            </w:tcBorders>
            <w:shd w:val="clear" w:color="auto" w:fill="auto"/>
          </w:tcPr>
          <w:p w14:paraId="12F3D7E7" w14:textId="77777777" w:rsidR="00E05D72" w:rsidRPr="00C47DB6" w:rsidRDefault="00E05D72" w:rsidP="00E05D72">
            <w:pPr>
              <w:autoSpaceDE w:val="0"/>
              <w:autoSpaceDN w:val="0"/>
              <w:adjustRightInd w:val="0"/>
              <w:jc w:val="both"/>
              <w:rPr>
                <w:rFonts w:eastAsia="Calibri"/>
                <w:sz w:val="20"/>
                <w:szCs w:val="20"/>
                <w:lang w:eastAsia="en-US"/>
              </w:rPr>
            </w:pPr>
            <w:r w:rsidRPr="00C47DB6">
              <w:rPr>
                <w:rFonts w:eastAsia="Calibri"/>
                <w:sz w:val="20"/>
                <w:szCs w:val="20"/>
                <w:lang w:eastAsia="en-US"/>
              </w:rPr>
              <w:t>Int: Estado de intoxicación del agresor</w:t>
            </w:r>
          </w:p>
        </w:tc>
      </w:tr>
      <w:tr w:rsidR="00E05D72" w:rsidRPr="00E05D72" w14:paraId="6B65CD75" w14:textId="77777777" w:rsidTr="00C47DB6">
        <w:tblPrEx>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Ex>
        <w:trPr>
          <w:trHeight w:val="250"/>
        </w:trPr>
        <w:tc>
          <w:tcPr>
            <w:tcW w:w="3024" w:type="dxa"/>
            <w:tcBorders>
              <w:top w:val="single" w:sz="8" w:space="0" w:color="auto"/>
              <w:left w:val="single" w:sz="8" w:space="0" w:color="auto"/>
              <w:bottom w:val="single" w:sz="8" w:space="0" w:color="auto"/>
              <w:right w:val="single" w:sz="8" w:space="0" w:color="auto"/>
            </w:tcBorders>
            <w:shd w:val="clear" w:color="auto" w:fill="auto"/>
          </w:tcPr>
          <w:p w14:paraId="50D797FE" w14:textId="77777777" w:rsidR="00E05D72" w:rsidRPr="00C47DB6" w:rsidRDefault="00E05D72" w:rsidP="00E05D72">
            <w:pPr>
              <w:autoSpaceDE w:val="0"/>
              <w:autoSpaceDN w:val="0"/>
              <w:adjustRightInd w:val="0"/>
              <w:jc w:val="both"/>
              <w:rPr>
                <w:rFonts w:eastAsia="Calibri"/>
                <w:sz w:val="20"/>
                <w:szCs w:val="20"/>
                <w:lang w:eastAsia="en-US"/>
              </w:rPr>
            </w:pPr>
            <w:r w:rsidRPr="00C47DB6">
              <w:rPr>
                <w:rFonts w:eastAsia="Calibri"/>
                <w:sz w:val="20"/>
                <w:szCs w:val="20"/>
                <w:lang w:eastAsia="en-US"/>
              </w:rPr>
              <w:t>Rep: Denuncia realizada</w:t>
            </w:r>
          </w:p>
        </w:tc>
        <w:tc>
          <w:tcPr>
            <w:tcW w:w="3024" w:type="dxa"/>
            <w:tcBorders>
              <w:top w:val="single" w:sz="8" w:space="0" w:color="auto"/>
              <w:left w:val="single" w:sz="8" w:space="0" w:color="auto"/>
              <w:bottom w:val="single" w:sz="8" w:space="0" w:color="auto"/>
              <w:right w:val="single" w:sz="8" w:space="0" w:color="auto"/>
            </w:tcBorders>
            <w:shd w:val="clear" w:color="auto" w:fill="auto"/>
          </w:tcPr>
          <w:p w14:paraId="79EED19F" w14:textId="77777777" w:rsidR="00E05D72" w:rsidRPr="00C47DB6" w:rsidRDefault="00E05D72" w:rsidP="00E05D72">
            <w:pPr>
              <w:autoSpaceDE w:val="0"/>
              <w:autoSpaceDN w:val="0"/>
              <w:adjustRightInd w:val="0"/>
              <w:jc w:val="both"/>
              <w:rPr>
                <w:rFonts w:eastAsia="Calibri"/>
                <w:sz w:val="20"/>
                <w:szCs w:val="20"/>
                <w:lang w:eastAsia="en-US"/>
              </w:rPr>
            </w:pPr>
          </w:p>
        </w:tc>
        <w:tc>
          <w:tcPr>
            <w:tcW w:w="3025" w:type="dxa"/>
            <w:tcBorders>
              <w:top w:val="single" w:sz="8" w:space="0" w:color="auto"/>
              <w:left w:val="single" w:sz="8" w:space="0" w:color="auto"/>
              <w:bottom w:val="single" w:sz="8" w:space="0" w:color="auto"/>
              <w:right w:val="single" w:sz="8" w:space="0" w:color="auto"/>
            </w:tcBorders>
            <w:shd w:val="clear" w:color="auto" w:fill="auto"/>
          </w:tcPr>
          <w:p w14:paraId="59ECC59C" w14:textId="77777777" w:rsidR="00E05D72" w:rsidRPr="00C47DB6" w:rsidRDefault="00E05D72" w:rsidP="00E05D72">
            <w:pPr>
              <w:autoSpaceDE w:val="0"/>
              <w:autoSpaceDN w:val="0"/>
              <w:adjustRightInd w:val="0"/>
              <w:jc w:val="both"/>
              <w:rPr>
                <w:rFonts w:eastAsia="Calibri"/>
                <w:sz w:val="20"/>
                <w:szCs w:val="20"/>
                <w:lang w:eastAsia="en-US"/>
              </w:rPr>
            </w:pPr>
            <w:r w:rsidRPr="00C47DB6">
              <w:rPr>
                <w:rFonts w:eastAsia="Calibri"/>
                <w:sz w:val="20"/>
                <w:szCs w:val="20"/>
                <w:lang w:eastAsia="en-US"/>
              </w:rPr>
              <w:t>ES: Sector económico del agresor</w:t>
            </w:r>
          </w:p>
        </w:tc>
      </w:tr>
      <w:tr w:rsidR="00E05D72" w:rsidRPr="00E05D72" w14:paraId="6987093D" w14:textId="77777777" w:rsidTr="00C47DB6">
        <w:tblPrEx>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Ex>
        <w:trPr>
          <w:trHeight w:val="250"/>
        </w:trPr>
        <w:tc>
          <w:tcPr>
            <w:tcW w:w="3024" w:type="dxa"/>
            <w:tcBorders>
              <w:top w:val="single" w:sz="8" w:space="0" w:color="auto"/>
              <w:left w:val="single" w:sz="8" w:space="0" w:color="auto"/>
              <w:bottom w:val="single" w:sz="8" w:space="0" w:color="auto"/>
              <w:right w:val="single" w:sz="8" w:space="0" w:color="auto"/>
            </w:tcBorders>
            <w:shd w:val="clear" w:color="auto" w:fill="auto"/>
          </w:tcPr>
          <w:p w14:paraId="3B87EEE6" w14:textId="77777777" w:rsidR="00E05D72" w:rsidRPr="00C47DB6" w:rsidRDefault="00E05D72" w:rsidP="00E05D72">
            <w:pPr>
              <w:autoSpaceDE w:val="0"/>
              <w:autoSpaceDN w:val="0"/>
              <w:adjustRightInd w:val="0"/>
              <w:jc w:val="both"/>
              <w:rPr>
                <w:rFonts w:eastAsia="Calibri"/>
                <w:sz w:val="20"/>
                <w:szCs w:val="20"/>
                <w:lang w:eastAsia="en-US"/>
              </w:rPr>
            </w:pPr>
          </w:p>
        </w:tc>
        <w:tc>
          <w:tcPr>
            <w:tcW w:w="3024" w:type="dxa"/>
            <w:tcBorders>
              <w:top w:val="single" w:sz="8" w:space="0" w:color="auto"/>
              <w:left w:val="single" w:sz="8" w:space="0" w:color="auto"/>
              <w:bottom w:val="single" w:sz="8" w:space="0" w:color="auto"/>
              <w:right w:val="single" w:sz="8" w:space="0" w:color="auto"/>
            </w:tcBorders>
            <w:shd w:val="clear" w:color="auto" w:fill="auto"/>
          </w:tcPr>
          <w:p w14:paraId="68E4CEE2" w14:textId="77777777" w:rsidR="00E05D72" w:rsidRPr="00C47DB6" w:rsidRDefault="00E05D72" w:rsidP="00E05D72">
            <w:pPr>
              <w:autoSpaceDE w:val="0"/>
              <w:autoSpaceDN w:val="0"/>
              <w:adjustRightInd w:val="0"/>
              <w:jc w:val="both"/>
              <w:rPr>
                <w:rFonts w:eastAsia="Calibri"/>
                <w:sz w:val="20"/>
                <w:szCs w:val="20"/>
                <w:lang w:eastAsia="en-US"/>
              </w:rPr>
            </w:pPr>
          </w:p>
        </w:tc>
        <w:tc>
          <w:tcPr>
            <w:tcW w:w="3025" w:type="dxa"/>
            <w:tcBorders>
              <w:top w:val="single" w:sz="8" w:space="0" w:color="auto"/>
              <w:left w:val="single" w:sz="8" w:space="0" w:color="auto"/>
              <w:bottom w:val="single" w:sz="8" w:space="0" w:color="auto"/>
              <w:right w:val="single" w:sz="8" w:space="0" w:color="auto"/>
            </w:tcBorders>
            <w:shd w:val="clear" w:color="auto" w:fill="auto"/>
          </w:tcPr>
          <w:p w14:paraId="2CE1B26F" w14:textId="77777777" w:rsidR="00E05D72" w:rsidRPr="00C47DB6" w:rsidRDefault="00E05D72" w:rsidP="00E05D72">
            <w:pPr>
              <w:autoSpaceDE w:val="0"/>
              <w:autoSpaceDN w:val="0"/>
              <w:adjustRightInd w:val="0"/>
              <w:jc w:val="both"/>
              <w:rPr>
                <w:rFonts w:eastAsia="Calibri"/>
                <w:sz w:val="20"/>
                <w:szCs w:val="20"/>
                <w:lang w:eastAsia="en-US"/>
              </w:rPr>
            </w:pPr>
            <w:r w:rsidRPr="00C47DB6">
              <w:rPr>
                <w:rFonts w:eastAsia="Calibri"/>
                <w:sz w:val="20"/>
                <w:szCs w:val="20"/>
                <w:lang w:eastAsia="en-US"/>
              </w:rPr>
              <w:t>Rec: Condición de reincidente del agresor</w:t>
            </w:r>
          </w:p>
        </w:tc>
      </w:tr>
      <w:tr w:rsidR="00E05D72" w:rsidRPr="00E05D72" w14:paraId="73C3807F" w14:textId="77777777" w:rsidTr="00C47DB6">
        <w:tblPrEx>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Ex>
        <w:trPr>
          <w:trHeight w:val="250"/>
        </w:trPr>
        <w:tc>
          <w:tcPr>
            <w:tcW w:w="3024" w:type="dxa"/>
            <w:tcBorders>
              <w:top w:val="single" w:sz="8" w:space="0" w:color="auto"/>
              <w:left w:val="single" w:sz="8" w:space="0" w:color="auto"/>
              <w:bottom w:val="single" w:sz="8" w:space="0" w:color="auto"/>
              <w:right w:val="single" w:sz="8" w:space="0" w:color="auto"/>
            </w:tcBorders>
            <w:shd w:val="clear" w:color="auto" w:fill="auto"/>
          </w:tcPr>
          <w:p w14:paraId="7C7A5CD9" w14:textId="77777777" w:rsidR="00E05D72" w:rsidRPr="00C47DB6" w:rsidRDefault="00E05D72" w:rsidP="00E05D72">
            <w:pPr>
              <w:autoSpaceDE w:val="0"/>
              <w:autoSpaceDN w:val="0"/>
              <w:adjustRightInd w:val="0"/>
              <w:jc w:val="both"/>
              <w:rPr>
                <w:rFonts w:eastAsia="Calibri"/>
                <w:sz w:val="20"/>
                <w:szCs w:val="20"/>
                <w:lang w:eastAsia="en-US"/>
              </w:rPr>
            </w:pPr>
          </w:p>
        </w:tc>
        <w:tc>
          <w:tcPr>
            <w:tcW w:w="3024" w:type="dxa"/>
            <w:tcBorders>
              <w:top w:val="single" w:sz="8" w:space="0" w:color="auto"/>
              <w:left w:val="single" w:sz="8" w:space="0" w:color="auto"/>
              <w:bottom w:val="single" w:sz="8" w:space="0" w:color="auto"/>
              <w:right w:val="single" w:sz="8" w:space="0" w:color="auto"/>
            </w:tcBorders>
            <w:shd w:val="clear" w:color="auto" w:fill="auto"/>
          </w:tcPr>
          <w:p w14:paraId="7D48DC0D" w14:textId="77777777" w:rsidR="00E05D72" w:rsidRPr="00C47DB6" w:rsidRDefault="00E05D72" w:rsidP="00E05D72">
            <w:pPr>
              <w:autoSpaceDE w:val="0"/>
              <w:autoSpaceDN w:val="0"/>
              <w:adjustRightInd w:val="0"/>
              <w:jc w:val="both"/>
              <w:rPr>
                <w:rFonts w:eastAsia="Calibri"/>
                <w:sz w:val="20"/>
                <w:szCs w:val="20"/>
                <w:lang w:eastAsia="en-US"/>
              </w:rPr>
            </w:pPr>
          </w:p>
        </w:tc>
        <w:tc>
          <w:tcPr>
            <w:tcW w:w="3025" w:type="dxa"/>
            <w:tcBorders>
              <w:top w:val="single" w:sz="8" w:space="0" w:color="auto"/>
              <w:left w:val="single" w:sz="8" w:space="0" w:color="auto"/>
              <w:bottom w:val="single" w:sz="8" w:space="0" w:color="auto"/>
              <w:right w:val="single" w:sz="8" w:space="0" w:color="auto"/>
            </w:tcBorders>
            <w:shd w:val="clear" w:color="auto" w:fill="auto"/>
          </w:tcPr>
          <w:p w14:paraId="6F2EDC3A" w14:textId="77777777" w:rsidR="00E05D72" w:rsidRPr="00C47DB6" w:rsidRDefault="00E05D72" w:rsidP="00E05D72">
            <w:pPr>
              <w:autoSpaceDE w:val="0"/>
              <w:autoSpaceDN w:val="0"/>
              <w:adjustRightInd w:val="0"/>
              <w:jc w:val="both"/>
              <w:rPr>
                <w:rFonts w:eastAsia="Calibri"/>
                <w:sz w:val="20"/>
                <w:szCs w:val="20"/>
                <w:lang w:eastAsia="en-US"/>
              </w:rPr>
            </w:pPr>
            <w:r w:rsidRPr="00C47DB6">
              <w:rPr>
                <w:rFonts w:eastAsia="Calibri"/>
                <w:sz w:val="20"/>
                <w:szCs w:val="20"/>
                <w:lang w:eastAsia="en-US"/>
              </w:rPr>
              <w:t>ES: Actividad económica del agresor</w:t>
            </w:r>
          </w:p>
        </w:tc>
      </w:tr>
    </w:tbl>
    <w:p w14:paraId="2E2589D7" w14:textId="77777777" w:rsidR="00E05D72" w:rsidRPr="00E05D72" w:rsidRDefault="00E05D72" w:rsidP="00E05D72">
      <w:pPr>
        <w:spacing w:after="360" w:line="360" w:lineRule="auto"/>
        <w:ind w:right="-159"/>
        <w:jc w:val="both"/>
        <w:rPr>
          <w:rFonts w:eastAsia="Calibri"/>
          <w:sz w:val="26"/>
          <w:szCs w:val="26"/>
          <w:lang w:eastAsia="en-US"/>
        </w:rPr>
      </w:pPr>
    </w:p>
    <w:p w14:paraId="7125C0C3" w14:textId="77777777" w:rsidR="00E05D72" w:rsidRPr="00E05D72" w:rsidRDefault="00E05D72" w:rsidP="00276F3E">
      <w:pPr>
        <w:numPr>
          <w:ilvl w:val="0"/>
          <w:numId w:val="100"/>
        </w:numPr>
        <w:spacing w:after="360" w:line="360" w:lineRule="auto"/>
        <w:ind w:left="357" w:right="-159" w:hanging="357"/>
        <w:jc w:val="both"/>
        <w:rPr>
          <w:rFonts w:eastAsia="Calibri"/>
          <w:sz w:val="26"/>
          <w:szCs w:val="26"/>
          <w:lang w:eastAsia="en-US"/>
        </w:rPr>
      </w:pPr>
      <w:r w:rsidRPr="00E05D72">
        <w:rPr>
          <w:rFonts w:eastAsia="Calibri"/>
          <w:b/>
          <w:bCs/>
          <w:sz w:val="26"/>
          <w:szCs w:val="26"/>
          <w:lang w:eastAsia="en-US"/>
        </w:rPr>
        <w:t>Aplicación de la Clasificación Internacional de Delitos con fines estadísticos</w:t>
      </w:r>
    </w:p>
    <w:p w14:paraId="5060F9DE" w14:textId="77777777" w:rsidR="00E05D72" w:rsidRPr="00E05D72" w:rsidRDefault="00E05D72" w:rsidP="00E05D72">
      <w:pPr>
        <w:spacing w:after="360" w:line="360" w:lineRule="auto"/>
        <w:ind w:right="-159"/>
        <w:jc w:val="both"/>
        <w:rPr>
          <w:rFonts w:eastAsia="Calibri"/>
          <w:sz w:val="26"/>
          <w:szCs w:val="26"/>
          <w:lang w:eastAsia="en-US"/>
        </w:rPr>
      </w:pPr>
      <w:r w:rsidRPr="00E05D72">
        <w:rPr>
          <w:rFonts w:eastAsia="Calibri"/>
          <w:sz w:val="26"/>
          <w:szCs w:val="26"/>
          <w:lang w:eastAsia="en-US"/>
        </w:rPr>
        <w:t xml:space="preserve">La implementación de la </w:t>
      </w:r>
      <w:r w:rsidRPr="00E05D72">
        <w:rPr>
          <w:rFonts w:eastAsia="Calibri"/>
          <w:bCs/>
          <w:sz w:val="26"/>
          <w:szCs w:val="26"/>
          <w:lang w:eastAsia="en-US"/>
        </w:rPr>
        <w:t xml:space="preserve">ICCS </w:t>
      </w:r>
      <w:r w:rsidRPr="00E05D72">
        <w:rPr>
          <w:rFonts w:eastAsia="Calibri"/>
          <w:sz w:val="26"/>
          <w:szCs w:val="26"/>
          <w:lang w:eastAsia="en-US"/>
        </w:rPr>
        <w:t xml:space="preserve">a nivel de los países será un proceso gradual, que requerirá de un cuidadoso mapeo de los delitos de cada país en el marco del Clasificación. La adecuación o desarrollo de tablas de correspondencia nacionales entre la </w:t>
      </w:r>
      <w:r w:rsidRPr="00E05D72">
        <w:rPr>
          <w:rFonts w:eastAsia="Calibri"/>
          <w:bCs/>
          <w:sz w:val="26"/>
          <w:szCs w:val="26"/>
          <w:lang w:eastAsia="en-US"/>
        </w:rPr>
        <w:t xml:space="preserve">ICCS </w:t>
      </w:r>
      <w:r w:rsidRPr="00E05D72">
        <w:rPr>
          <w:rFonts w:eastAsia="Calibri"/>
          <w:sz w:val="26"/>
          <w:szCs w:val="26"/>
          <w:lang w:eastAsia="en-US"/>
        </w:rPr>
        <w:t xml:space="preserve">y las clasificaciones nacionales del delito facilitarán la implementación de la Clasificación en cada país. Para apoyar el proceso, la UNODC en coordinación con el Centro de Excelencia para Información Estadística de Gobierno, Seguridad Pública, Victimización y Justicia (UNODC-INEGI) desarrollarán herramientas adicionales y documentos, incluyendo un manual de aplicación para facilitar el mapeo de los datos nacionales considerando la estructura de la </w:t>
      </w:r>
      <w:r w:rsidRPr="00E05D72">
        <w:rPr>
          <w:rFonts w:eastAsia="Calibri"/>
          <w:bCs/>
          <w:sz w:val="26"/>
          <w:szCs w:val="26"/>
          <w:lang w:eastAsia="en-US"/>
        </w:rPr>
        <w:t xml:space="preserve">Clasificación Internacional de Delitos con Fines Estadísticos. </w:t>
      </w:r>
      <w:r w:rsidRPr="00E05D72">
        <w:rPr>
          <w:rFonts w:eastAsia="Calibri"/>
          <w:sz w:val="26"/>
          <w:szCs w:val="26"/>
          <w:lang w:eastAsia="en-US"/>
        </w:rPr>
        <w:t xml:space="preserve">El manual de implementación constará de diferentes volúmenes </w:t>
      </w:r>
      <w:r w:rsidRPr="00E05D72">
        <w:rPr>
          <w:rFonts w:eastAsia="Calibri"/>
          <w:sz w:val="26"/>
          <w:szCs w:val="26"/>
          <w:lang w:eastAsia="en-US"/>
        </w:rPr>
        <w:lastRenderedPageBreak/>
        <w:t>destinados a ayudar a los países a adaptar gradualmente las estadísticas sobre delincuencia a la Clasificación Internacional. A través del manual se buscará también abordar el mapeo de los sistemas de registros administrativos de delitos, los datos generados a partir de las encuestas de victimización, así como reglas para el conteo y la codificación de los delitos con fines estadísticos.</w:t>
      </w:r>
    </w:p>
    <w:p w14:paraId="4D16820C" w14:textId="77777777" w:rsidR="00E05D72" w:rsidRPr="00E05D72" w:rsidRDefault="00E05D72" w:rsidP="00276F3E">
      <w:pPr>
        <w:numPr>
          <w:ilvl w:val="0"/>
          <w:numId w:val="100"/>
        </w:numPr>
        <w:spacing w:after="360"/>
        <w:ind w:left="357" w:right="-159" w:hanging="357"/>
        <w:jc w:val="both"/>
        <w:rPr>
          <w:rFonts w:eastAsia="Calibri"/>
          <w:sz w:val="26"/>
          <w:szCs w:val="26"/>
          <w:lang w:eastAsia="en-US"/>
        </w:rPr>
      </w:pPr>
      <w:r w:rsidRPr="00E05D72">
        <w:rPr>
          <w:rFonts w:eastAsia="Calibri"/>
          <w:b/>
          <w:bCs/>
          <w:sz w:val="26"/>
          <w:szCs w:val="26"/>
          <w:lang w:eastAsia="en-US"/>
        </w:rPr>
        <w:t>Aplicación en México de los Estándares Internacionales a las Metodologías y Normas Técnicas en materia de Clasificación de Delitos con fines estadísticos</w:t>
      </w:r>
    </w:p>
    <w:p w14:paraId="4214EF25" w14:textId="61470FA6" w:rsidR="00E05D72" w:rsidRDefault="00E05D72" w:rsidP="00E05D72">
      <w:pPr>
        <w:spacing w:after="360" w:line="360" w:lineRule="auto"/>
        <w:ind w:right="-159"/>
        <w:jc w:val="both"/>
        <w:rPr>
          <w:rFonts w:eastAsia="Calibri"/>
          <w:sz w:val="26"/>
          <w:szCs w:val="26"/>
          <w:lang w:eastAsia="en-US"/>
        </w:rPr>
      </w:pPr>
      <w:r w:rsidRPr="00E05D72">
        <w:rPr>
          <w:rFonts w:eastAsia="Calibri"/>
          <w:sz w:val="26"/>
          <w:szCs w:val="26"/>
          <w:lang w:eastAsia="en-US"/>
        </w:rPr>
        <w:t xml:space="preserve">Una vez aprobada la </w:t>
      </w:r>
      <w:r w:rsidRPr="00E05D72">
        <w:rPr>
          <w:rFonts w:eastAsia="Calibri"/>
          <w:bCs/>
          <w:sz w:val="26"/>
          <w:szCs w:val="26"/>
          <w:lang w:eastAsia="en-US"/>
        </w:rPr>
        <w:t>ICCS</w:t>
      </w:r>
      <w:r w:rsidRPr="00E05D72">
        <w:rPr>
          <w:rFonts w:eastAsia="Calibri"/>
          <w:sz w:val="26"/>
          <w:szCs w:val="26"/>
          <w:lang w:eastAsia="en-US"/>
        </w:rPr>
        <w:t>, corresponde ahora al INEGI como órgano coordinador y rector del Sistema Nacional de Información Estadística y Geográfica (SNIEG), así como a los diversos órganos colegiados que conforman al Subsistema Nacional de</w:t>
      </w:r>
      <w:r w:rsidR="003810B3">
        <w:rPr>
          <w:rFonts w:eastAsia="Calibri"/>
          <w:sz w:val="26"/>
          <w:szCs w:val="26"/>
          <w:lang w:eastAsia="en-US"/>
        </w:rPr>
        <w:t xml:space="preserve"> </w:t>
      </w:r>
      <w:r w:rsidRPr="00E05D72">
        <w:rPr>
          <w:rFonts w:eastAsia="Calibri"/>
          <w:sz w:val="26"/>
          <w:szCs w:val="26"/>
          <w:lang w:eastAsia="en-US"/>
        </w:rPr>
        <w:t xml:space="preserve">Información de Gobierno, Seguridad Pública e Impartición de Justicia, hacer una revisión de los diversos documentos conceptuales, metodológicos y operativos que tienen por objeto producir información estadística en estas materias, a efecto de tomar en consideración esta nueva Clasificación como el estándar internacional e incorporarla en sus procesos de discusión y promover los ajustes pertinentes a los documentos locales. </w:t>
      </w:r>
    </w:p>
    <w:p w14:paraId="382726E6" w14:textId="77777777" w:rsidR="00E05D72" w:rsidRPr="00E05D72" w:rsidRDefault="00E05D72" w:rsidP="00E05D72">
      <w:pPr>
        <w:spacing w:after="360" w:line="360" w:lineRule="auto"/>
        <w:ind w:right="-159"/>
        <w:jc w:val="both"/>
        <w:rPr>
          <w:rFonts w:eastAsia="Calibri"/>
          <w:sz w:val="26"/>
          <w:szCs w:val="26"/>
          <w:lang w:eastAsia="en-US"/>
        </w:rPr>
      </w:pPr>
      <w:r w:rsidRPr="00E05D72">
        <w:rPr>
          <w:rFonts w:eastAsia="Calibri"/>
          <w:sz w:val="26"/>
          <w:szCs w:val="26"/>
          <w:lang w:eastAsia="en-US"/>
        </w:rPr>
        <w:t xml:space="preserve">En este marco, en México la </w:t>
      </w:r>
      <w:r w:rsidRPr="00E05D72">
        <w:rPr>
          <w:rFonts w:eastAsia="Calibri"/>
          <w:bCs/>
          <w:sz w:val="26"/>
          <w:szCs w:val="26"/>
          <w:lang w:eastAsia="en-US"/>
        </w:rPr>
        <w:t xml:space="preserve">Norma Técnica para la Clasificación Nacional de Delitos del Fuero Común para Fines Estadísticos </w:t>
      </w:r>
      <w:r w:rsidRPr="00E05D72">
        <w:rPr>
          <w:rFonts w:eastAsia="Calibri"/>
          <w:sz w:val="26"/>
          <w:szCs w:val="26"/>
          <w:lang w:eastAsia="en-US"/>
        </w:rPr>
        <w:t>deberá tomar de manera particular lo establecido por la nueva Clasificación Internacional. Si bien esta Norma Técnica en su elaboración e implementación adoptó los marcos que a nivel internacional existían en la materia, ahora que se ha formalizado la aprobación del estándar internacional, se deberá asegurar la correcta alineación a dicha Clasificación e incluso abrir el espacio para considerar también los delitos del Fuero Federal, proceso en el que se encuentra ya trabajando el INEGI.</w:t>
      </w:r>
    </w:p>
    <w:p w14:paraId="510C11D5" w14:textId="77777777" w:rsidR="00E05D72" w:rsidRPr="00E05D72" w:rsidRDefault="00E05D72" w:rsidP="00E05D72">
      <w:pPr>
        <w:ind w:right="-159"/>
        <w:jc w:val="both"/>
        <w:rPr>
          <w:rFonts w:eastAsia="Calibri"/>
          <w:b/>
          <w:sz w:val="20"/>
          <w:szCs w:val="20"/>
          <w:lang w:eastAsia="en-US"/>
        </w:rPr>
      </w:pPr>
      <w:r w:rsidRPr="00E05D72">
        <w:rPr>
          <w:rFonts w:eastAsia="Calibri"/>
          <w:b/>
          <w:sz w:val="20"/>
          <w:szCs w:val="20"/>
          <w:lang w:eastAsia="en-US"/>
        </w:rPr>
        <w:t>Fuente de información:</w:t>
      </w:r>
    </w:p>
    <w:p w14:paraId="5714EEC5" w14:textId="77777777" w:rsidR="00E05D72" w:rsidRPr="001B4DFF" w:rsidRDefault="0093224F" w:rsidP="00E05D72">
      <w:pPr>
        <w:ind w:right="-159"/>
        <w:jc w:val="both"/>
        <w:rPr>
          <w:rFonts w:eastAsia="Calibri"/>
          <w:color w:val="0000FF"/>
          <w:sz w:val="20"/>
          <w:szCs w:val="20"/>
          <w:lang w:eastAsia="en-US"/>
        </w:rPr>
      </w:pPr>
      <w:hyperlink r:id="rId315" w:history="1">
        <w:r w:rsidR="00E05D72" w:rsidRPr="001B4DFF">
          <w:rPr>
            <w:rFonts w:eastAsia="Calibri"/>
            <w:color w:val="0000FF"/>
            <w:sz w:val="20"/>
            <w:szCs w:val="20"/>
            <w:u w:val="single"/>
            <w:lang w:eastAsia="en-US"/>
          </w:rPr>
          <w:t>http://www.inegi.org.mx/saladeprensa/boletines/2015/especiales/especiales2015_03_3.pdf</w:t>
        </w:r>
      </w:hyperlink>
      <w:r w:rsidR="00E05D72" w:rsidRPr="001B4DFF">
        <w:rPr>
          <w:rFonts w:eastAsia="Calibri"/>
          <w:color w:val="0000FF"/>
          <w:sz w:val="20"/>
          <w:szCs w:val="20"/>
          <w:lang w:eastAsia="en-US"/>
        </w:rPr>
        <w:t xml:space="preserve"> </w:t>
      </w:r>
    </w:p>
    <w:p w14:paraId="5918E5F7" w14:textId="1EED7453" w:rsidR="008E27D4" w:rsidRDefault="008E27D4">
      <w:pPr>
        <w:rPr>
          <w:rFonts w:eastAsia="Calibri"/>
          <w:sz w:val="26"/>
          <w:szCs w:val="26"/>
          <w:lang w:eastAsia="en-US"/>
        </w:rPr>
      </w:pPr>
      <w:r>
        <w:rPr>
          <w:rFonts w:eastAsia="Calibri"/>
          <w:sz w:val="26"/>
          <w:szCs w:val="26"/>
          <w:lang w:eastAsia="en-US"/>
        </w:rPr>
        <w:br w:type="page"/>
      </w:r>
    </w:p>
    <w:p w14:paraId="51CCEA04" w14:textId="77777777" w:rsidR="00502AED" w:rsidRPr="00510A2F" w:rsidRDefault="00012C3A" w:rsidP="0015239D">
      <w:pPr>
        <w:spacing w:after="360" w:line="360" w:lineRule="auto"/>
        <w:ind w:right="-159"/>
        <w:jc w:val="both"/>
        <w:rPr>
          <w:b/>
          <w:color w:val="0000FF"/>
          <w:sz w:val="28"/>
          <w:szCs w:val="28"/>
        </w:rPr>
      </w:pPr>
      <w:r w:rsidRPr="00510A2F">
        <w:rPr>
          <w:b/>
          <w:color w:val="0000FF"/>
          <w:sz w:val="28"/>
          <w:szCs w:val="28"/>
        </w:rPr>
        <w:lastRenderedPageBreak/>
        <w:t>POLÍTICA FINANCIERA Y CREDITICIA</w:t>
      </w:r>
    </w:p>
    <w:p w14:paraId="7EFF5B1F" w14:textId="77777777" w:rsidR="003711B9" w:rsidRPr="003711B9" w:rsidRDefault="003711B9" w:rsidP="003711B9">
      <w:pPr>
        <w:rPr>
          <w:rFonts w:eastAsia="Calibri"/>
          <w:b/>
          <w:sz w:val="26"/>
          <w:szCs w:val="26"/>
          <w:lang w:eastAsia="en-US"/>
        </w:rPr>
      </w:pPr>
      <w:r w:rsidRPr="003711B9">
        <w:rPr>
          <w:rFonts w:eastAsia="Calibri"/>
          <w:b/>
          <w:sz w:val="26"/>
          <w:szCs w:val="26"/>
          <w:lang w:eastAsia="en-US"/>
        </w:rPr>
        <w:t>Palabras del Secretario de la SHCP</w:t>
      </w:r>
    </w:p>
    <w:p w14:paraId="2557A99A" w14:textId="77777777" w:rsidR="003711B9" w:rsidRPr="003711B9" w:rsidRDefault="003711B9" w:rsidP="003711B9">
      <w:pPr>
        <w:rPr>
          <w:rFonts w:eastAsia="Calibri"/>
          <w:b/>
          <w:sz w:val="26"/>
          <w:szCs w:val="26"/>
          <w:lang w:eastAsia="en-US"/>
        </w:rPr>
      </w:pPr>
      <w:r w:rsidRPr="003711B9">
        <w:rPr>
          <w:rFonts w:eastAsia="Calibri"/>
          <w:b/>
          <w:sz w:val="26"/>
          <w:szCs w:val="26"/>
          <w:lang w:eastAsia="en-US"/>
        </w:rPr>
        <w:t>durante  la  inauguración  de  la 78ª</w:t>
      </w:r>
    </w:p>
    <w:p w14:paraId="2F123DCE" w14:textId="77777777" w:rsidR="003711B9" w:rsidRPr="003711B9" w:rsidRDefault="003711B9" w:rsidP="003711B9">
      <w:pPr>
        <w:spacing w:after="360" w:line="360" w:lineRule="auto"/>
        <w:ind w:right="-159"/>
        <w:jc w:val="both"/>
        <w:rPr>
          <w:rFonts w:eastAsia="Calibri"/>
          <w:b/>
          <w:sz w:val="26"/>
          <w:szCs w:val="26"/>
          <w:lang w:eastAsia="en-US"/>
        </w:rPr>
      </w:pPr>
      <w:r w:rsidRPr="003711B9">
        <w:rPr>
          <w:rFonts w:eastAsia="Calibri"/>
          <w:b/>
          <w:sz w:val="26"/>
          <w:szCs w:val="26"/>
          <w:lang w:eastAsia="en-US"/>
        </w:rPr>
        <w:t>Convención Bancaria (SHCP)</w:t>
      </w:r>
    </w:p>
    <w:p w14:paraId="69D9DEE6"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El 19 de marzo de 2015, el titular de la Secretaría de Hacienda y Crédito Público (SHCP) ofreció un mensaje durante la 78° Convención Bancaria. A continuación se presentan las palabras del funcionario.</w:t>
      </w:r>
    </w:p>
    <w:p w14:paraId="6649204D"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 xml:space="preserve">El Secretario de Hacienda y Crédito Público:  </w:t>
      </w:r>
    </w:p>
    <w:p w14:paraId="1E6928C1"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Muchas gracias, es un privilegio estar aquí con ustedes, con la Banca Mexicana en la inauguración de esta 78° Convención Bancaria.</w:t>
      </w:r>
    </w:p>
    <w:p w14:paraId="434D347A"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Saludo en primer lugar al Gobernador  del Banco de México, al Dr. Agustín Carstens;</w:t>
      </w:r>
    </w:p>
    <w:p w14:paraId="03E3074A"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Saludo a nuestro anfitrión, a Luis Robles, Presidente de la Asociación de Bancos de México y a su Presidente Ejecutivo, Alberto Gómez Alcalá, y al saludarlos a ellos a todo el Comité Ejecutivo, tanto el saliente como el entrante de la Asociación de Bancos de México; y a todas las mujeres y hombres que constituyen este importantísimo sector para la economía mexicana.</w:t>
      </w:r>
    </w:p>
    <w:p w14:paraId="379B42A1"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Por supuesto, saludo respetuosamente a los representantes en la Cámara de Diputados, al Diputado Tomás Torres, Vicepresidente de la Mesa Directiva y quiero destacar a la primera mujer que preside la Comisión de Hacienda de la Cámara de Diputados, la Diputada Aurora Aguilar.</w:t>
      </w:r>
    </w:p>
    <w:p w14:paraId="5A57DC6D"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Sin lugar a dudas, en estas 120 semanas que lleva la administración del Presidente Enrique Peña Nieto, han pasado muchas cosas y cosas muy buenas en el sector financiero mexicano, en la banca mexicana.</w:t>
      </w:r>
    </w:p>
    <w:p w14:paraId="77B01570"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lastRenderedPageBreak/>
        <w:t>En tan solo 120 semanas se han logrado transformaciones de fondo, un nuevo marco jurídico, que como lo relataba Jaime, con una transformación que en otros tiempos duraba años se hizo en un período muy corto. Ha aumentado el crédito, ha aumentado el ahorro y se ha fortalecido la solidez del sistema. Y esto, si bien es cierto, hay mucha gente que participa, es un logro, es un mérito fundamentalmente de las mujeres y los hombres que dirigen y trabajan en los bancos mexicanos.</w:t>
      </w:r>
    </w:p>
    <w:p w14:paraId="393373B5"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La Reforma Financiera, una de las 11 reformas transformadoras, estructurales, que impulsó el Presidente Enrique Peña Nieto desde el inicio de su mandato y que aprobó el Congreso de la Unión, es el resultado del trabajo de mucha gente.</w:t>
      </w:r>
    </w:p>
    <w:p w14:paraId="05EAB0B6"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Quiero reconocer, en primer lugar, la aportación a esta reforma que hizo el Banco de México. Tal vez poca gente lo sabe, pero muchos de los textos, muchas de las propuestas vinieron del Banco de México.</w:t>
      </w:r>
    </w:p>
    <w:p w14:paraId="1789F44F"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También de la Asociación de Bancos de México, que nos dieron recomendaciones muy puntuales, diagnósticos precisos, propuestas incluso de textos que fueron después incorporadas a la mesa de redacción de la Reforma Financiera.</w:t>
      </w:r>
    </w:p>
    <w:p w14:paraId="226E4B66"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Quiero aprovechar este espacio para hacer un reconocimiento a quienes de manera desinteresada y debo decirlo con un gran sentido de responsabilidad y amor a México, encabezando la Asociación de Bancos de México, ha participado en este proceso de reformas.</w:t>
      </w:r>
    </w:p>
    <w:p w14:paraId="7C4F5394"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Quiero expresar mi mayor reconocimiento a Luis Robles y también desde aquí a Javier Arrigunaga, que encabezaron por parte de la ABM este proceso.</w:t>
      </w:r>
    </w:p>
    <w:p w14:paraId="0A465891"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Y, por supuesto, la Reforma Financiera, ni ninguna otra reforma puede entenderse y ocurrir sin la participación del Congreso de la Unión.</w:t>
      </w:r>
    </w:p>
    <w:p w14:paraId="47C079A2"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lastRenderedPageBreak/>
        <w:t>Particularmente, en el caso de la Reforma Financiera de la Cámara de Diputados, que fue la Cámara de origen, que recibió una iniciativa avalada por el Pacto por México, y que hizo más de 500 modificaciones a las iniciativas, 34 leyes que se modificaron, y que sin duda logró una mejor Reforma Financiera que la que originalmente se había planteado, y por supuesto como Cámara Revisora al Senado de la República, que aprobó sin cambios la minuta recibida de la Cámara de Diputados.</w:t>
      </w:r>
    </w:p>
    <w:p w14:paraId="3E071637"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La Reforma Financiera entró en vigor en enero de 2014, y a partir de entonces -como redactaba Jaime González hace un momento- empezó un proceso muy intenso de adaptación de la regulación secundaria: el Banco de México, la Comisión Nacional Bancaria y de Valores y la Secretaría de Hacienda trabajando de la mano con todo el sistema financiero, incluyendo de manera muy destacada a los Bancos, iniciamos un proceso de adecuación, de transformación de las reglas de operación del Sistema Bancario; y 2014 ha sido el año tal vez en la historia con una transformación más profunda al Sistema Financiero.</w:t>
      </w:r>
    </w:p>
    <w:p w14:paraId="30EC1812"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La buena noticia es que esto se logró y ahora podemos ver hacia adelante estabilidad en las reglas del sistema financiero.</w:t>
      </w:r>
    </w:p>
    <w:p w14:paraId="6C642714"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La Reforma empieza a dar algunos resultados, unos primeros resultados que nos muestran que vamos por el camino correcto:</w:t>
      </w:r>
    </w:p>
    <w:p w14:paraId="593C217A"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El crédito, que al cierre del año 2012 representaba el 25.7% del Producto Interno Bruto, hoy representa ya más del 29%, al cierre de 2014, 29.2%. Pero no solamente está aumentando la oferta de crédito, sino que el crédito se está volviendo más barato, particularmente para las pequeñas y medianas empresas, comparando las tasas que prevalecían al cierre de 2012 con las que prevalecen actualmente, por ejemplo para las micro, pequeñas y medianas empresas, vemos una reducción en promedio de 8 puntos porcentuales en las tasas de interés.</w:t>
      </w:r>
    </w:p>
    <w:p w14:paraId="72DD1EDB"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lastRenderedPageBreak/>
        <w:t>El crédito a las personas, el crédito personal ha disminuido en promedio 9 puntos porcentuales las tasas de interés, y tenemos nuevos productos; por ejemplo, los créditos a las mujeres, pequeñas productoras del campo, que hoy se ofrecen a tasas del 6.5% sin necesidad de una garantía real.</w:t>
      </w:r>
    </w:p>
    <w:p w14:paraId="27F5BA16"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La Reforma Financiera empieza a rendir frutos, empieza a ser una Reforma que está en acción, no solamente por el lado del crédito, sino también por el lado del ahorro; el ahorro financiero interno creció de 2012 de un 55.8% del PIB a un 61.9% al cierre de 2014.</w:t>
      </w:r>
    </w:p>
    <w:p w14:paraId="18F0A1A8"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Y la Banca de Desarrollo, la Banca del Estado, hoy tiene un nuevo mandato y tiene un nuevo papel, que es actuar realmente como una palanca de crecimiento en colaboración con la Banca Comercial y otros intermediarios del Sistema Financiero para llevar el crédito a donde todavía no llega, para hacer el crédito más barato y para cubrir aquellos espacios donde el Sistema Financiero aún no se ha desarrollado.</w:t>
      </w:r>
    </w:p>
    <w:p w14:paraId="62765E54"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La Banca de Desarrollo es en primer lugar y debe ser en primer lugar una Banca de Desarrollo del Sistema Financiero, no se trata que la Banca de Desarrollo compita con la Banca Comercial; al contrario, la Banca de Desarrollo debe de trabajar con creatividad y con flexibilidad para hacer más potente el impacto de la Banca Comercial: en la vivienda, en el fomento a las pequeñas y medianas empresas, en el campo, en todos los sectores, donde trabaja la Banca Comercial, ahí debe estar la Banca de Desarrollo para hacer equipo con ella y con otros intermediarios del Sistema Financiero Mexicano.</w:t>
      </w:r>
    </w:p>
    <w:p w14:paraId="720DB479"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Quiero destacar que en las últimas 120 semanas se han logrado también algunos hechos notables en la fortaleza y desarrollo del sistema bancario mexicano.</w:t>
      </w:r>
    </w:p>
    <w:p w14:paraId="12D17EBF"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lastRenderedPageBreak/>
        <w:t>El grupo de acción financiera internacional en materia de lavado de dinero, como ya se refirió aquí hace un momento, dio la más alta calificación de cumplimiento a México en materia de lavado de dinero.</w:t>
      </w:r>
    </w:p>
    <w:p w14:paraId="09F81160"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Hay que recordar que apenas en 2008 México no cumplía 25 de las 49 recomendaciones. Hoy cumpliendo la última, que fue la modificación al Código Penal en el año de 2014, México ha cumplido al 100% con las recomendaciones de este Grupo.</w:t>
      </w:r>
    </w:p>
    <w:p w14:paraId="0CBF34E5"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Y como ya se mencionó hace un momento: algo notable que tal vez para quien no tiene cercanía con el sector financiero, no se entienda la magnitud de este dato, el Comité de Basilea apenas el lunes de esta semana ha informado que México alcanzó el más alto grado de cumplimiento a las normas y a las recomendaciones en materia de capitalización y liquidez del sistema bancario; es decir, esto significa que en opinión de la máxima autoridad internacional en la materia, el sistema bancario mexicano es más sólido, es más fuerte, que el sistema bancario en Estados Unidos de Norteamérica y definitivamente más sólido que el sistema bancario europeo.</w:t>
      </w:r>
    </w:p>
    <w:p w14:paraId="1E5CDE54"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Y esto, amigas y amigos de la Banca Mexicana, es un mérito de ustedes. Esto se debe al trabajo de más de 220 mil mexicanos que trabajan en 45 instituciones de crédito que todos los días trabajan al dar crédito, al fomentar el ahorro; al proveer servicios financieros, trabajan por México.</w:t>
      </w:r>
    </w:p>
    <w:p w14:paraId="6BCA0BA3"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La Banca es un instrumento fundamental para el crecimiento económico, y junto con la Reforma Financiera se han hecho otros cambios de fondo, cambios transformadores para impulsar el crecimiento económico, no solamente en los próximos meses o en los próximos trimestres, sino en los próximos años y en las próximas décadas.</w:t>
      </w:r>
    </w:p>
    <w:p w14:paraId="412D6539"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lastRenderedPageBreak/>
        <w:t>Ustedes las conocen bien, las 11 reformas transformadoras, que con el liderazgo del Presidente Enrique Peña Nieto y el apoyo del Congreso de la Unión y de las fuerzas políticas de México ha logrado nuestro País.</w:t>
      </w:r>
    </w:p>
    <w:p w14:paraId="05912309"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Una prioridad fundamental para el Gobierno del Presidente Enrique Peña Nieto es ahora la implementación de las Reformas estructurales, llevar las reformas de la Constitución y la Ley a la acción, a cambiar la realidad de las familias y las empresas mexicanas.</w:t>
      </w:r>
    </w:p>
    <w:p w14:paraId="2BF9D641"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Y sin duda, esto requiere una implementación exhaustiva y oportuna, en el cual la realidad de las reformas esté a la altura de la oportunidad que han abierto el Constituyente permanente y el Congreso de la Unión.</w:t>
      </w:r>
    </w:p>
    <w:p w14:paraId="2A9D481E"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Tengan ustedes la certeza de que el Gobierno de la República trabaja todos los días para lograr la implementación exhaustiva, insisto, y oportuna de las reformas.</w:t>
      </w:r>
    </w:p>
    <w:p w14:paraId="6EE46BD4"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Y empezamos a ver, como decía Agustín hace un momento, ya algunos resultados que son muy alentadores y que se reflejan en los bolsillos de las familias mexicanas y en las empresas, por ejemplo, disminución en el precio de los servicios de telecomunicaciones, incluyendo la eliminación del cobro de larga distancia nacional, y disminución también en las tarifas de electricidad.</w:t>
      </w:r>
    </w:p>
    <w:p w14:paraId="4C09A86A"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Un dato revelador es que las tarifas de alta tensión para la industria medidas de febrero a febrero presentan reducciones dentro de 18 y 25% en todo el territorio nacional.</w:t>
      </w:r>
    </w:p>
    <w:p w14:paraId="298EC2DA"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Para las familias mexicanas mientras que en 2014 el costo del recibo de la luz creció 4% , 2015 empezó con una reducción del 2%. Esta es la primera vez, este es el primer inicio de un año en el que todas las tarifas eléctricas disminuyen. Estos son algunos de los primeros, apenas primeros resultados de las tres formas transformadoras, y el Gobierno de la República seguirá trabajando para su implementación exhaustiva.</w:t>
      </w:r>
    </w:p>
    <w:p w14:paraId="64D5DE97"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lastRenderedPageBreak/>
        <w:t>El crecimiento de la economía, después de dos años de un crecimiento claramente insatisfactorio, empieza a tener una mejor perspectiva. Vemos los indicadores de consumo, de empleo en la industria de la construcción, en las exportaciones, y vemos una clara tendencia hacia la recuperación; esto aunado a un comportamiento muy favorable de la inflación, como ha destacado ya el Gobernador del Banco de México, auguran un año con un mejor desempeño de nuestra economía, no solamente por las exportaciones, sino también por el mercado doméstico.</w:t>
      </w:r>
    </w:p>
    <w:p w14:paraId="7BC925F0"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Sin embargo, la recuperación y la aceleración del crecimiento depende de cómo México ha de encarar un entorno externo extraordinariamente complejo, como lo ha referido ya el Gobernador del Banco de México.</w:t>
      </w:r>
    </w:p>
    <w:p w14:paraId="6EC15548"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Están ocurriendo al mismo tiempo fenómenos internacionales que representan un reto muy relevante para la conducción de la política económica:</w:t>
      </w:r>
    </w:p>
    <w:p w14:paraId="09F196FB"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En primer lugar, una caída en el precio del petróleo, que es una caída abrupta, significativa y, sobre todo, que no será transitoria o de corto plazo por tratarse de una caída fundamentalmente derivada de factores en la oferta de petróleo crudo.</w:t>
      </w:r>
    </w:p>
    <w:p w14:paraId="1439DD59"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Y esto implica para la economía mexicana y particularmente para las finanzas públicas un reto significativo. A esto debemos agregar, como explicaba ya el Gobernador del Banco de México, un entorno de política monetaria sumamente complejo en el cual, y es una buena noticia efectivamente que Estados Unidos de Norteamérica esté creciendo más y esté entrando en un claro período de recuperación, sin embargo, esto implica que la política monetaria ha de ajustarse.</w:t>
      </w:r>
    </w:p>
    <w:p w14:paraId="0AED61B9"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 xml:space="preserve">Nadie sabe con precisión cuándo van a subir las tasas en Estados Unidos de Norteamérica ni sabe cómo van a subir las tasas en Estados Unidos de Norteamérica, de lo que no hay duda es que van a subir y tenemos que estar preparados, y además esto ocurre en un entorno en el cual la política monetaria en Europa y en otras áreas del </w:t>
      </w:r>
      <w:r w:rsidRPr="003711B9">
        <w:rPr>
          <w:rFonts w:eastAsia="Calibri"/>
          <w:sz w:val="26"/>
          <w:szCs w:val="26"/>
          <w:lang w:eastAsia="en-US"/>
        </w:rPr>
        <w:lastRenderedPageBreak/>
        <w:t>mundo va en la dirección opuesta generando una apreciación significativa de los activos en dólares y la moneda norteamericana, y además esto ocurre también en un entorno de un crecimiento desigual y en general de bajo crecimiento en el mundo.</w:t>
      </w:r>
    </w:p>
    <w:p w14:paraId="4FCAA722"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Ante estos retos la prioridad clara de la política económica del Gobierno de la República es y seguirá siendo proteger la estabilidad macroeconómica. ¿Por qué? Porque al proteger la estabilidad de la macroeconomía en realidad estamos protegiendo la economía de las familias mexicanas.</w:t>
      </w:r>
    </w:p>
    <w:p w14:paraId="2C7AB4A5"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México aprendió a lo largo de las décadas la importancia de la estabilidad y sabemos que cuando se pierde la estabilidad los primeros que sufren las consecuencias y que la sufren con mayor severidad y duración son precisamente las familias que menos tienen.</w:t>
      </w:r>
    </w:p>
    <w:p w14:paraId="7A70E9FE"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Por lo tanto, preservar la estabilidad macroeconómica es un objetivo de alto contenido social; es y seguirá siendo con independencia de las coyunturas, incluyendo la coyuntura político-electoral, ésta será la prioridad de la política económica del Gobierno de la República.</w:t>
      </w:r>
    </w:p>
    <w:p w14:paraId="58CD9D1F"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Por supuesto contamos con un gran factor de estabilidad en la conducción de la política monetaria a través del Instituto Central Autónomo, que aprovecho para saludar no solamente al señor Gobernador, sino a los cuatro Subgobernadores integrantes de la Junta de Gobierno que están aquí, que sin lugar a dudas le dan a la conducción de la política económica mexicana una característica de reconocimiento, de confianza y de credibilidad.</w:t>
      </w:r>
    </w:p>
    <w:p w14:paraId="6311A52C"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 xml:space="preserve">La política cambiaria, como explicaba el Gobernador del Banco de México, que se conduce a través de la Comisión de Cambios, en la que participamos juntos Banco de México y Hacienda, tiene como objetivo asegurar un funcionamiento ordenado y líquido del mercado cambiario que evite que disrupciones temporales o especulativas </w:t>
      </w:r>
      <w:r w:rsidRPr="003711B9">
        <w:rPr>
          <w:rFonts w:eastAsia="Calibri"/>
          <w:sz w:val="26"/>
          <w:szCs w:val="26"/>
          <w:lang w:eastAsia="en-US"/>
        </w:rPr>
        <w:lastRenderedPageBreak/>
        <w:t>se traduzcan en inestabilidad financiera que pongan en riesgo la estabilidad de nuestra economía.</w:t>
      </w:r>
    </w:p>
    <w:p w14:paraId="36FA6CF1"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Y, por supuesto, la política fiscal debe de ser uno de los elementos más y continuar siendo uno de los bastiones de nuestra estabilidad.</w:t>
      </w:r>
    </w:p>
    <w:p w14:paraId="403218DE"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Y para ello lo fundamental es asegurar que la trayectoria de las finanzas públicas, de la deuda pública es un factor de fortaleza y no de debilidad, que ayuda, que contribuye a la credibilidad de la economía mexicana y que no representa un signo de interrogación acerca del futuro de la economía mexicana.</w:t>
      </w:r>
    </w:p>
    <w:p w14:paraId="5CF0C2C8"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Por ello, en enero de este año tomamos la decisión de realizar un ajuste al gasto, un ajuste que no se hace porque tuviéramos en ese momento un problema en las finanzas públicas, se hace para evitar tener un problema en la estabilidad económica y financiera del país, para mandar una clara señal de que con independencia de las coyunturas de corto plazo el Gobierno de la República está dispuesto a tomar las medidas que sean necesarias para asegurar la estabilidad de la economía nacional.</w:t>
      </w:r>
    </w:p>
    <w:p w14:paraId="1B6D4D19"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Vamos a seguir por este camino. Le toca al Gobierno de la República apretarse el cinturón.</w:t>
      </w:r>
    </w:p>
    <w:p w14:paraId="4B3374C6"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Hacia 2016, en virtud de que el escenario de precios del petróleo apunta hacia precios que continuarán siendo bajos, hacia 2016 tenemos que prepararnos los diferentes niveles de gobierno, los municipios, los estados y, por supuesto, el Gobierno Federal, a gastar menos y por lo tanto a gastar mejor.</w:t>
      </w:r>
    </w:p>
    <w:p w14:paraId="1013AEB8"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Hemos empezado ya, desde ahora, la elaboración del proyecto de presupuesto que se presentará en septiembre a la Cámara de Diputados, una iniciativa, un proyecto de presupuesto que implica una lógica diferente a la lógica inercial que ha imperado en la preparación de los presupuestos, por lo menos de los últimos 15 años.</w:t>
      </w:r>
    </w:p>
    <w:p w14:paraId="5E2273B4"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lastRenderedPageBreak/>
        <w:t>Presupuestos inerciales en los que se tomaba como base el presupuesto del año anterior, se le hacían algunas modificaciones, particularmente incrementos, y se presentaba a la Cámara de Diputados.</w:t>
      </w:r>
    </w:p>
    <w:p w14:paraId="6ABD9655"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En esta ocasión se trabajará con una metodología de base cero, que no es otra cosa más que atrevernos a revisar completo el presupuesto, atrevernos a revisar la estructura programática, qué programas funcionan, cuáles no están cumpliendo con sus objetivos, cuáles no están bien evaluados, qué dependencias del gobierno o qué áreas de la administración pública están duplicando funciones o ya no cumplen con el objetivo para el que fueron creadas.</w:t>
      </w:r>
    </w:p>
    <w:p w14:paraId="063D21D6"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Éste será, sin duda, un ejercicio complejo que le tocará ya a la próxima Legislatura de la Cámara de Diputados recibir, pero es el ejercicio que se requiere para preservar la estabilidad macroeconómica y es hoy el ejercicio que nos exige la sociedad: un gobierno -insisto- que gaste menos y que gaste mejor.</w:t>
      </w:r>
    </w:p>
    <w:p w14:paraId="7247B1E1"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Esta mañana tuve la oportunidad de tener dos reuniones de trabajo intenso con los integrantes de la Asociación de Bancos de México.</w:t>
      </w:r>
    </w:p>
    <w:p w14:paraId="43800C35"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Quiero yo agradecer a los integrantes de la Asociación, a Luis, a Beto y a todos quienes propusieron estas reuniones de trabajo, que sin duda han hecho de la Convención de este año un ejercicio, sí, de un poquito de más reuniones, pero también de una utilidad muy especial para la Secretaría de Hacienda.</w:t>
      </w:r>
    </w:p>
    <w:p w14:paraId="226136AE"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¿Por qué? Porque nos han dado en estas reuniones de trabajo ustedes la oportunidad de escuchar.</w:t>
      </w:r>
    </w:p>
    <w:p w14:paraId="067B7A7F"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Nos han permitido escucharles, conocer de viva voz muchos de los planteamientos específicos y concretos para juntos hacer las cosas mejor.</w:t>
      </w:r>
    </w:p>
    <w:p w14:paraId="4A16FFFA"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lastRenderedPageBreak/>
        <w:t>Permítanme compartir algunos de los temas que discutimos ampliamente en las reuniones de este día:</w:t>
      </w:r>
    </w:p>
    <w:p w14:paraId="6F66E93E"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Un objetivo compartido es el financiamiento a las pequeñas y medianas empresas. Sin lugar a dudas es uno de los objetivos centrales de la Reforma Financiera, y me da un enorme gusto escuchar a los representantes de la Banca Mexicana que están ávidos de crecer y que están creciendo en este segmento.</w:t>
      </w:r>
    </w:p>
    <w:p w14:paraId="5A0EDE0B"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Y para ello hemos escuchado propuestas concretas de cómo, a través de simplificación de regulaciones o de una mayor agilidad de la Banca de Desarrollo, o de mejores productos de la Banca de Desarrollo, puede la Banca Mexicana jugársela con las pequeñas y medianas empresas.</w:t>
      </w:r>
    </w:p>
    <w:p w14:paraId="076922D7"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También hemos escuchado cómo la Banca Mexicana quiere apoyar el desarrollo de cadenas de valor, de proveedores mexicanos para la industria de exportación o de empresas participantes en las oportunidades que abren las reformas, como la Reforma de Telecomunicaciones, y por supuesto la Reforma Energética.</w:t>
      </w:r>
    </w:p>
    <w:p w14:paraId="676A5996"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Hemos escuchado recomendaciones muy específicas de cómo podríamos lograr un mejor entorno para que el financiamiento a las empresas mexicanas que quieren insertarse en la globalidad, que quieren ser más productivas y más competitivas puedan contar con el apoyo del crédito en los productos financieros que requieren.</w:t>
      </w:r>
    </w:p>
    <w:p w14:paraId="75FBB445"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Hemos escuchado también algunas propuestas muy concretas, muy puntuales para fomentar más competencia entre los Bancos; por ejemplo, para facilitar la movilidad entre los clientes del crédito hipotecario, cómo podemos generar mercados secundarios, que le permita, por ejemplo, a una familia mexicana reducir el costo mensual de su hipoteca, y otras medidas concretas, propuestas por la Banca, propuestas por la Asociación de Bancos de México para incrementar la competencia.</w:t>
      </w:r>
    </w:p>
    <w:p w14:paraId="543FA0AB"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lastRenderedPageBreak/>
        <w:t>Veo también, y es un tema de la mayor importancia y oportunidad ante la coyuntura que estamos viviendo, a una Banca Mexicana ávida de participar en el financiamiento de los proyectos de infraestructura ante un escenario de mayor estreches presupuestal.</w:t>
      </w:r>
    </w:p>
    <w:p w14:paraId="2803A5A7"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El Plan Nacional de Infraestructural continuará, pero habrá de continuar con fuentes de financiamiento distintas al gasto público, y aquí la Banca Mexicana puede jugar, y hoy les puedo decir “quiere jugar un papel fundamental”.</w:t>
      </w:r>
    </w:p>
    <w:p w14:paraId="2EF6AFDE"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Señoras y señores de la Banca Mexicana, estamos listos en el Gobierno de la República, en la Secretaría de Hacienda, en la Banca de Desarrollo para generar los instrumentos, los productos y el marco de regulación que les permita ser protagonistas del financiamiento de la infraestructura mexicana en sectores que van desde las autopistas, los gasoductos y la industria del gas y el petróleo.</w:t>
      </w:r>
    </w:p>
    <w:p w14:paraId="48C593F7"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He escuchado también propuestas puntuales, específicas para un mayor desarrollo de los mercados de capitales, particularmente para encontrar instrumentos financieros innovadores de mercado para las empresas medianas, empresas que requieren capital, que buscan capital, y que no necesariamente encuentran los instrumentos correctos.</w:t>
      </w:r>
    </w:p>
    <w:p w14:paraId="5ECA4D09"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Esta es una oportunidad que tenemos para poner en acción la Reforma Financiera, utilizar los nuevos instrumentos que tenemos y la voluntad evidente de la Banca para apoyar a empresas que están creciendo y pueden crecer mucho más, generar más empleos en distintos sectores de la economía si somos capaces, la Banca y la autoridad, de generar mecanismos financieros oportunos y de bajo costo.</w:t>
      </w:r>
    </w:p>
    <w:p w14:paraId="11FA381A"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También la Banca Mexicana está trabajando y está pensando y quiere colaborar con el Gobierno para uno de los objetivos más importantes y de mayor impacto social que puede tener la política en la materia que es: una mayor inclusión financiera.</w:t>
      </w:r>
    </w:p>
    <w:p w14:paraId="4746EB27"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lastRenderedPageBreak/>
        <w:t>Hay que reconocerlo, existen todavía millones de mexicanos que no tienen acceso a los más simples instrumentos de ahorro o de crédito; y para muchos mexicanos el único instrumento de crédito que conocen a lo largo de su vida son los mecanismos informales altamente riesgosos y sobre todo muy caros.</w:t>
      </w:r>
    </w:p>
    <w:p w14:paraId="06B8095E"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El reto de la inclusión financiera es una prioridad de la política pública del Presidente Enrique Peña Nieto. Y hoy hemos discutido y hemos acordado iniciar distintos grupos de trabajo para lograr una mayor inclusión financiera en los distintos rubros de la economía mexicana, con énfasis en la mujer, con énfasis en los jóvenes mexicanos que requieren que alguien tome el riesgo para darles su primer crédito, como ya lo está haciendo hoy la Banca de Desarrollo, y como lo está haciendo en equipo con la Banca Comercial Mexicana. Y, por supuesto, platicamos ampliamente y hubo un gran entusiasmo de la Banca por tomar medidas concretas para fomentar la legalidad y la formalización en nuestra economía.</w:t>
      </w:r>
    </w:p>
    <w:p w14:paraId="5D4C1897"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Sin duda uno de los retos más importantes para elevar la productividad es incrementar la formalización, y la Banca Mexicana puede ser y quiere ser un instrumento claro para fomentar este proceso de legalidad y de construcción del estado de Derecho.</w:t>
      </w:r>
    </w:p>
    <w:p w14:paraId="4B583099"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Ha sido para mí estos encuentros de diálogo una gran oportunidad de constatar, de confirmar que México tiene no solamente una Banca bien capitalizada, con indicadores de liquidez correctos, con reservas preventivas, y que cumple con las reglas que le impone el marco normativo.</w:t>
      </w:r>
    </w:p>
    <w:p w14:paraId="114D2BF6"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Lo que veo es una Banca que tiene rumbo, que tiene claridad; una Banca que está fuerte; una Banca que está creciendo; una Banca que está creciendo, si me permiten decirlo, una Banca que está echada para adelante, echada para adelante con México.</w:t>
      </w:r>
    </w:p>
    <w:p w14:paraId="589C2FB1"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Muchas felicidades y muchas gracias.</w:t>
      </w:r>
    </w:p>
    <w:p w14:paraId="7ADE8365" w14:textId="166EC2C5"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lastRenderedPageBreak/>
        <w:t>Entonces, siendo las 7:31 minutos en la ciudad de Acapulco, en el Estado de Guerrero, tengo el altísimo honor y gran gusto de inaugurar los trabajos de esta 78</w:t>
      </w:r>
      <w:r w:rsidR="009F5FC3">
        <w:rPr>
          <w:rFonts w:eastAsia="Calibri"/>
          <w:sz w:val="26"/>
          <w:szCs w:val="26"/>
          <w:lang w:eastAsia="en-US"/>
        </w:rPr>
        <w:t xml:space="preserve">ª </w:t>
      </w:r>
      <w:r w:rsidRPr="003711B9">
        <w:rPr>
          <w:rFonts w:eastAsia="Calibri"/>
          <w:sz w:val="26"/>
          <w:szCs w:val="26"/>
          <w:lang w:eastAsia="en-US"/>
        </w:rPr>
        <w:t>Convención Bancaria, que los trabajos de esta Convención resulten en Instituciones más fuertes, más seguras; pero sobre todo, que siga siendo la Banca la que impulse el desarrollo y que impulse el crecimiento de México.</w:t>
      </w:r>
    </w:p>
    <w:p w14:paraId="4563C1B0" w14:textId="77777777" w:rsidR="003711B9" w:rsidRPr="003711B9" w:rsidRDefault="003711B9" w:rsidP="003711B9">
      <w:pPr>
        <w:spacing w:after="360" w:line="360" w:lineRule="auto"/>
        <w:ind w:right="-159"/>
        <w:jc w:val="both"/>
        <w:rPr>
          <w:rFonts w:eastAsia="Calibri"/>
          <w:sz w:val="26"/>
          <w:szCs w:val="26"/>
          <w:lang w:eastAsia="en-US"/>
        </w:rPr>
      </w:pPr>
      <w:r w:rsidRPr="003711B9">
        <w:rPr>
          <w:rFonts w:eastAsia="Calibri"/>
          <w:sz w:val="26"/>
          <w:szCs w:val="26"/>
          <w:lang w:eastAsia="en-US"/>
        </w:rPr>
        <w:t>Muchas felicidades. Enhorabuena.</w:t>
      </w:r>
    </w:p>
    <w:p w14:paraId="68D8772C" w14:textId="77777777" w:rsidR="003711B9" w:rsidRPr="003711B9" w:rsidRDefault="003711B9" w:rsidP="003711B9">
      <w:pPr>
        <w:ind w:right="-159"/>
        <w:jc w:val="both"/>
        <w:rPr>
          <w:rFonts w:eastAsia="Calibri"/>
          <w:sz w:val="20"/>
          <w:szCs w:val="20"/>
          <w:lang w:eastAsia="en-US"/>
        </w:rPr>
      </w:pPr>
      <w:r w:rsidRPr="003711B9">
        <w:rPr>
          <w:rFonts w:eastAsia="Calibri"/>
          <w:b/>
          <w:sz w:val="20"/>
          <w:szCs w:val="20"/>
          <w:lang w:eastAsia="en-US"/>
        </w:rPr>
        <w:t>Fuente de información</w:t>
      </w:r>
      <w:r w:rsidRPr="003711B9">
        <w:rPr>
          <w:rFonts w:eastAsia="Calibri"/>
          <w:sz w:val="20"/>
          <w:szCs w:val="20"/>
          <w:lang w:eastAsia="en-US"/>
        </w:rPr>
        <w:t>:</w:t>
      </w:r>
    </w:p>
    <w:p w14:paraId="5360C40D" w14:textId="77777777" w:rsidR="003711B9" w:rsidRPr="001B4DFF" w:rsidRDefault="0093224F" w:rsidP="003711B9">
      <w:pPr>
        <w:ind w:right="-159"/>
        <w:jc w:val="both"/>
        <w:rPr>
          <w:rFonts w:eastAsia="Calibri"/>
          <w:color w:val="0000FF"/>
          <w:sz w:val="20"/>
          <w:szCs w:val="20"/>
          <w:u w:val="single"/>
          <w:lang w:eastAsia="en-US"/>
        </w:rPr>
      </w:pPr>
      <w:hyperlink r:id="rId316" w:history="1">
        <w:r w:rsidR="003711B9" w:rsidRPr="001B4DFF">
          <w:rPr>
            <w:rFonts w:eastAsia="Calibri"/>
            <w:color w:val="0000FF"/>
            <w:sz w:val="20"/>
            <w:szCs w:val="20"/>
            <w:u w:val="single"/>
            <w:lang w:eastAsia="en-US"/>
          </w:rPr>
          <w:t>http://www.shcp.gob.mx/SALAPRENSA/doc_discurso_funcionarios/secretarioSHCP/2015/lvc_inauguracion_convencion_bancaria_19032015.pdf</w:t>
        </w:r>
      </w:hyperlink>
    </w:p>
    <w:p w14:paraId="424E043C" w14:textId="77777777" w:rsidR="003711B9" w:rsidRPr="001B4DFF" w:rsidRDefault="0093224F" w:rsidP="001B4DFF">
      <w:pPr>
        <w:spacing w:after="720"/>
        <w:ind w:right="-159"/>
        <w:jc w:val="both"/>
        <w:rPr>
          <w:rFonts w:eastAsia="Calibri"/>
          <w:color w:val="0000FF"/>
          <w:sz w:val="20"/>
          <w:szCs w:val="20"/>
          <w:lang w:eastAsia="en-US"/>
        </w:rPr>
      </w:pPr>
      <w:hyperlink r:id="rId317" w:history="1">
        <w:r w:rsidR="003711B9" w:rsidRPr="001B4DFF">
          <w:rPr>
            <w:rFonts w:eastAsia="Calibri"/>
            <w:color w:val="0000FF"/>
            <w:sz w:val="20"/>
            <w:szCs w:val="20"/>
            <w:u w:val="single"/>
            <w:lang w:eastAsia="en-US"/>
          </w:rPr>
          <w:t>http://www.shcp.gob.mx/Biblioteca_noticias_home/comunicado_022_2015.pdf</w:t>
        </w:r>
      </w:hyperlink>
    </w:p>
    <w:p w14:paraId="47D2649C" w14:textId="77777777" w:rsidR="00FF7CB6" w:rsidRPr="00FF7CB6" w:rsidRDefault="00FF7CB6" w:rsidP="00FF7CB6">
      <w:pPr>
        <w:rPr>
          <w:rFonts w:eastAsia="Calibri"/>
          <w:b/>
          <w:sz w:val="26"/>
          <w:szCs w:val="26"/>
          <w:lang w:eastAsia="en-US"/>
        </w:rPr>
      </w:pPr>
      <w:r w:rsidRPr="00FF7CB6">
        <w:rPr>
          <w:rFonts w:eastAsia="Calibri"/>
          <w:b/>
          <w:sz w:val="26"/>
          <w:szCs w:val="26"/>
          <w:lang w:eastAsia="en-US"/>
        </w:rPr>
        <w:t>Palabras del Gobernador de Banco</w:t>
      </w:r>
    </w:p>
    <w:p w14:paraId="6D6A99E6" w14:textId="381964C7" w:rsidR="00FF7CB6" w:rsidRPr="00FF7CB6" w:rsidRDefault="0071435D" w:rsidP="00FF7CB6">
      <w:pPr>
        <w:rPr>
          <w:rFonts w:eastAsia="Calibri"/>
          <w:b/>
          <w:sz w:val="26"/>
          <w:szCs w:val="26"/>
          <w:lang w:eastAsia="en-US"/>
        </w:rPr>
      </w:pPr>
      <w:r w:rsidRPr="00FF7CB6">
        <w:rPr>
          <w:rFonts w:eastAsia="Calibri"/>
          <w:b/>
          <w:sz w:val="26"/>
          <w:szCs w:val="26"/>
          <w:lang w:eastAsia="en-US"/>
        </w:rPr>
        <w:t>D</w:t>
      </w:r>
      <w:r w:rsidR="00FF7CB6" w:rsidRPr="00FF7CB6">
        <w:rPr>
          <w:rFonts w:eastAsia="Calibri"/>
          <w:b/>
          <w:sz w:val="26"/>
          <w:szCs w:val="26"/>
          <w:lang w:eastAsia="en-US"/>
        </w:rPr>
        <w:t>e</w:t>
      </w:r>
      <w:r>
        <w:rPr>
          <w:rFonts w:eastAsia="Calibri"/>
          <w:b/>
          <w:sz w:val="26"/>
          <w:szCs w:val="26"/>
          <w:lang w:eastAsia="en-US"/>
        </w:rPr>
        <w:t xml:space="preserve"> </w:t>
      </w:r>
      <w:r w:rsidR="00FF7CB6" w:rsidRPr="00FF7CB6">
        <w:rPr>
          <w:rFonts w:eastAsia="Calibri"/>
          <w:b/>
          <w:sz w:val="26"/>
          <w:szCs w:val="26"/>
          <w:lang w:eastAsia="en-US"/>
        </w:rPr>
        <w:t xml:space="preserve">  México  con  motivo  de  la  78ª</w:t>
      </w:r>
    </w:p>
    <w:p w14:paraId="2D9EF59B" w14:textId="77777777" w:rsidR="00FF7CB6" w:rsidRPr="00FF7CB6" w:rsidRDefault="00FF7CB6" w:rsidP="00FF7CB6">
      <w:pPr>
        <w:spacing w:after="360" w:line="360" w:lineRule="auto"/>
        <w:ind w:right="-159"/>
        <w:jc w:val="both"/>
        <w:rPr>
          <w:rFonts w:eastAsia="Calibri"/>
          <w:b/>
          <w:sz w:val="26"/>
          <w:szCs w:val="26"/>
          <w:lang w:eastAsia="en-US"/>
        </w:rPr>
      </w:pPr>
      <w:r w:rsidRPr="00FF7CB6">
        <w:rPr>
          <w:rFonts w:eastAsia="Calibri"/>
          <w:b/>
          <w:sz w:val="26"/>
          <w:szCs w:val="26"/>
          <w:lang w:eastAsia="en-US"/>
        </w:rPr>
        <w:t>Convención Bancaria (Banxico)</w:t>
      </w:r>
    </w:p>
    <w:p w14:paraId="46410843" w14:textId="77777777" w:rsidR="00FF7CB6" w:rsidRPr="00FF7CB6" w:rsidRDefault="00FF7CB6" w:rsidP="00FF7CB6">
      <w:pPr>
        <w:spacing w:after="360" w:line="360" w:lineRule="auto"/>
        <w:ind w:right="-159"/>
        <w:jc w:val="both"/>
        <w:rPr>
          <w:rFonts w:eastAsia="Calibri"/>
          <w:sz w:val="26"/>
          <w:szCs w:val="26"/>
          <w:lang w:eastAsia="en-US"/>
        </w:rPr>
      </w:pPr>
      <w:r w:rsidRPr="00FF7CB6">
        <w:rPr>
          <w:rFonts w:eastAsia="Calibri"/>
          <w:sz w:val="26"/>
          <w:szCs w:val="26"/>
          <w:lang w:eastAsia="en-US"/>
        </w:rPr>
        <w:t>El 19 de marzo de 2015, el Gobernador del Banco de México (Banxico) ofreció un mensaje durante la 78ª Convención Bancaria. A continuación se presenta el discurso del funcionario.</w:t>
      </w:r>
    </w:p>
    <w:p w14:paraId="47E6BAB8" w14:textId="77777777" w:rsidR="00FF7CB6" w:rsidRPr="00FF7CB6" w:rsidRDefault="00FF7CB6" w:rsidP="00FF7CB6">
      <w:pPr>
        <w:spacing w:after="360" w:line="360" w:lineRule="auto"/>
        <w:ind w:right="-159"/>
        <w:jc w:val="both"/>
        <w:rPr>
          <w:rFonts w:eastAsia="Calibri"/>
          <w:sz w:val="26"/>
          <w:szCs w:val="26"/>
          <w:lang w:eastAsia="en-US"/>
        </w:rPr>
      </w:pPr>
      <w:r w:rsidRPr="00FF7CB6">
        <w:rPr>
          <w:rFonts w:eastAsia="Calibri"/>
          <w:sz w:val="26"/>
          <w:szCs w:val="26"/>
          <w:lang w:eastAsia="en-US"/>
        </w:rPr>
        <w:t>El Gobernador del banco de México:</w:t>
      </w:r>
    </w:p>
    <w:p w14:paraId="79961083" w14:textId="77777777" w:rsidR="00FF7CB6" w:rsidRPr="00FF7CB6" w:rsidRDefault="00FF7CB6" w:rsidP="00FF7CB6">
      <w:pPr>
        <w:spacing w:after="360" w:line="360" w:lineRule="auto"/>
        <w:ind w:right="-159"/>
        <w:jc w:val="both"/>
        <w:rPr>
          <w:rFonts w:eastAsia="Calibri"/>
          <w:sz w:val="26"/>
          <w:szCs w:val="26"/>
          <w:lang w:eastAsia="en-US"/>
        </w:rPr>
      </w:pPr>
      <w:r w:rsidRPr="00FF7CB6">
        <w:rPr>
          <w:rFonts w:eastAsia="Calibri"/>
          <w:sz w:val="26"/>
          <w:szCs w:val="26"/>
          <w:lang w:eastAsia="en-US"/>
        </w:rPr>
        <w:t>“Señor Secretario de Hacienda y Crédito Público, Doctor Luis Videgaray Caso,</w:t>
      </w:r>
    </w:p>
    <w:p w14:paraId="0D047278" w14:textId="77777777" w:rsidR="00FF7CB6" w:rsidRPr="00FF7CB6" w:rsidRDefault="00FF7CB6" w:rsidP="00FF7CB6">
      <w:pPr>
        <w:spacing w:after="360" w:line="360" w:lineRule="auto"/>
        <w:ind w:right="-159"/>
        <w:jc w:val="both"/>
        <w:rPr>
          <w:rFonts w:eastAsia="Calibri"/>
          <w:sz w:val="26"/>
          <w:szCs w:val="26"/>
          <w:lang w:eastAsia="en-US"/>
        </w:rPr>
      </w:pPr>
      <w:r w:rsidRPr="00FF7CB6">
        <w:rPr>
          <w:rFonts w:eastAsia="Calibri"/>
          <w:sz w:val="26"/>
          <w:szCs w:val="26"/>
          <w:lang w:eastAsia="en-US"/>
        </w:rPr>
        <w:t>Señor Presidente de la Comisión Nacional Bancaria y de Valores, Maestro Jaime González Aguadé,</w:t>
      </w:r>
    </w:p>
    <w:p w14:paraId="7EA82940" w14:textId="77777777" w:rsidR="00FF7CB6" w:rsidRPr="00FF7CB6" w:rsidRDefault="00FF7CB6" w:rsidP="00FF7CB6">
      <w:pPr>
        <w:spacing w:after="360" w:line="360" w:lineRule="auto"/>
        <w:ind w:right="-159"/>
        <w:jc w:val="both"/>
        <w:rPr>
          <w:rFonts w:eastAsia="Calibri"/>
          <w:sz w:val="26"/>
          <w:szCs w:val="26"/>
          <w:lang w:eastAsia="en-US"/>
        </w:rPr>
      </w:pPr>
      <w:r w:rsidRPr="00FF7CB6">
        <w:rPr>
          <w:rFonts w:eastAsia="Calibri"/>
          <w:sz w:val="26"/>
          <w:szCs w:val="26"/>
          <w:lang w:eastAsia="en-US"/>
        </w:rPr>
        <w:t>Presidenta de la Comisión de Hacienda y Crédito Público, de la Honorable Cámara de Diputados, Diputada Aurora de la Luz Aguilar Rodríguez</w:t>
      </w:r>
    </w:p>
    <w:p w14:paraId="14437D48" w14:textId="77777777" w:rsidR="00FF7CB6" w:rsidRPr="00FF7CB6" w:rsidRDefault="00FF7CB6" w:rsidP="00FF7CB6">
      <w:pPr>
        <w:spacing w:after="360" w:line="360" w:lineRule="auto"/>
        <w:ind w:right="-159"/>
        <w:jc w:val="both"/>
        <w:rPr>
          <w:rFonts w:eastAsia="Calibri"/>
          <w:sz w:val="26"/>
          <w:szCs w:val="26"/>
          <w:lang w:eastAsia="en-US"/>
        </w:rPr>
      </w:pPr>
      <w:r w:rsidRPr="00FF7CB6">
        <w:rPr>
          <w:rFonts w:eastAsia="Calibri"/>
          <w:sz w:val="26"/>
          <w:szCs w:val="26"/>
          <w:lang w:eastAsia="en-US"/>
        </w:rPr>
        <w:lastRenderedPageBreak/>
        <w:t>Vicepresidente de la Mesa Directiva, de la Honorable Cámara de Diputados, Diputado Tomás Torres Mercado</w:t>
      </w:r>
    </w:p>
    <w:p w14:paraId="7C29DE89" w14:textId="77777777" w:rsidR="00FF7CB6" w:rsidRPr="00FF7CB6" w:rsidRDefault="00FF7CB6" w:rsidP="00FF7CB6">
      <w:pPr>
        <w:spacing w:after="360" w:line="360" w:lineRule="auto"/>
        <w:ind w:right="-159"/>
        <w:jc w:val="both"/>
        <w:rPr>
          <w:rFonts w:eastAsia="Calibri"/>
          <w:sz w:val="26"/>
          <w:szCs w:val="26"/>
          <w:lang w:eastAsia="en-US"/>
        </w:rPr>
      </w:pPr>
      <w:r w:rsidRPr="00FF7CB6">
        <w:rPr>
          <w:rFonts w:eastAsia="Calibri"/>
          <w:sz w:val="26"/>
          <w:szCs w:val="26"/>
          <w:lang w:eastAsia="en-US"/>
        </w:rPr>
        <w:t>Señor Presidente de la Asociación de Bancos de México, licenciado Luis Robles Miaja,</w:t>
      </w:r>
    </w:p>
    <w:p w14:paraId="6D4B347D" w14:textId="77777777" w:rsidR="00FF7CB6" w:rsidRPr="00FF7CB6" w:rsidRDefault="00FF7CB6" w:rsidP="00FF7CB6">
      <w:pPr>
        <w:spacing w:after="360" w:line="360" w:lineRule="auto"/>
        <w:ind w:right="-159"/>
        <w:jc w:val="both"/>
        <w:rPr>
          <w:rFonts w:eastAsia="Calibri"/>
          <w:sz w:val="26"/>
          <w:szCs w:val="26"/>
          <w:lang w:eastAsia="en-US"/>
        </w:rPr>
      </w:pPr>
      <w:r w:rsidRPr="00FF7CB6">
        <w:rPr>
          <w:rFonts w:eastAsia="Calibri"/>
          <w:sz w:val="26"/>
          <w:szCs w:val="26"/>
          <w:lang w:eastAsia="en-US"/>
        </w:rPr>
        <w:t>Señor Presidente Ejecutivo de la Asociación de Bancos de México, Maestro Alberto Gómez Alcalá,</w:t>
      </w:r>
    </w:p>
    <w:p w14:paraId="79299006" w14:textId="77777777" w:rsidR="00FF7CB6" w:rsidRPr="00FF7CB6" w:rsidRDefault="00FF7CB6" w:rsidP="00FF7CB6">
      <w:pPr>
        <w:spacing w:after="360" w:line="360" w:lineRule="auto"/>
        <w:ind w:right="-159"/>
        <w:jc w:val="both"/>
        <w:rPr>
          <w:rFonts w:eastAsia="Calibri"/>
          <w:sz w:val="26"/>
          <w:szCs w:val="26"/>
          <w:lang w:eastAsia="en-US"/>
        </w:rPr>
      </w:pPr>
      <w:r w:rsidRPr="00FF7CB6">
        <w:rPr>
          <w:rFonts w:eastAsia="Calibri"/>
          <w:sz w:val="26"/>
          <w:szCs w:val="26"/>
          <w:lang w:eastAsia="en-US"/>
        </w:rPr>
        <w:t>Distinguidos Vicepresidentes de la Asociación de Bancos de México,</w:t>
      </w:r>
    </w:p>
    <w:p w14:paraId="4A8736AE" w14:textId="77777777" w:rsidR="00FF7CB6" w:rsidRPr="00FF7CB6" w:rsidRDefault="00FF7CB6" w:rsidP="00FF7CB6">
      <w:pPr>
        <w:spacing w:after="360" w:line="360" w:lineRule="auto"/>
        <w:ind w:right="-159"/>
        <w:jc w:val="both"/>
        <w:rPr>
          <w:rFonts w:eastAsia="Calibri"/>
          <w:sz w:val="26"/>
          <w:szCs w:val="26"/>
          <w:lang w:eastAsia="en-US"/>
        </w:rPr>
      </w:pPr>
      <w:r w:rsidRPr="00FF7CB6">
        <w:rPr>
          <w:rFonts w:eastAsia="Calibri"/>
          <w:sz w:val="26"/>
          <w:szCs w:val="26"/>
          <w:lang w:eastAsia="en-US"/>
        </w:rPr>
        <w:t>Señoras y señores:</w:t>
      </w:r>
    </w:p>
    <w:p w14:paraId="40499ED5" w14:textId="77777777" w:rsidR="00FF7CB6" w:rsidRPr="00FF7CB6" w:rsidRDefault="00FF7CB6" w:rsidP="00FF7CB6">
      <w:pPr>
        <w:spacing w:after="360" w:line="360" w:lineRule="auto"/>
        <w:ind w:right="-159"/>
        <w:jc w:val="both"/>
        <w:rPr>
          <w:rFonts w:eastAsia="Calibri"/>
          <w:sz w:val="26"/>
          <w:szCs w:val="26"/>
          <w:lang w:eastAsia="en-US"/>
        </w:rPr>
      </w:pPr>
      <w:r w:rsidRPr="00FF7CB6">
        <w:rPr>
          <w:rFonts w:eastAsia="Calibri"/>
          <w:sz w:val="26"/>
          <w:szCs w:val="26"/>
          <w:lang w:eastAsia="en-US"/>
        </w:rPr>
        <w:t>Muy buenas tardes.</w:t>
      </w:r>
    </w:p>
    <w:p w14:paraId="635F2140" w14:textId="77777777" w:rsidR="00FF7CB6" w:rsidRPr="00FF7CB6" w:rsidRDefault="00FF7CB6" w:rsidP="00FF7CB6">
      <w:pPr>
        <w:spacing w:after="360" w:line="360" w:lineRule="auto"/>
        <w:ind w:right="-159"/>
        <w:jc w:val="both"/>
        <w:rPr>
          <w:rFonts w:eastAsia="Calibri"/>
          <w:sz w:val="26"/>
          <w:szCs w:val="26"/>
          <w:lang w:eastAsia="en-US"/>
        </w:rPr>
      </w:pPr>
      <w:r w:rsidRPr="00FF7CB6">
        <w:rPr>
          <w:rFonts w:eastAsia="Calibri"/>
          <w:sz w:val="26"/>
          <w:szCs w:val="26"/>
          <w:lang w:eastAsia="en-US"/>
        </w:rPr>
        <w:t>Como en años anteriores para mí representa no sólo un honor sino un gran gusto estar presente en esta convención bancaria.</w:t>
      </w:r>
    </w:p>
    <w:p w14:paraId="538B8637" w14:textId="77777777" w:rsidR="00FF7CB6" w:rsidRPr="00FF7CB6" w:rsidRDefault="00FF7CB6" w:rsidP="00FF7CB6">
      <w:pPr>
        <w:spacing w:after="360" w:line="360" w:lineRule="auto"/>
        <w:ind w:right="-159"/>
        <w:jc w:val="both"/>
        <w:rPr>
          <w:rFonts w:eastAsia="Calibri"/>
          <w:sz w:val="26"/>
          <w:szCs w:val="26"/>
          <w:lang w:eastAsia="en-US"/>
        </w:rPr>
      </w:pPr>
      <w:r w:rsidRPr="00FF7CB6">
        <w:rPr>
          <w:rFonts w:eastAsia="Calibri"/>
          <w:sz w:val="26"/>
          <w:szCs w:val="26"/>
          <w:lang w:eastAsia="en-US"/>
        </w:rPr>
        <w:t>Celebro que la Asociación de Bancos de México haya elegido como tema general de esta convención “La banca, preparada ante una gran oportunidad de desarrollo”. Diversas acciones del gobierno, de los legisladores, de la banca comercial y de desarrollo, así como de las autoridades financieras han concurrido para que así sea.</w:t>
      </w:r>
    </w:p>
    <w:p w14:paraId="2AA8D063" w14:textId="77777777" w:rsidR="00FF7CB6" w:rsidRPr="00FF7CB6" w:rsidRDefault="00FF7CB6" w:rsidP="00FF7CB6">
      <w:pPr>
        <w:spacing w:after="360" w:line="360" w:lineRule="auto"/>
        <w:ind w:right="-159"/>
        <w:jc w:val="both"/>
        <w:rPr>
          <w:rFonts w:eastAsia="Calibri"/>
          <w:sz w:val="26"/>
          <w:szCs w:val="26"/>
          <w:lang w:eastAsia="en-US"/>
        </w:rPr>
      </w:pPr>
      <w:r w:rsidRPr="00FF7CB6">
        <w:rPr>
          <w:rFonts w:eastAsia="Calibri"/>
          <w:sz w:val="26"/>
          <w:szCs w:val="26"/>
          <w:lang w:eastAsia="en-US"/>
        </w:rPr>
        <w:t>También celebro que la banca mexicana se manifieste dispuesta a ser un actor de primer orden en la configuración de una promisoria etapa de desarrollo económico acelerado y sostenido para nuestro país. La banca mexicana está sólidamente capitalizada, y disfruta de un marco regulatorio que busca al mismo tiempo promover el crecimiento, como prevenir oportunamente cualquier riesgo de carácter sistémico. Apenas el lunes de esta semana, el Comité de Supervisión Bancaria de Basilea</w:t>
      </w:r>
      <w:r w:rsidRPr="00FF7CB6">
        <w:rPr>
          <w:rFonts w:eastAsia="Calibri"/>
          <w:sz w:val="26"/>
          <w:szCs w:val="26"/>
          <w:vertAlign w:val="superscript"/>
          <w:lang w:eastAsia="en-US"/>
        </w:rPr>
        <w:footnoteReference w:id="91"/>
      </w:r>
      <w:r w:rsidRPr="00FF7CB6">
        <w:rPr>
          <w:rFonts w:eastAsia="Calibri"/>
          <w:sz w:val="26"/>
          <w:szCs w:val="26"/>
          <w:lang w:eastAsia="en-US"/>
        </w:rPr>
        <w:t xml:space="preserve"> calificó a México como </w:t>
      </w:r>
      <w:r w:rsidRPr="00FF7CB6">
        <w:rPr>
          <w:rFonts w:eastAsia="Calibri"/>
          <w:sz w:val="26"/>
          <w:szCs w:val="26"/>
          <w:lang w:eastAsia="en-US"/>
        </w:rPr>
        <w:lastRenderedPageBreak/>
        <w:t>aprobado respecto a nuestra adopción de las nuevas reglas de capitalización y liquidez, calificación máxima que hoy pocos países han recibido.</w:t>
      </w:r>
    </w:p>
    <w:p w14:paraId="294F28BA" w14:textId="77777777" w:rsidR="00FF7CB6" w:rsidRPr="00FF7CB6" w:rsidRDefault="00FF7CB6" w:rsidP="00FF7CB6">
      <w:pPr>
        <w:spacing w:after="360" w:line="360" w:lineRule="auto"/>
        <w:ind w:right="-159"/>
        <w:jc w:val="both"/>
        <w:rPr>
          <w:rFonts w:eastAsia="Calibri"/>
          <w:sz w:val="26"/>
          <w:szCs w:val="26"/>
          <w:lang w:eastAsia="en-US"/>
        </w:rPr>
      </w:pPr>
      <w:r w:rsidRPr="00FF7CB6">
        <w:rPr>
          <w:rFonts w:eastAsia="Calibri"/>
          <w:sz w:val="26"/>
          <w:szCs w:val="26"/>
          <w:lang w:eastAsia="en-US"/>
        </w:rPr>
        <w:t>Sin embargo, sería erróneo dar por descontado un futuro promisorio exento de problemas. Aún hay mucho por hacer para empatar el potencial de crecimiento de la economía mexicana con una mayor participación de la banca como motor de ese desenvolvimiento. Todos sabemos que aún persisten obstáculos que deben removerse, tanto del lado de la demanda como de la oferta de crédito.</w:t>
      </w:r>
    </w:p>
    <w:p w14:paraId="5CDA3B57" w14:textId="77777777" w:rsidR="00FF7CB6" w:rsidRPr="00FF7CB6" w:rsidRDefault="00FF7CB6" w:rsidP="00FF7CB6">
      <w:pPr>
        <w:spacing w:after="360" w:line="360" w:lineRule="auto"/>
        <w:ind w:right="-159"/>
        <w:jc w:val="both"/>
        <w:rPr>
          <w:rFonts w:eastAsia="Calibri"/>
          <w:sz w:val="26"/>
          <w:szCs w:val="26"/>
          <w:lang w:eastAsia="en-US"/>
        </w:rPr>
      </w:pPr>
      <w:r w:rsidRPr="00FF7CB6">
        <w:rPr>
          <w:rFonts w:eastAsia="Calibri"/>
          <w:sz w:val="26"/>
          <w:szCs w:val="26"/>
          <w:lang w:eastAsia="en-US"/>
        </w:rPr>
        <w:t>Es una tarea constante que requiere sumar a la perseverancia en mantener un marco macroeconómico sólido, el constante perfeccionamiento de políticas públicas y de acciones de regulación y supervisión de carácter microeconómico que incidan en la intermediación financiera para que ésta sea más oportuna, accesible y eficiente.</w:t>
      </w:r>
    </w:p>
    <w:p w14:paraId="3B23554B" w14:textId="77777777" w:rsidR="00FF7CB6" w:rsidRPr="00FF7CB6" w:rsidRDefault="00FF7CB6" w:rsidP="00FF7CB6">
      <w:pPr>
        <w:spacing w:after="360" w:line="360" w:lineRule="auto"/>
        <w:ind w:right="-159"/>
        <w:jc w:val="both"/>
        <w:rPr>
          <w:rFonts w:eastAsia="Calibri"/>
          <w:sz w:val="26"/>
          <w:szCs w:val="26"/>
          <w:lang w:eastAsia="en-US"/>
        </w:rPr>
      </w:pPr>
      <w:r w:rsidRPr="00FF7CB6">
        <w:rPr>
          <w:rFonts w:eastAsia="Calibri"/>
          <w:sz w:val="26"/>
          <w:szCs w:val="26"/>
          <w:lang w:eastAsia="en-US"/>
        </w:rPr>
        <w:t>El Banco de México desempeña un papel estratégico para lograr este objetivo, en dos grandes vertientes.</w:t>
      </w:r>
    </w:p>
    <w:p w14:paraId="558BEC2C" w14:textId="77777777" w:rsidR="00FF7CB6" w:rsidRPr="00FF7CB6" w:rsidRDefault="00FF7CB6" w:rsidP="00FF7CB6">
      <w:pPr>
        <w:spacing w:after="360" w:line="360" w:lineRule="auto"/>
        <w:ind w:right="-159"/>
        <w:jc w:val="both"/>
        <w:rPr>
          <w:rFonts w:eastAsia="Calibri"/>
          <w:sz w:val="26"/>
          <w:szCs w:val="26"/>
          <w:lang w:eastAsia="en-US"/>
        </w:rPr>
      </w:pPr>
      <w:r w:rsidRPr="00FF7CB6">
        <w:rPr>
          <w:rFonts w:eastAsia="Calibri"/>
          <w:sz w:val="26"/>
          <w:szCs w:val="26"/>
          <w:lang w:eastAsia="en-US"/>
        </w:rPr>
        <w:t>Por una parte, mediante una política monetaria que mantenga las condiciones necesarias para que la banca haga cada vez más contribuciones al desarrollo. El primer e ineludible requisito no sólo para el crecimiento de la banca sino para el bienestar económico de todo el país es contar con una unidad monetaria sólida y estable y ése es, precisamente, el mandato y el objetivo prioritario del Banco de México: preservar la estabilidad del poder adquisitivo de la moneda nacional.</w:t>
      </w:r>
    </w:p>
    <w:p w14:paraId="73F02A39" w14:textId="77777777" w:rsidR="00FF7CB6" w:rsidRPr="00FF7CB6" w:rsidRDefault="00FF7CB6" w:rsidP="00FF7CB6">
      <w:pPr>
        <w:spacing w:after="360" w:line="360" w:lineRule="auto"/>
        <w:ind w:right="-159"/>
        <w:jc w:val="both"/>
        <w:rPr>
          <w:rFonts w:eastAsia="Calibri"/>
          <w:sz w:val="26"/>
          <w:szCs w:val="26"/>
          <w:lang w:eastAsia="en-US"/>
        </w:rPr>
      </w:pPr>
      <w:r w:rsidRPr="00FF7CB6">
        <w:rPr>
          <w:rFonts w:eastAsia="Calibri"/>
          <w:sz w:val="26"/>
          <w:szCs w:val="26"/>
          <w:lang w:eastAsia="en-US"/>
        </w:rPr>
        <w:t xml:space="preserve">Por otra parte, el Banco de México también tiene los mandatos, complementarios y en armonía con su objetivo prioritario, de promover el sano desarrollo del sistema financiero y propiciar el buen funcionamiento de los sistemas de pagos. En ese terreno el Banco de México tiene el inquebrantable objetivo de fomentar la competencia, la transparencia y la eficiencia operativa, en las instituciones y en los mercados </w:t>
      </w:r>
      <w:r w:rsidRPr="00FF7CB6">
        <w:rPr>
          <w:rFonts w:eastAsia="Calibri"/>
          <w:sz w:val="26"/>
          <w:szCs w:val="26"/>
          <w:lang w:eastAsia="en-US"/>
        </w:rPr>
        <w:lastRenderedPageBreak/>
        <w:t>financieros, para que sus productos y servicios lleguen a un mayor número de usuarios en los mejores términos posibles.</w:t>
      </w:r>
    </w:p>
    <w:p w14:paraId="5F90CF88" w14:textId="77777777" w:rsidR="00FF7CB6" w:rsidRPr="00FF7CB6" w:rsidRDefault="00FF7CB6" w:rsidP="00FF7CB6">
      <w:pPr>
        <w:spacing w:after="360" w:line="360" w:lineRule="auto"/>
        <w:ind w:right="-159"/>
        <w:jc w:val="both"/>
        <w:rPr>
          <w:rFonts w:eastAsia="Calibri"/>
          <w:sz w:val="26"/>
          <w:szCs w:val="26"/>
          <w:lang w:eastAsia="en-US"/>
        </w:rPr>
      </w:pPr>
      <w:r w:rsidRPr="00FF7CB6">
        <w:rPr>
          <w:rFonts w:eastAsia="Calibri"/>
          <w:sz w:val="26"/>
          <w:szCs w:val="26"/>
          <w:lang w:eastAsia="en-US"/>
        </w:rPr>
        <w:t>Por limitaciones de tiempo, esta tarde centraré mis palabras en resaltar la importancia que el marco de conducción de la política monetaria ha tenido para la economía de México, así como los retos que enfrentaremos en esa materia en el futuro.</w:t>
      </w:r>
    </w:p>
    <w:p w14:paraId="517673F0" w14:textId="7D19F777" w:rsidR="00FF7CB6" w:rsidRPr="00FF7CB6" w:rsidRDefault="00FF7CB6" w:rsidP="00FF7CB6">
      <w:pPr>
        <w:spacing w:after="360" w:line="360" w:lineRule="auto"/>
        <w:ind w:right="-159"/>
        <w:jc w:val="both"/>
        <w:rPr>
          <w:rFonts w:eastAsia="Calibri"/>
          <w:sz w:val="26"/>
          <w:szCs w:val="26"/>
          <w:lang w:eastAsia="en-US"/>
        </w:rPr>
      </w:pPr>
      <w:r w:rsidRPr="00FF7CB6">
        <w:rPr>
          <w:rFonts w:eastAsia="Calibri"/>
          <w:sz w:val="26"/>
          <w:szCs w:val="26"/>
          <w:lang w:eastAsia="en-US"/>
        </w:rPr>
        <w:t>Desde 2001</w:t>
      </w:r>
      <w:r w:rsidR="009F5FC3">
        <w:rPr>
          <w:rFonts w:eastAsia="Calibri"/>
          <w:sz w:val="26"/>
          <w:szCs w:val="26"/>
          <w:lang w:eastAsia="en-US"/>
        </w:rPr>
        <w:t>,</w:t>
      </w:r>
      <w:r w:rsidRPr="00FF7CB6">
        <w:rPr>
          <w:rFonts w:eastAsia="Calibri"/>
          <w:sz w:val="26"/>
          <w:szCs w:val="26"/>
          <w:lang w:eastAsia="en-US"/>
        </w:rPr>
        <w:t xml:space="preserve"> el Banco de México conduce la política monetaria mediante un esquema de objetivos de inflación. Este marco, junto con políticas fiscales responsables, ha contribuido de manera significativa al gran avance que en materia de control de la inflación ha logrado nuestro país. En efecto, desde una perspectiva de largo plazo, la inflación general ha disminuido de niveles de tres dígitos en los años 80 hasta niveles del 3% en la actualidad. Así, la inflación ha prácticamente convergido a la meta permanente que el Instituto Central se ha fijado.</w:t>
      </w:r>
    </w:p>
    <w:p w14:paraId="484AAEBB" w14:textId="77777777" w:rsidR="00FF7CB6" w:rsidRPr="00FF7CB6" w:rsidRDefault="00FF7CB6" w:rsidP="00FF7CB6">
      <w:pPr>
        <w:spacing w:after="360" w:line="360" w:lineRule="auto"/>
        <w:ind w:right="-159"/>
        <w:jc w:val="both"/>
        <w:rPr>
          <w:rFonts w:eastAsia="Calibri"/>
          <w:sz w:val="26"/>
          <w:szCs w:val="26"/>
          <w:lang w:eastAsia="en-US"/>
        </w:rPr>
      </w:pPr>
      <w:r w:rsidRPr="00FF7CB6">
        <w:rPr>
          <w:rFonts w:eastAsia="Calibri"/>
          <w:sz w:val="26"/>
          <w:szCs w:val="26"/>
          <w:lang w:eastAsia="en-US"/>
        </w:rPr>
        <w:t>Este notable avance en la creación de un entorno de inflación baja y estable, ha permitido ir consolidando, a lo largo de los años, una mayor credibilidad del compromiso de la autoridad monetaria con su objetivo de estabilidad de precios, lo que ha derivado en un anclaje más sólido de las expectativas de inflación de mediano y largo plazo. Y esto ha dado lugar a que el Banco de México cuente con mayores grados de libertad para conducir la política monetaria.</w:t>
      </w:r>
    </w:p>
    <w:p w14:paraId="741E0F07" w14:textId="68377BFA" w:rsidR="00FF7CB6" w:rsidRPr="00FF7CB6" w:rsidRDefault="00FF7CB6" w:rsidP="00FF7CB6">
      <w:pPr>
        <w:spacing w:after="360" w:line="360" w:lineRule="auto"/>
        <w:ind w:right="-159"/>
        <w:jc w:val="both"/>
        <w:rPr>
          <w:rFonts w:eastAsia="Calibri"/>
          <w:sz w:val="26"/>
          <w:szCs w:val="26"/>
          <w:lang w:eastAsia="en-US"/>
        </w:rPr>
      </w:pPr>
      <w:r w:rsidRPr="00FF7CB6">
        <w:rPr>
          <w:rFonts w:eastAsia="Calibri"/>
          <w:sz w:val="26"/>
          <w:szCs w:val="26"/>
          <w:lang w:eastAsia="en-US"/>
        </w:rPr>
        <w:t>Este mayor margen de maniobra de la política monetaria quedó de manifiesto durante 2013 y 2014</w:t>
      </w:r>
      <w:r w:rsidR="009F5FC3">
        <w:rPr>
          <w:rFonts w:eastAsia="Calibri"/>
          <w:sz w:val="26"/>
          <w:szCs w:val="26"/>
          <w:lang w:eastAsia="en-US"/>
        </w:rPr>
        <w:t>,</w:t>
      </w:r>
      <w:r w:rsidRPr="00FF7CB6">
        <w:rPr>
          <w:rFonts w:eastAsia="Calibri"/>
          <w:sz w:val="26"/>
          <w:szCs w:val="26"/>
          <w:lang w:eastAsia="en-US"/>
        </w:rPr>
        <w:t xml:space="preserve"> cuando el Banco de México fue capaz de implementar reducciones en el objetivo de la tasa de interés de referencia sin comprometer el proceso de convergencia eficiente de la inflación hacia su meta, es decir, al menor costo en términos de actividad económica.</w:t>
      </w:r>
    </w:p>
    <w:p w14:paraId="40336A3E" w14:textId="77777777" w:rsidR="00FF7CB6" w:rsidRPr="00FF7CB6" w:rsidRDefault="00FF7CB6" w:rsidP="00FF7CB6">
      <w:pPr>
        <w:spacing w:after="360" w:line="360" w:lineRule="auto"/>
        <w:ind w:right="-159"/>
        <w:jc w:val="both"/>
        <w:rPr>
          <w:rFonts w:eastAsia="Calibri"/>
          <w:sz w:val="26"/>
          <w:szCs w:val="26"/>
          <w:lang w:eastAsia="en-US"/>
        </w:rPr>
      </w:pPr>
      <w:r w:rsidRPr="00FF7CB6">
        <w:rPr>
          <w:rFonts w:eastAsia="Calibri"/>
          <w:sz w:val="26"/>
          <w:szCs w:val="26"/>
          <w:lang w:eastAsia="en-US"/>
        </w:rPr>
        <w:t xml:space="preserve">Así, nuestro banco central disminuyó el objetivo para la tasa de interés interbancaria a un día desde 4.50% en marzo de 2013 hasta 3% en junio del año pasado. Dicho ajuste </w:t>
      </w:r>
      <w:r w:rsidRPr="00FF7CB6">
        <w:rPr>
          <w:rFonts w:eastAsia="Calibri"/>
          <w:sz w:val="26"/>
          <w:szCs w:val="26"/>
          <w:lang w:eastAsia="en-US"/>
        </w:rPr>
        <w:lastRenderedPageBreak/>
        <w:t>en la tasa objetivo se reflejó en una reducción en prácticamente todas las tasas de interés en México, tanto para operaciones activas como pasivas. De esta manera, el Banco pudo instrumentar una política monetaria contra-cíclica. Es decir, las acciones de política implementadas contribuyeron a apoyar la actividad económica en un momento en que ésta venía mostrando debilidad.</w:t>
      </w:r>
    </w:p>
    <w:p w14:paraId="0F7F992E" w14:textId="77777777" w:rsidR="00FF7CB6" w:rsidRPr="00FF7CB6" w:rsidRDefault="00FF7CB6" w:rsidP="00FF7CB6">
      <w:pPr>
        <w:spacing w:after="360" w:line="360" w:lineRule="auto"/>
        <w:ind w:right="-159"/>
        <w:jc w:val="both"/>
        <w:rPr>
          <w:rFonts w:eastAsia="Calibri"/>
          <w:sz w:val="26"/>
          <w:szCs w:val="26"/>
          <w:lang w:eastAsia="en-US"/>
        </w:rPr>
      </w:pPr>
      <w:r w:rsidRPr="00FF7CB6">
        <w:rPr>
          <w:rFonts w:eastAsia="Calibri"/>
          <w:sz w:val="26"/>
          <w:szCs w:val="26"/>
          <w:lang w:eastAsia="en-US"/>
        </w:rPr>
        <w:t>Pero el camino no ha estado exento de dificultades. En repetidas ocasiones hemos experimentado choques de oferta adversos, como cambios en precios relativos de algunos bienes y servicios, como productos agropecuarios, gasolinas y transporte público, que han incidido sobre el comportamiento de la inflación en el corto plazo.</w:t>
      </w:r>
    </w:p>
    <w:p w14:paraId="2D242638" w14:textId="77777777" w:rsidR="00FF7CB6" w:rsidRPr="00FF7CB6" w:rsidRDefault="00FF7CB6" w:rsidP="00FF7CB6">
      <w:pPr>
        <w:spacing w:after="360" w:line="360" w:lineRule="auto"/>
        <w:ind w:right="-159"/>
        <w:jc w:val="both"/>
        <w:rPr>
          <w:rFonts w:eastAsia="Calibri"/>
          <w:sz w:val="26"/>
          <w:szCs w:val="26"/>
          <w:lang w:eastAsia="en-US"/>
        </w:rPr>
      </w:pPr>
      <w:r w:rsidRPr="00FF7CB6">
        <w:rPr>
          <w:rFonts w:eastAsia="Calibri"/>
          <w:sz w:val="26"/>
          <w:szCs w:val="26"/>
          <w:lang w:eastAsia="en-US"/>
        </w:rPr>
        <w:t>A pesar de que estas perturbaciones han sido recurrentes, las expectativas de inflación de mediano y largo plazo no se han visto afectadas, por lo que el impacto sobre la inflación ha sido moderado y transitorio. Ello es una prueba fehaciente de la mayor credibilidad del Banco Central, entendiéndose por ésta el hecho de que los agentes económicos no sienten la necesidad de ajustar las prácticas con las que establecen sus precios, ya que confían que el Banco de México ajustará su política monetaria en caso de que se presenten factores fundamentales que desvíen de manera persistente a la inflación de su meta.</w:t>
      </w:r>
    </w:p>
    <w:p w14:paraId="5EDB0823" w14:textId="77777777" w:rsidR="00FF7CB6" w:rsidRPr="00FF7CB6" w:rsidRDefault="00FF7CB6" w:rsidP="00FF7CB6">
      <w:pPr>
        <w:spacing w:after="360" w:line="360" w:lineRule="auto"/>
        <w:ind w:right="-159"/>
        <w:jc w:val="both"/>
        <w:rPr>
          <w:rFonts w:eastAsia="Calibri"/>
          <w:sz w:val="26"/>
          <w:szCs w:val="26"/>
          <w:lang w:eastAsia="en-US"/>
        </w:rPr>
      </w:pPr>
      <w:r w:rsidRPr="00FF7CB6">
        <w:rPr>
          <w:rFonts w:eastAsia="Calibri"/>
          <w:sz w:val="26"/>
          <w:szCs w:val="26"/>
          <w:lang w:eastAsia="en-US"/>
        </w:rPr>
        <w:t>De cara al futuro, el gran reto para la política monetaria es afianzar la convergencia de la inflación a su meta permanente de 3% y, de esta manera, consolidar el entorno de inflación baja y estable en México. Para lograr lo anterior la Junta de Gobierno estará pendiente de todos aquellos factores que pudieran incidir sobre la evolución de la inflación y sus expectativas. Entre dichos factores destacan: i) la postura de política monetaria relativa entre México y Estados Unidos de Norteamérica; ii) el desempeño del tipo de cambio; y iii) la evolución del grado de holgura en la economía ante la recuperación prevista del crecimiento.</w:t>
      </w:r>
    </w:p>
    <w:p w14:paraId="13D3FFBC" w14:textId="77777777" w:rsidR="00FF7CB6" w:rsidRPr="00FF7CB6" w:rsidRDefault="00FF7CB6" w:rsidP="00FF7CB6">
      <w:pPr>
        <w:spacing w:after="360" w:line="360" w:lineRule="auto"/>
        <w:ind w:right="-159"/>
        <w:jc w:val="both"/>
        <w:rPr>
          <w:rFonts w:eastAsia="Calibri"/>
          <w:sz w:val="26"/>
          <w:szCs w:val="26"/>
          <w:lang w:eastAsia="en-US"/>
        </w:rPr>
      </w:pPr>
      <w:r w:rsidRPr="00FF7CB6">
        <w:rPr>
          <w:rFonts w:eastAsia="Calibri"/>
          <w:sz w:val="26"/>
          <w:szCs w:val="26"/>
          <w:lang w:eastAsia="en-US"/>
        </w:rPr>
        <w:lastRenderedPageBreak/>
        <w:t>En términos generales, las perspectivas para la inflación son favorables. No obstante, es pertinente señalar que la economía mexicana y, en consecuencia, la política monetaria, enfrentan una coyuntura externa particularmente compleja, caracterizada por: i) una disminución significativa de los precios internacionales del petróleo debido, principalmente, a factores de oferta, y la expectativa de que dichos precios permanezcan en niveles bajos por un período relativamente prolongado; ii) después de cerca de ocho años de mantener una política monetaria sumamente laxa y no convencional, se anticipa que Estados Unidos de Norteamérica inicie la normalización de su postura durante 2015; para complicar aún más las cosas, esto sucedería presumiblemente cuando las posturas monetarias de la Zona del Euro y de Japón estarían yendo en dirección diametralmente opuesta; y iii) la actividad económica global continúa mostrando un comportamiento muy débil, aunque diferenciado entre países y regiones.</w:t>
      </w:r>
    </w:p>
    <w:p w14:paraId="47067AAE" w14:textId="77777777" w:rsidR="00FF7CB6" w:rsidRPr="00FF7CB6" w:rsidRDefault="00FF7CB6" w:rsidP="00FF7CB6">
      <w:pPr>
        <w:spacing w:after="360" w:line="360" w:lineRule="auto"/>
        <w:ind w:right="-159"/>
        <w:jc w:val="both"/>
        <w:rPr>
          <w:rFonts w:eastAsia="Calibri"/>
          <w:sz w:val="26"/>
          <w:szCs w:val="26"/>
          <w:lang w:eastAsia="en-US"/>
        </w:rPr>
      </w:pPr>
      <w:r w:rsidRPr="00FF7CB6">
        <w:rPr>
          <w:rFonts w:eastAsia="Calibri"/>
          <w:sz w:val="26"/>
          <w:szCs w:val="26"/>
          <w:lang w:eastAsia="en-US"/>
        </w:rPr>
        <w:t>Durante los últimos meses ha prevalecido una gran volatilidad en los mercados financieros internacionales causada por los factores arriba mencionados. Sin duda el que más ha contribuido a dicha volatilidad ha sido la expectativa de que la Reserva Federal de Estados Unidos de Norteamérica comience a aumentar en algún momento de 2015 su tasa de interés de referencia a partir de su nivel actual históricamente bajo. Analizando este fenómeno en perspectiva, creo que no debería ser causa de sorpresa.</w:t>
      </w:r>
    </w:p>
    <w:p w14:paraId="5E9D4591" w14:textId="77777777" w:rsidR="00FF7CB6" w:rsidRPr="00FF7CB6" w:rsidRDefault="00FF7CB6" w:rsidP="00FF7CB6">
      <w:pPr>
        <w:spacing w:after="360" w:line="360" w:lineRule="auto"/>
        <w:ind w:right="-159"/>
        <w:jc w:val="both"/>
        <w:rPr>
          <w:rFonts w:eastAsia="Calibri"/>
          <w:sz w:val="26"/>
          <w:szCs w:val="26"/>
          <w:lang w:eastAsia="en-US"/>
        </w:rPr>
      </w:pPr>
      <w:r w:rsidRPr="00FF7CB6">
        <w:rPr>
          <w:rFonts w:eastAsia="Calibri"/>
          <w:sz w:val="26"/>
          <w:szCs w:val="26"/>
          <w:lang w:eastAsia="en-US"/>
        </w:rPr>
        <w:t xml:space="preserve">Cuando en años pasados la Reserva Federal creó liquidez internacional sin precedente y bajó su tasa a niveles prácticamente de 0%, con el objetivo de facilitar el saneamiento de los balances de las instituciones financieras y de las familias estadounidense, estimulando la inversión y la recuperación económica, se generaron grandes incentivos para que capitales de dicho país fluyeran a otros que ofrecieran un mayor rendimiento ajustado por riesgo. México ha sido sin duda receptor de parte de dichos capitales, lo que en su momento se reflejó en una apreciación de la moneda nacional, en una reducción en las tasas de interés internas y en cierta acumulación de reservas internacionales. En particular, México evitó intermediar dichos recursos para financiar </w:t>
      </w:r>
      <w:r w:rsidRPr="00FF7CB6">
        <w:rPr>
          <w:rFonts w:eastAsia="Calibri"/>
          <w:sz w:val="26"/>
          <w:szCs w:val="26"/>
          <w:lang w:eastAsia="en-US"/>
        </w:rPr>
        <w:lastRenderedPageBreak/>
        <w:t>burbujas de consumo o inmobiliarias, como lo hicieron otros países que lamentablemente hoy se encuentran en una situación de gran vulnerabilidad ante la posible reversión de dichos capitales. Sin embargo, tanto el Gobierno Federal como múltiples empresas mexicanas aprovecharon la amplia liquidez internacional para contratar nueva deuda externa o refinanciar la existente a tasas más bajas y con una duración mayor, sin haber incurrido en una situación de sobre apalancamiento.</w:t>
      </w:r>
    </w:p>
    <w:p w14:paraId="5282BC24" w14:textId="77777777" w:rsidR="00FF7CB6" w:rsidRPr="00FF7CB6" w:rsidRDefault="00FF7CB6" w:rsidP="00FF7CB6">
      <w:pPr>
        <w:spacing w:after="360" w:line="360" w:lineRule="auto"/>
        <w:ind w:right="-159"/>
        <w:jc w:val="both"/>
        <w:rPr>
          <w:rFonts w:eastAsia="Calibri"/>
          <w:sz w:val="26"/>
          <w:szCs w:val="26"/>
          <w:lang w:eastAsia="en-US"/>
        </w:rPr>
      </w:pPr>
      <w:r w:rsidRPr="00FF7CB6">
        <w:rPr>
          <w:rFonts w:eastAsia="Calibri"/>
          <w:sz w:val="26"/>
          <w:szCs w:val="26"/>
          <w:lang w:eastAsia="en-US"/>
        </w:rPr>
        <w:t>Una buena parte de los influjos de capitales fue llevada a cabo por inversionistas institucionales que tienen un horizonte de mediano y largo plazo, por lo que los títulos que adquirieron están en manos firmes. Una menor proporción de dichos influjos se canalizó a títulos de corto plazo, gestionados por operadores con un horizonte reducido, por lo que éstas representan inversiones más inestables.</w:t>
      </w:r>
    </w:p>
    <w:p w14:paraId="7C78A391" w14:textId="77777777" w:rsidR="00FF7CB6" w:rsidRPr="00FF7CB6" w:rsidRDefault="00FF7CB6" w:rsidP="00FF7CB6">
      <w:pPr>
        <w:spacing w:after="360" w:line="360" w:lineRule="auto"/>
        <w:ind w:right="-159"/>
        <w:jc w:val="both"/>
        <w:rPr>
          <w:rFonts w:eastAsia="Calibri"/>
          <w:sz w:val="26"/>
          <w:szCs w:val="26"/>
          <w:lang w:eastAsia="en-US"/>
        </w:rPr>
      </w:pPr>
      <w:r w:rsidRPr="00FF7CB6">
        <w:rPr>
          <w:rFonts w:eastAsia="Calibri"/>
          <w:sz w:val="26"/>
          <w:szCs w:val="26"/>
          <w:lang w:eastAsia="en-US"/>
        </w:rPr>
        <w:t>No sorprende, por tanto, que ante la inminencia de que la Reserva Federal inicie la normalización de su postura de política monetaria, se haya generado una reasignación de carteras y que este fenómeno, junto con la precipitosa caída del precio del petróleo, se haya reflejado principalmente en una depreciación significativa en la moneda nacional frente al dólar, y en menor proporción, en un aumento de las tasas de interés a lo largo de la curva de rendimientos.</w:t>
      </w:r>
    </w:p>
    <w:p w14:paraId="3B27E07F" w14:textId="77777777" w:rsidR="00FF7CB6" w:rsidRPr="00FF7CB6" w:rsidRDefault="00FF7CB6" w:rsidP="00FF7CB6">
      <w:pPr>
        <w:spacing w:after="360" w:line="360" w:lineRule="auto"/>
        <w:ind w:right="-159"/>
        <w:jc w:val="both"/>
        <w:rPr>
          <w:rFonts w:eastAsia="Calibri"/>
          <w:sz w:val="26"/>
          <w:szCs w:val="26"/>
          <w:lang w:eastAsia="en-US"/>
        </w:rPr>
      </w:pPr>
      <w:r w:rsidRPr="00FF7CB6">
        <w:rPr>
          <w:rFonts w:eastAsia="Calibri"/>
          <w:sz w:val="26"/>
          <w:szCs w:val="26"/>
          <w:lang w:eastAsia="en-US"/>
        </w:rPr>
        <w:t xml:space="preserve">Resulta esencial apuntar que la apreciación del dólar no sólo ha sido contra el peso mexicano, sino con relación a prácticamente todas las divisas de países tanto avanzados como emergentes. De hecho, durante los últimos ocho meses el dólar ha registrado la mayor apreciación con respecto a una canasta amplia de divisas en un lapso similar desde 1973. Esto indudablemente significa que la depreciación del peso respecto al dólar ha sido causada fundamentalmente por factores externos de alcance global, y no por problemas internos. Incluso si uno considera una muestra amplia de cotizaciones de monedas de países emergentes frente al dólar, el peso ha sido de las que menos se ha depreciado durante los últimos meses. Esto en respuesta a que México ha mantenido </w:t>
      </w:r>
      <w:r w:rsidRPr="00FF7CB6">
        <w:rPr>
          <w:rFonts w:eastAsia="Calibri"/>
          <w:sz w:val="26"/>
          <w:szCs w:val="26"/>
          <w:lang w:eastAsia="en-US"/>
        </w:rPr>
        <w:lastRenderedPageBreak/>
        <w:t>sus fundamentos macroeconómicos sólidos, tiene una posición externa solvente y hemos emprendido reformas estructurales sin precedente en el país.</w:t>
      </w:r>
    </w:p>
    <w:p w14:paraId="03DC347E" w14:textId="77777777" w:rsidR="00FF7CB6" w:rsidRPr="00FF7CB6" w:rsidRDefault="00FF7CB6" w:rsidP="00FF7CB6">
      <w:pPr>
        <w:spacing w:after="360" w:line="360" w:lineRule="auto"/>
        <w:ind w:right="-159"/>
        <w:jc w:val="both"/>
        <w:rPr>
          <w:rFonts w:eastAsia="Calibri"/>
          <w:sz w:val="26"/>
          <w:szCs w:val="26"/>
          <w:lang w:eastAsia="en-US"/>
        </w:rPr>
      </w:pPr>
      <w:r w:rsidRPr="00FF7CB6">
        <w:rPr>
          <w:rFonts w:eastAsia="Calibri"/>
          <w:sz w:val="26"/>
          <w:szCs w:val="26"/>
          <w:lang w:eastAsia="en-US"/>
        </w:rPr>
        <w:t>Un fenómeno positivo ha sido que la depreciación reciente de la moneda nacional ha tenido un impacto muy limitado sobre la inflación. Si bien este patrón es congruente con el grado de traspaso que se ha venido observando en el país ya por más de una década, ello no implica necesariamente que el Instituto Central pueda mantenerse ajeno a dicha situación. En general, factores determinantes del grado de traspaso son qué tan perdurable es la propia depreciación, la holgura de la economía, en particular del mercado laboral y, sobre todo, el que el Banco Central de manera consistente no permita que las depreciaciones cambiarias tengan efectos de segundo orden mediante la contaminación de las expectativas de inflación, los salarios y, a la postre, la formación de precios en la economía. Ello explica que la Junta de Gobierno haya reiterado más de una vez que se mantendrá muy atenta de la evolución del tipo de cambio y de su impacto sobre la inflación, con el objeto de poder ajustar la postura monetaria oportunamente en caso de ser necesario.</w:t>
      </w:r>
    </w:p>
    <w:p w14:paraId="31D67CC6" w14:textId="6E6493A3" w:rsidR="00FF7CB6" w:rsidRPr="00FF7CB6" w:rsidRDefault="00FF7CB6" w:rsidP="00FF7CB6">
      <w:pPr>
        <w:spacing w:after="360" w:line="360" w:lineRule="auto"/>
        <w:ind w:right="-159"/>
        <w:jc w:val="both"/>
        <w:rPr>
          <w:rFonts w:eastAsia="Calibri"/>
          <w:sz w:val="26"/>
          <w:szCs w:val="26"/>
          <w:lang w:eastAsia="en-US"/>
        </w:rPr>
      </w:pPr>
      <w:r w:rsidRPr="00FF7CB6">
        <w:rPr>
          <w:rFonts w:eastAsia="Calibri"/>
          <w:sz w:val="26"/>
          <w:szCs w:val="26"/>
          <w:lang w:eastAsia="en-US"/>
        </w:rPr>
        <w:t>Por su parte, la Comisión de Cambios, formada por funcionarios de la Secretaría de Hacienda y Crédito Público y del Banco de México</w:t>
      </w:r>
      <w:r w:rsidRPr="00FF7CB6">
        <w:rPr>
          <w:rFonts w:eastAsia="Calibri"/>
          <w:sz w:val="26"/>
          <w:szCs w:val="26"/>
          <w:vertAlign w:val="superscript"/>
          <w:lang w:eastAsia="en-US"/>
        </w:rPr>
        <w:footnoteReference w:id="92"/>
      </w:r>
      <w:r w:rsidR="009F5FC3">
        <w:rPr>
          <w:rFonts w:eastAsia="Calibri"/>
          <w:sz w:val="26"/>
          <w:szCs w:val="26"/>
          <w:lang w:eastAsia="en-US"/>
        </w:rPr>
        <w:t>,</w:t>
      </w:r>
      <w:r w:rsidRPr="00FF7CB6">
        <w:rPr>
          <w:rFonts w:eastAsia="Calibri"/>
          <w:sz w:val="26"/>
          <w:szCs w:val="26"/>
          <w:lang w:eastAsia="en-US"/>
        </w:rPr>
        <w:t xml:space="preserve"> han hecho patente su preocupación de que el mercado cambiario opere eficientemente, lo que requiere, cuando menos, que haya suficiente liquidez. Esto porque en ausencia de ésta podrían ocurrir variaciones muy pronunciadas en el tipo de cambio que no reflejen los fundamentos de la economía, y que nos pudieran meter en una dinámica perniciosa en el comportamiento de la inflación. De ahí que a partir de diciembre pasado la Comisión haya introducido dos tipos de subastas diarias de moneda extranjera, una con precio mínimo y otra sin él, para procurar un nivel aceptable de liquidez en el mercado cambiario. Es pertinente subrayar que estas ventas de reservas internacionales por parte </w:t>
      </w:r>
      <w:r w:rsidRPr="00FF7CB6">
        <w:rPr>
          <w:rFonts w:eastAsia="Calibri"/>
          <w:sz w:val="26"/>
          <w:szCs w:val="26"/>
          <w:lang w:eastAsia="en-US"/>
        </w:rPr>
        <w:lastRenderedPageBreak/>
        <w:t>del Banco de México no persiguen defender un nivel específico de la cotización de la moneda nacional.</w:t>
      </w:r>
    </w:p>
    <w:p w14:paraId="0C7D77D9" w14:textId="77777777" w:rsidR="00FF7CB6" w:rsidRPr="00FF7CB6" w:rsidRDefault="00FF7CB6" w:rsidP="00FF7CB6">
      <w:pPr>
        <w:spacing w:after="360" w:line="360" w:lineRule="auto"/>
        <w:ind w:right="-159"/>
        <w:jc w:val="both"/>
        <w:rPr>
          <w:rFonts w:eastAsia="Calibri"/>
          <w:sz w:val="26"/>
          <w:szCs w:val="26"/>
          <w:lang w:eastAsia="en-US"/>
        </w:rPr>
      </w:pPr>
      <w:r w:rsidRPr="00FF7CB6">
        <w:rPr>
          <w:rFonts w:eastAsia="Calibri"/>
          <w:sz w:val="26"/>
          <w:szCs w:val="26"/>
          <w:lang w:eastAsia="en-US"/>
        </w:rPr>
        <w:t>Al no ser sorpresiva esta etapa de volatilidad en los mercados financieros internacionales causada por la expectativa de reversión de la postura monetaria en Estados Unidos de Norteamérica, y en parte también por la caída en el precio del petróleo, sería de esperarse que las autoridades tuvieran un plan de acción previsto. Este es el caso. En materia monetaria y cambiaria, las líneas de defensa son las siguientes:</w:t>
      </w:r>
    </w:p>
    <w:p w14:paraId="446B70FC" w14:textId="77777777" w:rsidR="00FF7CB6" w:rsidRPr="00FF7CB6" w:rsidRDefault="00FF7CB6" w:rsidP="009F5FC3">
      <w:pPr>
        <w:numPr>
          <w:ilvl w:val="0"/>
          <w:numId w:val="142"/>
        </w:numPr>
        <w:spacing w:after="360" w:line="360" w:lineRule="auto"/>
        <w:ind w:left="714" w:right="-159" w:hanging="357"/>
        <w:jc w:val="both"/>
        <w:rPr>
          <w:rFonts w:eastAsia="Calibri"/>
          <w:sz w:val="26"/>
          <w:szCs w:val="26"/>
          <w:lang w:eastAsia="en-US"/>
        </w:rPr>
      </w:pPr>
      <w:r w:rsidRPr="00FF7CB6">
        <w:rPr>
          <w:rFonts w:eastAsia="Calibri"/>
          <w:sz w:val="26"/>
          <w:szCs w:val="26"/>
          <w:lang w:eastAsia="en-US"/>
        </w:rPr>
        <w:t>Permitir que la absorción de desequilibrios y/o perturbaciones se lleve a cabo principalmente a través de ajustes de mercado del tipo de cambio y de las tasas de interés, pues normalmente estas variaciones son estabilizadoras.</w:t>
      </w:r>
    </w:p>
    <w:p w14:paraId="68DA5361" w14:textId="77777777" w:rsidR="00FF7CB6" w:rsidRPr="00FF7CB6" w:rsidRDefault="00FF7CB6" w:rsidP="009F5FC3">
      <w:pPr>
        <w:numPr>
          <w:ilvl w:val="0"/>
          <w:numId w:val="142"/>
        </w:numPr>
        <w:spacing w:after="360" w:line="360" w:lineRule="auto"/>
        <w:ind w:left="714" w:right="-159" w:hanging="357"/>
        <w:jc w:val="both"/>
        <w:rPr>
          <w:rFonts w:eastAsia="Calibri"/>
          <w:sz w:val="26"/>
          <w:szCs w:val="26"/>
          <w:lang w:eastAsia="en-US"/>
        </w:rPr>
      </w:pPr>
      <w:r w:rsidRPr="00FF7CB6">
        <w:rPr>
          <w:rFonts w:eastAsia="Calibri"/>
          <w:sz w:val="26"/>
          <w:szCs w:val="26"/>
          <w:lang w:eastAsia="en-US"/>
        </w:rPr>
        <w:t>Sin embargo, ante la ausencia de liquidez adecuada en el mercado cambiario o ante la presencia de un comportamiento errático del tipo de cambio, procede intervenir en dicho mercado, de preferencia a través de mecanismos transparentes y con base en reglas. La gran acumulación de reservas internaciones desde 2009 nos otorga los suficientes grados de libertad para actuar de esta manera. Además, se cuenta con la Línea de Crédito Flexible del Fondo Monetario Internacional por cerca de 75 mil millones de dólares, que, debe resaltarse, refuerza los incentivos para mantener un marco macroeconómico sólido.</w:t>
      </w:r>
    </w:p>
    <w:p w14:paraId="1ABD964B" w14:textId="77777777" w:rsidR="00FF7CB6" w:rsidRPr="00FF7CB6" w:rsidRDefault="00FF7CB6" w:rsidP="009F5FC3">
      <w:pPr>
        <w:numPr>
          <w:ilvl w:val="0"/>
          <w:numId w:val="142"/>
        </w:numPr>
        <w:spacing w:after="360" w:line="360" w:lineRule="auto"/>
        <w:ind w:left="714" w:right="-159" w:hanging="357"/>
        <w:jc w:val="both"/>
        <w:rPr>
          <w:rFonts w:eastAsia="Calibri"/>
          <w:sz w:val="26"/>
          <w:szCs w:val="26"/>
          <w:lang w:eastAsia="en-US"/>
        </w:rPr>
      </w:pPr>
      <w:r w:rsidRPr="00FF7CB6">
        <w:rPr>
          <w:rFonts w:eastAsia="Calibri"/>
          <w:sz w:val="26"/>
          <w:szCs w:val="26"/>
          <w:lang w:eastAsia="en-US"/>
        </w:rPr>
        <w:t>Por último, la Junta de Gobierno del Banco de México podría ajustar su postura monetaria mediante aumentos en el objetivo de la tasa de interés interbancaria a un día, en caso de que perciba que está en peligro la consolidación de la convergencia de la inflación a nuestro objetivo permanente de 3%, lo cual podría suceder en caso de que la Reserva Federal inicie la normalización de su política.</w:t>
      </w:r>
    </w:p>
    <w:p w14:paraId="763B7DDB" w14:textId="77777777" w:rsidR="00FF7CB6" w:rsidRPr="00FF7CB6" w:rsidRDefault="00FF7CB6" w:rsidP="00FF7CB6">
      <w:pPr>
        <w:spacing w:after="360" w:line="360" w:lineRule="auto"/>
        <w:ind w:right="-159"/>
        <w:jc w:val="both"/>
        <w:rPr>
          <w:rFonts w:eastAsia="Calibri"/>
          <w:sz w:val="26"/>
          <w:szCs w:val="26"/>
          <w:lang w:eastAsia="en-US"/>
        </w:rPr>
      </w:pPr>
      <w:r w:rsidRPr="00FF7CB6">
        <w:rPr>
          <w:rFonts w:eastAsia="Calibri"/>
          <w:sz w:val="26"/>
          <w:szCs w:val="26"/>
          <w:lang w:eastAsia="en-US"/>
        </w:rPr>
        <w:lastRenderedPageBreak/>
        <w:t>Un complemento indispensable a las acciones potenciales en materia cambiaria y monetaria anteriormente citadas, es que el Gobierno Federal persevere en mantener finanzas públicas sanas. Esto reviste particular relevancia en un escenario previsible en el que se tendría menor liquidez a nivel mundial y mayores tasas de interés externas, cuando menos en dólares. En la nueva constelación en los mercados financieros internacionales es indispensable que se garantice la sostenibilidad de la deuda pública. En este sentido, los recortes al gasto público que anunció recientemente la Secretaría de Hacienda y Crédito Público representan una fuerte señal sobre el compromiso con la responsabilidad fiscal por parte del Gobierno Federal. Dicho ajuste debería reforzar la confianza de los participantes en los mercados sobre la economía de México y es congruente con la depreciación del tipo de cambio real de equilibrio necesaria después del desplome del precio y de la plataforma de producción del petróleo. Asimismo, su impacto en la actividad económica debería ser marginal. Ello debido a que el ajuste se dará principalmente a través del gasto corriente del sector público.</w:t>
      </w:r>
    </w:p>
    <w:p w14:paraId="635826C1" w14:textId="77777777" w:rsidR="00FF7CB6" w:rsidRPr="00FF7CB6" w:rsidRDefault="00FF7CB6" w:rsidP="00FF7CB6">
      <w:pPr>
        <w:spacing w:after="360" w:line="360" w:lineRule="auto"/>
        <w:ind w:right="-159"/>
        <w:jc w:val="both"/>
        <w:rPr>
          <w:rFonts w:eastAsia="Calibri"/>
          <w:sz w:val="26"/>
          <w:szCs w:val="26"/>
          <w:lang w:eastAsia="en-US"/>
        </w:rPr>
      </w:pPr>
      <w:r w:rsidRPr="00FF7CB6">
        <w:rPr>
          <w:rFonts w:eastAsia="Calibri"/>
          <w:sz w:val="26"/>
          <w:szCs w:val="26"/>
          <w:lang w:eastAsia="en-US"/>
        </w:rPr>
        <w:t>En toda esta narrativa no debemos permitir que consideraciones de corto plazo nos cieguen y eviten que veamos las implicaciones de ciertos fenómenos en el mediano y largo plazo. He señalado reiteradamente en mi intervención como el principal riesgo para le estabilidad financiera del país en el corto plazo al inicio del proceso de normalización de la postura monetaria en Estados Unidos de Norteamérica. Pero no se nos debe olvidar que esto sucedería en respuesta a una percepción más favorable de la evolución contemporánea y futura de la economía de Estados Unidos de Norteamérica por parte de la Reserva Federal, lo que sería un fuerte aliciente para la economía mexicana. En particular, nuestras exportaciones al vecino país del Norte se verían estimuladas, lo que sin duda traería consigo un mayor crecimiento económico. Esto debería ayudar a apuntalar el valor de la moneda nacional y limitar la volatilidad financiera en México. Además, este es un factor que nos distinguiría de los demás países emergentes, dada nuestra estrecha integración con Estados Unidos de Norteamérica.</w:t>
      </w:r>
    </w:p>
    <w:p w14:paraId="47D39F0B" w14:textId="77777777" w:rsidR="00FF7CB6" w:rsidRPr="00FF7CB6" w:rsidRDefault="00FF7CB6" w:rsidP="00FF7CB6">
      <w:pPr>
        <w:spacing w:after="360" w:line="360" w:lineRule="auto"/>
        <w:ind w:right="-159"/>
        <w:jc w:val="both"/>
        <w:rPr>
          <w:rFonts w:eastAsia="Calibri"/>
          <w:sz w:val="26"/>
          <w:szCs w:val="26"/>
          <w:lang w:eastAsia="en-US"/>
        </w:rPr>
      </w:pPr>
      <w:r w:rsidRPr="00FF7CB6">
        <w:rPr>
          <w:rFonts w:eastAsia="Calibri"/>
          <w:sz w:val="26"/>
          <w:szCs w:val="26"/>
          <w:lang w:eastAsia="en-US"/>
        </w:rPr>
        <w:lastRenderedPageBreak/>
        <w:t>En conclusión, México, y en general las economías emergentes, deben adaptarse a la cambiante realidad mundial, perseverando en mantener un marco macroeconómico sólido. Además, ante un entorno internacional más complejo como el descrito, es fundamental promover las fuentes internas de crecimiento. En esta materia, México ha avanzado significativamente en el diseño, aprobación e implementación de reformas estructurales encaminadas a aumentar la productividad y competitividad de la economía. Parte de estos efectos ya hemos comenzado a verlos en la caída de precios de ciertos insumos estratégicos para la producción, tales como la electricidad y las telecomunicaciones.</w:t>
      </w:r>
    </w:p>
    <w:p w14:paraId="1C89362D" w14:textId="77777777" w:rsidR="00FF7CB6" w:rsidRPr="00FF7CB6" w:rsidRDefault="00FF7CB6" w:rsidP="00FF7CB6">
      <w:pPr>
        <w:spacing w:after="360" w:line="360" w:lineRule="auto"/>
        <w:ind w:right="-159"/>
        <w:jc w:val="both"/>
        <w:rPr>
          <w:rFonts w:eastAsia="Calibri"/>
          <w:sz w:val="26"/>
          <w:szCs w:val="26"/>
          <w:lang w:eastAsia="en-US"/>
        </w:rPr>
      </w:pPr>
      <w:r w:rsidRPr="00FF7CB6">
        <w:rPr>
          <w:rFonts w:eastAsia="Calibri"/>
          <w:sz w:val="26"/>
          <w:szCs w:val="26"/>
          <w:lang w:eastAsia="en-US"/>
        </w:rPr>
        <w:t>Para lograr un crecimiento económico potencial más acelerado, se requiere de un marco institucional que genere un esquema de incentivos que favorezca la creación de valor. Es por ello que es de suma importancia continuar trabajando en la transformación institucional del país, de tal manera que se tenga mayor competencia y menor extracción de rentas en la economía, para lo cual es necesario que se alcance un estado de derecho más sólido y que se otorgue certeza jurídica a los miembros de la sociedad. En última instancia, la finalidad es mejorar el bienestar de toda la población del país, lograr armonía social y superar los rezagos que, desafortunadamente, todavía aquejan a millones de mexicanos.</w:t>
      </w:r>
    </w:p>
    <w:p w14:paraId="56F01345" w14:textId="77777777" w:rsidR="00FF7CB6" w:rsidRPr="00FF7CB6" w:rsidRDefault="00FF7CB6" w:rsidP="00FF7CB6">
      <w:pPr>
        <w:spacing w:after="360" w:line="360" w:lineRule="auto"/>
        <w:ind w:right="-159"/>
        <w:jc w:val="both"/>
        <w:rPr>
          <w:rFonts w:eastAsia="Calibri"/>
          <w:sz w:val="26"/>
          <w:szCs w:val="26"/>
          <w:lang w:eastAsia="en-US"/>
        </w:rPr>
      </w:pPr>
      <w:r w:rsidRPr="00FF7CB6">
        <w:rPr>
          <w:rFonts w:eastAsia="Calibri"/>
          <w:sz w:val="26"/>
          <w:szCs w:val="26"/>
          <w:lang w:eastAsia="en-US"/>
        </w:rPr>
        <w:t>Muchas gracias por su atención.”</w:t>
      </w:r>
    </w:p>
    <w:p w14:paraId="53201D60" w14:textId="77777777" w:rsidR="00FF7CB6" w:rsidRPr="00FF7CB6" w:rsidRDefault="00FF7CB6" w:rsidP="00FF7CB6">
      <w:pPr>
        <w:ind w:right="-159"/>
        <w:jc w:val="both"/>
        <w:rPr>
          <w:rFonts w:eastAsia="Calibri"/>
          <w:b/>
          <w:sz w:val="20"/>
          <w:szCs w:val="20"/>
          <w:lang w:eastAsia="en-US"/>
        </w:rPr>
      </w:pPr>
      <w:r w:rsidRPr="00FF7CB6">
        <w:rPr>
          <w:rFonts w:eastAsia="Calibri"/>
          <w:b/>
          <w:sz w:val="20"/>
          <w:szCs w:val="20"/>
          <w:lang w:eastAsia="en-US"/>
        </w:rPr>
        <w:t>Fuente de información:</w:t>
      </w:r>
    </w:p>
    <w:p w14:paraId="1213C784" w14:textId="77777777" w:rsidR="00FF7CB6" w:rsidRPr="001B4DFF" w:rsidRDefault="0093224F" w:rsidP="00FF7CB6">
      <w:pPr>
        <w:ind w:right="-159"/>
        <w:jc w:val="both"/>
        <w:rPr>
          <w:rFonts w:eastAsia="Calibri"/>
          <w:color w:val="0000FF"/>
          <w:sz w:val="20"/>
          <w:szCs w:val="20"/>
          <w:u w:val="single"/>
          <w:lang w:eastAsia="en-US"/>
        </w:rPr>
      </w:pPr>
      <w:hyperlink r:id="rId318" w:history="1">
        <w:r w:rsidR="00FF7CB6" w:rsidRPr="001B4DFF">
          <w:rPr>
            <w:rFonts w:eastAsia="Calibri"/>
            <w:color w:val="0000FF"/>
            <w:sz w:val="20"/>
            <w:szCs w:val="20"/>
            <w:u w:val="single"/>
            <w:lang w:eastAsia="en-US"/>
          </w:rPr>
          <w:t>http://www.banxico.org.mx/publicaciones-y-discursos/discursos-y-presentaciones/discursos/%7BA6BAAB2C-7927-2ADA-7C6F-9997789AC707%7D.pdf</w:t>
        </w:r>
      </w:hyperlink>
    </w:p>
    <w:p w14:paraId="1BD9CC0D" w14:textId="77777777" w:rsidR="00FF7CB6" w:rsidRPr="001B4DFF" w:rsidRDefault="00FF7CB6" w:rsidP="00FF7CB6">
      <w:pPr>
        <w:ind w:right="-159"/>
        <w:jc w:val="both"/>
        <w:rPr>
          <w:rFonts w:eastAsia="Calibri"/>
          <w:sz w:val="20"/>
          <w:szCs w:val="20"/>
          <w:lang w:eastAsia="en-US"/>
        </w:rPr>
      </w:pPr>
      <w:r w:rsidRPr="001B4DFF">
        <w:rPr>
          <w:rFonts w:eastAsia="Calibri"/>
          <w:sz w:val="20"/>
          <w:szCs w:val="20"/>
          <w:lang w:eastAsia="en-US"/>
        </w:rPr>
        <w:t>Para tener acceso a información relacionada visite:</w:t>
      </w:r>
    </w:p>
    <w:p w14:paraId="0D75D1F0" w14:textId="77777777" w:rsidR="00FF7CB6" w:rsidRPr="001B4DFF" w:rsidRDefault="0093224F" w:rsidP="00FF7CB6">
      <w:pPr>
        <w:ind w:right="-159"/>
        <w:jc w:val="both"/>
        <w:rPr>
          <w:rFonts w:eastAsia="Calibri"/>
          <w:color w:val="0000FF"/>
          <w:sz w:val="20"/>
          <w:szCs w:val="20"/>
          <w:u w:val="single"/>
          <w:lang w:eastAsia="en-US"/>
        </w:rPr>
      </w:pPr>
      <w:hyperlink r:id="rId319" w:history="1">
        <w:r w:rsidR="00FF7CB6" w:rsidRPr="001B4DFF">
          <w:rPr>
            <w:rFonts w:eastAsia="Calibri"/>
            <w:color w:val="0000FF"/>
            <w:sz w:val="20"/>
            <w:szCs w:val="20"/>
            <w:u w:val="single"/>
            <w:lang w:eastAsia="en-US"/>
          </w:rPr>
          <w:t>http://www.cnbv.gob.mx/SECTORES-SUPERVISADOS/BANCA-MULTIPLE/Prensa%20%20Sector%20Bancario/Comunicado_de_Prensa_Basilea_Alta_Calificacion.pdf</w:t>
        </w:r>
      </w:hyperlink>
      <w:r w:rsidR="00FF7CB6" w:rsidRPr="001B4DFF">
        <w:rPr>
          <w:rFonts w:eastAsia="Calibri"/>
          <w:color w:val="0000FF"/>
          <w:sz w:val="20"/>
          <w:szCs w:val="20"/>
          <w:u w:val="single"/>
          <w:lang w:eastAsia="en-US"/>
        </w:rPr>
        <w:t xml:space="preserve"> </w:t>
      </w:r>
    </w:p>
    <w:p w14:paraId="7C03950A" w14:textId="77777777" w:rsidR="00FF7CB6" w:rsidRPr="00FF7CB6" w:rsidRDefault="0093224F" w:rsidP="00FF7CB6">
      <w:pPr>
        <w:ind w:right="-159"/>
        <w:jc w:val="both"/>
        <w:rPr>
          <w:rFonts w:eastAsia="Calibri"/>
          <w:sz w:val="20"/>
          <w:szCs w:val="20"/>
          <w:lang w:eastAsia="en-US"/>
        </w:rPr>
      </w:pPr>
      <w:hyperlink r:id="rId320" w:history="1">
        <w:r w:rsidR="00FF7CB6" w:rsidRPr="001B4DFF">
          <w:rPr>
            <w:rFonts w:eastAsia="Calibri"/>
            <w:color w:val="0000FF"/>
            <w:sz w:val="20"/>
            <w:szCs w:val="20"/>
            <w:u w:val="single"/>
            <w:lang w:eastAsia="en-US"/>
          </w:rPr>
          <w:t>http://www.banxico.org.mx/informacion-para-la-prensa/comunicados/politica-cambiaria/comision-de-cambios/%7bF0793066-927C-5B11-5180-E6905D18B4B1%7d.pdf</w:t>
        </w:r>
      </w:hyperlink>
      <w:r w:rsidR="00FF7CB6" w:rsidRPr="00FF7CB6">
        <w:rPr>
          <w:rFonts w:eastAsia="Calibri"/>
          <w:sz w:val="20"/>
          <w:szCs w:val="20"/>
          <w:u w:val="single"/>
          <w:lang w:eastAsia="en-US"/>
        </w:rPr>
        <w:t xml:space="preserve"> </w:t>
      </w:r>
    </w:p>
    <w:p w14:paraId="5D2C4C40" w14:textId="77777777" w:rsidR="00FF7CB6" w:rsidRPr="00FF7CB6" w:rsidRDefault="00FF7CB6" w:rsidP="009C5C68">
      <w:pPr>
        <w:spacing w:after="360" w:line="360" w:lineRule="auto"/>
        <w:ind w:right="-159"/>
        <w:jc w:val="both"/>
        <w:rPr>
          <w:rFonts w:eastAsia="Calibri"/>
          <w:sz w:val="26"/>
          <w:szCs w:val="26"/>
          <w:lang w:eastAsia="en-US"/>
        </w:rPr>
      </w:pPr>
    </w:p>
    <w:p w14:paraId="077617E2" w14:textId="77777777" w:rsidR="00FF7CB6" w:rsidRPr="00FF7CB6" w:rsidRDefault="00FF7CB6" w:rsidP="009C5C68">
      <w:pPr>
        <w:spacing w:after="360" w:line="360" w:lineRule="auto"/>
        <w:ind w:right="-159"/>
        <w:jc w:val="both"/>
        <w:rPr>
          <w:rFonts w:eastAsia="Calibri"/>
          <w:sz w:val="26"/>
          <w:szCs w:val="26"/>
          <w:lang w:eastAsia="en-US"/>
        </w:rPr>
      </w:pPr>
    </w:p>
    <w:p w14:paraId="68FFA91E" w14:textId="77777777" w:rsidR="009C5C68" w:rsidRPr="009C5C68" w:rsidRDefault="009C5C68" w:rsidP="009C5C68">
      <w:pPr>
        <w:spacing w:after="360" w:line="360" w:lineRule="auto"/>
        <w:ind w:right="-159"/>
        <w:jc w:val="both"/>
        <w:rPr>
          <w:rFonts w:eastAsia="Calibri"/>
          <w:b/>
          <w:sz w:val="26"/>
          <w:szCs w:val="26"/>
          <w:lang w:eastAsia="en-US"/>
        </w:rPr>
      </w:pPr>
      <w:r w:rsidRPr="009C5C68">
        <w:rPr>
          <w:rFonts w:eastAsia="Calibri"/>
          <w:b/>
          <w:sz w:val="26"/>
          <w:szCs w:val="26"/>
          <w:lang w:eastAsia="en-US"/>
        </w:rPr>
        <w:lastRenderedPageBreak/>
        <w:t xml:space="preserve">Informe de Avance de la Reforma Financiera (SHCP) </w:t>
      </w:r>
    </w:p>
    <w:p w14:paraId="3307D4AB"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El 11 de marzo de 2015, la Secretaría de Hacienda y Crédito Público (SHCP) presentó el “Informe de Avance de la Reforma Financiera”. A continuación se presentan las intervenciones.</w:t>
      </w:r>
    </w:p>
    <w:p w14:paraId="4E7665C2" w14:textId="1DA4A38D" w:rsidR="009C5C68" w:rsidRPr="009C5C68" w:rsidRDefault="003810B3" w:rsidP="009C5C68">
      <w:pPr>
        <w:spacing w:after="360" w:line="360" w:lineRule="auto"/>
        <w:ind w:right="-159"/>
        <w:jc w:val="both"/>
        <w:rPr>
          <w:rFonts w:eastAsia="Calibri"/>
          <w:sz w:val="26"/>
          <w:szCs w:val="26"/>
          <w:lang w:eastAsia="en-US"/>
        </w:rPr>
      </w:pPr>
      <w:r>
        <w:rPr>
          <w:rFonts w:eastAsia="Calibri"/>
          <w:sz w:val="26"/>
          <w:szCs w:val="26"/>
          <w:lang w:eastAsia="en-US"/>
        </w:rPr>
        <w:t xml:space="preserve">Intervención del </w:t>
      </w:r>
      <w:r w:rsidR="009C5C68" w:rsidRPr="009C5C68">
        <w:rPr>
          <w:rFonts w:eastAsia="Calibri"/>
          <w:sz w:val="26"/>
          <w:szCs w:val="26"/>
          <w:lang w:eastAsia="en-US"/>
        </w:rPr>
        <w:t>Subsecretario de Hacienda y Crédito Público</w:t>
      </w:r>
    </w:p>
    <w:p w14:paraId="2F2AA1D0"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“Secretario de Hacienda y Crédito Público;  </w:t>
      </w:r>
    </w:p>
    <w:p w14:paraId="118E7657"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Presidente de la Asociación de Bancos de México (ABM);</w:t>
      </w:r>
    </w:p>
    <w:p w14:paraId="215EAFEA"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Presidente de la Asociación Mexicana de Intermediarios Bursátiles (AMIB); </w:t>
      </w:r>
    </w:p>
    <w:p w14:paraId="488F6259"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Presidente de la Asociación Mexicana de Instituciones de Seguros (AMIS); </w:t>
      </w:r>
    </w:p>
    <w:p w14:paraId="3FBCCEF8"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Distinguidos miembros del Presídium; Invitados Especiales; integrantes del sector financiero;  </w:t>
      </w:r>
    </w:p>
    <w:p w14:paraId="495CC361"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Señoras y Señores: </w:t>
      </w:r>
    </w:p>
    <w:p w14:paraId="06C03E6D"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Agradezco a todos ustedes su presencia.</w:t>
      </w:r>
    </w:p>
    <w:p w14:paraId="18279B70"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En esta ocasión, habremos de revisar los resultados que se han logrado con la Reforma Financiera, iniciativa del Presidente de la República Mexicana, que fue enriquecida y aprobada por el Congreso de la Unión, a finales de 2013.  </w:t>
      </w:r>
    </w:p>
    <w:p w14:paraId="4282E83C"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La transformación de nuestro Sistema Financiero, a través de la Reforma, se sustenta en cuatro pilares fundamentales:  </w:t>
      </w:r>
    </w:p>
    <w:p w14:paraId="331429C1" w14:textId="7439687B"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Primero. Fomentar mayor competencia.</w:t>
      </w:r>
    </w:p>
    <w:p w14:paraId="2792906E" w14:textId="596A383C"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lastRenderedPageBreak/>
        <w:t>Segundo. Impulsar el financiamiento a través de la Banca de Desarrollo;</w:t>
      </w:r>
    </w:p>
    <w:p w14:paraId="3CBB9218" w14:textId="5AFC31E2"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Tercero. Establecer las condiciones para que las instituciones financieras privadas puedan prestar más; y, </w:t>
      </w:r>
    </w:p>
    <w:p w14:paraId="02E07D29" w14:textId="18128E02"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Cuarto. Brindar mayor solidez al sistema financiero.</w:t>
      </w:r>
    </w:p>
    <w:p w14:paraId="792E4A95" w14:textId="50230B40"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A partir de estos pilares, desde el 9 de enero de 2014</w:t>
      </w:r>
      <w:r w:rsidR="003810B3">
        <w:rPr>
          <w:rFonts w:eastAsia="Calibri"/>
          <w:sz w:val="26"/>
          <w:szCs w:val="26"/>
          <w:lang w:eastAsia="en-US"/>
        </w:rPr>
        <w:t>,</w:t>
      </w:r>
      <w:r w:rsidRPr="009C5C68">
        <w:rPr>
          <w:rFonts w:eastAsia="Calibri"/>
          <w:sz w:val="26"/>
          <w:szCs w:val="26"/>
          <w:lang w:eastAsia="en-US"/>
        </w:rPr>
        <w:t xml:space="preserve"> cuando fue la promulgación de la Reforma, se han publicado las disposiciones de carácter general necesarias para su implementación, por parte de las distintas autoridades. </w:t>
      </w:r>
    </w:p>
    <w:p w14:paraId="7FF03B46" w14:textId="44E26813"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Por ello, la Comisión Nacional Bancaria y de Valores (CNBV), la Comisión Nacional de Seguros y Fianzas, la Comisión Nacional para la Protección y Defensa de los Usuarios de Servicios Financieros, la Comisión Nacional del Sistema de Ahorro  para el Retiro, el Banco de México, y la propia SHCP se dieron a la tarea de modificar cerca de 375 facultades contenidas en las 34 leyes que fueron reformadas. </w:t>
      </w:r>
    </w:p>
    <w:p w14:paraId="3E1EFB05"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Gracias a este amplio trabajo, el día de hoy, nos reunimos para hacer un recuento de los logros que se han alcanzado, a partir de esta importante Reforma. Acciones que se reflejan hoy, en beneficios tangibles, para todos los mexicanos.  </w:t>
      </w:r>
    </w:p>
    <w:p w14:paraId="4590BBC5" w14:textId="16C3B47E"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En esta ocasión, podremos constatar cómo la Reforma Financiera ha permitido que los usuarios reciban mayores opciones de servicios financieros, que </w:t>
      </w:r>
      <w:r w:rsidR="003810B3">
        <w:rPr>
          <w:rFonts w:eastAsia="Calibri"/>
          <w:sz w:val="26"/>
          <w:szCs w:val="26"/>
          <w:lang w:eastAsia="en-US"/>
        </w:rPr>
        <w:t>é</w:t>
      </w:r>
      <w:r w:rsidRPr="009C5C68">
        <w:rPr>
          <w:rFonts w:eastAsia="Calibri"/>
          <w:sz w:val="26"/>
          <w:szCs w:val="26"/>
          <w:lang w:eastAsia="en-US"/>
        </w:rPr>
        <w:t xml:space="preserve">stos sean más accesibles, de mejor calidad, así como el hecho de que las autoridades brindemos acceso a información precisa y oportuna sobre los productos y servicios, además de garantizar mayor protección a los usuarios. </w:t>
      </w:r>
    </w:p>
    <w:p w14:paraId="5C803CF2"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La Reforma Financiera ha generado más crédito, en mejores condiciones y más ahorro, prueba de ello es que el financiamiento interno del sector privado aumentó de 25.7% del Producto Interno Bruto (PIB) en 2012 a 29.2% al cierre de 2014, encaminándonos </w:t>
      </w:r>
      <w:r w:rsidRPr="009C5C68">
        <w:rPr>
          <w:rFonts w:eastAsia="Calibri"/>
          <w:sz w:val="26"/>
          <w:szCs w:val="26"/>
          <w:lang w:eastAsia="en-US"/>
        </w:rPr>
        <w:lastRenderedPageBreak/>
        <w:t>a alcanzar la meta del Programa Nacional de Financiamiento del Desarrollo (PRONAFIDE) del 40% para 2018.</w:t>
      </w:r>
    </w:p>
    <w:p w14:paraId="3EAEFB96" w14:textId="19B08014"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Destaca también que las tasas de interés se han ido reduciendo de manera sensible, por ejemplo, en créditos a </w:t>
      </w:r>
      <w:r w:rsidR="00DB215C">
        <w:rPr>
          <w:rFonts w:eastAsia="Calibri"/>
          <w:sz w:val="26"/>
          <w:szCs w:val="26"/>
          <w:lang w:eastAsia="en-US"/>
        </w:rPr>
        <w:t>Micros, Pequeñas y Medianas Empresas (</w:t>
      </w:r>
      <w:r w:rsidRPr="009C5C68">
        <w:rPr>
          <w:rFonts w:eastAsia="Calibri"/>
          <w:sz w:val="26"/>
          <w:szCs w:val="26"/>
          <w:lang w:eastAsia="en-US"/>
        </w:rPr>
        <w:t>MiPyME</w:t>
      </w:r>
      <w:r w:rsidR="00DB215C">
        <w:rPr>
          <w:rFonts w:eastAsia="Calibri"/>
          <w:sz w:val="26"/>
          <w:szCs w:val="26"/>
          <w:lang w:eastAsia="en-US"/>
        </w:rPr>
        <w:t>)</w:t>
      </w:r>
      <w:r w:rsidRPr="009C5C68">
        <w:rPr>
          <w:rFonts w:eastAsia="Calibri"/>
          <w:sz w:val="26"/>
          <w:szCs w:val="26"/>
          <w:lang w:eastAsia="en-US"/>
        </w:rPr>
        <w:t xml:space="preserve"> al cierre de 2014 observamos tasas hasta 8% menores que el cierre de 2013. Y en términos de créditos personales, esta misma comparación arroja una disminución de tasas de alrededor del 9 por ciento.  </w:t>
      </w:r>
    </w:p>
    <w:p w14:paraId="59F68401"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Asimismo, el ahorro financiero interno total aumentó de 55.8% del PIB en 2012 a 61.9% del PIB al cierre del año pasado. </w:t>
      </w:r>
    </w:p>
    <w:p w14:paraId="61330463"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Entre las medidas que han permitido incrementar la competencia destaca el nuevo esquema de subrogación de hipotecas que reduce los costos para refinanciar una hipoteca. Como resultado, en 2014 se llevaron a cabo 11 mil 313 refinanciamientos de hipotecas que se comparan favorablemente con los 2000 que se observaron al cierre de 2013. </w:t>
      </w:r>
    </w:p>
    <w:p w14:paraId="7D3C24A0"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No quiero dejar de mencionar otra importante transformación en el sector  financiero que se logró con la promulgación de la nueva Ley de Instituciones de Seguros y Fianzas el 4 abril de 2013, y que entrará en vigor 24 meses después, es decir, el próximo 4 de abril, después del período de implementación previsto en la propia Ley para la publicación de toda la regulación secundaria. </w:t>
      </w:r>
    </w:p>
    <w:p w14:paraId="07560617" w14:textId="6CF0162B"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La implementación de esta nueva Ley de Seguros y Fianzas se logró a través de un trabajo con el sector asegurador, que se refleja en la Circular Única de Seguros y Fianzas, publicada el pasado 19 de diciembre en el Diario Oficial de la Federación (DOF).  </w:t>
      </w:r>
    </w:p>
    <w:p w14:paraId="0A344C7E" w14:textId="518F6C00"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lastRenderedPageBreak/>
        <w:t>Todos los integrantes del Sector Financiero han dedicado dos años de trabajo intenso, desde la formulación de la iniciativa de la Reforma Financiera en el 2013, hasta su promulgación en enero del año pasado, y, tras de ello, en su puntual implementación, a lo largo de 2014.</w:t>
      </w:r>
    </w:p>
    <w:p w14:paraId="136730BA"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En este esfuerzo, el liderazgo y conducción del Secretario de Hacienda y Crédito Público, aunado a la participación decidida de todos los integrantes del Sistema Financiero, han hecho posible que se haga hoy un recuento favorable de las mejores condiciones en este sector fundamental para el crecimiento económico y el desarrollo de los mexicanos. </w:t>
      </w:r>
    </w:p>
    <w:p w14:paraId="78C516D3"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Señoras y Señores:</w:t>
      </w:r>
    </w:p>
    <w:p w14:paraId="3C0992E4" w14:textId="062F29EC"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Quiero reiterar que en este proceso, la participación de la Banca y de los demás intermediarios financieros privados ha sido fundamental para lograr los avances de los cuales se da cuenta el día de hoy. </w:t>
      </w:r>
    </w:p>
    <w:p w14:paraId="56550094"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Asimismo, deseo resaltar que, aún antes de la promulgación de la Reforma Financiera, en cumplimiento con la instrucción del Presidente de México, la Banca de Desarrollo ha tomado un mayor dinamismo en el otorgamiento de financiamiento a sectores estratégicos para el desarrollo nacional. </w:t>
      </w:r>
    </w:p>
    <w:p w14:paraId="1604201C"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Agradezco nuevamente su presencia en este, el Museo de la SHCP, Antiguo Palacio del Arzobispado, para dar cuenta del avance en la implementación y logros de la Reforma Financiera.       </w:t>
      </w:r>
    </w:p>
    <w:p w14:paraId="37508CB1" w14:textId="77777777" w:rsid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Muchas gracias, buenos días.”</w:t>
      </w:r>
    </w:p>
    <w:p w14:paraId="6BEFA6B5" w14:textId="77777777" w:rsidR="001B4DFF" w:rsidRDefault="001B4DFF" w:rsidP="009C5C68">
      <w:pPr>
        <w:spacing w:after="360" w:line="360" w:lineRule="auto"/>
        <w:ind w:right="-159"/>
        <w:jc w:val="both"/>
        <w:rPr>
          <w:rFonts w:eastAsia="Calibri"/>
          <w:sz w:val="26"/>
          <w:szCs w:val="26"/>
          <w:lang w:eastAsia="en-US"/>
        </w:rPr>
      </w:pPr>
    </w:p>
    <w:p w14:paraId="283236D2" w14:textId="640C4861" w:rsidR="009C5C68" w:rsidRPr="009C5C68" w:rsidRDefault="003810B3" w:rsidP="009C5C68">
      <w:pPr>
        <w:spacing w:after="360" w:line="360" w:lineRule="auto"/>
        <w:ind w:right="-159"/>
        <w:jc w:val="both"/>
        <w:rPr>
          <w:rFonts w:eastAsia="Calibri"/>
          <w:b/>
          <w:sz w:val="26"/>
          <w:szCs w:val="26"/>
          <w:lang w:eastAsia="en-US"/>
        </w:rPr>
      </w:pPr>
      <w:r>
        <w:rPr>
          <w:rFonts w:eastAsia="Calibri"/>
          <w:b/>
          <w:sz w:val="26"/>
          <w:szCs w:val="26"/>
          <w:lang w:eastAsia="en-US"/>
        </w:rPr>
        <w:lastRenderedPageBreak/>
        <w:t xml:space="preserve">Intervención del </w:t>
      </w:r>
      <w:r w:rsidR="009C5C68" w:rsidRPr="009C5C68">
        <w:rPr>
          <w:rFonts w:eastAsia="Calibri"/>
          <w:b/>
          <w:sz w:val="26"/>
          <w:szCs w:val="26"/>
          <w:lang w:eastAsia="en-US"/>
        </w:rPr>
        <w:t>Presidente de la Asociación de Bancos de México</w:t>
      </w:r>
    </w:p>
    <w:p w14:paraId="296DEBEF"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“Secretario de Hacienda y Crédito Público </w:t>
      </w:r>
    </w:p>
    <w:p w14:paraId="7900FAE6"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Subsecretario de Hacienda y Crédito Público. </w:t>
      </w:r>
    </w:p>
    <w:p w14:paraId="35A649E8"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Señores Presidentes de las comisiones supervisoras del sistema financiero.</w:t>
      </w:r>
    </w:p>
    <w:p w14:paraId="476E28F7"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Director General de Nacional Financiera (Nafin). </w:t>
      </w:r>
    </w:p>
    <w:p w14:paraId="682663D8"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Compañeros líderes del sector financiero. </w:t>
      </w:r>
    </w:p>
    <w:p w14:paraId="23D146B0"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Señoras y señores.</w:t>
      </w:r>
    </w:p>
    <w:p w14:paraId="2E919306"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Resulta muy oportuna la celebración de este evento para informar los resultados y las perspectivas de la Reforma Financiera a 14 meses de su promulgación y es un honor poder comentar la adición de la ABM sobre el particular. </w:t>
      </w:r>
    </w:p>
    <w:p w14:paraId="21C212CA"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La Reforma Financiera fue muy amplia y como ya lo comentó el Subsecretario, implicó la modificación de más de 34 ordenamientos legales y más de 300 disposiciones secundarias, por ello quisiera estructurar mi intervención para darle un poco de orden dada la magnitud de la reforma de acuerdo con los objetivos de la misma.</w:t>
      </w:r>
    </w:p>
    <w:p w14:paraId="2D579F68"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El primero de ellos: Fortalecer el marco Prudencial de sistemas. No cabe duda que el marco regulatorio y el fortalecimiento de las facultades de la Comisión Bancaria derivado de la Reforma Financiera han mejorado la estabilidad del sistema y crearon un andamiaje efectivo para la solución de problemas específicos de las instituciones de crédito. Prueba de ello es que hoy tenemos instituciones mejor capitalizadas y líquidas, lo que es reflejo de una normativa prudencial más estricta. </w:t>
      </w:r>
    </w:p>
    <w:p w14:paraId="158B3253"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lastRenderedPageBreak/>
        <w:t xml:space="preserve">Se puede afirmar que el capital que hoy tiene la banca le permitirá incrementar su cartera de crédito en un 33% más, lo que quiere decir de manera coloquial que tenemos una capacidad instalada pendiente de utilizar equivalente a 100 mil millones de dólares. </w:t>
      </w:r>
    </w:p>
    <w:p w14:paraId="18164FF4"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Por otro lado, es pertinente comentar que gracias a la reforma, la resolución del banco Bicentenario fue muy eficiente, gracias a ella, el 97% de los ahorradores afectados recibieron prácticamente de inmediato sus depósitos y el sistema no se vio afectado en forma alguna y en la misma no se utilizaron recursos fiscales.</w:t>
      </w:r>
    </w:p>
    <w:p w14:paraId="2B060727"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En el año 2014, la banca otorgó más crédito a menor costo, segundo objetivo de esta reforma. Lo anterior en virtud de que el marco establecido promueve una mayor competencia entre las instituciones y regula de mejor manera las relaciones entre la banca y sus clientes. </w:t>
      </w:r>
    </w:p>
    <w:p w14:paraId="214D2FE6" w14:textId="334E478E"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En todos los circuitos de crédito, la tasa de interés se redujo 73 puntos básicos beneficiando prácticamente a todos los segmentos. En este sentido, cabe mencionar que el crédito otorgado a la micro, pequeña y mediana empresa a enero de 2015 creció en un 9.5% real y las tasas ponderadas de segmento bajaron 66 puntos básicos lo que       </w:t>
      </w:r>
      <w:r w:rsidR="00B96277">
        <w:rPr>
          <w:rFonts w:eastAsia="Calibri"/>
          <w:sz w:val="26"/>
          <w:szCs w:val="26"/>
          <w:lang w:eastAsia="en-US"/>
        </w:rPr>
        <w:t xml:space="preserve"> </w:t>
      </w:r>
      <w:r w:rsidRPr="009C5C68">
        <w:rPr>
          <w:rFonts w:eastAsia="Calibri"/>
          <w:sz w:val="26"/>
          <w:szCs w:val="26"/>
          <w:lang w:eastAsia="en-US"/>
        </w:rPr>
        <w:t xml:space="preserve">  —como ya lo mencionó el señor Subsecretario— equivale a una reducción aproximada del 8 por ciento.  </w:t>
      </w:r>
    </w:p>
    <w:p w14:paraId="29333E08"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También es de hacer notar una mayor movilidad y reducción de costos de los acreditados, lo cual implicó que las hipotecas subrogadas formal o implícitamente sumen más de 11 mil y que el 20% de los créditos hipotecarios originados en el 2014, insisto, el 20% de dichos créditos, se destinaron a refinanciar pasivos a tasas más bajas.</w:t>
      </w:r>
    </w:p>
    <w:p w14:paraId="2DDF8A94"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Por otro lado, las reformas permitieron otorgar nuevos financiamientos a desarrolladores que fueron sujetos a concursos mercantiles. Sin la reforma, no hubiéramos podido otorgar crédito a una empresa sujeto a la figura del concurso </w:t>
      </w:r>
      <w:r w:rsidRPr="009C5C68">
        <w:rPr>
          <w:rFonts w:eastAsia="Calibri"/>
          <w:sz w:val="26"/>
          <w:szCs w:val="26"/>
          <w:lang w:eastAsia="en-US"/>
        </w:rPr>
        <w:lastRenderedPageBreak/>
        <w:t xml:space="preserve">mercantil, cuya finalidad más noble es preservar la unidad económica y proteger las fuentes de empleo. </w:t>
      </w:r>
    </w:p>
    <w:p w14:paraId="73D42927"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En relación con la protección al público usuario, otro objetivo relevante de la reforma financiera, podemos afirmar que es un hecho que gracias a ella, los bancos estamos otorgando un mejor servicio a nuestros clientes y esto se acredita por el hecho de que las reclamaciones recibidas por la Comisión Nacional para la Protección y Defensa de los Usuarios de Servicios Financieros (Condusef) se redujeron en un 26 por ciento. </w:t>
      </w:r>
    </w:p>
    <w:p w14:paraId="2D3BB1C2"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Hoy los usuarios de los servicios financieros cuentan con un organismo fortalecido por la reforma para protegerlos y con un adecuado marco legal, mismo que les facilita tomar decisiones mejor informadas y con mayor transparencia. A lo anterior, se agrega la instauración de un sistema de arbitraje no obligatorio que ha sentado las bases para la utilización de procedimientos más ágiles de solución de controversias entre los bancos y sus clientes. </w:t>
      </w:r>
    </w:p>
    <w:p w14:paraId="661F2B3A"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En relación con otro objetivo de la reforma vinculado con la banca de desarrollo no podemos dejar de mencionar que el nuevo régimen de dichos bancos les ha otorgado la flexibilidad necesaria a fin de que puedan cumplir de mejor manera con sus funciones.  </w:t>
      </w:r>
    </w:p>
    <w:p w14:paraId="54CA4269"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Gracias al trabajo conjunto de la banca comercial y la banca de fomento, hemos otorgado más crédito que el año anterior, potenciando las garantías oficiales en 35 veces lo que refleja una complementariedad efectiva entre ambas instituciones y una eficiente utilización de los recursos públicos. </w:t>
      </w:r>
    </w:p>
    <w:p w14:paraId="6E629706"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En definitiva, los resultados y perspectivas de la Reforma Financiera pueden resumirse en más crédito, más barato, otorgado por un sistema financiero más seguro, comprometido y con mayor protección a los usuarios. </w:t>
      </w:r>
    </w:p>
    <w:p w14:paraId="5748BC10"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lastRenderedPageBreak/>
        <w:t xml:space="preserve">Señor secretario, la reforma presenta un avance muy importante para el mejor desempeño del sistema financiero, sus resultados están a la vista y los mismos serán potenciados en el tiempo. Tenga usted la seguridad que los integrantes de la Asociación de Bancos de México, seguiremos trabajando en forma conjunta con las autoridades para su debida instrumentación en beneficio de los usuarios del sistema financiero mexicano y el crecimiento económico de nuestro país. </w:t>
      </w:r>
    </w:p>
    <w:p w14:paraId="1C638775"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Muchas gracias.” </w:t>
      </w:r>
    </w:p>
    <w:p w14:paraId="31505E95" w14:textId="5D501B1D" w:rsidR="009C5C68" w:rsidRPr="009C5C68" w:rsidRDefault="003810B3" w:rsidP="009C5C68">
      <w:pPr>
        <w:spacing w:after="360" w:line="360" w:lineRule="auto"/>
        <w:ind w:right="-159"/>
        <w:jc w:val="both"/>
        <w:rPr>
          <w:rFonts w:eastAsia="Calibri"/>
          <w:b/>
          <w:sz w:val="26"/>
          <w:szCs w:val="26"/>
          <w:lang w:eastAsia="en-US"/>
        </w:rPr>
      </w:pPr>
      <w:r>
        <w:rPr>
          <w:rFonts w:eastAsia="Calibri"/>
          <w:b/>
          <w:sz w:val="26"/>
          <w:szCs w:val="26"/>
          <w:lang w:eastAsia="en-US"/>
        </w:rPr>
        <w:t xml:space="preserve">Intervención del </w:t>
      </w:r>
      <w:r w:rsidR="009C5C68" w:rsidRPr="009C5C68">
        <w:rPr>
          <w:rFonts w:eastAsia="Calibri"/>
          <w:b/>
          <w:sz w:val="26"/>
          <w:szCs w:val="26"/>
          <w:lang w:eastAsia="en-US"/>
        </w:rPr>
        <w:t>Director General de Nacional Financiera</w:t>
      </w:r>
    </w:p>
    <w:p w14:paraId="7349541D"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“Señor Secretario de Hacienda y Crédito Público; </w:t>
      </w:r>
    </w:p>
    <w:p w14:paraId="5F2CE281"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Distinguidos miembros del presídium;</w:t>
      </w:r>
    </w:p>
    <w:p w14:paraId="57FA665F"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Señoras y señores.</w:t>
      </w:r>
    </w:p>
    <w:p w14:paraId="3C363FDA" w14:textId="0E9703A4"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Con el ocaso del siglo XX, inicia la tercera revolución en la historia de la Humanidad; la de las tecnologías de la información y con </w:t>
      </w:r>
      <w:r w:rsidR="003810B3">
        <w:rPr>
          <w:rFonts w:eastAsia="Calibri"/>
          <w:sz w:val="26"/>
          <w:szCs w:val="26"/>
          <w:lang w:eastAsia="en-US"/>
        </w:rPr>
        <w:t>é</w:t>
      </w:r>
      <w:r w:rsidRPr="009C5C68">
        <w:rPr>
          <w:rFonts w:eastAsia="Calibri"/>
          <w:sz w:val="26"/>
          <w:szCs w:val="26"/>
          <w:lang w:eastAsia="en-US"/>
        </w:rPr>
        <w:t>sta la necesidad de cambio de paradigmas en lo económico, en lo político y en lo social.</w:t>
      </w:r>
    </w:p>
    <w:p w14:paraId="083C52E9"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Esto lo ha entendido muy bien la administración del Presidente de la República Mexicana, al llevar adelante profundas reformas cuya prioridad es adaptarse a las nuevas circunstancias globales y eliminar los obstáculos que han frenado nuestro desarrollo.</w:t>
      </w:r>
    </w:p>
    <w:p w14:paraId="0D45576A"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Las transformaciones de fondo implican riesgos y costos políticos que sólo pueden asumirse con la visión de quien no piensa en el corto plazo sino que se atreve a proponer cambios profundos aún con la certeza de que la rentabilidad de éstas no será inmediata pero llegará, siempre en beneficio de un desarrollo sostenido.</w:t>
      </w:r>
    </w:p>
    <w:p w14:paraId="38373BC6"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lastRenderedPageBreak/>
        <w:t>Por eso, las reformas concretadas y que se están implementando no son un ejercicio de retórica ni mucho menos de idealización, sino acciones concretas que cambian las reglas del juego en temas fundamentales.</w:t>
      </w:r>
    </w:p>
    <w:p w14:paraId="39FCF299" w14:textId="2E147A75" w:rsidR="009C5C68" w:rsidRPr="009C5C68" w:rsidRDefault="003810B3" w:rsidP="009C5C68">
      <w:pPr>
        <w:spacing w:after="360" w:line="360" w:lineRule="auto"/>
        <w:ind w:right="-159"/>
        <w:jc w:val="both"/>
        <w:rPr>
          <w:rFonts w:eastAsia="Calibri"/>
          <w:sz w:val="26"/>
          <w:szCs w:val="26"/>
          <w:lang w:eastAsia="en-US"/>
        </w:rPr>
      </w:pPr>
      <w:r>
        <w:rPr>
          <w:rFonts w:eastAsia="Calibri"/>
          <w:sz w:val="26"/>
          <w:szCs w:val="26"/>
          <w:lang w:eastAsia="en-US"/>
        </w:rPr>
        <w:t>É</w:t>
      </w:r>
      <w:r w:rsidR="009C5C68" w:rsidRPr="009C5C68">
        <w:rPr>
          <w:rFonts w:eastAsia="Calibri"/>
          <w:sz w:val="26"/>
          <w:szCs w:val="26"/>
          <w:lang w:eastAsia="en-US"/>
        </w:rPr>
        <w:t>ste es el caso de la reforma financiera, que puede reportar ya resultados tangibles en la banca de desarrollo, que hoy canaliza más financiamiento y más barato como ya lo hemos venido escuchando.</w:t>
      </w:r>
    </w:p>
    <w:p w14:paraId="37F39EFD"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En el último año, ya con nuevas herramientas derivadas de la Reforma Financiera, Nafinsa logró un crecimiento del 17% en su saldo de cartera de crédito y garantías al sector privado, llegando a los 283 mil millones de pesos.</w:t>
      </w:r>
    </w:p>
    <w:p w14:paraId="18272DB9"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Superamos con ello la meta que nos fijó el Presidente de la República y el Secretario de Hacienda, y gracias a ello apoyamos a más de 200 mil empresas con financiamiento y a más de un millón de clientes con microcrédito.</w:t>
      </w:r>
    </w:p>
    <w:p w14:paraId="3211D592"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Gracias a la Reforma Financiera, 2014 fue un año de innovaciones, como los nuevos mecanismos de subastas de garantías para inducir crédito empresarial y fomentar competencia entre los intermediarios financieros.</w:t>
      </w:r>
    </w:p>
    <w:p w14:paraId="713B00D4"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Así, por cada peso de garantías, Nafin pudo respaldar a un mayor monto de crédito y generar por tanto una mayor derrama de financiamiento, con una disminución promedio del 25% en las tasas de interés de los créditos dirigidos al sector PyME.</w:t>
      </w:r>
    </w:p>
    <w:p w14:paraId="7F9BA718"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Por otro lado, hemos desarrollado nuevos programas sectoriales y de vocación regional en estrecha coordinación con los gobiernos estatales de todo el país, para atender nichos específicos como por ejemplo, el del cuero-calzado, textil y transporte público, entre otros.</w:t>
      </w:r>
    </w:p>
    <w:p w14:paraId="11663B15"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lastRenderedPageBreak/>
        <w:t xml:space="preserve">Destaca también el mercado electrónico de PyMEs y nuevos esquemas de capital emprendedor, en donde Nacional Financiera incursiona en nuevos nichos y abre mercados en segmentos donde la banca comercial no estaba participando. </w:t>
      </w:r>
    </w:p>
    <w:p w14:paraId="19F555BF"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Asimismo, Nacional Financiera inició la operación de oficinas móviles que el año pasado visitaron 53 ciudades en 18 estados de la República, con más de 7 mil clientes atendidos con capacitación y asesoría, principalmente en el tema del Régimen de Incorporación Fiscal.</w:t>
      </w:r>
    </w:p>
    <w:p w14:paraId="73E72DF1"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Destacan también nuevos productos como el fondo Impulso Energético de Nacional Financiera y HSBC, por un monto de un mil 700 millones de pesos; las subastas en el sector automotriz, con un otorgamiento de crédito de más de 2 mil 506 millones de pesos, y nuevos programas de garantía selectiva. </w:t>
      </w:r>
    </w:p>
    <w:p w14:paraId="06DA612D"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En materia de banca de inversión, Nacional Financiera participó en la estructuración de créditos para tres parques eólicos en Oaxaca y en Baja California, por un monto por más de 2 mil millones de pesos.</w:t>
      </w:r>
    </w:p>
    <w:p w14:paraId="02CEC11C"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El área financiera, Nacional Financiera ha lanzado también un nuevo sistema de subastas en el mercado de deuda corporativa y gubernamental, así como subastas sindicadas de certificados bursátiles por un total de 22 mil millones de pesos, con lo que seguimos cumpliendo nuestra función de apoyar al mercado de dinero y de capitales.</w:t>
      </w:r>
    </w:p>
    <w:p w14:paraId="50D306C5"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Señor Secretario:</w:t>
      </w:r>
    </w:p>
    <w:p w14:paraId="4AB784DE"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Mención especial merece el recientemente lanzado programa “Crédito Joven”, estrategia integral del gobierno federal que por primera vez atiende con financiamiento a jóvenes de entre 18 y 30 años que pretenden abrir un negocio o consolidar uno en marcha.</w:t>
      </w:r>
    </w:p>
    <w:p w14:paraId="7D710632"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lastRenderedPageBreak/>
        <w:t>La primera etapa de este inédito programa de inclusión financiera se llama “Mi primer crédito”, que otorga a jóvenes por montos de entre 50 mil y 150 mil pesos a una tasa de 9.9%, tomando en cuenta que se aplica a personas que no cuentan con historial crediticio.</w:t>
      </w:r>
    </w:p>
    <w:p w14:paraId="7407AC4A"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Exactamente a un mes de que el Presidente de México lanzó el programa “Crédito Joven”, ya se está trabajando para atender en una primera etapa desembolsos de alrededor de 2 mil millones de pesos que no es limitativa.</w:t>
      </w:r>
    </w:p>
    <w:p w14:paraId="65698419"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Se cuenta con una oferta de cuatro productos (dos para nuevos negocios y dos para empresas en marcha), a través de tres bancos participantes.</w:t>
      </w:r>
    </w:p>
    <w:p w14:paraId="1BFD9E9B"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Los portales de internet de Nacional Financiera y del Instituto Nacional del Emprendedor (INADEM) han recibido más de 260 mil </w:t>
      </w:r>
      <w:r w:rsidRPr="009C5C68">
        <w:rPr>
          <w:rFonts w:eastAsia="Calibri"/>
          <w:i/>
          <w:sz w:val="26"/>
          <w:szCs w:val="26"/>
          <w:lang w:eastAsia="en-US"/>
        </w:rPr>
        <w:t>hits</w:t>
      </w:r>
      <w:r w:rsidRPr="009C5C68">
        <w:rPr>
          <w:rFonts w:eastAsia="Calibri"/>
          <w:sz w:val="26"/>
          <w:szCs w:val="26"/>
          <w:lang w:eastAsia="en-US"/>
        </w:rPr>
        <w:t>, como se dice en inglés, mientras que nuestros centros de atención telefónica han atendido ya un total de 24 mil llamadas solicitando información del programa.</w:t>
      </w:r>
    </w:p>
    <w:p w14:paraId="6BBA6CE2"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Señoras y señores: </w:t>
      </w:r>
    </w:p>
    <w:p w14:paraId="69F00C5D"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Puesta en marcha la Reforma Financiera, Nacional Financiera ejerce un nuevo y claro mandato de maximizar el impacto de nuestra labor de desarrollo, sin descuidar la sustentabilidad financiera del banco.</w:t>
      </w:r>
    </w:p>
    <w:p w14:paraId="39174C23"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Con la Reforma Financiera, la mejor historia de la banca de desarrollo y de Nacional Financiera está por escribirse.   </w:t>
      </w:r>
    </w:p>
    <w:p w14:paraId="4DD0BA53"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Estamos enfrentando así nuestros nuevos retos de ser los principales impulsores del desarrollo empresarial en México.</w:t>
      </w:r>
    </w:p>
    <w:p w14:paraId="5B88D34C"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Muchas gracias.”</w:t>
      </w:r>
    </w:p>
    <w:p w14:paraId="2B1EFFF3" w14:textId="4A1782AA" w:rsidR="009C5C68" w:rsidRPr="009C5C68" w:rsidRDefault="003810B3" w:rsidP="009C5C68">
      <w:pPr>
        <w:spacing w:after="360" w:line="360" w:lineRule="auto"/>
        <w:ind w:right="-159"/>
        <w:jc w:val="both"/>
        <w:rPr>
          <w:rFonts w:eastAsia="Calibri"/>
          <w:b/>
          <w:sz w:val="26"/>
          <w:szCs w:val="26"/>
          <w:lang w:eastAsia="en-US"/>
        </w:rPr>
      </w:pPr>
      <w:r>
        <w:rPr>
          <w:rFonts w:eastAsia="Calibri"/>
          <w:b/>
          <w:sz w:val="26"/>
          <w:szCs w:val="26"/>
          <w:lang w:eastAsia="en-US"/>
        </w:rPr>
        <w:lastRenderedPageBreak/>
        <w:t xml:space="preserve">Intervención del </w:t>
      </w:r>
      <w:r w:rsidR="009C5C68" w:rsidRPr="009C5C68">
        <w:rPr>
          <w:rFonts w:eastAsia="Calibri"/>
          <w:b/>
          <w:sz w:val="26"/>
          <w:szCs w:val="26"/>
          <w:lang w:eastAsia="en-US"/>
        </w:rPr>
        <w:t>Secretario de Hacienda y Crédito Público</w:t>
      </w:r>
    </w:p>
    <w:p w14:paraId="5F4DD1FC"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“Muy buenos días a todas y a todos. Me da mucho gusto recibirles aquí en este extraordinario Palacio del Arzobispado, que hoy en día es la sede del acervo cultural de la SHCP. </w:t>
      </w:r>
    </w:p>
    <w:p w14:paraId="477DA00A" w14:textId="30CAB5FC"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Saludo en primer lugar al Presidente de la Asociación de Bancos de México, </w:t>
      </w:r>
      <w:r w:rsidR="003810B3">
        <w:rPr>
          <w:rFonts w:eastAsia="Calibri"/>
          <w:sz w:val="26"/>
          <w:szCs w:val="26"/>
          <w:lang w:eastAsia="en-US"/>
        </w:rPr>
        <w:t>a</w:t>
      </w:r>
      <w:r w:rsidRPr="009C5C68">
        <w:rPr>
          <w:rFonts w:eastAsia="Calibri"/>
          <w:sz w:val="26"/>
          <w:szCs w:val="26"/>
          <w:lang w:eastAsia="en-US"/>
        </w:rPr>
        <w:t xml:space="preserve">l Presidente de la Asociación Mexicana de Intermediarios Bursátiles y al Presidente de la Asociación Mexicana de Instituciones de Seguros. </w:t>
      </w:r>
    </w:p>
    <w:p w14:paraId="39718443"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Saludo también al Subsecretario de Hacienda y Crédito Público; a todo el equipo del sector público que participa en el sector financiero; a los Presidentes de las comisiones y a las autoridades que hoy nos acompañan. </w:t>
      </w:r>
    </w:p>
    <w:p w14:paraId="52EBD601"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Pero sobre todo me da mucho gusto ver aquí y saludar a los representantes de las instituciones del sector financiero, a los presidentes y directores generales de los principales bancos, casas de bolsa, aseguradoras de nuestro país. Muchas gracias por estar aquí, ustedes son los verdaderos protagonistas, ustedes son los que hacen realidad la implementación de la reforma financiera. </w:t>
      </w:r>
    </w:p>
    <w:p w14:paraId="3C7DD222"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Antes de entrar al tema que hoy nos convoca, que es dar un primer recuento de los primeros resultados de la implementación de la reforma financiera, quiero referirme a un anuncio que esta mañana hizo la Comisión de Cambios con respecto a medidas preventivas adicionales para proveer liquidez en el mercado cambiario. </w:t>
      </w:r>
    </w:p>
    <w:p w14:paraId="41F34029"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Como ustedes saben, la Comisión de Cambios es la instancia que rige la política cambiaria en México, integrada por la Secretaría de Hacienda y el Banco de México. </w:t>
      </w:r>
    </w:p>
    <w:p w14:paraId="2BF14E9F"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lastRenderedPageBreak/>
        <w:t>Como es del conocimiento de todos ustedes, el valor del dólar norteamericano con respecto al resto de las monedas en el mundo ha tenido una apreciación importante en los últimos días.</w:t>
      </w:r>
    </w:p>
    <w:p w14:paraId="6361E88D" w14:textId="72BB5A45"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El peso mexicano, desde el inicio del año al día de hoy tiene una depreciación frente al dólar de 4.8%, y tan solo</w:t>
      </w:r>
      <w:r w:rsidR="001B4DFF">
        <w:rPr>
          <w:rFonts w:eastAsia="Calibri"/>
          <w:sz w:val="26"/>
          <w:szCs w:val="26"/>
          <w:lang w:eastAsia="en-US"/>
        </w:rPr>
        <w:t xml:space="preserve"> desde el </w:t>
      </w:r>
      <w:r w:rsidRPr="009C5C68">
        <w:rPr>
          <w:rFonts w:eastAsia="Calibri"/>
          <w:sz w:val="26"/>
          <w:szCs w:val="26"/>
          <w:lang w:eastAsia="en-US"/>
        </w:rPr>
        <w:t>6 de marzo</w:t>
      </w:r>
      <w:r w:rsidR="003810B3">
        <w:rPr>
          <w:rFonts w:eastAsia="Calibri"/>
          <w:sz w:val="26"/>
          <w:szCs w:val="26"/>
          <w:lang w:eastAsia="en-US"/>
        </w:rPr>
        <w:t xml:space="preserve"> pasado</w:t>
      </w:r>
      <w:r w:rsidRPr="009C5C68">
        <w:rPr>
          <w:rFonts w:eastAsia="Calibri"/>
          <w:sz w:val="26"/>
          <w:szCs w:val="26"/>
          <w:lang w:eastAsia="en-US"/>
        </w:rPr>
        <w:t xml:space="preserve">, tenemos una depreciación del 1.7 por ciento. </w:t>
      </w:r>
    </w:p>
    <w:p w14:paraId="3E234B4E"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Sin embargo, hay que reconocer que esto es parte de un fenómeno global. En este mismo período, por ejemplo, la moneda europea, el euro, ha tenido desde el inicio del año para acá, una depreciación frente al dólar estadounidense del 14.4%, tan sólo del viernes pasado al día de hoy, el euro se ha depreciado frente al dólar 4.2%, es decir, el triple de la depreciación que ha tenido el peso mexicano frente al dólar. </w:t>
      </w:r>
    </w:p>
    <w:p w14:paraId="6B0CC042"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Lo mismo ha ocurrido con el dólar canadiense, que acumula en el año una depreciación del 10% frente al dólar. </w:t>
      </w:r>
    </w:p>
    <w:p w14:paraId="63388468"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De hecho, si nosotros medimos el valor del peso mexicano frente a otras monedas, lo que observamos es que el peso mexicano se ha fortalecido. Por ejemplo, frente al euro, en lo que va del año tenemos un fortalecimiento del peso mexicano frente al euro de 8.25%; frente al dólar canadiense del 4.54%; frente al real brasileño nos hemos apreciado en más del 10, 10.38% y, por ejemplo, frente al peso colombiano, el peso mexicano se ha fortalecido en 5.35 por ciento. </w:t>
      </w:r>
    </w:p>
    <w:p w14:paraId="0A3C814C"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Es decir, se trata de un fenómeno global de apreciación de la moneda de los Estados Unidos de Norteamérica en anticipación al cambio que esperan los mercados en la política monetaria de nuestro país vecino del norte. </w:t>
      </w:r>
    </w:p>
    <w:p w14:paraId="4E38E938"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Estados Unidos de Norteamérica es la economía que está creciendo, es de las economías desarrolladas que tienen las mejores perspectivas de crecimiento y, mientras en Europa, </w:t>
      </w:r>
      <w:r w:rsidRPr="009C5C68">
        <w:rPr>
          <w:rFonts w:eastAsia="Calibri"/>
          <w:sz w:val="26"/>
          <w:szCs w:val="26"/>
          <w:lang w:eastAsia="en-US"/>
        </w:rPr>
        <w:lastRenderedPageBreak/>
        <w:t xml:space="preserve">por ejemplo, o en China estamos viendo un relajamiento de las condiciones monetarias para estimular el crecimiento, se anticipa que la autoridad monetaria en los Estados Unidos de Norteamérica, la Reserva Federal, inicie un ciclo de alza de tasas en los próximos meses. </w:t>
      </w:r>
    </w:p>
    <w:p w14:paraId="7857F46A"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Ante estas condiciones hay que destacar que el peso mexicano, el mercado por el peso mexicano, ha tenido condiciones de funcionamiento ordenadas y con amplia liquidez. </w:t>
      </w:r>
    </w:p>
    <w:p w14:paraId="61487600"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El peso mexicano es la octava moneda con mayor liquidez en el mundo, y funciona aun en días como el viernes pasado, con altos niveles de liquidez y orden en el mercado. </w:t>
      </w:r>
    </w:p>
    <w:p w14:paraId="33E3C2A1"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Sin embargo, ante estas condiciones externas que, insisto, son parte de un fenómeno global, en el pasado mes de diciembre la Comisión de Cambios decidió establecer un mecanismo de subastas condicionales, que estaría disponible en caso de que en un solo día el peso tuviera una depreciación de más del 1.5%. Esto ha ocurrido solamente en dos ocasiones, y se han puesto a la venta un total de 400 millones de dólares. </w:t>
      </w:r>
    </w:p>
    <w:p w14:paraId="43AE7228"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El día de hoy por la mañana hemos anunciado, la Comisión de Cambios, que toma una medida adicional que tiene como propósito disminuir el ritmo de acumulación de reservas internacionales. </w:t>
      </w:r>
    </w:p>
    <w:p w14:paraId="165E2FF1"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Al respecto, hay que recordar que de 2009 a 2014, nuestro país ha acumulado en promedio al año 17 mil 189 millones de dólares. Tan solo el año pasado las reservas internacionales acumularon 16 mil 458 millones de dólares; al 6 de marzo las reservas acumulan ya 194 mil 938 millones de dólares. </w:t>
      </w:r>
    </w:p>
    <w:p w14:paraId="3661E800"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Y a esto debemos de sumar, como un recurso de liquidez la línea de crédito flexible que tenemos contratada con el Fondo Monetario Internacional (FMI) y que fue renovada a finales del año pasado por un monto adicional de liquidez, de 70 mil millones de dólares.</w:t>
      </w:r>
    </w:p>
    <w:p w14:paraId="650E0B5C"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lastRenderedPageBreak/>
        <w:t>En este contexto, la decisión de disminuir el ritmo de acumulación de reservas, lo que busca es generar, asegurar que existan mayores condiciones de liquidez.</w:t>
      </w:r>
    </w:p>
    <w:p w14:paraId="66D6AD93"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Como lo anunciamos en el boletín conjunto entre la Secretaría de Hacienda y el Banco de México, se pondrán a disposición, a partir del día de hoy y durante los siguientes tres meses, 52 millones de dólares al inicio de la jornada de operación, sin un precio mínimo. </w:t>
      </w:r>
    </w:p>
    <w:p w14:paraId="54CDC27C"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Al término de este período se evaluará la conveniencia de continuar o no con este mecanismo. </w:t>
      </w:r>
    </w:p>
    <w:p w14:paraId="74AADFF7"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Quiero insistir que la Comisión de Cambios seguirá atenta, como lo hemos estado todos los días, al funcionamiento del mercado cambiario. </w:t>
      </w:r>
    </w:p>
    <w:p w14:paraId="5A5F0D86"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El objetivo fundamental es preservar la estabilidad de la economía mexicana.</w:t>
      </w:r>
    </w:p>
    <w:p w14:paraId="0B96C532"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Y así como a finales de enero anunciamos un ajuste preventivo al gasto público, con el objetivo de consolidar la confianza en la trayectoria esperada de las finanzas públicas, haciendo que el ajuste ante menores ingresos por el precio del petróleo recaiga en una disminución del gasto público y no en un incremento de la deuda pública o el déficit gubernamental, ahora tomamos medidas en conjunto el Banco de México y la Secretaría de Hacienda, para asegurar el orden, la liquidez y el buen funcionamiento del mercado cambiario. </w:t>
      </w:r>
    </w:p>
    <w:p w14:paraId="3217B7C7"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Y seguiremos atentos en la Comisión de Cambios a la evolución del mercado cambiario, reconociendo que el entorno internacional representa un reto relevante para la economía mexicana.</w:t>
      </w:r>
    </w:p>
    <w:p w14:paraId="52F21200"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A final de cuentas de lo que se trata es de proteger la estabilidad, y proteger la estabilidad significa proteger la economía de las familias mexicanas, y ése es un bien </w:t>
      </w:r>
      <w:r w:rsidRPr="009C5C68">
        <w:rPr>
          <w:rFonts w:eastAsia="Calibri"/>
          <w:sz w:val="26"/>
          <w:szCs w:val="26"/>
          <w:lang w:eastAsia="en-US"/>
        </w:rPr>
        <w:lastRenderedPageBreak/>
        <w:t xml:space="preserve">superior en el cual no escatimaremos decisiones para actuar con oportunidad para protegerlo. </w:t>
      </w:r>
    </w:p>
    <w:p w14:paraId="2BA9797F"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Ahora sí, si me permiten, entraré al tema que nos convoca que es hacer un recuento de la implementación de la Reforma Financiera. </w:t>
      </w:r>
    </w:p>
    <w:p w14:paraId="1FA6BB68"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La Reforma Financiera forma parte, como ya se ha dicho, de las 11 reformas estructurales que fueron impulsadas por el Presidente de México al inicio de su mandato. </w:t>
      </w:r>
    </w:p>
    <w:p w14:paraId="5A703615"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Once reformas estructurales que fueron aprobadas y promulgadas en los primeros          20 meses de la administración del Presidente de México, y que tienen como objetivo hacer un cambio profundo en la estructura económica de nuestro país para promover un crecimiento mayor y más incluyente.</w:t>
      </w:r>
    </w:p>
    <w:p w14:paraId="1DD7B167"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Tal vez la Reforma Financiera fue una de las que menos atención por parte de la opinión pública, de los medios de comunicación recibió durante su proceso de aprobación; sin duda, en parte, se debe a que fue una de las reformas que mayor consenso logró, pero esto no significa que no se trate de una de las reformas más profundas en la estructura económica del país en las últimas décadas. </w:t>
      </w:r>
    </w:p>
    <w:p w14:paraId="76BD73DD"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El objetivo de la reforma es muy claro, y ha sido el mismo desde el principio: Que en México haya más crédito y un crédito más barato para las familias y particularmente para las pequeñas y medianas empresas de nuestro país. </w:t>
      </w:r>
    </w:p>
    <w:p w14:paraId="5D12CF02"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Tenemos un sistema financiero extraordinariamente bien manejado por hombres y mujeres especialistas financieros que hoy, particularmente en un entorno internacional como el que estamos viviendo, nos dan una gran confianza de que el sistema financiero está preparado para entornos como el que vivimos. </w:t>
      </w:r>
    </w:p>
    <w:p w14:paraId="359C64F5"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lastRenderedPageBreak/>
        <w:t xml:space="preserve">Es un sistema bien capitalizado, con reservas adecuadas, con indicadores de liquidez suficientes conforme a las mejores prácticas internacionales, sin embargo, todos, banqueros, consumidores, usuarios y autoridades, reconocemos que hay una gran oportunidad para que la banca, y otros intermediarios, presten más y lo hagan de forma más barata; y ése es el objetivo de la Reforma Financiera. </w:t>
      </w:r>
    </w:p>
    <w:p w14:paraId="4BD9CDB1"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Quiero, en primer lugar, reconocer a mucha gente que participó en el diseño y aprobación de la Reforma Financiera. En primer lugar a la banca misma. Recuerdo al inicio de la administración una reunión de trabajo que tuvimos con el comité Ejecutivo de la ABM en la cual, a lo mejor para sorpresa de algunos de los que estaban ahí —era Jaime Ruíz Sacristán quien presidia la ABM en aquél entonces—, en la reunión lo que les pedimos es “no nos den opiniones, denos textos, denos propuestas concretas de reformas; de adecuaciones a la ley que sirvan para que ustedes puedan prestar más, con la convicción de que el crédito no se puede impulsar por decreto, tienen que crearse las condiciones en el mercado en oferta y demanda para que exista mayor crédito.”  </w:t>
      </w:r>
    </w:p>
    <w:p w14:paraId="7DB4CC19"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Y de esta manera recibimos recomendaciones puntuales, concretas de parte de la Asociación de Bancos de México y del resto de los intermediarios financieros que fueron parte esencial de la Reforma Financiera. </w:t>
      </w:r>
    </w:p>
    <w:p w14:paraId="1C06E241"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Quiero destacar de manera muy importante la contribución a la reforma que hizo el Banco de México. El Gobernador y su equipo de trabajo sin duda fueron parte fundamental del trabajo que permitió llevar a cabo una iniciativa para modificar             34 leyes. </w:t>
      </w:r>
    </w:p>
    <w:p w14:paraId="4F22A52A"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Por supuesto, la (CNBV), el equipo de la Secretaría de Hacienda, y todas las autoridades en la materia colaboraron para preparar lo que sin duda era una buena iniciativa. </w:t>
      </w:r>
    </w:p>
    <w:p w14:paraId="7F271605"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lastRenderedPageBreak/>
        <w:t xml:space="preserve">Pero de tener una buena iniciativa a tener una buena ley hay un tramo muy importante, y ahí es donde quiero destacar que esta reforma financiera fue uno de los productos más importantes, más constructivos del Pacto por México. </w:t>
      </w:r>
    </w:p>
    <w:p w14:paraId="1984AEE3"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Quiero reconocer y agradecer el apoyo de todos los integrantes del Pacto por México, particularmente desde aquí un agradecimiento y reconocimiento al apoyo invariable y con convencimiento a esta reforma que tuvimos de todos los integrantes de la mesa del Pacto por México. </w:t>
      </w:r>
    </w:p>
    <w:p w14:paraId="1235F1B1"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A final de cuentas con el respaldo del Pacto por México, el Presidente de la República, el 7 de mayo del 2013 presentó la iniciativa de Reforma Financiera a la Cámara de Diputados como cámara de origen. </w:t>
      </w:r>
    </w:p>
    <w:p w14:paraId="3A85C1C2"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Y si teníamos una buena iniciativa, sin duda tenemos un a mejor reforma gracias al trabajo de las y los legisladores, particularmente la Cámara de Diputados donde se logró una aprobación con un gran consenso de la Reforma Financiera. Algunos meses después, en septiembre de 2013, se hicieron más de 500 cambios, propuestas de los distintos grupos parlamentarios, todas ellas para darle una mejor vocación social, una mayor efectividad y, en algunos casos, simplemente mayor sencillez a la Reforma Financiera. </w:t>
      </w:r>
    </w:p>
    <w:p w14:paraId="3866FAA1"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Quiero agradecer a los distintos grupos parlamentarios en la Cámara de Diputados que apoyaron con entusiasmo la Reforma Financiera, y a todo el equipo de los Diputados y Diputadas que trabajaron con gran ahínco en esta reforma. </w:t>
      </w:r>
    </w:p>
    <w:p w14:paraId="61A9D372" w14:textId="6521CF7B"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Y después el Senado de la República, en diciembre de 2013, aprobó sin modificaciones la minuta turnada por la Cámara de Diputados, y así</w:t>
      </w:r>
      <w:r w:rsidR="003810B3">
        <w:rPr>
          <w:rFonts w:eastAsia="Calibri"/>
          <w:sz w:val="26"/>
          <w:szCs w:val="26"/>
          <w:lang w:eastAsia="en-US"/>
        </w:rPr>
        <w:t>,</w:t>
      </w:r>
      <w:r w:rsidRPr="009C5C68">
        <w:rPr>
          <w:rFonts w:eastAsia="Calibri"/>
          <w:sz w:val="26"/>
          <w:szCs w:val="26"/>
          <w:lang w:eastAsia="en-US"/>
        </w:rPr>
        <w:t xml:space="preserve"> el 10 de enero de 2014</w:t>
      </w:r>
      <w:r w:rsidR="003810B3">
        <w:rPr>
          <w:rFonts w:eastAsia="Calibri"/>
          <w:sz w:val="26"/>
          <w:szCs w:val="26"/>
          <w:lang w:eastAsia="en-US"/>
        </w:rPr>
        <w:t>,</w:t>
      </w:r>
      <w:r w:rsidRPr="009C5C68">
        <w:rPr>
          <w:rFonts w:eastAsia="Calibri"/>
          <w:sz w:val="26"/>
          <w:szCs w:val="26"/>
          <w:lang w:eastAsia="en-US"/>
        </w:rPr>
        <w:t xml:space="preserve"> el Presidente de la República promulgó la Reforma Financiera. </w:t>
      </w:r>
    </w:p>
    <w:p w14:paraId="4B2197E7"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lastRenderedPageBreak/>
        <w:t xml:space="preserve">Un trabajo de más de un año para llegar al evento de promulgación, y ahí empezó el siguiente reto: El hacer que la reforma pasara de la ley a la realidad, de los cambios legislativos a la acción, que se notara en el monto del crédito, en la calidad de los productos, en las tasas de interés, en las comisiones, en la competencia. </w:t>
      </w:r>
    </w:p>
    <w:p w14:paraId="62CD4A70"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Y sin duda alguna, hoy, a un poco más de un año de distancia de la implementación de la Reforma, vemos resultados, primeros resultados que son alentadores. </w:t>
      </w:r>
    </w:p>
    <w:p w14:paraId="78AD9C80"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La Reforma, como se ha dicho aquí, tiene cuatro objetivos fundamentales: el primero, lograr una mayor oferta de crédito, mayor y mejor oferta de crédito por parte de la banca comercial y los intermediarios privados. </w:t>
      </w:r>
    </w:p>
    <w:p w14:paraId="3759D755"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Insisto, esto no se puede lograr, ni se debe lograr por decreto, tienen que crearse mejores condiciones para que la banca pueda generar mejores créditos. </w:t>
      </w:r>
    </w:p>
    <w:p w14:paraId="0CA6A309"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Y esto se logra, fundamentalmente, a través de fortalecer el Estado de Derecho, por ello, la Reforma no solamente fue una modificación a la legislación bancaria, se modificó la legislación mercantil, la Ley de Concursos Mercantiles, de reglas administrativas y, por supuesto, reglas bancarias, 34 ordenamientos en total, incluyendo una nueva ley para regular a las agrupaciones financieras. </w:t>
      </w:r>
    </w:p>
    <w:p w14:paraId="6FC94ADC"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Con ello lo que se busca es darle certidumbre jurídica al acto de crédito, particularmente reducir los costos de cobranza para las instituciones de crédito. </w:t>
      </w:r>
    </w:p>
    <w:p w14:paraId="1849DBC6"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Y con ello se logra, a final de cuentas, reducir el costo del crédito, y eso es lo que estamos viendo, algunos elementos específicos, por ejemplo, en la materia concursal es que hoy en día las empresas que entran a concurso mercantil pueden seguir recibiendo financiamiento para proteger el valor de los activos, proteger la cartera crediticia y, por lo tanto, lograr mejores condiciones de crédito desde el principio. </w:t>
      </w:r>
    </w:p>
    <w:p w14:paraId="64810C86"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lastRenderedPageBreak/>
        <w:t xml:space="preserve">El segundo elemento de la Reforma es introducir mayor competencia en el mercado de crédito, mayor competencia entre los bancos, mayor competencia entre los intermediarios financieros, se tomaron medidas muy específicas, muy puntuales, desde permitir la subrogación de hipotecas, de la cual ya se ha hablado aquí, que está ya dando resultados y que se están logrando, vimos los testimoniales, que familias mexicanas puedan reducir el costo del crédito hipotecario, hasta medidas como prohibir las ventas atadas, el que no se pueda, para otorgar un crédito hipotecario, exigir que el seguro inmobiliario se adquiera con una aseguradora del mismo grupo financiero, por poner un ejemplo. </w:t>
      </w:r>
    </w:p>
    <w:p w14:paraId="45CA6977"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Estamos viendo también cómo las distintas medidas para protección de los derechos de los usuarios empiezan a tener resultados; desde la creación del Buró de Intermediarios Financieros, que da mayor información a los usuarios del crédito, antes de contratar un producto, hasta las medidas específicas para impedir la existencia de las llamadas cláusulas abusivas en los contratos de crédito. </w:t>
      </w:r>
    </w:p>
    <w:p w14:paraId="013CCC95" w14:textId="5D2180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El tercer pilar de la Reforma Financiera es la Banca de Desarrollo. Se trataba de redefinir el mandato de la Banca de Desarrollo, para que conserve su solidez financiera, sus niveles de capitalización y solvencia, pero al mismo tiempo que juegue un papel más activo, como instrumento del Estado Mexicano, para promover el mercado de crédito. </w:t>
      </w:r>
    </w:p>
    <w:p w14:paraId="14811525" w14:textId="77777777" w:rsid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Si se llama Banca de Desarrollo, es porque, en primer lugar, debe de desarrollar los mercados de crédito, y el objetivo de la Banca de Desarrollo no es competir o desplazar a la Banca Comercial, es hacer equipo con la Banca Comercial para lograr un mayor desarrollo, un desarrollo más incluyente del crédito y el ahorro. </w:t>
      </w:r>
    </w:p>
    <w:p w14:paraId="5624D0E5" w14:textId="77777777" w:rsidR="00593607" w:rsidRDefault="00593607" w:rsidP="009C5C68">
      <w:pPr>
        <w:spacing w:after="360" w:line="360" w:lineRule="auto"/>
        <w:ind w:right="-159"/>
        <w:jc w:val="both"/>
        <w:rPr>
          <w:rFonts w:eastAsia="Calibri"/>
          <w:sz w:val="26"/>
          <w:szCs w:val="26"/>
          <w:lang w:eastAsia="en-US"/>
        </w:rPr>
      </w:pPr>
    </w:p>
    <w:p w14:paraId="5D6ECDFC" w14:textId="77777777" w:rsidR="00593607" w:rsidRPr="009C5C68" w:rsidRDefault="00593607" w:rsidP="009C5C68">
      <w:pPr>
        <w:spacing w:after="360" w:line="360" w:lineRule="auto"/>
        <w:ind w:right="-159"/>
        <w:jc w:val="both"/>
        <w:rPr>
          <w:rFonts w:eastAsia="Calibri"/>
          <w:sz w:val="26"/>
          <w:szCs w:val="26"/>
          <w:lang w:eastAsia="en-US"/>
        </w:rPr>
      </w:pPr>
    </w:p>
    <w:p w14:paraId="3714FBF1"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lastRenderedPageBreak/>
        <w:t>Y los resultados están a la vista y sin duda alguna son muy positivos.</w:t>
      </w:r>
    </w:p>
    <w:p w14:paraId="3B12272D" w14:textId="212205CE"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El Presidente de la República puso un objetivo ambicioso para el año 2014, que el crédito de la Banca de Desarrollo, el crédito directo e impulsado, superara el                 1.15 billones de pesos; hoy me da mucho gusto informarles que la Banca de Desarrollo, las siete instituciones de Banca de Desarrollo, superaron la meta y alcanzaron           </w:t>
      </w:r>
      <w:r w:rsidR="00B96277">
        <w:rPr>
          <w:rFonts w:eastAsia="Calibri"/>
          <w:sz w:val="26"/>
          <w:szCs w:val="26"/>
          <w:lang w:eastAsia="en-US"/>
        </w:rPr>
        <w:t xml:space="preserve"> </w:t>
      </w:r>
      <w:r w:rsidRPr="009C5C68">
        <w:rPr>
          <w:rFonts w:eastAsia="Calibri"/>
          <w:sz w:val="26"/>
          <w:szCs w:val="26"/>
          <w:lang w:eastAsia="en-US"/>
        </w:rPr>
        <w:t xml:space="preserve">     1.2 billones de pesos de crédito directo e impulsado.</w:t>
      </w:r>
    </w:p>
    <w:p w14:paraId="4275CA9B"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Algunas de las instituciones con crecimiento notable, éste es el caso del Banco Nacional de Obras y Servicios Públicos (BANOBRAS), o del Banco Nacional de Comercio Exterior (BANCOMEXT), una institución que prácticamente pasó casi una década al vilo de la liquidación, y que hoy ha regresado a tomar un papel fundamental para financiar a las empresas exportadoras mexicanas, particularmente con énfasis en las pequeñas y medianas empresas exportadoras. </w:t>
      </w:r>
    </w:p>
    <w:p w14:paraId="3BEA6D4F"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Y finalmente, el cuarto pilar de la Reforma Financiera, es preservar la solidez, la solvencia de nuestro sistema financiero.</w:t>
      </w:r>
    </w:p>
    <w:p w14:paraId="2B7030BD"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A partir de la crisis de 1994-1995, inició un período largo, arduo, de reconstrucción de nuestro sistema financiero, y hoy tenemos uno de los sistemas financieros más sólidos del mundo. </w:t>
      </w:r>
    </w:p>
    <w:p w14:paraId="0A0A8F9D"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De hecho, el nivel de capitalización  de la banca mexicana, es muy superior a los estándares internacionales, y es superior al promedio de la capitalización de las instituciones bancarias, tanto en Europa como en los Estados Unidos de Norteamérica. </w:t>
      </w:r>
    </w:p>
    <w:p w14:paraId="5234426A"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Y esto es algo que debemos de preservar aún en los entornos de mayor volatilidad y de mayor riesgo, y por lo tanto, un capítulo muy importante de la Reforma Financiera, va precisamente para establecer reglas más claras, más precisas, y permitir que haya procesos regulatorios que den certidumbre a la banca y certidumbre a los usuarios. </w:t>
      </w:r>
    </w:p>
    <w:p w14:paraId="39E4C82E"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lastRenderedPageBreak/>
        <w:t>De hecho, México fue uno de los primeros países en adoptar, en ley, y de manera plena, los estándares de Basilea III.</w:t>
      </w:r>
    </w:p>
    <w:p w14:paraId="18E0673A"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Quiero destacar que junto con la Reforma, como ya lo dijo el Subsecretario de Hacienda, junto con la Reforma Financiera, se aprobó una nueva ley en materia de seguros, una ley que después de un período de dos años de transición, entrará plenamente en vigencia en unas cuantas semanas. </w:t>
      </w:r>
    </w:p>
    <w:p w14:paraId="73E4DFBA"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Y quiero agradecer, de manera muy particular, a todos los intermediarios de la industria de seguros que han participado de manera muy constructiva y comprometida, en logar que la implementación de esta nueva ley también sea un éxito, y que tiene como propósito disminuir el costo de los productos de seguros y, sobre todo, lograr una mayor penetración de los productos de aseguramiento en la economía mexicana. </w:t>
      </w:r>
    </w:p>
    <w:p w14:paraId="2E67E399" w14:textId="694A4CD0"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Al final de cuentas el objetivo de la Reforma Financiera es que exista más crédito. ¿Cómo vamos en esto? A diciembre de 2014</w:t>
      </w:r>
      <w:r w:rsidR="003810B3">
        <w:rPr>
          <w:rFonts w:eastAsia="Calibri"/>
          <w:sz w:val="26"/>
          <w:szCs w:val="26"/>
          <w:lang w:eastAsia="en-US"/>
        </w:rPr>
        <w:t>,</w:t>
      </w:r>
      <w:r w:rsidRPr="009C5C68">
        <w:rPr>
          <w:rFonts w:eastAsia="Calibri"/>
          <w:sz w:val="26"/>
          <w:szCs w:val="26"/>
          <w:lang w:eastAsia="en-US"/>
        </w:rPr>
        <w:t xml:space="preserve"> el financiamiento interno al sector privado como proporción del PIB ascendió a 29.2 por ciento. </w:t>
      </w:r>
    </w:p>
    <w:p w14:paraId="62933654"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Esto significa 3.5 puntos más del PIB que al cierre del 2012 cuando representó 25.7 por ciento.  </w:t>
      </w:r>
    </w:p>
    <w:p w14:paraId="449814E0"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La meta en la Reforma Financiera es que al final de la década, tengamos hacia el final de la década, tengamos una penetración de por lo menos el 40%, claramente vamos en ruta para lograr este objetivo conforme la implementación de la Reforma Financiera avanza. </w:t>
      </w:r>
    </w:p>
    <w:p w14:paraId="19659F7B"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Con respecto al sector, uno de los sectores más importantes que tenemos en la aplicación de la Reforma Financiera que son las pequeñas y medianas empresas, las micro pequeñas y medianas empresas, hay que destacar que en este 2014 el crédito de </w:t>
      </w:r>
      <w:r w:rsidRPr="009C5C68">
        <w:rPr>
          <w:rFonts w:eastAsia="Calibri"/>
          <w:sz w:val="26"/>
          <w:szCs w:val="26"/>
          <w:lang w:eastAsia="en-US"/>
        </w:rPr>
        <w:lastRenderedPageBreak/>
        <w:t xml:space="preserve">la banca comercial a las MiPyMEs creció en 9% y además, se redujo la tasa de interés en promedio hasta en 8 puntos porcentuales. </w:t>
      </w:r>
    </w:p>
    <w:p w14:paraId="6AA3FDCF"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Esto muestra no solamente que la Reforma Financiera está funcionando, sino también el compromiso que tiene la banca mexicana, la banca comercial mexicana de apostarle al desarrollo, al crecimiento de quienes son los creadores de tres de cada cuatro empleos en México que son las pequeñas y medianas empresas. </w:t>
      </w:r>
    </w:p>
    <w:p w14:paraId="304CDD05"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Quiero destacar que la Reforma Financiera tiene un objetivo muy particular y muy importante, que es incrementar la inclusión financiera como un camino para la inclusión social, y en ello, es de particular importancia la inclusión del crédito a las mujeres. </w:t>
      </w:r>
    </w:p>
    <w:p w14:paraId="0FC7D519"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Lo estamos viendo en los distintos productos de la banca de desarrollo por ejemplo en el campo, donde tan solo de agosto a la fecha la Financiera Nacional de Desarrollo ha dado ya más de 17 mil créditos nuevos con tasas de 6.5% a pequeñas productoras del campo que se suman al resto de los productores del campo para tener alrededor de         63 mil créditos para productores del campo que han sido ya beneficiados de este producto innovador. </w:t>
      </w:r>
    </w:p>
    <w:p w14:paraId="0046D01E"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En Bansefi, el Banco del Ahorro Nacional y Servicios Financieros tenemos el programa de inclusión financiera para la mujer, tal vez el más ambicioso en toda América Latina, que es, ofrecer servicios financieros, incluir en el sistema financiero a las beneficiarias del programa “Prospera”, 6 millones de mujeres, la mayoría de ellas en condiciones de pobreza y marginación que hoy, a través de este programa, podrán acceder al ahorro, al crédito y a los productos formales del sistema financiero. </w:t>
      </w:r>
    </w:p>
    <w:p w14:paraId="37AAAC92"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Y por supuesto, como lo ha dicho ya Jacques Rogozinski tenemos un programa muy especial, muy importante que ha anunciado el Presidente de la República, el crédito dirigido especialmente a los jóvenes, el programa “Crédito Joven”. Este programa busca romper el paradigma, un paradigma que es que a los jóvenes no se les presta </w:t>
      </w:r>
      <w:r w:rsidRPr="009C5C68">
        <w:rPr>
          <w:rFonts w:eastAsia="Calibri"/>
          <w:sz w:val="26"/>
          <w:szCs w:val="26"/>
          <w:lang w:eastAsia="en-US"/>
        </w:rPr>
        <w:lastRenderedPageBreak/>
        <w:t xml:space="preserve">porque no tienen colateral y no tienen historial crediticio y la razón por la que no lo tienen es porque no se les presta. </w:t>
      </w:r>
    </w:p>
    <w:p w14:paraId="29AB342F"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Por lo tanto, alguien tiene que iniciar un círculo virtuoso, alguien tiene que jugársela con los jóvenes emprendedores de México, y este programa que cuenta ya con la participación de tres de las principales instituciones bancarias de México, es un programa dirigido a darle crédito, a una tasa de 9.9% a aquellos jóvenes que no cuentan con un historial de crédito, pero tienen ganas, tienen la idea y quieren crear desarrollo personal y por lo tanto, desarrollo económico para México.</w:t>
      </w:r>
    </w:p>
    <w:p w14:paraId="27FDBA74" w14:textId="4174029A" w:rsidR="009C5C68" w:rsidRPr="009C5C68" w:rsidRDefault="003810B3" w:rsidP="009C5C68">
      <w:pPr>
        <w:spacing w:after="360" w:line="360" w:lineRule="auto"/>
        <w:ind w:right="-159"/>
        <w:jc w:val="both"/>
        <w:rPr>
          <w:rFonts w:eastAsia="Calibri"/>
          <w:sz w:val="26"/>
          <w:szCs w:val="26"/>
          <w:lang w:eastAsia="en-US"/>
        </w:rPr>
      </w:pPr>
      <w:r>
        <w:rPr>
          <w:rFonts w:eastAsia="Calibri"/>
          <w:sz w:val="26"/>
          <w:szCs w:val="26"/>
          <w:lang w:eastAsia="en-US"/>
        </w:rPr>
        <w:t>É</w:t>
      </w:r>
      <w:r w:rsidR="009C5C68" w:rsidRPr="009C5C68">
        <w:rPr>
          <w:rFonts w:eastAsia="Calibri"/>
          <w:sz w:val="26"/>
          <w:szCs w:val="26"/>
          <w:lang w:eastAsia="en-US"/>
        </w:rPr>
        <w:t xml:space="preserve">stos son algunos ejemplos, de los muchos ejemplos que están ocurriendo en el país, a raíz de la implementación de la Reforma Financiera. </w:t>
      </w:r>
    </w:p>
    <w:p w14:paraId="4BE6C3A4"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La Reforma Financiera es uno más de los pasos que está dando el Gobierno de la República para transformar al país. Sin duda alguna, los mayores beneficios de la implementación de esta reforma están por venir y muchos de ellos ocurrirán más allá del término de la administración del Presidente de México. </w:t>
      </w:r>
    </w:p>
    <w:p w14:paraId="6EEC39B3"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Es ese al final de cuentas el objetivo más importante de la Reforma Financiera y de las reformas estructurales que ha impulsado el Presidente; transformar al país de fondo,  con una visión más allá de la coyuntura, con una visión que va más allá del corto plazo. </w:t>
      </w:r>
    </w:p>
    <w:p w14:paraId="776E8109"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Tengan ustedes la seguridad que la autoridad financiera de este país seguirá puntualmente trabajando, haciendo equipo con los intermediarios bancarios y financieros de este país para implementar exitosamente esta reforma.</w:t>
      </w:r>
    </w:p>
    <w:p w14:paraId="65591D98"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 xml:space="preserve">Queremos, efectivamente que haya más crédito, que el crédito sea más barato, que sea más incluyente, queremos tener un sistema financiero con vocación social y al mismo tiempo con una gran solidez y que sea un pilar de la estabilidad macroeconómica de México. </w:t>
      </w:r>
    </w:p>
    <w:p w14:paraId="26D13CA4"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lastRenderedPageBreak/>
        <w:t xml:space="preserve">Sin duda, con la implementación de la Reforma Financiera empezamos a ver primeros resultados que son alentadores y que nos dicen que vamos por este camino. </w:t>
      </w:r>
    </w:p>
    <w:p w14:paraId="4410330C" w14:textId="77777777" w:rsidR="009C5C68" w:rsidRPr="009C5C68" w:rsidRDefault="009C5C68" w:rsidP="009C5C68">
      <w:pPr>
        <w:spacing w:after="360" w:line="360" w:lineRule="auto"/>
        <w:ind w:right="-159"/>
        <w:jc w:val="both"/>
        <w:rPr>
          <w:rFonts w:eastAsia="Calibri"/>
          <w:sz w:val="26"/>
          <w:szCs w:val="26"/>
          <w:lang w:eastAsia="en-US"/>
        </w:rPr>
      </w:pPr>
      <w:r w:rsidRPr="009C5C68">
        <w:rPr>
          <w:rFonts w:eastAsia="Calibri"/>
          <w:sz w:val="26"/>
          <w:szCs w:val="26"/>
          <w:lang w:eastAsia="en-US"/>
        </w:rPr>
        <w:t>Muchas gracias a todos y muchas felicidades.”</w:t>
      </w:r>
    </w:p>
    <w:p w14:paraId="3C833A89" w14:textId="77777777" w:rsidR="009C5C68" w:rsidRPr="009C5C68" w:rsidRDefault="009C5C68" w:rsidP="009C5C68">
      <w:pPr>
        <w:ind w:right="-159"/>
        <w:jc w:val="both"/>
        <w:rPr>
          <w:rFonts w:eastAsia="Calibri"/>
          <w:b/>
          <w:sz w:val="20"/>
          <w:szCs w:val="20"/>
          <w:lang w:eastAsia="en-US"/>
        </w:rPr>
      </w:pPr>
      <w:r w:rsidRPr="009C5C68">
        <w:rPr>
          <w:rFonts w:eastAsia="Calibri"/>
          <w:b/>
          <w:sz w:val="20"/>
          <w:szCs w:val="20"/>
          <w:lang w:eastAsia="en-US"/>
        </w:rPr>
        <w:t>Fuente de información:</w:t>
      </w:r>
    </w:p>
    <w:p w14:paraId="1169782F" w14:textId="77777777" w:rsidR="009C5C68" w:rsidRPr="001B4DFF" w:rsidRDefault="0093224F" w:rsidP="001B4DFF">
      <w:pPr>
        <w:spacing w:after="720"/>
        <w:ind w:right="-159"/>
        <w:jc w:val="both"/>
        <w:rPr>
          <w:rFonts w:eastAsia="Calibri"/>
          <w:color w:val="0000FF"/>
          <w:sz w:val="20"/>
          <w:szCs w:val="20"/>
          <w:lang w:eastAsia="en-US"/>
        </w:rPr>
      </w:pPr>
      <w:hyperlink r:id="rId321" w:history="1">
        <w:r w:rsidR="009C5C68" w:rsidRPr="001B4DFF">
          <w:rPr>
            <w:rFonts w:eastAsia="Calibri"/>
            <w:color w:val="0000FF"/>
            <w:sz w:val="20"/>
            <w:szCs w:val="20"/>
            <w:u w:val="single"/>
            <w:lang w:eastAsia="en-US"/>
          </w:rPr>
          <w:t>http://www.shcp.gob.mx/SALAPRENSA/doc_discurso_funcionarios/secretarioSHCP/2015/intervenciones_avance_reforma_financiera_11032015.pdf</w:t>
        </w:r>
      </w:hyperlink>
      <w:r w:rsidR="009C5C68" w:rsidRPr="001B4DFF">
        <w:rPr>
          <w:rFonts w:eastAsia="Calibri"/>
          <w:color w:val="0000FF"/>
          <w:sz w:val="20"/>
          <w:szCs w:val="20"/>
          <w:lang w:eastAsia="en-US"/>
        </w:rPr>
        <w:t xml:space="preserve"> </w:t>
      </w:r>
    </w:p>
    <w:p w14:paraId="4DA7FF0C" w14:textId="77777777" w:rsidR="00C97749" w:rsidRPr="00C97749" w:rsidRDefault="00C97749" w:rsidP="00C97749">
      <w:pPr>
        <w:ind w:right="-159"/>
        <w:jc w:val="both"/>
        <w:rPr>
          <w:rFonts w:eastAsia="Calibri"/>
          <w:b/>
          <w:bCs/>
          <w:sz w:val="26"/>
          <w:szCs w:val="26"/>
          <w:lang w:eastAsia="en-US"/>
        </w:rPr>
      </w:pPr>
      <w:r w:rsidRPr="00C97749">
        <w:rPr>
          <w:rFonts w:eastAsia="Calibri"/>
          <w:b/>
          <w:bCs/>
          <w:sz w:val="26"/>
          <w:szCs w:val="26"/>
          <w:lang w:eastAsia="en-US"/>
        </w:rPr>
        <w:t>Actualizan   Balance   de  Riesgos  y  aprueba</w:t>
      </w:r>
    </w:p>
    <w:p w14:paraId="40F04680" w14:textId="77777777" w:rsidR="00C97749" w:rsidRPr="00C97749" w:rsidRDefault="00C97749" w:rsidP="00C97749">
      <w:pPr>
        <w:spacing w:after="360" w:line="360" w:lineRule="auto"/>
        <w:ind w:right="-159"/>
        <w:jc w:val="both"/>
        <w:rPr>
          <w:rFonts w:eastAsia="Calibri"/>
          <w:b/>
          <w:sz w:val="26"/>
          <w:szCs w:val="26"/>
          <w:lang w:eastAsia="en-US"/>
        </w:rPr>
      </w:pPr>
      <w:r w:rsidRPr="00C97749">
        <w:rPr>
          <w:rFonts w:eastAsia="Calibri"/>
          <w:b/>
          <w:bCs/>
          <w:sz w:val="26"/>
          <w:szCs w:val="26"/>
          <w:lang w:eastAsia="en-US"/>
        </w:rPr>
        <w:t>su Quinto Informe Anual del CESF</w:t>
      </w:r>
      <w:r w:rsidRPr="00C97749">
        <w:rPr>
          <w:rFonts w:eastAsia="Calibri"/>
          <w:b/>
          <w:sz w:val="26"/>
          <w:szCs w:val="26"/>
          <w:lang w:eastAsia="en-US"/>
        </w:rPr>
        <w:t xml:space="preserve"> (Banxico)</w:t>
      </w:r>
    </w:p>
    <w:p w14:paraId="5CCD7FDA" w14:textId="77777777" w:rsidR="00C97749" w:rsidRPr="00C97749" w:rsidRDefault="00C97749" w:rsidP="00C97749">
      <w:pPr>
        <w:spacing w:after="360" w:line="360" w:lineRule="auto"/>
        <w:ind w:right="-159"/>
        <w:jc w:val="both"/>
        <w:rPr>
          <w:rFonts w:eastAsia="Calibri"/>
          <w:sz w:val="26"/>
          <w:szCs w:val="26"/>
          <w:lang w:eastAsia="en-US"/>
        </w:rPr>
      </w:pPr>
      <w:r w:rsidRPr="00C97749">
        <w:rPr>
          <w:rFonts w:eastAsia="Calibri"/>
          <w:sz w:val="26"/>
          <w:szCs w:val="26"/>
          <w:lang w:eastAsia="en-US"/>
        </w:rPr>
        <w:t xml:space="preserve">El 13 de marzo de 2015, el Banco de México (Banxico) dio a conocer que el </w:t>
      </w:r>
      <w:r w:rsidRPr="00C97749">
        <w:rPr>
          <w:rFonts w:eastAsia="Calibri"/>
          <w:bCs/>
          <w:sz w:val="26"/>
          <w:szCs w:val="26"/>
          <w:lang w:eastAsia="en-US"/>
        </w:rPr>
        <w:t>Consejo de Estabilidad del Sistema Financiero (CESF) actualizó su Balance de Riesgos y aprobó su Quinto Informe Anual. A continuación se presenta la información.</w:t>
      </w:r>
    </w:p>
    <w:p w14:paraId="52AEC8DA" w14:textId="77777777" w:rsidR="00C97749" w:rsidRPr="00C97749" w:rsidRDefault="00C97749" w:rsidP="00C97749">
      <w:pPr>
        <w:spacing w:after="360" w:line="360" w:lineRule="auto"/>
        <w:ind w:right="-159"/>
        <w:jc w:val="both"/>
        <w:rPr>
          <w:rFonts w:eastAsia="Calibri"/>
          <w:sz w:val="26"/>
          <w:szCs w:val="26"/>
          <w:lang w:eastAsia="en-US"/>
        </w:rPr>
      </w:pPr>
      <w:r w:rsidRPr="00C97749">
        <w:rPr>
          <w:rFonts w:eastAsia="Calibri"/>
          <w:sz w:val="26"/>
          <w:szCs w:val="26"/>
          <w:lang w:eastAsia="en-US"/>
        </w:rPr>
        <w:t>El Consejo de Estabilidad del Sistema Financiero celebró hoy su décima novena sesión ordinaria, en la que actualizó su análisis de riesgos y vulnerabilidades para la economía nacional y su sistema financiero. Asimismo, aprobó el quinto informe anual que presentará al Ejecutivo Federal sobre el estado que guarda la estabilidad financiera en el país.</w:t>
      </w:r>
    </w:p>
    <w:p w14:paraId="165C3A4D" w14:textId="0A85978B" w:rsidR="00C97749" w:rsidRPr="00C97749" w:rsidRDefault="00C97749" w:rsidP="00C97749">
      <w:pPr>
        <w:spacing w:after="360" w:line="360" w:lineRule="auto"/>
        <w:ind w:right="-159"/>
        <w:jc w:val="both"/>
        <w:rPr>
          <w:rFonts w:eastAsia="Calibri"/>
          <w:sz w:val="26"/>
          <w:szCs w:val="26"/>
          <w:lang w:eastAsia="en-US"/>
        </w:rPr>
      </w:pPr>
      <w:r w:rsidRPr="00C97749">
        <w:rPr>
          <w:rFonts w:eastAsia="Calibri"/>
          <w:sz w:val="26"/>
          <w:szCs w:val="26"/>
          <w:lang w:eastAsia="en-US"/>
        </w:rPr>
        <w:t xml:space="preserve">En la reunión, los miembros del Consejo analizaron la evolución reciente del entorno internacional. Al respecto, coincidieron en que la diferencia entre la postura monetaria esperada en Estados Unidos </w:t>
      </w:r>
      <w:r w:rsidR="00DC1170">
        <w:rPr>
          <w:rFonts w:eastAsia="Calibri"/>
          <w:sz w:val="26"/>
          <w:szCs w:val="26"/>
          <w:lang w:eastAsia="en-US"/>
        </w:rPr>
        <w:t xml:space="preserve">de Norteamérica </w:t>
      </w:r>
      <w:r w:rsidRPr="00C97749">
        <w:rPr>
          <w:rFonts w:eastAsia="Calibri"/>
          <w:sz w:val="26"/>
          <w:szCs w:val="26"/>
          <w:lang w:eastAsia="en-US"/>
        </w:rPr>
        <w:t>y la del resto de las economías avanzadas ha contribuido al aumento en la volatilidad en los mercados financieros y a la apreciación generalizada del dólar estadounidense. También ha contribuido a dicho fenómeno la caída en el precio del petróleo.</w:t>
      </w:r>
    </w:p>
    <w:p w14:paraId="6B354D0C" w14:textId="77777777" w:rsidR="00C97749" w:rsidRPr="00C97749" w:rsidRDefault="00C97749" w:rsidP="00C97749">
      <w:pPr>
        <w:spacing w:after="360" w:line="360" w:lineRule="auto"/>
        <w:ind w:right="-159"/>
        <w:jc w:val="both"/>
        <w:rPr>
          <w:rFonts w:eastAsia="Calibri"/>
          <w:sz w:val="26"/>
          <w:szCs w:val="26"/>
          <w:lang w:eastAsia="en-US"/>
        </w:rPr>
      </w:pPr>
      <w:r w:rsidRPr="00C97749">
        <w:rPr>
          <w:rFonts w:eastAsia="Calibri"/>
          <w:sz w:val="26"/>
          <w:szCs w:val="26"/>
          <w:lang w:eastAsia="en-US"/>
        </w:rPr>
        <w:t xml:space="preserve">En ese contexto, reafirmaron que el principal riesgo para la economía nacional y su sistema financiero sigue derivándose del proceso de normalización de la política </w:t>
      </w:r>
      <w:r w:rsidRPr="00C97749">
        <w:rPr>
          <w:rFonts w:eastAsia="Calibri"/>
          <w:sz w:val="26"/>
          <w:szCs w:val="26"/>
          <w:lang w:eastAsia="en-US"/>
        </w:rPr>
        <w:lastRenderedPageBreak/>
        <w:t>monetaria de la Reserva Federal de los Estados Unidos y, en particular, de posibles alzas en su tasa de interés de referencia que se espera tengan lugar durante este año. Lo anterior debido a la incertidumbre que prevalece respecto a la fecha precisa y a la manera en que dicho proceso empiece a materializarse. La simple expectativa de mayores tasas de interés en Estados Unidos de Norteamérica ya ha tenido impacto en los mercados financieros internacionales, reflejándose principalmente en una apreciación generalizada del dólar. Precisamente para mitigar la volatilidad en el mercado cambiario nacional, la Comisión de Cambios tomó acciones precisas durante la semana que transcurre.</w:t>
      </w:r>
    </w:p>
    <w:p w14:paraId="76D9C496" w14:textId="77777777" w:rsidR="00C97749" w:rsidRPr="00C97749" w:rsidRDefault="00C97749" w:rsidP="00C97749">
      <w:pPr>
        <w:spacing w:after="360" w:line="360" w:lineRule="auto"/>
        <w:ind w:right="-159"/>
        <w:jc w:val="both"/>
        <w:rPr>
          <w:rFonts w:eastAsia="Calibri"/>
          <w:sz w:val="26"/>
          <w:szCs w:val="26"/>
          <w:lang w:eastAsia="en-US"/>
        </w:rPr>
      </w:pPr>
      <w:r w:rsidRPr="00C97749">
        <w:rPr>
          <w:rFonts w:eastAsia="Calibri"/>
          <w:sz w:val="26"/>
          <w:szCs w:val="26"/>
          <w:lang w:eastAsia="en-US"/>
        </w:rPr>
        <w:t>Si bien estuvieron de acuerdo en que la economía mexicana cuenta con la capacidad para enfrentar estos riesgos, los miembros del Consejo también reconocieron la necesidad de seguir trabajando para consolidar la estabilidad macroeconómica del país y reforzar la capacidad de resistencia de su sistema financiero ante choques de diversa naturaleza. Destacaron, adicionalmente, que las reservas internacionales y la Línea de Crédito Flexible del Fondo Monetario Internacional contribuyen a disminuir la incertidumbre que enfrentan los participantes en los mercados financieros.</w:t>
      </w:r>
    </w:p>
    <w:p w14:paraId="1B5798D1" w14:textId="77777777" w:rsidR="00C97749" w:rsidRPr="00C97749" w:rsidRDefault="00C97749" w:rsidP="00C97749">
      <w:pPr>
        <w:spacing w:after="360" w:line="360" w:lineRule="auto"/>
        <w:ind w:right="-159"/>
        <w:jc w:val="both"/>
        <w:rPr>
          <w:rFonts w:eastAsia="Calibri"/>
          <w:sz w:val="26"/>
          <w:szCs w:val="26"/>
          <w:lang w:eastAsia="en-US"/>
        </w:rPr>
      </w:pPr>
      <w:r w:rsidRPr="00C97749">
        <w:rPr>
          <w:rFonts w:eastAsia="Calibri"/>
          <w:sz w:val="26"/>
          <w:szCs w:val="26"/>
          <w:lang w:eastAsia="en-US"/>
        </w:rPr>
        <w:t>Ante el fortalecimiento generalizado del dólar estadounidense, los miembros del Consejo insistieron en la importancia de que las empresas privadas no financieras, que durante los últimos años aprovecharon la abundante liquidez en los mercados financieros internacionales y emitieron deuda en moneda extranjera, internalicen los riesgos que han asumido a la luz de un nuevo entorno financiero internacional más volátil y sensible ante diversos choques.</w:t>
      </w:r>
    </w:p>
    <w:p w14:paraId="0A8E5A2D" w14:textId="77777777" w:rsidR="00C97749" w:rsidRPr="00C97749" w:rsidRDefault="00C97749" w:rsidP="00C97749">
      <w:pPr>
        <w:spacing w:after="360" w:line="360" w:lineRule="auto"/>
        <w:ind w:right="-159"/>
        <w:jc w:val="both"/>
        <w:rPr>
          <w:rFonts w:eastAsia="Calibri"/>
          <w:sz w:val="26"/>
          <w:szCs w:val="26"/>
          <w:lang w:eastAsia="en-US"/>
        </w:rPr>
      </w:pPr>
      <w:r w:rsidRPr="00C97749">
        <w:rPr>
          <w:rFonts w:eastAsia="Calibri"/>
          <w:sz w:val="26"/>
          <w:szCs w:val="26"/>
          <w:lang w:eastAsia="en-US"/>
        </w:rPr>
        <w:t xml:space="preserve">Por último, los miembros del Consejo estuvieron de acuerdo en que el ajuste preventivo del gasto público anunciado el pasado mes de enero, ante la reciente evolución que ha tenido el precio internacional del petróleo, contribuirá a preservar la solidez de los fundamentos económicos de la economía nacional y la fortaleza de sus cuentas externas </w:t>
      </w:r>
      <w:r w:rsidRPr="00C97749">
        <w:rPr>
          <w:rFonts w:eastAsia="Calibri"/>
          <w:sz w:val="26"/>
          <w:szCs w:val="26"/>
          <w:lang w:eastAsia="en-US"/>
        </w:rPr>
        <w:lastRenderedPageBreak/>
        <w:t>que distinguen a la economía mexicana entre las economías emergentes. Consideraron además que ante la complejidad del entorno internacional, deberá continuar la estrecha coordinación entre las políticas fiscal, monetaria y financiera del país.</w:t>
      </w:r>
    </w:p>
    <w:p w14:paraId="1226386F" w14:textId="77777777" w:rsidR="00C97749" w:rsidRPr="00C97749" w:rsidRDefault="00C97749" w:rsidP="00C97749">
      <w:pPr>
        <w:spacing w:after="360" w:line="360" w:lineRule="auto"/>
        <w:ind w:right="-159"/>
        <w:jc w:val="both"/>
        <w:rPr>
          <w:rFonts w:eastAsia="Calibri"/>
          <w:sz w:val="26"/>
          <w:szCs w:val="26"/>
          <w:lang w:eastAsia="en-US"/>
        </w:rPr>
      </w:pPr>
      <w:r w:rsidRPr="00C97749">
        <w:rPr>
          <w:rFonts w:eastAsia="Calibri"/>
          <w:sz w:val="26"/>
          <w:szCs w:val="26"/>
          <w:lang w:eastAsia="en-US"/>
        </w:rPr>
        <w:t>El Consejo de Estabilidad del Sistema Financiero está conformado por el Secretario de Hacienda y Crédito Público, quien lo preside, el Gobernador del Banco de México, el Subsecretario de Hacienda y Crédito Público, dos Subgobernadores del Banco Central, el Presidente de la Comisión Nacional Bancaria y de Valores, el Presidente de la Comisión Nacional de Seguros y Fianzas, el Presidente de la Comisión Nacional del Sistema de Ahorro para el Retiro y el Secretario Ejecutivo del Instituto para la Protección al Ahorro Bancario.</w:t>
      </w:r>
    </w:p>
    <w:p w14:paraId="5F4FA3C2" w14:textId="77777777" w:rsidR="00C97749" w:rsidRPr="00C97749" w:rsidRDefault="00C97749" w:rsidP="00C97749">
      <w:pPr>
        <w:ind w:right="-159"/>
        <w:jc w:val="both"/>
        <w:rPr>
          <w:rFonts w:eastAsia="Calibri"/>
          <w:b/>
          <w:sz w:val="20"/>
          <w:szCs w:val="20"/>
          <w:lang w:eastAsia="en-US"/>
        </w:rPr>
      </w:pPr>
      <w:r w:rsidRPr="00C97749">
        <w:rPr>
          <w:rFonts w:eastAsia="Calibri"/>
          <w:b/>
          <w:sz w:val="20"/>
          <w:szCs w:val="20"/>
          <w:lang w:eastAsia="en-US"/>
        </w:rPr>
        <w:t>Fuente de información:</w:t>
      </w:r>
    </w:p>
    <w:p w14:paraId="0D4A347A" w14:textId="77777777" w:rsidR="00C97749" w:rsidRPr="00DC1170" w:rsidRDefault="0093224F" w:rsidP="00C97749">
      <w:pPr>
        <w:ind w:right="-159"/>
        <w:jc w:val="both"/>
        <w:rPr>
          <w:rFonts w:eastAsia="Calibri"/>
          <w:color w:val="0000FF"/>
          <w:sz w:val="20"/>
          <w:szCs w:val="20"/>
          <w:lang w:eastAsia="en-US"/>
        </w:rPr>
      </w:pPr>
      <w:hyperlink r:id="rId322" w:history="1">
        <w:r w:rsidR="00C97749" w:rsidRPr="00DC1170">
          <w:rPr>
            <w:rFonts w:eastAsia="Calibri"/>
            <w:color w:val="0000FF"/>
            <w:sz w:val="20"/>
            <w:szCs w:val="20"/>
            <w:u w:val="single"/>
            <w:lang w:eastAsia="en-US"/>
          </w:rPr>
          <w:t>http://www.banxico.org.mx/informacion-para-la-prensa/comunicados/miscelaneos/boletines/%7b4D59FAD1-B11F-852A-9BAA-47993999B5D6%7d.pdf</w:t>
        </w:r>
      </w:hyperlink>
      <w:r w:rsidR="00C97749" w:rsidRPr="00DC1170">
        <w:rPr>
          <w:rFonts w:eastAsia="Calibri"/>
          <w:color w:val="0000FF"/>
          <w:sz w:val="20"/>
          <w:szCs w:val="20"/>
          <w:lang w:eastAsia="en-US"/>
        </w:rPr>
        <w:t xml:space="preserve"> </w:t>
      </w:r>
    </w:p>
    <w:p w14:paraId="72CBEE7B" w14:textId="77777777" w:rsidR="00C97749" w:rsidRPr="00DC1170" w:rsidRDefault="0093224F" w:rsidP="00C97749">
      <w:pPr>
        <w:ind w:right="-159"/>
        <w:jc w:val="both"/>
        <w:rPr>
          <w:rFonts w:eastAsia="Calibri"/>
          <w:color w:val="0000FF"/>
          <w:sz w:val="20"/>
          <w:szCs w:val="20"/>
          <w:lang w:eastAsia="en-US"/>
        </w:rPr>
      </w:pPr>
      <w:hyperlink r:id="rId323" w:history="1">
        <w:r w:rsidR="00C97749" w:rsidRPr="00DC1170">
          <w:rPr>
            <w:rFonts w:eastAsia="Calibri"/>
            <w:color w:val="0000FF"/>
            <w:sz w:val="20"/>
            <w:szCs w:val="20"/>
            <w:u w:val="single"/>
            <w:lang w:eastAsia="en-US"/>
          </w:rPr>
          <w:t>http://www.cesf.gob.mx/work/models/CESF/docs/comunicados/Decimo_novena_sesion_CESF.pdf</w:t>
        </w:r>
      </w:hyperlink>
      <w:r w:rsidR="00C97749" w:rsidRPr="00DC1170">
        <w:rPr>
          <w:rFonts w:eastAsia="Calibri"/>
          <w:color w:val="0000FF"/>
          <w:sz w:val="20"/>
          <w:szCs w:val="20"/>
          <w:lang w:eastAsia="en-US"/>
        </w:rPr>
        <w:t xml:space="preserve"> </w:t>
      </w:r>
    </w:p>
    <w:p w14:paraId="1488CD70" w14:textId="77777777" w:rsidR="00C97749" w:rsidRPr="00C97749" w:rsidRDefault="0093224F" w:rsidP="00DC1170">
      <w:pPr>
        <w:spacing w:after="720"/>
        <w:ind w:right="-159"/>
        <w:jc w:val="both"/>
        <w:rPr>
          <w:rFonts w:eastAsia="Calibri"/>
          <w:sz w:val="20"/>
          <w:szCs w:val="20"/>
          <w:lang w:eastAsia="en-US"/>
        </w:rPr>
      </w:pPr>
      <w:hyperlink r:id="rId324" w:history="1">
        <w:r w:rsidR="00C97749" w:rsidRPr="00DC1170">
          <w:rPr>
            <w:rFonts w:eastAsia="Calibri"/>
            <w:color w:val="0000FF"/>
            <w:sz w:val="20"/>
            <w:szCs w:val="20"/>
            <w:u w:val="single"/>
            <w:lang w:eastAsia="en-US"/>
          </w:rPr>
          <w:t>http://www.ipab.org.mx/docs/prensa/el-cesf-actualiza-su-balance-de-riesgos-y-aprueba-su-cuarto-informe-anual.pdf</w:t>
        </w:r>
      </w:hyperlink>
      <w:r w:rsidR="00C97749" w:rsidRPr="00C97749">
        <w:rPr>
          <w:rFonts w:eastAsia="Calibri"/>
          <w:sz w:val="20"/>
          <w:szCs w:val="20"/>
          <w:lang w:eastAsia="en-US"/>
        </w:rPr>
        <w:t xml:space="preserve"> </w:t>
      </w:r>
    </w:p>
    <w:p w14:paraId="71348F08" w14:textId="77777777" w:rsidR="00DB215C" w:rsidRPr="00DB215C" w:rsidRDefault="00DB215C" w:rsidP="00DB215C">
      <w:pPr>
        <w:spacing w:after="360" w:line="360" w:lineRule="auto"/>
        <w:ind w:right="-159"/>
        <w:jc w:val="both"/>
        <w:rPr>
          <w:rFonts w:eastAsia="Calibri"/>
          <w:b/>
          <w:sz w:val="26"/>
          <w:szCs w:val="26"/>
          <w:lang w:eastAsia="en-US"/>
        </w:rPr>
      </w:pPr>
      <w:r w:rsidRPr="00DB215C">
        <w:rPr>
          <w:rFonts w:eastAsia="Calibri"/>
          <w:b/>
          <w:sz w:val="26"/>
          <w:szCs w:val="26"/>
          <w:lang w:eastAsia="en-US"/>
        </w:rPr>
        <w:t>Banca Múltiple (CNBV)</w:t>
      </w:r>
    </w:p>
    <w:p w14:paraId="08601434" w14:textId="77777777" w:rsidR="00DB215C" w:rsidRPr="00DB215C" w:rsidRDefault="00DB215C" w:rsidP="00DB215C">
      <w:pPr>
        <w:spacing w:after="360" w:line="360" w:lineRule="auto"/>
        <w:ind w:right="-159"/>
        <w:jc w:val="both"/>
        <w:rPr>
          <w:rFonts w:eastAsia="Calibri"/>
          <w:sz w:val="26"/>
          <w:szCs w:val="26"/>
          <w:lang w:eastAsia="en-US"/>
        </w:rPr>
      </w:pPr>
      <w:r w:rsidRPr="00DB215C">
        <w:rPr>
          <w:rFonts w:eastAsia="Calibri"/>
          <w:sz w:val="26"/>
          <w:szCs w:val="26"/>
          <w:lang w:eastAsia="en-US"/>
        </w:rPr>
        <w:t>El 6 de marzo de 2015, la Comisión Nacional Bancaria y de Valores (CNBV) publicó la “Información Estadística al cierre de enero de 2015 del sector de banca múltiple”, integrado por 45 instituciones en operación. A continuación se presentan los detalles.</w:t>
      </w:r>
    </w:p>
    <w:p w14:paraId="68F3D0C0" w14:textId="77777777" w:rsidR="00DB215C" w:rsidRPr="00DB215C" w:rsidRDefault="00DB215C" w:rsidP="00DB215C">
      <w:pPr>
        <w:spacing w:after="360" w:line="360" w:lineRule="auto"/>
        <w:ind w:right="-159"/>
        <w:jc w:val="both"/>
        <w:rPr>
          <w:rFonts w:eastAsia="Calibri"/>
          <w:b/>
          <w:sz w:val="26"/>
          <w:szCs w:val="26"/>
          <w:lang w:eastAsia="en-US"/>
        </w:rPr>
      </w:pPr>
      <w:r w:rsidRPr="00DB215C">
        <w:rPr>
          <w:rFonts w:eastAsia="Calibri"/>
          <w:b/>
          <w:sz w:val="26"/>
          <w:szCs w:val="26"/>
          <w:lang w:eastAsia="en-US"/>
        </w:rPr>
        <w:t>Características del sector</w:t>
      </w:r>
    </w:p>
    <w:p w14:paraId="6C9C48FD" w14:textId="77777777" w:rsidR="00DB215C" w:rsidRPr="00DB215C" w:rsidRDefault="00DB215C" w:rsidP="00DB215C">
      <w:pPr>
        <w:spacing w:after="360" w:line="360" w:lineRule="auto"/>
        <w:ind w:right="-159"/>
        <w:jc w:val="both"/>
        <w:rPr>
          <w:rFonts w:eastAsia="Calibri"/>
          <w:sz w:val="26"/>
          <w:szCs w:val="26"/>
          <w:lang w:eastAsia="en-US"/>
        </w:rPr>
      </w:pPr>
      <w:r w:rsidRPr="00DB215C">
        <w:rPr>
          <w:rFonts w:eastAsia="Calibri"/>
          <w:sz w:val="26"/>
          <w:szCs w:val="26"/>
          <w:lang w:eastAsia="en-US"/>
        </w:rPr>
        <w:t>Al cierre de enero de 2015, el sector de banca múltiple estuvo integrado por 45 instituciones en operación, una institución menos que al cierre de enero de 2014.</w:t>
      </w:r>
    </w:p>
    <w:p w14:paraId="42A8F9B0" w14:textId="77777777" w:rsidR="00DB215C" w:rsidRPr="00DB215C" w:rsidRDefault="00DB215C" w:rsidP="00DB215C">
      <w:pPr>
        <w:spacing w:after="360" w:line="360" w:lineRule="auto"/>
        <w:ind w:right="-159"/>
        <w:jc w:val="both"/>
        <w:rPr>
          <w:rFonts w:eastAsia="Calibri"/>
          <w:sz w:val="26"/>
          <w:szCs w:val="26"/>
          <w:lang w:eastAsia="en-US"/>
        </w:rPr>
      </w:pPr>
      <w:r w:rsidRPr="00DB215C">
        <w:rPr>
          <w:rFonts w:eastAsia="Calibri"/>
          <w:sz w:val="26"/>
          <w:szCs w:val="26"/>
          <w:lang w:eastAsia="en-US"/>
        </w:rPr>
        <w:lastRenderedPageBreak/>
        <w:t>Entre el cierre de enero de 2014 y enero de 2015, inició operaciones Banco Pagatodo, se llevó acabo la fusión de The Bank of New York Mellon con CIBanco y se revocó la autorización de Banco Bicentenario para operar como institución de banca múltiple.</w:t>
      </w:r>
    </w:p>
    <w:p w14:paraId="677F9E71" w14:textId="77777777" w:rsidR="00DB215C" w:rsidRPr="00DB215C" w:rsidRDefault="00DB215C" w:rsidP="00DB215C">
      <w:pPr>
        <w:spacing w:after="360" w:line="360" w:lineRule="auto"/>
        <w:ind w:right="-159"/>
        <w:jc w:val="both"/>
        <w:rPr>
          <w:rFonts w:eastAsia="Calibri"/>
          <w:sz w:val="26"/>
          <w:szCs w:val="26"/>
          <w:lang w:eastAsia="en-US"/>
        </w:rPr>
      </w:pPr>
      <w:r w:rsidRPr="00DB215C">
        <w:rPr>
          <w:rFonts w:eastAsia="Calibri"/>
          <w:sz w:val="26"/>
          <w:szCs w:val="26"/>
          <w:lang w:eastAsia="en-US"/>
        </w:rPr>
        <w:t>Adicionalmente, tres instituciones habían cambiado de denominación social: Agrofinanzas a Bankaool (enero 2014), The Royal Bank of Scotland a Investa Bank (marzo 2014) e Interbanco a Intercam Banco (junio 2014).</w:t>
      </w:r>
    </w:p>
    <w:p w14:paraId="25EE3629" w14:textId="77777777" w:rsidR="00DB215C" w:rsidRPr="00DB215C" w:rsidRDefault="00DB215C" w:rsidP="00DB215C">
      <w:pPr>
        <w:spacing w:after="360" w:line="360" w:lineRule="auto"/>
        <w:ind w:right="-159"/>
        <w:jc w:val="both"/>
        <w:rPr>
          <w:rFonts w:eastAsia="Calibri"/>
          <w:b/>
          <w:sz w:val="26"/>
          <w:szCs w:val="26"/>
          <w:lang w:eastAsia="en-US"/>
        </w:rPr>
      </w:pPr>
      <w:r w:rsidRPr="00DB215C">
        <w:rPr>
          <w:rFonts w:eastAsia="Calibri"/>
          <w:b/>
          <w:sz w:val="26"/>
          <w:szCs w:val="26"/>
          <w:lang w:eastAsia="en-US"/>
        </w:rPr>
        <w:t>Balance general</w:t>
      </w:r>
    </w:p>
    <w:p w14:paraId="3EA085F5" w14:textId="77777777" w:rsidR="00DB215C" w:rsidRPr="00DB215C" w:rsidRDefault="00DB215C" w:rsidP="00DB215C">
      <w:pPr>
        <w:spacing w:after="360" w:line="360" w:lineRule="auto"/>
        <w:ind w:right="-159"/>
        <w:jc w:val="both"/>
        <w:rPr>
          <w:rFonts w:eastAsia="Calibri"/>
          <w:sz w:val="26"/>
          <w:szCs w:val="26"/>
          <w:lang w:eastAsia="en-US"/>
        </w:rPr>
      </w:pPr>
      <w:r w:rsidRPr="00DB215C">
        <w:rPr>
          <w:rFonts w:eastAsia="Calibri"/>
          <w:sz w:val="26"/>
          <w:szCs w:val="26"/>
          <w:lang w:eastAsia="en-US"/>
        </w:rPr>
        <w:t>El saldo de los activos totales del sector se ubicó en 7 mil 176 mmdp, presentando un incremento anual de 8.5 por ciento.</w:t>
      </w:r>
    </w:p>
    <w:tbl>
      <w:tblPr>
        <w:tblW w:w="8859" w:type="dxa"/>
        <w:jc w:val="center"/>
        <w:tblLayout w:type="fixed"/>
        <w:tblLook w:val="01E0" w:firstRow="1" w:lastRow="1" w:firstColumn="1" w:lastColumn="1" w:noHBand="0" w:noVBand="0"/>
      </w:tblPr>
      <w:tblGrid>
        <w:gridCol w:w="2479"/>
        <w:gridCol w:w="1276"/>
        <w:gridCol w:w="1276"/>
        <w:gridCol w:w="1276"/>
        <w:gridCol w:w="1276"/>
        <w:gridCol w:w="1276"/>
      </w:tblGrid>
      <w:tr w:rsidR="00DB215C" w:rsidRPr="00DB215C" w14:paraId="17042803" w14:textId="77777777" w:rsidTr="00DB215C">
        <w:trPr>
          <w:trHeight w:val="552"/>
          <w:jc w:val="center"/>
        </w:trPr>
        <w:tc>
          <w:tcPr>
            <w:tcW w:w="8859" w:type="dxa"/>
            <w:gridSpan w:val="6"/>
            <w:tcBorders>
              <w:top w:val="nil"/>
              <w:bottom w:val="single" w:sz="4" w:space="0" w:color="auto"/>
            </w:tcBorders>
            <w:vAlign w:val="center"/>
          </w:tcPr>
          <w:p w14:paraId="2F3FD149" w14:textId="77777777" w:rsidR="00DB215C" w:rsidRPr="00DB215C" w:rsidRDefault="00DB215C" w:rsidP="00DB215C">
            <w:pPr>
              <w:jc w:val="center"/>
              <w:rPr>
                <w:rFonts w:eastAsia="Calibri"/>
                <w:b/>
                <w:bCs/>
                <w:sz w:val="22"/>
                <w:szCs w:val="22"/>
                <w:lang w:eastAsia="en-US"/>
              </w:rPr>
            </w:pPr>
            <w:r w:rsidRPr="00DB215C">
              <w:rPr>
                <w:rFonts w:eastAsia="Calibri"/>
                <w:b/>
                <w:bCs/>
                <w:sz w:val="22"/>
                <w:szCs w:val="22"/>
                <w:lang w:eastAsia="en-US"/>
              </w:rPr>
              <w:t>BANCA MÚLTIPLE: BALANCE GENERAL</w:t>
            </w:r>
          </w:p>
          <w:p w14:paraId="3E4CA9B9" w14:textId="77777777" w:rsidR="00DB215C" w:rsidRPr="00DB215C" w:rsidRDefault="00DB215C" w:rsidP="00DB215C">
            <w:pPr>
              <w:jc w:val="center"/>
              <w:rPr>
                <w:rFonts w:eastAsia="Calibri"/>
                <w:b/>
                <w:bCs/>
                <w:sz w:val="22"/>
                <w:szCs w:val="22"/>
                <w:lang w:eastAsia="en-US"/>
              </w:rPr>
            </w:pPr>
            <w:r w:rsidRPr="00DB215C">
              <w:rPr>
                <w:rFonts w:eastAsia="Calibri"/>
                <w:b/>
                <w:bCs/>
                <w:sz w:val="22"/>
                <w:szCs w:val="22"/>
                <w:lang w:eastAsia="en-US"/>
              </w:rPr>
              <w:t>-Saldos en mmdp-</w:t>
            </w:r>
          </w:p>
          <w:p w14:paraId="1E17EDA2" w14:textId="77777777" w:rsidR="00DB215C" w:rsidRPr="00DB215C" w:rsidRDefault="00DB215C" w:rsidP="00DB215C">
            <w:pPr>
              <w:jc w:val="center"/>
              <w:rPr>
                <w:rFonts w:eastAsia="Calibri"/>
                <w:b/>
                <w:bCs/>
                <w:sz w:val="22"/>
                <w:szCs w:val="22"/>
                <w:lang w:eastAsia="en-US"/>
              </w:rPr>
            </w:pPr>
          </w:p>
        </w:tc>
      </w:tr>
      <w:tr w:rsidR="00DB215C" w:rsidRPr="00DB215C" w14:paraId="2FABABF3" w14:textId="77777777" w:rsidTr="00DB215C">
        <w:trPr>
          <w:trHeight w:val="183"/>
          <w:jc w:val="center"/>
        </w:trPr>
        <w:tc>
          <w:tcPr>
            <w:tcW w:w="247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57FAB7F" w14:textId="77777777" w:rsidR="00DB215C" w:rsidRPr="00DB215C" w:rsidRDefault="00DB215C" w:rsidP="00DB215C">
            <w:pPr>
              <w:jc w:val="center"/>
              <w:rPr>
                <w:rFonts w:eastAsia="Calibri"/>
                <w:b/>
                <w:bCs/>
                <w:sz w:val="20"/>
                <w:szCs w:val="20"/>
                <w:lang w:eastAsia="en-US"/>
              </w:rPr>
            </w:pPr>
          </w:p>
        </w:tc>
        <w:tc>
          <w:tcPr>
            <w:tcW w:w="25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E2E7A6" w14:textId="77777777" w:rsidR="00DB215C" w:rsidRPr="00DB215C" w:rsidRDefault="00DB215C" w:rsidP="00DB215C">
            <w:pPr>
              <w:jc w:val="center"/>
              <w:rPr>
                <w:rFonts w:eastAsia="Calibri"/>
                <w:b/>
                <w:sz w:val="20"/>
                <w:szCs w:val="20"/>
                <w:lang w:eastAsia="en-US"/>
              </w:rPr>
            </w:pPr>
            <w:r w:rsidRPr="00DB215C">
              <w:rPr>
                <w:rFonts w:eastAsia="Calibri"/>
                <w:b/>
                <w:sz w:val="20"/>
                <w:szCs w:val="20"/>
                <w:lang w:eastAsia="en-US"/>
              </w:rPr>
              <w:t>2014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4DDB434" w14:textId="77777777" w:rsidR="00DB215C" w:rsidRPr="00DB215C" w:rsidRDefault="00DB215C" w:rsidP="00DB215C">
            <w:pPr>
              <w:jc w:val="center"/>
              <w:rPr>
                <w:rFonts w:eastAsia="Calibri"/>
                <w:b/>
                <w:sz w:val="20"/>
                <w:szCs w:val="20"/>
                <w:lang w:eastAsia="en-US"/>
              </w:rPr>
            </w:pPr>
            <w:r w:rsidRPr="00DB215C">
              <w:rPr>
                <w:rFonts w:eastAsia="Calibri"/>
                <w:b/>
                <w:sz w:val="20"/>
                <w:szCs w:val="20"/>
                <w:lang w:eastAsia="en-US"/>
              </w:rPr>
              <w:t>2015</w:t>
            </w:r>
          </w:p>
        </w:tc>
        <w:tc>
          <w:tcPr>
            <w:tcW w:w="25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57141F" w14:textId="77777777" w:rsidR="00DB215C" w:rsidRPr="00DB215C" w:rsidRDefault="00DB215C" w:rsidP="00DB215C">
            <w:pPr>
              <w:jc w:val="center"/>
              <w:rPr>
                <w:rFonts w:eastAsia="Calibri"/>
                <w:b/>
                <w:bCs/>
                <w:sz w:val="20"/>
                <w:szCs w:val="20"/>
                <w:lang w:eastAsia="en-US"/>
              </w:rPr>
            </w:pPr>
            <w:r w:rsidRPr="00DB215C">
              <w:rPr>
                <w:rFonts w:eastAsia="Calibri"/>
                <w:b/>
                <w:bCs/>
                <w:sz w:val="20"/>
                <w:szCs w:val="20"/>
                <w:lang w:eastAsia="en-US"/>
              </w:rPr>
              <w:t>Diferencia %</w:t>
            </w:r>
          </w:p>
        </w:tc>
      </w:tr>
      <w:tr w:rsidR="00DB215C" w:rsidRPr="00DB215C" w14:paraId="6378069B" w14:textId="77777777" w:rsidTr="00DB215C">
        <w:trPr>
          <w:jc w:val="center"/>
        </w:trPr>
        <w:tc>
          <w:tcPr>
            <w:tcW w:w="247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7F05614" w14:textId="77777777" w:rsidR="00DB215C" w:rsidRPr="00DB215C" w:rsidRDefault="00DB215C" w:rsidP="00DB215C">
            <w:pPr>
              <w:jc w:val="center"/>
              <w:rPr>
                <w:rFonts w:eastAsia="Calibri"/>
                <w:b/>
                <w:bCs/>
                <w:sz w:val="20"/>
                <w:szCs w:val="20"/>
                <w:lang w:val="en-US" w:eastAsia="en-US"/>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A231E14" w14:textId="77777777" w:rsidR="00DB215C" w:rsidRPr="00DB215C" w:rsidRDefault="00DB215C" w:rsidP="00DB215C">
            <w:pPr>
              <w:jc w:val="center"/>
              <w:rPr>
                <w:rFonts w:eastAsia="Calibri"/>
                <w:b/>
                <w:sz w:val="20"/>
                <w:szCs w:val="20"/>
                <w:lang w:eastAsia="en-US"/>
              </w:rPr>
            </w:pPr>
            <w:r w:rsidRPr="00DB215C">
              <w:rPr>
                <w:rFonts w:eastAsia="Calibri"/>
                <w:b/>
                <w:sz w:val="20"/>
                <w:szCs w:val="20"/>
                <w:lang w:eastAsia="en-US"/>
              </w:rPr>
              <w:t>Enero</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0458C75" w14:textId="77777777" w:rsidR="00DB215C" w:rsidRPr="00DB215C" w:rsidRDefault="00DB215C" w:rsidP="00DB215C">
            <w:pPr>
              <w:jc w:val="center"/>
              <w:rPr>
                <w:rFonts w:eastAsia="Calibri"/>
                <w:b/>
                <w:sz w:val="20"/>
                <w:szCs w:val="20"/>
                <w:lang w:eastAsia="en-US"/>
              </w:rPr>
            </w:pPr>
            <w:r w:rsidRPr="00DB215C">
              <w:rPr>
                <w:rFonts w:eastAsia="Calibri"/>
                <w:b/>
                <w:sz w:val="20"/>
                <w:szCs w:val="20"/>
                <w:lang w:eastAsia="en-US"/>
              </w:rPr>
              <w:t>Diciembre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72A17E9" w14:textId="77777777" w:rsidR="00DB215C" w:rsidRPr="00DB215C" w:rsidRDefault="00DB215C" w:rsidP="00DB215C">
            <w:pPr>
              <w:jc w:val="center"/>
              <w:rPr>
                <w:rFonts w:eastAsia="Calibri"/>
                <w:b/>
                <w:sz w:val="20"/>
                <w:szCs w:val="20"/>
                <w:lang w:eastAsia="en-US"/>
              </w:rPr>
            </w:pPr>
            <w:r w:rsidRPr="00DB215C">
              <w:rPr>
                <w:rFonts w:eastAsia="Calibri"/>
                <w:b/>
                <w:sz w:val="20"/>
                <w:szCs w:val="20"/>
                <w:lang w:eastAsia="en-US"/>
              </w:rPr>
              <w:t>Enero</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4E3E9FC" w14:textId="77777777" w:rsidR="00DB215C" w:rsidRPr="00DB215C" w:rsidRDefault="00DB215C" w:rsidP="00DB215C">
            <w:pPr>
              <w:jc w:val="center"/>
              <w:rPr>
                <w:rFonts w:eastAsia="Calibri"/>
                <w:b/>
                <w:sz w:val="20"/>
                <w:szCs w:val="20"/>
                <w:lang w:eastAsia="en-US"/>
              </w:rPr>
            </w:pPr>
            <w:r w:rsidRPr="00DB215C">
              <w:rPr>
                <w:rFonts w:eastAsia="Calibri"/>
                <w:b/>
                <w:sz w:val="20"/>
                <w:szCs w:val="20"/>
                <w:lang w:eastAsia="en-US"/>
              </w:rPr>
              <w:t>Anual</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694546F" w14:textId="77777777" w:rsidR="00DB215C" w:rsidRPr="00DB215C" w:rsidRDefault="00DB215C" w:rsidP="00DB215C">
            <w:pPr>
              <w:jc w:val="center"/>
              <w:rPr>
                <w:rFonts w:eastAsia="Calibri"/>
                <w:b/>
                <w:bCs/>
                <w:sz w:val="20"/>
                <w:szCs w:val="20"/>
                <w:lang w:eastAsia="en-US"/>
              </w:rPr>
            </w:pPr>
            <w:r w:rsidRPr="00DB215C">
              <w:rPr>
                <w:rFonts w:eastAsia="Calibri"/>
                <w:b/>
                <w:bCs/>
                <w:sz w:val="20"/>
                <w:szCs w:val="20"/>
                <w:lang w:eastAsia="en-US"/>
              </w:rPr>
              <w:t>Mensual</w:t>
            </w:r>
          </w:p>
        </w:tc>
      </w:tr>
      <w:tr w:rsidR="00DB215C" w:rsidRPr="00DB215C" w14:paraId="11193E3E" w14:textId="77777777" w:rsidTr="00DB215C">
        <w:trPr>
          <w:jc w:val="center"/>
        </w:trPr>
        <w:tc>
          <w:tcPr>
            <w:tcW w:w="2479" w:type="dxa"/>
            <w:tcBorders>
              <w:top w:val="single" w:sz="4" w:space="0" w:color="auto"/>
              <w:left w:val="single" w:sz="4" w:space="0" w:color="auto"/>
              <w:bottom w:val="nil"/>
              <w:right w:val="single" w:sz="4" w:space="0" w:color="auto"/>
            </w:tcBorders>
            <w:shd w:val="clear" w:color="auto" w:fill="auto"/>
            <w:vAlign w:val="center"/>
          </w:tcPr>
          <w:p w14:paraId="0EA251D0" w14:textId="77777777" w:rsidR="00DB215C" w:rsidRPr="00DB215C" w:rsidRDefault="00DB215C" w:rsidP="00DB215C">
            <w:pPr>
              <w:spacing w:before="120" w:after="60"/>
              <w:jc w:val="both"/>
              <w:rPr>
                <w:rFonts w:eastAsia="Calibri"/>
                <w:bCs/>
                <w:sz w:val="20"/>
                <w:szCs w:val="20"/>
                <w:lang w:val="en-US" w:eastAsia="en-US"/>
              </w:rPr>
            </w:pPr>
            <w:r w:rsidRPr="00DB215C">
              <w:rPr>
                <w:rFonts w:eastAsia="Calibri"/>
                <w:bCs/>
                <w:sz w:val="20"/>
                <w:szCs w:val="20"/>
                <w:lang w:val="en-US" w:eastAsia="en-US"/>
              </w:rPr>
              <w:t>Activo total</w:t>
            </w:r>
          </w:p>
        </w:tc>
        <w:tc>
          <w:tcPr>
            <w:tcW w:w="1276" w:type="dxa"/>
            <w:tcBorders>
              <w:top w:val="single" w:sz="4" w:space="0" w:color="auto"/>
              <w:left w:val="single" w:sz="4" w:space="0" w:color="auto"/>
              <w:right w:val="single" w:sz="4" w:space="0" w:color="auto"/>
            </w:tcBorders>
            <w:shd w:val="clear" w:color="auto" w:fill="auto"/>
            <w:vAlign w:val="center"/>
          </w:tcPr>
          <w:p w14:paraId="04294274" w14:textId="77777777" w:rsidR="00DB215C" w:rsidRPr="00DB215C" w:rsidRDefault="00DB215C" w:rsidP="00DB215C">
            <w:pPr>
              <w:spacing w:before="40" w:after="40"/>
              <w:ind w:right="284"/>
              <w:jc w:val="right"/>
              <w:rPr>
                <w:rFonts w:eastAsia="Calibri"/>
                <w:sz w:val="20"/>
                <w:szCs w:val="20"/>
                <w:lang w:val="en-US" w:eastAsia="en-US"/>
              </w:rPr>
            </w:pPr>
            <w:r w:rsidRPr="00DB215C">
              <w:rPr>
                <w:rFonts w:eastAsia="Calibri"/>
                <w:sz w:val="20"/>
                <w:szCs w:val="20"/>
                <w:lang w:val="en-US" w:eastAsia="en-US"/>
              </w:rPr>
              <w:t>6 612</w:t>
            </w:r>
          </w:p>
        </w:tc>
        <w:tc>
          <w:tcPr>
            <w:tcW w:w="1276" w:type="dxa"/>
            <w:tcBorders>
              <w:top w:val="single" w:sz="4" w:space="0" w:color="auto"/>
              <w:left w:val="single" w:sz="4" w:space="0" w:color="auto"/>
              <w:bottom w:val="nil"/>
              <w:right w:val="single" w:sz="4" w:space="0" w:color="auto"/>
            </w:tcBorders>
            <w:shd w:val="clear" w:color="auto" w:fill="auto"/>
            <w:vAlign w:val="center"/>
          </w:tcPr>
          <w:p w14:paraId="3DE6FDDC" w14:textId="77777777" w:rsidR="00DB215C" w:rsidRPr="00DB215C" w:rsidRDefault="00DB215C" w:rsidP="00DB215C">
            <w:pPr>
              <w:spacing w:before="40" w:after="40"/>
              <w:ind w:right="284"/>
              <w:jc w:val="right"/>
              <w:rPr>
                <w:rFonts w:eastAsia="Calibri"/>
                <w:sz w:val="20"/>
                <w:szCs w:val="20"/>
                <w:lang w:val="en-US" w:eastAsia="en-US"/>
              </w:rPr>
            </w:pPr>
            <w:r w:rsidRPr="00DB215C">
              <w:rPr>
                <w:rFonts w:eastAsia="Calibri"/>
                <w:sz w:val="20"/>
                <w:szCs w:val="20"/>
                <w:lang w:val="en-US" w:eastAsia="en-US"/>
              </w:rPr>
              <w:t>6 934</w:t>
            </w:r>
          </w:p>
        </w:tc>
        <w:tc>
          <w:tcPr>
            <w:tcW w:w="1276" w:type="dxa"/>
            <w:tcBorders>
              <w:top w:val="single" w:sz="4" w:space="0" w:color="auto"/>
              <w:left w:val="single" w:sz="4" w:space="0" w:color="auto"/>
              <w:right w:val="single" w:sz="4" w:space="0" w:color="auto"/>
            </w:tcBorders>
            <w:shd w:val="clear" w:color="auto" w:fill="auto"/>
            <w:vAlign w:val="center"/>
          </w:tcPr>
          <w:p w14:paraId="61A5B0B8" w14:textId="77777777" w:rsidR="00DB215C" w:rsidRPr="00DB215C" w:rsidRDefault="00DB215C" w:rsidP="00DB215C">
            <w:pPr>
              <w:spacing w:before="40" w:after="40"/>
              <w:ind w:right="284"/>
              <w:jc w:val="right"/>
              <w:rPr>
                <w:rFonts w:eastAsia="Calibri"/>
                <w:sz w:val="20"/>
                <w:szCs w:val="20"/>
                <w:lang w:val="en-US" w:eastAsia="en-US"/>
              </w:rPr>
            </w:pPr>
            <w:r w:rsidRPr="00DB215C">
              <w:rPr>
                <w:rFonts w:eastAsia="Calibri"/>
                <w:sz w:val="20"/>
                <w:szCs w:val="20"/>
                <w:lang w:val="en-US" w:eastAsia="en-US"/>
              </w:rPr>
              <w:t>7 176</w:t>
            </w:r>
          </w:p>
        </w:tc>
        <w:tc>
          <w:tcPr>
            <w:tcW w:w="1276" w:type="dxa"/>
            <w:tcBorders>
              <w:top w:val="single" w:sz="4" w:space="0" w:color="auto"/>
              <w:left w:val="single" w:sz="4" w:space="0" w:color="auto"/>
              <w:bottom w:val="nil"/>
              <w:right w:val="single" w:sz="4" w:space="0" w:color="auto"/>
            </w:tcBorders>
            <w:shd w:val="clear" w:color="auto" w:fill="auto"/>
            <w:vAlign w:val="center"/>
          </w:tcPr>
          <w:p w14:paraId="2C796DD8" w14:textId="77777777" w:rsidR="00DB215C" w:rsidRPr="00DB215C" w:rsidRDefault="00DB215C" w:rsidP="00DB215C">
            <w:pPr>
              <w:spacing w:before="40" w:after="40"/>
              <w:ind w:right="284"/>
              <w:jc w:val="right"/>
              <w:rPr>
                <w:rFonts w:eastAsia="Calibri"/>
                <w:sz w:val="20"/>
                <w:szCs w:val="20"/>
                <w:lang w:val="en-US" w:eastAsia="en-US"/>
              </w:rPr>
            </w:pPr>
            <w:r w:rsidRPr="00DB215C">
              <w:rPr>
                <w:rFonts w:eastAsia="Calibri"/>
                <w:sz w:val="20"/>
                <w:szCs w:val="20"/>
                <w:lang w:val="en-US" w:eastAsia="en-US"/>
              </w:rPr>
              <w:t>8.5</w:t>
            </w:r>
          </w:p>
        </w:tc>
        <w:tc>
          <w:tcPr>
            <w:tcW w:w="1276" w:type="dxa"/>
            <w:tcBorders>
              <w:top w:val="single" w:sz="4" w:space="0" w:color="auto"/>
              <w:left w:val="single" w:sz="4" w:space="0" w:color="auto"/>
              <w:bottom w:val="nil"/>
              <w:right w:val="single" w:sz="4" w:space="0" w:color="auto"/>
            </w:tcBorders>
            <w:shd w:val="clear" w:color="auto" w:fill="auto"/>
            <w:vAlign w:val="center"/>
          </w:tcPr>
          <w:p w14:paraId="4977B9A1" w14:textId="77777777" w:rsidR="00DB215C" w:rsidRPr="00DB215C" w:rsidRDefault="00DB215C" w:rsidP="00DB215C">
            <w:pPr>
              <w:spacing w:before="40" w:after="40"/>
              <w:ind w:right="284"/>
              <w:jc w:val="right"/>
              <w:rPr>
                <w:rFonts w:eastAsia="Calibri"/>
                <w:bCs/>
                <w:sz w:val="20"/>
                <w:szCs w:val="20"/>
                <w:lang w:val="en-US" w:eastAsia="en-US"/>
              </w:rPr>
            </w:pPr>
            <w:r w:rsidRPr="00DB215C">
              <w:rPr>
                <w:rFonts w:eastAsia="Calibri"/>
                <w:bCs/>
                <w:sz w:val="20"/>
                <w:szCs w:val="20"/>
                <w:lang w:val="en-US" w:eastAsia="en-US"/>
              </w:rPr>
              <w:t>3.5</w:t>
            </w:r>
          </w:p>
        </w:tc>
      </w:tr>
      <w:tr w:rsidR="00DB215C" w:rsidRPr="00DB215C" w14:paraId="7DCB66FE" w14:textId="77777777" w:rsidTr="00DB215C">
        <w:trPr>
          <w:jc w:val="center"/>
        </w:trPr>
        <w:tc>
          <w:tcPr>
            <w:tcW w:w="2479" w:type="dxa"/>
            <w:tcBorders>
              <w:top w:val="nil"/>
              <w:left w:val="single" w:sz="4" w:space="0" w:color="auto"/>
              <w:bottom w:val="nil"/>
              <w:right w:val="single" w:sz="4" w:space="0" w:color="auto"/>
            </w:tcBorders>
            <w:shd w:val="clear" w:color="auto" w:fill="auto"/>
            <w:vAlign w:val="center"/>
          </w:tcPr>
          <w:p w14:paraId="10758174" w14:textId="77777777" w:rsidR="00DB215C" w:rsidRPr="00DB215C" w:rsidRDefault="00DB215C" w:rsidP="00DB215C">
            <w:pPr>
              <w:spacing w:before="60" w:after="60"/>
              <w:jc w:val="both"/>
              <w:rPr>
                <w:rFonts w:eastAsia="Calibri"/>
                <w:bCs/>
                <w:sz w:val="20"/>
                <w:szCs w:val="20"/>
                <w:lang w:val="en-US" w:eastAsia="en-US"/>
              </w:rPr>
            </w:pPr>
            <w:r w:rsidRPr="00DB215C">
              <w:rPr>
                <w:rFonts w:eastAsia="Calibri"/>
                <w:bCs/>
                <w:sz w:val="20"/>
                <w:szCs w:val="20"/>
                <w:lang w:val="en-US" w:eastAsia="en-US"/>
              </w:rPr>
              <w:t>Pasivo total</w:t>
            </w:r>
          </w:p>
        </w:tc>
        <w:tc>
          <w:tcPr>
            <w:tcW w:w="1276" w:type="dxa"/>
            <w:tcBorders>
              <w:left w:val="single" w:sz="4" w:space="0" w:color="auto"/>
              <w:right w:val="single" w:sz="4" w:space="0" w:color="auto"/>
            </w:tcBorders>
            <w:shd w:val="clear" w:color="auto" w:fill="auto"/>
            <w:vAlign w:val="center"/>
          </w:tcPr>
          <w:p w14:paraId="06F40A13" w14:textId="77777777" w:rsidR="00DB215C" w:rsidRPr="00DB215C" w:rsidRDefault="00DB215C" w:rsidP="00DB215C">
            <w:pPr>
              <w:spacing w:before="40" w:after="40"/>
              <w:ind w:right="284"/>
              <w:jc w:val="right"/>
              <w:rPr>
                <w:rFonts w:eastAsia="Calibri"/>
                <w:sz w:val="20"/>
                <w:szCs w:val="20"/>
                <w:lang w:val="en-US" w:eastAsia="en-US"/>
              </w:rPr>
            </w:pPr>
            <w:r w:rsidRPr="00DB215C">
              <w:rPr>
                <w:rFonts w:eastAsia="Calibri"/>
                <w:sz w:val="20"/>
                <w:szCs w:val="20"/>
                <w:lang w:val="en-US" w:eastAsia="en-US"/>
              </w:rPr>
              <w:t>5 928</w:t>
            </w:r>
          </w:p>
        </w:tc>
        <w:tc>
          <w:tcPr>
            <w:tcW w:w="1276" w:type="dxa"/>
            <w:tcBorders>
              <w:top w:val="nil"/>
              <w:left w:val="single" w:sz="4" w:space="0" w:color="auto"/>
              <w:bottom w:val="nil"/>
              <w:right w:val="single" w:sz="4" w:space="0" w:color="auto"/>
            </w:tcBorders>
            <w:shd w:val="clear" w:color="auto" w:fill="auto"/>
            <w:vAlign w:val="center"/>
          </w:tcPr>
          <w:p w14:paraId="5B332097" w14:textId="77777777" w:rsidR="00DB215C" w:rsidRPr="00DB215C" w:rsidRDefault="00DB215C" w:rsidP="00DB215C">
            <w:pPr>
              <w:spacing w:before="40" w:after="40"/>
              <w:ind w:right="284"/>
              <w:jc w:val="right"/>
              <w:rPr>
                <w:rFonts w:eastAsia="Calibri"/>
                <w:sz w:val="20"/>
                <w:szCs w:val="20"/>
                <w:lang w:val="en-US" w:eastAsia="en-US"/>
              </w:rPr>
            </w:pPr>
            <w:r w:rsidRPr="00DB215C">
              <w:rPr>
                <w:rFonts w:eastAsia="Calibri"/>
                <w:sz w:val="20"/>
                <w:szCs w:val="20"/>
                <w:lang w:val="en-US" w:eastAsia="en-US"/>
              </w:rPr>
              <w:t>6 180</w:t>
            </w:r>
          </w:p>
        </w:tc>
        <w:tc>
          <w:tcPr>
            <w:tcW w:w="1276" w:type="dxa"/>
            <w:tcBorders>
              <w:left w:val="single" w:sz="4" w:space="0" w:color="auto"/>
              <w:right w:val="single" w:sz="4" w:space="0" w:color="auto"/>
            </w:tcBorders>
            <w:shd w:val="clear" w:color="auto" w:fill="auto"/>
            <w:vAlign w:val="center"/>
          </w:tcPr>
          <w:p w14:paraId="537628B5" w14:textId="77777777" w:rsidR="00DB215C" w:rsidRPr="00DB215C" w:rsidRDefault="00DB215C" w:rsidP="00DB215C">
            <w:pPr>
              <w:spacing w:before="40" w:after="40"/>
              <w:ind w:right="284"/>
              <w:jc w:val="right"/>
              <w:rPr>
                <w:rFonts w:eastAsia="Calibri"/>
                <w:sz w:val="20"/>
                <w:szCs w:val="20"/>
                <w:lang w:val="en-US" w:eastAsia="en-US"/>
              </w:rPr>
            </w:pPr>
            <w:r w:rsidRPr="00DB215C">
              <w:rPr>
                <w:rFonts w:eastAsia="Calibri"/>
                <w:sz w:val="20"/>
                <w:szCs w:val="20"/>
                <w:lang w:val="en-US" w:eastAsia="en-US"/>
              </w:rPr>
              <w:t>6 413</w:t>
            </w:r>
          </w:p>
        </w:tc>
        <w:tc>
          <w:tcPr>
            <w:tcW w:w="1276" w:type="dxa"/>
            <w:tcBorders>
              <w:top w:val="nil"/>
              <w:left w:val="single" w:sz="4" w:space="0" w:color="auto"/>
              <w:bottom w:val="nil"/>
              <w:right w:val="single" w:sz="4" w:space="0" w:color="auto"/>
            </w:tcBorders>
            <w:shd w:val="clear" w:color="auto" w:fill="auto"/>
            <w:vAlign w:val="center"/>
          </w:tcPr>
          <w:p w14:paraId="77047826" w14:textId="77777777" w:rsidR="00DB215C" w:rsidRPr="00DB215C" w:rsidRDefault="00DB215C" w:rsidP="00DB215C">
            <w:pPr>
              <w:spacing w:before="40" w:after="40"/>
              <w:ind w:right="284"/>
              <w:jc w:val="right"/>
              <w:rPr>
                <w:rFonts w:eastAsia="Calibri"/>
                <w:sz w:val="20"/>
                <w:szCs w:val="20"/>
                <w:lang w:val="en-US" w:eastAsia="en-US"/>
              </w:rPr>
            </w:pPr>
            <w:r w:rsidRPr="00DB215C">
              <w:rPr>
                <w:rFonts w:eastAsia="Calibri"/>
                <w:sz w:val="20"/>
                <w:szCs w:val="20"/>
                <w:lang w:val="en-US" w:eastAsia="en-US"/>
              </w:rPr>
              <w:t>8.2</w:t>
            </w:r>
          </w:p>
        </w:tc>
        <w:tc>
          <w:tcPr>
            <w:tcW w:w="1276" w:type="dxa"/>
            <w:tcBorders>
              <w:top w:val="nil"/>
              <w:left w:val="single" w:sz="4" w:space="0" w:color="auto"/>
              <w:bottom w:val="nil"/>
              <w:right w:val="single" w:sz="4" w:space="0" w:color="auto"/>
            </w:tcBorders>
            <w:shd w:val="clear" w:color="auto" w:fill="auto"/>
            <w:vAlign w:val="center"/>
          </w:tcPr>
          <w:p w14:paraId="01824631" w14:textId="77777777" w:rsidR="00DB215C" w:rsidRPr="00DB215C" w:rsidRDefault="00DB215C" w:rsidP="00DB215C">
            <w:pPr>
              <w:spacing w:before="40" w:after="40"/>
              <w:ind w:right="284"/>
              <w:jc w:val="right"/>
              <w:rPr>
                <w:rFonts w:eastAsia="Calibri"/>
                <w:bCs/>
                <w:sz w:val="20"/>
                <w:szCs w:val="20"/>
                <w:lang w:val="en-US" w:eastAsia="en-US"/>
              </w:rPr>
            </w:pPr>
            <w:r w:rsidRPr="00DB215C">
              <w:rPr>
                <w:rFonts w:eastAsia="Calibri"/>
                <w:bCs/>
                <w:sz w:val="20"/>
                <w:szCs w:val="20"/>
                <w:lang w:val="en-US" w:eastAsia="en-US"/>
              </w:rPr>
              <w:t>3.8</w:t>
            </w:r>
          </w:p>
        </w:tc>
      </w:tr>
      <w:tr w:rsidR="00DB215C" w:rsidRPr="00DB215C" w14:paraId="01C24EF5" w14:textId="77777777" w:rsidTr="00DB215C">
        <w:trPr>
          <w:jc w:val="center"/>
        </w:trPr>
        <w:tc>
          <w:tcPr>
            <w:tcW w:w="2479" w:type="dxa"/>
            <w:tcBorders>
              <w:top w:val="nil"/>
              <w:left w:val="single" w:sz="4" w:space="0" w:color="auto"/>
              <w:bottom w:val="single" w:sz="4" w:space="0" w:color="auto"/>
              <w:right w:val="single" w:sz="4" w:space="0" w:color="auto"/>
            </w:tcBorders>
            <w:shd w:val="clear" w:color="auto" w:fill="auto"/>
            <w:vAlign w:val="center"/>
          </w:tcPr>
          <w:p w14:paraId="7F3B0A05" w14:textId="77777777" w:rsidR="00DB215C" w:rsidRPr="00DB215C" w:rsidRDefault="00DB215C" w:rsidP="00DB215C">
            <w:pPr>
              <w:spacing w:before="60" w:after="120"/>
              <w:jc w:val="both"/>
              <w:rPr>
                <w:rFonts w:eastAsia="Calibri"/>
                <w:bCs/>
                <w:sz w:val="20"/>
                <w:szCs w:val="20"/>
                <w:lang w:val="en-US" w:eastAsia="en-US"/>
              </w:rPr>
            </w:pPr>
            <w:r w:rsidRPr="00DB215C">
              <w:rPr>
                <w:rFonts w:eastAsia="Calibri"/>
                <w:bCs/>
                <w:sz w:val="20"/>
                <w:szCs w:val="20"/>
                <w:lang w:val="en-US" w:eastAsia="en-US"/>
              </w:rPr>
              <w:t>Capital contable</w:t>
            </w:r>
          </w:p>
        </w:tc>
        <w:tc>
          <w:tcPr>
            <w:tcW w:w="1276" w:type="dxa"/>
            <w:tcBorders>
              <w:left w:val="single" w:sz="4" w:space="0" w:color="auto"/>
              <w:bottom w:val="single" w:sz="4" w:space="0" w:color="auto"/>
              <w:right w:val="single" w:sz="4" w:space="0" w:color="auto"/>
            </w:tcBorders>
            <w:shd w:val="clear" w:color="auto" w:fill="auto"/>
            <w:vAlign w:val="center"/>
          </w:tcPr>
          <w:p w14:paraId="16FC4ED7" w14:textId="77777777" w:rsidR="00DB215C" w:rsidRPr="00DB215C" w:rsidRDefault="00DB215C" w:rsidP="00DB215C">
            <w:pPr>
              <w:spacing w:before="40" w:after="40"/>
              <w:ind w:right="284"/>
              <w:jc w:val="right"/>
              <w:rPr>
                <w:rFonts w:eastAsia="Calibri"/>
                <w:sz w:val="20"/>
                <w:szCs w:val="20"/>
                <w:lang w:val="en-US" w:eastAsia="en-US"/>
              </w:rPr>
            </w:pPr>
            <w:r w:rsidRPr="00DB215C">
              <w:rPr>
                <w:rFonts w:eastAsia="Calibri"/>
                <w:sz w:val="20"/>
                <w:szCs w:val="20"/>
                <w:lang w:val="en-US" w:eastAsia="en-US"/>
              </w:rPr>
              <w:t>683</w:t>
            </w:r>
          </w:p>
        </w:tc>
        <w:tc>
          <w:tcPr>
            <w:tcW w:w="1276" w:type="dxa"/>
            <w:tcBorders>
              <w:top w:val="nil"/>
              <w:left w:val="single" w:sz="4" w:space="0" w:color="auto"/>
              <w:bottom w:val="single" w:sz="4" w:space="0" w:color="auto"/>
              <w:right w:val="single" w:sz="4" w:space="0" w:color="auto"/>
            </w:tcBorders>
            <w:shd w:val="clear" w:color="auto" w:fill="auto"/>
            <w:vAlign w:val="center"/>
          </w:tcPr>
          <w:p w14:paraId="68694CAB" w14:textId="77777777" w:rsidR="00DB215C" w:rsidRPr="00DB215C" w:rsidRDefault="00DB215C" w:rsidP="00DB215C">
            <w:pPr>
              <w:spacing w:before="40" w:after="40"/>
              <w:ind w:right="284"/>
              <w:jc w:val="right"/>
              <w:rPr>
                <w:rFonts w:eastAsia="Calibri"/>
                <w:sz w:val="20"/>
                <w:szCs w:val="20"/>
                <w:lang w:val="en-US" w:eastAsia="en-US"/>
              </w:rPr>
            </w:pPr>
            <w:r w:rsidRPr="00DB215C">
              <w:rPr>
                <w:rFonts w:eastAsia="Calibri"/>
                <w:sz w:val="20"/>
                <w:szCs w:val="20"/>
                <w:lang w:val="en-US" w:eastAsia="en-US"/>
              </w:rPr>
              <w:t>754</w:t>
            </w:r>
          </w:p>
        </w:tc>
        <w:tc>
          <w:tcPr>
            <w:tcW w:w="1276" w:type="dxa"/>
            <w:tcBorders>
              <w:left w:val="single" w:sz="4" w:space="0" w:color="auto"/>
              <w:bottom w:val="single" w:sz="4" w:space="0" w:color="auto"/>
              <w:right w:val="single" w:sz="4" w:space="0" w:color="auto"/>
            </w:tcBorders>
            <w:shd w:val="clear" w:color="auto" w:fill="auto"/>
            <w:vAlign w:val="center"/>
          </w:tcPr>
          <w:p w14:paraId="2AAF2FAA" w14:textId="77777777" w:rsidR="00DB215C" w:rsidRPr="00DB215C" w:rsidRDefault="00DB215C" w:rsidP="00DB215C">
            <w:pPr>
              <w:spacing w:before="40" w:after="40"/>
              <w:ind w:right="284"/>
              <w:jc w:val="right"/>
              <w:rPr>
                <w:rFonts w:eastAsia="Calibri"/>
                <w:sz w:val="20"/>
                <w:szCs w:val="20"/>
                <w:lang w:val="en-US" w:eastAsia="en-US"/>
              </w:rPr>
            </w:pPr>
            <w:r w:rsidRPr="00DB215C">
              <w:rPr>
                <w:rFonts w:eastAsia="Calibri"/>
                <w:sz w:val="20"/>
                <w:szCs w:val="20"/>
                <w:lang w:val="en-US" w:eastAsia="en-US"/>
              </w:rPr>
              <w:t>763</w:t>
            </w:r>
          </w:p>
        </w:tc>
        <w:tc>
          <w:tcPr>
            <w:tcW w:w="1276" w:type="dxa"/>
            <w:tcBorders>
              <w:top w:val="nil"/>
              <w:left w:val="single" w:sz="4" w:space="0" w:color="auto"/>
              <w:bottom w:val="single" w:sz="4" w:space="0" w:color="auto"/>
              <w:right w:val="single" w:sz="4" w:space="0" w:color="auto"/>
            </w:tcBorders>
            <w:shd w:val="clear" w:color="auto" w:fill="auto"/>
            <w:vAlign w:val="center"/>
          </w:tcPr>
          <w:p w14:paraId="1DC443AF" w14:textId="77777777" w:rsidR="00DB215C" w:rsidRPr="00DB215C" w:rsidRDefault="00DB215C" w:rsidP="00DB215C">
            <w:pPr>
              <w:spacing w:before="40" w:after="40"/>
              <w:ind w:right="284"/>
              <w:jc w:val="right"/>
              <w:rPr>
                <w:rFonts w:eastAsia="Calibri"/>
                <w:sz w:val="20"/>
                <w:szCs w:val="20"/>
                <w:lang w:val="en-US" w:eastAsia="en-US"/>
              </w:rPr>
            </w:pPr>
            <w:r w:rsidRPr="00DB215C">
              <w:rPr>
                <w:rFonts w:eastAsia="Calibri"/>
                <w:sz w:val="20"/>
                <w:szCs w:val="20"/>
                <w:lang w:val="en-US" w:eastAsia="en-US"/>
              </w:rPr>
              <w:t>11.6</w:t>
            </w:r>
          </w:p>
        </w:tc>
        <w:tc>
          <w:tcPr>
            <w:tcW w:w="1276" w:type="dxa"/>
            <w:tcBorders>
              <w:top w:val="nil"/>
              <w:left w:val="single" w:sz="4" w:space="0" w:color="auto"/>
              <w:bottom w:val="single" w:sz="4" w:space="0" w:color="auto"/>
              <w:right w:val="single" w:sz="4" w:space="0" w:color="auto"/>
            </w:tcBorders>
            <w:shd w:val="clear" w:color="auto" w:fill="auto"/>
            <w:vAlign w:val="center"/>
          </w:tcPr>
          <w:p w14:paraId="0D654986" w14:textId="77777777" w:rsidR="00DB215C" w:rsidRPr="00DB215C" w:rsidRDefault="00DB215C" w:rsidP="00DB215C">
            <w:pPr>
              <w:spacing w:before="40" w:after="40"/>
              <w:ind w:right="284"/>
              <w:jc w:val="right"/>
              <w:rPr>
                <w:rFonts w:eastAsia="Calibri"/>
                <w:bCs/>
                <w:sz w:val="20"/>
                <w:szCs w:val="20"/>
                <w:lang w:val="en-US" w:eastAsia="en-US"/>
              </w:rPr>
            </w:pPr>
            <w:r w:rsidRPr="00DB215C">
              <w:rPr>
                <w:rFonts w:eastAsia="Calibri"/>
                <w:bCs/>
                <w:sz w:val="20"/>
                <w:szCs w:val="20"/>
                <w:lang w:val="en-US" w:eastAsia="en-US"/>
              </w:rPr>
              <w:t>1.2</w:t>
            </w:r>
          </w:p>
        </w:tc>
      </w:tr>
      <w:tr w:rsidR="00DB215C" w:rsidRPr="00DB215C" w14:paraId="59CB96A8" w14:textId="77777777" w:rsidTr="0054411E">
        <w:trPr>
          <w:jc w:val="center"/>
        </w:trPr>
        <w:tc>
          <w:tcPr>
            <w:tcW w:w="8859" w:type="dxa"/>
            <w:gridSpan w:val="6"/>
            <w:tcBorders>
              <w:top w:val="single" w:sz="4" w:space="0" w:color="auto"/>
              <w:left w:val="single" w:sz="4" w:space="0" w:color="FFFFFF"/>
              <w:bottom w:val="single" w:sz="4" w:space="0" w:color="FFFFFF"/>
            </w:tcBorders>
            <w:shd w:val="clear" w:color="auto" w:fill="auto"/>
            <w:vAlign w:val="center"/>
          </w:tcPr>
          <w:p w14:paraId="165BC61A" w14:textId="77777777" w:rsidR="00DB215C" w:rsidRPr="00DB215C" w:rsidRDefault="00DB215C" w:rsidP="00DB215C">
            <w:pPr>
              <w:spacing w:before="120"/>
              <w:jc w:val="both"/>
              <w:rPr>
                <w:rFonts w:eastAsia="Calibri"/>
                <w:b/>
                <w:bCs/>
                <w:sz w:val="20"/>
                <w:szCs w:val="20"/>
                <w:lang w:eastAsia="en-US"/>
              </w:rPr>
            </w:pPr>
            <w:r w:rsidRPr="00DB215C">
              <w:rPr>
                <w:rFonts w:eastAsia="Calibri"/>
                <w:bCs/>
                <w:sz w:val="20"/>
                <w:szCs w:val="20"/>
                <w:lang w:eastAsia="en-US"/>
              </w:rPr>
              <w:t>FUENTE: CNBV.</w:t>
            </w:r>
          </w:p>
        </w:tc>
      </w:tr>
    </w:tbl>
    <w:p w14:paraId="725F993F" w14:textId="77777777" w:rsidR="00DB215C" w:rsidRPr="00DB215C" w:rsidRDefault="00DB215C" w:rsidP="00DB215C">
      <w:pPr>
        <w:spacing w:after="360" w:line="360" w:lineRule="auto"/>
        <w:ind w:right="-159"/>
        <w:jc w:val="both"/>
        <w:rPr>
          <w:rFonts w:eastAsia="Calibri"/>
          <w:sz w:val="26"/>
          <w:szCs w:val="26"/>
          <w:lang w:eastAsia="en-US"/>
        </w:rPr>
      </w:pPr>
    </w:p>
    <w:p w14:paraId="58870D81" w14:textId="77777777" w:rsidR="00DB215C" w:rsidRPr="00DB215C" w:rsidRDefault="00DB215C" w:rsidP="00DB215C">
      <w:pPr>
        <w:spacing w:after="360" w:line="360" w:lineRule="auto"/>
        <w:ind w:right="-159"/>
        <w:jc w:val="both"/>
        <w:rPr>
          <w:rFonts w:eastAsia="Calibri"/>
          <w:sz w:val="26"/>
          <w:szCs w:val="26"/>
          <w:lang w:eastAsia="en-US"/>
        </w:rPr>
      </w:pPr>
      <w:r w:rsidRPr="00DB215C">
        <w:rPr>
          <w:rFonts w:eastAsia="Calibri"/>
          <w:sz w:val="26"/>
          <w:szCs w:val="26"/>
          <w:lang w:eastAsia="en-US"/>
        </w:rPr>
        <w:t>El pasivo total registró un saldo de 6 mil 413 mmdp, 8.2% más que en enero de 2014. Por su parte, el capital contable alcanzó un monto de 763 mmdp con una variación anual positiva de 11.6 por ciento.</w:t>
      </w:r>
    </w:p>
    <w:p w14:paraId="501E0560" w14:textId="77777777" w:rsidR="00DB215C" w:rsidRPr="00DB215C" w:rsidRDefault="00DB215C" w:rsidP="00DB215C">
      <w:pPr>
        <w:spacing w:after="360" w:line="360" w:lineRule="auto"/>
        <w:ind w:right="-159"/>
        <w:jc w:val="both"/>
        <w:rPr>
          <w:rFonts w:eastAsia="Calibri"/>
          <w:b/>
          <w:sz w:val="26"/>
          <w:szCs w:val="26"/>
          <w:lang w:eastAsia="en-US"/>
        </w:rPr>
      </w:pPr>
      <w:r w:rsidRPr="00DB215C">
        <w:rPr>
          <w:rFonts w:eastAsia="Calibri"/>
          <w:b/>
          <w:sz w:val="26"/>
          <w:szCs w:val="26"/>
          <w:lang w:eastAsia="en-US"/>
        </w:rPr>
        <w:t>Cartera de crédito</w:t>
      </w:r>
    </w:p>
    <w:p w14:paraId="2AC102DA" w14:textId="77777777" w:rsidR="00DB215C" w:rsidRPr="00DB215C" w:rsidRDefault="00DB215C" w:rsidP="00DB215C">
      <w:pPr>
        <w:spacing w:after="360" w:line="360" w:lineRule="auto"/>
        <w:ind w:right="-159"/>
        <w:jc w:val="both"/>
        <w:rPr>
          <w:rFonts w:eastAsia="Calibri"/>
          <w:sz w:val="26"/>
          <w:szCs w:val="26"/>
          <w:lang w:eastAsia="en-US"/>
        </w:rPr>
      </w:pPr>
      <w:r w:rsidRPr="00DB215C">
        <w:rPr>
          <w:rFonts w:eastAsia="Calibri"/>
          <w:sz w:val="26"/>
          <w:szCs w:val="26"/>
          <w:lang w:eastAsia="en-US"/>
        </w:rPr>
        <w:t>La cartera total de crédito, la cual incluye la cartera de las Sociedades Financieras de Objeto Múltiple Reguladas asociadas a ciertas instituciones de banca múltiple, alcanzó un saldo de 3 mil 386 mmdp y un registró un aumento anual de 11.8 por ciento.</w:t>
      </w:r>
    </w:p>
    <w:tbl>
      <w:tblPr>
        <w:tblW w:w="8789" w:type="dxa"/>
        <w:jc w:val="center"/>
        <w:tblLayout w:type="fixed"/>
        <w:tblLook w:val="01E0" w:firstRow="1" w:lastRow="1" w:firstColumn="1" w:lastColumn="1" w:noHBand="0" w:noVBand="0"/>
      </w:tblPr>
      <w:tblGrid>
        <w:gridCol w:w="3283"/>
        <w:gridCol w:w="1134"/>
        <w:gridCol w:w="1253"/>
        <w:gridCol w:w="1134"/>
        <w:gridCol w:w="993"/>
        <w:gridCol w:w="992"/>
      </w:tblGrid>
      <w:tr w:rsidR="00DB215C" w:rsidRPr="00DB215C" w14:paraId="41D9859F" w14:textId="77777777" w:rsidTr="00DB215C">
        <w:trPr>
          <w:trHeight w:val="552"/>
          <w:jc w:val="center"/>
        </w:trPr>
        <w:tc>
          <w:tcPr>
            <w:tcW w:w="8789" w:type="dxa"/>
            <w:gridSpan w:val="6"/>
            <w:tcBorders>
              <w:top w:val="nil"/>
              <w:bottom w:val="single" w:sz="4" w:space="0" w:color="auto"/>
            </w:tcBorders>
            <w:vAlign w:val="center"/>
          </w:tcPr>
          <w:p w14:paraId="26D908A6" w14:textId="77777777" w:rsidR="00DB215C" w:rsidRPr="00DB215C" w:rsidRDefault="00DB215C" w:rsidP="00DB215C">
            <w:pPr>
              <w:jc w:val="center"/>
              <w:rPr>
                <w:rFonts w:eastAsia="Calibri"/>
                <w:b/>
                <w:bCs/>
                <w:sz w:val="22"/>
                <w:szCs w:val="22"/>
                <w:lang w:eastAsia="en-US"/>
              </w:rPr>
            </w:pPr>
            <w:r w:rsidRPr="00DB215C">
              <w:rPr>
                <w:rFonts w:eastAsia="Calibri"/>
                <w:b/>
                <w:bCs/>
                <w:sz w:val="22"/>
                <w:szCs w:val="22"/>
                <w:lang w:eastAsia="en-US"/>
              </w:rPr>
              <w:lastRenderedPageBreak/>
              <w:t>BANCA MÚLTIPLE: CARTERA DE CRÉDITO TOTAL</w:t>
            </w:r>
          </w:p>
          <w:p w14:paraId="6F2D80DF" w14:textId="77777777" w:rsidR="00DB215C" w:rsidRPr="00DB215C" w:rsidRDefault="00DB215C" w:rsidP="00DB215C">
            <w:pPr>
              <w:jc w:val="center"/>
              <w:rPr>
                <w:rFonts w:eastAsia="Calibri"/>
                <w:b/>
                <w:bCs/>
                <w:sz w:val="22"/>
                <w:szCs w:val="22"/>
                <w:lang w:eastAsia="en-US"/>
              </w:rPr>
            </w:pPr>
            <w:r w:rsidRPr="00DB215C">
              <w:rPr>
                <w:rFonts w:eastAsia="Calibri"/>
                <w:b/>
                <w:bCs/>
                <w:sz w:val="22"/>
                <w:szCs w:val="22"/>
                <w:lang w:eastAsia="en-US"/>
              </w:rPr>
              <w:t>-Saldos en mmdp-</w:t>
            </w:r>
          </w:p>
          <w:p w14:paraId="3FB5F089" w14:textId="77777777" w:rsidR="00DB215C" w:rsidRPr="00DB215C" w:rsidRDefault="00DB215C" w:rsidP="00DB215C">
            <w:pPr>
              <w:jc w:val="center"/>
              <w:rPr>
                <w:rFonts w:eastAsia="Calibri"/>
                <w:bCs/>
                <w:sz w:val="22"/>
                <w:szCs w:val="22"/>
                <w:lang w:eastAsia="en-US"/>
              </w:rPr>
            </w:pPr>
          </w:p>
        </w:tc>
      </w:tr>
      <w:tr w:rsidR="00DB215C" w:rsidRPr="00DB215C" w14:paraId="6ED48165" w14:textId="77777777" w:rsidTr="00DB215C">
        <w:trPr>
          <w:trHeight w:val="71"/>
          <w:jc w:val="center"/>
        </w:trPr>
        <w:tc>
          <w:tcPr>
            <w:tcW w:w="328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0E7F409" w14:textId="77777777" w:rsidR="00DB215C" w:rsidRPr="00DB215C" w:rsidRDefault="00DB215C" w:rsidP="00DB215C">
            <w:pPr>
              <w:spacing w:before="40" w:after="40"/>
              <w:jc w:val="center"/>
              <w:rPr>
                <w:rFonts w:eastAsia="Calibri"/>
                <w:bCs/>
                <w:sz w:val="18"/>
                <w:szCs w:val="18"/>
                <w:lang w:eastAsia="en-US"/>
              </w:rPr>
            </w:pPr>
          </w:p>
        </w:tc>
        <w:tc>
          <w:tcPr>
            <w:tcW w:w="238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89DDDA" w14:textId="77777777" w:rsidR="00DB215C" w:rsidRPr="00DB215C" w:rsidRDefault="00DB215C" w:rsidP="00DB215C">
            <w:pPr>
              <w:jc w:val="center"/>
              <w:rPr>
                <w:rFonts w:eastAsia="Calibri"/>
                <w:b/>
                <w:sz w:val="18"/>
                <w:szCs w:val="18"/>
                <w:lang w:eastAsia="en-US"/>
              </w:rPr>
            </w:pPr>
            <w:r w:rsidRPr="00DB215C">
              <w:rPr>
                <w:rFonts w:eastAsia="Calibri"/>
                <w:b/>
                <w:sz w:val="18"/>
                <w:szCs w:val="18"/>
                <w:lang w:eastAsia="en-US"/>
              </w:rPr>
              <w:t>2014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D10D334" w14:textId="77777777" w:rsidR="00DB215C" w:rsidRPr="00DB215C" w:rsidRDefault="00DB215C" w:rsidP="00DB215C">
            <w:pPr>
              <w:jc w:val="center"/>
              <w:rPr>
                <w:rFonts w:eastAsia="Calibri"/>
                <w:b/>
                <w:sz w:val="18"/>
                <w:szCs w:val="18"/>
                <w:lang w:eastAsia="en-US"/>
              </w:rPr>
            </w:pPr>
            <w:r w:rsidRPr="00DB215C">
              <w:rPr>
                <w:rFonts w:eastAsia="Calibri"/>
                <w:b/>
                <w:sz w:val="18"/>
                <w:szCs w:val="18"/>
                <w:lang w:eastAsia="en-US"/>
              </w:rPr>
              <w:t>2015</w:t>
            </w:r>
          </w:p>
        </w:tc>
        <w:tc>
          <w:tcPr>
            <w:tcW w:w="19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835804" w14:textId="77777777" w:rsidR="00DB215C" w:rsidRPr="00DB215C" w:rsidRDefault="00DB215C" w:rsidP="00DB215C">
            <w:pPr>
              <w:jc w:val="center"/>
              <w:rPr>
                <w:rFonts w:eastAsia="Calibri"/>
                <w:b/>
                <w:bCs/>
                <w:sz w:val="18"/>
                <w:szCs w:val="18"/>
                <w:lang w:eastAsia="en-US"/>
              </w:rPr>
            </w:pPr>
            <w:r w:rsidRPr="00DB215C">
              <w:rPr>
                <w:rFonts w:eastAsia="Calibri"/>
                <w:b/>
                <w:bCs/>
                <w:sz w:val="18"/>
                <w:szCs w:val="18"/>
                <w:lang w:eastAsia="en-US"/>
              </w:rPr>
              <w:t>Diferencia %</w:t>
            </w:r>
          </w:p>
        </w:tc>
      </w:tr>
      <w:tr w:rsidR="00DB215C" w:rsidRPr="00DB215C" w14:paraId="6E6FA6C7" w14:textId="77777777" w:rsidTr="00DB215C">
        <w:trPr>
          <w:trHeight w:val="165"/>
          <w:jc w:val="center"/>
        </w:trPr>
        <w:tc>
          <w:tcPr>
            <w:tcW w:w="328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974E7C4" w14:textId="77777777" w:rsidR="00DB215C" w:rsidRPr="00DB215C" w:rsidRDefault="00DB215C" w:rsidP="00DB215C">
            <w:pPr>
              <w:spacing w:before="40" w:after="40"/>
              <w:jc w:val="center"/>
              <w:rPr>
                <w:rFonts w:eastAsia="Calibri"/>
                <w:bCs/>
                <w:sz w:val="18"/>
                <w:szCs w:val="18"/>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4EC2F95" w14:textId="77777777" w:rsidR="00DB215C" w:rsidRPr="00DB215C" w:rsidRDefault="00DB215C" w:rsidP="00DB215C">
            <w:pPr>
              <w:jc w:val="center"/>
              <w:rPr>
                <w:rFonts w:eastAsia="Calibri"/>
                <w:b/>
                <w:sz w:val="20"/>
                <w:szCs w:val="20"/>
                <w:lang w:eastAsia="en-US"/>
              </w:rPr>
            </w:pPr>
            <w:r w:rsidRPr="00DB215C">
              <w:rPr>
                <w:rFonts w:eastAsia="Calibri"/>
                <w:b/>
                <w:sz w:val="20"/>
                <w:szCs w:val="20"/>
                <w:lang w:eastAsia="en-US"/>
              </w:rPr>
              <w:t>Enero</w:t>
            </w:r>
          </w:p>
        </w:tc>
        <w:tc>
          <w:tcPr>
            <w:tcW w:w="1253" w:type="dxa"/>
            <w:tcBorders>
              <w:top w:val="single" w:sz="4" w:space="0" w:color="auto"/>
              <w:left w:val="single" w:sz="4" w:space="0" w:color="auto"/>
              <w:bottom w:val="single" w:sz="4" w:space="0" w:color="auto"/>
              <w:right w:val="single" w:sz="4" w:space="0" w:color="auto"/>
            </w:tcBorders>
            <w:shd w:val="clear" w:color="auto" w:fill="auto"/>
            <w:vAlign w:val="center"/>
          </w:tcPr>
          <w:p w14:paraId="33EA37C1" w14:textId="77777777" w:rsidR="00DB215C" w:rsidRPr="00DB215C" w:rsidRDefault="00DB215C" w:rsidP="00DB215C">
            <w:pPr>
              <w:jc w:val="center"/>
              <w:rPr>
                <w:rFonts w:eastAsia="Calibri"/>
                <w:b/>
                <w:sz w:val="20"/>
                <w:szCs w:val="20"/>
                <w:lang w:eastAsia="en-US"/>
              </w:rPr>
            </w:pPr>
            <w:r w:rsidRPr="00DB215C">
              <w:rPr>
                <w:rFonts w:eastAsia="Calibri"/>
                <w:b/>
                <w:sz w:val="20"/>
                <w:szCs w:val="20"/>
                <w:lang w:eastAsia="en-US"/>
              </w:rPr>
              <w:t>Diciembre</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B69ABAC" w14:textId="77777777" w:rsidR="00DB215C" w:rsidRPr="00DB215C" w:rsidRDefault="00DB215C" w:rsidP="00DB215C">
            <w:pPr>
              <w:jc w:val="center"/>
              <w:rPr>
                <w:rFonts w:eastAsia="Calibri"/>
                <w:b/>
                <w:sz w:val="20"/>
                <w:szCs w:val="20"/>
                <w:lang w:eastAsia="en-US"/>
              </w:rPr>
            </w:pPr>
            <w:r w:rsidRPr="00DB215C">
              <w:rPr>
                <w:rFonts w:eastAsia="Calibri"/>
                <w:b/>
                <w:sz w:val="20"/>
                <w:szCs w:val="20"/>
                <w:lang w:eastAsia="en-US"/>
              </w:rPr>
              <w:t>Enero</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FEBC70A" w14:textId="77777777" w:rsidR="00DB215C" w:rsidRPr="00DB215C" w:rsidRDefault="00DB215C" w:rsidP="00DB215C">
            <w:pPr>
              <w:jc w:val="center"/>
              <w:rPr>
                <w:rFonts w:eastAsia="Calibri"/>
                <w:b/>
                <w:sz w:val="18"/>
                <w:szCs w:val="18"/>
                <w:lang w:eastAsia="en-US"/>
              </w:rPr>
            </w:pPr>
            <w:r w:rsidRPr="00DB215C">
              <w:rPr>
                <w:rFonts w:eastAsia="Calibri"/>
                <w:b/>
                <w:sz w:val="18"/>
                <w:szCs w:val="18"/>
                <w:lang w:eastAsia="en-US"/>
              </w:rPr>
              <w:t>Anual</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33FB780" w14:textId="77777777" w:rsidR="00DB215C" w:rsidRPr="00DB215C" w:rsidRDefault="00DB215C" w:rsidP="00DB215C">
            <w:pPr>
              <w:jc w:val="center"/>
              <w:rPr>
                <w:rFonts w:eastAsia="Calibri"/>
                <w:b/>
                <w:bCs/>
                <w:sz w:val="18"/>
                <w:szCs w:val="18"/>
                <w:lang w:eastAsia="en-US"/>
              </w:rPr>
            </w:pPr>
            <w:r w:rsidRPr="00DB215C">
              <w:rPr>
                <w:rFonts w:eastAsia="Calibri"/>
                <w:b/>
                <w:bCs/>
                <w:sz w:val="18"/>
                <w:szCs w:val="18"/>
                <w:lang w:eastAsia="en-US"/>
              </w:rPr>
              <w:t>Mensual</w:t>
            </w:r>
          </w:p>
        </w:tc>
      </w:tr>
      <w:tr w:rsidR="00DB215C" w:rsidRPr="00DB215C" w14:paraId="657A9013" w14:textId="77777777" w:rsidTr="00DB215C">
        <w:trPr>
          <w:trHeight w:val="115"/>
          <w:jc w:val="center"/>
        </w:trPr>
        <w:tc>
          <w:tcPr>
            <w:tcW w:w="3283" w:type="dxa"/>
            <w:tcBorders>
              <w:top w:val="single" w:sz="4" w:space="0" w:color="auto"/>
              <w:left w:val="single" w:sz="4" w:space="0" w:color="auto"/>
              <w:bottom w:val="nil"/>
              <w:right w:val="single" w:sz="4" w:space="0" w:color="auto"/>
            </w:tcBorders>
            <w:shd w:val="clear" w:color="auto" w:fill="auto"/>
            <w:vAlign w:val="center"/>
          </w:tcPr>
          <w:p w14:paraId="4C5E151B" w14:textId="77777777" w:rsidR="00DB215C" w:rsidRPr="00DB215C" w:rsidRDefault="00DB215C" w:rsidP="00DB215C">
            <w:pPr>
              <w:spacing w:before="120"/>
              <w:rPr>
                <w:rFonts w:eastAsia="Calibri"/>
                <w:b/>
                <w:bCs/>
                <w:sz w:val="18"/>
                <w:szCs w:val="18"/>
                <w:lang w:val="en-US" w:eastAsia="en-US"/>
              </w:rPr>
            </w:pPr>
            <w:r w:rsidRPr="00DB215C">
              <w:rPr>
                <w:rFonts w:eastAsia="Calibri"/>
                <w:b/>
                <w:bCs/>
                <w:sz w:val="18"/>
                <w:szCs w:val="18"/>
                <w:lang w:val="en-US" w:eastAsia="en-US"/>
              </w:rPr>
              <w:t>Cartera de crédito total</w:t>
            </w:r>
          </w:p>
        </w:tc>
        <w:tc>
          <w:tcPr>
            <w:tcW w:w="1134" w:type="dxa"/>
            <w:tcBorders>
              <w:top w:val="single" w:sz="4" w:space="0" w:color="auto"/>
              <w:left w:val="single" w:sz="4" w:space="0" w:color="auto"/>
              <w:right w:val="single" w:sz="4" w:space="0" w:color="auto"/>
            </w:tcBorders>
            <w:shd w:val="clear" w:color="auto" w:fill="auto"/>
            <w:vAlign w:val="center"/>
          </w:tcPr>
          <w:p w14:paraId="505C8D8A" w14:textId="77777777" w:rsidR="00DB215C" w:rsidRPr="00DB215C" w:rsidRDefault="00DB215C" w:rsidP="00DB215C">
            <w:pPr>
              <w:spacing w:before="120" w:after="40"/>
              <w:ind w:right="227"/>
              <w:jc w:val="right"/>
              <w:rPr>
                <w:rFonts w:eastAsia="Calibri"/>
                <w:b/>
                <w:sz w:val="18"/>
                <w:szCs w:val="18"/>
                <w:lang w:val="en-US" w:eastAsia="en-US"/>
              </w:rPr>
            </w:pPr>
            <w:r w:rsidRPr="00DB215C">
              <w:rPr>
                <w:rFonts w:eastAsia="Calibri"/>
                <w:b/>
                <w:sz w:val="18"/>
                <w:szCs w:val="18"/>
                <w:lang w:val="en-US" w:eastAsia="en-US"/>
              </w:rPr>
              <w:t>3 028</w:t>
            </w:r>
          </w:p>
        </w:tc>
        <w:tc>
          <w:tcPr>
            <w:tcW w:w="1253" w:type="dxa"/>
            <w:tcBorders>
              <w:top w:val="single" w:sz="4" w:space="0" w:color="auto"/>
              <w:left w:val="single" w:sz="4" w:space="0" w:color="auto"/>
              <w:bottom w:val="nil"/>
              <w:right w:val="single" w:sz="4" w:space="0" w:color="auto"/>
            </w:tcBorders>
            <w:shd w:val="clear" w:color="auto" w:fill="auto"/>
            <w:vAlign w:val="center"/>
          </w:tcPr>
          <w:p w14:paraId="09AED415" w14:textId="77777777" w:rsidR="00DB215C" w:rsidRPr="00DB215C" w:rsidRDefault="00DB215C" w:rsidP="00DB215C">
            <w:pPr>
              <w:spacing w:before="120" w:after="40"/>
              <w:ind w:right="227"/>
              <w:jc w:val="right"/>
              <w:rPr>
                <w:rFonts w:eastAsia="Calibri"/>
                <w:b/>
                <w:sz w:val="18"/>
                <w:szCs w:val="18"/>
                <w:lang w:val="en-US" w:eastAsia="en-US"/>
              </w:rPr>
            </w:pPr>
            <w:r w:rsidRPr="00DB215C">
              <w:rPr>
                <w:rFonts w:eastAsia="Calibri"/>
                <w:b/>
                <w:sz w:val="18"/>
                <w:szCs w:val="18"/>
                <w:lang w:val="en-US" w:eastAsia="en-US"/>
              </w:rPr>
              <w:t>3 295</w:t>
            </w:r>
          </w:p>
        </w:tc>
        <w:tc>
          <w:tcPr>
            <w:tcW w:w="1134" w:type="dxa"/>
            <w:tcBorders>
              <w:top w:val="single" w:sz="4" w:space="0" w:color="auto"/>
              <w:left w:val="single" w:sz="4" w:space="0" w:color="auto"/>
              <w:right w:val="single" w:sz="4" w:space="0" w:color="auto"/>
            </w:tcBorders>
            <w:shd w:val="clear" w:color="auto" w:fill="auto"/>
            <w:vAlign w:val="center"/>
          </w:tcPr>
          <w:p w14:paraId="130AE127" w14:textId="77777777" w:rsidR="00DB215C" w:rsidRPr="00DB215C" w:rsidRDefault="00DB215C" w:rsidP="00DB215C">
            <w:pPr>
              <w:spacing w:before="120" w:after="40"/>
              <w:ind w:right="227"/>
              <w:jc w:val="right"/>
              <w:rPr>
                <w:rFonts w:eastAsia="Calibri"/>
                <w:b/>
                <w:sz w:val="18"/>
                <w:szCs w:val="18"/>
                <w:lang w:val="en-US" w:eastAsia="en-US"/>
              </w:rPr>
            </w:pPr>
            <w:r w:rsidRPr="00DB215C">
              <w:rPr>
                <w:rFonts w:eastAsia="Calibri"/>
                <w:b/>
                <w:sz w:val="18"/>
                <w:szCs w:val="18"/>
                <w:lang w:val="en-US" w:eastAsia="en-US"/>
              </w:rPr>
              <w:t>3 386</w:t>
            </w:r>
          </w:p>
        </w:tc>
        <w:tc>
          <w:tcPr>
            <w:tcW w:w="993" w:type="dxa"/>
            <w:tcBorders>
              <w:top w:val="single" w:sz="4" w:space="0" w:color="auto"/>
              <w:left w:val="single" w:sz="4" w:space="0" w:color="auto"/>
              <w:bottom w:val="nil"/>
              <w:right w:val="single" w:sz="4" w:space="0" w:color="auto"/>
            </w:tcBorders>
            <w:shd w:val="clear" w:color="auto" w:fill="auto"/>
            <w:vAlign w:val="center"/>
          </w:tcPr>
          <w:p w14:paraId="236C5F80" w14:textId="77777777" w:rsidR="00DB215C" w:rsidRPr="00DB215C" w:rsidRDefault="00DB215C" w:rsidP="00DB215C">
            <w:pPr>
              <w:spacing w:before="120" w:after="40"/>
              <w:ind w:right="170"/>
              <w:jc w:val="right"/>
              <w:rPr>
                <w:rFonts w:eastAsia="Calibri"/>
                <w:b/>
                <w:sz w:val="18"/>
                <w:szCs w:val="18"/>
                <w:lang w:val="en-US" w:eastAsia="en-US"/>
              </w:rPr>
            </w:pPr>
            <w:r w:rsidRPr="00DB215C">
              <w:rPr>
                <w:rFonts w:eastAsia="Calibri"/>
                <w:b/>
                <w:sz w:val="18"/>
                <w:szCs w:val="18"/>
                <w:lang w:val="en-US" w:eastAsia="en-US"/>
              </w:rPr>
              <w:t>11.8</w:t>
            </w:r>
          </w:p>
        </w:tc>
        <w:tc>
          <w:tcPr>
            <w:tcW w:w="992" w:type="dxa"/>
            <w:tcBorders>
              <w:top w:val="single" w:sz="4" w:space="0" w:color="auto"/>
              <w:left w:val="single" w:sz="4" w:space="0" w:color="auto"/>
              <w:bottom w:val="nil"/>
              <w:right w:val="single" w:sz="4" w:space="0" w:color="auto"/>
            </w:tcBorders>
            <w:shd w:val="clear" w:color="auto" w:fill="auto"/>
            <w:vAlign w:val="center"/>
          </w:tcPr>
          <w:p w14:paraId="0F986C2C" w14:textId="77777777" w:rsidR="00DB215C" w:rsidRPr="00DB215C" w:rsidRDefault="00DB215C" w:rsidP="00DB215C">
            <w:pPr>
              <w:spacing w:before="120" w:after="40"/>
              <w:ind w:right="284"/>
              <w:jc w:val="right"/>
              <w:rPr>
                <w:rFonts w:eastAsia="Calibri"/>
                <w:b/>
                <w:bCs/>
                <w:sz w:val="18"/>
                <w:szCs w:val="18"/>
                <w:lang w:val="en-US" w:eastAsia="en-US"/>
              </w:rPr>
            </w:pPr>
            <w:r w:rsidRPr="00DB215C">
              <w:rPr>
                <w:rFonts w:eastAsia="Calibri"/>
                <w:b/>
                <w:bCs/>
                <w:sz w:val="18"/>
                <w:szCs w:val="18"/>
                <w:lang w:val="en-US" w:eastAsia="en-US"/>
              </w:rPr>
              <w:t>2.8</w:t>
            </w:r>
          </w:p>
        </w:tc>
      </w:tr>
      <w:tr w:rsidR="00DB215C" w:rsidRPr="00DB215C" w14:paraId="55D8421D" w14:textId="77777777" w:rsidTr="00DB215C">
        <w:trPr>
          <w:trHeight w:val="271"/>
          <w:jc w:val="center"/>
        </w:trPr>
        <w:tc>
          <w:tcPr>
            <w:tcW w:w="3283" w:type="dxa"/>
            <w:tcBorders>
              <w:top w:val="nil"/>
              <w:left w:val="single" w:sz="4" w:space="0" w:color="auto"/>
              <w:bottom w:val="nil"/>
              <w:right w:val="single" w:sz="4" w:space="0" w:color="auto"/>
            </w:tcBorders>
            <w:shd w:val="clear" w:color="auto" w:fill="auto"/>
            <w:vAlign w:val="center"/>
          </w:tcPr>
          <w:p w14:paraId="29F61CAB" w14:textId="77777777" w:rsidR="00DB215C" w:rsidRPr="00DB215C" w:rsidRDefault="00DB215C" w:rsidP="00DB215C">
            <w:pPr>
              <w:ind w:left="170"/>
              <w:rPr>
                <w:rFonts w:eastAsia="Calibri"/>
                <w:bCs/>
                <w:sz w:val="18"/>
                <w:szCs w:val="18"/>
                <w:lang w:val="en-US" w:eastAsia="en-US"/>
              </w:rPr>
            </w:pPr>
            <w:r w:rsidRPr="00DB215C">
              <w:rPr>
                <w:rFonts w:eastAsia="Calibri"/>
                <w:bCs/>
                <w:sz w:val="18"/>
                <w:szCs w:val="18"/>
                <w:lang w:val="en-US" w:eastAsia="en-US"/>
              </w:rPr>
              <w:t>Créditos comerciales</w:t>
            </w:r>
          </w:p>
        </w:tc>
        <w:tc>
          <w:tcPr>
            <w:tcW w:w="1134" w:type="dxa"/>
            <w:tcBorders>
              <w:left w:val="single" w:sz="4" w:space="0" w:color="auto"/>
              <w:right w:val="single" w:sz="4" w:space="0" w:color="auto"/>
            </w:tcBorders>
            <w:shd w:val="clear" w:color="auto" w:fill="auto"/>
            <w:vAlign w:val="center"/>
          </w:tcPr>
          <w:p w14:paraId="61B697F2" w14:textId="77777777" w:rsidR="00DB215C" w:rsidRPr="00DB215C" w:rsidRDefault="00DB215C" w:rsidP="00DB215C">
            <w:pPr>
              <w:spacing w:before="40" w:after="40"/>
              <w:ind w:right="227"/>
              <w:jc w:val="right"/>
              <w:rPr>
                <w:rFonts w:eastAsia="Calibri"/>
                <w:sz w:val="18"/>
                <w:szCs w:val="18"/>
                <w:lang w:val="en-US" w:eastAsia="en-US"/>
              </w:rPr>
            </w:pPr>
            <w:r w:rsidRPr="00DB215C">
              <w:rPr>
                <w:rFonts w:eastAsia="Calibri"/>
                <w:sz w:val="18"/>
                <w:szCs w:val="18"/>
                <w:lang w:val="en-US" w:eastAsia="en-US"/>
              </w:rPr>
              <w:t>1 840</w:t>
            </w:r>
          </w:p>
        </w:tc>
        <w:tc>
          <w:tcPr>
            <w:tcW w:w="1253" w:type="dxa"/>
            <w:tcBorders>
              <w:top w:val="nil"/>
              <w:left w:val="single" w:sz="4" w:space="0" w:color="auto"/>
              <w:bottom w:val="nil"/>
              <w:right w:val="single" w:sz="4" w:space="0" w:color="auto"/>
            </w:tcBorders>
            <w:shd w:val="clear" w:color="auto" w:fill="auto"/>
            <w:vAlign w:val="center"/>
          </w:tcPr>
          <w:p w14:paraId="34F01839" w14:textId="77777777" w:rsidR="00DB215C" w:rsidRPr="00DB215C" w:rsidRDefault="00DB215C" w:rsidP="00DB215C">
            <w:pPr>
              <w:spacing w:before="40" w:after="40"/>
              <w:ind w:right="227"/>
              <w:jc w:val="right"/>
              <w:rPr>
                <w:rFonts w:eastAsia="Calibri"/>
                <w:sz w:val="18"/>
                <w:szCs w:val="18"/>
                <w:lang w:val="en-US" w:eastAsia="en-US"/>
              </w:rPr>
            </w:pPr>
            <w:r w:rsidRPr="00DB215C">
              <w:rPr>
                <w:rFonts w:eastAsia="Calibri"/>
                <w:sz w:val="18"/>
                <w:szCs w:val="18"/>
                <w:lang w:val="en-US" w:eastAsia="en-US"/>
              </w:rPr>
              <w:t>2 015</w:t>
            </w:r>
          </w:p>
        </w:tc>
        <w:tc>
          <w:tcPr>
            <w:tcW w:w="1134" w:type="dxa"/>
            <w:tcBorders>
              <w:left w:val="single" w:sz="4" w:space="0" w:color="auto"/>
              <w:right w:val="single" w:sz="4" w:space="0" w:color="auto"/>
            </w:tcBorders>
            <w:shd w:val="clear" w:color="auto" w:fill="auto"/>
            <w:vAlign w:val="center"/>
          </w:tcPr>
          <w:p w14:paraId="79DE1F77" w14:textId="77777777" w:rsidR="00DB215C" w:rsidRPr="00DB215C" w:rsidRDefault="00DB215C" w:rsidP="00DB215C">
            <w:pPr>
              <w:spacing w:before="40" w:after="40"/>
              <w:ind w:right="227"/>
              <w:jc w:val="right"/>
              <w:rPr>
                <w:rFonts w:eastAsia="Calibri"/>
                <w:sz w:val="18"/>
                <w:szCs w:val="18"/>
                <w:lang w:val="en-US" w:eastAsia="en-US"/>
              </w:rPr>
            </w:pPr>
            <w:r w:rsidRPr="00DB215C">
              <w:rPr>
                <w:rFonts w:eastAsia="Calibri"/>
                <w:sz w:val="18"/>
                <w:szCs w:val="18"/>
                <w:lang w:val="en-US" w:eastAsia="en-US"/>
              </w:rPr>
              <w:t>2 104</w:t>
            </w:r>
          </w:p>
        </w:tc>
        <w:tc>
          <w:tcPr>
            <w:tcW w:w="993" w:type="dxa"/>
            <w:tcBorders>
              <w:top w:val="nil"/>
              <w:left w:val="single" w:sz="4" w:space="0" w:color="auto"/>
              <w:bottom w:val="nil"/>
              <w:right w:val="single" w:sz="4" w:space="0" w:color="auto"/>
            </w:tcBorders>
            <w:shd w:val="clear" w:color="auto" w:fill="auto"/>
            <w:vAlign w:val="center"/>
          </w:tcPr>
          <w:p w14:paraId="596A137C" w14:textId="77777777" w:rsidR="00DB215C" w:rsidRPr="00DB215C" w:rsidRDefault="00DB215C" w:rsidP="00DB215C">
            <w:pPr>
              <w:spacing w:before="40" w:after="40"/>
              <w:ind w:right="170"/>
              <w:jc w:val="right"/>
              <w:rPr>
                <w:rFonts w:eastAsia="Calibri"/>
                <w:sz w:val="18"/>
                <w:szCs w:val="18"/>
                <w:lang w:val="en-US" w:eastAsia="en-US"/>
              </w:rPr>
            </w:pPr>
            <w:r w:rsidRPr="00DB215C">
              <w:rPr>
                <w:rFonts w:eastAsia="Calibri"/>
                <w:sz w:val="18"/>
                <w:szCs w:val="18"/>
                <w:lang w:val="en-US" w:eastAsia="en-US"/>
              </w:rPr>
              <w:t>14.4</w:t>
            </w:r>
          </w:p>
        </w:tc>
        <w:tc>
          <w:tcPr>
            <w:tcW w:w="992" w:type="dxa"/>
            <w:tcBorders>
              <w:top w:val="nil"/>
              <w:left w:val="single" w:sz="4" w:space="0" w:color="auto"/>
              <w:bottom w:val="nil"/>
              <w:right w:val="single" w:sz="4" w:space="0" w:color="auto"/>
            </w:tcBorders>
            <w:shd w:val="clear" w:color="auto" w:fill="auto"/>
            <w:vAlign w:val="center"/>
          </w:tcPr>
          <w:p w14:paraId="557A749B" w14:textId="77777777" w:rsidR="00DB215C" w:rsidRPr="00DB215C" w:rsidRDefault="00DB215C" w:rsidP="00DB215C">
            <w:pPr>
              <w:spacing w:before="40" w:after="40"/>
              <w:ind w:right="284"/>
              <w:jc w:val="right"/>
              <w:rPr>
                <w:rFonts w:eastAsia="Calibri"/>
                <w:bCs/>
                <w:sz w:val="18"/>
                <w:szCs w:val="18"/>
                <w:lang w:val="en-US" w:eastAsia="en-US"/>
              </w:rPr>
            </w:pPr>
            <w:r w:rsidRPr="00DB215C">
              <w:rPr>
                <w:rFonts w:eastAsia="Calibri"/>
                <w:bCs/>
                <w:sz w:val="18"/>
                <w:szCs w:val="18"/>
                <w:lang w:val="en-US" w:eastAsia="en-US"/>
              </w:rPr>
              <w:t>4.4</w:t>
            </w:r>
          </w:p>
        </w:tc>
      </w:tr>
      <w:tr w:rsidR="00DB215C" w:rsidRPr="00DB215C" w14:paraId="4625594C" w14:textId="77777777" w:rsidTr="00DB215C">
        <w:trPr>
          <w:trHeight w:val="271"/>
          <w:jc w:val="center"/>
        </w:trPr>
        <w:tc>
          <w:tcPr>
            <w:tcW w:w="3283" w:type="dxa"/>
            <w:tcBorders>
              <w:top w:val="nil"/>
              <w:left w:val="single" w:sz="4" w:space="0" w:color="auto"/>
              <w:bottom w:val="nil"/>
              <w:right w:val="single" w:sz="4" w:space="0" w:color="auto"/>
            </w:tcBorders>
            <w:shd w:val="clear" w:color="auto" w:fill="auto"/>
            <w:vAlign w:val="center"/>
          </w:tcPr>
          <w:p w14:paraId="646D2A46" w14:textId="77777777" w:rsidR="00DB215C" w:rsidRPr="00DB215C" w:rsidRDefault="00DB215C" w:rsidP="00DB215C">
            <w:pPr>
              <w:ind w:left="170"/>
              <w:rPr>
                <w:rFonts w:eastAsia="Calibri"/>
                <w:bCs/>
                <w:sz w:val="18"/>
                <w:szCs w:val="18"/>
                <w:lang w:val="en-US" w:eastAsia="en-US"/>
              </w:rPr>
            </w:pPr>
            <w:r w:rsidRPr="00DB215C">
              <w:rPr>
                <w:rFonts w:eastAsia="Calibri"/>
                <w:bCs/>
                <w:sz w:val="18"/>
                <w:szCs w:val="18"/>
                <w:lang w:val="en-US" w:eastAsia="en-US"/>
              </w:rPr>
              <w:t>Empresas</w:t>
            </w:r>
          </w:p>
        </w:tc>
        <w:tc>
          <w:tcPr>
            <w:tcW w:w="1134" w:type="dxa"/>
            <w:tcBorders>
              <w:left w:val="single" w:sz="4" w:space="0" w:color="auto"/>
              <w:right w:val="single" w:sz="4" w:space="0" w:color="auto"/>
            </w:tcBorders>
            <w:shd w:val="clear" w:color="auto" w:fill="auto"/>
            <w:vAlign w:val="center"/>
          </w:tcPr>
          <w:p w14:paraId="4AFBB42B" w14:textId="77777777" w:rsidR="00DB215C" w:rsidRPr="00DB215C" w:rsidRDefault="00DB215C" w:rsidP="00DB215C">
            <w:pPr>
              <w:spacing w:before="40" w:after="40"/>
              <w:ind w:right="227"/>
              <w:jc w:val="right"/>
              <w:rPr>
                <w:rFonts w:eastAsia="Calibri"/>
                <w:sz w:val="18"/>
                <w:szCs w:val="18"/>
                <w:lang w:val="en-US" w:eastAsia="en-US"/>
              </w:rPr>
            </w:pPr>
            <w:r w:rsidRPr="00DB215C">
              <w:rPr>
                <w:rFonts w:eastAsia="Calibri"/>
                <w:sz w:val="18"/>
                <w:szCs w:val="18"/>
                <w:lang w:val="en-US" w:eastAsia="en-US"/>
              </w:rPr>
              <w:t>1 326</w:t>
            </w:r>
          </w:p>
        </w:tc>
        <w:tc>
          <w:tcPr>
            <w:tcW w:w="1253" w:type="dxa"/>
            <w:tcBorders>
              <w:top w:val="nil"/>
              <w:left w:val="single" w:sz="4" w:space="0" w:color="auto"/>
              <w:bottom w:val="nil"/>
              <w:right w:val="single" w:sz="4" w:space="0" w:color="auto"/>
            </w:tcBorders>
            <w:shd w:val="clear" w:color="auto" w:fill="auto"/>
            <w:vAlign w:val="center"/>
          </w:tcPr>
          <w:p w14:paraId="353BAF50" w14:textId="77777777" w:rsidR="00DB215C" w:rsidRPr="00DB215C" w:rsidRDefault="00DB215C" w:rsidP="00DB215C">
            <w:pPr>
              <w:spacing w:before="40" w:after="40"/>
              <w:ind w:right="227"/>
              <w:jc w:val="right"/>
              <w:rPr>
                <w:rFonts w:eastAsia="Calibri"/>
                <w:sz w:val="18"/>
                <w:szCs w:val="18"/>
                <w:lang w:val="en-US" w:eastAsia="en-US"/>
              </w:rPr>
            </w:pPr>
            <w:r w:rsidRPr="00DB215C">
              <w:rPr>
                <w:rFonts w:eastAsia="Calibri"/>
                <w:sz w:val="18"/>
                <w:szCs w:val="18"/>
                <w:lang w:val="en-US" w:eastAsia="en-US"/>
              </w:rPr>
              <w:t>1 422</w:t>
            </w:r>
          </w:p>
        </w:tc>
        <w:tc>
          <w:tcPr>
            <w:tcW w:w="1134" w:type="dxa"/>
            <w:tcBorders>
              <w:left w:val="single" w:sz="4" w:space="0" w:color="auto"/>
              <w:right w:val="single" w:sz="4" w:space="0" w:color="auto"/>
            </w:tcBorders>
            <w:shd w:val="clear" w:color="auto" w:fill="auto"/>
            <w:vAlign w:val="center"/>
          </w:tcPr>
          <w:p w14:paraId="4DC153CC" w14:textId="77777777" w:rsidR="00DB215C" w:rsidRPr="00DB215C" w:rsidRDefault="00DB215C" w:rsidP="00DB215C">
            <w:pPr>
              <w:spacing w:before="40" w:after="40"/>
              <w:ind w:right="227"/>
              <w:jc w:val="right"/>
              <w:rPr>
                <w:rFonts w:eastAsia="Calibri"/>
                <w:sz w:val="18"/>
                <w:szCs w:val="18"/>
                <w:lang w:val="en-US" w:eastAsia="en-US"/>
              </w:rPr>
            </w:pPr>
            <w:r w:rsidRPr="00DB215C">
              <w:rPr>
                <w:rFonts w:eastAsia="Calibri"/>
                <w:sz w:val="18"/>
                <w:szCs w:val="18"/>
                <w:lang w:val="en-US" w:eastAsia="en-US"/>
              </w:rPr>
              <w:t>1 469</w:t>
            </w:r>
          </w:p>
        </w:tc>
        <w:tc>
          <w:tcPr>
            <w:tcW w:w="993" w:type="dxa"/>
            <w:tcBorders>
              <w:top w:val="nil"/>
              <w:left w:val="single" w:sz="4" w:space="0" w:color="auto"/>
              <w:bottom w:val="nil"/>
              <w:right w:val="single" w:sz="4" w:space="0" w:color="auto"/>
            </w:tcBorders>
            <w:shd w:val="clear" w:color="auto" w:fill="auto"/>
            <w:vAlign w:val="center"/>
          </w:tcPr>
          <w:p w14:paraId="0CB89ABF" w14:textId="77777777" w:rsidR="00DB215C" w:rsidRPr="00DB215C" w:rsidRDefault="00DB215C" w:rsidP="00DB215C">
            <w:pPr>
              <w:spacing w:before="40" w:after="40"/>
              <w:ind w:right="170"/>
              <w:jc w:val="right"/>
              <w:rPr>
                <w:rFonts w:eastAsia="Calibri"/>
                <w:sz w:val="18"/>
                <w:szCs w:val="18"/>
                <w:lang w:val="en-US" w:eastAsia="en-US"/>
              </w:rPr>
            </w:pPr>
            <w:r w:rsidRPr="00DB215C">
              <w:rPr>
                <w:rFonts w:eastAsia="Calibri"/>
                <w:sz w:val="18"/>
                <w:szCs w:val="18"/>
                <w:lang w:val="en-US" w:eastAsia="en-US"/>
              </w:rPr>
              <w:t>10.8</w:t>
            </w:r>
          </w:p>
        </w:tc>
        <w:tc>
          <w:tcPr>
            <w:tcW w:w="992" w:type="dxa"/>
            <w:tcBorders>
              <w:top w:val="nil"/>
              <w:left w:val="single" w:sz="4" w:space="0" w:color="auto"/>
              <w:bottom w:val="nil"/>
              <w:right w:val="single" w:sz="4" w:space="0" w:color="auto"/>
            </w:tcBorders>
            <w:shd w:val="clear" w:color="auto" w:fill="auto"/>
            <w:vAlign w:val="center"/>
          </w:tcPr>
          <w:p w14:paraId="21153880" w14:textId="77777777" w:rsidR="00DB215C" w:rsidRPr="00DB215C" w:rsidRDefault="00DB215C" w:rsidP="00DB215C">
            <w:pPr>
              <w:spacing w:before="40" w:after="40"/>
              <w:ind w:right="284"/>
              <w:jc w:val="right"/>
              <w:rPr>
                <w:rFonts w:eastAsia="Calibri"/>
                <w:bCs/>
                <w:sz w:val="18"/>
                <w:szCs w:val="18"/>
                <w:lang w:val="en-US" w:eastAsia="en-US"/>
              </w:rPr>
            </w:pPr>
            <w:r w:rsidRPr="00DB215C">
              <w:rPr>
                <w:rFonts w:eastAsia="Calibri"/>
                <w:bCs/>
                <w:sz w:val="18"/>
                <w:szCs w:val="18"/>
                <w:lang w:val="en-US" w:eastAsia="en-US"/>
              </w:rPr>
              <w:t>3.3</w:t>
            </w:r>
          </w:p>
        </w:tc>
      </w:tr>
      <w:tr w:rsidR="00DB215C" w:rsidRPr="00DB215C" w14:paraId="2E7A6EC6" w14:textId="77777777" w:rsidTr="00DB215C">
        <w:trPr>
          <w:trHeight w:val="271"/>
          <w:jc w:val="center"/>
        </w:trPr>
        <w:tc>
          <w:tcPr>
            <w:tcW w:w="3283" w:type="dxa"/>
            <w:tcBorders>
              <w:top w:val="nil"/>
              <w:left w:val="single" w:sz="4" w:space="0" w:color="auto"/>
              <w:bottom w:val="nil"/>
              <w:right w:val="single" w:sz="4" w:space="0" w:color="auto"/>
            </w:tcBorders>
            <w:shd w:val="clear" w:color="auto" w:fill="auto"/>
            <w:vAlign w:val="center"/>
          </w:tcPr>
          <w:p w14:paraId="21DF8770" w14:textId="77777777" w:rsidR="00DB215C" w:rsidRPr="00DB215C" w:rsidRDefault="00DB215C" w:rsidP="00DB215C">
            <w:pPr>
              <w:ind w:left="170"/>
              <w:rPr>
                <w:rFonts w:eastAsia="Calibri"/>
                <w:bCs/>
                <w:sz w:val="18"/>
                <w:szCs w:val="18"/>
                <w:lang w:val="en-US" w:eastAsia="en-US"/>
              </w:rPr>
            </w:pPr>
            <w:r w:rsidRPr="00DB215C">
              <w:rPr>
                <w:rFonts w:eastAsia="Calibri"/>
                <w:bCs/>
                <w:sz w:val="18"/>
                <w:szCs w:val="18"/>
                <w:lang w:val="en-US" w:eastAsia="en-US"/>
              </w:rPr>
              <w:t>Entidades financieras</w:t>
            </w:r>
          </w:p>
        </w:tc>
        <w:tc>
          <w:tcPr>
            <w:tcW w:w="1134" w:type="dxa"/>
            <w:tcBorders>
              <w:left w:val="single" w:sz="4" w:space="0" w:color="auto"/>
              <w:right w:val="single" w:sz="4" w:space="0" w:color="auto"/>
            </w:tcBorders>
            <w:shd w:val="clear" w:color="auto" w:fill="auto"/>
            <w:vAlign w:val="center"/>
          </w:tcPr>
          <w:p w14:paraId="175B8A77" w14:textId="77777777" w:rsidR="00DB215C" w:rsidRPr="00DB215C" w:rsidRDefault="00DB215C" w:rsidP="00DB215C">
            <w:pPr>
              <w:spacing w:before="40" w:after="40"/>
              <w:ind w:right="227"/>
              <w:jc w:val="right"/>
              <w:rPr>
                <w:rFonts w:eastAsia="Calibri"/>
                <w:sz w:val="18"/>
                <w:szCs w:val="18"/>
                <w:lang w:val="en-US" w:eastAsia="en-US"/>
              </w:rPr>
            </w:pPr>
            <w:r w:rsidRPr="00DB215C">
              <w:rPr>
                <w:rFonts w:eastAsia="Calibri"/>
                <w:sz w:val="18"/>
                <w:szCs w:val="18"/>
                <w:lang w:val="en-US" w:eastAsia="en-US"/>
              </w:rPr>
              <w:t>110</w:t>
            </w:r>
          </w:p>
        </w:tc>
        <w:tc>
          <w:tcPr>
            <w:tcW w:w="1253" w:type="dxa"/>
            <w:tcBorders>
              <w:top w:val="nil"/>
              <w:left w:val="single" w:sz="4" w:space="0" w:color="auto"/>
              <w:bottom w:val="nil"/>
              <w:right w:val="single" w:sz="4" w:space="0" w:color="auto"/>
            </w:tcBorders>
            <w:shd w:val="clear" w:color="auto" w:fill="auto"/>
            <w:vAlign w:val="center"/>
          </w:tcPr>
          <w:p w14:paraId="2DDBA23E" w14:textId="77777777" w:rsidR="00DB215C" w:rsidRPr="00DB215C" w:rsidRDefault="00DB215C" w:rsidP="00DB215C">
            <w:pPr>
              <w:spacing w:before="40" w:after="40"/>
              <w:ind w:right="227"/>
              <w:jc w:val="right"/>
              <w:rPr>
                <w:rFonts w:eastAsia="Calibri"/>
                <w:sz w:val="18"/>
                <w:szCs w:val="18"/>
                <w:lang w:val="en-US" w:eastAsia="en-US"/>
              </w:rPr>
            </w:pPr>
            <w:r w:rsidRPr="00DB215C">
              <w:rPr>
                <w:rFonts w:eastAsia="Calibri"/>
                <w:sz w:val="18"/>
                <w:szCs w:val="18"/>
                <w:lang w:val="en-US" w:eastAsia="en-US"/>
              </w:rPr>
              <w:t>120</w:t>
            </w:r>
          </w:p>
        </w:tc>
        <w:tc>
          <w:tcPr>
            <w:tcW w:w="1134" w:type="dxa"/>
            <w:tcBorders>
              <w:left w:val="single" w:sz="4" w:space="0" w:color="auto"/>
              <w:right w:val="single" w:sz="4" w:space="0" w:color="auto"/>
            </w:tcBorders>
            <w:shd w:val="clear" w:color="auto" w:fill="auto"/>
            <w:vAlign w:val="center"/>
          </w:tcPr>
          <w:p w14:paraId="5DEBE20A" w14:textId="77777777" w:rsidR="00DB215C" w:rsidRPr="00DB215C" w:rsidRDefault="00DB215C" w:rsidP="00DB215C">
            <w:pPr>
              <w:spacing w:before="40" w:after="40"/>
              <w:ind w:right="227"/>
              <w:jc w:val="right"/>
              <w:rPr>
                <w:rFonts w:eastAsia="Calibri"/>
                <w:sz w:val="18"/>
                <w:szCs w:val="18"/>
                <w:lang w:val="en-US" w:eastAsia="en-US"/>
              </w:rPr>
            </w:pPr>
            <w:r w:rsidRPr="00DB215C">
              <w:rPr>
                <w:rFonts w:eastAsia="Calibri"/>
                <w:sz w:val="18"/>
                <w:szCs w:val="18"/>
                <w:lang w:val="en-US" w:eastAsia="en-US"/>
              </w:rPr>
              <w:t>117</w:t>
            </w:r>
          </w:p>
        </w:tc>
        <w:tc>
          <w:tcPr>
            <w:tcW w:w="993" w:type="dxa"/>
            <w:tcBorders>
              <w:top w:val="nil"/>
              <w:left w:val="single" w:sz="4" w:space="0" w:color="auto"/>
              <w:bottom w:val="nil"/>
              <w:right w:val="single" w:sz="4" w:space="0" w:color="auto"/>
            </w:tcBorders>
            <w:shd w:val="clear" w:color="auto" w:fill="auto"/>
            <w:vAlign w:val="center"/>
          </w:tcPr>
          <w:p w14:paraId="3D4B7858" w14:textId="77777777" w:rsidR="00DB215C" w:rsidRPr="00DB215C" w:rsidRDefault="00DB215C" w:rsidP="00DB215C">
            <w:pPr>
              <w:spacing w:before="40" w:after="40"/>
              <w:ind w:right="170"/>
              <w:jc w:val="right"/>
              <w:rPr>
                <w:rFonts w:eastAsia="Calibri"/>
                <w:sz w:val="18"/>
                <w:szCs w:val="18"/>
                <w:lang w:val="en-US" w:eastAsia="en-US"/>
              </w:rPr>
            </w:pPr>
            <w:r w:rsidRPr="00DB215C">
              <w:rPr>
                <w:rFonts w:eastAsia="Calibri"/>
                <w:sz w:val="18"/>
                <w:szCs w:val="18"/>
                <w:lang w:val="en-US" w:eastAsia="en-US"/>
              </w:rPr>
              <w:t>6.4</w:t>
            </w:r>
          </w:p>
        </w:tc>
        <w:tc>
          <w:tcPr>
            <w:tcW w:w="992" w:type="dxa"/>
            <w:tcBorders>
              <w:top w:val="nil"/>
              <w:left w:val="single" w:sz="4" w:space="0" w:color="auto"/>
              <w:bottom w:val="nil"/>
              <w:right w:val="single" w:sz="4" w:space="0" w:color="auto"/>
            </w:tcBorders>
            <w:shd w:val="clear" w:color="auto" w:fill="auto"/>
            <w:vAlign w:val="center"/>
          </w:tcPr>
          <w:p w14:paraId="1354923A" w14:textId="77777777" w:rsidR="00DB215C" w:rsidRPr="00DB215C" w:rsidRDefault="00DB215C" w:rsidP="00DB215C">
            <w:pPr>
              <w:spacing w:before="40" w:after="40"/>
              <w:ind w:right="284"/>
              <w:jc w:val="right"/>
              <w:rPr>
                <w:rFonts w:eastAsia="Calibri"/>
                <w:bCs/>
                <w:sz w:val="18"/>
                <w:szCs w:val="18"/>
                <w:lang w:val="en-US" w:eastAsia="en-US"/>
              </w:rPr>
            </w:pPr>
            <w:r w:rsidRPr="00DB215C">
              <w:rPr>
                <w:rFonts w:eastAsia="Calibri"/>
                <w:bCs/>
                <w:sz w:val="18"/>
                <w:szCs w:val="18"/>
                <w:lang w:val="en-US" w:eastAsia="en-US"/>
              </w:rPr>
              <w:t>-2.3</w:t>
            </w:r>
          </w:p>
        </w:tc>
      </w:tr>
      <w:tr w:rsidR="00DB215C" w:rsidRPr="00DB215C" w14:paraId="054779AA" w14:textId="77777777" w:rsidTr="00DB215C">
        <w:trPr>
          <w:trHeight w:val="271"/>
          <w:jc w:val="center"/>
        </w:trPr>
        <w:tc>
          <w:tcPr>
            <w:tcW w:w="3283" w:type="dxa"/>
            <w:tcBorders>
              <w:top w:val="nil"/>
              <w:left w:val="single" w:sz="4" w:space="0" w:color="auto"/>
              <w:bottom w:val="nil"/>
              <w:right w:val="single" w:sz="4" w:space="0" w:color="auto"/>
            </w:tcBorders>
            <w:shd w:val="clear" w:color="auto" w:fill="auto"/>
            <w:vAlign w:val="center"/>
          </w:tcPr>
          <w:p w14:paraId="29F86225" w14:textId="77777777" w:rsidR="00DB215C" w:rsidRPr="00DB215C" w:rsidRDefault="00DB215C" w:rsidP="00DB215C">
            <w:pPr>
              <w:ind w:left="170"/>
              <w:rPr>
                <w:rFonts w:eastAsia="Calibri"/>
                <w:bCs/>
                <w:sz w:val="18"/>
                <w:szCs w:val="18"/>
                <w:lang w:val="en-US" w:eastAsia="en-US"/>
              </w:rPr>
            </w:pPr>
            <w:r w:rsidRPr="00DB215C">
              <w:rPr>
                <w:rFonts w:eastAsia="Calibri"/>
                <w:bCs/>
                <w:sz w:val="18"/>
                <w:szCs w:val="18"/>
                <w:lang w:val="en-US" w:eastAsia="en-US"/>
              </w:rPr>
              <w:t>Entidades gubernamentales</w:t>
            </w:r>
          </w:p>
        </w:tc>
        <w:tc>
          <w:tcPr>
            <w:tcW w:w="1134" w:type="dxa"/>
            <w:tcBorders>
              <w:left w:val="single" w:sz="4" w:space="0" w:color="auto"/>
              <w:right w:val="single" w:sz="4" w:space="0" w:color="auto"/>
            </w:tcBorders>
            <w:shd w:val="clear" w:color="auto" w:fill="auto"/>
            <w:vAlign w:val="center"/>
          </w:tcPr>
          <w:p w14:paraId="38D9F278" w14:textId="77777777" w:rsidR="00DB215C" w:rsidRPr="00DB215C" w:rsidRDefault="00DB215C" w:rsidP="00DB215C">
            <w:pPr>
              <w:spacing w:before="40" w:after="40"/>
              <w:ind w:right="227"/>
              <w:jc w:val="right"/>
              <w:rPr>
                <w:rFonts w:eastAsia="Calibri"/>
                <w:sz w:val="18"/>
                <w:szCs w:val="18"/>
                <w:lang w:val="en-US" w:eastAsia="en-US"/>
              </w:rPr>
            </w:pPr>
            <w:r w:rsidRPr="00DB215C">
              <w:rPr>
                <w:rFonts w:eastAsia="Calibri"/>
                <w:sz w:val="18"/>
                <w:szCs w:val="18"/>
                <w:lang w:val="en-US" w:eastAsia="en-US"/>
              </w:rPr>
              <w:t>403</w:t>
            </w:r>
          </w:p>
        </w:tc>
        <w:tc>
          <w:tcPr>
            <w:tcW w:w="1253" w:type="dxa"/>
            <w:tcBorders>
              <w:top w:val="nil"/>
              <w:left w:val="single" w:sz="4" w:space="0" w:color="auto"/>
              <w:bottom w:val="nil"/>
              <w:right w:val="single" w:sz="4" w:space="0" w:color="auto"/>
            </w:tcBorders>
            <w:shd w:val="clear" w:color="auto" w:fill="auto"/>
            <w:vAlign w:val="center"/>
          </w:tcPr>
          <w:p w14:paraId="1C37B4F2" w14:textId="77777777" w:rsidR="00DB215C" w:rsidRPr="00DB215C" w:rsidRDefault="00DB215C" w:rsidP="00DB215C">
            <w:pPr>
              <w:spacing w:before="40" w:after="40"/>
              <w:ind w:right="227"/>
              <w:jc w:val="right"/>
              <w:rPr>
                <w:rFonts w:eastAsia="Calibri"/>
                <w:sz w:val="18"/>
                <w:szCs w:val="18"/>
                <w:lang w:val="en-US" w:eastAsia="en-US"/>
              </w:rPr>
            </w:pPr>
            <w:r w:rsidRPr="00DB215C">
              <w:rPr>
                <w:rFonts w:eastAsia="Calibri"/>
                <w:sz w:val="18"/>
                <w:szCs w:val="18"/>
                <w:lang w:val="en-US" w:eastAsia="en-US"/>
              </w:rPr>
              <w:t>473</w:t>
            </w:r>
          </w:p>
        </w:tc>
        <w:tc>
          <w:tcPr>
            <w:tcW w:w="1134" w:type="dxa"/>
            <w:tcBorders>
              <w:left w:val="single" w:sz="4" w:space="0" w:color="auto"/>
              <w:right w:val="single" w:sz="4" w:space="0" w:color="auto"/>
            </w:tcBorders>
            <w:shd w:val="clear" w:color="auto" w:fill="auto"/>
            <w:vAlign w:val="center"/>
          </w:tcPr>
          <w:p w14:paraId="2025691B" w14:textId="77777777" w:rsidR="00DB215C" w:rsidRPr="00DB215C" w:rsidRDefault="00DB215C" w:rsidP="00DB215C">
            <w:pPr>
              <w:spacing w:before="40" w:after="40"/>
              <w:ind w:right="227"/>
              <w:jc w:val="right"/>
              <w:rPr>
                <w:rFonts w:eastAsia="Calibri"/>
                <w:sz w:val="18"/>
                <w:szCs w:val="18"/>
                <w:lang w:val="en-US" w:eastAsia="en-US"/>
              </w:rPr>
            </w:pPr>
            <w:r w:rsidRPr="00DB215C">
              <w:rPr>
                <w:rFonts w:eastAsia="Calibri"/>
                <w:sz w:val="18"/>
                <w:szCs w:val="18"/>
                <w:lang w:val="en-US" w:eastAsia="en-US"/>
              </w:rPr>
              <w:t>518</w:t>
            </w:r>
          </w:p>
        </w:tc>
        <w:tc>
          <w:tcPr>
            <w:tcW w:w="993" w:type="dxa"/>
            <w:tcBorders>
              <w:top w:val="nil"/>
              <w:left w:val="single" w:sz="4" w:space="0" w:color="auto"/>
              <w:bottom w:val="nil"/>
              <w:right w:val="single" w:sz="4" w:space="0" w:color="auto"/>
            </w:tcBorders>
            <w:shd w:val="clear" w:color="auto" w:fill="auto"/>
            <w:vAlign w:val="center"/>
          </w:tcPr>
          <w:p w14:paraId="563DE555" w14:textId="77777777" w:rsidR="00DB215C" w:rsidRPr="00DB215C" w:rsidRDefault="00DB215C" w:rsidP="00DB215C">
            <w:pPr>
              <w:spacing w:before="40" w:after="40"/>
              <w:ind w:right="170"/>
              <w:jc w:val="right"/>
              <w:rPr>
                <w:rFonts w:eastAsia="Calibri"/>
                <w:sz w:val="18"/>
                <w:szCs w:val="18"/>
                <w:lang w:val="en-US" w:eastAsia="en-US"/>
              </w:rPr>
            </w:pPr>
            <w:r w:rsidRPr="00DB215C">
              <w:rPr>
                <w:rFonts w:eastAsia="Calibri"/>
                <w:sz w:val="18"/>
                <w:szCs w:val="18"/>
                <w:lang w:val="en-US" w:eastAsia="en-US"/>
              </w:rPr>
              <w:t>28.4</w:t>
            </w:r>
          </w:p>
        </w:tc>
        <w:tc>
          <w:tcPr>
            <w:tcW w:w="992" w:type="dxa"/>
            <w:tcBorders>
              <w:top w:val="nil"/>
              <w:left w:val="single" w:sz="4" w:space="0" w:color="auto"/>
              <w:bottom w:val="nil"/>
              <w:right w:val="single" w:sz="4" w:space="0" w:color="auto"/>
            </w:tcBorders>
            <w:shd w:val="clear" w:color="auto" w:fill="auto"/>
            <w:vAlign w:val="center"/>
          </w:tcPr>
          <w:p w14:paraId="1F93D462" w14:textId="77777777" w:rsidR="00DB215C" w:rsidRPr="00DB215C" w:rsidRDefault="00DB215C" w:rsidP="00DB215C">
            <w:pPr>
              <w:spacing w:before="40" w:after="40"/>
              <w:ind w:right="284"/>
              <w:jc w:val="right"/>
              <w:rPr>
                <w:rFonts w:eastAsia="Calibri"/>
                <w:bCs/>
                <w:sz w:val="18"/>
                <w:szCs w:val="18"/>
                <w:lang w:val="en-US" w:eastAsia="en-US"/>
              </w:rPr>
            </w:pPr>
            <w:r w:rsidRPr="00DB215C">
              <w:rPr>
                <w:rFonts w:eastAsia="Calibri"/>
                <w:bCs/>
                <w:sz w:val="18"/>
                <w:szCs w:val="18"/>
                <w:lang w:val="en-US" w:eastAsia="en-US"/>
              </w:rPr>
              <w:t>9.4</w:t>
            </w:r>
          </w:p>
        </w:tc>
      </w:tr>
      <w:tr w:rsidR="00DB215C" w:rsidRPr="00DB215C" w14:paraId="46CA530D" w14:textId="77777777" w:rsidTr="00DB215C">
        <w:trPr>
          <w:trHeight w:val="261"/>
          <w:jc w:val="center"/>
        </w:trPr>
        <w:tc>
          <w:tcPr>
            <w:tcW w:w="3283" w:type="dxa"/>
            <w:tcBorders>
              <w:top w:val="nil"/>
              <w:left w:val="single" w:sz="4" w:space="0" w:color="auto"/>
              <w:bottom w:val="nil"/>
              <w:right w:val="single" w:sz="4" w:space="0" w:color="auto"/>
            </w:tcBorders>
            <w:shd w:val="clear" w:color="auto" w:fill="auto"/>
            <w:vAlign w:val="center"/>
          </w:tcPr>
          <w:p w14:paraId="22131BDE" w14:textId="77777777" w:rsidR="00DB215C" w:rsidRPr="00DB215C" w:rsidRDefault="00DB215C" w:rsidP="00DB215C">
            <w:pPr>
              <w:ind w:left="340"/>
              <w:rPr>
                <w:rFonts w:eastAsia="Calibri"/>
                <w:bCs/>
                <w:sz w:val="18"/>
                <w:szCs w:val="18"/>
                <w:lang w:eastAsia="en-US"/>
              </w:rPr>
            </w:pPr>
            <w:r w:rsidRPr="00DB215C">
              <w:rPr>
                <w:rFonts w:eastAsia="Calibri"/>
                <w:bCs/>
                <w:sz w:val="18"/>
                <w:szCs w:val="18"/>
                <w:lang w:eastAsia="en-US"/>
              </w:rPr>
              <w:t>Créditos al Gobierno Federal o con su garantía</w:t>
            </w:r>
          </w:p>
        </w:tc>
        <w:tc>
          <w:tcPr>
            <w:tcW w:w="1134" w:type="dxa"/>
            <w:tcBorders>
              <w:left w:val="single" w:sz="4" w:space="0" w:color="auto"/>
              <w:right w:val="single" w:sz="4" w:space="0" w:color="auto"/>
            </w:tcBorders>
            <w:shd w:val="clear" w:color="auto" w:fill="auto"/>
            <w:vAlign w:val="center"/>
          </w:tcPr>
          <w:p w14:paraId="5220D476" w14:textId="77777777" w:rsidR="00DB215C" w:rsidRPr="00DB215C" w:rsidRDefault="00DB215C" w:rsidP="00DB215C">
            <w:pPr>
              <w:spacing w:before="40" w:after="40"/>
              <w:ind w:right="227"/>
              <w:jc w:val="right"/>
              <w:rPr>
                <w:rFonts w:eastAsia="Calibri"/>
                <w:sz w:val="18"/>
                <w:szCs w:val="18"/>
                <w:lang w:eastAsia="en-US"/>
              </w:rPr>
            </w:pPr>
            <w:r w:rsidRPr="00DB215C">
              <w:rPr>
                <w:rFonts w:eastAsia="Calibri"/>
                <w:sz w:val="18"/>
                <w:szCs w:val="18"/>
                <w:lang w:eastAsia="en-US"/>
              </w:rPr>
              <w:t>30</w:t>
            </w:r>
          </w:p>
        </w:tc>
        <w:tc>
          <w:tcPr>
            <w:tcW w:w="1253" w:type="dxa"/>
            <w:tcBorders>
              <w:top w:val="nil"/>
              <w:left w:val="single" w:sz="4" w:space="0" w:color="auto"/>
              <w:bottom w:val="nil"/>
              <w:right w:val="single" w:sz="4" w:space="0" w:color="auto"/>
            </w:tcBorders>
            <w:shd w:val="clear" w:color="auto" w:fill="auto"/>
            <w:vAlign w:val="center"/>
          </w:tcPr>
          <w:p w14:paraId="50839147" w14:textId="77777777" w:rsidR="00DB215C" w:rsidRPr="00DB215C" w:rsidRDefault="00DB215C" w:rsidP="00DB215C">
            <w:pPr>
              <w:spacing w:before="40" w:after="40"/>
              <w:ind w:right="227"/>
              <w:jc w:val="right"/>
              <w:rPr>
                <w:rFonts w:eastAsia="Calibri"/>
                <w:sz w:val="18"/>
                <w:szCs w:val="18"/>
                <w:lang w:eastAsia="en-US"/>
              </w:rPr>
            </w:pPr>
            <w:r w:rsidRPr="00DB215C">
              <w:rPr>
                <w:rFonts w:eastAsia="Calibri"/>
                <w:sz w:val="18"/>
                <w:szCs w:val="18"/>
                <w:lang w:eastAsia="en-US"/>
              </w:rPr>
              <w:t>39</w:t>
            </w:r>
          </w:p>
        </w:tc>
        <w:tc>
          <w:tcPr>
            <w:tcW w:w="1134" w:type="dxa"/>
            <w:tcBorders>
              <w:left w:val="single" w:sz="4" w:space="0" w:color="auto"/>
              <w:right w:val="single" w:sz="4" w:space="0" w:color="auto"/>
            </w:tcBorders>
            <w:shd w:val="clear" w:color="auto" w:fill="auto"/>
            <w:vAlign w:val="center"/>
          </w:tcPr>
          <w:p w14:paraId="62692589" w14:textId="77777777" w:rsidR="00DB215C" w:rsidRPr="00DB215C" w:rsidRDefault="00DB215C" w:rsidP="00DB215C">
            <w:pPr>
              <w:spacing w:before="40" w:after="40"/>
              <w:ind w:right="227"/>
              <w:jc w:val="right"/>
              <w:rPr>
                <w:rFonts w:eastAsia="Calibri"/>
                <w:sz w:val="18"/>
                <w:szCs w:val="18"/>
                <w:lang w:eastAsia="en-US"/>
              </w:rPr>
            </w:pPr>
            <w:r w:rsidRPr="00DB215C">
              <w:rPr>
                <w:rFonts w:eastAsia="Calibri"/>
                <w:sz w:val="18"/>
                <w:szCs w:val="18"/>
                <w:lang w:eastAsia="en-US"/>
              </w:rPr>
              <w:t>49</w:t>
            </w:r>
          </w:p>
        </w:tc>
        <w:tc>
          <w:tcPr>
            <w:tcW w:w="993" w:type="dxa"/>
            <w:tcBorders>
              <w:top w:val="nil"/>
              <w:left w:val="single" w:sz="4" w:space="0" w:color="auto"/>
              <w:bottom w:val="nil"/>
              <w:right w:val="single" w:sz="4" w:space="0" w:color="auto"/>
            </w:tcBorders>
            <w:shd w:val="clear" w:color="auto" w:fill="auto"/>
            <w:vAlign w:val="center"/>
          </w:tcPr>
          <w:p w14:paraId="76D1E351" w14:textId="77777777" w:rsidR="00DB215C" w:rsidRPr="00DB215C" w:rsidRDefault="00DB215C" w:rsidP="00DB215C">
            <w:pPr>
              <w:spacing w:before="40" w:after="40"/>
              <w:ind w:right="170"/>
              <w:jc w:val="right"/>
              <w:rPr>
                <w:rFonts w:eastAsia="Calibri"/>
                <w:sz w:val="18"/>
                <w:szCs w:val="18"/>
                <w:lang w:eastAsia="en-US"/>
              </w:rPr>
            </w:pPr>
            <w:r w:rsidRPr="00DB215C">
              <w:rPr>
                <w:rFonts w:eastAsia="Calibri"/>
                <w:sz w:val="18"/>
                <w:szCs w:val="18"/>
                <w:lang w:eastAsia="en-US"/>
              </w:rPr>
              <w:t>65.4</w:t>
            </w:r>
          </w:p>
        </w:tc>
        <w:tc>
          <w:tcPr>
            <w:tcW w:w="992" w:type="dxa"/>
            <w:tcBorders>
              <w:top w:val="nil"/>
              <w:left w:val="single" w:sz="4" w:space="0" w:color="auto"/>
              <w:bottom w:val="nil"/>
              <w:right w:val="single" w:sz="4" w:space="0" w:color="auto"/>
            </w:tcBorders>
            <w:shd w:val="clear" w:color="auto" w:fill="auto"/>
            <w:vAlign w:val="center"/>
          </w:tcPr>
          <w:p w14:paraId="6D0A7F80" w14:textId="77777777" w:rsidR="00DB215C" w:rsidRPr="00DB215C" w:rsidRDefault="00DB215C" w:rsidP="00DB215C">
            <w:pPr>
              <w:spacing w:before="40" w:after="40"/>
              <w:ind w:right="284"/>
              <w:jc w:val="right"/>
              <w:rPr>
                <w:rFonts w:eastAsia="Calibri"/>
                <w:bCs/>
                <w:sz w:val="18"/>
                <w:szCs w:val="18"/>
                <w:lang w:eastAsia="en-US"/>
              </w:rPr>
            </w:pPr>
            <w:r w:rsidRPr="00DB215C">
              <w:rPr>
                <w:rFonts w:eastAsia="Calibri"/>
                <w:bCs/>
                <w:sz w:val="18"/>
                <w:szCs w:val="18"/>
                <w:lang w:eastAsia="en-US"/>
              </w:rPr>
              <w:t>28.1</w:t>
            </w:r>
          </w:p>
        </w:tc>
      </w:tr>
      <w:tr w:rsidR="00DB215C" w:rsidRPr="00DB215C" w14:paraId="465F5260" w14:textId="77777777" w:rsidTr="00DB215C">
        <w:trPr>
          <w:trHeight w:val="261"/>
          <w:jc w:val="center"/>
        </w:trPr>
        <w:tc>
          <w:tcPr>
            <w:tcW w:w="3283" w:type="dxa"/>
            <w:tcBorders>
              <w:top w:val="nil"/>
              <w:left w:val="single" w:sz="4" w:space="0" w:color="auto"/>
              <w:bottom w:val="nil"/>
              <w:right w:val="single" w:sz="4" w:space="0" w:color="auto"/>
            </w:tcBorders>
            <w:shd w:val="clear" w:color="auto" w:fill="auto"/>
            <w:vAlign w:val="center"/>
          </w:tcPr>
          <w:p w14:paraId="5AE0F5CF" w14:textId="77777777" w:rsidR="00DB215C" w:rsidRPr="00DB215C" w:rsidRDefault="00DB215C" w:rsidP="00DB215C">
            <w:pPr>
              <w:ind w:left="340"/>
              <w:rPr>
                <w:rFonts w:eastAsia="Calibri"/>
                <w:bCs/>
                <w:sz w:val="18"/>
                <w:szCs w:val="18"/>
                <w:lang w:eastAsia="en-US"/>
              </w:rPr>
            </w:pPr>
            <w:r w:rsidRPr="00DB215C">
              <w:rPr>
                <w:rFonts w:eastAsia="Calibri"/>
                <w:bCs/>
                <w:sz w:val="18"/>
                <w:szCs w:val="18"/>
                <w:lang w:eastAsia="en-US"/>
              </w:rPr>
              <w:t>Créditos a estados y municipios o con su garantía</w:t>
            </w:r>
          </w:p>
        </w:tc>
        <w:tc>
          <w:tcPr>
            <w:tcW w:w="1134" w:type="dxa"/>
            <w:tcBorders>
              <w:left w:val="single" w:sz="4" w:space="0" w:color="auto"/>
              <w:right w:val="single" w:sz="4" w:space="0" w:color="auto"/>
            </w:tcBorders>
            <w:shd w:val="clear" w:color="auto" w:fill="auto"/>
            <w:vAlign w:val="center"/>
          </w:tcPr>
          <w:p w14:paraId="0342E91C" w14:textId="77777777" w:rsidR="00DB215C" w:rsidRPr="00DB215C" w:rsidRDefault="00DB215C" w:rsidP="00DB215C">
            <w:pPr>
              <w:spacing w:before="40" w:after="40"/>
              <w:ind w:right="227"/>
              <w:jc w:val="right"/>
              <w:rPr>
                <w:rFonts w:eastAsia="Calibri"/>
                <w:sz w:val="18"/>
                <w:szCs w:val="18"/>
                <w:lang w:eastAsia="en-US"/>
              </w:rPr>
            </w:pPr>
            <w:r w:rsidRPr="00DB215C">
              <w:rPr>
                <w:rFonts w:eastAsia="Calibri"/>
                <w:sz w:val="18"/>
                <w:szCs w:val="18"/>
                <w:lang w:eastAsia="en-US"/>
              </w:rPr>
              <w:t>286</w:t>
            </w:r>
          </w:p>
        </w:tc>
        <w:tc>
          <w:tcPr>
            <w:tcW w:w="1253" w:type="dxa"/>
            <w:tcBorders>
              <w:top w:val="nil"/>
              <w:left w:val="single" w:sz="4" w:space="0" w:color="auto"/>
              <w:bottom w:val="nil"/>
              <w:right w:val="single" w:sz="4" w:space="0" w:color="auto"/>
            </w:tcBorders>
            <w:shd w:val="clear" w:color="auto" w:fill="auto"/>
            <w:vAlign w:val="center"/>
          </w:tcPr>
          <w:p w14:paraId="38F581A8" w14:textId="77777777" w:rsidR="00DB215C" w:rsidRPr="00DB215C" w:rsidRDefault="00DB215C" w:rsidP="00DB215C">
            <w:pPr>
              <w:spacing w:before="40" w:after="40"/>
              <w:ind w:right="227"/>
              <w:jc w:val="right"/>
              <w:rPr>
                <w:rFonts w:eastAsia="Calibri"/>
                <w:sz w:val="18"/>
                <w:szCs w:val="18"/>
                <w:lang w:eastAsia="en-US"/>
              </w:rPr>
            </w:pPr>
            <w:r w:rsidRPr="00DB215C">
              <w:rPr>
                <w:rFonts w:eastAsia="Calibri"/>
                <w:sz w:val="18"/>
                <w:szCs w:val="18"/>
                <w:lang w:eastAsia="en-US"/>
              </w:rPr>
              <w:t>297</w:t>
            </w:r>
          </w:p>
        </w:tc>
        <w:tc>
          <w:tcPr>
            <w:tcW w:w="1134" w:type="dxa"/>
            <w:tcBorders>
              <w:left w:val="single" w:sz="4" w:space="0" w:color="auto"/>
              <w:right w:val="single" w:sz="4" w:space="0" w:color="auto"/>
            </w:tcBorders>
            <w:shd w:val="clear" w:color="auto" w:fill="auto"/>
            <w:vAlign w:val="center"/>
          </w:tcPr>
          <w:p w14:paraId="3D7BE380" w14:textId="77777777" w:rsidR="00DB215C" w:rsidRPr="00DB215C" w:rsidRDefault="00DB215C" w:rsidP="00DB215C">
            <w:pPr>
              <w:spacing w:before="40" w:after="40"/>
              <w:ind w:right="227"/>
              <w:jc w:val="right"/>
              <w:rPr>
                <w:rFonts w:eastAsia="Calibri"/>
                <w:sz w:val="18"/>
                <w:szCs w:val="18"/>
                <w:lang w:eastAsia="en-US"/>
              </w:rPr>
            </w:pPr>
            <w:r w:rsidRPr="00DB215C">
              <w:rPr>
                <w:rFonts w:eastAsia="Calibri"/>
                <w:sz w:val="18"/>
                <w:szCs w:val="18"/>
                <w:lang w:eastAsia="en-US"/>
              </w:rPr>
              <w:t>306</w:t>
            </w:r>
          </w:p>
        </w:tc>
        <w:tc>
          <w:tcPr>
            <w:tcW w:w="993" w:type="dxa"/>
            <w:tcBorders>
              <w:top w:val="nil"/>
              <w:left w:val="single" w:sz="4" w:space="0" w:color="auto"/>
              <w:bottom w:val="nil"/>
              <w:right w:val="single" w:sz="4" w:space="0" w:color="auto"/>
            </w:tcBorders>
            <w:shd w:val="clear" w:color="auto" w:fill="auto"/>
            <w:vAlign w:val="center"/>
          </w:tcPr>
          <w:p w14:paraId="54D36B55" w14:textId="77777777" w:rsidR="00DB215C" w:rsidRPr="00DB215C" w:rsidRDefault="00DB215C" w:rsidP="00DB215C">
            <w:pPr>
              <w:spacing w:before="40" w:after="40"/>
              <w:ind w:right="170"/>
              <w:jc w:val="right"/>
              <w:rPr>
                <w:rFonts w:eastAsia="Calibri"/>
                <w:sz w:val="18"/>
                <w:szCs w:val="18"/>
                <w:lang w:eastAsia="en-US"/>
              </w:rPr>
            </w:pPr>
            <w:r w:rsidRPr="00DB215C">
              <w:rPr>
                <w:rFonts w:eastAsia="Calibri"/>
                <w:sz w:val="18"/>
                <w:szCs w:val="18"/>
                <w:lang w:eastAsia="en-US"/>
              </w:rPr>
              <w:t>7.0</w:t>
            </w:r>
          </w:p>
        </w:tc>
        <w:tc>
          <w:tcPr>
            <w:tcW w:w="992" w:type="dxa"/>
            <w:tcBorders>
              <w:top w:val="nil"/>
              <w:left w:val="single" w:sz="4" w:space="0" w:color="auto"/>
              <w:bottom w:val="nil"/>
              <w:right w:val="single" w:sz="4" w:space="0" w:color="auto"/>
            </w:tcBorders>
            <w:shd w:val="clear" w:color="auto" w:fill="auto"/>
            <w:vAlign w:val="center"/>
          </w:tcPr>
          <w:p w14:paraId="4DC980CF" w14:textId="77777777" w:rsidR="00DB215C" w:rsidRPr="00DB215C" w:rsidRDefault="00DB215C" w:rsidP="00DB215C">
            <w:pPr>
              <w:spacing w:before="40" w:after="40"/>
              <w:ind w:right="284"/>
              <w:jc w:val="right"/>
              <w:rPr>
                <w:rFonts w:eastAsia="Calibri"/>
                <w:bCs/>
                <w:sz w:val="18"/>
                <w:szCs w:val="18"/>
                <w:lang w:eastAsia="en-US"/>
              </w:rPr>
            </w:pPr>
            <w:r w:rsidRPr="00DB215C">
              <w:rPr>
                <w:rFonts w:eastAsia="Calibri"/>
                <w:bCs/>
                <w:sz w:val="18"/>
                <w:szCs w:val="18"/>
                <w:lang w:eastAsia="en-US"/>
              </w:rPr>
              <w:t>3.1</w:t>
            </w:r>
          </w:p>
        </w:tc>
      </w:tr>
      <w:tr w:rsidR="00DB215C" w:rsidRPr="00DB215C" w14:paraId="1FBDE739" w14:textId="77777777" w:rsidTr="00DB215C">
        <w:trPr>
          <w:trHeight w:val="271"/>
          <w:jc w:val="center"/>
        </w:trPr>
        <w:tc>
          <w:tcPr>
            <w:tcW w:w="3283" w:type="dxa"/>
            <w:tcBorders>
              <w:top w:val="nil"/>
              <w:left w:val="single" w:sz="4" w:space="0" w:color="auto"/>
              <w:bottom w:val="nil"/>
              <w:right w:val="single" w:sz="4" w:space="0" w:color="auto"/>
            </w:tcBorders>
            <w:shd w:val="clear" w:color="auto" w:fill="auto"/>
            <w:vAlign w:val="center"/>
          </w:tcPr>
          <w:p w14:paraId="51E80A29" w14:textId="77777777" w:rsidR="00DB215C" w:rsidRPr="00DB215C" w:rsidRDefault="00DB215C" w:rsidP="00DB215C">
            <w:pPr>
              <w:spacing w:after="120"/>
              <w:ind w:left="340"/>
              <w:rPr>
                <w:rFonts w:eastAsia="Calibri"/>
                <w:bCs/>
                <w:sz w:val="18"/>
                <w:szCs w:val="18"/>
                <w:lang w:eastAsia="en-US"/>
              </w:rPr>
            </w:pPr>
            <w:r w:rsidRPr="00DB215C">
              <w:rPr>
                <w:rFonts w:eastAsia="Calibri"/>
                <w:bCs/>
                <w:sz w:val="18"/>
                <w:szCs w:val="18"/>
                <w:lang w:eastAsia="en-US"/>
              </w:rPr>
              <w:t>Créditos a organismos descentralizados o desconcentrados</w:t>
            </w:r>
          </w:p>
        </w:tc>
        <w:tc>
          <w:tcPr>
            <w:tcW w:w="1134" w:type="dxa"/>
            <w:tcBorders>
              <w:left w:val="single" w:sz="4" w:space="0" w:color="auto"/>
              <w:right w:val="single" w:sz="4" w:space="0" w:color="auto"/>
            </w:tcBorders>
            <w:shd w:val="clear" w:color="auto" w:fill="auto"/>
            <w:vAlign w:val="center"/>
          </w:tcPr>
          <w:p w14:paraId="4DDAA634" w14:textId="77777777" w:rsidR="00DB215C" w:rsidRPr="00DB215C" w:rsidRDefault="00DB215C" w:rsidP="00DB215C">
            <w:pPr>
              <w:spacing w:before="40" w:after="40"/>
              <w:ind w:right="227"/>
              <w:jc w:val="right"/>
              <w:rPr>
                <w:rFonts w:eastAsia="Calibri"/>
                <w:sz w:val="18"/>
                <w:szCs w:val="18"/>
                <w:lang w:eastAsia="en-US"/>
              </w:rPr>
            </w:pPr>
            <w:r w:rsidRPr="00DB215C">
              <w:rPr>
                <w:rFonts w:eastAsia="Calibri"/>
                <w:sz w:val="18"/>
                <w:szCs w:val="18"/>
                <w:lang w:eastAsia="en-US"/>
              </w:rPr>
              <w:t>87</w:t>
            </w:r>
          </w:p>
        </w:tc>
        <w:tc>
          <w:tcPr>
            <w:tcW w:w="1253" w:type="dxa"/>
            <w:tcBorders>
              <w:top w:val="nil"/>
              <w:left w:val="single" w:sz="4" w:space="0" w:color="auto"/>
              <w:bottom w:val="nil"/>
              <w:right w:val="single" w:sz="4" w:space="0" w:color="auto"/>
            </w:tcBorders>
            <w:shd w:val="clear" w:color="auto" w:fill="auto"/>
            <w:vAlign w:val="center"/>
          </w:tcPr>
          <w:p w14:paraId="5826F487" w14:textId="77777777" w:rsidR="00DB215C" w:rsidRPr="00DB215C" w:rsidRDefault="00DB215C" w:rsidP="00DB215C">
            <w:pPr>
              <w:spacing w:before="40" w:after="40"/>
              <w:ind w:right="227"/>
              <w:jc w:val="right"/>
              <w:rPr>
                <w:rFonts w:eastAsia="Calibri"/>
                <w:sz w:val="18"/>
                <w:szCs w:val="18"/>
                <w:lang w:eastAsia="en-US"/>
              </w:rPr>
            </w:pPr>
            <w:r w:rsidRPr="00DB215C">
              <w:rPr>
                <w:rFonts w:eastAsia="Calibri"/>
                <w:sz w:val="18"/>
                <w:szCs w:val="18"/>
                <w:lang w:eastAsia="en-US"/>
              </w:rPr>
              <w:t>138</w:t>
            </w:r>
          </w:p>
        </w:tc>
        <w:tc>
          <w:tcPr>
            <w:tcW w:w="1134" w:type="dxa"/>
            <w:tcBorders>
              <w:left w:val="single" w:sz="4" w:space="0" w:color="auto"/>
              <w:right w:val="single" w:sz="4" w:space="0" w:color="auto"/>
            </w:tcBorders>
            <w:shd w:val="clear" w:color="auto" w:fill="auto"/>
            <w:vAlign w:val="center"/>
          </w:tcPr>
          <w:p w14:paraId="697FBE80" w14:textId="77777777" w:rsidR="00DB215C" w:rsidRPr="00DB215C" w:rsidRDefault="00DB215C" w:rsidP="00DB215C">
            <w:pPr>
              <w:spacing w:before="40" w:after="40"/>
              <w:ind w:right="227"/>
              <w:jc w:val="right"/>
              <w:rPr>
                <w:rFonts w:eastAsia="Calibri"/>
                <w:sz w:val="18"/>
                <w:szCs w:val="18"/>
                <w:lang w:eastAsia="en-US"/>
              </w:rPr>
            </w:pPr>
            <w:r w:rsidRPr="00DB215C">
              <w:rPr>
                <w:rFonts w:eastAsia="Calibri"/>
                <w:sz w:val="18"/>
                <w:szCs w:val="18"/>
                <w:lang w:eastAsia="en-US"/>
              </w:rPr>
              <w:t>162</w:t>
            </w:r>
          </w:p>
        </w:tc>
        <w:tc>
          <w:tcPr>
            <w:tcW w:w="993" w:type="dxa"/>
            <w:tcBorders>
              <w:top w:val="nil"/>
              <w:left w:val="single" w:sz="4" w:space="0" w:color="auto"/>
              <w:bottom w:val="nil"/>
              <w:right w:val="single" w:sz="4" w:space="0" w:color="auto"/>
            </w:tcBorders>
            <w:shd w:val="clear" w:color="auto" w:fill="auto"/>
            <w:vAlign w:val="center"/>
          </w:tcPr>
          <w:p w14:paraId="64BC1E12" w14:textId="77777777" w:rsidR="00DB215C" w:rsidRPr="00DB215C" w:rsidRDefault="00DB215C" w:rsidP="00DB215C">
            <w:pPr>
              <w:spacing w:before="40" w:after="40"/>
              <w:ind w:right="170"/>
              <w:jc w:val="right"/>
              <w:rPr>
                <w:rFonts w:eastAsia="Calibri"/>
                <w:sz w:val="18"/>
                <w:szCs w:val="18"/>
                <w:lang w:eastAsia="en-US"/>
              </w:rPr>
            </w:pPr>
            <w:r w:rsidRPr="00DB215C">
              <w:rPr>
                <w:rFonts w:eastAsia="Calibri"/>
                <w:sz w:val="18"/>
                <w:szCs w:val="18"/>
                <w:lang w:eastAsia="en-US"/>
              </w:rPr>
              <w:t>86.1</w:t>
            </w:r>
          </w:p>
        </w:tc>
        <w:tc>
          <w:tcPr>
            <w:tcW w:w="992" w:type="dxa"/>
            <w:tcBorders>
              <w:top w:val="nil"/>
              <w:left w:val="single" w:sz="4" w:space="0" w:color="auto"/>
              <w:bottom w:val="nil"/>
              <w:right w:val="single" w:sz="4" w:space="0" w:color="auto"/>
            </w:tcBorders>
            <w:shd w:val="clear" w:color="auto" w:fill="auto"/>
            <w:vAlign w:val="center"/>
          </w:tcPr>
          <w:p w14:paraId="1FDA961F" w14:textId="77777777" w:rsidR="00DB215C" w:rsidRPr="00DB215C" w:rsidRDefault="00DB215C" w:rsidP="00DB215C">
            <w:pPr>
              <w:spacing w:before="40" w:after="40"/>
              <w:ind w:right="284"/>
              <w:jc w:val="right"/>
              <w:rPr>
                <w:rFonts w:eastAsia="Calibri"/>
                <w:bCs/>
                <w:sz w:val="18"/>
                <w:szCs w:val="18"/>
                <w:lang w:eastAsia="en-US"/>
              </w:rPr>
            </w:pPr>
            <w:r w:rsidRPr="00DB215C">
              <w:rPr>
                <w:rFonts w:eastAsia="Calibri"/>
                <w:bCs/>
                <w:sz w:val="18"/>
                <w:szCs w:val="18"/>
                <w:lang w:eastAsia="en-US"/>
              </w:rPr>
              <w:t>17.9</w:t>
            </w:r>
          </w:p>
        </w:tc>
      </w:tr>
      <w:tr w:rsidR="00DB215C" w:rsidRPr="00DB215C" w14:paraId="1D0622E3" w14:textId="77777777" w:rsidTr="00DB215C">
        <w:trPr>
          <w:trHeight w:val="271"/>
          <w:jc w:val="center"/>
        </w:trPr>
        <w:tc>
          <w:tcPr>
            <w:tcW w:w="3283" w:type="dxa"/>
            <w:tcBorders>
              <w:top w:val="nil"/>
              <w:left w:val="single" w:sz="4" w:space="0" w:color="auto"/>
              <w:bottom w:val="nil"/>
              <w:right w:val="single" w:sz="4" w:space="0" w:color="auto"/>
            </w:tcBorders>
            <w:shd w:val="clear" w:color="auto" w:fill="auto"/>
            <w:vAlign w:val="center"/>
          </w:tcPr>
          <w:p w14:paraId="535C45E1" w14:textId="77777777" w:rsidR="00DB215C" w:rsidRPr="00DB215C" w:rsidRDefault="00DB215C" w:rsidP="00DB215C">
            <w:pPr>
              <w:rPr>
                <w:rFonts w:eastAsia="Calibri"/>
                <w:b/>
                <w:bCs/>
                <w:sz w:val="18"/>
                <w:szCs w:val="18"/>
                <w:lang w:eastAsia="en-US"/>
              </w:rPr>
            </w:pPr>
            <w:r w:rsidRPr="00DB215C">
              <w:rPr>
                <w:rFonts w:eastAsia="Calibri"/>
                <w:b/>
                <w:bCs/>
                <w:sz w:val="18"/>
                <w:szCs w:val="18"/>
                <w:lang w:eastAsia="en-US"/>
              </w:rPr>
              <w:t>Consumo</w:t>
            </w:r>
          </w:p>
        </w:tc>
        <w:tc>
          <w:tcPr>
            <w:tcW w:w="1134" w:type="dxa"/>
            <w:tcBorders>
              <w:left w:val="single" w:sz="4" w:space="0" w:color="auto"/>
              <w:right w:val="single" w:sz="4" w:space="0" w:color="auto"/>
            </w:tcBorders>
            <w:shd w:val="clear" w:color="auto" w:fill="auto"/>
            <w:vAlign w:val="center"/>
          </w:tcPr>
          <w:p w14:paraId="15F1B038" w14:textId="77777777" w:rsidR="00DB215C" w:rsidRPr="00DB215C" w:rsidRDefault="00DB215C" w:rsidP="00DB215C">
            <w:pPr>
              <w:spacing w:before="40" w:after="40"/>
              <w:ind w:right="227"/>
              <w:jc w:val="right"/>
              <w:rPr>
                <w:rFonts w:eastAsia="Calibri"/>
                <w:b/>
                <w:sz w:val="18"/>
                <w:szCs w:val="18"/>
                <w:lang w:eastAsia="en-US"/>
              </w:rPr>
            </w:pPr>
            <w:r w:rsidRPr="00DB215C">
              <w:rPr>
                <w:rFonts w:eastAsia="Calibri"/>
                <w:b/>
                <w:sz w:val="18"/>
                <w:szCs w:val="18"/>
                <w:lang w:eastAsia="en-US"/>
              </w:rPr>
              <w:t>671</w:t>
            </w:r>
          </w:p>
        </w:tc>
        <w:tc>
          <w:tcPr>
            <w:tcW w:w="1253" w:type="dxa"/>
            <w:tcBorders>
              <w:top w:val="nil"/>
              <w:left w:val="single" w:sz="4" w:space="0" w:color="auto"/>
              <w:bottom w:val="nil"/>
              <w:right w:val="single" w:sz="4" w:space="0" w:color="auto"/>
            </w:tcBorders>
            <w:shd w:val="clear" w:color="auto" w:fill="auto"/>
            <w:vAlign w:val="center"/>
          </w:tcPr>
          <w:p w14:paraId="740201E6" w14:textId="77777777" w:rsidR="00DB215C" w:rsidRPr="00DB215C" w:rsidRDefault="00DB215C" w:rsidP="00DB215C">
            <w:pPr>
              <w:spacing w:before="40" w:after="40"/>
              <w:ind w:right="227"/>
              <w:jc w:val="right"/>
              <w:rPr>
                <w:rFonts w:eastAsia="Calibri"/>
                <w:b/>
                <w:sz w:val="18"/>
                <w:szCs w:val="18"/>
                <w:lang w:eastAsia="en-US"/>
              </w:rPr>
            </w:pPr>
            <w:r w:rsidRPr="00DB215C">
              <w:rPr>
                <w:rFonts w:eastAsia="Calibri"/>
                <w:b/>
                <w:sz w:val="18"/>
                <w:szCs w:val="18"/>
                <w:lang w:eastAsia="en-US"/>
              </w:rPr>
              <w:t>722</w:t>
            </w:r>
          </w:p>
        </w:tc>
        <w:tc>
          <w:tcPr>
            <w:tcW w:w="1134" w:type="dxa"/>
            <w:tcBorders>
              <w:left w:val="single" w:sz="4" w:space="0" w:color="auto"/>
              <w:right w:val="single" w:sz="4" w:space="0" w:color="auto"/>
            </w:tcBorders>
            <w:shd w:val="clear" w:color="auto" w:fill="auto"/>
            <w:vAlign w:val="center"/>
          </w:tcPr>
          <w:p w14:paraId="0C0FBF2E" w14:textId="77777777" w:rsidR="00DB215C" w:rsidRPr="00DB215C" w:rsidRDefault="00DB215C" w:rsidP="00DB215C">
            <w:pPr>
              <w:spacing w:before="40" w:after="40"/>
              <w:ind w:right="227"/>
              <w:jc w:val="right"/>
              <w:rPr>
                <w:rFonts w:eastAsia="Calibri"/>
                <w:b/>
                <w:sz w:val="18"/>
                <w:szCs w:val="18"/>
                <w:lang w:eastAsia="en-US"/>
              </w:rPr>
            </w:pPr>
            <w:r w:rsidRPr="00DB215C">
              <w:rPr>
                <w:rFonts w:eastAsia="Calibri"/>
                <w:b/>
                <w:sz w:val="18"/>
                <w:szCs w:val="18"/>
                <w:lang w:eastAsia="en-US"/>
              </w:rPr>
              <w:t>713</w:t>
            </w:r>
          </w:p>
        </w:tc>
        <w:tc>
          <w:tcPr>
            <w:tcW w:w="993" w:type="dxa"/>
            <w:tcBorders>
              <w:top w:val="nil"/>
              <w:left w:val="single" w:sz="4" w:space="0" w:color="auto"/>
              <w:bottom w:val="nil"/>
              <w:right w:val="single" w:sz="4" w:space="0" w:color="auto"/>
            </w:tcBorders>
            <w:shd w:val="clear" w:color="auto" w:fill="auto"/>
            <w:vAlign w:val="center"/>
          </w:tcPr>
          <w:p w14:paraId="53260D78" w14:textId="77777777" w:rsidR="00DB215C" w:rsidRPr="00DB215C" w:rsidRDefault="00DB215C" w:rsidP="00DB215C">
            <w:pPr>
              <w:spacing w:before="40" w:after="40"/>
              <w:ind w:right="170"/>
              <w:jc w:val="right"/>
              <w:rPr>
                <w:rFonts w:eastAsia="Calibri"/>
                <w:b/>
                <w:sz w:val="18"/>
                <w:szCs w:val="18"/>
                <w:lang w:eastAsia="en-US"/>
              </w:rPr>
            </w:pPr>
            <w:r w:rsidRPr="00DB215C">
              <w:rPr>
                <w:rFonts w:eastAsia="Calibri"/>
                <w:b/>
                <w:sz w:val="18"/>
                <w:szCs w:val="18"/>
                <w:lang w:eastAsia="en-US"/>
              </w:rPr>
              <w:t>6.3</w:t>
            </w:r>
          </w:p>
        </w:tc>
        <w:tc>
          <w:tcPr>
            <w:tcW w:w="992" w:type="dxa"/>
            <w:tcBorders>
              <w:top w:val="nil"/>
              <w:left w:val="single" w:sz="4" w:space="0" w:color="auto"/>
              <w:bottom w:val="nil"/>
              <w:right w:val="single" w:sz="4" w:space="0" w:color="auto"/>
            </w:tcBorders>
            <w:shd w:val="clear" w:color="auto" w:fill="auto"/>
            <w:vAlign w:val="center"/>
          </w:tcPr>
          <w:p w14:paraId="75DF928D" w14:textId="77777777" w:rsidR="00DB215C" w:rsidRPr="00DB215C" w:rsidRDefault="00DB215C" w:rsidP="00DB215C">
            <w:pPr>
              <w:spacing w:before="40" w:after="40"/>
              <w:ind w:right="284"/>
              <w:jc w:val="right"/>
              <w:rPr>
                <w:rFonts w:eastAsia="Calibri"/>
                <w:b/>
                <w:bCs/>
                <w:sz w:val="18"/>
                <w:szCs w:val="18"/>
                <w:lang w:eastAsia="en-US"/>
              </w:rPr>
            </w:pPr>
            <w:r w:rsidRPr="00DB215C">
              <w:rPr>
                <w:rFonts w:eastAsia="Calibri"/>
                <w:b/>
                <w:bCs/>
                <w:sz w:val="18"/>
                <w:szCs w:val="18"/>
                <w:lang w:eastAsia="en-US"/>
              </w:rPr>
              <w:t>-1.2</w:t>
            </w:r>
          </w:p>
        </w:tc>
      </w:tr>
      <w:tr w:rsidR="00DB215C" w:rsidRPr="00DB215C" w14:paraId="5C721F44" w14:textId="77777777" w:rsidTr="00DB215C">
        <w:trPr>
          <w:trHeight w:val="271"/>
          <w:jc w:val="center"/>
        </w:trPr>
        <w:tc>
          <w:tcPr>
            <w:tcW w:w="3283" w:type="dxa"/>
            <w:tcBorders>
              <w:top w:val="nil"/>
              <w:left w:val="single" w:sz="4" w:space="0" w:color="auto"/>
              <w:bottom w:val="nil"/>
              <w:right w:val="single" w:sz="4" w:space="0" w:color="auto"/>
            </w:tcBorders>
            <w:shd w:val="clear" w:color="auto" w:fill="auto"/>
            <w:vAlign w:val="center"/>
          </w:tcPr>
          <w:p w14:paraId="0F751517" w14:textId="77777777" w:rsidR="00DB215C" w:rsidRPr="00DB215C" w:rsidRDefault="00DB215C" w:rsidP="00DB215C">
            <w:pPr>
              <w:ind w:left="170"/>
              <w:rPr>
                <w:rFonts w:eastAsia="Calibri"/>
                <w:bCs/>
                <w:sz w:val="18"/>
                <w:szCs w:val="18"/>
                <w:lang w:eastAsia="en-US"/>
              </w:rPr>
            </w:pPr>
            <w:r w:rsidRPr="00DB215C">
              <w:rPr>
                <w:rFonts w:eastAsia="Calibri"/>
                <w:bCs/>
                <w:sz w:val="18"/>
                <w:szCs w:val="18"/>
                <w:lang w:eastAsia="en-US"/>
              </w:rPr>
              <w:t>Tarjeta de crédito</w:t>
            </w:r>
          </w:p>
        </w:tc>
        <w:tc>
          <w:tcPr>
            <w:tcW w:w="1134" w:type="dxa"/>
            <w:tcBorders>
              <w:left w:val="single" w:sz="4" w:space="0" w:color="auto"/>
              <w:right w:val="single" w:sz="4" w:space="0" w:color="auto"/>
            </w:tcBorders>
            <w:shd w:val="clear" w:color="auto" w:fill="auto"/>
            <w:vAlign w:val="center"/>
          </w:tcPr>
          <w:p w14:paraId="19B6D6CB" w14:textId="77777777" w:rsidR="00DB215C" w:rsidRPr="00DB215C" w:rsidRDefault="00DB215C" w:rsidP="00DB215C">
            <w:pPr>
              <w:spacing w:before="40" w:after="40"/>
              <w:ind w:right="227"/>
              <w:jc w:val="right"/>
              <w:rPr>
                <w:rFonts w:eastAsia="Calibri"/>
                <w:sz w:val="18"/>
                <w:szCs w:val="18"/>
                <w:lang w:eastAsia="en-US"/>
              </w:rPr>
            </w:pPr>
            <w:r w:rsidRPr="00DB215C">
              <w:rPr>
                <w:rFonts w:eastAsia="Calibri"/>
                <w:sz w:val="18"/>
                <w:szCs w:val="18"/>
                <w:lang w:eastAsia="en-US"/>
              </w:rPr>
              <w:t>301</w:t>
            </w:r>
          </w:p>
        </w:tc>
        <w:tc>
          <w:tcPr>
            <w:tcW w:w="1253" w:type="dxa"/>
            <w:tcBorders>
              <w:top w:val="nil"/>
              <w:left w:val="single" w:sz="4" w:space="0" w:color="auto"/>
              <w:bottom w:val="nil"/>
              <w:right w:val="single" w:sz="4" w:space="0" w:color="auto"/>
            </w:tcBorders>
            <w:shd w:val="clear" w:color="auto" w:fill="auto"/>
            <w:vAlign w:val="center"/>
          </w:tcPr>
          <w:p w14:paraId="165AEF82" w14:textId="77777777" w:rsidR="00DB215C" w:rsidRPr="00DB215C" w:rsidRDefault="00DB215C" w:rsidP="00DB215C">
            <w:pPr>
              <w:spacing w:before="40" w:after="40"/>
              <w:ind w:right="227"/>
              <w:jc w:val="right"/>
              <w:rPr>
                <w:rFonts w:eastAsia="Calibri"/>
                <w:sz w:val="18"/>
                <w:szCs w:val="18"/>
                <w:lang w:eastAsia="en-US"/>
              </w:rPr>
            </w:pPr>
            <w:r w:rsidRPr="00DB215C">
              <w:rPr>
                <w:rFonts w:eastAsia="Calibri"/>
                <w:sz w:val="18"/>
                <w:szCs w:val="18"/>
                <w:lang w:eastAsia="en-US"/>
              </w:rPr>
              <w:t>320</w:t>
            </w:r>
          </w:p>
        </w:tc>
        <w:tc>
          <w:tcPr>
            <w:tcW w:w="1134" w:type="dxa"/>
            <w:tcBorders>
              <w:left w:val="single" w:sz="4" w:space="0" w:color="auto"/>
              <w:right w:val="single" w:sz="4" w:space="0" w:color="auto"/>
            </w:tcBorders>
            <w:shd w:val="clear" w:color="auto" w:fill="auto"/>
            <w:vAlign w:val="center"/>
          </w:tcPr>
          <w:p w14:paraId="39A305D3" w14:textId="77777777" w:rsidR="00DB215C" w:rsidRPr="00DB215C" w:rsidRDefault="00DB215C" w:rsidP="00DB215C">
            <w:pPr>
              <w:spacing w:before="40" w:after="40"/>
              <w:ind w:right="227"/>
              <w:jc w:val="right"/>
              <w:rPr>
                <w:rFonts w:eastAsia="Calibri"/>
                <w:sz w:val="18"/>
                <w:szCs w:val="18"/>
                <w:lang w:eastAsia="en-US"/>
              </w:rPr>
            </w:pPr>
            <w:r w:rsidRPr="00DB215C">
              <w:rPr>
                <w:rFonts w:eastAsia="Calibri"/>
                <w:sz w:val="18"/>
                <w:szCs w:val="18"/>
                <w:lang w:eastAsia="en-US"/>
              </w:rPr>
              <w:t>309</w:t>
            </w:r>
          </w:p>
        </w:tc>
        <w:tc>
          <w:tcPr>
            <w:tcW w:w="993" w:type="dxa"/>
            <w:tcBorders>
              <w:top w:val="nil"/>
              <w:left w:val="single" w:sz="4" w:space="0" w:color="auto"/>
              <w:bottom w:val="nil"/>
              <w:right w:val="single" w:sz="4" w:space="0" w:color="auto"/>
            </w:tcBorders>
            <w:shd w:val="clear" w:color="auto" w:fill="auto"/>
            <w:vAlign w:val="center"/>
          </w:tcPr>
          <w:p w14:paraId="3E2340F3" w14:textId="77777777" w:rsidR="00DB215C" w:rsidRPr="00DB215C" w:rsidRDefault="00DB215C" w:rsidP="00DB215C">
            <w:pPr>
              <w:spacing w:before="40" w:after="40"/>
              <w:ind w:right="170"/>
              <w:jc w:val="right"/>
              <w:rPr>
                <w:rFonts w:eastAsia="Calibri"/>
                <w:sz w:val="18"/>
                <w:szCs w:val="18"/>
                <w:lang w:eastAsia="en-US"/>
              </w:rPr>
            </w:pPr>
            <w:r w:rsidRPr="00DB215C">
              <w:rPr>
                <w:rFonts w:eastAsia="Calibri"/>
                <w:sz w:val="18"/>
                <w:szCs w:val="18"/>
                <w:lang w:eastAsia="en-US"/>
              </w:rPr>
              <w:t>2.5</w:t>
            </w:r>
          </w:p>
        </w:tc>
        <w:tc>
          <w:tcPr>
            <w:tcW w:w="992" w:type="dxa"/>
            <w:tcBorders>
              <w:top w:val="nil"/>
              <w:left w:val="single" w:sz="4" w:space="0" w:color="auto"/>
              <w:bottom w:val="nil"/>
              <w:right w:val="single" w:sz="4" w:space="0" w:color="auto"/>
            </w:tcBorders>
            <w:shd w:val="clear" w:color="auto" w:fill="auto"/>
            <w:vAlign w:val="center"/>
          </w:tcPr>
          <w:p w14:paraId="697F8730" w14:textId="77777777" w:rsidR="00DB215C" w:rsidRPr="00DB215C" w:rsidRDefault="00DB215C" w:rsidP="00DB215C">
            <w:pPr>
              <w:spacing w:before="40" w:after="40"/>
              <w:ind w:right="284"/>
              <w:jc w:val="right"/>
              <w:rPr>
                <w:rFonts w:eastAsia="Calibri"/>
                <w:bCs/>
                <w:sz w:val="18"/>
                <w:szCs w:val="18"/>
                <w:lang w:eastAsia="en-US"/>
              </w:rPr>
            </w:pPr>
            <w:r w:rsidRPr="00DB215C">
              <w:rPr>
                <w:rFonts w:eastAsia="Calibri"/>
                <w:bCs/>
                <w:sz w:val="18"/>
                <w:szCs w:val="18"/>
                <w:lang w:eastAsia="en-US"/>
              </w:rPr>
              <w:t>-3.5</w:t>
            </w:r>
          </w:p>
        </w:tc>
      </w:tr>
      <w:tr w:rsidR="00DB215C" w:rsidRPr="00DB215C" w14:paraId="5977714C" w14:textId="77777777" w:rsidTr="00DB215C">
        <w:trPr>
          <w:trHeight w:val="271"/>
          <w:jc w:val="center"/>
        </w:trPr>
        <w:tc>
          <w:tcPr>
            <w:tcW w:w="3283" w:type="dxa"/>
            <w:tcBorders>
              <w:top w:val="nil"/>
              <w:left w:val="single" w:sz="4" w:space="0" w:color="auto"/>
              <w:bottom w:val="nil"/>
              <w:right w:val="single" w:sz="4" w:space="0" w:color="auto"/>
            </w:tcBorders>
            <w:shd w:val="clear" w:color="auto" w:fill="auto"/>
            <w:vAlign w:val="center"/>
          </w:tcPr>
          <w:p w14:paraId="212663F3" w14:textId="77777777" w:rsidR="00DB215C" w:rsidRPr="00DB215C" w:rsidRDefault="00DB215C" w:rsidP="00DB215C">
            <w:pPr>
              <w:ind w:left="170"/>
              <w:rPr>
                <w:rFonts w:eastAsia="Calibri"/>
                <w:bCs/>
                <w:sz w:val="18"/>
                <w:szCs w:val="18"/>
                <w:lang w:eastAsia="en-US"/>
              </w:rPr>
            </w:pPr>
            <w:r w:rsidRPr="00DB215C">
              <w:rPr>
                <w:rFonts w:eastAsia="Calibri"/>
                <w:bCs/>
                <w:sz w:val="18"/>
                <w:szCs w:val="18"/>
                <w:lang w:eastAsia="en-US"/>
              </w:rPr>
              <w:t>Personales</w:t>
            </w:r>
          </w:p>
        </w:tc>
        <w:tc>
          <w:tcPr>
            <w:tcW w:w="1134" w:type="dxa"/>
            <w:tcBorders>
              <w:left w:val="single" w:sz="4" w:space="0" w:color="auto"/>
              <w:right w:val="single" w:sz="4" w:space="0" w:color="auto"/>
            </w:tcBorders>
            <w:shd w:val="clear" w:color="auto" w:fill="auto"/>
            <w:vAlign w:val="center"/>
          </w:tcPr>
          <w:p w14:paraId="58D51880" w14:textId="77777777" w:rsidR="00DB215C" w:rsidRPr="00DB215C" w:rsidRDefault="00DB215C" w:rsidP="00DB215C">
            <w:pPr>
              <w:spacing w:before="40" w:after="40"/>
              <w:ind w:right="227"/>
              <w:jc w:val="right"/>
              <w:rPr>
                <w:rFonts w:eastAsia="Calibri"/>
                <w:sz w:val="18"/>
                <w:szCs w:val="18"/>
                <w:lang w:eastAsia="en-US"/>
              </w:rPr>
            </w:pPr>
            <w:r w:rsidRPr="00DB215C">
              <w:rPr>
                <w:rFonts w:eastAsia="Calibri"/>
                <w:sz w:val="18"/>
                <w:szCs w:val="18"/>
                <w:lang w:eastAsia="en-US"/>
              </w:rPr>
              <w:t>128</w:t>
            </w:r>
          </w:p>
        </w:tc>
        <w:tc>
          <w:tcPr>
            <w:tcW w:w="1253" w:type="dxa"/>
            <w:tcBorders>
              <w:top w:val="nil"/>
              <w:left w:val="single" w:sz="4" w:space="0" w:color="auto"/>
              <w:bottom w:val="nil"/>
              <w:right w:val="single" w:sz="4" w:space="0" w:color="auto"/>
            </w:tcBorders>
            <w:shd w:val="clear" w:color="auto" w:fill="auto"/>
            <w:vAlign w:val="center"/>
          </w:tcPr>
          <w:p w14:paraId="0219BB53" w14:textId="77777777" w:rsidR="00DB215C" w:rsidRPr="00DB215C" w:rsidRDefault="00DB215C" w:rsidP="00DB215C">
            <w:pPr>
              <w:spacing w:before="40" w:after="40"/>
              <w:ind w:right="227"/>
              <w:jc w:val="right"/>
              <w:rPr>
                <w:rFonts w:eastAsia="Calibri"/>
                <w:sz w:val="18"/>
                <w:szCs w:val="18"/>
                <w:lang w:eastAsia="en-US"/>
              </w:rPr>
            </w:pPr>
            <w:r w:rsidRPr="00DB215C">
              <w:rPr>
                <w:rFonts w:eastAsia="Calibri"/>
                <w:sz w:val="18"/>
                <w:szCs w:val="18"/>
                <w:lang w:eastAsia="en-US"/>
              </w:rPr>
              <w:t>139</w:t>
            </w:r>
          </w:p>
        </w:tc>
        <w:tc>
          <w:tcPr>
            <w:tcW w:w="1134" w:type="dxa"/>
            <w:tcBorders>
              <w:left w:val="single" w:sz="4" w:space="0" w:color="auto"/>
              <w:right w:val="single" w:sz="4" w:space="0" w:color="auto"/>
            </w:tcBorders>
            <w:shd w:val="clear" w:color="auto" w:fill="auto"/>
            <w:vAlign w:val="center"/>
          </w:tcPr>
          <w:p w14:paraId="303403F2" w14:textId="77777777" w:rsidR="00DB215C" w:rsidRPr="00DB215C" w:rsidRDefault="00DB215C" w:rsidP="00DB215C">
            <w:pPr>
              <w:spacing w:before="40" w:after="40"/>
              <w:ind w:right="227"/>
              <w:jc w:val="right"/>
              <w:rPr>
                <w:rFonts w:eastAsia="Calibri"/>
                <w:sz w:val="18"/>
                <w:szCs w:val="18"/>
                <w:lang w:eastAsia="en-US"/>
              </w:rPr>
            </w:pPr>
            <w:r w:rsidRPr="00DB215C">
              <w:rPr>
                <w:rFonts w:eastAsia="Calibri"/>
                <w:sz w:val="18"/>
                <w:szCs w:val="18"/>
                <w:lang w:eastAsia="en-US"/>
              </w:rPr>
              <w:t>136</w:t>
            </w:r>
          </w:p>
        </w:tc>
        <w:tc>
          <w:tcPr>
            <w:tcW w:w="993" w:type="dxa"/>
            <w:tcBorders>
              <w:top w:val="nil"/>
              <w:left w:val="single" w:sz="4" w:space="0" w:color="auto"/>
              <w:bottom w:val="nil"/>
              <w:right w:val="single" w:sz="4" w:space="0" w:color="auto"/>
            </w:tcBorders>
            <w:shd w:val="clear" w:color="auto" w:fill="auto"/>
            <w:vAlign w:val="center"/>
          </w:tcPr>
          <w:p w14:paraId="56881582" w14:textId="77777777" w:rsidR="00DB215C" w:rsidRPr="00DB215C" w:rsidRDefault="00DB215C" w:rsidP="00DB215C">
            <w:pPr>
              <w:spacing w:before="40" w:after="40"/>
              <w:ind w:right="170"/>
              <w:jc w:val="right"/>
              <w:rPr>
                <w:rFonts w:eastAsia="Calibri"/>
                <w:sz w:val="18"/>
                <w:szCs w:val="18"/>
                <w:lang w:eastAsia="en-US"/>
              </w:rPr>
            </w:pPr>
            <w:r w:rsidRPr="00DB215C">
              <w:rPr>
                <w:rFonts w:eastAsia="Calibri"/>
                <w:sz w:val="18"/>
                <w:szCs w:val="18"/>
                <w:lang w:eastAsia="en-US"/>
              </w:rPr>
              <w:t>6.6</w:t>
            </w:r>
          </w:p>
        </w:tc>
        <w:tc>
          <w:tcPr>
            <w:tcW w:w="992" w:type="dxa"/>
            <w:tcBorders>
              <w:top w:val="nil"/>
              <w:left w:val="single" w:sz="4" w:space="0" w:color="auto"/>
              <w:bottom w:val="nil"/>
              <w:right w:val="single" w:sz="4" w:space="0" w:color="auto"/>
            </w:tcBorders>
            <w:shd w:val="clear" w:color="auto" w:fill="auto"/>
            <w:vAlign w:val="center"/>
          </w:tcPr>
          <w:p w14:paraId="3DAE0EB8" w14:textId="77777777" w:rsidR="00DB215C" w:rsidRPr="00DB215C" w:rsidRDefault="00DB215C" w:rsidP="00DB215C">
            <w:pPr>
              <w:spacing w:before="40" w:after="40"/>
              <w:ind w:right="284"/>
              <w:jc w:val="right"/>
              <w:rPr>
                <w:rFonts w:eastAsia="Calibri"/>
                <w:bCs/>
                <w:sz w:val="18"/>
                <w:szCs w:val="18"/>
                <w:lang w:eastAsia="en-US"/>
              </w:rPr>
            </w:pPr>
            <w:r w:rsidRPr="00DB215C">
              <w:rPr>
                <w:rFonts w:eastAsia="Calibri"/>
                <w:bCs/>
                <w:sz w:val="18"/>
                <w:szCs w:val="18"/>
                <w:lang w:eastAsia="en-US"/>
              </w:rPr>
              <w:t>-1.8</w:t>
            </w:r>
          </w:p>
        </w:tc>
      </w:tr>
      <w:tr w:rsidR="00DB215C" w:rsidRPr="00DB215C" w14:paraId="6A5D3099" w14:textId="77777777" w:rsidTr="00DB215C">
        <w:trPr>
          <w:trHeight w:val="271"/>
          <w:jc w:val="center"/>
        </w:trPr>
        <w:tc>
          <w:tcPr>
            <w:tcW w:w="3283" w:type="dxa"/>
            <w:tcBorders>
              <w:top w:val="nil"/>
              <w:left w:val="single" w:sz="4" w:space="0" w:color="auto"/>
              <w:bottom w:val="nil"/>
              <w:right w:val="single" w:sz="4" w:space="0" w:color="auto"/>
            </w:tcBorders>
            <w:shd w:val="clear" w:color="auto" w:fill="auto"/>
            <w:vAlign w:val="center"/>
          </w:tcPr>
          <w:p w14:paraId="56426340" w14:textId="77777777" w:rsidR="00DB215C" w:rsidRPr="00DB215C" w:rsidRDefault="00DB215C" w:rsidP="00DB215C">
            <w:pPr>
              <w:ind w:left="170"/>
              <w:rPr>
                <w:rFonts w:eastAsia="Calibri"/>
                <w:bCs/>
                <w:sz w:val="18"/>
                <w:szCs w:val="18"/>
                <w:lang w:eastAsia="en-US"/>
              </w:rPr>
            </w:pPr>
            <w:r w:rsidRPr="00DB215C">
              <w:rPr>
                <w:rFonts w:eastAsia="Calibri"/>
                <w:bCs/>
                <w:sz w:val="18"/>
                <w:szCs w:val="18"/>
                <w:lang w:eastAsia="en-US"/>
              </w:rPr>
              <w:t>Nómina</w:t>
            </w:r>
          </w:p>
        </w:tc>
        <w:tc>
          <w:tcPr>
            <w:tcW w:w="1134" w:type="dxa"/>
            <w:tcBorders>
              <w:left w:val="single" w:sz="4" w:space="0" w:color="auto"/>
              <w:right w:val="single" w:sz="4" w:space="0" w:color="auto"/>
            </w:tcBorders>
            <w:shd w:val="clear" w:color="auto" w:fill="auto"/>
            <w:vAlign w:val="center"/>
          </w:tcPr>
          <w:p w14:paraId="4BE664A4" w14:textId="77777777" w:rsidR="00DB215C" w:rsidRPr="00DB215C" w:rsidRDefault="00DB215C" w:rsidP="00DB215C">
            <w:pPr>
              <w:spacing w:before="40" w:after="40"/>
              <w:ind w:right="227"/>
              <w:jc w:val="right"/>
              <w:rPr>
                <w:rFonts w:eastAsia="Calibri"/>
                <w:sz w:val="18"/>
                <w:szCs w:val="18"/>
                <w:lang w:eastAsia="en-US"/>
              </w:rPr>
            </w:pPr>
            <w:r w:rsidRPr="00DB215C">
              <w:rPr>
                <w:rFonts w:eastAsia="Calibri"/>
                <w:sz w:val="18"/>
                <w:szCs w:val="18"/>
                <w:lang w:eastAsia="en-US"/>
              </w:rPr>
              <w:t>137</w:t>
            </w:r>
          </w:p>
        </w:tc>
        <w:tc>
          <w:tcPr>
            <w:tcW w:w="1253" w:type="dxa"/>
            <w:tcBorders>
              <w:top w:val="nil"/>
              <w:left w:val="single" w:sz="4" w:space="0" w:color="auto"/>
              <w:bottom w:val="nil"/>
              <w:right w:val="single" w:sz="4" w:space="0" w:color="auto"/>
            </w:tcBorders>
            <w:shd w:val="clear" w:color="auto" w:fill="auto"/>
            <w:vAlign w:val="center"/>
          </w:tcPr>
          <w:p w14:paraId="60AFD1FA" w14:textId="77777777" w:rsidR="00DB215C" w:rsidRPr="00DB215C" w:rsidRDefault="00DB215C" w:rsidP="00DB215C">
            <w:pPr>
              <w:spacing w:before="40" w:after="40"/>
              <w:ind w:right="227"/>
              <w:jc w:val="right"/>
              <w:rPr>
                <w:rFonts w:eastAsia="Calibri"/>
                <w:sz w:val="18"/>
                <w:szCs w:val="18"/>
                <w:lang w:eastAsia="en-US"/>
              </w:rPr>
            </w:pPr>
            <w:r w:rsidRPr="00DB215C">
              <w:rPr>
                <w:rFonts w:eastAsia="Calibri"/>
                <w:sz w:val="18"/>
                <w:szCs w:val="18"/>
                <w:lang w:eastAsia="en-US"/>
              </w:rPr>
              <w:t>159</w:t>
            </w:r>
          </w:p>
        </w:tc>
        <w:tc>
          <w:tcPr>
            <w:tcW w:w="1134" w:type="dxa"/>
            <w:tcBorders>
              <w:left w:val="single" w:sz="4" w:space="0" w:color="auto"/>
              <w:right w:val="single" w:sz="4" w:space="0" w:color="auto"/>
            </w:tcBorders>
            <w:shd w:val="clear" w:color="auto" w:fill="auto"/>
            <w:vAlign w:val="center"/>
          </w:tcPr>
          <w:p w14:paraId="54173AF6" w14:textId="77777777" w:rsidR="00DB215C" w:rsidRPr="00DB215C" w:rsidRDefault="00DB215C" w:rsidP="00DB215C">
            <w:pPr>
              <w:spacing w:before="40" w:after="40"/>
              <w:ind w:right="227"/>
              <w:jc w:val="right"/>
              <w:rPr>
                <w:rFonts w:eastAsia="Calibri"/>
                <w:sz w:val="18"/>
                <w:szCs w:val="18"/>
                <w:lang w:eastAsia="en-US"/>
              </w:rPr>
            </w:pPr>
            <w:r w:rsidRPr="00DB215C">
              <w:rPr>
                <w:rFonts w:eastAsia="Calibri"/>
                <w:sz w:val="18"/>
                <w:szCs w:val="18"/>
                <w:lang w:eastAsia="en-US"/>
              </w:rPr>
              <w:t>162</w:t>
            </w:r>
          </w:p>
        </w:tc>
        <w:tc>
          <w:tcPr>
            <w:tcW w:w="993" w:type="dxa"/>
            <w:tcBorders>
              <w:top w:val="nil"/>
              <w:left w:val="single" w:sz="4" w:space="0" w:color="auto"/>
              <w:bottom w:val="nil"/>
              <w:right w:val="single" w:sz="4" w:space="0" w:color="auto"/>
            </w:tcBorders>
            <w:shd w:val="clear" w:color="auto" w:fill="auto"/>
            <w:vAlign w:val="center"/>
          </w:tcPr>
          <w:p w14:paraId="1A3DD2BA" w14:textId="77777777" w:rsidR="00DB215C" w:rsidRPr="00DB215C" w:rsidRDefault="00DB215C" w:rsidP="00DB215C">
            <w:pPr>
              <w:spacing w:before="40" w:after="40"/>
              <w:ind w:right="170"/>
              <w:jc w:val="right"/>
              <w:rPr>
                <w:rFonts w:eastAsia="Calibri"/>
                <w:sz w:val="18"/>
                <w:szCs w:val="18"/>
                <w:lang w:eastAsia="en-US"/>
              </w:rPr>
            </w:pPr>
            <w:r w:rsidRPr="00DB215C">
              <w:rPr>
                <w:rFonts w:eastAsia="Calibri"/>
                <w:sz w:val="18"/>
                <w:szCs w:val="18"/>
                <w:lang w:eastAsia="en-US"/>
              </w:rPr>
              <w:t>17.9</w:t>
            </w:r>
          </w:p>
        </w:tc>
        <w:tc>
          <w:tcPr>
            <w:tcW w:w="992" w:type="dxa"/>
            <w:tcBorders>
              <w:top w:val="nil"/>
              <w:left w:val="single" w:sz="4" w:space="0" w:color="auto"/>
              <w:bottom w:val="nil"/>
              <w:right w:val="single" w:sz="4" w:space="0" w:color="auto"/>
            </w:tcBorders>
            <w:shd w:val="clear" w:color="auto" w:fill="auto"/>
            <w:vAlign w:val="center"/>
          </w:tcPr>
          <w:p w14:paraId="50C9D780" w14:textId="77777777" w:rsidR="00DB215C" w:rsidRPr="00DB215C" w:rsidRDefault="00DB215C" w:rsidP="00DB215C">
            <w:pPr>
              <w:spacing w:before="40" w:after="40"/>
              <w:ind w:right="284"/>
              <w:jc w:val="right"/>
              <w:rPr>
                <w:rFonts w:eastAsia="Calibri"/>
                <w:bCs/>
                <w:sz w:val="18"/>
                <w:szCs w:val="18"/>
                <w:lang w:eastAsia="en-US"/>
              </w:rPr>
            </w:pPr>
            <w:r w:rsidRPr="00DB215C">
              <w:rPr>
                <w:rFonts w:eastAsia="Calibri"/>
                <w:bCs/>
                <w:sz w:val="18"/>
                <w:szCs w:val="18"/>
                <w:lang w:eastAsia="en-US"/>
              </w:rPr>
              <w:t>1.4</w:t>
            </w:r>
          </w:p>
        </w:tc>
      </w:tr>
      <w:tr w:rsidR="00DB215C" w:rsidRPr="00DB215C" w14:paraId="551ECC22" w14:textId="77777777" w:rsidTr="00DB215C">
        <w:trPr>
          <w:trHeight w:val="271"/>
          <w:jc w:val="center"/>
        </w:trPr>
        <w:tc>
          <w:tcPr>
            <w:tcW w:w="3283" w:type="dxa"/>
            <w:tcBorders>
              <w:top w:val="nil"/>
              <w:left w:val="single" w:sz="4" w:space="0" w:color="auto"/>
              <w:bottom w:val="nil"/>
              <w:right w:val="single" w:sz="4" w:space="0" w:color="auto"/>
            </w:tcBorders>
            <w:shd w:val="clear" w:color="auto" w:fill="auto"/>
            <w:vAlign w:val="center"/>
          </w:tcPr>
          <w:p w14:paraId="141E5B64" w14:textId="77777777" w:rsidR="00DB215C" w:rsidRPr="00DB215C" w:rsidRDefault="00DB215C" w:rsidP="00DB215C">
            <w:pPr>
              <w:ind w:left="170"/>
              <w:rPr>
                <w:rFonts w:eastAsia="Calibri"/>
                <w:bCs/>
                <w:sz w:val="18"/>
                <w:szCs w:val="18"/>
                <w:lang w:eastAsia="en-US"/>
              </w:rPr>
            </w:pPr>
            <w:r w:rsidRPr="00DB215C">
              <w:rPr>
                <w:rFonts w:eastAsia="Calibri"/>
                <w:bCs/>
                <w:sz w:val="18"/>
                <w:szCs w:val="18"/>
                <w:lang w:eastAsia="en-US"/>
              </w:rPr>
              <w:t>ABCD</w:t>
            </w:r>
          </w:p>
        </w:tc>
        <w:tc>
          <w:tcPr>
            <w:tcW w:w="1134" w:type="dxa"/>
            <w:tcBorders>
              <w:left w:val="single" w:sz="4" w:space="0" w:color="auto"/>
              <w:right w:val="single" w:sz="4" w:space="0" w:color="auto"/>
            </w:tcBorders>
            <w:shd w:val="clear" w:color="auto" w:fill="auto"/>
            <w:vAlign w:val="center"/>
          </w:tcPr>
          <w:p w14:paraId="6BA4BDD4" w14:textId="77777777" w:rsidR="00DB215C" w:rsidRPr="00DB215C" w:rsidRDefault="00DB215C" w:rsidP="00DB215C">
            <w:pPr>
              <w:spacing w:before="40" w:after="40"/>
              <w:ind w:right="227"/>
              <w:jc w:val="right"/>
              <w:rPr>
                <w:rFonts w:eastAsia="Calibri"/>
                <w:sz w:val="18"/>
                <w:szCs w:val="18"/>
                <w:lang w:eastAsia="en-US"/>
              </w:rPr>
            </w:pPr>
            <w:r w:rsidRPr="00DB215C">
              <w:rPr>
                <w:rFonts w:eastAsia="Calibri"/>
                <w:sz w:val="18"/>
                <w:szCs w:val="18"/>
                <w:lang w:eastAsia="en-US"/>
              </w:rPr>
              <w:t>78</w:t>
            </w:r>
          </w:p>
        </w:tc>
        <w:tc>
          <w:tcPr>
            <w:tcW w:w="1253" w:type="dxa"/>
            <w:tcBorders>
              <w:top w:val="nil"/>
              <w:left w:val="single" w:sz="4" w:space="0" w:color="auto"/>
              <w:bottom w:val="nil"/>
              <w:right w:val="single" w:sz="4" w:space="0" w:color="auto"/>
            </w:tcBorders>
            <w:shd w:val="clear" w:color="auto" w:fill="auto"/>
            <w:vAlign w:val="center"/>
          </w:tcPr>
          <w:p w14:paraId="2A135831" w14:textId="77777777" w:rsidR="00DB215C" w:rsidRPr="00DB215C" w:rsidRDefault="00DB215C" w:rsidP="00DB215C">
            <w:pPr>
              <w:spacing w:before="40" w:after="40"/>
              <w:ind w:right="227"/>
              <w:jc w:val="right"/>
              <w:rPr>
                <w:rFonts w:eastAsia="Calibri"/>
                <w:sz w:val="18"/>
                <w:szCs w:val="18"/>
                <w:lang w:eastAsia="en-US"/>
              </w:rPr>
            </w:pPr>
            <w:r w:rsidRPr="00DB215C">
              <w:rPr>
                <w:rFonts w:eastAsia="Calibri"/>
                <w:sz w:val="18"/>
                <w:szCs w:val="18"/>
                <w:lang w:eastAsia="en-US"/>
              </w:rPr>
              <w:t>81</w:t>
            </w:r>
          </w:p>
        </w:tc>
        <w:tc>
          <w:tcPr>
            <w:tcW w:w="1134" w:type="dxa"/>
            <w:tcBorders>
              <w:left w:val="single" w:sz="4" w:space="0" w:color="auto"/>
              <w:right w:val="single" w:sz="4" w:space="0" w:color="auto"/>
            </w:tcBorders>
            <w:shd w:val="clear" w:color="auto" w:fill="auto"/>
            <w:vAlign w:val="center"/>
          </w:tcPr>
          <w:p w14:paraId="432B121D" w14:textId="77777777" w:rsidR="00DB215C" w:rsidRPr="00DB215C" w:rsidRDefault="00DB215C" w:rsidP="00DB215C">
            <w:pPr>
              <w:spacing w:before="40" w:after="40"/>
              <w:ind w:right="227"/>
              <w:jc w:val="right"/>
              <w:rPr>
                <w:rFonts w:eastAsia="Calibri"/>
                <w:sz w:val="18"/>
                <w:szCs w:val="18"/>
                <w:lang w:eastAsia="en-US"/>
              </w:rPr>
            </w:pPr>
            <w:r w:rsidRPr="00DB215C">
              <w:rPr>
                <w:rFonts w:eastAsia="Calibri"/>
                <w:sz w:val="18"/>
                <w:szCs w:val="18"/>
                <w:lang w:eastAsia="en-US"/>
              </w:rPr>
              <w:t>83</w:t>
            </w:r>
          </w:p>
        </w:tc>
        <w:tc>
          <w:tcPr>
            <w:tcW w:w="993" w:type="dxa"/>
            <w:tcBorders>
              <w:top w:val="nil"/>
              <w:left w:val="single" w:sz="4" w:space="0" w:color="auto"/>
              <w:bottom w:val="nil"/>
              <w:right w:val="single" w:sz="4" w:space="0" w:color="auto"/>
            </w:tcBorders>
            <w:shd w:val="clear" w:color="auto" w:fill="auto"/>
            <w:vAlign w:val="center"/>
          </w:tcPr>
          <w:p w14:paraId="6662B2DB" w14:textId="77777777" w:rsidR="00DB215C" w:rsidRPr="00DB215C" w:rsidRDefault="00DB215C" w:rsidP="00DB215C">
            <w:pPr>
              <w:spacing w:before="40" w:after="40"/>
              <w:ind w:right="170"/>
              <w:jc w:val="right"/>
              <w:rPr>
                <w:rFonts w:eastAsia="Calibri"/>
                <w:sz w:val="18"/>
                <w:szCs w:val="18"/>
                <w:lang w:eastAsia="en-US"/>
              </w:rPr>
            </w:pPr>
            <w:r w:rsidRPr="00DB215C">
              <w:rPr>
                <w:rFonts w:eastAsia="Calibri"/>
                <w:sz w:val="18"/>
                <w:szCs w:val="18"/>
                <w:lang w:eastAsia="en-US"/>
              </w:rPr>
              <w:t>6.0</w:t>
            </w:r>
          </w:p>
        </w:tc>
        <w:tc>
          <w:tcPr>
            <w:tcW w:w="992" w:type="dxa"/>
            <w:tcBorders>
              <w:top w:val="nil"/>
              <w:left w:val="single" w:sz="4" w:space="0" w:color="auto"/>
              <w:bottom w:val="nil"/>
              <w:right w:val="single" w:sz="4" w:space="0" w:color="auto"/>
            </w:tcBorders>
            <w:shd w:val="clear" w:color="auto" w:fill="auto"/>
            <w:vAlign w:val="center"/>
          </w:tcPr>
          <w:p w14:paraId="737470F8" w14:textId="77777777" w:rsidR="00DB215C" w:rsidRPr="00DB215C" w:rsidRDefault="00DB215C" w:rsidP="00DB215C">
            <w:pPr>
              <w:spacing w:before="40" w:after="40"/>
              <w:ind w:right="284"/>
              <w:jc w:val="right"/>
              <w:rPr>
                <w:rFonts w:eastAsia="Calibri"/>
                <w:bCs/>
                <w:sz w:val="18"/>
                <w:szCs w:val="18"/>
                <w:lang w:eastAsia="en-US"/>
              </w:rPr>
            </w:pPr>
            <w:r w:rsidRPr="00DB215C">
              <w:rPr>
                <w:rFonts w:eastAsia="Calibri"/>
                <w:bCs/>
                <w:sz w:val="18"/>
                <w:szCs w:val="18"/>
                <w:lang w:eastAsia="en-US"/>
              </w:rPr>
              <w:t>3.0</w:t>
            </w:r>
          </w:p>
        </w:tc>
      </w:tr>
      <w:tr w:rsidR="00DB215C" w:rsidRPr="00DB215C" w14:paraId="386C5F7C" w14:textId="77777777" w:rsidTr="00DB215C">
        <w:trPr>
          <w:trHeight w:val="271"/>
          <w:jc w:val="center"/>
        </w:trPr>
        <w:tc>
          <w:tcPr>
            <w:tcW w:w="3283" w:type="dxa"/>
            <w:tcBorders>
              <w:top w:val="nil"/>
              <w:left w:val="single" w:sz="4" w:space="0" w:color="auto"/>
              <w:bottom w:val="nil"/>
              <w:right w:val="single" w:sz="4" w:space="0" w:color="auto"/>
            </w:tcBorders>
            <w:shd w:val="clear" w:color="auto" w:fill="auto"/>
            <w:vAlign w:val="center"/>
          </w:tcPr>
          <w:p w14:paraId="198A1FE0" w14:textId="77777777" w:rsidR="00DB215C" w:rsidRPr="00DB215C" w:rsidRDefault="00DB215C" w:rsidP="00DB215C">
            <w:pPr>
              <w:ind w:left="340"/>
              <w:rPr>
                <w:rFonts w:eastAsia="Calibri"/>
                <w:bCs/>
                <w:sz w:val="18"/>
                <w:szCs w:val="18"/>
                <w:lang w:eastAsia="en-US"/>
              </w:rPr>
            </w:pPr>
            <w:r w:rsidRPr="00DB215C">
              <w:rPr>
                <w:rFonts w:eastAsia="Calibri"/>
                <w:bCs/>
                <w:sz w:val="18"/>
                <w:szCs w:val="18"/>
                <w:lang w:eastAsia="en-US"/>
              </w:rPr>
              <w:t>Automotriz</w:t>
            </w:r>
          </w:p>
        </w:tc>
        <w:tc>
          <w:tcPr>
            <w:tcW w:w="1134" w:type="dxa"/>
            <w:tcBorders>
              <w:left w:val="single" w:sz="4" w:space="0" w:color="auto"/>
              <w:right w:val="single" w:sz="4" w:space="0" w:color="auto"/>
            </w:tcBorders>
            <w:shd w:val="clear" w:color="auto" w:fill="auto"/>
            <w:vAlign w:val="center"/>
          </w:tcPr>
          <w:p w14:paraId="62F5A0F3" w14:textId="77777777" w:rsidR="00DB215C" w:rsidRPr="00DB215C" w:rsidRDefault="00DB215C" w:rsidP="00DB215C">
            <w:pPr>
              <w:spacing w:before="40" w:after="40"/>
              <w:ind w:right="227"/>
              <w:jc w:val="right"/>
              <w:rPr>
                <w:rFonts w:eastAsia="Calibri"/>
                <w:sz w:val="18"/>
                <w:szCs w:val="18"/>
                <w:lang w:eastAsia="en-US"/>
              </w:rPr>
            </w:pPr>
            <w:r w:rsidRPr="00DB215C">
              <w:rPr>
                <w:rFonts w:eastAsia="Calibri"/>
                <w:sz w:val="18"/>
                <w:szCs w:val="18"/>
                <w:lang w:eastAsia="en-US"/>
              </w:rPr>
              <w:t>76</w:t>
            </w:r>
          </w:p>
        </w:tc>
        <w:tc>
          <w:tcPr>
            <w:tcW w:w="1253" w:type="dxa"/>
            <w:tcBorders>
              <w:top w:val="nil"/>
              <w:left w:val="single" w:sz="4" w:space="0" w:color="auto"/>
              <w:bottom w:val="nil"/>
              <w:right w:val="single" w:sz="4" w:space="0" w:color="auto"/>
            </w:tcBorders>
            <w:shd w:val="clear" w:color="auto" w:fill="auto"/>
            <w:vAlign w:val="center"/>
          </w:tcPr>
          <w:p w14:paraId="042C7C8C" w14:textId="77777777" w:rsidR="00DB215C" w:rsidRPr="00DB215C" w:rsidRDefault="00DB215C" w:rsidP="00DB215C">
            <w:pPr>
              <w:spacing w:before="40" w:after="40"/>
              <w:ind w:right="227"/>
              <w:jc w:val="right"/>
              <w:rPr>
                <w:rFonts w:eastAsia="Calibri"/>
                <w:sz w:val="18"/>
                <w:szCs w:val="18"/>
                <w:lang w:eastAsia="en-US"/>
              </w:rPr>
            </w:pPr>
            <w:r w:rsidRPr="00DB215C">
              <w:rPr>
                <w:rFonts w:eastAsia="Calibri"/>
                <w:sz w:val="18"/>
                <w:szCs w:val="18"/>
                <w:lang w:eastAsia="en-US"/>
              </w:rPr>
              <w:t>75</w:t>
            </w:r>
          </w:p>
        </w:tc>
        <w:tc>
          <w:tcPr>
            <w:tcW w:w="1134" w:type="dxa"/>
            <w:tcBorders>
              <w:left w:val="single" w:sz="4" w:space="0" w:color="auto"/>
              <w:right w:val="single" w:sz="4" w:space="0" w:color="auto"/>
            </w:tcBorders>
            <w:shd w:val="clear" w:color="auto" w:fill="auto"/>
            <w:vAlign w:val="center"/>
          </w:tcPr>
          <w:p w14:paraId="39B2BA69" w14:textId="77777777" w:rsidR="00DB215C" w:rsidRPr="00DB215C" w:rsidRDefault="00DB215C" w:rsidP="00DB215C">
            <w:pPr>
              <w:spacing w:before="40" w:after="40"/>
              <w:ind w:right="227"/>
              <w:jc w:val="right"/>
              <w:rPr>
                <w:rFonts w:eastAsia="Calibri"/>
                <w:sz w:val="18"/>
                <w:szCs w:val="18"/>
                <w:lang w:eastAsia="en-US"/>
              </w:rPr>
            </w:pPr>
            <w:r w:rsidRPr="00DB215C">
              <w:rPr>
                <w:rFonts w:eastAsia="Calibri"/>
                <w:sz w:val="18"/>
                <w:szCs w:val="18"/>
                <w:lang w:eastAsia="en-US"/>
              </w:rPr>
              <w:t>77</w:t>
            </w:r>
          </w:p>
        </w:tc>
        <w:tc>
          <w:tcPr>
            <w:tcW w:w="993" w:type="dxa"/>
            <w:tcBorders>
              <w:top w:val="nil"/>
              <w:left w:val="single" w:sz="4" w:space="0" w:color="auto"/>
              <w:bottom w:val="nil"/>
              <w:right w:val="single" w:sz="4" w:space="0" w:color="auto"/>
            </w:tcBorders>
            <w:shd w:val="clear" w:color="auto" w:fill="auto"/>
            <w:vAlign w:val="center"/>
          </w:tcPr>
          <w:p w14:paraId="18A626CA" w14:textId="77777777" w:rsidR="00DB215C" w:rsidRPr="00DB215C" w:rsidRDefault="00DB215C" w:rsidP="00DB215C">
            <w:pPr>
              <w:spacing w:before="40" w:after="40"/>
              <w:ind w:right="170"/>
              <w:jc w:val="right"/>
              <w:rPr>
                <w:rFonts w:eastAsia="Calibri"/>
                <w:sz w:val="18"/>
                <w:szCs w:val="18"/>
                <w:lang w:eastAsia="en-US"/>
              </w:rPr>
            </w:pPr>
            <w:r w:rsidRPr="00DB215C">
              <w:rPr>
                <w:rFonts w:eastAsia="Calibri"/>
                <w:sz w:val="18"/>
                <w:szCs w:val="18"/>
                <w:lang w:eastAsia="en-US"/>
              </w:rPr>
              <w:t>1.8</w:t>
            </w:r>
          </w:p>
        </w:tc>
        <w:tc>
          <w:tcPr>
            <w:tcW w:w="992" w:type="dxa"/>
            <w:tcBorders>
              <w:top w:val="nil"/>
              <w:left w:val="single" w:sz="4" w:space="0" w:color="auto"/>
              <w:bottom w:val="nil"/>
              <w:right w:val="single" w:sz="4" w:space="0" w:color="auto"/>
            </w:tcBorders>
            <w:shd w:val="clear" w:color="auto" w:fill="auto"/>
            <w:vAlign w:val="center"/>
          </w:tcPr>
          <w:p w14:paraId="392AC24A" w14:textId="77777777" w:rsidR="00DB215C" w:rsidRPr="00DB215C" w:rsidRDefault="00DB215C" w:rsidP="00DB215C">
            <w:pPr>
              <w:spacing w:before="40" w:after="40"/>
              <w:ind w:right="284"/>
              <w:jc w:val="right"/>
              <w:rPr>
                <w:rFonts w:eastAsia="Calibri"/>
                <w:bCs/>
                <w:sz w:val="18"/>
                <w:szCs w:val="18"/>
                <w:lang w:eastAsia="en-US"/>
              </w:rPr>
            </w:pPr>
            <w:r w:rsidRPr="00DB215C">
              <w:rPr>
                <w:rFonts w:eastAsia="Calibri"/>
                <w:bCs/>
                <w:sz w:val="18"/>
                <w:szCs w:val="18"/>
                <w:lang w:eastAsia="en-US"/>
              </w:rPr>
              <w:t>2.4</w:t>
            </w:r>
          </w:p>
        </w:tc>
      </w:tr>
      <w:tr w:rsidR="00DB215C" w:rsidRPr="00DB215C" w14:paraId="7214B31D" w14:textId="77777777" w:rsidTr="00DB215C">
        <w:trPr>
          <w:trHeight w:val="271"/>
          <w:jc w:val="center"/>
        </w:trPr>
        <w:tc>
          <w:tcPr>
            <w:tcW w:w="3283" w:type="dxa"/>
            <w:tcBorders>
              <w:top w:val="nil"/>
              <w:left w:val="single" w:sz="4" w:space="0" w:color="auto"/>
              <w:bottom w:val="nil"/>
              <w:right w:val="single" w:sz="4" w:space="0" w:color="auto"/>
            </w:tcBorders>
            <w:shd w:val="clear" w:color="auto" w:fill="auto"/>
            <w:vAlign w:val="center"/>
          </w:tcPr>
          <w:p w14:paraId="3097E047" w14:textId="77777777" w:rsidR="00DB215C" w:rsidRPr="00DB215C" w:rsidRDefault="00DB215C" w:rsidP="00DB215C">
            <w:pPr>
              <w:ind w:left="340"/>
              <w:rPr>
                <w:rFonts w:eastAsia="Calibri"/>
                <w:bCs/>
                <w:sz w:val="18"/>
                <w:szCs w:val="18"/>
                <w:lang w:eastAsia="en-US"/>
              </w:rPr>
            </w:pPr>
            <w:r w:rsidRPr="00DB215C">
              <w:rPr>
                <w:rFonts w:eastAsia="Calibri"/>
                <w:bCs/>
                <w:sz w:val="18"/>
                <w:szCs w:val="18"/>
                <w:lang w:eastAsia="en-US"/>
              </w:rPr>
              <w:t>Adquisición de bienes muebles</w:t>
            </w:r>
          </w:p>
        </w:tc>
        <w:tc>
          <w:tcPr>
            <w:tcW w:w="1134" w:type="dxa"/>
            <w:tcBorders>
              <w:left w:val="single" w:sz="4" w:space="0" w:color="auto"/>
              <w:right w:val="single" w:sz="4" w:space="0" w:color="auto"/>
            </w:tcBorders>
            <w:shd w:val="clear" w:color="auto" w:fill="auto"/>
            <w:vAlign w:val="center"/>
          </w:tcPr>
          <w:p w14:paraId="4D83E187" w14:textId="77777777" w:rsidR="00DB215C" w:rsidRPr="00DB215C" w:rsidRDefault="00DB215C" w:rsidP="00DB215C">
            <w:pPr>
              <w:spacing w:before="40" w:after="40"/>
              <w:ind w:right="227"/>
              <w:jc w:val="right"/>
              <w:rPr>
                <w:rFonts w:eastAsia="Calibri"/>
                <w:sz w:val="18"/>
                <w:szCs w:val="18"/>
                <w:lang w:eastAsia="en-US"/>
              </w:rPr>
            </w:pPr>
            <w:r w:rsidRPr="00DB215C">
              <w:rPr>
                <w:rFonts w:eastAsia="Calibri"/>
                <w:sz w:val="18"/>
                <w:szCs w:val="18"/>
                <w:lang w:eastAsia="en-US"/>
              </w:rPr>
              <w:t>3</w:t>
            </w:r>
          </w:p>
        </w:tc>
        <w:tc>
          <w:tcPr>
            <w:tcW w:w="1253" w:type="dxa"/>
            <w:tcBorders>
              <w:top w:val="nil"/>
              <w:left w:val="single" w:sz="4" w:space="0" w:color="auto"/>
              <w:bottom w:val="nil"/>
              <w:right w:val="single" w:sz="4" w:space="0" w:color="auto"/>
            </w:tcBorders>
            <w:shd w:val="clear" w:color="auto" w:fill="auto"/>
            <w:vAlign w:val="center"/>
          </w:tcPr>
          <w:p w14:paraId="576FDACC" w14:textId="77777777" w:rsidR="00DB215C" w:rsidRPr="00DB215C" w:rsidRDefault="00DB215C" w:rsidP="00DB215C">
            <w:pPr>
              <w:spacing w:before="40" w:after="40"/>
              <w:ind w:right="227"/>
              <w:jc w:val="right"/>
              <w:rPr>
                <w:rFonts w:eastAsia="Calibri"/>
                <w:sz w:val="18"/>
                <w:szCs w:val="18"/>
                <w:lang w:eastAsia="en-US"/>
              </w:rPr>
            </w:pPr>
            <w:r w:rsidRPr="00DB215C">
              <w:rPr>
                <w:rFonts w:eastAsia="Calibri"/>
                <w:sz w:val="18"/>
                <w:szCs w:val="18"/>
                <w:lang w:eastAsia="en-US"/>
              </w:rPr>
              <w:t>5</w:t>
            </w:r>
          </w:p>
        </w:tc>
        <w:tc>
          <w:tcPr>
            <w:tcW w:w="1134" w:type="dxa"/>
            <w:tcBorders>
              <w:left w:val="single" w:sz="4" w:space="0" w:color="auto"/>
              <w:right w:val="single" w:sz="4" w:space="0" w:color="auto"/>
            </w:tcBorders>
            <w:shd w:val="clear" w:color="auto" w:fill="auto"/>
            <w:vAlign w:val="center"/>
          </w:tcPr>
          <w:p w14:paraId="7929AD61" w14:textId="77777777" w:rsidR="00DB215C" w:rsidRPr="00DB215C" w:rsidRDefault="00DB215C" w:rsidP="00DB215C">
            <w:pPr>
              <w:spacing w:before="40" w:after="40"/>
              <w:ind w:right="227"/>
              <w:jc w:val="right"/>
              <w:rPr>
                <w:rFonts w:eastAsia="Calibri"/>
                <w:sz w:val="18"/>
                <w:szCs w:val="18"/>
                <w:lang w:eastAsia="en-US"/>
              </w:rPr>
            </w:pPr>
            <w:r w:rsidRPr="00DB215C">
              <w:rPr>
                <w:rFonts w:eastAsia="Calibri"/>
                <w:sz w:val="18"/>
                <w:szCs w:val="18"/>
                <w:lang w:eastAsia="en-US"/>
              </w:rPr>
              <w:t>6</w:t>
            </w:r>
          </w:p>
        </w:tc>
        <w:tc>
          <w:tcPr>
            <w:tcW w:w="993" w:type="dxa"/>
            <w:tcBorders>
              <w:top w:val="nil"/>
              <w:left w:val="single" w:sz="4" w:space="0" w:color="auto"/>
              <w:bottom w:val="nil"/>
              <w:right w:val="single" w:sz="4" w:space="0" w:color="auto"/>
            </w:tcBorders>
            <w:shd w:val="clear" w:color="auto" w:fill="auto"/>
            <w:vAlign w:val="center"/>
          </w:tcPr>
          <w:p w14:paraId="4EED6A4F" w14:textId="77777777" w:rsidR="00DB215C" w:rsidRPr="00DB215C" w:rsidRDefault="00DB215C" w:rsidP="00DB215C">
            <w:pPr>
              <w:spacing w:before="40" w:after="40"/>
              <w:ind w:right="170"/>
              <w:jc w:val="right"/>
              <w:rPr>
                <w:rFonts w:eastAsia="Calibri"/>
                <w:sz w:val="18"/>
                <w:szCs w:val="18"/>
                <w:lang w:eastAsia="en-US"/>
              </w:rPr>
            </w:pPr>
            <w:r w:rsidRPr="00DB215C">
              <w:rPr>
                <w:rFonts w:eastAsia="Calibri"/>
                <w:sz w:val="18"/>
                <w:szCs w:val="18"/>
                <w:lang w:eastAsia="en-US"/>
              </w:rPr>
              <w:t>124.0</w:t>
            </w:r>
          </w:p>
        </w:tc>
        <w:tc>
          <w:tcPr>
            <w:tcW w:w="992" w:type="dxa"/>
            <w:tcBorders>
              <w:top w:val="nil"/>
              <w:left w:val="single" w:sz="4" w:space="0" w:color="auto"/>
              <w:bottom w:val="nil"/>
              <w:right w:val="single" w:sz="4" w:space="0" w:color="auto"/>
            </w:tcBorders>
            <w:shd w:val="clear" w:color="auto" w:fill="auto"/>
            <w:vAlign w:val="center"/>
          </w:tcPr>
          <w:p w14:paraId="05142D26" w14:textId="77777777" w:rsidR="00DB215C" w:rsidRPr="00DB215C" w:rsidRDefault="00DB215C" w:rsidP="00DB215C">
            <w:pPr>
              <w:spacing w:before="40" w:after="40"/>
              <w:ind w:right="284"/>
              <w:jc w:val="right"/>
              <w:rPr>
                <w:rFonts w:eastAsia="Calibri"/>
                <w:bCs/>
                <w:sz w:val="18"/>
                <w:szCs w:val="18"/>
                <w:lang w:eastAsia="en-US"/>
              </w:rPr>
            </w:pPr>
            <w:r w:rsidRPr="00DB215C">
              <w:rPr>
                <w:rFonts w:eastAsia="Calibri"/>
                <w:bCs/>
                <w:sz w:val="18"/>
                <w:szCs w:val="18"/>
                <w:lang w:eastAsia="en-US"/>
              </w:rPr>
              <w:t>11.4</w:t>
            </w:r>
          </w:p>
        </w:tc>
      </w:tr>
      <w:tr w:rsidR="00DB215C" w:rsidRPr="00DB215C" w14:paraId="60A29EAD" w14:textId="77777777" w:rsidTr="00DB215C">
        <w:trPr>
          <w:trHeight w:val="261"/>
          <w:jc w:val="center"/>
        </w:trPr>
        <w:tc>
          <w:tcPr>
            <w:tcW w:w="3283" w:type="dxa"/>
            <w:tcBorders>
              <w:top w:val="nil"/>
              <w:left w:val="single" w:sz="4" w:space="0" w:color="auto"/>
              <w:bottom w:val="nil"/>
              <w:right w:val="single" w:sz="4" w:space="0" w:color="auto"/>
            </w:tcBorders>
            <w:shd w:val="clear" w:color="auto" w:fill="auto"/>
            <w:vAlign w:val="center"/>
          </w:tcPr>
          <w:p w14:paraId="1F28551A" w14:textId="77777777" w:rsidR="00DB215C" w:rsidRPr="00DB215C" w:rsidRDefault="00DB215C" w:rsidP="00DB215C">
            <w:pPr>
              <w:ind w:left="340"/>
              <w:rPr>
                <w:rFonts w:eastAsia="Calibri"/>
                <w:bCs/>
                <w:sz w:val="18"/>
                <w:szCs w:val="18"/>
                <w:lang w:eastAsia="en-US"/>
              </w:rPr>
            </w:pPr>
            <w:r w:rsidRPr="00DB215C">
              <w:rPr>
                <w:rFonts w:eastAsia="Calibri"/>
                <w:bCs/>
                <w:sz w:val="18"/>
                <w:szCs w:val="18"/>
                <w:lang w:eastAsia="en-US"/>
              </w:rPr>
              <w:t>Operaciones de arrendamiento capitalizable</w:t>
            </w:r>
          </w:p>
        </w:tc>
        <w:tc>
          <w:tcPr>
            <w:tcW w:w="1134" w:type="dxa"/>
            <w:tcBorders>
              <w:left w:val="single" w:sz="4" w:space="0" w:color="auto"/>
              <w:right w:val="single" w:sz="4" w:space="0" w:color="auto"/>
            </w:tcBorders>
            <w:shd w:val="clear" w:color="auto" w:fill="auto"/>
            <w:vAlign w:val="center"/>
          </w:tcPr>
          <w:p w14:paraId="695579C5" w14:textId="77777777" w:rsidR="00DB215C" w:rsidRPr="00DB215C" w:rsidRDefault="00DB215C" w:rsidP="00DB215C">
            <w:pPr>
              <w:spacing w:before="40" w:after="40"/>
              <w:ind w:right="227"/>
              <w:jc w:val="right"/>
              <w:rPr>
                <w:rFonts w:eastAsia="Calibri"/>
                <w:sz w:val="18"/>
                <w:szCs w:val="18"/>
                <w:lang w:eastAsia="en-US"/>
              </w:rPr>
            </w:pPr>
            <w:r w:rsidRPr="00DB215C">
              <w:rPr>
                <w:rFonts w:eastAsia="Calibri"/>
                <w:sz w:val="18"/>
                <w:szCs w:val="18"/>
                <w:lang w:eastAsia="en-US"/>
              </w:rPr>
              <w:t>3</w:t>
            </w:r>
          </w:p>
        </w:tc>
        <w:tc>
          <w:tcPr>
            <w:tcW w:w="1253" w:type="dxa"/>
            <w:tcBorders>
              <w:top w:val="nil"/>
              <w:left w:val="single" w:sz="4" w:space="0" w:color="auto"/>
              <w:bottom w:val="nil"/>
              <w:right w:val="single" w:sz="4" w:space="0" w:color="auto"/>
            </w:tcBorders>
            <w:shd w:val="clear" w:color="auto" w:fill="auto"/>
            <w:vAlign w:val="center"/>
          </w:tcPr>
          <w:p w14:paraId="0F2D64AB" w14:textId="77777777" w:rsidR="00DB215C" w:rsidRPr="00DB215C" w:rsidRDefault="00DB215C" w:rsidP="00DB215C">
            <w:pPr>
              <w:spacing w:before="40" w:after="40"/>
              <w:ind w:right="227"/>
              <w:jc w:val="right"/>
              <w:rPr>
                <w:rFonts w:eastAsia="Calibri"/>
                <w:sz w:val="18"/>
                <w:szCs w:val="18"/>
                <w:lang w:eastAsia="en-US"/>
              </w:rPr>
            </w:pPr>
            <w:r w:rsidRPr="00DB215C">
              <w:rPr>
                <w:rFonts w:eastAsia="Calibri"/>
                <w:sz w:val="18"/>
                <w:szCs w:val="18"/>
                <w:lang w:eastAsia="en-US"/>
              </w:rPr>
              <w:t>1</w:t>
            </w:r>
          </w:p>
        </w:tc>
        <w:tc>
          <w:tcPr>
            <w:tcW w:w="1134" w:type="dxa"/>
            <w:tcBorders>
              <w:left w:val="single" w:sz="4" w:space="0" w:color="auto"/>
              <w:right w:val="single" w:sz="4" w:space="0" w:color="auto"/>
            </w:tcBorders>
            <w:shd w:val="clear" w:color="auto" w:fill="auto"/>
            <w:vAlign w:val="center"/>
          </w:tcPr>
          <w:p w14:paraId="5B7BAF63" w14:textId="77777777" w:rsidR="00DB215C" w:rsidRPr="00DB215C" w:rsidRDefault="00DB215C" w:rsidP="00DB215C">
            <w:pPr>
              <w:spacing w:before="40" w:after="40"/>
              <w:ind w:right="227"/>
              <w:jc w:val="right"/>
              <w:rPr>
                <w:rFonts w:eastAsia="Calibri"/>
                <w:sz w:val="18"/>
                <w:szCs w:val="18"/>
                <w:lang w:eastAsia="en-US"/>
              </w:rPr>
            </w:pPr>
            <w:r w:rsidRPr="00DB215C">
              <w:rPr>
                <w:rFonts w:eastAsia="Calibri"/>
                <w:sz w:val="18"/>
                <w:szCs w:val="18"/>
                <w:lang w:eastAsia="en-US"/>
              </w:rPr>
              <w:t>1</w:t>
            </w:r>
          </w:p>
        </w:tc>
        <w:tc>
          <w:tcPr>
            <w:tcW w:w="993" w:type="dxa"/>
            <w:tcBorders>
              <w:top w:val="nil"/>
              <w:left w:val="single" w:sz="4" w:space="0" w:color="auto"/>
              <w:bottom w:val="nil"/>
              <w:right w:val="single" w:sz="4" w:space="0" w:color="auto"/>
            </w:tcBorders>
            <w:shd w:val="clear" w:color="auto" w:fill="auto"/>
            <w:vAlign w:val="center"/>
          </w:tcPr>
          <w:p w14:paraId="33045CCE" w14:textId="77777777" w:rsidR="00DB215C" w:rsidRPr="00DB215C" w:rsidRDefault="00DB215C" w:rsidP="00DB215C">
            <w:pPr>
              <w:spacing w:before="40" w:after="40"/>
              <w:ind w:right="170"/>
              <w:jc w:val="right"/>
              <w:rPr>
                <w:rFonts w:eastAsia="Calibri"/>
                <w:sz w:val="18"/>
                <w:szCs w:val="18"/>
                <w:lang w:eastAsia="en-US"/>
              </w:rPr>
            </w:pPr>
            <w:r w:rsidRPr="00DB215C">
              <w:rPr>
                <w:rFonts w:eastAsia="Calibri"/>
                <w:sz w:val="18"/>
                <w:szCs w:val="18"/>
                <w:lang w:eastAsia="en-US"/>
              </w:rPr>
              <w:t>-67.9</w:t>
            </w:r>
          </w:p>
        </w:tc>
        <w:tc>
          <w:tcPr>
            <w:tcW w:w="992" w:type="dxa"/>
            <w:tcBorders>
              <w:top w:val="nil"/>
              <w:left w:val="single" w:sz="4" w:space="0" w:color="auto"/>
              <w:bottom w:val="nil"/>
              <w:right w:val="single" w:sz="4" w:space="0" w:color="auto"/>
            </w:tcBorders>
            <w:shd w:val="clear" w:color="auto" w:fill="auto"/>
            <w:vAlign w:val="center"/>
          </w:tcPr>
          <w:p w14:paraId="49691DA2" w14:textId="77777777" w:rsidR="00DB215C" w:rsidRPr="00DB215C" w:rsidRDefault="00DB215C" w:rsidP="00DB215C">
            <w:pPr>
              <w:spacing w:before="40" w:after="40"/>
              <w:ind w:right="284"/>
              <w:jc w:val="right"/>
              <w:rPr>
                <w:rFonts w:eastAsia="Calibri"/>
                <w:bCs/>
                <w:sz w:val="18"/>
                <w:szCs w:val="18"/>
                <w:lang w:eastAsia="en-US"/>
              </w:rPr>
            </w:pPr>
            <w:r w:rsidRPr="00DB215C">
              <w:rPr>
                <w:rFonts w:eastAsia="Calibri"/>
                <w:bCs/>
                <w:sz w:val="18"/>
                <w:szCs w:val="18"/>
                <w:lang w:eastAsia="en-US"/>
              </w:rPr>
              <w:t>-6.0</w:t>
            </w:r>
          </w:p>
        </w:tc>
      </w:tr>
      <w:tr w:rsidR="00DB215C" w:rsidRPr="00DB215C" w14:paraId="11256C62" w14:textId="77777777" w:rsidTr="00DB215C">
        <w:trPr>
          <w:trHeight w:val="261"/>
          <w:jc w:val="center"/>
        </w:trPr>
        <w:tc>
          <w:tcPr>
            <w:tcW w:w="3283" w:type="dxa"/>
            <w:tcBorders>
              <w:top w:val="nil"/>
              <w:left w:val="single" w:sz="4" w:space="0" w:color="auto"/>
              <w:bottom w:val="nil"/>
              <w:right w:val="single" w:sz="4" w:space="0" w:color="auto"/>
            </w:tcBorders>
            <w:shd w:val="clear" w:color="auto" w:fill="auto"/>
            <w:vAlign w:val="center"/>
          </w:tcPr>
          <w:p w14:paraId="59AE2FFB" w14:textId="77777777" w:rsidR="00DB215C" w:rsidRPr="00DB215C" w:rsidRDefault="00DB215C" w:rsidP="00DB215C">
            <w:pPr>
              <w:spacing w:after="120"/>
              <w:ind w:left="170"/>
              <w:rPr>
                <w:rFonts w:eastAsia="Calibri"/>
                <w:bCs/>
                <w:sz w:val="18"/>
                <w:szCs w:val="18"/>
                <w:lang w:eastAsia="en-US"/>
              </w:rPr>
            </w:pPr>
            <w:r w:rsidRPr="00DB215C">
              <w:rPr>
                <w:rFonts w:eastAsia="Calibri"/>
                <w:bCs/>
                <w:sz w:val="18"/>
                <w:szCs w:val="18"/>
                <w:lang w:eastAsia="en-US"/>
              </w:rPr>
              <w:t>Otros créditos de consumo</w:t>
            </w:r>
          </w:p>
        </w:tc>
        <w:tc>
          <w:tcPr>
            <w:tcW w:w="1134" w:type="dxa"/>
            <w:tcBorders>
              <w:left w:val="single" w:sz="4" w:space="0" w:color="auto"/>
              <w:right w:val="single" w:sz="4" w:space="0" w:color="auto"/>
            </w:tcBorders>
            <w:shd w:val="clear" w:color="auto" w:fill="auto"/>
            <w:vAlign w:val="center"/>
          </w:tcPr>
          <w:p w14:paraId="0A73A7EC" w14:textId="77777777" w:rsidR="00DB215C" w:rsidRPr="00DB215C" w:rsidRDefault="00DB215C" w:rsidP="00DB215C">
            <w:pPr>
              <w:spacing w:before="40" w:after="40"/>
              <w:ind w:right="227"/>
              <w:jc w:val="right"/>
              <w:rPr>
                <w:rFonts w:eastAsia="Calibri"/>
                <w:sz w:val="18"/>
                <w:szCs w:val="18"/>
                <w:lang w:eastAsia="en-US"/>
              </w:rPr>
            </w:pPr>
            <w:r w:rsidRPr="00DB215C">
              <w:rPr>
                <w:rFonts w:eastAsia="Calibri"/>
                <w:sz w:val="18"/>
                <w:szCs w:val="18"/>
                <w:lang w:eastAsia="en-US"/>
              </w:rPr>
              <w:t>24</w:t>
            </w:r>
          </w:p>
        </w:tc>
        <w:tc>
          <w:tcPr>
            <w:tcW w:w="1253" w:type="dxa"/>
            <w:tcBorders>
              <w:top w:val="nil"/>
              <w:left w:val="single" w:sz="4" w:space="0" w:color="auto"/>
              <w:bottom w:val="nil"/>
              <w:right w:val="single" w:sz="4" w:space="0" w:color="auto"/>
            </w:tcBorders>
            <w:shd w:val="clear" w:color="auto" w:fill="auto"/>
            <w:vAlign w:val="center"/>
          </w:tcPr>
          <w:p w14:paraId="11FDC641" w14:textId="77777777" w:rsidR="00DB215C" w:rsidRPr="00DB215C" w:rsidRDefault="00DB215C" w:rsidP="00DB215C">
            <w:pPr>
              <w:spacing w:before="40" w:after="40"/>
              <w:ind w:right="227"/>
              <w:jc w:val="right"/>
              <w:rPr>
                <w:rFonts w:eastAsia="Calibri"/>
                <w:sz w:val="18"/>
                <w:szCs w:val="18"/>
                <w:lang w:eastAsia="en-US"/>
              </w:rPr>
            </w:pPr>
            <w:r w:rsidRPr="00DB215C">
              <w:rPr>
                <w:rFonts w:eastAsia="Calibri"/>
                <w:sz w:val="18"/>
                <w:szCs w:val="18"/>
                <w:lang w:eastAsia="en-US"/>
              </w:rPr>
              <w:t>22</w:t>
            </w:r>
          </w:p>
        </w:tc>
        <w:tc>
          <w:tcPr>
            <w:tcW w:w="1134" w:type="dxa"/>
            <w:tcBorders>
              <w:left w:val="single" w:sz="4" w:space="0" w:color="auto"/>
              <w:right w:val="single" w:sz="4" w:space="0" w:color="auto"/>
            </w:tcBorders>
            <w:shd w:val="clear" w:color="auto" w:fill="auto"/>
            <w:vAlign w:val="center"/>
          </w:tcPr>
          <w:p w14:paraId="4FAB63F5" w14:textId="77777777" w:rsidR="00DB215C" w:rsidRPr="00DB215C" w:rsidRDefault="00DB215C" w:rsidP="00DB215C">
            <w:pPr>
              <w:spacing w:before="40" w:after="40"/>
              <w:ind w:right="227"/>
              <w:jc w:val="right"/>
              <w:rPr>
                <w:rFonts w:eastAsia="Calibri"/>
                <w:sz w:val="18"/>
                <w:szCs w:val="18"/>
                <w:lang w:eastAsia="en-US"/>
              </w:rPr>
            </w:pPr>
            <w:r w:rsidRPr="00DB215C">
              <w:rPr>
                <w:rFonts w:eastAsia="Calibri"/>
                <w:sz w:val="18"/>
                <w:szCs w:val="18"/>
                <w:lang w:eastAsia="en-US"/>
              </w:rPr>
              <w:t>22</w:t>
            </w:r>
          </w:p>
        </w:tc>
        <w:tc>
          <w:tcPr>
            <w:tcW w:w="993" w:type="dxa"/>
            <w:tcBorders>
              <w:top w:val="nil"/>
              <w:left w:val="single" w:sz="4" w:space="0" w:color="auto"/>
              <w:bottom w:val="nil"/>
              <w:right w:val="single" w:sz="4" w:space="0" w:color="auto"/>
            </w:tcBorders>
            <w:shd w:val="clear" w:color="auto" w:fill="auto"/>
            <w:vAlign w:val="center"/>
          </w:tcPr>
          <w:p w14:paraId="7D269E9E" w14:textId="77777777" w:rsidR="00DB215C" w:rsidRPr="00DB215C" w:rsidRDefault="00DB215C" w:rsidP="00DB215C">
            <w:pPr>
              <w:spacing w:before="40" w:after="40"/>
              <w:ind w:right="170"/>
              <w:jc w:val="right"/>
              <w:rPr>
                <w:rFonts w:eastAsia="Calibri"/>
                <w:sz w:val="18"/>
                <w:szCs w:val="18"/>
                <w:lang w:eastAsia="en-US"/>
              </w:rPr>
            </w:pPr>
            <w:r w:rsidRPr="00DB215C">
              <w:rPr>
                <w:rFonts w:eastAsia="Calibri"/>
                <w:sz w:val="18"/>
                <w:szCs w:val="18"/>
                <w:lang w:eastAsia="en-US"/>
              </w:rPr>
              <w:t>-6.4</w:t>
            </w:r>
          </w:p>
        </w:tc>
        <w:tc>
          <w:tcPr>
            <w:tcW w:w="992" w:type="dxa"/>
            <w:tcBorders>
              <w:top w:val="nil"/>
              <w:left w:val="single" w:sz="4" w:space="0" w:color="auto"/>
              <w:bottom w:val="nil"/>
              <w:right w:val="single" w:sz="4" w:space="0" w:color="auto"/>
            </w:tcBorders>
            <w:shd w:val="clear" w:color="auto" w:fill="auto"/>
            <w:vAlign w:val="center"/>
          </w:tcPr>
          <w:p w14:paraId="4DA013D3" w14:textId="77777777" w:rsidR="00DB215C" w:rsidRPr="00DB215C" w:rsidRDefault="00DB215C" w:rsidP="00DB215C">
            <w:pPr>
              <w:spacing w:before="40" w:after="40"/>
              <w:ind w:right="284"/>
              <w:jc w:val="right"/>
              <w:rPr>
                <w:rFonts w:eastAsia="Calibri"/>
                <w:bCs/>
                <w:sz w:val="18"/>
                <w:szCs w:val="18"/>
                <w:lang w:eastAsia="en-US"/>
              </w:rPr>
            </w:pPr>
            <w:r w:rsidRPr="00DB215C">
              <w:rPr>
                <w:rFonts w:eastAsia="Calibri"/>
                <w:bCs/>
                <w:sz w:val="18"/>
                <w:szCs w:val="18"/>
                <w:lang w:eastAsia="en-US"/>
              </w:rPr>
              <w:t>1.3</w:t>
            </w:r>
          </w:p>
        </w:tc>
      </w:tr>
      <w:tr w:rsidR="00DB215C" w:rsidRPr="00DB215C" w14:paraId="26011384" w14:textId="77777777" w:rsidTr="00DB215C">
        <w:trPr>
          <w:trHeight w:val="261"/>
          <w:jc w:val="center"/>
        </w:trPr>
        <w:tc>
          <w:tcPr>
            <w:tcW w:w="3283" w:type="dxa"/>
            <w:tcBorders>
              <w:top w:val="nil"/>
              <w:left w:val="single" w:sz="4" w:space="0" w:color="auto"/>
              <w:bottom w:val="nil"/>
              <w:right w:val="single" w:sz="4" w:space="0" w:color="auto"/>
            </w:tcBorders>
            <w:shd w:val="clear" w:color="auto" w:fill="auto"/>
            <w:vAlign w:val="center"/>
          </w:tcPr>
          <w:p w14:paraId="63BBA033" w14:textId="77777777" w:rsidR="00DB215C" w:rsidRPr="00DB215C" w:rsidRDefault="00DB215C" w:rsidP="00DB215C">
            <w:pPr>
              <w:rPr>
                <w:rFonts w:eastAsia="Calibri"/>
                <w:b/>
                <w:bCs/>
                <w:sz w:val="18"/>
                <w:szCs w:val="18"/>
                <w:lang w:eastAsia="en-US"/>
              </w:rPr>
            </w:pPr>
            <w:r w:rsidRPr="00DB215C">
              <w:rPr>
                <w:rFonts w:eastAsia="Calibri"/>
                <w:b/>
                <w:bCs/>
                <w:sz w:val="18"/>
                <w:szCs w:val="18"/>
                <w:lang w:eastAsia="en-US"/>
              </w:rPr>
              <w:t>Vivienda</w:t>
            </w:r>
          </w:p>
        </w:tc>
        <w:tc>
          <w:tcPr>
            <w:tcW w:w="1134" w:type="dxa"/>
            <w:tcBorders>
              <w:left w:val="single" w:sz="4" w:space="0" w:color="auto"/>
              <w:right w:val="single" w:sz="4" w:space="0" w:color="auto"/>
            </w:tcBorders>
            <w:shd w:val="clear" w:color="auto" w:fill="auto"/>
            <w:vAlign w:val="center"/>
          </w:tcPr>
          <w:p w14:paraId="2FFDB200" w14:textId="77777777" w:rsidR="00DB215C" w:rsidRPr="00DB215C" w:rsidRDefault="00DB215C" w:rsidP="00DB215C">
            <w:pPr>
              <w:spacing w:before="40" w:after="40"/>
              <w:ind w:right="227"/>
              <w:jc w:val="right"/>
              <w:rPr>
                <w:rFonts w:eastAsia="Calibri"/>
                <w:b/>
                <w:sz w:val="18"/>
                <w:szCs w:val="18"/>
                <w:lang w:eastAsia="en-US"/>
              </w:rPr>
            </w:pPr>
            <w:r w:rsidRPr="00DB215C">
              <w:rPr>
                <w:rFonts w:eastAsia="Calibri"/>
                <w:b/>
                <w:sz w:val="18"/>
                <w:szCs w:val="18"/>
                <w:lang w:eastAsia="en-US"/>
              </w:rPr>
              <w:t>518</w:t>
            </w:r>
          </w:p>
        </w:tc>
        <w:tc>
          <w:tcPr>
            <w:tcW w:w="1253" w:type="dxa"/>
            <w:tcBorders>
              <w:top w:val="nil"/>
              <w:left w:val="single" w:sz="4" w:space="0" w:color="auto"/>
              <w:bottom w:val="nil"/>
              <w:right w:val="single" w:sz="4" w:space="0" w:color="auto"/>
            </w:tcBorders>
            <w:shd w:val="clear" w:color="auto" w:fill="auto"/>
            <w:vAlign w:val="center"/>
          </w:tcPr>
          <w:p w14:paraId="32A26BF0" w14:textId="77777777" w:rsidR="00DB215C" w:rsidRPr="00DB215C" w:rsidRDefault="00DB215C" w:rsidP="00DB215C">
            <w:pPr>
              <w:spacing w:before="40" w:after="40"/>
              <w:ind w:right="227"/>
              <w:jc w:val="right"/>
              <w:rPr>
                <w:rFonts w:eastAsia="Calibri"/>
                <w:b/>
                <w:sz w:val="18"/>
                <w:szCs w:val="18"/>
                <w:lang w:eastAsia="en-US"/>
              </w:rPr>
            </w:pPr>
            <w:r w:rsidRPr="00DB215C">
              <w:rPr>
                <w:rFonts w:eastAsia="Calibri"/>
                <w:b/>
                <w:sz w:val="18"/>
                <w:szCs w:val="18"/>
                <w:lang w:eastAsia="en-US"/>
              </w:rPr>
              <w:t>559</w:t>
            </w:r>
          </w:p>
        </w:tc>
        <w:tc>
          <w:tcPr>
            <w:tcW w:w="1134" w:type="dxa"/>
            <w:tcBorders>
              <w:left w:val="single" w:sz="4" w:space="0" w:color="auto"/>
              <w:right w:val="single" w:sz="4" w:space="0" w:color="auto"/>
            </w:tcBorders>
            <w:shd w:val="clear" w:color="auto" w:fill="auto"/>
            <w:vAlign w:val="center"/>
          </w:tcPr>
          <w:p w14:paraId="1C13AA09" w14:textId="77777777" w:rsidR="00DB215C" w:rsidRPr="00DB215C" w:rsidRDefault="00DB215C" w:rsidP="00DB215C">
            <w:pPr>
              <w:spacing w:before="40" w:after="40"/>
              <w:ind w:right="227"/>
              <w:jc w:val="right"/>
              <w:rPr>
                <w:rFonts w:eastAsia="Calibri"/>
                <w:b/>
                <w:sz w:val="18"/>
                <w:szCs w:val="18"/>
                <w:lang w:eastAsia="en-US"/>
              </w:rPr>
            </w:pPr>
            <w:r w:rsidRPr="00DB215C">
              <w:rPr>
                <w:rFonts w:eastAsia="Calibri"/>
                <w:b/>
                <w:sz w:val="18"/>
                <w:szCs w:val="18"/>
                <w:lang w:eastAsia="en-US"/>
              </w:rPr>
              <w:t>569</w:t>
            </w:r>
          </w:p>
        </w:tc>
        <w:tc>
          <w:tcPr>
            <w:tcW w:w="993" w:type="dxa"/>
            <w:tcBorders>
              <w:top w:val="nil"/>
              <w:left w:val="single" w:sz="4" w:space="0" w:color="auto"/>
              <w:bottom w:val="nil"/>
              <w:right w:val="single" w:sz="4" w:space="0" w:color="auto"/>
            </w:tcBorders>
            <w:shd w:val="clear" w:color="auto" w:fill="auto"/>
            <w:vAlign w:val="center"/>
          </w:tcPr>
          <w:p w14:paraId="396ED890" w14:textId="77777777" w:rsidR="00DB215C" w:rsidRPr="00DB215C" w:rsidRDefault="00DB215C" w:rsidP="00DB215C">
            <w:pPr>
              <w:spacing w:before="40" w:after="40"/>
              <w:ind w:right="170"/>
              <w:jc w:val="right"/>
              <w:rPr>
                <w:rFonts w:eastAsia="Calibri"/>
                <w:b/>
                <w:sz w:val="18"/>
                <w:szCs w:val="18"/>
                <w:lang w:eastAsia="en-US"/>
              </w:rPr>
            </w:pPr>
            <w:r w:rsidRPr="00DB215C">
              <w:rPr>
                <w:rFonts w:eastAsia="Calibri"/>
                <w:b/>
                <w:sz w:val="18"/>
                <w:szCs w:val="18"/>
                <w:lang w:eastAsia="en-US"/>
              </w:rPr>
              <w:t>9.9</w:t>
            </w:r>
          </w:p>
        </w:tc>
        <w:tc>
          <w:tcPr>
            <w:tcW w:w="992" w:type="dxa"/>
            <w:tcBorders>
              <w:top w:val="nil"/>
              <w:left w:val="single" w:sz="4" w:space="0" w:color="auto"/>
              <w:bottom w:val="nil"/>
              <w:right w:val="single" w:sz="4" w:space="0" w:color="auto"/>
            </w:tcBorders>
            <w:shd w:val="clear" w:color="auto" w:fill="auto"/>
            <w:vAlign w:val="center"/>
          </w:tcPr>
          <w:p w14:paraId="6C76D61D" w14:textId="77777777" w:rsidR="00DB215C" w:rsidRPr="00DB215C" w:rsidRDefault="00DB215C" w:rsidP="00DB215C">
            <w:pPr>
              <w:spacing w:before="40" w:after="40"/>
              <w:ind w:right="284"/>
              <w:jc w:val="right"/>
              <w:rPr>
                <w:rFonts w:eastAsia="Calibri"/>
                <w:b/>
                <w:bCs/>
                <w:sz w:val="18"/>
                <w:szCs w:val="18"/>
                <w:lang w:eastAsia="en-US"/>
              </w:rPr>
            </w:pPr>
            <w:r w:rsidRPr="00DB215C">
              <w:rPr>
                <w:rFonts w:eastAsia="Calibri"/>
                <w:b/>
                <w:bCs/>
                <w:sz w:val="18"/>
                <w:szCs w:val="18"/>
                <w:lang w:eastAsia="en-US"/>
              </w:rPr>
              <w:t>1.8</w:t>
            </w:r>
          </w:p>
        </w:tc>
      </w:tr>
      <w:tr w:rsidR="00DB215C" w:rsidRPr="00DB215C" w14:paraId="55E95237" w14:textId="77777777" w:rsidTr="00DB215C">
        <w:trPr>
          <w:trHeight w:val="261"/>
          <w:jc w:val="center"/>
        </w:trPr>
        <w:tc>
          <w:tcPr>
            <w:tcW w:w="3283" w:type="dxa"/>
            <w:tcBorders>
              <w:top w:val="nil"/>
              <w:left w:val="single" w:sz="4" w:space="0" w:color="auto"/>
              <w:bottom w:val="nil"/>
              <w:right w:val="single" w:sz="4" w:space="0" w:color="auto"/>
            </w:tcBorders>
            <w:shd w:val="clear" w:color="auto" w:fill="auto"/>
            <w:vAlign w:val="center"/>
          </w:tcPr>
          <w:p w14:paraId="125687E5" w14:textId="77777777" w:rsidR="00DB215C" w:rsidRPr="00DB215C" w:rsidRDefault="00DB215C" w:rsidP="00DB215C">
            <w:pPr>
              <w:ind w:left="170"/>
              <w:rPr>
                <w:rFonts w:eastAsia="Calibri"/>
                <w:bCs/>
                <w:sz w:val="18"/>
                <w:szCs w:val="18"/>
                <w:lang w:eastAsia="en-US"/>
              </w:rPr>
            </w:pPr>
            <w:r w:rsidRPr="00DB215C">
              <w:rPr>
                <w:rFonts w:eastAsia="Calibri"/>
                <w:bCs/>
                <w:sz w:val="18"/>
                <w:szCs w:val="18"/>
                <w:lang w:eastAsia="en-US"/>
              </w:rPr>
              <w:t>Media y Residencial</w:t>
            </w:r>
          </w:p>
        </w:tc>
        <w:tc>
          <w:tcPr>
            <w:tcW w:w="1134" w:type="dxa"/>
            <w:tcBorders>
              <w:left w:val="single" w:sz="4" w:space="0" w:color="auto"/>
              <w:right w:val="single" w:sz="4" w:space="0" w:color="auto"/>
            </w:tcBorders>
            <w:shd w:val="clear" w:color="auto" w:fill="auto"/>
            <w:vAlign w:val="center"/>
          </w:tcPr>
          <w:p w14:paraId="1CA826F9" w14:textId="77777777" w:rsidR="00DB215C" w:rsidRPr="00DB215C" w:rsidRDefault="00DB215C" w:rsidP="00DB215C">
            <w:pPr>
              <w:spacing w:before="40" w:after="40"/>
              <w:ind w:right="227"/>
              <w:jc w:val="right"/>
              <w:rPr>
                <w:rFonts w:eastAsia="Calibri"/>
                <w:sz w:val="18"/>
                <w:szCs w:val="18"/>
                <w:lang w:eastAsia="en-US"/>
              </w:rPr>
            </w:pPr>
            <w:r w:rsidRPr="00DB215C">
              <w:rPr>
                <w:rFonts w:eastAsia="Calibri"/>
                <w:sz w:val="18"/>
                <w:szCs w:val="18"/>
                <w:lang w:eastAsia="en-US"/>
              </w:rPr>
              <w:t>423</w:t>
            </w:r>
          </w:p>
        </w:tc>
        <w:tc>
          <w:tcPr>
            <w:tcW w:w="1253" w:type="dxa"/>
            <w:tcBorders>
              <w:top w:val="nil"/>
              <w:left w:val="single" w:sz="4" w:space="0" w:color="auto"/>
              <w:bottom w:val="nil"/>
              <w:right w:val="single" w:sz="4" w:space="0" w:color="auto"/>
            </w:tcBorders>
            <w:shd w:val="clear" w:color="auto" w:fill="auto"/>
            <w:vAlign w:val="center"/>
          </w:tcPr>
          <w:p w14:paraId="79EBDC92" w14:textId="77777777" w:rsidR="00DB215C" w:rsidRPr="00DB215C" w:rsidRDefault="00DB215C" w:rsidP="00DB215C">
            <w:pPr>
              <w:spacing w:before="40" w:after="40"/>
              <w:ind w:right="227"/>
              <w:jc w:val="right"/>
              <w:rPr>
                <w:rFonts w:eastAsia="Calibri"/>
                <w:sz w:val="18"/>
                <w:szCs w:val="18"/>
                <w:lang w:eastAsia="en-US"/>
              </w:rPr>
            </w:pPr>
            <w:r w:rsidRPr="00DB215C">
              <w:rPr>
                <w:rFonts w:eastAsia="Calibri"/>
                <w:sz w:val="18"/>
                <w:szCs w:val="18"/>
                <w:lang w:eastAsia="en-US"/>
              </w:rPr>
              <w:t>478</w:t>
            </w:r>
          </w:p>
        </w:tc>
        <w:tc>
          <w:tcPr>
            <w:tcW w:w="1134" w:type="dxa"/>
            <w:tcBorders>
              <w:left w:val="single" w:sz="4" w:space="0" w:color="auto"/>
              <w:right w:val="single" w:sz="4" w:space="0" w:color="auto"/>
            </w:tcBorders>
            <w:shd w:val="clear" w:color="auto" w:fill="auto"/>
            <w:vAlign w:val="center"/>
          </w:tcPr>
          <w:p w14:paraId="6879BD21" w14:textId="77777777" w:rsidR="00DB215C" w:rsidRPr="00DB215C" w:rsidRDefault="00DB215C" w:rsidP="00DB215C">
            <w:pPr>
              <w:spacing w:before="40" w:after="40"/>
              <w:ind w:right="227"/>
              <w:jc w:val="right"/>
              <w:rPr>
                <w:rFonts w:eastAsia="Calibri"/>
                <w:sz w:val="18"/>
                <w:szCs w:val="18"/>
                <w:lang w:eastAsia="en-US"/>
              </w:rPr>
            </w:pPr>
            <w:r w:rsidRPr="00DB215C">
              <w:rPr>
                <w:rFonts w:eastAsia="Calibri"/>
                <w:sz w:val="18"/>
                <w:szCs w:val="18"/>
                <w:lang w:eastAsia="en-US"/>
              </w:rPr>
              <w:t>486</w:t>
            </w:r>
          </w:p>
        </w:tc>
        <w:tc>
          <w:tcPr>
            <w:tcW w:w="993" w:type="dxa"/>
            <w:tcBorders>
              <w:top w:val="nil"/>
              <w:left w:val="single" w:sz="4" w:space="0" w:color="auto"/>
              <w:bottom w:val="nil"/>
              <w:right w:val="single" w:sz="4" w:space="0" w:color="auto"/>
            </w:tcBorders>
            <w:shd w:val="clear" w:color="auto" w:fill="auto"/>
            <w:vAlign w:val="center"/>
          </w:tcPr>
          <w:p w14:paraId="21599101" w14:textId="77777777" w:rsidR="00DB215C" w:rsidRPr="00DB215C" w:rsidRDefault="00DB215C" w:rsidP="00DB215C">
            <w:pPr>
              <w:spacing w:before="40" w:after="40"/>
              <w:ind w:right="170"/>
              <w:jc w:val="right"/>
              <w:rPr>
                <w:rFonts w:eastAsia="Calibri"/>
                <w:sz w:val="18"/>
                <w:szCs w:val="18"/>
                <w:lang w:eastAsia="en-US"/>
              </w:rPr>
            </w:pPr>
            <w:r w:rsidRPr="00DB215C">
              <w:rPr>
                <w:rFonts w:eastAsia="Calibri"/>
                <w:sz w:val="18"/>
                <w:szCs w:val="18"/>
                <w:lang w:eastAsia="en-US"/>
              </w:rPr>
              <w:t>14.8</w:t>
            </w:r>
          </w:p>
        </w:tc>
        <w:tc>
          <w:tcPr>
            <w:tcW w:w="992" w:type="dxa"/>
            <w:tcBorders>
              <w:top w:val="nil"/>
              <w:left w:val="single" w:sz="4" w:space="0" w:color="auto"/>
              <w:bottom w:val="nil"/>
              <w:right w:val="single" w:sz="4" w:space="0" w:color="auto"/>
            </w:tcBorders>
            <w:shd w:val="clear" w:color="auto" w:fill="auto"/>
            <w:vAlign w:val="center"/>
          </w:tcPr>
          <w:p w14:paraId="041C8A11" w14:textId="77777777" w:rsidR="00DB215C" w:rsidRPr="00DB215C" w:rsidRDefault="00DB215C" w:rsidP="00DB215C">
            <w:pPr>
              <w:spacing w:before="40" w:after="40"/>
              <w:ind w:right="284"/>
              <w:jc w:val="right"/>
              <w:rPr>
                <w:rFonts w:eastAsia="Calibri"/>
                <w:bCs/>
                <w:sz w:val="18"/>
                <w:szCs w:val="18"/>
                <w:lang w:eastAsia="en-US"/>
              </w:rPr>
            </w:pPr>
            <w:r w:rsidRPr="00DB215C">
              <w:rPr>
                <w:rFonts w:eastAsia="Calibri"/>
                <w:bCs/>
                <w:sz w:val="18"/>
                <w:szCs w:val="18"/>
                <w:lang w:eastAsia="en-US"/>
              </w:rPr>
              <w:t>1.7</w:t>
            </w:r>
          </w:p>
        </w:tc>
      </w:tr>
      <w:tr w:rsidR="00DB215C" w:rsidRPr="00DB215C" w14:paraId="22C0C8B3" w14:textId="77777777" w:rsidTr="00DB215C">
        <w:trPr>
          <w:trHeight w:val="261"/>
          <w:jc w:val="center"/>
        </w:trPr>
        <w:tc>
          <w:tcPr>
            <w:tcW w:w="3283" w:type="dxa"/>
            <w:tcBorders>
              <w:top w:val="nil"/>
              <w:left w:val="single" w:sz="4" w:space="0" w:color="auto"/>
              <w:bottom w:val="single" w:sz="4" w:space="0" w:color="auto"/>
              <w:right w:val="single" w:sz="4" w:space="0" w:color="auto"/>
            </w:tcBorders>
            <w:shd w:val="clear" w:color="auto" w:fill="auto"/>
            <w:vAlign w:val="center"/>
          </w:tcPr>
          <w:p w14:paraId="7303EFFA" w14:textId="77777777" w:rsidR="00DB215C" w:rsidRPr="00DB215C" w:rsidRDefault="00DB215C" w:rsidP="00DB215C">
            <w:pPr>
              <w:spacing w:after="120"/>
              <w:ind w:left="170"/>
              <w:rPr>
                <w:rFonts w:eastAsia="Calibri"/>
                <w:bCs/>
                <w:sz w:val="18"/>
                <w:szCs w:val="18"/>
                <w:lang w:eastAsia="en-US"/>
              </w:rPr>
            </w:pPr>
            <w:r w:rsidRPr="00DB215C">
              <w:rPr>
                <w:rFonts w:eastAsia="Calibri"/>
                <w:bCs/>
                <w:sz w:val="18"/>
                <w:szCs w:val="18"/>
                <w:lang w:eastAsia="en-US"/>
              </w:rPr>
              <w:t>De interés social</w:t>
            </w:r>
          </w:p>
        </w:tc>
        <w:tc>
          <w:tcPr>
            <w:tcW w:w="1134" w:type="dxa"/>
            <w:tcBorders>
              <w:left w:val="single" w:sz="4" w:space="0" w:color="auto"/>
              <w:bottom w:val="single" w:sz="4" w:space="0" w:color="auto"/>
              <w:right w:val="single" w:sz="4" w:space="0" w:color="auto"/>
            </w:tcBorders>
            <w:shd w:val="clear" w:color="auto" w:fill="auto"/>
            <w:vAlign w:val="center"/>
          </w:tcPr>
          <w:p w14:paraId="791A4E84" w14:textId="77777777" w:rsidR="00DB215C" w:rsidRPr="00DB215C" w:rsidRDefault="00DB215C" w:rsidP="00DB215C">
            <w:pPr>
              <w:spacing w:before="40" w:after="40"/>
              <w:ind w:right="227"/>
              <w:jc w:val="right"/>
              <w:rPr>
                <w:rFonts w:eastAsia="Calibri"/>
                <w:sz w:val="18"/>
                <w:szCs w:val="18"/>
                <w:lang w:eastAsia="en-US"/>
              </w:rPr>
            </w:pPr>
            <w:r w:rsidRPr="00DB215C">
              <w:rPr>
                <w:rFonts w:eastAsia="Calibri"/>
                <w:sz w:val="18"/>
                <w:szCs w:val="18"/>
                <w:lang w:eastAsia="en-US"/>
              </w:rPr>
              <w:t>94</w:t>
            </w:r>
          </w:p>
        </w:tc>
        <w:tc>
          <w:tcPr>
            <w:tcW w:w="1253" w:type="dxa"/>
            <w:tcBorders>
              <w:top w:val="nil"/>
              <w:left w:val="single" w:sz="4" w:space="0" w:color="auto"/>
              <w:bottom w:val="single" w:sz="4" w:space="0" w:color="auto"/>
              <w:right w:val="single" w:sz="4" w:space="0" w:color="auto"/>
            </w:tcBorders>
            <w:shd w:val="clear" w:color="auto" w:fill="auto"/>
            <w:vAlign w:val="center"/>
          </w:tcPr>
          <w:p w14:paraId="0143122C" w14:textId="77777777" w:rsidR="00DB215C" w:rsidRPr="00DB215C" w:rsidRDefault="00DB215C" w:rsidP="00DB215C">
            <w:pPr>
              <w:spacing w:before="40" w:after="40"/>
              <w:ind w:right="227"/>
              <w:jc w:val="right"/>
              <w:rPr>
                <w:rFonts w:eastAsia="Calibri"/>
                <w:sz w:val="18"/>
                <w:szCs w:val="18"/>
                <w:lang w:eastAsia="en-US"/>
              </w:rPr>
            </w:pPr>
            <w:r w:rsidRPr="00DB215C">
              <w:rPr>
                <w:rFonts w:eastAsia="Calibri"/>
                <w:sz w:val="18"/>
                <w:szCs w:val="18"/>
                <w:lang w:eastAsia="en-US"/>
              </w:rPr>
              <w:t>81</w:t>
            </w:r>
          </w:p>
        </w:tc>
        <w:tc>
          <w:tcPr>
            <w:tcW w:w="1134" w:type="dxa"/>
            <w:tcBorders>
              <w:left w:val="single" w:sz="4" w:space="0" w:color="auto"/>
              <w:bottom w:val="single" w:sz="4" w:space="0" w:color="auto"/>
              <w:right w:val="single" w:sz="4" w:space="0" w:color="auto"/>
            </w:tcBorders>
            <w:shd w:val="clear" w:color="auto" w:fill="auto"/>
            <w:vAlign w:val="center"/>
          </w:tcPr>
          <w:p w14:paraId="051CCAF9" w14:textId="77777777" w:rsidR="00DB215C" w:rsidRPr="00DB215C" w:rsidRDefault="00DB215C" w:rsidP="00DB215C">
            <w:pPr>
              <w:spacing w:before="40" w:after="40"/>
              <w:ind w:right="227"/>
              <w:jc w:val="right"/>
              <w:rPr>
                <w:rFonts w:eastAsia="Calibri"/>
                <w:sz w:val="18"/>
                <w:szCs w:val="18"/>
                <w:lang w:eastAsia="en-US"/>
              </w:rPr>
            </w:pPr>
            <w:r w:rsidRPr="00DB215C">
              <w:rPr>
                <w:rFonts w:eastAsia="Calibri"/>
                <w:sz w:val="18"/>
                <w:szCs w:val="18"/>
                <w:lang w:eastAsia="en-US"/>
              </w:rPr>
              <w:t>83</w:t>
            </w:r>
          </w:p>
        </w:tc>
        <w:tc>
          <w:tcPr>
            <w:tcW w:w="993" w:type="dxa"/>
            <w:tcBorders>
              <w:top w:val="nil"/>
              <w:left w:val="single" w:sz="4" w:space="0" w:color="auto"/>
              <w:bottom w:val="single" w:sz="4" w:space="0" w:color="auto"/>
              <w:right w:val="single" w:sz="4" w:space="0" w:color="auto"/>
            </w:tcBorders>
            <w:shd w:val="clear" w:color="auto" w:fill="auto"/>
            <w:vAlign w:val="center"/>
          </w:tcPr>
          <w:p w14:paraId="3CA373A5" w14:textId="77777777" w:rsidR="00DB215C" w:rsidRPr="00DB215C" w:rsidRDefault="00DB215C" w:rsidP="00DB215C">
            <w:pPr>
              <w:spacing w:before="40" w:after="40"/>
              <w:ind w:right="170"/>
              <w:jc w:val="right"/>
              <w:rPr>
                <w:rFonts w:eastAsia="Calibri"/>
                <w:sz w:val="18"/>
                <w:szCs w:val="18"/>
                <w:lang w:eastAsia="en-US"/>
              </w:rPr>
            </w:pPr>
            <w:r w:rsidRPr="00DB215C">
              <w:rPr>
                <w:rFonts w:eastAsia="Calibri"/>
                <w:sz w:val="18"/>
                <w:szCs w:val="18"/>
                <w:lang w:eastAsia="en-US"/>
              </w:rPr>
              <w:t>-12.0</w:t>
            </w:r>
          </w:p>
        </w:tc>
        <w:tc>
          <w:tcPr>
            <w:tcW w:w="992" w:type="dxa"/>
            <w:tcBorders>
              <w:top w:val="nil"/>
              <w:left w:val="single" w:sz="4" w:space="0" w:color="auto"/>
              <w:bottom w:val="single" w:sz="4" w:space="0" w:color="auto"/>
              <w:right w:val="single" w:sz="4" w:space="0" w:color="auto"/>
            </w:tcBorders>
            <w:shd w:val="clear" w:color="auto" w:fill="auto"/>
            <w:vAlign w:val="center"/>
          </w:tcPr>
          <w:p w14:paraId="65986753" w14:textId="77777777" w:rsidR="00DB215C" w:rsidRPr="00DB215C" w:rsidRDefault="00DB215C" w:rsidP="00DB215C">
            <w:pPr>
              <w:spacing w:before="40" w:after="40"/>
              <w:ind w:right="284"/>
              <w:jc w:val="right"/>
              <w:rPr>
                <w:rFonts w:eastAsia="Calibri"/>
                <w:bCs/>
                <w:sz w:val="18"/>
                <w:szCs w:val="18"/>
                <w:lang w:eastAsia="en-US"/>
              </w:rPr>
            </w:pPr>
            <w:r w:rsidRPr="00DB215C">
              <w:rPr>
                <w:rFonts w:eastAsia="Calibri"/>
                <w:bCs/>
                <w:sz w:val="18"/>
                <w:szCs w:val="18"/>
                <w:lang w:eastAsia="en-US"/>
              </w:rPr>
              <w:t>2.6</w:t>
            </w:r>
          </w:p>
        </w:tc>
      </w:tr>
      <w:tr w:rsidR="00DB215C" w:rsidRPr="00DB215C" w14:paraId="2E9AF78D" w14:textId="77777777" w:rsidTr="00DB215C">
        <w:trPr>
          <w:trHeight w:val="261"/>
          <w:jc w:val="center"/>
        </w:trPr>
        <w:tc>
          <w:tcPr>
            <w:tcW w:w="8789" w:type="dxa"/>
            <w:gridSpan w:val="6"/>
            <w:tcBorders>
              <w:top w:val="single" w:sz="4" w:space="0" w:color="auto"/>
              <w:bottom w:val="nil"/>
            </w:tcBorders>
            <w:vAlign w:val="center"/>
          </w:tcPr>
          <w:p w14:paraId="58E043EE" w14:textId="77777777" w:rsidR="00DB215C" w:rsidRPr="00DB215C" w:rsidRDefault="00DB215C" w:rsidP="00DB215C">
            <w:pPr>
              <w:spacing w:before="120"/>
              <w:rPr>
                <w:rFonts w:eastAsia="Calibri"/>
                <w:bCs/>
                <w:sz w:val="20"/>
                <w:szCs w:val="20"/>
                <w:lang w:eastAsia="en-US"/>
              </w:rPr>
            </w:pPr>
            <w:r w:rsidRPr="00DB215C">
              <w:rPr>
                <w:rFonts w:eastAsia="Calibri"/>
                <w:bCs/>
                <w:sz w:val="20"/>
                <w:szCs w:val="20"/>
                <w:lang w:eastAsia="en-US"/>
              </w:rPr>
              <w:t>FUENTE: CNBV.</w:t>
            </w:r>
          </w:p>
        </w:tc>
      </w:tr>
    </w:tbl>
    <w:p w14:paraId="0A1799E4" w14:textId="5F78325F" w:rsidR="00DB215C" w:rsidRPr="00DB215C" w:rsidRDefault="00DB215C" w:rsidP="00DB215C">
      <w:pPr>
        <w:spacing w:before="360" w:after="360" w:line="360" w:lineRule="auto"/>
        <w:ind w:right="-159"/>
        <w:jc w:val="both"/>
        <w:rPr>
          <w:rFonts w:eastAsia="Calibri"/>
          <w:sz w:val="26"/>
          <w:szCs w:val="26"/>
          <w:lang w:eastAsia="en-US"/>
        </w:rPr>
      </w:pPr>
      <w:r w:rsidRPr="00DB215C">
        <w:rPr>
          <w:rFonts w:eastAsia="Calibri"/>
          <w:sz w:val="26"/>
          <w:szCs w:val="26"/>
          <w:lang w:eastAsia="en-US"/>
        </w:rPr>
        <w:t>El crédito comercial concentró el 62.1% de la cartera total y se incrementó 14.4% contra el mismo mes del año anterior, alcanzando un saldo de 2 mil 469 mmdp. La cartera empresarial conformó, a su vez, 69.8% de dicho crédito comercial, con un saldo de 1 mil 469 mmdp y un crecimiento anual de 10.8%. El crédito a entidades financieras se incrementó 6.4% en el último año con un saldo a enero de 2015 de 117 mmdp, 5.6% de la cartera comercial, mientras que el crédito a entidades gubernamentales registró una variación positiva anual de 28.4% y un saldo de 518 mmdp, 24.6% de la cartera comercial.</w:t>
      </w:r>
    </w:p>
    <w:p w14:paraId="4677861C" w14:textId="77777777" w:rsidR="00DB215C" w:rsidRPr="00DB215C" w:rsidRDefault="00DB215C" w:rsidP="00DB215C">
      <w:pPr>
        <w:spacing w:before="360" w:after="360" w:line="360" w:lineRule="auto"/>
        <w:ind w:right="-159"/>
        <w:jc w:val="both"/>
        <w:rPr>
          <w:rFonts w:eastAsia="Calibri"/>
          <w:sz w:val="26"/>
          <w:szCs w:val="26"/>
          <w:lang w:eastAsia="en-US"/>
        </w:rPr>
      </w:pPr>
      <w:r w:rsidRPr="00DB215C">
        <w:rPr>
          <w:rFonts w:eastAsia="Calibri"/>
          <w:sz w:val="26"/>
          <w:szCs w:val="26"/>
          <w:lang w:eastAsia="en-US"/>
        </w:rPr>
        <w:lastRenderedPageBreak/>
        <w:t>El financiamiento al sector empresarial estuvo conformado por 75.3% para las grandes empresas y fideicomisos, registrando una disminución anual en su participación dentro del segmento de 0.5 puntos porcentuales (pp) y una tasa de crecimiento anual de 9.6%, mientras que los créditos a las micro, pequeñas y medianas empresas concentraron 24.7%, con una tasa de crecimiento anual conjunta de 12.9% y variaciones individuales positivas en su participación de 0.8, 0.3pp y un decremento de 0.5 pp, respectivamente.</w:t>
      </w:r>
    </w:p>
    <w:tbl>
      <w:tblPr>
        <w:tblW w:w="8600" w:type="dxa"/>
        <w:jc w:val="center"/>
        <w:tblLayout w:type="fixed"/>
        <w:tblLook w:val="01E0" w:firstRow="1" w:lastRow="1" w:firstColumn="1" w:lastColumn="1" w:noHBand="0" w:noVBand="0"/>
      </w:tblPr>
      <w:tblGrid>
        <w:gridCol w:w="2505"/>
        <w:gridCol w:w="1275"/>
        <w:gridCol w:w="1276"/>
        <w:gridCol w:w="1277"/>
        <w:gridCol w:w="1133"/>
        <w:gridCol w:w="1134"/>
      </w:tblGrid>
      <w:tr w:rsidR="00DB215C" w:rsidRPr="00DB215C" w14:paraId="17B0FD00" w14:textId="77777777" w:rsidTr="00DB215C">
        <w:trPr>
          <w:trHeight w:val="552"/>
          <w:jc w:val="center"/>
        </w:trPr>
        <w:tc>
          <w:tcPr>
            <w:tcW w:w="8600" w:type="dxa"/>
            <w:gridSpan w:val="6"/>
            <w:tcBorders>
              <w:top w:val="nil"/>
              <w:bottom w:val="single" w:sz="4" w:space="0" w:color="auto"/>
            </w:tcBorders>
            <w:vAlign w:val="center"/>
          </w:tcPr>
          <w:p w14:paraId="7260C88B" w14:textId="77777777" w:rsidR="00DB215C" w:rsidRPr="00DB215C" w:rsidRDefault="00DB215C" w:rsidP="00DB215C">
            <w:pPr>
              <w:jc w:val="center"/>
              <w:rPr>
                <w:rFonts w:eastAsia="Calibri"/>
                <w:b/>
                <w:bCs/>
                <w:sz w:val="22"/>
                <w:szCs w:val="22"/>
                <w:lang w:eastAsia="en-US"/>
              </w:rPr>
            </w:pPr>
            <w:r w:rsidRPr="00DB215C">
              <w:rPr>
                <w:rFonts w:eastAsia="Calibri"/>
                <w:b/>
                <w:bCs/>
                <w:sz w:val="22"/>
                <w:szCs w:val="22"/>
                <w:lang w:eastAsia="en-US"/>
              </w:rPr>
              <w:t>CARTERA EMPRESARIAL POR TAMAÑO DE EMPRESA</w:t>
            </w:r>
          </w:p>
          <w:p w14:paraId="75B40F04" w14:textId="69711FDD" w:rsidR="00DB215C" w:rsidRPr="00DB215C" w:rsidRDefault="00DB215C" w:rsidP="00EB0468">
            <w:pPr>
              <w:jc w:val="center"/>
              <w:rPr>
                <w:rFonts w:eastAsia="Calibri"/>
                <w:bCs/>
                <w:sz w:val="22"/>
                <w:szCs w:val="22"/>
                <w:lang w:eastAsia="en-US"/>
              </w:rPr>
            </w:pPr>
            <w:r w:rsidRPr="00DB215C">
              <w:rPr>
                <w:rFonts w:eastAsia="Calibri"/>
                <w:b/>
                <w:bCs/>
                <w:sz w:val="22"/>
                <w:szCs w:val="22"/>
                <w:lang w:eastAsia="en-US"/>
              </w:rPr>
              <w:t>-En por ciento-</w:t>
            </w:r>
          </w:p>
        </w:tc>
      </w:tr>
      <w:tr w:rsidR="00DB215C" w:rsidRPr="00DB215C" w14:paraId="6211EF9B" w14:textId="77777777" w:rsidTr="00DB215C">
        <w:trPr>
          <w:trHeight w:val="312"/>
          <w:jc w:val="center"/>
        </w:trPr>
        <w:tc>
          <w:tcPr>
            <w:tcW w:w="250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BE695E1" w14:textId="77777777" w:rsidR="00DB215C" w:rsidRPr="00DB215C" w:rsidRDefault="00DB215C" w:rsidP="00DB215C">
            <w:pPr>
              <w:spacing w:before="40" w:after="40"/>
              <w:jc w:val="center"/>
              <w:rPr>
                <w:rFonts w:eastAsia="Calibri"/>
                <w:bCs/>
                <w:sz w:val="18"/>
                <w:szCs w:val="18"/>
                <w:lang w:eastAsia="en-US"/>
              </w:rPr>
            </w:pPr>
          </w:p>
        </w:tc>
        <w:tc>
          <w:tcPr>
            <w:tcW w:w="25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10D15F" w14:textId="77777777" w:rsidR="00DB215C" w:rsidRPr="00DB215C" w:rsidRDefault="00DB215C" w:rsidP="00DB215C">
            <w:pPr>
              <w:jc w:val="center"/>
              <w:rPr>
                <w:rFonts w:eastAsia="Calibri"/>
                <w:b/>
                <w:sz w:val="18"/>
                <w:szCs w:val="18"/>
                <w:lang w:eastAsia="en-US"/>
              </w:rPr>
            </w:pPr>
            <w:r w:rsidRPr="00DB215C">
              <w:rPr>
                <w:rFonts w:eastAsia="Calibri"/>
                <w:b/>
                <w:sz w:val="18"/>
                <w:szCs w:val="18"/>
                <w:lang w:eastAsia="en-US"/>
              </w:rPr>
              <w:t>2014</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183D1470" w14:textId="77777777" w:rsidR="00DB215C" w:rsidRPr="00DB215C" w:rsidRDefault="00DB215C" w:rsidP="00DB215C">
            <w:pPr>
              <w:jc w:val="center"/>
              <w:rPr>
                <w:rFonts w:eastAsia="Calibri"/>
                <w:b/>
                <w:sz w:val="18"/>
                <w:szCs w:val="18"/>
                <w:lang w:eastAsia="en-US"/>
              </w:rPr>
            </w:pPr>
            <w:r w:rsidRPr="00DB215C">
              <w:rPr>
                <w:rFonts w:eastAsia="Calibri"/>
                <w:b/>
                <w:sz w:val="18"/>
                <w:szCs w:val="18"/>
                <w:lang w:eastAsia="en-US"/>
              </w:rPr>
              <w:t>2015</w:t>
            </w:r>
          </w:p>
        </w:tc>
        <w:tc>
          <w:tcPr>
            <w:tcW w:w="22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45C7E1" w14:textId="77777777" w:rsidR="00DB215C" w:rsidRPr="00DB215C" w:rsidRDefault="00DB215C" w:rsidP="00DB215C">
            <w:pPr>
              <w:jc w:val="center"/>
              <w:rPr>
                <w:rFonts w:eastAsia="Calibri"/>
                <w:b/>
                <w:bCs/>
                <w:sz w:val="18"/>
                <w:szCs w:val="18"/>
                <w:lang w:eastAsia="en-US"/>
              </w:rPr>
            </w:pPr>
            <w:r w:rsidRPr="00DB215C">
              <w:rPr>
                <w:rFonts w:eastAsia="Calibri"/>
                <w:b/>
                <w:bCs/>
                <w:sz w:val="18"/>
                <w:szCs w:val="18"/>
                <w:lang w:eastAsia="en-US"/>
              </w:rPr>
              <w:t>Diferencia en PP</w:t>
            </w:r>
          </w:p>
        </w:tc>
      </w:tr>
      <w:tr w:rsidR="00DB215C" w:rsidRPr="00DB215C" w14:paraId="5B1B442B" w14:textId="77777777" w:rsidTr="00DB215C">
        <w:trPr>
          <w:trHeight w:val="281"/>
          <w:jc w:val="center"/>
        </w:trPr>
        <w:tc>
          <w:tcPr>
            <w:tcW w:w="250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5220AA9" w14:textId="77777777" w:rsidR="00DB215C" w:rsidRPr="00DB215C" w:rsidRDefault="00DB215C" w:rsidP="00DB215C">
            <w:pPr>
              <w:spacing w:before="40" w:after="40"/>
              <w:jc w:val="center"/>
              <w:rPr>
                <w:rFonts w:eastAsia="Calibri"/>
                <w:bCs/>
                <w:sz w:val="18"/>
                <w:szCs w:val="18"/>
                <w:lang w:eastAsia="en-US"/>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65FFF12D" w14:textId="77777777" w:rsidR="00DB215C" w:rsidRPr="00DB215C" w:rsidRDefault="00DB215C" w:rsidP="00DB215C">
            <w:pPr>
              <w:jc w:val="center"/>
              <w:rPr>
                <w:rFonts w:eastAsia="Calibri"/>
                <w:b/>
                <w:sz w:val="20"/>
                <w:szCs w:val="20"/>
                <w:lang w:eastAsia="en-US"/>
              </w:rPr>
            </w:pPr>
            <w:r w:rsidRPr="00DB215C">
              <w:rPr>
                <w:rFonts w:eastAsia="Calibri"/>
                <w:b/>
                <w:sz w:val="20"/>
                <w:szCs w:val="20"/>
                <w:lang w:eastAsia="en-US"/>
              </w:rPr>
              <w:t>Enero</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6D427E3" w14:textId="77777777" w:rsidR="00DB215C" w:rsidRPr="00DB215C" w:rsidRDefault="00DB215C" w:rsidP="00DB215C">
            <w:pPr>
              <w:jc w:val="center"/>
              <w:rPr>
                <w:rFonts w:eastAsia="Calibri"/>
                <w:b/>
                <w:sz w:val="20"/>
                <w:szCs w:val="20"/>
                <w:lang w:eastAsia="en-US"/>
              </w:rPr>
            </w:pPr>
            <w:r w:rsidRPr="00DB215C">
              <w:rPr>
                <w:rFonts w:eastAsia="Calibri"/>
                <w:b/>
                <w:sz w:val="20"/>
                <w:szCs w:val="20"/>
                <w:lang w:eastAsia="en-US"/>
              </w:rPr>
              <w:t>Diciembre</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340AEF74" w14:textId="77777777" w:rsidR="00DB215C" w:rsidRPr="00DB215C" w:rsidRDefault="00DB215C" w:rsidP="00DB215C">
            <w:pPr>
              <w:jc w:val="center"/>
              <w:rPr>
                <w:rFonts w:eastAsia="Calibri"/>
                <w:b/>
                <w:sz w:val="20"/>
                <w:szCs w:val="20"/>
                <w:lang w:eastAsia="en-US"/>
              </w:rPr>
            </w:pPr>
            <w:r w:rsidRPr="00DB215C">
              <w:rPr>
                <w:rFonts w:eastAsia="Calibri"/>
                <w:b/>
                <w:sz w:val="20"/>
                <w:szCs w:val="20"/>
                <w:lang w:eastAsia="en-US"/>
              </w:rPr>
              <w:t>Enero</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229113A1" w14:textId="77777777" w:rsidR="00DB215C" w:rsidRPr="00DB215C" w:rsidRDefault="00DB215C" w:rsidP="00DB215C">
            <w:pPr>
              <w:jc w:val="center"/>
              <w:rPr>
                <w:rFonts w:eastAsia="Calibri"/>
                <w:b/>
                <w:sz w:val="18"/>
                <w:szCs w:val="18"/>
                <w:lang w:eastAsia="en-US"/>
              </w:rPr>
            </w:pPr>
            <w:r w:rsidRPr="00DB215C">
              <w:rPr>
                <w:rFonts w:eastAsia="Calibri"/>
                <w:b/>
                <w:sz w:val="18"/>
                <w:szCs w:val="18"/>
                <w:lang w:eastAsia="en-US"/>
              </w:rPr>
              <w:t>Anual</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2AABCD7" w14:textId="77777777" w:rsidR="00DB215C" w:rsidRPr="00DB215C" w:rsidRDefault="00DB215C" w:rsidP="00DB215C">
            <w:pPr>
              <w:jc w:val="center"/>
              <w:rPr>
                <w:rFonts w:eastAsia="Calibri"/>
                <w:b/>
                <w:bCs/>
                <w:sz w:val="18"/>
                <w:szCs w:val="18"/>
                <w:lang w:eastAsia="en-US"/>
              </w:rPr>
            </w:pPr>
            <w:r w:rsidRPr="00DB215C">
              <w:rPr>
                <w:rFonts w:eastAsia="Calibri"/>
                <w:b/>
                <w:bCs/>
                <w:sz w:val="18"/>
                <w:szCs w:val="18"/>
                <w:lang w:eastAsia="en-US"/>
              </w:rPr>
              <w:t>Mensual</w:t>
            </w:r>
          </w:p>
        </w:tc>
      </w:tr>
      <w:tr w:rsidR="00DB215C" w:rsidRPr="00DB215C" w14:paraId="231C32B6" w14:textId="77777777" w:rsidTr="00DB215C">
        <w:trPr>
          <w:trHeight w:val="271"/>
          <w:jc w:val="center"/>
        </w:trPr>
        <w:tc>
          <w:tcPr>
            <w:tcW w:w="2505" w:type="dxa"/>
            <w:tcBorders>
              <w:top w:val="single" w:sz="4" w:space="0" w:color="auto"/>
              <w:left w:val="single" w:sz="4" w:space="0" w:color="auto"/>
              <w:bottom w:val="nil"/>
              <w:right w:val="single" w:sz="4" w:space="0" w:color="auto"/>
            </w:tcBorders>
            <w:shd w:val="clear" w:color="auto" w:fill="auto"/>
            <w:vAlign w:val="center"/>
          </w:tcPr>
          <w:p w14:paraId="40130B13" w14:textId="77777777" w:rsidR="00DB215C" w:rsidRPr="00DB215C" w:rsidRDefault="00DB215C" w:rsidP="00DB215C">
            <w:pPr>
              <w:spacing w:before="120" w:after="40"/>
              <w:jc w:val="both"/>
              <w:rPr>
                <w:rFonts w:eastAsia="Calibri"/>
                <w:b/>
                <w:bCs/>
                <w:sz w:val="18"/>
                <w:szCs w:val="18"/>
                <w:lang w:val="en-US" w:eastAsia="en-US"/>
              </w:rPr>
            </w:pPr>
            <w:r w:rsidRPr="00DB215C">
              <w:rPr>
                <w:rFonts w:eastAsia="Calibri"/>
                <w:b/>
                <w:bCs/>
                <w:sz w:val="18"/>
                <w:szCs w:val="18"/>
                <w:lang w:val="en-US" w:eastAsia="en-US"/>
              </w:rPr>
              <w:t>MiPyMes</w:t>
            </w:r>
          </w:p>
        </w:tc>
        <w:tc>
          <w:tcPr>
            <w:tcW w:w="1275" w:type="dxa"/>
            <w:tcBorders>
              <w:top w:val="single" w:sz="4" w:space="0" w:color="auto"/>
              <w:left w:val="single" w:sz="4" w:space="0" w:color="auto"/>
              <w:right w:val="single" w:sz="4" w:space="0" w:color="auto"/>
            </w:tcBorders>
            <w:shd w:val="clear" w:color="auto" w:fill="auto"/>
            <w:vAlign w:val="center"/>
          </w:tcPr>
          <w:p w14:paraId="359CAF7F" w14:textId="77777777" w:rsidR="00DB215C" w:rsidRPr="00DB215C" w:rsidRDefault="00DB215C" w:rsidP="00EB0468">
            <w:pPr>
              <w:spacing w:before="120" w:after="40"/>
              <w:ind w:right="397"/>
              <w:jc w:val="right"/>
              <w:rPr>
                <w:rFonts w:eastAsia="Calibri"/>
                <w:b/>
                <w:sz w:val="18"/>
                <w:szCs w:val="18"/>
                <w:lang w:val="en-US" w:eastAsia="en-US"/>
              </w:rPr>
            </w:pPr>
            <w:r w:rsidRPr="00DB215C">
              <w:rPr>
                <w:rFonts w:eastAsia="Calibri"/>
                <w:b/>
                <w:sz w:val="18"/>
                <w:szCs w:val="18"/>
                <w:lang w:val="en-US" w:eastAsia="en-US"/>
              </w:rPr>
              <w:t>24.2</w:t>
            </w:r>
          </w:p>
        </w:tc>
        <w:tc>
          <w:tcPr>
            <w:tcW w:w="1276" w:type="dxa"/>
            <w:tcBorders>
              <w:top w:val="single" w:sz="4" w:space="0" w:color="auto"/>
              <w:left w:val="single" w:sz="4" w:space="0" w:color="auto"/>
              <w:bottom w:val="nil"/>
              <w:right w:val="single" w:sz="4" w:space="0" w:color="auto"/>
            </w:tcBorders>
            <w:shd w:val="clear" w:color="auto" w:fill="auto"/>
            <w:vAlign w:val="center"/>
          </w:tcPr>
          <w:p w14:paraId="57055B93" w14:textId="77777777" w:rsidR="00DB215C" w:rsidRPr="00DB215C" w:rsidRDefault="00DB215C" w:rsidP="00EB0468">
            <w:pPr>
              <w:spacing w:before="120" w:after="40"/>
              <w:ind w:right="397"/>
              <w:jc w:val="right"/>
              <w:rPr>
                <w:rFonts w:eastAsia="Calibri"/>
                <w:b/>
                <w:sz w:val="18"/>
                <w:szCs w:val="18"/>
                <w:lang w:val="en-US" w:eastAsia="en-US"/>
              </w:rPr>
            </w:pPr>
            <w:r w:rsidRPr="00DB215C">
              <w:rPr>
                <w:rFonts w:eastAsia="Calibri"/>
                <w:b/>
                <w:sz w:val="18"/>
                <w:szCs w:val="18"/>
                <w:lang w:val="en-US" w:eastAsia="en-US"/>
              </w:rPr>
              <w:t>24.8</w:t>
            </w:r>
          </w:p>
        </w:tc>
        <w:tc>
          <w:tcPr>
            <w:tcW w:w="1277" w:type="dxa"/>
            <w:tcBorders>
              <w:top w:val="single" w:sz="4" w:space="0" w:color="auto"/>
              <w:left w:val="single" w:sz="4" w:space="0" w:color="auto"/>
              <w:right w:val="single" w:sz="4" w:space="0" w:color="auto"/>
            </w:tcBorders>
            <w:shd w:val="clear" w:color="auto" w:fill="auto"/>
            <w:vAlign w:val="center"/>
          </w:tcPr>
          <w:p w14:paraId="0396F856" w14:textId="77777777" w:rsidR="00DB215C" w:rsidRPr="00DB215C" w:rsidRDefault="00DB215C" w:rsidP="00EB0468">
            <w:pPr>
              <w:spacing w:before="120" w:after="40"/>
              <w:ind w:right="397"/>
              <w:jc w:val="right"/>
              <w:rPr>
                <w:rFonts w:eastAsia="Calibri"/>
                <w:b/>
                <w:sz w:val="18"/>
                <w:szCs w:val="18"/>
                <w:lang w:val="en-US" w:eastAsia="en-US"/>
              </w:rPr>
            </w:pPr>
            <w:r w:rsidRPr="00DB215C">
              <w:rPr>
                <w:rFonts w:eastAsia="Calibri"/>
                <w:b/>
                <w:sz w:val="18"/>
                <w:szCs w:val="18"/>
                <w:lang w:val="en-US" w:eastAsia="en-US"/>
              </w:rPr>
              <w:t>24.7</w:t>
            </w:r>
          </w:p>
        </w:tc>
        <w:tc>
          <w:tcPr>
            <w:tcW w:w="1133" w:type="dxa"/>
            <w:tcBorders>
              <w:top w:val="single" w:sz="4" w:space="0" w:color="auto"/>
              <w:left w:val="single" w:sz="4" w:space="0" w:color="auto"/>
              <w:bottom w:val="nil"/>
              <w:right w:val="single" w:sz="4" w:space="0" w:color="auto"/>
            </w:tcBorders>
            <w:shd w:val="clear" w:color="auto" w:fill="auto"/>
            <w:vAlign w:val="center"/>
          </w:tcPr>
          <w:p w14:paraId="51C1BE3A" w14:textId="77777777" w:rsidR="00DB215C" w:rsidRPr="00DB215C" w:rsidRDefault="00DB215C" w:rsidP="00DB215C">
            <w:pPr>
              <w:spacing w:before="120" w:after="40"/>
              <w:ind w:right="227"/>
              <w:jc w:val="right"/>
              <w:rPr>
                <w:rFonts w:eastAsia="Calibri"/>
                <w:b/>
                <w:sz w:val="18"/>
                <w:szCs w:val="18"/>
                <w:lang w:val="en-US" w:eastAsia="en-US"/>
              </w:rPr>
            </w:pPr>
            <w:r w:rsidRPr="00DB215C">
              <w:rPr>
                <w:rFonts w:eastAsia="Calibri"/>
                <w:b/>
                <w:sz w:val="18"/>
                <w:szCs w:val="18"/>
                <w:lang w:val="en-US" w:eastAsia="en-US"/>
              </w:rPr>
              <w:t>0.5</w:t>
            </w:r>
          </w:p>
        </w:tc>
        <w:tc>
          <w:tcPr>
            <w:tcW w:w="1134" w:type="dxa"/>
            <w:tcBorders>
              <w:top w:val="single" w:sz="4" w:space="0" w:color="auto"/>
              <w:left w:val="single" w:sz="4" w:space="0" w:color="auto"/>
              <w:bottom w:val="nil"/>
              <w:right w:val="single" w:sz="4" w:space="0" w:color="auto"/>
            </w:tcBorders>
            <w:shd w:val="clear" w:color="auto" w:fill="auto"/>
            <w:vAlign w:val="center"/>
          </w:tcPr>
          <w:p w14:paraId="10AB9FC0" w14:textId="77777777" w:rsidR="00DB215C" w:rsidRPr="00DB215C" w:rsidRDefault="00DB215C" w:rsidP="00DB215C">
            <w:pPr>
              <w:spacing w:before="120" w:after="40"/>
              <w:ind w:right="227"/>
              <w:jc w:val="right"/>
              <w:rPr>
                <w:rFonts w:eastAsia="Calibri"/>
                <w:b/>
                <w:bCs/>
                <w:sz w:val="18"/>
                <w:szCs w:val="18"/>
                <w:lang w:val="en-US" w:eastAsia="en-US"/>
              </w:rPr>
            </w:pPr>
            <w:r w:rsidRPr="00DB215C">
              <w:rPr>
                <w:rFonts w:eastAsia="Calibri"/>
                <w:b/>
                <w:bCs/>
                <w:sz w:val="18"/>
                <w:szCs w:val="18"/>
                <w:lang w:val="en-US" w:eastAsia="en-US"/>
              </w:rPr>
              <w:t>-0.1</w:t>
            </w:r>
          </w:p>
        </w:tc>
      </w:tr>
      <w:tr w:rsidR="00DB215C" w:rsidRPr="00DB215C" w14:paraId="1C131ACD" w14:textId="77777777" w:rsidTr="00DB215C">
        <w:trPr>
          <w:trHeight w:val="271"/>
          <w:jc w:val="center"/>
        </w:trPr>
        <w:tc>
          <w:tcPr>
            <w:tcW w:w="2505" w:type="dxa"/>
            <w:tcBorders>
              <w:top w:val="nil"/>
              <w:left w:val="single" w:sz="4" w:space="0" w:color="auto"/>
              <w:bottom w:val="nil"/>
              <w:right w:val="single" w:sz="4" w:space="0" w:color="auto"/>
            </w:tcBorders>
            <w:shd w:val="clear" w:color="auto" w:fill="auto"/>
            <w:vAlign w:val="center"/>
          </w:tcPr>
          <w:p w14:paraId="0BD23F2C" w14:textId="77777777" w:rsidR="00DB215C" w:rsidRPr="00DB215C" w:rsidRDefault="00DB215C" w:rsidP="00DB215C">
            <w:pPr>
              <w:spacing w:before="40" w:after="40"/>
              <w:ind w:left="170"/>
              <w:jc w:val="both"/>
              <w:rPr>
                <w:rFonts w:eastAsia="Calibri"/>
                <w:bCs/>
                <w:sz w:val="18"/>
                <w:szCs w:val="18"/>
                <w:lang w:val="en-US" w:eastAsia="en-US"/>
              </w:rPr>
            </w:pPr>
            <w:r w:rsidRPr="00DB215C">
              <w:rPr>
                <w:rFonts w:eastAsia="Calibri"/>
                <w:bCs/>
                <w:sz w:val="18"/>
                <w:szCs w:val="18"/>
                <w:lang w:val="en-US" w:eastAsia="en-US"/>
              </w:rPr>
              <w:t>Micro</w:t>
            </w:r>
          </w:p>
        </w:tc>
        <w:tc>
          <w:tcPr>
            <w:tcW w:w="1275" w:type="dxa"/>
            <w:tcBorders>
              <w:left w:val="single" w:sz="4" w:space="0" w:color="auto"/>
              <w:right w:val="single" w:sz="4" w:space="0" w:color="auto"/>
            </w:tcBorders>
            <w:shd w:val="clear" w:color="auto" w:fill="auto"/>
            <w:vAlign w:val="center"/>
          </w:tcPr>
          <w:p w14:paraId="1BCE204D" w14:textId="77777777" w:rsidR="00DB215C" w:rsidRPr="00DB215C" w:rsidRDefault="00DB215C" w:rsidP="00EB0468">
            <w:pPr>
              <w:spacing w:before="40" w:after="40"/>
              <w:ind w:right="397"/>
              <w:jc w:val="right"/>
              <w:rPr>
                <w:rFonts w:eastAsia="Calibri"/>
                <w:sz w:val="18"/>
                <w:szCs w:val="18"/>
                <w:lang w:val="en-US" w:eastAsia="en-US"/>
              </w:rPr>
            </w:pPr>
            <w:r w:rsidRPr="00DB215C">
              <w:rPr>
                <w:rFonts w:eastAsia="Calibri"/>
                <w:sz w:val="18"/>
                <w:szCs w:val="18"/>
                <w:lang w:val="en-US" w:eastAsia="en-US"/>
              </w:rPr>
              <w:t>8.3</w:t>
            </w:r>
          </w:p>
        </w:tc>
        <w:tc>
          <w:tcPr>
            <w:tcW w:w="1276" w:type="dxa"/>
            <w:tcBorders>
              <w:top w:val="nil"/>
              <w:left w:val="single" w:sz="4" w:space="0" w:color="auto"/>
              <w:bottom w:val="nil"/>
              <w:right w:val="single" w:sz="4" w:space="0" w:color="auto"/>
            </w:tcBorders>
            <w:shd w:val="clear" w:color="auto" w:fill="auto"/>
            <w:vAlign w:val="center"/>
          </w:tcPr>
          <w:p w14:paraId="4DB9EEFB" w14:textId="77777777" w:rsidR="00DB215C" w:rsidRPr="00DB215C" w:rsidRDefault="00DB215C" w:rsidP="00EB0468">
            <w:pPr>
              <w:spacing w:before="40" w:after="40"/>
              <w:ind w:right="397"/>
              <w:jc w:val="right"/>
              <w:rPr>
                <w:rFonts w:eastAsia="Calibri"/>
                <w:sz w:val="18"/>
                <w:szCs w:val="18"/>
                <w:lang w:val="en-US" w:eastAsia="en-US"/>
              </w:rPr>
            </w:pPr>
            <w:r w:rsidRPr="00DB215C">
              <w:rPr>
                <w:rFonts w:eastAsia="Calibri"/>
                <w:sz w:val="18"/>
                <w:szCs w:val="18"/>
                <w:lang w:val="en-US" w:eastAsia="en-US"/>
              </w:rPr>
              <w:t>9.1</w:t>
            </w:r>
          </w:p>
        </w:tc>
        <w:tc>
          <w:tcPr>
            <w:tcW w:w="1277" w:type="dxa"/>
            <w:tcBorders>
              <w:left w:val="single" w:sz="4" w:space="0" w:color="auto"/>
              <w:right w:val="single" w:sz="4" w:space="0" w:color="auto"/>
            </w:tcBorders>
            <w:shd w:val="clear" w:color="auto" w:fill="auto"/>
            <w:vAlign w:val="center"/>
          </w:tcPr>
          <w:p w14:paraId="7111F82F" w14:textId="77777777" w:rsidR="00DB215C" w:rsidRPr="00DB215C" w:rsidRDefault="00DB215C" w:rsidP="00EB0468">
            <w:pPr>
              <w:spacing w:before="40" w:after="40"/>
              <w:ind w:right="397"/>
              <w:jc w:val="right"/>
              <w:rPr>
                <w:rFonts w:eastAsia="Calibri"/>
                <w:sz w:val="18"/>
                <w:szCs w:val="18"/>
                <w:lang w:val="en-US" w:eastAsia="en-US"/>
              </w:rPr>
            </w:pPr>
            <w:r w:rsidRPr="00DB215C">
              <w:rPr>
                <w:rFonts w:eastAsia="Calibri"/>
                <w:sz w:val="18"/>
                <w:szCs w:val="18"/>
                <w:lang w:val="en-US" w:eastAsia="en-US"/>
              </w:rPr>
              <w:t>9.1</w:t>
            </w:r>
          </w:p>
        </w:tc>
        <w:tc>
          <w:tcPr>
            <w:tcW w:w="1133" w:type="dxa"/>
            <w:tcBorders>
              <w:top w:val="nil"/>
              <w:left w:val="single" w:sz="4" w:space="0" w:color="auto"/>
              <w:bottom w:val="nil"/>
              <w:right w:val="single" w:sz="4" w:space="0" w:color="auto"/>
            </w:tcBorders>
            <w:shd w:val="clear" w:color="auto" w:fill="auto"/>
            <w:vAlign w:val="center"/>
          </w:tcPr>
          <w:p w14:paraId="596B1D95" w14:textId="77777777" w:rsidR="00DB215C" w:rsidRPr="00DB215C" w:rsidRDefault="00DB215C" w:rsidP="00DB215C">
            <w:pPr>
              <w:spacing w:before="40" w:after="40"/>
              <w:ind w:right="227"/>
              <w:jc w:val="right"/>
              <w:rPr>
                <w:rFonts w:eastAsia="Calibri"/>
                <w:sz w:val="18"/>
                <w:szCs w:val="18"/>
                <w:lang w:val="en-US" w:eastAsia="en-US"/>
              </w:rPr>
            </w:pPr>
            <w:r w:rsidRPr="00DB215C">
              <w:rPr>
                <w:rFonts w:eastAsia="Calibri"/>
                <w:sz w:val="18"/>
                <w:szCs w:val="18"/>
                <w:lang w:val="en-US" w:eastAsia="en-US"/>
              </w:rPr>
              <w:t>0.8</w:t>
            </w:r>
          </w:p>
        </w:tc>
        <w:tc>
          <w:tcPr>
            <w:tcW w:w="1134" w:type="dxa"/>
            <w:tcBorders>
              <w:top w:val="nil"/>
              <w:left w:val="single" w:sz="4" w:space="0" w:color="auto"/>
              <w:bottom w:val="nil"/>
              <w:right w:val="single" w:sz="4" w:space="0" w:color="auto"/>
            </w:tcBorders>
            <w:shd w:val="clear" w:color="auto" w:fill="auto"/>
            <w:vAlign w:val="center"/>
          </w:tcPr>
          <w:p w14:paraId="7D5AB65D" w14:textId="77777777" w:rsidR="00DB215C" w:rsidRPr="00DB215C" w:rsidRDefault="00DB215C" w:rsidP="00DB215C">
            <w:pPr>
              <w:spacing w:before="40" w:after="40"/>
              <w:ind w:right="227"/>
              <w:jc w:val="right"/>
              <w:rPr>
                <w:rFonts w:eastAsia="Calibri"/>
                <w:bCs/>
                <w:sz w:val="18"/>
                <w:szCs w:val="18"/>
                <w:lang w:val="en-US" w:eastAsia="en-US"/>
              </w:rPr>
            </w:pPr>
            <w:r w:rsidRPr="00DB215C">
              <w:rPr>
                <w:rFonts w:eastAsia="Calibri"/>
                <w:bCs/>
                <w:sz w:val="18"/>
                <w:szCs w:val="18"/>
                <w:lang w:val="en-US" w:eastAsia="en-US"/>
              </w:rPr>
              <w:t>0.0</w:t>
            </w:r>
          </w:p>
        </w:tc>
      </w:tr>
      <w:tr w:rsidR="00DB215C" w:rsidRPr="00DB215C" w14:paraId="293FB887" w14:textId="77777777" w:rsidTr="00DB215C">
        <w:trPr>
          <w:trHeight w:val="271"/>
          <w:jc w:val="center"/>
        </w:trPr>
        <w:tc>
          <w:tcPr>
            <w:tcW w:w="2505" w:type="dxa"/>
            <w:tcBorders>
              <w:top w:val="nil"/>
              <w:left w:val="single" w:sz="4" w:space="0" w:color="auto"/>
              <w:bottom w:val="nil"/>
              <w:right w:val="single" w:sz="4" w:space="0" w:color="auto"/>
            </w:tcBorders>
            <w:shd w:val="clear" w:color="auto" w:fill="auto"/>
            <w:vAlign w:val="center"/>
          </w:tcPr>
          <w:p w14:paraId="23F7FE9F" w14:textId="77777777" w:rsidR="00DB215C" w:rsidRPr="00DB215C" w:rsidRDefault="00DB215C" w:rsidP="00DB215C">
            <w:pPr>
              <w:spacing w:before="40" w:after="40"/>
              <w:ind w:left="170"/>
              <w:jc w:val="both"/>
              <w:rPr>
                <w:rFonts w:eastAsia="Calibri"/>
                <w:bCs/>
                <w:sz w:val="18"/>
                <w:szCs w:val="18"/>
                <w:lang w:val="en-US" w:eastAsia="en-US"/>
              </w:rPr>
            </w:pPr>
            <w:r w:rsidRPr="00DB215C">
              <w:rPr>
                <w:rFonts w:eastAsia="Calibri"/>
                <w:bCs/>
                <w:sz w:val="18"/>
                <w:szCs w:val="18"/>
                <w:lang w:val="en-US" w:eastAsia="en-US"/>
              </w:rPr>
              <w:t>Pequeña</w:t>
            </w:r>
          </w:p>
        </w:tc>
        <w:tc>
          <w:tcPr>
            <w:tcW w:w="1275" w:type="dxa"/>
            <w:tcBorders>
              <w:left w:val="single" w:sz="4" w:space="0" w:color="auto"/>
              <w:right w:val="single" w:sz="4" w:space="0" w:color="auto"/>
            </w:tcBorders>
            <w:shd w:val="clear" w:color="auto" w:fill="auto"/>
            <w:vAlign w:val="center"/>
          </w:tcPr>
          <w:p w14:paraId="7BEFCC8F" w14:textId="77777777" w:rsidR="00DB215C" w:rsidRPr="00DB215C" w:rsidRDefault="00DB215C" w:rsidP="00EB0468">
            <w:pPr>
              <w:spacing w:before="40" w:after="40"/>
              <w:ind w:right="397"/>
              <w:jc w:val="right"/>
              <w:rPr>
                <w:rFonts w:eastAsia="Calibri"/>
                <w:sz w:val="18"/>
                <w:szCs w:val="18"/>
                <w:lang w:val="en-US" w:eastAsia="en-US"/>
              </w:rPr>
            </w:pPr>
            <w:r w:rsidRPr="00DB215C">
              <w:rPr>
                <w:rFonts w:eastAsia="Calibri"/>
                <w:sz w:val="18"/>
                <w:szCs w:val="18"/>
                <w:lang w:val="en-US" w:eastAsia="en-US"/>
              </w:rPr>
              <w:t>10.7</w:t>
            </w:r>
          </w:p>
        </w:tc>
        <w:tc>
          <w:tcPr>
            <w:tcW w:w="1276" w:type="dxa"/>
            <w:tcBorders>
              <w:top w:val="nil"/>
              <w:left w:val="single" w:sz="4" w:space="0" w:color="auto"/>
              <w:bottom w:val="nil"/>
              <w:right w:val="single" w:sz="4" w:space="0" w:color="auto"/>
            </w:tcBorders>
            <w:shd w:val="clear" w:color="auto" w:fill="auto"/>
            <w:vAlign w:val="center"/>
          </w:tcPr>
          <w:p w14:paraId="39878FFF" w14:textId="77777777" w:rsidR="00DB215C" w:rsidRPr="00DB215C" w:rsidRDefault="00DB215C" w:rsidP="00EB0468">
            <w:pPr>
              <w:spacing w:before="40" w:after="40"/>
              <w:ind w:right="397"/>
              <w:jc w:val="right"/>
              <w:rPr>
                <w:rFonts w:eastAsia="Calibri"/>
                <w:sz w:val="18"/>
                <w:szCs w:val="18"/>
                <w:lang w:val="en-US" w:eastAsia="en-US"/>
              </w:rPr>
            </w:pPr>
            <w:r w:rsidRPr="00DB215C">
              <w:rPr>
                <w:rFonts w:eastAsia="Calibri"/>
                <w:sz w:val="18"/>
                <w:szCs w:val="18"/>
                <w:lang w:val="en-US" w:eastAsia="en-US"/>
              </w:rPr>
              <w:t>11.0</w:t>
            </w:r>
          </w:p>
        </w:tc>
        <w:tc>
          <w:tcPr>
            <w:tcW w:w="1277" w:type="dxa"/>
            <w:tcBorders>
              <w:left w:val="single" w:sz="4" w:space="0" w:color="auto"/>
              <w:right w:val="single" w:sz="4" w:space="0" w:color="auto"/>
            </w:tcBorders>
            <w:shd w:val="clear" w:color="auto" w:fill="auto"/>
            <w:vAlign w:val="center"/>
          </w:tcPr>
          <w:p w14:paraId="20AC01D4" w14:textId="77777777" w:rsidR="00DB215C" w:rsidRPr="00DB215C" w:rsidRDefault="00DB215C" w:rsidP="00EB0468">
            <w:pPr>
              <w:spacing w:before="40" w:after="40"/>
              <w:ind w:right="397"/>
              <w:jc w:val="right"/>
              <w:rPr>
                <w:rFonts w:eastAsia="Calibri"/>
                <w:sz w:val="18"/>
                <w:szCs w:val="18"/>
                <w:lang w:val="en-US" w:eastAsia="en-US"/>
              </w:rPr>
            </w:pPr>
            <w:r w:rsidRPr="00DB215C">
              <w:rPr>
                <w:rFonts w:eastAsia="Calibri"/>
                <w:sz w:val="18"/>
                <w:szCs w:val="18"/>
                <w:lang w:val="en-US" w:eastAsia="en-US"/>
              </w:rPr>
              <w:t>10.9</w:t>
            </w:r>
          </w:p>
        </w:tc>
        <w:tc>
          <w:tcPr>
            <w:tcW w:w="1133" w:type="dxa"/>
            <w:tcBorders>
              <w:top w:val="nil"/>
              <w:left w:val="single" w:sz="4" w:space="0" w:color="auto"/>
              <w:bottom w:val="nil"/>
              <w:right w:val="single" w:sz="4" w:space="0" w:color="auto"/>
            </w:tcBorders>
            <w:shd w:val="clear" w:color="auto" w:fill="auto"/>
            <w:vAlign w:val="center"/>
          </w:tcPr>
          <w:p w14:paraId="01CEF3D7" w14:textId="77777777" w:rsidR="00DB215C" w:rsidRPr="00DB215C" w:rsidRDefault="00DB215C" w:rsidP="00DB215C">
            <w:pPr>
              <w:spacing w:before="40" w:after="40"/>
              <w:ind w:right="227"/>
              <w:jc w:val="right"/>
              <w:rPr>
                <w:rFonts w:eastAsia="Calibri"/>
                <w:sz w:val="18"/>
                <w:szCs w:val="18"/>
                <w:lang w:val="en-US" w:eastAsia="en-US"/>
              </w:rPr>
            </w:pPr>
            <w:r w:rsidRPr="00DB215C">
              <w:rPr>
                <w:rFonts w:eastAsia="Calibri"/>
                <w:sz w:val="18"/>
                <w:szCs w:val="18"/>
                <w:lang w:val="en-US" w:eastAsia="en-US"/>
              </w:rPr>
              <w:t>0.3</w:t>
            </w:r>
          </w:p>
        </w:tc>
        <w:tc>
          <w:tcPr>
            <w:tcW w:w="1134" w:type="dxa"/>
            <w:tcBorders>
              <w:top w:val="nil"/>
              <w:left w:val="single" w:sz="4" w:space="0" w:color="auto"/>
              <w:bottom w:val="nil"/>
              <w:right w:val="single" w:sz="4" w:space="0" w:color="auto"/>
            </w:tcBorders>
            <w:shd w:val="clear" w:color="auto" w:fill="auto"/>
            <w:vAlign w:val="center"/>
          </w:tcPr>
          <w:p w14:paraId="7B6D4011" w14:textId="77777777" w:rsidR="00DB215C" w:rsidRPr="00DB215C" w:rsidRDefault="00DB215C" w:rsidP="00DB215C">
            <w:pPr>
              <w:spacing w:before="40" w:after="40"/>
              <w:ind w:right="227"/>
              <w:jc w:val="right"/>
              <w:rPr>
                <w:rFonts w:eastAsia="Calibri"/>
                <w:bCs/>
                <w:sz w:val="18"/>
                <w:szCs w:val="18"/>
                <w:lang w:val="en-US" w:eastAsia="en-US"/>
              </w:rPr>
            </w:pPr>
            <w:r w:rsidRPr="00DB215C">
              <w:rPr>
                <w:rFonts w:eastAsia="Calibri"/>
                <w:bCs/>
                <w:sz w:val="18"/>
                <w:szCs w:val="18"/>
                <w:lang w:val="en-US" w:eastAsia="en-US"/>
              </w:rPr>
              <w:t>0.0</w:t>
            </w:r>
          </w:p>
        </w:tc>
      </w:tr>
      <w:tr w:rsidR="00DB215C" w:rsidRPr="00DB215C" w14:paraId="077B0F51" w14:textId="77777777" w:rsidTr="00DB215C">
        <w:trPr>
          <w:trHeight w:val="271"/>
          <w:jc w:val="center"/>
        </w:trPr>
        <w:tc>
          <w:tcPr>
            <w:tcW w:w="2505" w:type="dxa"/>
            <w:tcBorders>
              <w:top w:val="nil"/>
              <w:left w:val="single" w:sz="4" w:space="0" w:color="auto"/>
              <w:bottom w:val="nil"/>
              <w:right w:val="single" w:sz="4" w:space="0" w:color="auto"/>
            </w:tcBorders>
            <w:shd w:val="clear" w:color="auto" w:fill="auto"/>
            <w:vAlign w:val="center"/>
          </w:tcPr>
          <w:p w14:paraId="0C96D043" w14:textId="77777777" w:rsidR="00DB215C" w:rsidRPr="00DB215C" w:rsidRDefault="00DB215C" w:rsidP="00DB215C">
            <w:pPr>
              <w:spacing w:before="40" w:after="120"/>
              <w:ind w:left="170"/>
              <w:jc w:val="both"/>
              <w:rPr>
                <w:rFonts w:eastAsia="Calibri"/>
                <w:bCs/>
                <w:sz w:val="18"/>
                <w:szCs w:val="18"/>
                <w:lang w:val="en-US" w:eastAsia="en-US"/>
              </w:rPr>
            </w:pPr>
            <w:r w:rsidRPr="00DB215C">
              <w:rPr>
                <w:rFonts w:eastAsia="Calibri"/>
                <w:bCs/>
                <w:sz w:val="18"/>
                <w:szCs w:val="18"/>
                <w:lang w:val="en-US" w:eastAsia="en-US"/>
              </w:rPr>
              <w:t>Mediana</w:t>
            </w:r>
          </w:p>
        </w:tc>
        <w:tc>
          <w:tcPr>
            <w:tcW w:w="1275" w:type="dxa"/>
            <w:tcBorders>
              <w:left w:val="single" w:sz="4" w:space="0" w:color="auto"/>
              <w:right w:val="single" w:sz="4" w:space="0" w:color="auto"/>
            </w:tcBorders>
            <w:shd w:val="clear" w:color="auto" w:fill="auto"/>
            <w:vAlign w:val="center"/>
          </w:tcPr>
          <w:p w14:paraId="10C05D2E" w14:textId="77777777" w:rsidR="00DB215C" w:rsidRPr="00DB215C" w:rsidRDefault="00DB215C" w:rsidP="00EB0468">
            <w:pPr>
              <w:spacing w:before="40" w:after="120"/>
              <w:ind w:right="397"/>
              <w:jc w:val="right"/>
              <w:rPr>
                <w:rFonts w:eastAsia="Calibri"/>
                <w:sz w:val="18"/>
                <w:szCs w:val="18"/>
                <w:lang w:val="en-US" w:eastAsia="en-US"/>
              </w:rPr>
            </w:pPr>
            <w:r w:rsidRPr="00DB215C">
              <w:rPr>
                <w:rFonts w:eastAsia="Calibri"/>
                <w:sz w:val="18"/>
                <w:szCs w:val="18"/>
                <w:lang w:val="en-US" w:eastAsia="en-US"/>
              </w:rPr>
              <w:t>5.2</w:t>
            </w:r>
          </w:p>
        </w:tc>
        <w:tc>
          <w:tcPr>
            <w:tcW w:w="1276" w:type="dxa"/>
            <w:tcBorders>
              <w:top w:val="nil"/>
              <w:left w:val="single" w:sz="4" w:space="0" w:color="auto"/>
              <w:bottom w:val="nil"/>
              <w:right w:val="single" w:sz="4" w:space="0" w:color="auto"/>
            </w:tcBorders>
            <w:shd w:val="clear" w:color="auto" w:fill="auto"/>
            <w:vAlign w:val="center"/>
          </w:tcPr>
          <w:p w14:paraId="3EC36216" w14:textId="77777777" w:rsidR="00DB215C" w:rsidRPr="00DB215C" w:rsidRDefault="00DB215C" w:rsidP="00EB0468">
            <w:pPr>
              <w:spacing w:before="40" w:after="120"/>
              <w:ind w:right="397"/>
              <w:jc w:val="right"/>
              <w:rPr>
                <w:rFonts w:eastAsia="Calibri"/>
                <w:sz w:val="18"/>
                <w:szCs w:val="18"/>
                <w:lang w:val="en-US" w:eastAsia="en-US"/>
              </w:rPr>
            </w:pPr>
            <w:r w:rsidRPr="00DB215C">
              <w:rPr>
                <w:rFonts w:eastAsia="Calibri"/>
                <w:sz w:val="18"/>
                <w:szCs w:val="18"/>
                <w:lang w:val="en-US" w:eastAsia="en-US"/>
              </w:rPr>
              <w:t>4.8</w:t>
            </w:r>
          </w:p>
        </w:tc>
        <w:tc>
          <w:tcPr>
            <w:tcW w:w="1277" w:type="dxa"/>
            <w:tcBorders>
              <w:left w:val="single" w:sz="4" w:space="0" w:color="auto"/>
              <w:right w:val="single" w:sz="4" w:space="0" w:color="auto"/>
            </w:tcBorders>
            <w:shd w:val="clear" w:color="auto" w:fill="auto"/>
            <w:vAlign w:val="center"/>
          </w:tcPr>
          <w:p w14:paraId="6896BE8E" w14:textId="77777777" w:rsidR="00DB215C" w:rsidRPr="00DB215C" w:rsidRDefault="00DB215C" w:rsidP="00EB0468">
            <w:pPr>
              <w:spacing w:before="40" w:after="120"/>
              <w:ind w:right="397"/>
              <w:jc w:val="right"/>
              <w:rPr>
                <w:rFonts w:eastAsia="Calibri"/>
                <w:sz w:val="18"/>
                <w:szCs w:val="18"/>
                <w:lang w:val="en-US" w:eastAsia="en-US"/>
              </w:rPr>
            </w:pPr>
            <w:r w:rsidRPr="00DB215C">
              <w:rPr>
                <w:rFonts w:eastAsia="Calibri"/>
                <w:sz w:val="18"/>
                <w:szCs w:val="18"/>
                <w:lang w:val="en-US" w:eastAsia="en-US"/>
              </w:rPr>
              <w:t>4.7</w:t>
            </w:r>
          </w:p>
        </w:tc>
        <w:tc>
          <w:tcPr>
            <w:tcW w:w="1133" w:type="dxa"/>
            <w:tcBorders>
              <w:top w:val="nil"/>
              <w:left w:val="single" w:sz="4" w:space="0" w:color="auto"/>
              <w:bottom w:val="nil"/>
              <w:right w:val="single" w:sz="4" w:space="0" w:color="auto"/>
            </w:tcBorders>
            <w:shd w:val="clear" w:color="auto" w:fill="auto"/>
            <w:vAlign w:val="center"/>
          </w:tcPr>
          <w:p w14:paraId="7A19423F" w14:textId="77777777" w:rsidR="00DB215C" w:rsidRPr="00DB215C" w:rsidRDefault="00DB215C" w:rsidP="00DB215C">
            <w:pPr>
              <w:spacing w:before="40" w:after="120"/>
              <w:ind w:right="227"/>
              <w:jc w:val="right"/>
              <w:rPr>
                <w:rFonts w:eastAsia="Calibri"/>
                <w:sz w:val="18"/>
                <w:szCs w:val="18"/>
                <w:lang w:val="en-US" w:eastAsia="en-US"/>
              </w:rPr>
            </w:pPr>
            <w:r w:rsidRPr="00DB215C">
              <w:rPr>
                <w:rFonts w:eastAsia="Calibri"/>
                <w:sz w:val="18"/>
                <w:szCs w:val="18"/>
                <w:lang w:val="en-US" w:eastAsia="en-US"/>
              </w:rPr>
              <w:t>-0.5</w:t>
            </w:r>
          </w:p>
        </w:tc>
        <w:tc>
          <w:tcPr>
            <w:tcW w:w="1134" w:type="dxa"/>
            <w:tcBorders>
              <w:top w:val="nil"/>
              <w:left w:val="single" w:sz="4" w:space="0" w:color="auto"/>
              <w:bottom w:val="nil"/>
              <w:right w:val="single" w:sz="4" w:space="0" w:color="auto"/>
            </w:tcBorders>
            <w:shd w:val="clear" w:color="auto" w:fill="auto"/>
            <w:vAlign w:val="center"/>
          </w:tcPr>
          <w:p w14:paraId="360F63F9" w14:textId="77777777" w:rsidR="00DB215C" w:rsidRPr="00DB215C" w:rsidRDefault="00DB215C" w:rsidP="00DB215C">
            <w:pPr>
              <w:spacing w:before="40" w:after="120"/>
              <w:ind w:right="227"/>
              <w:jc w:val="right"/>
              <w:rPr>
                <w:rFonts w:eastAsia="Calibri"/>
                <w:bCs/>
                <w:sz w:val="18"/>
                <w:szCs w:val="18"/>
                <w:lang w:val="en-US" w:eastAsia="en-US"/>
              </w:rPr>
            </w:pPr>
            <w:r w:rsidRPr="00DB215C">
              <w:rPr>
                <w:rFonts w:eastAsia="Calibri"/>
                <w:bCs/>
                <w:sz w:val="18"/>
                <w:szCs w:val="18"/>
                <w:lang w:val="en-US" w:eastAsia="en-US"/>
              </w:rPr>
              <w:t>-0.1</w:t>
            </w:r>
          </w:p>
        </w:tc>
      </w:tr>
      <w:tr w:rsidR="00DB215C" w:rsidRPr="00DB215C" w14:paraId="69A3FED6" w14:textId="77777777" w:rsidTr="00DB215C">
        <w:trPr>
          <w:trHeight w:val="271"/>
          <w:jc w:val="center"/>
        </w:trPr>
        <w:tc>
          <w:tcPr>
            <w:tcW w:w="2505" w:type="dxa"/>
            <w:tcBorders>
              <w:top w:val="nil"/>
              <w:left w:val="single" w:sz="4" w:space="0" w:color="auto"/>
              <w:bottom w:val="single" w:sz="4" w:space="0" w:color="auto"/>
              <w:right w:val="single" w:sz="4" w:space="0" w:color="auto"/>
            </w:tcBorders>
            <w:shd w:val="clear" w:color="auto" w:fill="auto"/>
            <w:vAlign w:val="center"/>
          </w:tcPr>
          <w:p w14:paraId="17075152" w14:textId="77777777" w:rsidR="00DB215C" w:rsidRPr="00DB215C" w:rsidRDefault="00DB215C" w:rsidP="00DB215C">
            <w:pPr>
              <w:spacing w:before="40" w:after="120"/>
              <w:jc w:val="both"/>
              <w:rPr>
                <w:rFonts w:eastAsia="Calibri"/>
                <w:b/>
                <w:bCs/>
                <w:sz w:val="18"/>
                <w:szCs w:val="18"/>
                <w:lang w:val="en-US" w:eastAsia="en-US"/>
              </w:rPr>
            </w:pPr>
            <w:r w:rsidRPr="00DB215C">
              <w:rPr>
                <w:rFonts w:eastAsia="Calibri"/>
                <w:b/>
                <w:bCs/>
                <w:sz w:val="18"/>
                <w:szCs w:val="18"/>
                <w:lang w:val="en-US" w:eastAsia="en-US"/>
              </w:rPr>
              <w:t>Grande</w:t>
            </w:r>
            <w:r w:rsidRPr="00DB215C">
              <w:rPr>
                <w:rFonts w:eastAsia="Calibri"/>
                <w:b/>
                <w:bCs/>
                <w:sz w:val="18"/>
                <w:szCs w:val="18"/>
                <w:u w:val="single"/>
                <w:vertAlign w:val="superscript"/>
                <w:lang w:val="en-US" w:eastAsia="en-US"/>
              </w:rPr>
              <w:t>1</w:t>
            </w:r>
            <w:r w:rsidRPr="00DB215C">
              <w:rPr>
                <w:rFonts w:eastAsia="Calibri"/>
                <w:b/>
                <w:bCs/>
                <w:sz w:val="18"/>
                <w:szCs w:val="18"/>
                <w:vertAlign w:val="superscript"/>
                <w:lang w:val="en-US" w:eastAsia="en-US"/>
              </w:rPr>
              <w:t>/</w:t>
            </w:r>
          </w:p>
        </w:tc>
        <w:tc>
          <w:tcPr>
            <w:tcW w:w="1275" w:type="dxa"/>
            <w:tcBorders>
              <w:left w:val="single" w:sz="4" w:space="0" w:color="auto"/>
              <w:bottom w:val="single" w:sz="4" w:space="0" w:color="auto"/>
              <w:right w:val="single" w:sz="4" w:space="0" w:color="auto"/>
            </w:tcBorders>
            <w:shd w:val="clear" w:color="auto" w:fill="auto"/>
            <w:vAlign w:val="center"/>
          </w:tcPr>
          <w:p w14:paraId="0EC787CA" w14:textId="77777777" w:rsidR="00DB215C" w:rsidRPr="00DB215C" w:rsidRDefault="00DB215C" w:rsidP="00EB0468">
            <w:pPr>
              <w:spacing w:before="40" w:after="120"/>
              <w:ind w:right="397"/>
              <w:jc w:val="right"/>
              <w:rPr>
                <w:rFonts w:eastAsia="Calibri"/>
                <w:b/>
                <w:sz w:val="18"/>
                <w:szCs w:val="18"/>
                <w:lang w:val="en-US" w:eastAsia="en-US"/>
              </w:rPr>
            </w:pPr>
            <w:r w:rsidRPr="00DB215C">
              <w:rPr>
                <w:rFonts w:eastAsia="Calibri"/>
                <w:b/>
                <w:sz w:val="18"/>
                <w:szCs w:val="18"/>
                <w:lang w:val="en-US" w:eastAsia="en-US"/>
              </w:rPr>
              <w:t>75.8</w:t>
            </w:r>
          </w:p>
        </w:tc>
        <w:tc>
          <w:tcPr>
            <w:tcW w:w="1276" w:type="dxa"/>
            <w:tcBorders>
              <w:top w:val="nil"/>
              <w:left w:val="single" w:sz="4" w:space="0" w:color="auto"/>
              <w:bottom w:val="single" w:sz="4" w:space="0" w:color="auto"/>
              <w:right w:val="single" w:sz="4" w:space="0" w:color="auto"/>
            </w:tcBorders>
            <w:shd w:val="clear" w:color="auto" w:fill="auto"/>
            <w:vAlign w:val="center"/>
          </w:tcPr>
          <w:p w14:paraId="17B1116C" w14:textId="77777777" w:rsidR="00DB215C" w:rsidRPr="00DB215C" w:rsidRDefault="00DB215C" w:rsidP="00EB0468">
            <w:pPr>
              <w:spacing w:before="40" w:after="120"/>
              <w:ind w:right="397"/>
              <w:jc w:val="right"/>
              <w:rPr>
                <w:rFonts w:eastAsia="Calibri"/>
                <w:b/>
                <w:sz w:val="18"/>
                <w:szCs w:val="18"/>
                <w:lang w:val="en-US" w:eastAsia="en-US"/>
              </w:rPr>
            </w:pPr>
            <w:r w:rsidRPr="00DB215C">
              <w:rPr>
                <w:rFonts w:eastAsia="Calibri"/>
                <w:b/>
                <w:sz w:val="18"/>
                <w:szCs w:val="18"/>
                <w:lang w:val="en-US" w:eastAsia="en-US"/>
              </w:rPr>
              <w:t>75.2</w:t>
            </w:r>
          </w:p>
        </w:tc>
        <w:tc>
          <w:tcPr>
            <w:tcW w:w="1277" w:type="dxa"/>
            <w:tcBorders>
              <w:left w:val="single" w:sz="4" w:space="0" w:color="auto"/>
              <w:bottom w:val="single" w:sz="4" w:space="0" w:color="auto"/>
              <w:right w:val="single" w:sz="4" w:space="0" w:color="auto"/>
            </w:tcBorders>
            <w:shd w:val="clear" w:color="auto" w:fill="auto"/>
            <w:vAlign w:val="center"/>
          </w:tcPr>
          <w:p w14:paraId="7EF6292F" w14:textId="77777777" w:rsidR="00DB215C" w:rsidRPr="00DB215C" w:rsidRDefault="00DB215C" w:rsidP="00EB0468">
            <w:pPr>
              <w:spacing w:before="40" w:after="120"/>
              <w:ind w:right="397"/>
              <w:jc w:val="right"/>
              <w:rPr>
                <w:rFonts w:eastAsia="Calibri"/>
                <w:b/>
                <w:sz w:val="18"/>
                <w:szCs w:val="18"/>
                <w:lang w:val="en-US" w:eastAsia="en-US"/>
              </w:rPr>
            </w:pPr>
            <w:r w:rsidRPr="00DB215C">
              <w:rPr>
                <w:rFonts w:eastAsia="Calibri"/>
                <w:b/>
                <w:sz w:val="18"/>
                <w:szCs w:val="18"/>
                <w:lang w:val="en-US" w:eastAsia="en-US"/>
              </w:rPr>
              <w:t>75.3</w:t>
            </w:r>
          </w:p>
        </w:tc>
        <w:tc>
          <w:tcPr>
            <w:tcW w:w="1133" w:type="dxa"/>
            <w:tcBorders>
              <w:top w:val="nil"/>
              <w:left w:val="single" w:sz="4" w:space="0" w:color="auto"/>
              <w:bottom w:val="single" w:sz="4" w:space="0" w:color="auto"/>
              <w:right w:val="single" w:sz="4" w:space="0" w:color="auto"/>
            </w:tcBorders>
            <w:shd w:val="clear" w:color="auto" w:fill="auto"/>
            <w:vAlign w:val="center"/>
          </w:tcPr>
          <w:p w14:paraId="4496DED1" w14:textId="77777777" w:rsidR="00DB215C" w:rsidRPr="00DB215C" w:rsidRDefault="00DB215C" w:rsidP="00DB215C">
            <w:pPr>
              <w:spacing w:before="40" w:after="120"/>
              <w:ind w:right="227"/>
              <w:jc w:val="right"/>
              <w:rPr>
                <w:rFonts w:eastAsia="Calibri"/>
                <w:b/>
                <w:sz w:val="18"/>
                <w:szCs w:val="18"/>
                <w:lang w:val="en-US" w:eastAsia="en-US"/>
              </w:rPr>
            </w:pPr>
            <w:r w:rsidRPr="00DB215C">
              <w:rPr>
                <w:rFonts w:eastAsia="Calibri"/>
                <w:b/>
                <w:sz w:val="18"/>
                <w:szCs w:val="18"/>
                <w:lang w:val="en-US" w:eastAsia="en-US"/>
              </w:rPr>
              <w:t>-0.5</w:t>
            </w:r>
          </w:p>
        </w:tc>
        <w:tc>
          <w:tcPr>
            <w:tcW w:w="1134" w:type="dxa"/>
            <w:tcBorders>
              <w:top w:val="nil"/>
              <w:left w:val="single" w:sz="4" w:space="0" w:color="auto"/>
              <w:bottom w:val="single" w:sz="4" w:space="0" w:color="auto"/>
              <w:right w:val="single" w:sz="4" w:space="0" w:color="auto"/>
            </w:tcBorders>
            <w:shd w:val="clear" w:color="auto" w:fill="auto"/>
            <w:vAlign w:val="center"/>
          </w:tcPr>
          <w:p w14:paraId="6AEEE3BF" w14:textId="77777777" w:rsidR="00DB215C" w:rsidRPr="00DB215C" w:rsidRDefault="00DB215C" w:rsidP="00DB215C">
            <w:pPr>
              <w:spacing w:before="40" w:after="120"/>
              <w:ind w:right="227"/>
              <w:jc w:val="right"/>
              <w:rPr>
                <w:rFonts w:eastAsia="Calibri"/>
                <w:b/>
                <w:bCs/>
                <w:sz w:val="18"/>
                <w:szCs w:val="18"/>
                <w:lang w:val="en-US" w:eastAsia="en-US"/>
              </w:rPr>
            </w:pPr>
            <w:r w:rsidRPr="00DB215C">
              <w:rPr>
                <w:rFonts w:eastAsia="Calibri"/>
                <w:b/>
                <w:bCs/>
                <w:sz w:val="18"/>
                <w:szCs w:val="18"/>
                <w:lang w:val="en-US" w:eastAsia="en-US"/>
              </w:rPr>
              <w:t>0.1</w:t>
            </w:r>
          </w:p>
        </w:tc>
      </w:tr>
      <w:tr w:rsidR="00DB215C" w:rsidRPr="00DB215C" w14:paraId="118A280F" w14:textId="77777777" w:rsidTr="00DB215C">
        <w:trPr>
          <w:trHeight w:val="271"/>
          <w:jc w:val="center"/>
        </w:trPr>
        <w:tc>
          <w:tcPr>
            <w:tcW w:w="8600" w:type="dxa"/>
            <w:gridSpan w:val="6"/>
            <w:tcBorders>
              <w:top w:val="single" w:sz="4" w:space="0" w:color="auto"/>
              <w:bottom w:val="nil"/>
            </w:tcBorders>
            <w:vAlign w:val="center"/>
          </w:tcPr>
          <w:p w14:paraId="537439AC" w14:textId="77777777" w:rsidR="00DB215C" w:rsidRPr="00DB215C" w:rsidRDefault="00DB215C" w:rsidP="00DB215C">
            <w:pPr>
              <w:spacing w:before="120"/>
              <w:ind w:right="284"/>
              <w:jc w:val="both"/>
              <w:rPr>
                <w:rFonts w:eastAsia="Calibri"/>
                <w:bCs/>
                <w:sz w:val="20"/>
                <w:szCs w:val="20"/>
                <w:lang w:val="en-US" w:eastAsia="en-US"/>
              </w:rPr>
            </w:pPr>
            <w:r w:rsidRPr="00DB215C">
              <w:rPr>
                <w:rFonts w:eastAsia="Calibri"/>
                <w:bCs/>
                <w:sz w:val="20"/>
                <w:szCs w:val="20"/>
                <w:u w:val="single"/>
                <w:lang w:val="en-US" w:eastAsia="en-US"/>
              </w:rPr>
              <w:t>1</w:t>
            </w:r>
            <w:r w:rsidRPr="00DB215C">
              <w:rPr>
                <w:rFonts w:eastAsia="Calibri"/>
                <w:bCs/>
                <w:sz w:val="20"/>
                <w:szCs w:val="20"/>
                <w:lang w:val="en-US" w:eastAsia="en-US"/>
              </w:rPr>
              <w:t>/ Incluye empresas grandes y fideicomisos.</w:t>
            </w:r>
          </w:p>
          <w:p w14:paraId="2CD564D6" w14:textId="77777777" w:rsidR="00DB215C" w:rsidRPr="00DB215C" w:rsidRDefault="00DB215C" w:rsidP="00DB215C">
            <w:pPr>
              <w:ind w:right="284"/>
              <w:jc w:val="both"/>
              <w:rPr>
                <w:rFonts w:eastAsia="Calibri"/>
                <w:bCs/>
                <w:sz w:val="20"/>
                <w:szCs w:val="20"/>
                <w:lang w:val="en-US" w:eastAsia="en-US"/>
              </w:rPr>
            </w:pPr>
            <w:r w:rsidRPr="00DB215C">
              <w:rPr>
                <w:rFonts w:eastAsia="Calibri"/>
                <w:bCs/>
                <w:sz w:val="20"/>
                <w:szCs w:val="20"/>
                <w:lang w:val="en-US" w:eastAsia="en-US"/>
              </w:rPr>
              <w:t>FUENTE: CNBV.</w:t>
            </w:r>
          </w:p>
        </w:tc>
      </w:tr>
    </w:tbl>
    <w:p w14:paraId="7C2F7168" w14:textId="77777777" w:rsidR="00DB215C" w:rsidRPr="00DB215C" w:rsidRDefault="00DB215C" w:rsidP="00DB215C">
      <w:pPr>
        <w:spacing w:after="360" w:line="360" w:lineRule="auto"/>
        <w:ind w:right="-159"/>
        <w:jc w:val="both"/>
        <w:rPr>
          <w:rFonts w:eastAsia="Calibri"/>
          <w:sz w:val="26"/>
          <w:szCs w:val="26"/>
          <w:lang w:eastAsia="en-US"/>
        </w:rPr>
      </w:pPr>
    </w:p>
    <w:p w14:paraId="431E9832" w14:textId="77777777" w:rsidR="00DB215C" w:rsidRPr="00DB215C" w:rsidRDefault="00DB215C" w:rsidP="00DB215C">
      <w:pPr>
        <w:spacing w:after="360" w:line="360" w:lineRule="auto"/>
        <w:ind w:right="-159"/>
        <w:jc w:val="both"/>
        <w:rPr>
          <w:rFonts w:eastAsia="Calibri"/>
          <w:sz w:val="26"/>
          <w:szCs w:val="26"/>
          <w:lang w:eastAsia="en-US"/>
        </w:rPr>
      </w:pPr>
      <w:r w:rsidRPr="00DB215C">
        <w:rPr>
          <w:rFonts w:eastAsia="Calibri"/>
          <w:sz w:val="26"/>
          <w:szCs w:val="26"/>
          <w:lang w:eastAsia="en-US"/>
        </w:rPr>
        <w:t>El crédito al consumo creció 6.3% con un saldo de 713 mmdp (equivalentes al 21.1% de la cartera total). El crédito a través de tarjetas de crédito aumentó 2.5% y se ubicó en 309 mmdp (43.3% de la cartera de consumo) mientras que los créditos personales alcanzaron un saldo de 136 mmdp, 6.6% más en términos anuales y representando una participación de 19.1%. Por su parte, los créditos de nómina conformaron el 22.7% de este portafolio, 162 mmdp), y crecieron 17.9 por ciento.</w:t>
      </w:r>
    </w:p>
    <w:p w14:paraId="07C181EC" w14:textId="77777777" w:rsidR="00DB215C" w:rsidRPr="00DB215C" w:rsidRDefault="00DB215C" w:rsidP="00DB215C">
      <w:pPr>
        <w:spacing w:after="360" w:line="360" w:lineRule="auto"/>
        <w:ind w:right="-159"/>
        <w:jc w:val="both"/>
        <w:rPr>
          <w:rFonts w:eastAsia="Calibri"/>
          <w:sz w:val="26"/>
          <w:szCs w:val="26"/>
          <w:lang w:eastAsia="en-US"/>
        </w:rPr>
      </w:pPr>
      <w:r w:rsidRPr="00DB215C">
        <w:rPr>
          <w:rFonts w:eastAsia="Calibri"/>
          <w:sz w:val="26"/>
          <w:szCs w:val="26"/>
          <w:lang w:eastAsia="en-US"/>
        </w:rPr>
        <w:t>El segmento de vivienda conformó 16.8% del total de cartera y alcanzó un saldo de 569 mmdp con un incremento anual de 9.9%. El 85.4% de la cartera de vivienda corresponde al segmento de vivienda media y residencial con 486 mmdp y un incremento de 14.8% en el período. La cartera de vivienda de interés social se ubicó en 83 mmdp (14.6% de la cartera vivienda) con una variación negativa anual de 12 por ciento.</w:t>
      </w:r>
    </w:p>
    <w:p w14:paraId="25A1E05A" w14:textId="21314E4A" w:rsidR="00DB215C" w:rsidRPr="00DB215C" w:rsidRDefault="00DB215C" w:rsidP="00DB215C">
      <w:pPr>
        <w:spacing w:after="360" w:line="360" w:lineRule="auto"/>
        <w:ind w:right="-159"/>
        <w:jc w:val="both"/>
        <w:rPr>
          <w:rFonts w:eastAsia="Calibri"/>
          <w:sz w:val="26"/>
          <w:szCs w:val="26"/>
          <w:lang w:eastAsia="en-US"/>
        </w:rPr>
      </w:pPr>
      <w:r w:rsidRPr="00DB215C">
        <w:rPr>
          <w:rFonts w:eastAsia="Calibri"/>
          <w:sz w:val="26"/>
          <w:szCs w:val="26"/>
          <w:lang w:eastAsia="en-US"/>
        </w:rPr>
        <w:lastRenderedPageBreak/>
        <w:t xml:space="preserve">El índice de morosidad (IMOR) de la cartera total se situó en 3.13%, 0.30 pp menos que el nivel observado en diciembre de 2014. El IMOR de la cartera comercial fue 2.25%, menor en 0.40 pp al nivel registrado en el mismo mes de 2014. La cartera de empresas tuvo un IMOR de 3.20%, 0.47 pp por debajo del registrado en el mismo </w:t>
      </w:r>
      <w:r w:rsidR="00781FF6">
        <w:rPr>
          <w:rFonts w:eastAsia="Calibri"/>
          <w:sz w:val="26"/>
          <w:szCs w:val="26"/>
          <w:lang w:eastAsia="en-US"/>
        </w:rPr>
        <w:t>período</w:t>
      </w:r>
      <w:r w:rsidRPr="00DB215C">
        <w:rPr>
          <w:rFonts w:eastAsia="Calibri"/>
          <w:sz w:val="26"/>
          <w:szCs w:val="26"/>
          <w:lang w:eastAsia="en-US"/>
        </w:rPr>
        <w:t xml:space="preserve"> del año anterior.</w:t>
      </w:r>
    </w:p>
    <w:tbl>
      <w:tblPr>
        <w:tblW w:w="8652" w:type="dxa"/>
        <w:jc w:val="center"/>
        <w:tblLayout w:type="fixed"/>
        <w:tblLook w:val="01E0" w:firstRow="1" w:lastRow="1" w:firstColumn="1" w:lastColumn="1" w:noHBand="0" w:noVBand="0"/>
      </w:tblPr>
      <w:tblGrid>
        <w:gridCol w:w="2835"/>
        <w:gridCol w:w="1134"/>
        <w:gridCol w:w="1276"/>
        <w:gridCol w:w="1134"/>
        <w:gridCol w:w="1139"/>
        <w:gridCol w:w="1134"/>
      </w:tblGrid>
      <w:tr w:rsidR="00DB215C" w:rsidRPr="00DB215C" w14:paraId="27E3DF85" w14:textId="77777777" w:rsidTr="00EB0468">
        <w:trPr>
          <w:trHeight w:val="552"/>
          <w:jc w:val="center"/>
        </w:trPr>
        <w:tc>
          <w:tcPr>
            <w:tcW w:w="8652" w:type="dxa"/>
            <w:gridSpan w:val="6"/>
            <w:tcBorders>
              <w:top w:val="nil"/>
              <w:bottom w:val="single" w:sz="4" w:space="0" w:color="auto"/>
            </w:tcBorders>
            <w:vAlign w:val="center"/>
          </w:tcPr>
          <w:p w14:paraId="4E289737" w14:textId="77777777" w:rsidR="00DB215C" w:rsidRPr="00DB215C" w:rsidRDefault="00DB215C" w:rsidP="00DB215C">
            <w:pPr>
              <w:jc w:val="center"/>
              <w:rPr>
                <w:rFonts w:eastAsia="Calibri"/>
                <w:bCs/>
                <w:sz w:val="22"/>
                <w:szCs w:val="22"/>
                <w:lang w:eastAsia="en-US"/>
              </w:rPr>
            </w:pPr>
            <w:r w:rsidRPr="00DB215C">
              <w:rPr>
                <w:rFonts w:eastAsia="Calibri"/>
                <w:b/>
                <w:bCs/>
                <w:sz w:val="22"/>
                <w:szCs w:val="22"/>
                <w:lang w:eastAsia="en-US"/>
              </w:rPr>
              <w:t>BANCA MÚLTIPLE: IMOR</w:t>
            </w:r>
            <w:r w:rsidRPr="00DB215C">
              <w:rPr>
                <w:rFonts w:eastAsia="Calibri"/>
                <w:b/>
                <w:bCs/>
                <w:sz w:val="22"/>
                <w:szCs w:val="22"/>
                <w:u w:val="single"/>
                <w:vertAlign w:val="superscript"/>
                <w:lang w:eastAsia="en-US"/>
              </w:rPr>
              <w:t>1</w:t>
            </w:r>
            <w:r w:rsidRPr="00DB215C">
              <w:rPr>
                <w:rFonts w:eastAsia="Calibri"/>
                <w:b/>
                <w:bCs/>
                <w:sz w:val="22"/>
                <w:szCs w:val="22"/>
                <w:vertAlign w:val="superscript"/>
                <w:lang w:eastAsia="en-US"/>
              </w:rPr>
              <w:t>/</w:t>
            </w:r>
          </w:p>
          <w:p w14:paraId="10CD1D25" w14:textId="05CB6655" w:rsidR="00DB215C" w:rsidRPr="00DB215C" w:rsidRDefault="00DB215C" w:rsidP="00EB0468">
            <w:pPr>
              <w:jc w:val="center"/>
              <w:rPr>
                <w:rFonts w:eastAsia="Calibri"/>
                <w:bCs/>
                <w:sz w:val="22"/>
                <w:szCs w:val="22"/>
                <w:lang w:eastAsia="en-US"/>
              </w:rPr>
            </w:pPr>
            <w:r w:rsidRPr="00DB215C">
              <w:rPr>
                <w:rFonts w:eastAsia="Calibri"/>
                <w:b/>
                <w:bCs/>
                <w:sz w:val="22"/>
                <w:szCs w:val="22"/>
                <w:lang w:eastAsia="en-US"/>
              </w:rPr>
              <w:t>-Cifras en porcentaje-</w:t>
            </w:r>
          </w:p>
        </w:tc>
      </w:tr>
      <w:tr w:rsidR="00DB215C" w:rsidRPr="00DB215C" w14:paraId="349AF13E" w14:textId="77777777" w:rsidTr="00EB0468">
        <w:trPr>
          <w:trHeight w:val="312"/>
          <w:jc w:val="center"/>
        </w:trPr>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C02CB4E" w14:textId="77777777" w:rsidR="00DB215C" w:rsidRPr="00DB215C" w:rsidRDefault="00DB215C" w:rsidP="00DB215C">
            <w:pPr>
              <w:spacing w:before="40" w:after="40"/>
              <w:jc w:val="center"/>
              <w:rPr>
                <w:rFonts w:eastAsia="Calibri"/>
                <w:bCs/>
                <w:sz w:val="18"/>
                <w:szCs w:val="18"/>
                <w:lang w:eastAsia="en-US"/>
              </w:rPr>
            </w:pP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3E4EF2" w14:textId="77777777" w:rsidR="00DB215C" w:rsidRPr="00DB215C" w:rsidRDefault="00DB215C" w:rsidP="00DB215C">
            <w:pPr>
              <w:jc w:val="center"/>
              <w:rPr>
                <w:rFonts w:eastAsia="Calibri"/>
                <w:b/>
                <w:sz w:val="18"/>
                <w:szCs w:val="18"/>
                <w:lang w:eastAsia="en-US"/>
              </w:rPr>
            </w:pPr>
            <w:r w:rsidRPr="00DB215C">
              <w:rPr>
                <w:rFonts w:eastAsia="Calibri"/>
                <w:b/>
                <w:sz w:val="18"/>
                <w:szCs w:val="18"/>
                <w:lang w:eastAsia="en-US"/>
              </w:rPr>
              <w:t>2014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B676B0F" w14:textId="77777777" w:rsidR="00DB215C" w:rsidRPr="00DB215C" w:rsidRDefault="00DB215C" w:rsidP="00DB215C">
            <w:pPr>
              <w:jc w:val="center"/>
              <w:rPr>
                <w:rFonts w:eastAsia="Calibri"/>
                <w:b/>
                <w:sz w:val="18"/>
                <w:szCs w:val="18"/>
                <w:lang w:eastAsia="en-US"/>
              </w:rPr>
            </w:pPr>
            <w:r w:rsidRPr="00DB215C">
              <w:rPr>
                <w:rFonts w:eastAsia="Calibri"/>
                <w:b/>
                <w:sz w:val="18"/>
                <w:szCs w:val="18"/>
                <w:lang w:eastAsia="en-US"/>
              </w:rPr>
              <w:t>2015</w:t>
            </w:r>
          </w:p>
        </w:tc>
        <w:tc>
          <w:tcPr>
            <w:tcW w:w="22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8313C9" w14:textId="77777777" w:rsidR="00DB215C" w:rsidRPr="00DB215C" w:rsidRDefault="00DB215C" w:rsidP="00DB215C">
            <w:pPr>
              <w:jc w:val="center"/>
              <w:rPr>
                <w:rFonts w:eastAsia="Calibri"/>
                <w:b/>
                <w:bCs/>
                <w:sz w:val="18"/>
                <w:szCs w:val="18"/>
                <w:lang w:eastAsia="en-US"/>
              </w:rPr>
            </w:pPr>
            <w:r w:rsidRPr="00DB215C">
              <w:rPr>
                <w:rFonts w:eastAsia="Calibri"/>
                <w:b/>
                <w:bCs/>
                <w:sz w:val="18"/>
                <w:szCs w:val="18"/>
                <w:lang w:eastAsia="en-US"/>
              </w:rPr>
              <w:t>Diferencia en PP</w:t>
            </w:r>
          </w:p>
        </w:tc>
      </w:tr>
      <w:tr w:rsidR="00DB215C" w:rsidRPr="00DB215C" w14:paraId="2105C4B7" w14:textId="77777777" w:rsidTr="00EB0468">
        <w:trPr>
          <w:trHeight w:val="281"/>
          <w:jc w:val="center"/>
        </w:trPr>
        <w:tc>
          <w:tcPr>
            <w:tcW w:w="283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725AEAA" w14:textId="77777777" w:rsidR="00DB215C" w:rsidRPr="00DB215C" w:rsidRDefault="00DB215C" w:rsidP="00DB215C">
            <w:pPr>
              <w:spacing w:before="40" w:after="40"/>
              <w:jc w:val="center"/>
              <w:rPr>
                <w:rFonts w:eastAsia="Calibri"/>
                <w:bCs/>
                <w:sz w:val="18"/>
                <w:szCs w:val="18"/>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BAA931D" w14:textId="77777777" w:rsidR="00DB215C" w:rsidRPr="00DB215C" w:rsidRDefault="00DB215C" w:rsidP="00DB215C">
            <w:pPr>
              <w:jc w:val="center"/>
              <w:rPr>
                <w:rFonts w:eastAsia="Calibri"/>
                <w:b/>
                <w:sz w:val="20"/>
                <w:szCs w:val="20"/>
                <w:lang w:eastAsia="en-US"/>
              </w:rPr>
            </w:pPr>
            <w:r w:rsidRPr="00DB215C">
              <w:rPr>
                <w:rFonts w:eastAsia="Calibri"/>
                <w:b/>
                <w:sz w:val="20"/>
                <w:szCs w:val="20"/>
                <w:lang w:eastAsia="en-US"/>
              </w:rPr>
              <w:t>Enero</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9DA93D5" w14:textId="77777777" w:rsidR="00DB215C" w:rsidRPr="00DB215C" w:rsidRDefault="00DB215C" w:rsidP="00DB215C">
            <w:pPr>
              <w:jc w:val="center"/>
              <w:rPr>
                <w:rFonts w:eastAsia="Calibri"/>
                <w:b/>
                <w:sz w:val="20"/>
                <w:szCs w:val="20"/>
                <w:lang w:eastAsia="en-US"/>
              </w:rPr>
            </w:pPr>
            <w:r w:rsidRPr="00DB215C">
              <w:rPr>
                <w:rFonts w:eastAsia="Calibri"/>
                <w:b/>
                <w:sz w:val="20"/>
                <w:szCs w:val="20"/>
                <w:lang w:eastAsia="en-US"/>
              </w:rPr>
              <w:t>Diciembre</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166131D" w14:textId="77777777" w:rsidR="00DB215C" w:rsidRPr="00DB215C" w:rsidRDefault="00DB215C" w:rsidP="00DB215C">
            <w:pPr>
              <w:jc w:val="center"/>
              <w:rPr>
                <w:rFonts w:eastAsia="Calibri"/>
                <w:b/>
                <w:sz w:val="20"/>
                <w:szCs w:val="20"/>
                <w:lang w:eastAsia="en-US"/>
              </w:rPr>
            </w:pPr>
            <w:r w:rsidRPr="00DB215C">
              <w:rPr>
                <w:rFonts w:eastAsia="Calibri"/>
                <w:b/>
                <w:sz w:val="20"/>
                <w:szCs w:val="20"/>
                <w:lang w:eastAsia="en-US"/>
              </w:rPr>
              <w:t>Enero</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73F83D56" w14:textId="77777777" w:rsidR="00DB215C" w:rsidRPr="00DB215C" w:rsidRDefault="00DB215C" w:rsidP="00DB215C">
            <w:pPr>
              <w:jc w:val="center"/>
              <w:rPr>
                <w:rFonts w:eastAsia="Calibri"/>
                <w:b/>
                <w:sz w:val="18"/>
                <w:szCs w:val="18"/>
                <w:lang w:eastAsia="en-US"/>
              </w:rPr>
            </w:pPr>
            <w:r w:rsidRPr="00DB215C">
              <w:rPr>
                <w:rFonts w:eastAsia="Calibri"/>
                <w:b/>
                <w:sz w:val="18"/>
                <w:szCs w:val="18"/>
                <w:lang w:eastAsia="en-US"/>
              </w:rPr>
              <w:t>Anual</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5560B8C" w14:textId="77777777" w:rsidR="00DB215C" w:rsidRPr="00DB215C" w:rsidRDefault="00DB215C" w:rsidP="00DB215C">
            <w:pPr>
              <w:jc w:val="center"/>
              <w:rPr>
                <w:rFonts w:eastAsia="Calibri"/>
                <w:b/>
                <w:bCs/>
                <w:sz w:val="18"/>
                <w:szCs w:val="18"/>
                <w:lang w:eastAsia="en-US"/>
              </w:rPr>
            </w:pPr>
            <w:r w:rsidRPr="00DB215C">
              <w:rPr>
                <w:rFonts w:eastAsia="Calibri"/>
                <w:b/>
                <w:bCs/>
                <w:sz w:val="18"/>
                <w:szCs w:val="18"/>
                <w:lang w:eastAsia="en-US"/>
              </w:rPr>
              <w:t>Mensual</w:t>
            </w:r>
          </w:p>
        </w:tc>
      </w:tr>
      <w:tr w:rsidR="00DB215C" w:rsidRPr="00DB215C" w14:paraId="42A086FD" w14:textId="77777777" w:rsidTr="00EB0468">
        <w:trPr>
          <w:trHeight w:val="271"/>
          <w:jc w:val="center"/>
        </w:trPr>
        <w:tc>
          <w:tcPr>
            <w:tcW w:w="2835" w:type="dxa"/>
            <w:tcBorders>
              <w:top w:val="single" w:sz="4" w:space="0" w:color="auto"/>
              <w:left w:val="single" w:sz="4" w:space="0" w:color="auto"/>
              <w:bottom w:val="nil"/>
              <w:right w:val="single" w:sz="4" w:space="0" w:color="auto"/>
            </w:tcBorders>
            <w:shd w:val="clear" w:color="auto" w:fill="auto"/>
            <w:vAlign w:val="center"/>
          </w:tcPr>
          <w:p w14:paraId="75586590" w14:textId="77777777" w:rsidR="00DB215C" w:rsidRPr="00DB215C" w:rsidRDefault="00DB215C" w:rsidP="00DB215C">
            <w:pPr>
              <w:spacing w:before="120"/>
              <w:rPr>
                <w:rFonts w:eastAsia="Calibri"/>
                <w:b/>
                <w:bCs/>
                <w:sz w:val="18"/>
                <w:szCs w:val="18"/>
                <w:lang w:val="en-US" w:eastAsia="en-US"/>
              </w:rPr>
            </w:pPr>
            <w:r w:rsidRPr="00DB215C">
              <w:rPr>
                <w:rFonts w:eastAsia="Calibri"/>
                <w:b/>
                <w:bCs/>
                <w:sz w:val="18"/>
                <w:szCs w:val="18"/>
                <w:lang w:val="en-US" w:eastAsia="en-US"/>
              </w:rPr>
              <w:t>Cartera de Crédito Total</w:t>
            </w:r>
          </w:p>
        </w:tc>
        <w:tc>
          <w:tcPr>
            <w:tcW w:w="1134" w:type="dxa"/>
            <w:tcBorders>
              <w:top w:val="single" w:sz="4" w:space="0" w:color="auto"/>
              <w:left w:val="single" w:sz="4" w:space="0" w:color="auto"/>
              <w:right w:val="single" w:sz="4" w:space="0" w:color="auto"/>
            </w:tcBorders>
            <w:shd w:val="clear" w:color="auto" w:fill="auto"/>
            <w:vAlign w:val="center"/>
          </w:tcPr>
          <w:p w14:paraId="5B3D3148" w14:textId="77777777" w:rsidR="00DB215C" w:rsidRPr="00DB215C" w:rsidRDefault="00DB215C" w:rsidP="00DB215C">
            <w:pPr>
              <w:spacing w:before="120" w:after="40"/>
              <w:ind w:right="284"/>
              <w:jc w:val="right"/>
              <w:rPr>
                <w:rFonts w:eastAsia="Calibri"/>
                <w:b/>
                <w:sz w:val="18"/>
                <w:szCs w:val="18"/>
                <w:lang w:val="en-US" w:eastAsia="en-US"/>
              </w:rPr>
            </w:pPr>
            <w:r w:rsidRPr="00DB215C">
              <w:rPr>
                <w:rFonts w:eastAsia="Calibri"/>
                <w:b/>
                <w:sz w:val="18"/>
                <w:szCs w:val="18"/>
                <w:lang w:val="en-US" w:eastAsia="en-US"/>
              </w:rPr>
              <w:t>3.43</w:t>
            </w:r>
          </w:p>
        </w:tc>
        <w:tc>
          <w:tcPr>
            <w:tcW w:w="1276" w:type="dxa"/>
            <w:tcBorders>
              <w:top w:val="single" w:sz="4" w:space="0" w:color="auto"/>
              <w:left w:val="single" w:sz="4" w:space="0" w:color="auto"/>
              <w:bottom w:val="nil"/>
              <w:right w:val="single" w:sz="4" w:space="0" w:color="auto"/>
            </w:tcBorders>
            <w:shd w:val="clear" w:color="auto" w:fill="auto"/>
            <w:vAlign w:val="center"/>
          </w:tcPr>
          <w:p w14:paraId="55988D9E" w14:textId="77777777" w:rsidR="00DB215C" w:rsidRPr="00DB215C" w:rsidRDefault="00DB215C" w:rsidP="00DB215C">
            <w:pPr>
              <w:spacing w:before="120" w:after="40"/>
              <w:ind w:right="227"/>
              <w:jc w:val="right"/>
              <w:rPr>
                <w:rFonts w:eastAsia="Calibri"/>
                <w:b/>
                <w:sz w:val="18"/>
                <w:szCs w:val="18"/>
                <w:lang w:val="en-US" w:eastAsia="en-US"/>
              </w:rPr>
            </w:pPr>
            <w:r w:rsidRPr="00DB215C">
              <w:rPr>
                <w:rFonts w:eastAsia="Calibri"/>
                <w:b/>
                <w:sz w:val="18"/>
                <w:szCs w:val="18"/>
                <w:lang w:val="en-US" w:eastAsia="en-US"/>
              </w:rPr>
              <w:t>3.13</w:t>
            </w:r>
          </w:p>
        </w:tc>
        <w:tc>
          <w:tcPr>
            <w:tcW w:w="1134" w:type="dxa"/>
            <w:tcBorders>
              <w:top w:val="single" w:sz="4" w:space="0" w:color="auto"/>
              <w:left w:val="single" w:sz="4" w:space="0" w:color="auto"/>
              <w:right w:val="single" w:sz="4" w:space="0" w:color="auto"/>
            </w:tcBorders>
            <w:shd w:val="clear" w:color="auto" w:fill="auto"/>
            <w:vAlign w:val="center"/>
          </w:tcPr>
          <w:p w14:paraId="587DC6E8" w14:textId="77777777" w:rsidR="00DB215C" w:rsidRPr="00DB215C" w:rsidRDefault="00DB215C" w:rsidP="00DB215C">
            <w:pPr>
              <w:spacing w:before="120" w:after="40"/>
              <w:ind w:right="227"/>
              <w:jc w:val="right"/>
              <w:rPr>
                <w:rFonts w:eastAsia="Calibri"/>
                <w:b/>
                <w:sz w:val="18"/>
                <w:szCs w:val="18"/>
                <w:lang w:val="en-US" w:eastAsia="en-US"/>
              </w:rPr>
            </w:pPr>
            <w:r w:rsidRPr="00DB215C">
              <w:rPr>
                <w:rFonts w:eastAsia="Calibri"/>
                <w:b/>
                <w:sz w:val="18"/>
                <w:szCs w:val="18"/>
                <w:lang w:val="en-US" w:eastAsia="en-US"/>
              </w:rPr>
              <w:t>3.13</w:t>
            </w:r>
          </w:p>
        </w:tc>
        <w:tc>
          <w:tcPr>
            <w:tcW w:w="1139" w:type="dxa"/>
            <w:tcBorders>
              <w:top w:val="single" w:sz="4" w:space="0" w:color="auto"/>
              <w:left w:val="single" w:sz="4" w:space="0" w:color="auto"/>
              <w:bottom w:val="nil"/>
              <w:right w:val="single" w:sz="4" w:space="0" w:color="auto"/>
            </w:tcBorders>
            <w:shd w:val="clear" w:color="auto" w:fill="auto"/>
            <w:vAlign w:val="center"/>
          </w:tcPr>
          <w:p w14:paraId="6C448A52" w14:textId="77777777" w:rsidR="00DB215C" w:rsidRPr="00DB215C" w:rsidRDefault="00DB215C" w:rsidP="00DB215C">
            <w:pPr>
              <w:spacing w:before="120" w:after="40"/>
              <w:ind w:right="170"/>
              <w:jc w:val="right"/>
              <w:rPr>
                <w:rFonts w:eastAsia="Calibri"/>
                <w:b/>
                <w:sz w:val="18"/>
                <w:szCs w:val="18"/>
                <w:lang w:val="en-US" w:eastAsia="en-US"/>
              </w:rPr>
            </w:pPr>
            <w:r w:rsidRPr="00DB215C">
              <w:rPr>
                <w:rFonts w:eastAsia="Calibri"/>
                <w:b/>
                <w:sz w:val="18"/>
                <w:szCs w:val="18"/>
                <w:lang w:val="en-US" w:eastAsia="en-US"/>
              </w:rPr>
              <w:t>-0.30</w:t>
            </w:r>
          </w:p>
        </w:tc>
        <w:tc>
          <w:tcPr>
            <w:tcW w:w="1134" w:type="dxa"/>
            <w:tcBorders>
              <w:top w:val="single" w:sz="4" w:space="0" w:color="auto"/>
              <w:left w:val="single" w:sz="4" w:space="0" w:color="auto"/>
              <w:bottom w:val="nil"/>
              <w:right w:val="single" w:sz="4" w:space="0" w:color="auto"/>
            </w:tcBorders>
            <w:shd w:val="clear" w:color="auto" w:fill="auto"/>
            <w:vAlign w:val="center"/>
          </w:tcPr>
          <w:p w14:paraId="1C7B560A" w14:textId="77777777" w:rsidR="00DB215C" w:rsidRPr="00DB215C" w:rsidRDefault="00DB215C" w:rsidP="00DB215C">
            <w:pPr>
              <w:spacing w:before="120" w:after="40"/>
              <w:ind w:right="284"/>
              <w:jc w:val="right"/>
              <w:rPr>
                <w:rFonts w:eastAsia="Calibri"/>
                <w:b/>
                <w:bCs/>
                <w:sz w:val="18"/>
                <w:szCs w:val="18"/>
                <w:lang w:val="en-US" w:eastAsia="en-US"/>
              </w:rPr>
            </w:pPr>
            <w:r w:rsidRPr="00DB215C">
              <w:rPr>
                <w:rFonts w:eastAsia="Calibri"/>
                <w:b/>
                <w:bCs/>
                <w:sz w:val="18"/>
                <w:szCs w:val="18"/>
                <w:lang w:val="en-US" w:eastAsia="en-US"/>
              </w:rPr>
              <w:t>-0.01</w:t>
            </w:r>
          </w:p>
        </w:tc>
      </w:tr>
      <w:tr w:rsidR="00DB215C" w:rsidRPr="00DB215C" w14:paraId="7BE81610" w14:textId="77777777" w:rsidTr="00DB215C">
        <w:trPr>
          <w:trHeight w:val="271"/>
          <w:jc w:val="center"/>
        </w:trPr>
        <w:tc>
          <w:tcPr>
            <w:tcW w:w="2835" w:type="dxa"/>
            <w:tcBorders>
              <w:top w:val="nil"/>
              <w:left w:val="single" w:sz="4" w:space="0" w:color="auto"/>
              <w:bottom w:val="nil"/>
              <w:right w:val="single" w:sz="4" w:space="0" w:color="auto"/>
            </w:tcBorders>
            <w:shd w:val="clear" w:color="auto" w:fill="auto"/>
            <w:vAlign w:val="center"/>
          </w:tcPr>
          <w:p w14:paraId="23676B15" w14:textId="77777777" w:rsidR="00DB215C" w:rsidRPr="00DB215C" w:rsidRDefault="00DB215C" w:rsidP="00DB215C">
            <w:pPr>
              <w:ind w:left="170"/>
              <w:rPr>
                <w:rFonts w:eastAsia="Calibri"/>
                <w:bCs/>
                <w:sz w:val="18"/>
                <w:szCs w:val="18"/>
                <w:lang w:val="en-US" w:eastAsia="en-US"/>
              </w:rPr>
            </w:pPr>
            <w:r w:rsidRPr="00DB215C">
              <w:rPr>
                <w:rFonts w:eastAsia="Calibri"/>
                <w:bCs/>
                <w:sz w:val="18"/>
                <w:szCs w:val="18"/>
                <w:lang w:val="en-US" w:eastAsia="en-US"/>
              </w:rPr>
              <w:t>Créditos comerciales</w:t>
            </w:r>
          </w:p>
        </w:tc>
        <w:tc>
          <w:tcPr>
            <w:tcW w:w="1134" w:type="dxa"/>
            <w:tcBorders>
              <w:left w:val="single" w:sz="4" w:space="0" w:color="auto"/>
              <w:right w:val="single" w:sz="4" w:space="0" w:color="auto"/>
            </w:tcBorders>
            <w:shd w:val="clear" w:color="auto" w:fill="auto"/>
            <w:vAlign w:val="center"/>
          </w:tcPr>
          <w:p w14:paraId="5183CFEE" w14:textId="77777777" w:rsidR="00DB215C" w:rsidRPr="00DB215C" w:rsidRDefault="00DB215C" w:rsidP="00DB215C">
            <w:pPr>
              <w:ind w:right="284"/>
              <w:jc w:val="right"/>
              <w:rPr>
                <w:rFonts w:eastAsia="Calibri"/>
                <w:sz w:val="18"/>
                <w:szCs w:val="18"/>
                <w:lang w:val="en-US" w:eastAsia="en-US"/>
              </w:rPr>
            </w:pPr>
            <w:r w:rsidRPr="00DB215C">
              <w:rPr>
                <w:rFonts w:eastAsia="Calibri"/>
                <w:sz w:val="18"/>
                <w:szCs w:val="18"/>
                <w:lang w:val="en-US" w:eastAsia="en-US"/>
              </w:rPr>
              <w:t>2.66</w:t>
            </w:r>
          </w:p>
        </w:tc>
        <w:tc>
          <w:tcPr>
            <w:tcW w:w="1276" w:type="dxa"/>
            <w:tcBorders>
              <w:top w:val="nil"/>
              <w:left w:val="single" w:sz="4" w:space="0" w:color="auto"/>
              <w:bottom w:val="nil"/>
              <w:right w:val="single" w:sz="4" w:space="0" w:color="auto"/>
            </w:tcBorders>
            <w:shd w:val="clear" w:color="auto" w:fill="auto"/>
            <w:vAlign w:val="center"/>
          </w:tcPr>
          <w:p w14:paraId="48CCCC5B" w14:textId="77777777" w:rsidR="00DB215C" w:rsidRPr="00DB215C" w:rsidRDefault="00DB215C" w:rsidP="00DB215C">
            <w:pPr>
              <w:ind w:right="227"/>
              <w:jc w:val="right"/>
              <w:rPr>
                <w:rFonts w:eastAsia="Calibri"/>
                <w:sz w:val="18"/>
                <w:szCs w:val="18"/>
                <w:lang w:val="en-US" w:eastAsia="en-US"/>
              </w:rPr>
            </w:pPr>
            <w:r w:rsidRPr="00DB215C">
              <w:rPr>
                <w:rFonts w:eastAsia="Calibri"/>
                <w:sz w:val="18"/>
                <w:szCs w:val="18"/>
                <w:lang w:val="en-US" w:eastAsia="en-US"/>
              </w:rPr>
              <w:t>2.22</w:t>
            </w:r>
          </w:p>
        </w:tc>
        <w:tc>
          <w:tcPr>
            <w:tcW w:w="1134" w:type="dxa"/>
            <w:tcBorders>
              <w:left w:val="single" w:sz="4" w:space="0" w:color="auto"/>
              <w:right w:val="single" w:sz="4" w:space="0" w:color="auto"/>
            </w:tcBorders>
            <w:shd w:val="clear" w:color="auto" w:fill="auto"/>
            <w:vAlign w:val="center"/>
          </w:tcPr>
          <w:p w14:paraId="73C8924D" w14:textId="77777777" w:rsidR="00DB215C" w:rsidRPr="00DB215C" w:rsidRDefault="00DB215C" w:rsidP="00DB215C">
            <w:pPr>
              <w:ind w:right="227"/>
              <w:jc w:val="right"/>
              <w:rPr>
                <w:rFonts w:eastAsia="Calibri"/>
                <w:sz w:val="18"/>
                <w:szCs w:val="18"/>
                <w:lang w:val="en-US" w:eastAsia="en-US"/>
              </w:rPr>
            </w:pPr>
            <w:r w:rsidRPr="00DB215C">
              <w:rPr>
                <w:rFonts w:eastAsia="Calibri"/>
                <w:sz w:val="18"/>
                <w:szCs w:val="18"/>
                <w:lang w:val="en-US" w:eastAsia="en-US"/>
              </w:rPr>
              <w:t>2.25</w:t>
            </w:r>
          </w:p>
        </w:tc>
        <w:tc>
          <w:tcPr>
            <w:tcW w:w="1139" w:type="dxa"/>
            <w:tcBorders>
              <w:top w:val="nil"/>
              <w:left w:val="single" w:sz="4" w:space="0" w:color="auto"/>
              <w:bottom w:val="nil"/>
              <w:right w:val="single" w:sz="4" w:space="0" w:color="auto"/>
            </w:tcBorders>
            <w:shd w:val="clear" w:color="auto" w:fill="auto"/>
            <w:vAlign w:val="center"/>
          </w:tcPr>
          <w:p w14:paraId="70A18C9B" w14:textId="77777777" w:rsidR="00DB215C" w:rsidRPr="00DB215C" w:rsidRDefault="00DB215C" w:rsidP="00DB215C">
            <w:pPr>
              <w:ind w:right="170"/>
              <w:jc w:val="right"/>
              <w:rPr>
                <w:rFonts w:eastAsia="Calibri"/>
                <w:sz w:val="18"/>
                <w:szCs w:val="18"/>
                <w:lang w:val="en-US" w:eastAsia="en-US"/>
              </w:rPr>
            </w:pPr>
            <w:r w:rsidRPr="00DB215C">
              <w:rPr>
                <w:rFonts w:eastAsia="Calibri"/>
                <w:sz w:val="18"/>
                <w:szCs w:val="18"/>
                <w:lang w:val="en-US" w:eastAsia="en-US"/>
              </w:rPr>
              <w:t>-0.40</w:t>
            </w:r>
          </w:p>
        </w:tc>
        <w:tc>
          <w:tcPr>
            <w:tcW w:w="1134" w:type="dxa"/>
            <w:tcBorders>
              <w:top w:val="nil"/>
              <w:left w:val="single" w:sz="4" w:space="0" w:color="auto"/>
              <w:bottom w:val="nil"/>
              <w:right w:val="single" w:sz="4" w:space="0" w:color="auto"/>
            </w:tcBorders>
            <w:shd w:val="clear" w:color="auto" w:fill="auto"/>
            <w:vAlign w:val="center"/>
          </w:tcPr>
          <w:p w14:paraId="009C013C" w14:textId="77777777" w:rsidR="00DB215C" w:rsidRPr="00DB215C" w:rsidRDefault="00DB215C" w:rsidP="00DB215C">
            <w:pPr>
              <w:ind w:right="284"/>
              <w:jc w:val="right"/>
              <w:rPr>
                <w:rFonts w:eastAsia="Calibri"/>
                <w:bCs/>
                <w:sz w:val="18"/>
                <w:szCs w:val="18"/>
                <w:lang w:val="en-US" w:eastAsia="en-US"/>
              </w:rPr>
            </w:pPr>
            <w:r w:rsidRPr="00DB215C">
              <w:rPr>
                <w:rFonts w:eastAsia="Calibri"/>
                <w:bCs/>
                <w:sz w:val="18"/>
                <w:szCs w:val="18"/>
                <w:lang w:val="en-US" w:eastAsia="en-US"/>
              </w:rPr>
              <w:t>0.03</w:t>
            </w:r>
          </w:p>
        </w:tc>
      </w:tr>
      <w:tr w:rsidR="00DB215C" w:rsidRPr="00DB215C" w14:paraId="7389DCA1" w14:textId="77777777" w:rsidTr="00DB215C">
        <w:trPr>
          <w:trHeight w:val="271"/>
          <w:jc w:val="center"/>
        </w:trPr>
        <w:tc>
          <w:tcPr>
            <w:tcW w:w="2835" w:type="dxa"/>
            <w:tcBorders>
              <w:top w:val="nil"/>
              <w:left w:val="single" w:sz="4" w:space="0" w:color="auto"/>
              <w:bottom w:val="nil"/>
              <w:right w:val="single" w:sz="4" w:space="0" w:color="auto"/>
            </w:tcBorders>
            <w:shd w:val="clear" w:color="auto" w:fill="auto"/>
            <w:vAlign w:val="center"/>
          </w:tcPr>
          <w:p w14:paraId="11A357A8" w14:textId="77777777" w:rsidR="00DB215C" w:rsidRPr="00DB215C" w:rsidRDefault="00DB215C" w:rsidP="00DB215C">
            <w:pPr>
              <w:ind w:left="170"/>
              <w:rPr>
                <w:rFonts w:eastAsia="Calibri"/>
                <w:bCs/>
                <w:sz w:val="18"/>
                <w:szCs w:val="18"/>
                <w:lang w:val="en-US" w:eastAsia="en-US"/>
              </w:rPr>
            </w:pPr>
            <w:r w:rsidRPr="00DB215C">
              <w:rPr>
                <w:rFonts w:eastAsia="Calibri"/>
                <w:bCs/>
                <w:sz w:val="18"/>
                <w:szCs w:val="18"/>
                <w:lang w:val="en-US" w:eastAsia="en-US"/>
              </w:rPr>
              <w:t>Empresas</w:t>
            </w:r>
          </w:p>
        </w:tc>
        <w:tc>
          <w:tcPr>
            <w:tcW w:w="1134" w:type="dxa"/>
            <w:tcBorders>
              <w:left w:val="single" w:sz="4" w:space="0" w:color="auto"/>
              <w:right w:val="single" w:sz="4" w:space="0" w:color="auto"/>
            </w:tcBorders>
            <w:shd w:val="clear" w:color="auto" w:fill="auto"/>
            <w:vAlign w:val="center"/>
          </w:tcPr>
          <w:p w14:paraId="42668001" w14:textId="77777777" w:rsidR="00DB215C" w:rsidRPr="00DB215C" w:rsidRDefault="00DB215C" w:rsidP="00DB215C">
            <w:pPr>
              <w:ind w:right="284"/>
              <w:jc w:val="right"/>
              <w:rPr>
                <w:rFonts w:eastAsia="Calibri"/>
                <w:sz w:val="18"/>
                <w:szCs w:val="18"/>
                <w:lang w:val="en-US" w:eastAsia="en-US"/>
              </w:rPr>
            </w:pPr>
            <w:r w:rsidRPr="00DB215C">
              <w:rPr>
                <w:rFonts w:eastAsia="Calibri"/>
                <w:sz w:val="18"/>
                <w:szCs w:val="18"/>
                <w:lang w:val="en-US" w:eastAsia="en-US"/>
              </w:rPr>
              <w:t>3.68</w:t>
            </w:r>
          </w:p>
        </w:tc>
        <w:tc>
          <w:tcPr>
            <w:tcW w:w="1276" w:type="dxa"/>
            <w:tcBorders>
              <w:top w:val="nil"/>
              <w:left w:val="single" w:sz="4" w:space="0" w:color="auto"/>
              <w:bottom w:val="nil"/>
              <w:right w:val="single" w:sz="4" w:space="0" w:color="auto"/>
            </w:tcBorders>
            <w:shd w:val="clear" w:color="auto" w:fill="auto"/>
            <w:vAlign w:val="center"/>
          </w:tcPr>
          <w:p w14:paraId="71497423" w14:textId="77777777" w:rsidR="00DB215C" w:rsidRPr="00DB215C" w:rsidRDefault="00DB215C" w:rsidP="00DB215C">
            <w:pPr>
              <w:ind w:right="227"/>
              <w:jc w:val="right"/>
              <w:rPr>
                <w:rFonts w:eastAsia="Calibri"/>
                <w:sz w:val="18"/>
                <w:szCs w:val="18"/>
                <w:lang w:val="en-US" w:eastAsia="en-US"/>
              </w:rPr>
            </w:pPr>
            <w:r w:rsidRPr="00DB215C">
              <w:rPr>
                <w:rFonts w:eastAsia="Calibri"/>
                <w:sz w:val="18"/>
                <w:szCs w:val="18"/>
                <w:lang w:val="en-US" w:eastAsia="en-US"/>
              </w:rPr>
              <w:t>3.17</w:t>
            </w:r>
          </w:p>
        </w:tc>
        <w:tc>
          <w:tcPr>
            <w:tcW w:w="1134" w:type="dxa"/>
            <w:tcBorders>
              <w:left w:val="single" w:sz="4" w:space="0" w:color="auto"/>
              <w:right w:val="single" w:sz="4" w:space="0" w:color="auto"/>
            </w:tcBorders>
            <w:shd w:val="clear" w:color="auto" w:fill="auto"/>
            <w:vAlign w:val="center"/>
          </w:tcPr>
          <w:p w14:paraId="29F95163" w14:textId="77777777" w:rsidR="00DB215C" w:rsidRPr="00DB215C" w:rsidRDefault="00DB215C" w:rsidP="00DB215C">
            <w:pPr>
              <w:ind w:right="227"/>
              <w:jc w:val="right"/>
              <w:rPr>
                <w:rFonts w:eastAsia="Calibri"/>
                <w:sz w:val="18"/>
                <w:szCs w:val="18"/>
                <w:lang w:val="en-US" w:eastAsia="en-US"/>
              </w:rPr>
            </w:pPr>
            <w:r w:rsidRPr="00DB215C">
              <w:rPr>
                <w:rFonts w:eastAsia="Calibri"/>
                <w:sz w:val="18"/>
                <w:szCs w:val="18"/>
                <w:lang w:val="en-US" w:eastAsia="en-US"/>
              </w:rPr>
              <w:t>3.20</w:t>
            </w:r>
          </w:p>
        </w:tc>
        <w:tc>
          <w:tcPr>
            <w:tcW w:w="1139" w:type="dxa"/>
            <w:tcBorders>
              <w:top w:val="nil"/>
              <w:left w:val="single" w:sz="4" w:space="0" w:color="auto"/>
              <w:bottom w:val="nil"/>
              <w:right w:val="single" w:sz="4" w:space="0" w:color="auto"/>
            </w:tcBorders>
            <w:shd w:val="clear" w:color="auto" w:fill="auto"/>
            <w:vAlign w:val="center"/>
          </w:tcPr>
          <w:p w14:paraId="5CB40161" w14:textId="77777777" w:rsidR="00DB215C" w:rsidRPr="00DB215C" w:rsidRDefault="00DB215C" w:rsidP="00DB215C">
            <w:pPr>
              <w:ind w:right="170"/>
              <w:jc w:val="right"/>
              <w:rPr>
                <w:rFonts w:eastAsia="Calibri"/>
                <w:sz w:val="18"/>
                <w:szCs w:val="18"/>
                <w:lang w:val="en-US" w:eastAsia="en-US"/>
              </w:rPr>
            </w:pPr>
            <w:r w:rsidRPr="00DB215C">
              <w:rPr>
                <w:rFonts w:eastAsia="Calibri"/>
                <w:sz w:val="18"/>
                <w:szCs w:val="18"/>
                <w:lang w:val="en-US" w:eastAsia="en-US"/>
              </w:rPr>
              <w:t>-0.47</w:t>
            </w:r>
          </w:p>
        </w:tc>
        <w:tc>
          <w:tcPr>
            <w:tcW w:w="1134" w:type="dxa"/>
            <w:tcBorders>
              <w:top w:val="nil"/>
              <w:left w:val="single" w:sz="4" w:space="0" w:color="auto"/>
              <w:bottom w:val="nil"/>
              <w:right w:val="single" w:sz="4" w:space="0" w:color="auto"/>
            </w:tcBorders>
            <w:shd w:val="clear" w:color="auto" w:fill="auto"/>
            <w:vAlign w:val="center"/>
          </w:tcPr>
          <w:p w14:paraId="00A5CBD8" w14:textId="77777777" w:rsidR="00DB215C" w:rsidRPr="00DB215C" w:rsidRDefault="00DB215C" w:rsidP="00DB215C">
            <w:pPr>
              <w:ind w:right="284"/>
              <w:jc w:val="right"/>
              <w:rPr>
                <w:rFonts w:eastAsia="Calibri"/>
                <w:bCs/>
                <w:sz w:val="18"/>
                <w:szCs w:val="18"/>
                <w:lang w:val="en-US" w:eastAsia="en-US"/>
              </w:rPr>
            </w:pPr>
            <w:r w:rsidRPr="00DB215C">
              <w:rPr>
                <w:rFonts w:eastAsia="Calibri"/>
                <w:bCs/>
                <w:sz w:val="18"/>
                <w:szCs w:val="18"/>
                <w:lang w:val="en-US" w:eastAsia="en-US"/>
              </w:rPr>
              <w:t>0.03</w:t>
            </w:r>
          </w:p>
        </w:tc>
      </w:tr>
      <w:tr w:rsidR="00DB215C" w:rsidRPr="00DB215C" w14:paraId="61CA9EDA" w14:textId="77777777" w:rsidTr="00DB215C">
        <w:trPr>
          <w:trHeight w:val="271"/>
          <w:jc w:val="center"/>
        </w:trPr>
        <w:tc>
          <w:tcPr>
            <w:tcW w:w="2835" w:type="dxa"/>
            <w:tcBorders>
              <w:top w:val="nil"/>
              <w:left w:val="single" w:sz="4" w:space="0" w:color="auto"/>
              <w:bottom w:val="nil"/>
              <w:right w:val="single" w:sz="4" w:space="0" w:color="auto"/>
            </w:tcBorders>
            <w:shd w:val="clear" w:color="auto" w:fill="auto"/>
            <w:vAlign w:val="center"/>
          </w:tcPr>
          <w:p w14:paraId="0AE2116A" w14:textId="77777777" w:rsidR="00DB215C" w:rsidRPr="00DB215C" w:rsidRDefault="00DB215C" w:rsidP="00DB215C">
            <w:pPr>
              <w:ind w:left="170"/>
              <w:rPr>
                <w:rFonts w:eastAsia="Calibri"/>
                <w:bCs/>
                <w:sz w:val="18"/>
                <w:szCs w:val="18"/>
                <w:lang w:val="en-US" w:eastAsia="en-US"/>
              </w:rPr>
            </w:pPr>
            <w:r w:rsidRPr="00DB215C">
              <w:rPr>
                <w:rFonts w:eastAsia="Calibri"/>
                <w:bCs/>
                <w:sz w:val="18"/>
                <w:szCs w:val="18"/>
                <w:lang w:val="en-US" w:eastAsia="en-US"/>
              </w:rPr>
              <w:t>Entidades financieras</w:t>
            </w:r>
          </w:p>
        </w:tc>
        <w:tc>
          <w:tcPr>
            <w:tcW w:w="1134" w:type="dxa"/>
            <w:tcBorders>
              <w:left w:val="single" w:sz="4" w:space="0" w:color="auto"/>
              <w:right w:val="single" w:sz="4" w:space="0" w:color="auto"/>
            </w:tcBorders>
            <w:shd w:val="clear" w:color="auto" w:fill="auto"/>
            <w:vAlign w:val="center"/>
          </w:tcPr>
          <w:p w14:paraId="1DC2D75E" w14:textId="77777777" w:rsidR="00DB215C" w:rsidRPr="00DB215C" w:rsidRDefault="00DB215C" w:rsidP="00DB215C">
            <w:pPr>
              <w:ind w:right="284"/>
              <w:jc w:val="right"/>
              <w:rPr>
                <w:rFonts w:eastAsia="Calibri"/>
                <w:sz w:val="18"/>
                <w:szCs w:val="18"/>
                <w:lang w:val="en-US" w:eastAsia="en-US"/>
              </w:rPr>
            </w:pPr>
            <w:r w:rsidRPr="00DB215C">
              <w:rPr>
                <w:rFonts w:eastAsia="Calibri"/>
                <w:sz w:val="18"/>
                <w:szCs w:val="18"/>
                <w:lang w:val="en-US" w:eastAsia="en-US"/>
              </w:rPr>
              <w:t>0.03</w:t>
            </w:r>
          </w:p>
        </w:tc>
        <w:tc>
          <w:tcPr>
            <w:tcW w:w="1276" w:type="dxa"/>
            <w:tcBorders>
              <w:top w:val="nil"/>
              <w:left w:val="single" w:sz="4" w:space="0" w:color="auto"/>
              <w:bottom w:val="nil"/>
              <w:right w:val="single" w:sz="4" w:space="0" w:color="auto"/>
            </w:tcBorders>
            <w:shd w:val="clear" w:color="auto" w:fill="auto"/>
            <w:vAlign w:val="center"/>
          </w:tcPr>
          <w:p w14:paraId="56CCEC0A" w14:textId="77777777" w:rsidR="00DB215C" w:rsidRPr="00DB215C" w:rsidRDefault="00DB215C" w:rsidP="00DB215C">
            <w:pPr>
              <w:ind w:right="227"/>
              <w:jc w:val="right"/>
              <w:rPr>
                <w:rFonts w:eastAsia="Calibri"/>
                <w:sz w:val="18"/>
                <w:szCs w:val="18"/>
                <w:lang w:val="en-US" w:eastAsia="en-US"/>
              </w:rPr>
            </w:pPr>
            <w:r w:rsidRPr="00DB215C">
              <w:rPr>
                <w:rFonts w:eastAsia="Calibri"/>
                <w:sz w:val="18"/>
                <w:szCs w:val="18"/>
                <w:lang w:val="en-US" w:eastAsia="en-US"/>
              </w:rPr>
              <w:t>0.12</w:t>
            </w:r>
          </w:p>
        </w:tc>
        <w:tc>
          <w:tcPr>
            <w:tcW w:w="1134" w:type="dxa"/>
            <w:tcBorders>
              <w:left w:val="single" w:sz="4" w:space="0" w:color="auto"/>
              <w:right w:val="single" w:sz="4" w:space="0" w:color="auto"/>
            </w:tcBorders>
            <w:shd w:val="clear" w:color="auto" w:fill="auto"/>
            <w:vAlign w:val="center"/>
          </w:tcPr>
          <w:p w14:paraId="0E8832FF" w14:textId="77777777" w:rsidR="00DB215C" w:rsidRPr="00DB215C" w:rsidRDefault="00DB215C" w:rsidP="00DB215C">
            <w:pPr>
              <w:ind w:right="227"/>
              <w:jc w:val="right"/>
              <w:rPr>
                <w:rFonts w:eastAsia="Calibri"/>
                <w:sz w:val="18"/>
                <w:szCs w:val="18"/>
                <w:lang w:val="en-US" w:eastAsia="en-US"/>
              </w:rPr>
            </w:pPr>
            <w:r w:rsidRPr="00DB215C">
              <w:rPr>
                <w:rFonts w:eastAsia="Calibri"/>
                <w:sz w:val="18"/>
                <w:szCs w:val="18"/>
                <w:lang w:val="en-US" w:eastAsia="en-US"/>
              </w:rPr>
              <w:t>0.18</w:t>
            </w:r>
          </w:p>
        </w:tc>
        <w:tc>
          <w:tcPr>
            <w:tcW w:w="1139" w:type="dxa"/>
            <w:tcBorders>
              <w:top w:val="nil"/>
              <w:left w:val="single" w:sz="4" w:space="0" w:color="auto"/>
              <w:bottom w:val="nil"/>
              <w:right w:val="single" w:sz="4" w:space="0" w:color="auto"/>
            </w:tcBorders>
            <w:shd w:val="clear" w:color="auto" w:fill="auto"/>
            <w:vAlign w:val="center"/>
          </w:tcPr>
          <w:p w14:paraId="1A1921AD" w14:textId="77777777" w:rsidR="00DB215C" w:rsidRPr="00DB215C" w:rsidRDefault="00DB215C" w:rsidP="00DB215C">
            <w:pPr>
              <w:ind w:right="170"/>
              <w:jc w:val="right"/>
              <w:rPr>
                <w:rFonts w:eastAsia="Calibri"/>
                <w:sz w:val="18"/>
                <w:szCs w:val="18"/>
                <w:lang w:val="en-US" w:eastAsia="en-US"/>
              </w:rPr>
            </w:pPr>
            <w:r w:rsidRPr="00DB215C">
              <w:rPr>
                <w:rFonts w:eastAsia="Calibri"/>
                <w:sz w:val="18"/>
                <w:szCs w:val="18"/>
                <w:lang w:val="en-US" w:eastAsia="en-US"/>
              </w:rPr>
              <w:t>0.15</w:t>
            </w:r>
          </w:p>
        </w:tc>
        <w:tc>
          <w:tcPr>
            <w:tcW w:w="1134" w:type="dxa"/>
            <w:tcBorders>
              <w:top w:val="nil"/>
              <w:left w:val="single" w:sz="4" w:space="0" w:color="auto"/>
              <w:bottom w:val="nil"/>
              <w:right w:val="single" w:sz="4" w:space="0" w:color="auto"/>
            </w:tcBorders>
            <w:shd w:val="clear" w:color="auto" w:fill="auto"/>
            <w:vAlign w:val="center"/>
          </w:tcPr>
          <w:p w14:paraId="512DB6CC" w14:textId="77777777" w:rsidR="00DB215C" w:rsidRPr="00DB215C" w:rsidRDefault="00DB215C" w:rsidP="00DB215C">
            <w:pPr>
              <w:ind w:right="284"/>
              <w:jc w:val="right"/>
              <w:rPr>
                <w:rFonts w:eastAsia="Calibri"/>
                <w:bCs/>
                <w:sz w:val="18"/>
                <w:szCs w:val="18"/>
                <w:lang w:val="en-US" w:eastAsia="en-US"/>
              </w:rPr>
            </w:pPr>
            <w:r w:rsidRPr="00DB215C">
              <w:rPr>
                <w:rFonts w:eastAsia="Calibri"/>
                <w:bCs/>
                <w:sz w:val="18"/>
                <w:szCs w:val="18"/>
                <w:lang w:val="en-US" w:eastAsia="en-US"/>
              </w:rPr>
              <w:t>0.06</w:t>
            </w:r>
          </w:p>
        </w:tc>
      </w:tr>
      <w:tr w:rsidR="00DB215C" w:rsidRPr="00DB215C" w14:paraId="16014118" w14:textId="77777777" w:rsidTr="00DB215C">
        <w:trPr>
          <w:trHeight w:val="271"/>
          <w:jc w:val="center"/>
        </w:trPr>
        <w:tc>
          <w:tcPr>
            <w:tcW w:w="2835" w:type="dxa"/>
            <w:tcBorders>
              <w:top w:val="nil"/>
              <w:left w:val="single" w:sz="4" w:space="0" w:color="auto"/>
              <w:bottom w:val="nil"/>
              <w:right w:val="single" w:sz="4" w:space="0" w:color="auto"/>
            </w:tcBorders>
            <w:shd w:val="clear" w:color="auto" w:fill="auto"/>
            <w:vAlign w:val="center"/>
          </w:tcPr>
          <w:p w14:paraId="353CFCDE" w14:textId="77777777" w:rsidR="00DB215C" w:rsidRPr="00DB215C" w:rsidRDefault="00DB215C" w:rsidP="00DB215C">
            <w:pPr>
              <w:spacing w:after="120"/>
              <w:ind w:left="170"/>
              <w:rPr>
                <w:rFonts w:eastAsia="Calibri"/>
                <w:bCs/>
                <w:sz w:val="18"/>
                <w:szCs w:val="18"/>
                <w:lang w:val="en-US" w:eastAsia="en-US"/>
              </w:rPr>
            </w:pPr>
            <w:r w:rsidRPr="00DB215C">
              <w:rPr>
                <w:rFonts w:eastAsia="Calibri"/>
                <w:bCs/>
                <w:sz w:val="18"/>
                <w:szCs w:val="18"/>
                <w:lang w:val="en-US" w:eastAsia="en-US"/>
              </w:rPr>
              <w:t>Entidades gubernamentales</w:t>
            </w:r>
          </w:p>
        </w:tc>
        <w:tc>
          <w:tcPr>
            <w:tcW w:w="1134" w:type="dxa"/>
            <w:tcBorders>
              <w:left w:val="single" w:sz="4" w:space="0" w:color="auto"/>
              <w:right w:val="single" w:sz="4" w:space="0" w:color="auto"/>
            </w:tcBorders>
            <w:shd w:val="clear" w:color="auto" w:fill="auto"/>
            <w:vAlign w:val="center"/>
          </w:tcPr>
          <w:p w14:paraId="7FBDAB29" w14:textId="77777777" w:rsidR="00DB215C" w:rsidRPr="00DB215C" w:rsidRDefault="00DB215C" w:rsidP="00DB215C">
            <w:pPr>
              <w:spacing w:after="120"/>
              <w:ind w:right="284"/>
              <w:jc w:val="right"/>
              <w:rPr>
                <w:rFonts w:eastAsia="Calibri"/>
                <w:sz w:val="18"/>
                <w:szCs w:val="18"/>
                <w:lang w:val="en-US" w:eastAsia="en-US"/>
              </w:rPr>
            </w:pPr>
            <w:r w:rsidRPr="00DB215C">
              <w:rPr>
                <w:rFonts w:eastAsia="Calibri"/>
                <w:sz w:val="18"/>
                <w:szCs w:val="18"/>
                <w:lang w:val="en-US" w:eastAsia="en-US"/>
              </w:rPr>
              <w:t>0.02</w:t>
            </w:r>
          </w:p>
        </w:tc>
        <w:tc>
          <w:tcPr>
            <w:tcW w:w="1276" w:type="dxa"/>
            <w:tcBorders>
              <w:top w:val="nil"/>
              <w:left w:val="single" w:sz="4" w:space="0" w:color="auto"/>
              <w:bottom w:val="nil"/>
              <w:right w:val="single" w:sz="4" w:space="0" w:color="auto"/>
            </w:tcBorders>
            <w:shd w:val="clear" w:color="auto" w:fill="auto"/>
            <w:vAlign w:val="center"/>
          </w:tcPr>
          <w:p w14:paraId="2A5C2DEB" w14:textId="77777777" w:rsidR="00DB215C" w:rsidRPr="00DB215C" w:rsidRDefault="00DB215C" w:rsidP="00DB215C">
            <w:pPr>
              <w:spacing w:after="120"/>
              <w:ind w:right="227"/>
              <w:jc w:val="right"/>
              <w:rPr>
                <w:rFonts w:eastAsia="Calibri"/>
                <w:sz w:val="18"/>
                <w:szCs w:val="18"/>
                <w:lang w:val="en-US" w:eastAsia="en-US"/>
              </w:rPr>
            </w:pPr>
            <w:r w:rsidRPr="00DB215C">
              <w:rPr>
                <w:rFonts w:eastAsia="Calibri"/>
                <w:sz w:val="18"/>
                <w:szCs w:val="18"/>
                <w:lang w:val="en-US" w:eastAsia="en-US"/>
              </w:rPr>
              <w:t>0.02</w:t>
            </w:r>
          </w:p>
        </w:tc>
        <w:tc>
          <w:tcPr>
            <w:tcW w:w="1134" w:type="dxa"/>
            <w:tcBorders>
              <w:left w:val="single" w:sz="4" w:space="0" w:color="auto"/>
              <w:right w:val="single" w:sz="4" w:space="0" w:color="auto"/>
            </w:tcBorders>
            <w:shd w:val="clear" w:color="auto" w:fill="auto"/>
            <w:vAlign w:val="center"/>
          </w:tcPr>
          <w:p w14:paraId="2D5A6B1C" w14:textId="77777777" w:rsidR="00DB215C" w:rsidRPr="00DB215C" w:rsidRDefault="00DB215C" w:rsidP="00DB215C">
            <w:pPr>
              <w:spacing w:after="120"/>
              <w:ind w:right="227"/>
              <w:jc w:val="right"/>
              <w:rPr>
                <w:rFonts w:eastAsia="Calibri"/>
                <w:sz w:val="18"/>
                <w:szCs w:val="18"/>
                <w:lang w:val="en-US" w:eastAsia="en-US"/>
              </w:rPr>
            </w:pPr>
            <w:r w:rsidRPr="00DB215C">
              <w:rPr>
                <w:rFonts w:eastAsia="Calibri"/>
                <w:sz w:val="18"/>
                <w:szCs w:val="18"/>
                <w:lang w:val="en-US" w:eastAsia="en-US"/>
              </w:rPr>
              <w:t>0.02</w:t>
            </w:r>
          </w:p>
        </w:tc>
        <w:tc>
          <w:tcPr>
            <w:tcW w:w="1139" w:type="dxa"/>
            <w:tcBorders>
              <w:top w:val="nil"/>
              <w:left w:val="single" w:sz="4" w:space="0" w:color="auto"/>
              <w:bottom w:val="nil"/>
              <w:right w:val="single" w:sz="4" w:space="0" w:color="auto"/>
            </w:tcBorders>
            <w:shd w:val="clear" w:color="auto" w:fill="auto"/>
            <w:vAlign w:val="center"/>
          </w:tcPr>
          <w:p w14:paraId="00CBE9BE" w14:textId="77777777" w:rsidR="00DB215C" w:rsidRPr="00DB215C" w:rsidRDefault="00DB215C" w:rsidP="00DB215C">
            <w:pPr>
              <w:spacing w:after="120"/>
              <w:ind w:right="170"/>
              <w:jc w:val="right"/>
              <w:rPr>
                <w:rFonts w:eastAsia="Calibri"/>
                <w:sz w:val="18"/>
                <w:szCs w:val="18"/>
                <w:lang w:val="en-US" w:eastAsia="en-US"/>
              </w:rPr>
            </w:pPr>
            <w:r w:rsidRPr="00DB215C">
              <w:rPr>
                <w:rFonts w:eastAsia="Calibri"/>
                <w:sz w:val="18"/>
                <w:szCs w:val="18"/>
                <w:lang w:val="en-US" w:eastAsia="en-US"/>
              </w:rPr>
              <w:t>0.01</w:t>
            </w:r>
          </w:p>
        </w:tc>
        <w:tc>
          <w:tcPr>
            <w:tcW w:w="1134" w:type="dxa"/>
            <w:tcBorders>
              <w:top w:val="nil"/>
              <w:left w:val="single" w:sz="4" w:space="0" w:color="auto"/>
              <w:bottom w:val="nil"/>
              <w:right w:val="single" w:sz="4" w:space="0" w:color="auto"/>
            </w:tcBorders>
            <w:shd w:val="clear" w:color="auto" w:fill="auto"/>
            <w:vAlign w:val="center"/>
          </w:tcPr>
          <w:p w14:paraId="29D2C5F6" w14:textId="77777777" w:rsidR="00DB215C" w:rsidRPr="00DB215C" w:rsidRDefault="00DB215C" w:rsidP="00DB215C">
            <w:pPr>
              <w:spacing w:after="120"/>
              <w:ind w:right="284"/>
              <w:jc w:val="right"/>
              <w:rPr>
                <w:rFonts w:eastAsia="Calibri"/>
                <w:bCs/>
                <w:sz w:val="18"/>
                <w:szCs w:val="18"/>
                <w:lang w:val="en-US" w:eastAsia="en-US"/>
              </w:rPr>
            </w:pPr>
            <w:r w:rsidRPr="00DB215C">
              <w:rPr>
                <w:rFonts w:eastAsia="Calibri"/>
                <w:bCs/>
                <w:sz w:val="18"/>
                <w:szCs w:val="18"/>
                <w:lang w:val="en-US" w:eastAsia="en-US"/>
              </w:rPr>
              <w:t>0.00</w:t>
            </w:r>
          </w:p>
        </w:tc>
      </w:tr>
      <w:tr w:rsidR="00DB215C" w:rsidRPr="00DB215C" w14:paraId="13A31516" w14:textId="77777777" w:rsidTr="00DB215C">
        <w:trPr>
          <w:trHeight w:val="261"/>
          <w:jc w:val="center"/>
        </w:trPr>
        <w:tc>
          <w:tcPr>
            <w:tcW w:w="2835" w:type="dxa"/>
            <w:tcBorders>
              <w:top w:val="nil"/>
              <w:left w:val="single" w:sz="4" w:space="0" w:color="auto"/>
              <w:bottom w:val="nil"/>
              <w:right w:val="single" w:sz="4" w:space="0" w:color="auto"/>
            </w:tcBorders>
            <w:shd w:val="clear" w:color="auto" w:fill="auto"/>
            <w:vAlign w:val="center"/>
          </w:tcPr>
          <w:p w14:paraId="492AE2B7" w14:textId="77777777" w:rsidR="00DB215C" w:rsidRPr="00DB215C" w:rsidRDefault="00DB215C" w:rsidP="00DB215C">
            <w:pPr>
              <w:rPr>
                <w:rFonts w:eastAsia="Calibri"/>
                <w:b/>
                <w:bCs/>
                <w:sz w:val="18"/>
                <w:szCs w:val="18"/>
                <w:lang w:eastAsia="en-US"/>
              </w:rPr>
            </w:pPr>
            <w:r w:rsidRPr="00DB215C">
              <w:rPr>
                <w:rFonts w:eastAsia="Calibri"/>
                <w:b/>
                <w:bCs/>
                <w:sz w:val="18"/>
                <w:szCs w:val="18"/>
                <w:lang w:eastAsia="en-US"/>
              </w:rPr>
              <w:t>Consumo</w:t>
            </w:r>
          </w:p>
        </w:tc>
        <w:tc>
          <w:tcPr>
            <w:tcW w:w="1134" w:type="dxa"/>
            <w:tcBorders>
              <w:left w:val="single" w:sz="4" w:space="0" w:color="auto"/>
              <w:right w:val="single" w:sz="4" w:space="0" w:color="auto"/>
            </w:tcBorders>
            <w:shd w:val="clear" w:color="auto" w:fill="auto"/>
            <w:vAlign w:val="center"/>
          </w:tcPr>
          <w:p w14:paraId="0D485007" w14:textId="77777777" w:rsidR="00DB215C" w:rsidRPr="00DB215C" w:rsidRDefault="00DB215C" w:rsidP="00DB215C">
            <w:pPr>
              <w:ind w:right="284"/>
              <w:jc w:val="right"/>
              <w:rPr>
                <w:rFonts w:eastAsia="Calibri"/>
                <w:b/>
                <w:sz w:val="18"/>
                <w:szCs w:val="18"/>
                <w:lang w:eastAsia="en-US"/>
              </w:rPr>
            </w:pPr>
            <w:r w:rsidRPr="00DB215C">
              <w:rPr>
                <w:rFonts w:eastAsia="Calibri"/>
                <w:b/>
                <w:sz w:val="18"/>
                <w:szCs w:val="18"/>
                <w:lang w:eastAsia="en-US"/>
              </w:rPr>
              <w:t>5.08</w:t>
            </w:r>
          </w:p>
        </w:tc>
        <w:tc>
          <w:tcPr>
            <w:tcW w:w="1276" w:type="dxa"/>
            <w:tcBorders>
              <w:top w:val="nil"/>
              <w:left w:val="single" w:sz="4" w:space="0" w:color="auto"/>
              <w:bottom w:val="nil"/>
              <w:right w:val="single" w:sz="4" w:space="0" w:color="auto"/>
            </w:tcBorders>
            <w:shd w:val="clear" w:color="auto" w:fill="auto"/>
            <w:vAlign w:val="center"/>
          </w:tcPr>
          <w:p w14:paraId="2A32C78E" w14:textId="77777777" w:rsidR="00DB215C" w:rsidRPr="00DB215C" w:rsidRDefault="00DB215C" w:rsidP="00DB215C">
            <w:pPr>
              <w:ind w:right="227"/>
              <w:jc w:val="right"/>
              <w:rPr>
                <w:rFonts w:eastAsia="Calibri"/>
                <w:b/>
                <w:sz w:val="18"/>
                <w:szCs w:val="18"/>
                <w:lang w:eastAsia="en-US"/>
              </w:rPr>
            </w:pPr>
            <w:r w:rsidRPr="00DB215C">
              <w:rPr>
                <w:rFonts w:eastAsia="Calibri"/>
                <w:b/>
                <w:sz w:val="18"/>
                <w:szCs w:val="18"/>
                <w:lang w:eastAsia="en-US"/>
              </w:rPr>
              <w:t>5.20</w:t>
            </w:r>
          </w:p>
        </w:tc>
        <w:tc>
          <w:tcPr>
            <w:tcW w:w="1134" w:type="dxa"/>
            <w:tcBorders>
              <w:left w:val="single" w:sz="4" w:space="0" w:color="auto"/>
              <w:right w:val="single" w:sz="4" w:space="0" w:color="auto"/>
            </w:tcBorders>
            <w:shd w:val="clear" w:color="auto" w:fill="auto"/>
            <w:vAlign w:val="center"/>
          </w:tcPr>
          <w:p w14:paraId="791E5019" w14:textId="77777777" w:rsidR="00DB215C" w:rsidRPr="00DB215C" w:rsidRDefault="00DB215C" w:rsidP="00DB215C">
            <w:pPr>
              <w:ind w:right="227"/>
              <w:jc w:val="right"/>
              <w:rPr>
                <w:rFonts w:eastAsia="Calibri"/>
                <w:b/>
                <w:sz w:val="18"/>
                <w:szCs w:val="18"/>
                <w:lang w:eastAsia="en-US"/>
              </w:rPr>
            </w:pPr>
            <w:r w:rsidRPr="00DB215C">
              <w:rPr>
                <w:rFonts w:eastAsia="Calibri"/>
                <w:b/>
                <w:sz w:val="18"/>
                <w:szCs w:val="18"/>
                <w:lang w:eastAsia="en-US"/>
              </w:rPr>
              <w:t>5.11</w:t>
            </w:r>
          </w:p>
        </w:tc>
        <w:tc>
          <w:tcPr>
            <w:tcW w:w="1139" w:type="dxa"/>
            <w:tcBorders>
              <w:top w:val="nil"/>
              <w:left w:val="single" w:sz="4" w:space="0" w:color="auto"/>
              <w:bottom w:val="nil"/>
              <w:right w:val="single" w:sz="4" w:space="0" w:color="auto"/>
            </w:tcBorders>
            <w:shd w:val="clear" w:color="auto" w:fill="auto"/>
            <w:vAlign w:val="center"/>
          </w:tcPr>
          <w:p w14:paraId="1AF3D428" w14:textId="77777777" w:rsidR="00DB215C" w:rsidRPr="00DB215C" w:rsidRDefault="00DB215C" w:rsidP="00DB215C">
            <w:pPr>
              <w:ind w:right="170"/>
              <w:jc w:val="right"/>
              <w:rPr>
                <w:rFonts w:eastAsia="Calibri"/>
                <w:b/>
                <w:sz w:val="18"/>
                <w:szCs w:val="18"/>
                <w:lang w:eastAsia="en-US"/>
              </w:rPr>
            </w:pPr>
            <w:r w:rsidRPr="00DB215C">
              <w:rPr>
                <w:rFonts w:eastAsia="Calibri"/>
                <w:b/>
                <w:sz w:val="18"/>
                <w:szCs w:val="18"/>
                <w:lang w:eastAsia="en-US"/>
              </w:rPr>
              <w:t>0.03</w:t>
            </w:r>
          </w:p>
        </w:tc>
        <w:tc>
          <w:tcPr>
            <w:tcW w:w="1134" w:type="dxa"/>
            <w:tcBorders>
              <w:top w:val="nil"/>
              <w:left w:val="single" w:sz="4" w:space="0" w:color="auto"/>
              <w:bottom w:val="nil"/>
              <w:right w:val="single" w:sz="4" w:space="0" w:color="auto"/>
            </w:tcBorders>
            <w:shd w:val="clear" w:color="auto" w:fill="auto"/>
            <w:vAlign w:val="center"/>
          </w:tcPr>
          <w:p w14:paraId="171ECCCA" w14:textId="77777777" w:rsidR="00DB215C" w:rsidRPr="00DB215C" w:rsidRDefault="00DB215C" w:rsidP="00DB215C">
            <w:pPr>
              <w:ind w:right="284"/>
              <w:jc w:val="right"/>
              <w:rPr>
                <w:rFonts w:eastAsia="Calibri"/>
                <w:b/>
                <w:bCs/>
                <w:sz w:val="18"/>
                <w:szCs w:val="18"/>
                <w:lang w:eastAsia="en-US"/>
              </w:rPr>
            </w:pPr>
            <w:r w:rsidRPr="00DB215C">
              <w:rPr>
                <w:rFonts w:eastAsia="Calibri"/>
                <w:b/>
                <w:bCs/>
                <w:sz w:val="18"/>
                <w:szCs w:val="18"/>
                <w:lang w:eastAsia="en-US"/>
              </w:rPr>
              <w:t>-0.09</w:t>
            </w:r>
          </w:p>
        </w:tc>
      </w:tr>
      <w:tr w:rsidR="00DB215C" w:rsidRPr="00DB215C" w14:paraId="54EFE539" w14:textId="77777777" w:rsidTr="00DB215C">
        <w:trPr>
          <w:trHeight w:val="261"/>
          <w:jc w:val="center"/>
        </w:trPr>
        <w:tc>
          <w:tcPr>
            <w:tcW w:w="2835" w:type="dxa"/>
            <w:tcBorders>
              <w:top w:val="nil"/>
              <w:left w:val="single" w:sz="4" w:space="0" w:color="auto"/>
              <w:bottom w:val="nil"/>
              <w:right w:val="single" w:sz="4" w:space="0" w:color="auto"/>
            </w:tcBorders>
            <w:shd w:val="clear" w:color="auto" w:fill="auto"/>
            <w:vAlign w:val="center"/>
          </w:tcPr>
          <w:p w14:paraId="726CAD34" w14:textId="77777777" w:rsidR="00DB215C" w:rsidRPr="00DB215C" w:rsidRDefault="00DB215C" w:rsidP="00DB215C">
            <w:pPr>
              <w:ind w:left="170"/>
              <w:rPr>
                <w:rFonts w:eastAsia="Calibri"/>
                <w:bCs/>
                <w:sz w:val="18"/>
                <w:szCs w:val="18"/>
                <w:lang w:eastAsia="en-US"/>
              </w:rPr>
            </w:pPr>
            <w:r w:rsidRPr="00DB215C">
              <w:rPr>
                <w:rFonts w:eastAsia="Calibri"/>
                <w:bCs/>
                <w:sz w:val="18"/>
                <w:szCs w:val="18"/>
                <w:lang w:eastAsia="en-US"/>
              </w:rPr>
              <w:t>Tarjeta de crédito</w:t>
            </w:r>
          </w:p>
        </w:tc>
        <w:tc>
          <w:tcPr>
            <w:tcW w:w="1134" w:type="dxa"/>
            <w:tcBorders>
              <w:left w:val="single" w:sz="4" w:space="0" w:color="auto"/>
              <w:right w:val="single" w:sz="4" w:space="0" w:color="auto"/>
            </w:tcBorders>
            <w:shd w:val="clear" w:color="auto" w:fill="auto"/>
            <w:vAlign w:val="center"/>
          </w:tcPr>
          <w:p w14:paraId="4E3D9748" w14:textId="77777777" w:rsidR="00DB215C" w:rsidRPr="00DB215C" w:rsidRDefault="00DB215C" w:rsidP="00DB215C">
            <w:pPr>
              <w:ind w:right="284"/>
              <w:jc w:val="right"/>
              <w:rPr>
                <w:rFonts w:eastAsia="Calibri"/>
                <w:sz w:val="18"/>
                <w:szCs w:val="18"/>
                <w:lang w:eastAsia="en-US"/>
              </w:rPr>
            </w:pPr>
            <w:r w:rsidRPr="00DB215C">
              <w:rPr>
                <w:rFonts w:eastAsia="Calibri"/>
                <w:sz w:val="18"/>
                <w:szCs w:val="18"/>
                <w:lang w:eastAsia="en-US"/>
              </w:rPr>
              <w:t>4.84</w:t>
            </w:r>
          </w:p>
        </w:tc>
        <w:tc>
          <w:tcPr>
            <w:tcW w:w="1276" w:type="dxa"/>
            <w:tcBorders>
              <w:top w:val="nil"/>
              <w:left w:val="single" w:sz="4" w:space="0" w:color="auto"/>
              <w:bottom w:val="nil"/>
              <w:right w:val="single" w:sz="4" w:space="0" w:color="auto"/>
            </w:tcBorders>
            <w:shd w:val="clear" w:color="auto" w:fill="auto"/>
            <w:vAlign w:val="center"/>
          </w:tcPr>
          <w:p w14:paraId="2BE17482" w14:textId="77777777" w:rsidR="00DB215C" w:rsidRPr="00DB215C" w:rsidRDefault="00DB215C" w:rsidP="00DB215C">
            <w:pPr>
              <w:ind w:right="227"/>
              <w:jc w:val="right"/>
              <w:rPr>
                <w:rFonts w:eastAsia="Calibri"/>
                <w:sz w:val="18"/>
                <w:szCs w:val="18"/>
                <w:lang w:eastAsia="en-US"/>
              </w:rPr>
            </w:pPr>
            <w:r w:rsidRPr="00DB215C">
              <w:rPr>
                <w:rFonts w:eastAsia="Calibri"/>
                <w:sz w:val="18"/>
                <w:szCs w:val="18"/>
                <w:lang w:eastAsia="en-US"/>
              </w:rPr>
              <w:t>5.52</w:t>
            </w:r>
          </w:p>
        </w:tc>
        <w:tc>
          <w:tcPr>
            <w:tcW w:w="1134" w:type="dxa"/>
            <w:tcBorders>
              <w:left w:val="single" w:sz="4" w:space="0" w:color="auto"/>
              <w:right w:val="single" w:sz="4" w:space="0" w:color="auto"/>
            </w:tcBorders>
            <w:shd w:val="clear" w:color="auto" w:fill="auto"/>
            <w:vAlign w:val="center"/>
          </w:tcPr>
          <w:p w14:paraId="033F606B" w14:textId="77777777" w:rsidR="00DB215C" w:rsidRPr="00DB215C" w:rsidRDefault="00DB215C" w:rsidP="00DB215C">
            <w:pPr>
              <w:ind w:right="227"/>
              <w:jc w:val="right"/>
              <w:rPr>
                <w:rFonts w:eastAsia="Calibri"/>
                <w:sz w:val="18"/>
                <w:szCs w:val="18"/>
                <w:lang w:eastAsia="en-US"/>
              </w:rPr>
            </w:pPr>
            <w:r w:rsidRPr="00DB215C">
              <w:rPr>
                <w:rFonts w:eastAsia="Calibri"/>
                <w:sz w:val="18"/>
                <w:szCs w:val="18"/>
                <w:lang w:eastAsia="en-US"/>
              </w:rPr>
              <w:t>5.38</w:t>
            </w:r>
          </w:p>
        </w:tc>
        <w:tc>
          <w:tcPr>
            <w:tcW w:w="1139" w:type="dxa"/>
            <w:tcBorders>
              <w:top w:val="nil"/>
              <w:left w:val="single" w:sz="4" w:space="0" w:color="auto"/>
              <w:bottom w:val="nil"/>
              <w:right w:val="single" w:sz="4" w:space="0" w:color="auto"/>
            </w:tcBorders>
            <w:shd w:val="clear" w:color="auto" w:fill="auto"/>
            <w:vAlign w:val="center"/>
          </w:tcPr>
          <w:p w14:paraId="31629D66"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0.54</w:t>
            </w:r>
          </w:p>
        </w:tc>
        <w:tc>
          <w:tcPr>
            <w:tcW w:w="1134" w:type="dxa"/>
            <w:tcBorders>
              <w:top w:val="nil"/>
              <w:left w:val="single" w:sz="4" w:space="0" w:color="auto"/>
              <w:bottom w:val="nil"/>
              <w:right w:val="single" w:sz="4" w:space="0" w:color="auto"/>
            </w:tcBorders>
            <w:shd w:val="clear" w:color="auto" w:fill="auto"/>
            <w:vAlign w:val="center"/>
          </w:tcPr>
          <w:p w14:paraId="2F3D1232" w14:textId="77777777" w:rsidR="00DB215C" w:rsidRPr="00DB215C" w:rsidRDefault="00DB215C" w:rsidP="00DB215C">
            <w:pPr>
              <w:ind w:right="284"/>
              <w:jc w:val="right"/>
              <w:rPr>
                <w:rFonts w:eastAsia="Calibri"/>
                <w:bCs/>
                <w:sz w:val="18"/>
                <w:szCs w:val="18"/>
                <w:lang w:eastAsia="en-US"/>
              </w:rPr>
            </w:pPr>
            <w:r w:rsidRPr="00DB215C">
              <w:rPr>
                <w:rFonts w:eastAsia="Calibri"/>
                <w:bCs/>
                <w:sz w:val="18"/>
                <w:szCs w:val="18"/>
                <w:lang w:eastAsia="en-US"/>
              </w:rPr>
              <w:t>-0.14</w:t>
            </w:r>
          </w:p>
        </w:tc>
      </w:tr>
      <w:tr w:rsidR="00DB215C" w:rsidRPr="00DB215C" w14:paraId="1D80F20E" w14:textId="77777777" w:rsidTr="00DB215C">
        <w:trPr>
          <w:trHeight w:val="271"/>
          <w:jc w:val="center"/>
        </w:trPr>
        <w:tc>
          <w:tcPr>
            <w:tcW w:w="2835" w:type="dxa"/>
            <w:tcBorders>
              <w:top w:val="nil"/>
              <w:left w:val="single" w:sz="4" w:space="0" w:color="auto"/>
              <w:bottom w:val="nil"/>
              <w:right w:val="single" w:sz="4" w:space="0" w:color="auto"/>
            </w:tcBorders>
            <w:shd w:val="clear" w:color="auto" w:fill="auto"/>
            <w:vAlign w:val="center"/>
          </w:tcPr>
          <w:p w14:paraId="1239AC7A" w14:textId="77777777" w:rsidR="00DB215C" w:rsidRPr="00DB215C" w:rsidRDefault="00DB215C" w:rsidP="00DB215C">
            <w:pPr>
              <w:ind w:left="170"/>
              <w:rPr>
                <w:rFonts w:eastAsia="Calibri"/>
                <w:bCs/>
                <w:sz w:val="18"/>
                <w:szCs w:val="18"/>
                <w:lang w:eastAsia="en-US"/>
              </w:rPr>
            </w:pPr>
            <w:r w:rsidRPr="00DB215C">
              <w:rPr>
                <w:rFonts w:eastAsia="Calibri"/>
                <w:bCs/>
                <w:sz w:val="18"/>
                <w:szCs w:val="18"/>
                <w:lang w:eastAsia="en-US"/>
              </w:rPr>
              <w:t>Personales</w:t>
            </w:r>
          </w:p>
        </w:tc>
        <w:tc>
          <w:tcPr>
            <w:tcW w:w="1134" w:type="dxa"/>
            <w:tcBorders>
              <w:left w:val="single" w:sz="4" w:space="0" w:color="auto"/>
              <w:right w:val="single" w:sz="4" w:space="0" w:color="auto"/>
            </w:tcBorders>
            <w:shd w:val="clear" w:color="auto" w:fill="auto"/>
            <w:vAlign w:val="center"/>
          </w:tcPr>
          <w:p w14:paraId="499A85F5" w14:textId="77777777" w:rsidR="00DB215C" w:rsidRPr="00DB215C" w:rsidRDefault="00DB215C" w:rsidP="00DB215C">
            <w:pPr>
              <w:ind w:right="284"/>
              <w:jc w:val="right"/>
              <w:rPr>
                <w:rFonts w:eastAsia="Calibri"/>
                <w:sz w:val="18"/>
                <w:szCs w:val="18"/>
                <w:lang w:eastAsia="en-US"/>
              </w:rPr>
            </w:pPr>
            <w:r w:rsidRPr="00DB215C">
              <w:rPr>
                <w:rFonts w:eastAsia="Calibri"/>
                <w:sz w:val="18"/>
                <w:szCs w:val="18"/>
                <w:lang w:eastAsia="en-US"/>
              </w:rPr>
              <w:t>7.72</w:t>
            </w:r>
          </w:p>
        </w:tc>
        <w:tc>
          <w:tcPr>
            <w:tcW w:w="1276" w:type="dxa"/>
            <w:tcBorders>
              <w:top w:val="nil"/>
              <w:left w:val="single" w:sz="4" w:space="0" w:color="auto"/>
              <w:bottom w:val="nil"/>
              <w:right w:val="single" w:sz="4" w:space="0" w:color="auto"/>
            </w:tcBorders>
            <w:shd w:val="clear" w:color="auto" w:fill="auto"/>
            <w:vAlign w:val="center"/>
          </w:tcPr>
          <w:p w14:paraId="4811E657" w14:textId="77777777" w:rsidR="00DB215C" w:rsidRPr="00DB215C" w:rsidRDefault="00DB215C" w:rsidP="00DB215C">
            <w:pPr>
              <w:ind w:right="227"/>
              <w:jc w:val="right"/>
              <w:rPr>
                <w:rFonts w:eastAsia="Calibri"/>
                <w:sz w:val="18"/>
                <w:szCs w:val="18"/>
                <w:lang w:eastAsia="en-US"/>
              </w:rPr>
            </w:pPr>
            <w:r w:rsidRPr="00DB215C">
              <w:rPr>
                <w:rFonts w:eastAsia="Calibri"/>
                <w:sz w:val="18"/>
                <w:szCs w:val="18"/>
                <w:lang w:eastAsia="en-US"/>
              </w:rPr>
              <w:t>8.18</w:t>
            </w:r>
          </w:p>
        </w:tc>
        <w:tc>
          <w:tcPr>
            <w:tcW w:w="1134" w:type="dxa"/>
            <w:tcBorders>
              <w:left w:val="single" w:sz="4" w:space="0" w:color="auto"/>
              <w:right w:val="single" w:sz="4" w:space="0" w:color="auto"/>
            </w:tcBorders>
            <w:shd w:val="clear" w:color="auto" w:fill="auto"/>
            <w:vAlign w:val="center"/>
          </w:tcPr>
          <w:p w14:paraId="71BE6561" w14:textId="77777777" w:rsidR="00DB215C" w:rsidRPr="00DB215C" w:rsidRDefault="00DB215C" w:rsidP="00DB215C">
            <w:pPr>
              <w:ind w:right="227"/>
              <w:jc w:val="right"/>
              <w:rPr>
                <w:rFonts w:eastAsia="Calibri"/>
                <w:sz w:val="18"/>
                <w:szCs w:val="18"/>
                <w:lang w:eastAsia="en-US"/>
              </w:rPr>
            </w:pPr>
            <w:r w:rsidRPr="00DB215C">
              <w:rPr>
                <w:rFonts w:eastAsia="Calibri"/>
                <w:sz w:val="18"/>
                <w:szCs w:val="18"/>
                <w:lang w:eastAsia="en-US"/>
              </w:rPr>
              <w:t>8.27</w:t>
            </w:r>
          </w:p>
        </w:tc>
        <w:tc>
          <w:tcPr>
            <w:tcW w:w="1139" w:type="dxa"/>
            <w:tcBorders>
              <w:top w:val="nil"/>
              <w:left w:val="single" w:sz="4" w:space="0" w:color="auto"/>
              <w:bottom w:val="nil"/>
              <w:right w:val="single" w:sz="4" w:space="0" w:color="auto"/>
            </w:tcBorders>
            <w:shd w:val="clear" w:color="auto" w:fill="auto"/>
            <w:vAlign w:val="center"/>
          </w:tcPr>
          <w:p w14:paraId="304428E9"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0.56</w:t>
            </w:r>
          </w:p>
        </w:tc>
        <w:tc>
          <w:tcPr>
            <w:tcW w:w="1134" w:type="dxa"/>
            <w:tcBorders>
              <w:top w:val="nil"/>
              <w:left w:val="single" w:sz="4" w:space="0" w:color="auto"/>
              <w:bottom w:val="nil"/>
              <w:right w:val="single" w:sz="4" w:space="0" w:color="auto"/>
            </w:tcBorders>
            <w:shd w:val="clear" w:color="auto" w:fill="auto"/>
            <w:vAlign w:val="center"/>
          </w:tcPr>
          <w:p w14:paraId="41E2310F" w14:textId="77777777" w:rsidR="00DB215C" w:rsidRPr="00DB215C" w:rsidRDefault="00DB215C" w:rsidP="00DB215C">
            <w:pPr>
              <w:ind w:right="284"/>
              <w:jc w:val="right"/>
              <w:rPr>
                <w:rFonts w:eastAsia="Calibri"/>
                <w:bCs/>
                <w:sz w:val="18"/>
                <w:szCs w:val="18"/>
                <w:lang w:eastAsia="en-US"/>
              </w:rPr>
            </w:pPr>
            <w:r w:rsidRPr="00DB215C">
              <w:rPr>
                <w:rFonts w:eastAsia="Calibri"/>
                <w:bCs/>
                <w:sz w:val="18"/>
                <w:szCs w:val="18"/>
                <w:lang w:eastAsia="en-US"/>
              </w:rPr>
              <w:t>0.09</w:t>
            </w:r>
          </w:p>
        </w:tc>
      </w:tr>
      <w:tr w:rsidR="00DB215C" w:rsidRPr="00DB215C" w14:paraId="2172BA26" w14:textId="77777777" w:rsidTr="00DB215C">
        <w:trPr>
          <w:trHeight w:val="271"/>
          <w:jc w:val="center"/>
        </w:trPr>
        <w:tc>
          <w:tcPr>
            <w:tcW w:w="2835" w:type="dxa"/>
            <w:tcBorders>
              <w:top w:val="nil"/>
              <w:left w:val="single" w:sz="4" w:space="0" w:color="auto"/>
              <w:bottom w:val="nil"/>
              <w:right w:val="single" w:sz="4" w:space="0" w:color="auto"/>
            </w:tcBorders>
            <w:shd w:val="clear" w:color="auto" w:fill="auto"/>
            <w:vAlign w:val="center"/>
          </w:tcPr>
          <w:p w14:paraId="76D2C23F" w14:textId="77777777" w:rsidR="00DB215C" w:rsidRPr="00DB215C" w:rsidRDefault="00DB215C" w:rsidP="00DB215C">
            <w:pPr>
              <w:ind w:left="170"/>
              <w:rPr>
                <w:rFonts w:eastAsia="Calibri"/>
                <w:bCs/>
                <w:sz w:val="18"/>
                <w:szCs w:val="18"/>
                <w:lang w:eastAsia="en-US"/>
              </w:rPr>
            </w:pPr>
            <w:r w:rsidRPr="00DB215C">
              <w:rPr>
                <w:rFonts w:eastAsia="Calibri"/>
                <w:bCs/>
                <w:sz w:val="18"/>
                <w:szCs w:val="18"/>
                <w:lang w:eastAsia="en-US"/>
              </w:rPr>
              <w:t>Nómina</w:t>
            </w:r>
          </w:p>
        </w:tc>
        <w:tc>
          <w:tcPr>
            <w:tcW w:w="1134" w:type="dxa"/>
            <w:tcBorders>
              <w:left w:val="single" w:sz="4" w:space="0" w:color="auto"/>
              <w:right w:val="single" w:sz="4" w:space="0" w:color="auto"/>
            </w:tcBorders>
            <w:shd w:val="clear" w:color="auto" w:fill="auto"/>
            <w:vAlign w:val="center"/>
          </w:tcPr>
          <w:p w14:paraId="0E72EFD0" w14:textId="77777777" w:rsidR="00DB215C" w:rsidRPr="00DB215C" w:rsidRDefault="00DB215C" w:rsidP="00DB215C">
            <w:pPr>
              <w:ind w:right="284"/>
              <w:jc w:val="right"/>
              <w:rPr>
                <w:rFonts w:eastAsia="Calibri"/>
                <w:sz w:val="18"/>
                <w:szCs w:val="18"/>
                <w:lang w:eastAsia="en-US"/>
              </w:rPr>
            </w:pPr>
            <w:r w:rsidRPr="00DB215C">
              <w:rPr>
                <w:rFonts w:eastAsia="Calibri"/>
                <w:sz w:val="18"/>
                <w:szCs w:val="18"/>
                <w:lang w:eastAsia="en-US"/>
              </w:rPr>
              <w:t>4.19</w:t>
            </w:r>
          </w:p>
        </w:tc>
        <w:tc>
          <w:tcPr>
            <w:tcW w:w="1276" w:type="dxa"/>
            <w:tcBorders>
              <w:top w:val="nil"/>
              <w:left w:val="single" w:sz="4" w:space="0" w:color="auto"/>
              <w:bottom w:val="nil"/>
              <w:right w:val="single" w:sz="4" w:space="0" w:color="auto"/>
            </w:tcBorders>
            <w:shd w:val="clear" w:color="auto" w:fill="auto"/>
            <w:vAlign w:val="center"/>
          </w:tcPr>
          <w:p w14:paraId="6A66BB07" w14:textId="77777777" w:rsidR="00DB215C" w:rsidRPr="00DB215C" w:rsidRDefault="00DB215C" w:rsidP="00DB215C">
            <w:pPr>
              <w:ind w:right="227"/>
              <w:jc w:val="right"/>
              <w:rPr>
                <w:rFonts w:eastAsia="Calibri"/>
                <w:sz w:val="18"/>
                <w:szCs w:val="18"/>
                <w:lang w:eastAsia="en-US"/>
              </w:rPr>
            </w:pPr>
            <w:r w:rsidRPr="00DB215C">
              <w:rPr>
                <w:rFonts w:eastAsia="Calibri"/>
                <w:sz w:val="18"/>
                <w:szCs w:val="18"/>
                <w:lang w:eastAsia="en-US"/>
              </w:rPr>
              <w:t>3.27</w:t>
            </w:r>
          </w:p>
        </w:tc>
        <w:tc>
          <w:tcPr>
            <w:tcW w:w="1134" w:type="dxa"/>
            <w:tcBorders>
              <w:left w:val="single" w:sz="4" w:space="0" w:color="auto"/>
              <w:right w:val="single" w:sz="4" w:space="0" w:color="auto"/>
            </w:tcBorders>
            <w:shd w:val="clear" w:color="auto" w:fill="auto"/>
            <w:vAlign w:val="center"/>
          </w:tcPr>
          <w:p w14:paraId="0221EBCA" w14:textId="77777777" w:rsidR="00DB215C" w:rsidRPr="00DB215C" w:rsidRDefault="00DB215C" w:rsidP="00DB215C">
            <w:pPr>
              <w:ind w:right="227"/>
              <w:jc w:val="right"/>
              <w:rPr>
                <w:rFonts w:eastAsia="Calibri"/>
                <w:sz w:val="18"/>
                <w:szCs w:val="18"/>
                <w:lang w:eastAsia="en-US"/>
              </w:rPr>
            </w:pPr>
            <w:r w:rsidRPr="00DB215C">
              <w:rPr>
                <w:rFonts w:eastAsia="Calibri"/>
                <w:sz w:val="18"/>
                <w:szCs w:val="18"/>
                <w:lang w:eastAsia="en-US"/>
              </w:rPr>
              <w:t>3.14</w:t>
            </w:r>
          </w:p>
        </w:tc>
        <w:tc>
          <w:tcPr>
            <w:tcW w:w="1139" w:type="dxa"/>
            <w:tcBorders>
              <w:top w:val="nil"/>
              <w:left w:val="single" w:sz="4" w:space="0" w:color="auto"/>
              <w:bottom w:val="nil"/>
              <w:right w:val="single" w:sz="4" w:space="0" w:color="auto"/>
            </w:tcBorders>
            <w:shd w:val="clear" w:color="auto" w:fill="auto"/>
            <w:vAlign w:val="center"/>
          </w:tcPr>
          <w:p w14:paraId="6A5F5B9A"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-1.06</w:t>
            </w:r>
          </w:p>
        </w:tc>
        <w:tc>
          <w:tcPr>
            <w:tcW w:w="1134" w:type="dxa"/>
            <w:tcBorders>
              <w:top w:val="nil"/>
              <w:left w:val="single" w:sz="4" w:space="0" w:color="auto"/>
              <w:bottom w:val="nil"/>
              <w:right w:val="single" w:sz="4" w:space="0" w:color="auto"/>
            </w:tcBorders>
            <w:shd w:val="clear" w:color="auto" w:fill="auto"/>
            <w:vAlign w:val="center"/>
          </w:tcPr>
          <w:p w14:paraId="674A1E21" w14:textId="77777777" w:rsidR="00DB215C" w:rsidRPr="00DB215C" w:rsidRDefault="00DB215C" w:rsidP="00DB215C">
            <w:pPr>
              <w:ind w:right="284"/>
              <w:jc w:val="right"/>
              <w:rPr>
                <w:rFonts w:eastAsia="Calibri"/>
                <w:bCs/>
                <w:sz w:val="18"/>
                <w:szCs w:val="18"/>
                <w:lang w:eastAsia="en-US"/>
              </w:rPr>
            </w:pPr>
            <w:r w:rsidRPr="00DB215C">
              <w:rPr>
                <w:rFonts w:eastAsia="Calibri"/>
                <w:bCs/>
                <w:sz w:val="18"/>
                <w:szCs w:val="18"/>
                <w:lang w:eastAsia="en-US"/>
              </w:rPr>
              <w:t>-0.13</w:t>
            </w:r>
          </w:p>
        </w:tc>
      </w:tr>
      <w:tr w:rsidR="00DB215C" w:rsidRPr="00DB215C" w14:paraId="67080A21" w14:textId="77777777" w:rsidTr="00DB215C">
        <w:trPr>
          <w:trHeight w:val="271"/>
          <w:jc w:val="center"/>
        </w:trPr>
        <w:tc>
          <w:tcPr>
            <w:tcW w:w="2835" w:type="dxa"/>
            <w:tcBorders>
              <w:top w:val="nil"/>
              <w:left w:val="single" w:sz="4" w:space="0" w:color="auto"/>
              <w:bottom w:val="nil"/>
              <w:right w:val="single" w:sz="4" w:space="0" w:color="auto"/>
            </w:tcBorders>
            <w:shd w:val="clear" w:color="auto" w:fill="auto"/>
            <w:vAlign w:val="center"/>
          </w:tcPr>
          <w:p w14:paraId="495BF555" w14:textId="77777777" w:rsidR="00DB215C" w:rsidRPr="00DB215C" w:rsidRDefault="00DB215C" w:rsidP="00DB215C">
            <w:pPr>
              <w:ind w:left="170"/>
              <w:rPr>
                <w:rFonts w:eastAsia="Calibri"/>
                <w:bCs/>
                <w:sz w:val="18"/>
                <w:szCs w:val="18"/>
                <w:lang w:eastAsia="en-US"/>
              </w:rPr>
            </w:pPr>
            <w:r w:rsidRPr="00DB215C">
              <w:rPr>
                <w:rFonts w:eastAsia="Calibri"/>
                <w:bCs/>
                <w:sz w:val="18"/>
                <w:szCs w:val="18"/>
                <w:lang w:eastAsia="en-US"/>
              </w:rPr>
              <w:t>ABCD</w:t>
            </w:r>
          </w:p>
        </w:tc>
        <w:tc>
          <w:tcPr>
            <w:tcW w:w="1134" w:type="dxa"/>
            <w:tcBorders>
              <w:left w:val="single" w:sz="4" w:space="0" w:color="auto"/>
              <w:right w:val="single" w:sz="4" w:space="0" w:color="auto"/>
            </w:tcBorders>
            <w:shd w:val="clear" w:color="auto" w:fill="auto"/>
            <w:vAlign w:val="center"/>
          </w:tcPr>
          <w:p w14:paraId="67DF9A30" w14:textId="77777777" w:rsidR="00DB215C" w:rsidRPr="00DB215C" w:rsidRDefault="00DB215C" w:rsidP="00DB215C">
            <w:pPr>
              <w:ind w:right="284"/>
              <w:jc w:val="right"/>
              <w:rPr>
                <w:rFonts w:eastAsia="Calibri"/>
                <w:sz w:val="18"/>
                <w:szCs w:val="18"/>
                <w:lang w:eastAsia="en-US"/>
              </w:rPr>
            </w:pPr>
            <w:r w:rsidRPr="00DB215C">
              <w:rPr>
                <w:rFonts w:eastAsia="Calibri"/>
                <w:sz w:val="18"/>
                <w:szCs w:val="18"/>
                <w:lang w:eastAsia="en-US"/>
              </w:rPr>
              <w:t>2.09</w:t>
            </w:r>
          </w:p>
        </w:tc>
        <w:tc>
          <w:tcPr>
            <w:tcW w:w="1276" w:type="dxa"/>
            <w:tcBorders>
              <w:top w:val="nil"/>
              <w:left w:val="single" w:sz="4" w:space="0" w:color="auto"/>
              <w:bottom w:val="nil"/>
              <w:right w:val="single" w:sz="4" w:space="0" w:color="auto"/>
            </w:tcBorders>
            <w:shd w:val="clear" w:color="auto" w:fill="auto"/>
            <w:vAlign w:val="center"/>
          </w:tcPr>
          <w:p w14:paraId="082B1B40" w14:textId="77777777" w:rsidR="00DB215C" w:rsidRPr="00DB215C" w:rsidRDefault="00DB215C" w:rsidP="00DB215C">
            <w:pPr>
              <w:ind w:right="227"/>
              <w:jc w:val="right"/>
              <w:rPr>
                <w:rFonts w:eastAsia="Calibri"/>
                <w:sz w:val="18"/>
                <w:szCs w:val="18"/>
                <w:lang w:eastAsia="en-US"/>
              </w:rPr>
            </w:pPr>
            <w:r w:rsidRPr="00DB215C">
              <w:rPr>
                <w:rFonts w:eastAsia="Calibri"/>
                <w:sz w:val="18"/>
                <w:szCs w:val="18"/>
                <w:lang w:eastAsia="en-US"/>
              </w:rPr>
              <w:t>2.06</w:t>
            </w:r>
          </w:p>
        </w:tc>
        <w:tc>
          <w:tcPr>
            <w:tcW w:w="1134" w:type="dxa"/>
            <w:tcBorders>
              <w:left w:val="single" w:sz="4" w:space="0" w:color="auto"/>
              <w:right w:val="single" w:sz="4" w:space="0" w:color="auto"/>
            </w:tcBorders>
            <w:shd w:val="clear" w:color="auto" w:fill="auto"/>
            <w:vAlign w:val="center"/>
          </w:tcPr>
          <w:p w14:paraId="78C12ABB" w14:textId="77777777" w:rsidR="00DB215C" w:rsidRPr="00DB215C" w:rsidRDefault="00DB215C" w:rsidP="00DB215C">
            <w:pPr>
              <w:ind w:right="227"/>
              <w:jc w:val="right"/>
              <w:rPr>
                <w:rFonts w:eastAsia="Calibri"/>
                <w:sz w:val="18"/>
                <w:szCs w:val="18"/>
                <w:lang w:eastAsia="en-US"/>
              </w:rPr>
            </w:pPr>
            <w:r w:rsidRPr="00DB215C">
              <w:rPr>
                <w:rFonts w:eastAsia="Calibri"/>
                <w:sz w:val="18"/>
                <w:szCs w:val="18"/>
                <w:lang w:eastAsia="en-US"/>
              </w:rPr>
              <w:t>1.97</w:t>
            </w:r>
          </w:p>
        </w:tc>
        <w:tc>
          <w:tcPr>
            <w:tcW w:w="1139" w:type="dxa"/>
            <w:tcBorders>
              <w:top w:val="nil"/>
              <w:left w:val="single" w:sz="4" w:space="0" w:color="auto"/>
              <w:bottom w:val="nil"/>
              <w:right w:val="single" w:sz="4" w:space="0" w:color="auto"/>
            </w:tcBorders>
            <w:shd w:val="clear" w:color="auto" w:fill="auto"/>
            <w:vAlign w:val="center"/>
          </w:tcPr>
          <w:p w14:paraId="259148E3"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-0.12</w:t>
            </w:r>
          </w:p>
        </w:tc>
        <w:tc>
          <w:tcPr>
            <w:tcW w:w="1134" w:type="dxa"/>
            <w:tcBorders>
              <w:top w:val="nil"/>
              <w:left w:val="single" w:sz="4" w:space="0" w:color="auto"/>
              <w:bottom w:val="nil"/>
              <w:right w:val="single" w:sz="4" w:space="0" w:color="auto"/>
            </w:tcBorders>
            <w:shd w:val="clear" w:color="auto" w:fill="auto"/>
            <w:vAlign w:val="center"/>
          </w:tcPr>
          <w:p w14:paraId="51A5F72B" w14:textId="77777777" w:rsidR="00DB215C" w:rsidRPr="00DB215C" w:rsidRDefault="00DB215C" w:rsidP="00DB215C">
            <w:pPr>
              <w:ind w:right="284"/>
              <w:jc w:val="right"/>
              <w:rPr>
                <w:rFonts w:eastAsia="Calibri"/>
                <w:bCs/>
                <w:sz w:val="18"/>
                <w:szCs w:val="18"/>
                <w:lang w:eastAsia="en-US"/>
              </w:rPr>
            </w:pPr>
            <w:r w:rsidRPr="00DB215C">
              <w:rPr>
                <w:rFonts w:eastAsia="Calibri"/>
                <w:bCs/>
                <w:sz w:val="18"/>
                <w:szCs w:val="18"/>
                <w:lang w:eastAsia="en-US"/>
              </w:rPr>
              <w:t>-0.09</w:t>
            </w:r>
          </w:p>
        </w:tc>
      </w:tr>
      <w:tr w:rsidR="00DB215C" w:rsidRPr="00DB215C" w14:paraId="46973851" w14:textId="77777777" w:rsidTr="00DB215C">
        <w:trPr>
          <w:trHeight w:val="271"/>
          <w:jc w:val="center"/>
        </w:trPr>
        <w:tc>
          <w:tcPr>
            <w:tcW w:w="2835" w:type="dxa"/>
            <w:tcBorders>
              <w:top w:val="nil"/>
              <w:left w:val="single" w:sz="4" w:space="0" w:color="auto"/>
              <w:bottom w:val="nil"/>
              <w:right w:val="single" w:sz="4" w:space="0" w:color="auto"/>
            </w:tcBorders>
            <w:shd w:val="clear" w:color="auto" w:fill="auto"/>
            <w:vAlign w:val="center"/>
          </w:tcPr>
          <w:p w14:paraId="3A798834" w14:textId="77777777" w:rsidR="00DB215C" w:rsidRPr="00DB215C" w:rsidRDefault="00DB215C" w:rsidP="00DB215C">
            <w:pPr>
              <w:ind w:left="340"/>
              <w:rPr>
                <w:rFonts w:eastAsia="Calibri"/>
                <w:bCs/>
                <w:sz w:val="18"/>
                <w:szCs w:val="18"/>
                <w:lang w:eastAsia="en-US"/>
              </w:rPr>
            </w:pPr>
            <w:r w:rsidRPr="00DB215C">
              <w:rPr>
                <w:rFonts w:eastAsia="Calibri"/>
                <w:bCs/>
                <w:sz w:val="18"/>
                <w:szCs w:val="18"/>
                <w:lang w:eastAsia="en-US"/>
              </w:rPr>
              <w:t>Automotriz</w:t>
            </w:r>
          </w:p>
        </w:tc>
        <w:tc>
          <w:tcPr>
            <w:tcW w:w="1134" w:type="dxa"/>
            <w:tcBorders>
              <w:left w:val="single" w:sz="4" w:space="0" w:color="auto"/>
              <w:right w:val="single" w:sz="4" w:space="0" w:color="auto"/>
            </w:tcBorders>
            <w:shd w:val="clear" w:color="auto" w:fill="auto"/>
            <w:vAlign w:val="center"/>
          </w:tcPr>
          <w:p w14:paraId="636B022A" w14:textId="77777777" w:rsidR="00DB215C" w:rsidRPr="00DB215C" w:rsidRDefault="00DB215C" w:rsidP="00DB215C">
            <w:pPr>
              <w:ind w:right="284"/>
              <w:jc w:val="right"/>
              <w:rPr>
                <w:rFonts w:eastAsia="Calibri"/>
                <w:sz w:val="18"/>
                <w:szCs w:val="18"/>
                <w:lang w:eastAsia="en-US"/>
              </w:rPr>
            </w:pPr>
            <w:r w:rsidRPr="00DB215C">
              <w:rPr>
                <w:rFonts w:eastAsia="Calibri"/>
                <w:sz w:val="18"/>
                <w:szCs w:val="18"/>
                <w:lang w:eastAsia="en-US"/>
              </w:rPr>
              <w:t>1.92</w:t>
            </w:r>
          </w:p>
        </w:tc>
        <w:tc>
          <w:tcPr>
            <w:tcW w:w="1276" w:type="dxa"/>
            <w:tcBorders>
              <w:top w:val="nil"/>
              <w:left w:val="single" w:sz="4" w:space="0" w:color="auto"/>
              <w:bottom w:val="nil"/>
              <w:right w:val="single" w:sz="4" w:space="0" w:color="auto"/>
            </w:tcBorders>
            <w:shd w:val="clear" w:color="auto" w:fill="auto"/>
            <w:vAlign w:val="center"/>
          </w:tcPr>
          <w:p w14:paraId="1B3EE5D8" w14:textId="77777777" w:rsidR="00DB215C" w:rsidRPr="00DB215C" w:rsidRDefault="00DB215C" w:rsidP="00DB215C">
            <w:pPr>
              <w:ind w:right="227"/>
              <w:jc w:val="right"/>
              <w:rPr>
                <w:rFonts w:eastAsia="Calibri"/>
                <w:sz w:val="18"/>
                <w:szCs w:val="18"/>
                <w:lang w:eastAsia="en-US"/>
              </w:rPr>
            </w:pPr>
            <w:r w:rsidRPr="00DB215C">
              <w:rPr>
                <w:rFonts w:eastAsia="Calibri"/>
                <w:sz w:val="18"/>
                <w:szCs w:val="18"/>
                <w:lang w:eastAsia="en-US"/>
              </w:rPr>
              <w:t>1.83</w:t>
            </w:r>
          </w:p>
        </w:tc>
        <w:tc>
          <w:tcPr>
            <w:tcW w:w="1134" w:type="dxa"/>
            <w:tcBorders>
              <w:left w:val="single" w:sz="4" w:space="0" w:color="auto"/>
              <w:right w:val="single" w:sz="4" w:space="0" w:color="auto"/>
            </w:tcBorders>
            <w:shd w:val="clear" w:color="auto" w:fill="auto"/>
            <w:vAlign w:val="center"/>
          </w:tcPr>
          <w:p w14:paraId="5704481D" w14:textId="77777777" w:rsidR="00DB215C" w:rsidRPr="00DB215C" w:rsidRDefault="00DB215C" w:rsidP="00DB215C">
            <w:pPr>
              <w:ind w:right="227"/>
              <w:jc w:val="right"/>
              <w:rPr>
                <w:rFonts w:eastAsia="Calibri"/>
                <w:sz w:val="18"/>
                <w:szCs w:val="18"/>
                <w:lang w:eastAsia="en-US"/>
              </w:rPr>
            </w:pPr>
            <w:r w:rsidRPr="00DB215C">
              <w:rPr>
                <w:rFonts w:eastAsia="Calibri"/>
                <w:sz w:val="18"/>
                <w:szCs w:val="18"/>
                <w:lang w:eastAsia="en-US"/>
              </w:rPr>
              <w:t>1.74</w:t>
            </w:r>
          </w:p>
        </w:tc>
        <w:tc>
          <w:tcPr>
            <w:tcW w:w="1139" w:type="dxa"/>
            <w:tcBorders>
              <w:top w:val="nil"/>
              <w:left w:val="single" w:sz="4" w:space="0" w:color="auto"/>
              <w:bottom w:val="nil"/>
              <w:right w:val="single" w:sz="4" w:space="0" w:color="auto"/>
            </w:tcBorders>
            <w:shd w:val="clear" w:color="auto" w:fill="auto"/>
            <w:vAlign w:val="center"/>
          </w:tcPr>
          <w:p w14:paraId="5A4F66A9"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-0.18</w:t>
            </w:r>
          </w:p>
        </w:tc>
        <w:tc>
          <w:tcPr>
            <w:tcW w:w="1134" w:type="dxa"/>
            <w:tcBorders>
              <w:top w:val="nil"/>
              <w:left w:val="single" w:sz="4" w:space="0" w:color="auto"/>
              <w:bottom w:val="nil"/>
              <w:right w:val="single" w:sz="4" w:space="0" w:color="auto"/>
            </w:tcBorders>
            <w:shd w:val="clear" w:color="auto" w:fill="auto"/>
            <w:vAlign w:val="center"/>
          </w:tcPr>
          <w:p w14:paraId="33225157" w14:textId="77777777" w:rsidR="00DB215C" w:rsidRPr="00DB215C" w:rsidRDefault="00DB215C" w:rsidP="00DB215C">
            <w:pPr>
              <w:ind w:right="284"/>
              <w:jc w:val="right"/>
              <w:rPr>
                <w:rFonts w:eastAsia="Calibri"/>
                <w:bCs/>
                <w:sz w:val="18"/>
                <w:szCs w:val="18"/>
                <w:lang w:eastAsia="en-US"/>
              </w:rPr>
            </w:pPr>
            <w:r w:rsidRPr="00DB215C">
              <w:rPr>
                <w:rFonts w:eastAsia="Calibri"/>
                <w:bCs/>
                <w:sz w:val="18"/>
                <w:szCs w:val="18"/>
                <w:lang w:eastAsia="en-US"/>
              </w:rPr>
              <w:t>-0.10</w:t>
            </w:r>
          </w:p>
        </w:tc>
      </w:tr>
      <w:tr w:rsidR="00DB215C" w:rsidRPr="00DB215C" w14:paraId="55BBDD68" w14:textId="77777777" w:rsidTr="00DB215C">
        <w:trPr>
          <w:trHeight w:val="271"/>
          <w:jc w:val="center"/>
        </w:trPr>
        <w:tc>
          <w:tcPr>
            <w:tcW w:w="2835" w:type="dxa"/>
            <w:tcBorders>
              <w:top w:val="nil"/>
              <w:left w:val="single" w:sz="4" w:space="0" w:color="auto"/>
              <w:bottom w:val="nil"/>
              <w:right w:val="single" w:sz="4" w:space="0" w:color="auto"/>
            </w:tcBorders>
            <w:shd w:val="clear" w:color="auto" w:fill="auto"/>
            <w:vAlign w:val="center"/>
          </w:tcPr>
          <w:p w14:paraId="325860BB" w14:textId="77777777" w:rsidR="00DB215C" w:rsidRPr="00DB215C" w:rsidRDefault="00DB215C" w:rsidP="00DB215C">
            <w:pPr>
              <w:ind w:left="340"/>
              <w:rPr>
                <w:rFonts w:eastAsia="Calibri"/>
                <w:bCs/>
                <w:sz w:val="18"/>
                <w:szCs w:val="18"/>
                <w:lang w:eastAsia="en-US"/>
              </w:rPr>
            </w:pPr>
            <w:r w:rsidRPr="00DB215C">
              <w:rPr>
                <w:rFonts w:eastAsia="Calibri"/>
                <w:bCs/>
                <w:sz w:val="18"/>
                <w:szCs w:val="18"/>
                <w:lang w:eastAsia="en-US"/>
              </w:rPr>
              <w:t>Adquisición de bienes muebles</w:t>
            </w:r>
          </w:p>
        </w:tc>
        <w:tc>
          <w:tcPr>
            <w:tcW w:w="1134" w:type="dxa"/>
            <w:tcBorders>
              <w:left w:val="single" w:sz="4" w:space="0" w:color="auto"/>
              <w:right w:val="single" w:sz="4" w:space="0" w:color="auto"/>
            </w:tcBorders>
            <w:shd w:val="clear" w:color="auto" w:fill="auto"/>
            <w:vAlign w:val="center"/>
          </w:tcPr>
          <w:p w14:paraId="0383AF98" w14:textId="77777777" w:rsidR="00DB215C" w:rsidRPr="00DB215C" w:rsidRDefault="00DB215C" w:rsidP="00DB215C">
            <w:pPr>
              <w:ind w:right="284"/>
              <w:jc w:val="right"/>
              <w:rPr>
                <w:rFonts w:eastAsia="Calibri"/>
                <w:sz w:val="18"/>
                <w:szCs w:val="18"/>
                <w:lang w:eastAsia="en-US"/>
              </w:rPr>
            </w:pPr>
            <w:r w:rsidRPr="00DB215C">
              <w:rPr>
                <w:rFonts w:eastAsia="Calibri"/>
                <w:sz w:val="18"/>
                <w:szCs w:val="18"/>
                <w:lang w:eastAsia="en-US"/>
              </w:rPr>
              <w:t>6.87</w:t>
            </w:r>
          </w:p>
        </w:tc>
        <w:tc>
          <w:tcPr>
            <w:tcW w:w="1276" w:type="dxa"/>
            <w:tcBorders>
              <w:top w:val="nil"/>
              <w:left w:val="single" w:sz="4" w:space="0" w:color="auto"/>
              <w:bottom w:val="nil"/>
              <w:right w:val="single" w:sz="4" w:space="0" w:color="auto"/>
            </w:tcBorders>
            <w:shd w:val="clear" w:color="auto" w:fill="auto"/>
            <w:vAlign w:val="center"/>
          </w:tcPr>
          <w:p w14:paraId="6DF3FC89" w14:textId="77777777" w:rsidR="00DB215C" w:rsidRPr="00DB215C" w:rsidRDefault="00DB215C" w:rsidP="00DB215C">
            <w:pPr>
              <w:ind w:right="227"/>
              <w:jc w:val="right"/>
              <w:rPr>
                <w:rFonts w:eastAsia="Calibri"/>
                <w:sz w:val="18"/>
                <w:szCs w:val="18"/>
                <w:lang w:eastAsia="en-US"/>
              </w:rPr>
            </w:pPr>
            <w:r w:rsidRPr="00DB215C">
              <w:rPr>
                <w:rFonts w:eastAsia="Calibri"/>
                <w:sz w:val="18"/>
                <w:szCs w:val="18"/>
                <w:lang w:eastAsia="en-US"/>
              </w:rPr>
              <w:t>5.05</w:t>
            </w:r>
          </w:p>
        </w:tc>
        <w:tc>
          <w:tcPr>
            <w:tcW w:w="1134" w:type="dxa"/>
            <w:tcBorders>
              <w:left w:val="single" w:sz="4" w:space="0" w:color="auto"/>
              <w:right w:val="single" w:sz="4" w:space="0" w:color="auto"/>
            </w:tcBorders>
            <w:shd w:val="clear" w:color="auto" w:fill="auto"/>
            <w:vAlign w:val="center"/>
          </w:tcPr>
          <w:p w14:paraId="442BF4F4" w14:textId="77777777" w:rsidR="00DB215C" w:rsidRPr="00DB215C" w:rsidRDefault="00DB215C" w:rsidP="00DB215C">
            <w:pPr>
              <w:ind w:right="227"/>
              <w:jc w:val="right"/>
              <w:rPr>
                <w:rFonts w:eastAsia="Calibri"/>
                <w:sz w:val="18"/>
                <w:szCs w:val="18"/>
                <w:lang w:eastAsia="en-US"/>
              </w:rPr>
            </w:pPr>
            <w:r w:rsidRPr="00DB215C">
              <w:rPr>
                <w:rFonts w:eastAsia="Calibri"/>
                <w:sz w:val="18"/>
                <w:szCs w:val="18"/>
                <w:lang w:eastAsia="en-US"/>
              </w:rPr>
              <w:t>4.95</w:t>
            </w:r>
          </w:p>
        </w:tc>
        <w:tc>
          <w:tcPr>
            <w:tcW w:w="1139" w:type="dxa"/>
            <w:tcBorders>
              <w:top w:val="nil"/>
              <w:left w:val="single" w:sz="4" w:space="0" w:color="auto"/>
              <w:bottom w:val="nil"/>
              <w:right w:val="single" w:sz="4" w:space="0" w:color="auto"/>
            </w:tcBorders>
            <w:shd w:val="clear" w:color="auto" w:fill="auto"/>
            <w:vAlign w:val="center"/>
          </w:tcPr>
          <w:p w14:paraId="6560FEBE"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-1.93</w:t>
            </w:r>
          </w:p>
        </w:tc>
        <w:tc>
          <w:tcPr>
            <w:tcW w:w="1134" w:type="dxa"/>
            <w:tcBorders>
              <w:top w:val="nil"/>
              <w:left w:val="single" w:sz="4" w:space="0" w:color="auto"/>
              <w:bottom w:val="nil"/>
              <w:right w:val="single" w:sz="4" w:space="0" w:color="auto"/>
            </w:tcBorders>
            <w:shd w:val="clear" w:color="auto" w:fill="auto"/>
            <w:vAlign w:val="center"/>
          </w:tcPr>
          <w:p w14:paraId="5519B183" w14:textId="77777777" w:rsidR="00DB215C" w:rsidRPr="00DB215C" w:rsidRDefault="00DB215C" w:rsidP="00DB215C">
            <w:pPr>
              <w:ind w:right="284"/>
              <w:jc w:val="right"/>
              <w:rPr>
                <w:rFonts w:eastAsia="Calibri"/>
                <w:bCs/>
                <w:sz w:val="18"/>
                <w:szCs w:val="18"/>
                <w:lang w:eastAsia="en-US"/>
              </w:rPr>
            </w:pPr>
            <w:r w:rsidRPr="00DB215C">
              <w:rPr>
                <w:rFonts w:eastAsia="Calibri"/>
                <w:bCs/>
                <w:sz w:val="18"/>
                <w:szCs w:val="18"/>
                <w:lang w:eastAsia="en-US"/>
              </w:rPr>
              <w:t>-0.10</w:t>
            </w:r>
          </w:p>
        </w:tc>
      </w:tr>
      <w:tr w:rsidR="00DB215C" w:rsidRPr="00DB215C" w14:paraId="4356BE83" w14:textId="77777777" w:rsidTr="00DB215C">
        <w:trPr>
          <w:trHeight w:val="271"/>
          <w:jc w:val="center"/>
        </w:trPr>
        <w:tc>
          <w:tcPr>
            <w:tcW w:w="2835" w:type="dxa"/>
            <w:tcBorders>
              <w:top w:val="nil"/>
              <w:left w:val="single" w:sz="4" w:space="0" w:color="auto"/>
              <w:bottom w:val="nil"/>
              <w:right w:val="single" w:sz="4" w:space="0" w:color="auto"/>
            </w:tcBorders>
            <w:shd w:val="clear" w:color="auto" w:fill="auto"/>
            <w:vAlign w:val="center"/>
          </w:tcPr>
          <w:p w14:paraId="2329D16C" w14:textId="77777777" w:rsidR="00DB215C" w:rsidRPr="00DB215C" w:rsidRDefault="00DB215C" w:rsidP="00DB215C">
            <w:pPr>
              <w:ind w:left="170"/>
              <w:rPr>
                <w:rFonts w:eastAsia="Calibri"/>
                <w:bCs/>
                <w:sz w:val="18"/>
                <w:szCs w:val="18"/>
                <w:lang w:eastAsia="en-US"/>
              </w:rPr>
            </w:pPr>
            <w:r w:rsidRPr="00DB215C">
              <w:rPr>
                <w:rFonts w:eastAsia="Calibri"/>
                <w:bCs/>
                <w:sz w:val="18"/>
                <w:szCs w:val="18"/>
                <w:lang w:eastAsia="en-US"/>
              </w:rPr>
              <w:t>Operaciones de arrendamiento capitalizable</w:t>
            </w:r>
          </w:p>
        </w:tc>
        <w:tc>
          <w:tcPr>
            <w:tcW w:w="1134" w:type="dxa"/>
            <w:tcBorders>
              <w:left w:val="single" w:sz="4" w:space="0" w:color="auto"/>
              <w:right w:val="single" w:sz="4" w:space="0" w:color="auto"/>
            </w:tcBorders>
            <w:shd w:val="clear" w:color="auto" w:fill="auto"/>
            <w:vAlign w:val="center"/>
          </w:tcPr>
          <w:p w14:paraId="1653F2A1" w14:textId="77777777" w:rsidR="00DB215C" w:rsidRPr="00DB215C" w:rsidRDefault="00DB215C" w:rsidP="00DB215C">
            <w:pPr>
              <w:ind w:right="284"/>
              <w:jc w:val="right"/>
              <w:rPr>
                <w:rFonts w:eastAsia="Calibri"/>
                <w:sz w:val="18"/>
                <w:szCs w:val="18"/>
                <w:lang w:eastAsia="en-US"/>
              </w:rPr>
            </w:pPr>
            <w:r w:rsidRPr="00DB215C">
              <w:rPr>
                <w:rFonts w:eastAsia="Calibri"/>
                <w:sz w:val="18"/>
                <w:szCs w:val="18"/>
                <w:lang w:eastAsia="en-US"/>
              </w:rPr>
              <w:t>14.31</w:t>
            </w:r>
          </w:p>
        </w:tc>
        <w:tc>
          <w:tcPr>
            <w:tcW w:w="1276" w:type="dxa"/>
            <w:tcBorders>
              <w:top w:val="nil"/>
              <w:left w:val="single" w:sz="4" w:space="0" w:color="auto"/>
              <w:bottom w:val="nil"/>
              <w:right w:val="single" w:sz="4" w:space="0" w:color="auto"/>
            </w:tcBorders>
            <w:shd w:val="clear" w:color="auto" w:fill="auto"/>
            <w:vAlign w:val="center"/>
          </w:tcPr>
          <w:p w14:paraId="2D8FCE86" w14:textId="77777777" w:rsidR="00DB215C" w:rsidRPr="00DB215C" w:rsidRDefault="00DB215C" w:rsidP="00DB215C">
            <w:pPr>
              <w:ind w:right="227"/>
              <w:jc w:val="right"/>
              <w:rPr>
                <w:rFonts w:eastAsia="Calibri"/>
                <w:sz w:val="18"/>
                <w:szCs w:val="18"/>
                <w:lang w:eastAsia="en-US"/>
              </w:rPr>
            </w:pPr>
            <w:r w:rsidRPr="00DB215C">
              <w:rPr>
                <w:rFonts w:eastAsia="Calibri"/>
                <w:sz w:val="18"/>
                <w:szCs w:val="18"/>
                <w:lang w:eastAsia="en-US"/>
              </w:rPr>
              <w:t>27.90</w:t>
            </w:r>
          </w:p>
        </w:tc>
        <w:tc>
          <w:tcPr>
            <w:tcW w:w="1134" w:type="dxa"/>
            <w:tcBorders>
              <w:left w:val="single" w:sz="4" w:space="0" w:color="auto"/>
              <w:right w:val="single" w:sz="4" w:space="0" w:color="auto"/>
            </w:tcBorders>
            <w:shd w:val="clear" w:color="auto" w:fill="auto"/>
            <w:vAlign w:val="center"/>
          </w:tcPr>
          <w:p w14:paraId="00F2C1D3" w14:textId="77777777" w:rsidR="00DB215C" w:rsidRPr="00DB215C" w:rsidRDefault="00DB215C" w:rsidP="00DB215C">
            <w:pPr>
              <w:ind w:right="227"/>
              <w:jc w:val="right"/>
              <w:rPr>
                <w:rFonts w:eastAsia="Calibri"/>
                <w:sz w:val="18"/>
                <w:szCs w:val="18"/>
                <w:lang w:eastAsia="en-US"/>
              </w:rPr>
            </w:pPr>
            <w:r w:rsidRPr="00DB215C">
              <w:rPr>
                <w:rFonts w:eastAsia="Calibri"/>
                <w:sz w:val="18"/>
                <w:szCs w:val="18"/>
                <w:lang w:eastAsia="en-US"/>
              </w:rPr>
              <w:t>22.51</w:t>
            </w:r>
          </w:p>
        </w:tc>
        <w:tc>
          <w:tcPr>
            <w:tcW w:w="1139" w:type="dxa"/>
            <w:tcBorders>
              <w:top w:val="nil"/>
              <w:left w:val="single" w:sz="4" w:space="0" w:color="auto"/>
              <w:bottom w:val="nil"/>
              <w:right w:val="single" w:sz="4" w:space="0" w:color="auto"/>
            </w:tcBorders>
            <w:shd w:val="clear" w:color="auto" w:fill="auto"/>
            <w:vAlign w:val="center"/>
          </w:tcPr>
          <w:p w14:paraId="7C0278A4"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8.19</w:t>
            </w:r>
          </w:p>
        </w:tc>
        <w:tc>
          <w:tcPr>
            <w:tcW w:w="1134" w:type="dxa"/>
            <w:tcBorders>
              <w:top w:val="nil"/>
              <w:left w:val="single" w:sz="4" w:space="0" w:color="auto"/>
              <w:bottom w:val="nil"/>
              <w:right w:val="single" w:sz="4" w:space="0" w:color="auto"/>
            </w:tcBorders>
            <w:shd w:val="clear" w:color="auto" w:fill="auto"/>
            <w:vAlign w:val="center"/>
          </w:tcPr>
          <w:p w14:paraId="05DB263E" w14:textId="77777777" w:rsidR="00DB215C" w:rsidRPr="00DB215C" w:rsidRDefault="00DB215C" w:rsidP="00DB215C">
            <w:pPr>
              <w:ind w:right="284"/>
              <w:jc w:val="right"/>
              <w:rPr>
                <w:rFonts w:eastAsia="Calibri"/>
                <w:bCs/>
                <w:sz w:val="18"/>
                <w:szCs w:val="18"/>
                <w:lang w:eastAsia="en-US"/>
              </w:rPr>
            </w:pPr>
            <w:r w:rsidRPr="00DB215C">
              <w:rPr>
                <w:rFonts w:eastAsia="Calibri"/>
                <w:bCs/>
                <w:sz w:val="18"/>
                <w:szCs w:val="18"/>
                <w:lang w:eastAsia="en-US"/>
              </w:rPr>
              <w:t>-5.39</w:t>
            </w:r>
          </w:p>
        </w:tc>
      </w:tr>
      <w:tr w:rsidR="00DB215C" w:rsidRPr="00DB215C" w14:paraId="6BEA7AD1" w14:textId="77777777" w:rsidTr="00DB215C">
        <w:trPr>
          <w:trHeight w:val="271"/>
          <w:jc w:val="center"/>
        </w:trPr>
        <w:tc>
          <w:tcPr>
            <w:tcW w:w="2835" w:type="dxa"/>
            <w:tcBorders>
              <w:top w:val="nil"/>
              <w:left w:val="single" w:sz="4" w:space="0" w:color="auto"/>
              <w:bottom w:val="nil"/>
              <w:right w:val="single" w:sz="4" w:space="0" w:color="auto"/>
            </w:tcBorders>
            <w:shd w:val="clear" w:color="auto" w:fill="auto"/>
            <w:vAlign w:val="center"/>
          </w:tcPr>
          <w:p w14:paraId="71D784F3" w14:textId="77777777" w:rsidR="00DB215C" w:rsidRPr="00DB215C" w:rsidRDefault="00DB215C" w:rsidP="00DB215C">
            <w:pPr>
              <w:spacing w:after="120"/>
              <w:ind w:left="170"/>
              <w:rPr>
                <w:rFonts w:eastAsia="Calibri"/>
                <w:bCs/>
                <w:sz w:val="18"/>
                <w:szCs w:val="18"/>
                <w:lang w:eastAsia="en-US"/>
              </w:rPr>
            </w:pPr>
            <w:r w:rsidRPr="00DB215C">
              <w:rPr>
                <w:rFonts w:eastAsia="Calibri"/>
                <w:bCs/>
                <w:sz w:val="18"/>
                <w:szCs w:val="18"/>
                <w:lang w:eastAsia="en-US"/>
              </w:rPr>
              <w:t>Otros créditos de consumo</w:t>
            </w:r>
          </w:p>
        </w:tc>
        <w:tc>
          <w:tcPr>
            <w:tcW w:w="1134" w:type="dxa"/>
            <w:tcBorders>
              <w:left w:val="single" w:sz="4" w:space="0" w:color="auto"/>
              <w:right w:val="single" w:sz="4" w:space="0" w:color="auto"/>
            </w:tcBorders>
            <w:shd w:val="clear" w:color="auto" w:fill="auto"/>
            <w:vAlign w:val="center"/>
          </w:tcPr>
          <w:p w14:paraId="7414448D" w14:textId="77777777" w:rsidR="00DB215C" w:rsidRPr="00DB215C" w:rsidRDefault="00DB215C" w:rsidP="00DB215C">
            <w:pPr>
              <w:spacing w:after="120"/>
              <w:ind w:right="284"/>
              <w:jc w:val="right"/>
              <w:rPr>
                <w:rFonts w:eastAsia="Calibri"/>
                <w:sz w:val="18"/>
                <w:szCs w:val="18"/>
                <w:lang w:eastAsia="en-US"/>
              </w:rPr>
            </w:pPr>
            <w:r w:rsidRPr="00DB215C">
              <w:rPr>
                <w:rFonts w:eastAsia="Calibri"/>
                <w:sz w:val="18"/>
                <w:szCs w:val="18"/>
                <w:lang w:eastAsia="en-US"/>
              </w:rPr>
              <w:t>7.92</w:t>
            </w:r>
          </w:p>
        </w:tc>
        <w:tc>
          <w:tcPr>
            <w:tcW w:w="1276" w:type="dxa"/>
            <w:tcBorders>
              <w:top w:val="nil"/>
              <w:left w:val="single" w:sz="4" w:space="0" w:color="auto"/>
              <w:bottom w:val="nil"/>
              <w:right w:val="single" w:sz="4" w:space="0" w:color="auto"/>
            </w:tcBorders>
            <w:shd w:val="clear" w:color="auto" w:fill="auto"/>
            <w:vAlign w:val="center"/>
          </w:tcPr>
          <w:p w14:paraId="4896D32D" w14:textId="77777777" w:rsidR="00DB215C" w:rsidRPr="00DB215C" w:rsidRDefault="00DB215C" w:rsidP="00DB215C">
            <w:pPr>
              <w:spacing w:after="120"/>
              <w:ind w:right="227"/>
              <w:jc w:val="right"/>
              <w:rPr>
                <w:rFonts w:eastAsia="Calibri"/>
                <w:sz w:val="18"/>
                <w:szCs w:val="18"/>
                <w:lang w:eastAsia="en-US"/>
              </w:rPr>
            </w:pPr>
            <w:r w:rsidRPr="00DB215C">
              <w:rPr>
                <w:rFonts w:eastAsia="Calibri"/>
                <w:sz w:val="18"/>
                <w:szCs w:val="18"/>
                <w:lang w:eastAsia="en-US"/>
              </w:rPr>
              <w:t>7.17</w:t>
            </w:r>
          </w:p>
        </w:tc>
        <w:tc>
          <w:tcPr>
            <w:tcW w:w="1134" w:type="dxa"/>
            <w:tcBorders>
              <w:left w:val="single" w:sz="4" w:space="0" w:color="auto"/>
              <w:right w:val="single" w:sz="4" w:space="0" w:color="auto"/>
            </w:tcBorders>
            <w:shd w:val="clear" w:color="auto" w:fill="auto"/>
            <w:vAlign w:val="center"/>
          </w:tcPr>
          <w:p w14:paraId="5D304C39" w14:textId="77777777" w:rsidR="00DB215C" w:rsidRPr="00DB215C" w:rsidRDefault="00DB215C" w:rsidP="00DB215C">
            <w:pPr>
              <w:spacing w:after="120"/>
              <w:ind w:right="227"/>
              <w:jc w:val="right"/>
              <w:rPr>
                <w:rFonts w:eastAsia="Calibri"/>
                <w:sz w:val="18"/>
                <w:szCs w:val="18"/>
                <w:lang w:eastAsia="en-US"/>
              </w:rPr>
            </w:pPr>
            <w:r w:rsidRPr="00DB215C">
              <w:rPr>
                <w:rFonts w:eastAsia="Calibri"/>
                <w:sz w:val="18"/>
                <w:szCs w:val="18"/>
                <w:lang w:eastAsia="en-US"/>
              </w:rPr>
              <w:t>7.30</w:t>
            </w:r>
          </w:p>
        </w:tc>
        <w:tc>
          <w:tcPr>
            <w:tcW w:w="1139" w:type="dxa"/>
            <w:tcBorders>
              <w:top w:val="nil"/>
              <w:left w:val="single" w:sz="4" w:space="0" w:color="auto"/>
              <w:bottom w:val="nil"/>
              <w:right w:val="single" w:sz="4" w:space="0" w:color="auto"/>
            </w:tcBorders>
            <w:shd w:val="clear" w:color="auto" w:fill="auto"/>
            <w:vAlign w:val="center"/>
          </w:tcPr>
          <w:p w14:paraId="20E90F9C" w14:textId="77777777" w:rsidR="00DB215C" w:rsidRPr="00DB215C" w:rsidRDefault="00DB215C" w:rsidP="00DB215C">
            <w:pPr>
              <w:spacing w:after="120"/>
              <w:ind w:right="170"/>
              <w:jc w:val="right"/>
              <w:rPr>
                <w:rFonts w:eastAsia="Calibri"/>
                <w:sz w:val="18"/>
                <w:szCs w:val="18"/>
                <w:lang w:eastAsia="en-US"/>
              </w:rPr>
            </w:pPr>
            <w:r w:rsidRPr="00DB215C">
              <w:rPr>
                <w:rFonts w:eastAsia="Calibri"/>
                <w:sz w:val="18"/>
                <w:szCs w:val="18"/>
                <w:lang w:eastAsia="en-US"/>
              </w:rPr>
              <w:t>-0.61</w:t>
            </w:r>
          </w:p>
        </w:tc>
        <w:tc>
          <w:tcPr>
            <w:tcW w:w="1134" w:type="dxa"/>
            <w:tcBorders>
              <w:top w:val="nil"/>
              <w:left w:val="single" w:sz="4" w:space="0" w:color="auto"/>
              <w:bottom w:val="nil"/>
              <w:right w:val="single" w:sz="4" w:space="0" w:color="auto"/>
            </w:tcBorders>
            <w:shd w:val="clear" w:color="auto" w:fill="auto"/>
            <w:vAlign w:val="center"/>
          </w:tcPr>
          <w:p w14:paraId="2808928A" w14:textId="77777777" w:rsidR="00DB215C" w:rsidRPr="00DB215C" w:rsidRDefault="00DB215C" w:rsidP="00DB215C">
            <w:pPr>
              <w:spacing w:after="120"/>
              <w:ind w:right="284"/>
              <w:jc w:val="right"/>
              <w:rPr>
                <w:rFonts w:eastAsia="Calibri"/>
                <w:bCs/>
                <w:sz w:val="18"/>
                <w:szCs w:val="18"/>
                <w:lang w:eastAsia="en-US"/>
              </w:rPr>
            </w:pPr>
            <w:r w:rsidRPr="00DB215C">
              <w:rPr>
                <w:rFonts w:eastAsia="Calibri"/>
                <w:bCs/>
                <w:sz w:val="18"/>
                <w:szCs w:val="18"/>
                <w:lang w:eastAsia="en-US"/>
              </w:rPr>
              <w:t>0.14</w:t>
            </w:r>
          </w:p>
        </w:tc>
      </w:tr>
      <w:tr w:rsidR="00DB215C" w:rsidRPr="00DB215C" w14:paraId="23348780" w14:textId="77777777" w:rsidTr="00DB215C">
        <w:trPr>
          <w:trHeight w:val="271"/>
          <w:jc w:val="center"/>
        </w:trPr>
        <w:tc>
          <w:tcPr>
            <w:tcW w:w="2835" w:type="dxa"/>
            <w:tcBorders>
              <w:top w:val="nil"/>
              <w:left w:val="single" w:sz="4" w:space="0" w:color="auto"/>
              <w:bottom w:val="nil"/>
              <w:right w:val="single" w:sz="4" w:space="0" w:color="auto"/>
            </w:tcBorders>
            <w:shd w:val="clear" w:color="auto" w:fill="auto"/>
            <w:vAlign w:val="center"/>
          </w:tcPr>
          <w:p w14:paraId="1D769718" w14:textId="77777777" w:rsidR="00DB215C" w:rsidRPr="00DB215C" w:rsidRDefault="00DB215C" w:rsidP="00DB215C">
            <w:pPr>
              <w:rPr>
                <w:rFonts w:eastAsia="Calibri"/>
                <w:b/>
                <w:bCs/>
                <w:sz w:val="18"/>
                <w:szCs w:val="18"/>
                <w:lang w:eastAsia="en-US"/>
              </w:rPr>
            </w:pPr>
            <w:r w:rsidRPr="00DB215C">
              <w:rPr>
                <w:rFonts w:eastAsia="Calibri"/>
                <w:b/>
                <w:bCs/>
                <w:sz w:val="18"/>
                <w:szCs w:val="18"/>
                <w:lang w:eastAsia="en-US"/>
              </w:rPr>
              <w:t>Vivienda</w:t>
            </w:r>
          </w:p>
        </w:tc>
        <w:tc>
          <w:tcPr>
            <w:tcW w:w="1134" w:type="dxa"/>
            <w:tcBorders>
              <w:left w:val="single" w:sz="4" w:space="0" w:color="auto"/>
              <w:right w:val="single" w:sz="4" w:space="0" w:color="auto"/>
            </w:tcBorders>
            <w:shd w:val="clear" w:color="auto" w:fill="auto"/>
            <w:vAlign w:val="center"/>
          </w:tcPr>
          <w:p w14:paraId="698F2E3C" w14:textId="77777777" w:rsidR="00DB215C" w:rsidRPr="00DB215C" w:rsidRDefault="00DB215C" w:rsidP="00DB215C">
            <w:pPr>
              <w:ind w:right="284"/>
              <w:jc w:val="right"/>
              <w:rPr>
                <w:rFonts w:eastAsia="Calibri"/>
                <w:b/>
                <w:sz w:val="18"/>
                <w:szCs w:val="18"/>
                <w:lang w:eastAsia="en-US"/>
              </w:rPr>
            </w:pPr>
            <w:r w:rsidRPr="00DB215C">
              <w:rPr>
                <w:rFonts w:eastAsia="Calibri"/>
                <w:b/>
                <w:sz w:val="18"/>
                <w:szCs w:val="18"/>
                <w:lang w:eastAsia="en-US"/>
              </w:rPr>
              <w:t>4.04</w:t>
            </w:r>
          </w:p>
        </w:tc>
        <w:tc>
          <w:tcPr>
            <w:tcW w:w="1276" w:type="dxa"/>
            <w:tcBorders>
              <w:top w:val="nil"/>
              <w:left w:val="single" w:sz="4" w:space="0" w:color="auto"/>
              <w:bottom w:val="nil"/>
              <w:right w:val="single" w:sz="4" w:space="0" w:color="auto"/>
            </w:tcBorders>
            <w:shd w:val="clear" w:color="auto" w:fill="auto"/>
            <w:vAlign w:val="center"/>
          </w:tcPr>
          <w:p w14:paraId="34EDAEAE" w14:textId="77777777" w:rsidR="00DB215C" w:rsidRPr="00DB215C" w:rsidRDefault="00DB215C" w:rsidP="00DB215C">
            <w:pPr>
              <w:ind w:right="227"/>
              <w:jc w:val="right"/>
              <w:rPr>
                <w:rFonts w:eastAsia="Calibri"/>
                <w:b/>
                <w:sz w:val="18"/>
                <w:szCs w:val="18"/>
                <w:lang w:eastAsia="en-US"/>
              </w:rPr>
            </w:pPr>
            <w:r w:rsidRPr="00DB215C">
              <w:rPr>
                <w:rFonts w:eastAsia="Calibri"/>
                <w:b/>
                <w:sz w:val="18"/>
                <w:szCs w:val="18"/>
                <w:lang w:eastAsia="en-US"/>
              </w:rPr>
              <w:t>3.87</w:t>
            </w:r>
          </w:p>
        </w:tc>
        <w:tc>
          <w:tcPr>
            <w:tcW w:w="1134" w:type="dxa"/>
            <w:tcBorders>
              <w:left w:val="single" w:sz="4" w:space="0" w:color="auto"/>
              <w:right w:val="single" w:sz="4" w:space="0" w:color="auto"/>
            </w:tcBorders>
            <w:shd w:val="clear" w:color="auto" w:fill="auto"/>
            <w:vAlign w:val="center"/>
          </w:tcPr>
          <w:p w14:paraId="1D531EDB" w14:textId="77777777" w:rsidR="00DB215C" w:rsidRPr="00DB215C" w:rsidRDefault="00DB215C" w:rsidP="00DB215C">
            <w:pPr>
              <w:ind w:right="227"/>
              <w:jc w:val="right"/>
              <w:rPr>
                <w:rFonts w:eastAsia="Calibri"/>
                <w:b/>
                <w:sz w:val="18"/>
                <w:szCs w:val="18"/>
                <w:lang w:eastAsia="en-US"/>
              </w:rPr>
            </w:pPr>
            <w:r w:rsidRPr="00DB215C">
              <w:rPr>
                <w:rFonts w:eastAsia="Calibri"/>
                <w:b/>
                <w:sz w:val="18"/>
                <w:szCs w:val="18"/>
                <w:lang w:eastAsia="en-US"/>
              </w:rPr>
              <w:t>3.89</w:t>
            </w:r>
          </w:p>
        </w:tc>
        <w:tc>
          <w:tcPr>
            <w:tcW w:w="1139" w:type="dxa"/>
            <w:tcBorders>
              <w:top w:val="nil"/>
              <w:left w:val="single" w:sz="4" w:space="0" w:color="auto"/>
              <w:bottom w:val="nil"/>
              <w:right w:val="single" w:sz="4" w:space="0" w:color="auto"/>
            </w:tcBorders>
            <w:shd w:val="clear" w:color="auto" w:fill="auto"/>
            <w:vAlign w:val="center"/>
          </w:tcPr>
          <w:p w14:paraId="18D382A4" w14:textId="77777777" w:rsidR="00DB215C" w:rsidRPr="00DB215C" w:rsidRDefault="00DB215C" w:rsidP="00DB215C">
            <w:pPr>
              <w:ind w:right="170"/>
              <w:jc w:val="right"/>
              <w:rPr>
                <w:rFonts w:eastAsia="Calibri"/>
                <w:b/>
                <w:sz w:val="18"/>
                <w:szCs w:val="18"/>
                <w:lang w:eastAsia="en-US"/>
              </w:rPr>
            </w:pPr>
            <w:r w:rsidRPr="00DB215C">
              <w:rPr>
                <w:rFonts w:eastAsia="Calibri"/>
                <w:b/>
                <w:sz w:val="18"/>
                <w:szCs w:val="18"/>
                <w:lang w:eastAsia="en-US"/>
              </w:rPr>
              <w:t>-0.15</w:t>
            </w:r>
          </w:p>
        </w:tc>
        <w:tc>
          <w:tcPr>
            <w:tcW w:w="1134" w:type="dxa"/>
            <w:tcBorders>
              <w:top w:val="nil"/>
              <w:left w:val="single" w:sz="4" w:space="0" w:color="auto"/>
              <w:bottom w:val="nil"/>
              <w:right w:val="single" w:sz="4" w:space="0" w:color="auto"/>
            </w:tcBorders>
            <w:shd w:val="clear" w:color="auto" w:fill="auto"/>
            <w:vAlign w:val="center"/>
          </w:tcPr>
          <w:p w14:paraId="05478135" w14:textId="77777777" w:rsidR="00DB215C" w:rsidRPr="00DB215C" w:rsidRDefault="00DB215C" w:rsidP="00DB215C">
            <w:pPr>
              <w:ind w:right="284"/>
              <w:jc w:val="right"/>
              <w:rPr>
                <w:rFonts w:eastAsia="Calibri"/>
                <w:b/>
                <w:bCs/>
                <w:sz w:val="18"/>
                <w:szCs w:val="18"/>
                <w:lang w:eastAsia="en-US"/>
              </w:rPr>
            </w:pPr>
            <w:r w:rsidRPr="00DB215C">
              <w:rPr>
                <w:rFonts w:eastAsia="Calibri"/>
                <w:b/>
                <w:bCs/>
                <w:sz w:val="18"/>
                <w:szCs w:val="18"/>
                <w:lang w:eastAsia="en-US"/>
              </w:rPr>
              <w:t>0.01</w:t>
            </w:r>
          </w:p>
        </w:tc>
      </w:tr>
      <w:tr w:rsidR="00DB215C" w:rsidRPr="00DB215C" w14:paraId="557E89F9" w14:textId="77777777" w:rsidTr="00DB215C">
        <w:trPr>
          <w:trHeight w:val="261"/>
          <w:jc w:val="center"/>
        </w:trPr>
        <w:tc>
          <w:tcPr>
            <w:tcW w:w="2835" w:type="dxa"/>
            <w:tcBorders>
              <w:top w:val="nil"/>
              <w:left w:val="single" w:sz="4" w:space="0" w:color="auto"/>
              <w:bottom w:val="nil"/>
              <w:right w:val="single" w:sz="4" w:space="0" w:color="auto"/>
            </w:tcBorders>
            <w:shd w:val="clear" w:color="auto" w:fill="auto"/>
            <w:vAlign w:val="center"/>
          </w:tcPr>
          <w:p w14:paraId="313F0AA6" w14:textId="77777777" w:rsidR="00DB215C" w:rsidRPr="00DB215C" w:rsidRDefault="00DB215C" w:rsidP="00DB215C">
            <w:pPr>
              <w:ind w:left="170"/>
              <w:rPr>
                <w:rFonts w:eastAsia="Calibri"/>
                <w:bCs/>
                <w:sz w:val="18"/>
                <w:szCs w:val="18"/>
                <w:lang w:eastAsia="en-US"/>
              </w:rPr>
            </w:pPr>
            <w:r w:rsidRPr="00DB215C">
              <w:rPr>
                <w:rFonts w:eastAsia="Calibri"/>
                <w:bCs/>
                <w:sz w:val="18"/>
                <w:szCs w:val="18"/>
                <w:lang w:eastAsia="en-US"/>
              </w:rPr>
              <w:t>Media y residencial</w:t>
            </w:r>
          </w:p>
        </w:tc>
        <w:tc>
          <w:tcPr>
            <w:tcW w:w="1134" w:type="dxa"/>
            <w:tcBorders>
              <w:left w:val="single" w:sz="4" w:space="0" w:color="auto"/>
              <w:right w:val="single" w:sz="4" w:space="0" w:color="auto"/>
            </w:tcBorders>
            <w:shd w:val="clear" w:color="auto" w:fill="auto"/>
            <w:vAlign w:val="center"/>
          </w:tcPr>
          <w:p w14:paraId="5A885147" w14:textId="77777777" w:rsidR="00DB215C" w:rsidRPr="00DB215C" w:rsidRDefault="00DB215C" w:rsidP="00DB215C">
            <w:pPr>
              <w:ind w:right="284"/>
              <w:jc w:val="right"/>
              <w:rPr>
                <w:rFonts w:eastAsia="Calibri"/>
                <w:sz w:val="18"/>
                <w:szCs w:val="18"/>
                <w:lang w:eastAsia="en-US"/>
              </w:rPr>
            </w:pPr>
            <w:r w:rsidRPr="00DB215C">
              <w:rPr>
                <w:rFonts w:eastAsia="Calibri"/>
                <w:sz w:val="18"/>
                <w:szCs w:val="18"/>
                <w:lang w:eastAsia="en-US"/>
              </w:rPr>
              <w:t>3.75</w:t>
            </w:r>
          </w:p>
        </w:tc>
        <w:tc>
          <w:tcPr>
            <w:tcW w:w="1276" w:type="dxa"/>
            <w:tcBorders>
              <w:top w:val="nil"/>
              <w:left w:val="single" w:sz="4" w:space="0" w:color="auto"/>
              <w:bottom w:val="nil"/>
              <w:right w:val="single" w:sz="4" w:space="0" w:color="auto"/>
            </w:tcBorders>
            <w:shd w:val="clear" w:color="auto" w:fill="auto"/>
            <w:vAlign w:val="center"/>
          </w:tcPr>
          <w:p w14:paraId="3AA2FBDE" w14:textId="77777777" w:rsidR="00DB215C" w:rsidRPr="00DB215C" w:rsidRDefault="00DB215C" w:rsidP="00DB215C">
            <w:pPr>
              <w:ind w:right="227"/>
              <w:jc w:val="right"/>
              <w:rPr>
                <w:rFonts w:eastAsia="Calibri"/>
                <w:sz w:val="18"/>
                <w:szCs w:val="18"/>
                <w:lang w:eastAsia="en-US"/>
              </w:rPr>
            </w:pPr>
            <w:r w:rsidRPr="00DB215C">
              <w:rPr>
                <w:rFonts w:eastAsia="Calibri"/>
                <w:sz w:val="18"/>
                <w:szCs w:val="18"/>
                <w:lang w:eastAsia="en-US"/>
              </w:rPr>
              <w:t>3.90</w:t>
            </w:r>
          </w:p>
        </w:tc>
        <w:tc>
          <w:tcPr>
            <w:tcW w:w="1134" w:type="dxa"/>
            <w:tcBorders>
              <w:left w:val="single" w:sz="4" w:space="0" w:color="auto"/>
              <w:right w:val="single" w:sz="4" w:space="0" w:color="auto"/>
            </w:tcBorders>
            <w:shd w:val="clear" w:color="auto" w:fill="auto"/>
            <w:vAlign w:val="center"/>
          </w:tcPr>
          <w:p w14:paraId="19A53CC8" w14:textId="77777777" w:rsidR="00DB215C" w:rsidRPr="00DB215C" w:rsidRDefault="00DB215C" w:rsidP="00DB215C">
            <w:pPr>
              <w:ind w:right="227"/>
              <w:jc w:val="right"/>
              <w:rPr>
                <w:rFonts w:eastAsia="Calibri"/>
                <w:sz w:val="18"/>
                <w:szCs w:val="18"/>
                <w:lang w:eastAsia="en-US"/>
              </w:rPr>
            </w:pPr>
            <w:r w:rsidRPr="00DB215C">
              <w:rPr>
                <w:rFonts w:eastAsia="Calibri"/>
                <w:sz w:val="18"/>
                <w:szCs w:val="18"/>
                <w:lang w:eastAsia="en-US"/>
              </w:rPr>
              <w:t>3.93</w:t>
            </w:r>
          </w:p>
        </w:tc>
        <w:tc>
          <w:tcPr>
            <w:tcW w:w="1139" w:type="dxa"/>
            <w:tcBorders>
              <w:top w:val="nil"/>
              <w:left w:val="single" w:sz="4" w:space="0" w:color="auto"/>
              <w:bottom w:val="nil"/>
              <w:right w:val="single" w:sz="4" w:space="0" w:color="auto"/>
            </w:tcBorders>
            <w:shd w:val="clear" w:color="auto" w:fill="auto"/>
            <w:vAlign w:val="center"/>
          </w:tcPr>
          <w:p w14:paraId="731982EB"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0.18</w:t>
            </w:r>
          </w:p>
        </w:tc>
        <w:tc>
          <w:tcPr>
            <w:tcW w:w="1134" w:type="dxa"/>
            <w:tcBorders>
              <w:top w:val="nil"/>
              <w:left w:val="single" w:sz="4" w:space="0" w:color="auto"/>
              <w:bottom w:val="nil"/>
              <w:right w:val="single" w:sz="4" w:space="0" w:color="auto"/>
            </w:tcBorders>
            <w:shd w:val="clear" w:color="auto" w:fill="auto"/>
            <w:vAlign w:val="center"/>
          </w:tcPr>
          <w:p w14:paraId="34C06F67" w14:textId="77777777" w:rsidR="00DB215C" w:rsidRPr="00DB215C" w:rsidRDefault="00DB215C" w:rsidP="00DB215C">
            <w:pPr>
              <w:ind w:right="284"/>
              <w:jc w:val="right"/>
              <w:rPr>
                <w:rFonts w:eastAsia="Calibri"/>
                <w:bCs/>
                <w:sz w:val="18"/>
                <w:szCs w:val="18"/>
                <w:lang w:eastAsia="en-US"/>
              </w:rPr>
            </w:pPr>
            <w:r w:rsidRPr="00DB215C">
              <w:rPr>
                <w:rFonts w:eastAsia="Calibri"/>
                <w:bCs/>
                <w:sz w:val="18"/>
                <w:szCs w:val="18"/>
                <w:lang w:eastAsia="en-US"/>
              </w:rPr>
              <w:t>0.03</w:t>
            </w:r>
          </w:p>
        </w:tc>
      </w:tr>
      <w:tr w:rsidR="00DB215C" w:rsidRPr="00DB215C" w14:paraId="1E3B62F4" w14:textId="77777777" w:rsidTr="00DB215C">
        <w:trPr>
          <w:trHeight w:val="261"/>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72800133" w14:textId="77777777" w:rsidR="00DB215C" w:rsidRPr="00DB215C" w:rsidRDefault="00DB215C" w:rsidP="00DB215C">
            <w:pPr>
              <w:spacing w:after="120"/>
              <w:ind w:left="170"/>
              <w:rPr>
                <w:rFonts w:eastAsia="Calibri"/>
                <w:bCs/>
                <w:sz w:val="18"/>
                <w:szCs w:val="18"/>
                <w:lang w:eastAsia="en-US"/>
              </w:rPr>
            </w:pPr>
            <w:r w:rsidRPr="00DB215C">
              <w:rPr>
                <w:rFonts w:eastAsia="Calibri"/>
                <w:bCs/>
                <w:sz w:val="18"/>
                <w:szCs w:val="18"/>
                <w:lang w:eastAsia="en-US"/>
              </w:rPr>
              <w:t>De interés social</w:t>
            </w:r>
          </w:p>
        </w:tc>
        <w:tc>
          <w:tcPr>
            <w:tcW w:w="1134" w:type="dxa"/>
            <w:tcBorders>
              <w:left w:val="single" w:sz="4" w:space="0" w:color="auto"/>
              <w:bottom w:val="single" w:sz="4" w:space="0" w:color="auto"/>
              <w:right w:val="single" w:sz="4" w:space="0" w:color="auto"/>
            </w:tcBorders>
            <w:shd w:val="clear" w:color="auto" w:fill="auto"/>
            <w:vAlign w:val="center"/>
          </w:tcPr>
          <w:p w14:paraId="33BB0960" w14:textId="77777777" w:rsidR="00DB215C" w:rsidRPr="00DB215C" w:rsidRDefault="00DB215C" w:rsidP="00DB215C">
            <w:pPr>
              <w:spacing w:before="40" w:after="120"/>
              <w:ind w:right="284"/>
              <w:jc w:val="right"/>
              <w:rPr>
                <w:rFonts w:eastAsia="Calibri"/>
                <w:sz w:val="18"/>
                <w:szCs w:val="18"/>
                <w:lang w:eastAsia="en-US"/>
              </w:rPr>
            </w:pPr>
            <w:r w:rsidRPr="00DB215C">
              <w:rPr>
                <w:rFonts w:eastAsia="Calibri"/>
                <w:sz w:val="18"/>
                <w:szCs w:val="18"/>
                <w:lang w:eastAsia="en-US"/>
              </w:rPr>
              <w:t>5.33</w:t>
            </w:r>
          </w:p>
        </w:tc>
        <w:tc>
          <w:tcPr>
            <w:tcW w:w="1276" w:type="dxa"/>
            <w:tcBorders>
              <w:top w:val="nil"/>
              <w:left w:val="single" w:sz="4" w:space="0" w:color="auto"/>
              <w:bottom w:val="single" w:sz="4" w:space="0" w:color="auto"/>
              <w:right w:val="single" w:sz="4" w:space="0" w:color="auto"/>
            </w:tcBorders>
            <w:shd w:val="clear" w:color="auto" w:fill="auto"/>
            <w:vAlign w:val="center"/>
          </w:tcPr>
          <w:p w14:paraId="2963677E" w14:textId="77777777" w:rsidR="00DB215C" w:rsidRPr="00DB215C" w:rsidRDefault="00DB215C" w:rsidP="00DB215C">
            <w:pPr>
              <w:spacing w:before="40" w:after="120"/>
              <w:ind w:right="227"/>
              <w:jc w:val="right"/>
              <w:rPr>
                <w:rFonts w:eastAsia="Calibri"/>
                <w:sz w:val="18"/>
                <w:szCs w:val="18"/>
                <w:lang w:eastAsia="en-US"/>
              </w:rPr>
            </w:pPr>
            <w:r w:rsidRPr="00DB215C">
              <w:rPr>
                <w:rFonts w:eastAsia="Calibri"/>
                <w:sz w:val="18"/>
                <w:szCs w:val="18"/>
                <w:lang w:eastAsia="en-US"/>
              </w:rPr>
              <w:t>3.74</w:t>
            </w:r>
          </w:p>
        </w:tc>
        <w:tc>
          <w:tcPr>
            <w:tcW w:w="1134" w:type="dxa"/>
            <w:tcBorders>
              <w:left w:val="single" w:sz="4" w:space="0" w:color="auto"/>
              <w:bottom w:val="single" w:sz="4" w:space="0" w:color="auto"/>
              <w:right w:val="single" w:sz="4" w:space="0" w:color="auto"/>
            </w:tcBorders>
            <w:shd w:val="clear" w:color="auto" w:fill="auto"/>
            <w:vAlign w:val="center"/>
          </w:tcPr>
          <w:p w14:paraId="6586086A" w14:textId="77777777" w:rsidR="00DB215C" w:rsidRPr="00DB215C" w:rsidRDefault="00DB215C" w:rsidP="00DB215C">
            <w:pPr>
              <w:spacing w:before="40" w:after="120"/>
              <w:ind w:right="227"/>
              <w:jc w:val="right"/>
              <w:rPr>
                <w:rFonts w:eastAsia="Calibri"/>
                <w:sz w:val="18"/>
                <w:szCs w:val="18"/>
                <w:lang w:eastAsia="en-US"/>
              </w:rPr>
            </w:pPr>
            <w:r w:rsidRPr="00DB215C">
              <w:rPr>
                <w:rFonts w:eastAsia="Calibri"/>
                <w:sz w:val="18"/>
                <w:szCs w:val="18"/>
                <w:lang w:eastAsia="en-US"/>
              </w:rPr>
              <w:t>3.65</w:t>
            </w:r>
          </w:p>
        </w:tc>
        <w:tc>
          <w:tcPr>
            <w:tcW w:w="1139" w:type="dxa"/>
            <w:tcBorders>
              <w:top w:val="nil"/>
              <w:left w:val="single" w:sz="4" w:space="0" w:color="auto"/>
              <w:bottom w:val="single" w:sz="4" w:space="0" w:color="auto"/>
              <w:right w:val="single" w:sz="4" w:space="0" w:color="auto"/>
            </w:tcBorders>
            <w:shd w:val="clear" w:color="auto" w:fill="auto"/>
            <w:vAlign w:val="center"/>
          </w:tcPr>
          <w:p w14:paraId="61FDBAD3" w14:textId="77777777" w:rsidR="00DB215C" w:rsidRPr="00DB215C" w:rsidRDefault="00DB215C" w:rsidP="00DB215C">
            <w:pPr>
              <w:spacing w:before="40" w:after="120"/>
              <w:ind w:right="170"/>
              <w:jc w:val="right"/>
              <w:rPr>
                <w:rFonts w:eastAsia="Calibri"/>
                <w:sz w:val="18"/>
                <w:szCs w:val="18"/>
                <w:lang w:eastAsia="en-US"/>
              </w:rPr>
            </w:pPr>
            <w:r w:rsidRPr="00DB215C">
              <w:rPr>
                <w:rFonts w:eastAsia="Calibri"/>
                <w:sz w:val="18"/>
                <w:szCs w:val="18"/>
                <w:lang w:eastAsia="en-US"/>
              </w:rPr>
              <w:t>-1.68</w:t>
            </w:r>
          </w:p>
        </w:tc>
        <w:tc>
          <w:tcPr>
            <w:tcW w:w="1134" w:type="dxa"/>
            <w:tcBorders>
              <w:top w:val="nil"/>
              <w:left w:val="single" w:sz="4" w:space="0" w:color="auto"/>
              <w:bottom w:val="single" w:sz="4" w:space="0" w:color="auto"/>
              <w:right w:val="single" w:sz="4" w:space="0" w:color="auto"/>
            </w:tcBorders>
            <w:shd w:val="clear" w:color="auto" w:fill="auto"/>
            <w:vAlign w:val="center"/>
          </w:tcPr>
          <w:p w14:paraId="5DF51534" w14:textId="77777777" w:rsidR="00DB215C" w:rsidRPr="00DB215C" w:rsidRDefault="00DB215C" w:rsidP="00DB215C">
            <w:pPr>
              <w:spacing w:before="40" w:after="120"/>
              <w:ind w:right="284"/>
              <w:jc w:val="right"/>
              <w:rPr>
                <w:rFonts w:eastAsia="Calibri"/>
                <w:bCs/>
                <w:sz w:val="18"/>
                <w:szCs w:val="18"/>
                <w:lang w:eastAsia="en-US"/>
              </w:rPr>
            </w:pPr>
            <w:r w:rsidRPr="00DB215C">
              <w:rPr>
                <w:rFonts w:eastAsia="Calibri"/>
                <w:bCs/>
                <w:sz w:val="18"/>
                <w:szCs w:val="18"/>
                <w:lang w:eastAsia="en-US"/>
              </w:rPr>
              <w:t>-0.08</w:t>
            </w:r>
          </w:p>
        </w:tc>
      </w:tr>
      <w:tr w:rsidR="00DB215C" w:rsidRPr="00DB215C" w14:paraId="7F32DF54" w14:textId="77777777" w:rsidTr="00DB215C">
        <w:trPr>
          <w:trHeight w:val="261"/>
          <w:jc w:val="center"/>
        </w:trPr>
        <w:tc>
          <w:tcPr>
            <w:tcW w:w="8652" w:type="dxa"/>
            <w:gridSpan w:val="6"/>
            <w:tcBorders>
              <w:top w:val="single" w:sz="4" w:space="0" w:color="auto"/>
              <w:bottom w:val="nil"/>
            </w:tcBorders>
            <w:vAlign w:val="center"/>
          </w:tcPr>
          <w:p w14:paraId="674FF62B" w14:textId="77777777" w:rsidR="00DB215C" w:rsidRPr="00DB215C" w:rsidRDefault="00DB215C" w:rsidP="00DB215C">
            <w:pPr>
              <w:spacing w:before="120"/>
              <w:ind w:left="227" w:hanging="227"/>
              <w:jc w:val="both"/>
              <w:rPr>
                <w:rFonts w:eastAsia="Calibri"/>
                <w:bCs/>
                <w:sz w:val="20"/>
                <w:szCs w:val="20"/>
                <w:lang w:eastAsia="en-US"/>
              </w:rPr>
            </w:pPr>
            <w:r w:rsidRPr="00DB215C">
              <w:rPr>
                <w:rFonts w:eastAsia="Calibri"/>
                <w:bCs/>
                <w:sz w:val="20"/>
                <w:szCs w:val="20"/>
                <w:u w:val="single"/>
                <w:lang w:eastAsia="en-US"/>
              </w:rPr>
              <w:t>1</w:t>
            </w:r>
            <w:r w:rsidRPr="00DB215C">
              <w:rPr>
                <w:rFonts w:eastAsia="Calibri"/>
                <w:bCs/>
                <w:sz w:val="20"/>
                <w:szCs w:val="20"/>
                <w:lang w:eastAsia="en-US"/>
              </w:rPr>
              <w:t>/ IMOR = Índice de morosidad = Cartera Vencida / Cartera total.</w:t>
            </w:r>
          </w:p>
          <w:p w14:paraId="01A3AD10" w14:textId="77777777" w:rsidR="00DB215C" w:rsidRPr="00DB215C" w:rsidRDefault="00DB215C" w:rsidP="00DB215C">
            <w:pPr>
              <w:jc w:val="both"/>
              <w:rPr>
                <w:rFonts w:eastAsia="Calibri"/>
                <w:bCs/>
                <w:sz w:val="20"/>
                <w:szCs w:val="20"/>
                <w:lang w:eastAsia="en-US"/>
              </w:rPr>
            </w:pPr>
            <w:r w:rsidRPr="00DB215C">
              <w:rPr>
                <w:rFonts w:eastAsia="Calibri"/>
                <w:bCs/>
                <w:sz w:val="20"/>
                <w:szCs w:val="20"/>
                <w:lang w:eastAsia="en-US"/>
              </w:rPr>
              <w:t>FUENTE: CNBV.</w:t>
            </w:r>
          </w:p>
        </w:tc>
      </w:tr>
    </w:tbl>
    <w:p w14:paraId="5DAE9346" w14:textId="77777777" w:rsidR="00DB215C" w:rsidRPr="00DB215C" w:rsidRDefault="00DB215C" w:rsidP="00DB215C">
      <w:pPr>
        <w:spacing w:after="360" w:line="360" w:lineRule="auto"/>
        <w:ind w:right="-159"/>
        <w:jc w:val="both"/>
        <w:rPr>
          <w:rFonts w:eastAsia="Calibri"/>
          <w:sz w:val="26"/>
          <w:szCs w:val="26"/>
          <w:lang w:eastAsia="en-US"/>
        </w:rPr>
      </w:pPr>
    </w:p>
    <w:p w14:paraId="0D54D041" w14:textId="77777777" w:rsidR="00DB215C" w:rsidRPr="00DB215C" w:rsidRDefault="00DB215C" w:rsidP="00DB215C">
      <w:pPr>
        <w:spacing w:after="360" w:line="360" w:lineRule="auto"/>
        <w:ind w:right="-159"/>
        <w:jc w:val="both"/>
        <w:rPr>
          <w:rFonts w:eastAsia="Calibri"/>
          <w:sz w:val="26"/>
          <w:szCs w:val="26"/>
          <w:lang w:eastAsia="en-US"/>
        </w:rPr>
      </w:pPr>
      <w:r w:rsidRPr="00DB215C">
        <w:rPr>
          <w:rFonts w:eastAsia="Calibri"/>
          <w:sz w:val="26"/>
          <w:szCs w:val="26"/>
          <w:lang w:eastAsia="en-US"/>
        </w:rPr>
        <w:t>El IMOR de la cartera de consumo fue 5.11% al cierre de enero de 2015, con una variación positiva de 0.03pp superior en términos anuales. Por segmentos, la cartera de tarjeta de crédito registró un IMOR de 5.38%, 0.54pp más que el año anterior y los créditos personales presentaron un IMOR de 8.27%, 0.56pp por arriba de la cifra registrada en enero de 2014, mientras que los créditos de nómina registraron un IMOR de 3.14%, con un decremento anual de 1.06pp.</w:t>
      </w:r>
    </w:p>
    <w:p w14:paraId="09C60FB4" w14:textId="1E0A1326" w:rsidR="00DB215C" w:rsidRPr="00DB215C" w:rsidRDefault="00DB215C" w:rsidP="00DB215C">
      <w:pPr>
        <w:spacing w:after="360" w:line="360" w:lineRule="auto"/>
        <w:ind w:right="-159"/>
        <w:jc w:val="both"/>
        <w:rPr>
          <w:rFonts w:eastAsia="Calibri"/>
          <w:sz w:val="26"/>
          <w:szCs w:val="26"/>
          <w:lang w:eastAsia="en-US"/>
        </w:rPr>
      </w:pPr>
      <w:r w:rsidRPr="00DB215C">
        <w:rPr>
          <w:rFonts w:eastAsia="Calibri"/>
          <w:sz w:val="26"/>
          <w:szCs w:val="26"/>
          <w:lang w:eastAsia="en-US"/>
        </w:rPr>
        <w:lastRenderedPageBreak/>
        <w:t xml:space="preserve">La morosidad de los créditos a la vivienda se situó en 3.89%, 0.15pp menos que en enero 2014. El crédito destinado a vivienda media residencial alcanzó un IMOR de 3.93%, mientras que el segmento de vivienda de interés social registró un </w:t>
      </w:r>
      <w:r w:rsidR="00DC1170">
        <w:rPr>
          <w:rFonts w:eastAsia="Calibri"/>
          <w:sz w:val="26"/>
          <w:szCs w:val="26"/>
          <w:lang w:eastAsia="en-US"/>
        </w:rPr>
        <w:t>IMOR de 3.65%; lo que representó</w:t>
      </w:r>
      <w:r w:rsidRPr="00DB215C">
        <w:rPr>
          <w:rFonts w:eastAsia="Calibri"/>
          <w:sz w:val="26"/>
          <w:szCs w:val="26"/>
          <w:lang w:eastAsia="en-US"/>
        </w:rPr>
        <w:t xml:space="preserve"> un cambio positivo de 0.18pp y uno negativo de 1.68 pp contra los registros a enero 2014, respectivamente.</w:t>
      </w:r>
    </w:p>
    <w:tbl>
      <w:tblPr>
        <w:tblW w:w="8696" w:type="dxa"/>
        <w:jc w:val="center"/>
        <w:tblLayout w:type="fixed"/>
        <w:tblLook w:val="01E0" w:firstRow="1" w:lastRow="1" w:firstColumn="1" w:lastColumn="1" w:noHBand="0" w:noVBand="0"/>
      </w:tblPr>
      <w:tblGrid>
        <w:gridCol w:w="2835"/>
        <w:gridCol w:w="1276"/>
        <w:gridCol w:w="1134"/>
        <w:gridCol w:w="1183"/>
        <w:gridCol w:w="1134"/>
        <w:gridCol w:w="1134"/>
      </w:tblGrid>
      <w:tr w:rsidR="00DB215C" w:rsidRPr="00DB215C" w14:paraId="284F8082" w14:textId="77777777" w:rsidTr="00EB0468">
        <w:trPr>
          <w:trHeight w:val="552"/>
          <w:jc w:val="center"/>
        </w:trPr>
        <w:tc>
          <w:tcPr>
            <w:tcW w:w="8696" w:type="dxa"/>
            <w:gridSpan w:val="6"/>
            <w:tcBorders>
              <w:top w:val="nil"/>
              <w:bottom w:val="single" w:sz="4" w:space="0" w:color="auto"/>
            </w:tcBorders>
            <w:vAlign w:val="center"/>
          </w:tcPr>
          <w:p w14:paraId="0E5527D0" w14:textId="77777777" w:rsidR="00DB215C" w:rsidRPr="00DB215C" w:rsidRDefault="00DB215C" w:rsidP="00DB215C">
            <w:pPr>
              <w:jc w:val="center"/>
              <w:rPr>
                <w:rFonts w:eastAsia="Calibri"/>
                <w:bCs/>
                <w:sz w:val="22"/>
                <w:szCs w:val="22"/>
                <w:lang w:eastAsia="en-US"/>
              </w:rPr>
            </w:pPr>
            <w:r w:rsidRPr="00DB215C">
              <w:rPr>
                <w:rFonts w:eastAsia="Calibri"/>
                <w:b/>
                <w:bCs/>
                <w:sz w:val="22"/>
                <w:szCs w:val="22"/>
                <w:lang w:eastAsia="en-US"/>
              </w:rPr>
              <w:t>BANCA MÚLTIPLE: TDA</w:t>
            </w:r>
            <w:r w:rsidRPr="00DB215C">
              <w:rPr>
                <w:rFonts w:eastAsia="Calibri"/>
                <w:b/>
                <w:bCs/>
                <w:sz w:val="22"/>
                <w:szCs w:val="22"/>
                <w:u w:val="single"/>
                <w:vertAlign w:val="superscript"/>
                <w:lang w:eastAsia="en-US"/>
              </w:rPr>
              <w:t>1</w:t>
            </w:r>
            <w:r w:rsidRPr="00DB215C">
              <w:rPr>
                <w:rFonts w:eastAsia="Calibri"/>
                <w:b/>
                <w:bCs/>
                <w:sz w:val="22"/>
                <w:szCs w:val="22"/>
                <w:vertAlign w:val="superscript"/>
                <w:lang w:eastAsia="en-US"/>
              </w:rPr>
              <w:t>/</w:t>
            </w:r>
          </w:p>
          <w:p w14:paraId="34FB5097" w14:textId="303CC060" w:rsidR="00DB215C" w:rsidRPr="00DB215C" w:rsidRDefault="00DB215C" w:rsidP="00EB0468">
            <w:pPr>
              <w:jc w:val="center"/>
              <w:rPr>
                <w:rFonts w:eastAsia="Calibri"/>
                <w:bCs/>
                <w:sz w:val="22"/>
                <w:szCs w:val="22"/>
                <w:lang w:eastAsia="en-US"/>
              </w:rPr>
            </w:pPr>
            <w:r w:rsidRPr="00DB215C">
              <w:rPr>
                <w:rFonts w:eastAsia="Calibri"/>
                <w:b/>
                <w:bCs/>
                <w:sz w:val="22"/>
                <w:szCs w:val="22"/>
                <w:lang w:eastAsia="en-US"/>
              </w:rPr>
              <w:t>-Cifras en porcentaje-</w:t>
            </w:r>
          </w:p>
        </w:tc>
      </w:tr>
      <w:tr w:rsidR="00DB215C" w:rsidRPr="00DB215C" w14:paraId="19828885" w14:textId="77777777" w:rsidTr="00EB0468">
        <w:trPr>
          <w:trHeight w:val="312"/>
          <w:jc w:val="center"/>
        </w:trPr>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D01B1ED" w14:textId="77777777" w:rsidR="00DB215C" w:rsidRPr="00DB215C" w:rsidRDefault="00DB215C" w:rsidP="00DB215C">
            <w:pPr>
              <w:spacing w:before="40" w:after="40"/>
              <w:jc w:val="center"/>
              <w:rPr>
                <w:rFonts w:eastAsia="Calibri"/>
                <w:bCs/>
                <w:sz w:val="18"/>
                <w:szCs w:val="18"/>
                <w:lang w:eastAsia="en-US"/>
              </w:rPr>
            </w:pP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139B81" w14:textId="77777777" w:rsidR="00DB215C" w:rsidRPr="00DB215C" w:rsidRDefault="00DB215C" w:rsidP="00DB215C">
            <w:pPr>
              <w:jc w:val="center"/>
              <w:rPr>
                <w:rFonts w:eastAsia="Calibri"/>
                <w:b/>
                <w:sz w:val="18"/>
                <w:szCs w:val="18"/>
                <w:lang w:eastAsia="en-US"/>
              </w:rPr>
            </w:pPr>
            <w:r w:rsidRPr="00DB215C">
              <w:rPr>
                <w:rFonts w:eastAsia="Calibri"/>
                <w:b/>
                <w:sz w:val="18"/>
                <w:szCs w:val="18"/>
                <w:lang w:eastAsia="en-US"/>
              </w:rPr>
              <w:t>2014</w:t>
            </w:r>
          </w:p>
        </w:tc>
        <w:tc>
          <w:tcPr>
            <w:tcW w:w="1183" w:type="dxa"/>
            <w:tcBorders>
              <w:top w:val="single" w:sz="4" w:space="0" w:color="auto"/>
              <w:left w:val="single" w:sz="4" w:space="0" w:color="auto"/>
              <w:bottom w:val="single" w:sz="4" w:space="0" w:color="auto"/>
              <w:right w:val="single" w:sz="4" w:space="0" w:color="auto"/>
            </w:tcBorders>
            <w:shd w:val="clear" w:color="auto" w:fill="auto"/>
            <w:vAlign w:val="center"/>
          </w:tcPr>
          <w:p w14:paraId="2C416581" w14:textId="77777777" w:rsidR="00DB215C" w:rsidRPr="00DB215C" w:rsidRDefault="00DB215C" w:rsidP="00DB215C">
            <w:pPr>
              <w:jc w:val="center"/>
              <w:rPr>
                <w:rFonts w:eastAsia="Calibri"/>
                <w:b/>
                <w:sz w:val="18"/>
                <w:szCs w:val="18"/>
                <w:lang w:eastAsia="en-US"/>
              </w:rPr>
            </w:pPr>
            <w:r w:rsidRPr="00DB215C">
              <w:rPr>
                <w:rFonts w:eastAsia="Calibri"/>
                <w:b/>
                <w:sz w:val="18"/>
                <w:szCs w:val="18"/>
                <w:lang w:eastAsia="en-US"/>
              </w:rPr>
              <w:t>2015</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DFBDD5" w14:textId="77777777" w:rsidR="00DB215C" w:rsidRPr="00DB215C" w:rsidRDefault="00DB215C" w:rsidP="00DB215C">
            <w:pPr>
              <w:jc w:val="center"/>
              <w:rPr>
                <w:rFonts w:eastAsia="Calibri"/>
                <w:b/>
                <w:bCs/>
                <w:sz w:val="18"/>
                <w:szCs w:val="18"/>
                <w:lang w:eastAsia="en-US"/>
              </w:rPr>
            </w:pPr>
            <w:r w:rsidRPr="00DB215C">
              <w:rPr>
                <w:rFonts w:eastAsia="Calibri"/>
                <w:b/>
                <w:bCs/>
                <w:sz w:val="18"/>
                <w:szCs w:val="18"/>
                <w:lang w:eastAsia="en-US"/>
              </w:rPr>
              <w:t>Diferencia en PP</w:t>
            </w:r>
          </w:p>
        </w:tc>
      </w:tr>
      <w:tr w:rsidR="00DB215C" w:rsidRPr="00DB215C" w14:paraId="30249803" w14:textId="77777777" w:rsidTr="00EB0468">
        <w:trPr>
          <w:trHeight w:val="281"/>
          <w:jc w:val="center"/>
        </w:trPr>
        <w:tc>
          <w:tcPr>
            <w:tcW w:w="283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FBC1E9F" w14:textId="77777777" w:rsidR="00DB215C" w:rsidRPr="00DB215C" w:rsidRDefault="00DB215C" w:rsidP="00DB215C">
            <w:pPr>
              <w:spacing w:before="40" w:after="40"/>
              <w:jc w:val="center"/>
              <w:rPr>
                <w:rFonts w:eastAsia="Calibri"/>
                <w:bCs/>
                <w:sz w:val="18"/>
                <w:szCs w:val="18"/>
                <w:lang w:eastAsia="en-US"/>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EEF9E77" w14:textId="77777777" w:rsidR="00DB215C" w:rsidRPr="00DB215C" w:rsidRDefault="00DB215C" w:rsidP="00DB215C">
            <w:pPr>
              <w:jc w:val="center"/>
              <w:rPr>
                <w:rFonts w:eastAsia="Calibri"/>
                <w:b/>
                <w:sz w:val="20"/>
                <w:szCs w:val="20"/>
                <w:lang w:eastAsia="en-US"/>
              </w:rPr>
            </w:pPr>
            <w:r w:rsidRPr="00DB215C">
              <w:rPr>
                <w:rFonts w:eastAsia="Calibri"/>
                <w:b/>
                <w:sz w:val="20"/>
                <w:szCs w:val="20"/>
                <w:lang w:eastAsia="en-US"/>
              </w:rPr>
              <w:t>Enero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99F19DE" w14:textId="77777777" w:rsidR="00DB215C" w:rsidRPr="00DB215C" w:rsidRDefault="00DB215C" w:rsidP="00DB215C">
            <w:pPr>
              <w:jc w:val="center"/>
              <w:rPr>
                <w:rFonts w:eastAsia="Calibri"/>
                <w:b/>
                <w:sz w:val="20"/>
                <w:szCs w:val="20"/>
                <w:lang w:eastAsia="en-US"/>
              </w:rPr>
            </w:pPr>
            <w:r w:rsidRPr="00DB215C">
              <w:rPr>
                <w:rFonts w:eastAsia="Calibri"/>
                <w:b/>
                <w:sz w:val="20"/>
                <w:szCs w:val="20"/>
                <w:lang w:eastAsia="en-US"/>
              </w:rPr>
              <w:t>Diciembre</w:t>
            </w:r>
          </w:p>
        </w:tc>
        <w:tc>
          <w:tcPr>
            <w:tcW w:w="1183" w:type="dxa"/>
            <w:tcBorders>
              <w:top w:val="single" w:sz="4" w:space="0" w:color="auto"/>
              <w:left w:val="single" w:sz="4" w:space="0" w:color="auto"/>
              <w:bottom w:val="single" w:sz="4" w:space="0" w:color="auto"/>
              <w:right w:val="single" w:sz="4" w:space="0" w:color="auto"/>
            </w:tcBorders>
            <w:shd w:val="clear" w:color="auto" w:fill="auto"/>
            <w:vAlign w:val="center"/>
          </w:tcPr>
          <w:p w14:paraId="27B01CF0" w14:textId="77777777" w:rsidR="00DB215C" w:rsidRPr="00DB215C" w:rsidRDefault="00DB215C" w:rsidP="00DB215C">
            <w:pPr>
              <w:jc w:val="center"/>
              <w:rPr>
                <w:rFonts w:eastAsia="Calibri"/>
                <w:b/>
                <w:sz w:val="20"/>
                <w:szCs w:val="20"/>
                <w:lang w:eastAsia="en-US"/>
              </w:rPr>
            </w:pPr>
            <w:r w:rsidRPr="00DB215C">
              <w:rPr>
                <w:rFonts w:eastAsia="Calibri"/>
                <w:b/>
                <w:sz w:val="20"/>
                <w:szCs w:val="20"/>
                <w:lang w:eastAsia="en-US"/>
              </w:rPr>
              <w:t>Enero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A52DB03" w14:textId="77777777" w:rsidR="00DB215C" w:rsidRPr="00DB215C" w:rsidRDefault="00DB215C" w:rsidP="00DB215C">
            <w:pPr>
              <w:jc w:val="center"/>
              <w:rPr>
                <w:rFonts w:eastAsia="Calibri"/>
                <w:b/>
                <w:sz w:val="18"/>
                <w:szCs w:val="18"/>
                <w:lang w:eastAsia="en-US"/>
              </w:rPr>
            </w:pPr>
            <w:r w:rsidRPr="00DB215C">
              <w:rPr>
                <w:rFonts w:eastAsia="Calibri"/>
                <w:b/>
                <w:sz w:val="18"/>
                <w:szCs w:val="18"/>
                <w:lang w:eastAsia="en-US"/>
              </w:rPr>
              <w:t>Anual</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7A8C1EE" w14:textId="77777777" w:rsidR="00DB215C" w:rsidRPr="00DB215C" w:rsidRDefault="00DB215C" w:rsidP="00DB215C">
            <w:pPr>
              <w:jc w:val="center"/>
              <w:rPr>
                <w:rFonts w:eastAsia="Calibri"/>
                <w:b/>
                <w:bCs/>
                <w:sz w:val="18"/>
                <w:szCs w:val="18"/>
                <w:lang w:eastAsia="en-US"/>
              </w:rPr>
            </w:pPr>
            <w:r w:rsidRPr="00DB215C">
              <w:rPr>
                <w:rFonts w:eastAsia="Calibri"/>
                <w:b/>
                <w:bCs/>
                <w:sz w:val="18"/>
                <w:szCs w:val="18"/>
                <w:lang w:eastAsia="en-US"/>
              </w:rPr>
              <w:t>Mensual</w:t>
            </w:r>
          </w:p>
        </w:tc>
      </w:tr>
      <w:tr w:rsidR="00DB215C" w:rsidRPr="00DB215C" w14:paraId="3AA62913" w14:textId="77777777" w:rsidTr="00EB0468">
        <w:trPr>
          <w:trHeight w:val="271"/>
          <w:jc w:val="center"/>
        </w:trPr>
        <w:tc>
          <w:tcPr>
            <w:tcW w:w="2835" w:type="dxa"/>
            <w:tcBorders>
              <w:top w:val="single" w:sz="4" w:space="0" w:color="auto"/>
              <w:left w:val="single" w:sz="4" w:space="0" w:color="auto"/>
              <w:bottom w:val="nil"/>
              <w:right w:val="single" w:sz="4" w:space="0" w:color="auto"/>
            </w:tcBorders>
            <w:shd w:val="clear" w:color="auto" w:fill="auto"/>
            <w:vAlign w:val="center"/>
          </w:tcPr>
          <w:p w14:paraId="06E868AF" w14:textId="77777777" w:rsidR="00DB215C" w:rsidRPr="00DB215C" w:rsidRDefault="00DB215C" w:rsidP="00DB215C">
            <w:pPr>
              <w:spacing w:before="120"/>
              <w:rPr>
                <w:rFonts w:eastAsia="Calibri"/>
                <w:b/>
                <w:bCs/>
                <w:sz w:val="18"/>
                <w:szCs w:val="18"/>
                <w:lang w:val="en-US" w:eastAsia="en-US"/>
              </w:rPr>
            </w:pPr>
            <w:r w:rsidRPr="00DB215C">
              <w:rPr>
                <w:rFonts w:eastAsia="Calibri"/>
                <w:b/>
                <w:bCs/>
                <w:sz w:val="18"/>
                <w:szCs w:val="18"/>
                <w:lang w:val="en-US" w:eastAsia="en-US"/>
              </w:rPr>
              <w:t>Cartera de crédito total</w:t>
            </w:r>
          </w:p>
        </w:tc>
        <w:tc>
          <w:tcPr>
            <w:tcW w:w="1276" w:type="dxa"/>
            <w:tcBorders>
              <w:top w:val="single" w:sz="4" w:space="0" w:color="auto"/>
              <w:left w:val="single" w:sz="4" w:space="0" w:color="auto"/>
              <w:right w:val="single" w:sz="4" w:space="0" w:color="auto"/>
            </w:tcBorders>
            <w:shd w:val="clear" w:color="auto" w:fill="auto"/>
            <w:vAlign w:val="center"/>
          </w:tcPr>
          <w:p w14:paraId="1D04C0E4" w14:textId="77777777" w:rsidR="00DB215C" w:rsidRPr="00DB215C" w:rsidRDefault="00DB215C" w:rsidP="00DB215C">
            <w:pPr>
              <w:spacing w:before="120" w:after="40"/>
              <w:ind w:right="284"/>
              <w:jc w:val="right"/>
              <w:rPr>
                <w:rFonts w:eastAsia="Calibri"/>
                <w:b/>
                <w:sz w:val="18"/>
                <w:szCs w:val="18"/>
                <w:lang w:val="en-US" w:eastAsia="en-US"/>
              </w:rPr>
            </w:pPr>
            <w:r w:rsidRPr="00DB215C">
              <w:rPr>
                <w:rFonts w:eastAsia="Calibri"/>
                <w:b/>
                <w:sz w:val="18"/>
                <w:szCs w:val="18"/>
                <w:lang w:val="en-US" w:eastAsia="en-US"/>
              </w:rPr>
              <w:t>5.85</w:t>
            </w:r>
          </w:p>
        </w:tc>
        <w:tc>
          <w:tcPr>
            <w:tcW w:w="1134" w:type="dxa"/>
            <w:tcBorders>
              <w:top w:val="single" w:sz="4" w:space="0" w:color="auto"/>
              <w:left w:val="single" w:sz="4" w:space="0" w:color="auto"/>
              <w:bottom w:val="nil"/>
              <w:right w:val="single" w:sz="4" w:space="0" w:color="auto"/>
            </w:tcBorders>
            <w:shd w:val="clear" w:color="auto" w:fill="auto"/>
            <w:vAlign w:val="center"/>
          </w:tcPr>
          <w:p w14:paraId="5A68B0F6" w14:textId="77777777" w:rsidR="00DB215C" w:rsidRPr="00DB215C" w:rsidRDefault="00DB215C" w:rsidP="00DB215C">
            <w:pPr>
              <w:spacing w:before="120" w:after="40"/>
              <w:ind w:right="227"/>
              <w:jc w:val="right"/>
              <w:rPr>
                <w:rFonts w:eastAsia="Calibri"/>
                <w:b/>
                <w:sz w:val="18"/>
                <w:szCs w:val="18"/>
                <w:lang w:val="en-US" w:eastAsia="en-US"/>
              </w:rPr>
            </w:pPr>
            <w:r w:rsidRPr="00DB215C">
              <w:rPr>
                <w:rFonts w:eastAsia="Calibri"/>
                <w:b/>
                <w:sz w:val="18"/>
                <w:szCs w:val="18"/>
                <w:lang w:val="en-US" w:eastAsia="en-US"/>
              </w:rPr>
              <w:t>6.42</w:t>
            </w:r>
          </w:p>
        </w:tc>
        <w:tc>
          <w:tcPr>
            <w:tcW w:w="1183" w:type="dxa"/>
            <w:tcBorders>
              <w:top w:val="single" w:sz="4" w:space="0" w:color="auto"/>
              <w:left w:val="single" w:sz="4" w:space="0" w:color="auto"/>
              <w:right w:val="single" w:sz="4" w:space="0" w:color="auto"/>
            </w:tcBorders>
            <w:shd w:val="clear" w:color="auto" w:fill="auto"/>
            <w:vAlign w:val="center"/>
          </w:tcPr>
          <w:p w14:paraId="7D59A7CD" w14:textId="77777777" w:rsidR="00DB215C" w:rsidRPr="00DB215C" w:rsidRDefault="00DB215C" w:rsidP="00DB215C">
            <w:pPr>
              <w:spacing w:before="120" w:after="40"/>
              <w:ind w:right="227"/>
              <w:jc w:val="right"/>
              <w:rPr>
                <w:rFonts w:eastAsia="Calibri"/>
                <w:b/>
                <w:sz w:val="18"/>
                <w:szCs w:val="18"/>
                <w:lang w:val="en-US" w:eastAsia="en-US"/>
              </w:rPr>
            </w:pPr>
            <w:r w:rsidRPr="00DB215C">
              <w:rPr>
                <w:rFonts w:eastAsia="Calibri"/>
                <w:b/>
                <w:sz w:val="18"/>
                <w:szCs w:val="18"/>
                <w:lang w:val="en-US" w:eastAsia="en-US"/>
              </w:rPr>
              <w:t>6.41</w:t>
            </w:r>
          </w:p>
        </w:tc>
        <w:tc>
          <w:tcPr>
            <w:tcW w:w="1134" w:type="dxa"/>
            <w:tcBorders>
              <w:top w:val="single" w:sz="4" w:space="0" w:color="auto"/>
              <w:left w:val="single" w:sz="4" w:space="0" w:color="auto"/>
              <w:bottom w:val="nil"/>
              <w:right w:val="single" w:sz="4" w:space="0" w:color="auto"/>
            </w:tcBorders>
            <w:shd w:val="clear" w:color="auto" w:fill="auto"/>
            <w:vAlign w:val="center"/>
          </w:tcPr>
          <w:p w14:paraId="73876CE3" w14:textId="77777777" w:rsidR="00DB215C" w:rsidRPr="00DB215C" w:rsidRDefault="00DB215C" w:rsidP="00DB215C">
            <w:pPr>
              <w:spacing w:before="120" w:after="40"/>
              <w:ind w:right="170"/>
              <w:jc w:val="right"/>
              <w:rPr>
                <w:rFonts w:eastAsia="Calibri"/>
                <w:b/>
                <w:sz w:val="18"/>
                <w:szCs w:val="18"/>
                <w:lang w:val="en-US" w:eastAsia="en-US"/>
              </w:rPr>
            </w:pPr>
            <w:r w:rsidRPr="00DB215C">
              <w:rPr>
                <w:rFonts w:eastAsia="Calibri"/>
                <w:b/>
                <w:sz w:val="18"/>
                <w:szCs w:val="18"/>
                <w:lang w:val="en-US" w:eastAsia="en-US"/>
              </w:rPr>
              <w:t>0.56</w:t>
            </w:r>
          </w:p>
        </w:tc>
        <w:tc>
          <w:tcPr>
            <w:tcW w:w="1134" w:type="dxa"/>
            <w:tcBorders>
              <w:top w:val="single" w:sz="4" w:space="0" w:color="auto"/>
              <w:left w:val="single" w:sz="4" w:space="0" w:color="auto"/>
              <w:bottom w:val="nil"/>
              <w:right w:val="single" w:sz="4" w:space="0" w:color="auto"/>
            </w:tcBorders>
            <w:shd w:val="clear" w:color="auto" w:fill="auto"/>
            <w:vAlign w:val="center"/>
          </w:tcPr>
          <w:p w14:paraId="2D6945C4" w14:textId="77777777" w:rsidR="00DB215C" w:rsidRPr="00DB215C" w:rsidRDefault="00DB215C" w:rsidP="00DB215C">
            <w:pPr>
              <w:spacing w:before="120" w:after="40"/>
              <w:ind w:right="284"/>
              <w:jc w:val="right"/>
              <w:rPr>
                <w:rFonts w:eastAsia="Calibri"/>
                <w:b/>
                <w:bCs/>
                <w:sz w:val="18"/>
                <w:szCs w:val="18"/>
                <w:lang w:val="en-US" w:eastAsia="en-US"/>
              </w:rPr>
            </w:pPr>
            <w:r w:rsidRPr="00DB215C">
              <w:rPr>
                <w:rFonts w:eastAsia="Calibri"/>
                <w:b/>
                <w:bCs/>
                <w:sz w:val="18"/>
                <w:szCs w:val="18"/>
                <w:lang w:val="en-US" w:eastAsia="en-US"/>
              </w:rPr>
              <w:t>-0.01</w:t>
            </w:r>
          </w:p>
        </w:tc>
      </w:tr>
      <w:tr w:rsidR="00DB215C" w:rsidRPr="00DB215C" w14:paraId="3FFC6F38" w14:textId="77777777" w:rsidTr="00DB215C">
        <w:trPr>
          <w:trHeight w:val="271"/>
          <w:jc w:val="center"/>
        </w:trPr>
        <w:tc>
          <w:tcPr>
            <w:tcW w:w="2835" w:type="dxa"/>
            <w:tcBorders>
              <w:top w:val="nil"/>
              <w:left w:val="single" w:sz="4" w:space="0" w:color="auto"/>
              <w:bottom w:val="nil"/>
              <w:right w:val="single" w:sz="4" w:space="0" w:color="auto"/>
            </w:tcBorders>
            <w:shd w:val="clear" w:color="auto" w:fill="auto"/>
            <w:vAlign w:val="center"/>
          </w:tcPr>
          <w:p w14:paraId="13829293" w14:textId="77777777" w:rsidR="00DB215C" w:rsidRPr="00DB215C" w:rsidRDefault="00DB215C" w:rsidP="00DB215C">
            <w:pPr>
              <w:ind w:left="170"/>
              <w:rPr>
                <w:rFonts w:eastAsia="Calibri"/>
                <w:bCs/>
                <w:sz w:val="18"/>
                <w:szCs w:val="18"/>
                <w:lang w:val="en-US" w:eastAsia="en-US"/>
              </w:rPr>
            </w:pPr>
            <w:r w:rsidRPr="00DB215C">
              <w:rPr>
                <w:rFonts w:eastAsia="Calibri"/>
                <w:bCs/>
                <w:sz w:val="18"/>
                <w:szCs w:val="18"/>
                <w:lang w:val="en-US" w:eastAsia="en-US"/>
              </w:rPr>
              <w:t>Créditos comerciales</w:t>
            </w:r>
          </w:p>
        </w:tc>
        <w:tc>
          <w:tcPr>
            <w:tcW w:w="1276" w:type="dxa"/>
            <w:tcBorders>
              <w:left w:val="single" w:sz="4" w:space="0" w:color="auto"/>
              <w:right w:val="single" w:sz="4" w:space="0" w:color="auto"/>
            </w:tcBorders>
            <w:shd w:val="clear" w:color="auto" w:fill="auto"/>
            <w:vAlign w:val="center"/>
          </w:tcPr>
          <w:p w14:paraId="133DCE9F" w14:textId="77777777" w:rsidR="00DB215C" w:rsidRPr="00DB215C" w:rsidRDefault="00DB215C" w:rsidP="00DB215C">
            <w:pPr>
              <w:ind w:right="284"/>
              <w:jc w:val="right"/>
              <w:rPr>
                <w:rFonts w:eastAsia="Calibri"/>
                <w:sz w:val="18"/>
                <w:szCs w:val="18"/>
                <w:lang w:val="en-US" w:eastAsia="en-US"/>
              </w:rPr>
            </w:pPr>
            <w:r w:rsidRPr="00DB215C">
              <w:rPr>
                <w:rFonts w:eastAsia="Calibri"/>
                <w:sz w:val="18"/>
                <w:szCs w:val="18"/>
                <w:lang w:val="en-US" w:eastAsia="en-US"/>
              </w:rPr>
              <w:t>3.08</w:t>
            </w:r>
          </w:p>
        </w:tc>
        <w:tc>
          <w:tcPr>
            <w:tcW w:w="1134" w:type="dxa"/>
            <w:tcBorders>
              <w:top w:val="nil"/>
              <w:left w:val="single" w:sz="4" w:space="0" w:color="auto"/>
              <w:bottom w:val="nil"/>
              <w:right w:val="single" w:sz="4" w:space="0" w:color="auto"/>
            </w:tcBorders>
            <w:shd w:val="clear" w:color="auto" w:fill="auto"/>
            <w:vAlign w:val="center"/>
          </w:tcPr>
          <w:p w14:paraId="452C6C99" w14:textId="77777777" w:rsidR="00DB215C" w:rsidRPr="00DB215C" w:rsidRDefault="00DB215C" w:rsidP="00DB215C">
            <w:pPr>
              <w:ind w:right="227"/>
              <w:jc w:val="right"/>
              <w:rPr>
                <w:rFonts w:eastAsia="Calibri"/>
                <w:sz w:val="18"/>
                <w:szCs w:val="18"/>
                <w:lang w:val="en-US" w:eastAsia="en-US"/>
              </w:rPr>
            </w:pPr>
            <w:r w:rsidRPr="00DB215C">
              <w:rPr>
                <w:rFonts w:eastAsia="Calibri"/>
                <w:sz w:val="18"/>
                <w:szCs w:val="18"/>
                <w:lang w:val="en-US" w:eastAsia="en-US"/>
              </w:rPr>
              <w:t>3.36</w:t>
            </w:r>
          </w:p>
        </w:tc>
        <w:tc>
          <w:tcPr>
            <w:tcW w:w="1183" w:type="dxa"/>
            <w:tcBorders>
              <w:left w:val="single" w:sz="4" w:space="0" w:color="auto"/>
              <w:right w:val="single" w:sz="4" w:space="0" w:color="auto"/>
            </w:tcBorders>
            <w:shd w:val="clear" w:color="auto" w:fill="auto"/>
            <w:vAlign w:val="center"/>
          </w:tcPr>
          <w:p w14:paraId="544F0452" w14:textId="77777777" w:rsidR="00DB215C" w:rsidRPr="00DB215C" w:rsidRDefault="00DB215C" w:rsidP="00DB215C">
            <w:pPr>
              <w:ind w:right="227"/>
              <w:jc w:val="right"/>
              <w:rPr>
                <w:rFonts w:eastAsia="Calibri"/>
                <w:sz w:val="18"/>
                <w:szCs w:val="18"/>
                <w:lang w:val="en-US" w:eastAsia="en-US"/>
              </w:rPr>
            </w:pPr>
            <w:r w:rsidRPr="00DB215C">
              <w:rPr>
                <w:rFonts w:eastAsia="Calibri"/>
                <w:sz w:val="18"/>
                <w:szCs w:val="18"/>
                <w:lang w:val="en-US" w:eastAsia="en-US"/>
              </w:rPr>
              <w:t>3.33</w:t>
            </w:r>
          </w:p>
        </w:tc>
        <w:tc>
          <w:tcPr>
            <w:tcW w:w="1134" w:type="dxa"/>
            <w:tcBorders>
              <w:top w:val="nil"/>
              <w:left w:val="single" w:sz="4" w:space="0" w:color="auto"/>
              <w:bottom w:val="nil"/>
              <w:right w:val="single" w:sz="4" w:space="0" w:color="auto"/>
            </w:tcBorders>
            <w:shd w:val="clear" w:color="auto" w:fill="auto"/>
            <w:vAlign w:val="center"/>
          </w:tcPr>
          <w:p w14:paraId="7665965A" w14:textId="77777777" w:rsidR="00DB215C" w:rsidRPr="00DB215C" w:rsidRDefault="00DB215C" w:rsidP="00DB215C">
            <w:pPr>
              <w:ind w:right="170"/>
              <w:jc w:val="right"/>
              <w:rPr>
                <w:rFonts w:eastAsia="Calibri"/>
                <w:sz w:val="18"/>
                <w:szCs w:val="18"/>
                <w:lang w:val="en-US" w:eastAsia="en-US"/>
              </w:rPr>
            </w:pPr>
            <w:r w:rsidRPr="00DB215C">
              <w:rPr>
                <w:rFonts w:eastAsia="Calibri"/>
                <w:sz w:val="18"/>
                <w:szCs w:val="18"/>
                <w:lang w:val="en-US" w:eastAsia="en-US"/>
              </w:rPr>
              <w:t>0.25</w:t>
            </w:r>
          </w:p>
        </w:tc>
        <w:tc>
          <w:tcPr>
            <w:tcW w:w="1134" w:type="dxa"/>
            <w:tcBorders>
              <w:top w:val="nil"/>
              <w:left w:val="single" w:sz="4" w:space="0" w:color="auto"/>
              <w:bottom w:val="nil"/>
              <w:right w:val="single" w:sz="4" w:space="0" w:color="auto"/>
            </w:tcBorders>
            <w:shd w:val="clear" w:color="auto" w:fill="auto"/>
            <w:vAlign w:val="center"/>
          </w:tcPr>
          <w:p w14:paraId="3245EF5C" w14:textId="77777777" w:rsidR="00DB215C" w:rsidRPr="00DB215C" w:rsidRDefault="00DB215C" w:rsidP="00DB215C">
            <w:pPr>
              <w:ind w:right="284"/>
              <w:jc w:val="right"/>
              <w:rPr>
                <w:rFonts w:eastAsia="Calibri"/>
                <w:bCs/>
                <w:sz w:val="18"/>
                <w:szCs w:val="18"/>
                <w:lang w:val="en-US" w:eastAsia="en-US"/>
              </w:rPr>
            </w:pPr>
            <w:r w:rsidRPr="00DB215C">
              <w:rPr>
                <w:rFonts w:eastAsia="Calibri"/>
                <w:bCs/>
                <w:sz w:val="18"/>
                <w:szCs w:val="18"/>
                <w:lang w:val="en-US" w:eastAsia="en-US"/>
              </w:rPr>
              <w:t>-0.03</w:t>
            </w:r>
          </w:p>
        </w:tc>
      </w:tr>
      <w:tr w:rsidR="00DB215C" w:rsidRPr="00DB215C" w14:paraId="4EE30F21" w14:textId="77777777" w:rsidTr="00DB215C">
        <w:trPr>
          <w:trHeight w:val="271"/>
          <w:jc w:val="center"/>
        </w:trPr>
        <w:tc>
          <w:tcPr>
            <w:tcW w:w="2835" w:type="dxa"/>
            <w:tcBorders>
              <w:top w:val="nil"/>
              <w:left w:val="single" w:sz="4" w:space="0" w:color="auto"/>
              <w:bottom w:val="nil"/>
              <w:right w:val="single" w:sz="4" w:space="0" w:color="auto"/>
            </w:tcBorders>
            <w:shd w:val="clear" w:color="auto" w:fill="auto"/>
            <w:vAlign w:val="center"/>
          </w:tcPr>
          <w:p w14:paraId="5243862B" w14:textId="77777777" w:rsidR="00DB215C" w:rsidRPr="00DB215C" w:rsidRDefault="00DB215C" w:rsidP="00DB215C">
            <w:pPr>
              <w:ind w:left="170"/>
              <w:rPr>
                <w:rFonts w:eastAsia="Calibri"/>
                <w:bCs/>
                <w:sz w:val="18"/>
                <w:szCs w:val="18"/>
                <w:lang w:val="en-US" w:eastAsia="en-US"/>
              </w:rPr>
            </w:pPr>
            <w:r w:rsidRPr="00DB215C">
              <w:rPr>
                <w:rFonts w:eastAsia="Calibri"/>
                <w:bCs/>
                <w:sz w:val="18"/>
                <w:szCs w:val="18"/>
                <w:lang w:val="en-US" w:eastAsia="en-US"/>
              </w:rPr>
              <w:t>Empresas</w:t>
            </w:r>
          </w:p>
        </w:tc>
        <w:tc>
          <w:tcPr>
            <w:tcW w:w="1276" w:type="dxa"/>
            <w:tcBorders>
              <w:left w:val="single" w:sz="4" w:space="0" w:color="auto"/>
              <w:right w:val="single" w:sz="4" w:space="0" w:color="auto"/>
            </w:tcBorders>
            <w:shd w:val="clear" w:color="auto" w:fill="auto"/>
            <w:vAlign w:val="center"/>
          </w:tcPr>
          <w:p w14:paraId="037EFCC3" w14:textId="77777777" w:rsidR="00DB215C" w:rsidRPr="00DB215C" w:rsidRDefault="00DB215C" w:rsidP="00DB215C">
            <w:pPr>
              <w:ind w:right="284"/>
              <w:jc w:val="right"/>
              <w:rPr>
                <w:rFonts w:eastAsia="Calibri"/>
                <w:sz w:val="18"/>
                <w:szCs w:val="18"/>
                <w:lang w:val="en-US" w:eastAsia="en-US"/>
              </w:rPr>
            </w:pPr>
            <w:r w:rsidRPr="00DB215C">
              <w:rPr>
                <w:rFonts w:eastAsia="Calibri"/>
                <w:sz w:val="18"/>
                <w:szCs w:val="18"/>
                <w:lang w:val="en-US" w:eastAsia="en-US"/>
              </w:rPr>
              <w:t>4.23</w:t>
            </w:r>
          </w:p>
        </w:tc>
        <w:tc>
          <w:tcPr>
            <w:tcW w:w="1134" w:type="dxa"/>
            <w:tcBorders>
              <w:top w:val="nil"/>
              <w:left w:val="single" w:sz="4" w:space="0" w:color="auto"/>
              <w:bottom w:val="nil"/>
              <w:right w:val="single" w:sz="4" w:space="0" w:color="auto"/>
            </w:tcBorders>
            <w:shd w:val="clear" w:color="auto" w:fill="auto"/>
            <w:vAlign w:val="center"/>
          </w:tcPr>
          <w:p w14:paraId="39B36FD9" w14:textId="77777777" w:rsidR="00DB215C" w:rsidRPr="00DB215C" w:rsidRDefault="00DB215C" w:rsidP="00DB215C">
            <w:pPr>
              <w:ind w:right="227"/>
              <w:jc w:val="right"/>
              <w:rPr>
                <w:rFonts w:eastAsia="Calibri"/>
                <w:sz w:val="18"/>
                <w:szCs w:val="18"/>
                <w:lang w:val="en-US" w:eastAsia="en-US"/>
              </w:rPr>
            </w:pPr>
            <w:r w:rsidRPr="00DB215C">
              <w:rPr>
                <w:rFonts w:eastAsia="Calibri"/>
                <w:sz w:val="18"/>
                <w:szCs w:val="18"/>
                <w:lang w:val="en-US" w:eastAsia="en-US"/>
              </w:rPr>
              <w:t>4.65</w:t>
            </w:r>
          </w:p>
        </w:tc>
        <w:tc>
          <w:tcPr>
            <w:tcW w:w="1183" w:type="dxa"/>
            <w:tcBorders>
              <w:left w:val="single" w:sz="4" w:space="0" w:color="auto"/>
              <w:right w:val="single" w:sz="4" w:space="0" w:color="auto"/>
            </w:tcBorders>
            <w:shd w:val="clear" w:color="auto" w:fill="auto"/>
            <w:vAlign w:val="center"/>
          </w:tcPr>
          <w:p w14:paraId="33D6BBB6" w14:textId="77777777" w:rsidR="00DB215C" w:rsidRPr="00DB215C" w:rsidRDefault="00DB215C" w:rsidP="00DB215C">
            <w:pPr>
              <w:ind w:right="227"/>
              <w:jc w:val="right"/>
              <w:rPr>
                <w:rFonts w:eastAsia="Calibri"/>
                <w:sz w:val="18"/>
                <w:szCs w:val="18"/>
                <w:lang w:val="en-US" w:eastAsia="en-US"/>
              </w:rPr>
            </w:pPr>
            <w:r w:rsidRPr="00DB215C">
              <w:rPr>
                <w:rFonts w:eastAsia="Calibri"/>
                <w:sz w:val="18"/>
                <w:szCs w:val="18"/>
                <w:lang w:val="en-US" w:eastAsia="en-US"/>
              </w:rPr>
              <w:t>4.63</w:t>
            </w:r>
          </w:p>
        </w:tc>
        <w:tc>
          <w:tcPr>
            <w:tcW w:w="1134" w:type="dxa"/>
            <w:tcBorders>
              <w:top w:val="nil"/>
              <w:left w:val="single" w:sz="4" w:space="0" w:color="auto"/>
              <w:bottom w:val="nil"/>
              <w:right w:val="single" w:sz="4" w:space="0" w:color="auto"/>
            </w:tcBorders>
            <w:shd w:val="clear" w:color="auto" w:fill="auto"/>
            <w:vAlign w:val="center"/>
          </w:tcPr>
          <w:p w14:paraId="4FEC13D3" w14:textId="77777777" w:rsidR="00DB215C" w:rsidRPr="00DB215C" w:rsidRDefault="00DB215C" w:rsidP="00DB215C">
            <w:pPr>
              <w:ind w:right="170"/>
              <w:jc w:val="right"/>
              <w:rPr>
                <w:rFonts w:eastAsia="Calibri"/>
                <w:sz w:val="18"/>
                <w:szCs w:val="18"/>
                <w:lang w:val="en-US" w:eastAsia="en-US"/>
              </w:rPr>
            </w:pPr>
            <w:r w:rsidRPr="00DB215C">
              <w:rPr>
                <w:rFonts w:eastAsia="Calibri"/>
                <w:sz w:val="18"/>
                <w:szCs w:val="18"/>
                <w:lang w:val="en-US" w:eastAsia="en-US"/>
              </w:rPr>
              <w:t>0.39</w:t>
            </w:r>
          </w:p>
        </w:tc>
        <w:tc>
          <w:tcPr>
            <w:tcW w:w="1134" w:type="dxa"/>
            <w:tcBorders>
              <w:top w:val="nil"/>
              <w:left w:val="single" w:sz="4" w:space="0" w:color="auto"/>
              <w:bottom w:val="nil"/>
              <w:right w:val="single" w:sz="4" w:space="0" w:color="auto"/>
            </w:tcBorders>
            <w:shd w:val="clear" w:color="auto" w:fill="auto"/>
            <w:vAlign w:val="center"/>
          </w:tcPr>
          <w:p w14:paraId="2EC17645" w14:textId="77777777" w:rsidR="00DB215C" w:rsidRPr="00DB215C" w:rsidRDefault="00DB215C" w:rsidP="00DB215C">
            <w:pPr>
              <w:ind w:right="284"/>
              <w:jc w:val="right"/>
              <w:rPr>
                <w:rFonts w:eastAsia="Calibri"/>
                <w:bCs/>
                <w:sz w:val="18"/>
                <w:szCs w:val="18"/>
                <w:lang w:val="en-US" w:eastAsia="en-US"/>
              </w:rPr>
            </w:pPr>
            <w:r w:rsidRPr="00DB215C">
              <w:rPr>
                <w:rFonts w:eastAsia="Calibri"/>
                <w:bCs/>
                <w:sz w:val="18"/>
                <w:szCs w:val="18"/>
                <w:lang w:val="en-US" w:eastAsia="en-US"/>
              </w:rPr>
              <w:t>-0.03</w:t>
            </w:r>
          </w:p>
        </w:tc>
      </w:tr>
      <w:tr w:rsidR="00DB215C" w:rsidRPr="00DB215C" w14:paraId="3DE5D8FD" w14:textId="77777777" w:rsidTr="00DB215C">
        <w:trPr>
          <w:trHeight w:val="271"/>
          <w:jc w:val="center"/>
        </w:trPr>
        <w:tc>
          <w:tcPr>
            <w:tcW w:w="2835" w:type="dxa"/>
            <w:tcBorders>
              <w:top w:val="nil"/>
              <w:left w:val="single" w:sz="4" w:space="0" w:color="auto"/>
              <w:bottom w:val="nil"/>
              <w:right w:val="single" w:sz="4" w:space="0" w:color="auto"/>
            </w:tcBorders>
            <w:shd w:val="clear" w:color="auto" w:fill="auto"/>
            <w:vAlign w:val="center"/>
          </w:tcPr>
          <w:p w14:paraId="77C84B90" w14:textId="77777777" w:rsidR="00DB215C" w:rsidRPr="00DB215C" w:rsidRDefault="00DB215C" w:rsidP="00DB215C">
            <w:pPr>
              <w:ind w:left="170"/>
              <w:rPr>
                <w:rFonts w:eastAsia="Calibri"/>
                <w:bCs/>
                <w:sz w:val="18"/>
                <w:szCs w:val="18"/>
                <w:lang w:val="en-US" w:eastAsia="en-US"/>
              </w:rPr>
            </w:pPr>
            <w:r w:rsidRPr="00DB215C">
              <w:rPr>
                <w:rFonts w:eastAsia="Calibri"/>
                <w:bCs/>
                <w:sz w:val="18"/>
                <w:szCs w:val="18"/>
                <w:lang w:val="en-US" w:eastAsia="en-US"/>
              </w:rPr>
              <w:t>Entidades financieras</w:t>
            </w:r>
          </w:p>
        </w:tc>
        <w:tc>
          <w:tcPr>
            <w:tcW w:w="1276" w:type="dxa"/>
            <w:tcBorders>
              <w:left w:val="single" w:sz="4" w:space="0" w:color="auto"/>
              <w:right w:val="single" w:sz="4" w:space="0" w:color="auto"/>
            </w:tcBorders>
            <w:shd w:val="clear" w:color="auto" w:fill="auto"/>
            <w:vAlign w:val="center"/>
          </w:tcPr>
          <w:p w14:paraId="5A07C6B3" w14:textId="77777777" w:rsidR="00DB215C" w:rsidRPr="00DB215C" w:rsidRDefault="00DB215C" w:rsidP="00DB215C">
            <w:pPr>
              <w:ind w:right="284"/>
              <w:jc w:val="right"/>
              <w:rPr>
                <w:rFonts w:eastAsia="Calibri"/>
                <w:sz w:val="18"/>
                <w:szCs w:val="18"/>
                <w:lang w:val="en-US" w:eastAsia="en-US"/>
              </w:rPr>
            </w:pPr>
            <w:r w:rsidRPr="00DB215C">
              <w:rPr>
                <w:rFonts w:eastAsia="Calibri"/>
                <w:sz w:val="18"/>
                <w:szCs w:val="18"/>
                <w:lang w:val="en-US" w:eastAsia="en-US"/>
              </w:rPr>
              <w:t>0.20</w:t>
            </w:r>
          </w:p>
        </w:tc>
        <w:tc>
          <w:tcPr>
            <w:tcW w:w="1134" w:type="dxa"/>
            <w:tcBorders>
              <w:top w:val="nil"/>
              <w:left w:val="single" w:sz="4" w:space="0" w:color="auto"/>
              <w:bottom w:val="nil"/>
              <w:right w:val="single" w:sz="4" w:space="0" w:color="auto"/>
            </w:tcBorders>
            <w:shd w:val="clear" w:color="auto" w:fill="auto"/>
            <w:vAlign w:val="center"/>
          </w:tcPr>
          <w:p w14:paraId="775EB6BD" w14:textId="77777777" w:rsidR="00DB215C" w:rsidRPr="00DB215C" w:rsidRDefault="00DB215C" w:rsidP="00DB215C">
            <w:pPr>
              <w:ind w:right="227"/>
              <w:jc w:val="right"/>
              <w:rPr>
                <w:rFonts w:eastAsia="Calibri"/>
                <w:sz w:val="18"/>
                <w:szCs w:val="18"/>
                <w:lang w:val="en-US" w:eastAsia="en-US"/>
              </w:rPr>
            </w:pPr>
            <w:r w:rsidRPr="00DB215C">
              <w:rPr>
                <w:rFonts w:eastAsia="Calibri"/>
                <w:sz w:val="18"/>
                <w:szCs w:val="18"/>
                <w:lang w:val="en-US" w:eastAsia="en-US"/>
              </w:rPr>
              <w:t>0.14</w:t>
            </w:r>
          </w:p>
        </w:tc>
        <w:tc>
          <w:tcPr>
            <w:tcW w:w="1183" w:type="dxa"/>
            <w:tcBorders>
              <w:left w:val="single" w:sz="4" w:space="0" w:color="auto"/>
              <w:right w:val="single" w:sz="4" w:space="0" w:color="auto"/>
            </w:tcBorders>
            <w:shd w:val="clear" w:color="auto" w:fill="auto"/>
            <w:vAlign w:val="center"/>
          </w:tcPr>
          <w:p w14:paraId="07955837" w14:textId="77777777" w:rsidR="00DB215C" w:rsidRPr="00DB215C" w:rsidRDefault="00DB215C" w:rsidP="00DB215C">
            <w:pPr>
              <w:ind w:right="227"/>
              <w:jc w:val="right"/>
              <w:rPr>
                <w:rFonts w:eastAsia="Calibri"/>
                <w:sz w:val="18"/>
                <w:szCs w:val="18"/>
                <w:lang w:val="en-US" w:eastAsia="en-US"/>
              </w:rPr>
            </w:pPr>
            <w:r w:rsidRPr="00DB215C">
              <w:rPr>
                <w:rFonts w:eastAsia="Calibri"/>
                <w:sz w:val="18"/>
                <w:szCs w:val="18"/>
                <w:lang w:val="en-US" w:eastAsia="en-US"/>
              </w:rPr>
              <w:t>0.15</w:t>
            </w:r>
          </w:p>
        </w:tc>
        <w:tc>
          <w:tcPr>
            <w:tcW w:w="1134" w:type="dxa"/>
            <w:tcBorders>
              <w:top w:val="nil"/>
              <w:left w:val="single" w:sz="4" w:space="0" w:color="auto"/>
              <w:bottom w:val="nil"/>
              <w:right w:val="single" w:sz="4" w:space="0" w:color="auto"/>
            </w:tcBorders>
            <w:shd w:val="clear" w:color="auto" w:fill="auto"/>
            <w:vAlign w:val="center"/>
          </w:tcPr>
          <w:p w14:paraId="0765EAA9" w14:textId="77777777" w:rsidR="00DB215C" w:rsidRPr="00DB215C" w:rsidRDefault="00DB215C" w:rsidP="00DB215C">
            <w:pPr>
              <w:ind w:right="170"/>
              <w:jc w:val="right"/>
              <w:rPr>
                <w:rFonts w:eastAsia="Calibri"/>
                <w:sz w:val="18"/>
                <w:szCs w:val="18"/>
                <w:lang w:val="en-US" w:eastAsia="en-US"/>
              </w:rPr>
            </w:pPr>
            <w:r w:rsidRPr="00DB215C">
              <w:rPr>
                <w:rFonts w:eastAsia="Calibri"/>
                <w:sz w:val="18"/>
                <w:szCs w:val="18"/>
                <w:lang w:val="en-US" w:eastAsia="en-US"/>
              </w:rPr>
              <w:t>-0.06</w:t>
            </w:r>
          </w:p>
        </w:tc>
        <w:tc>
          <w:tcPr>
            <w:tcW w:w="1134" w:type="dxa"/>
            <w:tcBorders>
              <w:top w:val="nil"/>
              <w:left w:val="single" w:sz="4" w:space="0" w:color="auto"/>
              <w:bottom w:val="nil"/>
              <w:right w:val="single" w:sz="4" w:space="0" w:color="auto"/>
            </w:tcBorders>
            <w:shd w:val="clear" w:color="auto" w:fill="auto"/>
            <w:vAlign w:val="center"/>
          </w:tcPr>
          <w:p w14:paraId="6BE7FD1B" w14:textId="77777777" w:rsidR="00DB215C" w:rsidRPr="00DB215C" w:rsidRDefault="00DB215C" w:rsidP="00DB215C">
            <w:pPr>
              <w:ind w:right="284"/>
              <w:jc w:val="right"/>
              <w:rPr>
                <w:rFonts w:eastAsia="Calibri"/>
                <w:bCs/>
                <w:sz w:val="18"/>
                <w:szCs w:val="18"/>
                <w:lang w:val="en-US" w:eastAsia="en-US"/>
              </w:rPr>
            </w:pPr>
            <w:r w:rsidRPr="00DB215C">
              <w:rPr>
                <w:rFonts w:eastAsia="Calibri"/>
                <w:bCs/>
                <w:sz w:val="18"/>
                <w:szCs w:val="18"/>
                <w:lang w:val="en-US" w:eastAsia="en-US"/>
              </w:rPr>
              <w:t>0.01</w:t>
            </w:r>
          </w:p>
        </w:tc>
      </w:tr>
      <w:tr w:rsidR="00DB215C" w:rsidRPr="00DB215C" w14:paraId="36696283" w14:textId="77777777" w:rsidTr="00DB215C">
        <w:trPr>
          <w:trHeight w:val="271"/>
          <w:jc w:val="center"/>
        </w:trPr>
        <w:tc>
          <w:tcPr>
            <w:tcW w:w="2835" w:type="dxa"/>
            <w:tcBorders>
              <w:top w:val="nil"/>
              <w:left w:val="single" w:sz="4" w:space="0" w:color="auto"/>
              <w:bottom w:val="nil"/>
              <w:right w:val="single" w:sz="4" w:space="0" w:color="auto"/>
            </w:tcBorders>
            <w:shd w:val="clear" w:color="auto" w:fill="auto"/>
            <w:vAlign w:val="center"/>
          </w:tcPr>
          <w:p w14:paraId="35C23635" w14:textId="77777777" w:rsidR="00DB215C" w:rsidRPr="00DB215C" w:rsidRDefault="00DB215C" w:rsidP="00DB215C">
            <w:pPr>
              <w:spacing w:after="120"/>
              <w:ind w:left="170"/>
              <w:rPr>
                <w:rFonts w:eastAsia="Calibri"/>
                <w:bCs/>
                <w:sz w:val="18"/>
                <w:szCs w:val="18"/>
                <w:lang w:val="en-US" w:eastAsia="en-US"/>
              </w:rPr>
            </w:pPr>
            <w:r w:rsidRPr="00DB215C">
              <w:rPr>
                <w:rFonts w:eastAsia="Calibri"/>
                <w:bCs/>
                <w:sz w:val="18"/>
                <w:szCs w:val="18"/>
                <w:lang w:val="en-US" w:eastAsia="en-US"/>
              </w:rPr>
              <w:t>Entidades gubernamentales</w:t>
            </w:r>
          </w:p>
        </w:tc>
        <w:tc>
          <w:tcPr>
            <w:tcW w:w="1276" w:type="dxa"/>
            <w:tcBorders>
              <w:left w:val="single" w:sz="4" w:space="0" w:color="auto"/>
              <w:right w:val="single" w:sz="4" w:space="0" w:color="auto"/>
            </w:tcBorders>
            <w:shd w:val="clear" w:color="auto" w:fill="auto"/>
            <w:vAlign w:val="center"/>
          </w:tcPr>
          <w:p w14:paraId="76A64FFD" w14:textId="77777777" w:rsidR="00DB215C" w:rsidRPr="00DB215C" w:rsidRDefault="00DB215C" w:rsidP="00DB215C">
            <w:pPr>
              <w:spacing w:after="120"/>
              <w:ind w:right="284"/>
              <w:jc w:val="right"/>
              <w:rPr>
                <w:rFonts w:eastAsia="Calibri"/>
                <w:sz w:val="18"/>
                <w:szCs w:val="18"/>
                <w:lang w:val="en-US" w:eastAsia="en-US"/>
              </w:rPr>
            </w:pPr>
            <w:r w:rsidRPr="00DB215C">
              <w:rPr>
                <w:rFonts w:eastAsia="Calibri"/>
                <w:sz w:val="18"/>
                <w:szCs w:val="18"/>
                <w:lang w:val="en-US" w:eastAsia="en-US"/>
              </w:rPr>
              <w:t>0.06</w:t>
            </w:r>
          </w:p>
        </w:tc>
        <w:tc>
          <w:tcPr>
            <w:tcW w:w="1134" w:type="dxa"/>
            <w:tcBorders>
              <w:top w:val="nil"/>
              <w:left w:val="single" w:sz="4" w:space="0" w:color="auto"/>
              <w:bottom w:val="nil"/>
              <w:right w:val="single" w:sz="4" w:space="0" w:color="auto"/>
            </w:tcBorders>
            <w:shd w:val="clear" w:color="auto" w:fill="auto"/>
            <w:vAlign w:val="center"/>
          </w:tcPr>
          <w:p w14:paraId="65579AB6" w14:textId="77777777" w:rsidR="00DB215C" w:rsidRPr="00DB215C" w:rsidRDefault="00DB215C" w:rsidP="00DB215C">
            <w:pPr>
              <w:spacing w:after="120"/>
              <w:ind w:right="227"/>
              <w:jc w:val="right"/>
              <w:rPr>
                <w:rFonts w:eastAsia="Calibri"/>
                <w:sz w:val="18"/>
                <w:szCs w:val="18"/>
                <w:lang w:val="en-US" w:eastAsia="en-US"/>
              </w:rPr>
            </w:pPr>
            <w:r w:rsidRPr="00DB215C">
              <w:rPr>
                <w:rFonts w:eastAsia="Calibri"/>
                <w:sz w:val="18"/>
                <w:szCs w:val="18"/>
                <w:lang w:val="en-US" w:eastAsia="en-US"/>
              </w:rPr>
              <w:t>0.03</w:t>
            </w:r>
          </w:p>
        </w:tc>
        <w:tc>
          <w:tcPr>
            <w:tcW w:w="1183" w:type="dxa"/>
            <w:tcBorders>
              <w:left w:val="single" w:sz="4" w:space="0" w:color="auto"/>
              <w:right w:val="single" w:sz="4" w:space="0" w:color="auto"/>
            </w:tcBorders>
            <w:shd w:val="clear" w:color="auto" w:fill="auto"/>
            <w:vAlign w:val="center"/>
          </w:tcPr>
          <w:p w14:paraId="6CD7376B" w14:textId="77777777" w:rsidR="00DB215C" w:rsidRPr="00DB215C" w:rsidRDefault="00DB215C" w:rsidP="00DB215C">
            <w:pPr>
              <w:spacing w:after="120"/>
              <w:ind w:right="227"/>
              <w:jc w:val="right"/>
              <w:rPr>
                <w:rFonts w:eastAsia="Calibri"/>
                <w:sz w:val="18"/>
                <w:szCs w:val="18"/>
                <w:lang w:val="en-US" w:eastAsia="en-US"/>
              </w:rPr>
            </w:pPr>
            <w:r w:rsidRPr="00DB215C">
              <w:rPr>
                <w:rFonts w:eastAsia="Calibri"/>
                <w:sz w:val="18"/>
                <w:szCs w:val="18"/>
                <w:lang w:val="en-US" w:eastAsia="en-US"/>
              </w:rPr>
              <w:t>0.03</w:t>
            </w:r>
          </w:p>
        </w:tc>
        <w:tc>
          <w:tcPr>
            <w:tcW w:w="1134" w:type="dxa"/>
            <w:tcBorders>
              <w:top w:val="nil"/>
              <w:left w:val="single" w:sz="4" w:space="0" w:color="auto"/>
              <w:bottom w:val="nil"/>
              <w:right w:val="single" w:sz="4" w:space="0" w:color="auto"/>
            </w:tcBorders>
            <w:shd w:val="clear" w:color="auto" w:fill="auto"/>
            <w:vAlign w:val="center"/>
          </w:tcPr>
          <w:p w14:paraId="1775F504" w14:textId="77777777" w:rsidR="00DB215C" w:rsidRPr="00DB215C" w:rsidRDefault="00DB215C" w:rsidP="00DB215C">
            <w:pPr>
              <w:spacing w:after="120"/>
              <w:ind w:right="170"/>
              <w:jc w:val="right"/>
              <w:rPr>
                <w:rFonts w:eastAsia="Calibri"/>
                <w:sz w:val="18"/>
                <w:szCs w:val="18"/>
                <w:lang w:val="en-US" w:eastAsia="en-US"/>
              </w:rPr>
            </w:pPr>
            <w:r w:rsidRPr="00DB215C">
              <w:rPr>
                <w:rFonts w:eastAsia="Calibri"/>
                <w:sz w:val="18"/>
                <w:szCs w:val="18"/>
                <w:lang w:val="en-US" w:eastAsia="en-US"/>
              </w:rPr>
              <w:t>-0.03</w:t>
            </w:r>
          </w:p>
        </w:tc>
        <w:tc>
          <w:tcPr>
            <w:tcW w:w="1134" w:type="dxa"/>
            <w:tcBorders>
              <w:top w:val="nil"/>
              <w:left w:val="single" w:sz="4" w:space="0" w:color="auto"/>
              <w:bottom w:val="nil"/>
              <w:right w:val="single" w:sz="4" w:space="0" w:color="auto"/>
            </w:tcBorders>
            <w:shd w:val="clear" w:color="auto" w:fill="auto"/>
            <w:vAlign w:val="center"/>
          </w:tcPr>
          <w:p w14:paraId="234558B8" w14:textId="77777777" w:rsidR="00DB215C" w:rsidRPr="00DB215C" w:rsidRDefault="00DB215C" w:rsidP="00DB215C">
            <w:pPr>
              <w:spacing w:after="120"/>
              <w:ind w:right="284"/>
              <w:jc w:val="right"/>
              <w:rPr>
                <w:rFonts w:eastAsia="Calibri"/>
                <w:bCs/>
                <w:sz w:val="18"/>
                <w:szCs w:val="18"/>
                <w:lang w:val="en-US" w:eastAsia="en-US"/>
              </w:rPr>
            </w:pPr>
            <w:r w:rsidRPr="00DB215C">
              <w:rPr>
                <w:rFonts w:eastAsia="Calibri"/>
                <w:bCs/>
                <w:sz w:val="18"/>
                <w:szCs w:val="18"/>
                <w:lang w:val="en-US" w:eastAsia="en-US"/>
              </w:rPr>
              <w:t>0.00</w:t>
            </w:r>
          </w:p>
        </w:tc>
      </w:tr>
      <w:tr w:rsidR="00DB215C" w:rsidRPr="00DB215C" w14:paraId="3460D9FE" w14:textId="77777777" w:rsidTr="00DB215C">
        <w:trPr>
          <w:trHeight w:val="261"/>
          <w:jc w:val="center"/>
        </w:trPr>
        <w:tc>
          <w:tcPr>
            <w:tcW w:w="2835" w:type="dxa"/>
            <w:tcBorders>
              <w:top w:val="nil"/>
              <w:left w:val="single" w:sz="4" w:space="0" w:color="auto"/>
              <w:bottom w:val="nil"/>
              <w:right w:val="single" w:sz="4" w:space="0" w:color="auto"/>
            </w:tcBorders>
            <w:shd w:val="clear" w:color="auto" w:fill="auto"/>
            <w:vAlign w:val="center"/>
          </w:tcPr>
          <w:p w14:paraId="03F50300" w14:textId="77777777" w:rsidR="00DB215C" w:rsidRPr="00DB215C" w:rsidRDefault="00DB215C" w:rsidP="00DB215C">
            <w:pPr>
              <w:rPr>
                <w:rFonts w:eastAsia="Calibri"/>
                <w:b/>
                <w:bCs/>
                <w:sz w:val="18"/>
                <w:szCs w:val="18"/>
                <w:lang w:eastAsia="en-US"/>
              </w:rPr>
            </w:pPr>
            <w:r w:rsidRPr="00DB215C">
              <w:rPr>
                <w:rFonts w:eastAsia="Calibri"/>
                <w:b/>
                <w:bCs/>
                <w:sz w:val="18"/>
                <w:szCs w:val="18"/>
                <w:lang w:eastAsia="en-US"/>
              </w:rPr>
              <w:t>Consumo</w:t>
            </w:r>
          </w:p>
        </w:tc>
        <w:tc>
          <w:tcPr>
            <w:tcW w:w="1276" w:type="dxa"/>
            <w:tcBorders>
              <w:left w:val="single" w:sz="4" w:space="0" w:color="auto"/>
              <w:right w:val="single" w:sz="4" w:space="0" w:color="auto"/>
            </w:tcBorders>
            <w:shd w:val="clear" w:color="auto" w:fill="auto"/>
            <w:vAlign w:val="center"/>
          </w:tcPr>
          <w:p w14:paraId="6980CE72" w14:textId="77777777" w:rsidR="00DB215C" w:rsidRPr="00DB215C" w:rsidRDefault="00DB215C" w:rsidP="00DB215C">
            <w:pPr>
              <w:ind w:right="284"/>
              <w:jc w:val="right"/>
              <w:rPr>
                <w:rFonts w:eastAsia="Calibri"/>
                <w:b/>
                <w:sz w:val="18"/>
                <w:szCs w:val="18"/>
                <w:lang w:eastAsia="en-US"/>
              </w:rPr>
            </w:pPr>
            <w:r w:rsidRPr="00DB215C">
              <w:rPr>
                <w:rFonts w:eastAsia="Calibri"/>
                <w:b/>
                <w:sz w:val="18"/>
                <w:szCs w:val="18"/>
                <w:lang w:eastAsia="en-US"/>
              </w:rPr>
              <w:t>14.01</w:t>
            </w:r>
          </w:p>
        </w:tc>
        <w:tc>
          <w:tcPr>
            <w:tcW w:w="1134" w:type="dxa"/>
            <w:tcBorders>
              <w:top w:val="nil"/>
              <w:left w:val="single" w:sz="4" w:space="0" w:color="auto"/>
              <w:bottom w:val="nil"/>
              <w:right w:val="single" w:sz="4" w:space="0" w:color="auto"/>
            </w:tcBorders>
            <w:shd w:val="clear" w:color="auto" w:fill="auto"/>
            <w:vAlign w:val="center"/>
          </w:tcPr>
          <w:p w14:paraId="0D7CD524" w14:textId="77777777" w:rsidR="00DB215C" w:rsidRPr="00DB215C" w:rsidRDefault="00DB215C" w:rsidP="00DB215C">
            <w:pPr>
              <w:ind w:right="227"/>
              <w:jc w:val="right"/>
              <w:rPr>
                <w:rFonts w:eastAsia="Calibri"/>
                <w:b/>
                <w:sz w:val="18"/>
                <w:szCs w:val="18"/>
                <w:lang w:eastAsia="en-US"/>
              </w:rPr>
            </w:pPr>
            <w:r w:rsidRPr="00DB215C">
              <w:rPr>
                <w:rFonts w:eastAsia="Calibri"/>
                <w:b/>
                <w:sz w:val="18"/>
                <w:szCs w:val="18"/>
                <w:lang w:eastAsia="en-US"/>
              </w:rPr>
              <w:t>14.62</w:t>
            </w:r>
          </w:p>
        </w:tc>
        <w:tc>
          <w:tcPr>
            <w:tcW w:w="1183" w:type="dxa"/>
            <w:tcBorders>
              <w:left w:val="single" w:sz="4" w:space="0" w:color="auto"/>
              <w:right w:val="single" w:sz="4" w:space="0" w:color="auto"/>
            </w:tcBorders>
            <w:shd w:val="clear" w:color="auto" w:fill="auto"/>
            <w:vAlign w:val="center"/>
          </w:tcPr>
          <w:p w14:paraId="090984DF" w14:textId="77777777" w:rsidR="00DB215C" w:rsidRPr="00DB215C" w:rsidRDefault="00DB215C" w:rsidP="00DB215C">
            <w:pPr>
              <w:ind w:right="227"/>
              <w:jc w:val="right"/>
              <w:rPr>
                <w:rFonts w:eastAsia="Calibri"/>
                <w:b/>
                <w:sz w:val="18"/>
                <w:szCs w:val="18"/>
                <w:lang w:eastAsia="en-US"/>
              </w:rPr>
            </w:pPr>
            <w:r w:rsidRPr="00DB215C">
              <w:rPr>
                <w:rFonts w:eastAsia="Calibri"/>
                <w:b/>
                <w:sz w:val="18"/>
                <w:szCs w:val="18"/>
                <w:lang w:eastAsia="en-US"/>
              </w:rPr>
              <w:t>14.69</w:t>
            </w:r>
          </w:p>
        </w:tc>
        <w:tc>
          <w:tcPr>
            <w:tcW w:w="1134" w:type="dxa"/>
            <w:tcBorders>
              <w:top w:val="nil"/>
              <w:left w:val="single" w:sz="4" w:space="0" w:color="auto"/>
              <w:bottom w:val="nil"/>
              <w:right w:val="single" w:sz="4" w:space="0" w:color="auto"/>
            </w:tcBorders>
            <w:shd w:val="clear" w:color="auto" w:fill="auto"/>
            <w:vAlign w:val="center"/>
          </w:tcPr>
          <w:p w14:paraId="4D3B1ABB" w14:textId="77777777" w:rsidR="00DB215C" w:rsidRPr="00DB215C" w:rsidRDefault="00DB215C" w:rsidP="00DB215C">
            <w:pPr>
              <w:ind w:right="170"/>
              <w:jc w:val="right"/>
              <w:rPr>
                <w:rFonts w:eastAsia="Calibri"/>
                <w:b/>
                <w:sz w:val="18"/>
                <w:szCs w:val="18"/>
                <w:lang w:eastAsia="en-US"/>
              </w:rPr>
            </w:pPr>
            <w:r w:rsidRPr="00DB215C">
              <w:rPr>
                <w:rFonts w:eastAsia="Calibri"/>
                <w:b/>
                <w:sz w:val="18"/>
                <w:szCs w:val="18"/>
                <w:lang w:eastAsia="en-US"/>
              </w:rPr>
              <w:t>0.68</w:t>
            </w:r>
          </w:p>
        </w:tc>
        <w:tc>
          <w:tcPr>
            <w:tcW w:w="1134" w:type="dxa"/>
            <w:tcBorders>
              <w:top w:val="nil"/>
              <w:left w:val="single" w:sz="4" w:space="0" w:color="auto"/>
              <w:bottom w:val="nil"/>
              <w:right w:val="single" w:sz="4" w:space="0" w:color="auto"/>
            </w:tcBorders>
            <w:shd w:val="clear" w:color="auto" w:fill="auto"/>
            <w:vAlign w:val="center"/>
          </w:tcPr>
          <w:p w14:paraId="6F7D48DB" w14:textId="77777777" w:rsidR="00DB215C" w:rsidRPr="00DB215C" w:rsidRDefault="00DB215C" w:rsidP="00DB215C">
            <w:pPr>
              <w:ind w:right="284"/>
              <w:jc w:val="right"/>
              <w:rPr>
                <w:rFonts w:eastAsia="Calibri"/>
                <w:b/>
                <w:bCs/>
                <w:sz w:val="18"/>
                <w:szCs w:val="18"/>
                <w:lang w:eastAsia="en-US"/>
              </w:rPr>
            </w:pPr>
            <w:r w:rsidRPr="00DB215C">
              <w:rPr>
                <w:rFonts w:eastAsia="Calibri"/>
                <w:b/>
                <w:bCs/>
                <w:sz w:val="18"/>
                <w:szCs w:val="18"/>
                <w:lang w:eastAsia="en-US"/>
              </w:rPr>
              <w:t>0.08</w:t>
            </w:r>
          </w:p>
        </w:tc>
      </w:tr>
      <w:tr w:rsidR="00DB215C" w:rsidRPr="00DB215C" w14:paraId="4D1A5E7C" w14:textId="77777777" w:rsidTr="00DB215C">
        <w:trPr>
          <w:trHeight w:val="261"/>
          <w:jc w:val="center"/>
        </w:trPr>
        <w:tc>
          <w:tcPr>
            <w:tcW w:w="2835" w:type="dxa"/>
            <w:tcBorders>
              <w:top w:val="nil"/>
              <w:left w:val="single" w:sz="4" w:space="0" w:color="auto"/>
              <w:bottom w:val="nil"/>
              <w:right w:val="single" w:sz="4" w:space="0" w:color="auto"/>
            </w:tcBorders>
            <w:shd w:val="clear" w:color="auto" w:fill="auto"/>
            <w:vAlign w:val="center"/>
          </w:tcPr>
          <w:p w14:paraId="0297B66D" w14:textId="77777777" w:rsidR="00DB215C" w:rsidRPr="00DB215C" w:rsidRDefault="00DB215C" w:rsidP="00DB215C">
            <w:pPr>
              <w:ind w:left="170"/>
              <w:rPr>
                <w:rFonts w:eastAsia="Calibri"/>
                <w:bCs/>
                <w:sz w:val="18"/>
                <w:szCs w:val="18"/>
                <w:lang w:eastAsia="en-US"/>
              </w:rPr>
            </w:pPr>
            <w:r w:rsidRPr="00DB215C">
              <w:rPr>
                <w:rFonts w:eastAsia="Calibri"/>
                <w:bCs/>
                <w:sz w:val="18"/>
                <w:szCs w:val="18"/>
                <w:lang w:eastAsia="en-US"/>
              </w:rPr>
              <w:t>Tarjeta de crédito</w:t>
            </w:r>
          </w:p>
        </w:tc>
        <w:tc>
          <w:tcPr>
            <w:tcW w:w="1276" w:type="dxa"/>
            <w:tcBorders>
              <w:left w:val="single" w:sz="4" w:space="0" w:color="auto"/>
              <w:right w:val="single" w:sz="4" w:space="0" w:color="auto"/>
            </w:tcBorders>
            <w:shd w:val="clear" w:color="auto" w:fill="auto"/>
            <w:vAlign w:val="center"/>
          </w:tcPr>
          <w:p w14:paraId="113E1C36" w14:textId="77777777" w:rsidR="00DB215C" w:rsidRPr="00DB215C" w:rsidRDefault="00DB215C" w:rsidP="00DB215C">
            <w:pPr>
              <w:ind w:right="284"/>
              <w:jc w:val="right"/>
              <w:rPr>
                <w:rFonts w:eastAsia="Calibri"/>
                <w:sz w:val="18"/>
                <w:szCs w:val="18"/>
                <w:lang w:eastAsia="en-US"/>
              </w:rPr>
            </w:pPr>
            <w:r w:rsidRPr="00DB215C">
              <w:rPr>
                <w:rFonts w:eastAsia="Calibri"/>
                <w:sz w:val="18"/>
                <w:szCs w:val="18"/>
                <w:lang w:eastAsia="en-US"/>
              </w:rPr>
              <w:t>15.08</w:t>
            </w:r>
          </w:p>
        </w:tc>
        <w:tc>
          <w:tcPr>
            <w:tcW w:w="1134" w:type="dxa"/>
            <w:tcBorders>
              <w:top w:val="nil"/>
              <w:left w:val="single" w:sz="4" w:space="0" w:color="auto"/>
              <w:bottom w:val="nil"/>
              <w:right w:val="single" w:sz="4" w:space="0" w:color="auto"/>
            </w:tcBorders>
            <w:shd w:val="clear" w:color="auto" w:fill="auto"/>
            <w:vAlign w:val="center"/>
          </w:tcPr>
          <w:p w14:paraId="16CD0855" w14:textId="77777777" w:rsidR="00DB215C" w:rsidRPr="00DB215C" w:rsidRDefault="00DB215C" w:rsidP="00DB215C">
            <w:pPr>
              <w:ind w:right="227"/>
              <w:jc w:val="right"/>
              <w:rPr>
                <w:rFonts w:eastAsia="Calibri"/>
                <w:sz w:val="18"/>
                <w:szCs w:val="18"/>
                <w:lang w:eastAsia="en-US"/>
              </w:rPr>
            </w:pPr>
            <w:r w:rsidRPr="00DB215C">
              <w:rPr>
                <w:rFonts w:eastAsia="Calibri"/>
                <w:sz w:val="18"/>
                <w:szCs w:val="18"/>
                <w:lang w:eastAsia="en-US"/>
              </w:rPr>
              <w:t>16.55</w:t>
            </w:r>
          </w:p>
        </w:tc>
        <w:tc>
          <w:tcPr>
            <w:tcW w:w="1183" w:type="dxa"/>
            <w:tcBorders>
              <w:left w:val="single" w:sz="4" w:space="0" w:color="auto"/>
              <w:right w:val="single" w:sz="4" w:space="0" w:color="auto"/>
            </w:tcBorders>
            <w:shd w:val="clear" w:color="auto" w:fill="auto"/>
            <w:vAlign w:val="center"/>
          </w:tcPr>
          <w:p w14:paraId="52C55EA6" w14:textId="77777777" w:rsidR="00DB215C" w:rsidRPr="00DB215C" w:rsidRDefault="00DB215C" w:rsidP="00DB215C">
            <w:pPr>
              <w:ind w:right="227"/>
              <w:jc w:val="right"/>
              <w:rPr>
                <w:rFonts w:eastAsia="Calibri"/>
                <w:sz w:val="18"/>
                <w:szCs w:val="18"/>
                <w:lang w:eastAsia="en-US"/>
              </w:rPr>
            </w:pPr>
            <w:r w:rsidRPr="00DB215C">
              <w:rPr>
                <w:rFonts w:eastAsia="Calibri"/>
                <w:sz w:val="18"/>
                <w:szCs w:val="18"/>
                <w:lang w:eastAsia="en-US"/>
              </w:rPr>
              <w:t>16.75</w:t>
            </w:r>
          </w:p>
        </w:tc>
        <w:tc>
          <w:tcPr>
            <w:tcW w:w="1134" w:type="dxa"/>
            <w:tcBorders>
              <w:top w:val="nil"/>
              <w:left w:val="single" w:sz="4" w:space="0" w:color="auto"/>
              <w:bottom w:val="nil"/>
              <w:right w:val="single" w:sz="4" w:space="0" w:color="auto"/>
            </w:tcBorders>
            <w:shd w:val="clear" w:color="auto" w:fill="auto"/>
            <w:vAlign w:val="center"/>
          </w:tcPr>
          <w:p w14:paraId="78CCE1DD"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1.67</w:t>
            </w:r>
          </w:p>
        </w:tc>
        <w:tc>
          <w:tcPr>
            <w:tcW w:w="1134" w:type="dxa"/>
            <w:tcBorders>
              <w:top w:val="nil"/>
              <w:left w:val="single" w:sz="4" w:space="0" w:color="auto"/>
              <w:bottom w:val="nil"/>
              <w:right w:val="single" w:sz="4" w:space="0" w:color="auto"/>
            </w:tcBorders>
            <w:shd w:val="clear" w:color="auto" w:fill="auto"/>
            <w:vAlign w:val="center"/>
          </w:tcPr>
          <w:p w14:paraId="6701DA23" w14:textId="77777777" w:rsidR="00DB215C" w:rsidRPr="00DB215C" w:rsidRDefault="00DB215C" w:rsidP="00DB215C">
            <w:pPr>
              <w:ind w:right="284"/>
              <w:jc w:val="right"/>
              <w:rPr>
                <w:rFonts w:eastAsia="Calibri"/>
                <w:bCs/>
                <w:sz w:val="18"/>
                <w:szCs w:val="18"/>
                <w:lang w:eastAsia="en-US"/>
              </w:rPr>
            </w:pPr>
            <w:r w:rsidRPr="00DB215C">
              <w:rPr>
                <w:rFonts w:eastAsia="Calibri"/>
                <w:bCs/>
                <w:sz w:val="18"/>
                <w:szCs w:val="18"/>
                <w:lang w:eastAsia="en-US"/>
              </w:rPr>
              <w:t>0.21</w:t>
            </w:r>
          </w:p>
        </w:tc>
      </w:tr>
      <w:tr w:rsidR="00DB215C" w:rsidRPr="00DB215C" w14:paraId="4D63CA9A" w14:textId="77777777" w:rsidTr="00DB215C">
        <w:trPr>
          <w:trHeight w:val="271"/>
          <w:jc w:val="center"/>
        </w:trPr>
        <w:tc>
          <w:tcPr>
            <w:tcW w:w="2835" w:type="dxa"/>
            <w:tcBorders>
              <w:top w:val="nil"/>
              <w:left w:val="single" w:sz="4" w:space="0" w:color="auto"/>
              <w:bottom w:val="nil"/>
              <w:right w:val="single" w:sz="4" w:space="0" w:color="auto"/>
            </w:tcBorders>
            <w:shd w:val="clear" w:color="auto" w:fill="auto"/>
            <w:vAlign w:val="center"/>
          </w:tcPr>
          <w:p w14:paraId="07A798DC" w14:textId="77777777" w:rsidR="00DB215C" w:rsidRPr="00DB215C" w:rsidRDefault="00DB215C" w:rsidP="00DB215C">
            <w:pPr>
              <w:ind w:left="170"/>
              <w:rPr>
                <w:rFonts w:eastAsia="Calibri"/>
                <w:bCs/>
                <w:sz w:val="18"/>
                <w:szCs w:val="18"/>
                <w:lang w:eastAsia="en-US"/>
              </w:rPr>
            </w:pPr>
            <w:r w:rsidRPr="00DB215C">
              <w:rPr>
                <w:rFonts w:eastAsia="Calibri"/>
                <w:bCs/>
                <w:sz w:val="18"/>
                <w:szCs w:val="18"/>
                <w:lang w:eastAsia="en-US"/>
              </w:rPr>
              <w:t>Personales</w:t>
            </w:r>
          </w:p>
        </w:tc>
        <w:tc>
          <w:tcPr>
            <w:tcW w:w="1276" w:type="dxa"/>
            <w:tcBorders>
              <w:left w:val="single" w:sz="4" w:space="0" w:color="auto"/>
              <w:right w:val="single" w:sz="4" w:space="0" w:color="auto"/>
            </w:tcBorders>
            <w:shd w:val="clear" w:color="auto" w:fill="auto"/>
            <w:vAlign w:val="center"/>
          </w:tcPr>
          <w:p w14:paraId="439FF348" w14:textId="77777777" w:rsidR="00DB215C" w:rsidRPr="00DB215C" w:rsidRDefault="00DB215C" w:rsidP="00DB215C">
            <w:pPr>
              <w:ind w:right="284"/>
              <w:jc w:val="right"/>
              <w:rPr>
                <w:rFonts w:eastAsia="Calibri"/>
                <w:sz w:val="18"/>
                <w:szCs w:val="18"/>
                <w:lang w:eastAsia="en-US"/>
              </w:rPr>
            </w:pPr>
            <w:r w:rsidRPr="00DB215C">
              <w:rPr>
                <w:rFonts w:eastAsia="Calibri"/>
                <w:sz w:val="18"/>
                <w:szCs w:val="18"/>
                <w:lang w:eastAsia="en-US"/>
              </w:rPr>
              <w:t>15.68</w:t>
            </w:r>
          </w:p>
        </w:tc>
        <w:tc>
          <w:tcPr>
            <w:tcW w:w="1134" w:type="dxa"/>
            <w:tcBorders>
              <w:top w:val="nil"/>
              <w:left w:val="single" w:sz="4" w:space="0" w:color="auto"/>
              <w:bottom w:val="nil"/>
              <w:right w:val="single" w:sz="4" w:space="0" w:color="auto"/>
            </w:tcBorders>
            <w:shd w:val="clear" w:color="auto" w:fill="auto"/>
            <w:vAlign w:val="center"/>
          </w:tcPr>
          <w:p w14:paraId="6A44F64F" w14:textId="77777777" w:rsidR="00DB215C" w:rsidRPr="00DB215C" w:rsidRDefault="00DB215C" w:rsidP="00DB215C">
            <w:pPr>
              <w:ind w:right="227"/>
              <w:jc w:val="right"/>
              <w:rPr>
                <w:rFonts w:eastAsia="Calibri"/>
                <w:sz w:val="18"/>
                <w:szCs w:val="18"/>
                <w:lang w:eastAsia="en-US"/>
              </w:rPr>
            </w:pPr>
            <w:r w:rsidRPr="00DB215C">
              <w:rPr>
                <w:rFonts w:eastAsia="Calibri"/>
                <w:sz w:val="18"/>
                <w:szCs w:val="18"/>
                <w:lang w:eastAsia="en-US"/>
              </w:rPr>
              <w:t>17.97</w:t>
            </w:r>
          </w:p>
        </w:tc>
        <w:tc>
          <w:tcPr>
            <w:tcW w:w="1183" w:type="dxa"/>
            <w:tcBorders>
              <w:left w:val="single" w:sz="4" w:space="0" w:color="auto"/>
              <w:right w:val="single" w:sz="4" w:space="0" w:color="auto"/>
            </w:tcBorders>
            <w:shd w:val="clear" w:color="auto" w:fill="auto"/>
            <w:vAlign w:val="center"/>
          </w:tcPr>
          <w:p w14:paraId="72AA16C7" w14:textId="77777777" w:rsidR="00DB215C" w:rsidRPr="00DB215C" w:rsidRDefault="00DB215C" w:rsidP="00DB215C">
            <w:pPr>
              <w:ind w:right="227"/>
              <w:jc w:val="right"/>
              <w:rPr>
                <w:rFonts w:eastAsia="Calibri"/>
                <w:sz w:val="18"/>
                <w:szCs w:val="18"/>
                <w:lang w:eastAsia="en-US"/>
              </w:rPr>
            </w:pPr>
            <w:r w:rsidRPr="00DB215C">
              <w:rPr>
                <w:rFonts w:eastAsia="Calibri"/>
                <w:sz w:val="18"/>
                <w:szCs w:val="18"/>
                <w:lang w:eastAsia="en-US"/>
              </w:rPr>
              <w:t>18.07</w:t>
            </w:r>
          </w:p>
        </w:tc>
        <w:tc>
          <w:tcPr>
            <w:tcW w:w="1134" w:type="dxa"/>
            <w:tcBorders>
              <w:top w:val="nil"/>
              <w:left w:val="single" w:sz="4" w:space="0" w:color="auto"/>
              <w:bottom w:val="nil"/>
              <w:right w:val="single" w:sz="4" w:space="0" w:color="auto"/>
            </w:tcBorders>
            <w:shd w:val="clear" w:color="auto" w:fill="auto"/>
            <w:vAlign w:val="center"/>
          </w:tcPr>
          <w:p w14:paraId="0238C795"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2.39</w:t>
            </w:r>
          </w:p>
        </w:tc>
        <w:tc>
          <w:tcPr>
            <w:tcW w:w="1134" w:type="dxa"/>
            <w:tcBorders>
              <w:top w:val="nil"/>
              <w:left w:val="single" w:sz="4" w:space="0" w:color="auto"/>
              <w:bottom w:val="nil"/>
              <w:right w:val="single" w:sz="4" w:space="0" w:color="auto"/>
            </w:tcBorders>
            <w:shd w:val="clear" w:color="auto" w:fill="auto"/>
            <w:vAlign w:val="center"/>
          </w:tcPr>
          <w:p w14:paraId="574D5932" w14:textId="77777777" w:rsidR="00DB215C" w:rsidRPr="00DB215C" w:rsidRDefault="00DB215C" w:rsidP="00DB215C">
            <w:pPr>
              <w:ind w:right="284"/>
              <w:jc w:val="right"/>
              <w:rPr>
                <w:rFonts w:eastAsia="Calibri"/>
                <w:bCs/>
                <w:sz w:val="18"/>
                <w:szCs w:val="18"/>
                <w:lang w:eastAsia="en-US"/>
              </w:rPr>
            </w:pPr>
            <w:r w:rsidRPr="00DB215C">
              <w:rPr>
                <w:rFonts w:eastAsia="Calibri"/>
                <w:bCs/>
                <w:sz w:val="18"/>
                <w:szCs w:val="18"/>
                <w:lang w:eastAsia="en-US"/>
              </w:rPr>
              <w:t>0.11</w:t>
            </w:r>
          </w:p>
        </w:tc>
      </w:tr>
      <w:tr w:rsidR="00DB215C" w:rsidRPr="00DB215C" w14:paraId="10AB8DF1" w14:textId="77777777" w:rsidTr="00DB215C">
        <w:trPr>
          <w:trHeight w:val="271"/>
          <w:jc w:val="center"/>
        </w:trPr>
        <w:tc>
          <w:tcPr>
            <w:tcW w:w="2835" w:type="dxa"/>
            <w:tcBorders>
              <w:top w:val="nil"/>
              <w:left w:val="single" w:sz="4" w:space="0" w:color="auto"/>
              <w:bottom w:val="nil"/>
              <w:right w:val="single" w:sz="4" w:space="0" w:color="auto"/>
            </w:tcBorders>
            <w:shd w:val="clear" w:color="auto" w:fill="auto"/>
            <w:vAlign w:val="center"/>
          </w:tcPr>
          <w:p w14:paraId="086054F5" w14:textId="77777777" w:rsidR="00DB215C" w:rsidRPr="00DB215C" w:rsidRDefault="00DB215C" w:rsidP="00DB215C">
            <w:pPr>
              <w:ind w:left="170"/>
              <w:rPr>
                <w:rFonts w:eastAsia="Calibri"/>
                <w:bCs/>
                <w:sz w:val="18"/>
                <w:szCs w:val="18"/>
                <w:lang w:eastAsia="en-US"/>
              </w:rPr>
            </w:pPr>
            <w:r w:rsidRPr="00DB215C">
              <w:rPr>
                <w:rFonts w:eastAsia="Calibri"/>
                <w:bCs/>
                <w:sz w:val="18"/>
                <w:szCs w:val="18"/>
                <w:lang w:eastAsia="en-US"/>
              </w:rPr>
              <w:t>Nómina</w:t>
            </w:r>
          </w:p>
        </w:tc>
        <w:tc>
          <w:tcPr>
            <w:tcW w:w="1276" w:type="dxa"/>
            <w:tcBorders>
              <w:left w:val="single" w:sz="4" w:space="0" w:color="auto"/>
              <w:right w:val="single" w:sz="4" w:space="0" w:color="auto"/>
            </w:tcBorders>
            <w:shd w:val="clear" w:color="auto" w:fill="auto"/>
            <w:vAlign w:val="center"/>
          </w:tcPr>
          <w:p w14:paraId="72A7FAC4" w14:textId="77777777" w:rsidR="00DB215C" w:rsidRPr="00DB215C" w:rsidRDefault="00DB215C" w:rsidP="00DB215C">
            <w:pPr>
              <w:ind w:right="284"/>
              <w:jc w:val="right"/>
              <w:rPr>
                <w:rFonts w:eastAsia="Calibri"/>
                <w:sz w:val="18"/>
                <w:szCs w:val="18"/>
                <w:lang w:eastAsia="en-US"/>
              </w:rPr>
            </w:pPr>
            <w:r w:rsidRPr="00DB215C">
              <w:rPr>
                <w:rFonts w:eastAsia="Calibri"/>
                <w:sz w:val="18"/>
                <w:szCs w:val="18"/>
                <w:lang w:eastAsia="en-US"/>
              </w:rPr>
              <w:t>12.13</w:t>
            </w:r>
          </w:p>
        </w:tc>
        <w:tc>
          <w:tcPr>
            <w:tcW w:w="1134" w:type="dxa"/>
            <w:tcBorders>
              <w:top w:val="nil"/>
              <w:left w:val="single" w:sz="4" w:space="0" w:color="auto"/>
              <w:bottom w:val="nil"/>
              <w:right w:val="single" w:sz="4" w:space="0" w:color="auto"/>
            </w:tcBorders>
            <w:shd w:val="clear" w:color="auto" w:fill="auto"/>
            <w:vAlign w:val="center"/>
          </w:tcPr>
          <w:p w14:paraId="314C2126" w14:textId="77777777" w:rsidR="00DB215C" w:rsidRPr="00DB215C" w:rsidRDefault="00DB215C" w:rsidP="00DB215C">
            <w:pPr>
              <w:ind w:right="227"/>
              <w:jc w:val="right"/>
              <w:rPr>
                <w:rFonts w:eastAsia="Calibri"/>
                <w:sz w:val="18"/>
                <w:szCs w:val="18"/>
                <w:lang w:eastAsia="en-US"/>
              </w:rPr>
            </w:pPr>
            <w:r w:rsidRPr="00DB215C">
              <w:rPr>
                <w:rFonts w:eastAsia="Calibri"/>
                <w:sz w:val="18"/>
                <w:szCs w:val="18"/>
                <w:lang w:eastAsia="en-US"/>
              </w:rPr>
              <w:t>11.61</w:t>
            </w:r>
          </w:p>
        </w:tc>
        <w:tc>
          <w:tcPr>
            <w:tcW w:w="1183" w:type="dxa"/>
            <w:tcBorders>
              <w:left w:val="single" w:sz="4" w:space="0" w:color="auto"/>
              <w:right w:val="single" w:sz="4" w:space="0" w:color="auto"/>
            </w:tcBorders>
            <w:shd w:val="clear" w:color="auto" w:fill="auto"/>
            <w:vAlign w:val="center"/>
          </w:tcPr>
          <w:p w14:paraId="50A070AA" w14:textId="77777777" w:rsidR="00DB215C" w:rsidRPr="00DB215C" w:rsidRDefault="00DB215C" w:rsidP="00DB215C">
            <w:pPr>
              <w:ind w:right="227"/>
              <w:jc w:val="right"/>
              <w:rPr>
                <w:rFonts w:eastAsia="Calibri"/>
                <w:sz w:val="18"/>
                <w:szCs w:val="18"/>
                <w:lang w:eastAsia="en-US"/>
              </w:rPr>
            </w:pPr>
            <w:r w:rsidRPr="00DB215C">
              <w:rPr>
                <w:rFonts w:eastAsia="Calibri"/>
                <w:sz w:val="18"/>
                <w:szCs w:val="18"/>
                <w:lang w:eastAsia="en-US"/>
              </w:rPr>
              <w:t>11.42</w:t>
            </w:r>
          </w:p>
        </w:tc>
        <w:tc>
          <w:tcPr>
            <w:tcW w:w="1134" w:type="dxa"/>
            <w:tcBorders>
              <w:top w:val="nil"/>
              <w:left w:val="single" w:sz="4" w:space="0" w:color="auto"/>
              <w:bottom w:val="nil"/>
              <w:right w:val="single" w:sz="4" w:space="0" w:color="auto"/>
            </w:tcBorders>
            <w:shd w:val="clear" w:color="auto" w:fill="auto"/>
            <w:vAlign w:val="center"/>
          </w:tcPr>
          <w:p w14:paraId="360F1D00"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-0.71</w:t>
            </w:r>
          </w:p>
        </w:tc>
        <w:tc>
          <w:tcPr>
            <w:tcW w:w="1134" w:type="dxa"/>
            <w:tcBorders>
              <w:top w:val="nil"/>
              <w:left w:val="single" w:sz="4" w:space="0" w:color="auto"/>
              <w:bottom w:val="nil"/>
              <w:right w:val="single" w:sz="4" w:space="0" w:color="auto"/>
            </w:tcBorders>
            <w:shd w:val="clear" w:color="auto" w:fill="auto"/>
            <w:vAlign w:val="center"/>
          </w:tcPr>
          <w:p w14:paraId="7CD84A69" w14:textId="77777777" w:rsidR="00DB215C" w:rsidRPr="00DB215C" w:rsidRDefault="00DB215C" w:rsidP="00DB215C">
            <w:pPr>
              <w:ind w:right="284"/>
              <w:jc w:val="right"/>
              <w:rPr>
                <w:rFonts w:eastAsia="Calibri"/>
                <w:bCs/>
                <w:sz w:val="18"/>
                <w:szCs w:val="18"/>
                <w:lang w:eastAsia="en-US"/>
              </w:rPr>
            </w:pPr>
            <w:r w:rsidRPr="00DB215C">
              <w:rPr>
                <w:rFonts w:eastAsia="Calibri"/>
                <w:bCs/>
                <w:sz w:val="18"/>
                <w:szCs w:val="18"/>
                <w:lang w:eastAsia="en-US"/>
              </w:rPr>
              <w:t>-0.18</w:t>
            </w:r>
          </w:p>
        </w:tc>
      </w:tr>
      <w:tr w:rsidR="00DB215C" w:rsidRPr="00DB215C" w14:paraId="64FB936A" w14:textId="77777777" w:rsidTr="00DB215C">
        <w:trPr>
          <w:trHeight w:val="271"/>
          <w:jc w:val="center"/>
        </w:trPr>
        <w:tc>
          <w:tcPr>
            <w:tcW w:w="2835" w:type="dxa"/>
            <w:tcBorders>
              <w:top w:val="nil"/>
              <w:left w:val="single" w:sz="4" w:space="0" w:color="auto"/>
              <w:bottom w:val="nil"/>
              <w:right w:val="single" w:sz="4" w:space="0" w:color="auto"/>
            </w:tcBorders>
            <w:shd w:val="clear" w:color="auto" w:fill="auto"/>
            <w:vAlign w:val="center"/>
          </w:tcPr>
          <w:p w14:paraId="20710A54" w14:textId="77777777" w:rsidR="00DB215C" w:rsidRPr="00DB215C" w:rsidRDefault="00DB215C" w:rsidP="00DB215C">
            <w:pPr>
              <w:ind w:left="170"/>
              <w:rPr>
                <w:rFonts w:eastAsia="Calibri"/>
                <w:bCs/>
                <w:sz w:val="18"/>
                <w:szCs w:val="18"/>
                <w:lang w:eastAsia="en-US"/>
              </w:rPr>
            </w:pPr>
            <w:r w:rsidRPr="00DB215C">
              <w:rPr>
                <w:rFonts w:eastAsia="Calibri"/>
                <w:bCs/>
                <w:sz w:val="18"/>
                <w:szCs w:val="18"/>
                <w:lang w:eastAsia="en-US"/>
              </w:rPr>
              <w:t>ABCD</w:t>
            </w:r>
          </w:p>
        </w:tc>
        <w:tc>
          <w:tcPr>
            <w:tcW w:w="1276" w:type="dxa"/>
            <w:tcBorders>
              <w:left w:val="single" w:sz="4" w:space="0" w:color="auto"/>
              <w:right w:val="single" w:sz="4" w:space="0" w:color="auto"/>
            </w:tcBorders>
            <w:shd w:val="clear" w:color="auto" w:fill="auto"/>
            <w:vAlign w:val="center"/>
          </w:tcPr>
          <w:p w14:paraId="2BA5FFB3" w14:textId="77777777" w:rsidR="00DB215C" w:rsidRPr="00DB215C" w:rsidRDefault="00DB215C" w:rsidP="00DB215C">
            <w:pPr>
              <w:ind w:right="284"/>
              <w:jc w:val="right"/>
              <w:rPr>
                <w:rFonts w:eastAsia="Calibri"/>
                <w:sz w:val="18"/>
                <w:szCs w:val="18"/>
                <w:lang w:eastAsia="en-US"/>
              </w:rPr>
            </w:pPr>
            <w:r w:rsidRPr="00DB215C">
              <w:rPr>
                <w:rFonts w:eastAsia="Calibri"/>
                <w:sz w:val="18"/>
                <w:szCs w:val="18"/>
                <w:lang w:eastAsia="en-US"/>
              </w:rPr>
              <w:t>9.66</w:t>
            </w:r>
          </w:p>
        </w:tc>
        <w:tc>
          <w:tcPr>
            <w:tcW w:w="1134" w:type="dxa"/>
            <w:tcBorders>
              <w:top w:val="nil"/>
              <w:left w:val="single" w:sz="4" w:space="0" w:color="auto"/>
              <w:bottom w:val="nil"/>
              <w:right w:val="single" w:sz="4" w:space="0" w:color="auto"/>
            </w:tcBorders>
            <w:shd w:val="clear" w:color="auto" w:fill="auto"/>
            <w:vAlign w:val="center"/>
          </w:tcPr>
          <w:p w14:paraId="1A4F3EEF" w14:textId="77777777" w:rsidR="00DB215C" w:rsidRPr="00DB215C" w:rsidRDefault="00DB215C" w:rsidP="00DB215C">
            <w:pPr>
              <w:ind w:right="227"/>
              <w:jc w:val="right"/>
              <w:rPr>
                <w:rFonts w:eastAsia="Calibri"/>
                <w:sz w:val="18"/>
                <w:szCs w:val="18"/>
                <w:lang w:eastAsia="en-US"/>
              </w:rPr>
            </w:pPr>
            <w:r w:rsidRPr="00DB215C">
              <w:rPr>
                <w:rFonts w:eastAsia="Calibri"/>
                <w:sz w:val="18"/>
                <w:szCs w:val="18"/>
                <w:lang w:eastAsia="en-US"/>
              </w:rPr>
              <w:t>6.94</w:t>
            </w:r>
          </w:p>
        </w:tc>
        <w:tc>
          <w:tcPr>
            <w:tcW w:w="1183" w:type="dxa"/>
            <w:tcBorders>
              <w:left w:val="single" w:sz="4" w:space="0" w:color="auto"/>
              <w:right w:val="single" w:sz="4" w:space="0" w:color="auto"/>
            </w:tcBorders>
            <w:shd w:val="clear" w:color="auto" w:fill="auto"/>
            <w:vAlign w:val="center"/>
          </w:tcPr>
          <w:p w14:paraId="6D2E268C" w14:textId="77777777" w:rsidR="00DB215C" w:rsidRPr="00DB215C" w:rsidRDefault="00DB215C" w:rsidP="00DB215C">
            <w:pPr>
              <w:ind w:right="227"/>
              <w:jc w:val="right"/>
              <w:rPr>
                <w:rFonts w:eastAsia="Calibri"/>
                <w:sz w:val="18"/>
                <w:szCs w:val="18"/>
                <w:lang w:eastAsia="en-US"/>
              </w:rPr>
            </w:pPr>
            <w:r w:rsidRPr="00DB215C">
              <w:rPr>
                <w:rFonts w:eastAsia="Calibri"/>
                <w:sz w:val="18"/>
                <w:szCs w:val="18"/>
                <w:lang w:eastAsia="en-US"/>
              </w:rPr>
              <w:t>7.11</w:t>
            </w:r>
          </w:p>
        </w:tc>
        <w:tc>
          <w:tcPr>
            <w:tcW w:w="1134" w:type="dxa"/>
            <w:tcBorders>
              <w:top w:val="nil"/>
              <w:left w:val="single" w:sz="4" w:space="0" w:color="auto"/>
              <w:bottom w:val="nil"/>
              <w:right w:val="single" w:sz="4" w:space="0" w:color="auto"/>
            </w:tcBorders>
            <w:shd w:val="clear" w:color="auto" w:fill="auto"/>
            <w:vAlign w:val="center"/>
          </w:tcPr>
          <w:p w14:paraId="1E89ACE4"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-2.54</w:t>
            </w:r>
          </w:p>
        </w:tc>
        <w:tc>
          <w:tcPr>
            <w:tcW w:w="1134" w:type="dxa"/>
            <w:tcBorders>
              <w:top w:val="nil"/>
              <w:left w:val="single" w:sz="4" w:space="0" w:color="auto"/>
              <w:bottom w:val="nil"/>
              <w:right w:val="single" w:sz="4" w:space="0" w:color="auto"/>
            </w:tcBorders>
            <w:shd w:val="clear" w:color="auto" w:fill="auto"/>
            <w:vAlign w:val="center"/>
          </w:tcPr>
          <w:p w14:paraId="22BA6D30" w14:textId="77777777" w:rsidR="00DB215C" w:rsidRPr="00DB215C" w:rsidRDefault="00DB215C" w:rsidP="00DB215C">
            <w:pPr>
              <w:ind w:right="284"/>
              <w:jc w:val="right"/>
              <w:rPr>
                <w:rFonts w:eastAsia="Calibri"/>
                <w:bCs/>
                <w:sz w:val="18"/>
                <w:szCs w:val="18"/>
                <w:lang w:eastAsia="en-US"/>
              </w:rPr>
            </w:pPr>
            <w:r w:rsidRPr="00DB215C">
              <w:rPr>
                <w:rFonts w:eastAsia="Calibri"/>
                <w:bCs/>
                <w:sz w:val="18"/>
                <w:szCs w:val="18"/>
                <w:lang w:eastAsia="en-US"/>
              </w:rPr>
              <w:t>0.18</w:t>
            </w:r>
          </w:p>
        </w:tc>
      </w:tr>
      <w:tr w:rsidR="00DB215C" w:rsidRPr="00DB215C" w14:paraId="574BE4BC" w14:textId="77777777" w:rsidTr="00DB215C">
        <w:trPr>
          <w:trHeight w:val="271"/>
          <w:jc w:val="center"/>
        </w:trPr>
        <w:tc>
          <w:tcPr>
            <w:tcW w:w="2835" w:type="dxa"/>
            <w:tcBorders>
              <w:top w:val="nil"/>
              <w:left w:val="single" w:sz="4" w:space="0" w:color="auto"/>
              <w:bottom w:val="nil"/>
              <w:right w:val="single" w:sz="4" w:space="0" w:color="auto"/>
            </w:tcBorders>
            <w:shd w:val="clear" w:color="auto" w:fill="auto"/>
            <w:vAlign w:val="center"/>
          </w:tcPr>
          <w:p w14:paraId="22534691" w14:textId="77777777" w:rsidR="00DB215C" w:rsidRPr="00DB215C" w:rsidRDefault="00DB215C" w:rsidP="00DB215C">
            <w:pPr>
              <w:ind w:left="340"/>
              <w:rPr>
                <w:rFonts w:eastAsia="Calibri"/>
                <w:bCs/>
                <w:sz w:val="18"/>
                <w:szCs w:val="18"/>
                <w:lang w:eastAsia="en-US"/>
              </w:rPr>
            </w:pPr>
            <w:r w:rsidRPr="00DB215C">
              <w:rPr>
                <w:rFonts w:eastAsia="Calibri"/>
                <w:bCs/>
                <w:sz w:val="18"/>
                <w:szCs w:val="18"/>
                <w:lang w:eastAsia="en-US"/>
              </w:rPr>
              <w:t>Automotriz</w:t>
            </w:r>
          </w:p>
        </w:tc>
        <w:tc>
          <w:tcPr>
            <w:tcW w:w="1276" w:type="dxa"/>
            <w:tcBorders>
              <w:left w:val="single" w:sz="4" w:space="0" w:color="auto"/>
              <w:right w:val="single" w:sz="4" w:space="0" w:color="auto"/>
            </w:tcBorders>
            <w:shd w:val="clear" w:color="auto" w:fill="auto"/>
            <w:vAlign w:val="center"/>
          </w:tcPr>
          <w:p w14:paraId="6FC6E238" w14:textId="77777777" w:rsidR="00DB215C" w:rsidRPr="00DB215C" w:rsidRDefault="00DB215C" w:rsidP="00DB215C">
            <w:pPr>
              <w:ind w:right="284"/>
              <w:jc w:val="right"/>
              <w:rPr>
                <w:rFonts w:eastAsia="Calibri"/>
                <w:sz w:val="18"/>
                <w:szCs w:val="18"/>
                <w:lang w:eastAsia="en-US"/>
              </w:rPr>
            </w:pPr>
            <w:r w:rsidRPr="00DB215C">
              <w:rPr>
                <w:rFonts w:eastAsia="Calibri"/>
                <w:sz w:val="18"/>
                <w:szCs w:val="18"/>
                <w:lang w:eastAsia="en-US"/>
              </w:rPr>
              <w:t>3.82</w:t>
            </w:r>
          </w:p>
        </w:tc>
        <w:tc>
          <w:tcPr>
            <w:tcW w:w="1134" w:type="dxa"/>
            <w:tcBorders>
              <w:top w:val="nil"/>
              <w:left w:val="single" w:sz="4" w:space="0" w:color="auto"/>
              <w:bottom w:val="nil"/>
              <w:right w:val="single" w:sz="4" w:space="0" w:color="auto"/>
            </w:tcBorders>
            <w:shd w:val="clear" w:color="auto" w:fill="auto"/>
            <w:vAlign w:val="center"/>
          </w:tcPr>
          <w:p w14:paraId="3BE16B5D" w14:textId="77777777" w:rsidR="00DB215C" w:rsidRPr="00DB215C" w:rsidRDefault="00DB215C" w:rsidP="00DB215C">
            <w:pPr>
              <w:ind w:right="227"/>
              <w:jc w:val="right"/>
              <w:rPr>
                <w:rFonts w:eastAsia="Calibri"/>
                <w:sz w:val="18"/>
                <w:szCs w:val="18"/>
                <w:lang w:eastAsia="en-US"/>
              </w:rPr>
            </w:pPr>
            <w:r w:rsidRPr="00DB215C">
              <w:rPr>
                <w:rFonts w:eastAsia="Calibri"/>
                <w:sz w:val="18"/>
                <w:szCs w:val="18"/>
                <w:lang w:eastAsia="en-US"/>
              </w:rPr>
              <w:t>4.17</w:t>
            </w:r>
          </w:p>
        </w:tc>
        <w:tc>
          <w:tcPr>
            <w:tcW w:w="1183" w:type="dxa"/>
            <w:tcBorders>
              <w:left w:val="single" w:sz="4" w:space="0" w:color="auto"/>
              <w:right w:val="single" w:sz="4" w:space="0" w:color="auto"/>
            </w:tcBorders>
            <w:shd w:val="clear" w:color="auto" w:fill="auto"/>
            <w:vAlign w:val="center"/>
          </w:tcPr>
          <w:p w14:paraId="51E0B3B6" w14:textId="77777777" w:rsidR="00DB215C" w:rsidRPr="00DB215C" w:rsidRDefault="00DB215C" w:rsidP="00DB215C">
            <w:pPr>
              <w:ind w:right="227"/>
              <w:jc w:val="right"/>
              <w:rPr>
                <w:rFonts w:eastAsia="Calibri"/>
                <w:sz w:val="18"/>
                <w:szCs w:val="18"/>
                <w:lang w:eastAsia="en-US"/>
              </w:rPr>
            </w:pPr>
            <w:r w:rsidRPr="00DB215C">
              <w:rPr>
                <w:rFonts w:eastAsia="Calibri"/>
                <w:sz w:val="18"/>
                <w:szCs w:val="18"/>
                <w:lang w:eastAsia="en-US"/>
              </w:rPr>
              <w:t>4.19</w:t>
            </w:r>
          </w:p>
        </w:tc>
        <w:tc>
          <w:tcPr>
            <w:tcW w:w="1134" w:type="dxa"/>
            <w:tcBorders>
              <w:top w:val="nil"/>
              <w:left w:val="single" w:sz="4" w:space="0" w:color="auto"/>
              <w:bottom w:val="nil"/>
              <w:right w:val="single" w:sz="4" w:space="0" w:color="auto"/>
            </w:tcBorders>
            <w:shd w:val="clear" w:color="auto" w:fill="auto"/>
            <w:vAlign w:val="center"/>
          </w:tcPr>
          <w:p w14:paraId="345B40A8"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0.37</w:t>
            </w:r>
          </w:p>
        </w:tc>
        <w:tc>
          <w:tcPr>
            <w:tcW w:w="1134" w:type="dxa"/>
            <w:tcBorders>
              <w:top w:val="nil"/>
              <w:left w:val="single" w:sz="4" w:space="0" w:color="auto"/>
              <w:bottom w:val="nil"/>
              <w:right w:val="single" w:sz="4" w:space="0" w:color="auto"/>
            </w:tcBorders>
            <w:shd w:val="clear" w:color="auto" w:fill="auto"/>
            <w:vAlign w:val="center"/>
          </w:tcPr>
          <w:p w14:paraId="2BCC4A52" w14:textId="77777777" w:rsidR="00DB215C" w:rsidRPr="00DB215C" w:rsidRDefault="00DB215C" w:rsidP="00DB215C">
            <w:pPr>
              <w:ind w:right="284"/>
              <w:jc w:val="right"/>
              <w:rPr>
                <w:rFonts w:eastAsia="Calibri"/>
                <w:bCs/>
                <w:sz w:val="18"/>
                <w:szCs w:val="18"/>
                <w:lang w:eastAsia="en-US"/>
              </w:rPr>
            </w:pPr>
            <w:r w:rsidRPr="00DB215C">
              <w:rPr>
                <w:rFonts w:eastAsia="Calibri"/>
                <w:bCs/>
                <w:sz w:val="18"/>
                <w:szCs w:val="18"/>
                <w:lang w:eastAsia="en-US"/>
              </w:rPr>
              <w:t>0.02</w:t>
            </w:r>
          </w:p>
        </w:tc>
      </w:tr>
      <w:tr w:rsidR="00DB215C" w:rsidRPr="00DB215C" w14:paraId="5A87C95F" w14:textId="77777777" w:rsidTr="00DB215C">
        <w:trPr>
          <w:trHeight w:val="271"/>
          <w:jc w:val="center"/>
        </w:trPr>
        <w:tc>
          <w:tcPr>
            <w:tcW w:w="2835" w:type="dxa"/>
            <w:tcBorders>
              <w:top w:val="nil"/>
              <w:left w:val="single" w:sz="4" w:space="0" w:color="auto"/>
              <w:bottom w:val="nil"/>
              <w:right w:val="single" w:sz="4" w:space="0" w:color="auto"/>
            </w:tcBorders>
            <w:shd w:val="clear" w:color="auto" w:fill="auto"/>
            <w:vAlign w:val="center"/>
          </w:tcPr>
          <w:p w14:paraId="1592DBF0" w14:textId="77777777" w:rsidR="00DB215C" w:rsidRPr="00DB215C" w:rsidRDefault="00DB215C" w:rsidP="00DB215C">
            <w:pPr>
              <w:ind w:left="340"/>
              <w:rPr>
                <w:rFonts w:eastAsia="Calibri"/>
                <w:bCs/>
                <w:sz w:val="18"/>
                <w:szCs w:val="18"/>
                <w:lang w:eastAsia="en-US"/>
              </w:rPr>
            </w:pPr>
            <w:r w:rsidRPr="00DB215C">
              <w:rPr>
                <w:rFonts w:eastAsia="Calibri"/>
                <w:bCs/>
                <w:sz w:val="18"/>
                <w:szCs w:val="18"/>
                <w:lang w:eastAsia="en-US"/>
              </w:rPr>
              <w:t>Adquisición de bienes muebles</w:t>
            </w:r>
          </w:p>
        </w:tc>
        <w:tc>
          <w:tcPr>
            <w:tcW w:w="1276" w:type="dxa"/>
            <w:tcBorders>
              <w:left w:val="single" w:sz="4" w:space="0" w:color="auto"/>
              <w:right w:val="single" w:sz="4" w:space="0" w:color="auto"/>
            </w:tcBorders>
            <w:shd w:val="clear" w:color="auto" w:fill="auto"/>
            <w:vAlign w:val="center"/>
          </w:tcPr>
          <w:p w14:paraId="3E0C3F49" w14:textId="77777777" w:rsidR="00DB215C" w:rsidRPr="00DB215C" w:rsidRDefault="00DB215C" w:rsidP="00DB215C">
            <w:pPr>
              <w:ind w:right="284"/>
              <w:jc w:val="right"/>
              <w:rPr>
                <w:rFonts w:eastAsia="Calibri"/>
                <w:sz w:val="18"/>
                <w:szCs w:val="18"/>
                <w:lang w:eastAsia="en-US"/>
              </w:rPr>
            </w:pPr>
            <w:r w:rsidRPr="00DB215C">
              <w:rPr>
                <w:rFonts w:eastAsia="Calibri"/>
                <w:sz w:val="18"/>
                <w:szCs w:val="18"/>
                <w:lang w:eastAsia="en-US"/>
              </w:rPr>
              <w:t>55.75</w:t>
            </w:r>
          </w:p>
        </w:tc>
        <w:tc>
          <w:tcPr>
            <w:tcW w:w="1134" w:type="dxa"/>
            <w:tcBorders>
              <w:top w:val="nil"/>
              <w:left w:val="single" w:sz="4" w:space="0" w:color="auto"/>
              <w:bottom w:val="nil"/>
              <w:right w:val="single" w:sz="4" w:space="0" w:color="auto"/>
            </w:tcBorders>
            <w:shd w:val="clear" w:color="auto" w:fill="auto"/>
            <w:vAlign w:val="center"/>
          </w:tcPr>
          <w:p w14:paraId="76E496BA" w14:textId="77777777" w:rsidR="00DB215C" w:rsidRPr="00DB215C" w:rsidRDefault="00DB215C" w:rsidP="00DB215C">
            <w:pPr>
              <w:ind w:right="227"/>
              <w:jc w:val="right"/>
              <w:rPr>
                <w:rFonts w:eastAsia="Calibri"/>
                <w:sz w:val="18"/>
                <w:szCs w:val="18"/>
                <w:lang w:eastAsia="en-US"/>
              </w:rPr>
            </w:pPr>
            <w:r w:rsidRPr="00DB215C">
              <w:rPr>
                <w:rFonts w:eastAsia="Calibri"/>
                <w:sz w:val="18"/>
                <w:szCs w:val="18"/>
                <w:lang w:eastAsia="en-US"/>
              </w:rPr>
              <w:t>40.20</w:t>
            </w:r>
          </w:p>
        </w:tc>
        <w:tc>
          <w:tcPr>
            <w:tcW w:w="1183" w:type="dxa"/>
            <w:tcBorders>
              <w:left w:val="single" w:sz="4" w:space="0" w:color="auto"/>
              <w:right w:val="single" w:sz="4" w:space="0" w:color="auto"/>
            </w:tcBorders>
            <w:shd w:val="clear" w:color="auto" w:fill="auto"/>
            <w:vAlign w:val="center"/>
          </w:tcPr>
          <w:p w14:paraId="3A775B27" w14:textId="77777777" w:rsidR="00DB215C" w:rsidRPr="00DB215C" w:rsidRDefault="00DB215C" w:rsidP="00DB215C">
            <w:pPr>
              <w:ind w:right="227"/>
              <w:jc w:val="right"/>
              <w:rPr>
                <w:rFonts w:eastAsia="Calibri"/>
                <w:sz w:val="18"/>
                <w:szCs w:val="18"/>
                <w:lang w:eastAsia="en-US"/>
              </w:rPr>
            </w:pPr>
            <w:r w:rsidRPr="00DB215C">
              <w:rPr>
                <w:rFonts w:eastAsia="Calibri"/>
                <w:sz w:val="18"/>
                <w:szCs w:val="18"/>
                <w:lang w:eastAsia="en-US"/>
              </w:rPr>
              <w:t>40.13</w:t>
            </w:r>
          </w:p>
        </w:tc>
        <w:tc>
          <w:tcPr>
            <w:tcW w:w="1134" w:type="dxa"/>
            <w:tcBorders>
              <w:top w:val="nil"/>
              <w:left w:val="single" w:sz="4" w:space="0" w:color="auto"/>
              <w:bottom w:val="nil"/>
              <w:right w:val="single" w:sz="4" w:space="0" w:color="auto"/>
            </w:tcBorders>
            <w:shd w:val="clear" w:color="auto" w:fill="auto"/>
            <w:vAlign w:val="center"/>
          </w:tcPr>
          <w:p w14:paraId="0FF0AB22"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-15.62</w:t>
            </w:r>
          </w:p>
        </w:tc>
        <w:tc>
          <w:tcPr>
            <w:tcW w:w="1134" w:type="dxa"/>
            <w:tcBorders>
              <w:top w:val="nil"/>
              <w:left w:val="single" w:sz="4" w:space="0" w:color="auto"/>
              <w:bottom w:val="nil"/>
              <w:right w:val="single" w:sz="4" w:space="0" w:color="auto"/>
            </w:tcBorders>
            <w:shd w:val="clear" w:color="auto" w:fill="auto"/>
            <w:vAlign w:val="center"/>
          </w:tcPr>
          <w:p w14:paraId="1EE1E12A" w14:textId="77777777" w:rsidR="00DB215C" w:rsidRPr="00DB215C" w:rsidRDefault="00DB215C" w:rsidP="00DB215C">
            <w:pPr>
              <w:ind w:right="284"/>
              <w:jc w:val="right"/>
              <w:rPr>
                <w:rFonts w:eastAsia="Calibri"/>
                <w:bCs/>
                <w:sz w:val="18"/>
                <w:szCs w:val="18"/>
                <w:lang w:eastAsia="en-US"/>
              </w:rPr>
            </w:pPr>
            <w:r w:rsidRPr="00DB215C">
              <w:rPr>
                <w:rFonts w:eastAsia="Calibri"/>
                <w:bCs/>
                <w:sz w:val="18"/>
                <w:szCs w:val="18"/>
                <w:lang w:eastAsia="en-US"/>
              </w:rPr>
              <w:t>-0.07</w:t>
            </w:r>
          </w:p>
        </w:tc>
      </w:tr>
      <w:tr w:rsidR="00DB215C" w:rsidRPr="00DB215C" w14:paraId="012687D6" w14:textId="77777777" w:rsidTr="00DB215C">
        <w:trPr>
          <w:trHeight w:val="271"/>
          <w:jc w:val="center"/>
        </w:trPr>
        <w:tc>
          <w:tcPr>
            <w:tcW w:w="2835" w:type="dxa"/>
            <w:tcBorders>
              <w:top w:val="nil"/>
              <w:left w:val="single" w:sz="4" w:space="0" w:color="auto"/>
              <w:bottom w:val="nil"/>
              <w:right w:val="single" w:sz="4" w:space="0" w:color="auto"/>
            </w:tcBorders>
            <w:shd w:val="clear" w:color="auto" w:fill="auto"/>
            <w:vAlign w:val="center"/>
          </w:tcPr>
          <w:p w14:paraId="2645156F" w14:textId="77777777" w:rsidR="00DB215C" w:rsidRPr="00DB215C" w:rsidRDefault="00DB215C" w:rsidP="00DB215C">
            <w:pPr>
              <w:ind w:left="170"/>
              <w:rPr>
                <w:rFonts w:eastAsia="Calibri"/>
                <w:bCs/>
                <w:sz w:val="18"/>
                <w:szCs w:val="18"/>
                <w:lang w:eastAsia="en-US"/>
              </w:rPr>
            </w:pPr>
            <w:r w:rsidRPr="00DB215C">
              <w:rPr>
                <w:rFonts w:eastAsia="Calibri"/>
                <w:bCs/>
                <w:sz w:val="18"/>
                <w:szCs w:val="18"/>
                <w:lang w:eastAsia="en-US"/>
              </w:rPr>
              <w:t>Operaciones de arrendamiento capitalizable</w:t>
            </w:r>
          </w:p>
        </w:tc>
        <w:tc>
          <w:tcPr>
            <w:tcW w:w="1276" w:type="dxa"/>
            <w:tcBorders>
              <w:left w:val="single" w:sz="4" w:space="0" w:color="auto"/>
              <w:right w:val="single" w:sz="4" w:space="0" w:color="auto"/>
            </w:tcBorders>
            <w:shd w:val="clear" w:color="auto" w:fill="auto"/>
            <w:vAlign w:val="center"/>
          </w:tcPr>
          <w:p w14:paraId="43540796" w14:textId="77777777" w:rsidR="00DB215C" w:rsidRPr="00DB215C" w:rsidRDefault="00DB215C" w:rsidP="00DB215C">
            <w:pPr>
              <w:ind w:right="284"/>
              <w:jc w:val="right"/>
              <w:rPr>
                <w:rFonts w:eastAsia="Calibri"/>
                <w:sz w:val="18"/>
                <w:szCs w:val="18"/>
                <w:lang w:eastAsia="en-US"/>
              </w:rPr>
            </w:pPr>
            <w:r w:rsidRPr="00DB215C">
              <w:rPr>
                <w:rFonts w:eastAsia="Calibri"/>
                <w:sz w:val="18"/>
                <w:szCs w:val="18"/>
                <w:lang w:eastAsia="en-US"/>
              </w:rPr>
              <w:t>20.67</w:t>
            </w:r>
          </w:p>
        </w:tc>
        <w:tc>
          <w:tcPr>
            <w:tcW w:w="1134" w:type="dxa"/>
            <w:tcBorders>
              <w:top w:val="nil"/>
              <w:left w:val="single" w:sz="4" w:space="0" w:color="auto"/>
              <w:bottom w:val="nil"/>
              <w:right w:val="single" w:sz="4" w:space="0" w:color="auto"/>
            </w:tcBorders>
            <w:shd w:val="clear" w:color="auto" w:fill="auto"/>
            <w:vAlign w:val="center"/>
          </w:tcPr>
          <w:p w14:paraId="09B3CB2E" w14:textId="77777777" w:rsidR="00DB215C" w:rsidRPr="00DB215C" w:rsidRDefault="00DB215C" w:rsidP="00DB215C">
            <w:pPr>
              <w:ind w:right="227"/>
              <w:jc w:val="right"/>
              <w:rPr>
                <w:rFonts w:eastAsia="Calibri"/>
                <w:sz w:val="18"/>
                <w:szCs w:val="18"/>
                <w:lang w:eastAsia="en-US"/>
              </w:rPr>
            </w:pPr>
            <w:r w:rsidRPr="00DB215C">
              <w:rPr>
                <w:rFonts w:eastAsia="Calibri"/>
                <w:sz w:val="18"/>
                <w:szCs w:val="18"/>
                <w:lang w:eastAsia="en-US"/>
              </w:rPr>
              <w:t>31.58</w:t>
            </w:r>
          </w:p>
        </w:tc>
        <w:tc>
          <w:tcPr>
            <w:tcW w:w="1183" w:type="dxa"/>
            <w:tcBorders>
              <w:left w:val="single" w:sz="4" w:space="0" w:color="auto"/>
              <w:right w:val="single" w:sz="4" w:space="0" w:color="auto"/>
            </w:tcBorders>
            <w:shd w:val="clear" w:color="auto" w:fill="auto"/>
            <w:vAlign w:val="center"/>
          </w:tcPr>
          <w:p w14:paraId="51865457" w14:textId="62F5A6D0" w:rsidR="00DB215C" w:rsidRPr="00DB215C" w:rsidRDefault="00DB215C" w:rsidP="00DC1170">
            <w:pPr>
              <w:ind w:right="227"/>
              <w:jc w:val="right"/>
              <w:rPr>
                <w:rFonts w:eastAsia="Calibri"/>
                <w:sz w:val="18"/>
                <w:szCs w:val="18"/>
                <w:lang w:eastAsia="en-US"/>
              </w:rPr>
            </w:pPr>
            <w:r w:rsidRPr="00DB215C">
              <w:rPr>
                <w:rFonts w:eastAsia="Calibri"/>
                <w:sz w:val="18"/>
                <w:szCs w:val="18"/>
                <w:lang w:eastAsia="en-US"/>
              </w:rPr>
              <w:t>3</w:t>
            </w:r>
            <w:r w:rsidR="00DC1170">
              <w:rPr>
                <w:rFonts w:eastAsia="Calibri"/>
                <w:sz w:val="18"/>
                <w:szCs w:val="18"/>
                <w:lang w:eastAsia="en-US"/>
              </w:rPr>
              <w:t>3</w:t>
            </w:r>
            <w:r w:rsidRPr="00DB215C">
              <w:rPr>
                <w:rFonts w:eastAsia="Calibri"/>
                <w:sz w:val="18"/>
                <w:szCs w:val="18"/>
                <w:lang w:eastAsia="en-US"/>
              </w:rPr>
              <w:t>.53</w:t>
            </w:r>
          </w:p>
        </w:tc>
        <w:tc>
          <w:tcPr>
            <w:tcW w:w="1134" w:type="dxa"/>
            <w:tcBorders>
              <w:top w:val="nil"/>
              <w:left w:val="single" w:sz="4" w:space="0" w:color="auto"/>
              <w:bottom w:val="nil"/>
              <w:right w:val="single" w:sz="4" w:space="0" w:color="auto"/>
            </w:tcBorders>
            <w:shd w:val="clear" w:color="auto" w:fill="auto"/>
            <w:vAlign w:val="center"/>
          </w:tcPr>
          <w:p w14:paraId="295E6307"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12.86</w:t>
            </w:r>
          </w:p>
        </w:tc>
        <w:tc>
          <w:tcPr>
            <w:tcW w:w="1134" w:type="dxa"/>
            <w:tcBorders>
              <w:top w:val="nil"/>
              <w:left w:val="single" w:sz="4" w:space="0" w:color="auto"/>
              <w:bottom w:val="nil"/>
              <w:right w:val="single" w:sz="4" w:space="0" w:color="auto"/>
            </w:tcBorders>
            <w:shd w:val="clear" w:color="auto" w:fill="auto"/>
            <w:vAlign w:val="center"/>
          </w:tcPr>
          <w:p w14:paraId="2509B9B8" w14:textId="77777777" w:rsidR="00DB215C" w:rsidRPr="00DB215C" w:rsidRDefault="00DB215C" w:rsidP="00DB215C">
            <w:pPr>
              <w:ind w:right="284"/>
              <w:jc w:val="right"/>
              <w:rPr>
                <w:rFonts w:eastAsia="Calibri"/>
                <w:bCs/>
                <w:sz w:val="18"/>
                <w:szCs w:val="18"/>
                <w:lang w:eastAsia="en-US"/>
              </w:rPr>
            </w:pPr>
            <w:r w:rsidRPr="00DB215C">
              <w:rPr>
                <w:rFonts w:eastAsia="Calibri"/>
                <w:bCs/>
                <w:sz w:val="18"/>
                <w:szCs w:val="18"/>
                <w:lang w:eastAsia="en-US"/>
              </w:rPr>
              <w:t>1.95</w:t>
            </w:r>
          </w:p>
        </w:tc>
      </w:tr>
      <w:tr w:rsidR="00DB215C" w:rsidRPr="00DB215C" w14:paraId="0A811ED3" w14:textId="77777777" w:rsidTr="00DB215C">
        <w:trPr>
          <w:trHeight w:val="271"/>
          <w:jc w:val="center"/>
        </w:trPr>
        <w:tc>
          <w:tcPr>
            <w:tcW w:w="2835" w:type="dxa"/>
            <w:tcBorders>
              <w:top w:val="nil"/>
              <w:left w:val="single" w:sz="4" w:space="0" w:color="auto"/>
              <w:bottom w:val="nil"/>
              <w:right w:val="single" w:sz="4" w:space="0" w:color="auto"/>
            </w:tcBorders>
            <w:shd w:val="clear" w:color="auto" w:fill="auto"/>
            <w:vAlign w:val="center"/>
          </w:tcPr>
          <w:p w14:paraId="3E35D4DD" w14:textId="77777777" w:rsidR="00DB215C" w:rsidRPr="00DB215C" w:rsidRDefault="00DB215C" w:rsidP="00DB215C">
            <w:pPr>
              <w:spacing w:after="120"/>
              <w:ind w:left="170"/>
              <w:rPr>
                <w:rFonts w:eastAsia="Calibri"/>
                <w:bCs/>
                <w:sz w:val="18"/>
                <w:szCs w:val="18"/>
                <w:lang w:eastAsia="en-US"/>
              </w:rPr>
            </w:pPr>
            <w:r w:rsidRPr="00DB215C">
              <w:rPr>
                <w:rFonts w:eastAsia="Calibri"/>
                <w:bCs/>
                <w:sz w:val="18"/>
                <w:szCs w:val="18"/>
                <w:lang w:eastAsia="en-US"/>
              </w:rPr>
              <w:t>Otros créditos de consumo</w:t>
            </w:r>
          </w:p>
        </w:tc>
        <w:tc>
          <w:tcPr>
            <w:tcW w:w="1276" w:type="dxa"/>
            <w:tcBorders>
              <w:left w:val="single" w:sz="4" w:space="0" w:color="auto"/>
              <w:right w:val="single" w:sz="4" w:space="0" w:color="auto"/>
            </w:tcBorders>
            <w:shd w:val="clear" w:color="auto" w:fill="auto"/>
            <w:vAlign w:val="center"/>
          </w:tcPr>
          <w:p w14:paraId="3233FE00" w14:textId="77777777" w:rsidR="00DB215C" w:rsidRPr="00DB215C" w:rsidRDefault="00DB215C" w:rsidP="00DB215C">
            <w:pPr>
              <w:spacing w:after="120"/>
              <w:ind w:right="284"/>
              <w:jc w:val="right"/>
              <w:rPr>
                <w:rFonts w:eastAsia="Calibri"/>
                <w:sz w:val="18"/>
                <w:szCs w:val="18"/>
                <w:lang w:eastAsia="en-US"/>
              </w:rPr>
            </w:pPr>
            <w:r w:rsidRPr="00DB215C">
              <w:rPr>
                <w:rFonts w:eastAsia="Calibri"/>
                <w:sz w:val="18"/>
                <w:szCs w:val="18"/>
                <w:lang w:eastAsia="en-US"/>
              </w:rPr>
              <w:t>12.49</w:t>
            </w:r>
          </w:p>
        </w:tc>
        <w:tc>
          <w:tcPr>
            <w:tcW w:w="1134" w:type="dxa"/>
            <w:tcBorders>
              <w:top w:val="nil"/>
              <w:left w:val="single" w:sz="4" w:space="0" w:color="auto"/>
              <w:bottom w:val="nil"/>
              <w:right w:val="single" w:sz="4" w:space="0" w:color="auto"/>
            </w:tcBorders>
            <w:shd w:val="clear" w:color="auto" w:fill="auto"/>
            <w:vAlign w:val="center"/>
          </w:tcPr>
          <w:p w14:paraId="0FA41188" w14:textId="77777777" w:rsidR="00DB215C" w:rsidRPr="00DB215C" w:rsidRDefault="00DB215C" w:rsidP="00DB215C">
            <w:pPr>
              <w:spacing w:after="120"/>
              <w:ind w:right="227"/>
              <w:jc w:val="right"/>
              <w:rPr>
                <w:rFonts w:eastAsia="Calibri"/>
                <w:sz w:val="18"/>
                <w:szCs w:val="18"/>
                <w:lang w:eastAsia="en-US"/>
              </w:rPr>
            </w:pPr>
            <w:r w:rsidRPr="00DB215C">
              <w:rPr>
                <w:rFonts w:eastAsia="Calibri"/>
                <w:sz w:val="18"/>
                <w:szCs w:val="18"/>
                <w:lang w:eastAsia="en-US"/>
              </w:rPr>
              <w:t>11.13</w:t>
            </w:r>
          </w:p>
        </w:tc>
        <w:tc>
          <w:tcPr>
            <w:tcW w:w="1183" w:type="dxa"/>
            <w:tcBorders>
              <w:left w:val="single" w:sz="4" w:space="0" w:color="auto"/>
              <w:right w:val="single" w:sz="4" w:space="0" w:color="auto"/>
            </w:tcBorders>
            <w:shd w:val="clear" w:color="auto" w:fill="auto"/>
            <w:vAlign w:val="center"/>
          </w:tcPr>
          <w:p w14:paraId="2441457B" w14:textId="77777777" w:rsidR="00DB215C" w:rsidRPr="00DB215C" w:rsidRDefault="00DB215C" w:rsidP="00DB215C">
            <w:pPr>
              <w:spacing w:after="120"/>
              <w:ind w:right="227"/>
              <w:jc w:val="right"/>
              <w:rPr>
                <w:rFonts w:eastAsia="Calibri"/>
                <w:sz w:val="18"/>
                <w:szCs w:val="18"/>
                <w:lang w:eastAsia="en-US"/>
              </w:rPr>
            </w:pPr>
            <w:r w:rsidRPr="00DB215C">
              <w:rPr>
                <w:rFonts w:eastAsia="Calibri"/>
                <w:sz w:val="18"/>
                <w:szCs w:val="18"/>
                <w:lang w:eastAsia="en-US"/>
              </w:rPr>
              <w:t>10.63</w:t>
            </w:r>
          </w:p>
        </w:tc>
        <w:tc>
          <w:tcPr>
            <w:tcW w:w="1134" w:type="dxa"/>
            <w:tcBorders>
              <w:top w:val="nil"/>
              <w:left w:val="single" w:sz="4" w:space="0" w:color="auto"/>
              <w:bottom w:val="nil"/>
              <w:right w:val="single" w:sz="4" w:space="0" w:color="auto"/>
            </w:tcBorders>
            <w:shd w:val="clear" w:color="auto" w:fill="auto"/>
            <w:vAlign w:val="center"/>
          </w:tcPr>
          <w:p w14:paraId="77134690" w14:textId="77777777" w:rsidR="00DB215C" w:rsidRPr="00DB215C" w:rsidRDefault="00DB215C" w:rsidP="00DB215C">
            <w:pPr>
              <w:spacing w:after="120"/>
              <w:ind w:right="170"/>
              <w:jc w:val="right"/>
              <w:rPr>
                <w:rFonts w:eastAsia="Calibri"/>
                <w:sz w:val="18"/>
                <w:szCs w:val="18"/>
                <w:lang w:eastAsia="en-US"/>
              </w:rPr>
            </w:pPr>
            <w:r w:rsidRPr="00DB215C">
              <w:rPr>
                <w:rFonts w:eastAsia="Calibri"/>
                <w:sz w:val="18"/>
                <w:szCs w:val="18"/>
                <w:lang w:eastAsia="en-US"/>
              </w:rPr>
              <w:t>-1.86</w:t>
            </w:r>
          </w:p>
        </w:tc>
        <w:tc>
          <w:tcPr>
            <w:tcW w:w="1134" w:type="dxa"/>
            <w:tcBorders>
              <w:top w:val="nil"/>
              <w:left w:val="single" w:sz="4" w:space="0" w:color="auto"/>
              <w:bottom w:val="nil"/>
              <w:right w:val="single" w:sz="4" w:space="0" w:color="auto"/>
            </w:tcBorders>
            <w:shd w:val="clear" w:color="auto" w:fill="auto"/>
            <w:vAlign w:val="center"/>
          </w:tcPr>
          <w:p w14:paraId="3986FC12" w14:textId="77777777" w:rsidR="00DB215C" w:rsidRPr="00DB215C" w:rsidRDefault="00DB215C" w:rsidP="00DB215C">
            <w:pPr>
              <w:spacing w:after="120"/>
              <w:ind w:right="284"/>
              <w:jc w:val="right"/>
              <w:rPr>
                <w:rFonts w:eastAsia="Calibri"/>
                <w:bCs/>
                <w:sz w:val="18"/>
                <w:szCs w:val="18"/>
                <w:lang w:eastAsia="en-US"/>
              </w:rPr>
            </w:pPr>
            <w:r w:rsidRPr="00DB215C">
              <w:rPr>
                <w:rFonts w:eastAsia="Calibri"/>
                <w:bCs/>
                <w:sz w:val="18"/>
                <w:szCs w:val="18"/>
                <w:lang w:eastAsia="en-US"/>
              </w:rPr>
              <w:t>-0.50</w:t>
            </w:r>
          </w:p>
        </w:tc>
      </w:tr>
      <w:tr w:rsidR="00DB215C" w:rsidRPr="00DB215C" w14:paraId="7DD133BF" w14:textId="77777777" w:rsidTr="00DB215C">
        <w:trPr>
          <w:trHeight w:val="271"/>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168847CA" w14:textId="77777777" w:rsidR="00DB215C" w:rsidRPr="00DB215C" w:rsidRDefault="00DB215C" w:rsidP="00DB215C">
            <w:pPr>
              <w:spacing w:after="120"/>
              <w:rPr>
                <w:rFonts w:eastAsia="Calibri"/>
                <w:b/>
                <w:bCs/>
                <w:sz w:val="18"/>
                <w:szCs w:val="18"/>
                <w:lang w:eastAsia="en-US"/>
              </w:rPr>
            </w:pPr>
            <w:r w:rsidRPr="00DB215C">
              <w:rPr>
                <w:rFonts w:eastAsia="Calibri"/>
                <w:b/>
                <w:bCs/>
                <w:sz w:val="18"/>
                <w:szCs w:val="18"/>
                <w:lang w:eastAsia="en-US"/>
              </w:rPr>
              <w:t>Vivienda</w:t>
            </w:r>
          </w:p>
        </w:tc>
        <w:tc>
          <w:tcPr>
            <w:tcW w:w="1276" w:type="dxa"/>
            <w:tcBorders>
              <w:left w:val="single" w:sz="4" w:space="0" w:color="auto"/>
              <w:bottom w:val="single" w:sz="4" w:space="0" w:color="auto"/>
              <w:right w:val="single" w:sz="4" w:space="0" w:color="auto"/>
            </w:tcBorders>
            <w:shd w:val="clear" w:color="auto" w:fill="auto"/>
            <w:vAlign w:val="center"/>
          </w:tcPr>
          <w:p w14:paraId="0536E0A3" w14:textId="77777777" w:rsidR="00DB215C" w:rsidRPr="00DB215C" w:rsidRDefault="00DB215C" w:rsidP="00DB215C">
            <w:pPr>
              <w:spacing w:after="120"/>
              <w:ind w:right="284"/>
              <w:jc w:val="right"/>
              <w:rPr>
                <w:rFonts w:eastAsia="Calibri"/>
                <w:b/>
                <w:sz w:val="18"/>
                <w:szCs w:val="18"/>
                <w:lang w:eastAsia="en-US"/>
              </w:rPr>
            </w:pPr>
            <w:r w:rsidRPr="00DB215C">
              <w:rPr>
                <w:rFonts w:eastAsia="Calibri"/>
                <w:b/>
                <w:sz w:val="18"/>
                <w:szCs w:val="18"/>
                <w:lang w:eastAsia="en-US"/>
              </w:rPr>
              <w:t>4.18</w:t>
            </w:r>
          </w:p>
        </w:tc>
        <w:tc>
          <w:tcPr>
            <w:tcW w:w="1134" w:type="dxa"/>
            <w:tcBorders>
              <w:top w:val="nil"/>
              <w:left w:val="single" w:sz="4" w:space="0" w:color="auto"/>
              <w:bottom w:val="single" w:sz="4" w:space="0" w:color="auto"/>
              <w:right w:val="single" w:sz="4" w:space="0" w:color="auto"/>
            </w:tcBorders>
            <w:shd w:val="clear" w:color="auto" w:fill="auto"/>
            <w:vAlign w:val="center"/>
          </w:tcPr>
          <w:p w14:paraId="25546EEF" w14:textId="77777777" w:rsidR="00DB215C" w:rsidRPr="00DB215C" w:rsidRDefault="00DB215C" w:rsidP="00DB215C">
            <w:pPr>
              <w:spacing w:after="120"/>
              <w:ind w:right="227"/>
              <w:jc w:val="right"/>
              <w:rPr>
                <w:rFonts w:eastAsia="Calibri"/>
                <w:b/>
                <w:sz w:val="18"/>
                <w:szCs w:val="18"/>
                <w:lang w:eastAsia="en-US"/>
              </w:rPr>
            </w:pPr>
            <w:r w:rsidRPr="00DB215C">
              <w:rPr>
                <w:rFonts w:eastAsia="Calibri"/>
                <w:b/>
                <w:sz w:val="18"/>
                <w:szCs w:val="18"/>
                <w:lang w:eastAsia="en-US"/>
              </w:rPr>
              <w:t>5.67</w:t>
            </w:r>
          </w:p>
        </w:tc>
        <w:tc>
          <w:tcPr>
            <w:tcW w:w="1183" w:type="dxa"/>
            <w:tcBorders>
              <w:left w:val="single" w:sz="4" w:space="0" w:color="auto"/>
              <w:bottom w:val="single" w:sz="4" w:space="0" w:color="auto"/>
              <w:right w:val="single" w:sz="4" w:space="0" w:color="auto"/>
            </w:tcBorders>
            <w:shd w:val="clear" w:color="auto" w:fill="auto"/>
            <w:vAlign w:val="center"/>
          </w:tcPr>
          <w:p w14:paraId="333096A0" w14:textId="77777777" w:rsidR="00DB215C" w:rsidRPr="00DB215C" w:rsidRDefault="00DB215C" w:rsidP="00DB215C">
            <w:pPr>
              <w:spacing w:after="120"/>
              <w:ind w:right="227"/>
              <w:jc w:val="right"/>
              <w:rPr>
                <w:rFonts w:eastAsia="Calibri"/>
                <w:b/>
                <w:sz w:val="18"/>
                <w:szCs w:val="18"/>
                <w:lang w:eastAsia="en-US"/>
              </w:rPr>
            </w:pPr>
            <w:r w:rsidRPr="00DB215C">
              <w:rPr>
                <w:rFonts w:eastAsia="Calibri"/>
                <w:b/>
                <w:sz w:val="18"/>
                <w:szCs w:val="18"/>
                <w:lang w:eastAsia="en-US"/>
              </w:rPr>
              <w:t>5.65</w:t>
            </w:r>
          </w:p>
        </w:tc>
        <w:tc>
          <w:tcPr>
            <w:tcW w:w="1134" w:type="dxa"/>
            <w:tcBorders>
              <w:top w:val="nil"/>
              <w:left w:val="single" w:sz="4" w:space="0" w:color="auto"/>
              <w:bottom w:val="single" w:sz="4" w:space="0" w:color="auto"/>
              <w:right w:val="single" w:sz="4" w:space="0" w:color="auto"/>
            </w:tcBorders>
            <w:shd w:val="clear" w:color="auto" w:fill="auto"/>
            <w:vAlign w:val="center"/>
          </w:tcPr>
          <w:p w14:paraId="6A0F3CC2" w14:textId="77777777" w:rsidR="00DB215C" w:rsidRPr="00DB215C" w:rsidRDefault="00DB215C" w:rsidP="00DB215C">
            <w:pPr>
              <w:spacing w:after="120"/>
              <w:ind w:right="170"/>
              <w:jc w:val="right"/>
              <w:rPr>
                <w:rFonts w:eastAsia="Calibri"/>
                <w:b/>
                <w:sz w:val="18"/>
                <w:szCs w:val="18"/>
                <w:lang w:eastAsia="en-US"/>
              </w:rPr>
            </w:pPr>
            <w:r w:rsidRPr="00DB215C">
              <w:rPr>
                <w:rFonts w:eastAsia="Calibri"/>
                <w:b/>
                <w:sz w:val="18"/>
                <w:szCs w:val="18"/>
                <w:lang w:eastAsia="en-US"/>
              </w:rPr>
              <w:t>1.47</w:t>
            </w:r>
          </w:p>
        </w:tc>
        <w:tc>
          <w:tcPr>
            <w:tcW w:w="1134" w:type="dxa"/>
            <w:tcBorders>
              <w:top w:val="nil"/>
              <w:left w:val="single" w:sz="4" w:space="0" w:color="auto"/>
              <w:bottom w:val="single" w:sz="4" w:space="0" w:color="auto"/>
              <w:right w:val="single" w:sz="4" w:space="0" w:color="auto"/>
            </w:tcBorders>
            <w:shd w:val="clear" w:color="auto" w:fill="auto"/>
            <w:vAlign w:val="center"/>
          </w:tcPr>
          <w:p w14:paraId="659AC700" w14:textId="77777777" w:rsidR="00DB215C" w:rsidRPr="00DB215C" w:rsidRDefault="00DB215C" w:rsidP="00DB215C">
            <w:pPr>
              <w:spacing w:after="120"/>
              <w:ind w:right="284"/>
              <w:jc w:val="right"/>
              <w:rPr>
                <w:rFonts w:eastAsia="Calibri"/>
                <w:bCs/>
                <w:sz w:val="18"/>
                <w:szCs w:val="18"/>
                <w:lang w:eastAsia="en-US"/>
              </w:rPr>
            </w:pPr>
            <w:r w:rsidRPr="00DB215C">
              <w:rPr>
                <w:rFonts w:eastAsia="Calibri"/>
                <w:bCs/>
                <w:sz w:val="18"/>
                <w:szCs w:val="18"/>
                <w:lang w:eastAsia="en-US"/>
              </w:rPr>
              <w:t>-0.02</w:t>
            </w:r>
          </w:p>
        </w:tc>
      </w:tr>
      <w:tr w:rsidR="00DB215C" w:rsidRPr="00DB215C" w14:paraId="31952406" w14:textId="77777777" w:rsidTr="00DB215C">
        <w:trPr>
          <w:trHeight w:val="261"/>
          <w:jc w:val="center"/>
        </w:trPr>
        <w:tc>
          <w:tcPr>
            <w:tcW w:w="8696" w:type="dxa"/>
            <w:gridSpan w:val="6"/>
            <w:tcBorders>
              <w:top w:val="single" w:sz="4" w:space="0" w:color="auto"/>
              <w:bottom w:val="nil"/>
            </w:tcBorders>
            <w:vAlign w:val="center"/>
          </w:tcPr>
          <w:p w14:paraId="5DBB240A" w14:textId="77777777" w:rsidR="00DB215C" w:rsidRPr="00DB215C" w:rsidRDefault="00DB215C" w:rsidP="00DB215C">
            <w:pPr>
              <w:spacing w:before="120"/>
              <w:ind w:left="227" w:hanging="227"/>
              <w:jc w:val="both"/>
              <w:rPr>
                <w:rFonts w:eastAsia="Calibri"/>
                <w:bCs/>
                <w:sz w:val="20"/>
                <w:szCs w:val="20"/>
                <w:lang w:eastAsia="en-US"/>
              </w:rPr>
            </w:pPr>
            <w:r w:rsidRPr="00DB215C">
              <w:rPr>
                <w:rFonts w:eastAsia="Calibri"/>
                <w:bCs/>
                <w:sz w:val="20"/>
                <w:szCs w:val="20"/>
                <w:u w:val="single"/>
                <w:lang w:eastAsia="en-US"/>
              </w:rPr>
              <w:t>1</w:t>
            </w:r>
            <w:r w:rsidRPr="00DB215C">
              <w:rPr>
                <w:rFonts w:eastAsia="Calibri"/>
                <w:bCs/>
                <w:sz w:val="20"/>
                <w:szCs w:val="20"/>
                <w:lang w:eastAsia="en-US"/>
              </w:rPr>
              <w:t>/ TDA = Tasa de deterioro ajustada = (promedio 12 meses de cartera vencida + suma 12 meses de quitas y castigos) / (promedio 12 meses de cartera total + suma 12 meses de quitas y castigos).</w:t>
            </w:r>
          </w:p>
          <w:p w14:paraId="6F6284FF" w14:textId="77777777" w:rsidR="00DB215C" w:rsidRPr="00DB215C" w:rsidRDefault="00DB215C" w:rsidP="00DB215C">
            <w:pPr>
              <w:jc w:val="both"/>
              <w:rPr>
                <w:rFonts w:eastAsia="Calibri"/>
                <w:bCs/>
                <w:sz w:val="20"/>
                <w:szCs w:val="20"/>
                <w:lang w:eastAsia="en-US"/>
              </w:rPr>
            </w:pPr>
            <w:r w:rsidRPr="00DB215C">
              <w:rPr>
                <w:rFonts w:eastAsia="Calibri"/>
                <w:bCs/>
                <w:sz w:val="20"/>
                <w:szCs w:val="20"/>
                <w:lang w:eastAsia="en-US"/>
              </w:rPr>
              <w:t>FUENTE: CNBV.</w:t>
            </w:r>
          </w:p>
        </w:tc>
      </w:tr>
    </w:tbl>
    <w:p w14:paraId="4193B78C" w14:textId="77777777" w:rsidR="00DB215C" w:rsidRPr="00DB215C" w:rsidRDefault="00DB215C" w:rsidP="00DB215C">
      <w:pPr>
        <w:spacing w:after="360" w:line="360" w:lineRule="auto"/>
        <w:ind w:right="-159"/>
        <w:jc w:val="both"/>
        <w:rPr>
          <w:rFonts w:eastAsia="Calibri"/>
          <w:sz w:val="26"/>
          <w:szCs w:val="26"/>
          <w:lang w:eastAsia="en-US"/>
        </w:rPr>
      </w:pPr>
    </w:p>
    <w:p w14:paraId="5AF546A1" w14:textId="77777777" w:rsidR="00DB215C" w:rsidRPr="00DB215C" w:rsidRDefault="00DB215C" w:rsidP="00DB215C">
      <w:pPr>
        <w:spacing w:after="360" w:line="360" w:lineRule="auto"/>
        <w:ind w:right="-159"/>
        <w:jc w:val="both"/>
        <w:rPr>
          <w:rFonts w:eastAsia="Calibri"/>
          <w:sz w:val="26"/>
          <w:szCs w:val="26"/>
          <w:lang w:eastAsia="en-US"/>
        </w:rPr>
      </w:pPr>
      <w:r w:rsidRPr="00DB215C">
        <w:rPr>
          <w:rFonts w:eastAsia="Calibri"/>
          <w:sz w:val="26"/>
          <w:szCs w:val="26"/>
          <w:lang w:eastAsia="en-US"/>
        </w:rPr>
        <w:t>Con la finalidad de presentar indicadores complementarios relativos a la calidad crediticia de la cartera, se muestra la tasa de deterioro ajustada (TDA). Ésta se ubicó para el total de la banca en 6.41% al cierre de enero de 2015 (cuadro anterior).</w:t>
      </w:r>
    </w:p>
    <w:p w14:paraId="0EA3875A" w14:textId="77777777" w:rsidR="00DB215C" w:rsidRPr="00DB215C" w:rsidRDefault="00DB215C" w:rsidP="00DB215C">
      <w:pPr>
        <w:spacing w:after="360" w:line="360" w:lineRule="auto"/>
        <w:ind w:right="-159"/>
        <w:jc w:val="both"/>
        <w:rPr>
          <w:rFonts w:eastAsia="Calibri"/>
          <w:sz w:val="26"/>
          <w:szCs w:val="26"/>
          <w:lang w:eastAsia="en-US"/>
        </w:rPr>
      </w:pPr>
      <w:r w:rsidRPr="00DB215C">
        <w:rPr>
          <w:rFonts w:eastAsia="Calibri"/>
          <w:sz w:val="26"/>
          <w:szCs w:val="26"/>
          <w:lang w:eastAsia="en-US"/>
        </w:rPr>
        <w:t xml:space="preserve">Asimismo, al cierre de enero de 2015, la razón de estimaciones preventivas entre el saldo de cartera de crédito total (EPRC/Cartera) fue de 4.07% con una disminución de 0.92pp. Esta razón se ubicó en 2.58% para la cartera comercial (un decremento de </w:t>
      </w:r>
      <w:r w:rsidRPr="00DB215C">
        <w:rPr>
          <w:rFonts w:eastAsia="Calibri"/>
          <w:sz w:val="26"/>
          <w:szCs w:val="26"/>
          <w:lang w:eastAsia="en-US"/>
        </w:rPr>
        <w:lastRenderedPageBreak/>
        <w:t>1.11pp respecto a enero 2014), para el segmento de crédito al consumo en 9.34% (0.40pp menos que en el mismo período del año anterior), y para la cartera de vivienda quedó en 1.77% con una diferencia anual negativa de 0.27pp.</w:t>
      </w:r>
    </w:p>
    <w:tbl>
      <w:tblPr>
        <w:tblW w:w="8564" w:type="dxa"/>
        <w:jc w:val="center"/>
        <w:tblLayout w:type="fixed"/>
        <w:tblLook w:val="01E0" w:firstRow="1" w:lastRow="1" w:firstColumn="1" w:lastColumn="1" w:noHBand="0" w:noVBand="0"/>
      </w:tblPr>
      <w:tblGrid>
        <w:gridCol w:w="2840"/>
        <w:gridCol w:w="1134"/>
        <w:gridCol w:w="1134"/>
        <w:gridCol w:w="1134"/>
        <w:gridCol w:w="1134"/>
        <w:gridCol w:w="1188"/>
      </w:tblGrid>
      <w:tr w:rsidR="00DB215C" w:rsidRPr="00DB215C" w14:paraId="1F52920B" w14:textId="77777777" w:rsidTr="00EB0468">
        <w:trPr>
          <w:trHeight w:val="552"/>
          <w:jc w:val="center"/>
        </w:trPr>
        <w:tc>
          <w:tcPr>
            <w:tcW w:w="8564" w:type="dxa"/>
            <w:gridSpan w:val="6"/>
            <w:tcBorders>
              <w:top w:val="nil"/>
              <w:bottom w:val="single" w:sz="4" w:space="0" w:color="auto"/>
            </w:tcBorders>
            <w:vAlign w:val="center"/>
          </w:tcPr>
          <w:p w14:paraId="328C3AA6" w14:textId="77777777" w:rsidR="00DB215C" w:rsidRPr="00DB215C" w:rsidRDefault="00DB215C" w:rsidP="00DB215C">
            <w:pPr>
              <w:jc w:val="center"/>
              <w:rPr>
                <w:rFonts w:eastAsia="Calibri"/>
                <w:bCs/>
                <w:sz w:val="22"/>
                <w:szCs w:val="22"/>
                <w:lang w:eastAsia="en-US"/>
              </w:rPr>
            </w:pPr>
            <w:r w:rsidRPr="00DB215C">
              <w:rPr>
                <w:rFonts w:eastAsia="Calibri"/>
                <w:b/>
                <w:bCs/>
                <w:sz w:val="22"/>
                <w:szCs w:val="22"/>
                <w:lang w:eastAsia="en-US"/>
              </w:rPr>
              <w:t>BANCA MÚLTIPLE: EPRC/CARTERA</w:t>
            </w:r>
            <w:r w:rsidRPr="00DB215C">
              <w:rPr>
                <w:rFonts w:eastAsia="Calibri"/>
                <w:b/>
                <w:bCs/>
                <w:sz w:val="22"/>
                <w:szCs w:val="22"/>
                <w:u w:val="single"/>
                <w:vertAlign w:val="superscript"/>
                <w:lang w:eastAsia="en-US"/>
              </w:rPr>
              <w:t>1</w:t>
            </w:r>
            <w:r w:rsidRPr="00DB215C">
              <w:rPr>
                <w:rFonts w:eastAsia="Calibri"/>
                <w:b/>
                <w:bCs/>
                <w:sz w:val="22"/>
                <w:szCs w:val="22"/>
                <w:vertAlign w:val="superscript"/>
                <w:lang w:eastAsia="en-US"/>
              </w:rPr>
              <w:t>/</w:t>
            </w:r>
          </w:p>
          <w:p w14:paraId="48B2B990" w14:textId="77777777" w:rsidR="00DB215C" w:rsidRPr="00DB215C" w:rsidRDefault="00DB215C" w:rsidP="00DB215C">
            <w:pPr>
              <w:jc w:val="center"/>
              <w:rPr>
                <w:rFonts w:eastAsia="Calibri"/>
                <w:b/>
                <w:bCs/>
                <w:sz w:val="22"/>
                <w:szCs w:val="22"/>
                <w:lang w:eastAsia="en-US"/>
              </w:rPr>
            </w:pPr>
            <w:r w:rsidRPr="00DB215C">
              <w:rPr>
                <w:rFonts w:eastAsia="Calibri"/>
                <w:b/>
                <w:bCs/>
                <w:sz w:val="22"/>
                <w:szCs w:val="22"/>
                <w:lang w:eastAsia="en-US"/>
              </w:rPr>
              <w:t>-Cifras en porcentaje-</w:t>
            </w:r>
          </w:p>
          <w:p w14:paraId="0B859931" w14:textId="77777777" w:rsidR="00DB215C" w:rsidRPr="00DB215C" w:rsidRDefault="00DB215C" w:rsidP="00DB215C">
            <w:pPr>
              <w:jc w:val="center"/>
              <w:rPr>
                <w:rFonts w:eastAsia="Calibri"/>
                <w:bCs/>
                <w:color w:val="365F91"/>
                <w:sz w:val="22"/>
                <w:szCs w:val="22"/>
                <w:lang w:eastAsia="en-US"/>
              </w:rPr>
            </w:pPr>
          </w:p>
        </w:tc>
      </w:tr>
      <w:tr w:rsidR="00DB215C" w:rsidRPr="00DB215C" w14:paraId="45EAD296" w14:textId="77777777" w:rsidTr="00EB0468">
        <w:trPr>
          <w:trHeight w:val="312"/>
          <w:jc w:val="center"/>
        </w:trPr>
        <w:tc>
          <w:tcPr>
            <w:tcW w:w="284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DB96E0A" w14:textId="77777777" w:rsidR="00DB215C" w:rsidRPr="00DB215C" w:rsidRDefault="00DB215C" w:rsidP="00DB215C">
            <w:pPr>
              <w:jc w:val="center"/>
              <w:rPr>
                <w:rFonts w:eastAsia="Calibri"/>
                <w:bCs/>
                <w:sz w:val="18"/>
                <w:szCs w:val="18"/>
                <w:lang w:eastAsia="en-US"/>
              </w:rPr>
            </w:pP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BF3866" w14:textId="77777777" w:rsidR="00DB215C" w:rsidRPr="00DB215C" w:rsidRDefault="00DB215C" w:rsidP="00DB215C">
            <w:pPr>
              <w:jc w:val="center"/>
              <w:rPr>
                <w:rFonts w:eastAsia="Calibri"/>
                <w:b/>
                <w:sz w:val="18"/>
                <w:szCs w:val="18"/>
                <w:lang w:eastAsia="en-US"/>
              </w:rPr>
            </w:pPr>
            <w:r w:rsidRPr="00DB215C">
              <w:rPr>
                <w:rFonts w:eastAsia="Calibri"/>
                <w:b/>
                <w:sz w:val="18"/>
                <w:szCs w:val="18"/>
                <w:lang w:eastAsia="en-US"/>
              </w:rPr>
              <w:t>2014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BE34E75" w14:textId="77777777" w:rsidR="00DB215C" w:rsidRPr="00DB215C" w:rsidRDefault="00DB215C" w:rsidP="00DB215C">
            <w:pPr>
              <w:jc w:val="center"/>
              <w:rPr>
                <w:rFonts w:eastAsia="Calibri"/>
                <w:b/>
                <w:sz w:val="18"/>
                <w:szCs w:val="18"/>
                <w:lang w:eastAsia="en-US"/>
              </w:rPr>
            </w:pPr>
            <w:r w:rsidRPr="00DB215C">
              <w:rPr>
                <w:rFonts w:eastAsia="Calibri"/>
                <w:b/>
                <w:sz w:val="18"/>
                <w:szCs w:val="18"/>
                <w:lang w:eastAsia="en-US"/>
              </w:rPr>
              <w:t>2015</w:t>
            </w:r>
          </w:p>
        </w:tc>
        <w:tc>
          <w:tcPr>
            <w:tcW w:w="232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45E18D" w14:textId="77777777" w:rsidR="00DB215C" w:rsidRPr="00DB215C" w:rsidRDefault="00DB215C" w:rsidP="00DB215C">
            <w:pPr>
              <w:jc w:val="center"/>
              <w:rPr>
                <w:rFonts w:eastAsia="Calibri"/>
                <w:b/>
                <w:bCs/>
                <w:sz w:val="18"/>
                <w:szCs w:val="18"/>
                <w:lang w:eastAsia="en-US"/>
              </w:rPr>
            </w:pPr>
            <w:r w:rsidRPr="00DB215C">
              <w:rPr>
                <w:rFonts w:eastAsia="Calibri"/>
                <w:b/>
                <w:bCs/>
                <w:sz w:val="18"/>
                <w:szCs w:val="18"/>
                <w:lang w:eastAsia="en-US"/>
              </w:rPr>
              <w:t>Diferencia en PP</w:t>
            </w:r>
          </w:p>
        </w:tc>
      </w:tr>
      <w:tr w:rsidR="00DB215C" w:rsidRPr="00DB215C" w14:paraId="68AB557F" w14:textId="77777777" w:rsidTr="00EB0468">
        <w:trPr>
          <w:trHeight w:val="281"/>
          <w:jc w:val="center"/>
        </w:trPr>
        <w:tc>
          <w:tcPr>
            <w:tcW w:w="284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C9DA1B4" w14:textId="77777777" w:rsidR="00DB215C" w:rsidRPr="00DB215C" w:rsidRDefault="00DB215C" w:rsidP="00DB215C">
            <w:pPr>
              <w:jc w:val="center"/>
              <w:rPr>
                <w:rFonts w:eastAsia="Calibri"/>
                <w:bCs/>
                <w:sz w:val="18"/>
                <w:szCs w:val="18"/>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6514EBC" w14:textId="77777777" w:rsidR="00DB215C" w:rsidRPr="00DB215C" w:rsidRDefault="00DB215C" w:rsidP="00DB215C">
            <w:pPr>
              <w:jc w:val="center"/>
              <w:rPr>
                <w:rFonts w:eastAsia="Calibri"/>
                <w:b/>
                <w:sz w:val="20"/>
                <w:szCs w:val="20"/>
                <w:lang w:eastAsia="en-US"/>
              </w:rPr>
            </w:pPr>
            <w:r w:rsidRPr="00DB215C">
              <w:rPr>
                <w:rFonts w:eastAsia="Calibri"/>
                <w:b/>
                <w:sz w:val="20"/>
                <w:szCs w:val="20"/>
                <w:lang w:eastAsia="en-US"/>
              </w:rPr>
              <w:t>Enero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8463BB2" w14:textId="77777777" w:rsidR="00DB215C" w:rsidRPr="00DB215C" w:rsidRDefault="00DB215C" w:rsidP="00DB215C">
            <w:pPr>
              <w:jc w:val="center"/>
              <w:rPr>
                <w:rFonts w:eastAsia="Calibri"/>
                <w:b/>
                <w:sz w:val="20"/>
                <w:szCs w:val="20"/>
                <w:lang w:eastAsia="en-US"/>
              </w:rPr>
            </w:pPr>
            <w:r w:rsidRPr="00DB215C">
              <w:rPr>
                <w:rFonts w:eastAsia="Calibri"/>
                <w:b/>
                <w:sz w:val="20"/>
                <w:szCs w:val="20"/>
                <w:lang w:eastAsia="en-US"/>
              </w:rPr>
              <w:t>Diciembre</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96CD462" w14:textId="77777777" w:rsidR="00DB215C" w:rsidRPr="00DB215C" w:rsidRDefault="00DB215C" w:rsidP="00DB215C">
            <w:pPr>
              <w:jc w:val="center"/>
              <w:rPr>
                <w:rFonts w:eastAsia="Calibri"/>
                <w:b/>
                <w:sz w:val="20"/>
                <w:szCs w:val="20"/>
                <w:lang w:eastAsia="en-US"/>
              </w:rPr>
            </w:pPr>
            <w:r w:rsidRPr="00DB215C">
              <w:rPr>
                <w:rFonts w:eastAsia="Calibri"/>
                <w:b/>
                <w:sz w:val="20"/>
                <w:szCs w:val="20"/>
                <w:lang w:eastAsia="en-US"/>
              </w:rPr>
              <w:t>Enero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F1CA0B3" w14:textId="77777777" w:rsidR="00DB215C" w:rsidRPr="00DB215C" w:rsidRDefault="00DB215C" w:rsidP="00DB215C">
            <w:pPr>
              <w:jc w:val="center"/>
              <w:rPr>
                <w:rFonts w:eastAsia="Calibri"/>
                <w:b/>
                <w:sz w:val="18"/>
                <w:szCs w:val="18"/>
                <w:lang w:eastAsia="en-US"/>
              </w:rPr>
            </w:pPr>
            <w:r w:rsidRPr="00DB215C">
              <w:rPr>
                <w:rFonts w:eastAsia="Calibri"/>
                <w:b/>
                <w:sz w:val="18"/>
                <w:szCs w:val="18"/>
                <w:lang w:eastAsia="en-US"/>
              </w:rPr>
              <w:t>Anual</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14:paraId="484DB87C" w14:textId="77777777" w:rsidR="00DB215C" w:rsidRPr="00DB215C" w:rsidRDefault="00DB215C" w:rsidP="00DB215C">
            <w:pPr>
              <w:jc w:val="center"/>
              <w:rPr>
                <w:rFonts w:eastAsia="Calibri"/>
                <w:b/>
                <w:bCs/>
                <w:sz w:val="18"/>
                <w:szCs w:val="18"/>
                <w:lang w:eastAsia="en-US"/>
              </w:rPr>
            </w:pPr>
            <w:r w:rsidRPr="00DB215C">
              <w:rPr>
                <w:rFonts w:eastAsia="Calibri"/>
                <w:b/>
                <w:bCs/>
                <w:sz w:val="18"/>
                <w:szCs w:val="18"/>
                <w:lang w:eastAsia="en-US"/>
              </w:rPr>
              <w:t>Mensual</w:t>
            </w:r>
          </w:p>
        </w:tc>
      </w:tr>
      <w:tr w:rsidR="00DB215C" w:rsidRPr="00DB215C" w14:paraId="444DC309" w14:textId="77777777" w:rsidTr="00EB0468">
        <w:trPr>
          <w:trHeight w:val="271"/>
          <w:jc w:val="center"/>
        </w:trPr>
        <w:tc>
          <w:tcPr>
            <w:tcW w:w="2840" w:type="dxa"/>
            <w:tcBorders>
              <w:top w:val="single" w:sz="4" w:space="0" w:color="auto"/>
              <w:left w:val="single" w:sz="4" w:space="0" w:color="auto"/>
              <w:bottom w:val="nil"/>
              <w:right w:val="single" w:sz="4" w:space="0" w:color="auto"/>
            </w:tcBorders>
            <w:shd w:val="clear" w:color="auto" w:fill="auto"/>
            <w:vAlign w:val="center"/>
          </w:tcPr>
          <w:p w14:paraId="0FFBCAEC" w14:textId="77777777" w:rsidR="00DB215C" w:rsidRPr="00DB215C" w:rsidRDefault="00DB215C" w:rsidP="00DB215C">
            <w:pPr>
              <w:spacing w:before="120"/>
              <w:rPr>
                <w:rFonts w:eastAsia="Calibri"/>
                <w:b/>
                <w:bCs/>
                <w:sz w:val="18"/>
                <w:szCs w:val="18"/>
                <w:lang w:val="en-US" w:eastAsia="en-US"/>
              </w:rPr>
            </w:pPr>
            <w:r w:rsidRPr="00DB215C">
              <w:rPr>
                <w:rFonts w:eastAsia="Calibri"/>
                <w:b/>
                <w:bCs/>
                <w:sz w:val="18"/>
                <w:szCs w:val="18"/>
                <w:lang w:val="en-US" w:eastAsia="en-US"/>
              </w:rPr>
              <w:t>Cartera de crédito total</w:t>
            </w:r>
          </w:p>
        </w:tc>
        <w:tc>
          <w:tcPr>
            <w:tcW w:w="1134" w:type="dxa"/>
            <w:tcBorders>
              <w:top w:val="single" w:sz="4" w:space="0" w:color="auto"/>
              <w:left w:val="single" w:sz="4" w:space="0" w:color="auto"/>
              <w:right w:val="single" w:sz="4" w:space="0" w:color="auto"/>
            </w:tcBorders>
            <w:shd w:val="clear" w:color="auto" w:fill="auto"/>
            <w:vAlign w:val="center"/>
          </w:tcPr>
          <w:p w14:paraId="49A474C9" w14:textId="77777777" w:rsidR="00DB215C" w:rsidRPr="00DB215C" w:rsidRDefault="00DB215C" w:rsidP="00DB215C">
            <w:pPr>
              <w:spacing w:before="120"/>
              <w:ind w:right="284"/>
              <w:jc w:val="right"/>
              <w:rPr>
                <w:rFonts w:eastAsia="Calibri"/>
                <w:b/>
                <w:sz w:val="18"/>
                <w:szCs w:val="18"/>
                <w:lang w:val="en-US" w:eastAsia="en-US"/>
              </w:rPr>
            </w:pPr>
            <w:r w:rsidRPr="00DB215C">
              <w:rPr>
                <w:rFonts w:eastAsia="Calibri"/>
                <w:b/>
                <w:sz w:val="18"/>
                <w:szCs w:val="18"/>
                <w:lang w:val="en-US" w:eastAsia="en-US"/>
              </w:rPr>
              <w:t>4.99</w:t>
            </w:r>
          </w:p>
        </w:tc>
        <w:tc>
          <w:tcPr>
            <w:tcW w:w="1134" w:type="dxa"/>
            <w:tcBorders>
              <w:top w:val="single" w:sz="4" w:space="0" w:color="auto"/>
              <w:left w:val="single" w:sz="4" w:space="0" w:color="auto"/>
              <w:bottom w:val="nil"/>
              <w:right w:val="single" w:sz="4" w:space="0" w:color="auto"/>
            </w:tcBorders>
            <w:shd w:val="clear" w:color="auto" w:fill="auto"/>
            <w:vAlign w:val="center"/>
          </w:tcPr>
          <w:p w14:paraId="45210D93" w14:textId="77777777" w:rsidR="00DB215C" w:rsidRPr="00DB215C" w:rsidRDefault="00DB215C" w:rsidP="00DB215C">
            <w:pPr>
              <w:spacing w:before="120"/>
              <w:ind w:right="227"/>
              <w:jc w:val="right"/>
              <w:rPr>
                <w:rFonts w:eastAsia="Calibri"/>
                <w:b/>
                <w:sz w:val="18"/>
                <w:szCs w:val="18"/>
                <w:lang w:val="en-US" w:eastAsia="en-US"/>
              </w:rPr>
            </w:pPr>
            <w:r w:rsidRPr="00DB215C">
              <w:rPr>
                <w:rFonts w:eastAsia="Calibri"/>
                <w:b/>
                <w:sz w:val="18"/>
                <w:szCs w:val="18"/>
                <w:lang w:val="en-US" w:eastAsia="en-US"/>
              </w:rPr>
              <w:t>4.16</w:t>
            </w:r>
          </w:p>
        </w:tc>
        <w:tc>
          <w:tcPr>
            <w:tcW w:w="1134" w:type="dxa"/>
            <w:tcBorders>
              <w:top w:val="single" w:sz="4" w:space="0" w:color="auto"/>
              <w:left w:val="single" w:sz="4" w:space="0" w:color="auto"/>
              <w:right w:val="single" w:sz="4" w:space="0" w:color="auto"/>
            </w:tcBorders>
            <w:shd w:val="clear" w:color="auto" w:fill="auto"/>
            <w:vAlign w:val="center"/>
          </w:tcPr>
          <w:p w14:paraId="20128FFA" w14:textId="77777777" w:rsidR="00DB215C" w:rsidRPr="00DB215C" w:rsidRDefault="00DB215C" w:rsidP="00DB215C">
            <w:pPr>
              <w:spacing w:before="120"/>
              <w:ind w:right="227"/>
              <w:jc w:val="right"/>
              <w:rPr>
                <w:rFonts w:eastAsia="Calibri"/>
                <w:b/>
                <w:sz w:val="18"/>
                <w:szCs w:val="18"/>
                <w:lang w:val="en-US" w:eastAsia="en-US"/>
              </w:rPr>
            </w:pPr>
            <w:r w:rsidRPr="00DB215C">
              <w:rPr>
                <w:rFonts w:eastAsia="Calibri"/>
                <w:b/>
                <w:sz w:val="18"/>
                <w:szCs w:val="18"/>
                <w:lang w:val="en-US" w:eastAsia="en-US"/>
              </w:rPr>
              <w:t>4.07</w:t>
            </w:r>
          </w:p>
        </w:tc>
        <w:tc>
          <w:tcPr>
            <w:tcW w:w="1134" w:type="dxa"/>
            <w:tcBorders>
              <w:top w:val="single" w:sz="4" w:space="0" w:color="auto"/>
              <w:left w:val="single" w:sz="4" w:space="0" w:color="auto"/>
              <w:bottom w:val="nil"/>
              <w:right w:val="single" w:sz="4" w:space="0" w:color="auto"/>
            </w:tcBorders>
            <w:shd w:val="clear" w:color="auto" w:fill="auto"/>
            <w:vAlign w:val="center"/>
          </w:tcPr>
          <w:p w14:paraId="032A3FEB" w14:textId="77777777" w:rsidR="00DB215C" w:rsidRPr="00DB215C" w:rsidRDefault="00DB215C" w:rsidP="00DB215C">
            <w:pPr>
              <w:spacing w:before="120"/>
              <w:ind w:right="170"/>
              <w:jc w:val="right"/>
              <w:rPr>
                <w:rFonts w:eastAsia="Calibri"/>
                <w:b/>
                <w:sz w:val="18"/>
                <w:szCs w:val="18"/>
                <w:lang w:val="en-US" w:eastAsia="en-US"/>
              </w:rPr>
            </w:pPr>
            <w:r w:rsidRPr="00DB215C">
              <w:rPr>
                <w:rFonts w:eastAsia="Calibri"/>
                <w:b/>
                <w:sz w:val="18"/>
                <w:szCs w:val="18"/>
                <w:lang w:val="en-US" w:eastAsia="en-US"/>
              </w:rPr>
              <w:t>-0.92</w:t>
            </w:r>
          </w:p>
        </w:tc>
        <w:tc>
          <w:tcPr>
            <w:tcW w:w="1188" w:type="dxa"/>
            <w:tcBorders>
              <w:top w:val="single" w:sz="4" w:space="0" w:color="auto"/>
              <w:left w:val="single" w:sz="4" w:space="0" w:color="auto"/>
              <w:bottom w:val="nil"/>
              <w:right w:val="single" w:sz="4" w:space="0" w:color="auto"/>
            </w:tcBorders>
            <w:shd w:val="clear" w:color="auto" w:fill="auto"/>
            <w:vAlign w:val="center"/>
          </w:tcPr>
          <w:p w14:paraId="06E2C289" w14:textId="77777777" w:rsidR="00DB215C" w:rsidRPr="00DB215C" w:rsidRDefault="00DB215C" w:rsidP="00DB215C">
            <w:pPr>
              <w:spacing w:before="120"/>
              <w:ind w:right="284"/>
              <w:jc w:val="right"/>
              <w:rPr>
                <w:rFonts w:eastAsia="Calibri"/>
                <w:b/>
                <w:bCs/>
                <w:sz w:val="18"/>
                <w:szCs w:val="18"/>
                <w:lang w:val="en-US" w:eastAsia="en-US"/>
              </w:rPr>
            </w:pPr>
            <w:r w:rsidRPr="00DB215C">
              <w:rPr>
                <w:rFonts w:eastAsia="Calibri"/>
                <w:b/>
                <w:bCs/>
                <w:sz w:val="18"/>
                <w:szCs w:val="18"/>
                <w:lang w:val="en-US" w:eastAsia="en-US"/>
              </w:rPr>
              <w:t>-0.09</w:t>
            </w:r>
          </w:p>
        </w:tc>
      </w:tr>
      <w:tr w:rsidR="00DB215C" w:rsidRPr="00DB215C" w14:paraId="685C44BB" w14:textId="77777777" w:rsidTr="00DB215C">
        <w:trPr>
          <w:trHeight w:val="271"/>
          <w:jc w:val="center"/>
        </w:trPr>
        <w:tc>
          <w:tcPr>
            <w:tcW w:w="2840" w:type="dxa"/>
            <w:tcBorders>
              <w:top w:val="nil"/>
              <w:left w:val="single" w:sz="4" w:space="0" w:color="auto"/>
              <w:bottom w:val="nil"/>
              <w:right w:val="single" w:sz="4" w:space="0" w:color="auto"/>
            </w:tcBorders>
            <w:shd w:val="clear" w:color="auto" w:fill="auto"/>
            <w:vAlign w:val="center"/>
          </w:tcPr>
          <w:p w14:paraId="764002C1" w14:textId="77777777" w:rsidR="00DB215C" w:rsidRPr="00DB215C" w:rsidRDefault="00DB215C" w:rsidP="00DB215C">
            <w:pPr>
              <w:ind w:left="170"/>
              <w:rPr>
                <w:rFonts w:eastAsia="Calibri"/>
                <w:bCs/>
                <w:sz w:val="18"/>
                <w:szCs w:val="18"/>
                <w:lang w:val="en-US" w:eastAsia="en-US"/>
              </w:rPr>
            </w:pPr>
            <w:r w:rsidRPr="00DB215C">
              <w:rPr>
                <w:rFonts w:eastAsia="Calibri"/>
                <w:bCs/>
                <w:sz w:val="18"/>
                <w:szCs w:val="18"/>
                <w:lang w:val="en-US" w:eastAsia="en-US"/>
              </w:rPr>
              <w:t>Créditos comerciales</w:t>
            </w:r>
          </w:p>
        </w:tc>
        <w:tc>
          <w:tcPr>
            <w:tcW w:w="1134" w:type="dxa"/>
            <w:tcBorders>
              <w:left w:val="single" w:sz="4" w:space="0" w:color="auto"/>
              <w:right w:val="single" w:sz="4" w:space="0" w:color="auto"/>
            </w:tcBorders>
            <w:shd w:val="clear" w:color="auto" w:fill="auto"/>
            <w:vAlign w:val="center"/>
          </w:tcPr>
          <w:p w14:paraId="10B69682" w14:textId="77777777" w:rsidR="00DB215C" w:rsidRPr="00DB215C" w:rsidRDefault="00DB215C" w:rsidP="00DB215C">
            <w:pPr>
              <w:ind w:right="284"/>
              <w:jc w:val="right"/>
              <w:rPr>
                <w:rFonts w:eastAsia="Calibri"/>
                <w:sz w:val="18"/>
                <w:szCs w:val="18"/>
                <w:lang w:val="en-US" w:eastAsia="en-US"/>
              </w:rPr>
            </w:pPr>
            <w:r w:rsidRPr="00DB215C">
              <w:rPr>
                <w:rFonts w:eastAsia="Calibri"/>
                <w:sz w:val="18"/>
                <w:szCs w:val="18"/>
                <w:lang w:val="en-US" w:eastAsia="en-US"/>
              </w:rPr>
              <w:t>3.69</w:t>
            </w:r>
          </w:p>
        </w:tc>
        <w:tc>
          <w:tcPr>
            <w:tcW w:w="1134" w:type="dxa"/>
            <w:tcBorders>
              <w:top w:val="nil"/>
              <w:left w:val="single" w:sz="4" w:space="0" w:color="auto"/>
              <w:bottom w:val="nil"/>
              <w:right w:val="single" w:sz="4" w:space="0" w:color="auto"/>
            </w:tcBorders>
            <w:shd w:val="clear" w:color="auto" w:fill="auto"/>
            <w:vAlign w:val="center"/>
          </w:tcPr>
          <w:p w14:paraId="47B8BE63" w14:textId="77777777" w:rsidR="00DB215C" w:rsidRPr="00DB215C" w:rsidRDefault="00DB215C" w:rsidP="00DB215C">
            <w:pPr>
              <w:ind w:right="227"/>
              <w:jc w:val="right"/>
              <w:rPr>
                <w:rFonts w:eastAsia="Calibri"/>
                <w:sz w:val="18"/>
                <w:szCs w:val="18"/>
                <w:lang w:val="en-US" w:eastAsia="en-US"/>
              </w:rPr>
            </w:pPr>
            <w:r w:rsidRPr="00DB215C">
              <w:rPr>
                <w:rFonts w:eastAsia="Calibri"/>
                <w:sz w:val="18"/>
                <w:szCs w:val="18"/>
                <w:lang w:val="en-US" w:eastAsia="en-US"/>
              </w:rPr>
              <w:t>2.70</w:t>
            </w:r>
          </w:p>
        </w:tc>
        <w:tc>
          <w:tcPr>
            <w:tcW w:w="1134" w:type="dxa"/>
            <w:tcBorders>
              <w:left w:val="single" w:sz="4" w:space="0" w:color="auto"/>
              <w:right w:val="single" w:sz="4" w:space="0" w:color="auto"/>
            </w:tcBorders>
            <w:shd w:val="clear" w:color="auto" w:fill="auto"/>
            <w:vAlign w:val="center"/>
          </w:tcPr>
          <w:p w14:paraId="156CA88B" w14:textId="77777777" w:rsidR="00DB215C" w:rsidRPr="00DB215C" w:rsidRDefault="00DB215C" w:rsidP="00DB215C">
            <w:pPr>
              <w:ind w:right="227"/>
              <w:jc w:val="right"/>
              <w:rPr>
                <w:rFonts w:eastAsia="Calibri"/>
                <w:sz w:val="18"/>
                <w:szCs w:val="18"/>
                <w:lang w:val="en-US" w:eastAsia="en-US"/>
              </w:rPr>
            </w:pPr>
            <w:r w:rsidRPr="00DB215C">
              <w:rPr>
                <w:rFonts w:eastAsia="Calibri"/>
                <w:sz w:val="18"/>
                <w:szCs w:val="18"/>
                <w:lang w:val="en-US" w:eastAsia="en-US"/>
              </w:rPr>
              <w:t>2.58</w:t>
            </w:r>
          </w:p>
        </w:tc>
        <w:tc>
          <w:tcPr>
            <w:tcW w:w="1134" w:type="dxa"/>
            <w:tcBorders>
              <w:top w:val="nil"/>
              <w:left w:val="single" w:sz="4" w:space="0" w:color="auto"/>
              <w:bottom w:val="nil"/>
              <w:right w:val="single" w:sz="4" w:space="0" w:color="auto"/>
            </w:tcBorders>
            <w:shd w:val="clear" w:color="auto" w:fill="auto"/>
            <w:vAlign w:val="center"/>
          </w:tcPr>
          <w:p w14:paraId="048AA867" w14:textId="77777777" w:rsidR="00DB215C" w:rsidRPr="00DB215C" w:rsidRDefault="00DB215C" w:rsidP="00DB215C">
            <w:pPr>
              <w:ind w:right="170"/>
              <w:jc w:val="right"/>
              <w:rPr>
                <w:rFonts w:eastAsia="Calibri"/>
                <w:sz w:val="18"/>
                <w:szCs w:val="18"/>
                <w:lang w:val="en-US" w:eastAsia="en-US"/>
              </w:rPr>
            </w:pPr>
            <w:r w:rsidRPr="00DB215C">
              <w:rPr>
                <w:rFonts w:eastAsia="Calibri"/>
                <w:sz w:val="18"/>
                <w:szCs w:val="18"/>
                <w:lang w:val="en-US" w:eastAsia="en-US"/>
              </w:rPr>
              <w:t>-1.11</w:t>
            </w:r>
          </w:p>
        </w:tc>
        <w:tc>
          <w:tcPr>
            <w:tcW w:w="1188" w:type="dxa"/>
            <w:tcBorders>
              <w:top w:val="nil"/>
              <w:left w:val="single" w:sz="4" w:space="0" w:color="auto"/>
              <w:bottom w:val="nil"/>
              <w:right w:val="single" w:sz="4" w:space="0" w:color="auto"/>
            </w:tcBorders>
            <w:shd w:val="clear" w:color="auto" w:fill="auto"/>
            <w:vAlign w:val="center"/>
          </w:tcPr>
          <w:p w14:paraId="566B2AF8" w14:textId="77777777" w:rsidR="00DB215C" w:rsidRPr="00DB215C" w:rsidRDefault="00DB215C" w:rsidP="00DB215C">
            <w:pPr>
              <w:ind w:right="284"/>
              <w:jc w:val="right"/>
              <w:rPr>
                <w:rFonts w:eastAsia="Calibri"/>
                <w:bCs/>
                <w:sz w:val="18"/>
                <w:szCs w:val="18"/>
                <w:lang w:val="en-US" w:eastAsia="en-US"/>
              </w:rPr>
            </w:pPr>
            <w:r w:rsidRPr="00DB215C">
              <w:rPr>
                <w:rFonts w:eastAsia="Calibri"/>
                <w:bCs/>
                <w:sz w:val="18"/>
                <w:szCs w:val="18"/>
                <w:lang w:val="en-US" w:eastAsia="en-US"/>
              </w:rPr>
              <w:t>-0.12</w:t>
            </w:r>
          </w:p>
        </w:tc>
      </w:tr>
      <w:tr w:rsidR="00DB215C" w:rsidRPr="00DB215C" w14:paraId="709BDC50" w14:textId="77777777" w:rsidTr="00DB215C">
        <w:trPr>
          <w:trHeight w:val="271"/>
          <w:jc w:val="center"/>
        </w:trPr>
        <w:tc>
          <w:tcPr>
            <w:tcW w:w="2840" w:type="dxa"/>
            <w:tcBorders>
              <w:top w:val="nil"/>
              <w:left w:val="single" w:sz="4" w:space="0" w:color="auto"/>
              <w:bottom w:val="nil"/>
              <w:right w:val="single" w:sz="4" w:space="0" w:color="auto"/>
            </w:tcBorders>
            <w:shd w:val="clear" w:color="auto" w:fill="auto"/>
            <w:vAlign w:val="center"/>
          </w:tcPr>
          <w:p w14:paraId="36C5B591" w14:textId="77777777" w:rsidR="00DB215C" w:rsidRPr="00DB215C" w:rsidRDefault="00DB215C" w:rsidP="00DB215C">
            <w:pPr>
              <w:ind w:left="170"/>
              <w:rPr>
                <w:rFonts w:eastAsia="Calibri"/>
                <w:bCs/>
                <w:sz w:val="18"/>
                <w:szCs w:val="18"/>
                <w:lang w:val="en-US" w:eastAsia="en-US"/>
              </w:rPr>
            </w:pPr>
            <w:r w:rsidRPr="00DB215C">
              <w:rPr>
                <w:rFonts w:eastAsia="Calibri"/>
                <w:bCs/>
                <w:sz w:val="18"/>
                <w:szCs w:val="18"/>
                <w:lang w:val="en-US" w:eastAsia="en-US"/>
              </w:rPr>
              <w:t>Empresas</w:t>
            </w:r>
          </w:p>
        </w:tc>
        <w:tc>
          <w:tcPr>
            <w:tcW w:w="1134" w:type="dxa"/>
            <w:tcBorders>
              <w:left w:val="single" w:sz="4" w:space="0" w:color="auto"/>
              <w:right w:val="single" w:sz="4" w:space="0" w:color="auto"/>
            </w:tcBorders>
            <w:shd w:val="clear" w:color="auto" w:fill="auto"/>
            <w:vAlign w:val="center"/>
          </w:tcPr>
          <w:p w14:paraId="59D34A46" w14:textId="77777777" w:rsidR="00DB215C" w:rsidRPr="00DB215C" w:rsidRDefault="00DB215C" w:rsidP="00DB215C">
            <w:pPr>
              <w:ind w:right="284"/>
              <w:jc w:val="right"/>
              <w:rPr>
                <w:rFonts w:eastAsia="Calibri"/>
                <w:sz w:val="18"/>
                <w:szCs w:val="18"/>
                <w:lang w:val="en-US" w:eastAsia="en-US"/>
              </w:rPr>
            </w:pPr>
            <w:r w:rsidRPr="00DB215C">
              <w:rPr>
                <w:rFonts w:eastAsia="Calibri"/>
                <w:sz w:val="18"/>
                <w:szCs w:val="18"/>
                <w:lang w:val="en-US" w:eastAsia="en-US"/>
              </w:rPr>
              <w:t>4.51</w:t>
            </w:r>
          </w:p>
        </w:tc>
        <w:tc>
          <w:tcPr>
            <w:tcW w:w="1134" w:type="dxa"/>
            <w:tcBorders>
              <w:top w:val="nil"/>
              <w:left w:val="single" w:sz="4" w:space="0" w:color="auto"/>
              <w:bottom w:val="nil"/>
              <w:right w:val="single" w:sz="4" w:space="0" w:color="auto"/>
            </w:tcBorders>
            <w:shd w:val="clear" w:color="auto" w:fill="auto"/>
            <w:vAlign w:val="center"/>
          </w:tcPr>
          <w:p w14:paraId="19D54E07" w14:textId="77777777" w:rsidR="00DB215C" w:rsidRPr="00DB215C" w:rsidRDefault="00DB215C" w:rsidP="00DB215C">
            <w:pPr>
              <w:ind w:right="227"/>
              <w:jc w:val="right"/>
              <w:rPr>
                <w:rFonts w:eastAsia="Calibri"/>
                <w:sz w:val="18"/>
                <w:szCs w:val="18"/>
                <w:lang w:val="en-US" w:eastAsia="en-US"/>
              </w:rPr>
            </w:pPr>
            <w:r w:rsidRPr="00DB215C">
              <w:rPr>
                <w:rFonts w:eastAsia="Calibri"/>
                <w:sz w:val="18"/>
                <w:szCs w:val="18"/>
                <w:lang w:val="en-US" w:eastAsia="en-US"/>
              </w:rPr>
              <w:t>3.39</w:t>
            </w:r>
          </w:p>
        </w:tc>
        <w:tc>
          <w:tcPr>
            <w:tcW w:w="1134" w:type="dxa"/>
            <w:tcBorders>
              <w:left w:val="single" w:sz="4" w:space="0" w:color="auto"/>
              <w:right w:val="single" w:sz="4" w:space="0" w:color="auto"/>
            </w:tcBorders>
            <w:shd w:val="clear" w:color="auto" w:fill="auto"/>
            <w:vAlign w:val="center"/>
          </w:tcPr>
          <w:p w14:paraId="271F19EB" w14:textId="77777777" w:rsidR="00DB215C" w:rsidRPr="00DB215C" w:rsidRDefault="00DB215C" w:rsidP="00DB215C">
            <w:pPr>
              <w:ind w:right="227"/>
              <w:jc w:val="right"/>
              <w:rPr>
                <w:rFonts w:eastAsia="Calibri"/>
                <w:sz w:val="18"/>
                <w:szCs w:val="18"/>
                <w:lang w:val="en-US" w:eastAsia="en-US"/>
              </w:rPr>
            </w:pPr>
            <w:r w:rsidRPr="00DB215C">
              <w:rPr>
                <w:rFonts w:eastAsia="Calibri"/>
                <w:sz w:val="18"/>
                <w:szCs w:val="18"/>
                <w:lang w:val="en-US" w:eastAsia="en-US"/>
              </w:rPr>
              <w:t>3.24</w:t>
            </w:r>
          </w:p>
        </w:tc>
        <w:tc>
          <w:tcPr>
            <w:tcW w:w="1134" w:type="dxa"/>
            <w:tcBorders>
              <w:top w:val="nil"/>
              <w:left w:val="single" w:sz="4" w:space="0" w:color="auto"/>
              <w:bottom w:val="nil"/>
              <w:right w:val="single" w:sz="4" w:space="0" w:color="auto"/>
            </w:tcBorders>
            <w:shd w:val="clear" w:color="auto" w:fill="auto"/>
            <w:vAlign w:val="center"/>
          </w:tcPr>
          <w:p w14:paraId="6F3208C3" w14:textId="77777777" w:rsidR="00DB215C" w:rsidRPr="00DB215C" w:rsidRDefault="00DB215C" w:rsidP="00DB215C">
            <w:pPr>
              <w:ind w:right="170"/>
              <w:jc w:val="right"/>
              <w:rPr>
                <w:rFonts w:eastAsia="Calibri"/>
                <w:sz w:val="18"/>
                <w:szCs w:val="18"/>
                <w:lang w:val="en-US" w:eastAsia="en-US"/>
              </w:rPr>
            </w:pPr>
            <w:r w:rsidRPr="00DB215C">
              <w:rPr>
                <w:rFonts w:eastAsia="Calibri"/>
                <w:sz w:val="18"/>
                <w:szCs w:val="18"/>
                <w:lang w:val="en-US" w:eastAsia="en-US"/>
              </w:rPr>
              <w:t>-1.27</w:t>
            </w:r>
          </w:p>
        </w:tc>
        <w:tc>
          <w:tcPr>
            <w:tcW w:w="1188" w:type="dxa"/>
            <w:tcBorders>
              <w:top w:val="nil"/>
              <w:left w:val="single" w:sz="4" w:space="0" w:color="auto"/>
              <w:bottom w:val="nil"/>
              <w:right w:val="single" w:sz="4" w:space="0" w:color="auto"/>
            </w:tcBorders>
            <w:shd w:val="clear" w:color="auto" w:fill="auto"/>
            <w:vAlign w:val="center"/>
          </w:tcPr>
          <w:p w14:paraId="6D870A1D" w14:textId="77777777" w:rsidR="00DB215C" w:rsidRPr="00DB215C" w:rsidRDefault="00DB215C" w:rsidP="00DB215C">
            <w:pPr>
              <w:ind w:right="284"/>
              <w:jc w:val="right"/>
              <w:rPr>
                <w:rFonts w:eastAsia="Calibri"/>
                <w:bCs/>
                <w:sz w:val="18"/>
                <w:szCs w:val="18"/>
                <w:lang w:val="en-US" w:eastAsia="en-US"/>
              </w:rPr>
            </w:pPr>
            <w:r w:rsidRPr="00DB215C">
              <w:rPr>
                <w:rFonts w:eastAsia="Calibri"/>
                <w:bCs/>
                <w:sz w:val="18"/>
                <w:szCs w:val="18"/>
                <w:lang w:val="en-US" w:eastAsia="en-US"/>
              </w:rPr>
              <w:t>-0.15</w:t>
            </w:r>
          </w:p>
        </w:tc>
      </w:tr>
      <w:tr w:rsidR="00DB215C" w:rsidRPr="00DB215C" w14:paraId="153AD632" w14:textId="77777777" w:rsidTr="00DB215C">
        <w:trPr>
          <w:trHeight w:val="271"/>
          <w:jc w:val="center"/>
        </w:trPr>
        <w:tc>
          <w:tcPr>
            <w:tcW w:w="2840" w:type="dxa"/>
            <w:tcBorders>
              <w:top w:val="nil"/>
              <w:left w:val="single" w:sz="4" w:space="0" w:color="auto"/>
              <w:bottom w:val="nil"/>
              <w:right w:val="single" w:sz="4" w:space="0" w:color="auto"/>
            </w:tcBorders>
            <w:shd w:val="clear" w:color="auto" w:fill="auto"/>
            <w:vAlign w:val="center"/>
          </w:tcPr>
          <w:p w14:paraId="265FEAEA" w14:textId="77777777" w:rsidR="00DB215C" w:rsidRPr="00DB215C" w:rsidRDefault="00DB215C" w:rsidP="00DB215C">
            <w:pPr>
              <w:ind w:left="170"/>
              <w:rPr>
                <w:rFonts w:eastAsia="Calibri"/>
                <w:bCs/>
                <w:sz w:val="18"/>
                <w:szCs w:val="18"/>
                <w:lang w:val="en-US" w:eastAsia="en-US"/>
              </w:rPr>
            </w:pPr>
            <w:r w:rsidRPr="00DB215C">
              <w:rPr>
                <w:rFonts w:eastAsia="Calibri"/>
                <w:bCs/>
                <w:sz w:val="18"/>
                <w:szCs w:val="18"/>
                <w:lang w:val="en-US" w:eastAsia="en-US"/>
              </w:rPr>
              <w:t>Entidades financieras</w:t>
            </w:r>
          </w:p>
        </w:tc>
        <w:tc>
          <w:tcPr>
            <w:tcW w:w="1134" w:type="dxa"/>
            <w:tcBorders>
              <w:left w:val="single" w:sz="4" w:space="0" w:color="auto"/>
              <w:right w:val="single" w:sz="4" w:space="0" w:color="auto"/>
            </w:tcBorders>
            <w:shd w:val="clear" w:color="auto" w:fill="auto"/>
            <w:vAlign w:val="center"/>
          </w:tcPr>
          <w:p w14:paraId="48C3E49B" w14:textId="77777777" w:rsidR="00DB215C" w:rsidRPr="00DB215C" w:rsidRDefault="00DB215C" w:rsidP="00DB215C">
            <w:pPr>
              <w:ind w:right="284"/>
              <w:jc w:val="right"/>
              <w:rPr>
                <w:rFonts w:eastAsia="Calibri"/>
                <w:sz w:val="18"/>
                <w:szCs w:val="18"/>
                <w:lang w:val="en-US" w:eastAsia="en-US"/>
              </w:rPr>
            </w:pPr>
            <w:r w:rsidRPr="00DB215C">
              <w:rPr>
                <w:rFonts w:eastAsia="Calibri"/>
                <w:sz w:val="18"/>
                <w:szCs w:val="18"/>
                <w:lang w:val="en-US" w:eastAsia="en-US"/>
              </w:rPr>
              <w:t>2.78</w:t>
            </w:r>
          </w:p>
        </w:tc>
        <w:tc>
          <w:tcPr>
            <w:tcW w:w="1134" w:type="dxa"/>
            <w:tcBorders>
              <w:top w:val="nil"/>
              <w:left w:val="single" w:sz="4" w:space="0" w:color="auto"/>
              <w:bottom w:val="nil"/>
              <w:right w:val="single" w:sz="4" w:space="0" w:color="auto"/>
            </w:tcBorders>
            <w:shd w:val="clear" w:color="auto" w:fill="auto"/>
            <w:vAlign w:val="center"/>
          </w:tcPr>
          <w:p w14:paraId="1E25E0BB" w14:textId="77777777" w:rsidR="00DB215C" w:rsidRPr="00DB215C" w:rsidRDefault="00DB215C" w:rsidP="00DB215C">
            <w:pPr>
              <w:ind w:right="227"/>
              <w:jc w:val="right"/>
              <w:rPr>
                <w:rFonts w:eastAsia="Calibri"/>
                <w:sz w:val="18"/>
                <w:szCs w:val="18"/>
                <w:lang w:val="en-US" w:eastAsia="en-US"/>
              </w:rPr>
            </w:pPr>
            <w:r w:rsidRPr="00DB215C">
              <w:rPr>
                <w:rFonts w:eastAsia="Calibri"/>
                <w:sz w:val="18"/>
                <w:szCs w:val="18"/>
                <w:lang w:val="en-US" w:eastAsia="en-US"/>
              </w:rPr>
              <w:t>2.23</w:t>
            </w:r>
          </w:p>
        </w:tc>
        <w:tc>
          <w:tcPr>
            <w:tcW w:w="1134" w:type="dxa"/>
            <w:tcBorders>
              <w:left w:val="single" w:sz="4" w:space="0" w:color="auto"/>
              <w:right w:val="single" w:sz="4" w:space="0" w:color="auto"/>
            </w:tcBorders>
            <w:shd w:val="clear" w:color="auto" w:fill="auto"/>
            <w:vAlign w:val="center"/>
          </w:tcPr>
          <w:p w14:paraId="2E2B3848" w14:textId="77777777" w:rsidR="00DB215C" w:rsidRPr="00DB215C" w:rsidRDefault="00DB215C" w:rsidP="00DB215C">
            <w:pPr>
              <w:ind w:right="227"/>
              <w:jc w:val="right"/>
              <w:rPr>
                <w:rFonts w:eastAsia="Calibri"/>
                <w:sz w:val="18"/>
                <w:szCs w:val="18"/>
                <w:lang w:val="en-US" w:eastAsia="en-US"/>
              </w:rPr>
            </w:pPr>
            <w:r w:rsidRPr="00DB215C">
              <w:rPr>
                <w:rFonts w:eastAsia="Calibri"/>
                <w:sz w:val="18"/>
                <w:szCs w:val="18"/>
                <w:lang w:val="en-US" w:eastAsia="en-US"/>
              </w:rPr>
              <w:t>2.24</w:t>
            </w:r>
          </w:p>
        </w:tc>
        <w:tc>
          <w:tcPr>
            <w:tcW w:w="1134" w:type="dxa"/>
            <w:tcBorders>
              <w:top w:val="nil"/>
              <w:left w:val="single" w:sz="4" w:space="0" w:color="auto"/>
              <w:bottom w:val="nil"/>
              <w:right w:val="single" w:sz="4" w:space="0" w:color="auto"/>
            </w:tcBorders>
            <w:shd w:val="clear" w:color="auto" w:fill="auto"/>
            <w:vAlign w:val="center"/>
          </w:tcPr>
          <w:p w14:paraId="4B1AED89" w14:textId="77777777" w:rsidR="00DB215C" w:rsidRPr="00DB215C" w:rsidRDefault="00DB215C" w:rsidP="00DB215C">
            <w:pPr>
              <w:ind w:right="170"/>
              <w:jc w:val="right"/>
              <w:rPr>
                <w:rFonts w:eastAsia="Calibri"/>
                <w:sz w:val="18"/>
                <w:szCs w:val="18"/>
                <w:lang w:val="en-US" w:eastAsia="en-US"/>
              </w:rPr>
            </w:pPr>
            <w:r w:rsidRPr="00DB215C">
              <w:rPr>
                <w:rFonts w:eastAsia="Calibri"/>
                <w:sz w:val="18"/>
                <w:szCs w:val="18"/>
                <w:lang w:val="en-US" w:eastAsia="en-US"/>
              </w:rPr>
              <w:t>-0.54</w:t>
            </w:r>
          </w:p>
        </w:tc>
        <w:tc>
          <w:tcPr>
            <w:tcW w:w="1188" w:type="dxa"/>
            <w:tcBorders>
              <w:top w:val="nil"/>
              <w:left w:val="single" w:sz="4" w:space="0" w:color="auto"/>
              <w:bottom w:val="nil"/>
              <w:right w:val="single" w:sz="4" w:space="0" w:color="auto"/>
            </w:tcBorders>
            <w:shd w:val="clear" w:color="auto" w:fill="auto"/>
            <w:vAlign w:val="center"/>
          </w:tcPr>
          <w:p w14:paraId="63177044" w14:textId="77777777" w:rsidR="00DB215C" w:rsidRPr="00DB215C" w:rsidRDefault="00DB215C" w:rsidP="00DB215C">
            <w:pPr>
              <w:ind w:right="284"/>
              <w:jc w:val="right"/>
              <w:rPr>
                <w:rFonts w:eastAsia="Calibri"/>
                <w:bCs/>
                <w:sz w:val="18"/>
                <w:szCs w:val="18"/>
                <w:lang w:val="en-US" w:eastAsia="en-US"/>
              </w:rPr>
            </w:pPr>
            <w:r w:rsidRPr="00DB215C">
              <w:rPr>
                <w:rFonts w:eastAsia="Calibri"/>
                <w:bCs/>
                <w:sz w:val="18"/>
                <w:szCs w:val="18"/>
                <w:lang w:val="en-US" w:eastAsia="en-US"/>
              </w:rPr>
              <w:t>0.00</w:t>
            </w:r>
          </w:p>
        </w:tc>
      </w:tr>
      <w:tr w:rsidR="00DB215C" w:rsidRPr="00DB215C" w14:paraId="716AA06E" w14:textId="77777777" w:rsidTr="00DB215C">
        <w:trPr>
          <w:trHeight w:val="271"/>
          <w:jc w:val="center"/>
        </w:trPr>
        <w:tc>
          <w:tcPr>
            <w:tcW w:w="2840" w:type="dxa"/>
            <w:tcBorders>
              <w:top w:val="nil"/>
              <w:left w:val="single" w:sz="4" w:space="0" w:color="auto"/>
              <w:bottom w:val="nil"/>
              <w:right w:val="single" w:sz="4" w:space="0" w:color="auto"/>
            </w:tcBorders>
            <w:shd w:val="clear" w:color="auto" w:fill="auto"/>
            <w:vAlign w:val="center"/>
          </w:tcPr>
          <w:p w14:paraId="0D37E873" w14:textId="77777777" w:rsidR="00DB215C" w:rsidRPr="00DB215C" w:rsidRDefault="00DB215C" w:rsidP="00DB215C">
            <w:pPr>
              <w:spacing w:after="120"/>
              <w:ind w:left="170"/>
              <w:rPr>
                <w:rFonts w:eastAsia="Calibri"/>
                <w:bCs/>
                <w:sz w:val="18"/>
                <w:szCs w:val="18"/>
                <w:lang w:val="en-US" w:eastAsia="en-US"/>
              </w:rPr>
            </w:pPr>
            <w:r w:rsidRPr="00DB215C">
              <w:rPr>
                <w:rFonts w:eastAsia="Calibri"/>
                <w:bCs/>
                <w:sz w:val="18"/>
                <w:szCs w:val="18"/>
                <w:lang w:val="en-US" w:eastAsia="en-US"/>
              </w:rPr>
              <w:t>Entidades gubernamentales</w:t>
            </w:r>
          </w:p>
        </w:tc>
        <w:tc>
          <w:tcPr>
            <w:tcW w:w="1134" w:type="dxa"/>
            <w:tcBorders>
              <w:left w:val="single" w:sz="4" w:space="0" w:color="auto"/>
              <w:right w:val="single" w:sz="4" w:space="0" w:color="auto"/>
            </w:tcBorders>
            <w:shd w:val="clear" w:color="auto" w:fill="auto"/>
            <w:vAlign w:val="center"/>
          </w:tcPr>
          <w:p w14:paraId="34DD44AB" w14:textId="77777777" w:rsidR="00DB215C" w:rsidRPr="00DB215C" w:rsidRDefault="00DB215C" w:rsidP="00DB215C">
            <w:pPr>
              <w:spacing w:after="120"/>
              <w:ind w:right="284"/>
              <w:jc w:val="right"/>
              <w:rPr>
                <w:rFonts w:eastAsia="Calibri"/>
                <w:sz w:val="18"/>
                <w:szCs w:val="18"/>
                <w:lang w:val="en-US" w:eastAsia="en-US"/>
              </w:rPr>
            </w:pPr>
            <w:r w:rsidRPr="00DB215C">
              <w:rPr>
                <w:rFonts w:eastAsia="Calibri"/>
                <w:sz w:val="18"/>
                <w:szCs w:val="18"/>
                <w:lang w:val="en-US" w:eastAsia="en-US"/>
              </w:rPr>
              <w:t>1.24</w:t>
            </w:r>
          </w:p>
        </w:tc>
        <w:tc>
          <w:tcPr>
            <w:tcW w:w="1134" w:type="dxa"/>
            <w:tcBorders>
              <w:top w:val="nil"/>
              <w:left w:val="single" w:sz="4" w:space="0" w:color="auto"/>
              <w:bottom w:val="nil"/>
              <w:right w:val="single" w:sz="4" w:space="0" w:color="auto"/>
            </w:tcBorders>
            <w:shd w:val="clear" w:color="auto" w:fill="auto"/>
            <w:vAlign w:val="center"/>
          </w:tcPr>
          <w:p w14:paraId="27A01323" w14:textId="77777777" w:rsidR="00DB215C" w:rsidRPr="00DB215C" w:rsidRDefault="00DB215C" w:rsidP="00DB215C">
            <w:pPr>
              <w:spacing w:after="120"/>
              <w:ind w:right="227"/>
              <w:jc w:val="right"/>
              <w:rPr>
                <w:rFonts w:eastAsia="Calibri"/>
                <w:sz w:val="18"/>
                <w:szCs w:val="18"/>
                <w:lang w:val="en-US" w:eastAsia="en-US"/>
              </w:rPr>
            </w:pPr>
            <w:r w:rsidRPr="00DB215C">
              <w:rPr>
                <w:rFonts w:eastAsia="Calibri"/>
                <w:sz w:val="18"/>
                <w:szCs w:val="18"/>
                <w:lang w:val="en-US" w:eastAsia="en-US"/>
              </w:rPr>
              <w:t>0.82</w:t>
            </w:r>
          </w:p>
        </w:tc>
        <w:tc>
          <w:tcPr>
            <w:tcW w:w="1134" w:type="dxa"/>
            <w:tcBorders>
              <w:left w:val="single" w:sz="4" w:space="0" w:color="auto"/>
              <w:right w:val="single" w:sz="4" w:space="0" w:color="auto"/>
            </w:tcBorders>
            <w:shd w:val="clear" w:color="auto" w:fill="auto"/>
            <w:vAlign w:val="center"/>
          </w:tcPr>
          <w:p w14:paraId="430AF656" w14:textId="77777777" w:rsidR="00DB215C" w:rsidRPr="00DB215C" w:rsidRDefault="00DB215C" w:rsidP="00DB215C">
            <w:pPr>
              <w:ind w:right="227"/>
              <w:jc w:val="right"/>
              <w:rPr>
                <w:rFonts w:eastAsia="Calibri"/>
                <w:sz w:val="18"/>
                <w:szCs w:val="18"/>
                <w:lang w:val="en-US" w:eastAsia="en-US"/>
              </w:rPr>
            </w:pPr>
            <w:r w:rsidRPr="00DB215C">
              <w:rPr>
                <w:rFonts w:eastAsia="Calibri"/>
                <w:sz w:val="18"/>
                <w:szCs w:val="18"/>
                <w:lang w:val="en-US" w:eastAsia="en-US"/>
              </w:rPr>
              <w:t>0.77</w:t>
            </w:r>
          </w:p>
        </w:tc>
        <w:tc>
          <w:tcPr>
            <w:tcW w:w="1134" w:type="dxa"/>
            <w:tcBorders>
              <w:top w:val="nil"/>
              <w:left w:val="single" w:sz="4" w:space="0" w:color="auto"/>
              <w:bottom w:val="nil"/>
              <w:right w:val="single" w:sz="4" w:space="0" w:color="auto"/>
            </w:tcBorders>
            <w:shd w:val="clear" w:color="auto" w:fill="auto"/>
            <w:vAlign w:val="center"/>
          </w:tcPr>
          <w:p w14:paraId="16992C2B" w14:textId="77777777" w:rsidR="00DB215C" w:rsidRPr="00DB215C" w:rsidRDefault="00DB215C" w:rsidP="00DB215C">
            <w:pPr>
              <w:spacing w:after="120"/>
              <w:ind w:right="170"/>
              <w:jc w:val="right"/>
              <w:rPr>
                <w:rFonts w:eastAsia="Calibri"/>
                <w:sz w:val="18"/>
                <w:szCs w:val="18"/>
                <w:lang w:val="en-US" w:eastAsia="en-US"/>
              </w:rPr>
            </w:pPr>
            <w:r w:rsidRPr="00DB215C">
              <w:rPr>
                <w:rFonts w:eastAsia="Calibri"/>
                <w:sz w:val="18"/>
                <w:szCs w:val="18"/>
                <w:lang w:val="en-US" w:eastAsia="en-US"/>
              </w:rPr>
              <w:t>-0.46</w:t>
            </w:r>
          </w:p>
        </w:tc>
        <w:tc>
          <w:tcPr>
            <w:tcW w:w="1188" w:type="dxa"/>
            <w:tcBorders>
              <w:top w:val="nil"/>
              <w:left w:val="single" w:sz="4" w:space="0" w:color="auto"/>
              <w:bottom w:val="nil"/>
              <w:right w:val="single" w:sz="4" w:space="0" w:color="auto"/>
            </w:tcBorders>
            <w:shd w:val="clear" w:color="auto" w:fill="auto"/>
            <w:vAlign w:val="center"/>
          </w:tcPr>
          <w:p w14:paraId="0D4028D1" w14:textId="77777777" w:rsidR="00DB215C" w:rsidRPr="00DB215C" w:rsidRDefault="00DB215C" w:rsidP="00DB215C">
            <w:pPr>
              <w:spacing w:after="120"/>
              <w:ind w:right="284"/>
              <w:jc w:val="right"/>
              <w:rPr>
                <w:rFonts w:eastAsia="Calibri"/>
                <w:bCs/>
                <w:sz w:val="18"/>
                <w:szCs w:val="18"/>
                <w:lang w:val="en-US" w:eastAsia="en-US"/>
              </w:rPr>
            </w:pPr>
            <w:r w:rsidRPr="00DB215C">
              <w:rPr>
                <w:rFonts w:eastAsia="Calibri"/>
                <w:bCs/>
                <w:sz w:val="18"/>
                <w:szCs w:val="18"/>
                <w:lang w:val="en-US" w:eastAsia="en-US"/>
              </w:rPr>
              <w:t>-0.05</w:t>
            </w:r>
          </w:p>
        </w:tc>
      </w:tr>
      <w:tr w:rsidR="00DB215C" w:rsidRPr="00DB215C" w14:paraId="2A3D2C9F" w14:textId="77777777" w:rsidTr="00DB215C">
        <w:trPr>
          <w:trHeight w:val="261"/>
          <w:jc w:val="center"/>
        </w:trPr>
        <w:tc>
          <w:tcPr>
            <w:tcW w:w="2840" w:type="dxa"/>
            <w:tcBorders>
              <w:top w:val="nil"/>
              <w:left w:val="single" w:sz="4" w:space="0" w:color="auto"/>
              <w:bottom w:val="nil"/>
              <w:right w:val="single" w:sz="4" w:space="0" w:color="auto"/>
            </w:tcBorders>
            <w:shd w:val="clear" w:color="auto" w:fill="auto"/>
            <w:vAlign w:val="center"/>
          </w:tcPr>
          <w:p w14:paraId="2299993E" w14:textId="77777777" w:rsidR="00DB215C" w:rsidRPr="00DB215C" w:rsidRDefault="00DB215C" w:rsidP="00DB215C">
            <w:pPr>
              <w:rPr>
                <w:rFonts w:eastAsia="Calibri"/>
                <w:b/>
                <w:bCs/>
                <w:sz w:val="18"/>
                <w:szCs w:val="18"/>
                <w:lang w:eastAsia="en-US"/>
              </w:rPr>
            </w:pPr>
            <w:r w:rsidRPr="00DB215C">
              <w:rPr>
                <w:rFonts w:eastAsia="Calibri"/>
                <w:b/>
                <w:bCs/>
                <w:sz w:val="18"/>
                <w:szCs w:val="18"/>
                <w:lang w:eastAsia="en-US"/>
              </w:rPr>
              <w:t>Consumo</w:t>
            </w:r>
          </w:p>
        </w:tc>
        <w:tc>
          <w:tcPr>
            <w:tcW w:w="1134" w:type="dxa"/>
            <w:tcBorders>
              <w:left w:val="single" w:sz="4" w:space="0" w:color="auto"/>
              <w:right w:val="single" w:sz="4" w:space="0" w:color="auto"/>
            </w:tcBorders>
            <w:shd w:val="clear" w:color="auto" w:fill="auto"/>
            <w:vAlign w:val="center"/>
          </w:tcPr>
          <w:p w14:paraId="7998ADF8" w14:textId="77777777" w:rsidR="00DB215C" w:rsidRPr="00DB215C" w:rsidRDefault="00DB215C" w:rsidP="00DB215C">
            <w:pPr>
              <w:ind w:right="284"/>
              <w:jc w:val="right"/>
              <w:rPr>
                <w:rFonts w:eastAsia="Calibri"/>
                <w:b/>
                <w:sz w:val="18"/>
                <w:szCs w:val="18"/>
                <w:lang w:eastAsia="en-US"/>
              </w:rPr>
            </w:pPr>
            <w:r w:rsidRPr="00DB215C">
              <w:rPr>
                <w:rFonts w:eastAsia="Calibri"/>
                <w:b/>
                <w:sz w:val="18"/>
                <w:szCs w:val="18"/>
                <w:lang w:eastAsia="en-US"/>
              </w:rPr>
              <w:t>9.74</w:t>
            </w:r>
          </w:p>
        </w:tc>
        <w:tc>
          <w:tcPr>
            <w:tcW w:w="1134" w:type="dxa"/>
            <w:tcBorders>
              <w:top w:val="nil"/>
              <w:left w:val="single" w:sz="4" w:space="0" w:color="auto"/>
              <w:bottom w:val="nil"/>
              <w:right w:val="single" w:sz="4" w:space="0" w:color="auto"/>
            </w:tcBorders>
            <w:shd w:val="clear" w:color="auto" w:fill="auto"/>
            <w:vAlign w:val="center"/>
          </w:tcPr>
          <w:p w14:paraId="71570A1D" w14:textId="77777777" w:rsidR="00DB215C" w:rsidRPr="00DB215C" w:rsidRDefault="00DB215C" w:rsidP="00DB215C">
            <w:pPr>
              <w:ind w:right="227"/>
              <w:jc w:val="right"/>
              <w:rPr>
                <w:rFonts w:eastAsia="Calibri"/>
                <w:b/>
                <w:sz w:val="18"/>
                <w:szCs w:val="18"/>
                <w:lang w:eastAsia="en-US"/>
              </w:rPr>
            </w:pPr>
            <w:r w:rsidRPr="00DB215C">
              <w:rPr>
                <w:rFonts w:eastAsia="Calibri"/>
                <w:b/>
                <w:sz w:val="18"/>
                <w:szCs w:val="18"/>
                <w:lang w:eastAsia="en-US"/>
              </w:rPr>
              <w:t>9.46</w:t>
            </w:r>
          </w:p>
        </w:tc>
        <w:tc>
          <w:tcPr>
            <w:tcW w:w="1134" w:type="dxa"/>
            <w:tcBorders>
              <w:left w:val="single" w:sz="4" w:space="0" w:color="auto"/>
              <w:right w:val="single" w:sz="4" w:space="0" w:color="auto"/>
            </w:tcBorders>
            <w:shd w:val="clear" w:color="auto" w:fill="auto"/>
            <w:vAlign w:val="center"/>
          </w:tcPr>
          <w:p w14:paraId="332BE0AA" w14:textId="77777777" w:rsidR="00DB215C" w:rsidRPr="00DB215C" w:rsidRDefault="00DB215C" w:rsidP="00DB215C">
            <w:pPr>
              <w:ind w:right="227"/>
              <w:jc w:val="right"/>
              <w:rPr>
                <w:rFonts w:eastAsia="Calibri"/>
                <w:b/>
                <w:sz w:val="18"/>
                <w:szCs w:val="18"/>
                <w:lang w:val="en-US" w:eastAsia="en-US"/>
              </w:rPr>
            </w:pPr>
            <w:r w:rsidRPr="00DB215C">
              <w:rPr>
                <w:rFonts w:eastAsia="Calibri"/>
                <w:b/>
                <w:sz w:val="18"/>
                <w:szCs w:val="18"/>
                <w:lang w:val="en-US" w:eastAsia="en-US"/>
              </w:rPr>
              <w:t>9.34</w:t>
            </w:r>
          </w:p>
        </w:tc>
        <w:tc>
          <w:tcPr>
            <w:tcW w:w="1134" w:type="dxa"/>
            <w:tcBorders>
              <w:top w:val="nil"/>
              <w:left w:val="single" w:sz="4" w:space="0" w:color="auto"/>
              <w:bottom w:val="nil"/>
              <w:right w:val="single" w:sz="4" w:space="0" w:color="auto"/>
            </w:tcBorders>
            <w:shd w:val="clear" w:color="auto" w:fill="auto"/>
            <w:vAlign w:val="center"/>
          </w:tcPr>
          <w:p w14:paraId="3556A36A" w14:textId="77777777" w:rsidR="00DB215C" w:rsidRPr="00DB215C" w:rsidRDefault="00DB215C" w:rsidP="00DB215C">
            <w:pPr>
              <w:ind w:right="170"/>
              <w:jc w:val="right"/>
              <w:rPr>
                <w:rFonts w:eastAsia="Calibri"/>
                <w:b/>
                <w:sz w:val="18"/>
                <w:szCs w:val="18"/>
                <w:lang w:eastAsia="en-US"/>
              </w:rPr>
            </w:pPr>
            <w:r w:rsidRPr="00DB215C">
              <w:rPr>
                <w:rFonts w:eastAsia="Calibri"/>
                <w:b/>
                <w:sz w:val="18"/>
                <w:szCs w:val="18"/>
                <w:lang w:eastAsia="en-US"/>
              </w:rPr>
              <w:t>-0.40</w:t>
            </w:r>
          </w:p>
        </w:tc>
        <w:tc>
          <w:tcPr>
            <w:tcW w:w="1188" w:type="dxa"/>
            <w:tcBorders>
              <w:top w:val="nil"/>
              <w:left w:val="single" w:sz="4" w:space="0" w:color="auto"/>
              <w:bottom w:val="nil"/>
              <w:right w:val="single" w:sz="4" w:space="0" w:color="auto"/>
            </w:tcBorders>
            <w:shd w:val="clear" w:color="auto" w:fill="auto"/>
            <w:vAlign w:val="center"/>
          </w:tcPr>
          <w:p w14:paraId="57C7E230" w14:textId="77777777" w:rsidR="00DB215C" w:rsidRPr="00DB215C" w:rsidRDefault="00DB215C" w:rsidP="00DB215C">
            <w:pPr>
              <w:ind w:right="284"/>
              <w:jc w:val="right"/>
              <w:rPr>
                <w:rFonts w:eastAsia="Calibri"/>
                <w:b/>
                <w:bCs/>
                <w:sz w:val="18"/>
                <w:szCs w:val="18"/>
                <w:lang w:eastAsia="en-US"/>
              </w:rPr>
            </w:pPr>
            <w:r w:rsidRPr="00DB215C">
              <w:rPr>
                <w:rFonts w:eastAsia="Calibri"/>
                <w:b/>
                <w:bCs/>
                <w:sz w:val="18"/>
                <w:szCs w:val="18"/>
                <w:lang w:eastAsia="en-US"/>
              </w:rPr>
              <w:t>-0.12</w:t>
            </w:r>
          </w:p>
        </w:tc>
      </w:tr>
      <w:tr w:rsidR="00DB215C" w:rsidRPr="00DB215C" w14:paraId="6DF557C4" w14:textId="77777777" w:rsidTr="00DB215C">
        <w:trPr>
          <w:trHeight w:val="261"/>
          <w:jc w:val="center"/>
        </w:trPr>
        <w:tc>
          <w:tcPr>
            <w:tcW w:w="2840" w:type="dxa"/>
            <w:tcBorders>
              <w:top w:val="nil"/>
              <w:left w:val="single" w:sz="4" w:space="0" w:color="auto"/>
              <w:bottom w:val="nil"/>
              <w:right w:val="single" w:sz="4" w:space="0" w:color="auto"/>
            </w:tcBorders>
            <w:shd w:val="clear" w:color="auto" w:fill="auto"/>
            <w:vAlign w:val="center"/>
          </w:tcPr>
          <w:p w14:paraId="07E599CB" w14:textId="77777777" w:rsidR="00DB215C" w:rsidRPr="00DB215C" w:rsidRDefault="00DB215C" w:rsidP="00DB215C">
            <w:pPr>
              <w:ind w:left="170"/>
              <w:rPr>
                <w:rFonts w:eastAsia="Calibri"/>
                <w:bCs/>
                <w:sz w:val="18"/>
                <w:szCs w:val="18"/>
                <w:lang w:eastAsia="en-US"/>
              </w:rPr>
            </w:pPr>
            <w:r w:rsidRPr="00DB215C">
              <w:rPr>
                <w:rFonts w:eastAsia="Calibri"/>
                <w:bCs/>
                <w:sz w:val="18"/>
                <w:szCs w:val="18"/>
                <w:lang w:eastAsia="en-US"/>
              </w:rPr>
              <w:t>Tarjeta de crédito</w:t>
            </w:r>
          </w:p>
        </w:tc>
        <w:tc>
          <w:tcPr>
            <w:tcW w:w="1134" w:type="dxa"/>
            <w:tcBorders>
              <w:left w:val="single" w:sz="4" w:space="0" w:color="auto"/>
              <w:right w:val="single" w:sz="4" w:space="0" w:color="auto"/>
            </w:tcBorders>
            <w:shd w:val="clear" w:color="auto" w:fill="auto"/>
            <w:vAlign w:val="center"/>
          </w:tcPr>
          <w:p w14:paraId="0E49C5E9" w14:textId="77777777" w:rsidR="00DB215C" w:rsidRPr="00DB215C" w:rsidRDefault="00DB215C" w:rsidP="00DB215C">
            <w:pPr>
              <w:ind w:right="284"/>
              <w:jc w:val="right"/>
              <w:rPr>
                <w:rFonts w:eastAsia="Calibri"/>
                <w:sz w:val="18"/>
                <w:szCs w:val="18"/>
                <w:lang w:eastAsia="en-US"/>
              </w:rPr>
            </w:pPr>
            <w:r w:rsidRPr="00DB215C">
              <w:rPr>
                <w:rFonts w:eastAsia="Calibri"/>
                <w:sz w:val="18"/>
                <w:szCs w:val="18"/>
                <w:lang w:eastAsia="en-US"/>
              </w:rPr>
              <w:t>11.95</w:t>
            </w:r>
          </w:p>
        </w:tc>
        <w:tc>
          <w:tcPr>
            <w:tcW w:w="1134" w:type="dxa"/>
            <w:tcBorders>
              <w:top w:val="nil"/>
              <w:left w:val="single" w:sz="4" w:space="0" w:color="auto"/>
              <w:bottom w:val="nil"/>
              <w:right w:val="single" w:sz="4" w:space="0" w:color="auto"/>
            </w:tcBorders>
            <w:shd w:val="clear" w:color="auto" w:fill="auto"/>
            <w:vAlign w:val="center"/>
          </w:tcPr>
          <w:p w14:paraId="3F3A21DC" w14:textId="77777777" w:rsidR="00DB215C" w:rsidRPr="00DB215C" w:rsidRDefault="00DB215C" w:rsidP="00DB215C">
            <w:pPr>
              <w:ind w:right="227"/>
              <w:jc w:val="right"/>
              <w:rPr>
                <w:rFonts w:eastAsia="Calibri"/>
                <w:sz w:val="18"/>
                <w:szCs w:val="18"/>
                <w:lang w:eastAsia="en-US"/>
              </w:rPr>
            </w:pPr>
            <w:r w:rsidRPr="00DB215C">
              <w:rPr>
                <w:rFonts w:eastAsia="Calibri"/>
                <w:sz w:val="18"/>
                <w:szCs w:val="18"/>
                <w:lang w:eastAsia="en-US"/>
              </w:rPr>
              <w:t>11.72</w:t>
            </w:r>
          </w:p>
        </w:tc>
        <w:tc>
          <w:tcPr>
            <w:tcW w:w="1134" w:type="dxa"/>
            <w:tcBorders>
              <w:left w:val="single" w:sz="4" w:space="0" w:color="auto"/>
              <w:right w:val="single" w:sz="4" w:space="0" w:color="auto"/>
            </w:tcBorders>
            <w:shd w:val="clear" w:color="auto" w:fill="auto"/>
            <w:vAlign w:val="center"/>
          </w:tcPr>
          <w:p w14:paraId="3431C0D3" w14:textId="77777777" w:rsidR="00DB215C" w:rsidRPr="00DB215C" w:rsidRDefault="00DB215C" w:rsidP="00DB215C">
            <w:pPr>
              <w:ind w:right="227"/>
              <w:jc w:val="right"/>
              <w:rPr>
                <w:rFonts w:eastAsia="Calibri"/>
                <w:sz w:val="18"/>
                <w:szCs w:val="18"/>
                <w:lang w:eastAsia="en-US"/>
              </w:rPr>
            </w:pPr>
            <w:r w:rsidRPr="00DB215C">
              <w:rPr>
                <w:rFonts w:eastAsia="Calibri"/>
                <w:sz w:val="18"/>
                <w:szCs w:val="18"/>
                <w:lang w:eastAsia="en-US"/>
              </w:rPr>
              <w:t>11.58</w:t>
            </w:r>
          </w:p>
        </w:tc>
        <w:tc>
          <w:tcPr>
            <w:tcW w:w="1134" w:type="dxa"/>
            <w:tcBorders>
              <w:top w:val="nil"/>
              <w:left w:val="single" w:sz="4" w:space="0" w:color="auto"/>
              <w:bottom w:val="nil"/>
              <w:right w:val="single" w:sz="4" w:space="0" w:color="auto"/>
            </w:tcBorders>
            <w:shd w:val="clear" w:color="auto" w:fill="auto"/>
            <w:vAlign w:val="center"/>
          </w:tcPr>
          <w:p w14:paraId="73BF3890"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-0.37</w:t>
            </w:r>
          </w:p>
        </w:tc>
        <w:tc>
          <w:tcPr>
            <w:tcW w:w="1188" w:type="dxa"/>
            <w:tcBorders>
              <w:top w:val="nil"/>
              <w:left w:val="single" w:sz="4" w:space="0" w:color="auto"/>
              <w:bottom w:val="nil"/>
              <w:right w:val="single" w:sz="4" w:space="0" w:color="auto"/>
            </w:tcBorders>
            <w:shd w:val="clear" w:color="auto" w:fill="auto"/>
            <w:vAlign w:val="center"/>
          </w:tcPr>
          <w:p w14:paraId="09E9EB52" w14:textId="77777777" w:rsidR="00DB215C" w:rsidRPr="00DB215C" w:rsidRDefault="00DB215C" w:rsidP="00DB215C">
            <w:pPr>
              <w:ind w:right="284"/>
              <w:jc w:val="right"/>
              <w:rPr>
                <w:rFonts w:eastAsia="Calibri"/>
                <w:bCs/>
                <w:sz w:val="18"/>
                <w:szCs w:val="18"/>
                <w:lang w:eastAsia="en-US"/>
              </w:rPr>
            </w:pPr>
            <w:r w:rsidRPr="00DB215C">
              <w:rPr>
                <w:rFonts w:eastAsia="Calibri"/>
                <w:bCs/>
                <w:sz w:val="18"/>
                <w:szCs w:val="18"/>
                <w:lang w:eastAsia="en-US"/>
              </w:rPr>
              <w:t>-0.14</w:t>
            </w:r>
          </w:p>
        </w:tc>
      </w:tr>
      <w:tr w:rsidR="00DB215C" w:rsidRPr="00DB215C" w14:paraId="1C4D70A7" w14:textId="77777777" w:rsidTr="00DB215C">
        <w:trPr>
          <w:trHeight w:val="271"/>
          <w:jc w:val="center"/>
        </w:trPr>
        <w:tc>
          <w:tcPr>
            <w:tcW w:w="2840" w:type="dxa"/>
            <w:tcBorders>
              <w:top w:val="nil"/>
              <w:left w:val="single" w:sz="4" w:space="0" w:color="auto"/>
              <w:bottom w:val="nil"/>
              <w:right w:val="single" w:sz="4" w:space="0" w:color="auto"/>
            </w:tcBorders>
            <w:shd w:val="clear" w:color="auto" w:fill="auto"/>
            <w:vAlign w:val="center"/>
          </w:tcPr>
          <w:p w14:paraId="7834F622" w14:textId="77777777" w:rsidR="00DB215C" w:rsidRPr="00DB215C" w:rsidRDefault="00DB215C" w:rsidP="00DB215C">
            <w:pPr>
              <w:ind w:left="170"/>
              <w:rPr>
                <w:rFonts w:eastAsia="Calibri"/>
                <w:bCs/>
                <w:sz w:val="18"/>
                <w:szCs w:val="18"/>
                <w:lang w:eastAsia="en-US"/>
              </w:rPr>
            </w:pPr>
            <w:r w:rsidRPr="00DB215C">
              <w:rPr>
                <w:rFonts w:eastAsia="Calibri"/>
                <w:bCs/>
                <w:sz w:val="18"/>
                <w:szCs w:val="18"/>
                <w:lang w:eastAsia="en-US"/>
              </w:rPr>
              <w:t>Personales</w:t>
            </w:r>
          </w:p>
        </w:tc>
        <w:tc>
          <w:tcPr>
            <w:tcW w:w="1134" w:type="dxa"/>
            <w:tcBorders>
              <w:left w:val="single" w:sz="4" w:space="0" w:color="auto"/>
              <w:right w:val="single" w:sz="4" w:space="0" w:color="auto"/>
            </w:tcBorders>
            <w:shd w:val="clear" w:color="auto" w:fill="auto"/>
            <w:vAlign w:val="center"/>
          </w:tcPr>
          <w:p w14:paraId="22D360FA" w14:textId="77777777" w:rsidR="00DB215C" w:rsidRPr="00DB215C" w:rsidRDefault="00DB215C" w:rsidP="00DB215C">
            <w:pPr>
              <w:ind w:right="284"/>
              <w:jc w:val="right"/>
              <w:rPr>
                <w:rFonts w:eastAsia="Calibri"/>
                <w:sz w:val="18"/>
                <w:szCs w:val="18"/>
                <w:lang w:eastAsia="en-US"/>
              </w:rPr>
            </w:pPr>
            <w:r w:rsidRPr="00DB215C">
              <w:rPr>
                <w:rFonts w:eastAsia="Calibri"/>
                <w:sz w:val="18"/>
                <w:szCs w:val="18"/>
                <w:lang w:eastAsia="en-US"/>
              </w:rPr>
              <w:t>10.83</w:t>
            </w:r>
          </w:p>
        </w:tc>
        <w:tc>
          <w:tcPr>
            <w:tcW w:w="1134" w:type="dxa"/>
            <w:tcBorders>
              <w:top w:val="nil"/>
              <w:left w:val="single" w:sz="4" w:space="0" w:color="auto"/>
              <w:bottom w:val="nil"/>
              <w:right w:val="single" w:sz="4" w:space="0" w:color="auto"/>
            </w:tcBorders>
            <w:shd w:val="clear" w:color="auto" w:fill="auto"/>
            <w:vAlign w:val="center"/>
          </w:tcPr>
          <w:p w14:paraId="223C1C95" w14:textId="77777777" w:rsidR="00DB215C" w:rsidRPr="00DB215C" w:rsidRDefault="00DB215C" w:rsidP="00DB215C">
            <w:pPr>
              <w:ind w:right="227"/>
              <w:jc w:val="right"/>
              <w:rPr>
                <w:rFonts w:eastAsia="Calibri"/>
                <w:sz w:val="18"/>
                <w:szCs w:val="18"/>
                <w:lang w:eastAsia="en-US"/>
              </w:rPr>
            </w:pPr>
            <w:r w:rsidRPr="00DB215C">
              <w:rPr>
                <w:rFonts w:eastAsia="Calibri"/>
                <w:sz w:val="18"/>
                <w:szCs w:val="18"/>
                <w:lang w:eastAsia="en-US"/>
              </w:rPr>
              <w:t>10.93</w:t>
            </w:r>
          </w:p>
        </w:tc>
        <w:tc>
          <w:tcPr>
            <w:tcW w:w="1134" w:type="dxa"/>
            <w:tcBorders>
              <w:left w:val="single" w:sz="4" w:space="0" w:color="auto"/>
              <w:right w:val="single" w:sz="4" w:space="0" w:color="auto"/>
            </w:tcBorders>
            <w:shd w:val="clear" w:color="auto" w:fill="auto"/>
            <w:vAlign w:val="center"/>
          </w:tcPr>
          <w:p w14:paraId="772137B9" w14:textId="77777777" w:rsidR="00DB215C" w:rsidRPr="00DB215C" w:rsidRDefault="00DB215C" w:rsidP="00DB215C">
            <w:pPr>
              <w:ind w:right="227"/>
              <w:jc w:val="right"/>
              <w:rPr>
                <w:rFonts w:eastAsia="Calibri"/>
                <w:sz w:val="18"/>
                <w:szCs w:val="18"/>
                <w:lang w:eastAsia="en-US"/>
              </w:rPr>
            </w:pPr>
            <w:r w:rsidRPr="00DB215C">
              <w:rPr>
                <w:rFonts w:eastAsia="Calibri"/>
                <w:sz w:val="18"/>
                <w:szCs w:val="18"/>
                <w:lang w:eastAsia="en-US"/>
              </w:rPr>
              <w:t>10.85</w:t>
            </w:r>
          </w:p>
        </w:tc>
        <w:tc>
          <w:tcPr>
            <w:tcW w:w="1134" w:type="dxa"/>
            <w:tcBorders>
              <w:top w:val="nil"/>
              <w:left w:val="single" w:sz="4" w:space="0" w:color="auto"/>
              <w:bottom w:val="nil"/>
              <w:right w:val="single" w:sz="4" w:space="0" w:color="auto"/>
            </w:tcBorders>
            <w:shd w:val="clear" w:color="auto" w:fill="auto"/>
            <w:vAlign w:val="center"/>
          </w:tcPr>
          <w:p w14:paraId="5063ABDE"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0.02</w:t>
            </w:r>
          </w:p>
        </w:tc>
        <w:tc>
          <w:tcPr>
            <w:tcW w:w="1188" w:type="dxa"/>
            <w:tcBorders>
              <w:top w:val="nil"/>
              <w:left w:val="single" w:sz="4" w:space="0" w:color="auto"/>
              <w:bottom w:val="nil"/>
              <w:right w:val="single" w:sz="4" w:space="0" w:color="auto"/>
            </w:tcBorders>
            <w:shd w:val="clear" w:color="auto" w:fill="auto"/>
            <w:vAlign w:val="center"/>
          </w:tcPr>
          <w:p w14:paraId="1AC540A3" w14:textId="77777777" w:rsidR="00DB215C" w:rsidRPr="00DB215C" w:rsidRDefault="00DB215C" w:rsidP="00DB215C">
            <w:pPr>
              <w:ind w:right="284"/>
              <w:jc w:val="right"/>
              <w:rPr>
                <w:rFonts w:eastAsia="Calibri"/>
                <w:bCs/>
                <w:sz w:val="18"/>
                <w:szCs w:val="18"/>
                <w:lang w:eastAsia="en-US"/>
              </w:rPr>
            </w:pPr>
            <w:r w:rsidRPr="00DB215C">
              <w:rPr>
                <w:rFonts w:eastAsia="Calibri"/>
                <w:bCs/>
                <w:sz w:val="18"/>
                <w:szCs w:val="18"/>
                <w:lang w:eastAsia="en-US"/>
              </w:rPr>
              <w:t>-0.08</w:t>
            </w:r>
          </w:p>
        </w:tc>
      </w:tr>
      <w:tr w:rsidR="00DB215C" w:rsidRPr="00DB215C" w14:paraId="32AA9B8C" w14:textId="77777777" w:rsidTr="00DB215C">
        <w:trPr>
          <w:trHeight w:val="271"/>
          <w:jc w:val="center"/>
        </w:trPr>
        <w:tc>
          <w:tcPr>
            <w:tcW w:w="2840" w:type="dxa"/>
            <w:tcBorders>
              <w:top w:val="nil"/>
              <w:left w:val="single" w:sz="4" w:space="0" w:color="auto"/>
              <w:bottom w:val="nil"/>
              <w:right w:val="single" w:sz="4" w:space="0" w:color="auto"/>
            </w:tcBorders>
            <w:shd w:val="clear" w:color="auto" w:fill="auto"/>
            <w:vAlign w:val="center"/>
          </w:tcPr>
          <w:p w14:paraId="61E77C6D" w14:textId="77777777" w:rsidR="00DB215C" w:rsidRPr="00DB215C" w:rsidRDefault="00DB215C" w:rsidP="00DB215C">
            <w:pPr>
              <w:ind w:left="170"/>
              <w:rPr>
                <w:rFonts w:eastAsia="Calibri"/>
                <w:bCs/>
                <w:sz w:val="18"/>
                <w:szCs w:val="18"/>
                <w:lang w:eastAsia="en-US"/>
              </w:rPr>
            </w:pPr>
            <w:r w:rsidRPr="00DB215C">
              <w:rPr>
                <w:rFonts w:eastAsia="Calibri"/>
                <w:bCs/>
                <w:sz w:val="18"/>
                <w:szCs w:val="18"/>
                <w:lang w:eastAsia="en-US"/>
              </w:rPr>
              <w:t>Nómina</w:t>
            </w:r>
          </w:p>
        </w:tc>
        <w:tc>
          <w:tcPr>
            <w:tcW w:w="1134" w:type="dxa"/>
            <w:tcBorders>
              <w:left w:val="single" w:sz="4" w:space="0" w:color="auto"/>
              <w:right w:val="single" w:sz="4" w:space="0" w:color="auto"/>
            </w:tcBorders>
            <w:shd w:val="clear" w:color="auto" w:fill="auto"/>
            <w:vAlign w:val="center"/>
          </w:tcPr>
          <w:p w14:paraId="089D3F90" w14:textId="77777777" w:rsidR="00DB215C" w:rsidRPr="00DB215C" w:rsidRDefault="00DB215C" w:rsidP="00DB215C">
            <w:pPr>
              <w:ind w:right="284"/>
              <w:jc w:val="right"/>
              <w:rPr>
                <w:rFonts w:eastAsia="Calibri"/>
                <w:sz w:val="18"/>
                <w:szCs w:val="18"/>
                <w:lang w:eastAsia="en-US"/>
              </w:rPr>
            </w:pPr>
            <w:r w:rsidRPr="00DB215C">
              <w:rPr>
                <w:rFonts w:eastAsia="Calibri"/>
                <w:sz w:val="18"/>
                <w:szCs w:val="18"/>
                <w:lang w:eastAsia="en-US"/>
              </w:rPr>
              <w:t>7.70</w:t>
            </w:r>
          </w:p>
        </w:tc>
        <w:tc>
          <w:tcPr>
            <w:tcW w:w="1134" w:type="dxa"/>
            <w:tcBorders>
              <w:top w:val="nil"/>
              <w:left w:val="single" w:sz="4" w:space="0" w:color="auto"/>
              <w:bottom w:val="nil"/>
              <w:right w:val="single" w:sz="4" w:space="0" w:color="auto"/>
            </w:tcBorders>
            <w:shd w:val="clear" w:color="auto" w:fill="auto"/>
            <w:vAlign w:val="center"/>
          </w:tcPr>
          <w:p w14:paraId="139C2240" w14:textId="77777777" w:rsidR="00DB215C" w:rsidRPr="00DB215C" w:rsidRDefault="00DB215C" w:rsidP="00DB215C">
            <w:pPr>
              <w:ind w:right="227"/>
              <w:jc w:val="right"/>
              <w:rPr>
                <w:rFonts w:eastAsia="Calibri"/>
                <w:sz w:val="18"/>
                <w:szCs w:val="18"/>
                <w:lang w:eastAsia="en-US"/>
              </w:rPr>
            </w:pPr>
            <w:r w:rsidRPr="00DB215C">
              <w:rPr>
                <w:rFonts w:eastAsia="Calibri"/>
                <w:sz w:val="18"/>
                <w:szCs w:val="18"/>
                <w:lang w:eastAsia="en-US"/>
              </w:rPr>
              <w:t>6.94</w:t>
            </w:r>
          </w:p>
        </w:tc>
        <w:tc>
          <w:tcPr>
            <w:tcW w:w="1134" w:type="dxa"/>
            <w:tcBorders>
              <w:left w:val="single" w:sz="4" w:space="0" w:color="auto"/>
              <w:right w:val="single" w:sz="4" w:space="0" w:color="auto"/>
            </w:tcBorders>
            <w:shd w:val="clear" w:color="auto" w:fill="auto"/>
            <w:vAlign w:val="center"/>
          </w:tcPr>
          <w:p w14:paraId="67DAA7CC" w14:textId="77777777" w:rsidR="00DB215C" w:rsidRPr="00DB215C" w:rsidRDefault="00DB215C" w:rsidP="00DB215C">
            <w:pPr>
              <w:ind w:right="227"/>
              <w:jc w:val="right"/>
              <w:rPr>
                <w:rFonts w:eastAsia="Calibri"/>
                <w:sz w:val="18"/>
                <w:szCs w:val="18"/>
                <w:lang w:eastAsia="en-US"/>
              </w:rPr>
            </w:pPr>
            <w:r w:rsidRPr="00DB215C">
              <w:rPr>
                <w:rFonts w:eastAsia="Calibri"/>
                <w:sz w:val="18"/>
                <w:szCs w:val="18"/>
                <w:lang w:eastAsia="en-US"/>
              </w:rPr>
              <w:t>6.91</w:t>
            </w:r>
          </w:p>
        </w:tc>
        <w:tc>
          <w:tcPr>
            <w:tcW w:w="1134" w:type="dxa"/>
            <w:tcBorders>
              <w:top w:val="nil"/>
              <w:left w:val="single" w:sz="4" w:space="0" w:color="auto"/>
              <w:bottom w:val="nil"/>
              <w:right w:val="single" w:sz="4" w:space="0" w:color="auto"/>
            </w:tcBorders>
            <w:shd w:val="clear" w:color="auto" w:fill="auto"/>
            <w:vAlign w:val="center"/>
          </w:tcPr>
          <w:p w14:paraId="4A641FF1"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-0.79</w:t>
            </w:r>
          </w:p>
        </w:tc>
        <w:tc>
          <w:tcPr>
            <w:tcW w:w="1188" w:type="dxa"/>
            <w:tcBorders>
              <w:top w:val="nil"/>
              <w:left w:val="single" w:sz="4" w:space="0" w:color="auto"/>
              <w:bottom w:val="nil"/>
              <w:right w:val="single" w:sz="4" w:space="0" w:color="auto"/>
            </w:tcBorders>
            <w:shd w:val="clear" w:color="auto" w:fill="auto"/>
            <w:vAlign w:val="center"/>
          </w:tcPr>
          <w:p w14:paraId="7E2A2A6D" w14:textId="77777777" w:rsidR="00DB215C" w:rsidRPr="00DB215C" w:rsidRDefault="00DB215C" w:rsidP="00DB215C">
            <w:pPr>
              <w:ind w:right="284"/>
              <w:jc w:val="right"/>
              <w:rPr>
                <w:rFonts w:eastAsia="Calibri"/>
                <w:bCs/>
                <w:sz w:val="18"/>
                <w:szCs w:val="18"/>
                <w:lang w:eastAsia="en-US"/>
              </w:rPr>
            </w:pPr>
            <w:r w:rsidRPr="00DB215C">
              <w:rPr>
                <w:rFonts w:eastAsia="Calibri"/>
                <w:bCs/>
                <w:sz w:val="18"/>
                <w:szCs w:val="18"/>
                <w:lang w:eastAsia="en-US"/>
              </w:rPr>
              <w:t>-0.03</w:t>
            </w:r>
          </w:p>
        </w:tc>
      </w:tr>
      <w:tr w:rsidR="00DB215C" w:rsidRPr="00DB215C" w14:paraId="066B6A89" w14:textId="77777777" w:rsidTr="00DB215C">
        <w:trPr>
          <w:trHeight w:val="271"/>
          <w:jc w:val="center"/>
        </w:trPr>
        <w:tc>
          <w:tcPr>
            <w:tcW w:w="2840" w:type="dxa"/>
            <w:tcBorders>
              <w:top w:val="nil"/>
              <w:left w:val="single" w:sz="4" w:space="0" w:color="auto"/>
              <w:bottom w:val="nil"/>
              <w:right w:val="single" w:sz="4" w:space="0" w:color="auto"/>
            </w:tcBorders>
            <w:shd w:val="clear" w:color="auto" w:fill="auto"/>
            <w:vAlign w:val="center"/>
          </w:tcPr>
          <w:p w14:paraId="561E1EC1" w14:textId="77777777" w:rsidR="00DB215C" w:rsidRPr="00DB215C" w:rsidRDefault="00DB215C" w:rsidP="00DB215C">
            <w:pPr>
              <w:ind w:left="170"/>
              <w:rPr>
                <w:rFonts w:eastAsia="Calibri"/>
                <w:bCs/>
                <w:sz w:val="18"/>
                <w:szCs w:val="18"/>
                <w:lang w:eastAsia="en-US"/>
              </w:rPr>
            </w:pPr>
            <w:r w:rsidRPr="00DB215C">
              <w:rPr>
                <w:rFonts w:eastAsia="Calibri"/>
                <w:bCs/>
                <w:sz w:val="18"/>
                <w:szCs w:val="18"/>
                <w:lang w:eastAsia="en-US"/>
              </w:rPr>
              <w:t>ABCD</w:t>
            </w:r>
          </w:p>
        </w:tc>
        <w:tc>
          <w:tcPr>
            <w:tcW w:w="1134" w:type="dxa"/>
            <w:tcBorders>
              <w:left w:val="single" w:sz="4" w:space="0" w:color="auto"/>
              <w:right w:val="single" w:sz="4" w:space="0" w:color="auto"/>
            </w:tcBorders>
            <w:shd w:val="clear" w:color="auto" w:fill="auto"/>
            <w:vAlign w:val="center"/>
          </w:tcPr>
          <w:p w14:paraId="5C8EA43C" w14:textId="77777777" w:rsidR="00DB215C" w:rsidRPr="00DB215C" w:rsidRDefault="00DB215C" w:rsidP="00DB215C">
            <w:pPr>
              <w:ind w:right="284"/>
              <w:jc w:val="right"/>
              <w:rPr>
                <w:rFonts w:eastAsia="Calibri"/>
                <w:sz w:val="18"/>
                <w:szCs w:val="18"/>
                <w:lang w:eastAsia="en-US"/>
              </w:rPr>
            </w:pPr>
            <w:r w:rsidRPr="00DB215C">
              <w:rPr>
                <w:rFonts w:eastAsia="Calibri"/>
                <w:sz w:val="18"/>
                <w:szCs w:val="18"/>
                <w:lang w:eastAsia="en-US"/>
              </w:rPr>
              <w:t>3.82</w:t>
            </w:r>
          </w:p>
        </w:tc>
        <w:tc>
          <w:tcPr>
            <w:tcW w:w="1134" w:type="dxa"/>
            <w:tcBorders>
              <w:top w:val="nil"/>
              <w:left w:val="single" w:sz="4" w:space="0" w:color="auto"/>
              <w:bottom w:val="nil"/>
              <w:right w:val="single" w:sz="4" w:space="0" w:color="auto"/>
            </w:tcBorders>
            <w:shd w:val="clear" w:color="auto" w:fill="auto"/>
            <w:vAlign w:val="center"/>
          </w:tcPr>
          <w:p w14:paraId="673F6EA2" w14:textId="77777777" w:rsidR="00DB215C" w:rsidRPr="00DB215C" w:rsidRDefault="00DB215C" w:rsidP="00DB215C">
            <w:pPr>
              <w:ind w:right="227"/>
              <w:jc w:val="right"/>
              <w:rPr>
                <w:rFonts w:eastAsia="Calibri"/>
                <w:sz w:val="18"/>
                <w:szCs w:val="18"/>
                <w:lang w:eastAsia="en-US"/>
              </w:rPr>
            </w:pPr>
            <w:r w:rsidRPr="00DB215C">
              <w:rPr>
                <w:rFonts w:eastAsia="Calibri"/>
                <w:sz w:val="18"/>
                <w:szCs w:val="18"/>
                <w:lang w:eastAsia="en-US"/>
              </w:rPr>
              <w:t>3.98</w:t>
            </w:r>
          </w:p>
        </w:tc>
        <w:tc>
          <w:tcPr>
            <w:tcW w:w="1134" w:type="dxa"/>
            <w:tcBorders>
              <w:left w:val="single" w:sz="4" w:space="0" w:color="auto"/>
              <w:right w:val="single" w:sz="4" w:space="0" w:color="auto"/>
            </w:tcBorders>
            <w:shd w:val="clear" w:color="auto" w:fill="auto"/>
            <w:vAlign w:val="center"/>
          </w:tcPr>
          <w:p w14:paraId="078418B8" w14:textId="77777777" w:rsidR="00DB215C" w:rsidRPr="00DB215C" w:rsidRDefault="00DB215C" w:rsidP="00DB215C">
            <w:pPr>
              <w:ind w:right="227"/>
              <w:jc w:val="right"/>
              <w:rPr>
                <w:rFonts w:eastAsia="Calibri"/>
                <w:sz w:val="18"/>
                <w:szCs w:val="18"/>
                <w:lang w:eastAsia="en-US"/>
              </w:rPr>
            </w:pPr>
            <w:r w:rsidRPr="00DB215C">
              <w:rPr>
                <w:rFonts w:eastAsia="Calibri"/>
                <w:sz w:val="18"/>
                <w:szCs w:val="18"/>
                <w:lang w:eastAsia="en-US"/>
              </w:rPr>
              <w:t>3.94</w:t>
            </w:r>
          </w:p>
        </w:tc>
        <w:tc>
          <w:tcPr>
            <w:tcW w:w="1134" w:type="dxa"/>
            <w:tcBorders>
              <w:top w:val="nil"/>
              <w:left w:val="single" w:sz="4" w:space="0" w:color="auto"/>
              <w:bottom w:val="nil"/>
              <w:right w:val="single" w:sz="4" w:space="0" w:color="auto"/>
            </w:tcBorders>
            <w:shd w:val="clear" w:color="auto" w:fill="auto"/>
            <w:vAlign w:val="center"/>
          </w:tcPr>
          <w:p w14:paraId="71B4F27A"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0.12</w:t>
            </w:r>
          </w:p>
        </w:tc>
        <w:tc>
          <w:tcPr>
            <w:tcW w:w="1188" w:type="dxa"/>
            <w:tcBorders>
              <w:top w:val="nil"/>
              <w:left w:val="single" w:sz="4" w:space="0" w:color="auto"/>
              <w:bottom w:val="nil"/>
              <w:right w:val="single" w:sz="4" w:space="0" w:color="auto"/>
            </w:tcBorders>
            <w:shd w:val="clear" w:color="auto" w:fill="auto"/>
            <w:vAlign w:val="center"/>
          </w:tcPr>
          <w:p w14:paraId="45C735E5" w14:textId="77777777" w:rsidR="00DB215C" w:rsidRPr="00DB215C" w:rsidRDefault="00DB215C" w:rsidP="00DB215C">
            <w:pPr>
              <w:ind w:right="284"/>
              <w:jc w:val="right"/>
              <w:rPr>
                <w:rFonts w:eastAsia="Calibri"/>
                <w:bCs/>
                <w:sz w:val="18"/>
                <w:szCs w:val="18"/>
                <w:lang w:eastAsia="en-US"/>
              </w:rPr>
            </w:pPr>
            <w:r w:rsidRPr="00DB215C">
              <w:rPr>
                <w:rFonts w:eastAsia="Calibri"/>
                <w:bCs/>
                <w:sz w:val="18"/>
                <w:szCs w:val="18"/>
                <w:lang w:eastAsia="en-US"/>
              </w:rPr>
              <w:t>-0.04</w:t>
            </w:r>
          </w:p>
        </w:tc>
      </w:tr>
      <w:tr w:rsidR="00DB215C" w:rsidRPr="00DB215C" w14:paraId="75DCFFAC" w14:textId="77777777" w:rsidTr="00DB215C">
        <w:trPr>
          <w:trHeight w:val="271"/>
          <w:jc w:val="center"/>
        </w:trPr>
        <w:tc>
          <w:tcPr>
            <w:tcW w:w="2840" w:type="dxa"/>
            <w:tcBorders>
              <w:top w:val="nil"/>
              <w:left w:val="single" w:sz="4" w:space="0" w:color="auto"/>
              <w:bottom w:val="nil"/>
              <w:right w:val="single" w:sz="4" w:space="0" w:color="auto"/>
            </w:tcBorders>
            <w:shd w:val="clear" w:color="auto" w:fill="auto"/>
            <w:vAlign w:val="center"/>
          </w:tcPr>
          <w:p w14:paraId="61E2C32A" w14:textId="77777777" w:rsidR="00DB215C" w:rsidRPr="00DB215C" w:rsidRDefault="00DB215C" w:rsidP="00DB215C">
            <w:pPr>
              <w:ind w:left="340"/>
              <w:rPr>
                <w:rFonts w:eastAsia="Calibri"/>
                <w:bCs/>
                <w:sz w:val="18"/>
                <w:szCs w:val="18"/>
                <w:lang w:eastAsia="en-US"/>
              </w:rPr>
            </w:pPr>
            <w:r w:rsidRPr="00DB215C">
              <w:rPr>
                <w:rFonts w:eastAsia="Calibri"/>
                <w:bCs/>
                <w:sz w:val="18"/>
                <w:szCs w:val="18"/>
                <w:lang w:eastAsia="en-US"/>
              </w:rPr>
              <w:t>Automotriz</w:t>
            </w:r>
          </w:p>
        </w:tc>
        <w:tc>
          <w:tcPr>
            <w:tcW w:w="1134" w:type="dxa"/>
            <w:tcBorders>
              <w:left w:val="single" w:sz="4" w:space="0" w:color="auto"/>
              <w:right w:val="single" w:sz="4" w:space="0" w:color="auto"/>
            </w:tcBorders>
            <w:shd w:val="clear" w:color="auto" w:fill="auto"/>
            <w:vAlign w:val="center"/>
          </w:tcPr>
          <w:p w14:paraId="53660157" w14:textId="77777777" w:rsidR="00DB215C" w:rsidRPr="00DB215C" w:rsidRDefault="00DB215C" w:rsidP="00DB215C">
            <w:pPr>
              <w:ind w:right="284"/>
              <w:jc w:val="right"/>
              <w:rPr>
                <w:rFonts w:eastAsia="Calibri"/>
                <w:sz w:val="18"/>
                <w:szCs w:val="18"/>
                <w:lang w:eastAsia="en-US"/>
              </w:rPr>
            </w:pPr>
            <w:r w:rsidRPr="00DB215C">
              <w:rPr>
                <w:rFonts w:eastAsia="Calibri"/>
                <w:sz w:val="18"/>
                <w:szCs w:val="18"/>
                <w:lang w:eastAsia="en-US"/>
              </w:rPr>
              <w:t>3.77</w:t>
            </w:r>
          </w:p>
        </w:tc>
        <w:tc>
          <w:tcPr>
            <w:tcW w:w="1134" w:type="dxa"/>
            <w:tcBorders>
              <w:top w:val="nil"/>
              <w:left w:val="single" w:sz="4" w:space="0" w:color="auto"/>
              <w:bottom w:val="nil"/>
              <w:right w:val="single" w:sz="4" w:space="0" w:color="auto"/>
            </w:tcBorders>
            <w:shd w:val="clear" w:color="auto" w:fill="auto"/>
            <w:vAlign w:val="center"/>
          </w:tcPr>
          <w:p w14:paraId="0B4E53B4" w14:textId="77777777" w:rsidR="00DB215C" w:rsidRPr="00DB215C" w:rsidRDefault="00DB215C" w:rsidP="00DB215C">
            <w:pPr>
              <w:ind w:right="227"/>
              <w:jc w:val="right"/>
              <w:rPr>
                <w:rFonts w:eastAsia="Calibri"/>
                <w:sz w:val="18"/>
                <w:szCs w:val="18"/>
                <w:lang w:eastAsia="en-US"/>
              </w:rPr>
            </w:pPr>
            <w:r w:rsidRPr="00DB215C">
              <w:rPr>
                <w:rFonts w:eastAsia="Calibri"/>
                <w:sz w:val="18"/>
                <w:szCs w:val="18"/>
                <w:lang w:eastAsia="en-US"/>
              </w:rPr>
              <w:t>3.92</w:t>
            </w:r>
          </w:p>
        </w:tc>
        <w:tc>
          <w:tcPr>
            <w:tcW w:w="1134" w:type="dxa"/>
            <w:tcBorders>
              <w:left w:val="single" w:sz="4" w:space="0" w:color="auto"/>
              <w:right w:val="single" w:sz="4" w:space="0" w:color="auto"/>
            </w:tcBorders>
            <w:shd w:val="clear" w:color="auto" w:fill="auto"/>
            <w:vAlign w:val="center"/>
          </w:tcPr>
          <w:p w14:paraId="56EDE5D9" w14:textId="77777777" w:rsidR="00DB215C" w:rsidRPr="00DB215C" w:rsidRDefault="00DB215C" w:rsidP="00DB215C">
            <w:pPr>
              <w:ind w:right="227"/>
              <w:jc w:val="right"/>
              <w:rPr>
                <w:rFonts w:eastAsia="Calibri"/>
                <w:sz w:val="18"/>
                <w:szCs w:val="18"/>
                <w:lang w:eastAsia="en-US"/>
              </w:rPr>
            </w:pPr>
            <w:r w:rsidRPr="00DB215C">
              <w:rPr>
                <w:rFonts w:eastAsia="Calibri"/>
                <w:sz w:val="18"/>
                <w:szCs w:val="18"/>
                <w:lang w:eastAsia="en-US"/>
              </w:rPr>
              <w:t>3.88</w:t>
            </w:r>
          </w:p>
        </w:tc>
        <w:tc>
          <w:tcPr>
            <w:tcW w:w="1134" w:type="dxa"/>
            <w:tcBorders>
              <w:top w:val="nil"/>
              <w:left w:val="single" w:sz="4" w:space="0" w:color="auto"/>
              <w:bottom w:val="nil"/>
              <w:right w:val="single" w:sz="4" w:space="0" w:color="auto"/>
            </w:tcBorders>
            <w:shd w:val="clear" w:color="auto" w:fill="auto"/>
            <w:vAlign w:val="center"/>
          </w:tcPr>
          <w:p w14:paraId="7F979E47"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0.11</w:t>
            </w:r>
          </w:p>
        </w:tc>
        <w:tc>
          <w:tcPr>
            <w:tcW w:w="1188" w:type="dxa"/>
            <w:tcBorders>
              <w:top w:val="nil"/>
              <w:left w:val="single" w:sz="4" w:space="0" w:color="auto"/>
              <w:bottom w:val="nil"/>
              <w:right w:val="single" w:sz="4" w:space="0" w:color="auto"/>
            </w:tcBorders>
            <w:shd w:val="clear" w:color="auto" w:fill="auto"/>
            <w:vAlign w:val="center"/>
          </w:tcPr>
          <w:p w14:paraId="76A011EF" w14:textId="77777777" w:rsidR="00DB215C" w:rsidRPr="00DB215C" w:rsidRDefault="00DB215C" w:rsidP="00DB215C">
            <w:pPr>
              <w:ind w:right="284"/>
              <w:jc w:val="right"/>
              <w:rPr>
                <w:rFonts w:eastAsia="Calibri"/>
                <w:bCs/>
                <w:sz w:val="18"/>
                <w:szCs w:val="18"/>
                <w:lang w:eastAsia="en-US"/>
              </w:rPr>
            </w:pPr>
            <w:r w:rsidRPr="00DB215C">
              <w:rPr>
                <w:rFonts w:eastAsia="Calibri"/>
                <w:bCs/>
                <w:sz w:val="18"/>
                <w:szCs w:val="18"/>
                <w:lang w:eastAsia="en-US"/>
              </w:rPr>
              <w:t>-0.04</w:t>
            </w:r>
          </w:p>
        </w:tc>
      </w:tr>
      <w:tr w:rsidR="00DB215C" w:rsidRPr="00DB215C" w14:paraId="10C90C6D" w14:textId="77777777" w:rsidTr="00DB215C">
        <w:trPr>
          <w:trHeight w:val="271"/>
          <w:jc w:val="center"/>
        </w:trPr>
        <w:tc>
          <w:tcPr>
            <w:tcW w:w="2840" w:type="dxa"/>
            <w:tcBorders>
              <w:top w:val="nil"/>
              <w:left w:val="single" w:sz="4" w:space="0" w:color="auto"/>
              <w:bottom w:val="nil"/>
              <w:right w:val="single" w:sz="4" w:space="0" w:color="auto"/>
            </w:tcBorders>
            <w:shd w:val="clear" w:color="auto" w:fill="auto"/>
            <w:vAlign w:val="center"/>
          </w:tcPr>
          <w:p w14:paraId="3A496172" w14:textId="77777777" w:rsidR="00DB215C" w:rsidRPr="00DB215C" w:rsidRDefault="00DB215C" w:rsidP="00DB215C">
            <w:pPr>
              <w:ind w:left="340"/>
              <w:rPr>
                <w:rFonts w:eastAsia="Calibri"/>
                <w:bCs/>
                <w:sz w:val="18"/>
                <w:szCs w:val="18"/>
                <w:lang w:eastAsia="en-US"/>
              </w:rPr>
            </w:pPr>
            <w:r w:rsidRPr="00DB215C">
              <w:rPr>
                <w:rFonts w:eastAsia="Calibri"/>
                <w:bCs/>
                <w:sz w:val="18"/>
                <w:szCs w:val="18"/>
                <w:lang w:eastAsia="en-US"/>
              </w:rPr>
              <w:t>Adquisición de bienes muebles</w:t>
            </w:r>
          </w:p>
        </w:tc>
        <w:tc>
          <w:tcPr>
            <w:tcW w:w="1134" w:type="dxa"/>
            <w:tcBorders>
              <w:left w:val="single" w:sz="4" w:space="0" w:color="auto"/>
              <w:right w:val="single" w:sz="4" w:space="0" w:color="auto"/>
            </w:tcBorders>
            <w:shd w:val="clear" w:color="auto" w:fill="auto"/>
            <w:vAlign w:val="center"/>
          </w:tcPr>
          <w:p w14:paraId="2C2C24E9" w14:textId="77777777" w:rsidR="00DB215C" w:rsidRPr="00DB215C" w:rsidRDefault="00DB215C" w:rsidP="00DB215C">
            <w:pPr>
              <w:ind w:right="284"/>
              <w:jc w:val="right"/>
              <w:rPr>
                <w:rFonts w:eastAsia="Calibri"/>
                <w:sz w:val="18"/>
                <w:szCs w:val="18"/>
                <w:lang w:eastAsia="en-US"/>
              </w:rPr>
            </w:pPr>
            <w:r w:rsidRPr="00DB215C">
              <w:rPr>
                <w:rFonts w:eastAsia="Calibri"/>
                <w:sz w:val="18"/>
                <w:szCs w:val="18"/>
                <w:lang w:eastAsia="en-US"/>
              </w:rPr>
              <w:t>5.14</w:t>
            </w:r>
          </w:p>
        </w:tc>
        <w:tc>
          <w:tcPr>
            <w:tcW w:w="1134" w:type="dxa"/>
            <w:tcBorders>
              <w:top w:val="nil"/>
              <w:left w:val="single" w:sz="4" w:space="0" w:color="auto"/>
              <w:bottom w:val="nil"/>
              <w:right w:val="single" w:sz="4" w:space="0" w:color="auto"/>
            </w:tcBorders>
            <w:shd w:val="clear" w:color="auto" w:fill="auto"/>
            <w:vAlign w:val="center"/>
          </w:tcPr>
          <w:p w14:paraId="3490D7F6" w14:textId="77777777" w:rsidR="00DB215C" w:rsidRPr="00DB215C" w:rsidRDefault="00DB215C" w:rsidP="00DB215C">
            <w:pPr>
              <w:ind w:right="227"/>
              <w:jc w:val="right"/>
              <w:rPr>
                <w:rFonts w:eastAsia="Calibri"/>
                <w:sz w:val="18"/>
                <w:szCs w:val="18"/>
                <w:lang w:eastAsia="en-US"/>
              </w:rPr>
            </w:pPr>
            <w:r w:rsidRPr="00DB215C">
              <w:rPr>
                <w:rFonts w:eastAsia="Calibri"/>
                <w:sz w:val="18"/>
                <w:szCs w:val="18"/>
                <w:lang w:eastAsia="en-US"/>
              </w:rPr>
              <w:t>4.75</w:t>
            </w:r>
          </w:p>
        </w:tc>
        <w:tc>
          <w:tcPr>
            <w:tcW w:w="1134" w:type="dxa"/>
            <w:tcBorders>
              <w:left w:val="single" w:sz="4" w:space="0" w:color="auto"/>
              <w:right w:val="single" w:sz="4" w:space="0" w:color="auto"/>
            </w:tcBorders>
            <w:shd w:val="clear" w:color="auto" w:fill="auto"/>
            <w:vAlign w:val="center"/>
          </w:tcPr>
          <w:p w14:paraId="33B9BFA0" w14:textId="77777777" w:rsidR="00DB215C" w:rsidRPr="00DB215C" w:rsidRDefault="00DB215C" w:rsidP="00DB215C">
            <w:pPr>
              <w:ind w:right="227"/>
              <w:jc w:val="right"/>
              <w:rPr>
                <w:rFonts w:eastAsia="Calibri"/>
                <w:sz w:val="18"/>
                <w:szCs w:val="18"/>
                <w:lang w:eastAsia="en-US"/>
              </w:rPr>
            </w:pPr>
            <w:r w:rsidRPr="00DB215C">
              <w:rPr>
                <w:rFonts w:eastAsia="Calibri"/>
                <w:sz w:val="18"/>
                <w:szCs w:val="18"/>
                <w:lang w:eastAsia="en-US"/>
              </w:rPr>
              <w:t>4.68</w:t>
            </w:r>
          </w:p>
        </w:tc>
        <w:tc>
          <w:tcPr>
            <w:tcW w:w="1134" w:type="dxa"/>
            <w:tcBorders>
              <w:top w:val="nil"/>
              <w:left w:val="single" w:sz="4" w:space="0" w:color="auto"/>
              <w:bottom w:val="nil"/>
              <w:right w:val="single" w:sz="4" w:space="0" w:color="auto"/>
            </w:tcBorders>
            <w:shd w:val="clear" w:color="auto" w:fill="auto"/>
            <w:vAlign w:val="center"/>
          </w:tcPr>
          <w:p w14:paraId="77F92CFF"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-0.46</w:t>
            </w:r>
          </w:p>
        </w:tc>
        <w:tc>
          <w:tcPr>
            <w:tcW w:w="1188" w:type="dxa"/>
            <w:tcBorders>
              <w:top w:val="nil"/>
              <w:left w:val="single" w:sz="4" w:space="0" w:color="auto"/>
              <w:bottom w:val="nil"/>
              <w:right w:val="single" w:sz="4" w:space="0" w:color="auto"/>
            </w:tcBorders>
            <w:shd w:val="clear" w:color="auto" w:fill="auto"/>
            <w:vAlign w:val="center"/>
          </w:tcPr>
          <w:p w14:paraId="2D40249B" w14:textId="77777777" w:rsidR="00DB215C" w:rsidRPr="00DB215C" w:rsidRDefault="00DB215C" w:rsidP="00DB215C">
            <w:pPr>
              <w:ind w:right="284"/>
              <w:jc w:val="right"/>
              <w:rPr>
                <w:rFonts w:eastAsia="Calibri"/>
                <w:bCs/>
                <w:sz w:val="18"/>
                <w:szCs w:val="18"/>
                <w:lang w:eastAsia="en-US"/>
              </w:rPr>
            </w:pPr>
            <w:r w:rsidRPr="00DB215C">
              <w:rPr>
                <w:rFonts w:eastAsia="Calibri"/>
                <w:bCs/>
                <w:sz w:val="18"/>
                <w:szCs w:val="18"/>
                <w:lang w:eastAsia="en-US"/>
              </w:rPr>
              <w:t>-0.07</w:t>
            </w:r>
          </w:p>
        </w:tc>
      </w:tr>
      <w:tr w:rsidR="00DB215C" w:rsidRPr="00DB215C" w14:paraId="6872AEDD" w14:textId="77777777" w:rsidTr="00DB215C">
        <w:trPr>
          <w:trHeight w:val="271"/>
          <w:jc w:val="center"/>
        </w:trPr>
        <w:tc>
          <w:tcPr>
            <w:tcW w:w="2840" w:type="dxa"/>
            <w:tcBorders>
              <w:top w:val="nil"/>
              <w:left w:val="single" w:sz="4" w:space="0" w:color="auto"/>
              <w:bottom w:val="nil"/>
              <w:right w:val="single" w:sz="4" w:space="0" w:color="auto"/>
            </w:tcBorders>
            <w:shd w:val="clear" w:color="auto" w:fill="auto"/>
            <w:vAlign w:val="center"/>
          </w:tcPr>
          <w:p w14:paraId="0BEE7B55" w14:textId="77777777" w:rsidR="00DB215C" w:rsidRPr="00DB215C" w:rsidRDefault="00DB215C" w:rsidP="00DB215C">
            <w:pPr>
              <w:ind w:left="170"/>
              <w:rPr>
                <w:rFonts w:eastAsia="Calibri"/>
                <w:bCs/>
                <w:sz w:val="18"/>
                <w:szCs w:val="18"/>
                <w:lang w:eastAsia="en-US"/>
              </w:rPr>
            </w:pPr>
            <w:r w:rsidRPr="00DB215C">
              <w:rPr>
                <w:rFonts w:eastAsia="Calibri"/>
                <w:bCs/>
                <w:sz w:val="18"/>
                <w:szCs w:val="18"/>
                <w:lang w:eastAsia="en-US"/>
              </w:rPr>
              <w:t>Operaciones de arrendamiento capitalizable</w:t>
            </w:r>
          </w:p>
        </w:tc>
        <w:tc>
          <w:tcPr>
            <w:tcW w:w="1134" w:type="dxa"/>
            <w:tcBorders>
              <w:left w:val="single" w:sz="4" w:space="0" w:color="auto"/>
              <w:right w:val="single" w:sz="4" w:space="0" w:color="auto"/>
            </w:tcBorders>
            <w:shd w:val="clear" w:color="auto" w:fill="auto"/>
            <w:vAlign w:val="center"/>
          </w:tcPr>
          <w:p w14:paraId="56FE152A" w14:textId="77777777" w:rsidR="00DB215C" w:rsidRPr="00DB215C" w:rsidRDefault="00DB215C" w:rsidP="00DB215C">
            <w:pPr>
              <w:ind w:right="284"/>
              <w:jc w:val="right"/>
              <w:rPr>
                <w:rFonts w:eastAsia="Calibri"/>
                <w:sz w:val="18"/>
                <w:szCs w:val="18"/>
                <w:lang w:eastAsia="en-US"/>
              </w:rPr>
            </w:pPr>
            <w:r w:rsidRPr="00DB215C">
              <w:rPr>
                <w:rFonts w:eastAsia="Calibri"/>
                <w:sz w:val="18"/>
                <w:szCs w:val="18"/>
                <w:lang w:eastAsia="en-US"/>
              </w:rPr>
              <w:t>8.56</w:t>
            </w:r>
          </w:p>
        </w:tc>
        <w:tc>
          <w:tcPr>
            <w:tcW w:w="1134" w:type="dxa"/>
            <w:tcBorders>
              <w:top w:val="nil"/>
              <w:left w:val="single" w:sz="4" w:space="0" w:color="auto"/>
              <w:bottom w:val="nil"/>
              <w:right w:val="single" w:sz="4" w:space="0" w:color="auto"/>
            </w:tcBorders>
            <w:shd w:val="clear" w:color="auto" w:fill="auto"/>
            <w:vAlign w:val="center"/>
          </w:tcPr>
          <w:p w14:paraId="6C7EC951" w14:textId="77777777" w:rsidR="00DB215C" w:rsidRPr="00DB215C" w:rsidRDefault="00DB215C" w:rsidP="00DB215C">
            <w:pPr>
              <w:ind w:right="227"/>
              <w:jc w:val="right"/>
              <w:rPr>
                <w:rFonts w:eastAsia="Calibri"/>
                <w:sz w:val="18"/>
                <w:szCs w:val="18"/>
                <w:lang w:eastAsia="en-US"/>
              </w:rPr>
            </w:pPr>
            <w:r w:rsidRPr="00DB215C">
              <w:rPr>
                <w:rFonts w:eastAsia="Calibri"/>
                <w:sz w:val="18"/>
                <w:szCs w:val="18"/>
                <w:lang w:eastAsia="en-US"/>
              </w:rPr>
              <w:t>15.82</w:t>
            </w:r>
          </w:p>
        </w:tc>
        <w:tc>
          <w:tcPr>
            <w:tcW w:w="1134" w:type="dxa"/>
            <w:tcBorders>
              <w:left w:val="single" w:sz="4" w:space="0" w:color="auto"/>
              <w:right w:val="single" w:sz="4" w:space="0" w:color="auto"/>
            </w:tcBorders>
            <w:shd w:val="clear" w:color="auto" w:fill="auto"/>
            <w:vAlign w:val="center"/>
          </w:tcPr>
          <w:p w14:paraId="56FE1931" w14:textId="77777777" w:rsidR="00DB215C" w:rsidRPr="00DB215C" w:rsidRDefault="00DB215C" w:rsidP="00DB215C">
            <w:pPr>
              <w:ind w:right="227"/>
              <w:jc w:val="right"/>
              <w:rPr>
                <w:rFonts w:eastAsia="Calibri"/>
                <w:sz w:val="18"/>
                <w:szCs w:val="18"/>
                <w:lang w:eastAsia="en-US"/>
              </w:rPr>
            </w:pPr>
            <w:r w:rsidRPr="00DB215C">
              <w:rPr>
                <w:rFonts w:eastAsia="Calibri"/>
                <w:sz w:val="18"/>
                <w:szCs w:val="18"/>
                <w:lang w:eastAsia="en-US"/>
              </w:rPr>
              <w:t>12.52</w:t>
            </w:r>
          </w:p>
        </w:tc>
        <w:tc>
          <w:tcPr>
            <w:tcW w:w="1134" w:type="dxa"/>
            <w:tcBorders>
              <w:top w:val="nil"/>
              <w:left w:val="single" w:sz="4" w:space="0" w:color="auto"/>
              <w:bottom w:val="nil"/>
              <w:right w:val="single" w:sz="4" w:space="0" w:color="auto"/>
            </w:tcBorders>
            <w:shd w:val="clear" w:color="auto" w:fill="auto"/>
            <w:vAlign w:val="center"/>
          </w:tcPr>
          <w:p w14:paraId="6D1954E0"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3.96</w:t>
            </w:r>
          </w:p>
        </w:tc>
        <w:tc>
          <w:tcPr>
            <w:tcW w:w="1188" w:type="dxa"/>
            <w:tcBorders>
              <w:top w:val="nil"/>
              <w:left w:val="single" w:sz="4" w:space="0" w:color="auto"/>
              <w:bottom w:val="nil"/>
              <w:right w:val="single" w:sz="4" w:space="0" w:color="auto"/>
            </w:tcBorders>
            <w:shd w:val="clear" w:color="auto" w:fill="auto"/>
            <w:vAlign w:val="center"/>
          </w:tcPr>
          <w:p w14:paraId="7FD9FAAD" w14:textId="77777777" w:rsidR="00DB215C" w:rsidRPr="00DB215C" w:rsidRDefault="00DB215C" w:rsidP="00DB215C">
            <w:pPr>
              <w:ind w:right="284"/>
              <w:jc w:val="right"/>
              <w:rPr>
                <w:rFonts w:eastAsia="Calibri"/>
                <w:bCs/>
                <w:sz w:val="18"/>
                <w:szCs w:val="18"/>
                <w:lang w:eastAsia="en-US"/>
              </w:rPr>
            </w:pPr>
            <w:r w:rsidRPr="00DB215C">
              <w:rPr>
                <w:rFonts w:eastAsia="Calibri"/>
                <w:bCs/>
                <w:sz w:val="18"/>
                <w:szCs w:val="18"/>
                <w:lang w:eastAsia="en-US"/>
              </w:rPr>
              <w:t>-3.30</w:t>
            </w:r>
          </w:p>
        </w:tc>
      </w:tr>
      <w:tr w:rsidR="00DB215C" w:rsidRPr="00DB215C" w14:paraId="15A9B564" w14:textId="77777777" w:rsidTr="00DB215C">
        <w:trPr>
          <w:trHeight w:val="271"/>
          <w:jc w:val="center"/>
        </w:trPr>
        <w:tc>
          <w:tcPr>
            <w:tcW w:w="2840" w:type="dxa"/>
            <w:tcBorders>
              <w:top w:val="nil"/>
              <w:left w:val="single" w:sz="4" w:space="0" w:color="auto"/>
              <w:bottom w:val="nil"/>
              <w:right w:val="single" w:sz="4" w:space="0" w:color="auto"/>
            </w:tcBorders>
            <w:shd w:val="clear" w:color="auto" w:fill="auto"/>
            <w:vAlign w:val="center"/>
          </w:tcPr>
          <w:p w14:paraId="12AB4368" w14:textId="77777777" w:rsidR="00DB215C" w:rsidRPr="00DB215C" w:rsidRDefault="00DB215C" w:rsidP="00DB215C">
            <w:pPr>
              <w:spacing w:after="120"/>
              <w:ind w:left="170"/>
              <w:rPr>
                <w:rFonts w:eastAsia="Calibri"/>
                <w:bCs/>
                <w:sz w:val="18"/>
                <w:szCs w:val="18"/>
                <w:lang w:eastAsia="en-US"/>
              </w:rPr>
            </w:pPr>
            <w:r w:rsidRPr="00DB215C">
              <w:rPr>
                <w:rFonts w:eastAsia="Calibri"/>
                <w:bCs/>
                <w:sz w:val="18"/>
                <w:szCs w:val="18"/>
                <w:lang w:eastAsia="en-US"/>
              </w:rPr>
              <w:t>Otros créditos de consumo</w:t>
            </w:r>
          </w:p>
        </w:tc>
        <w:tc>
          <w:tcPr>
            <w:tcW w:w="1134" w:type="dxa"/>
            <w:tcBorders>
              <w:left w:val="single" w:sz="4" w:space="0" w:color="auto"/>
              <w:right w:val="single" w:sz="4" w:space="0" w:color="auto"/>
            </w:tcBorders>
            <w:shd w:val="clear" w:color="auto" w:fill="auto"/>
            <w:vAlign w:val="center"/>
          </w:tcPr>
          <w:p w14:paraId="4F45AE91" w14:textId="77777777" w:rsidR="00DB215C" w:rsidRPr="00DB215C" w:rsidRDefault="00DB215C" w:rsidP="00DB215C">
            <w:pPr>
              <w:spacing w:after="120"/>
              <w:ind w:right="284"/>
              <w:jc w:val="right"/>
              <w:rPr>
                <w:rFonts w:eastAsia="Calibri"/>
                <w:sz w:val="18"/>
                <w:szCs w:val="18"/>
                <w:lang w:eastAsia="en-US"/>
              </w:rPr>
            </w:pPr>
            <w:r w:rsidRPr="00DB215C">
              <w:rPr>
                <w:rFonts w:eastAsia="Calibri"/>
                <w:sz w:val="18"/>
                <w:szCs w:val="18"/>
                <w:lang w:eastAsia="en-US"/>
              </w:rPr>
              <w:t>7.41</w:t>
            </w:r>
          </w:p>
        </w:tc>
        <w:tc>
          <w:tcPr>
            <w:tcW w:w="1134" w:type="dxa"/>
            <w:tcBorders>
              <w:top w:val="nil"/>
              <w:left w:val="single" w:sz="4" w:space="0" w:color="auto"/>
              <w:bottom w:val="nil"/>
              <w:right w:val="single" w:sz="4" w:space="0" w:color="auto"/>
            </w:tcBorders>
            <w:shd w:val="clear" w:color="auto" w:fill="auto"/>
            <w:vAlign w:val="center"/>
          </w:tcPr>
          <w:p w14:paraId="3F46DCF3" w14:textId="77777777" w:rsidR="00DB215C" w:rsidRPr="00DB215C" w:rsidRDefault="00DB215C" w:rsidP="00DB215C">
            <w:pPr>
              <w:spacing w:after="120"/>
              <w:ind w:right="227"/>
              <w:jc w:val="right"/>
              <w:rPr>
                <w:rFonts w:eastAsia="Calibri"/>
                <w:sz w:val="18"/>
                <w:szCs w:val="18"/>
                <w:lang w:eastAsia="en-US"/>
              </w:rPr>
            </w:pPr>
            <w:r w:rsidRPr="00DB215C">
              <w:rPr>
                <w:rFonts w:eastAsia="Calibri"/>
                <w:sz w:val="18"/>
                <w:szCs w:val="18"/>
                <w:lang w:eastAsia="en-US"/>
              </w:rPr>
              <w:t>6.82</w:t>
            </w:r>
          </w:p>
        </w:tc>
        <w:tc>
          <w:tcPr>
            <w:tcW w:w="1134" w:type="dxa"/>
            <w:tcBorders>
              <w:left w:val="single" w:sz="4" w:space="0" w:color="auto"/>
              <w:right w:val="single" w:sz="4" w:space="0" w:color="auto"/>
            </w:tcBorders>
            <w:shd w:val="clear" w:color="auto" w:fill="auto"/>
            <w:vAlign w:val="center"/>
          </w:tcPr>
          <w:p w14:paraId="1C971BD0" w14:textId="77777777" w:rsidR="00DB215C" w:rsidRPr="00DB215C" w:rsidRDefault="00DB215C" w:rsidP="00DB215C">
            <w:pPr>
              <w:spacing w:after="120"/>
              <w:ind w:right="227"/>
              <w:jc w:val="right"/>
              <w:rPr>
                <w:rFonts w:eastAsia="Calibri"/>
                <w:sz w:val="18"/>
                <w:szCs w:val="18"/>
                <w:lang w:eastAsia="en-US"/>
              </w:rPr>
            </w:pPr>
            <w:r w:rsidRPr="00DB215C">
              <w:rPr>
                <w:rFonts w:eastAsia="Calibri"/>
                <w:sz w:val="18"/>
                <w:szCs w:val="18"/>
                <w:lang w:eastAsia="en-US"/>
              </w:rPr>
              <w:t>6.77</w:t>
            </w:r>
          </w:p>
        </w:tc>
        <w:tc>
          <w:tcPr>
            <w:tcW w:w="1134" w:type="dxa"/>
            <w:tcBorders>
              <w:top w:val="nil"/>
              <w:left w:val="single" w:sz="4" w:space="0" w:color="auto"/>
              <w:bottom w:val="nil"/>
              <w:right w:val="single" w:sz="4" w:space="0" w:color="auto"/>
            </w:tcBorders>
            <w:shd w:val="clear" w:color="auto" w:fill="auto"/>
            <w:vAlign w:val="center"/>
          </w:tcPr>
          <w:p w14:paraId="6C12C39D" w14:textId="77777777" w:rsidR="00DB215C" w:rsidRPr="00DB215C" w:rsidRDefault="00DB215C" w:rsidP="00DB215C">
            <w:pPr>
              <w:spacing w:after="120"/>
              <w:ind w:right="170"/>
              <w:jc w:val="right"/>
              <w:rPr>
                <w:rFonts w:eastAsia="Calibri"/>
                <w:sz w:val="18"/>
                <w:szCs w:val="18"/>
                <w:lang w:eastAsia="en-US"/>
              </w:rPr>
            </w:pPr>
            <w:r w:rsidRPr="00DB215C">
              <w:rPr>
                <w:rFonts w:eastAsia="Calibri"/>
                <w:sz w:val="18"/>
                <w:szCs w:val="18"/>
                <w:lang w:eastAsia="en-US"/>
              </w:rPr>
              <w:t>-0.64</w:t>
            </w:r>
          </w:p>
        </w:tc>
        <w:tc>
          <w:tcPr>
            <w:tcW w:w="1188" w:type="dxa"/>
            <w:tcBorders>
              <w:top w:val="nil"/>
              <w:left w:val="single" w:sz="4" w:space="0" w:color="auto"/>
              <w:bottom w:val="nil"/>
              <w:right w:val="single" w:sz="4" w:space="0" w:color="auto"/>
            </w:tcBorders>
            <w:shd w:val="clear" w:color="auto" w:fill="auto"/>
            <w:vAlign w:val="center"/>
          </w:tcPr>
          <w:p w14:paraId="26E76210" w14:textId="77777777" w:rsidR="00DB215C" w:rsidRPr="00DB215C" w:rsidRDefault="00DB215C" w:rsidP="00DB215C">
            <w:pPr>
              <w:spacing w:after="120"/>
              <w:ind w:right="284"/>
              <w:jc w:val="right"/>
              <w:rPr>
                <w:rFonts w:eastAsia="Calibri"/>
                <w:bCs/>
                <w:sz w:val="18"/>
                <w:szCs w:val="18"/>
                <w:lang w:eastAsia="en-US"/>
              </w:rPr>
            </w:pPr>
            <w:r w:rsidRPr="00DB215C">
              <w:rPr>
                <w:rFonts w:eastAsia="Calibri"/>
                <w:bCs/>
                <w:sz w:val="18"/>
                <w:szCs w:val="18"/>
                <w:lang w:eastAsia="en-US"/>
              </w:rPr>
              <w:t>-0.05</w:t>
            </w:r>
          </w:p>
        </w:tc>
      </w:tr>
      <w:tr w:rsidR="00DB215C" w:rsidRPr="00DB215C" w14:paraId="222D0C37" w14:textId="77777777" w:rsidTr="00DB215C">
        <w:trPr>
          <w:trHeight w:val="271"/>
          <w:jc w:val="center"/>
        </w:trPr>
        <w:tc>
          <w:tcPr>
            <w:tcW w:w="2840" w:type="dxa"/>
            <w:tcBorders>
              <w:top w:val="nil"/>
              <w:left w:val="single" w:sz="4" w:space="0" w:color="auto"/>
              <w:bottom w:val="nil"/>
              <w:right w:val="single" w:sz="4" w:space="0" w:color="auto"/>
            </w:tcBorders>
            <w:shd w:val="clear" w:color="auto" w:fill="auto"/>
            <w:vAlign w:val="center"/>
          </w:tcPr>
          <w:p w14:paraId="2AA06BEF" w14:textId="77777777" w:rsidR="00DB215C" w:rsidRPr="00DB215C" w:rsidRDefault="00DB215C" w:rsidP="00DB215C">
            <w:pPr>
              <w:rPr>
                <w:rFonts w:eastAsia="Calibri"/>
                <w:b/>
                <w:bCs/>
                <w:sz w:val="18"/>
                <w:szCs w:val="18"/>
                <w:lang w:eastAsia="en-US"/>
              </w:rPr>
            </w:pPr>
            <w:r w:rsidRPr="00DB215C">
              <w:rPr>
                <w:rFonts w:eastAsia="Calibri"/>
                <w:b/>
                <w:bCs/>
                <w:sz w:val="18"/>
                <w:szCs w:val="18"/>
                <w:lang w:eastAsia="en-US"/>
              </w:rPr>
              <w:t>Vivienda</w:t>
            </w:r>
          </w:p>
        </w:tc>
        <w:tc>
          <w:tcPr>
            <w:tcW w:w="1134" w:type="dxa"/>
            <w:tcBorders>
              <w:left w:val="single" w:sz="4" w:space="0" w:color="auto"/>
              <w:right w:val="single" w:sz="4" w:space="0" w:color="auto"/>
            </w:tcBorders>
            <w:shd w:val="clear" w:color="auto" w:fill="auto"/>
            <w:vAlign w:val="center"/>
          </w:tcPr>
          <w:p w14:paraId="675988E9" w14:textId="77777777" w:rsidR="00DB215C" w:rsidRPr="00DB215C" w:rsidRDefault="00DB215C" w:rsidP="00DB215C">
            <w:pPr>
              <w:ind w:right="284"/>
              <w:jc w:val="right"/>
              <w:rPr>
                <w:rFonts w:eastAsia="Calibri"/>
                <w:b/>
                <w:sz w:val="18"/>
                <w:szCs w:val="18"/>
                <w:lang w:eastAsia="en-US"/>
              </w:rPr>
            </w:pPr>
            <w:r w:rsidRPr="00DB215C">
              <w:rPr>
                <w:rFonts w:eastAsia="Calibri"/>
                <w:b/>
                <w:sz w:val="18"/>
                <w:szCs w:val="18"/>
                <w:lang w:eastAsia="en-US"/>
              </w:rPr>
              <w:t>2.04</w:t>
            </w:r>
          </w:p>
        </w:tc>
        <w:tc>
          <w:tcPr>
            <w:tcW w:w="1134" w:type="dxa"/>
            <w:tcBorders>
              <w:top w:val="nil"/>
              <w:left w:val="single" w:sz="4" w:space="0" w:color="auto"/>
              <w:bottom w:val="nil"/>
              <w:right w:val="single" w:sz="4" w:space="0" w:color="auto"/>
            </w:tcBorders>
            <w:shd w:val="clear" w:color="auto" w:fill="auto"/>
            <w:vAlign w:val="center"/>
          </w:tcPr>
          <w:p w14:paraId="70E651B8" w14:textId="77777777" w:rsidR="00DB215C" w:rsidRPr="00DB215C" w:rsidRDefault="00DB215C" w:rsidP="00DB215C">
            <w:pPr>
              <w:ind w:right="227"/>
              <w:jc w:val="right"/>
              <w:rPr>
                <w:rFonts w:eastAsia="Calibri"/>
                <w:b/>
                <w:sz w:val="18"/>
                <w:szCs w:val="18"/>
                <w:lang w:eastAsia="en-US"/>
              </w:rPr>
            </w:pPr>
            <w:r w:rsidRPr="00DB215C">
              <w:rPr>
                <w:rFonts w:eastAsia="Calibri"/>
                <w:b/>
                <w:sz w:val="18"/>
                <w:szCs w:val="18"/>
                <w:lang w:eastAsia="en-US"/>
              </w:rPr>
              <w:t>1.68</w:t>
            </w:r>
          </w:p>
        </w:tc>
        <w:tc>
          <w:tcPr>
            <w:tcW w:w="1134" w:type="dxa"/>
            <w:tcBorders>
              <w:left w:val="single" w:sz="4" w:space="0" w:color="auto"/>
              <w:right w:val="single" w:sz="4" w:space="0" w:color="auto"/>
            </w:tcBorders>
            <w:shd w:val="clear" w:color="auto" w:fill="auto"/>
            <w:vAlign w:val="center"/>
          </w:tcPr>
          <w:p w14:paraId="4EDA0271" w14:textId="77777777" w:rsidR="00DB215C" w:rsidRPr="00DB215C" w:rsidRDefault="00DB215C" w:rsidP="00DB215C">
            <w:pPr>
              <w:ind w:right="227"/>
              <w:jc w:val="right"/>
              <w:rPr>
                <w:rFonts w:eastAsia="Calibri"/>
                <w:b/>
                <w:sz w:val="18"/>
                <w:szCs w:val="18"/>
                <w:lang w:eastAsia="en-US"/>
              </w:rPr>
            </w:pPr>
            <w:r w:rsidRPr="00DB215C">
              <w:rPr>
                <w:rFonts w:eastAsia="Calibri"/>
                <w:b/>
                <w:sz w:val="18"/>
                <w:szCs w:val="18"/>
                <w:lang w:eastAsia="en-US"/>
              </w:rPr>
              <w:t>1.77</w:t>
            </w:r>
          </w:p>
        </w:tc>
        <w:tc>
          <w:tcPr>
            <w:tcW w:w="1134" w:type="dxa"/>
            <w:tcBorders>
              <w:top w:val="nil"/>
              <w:left w:val="single" w:sz="4" w:space="0" w:color="auto"/>
              <w:bottom w:val="nil"/>
              <w:right w:val="single" w:sz="4" w:space="0" w:color="auto"/>
            </w:tcBorders>
            <w:shd w:val="clear" w:color="auto" w:fill="auto"/>
            <w:vAlign w:val="center"/>
          </w:tcPr>
          <w:p w14:paraId="1C9C99F8" w14:textId="77777777" w:rsidR="00DB215C" w:rsidRPr="00DB215C" w:rsidRDefault="00DB215C" w:rsidP="00DB215C">
            <w:pPr>
              <w:ind w:right="170"/>
              <w:jc w:val="right"/>
              <w:rPr>
                <w:rFonts w:eastAsia="Calibri"/>
                <w:b/>
                <w:sz w:val="18"/>
                <w:szCs w:val="18"/>
                <w:lang w:eastAsia="en-US"/>
              </w:rPr>
            </w:pPr>
            <w:r w:rsidRPr="00DB215C">
              <w:rPr>
                <w:rFonts w:eastAsia="Calibri"/>
                <w:b/>
                <w:sz w:val="18"/>
                <w:szCs w:val="18"/>
                <w:lang w:eastAsia="en-US"/>
              </w:rPr>
              <w:t>-0.27</w:t>
            </w:r>
          </w:p>
        </w:tc>
        <w:tc>
          <w:tcPr>
            <w:tcW w:w="1188" w:type="dxa"/>
            <w:tcBorders>
              <w:top w:val="nil"/>
              <w:left w:val="single" w:sz="4" w:space="0" w:color="auto"/>
              <w:bottom w:val="nil"/>
              <w:right w:val="single" w:sz="4" w:space="0" w:color="auto"/>
            </w:tcBorders>
            <w:shd w:val="clear" w:color="auto" w:fill="auto"/>
            <w:vAlign w:val="center"/>
          </w:tcPr>
          <w:p w14:paraId="3ECB8EAB" w14:textId="77777777" w:rsidR="00DB215C" w:rsidRPr="00DB215C" w:rsidRDefault="00DB215C" w:rsidP="00DB215C">
            <w:pPr>
              <w:ind w:right="284"/>
              <w:jc w:val="right"/>
              <w:rPr>
                <w:rFonts w:eastAsia="Calibri"/>
                <w:b/>
                <w:bCs/>
                <w:sz w:val="18"/>
                <w:szCs w:val="18"/>
                <w:lang w:eastAsia="en-US"/>
              </w:rPr>
            </w:pPr>
            <w:r w:rsidRPr="00DB215C">
              <w:rPr>
                <w:rFonts w:eastAsia="Calibri"/>
                <w:b/>
                <w:bCs/>
                <w:sz w:val="18"/>
                <w:szCs w:val="18"/>
                <w:lang w:eastAsia="en-US"/>
              </w:rPr>
              <w:t>0.09</w:t>
            </w:r>
          </w:p>
        </w:tc>
      </w:tr>
      <w:tr w:rsidR="00DB215C" w:rsidRPr="00DB215C" w14:paraId="477FA06E" w14:textId="77777777" w:rsidTr="00DB215C">
        <w:trPr>
          <w:trHeight w:val="261"/>
          <w:jc w:val="center"/>
        </w:trPr>
        <w:tc>
          <w:tcPr>
            <w:tcW w:w="2840" w:type="dxa"/>
            <w:tcBorders>
              <w:top w:val="nil"/>
              <w:left w:val="single" w:sz="4" w:space="0" w:color="auto"/>
              <w:bottom w:val="nil"/>
              <w:right w:val="single" w:sz="4" w:space="0" w:color="auto"/>
            </w:tcBorders>
            <w:shd w:val="clear" w:color="auto" w:fill="auto"/>
            <w:vAlign w:val="center"/>
          </w:tcPr>
          <w:p w14:paraId="353A6882" w14:textId="77777777" w:rsidR="00DB215C" w:rsidRPr="00DB215C" w:rsidRDefault="00DB215C" w:rsidP="00DB215C">
            <w:pPr>
              <w:ind w:left="170"/>
              <w:rPr>
                <w:rFonts w:eastAsia="Calibri"/>
                <w:bCs/>
                <w:sz w:val="18"/>
                <w:szCs w:val="18"/>
                <w:lang w:eastAsia="en-US"/>
              </w:rPr>
            </w:pPr>
            <w:r w:rsidRPr="00DB215C">
              <w:rPr>
                <w:rFonts w:eastAsia="Calibri"/>
                <w:bCs/>
                <w:sz w:val="18"/>
                <w:szCs w:val="18"/>
                <w:lang w:eastAsia="en-US"/>
              </w:rPr>
              <w:t>Media y residencial</w:t>
            </w:r>
          </w:p>
        </w:tc>
        <w:tc>
          <w:tcPr>
            <w:tcW w:w="1134" w:type="dxa"/>
            <w:tcBorders>
              <w:left w:val="single" w:sz="4" w:space="0" w:color="auto"/>
              <w:right w:val="single" w:sz="4" w:space="0" w:color="auto"/>
            </w:tcBorders>
            <w:shd w:val="clear" w:color="auto" w:fill="auto"/>
            <w:vAlign w:val="center"/>
          </w:tcPr>
          <w:p w14:paraId="1CC8047E" w14:textId="77777777" w:rsidR="00DB215C" w:rsidRPr="00DB215C" w:rsidRDefault="00DB215C" w:rsidP="00DB215C">
            <w:pPr>
              <w:ind w:right="284"/>
              <w:jc w:val="right"/>
              <w:rPr>
                <w:rFonts w:eastAsia="Calibri"/>
                <w:sz w:val="18"/>
                <w:szCs w:val="18"/>
                <w:lang w:eastAsia="en-US"/>
              </w:rPr>
            </w:pPr>
            <w:r w:rsidRPr="00DB215C">
              <w:rPr>
                <w:rFonts w:eastAsia="Calibri"/>
                <w:sz w:val="18"/>
                <w:szCs w:val="18"/>
                <w:lang w:eastAsia="en-US"/>
              </w:rPr>
              <w:t>1.70</w:t>
            </w:r>
          </w:p>
        </w:tc>
        <w:tc>
          <w:tcPr>
            <w:tcW w:w="1134" w:type="dxa"/>
            <w:tcBorders>
              <w:top w:val="nil"/>
              <w:left w:val="single" w:sz="4" w:space="0" w:color="auto"/>
              <w:bottom w:val="nil"/>
              <w:right w:val="single" w:sz="4" w:space="0" w:color="auto"/>
            </w:tcBorders>
            <w:shd w:val="clear" w:color="auto" w:fill="auto"/>
            <w:vAlign w:val="center"/>
          </w:tcPr>
          <w:p w14:paraId="40611144" w14:textId="77777777" w:rsidR="00DB215C" w:rsidRPr="00DB215C" w:rsidRDefault="00DB215C" w:rsidP="00DB215C">
            <w:pPr>
              <w:ind w:right="227"/>
              <w:jc w:val="right"/>
              <w:rPr>
                <w:rFonts w:eastAsia="Calibri"/>
                <w:sz w:val="18"/>
                <w:szCs w:val="18"/>
                <w:lang w:eastAsia="en-US"/>
              </w:rPr>
            </w:pPr>
            <w:r w:rsidRPr="00DB215C">
              <w:rPr>
                <w:rFonts w:eastAsia="Calibri"/>
                <w:sz w:val="18"/>
                <w:szCs w:val="18"/>
                <w:lang w:eastAsia="en-US"/>
              </w:rPr>
              <w:t>1.59</w:t>
            </w:r>
          </w:p>
        </w:tc>
        <w:tc>
          <w:tcPr>
            <w:tcW w:w="1134" w:type="dxa"/>
            <w:tcBorders>
              <w:left w:val="single" w:sz="4" w:space="0" w:color="auto"/>
              <w:right w:val="single" w:sz="4" w:space="0" w:color="auto"/>
            </w:tcBorders>
            <w:shd w:val="clear" w:color="auto" w:fill="auto"/>
            <w:vAlign w:val="center"/>
          </w:tcPr>
          <w:p w14:paraId="66E04015" w14:textId="77777777" w:rsidR="00DB215C" w:rsidRPr="00DB215C" w:rsidRDefault="00DB215C" w:rsidP="00DB215C">
            <w:pPr>
              <w:ind w:right="227"/>
              <w:jc w:val="right"/>
              <w:rPr>
                <w:rFonts w:eastAsia="Calibri"/>
                <w:sz w:val="18"/>
                <w:szCs w:val="18"/>
                <w:lang w:eastAsia="en-US"/>
              </w:rPr>
            </w:pPr>
            <w:r w:rsidRPr="00DB215C">
              <w:rPr>
                <w:rFonts w:eastAsia="Calibri"/>
                <w:sz w:val="18"/>
                <w:szCs w:val="18"/>
                <w:lang w:eastAsia="en-US"/>
              </w:rPr>
              <w:t>1.66</w:t>
            </w:r>
          </w:p>
        </w:tc>
        <w:tc>
          <w:tcPr>
            <w:tcW w:w="1134" w:type="dxa"/>
            <w:tcBorders>
              <w:top w:val="nil"/>
              <w:left w:val="single" w:sz="4" w:space="0" w:color="auto"/>
              <w:bottom w:val="nil"/>
              <w:right w:val="single" w:sz="4" w:space="0" w:color="auto"/>
            </w:tcBorders>
            <w:shd w:val="clear" w:color="auto" w:fill="auto"/>
            <w:vAlign w:val="center"/>
          </w:tcPr>
          <w:p w14:paraId="4407526D"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-0.04</w:t>
            </w:r>
          </w:p>
        </w:tc>
        <w:tc>
          <w:tcPr>
            <w:tcW w:w="1188" w:type="dxa"/>
            <w:tcBorders>
              <w:top w:val="nil"/>
              <w:left w:val="single" w:sz="4" w:space="0" w:color="auto"/>
              <w:bottom w:val="nil"/>
              <w:right w:val="single" w:sz="4" w:space="0" w:color="auto"/>
            </w:tcBorders>
            <w:shd w:val="clear" w:color="auto" w:fill="auto"/>
            <w:vAlign w:val="center"/>
          </w:tcPr>
          <w:p w14:paraId="67F1EF8B" w14:textId="77777777" w:rsidR="00DB215C" w:rsidRPr="00DB215C" w:rsidRDefault="00DB215C" w:rsidP="00DB215C">
            <w:pPr>
              <w:ind w:right="284"/>
              <w:jc w:val="right"/>
              <w:rPr>
                <w:rFonts w:eastAsia="Calibri"/>
                <w:bCs/>
                <w:sz w:val="18"/>
                <w:szCs w:val="18"/>
                <w:lang w:eastAsia="en-US"/>
              </w:rPr>
            </w:pPr>
            <w:r w:rsidRPr="00DB215C">
              <w:rPr>
                <w:rFonts w:eastAsia="Calibri"/>
                <w:bCs/>
                <w:sz w:val="18"/>
                <w:szCs w:val="18"/>
                <w:lang w:eastAsia="en-US"/>
              </w:rPr>
              <w:t>0.07</w:t>
            </w:r>
          </w:p>
        </w:tc>
      </w:tr>
      <w:tr w:rsidR="00DB215C" w:rsidRPr="00DB215C" w14:paraId="2FBB866C" w14:textId="77777777" w:rsidTr="00DB215C">
        <w:trPr>
          <w:trHeight w:val="261"/>
          <w:jc w:val="center"/>
        </w:trPr>
        <w:tc>
          <w:tcPr>
            <w:tcW w:w="2840" w:type="dxa"/>
            <w:tcBorders>
              <w:top w:val="nil"/>
              <w:left w:val="single" w:sz="4" w:space="0" w:color="auto"/>
              <w:bottom w:val="single" w:sz="4" w:space="0" w:color="auto"/>
              <w:right w:val="single" w:sz="4" w:space="0" w:color="auto"/>
            </w:tcBorders>
            <w:shd w:val="clear" w:color="auto" w:fill="auto"/>
            <w:vAlign w:val="center"/>
          </w:tcPr>
          <w:p w14:paraId="063A7C3F" w14:textId="77777777" w:rsidR="00DB215C" w:rsidRPr="00DB215C" w:rsidRDefault="00DB215C" w:rsidP="00DB215C">
            <w:pPr>
              <w:spacing w:after="120"/>
              <w:ind w:left="170"/>
              <w:rPr>
                <w:rFonts w:eastAsia="Calibri"/>
                <w:bCs/>
                <w:sz w:val="18"/>
                <w:szCs w:val="18"/>
                <w:lang w:eastAsia="en-US"/>
              </w:rPr>
            </w:pPr>
            <w:r w:rsidRPr="00DB215C">
              <w:rPr>
                <w:rFonts w:eastAsia="Calibri"/>
                <w:bCs/>
                <w:sz w:val="18"/>
                <w:szCs w:val="18"/>
                <w:lang w:eastAsia="en-US"/>
              </w:rPr>
              <w:t>De interés social</w:t>
            </w:r>
          </w:p>
        </w:tc>
        <w:tc>
          <w:tcPr>
            <w:tcW w:w="1134" w:type="dxa"/>
            <w:tcBorders>
              <w:left w:val="single" w:sz="4" w:space="0" w:color="auto"/>
              <w:bottom w:val="single" w:sz="4" w:space="0" w:color="auto"/>
              <w:right w:val="single" w:sz="4" w:space="0" w:color="auto"/>
            </w:tcBorders>
            <w:shd w:val="clear" w:color="auto" w:fill="auto"/>
            <w:vAlign w:val="center"/>
          </w:tcPr>
          <w:p w14:paraId="0CBD4007" w14:textId="77777777" w:rsidR="00DB215C" w:rsidRPr="00DB215C" w:rsidRDefault="00DB215C" w:rsidP="00DB215C">
            <w:pPr>
              <w:spacing w:after="120"/>
              <w:ind w:right="284"/>
              <w:jc w:val="right"/>
              <w:rPr>
                <w:rFonts w:eastAsia="Calibri"/>
                <w:sz w:val="18"/>
                <w:szCs w:val="18"/>
                <w:lang w:eastAsia="en-US"/>
              </w:rPr>
            </w:pPr>
            <w:r w:rsidRPr="00DB215C">
              <w:rPr>
                <w:rFonts w:eastAsia="Calibri"/>
                <w:sz w:val="18"/>
                <w:szCs w:val="18"/>
                <w:lang w:eastAsia="en-US"/>
              </w:rPr>
              <w:t>3.57</w:t>
            </w:r>
          </w:p>
        </w:tc>
        <w:tc>
          <w:tcPr>
            <w:tcW w:w="1134" w:type="dxa"/>
            <w:tcBorders>
              <w:top w:val="nil"/>
              <w:left w:val="single" w:sz="4" w:space="0" w:color="auto"/>
              <w:bottom w:val="single" w:sz="4" w:space="0" w:color="auto"/>
              <w:right w:val="single" w:sz="4" w:space="0" w:color="auto"/>
            </w:tcBorders>
            <w:shd w:val="clear" w:color="auto" w:fill="auto"/>
            <w:vAlign w:val="center"/>
          </w:tcPr>
          <w:p w14:paraId="534DF66D" w14:textId="77777777" w:rsidR="00DB215C" w:rsidRPr="00DB215C" w:rsidRDefault="00DB215C" w:rsidP="00DB215C">
            <w:pPr>
              <w:spacing w:after="120"/>
              <w:ind w:right="227"/>
              <w:jc w:val="right"/>
              <w:rPr>
                <w:rFonts w:eastAsia="Calibri"/>
                <w:sz w:val="18"/>
                <w:szCs w:val="18"/>
                <w:lang w:eastAsia="en-US"/>
              </w:rPr>
            </w:pPr>
            <w:r w:rsidRPr="00DB215C">
              <w:rPr>
                <w:rFonts w:eastAsia="Calibri"/>
                <w:sz w:val="18"/>
                <w:szCs w:val="18"/>
                <w:lang w:eastAsia="en-US"/>
              </w:rPr>
              <w:t>2.26</w:t>
            </w:r>
          </w:p>
        </w:tc>
        <w:tc>
          <w:tcPr>
            <w:tcW w:w="1134" w:type="dxa"/>
            <w:tcBorders>
              <w:left w:val="single" w:sz="4" w:space="0" w:color="auto"/>
              <w:bottom w:val="single" w:sz="4" w:space="0" w:color="auto"/>
              <w:right w:val="single" w:sz="4" w:space="0" w:color="auto"/>
            </w:tcBorders>
            <w:shd w:val="clear" w:color="auto" w:fill="auto"/>
            <w:vAlign w:val="center"/>
          </w:tcPr>
          <w:p w14:paraId="70F3A20A" w14:textId="77777777" w:rsidR="00DB215C" w:rsidRPr="00DB215C" w:rsidRDefault="00DB215C" w:rsidP="00DB215C">
            <w:pPr>
              <w:spacing w:after="120"/>
              <w:ind w:right="227"/>
              <w:jc w:val="right"/>
              <w:rPr>
                <w:rFonts w:eastAsia="Calibri"/>
                <w:sz w:val="18"/>
                <w:szCs w:val="18"/>
                <w:lang w:eastAsia="en-US"/>
              </w:rPr>
            </w:pPr>
            <w:r w:rsidRPr="00DB215C">
              <w:rPr>
                <w:rFonts w:eastAsia="Calibri"/>
                <w:sz w:val="18"/>
                <w:szCs w:val="18"/>
                <w:lang w:eastAsia="en-US"/>
              </w:rPr>
              <w:t>2.42</w:t>
            </w:r>
          </w:p>
        </w:tc>
        <w:tc>
          <w:tcPr>
            <w:tcW w:w="1134" w:type="dxa"/>
            <w:tcBorders>
              <w:top w:val="nil"/>
              <w:left w:val="single" w:sz="4" w:space="0" w:color="auto"/>
              <w:bottom w:val="single" w:sz="4" w:space="0" w:color="auto"/>
              <w:right w:val="single" w:sz="4" w:space="0" w:color="auto"/>
            </w:tcBorders>
            <w:shd w:val="clear" w:color="auto" w:fill="auto"/>
            <w:vAlign w:val="center"/>
          </w:tcPr>
          <w:p w14:paraId="4D9C4FCB" w14:textId="77777777" w:rsidR="00DB215C" w:rsidRPr="00DB215C" w:rsidRDefault="00DB215C" w:rsidP="00DB215C">
            <w:pPr>
              <w:spacing w:after="120"/>
              <w:ind w:right="170"/>
              <w:jc w:val="right"/>
              <w:rPr>
                <w:rFonts w:eastAsia="Calibri"/>
                <w:sz w:val="18"/>
                <w:szCs w:val="18"/>
                <w:lang w:eastAsia="en-US"/>
              </w:rPr>
            </w:pPr>
            <w:r w:rsidRPr="00DB215C">
              <w:rPr>
                <w:rFonts w:eastAsia="Calibri"/>
                <w:sz w:val="18"/>
                <w:szCs w:val="18"/>
                <w:lang w:eastAsia="en-US"/>
              </w:rPr>
              <w:t>-1.15</w:t>
            </w:r>
          </w:p>
        </w:tc>
        <w:tc>
          <w:tcPr>
            <w:tcW w:w="1188" w:type="dxa"/>
            <w:tcBorders>
              <w:top w:val="nil"/>
              <w:left w:val="single" w:sz="4" w:space="0" w:color="auto"/>
              <w:bottom w:val="single" w:sz="4" w:space="0" w:color="auto"/>
              <w:right w:val="single" w:sz="4" w:space="0" w:color="auto"/>
            </w:tcBorders>
            <w:shd w:val="clear" w:color="auto" w:fill="auto"/>
            <w:vAlign w:val="center"/>
          </w:tcPr>
          <w:p w14:paraId="00AE09D3" w14:textId="77777777" w:rsidR="00DB215C" w:rsidRPr="00DB215C" w:rsidRDefault="00DB215C" w:rsidP="00DB215C">
            <w:pPr>
              <w:spacing w:after="120"/>
              <w:ind w:right="284"/>
              <w:jc w:val="right"/>
              <w:rPr>
                <w:rFonts w:eastAsia="Calibri"/>
                <w:bCs/>
                <w:sz w:val="18"/>
                <w:szCs w:val="18"/>
                <w:lang w:eastAsia="en-US"/>
              </w:rPr>
            </w:pPr>
            <w:r w:rsidRPr="00DB215C">
              <w:rPr>
                <w:rFonts w:eastAsia="Calibri"/>
                <w:bCs/>
                <w:sz w:val="18"/>
                <w:szCs w:val="18"/>
                <w:lang w:eastAsia="en-US"/>
              </w:rPr>
              <w:t>0.16</w:t>
            </w:r>
          </w:p>
        </w:tc>
      </w:tr>
      <w:tr w:rsidR="00DB215C" w:rsidRPr="00DB215C" w14:paraId="115B5624" w14:textId="77777777" w:rsidTr="00DB215C">
        <w:trPr>
          <w:trHeight w:val="261"/>
          <w:jc w:val="center"/>
        </w:trPr>
        <w:tc>
          <w:tcPr>
            <w:tcW w:w="8564" w:type="dxa"/>
            <w:gridSpan w:val="6"/>
            <w:tcBorders>
              <w:top w:val="single" w:sz="4" w:space="0" w:color="auto"/>
              <w:bottom w:val="nil"/>
            </w:tcBorders>
            <w:vAlign w:val="center"/>
          </w:tcPr>
          <w:p w14:paraId="48209B80" w14:textId="77777777" w:rsidR="00DB215C" w:rsidRPr="00DB215C" w:rsidRDefault="00DB215C" w:rsidP="00DB215C">
            <w:pPr>
              <w:spacing w:before="120"/>
              <w:jc w:val="both"/>
              <w:rPr>
                <w:rFonts w:eastAsia="Calibri"/>
                <w:bCs/>
                <w:sz w:val="20"/>
                <w:szCs w:val="20"/>
                <w:lang w:eastAsia="en-US"/>
              </w:rPr>
            </w:pPr>
            <w:r w:rsidRPr="00DB215C">
              <w:rPr>
                <w:rFonts w:eastAsia="Calibri"/>
                <w:bCs/>
                <w:sz w:val="20"/>
                <w:szCs w:val="20"/>
                <w:u w:val="single"/>
                <w:lang w:eastAsia="en-US"/>
              </w:rPr>
              <w:t>1</w:t>
            </w:r>
            <w:r w:rsidRPr="00DB215C">
              <w:rPr>
                <w:rFonts w:eastAsia="Calibri"/>
                <w:bCs/>
                <w:sz w:val="20"/>
                <w:szCs w:val="20"/>
                <w:lang w:eastAsia="en-US"/>
              </w:rPr>
              <w:t>/ EPRC = Estimaciones preventivas para riesgo crediticio de balance / cartera total.</w:t>
            </w:r>
          </w:p>
          <w:p w14:paraId="25FA60AB" w14:textId="77777777" w:rsidR="00DB215C" w:rsidRPr="00DB215C" w:rsidRDefault="00DB215C" w:rsidP="00DB215C">
            <w:pPr>
              <w:jc w:val="both"/>
              <w:rPr>
                <w:rFonts w:eastAsia="Calibri"/>
                <w:bCs/>
                <w:sz w:val="20"/>
                <w:szCs w:val="20"/>
                <w:lang w:eastAsia="en-US"/>
              </w:rPr>
            </w:pPr>
            <w:r w:rsidRPr="00DB215C">
              <w:rPr>
                <w:rFonts w:eastAsia="Calibri"/>
                <w:bCs/>
                <w:sz w:val="20"/>
                <w:szCs w:val="20"/>
                <w:lang w:eastAsia="en-US"/>
              </w:rPr>
              <w:t>FUENTE: CNBV.</w:t>
            </w:r>
          </w:p>
        </w:tc>
      </w:tr>
    </w:tbl>
    <w:p w14:paraId="78046AA2" w14:textId="77777777" w:rsidR="00DB215C" w:rsidRPr="00DB215C" w:rsidRDefault="00DB215C" w:rsidP="00DB215C">
      <w:pPr>
        <w:spacing w:after="360" w:line="360" w:lineRule="auto"/>
        <w:ind w:right="-159"/>
        <w:jc w:val="both"/>
        <w:rPr>
          <w:rFonts w:eastAsia="Calibri"/>
          <w:sz w:val="26"/>
          <w:szCs w:val="26"/>
          <w:lang w:eastAsia="en-US"/>
        </w:rPr>
      </w:pPr>
    </w:p>
    <w:p w14:paraId="5C7BB499" w14:textId="77777777" w:rsidR="00DB215C" w:rsidRDefault="00DB215C" w:rsidP="00DB215C">
      <w:pPr>
        <w:spacing w:after="360" w:line="360" w:lineRule="auto"/>
        <w:ind w:right="-159"/>
        <w:jc w:val="both"/>
        <w:rPr>
          <w:rFonts w:eastAsia="Calibri"/>
          <w:sz w:val="26"/>
          <w:szCs w:val="26"/>
          <w:lang w:eastAsia="en-US"/>
        </w:rPr>
      </w:pPr>
      <w:r w:rsidRPr="00DB215C">
        <w:rPr>
          <w:rFonts w:eastAsia="Calibri"/>
          <w:sz w:val="26"/>
          <w:szCs w:val="26"/>
          <w:lang w:eastAsia="en-US"/>
        </w:rPr>
        <w:t>El Índice de Cobertura (ICOR) de la cartera total fue de 130.09% al cierre de enero de 2015. Este índice se ubicó en 114.49% para el segmento comercial, en 182.83% para el de consumo y en 45.53% para el de vivienda. En el último caso este índice es menor por el valor de las garantías de este tipo de financiamiento, el cual es relevante para el cálculo de la severidad de la pérdida en caso de incumplimiento.</w:t>
      </w:r>
    </w:p>
    <w:p w14:paraId="46EBAFC6" w14:textId="77777777" w:rsidR="0054411E" w:rsidRPr="00DB215C" w:rsidRDefault="0054411E" w:rsidP="00DB215C">
      <w:pPr>
        <w:spacing w:after="360" w:line="360" w:lineRule="auto"/>
        <w:ind w:right="-159"/>
        <w:jc w:val="both"/>
        <w:rPr>
          <w:rFonts w:eastAsia="Calibri"/>
          <w:sz w:val="26"/>
          <w:szCs w:val="26"/>
          <w:lang w:eastAsia="en-US"/>
        </w:rPr>
      </w:pPr>
    </w:p>
    <w:tbl>
      <w:tblPr>
        <w:tblW w:w="8860" w:type="dxa"/>
        <w:jc w:val="center"/>
        <w:tblLayout w:type="fixed"/>
        <w:tblLook w:val="01E0" w:firstRow="1" w:lastRow="1" w:firstColumn="1" w:lastColumn="1" w:noHBand="0" w:noVBand="0"/>
      </w:tblPr>
      <w:tblGrid>
        <w:gridCol w:w="2846"/>
        <w:gridCol w:w="1134"/>
        <w:gridCol w:w="1276"/>
        <w:gridCol w:w="1276"/>
        <w:gridCol w:w="1134"/>
        <w:gridCol w:w="1194"/>
      </w:tblGrid>
      <w:tr w:rsidR="00DB215C" w:rsidRPr="00DB215C" w14:paraId="5D1B09CC" w14:textId="77777777" w:rsidTr="00CE5E35">
        <w:trPr>
          <w:trHeight w:val="552"/>
          <w:jc w:val="center"/>
        </w:trPr>
        <w:tc>
          <w:tcPr>
            <w:tcW w:w="8860" w:type="dxa"/>
            <w:gridSpan w:val="6"/>
            <w:tcBorders>
              <w:top w:val="nil"/>
              <w:bottom w:val="single" w:sz="4" w:space="0" w:color="auto"/>
            </w:tcBorders>
            <w:vAlign w:val="center"/>
          </w:tcPr>
          <w:p w14:paraId="10CC3338" w14:textId="77777777" w:rsidR="00DB215C" w:rsidRPr="00DB215C" w:rsidRDefault="00DB215C" w:rsidP="00DB215C">
            <w:pPr>
              <w:jc w:val="center"/>
              <w:rPr>
                <w:rFonts w:eastAsia="Calibri"/>
                <w:bCs/>
                <w:sz w:val="22"/>
                <w:szCs w:val="22"/>
                <w:lang w:eastAsia="en-US"/>
              </w:rPr>
            </w:pPr>
            <w:r w:rsidRPr="00DB215C">
              <w:rPr>
                <w:rFonts w:eastAsia="Calibri"/>
                <w:b/>
                <w:bCs/>
                <w:sz w:val="22"/>
                <w:szCs w:val="22"/>
                <w:lang w:eastAsia="en-US"/>
              </w:rPr>
              <w:lastRenderedPageBreak/>
              <w:t>BANCA MÚLTIPLE: ICOR</w:t>
            </w:r>
            <w:r w:rsidRPr="00DB215C">
              <w:rPr>
                <w:rFonts w:eastAsia="Calibri"/>
                <w:b/>
                <w:bCs/>
                <w:sz w:val="22"/>
                <w:szCs w:val="22"/>
                <w:u w:val="single"/>
                <w:vertAlign w:val="superscript"/>
                <w:lang w:eastAsia="en-US"/>
              </w:rPr>
              <w:t>1</w:t>
            </w:r>
            <w:r w:rsidRPr="00DB215C">
              <w:rPr>
                <w:rFonts w:eastAsia="Calibri"/>
                <w:b/>
                <w:bCs/>
                <w:sz w:val="22"/>
                <w:szCs w:val="22"/>
                <w:vertAlign w:val="superscript"/>
                <w:lang w:eastAsia="en-US"/>
              </w:rPr>
              <w:t>/</w:t>
            </w:r>
          </w:p>
          <w:p w14:paraId="04D59276" w14:textId="77777777" w:rsidR="00DB215C" w:rsidRPr="00DB215C" w:rsidRDefault="00DB215C" w:rsidP="00DB215C">
            <w:pPr>
              <w:jc w:val="center"/>
              <w:rPr>
                <w:rFonts w:eastAsia="Calibri"/>
                <w:b/>
                <w:bCs/>
                <w:sz w:val="22"/>
                <w:szCs w:val="22"/>
                <w:lang w:eastAsia="en-US"/>
              </w:rPr>
            </w:pPr>
            <w:r w:rsidRPr="00DB215C">
              <w:rPr>
                <w:rFonts w:eastAsia="Calibri"/>
                <w:b/>
                <w:bCs/>
                <w:sz w:val="22"/>
                <w:szCs w:val="22"/>
                <w:lang w:eastAsia="en-US"/>
              </w:rPr>
              <w:t>-Cifras en porcentaje-</w:t>
            </w:r>
          </w:p>
          <w:p w14:paraId="1060654E" w14:textId="77777777" w:rsidR="00DB215C" w:rsidRPr="00DB215C" w:rsidRDefault="00DB215C" w:rsidP="00DB215C">
            <w:pPr>
              <w:jc w:val="center"/>
              <w:rPr>
                <w:rFonts w:eastAsia="Calibri"/>
                <w:bCs/>
                <w:color w:val="365F91"/>
                <w:sz w:val="22"/>
                <w:szCs w:val="22"/>
                <w:lang w:eastAsia="en-US"/>
              </w:rPr>
            </w:pPr>
          </w:p>
        </w:tc>
      </w:tr>
      <w:tr w:rsidR="00DB215C" w:rsidRPr="00DB215C" w14:paraId="31EB621A" w14:textId="77777777" w:rsidTr="00CE5E35">
        <w:trPr>
          <w:trHeight w:val="312"/>
          <w:jc w:val="center"/>
        </w:trPr>
        <w:tc>
          <w:tcPr>
            <w:tcW w:w="284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153B43E" w14:textId="77777777" w:rsidR="00DB215C" w:rsidRPr="00DB215C" w:rsidRDefault="00DB215C" w:rsidP="00DB215C">
            <w:pPr>
              <w:spacing w:before="40" w:after="40"/>
              <w:jc w:val="center"/>
              <w:rPr>
                <w:rFonts w:eastAsia="Calibri"/>
                <w:bCs/>
                <w:sz w:val="18"/>
                <w:szCs w:val="18"/>
                <w:lang w:eastAsia="en-US"/>
              </w:rPr>
            </w:pP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36A643" w14:textId="77777777" w:rsidR="00DB215C" w:rsidRPr="00DB215C" w:rsidRDefault="00DB215C" w:rsidP="00DB215C">
            <w:pPr>
              <w:jc w:val="center"/>
              <w:rPr>
                <w:rFonts w:eastAsia="Calibri"/>
                <w:b/>
                <w:sz w:val="18"/>
                <w:szCs w:val="18"/>
                <w:lang w:eastAsia="en-US"/>
              </w:rPr>
            </w:pPr>
            <w:r w:rsidRPr="00DB215C">
              <w:rPr>
                <w:rFonts w:eastAsia="Calibri"/>
                <w:b/>
                <w:sz w:val="18"/>
                <w:szCs w:val="18"/>
                <w:lang w:eastAsia="en-US"/>
              </w:rPr>
              <w:t>2014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2951601" w14:textId="77777777" w:rsidR="00DB215C" w:rsidRPr="00DB215C" w:rsidRDefault="00DB215C" w:rsidP="00DB215C">
            <w:pPr>
              <w:jc w:val="center"/>
              <w:rPr>
                <w:rFonts w:eastAsia="Calibri"/>
                <w:b/>
                <w:sz w:val="18"/>
                <w:szCs w:val="18"/>
                <w:lang w:eastAsia="en-US"/>
              </w:rPr>
            </w:pPr>
            <w:r w:rsidRPr="00DB215C">
              <w:rPr>
                <w:rFonts w:eastAsia="Calibri"/>
                <w:b/>
                <w:sz w:val="18"/>
                <w:szCs w:val="18"/>
                <w:lang w:eastAsia="en-US"/>
              </w:rPr>
              <w:t>2015</w:t>
            </w:r>
          </w:p>
        </w:tc>
        <w:tc>
          <w:tcPr>
            <w:tcW w:w="23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7A1103" w14:textId="77777777" w:rsidR="00DB215C" w:rsidRPr="00DB215C" w:rsidRDefault="00DB215C" w:rsidP="00DB215C">
            <w:pPr>
              <w:jc w:val="center"/>
              <w:rPr>
                <w:rFonts w:eastAsia="Calibri"/>
                <w:b/>
                <w:bCs/>
                <w:sz w:val="18"/>
                <w:szCs w:val="18"/>
                <w:lang w:eastAsia="en-US"/>
              </w:rPr>
            </w:pPr>
            <w:r w:rsidRPr="00DB215C">
              <w:rPr>
                <w:rFonts w:eastAsia="Calibri"/>
                <w:b/>
                <w:bCs/>
                <w:sz w:val="18"/>
                <w:szCs w:val="18"/>
                <w:lang w:eastAsia="en-US"/>
              </w:rPr>
              <w:t>Diferencia en PP</w:t>
            </w:r>
          </w:p>
        </w:tc>
      </w:tr>
      <w:tr w:rsidR="00DB215C" w:rsidRPr="00DB215C" w14:paraId="7468D261" w14:textId="77777777" w:rsidTr="00CE5E35">
        <w:trPr>
          <w:trHeight w:val="281"/>
          <w:jc w:val="center"/>
        </w:trPr>
        <w:tc>
          <w:tcPr>
            <w:tcW w:w="284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E1F5A43" w14:textId="77777777" w:rsidR="00DB215C" w:rsidRPr="00DB215C" w:rsidRDefault="00DB215C" w:rsidP="00DB215C">
            <w:pPr>
              <w:spacing w:before="40" w:after="40"/>
              <w:jc w:val="center"/>
              <w:rPr>
                <w:rFonts w:eastAsia="Calibri"/>
                <w:bCs/>
                <w:sz w:val="18"/>
                <w:szCs w:val="18"/>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3D67584" w14:textId="77777777" w:rsidR="00DB215C" w:rsidRPr="00DB215C" w:rsidRDefault="00DB215C" w:rsidP="00DB215C">
            <w:pPr>
              <w:jc w:val="center"/>
              <w:rPr>
                <w:rFonts w:eastAsia="Calibri"/>
                <w:b/>
                <w:sz w:val="20"/>
                <w:szCs w:val="20"/>
                <w:lang w:eastAsia="en-US"/>
              </w:rPr>
            </w:pPr>
            <w:r w:rsidRPr="00DB215C">
              <w:rPr>
                <w:rFonts w:eastAsia="Calibri"/>
                <w:b/>
                <w:sz w:val="20"/>
                <w:szCs w:val="20"/>
                <w:lang w:eastAsia="en-US"/>
              </w:rPr>
              <w:t>Enero</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566ECC5" w14:textId="77777777" w:rsidR="00DB215C" w:rsidRPr="00DB215C" w:rsidRDefault="00DB215C" w:rsidP="00DB215C">
            <w:pPr>
              <w:jc w:val="center"/>
              <w:rPr>
                <w:rFonts w:eastAsia="Calibri"/>
                <w:b/>
                <w:sz w:val="20"/>
                <w:szCs w:val="20"/>
                <w:lang w:eastAsia="en-US"/>
              </w:rPr>
            </w:pPr>
            <w:r w:rsidRPr="00DB215C">
              <w:rPr>
                <w:rFonts w:eastAsia="Calibri"/>
                <w:b/>
                <w:sz w:val="20"/>
                <w:szCs w:val="20"/>
                <w:lang w:eastAsia="en-US"/>
              </w:rPr>
              <w:t>Diciembre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89614A9" w14:textId="77777777" w:rsidR="00DB215C" w:rsidRPr="00DB215C" w:rsidRDefault="00DB215C" w:rsidP="00DB215C">
            <w:pPr>
              <w:jc w:val="center"/>
              <w:rPr>
                <w:rFonts w:eastAsia="Calibri"/>
                <w:b/>
                <w:sz w:val="20"/>
                <w:szCs w:val="20"/>
                <w:lang w:eastAsia="en-US"/>
              </w:rPr>
            </w:pPr>
            <w:r w:rsidRPr="00DB215C">
              <w:rPr>
                <w:rFonts w:eastAsia="Calibri"/>
                <w:b/>
                <w:sz w:val="20"/>
                <w:szCs w:val="20"/>
                <w:lang w:eastAsia="en-US"/>
              </w:rPr>
              <w:t>Enero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0A38217" w14:textId="77777777" w:rsidR="00DB215C" w:rsidRPr="00DB215C" w:rsidRDefault="00DB215C" w:rsidP="00DB215C">
            <w:pPr>
              <w:jc w:val="center"/>
              <w:rPr>
                <w:rFonts w:eastAsia="Calibri"/>
                <w:b/>
                <w:sz w:val="18"/>
                <w:szCs w:val="18"/>
                <w:lang w:eastAsia="en-US"/>
              </w:rPr>
            </w:pPr>
            <w:r w:rsidRPr="00DB215C">
              <w:rPr>
                <w:rFonts w:eastAsia="Calibri"/>
                <w:b/>
                <w:sz w:val="18"/>
                <w:szCs w:val="18"/>
                <w:lang w:eastAsia="en-US"/>
              </w:rPr>
              <w:t>Anual</w:t>
            </w:r>
          </w:p>
        </w:tc>
        <w:tc>
          <w:tcPr>
            <w:tcW w:w="1194" w:type="dxa"/>
            <w:tcBorders>
              <w:top w:val="single" w:sz="4" w:space="0" w:color="auto"/>
              <w:left w:val="single" w:sz="4" w:space="0" w:color="auto"/>
              <w:bottom w:val="single" w:sz="4" w:space="0" w:color="auto"/>
              <w:right w:val="single" w:sz="4" w:space="0" w:color="auto"/>
            </w:tcBorders>
            <w:shd w:val="clear" w:color="auto" w:fill="auto"/>
            <w:vAlign w:val="center"/>
          </w:tcPr>
          <w:p w14:paraId="7BC29F5E" w14:textId="77777777" w:rsidR="00DB215C" w:rsidRPr="00DB215C" w:rsidRDefault="00DB215C" w:rsidP="00DB215C">
            <w:pPr>
              <w:jc w:val="center"/>
              <w:rPr>
                <w:rFonts w:eastAsia="Calibri"/>
                <w:b/>
                <w:bCs/>
                <w:sz w:val="18"/>
                <w:szCs w:val="18"/>
                <w:lang w:eastAsia="en-US"/>
              </w:rPr>
            </w:pPr>
            <w:r w:rsidRPr="00DB215C">
              <w:rPr>
                <w:rFonts w:eastAsia="Calibri"/>
                <w:b/>
                <w:bCs/>
                <w:sz w:val="18"/>
                <w:szCs w:val="18"/>
                <w:lang w:eastAsia="en-US"/>
              </w:rPr>
              <w:t>Mensual</w:t>
            </w:r>
          </w:p>
        </w:tc>
      </w:tr>
      <w:tr w:rsidR="00DB215C" w:rsidRPr="00DB215C" w14:paraId="78540EB3" w14:textId="77777777" w:rsidTr="00CE5E35">
        <w:trPr>
          <w:trHeight w:val="271"/>
          <w:jc w:val="center"/>
        </w:trPr>
        <w:tc>
          <w:tcPr>
            <w:tcW w:w="2846" w:type="dxa"/>
            <w:tcBorders>
              <w:top w:val="single" w:sz="4" w:space="0" w:color="auto"/>
              <w:left w:val="single" w:sz="4" w:space="0" w:color="auto"/>
              <w:bottom w:val="nil"/>
              <w:right w:val="single" w:sz="4" w:space="0" w:color="auto"/>
            </w:tcBorders>
            <w:shd w:val="clear" w:color="auto" w:fill="auto"/>
            <w:vAlign w:val="center"/>
          </w:tcPr>
          <w:p w14:paraId="745BCF8B" w14:textId="77777777" w:rsidR="00DB215C" w:rsidRPr="00DB215C" w:rsidRDefault="00DB215C" w:rsidP="00DB215C">
            <w:pPr>
              <w:spacing w:before="120"/>
              <w:rPr>
                <w:rFonts w:eastAsia="Calibri"/>
                <w:b/>
                <w:bCs/>
                <w:sz w:val="18"/>
                <w:szCs w:val="18"/>
                <w:lang w:val="en-US" w:eastAsia="en-US"/>
              </w:rPr>
            </w:pPr>
            <w:r w:rsidRPr="00DB215C">
              <w:rPr>
                <w:rFonts w:eastAsia="Calibri"/>
                <w:b/>
                <w:bCs/>
                <w:sz w:val="18"/>
                <w:szCs w:val="18"/>
                <w:lang w:val="en-US" w:eastAsia="en-US"/>
              </w:rPr>
              <w:t>Cartera de crédito total</w:t>
            </w:r>
          </w:p>
        </w:tc>
        <w:tc>
          <w:tcPr>
            <w:tcW w:w="1134" w:type="dxa"/>
            <w:tcBorders>
              <w:top w:val="single" w:sz="4" w:space="0" w:color="auto"/>
              <w:left w:val="single" w:sz="4" w:space="0" w:color="auto"/>
              <w:right w:val="single" w:sz="4" w:space="0" w:color="auto"/>
            </w:tcBorders>
            <w:shd w:val="clear" w:color="auto" w:fill="auto"/>
            <w:vAlign w:val="bottom"/>
          </w:tcPr>
          <w:p w14:paraId="0135EE87" w14:textId="77777777" w:rsidR="00DB215C" w:rsidRPr="00DB215C" w:rsidRDefault="00DB215C" w:rsidP="00DB215C">
            <w:pPr>
              <w:spacing w:before="120"/>
              <w:ind w:right="170"/>
              <w:jc w:val="right"/>
              <w:rPr>
                <w:rFonts w:eastAsia="Calibri"/>
                <w:b/>
                <w:sz w:val="18"/>
                <w:szCs w:val="18"/>
                <w:lang w:val="en-US" w:eastAsia="en-US"/>
              </w:rPr>
            </w:pPr>
            <w:r w:rsidRPr="00DB215C">
              <w:rPr>
                <w:rFonts w:eastAsia="Calibri"/>
                <w:b/>
                <w:sz w:val="18"/>
                <w:szCs w:val="18"/>
                <w:lang w:val="en-US" w:eastAsia="en-US"/>
              </w:rPr>
              <w:t>145.56</w:t>
            </w:r>
          </w:p>
        </w:tc>
        <w:tc>
          <w:tcPr>
            <w:tcW w:w="1276" w:type="dxa"/>
            <w:tcBorders>
              <w:top w:val="single" w:sz="4" w:space="0" w:color="auto"/>
              <w:left w:val="single" w:sz="4" w:space="0" w:color="auto"/>
              <w:bottom w:val="nil"/>
              <w:right w:val="single" w:sz="4" w:space="0" w:color="auto"/>
            </w:tcBorders>
            <w:shd w:val="clear" w:color="auto" w:fill="auto"/>
            <w:vAlign w:val="bottom"/>
          </w:tcPr>
          <w:p w14:paraId="0D0C5B3B" w14:textId="77777777" w:rsidR="00DB215C" w:rsidRPr="00DB215C" w:rsidRDefault="00DB215C" w:rsidP="00DB215C">
            <w:pPr>
              <w:spacing w:before="120"/>
              <w:ind w:right="170"/>
              <w:jc w:val="right"/>
              <w:rPr>
                <w:rFonts w:eastAsia="Calibri"/>
                <w:b/>
                <w:sz w:val="18"/>
                <w:szCs w:val="18"/>
                <w:lang w:val="en-US" w:eastAsia="en-US"/>
              </w:rPr>
            </w:pPr>
            <w:r w:rsidRPr="00DB215C">
              <w:rPr>
                <w:rFonts w:eastAsia="Calibri"/>
                <w:b/>
                <w:sz w:val="18"/>
                <w:szCs w:val="18"/>
                <w:lang w:val="en-US" w:eastAsia="en-US"/>
              </w:rPr>
              <w:t>132.67</w:t>
            </w:r>
          </w:p>
        </w:tc>
        <w:tc>
          <w:tcPr>
            <w:tcW w:w="1276" w:type="dxa"/>
            <w:tcBorders>
              <w:top w:val="single" w:sz="4" w:space="0" w:color="auto"/>
              <w:left w:val="single" w:sz="4" w:space="0" w:color="auto"/>
              <w:right w:val="single" w:sz="4" w:space="0" w:color="auto"/>
            </w:tcBorders>
            <w:shd w:val="clear" w:color="auto" w:fill="auto"/>
            <w:vAlign w:val="bottom"/>
          </w:tcPr>
          <w:p w14:paraId="2E14A407" w14:textId="77777777" w:rsidR="00DB215C" w:rsidRPr="00DB215C" w:rsidRDefault="00DB215C" w:rsidP="00DB215C">
            <w:pPr>
              <w:spacing w:before="120"/>
              <w:ind w:right="170"/>
              <w:jc w:val="right"/>
              <w:rPr>
                <w:rFonts w:eastAsia="Calibri"/>
                <w:b/>
                <w:sz w:val="18"/>
                <w:szCs w:val="18"/>
                <w:lang w:val="en-US" w:eastAsia="en-US"/>
              </w:rPr>
            </w:pPr>
            <w:r w:rsidRPr="00DB215C">
              <w:rPr>
                <w:rFonts w:eastAsia="Calibri"/>
                <w:b/>
                <w:sz w:val="18"/>
                <w:szCs w:val="18"/>
                <w:lang w:val="en-US" w:eastAsia="en-US"/>
              </w:rPr>
              <w:t>130.09</w:t>
            </w:r>
          </w:p>
        </w:tc>
        <w:tc>
          <w:tcPr>
            <w:tcW w:w="1134" w:type="dxa"/>
            <w:tcBorders>
              <w:top w:val="single" w:sz="4" w:space="0" w:color="auto"/>
              <w:left w:val="single" w:sz="4" w:space="0" w:color="auto"/>
              <w:bottom w:val="nil"/>
              <w:right w:val="single" w:sz="4" w:space="0" w:color="auto"/>
            </w:tcBorders>
            <w:shd w:val="clear" w:color="auto" w:fill="auto"/>
            <w:vAlign w:val="bottom"/>
          </w:tcPr>
          <w:p w14:paraId="68E56B5B" w14:textId="77777777" w:rsidR="00DB215C" w:rsidRPr="00DB215C" w:rsidRDefault="00DB215C" w:rsidP="00DB215C">
            <w:pPr>
              <w:spacing w:before="120"/>
              <w:ind w:right="170"/>
              <w:jc w:val="right"/>
              <w:rPr>
                <w:rFonts w:eastAsia="Calibri"/>
                <w:b/>
                <w:sz w:val="18"/>
                <w:szCs w:val="18"/>
                <w:lang w:val="en-US" w:eastAsia="en-US"/>
              </w:rPr>
            </w:pPr>
            <w:r w:rsidRPr="00DB215C">
              <w:rPr>
                <w:rFonts w:eastAsia="Calibri"/>
                <w:b/>
                <w:sz w:val="18"/>
                <w:szCs w:val="18"/>
                <w:lang w:val="en-US" w:eastAsia="en-US"/>
              </w:rPr>
              <w:t>-15.47</w:t>
            </w:r>
          </w:p>
        </w:tc>
        <w:tc>
          <w:tcPr>
            <w:tcW w:w="1194" w:type="dxa"/>
            <w:tcBorders>
              <w:top w:val="single" w:sz="4" w:space="0" w:color="auto"/>
              <w:left w:val="single" w:sz="4" w:space="0" w:color="auto"/>
              <w:bottom w:val="nil"/>
              <w:right w:val="single" w:sz="4" w:space="0" w:color="auto"/>
            </w:tcBorders>
            <w:shd w:val="clear" w:color="auto" w:fill="auto"/>
            <w:vAlign w:val="bottom"/>
          </w:tcPr>
          <w:p w14:paraId="44547D34" w14:textId="77777777" w:rsidR="00DB215C" w:rsidRPr="00DB215C" w:rsidRDefault="00DB215C" w:rsidP="00DB215C">
            <w:pPr>
              <w:spacing w:before="120"/>
              <w:ind w:right="170"/>
              <w:jc w:val="right"/>
              <w:rPr>
                <w:rFonts w:eastAsia="Calibri"/>
                <w:b/>
                <w:bCs/>
                <w:sz w:val="18"/>
                <w:szCs w:val="18"/>
                <w:lang w:val="en-US" w:eastAsia="en-US"/>
              </w:rPr>
            </w:pPr>
            <w:r w:rsidRPr="00DB215C">
              <w:rPr>
                <w:rFonts w:eastAsia="Calibri"/>
                <w:b/>
                <w:bCs/>
                <w:sz w:val="18"/>
                <w:szCs w:val="18"/>
                <w:lang w:val="en-US" w:eastAsia="en-US"/>
              </w:rPr>
              <w:t>-2.57</w:t>
            </w:r>
          </w:p>
        </w:tc>
      </w:tr>
      <w:tr w:rsidR="00DB215C" w:rsidRPr="00DB215C" w14:paraId="11C40DBB" w14:textId="77777777" w:rsidTr="00DB215C">
        <w:trPr>
          <w:trHeight w:val="132"/>
          <w:jc w:val="center"/>
        </w:trPr>
        <w:tc>
          <w:tcPr>
            <w:tcW w:w="2846" w:type="dxa"/>
            <w:tcBorders>
              <w:top w:val="nil"/>
              <w:left w:val="single" w:sz="4" w:space="0" w:color="auto"/>
              <w:bottom w:val="nil"/>
              <w:right w:val="single" w:sz="4" w:space="0" w:color="auto"/>
            </w:tcBorders>
            <w:shd w:val="clear" w:color="auto" w:fill="auto"/>
            <w:vAlign w:val="center"/>
          </w:tcPr>
          <w:p w14:paraId="4BC4EEEC" w14:textId="77777777" w:rsidR="00DB215C" w:rsidRPr="00DB215C" w:rsidRDefault="00DB215C" w:rsidP="00DB215C">
            <w:pPr>
              <w:ind w:left="170"/>
              <w:rPr>
                <w:rFonts w:eastAsia="Calibri"/>
                <w:bCs/>
                <w:sz w:val="18"/>
                <w:szCs w:val="18"/>
                <w:lang w:val="en-US" w:eastAsia="en-US"/>
              </w:rPr>
            </w:pPr>
            <w:r w:rsidRPr="00DB215C">
              <w:rPr>
                <w:rFonts w:eastAsia="Calibri"/>
                <w:bCs/>
                <w:sz w:val="18"/>
                <w:szCs w:val="18"/>
                <w:lang w:val="en-US" w:eastAsia="en-US"/>
              </w:rPr>
              <w:t>Créditos comerciales</w:t>
            </w:r>
          </w:p>
        </w:tc>
        <w:tc>
          <w:tcPr>
            <w:tcW w:w="1134" w:type="dxa"/>
            <w:tcBorders>
              <w:left w:val="single" w:sz="4" w:space="0" w:color="auto"/>
              <w:right w:val="single" w:sz="4" w:space="0" w:color="auto"/>
            </w:tcBorders>
            <w:shd w:val="clear" w:color="auto" w:fill="auto"/>
            <w:vAlign w:val="bottom"/>
          </w:tcPr>
          <w:p w14:paraId="5D0EC45A" w14:textId="77777777" w:rsidR="00DB215C" w:rsidRPr="00DB215C" w:rsidRDefault="00DB215C" w:rsidP="00DB215C">
            <w:pPr>
              <w:ind w:right="170"/>
              <w:jc w:val="right"/>
              <w:rPr>
                <w:rFonts w:eastAsia="Calibri"/>
                <w:sz w:val="18"/>
                <w:szCs w:val="18"/>
                <w:lang w:val="en-US" w:eastAsia="en-US"/>
              </w:rPr>
            </w:pPr>
            <w:r w:rsidRPr="00DB215C">
              <w:rPr>
                <w:rFonts w:eastAsia="Calibri"/>
                <w:sz w:val="18"/>
                <w:szCs w:val="18"/>
                <w:lang w:val="en-US" w:eastAsia="en-US"/>
              </w:rPr>
              <w:t>138.91</w:t>
            </w:r>
          </w:p>
        </w:tc>
        <w:tc>
          <w:tcPr>
            <w:tcW w:w="1276" w:type="dxa"/>
            <w:tcBorders>
              <w:top w:val="nil"/>
              <w:left w:val="single" w:sz="4" w:space="0" w:color="auto"/>
              <w:bottom w:val="nil"/>
              <w:right w:val="single" w:sz="4" w:space="0" w:color="auto"/>
            </w:tcBorders>
            <w:shd w:val="clear" w:color="auto" w:fill="auto"/>
            <w:vAlign w:val="bottom"/>
          </w:tcPr>
          <w:p w14:paraId="1A8F8AC3" w14:textId="77777777" w:rsidR="00DB215C" w:rsidRPr="00DB215C" w:rsidRDefault="00DB215C" w:rsidP="00DB215C">
            <w:pPr>
              <w:ind w:right="170"/>
              <w:jc w:val="right"/>
              <w:rPr>
                <w:rFonts w:eastAsia="Calibri"/>
                <w:sz w:val="18"/>
                <w:szCs w:val="18"/>
                <w:lang w:val="en-US" w:eastAsia="en-US"/>
              </w:rPr>
            </w:pPr>
            <w:r w:rsidRPr="00DB215C">
              <w:rPr>
                <w:rFonts w:eastAsia="Calibri"/>
                <w:sz w:val="18"/>
                <w:szCs w:val="18"/>
                <w:lang w:val="en-US" w:eastAsia="en-US"/>
              </w:rPr>
              <w:t>121.36</w:t>
            </w:r>
          </w:p>
        </w:tc>
        <w:tc>
          <w:tcPr>
            <w:tcW w:w="1276" w:type="dxa"/>
            <w:tcBorders>
              <w:left w:val="single" w:sz="4" w:space="0" w:color="auto"/>
              <w:right w:val="single" w:sz="4" w:space="0" w:color="auto"/>
            </w:tcBorders>
            <w:shd w:val="clear" w:color="auto" w:fill="auto"/>
            <w:vAlign w:val="bottom"/>
          </w:tcPr>
          <w:p w14:paraId="0FCB1B0F" w14:textId="77777777" w:rsidR="00DB215C" w:rsidRPr="00DB215C" w:rsidRDefault="00DB215C" w:rsidP="00DB215C">
            <w:pPr>
              <w:ind w:right="170"/>
              <w:jc w:val="right"/>
              <w:rPr>
                <w:rFonts w:eastAsia="Calibri"/>
                <w:sz w:val="18"/>
                <w:szCs w:val="18"/>
                <w:lang w:val="en-US" w:eastAsia="en-US"/>
              </w:rPr>
            </w:pPr>
            <w:r w:rsidRPr="00DB215C">
              <w:rPr>
                <w:rFonts w:eastAsia="Calibri"/>
                <w:sz w:val="18"/>
                <w:szCs w:val="18"/>
                <w:lang w:val="en-US" w:eastAsia="en-US"/>
              </w:rPr>
              <w:t>114.49</w:t>
            </w:r>
          </w:p>
        </w:tc>
        <w:tc>
          <w:tcPr>
            <w:tcW w:w="1134" w:type="dxa"/>
            <w:tcBorders>
              <w:top w:val="nil"/>
              <w:left w:val="single" w:sz="4" w:space="0" w:color="auto"/>
              <w:bottom w:val="nil"/>
              <w:right w:val="single" w:sz="4" w:space="0" w:color="auto"/>
            </w:tcBorders>
            <w:shd w:val="clear" w:color="auto" w:fill="auto"/>
            <w:vAlign w:val="bottom"/>
          </w:tcPr>
          <w:p w14:paraId="7DD9B51C" w14:textId="77777777" w:rsidR="00DB215C" w:rsidRPr="00DB215C" w:rsidRDefault="00DB215C" w:rsidP="00DB215C">
            <w:pPr>
              <w:ind w:right="170"/>
              <w:jc w:val="right"/>
              <w:rPr>
                <w:rFonts w:eastAsia="Calibri"/>
                <w:sz w:val="18"/>
                <w:szCs w:val="18"/>
                <w:lang w:val="en-US" w:eastAsia="en-US"/>
              </w:rPr>
            </w:pPr>
            <w:r w:rsidRPr="00DB215C">
              <w:rPr>
                <w:rFonts w:eastAsia="Calibri"/>
                <w:sz w:val="18"/>
                <w:szCs w:val="18"/>
                <w:lang w:val="en-US" w:eastAsia="en-US"/>
              </w:rPr>
              <w:t>-24.42</w:t>
            </w:r>
          </w:p>
        </w:tc>
        <w:tc>
          <w:tcPr>
            <w:tcW w:w="1194" w:type="dxa"/>
            <w:tcBorders>
              <w:top w:val="nil"/>
              <w:left w:val="single" w:sz="4" w:space="0" w:color="auto"/>
              <w:bottom w:val="nil"/>
              <w:right w:val="single" w:sz="4" w:space="0" w:color="auto"/>
            </w:tcBorders>
            <w:shd w:val="clear" w:color="auto" w:fill="auto"/>
            <w:vAlign w:val="bottom"/>
          </w:tcPr>
          <w:p w14:paraId="2405E8E3" w14:textId="77777777" w:rsidR="00DB215C" w:rsidRPr="00DB215C" w:rsidRDefault="00DB215C" w:rsidP="00DB215C">
            <w:pPr>
              <w:ind w:right="170"/>
              <w:jc w:val="right"/>
              <w:rPr>
                <w:rFonts w:eastAsia="Calibri"/>
                <w:bCs/>
                <w:sz w:val="18"/>
                <w:szCs w:val="18"/>
                <w:lang w:val="en-US" w:eastAsia="en-US"/>
              </w:rPr>
            </w:pPr>
            <w:r w:rsidRPr="00DB215C">
              <w:rPr>
                <w:rFonts w:eastAsia="Calibri"/>
                <w:bCs/>
                <w:sz w:val="18"/>
                <w:szCs w:val="18"/>
                <w:lang w:val="en-US" w:eastAsia="en-US"/>
              </w:rPr>
              <w:t>-6.88</w:t>
            </w:r>
          </w:p>
        </w:tc>
      </w:tr>
      <w:tr w:rsidR="00DB215C" w:rsidRPr="00DB215C" w14:paraId="3E0A3F11" w14:textId="77777777" w:rsidTr="00DB215C">
        <w:trPr>
          <w:trHeight w:val="150"/>
          <w:jc w:val="center"/>
        </w:trPr>
        <w:tc>
          <w:tcPr>
            <w:tcW w:w="2846" w:type="dxa"/>
            <w:tcBorders>
              <w:top w:val="nil"/>
              <w:left w:val="single" w:sz="4" w:space="0" w:color="auto"/>
              <w:bottom w:val="nil"/>
              <w:right w:val="single" w:sz="4" w:space="0" w:color="auto"/>
            </w:tcBorders>
            <w:shd w:val="clear" w:color="auto" w:fill="auto"/>
            <w:vAlign w:val="center"/>
          </w:tcPr>
          <w:p w14:paraId="294F7A6E" w14:textId="77777777" w:rsidR="00DB215C" w:rsidRPr="00DB215C" w:rsidRDefault="00DB215C" w:rsidP="00DB215C">
            <w:pPr>
              <w:ind w:left="170"/>
              <w:rPr>
                <w:rFonts w:eastAsia="Calibri"/>
                <w:bCs/>
                <w:sz w:val="18"/>
                <w:szCs w:val="18"/>
                <w:lang w:val="en-US" w:eastAsia="en-US"/>
              </w:rPr>
            </w:pPr>
            <w:r w:rsidRPr="00DB215C">
              <w:rPr>
                <w:rFonts w:eastAsia="Calibri"/>
                <w:bCs/>
                <w:sz w:val="18"/>
                <w:szCs w:val="18"/>
                <w:lang w:val="en-US" w:eastAsia="en-US"/>
              </w:rPr>
              <w:t>Empresas</w:t>
            </w:r>
          </w:p>
        </w:tc>
        <w:tc>
          <w:tcPr>
            <w:tcW w:w="1134" w:type="dxa"/>
            <w:tcBorders>
              <w:left w:val="single" w:sz="4" w:space="0" w:color="auto"/>
              <w:right w:val="single" w:sz="4" w:space="0" w:color="auto"/>
            </w:tcBorders>
            <w:shd w:val="clear" w:color="auto" w:fill="auto"/>
            <w:vAlign w:val="bottom"/>
          </w:tcPr>
          <w:p w14:paraId="691889FA" w14:textId="77777777" w:rsidR="00DB215C" w:rsidRPr="00DB215C" w:rsidRDefault="00DB215C" w:rsidP="00DB215C">
            <w:pPr>
              <w:ind w:right="170"/>
              <w:jc w:val="right"/>
              <w:rPr>
                <w:rFonts w:eastAsia="Calibri"/>
                <w:sz w:val="18"/>
                <w:szCs w:val="18"/>
                <w:lang w:val="en-US" w:eastAsia="en-US"/>
              </w:rPr>
            </w:pPr>
            <w:r w:rsidRPr="00DB215C">
              <w:rPr>
                <w:rFonts w:eastAsia="Calibri"/>
                <w:sz w:val="18"/>
                <w:szCs w:val="18"/>
                <w:lang w:val="en-US" w:eastAsia="en-US"/>
              </w:rPr>
              <w:t>122.68</w:t>
            </w:r>
          </w:p>
        </w:tc>
        <w:tc>
          <w:tcPr>
            <w:tcW w:w="1276" w:type="dxa"/>
            <w:tcBorders>
              <w:top w:val="nil"/>
              <w:left w:val="single" w:sz="4" w:space="0" w:color="auto"/>
              <w:bottom w:val="nil"/>
              <w:right w:val="single" w:sz="4" w:space="0" w:color="auto"/>
            </w:tcBorders>
            <w:shd w:val="clear" w:color="auto" w:fill="auto"/>
            <w:vAlign w:val="bottom"/>
          </w:tcPr>
          <w:p w14:paraId="6D72289D" w14:textId="77777777" w:rsidR="00DB215C" w:rsidRPr="00DB215C" w:rsidRDefault="00DB215C" w:rsidP="00DB215C">
            <w:pPr>
              <w:ind w:right="170"/>
              <w:jc w:val="right"/>
              <w:rPr>
                <w:rFonts w:eastAsia="Calibri"/>
                <w:sz w:val="18"/>
                <w:szCs w:val="18"/>
                <w:lang w:val="en-US" w:eastAsia="en-US"/>
              </w:rPr>
            </w:pPr>
            <w:r w:rsidRPr="00DB215C">
              <w:rPr>
                <w:rFonts w:eastAsia="Calibri"/>
                <w:sz w:val="18"/>
                <w:szCs w:val="18"/>
                <w:lang w:val="en-US" w:eastAsia="en-US"/>
              </w:rPr>
              <w:t>106.91</w:t>
            </w:r>
          </w:p>
        </w:tc>
        <w:tc>
          <w:tcPr>
            <w:tcW w:w="1276" w:type="dxa"/>
            <w:tcBorders>
              <w:left w:val="single" w:sz="4" w:space="0" w:color="auto"/>
              <w:right w:val="single" w:sz="4" w:space="0" w:color="auto"/>
            </w:tcBorders>
            <w:shd w:val="clear" w:color="auto" w:fill="auto"/>
            <w:vAlign w:val="bottom"/>
          </w:tcPr>
          <w:p w14:paraId="4F8D0559" w14:textId="77777777" w:rsidR="00DB215C" w:rsidRPr="00DB215C" w:rsidRDefault="00DB215C" w:rsidP="00DB215C">
            <w:pPr>
              <w:ind w:right="170"/>
              <w:jc w:val="right"/>
              <w:rPr>
                <w:rFonts w:eastAsia="Calibri"/>
                <w:sz w:val="18"/>
                <w:szCs w:val="18"/>
                <w:lang w:val="en-US" w:eastAsia="en-US"/>
              </w:rPr>
            </w:pPr>
            <w:r w:rsidRPr="00DB215C">
              <w:rPr>
                <w:rFonts w:eastAsia="Calibri"/>
                <w:sz w:val="18"/>
                <w:szCs w:val="18"/>
                <w:lang w:val="en-US" w:eastAsia="en-US"/>
              </w:rPr>
              <w:t>101.21</w:t>
            </w:r>
          </w:p>
        </w:tc>
        <w:tc>
          <w:tcPr>
            <w:tcW w:w="1134" w:type="dxa"/>
            <w:tcBorders>
              <w:top w:val="nil"/>
              <w:left w:val="single" w:sz="4" w:space="0" w:color="auto"/>
              <w:bottom w:val="nil"/>
              <w:right w:val="single" w:sz="4" w:space="0" w:color="auto"/>
            </w:tcBorders>
            <w:shd w:val="clear" w:color="auto" w:fill="auto"/>
            <w:vAlign w:val="bottom"/>
          </w:tcPr>
          <w:p w14:paraId="7012F9FA" w14:textId="77777777" w:rsidR="00DB215C" w:rsidRPr="00DB215C" w:rsidRDefault="00DB215C" w:rsidP="00DB215C">
            <w:pPr>
              <w:ind w:right="170"/>
              <w:jc w:val="right"/>
              <w:rPr>
                <w:rFonts w:eastAsia="Calibri"/>
                <w:sz w:val="18"/>
                <w:szCs w:val="18"/>
                <w:lang w:val="en-US" w:eastAsia="en-US"/>
              </w:rPr>
            </w:pPr>
            <w:r w:rsidRPr="00DB215C">
              <w:rPr>
                <w:rFonts w:eastAsia="Calibri"/>
                <w:sz w:val="18"/>
                <w:szCs w:val="18"/>
                <w:lang w:val="en-US" w:eastAsia="en-US"/>
              </w:rPr>
              <w:t>-21.47</w:t>
            </w:r>
          </w:p>
        </w:tc>
        <w:tc>
          <w:tcPr>
            <w:tcW w:w="1194" w:type="dxa"/>
            <w:tcBorders>
              <w:top w:val="nil"/>
              <w:left w:val="single" w:sz="4" w:space="0" w:color="auto"/>
              <w:bottom w:val="nil"/>
              <w:right w:val="single" w:sz="4" w:space="0" w:color="auto"/>
            </w:tcBorders>
            <w:shd w:val="clear" w:color="auto" w:fill="auto"/>
            <w:vAlign w:val="bottom"/>
          </w:tcPr>
          <w:p w14:paraId="230CD313" w14:textId="77777777" w:rsidR="00DB215C" w:rsidRPr="00DB215C" w:rsidRDefault="00DB215C" w:rsidP="00DB215C">
            <w:pPr>
              <w:ind w:right="170"/>
              <w:jc w:val="right"/>
              <w:rPr>
                <w:rFonts w:eastAsia="Calibri"/>
                <w:bCs/>
                <w:sz w:val="18"/>
                <w:szCs w:val="18"/>
                <w:lang w:val="en-US" w:eastAsia="en-US"/>
              </w:rPr>
            </w:pPr>
            <w:r w:rsidRPr="00DB215C">
              <w:rPr>
                <w:rFonts w:eastAsia="Calibri"/>
                <w:bCs/>
                <w:sz w:val="18"/>
                <w:szCs w:val="18"/>
                <w:lang w:val="en-US" w:eastAsia="en-US"/>
              </w:rPr>
              <w:t>-5.70</w:t>
            </w:r>
          </w:p>
        </w:tc>
      </w:tr>
      <w:tr w:rsidR="00DB215C" w:rsidRPr="00DB215C" w14:paraId="5250D06B" w14:textId="77777777" w:rsidTr="00DB215C">
        <w:trPr>
          <w:trHeight w:val="168"/>
          <w:jc w:val="center"/>
        </w:trPr>
        <w:tc>
          <w:tcPr>
            <w:tcW w:w="2846" w:type="dxa"/>
            <w:tcBorders>
              <w:top w:val="nil"/>
              <w:left w:val="single" w:sz="4" w:space="0" w:color="auto"/>
              <w:bottom w:val="nil"/>
              <w:right w:val="single" w:sz="4" w:space="0" w:color="auto"/>
            </w:tcBorders>
            <w:shd w:val="clear" w:color="auto" w:fill="auto"/>
            <w:vAlign w:val="center"/>
          </w:tcPr>
          <w:p w14:paraId="2A224DBD" w14:textId="77777777" w:rsidR="00DB215C" w:rsidRPr="00DB215C" w:rsidRDefault="00DB215C" w:rsidP="00DB215C">
            <w:pPr>
              <w:ind w:left="170"/>
              <w:rPr>
                <w:rFonts w:eastAsia="Calibri"/>
                <w:bCs/>
                <w:sz w:val="18"/>
                <w:szCs w:val="18"/>
                <w:lang w:val="en-US" w:eastAsia="en-US"/>
              </w:rPr>
            </w:pPr>
            <w:r w:rsidRPr="00DB215C">
              <w:rPr>
                <w:rFonts w:eastAsia="Calibri"/>
                <w:bCs/>
                <w:sz w:val="18"/>
                <w:szCs w:val="18"/>
                <w:lang w:val="en-US" w:eastAsia="en-US"/>
              </w:rPr>
              <w:t>Entidades financieras</w:t>
            </w:r>
          </w:p>
        </w:tc>
        <w:tc>
          <w:tcPr>
            <w:tcW w:w="1134" w:type="dxa"/>
            <w:tcBorders>
              <w:left w:val="single" w:sz="4" w:space="0" w:color="auto"/>
              <w:right w:val="single" w:sz="4" w:space="0" w:color="auto"/>
            </w:tcBorders>
            <w:shd w:val="clear" w:color="auto" w:fill="auto"/>
            <w:vAlign w:val="bottom"/>
          </w:tcPr>
          <w:p w14:paraId="010D07FB" w14:textId="77777777" w:rsidR="00DB215C" w:rsidRPr="00DB215C" w:rsidRDefault="00DB215C" w:rsidP="00DB215C">
            <w:pPr>
              <w:ind w:right="170"/>
              <w:jc w:val="right"/>
              <w:rPr>
                <w:rFonts w:eastAsia="Calibri"/>
                <w:sz w:val="18"/>
                <w:szCs w:val="18"/>
                <w:lang w:val="en-US" w:eastAsia="en-US"/>
              </w:rPr>
            </w:pPr>
            <w:r w:rsidRPr="00DB215C">
              <w:rPr>
                <w:rFonts w:eastAsia="Calibri"/>
                <w:sz w:val="18"/>
                <w:szCs w:val="18"/>
                <w:lang w:val="en-US" w:eastAsia="en-US"/>
              </w:rPr>
              <w:t>9 851.78</w:t>
            </w:r>
          </w:p>
        </w:tc>
        <w:tc>
          <w:tcPr>
            <w:tcW w:w="1276" w:type="dxa"/>
            <w:tcBorders>
              <w:top w:val="nil"/>
              <w:left w:val="single" w:sz="4" w:space="0" w:color="auto"/>
              <w:bottom w:val="nil"/>
              <w:right w:val="single" w:sz="4" w:space="0" w:color="auto"/>
            </w:tcBorders>
            <w:shd w:val="clear" w:color="auto" w:fill="auto"/>
            <w:vAlign w:val="bottom"/>
          </w:tcPr>
          <w:p w14:paraId="6BF7E420" w14:textId="77777777" w:rsidR="00DB215C" w:rsidRPr="00DB215C" w:rsidRDefault="00DB215C" w:rsidP="00DB215C">
            <w:pPr>
              <w:ind w:right="170"/>
              <w:jc w:val="right"/>
              <w:rPr>
                <w:rFonts w:eastAsia="Calibri"/>
                <w:sz w:val="18"/>
                <w:szCs w:val="18"/>
                <w:lang w:val="en-US" w:eastAsia="en-US"/>
              </w:rPr>
            </w:pPr>
            <w:r w:rsidRPr="00DB215C">
              <w:rPr>
                <w:rFonts w:eastAsia="Calibri"/>
                <w:sz w:val="18"/>
                <w:szCs w:val="18"/>
                <w:lang w:val="en-US" w:eastAsia="en-US"/>
              </w:rPr>
              <w:t>1 920.80</w:t>
            </w:r>
          </w:p>
        </w:tc>
        <w:tc>
          <w:tcPr>
            <w:tcW w:w="1276" w:type="dxa"/>
            <w:tcBorders>
              <w:left w:val="single" w:sz="4" w:space="0" w:color="auto"/>
              <w:right w:val="single" w:sz="4" w:space="0" w:color="auto"/>
            </w:tcBorders>
            <w:shd w:val="clear" w:color="auto" w:fill="auto"/>
            <w:vAlign w:val="bottom"/>
          </w:tcPr>
          <w:p w14:paraId="1FF78575" w14:textId="77777777" w:rsidR="00DB215C" w:rsidRPr="00DB215C" w:rsidRDefault="00DB215C" w:rsidP="00DB215C">
            <w:pPr>
              <w:ind w:right="170"/>
              <w:jc w:val="right"/>
              <w:rPr>
                <w:rFonts w:eastAsia="Calibri"/>
                <w:sz w:val="18"/>
                <w:szCs w:val="18"/>
                <w:lang w:val="en-US" w:eastAsia="en-US"/>
              </w:rPr>
            </w:pPr>
            <w:r w:rsidRPr="00DB215C">
              <w:rPr>
                <w:rFonts w:eastAsia="Calibri"/>
                <w:sz w:val="18"/>
                <w:szCs w:val="18"/>
                <w:lang w:val="en-US" w:eastAsia="en-US"/>
              </w:rPr>
              <w:t>1 237.89</w:t>
            </w:r>
          </w:p>
        </w:tc>
        <w:tc>
          <w:tcPr>
            <w:tcW w:w="1134" w:type="dxa"/>
            <w:tcBorders>
              <w:top w:val="nil"/>
              <w:left w:val="single" w:sz="4" w:space="0" w:color="auto"/>
              <w:bottom w:val="nil"/>
              <w:right w:val="single" w:sz="4" w:space="0" w:color="auto"/>
            </w:tcBorders>
            <w:shd w:val="clear" w:color="auto" w:fill="auto"/>
            <w:vAlign w:val="bottom"/>
          </w:tcPr>
          <w:p w14:paraId="75C792D2" w14:textId="77777777" w:rsidR="00DB215C" w:rsidRPr="00DB215C" w:rsidRDefault="00DB215C" w:rsidP="00DB215C">
            <w:pPr>
              <w:ind w:right="170"/>
              <w:jc w:val="right"/>
              <w:rPr>
                <w:rFonts w:eastAsia="Calibri"/>
                <w:sz w:val="18"/>
                <w:szCs w:val="18"/>
                <w:lang w:val="en-US" w:eastAsia="en-US"/>
              </w:rPr>
            </w:pPr>
            <w:r w:rsidRPr="00DB215C">
              <w:rPr>
                <w:rFonts w:eastAsia="Calibri"/>
                <w:sz w:val="18"/>
                <w:szCs w:val="18"/>
                <w:lang w:val="en-US" w:eastAsia="en-US"/>
              </w:rPr>
              <w:t>-8 613.89</w:t>
            </w:r>
          </w:p>
        </w:tc>
        <w:tc>
          <w:tcPr>
            <w:tcW w:w="1194" w:type="dxa"/>
            <w:tcBorders>
              <w:top w:val="nil"/>
              <w:left w:val="single" w:sz="4" w:space="0" w:color="auto"/>
              <w:bottom w:val="nil"/>
              <w:right w:val="single" w:sz="4" w:space="0" w:color="auto"/>
            </w:tcBorders>
            <w:shd w:val="clear" w:color="auto" w:fill="auto"/>
            <w:vAlign w:val="bottom"/>
          </w:tcPr>
          <w:p w14:paraId="045880C6" w14:textId="77777777" w:rsidR="00DB215C" w:rsidRPr="00DB215C" w:rsidRDefault="00DB215C" w:rsidP="00DB215C">
            <w:pPr>
              <w:ind w:right="170"/>
              <w:jc w:val="right"/>
              <w:rPr>
                <w:rFonts w:eastAsia="Calibri"/>
                <w:bCs/>
                <w:sz w:val="18"/>
                <w:szCs w:val="18"/>
                <w:lang w:val="en-US" w:eastAsia="en-US"/>
              </w:rPr>
            </w:pPr>
            <w:r w:rsidRPr="00DB215C">
              <w:rPr>
                <w:rFonts w:eastAsia="Calibri"/>
                <w:bCs/>
                <w:sz w:val="18"/>
                <w:szCs w:val="18"/>
                <w:lang w:val="en-US" w:eastAsia="en-US"/>
              </w:rPr>
              <w:t>-682.91</w:t>
            </w:r>
          </w:p>
        </w:tc>
      </w:tr>
      <w:tr w:rsidR="00DB215C" w:rsidRPr="00DB215C" w14:paraId="3FE06F57" w14:textId="77777777" w:rsidTr="00DB215C">
        <w:trPr>
          <w:trHeight w:val="271"/>
          <w:jc w:val="center"/>
        </w:trPr>
        <w:tc>
          <w:tcPr>
            <w:tcW w:w="2846" w:type="dxa"/>
            <w:tcBorders>
              <w:top w:val="nil"/>
              <w:left w:val="single" w:sz="4" w:space="0" w:color="auto"/>
              <w:bottom w:val="nil"/>
              <w:right w:val="single" w:sz="4" w:space="0" w:color="auto"/>
            </w:tcBorders>
            <w:shd w:val="clear" w:color="auto" w:fill="auto"/>
            <w:vAlign w:val="center"/>
          </w:tcPr>
          <w:p w14:paraId="01588453" w14:textId="77777777" w:rsidR="00DB215C" w:rsidRPr="00DB215C" w:rsidRDefault="00DB215C" w:rsidP="00DB215C">
            <w:pPr>
              <w:spacing w:after="120"/>
              <w:ind w:left="170"/>
              <w:rPr>
                <w:rFonts w:eastAsia="Calibri"/>
                <w:bCs/>
                <w:sz w:val="18"/>
                <w:szCs w:val="18"/>
                <w:lang w:val="en-US" w:eastAsia="en-US"/>
              </w:rPr>
            </w:pPr>
            <w:r w:rsidRPr="00DB215C">
              <w:rPr>
                <w:rFonts w:eastAsia="Calibri"/>
                <w:bCs/>
                <w:sz w:val="18"/>
                <w:szCs w:val="18"/>
                <w:lang w:val="en-US" w:eastAsia="en-US"/>
              </w:rPr>
              <w:t>Entidades gubernamentales</w:t>
            </w:r>
          </w:p>
        </w:tc>
        <w:tc>
          <w:tcPr>
            <w:tcW w:w="1134" w:type="dxa"/>
            <w:tcBorders>
              <w:left w:val="single" w:sz="4" w:space="0" w:color="auto"/>
              <w:right w:val="single" w:sz="4" w:space="0" w:color="auto"/>
            </w:tcBorders>
            <w:shd w:val="clear" w:color="auto" w:fill="auto"/>
            <w:vAlign w:val="bottom"/>
          </w:tcPr>
          <w:p w14:paraId="3BD90366" w14:textId="77777777" w:rsidR="00DB215C" w:rsidRPr="00DB215C" w:rsidRDefault="00DB215C" w:rsidP="00DB215C">
            <w:pPr>
              <w:spacing w:after="120"/>
              <w:ind w:right="170"/>
              <w:jc w:val="right"/>
              <w:rPr>
                <w:rFonts w:eastAsia="Calibri"/>
                <w:sz w:val="18"/>
                <w:szCs w:val="18"/>
                <w:lang w:val="en-US" w:eastAsia="en-US"/>
              </w:rPr>
            </w:pPr>
            <w:r w:rsidRPr="00DB215C">
              <w:rPr>
                <w:rFonts w:eastAsia="Calibri"/>
                <w:sz w:val="18"/>
                <w:szCs w:val="18"/>
                <w:lang w:val="en-US" w:eastAsia="en-US"/>
              </w:rPr>
              <w:t>7 904.67</w:t>
            </w:r>
          </w:p>
        </w:tc>
        <w:tc>
          <w:tcPr>
            <w:tcW w:w="1276" w:type="dxa"/>
            <w:tcBorders>
              <w:top w:val="nil"/>
              <w:left w:val="single" w:sz="4" w:space="0" w:color="auto"/>
              <w:bottom w:val="nil"/>
              <w:right w:val="single" w:sz="4" w:space="0" w:color="auto"/>
            </w:tcBorders>
            <w:shd w:val="clear" w:color="auto" w:fill="auto"/>
            <w:vAlign w:val="bottom"/>
          </w:tcPr>
          <w:p w14:paraId="0F643015" w14:textId="77777777" w:rsidR="00DB215C" w:rsidRPr="00DB215C" w:rsidRDefault="00DB215C" w:rsidP="00DB215C">
            <w:pPr>
              <w:spacing w:after="120"/>
              <w:ind w:right="170"/>
              <w:jc w:val="right"/>
              <w:rPr>
                <w:rFonts w:eastAsia="Calibri"/>
                <w:sz w:val="18"/>
                <w:szCs w:val="18"/>
                <w:lang w:val="en-US" w:eastAsia="en-US"/>
              </w:rPr>
            </w:pPr>
            <w:r w:rsidRPr="00DB215C">
              <w:rPr>
                <w:rFonts w:eastAsia="Calibri"/>
                <w:sz w:val="18"/>
                <w:szCs w:val="18"/>
                <w:lang w:val="en-US" w:eastAsia="en-US"/>
              </w:rPr>
              <w:t>3 811.14</w:t>
            </w:r>
          </w:p>
        </w:tc>
        <w:tc>
          <w:tcPr>
            <w:tcW w:w="1276" w:type="dxa"/>
            <w:tcBorders>
              <w:left w:val="single" w:sz="4" w:space="0" w:color="auto"/>
              <w:right w:val="single" w:sz="4" w:space="0" w:color="auto"/>
            </w:tcBorders>
            <w:shd w:val="clear" w:color="auto" w:fill="auto"/>
            <w:vAlign w:val="bottom"/>
          </w:tcPr>
          <w:p w14:paraId="11955446" w14:textId="77777777" w:rsidR="00DB215C" w:rsidRPr="00DB215C" w:rsidRDefault="00DB215C" w:rsidP="00DB215C">
            <w:pPr>
              <w:spacing w:after="120"/>
              <w:ind w:right="170"/>
              <w:jc w:val="right"/>
              <w:rPr>
                <w:rFonts w:eastAsia="Calibri"/>
                <w:sz w:val="18"/>
                <w:szCs w:val="18"/>
                <w:lang w:val="en-US" w:eastAsia="en-US"/>
              </w:rPr>
            </w:pPr>
            <w:r w:rsidRPr="00DB215C">
              <w:rPr>
                <w:rFonts w:eastAsia="Calibri"/>
                <w:sz w:val="18"/>
                <w:szCs w:val="18"/>
                <w:lang w:val="en-US" w:eastAsia="en-US"/>
              </w:rPr>
              <w:t>3 621.78</w:t>
            </w:r>
          </w:p>
        </w:tc>
        <w:tc>
          <w:tcPr>
            <w:tcW w:w="1134" w:type="dxa"/>
            <w:tcBorders>
              <w:top w:val="nil"/>
              <w:left w:val="single" w:sz="4" w:space="0" w:color="auto"/>
              <w:bottom w:val="nil"/>
              <w:right w:val="single" w:sz="4" w:space="0" w:color="auto"/>
            </w:tcBorders>
            <w:shd w:val="clear" w:color="auto" w:fill="auto"/>
            <w:vAlign w:val="bottom"/>
          </w:tcPr>
          <w:p w14:paraId="28CEAF36" w14:textId="77777777" w:rsidR="00DB215C" w:rsidRPr="00DB215C" w:rsidRDefault="00DB215C" w:rsidP="00DB215C">
            <w:pPr>
              <w:spacing w:after="120"/>
              <w:ind w:right="170"/>
              <w:jc w:val="right"/>
              <w:rPr>
                <w:rFonts w:eastAsia="Calibri"/>
                <w:sz w:val="18"/>
                <w:szCs w:val="18"/>
                <w:lang w:val="en-US" w:eastAsia="en-US"/>
              </w:rPr>
            </w:pPr>
            <w:r w:rsidRPr="00DB215C">
              <w:rPr>
                <w:rFonts w:eastAsia="Calibri"/>
                <w:sz w:val="18"/>
                <w:szCs w:val="18"/>
                <w:lang w:val="en-US" w:eastAsia="en-US"/>
              </w:rPr>
              <w:t>-4 282.88</w:t>
            </w:r>
          </w:p>
        </w:tc>
        <w:tc>
          <w:tcPr>
            <w:tcW w:w="1194" w:type="dxa"/>
            <w:tcBorders>
              <w:top w:val="nil"/>
              <w:left w:val="single" w:sz="4" w:space="0" w:color="auto"/>
              <w:bottom w:val="nil"/>
              <w:right w:val="single" w:sz="4" w:space="0" w:color="auto"/>
            </w:tcBorders>
            <w:shd w:val="clear" w:color="auto" w:fill="auto"/>
            <w:vAlign w:val="bottom"/>
          </w:tcPr>
          <w:p w14:paraId="1C2483C9" w14:textId="77777777" w:rsidR="00DB215C" w:rsidRPr="00DB215C" w:rsidRDefault="00DB215C" w:rsidP="00DB215C">
            <w:pPr>
              <w:spacing w:after="120"/>
              <w:ind w:right="170"/>
              <w:jc w:val="right"/>
              <w:rPr>
                <w:rFonts w:eastAsia="Calibri"/>
                <w:bCs/>
                <w:sz w:val="18"/>
                <w:szCs w:val="18"/>
                <w:lang w:val="en-US" w:eastAsia="en-US"/>
              </w:rPr>
            </w:pPr>
            <w:r w:rsidRPr="00DB215C">
              <w:rPr>
                <w:rFonts w:eastAsia="Calibri"/>
                <w:bCs/>
                <w:sz w:val="18"/>
                <w:szCs w:val="18"/>
                <w:lang w:val="en-US" w:eastAsia="en-US"/>
              </w:rPr>
              <w:t>-189.36</w:t>
            </w:r>
          </w:p>
        </w:tc>
      </w:tr>
      <w:tr w:rsidR="00DB215C" w:rsidRPr="00DB215C" w14:paraId="53CC15F9" w14:textId="77777777" w:rsidTr="00DB215C">
        <w:trPr>
          <w:trHeight w:val="261"/>
          <w:jc w:val="center"/>
        </w:trPr>
        <w:tc>
          <w:tcPr>
            <w:tcW w:w="2846" w:type="dxa"/>
            <w:tcBorders>
              <w:top w:val="nil"/>
              <w:left w:val="single" w:sz="4" w:space="0" w:color="auto"/>
              <w:bottom w:val="nil"/>
              <w:right w:val="single" w:sz="4" w:space="0" w:color="auto"/>
            </w:tcBorders>
            <w:shd w:val="clear" w:color="auto" w:fill="auto"/>
            <w:vAlign w:val="center"/>
          </w:tcPr>
          <w:p w14:paraId="201C34B9" w14:textId="77777777" w:rsidR="00DB215C" w:rsidRPr="00DB215C" w:rsidRDefault="00DB215C" w:rsidP="00DB215C">
            <w:pPr>
              <w:rPr>
                <w:rFonts w:eastAsia="Calibri"/>
                <w:b/>
                <w:bCs/>
                <w:sz w:val="18"/>
                <w:szCs w:val="18"/>
                <w:lang w:eastAsia="en-US"/>
              </w:rPr>
            </w:pPr>
            <w:r w:rsidRPr="00DB215C">
              <w:rPr>
                <w:rFonts w:eastAsia="Calibri"/>
                <w:b/>
                <w:bCs/>
                <w:sz w:val="18"/>
                <w:szCs w:val="18"/>
                <w:lang w:eastAsia="en-US"/>
              </w:rPr>
              <w:t>Consumo</w:t>
            </w:r>
          </w:p>
        </w:tc>
        <w:tc>
          <w:tcPr>
            <w:tcW w:w="1134" w:type="dxa"/>
            <w:tcBorders>
              <w:left w:val="single" w:sz="4" w:space="0" w:color="auto"/>
              <w:right w:val="single" w:sz="4" w:space="0" w:color="auto"/>
            </w:tcBorders>
            <w:shd w:val="clear" w:color="auto" w:fill="auto"/>
            <w:vAlign w:val="bottom"/>
          </w:tcPr>
          <w:p w14:paraId="751F680F" w14:textId="77777777" w:rsidR="00DB215C" w:rsidRPr="00DB215C" w:rsidRDefault="00DB215C" w:rsidP="00DB215C">
            <w:pPr>
              <w:ind w:right="170"/>
              <w:jc w:val="right"/>
              <w:rPr>
                <w:rFonts w:eastAsia="Calibri"/>
                <w:b/>
                <w:sz w:val="18"/>
                <w:szCs w:val="18"/>
                <w:lang w:eastAsia="en-US"/>
              </w:rPr>
            </w:pPr>
            <w:r w:rsidRPr="00DB215C">
              <w:rPr>
                <w:rFonts w:eastAsia="Calibri"/>
                <w:b/>
                <w:sz w:val="18"/>
                <w:szCs w:val="18"/>
                <w:lang w:eastAsia="en-US"/>
              </w:rPr>
              <w:t>191.67</w:t>
            </w:r>
          </w:p>
        </w:tc>
        <w:tc>
          <w:tcPr>
            <w:tcW w:w="1276" w:type="dxa"/>
            <w:tcBorders>
              <w:top w:val="nil"/>
              <w:left w:val="single" w:sz="4" w:space="0" w:color="auto"/>
              <w:bottom w:val="nil"/>
              <w:right w:val="single" w:sz="4" w:space="0" w:color="auto"/>
            </w:tcBorders>
            <w:shd w:val="clear" w:color="auto" w:fill="auto"/>
            <w:vAlign w:val="bottom"/>
          </w:tcPr>
          <w:p w14:paraId="50E7F2E5" w14:textId="77777777" w:rsidR="00DB215C" w:rsidRPr="00DB215C" w:rsidRDefault="00DB215C" w:rsidP="00DB215C">
            <w:pPr>
              <w:ind w:right="170"/>
              <w:jc w:val="right"/>
              <w:rPr>
                <w:rFonts w:eastAsia="Calibri"/>
                <w:b/>
                <w:sz w:val="18"/>
                <w:szCs w:val="18"/>
                <w:lang w:eastAsia="en-US"/>
              </w:rPr>
            </w:pPr>
            <w:r w:rsidRPr="00DB215C">
              <w:rPr>
                <w:rFonts w:eastAsia="Calibri"/>
                <w:b/>
                <w:sz w:val="18"/>
                <w:szCs w:val="18"/>
                <w:lang w:eastAsia="en-US"/>
              </w:rPr>
              <w:t>181.71</w:t>
            </w:r>
          </w:p>
        </w:tc>
        <w:tc>
          <w:tcPr>
            <w:tcW w:w="1276" w:type="dxa"/>
            <w:tcBorders>
              <w:left w:val="single" w:sz="4" w:space="0" w:color="auto"/>
              <w:right w:val="single" w:sz="4" w:space="0" w:color="auto"/>
            </w:tcBorders>
            <w:shd w:val="clear" w:color="auto" w:fill="auto"/>
            <w:vAlign w:val="bottom"/>
          </w:tcPr>
          <w:p w14:paraId="6D5E274F" w14:textId="77777777" w:rsidR="00DB215C" w:rsidRPr="00DB215C" w:rsidRDefault="00DB215C" w:rsidP="00DB215C">
            <w:pPr>
              <w:ind w:right="170"/>
              <w:jc w:val="right"/>
              <w:rPr>
                <w:rFonts w:eastAsia="Calibri"/>
                <w:b/>
                <w:sz w:val="18"/>
                <w:szCs w:val="18"/>
                <w:lang w:eastAsia="en-US"/>
              </w:rPr>
            </w:pPr>
            <w:r w:rsidRPr="00DB215C">
              <w:rPr>
                <w:rFonts w:eastAsia="Calibri"/>
                <w:b/>
                <w:sz w:val="18"/>
                <w:szCs w:val="18"/>
                <w:lang w:eastAsia="en-US"/>
              </w:rPr>
              <w:t>182.83</w:t>
            </w:r>
          </w:p>
        </w:tc>
        <w:tc>
          <w:tcPr>
            <w:tcW w:w="1134" w:type="dxa"/>
            <w:tcBorders>
              <w:top w:val="nil"/>
              <w:left w:val="single" w:sz="4" w:space="0" w:color="auto"/>
              <w:bottom w:val="nil"/>
              <w:right w:val="single" w:sz="4" w:space="0" w:color="auto"/>
            </w:tcBorders>
            <w:shd w:val="clear" w:color="auto" w:fill="auto"/>
            <w:vAlign w:val="bottom"/>
          </w:tcPr>
          <w:p w14:paraId="50170606" w14:textId="77777777" w:rsidR="00DB215C" w:rsidRPr="00DB215C" w:rsidRDefault="00DB215C" w:rsidP="00DB215C">
            <w:pPr>
              <w:ind w:right="170"/>
              <w:jc w:val="right"/>
              <w:rPr>
                <w:rFonts w:eastAsia="Calibri"/>
                <w:b/>
                <w:sz w:val="18"/>
                <w:szCs w:val="18"/>
                <w:lang w:eastAsia="en-US"/>
              </w:rPr>
            </w:pPr>
            <w:r w:rsidRPr="00DB215C">
              <w:rPr>
                <w:rFonts w:eastAsia="Calibri"/>
                <w:b/>
                <w:sz w:val="18"/>
                <w:szCs w:val="18"/>
                <w:lang w:eastAsia="en-US"/>
              </w:rPr>
              <w:t>-8.84</w:t>
            </w:r>
          </w:p>
        </w:tc>
        <w:tc>
          <w:tcPr>
            <w:tcW w:w="1194" w:type="dxa"/>
            <w:tcBorders>
              <w:top w:val="nil"/>
              <w:left w:val="single" w:sz="4" w:space="0" w:color="auto"/>
              <w:bottom w:val="nil"/>
              <w:right w:val="single" w:sz="4" w:space="0" w:color="auto"/>
            </w:tcBorders>
            <w:shd w:val="clear" w:color="auto" w:fill="auto"/>
            <w:vAlign w:val="bottom"/>
          </w:tcPr>
          <w:p w14:paraId="1E4EE5A1" w14:textId="77777777" w:rsidR="00DB215C" w:rsidRPr="00DB215C" w:rsidRDefault="00DB215C" w:rsidP="00DB215C">
            <w:pPr>
              <w:ind w:right="170"/>
              <w:jc w:val="right"/>
              <w:rPr>
                <w:rFonts w:eastAsia="Calibri"/>
                <w:b/>
                <w:bCs/>
                <w:sz w:val="18"/>
                <w:szCs w:val="18"/>
                <w:lang w:eastAsia="en-US"/>
              </w:rPr>
            </w:pPr>
            <w:r w:rsidRPr="00DB215C">
              <w:rPr>
                <w:rFonts w:eastAsia="Calibri"/>
                <w:b/>
                <w:bCs/>
                <w:sz w:val="18"/>
                <w:szCs w:val="18"/>
                <w:lang w:eastAsia="en-US"/>
              </w:rPr>
              <w:t>1.12</w:t>
            </w:r>
          </w:p>
        </w:tc>
      </w:tr>
      <w:tr w:rsidR="00DB215C" w:rsidRPr="00DB215C" w14:paraId="2527F7FF" w14:textId="77777777" w:rsidTr="00DB215C">
        <w:trPr>
          <w:trHeight w:val="64"/>
          <w:jc w:val="center"/>
        </w:trPr>
        <w:tc>
          <w:tcPr>
            <w:tcW w:w="2846" w:type="dxa"/>
            <w:tcBorders>
              <w:top w:val="nil"/>
              <w:left w:val="single" w:sz="4" w:space="0" w:color="auto"/>
              <w:bottom w:val="nil"/>
              <w:right w:val="single" w:sz="4" w:space="0" w:color="auto"/>
            </w:tcBorders>
            <w:shd w:val="clear" w:color="auto" w:fill="auto"/>
            <w:vAlign w:val="center"/>
          </w:tcPr>
          <w:p w14:paraId="5773CC0B" w14:textId="77777777" w:rsidR="00DB215C" w:rsidRPr="00DB215C" w:rsidRDefault="00DB215C" w:rsidP="00DB215C">
            <w:pPr>
              <w:ind w:left="170"/>
              <w:rPr>
                <w:rFonts w:eastAsia="Calibri"/>
                <w:bCs/>
                <w:sz w:val="18"/>
                <w:szCs w:val="18"/>
                <w:lang w:eastAsia="en-US"/>
              </w:rPr>
            </w:pPr>
            <w:r w:rsidRPr="00DB215C">
              <w:rPr>
                <w:rFonts w:eastAsia="Calibri"/>
                <w:bCs/>
                <w:sz w:val="18"/>
                <w:szCs w:val="18"/>
                <w:lang w:eastAsia="en-US"/>
              </w:rPr>
              <w:t>Tarjeta de crédito</w:t>
            </w:r>
          </w:p>
        </w:tc>
        <w:tc>
          <w:tcPr>
            <w:tcW w:w="1134" w:type="dxa"/>
            <w:tcBorders>
              <w:left w:val="single" w:sz="4" w:space="0" w:color="auto"/>
              <w:right w:val="single" w:sz="4" w:space="0" w:color="auto"/>
            </w:tcBorders>
            <w:shd w:val="clear" w:color="auto" w:fill="auto"/>
            <w:vAlign w:val="bottom"/>
          </w:tcPr>
          <w:p w14:paraId="1067B2FE"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246.80</w:t>
            </w:r>
          </w:p>
        </w:tc>
        <w:tc>
          <w:tcPr>
            <w:tcW w:w="1276" w:type="dxa"/>
            <w:tcBorders>
              <w:top w:val="nil"/>
              <w:left w:val="single" w:sz="4" w:space="0" w:color="auto"/>
              <w:bottom w:val="nil"/>
              <w:right w:val="single" w:sz="4" w:space="0" w:color="auto"/>
            </w:tcBorders>
            <w:shd w:val="clear" w:color="auto" w:fill="auto"/>
            <w:vAlign w:val="bottom"/>
          </w:tcPr>
          <w:p w14:paraId="754A6A73"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212.34</w:t>
            </w:r>
          </w:p>
        </w:tc>
        <w:tc>
          <w:tcPr>
            <w:tcW w:w="1276" w:type="dxa"/>
            <w:tcBorders>
              <w:left w:val="single" w:sz="4" w:space="0" w:color="auto"/>
              <w:right w:val="single" w:sz="4" w:space="0" w:color="auto"/>
            </w:tcBorders>
            <w:shd w:val="clear" w:color="auto" w:fill="auto"/>
            <w:vAlign w:val="bottom"/>
          </w:tcPr>
          <w:p w14:paraId="42E2B61D"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215.16</w:t>
            </w:r>
          </w:p>
        </w:tc>
        <w:tc>
          <w:tcPr>
            <w:tcW w:w="1134" w:type="dxa"/>
            <w:tcBorders>
              <w:top w:val="nil"/>
              <w:left w:val="single" w:sz="4" w:space="0" w:color="auto"/>
              <w:bottom w:val="nil"/>
              <w:right w:val="single" w:sz="4" w:space="0" w:color="auto"/>
            </w:tcBorders>
            <w:shd w:val="clear" w:color="auto" w:fill="auto"/>
            <w:vAlign w:val="bottom"/>
          </w:tcPr>
          <w:p w14:paraId="0E714596"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-31.64</w:t>
            </w:r>
          </w:p>
        </w:tc>
        <w:tc>
          <w:tcPr>
            <w:tcW w:w="1194" w:type="dxa"/>
            <w:tcBorders>
              <w:top w:val="nil"/>
              <w:left w:val="single" w:sz="4" w:space="0" w:color="auto"/>
              <w:bottom w:val="nil"/>
              <w:right w:val="single" w:sz="4" w:space="0" w:color="auto"/>
            </w:tcBorders>
            <w:shd w:val="clear" w:color="auto" w:fill="auto"/>
            <w:vAlign w:val="bottom"/>
          </w:tcPr>
          <w:p w14:paraId="2A87572C" w14:textId="77777777" w:rsidR="00DB215C" w:rsidRPr="00DB215C" w:rsidRDefault="00DB215C" w:rsidP="00DB215C">
            <w:pPr>
              <w:ind w:right="170"/>
              <w:jc w:val="right"/>
              <w:rPr>
                <w:rFonts w:eastAsia="Calibri"/>
                <w:bCs/>
                <w:sz w:val="18"/>
                <w:szCs w:val="18"/>
                <w:lang w:eastAsia="en-US"/>
              </w:rPr>
            </w:pPr>
            <w:r w:rsidRPr="00DB215C">
              <w:rPr>
                <w:rFonts w:eastAsia="Calibri"/>
                <w:bCs/>
                <w:sz w:val="18"/>
                <w:szCs w:val="18"/>
                <w:lang w:eastAsia="en-US"/>
              </w:rPr>
              <w:t>2.82</w:t>
            </w:r>
          </w:p>
        </w:tc>
      </w:tr>
      <w:tr w:rsidR="00DB215C" w:rsidRPr="00DB215C" w14:paraId="73A88F17" w14:textId="77777777" w:rsidTr="00DB215C">
        <w:trPr>
          <w:trHeight w:val="139"/>
          <w:jc w:val="center"/>
        </w:trPr>
        <w:tc>
          <w:tcPr>
            <w:tcW w:w="2846" w:type="dxa"/>
            <w:tcBorders>
              <w:top w:val="nil"/>
              <w:left w:val="single" w:sz="4" w:space="0" w:color="auto"/>
              <w:bottom w:val="nil"/>
              <w:right w:val="single" w:sz="4" w:space="0" w:color="auto"/>
            </w:tcBorders>
            <w:shd w:val="clear" w:color="auto" w:fill="auto"/>
            <w:vAlign w:val="center"/>
          </w:tcPr>
          <w:p w14:paraId="0961B048" w14:textId="77777777" w:rsidR="00DB215C" w:rsidRPr="00DB215C" w:rsidRDefault="00DB215C" w:rsidP="00DB215C">
            <w:pPr>
              <w:ind w:left="170"/>
              <w:rPr>
                <w:rFonts w:eastAsia="Calibri"/>
                <w:bCs/>
                <w:sz w:val="18"/>
                <w:szCs w:val="18"/>
                <w:lang w:eastAsia="en-US"/>
              </w:rPr>
            </w:pPr>
            <w:r w:rsidRPr="00DB215C">
              <w:rPr>
                <w:rFonts w:eastAsia="Calibri"/>
                <w:bCs/>
                <w:sz w:val="18"/>
                <w:szCs w:val="18"/>
                <w:lang w:eastAsia="en-US"/>
              </w:rPr>
              <w:t>Personales</w:t>
            </w:r>
          </w:p>
        </w:tc>
        <w:tc>
          <w:tcPr>
            <w:tcW w:w="1134" w:type="dxa"/>
            <w:tcBorders>
              <w:left w:val="single" w:sz="4" w:space="0" w:color="auto"/>
              <w:right w:val="single" w:sz="4" w:space="0" w:color="auto"/>
            </w:tcBorders>
            <w:shd w:val="clear" w:color="auto" w:fill="auto"/>
            <w:vAlign w:val="bottom"/>
          </w:tcPr>
          <w:p w14:paraId="03B467F1"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140.39</w:t>
            </w:r>
          </w:p>
        </w:tc>
        <w:tc>
          <w:tcPr>
            <w:tcW w:w="1276" w:type="dxa"/>
            <w:tcBorders>
              <w:top w:val="nil"/>
              <w:left w:val="single" w:sz="4" w:space="0" w:color="auto"/>
              <w:bottom w:val="nil"/>
              <w:right w:val="single" w:sz="4" w:space="0" w:color="auto"/>
            </w:tcBorders>
            <w:shd w:val="clear" w:color="auto" w:fill="auto"/>
            <w:vAlign w:val="bottom"/>
          </w:tcPr>
          <w:p w14:paraId="3B043B5A"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133.56</w:t>
            </w:r>
          </w:p>
        </w:tc>
        <w:tc>
          <w:tcPr>
            <w:tcW w:w="1276" w:type="dxa"/>
            <w:tcBorders>
              <w:left w:val="single" w:sz="4" w:space="0" w:color="auto"/>
              <w:right w:val="single" w:sz="4" w:space="0" w:color="auto"/>
            </w:tcBorders>
            <w:shd w:val="clear" w:color="auto" w:fill="auto"/>
            <w:vAlign w:val="bottom"/>
          </w:tcPr>
          <w:p w14:paraId="2C65CB61"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131.18</w:t>
            </w:r>
          </w:p>
        </w:tc>
        <w:tc>
          <w:tcPr>
            <w:tcW w:w="1134" w:type="dxa"/>
            <w:tcBorders>
              <w:top w:val="nil"/>
              <w:left w:val="single" w:sz="4" w:space="0" w:color="auto"/>
              <w:bottom w:val="nil"/>
              <w:right w:val="single" w:sz="4" w:space="0" w:color="auto"/>
            </w:tcBorders>
            <w:shd w:val="clear" w:color="auto" w:fill="auto"/>
            <w:vAlign w:val="bottom"/>
          </w:tcPr>
          <w:p w14:paraId="5838205A"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-9.21</w:t>
            </w:r>
          </w:p>
        </w:tc>
        <w:tc>
          <w:tcPr>
            <w:tcW w:w="1194" w:type="dxa"/>
            <w:tcBorders>
              <w:top w:val="nil"/>
              <w:left w:val="single" w:sz="4" w:space="0" w:color="auto"/>
              <w:bottom w:val="nil"/>
              <w:right w:val="single" w:sz="4" w:space="0" w:color="auto"/>
            </w:tcBorders>
            <w:shd w:val="clear" w:color="auto" w:fill="auto"/>
            <w:vAlign w:val="bottom"/>
          </w:tcPr>
          <w:p w14:paraId="7C3E0DE9" w14:textId="77777777" w:rsidR="00DB215C" w:rsidRPr="00DB215C" w:rsidRDefault="00DB215C" w:rsidP="00DB215C">
            <w:pPr>
              <w:ind w:right="170"/>
              <w:jc w:val="right"/>
              <w:rPr>
                <w:rFonts w:eastAsia="Calibri"/>
                <w:bCs/>
                <w:sz w:val="18"/>
                <w:szCs w:val="18"/>
                <w:lang w:eastAsia="en-US"/>
              </w:rPr>
            </w:pPr>
            <w:r w:rsidRPr="00DB215C">
              <w:rPr>
                <w:rFonts w:eastAsia="Calibri"/>
                <w:bCs/>
                <w:sz w:val="18"/>
                <w:szCs w:val="18"/>
                <w:lang w:eastAsia="en-US"/>
              </w:rPr>
              <w:t>-2.39</w:t>
            </w:r>
          </w:p>
        </w:tc>
      </w:tr>
      <w:tr w:rsidR="00DB215C" w:rsidRPr="00DB215C" w14:paraId="156F3CCD" w14:textId="77777777" w:rsidTr="00DB215C">
        <w:trPr>
          <w:trHeight w:val="71"/>
          <w:jc w:val="center"/>
        </w:trPr>
        <w:tc>
          <w:tcPr>
            <w:tcW w:w="2846" w:type="dxa"/>
            <w:tcBorders>
              <w:top w:val="nil"/>
              <w:left w:val="single" w:sz="4" w:space="0" w:color="auto"/>
              <w:bottom w:val="nil"/>
              <w:right w:val="single" w:sz="4" w:space="0" w:color="auto"/>
            </w:tcBorders>
            <w:shd w:val="clear" w:color="auto" w:fill="auto"/>
            <w:vAlign w:val="center"/>
          </w:tcPr>
          <w:p w14:paraId="2486517B" w14:textId="77777777" w:rsidR="00DB215C" w:rsidRPr="00DB215C" w:rsidRDefault="00DB215C" w:rsidP="00DB215C">
            <w:pPr>
              <w:ind w:left="170"/>
              <w:rPr>
                <w:rFonts w:eastAsia="Calibri"/>
                <w:bCs/>
                <w:sz w:val="18"/>
                <w:szCs w:val="18"/>
                <w:lang w:eastAsia="en-US"/>
              </w:rPr>
            </w:pPr>
            <w:r w:rsidRPr="00DB215C">
              <w:rPr>
                <w:rFonts w:eastAsia="Calibri"/>
                <w:bCs/>
                <w:sz w:val="18"/>
                <w:szCs w:val="18"/>
                <w:lang w:eastAsia="en-US"/>
              </w:rPr>
              <w:t>Nómina</w:t>
            </w:r>
          </w:p>
        </w:tc>
        <w:tc>
          <w:tcPr>
            <w:tcW w:w="1134" w:type="dxa"/>
            <w:tcBorders>
              <w:left w:val="single" w:sz="4" w:space="0" w:color="auto"/>
              <w:right w:val="single" w:sz="4" w:space="0" w:color="auto"/>
            </w:tcBorders>
            <w:shd w:val="clear" w:color="auto" w:fill="auto"/>
            <w:vAlign w:val="bottom"/>
          </w:tcPr>
          <w:p w14:paraId="4FF0935B"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183.49</w:t>
            </w:r>
          </w:p>
        </w:tc>
        <w:tc>
          <w:tcPr>
            <w:tcW w:w="1276" w:type="dxa"/>
            <w:tcBorders>
              <w:top w:val="nil"/>
              <w:left w:val="single" w:sz="4" w:space="0" w:color="auto"/>
              <w:bottom w:val="nil"/>
              <w:right w:val="single" w:sz="4" w:space="0" w:color="auto"/>
            </w:tcBorders>
            <w:shd w:val="clear" w:color="auto" w:fill="auto"/>
            <w:vAlign w:val="bottom"/>
          </w:tcPr>
          <w:p w14:paraId="5B51E253"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212.25</w:t>
            </w:r>
          </w:p>
        </w:tc>
        <w:tc>
          <w:tcPr>
            <w:tcW w:w="1276" w:type="dxa"/>
            <w:tcBorders>
              <w:left w:val="single" w:sz="4" w:space="0" w:color="auto"/>
              <w:right w:val="single" w:sz="4" w:space="0" w:color="auto"/>
            </w:tcBorders>
            <w:shd w:val="clear" w:color="auto" w:fill="auto"/>
            <w:vAlign w:val="bottom"/>
          </w:tcPr>
          <w:p w14:paraId="6F6462F1"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210.16</w:t>
            </w:r>
          </w:p>
        </w:tc>
        <w:tc>
          <w:tcPr>
            <w:tcW w:w="1134" w:type="dxa"/>
            <w:tcBorders>
              <w:top w:val="nil"/>
              <w:left w:val="single" w:sz="4" w:space="0" w:color="auto"/>
              <w:bottom w:val="nil"/>
              <w:right w:val="single" w:sz="4" w:space="0" w:color="auto"/>
            </w:tcBorders>
            <w:shd w:val="clear" w:color="auto" w:fill="auto"/>
            <w:vAlign w:val="bottom"/>
          </w:tcPr>
          <w:p w14:paraId="79349AC1"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36.66</w:t>
            </w:r>
          </w:p>
        </w:tc>
        <w:tc>
          <w:tcPr>
            <w:tcW w:w="1194" w:type="dxa"/>
            <w:tcBorders>
              <w:top w:val="nil"/>
              <w:left w:val="single" w:sz="4" w:space="0" w:color="auto"/>
              <w:bottom w:val="nil"/>
              <w:right w:val="single" w:sz="4" w:space="0" w:color="auto"/>
            </w:tcBorders>
            <w:shd w:val="clear" w:color="auto" w:fill="auto"/>
            <w:vAlign w:val="bottom"/>
          </w:tcPr>
          <w:p w14:paraId="7221CAD5" w14:textId="77777777" w:rsidR="00DB215C" w:rsidRPr="00DB215C" w:rsidRDefault="00DB215C" w:rsidP="00DB215C">
            <w:pPr>
              <w:ind w:right="170"/>
              <w:jc w:val="right"/>
              <w:rPr>
                <w:rFonts w:eastAsia="Calibri"/>
                <w:bCs/>
                <w:sz w:val="18"/>
                <w:szCs w:val="18"/>
                <w:lang w:eastAsia="en-US"/>
              </w:rPr>
            </w:pPr>
            <w:r w:rsidRPr="00DB215C">
              <w:rPr>
                <w:rFonts w:eastAsia="Calibri"/>
                <w:bCs/>
                <w:sz w:val="18"/>
                <w:szCs w:val="18"/>
                <w:lang w:eastAsia="en-US"/>
              </w:rPr>
              <w:t>7.90</w:t>
            </w:r>
          </w:p>
        </w:tc>
      </w:tr>
      <w:tr w:rsidR="00DB215C" w:rsidRPr="00DB215C" w14:paraId="69DFF701" w14:textId="77777777" w:rsidTr="00DB215C">
        <w:trPr>
          <w:trHeight w:val="52"/>
          <w:jc w:val="center"/>
        </w:trPr>
        <w:tc>
          <w:tcPr>
            <w:tcW w:w="2846" w:type="dxa"/>
            <w:tcBorders>
              <w:top w:val="nil"/>
              <w:left w:val="single" w:sz="4" w:space="0" w:color="auto"/>
              <w:bottom w:val="nil"/>
              <w:right w:val="single" w:sz="4" w:space="0" w:color="auto"/>
            </w:tcBorders>
            <w:shd w:val="clear" w:color="auto" w:fill="auto"/>
            <w:vAlign w:val="center"/>
          </w:tcPr>
          <w:p w14:paraId="677C3BD8" w14:textId="77777777" w:rsidR="00DB215C" w:rsidRPr="00DB215C" w:rsidRDefault="00DB215C" w:rsidP="00DB215C">
            <w:pPr>
              <w:ind w:left="170"/>
              <w:rPr>
                <w:rFonts w:eastAsia="Calibri"/>
                <w:bCs/>
                <w:sz w:val="18"/>
                <w:szCs w:val="18"/>
                <w:lang w:eastAsia="en-US"/>
              </w:rPr>
            </w:pPr>
            <w:r w:rsidRPr="00DB215C">
              <w:rPr>
                <w:rFonts w:eastAsia="Calibri"/>
                <w:bCs/>
                <w:sz w:val="18"/>
                <w:szCs w:val="18"/>
                <w:lang w:eastAsia="en-US"/>
              </w:rPr>
              <w:t>ABCD</w:t>
            </w:r>
          </w:p>
        </w:tc>
        <w:tc>
          <w:tcPr>
            <w:tcW w:w="1134" w:type="dxa"/>
            <w:tcBorders>
              <w:left w:val="single" w:sz="4" w:space="0" w:color="auto"/>
              <w:right w:val="single" w:sz="4" w:space="0" w:color="auto"/>
            </w:tcBorders>
            <w:shd w:val="clear" w:color="auto" w:fill="auto"/>
            <w:vAlign w:val="bottom"/>
          </w:tcPr>
          <w:p w14:paraId="2410B03A"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0.00</w:t>
            </w:r>
          </w:p>
        </w:tc>
        <w:tc>
          <w:tcPr>
            <w:tcW w:w="1276" w:type="dxa"/>
            <w:tcBorders>
              <w:top w:val="nil"/>
              <w:left w:val="single" w:sz="4" w:space="0" w:color="auto"/>
              <w:bottom w:val="nil"/>
              <w:right w:val="single" w:sz="4" w:space="0" w:color="auto"/>
            </w:tcBorders>
            <w:shd w:val="clear" w:color="auto" w:fill="auto"/>
            <w:vAlign w:val="bottom"/>
          </w:tcPr>
          <w:p w14:paraId="2F4563FC"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0.00</w:t>
            </w:r>
          </w:p>
        </w:tc>
        <w:tc>
          <w:tcPr>
            <w:tcW w:w="1276" w:type="dxa"/>
            <w:tcBorders>
              <w:left w:val="single" w:sz="4" w:space="0" w:color="auto"/>
              <w:right w:val="single" w:sz="4" w:space="0" w:color="auto"/>
            </w:tcBorders>
            <w:shd w:val="clear" w:color="auto" w:fill="auto"/>
            <w:vAlign w:val="bottom"/>
          </w:tcPr>
          <w:p w14:paraId="141975E5"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0.00</w:t>
            </w:r>
          </w:p>
        </w:tc>
        <w:tc>
          <w:tcPr>
            <w:tcW w:w="1134" w:type="dxa"/>
            <w:tcBorders>
              <w:top w:val="nil"/>
              <w:left w:val="single" w:sz="4" w:space="0" w:color="auto"/>
              <w:bottom w:val="nil"/>
              <w:right w:val="single" w:sz="4" w:space="0" w:color="auto"/>
            </w:tcBorders>
            <w:shd w:val="clear" w:color="auto" w:fill="auto"/>
            <w:vAlign w:val="bottom"/>
          </w:tcPr>
          <w:p w14:paraId="2FCC8046"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0.00</w:t>
            </w:r>
          </w:p>
        </w:tc>
        <w:tc>
          <w:tcPr>
            <w:tcW w:w="1194" w:type="dxa"/>
            <w:tcBorders>
              <w:top w:val="nil"/>
              <w:left w:val="single" w:sz="4" w:space="0" w:color="auto"/>
              <w:bottom w:val="nil"/>
              <w:right w:val="single" w:sz="4" w:space="0" w:color="auto"/>
            </w:tcBorders>
            <w:shd w:val="clear" w:color="auto" w:fill="auto"/>
            <w:vAlign w:val="bottom"/>
          </w:tcPr>
          <w:p w14:paraId="5361CC1B" w14:textId="77777777" w:rsidR="00DB215C" w:rsidRPr="00DB215C" w:rsidRDefault="00DB215C" w:rsidP="00DB215C">
            <w:pPr>
              <w:ind w:right="170"/>
              <w:jc w:val="right"/>
              <w:rPr>
                <w:rFonts w:eastAsia="Calibri"/>
                <w:bCs/>
                <w:sz w:val="18"/>
                <w:szCs w:val="18"/>
                <w:lang w:eastAsia="en-US"/>
              </w:rPr>
            </w:pPr>
            <w:r w:rsidRPr="00DB215C">
              <w:rPr>
                <w:rFonts w:eastAsia="Calibri"/>
                <w:bCs/>
                <w:sz w:val="18"/>
                <w:szCs w:val="18"/>
                <w:lang w:eastAsia="en-US"/>
              </w:rPr>
              <w:t>0.00</w:t>
            </w:r>
          </w:p>
        </w:tc>
      </w:tr>
      <w:tr w:rsidR="00DB215C" w:rsidRPr="00DB215C" w14:paraId="70209F04" w14:textId="77777777" w:rsidTr="00DB215C">
        <w:trPr>
          <w:trHeight w:val="91"/>
          <w:jc w:val="center"/>
        </w:trPr>
        <w:tc>
          <w:tcPr>
            <w:tcW w:w="2846" w:type="dxa"/>
            <w:tcBorders>
              <w:top w:val="nil"/>
              <w:left w:val="single" w:sz="4" w:space="0" w:color="auto"/>
              <w:bottom w:val="nil"/>
              <w:right w:val="single" w:sz="4" w:space="0" w:color="auto"/>
            </w:tcBorders>
            <w:shd w:val="clear" w:color="auto" w:fill="auto"/>
            <w:vAlign w:val="center"/>
          </w:tcPr>
          <w:p w14:paraId="5013E157" w14:textId="77777777" w:rsidR="00DB215C" w:rsidRPr="00DB215C" w:rsidRDefault="00DB215C" w:rsidP="00DB215C">
            <w:pPr>
              <w:ind w:left="340"/>
              <w:rPr>
                <w:rFonts w:eastAsia="Calibri"/>
                <w:bCs/>
                <w:sz w:val="18"/>
                <w:szCs w:val="18"/>
                <w:lang w:eastAsia="en-US"/>
              </w:rPr>
            </w:pPr>
            <w:r w:rsidRPr="00DB215C">
              <w:rPr>
                <w:rFonts w:eastAsia="Calibri"/>
                <w:bCs/>
                <w:sz w:val="18"/>
                <w:szCs w:val="18"/>
                <w:lang w:eastAsia="en-US"/>
              </w:rPr>
              <w:t>Automotriz</w:t>
            </w:r>
          </w:p>
        </w:tc>
        <w:tc>
          <w:tcPr>
            <w:tcW w:w="1134" w:type="dxa"/>
            <w:tcBorders>
              <w:left w:val="single" w:sz="4" w:space="0" w:color="auto"/>
              <w:right w:val="single" w:sz="4" w:space="0" w:color="auto"/>
            </w:tcBorders>
            <w:shd w:val="clear" w:color="auto" w:fill="auto"/>
            <w:vAlign w:val="bottom"/>
          </w:tcPr>
          <w:p w14:paraId="25B8A9BD"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196.64</w:t>
            </w:r>
          </w:p>
        </w:tc>
        <w:tc>
          <w:tcPr>
            <w:tcW w:w="1276" w:type="dxa"/>
            <w:tcBorders>
              <w:top w:val="nil"/>
              <w:left w:val="single" w:sz="4" w:space="0" w:color="auto"/>
              <w:bottom w:val="nil"/>
              <w:right w:val="single" w:sz="4" w:space="0" w:color="auto"/>
            </w:tcBorders>
            <w:shd w:val="clear" w:color="auto" w:fill="auto"/>
            <w:vAlign w:val="bottom"/>
          </w:tcPr>
          <w:p w14:paraId="3854770D"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214.03</w:t>
            </w:r>
          </w:p>
        </w:tc>
        <w:tc>
          <w:tcPr>
            <w:tcW w:w="1276" w:type="dxa"/>
            <w:tcBorders>
              <w:left w:val="single" w:sz="4" w:space="0" w:color="auto"/>
              <w:right w:val="single" w:sz="4" w:space="0" w:color="auto"/>
            </w:tcBorders>
            <w:shd w:val="clear" w:color="auto" w:fill="auto"/>
            <w:vAlign w:val="bottom"/>
          </w:tcPr>
          <w:p w14:paraId="1B67FAD4"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223.60</w:t>
            </w:r>
          </w:p>
        </w:tc>
        <w:tc>
          <w:tcPr>
            <w:tcW w:w="1134" w:type="dxa"/>
            <w:tcBorders>
              <w:top w:val="nil"/>
              <w:left w:val="single" w:sz="4" w:space="0" w:color="auto"/>
              <w:bottom w:val="nil"/>
              <w:right w:val="single" w:sz="4" w:space="0" w:color="auto"/>
            </w:tcBorders>
            <w:shd w:val="clear" w:color="auto" w:fill="auto"/>
            <w:vAlign w:val="bottom"/>
          </w:tcPr>
          <w:p w14:paraId="7F0E46F7"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26.96</w:t>
            </w:r>
          </w:p>
        </w:tc>
        <w:tc>
          <w:tcPr>
            <w:tcW w:w="1194" w:type="dxa"/>
            <w:tcBorders>
              <w:top w:val="nil"/>
              <w:left w:val="single" w:sz="4" w:space="0" w:color="auto"/>
              <w:bottom w:val="nil"/>
              <w:right w:val="single" w:sz="4" w:space="0" w:color="auto"/>
            </w:tcBorders>
            <w:shd w:val="clear" w:color="auto" w:fill="auto"/>
            <w:vAlign w:val="bottom"/>
          </w:tcPr>
          <w:p w14:paraId="61C57B86" w14:textId="77777777" w:rsidR="00DB215C" w:rsidRPr="00DB215C" w:rsidRDefault="00DB215C" w:rsidP="00DB215C">
            <w:pPr>
              <w:ind w:right="170"/>
              <w:jc w:val="right"/>
              <w:rPr>
                <w:rFonts w:eastAsia="Calibri"/>
                <w:bCs/>
                <w:sz w:val="18"/>
                <w:szCs w:val="18"/>
                <w:lang w:eastAsia="en-US"/>
              </w:rPr>
            </w:pPr>
            <w:r w:rsidRPr="00DB215C">
              <w:rPr>
                <w:rFonts w:eastAsia="Calibri"/>
                <w:bCs/>
                <w:sz w:val="18"/>
                <w:szCs w:val="18"/>
                <w:lang w:eastAsia="en-US"/>
              </w:rPr>
              <w:t>9.57</w:t>
            </w:r>
          </w:p>
        </w:tc>
      </w:tr>
      <w:tr w:rsidR="00DB215C" w:rsidRPr="00DB215C" w14:paraId="1ABF2C98" w14:textId="77777777" w:rsidTr="00DB215C">
        <w:trPr>
          <w:trHeight w:val="52"/>
          <w:jc w:val="center"/>
        </w:trPr>
        <w:tc>
          <w:tcPr>
            <w:tcW w:w="2846" w:type="dxa"/>
            <w:tcBorders>
              <w:top w:val="nil"/>
              <w:left w:val="single" w:sz="4" w:space="0" w:color="auto"/>
              <w:bottom w:val="nil"/>
              <w:right w:val="single" w:sz="4" w:space="0" w:color="auto"/>
            </w:tcBorders>
            <w:shd w:val="clear" w:color="auto" w:fill="auto"/>
            <w:vAlign w:val="center"/>
          </w:tcPr>
          <w:p w14:paraId="2E814667" w14:textId="77777777" w:rsidR="00DB215C" w:rsidRPr="00DB215C" w:rsidRDefault="00DB215C" w:rsidP="00DB215C">
            <w:pPr>
              <w:ind w:left="340"/>
              <w:rPr>
                <w:rFonts w:eastAsia="Calibri"/>
                <w:bCs/>
                <w:sz w:val="18"/>
                <w:szCs w:val="18"/>
                <w:lang w:eastAsia="en-US"/>
              </w:rPr>
            </w:pPr>
            <w:r w:rsidRPr="00DB215C">
              <w:rPr>
                <w:rFonts w:eastAsia="Calibri"/>
                <w:bCs/>
                <w:sz w:val="18"/>
                <w:szCs w:val="18"/>
                <w:lang w:eastAsia="en-US"/>
              </w:rPr>
              <w:t>Adquisición de bienes muebles</w:t>
            </w:r>
          </w:p>
        </w:tc>
        <w:tc>
          <w:tcPr>
            <w:tcW w:w="1134" w:type="dxa"/>
            <w:tcBorders>
              <w:left w:val="single" w:sz="4" w:space="0" w:color="auto"/>
              <w:right w:val="single" w:sz="4" w:space="0" w:color="auto"/>
            </w:tcBorders>
            <w:shd w:val="clear" w:color="auto" w:fill="auto"/>
            <w:vAlign w:val="bottom"/>
          </w:tcPr>
          <w:p w14:paraId="3076B144"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74.70</w:t>
            </w:r>
          </w:p>
        </w:tc>
        <w:tc>
          <w:tcPr>
            <w:tcW w:w="1276" w:type="dxa"/>
            <w:tcBorders>
              <w:top w:val="nil"/>
              <w:left w:val="single" w:sz="4" w:space="0" w:color="auto"/>
              <w:bottom w:val="nil"/>
              <w:right w:val="single" w:sz="4" w:space="0" w:color="auto"/>
            </w:tcBorders>
            <w:shd w:val="clear" w:color="auto" w:fill="auto"/>
            <w:vAlign w:val="bottom"/>
          </w:tcPr>
          <w:p w14:paraId="547B3AFE"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94.23</w:t>
            </w:r>
          </w:p>
        </w:tc>
        <w:tc>
          <w:tcPr>
            <w:tcW w:w="1276" w:type="dxa"/>
            <w:tcBorders>
              <w:left w:val="single" w:sz="4" w:space="0" w:color="auto"/>
              <w:right w:val="single" w:sz="4" w:space="0" w:color="auto"/>
            </w:tcBorders>
            <w:shd w:val="clear" w:color="auto" w:fill="auto"/>
            <w:vAlign w:val="bottom"/>
          </w:tcPr>
          <w:p w14:paraId="16931272"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94.62</w:t>
            </w:r>
          </w:p>
        </w:tc>
        <w:tc>
          <w:tcPr>
            <w:tcW w:w="1134" w:type="dxa"/>
            <w:tcBorders>
              <w:top w:val="nil"/>
              <w:left w:val="single" w:sz="4" w:space="0" w:color="auto"/>
              <w:bottom w:val="nil"/>
              <w:right w:val="single" w:sz="4" w:space="0" w:color="auto"/>
            </w:tcBorders>
            <w:shd w:val="clear" w:color="auto" w:fill="auto"/>
            <w:vAlign w:val="bottom"/>
          </w:tcPr>
          <w:p w14:paraId="23374FAC"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19.91</w:t>
            </w:r>
          </w:p>
        </w:tc>
        <w:tc>
          <w:tcPr>
            <w:tcW w:w="1194" w:type="dxa"/>
            <w:tcBorders>
              <w:top w:val="nil"/>
              <w:left w:val="single" w:sz="4" w:space="0" w:color="auto"/>
              <w:bottom w:val="nil"/>
              <w:right w:val="single" w:sz="4" w:space="0" w:color="auto"/>
            </w:tcBorders>
            <w:shd w:val="clear" w:color="auto" w:fill="auto"/>
            <w:vAlign w:val="bottom"/>
          </w:tcPr>
          <w:p w14:paraId="1BF82C10" w14:textId="77777777" w:rsidR="00DB215C" w:rsidRPr="00DB215C" w:rsidRDefault="00DB215C" w:rsidP="00DB215C">
            <w:pPr>
              <w:ind w:right="170"/>
              <w:jc w:val="right"/>
              <w:rPr>
                <w:rFonts w:eastAsia="Calibri"/>
                <w:bCs/>
                <w:sz w:val="18"/>
                <w:szCs w:val="18"/>
                <w:lang w:eastAsia="en-US"/>
              </w:rPr>
            </w:pPr>
            <w:r w:rsidRPr="00DB215C">
              <w:rPr>
                <w:rFonts w:eastAsia="Calibri"/>
                <w:bCs/>
                <w:sz w:val="18"/>
                <w:szCs w:val="18"/>
                <w:lang w:eastAsia="en-US"/>
              </w:rPr>
              <w:t>0.38</w:t>
            </w:r>
          </w:p>
        </w:tc>
      </w:tr>
      <w:tr w:rsidR="00DB215C" w:rsidRPr="00DB215C" w14:paraId="3239D590" w14:textId="77777777" w:rsidTr="00DB215C">
        <w:trPr>
          <w:trHeight w:val="271"/>
          <w:jc w:val="center"/>
        </w:trPr>
        <w:tc>
          <w:tcPr>
            <w:tcW w:w="2846" w:type="dxa"/>
            <w:tcBorders>
              <w:top w:val="nil"/>
              <w:left w:val="single" w:sz="4" w:space="0" w:color="auto"/>
              <w:bottom w:val="nil"/>
              <w:right w:val="single" w:sz="4" w:space="0" w:color="auto"/>
            </w:tcBorders>
            <w:shd w:val="clear" w:color="auto" w:fill="auto"/>
            <w:vAlign w:val="center"/>
          </w:tcPr>
          <w:p w14:paraId="331E8156" w14:textId="77777777" w:rsidR="00DB215C" w:rsidRPr="00DB215C" w:rsidRDefault="00DB215C" w:rsidP="00DB215C">
            <w:pPr>
              <w:ind w:left="170"/>
              <w:rPr>
                <w:rFonts w:eastAsia="Calibri"/>
                <w:bCs/>
                <w:sz w:val="18"/>
                <w:szCs w:val="18"/>
                <w:lang w:eastAsia="en-US"/>
              </w:rPr>
            </w:pPr>
            <w:r w:rsidRPr="00DB215C">
              <w:rPr>
                <w:rFonts w:eastAsia="Calibri"/>
                <w:bCs/>
                <w:sz w:val="18"/>
                <w:szCs w:val="18"/>
                <w:lang w:eastAsia="en-US"/>
              </w:rPr>
              <w:t>Operaciones de arrendamiento capitalizable</w:t>
            </w:r>
          </w:p>
        </w:tc>
        <w:tc>
          <w:tcPr>
            <w:tcW w:w="1134" w:type="dxa"/>
            <w:tcBorders>
              <w:left w:val="single" w:sz="4" w:space="0" w:color="auto"/>
              <w:right w:val="single" w:sz="4" w:space="0" w:color="auto"/>
            </w:tcBorders>
            <w:shd w:val="clear" w:color="auto" w:fill="auto"/>
            <w:vAlign w:val="bottom"/>
          </w:tcPr>
          <w:p w14:paraId="345489F9"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59.84</w:t>
            </w:r>
          </w:p>
        </w:tc>
        <w:tc>
          <w:tcPr>
            <w:tcW w:w="1276" w:type="dxa"/>
            <w:tcBorders>
              <w:top w:val="nil"/>
              <w:left w:val="single" w:sz="4" w:space="0" w:color="auto"/>
              <w:bottom w:val="nil"/>
              <w:right w:val="single" w:sz="4" w:space="0" w:color="auto"/>
            </w:tcBorders>
            <w:shd w:val="clear" w:color="auto" w:fill="auto"/>
            <w:vAlign w:val="bottom"/>
          </w:tcPr>
          <w:p w14:paraId="2A3DE51C"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56.70</w:t>
            </w:r>
          </w:p>
        </w:tc>
        <w:tc>
          <w:tcPr>
            <w:tcW w:w="1276" w:type="dxa"/>
            <w:tcBorders>
              <w:left w:val="single" w:sz="4" w:space="0" w:color="auto"/>
              <w:right w:val="single" w:sz="4" w:space="0" w:color="auto"/>
            </w:tcBorders>
            <w:shd w:val="clear" w:color="auto" w:fill="auto"/>
            <w:vAlign w:val="bottom"/>
          </w:tcPr>
          <w:p w14:paraId="238B19DF"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55.64</w:t>
            </w:r>
          </w:p>
        </w:tc>
        <w:tc>
          <w:tcPr>
            <w:tcW w:w="1134" w:type="dxa"/>
            <w:tcBorders>
              <w:top w:val="nil"/>
              <w:left w:val="single" w:sz="4" w:space="0" w:color="auto"/>
              <w:bottom w:val="nil"/>
              <w:right w:val="single" w:sz="4" w:space="0" w:color="auto"/>
            </w:tcBorders>
            <w:shd w:val="clear" w:color="auto" w:fill="auto"/>
            <w:vAlign w:val="bottom"/>
          </w:tcPr>
          <w:p w14:paraId="2A6C4A6B"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-4.20</w:t>
            </w:r>
          </w:p>
        </w:tc>
        <w:tc>
          <w:tcPr>
            <w:tcW w:w="1194" w:type="dxa"/>
            <w:tcBorders>
              <w:top w:val="nil"/>
              <w:left w:val="single" w:sz="4" w:space="0" w:color="auto"/>
              <w:bottom w:val="nil"/>
              <w:right w:val="single" w:sz="4" w:space="0" w:color="auto"/>
            </w:tcBorders>
            <w:shd w:val="clear" w:color="auto" w:fill="auto"/>
            <w:vAlign w:val="bottom"/>
          </w:tcPr>
          <w:p w14:paraId="176FAC83" w14:textId="77777777" w:rsidR="00DB215C" w:rsidRPr="00DB215C" w:rsidRDefault="00DB215C" w:rsidP="00DB215C">
            <w:pPr>
              <w:ind w:right="170"/>
              <w:jc w:val="right"/>
              <w:rPr>
                <w:rFonts w:eastAsia="Calibri"/>
                <w:bCs/>
                <w:sz w:val="18"/>
                <w:szCs w:val="18"/>
                <w:lang w:eastAsia="en-US"/>
              </w:rPr>
            </w:pPr>
            <w:r w:rsidRPr="00DB215C">
              <w:rPr>
                <w:rFonts w:eastAsia="Calibri"/>
                <w:bCs/>
                <w:sz w:val="18"/>
                <w:szCs w:val="18"/>
                <w:lang w:eastAsia="en-US"/>
              </w:rPr>
              <w:t>-1.06</w:t>
            </w:r>
          </w:p>
        </w:tc>
      </w:tr>
      <w:tr w:rsidR="00DB215C" w:rsidRPr="00DB215C" w14:paraId="2FFFF18F" w14:textId="77777777" w:rsidTr="00DB215C">
        <w:trPr>
          <w:trHeight w:val="271"/>
          <w:jc w:val="center"/>
        </w:trPr>
        <w:tc>
          <w:tcPr>
            <w:tcW w:w="2846" w:type="dxa"/>
            <w:tcBorders>
              <w:top w:val="nil"/>
              <w:left w:val="single" w:sz="4" w:space="0" w:color="auto"/>
              <w:bottom w:val="nil"/>
              <w:right w:val="single" w:sz="4" w:space="0" w:color="auto"/>
            </w:tcBorders>
            <w:shd w:val="clear" w:color="auto" w:fill="auto"/>
            <w:vAlign w:val="center"/>
          </w:tcPr>
          <w:p w14:paraId="6FC2C316" w14:textId="77777777" w:rsidR="00DB215C" w:rsidRPr="00DB215C" w:rsidRDefault="00DB215C" w:rsidP="00DB215C">
            <w:pPr>
              <w:spacing w:after="120"/>
              <w:ind w:left="170"/>
              <w:rPr>
                <w:rFonts w:eastAsia="Calibri"/>
                <w:bCs/>
                <w:sz w:val="18"/>
                <w:szCs w:val="18"/>
                <w:lang w:eastAsia="en-US"/>
              </w:rPr>
            </w:pPr>
            <w:r w:rsidRPr="00DB215C">
              <w:rPr>
                <w:rFonts w:eastAsia="Calibri"/>
                <w:bCs/>
                <w:sz w:val="18"/>
                <w:szCs w:val="18"/>
                <w:lang w:eastAsia="en-US"/>
              </w:rPr>
              <w:t>Otros créditos de consumo</w:t>
            </w:r>
          </w:p>
        </w:tc>
        <w:tc>
          <w:tcPr>
            <w:tcW w:w="1134" w:type="dxa"/>
            <w:tcBorders>
              <w:left w:val="single" w:sz="4" w:space="0" w:color="auto"/>
              <w:right w:val="single" w:sz="4" w:space="0" w:color="auto"/>
            </w:tcBorders>
            <w:shd w:val="clear" w:color="auto" w:fill="auto"/>
            <w:vAlign w:val="bottom"/>
          </w:tcPr>
          <w:p w14:paraId="1DC311AA" w14:textId="77777777" w:rsidR="00DB215C" w:rsidRPr="00DB215C" w:rsidRDefault="00DB215C" w:rsidP="00DB215C">
            <w:pPr>
              <w:spacing w:after="120"/>
              <w:ind w:right="170"/>
              <w:jc w:val="right"/>
              <w:rPr>
                <w:rFonts w:eastAsia="Calibri"/>
                <w:sz w:val="18"/>
                <w:szCs w:val="18"/>
                <w:lang w:eastAsia="en-US"/>
              </w:rPr>
            </w:pPr>
            <w:r w:rsidRPr="00DB215C">
              <w:rPr>
                <w:rFonts w:eastAsia="Calibri"/>
                <w:sz w:val="18"/>
                <w:szCs w:val="18"/>
                <w:lang w:eastAsia="en-US"/>
              </w:rPr>
              <w:t>93.63</w:t>
            </w:r>
          </w:p>
        </w:tc>
        <w:tc>
          <w:tcPr>
            <w:tcW w:w="1276" w:type="dxa"/>
            <w:tcBorders>
              <w:top w:val="nil"/>
              <w:left w:val="single" w:sz="4" w:space="0" w:color="auto"/>
              <w:bottom w:val="nil"/>
              <w:right w:val="single" w:sz="4" w:space="0" w:color="auto"/>
            </w:tcBorders>
            <w:shd w:val="clear" w:color="auto" w:fill="auto"/>
            <w:vAlign w:val="bottom"/>
          </w:tcPr>
          <w:p w14:paraId="5F89652C" w14:textId="77777777" w:rsidR="00DB215C" w:rsidRPr="00DB215C" w:rsidRDefault="00DB215C" w:rsidP="00DB215C">
            <w:pPr>
              <w:spacing w:after="120"/>
              <w:ind w:right="170"/>
              <w:jc w:val="right"/>
              <w:rPr>
                <w:rFonts w:eastAsia="Calibri"/>
                <w:sz w:val="18"/>
                <w:szCs w:val="18"/>
                <w:lang w:eastAsia="en-US"/>
              </w:rPr>
            </w:pPr>
            <w:r w:rsidRPr="00DB215C">
              <w:rPr>
                <w:rFonts w:eastAsia="Calibri"/>
                <w:sz w:val="18"/>
                <w:szCs w:val="18"/>
                <w:lang w:eastAsia="en-US"/>
              </w:rPr>
              <w:t>95.18</w:t>
            </w:r>
          </w:p>
        </w:tc>
        <w:tc>
          <w:tcPr>
            <w:tcW w:w="1276" w:type="dxa"/>
            <w:tcBorders>
              <w:left w:val="single" w:sz="4" w:space="0" w:color="auto"/>
              <w:right w:val="single" w:sz="4" w:space="0" w:color="auto"/>
            </w:tcBorders>
            <w:shd w:val="clear" w:color="auto" w:fill="auto"/>
            <w:vAlign w:val="bottom"/>
          </w:tcPr>
          <w:p w14:paraId="34FB2E97" w14:textId="77777777" w:rsidR="00DB215C" w:rsidRPr="00DB215C" w:rsidRDefault="00DB215C" w:rsidP="00DB215C">
            <w:pPr>
              <w:spacing w:after="120"/>
              <w:ind w:right="170"/>
              <w:jc w:val="right"/>
              <w:rPr>
                <w:rFonts w:eastAsia="Calibri"/>
                <w:sz w:val="18"/>
                <w:szCs w:val="18"/>
                <w:lang w:eastAsia="en-US"/>
              </w:rPr>
            </w:pPr>
            <w:r w:rsidRPr="00DB215C">
              <w:rPr>
                <w:rFonts w:eastAsia="Calibri"/>
                <w:sz w:val="18"/>
                <w:szCs w:val="18"/>
                <w:lang w:eastAsia="en-US"/>
              </w:rPr>
              <w:t>92.69</w:t>
            </w:r>
          </w:p>
        </w:tc>
        <w:tc>
          <w:tcPr>
            <w:tcW w:w="1134" w:type="dxa"/>
            <w:tcBorders>
              <w:top w:val="nil"/>
              <w:left w:val="single" w:sz="4" w:space="0" w:color="auto"/>
              <w:bottom w:val="nil"/>
              <w:right w:val="single" w:sz="4" w:space="0" w:color="auto"/>
            </w:tcBorders>
            <w:shd w:val="clear" w:color="auto" w:fill="auto"/>
            <w:vAlign w:val="bottom"/>
          </w:tcPr>
          <w:p w14:paraId="23371606" w14:textId="77777777" w:rsidR="00DB215C" w:rsidRPr="00DB215C" w:rsidRDefault="00DB215C" w:rsidP="00DB215C">
            <w:pPr>
              <w:spacing w:after="120"/>
              <w:ind w:right="170"/>
              <w:jc w:val="right"/>
              <w:rPr>
                <w:rFonts w:eastAsia="Calibri"/>
                <w:sz w:val="18"/>
                <w:szCs w:val="18"/>
                <w:lang w:eastAsia="en-US"/>
              </w:rPr>
            </w:pPr>
            <w:r w:rsidRPr="00DB215C">
              <w:rPr>
                <w:rFonts w:eastAsia="Calibri"/>
                <w:sz w:val="18"/>
                <w:szCs w:val="18"/>
                <w:lang w:eastAsia="en-US"/>
              </w:rPr>
              <w:t>-0.94</w:t>
            </w:r>
          </w:p>
        </w:tc>
        <w:tc>
          <w:tcPr>
            <w:tcW w:w="1194" w:type="dxa"/>
            <w:tcBorders>
              <w:top w:val="nil"/>
              <w:left w:val="single" w:sz="4" w:space="0" w:color="auto"/>
              <w:bottom w:val="nil"/>
              <w:right w:val="single" w:sz="4" w:space="0" w:color="auto"/>
            </w:tcBorders>
            <w:shd w:val="clear" w:color="auto" w:fill="auto"/>
            <w:vAlign w:val="bottom"/>
          </w:tcPr>
          <w:p w14:paraId="13549C61" w14:textId="77777777" w:rsidR="00DB215C" w:rsidRPr="00DB215C" w:rsidRDefault="00DB215C" w:rsidP="00DB215C">
            <w:pPr>
              <w:spacing w:after="120"/>
              <w:ind w:right="170"/>
              <w:jc w:val="right"/>
              <w:rPr>
                <w:rFonts w:eastAsia="Calibri"/>
                <w:bCs/>
                <w:sz w:val="18"/>
                <w:szCs w:val="18"/>
                <w:lang w:eastAsia="en-US"/>
              </w:rPr>
            </w:pPr>
            <w:r w:rsidRPr="00DB215C">
              <w:rPr>
                <w:rFonts w:eastAsia="Calibri"/>
                <w:bCs/>
                <w:sz w:val="18"/>
                <w:szCs w:val="18"/>
                <w:lang w:eastAsia="en-US"/>
              </w:rPr>
              <w:t>-2.49</w:t>
            </w:r>
          </w:p>
        </w:tc>
      </w:tr>
      <w:tr w:rsidR="00DB215C" w:rsidRPr="00DB215C" w14:paraId="0D16D27E" w14:textId="77777777" w:rsidTr="00DB215C">
        <w:trPr>
          <w:trHeight w:val="271"/>
          <w:jc w:val="center"/>
        </w:trPr>
        <w:tc>
          <w:tcPr>
            <w:tcW w:w="2846" w:type="dxa"/>
            <w:tcBorders>
              <w:top w:val="nil"/>
              <w:left w:val="single" w:sz="4" w:space="0" w:color="auto"/>
              <w:bottom w:val="nil"/>
              <w:right w:val="single" w:sz="4" w:space="0" w:color="auto"/>
            </w:tcBorders>
            <w:shd w:val="clear" w:color="auto" w:fill="auto"/>
            <w:vAlign w:val="center"/>
          </w:tcPr>
          <w:p w14:paraId="08E2B6E5" w14:textId="77777777" w:rsidR="00DB215C" w:rsidRPr="00DB215C" w:rsidRDefault="00DB215C" w:rsidP="00DB215C">
            <w:pPr>
              <w:rPr>
                <w:rFonts w:eastAsia="Calibri"/>
                <w:b/>
                <w:bCs/>
                <w:sz w:val="18"/>
                <w:szCs w:val="18"/>
                <w:lang w:eastAsia="en-US"/>
              </w:rPr>
            </w:pPr>
            <w:r w:rsidRPr="00DB215C">
              <w:rPr>
                <w:rFonts w:eastAsia="Calibri"/>
                <w:b/>
                <w:bCs/>
                <w:sz w:val="18"/>
                <w:szCs w:val="18"/>
                <w:lang w:eastAsia="en-US"/>
              </w:rPr>
              <w:t>Vivienda</w:t>
            </w:r>
          </w:p>
        </w:tc>
        <w:tc>
          <w:tcPr>
            <w:tcW w:w="1134" w:type="dxa"/>
            <w:tcBorders>
              <w:left w:val="single" w:sz="4" w:space="0" w:color="auto"/>
              <w:right w:val="single" w:sz="4" w:space="0" w:color="auto"/>
            </w:tcBorders>
            <w:shd w:val="clear" w:color="auto" w:fill="auto"/>
            <w:vAlign w:val="bottom"/>
          </w:tcPr>
          <w:p w14:paraId="7C8F2EA7" w14:textId="77777777" w:rsidR="00DB215C" w:rsidRPr="00DB215C" w:rsidRDefault="00DB215C" w:rsidP="00DB215C">
            <w:pPr>
              <w:ind w:right="170"/>
              <w:jc w:val="right"/>
              <w:rPr>
                <w:rFonts w:eastAsia="Calibri"/>
                <w:b/>
                <w:sz w:val="18"/>
                <w:szCs w:val="18"/>
                <w:lang w:eastAsia="en-US"/>
              </w:rPr>
            </w:pPr>
            <w:r w:rsidRPr="00DB215C">
              <w:rPr>
                <w:rFonts w:eastAsia="Calibri"/>
                <w:b/>
                <w:sz w:val="18"/>
                <w:szCs w:val="18"/>
                <w:lang w:eastAsia="en-US"/>
              </w:rPr>
              <w:t>50.55</w:t>
            </w:r>
          </w:p>
        </w:tc>
        <w:tc>
          <w:tcPr>
            <w:tcW w:w="1276" w:type="dxa"/>
            <w:tcBorders>
              <w:top w:val="nil"/>
              <w:left w:val="single" w:sz="4" w:space="0" w:color="auto"/>
              <w:bottom w:val="nil"/>
              <w:right w:val="single" w:sz="4" w:space="0" w:color="auto"/>
            </w:tcBorders>
            <w:shd w:val="clear" w:color="auto" w:fill="auto"/>
            <w:vAlign w:val="bottom"/>
          </w:tcPr>
          <w:p w14:paraId="1BFDB71A" w14:textId="77777777" w:rsidR="00DB215C" w:rsidRPr="00DB215C" w:rsidRDefault="00DB215C" w:rsidP="00DB215C">
            <w:pPr>
              <w:ind w:right="170"/>
              <w:jc w:val="right"/>
              <w:rPr>
                <w:rFonts w:eastAsia="Calibri"/>
                <w:b/>
                <w:sz w:val="18"/>
                <w:szCs w:val="18"/>
                <w:lang w:eastAsia="en-US"/>
              </w:rPr>
            </w:pPr>
            <w:r w:rsidRPr="00DB215C">
              <w:rPr>
                <w:rFonts w:eastAsia="Calibri"/>
                <w:b/>
                <w:sz w:val="18"/>
                <w:szCs w:val="18"/>
                <w:lang w:eastAsia="en-US"/>
              </w:rPr>
              <w:t>43.41</w:t>
            </w:r>
          </w:p>
        </w:tc>
        <w:tc>
          <w:tcPr>
            <w:tcW w:w="1276" w:type="dxa"/>
            <w:tcBorders>
              <w:left w:val="single" w:sz="4" w:space="0" w:color="auto"/>
              <w:right w:val="single" w:sz="4" w:space="0" w:color="auto"/>
            </w:tcBorders>
            <w:shd w:val="clear" w:color="auto" w:fill="auto"/>
            <w:vAlign w:val="bottom"/>
          </w:tcPr>
          <w:p w14:paraId="6F6632CA" w14:textId="77777777" w:rsidR="00DB215C" w:rsidRPr="00DB215C" w:rsidRDefault="00DB215C" w:rsidP="00DB215C">
            <w:pPr>
              <w:ind w:right="170"/>
              <w:jc w:val="right"/>
              <w:rPr>
                <w:rFonts w:eastAsia="Calibri"/>
                <w:b/>
                <w:sz w:val="18"/>
                <w:szCs w:val="18"/>
                <w:lang w:eastAsia="en-US"/>
              </w:rPr>
            </w:pPr>
            <w:r w:rsidRPr="00DB215C">
              <w:rPr>
                <w:rFonts w:eastAsia="Calibri"/>
                <w:b/>
                <w:sz w:val="18"/>
                <w:szCs w:val="18"/>
                <w:lang w:eastAsia="en-US"/>
              </w:rPr>
              <w:t>45.53</w:t>
            </w:r>
          </w:p>
        </w:tc>
        <w:tc>
          <w:tcPr>
            <w:tcW w:w="1134" w:type="dxa"/>
            <w:tcBorders>
              <w:top w:val="nil"/>
              <w:left w:val="single" w:sz="4" w:space="0" w:color="auto"/>
              <w:bottom w:val="nil"/>
              <w:right w:val="single" w:sz="4" w:space="0" w:color="auto"/>
            </w:tcBorders>
            <w:shd w:val="clear" w:color="auto" w:fill="auto"/>
            <w:vAlign w:val="bottom"/>
          </w:tcPr>
          <w:p w14:paraId="3EB76120" w14:textId="77777777" w:rsidR="00DB215C" w:rsidRPr="00DB215C" w:rsidRDefault="00DB215C" w:rsidP="00DB215C">
            <w:pPr>
              <w:ind w:right="170"/>
              <w:jc w:val="right"/>
              <w:rPr>
                <w:rFonts w:eastAsia="Calibri"/>
                <w:b/>
                <w:sz w:val="18"/>
                <w:szCs w:val="18"/>
                <w:lang w:eastAsia="en-US"/>
              </w:rPr>
            </w:pPr>
            <w:r w:rsidRPr="00DB215C">
              <w:rPr>
                <w:rFonts w:eastAsia="Calibri"/>
                <w:b/>
                <w:sz w:val="18"/>
                <w:szCs w:val="18"/>
                <w:lang w:eastAsia="en-US"/>
              </w:rPr>
              <w:t>-5.02</w:t>
            </w:r>
          </w:p>
        </w:tc>
        <w:tc>
          <w:tcPr>
            <w:tcW w:w="1194" w:type="dxa"/>
            <w:tcBorders>
              <w:top w:val="nil"/>
              <w:left w:val="single" w:sz="4" w:space="0" w:color="auto"/>
              <w:bottom w:val="nil"/>
              <w:right w:val="single" w:sz="4" w:space="0" w:color="auto"/>
            </w:tcBorders>
            <w:shd w:val="clear" w:color="auto" w:fill="auto"/>
            <w:vAlign w:val="bottom"/>
          </w:tcPr>
          <w:p w14:paraId="1C15D847" w14:textId="77777777" w:rsidR="00DB215C" w:rsidRPr="00DB215C" w:rsidRDefault="00DB215C" w:rsidP="00DB215C">
            <w:pPr>
              <w:ind w:right="170"/>
              <w:jc w:val="right"/>
              <w:rPr>
                <w:rFonts w:eastAsia="Calibri"/>
                <w:b/>
                <w:bCs/>
                <w:sz w:val="18"/>
                <w:szCs w:val="18"/>
                <w:lang w:eastAsia="en-US"/>
              </w:rPr>
            </w:pPr>
            <w:r w:rsidRPr="00DB215C">
              <w:rPr>
                <w:rFonts w:eastAsia="Calibri"/>
                <w:b/>
                <w:bCs/>
                <w:sz w:val="18"/>
                <w:szCs w:val="18"/>
                <w:lang w:eastAsia="en-US"/>
              </w:rPr>
              <w:t>2.13</w:t>
            </w:r>
          </w:p>
        </w:tc>
      </w:tr>
      <w:tr w:rsidR="00DB215C" w:rsidRPr="00DB215C" w14:paraId="4533D4F6" w14:textId="77777777" w:rsidTr="00DB215C">
        <w:trPr>
          <w:trHeight w:val="82"/>
          <w:jc w:val="center"/>
        </w:trPr>
        <w:tc>
          <w:tcPr>
            <w:tcW w:w="2846" w:type="dxa"/>
            <w:tcBorders>
              <w:top w:val="nil"/>
              <w:left w:val="single" w:sz="4" w:space="0" w:color="auto"/>
              <w:bottom w:val="nil"/>
              <w:right w:val="single" w:sz="4" w:space="0" w:color="auto"/>
            </w:tcBorders>
            <w:shd w:val="clear" w:color="auto" w:fill="auto"/>
            <w:vAlign w:val="center"/>
          </w:tcPr>
          <w:p w14:paraId="3F95F62D" w14:textId="77777777" w:rsidR="00DB215C" w:rsidRPr="00DB215C" w:rsidRDefault="00DB215C" w:rsidP="00DB215C">
            <w:pPr>
              <w:ind w:left="170"/>
              <w:rPr>
                <w:rFonts w:eastAsia="Calibri"/>
                <w:bCs/>
                <w:sz w:val="18"/>
                <w:szCs w:val="18"/>
                <w:lang w:eastAsia="en-US"/>
              </w:rPr>
            </w:pPr>
            <w:r w:rsidRPr="00DB215C">
              <w:rPr>
                <w:rFonts w:eastAsia="Calibri"/>
                <w:bCs/>
                <w:sz w:val="18"/>
                <w:szCs w:val="18"/>
                <w:lang w:eastAsia="en-US"/>
              </w:rPr>
              <w:t>Media y residencial</w:t>
            </w:r>
          </w:p>
        </w:tc>
        <w:tc>
          <w:tcPr>
            <w:tcW w:w="1134" w:type="dxa"/>
            <w:tcBorders>
              <w:left w:val="single" w:sz="4" w:space="0" w:color="auto"/>
              <w:right w:val="single" w:sz="4" w:space="0" w:color="auto"/>
            </w:tcBorders>
            <w:shd w:val="clear" w:color="auto" w:fill="auto"/>
            <w:vAlign w:val="bottom"/>
          </w:tcPr>
          <w:p w14:paraId="77120458"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45.33</w:t>
            </w:r>
          </w:p>
        </w:tc>
        <w:tc>
          <w:tcPr>
            <w:tcW w:w="1276" w:type="dxa"/>
            <w:tcBorders>
              <w:top w:val="nil"/>
              <w:left w:val="single" w:sz="4" w:space="0" w:color="auto"/>
              <w:bottom w:val="nil"/>
              <w:right w:val="single" w:sz="4" w:space="0" w:color="auto"/>
            </w:tcBorders>
            <w:shd w:val="clear" w:color="auto" w:fill="auto"/>
            <w:vAlign w:val="bottom"/>
          </w:tcPr>
          <w:p w14:paraId="093DA8AC"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40.68</w:t>
            </w:r>
          </w:p>
        </w:tc>
        <w:tc>
          <w:tcPr>
            <w:tcW w:w="1276" w:type="dxa"/>
            <w:tcBorders>
              <w:left w:val="single" w:sz="4" w:space="0" w:color="auto"/>
              <w:right w:val="single" w:sz="4" w:space="0" w:color="auto"/>
            </w:tcBorders>
            <w:shd w:val="clear" w:color="auto" w:fill="auto"/>
            <w:vAlign w:val="bottom"/>
          </w:tcPr>
          <w:p w14:paraId="1D7C75F9"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42.25</w:t>
            </w:r>
          </w:p>
        </w:tc>
        <w:tc>
          <w:tcPr>
            <w:tcW w:w="1134" w:type="dxa"/>
            <w:tcBorders>
              <w:top w:val="nil"/>
              <w:left w:val="single" w:sz="4" w:space="0" w:color="auto"/>
              <w:bottom w:val="nil"/>
              <w:right w:val="single" w:sz="4" w:space="0" w:color="auto"/>
            </w:tcBorders>
            <w:shd w:val="clear" w:color="auto" w:fill="auto"/>
            <w:vAlign w:val="bottom"/>
          </w:tcPr>
          <w:p w14:paraId="4AC6A0BB" w14:textId="77777777" w:rsidR="00DB215C" w:rsidRPr="00DB215C" w:rsidRDefault="00DB215C" w:rsidP="00DB215C">
            <w:pPr>
              <w:ind w:right="170"/>
              <w:jc w:val="right"/>
              <w:rPr>
                <w:rFonts w:eastAsia="Calibri"/>
                <w:sz w:val="18"/>
                <w:szCs w:val="18"/>
                <w:lang w:eastAsia="en-US"/>
              </w:rPr>
            </w:pPr>
            <w:r w:rsidRPr="00DB215C">
              <w:rPr>
                <w:rFonts w:eastAsia="Calibri"/>
                <w:sz w:val="18"/>
                <w:szCs w:val="18"/>
                <w:lang w:eastAsia="en-US"/>
              </w:rPr>
              <w:t>-3.08</w:t>
            </w:r>
          </w:p>
        </w:tc>
        <w:tc>
          <w:tcPr>
            <w:tcW w:w="1194" w:type="dxa"/>
            <w:tcBorders>
              <w:top w:val="nil"/>
              <w:left w:val="single" w:sz="4" w:space="0" w:color="auto"/>
              <w:bottom w:val="nil"/>
              <w:right w:val="single" w:sz="4" w:space="0" w:color="auto"/>
            </w:tcBorders>
            <w:shd w:val="clear" w:color="auto" w:fill="auto"/>
            <w:vAlign w:val="bottom"/>
          </w:tcPr>
          <w:p w14:paraId="41110684" w14:textId="77777777" w:rsidR="00DB215C" w:rsidRPr="00DB215C" w:rsidRDefault="00DB215C" w:rsidP="00DB215C">
            <w:pPr>
              <w:ind w:right="170"/>
              <w:jc w:val="right"/>
              <w:rPr>
                <w:rFonts w:eastAsia="Calibri"/>
                <w:bCs/>
                <w:sz w:val="18"/>
                <w:szCs w:val="18"/>
                <w:lang w:eastAsia="en-US"/>
              </w:rPr>
            </w:pPr>
            <w:r w:rsidRPr="00DB215C">
              <w:rPr>
                <w:rFonts w:eastAsia="Calibri"/>
                <w:bCs/>
                <w:sz w:val="18"/>
                <w:szCs w:val="18"/>
                <w:lang w:eastAsia="en-US"/>
              </w:rPr>
              <w:t>1.57</w:t>
            </w:r>
          </w:p>
        </w:tc>
      </w:tr>
      <w:tr w:rsidR="00DB215C" w:rsidRPr="00DB215C" w14:paraId="354B287E" w14:textId="77777777" w:rsidTr="00DB215C">
        <w:trPr>
          <w:trHeight w:val="156"/>
          <w:jc w:val="center"/>
        </w:trPr>
        <w:tc>
          <w:tcPr>
            <w:tcW w:w="2846" w:type="dxa"/>
            <w:tcBorders>
              <w:top w:val="nil"/>
              <w:left w:val="single" w:sz="4" w:space="0" w:color="auto"/>
              <w:bottom w:val="single" w:sz="4" w:space="0" w:color="auto"/>
              <w:right w:val="single" w:sz="4" w:space="0" w:color="auto"/>
            </w:tcBorders>
            <w:shd w:val="clear" w:color="auto" w:fill="auto"/>
            <w:vAlign w:val="center"/>
          </w:tcPr>
          <w:p w14:paraId="707DC77E" w14:textId="77777777" w:rsidR="00DB215C" w:rsidRPr="00DB215C" w:rsidRDefault="00DB215C" w:rsidP="00DB215C">
            <w:pPr>
              <w:spacing w:after="120"/>
              <w:ind w:left="170"/>
              <w:rPr>
                <w:rFonts w:eastAsia="Calibri"/>
                <w:bCs/>
                <w:sz w:val="18"/>
                <w:szCs w:val="18"/>
                <w:lang w:eastAsia="en-US"/>
              </w:rPr>
            </w:pPr>
            <w:r w:rsidRPr="00DB215C">
              <w:rPr>
                <w:rFonts w:eastAsia="Calibri"/>
                <w:bCs/>
                <w:sz w:val="18"/>
                <w:szCs w:val="18"/>
                <w:lang w:eastAsia="en-US"/>
              </w:rPr>
              <w:t>De interés social</w:t>
            </w:r>
          </w:p>
        </w:tc>
        <w:tc>
          <w:tcPr>
            <w:tcW w:w="1134" w:type="dxa"/>
            <w:tcBorders>
              <w:left w:val="single" w:sz="4" w:space="0" w:color="auto"/>
              <w:bottom w:val="single" w:sz="4" w:space="0" w:color="auto"/>
              <w:right w:val="single" w:sz="4" w:space="0" w:color="auto"/>
            </w:tcBorders>
            <w:shd w:val="clear" w:color="auto" w:fill="auto"/>
            <w:vAlign w:val="bottom"/>
          </w:tcPr>
          <w:p w14:paraId="245B1CB8" w14:textId="77777777" w:rsidR="00DB215C" w:rsidRPr="00DB215C" w:rsidRDefault="00DB215C" w:rsidP="00DB215C">
            <w:pPr>
              <w:spacing w:after="120"/>
              <w:ind w:right="170"/>
              <w:jc w:val="right"/>
              <w:rPr>
                <w:rFonts w:eastAsia="Calibri"/>
                <w:sz w:val="18"/>
                <w:szCs w:val="18"/>
                <w:lang w:eastAsia="en-US"/>
              </w:rPr>
            </w:pPr>
            <w:r w:rsidRPr="00DB215C">
              <w:rPr>
                <w:rFonts w:eastAsia="Calibri"/>
                <w:sz w:val="18"/>
                <w:szCs w:val="18"/>
                <w:lang w:eastAsia="en-US"/>
              </w:rPr>
              <w:t>66.99</w:t>
            </w:r>
          </w:p>
        </w:tc>
        <w:tc>
          <w:tcPr>
            <w:tcW w:w="1276" w:type="dxa"/>
            <w:tcBorders>
              <w:top w:val="nil"/>
              <w:left w:val="single" w:sz="4" w:space="0" w:color="auto"/>
              <w:bottom w:val="single" w:sz="4" w:space="0" w:color="auto"/>
              <w:right w:val="single" w:sz="4" w:space="0" w:color="auto"/>
            </w:tcBorders>
            <w:shd w:val="clear" w:color="auto" w:fill="auto"/>
            <w:vAlign w:val="bottom"/>
          </w:tcPr>
          <w:p w14:paraId="566980B4" w14:textId="77777777" w:rsidR="00DB215C" w:rsidRPr="00DB215C" w:rsidRDefault="00DB215C" w:rsidP="00DB215C">
            <w:pPr>
              <w:spacing w:after="120"/>
              <w:ind w:right="170"/>
              <w:jc w:val="right"/>
              <w:rPr>
                <w:rFonts w:eastAsia="Calibri"/>
                <w:sz w:val="18"/>
                <w:szCs w:val="18"/>
                <w:lang w:eastAsia="en-US"/>
              </w:rPr>
            </w:pPr>
            <w:r w:rsidRPr="00DB215C">
              <w:rPr>
                <w:rFonts w:eastAsia="Calibri"/>
                <w:sz w:val="18"/>
                <w:szCs w:val="18"/>
                <w:lang w:eastAsia="en-US"/>
              </w:rPr>
              <w:t>60.48</w:t>
            </w:r>
          </w:p>
        </w:tc>
        <w:tc>
          <w:tcPr>
            <w:tcW w:w="1276" w:type="dxa"/>
            <w:tcBorders>
              <w:left w:val="single" w:sz="4" w:space="0" w:color="auto"/>
              <w:bottom w:val="single" w:sz="4" w:space="0" w:color="auto"/>
              <w:right w:val="single" w:sz="4" w:space="0" w:color="auto"/>
            </w:tcBorders>
            <w:shd w:val="clear" w:color="auto" w:fill="auto"/>
            <w:vAlign w:val="bottom"/>
          </w:tcPr>
          <w:p w14:paraId="287B6CA2" w14:textId="77777777" w:rsidR="00DB215C" w:rsidRPr="00DB215C" w:rsidRDefault="00DB215C" w:rsidP="00DB215C">
            <w:pPr>
              <w:spacing w:after="120"/>
              <w:ind w:right="170"/>
              <w:jc w:val="right"/>
              <w:rPr>
                <w:rFonts w:eastAsia="Calibri"/>
                <w:sz w:val="18"/>
                <w:szCs w:val="18"/>
                <w:lang w:eastAsia="en-US"/>
              </w:rPr>
            </w:pPr>
            <w:r w:rsidRPr="00DB215C">
              <w:rPr>
                <w:rFonts w:eastAsia="Calibri"/>
                <w:sz w:val="18"/>
                <w:szCs w:val="18"/>
                <w:lang w:eastAsia="en-US"/>
              </w:rPr>
              <w:t>66.13</w:t>
            </w:r>
          </w:p>
        </w:tc>
        <w:tc>
          <w:tcPr>
            <w:tcW w:w="1134" w:type="dxa"/>
            <w:tcBorders>
              <w:top w:val="nil"/>
              <w:left w:val="single" w:sz="4" w:space="0" w:color="auto"/>
              <w:bottom w:val="single" w:sz="4" w:space="0" w:color="auto"/>
              <w:right w:val="single" w:sz="4" w:space="0" w:color="auto"/>
            </w:tcBorders>
            <w:shd w:val="clear" w:color="auto" w:fill="auto"/>
            <w:vAlign w:val="bottom"/>
          </w:tcPr>
          <w:p w14:paraId="22034444" w14:textId="77777777" w:rsidR="00DB215C" w:rsidRPr="00DB215C" w:rsidRDefault="00DB215C" w:rsidP="00DB215C">
            <w:pPr>
              <w:spacing w:after="120"/>
              <w:ind w:right="170"/>
              <w:jc w:val="right"/>
              <w:rPr>
                <w:rFonts w:eastAsia="Calibri"/>
                <w:sz w:val="18"/>
                <w:szCs w:val="18"/>
                <w:lang w:eastAsia="en-US"/>
              </w:rPr>
            </w:pPr>
            <w:r w:rsidRPr="00DB215C">
              <w:rPr>
                <w:rFonts w:eastAsia="Calibri"/>
                <w:sz w:val="18"/>
                <w:szCs w:val="18"/>
                <w:lang w:eastAsia="en-US"/>
              </w:rPr>
              <w:t>-0.86</w:t>
            </w:r>
          </w:p>
        </w:tc>
        <w:tc>
          <w:tcPr>
            <w:tcW w:w="1194" w:type="dxa"/>
            <w:tcBorders>
              <w:top w:val="nil"/>
              <w:left w:val="single" w:sz="4" w:space="0" w:color="auto"/>
              <w:bottom w:val="single" w:sz="4" w:space="0" w:color="auto"/>
              <w:right w:val="single" w:sz="4" w:space="0" w:color="auto"/>
            </w:tcBorders>
            <w:shd w:val="clear" w:color="auto" w:fill="auto"/>
            <w:vAlign w:val="bottom"/>
          </w:tcPr>
          <w:p w14:paraId="725EAE21" w14:textId="77777777" w:rsidR="00DB215C" w:rsidRPr="00DB215C" w:rsidRDefault="00DB215C" w:rsidP="00DB215C">
            <w:pPr>
              <w:spacing w:after="120"/>
              <w:ind w:right="170"/>
              <w:jc w:val="right"/>
              <w:rPr>
                <w:rFonts w:eastAsia="Calibri"/>
                <w:bCs/>
                <w:sz w:val="18"/>
                <w:szCs w:val="18"/>
                <w:lang w:eastAsia="en-US"/>
              </w:rPr>
            </w:pPr>
            <w:r w:rsidRPr="00DB215C">
              <w:rPr>
                <w:rFonts w:eastAsia="Calibri"/>
                <w:bCs/>
                <w:sz w:val="18"/>
                <w:szCs w:val="18"/>
                <w:lang w:eastAsia="en-US"/>
              </w:rPr>
              <w:t>5.65</w:t>
            </w:r>
          </w:p>
        </w:tc>
      </w:tr>
      <w:tr w:rsidR="00DB215C" w:rsidRPr="00DB215C" w14:paraId="7FE5F741" w14:textId="77777777" w:rsidTr="00DB215C">
        <w:trPr>
          <w:trHeight w:val="261"/>
          <w:jc w:val="center"/>
        </w:trPr>
        <w:tc>
          <w:tcPr>
            <w:tcW w:w="8860" w:type="dxa"/>
            <w:gridSpan w:val="6"/>
            <w:tcBorders>
              <w:top w:val="single" w:sz="4" w:space="0" w:color="auto"/>
              <w:bottom w:val="nil"/>
            </w:tcBorders>
            <w:vAlign w:val="center"/>
          </w:tcPr>
          <w:p w14:paraId="1F5D3108" w14:textId="77777777" w:rsidR="00DB215C" w:rsidRPr="00DB215C" w:rsidRDefault="00DB215C" w:rsidP="00DB215C">
            <w:pPr>
              <w:spacing w:before="120"/>
              <w:ind w:left="227" w:hanging="227"/>
              <w:jc w:val="both"/>
              <w:rPr>
                <w:rFonts w:eastAsia="Calibri"/>
                <w:bCs/>
                <w:sz w:val="20"/>
                <w:szCs w:val="20"/>
                <w:lang w:eastAsia="en-US"/>
              </w:rPr>
            </w:pPr>
            <w:r w:rsidRPr="00DB215C">
              <w:rPr>
                <w:rFonts w:eastAsia="Calibri"/>
                <w:bCs/>
                <w:sz w:val="20"/>
                <w:szCs w:val="20"/>
                <w:u w:val="single"/>
                <w:lang w:eastAsia="en-US"/>
              </w:rPr>
              <w:t>1</w:t>
            </w:r>
            <w:r w:rsidRPr="00DB215C">
              <w:rPr>
                <w:rFonts w:eastAsia="Calibri"/>
                <w:bCs/>
                <w:sz w:val="20"/>
                <w:szCs w:val="20"/>
                <w:lang w:eastAsia="en-US"/>
              </w:rPr>
              <w:t>/ ICOR = Estimaciones preventivas para riesgos crediticios de balance / cartera vencida.</w:t>
            </w:r>
          </w:p>
          <w:p w14:paraId="552ECFC7" w14:textId="77777777" w:rsidR="00DB215C" w:rsidRPr="00DB215C" w:rsidRDefault="00DB215C" w:rsidP="00DB215C">
            <w:pPr>
              <w:jc w:val="both"/>
              <w:rPr>
                <w:rFonts w:eastAsia="Calibri"/>
                <w:bCs/>
                <w:sz w:val="20"/>
                <w:szCs w:val="20"/>
                <w:lang w:eastAsia="en-US"/>
              </w:rPr>
            </w:pPr>
            <w:r w:rsidRPr="00DB215C">
              <w:rPr>
                <w:rFonts w:eastAsia="Calibri"/>
                <w:bCs/>
                <w:sz w:val="20"/>
                <w:szCs w:val="20"/>
                <w:lang w:eastAsia="en-US"/>
              </w:rPr>
              <w:t>FUENTE: CNBV.</w:t>
            </w:r>
          </w:p>
        </w:tc>
      </w:tr>
    </w:tbl>
    <w:p w14:paraId="344B8362" w14:textId="77777777" w:rsidR="00DB215C" w:rsidRPr="00DB215C" w:rsidRDefault="00DB215C" w:rsidP="00DB215C">
      <w:pPr>
        <w:spacing w:after="360" w:line="360" w:lineRule="auto"/>
        <w:ind w:right="-159"/>
        <w:jc w:val="both"/>
        <w:rPr>
          <w:rFonts w:eastAsia="Calibri"/>
          <w:sz w:val="26"/>
          <w:szCs w:val="26"/>
          <w:lang w:eastAsia="en-US"/>
        </w:rPr>
      </w:pPr>
    </w:p>
    <w:p w14:paraId="4FFC095D" w14:textId="77777777" w:rsidR="00DB215C" w:rsidRPr="00DB215C" w:rsidRDefault="00DB215C" w:rsidP="00DB215C">
      <w:pPr>
        <w:spacing w:after="360" w:line="360" w:lineRule="auto"/>
        <w:ind w:right="-159"/>
        <w:jc w:val="both"/>
        <w:rPr>
          <w:rFonts w:eastAsia="Calibri"/>
          <w:b/>
          <w:sz w:val="26"/>
          <w:szCs w:val="26"/>
          <w:lang w:eastAsia="en-US"/>
        </w:rPr>
      </w:pPr>
      <w:r w:rsidRPr="00DB215C">
        <w:rPr>
          <w:rFonts w:eastAsia="Calibri"/>
          <w:b/>
          <w:sz w:val="26"/>
          <w:szCs w:val="26"/>
          <w:lang w:eastAsia="en-US"/>
        </w:rPr>
        <w:t>Captación de recursos</w:t>
      </w:r>
    </w:p>
    <w:p w14:paraId="1300088F" w14:textId="77777777" w:rsidR="00DB215C" w:rsidRPr="00DB215C" w:rsidRDefault="00DB215C" w:rsidP="00DB215C">
      <w:pPr>
        <w:spacing w:after="360" w:line="360" w:lineRule="auto"/>
        <w:ind w:right="-159"/>
        <w:jc w:val="both"/>
        <w:rPr>
          <w:rFonts w:eastAsia="Calibri"/>
          <w:sz w:val="26"/>
          <w:szCs w:val="26"/>
          <w:lang w:eastAsia="en-US"/>
        </w:rPr>
      </w:pPr>
      <w:r w:rsidRPr="00DB215C">
        <w:rPr>
          <w:rFonts w:eastAsia="Calibri"/>
          <w:sz w:val="26"/>
          <w:szCs w:val="26"/>
          <w:lang w:eastAsia="en-US"/>
        </w:rPr>
        <w:t>La captación total de recursos fue de 3 mil 797 mmdp, 13.2% más que la observada al cierre de enero de 2014. Los depósitos de exigibilidad inmediata registraron un incremento anual de 16.3% y los depósitos a plazo del público en general aumentaron 4.9%. Por su parte, la captación a través del mercado de dinero y de títulos de crédito registró un incremento de 32.8%, a la vez que los préstamos interbancarios y de otros organismos tuvieron una variación anual negativa de 9 por ciento.</w:t>
      </w:r>
    </w:p>
    <w:p w14:paraId="03550C47" w14:textId="77777777" w:rsidR="00DB215C" w:rsidRPr="00DB215C" w:rsidRDefault="00DB215C" w:rsidP="00DB215C">
      <w:pPr>
        <w:spacing w:after="360" w:line="360" w:lineRule="auto"/>
        <w:ind w:right="-159"/>
        <w:jc w:val="both"/>
        <w:rPr>
          <w:rFonts w:eastAsia="Calibri"/>
          <w:sz w:val="26"/>
          <w:szCs w:val="26"/>
          <w:lang w:eastAsia="en-US"/>
        </w:rPr>
      </w:pPr>
    </w:p>
    <w:p w14:paraId="70C4A75A" w14:textId="77777777" w:rsidR="00DB215C" w:rsidRPr="00DB215C" w:rsidRDefault="00DB215C" w:rsidP="00DB215C">
      <w:pPr>
        <w:spacing w:after="360" w:line="360" w:lineRule="auto"/>
        <w:ind w:right="-159"/>
        <w:jc w:val="both"/>
        <w:rPr>
          <w:rFonts w:eastAsia="Calibri"/>
          <w:sz w:val="26"/>
          <w:szCs w:val="26"/>
          <w:lang w:eastAsia="en-US"/>
        </w:rPr>
      </w:pPr>
    </w:p>
    <w:tbl>
      <w:tblPr>
        <w:tblW w:w="8860" w:type="dxa"/>
        <w:jc w:val="center"/>
        <w:tblLayout w:type="fixed"/>
        <w:tblLook w:val="01E0" w:firstRow="1" w:lastRow="1" w:firstColumn="1" w:lastColumn="1" w:noHBand="0" w:noVBand="0"/>
      </w:tblPr>
      <w:tblGrid>
        <w:gridCol w:w="3828"/>
        <w:gridCol w:w="992"/>
        <w:gridCol w:w="1134"/>
        <w:gridCol w:w="992"/>
        <w:gridCol w:w="992"/>
        <w:gridCol w:w="922"/>
      </w:tblGrid>
      <w:tr w:rsidR="00DB215C" w:rsidRPr="00DB215C" w14:paraId="78B6A5CA" w14:textId="77777777" w:rsidTr="00CE5E35">
        <w:trPr>
          <w:trHeight w:val="552"/>
          <w:jc w:val="center"/>
        </w:trPr>
        <w:tc>
          <w:tcPr>
            <w:tcW w:w="8860" w:type="dxa"/>
            <w:gridSpan w:val="6"/>
            <w:tcBorders>
              <w:top w:val="nil"/>
              <w:bottom w:val="single" w:sz="4" w:space="0" w:color="auto"/>
            </w:tcBorders>
            <w:vAlign w:val="center"/>
          </w:tcPr>
          <w:p w14:paraId="4355244E" w14:textId="77777777" w:rsidR="00DB215C" w:rsidRPr="00DB215C" w:rsidRDefault="00DB215C" w:rsidP="00DB215C">
            <w:pPr>
              <w:jc w:val="center"/>
              <w:rPr>
                <w:rFonts w:eastAsia="Calibri"/>
                <w:bCs/>
                <w:sz w:val="22"/>
                <w:szCs w:val="22"/>
                <w:lang w:eastAsia="en-US"/>
              </w:rPr>
            </w:pPr>
            <w:r w:rsidRPr="00DB215C">
              <w:rPr>
                <w:rFonts w:eastAsia="Calibri"/>
                <w:b/>
                <w:bCs/>
                <w:sz w:val="22"/>
                <w:szCs w:val="22"/>
                <w:lang w:eastAsia="en-US"/>
              </w:rPr>
              <w:lastRenderedPageBreak/>
              <w:t>BANCA MÚLTIPLE: BALANCE GENERAL</w:t>
            </w:r>
          </w:p>
          <w:p w14:paraId="2AFE4C02" w14:textId="7DB98ADD" w:rsidR="00DB215C" w:rsidRPr="00DB215C" w:rsidRDefault="00DB215C" w:rsidP="00CE5E35">
            <w:pPr>
              <w:jc w:val="center"/>
              <w:rPr>
                <w:rFonts w:eastAsia="Calibri"/>
                <w:bCs/>
                <w:sz w:val="22"/>
                <w:szCs w:val="22"/>
                <w:lang w:eastAsia="en-US"/>
              </w:rPr>
            </w:pPr>
            <w:r w:rsidRPr="00DB215C">
              <w:rPr>
                <w:rFonts w:eastAsia="Calibri"/>
                <w:b/>
                <w:bCs/>
                <w:sz w:val="22"/>
                <w:szCs w:val="22"/>
                <w:lang w:eastAsia="en-US"/>
              </w:rPr>
              <w:t>-Saldos en mmdp-</w:t>
            </w:r>
          </w:p>
        </w:tc>
      </w:tr>
      <w:tr w:rsidR="00DB215C" w:rsidRPr="00DB215C" w14:paraId="5232D593" w14:textId="77777777" w:rsidTr="00CE5E35">
        <w:trPr>
          <w:trHeight w:val="312"/>
          <w:jc w:val="center"/>
        </w:trPr>
        <w:tc>
          <w:tcPr>
            <w:tcW w:w="382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2033803" w14:textId="77777777" w:rsidR="00DB215C" w:rsidRPr="00DB215C" w:rsidRDefault="00DB215C" w:rsidP="00DB215C">
            <w:pPr>
              <w:spacing w:before="40" w:after="40"/>
              <w:jc w:val="center"/>
              <w:rPr>
                <w:rFonts w:eastAsia="Calibri"/>
                <w:bCs/>
                <w:sz w:val="18"/>
                <w:szCs w:val="18"/>
                <w:lang w:eastAsia="en-US"/>
              </w:rPr>
            </w:pPr>
          </w:p>
        </w:tc>
        <w:tc>
          <w:tcPr>
            <w:tcW w:w="212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8887DC" w14:textId="77777777" w:rsidR="00DB215C" w:rsidRPr="00DB215C" w:rsidRDefault="00DB215C" w:rsidP="00DB215C">
            <w:pPr>
              <w:jc w:val="center"/>
              <w:rPr>
                <w:rFonts w:eastAsia="Calibri"/>
                <w:b/>
                <w:sz w:val="18"/>
                <w:szCs w:val="18"/>
                <w:lang w:eastAsia="en-US"/>
              </w:rPr>
            </w:pPr>
            <w:r w:rsidRPr="00DB215C">
              <w:rPr>
                <w:rFonts w:eastAsia="Calibri"/>
                <w:b/>
                <w:sz w:val="18"/>
                <w:szCs w:val="18"/>
                <w:lang w:eastAsia="en-US"/>
              </w:rPr>
              <w:t>2014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0D0C250" w14:textId="77777777" w:rsidR="00DB215C" w:rsidRPr="00DB215C" w:rsidRDefault="00DB215C" w:rsidP="00DB215C">
            <w:pPr>
              <w:jc w:val="center"/>
              <w:rPr>
                <w:rFonts w:eastAsia="Calibri"/>
                <w:b/>
                <w:sz w:val="18"/>
                <w:szCs w:val="18"/>
                <w:lang w:eastAsia="en-US"/>
              </w:rPr>
            </w:pPr>
            <w:r w:rsidRPr="00DB215C">
              <w:rPr>
                <w:rFonts w:eastAsia="Calibri"/>
                <w:b/>
                <w:sz w:val="18"/>
                <w:szCs w:val="18"/>
                <w:lang w:eastAsia="en-US"/>
              </w:rPr>
              <w:t>2015</w:t>
            </w:r>
          </w:p>
        </w:tc>
        <w:tc>
          <w:tcPr>
            <w:tcW w:w="191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BB442A" w14:textId="1D7F6655" w:rsidR="00DB215C" w:rsidRPr="00DB215C" w:rsidRDefault="00DB215C" w:rsidP="00DC1170">
            <w:pPr>
              <w:jc w:val="center"/>
              <w:rPr>
                <w:rFonts w:eastAsia="Calibri"/>
                <w:b/>
                <w:bCs/>
                <w:sz w:val="18"/>
                <w:szCs w:val="18"/>
                <w:lang w:eastAsia="en-US"/>
              </w:rPr>
            </w:pPr>
            <w:r w:rsidRPr="00DB215C">
              <w:rPr>
                <w:rFonts w:eastAsia="Calibri"/>
                <w:b/>
                <w:bCs/>
                <w:sz w:val="18"/>
                <w:szCs w:val="18"/>
                <w:lang w:eastAsia="en-US"/>
              </w:rPr>
              <w:t xml:space="preserve">Diferencia </w:t>
            </w:r>
            <w:r w:rsidR="00DC1170">
              <w:rPr>
                <w:rFonts w:eastAsia="Calibri"/>
                <w:b/>
                <w:bCs/>
                <w:sz w:val="18"/>
                <w:szCs w:val="18"/>
                <w:lang w:eastAsia="en-US"/>
              </w:rPr>
              <w:t>%</w:t>
            </w:r>
          </w:p>
        </w:tc>
      </w:tr>
      <w:tr w:rsidR="00DB215C" w:rsidRPr="00DB215C" w14:paraId="033E2DF0" w14:textId="77777777" w:rsidTr="00CE5E35">
        <w:trPr>
          <w:trHeight w:val="281"/>
          <w:jc w:val="center"/>
        </w:trPr>
        <w:tc>
          <w:tcPr>
            <w:tcW w:w="382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3384BD6" w14:textId="77777777" w:rsidR="00DB215C" w:rsidRPr="00DB215C" w:rsidRDefault="00DB215C" w:rsidP="00DB215C">
            <w:pPr>
              <w:spacing w:before="40" w:after="40"/>
              <w:jc w:val="center"/>
              <w:rPr>
                <w:rFonts w:eastAsia="Calibri"/>
                <w:bCs/>
                <w:sz w:val="18"/>
                <w:szCs w:val="18"/>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1C205A5" w14:textId="77777777" w:rsidR="00DB215C" w:rsidRPr="00DB215C" w:rsidRDefault="00DB215C" w:rsidP="00DB215C">
            <w:pPr>
              <w:jc w:val="center"/>
              <w:rPr>
                <w:rFonts w:eastAsia="Calibri"/>
                <w:b/>
                <w:sz w:val="20"/>
                <w:szCs w:val="20"/>
                <w:lang w:eastAsia="en-US"/>
              </w:rPr>
            </w:pPr>
            <w:r w:rsidRPr="00DB215C">
              <w:rPr>
                <w:rFonts w:eastAsia="Calibri"/>
                <w:b/>
                <w:sz w:val="20"/>
                <w:szCs w:val="20"/>
                <w:lang w:eastAsia="en-US"/>
              </w:rPr>
              <w:t>Enero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B5F4790" w14:textId="77777777" w:rsidR="00DB215C" w:rsidRPr="00DB215C" w:rsidRDefault="00DB215C" w:rsidP="00DB215C">
            <w:pPr>
              <w:jc w:val="center"/>
              <w:rPr>
                <w:rFonts w:eastAsia="Calibri"/>
                <w:b/>
                <w:sz w:val="20"/>
                <w:szCs w:val="20"/>
                <w:lang w:eastAsia="en-US"/>
              </w:rPr>
            </w:pPr>
            <w:r w:rsidRPr="00DB215C">
              <w:rPr>
                <w:rFonts w:eastAsia="Calibri"/>
                <w:b/>
                <w:sz w:val="20"/>
                <w:szCs w:val="20"/>
                <w:lang w:eastAsia="en-US"/>
              </w:rPr>
              <w:t>Diciembre</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14927C6" w14:textId="77777777" w:rsidR="00DB215C" w:rsidRPr="00DB215C" w:rsidRDefault="00DB215C" w:rsidP="00DB215C">
            <w:pPr>
              <w:jc w:val="center"/>
              <w:rPr>
                <w:rFonts w:eastAsia="Calibri"/>
                <w:b/>
                <w:sz w:val="20"/>
                <w:szCs w:val="20"/>
                <w:lang w:eastAsia="en-US"/>
              </w:rPr>
            </w:pPr>
            <w:r w:rsidRPr="00DB215C">
              <w:rPr>
                <w:rFonts w:eastAsia="Calibri"/>
                <w:b/>
                <w:sz w:val="20"/>
                <w:szCs w:val="20"/>
                <w:lang w:eastAsia="en-US"/>
              </w:rPr>
              <w:t>Enero</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E877CD7" w14:textId="77777777" w:rsidR="00DB215C" w:rsidRPr="00DB215C" w:rsidRDefault="00DB215C" w:rsidP="00DB215C">
            <w:pPr>
              <w:jc w:val="center"/>
              <w:rPr>
                <w:rFonts w:eastAsia="Calibri"/>
                <w:b/>
                <w:sz w:val="18"/>
                <w:szCs w:val="18"/>
                <w:lang w:eastAsia="en-US"/>
              </w:rPr>
            </w:pPr>
            <w:r w:rsidRPr="00DB215C">
              <w:rPr>
                <w:rFonts w:eastAsia="Calibri"/>
                <w:b/>
                <w:sz w:val="18"/>
                <w:szCs w:val="18"/>
                <w:lang w:eastAsia="en-US"/>
              </w:rPr>
              <w:t>Anual</w:t>
            </w:r>
          </w:p>
        </w:tc>
        <w:tc>
          <w:tcPr>
            <w:tcW w:w="922" w:type="dxa"/>
            <w:tcBorders>
              <w:top w:val="single" w:sz="4" w:space="0" w:color="auto"/>
              <w:left w:val="single" w:sz="4" w:space="0" w:color="auto"/>
              <w:bottom w:val="single" w:sz="4" w:space="0" w:color="auto"/>
              <w:right w:val="single" w:sz="4" w:space="0" w:color="auto"/>
            </w:tcBorders>
            <w:shd w:val="clear" w:color="auto" w:fill="auto"/>
            <w:vAlign w:val="center"/>
          </w:tcPr>
          <w:p w14:paraId="5ECD40DC" w14:textId="77777777" w:rsidR="00DB215C" w:rsidRPr="00DB215C" w:rsidRDefault="00DB215C" w:rsidP="00DB215C">
            <w:pPr>
              <w:jc w:val="center"/>
              <w:rPr>
                <w:rFonts w:eastAsia="Calibri"/>
                <w:b/>
                <w:bCs/>
                <w:sz w:val="18"/>
                <w:szCs w:val="18"/>
                <w:lang w:eastAsia="en-US"/>
              </w:rPr>
            </w:pPr>
            <w:r w:rsidRPr="00DB215C">
              <w:rPr>
                <w:rFonts w:eastAsia="Calibri"/>
                <w:b/>
                <w:bCs/>
                <w:sz w:val="18"/>
                <w:szCs w:val="18"/>
                <w:lang w:eastAsia="en-US"/>
              </w:rPr>
              <w:t>Mensual</w:t>
            </w:r>
          </w:p>
        </w:tc>
      </w:tr>
      <w:tr w:rsidR="00DB215C" w:rsidRPr="00DB215C" w14:paraId="41DA57C6" w14:textId="77777777" w:rsidTr="00CE5E35">
        <w:trPr>
          <w:trHeight w:val="271"/>
          <w:jc w:val="center"/>
        </w:trPr>
        <w:tc>
          <w:tcPr>
            <w:tcW w:w="3828" w:type="dxa"/>
            <w:tcBorders>
              <w:top w:val="single" w:sz="4" w:space="0" w:color="auto"/>
              <w:left w:val="single" w:sz="4" w:space="0" w:color="auto"/>
              <w:bottom w:val="nil"/>
              <w:right w:val="single" w:sz="4" w:space="0" w:color="auto"/>
            </w:tcBorders>
            <w:shd w:val="clear" w:color="auto" w:fill="auto"/>
            <w:vAlign w:val="center"/>
          </w:tcPr>
          <w:p w14:paraId="037506E4" w14:textId="77777777" w:rsidR="00DB215C" w:rsidRPr="00DB215C" w:rsidRDefault="00DB215C" w:rsidP="00DB215C">
            <w:pPr>
              <w:spacing w:before="120" w:after="60"/>
              <w:rPr>
                <w:rFonts w:eastAsia="Calibri"/>
                <w:b/>
                <w:bCs/>
                <w:sz w:val="18"/>
                <w:szCs w:val="18"/>
                <w:lang w:val="en-US" w:eastAsia="en-US"/>
              </w:rPr>
            </w:pPr>
            <w:r w:rsidRPr="00DB215C">
              <w:rPr>
                <w:rFonts w:eastAsia="Calibri"/>
                <w:b/>
                <w:bCs/>
                <w:sz w:val="18"/>
                <w:szCs w:val="18"/>
                <w:lang w:val="en-US" w:eastAsia="en-US"/>
              </w:rPr>
              <w:t>Captación total</w:t>
            </w:r>
          </w:p>
        </w:tc>
        <w:tc>
          <w:tcPr>
            <w:tcW w:w="992" w:type="dxa"/>
            <w:tcBorders>
              <w:top w:val="single" w:sz="4" w:space="0" w:color="auto"/>
              <w:left w:val="single" w:sz="4" w:space="0" w:color="auto"/>
              <w:right w:val="single" w:sz="4" w:space="0" w:color="auto"/>
            </w:tcBorders>
            <w:shd w:val="clear" w:color="auto" w:fill="auto"/>
            <w:vAlign w:val="center"/>
          </w:tcPr>
          <w:p w14:paraId="3B95FCDF" w14:textId="77777777" w:rsidR="00DB215C" w:rsidRPr="00DB215C" w:rsidRDefault="00DB215C" w:rsidP="00DB215C">
            <w:pPr>
              <w:spacing w:before="120" w:after="60"/>
              <w:ind w:right="170"/>
              <w:jc w:val="right"/>
              <w:rPr>
                <w:rFonts w:eastAsia="Calibri"/>
                <w:b/>
                <w:sz w:val="18"/>
                <w:szCs w:val="18"/>
                <w:lang w:val="en-US" w:eastAsia="en-US"/>
              </w:rPr>
            </w:pPr>
            <w:r w:rsidRPr="00DB215C">
              <w:rPr>
                <w:rFonts w:eastAsia="Calibri"/>
                <w:b/>
                <w:sz w:val="18"/>
                <w:szCs w:val="18"/>
                <w:lang w:val="en-US" w:eastAsia="en-US"/>
              </w:rPr>
              <w:t>3 353</w:t>
            </w:r>
          </w:p>
        </w:tc>
        <w:tc>
          <w:tcPr>
            <w:tcW w:w="1134" w:type="dxa"/>
            <w:tcBorders>
              <w:top w:val="single" w:sz="4" w:space="0" w:color="auto"/>
              <w:left w:val="single" w:sz="4" w:space="0" w:color="auto"/>
              <w:bottom w:val="nil"/>
              <w:right w:val="single" w:sz="4" w:space="0" w:color="auto"/>
            </w:tcBorders>
            <w:shd w:val="clear" w:color="auto" w:fill="auto"/>
            <w:vAlign w:val="center"/>
          </w:tcPr>
          <w:p w14:paraId="0412CFA6" w14:textId="77777777" w:rsidR="00DB215C" w:rsidRPr="00DB215C" w:rsidRDefault="00DB215C" w:rsidP="00DB215C">
            <w:pPr>
              <w:spacing w:before="120" w:after="60"/>
              <w:ind w:right="170"/>
              <w:jc w:val="right"/>
              <w:rPr>
                <w:rFonts w:eastAsia="Calibri"/>
                <w:b/>
                <w:sz w:val="18"/>
                <w:szCs w:val="18"/>
                <w:lang w:val="en-US" w:eastAsia="en-US"/>
              </w:rPr>
            </w:pPr>
            <w:r w:rsidRPr="00DB215C">
              <w:rPr>
                <w:rFonts w:eastAsia="Calibri"/>
                <w:b/>
                <w:sz w:val="18"/>
                <w:szCs w:val="18"/>
                <w:lang w:val="en-US" w:eastAsia="en-US"/>
              </w:rPr>
              <w:t>3 817</w:t>
            </w:r>
          </w:p>
        </w:tc>
        <w:tc>
          <w:tcPr>
            <w:tcW w:w="992" w:type="dxa"/>
            <w:tcBorders>
              <w:top w:val="single" w:sz="4" w:space="0" w:color="auto"/>
              <w:left w:val="single" w:sz="4" w:space="0" w:color="auto"/>
              <w:right w:val="single" w:sz="4" w:space="0" w:color="auto"/>
            </w:tcBorders>
            <w:shd w:val="clear" w:color="auto" w:fill="auto"/>
            <w:vAlign w:val="center"/>
          </w:tcPr>
          <w:p w14:paraId="60B4B2EC" w14:textId="77777777" w:rsidR="00DB215C" w:rsidRPr="00DB215C" w:rsidRDefault="00DB215C" w:rsidP="00DB215C">
            <w:pPr>
              <w:spacing w:before="120" w:after="60"/>
              <w:ind w:right="170"/>
              <w:jc w:val="right"/>
              <w:rPr>
                <w:rFonts w:eastAsia="Calibri"/>
                <w:b/>
                <w:sz w:val="18"/>
                <w:szCs w:val="18"/>
                <w:lang w:val="en-US" w:eastAsia="en-US"/>
              </w:rPr>
            </w:pPr>
            <w:r w:rsidRPr="00DB215C">
              <w:rPr>
                <w:rFonts w:eastAsia="Calibri"/>
                <w:b/>
                <w:sz w:val="18"/>
                <w:szCs w:val="18"/>
                <w:lang w:val="en-US" w:eastAsia="en-US"/>
              </w:rPr>
              <w:t>3 797</w:t>
            </w:r>
          </w:p>
        </w:tc>
        <w:tc>
          <w:tcPr>
            <w:tcW w:w="992" w:type="dxa"/>
            <w:tcBorders>
              <w:top w:val="single" w:sz="4" w:space="0" w:color="auto"/>
              <w:left w:val="single" w:sz="4" w:space="0" w:color="auto"/>
              <w:bottom w:val="nil"/>
              <w:right w:val="single" w:sz="4" w:space="0" w:color="auto"/>
            </w:tcBorders>
            <w:shd w:val="clear" w:color="auto" w:fill="auto"/>
            <w:vAlign w:val="center"/>
          </w:tcPr>
          <w:p w14:paraId="0F40FA9A" w14:textId="77777777" w:rsidR="00DB215C" w:rsidRPr="00DB215C" w:rsidRDefault="00DB215C" w:rsidP="00DB215C">
            <w:pPr>
              <w:spacing w:before="120" w:after="60"/>
              <w:ind w:right="227"/>
              <w:jc w:val="right"/>
              <w:rPr>
                <w:rFonts w:eastAsia="Calibri"/>
                <w:b/>
                <w:sz w:val="18"/>
                <w:szCs w:val="18"/>
                <w:lang w:val="en-US" w:eastAsia="en-US"/>
              </w:rPr>
            </w:pPr>
            <w:r w:rsidRPr="00DB215C">
              <w:rPr>
                <w:rFonts w:eastAsia="Calibri"/>
                <w:b/>
                <w:sz w:val="18"/>
                <w:szCs w:val="18"/>
                <w:lang w:val="en-US" w:eastAsia="en-US"/>
              </w:rPr>
              <w:t>13.2</w:t>
            </w:r>
          </w:p>
        </w:tc>
        <w:tc>
          <w:tcPr>
            <w:tcW w:w="922" w:type="dxa"/>
            <w:tcBorders>
              <w:top w:val="single" w:sz="4" w:space="0" w:color="auto"/>
              <w:left w:val="single" w:sz="4" w:space="0" w:color="auto"/>
              <w:bottom w:val="nil"/>
              <w:right w:val="single" w:sz="4" w:space="0" w:color="auto"/>
            </w:tcBorders>
            <w:shd w:val="clear" w:color="auto" w:fill="auto"/>
            <w:vAlign w:val="center"/>
          </w:tcPr>
          <w:p w14:paraId="4ADAAAE1" w14:textId="77777777" w:rsidR="00DB215C" w:rsidRPr="00DB215C" w:rsidRDefault="00DB215C" w:rsidP="00DB215C">
            <w:pPr>
              <w:spacing w:before="120" w:after="60"/>
              <w:ind w:right="227"/>
              <w:jc w:val="right"/>
              <w:rPr>
                <w:rFonts w:eastAsia="Calibri"/>
                <w:b/>
                <w:bCs/>
                <w:sz w:val="18"/>
                <w:szCs w:val="18"/>
                <w:lang w:val="en-US" w:eastAsia="en-US"/>
              </w:rPr>
            </w:pPr>
            <w:r w:rsidRPr="00DB215C">
              <w:rPr>
                <w:rFonts w:eastAsia="Calibri"/>
                <w:b/>
                <w:bCs/>
                <w:sz w:val="18"/>
                <w:szCs w:val="18"/>
                <w:lang w:val="en-US" w:eastAsia="en-US"/>
              </w:rPr>
              <w:t>-0.5</w:t>
            </w:r>
          </w:p>
        </w:tc>
      </w:tr>
      <w:tr w:rsidR="00DB215C" w:rsidRPr="00DB215C" w14:paraId="10B25F9D" w14:textId="77777777" w:rsidTr="00DB215C">
        <w:trPr>
          <w:trHeight w:val="271"/>
          <w:jc w:val="center"/>
        </w:trPr>
        <w:tc>
          <w:tcPr>
            <w:tcW w:w="3828" w:type="dxa"/>
            <w:tcBorders>
              <w:top w:val="nil"/>
              <w:left w:val="single" w:sz="4" w:space="0" w:color="auto"/>
              <w:bottom w:val="nil"/>
              <w:right w:val="single" w:sz="4" w:space="0" w:color="auto"/>
            </w:tcBorders>
            <w:shd w:val="clear" w:color="auto" w:fill="auto"/>
            <w:vAlign w:val="center"/>
          </w:tcPr>
          <w:p w14:paraId="70661F31" w14:textId="77777777" w:rsidR="00DB215C" w:rsidRPr="00DB215C" w:rsidRDefault="00DB215C" w:rsidP="00DB215C">
            <w:pPr>
              <w:spacing w:before="60" w:after="60"/>
              <w:ind w:left="113"/>
              <w:rPr>
                <w:rFonts w:eastAsia="Calibri"/>
                <w:bCs/>
                <w:sz w:val="18"/>
                <w:szCs w:val="18"/>
                <w:lang w:val="en-US" w:eastAsia="en-US"/>
              </w:rPr>
            </w:pPr>
            <w:r w:rsidRPr="00DB215C">
              <w:rPr>
                <w:rFonts w:eastAsia="Calibri"/>
                <w:bCs/>
                <w:sz w:val="18"/>
                <w:szCs w:val="18"/>
                <w:lang w:val="en-US" w:eastAsia="en-US"/>
              </w:rPr>
              <w:t>Depósitos de exigibilidad inmediata</w:t>
            </w:r>
          </w:p>
        </w:tc>
        <w:tc>
          <w:tcPr>
            <w:tcW w:w="992" w:type="dxa"/>
            <w:tcBorders>
              <w:left w:val="single" w:sz="4" w:space="0" w:color="auto"/>
              <w:right w:val="single" w:sz="4" w:space="0" w:color="auto"/>
            </w:tcBorders>
            <w:shd w:val="clear" w:color="auto" w:fill="auto"/>
            <w:vAlign w:val="center"/>
          </w:tcPr>
          <w:p w14:paraId="18C799F5" w14:textId="77777777" w:rsidR="00DB215C" w:rsidRPr="00DB215C" w:rsidRDefault="00DB215C" w:rsidP="00DB215C">
            <w:pPr>
              <w:spacing w:before="60" w:after="60"/>
              <w:ind w:right="170"/>
              <w:jc w:val="right"/>
              <w:rPr>
                <w:rFonts w:eastAsia="Calibri"/>
                <w:sz w:val="18"/>
                <w:szCs w:val="18"/>
                <w:lang w:val="en-US" w:eastAsia="en-US"/>
              </w:rPr>
            </w:pPr>
            <w:r w:rsidRPr="00DB215C">
              <w:rPr>
                <w:rFonts w:eastAsia="Calibri"/>
                <w:sz w:val="18"/>
                <w:szCs w:val="18"/>
                <w:lang w:val="en-US" w:eastAsia="en-US"/>
              </w:rPr>
              <w:t>1 915</w:t>
            </w:r>
          </w:p>
        </w:tc>
        <w:tc>
          <w:tcPr>
            <w:tcW w:w="1134" w:type="dxa"/>
            <w:tcBorders>
              <w:top w:val="nil"/>
              <w:left w:val="single" w:sz="4" w:space="0" w:color="auto"/>
              <w:bottom w:val="nil"/>
              <w:right w:val="single" w:sz="4" w:space="0" w:color="auto"/>
            </w:tcBorders>
            <w:shd w:val="clear" w:color="auto" w:fill="auto"/>
            <w:vAlign w:val="center"/>
          </w:tcPr>
          <w:p w14:paraId="3C6A08EC" w14:textId="77777777" w:rsidR="00DB215C" w:rsidRPr="00DB215C" w:rsidRDefault="00DB215C" w:rsidP="00DB215C">
            <w:pPr>
              <w:spacing w:before="60" w:after="60"/>
              <w:ind w:right="170"/>
              <w:jc w:val="right"/>
              <w:rPr>
                <w:rFonts w:eastAsia="Calibri"/>
                <w:sz w:val="18"/>
                <w:szCs w:val="18"/>
                <w:lang w:val="en-US" w:eastAsia="en-US"/>
              </w:rPr>
            </w:pPr>
            <w:r w:rsidRPr="00DB215C">
              <w:rPr>
                <w:rFonts w:eastAsia="Calibri"/>
                <w:sz w:val="18"/>
                <w:szCs w:val="18"/>
                <w:lang w:val="en-US" w:eastAsia="en-US"/>
              </w:rPr>
              <w:t>2 237</w:t>
            </w:r>
          </w:p>
        </w:tc>
        <w:tc>
          <w:tcPr>
            <w:tcW w:w="992" w:type="dxa"/>
            <w:tcBorders>
              <w:left w:val="single" w:sz="4" w:space="0" w:color="auto"/>
              <w:right w:val="single" w:sz="4" w:space="0" w:color="auto"/>
            </w:tcBorders>
            <w:shd w:val="clear" w:color="auto" w:fill="auto"/>
            <w:vAlign w:val="center"/>
          </w:tcPr>
          <w:p w14:paraId="4AE5130F" w14:textId="77777777" w:rsidR="00DB215C" w:rsidRPr="00DB215C" w:rsidRDefault="00DB215C" w:rsidP="00DB215C">
            <w:pPr>
              <w:spacing w:before="60" w:after="60"/>
              <w:ind w:right="170"/>
              <w:jc w:val="right"/>
              <w:rPr>
                <w:rFonts w:eastAsia="Calibri"/>
                <w:sz w:val="18"/>
                <w:szCs w:val="18"/>
                <w:lang w:val="en-US" w:eastAsia="en-US"/>
              </w:rPr>
            </w:pPr>
            <w:r w:rsidRPr="00DB215C">
              <w:rPr>
                <w:rFonts w:eastAsia="Calibri"/>
                <w:sz w:val="18"/>
                <w:szCs w:val="18"/>
                <w:lang w:val="en-US" w:eastAsia="en-US"/>
              </w:rPr>
              <w:t>2 228</w:t>
            </w:r>
          </w:p>
        </w:tc>
        <w:tc>
          <w:tcPr>
            <w:tcW w:w="992" w:type="dxa"/>
            <w:tcBorders>
              <w:top w:val="nil"/>
              <w:left w:val="single" w:sz="4" w:space="0" w:color="auto"/>
              <w:bottom w:val="nil"/>
              <w:right w:val="single" w:sz="4" w:space="0" w:color="auto"/>
            </w:tcBorders>
            <w:shd w:val="clear" w:color="auto" w:fill="auto"/>
            <w:vAlign w:val="center"/>
          </w:tcPr>
          <w:p w14:paraId="511911AC" w14:textId="77777777" w:rsidR="00DB215C" w:rsidRPr="00DB215C" w:rsidRDefault="00DB215C" w:rsidP="00DB215C">
            <w:pPr>
              <w:spacing w:before="60" w:after="60"/>
              <w:ind w:right="227"/>
              <w:jc w:val="right"/>
              <w:rPr>
                <w:rFonts w:eastAsia="Calibri"/>
                <w:sz w:val="18"/>
                <w:szCs w:val="18"/>
                <w:lang w:val="en-US" w:eastAsia="en-US"/>
              </w:rPr>
            </w:pPr>
            <w:r w:rsidRPr="00DB215C">
              <w:rPr>
                <w:rFonts w:eastAsia="Calibri"/>
                <w:sz w:val="18"/>
                <w:szCs w:val="18"/>
                <w:lang w:val="en-US" w:eastAsia="en-US"/>
              </w:rPr>
              <w:t>16.3</w:t>
            </w:r>
          </w:p>
        </w:tc>
        <w:tc>
          <w:tcPr>
            <w:tcW w:w="922" w:type="dxa"/>
            <w:tcBorders>
              <w:top w:val="nil"/>
              <w:left w:val="single" w:sz="4" w:space="0" w:color="auto"/>
              <w:bottom w:val="nil"/>
              <w:right w:val="single" w:sz="4" w:space="0" w:color="auto"/>
            </w:tcBorders>
            <w:shd w:val="clear" w:color="auto" w:fill="auto"/>
            <w:vAlign w:val="center"/>
          </w:tcPr>
          <w:p w14:paraId="49C7CA8D" w14:textId="77777777" w:rsidR="00DB215C" w:rsidRPr="00DB215C" w:rsidRDefault="00DB215C" w:rsidP="00DB215C">
            <w:pPr>
              <w:spacing w:before="60" w:after="60"/>
              <w:ind w:right="227"/>
              <w:jc w:val="right"/>
              <w:rPr>
                <w:rFonts w:eastAsia="Calibri"/>
                <w:bCs/>
                <w:sz w:val="18"/>
                <w:szCs w:val="18"/>
                <w:lang w:val="en-US" w:eastAsia="en-US"/>
              </w:rPr>
            </w:pPr>
            <w:r w:rsidRPr="00DB215C">
              <w:rPr>
                <w:rFonts w:eastAsia="Calibri"/>
                <w:bCs/>
                <w:sz w:val="18"/>
                <w:szCs w:val="18"/>
                <w:lang w:val="en-US" w:eastAsia="en-US"/>
              </w:rPr>
              <w:t>-0.4</w:t>
            </w:r>
          </w:p>
        </w:tc>
      </w:tr>
      <w:tr w:rsidR="00DB215C" w:rsidRPr="00DB215C" w14:paraId="535EB71A" w14:textId="77777777" w:rsidTr="00DB215C">
        <w:trPr>
          <w:trHeight w:val="271"/>
          <w:jc w:val="center"/>
        </w:trPr>
        <w:tc>
          <w:tcPr>
            <w:tcW w:w="3828" w:type="dxa"/>
            <w:tcBorders>
              <w:top w:val="nil"/>
              <w:left w:val="single" w:sz="4" w:space="0" w:color="auto"/>
              <w:bottom w:val="nil"/>
              <w:right w:val="single" w:sz="4" w:space="0" w:color="auto"/>
            </w:tcBorders>
            <w:shd w:val="clear" w:color="auto" w:fill="auto"/>
            <w:vAlign w:val="center"/>
          </w:tcPr>
          <w:p w14:paraId="260ABC17" w14:textId="77777777" w:rsidR="00DB215C" w:rsidRPr="00DB215C" w:rsidRDefault="00DB215C" w:rsidP="00DB215C">
            <w:pPr>
              <w:spacing w:before="60" w:after="60"/>
              <w:ind w:left="113"/>
              <w:rPr>
                <w:rFonts w:eastAsia="Calibri"/>
                <w:bCs/>
                <w:sz w:val="18"/>
                <w:szCs w:val="18"/>
                <w:lang w:eastAsia="en-US"/>
              </w:rPr>
            </w:pPr>
            <w:r w:rsidRPr="00DB215C">
              <w:rPr>
                <w:rFonts w:eastAsia="Calibri"/>
                <w:bCs/>
                <w:sz w:val="18"/>
                <w:szCs w:val="18"/>
                <w:lang w:eastAsia="en-US"/>
              </w:rPr>
              <w:t>Depósitos a plazo del público en general</w:t>
            </w:r>
          </w:p>
        </w:tc>
        <w:tc>
          <w:tcPr>
            <w:tcW w:w="992" w:type="dxa"/>
            <w:tcBorders>
              <w:left w:val="single" w:sz="4" w:space="0" w:color="auto"/>
              <w:right w:val="single" w:sz="4" w:space="0" w:color="auto"/>
            </w:tcBorders>
            <w:shd w:val="clear" w:color="auto" w:fill="auto"/>
            <w:vAlign w:val="center"/>
          </w:tcPr>
          <w:p w14:paraId="04DE7EB9" w14:textId="77777777" w:rsidR="00DB215C" w:rsidRPr="00DB215C" w:rsidRDefault="00DB215C" w:rsidP="00DB215C">
            <w:pPr>
              <w:spacing w:before="60" w:after="60"/>
              <w:ind w:right="170"/>
              <w:jc w:val="right"/>
              <w:rPr>
                <w:rFonts w:eastAsia="Calibri"/>
                <w:sz w:val="18"/>
                <w:szCs w:val="18"/>
                <w:lang w:eastAsia="en-US"/>
              </w:rPr>
            </w:pPr>
            <w:r w:rsidRPr="00DB215C">
              <w:rPr>
                <w:rFonts w:eastAsia="Calibri"/>
                <w:sz w:val="18"/>
                <w:szCs w:val="18"/>
                <w:lang w:eastAsia="en-US"/>
              </w:rPr>
              <w:t>817</w:t>
            </w:r>
          </w:p>
        </w:tc>
        <w:tc>
          <w:tcPr>
            <w:tcW w:w="1134" w:type="dxa"/>
            <w:tcBorders>
              <w:top w:val="nil"/>
              <w:left w:val="single" w:sz="4" w:space="0" w:color="auto"/>
              <w:bottom w:val="nil"/>
              <w:right w:val="single" w:sz="4" w:space="0" w:color="auto"/>
            </w:tcBorders>
            <w:shd w:val="clear" w:color="auto" w:fill="auto"/>
            <w:vAlign w:val="center"/>
          </w:tcPr>
          <w:p w14:paraId="66B033CE" w14:textId="77777777" w:rsidR="00DB215C" w:rsidRPr="00DB215C" w:rsidRDefault="00DB215C" w:rsidP="00DB215C">
            <w:pPr>
              <w:spacing w:before="60" w:after="60"/>
              <w:ind w:right="170"/>
              <w:jc w:val="right"/>
              <w:rPr>
                <w:rFonts w:eastAsia="Calibri"/>
                <w:sz w:val="18"/>
                <w:szCs w:val="18"/>
                <w:lang w:eastAsia="en-US"/>
              </w:rPr>
            </w:pPr>
            <w:r w:rsidRPr="00DB215C">
              <w:rPr>
                <w:rFonts w:eastAsia="Calibri"/>
                <w:sz w:val="18"/>
                <w:szCs w:val="18"/>
                <w:lang w:eastAsia="en-US"/>
              </w:rPr>
              <w:t>858</w:t>
            </w:r>
          </w:p>
        </w:tc>
        <w:tc>
          <w:tcPr>
            <w:tcW w:w="992" w:type="dxa"/>
            <w:tcBorders>
              <w:left w:val="single" w:sz="4" w:space="0" w:color="auto"/>
              <w:right w:val="single" w:sz="4" w:space="0" w:color="auto"/>
            </w:tcBorders>
            <w:shd w:val="clear" w:color="auto" w:fill="auto"/>
            <w:vAlign w:val="center"/>
          </w:tcPr>
          <w:p w14:paraId="10C0534F" w14:textId="77777777" w:rsidR="00DB215C" w:rsidRPr="00DB215C" w:rsidRDefault="00DB215C" w:rsidP="00DB215C">
            <w:pPr>
              <w:spacing w:before="60" w:after="60"/>
              <w:ind w:right="170"/>
              <w:jc w:val="right"/>
              <w:rPr>
                <w:rFonts w:eastAsia="Calibri"/>
                <w:sz w:val="18"/>
                <w:szCs w:val="18"/>
                <w:lang w:eastAsia="en-US"/>
              </w:rPr>
            </w:pPr>
            <w:r w:rsidRPr="00DB215C">
              <w:rPr>
                <w:rFonts w:eastAsia="Calibri"/>
                <w:sz w:val="18"/>
                <w:szCs w:val="18"/>
                <w:lang w:eastAsia="en-US"/>
              </w:rPr>
              <w:t>856</w:t>
            </w:r>
          </w:p>
        </w:tc>
        <w:tc>
          <w:tcPr>
            <w:tcW w:w="992" w:type="dxa"/>
            <w:tcBorders>
              <w:top w:val="nil"/>
              <w:left w:val="single" w:sz="4" w:space="0" w:color="auto"/>
              <w:bottom w:val="nil"/>
              <w:right w:val="single" w:sz="4" w:space="0" w:color="auto"/>
            </w:tcBorders>
            <w:shd w:val="clear" w:color="auto" w:fill="auto"/>
            <w:vAlign w:val="center"/>
          </w:tcPr>
          <w:p w14:paraId="3D48BFA3" w14:textId="77777777" w:rsidR="00DB215C" w:rsidRPr="00DB215C" w:rsidRDefault="00DB215C" w:rsidP="00DB215C">
            <w:pPr>
              <w:spacing w:before="60" w:after="60"/>
              <w:ind w:right="227"/>
              <w:jc w:val="right"/>
              <w:rPr>
                <w:rFonts w:eastAsia="Calibri"/>
                <w:sz w:val="18"/>
                <w:szCs w:val="18"/>
                <w:lang w:eastAsia="en-US"/>
              </w:rPr>
            </w:pPr>
            <w:r w:rsidRPr="00DB215C">
              <w:rPr>
                <w:rFonts w:eastAsia="Calibri"/>
                <w:sz w:val="18"/>
                <w:szCs w:val="18"/>
                <w:lang w:eastAsia="en-US"/>
              </w:rPr>
              <w:t>4.9</w:t>
            </w:r>
          </w:p>
        </w:tc>
        <w:tc>
          <w:tcPr>
            <w:tcW w:w="922" w:type="dxa"/>
            <w:tcBorders>
              <w:top w:val="nil"/>
              <w:left w:val="single" w:sz="4" w:space="0" w:color="auto"/>
              <w:bottom w:val="nil"/>
              <w:right w:val="single" w:sz="4" w:space="0" w:color="auto"/>
            </w:tcBorders>
            <w:shd w:val="clear" w:color="auto" w:fill="auto"/>
            <w:vAlign w:val="center"/>
          </w:tcPr>
          <w:p w14:paraId="2AECA410" w14:textId="77777777" w:rsidR="00DB215C" w:rsidRPr="00DB215C" w:rsidRDefault="00DB215C" w:rsidP="00DB215C">
            <w:pPr>
              <w:spacing w:before="60" w:after="60"/>
              <w:ind w:right="227"/>
              <w:jc w:val="right"/>
              <w:rPr>
                <w:rFonts w:eastAsia="Calibri"/>
                <w:bCs/>
                <w:sz w:val="18"/>
                <w:szCs w:val="18"/>
                <w:lang w:eastAsia="en-US"/>
              </w:rPr>
            </w:pPr>
            <w:r w:rsidRPr="00DB215C">
              <w:rPr>
                <w:rFonts w:eastAsia="Calibri"/>
                <w:bCs/>
                <w:sz w:val="18"/>
                <w:szCs w:val="18"/>
                <w:lang w:eastAsia="en-US"/>
              </w:rPr>
              <w:t>-0.2</w:t>
            </w:r>
          </w:p>
        </w:tc>
      </w:tr>
      <w:tr w:rsidR="00DB215C" w:rsidRPr="00DB215C" w14:paraId="50369746" w14:textId="77777777" w:rsidTr="00DB215C">
        <w:trPr>
          <w:trHeight w:val="271"/>
          <w:jc w:val="center"/>
        </w:trPr>
        <w:tc>
          <w:tcPr>
            <w:tcW w:w="3828" w:type="dxa"/>
            <w:tcBorders>
              <w:top w:val="nil"/>
              <w:left w:val="single" w:sz="4" w:space="0" w:color="auto"/>
              <w:bottom w:val="nil"/>
              <w:right w:val="single" w:sz="4" w:space="0" w:color="auto"/>
            </w:tcBorders>
            <w:shd w:val="clear" w:color="auto" w:fill="auto"/>
            <w:vAlign w:val="center"/>
          </w:tcPr>
          <w:p w14:paraId="73A3509C" w14:textId="77777777" w:rsidR="00DB215C" w:rsidRPr="00DB215C" w:rsidRDefault="00DB215C" w:rsidP="00DB215C">
            <w:pPr>
              <w:spacing w:before="60" w:after="60"/>
              <w:ind w:left="113"/>
              <w:rPr>
                <w:rFonts w:eastAsia="Calibri"/>
                <w:bCs/>
                <w:sz w:val="18"/>
                <w:szCs w:val="18"/>
                <w:lang w:eastAsia="en-US"/>
              </w:rPr>
            </w:pPr>
            <w:r w:rsidRPr="00DB215C">
              <w:rPr>
                <w:rFonts w:eastAsia="Calibri"/>
                <w:bCs/>
                <w:sz w:val="18"/>
                <w:szCs w:val="18"/>
                <w:lang w:eastAsia="en-US"/>
              </w:rPr>
              <w:t>Mercado de dinero y títulos de crédito emitidos</w:t>
            </w:r>
          </w:p>
        </w:tc>
        <w:tc>
          <w:tcPr>
            <w:tcW w:w="992" w:type="dxa"/>
            <w:tcBorders>
              <w:left w:val="single" w:sz="4" w:space="0" w:color="auto"/>
              <w:right w:val="single" w:sz="4" w:space="0" w:color="auto"/>
            </w:tcBorders>
            <w:shd w:val="clear" w:color="auto" w:fill="auto"/>
            <w:vAlign w:val="center"/>
          </w:tcPr>
          <w:p w14:paraId="5B586DA7" w14:textId="77777777" w:rsidR="00DB215C" w:rsidRPr="00DB215C" w:rsidRDefault="00DB215C" w:rsidP="00DB215C">
            <w:pPr>
              <w:spacing w:before="60" w:after="60"/>
              <w:ind w:right="170"/>
              <w:jc w:val="right"/>
              <w:rPr>
                <w:rFonts w:eastAsia="Calibri"/>
                <w:sz w:val="18"/>
                <w:szCs w:val="18"/>
                <w:lang w:eastAsia="en-US"/>
              </w:rPr>
            </w:pPr>
            <w:r w:rsidRPr="00DB215C">
              <w:rPr>
                <w:rFonts w:eastAsia="Calibri"/>
                <w:sz w:val="18"/>
                <w:szCs w:val="18"/>
                <w:lang w:eastAsia="en-US"/>
              </w:rPr>
              <w:t>351</w:t>
            </w:r>
          </w:p>
        </w:tc>
        <w:tc>
          <w:tcPr>
            <w:tcW w:w="1134" w:type="dxa"/>
            <w:tcBorders>
              <w:top w:val="nil"/>
              <w:left w:val="single" w:sz="4" w:space="0" w:color="auto"/>
              <w:bottom w:val="nil"/>
              <w:right w:val="single" w:sz="4" w:space="0" w:color="auto"/>
            </w:tcBorders>
            <w:shd w:val="clear" w:color="auto" w:fill="auto"/>
            <w:vAlign w:val="center"/>
          </w:tcPr>
          <w:p w14:paraId="6A73789B" w14:textId="77777777" w:rsidR="00DB215C" w:rsidRPr="00DB215C" w:rsidRDefault="00DB215C" w:rsidP="00DB215C">
            <w:pPr>
              <w:spacing w:before="60" w:after="60"/>
              <w:ind w:right="170"/>
              <w:jc w:val="right"/>
              <w:rPr>
                <w:rFonts w:eastAsia="Calibri"/>
                <w:sz w:val="18"/>
                <w:szCs w:val="18"/>
                <w:lang w:eastAsia="en-US"/>
              </w:rPr>
            </w:pPr>
            <w:r w:rsidRPr="00DB215C">
              <w:rPr>
                <w:rFonts w:eastAsia="Calibri"/>
                <w:sz w:val="18"/>
                <w:szCs w:val="18"/>
                <w:lang w:eastAsia="en-US"/>
              </w:rPr>
              <w:t>438</w:t>
            </w:r>
          </w:p>
        </w:tc>
        <w:tc>
          <w:tcPr>
            <w:tcW w:w="992" w:type="dxa"/>
            <w:tcBorders>
              <w:left w:val="single" w:sz="4" w:space="0" w:color="auto"/>
              <w:right w:val="single" w:sz="4" w:space="0" w:color="auto"/>
            </w:tcBorders>
            <w:shd w:val="clear" w:color="auto" w:fill="auto"/>
            <w:vAlign w:val="center"/>
          </w:tcPr>
          <w:p w14:paraId="6AE6C373" w14:textId="77777777" w:rsidR="00DB215C" w:rsidRPr="00DB215C" w:rsidRDefault="00DB215C" w:rsidP="00DB215C">
            <w:pPr>
              <w:spacing w:before="60" w:after="60"/>
              <w:ind w:right="170"/>
              <w:jc w:val="right"/>
              <w:rPr>
                <w:rFonts w:eastAsia="Calibri"/>
                <w:sz w:val="18"/>
                <w:szCs w:val="18"/>
                <w:lang w:eastAsia="en-US"/>
              </w:rPr>
            </w:pPr>
            <w:r w:rsidRPr="00DB215C">
              <w:rPr>
                <w:rFonts w:eastAsia="Calibri"/>
                <w:sz w:val="18"/>
                <w:szCs w:val="18"/>
                <w:lang w:eastAsia="en-US"/>
              </w:rPr>
              <w:t>467</w:t>
            </w:r>
          </w:p>
        </w:tc>
        <w:tc>
          <w:tcPr>
            <w:tcW w:w="992" w:type="dxa"/>
            <w:tcBorders>
              <w:top w:val="nil"/>
              <w:left w:val="single" w:sz="4" w:space="0" w:color="auto"/>
              <w:bottom w:val="nil"/>
              <w:right w:val="single" w:sz="4" w:space="0" w:color="auto"/>
            </w:tcBorders>
            <w:shd w:val="clear" w:color="auto" w:fill="auto"/>
            <w:vAlign w:val="center"/>
          </w:tcPr>
          <w:p w14:paraId="31E4F742" w14:textId="77777777" w:rsidR="00DB215C" w:rsidRPr="00DB215C" w:rsidRDefault="00DB215C" w:rsidP="00DB215C">
            <w:pPr>
              <w:spacing w:before="60" w:after="60"/>
              <w:ind w:right="227"/>
              <w:jc w:val="right"/>
              <w:rPr>
                <w:rFonts w:eastAsia="Calibri"/>
                <w:sz w:val="18"/>
                <w:szCs w:val="18"/>
                <w:lang w:eastAsia="en-US"/>
              </w:rPr>
            </w:pPr>
            <w:r w:rsidRPr="00DB215C">
              <w:rPr>
                <w:rFonts w:eastAsia="Calibri"/>
                <w:sz w:val="18"/>
                <w:szCs w:val="18"/>
                <w:lang w:eastAsia="en-US"/>
              </w:rPr>
              <w:t>32.8</w:t>
            </w:r>
          </w:p>
        </w:tc>
        <w:tc>
          <w:tcPr>
            <w:tcW w:w="922" w:type="dxa"/>
            <w:tcBorders>
              <w:top w:val="nil"/>
              <w:left w:val="single" w:sz="4" w:space="0" w:color="auto"/>
              <w:bottom w:val="nil"/>
              <w:right w:val="single" w:sz="4" w:space="0" w:color="auto"/>
            </w:tcBorders>
            <w:shd w:val="clear" w:color="auto" w:fill="auto"/>
            <w:vAlign w:val="center"/>
          </w:tcPr>
          <w:p w14:paraId="37EE68C8" w14:textId="77777777" w:rsidR="00DB215C" w:rsidRPr="00DB215C" w:rsidRDefault="00DB215C" w:rsidP="00DB215C">
            <w:pPr>
              <w:spacing w:before="60" w:after="60"/>
              <w:ind w:right="227"/>
              <w:jc w:val="right"/>
              <w:rPr>
                <w:rFonts w:eastAsia="Calibri"/>
                <w:bCs/>
                <w:sz w:val="18"/>
                <w:szCs w:val="18"/>
                <w:lang w:eastAsia="en-US"/>
              </w:rPr>
            </w:pPr>
            <w:r w:rsidRPr="00DB215C">
              <w:rPr>
                <w:rFonts w:eastAsia="Calibri"/>
                <w:bCs/>
                <w:sz w:val="18"/>
                <w:szCs w:val="18"/>
                <w:lang w:eastAsia="en-US"/>
              </w:rPr>
              <w:t>6.6</w:t>
            </w:r>
          </w:p>
        </w:tc>
      </w:tr>
      <w:tr w:rsidR="00DB215C" w:rsidRPr="00DB215C" w14:paraId="42F8DF00" w14:textId="77777777" w:rsidTr="00DB215C">
        <w:trPr>
          <w:trHeight w:val="261"/>
          <w:jc w:val="center"/>
        </w:trPr>
        <w:tc>
          <w:tcPr>
            <w:tcW w:w="3828" w:type="dxa"/>
            <w:tcBorders>
              <w:top w:val="nil"/>
              <w:left w:val="single" w:sz="4" w:space="0" w:color="auto"/>
              <w:bottom w:val="single" w:sz="4" w:space="0" w:color="auto"/>
              <w:right w:val="single" w:sz="4" w:space="0" w:color="auto"/>
            </w:tcBorders>
            <w:shd w:val="clear" w:color="auto" w:fill="auto"/>
            <w:vAlign w:val="center"/>
          </w:tcPr>
          <w:p w14:paraId="5956315E" w14:textId="77777777" w:rsidR="00DB215C" w:rsidRPr="00DB215C" w:rsidRDefault="00DB215C" w:rsidP="00DB215C">
            <w:pPr>
              <w:spacing w:before="60" w:after="120"/>
              <w:ind w:left="113"/>
              <w:rPr>
                <w:rFonts w:eastAsia="Calibri"/>
                <w:bCs/>
                <w:sz w:val="18"/>
                <w:szCs w:val="18"/>
                <w:lang w:eastAsia="en-US"/>
              </w:rPr>
            </w:pPr>
            <w:r w:rsidRPr="00DB215C">
              <w:rPr>
                <w:rFonts w:eastAsia="Calibri"/>
                <w:bCs/>
                <w:sz w:val="18"/>
                <w:szCs w:val="18"/>
                <w:lang w:eastAsia="en-US"/>
              </w:rPr>
              <w:t>Préstamos interbancarios y de otros organismos</w:t>
            </w:r>
          </w:p>
        </w:tc>
        <w:tc>
          <w:tcPr>
            <w:tcW w:w="992" w:type="dxa"/>
            <w:tcBorders>
              <w:left w:val="single" w:sz="4" w:space="0" w:color="auto"/>
              <w:bottom w:val="single" w:sz="4" w:space="0" w:color="auto"/>
              <w:right w:val="single" w:sz="4" w:space="0" w:color="auto"/>
            </w:tcBorders>
            <w:shd w:val="clear" w:color="auto" w:fill="auto"/>
            <w:vAlign w:val="center"/>
          </w:tcPr>
          <w:p w14:paraId="5AB0D44A" w14:textId="77777777" w:rsidR="00DB215C" w:rsidRPr="00DB215C" w:rsidRDefault="00DB215C" w:rsidP="00DB215C">
            <w:pPr>
              <w:spacing w:before="60" w:after="120"/>
              <w:ind w:right="170"/>
              <w:jc w:val="right"/>
              <w:rPr>
                <w:rFonts w:eastAsia="Calibri"/>
                <w:sz w:val="18"/>
                <w:szCs w:val="18"/>
                <w:lang w:eastAsia="en-US"/>
              </w:rPr>
            </w:pPr>
            <w:r w:rsidRPr="00DB215C">
              <w:rPr>
                <w:rFonts w:eastAsia="Calibri"/>
                <w:sz w:val="18"/>
                <w:szCs w:val="18"/>
                <w:lang w:eastAsia="en-US"/>
              </w:rPr>
              <w:t>270</w:t>
            </w:r>
          </w:p>
        </w:tc>
        <w:tc>
          <w:tcPr>
            <w:tcW w:w="1134" w:type="dxa"/>
            <w:tcBorders>
              <w:top w:val="nil"/>
              <w:left w:val="single" w:sz="4" w:space="0" w:color="auto"/>
              <w:bottom w:val="single" w:sz="4" w:space="0" w:color="auto"/>
              <w:right w:val="single" w:sz="4" w:space="0" w:color="auto"/>
            </w:tcBorders>
            <w:shd w:val="clear" w:color="auto" w:fill="auto"/>
            <w:vAlign w:val="center"/>
          </w:tcPr>
          <w:p w14:paraId="4CCCFF5C" w14:textId="77777777" w:rsidR="00DB215C" w:rsidRPr="00DB215C" w:rsidRDefault="00DB215C" w:rsidP="00DB215C">
            <w:pPr>
              <w:spacing w:before="60" w:after="120"/>
              <w:ind w:right="170"/>
              <w:jc w:val="right"/>
              <w:rPr>
                <w:rFonts w:eastAsia="Calibri"/>
                <w:sz w:val="18"/>
                <w:szCs w:val="18"/>
                <w:lang w:eastAsia="en-US"/>
              </w:rPr>
            </w:pPr>
            <w:r w:rsidRPr="00DB215C">
              <w:rPr>
                <w:rFonts w:eastAsia="Calibri"/>
                <w:sz w:val="18"/>
                <w:szCs w:val="18"/>
                <w:lang w:eastAsia="en-US"/>
              </w:rPr>
              <w:t>284</w:t>
            </w:r>
          </w:p>
        </w:tc>
        <w:tc>
          <w:tcPr>
            <w:tcW w:w="992" w:type="dxa"/>
            <w:tcBorders>
              <w:left w:val="single" w:sz="4" w:space="0" w:color="auto"/>
              <w:bottom w:val="single" w:sz="4" w:space="0" w:color="auto"/>
              <w:right w:val="single" w:sz="4" w:space="0" w:color="auto"/>
            </w:tcBorders>
            <w:shd w:val="clear" w:color="auto" w:fill="auto"/>
            <w:vAlign w:val="center"/>
          </w:tcPr>
          <w:p w14:paraId="6F6D5C83" w14:textId="77777777" w:rsidR="00DB215C" w:rsidRPr="00DB215C" w:rsidRDefault="00DB215C" w:rsidP="00DB215C">
            <w:pPr>
              <w:spacing w:before="60" w:after="120"/>
              <w:ind w:right="170"/>
              <w:jc w:val="right"/>
              <w:rPr>
                <w:rFonts w:eastAsia="Calibri"/>
                <w:sz w:val="18"/>
                <w:szCs w:val="18"/>
                <w:lang w:eastAsia="en-US"/>
              </w:rPr>
            </w:pPr>
            <w:r w:rsidRPr="00DB215C">
              <w:rPr>
                <w:rFonts w:eastAsia="Calibri"/>
                <w:sz w:val="18"/>
                <w:szCs w:val="18"/>
                <w:lang w:eastAsia="en-US"/>
              </w:rPr>
              <w:t>245</w:t>
            </w:r>
          </w:p>
        </w:tc>
        <w:tc>
          <w:tcPr>
            <w:tcW w:w="992" w:type="dxa"/>
            <w:tcBorders>
              <w:top w:val="nil"/>
              <w:left w:val="single" w:sz="4" w:space="0" w:color="auto"/>
              <w:bottom w:val="single" w:sz="4" w:space="0" w:color="auto"/>
              <w:right w:val="single" w:sz="4" w:space="0" w:color="auto"/>
            </w:tcBorders>
            <w:shd w:val="clear" w:color="auto" w:fill="auto"/>
            <w:vAlign w:val="center"/>
          </w:tcPr>
          <w:p w14:paraId="5183039A" w14:textId="77777777" w:rsidR="00DB215C" w:rsidRPr="00DB215C" w:rsidRDefault="00DB215C" w:rsidP="00DB215C">
            <w:pPr>
              <w:spacing w:before="60" w:after="120"/>
              <w:ind w:right="227"/>
              <w:jc w:val="right"/>
              <w:rPr>
                <w:rFonts w:eastAsia="Calibri"/>
                <w:sz w:val="18"/>
                <w:szCs w:val="18"/>
                <w:lang w:eastAsia="en-US"/>
              </w:rPr>
            </w:pPr>
            <w:r w:rsidRPr="00DB215C">
              <w:rPr>
                <w:rFonts w:eastAsia="Calibri"/>
                <w:sz w:val="18"/>
                <w:szCs w:val="18"/>
                <w:lang w:eastAsia="en-US"/>
              </w:rPr>
              <w:t>-9.0</w:t>
            </w:r>
          </w:p>
        </w:tc>
        <w:tc>
          <w:tcPr>
            <w:tcW w:w="922" w:type="dxa"/>
            <w:tcBorders>
              <w:top w:val="nil"/>
              <w:left w:val="single" w:sz="4" w:space="0" w:color="auto"/>
              <w:bottom w:val="single" w:sz="4" w:space="0" w:color="auto"/>
              <w:right w:val="single" w:sz="4" w:space="0" w:color="auto"/>
            </w:tcBorders>
            <w:shd w:val="clear" w:color="auto" w:fill="auto"/>
            <w:vAlign w:val="center"/>
          </w:tcPr>
          <w:p w14:paraId="2A2E0815" w14:textId="77777777" w:rsidR="00DB215C" w:rsidRPr="00DB215C" w:rsidRDefault="00DB215C" w:rsidP="00DB215C">
            <w:pPr>
              <w:spacing w:before="60" w:after="120"/>
              <w:ind w:right="227"/>
              <w:jc w:val="right"/>
              <w:rPr>
                <w:rFonts w:eastAsia="Calibri"/>
                <w:bCs/>
                <w:sz w:val="18"/>
                <w:szCs w:val="18"/>
                <w:lang w:eastAsia="en-US"/>
              </w:rPr>
            </w:pPr>
            <w:r w:rsidRPr="00DB215C">
              <w:rPr>
                <w:rFonts w:eastAsia="Calibri"/>
                <w:bCs/>
                <w:sz w:val="18"/>
                <w:szCs w:val="18"/>
                <w:lang w:eastAsia="en-US"/>
              </w:rPr>
              <w:t>-13.6</w:t>
            </w:r>
          </w:p>
        </w:tc>
      </w:tr>
      <w:tr w:rsidR="00DB215C" w:rsidRPr="00DB215C" w14:paraId="0B992473" w14:textId="77777777" w:rsidTr="00DB215C">
        <w:trPr>
          <w:trHeight w:val="261"/>
          <w:jc w:val="center"/>
        </w:trPr>
        <w:tc>
          <w:tcPr>
            <w:tcW w:w="8860" w:type="dxa"/>
            <w:gridSpan w:val="6"/>
            <w:tcBorders>
              <w:top w:val="single" w:sz="4" w:space="0" w:color="auto"/>
              <w:bottom w:val="nil"/>
            </w:tcBorders>
            <w:vAlign w:val="center"/>
          </w:tcPr>
          <w:p w14:paraId="608FE6E1" w14:textId="77777777" w:rsidR="00DB215C" w:rsidRPr="00DB215C" w:rsidRDefault="00DB215C" w:rsidP="00DB215C">
            <w:pPr>
              <w:spacing w:before="120"/>
              <w:jc w:val="both"/>
              <w:rPr>
                <w:rFonts w:eastAsia="Calibri"/>
                <w:bCs/>
                <w:sz w:val="20"/>
                <w:szCs w:val="20"/>
                <w:lang w:eastAsia="en-US"/>
              </w:rPr>
            </w:pPr>
            <w:r w:rsidRPr="00DB215C">
              <w:rPr>
                <w:rFonts w:eastAsia="Calibri"/>
                <w:bCs/>
                <w:sz w:val="20"/>
                <w:szCs w:val="20"/>
                <w:lang w:eastAsia="en-US"/>
              </w:rPr>
              <w:t>FUENTE: CNBV.</w:t>
            </w:r>
          </w:p>
        </w:tc>
      </w:tr>
    </w:tbl>
    <w:p w14:paraId="0D181A09" w14:textId="77777777" w:rsidR="00DB215C" w:rsidRPr="00DB215C" w:rsidRDefault="00DB215C" w:rsidP="00DB215C">
      <w:pPr>
        <w:spacing w:after="360" w:line="360" w:lineRule="auto"/>
        <w:ind w:right="-159"/>
        <w:jc w:val="both"/>
        <w:rPr>
          <w:rFonts w:eastAsia="Calibri"/>
          <w:sz w:val="26"/>
          <w:szCs w:val="26"/>
          <w:lang w:eastAsia="en-US"/>
        </w:rPr>
      </w:pPr>
    </w:p>
    <w:p w14:paraId="70AB7EF8" w14:textId="77777777" w:rsidR="00DB215C" w:rsidRDefault="00DB215C" w:rsidP="00DB215C">
      <w:pPr>
        <w:spacing w:after="360" w:line="360" w:lineRule="auto"/>
        <w:ind w:right="-159"/>
        <w:jc w:val="both"/>
        <w:rPr>
          <w:rFonts w:eastAsia="Calibri"/>
          <w:b/>
          <w:sz w:val="26"/>
          <w:szCs w:val="26"/>
          <w:lang w:eastAsia="en-US"/>
        </w:rPr>
      </w:pPr>
      <w:r w:rsidRPr="00DB215C">
        <w:rPr>
          <w:rFonts w:eastAsia="Calibri"/>
          <w:b/>
          <w:sz w:val="26"/>
          <w:szCs w:val="26"/>
          <w:lang w:eastAsia="en-US"/>
        </w:rPr>
        <w:t>Estado de resultados</w:t>
      </w:r>
    </w:p>
    <w:tbl>
      <w:tblPr>
        <w:tblW w:w="8588" w:type="dxa"/>
        <w:jc w:val="center"/>
        <w:tblLayout w:type="fixed"/>
        <w:tblLook w:val="01E0" w:firstRow="1" w:lastRow="1" w:firstColumn="1" w:lastColumn="1" w:noHBand="0" w:noVBand="0"/>
      </w:tblPr>
      <w:tblGrid>
        <w:gridCol w:w="4253"/>
        <w:gridCol w:w="1134"/>
        <w:gridCol w:w="1134"/>
        <w:gridCol w:w="992"/>
        <w:gridCol w:w="1004"/>
        <w:gridCol w:w="71"/>
      </w:tblGrid>
      <w:tr w:rsidR="00DB215C" w:rsidRPr="00DB215C" w14:paraId="3DE17193" w14:textId="77777777" w:rsidTr="00CE5E35">
        <w:trPr>
          <w:gridAfter w:val="1"/>
          <w:wAfter w:w="71" w:type="dxa"/>
          <w:trHeight w:val="552"/>
          <w:jc w:val="center"/>
        </w:trPr>
        <w:tc>
          <w:tcPr>
            <w:tcW w:w="8517" w:type="dxa"/>
            <w:gridSpan w:val="5"/>
            <w:tcBorders>
              <w:top w:val="nil"/>
              <w:bottom w:val="single" w:sz="4" w:space="0" w:color="auto"/>
            </w:tcBorders>
            <w:shd w:val="clear" w:color="auto" w:fill="auto"/>
            <w:vAlign w:val="center"/>
          </w:tcPr>
          <w:p w14:paraId="7E32D6AB" w14:textId="77777777" w:rsidR="00DB215C" w:rsidRPr="00CE5E35" w:rsidRDefault="00DB215C" w:rsidP="00DB215C">
            <w:pPr>
              <w:jc w:val="center"/>
              <w:rPr>
                <w:rFonts w:eastAsia="Calibri"/>
                <w:bCs/>
                <w:sz w:val="22"/>
                <w:szCs w:val="22"/>
                <w:lang w:eastAsia="en-US"/>
              </w:rPr>
            </w:pPr>
            <w:r w:rsidRPr="00CE5E35">
              <w:rPr>
                <w:rFonts w:eastAsia="Calibri"/>
                <w:b/>
                <w:bCs/>
                <w:sz w:val="22"/>
                <w:szCs w:val="22"/>
                <w:lang w:eastAsia="en-US"/>
              </w:rPr>
              <w:t>BANCA MÚLTIPLE: ESTADO DE RESULTADOS</w:t>
            </w:r>
          </w:p>
          <w:p w14:paraId="79E0BDE2" w14:textId="468F5FE1" w:rsidR="00DB215C" w:rsidRPr="00CE5E35" w:rsidRDefault="00DB215C" w:rsidP="00CE5E35">
            <w:pPr>
              <w:jc w:val="center"/>
              <w:rPr>
                <w:rFonts w:eastAsia="Calibri"/>
                <w:bCs/>
                <w:sz w:val="22"/>
                <w:szCs w:val="22"/>
                <w:lang w:eastAsia="en-US"/>
              </w:rPr>
            </w:pPr>
            <w:r w:rsidRPr="00CE5E35">
              <w:rPr>
                <w:rFonts w:eastAsia="Calibri"/>
                <w:b/>
                <w:bCs/>
                <w:sz w:val="22"/>
                <w:szCs w:val="22"/>
                <w:lang w:eastAsia="en-US"/>
              </w:rPr>
              <w:t>-Resultado acumulado en mmdp-</w:t>
            </w:r>
          </w:p>
        </w:tc>
      </w:tr>
      <w:tr w:rsidR="00DB215C" w:rsidRPr="00DB215C" w14:paraId="0E536C97" w14:textId="77777777" w:rsidTr="00CE5E35">
        <w:trPr>
          <w:trHeight w:val="103"/>
          <w:jc w:val="center"/>
        </w:trPr>
        <w:tc>
          <w:tcPr>
            <w:tcW w:w="425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CCEF297" w14:textId="77777777" w:rsidR="00DB215C" w:rsidRPr="00CE5E35" w:rsidRDefault="00DB215C" w:rsidP="00DB215C">
            <w:pPr>
              <w:jc w:val="center"/>
              <w:rPr>
                <w:rFonts w:eastAsia="Calibri"/>
                <w:bCs/>
                <w:sz w:val="16"/>
                <w:szCs w:val="16"/>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A3D4AB1" w14:textId="77777777" w:rsidR="00DB215C" w:rsidRPr="00CE5E35" w:rsidRDefault="00DB215C" w:rsidP="00DB215C">
            <w:pPr>
              <w:jc w:val="center"/>
              <w:rPr>
                <w:rFonts w:eastAsia="Calibri"/>
                <w:b/>
                <w:sz w:val="16"/>
                <w:szCs w:val="16"/>
                <w:lang w:eastAsia="en-US"/>
              </w:rPr>
            </w:pPr>
            <w:r w:rsidRPr="00CE5E35">
              <w:rPr>
                <w:rFonts w:eastAsia="Calibri"/>
                <w:b/>
                <w:sz w:val="16"/>
                <w:szCs w:val="16"/>
                <w:lang w:eastAsia="en-US"/>
              </w:rPr>
              <w:t>Enero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C675F37" w14:textId="77777777" w:rsidR="00DB215C" w:rsidRPr="00CE5E35" w:rsidRDefault="00DB215C" w:rsidP="00DB215C">
            <w:pPr>
              <w:jc w:val="center"/>
              <w:rPr>
                <w:rFonts w:eastAsia="Calibri"/>
                <w:b/>
                <w:sz w:val="16"/>
                <w:szCs w:val="16"/>
                <w:lang w:eastAsia="en-US"/>
              </w:rPr>
            </w:pPr>
            <w:r w:rsidRPr="00CE5E35">
              <w:rPr>
                <w:rFonts w:eastAsia="Calibri"/>
                <w:b/>
                <w:sz w:val="16"/>
                <w:szCs w:val="16"/>
                <w:lang w:eastAsia="en-US"/>
              </w:rPr>
              <w:t>Enero</w:t>
            </w:r>
          </w:p>
        </w:tc>
        <w:tc>
          <w:tcPr>
            <w:tcW w:w="20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4BC7EA6" w14:textId="77777777" w:rsidR="00DB215C" w:rsidRPr="00CE5E35" w:rsidRDefault="00DB215C" w:rsidP="00DB215C">
            <w:pPr>
              <w:jc w:val="center"/>
              <w:rPr>
                <w:rFonts w:eastAsia="Calibri"/>
                <w:bCs/>
                <w:sz w:val="16"/>
                <w:szCs w:val="16"/>
                <w:lang w:eastAsia="en-US"/>
              </w:rPr>
            </w:pPr>
            <w:r w:rsidRPr="00CE5E35">
              <w:rPr>
                <w:rFonts w:eastAsia="Calibri"/>
                <w:b/>
                <w:bCs/>
                <w:sz w:val="16"/>
                <w:szCs w:val="16"/>
                <w:lang w:eastAsia="en-US"/>
              </w:rPr>
              <w:t>Diferencia Anual</w:t>
            </w:r>
          </w:p>
        </w:tc>
      </w:tr>
      <w:tr w:rsidR="00DB215C" w:rsidRPr="00DB215C" w14:paraId="7D29B38B" w14:textId="77777777" w:rsidTr="00CE5E35">
        <w:trPr>
          <w:trHeight w:val="79"/>
          <w:jc w:val="center"/>
        </w:trPr>
        <w:tc>
          <w:tcPr>
            <w:tcW w:w="425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1799EDE" w14:textId="77777777" w:rsidR="00DB215C" w:rsidRPr="00CE5E35" w:rsidRDefault="00DB215C" w:rsidP="00DB215C">
            <w:pPr>
              <w:jc w:val="center"/>
              <w:rPr>
                <w:rFonts w:eastAsia="Calibri"/>
                <w:bCs/>
                <w:sz w:val="16"/>
                <w:szCs w:val="16"/>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1D08577" w14:textId="77777777" w:rsidR="00DB215C" w:rsidRPr="00CE5E35" w:rsidRDefault="00DB215C" w:rsidP="00DB215C">
            <w:pPr>
              <w:jc w:val="center"/>
              <w:rPr>
                <w:rFonts w:eastAsia="Calibri"/>
                <w:b/>
                <w:sz w:val="16"/>
                <w:szCs w:val="16"/>
                <w:lang w:eastAsia="en-US"/>
              </w:rPr>
            </w:pPr>
            <w:r w:rsidRPr="00CE5E35">
              <w:rPr>
                <w:rFonts w:eastAsia="Calibri"/>
                <w:b/>
                <w:sz w:val="16"/>
                <w:szCs w:val="16"/>
                <w:lang w:eastAsia="en-US"/>
              </w:rPr>
              <w:t>2014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79CDF66" w14:textId="77777777" w:rsidR="00DB215C" w:rsidRPr="00CE5E35" w:rsidRDefault="00DB215C" w:rsidP="00DB215C">
            <w:pPr>
              <w:jc w:val="center"/>
              <w:rPr>
                <w:rFonts w:eastAsia="Calibri"/>
                <w:b/>
                <w:sz w:val="16"/>
                <w:szCs w:val="16"/>
                <w:lang w:eastAsia="en-US"/>
              </w:rPr>
            </w:pPr>
            <w:r w:rsidRPr="00CE5E35">
              <w:rPr>
                <w:rFonts w:eastAsia="Calibri"/>
                <w:b/>
                <w:sz w:val="16"/>
                <w:szCs w:val="16"/>
                <w:lang w:eastAsia="en-US"/>
              </w:rPr>
              <w:t>2015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8333C99" w14:textId="77777777" w:rsidR="00DB215C" w:rsidRPr="00CE5E35" w:rsidRDefault="00DB215C" w:rsidP="00DB215C">
            <w:pPr>
              <w:jc w:val="center"/>
              <w:rPr>
                <w:rFonts w:eastAsia="Calibri"/>
                <w:b/>
                <w:sz w:val="16"/>
                <w:szCs w:val="16"/>
                <w:lang w:eastAsia="en-US"/>
              </w:rPr>
            </w:pPr>
            <w:r w:rsidRPr="00CE5E35">
              <w:rPr>
                <w:rFonts w:eastAsia="Calibri"/>
                <w:b/>
                <w:sz w:val="16"/>
                <w:szCs w:val="16"/>
                <w:lang w:eastAsia="en-US"/>
              </w:rPr>
              <w:t>MMDP</w:t>
            </w:r>
          </w:p>
        </w:tc>
        <w:tc>
          <w:tcPr>
            <w:tcW w:w="10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A88CAE" w14:textId="77777777" w:rsidR="00DB215C" w:rsidRPr="00CE5E35" w:rsidRDefault="00DB215C" w:rsidP="00DB215C">
            <w:pPr>
              <w:jc w:val="center"/>
              <w:rPr>
                <w:rFonts w:eastAsia="Calibri"/>
                <w:bCs/>
                <w:sz w:val="16"/>
                <w:szCs w:val="16"/>
                <w:lang w:eastAsia="en-US"/>
              </w:rPr>
            </w:pPr>
            <w:r w:rsidRPr="00CE5E35">
              <w:rPr>
                <w:rFonts w:eastAsia="Calibri"/>
                <w:b/>
                <w:bCs/>
                <w:sz w:val="16"/>
                <w:szCs w:val="16"/>
                <w:lang w:eastAsia="en-US"/>
              </w:rPr>
              <w:t>%</w:t>
            </w:r>
          </w:p>
        </w:tc>
      </w:tr>
      <w:tr w:rsidR="00DB215C" w:rsidRPr="00DB215C" w14:paraId="3260A58E" w14:textId="77777777" w:rsidTr="00CE5E35">
        <w:trPr>
          <w:trHeight w:val="271"/>
          <w:jc w:val="center"/>
        </w:trPr>
        <w:tc>
          <w:tcPr>
            <w:tcW w:w="4253" w:type="dxa"/>
            <w:tcBorders>
              <w:top w:val="single" w:sz="4" w:space="0" w:color="auto"/>
              <w:left w:val="single" w:sz="4" w:space="0" w:color="auto"/>
              <w:bottom w:val="nil"/>
              <w:right w:val="single" w:sz="4" w:space="0" w:color="auto"/>
            </w:tcBorders>
            <w:shd w:val="clear" w:color="auto" w:fill="auto"/>
            <w:vAlign w:val="center"/>
          </w:tcPr>
          <w:p w14:paraId="43D9CE83" w14:textId="77777777" w:rsidR="00DB215C" w:rsidRPr="00CE5E35" w:rsidRDefault="00DB215C" w:rsidP="00DB215C">
            <w:pPr>
              <w:spacing w:before="120"/>
              <w:ind w:left="170"/>
              <w:rPr>
                <w:rFonts w:eastAsia="Calibri"/>
                <w:bCs/>
                <w:sz w:val="16"/>
                <w:szCs w:val="16"/>
                <w:lang w:val="en-US" w:eastAsia="en-US"/>
              </w:rPr>
            </w:pPr>
            <w:r w:rsidRPr="00CE5E35">
              <w:rPr>
                <w:rFonts w:eastAsia="Calibri"/>
                <w:bCs/>
                <w:sz w:val="16"/>
                <w:szCs w:val="16"/>
                <w:lang w:val="en-US" w:eastAsia="en-US"/>
              </w:rPr>
              <w:t>Ingresos por intereses</w:t>
            </w:r>
          </w:p>
        </w:tc>
        <w:tc>
          <w:tcPr>
            <w:tcW w:w="1134" w:type="dxa"/>
            <w:tcBorders>
              <w:top w:val="single" w:sz="4" w:space="0" w:color="auto"/>
              <w:left w:val="single" w:sz="4" w:space="0" w:color="auto"/>
              <w:right w:val="single" w:sz="4" w:space="0" w:color="auto"/>
            </w:tcBorders>
            <w:shd w:val="clear" w:color="auto" w:fill="auto"/>
            <w:vAlign w:val="center"/>
          </w:tcPr>
          <w:p w14:paraId="15D44A8A" w14:textId="77777777" w:rsidR="00DB215C" w:rsidRPr="00CE5E35" w:rsidRDefault="00DB215C" w:rsidP="00DB215C">
            <w:pPr>
              <w:spacing w:before="120"/>
              <w:ind w:right="340"/>
              <w:jc w:val="right"/>
              <w:rPr>
                <w:rFonts w:eastAsia="Calibri"/>
                <w:sz w:val="16"/>
                <w:szCs w:val="16"/>
                <w:lang w:val="en-US" w:eastAsia="en-US"/>
              </w:rPr>
            </w:pPr>
            <w:r w:rsidRPr="00CE5E35">
              <w:rPr>
                <w:rFonts w:eastAsia="Calibri"/>
                <w:sz w:val="16"/>
                <w:szCs w:val="16"/>
                <w:lang w:val="en-US" w:eastAsia="en-US"/>
              </w:rPr>
              <w:t>39</w:t>
            </w:r>
          </w:p>
        </w:tc>
        <w:tc>
          <w:tcPr>
            <w:tcW w:w="1134" w:type="dxa"/>
            <w:tcBorders>
              <w:top w:val="single" w:sz="4" w:space="0" w:color="auto"/>
              <w:left w:val="single" w:sz="4" w:space="0" w:color="auto"/>
              <w:bottom w:val="nil"/>
              <w:right w:val="single" w:sz="4" w:space="0" w:color="auto"/>
            </w:tcBorders>
            <w:shd w:val="clear" w:color="auto" w:fill="auto"/>
            <w:vAlign w:val="center"/>
          </w:tcPr>
          <w:p w14:paraId="0C3C4689" w14:textId="77777777" w:rsidR="00DB215C" w:rsidRPr="00CE5E35" w:rsidRDefault="00DB215C" w:rsidP="00DB215C">
            <w:pPr>
              <w:spacing w:before="120"/>
              <w:ind w:right="340"/>
              <w:jc w:val="right"/>
              <w:rPr>
                <w:rFonts w:eastAsia="Calibri"/>
                <w:sz w:val="16"/>
                <w:szCs w:val="16"/>
                <w:lang w:val="en-US" w:eastAsia="en-US"/>
              </w:rPr>
            </w:pPr>
            <w:r w:rsidRPr="00CE5E35">
              <w:rPr>
                <w:rFonts w:eastAsia="Calibri"/>
                <w:sz w:val="16"/>
                <w:szCs w:val="16"/>
                <w:lang w:val="en-US" w:eastAsia="en-US"/>
              </w:rPr>
              <w:t>40</w:t>
            </w:r>
          </w:p>
        </w:tc>
        <w:tc>
          <w:tcPr>
            <w:tcW w:w="992" w:type="dxa"/>
            <w:tcBorders>
              <w:top w:val="single" w:sz="4" w:space="0" w:color="auto"/>
              <w:left w:val="single" w:sz="4" w:space="0" w:color="auto"/>
              <w:right w:val="single" w:sz="4" w:space="0" w:color="auto"/>
            </w:tcBorders>
            <w:shd w:val="clear" w:color="auto" w:fill="auto"/>
            <w:vAlign w:val="center"/>
          </w:tcPr>
          <w:p w14:paraId="7F6AA44C" w14:textId="77777777" w:rsidR="00DB215C" w:rsidRPr="00CE5E35" w:rsidRDefault="00DB215C" w:rsidP="00DB215C">
            <w:pPr>
              <w:spacing w:before="120"/>
              <w:ind w:right="340"/>
              <w:jc w:val="right"/>
              <w:rPr>
                <w:rFonts w:eastAsia="Calibri"/>
                <w:sz w:val="16"/>
                <w:szCs w:val="16"/>
                <w:lang w:val="en-US" w:eastAsia="en-US"/>
              </w:rPr>
            </w:pPr>
            <w:r w:rsidRPr="00CE5E35">
              <w:rPr>
                <w:rFonts w:eastAsia="Calibri"/>
                <w:sz w:val="16"/>
                <w:szCs w:val="16"/>
                <w:lang w:val="en-US" w:eastAsia="en-US"/>
              </w:rPr>
              <w:t>1</w:t>
            </w:r>
          </w:p>
        </w:tc>
        <w:tc>
          <w:tcPr>
            <w:tcW w:w="1075" w:type="dxa"/>
            <w:gridSpan w:val="2"/>
            <w:tcBorders>
              <w:top w:val="single" w:sz="4" w:space="0" w:color="auto"/>
              <w:left w:val="single" w:sz="4" w:space="0" w:color="auto"/>
              <w:bottom w:val="nil"/>
              <w:right w:val="single" w:sz="4" w:space="0" w:color="auto"/>
            </w:tcBorders>
            <w:shd w:val="clear" w:color="auto" w:fill="auto"/>
            <w:vAlign w:val="center"/>
          </w:tcPr>
          <w:p w14:paraId="392DF018" w14:textId="77777777" w:rsidR="00DB215C" w:rsidRPr="00CE5E35" w:rsidRDefault="00DB215C" w:rsidP="00DB215C">
            <w:pPr>
              <w:spacing w:before="120"/>
              <w:ind w:right="284"/>
              <w:jc w:val="right"/>
              <w:rPr>
                <w:rFonts w:eastAsia="Calibri"/>
                <w:bCs/>
                <w:sz w:val="16"/>
                <w:szCs w:val="16"/>
                <w:lang w:eastAsia="en-US"/>
              </w:rPr>
            </w:pPr>
            <w:r w:rsidRPr="00CE5E35">
              <w:rPr>
                <w:rFonts w:eastAsia="Calibri"/>
                <w:bCs/>
                <w:sz w:val="16"/>
                <w:szCs w:val="16"/>
                <w:lang w:eastAsia="en-US"/>
              </w:rPr>
              <w:t>2.7</w:t>
            </w:r>
          </w:p>
        </w:tc>
      </w:tr>
      <w:tr w:rsidR="00DB215C" w:rsidRPr="00DB215C" w14:paraId="3EE01E64" w14:textId="77777777" w:rsidTr="00DB215C">
        <w:trPr>
          <w:trHeight w:val="271"/>
          <w:jc w:val="center"/>
        </w:trPr>
        <w:tc>
          <w:tcPr>
            <w:tcW w:w="4253" w:type="dxa"/>
            <w:tcBorders>
              <w:top w:val="nil"/>
              <w:left w:val="single" w:sz="4" w:space="0" w:color="auto"/>
              <w:bottom w:val="nil"/>
              <w:right w:val="single" w:sz="4" w:space="0" w:color="auto"/>
            </w:tcBorders>
            <w:shd w:val="clear" w:color="auto" w:fill="auto"/>
            <w:vAlign w:val="center"/>
          </w:tcPr>
          <w:p w14:paraId="40BC1473" w14:textId="77777777" w:rsidR="00DB215C" w:rsidRPr="00CE5E35" w:rsidRDefault="00DB215C" w:rsidP="00DB215C">
            <w:pPr>
              <w:ind w:left="170"/>
              <w:rPr>
                <w:rFonts w:eastAsia="Calibri"/>
                <w:bCs/>
                <w:sz w:val="16"/>
                <w:szCs w:val="16"/>
                <w:lang w:eastAsia="en-US"/>
              </w:rPr>
            </w:pPr>
            <w:r w:rsidRPr="00CE5E35">
              <w:rPr>
                <w:rFonts w:eastAsia="Calibri"/>
                <w:bCs/>
                <w:sz w:val="16"/>
                <w:szCs w:val="16"/>
                <w:lang w:eastAsia="en-US"/>
              </w:rPr>
              <w:t>Gastos por intereses</w:t>
            </w:r>
          </w:p>
        </w:tc>
        <w:tc>
          <w:tcPr>
            <w:tcW w:w="1134" w:type="dxa"/>
            <w:tcBorders>
              <w:left w:val="single" w:sz="4" w:space="0" w:color="auto"/>
              <w:right w:val="single" w:sz="4" w:space="0" w:color="auto"/>
            </w:tcBorders>
            <w:shd w:val="clear" w:color="auto" w:fill="auto"/>
            <w:vAlign w:val="center"/>
          </w:tcPr>
          <w:p w14:paraId="0A694DC8" w14:textId="77777777" w:rsidR="00DB215C" w:rsidRPr="00CE5E35" w:rsidRDefault="00DB215C" w:rsidP="00DB215C">
            <w:pPr>
              <w:ind w:right="340"/>
              <w:jc w:val="right"/>
              <w:rPr>
                <w:rFonts w:eastAsia="Calibri"/>
                <w:sz w:val="16"/>
                <w:szCs w:val="16"/>
                <w:lang w:eastAsia="en-US"/>
              </w:rPr>
            </w:pPr>
            <w:r w:rsidRPr="00CE5E35">
              <w:rPr>
                <w:rFonts w:eastAsia="Calibri"/>
                <w:sz w:val="16"/>
                <w:szCs w:val="16"/>
                <w:lang w:eastAsia="en-US"/>
              </w:rPr>
              <w:t>13</w:t>
            </w:r>
          </w:p>
        </w:tc>
        <w:tc>
          <w:tcPr>
            <w:tcW w:w="1134" w:type="dxa"/>
            <w:tcBorders>
              <w:top w:val="nil"/>
              <w:left w:val="single" w:sz="4" w:space="0" w:color="auto"/>
              <w:bottom w:val="nil"/>
              <w:right w:val="single" w:sz="4" w:space="0" w:color="auto"/>
            </w:tcBorders>
            <w:shd w:val="clear" w:color="auto" w:fill="auto"/>
            <w:vAlign w:val="center"/>
          </w:tcPr>
          <w:p w14:paraId="04D9A882" w14:textId="77777777" w:rsidR="00DB215C" w:rsidRPr="00CE5E35" w:rsidRDefault="00DB215C" w:rsidP="00DB215C">
            <w:pPr>
              <w:ind w:right="340"/>
              <w:jc w:val="right"/>
              <w:rPr>
                <w:rFonts w:eastAsia="Calibri"/>
                <w:sz w:val="16"/>
                <w:szCs w:val="16"/>
                <w:lang w:eastAsia="en-US"/>
              </w:rPr>
            </w:pPr>
            <w:r w:rsidRPr="00CE5E35">
              <w:rPr>
                <w:rFonts w:eastAsia="Calibri"/>
                <w:sz w:val="16"/>
                <w:szCs w:val="16"/>
                <w:lang w:eastAsia="en-US"/>
              </w:rPr>
              <w:t>13</w:t>
            </w:r>
          </w:p>
        </w:tc>
        <w:tc>
          <w:tcPr>
            <w:tcW w:w="992" w:type="dxa"/>
            <w:tcBorders>
              <w:left w:val="single" w:sz="4" w:space="0" w:color="auto"/>
              <w:right w:val="single" w:sz="4" w:space="0" w:color="auto"/>
            </w:tcBorders>
            <w:shd w:val="clear" w:color="auto" w:fill="auto"/>
            <w:vAlign w:val="center"/>
          </w:tcPr>
          <w:p w14:paraId="2D223535" w14:textId="77777777" w:rsidR="00DB215C" w:rsidRPr="00CE5E35" w:rsidRDefault="00DB215C" w:rsidP="00DB215C">
            <w:pPr>
              <w:ind w:right="340"/>
              <w:jc w:val="right"/>
              <w:rPr>
                <w:rFonts w:eastAsia="Calibri"/>
                <w:sz w:val="16"/>
                <w:szCs w:val="16"/>
                <w:lang w:eastAsia="en-US"/>
              </w:rPr>
            </w:pPr>
            <w:r w:rsidRPr="00CE5E35">
              <w:rPr>
                <w:rFonts w:eastAsia="Calibri"/>
                <w:sz w:val="16"/>
                <w:szCs w:val="16"/>
                <w:lang w:eastAsia="en-US"/>
              </w:rPr>
              <w:t>0</w:t>
            </w:r>
          </w:p>
        </w:tc>
        <w:tc>
          <w:tcPr>
            <w:tcW w:w="1075" w:type="dxa"/>
            <w:gridSpan w:val="2"/>
            <w:tcBorders>
              <w:top w:val="nil"/>
              <w:left w:val="single" w:sz="4" w:space="0" w:color="auto"/>
              <w:bottom w:val="nil"/>
              <w:right w:val="single" w:sz="4" w:space="0" w:color="auto"/>
            </w:tcBorders>
            <w:shd w:val="clear" w:color="auto" w:fill="auto"/>
            <w:vAlign w:val="center"/>
          </w:tcPr>
          <w:p w14:paraId="145FEBA7" w14:textId="77777777" w:rsidR="00DB215C" w:rsidRPr="00CE5E35" w:rsidRDefault="00DB215C" w:rsidP="00DB215C">
            <w:pPr>
              <w:ind w:right="284"/>
              <w:jc w:val="right"/>
              <w:rPr>
                <w:rFonts w:eastAsia="Calibri"/>
                <w:sz w:val="16"/>
                <w:szCs w:val="16"/>
                <w:lang w:eastAsia="en-US"/>
              </w:rPr>
            </w:pPr>
            <w:r w:rsidRPr="00CE5E35">
              <w:rPr>
                <w:rFonts w:eastAsia="Calibri"/>
                <w:sz w:val="16"/>
                <w:szCs w:val="16"/>
                <w:lang w:eastAsia="en-US"/>
              </w:rPr>
              <w:t>0.2</w:t>
            </w:r>
          </w:p>
        </w:tc>
      </w:tr>
      <w:tr w:rsidR="00DB215C" w:rsidRPr="00DB215C" w14:paraId="1809232D" w14:textId="77777777" w:rsidTr="00DB215C">
        <w:trPr>
          <w:trHeight w:val="271"/>
          <w:jc w:val="center"/>
        </w:trPr>
        <w:tc>
          <w:tcPr>
            <w:tcW w:w="4253" w:type="dxa"/>
            <w:tcBorders>
              <w:top w:val="nil"/>
              <w:left w:val="single" w:sz="4" w:space="0" w:color="auto"/>
              <w:bottom w:val="nil"/>
              <w:right w:val="single" w:sz="4" w:space="0" w:color="auto"/>
            </w:tcBorders>
            <w:shd w:val="clear" w:color="auto" w:fill="auto"/>
            <w:vAlign w:val="center"/>
          </w:tcPr>
          <w:p w14:paraId="36FAA910" w14:textId="77777777" w:rsidR="00DB215C" w:rsidRPr="00CE5E35" w:rsidRDefault="00DB215C" w:rsidP="00DB215C">
            <w:pPr>
              <w:rPr>
                <w:rFonts w:eastAsia="Calibri"/>
                <w:b/>
                <w:bCs/>
                <w:sz w:val="16"/>
                <w:szCs w:val="16"/>
                <w:lang w:eastAsia="en-US"/>
              </w:rPr>
            </w:pPr>
            <w:r w:rsidRPr="00CE5E35">
              <w:rPr>
                <w:rFonts w:eastAsia="Calibri"/>
                <w:b/>
                <w:bCs/>
                <w:sz w:val="16"/>
                <w:szCs w:val="16"/>
                <w:lang w:eastAsia="en-US"/>
              </w:rPr>
              <w:t>Margen financiero</w:t>
            </w:r>
          </w:p>
        </w:tc>
        <w:tc>
          <w:tcPr>
            <w:tcW w:w="1134" w:type="dxa"/>
            <w:tcBorders>
              <w:left w:val="single" w:sz="4" w:space="0" w:color="auto"/>
              <w:right w:val="single" w:sz="4" w:space="0" w:color="auto"/>
            </w:tcBorders>
            <w:shd w:val="clear" w:color="auto" w:fill="auto"/>
            <w:vAlign w:val="center"/>
          </w:tcPr>
          <w:p w14:paraId="49349045" w14:textId="77777777" w:rsidR="00DB215C" w:rsidRPr="00CE5E35" w:rsidRDefault="00DB215C" w:rsidP="00DB215C">
            <w:pPr>
              <w:ind w:right="340"/>
              <w:jc w:val="right"/>
              <w:rPr>
                <w:rFonts w:eastAsia="Calibri"/>
                <w:b/>
                <w:sz w:val="16"/>
                <w:szCs w:val="16"/>
                <w:lang w:eastAsia="en-US"/>
              </w:rPr>
            </w:pPr>
            <w:r w:rsidRPr="00CE5E35">
              <w:rPr>
                <w:rFonts w:eastAsia="Calibri"/>
                <w:b/>
                <w:sz w:val="16"/>
                <w:szCs w:val="16"/>
                <w:lang w:eastAsia="en-US"/>
              </w:rPr>
              <w:t>26</w:t>
            </w:r>
          </w:p>
        </w:tc>
        <w:tc>
          <w:tcPr>
            <w:tcW w:w="1134" w:type="dxa"/>
            <w:tcBorders>
              <w:top w:val="nil"/>
              <w:left w:val="single" w:sz="4" w:space="0" w:color="auto"/>
              <w:bottom w:val="nil"/>
              <w:right w:val="single" w:sz="4" w:space="0" w:color="auto"/>
            </w:tcBorders>
            <w:shd w:val="clear" w:color="auto" w:fill="auto"/>
            <w:vAlign w:val="center"/>
          </w:tcPr>
          <w:p w14:paraId="008F8F85" w14:textId="77777777" w:rsidR="00DB215C" w:rsidRPr="00CE5E35" w:rsidRDefault="00DB215C" w:rsidP="00DB215C">
            <w:pPr>
              <w:ind w:right="340"/>
              <w:jc w:val="right"/>
              <w:rPr>
                <w:rFonts w:eastAsia="Calibri"/>
                <w:b/>
                <w:sz w:val="16"/>
                <w:szCs w:val="16"/>
                <w:lang w:eastAsia="en-US"/>
              </w:rPr>
            </w:pPr>
            <w:r w:rsidRPr="00CE5E35">
              <w:rPr>
                <w:rFonts w:eastAsia="Calibri"/>
                <w:b/>
                <w:sz w:val="16"/>
                <w:szCs w:val="16"/>
                <w:lang w:eastAsia="en-US"/>
              </w:rPr>
              <w:t>27</w:t>
            </w:r>
          </w:p>
        </w:tc>
        <w:tc>
          <w:tcPr>
            <w:tcW w:w="992" w:type="dxa"/>
            <w:tcBorders>
              <w:left w:val="single" w:sz="4" w:space="0" w:color="auto"/>
              <w:right w:val="single" w:sz="4" w:space="0" w:color="auto"/>
            </w:tcBorders>
            <w:shd w:val="clear" w:color="auto" w:fill="auto"/>
            <w:vAlign w:val="center"/>
          </w:tcPr>
          <w:p w14:paraId="1E819CBD" w14:textId="77777777" w:rsidR="00DB215C" w:rsidRPr="00CE5E35" w:rsidRDefault="00DB215C" w:rsidP="00DB215C">
            <w:pPr>
              <w:ind w:right="340"/>
              <w:jc w:val="right"/>
              <w:rPr>
                <w:rFonts w:eastAsia="Calibri"/>
                <w:b/>
                <w:sz w:val="16"/>
                <w:szCs w:val="16"/>
                <w:lang w:eastAsia="en-US"/>
              </w:rPr>
            </w:pPr>
            <w:r w:rsidRPr="00CE5E35">
              <w:rPr>
                <w:rFonts w:eastAsia="Calibri"/>
                <w:b/>
                <w:sz w:val="16"/>
                <w:szCs w:val="16"/>
                <w:lang w:eastAsia="en-US"/>
              </w:rPr>
              <w:t>1</w:t>
            </w:r>
          </w:p>
        </w:tc>
        <w:tc>
          <w:tcPr>
            <w:tcW w:w="1075" w:type="dxa"/>
            <w:gridSpan w:val="2"/>
            <w:tcBorders>
              <w:top w:val="nil"/>
              <w:left w:val="single" w:sz="4" w:space="0" w:color="auto"/>
              <w:bottom w:val="nil"/>
              <w:right w:val="single" w:sz="4" w:space="0" w:color="auto"/>
            </w:tcBorders>
            <w:shd w:val="clear" w:color="auto" w:fill="auto"/>
            <w:vAlign w:val="center"/>
          </w:tcPr>
          <w:p w14:paraId="6D66B3B5" w14:textId="77777777" w:rsidR="00DB215C" w:rsidRPr="00CE5E35" w:rsidRDefault="00DB215C" w:rsidP="00DB215C">
            <w:pPr>
              <w:ind w:right="284"/>
              <w:jc w:val="right"/>
              <w:rPr>
                <w:rFonts w:eastAsia="Calibri"/>
                <w:b/>
                <w:bCs/>
                <w:sz w:val="16"/>
                <w:szCs w:val="16"/>
                <w:lang w:eastAsia="en-US"/>
              </w:rPr>
            </w:pPr>
            <w:r w:rsidRPr="00CE5E35">
              <w:rPr>
                <w:rFonts w:eastAsia="Calibri"/>
                <w:b/>
                <w:bCs/>
                <w:sz w:val="16"/>
                <w:szCs w:val="16"/>
                <w:lang w:eastAsia="en-US"/>
              </w:rPr>
              <w:t>4.0</w:t>
            </w:r>
          </w:p>
        </w:tc>
      </w:tr>
      <w:tr w:rsidR="00DB215C" w:rsidRPr="00DB215C" w14:paraId="12A962BC" w14:textId="77777777" w:rsidTr="00DB215C">
        <w:trPr>
          <w:trHeight w:val="271"/>
          <w:jc w:val="center"/>
        </w:trPr>
        <w:tc>
          <w:tcPr>
            <w:tcW w:w="4253" w:type="dxa"/>
            <w:tcBorders>
              <w:top w:val="nil"/>
              <w:left w:val="single" w:sz="4" w:space="0" w:color="auto"/>
              <w:bottom w:val="nil"/>
              <w:right w:val="single" w:sz="4" w:space="0" w:color="auto"/>
            </w:tcBorders>
            <w:shd w:val="clear" w:color="auto" w:fill="auto"/>
            <w:vAlign w:val="center"/>
          </w:tcPr>
          <w:p w14:paraId="31972D52" w14:textId="77777777" w:rsidR="00DB215C" w:rsidRPr="00CE5E35" w:rsidRDefault="00DB215C" w:rsidP="00DB215C">
            <w:pPr>
              <w:spacing w:after="120"/>
              <w:ind w:left="170"/>
              <w:rPr>
                <w:rFonts w:eastAsia="Calibri"/>
                <w:bCs/>
                <w:sz w:val="16"/>
                <w:szCs w:val="16"/>
                <w:lang w:eastAsia="en-US"/>
              </w:rPr>
            </w:pPr>
            <w:r w:rsidRPr="00CE5E35">
              <w:rPr>
                <w:rFonts w:eastAsia="Calibri"/>
                <w:bCs/>
                <w:sz w:val="16"/>
                <w:szCs w:val="16"/>
                <w:lang w:eastAsia="en-US"/>
              </w:rPr>
              <w:t>Estimaciones preventivas para riesgos crediticios</w:t>
            </w:r>
          </w:p>
        </w:tc>
        <w:tc>
          <w:tcPr>
            <w:tcW w:w="1134" w:type="dxa"/>
            <w:tcBorders>
              <w:left w:val="single" w:sz="4" w:space="0" w:color="auto"/>
              <w:right w:val="single" w:sz="4" w:space="0" w:color="auto"/>
            </w:tcBorders>
            <w:shd w:val="clear" w:color="auto" w:fill="auto"/>
            <w:vAlign w:val="center"/>
          </w:tcPr>
          <w:p w14:paraId="0FB27091" w14:textId="77777777" w:rsidR="00DB215C" w:rsidRPr="00CE5E35" w:rsidRDefault="00DB215C" w:rsidP="00DB215C">
            <w:pPr>
              <w:spacing w:after="120"/>
              <w:ind w:right="340"/>
              <w:jc w:val="right"/>
              <w:rPr>
                <w:rFonts w:eastAsia="Calibri"/>
                <w:sz w:val="16"/>
                <w:szCs w:val="16"/>
                <w:lang w:eastAsia="en-US"/>
              </w:rPr>
            </w:pPr>
            <w:r w:rsidRPr="00CE5E35">
              <w:rPr>
                <w:rFonts w:eastAsia="Calibri"/>
                <w:sz w:val="16"/>
                <w:szCs w:val="16"/>
                <w:lang w:eastAsia="en-US"/>
              </w:rPr>
              <w:t>7</w:t>
            </w:r>
          </w:p>
        </w:tc>
        <w:tc>
          <w:tcPr>
            <w:tcW w:w="1134" w:type="dxa"/>
            <w:tcBorders>
              <w:top w:val="nil"/>
              <w:left w:val="single" w:sz="4" w:space="0" w:color="auto"/>
              <w:bottom w:val="nil"/>
              <w:right w:val="single" w:sz="4" w:space="0" w:color="auto"/>
            </w:tcBorders>
            <w:shd w:val="clear" w:color="auto" w:fill="auto"/>
            <w:vAlign w:val="center"/>
          </w:tcPr>
          <w:p w14:paraId="4B9532FB" w14:textId="77777777" w:rsidR="00DB215C" w:rsidRPr="00CE5E35" w:rsidRDefault="00DB215C" w:rsidP="00DB215C">
            <w:pPr>
              <w:spacing w:after="120"/>
              <w:ind w:right="340"/>
              <w:jc w:val="right"/>
              <w:rPr>
                <w:rFonts w:eastAsia="Calibri"/>
                <w:sz w:val="16"/>
                <w:szCs w:val="16"/>
                <w:lang w:eastAsia="en-US"/>
              </w:rPr>
            </w:pPr>
            <w:r w:rsidRPr="00CE5E35">
              <w:rPr>
                <w:rFonts w:eastAsia="Calibri"/>
                <w:sz w:val="16"/>
                <w:szCs w:val="16"/>
                <w:lang w:eastAsia="en-US"/>
              </w:rPr>
              <w:t>8</w:t>
            </w:r>
          </w:p>
        </w:tc>
        <w:tc>
          <w:tcPr>
            <w:tcW w:w="992" w:type="dxa"/>
            <w:tcBorders>
              <w:left w:val="single" w:sz="4" w:space="0" w:color="auto"/>
              <w:right w:val="single" w:sz="4" w:space="0" w:color="auto"/>
            </w:tcBorders>
            <w:shd w:val="clear" w:color="auto" w:fill="auto"/>
            <w:vAlign w:val="center"/>
          </w:tcPr>
          <w:p w14:paraId="35D1ABE3" w14:textId="77777777" w:rsidR="00DB215C" w:rsidRPr="00CE5E35" w:rsidRDefault="00DB215C" w:rsidP="00DB215C">
            <w:pPr>
              <w:spacing w:after="120"/>
              <w:ind w:right="340"/>
              <w:jc w:val="right"/>
              <w:rPr>
                <w:rFonts w:eastAsia="Calibri"/>
                <w:sz w:val="16"/>
                <w:szCs w:val="16"/>
                <w:lang w:eastAsia="en-US"/>
              </w:rPr>
            </w:pPr>
            <w:r w:rsidRPr="00CE5E35">
              <w:rPr>
                <w:rFonts w:eastAsia="Calibri"/>
                <w:sz w:val="16"/>
                <w:szCs w:val="16"/>
                <w:lang w:eastAsia="en-US"/>
              </w:rPr>
              <w:t>1</w:t>
            </w:r>
          </w:p>
        </w:tc>
        <w:tc>
          <w:tcPr>
            <w:tcW w:w="1075" w:type="dxa"/>
            <w:gridSpan w:val="2"/>
            <w:tcBorders>
              <w:top w:val="nil"/>
              <w:left w:val="single" w:sz="4" w:space="0" w:color="auto"/>
              <w:bottom w:val="nil"/>
              <w:right w:val="single" w:sz="4" w:space="0" w:color="auto"/>
            </w:tcBorders>
            <w:shd w:val="clear" w:color="auto" w:fill="auto"/>
            <w:vAlign w:val="center"/>
          </w:tcPr>
          <w:p w14:paraId="47BC0219" w14:textId="77777777" w:rsidR="00DB215C" w:rsidRPr="00CE5E35" w:rsidRDefault="00DB215C" w:rsidP="00DB215C">
            <w:pPr>
              <w:spacing w:after="120"/>
              <w:ind w:right="284"/>
              <w:jc w:val="right"/>
              <w:rPr>
                <w:rFonts w:eastAsia="Calibri"/>
                <w:bCs/>
                <w:sz w:val="16"/>
                <w:szCs w:val="16"/>
                <w:lang w:eastAsia="en-US"/>
              </w:rPr>
            </w:pPr>
            <w:r w:rsidRPr="00CE5E35">
              <w:rPr>
                <w:rFonts w:eastAsia="Calibri"/>
                <w:bCs/>
                <w:sz w:val="16"/>
                <w:szCs w:val="16"/>
                <w:lang w:eastAsia="en-US"/>
              </w:rPr>
              <w:t>15.2</w:t>
            </w:r>
          </w:p>
        </w:tc>
      </w:tr>
      <w:tr w:rsidR="00DB215C" w:rsidRPr="00DB215C" w14:paraId="287241E2" w14:textId="77777777" w:rsidTr="00DB215C">
        <w:trPr>
          <w:trHeight w:val="271"/>
          <w:jc w:val="center"/>
        </w:trPr>
        <w:tc>
          <w:tcPr>
            <w:tcW w:w="4253" w:type="dxa"/>
            <w:tcBorders>
              <w:top w:val="nil"/>
              <w:left w:val="single" w:sz="4" w:space="0" w:color="auto"/>
              <w:bottom w:val="nil"/>
              <w:right w:val="single" w:sz="4" w:space="0" w:color="auto"/>
            </w:tcBorders>
            <w:shd w:val="clear" w:color="auto" w:fill="auto"/>
            <w:vAlign w:val="center"/>
          </w:tcPr>
          <w:p w14:paraId="073D7E1F" w14:textId="77777777" w:rsidR="00DB215C" w:rsidRPr="00CE5E35" w:rsidRDefault="00DB215C" w:rsidP="00DB215C">
            <w:pPr>
              <w:rPr>
                <w:rFonts w:eastAsia="Calibri"/>
                <w:b/>
                <w:bCs/>
                <w:sz w:val="16"/>
                <w:szCs w:val="16"/>
                <w:lang w:eastAsia="en-US"/>
              </w:rPr>
            </w:pPr>
            <w:r w:rsidRPr="00CE5E35">
              <w:rPr>
                <w:rFonts w:eastAsia="Calibri"/>
                <w:b/>
                <w:bCs/>
                <w:sz w:val="16"/>
                <w:szCs w:val="16"/>
                <w:lang w:eastAsia="en-US"/>
              </w:rPr>
              <w:t>Margen financiero ajustado por riesgos crediticios</w:t>
            </w:r>
          </w:p>
        </w:tc>
        <w:tc>
          <w:tcPr>
            <w:tcW w:w="1134" w:type="dxa"/>
            <w:tcBorders>
              <w:left w:val="single" w:sz="4" w:space="0" w:color="auto"/>
              <w:right w:val="single" w:sz="4" w:space="0" w:color="auto"/>
            </w:tcBorders>
            <w:shd w:val="clear" w:color="auto" w:fill="auto"/>
            <w:vAlign w:val="center"/>
          </w:tcPr>
          <w:p w14:paraId="5D1C2B19" w14:textId="77777777" w:rsidR="00DB215C" w:rsidRPr="00CE5E35" w:rsidRDefault="00DB215C" w:rsidP="00DB215C">
            <w:pPr>
              <w:ind w:right="340"/>
              <w:jc w:val="right"/>
              <w:rPr>
                <w:rFonts w:eastAsia="Calibri"/>
                <w:b/>
                <w:sz w:val="16"/>
                <w:szCs w:val="16"/>
                <w:lang w:eastAsia="en-US"/>
              </w:rPr>
            </w:pPr>
            <w:r w:rsidRPr="00CE5E35">
              <w:rPr>
                <w:rFonts w:eastAsia="Calibri"/>
                <w:b/>
                <w:sz w:val="16"/>
                <w:szCs w:val="16"/>
                <w:lang w:eastAsia="en-US"/>
              </w:rPr>
              <w:t>19</w:t>
            </w:r>
          </w:p>
        </w:tc>
        <w:tc>
          <w:tcPr>
            <w:tcW w:w="1134" w:type="dxa"/>
            <w:tcBorders>
              <w:top w:val="nil"/>
              <w:left w:val="single" w:sz="4" w:space="0" w:color="auto"/>
              <w:bottom w:val="nil"/>
              <w:right w:val="single" w:sz="4" w:space="0" w:color="auto"/>
            </w:tcBorders>
            <w:shd w:val="clear" w:color="auto" w:fill="auto"/>
            <w:vAlign w:val="center"/>
          </w:tcPr>
          <w:p w14:paraId="1CAE54FF" w14:textId="77777777" w:rsidR="00DB215C" w:rsidRPr="00CE5E35" w:rsidRDefault="00DB215C" w:rsidP="00DB215C">
            <w:pPr>
              <w:ind w:right="340"/>
              <w:jc w:val="right"/>
              <w:rPr>
                <w:rFonts w:eastAsia="Calibri"/>
                <w:b/>
                <w:sz w:val="16"/>
                <w:szCs w:val="16"/>
                <w:lang w:eastAsia="en-US"/>
              </w:rPr>
            </w:pPr>
            <w:r w:rsidRPr="00CE5E35">
              <w:rPr>
                <w:rFonts w:eastAsia="Calibri"/>
                <w:b/>
                <w:sz w:val="16"/>
                <w:szCs w:val="16"/>
                <w:lang w:eastAsia="en-US"/>
              </w:rPr>
              <w:t>19</w:t>
            </w:r>
          </w:p>
        </w:tc>
        <w:tc>
          <w:tcPr>
            <w:tcW w:w="992" w:type="dxa"/>
            <w:tcBorders>
              <w:left w:val="single" w:sz="4" w:space="0" w:color="auto"/>
              <w:right w:val="single" w:sz="4" w:space="0" w:color="auto"/>
            </w:tcBorders>
            <w:shd w:val="clear" w:color="auto" w:fill="auto"/>
            <w:vAlign w:val="center"/>
          </w:tcPr>
          <w:p w14:paraId="66FF783A" w14:textId="77777777" w:rsidR="00DB215C" w:rsidRPr="00CE5E35" w:rsidRDefault="00DB215C" w:rsidP="00DB215C">
            <w:pPr>
              <w:ind w:right="340"/>
              <w:jc w:val="right"/>
              <w:rPr>
                <w:rFonts w:eastAsia="Calibri"/>
                <w:b/>
                <w:sz w:val="16"/>
                <w:szCs w:val="16"/>
                <w:lang w:eastAsia="en-US"/>
              </w:rPr>
            </w:pPr>
            <w:r w:rsidRPr="00CE5E35">
              <w:rPr>
                <w:rFonts w:eastAsia="Calibri"/>
                <w:b/>
                <w:sz w:val="16"/>
                <w:szCs w:val="16"/>
                <w:lang w:eastAsia="en-US"/>
              </w:rPr>
              <w:t>0</w:t>
            </w:r>
          </w:p>
        </w:tc>
        <w:tc>
          <w:tcPr>
            <w:tcW w:w="1075" w:type="dxa"/>
            <w:gridSpan w:val="2"/>
            <w:tcBorders>
              <w:top w:val="nil"/>
              <w:left w:val="single" w:sz="4" w:space="0" w:color="auto"/>
              <w:bottom w:val="nil"/>
              <w:right w:val="single" w:sz="4" w:space="0" w:color="auto"/>
            </w:tcBorders>
            <w:shd w:val="clear" w:color="auto" w:fill="auto"/>
            <w:vAlign w:val="center"/>
          </w:tcPr>
          <w:p w14:paraId="71B42EBF" w14:textId="77777777" w:rsidR="00DB215C" w:rsidRPr="00CE5E35" w:rsidRDefault="00DB215C" w:rsidP="00DB215C">
            <w:pPr>
              <w:ind w:right="284"/>
              <w:jc w:val="right"/>
              <w:rPr>
                <w:rFonts w:eastAsia="Calibri"/>
                <w:b/>
                <w:bCs/>
                <w:sz w:val="16"/>
                <w:szCs w:val="16"/>
                <w:lang w:eastAsia="en-US"/>
              </w:rPr>
            </w:pPr>
            <w:r w:rsidRPr="00CE5E35">
              <w:rPr>
                <w:rFonts w:eastAsia="Calibri"/>
                <w:b/>
                <w:bCs/>
                <w:sz w:val="16"/>
                <w:szCs w:val="16"/>
                <w:lang w:eastAsia="en-US"/>
              </w:rPr>
              <w:t>0.1</w:t>
            </w:r>
          </w:p>
        </w:tc>
      </w:tr>
      <w:tr w:rsidR="00DB215C" w:rsidRPr="00DB215C" w14:paraId="5DA9AB71" w14:textId="77777777" w:rsidTr="00DB215C">
        <w:trPr>
          <w:trHeight w:val="261"/>
          <w:jc w:val="center"/>
        </w:trPr>
        <w:tc>
          <w:tcPr>
            <w:tcW w:w="4253" w:type="dxa"/>
            <w:tcBorders>
              <w:top w:val="nil"/>
              <w:left w:val="single" w:sz="4" w:space="0" w:color="auto"/>
              <w:bottom w:val="nil"/>
              <w:right w:val="single" w:sz="4" w:space="0" w:color="auto"/>
            </w:tcBorders>
            <w:shd w:val="clear" w:color="auto" w:fill="auto"/>
            <w:vAlign w:val="center"/>
          </w:tcPr>
          <w:p w14:paraId="4256558A" w14:textId="77777777" w:rsidR="00DB215C" w:rsidRPr="00CE5E35" w:rsidRDefault="00DB215C" w:rsidP="00DB215C">
            <w:pPr>
              <w:ind w:left="170"/>
              <w:rPr>
                <w:rFonts w:eastAsia="Calibri"/>
                <w:bCs/>
                <w:sz w:val="16"/>
                <w:szCs w:val="16"/>
                <w:lang w:eastAsia="en-US"/>
              </w:rPr>
            </w:pPr>
            <w:r w:rsidRPr="00CE5E35">
              <w:rPr>
                <w:rFonts w:eastAsia="Calibri"/>
                <w:bCs/>
                <w:sz w:val="16"/>
                <w:szCs w:val="16"/>
                <w:lang w:eastAsia="en-US"/>
              </w:rPr>
              <w:t>Comisiones y tarifas netas</w:t>
            </w:r>
          </w:p>
        </w:tc>
        <w:tc>
          <w:tcPr>
            <w:tcW w:w="1134" w:type="dxa"/>
            <w:tcBorders>
              <w:left w:val="single" w:sz="4" w:space="0" w:color="auto"/>
              <w:right w:val="single" w:sz="4" w:space="0" w:color="auto"/>
            </w:tcBorders>
            <w:shd w:val="clear" w:color="auto" w:fill="auto"/>
            <w:vAlign w:val="center"/>
          </w:tcPr>
          <w:p w14:paraId="051C7231" w14:textId="77777777" w:rsidR="00DB215C" w:rsidRPr="00CE5E35" w:rsidRDefault="00DB215C" w:rsidP="00DB215C">
            <w:pPr>
              <w:ind w:right="340"/>
              <w:jc w:val="right"/>
              <w:rPr>
                <w:rFonts w:eastAsia="Calibri"/>
                <w:sz w:val="16"/>
                <w:szCs w:val="16"/>
                <w:lang w:eastAsia="en-US"/>
              </w:rPr>
            </w:pPr>
            <w:r w:rsidRPr="00CE5E35">
              <w:rPr>
                <w:rFonts w:eastAsia="Calibri"/>
                <w:sz w:val="16"/>
                <w:szCs w:val="16"/>
                <w:lang w:eastAsia="en-US"/>
              </w:rPr>
              <w:t>5</w:t>
            </w:r>
          </w:p>
        </w:tc>
        <w:tc>
          <w:tcPr>
            <w:tcW w:w="1134" w:type="dxa"/>
            <w:tcBorders>
              <w:top w:val="nil"/>
              <w:left w:val="single" w:sz="4" w:space="0" w:color="auto"/>
              <w:bottom w:val="nil"/>
              <w:right w:val="single" w:sz="4" w:space="0" w:color="auto"/>
            </w:tcBorders>
            <w:shd w:val="clear" w:color="auto" w:fill="auto"/>
            <w:vAlign w:val="center"/>
          </w:tcPr>
          <w:p w14:paraId="2F557A39" w14:textId="77777777" w:rsidR="00DB215C" w:rsidRPr="00CE5E35" w:rsidRDefault="00DB215C" w:rsidP="00DB215C">
            <w:pPr>
              <w:ind w:right="340"/>
              <w:jc w:val="right"/>
              <w:rPr>
                <w:rFonts w:eastAsia="Calibri"/>
                <w:sz w:val="16"/>
                <w:szCs w:val="16"/>
                <w:lang w:eastAsia="en-US"/>
              </w:rPr>
            </w:pPr>
            <w:r w:rsidRPr="00CE5E35">
              <w:rPr>
                <w:rFonts w:eastAsia="Calibri"/>
                <w:sz w:val="16"/>
                <w:szCs w:val="16"/>
                <w:lang w:eastAsia="en-US"/>
              </w:rPr>
              <w:t>5</w:t>
            </w:r>
          </w:p>
        </w:tc>
        <w:tc>
          <w:tcPr>
            <w:tcW w:w="992" w:type="dxa"/>
            <w:tcBorders>
              <w:left w:val="single" w:sz="4" w:space="0" w:color="auto"/>
              <w:right w:val="single" w:sz="4" w:space="0" w:color="auto"/>
            </w:tcBorders>
            <w:shd w:val="clear" w:color="auto" w:fill="auto"/>
            <w:vAlign w:val="center"/>
          </w:tcPr>
          <w:p w14:paraId="7D3EADED" w14:textId="77777777" w:rsidR="00DB215C" w:rsidRPr="00CE5E35" w:rsidRDefault="00DB215C" w:rsidP="00DB215C">
            <w:pPr>
              <w:ind w:right="340"/>
              <w:jc w:val="right"/>
              <w:rPr>
                <w:rFonts w:eastAsia="Calibri"/>
                <w:sz w:val="16"/>
                <w:szCs w:val="16"/>
                <w:lang w:eastAsia="en-US"/>
              </w:rPr>
            </w:pPr>
            <w:r w:rsidRPr="00CE5E35">
              <w:rPr>
                <w:rFonts w:eastAsia="Calibri"/>
                <w:sz w:val="16"/>
                <w:szCs w:val="16"/>
                <w:lang w:eastAsia="en-US"/>
              </w:rPr>
              <w:t>0</w:t>
            </w:r>
          </w:p>
        </w:tc>
        <w:tc>
          <w:tcPr>
            <w:tcW w:w="1075" w:type="dxa"/>
            <w:gridSpan w:val="2"/>
            <w:tcBorders>
              <w:top w:val="nil"/>
              <w:left w:val="single" w:sz="4" w:space="0" w:color="auto"/>
              <w:bottom w:val="nil"/>
              <w:right w:val="single" w:sz="4" w:space="0" w:color="auto"/>
            </w:tcBorders>
            <w:shd w:val="clear" w:color="auto" w:fill="auto"/>
            <w:vAlign w:val="center"/>
          </w:tcPr>
          <w:p w14:paraId="68A35967" w14:textId="77777777" w:rsidR="00DB215C" w:rsidRPr="00CE5E35" w:rsidRDefault="00DB215C" w:rsidP="00DB215C">
            <w:pPr>
              <w:ind w:right="284"/>
              <w:jc w:val="right"/>
              <w:rPr>
                <w:rFonts w:eastAsia="Calibri"/>
                <w:bCs/>
                <w:sz w:val="16"/>
                <w:szCs w:val="16"/>
                <w:lang w:eastAsia="en-US"/>
              </w:rPr>
            </w:pPr>
            <w:r w:rsidRPr="00CE5E35">
              <w:rPr>
                <w:rFonts w:eastAsia="Calibri"/>
                <w:bCs/>
                <w:sz w:val="16"/>
                <w:szCs w:val="16"/>
                <w:lang w:eastAsia="en-US"/>
              </w:rPr>
              <w:t>6.2</w:t>
            </w:r>
          </w:p>
        </w:tc>
      </w:tr>
      <w:tr w:rsidR="00DB215C" w:rsidRPr="00DB215C" w14:paraId="108A17D3" w14:textId="77777777" w:rsidTr="00DB215C">
        <w:trPr>
          <w:trHeight w:val="261"/>
          <w:jc w:val="center"/>
        </w:trPr>
        <w:tc>
          <w:tcPr>
            <w:tcW w:w="4253" w:type="dxa"/>
            <w:tcBorders>
              <w:top w:val="nil"/>
              <w:left w:val="single" w:sz="4" w:space="0" w:color="auto"/>
              <w:bottom w:val="nil"/>
              <w:right w:val="single" w:sz="4" w:space="0" w:color="auto"/>
            </w:tcBorders>
            <w:shd w:val="clear" w:color="auto" w:fill="auto"/>
            <w:vAlign w:val="center"/>
          </w:tcPr>
          <w:p w14:paraId="512304E3" w14:textId="77777777" w:rsidR="00DB215C" w:rsidRPr="00CE5E35" w:rsidRDefault="00DB215C" w:rsidP="00DB215C">
            <w:pPr>
              <w:ind w:left="170"/>
              <w:rPr>
                <w:rFonts w:eastAsia="Calibri"/>
                <w:bCs/>
                <w:sz w:val="16"/>
                <w:szCs w:val="16"/>
                <w:lang w:eastAsia="en-US"/>
              </w:rPr>
            </w:pPr>
            <w:r w:rsidRPr="00CE5E35">
              <w:rPr>
                <w:rFonts w:eastAsia="Calibri"/>
                <w:bCs/>
                <w:sz w:val="16"/>
                <w:szCs w:val="16"/>
                <w:lang w:eastAsia="en-US"/>
              </w:rPr>
              <w:t>Resultado por intermediación</w:t>
            </w:r>
          </w:p>
        </w:tc>
        <w:tc>
          <w:tcPr>
            <w:tcW w:w="1134" w:type="dxa"/>
            <w:tcBorders>
              <w:left w:val="single" w:sz="4" w:space="0" w:color="auto"/>
              <w:right w:val="single" w:sz="4" w:space="0" w:color="auto"/>
            </w:tcBorders>
            <w:shd w:val="clear" w:color="auto" w:fill="auto"/>
            <w:vAlign w:val="center"/>
          </w:tcPr>
          <w:p w14:paraId="477F5573" w14:textId="77777777" w:rsidR="00DB215C" w:rsidRPr="00CE5E35" w:rsidRDefault="00DB215C" w:rsidP="00DB215C">
            <w:pPr>
              <w:ind w:right="340"/>
              <w:jc w:val="right"/>
              <w:rPr>
                <w:rFonts w:eastAsia="Calibri"/>
                <w:sz w:val="16"/>
                <w:szCs w:val="16"/>
                <w:lang w:eastAsia="en-US"/>
              </w:rPr>
            </w:pPr>
            <w:r w:rsidRPr="00CE5E35">
              <w:rPr>
                <w:rFonts w:eastAsia="Calibri"/>
                <w:sz w:val="16"/>
                <w:szCs w:val="16"/>
                <w:lang w:eastAsia="en-US"/>
              </w:rPr>
              <w:t>-1</w:t>
            </w:r>
          </w:p>
        </w:tc>
        <w:tc>
          <w:tcPr>
            <w:tcW w:w="1134" w:type="dxa"/>
            <w:tcBorders>
              <w:top w:val="nil"/>
              <w:left w:val="single" w:sz="4" w:space="0" w:color="auto"/>
              <w:bottom w:val="nil"/>
              <w:right w:val="single" w:sz="4" w:space="0" w:color="auto"/>
            </w:tcBorders>
            <w:shd w:val="clear" w:color="auto" w:fill="auto"/>
            <w:vAlign w:val="center"/>
          </w:tcPr>
          <w:p w14:paraId="7AFE0693" w14:textId="77777777" w:rsidR="00DB215C" w:rsidRPr="00CE5E35" w:rsidRDefault="00DB215C" w:rsidP="00DB215C">
            <w:pPr>
              <w:ind w:right="340"/>
              <w:jc w:val="right"/>
              <w:rPr>
                <w:rFonts w:eastAsia="Calibri"/>
                <w:sz w:val="16"/>
                <w:szCs w:val="16"/>
                <w:lang w:eastAsia="en-US"/>
              </w:rPr>
            </w:pPr>
            <w:r w:rsidRPr="00CE5E35">
              <w:rPr>
                <w:rFonts w:eastAsia="Calibri"/>
                <w:sz w:val="16"/>
                <w:szCs w:val="16"/>
                <w:lang w:eastAsia="en-US"/>
              </w:rPr>
              <w:t>-1</w:t>
            </w:r>
          </w:p>
        </w:tc>
        <w:tc>
          <w:tcPr>
            <w:tcW w:w="992" w:type="dxa"/>
            <w:tcBorders>
              <w:left w:val="single" w:sz="4" w:space="0" w:color="auto"/>
              <w:right w:val="single" w:sz="4" w:space="0" w:color="auto"/>
            </w:tcBorders>
            <w:shd w:val="clear" w:color="auto" w:fill="auto"/>
            <w:vAlign w:val="center"/>
          </w:tcPr>
          <w:p w14:paraId="7E4F2185" w14:textId="77777777" w:rsidR="00DB215C" w:rsidRPr="00CE5E35" w:rsidRDefault="00DB215C" w:rsidP="00DB215C">
            <w:pPr>
              <w:ind w:right="340"/>
              <w:jc w:val="right"/>
              <w:rPr>
                <w:rFonts w:eastAsia="Calibri"/>
                <w:sz w:val="16"/>
                <w:szCs w:val="16"/>
                <w:lang w:eastAsia="en-US"/>
              </w:rPr>
            </w:pPr>
            <w:r w:rsidRPr="00CE5E35">
              <w:rPr>
                <w:rFonts w:eastAsia="Calibri"/>
                <w:sz w:val="16"/>
                <w:szCs w:val="16"/>
                <w:lang w:eastAsia="en-US"/>
              </w:rPr>
              <w:t>0</w:t>
            </w:r>
          </w:p>
        </w:tc>
        <w:tc>
          <w:tcPr>
            <w:tcW w:w="1075" w:type="dxa"/>
            <w:gridSpan w:val="2"/>
            <w:tcBorders>
              <w:top w:val="nil"/>
              <w:left w:val="single" w:sz="4" w:space="0" w:color="auto"/>
              <w:bottom w:val="nil"/>
              <w:right w:val="single" w:sz="4" w:space="0" w:color="auto"/>
            </w:tcBorders>
            <w:shd w:val="clear" w:color="auto" w:fill="auto"/>
            <w:vAlign w:val="center"/>
          </w:tcPr>
          <w:p w14:paraId="3CC5EFB7" w14:textId="77777777" w:rsidR="00DB215C" w:rsidRPr="00CE5E35" w:rsidRDefault="00DB215C" w:rsidP="00DB215C">
            <w:pPr>
              <w:ind w:right="284"/>
              <w:jc w:val="right"/>
              <w:rPr>
                <w:rFonts w:eastAsia="Calibri"/>
                <w:bCs/>
                <w:sz w:val="16"/>
                <w:szCs w:val="16"/>
                <w:lang w:eastAsia="en-US"/>
              </w:rPr>
            </w:pPr>
            <w:r w:rsidRPr="00CE5E35">
              <w:rPr>
                <w:rFonts w:eastAsia="Calibri"/>
                <w:bCs/>
                <w:sz w:val="16"/>
                <w:szCs w:val="16"/>
                <w:lang w:eastAsia="en-US"/>
              </w:rPr>
              <w:t>38.2</w:t>
            </w:r>
          </w:p>
        </w:tc>
      </w:tr>
      <w:tr w:rsidR="00DB215C" w:rsidRPr="00DB215C" w14:paraId="5FDD29AA" w14:textId="77777777" w:rsidTr="00DB215C">
        <w:trPr>
          <w:trHeight w:val="271"/>
          <w:jc w:val="center"/>
        </w:trPr>
        <w:tc>
          <w:tcPr>
            <w:tcW w:w="4253" w:type="dxa"/>
            <w:tcBorders>
              <w:top w:val="nil"/>
              <w:left w:val="single" w:sz="4" w:space="0" w:color="auto"/>
              <w:bottom w:val="nil"/>
              <w:right w:val="single" w:sz="4" w:space="0" w:color="auto"/>
            </w:tcBorders>
            <w:shd w:val="clear" w:color="auto" w:fill="auto"/>
            <w:vAlign w:val="center"/>
          </w:tcPr>
          <w:p w14:paraId="1CC0B30D" w14:textId="77777777" w:rsidR="00DB215C" w:rsidRPr="00CE5E35" w:rsidRDefault="00DB215C" w:rsidP="00DB215C">
            <w:pPr>
              <w:ind w:left="170"/>
              <w:rPr>
                <w:rFonts w:eastAsia="Calibri"/>
                <w:bCs/>
                <w:sz w:val="16"/>
                <w:szCs w:val="16"/>
                <w:lang w:eastAsia="en-US"/>
              </w:rPr>
            </w:pPr>
            <w:r w:rsidRPr="00CE5E35">
              <w:rPr>
                <w:rFonts w:eastAsia="Calibri"/>
                <w:bCs/>
                <w:sz w:val="16"/>
                <w:szCs w:val="16"/>
                <w:lang w:eastAsia="en-US"/>
              </w:rPr>
              <w:t>Otros ingresos (egresos) de la operación</w:t>
            </w:r>
          </w:p>
        </w:tc>
        <w:tc>
          <w:tcPr>
            <w:tcW w:w="1134" w:type="dxa"/>
            <w:tcBorders>
              <w:left w:val="single" w:sz="4" w:space="0" w:color="auto"/>
              <w:right w:val="single" w:sz="4" w:space="0" w:color="auto"/>
            </w:tcBorders>
            <w:shd w:val="clear" w:color="auto" w:fill="auto"/>
            <w:vAlign w:val="center"/>
          </w:tcPr>
          <w:p w14:paraId="27A1B272" w14:textId="77777777" w:rsidR="00DB215C" w:rsidRPr="00CE5E35" w:rsidRDefault="00DB215C" w:rsidP="00DB215C">
            <w:pPr>
              <w:ind w:right="340"/>
              <w:jc w:val="right"/>
              <w:rPr>
                <w:rFonts w:eastAsia="Calibri"/>
                <w:sz w:val="16"/>
                <w:szCs w:val="16"/>
                <w:lang w:eastAsia="en-US"/>
              </w:rPr>
            </w:pPr>
            <w:r w:rsidRPr="00CE5E35">
              <w:rPr>
                <w:rFonts w:eastAsia="Calibri"/>
                <w:sz w:val="16"/>
                <w:szCs w:val="16"/>
                <w:lang w:eastAsia="en-US"/>
              </w:rPr>
              <w:t>3</w:t>
            </w:r>
          </w:p>
        </w:tc>
        <w:tc>
          <w:tcPr>
            <w:tcW w:w="1134" w:type="dxa"/>
            <w:tcBorders>
              <w:top w:val="nil"/>
              <w:left w:val="single" w:sz="4" w:space="0" w:color="auto"/>
              <w:bottom w:val="nil"/>
              <w:right w:val="single" w:sz="4" w:space="0" w:color="auto"/>
            </w:tcBorders>
            <w:shd w:val="clear" w:color="auto" w:fill="auto"/>
            <w:vAlign w:val="center"/>
          </w:tcPr>
          <w:p w14:paraId="01478627" w14:textId="77777777" w:rsidR="00DB215C" w:rsidRPr="00CE5E35" w:rsidRDefault="00DB215C" w:rsidP="00DB215C">
            <w:pPr>
              <w:ind w:right="340"/>
              <w:jc w:val="right"/>
              <w:rPr>
                <w:rFonts w:eastAsia="Calibri"/>
                <w:sz w:val="16"/>
                <w:szCs w:val="16"/>
                <w:lang w:eastAsia="en-US"/>
              </w:rPr>
            </w:pPr>
            <w:r w:rsidRPr="00CE5E35">
              <w:rPr>
                <w:rFonts w:eastAsia="Calibri"/>
                <w:sz w:val="16"/>
                <w:szCs w:val="16"/>
                <w:lang w:eastAsia="en-US"/>
              </w:rPr>
              <w:t>5</w:t>
            </w:r>
          </w:p>
        </w:tc>
        <w:tc>
          <w:tcPr>
            <w:tcW w:w="992" w:type="dxa"/>
            <w:tcBorders>
              <w:left w:val="single" w:sz="4" w:space="0" w:color="auto"/>
              <w:right w:val="single" w:sz="4" w:space="0" w:color="auto"/>
            </w:tcBorders>
            <w:shd w:val="clear" w:color="auto" w:fill="auto"/>
            <w:vAlign w:val="center"/>
          </w:tcPr>
          <w:p w14:paraId="2FF22544" w14:textId="77777777" w:rsidR="00DB215C" w:rsidRPr="00CE5E35" w:rsidRDefault="00DB215C" w:rsidP="00DB215C">
            <w:pPr>
              <w:ind w:right="340"/>
              <w:jc w:val="right"/>
              <w:rPr>
                <w:rFonts w:eastAsia="Calibri"/>
                <w:sz w:val="16"/>
                <w:szCs w:val="16"/>
                <w:lang w:eastAsia="en-US"/>
              </w:rPr>
            </w:pPr>
            <w:r w:rsidRPr="00CE5E35">
              <w:rPr>
                <w:rFonts w:eastAsia="Calibri"/>
                <w:sz w:val="16"/>
                <w:szCs w:val="16"/>
                <w:lang w:eastAsia="en-US"/>
              </w:rPr>
              <w:t>2</w:t>
            </w:r>
          </w:p>
        </w:tc>
        <w:tc>
          <w:tcPr>
            <w:tcW w:w="1075" w:type="dxa"/>
            <w:gridSpan w:val="2"/>
            <w:tcBorders>
              <w:top w:val="nil"/>
              <w:left w:val="single" w:sz="4" w:space="0" w:color="auto"/>
              <w:bottom w:val="nil"/>
              <w:right w:val="single" w:sz="4" w:space="0" w:color="auto"/>
            </w:tcBorders>
            <w:shd w:val="clear" w:color="auto" w:fill="auto"/>
            <w:vAlign w:val="center"/>
          </w:tcPr>
          <w:p w14:paraId="778C63CA" w14:textId="77777777" w:rsidR="00DB215C" w:rsidRPr="00CE5E35" w:rsidRDefault="00DB215C" w:rsidP="00DB215C">
            <w:pPr>
              <w:ind w:right="284"/>
              <w:jc w:val="right"/>
              <w:rPr>
                <w:rFonts w:eastAsia="Calibri"/>
                <w:bCs/>
                <w:sz w:val="16"/>
                <w:szCs w:val="16"/>
                <w:lang w:eastAsia="en-US"/>
              </w:rPr>
            </w:pPr>
            <w:r w:rsidRPr="00CE5E35">
              <w:rPr>
                <w:rFonts w:eastAsia="Calibri"/>
                <w:bCs/>
                <w:sz w:val="16"/>
                <w:szCs w:val="16"/>
                <w:lang w:eastAsia="en-US"/>
              </w:rPr>
              <w:t>88.4</w:t>
            </w:r>
          </w:p>
        </w:tc>
      </w:tr>
      <w:tr w:rsidR="00DB215C" w:rsidRPr="00DB215C" w14:paraId="5237B041" w14:textId="77777777" w:rsidTr="00DB215C">
        <w:trPr>
          <w:trHeight w:val="271"/>
          <w:jc w:val="center"/>
        </w:trPr>
        <w:tc>
          <w:tcPr>
            <w:tcW w:w="4253" w:type="dxa"/>
            <w:tcBorders>
              <w:top w:val="nil"/>
              <w:left w:val="single" w:sz="4" w:space="0" w:color="auto"/>
              <w:bottom w:val="nil"/>
              <w:right w:val="single" w:sz="4" w:space="0" w:color="auto"/>
            </w:tcBorders>
            <w:shd w:val="clear" w:color="auto" w:fill="auto"/>
            <w:vAlign w:val="center"/>
          </w:tcPr>
          <w:p w14:paraId="429448EE" w14:textId="77777777" w:rsidR="00DB215C" w:rsidRPr="00CE5E35" w:rsidRDefault="00DB215C" w:rsidP="00DB215C">
            <w:pPr>
              <w:spacing w:after="120"/>
              <w:ind w:left="170"/>
              <w:rPr>
                <w:rFonts w:eastAsia="Calibri"/>
                <w:bCs/>
                <w:sz w:val="16"/>
                <w:szCs w:val="16"/>
                <w:lang w:eastAsia="en-US"/>
              </w:rPr>
            </w:pPr>
            <w:r w:rsidRPr="00CE5E35">
              <w:rPr>
                <w:rFonts w:eastAsia="Calibri"/>
                <w:bCs/>
                <w:sz w:val="16"/>
                <w:szCs w:val="16"/>
                <w:lang w:eastAsia="en-US"/>
              </w:rPr>
              <w:t>Gastos de administración y promoción</w:t>
            </w:r>
          </w:p>
        </w:tc>
        <w:tc>
          <w:tcPr>
            <w:tcW w:w="1134" w:type="dxa"/>
            <w:tcBorders>
              <w:left w:val="single" w:sz="4" w:space="0" w:color="auto"/>
              <w:right w:val="single" w:sz="4" w:space="0" w:color="auto"/>
            </w:tcBorders>
            <w:shd w:val="clear" w:color="auto" w:fill="auto"/>
            <w:vAlign w:val="center"/>
          </w:tcPr>
          <w:p w14:paraId="4DBEBB0F" w14:textId="77777777" w:rsidR="00DB215C" w:rsidRPr="00CE5E35" w:rsidRDefault="00DB215C" w:rsidP="00DB215C">
            <w:pPr>
              <w:spacing w:before="40" w:after="120"/>
              <w:ind w:right="340"/>
              <w:jc w:val="right"/>
              <w:rPr>
                <w:rFonts w:eastAsia="Calibri"/>
                <w:sz w:val="16"/>
                <w:szCs w:val="16"/>
                <w:lang w:eastAsia="en-US"/>
              </w:rPr>
            </w:pPr>
            <w:r w:rsidRPr="00CE5E35">
              <w:rPr>
                <w:rFonts w:eastAsia="Calibri"/>
                <w:sz w:val="16"/>
                <w:szCs w:val="16"/>
                <w:lang w:eastAsia="en-US"/>
              </w:rPr>
              <w:t>20</w:t>
            </w:r>
          </w:p>
        </w:tc>
        <w:tc>
          <w:tcPr>
            <w:tcW w:w="1134" w:type="dxa"/>
            <w:tcBorders>
              <w:top w:val="nil"/>
              <w:left w:val="single" w:sz="4" w:space="0" w:color="auto"/>
              <w:bottom w:val="nil"/>
              <w:right w:val="single" w:sz="4" w:space="0" w:color="auto"/>
            </w:tcBorders>
            <w:shd w:val="clear" w:color="auto" w:fill="auto"/>
            <w:vAlign w:val="center"/>
          </w:tcPr>
          <w:p w14:paraId="291B1E2B" w14:textId="77777777" w:rsidR="00DB215C" w:rsidRPr="00CE5E35" w:rsidRDefault="00DB215C" w:rsidP="00DB215C">
            <w:pPr>
              <w:spacing w:before="40" w:after="120"/>
              <w:ind w:right="340"/>
              <w:jc w:val="right"/>
              <w:rPr>
                <w:rFonts w:eastAsia="Calibri"/>
                <w:sz w:val="16"/>
                <w:szCs w:val="16"/>
                <w:lang w:eastAsia="en-US"/>
              </w:rPr>
            </w:pPr>
            <w:r w:rsidRPr="00CE5E35">
              <w:rPr>
                <w:rFonts w:eastAsia="Calibri"/>
                <w:sz w:val="16"/>
                <w:szCs w:val="16"/>
                <w:lang w:eastAsia="en-US"/>
              </w:rPr>
              <w:t>21</w:t>
            </w:r>
          </w:p>
        </w:tc>
        <w:tc>
          <w:tcPr>
            <w:tcW w:w="992" w:type="dxa"/>
            <w:tcBorders>
              <w:left w:val="single" w:sz="4" w:space="0" w:color="auto"/>
              <w:right w:val="single" w:sz="4" w:space="0" w:color="auto"/>
            </w:tcBorders>
            <w:shd w:val="clear" w:color="auto" w:fill="auto"/>
            <w:vAlign w:val="center"/>
          </w:tcPr>
          <w:p w14:paraId="10612ACB" w14:textId="77777777" w:rsidR="00DB215C" w:rsidRPr="00CE5E35" w:rsidRDefault="00DB215C" w:rsidP="00DB215C">
            <w:pPr>
              <w:spacing w:before="40" w:after="120"/>
              <w:ind w:right="340"/>
              <w:jc w:val="right"/>
              <w:rPr>
                <w:rFonts w:eastAsia="Calibri"/>
                <w:sz w:val="16"/>
                <w:szCs w:val="16"/>
                <w:lang w:eastAsia="en-US"/>
              </w:rPr>
            </w:pPr>
            <w:r w:rsidRPr="00CE5E35">
              <w:rPr>
                <w:rFonts w:eastAsia="Calibri"/>
                <w:sz w:val="16"/>
                <w:szCs w:val="16"/>
                <w:lang w:eastAsia="en-US"/>
              </w:rPr>
              <w:t>1</w:t>
            </w:r>
          </w:p>
        </w:tc>
        <w:tc>
          <w:tcPr>
            <w:tcW w:w="1075" w:type="dxa"/>
            <w:gridSpan w:val="2"/>
            <w:tcBorders>
              <w:top w:val="nil"/>
              <w:left w:val="single" w:sz="4" w:space="0" w:color="auto"/>
              <w:bottom w:val="nil"/>
              <w:right w:val="single" w:sz="4" w:space="0" w:color="auto"/>
            </w:tcBorders>
            <w:shd w:val="clear" w:color="auto" w:fill="auto"/>
            <w:vAlign w:val="center"/>
          </w:tcPr>
          <w:p w14:paraId="7AB3790C" w14:textId="77777777" w:rsidR="00DB215C" w:rsidRPr="00CE5E35" w:rsidRDefault="00DB215C" w:rsidP="00DB215C">
            <w:pPr>
              <w:spacing w:before="40" w:after="120"/>
              <w:ind w:right="284"/>
              <w:jc w:val="right"/>
              <w:rPr>
                <w:rFonts w:eastAsia="Calibri"/>
                <w:bCs/>
                <w:sz w:val="16"/>
                <w:szCs w:val="16"/>
                <w:lang w:eastAsia="en-US"/>
              </w:rPr>
            </w:pPr>
            <w:r w:rsidRPr="00CE5E35">
              <w:rPr>
                <w:rFonts w:eastAsia="Calibri"/>
                <w:bCs/>
                <w:sz w:val="16"/>
                <w:szCs w:val="16"/>
                <w:lang w:eastAsia="en-US"/>
              </w:rPr>
              <w:t>3.4</w:t>
            </w:r>
          </w:p>
        </w:tc>
      </w:tr>
      <w:tr w:rsidR="00DB215C" w:rsidRPr="00DB215C" w14:paraId="40A08BA1" w14:textId="77777777" w:rsidTr="00DB215C">
        <w:trPr>
          <w:trHeight w:val="271"/>
          <w:jc w:val="center"/>
        </w:trPr>
        <w:tc>
          <w:tcPr>
            <w:tcW w:w="4253" w:type="dxa"/>
            <w:tcBorders>
              <w:top w:val="nil"/>
              <w:left w:val="single" w:sz="4" w:space="0" w:color="auto"/>
              <w:bottom w:val="nil"/>
              <w:right w:val="single" w:sz="4" w:space="0" w:color="auto"/>
            </w:tcBorders>
            <w:shd w:val="clear" w:color="auto" w:fill="auto"/>
            <w:vAlign w:val="center"/>
          </w:tcPr>
          <w:p w14:paraId="3D7180DC" w14:textId="77777777" w:rsidR="00DB215C" w:rsidRPr="00CE5E35" w:rsidRDefault="00DB215C" w:rsidP="00DB215C">
            <w:pPr>
              <w:rPr>
                <w:rFonts w:eastAsia="Calibri"/>
                <w:b/>
                <w:bCs/>
                <w:sz w:val="16"/>
                <w:szCs w:val="16"/>
                <w:lang w:eastAsia="en-US"/>
              </w:rPr>
            </w:pPr>
            <w:r w:rsidRPr="00CE5E35">
              <w:rPr>
                <w:rFonts w:eastAsia="Calibri"/>
                <w:b/>
                <w:bCs/>
                <w:sz w:val="16"/>
                <w:szCs w:val="16"/>
                <w:lang w:eastAsia="en-US"/>
              </w:rPr>
              <w:t>Resultado de la operación</w:t>
            </w:r>
          </w:p>
        </w:tc>
        <w:tc>
          <w:tcPr>
            <w:tcW w:w="1134" w:type="dxa"/>
            <w:tcBorders>
              <w:left w:val="single" w:sz="4" w:space="0" w:color="auto"/>
              <w:right w:val="single" w:sz="4" w:space="0" w:color="auto"/>
            </w:tcBorders>
            <w:shd w:val="clear" w:color="auto" w:fill="auto"/>
            <w:vAlign w:val="center"/>
          </w:tcPr>
          <w:p w14:paraId="46694A31" w14:textId="77777777" w:rsidR="00DB215C" w:rsidRPr="00CE5E35" w:rsidRDefault="00DB215C" w:rsidP="00DB215C">
            <w:pPr>
              <w:ind w:right="340"/>
              <w:jc w:val="right"/>
              <w:rPr>
                <w:rFonts w:eastAsia="Calibri"/>
                <w:b/>
                <w:sz w:val="16"/>
                <w:szCs w:val="16"/>
                <w:lang w:eastAsia="en-US"/>
              </w:rPr>
            </w:pPr>
            <w:r w:rsidRPr="00CE5E35">
              <w:rPr>
                <w:rFonts w:eastAsia="Calibri"/>
                <w:b/>
                <w:sz w:val="16"/>
                <w:szCs w:val="16"/>
                <w:lang w:eastAsia="en-US"/>
              </w:rPr>
              <w:t>6</w:t>
            </w:r>
          </w:p>
        </w:tc>
        <w:tc>
          <w:tcPr>
            <w:tcW w:w="1134" w:type="dxa"/>
            <w:tcBorders>
              <w:top w:val="nil"/>
              <w:left w:val="single" w:sz="4" w:space="0" w:color="auto"/>
              <w:bottom w:val="nil"/>
              <w:right w:val="single" w:sz="4" w:space="0" w:color="auto"/>
            </w:tcBorders>
            <w:shd w:val="clear" w:color="auto" w:fill="auto"/>
            <w:vAlign w:val="center"/>
          </w:tcPr>
          <w:p w14:paraId="50502493" w14:textId="77777777" w:rsidR="00DB215C" w:rsidRPr="00CE5E35" w:rsidRDefault="00DB215C" w:rsidP="00DB215C">
            <w:pPr>
              <w:ind w:right="340"/>
              <w:jc w:val="right"/>
              <w:rPr>
                <w:rFonts w:eastAsia="Calibri"/>
                <w:b/>
                <w:sz w:val="16"/>
                <w:szCs w:val="16"/>
                <w:lang w:eastAsia="en-US"/>
              </w:rPr>
            </w:pPr>
            <w:r w:rsidRPr="00CE5E35">
              <w:rPr>
                <w:rFonts w:eastAsia="Calibri"/>
                <w:b/>
                <w:sz w:val="16"/>
                <w:szCs w:val="16"/>
                <w:lang w:eastAsia="en-US"/>
              </w:rPr>
              <w:t>8</w:t>
            </w:r>
          </w:p>
        </w:tc>
        <w:tc>
          <w:tcPr>
            <w:tcW w:w="992" w:type="dxa"/>
            <w:tcBorders>
              <w:left w:val="single" w:sz="4" w:space="0" w:color="auto"/>
              <w:right w:val="single" w:sz="4" w:space="0" w:color="auto"/>
            </w:tcBorders>
            <w:shd w:val="clear" w:color="auto" w:fill="auto"/>
            <w:vAlign w:val="center"/>
          </w:tcPr>
          <w:p w14:paraId="2D97EF06" w14:textId="77777777" w:rsidR="00DB215C" w:rsidRPr="00CE5E35" w:rsidRDefault="00DB215C" w:rsidP="00DB215C">
            <w:pPr>
              <w:ind w:right="340"/>
              <w:jc w:val="right"/>
              <w:rPr>
                <w:rFonts w:eastAsia="Calibri"/>
                <w:b/>
                <w:sz w:val="16"/>
                <w:szCs w:val="16"/>
                <w:lang w:eastAsia="en-US"/>
              </w:rPr>
            </w:pPr>
            <w:r w:rsidRPr="00CE5E35">
              <w:rPr>
                <w:rFonts w:eastAsia="Calibri"/>
                <w:b/>
                <w:sz w:val="16"/>
                <w:szCs w:val="16"/>
                <w:lang w:eastAsia="en-US"/>
              </w:rPr>
              <w:t>2</w:t>
            </w:r>
          </w:p>
        </w:tc>
        <w:tc>
          <w:tcPr>
            <w:tcW w:w="1075" w:type="dxa"/>
            <w:gridSpan w:val="2"/>
            <w:tcBorders>
              <w:top w:val="nil"/>
              <w:left w:val="single" w:sz="4" w:space="0" w:color="auto"/>
              <w:bottom w:val="nil"/>
              <w:right w:val="single" w:sz="4" w:space="0" w:color="auto"/>
            </w:tcBorders>
            <w:shd w:val="clear" w:color="auto" w:fill="auto"/>
            <w:vAlign w:val="center"/>
          </w:tcPr>
          <w:p w14:paraId="38B987EE" w14:textId="77777777" w:rsidR="00DB215C" w:rsidRPr="00CE5E35" w:rsidRDefault="00DB215C" w:rsidP="00DB215C">
            <w:pPr>
              <w:ind w:right="284"/>
              <w:jc w:val="right"/>
              <w:rPr>
                <w:rFonts w:eastAsia="Calibri"/>
                <w:b/>
                <w:bCs/>
                <w:sz w:val="16"/>
                <w:szCs w:val="16"/>
                <w:lang w:eastAsia="en-US"/>
              </w:rPr>
            </w:pPr>
            <w:r w:rsidRPr="00CE5E35">
              <w:rPr>
                <w:rFonts w:eastAsia="Calibri"/>
                <w:b/>
                <w:bCs/>
                <w:sz w:val="16"/>
                <w:szCs w:val="16"/>
                <w:lang w:eastAsia="en-US"/>
              </w:rPr>
              <w:t>30.0</w:t>
            </w:r>
          </w:p>
        </w:tc>
      </w:tr>
      <w:tr w:rsidR="00DB215C" w:rsidRPr="00DB215C" w14:paraId="1E3E3917" w14:textId="77777777" w:rsidTr="00DB215C">
        <w:trPr>
          <w:trHeight w:val="271"/>
          <w:jc w:val="center"/>
        </w:trPr>
        <w:tc>
          <w:tcPr>
            <w:tcW w:w="4253" w:type="dxa"/>
            <w:tcBorders>
              <w:top w:val="nil"/>
              <w:left w:val="single" w:sz="4" w:space="0" w:color="auto"/>
              <w:bottom w:val="nil"/>
              <w:right w:val="single" w:sz="4" w:space="0" w:color="auto"/>
            </w:tcBorders>
            <w:shd w:val="clear" w:color="auto" w:fill="auto"/>
            <w:vAlign w:val="center"/>
          </w:tcPr>
          <w:p w14:paraId="6A1974FB" w14:textId="77777777" w:rsidR="00DB215C" w:rsidRPr="00CE5E35" w:rsidRDefault="00DB215C" w:rsidP="00DB215C">
            <w:pPr>
              <w:spacing w:after="120"/>
              <w:ind w:left="170"/>
              <w:rPr>
                <w:rFonts w:eastAsia="Calibri"/>
                <w:bCs/>
                <w:sz w:val="16"/>
                <w:szCs w:val="16"/>
                <w:lang w:eastAsia="en-US"/>
              </w:rPr>
            </w:pPr>
            <w:r w:rsidRPr="00CE5E35">
              <w:rPr>
                <w:rFonts w:eastAsia="Calibri"/>
                <w:bCs/>
                <w:sz w:val="16"/>
                <w:szCs w:val="16"/>
                <w:lang w:eastAsia="en-US"/>
              </w:rPr>
              <w:t>Participación en el resultado de subsidiarias no consolidadas y asociadas</w:t>
            </w:r>
          </w:p>
        </w:tc>
        <w:tc>
          <w:tcPr>
            <w:tcW w:w="1134" w:type="dxa"/>
            <w:tcBorders>
              <w:left w:val="single" w:sz="4" w:space="0" w:color="auto"/>
              <w:right w:val="single" w:sz="4" w:space="0" w:color="auto"/>
            </w:tcBorders>
            <w:shd w:val="clear" w:color="auto" w:fill="auto"/>
            <w:vAlign w:val="center"/>
          </w:tcPr>
          <w:p w14:paraId="6DA9A4B0" w14:textId="77777777" w:rsidR="00DB215C" w:rsidRPr="00CE5E35" w:rsidRDefault="00DB215C" w:rsidP="00DB215C">
            <w:pPr>
              <w:spacing w:after="120"/>
              <w:ind w:right="340"/>
              <w:jc w:val="right"/>
              <w:rPr>
                <w:rFonts w:eastAsia="Calibri"/>
                <w:sz w:val="16"/>
                <w:szCs w:val="16"/>
                <w:lang w:eastAsia="en-US"/>
              </w:rPr>
            </w:pPr>
            <w:r w:rsidRPr="00CE5E35">
              <w:rPr>
                <w:rFonts w:eastAsia="Calibri"/>
                <w:sz w:val="16"/>
                <w:szCs w:val="16"/>
                <w:lang w:eastAsia="en-US"/>
              </w:rPr>
              <w:t>2</w:t>
            </w:r>
          </w:p>
        </w:tc>
        <w:tc>
          <w:tcPr>
            <w:tcW w:w="1134" w:type="dxa"/>
            <w:tcBorders>
              <w:top w:val="nil"/>
              <w:left w:val="single" w:sz="4" w:space="0" w:color="auto"/>
              <w:bottom w:val="nil"/>
              <w:right w:val="single" w:sz="4" w:space="0" w:color="auto"/>
            </w:tcBorders>
            <w:shd w:val="clear" w:color="auto" w:fill="auto"/>
            <w:vAlign w:val="center"/>
          </w:tcPr>
          <w:p w14:paraId="201FD62C" w14:textId="77777777" w:rsidR="00DB215C" w:rsidRPr="00CE5E35" w:rsidRDefault="00DB215C" w:rsidP="00DB215C">
            <w:pPr>
              <w:spacing w:after="120"/>
              <w:ind w:right="340"/>
              <w:jc w:val="right"/>
              <w:rPr>
                <w:rFonts w:eastAsia="Calibri"/>
                <w:sz w:val="16"/>
                <w:szCs w:val="16"/>
                <w:lang w:eastAsia="en-US"/>
              </w:rPr>
            </w:pPr>
            <w:r w:rsidRPr="00CE5E35">
              <w:rPr>
                <w:rFonts w:eastAsia="Calibri"/>
                <w:sz w:val="16"/>
                <w:szCs w:val="16"/>
                <w:lang w:eastAsia="en-US"/>
              </w:rPr>
              <w:t>2</w:t>
            </w:r>
          </w:p>
        </w:tc>
        <w:tc>
          <w:tcPr>
            <w:tcW w:w="992" w:type="dxa"/>
            <w:tcBorders>
              <w:left w:val="single" w:sz="4" w:space="0" w:color="auto"/>
              <w:right w:val="single" w:sz="4" w:space="0" w:color="auto"/>
            </w:tcBorders>
            <w:shd w:val="clear" w:color="auto" w:fill="auto"/>
            <w:vAlign w:val="center"/>
          </w:tcPr>
          <w:p w14:paraId="00680E8F" w14:textId="77777777" w:rsidR="00DB215C" w:rsidRPr="00CE5E35" w:rsidRDefault="00DB215C" w:rsidP="00DB215C">
            <w:pPr>
              <w:spacing w:after="120"/>
              <w:ind w:right="340"/>
              <w:jc w:val="right"/>
              <w:rPr>
                <w:rFonts w:eastAsia="Calibri"/>
                <w:sz w:val="16"/>
                <w:szCs w:val="16"/>
                <w:lang w:eastAsia="en-US"/>
              </w:rPr>
            </w:pPr>
            <w:r w:rsidRPr="00CE5E35">
              <w:rPr>
                <w:rFonts w:eastAsia="Calibri"/>
                <w:sz w:val="16"/>
                <w:szCs w:val="16"/>
                <w:lang w:eastAsia="en-US"/>
              </w:rPr>
              <w:t>0</w:t>
            </w:r>
          </w:p>
        </w:tc>
        <w:tc>
          <w:tcPr>
            <w:tcW w:w="1075" w:type="dxa"/>
            <w:gridSpan w:val="2"/>
            <w:tcBorders>
              <w:top w:val="nil"/>
              <w:left w:val="single" w:sz="4" w:space="0" w:color="auto"/>
              <w:bottom w:val="nil"/>
              <w:right w:val="single" w:sz="4" w:space="0" w:color="auto"/>
            </w:tcBorders>
            <w:shd w:val="clear" w:color="auto" w:fill="auto"/>
            <w:vAlign w:val="center"/>
          </w:tcPr>
          <w:p w14:paraId="33033CBF" w14:textId="77777777" w:rsidR="00DB215C" w:rsidRPr="00CE5E35" w:rsidRDefault="00DB215C" w:rsidP="00DB215C">
            <w:pPr>
              <w:spacing w:after="120"/>
              <w:ind w:right="284"/>
              <w:jc w:val="right"/>
              <w:rPr>
                <w:rFonts w:eastAsia="Calibri"/>
                <w:bCs/>
                <w:sz w:val="16"/>
                <w:szCs w:val="16"/>
                <w:lang w:eastAsia="en-US"/>
              </w:rPr>
            </w:pPr>
            <w:r w:rsidRPr="00CE5E35">
              <w:rPr>
                <w:rFonts w:eastAsia="Calibri"/>
                <w:bCs/>
                <w:sz w:val="16"/>
                <w:szCs w:val="16"/>
                <w:lang w:eastAsia="en-US"/>
              </w:rPr>
              <w:t>-14.3</w:t>
            </w:r>
          </w:p>
        </w:tc>
      </w:tr>
      <w:tr w:rsidR="00DB215C" w:rsidRPr="00DB215C" w14:paraId="50DC5FCB" w14:textId="77777777" w:rsidTr="00DB215C">
        <w:trPr>
          <w:trHeight w:val="271"/>
          <w:jc w:val="center"/>
        </w:trPr>
        <w:tc>
          <w:tcPr>
            <w:tcW w:w="4253" w:type="dxa"/>
            <w:tcBorders>
              <w:top w:val="nil"/>
              <w:left w:val="single" w:sz="4" w:space="0" w:color="auto"/>
              <w:bottom w:val="nil"/>
              <w:right w:val="single" w:sz="4" w:space="0" w:color="auto"/>
            </w:tcBorders>
            <w:shd w:val="clear" w:color="auto" w:fill="auto"/>
            <w:vAlign w:val="center"/>
          </w:tcPr>
          <w:p w14:paraId="5420F714" w14:textId="77777777" w:rsidR="00DB215C" w:rsidRPr="00CE5E35" w:rsidRDefault="00DB215C" w:rsidP="00DB215C">
            <w:pPr>
              <w:rPr>
                <w:rFonts w:eastAsia="Calibri"/>
                <w:b/>
                <w:bCs/>
                <w:sz w:val="16"/>
                <w:szCs w:val="16"/>
                <w:lang w:eastAsia="en-US"/>
              </w:rPr>
            </w:pPr>
            <w:r w:rsidRPr="00CE5E35">
              <w:rPr>
                <w:rFonts w:eastAsia="Calibri"/>
                <w:b/>
                <w:bCs/>
                <w:sz w:val="16"/>
                <w:szCs w:val="16"/>
                <w:lang w:eastAsia="en-US"/>
              </w:rPr>
              <w:t>Resultado antes de impuestos a la utilidad</w:t>
            </w:r>
          </w:p>
        </w:tc>
        <w:tc>
          <w:tcPr>
            <w:tcW w:w="1134" w:type="dxa"/>
            <w:tcBorders>
              <w:left w:val="single" w:sz="4" w:space="0" w:color="auto"/>
              <w:right w:val="single" w:sz="4" w:space="0" w:color="auto"/>
            </w:tcBorders>
            <w:shd w:val="clear" w:color="auto" w:fill="auto"/>
            <w:vAlign w:val="center"/>
          </w:tcPr>
          <w:p w14:paraId="0FB39E4C" w14:textId="77777777" w:rsidR="00DB215C" w:rsidRPr="00CE5E35" w:rsidRDefault="00DB215C" w:rsidP="00DB215C">
            <w:pPr>
              <w:ind w:right="340"/>
              <w:jc w:val="right"/>
              <w:rPr>
                <w:rFonts w:eastAsia="Calibri"/>
                <w:b/>
                <w:sz w:val="16"/>
                <w:szCs w:val="16"/>
                <w:lang w:eastAsia="en-US"/>
              </w:rPr>
            </w:pPr>
            <w:r w:rsidRPr="00CE5E35">
              <w:rPr>
                <w:rFonts w:eastAsia="Calibri"/>
                <w:b/>
                <w:sz w:val="16"/>
                <w:szCs w:val="16"/>
                <w:lang w:eastAsia="en-US"/>
              </w:rPr>
              <w:t>8</w:t>
            </w:r>
          </w:p>
        </w:tc>
        <w:tc>
          <w:tcPr>
            <w:tcW w:w="1134" w:type="dxa"/>
            <w:tcBorders>
              <w:top w:val="nil"/>
              <w:left w:val="single" w:sz="4" w:space="0" w:color="auto"/>
              <w:bottom w:val="nil"/>
              <w:right w:val="single" w:sz="4" w:space="0" w:color="auto"/>
            </w:tcBorders>
            <w:shd w:val="clear" w:color="auto" w:fill="auto"/>
            <w:vAlign w:val="center"/>
          </w:tcPr>
          <w:p w14:paraId="78CC8FE4" w14:textId="77777777" w:rsidR="00DB215C" w:rsidRPr="00CE5E35" w:rsidRDefault="00DB215C" w:rsidP="00DB215C">
            <w:pPr>
              <w:ind w:right="340"/>
              <w:jc w:val="right"/>
              <w:rPr>
                <w:rFonts w:eastAsia="Calibri"/>
                <w:b/>
                <w:sz w:val="16"/>
                <w:szCs w:val="16"/>
                <w:lang w:eastAsia="en-US"/>
              </w:rPr>
            </w:pPr>
            <w:r w:rsidRPr="00CE5E35">
              <w:rPr>
                <w:rFonts w:eastAsia="Calibri"/>
                <w:b/>
                <w:sz w:val="16"/>
                <w:szCs w:val="16"/>
                <w:lang w:eastAsia="en-US"/>
              </w:rPr>
              <w:t>9</w:t>
            </w:r>
          </w:p>
        </w:tc>
        <w:tc>
          <w:tcPr>
            <w:tcW w:w="992" w:type="dxa"/>
            <w:tcBorders>
              <w:left w:val="single" w:sz="4" w:space="0" w:color="auto"/>
              <w:right w:val="single" w:sz="4" w:space="0" w:color="auto"/>
            </w:tcBorders>
            <w:shd w:val="clear" w:color="auto" w:fill="auto"/>
            <w:vAlign w:val="center"/>
          </w:tcPr>
          <w:p w14:paraId="5AB90634" w14:textId="77777777" w:rsidR="00DB215C" w:rsidRPr="00CE5E35" w:rsidRDefault="00DB215C" w:rsidP="00DB215C">
            <w:pPr>
              <w:ind w:right="340"/>
              <w:jc w:val="right"/>
              <w:rPr>
                <w:rFonts w:eastAsia="Calibri"/>
                <w:b/>
                <w:sz w:val="16"/>
                <w:szCs w:val="16"/>
                <w:lang w:eastAsia="en-US"/>
              </w:rPr>
            </w:pPr>
            <w:r w:rsidRPr="00CE5E35">
              <w:rPr>
                <w:rFonts w:eastAsia="Calibri"/>
                <w:b/>
                <w:sz w:val="16"/>
                <w:szCs w:val="16"/>
                <w:lang w:eastAsia="en-US"/>
              </w:rPr>
              <w:t>1</w:t>
            </w:r>
          </w:p>
        </w:tc>
        <w:tc>
          <w:tcPr>
            <w:tcW w:w="1075" w:type="dxa"/>
            <w:gridSpan w:val="2"/>
            <w:tcBorders>
              <w:top w:val="nil"/>
              <w:left w:val="single" w:sz="4" w:space="0" w:color="auto"/>
              <w:bottom w:val="nil"/>
              <w:right w:val="single" w:sz="4" w:space="0" w:color="auto"/>
            </w:tcBorders>
            <w:shd w:val="clear" w:color="auto" w:fill="auto"/>
            <w:vAlign w:val="center"/>
          </w:tcPr>
          <w:p w14:paraId="072FD3C8" w14:textId="77777777" w:rsidR="00DB215C" w:rsidRPr="00CE5E35" w:rsidRDefault="00DB215C" w:rsidP="00DB215C">
            <w:pPr>
              <w:ind w:right="284"/>
              <w:jc w:val="right"/>
              <w:rPr>
                <w:rFonts w:eastAsia="Calibri"/>
                <w:b/>
                <w:bCs/>
                <w:sz w:val="16"/>
                <w:szCs w:val="16"/>
                <w:lang w:eastAsia="en-US"/>
              </w:rPr>
            </w:pPr>
            <w:r w:rsidRPr="00CE5E35">
              <w:rPr>
                <w:rFonts w:eastAsia="Calibri"/>
                <w:b/>
                <w:bCs/>
                <w:sz w:val="16"/>
                <w:szCs w:val="16"/>
                <w:lang w:eastAsia="en-US"/>
              </w:rPr>
              <w:t>18.8</w:t>
            </w:r>
          </w:p>
        </w:tc>
      </w:tr>
      <w:tr w:rsidR="00DB215C" w:rsidRPr="00DB215C" w14:paraId="0C860A90" w14:textId="77777777" w:rsidTr="00DB215C">
        <w:trPr>
          <w:trHeight w:val="271"/>
          <w:jc w:val="center"/>
        </w:trPr>
        <w:tc>
          <w:tcPr>
            <w:tcW w:w="4253" w:type="dxa"/>
            <w:tcBorders>
              <w:top w:val="nil"/>
              <w:left w:val="single" w:sz="4" w:space="0" w:color="auto"/>
              <w:bottom w:val="nil"/>
              <w:right w:val="single" w:sz="4" w:space="0" w:color="auto"/>
            </w:tcBorders>
            <w:shd w:val="clear" w:color="auto" w:fill="auto"/>
            <w:vAlign w:val="center"/>
          </w:tcPr>
          <w:p w14:paraId="3153DB2B" w14:textId="77777777" w:rsidR="00DB215C" w:rsidRPr="00CE5E35" w:rsidRDefault="00DB215C" w:rsidP="00DB215C">
            <w:pPr>
              <w:spacing w:after="120"/>
              <w:ind w:left="170"/>
              <w:rPr>
                <w:rFonts w:eastAsia="Calibri"/>
                <w:bCs/>
                <w:sz w:val="16"/>
                <w:szCs w:val="16"/>
                <w:lang w:eastAsia="en-US"/>
              </w:rPr>
            </w:pPr>
            <w:r w:rsidRPr="00CE5E35">
              <w:rPr>
                <w:rFonts w:eastAsia="Calibri"/>
                <w:bCs/>
                <w:sz w:val="16"/>
                <w:szCs w:val="16"/>
                <w:lang w:eastAsia="en-US"/>
              </w:rPr>
              <w:t>Impuestos a la utilidad netos</w:t>
            </w:r>
          </w:p>
        </w:tc>
        <w:tc>
          <w:tcPr>
            <w:tcW w:w="1134" w:type="dxa"/>
            <w:tcBorders>
              <w:left w:val="single" w:sz="4" w:space="0" w:color="auto"/>
              <w:right w:val="single" w:sz="4" w:space="0" w:color="auto"/>
            </w:tcBorders>
            <w:shd w:val="clear" w:color="auto" w:fill="auto"/>
            <w:vAlign w:val="center"/>
          </w:tcPr>
          <w:p w14:paraId="790BD417" w14:textId="77777777" w:rsidR="00DB215C" w:rsidRPr="00CE5E35" w:rsidRDefault="00DB215C" w:rsidP="00DB215C">
            <w:pPr>
              <w:spacing w:after="120"/>
              <w:ind w:right="340"/>
              <w:jc w:val="right"/>
              <w:rPr>
                <w:rFonts w:eastAsia="Calibri"/>
                <w:sz w:val="16"/>
                <w:szCs w:val="16"/>
                <w:lang w:eastAsia="en-US"/>
              </w:rPr>
            </w:pPr>
            <w:r w:rsidRPr="00CE5E35">
              <w:rPr>
                <w:rFonts w:eastAsia="Calibri"/>
                <w:sz w:val="16"/>
                <w:szCs w:val="16"/>
                <w:lang w:eastAsia="en-US"/>
              </w:rPr>
              <w:t>-1</w:t>
            </w:r>
          </w:p>
        </w:tc>
        <w:tc>
          <w:tcPr>
            <w:tcW w:w="1134" w:type="dxa"/>
            <w:tcBorders>
              <w:top w:val="nil"/>
              <w:left w:val="single" w:sz="4" w:space="0" w:color="auto"/>
              <w:bottom w:val="nil"/>
              <w:right w:val="single" w:sz="4" w:space="0" w:color="auto"/>
            </w:tcBorders>
            <w:shd w:val="clear" w:color="auto" w:fill="auto"/>
            <w:vAlign w:val="center"/>
          </w:tcPr>
          <w:p w14:paraId="55D45D88" w14:textId="77777777" w:rsidR="00DB215C" w:rsidRPr="00CE5E35" w:rsidRDefault="00DB215C" w:rsidP="00DB215C">
            <w:pPr>
              <w:spacing w:after="120"/>
              <w:ind w:right="340"/>
              <w:jc w:val="right"/>
              <w:rPr>
                <w:rFonts w:eastAsia="Calibri"/>
                <w:sz w:val="16"/>
                <w:szCs w:val="16"/>
                <w:lang w:eastAsia="en-US"/>
              </w:rPr>
            </w:pPr>
            <w:r w:rsidRPr="00CE5E35">
              <w:rPr>
                <w:rFonts w:eastAsia="Calibri"/>
                <w:sz w:val="16"/>
                <w:szCs w:val="16"/>
                <w:lang w:eastAsia="en-US"/>
              </w:rPr>
              <w:t>-1</w:t>
            </w:r>
          </w:p>
        </w:tc>
        <w:tc>
          <w:tcPr>
            <w:tcW w:w="992" w:type="dxa"/>
            <w:tcBorders>
              <w:left w:val="single" w:sz="4" w:space="0" w:color="auto"/>
              <w:right w:val="single" w:sz="4" w:space="0" w:color="auto"/>
            </w:tcBorders>
            <w:shd w:val="clear" w:color="auto" w:fill="auto"/>
            <w:vAlign w:val="center"/>
          </w:tcPr>
          <w:p w14:paraId="4F1508E4" w14:textId="77777777" w:rsidR="00DB215C" w:rsidRPr="00CE5E35" w:rsidRDefault="00DB215C" w:rsidP="00DB215C">
            <w:pPr>
              <w:spacing w:after="120"/>
              <w:ind w:right="340"/>
              <w:jc w:val="right"/>
              <w:rPr>
                <w:rFonts w:eastAsia="Calibri"/>
                <w:sz w:val="16"/>
                <w:szCs w:val="16"/>
                <w:lang w:eastAsia="en-US"/>
              </w:rPr>
            </w:pPr>
            <w:r w:rsidRPr="00CE5E35">
              <w:rPr>
                <w:rFonts w:eastAsia="Calibri"/>
                <w:sz w:val="16"/>
                <w:szCs w:val="16"/>
                <w:lang w:eastAsia="en-US"/>
              </w:rPr>
              <w:t>0</w:t>
            </w:r>
          </w:p>
        </w:tc>
        <w:tc>
          <w:tcPr>
            <w:tcW w:w="1075" w:type="dxa"/>
            <w:gridSpan w:val="2"/>
            <w:tcBorders>
              <w:top w:val="nil"/>
              <w:left w:val="single" w:sz="4" w:space="0" w:color="auto"/>
              <w:bottom w:val="nil"/>
              <w:right w:val="single" w:sz="4" w:space="0" w:color="auto"/>
            </w:tcBorders>
            <w:shd w:val="clear" w:color="auto" w:fill="auto"/>
            <w:vAlign w:val="center"/>
          </w:tcPr>
          <w:p w14:paraId="7502EE8A" w14:textId="77777777" w:rsidR="00DB215C" w:rsidRPr="00CE5E35" w:rsidRDefault="00DB215C" w:rsidP="00DB215C">
            <w:pPr>
              <w:spacing w:after="120"/>
              <w:ind w:right="284"/>
              <w:jc w:val="right"/>
              <w:rPr>
                <w:rFonts w:eastAsia="Calibri"/>
                <w:bCs/>
                <w:sz w:val="16"/>
                <w:szCs w:val="16"/>
                <w:lang w:eastAsia="en-US"/>
              </w:rPr>
            </w:pPr>
            <w:r w:rsidRPr="00CE5E35">
              <w:rPr>
                <w:rFonts w:eastAsia="Calibri"/>
                <w:bCs/>
                <w:sz w:val="16"/>
                <w:szCs w:val="16"/>
                <w:lang w:eastAsia="en-US"/>
              </w:rPr>
              <w:t>-21.0</w:t>
            </w:r>
          </w:p>
        </w:tc>
      </w:tr>
      <w:tr w:rsidR="00DB215C" w:rsidRPr="00DB215C" w14:paraId="2FA4826B" w14:textId="77777777" w:rsidTr="00DB215C">
        <w:trPr>
          <w:trHeight w:val="271"/>
          <w:jc w:val="center"/>
        </w:trPr>
        <w:tc>
          <w:tcPr>
            <w:tcW w:w="4253" w:type="dxa"/>
            <w:tcBorders>
              <w:top w:val="nil"/>
              <w:left w:val="single" w:sz="4" w:space="0" w:color="auto"/>
              <w:bottom w:val="nil"/>
              <w:right w:val="single" w:sz="4" w:space="0" w:color="auto"/>
            </w:tcBorders>
            <w:shd w:val="clear" w:color="auto" w:fill="auto"/>
            <w:vAlign w:val="center"/>
          </w:tcPr>
          <w:p w14:paraId="0D4FF57B" w14:textId="77777777" w:rsidR="00DB215C" w:rsidRPr="00CE5E35" w:rsidRDefault="00DB215C" w:rsidP="00DB215C">
            <w:pPr>
              <w:jc w:val="both"/>
              <w:rPr>
                <w:rFonts w:eastAsia="Calibri"/>
                <w:b/>
                <w:bCs/>
                <w:sz w:val="16"/>
                <w:szCs w:val="16"/>
                <w:lang w:eastAsia="en-US"/>
              </w:rPr>
            </w:pPr>
            <w:r w:rsidRPr="00CE5E35">
              <w:rPr>
                <w:rFonts w:eastAsia="Calibri"/>
                <w:b/>
                <w:bCs/>
                <w:sz w:val="16"/>
                <w:szCs w:val="16"/>
                <w:lang w:eastAsia="en-US"/>
              </w:rPr>
              <w:t>Resultado antes de operaciones discontinuadas</w:t>
            </w:r>
          </w:p>
        </w:tc>
        <w:tc>
          <w:tcPr>
            <w:tcW w:w="1134" w:type="dxa"/>
            <w:tcBorders>
              <w:left w:val="single" w:sz="4" w:space="0" w:color="auto"/>
              <w:right w:val="single" w:sz="4" w:space="0" w:color="auto"/>
            </w:tcBorders>
            <w:shd w:val="clear" w:color="auto" w:fill="auto"/>
            <w:vAlign w:val="center"/>
          </w:tcPr>
          <w:p w14:paraId="4F8927E1" w14:textId="77777777" w:rsidR="00DB215C" w:rsidRPr="00CE5E35" w:rsidRDefault="00DB215C" w:rsidP="00DB215C">
            <w:pPr>
              <w:ind w:right="340"/>
              <w:jc w:val="right"/>
              <w:rPr>
                <w:rFonts w:eastAsia="Calibri"/>
                <w:b/>
                <w:sz w:val="16"/>
                <w:szCs w:val="16"/>
                <w:lang w:eastAsia="en-US"/>
              </w:rPr>
            </w:pPr>
            <w:r w:rsidRPr="00CE5E35">
              <w:rPr>
                <w:rFonts w:eastAsia="Calibri"/>
                <w:b/>
                <w:sz w:val="16"/>
                <w:szCs w:val="16"/>
                <w:lang w:eastAsia="en-US"/>
              </w:rPr>
              <w:t>7</w:t>
            </w:r>
          </w:p>
        </w:tc>
        <w:tc>
          <w:tcPr>
            <w:tcW w:w="1134" w:type="dxa"/>
            <w:tcBorders>
              <w:top w:val="nil"/>
              <w:left w:val="single" w:sz="4" w:space="0" w:color="auto"/>
              <w:bottom w:val="nil"/>
              <w:right w:val="single" w:sz="4" w:space="0" w:color="auto"/>
            </w:tcBorders>
            <w:shd w:val="clear" w:color="auto" w:fill="auto"/>
            <w:vAlign w:val="center"/>
          </w:tcPr>
          <w:p w14:paraId="5BCBC56B" w14:textId="77777777" w:rsidR="00DB215C" w:rsidRPr="00CE5E35" w:rsidRDefault="00DB215C" w:rsidP="00DB215C">
            <w:pPr>
              <w:ind w:right="340"/>
              <w:jc w:val="right"/>
              <w:rPr>
                <w:rFonts w:eastAsia="Calibri"/>
                <w:b/>
                <w:sz w:val="16"/>
                <w:szCs w:val="16"/>
                <w:lang w:eastAsia="en-US"/>
              </w:rPr>
            </w:pPr>
            <w:r w:rsidRPr="00CE5E35">
              <w:rPr>
                <w:rFonts w:eastAsia="Calibri"/>
                <w:b/>
                <w:sz w:val="16"/>
                <w:szCs w:val="16"/>
                <w:lang w:eastAsia="en-US"/>
              </w:rPr>
              <w:t>8</w:t>
            </w:r>
          </w:p>
        </w:tc>
        <w:tc>
          <w:tcPr>
            <w:tcW w:w="992" w:type="dxa"/>
            <w:tcBorders>
              <w:left w:val="single" w:sz="4" w:space="0" w:color="auto"/>
              <w:right w:val="single" w:sz="4" w:space="0" w:color="auto"/>
            </w:tcBorders>
            <w:shd w:val="clear" w:color="auto" w:fill="auto"/>
            <w:vAlign w:val="center"/>
          </w:tcPr>
          <w:p w14:paraId="33617C2E" w14:textId="77777777" w:rsidR="00DB215C" w:rsidRPr="00CE5E35" w:rsidRDefault="00DB215C" w:rsidP="00DB215C">
            <w:pPr>
              <w:ind w:right="340"/>
              <w:jc w:val="right"/>
              <w:rPr>
                <w:rFonts w:eastAsia="Calibri"/>
                <w:b/>
                <w:sz w:val="16"/>
                <w:szCs w:val="16"/>
                <w:lang w:eastAsia="en-US"/>
              </w:rPr>
            </w:pPr>
            <w:r w:rsidRPr="00CE5E35">
              <w:rPr>
                <w:rFonts w:eastAsia="Calibri"/>
                <w:b/>
                <w:sz w:val="16"/>
                <w:szCs w:val="16"/>
                <w:lang w:eastAsia="en-US"/>
              </w:rPr>
              <w:t>2</w:t>
            </w:r>
          </w:p>
        </w:tc>
        <w:tc>
          <w:tcPr>
            <w:tcW w:w="1075" w:type="dxa"/>
            <w:gridSpan w:val="2"/>
            <w:tcBorders>
              <w:top w:val="nil"/>
              <w:left w:val="single" w:sz="4" w:space="0" w:color="auto"/>
              <w:bottom w:val="nil"/>
              <w:right w:val="single" w:sz="4" w:space="0" w:color="auto"/>
            </w:tcBorders>
            <w:shd w:val="clear" w:color="auto" w:fill="auto"/>
            <w:vAlign w:val="center"/>
          </w:tcPr>
          <w:p w14:paraId="3DE5B02D" w14:textId="77777777" w:rsidR="00DB215C" w:rsidRPr="00CE5E35" w:rsidRDefault="00DB215C" w:rsidP="00DB215C">
            <w:pPr>
              <w:ind w:right="284"/>
              <w:jc w:val="right"/>
              <w:rPr>
                <w:rFonts w:eastAsia="Calibri"/>
                <w:bCs/>
                <w:sz w:val="16"/>
                <w:szCs w:val="16"/>
                <w:lang w:eastAsia="en-US"/>
              </w:rPr>
            </w:pPr>
            <w:r w:rsidRPr="00CE5E35">
              <w:rPr>
                <w:rFonts w:eastAsia="Calibri"/>
                <w:bCs/>
                <w:sz w:val="16"/>
                <w:szCs w:val="16"/>
                <w:lang w:eastAsia="en-US"/>
              </w:rPr>
              <w:t>25.9</w:t>
            </w:r>
          </w:p>
        </w:tc>
      </w:tr>
      <w:tr w:rsidR="00DB215C" w:rsidRPr="00DB215C" w14:paraId="7D3D8909" w14:textId="77777777" w:rsidTr="00DB215C">
        <w:trPr>
          <w:trHeight w:val="271"/>
          <w:jc w:val="center"/>
        </w:trPr>
        <w:tc>
          <w:tcPr>
            <w:tcW w:w="4253" w:type="dxa"/>
            <w:tcBorders>
              <w:top w:val="nil"/>
              <w:left w:val="single" w:sz="4" w:space="0" w:color="auto"/>
              <w:bottom w:val="nil"/>
              <w:right w:val="single" w:sz="4" w:space="0" w:color="auto"/>
            </w:tcBorders>
            <w:shd w:val="clear" w:color="auto" w:fill="auto"/>
            <w:vAlign w:val="center"/>
          </w:tcPr>
          <w:p w14:paraId="552C1511" w14:textId="77777777" w:rsidR="00DB215C" w:rsidRPr="00CE5E35" w:rsidRDefault="00DB215C" w:rsidP="00DB215C">
            <w:pPr>
              <w:spacing w:before="40" w:after="120"/>
              <w:ind w:left="170"/>
              <w:rPr>
                <w:rFonts w:eastAsia="Calibri"/>
                <w:bCs/>
                <w:sz w:val="16"/>
                <w:szCs w:val="16"/>
                <w:lang w:eastAsia="en-US"/>
              </w:rPr>
            </w:pPr>
            <w:r w:rsidRPr="00CE5E35">
              <w:rPr>
                <w:rFonts w:eastAsia="Calibri"/>
                <w:bCs/>
                <w:sz w:val="16"/>
                <w:szCs w:val="16"/>
                <w:lang w:eastAsia="en-US"/>
              </w:rPr>
              <w:t>Operaciones discontinuadas</w:t>
            </w:r>
          </w:p>
        </w:tc>
        <w:tc>
          <w:tcPr>
            <w:tcW w:w="1134" w:type="dxa"/>
            <w:tcBorders>
              <w:left w:val="single" w:sz="4" w:space="0" w:color="auto"/>
              <w:right w:val="single" w:sz="4" w:space="0" w:color="auto"/>
            </w:tcBorders>
            <w:shd w:val="clear" w:color="auto" w:fill="auto"/>
            <w:vAlign w:val="center"/>
          </w:tcPr>
          <w:p w14:paraId="173110FC" w14:textId="77777777" w:rsidR="00DB215C" w:rsidRPr="00CE5E35" w:rsidRDefault="00DB215C" w:rsidP="00DB215C">
            <w:pPr>
              <w:spacing w:before="40" w:after="120"/>
              <w:ind w:right="340"/>
              <w:jc w:val="right"/>
              <w:rPr>
                <w:rFonts w:eastAsia="Calibri"/>
                <w:sz w:val="16"/>
                <w:szCs w:val="16"/>
                <w:lang w:eastAsia="en-US"/>
              </w:rPr>
            </w:pPr>
            <w:r w:rsidRPr="00CE5E35">
              <w:rPr>
                <w:rFonts w:eastAsia="Calibri"/>
                <w:sz w:val="16"/>
                <w:szCs w:val="16"/>
                <w:lang w:eastAsia="en-US"/>
              </w:rPr>
              <w:t>0</w:t>
            </w:r>
          </w:p>
        </w:tc>
        <w:tc>
          <w:tcPr>
            <w:tcW w:w="1134" w:type="dxa"/>
            <w:tcBorders>
              <w:top w:val="nil"/>
              <w:left w:val="single" w:sz="4" w:space="0" w:color="auto"/>
              <w:bottom w:val="nil"/>
              <w:right w:val="single" w:sz="4" w:space="0" w:color="auto"/>
            </w:tcBorders>
            <w:shd w:val="clear" w:color="auto" w:fill="auto"/>
            <w:vAlign w:val="center"/>
          </w:tcPr>
          <w:p w14:paraId="506544ED" w14:textId="77777777" w:rsidR="00DB215C" w:rsidRPr="00CE5E35" w:rsidRDefault="00DB215C" w:rsidP="00DB215C">
            <w:pPr>
              <w:spacing w:before="40" w:after="120"/>
              <w:ind w:right="340"/>
              <w:jc w:val="right"/>
              <w:rPr>
                <w:rFonts w:eastAsia="Calibri"/>
                <w:sz w:val="16"/>
                <w:szCs w:val="16"/>
                <w:lang w:eastAsia="en-US"/>
              </w:rPr>
            </w:pPr>
            <w:r w:rsidRPr="00CE5E35">
              <w:rPr>
                <w:rFonts w:eastAsia="Calibri"/>
                <w:sz w:val="16"/>
                <w:szCs w:val="16"/>
                <w:lang w:eastAsia="en-US"/>
              </w:rPr>
              <w:t>0</w:t>
            </w:r>
          </w:p>
        </w:tc>
        <w:tc>
          <w:tcPr>
            <w:tcW w:w="992" w:type="dxa"/>
            <w:tcBorders>
              <w:left w:val="single" w:sz="4" w:space="0" w:color="auto"/>
              <w:right w:val="single" w:sz="4" w:space="0" w:color="auto"/>
            </w:tcBorders>
            <w:shd w:val="clear" w:color="auto" w:fill="auto"/>
            <w:vAlign w:val="center"/>
          </w:tcPr>
          <w:p w14:paraId="58120679" w14:textId="77777777" w:rsidR="00DB215C" w:rsidRPr="00CE5E35" w:rsidRDefault="00DB215C" w:rsidP="00DB215C">
            <w:pPr>
              <w:spacing w:before="40" w:after="120"/>
              <w:ind w:right="340"/>
              <w:jc w:val="right"/>
              <w:rPr>
                <w:rFonts w:eastAsia="Calibri"/>
                <w:sz w:val="16"/>
                <w:szCs w:val="16"/>
                <w:lang w:eastAsia="en-US"/>
              </w:rPr>
            </w:pPr>
            <w:r w:rsidRPr="00CE5E35">
              <w:rPr>
                <w:rFonts w:eastAsia="Calibri"/>
                <w:sz w:val="16"/>
                <w:szCs w:val="16"/>
                <w:lang w:eastAsia="en-US"/>
              </w:rPr>
              <w:t>0</w:t>
            </w:r>
          </w:p>
        </w:tc>
        <w:tc>
          <w:tcPr>
            <w:tcW w:w="1075" w:type="dxa"/>
            <w:gridSpan w:val="2"/>
            <w:tcBorders>
              <w:top w:val="nil"/>
              <w:left w:val="single" w:sz="4" w:space="0" w:color="auto"/>
              <w:bottom w:val="nil"/>
              <w:right w:val="single" w:sz="4" w:space="0" w:color="auto"/>
            </w:tcBorders>
            <w:shd w:val="clear" w:color="auto" w:fill="auto"/>
            <w:vAlign w:val="center"/>
          </w:tcPr>
          <w:p w14:paraId="468F29A5" w14:textId="77777777" w:rsidR="00DB215C" w:rsidRPr="00CE5E35" w:rsidRDefault="00DB215C" w:rsidP="00DB215C">
            <w:pPr>
              <w:spacing w:before="40" w:after="120"/>
              <w:ind w:right="284"/>
              <w:jc w:val="right"/>
              <w:rPr>
                <w:rFonts w:eastAsia="Calibri"/>
                <w:bCs/>
                <w:sz w:val="16"/>
                <w:szCs w:val="16"/>
                <w:lang w:eastAsia="en-US"/>
              </w:rPr>
            </w:pPr>
            <w:r w:rsidRPr="00CE5E35">
              <w:rPr>
                <w:rFonts w:eastAsia="Calibri"/>
                <w:bCs/>
                <w:sz w:val="16"/>
                <w:szCs w:val="16"/>
                <w:lang w:eastAsia="en-US"/>
              </w:rPr>
              <w:t>n.a.</w:t>
            </w:r>
          </w:p>
        </w:tc>
      </w:tr>
      <w:tr w:rsidR="00DB215C" w:rsidRPr="00DB215C" w14:paraId="54160CA9" w14:textId="77777777" w:rsidTr="00DB215C">
        <w:trPr>
          <w:trHeight w:val="271"/>
          <w:jc w:val="center"/>
        </w:trPr>
        <w:tc>
          <w:tcPr>
            <w:tcW w:w="4253" w:type="dxa"/>
            <w:tcBorders>
              <w:top w:val="nil"/>
              <w:left w:val="single" w:sz="4" w:space="0" w:color="auto"/>
              <w:bottom w:val="single" w:sz="4" w:space="0" w:color="auto"/>
              <w:right w:val="single" w:sz="4" w:space="0" w:color="auto"/>
            </w:tcBorders>
            <w:shd w:val="clear" w:color="auto" w:fill="auto"/>
            <w:vAlign w:val="center"/>
          </w:tcPr>
          <w:p w14:paraId="3CBF2644" w14:textId="77777777" w:rsidR="00DB215C" w:rsidRPr="00CE5E35" w:rsidRDefault="00DB215C" w:rsidP="00DB215C">
            <w:pPr>
              <w:spacing w:before="40" w:after="120"/>
              <w:rPr>
                <w:rFonts w:eastAsia="Calibri"/>
                <w:b/>
                <w:bCs/>
                <w:sz w:val="16"/>
                <w:szCs w:val="16"/>
                <w:lang w:eastAsia="en-US"/>
              </w:rPr>
            </w:pPr>
            <w:r w:rsidRPr="00CE5E35">
              <w:rPr>
                <w:rFonts w:eastAsia="Calibri"/>
                <w:b/>
                <w:bCs/>
                <w:sz w:val="16"/>
                <w:szCs w:val="16"/>
                <w:lang w:eastAsia="en-US"/>
              </w:rPr>
              <w:t>Resultado neto</w:t>
            </w:r>
          </w:p>
        </w:tc>
        <w:tc>
          <w:tcPr>
            <w:tcW w:w="1134" w:type="dxa"/>
            <w:tcBorders>
              <w:left w:val="single" w:sz="4" w:space="0" w:color="auto"/>
              <w:bottom w:val="single" w:sz="4" w:space="0" w:color="auto"/>
              <w:right w:val="single" w:sz="4" w:space="0" w:color="auto"/>
            </w:tcBorders>
            <w:shd w:val="clear" w:color="auto" w:fill="auto"/>
            <w:vAlign w:val="center"/>
          </w:tcPr>
          <w:p w14:paraId="0C2BCC42" w14:textId="77777777" w:rsidR="00DB215C" w:rsidRPr="00CE5E35" w:rsidRDefault="00DB215C" w:rsidP="00DB215C">
            <w:pPr>
              <w:spacing w:before="40" w:after="120"/>
              <w:ind w:right="340"/>
              <w:jc w:val="right"/>
              <w:rPr>
                <w:rFonts w:eastAsia="Calibri"/>
                <w:b/>
                <w:sz w:val="16"/>
                <w:szCs w:val="16"/>
                <w:lang w:eastAsia="en-US"/>
              </w:rPr>
            </w:pPr>
            <w:r w:rsidRPr="00CE5E35">
              <w:rPr>
                <w:rFonts w:eastAsia="Calibri"/>
                <w:b/>
                <w:sz w:val="16"/>
                <w:szCs w:val="16"/>
                <w:lang w:eastAsia="en-US"/>
              </w:rPr>
              <w:t>7</w:t>
            </w:r>
          </w:p>
        </w:tc>
        <w:tc>
          <w:tcPr>
            <w:tcW w:w="1134" w:type="dxa"/>
            <w:tcBorders>
              <w:top w:val="nil"/>
              <w:left w:val="single" w:sz="4" w:space="0" w:color="auto"/>
              <w:bottom w:val="single" w:sz="4" w:space="0" w:color="auto"/>
              <w:right w:val="single" w:sz="4" w:space="0" w:color="auto"/>
            </w:tcBorders>
            <w:shd w:val="clear" w:color="auto" w:fill="auto"/>
            <w:vAlign w:val="center"/>
          </w:tcPr>
          <w:p w14:paraId="0747B362" w14:textId="77777777" w:rsidR="00DB215C" w:rsidRPr="00CE5E35" w:rsidRDefault="00DB215C" w:rsidP="00DB215C">
            <w:pPr>
              <w:spacing w:before="40" w:after="120"/>
              <w:ind w:right="340"/>
              <w:jc w:val="right"/>
              <w:rPr>
                <w:rFonts w:eastAsia="Calibri"/>
                <w:b/>
                <w:sz w:val="16"/>
                <w:szCs w:val="16"/>
                <w:lang w:eastAsia="en-US"/>
              </w:rPr>
            </w:pPr>
            <w:r w:rsidRPr="00CE5E35">
              <w:rPr>
                <w:rFonts w:eastAsia="Calibri"/>
                <w:b/>
                <w:sz w:val="16"/>
                <w:szCs w:val="16"/>
                <w:lang w:eastAsia="en-US"/>
              </w:rPr>
              <w:t>8</w:t>
            </w:r>
          </w:p>
        </w:tc>
        <w:tc>
          <w:tcPr>
            <w:tcW w:w="992" w:type="dxa"/>
            <w:tcBorders>
              <w:left w:val="single" w:sz="4" w:space="0" w:color="auto"/>
              <w:bottom w:val="single" w:sz="4" w:space="0" w:color="auto"/>
              <w:right w:val="single" w:sz="4" w:space="0" w:color="auto"/>
            </w:tcBorders>
            <w:shd w:val="clear" w:color="auto" w:fill="auto"/>
            <w:vAlign w:val="center"/>
          </w:tcPr>
          <w:p w14:paraId="64B95AF1" w14:textId="77777777" w:rsidR="00DB215C" w:rsidRPr="00CE5E35" w:rsidRDefault="00DB215C" w:rsidP="00DB215C">
            <w:pPr>
              <w:spacing w:before="40" w:after="120"/>
              <w:ind w:right="340"/>
              <w:jc w:val="right"/>
              <w:rPr>
                <w:rFonts w:eastAsia="Calibri"/>
                <w:b/>
                <w:sz w:val="16"/>
                <w:szCs w:val="16"/>
                <w:lang w:eastAsia="en-US"/>
              </w:rPr>
            </w:pPr>
            <w:r w:rsidRPr="00CE5E35">
              <w:rPr>
                <w:rFonts w:eastAsia="Calibri"/>
                <w:b/>
                <w:sz w:val="16"/>
                <w:szCs w:val="16"/>
                <w:lang w:eastAsia="en-US"/>
              </w:rPr>
              <w:t>2</w:t>
            </w:r>
          </w:p>
        </w:tc>
        <w:tc>
          <w:tcPr>
            <w:tcW w:w="1075" w:type="dxa"/>
            <w:gridSpan w:val="2"/>
            <w:tcBorders>
              <w:top w:val="nil"/>
              <w:left w:val="single" w:sz="4" w:space="0" w:color="auto"/>
              <w:bottom w:val="single" w:sz="4" w:space="0" w:color="auto"/>
              <w:right w:val="single" w:sz="4" w:space="0" w:color="auto"/>
            </w:tcBorders>
            <w:shd w:val="clear" w:color="auto" w:fill="auto"/>
            <w:vAlign w:val="center"/>
          </w:tcPr>
          <w:p w14:paraId="35E2AD10" w14:textId="77777777" w:rsidR="00DB215C" w:rsidRPr="00CE5E35" w:rsidRDefault="00DB215C" w:rsidP="00DB215C">
            <w:pPr>
              <w:spacing w:before="40" w:after="120"/>
              <w:ind w:right="284"/>
              <w:jc w:val="right"/>
              <w:rPr>
                <w:rFonts w:eastAsia="Calibri"/>
                <w:b/>
                <w:bCs/>
                <w:sz w:val="16"/>
                <w:szCs w:val="16"/>
                <w:lang w:eastAsia="en-US"/>
              </w:rPr>
            </w:pPr>
            <w:r w:rsidRPr="00CE5E35">
              <w:rPr>
                <w:rFonts w:eastAsia="Calibri"/>
                <w:b/>
                <w:bCs/>
                <w:sz w:val="16"/>
                <w:szCs w:val="16"/>
                <w:lang w:eastAsia="en-US"/>
              </w:rPr>
              <w:t>25.9</w:t>
            </w:r>
          </w:p>
        </w:tc>
      </w:tr>
      <w:tr w:rsidR="00DB215C" w:rsidRPr="00DB215C" w14:paraId="66F8047D" w14:textId="77777777" w:rsidTr="00CE5E35">
        <w:trPr>
          <w:trHeight w:val="271"/>
          <w:jc w:val="center"/>
        </w:trPr>
        <w:tc>
          <w:tcPr>
            <w:tcW w:w="8588" w:type="dxa"/>
            <w:gridSpan w:val="6"/>
            <w:tcBorders>
              <w:top w:val="single" w:sz="4" w:space="0" w:color="auto"/>
              <w:bottom w:val="nil"/>
            </w:tcBorders>
            <w:shd w:val="clear" w:color="auto" w:fill="auto"/>
            <w:vAlign w:val="center"/>
          </w:tcPr>
          <w:p w14:paraId="6CF0A508" w14:textId="77777777" w:rsidR="00DB215C" w:rsidRPr="00CE5E35" w:rsidRDefault="00DB215C" w:rsidP="00DB215C">
            <w:pPr>
              <w:spacing w:before="120"/>
              <w:ind w:right="340"/>
              <w:jc w:val="both"/>
              <w:rPr>
                <w:rFonts w:eastAsia="Calibri"/>
                <w:bCs/>
                <w:sz w:val="20"/>
                <w:szCs w:val="20"/>
                <w:lang w:eastAsia="en-US"/>
              </w:rPr>
            </w:pPr>
            <w:r w:rsidRPr="00CE5E35">
              <w:rPr>
                <w:rFonts w:eastAsia="Calibri"/>
                <w:bCs/>
                <w:sz w:val="20"/>
                <w:szCs w:val="20"/>
                <w:lang w:eastAsia="en-US"/>
              </w:rPr>
              <w:t>FUENTE: CNBV.</w:t>
            </w:r>
          </w:p>
        </w:tc>
      </w:tr>
    </w:tbl>
    <w:p w14:paraId="53D10E7E" w14:textId="77777777" w:rsidR="00DB215C" w:rsidRPr="00DB215C" w:rsidRDefault="00DB215C" w:rsidP="00DB215C">
      <w:pPr>
        <w:spacing w:before="360" w:after="360" w:line="360" w:lineRule="auto"/>
        <w:ind w:right="-159"/>
        <w:jc w:val="both"/>
        <w:rPr>
          <w:rFonts w:eastAsia="Calibri"/>
          <w:sz w:val="26"/>
          <w:szCs w:val="26"/>
          <w:lang w:eastAsia="en-US"/>
        </w:rPr>
      </w:pPr>
      <w:r w:rsidRPr="00DB215C">
        <w:rPr>
          <w:rFonts w:eastAsia="Calibri"/>
          <w:sz w:val="26"/>
          <w:szCs w:val="26"/>
          <w:lang w:eastAsia="en-US"/>
        </w:rPr>
        <w:t>El resultado neto de la banca múltiple fue de 8 mil 375 mmdp al cierre de enero de 2015, cifra 25.9% mayor a la del mismo período del año previo.</w:t>
      </w:r>
    </w:p>
    <w:p w14:paraId="1625E4DF" w14:textId="3B85815A" w:rsidR="00DB215C" w:rsidRPr="00DB215C" w:rsidRDefault="00DB215C" w:rsidP="00DB215C">
      <w:pPr>
        <w:spacing w:before="360" w:after="360" w:line="360" w:lineRule="auto"/>
        <w:ind w:right="-159"/>
        <w:jc w:val="both"/>
        <w:rPr>
          <w:rFonts w:eastAsia="Calibri"/>
          <w:sz w:val="26"/>
          <w:szCs w:val="26"/>
          <w:lang w:eastAsia="en-US"/>
        </w:rPr>
      </w:pPr>
      <w:r w:rsidRPr="00DB215C">
        <w:rPr>
          <w:rFonts w:eastAsia="Calibri"/>
          <w:sz w:val="26"/>
          <w:szCs w:val="26"/>
          <w:lang w:eastAsia="en-US"/>
        </w:rPr>
        <w:lastRenderedPageBreak/>
        <w:t>Los rentabilidad de los activos medida por el ROA registró una variación negativa de 0.13pp, mientras que la rentabilidad del capital medida por el ROE disminuyó 0.84pp. En este período, el resultado neto acumulado</w:t>
      </w:r>
      <w:r w:rsidR="00DC1170">
        <w:rPr>
          <w:rFonts w:eastAsia="Calibri"/>
          <w:sz w:val="26"/>
          <w:szCs w:val="26"/>
          <w:lang w:eastAsia="en-US"/>
        </w:rPr>
        <w:t xml:space="preserve"> a</w:t>
      </w:r>
      <w:r w:rsidRPr="00DB215C">
        <w:rPr>
          <w:rFonts w:eastAsia="Calibri"/>
          <w:sz w:val="26"/>
          <w:szCs w:val="26"/>
          <w:lang w:eastAsia="en-US"/>
        </w:rPr>
        <w:t xml:space="preserve"> 12 meses tuvo un aumento menor que el observado en el activo promedio y capital contable promedio a 12 meses.</w:t>
      </w:r>
    </w:p>
    <w:tbl>
      <w:tblPr>
        <w:tblW w:w="8978" w:type="dxa"/>
        <w:tblLayout w:type="fixed"/>
        <w:tblLook w:val="01E0" w:firstRow="1" w:lastRow="1" w:firstColumn="1" w:lastColumn="1" w:noHBand="0" w:noVBand="0"/>
      </w:tblPr>
      <w:tblGrid>
        <w:gridCol w:w="3472"/>
        <w:gridCol w:w="1101"/>
        <w:gridCol w:w="1101"/>
        <w:gridCol w:w="1101"/>
        <w:gridCol w:w="1101"/>
        <w:gridCol w:w="1055"/>
        <w:gridCol w:w="47"/>
      </w:tblGrid>
      <w:tr w:rsidR="00DB215C" w:rsidRPr="00DB215C" w14:paraId="4E22D0B4" w14:textId="77777777" w:rsidTr="00CE5E35">
        <w:trPr>
          <w:trHeight w:val="552"/>
        </w:trPr>
        <w:tc>
          <w:tcPr>
            <w:tcW w:w="8978" w:type="dxa"/>
            <w:gridSpan w:val="7"/>
            <w:tcBorders>
              <w:top w:val="nil"/>
              <w:left w:val="nil"/>
              <w:bottom w:val="single" w:sz="4" w:space="0" w:color="auto"/>
              <w:right w:val="nil"/>
            </w:tcBorders>
            <w:shd w:val="clear" w:color="auto" w:fill="auto"/>
          </w:tcPr>
          <w:p w14:paraId="46CA0478" w14:textId="77777777" w:rsidR="00DB215C" w:rsidRPr="00DB215C" w:rsidRDefault="00DB215C" w:rsidP="00DB215C">
            <w:pPr>
              <w:spacing w:before="120"/>
              <w:jc w:val="center"/>
              <w:rPr>
                <w:rFonts w:eastAsia="Calibri"/>
                <w:b/>
                <w:bCs/>
                <w:sz w:val="22"/>
                <w:szCs w:val="22"/>
                <w:lang w:eastAsia="en-US"/>
              </w:rPr>
            </w:pPr>
            <w:r w:rsidRPr="00DB215C">
              <w:rPr>
                <w:rFonts w:eastAsia="Calibri"/>
                <w:b/>
                <w:bCs/>
                <w:sz w:val="22"/>
                <w:szCs w:val="22"/>
                <w:lang w:eastAsia="en-US"/>
              </w:rPr>
              <w:t>BANCA MÚLTIPLE: INDICADORES FINANCIEROS</w:t>
            </w:r>
          </w:p>
          <w:p w14:paraId="40B07FC7" w14:textId="1E5FE0B4" w:rsidR="00DB215C" w:rsidRPr="00DB215C" w:rsidRDefault="00DB215C" w:rsidP="00DB215C">
            <w:pPr>
              <w:jc w:val="center"/>
              <w:rPr>
                <w:rFonts w:eastAsia="Calibri"/>
                <w:b/>
                <w:bCs/>
                <w:sz w:val="22"/>
                <w:szCs w:val="22"/>
                <w:lang w:eastAsia="en-US"/>
              </w:rPr>
            </w:pPr>
            <w:r w:rsidRPr="00DB215C">
              <w:rPr>
                <w:rFonts w:eastAsia="Calibri"/>
                <w:b/>
                <w:bCs/>
                <w:sz w:val="22"/>
                <w:szCs w:val="22"/>
                <w:lang w:eastAsia="en-US"/>
              </w:rPr>
              <w:t>-En miles de millones de pesos (MMDP)-</w:t>
            </w:r>
          </w:p>
        </w:tc>
      </w:tr>
      <w:tr w:rsidR="00DB215C" w:rsidRPr="00DB215C" w14:paraId="1F322C85" w14:textId="77777777" w:rsidTr="00CE5E35">
        <w:trPr>
          <w:trHeight w:val="183"/>
        </w:trPr>
        <w:tc>
          <w:tcPr>
            <w:tcW w:w="3472" w:type="dxa"/>
            <w:vMerge w:val="restart"/>
            <w:tcBorders>
              <w:top w:val="single" w:sz="4" w:space="0" w:color="auto"/>
              <w:left w:val="single" w:sz="4" w:space="0" w:color="auto"/>
              <w:bottom w:val="single" w:sz="4" w:space="0" w:color="auto"/>
              <w:right w:val="single" w:sz="4" w:space="0" w:color="auto"/>
            </w:tcBorders>
            <w:shd w:val="clear" w:color="auto" w:fill="auto"/>
          </w:tcPr>
          <w:p w14:paraId="28AD7A4F" w14:textId="77777777" w:rsidR="00DB215C" w:rsidRPr="00DB215C" w:rsidRDefault="00DB215C" w:rsidP="00DB215C">
            <w:pPr>
              <w:jc w:val="center"/>
              <w:rPr>
                <w:rFonts w:eastAsia="Calibri"/>
                <w:b/>
                <w:bCs/>
                <w:sz w:val="18"/>
                <w:szCs w:val="18"/>
                <w:lang w:eastAsia="en-US"/>
              </w:rPr>
            </w:pPr>
          </w:p>
        </w:tc>
        <w:tc>
          <w:tcPr>
            <w:tcW w:w="2202" w:type="dxa"/>
            <w:gridSpan w:val="2"/>
            <w:tcBorders>
              <w:top w:val="single" w:sz="4" w:space="0" w:color="auto"/>
              <w:left w:val="single" w:sz="4" w:space="0" w:color="auto"/>
              <w:bottom w:val="single" w:sz="4" w:space="0" w:color="auto"/>
              <w:right w:val="single" w:sz="4" w:space="0" w:color="auto"/>
            </w:tcBorders>
            <w:shd w:val="clear" w:color="auto" w:fill="auto"/>
          </w:tcPr>
          <w:p w14:paraId="2239F846" w14:textId="77777777" w:rsidR="00DB215C" w:rsidRPr="00DB215C" w:rsidRDefault="00DB215C" w:rsidP="00DB215C">
            <w:pPr>
              <w:jc w:val="center"/>
              <w:rPr>
                <w:rFonts w:eastAsia="Calibri"/>
                <w:b/>
                <w:sz w:val="18"/>
                <w:szCs w:val="18"/>
                <w:lang w:eastAsia="en-US"/>
              </w:rPr>
            </w:pPr>
            <w:r w:rsidRPr="00DB215C">
              <w:rPr>
                <w:rFonts w:eastAsia="Calibri"/>
                <w:b/>
                <w:sz w:val="18"/>
                <w:szCs w:val="18"/>
                <w:lang w:eastAsia="en-US"/>
              </w:rPr>
              <w:t>2014</w:t>
            </w:r>
          </w:p>
        </w:tc>
        <w:tc>
          <w:tcPr>
            <w:tcW w:w="1101" w:type="dxa"/>
            <w:tcBorders>
              <w:top w:val="single" w:sz="4" w:space="0" w:color="auto"/>
              <w:left w:val="single" w:sz="4" w:space="0" w:color="auto"/>
              <w:bottom w:val="single" w:sz="4" w:space="0" w:color="auto"/>
              <w:right w:val="single" w:sz="4" w:space="0" w:color="auto"/>
            </w:tcBorders>
            <w:shd w:val="clear" w:color="auto" w:fill="auto"/>
          </w:tcPr>
          <w:p w14:paraId="24F66B86" w14:textId="77777777" w:rsidR="00DB215C" w:rsidRPr="00DB215C" w:rsidRDefault="00DB215C" w:rsidP="00DB215C">
            <w:pPr>
              <w:jc w:val="center"/>
              <w:rPr>
                <w:rFonts w:eastAsia="Calibri"/>
                <w:b/>
                <w:sz w:val="18"/>
                <w:szCs w:val="18"/>
                <w:lang w:eastAsia="en-US"/>
              </w:rPr>
            </w:pPr>
            <w:r w:rsidRPr="00DB215C">
              <w:rPr>
                <w:rFonts w:eastAsia="Calibri"/>
                <w:b/>
                <w:sz w:val="18"/>
                <w:szCs w:val="18"/>
                <w:lang w:eastAsia="en-US"/>
              </w:rPr>
              <w:t>2015</w:t>
            </w:r>
          </w:p>
        </w:tc>
        <w:tc>
          <w:tcPr>
            <w:tcW w:w="2203" w:type="dxa"/>
            <w:gridSpan w:val="3"/>
            <w:tcBorders>
              <w:top w:val="single" w:sz="4" w:space="0" w:color="auto"/>
              <w:left w:val="single" w:sz="4" w:space="0" w:color="auto"/>
              <w:bottom w:val="single" w:sz="4" w:space="0" w:color="auto"/>
              <w:right w:val="single" w:sz="4" w:space="0" w:color="auto"/>
            </w:tcBorders>
            <w:shd w:val="clear" w:color="auto" w:fill="auto"/>
          </w:tcPr>
          <w:p w14:paraId="1C87C235" w14:textId="77777777" w:rsidR="00DB215C" w:rsidRPr="00DB215C" w:rsidRDefault="00DB215C" w:rsidP="00DB215C">
            <w:pPr>
              <w:jc w:val="center"/>
              <w:rPr>
                <w:rFonts w:eastAsia="Calibri"/>
                <w:b/>
                <w:bCs/>
                <w:sz w:val="18"/>
                <w:szCs w:val="18"/>
                <w:lang w:eastAsia="en-US"/>
              </w:rPr>
            </w:pPr>
            <w:r w:rsidRPr="00DB215C">
              <w:rPr>
                <w:rFonts w:eastAsia="Calibri"/>
                <w:b/>
                <w:bCs/>
                <w:sz w:val="18"/>
                <w:szCs w:val="18"/>
                <w:lang w:eastAsia="en-US"/>
              </w:rPr>
              <w:t>Variaciones anuales</w:t>
            </w:r>
          </w:p>
        </w:tc>
      </w:tr>
      <w:tr w:rsidR="00DB215C" w:rsidRPr="00DB215C" w14:paraId="244CB1AC" w14:textId="77777777" w:rsidTr="00CE5E35">
        <w:tc>
          <w:tcPr>
            <w:tcW w:w="3472" w:type="dxa"/>
            <w:vMerge/>
            <w:tcBorders>
              <w:top w:val="single" w:sz="4" w:space="0" w:color="auto"/>
              <w:left w:val="single" w:sz="4" w:space="0" w:color="auto"/>
              <w:bottom w:val="single" w:sz="4" w:space="0" w:color="auto"/>
              <w:right w:val="single" w:sz="4" w:space="0" w:color="auto"/>
            </w:tcBorders>
            <w:shd w:val="clear" w:color="auto" w:fill="auto"/>
          </w:tcPr>
          <w:p w14:paraId="62E2A5CF" w14:textId="77777777" w:rsidR="00DB215C" w:rsidRPr="00DB215C" w:rsidRDefault="00DB215C" w:rsidP="00DB215C">
            <w:pPr>
              <w:jc w:val="center"/>
              <w:rPr>
                <w:rFonts w:eastAsia="Calibri"/>
                <w:b/>
                <w:bCs/>
                <w:sz w:val="18"/>
                <w:szCs w:val="18"/>
                <w:lang w:val="en-US" w:eastAsia="en-US"/>
              </w:rPr>
            </w:pPr>
          </w:p>
        </w:tc>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2BFFD895" w14:textId="77777777" w:rsidR="00DB215C" w:rsidRPr="00DB215C" w:rsidRDefault="00DB215C" w:rsidP="00DB215C">
            <w:pPr>
              <w:jc w:val="center"/>
              <w:rPr>
                <w:rFonts w:eastAsia="Calibri"/>
                <w:b/>
                <w:sz w:val="18"/>
                <w:szCs w:val="18"/>
                <w:lang w:eastAsia="en-US"/>
              </w:rPr>
            </w:pPr>
            <w:r w:rsidRPr="00DB215C">
              <w:rPr>
                <w:rFonts w:eastAsia="Calibri"/>
                <w:b/>
                <w:sz w:val="18"/>
                <w:szCs w:val="18"/>
                <w:lang w:eastAsia="en-US"/>
              </w:rPr>
              <w:t>Enero</w:t>
            </w:r>
          </w:p>
        </w:tc>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1249291" w14:textId="77777777" w:rsidR="00DB215C" w:rsidRPr="00DB215C" w:rsidRDefault="00DB215C" w:rsidP="00DB215C">
            <w:pPr>
              <w:jc w:val="center"/>
              <w:rPr>
                <w:rFonts w:eastAsia="Calibri"/>
                <w:b/>
                <w:sz w:val="18"/>
                <w:szCs w:val="18"/>
                <w:lang w:eastAsia="en-US"/>
              </w:rPr>
            </w:pPr>
            <w:r w:rsidRPr="00DB215C">
              <w:rPr>
                <w:rFonts w:eastAsia="Calibri"/>
                <w:b/>
                <w:sz w:val="18"/>
                <w:szCs w:val="18"/>
                <w:lang w:eastAsia="en-US"/>
              </w:rPr>
              <w:t>Diciembre</w:t>
            </w:r>
          </w:p>
        </w:tc>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43176E43" w14:textId="77777777" w:rsidR="00DB215C" w:rsidRPr="00DB215C" w:rsidRDefault="00DB215C" w:rsidP="00DB215C">
            <w:pPr>
              <w:jc w:val="center"/>
              <w:rPr>
                <w:rFonts w:eastAsia="Calibri"/>
                <w:b/>
                <w:sz w:val="18"/>
                <w:szCs w:val="18"/>
                <w:lang w:eastAsia="en-US"/>
              </w:rPr>
            </w:pPr>
            <w:r w:rsidRPr="00DB215C">
              <w:rPr>
                <w:rFonts w:eastAsia="Calibri"/>
                <w:b/>
                <w:sz w:val="18"/>
                <w:szCs w:val="18"/>
                <w:lang w:eastAsia="en-US"/>
              </w:rPr>
              <w:t>Enero</w:t>
            </w:r>
          </w:p>
        </w:tc>
        <w:tc>
          <w:tcPr>
            <w:tcW w:w="1101" w:type="dxa"/>
            <w:tcBorders>
              <w:top w:val="single" w:sz="4" w:space="0" w:color="auto"/>
              <w:left w:val="single" w:sz="4" w:space="0" w:color="auto"/>
              <w:bottom w:val="single" w:sz="4" w:space="0" w:color="auto"/>
              <w:right w:val="single" w:sz="4" w:space="0" w:color="auto"/>
            </w:tcBorders>
            <w:shd w:val="clear" w:color="auto" w:fill="auto"/>
          </w:tcPr>
          <w:p w14:paraId="74EDD2E8" w14:textId="77777777" w:rsidR="00DB215C" w:rsidRPr="00DB215C" w:rsidRDefault="00DB215C" w:rsidP="00DB215C">
            <w:pPr>
              <w:jc w:val="center"/>
              <w:rPr>
                <w:rFonts w:eastAsia="Calibri"/>
                <w:b/>
                <w:sz w:val="18"/>
                <w:szCs w:val="18"/>
                <w:lang w:eastAsia="en-US"/>
              </w:rPr>
            </w:pPr>
            <w:r w:rsidRPr="00DB215C">
              <w:rPr>
                <w:rFonts w:eastAsia="Calibri"/>
                <w:b/>
                <w:sz w:val="18"/>
                <w:szCs w:val="18"/>
                <w:lang w:eastAsia="en-US"/>
              </w:rPr>
              <w:t>MMDP</w:t>
            </w:r>
          </w:p>
        </w:tc>
        <w:tc>
          <w:tcPr>
            <w:tcW w:w="1102" w:type="dxa"/>
            <w:gridSpan w:val="2"/>
            <w:tcBorders>
              <w:top w:val="single" w:sz="4" w:space="0" w:color="auto"/>
              <w:left w:val="single" w:sz="4" w:space="0" w:color="auto"/>
              <w:bottom w:val="single" w:sz="4" w:space="0" w:color="auto"/>
              <w:right w:val="single" w:sz="4" w:space="0" w:color="auto"/>
            </w:tcBorders>
            <w:shd w:val="clear" w:color="auto" w:fill="auto"/>
          </w:tcPr>
          <w:p w14:paraId="62C114ED" w14:textId="77777777" w:rsidR="00DB215C" w:rsidRPr="00DB215C" w:rsidRDefault="00DB215C" w:rsidP="00DB215C">
            <w:pPr>
              <w:jc w:val="center"/>
              <w:rPr>
                <w:rFonts w:eastAsia="Calibri"/>
                <w:b/>
                <w:bCs/>
                <w:sz w:val="18"/>
                <w:szCs w:val="18"/>
                <w:lang w:eastAsia="en-US"/>
              </w:rPr>
            </w:pPr>
            <w:r w:rsidRPr="00DB215C">
              <w:rPr>
                <w:rFonts w:eastAsia="Calibri"/>
                <w:b/>
                <w:bCs/>
                <w:sz w:val="18"/>
                <w:szCs w:val="18"/>
                <w:lang w:eastAsia="en-US"/>
              </w:rPr>
              <w:t>%</w:t>
            </w:r>
          </w:p>
        </w:tc>
      </w:tr>
      <w:tr w:rsidR="00DB215C" w:rsidRPr="00DB215C" w14:paraId="750E5FF1" w14:textId="77777777" w:rsidTr="00CE5E35">
        <w:tc>
          <w:tcPr>
            <w:tcW w:w="3472" w:type="dxa"/>
            <w:tcBorders>
              <w:top w:val="single" w:sz="4" w:space="0" w:color="auto"/>
              <w:left w:val="single" w:sz="4" w:space="0" w:color="auto"/>
              <w:bottom w:val="nil"/>
              <w:right w:val="single" w:sz="4" w:space="0" w:color="auto"/>
            </w:tcBorders>
            <w:shd w:val="clear" w:color="auto" w:fill="auto"/>
          </w:tcPr>
          <w:p w14:paraId="2D48EAB4" w14:textId="67D37CF3" w:rsidR="00DB215C" w:rsidRPr="00DB215C" w:rsidRDefault="00DB215C" w:rsidP="00DC1170">
            <w:pPr>
              <w:spacing w:before="120" w:after="40"/>
              <w:jc w:val="both"/>
              <w:rPr>
                <w:rFonts w:eastAsia="Calibri"/>
                <w:bCs/>
                <w:sz w:val="18"/>
                <w:szCs w:val="18"/>
                <w:lang w:val="en-US" w:eastAsia="en-US"/>
              </w:rPr>
            </w:pPr>
            <w:r w:rsidRPr="00DB215C">
              <w:rPr>
                <w:rFonts w:eastAsia="Calibri"/>
                <w:bCs/>
                <w:sz w:val="18"/>
                <w:szCs w:val="18"/>
                <w:lang w:val="en-US" w:eastAsia="en-US"/>
              </w:rPr>
              <w:t>Resultado neto (</w:t>
            </w:r>
            <w:r w:rsidR="00DC1170">
              <w:rPr>
                <w:rFonts w:eastAsia="Calibri"/>
                <w:bCs/>
                <w:sz w:val="18"/>
                <w:szCs w:val="18"/>
                <w:lang w:val="en-US" w:eastAsia="en-US"/>
              </w:rPr>
              <w:t>acumulado</w:t>
            </w:r>
            <w:r w:rsidRPr="00DB215C">
              <w:rPr>
                <w:rFonts w:eastAsia="Calibri"/>
                <w:bCs/>
                <w:sz w:val="18"/>
                <w:szCs w:val="18"/>
                <w:lang w:val="en-US" w:eastAsia="en-US"/>
              </w:rPr>
              <w:t xml:space="preserve"> 12 meses)</w:t>
            </w:r>
          </w:p>
        </w:tc>
        <w:tc>
          <w:tcPr>
            <w:tcW w:w="1101" w:type="dxa"/>
            <w:tcBorders>
              <w:top w:val="single" w:sz="4" w:space="0" w:color="auto"/>
              <w:left w:val="single" w:sz="4" w:space="0" w:color="auto"/>
              <w:bottom w:val="nil"/>
              <w:right w:val="single" w:sz="4" w:space="0" w:color="auto"/>
            </w:tcBorders>
            <w:shd w:val="clear" w:color="auto" w:fill="auto"/>
          </w:tcPr>
          <w:p w14:paraId="6160BF59" w14:textId="77777777" w:rsidR="00DB215C" w:rsidRPr="00DB215C" w:rsidRDefault="00DB215C" w:rsidP="00DB215C">
            <w:pPr>
              <w:spacing w:before="120" w:after="40"/>
              <w:ind w:right="227"/>
              <w:jc w:val="right"/>
              <w:rPr>
                <w:rFonts w:eastAsia="Calibri"/>
                <w:sz w:val="18"/>
                <w:szCs w:val="18"/>
                <w:lang w:val="en-US" w:eastAsia="en-US"/>
              </w:rPr>
            </w:pPr>
            <w:r w:rsidRPr="00DB215C">
              <w:rPr>
                <w:rFonts w:eastAsia="Calibri"/>
                <w:sz w:val="18"/>
                <w:szCs w:val="18"/>
                <w:lang w:val="en-US" w:eastAsia="en-US"/>
              </w:rPr>
              <w:t>94</w:t>
            </w:r>
          </w:p>
        </w:tc>
        <w:tc>
          <w:tcPr>
            <w:tcW w:w="1101" w:type="dxa"/>
            <w:tcBorders>
              <w:top w:val="single" w:sz="4" w:space="0" w:color="auto"/>
              <w:left w:val="single" w:sz="4" w:space="0" w:color="auto"/>
              <w:bottom w:val="nil"/>
              <w:right w:val="single" w:sz="4" w:space="0" w:color="auto"/>
            </w:tcBorders>
            <w:shd w:val="clear" w:color="auto" w:fill="auto"/>
          </w:tcPr>
          <w:p w14:paraId="5799AFDE" w14:textId="77777777" w:rsidR="00DB215C" w:rsidRPr="00DB215C" w:rsidRDefault="00DB215C" w:rsidP="00DB215C">
            <w:pPr>
              <w:spacing w:before="120" w:after="40"/>
              <w:ind w:right="227"/>
              <w:jc w:val="right"/>
              <w:rPr>
                <w:rFonts w:eastAsia="Calibri"/>
                <w:sz w:val="18"/>
                <w:szCs w:val="18"/>
                <w:lang w:val="en-US" w:eastAsia="en-US"/>
              </w:rPr>
            </w:pPr>
            <w:r w:rsidRPr="00DB215C">
              <w:rPr>
                <w:rFonts w:eastAsia="Calibri"/>
                <w:sz w:val="18"/>
                <w:szCs w:val="18"/>
                <w:lang w:val="en-US" w:eastAsia="en-US"/>
              </w:rPr>
              <w:t>94</w:t>
            </w:r>
          </w:p>
        </w:tc>
        <w:tc>
          <w:tcPr>
            <w:tcW w:w="1101" w:type="dxa"/>
            <w:tcBorders>
              <w:top w:val="single" w:sz="4" w:space="0" w:color="auto"/>
              <w:left w:val="single" w:sz="4" w:space="0" w:color="auto"/>
              <w:bottom w:val="nil"/>
              <w:right w:val="single" w:sz="4" w:space="0" w:color="auto"/>
            </w:tcBorders>
            <w:shd w:val="clear" w:color="auto" w:fill="auto"/>
          </w:tcPr>
          <w:p w14:paraId="3DFCBF20" w14:textId="77777777" w:rsidR="00DB215C" w:rsidRPr="00DB215C" w:rsidRDefault="00DB215C" w:rsidP="00DB215C">
            <w:pPr>
              <w:spacing w:before="120" w:after="40"/>
              <w:ind w:right="227"/>
              <w:jc w:val="right"/>
              <w:rPr>
                <w:rFonts w:eastAsia="Calibri"/>
                <w:sz w:val="18"/>
                <w:szCs w:val="18"/>
                <w:lang w:val="en-US" w:eastAsia="en-US"/>
              </w:rPr>
            </w:pPr>
            <w:r w:rsidRPr="00DB215C">
              <w:rPr>
                <w:rFonts w:eastAsia="Calibri"/>
                <w:sz w:val="18"/>
                <w:szCs w:val="18"/>
                <w:lang w:val="en-US" w:eastAsia="en-US"/>
              </w:rPr>
              <w:t>95</w:t>
            </w:r>
          </w:p>
        </w:tc>
        <w:tc>
          <w:tcPr>
            <w:tcW w:w="1101" w:type="dxa"/>
            <w:tcBorders>
              <w:top w:val="single" w:sz="4" w:space="0" w:color="auto"/>
              <w:left w:val="single" w:sz="4" w:space="0" w:color="auto"/>
              <w:bottom w:val="nil"/>
              <w:right w:val="single" w:sz="4" w:space="0" w:color="auto"/>
            </w:tcBorders>
            <w:shd w:val="clear" w:color="auto" w:fill="auto"/>
          </w:tcPr>
          <w:p w14:paraId="243D028C" w14:textId="77777777" w:rsidR="00DB215C" w:rsidRPr="00DB215C" w:rsidRDefault="00DB215C" w:rsidP="00DB215C">
            <w:pPr>
              <w:spacing w:before="120" w:after="40"/>
              <w:ind w:right="227"/>
              <w:jc w:val="right"/>
              <w:rPr>
                <w:rFonts w:eastAsia="Calibri"/>
                <w:sz w:val="18"/>
                <w:szCs w:val="18"/>
                <w:lang w:val="en-US" w:eastAsia="en-US"/>
              </w:rPr>
            </w:pPr>
            <w:r w:rsidRPr="00DB215C">
              <w:rPr>
                <w:rFonts w:eastAsia="Calibri"/>
                <w:sz w:val="18"/>
                <w:szCs w:val="18"/>
                <w:lang w:val="en-US" w:eastAsia="en-US"/>
              </w:rPr>
              <w:t>1</w:t>
            </w:r>
          </w:p>
        </w:tc>
        <w:tc>
          <w:tcPr>
            <w:tcW w:w="1102" w:type="dxa"/>
            <w:gridSpan w:val="2"/>
            <w:tcBorders>
              <w:top w:val="single" w:sz="4" w:space="0" w:color="auto"/>
              <w:left w:val="single" w:sz="4" w:space="0" w:color="auto"/>
              <w:bottom w:val="nil"/>
              <w:right w:val="single" w:sz="4" w:space="0" w:color="auto"/>
            </w:tcBorders>
            <w:shd w:val="clear" w:color="auto" w:fill="auto"/>
          </w:tcPr>
          <w:p w14:paraId="5397791E" w14:textId="77777777" w:rsidR="00DB215C" w:rsidRPr="00DB215C" w:rsidRDefault="00DB215C" w:rsidP="00DB215C">
            <w:pPr>
              <w:spacing w:before="120" w:after="40"/>
              <w:ind w:right="227"/>
              <w:jc w:val="right"/>
              <w:rPr>
                <w:rFonts w:eastAsia="Calibri"/>
                <w:b/>
                <w:bCs/>
                <w:sz w:val="18"/>
                <w:szCs w:val="18"/>
                <w:lang w:val="en-US" w:eastAsia="en-US"/>
              </w:rPr>
            </w:pPr>
            <w:r w:rsidRPr="00DB215C">
              <w:rPr>
                <w:rFonts w:eastAsia="Calibri"/>
                <w:b/>
                <w:bCs/>
                <w:sz w:val="18"/>
                <w:szCs w:val="18"/>
                <w:lang w:val="en-US" w:eastAsia="en-US"/>
              </w:rPr>
              <w:t>0.5</w:t>
            </w:r>
          </w:p>
        </w:tc>
      </w:tr>
      <w:tr w:rsidR="00DB215C" w:rsidRPr="00DB215C" w14:paraId="09E707E0" w14:textId="77777777" w:rsidTr="00DB215C">
        <w:tc>
          <w:tcPr>
            <w:tcW w:w="3472" w:type="dxa"/>
            <w:tcBorders>
              <w:top w:val="nil"/>
              <w:left w:val="single" w:sz="4" w:space="0" w:color="auto"/>
              <w:bottom w:val="nil"/>
              <w:right w:val="single" w:sz="4" w:space="0" w:color="auto"/>
            </w:tcBorders>
            <w:shd w:val="clear" w:color="auto" w:fill="auto"/>
          </w:tcPr>
          <w:p w14:paraId="43839DE8" w14:textId="77777777" w:rsidR="00DB215C" w:rsidRPr="00DB215C" w:rsidRDefault="00DB215C" w:rsidP="00DB215C">
            <w:pPr>
              <w:spacing w:before="40" w:after="40"/>
              <w:jc w:val="both"/>
              <w:rPr>
                <w:rFonts w:eastAsia="Calibri"/>
                <w:bCs/>
                <w:sz w:val="18"/>
                <w:szCs w:val="18"/>
                <w:lang w:val="en-US" w:eastAsia="en-US"/>
              </w:rPr>
            </w:pPr>
            <w:r w:rsidRPr="00DB215C">
              <w:rPr>
                <w:rFonts w:eastAsia="Calibri"/>
                <w:bCs/>
                <w:sz w:val="18"/>
                <w:szCs w:val="18"/>
                <w:lang w:val="en-US" w:eastAsia="en-US"/>
              </w:rPr>
              <w:t>Activo promedio (12 meses)</w:t>
            </w:r>
          </w:p>
        </w:tc>
        <w:tc>
          <w:tcPr>
            <w:tcW w:w="1101" w:type="dxa"/>
            <w:tcBorders>
              <w:top w:val="nil"/>
              <w:left w:val="single" w:sz="4" w:space="0" w:color="auto"/>
              <w:bottom w:val="nil"/>
              <w:right w:val="single" w:sz="4" w:space="0" w:color="auto"/>
            </w:tcBorders>
            <w:shd w:val="clear" w:color="auto" w:fill="auto"/>
          </w:tcPr>
          <w:p w14:paraId="2B4DA2C7" w14:textId="77777777" w:rsidR="00DB215C" w:rsidRPr="00DB215C" w:rsidRDefault="00DB215C" w:rsidP="00DB215C">
            <w:pPr>
              <w:spacing w:before="40" w:after="40"/>
              <w:ind w:right="227"/>
              <w:jc w:val="right"/>
              <w:rPr>
                <w:rFonts w:eastAsia="Calibri"/>
                <w:sz w:val="18"/>
                <w:szCs w:val="18"/>
                <w:lang w:val="en-US" w:eastAsia="en-US"/>
              </w:rPr>
            </w:pPr>
            <w:r w:rsidRPr="00DB215C">
              <w:rPr>
                <w:rFonts w:eastAsia="Calibri"/>
                <w:sz w:val="18"/>
                <w:szCs w:val="18"/>
                <w:lang w:val="en-US" w:eastAsia="en-US"/>
              </w:rPr>
              <w:t>6 325</w:t>
            </w:r>
          </w:p>
        </w:tc>
        <w:tc>
          <w:tcPr>
            <w:tcW w:w="1101" w:type="dxa"/>
            <w:tcBorders>
              <w:top w:val="nil"/>
              <w:left w:val="single" w:sz="4" w:space="0" w:color="auto"/>
              <w:bottom w:val="nil"/>
              <w:right w:val="single" w:sz="4" w:space="0" w:color="auto"/>
            </w:tcBorders>
            <w:shd w:val="clear" w:color="auto" w:fill="auto"/>
          </w:tcPr>
          <w:p w14:paraId="5C6A696F" w14:textId="77777777" w:rsidR="00DB215C" w:rsidRPr="00DB215C" w:rsidRDefault="00DB215C" w:rsidP="00DB215C">
            <w:pPr>
              <w:spacing w:before="40" w:after="40"/>
              <w:ind w:right="227"/>
              <w:jc w:val="right"/>
              <w:rPr>
                <w:rFonts w:eastAsia="Calibri"/>
                <w:sz w:val="18"/>
                <w:szCs w:val="18"/>
                <w:lang w:val="en-US" w:eastAsia="en-US"/>
              </w:rPr>
            </w:pPr>
            <w:r w:rsidRPr="00DB215C">
              <w:rPr>
                <w:rFonts w:eastAsia="Calibri"/>
                <w:sz w:val="18"/>
                <w:szCs w:val="18"/>
                <w:lang w:val="en-US" w:eastAsia="en-US"/>
              </w:rPr>
              <w:t>6 875</w:t>
            </w:r>
          </w:p>
        </w:tc>
        <w:tc>
          <w:tcPr>
            <w:tcW w:w="1101" w:type="dxa"/>
            <w:tcBorders>
              <w:top w:val="nil"/>
              <w:left w:val="single" w:sz="4" w:space="0" w:color="auto"/>
              <w:bottom w:val="nil"/>
              <w:right w:val="single" w:sz="4" w:space="0" w:color="auto"/>
            </w:tcBorders>
            <w:shd w:val="clear" w:color="auto" w:fill="auto"/>
          </w:tcPr>
          <w:p w14:paraId="795BA98D" w14:textId="77777777" w:rsidR="00DB215C" w:rsidRPr="00DB215C" w:rsidRDefault="00DB215C" w:rsidP="00DB215C">
            <w:pPr>
              <w:spacing w:before="40" w:after="40"/>
              <w:ind w:right="227"/>
              <w:jc w:val="right"/>
              <w:rPr>
                <w:rFonts w:eastAsia="Calibri"/>
                <w:sz w:val="18"/>
                <w:szCs w:val="18"/>
                <w:lang w:val="en-US" w:eastAsia="en-US"/>
              </w:rPr>
            </w:pPr>
            <w:r w:rsidRPr="00DB215C">
              <w:rPr>
                <w:rFonts w:eastAsia="Calibri"/>
                <w:sz w:val="18"/>
                <w:szCs w:val="18"/>
                <w:lang w:val="en-US" w:eastAsia="en-US"/>
              </w:rPr>
              <w:t>6 956</w:t>
            </w:r>
          </w:p>
        </w:tc>
        <w:tc>
          <w:tcPr>
            <w:tcW w:w="1101" w:type="dxa"/>
            <w:tcBorders>
              <w:top w:val="nil"/>
              <w:left w:val="single" w:sz="4" w:space="0" w:color="auto"/>
              <w:bottom w:val="nil"/>
              <w:right w:val="single" w:sz="4" w:space="0" w:color="auto"/>
            </w:tcBorders>
            <w:shd w:val="clear" w:color="auto" w:fill="auto"/>
          </w:tcPr>
          <w:p w14:paraId="4C848B72" w14:textId="77777777" w:rsidR="00DB215C" w:rsidRPr="00DB215C" w:rsidRDefault="00DB215C" w:rsidP="00DB215C">
            <w:pPr>
              <w:spacing w:before="40" w:after="40"/>
              <w:ind w:right="227"/>
              <w:jc w:val="right"/>
              <w:rPr>
                <w:rFonts w:eastAsia="Calibri"/>
                <w:sz w:val="18"/>
                <w:szCs w:val="18"/>
                <w:lang w:val="en-US" w:eastAsia="en-US"/>
              </w:rPr>
            </w:pPr>
            <w:r w:rsidRPr="00DB215C">
              <w:rPr>
                <w:rFonts w:eastAsia="Calibri"/>
                <w:sz w:val="18"/>
                <w:szCs w:val="18"/>
                <w:lang w:val="en-US" w:eastAsia="en-US"/>
              </w:rPr>
              <w:t>630</w:t>
            </w:r>
          </w:p>
        </w:tc>
        <w:tc>
          <w:tcPr>
            <w:tcW w:w="1102" w:type="dxa"/>
            <w:gridSpan w:val="2"/>
            <w:tcBorders>
              <w:top w:val="nil"/>
              <w:left w:val="single" w:sz="4" w:space="0" w:color="auto"/>
              <w:bottom w:val="nil"/>
              <w:right w:val="single" w:sz="4" w:space="0" w:color="auto"/>
            </w:tcBorders>
            <w:shd w:val="clear" w:color="auto" w:fill="auto"/>
          </w:tcPr>
          <w:p w14:paraId="13E66CC2" w14:textId="77777777" w:rsidR="00DB215C" w:rsidRPr="00DB215C" w:rsidRDefault="00DB215C" w:rsidP="00DB215C">
            <w:pPr>
              <w:spacing w:before="40" w:after="40"/>
              <w:ind w:right="227"/>
              <w:jc w:val="right"/>
              <w:rPr>
                <w:rFonts w:eastAsia="Calibri"/>
                <w:b/>
                <w:bCs/>
                <w:sz w:val="18"/>
                <w:szCs w:val="18"/>
                <w:lang w:val="en-US" w:eastAsia="en-US"/>
              </w:rPr>
            </w:pPr>
            <w:r w:rsidRPr="00DB215C">
              <w:rPr>
                <w:rFonts w:eastAsia="Calibri"/>
                <w:b/>
                <w:bCs/>
                <w:sz w:val="18"/>
                <w:szCs w:val="18"/>
                <w:lang w:val="en-US" w:eastAsia="en-US"/>
              </w:rPr>
              <w:t>10.0</w:t>
            </w:r>
          </w:p>
        </w:tc>
      </w:tr>
      <w:tr w:rsidR="00DB215C" w:rsidRPr="00DB215C" w14:paraId="2B53FF59" w14:textId="77777777" w:rsidTr="00CE5E35">
        <w:tc>
          <w:tcPr>
            <w:tcW w:w="3472" w:type="dxa"/>
            <w:tcBorders>
              <w:top w:val="nil"/>
              <w:left w:val="single" w:sz="4" w:space="0" w:color="auto"/>
              <w:bottom w:val="single" w:sz="4" w:space="0" w:color="auto"/>
              <w:right w:val="single" w:sz="4" w:space="0" w:color="auto"/>
            </w:tcBorders>
            <w:shd w:val="clear" w:color="auto" w:fill="auto"/>
          </w:tcPr>
          <w:p w14:paraId="7F25D518" w14:textId="77777777" w:rsidR="00DB215C" w:rsidRPr="00DB215C" w:rsidRDefault="00DB215C" w:rsidP="00DB215C">
            <w:pPr>
              <w:spacing w:before="40" w:after="120"/>
              <w:jc w:val="both"/>
              <w:rPr>
                <w:rFonts w:eastAsia="Calibri"/>
                <w:bCs/>
                <w:sz w:val="18"/>
                <w:szCs w:val="18"/>
                <w:lang w:val="en-US" w:eastAsia="en-US"/>
              </w:rPr>
            </w:pPr>
            <w:r w:rsidRPr="00DB215C">
              <w:rPr>
                <w:rFonts w:eastAsia="Calibri"/>
                <w:bCs/>
                <w:sz w:val="18"/>
                <w:szCs w:val="18"/>
                <w:lang w:val="en-US" w:eastAsia="en-US"/>
              </w:rPr>
              <w:t>Capital contable promedio (12 meses)</w:t>
            </w:r>
          </w:p>
        </w:tc>
        <w:tc>
          <w:tcPr>
            <w:tcW w:w="1101" w:type="dxa"/>
            <w:tcBorders>
              <w:top w:val="nil"/>
              <w:left w:val="single" w:sz="4" w:space="0" w:color="auto"/>
              <w:bottom w:val="single" w:sz="4" w:space="0" w:color="auto"/>
              <w:right w:val="single" w:sz="4" w:space="0" w:color="auto"/>
            </w:tcBorders>
            <w:shd w:val="clear" w:color="auto" w:fill="auto"/>
          </w:tcPr>
          <w:p w14:paraId="696CE6D0" w14:textId="77777777" w:rsidR="00DB215C" w:rsidRPr="00DB215C" w:rsidRDefault="00DB215C" w:rsidP="00DB215C">
            <w:pPr>
              <w:spacing w:before="40" w:after="120"/>
              <w:ind w:right="227"/>
              <w:jc w:val="right"/>
              <w:rPr>
                <w:rFonts w:eastAsia="Calibri"/>
                <w:sz w:val="18"/>
                <w:szCs w:val="18"/>
                <w:lang w:val="en-US" w:eastAsia="en-US"/>
              </w:rPr>
            </w:pPr>
            <w:r w:rsidRPr="00DB215C">
              <w:rPr>
                <w:rFonts w:eastAsia="Calibri"/>
                <w:sz w:val="18"/>
                <w:szCs w:val="18"/>
                <w:lang w:val="en-US" w:eastAsia="en-US"/>
              </w:rPr>
              <w:t>680</w:t>
            </w:r>
          </w:p>
        </w:tc>
        <w:tc>
          <w:tcPr>
            <w:tcW w:w="1101" w:type="dxa"/>
            <w:tcBorders>
              <w:top w:val="nil"/>
              <w:left w:val="single" w:sz="4" w:space="0" w:color="auto"/>
              <w:bottom w:val="single" w:sz="4" w:space="0" w:color="auto"/>
              <w:right w:val="single" w:sz="4" w:space="0" w:color="auto"/>
            </w:tcBorders>
            <w:shd w:val="clear" w:color="auto" w:fill="auto"/>
          </w:tcPr>
          <w:p w14:paraId="11DFA563" w14:textId="77777777" w:rsidR="00DB215C" w:rsidRPr="00DB215C" w:rsidRDefault="00DB215C" w:rsidP="00DB215C">
            <w:pPr>
              <w:spacing w:before="40" w:after="120"/>
              <w:ind w:right="227"/>
              <w:jc w:val="right"/>
              <w:rPr>
                <w:rFonts w:eastAsia="Calibri"/>
                <w:sz w:val="18"/>
                <w:szCs w:val="18"/>
                <w:lang w:val="en-US" w:eastAsia="en-US"/>
              </w:rPr>
            </w:pPr>
            <w:r w:rsidRPr="00DB215C">
              <w:rPr>
                <w:rFonts w:eastAsia="Calibri"/>
                <w:sz w:val="18"/>
                <w:szCs w:val="18"/>
                <w:lang w:val="en-US" w:eastAsia="en-US"/>
              </w:rPr>
              <w:t>715</w:t>
            </w:r>
          </w:p>
        </w:tc>
        <w:tc>
          <w:tcPr>
            <w:tcW w:w="1101" w:type="dxa"/>
            <w:tcBorders>
              <w:top w:val="nil"/>
              <w:left w:val="single" w:sz="4" w:space="0" w:color="auto"/>
              <w:bottom w:val="single" w:sz="4" w:space="0" w:color="auto"/>
              <w:right w:val="single" w:sz="4" w:space="0" w:color="auto"/>
            </w:tcBorders>
            <w:shd w:val="clear" w:color="auto" w:fill="auto"/>
          </w:tcPr>
          <w:p w14:paraId="4BD8890D" w14:textId="77777777" w:rsidR="00DB215C" w:rsidRPr="00DB215C" w:rsidRDefault="00DB215C" w:rsidP="00DB215C">
            <w:pPr>
              <w:spacing w:before="40" w:after="120"/>
              <w:ind w:right="227"/>
              <w:jc w:val="right"/>
              <w:rPr>
                <w:rFonts w:eastAsia="Calibri"/>
                <w:sz w:val="18"/>
                <w:szCs w:val="18"/>
                <w:lang w:val="en-US" w:eastAsia="en-US"/>
              </w:rPr>
            </w:pPr>
            <w:r w:rsidRPr="00DB215C">
              <w:rPr>
                <w:rFonts w:eastAsia="Calibri"/>
                <w:sz w:val="18"/>
                <w:szCs w:val="18"/>
                <w:lang w:val="en-US" w:eastAsia="en-US"/>
              </w:rPr>
              <w:t>728</w:t>
            </w:r>
          </w:p>
        </w:tc>
        <w:tc>
          <w:tcPr>
            <w:tcW w:w="1101" w:type="dxa"/>
            <w:tcBorders>
              <w:top w:val="nil"/>
              <w:left w:val="single" w:sz="4" w:space="0" w:color="auto"/>
              <w:bottom w:val="single" w:sz="4" w:space="0" w:color="auto"/>
              <w:right w:val="single" w:sz="4" w:space="0" w:color="auto"/>
            </w:tcBorders>
            <w:shd w:val="clear" w:color="auto" w:fill="auto"/>
          </w:tcPr>
          <w:p w14:paraId="4D0E9981" w14:textId="77777777" w:rsidR="00DB215C" w:rsidRPr="00DB215C" w:rsidRDefault="00DB215C" w:rsidP="00DB215C">
            <w:pPr>
              <w:spacing w:before="40" w:after="120"/>
              <w:ind w:right="227"/>
              <w:jc w:val="right"/>
              <w:rPr>
                <w:rFonts w:eastAsia="Calibri"/>
                <w:sz w:val="18"/>
                <w:szCs w:val="18"/>
                <w:lang w:val="en-US" w:eastAsia="en-US"/>
              </w:rPr>
            </w:pPr>
            <w:r w:rsidRPr="00DB215C">
              <w:rPr>
                <w:rFonts w:eastAsia="Calibri"/>
                <w:sz w:val="18"/>
                <w:szCs w:val="18"/>
                <w:lang w:val="en-US" w:eastAsia="en-US"/>
              </w:rPr>
              <w:t>48</w:t>
            </w:r>
          </w:p>
        </w:tc>
        <w:tc>
          <w:tcPr>
            <w:tcW w:w="1102" w:type="dxa"/>
            <w:gridSpan w:val="2"/>
            <w:tcBorders>
              <w:top w:val="nil"/>
              <w:left w:val="single" w:sz="4" w:space="0" w:color="auto"/>
              <w:bottom w:val="single" w:sz="4" w:space="0" w:color="auto"/>
              <w:right w:val="single" w:sz="4" w:space="0" w:color="auto"/>
            </w:tcBorders>
            <w:shd w:val="clear" w:color="auto" w:fill="auto"/>
          </w:tcPr>
          <w:p w14:paraId="4423C547" w14:textId="77777777" w:rsidR="00DB215C" w:rsidRPr="00DB215C" w:rsidRDefault="00DB215C" w:rsidP="00DB215C">
            <w:pPr>
              <w:spacing w:before="40" w:after="120"/>
              <w:ind w:right="227"/>
              <w:jc w:val="right"/>
              <w:rPr>
                <w:rFonts w:eastAsia="Calibri"/>
                <w:b/>
                <w:bCs/>
                <w:sz w:val="18"/>
                <w:szCs w:val="18"/>
                <w:lang w:val="en-US" w:eastAsia="en-US"/>
              </w:rPr>
            </w:pPr>
            <w:r w:rsidRPr="00DB215C">
              <w:rPr>
                <w:rFonts w:eastAsia="Calibri"/>
                <w:b/>
                <w:bCs/>
                <w:sz w:val="18"/>
                <w:szCs w:val="18"/>
                <w:lang w:val="en-US" w:eastAsia="en-US"/>
              </w:rPr>
              <w:t>7.0</w:t>
            </w:r>
          </w:p>
        </w:tc>
      </w:tr>
      <w:tr w:rsidR="00DB215C" w:rsidRPr="00DB215C" w14:paraId="5EEBCFAE" w14:textId="77777777" w:rsidTr="00CE5E35">
        <w:trPr>
          <w:trHeight w:val="552"/>
        </w:trPr>
        <w:tc>
          <w:tcPr>
            <w:tcW w:w="8978" w:type="dxa"/>
            <w:gridSpan w:val="7"/>
            <w:tcBorders>
              <w:top w:val="single" w:sz="4" w:space="0" w:color="auto"/>
              <w:bottom w:val="single" w:sz="4" w:space="0" w:color="auto"/>
            </w:tcBorders>
            <w:shd w:val="clear" w:color="auto" w:fill="auto"/>
          </w:tcPr>
          <w:p w14:paraId="5077C8E8" w14:textId="77777777" w:rsidR="00DB215C" w:rsidRPr="00DB215C" w:rsidRDefault="00DB215C" w:rsidP="00DB215C">
            <w:pPr>
              <w:spacing w:before="120"/>
              <w:jc w:val="center"/>
              <w:rPr>
                <w:rFonts w:eastAsia="Calibri"/>
                <w:b/>
                <w:bCs/>
                <w:sz w:val="18"/>
                <w:szCs w:val="18"/>
                <w:lang w:eastAsia="en-US"/>
              </w:rPr>
            </w:pPr>
            <w:r w:rsidRPr="00DB215C">
              <w:rPr>
                <w:rFonts w:eastAsia="Calibri"/>
                <w:b/>
                <w:bCs/>
                <w:sz w:val="18"/>
                <w:szCs w:val="18"/>
                <w:lang w:eastAsia="en-US"/>
              </w:rPr>
              <w:t>BANCA MÚLTIPLE: INDICADORES FINANCIEROS</w:t>
            </w:r>
          </w:p>
          <w:p w14:paraId="1E634260" w14:textId="77777777" w:rsidR="00DB215C" w:rsidRPr="00DB215C" w:rsidRDefault="00DB215C" w:rsidP="00DB215C">
            <w:pPr>
              <w:jc w:val="center"/>
              <w:rPr>
                <w:rFonts w:eastAsia="Calibri"/>
                <w:b/>
                <w:bCs/>
                <w:sz w:val="18"/>
                <w:szCs w:val="18"/>
                <w:lang w:eastAsia="en-US"/>
              </w:rPr>
            </w:pPr>
            <w:r w:rsidRPr="00DB215C">
              <w:rPr>
                <w:rFonts w:eastAsia="Calibri"/>
                <w:b/>
                <w:bCs/>
                <w:sz w:val="18"/>
                <w:szCs w:val="18"/>
                <w:lang w:eastAsia="en-US"/>
              </w:rPr>
              <w:t>-En porcentaje-</w:t>
            </w:r>
          </w:p>
          <w:p w14:paraId="60F62B66" w14:textId="77777777" w:rsidR="00DB215C" w:rsidRPr="00DB215C" w:rsidRDefault="00DB215C" w:rsidP="00DB215C">
            <w:pPr>
              <w:jc w:val="center"/>
              <w:rPr>
                <w:rFonts w:eastAsia="Calibri"/>
                <w:b/>
                <w:bCs/>
                <w:sz w:val="18"/>
                <w:szCs w:val="18"/>
                <w:lang w:eastAsia="en-US"/>
              </w:rPr>
            </w:pPr>
          </w:p>
        </w:tc>
      </w:tr>
      <w:tr w:rsidR="00DB215C" w:rsidRPr="00DB215C" w14:paraId="5828B8CB" w14:textId="77777777" w:rsidTr="00CE5E35">
        <w:trPr>
          <w:trHeight w:val="266"/>
        </w:trPr>
        <w:tc>
          <w:tcPr>
            <w:tcW w:w="3472" w:type="dxa"/>
            <w:vMerge w:val="restart"/>
            <w:tcBorders>
              <w:top w:val="single" w:sz="4" w:space="0" w:color="auto"/>
              <w:left w:val="single" w:sz="4" w:space="0" w:color="auto"/>
              <w:bottom w:val="single" w:sz="4" w:space="0" w:color="auto"/>
              <w:right w:val="single" w:sz="4" w:space="0" w:color="auto"/>
            </w:tcBorders>
            <w:shd w:val="clear" w:color="auto" w:fill="auto"/>
          </w:tcPr>
          <w:p w14:paraId="178B2812" w14:textId="77777777" w:rsidR="00DB215C" w:rsidRPr="00DB215C" w:rsidRDefault="00DB215C" w:rsidP="00DB215C">
            <w:pPr>
              <w:jc w:val="center"/>
              <w:rPr>
                <w:rFonts w:eastAsia="Calibri"/>
                <w:b/>
                <w:bCs/>
                <w:sz w:val="18"/>
                <w:szCs w:val="18"/>
                <w:lang w:eastAsia="en-US"/>
              </w:rPr>
            </w:pPr>
          </w:p>
        </w:tc>
        <w:tc>
          <w:tcPr>
            <w:tcW w:w="2202" w:type="dxa"/>
            <w:gridSpan w:val="2"/>
            <w:tcBorders>
              <w:top w:val="single" w:sz="4" w:space="0" w:color="auto"/>
              <w:left w:val="single" w:sz="4" w:space="0" w:color="auto"/>
              <w:bottom w:val="single" w:sz="4" w:space="0" w:color="auto"/>
              <w:right w:val="single" w:sz="4" w:space="0" w:color="auto"/>
            </w:tcBorders>
            <w:shd w:val="clear" w:color="auto" w:fill="auto"/>
          </w:tcPr>
          <w:p w14:paraId="508CF68E" w14:textId="77777777" w:rsidR="00DB215C" w:rsidRPr="00DB215C" w:rsidRDefault="00DB215C" w:rsidP="00DB215C">
            <w:pPr>
              <w:jc w:val="center"/>
              <w:rPr>
                <w:rFonts w:eastAsia="Calibri"/>
                <w:b/>
                <w:sz w:val="18"/>
                <w:szCs w:val="18"/>
                <w:lang w:eastAsia="en-US"/>
              </w:rPr>
            </w:pPr>
            <w:r w:rsidRPr="00DB215C">
              <w:rPr>
                <w:rFonts w:eastAsia="Calibri"/>
                <w:b/>
                <w:sz w:val="18"/>
                <w:szCs w:val="18"/>
                <w:lang w:eastAsia="en-US"/>
              </w:rPr>
              <w:t>2014</w:t>
            </w:r>
          </w:p>
        </w:tc>
        <w:tc>
          <w:tcPr>
            <w:tcW w:w="1101" w:type="dxa"/>
            <w:tcBorders>
              <w:top w:val="single" w:sz="4" w:space="0" w:color="auto"/>
              <w:left w:val="single" w:sz="4" w:space="0" w:color="auto"/>
              <w:bottom w:val="single" w:sz="4" w:space="0" w:color="auto"/>
              <w:right w:val="single" w:sz="4" w:space="0" w:color="auto"/>
            </w:tcBorders>
            <w:shd w:val="clear" w:color="auto" w:fill="auto"/>
          </w:tcPr>
          <w:p w14:paraId="4ADB9262" w14:textId="77777777" w:rsidR="00DB215C" w:rsidRPr="00DB215C" w:rsidRDefault="00DB215C" w:rsidP="00DB215C">
            <w:pPr>
              <w:jc w:val="center"/>
              <w:rPr>
                <w:rFonts w:eastAsia="Calibri"/>
                <w:b/>
                <w:sz w:val="18"/>
                <w:szCs w:val="18"/>
                <w:lang w:eastAsia="en-US"/>
              </w:rPr>
            </w:pPr>
            <w:r w:rsidRPr="00DB215C">
              <w:rPr>
                <w:rFonts w:eastAsia="Calibri"/>
                <w:b/>
                <w:sz w:val="18"/>
                <w:szCs w:val="18"/>
                <w:lang w:eastAsia="en-US"/>
              </w:rPr>
              <w:t>2015</w:t>
            </w:r>
          </w:p>
        </w:tc>
        <w:tc>
          <w:tcPr>
            <w:tcW w:w="2203" w:type="dxa"/>
            <w:gridSpan w:val="3"/>
            <w:tcBorders>
              <w:top w:val="single" w:sz="4" w:space="0" w:color="auto"/>
              <w:left w:val="single" w:sz="4" w:space="0" w:color="auto"/>
              <w:bottom w:val="single" w:sz="4" w:space="0" w:color="auto"/>
              <w:right w:val="single" w:sz="4" w:space="0" w:color="auto"/>
            </w:tcBorders>
            <w:shd w:val="clear" w:color="auto" w:fill="auto"/>
          </w:tcPr>
          <w:p w14:paraId="648B898C" w14:textId="77777777" w:rsidR="00DB215C" w:rsidRPr="00DB215C" w:rsidRDefault="00DB215C" w:rsidP="00DB215C">
            <w:pPr>
              <w:jc w:val="center"/>
              <w:rPr>
                <w:rFonts w:eastAsia="Calibri"/>
                <w:b/>
                <w:bCs/>
                <w:sz w:val="18"/>
                <w:szCs w:val="18"/>
                <w:lang w:eastAsia="en-US"/>
              </w:rPr>
            </w:pPr>
            <w:r w:rsidRPr="00DB215C">
              <w:rPr>
                <w:rFonts w:eastAsia="Calibri"/>
                <w:b/>
                <w:bCs/>
                <w:sz w:val="18"/>
                <w:szCs w:val="18"/>
                <w:lang w:eastAsia="en-US"/>
              </w:rPr>
              <w:t>Diferencias en PP</w:t>
            </w:r>
          </w:p>
        </w:tc>
      </w:tr>
      <w:tr w:rsidR="00DB215C" w:rsidRPr="00DB215C" w14:paraId="52E8A961" w14:textId="77777777" w:rsidTr="00CE5E35">
        <w:tc>
          <w:tcPr>
            <w:tcW w:w="3472" w:type="dxa"/>
            <w:vMerge/>
            <w:tcBorders>
              <w:top w:val="single" w:sz="4" w:space="0" w:color="auto"/>
              <w:left w:val="single" w:sz="4" w:space="0" w:color="auto"/>
              <w:bottom w:val="single" w:sz="4" w:space="0" w:color="auto"/>
              <w:right w:val="single" w:sz="4" w:space="0" w:color="auto"/>
            </w:tcBorders>
            <w:shd w:val="clear" w:color="auto" w:fill="auto"/>
          </w:tcPr>
          <w:p w14:paraId="2D462408" w14:textId="77777777" w:rsidR="00DB215C" w:rsidRPr="00DB215C" w:rsidRDefault="00DB215C" w:rsidP="00DB215C">
            <w:pPr>
              <w:jc w:val="center"/>
              <w:rPr>
                <w:rFonts w:eastAsia="Calibri"/>
                <w:b/>
                <w:bCs/>
                <w:sz w:val="18"/>
                <w:szCs w:val="18"/>
                <w:lang w:eastAsia="en-US"/>
              </w:rPr>
            </w:pPr>
          </w:p>
        </w:tc>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76E10A0A" w14:textId="77777777" w:rsidR="00DB215C" w:rsidRPr="00DB215C" w:rsidRDefault="00DB215C" w:rsidP="00DB215C">
            <w:pPr>
              <w:jc w:val="center"/>
              <w:rPr>
                <w:rFonts w:eastAsia="Calibri"/>
                <w:b/>
                <w:sz w:val="18"/>
                <w:szCs w:val="18"/>
                <w:lang w:eastAsia="en-US"/>
              </w:rPr>
            </w:pPr>
            <w:r w:rsidRPr="00DB215C">
              <w:rPr>
                <w:rFonts w:eastAsia="Calibri"/>
                <w:b/>
                <w:sz w:val="18"/>
                <w:szCs w:val="18"/>
                <w:lang w:eastAsia="en-US"/>
              </w:rPr>
              <w:t>Enero</w:t>
            </w:r>
          </w:p>
        </w:tc>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324B183F" w14:textId="77777777" w:rsidR="00DB215C" w:rsidRPr="00DB215C" w:rsidRDefault="00DB215C" w:rsidP="00DB215C">
            <w:pPr>
              <w:jc w:val="center"/>
              <w:rPr>
                <w:rFonts w:eastAsia="Calibri"/>
                <w:b/>
                <w:sz w:val="18"/>
                <w:szCs w:val="18"/>
                <w:lang w:eastAsia="en-US"/>
              </w:rPr>
            </w:pPr>
            <w:r w:rsidRPr="00DB215C">
              <w:rPr>
                <w:rFonts w:eastAsia="Calibri"/>
                <w:b/>
                <w:sz w:val="18"/>
                <w:szCs w:val="18"/>
                <w:lang w:eastAsia="en-US"/>
              </w:rPr>
              <w:t>Diciembre</w:t>
            </w:r>
          </w:p>
        </w:tc>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05EDF10C" w14:textId="77777777" w:rsidR="00DB215C" w:rsidRPr="00DB215C" w:rsidRDefault="00DB215C" w:rsidP="00DB215C">
            <w:pPr>
              <w:jc w:val="center"/>
              <w:rPr>
                <w:rFonts w:eastAsia="Calibri"/>
                <w:b/>
                <w:sz w:val="18"/>
                <w:szCs w:val="18"/>
                <w:lang w:eastAsia="en-US"/>
              </w:rPr>
            </w:pPr>
            <w:r w:rsidRPr="00DB215C">
              <w:rPr>
                <w:rFonts w:eastAsia="Calibri"/>
                <w:b/>
                <w:sz w:val="18"/>
                <w:szCs w:val="18"/>
                <w:lang w:eastAsia="en-US"/>
              </w:rPr>
              <w:t>Enero</w:t>
            </w:r>
          </w:p>
        </w:tc>
        <w:tc>
          <w:tcPr>
            <w:tcW w:w="1101" w:type="dxa"/>
            <w:tcBorders>
              <w:top w:val="single" w:sz="4" w:space="0" w:color="auto"/>
              <w:left w:val="single" w:sz="4" w:space="0" w:color="auto"/>
              <w:bottom w:val="single" w:sz="4" w:space="0" w:color="auto"/>
              <w:right w:val="single" w:sz="4" w:space="0" w:color="auto"/>
            </w:tcBorders>
            <w:shd w:val="clear" w:color="auto" w:fill="auto"/>
          </w:tcPr>
          <w:p w14:paraId="144509C4" w14:textId="77777777" w:rsidR="00DB215C" w:rsidRPr="00DB215C" w:rsidRDefault="00DB215C" w:rsidP="00DB215C">
            <w:pPr>
              <w:jc w:val="center"/>
              <w:rPr>
                <w:rFonts w:eastAsia="Calibri"/>
                <w:b/>
                <w:sz w:val="18"/>
                <w:szCs w:val="18"/>
                <w:lang w:eastAsia="en-US"/>
              </w:rPr>
            </w:pPr>
            <w:r w:rsidRPr="00DB215C">
              <w:rPr>
                <w:rFonts w:eastAsia="Calibri"/>
                <w:b/>
                <w:sz w:val="18"/>
                <w:szCs w:val="18"/>
                <w:lang w:eastAsia="en-US"/>
              </w:rPr>
              <w:t>Anual</w:t>
            </w:r>
          </w:p>
        </w:tc>
        <w:tc>
          <w:tcPr>
            <w:tcW w:w="1102" w:type="dxa"/>
            <w:gridSpan w:val="2"/>
            <w:tcBorders>
              <w:top w:val="single" w:sz="4" w:space="0" w:color="auto"/>
              <w:left w:val="single" w:sz="4" w:space="0" w:color="auto"/>
              <w:bottom w:val="single" w:sz="4" w:space="0" w:color="auto"/>
              <w:right w:val="single" w:sz="4" w:space="0" w:color="auto"/>
            </w:tcBorders>
            <w:shd w:val="clear" w:color="auto" w:fill="auto"/>
          </w:tcPr>
          <w:p w14:paraId="379464B8" w14:textId="77777777" w:rsidR="00DB215C" w:rsidRPr="00DB215C" w:rsidRDefault="00DB215C" w:rsidP="00DB215C">
            <w:pPr>
              <w:jc w:val="center"/>
              <w:rPr>
                <w:rFonts w:eastAsia="Calibri"/>
                <w:b/>
                <w:bCs/>
                <w:sz w:val="18"/>
                <w:szCs w:val="18"/>
                <w:lang w:eastAsia="en-US"/>
              </w:rPr>
            </w:pPr>
            <w:r w:rsidRPr="00DB215C">
              <w:rPr>
                <w:rFonts w:eastAsia="Calibri"/>
                <w:b/>
                <w:bCs/>
                <w:sz w:val="18"/>
                <w:szCs w:val="18"/>
                <w:lang w:eastAsia="en-US"/>
              </w:rPr>
              <w:t>Mensual</w:t>
            </w:r>
          </w:p>
        </w:tc>
      </w:tr>
      <w:tr w:rsidR="00DB215C" w:rsidRPr="00DB215C" w14:paraId="2C3F39F5" w14:textId="77777777" w:rsidTr="00CE5E35">
        <w:tc>
          <w:tcPr>
            <w:tcW w:w="3472" w:type="dxa"/>
            <w:tcBorders>
              <w:top w:val="single" w:sz="4" w:space="0" w:color="auto"/>
              <w:left w:val="single" w:sz="4" w:space="0" w:color="auto"/>
              <w:bottom w:val="nil"/>
              <w:right w:val="single" w:sz="4" w:space="0" w:color="auto"/>
            </w:tcBorders>
            <w:shd w:val="clear" w:color="auto" w:fill="auto"/>
          </w:tcPr>
          <w:p w14:paraId="42B6D377" w14:textId="77777777" w:rsidR="00DB215C" w:rsidRPr="00DB215C" w:rsidRDefault="00DB215C" w:rsidP="00DB215C">
            <w:pPr>
              <w:spacing w:before="120" w:after="40"/>
              <w:jc w:val="center"/>
              <w:rPr>
                <w:rFonts w:eastAsia="Calibri"/>
                <w:bCs/>
                <w:sz w:val="18"/>
                <w:szCs w:val="18"/>
                <w:lang w:val="en-US" w:eastAsia="en-US"/>
              </w:rPr>
            </w:pPr>
            <w:r w:rsidRPr="00DB215C">
              <w:rPr>
                <w:rFonts w:eastAsia="Calibri"/>
                <w:bCs/>
                <w:sz w:val="18"/>
                <w:szCs w:val="18"/>
                <w:lang w:val="en-US" w:eastAsia="en-US"/>
              </w:rPr>
              <w:t xml:space="preserve">ROA </w:t>
            </w:r>
            <w:r w:rsidRPr="00DB215C">
              <w:rPr>
                <w:rFonts w:eastAsia="Calibri"/>
                <w:bCs/>
                <w:sz w:val="18"/>
                <w:szCs w:val="18"/>
                <w:u w:val="single"/>
                <w:vertAlign w:val="superscript"/>
                <w:lang w:val="en-US" w:eastAsia="en-US"/>
              </w:rPr>
              <w:t>1/</w:t>
            </w:r>
          </w:p>
        </w:tc>
        <w:tc>
          <w:tcPr>
            <w:tcW w:w="1101" w:type="dxa"/>
            <w:tcBorders>
              <w:top w:val="single" w:sz="4" w:space="0" w:color="auto"/>
              <w:left w:val="single" w:sz="4" w:space="0" w:color="auto"/>
              <w:bottom w:val="nil"/>
              <w:right w:val="single" w:sz="4" w:space="0" w:color="auto"/>
            </w:tcBorders>
            <w:shd w:val="clear" w:color="auto" w:fill="auto"/>
          </w:tcPr>
          <w:p w14:paraId="7ADB6547" w14:textId="77777777" w:rsidR="00DB215C" w:rsidRPr="00DB215C" w:rsidRDefault="00DB215C" w:rsidP="00DB215C">
            <w:pPr>
              <w:spacing w:before="120" w:after="40"/>
              <w:ind w:right="227"/>
              <w:jc w:val="right"/>
              <w:rPr>
                <w:rFonts w:eastAsia="Calibri"/>
                <w:sz w:val="18"/>
                <w:szCs w:val="18"/>
                <w:lang w:val="en-US" w:eastAsia="en-US"/>
              </w:rPr>
            </w:pPr>
            <w:r w:rsidRPr="00DB215C">
              <w:rPr>
                <w:rFonts w:eastAsia="Calibri"/>
                <w:sz w:val="18"/>
                <w:szCs w:val="18"/>
                <w:lang w:val="en-US" w:eastAsia="en-US"/>
              </w:rPr>
              <w:t>1.49</w:t>
            </w:r>
          </w:p>
        </w:tc>
        <w:tc>
          <w:tcPr>
            <w:tcW w:w="1101" w:type="dxa"/>
            <w:tcBorders>
              <w:top w:val="single" w:sz="4" w:space="0" w:color="auto"/>
              <w:left w:val="single" w:sz="4" w:space="0" w:color="auto"/>
              <w:bottom w:val="nil"/>
              <w:right w:val="single" w:sz="4" w:space="0" w:color="auto"/>
            </w:tcBorders>
            <w:shd w:val="clear" w:color="auto" w:fill="auto"/>
          </w:tcPr>
          <w:p w14:paraId="4DC947F5" w14:textId="77777777" w:rsidR="00DB215C" w:rsidRPr="00DB215C" w:rsidRDefault="00DB215C" w:rsidP="00DB215C">
            <w:pPr>
              <w:spacing w:before="120" w:after="40"/>
              <w:ind w:right="227"/>
              <w:jc w:val="right"/>
              <w:rPr>
                <w:rFonts w:eastAsia="Calibri"/>
                <w:sz w:val="18"/>
                <w:szCs w:val="18"/>
                <w:lang w:val="en-US" w:eastAsia="en-US"/>
              </w:rPr>
            </w:pPr>
            <w:r w:rsidRPr="00DB215C">
              <w:rPr>
                <w:rFonts w:eastAsia="Calibri"/>
                <w:sz w:val="18"/>
                <w:szCs w:val="18"/>
                <w:lang w:val="en-US" w:eastAsia="en-US"/>
              </w:rPr>
              <w:t>1.36</w:t>
            </w:r>
          </w:p>
        </w:tc>
        <w:tc>
          <w:tcPr>
            <w:tcW w:w="1101" w:type="dxa"/>
            <w:tcBorders>
              <w:top w:val="single" w:sz="4" w:space="0" w:color="auto"/>
              <w:left w:val="single" w:sz="4" w:space="0" w:color="auto"/>
              <w:bottom w:val="nil"/>
              <w:right w:val="single" w:sz="4" w:space="0" w:color="auto"/>
            </w:tcBorders>
            <w:shd w:val="clear" w:color="auto" w:fill="auto"/>
          </w:tcPr>
          <w:p w14:paraId="3DDA62E3" w14:textId="77777777" w:rsidR="00DB215C" w:rsidRPr="00DB215C" w:rsidRDefault="00DB215C" w:rsidP="00DB215C">
            <w:pPr>
              <w:spacing w:before="120" w:after="40"/>
              <w:ind w:right="227"/>
              <w:jc w:val="right"/>
              <w:rPr>
                <w:rFonts w:eastAsia="Calibri"/>
                <w:sz w:val="18"/>
                <w:szCs w:val="18"/>
                <w:lang w:val="en-US" w:eastAsia="en-US"/>
              </w:rPr>
            </w:pPr>
            <w:r w:rsidRPr="00DB215C">
              <w:rPr>
                <w:rFonts w:eastAsia="Calibri"/>
                <w:sz w:val="18"/>
                <w:szCs w:val="18"/>
                <w:lang w:val="en-US" w:eastAsia="en-US"/>
              </w:rPr>
              <w:t>1.36</w:t>
            </w:r>
          </w:p>
        </w:tc>
        <w:tc>
          <w:tcPr>
            <w:tcW w:w="1101" w:type="dxa"/>
            <w:tcBorders>
              <w:top w:val="single" w:sz="4" w:space="0" w:color="auto"/>
              <w:left w:val="single" w:sz="4" w:space="0" w:color="auto"/>
              <w:bottom w:val="nil"/>
              <w:right w:val="single" w:sz="4" w:space="0" w:color="auto"/>
            </w:tcBorders>
            <w:shd w:val="clear" w:color="auto" w:fill="auto"/>
          </w:tcPr>
          <w:p w14:paraId="7E1072FB" w14:textId="77777777" w:rsidR="00DB215C" w:rsidRPr="00DB215C" w:rsidRDefault="00DB215C" w:rsidP="00DB215C">
            <w:pPr>
              <w:spacing w:before="120" w:after="40"/>
              <w:ind w:right="227"/>
              <w:jc w:val="right"/>
              <w:rPr>
                <w:rFonts w:eastAsia="Calibri"/>
                <w:sz w:val="18"/>
                <w:szCs w:val="18"/>
                <w:lang w:val="en-US" w:eastAsia="en-US"/>
              </w:rPr>
            </w:pPr>
            <w:r w:rsidRPr="00DB215C">
              <w:rPr>
                <w:rFonts w:eastAsia="Calibri"/>
                <w:sz w:val="18"/>
                <w:szCs w:val="18"/>
                <w:lang w:val="en-US" w:eastAsia="en-US"/>
              </w:rPr>
              <w:t>-0.13</w:t>
            </w:r>
          </w:p>
        </w:tc>
        <w:tc>
          <w:tcPr>
            <w:tcW w:w="1102" w:type="dxa"/>
            <w:gridSpan w:val="2"/>
            <w:tcBorders>
              <w:top w:val="single" w:sz="4" w:space="0" w:color="auto"/>
              <w:left w:val="single" w:sz="4" w:space="0" w:color="auto"/>
              <w:bottom w:val="nil"/>
              <w:right w:val="single" w:sz="4" w:space="0" w:color="auto"/>
            </w:tcBorders>
            <w:shd w:val="clear" w:color="auto" w:fill="auto"/>
          </w:tcPr>
          <w:p w14:paraId="58180330" w14:textId="77777777" w:rsidR="00DB215C" w:rsidRPr="00DB215C" w:rsidRDefault="00DB215C" w:rsidP="00DB215C">
            <w:pPr>
              <w:spacing w:before="120" w:after="40"/>
              <w:ind w:right="227"/>
              <w:jc w:val="right"/>
              <w:rPr>
                <w:rFonts w:eastAsia="Calibri"/>
                <w:b/>
                <w:bCs/>
                <w:sz w:val="18"/>
                <w:szCs w:val="18"/>
                <w:lang w:val="en-US" w:eastAsia="en-US"/>
              </w:rPr>
            </w:pPr>
            <w:r w:rsidRPr="00DB215C">
              <w:rPr>
                <w:rFonts w:eastAsia="Calibri"/>
                <w:b/>
                <w:bCs/>
                <w:sz w:val="18"/>
                <w:szCs w:val="18"/>
                <w:lang w:val="en-US" w:eastAsia="en-US"/>
              </w:rPr>
              <w:t>0.00</w:t>
            </w:r>
          </w:p>
        </w:tc>
      </w:tr>
      <w:tr w:rsidR="00DB215C" w:rsidRPr="00DB215C" w14:paraId="208B59EF" w14:textId="77777777" w:rsidTr="00DB215C">
        <w:tc>
          <w:tcPr>
            <w:tcW w:w="3472" w:type="dxa"/>
            <w:tcBorders>
              <w:top w:val="nil"/>
              <w:left w:val="single" w:sz="4" w:space="0" w:color="auto"/>
              <w:bottom w:val="single" w:sz="4" w:space="0" w:color="auto"/>
              <w:right w:val="single" w:sz="4" w:space="0" w:color="auto"/>
            </w:tcBorders>
            <w:shd w:val="clear" w:color="auto" w:fill="auto"/>
          </w:tcPr>
          <w:p w14:paraId="109F269A" w14:textId="77777777" w:rsidR="00DB215C" w:rsidRPr="00DB215C" w:rsidRDefault="00DB215C" w:rsidP="00DB215C">
            <w:pPr>
              <w:spacing w:before="40" w:after="120"/>
              <w:jc w:val="center"/>
              <w:rPr>
                <w:rFonts w:eastAsia="Calibri"/>
                <w:bCs/>
                <w:sz w:val="18"/>
                <w:szCs w:val="18"/>
                <w:lang w:val="en-US" w:eastAsia="en-US"/>
              </w:rPr>
            </w:pPr>
            <w:r w:rsidRPr="00DB215C">
              <w:rPr>
                <w:rFonts w:eastAsia="Calibri"/>
                <w:bCs/>
                <w:sz w:val="18"/>
                <w:szCs w:val="18"/>
                <w:lang w:val="en-US" w:eastAsia="en-US"/>
              </w:rPr>
              <w:t xml:space="preserve">ROE </w:t>
            </w:r>
            <w:r w:rsidRPr="00DB215C">
              <w:rPr>
                <w:rFonts w:eastAsia="Calibri"/>
                <w:bCs/>
                <w:sz w:val="18"/>
                <w:szCs w:val="18"/>
                <w:u w:val="single"/>
                <w:vertAlign w:val="superscript"/>
                <w:lang w:val="en-US" w:eastAsia="en-US"/>
              </w:rPr>
              <w:t>2</w:t>
            </w:r>
            <w:r w:rsidRPr="00DB215C">
              <w:rPr>
                <w:rFonts w:eastAsia="Calibri"/>
                <w:bCs/>
                <w:sz w:val="18"/>
                <w:szCs w:val="18"/>
                <w:vertAlign w:val="superscript"/>
                <w:lang w:val="en-US" w:eastAsia="en-US"/>
              </w:rPr>
              <w:t>/</w:t>
            </w:r>
          </w:p>
        </w:tc>
        <w:tc>
          <w:tcPr>
            <w:tcW w:w="1101" w:type="dxa"/>
            <w:tcBorders>
              <w:top w:val="nil"/>
              <w:left w:val="single" w:sz="4" w:space="0" w:color="auto"/>
              <w:bottom w:val="single" w:sz="4" w:space="0" w:color="auto"/>
              <w:right w:val="single" w:sz="4" w:space="0" w:color="auto"/>
            </w:tcBorders>
            <w:shd w:val="clear" w:color="auto" w:fill="auto"/>
          </w:tcPr>
          <w:p w14:paraId="44989712" w14:textId="77777777" w:rsidR="00DB215C" w:rsidRPr="00DB215C" w:rsidRDefault="00DB215C" w:rsidP="00DB215C">
            <w:pPr>
              <w:spacing w:before="40" w:after="120"/>
              <w:ind w:right="227"/>
              <w:jc w:val="right"/>
              <w:rPr>
                <w:rFonts w:eastAsia="Calibri"/>
                <w:sz w:val="18"/>
                <w:szCs w:val="18"/>
                <w:lang w:val="en-US" w:eastAsia="en-US"/>
              </w:rPr>
            </w:pPr>
            <w:r w:rsidRPr="00DB215C">
              <w:rPr>
                <w:rFonts w:eastAsia="Calibri"/>
                <w:sz w:val="18"/>
                <w:szCs w:val="18"/>
                <w:lang w:val="en-US" w:eastAsia="en-US"/>
              </w:rPr>
              <w:t>13.85</w:t>
            </w:r>
          </w:p>
        </w:tc>
        <w:tc>
          <w:tcPr>
            <w:tcW w:w="1101" w:type="dxa"/>
            <w:tcBorders>
              <w:top w:val="nil"/>
              <w:left w:val="single" w:sz="4" w:space="0" w:color="auto"/>
              <w:bottom w:val="single" w:sz="4" w:space="0" w:color="auto"/>
              <w:right w:val="single" w:sz="4" w:space="0" w:color="auto"/>
            </w:tcBorders>
            <w:shd w:val="clear" w:color="auto" w:fill="auto"/>
          </w:tcPr>
          <w:p w14:paraId="2CE85F10" w14:textId="77777777" w:rsidR="00DB215C" w:rsidRPr="00DB215C" w:rsidRDefault="00DB215C" w:rsidP="00DB215C">
            <w:pPr>
              <w:spacing w:before="40" w:after="120"/>
              <w:ind w:right="227"/>
              <w:jc w:val="right"/>
              <w:rPr>
                <w:rFonts w:eastAsia="Calibri"/>
                <w:sz w:val="18"/>
                <w:szCs w:val="18"/>
                <w:lang w:val="en-US" w:eastAsia="en-US"/>
              </w:rPr>
            </w:pPr>
            <w:r w:rsidRPr="00DB215C">
              <w:rPr>
                <w:rFonts w:eastAsia="Calibri"/>
                <w:sz w:val="18"/>
                <w:szCs w:val="18"/>
                <w:lang w:val="en-US" w:eastAsia="en-US"/>
              </w:rPr>
              <w:t>13.10</w:t>
            </w:r>
          </w:p>
        </w:tc>
        <w:tc>
          <w:tcPr>
            <w:tcW w:w="1101" w:type="dxa"/>
            <w:tcBorders>
              <w:top w:val="nil"/>
              <w:left w:val="single" w:sz="4" w:space="0" w:color="auto"/>
              <w:bottom w:val="single" w:sz="4" w:space="0" w:color="auto"/>
              <w:right w:val="single" w:sz="4" w:space="0" w:color="auto"/>
            </w:tcBorders>
            <w:shd w:val="clear" w:color="auto" w:fill="auto"/>
          </w:tcPr>
          <w:p w14:paraId="6993B443" w14:textId="77777777" w:rsidR="00DB215C" w:rsidRPr="00DB215C" w:rsidRDefault="00DB215C" w:rsidP="00DB215C">
            <w:pPr>
              <w:spacing w:before="40" w:after="120"/>
              <w:ind w:right="227"/>
              <w:jc w:val="right"/>
              <w:rPr>
                <w:rFonts w:eastAsia="Calibri"/>
                <w:sz w:val="18"/>
                <w:szCs w:val="18"/>
                <w:lang w:val="en-US" w:eastAsia="en-US"/>
              </w:rPr>
            </w:pPr>
            <w:r w:rsidRPr="00DB215C">
              <w:rPr>
                <w:rFonts w:eastAsia="Calibri"/>
                <w:sz w:val="18"/>
                <w:szCs w:val="18"/>
                <w:lang w:val="en-US" w:eastAsia="en-US"/>
              </w:rPr>
              <w:t>13.01</w:t>
            </w:r>
          </w:p>
        </w:tc>
        <w:tc>
          <w:tcPr>
            <w:tcW w:w="1101" w:type="dxa"/>
            <w:tcBorders>
              <w:top w:val="nil"/>
              <w:left w:val="single" w:sz="4" w:space="0" w:color="auto"/>
              <w:bottom w:val="single" w:sz="4" w:space="0" w:color="auto"/>
              <w:right w:val="single" w:sz="4" w:space="0" w:color="auto"/>
            </w:tcBorders>
            <w:shd w:val="clear" w:color="auto" w:fill="auto"/>
          </w:tcPr>
          <w:p w14:paraId="62776B2B" w14:textId="77777777" w:rsidR="00DB215C" w:rsidRPr="00DB215C" w:rsidRDefault="00DB215C" w:rsidP="00DB215C">
            <w:pPr>
              <w:spacing w:before="40" w:after="120"/>
              <w:ind w:right="227"/>
              <w:jc w:val="right"/>
              <w:rPr>
                <w:rFonts w:eastAsia="Calibri"/>
                <w:sz w:val="18"/>
                <w:szCs w:val="18"/>
                <w:lang w:val="en-US" w:eastAsia="en-US"/>
              </w:rPr>
            </w:pPr>
            <w:r w:rsidRPr="00DB215C">
              <w:rPr>
                <w:rFonts w:eastAsia="Calibri"/>
                <w:sz w:val="18"/>
                <w:szCs w:val="18"/>
                <w:lang w:val="en-US" w:eastAsia="en-US"/>
              </w:rPr>
              <w:t>-0.84</w:t>
            </w:r>
          </w:p>
        </w:tc>
        <w:tc>
          <w:tcPr>
            <w:tcW w:w="1102" w:type="dxa"/>
            <w:gridSpan w:val="2"/>
            <w:tcBorders>
              <w:top w:val="nil"/>
              <w:left w:val="single" w:sz="4" w:space="0" w:color="auto"/>
              <w:bottom w:val="single" w:sz="4" w:space="0" w:color="auto"/>
              <w:right w:val="single" w:sz="4" w:space="0" w:color="auto"/>
            </w:tcBorders>
            <w:shd w:val="clear" w:color="auto" w:fill="auto"/>
          </w:tcPr>
          <w:p w14:paraId="1A5741FD" w14:textId="77777777" w:rsidR="00DB215C" w:rsidRPr="00DB215C" w:rsidRDefault="00DB215C" w:rsidP="00DB215C">
            <w:pPr>
              <w:spacing w:before="40" w:after="120"/>
              <w:ind w:right="227"/>
              <w:jc w:val="right"/>
              <w:rPr>
                <w:rFonts w:eastAsia="Calibri"/>
                <w:b/>
                <w:bCs/>
                <w:sz w:val="18"/>
                <w:szCs w:val="18"/>
                <w:lang w:val="en-US" w:eastAsia="en-US"/>
              </w:rPr>
            </w:pPr>
            <w:r w:rsidRPr="00DB215C">
              <w:rPr>
                <w:rFonts w:eastAsia="Calibri"/>
                <w:b/>
                <w:bCs/>
                <w:sz w:val="18"/>
                <w:szCs w:val="18"/>
                <w:lang w:val="en-US" w:eastAsia="en-US"/>
              </w:rPr>
              <w:t>-0.09</w:t>
            </w:r>
          </w:p>
        </w:tc>
      </w:tr>
      <w:tr w:rsidR="00DB215C" w:rsidRPr="00DB215C" w14:paraId="62DEFCDE" w14:textId="77777777" w:rsidTr="00DB215C">
        <w:trPr>
          <w:gridAfter w:val="1"/>
          <w:wAfter w:w="47" w:type="dxa"/>
        </w:trPr>
        <w:tc>
          <w:tcPr>
            <w:tcW w:w="8931" w:type="dxa"/>
            <w:gridSpan w:val="6"/>
            <w:tcBorders>
              <w:top w:val="nil"/>
              <w:left w:val="nil"/>
              <w:bottom w:val="nil"/>
              <w:right w:val="nil"/>
            </w:tcBorders>
            <w:shd w:val="clear" w:color="auto" w:fill="auto"/>
          </w:tcPr>
          <w:p w14:paraId="1D05E331" w14:textId="7828BABF" w:rsidR="00DB215C" w:rsidRPr="00DB215C" w:rsidRDefault="00DB215C" w:rsidP="00DB215C">
            <w:pPr>
              <w:spacing w:before="120"/>
              <w:jc w:val="both"/>
              <w:rPr>
                <w:rFonts w:eastAsia="Calibri"/>
                <w:bCs/>
                <w:sz w:val="18"/>
                <w:szCs w:val="18"/>
                <w:lang w:eastAsia="en-US"/>
              </w:rPr>
            </w:pPr>
            <w:r w:rsidRPr="00DB215C">
              <w:rPr>
                <w:rFonts w:eastAsia="Calibri"/>
                <w:bCs/>
                <w:sz w:val="18"/>
                <w:szCs w:val="18"/>
                <w:u w:val="single"/>
                <w:lang w:eastAsia="en-US"/>
              </w:rPr>
              <w:t>1</w:t>
            </w:r>
            <w:r w:rsidRPr="00DB215C">
              <w:rPr>
                <w:rFonts w:eastAsia="Calibri"/>
                <w:bCs/>
                <w:sz w:val="18"/>
                <w:szCs w:val="18"/>
                <w:lang w:eastAsia="en-US"/>
              </w:rPr>
              <w:t>/  ROA = Resultado Neto (</w:t>
            </w:r>
            <w:r w:rsidR="00DC1170">
              <w:rPr>
                <w:rFonts w:eastAsia="Calibri"/>
                <w:bCs/>
                <w:sz w:val="18"/>
                <w:szCs w:val="18"/>
                <w:lang w:eastAsia="en-US"/>
              </w:rPr>
              <w:t>acumulado</w:t>
            </w:r>
            <w:r w:rsidRPr="00DB215C">
              <w:rPr>
                <w:rFonts w:eastAsia="Calibri"/>
                <w:bCs/>
                <w:sz w:val="18"/>
                <w:szCs w:val="18"/>
                <w:lang w:eastAsia="en-US"/>
              </w:rPr>
              <w:t xml:space="preserve"> 12 meses) / Activo Total promedio 12 meses.</w:t>
            </w:r>
          </w:p>
          <w:p w14:paraId="05E99F94" w14:textId="570B5576" w:rsidR="00DB215C" w:rsidRPr="00DB215C" w:rsidRDefault="00DB215C" w:rsidP="00DB215C">
            <w:pPr>
              <w:jc w:val="both"/>
              <w:rPr>
                <w:rFonts w:eastAsia="Calibri"/>
                <w:bCs/>
                <w:sz w:val="18"/>
                <w:szCs w:val="18"/>
                <w:lang w:eastAsia="en-US"/>
              </w:rPr>
            </w:pPr>
            <w:r w:rsidRPr="00DB215C">
              <w:rPr>
                <w:rFonts w:eastAsia="Calibri"/>
                <w:bCs/>
                <w:sz w:val="18"/>
                <w:szCs w:val="18"/>
                <w:u w:val="single"/>
                <w:lang w:eastAsia="en-US"/>
              </w:rPr>
              <w:t>2</w:t>
            </w:r>
            <w:r w:rsidRPr="00DB215C">
              <w:rPr>
                <w:rFonts w:eastAsia="Calibri"/>
                <w:bCs/>
                <w:sz w:val="18"/>
                <w:szCs w:val="18"/>
                <w:lang w:eastAsia="en-US"/>
              </w:rPr>
              <w:t>/  ROE = Resultado Neto (</w:t>
            </w:r>
            <w:r w:rsidR="00DC1170">
              <w:rPr>
                <w:rFonts w:eastAsia="Calibri"/>
                <w:bCs/>
                <w:sz w:val="18"/>
                <w:szCs w:val="18"/>
                <w:lang w:eastAsia="en-US"/>
              </w:rPr>
              <w:t>acumulado</w:t>
            </w:r>
            <w:r w:rsidRPr="00DB215C">
              <w:rPr>
                <w:rFonts w:eastAsia="Calibri"/>
                <w:bCs/>
                <w:sz w:val="18"/>
                <w:szCs w:val="18"/>
                <w:lang w:eastAsia="en-US"/>
              </w:rPr>
              <w:t xml:space="preserve"> 12 meses) / Capital contable promedio 12 meses.</w:t>
            </w:r>
          </w:p>
          <w:p w14:paraId="6E9B9CE5" w14:textId="77777777" w:rsidR="00DB215C" w:rsidRPr="00DB215C" w:rsidRDefault="00DB215C" w:rsidP="00DB215C">
            <w:pPr>
              <w:jc w:val="both"/>
              <w:rPr>
                <w:rFonts w:eastAsia="Calibri"/>
                <w:bCs/>
                <w:sz w:val="18"/>
                <w:szCs w:val="18"/>
                <w:lang w:eastAsia="en-US"/>
              </w:rPr>
            </w:pPr>
            <w:r w:rsidRPr="00DB215C">
              <w:rPr>
                <w:rFonts w:eastAsia="Calibri"/>
                <w:bCs/>
                <w:sz w:val="18"/>
                <w:szCs w:val="18"/>
                <w:lang w:eastAsia="en-US"/>
              </w:rPr>
              <w:t>FUENTE: CNBV.</w:t>
            </w:r>
          </w:p>
        </w:tc>
      </w:tr>
    </w:tbl>
    <w:p w14:paraId="1F97BE45" w14:textId="77777777" w:rsidR="00DB215C" w:rsidRPr="00DB215C" w:rsidRDefault="00DB215C" w:rsidP="00DB215C">
      <w:pPr>
        <w:spacing w:after="360" w:line="360" w:lineRule="auto"/>
        <w:ind w:right="-159"/>
        <w:jc w:val="both"/>
        <w:rPr>
          <w:rFonts w:eastAsia="Calibri"/>
          <w:sz w:val="26"/>
          <w:szCs w:val="26"/>
          <w:lang w:eastAsia="en-US"/>
        </w:rPr>
      </w:pPr>
    </w:p>
    <w:p w14:paraId="1B6B2CF1" w14:textId="77777777" w:rsidR="00DB215C" w:rsidRPr="00DB215C" w:rsidRDefault="00DB215C" w:rsidP="00DB215C">
      <w:pPr>
        <w:spacing w:after="360" w:line="360" w:lineRule="auto"/>
        <w:ind w:right="-159"/>
        <w:jc w:val="both"/>
        <w:rPr>
          <w:rFonts w:eastAsia="Calibri"/>
          <w:b/>
          <w:sz w:val="26"/>
          <w:szCs w:val="26"/>
          <w:lang w:eastAsia="en-US"/>
        </w:rPr>
      </w:pPr>
      <w:r w:rsidRPr="00DB215C">
        <w:rPr>
          <w:rFonts w:eastAsia="Calibri"/>
          <w:b/>
          <w:sz w:val="26"/>
          <w:szCs w:val="26"/>
          <w:lang w:eastAsia="en-US"/>
        </w:rPr>
        <w:t>Evaluación de la calidad de la información</w:t>
      </w:r>
    </w:p>
    <w:p w14:paraId="79A7E526" w14:textId="77777777" w:rsidR="00DB215C" w:rsidRPr="00DB215C" w:rsidRDefault="00DB215C" w:rsidP="00DB215C">
      <w:pPr>
        <w:spacing w:after="360" w:line="360" w:lineRule="auto"/>
        <w:ind w:right="-159"/>
        <w:jc w:val="both"/>
        <w:rPr>
          <w:rFonts w:eastAsia="Calibri"/>
          <w:b/>
          <w:sz w:val="26"/>
          <w:szCs w:val="26"/>
          <w:lang w:eastAsia="en-US"/>
        </w:rPr>
      </w:pPr>
      <w:r w:rsidRPr="00DB215C">
        <w:rPr>
          <w:rFonts w:eastAsia="Calibri"/>
          <w:b/>
          <w:sz w:val="26"/>
          <w:szCs w:val="26"/>
          <w:lang w:eastAsia="en-US"/>
        </w:rPr>
        <w:t>Situación financiera</w:t>
      </w:r>
    </w:p>
    <w:p w14:paraId="390EED93" w14:textId="77777777" w:rsidR="00DB215C" w:rsidRPr="00DB215C" w:rsidRDefault="00DB215C" w:rsidP="00DB215C">
      <w:pPr>
        <w:spacing w:after="360" w:line="360" w:lineRule="auto"/>
        <w:ind w:right="-159"/>
        <w:jc w:val="both"/>
        <w:rPr>
          <w:rFonts w:eastAsia="Calibri"/>
          <w:sz w:val="26"/>
          <w:szCs w:val="26"/>
          <w:lang w:eastAsia="en-US"/>
        </w:rPr>
      </w:pPr>
      <w:r w:rsidRPr="00DB215C">
        <w:rPr>
          <w:rFonts w:eastAsia="Calibri"/>
          <w:sz w:val="26"/>
          <w:szCs w:val="26"/>
          <w:lang w:eastAsia="en-US"/>
        </w:rPr>
        <w:t>Durante el plazo de entrega de la información correspondiente al período de enero de 2015, seis bancos presentaron inconsistencias. Se calificaron en amarillo a Banco Bancrea, Consubanco, Forjadores, HSBC e Inbursa debido a que no cumplieron con los requerimientos mínimos de calidad establecidos en esta Comisión en la serie R04 A, relativa a la cartera de crédito. En el caso de Afirme, obtuvo calificación amarilla por falta de cumplimiento con los requerimientos mínimos de calidad establecidos por esta Comisión aplicables a los reportes de la serie R12 A, referente a la consolidación de los estados financieros del banco con subsidiarias.</w:t>
      </w:r>
    </w:p>
    <w:p w14:paraId="0CBCE32B" w14:textId="77777777" w:rsidR="00DB215C" w:rsidRPr="00DB215C" w:rsidRDefault="00DB215C" w:rsidP="00DB215C">
      <w:pPr>
        <w:spacing w:after="360" w:line="360" w:lineRule="auto"/>
        <w:ind w:right="-159"/>
        <w:jc w:val="both"/>
        <w:rPr>
          <w:rFonts w:eastAsia="Calibri"/>
          <w:b/>
          <w:sz w:val="26"/>
          <w:szCs w:val="26"/>
          <w:lang w:eastAsia="en-US"/>
        </w:rPr>
      </w:pPr>
      <w:r w:rsidRPr="00DB215C">
        <w:rPr>
          <w:rFonts w:eastAsia="Calibri"/>
          <w:b/>
          <w:sz w:val="26"/>
          <w:szCs w:val="26"/>
          <w:lang w:eastAsia="en-US"/>
        </w:rPr>
        <w:lastRenderedPageBreak/>
        <w:t>Consistencia con la información detallada de cartera</w:t>
      </w:r>
    </w:p>
    <w:p w14:paraId="45639607" w14:textId="77777777" w:rsidR="00DB215C" w:rsidRPr="00DC1170" w:rsidRDefault="00DB215C" w:rsidP="00DB215C">
      <w:pPr>
        <w:spacing w:after="360" w:line="360" w:lineRule="auto"/>
        <w:ind w:right="-159"/>
        <w:jc w:val="both"/>
        <w:rPr>
          <w:rFonts w:eastAsia="Calibri"/>
          <w:b/>
          <w:sz w:val="26"/>
          <w:szCs w:val="26"/>
          <w:lang w:eastAsia="en-US"/>
        </w:rPr>
      </w:pPr>
      <w:r w:rsidRPr="00DC1170">
        <w:rPr>
          <w:rFonts w:eastAsia="Calibri"/>
          <w:b/>
          <w:sz w:val="26"/>
          <w:szCs w:val="26"/>
          <w:lang w:eastAsia="en-US"/>
        </w:rPr>
        <w:t>Cartera comercial: Reportes de pérdida incurrida</w:t>
      </w:r>
    </w:p>
    <w:p w14:paraId="187F673B" w14:textId="77777777" w:rsidR="00DB215C" w:rsidRPr="00DB215C" w:rsidRDefault="00DB215C" w:rsidP="00DB215C">
      <w:pPr>
        <w:spacing w:after="360" w:line="360" w:lineRule="auto"/>
        <w:ind w:right="-159"/>
        <w:jc w:val="both"/>
        <w:rPr>
          <w:rFonts w:eastAsia="Calibri"/>
          <w:sz w:val="26"/>
          <w:szCs w:val="26"/>
          <w:lang w:eastAsia="en-US"/>
        </w:rPr>
      </w:pPr>
      <w:r w:rsidRPr="00DB215C">
        <w:rPr>
          <w:rFonts w:eastAsia="Calibri"/>
          <w:sz w:val="26"/>
          <w:szCs w:val="26"/>
          <w:lang w:eastAsia="en-US"/>
        </w:rPr>
        <w:t>En lo que respecta a la consistencia de los saldos recibidos en los reportes de situación financiera y los que se obtienen con la información a detalle de cada crédito, se califican en amarillo aquellas instituciones que presentan una diferencia absoluta entre 0.25 y 1% respecto a los saldos reportados en la contabilidad y en rojo a los que tienen una diferencia absoluta mayor a 1% o no entregaron los reportes a tiempo.</w:t>
      </w:r>
    </w:p>
    <w:p w14:paraId="6AA8105B" w14:textId="77777777" w:rsidR="00DB215C" w:rsidRPr="00DB215C" w:rsidRDefault="00DB215C" w:rsidP="00DB215C">
      <w:pPr>
        <w:spacing w:after="360" w:line="360" w:lineRule="auto"/>
        <w:ind w:right="-159"/>
        <w:jc w:val="both"/>
        <w:rPr>
          <w:rFonts w:eastAsia="Calibri"/>
          <w:sz w:val="26"/>
          <w:szCs w:val="26"/>
          <w:lang w:eastAsia="en-US"/>
        </w:rPr>
      </w:pPr>
      <w:r w:rsidRPr="00DB215C">
        <w:rPr>
          <w:rFonts w:eastAsia="Calibri"/>
          <w:sz w:val="26"/>
          <w:szCs w:val="26"/>
          <w:lang w:eastAsia="en-US"/>
        </w:rPr>
        <w:t>En enero 2015, cinco bancos presentaron inconsistencias, las entidades que obtuvieron una calificación en rojo son Afirme y JP Morgan, en tanto que las instituciones que obtuvieron una calificación en amarillo son ABC Capital, Banco Ahorro Famsa e Invex.</w:t>
      </w:r>
    </w:p>
    <w:p w14:paraId="4C886FAA" w14:textId="77777777" w:rsidR="00DB215C" w:rsidRPr="00DB215C" w:rsidRDefault="00DB215C" w:rsidP="00DB215C">
      <w:pPr>
        <w:spacing w:after="360" w:line="360" w:lineRule="auto"/>
        <w:ind w:right="-159"/>
        <w:jc w:val="both"/>
        <w:rPr>
          <w:rFonts w:eastAsia="Calibri"/>
          <w:b/>
          <w:sz w:val="26"/>
          <w:szCs w:val="26"/>
          <w:lang w:eastAsia="en-US"/>
        </w:rPr>
      </w:pPr>
      <w:r w:rsidRPr="00DB215C">
        <w:rPr>
          <w:rFonts w:eastAsia="Calibri"/>
          <w:b/>
          <w:sz w:val="26"/>
          <w:szCs w:val="26"/>
          <w:lang w:eastAsia="en-US"/>
        </w:rPr>
        <w:t>Cartera comercial: Reportes de pérdida esperada</w:t>
      </w:r>
    </w:p>
    <w:p w14:paraId="2930A939" w14:textId="77777777" w:rsidR="00DB215C" w:rsidRPr="00DB215C" w:rsidRDefault="00DB215C" w:rsidP="00DB215C">
      <w:pPr>
        <w:spacing w:after="360" w:line="360" w:lineRule="auto"/>
        <w:ind w:right="-159"/>
        <w:jc w:val="both"/>
        <w:rPr>
          <w:rFonts w:eastAsia="Calibri"/>
          <w:sz w:val="26"/>
          <w:szCs w:val="26"/>
          <w:lang w:eastAsia="en-US"/>
        </w:rPr>
      </w:pPr>
      <w:r w:rsidRPr="00DB215C">
        <w:rPr>
          <w:rFonts w:eastAsia="Calibri"/>
          <w:sz w:val="26"/>
          <w:szCs w:val="26"/>
          <w:lang w:eastAsia="en-US"/>
        </w:rPr>
        <w:t>En cuanto a esta información, once bancos presentaron inconsistencias. La calificación en color amarillo es para aquellas instituciones que presentaron una diferencia absoluta entre las cifras de los reportes de situación financiera y el de información detallada de 1 y 3% y la calificación en rojo para los que tienen una diferencia absoluta mayor al 3% o no entregaron los reportes en tiempo.</w:t>
      </w:r>
    </w:p>
    <w:p w14:paraId="4AD8A8BA" w14:textId="77777777" w:rsidR="00DB215C" w:rsidRPr="00DB215C" w:rsidRDefault="00DB215C" w:rsidP="00DB215C">
      <w:pPr>
        <w:spacing w:after="360" w:line="360" w:lineRule="auto"/>
        <w:ind w:right="-159"/>
        <w:jc w:val="both"/>
        <w:rPr>
          <w:rFonts w:eastAsia="Calibri"/>
          <w:sz w:val="26"/>
          <w:szCs w:val="26"/>
          <w:lang w:eastAsia="en-US"/>
        </w:rPr>
      </w:pPr>
      <w:r w:rsidRPr="00DB215C">
        <w:rPr>
          <w:rFonts w:eastAsia="Calibri"/>
          <w:sz w:val="26"/>
          <w:szCs w:val="26"/>
          <w:lang w:eastAsia="en-US"/>
        </w:rPr>
        <w:t>Cabe destacar que, desde que entraron en vigor los reportes detallados de cartera comercial con la metodología de calificación de pérdida esperada. Scotiabank los ha entregado parcialmente, sin entregar alguno desde julio de 2014, por lo cual se calificó en rojo. Esta institución se encuentra en proceso de mejora de su sistema informático.</w:t>
      </w:r>
    </w:p>
    <w:p w14:paraId="74CDCA2C" w14:textId="77777777" w:rsidR="00DB215C" w:rsidRPr="00DB215C" w:rsidRDefault="00DB215C" w:rsidP="00DB215C">
      <w:pPr>
        <w:spacing w:after="360" w:line="360" w:lineRule="auto"/>
        <w:ind w:right="-159"/>
        <w:jc w:val="both"/>
        <w:rPr>
          <w:rFonts w:eastAsia="Calibri"/>
          <w:sz w:val="26"/>
          <w:szCs w:val="26"/>
          <w:lang w:eastAsia="en-US"/>
        </w:rPr>
      </w:pPr>
      <w:r w:rsidRPr="00DB215C">
        <w:rPr>
          <w:rFonts w:eastAsia="Calibri"/>
          <w:sz w:val="26"/>
          <w:szCs w:val="26"/>
          <w:lang w:eastAsia="en-US"/>
        </w:rPr>
        <w:t xml:space="preserve">Por tipo de cartera, se calificó en amarillo a ABC Capital, Autofin y Banca Mifel. En Rojo a Banamex, Banco Ahorro Famsa y Banco Azteca para la cartera empresarial. Para la cartera de entidades financieras, se asignó una evaluación en amarillo a ABC </w:t>
      </w:r>
      <w:r w:rsidRPr="00DB215C">
        <w:rPr>
          <w:rFonts w:eastAsia="Calibri"/>
          <w:sz w:val="26"/>
          <w:szCs w:val="26"/>
          <w:lang w:eastAsia="en-US"/>
        </w:rPr>
        <w:lastRenderedPageBreak/>
        <w:t>Capital y roja a Actinver, Autofin, Banca Mifel, Banco Azteca y HSBC, y en el caso de la cartera a estados y municipios HSBC fue calificado en amarillo y ABC Capital, Afirme y Bansí en rojo. Adicionalmente en la cartera de gobierno federal y organismos desconcentrados, se calificó en rojo a Afirme, Banamex y Bansí.</w:t>
      </w:r>
    </w:p>
    <w:p w14:paraId="15D1FBB0" w14:textId="77777777" w:rsidR="00DB215C" w:rsidRPr="00DB215C" w:rsidRDefault="00DB215C" w:rsidP="00DB215C">
      <w:pPr>
        <w:spacing w:after="360" w:line="360" w:lineRule="auto"/>
        <w:ind w:right="-159"/>
        <w:jc w:val="both"/>
        <w:rPr>
          <w:rFonts w:eastAsia="Calibri"/>
          <w:b/>
          <w:sz w:val="26"/>
          <w:szCs w:val="26"/>
          <w:lang w:eastAsia="en-US"/>
        </w:rPr>
      </w:pPr>
      <w:r w:rsidRPr="00DB215C">
        <w:rPr>
          <w:rFonts w:eastAsia="Calibri"/>
          <w:b/>
          <w:sz w:val="26"/>
          <w:szCs w:val="26"/>
          <w:lang w:eastAsia="en-US"/>
        </w:rPr>
        <w:t>Cartera a la vivienda</w:t>
      </w:r>
    </w:p>
    <w:p w14:paraId="33B15299" w14:textId="77777777" w:rsidR="00DB215C" w:rsidRPr="00DB215C" w:rsidRDefault="00DB215C" w:rsidP="00DB215C">
      <w:pPr>
        <w:spacing w:after="360" w:line="360" w:lineRule="auto"/>
        <w:ind w:right="-159"/>
        <w:jc w:val="both"/>
        <w:rPr>
          <w:rFonts w:eastAsia="Calibri"/>
          <w:sz w:val="26"/>
          <w:szCs w:val="26"/>
          <w:lang w:eastAsia="en-US"/>
        </w:rPr>
      </w:pPr>
      <w:r w:rsidRPr="00DB215C">
        <w:rPr>
          <w:rFonts w:eastAsia="Calibri"/>
          <w:sz w:val="26"/>
          <w:szCs w:val="26"/>
          <w:lang w:eastAsia="en-US"/>
        </w:rPr>
        <w:t>En lo que respecta a la consistencia entre los saldos recibidos en los reportes de situación financiera y los que se obtienen con la información a detalle de cada crédito de esta cartera, Inbursa obtuvo una calificación en rojo por tener una diferencia absoluta mayor al uno por ciento.</w:t>
      </w:r>
    </w:p>
    <w:p w14:paraId="34BA923F" w14:textId="77777777" w:rsidR="00DB215C" w:rsidRPr="00DB215C" w:rsidRDefault="00DB215C" w:rsidP="00DB215C">
      <w:pPr>
        <w:spacing w:after="360" w:line="360" w:lineRule="auto"/>
        <w:ind w:right="-159"/>
        <w:jc w:val="both"/>
        <w:rPr>
          <w:rFonts w:eastAsia="Calibri"/>
          <w:sz w:val="26"/>
          <w:szCs w:val="26"/>
          <w:lang w:eastAsia="en-US"/>
        </w:rPr>
      </w:pPr>
      <w:r w:rsidRPr="00DB215C">
        <w:rPr>
          <w:rFonts w:eastAsia="Calibri"/>
          <w:sz w:val="26"/>
          <w:szCs w:val="26"/>
          <w:lang w:eastAsia="en-US"/>
        </w:rPr>
        <w:t>Para todos los casos anteriores se recomiendan reservas en el uso de su información.</w:t>
      </w:r>
    </w:p>
    <w:p w14:paraId="74894C7B" w14:textId="77777777" w:rsidR="00DB215C" w:rsidRPr="00DB215C" w:rsidRDefault="00DB215C" w:rsidP="00DB215C">
      <w:pPr>
        <w:spacing w:after="360" w:line="360" w:lineRule="auto"/>
        <w:ind w:right="-159"/>
        <w:jc w:val="both"/>
        <w:rPr>
          <w:rFonts w:eastAsia="Calibri"/>
          <w:sz w:val="26"/>
          <w:szCs w:val="26"/>
          <w:lang w:eastAsia="en-US"/>
        </w:rPr>
      </w:pPr>
      <w:r w:rsidRPr="00DB215C">
        <w:rPr>
          <w:rFonts w:eastAsia="Calibri"/>
          <w:sz w:val="26"/>
          <w:szCs w:val="26"/>
          <w:lang w:eastAsia="en-US"/>
        </w:rPr>
        <w:t>La calidad en la información de los distintos tipos de reportes regulatorios que envían las instituciones a esta Comisión es evaluada constantemente, por lo que es importante para los usuarios de la misma, considerar que el semáforo de calidad se actualiza mensualmente</w:t>
      </w:r>
      <w:r w:rsidRPr="00DB215C">
        <w:rPr>
          <w:rFonts w:eastAsia="Calibri"/>
          <w:sz w:val="26"/>
          <w:szCs w:val="26"/>
          <w:vertAlign w:val="superscript"/>
          <w:lang w:eastAsia="en-US"/>
        </w:rPr>
        <w:footnoteReference w:id="93"/>
      </w:r>
      <w:r w:rsidRPr="00DB215C">
        <w:rPr>
          <w:rFonts w:eastAsia="Calibri"/>
          <w:sz w:val="26"/>
          <w:szCs w:val="26"/>
          <w:lang w:eastAsia="en-US"/>
        </w:rPr>
        <w:t>.</w:t>
      </w:r>
    </w:p>
    <w:p w14:paraId="52480378" w14:textId="77777777" w:rsidR="00DB215C" w:rsidRDefault="00DB215C" w:rsidP="00DB215C">
      <w:pPr>
        <w:spacing w:after="840" w:line="360" w:lineRule="auto"/>
        <w:ind w:right="-159"/>
        <w:jc w:val="both"/>
        <w:rPr>
          <w:rFonts w:eastAsia="Calibri"/>
          <w:sz w:val="26"/>
          <w:szCs w:val="26"/>
          <w:lang w:eastAsia="en-US"/>
        </w:rPr>
      </w:pPr>
    </w:p>
    <w:p w14:paraId="5AC324E8" w14:textId="77777777" w:rsidR="0054411E" w:rsidRPr="00DB215C" w:rsidRDefault="0054411E" w:rsidP="00DB215C">
      <w:pPr>
        <w:spacing w:after="840" w:line="360" w:lineRule="auto"/>
        <w:ind w:right="-159"/>
        <w:jc w:val="both"/>
        <w:rPr>
          <w:rFonts w:eastAsia="Calibri"/>
          <w:sz w:val="26"/>
          <w:szCs w:val="26"/>
          <w:lang w:eastAsia="en-US"/>
        </w:rPr>
      </w:pPr>
    </w:p>
    <w:p w14:paraId="2FB9E4F1" w14:textId="77777777" w:rsidR="00DB215C" w:rsidRPr="00DB215C" w:rsidRDefault="00DB215C" w:rsidP="00DB215C">
      <w:pPr>
        <w:spacing w:after="840" w:line="360" w:lineRule="auto"/>
        <w:ind w:right="-159"/>
        <w:jc w:val="both"/>
        <w:rPr>
          <w:rFonts w:eastAsia="Calibri"/>
          <w:sz w:val="26"/>
          <w:szCs w:val="26"/>
          <w:lang w:eastAsia="en-US"/>
        </w:rPr>
      </w:pPr>
    </w:p>
    <w:tbl>
      <w:tblPr>
        <w:tblW w:w="0" w:type="auto"/>
        <w:jc w:val="center"/>
        <w:tblLayout w:type="fixed"/>
        <w:tblLook w:val="04A0" w:firstRow="1" w:lastRow="0" w:firstColumn="1" w:lastColumn="0" w:noHBand="0" w:noVBand="1"/>
      </w:tblPr>
      <w:tblGrid>
        <w:gridCol w:w="421"/>
        <w:gridCol w:w="1842"/>
        <w:gridCol w:w="993"/>
        <w:gridCol w:w="796"/>
        <w:gridCol w:w="796"/>
        <w:gridCol w:w="796"/>
        <w:gridCol w:w="796"/>
        <w:gridCol w:w="796"/>
        <w:gridCol w:w="796"/>
        <w:gridCol w:w="796"/>
      </w:tblGrid>
      <w:tr w:rsidR="00DB215C" w:rsidRPr="00DB215C" w14:paraId="4F333D7E" w14:textId="77777777" w:rsidTr="00DB215C">
        <w:trPr>
          <w:jc w:val="center"/>
        </w:trPr>
        <w:tc>
          <w:tcPr>
            <w:tcW w:w="8828" w:type="dxa"/>
            <w:gridSpan w:val="10"/>
            <w:tcBorders>
              <w:top w:val="nil"/>
              <w:left w:val="nil"/>
              <w:right w:val="nil"/>
            </w:tcBorders>
            <w:shd w:val="clear" w:color="auto" w:fill="FFFFFF"/>
            <w:vAlign w:val="center"/>
          </w:tcPr>
          <w:p w14:paraId="0990BCEF" w14:textId="77777777" w:rsidR="00DB215C" w:rsidRPr="00DB215C" w:rsidRDefault="00DB215C" w:rsidP="00DB215C">
            <w:pPr>
              <w:jc w:val="center"/>
              <w:rPr>
                <w:rFonts w:eastAsia="Calibri"/>
                <w:b/>
                <w:sz w:val="22"/>
                <w:szCs w:val="22"/>
                <w:lang w:eastAsia="en-US"/>
              </w:rPr>
            </w:pPr>
            <w:r w:rsidRPr="00DB215C">
              <w:rPr>
                <w:rFonts w:eastAsia="Calibri"/>
                <w:b/>
                <w:sz w:val="22"/>
                <w:szCs w:val="22"/>
                <w:lang w:eastAsia="en-US"/>
              </w:rPr>
              <w:lastRenderedPageBreak/>
              <w:t>FICHA DE EVALUACIÓN DE CALIDAD</w:t>
            </w:r>
          </w:p>
          <w:p w14:paraId="10ACC5F7" w14:textId="77777777" w:rsidR="00DB215C" w:rsidRPr="00DB215C" w:rsidRDefault="00DB215C" w:rsidP="00DB215C">
            <w:pPr>
              <w:jc w:val="center"/>
              <w:rPr>
                <w:rFonts w:eastAsia="Calibri"/>
                <w:b/>
                <w:sz w:val="22"/>
                <w:szCs w:val="22"/>
                <w:lang w:eastAsia="en-US"/>
              </w:rPr>
            </w:pPr>
          </w:p>
        </w:tc>
      </w:tr>
      <w:tr w:rsidR="00DB215C" w:rsidRPr="00DB215C" w14:paraId="4D502E3B" w14:textId="77777777" w:rsidTr="00DB215C">
        <w:trPr>
          <w:jc w:val="center"/>
        </w:trPr>
        <w:tc>
          <w:tcPr>
            <w:tcW w:w="2263" w:type="dxa"/>
            <w:gridSpan w:val="2"/>
            <w:vMerge w:val="restart"/>
            <w:shd w:val="clear" w:color="auto" w:fill="D9D9D9"/>
            <w:vAlign w:val="center"/>
          </w:tcPr>
          <w:p w14:paraId="7BCADD6B" w14:textId="77777777" w:rsidR="00DB215C" w:rsidRPr="00DB215C" w:rsidRDefault="00DB215C" w:rsidP="00DB215C">
            <w:pPr>
              <w:jc w:val="center"/>
              <w:rPr>
                <w:rFonts w:eastAsia="Calibri"/>
                <w:b/>
                <w:sz w:val="16"/>
                <w:szCs w:val="16"/>
                <w:lang w:eastAsia="en-US"/>
              </w:rPr>
            </w:pPr>
            <w:r w:rsidRPr="00DB215C">
              <w:rPr>
                <w:rFonts w:eastAsia="Calibri"/>
                <w:b/>
                <w:sz w:val="16"/>
                <w:szCs w:val="16"/>
                <w:lang w:eastAsia="en-US"/>
              </w:rPr>
              <w:t>Institución</w:t>
            </w:r>
          </w:p>
        </w:tc>
        <w:tc>
          <w:tcPr>
            <w:tcW w:w="1789" w:type="dxa"/>
            <w:gridSpan w:val="2"/>
            <w:shd w:val="clear" w:color="auto" w:fill="D9D9D9"/>
            <w:vAlign w:val="center"/>
          </w:tcPr>
          <w:p w14:paraId="309D3920" w14:textId="77777777" w:rsidR="00DB215C" w:rsidRPr="00DB215C" w:rsidRDefault="00DB215C" w:rsidP="00DB215C">
            <w:pPr>
              <w:jc w:val="center"/>
              <w:rPr>
                <w:rFonts w:eastAsia="Calibri"/>
                <w:b/>
                <w:sz w:val="16"/>
                <w:szCs w:val="16"/>
                <w:lang w:eastAsia="en-US"/>
              </w:rPr>
            </w:pPr>
            <w:r w:rsidRPr="00DB215C">
              <w:rPr>
                <w:rFonts w:eastAsia="Calibri"/>
                <w:b/>
                <w:sz w:val="16"/>
                <w:szCs w:val="16"/>
                <w:lang w:eastAsia="en-US"/>
              </w:rPr>
              <w:t>Información de Situación Financiera</w:t>
            </w:r>
          </w:p>
        </w:tc>
        <w:tc>
          <w:tcPr>
            <w:tcW w:w="4776" w:type="dxa"/>
            <w:gridSpan w:val="6"/>
            <w:shd w:val="clear" w:color="auto" w:fill="D9D9D9"/>
            <w:vAlign w:val="center"/>
          </w:tcPr>
          <w:p w14:paraId="1AA53FCB" w14:textId="77777777" w:rsidR="00DB215C" w:rsidRPr="00DB215C" w:rsidRDefault="00DB215C" w:rsidP="00DB215C">
            <w:pPr>
              <w:jc w:val="center"/>
              <w:rPr>
                <w:rFonts w:eastAsia="Calibri"/>
                <w:b/>
                <w:sz w:val="16"/>
                <w:szCs w:val="16"/>
                <w:lang w:eastAsia="en-US"/>
              </w:rPr>
            </w:pPr>
            <w:r w:rsidRPr="00DB215C">
              <w:rPr>
                <w:rFonts w:eastAsia="Calibri"/>
                <w:b/>
                <w:sz w:val="16"/>
                <w:szCs w:val="16"/>
                <w:lang w:eastAsia="en-US"/>
              </w:rPr>
              <w:t>Consistencia de saldos entre los reportes de Situación</w:t>
            </w:r>
          </w:p>
          <w:p w14:paraId="508D06F1" w14:textId="77777777" w:rsidR="00DB215C" w:rsidRPr="00DB215C" w:rsidRDefault="00DB215C" w:rsidP="00DB215C">
            <w:pPr>
              <w:jc w:val="center"/>
              <w:rPr>
                <w:rFonts w:eastAsia="Calibri"/>
                <w:b/>
                <w:sz w:val="16"/>
                <w:szCs w:val="16"/>
                <w:lang w:eastAsia="en-US"/>
              </w:rPr>
            </w:pPr>
            <w:r w:rsidRPr="00DB215C">
              <w:rPr>
                <w:rFonts w:eastAsia="Calibri"/>
                <w:b/>
                <w:sz w:val="16"/>
                <w:szCs w:val="16"/>
                <w:lang w:eastAsia="en-US"/>
              </w:rPr>
              <w:t>Financiera y los detallados de Cartera</w:t>
            </w:r>
          </w:p>
        </w:tc>
      </w:tr>
      <w:tr w:rsidR="00DB215C" w:rsidRPr="00DB215C" w14:paraId="13BA643F" w14:textId="77777777" w:rsidTr="00DB215C">
        <w:trPr>
          <w:cantSplit/>
          <w:trHeight w:val="1607"/>
          <w:jc w:val="center"/>
        </w:trPr>
        <w:tc>
          <w:tcPr>
            <w:tcW w:w="2263" w:type="dxa"/>
            <w:gridSpan w:val="2"/>
            <w:vMerge/>
            <w:tcBorders>
              <w:bottom w:val="single" w:sz="4" w:space="0" w:color="auto"/>
            </w:tcBorders>
            <w:shd w:val="clear" w:color="auto" w:fill="D9D9D9"/>
            <w:vAlign w:val="center"/>
          </w:tcPr>
          <w:p w14:paraId="180A6FBE" w14:textId="77777777" w:rsidR="00DB215C" w:rsidRPr="00DB215C" w:rsidRDefault="00DB215C" w:rsidP="00DB215C">
            <w:pPr>
              <w:jc w:val="center"/>
              <w:rPr>
                <w:rFonts w:eastAsia="Calibri"/>
                <w:b/>
                <w:sz w:val="16"/>
                <w:szCs w:val="16"/>
                <w:lang w:eastAsia="en-US"/>
              </w:rPr>
            </w:pPr>
          </w:p>
        </w:tc>
        <w:tc>
          <w:tcPr>
            <w:tcW w:w="993" w:type="dxa"/>
            <w:tcBorders>
              <w:bottom w:val="single" w:sz="4" w:space="0" w:color="auto"/>
            </w:tcBorders>
            <w:shd w:val="clear" w:color="auto" w:fill="D9D9D9"/>
            <w:textDirection w:val="btLr"/>
            <w:vAlign w:val="center"/>
          </w:tcPr>
          <w:p w14:paraId="636D8B7C" w14:textId="77777777" w:rsidR="00DB215C" w:rsidRPr="00DB215C" w:rsidRDefault="00DB215C" w:rsidP="00DB215C">
            <w:pPr>
              <w:ind w:left="113" w:right="113"/>
              <w:jc w:val="center"/>
              <w:rPr>
                <w:rFonts w:eastAsia="Calibri"/>
                <w:b/>
                <w:sz w:val="16"/>
                <w:szCs w:val="16"/>
                <w:lang w:eastAsia="en-US"/>
              </w:rPr>
            </w:pPr>
            <w:r w:rsidRPr="00DB215C">
              <w:rPr>
                <w:rFonts w:eastAsia="Calibri"/>
                <w:b/>
                <w:sz w:val="16"/>
                <w:szCs w:val="16"/>
                <w:lang w:eastAsia="en-US"/>
              </w:rPr>
              <w:t>Evaluación de hábitos de envío durante 2014</w:t>
            </w:r>
          </w:p>
        </w:tc>
        <w:tc>
          <w:tcPr>
            <w:tcW w:w="796" w:type="dxa"/>
            <w:tcBorders>
              <w:bottom w:val="single" w:sz="4" w:space="0" w:color="auto"/>
            </w:tcBorders>
            <w:shd w:val="clear" w:color="auto" w:fill="D9D9D9"/>
            <w:textDirection w:val="btLr"/>
            <w:vAlign w:val="center"/>
          </w:tcPr>
          <w:p w14:paraId="7C8D0E7A" w14:textId="77777777" w:rsidR="00DB215C" w:rsidRPr="00DB215C" w:rsidRDefault="00DB215C" w:rsidP="00DB215C">
            <w:pPr>
              <w:ind w:left="113" w:right="113"/>
              <w:jc w:val="center"/>
              <w:rPr>
                <w:rFonts w:eastAsia="Calibri"/>
                <w:b/>
                <w:sz w:val="16"/>
                <w:szCs w:val="16"/>
                <w:lang w:eastAsia="en-US"/>
              </w:rPr>
            </w:pPr>
            <w:r w:rsidRPr="00DB215C">
              <w:rPr>
                <w:rFonts w:eastAsia="Calibri"/>
                <w:b/>
                <w:sz w:val="16"/>
                <w:szCs w:val="16"/>
                <w:lang w:eastAsia="en-US"/>
              </w:rPr>
              <w:t>Recomendación de uso</w:t>
            </w:r>
          </w:p>
        </w:tc>
        <w:tc>
          <w:tcPr>
            <w:tcW w:w="796" w:type="dxa"/>
            <w:tcBorders>
              <w:bottom w:val="single" w:sz="4" w:space="0" w:color="auto"/>
            </w:tcBorders>
            <w:shd w:val="clear" w:color="auto" w:fill="D9D9D9"/>
            <w:textDirection w:val="btLr"/>
            <w:vAlign w:val="center"/>
          </w:tcPr>
          <w:p w14:paraId="4A7156E1" w14:textId="77777777" w:rsidR="00DB215C" w:rsidRPr="00DB215C" w:rsidRDefault="00DB215C" w:rsidP="00DB215C">
            <w:pPr>
              <w:ind w:left="113" w:right="113"/>
              <w:jc w:val="center"/>
              <w:rPr>
                <w:rFonts w:eastAsia="Calibri"/>
                <w:b/>
                <w:sz w:val="16"/>
                <w:szCs w:val="16"/>
                <w:lang w:eastAsia="en-US"/>
              </w:rPr>
            </w:pPr>
            <w:r w:rsidRPr="00DB215C">
              <w:rPr>
                <w:rFonts w:eastAsia="Calibri"/>
                <w:b/>
                <w:sz w:val="16"/>
                <w:szCs w:val="16"/>
                <w:lang w:eastAsia="en-US"/>
              </w:rPr>
              <w:t xml:space="preserve">Comercial </w:t>
            </w:r>
          </w:p>
          <w:p w14:paraId="791ED99D" w14:textId="77777777" w:rsidR="00DB215C" w:rsidRPr="00DB215C" w:rsidRDefault="00DB215C" w:rsidP="00DB215C">
            <w:pPr>
              <w:ind w:left="113" w:right="113"/>
              <w:jc w:val="center"/>
              <w:rPr>
                <w:rFonts w:eastAsia="Calibri"/>
                <w:b/>
                <w:sz w:val="16"/>
                <w:szCs w:val="16"/>
                <w:lang w:eastAsia="en-US"/>
              </w:rPr>
            </w:pPr>
            <w:r w:rsidRPr="00DB215C">
              <w:rPr>
                <w:rFonts w:eastAsia="Calibri"/>
                <w:b/>
                <w:sz w:val="16"/>
                <w:szCs w:val="16"/>
                <w:lang w:eastAsia="en-US"/>
              </w:rPr>
              <w:t>(Pérdida incurrida)</w:t>
            </w:r>
          </w:p>
        </w:tc>
        <w:tc>
          <w:tcPr>
            <w:tcW w:w="796" w:type="dxa"/>
            <w:tcBorders>
              <w:bottom w:val="single" w:sz="4" w:space="0" w:color="auto"/>
            </w:tcBorders>
            <w:shd w:val="clear" w:color="auto" w:fill="D9D9D9"/>
            <w:textDirection w:val="btLr"/>
            <w:vAlign w:val="center"/>
          </w:tcPr>
          <w:p w14:paraId="2F8F611C" w14:textId="77777777" w:rsidR="00DB215C" w:rsidRPr="00DB215C" w:rsidRDefault="00DB215C" w:rsidP="00DB215C">
            <w:pPr>
              <w:ind w:left="113" w:right="113"/>
              <w:jc w:val="center"/>
              <w:rPr>
                <w:rFonts w:eastAsia="Calibri"/>
                <w:b/>
                <w:sz w:val="16"/>
                <w:szCs w:val="16"/>
                <w:lang w:eastAsia="en-US"/>
              </w:rPr>
            </w:pPr>
            <w:r w:rsidRPr="00DB215C">
              <w:rPr>
                <w:rFonts w:eastAsia="Calibri"/>
                <w:b/>
                <w:sz w:val="16"/>
                <w:szCs w:val="16"/>
                <w:lang w:eastAsia="en-US"/>
              </w:rPr>
              <w:t xml:space="preserve">Empresas </w:t>
            </w:r>
          </w:p>
          <w:p w14:paraId="2A8D396D" w14:textId="77777777" w:rsidR="00DB215C" w:rsidRPr="00DB215C" w:rsidRDefault="00DB215C" w:rsidP="00DB215C">
            <w:pPr>
              <w:ind w:left="113" w:right="113"/>
              <w:jc w:val="center"/>
              <w:rPr>
                <w:rFonts w:eastAsia="Calibri"/>
                <w:b/>
                <w:sz w:val="16"/>
                <w:szCs w:val="16"/>
                <w:lang w:eastAsia="en-US"/>
              </w:rPr>
            </w:pPr>
            <w:r w:rsidRPr="00DB215C">
              <w:rPr>
                <w:rFonts w:eastAsia="Calibri"/>
                <w:b/>
                <w:sz w:val="16"/>
                <w:szCs w:val="16"/>
                <w:lang w:eastAsia="en-US"/>
              </w:rPr>
              <w:t>(Pérdida esperada)</w:t>
            </w:r>
          </w:p>
        </w:tc>
        <w:tc>
          <w:tcPr>
            <w:tcW w:w="796" w:type="dxa"/>
            <w:tcBorders>
              <w:bottom w:val="single" w:sz="4" w:space="0" w:color="auto"/>
            </w:tcBorders>
            <w:shd w:val="clear" w:color="auto" w:fill="D9D9D9"/>
            <w:textDirection w:val="btLr"/>
            <w:vAlign w:val="center"/>
          </w:tcPr>
          <w:p w14:paraId="06E0E4AA" w14:textId="77777777" w:rsidR="00DB215C" w:rsidRPr="00DB215C" w:rsidRDefault="00DB215C" w:rsidP="00DB215C">
            <w:pPr>
              <w:ind w:left="113" w:right="113"/>
              <w:jc w:val="center"/>
              <w:rPr>
                <w:rFonts w:eastAsia="Calibri"/>
                <w:b/>
                <w:sz w:val="16"/>
                <w:szCs w:val="16"/>
                <w:lang w:eastAsia="en-US"/>
              </w:rPr>
            </w:pPr>
            <w:r w:rsidRPr="00DB215C">
              <w:rPr>
                <w:rFonts w:eastAsia="Calibri"/>
                <w:b/>
                <w:sz w:val="16"/>
                <w:szCs w:val="16"/>
                <w:lang w:eastAsia="en-US"/>
              </w:rPr>
              <w:t>Entidades financieras (Pérdida esperada)</w:t>
            </w:r>
          </w:p>
        </w:tc>
        <w:tc>
          <w:tcPr>
            <w:tcW w:w="796" w:type="dxa"/>
            <w:tcBorders>
              <w:bottom w:val="single" w:sz="4" w:space="0" w:color="auto"/>
            </w:tcBorders>
            <w:shd w:val="clear" w:color="auto" w:fill="D9D9D9"/>
            <w:textDirection w:val="btLr"/>
            <w:vAlign w:val="center"/>
          </w:tcPr>
          <w:p w14:paraId="7CB10DF8" w14:textId="77777777" w:rsidR="00DB215C" w:rsidRPr="00DB215C" w:rsidRDefault="00DB215C" w:rsidP="00DB215C">
            <w:pPr>
              <w:ind w:left="113" w:right="113"/>
              <w:jc w:val="center"/>
              <w:rPr>
                <w:rFonts w:eastAsia="Calibri"/>
                <w:b/>
                <w:sz w:val="16"/>
                <w:szCs w:val="16"/>
                <w:lang w:eastAsia="en-US"/>
              </w:rPr>
            </w:pPr>
            <w:r w:rsidRPr="00DB215C">
              <w:rPr>
                <w:rFonts w:eastAsia="Calibri"/>
                <w:b/>
                <w:sz w:val="16"/>
                <w:szCs w:val="16"/>
                <w:lang w:eastAsia="en-US"/>
              </w:rPr>
              <w:t>Estados y municipios (Pérdida esperada)</w:t>
            </w:r>
          </w:p>
        </w:tc>
        <w:tc>
          <w:tcPr>
            <w:tcW w:w="796" w:type="dxa"/>
            <w:tcBorders>
              <w:bottom w:val="single" w:sz="4" w:space="0" w:color="auto"/>
            </w:tcBorders>
            <w:shd w:val="clear" w:color="auto" w:fill="D9D9D9"/>
            <w:textDirection w:val="btLr"/>
            <w:vAlign w:val="center"/>
          </w:tcPr>
          <w:p w14:paraId="2F71D67C" w14:textId="77777777" w:rsidR="00DB215C" w:rsidRPr="00DB215C" w:rsidRDefault="00DB215C" w:rsidP="00DB215C">
            <w:pPr>
              <w:ind w:left="113" w:right="113"/>
              <w:jc w:val="center"/>
              <w:rPr>
                <w:rFonts w:eastAsia="Calibri"/>
                <w:b/>
                <w:sz w:val="16"/>
                <w:szCs w:val="16"/>
                <w:lang w:eastAsia="en-US"/>
              </w:rPr>
            </w:pPr>
            <w:r w:rsidRPr="00DB215C">
              <w:rPr>
                <w:rFonts w:eastAsia="Calibri"/>
                <w:b/>
                <w:sz w:val="16"/>
                <w:szCs w:val="16"/>
                <w:lang w:eastAsia="en-US"/>
              </w:rPr>
              <w:t>Gob. Federal y Org. Desconcentrados (Pérdida esperada)</w:t>
            </w:r>
          </w:p>
        </w:tc>
        <w:tc>
          <w:tcPr>
            <w:tcW w:w="796" w:type="dxa"/>
            <w:tcBorders>
              <w:bottom w:val="single" w:sz="4" w:space="0" w:color="auto"/>
            </w:tcBorders>
            <w:shd w:val="clear" w:color="auto" w:fill="D9D9D9"/>
            <w:textDirection w:val="btLr"/>
            <w:vAlign w:val="center"/>
          </w:tcPr>
          <w:p w14:paraId="3D3E2265" w14:textId="77777777" w:rsidR="00DB215C" w:rsidRPr="00DB215C" w:rsidRDefault="00DB215C" w:rsidP="00DB215C">
            <w:pPr>
              <w:ind w:left="113" w:right="113"/>
              <w:jc w:val="center"/>
              <w:rPr>
                <w:rFonts w:eastAsia="Calibri"/>
                <w:b/>
                <w:sz w:val="16"/>
                <w:szCs w:val="16"/>
                <w:lang w:eastAsia="en-US"/>
              </w:rPr>
            </w:pPr>
            <w:r w:rsidRPr="00DB215C">
              <w:rPr>
                <w:rFonts w:eastAsia="Calibri"/>
                <w:b/>
                <w:sz w:val="16"/>
                <w:szCs w:val="16"/>
                <w:lang w:eastAsia="en-US"/>
              </w:rPr>
              <w:t>Vivienda</w:t>
            </w:r>
          </w:p>
        </w:tc>
      </w:tr>
      <w:tr w:rsidR="00DB215C" w:rsidRPr="00DB215C" w14:paraId="6DBD40E5" w14:textId="77777777" w:rsidTr="00DB215C">
        <w:trPr>
          <w:jc w:val="center"/>
        </w:trPr>
        <w:tc>
          <w:tcPr>
            <w:tcW w:w="2263" w:type="dxa"/>
            <w:gridSpan w:val="2"/>
            <w:tcBorders>
              <w:bottom w:val="nil"/>
            </w:tcBorders>
            <w:vAlign w:val="center"/>
          </w:tcPr>
          <w:p w14:paraId="70A47969" w14:textId="77777777" w:rsidR="00DB215C" w:rsidRPr="00DB215C" w:rsidRDefault="00DB215C" w:rsidP="00DB215C">
            <w:pPr>
              <w:spacing w:before="120"/>
              <w:jc w:val="both"/>
              <w:rPr>
                <w:rFonts w:eastAsia="Calibri"/>
                <w:sz w:val="16"/>
                <w:szCs w:val="16"/>
                <w:lang w:eastAsia="en-US"/>
              </w:rPr>
            </w:pPr>
            <w:r w:rsidRPr="00DB215C">
              <w:rPr>
                <w:rFonts w:eastAsia="Calibri"/>
                <w:sz w:val="16"/>
                <w:szCs w:val="16"/>
                <w:lang w:eastAsia="en-US"/>
              </w:rPr>
              <w:t>ABC Capital</w:t>
            </w:r>
          </w:p>
        </w:tc>
        <w:tc>
          <w:tcPr>
            <w:tcW w:w="993" w:type="dxa"/>
            <w:tcBorders>
              <w:bottom w:val="nil"/>
            </w:tcBorders>
            <w:vAlign w:val="center"/>
          </w:tcPr>
          <w:p w14:paraId="70D297A5" w14:textId="77777777" w:rsidR="00DB215C" w:rsidRPr="00DB215C" w:rsidRDefault="00DB215C" w:rsidP="00DB215C">
            <w:pPr>
              <w:spacing w:before="120"/>
              <w:jc w:val="center"/>
              <w:rPr>
                <w:rFonts w:eastAsia="Calibri"/>
                <w:sz w:val="16"/>
                <w:szCs w:val="16"/>
                <w:lang w:eastAsia="en-US"/>
              </w:rPr>
            </w:pPr>
            <w:r w:rsidRPr="00DB215C">
              <w:rPr>
                <w:rFonts w:eastAsia="Calibri"/>
                <w:sz w:val="16"/>
                <w:szCs w:val="16"/>
                <w:lang w:eastAsia="en-US"/>
              </w:rPr>
              <w:t>100</w:t>
            </w:r>
          </w:p>
        </w:tc>
        <w:tc>
          <w:tcPr>
            <w:tcW w:w="796" w:type="dxa"/>
            <w:tcBorders>
              <w:bottom w:val="nil"/>
            </w:tcBorders>
            <w:shd w:val="clear" w:color="auto" w:fill="00B050"/>
            <w:vAlign w:val="center"/>
          </w:tcPr>
          <w:p w14:paraId="5A10815D" w14:textId="77777777" w:rsidR="00DB215C" w:rsidRPr="00DB215C" w:rsidRDefault="00DB215C" w:rsidP="00DB215C">
            <w:pPr>
              <w:spacing w:before="120"/>
              <w:jc w:val="center"/>
              <w:rPr>
                <w:rFonts w:eastAsia="Calibri"/>
                <w:sz w:val="16"/>
                <w:szCs w:val="16"/>
                <w:lang w:eastAsia="en-US"/>
              </w:rPr>
            </w:pPr>
          </w:p>
        </w:tc>
        <w:tc>
          <w:tcPr>
            <w:tcW w:w="796" w:type="dxa"/>
            <w:tcBorders>
              <w:bottom w:val="nil"/>
            </w:tcBorders>
            <w:shd w:val="clear" w:color="auto" w:fill="FFFF00"/>
            <w:vAlign w:val="center"/>
          </w:tcPr>
          <w:p w14:paraId="463FA055" w14:textId="77777777" w:rsidR="00DB215C" w:rsidRPr="00DB215C" w:rsidRDefault="00DB215C" w:rsidP="00DB215C">
            <w:pPr>
              <w:spacing w:before="120"/>
              <w:jc w:val="center"/>
              <w:rPr>
                <w:rFonts w:eastAsia="Calibri"/>
                <w:sz w:val="16"/>
                <w:szCs w:val="16"/>
                <w:lang w:eastAsia="en-US"/>
              </w:rPr>
            </w:pPr>
          </w:p>
        </w:tc>
        <w:tc>
          <w:tcPr>
            <w:tcW w:w="796" w:type="dxa"/>
            <w:tcBorders>
              <w:bottom w:val="nil"/>
            </w:tcBorders>
            <w:shd w:val="clear" w:color="auto" w:fill="FFFF00"/>
            <w:vAlign w:val="center"/>
          </w:tcPr>
          <w:p w14:paraId="11F6A4AA" w14:textId="77777777" w:rsidR="00DB215C" w:rsidRPr="00DB215C" w:rsidRDefault="00DB215C" w:rsidP="00DB215C">
            <w:pPr>
              <w:spacing w:before="120"/>
              <w:jc w:val="center"/>
              <w:rPr>
                <w:rFonts w:eastAsia="Calibri"/>
                <w:sz w:val="16"/>
                <w:szCs w:val="16"/>
                <w:lang w:eastAsia="en-US"/>
              </w:rPr>
            </w:pPr>
          </w:p>
        </w:tc>
        <w:tc>
          <w:tcPr>
            <w:tcW w:w="796" w:type="dxa"/>
            <w:tcBorders>
              <w:bottom w:val="nil"/>
            </w:tcBorders>
            <w:shd w:val="clear" w:color="auto" w:fill="FFFF00"/>
            <w:vAlign w:val="center"/>
          </w:tcPr>
          <w:p w14:paraId="3E17C1AF" w14:textId="77777777" w:rsidR="00DB215C" w:rsidRPr="00DB215C" w:rsidRDefault="00DB215C" w:rsidP="00DB215C">
            <w:pPr>
              <w:spacing w:before="120"/>
              <w:jc w:val="center"/>
              <w:rPr>
                <w:rFonts w:eastAsia="Calibri"/>
                <w:sz w:val="16"/>
                <w:szCs w:val="16"/>
                <w:lang w:eastAsia="en-US"/>
              </w:rPr>
            </w:pPr>
          </w:p>
        </w:tc>
        <w:tc>
          <w:tcPr>
            <w:tcW w:w="796" w:type="dxa"/>
            <w:tcBorders>
              <w:bottom w:val="nil"/>
            </w:tcBorders>
            <w:shd w:val="clear" w:color="auto" w:fill="FF0000"/>
            <w:vAlign w:val="center"/>
          </w:tcPr>
          <w:p w14:paraId="306E2BB2" w14:textId="77777777" w:rsidR="00DB215C" w:rsidRPr="00DB215C" w:rsidRDefault="00DB215C" w:rsidP="00DB215C">
            <w:pPr>
              <w:spacing w:before="120"/>
              <w:jc w:val="center"/>
              <w:rPr>
                <w:rFonts w:eastAsia="Calibri"/>
                <w:sz w:val="16"/>
                <w:szCs w:val="16"/>
                <w:lang w:eastAsia="en-US"/>
              </w:rPr>
            </w:pPr>
          </w:p>
        </w:tc>
        <w:tc>
          <w:tcPr>
            <w:tcW w:w="796" w:type="dxa"/>
            <w:tcBorders>
              <w:bottom w:val="nil"/>
            </w:tcBorders>
            <w:shd w:val="clear" w:color="auto" w:fill="D9D9D9"/>
            <w:vAlign w:val="center"/>
          </w:tcPr>
          <w:p w14:paraId="0D8F0C55" w14:textId="77777777" w:rsidR="00DB215C" w:rsidRPr="00DB215C" w:rsidRDefault="00DB215C" w:rsidP="00DB215C">
            <w:pPr>
              <w:spacing w:before="120"/>
              <w:jc w:val="center"/>
              <w:rPr>
                <w:rFonts w:eastAsia="Calibri"/>
                <w:sz w:val="16"/>
                <w:szCs w:val="16"/>
                <w:lang w:eastAsia="en-US"/>
              </w:rPr>
            </w:pPr>
          </w:p>
        </w:tc>
        <w:tc>
          <w:tcPr>
            <w:tcW w:w="796" w:type="dxa"/>
            <w:tcBorders>
              <w:bottom w:val="nil"/>
            </w:tcBorders>
            <w:shd w:val="clear" w:color="auto" w:fill="00B050"/>
            <w:vAlign w:val="center"/>
          </w:tcPr>
          <w:p w14:paraId="43D8C2FD" w14:textId="77777777" w:rsidR="00DB215C" w:rsidRPr="00DB215C" w:rsidRDefault="00DB215C" w:rsidP="00DB215C">
            <w:pPr>
              <w:spacing w:before="120"/>
              <w:jc w:val="center"/>
              <w:rPr>
                <w:rFonts w:eastAsia="Calibri"/>
                <w:sz w:val="16"/>
                <w:szCs w:val="16"/>
                <w:lang w:eastAsia="en-US"/>
              </w:rPr>
            </w:pPr>
          </w:p>
        </w:tc>
      </w:tr>
      <w:tr w:rsidR="00DB215C" w:rsidRPr="00DB215C" w14:paraId="35D84CA0" w14:textId="77777777" w:rsidTr="00DB215C">
        <w:trPr>
          <w:jc w:val="center"/>
        </w:trPr>
        <w:tc>
          <w:tcPr>
            <w:tcW w:w="2263" w:type="dxa"/>
            <w:gridSpan w:val="2"/>
            <w:tcBorders>
              <w:top w:val="nil"/>
              <w:bottom w:val="nil"/>
            </w:tcBorders>
            <w:vAlign w:val="center"/>
          </w:tcPr>
          <w:p w14:paraId="106F7AFE" w14:textId="77777777" w:rsidR="00DB215C" w:rsidRPr="00DB215C" w:rsidRDefault="00DB215C" w:rsidP="00DB215C">
            <w:pPr>
              <w:jc w:val="both"/>
              <w:rPr>
                <w:rFonts w:eastAsia="Calibri"/>
                <w:sz w:val="16"/>
                <w:szCs w:val="16"/>
                <w:lang w:eastAsia="en-US"/>
              </w:rPr>
            </w:pPr>
            <w:r w:rsidRPr="00DB215C">
              <w:rPr>
                <w:rFonts w:eastAsia="Calibri"/>
                <w:sz w:val="16"/>
                <w:szCs w:val="16"/>
                <w:lang w:eastAsia="en-US"/>
              </w:rPr>
              <w:t>Actinver</w:t>
            </w:r>
          </w:p>
        </w:tc>
        <w:tc>
          <w:tcPr>
            <w:tcW w:w="993" w:type="dxa"/>
            <w:tcBorders>
              <w:top w:val="nil"/>
              <w:bottom w:val="nil"/>
            </w:tcBorders>
            <w:vAlign w:val="center"/>
          </w:tcPr>
          <w:p w14:paraId="1FCE2809" w14:textId="77777777" w:rsidR="00DB215C" w:rsidRPr="00DB215C" w:rsidRDefault="00DB215C" w:rsidP="00DB215C">
            <w:pPr>
              <w:jc w:val="center"/>
              <w:rPr>
                <w:rFonts w:eastAsia="Calibri"/>
                <w:sz w:val="16"/>
                <w:szCs w:val="16"/>
                <w:lang w:eastAsia="en-US"/>
              </w:rPr>
            </w:pPr>
            <w:r w:rsidRPr="00DB215C">
              <w:rPr>
                <w:rFonts w:eastAsia="Calibri"/>
                <w:sz w:val="16"/>
                <w:szCs w:val="16"/>
                <w:lang w:eastAsia="en-US"/>
              </w:rPr>
              <w:t>100</w:t>
            </w:r>
          </w:p>
        </w:tc>
        <w:tc>
          <w:tcPr>
            <w:tcW w:w="796" w:type="dxa"/>
            <w:tcBorders>
              <w:top w:val="nil"/>
              <w:bottom w:val="nil"/>
            </w:tcBorders>
            <w:shd w:val="clear" w:color="auto" w:fill="00B050"/>
            <w:vAlign w:val="center"/>
          </w:tcPr>
          <w:p w14:paraId="42E298DE"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0A0F4DF3"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082E19D4"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FF0000"/>
            <w:vAlign w:val="center"/>
          </w:tcPr>
          <w:p w14:paraId="6BA1967B"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3116DCED"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55264DD5"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3984C723" w14:textId="77777777" w:rsidR="00DB215C" w:rsidRPr="00DB215C" w:rsidRDefault="00DB215C" w:rsidP="00DB215C">
            <w:pPr>
              <w:jc w:val="center"/>
              <w:rPr>
                <w:rFonts w:eastAsia="Calibri"/>
                <w:sz w:val="16"/>
                <w:szCs w:val="16"/>
                <w:lang w:eastAsia="en-US"/>
              </w:rPr>
            </w:pPr>
          </w:p>
        </w:tc>
      </w:tr>
      <w:tr w:rsidR="00DB215C" w:rsidRPr="00DB215C" w14:paraId="1D8B526A" w14:textId="77777777" w:rsidTr="00DB215C">
        <w:trPr>
          <w:jc w:val="center"/>
        </w:trPr>
        <w:tc>
          <w:tcPr>
            <w:tcW w:w="2263" w:type="dxa"/>
            <w:gridSpan w:val="2"/>
            <w:tcBorders>
              <w:top w:val="nil"/>
              <w:bottom w:val="nil"/>
            </w:tcBorders>
            <w:vAlign w:val="center"/>
          </w:tcPr>
          <w:p w14:paraId="460077D5" w14:textId="77777777" w:rsidR="00DB215C" w:rsidRPr="00DB215C" w:rsidRDefault="00DB215C" w:rsidP="00DB215C">
            <w:pPr>
              <w:jc w:val="both"/>
              <w:rPr>
                <w:rFonts w:eastAsia="Calibri"/>
                <w:sz w:val="16"/>
                <w:szCs w:val="16"/>
                <w:lang w:eastAsia="en-US"/>
              </w:rPr>
            </w:pPr>
            <w:r w:rsidRPr="00DB215C">
              <w:rPr>
                <w:rFonts w:eastAsia="Calibri"/>
                <w:sz w:val="16"/>
                <w:szCs w:val="16"/>
                <w:lang w:eastAsia="en-US"/>
              </w:rPr>
              <w:t>Afirme</w:t>
            </w:r>
          </w:p>
        </w:tc>
        <w:tc>
          <w:tcPr>
            <w:tcW w:w="993" w:type="dxa"/>
            <w:tcBorders>
              <w:top w:val="nil"/>
              <w:bottom w:val="nil"/>
            </w:tcBorders>
            <w:vAlign w:val="center"/>
          </w:tcPr>
          <w:p w14:paraId="1B01FAD3" w14:textId="77777777" w:rsidR="00DB215C" w:rsidRPr="00DB215C" w:rsidRDefault="00DB215C" w:rsidP="00DB215C">
            <w:pPr>
              <w:jc w:val="center"/>
              <w:rPr>
                <w:rFonts w:eastAsia="Calibri"/>
                <w:sz w:val="16"/>
                <w:szCs w:val="16"/>
                <w:lang w:eastAsia="en-US"/>
              </w:rPr>
            </w:pPr>
            <w:r w:rsidRPr="00DB215C">
              <w:rPr>
                <w:rFonts w:eastAsia="Calibri"/>
                <w:sz w:val="16"/>
                <w:szCs w:val="16"/>
                <w:lang w:eastAsia="en-US"/>
              </w:rPr>
              <w:t>100</w:t>
            </w:r>
          </w:p>
        </w:tc>
        <w:tc>
          <w:tcPr>
            <w:tcW w:w="796" w:type="dxa"/>
            <w:tcBorders>
              <w:top w:val="nil"/>
              <w:bottom w:val="nil"/>
            </w:tcBorders>
            <w:shd w:val="clear" w:color="auto" w:fill="FFFF00"/>
            <w:vAlign w:val="center"/>
          </w:tcPr>
          <w:p w14:paraId="36003F54"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FF0000"/>
            <w:vAlign w:val="center"/>
          </w:tcPr>
          <w:p w14:paraId="428A48B7"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4E146E18"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00D071DA"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FF0000"/>
            <w:vAlign w:val="center"/>
          </w:tcPr>
          <w:p w14:paraId="57AC7795"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FF0000"/>
            <w:vAlign w:val="center"/>
          </w:tcPr>
          <w:p w14:paraId="0E748299"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26C2E301" w14:textId="77777777" w:rsidR="00DB215C" w:rsidRPr="00DB215C" w:rsidRDefault="00DB215C" w:rsidP="00DB215C">
            <w:pPr>
              <w:jc w:val="center"/>
              <w:rPr>
                <w:rFonts w:eastAsia="Calibri"/>
                <w:sz w:val="16"/>
                <w:szCs w:val="16"/>
                <w:lang w:eastAsia="en-US"/>
              </w:rPr>
            </w:pPr>
          </w:p>
        </w:tc>
      </w:tr>
      <w:tr w:rsidR="00DB215C" w:rsidRPr="00DB215C" w14:paraId="5046004F" w14:textId="77777777" w:rsidTr="00DB215C">
        <w:trPr>
          <w:jc w:val="center"/>
        </w:trPr>
        <w:tc>
          <w:tcPr>
            <w:tcW w:w="2263" w:type="dxa"/>
            <w:gridSpan w:val="2"/>
            <w:tcBorders>
              <w:top w:val="nil"/>
              <w:bottom w:val="nil"/>
            </w:tcBorders>
            <w:vAlign w:val="center"/>
          </w:tcPr>
          <w:p w14:paraId="04E57711" w14:textId="77777777" w:rsidR="00DB215C" w:rsidRPr="00DB215C" w:rsidRDefault="00DB215C" w:rsidP="00DB215C">
            <w:pPr>
              <w:jc w:val="both"/>
              <w:rPr>
                <w:rFonts w:eastAsia="Calibri"/>
                <w:sz w:val="16"/>
                <w:szCs w:val="16"/>
                <w:lang w:eastAsia="en-US"/>
              </w:rPr>
            </w:pPr>
            <w:r w:rsidRPr="00DB215C">
              <w:rPr>
                <w:rFonts w:eastAsia="Calibri"/>
                <w:sz w:val="16"/>
                <w:szCs w:val="16"/>
                <w:lang w:eastAsia="en-US"/>
              </w:rPr>
              <w:t>American Express</w:t>
            </w:r>
          </w:p>
        </w:tc>
        <w:tc>
          <w:tcPr>
            <w:tcW w:w="993" w:type="dxa"/>
            <w:tcBorders>
              <w:top w:val="nil"/>
              <w:bottom w:val="nil"/>
            </w:tcBorders>
            <w:vAlign w:val="center"/>
          </w:tcPr>
          <w:p w14:paraId="72157062" w14:textId="77777777" w:rsidR="00DB215C" w:rsidRPr="00DB215C" w:rsidRDefault="00DB215C" w:rsidP="00DB215C">
            <w:pPr>
              <w:jc w:val="center"/>
              <w:rPr>
                <w:rFonts w:eastAsia="Calibri"/>
                <w:sz w:val="16"/>
                <w:szCs w:val="16"/>
                <w:lang w:eastAsia="en-US"/>
              </w:rPr>
            </w:pPr>
            <w:r w:rsidRPr="00DB215C">
              <w:rPr>
                <w:rFonts w:eastAsia="Calibri"/>
                <w:sz w:val="16"/>
                <w:szCs w:val="16"/>
                <w:lang w:eastAsia="en-US"/>
              </w:rPr>
              <w:t>100</w:t>
            </w:r>
          </w:p>
        </w:tc>
        <w:tc>
          <w:tcPr>
            <w:tcW w:w="796" w:type="dxa"/>
            <w:tcBorders>
              <w:top w:val="nil"/>
              <w:bottom w:val="nil"/>
            </w:tcBorders>
            <w:shd w:val="clear" w:color="auto" w:fill="00B050"/>
            <w:vAlign w:val="center"/>
          </w:tcPr>
          <w:p w14:paraId="3B855C0F"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06297A0E"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003C0CF5"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1AC9CA61"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4A65A7A2"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38DCC326"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083765B8" w14:textId="77777777" w:rsidR="00DB215C" w:rsidRPr="00DB215C" w:rsidRDefault="00DB215C" w:rsidP="00DB215C">
            <w:pPr>
              <w:jc w:val="center"/>
              <w:rPr>
                <w:rFonts w:eastAsia="Calibri"/>
                <w:sz w:val="16"/>
                <w:szCs w:val="16"/>
                <w:lang w:eastAsia="en-US"/>
              </w:rPr>
            </w:pPr>
          </w:p>
        </w:tc>
      </w:tr>
      <w:tr w:rsidR="00DB215C" w:rsidRPr="00DB215C" w14:paraId="0D26A5E0" w14:textId="77777777" w:rsidTr="00DB215C">
        <w:trPr>
          <w:jc w:val="center"/>
        </w:trPr>
        <w:tc>
          <w:tcPr>
            <w:tcW w:w="2263" w:type="dxa"/>
            <w:gridSpan w:val="2"/>
            <w:tcBorders>
              <w:top w:val="nil"/>
              <w:bottom w:val="nil"/>
            </w:tcBorders>
            <w:vAlign w:val="center"/>
          </w:tcPr>
          <w:p w14:paraId="2886C6F2" w14:textId="77777777" w:rsidR="00DB215C" w:rsidRPr="00DB215C" w:rsidRDefault="00DB215C" w:rsidP="00DB215C">
            <w:pPr>
              <w:jc w:val="both"/>
              <w:rPr>
                <w:rFonts w:eastAsia="Calibri"/>
                <w:sz w:val="16"/>
                <w:szCs w:val="16"/>
                <w:lang w:eastAsia="en-US"/>
              </w:rPr>
            </w:pPr>
            <w:r w:rsidRPr="00DB215C">
              <w:rPr>
                <w:rFonts w:eastAsia="Calibri"/>
                <w:sz w:val="16"/>
                <w:szCs w:val="16"/>
                <w:lang w:eastAsia="en-US"/>
              </w:rPr>
              <w:t>Autofín</w:t>
            </w:r>
          </w:p>
        </w:tc>
        <w:tc>
          <w:tcPr>
            <w:tcW w:w="993" w:type="dxa"/>
            <w:tcBorders>
              <w:top w:val="nil"/>
              <w:bottom w:val="nil"/>
            </w:tcBorders>
            <w:vAlign w:val="center"/>
          </w:tcPr>
          <w:p w14:paraId="558AE923" w14:textId="77777777" w:rsidR="00DB215C" w:rsidRPr="00DB215C" w:rsidRDefault="00DB215C" w:rsidP="00DB215C">
            <w:pPr>
              <w:jc w:val="center"/>
              <w:rPr>
                <w:rFonts w:eastAsia="Calibri"/>
                <w:sz w:val="16"/>
                <w:szCs w:val="16"/>
                <w:lang w:eastAsia="en-US"/>
              </w:rPr>
            </w:pPr>
            <w:r w:rsidRPr="00DB215C">
              <w:rPr>
                <w:rFonts w:eastAsia="Calibri"/>
                <w:sz w:val="16"/>
                <w:szCs w:val="16"/>
                <w:lang w:eastAsia="en-US"/>
              </w:rPr>
              <w:t>100</w:t>
            </w:r>
          </w:p>
        </w:tc>
        <w:tc>
          <w:tcPr>
            <w:tcW w:w="796" w:type="dxa"/>
            <w:tcBorders>
              <w:top w:val="nil"/>
              <w:bottom w:val="nil"/>
            </w:tcBorders>
            <w:shd w:val="clear" w:color="auto" w:fill="00B050"/>
            <w:vAlign w:val="center"/>
          </w:tcPr>
          <w:p w14:paraId="4D1EB888"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2E9A2AED"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FFFF00"/>
            <w:vAlign w:val="center"/>
          </w:tcPr>
          <w:p w14:paraId="6B6D80B0"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FF0000"/>
            <w:vAlign w:val="center"/>
          </w:tcPr>
          <w:p w14:paraId="62EEE1C9"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0158D3FC"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47C9169B"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08750AA9" w14:textId="77777777" w:rsidR="00DB215C" w:rsidRPr="00DB215C" w:rsidRDefault="00DB215C" w:rsidP="00DB215C">
            <w:pPr>
              <w:jc w:val="center"/>
              <w:rPr>
                <w:rFonts w:eastAsia="Calibri"/>
                <w:sz w:val="16"/>
                <w:szCs w:val="16"/>
                <w:lang w:eastAsia="en-US"/>
              </w:rPr>
            </w:pPr>
          </w:p>
        </w:tc>
      </w:tr>
      <w:tr w:rsidR="00DB215C" w:rsidRPr="00DB215C" w14:paraId="499295F6" w14:textId="77777777" w:rsidTr="00DB215C">
        <w:trPr>
          <w:jc w:val="center"/>
        </w:trPr>
        <w:tc>
          <w:tcPr>
            <w:tcW w:w="2263" w:type="dxa"/>
            <w:gridSpan w:val="2"/>
            <w:tcBorders>
              <w:top w:val="nil"/>
              <w:bottom w:val="nil"/>
            </w:tcBorders>
            <w:vAlign w:val="center"/>
          </w:tcPr>
          <w:p w14:paraId="1EB649DC" w14:textId="77777777" w:rsidR="00DB215C" w:rsidRPr="00DB215C" w:rsidRDefault="00DB215C" w:rsidP="00DB215C">
            <w:pPr>
              <w:jc w:val="both"/>
              <w:rPr>
                <w:rFonts w:eastAsia="Calibri"/>
                <w:sz w:val="16"/>
                <w:szCs w:val="16"/>
                <w:lang w:eastAsia="en-US"/>
              </w:rPr>
            </w:pPr>
            <w:r w:rsidRPr="00DB215C">
              <w:rPr>
                <w:rFonts w:eastAsia="Calibri"/>
                <w:sz w:val="16"/>
                <w:szCs w:val="16"/>
                <w:lang w:eastAsia="en-US"/>
              </w:rPr>
              <w:t>Banamex</w:t>
            </w:r>
          </w:p>
        </w:tc>
        <w:tc>
          <w:tcPr>
            <w:tcW w:w="993" w:type="dxa"/>
            <w:tcBorders>
              <w:top w:val="nil"/>
              <w:bottom w:val="nil"/>
            </w:tcBorders>
            <w:vAlign w:val="center"/>
          </w:tcPr>
          <w:p w14:paraId="523C3B56" w14:textId="77777777" w:rsidR="00DB215C" w:rsidRPr="00DB215C" w:rsidRDefault="00DB215C" w:rsidP="00DB215C">
            <w:pPr>
              <w:jc w:val="center"/>
              <w:rPr>
                <w:rFonts w:eastAsia="Calibri"/>
                <w:sz w:val="16"/>
                <w:szCs w:val="16"/>
                <w:lang w:eastAsia="en-US"/>
              </w:rPr>
            </w:pPr>
            <w:r w:rsidRPr="00DB215C">
              <w:rPr>
                <w:rFonts w:eastAsia="Calibri"/>
                <w:sz w:val="16"/>
                <w:szCs w:val="16"/>
                <w:lang w:eastAsia="en-US"/>
              </w:rPr>
              <w:t>100</w:t>
            </w:r>
          </w:p>
        </w:tc>
        <w:tc>
          <w:tcPr>
            <w:tcW w:w="796" w:type="dxa"/>
            <w:tcBorders>
              <w:top w:val="nil"/>
              <w:bottom w:val="nil"/>
            </w:tcBorders>
            <w:shd w:val="clear" w:color="auto" w:fill="00B050"/>
            <w:vAlign w:val="center"/>
          </w:tcPr>
          <w:p w14:paraId="6BBD37D8"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55143EFF"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FF0000"/>
            <w:vAlign w:val="center"/>
          </w:tcPr>
          <w:p w14:paraId="04C19B46"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126E8FB8"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368C3DAB"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FF0000"/>
            <w:vAlign w:val="center"/>
          </w:tcPr>
          <w:p w14:paraId="3D2688F6"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0A6115EB" w14:textId="77777777" w:rsidR="00DB215C" w:rsidRPr="00DB215C" w:rsidRDefault="00DB215C" w:rsidP="00DB215C">
            <w:pPr>
              <w:jc w:val="center"/>
              <w:rPr>
                <w:rFonts w:eastAsia="Calibri"/>
                <w:sz w:val="16"/>
                <w:szCs w:val="16"/>
                <w:lang w:eastAsia="en-US"/>
              </w:rPr>
            </w:pPr>
          </w:p>
        </w:tc>
      </w:tr>
      <w:tr w:rsidR="00DB215C" w:rsidRPr="00DB215C" w14:paraId="0FCEB7E4" w14:textId="77777777" w:rsidTr="00DB215C">
        <w:trPr>
          <w:jc w:val="center"/>
        </w:trPr>
        <w:tc>
          <w:tcPr>
            <w:tcW w:w="2263" w:type="dxa"/>
            <w:gridSpan w:val="2"/>
            <w:tcBorders>
              <w:top w:val="nil"/>
              <w:bottom w:val="nil"/>
            </w:tcBorders>
            <w:vAlign w:val="center"/>
          </w:tcPr>
          <w:p w14:paraId="178FE40C" w14:textId="77777777" w:rsidR="00DB215C" w:rsidRPr="00DB215C" w:rsidRDefault="00DB215C" w:rsidP="00DB215C">
            <w:pPr>
              <w:jc w:val="both"/>
              <w:rPr>
                <w:rFonts w:eastAsia="Calibri"/>
                <w:sz w:val="16"/>
                <w:szCs w:val="16"/>
                <w:lang w:eastAsia="en-US"/>
              </w:rPr>
            </w:pPr>
            <w:r w:rsidRPr="00DB215C">
              <w:rPr>
                <w:rFonts w:eastAsia="Calibri"/>
                <w:sz w:val="16"/>
                <w:szCs w:val="16"/>
                <w:lang w:eastAsia="en-US"/>
              </w:rPr>
              <w:t>Banca Mifel</w:t>
            </w:r>
          </w:p>
        </w:tc>
        <w:tc>
          <w:tcPr>
            <w:tcW w:w="993" w:type="dxa"/>
            <w:tcBorders>
              <w:top w:val="nil"/>
              <w:bottom w:val="nil"/>
            </w:tcBorders>
            <w:vAlign w:val="center"/>
          </w:tcPr>
          <w:p w14:paraId="062C667F" w14:textId="77777777" w:rsidR="00DB215C" w:rsidRPr="00DB215C" w:rsidRDefault="00DB215C" w:rsidP="00DB215C">
            <w:pPr>
              <w:jc w:val="center"/>
              <w:rPr>
                <w:rFonts w:eastAsia="Calibri"/>
                <w:sz w:val="16"/>
                <w:szCs w:val="16"/>
                <w:lang w:eastAsia="en-US"/>
              </w:rPr>
            </w:pPr>
            <w:r w:rsidRPr="00DB215C">
              <w:rPr>
                <w:rFonts w:eastAsia="Calibri"/>
                <w:sz w:val="16"/>
                <w:szCs w:val="16"/>
                <w:lang w:eastAsia="en-US"/>
              </w:rPr>
              <w:t>100</w:t>
            </w:r>
          </w:p>
        </w:tc>
        <w:tc>
          <w:tcPr>
            <w:tcW w:w="796" w:type="dxa"/>
            <w:tcBorders>
              <w:top w:val="nil"/>
              <w:bottom w:val="nil"/>
            </w:tcBorders>
            <w:shd w:val="clear" w:color="auto" w:fill="00B050"/>
            <w:vAlign w:val="center"/>
          </w:tcPr>
          <w:p w14:paraId="7064CA36"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65AE5CAC"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FFFF00"/>
            <w:vAlign w:val="center"/>
          </w:tcPr>
          <w:p w14:paraId="6D26116B"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FF0000"/>
            <w:vAlign w:val="center"/>
          </w:tcPr>
          <w:p w14:paraId="68771507"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3B6EA1C2"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1E405EC1"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267FCC56" w14:textId="77777777" w:rsidR="00DB215C" w:rsidRPr="00DB215C" w:rsidRDefault="00DB215C" w:rsidP="00DB215C">
            <w:pPr>
              <w:jc w:val="center"/>
              <w:rPr>
                <w:rFonts w:eastAsia="Calibri"/>
                <w:sz w:val="16"/>
                <w:szCs w:val="16"/>
                <w:lang w:eastAsia="en-US"/>
              </w:rPr>
            </w:pPr>
          </w:p>
        </w:tc>
      </w:tr>
      <w:tr w:rsidR="00DB215C" w:rsidRPr="00DB215C" w14:paraId="5997A4E4" w14:textId="77777777" w:rsidTr="00DB215C">
        <w:trPr>
          <w:jc w:val="center"/>
        </w:trPr>
        <w:tc>
          <w:tcPr>
            <w:tcW w:w="2263" w:type="dxa"/>
            <w:gridSpan w:val="2"/>
            <w:tcBorders>
              <w:top w:val="nil"/>
              <w:bottom w:val="nil"/>
            </w:tcBorders>
            <w:vAlign w:val="center"/>
          </w:tcPr>
          <w:p w14:paraId="08716599" w14:textId="77777777" w:rsidR="00DB215C" w:rsidRPr="00DB215C" w:rsidRDefault="00DB215C" w:rsidP="00DB215C">
            <w:pPr>
              <w:jc w:val="both"/>
              <w:rPr>
                <w:rFonts w:eastAsia="Calibri"/>
                <w:sz w:val="16"/>
                <w:szCs w:val="16"/>
                <w:lang w:eastAsia="en-US"/>
              </w:rPr>
            </w:pPr>
            <w:r w:rsidRPr="00DB215C">
              <w:rPr>
                <w:rFonts w:eastAsia="Calibri"/>
                <w:sz w:val="16"/>
                <w:szCs w:val="16"/>
                <w:lang w:eastAsia="en-US"/>
              </w:rPr>
              <w:t>Banco Ahorro Famsa</w:t>
            </w:r>
          </w:p>
        </w:tc>
        <w:tc>
          <w:tcPr>
            <w:tcW w:w="993" w:type="dxa"/>
            <w:tcBorders>
              <w:top w:val="nil"/>
              <w:bottom w:val="nil"/>
            </w:tcBorders>
            <w:vAlign w:val="center"/>
          </w:tcPr>
          <w:p w14:paraId="015341CD" w14:textId="77777777" w:rsidR="00DB215C" w:rsidRPr="00DB215C" w:rsidRDefault="00DB215C" w:rsidP="00DB215C">
            <w:pPr>
              <w:jc w:val="center"/>
              <w:rPr>
                <w:rFonts w:eastAsia="Calibri"/>
                <w:sz w:val="16"/>
                <w:szCs w:val="16"/>
                <w:lang w:eastAsia="en-US"/>
              </w:rPr>
            </w:pPr>
            <w:r w:rsidRPr="00DB215C">
              <w:rPr>
                <w:rFonts w:eastAsia="Calibri"/>
                <w:sz w:val="16"/>
                <w:szCs w:val="16"/>
                <w:lang w:eastAsia="en-US"/>
              </w:rPr>
              <w:t>100</w:t>
            </w:r>
          </w:p>
        </w:tc>
        <w:tc>
          <w:tcPr>
            <w:tcW w:w="796" w:type="dxa"/>
            <w:tcBorders>
              <w:top w:val="nil"/>
              <w:bottom w:val="nil"/>
            </w:tcBorders>
            <w:shd w:val="clear" w:color="auto" w:fill="00B050"/>
            <w:vAlign w:val="center"/>
          </w:tcPr>
          <w:p w14:paraId="7210172F"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FFFF00"/>
            <w:vAlign w:val="center"/>
          </w:tcPr>
          <w:p w14:paraId="6E564B60"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FF0000"/>
            <w:vAlign w:val="center"/>
          </w:tcPr>
          <w:p w14:paraId="7F969D6E"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50227308"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54A3CD4D"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2B07E32F"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68A33E3D" w14:textId="77777777" w:rsidR="00DB215C" w:rsidRPr="00DB215C" w:rsidRDefault="00DB215C" w:rsidP="00DB215C">
            <w:pPr>
              <w:jc w:val="center"/>
              <w:rPr>
                <w:rFonts w:eastAsia="Calibri"/>
                <w:sz w:val="16"/>
                <w:szCs w:val="16"/>
                <w:lang w:eastAsia="en-US"/>
              </w:rPr>
            </w:pPr>
          </w:p>
        </w:tc>
      </w:tr>
      <w:tr w:rsidR="00DB215C" w:rsidRPr="00DB215C" w14:paraId="07221089" w14:textId="77777777" w:rsidTr="00DB215C">
        <w:trPr>
          <w:jc w:val="center"/>
        </w:trPr>
        <w:tc>
          <w:tcPr>
            <w:tcW w:w="2263" w:type="dxa"/>
            <w:gridSpan w:val="2"/>
            <w:tcBorders>
              <w:top w:val="nil"/>
              <w:bottom w:val="nil"/>
            </w:tcBorders>
            <w:vAlign w:val="center"/>
          </w:tcPr>
          <w:p w14:paraId="299DACE6" w14:textId="77777777" w:rsidR="00DB215C" w:rsidRPr="00DB215C" w:rsidRDefault="00DB215C" w:rsidP="00DB215C">
            <w:pPr>
              <w:jc w:val="both"/>
              <w:rPr>
                <w:rFonts w:eastAsia="Calibri"/>
                <w:sz w:val="16"/>
                <w:szCs w:val="16"/>
                <w:lang w:eastAsia="en-US"/>
              </w:rPr>
            </w:pPr>
            <w:r w:rsidRPr="00DB215C">
              <w:rPr>
                <w:rFonts w:eastAsia="Calibri"/>
                <w:sz w:val="16"/>
                <w:szCs w:val="16"/>
                <w:lang w:eastAsia="en-US"/>
              </w:rPr>
              <w:t>Banco Azteca</w:t>
            </w:r>
          </w:p>
        </w:tc>
        <w:tc>
          <w:tcPr>
            <w:tcW w:w="993" w:type="dxa"/>
            <w:tcBorders>
              <w:top w:val="nil"/>
              <w:bottom w:val="nil"/>
            </w:tcBorders>
            <w:vAlign w:val="center"/>
          </w:tcPr>
          <w:p w14:paraId="20FEC6E1" w14:textId="77777777" w:rsidR="00DB215C" w:rsidRPr="00DB215C" w:rsidRDefault="00DB215C" w:rsidP="00DB215C">
            <w:pPr>
              <w:jc w:val="center"/>
              <w:rPr>
                <w:rFonts w:eastAsia="Calibri"/>
                <w:sz w:val="16"/>
                <w:szCs w:val="16"/>
                <w:lang w:eastAsia="en-US"/>
              </w:rPr>
            </w:pPr>
            <w:r w:rsidRPr="00DB215C">
              <w:rPr>
                <w:rFonts w:eastAsia="Calibri"/>
                <w:sz w:val="16"/>
                <w:szCs w:val="16"/>
                <w:lang w:eastAsia="en-US"/>
              </w:rPr>
              <w:t>100</w:t>
            </w:r>
          </w:p>
        </w:tc>
        <w:tc>
          <w:tcPr>
            <w:tcW w:w="796" w:type="dxa"/>
            <w:tcBorders>
              <w:top w:val="nil"/>
              <w:bottom w:val="nil"/>
            </w:tcBorders>
            <w:shd w:val="clear" w:color="auto" w:fill="00B050"/>
            <w:vAlign w:val="center"/>
          </w:tcPr>
          <w:p w14:paraId="6920589D"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18F465B1"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FF0000"/>
            <w:vAlign w:val="center"/>
          </w:tcPr>
          <w:p w14:paraId="72EDE4EE"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FF0000"/>
            <w:vAlign w:val="center"/>
          </w:tcPr>
          <w:p w14:paraId="2B74700E"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2CFB8AA6"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4902D9AC"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0D656D62" w14:textId="77777777" w:rsidR="00DB215C" w:rsidRPr="00DB215C" w:rsidRDefault="00DB215C" w:rsidP="00DB215C">
            <w:pPr>
              <w:jc w:val="center"/>
              <w:rPr>
                <w:rFonts w:eastAsia="Calibri"/>
                <w:sz w:val="16"/>
                <w:szCs w:val="16"/>
                <w:lang w:eastAsia="en-US"/>
              </w:rPr>
            </w:pPr>
          </w:p>
        </w:tc>
      </w:tr>
      <w:tr w:rsidR="00DB215C" w:rsidRPr="00DB215C" w14:paraId="517C95B7" w14:textId="77777777" w:rsidTr="00DB215C">
        <w:trPr>
          <w:jc w:val="center"/>
        </w:trPr>
        <w:tc>
          <w:tcPr>
            <w:tcW w:w="2263" w:type="dxa"/>
            <w:gridSpan w:val="2"/>
            <w:tcBorders>
              <w:top w:val="nil"/>
              <w:bottom w:val="nil"/>
            </w:tcBorders>
            <w:vAlign w:val="center"/>
          </w:tcPr>
          <w:p w14:paraId="40E119A2" w14:textId="77777777" w:rsidR="00DB215C" w:rsidRPr="00DB215C" w:rsidRDefault="00DB215C" w:rsidP="00DB215C">
            <w:pPr>
              <w:jc w:val="both"/>
              <w:rPr>
                <w:rFonts w:eastAsia="Calibri"/>
                <w:sz w:val="16"/>
                <w:szCs w:val="16"/>
                <w:lang w:eastAsia="en-US"/>
              </w:rPr>
            </w:pPr>
            <w:r w:rsidRPr="00DB215C">
              <w:rPr>
                <w:rFonts w:eastAsia="Calibri"/>
                <w:sz w:val="16"/>
                <w:szCs w:val="16"/>
                <w:lang w:eastAsia="en-US"/>
              </w:rPr>
              <w:t>Banco Bancrea</w:t>
            </w:r>
          </w:p>
        </w:tc>
        <w:tc>
          <w:tcPr>
            <w:tcW w:w="993" w:type="dxa"/>
            <w:tcBorders>
              <w:top w:val="nil"/>
              <w:bottom w:val="nil"/>
            </w:tcBorders>
            <w:vAlign w:val="center"/>
          </w:tcPr>
          <w:p w14:paraId="16A128BB" w14:textId="77777777" w:rsidR="00DB215C" w:rsidRPr="00DB215C" w:rsidRDefault="00DB215C" w:rsidP="00DB215C">
            <w:pPr>
              <w:jc w:val="center"/>
              <w:rPr>
                <w:rFonts w:eastAsia="Calibri"/>
                <w:sz w:val="16"/>
                <w:szCs w:val="16"/>
                <w:lang w:eastAsia="en-US"/>
              </w:rPr>
            </w:pPr>
            <w:r w:rsidRPr="00DB215C">
              <w:rPr>
                <w:rFonts w:eastAsia="Calibri"/>
                <w:sz w:val="16"/>
                <w:szCs w:val="16"/>
                <w:lang w:eastAsia="en-US"/>
              </w:rPr>
              <w:t>100</w:t>
            </w:r>
          </w:p>
        </w:tc>
        <w:tc>
          <w:tcPr>
            <w:tcW w:w="796" w:type="dxa"/>
            <w:tcBorders>
              <w:top w:val="nil"/>
              <w:bottom w:val="nil"/>
            </w:tcBorders>
            <w:shd w:val="clear" w:color="auto" w:fill="FFFF00"/>
            <w:vAlign w:val="center"/>
          </w:tcPr>
          <w:p w14:paraId="3FA44F59"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1D84D2C4"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0B965CFB"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2279D05E"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363B6F0E"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21203BD0"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6CA3583A" w14:textId="77777777" w:rsidR="00DB215C" w:rsidRPr="00DB215C" w:rsidRDefault="00DB215C" w:rsidP="00DB215C">
            <w:pPr>
              <w:jc w:val="center"/>
              <w:rPr>
                <w:rFonts w:eastAsia="Calibri"/>
                <w:sz w:val="16"/>
                <w:szCs w:val="16"/>
                <w:lang w:eastAsia="en-US"/>
              </w:rPr>
            </w:pPr>
          </w:p>
        </w:tc>
      </w:tr>
      <w:tr w:rsidR="00DB215C" w:rsidRPr="00DB215C" w14:paraId="0000DC45" w14:textId="77777777" w:rsidTr="00DB215C">
        <w:trPr>
          <w:jc w:val="center"/>
        </w:trPr>
        <w:tc>
          <w:tcPr>
            <w:tcW w:w="2263" w:type="dxa"/>
            <w:gridSpan w:val="2"/>
            <w:tcBorders>
              <w:top w:val="nil"/>
              <w:bottom w:val="nil"/>
            </w:tcBorders>
            <w:vAlign w:val="center"/>
          </w:tcPr>
          <w:p w14:paraId="33887602" w14:textId="77777777" w:rsidR="00DB215C" w:rsidRPr="00DB215C" w:rsidRDefault="00DB215C" w:rsidP="00DB215C">
            <w:pPr>
              <w:jc w:val="both"/>
              <w:rPr>
                <w:rFonts w:eastAsia="Calibri"/>
                <w:sz w:val="16"/>
                <w:szCs w:val="16"/>
                <w:lang w:eastAsia="en-US"/>
              </w:rPr>
            </w:pPr>
            <w:r w:rsidRPr="00DB215C">
              <w:rPr>
                <w:rFonts w:eastAsia="Calibri"/>
                <w:sz w:val="16"/>
                <w:szCs w:val="16"/>
                <w:lang w:eastAsia="en-US"/>
              </w:rPr>
              <w:t>Banco Base</w:t>
            </w:r>
          </w:p>
        </w:tc>
        <w:tc>
          <w:tcPr>
            <w:tcW w:w="993" w:type="dxa"/>
            <w:tcBorders>
              <w:top w:val="nil"/>
              <w:bottom w:val="nil"/>
            </w:tcBorders>
            <w:vAlign w:val="center"/>
          </w:tcPr>
          <w:p w14:paraId="1523ED1E" w14:textId="77777777" w:rsidR="00DB215C" w:rsidRPr="00DB215C" w:rsidRDefault="00DB215C" w:rsidP="00DB215C">
            <w:pPr>
              <w:jc w:val="center"/>
              <w:rPr>
                <w:rFonts w:eastAsia="Calibri"/>
                <w:sz w:val="16"/>
                <w:szCs w:val="16"/>
                <w:lang w:eastAsia="en-US"/>
              </w:rPr>
            </w:pPr>
            <w:r w:rsidRPr="00DB215C">
              <w:rPr>
                <w:rFonts w:eastAsia="Calibri"/>
                <w:sz w:val="16"/>
                <w:szCs w:val="16"/>
                <w:lang w:eastAsia="en-US"/>
              </w:rPr>
              <w:t>80</w:t>
            </w:r>
          </w:p>
        </w:tc>
        <w:tc>
          <w:tcPr>
            <w:tcW w:w="796" w:type="dxa"/>
            <w:tcBorders>
              <w:top w:val="nil"/>
              <w:bottom w:val="nil"/>
            </w:tcBorders>
            <w:shd w:val="clear" w:color="auto" w:fill="00B050"/>
            <w:vAlign w:val="center"/>
          </w:tcPr>
          <w:p w14:paraId="1E4C48D4"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6F92B7F1"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6AA78AF7"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388B0DA8"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4997BD66"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5D49C3F3"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71EF2F92" w14:textId="77777777" w:rsidR="00DB215C" w:rsidRPr="00DB215C" w:rsidRDefault="00DB215C" w:rsidP="00DB215C">
            <w:pPr>
              <w:jc w:val="center"/>
              <w:rPr>
                <w:rFonts w:eastAsia="Calibri"/>
                <w:sz w:val="16"/>
                <w:szCs w:val="16"/>
                <w:lang w:eastAsia="en-US"/>
              </w:rPr>
            </w:pPr>
          </w:p>
        </w:tc>
      </w:tr>
      <w:tr w:rsidR="00DB215C" w:rsidRPr="00DB215C" w14:paraId="329F26A1" w14:textId="77777777" w:rsidTr="00DB215C">
        <w:trPr>
          <w:jc w:val="center"/>
        </w:trPr>
        <w:tc>
          <w:tcPr>
            <w:tcW w:w="2263" w:type="dxa"/>
            <w:gridSpan w:val="2"/>
            <w:tcBorders>
              <w:top w:val="nil"/>
              <w:bottom w:val="nil"/>
            </w:tcBorders>
            <w:vAlign w:val="center"/>
          </w:tcPr>
          <w:p w14:paraId="3C0EE9A8" w14:textId="77777777" w:rsidR="00DB215C" w:rsidRPr="00DB215C" w:rsidRDefault="00DB215C" w:rsidP="00DB215C">
            <w:pPr>
              <w:jc w:val="both"/>
              <w:rPr>
                <w:rFonts w:eastAsia="Calibri"/>
                <w:sz w:val="16"/>
                <w:szCs w:val="16"/>
                <w:lang w:eastAsia="en-US"/>
              </w:rPr>
            </w:pPr>
            <w:r w:rsidRPr="00DB215C">
              <w:rPr>
                <w:rFonts w:eastAsia="Calibri"/>
                <w:sz w:val="16"/>
                <w:szCs w:val="16"/>
                <w:lang w:eastAsia="en-US"/>
              </w:rPr>
              <w:t>Banco Credit Suisse</w:t>
            </w:r>
          </w:p>
        </w:tc>
        <w:tc>
          <w:tcPr>
            <w:tcW w:w="993" w:type="dxa"/>
            <w:tcBorders>
              <w:top w:val="nil"/>
              <w:bottom w:val="nil"/>
            </w:tcBorders>
            <w:vAlign w:val="center"/>
          </w:tcPr>
          <w:p w14:paraId="23269A6A" w14:textId="77777777" w:rsidR="00DB215C" w:rsidRPr="00DB215C" w:rsidRDefault="00DB215C" w:rsidP="00DB215C">
            <w:pPr>
              <w:jc w:val="center"/>
              <w:rPr>
                <w:rFonts w:eastAsia="Calibri"/>
                <w:sz w:val="16"/>
                <w:szCs w:val="16"/>
                <w:lang w:eastAsia="en-US"/>
              </w:rPr>
            </w:pPr>
            <w:r w:rsidRPr="00DB215C">
              <w:rPr>
                <w:rFonts w:eastAsia="Calibri"/>
                <w:sz w:val="16"/>
                <w:szCs w:val="16"/>
                <w:lang w:eastAsia="en-US"/>
              </w:rPr>
              <w:t>100</w:t>
            </w:r>
          </w:p>
        </w:tc>
        <w:tc>
          <w:tcPr>
            <w:tcW w:w="796" w:type="dxa"/>
            <w:tcBorders>
              <w:top w:val="nil"/>
              <w:bottom w:val="nil"/>
            </w:tcBorders>
            <w:shd w:val="clear" w:color="auto" w:fill="00B050"/>
            <w:vAlign w:val="center"/>
          </w:tcPr>
          <w:p w14:paraId="1AFEA79B"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3670A9A5"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1B28EB98"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0BE2F918"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1D7ABD27"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08B733D3"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774BD108" w14:textId="77777777" w:rsidR="00DB215C" w:rsidRPr="00DB215C" w:rsidRDefault="00DB215C" w:rsidP="00DB215C">
            <w:pPr>
              <w:jc w:val="center"/>
              <w:rPr>
                <w:rFonts w:eastAsia="Calibri"/>
                <w:sz w:val="16"/>
                <w:szCs w:val="16"/>
                <w:lang w:eastAsia="en-US"/>
              </w:rPr>
            </w:pPr>
          </w:p>
        </w:tc>
      </w:tr>
      <w:tr w:rsidR="00DB215C" w:rsidRPr="00DB215C" w14:paraId="60CDBA2C" w14:textId="77777777" w:rsidTr="00DB215C">
        <w:trPr>
          <w:jc w:val="center"/>
        </w:trPr>
        <w:tc>
          <w:tcPr>
            <w:tcW w:w="2263" w:type="dxa"/>
            <w:gridSpan w:val="2"/>
            <w:tcBorders>
              <w:top w:val="nil"/>
              <w:bottom w:val="nil"/>
            </w:tcBorders>
            <w:vAlign w:val="center"/>
          </w:tcPr>
          <w:p w14:paraId="1E99B8BF" w14:textId="77777777" w:rsidR="00DB215C" w:rsidRPr="00DB215C" w:rsidRDefault="00DB215C" w:rsidP="00DB215C">
            <w:pPr>
              <w:jc w:val="both"/>
              <w:rPr>
                <w:rFonts w:eastAsia="Calibri"/>
                <w:sz w:val="16"/>
                <w:szCs w:val="16"/>
                <w:lang w:eastAsia="en-US"/>
              </w:rPr>
            </w:pPr>
            <w:r w:rsidRPr="00DB215C">
              <w:rPr>
                <w:rFonts w:eastAsia="Calibri"/>
                <w:sz w:val="16"/>
                <w:szCs w:val="16"/>
                <w:lang w:eastAsia="en-US"/>
              </w:rPr>
              <w:t>Banco del Bajío</w:t>
            </w:r>
          </w:p>
        </w:tc>
        <w:tc>
          <w:tcPr>
            <w:tcW w:w="993" w:type="dxa"/>
            <w:tcBorders>
              <w:top w:val="nil"/>
              <w:bottom w:val="nil"/>
            </w:tcBorders>
            <w:vAlign w:val="center"/>
          </w:tcPr>
          <w:p w14:paraId="0A512B17" w14:textId="77777777" w:rsidR="00DB215C" w:rsidRPr="00DB215C" w:rsidRDefault="00DB215C" w:rsidP="00DB215C">
            <w:pPr>
              <w:jc w:val="center"/>
              <w:rPr>
                <w:rFonts w:eastAsia="Calibri"/>
                <w:sz w:val="16"/>
                <w:szCs w:val="16"/>
                <w:lang w:eastAsia="en-US"/>
              </w:rPr>
            </w:pPr>
            <w:r w:rsidRPr="00DB215C">
              <w:rPr>
                <w:rFonts w:eastAsia="Calibri"/>
                <w:sz w:val="16"/>
                <w:szCs w:val="16"/>
                <w:lang w:eastAsia="en-US"/>
              </w:rPr>
              <w:t>100</w:t>
            </w:r>
          </w:p>
        </w:tc>
        <w:tc>
          <w:tcPr>
            <w:tcW w:w="796" w:type="dxa"/>
            <w:tcBorders>
              <w:top w:val="nil"/>
              <w:bottom w:val="nil"/>
            </w:tcBorders>
            <w:shd w:val="clear" w:color="auto" w:fill="00B050"/>
            <w:vAlign w:val="center"/>
          </w:tcPr>
          <w:p w14:paraId="66EED191"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72EA9B10"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2D4BAA87"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4AD9BE4E"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1E669832"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60E9722E"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76CE3B81" w14:textId="77777777" w:rsidR="00DB215C" w:rsidRPr="00DB215C" w:rsidRDefault="00DB215C" w:rsidP="00DB215C">
            <w:pPr>
              <w:jc w:val="center"/>
              <w:rPr>
                <w:rFonts w:eastAsia="Calibri"/>
                <w:sz w:val="16"/>
                <w:szCs w:val="16"/>
                <w:lang w:eastAsia="en-US"/>
              </w:rPr>
            </w:pPr>
          </w:p>
        </w:tc>
      </w:tr>
      <w:tr w:rsidR="00DB215C" w:rsidRPr="00DB215C" w14:paraId="3340FCC1" w14:textId="77777777" w:rsidTr="00DB215C">
        <w:trPr>
          <w:jc w:val="center"/>
        </w:trPr>
        <w:tc>
          <w:tcPr>
            <w:tcW w:w="2263" w:type="dxa"/>
            <w:gridSpan w:val="2"/>
            <w:tcBorders>
              <w:top w:val="nil"/>
              <w:bottom w:val="nil"/>
            </w:tcBorders>
            <w:vAlign w:val="center"/>
          </w:tcPr>
          <w:p w14:paraId="4F6C22FE" w14:textId="77777777" w:rsidR="00DB215C" w:rsidRPr="00DB215C" w:rsidRDefault="00DB215C" w:rsidP="00DB215C">
            <w:pPr>
              <w:jc w:val="both"/>
              <w:rPr>
                <w:rFonts w:eastAsia="Calibri"/>
                <w:sz w:val="16"/>
                <w:szCs w:val="16"/>
                <w:lang w:eastAsia="en-US"/>
              </w:rPr>
            </w:pPr>
            <w:r w:rsidRPr="00DB215C">
              <w:rPr>
                <w:rFonts w:eastAsia="Calibri"/>
                <w:sz w:val="16"/>
                <w:szCs w:val="16"/>
                <w:lang w:eastAsia="en-US"/>
              </w:rPr>
              <w:t>Banco Wal-Mart</w:t>
            </w:r>
          </w:p>
        </w:tc>
        <w:tc>
          <w:tcPr>
            <w:tcW w:w="993" w:type="dxa"/>
            <w:tcBorders>
              <w:top w:val="nil"/>
              <w:bottom w:val="nil"/>
            </w:tcBorders>
            <w:vAlign w:val="center"/>
          </w:tcPr>
          <w:p w14:paraId="02875187" w14:textId="77777777" w:rsidR="00DB215C" w:rsidRPr="00DB215C" w:rsidRDefault="00DB215C" w:rsidP="00DB215C">
            <w:pPr>
              <w:jc w:val="center"/>
              <w:rPr>
                <w:rFonts w:eastAsia="Calibri"/>
                <w:sz w:val="16"/>
                <w:szCs w:val="16"/>
                <w:lang w:eastAsia="en-US"/>
              </w:rPr>
            </w:pPr>
            <w:r w:rsidRPr="00DB215C">
              <w:rPr>
                <w:rFonts w:eastAsia="Calibri"/>
                <w:sz w:val="16"/>
                <w:szCs w:val="16"/>
                <w:lang w:eastAsia="en-US"/>
              </w:rPr>
              <w:t>100</w:t>
            </w:r>
          </w:p>
        </w:tc>
        <w:tc>
          <w:tcPr>
            <w:tcW w:w="796" w:type="dxa"/>
            <w:tcBorders>
              <w:top w:val="nil"/>
              <w:bottom w:val="nil"/>
            </w:tcBorders>
            <w:shd w:val="clear" w:color="auto" w:fill="00B050"/>
            <w:vAlign w:val="center"/>
          </w:tcPr>
          <w:p w14:paraId="1C4F670F"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2D317B13"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5E4B6377"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0D33A4B9"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1143148B"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5577C8F9"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6F65E64D" w14:textId="77777777" w:rsidR="00DB215C" w:rsidRPr="00DB215C" w:rsidRDefault="00DB215C" w:rsidP="00DB215C">
            <w:pPr>
              <w:jc w:val="center"/>
              <w:rPr>
                <w:rFonts w:eastAsia="Calibri"/>
                <w:sz w:val="16"/>
                <w:szCs w:val="16"/>
                <w:lang w:eastAsia="en-US"/>
              </w:rPr>
            </w:pPr>
          </w:p>
        </w:tc>
      </w:tr>
      <w:tr w:rsidR="00DB215C" w:rsidRPr="00DB215C" w14:paraId="61DE5E8E" w14:textId="77777777" w:rsidTr="00DB215C">
        <w:trPr>
          <w:jc w:val="center"/>
        </w:trPr>
        <w:tc>
          <w:tcPr>
            <w:tcW w:w="2263" w:type="dxa"/>
            <w:gridSpan w:val="2"/>
            <w:tcBorders>
              <w:top w:val="nil"/>
              <w:bottom w:val="nil"/>
            </w:tcBorders>
            <w:vAlign w:val="center"/>
          </w:tcPr>
          <w:p w14:paraId="5F2D376D" w14:textId="77777777" w:rsidR="00DB215C" w:rsidRPr="00DB215C" w:rsidRDefault="00DB215C" w:rsidP="00DB215C">
            <w:pPr>
              <w:jc w:val="both"/>
              <w:rPr>
                <w:rFonts w:eastAsia="Calibri"/>
                <w:sz w:val="16"/>
                <w:szCs w:val="16"/>
                <w:lang w:eastAsia="en-US"/>
              </w:rPr>
            </w:pPr>
            <w:r w:rsidRPr="00DB215C">
              <w:rPr>
                <w:rFonts w:eastAsia="Calibri"/>
                <w:sz w:val="16"/>
                <w:szCs w:val="16"/>
                <w:lang w:eastAsia="en-US"/>
              </w:rPr>
              <w:t>Bancoppel</w:t>
            </w:r>
          </w:p>
        </w:tc>
        <w:tc>
          <w:tcPr>
            <w:tcW w:w="993" w:type="dxa"/>
            <w:tcBorders>
              <w:top w:val="nil"/>
              <w:bottom w:val="nil"/>
            </w:tcBorders>
            <w:vAlign w:val="center"/>
          </w:tcPr>
          <w:p w14:paraId="64B43D18" w14:textId="77777777" w:rsidR="00DB215C" w:rsidRPr="00DB215C" w:rsidRDefault="00DB215C" w:rsidP="00DB215C">
            <w:pPr>
              <w:jc w:val="center"/>
              <w:rPr>
                <w:rFonts w:eastAsia="Calibri"/>
                <w:sz w:val="16"/>
                <w:szCs w:val="16"/>
                <w:lang w:eastAsia="en-US"/>
              </w:rPr>
            </w:pPr>
            <w:r w:rsidRPr="00DB215C">
              <w:rPr>
                <w:rFonts w:eastAsia="Calibri"/>
                <w:sz w:val="16"/>
                <w:szCs w:val="16"/>
                <w:lang w:eastAsia="en-US"/>
              </w:rPr>
              <w:t>100</w:t>
            </w:r>
          </w:p>
        </w:tc>
        <w:tc>
          <w:tcPr>
            <w:tcW w:w="796" w:type="dxa"/>
            <w:tcBorders>
              <w:top w:val="nil"/>
              <w:bottom w:val="nil"/>
            </w:tcBorders>
            <w:shd w:val="clear" w:color="auto" w:fill="00B050"/>
            <w:vAlign w:val="center"/>
          </w:tcPr>
          <w:p w14:paraId="71989C28"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06AB8D97"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7E63926C"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4CF53EC2"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77756653"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6DE373CA"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49DDED1D" w14:textId="77777777" w:rsidR="00DB215C" w:rsidRPr="00DB215C" w:rsidRDefault="00DB215C" w:rsidP="00DB215C">
            <w:pPr>
              <w:jc w:val="center"/>
              <w:rPr>
                <w:rFonts w:eastAsia="Calibri"/>
                <w:sz w:val="16"/>
                <w:szCs w:val="16"/>
                <w:lang w:eastAsia="en-US"/>
              </w:rPr>
            </w:pPr>
          </w:p>
        </w:tc>
      </w:tr>
      <w:tr w:rsidR="00DB215C" w:rsidRPr="00DB215C" w14:paraId="16B556C9" w14:textId="77777777" w:rsidTr="00DB215C">
        <w:trPr>
          <w:jc w:val="center"/>
        </w:trPr>
        <w:tc>
          <w:tcPr>
            <w:tcW w:w="2263" w:type="dxa"/>
            <w:gridSpan w:val="2"/>
            <w:tcBorders>
              <w:top w:val="nil"/>
              <w:bottom w:val="nil"/>
            </w:tcBorders>
            <w:vAlign w:val="center"/>
          </w:tcPr>
          <w:p w14:paraId="2ADE5271" w14:textId="77777777" w:rsidR="00DB215C" w:rsidRPr="00DB215C" w:rsidRDefault="00DB215C" w:rsidP="00DB215C">
            <w:pPr>
              <w:jc w:val="both"/>
              <w:rPr>
                <w:rFonts w:eastAsia="Calibri"/>
                <w:sz w:val="16"/>
                <w:szCs w:val="16"/>
                <w:lang w:eastAsia="en-US"/>
              </w:rPr>
            </w:pPr>
            <w:r w:rsidRPr="00DB215C">
              <w:rPr>
                <w:rFonts w:eastAsia="Calibri"/>
                <w:sz w:val="16"/>
                <w:szCs w:val="16"/>
                <w:lang w:eastAsia="en-US"/>
              </w:rPr>
              <w:t>Bank of America</w:t>
            </w:r>
          </w:p>
        </w:tc>
        <w:tc>
          <w:tcPr>
            <w:tcW w:w="993" w:type="dxa"/>
            <w:tcBorders>
              <w:top w:val="nil"/>
              <w:bottom w:val="nil"/>
            </w:tcBorders>
            <w:vAlign w:val="center"/>
          </w:tcPr>
          <w:p w14:paraId="2E0D7F43" w14:textId="77777777" w:rsidR="00DB215C" w:rsidRPr="00DB215C" w:rsidRDefault="00DB215C" w:rsidP="00DB215C">
            <w:pPr>
              <w:jc w:val="center"/>
              <w:rPr>
                <w:rFonts w:eastAsia="Calibri"/>
                <w:sz w:val="16"/>
                <w:szCs w:val="16"/>
                <w:lang w:eastAsia="en-US"/>
              </w:rPr>
            </w:pPr>
            <w:r w:rsidRPr="00DB215C">
              <w:rPr>
                <w:rFonts w:eastAsia="Calibri"/>
                <w:sz w:val="16"/>
                <w:szCs w:val="16"/>
                <w:lang w:eastAsia="en-US"/>
              </w:rPr>
              <w:t>100</w:t>
            </w:r>
          </w:p>
        </w:tc>
        <w:tc>
          <w:tcPr>
            <w:tcW w:w="796" w:type="dxa"/>
            <w:tcBorders>
              <w:top w:val="nil"/>
              <w:bottom w:val="nil"/>
            </w:tcBorders>
            <w:shd w:val="clear" w:color="auto" w:fill="00B050"/>
            <w:vAlign w:val="center"/>
          </w:tcPr>
          <w:p w14:paraId="56D7E862"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33FAD689"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390524EE"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15668C2A"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1A1BE899"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3BB6F80B"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75569C41" w14:textId="77777777" w:rsidR="00DB215C" w:rsidRPr="00DB215C" w:rsidRDefault="00DB215C" w:rsidP="00DB215C">
            <w:pPr>
              <w:jc w:val="center"/>
              <w:rPr>
                <w:rFonts w:eastAsia="Calibri"/>
                <w:sz w:val="16"/>
                <w:szCs w:val="16"/>
                <w:lang w:eastAsia="en-US"/>
              </w:rPr>
            </w:pPr>
          </w:p>
        </w:tc>
      </w:tr>
      <w:tr w:rsidR="00DB215C" w:rsidRPr="00DB215C" w14:paraId="48C4FB84" w14:textId="77777777" w:rsidTr="00DB215C">
        <w:trPr>
          <w:jc w:val="center"/>
        </w:trPr>
        <w:tc>
          <w:tcPr>
            <w:tcW w:w="2263" w:type="dxa"/>
            <w:gridSpan w:val="2"/>
            <w:tcBorders>
              <w:top w:val="nil"/>
              <w:bottom w:val="nil"/>
            </w:tcBorders>
            <w:vAlign w:val="center"/>
          </w:tcPr>
          <w:p w14:paraId="45CF2985" w14:textId="77777777" w:rsidR="00DB215C" w:rsidRPr="00DB215C" w:rsidRDefault="00DB215C" w:rsidP="00DB215C">
            <w:pPr>
              <w:jc w:val="both"/>
              <w:rPr>
                <w:rFonts w:eastAsia="Calibri"/>
                <w:sz w:val="16"/>
                <w:szCs w:val="16"/>
                <w:lang w:eastAsia="en-US"/>
              </w:rPr>
            </w:pPr>
            <w:r w:rsidRPr="00DB215C">
              <w:rPr>
                <w:rFonts w:eastAsia="Calibri"/>
                <w:sz w:val="16"/>
                <w:szCs w:val="16"/>
                <w:lang w:eastAsia="en-US"/>
              </w:rPr>
              <w:t>Bank of Tokyo-Mitsubish UFJ</w:t>
            </w:r>
          </w:p>
        </w:tc>
        <w:tc>
          <w:tcPr>
            <w:tcW w:w="993" w:type="dxa"/>
            <w:tcBorders>
              <w:top w:val="nil"/>
              <w:bottom w:val="nil"/>
            </w:tcBorders>
            <w:vAlign w:val="center"/>
          </w:tcPr>
          <w:p w14:paraId="3778BE9D" w14:textId="77777777" w:rsidR="00DB215C" w:rsidRPr="00DB215C" w:rsidRDefault="00DB215C" w:rsidP="00DB215C">
            <w:pPr>
              <w:jc w:val="center"/>
              <w:rPr>
                <w:rFonts w:eastAsia="Calibri"/>
                <w:sz w:val="16"/>
                <w:szCs w:val="16"/>
                <w:lang w:eastAsia="en-US"/>
              </w:rPr>
            </w:pPr>
            <w:r w:rsidRPr="00DB215C">
              <w:rPr>
                <w:rFonts w:eastAsia="Calibri"/>
                <w:sz w:val="16"/>
                <w:szCs w:val="16"/>
                <w:lang w:eastAsia="en-US"/>
              </w:rPr>
              <w:t>100</w:t>
            </w:r>
          </w:p>
        </w:tc>
        <w:tc>
          <w:tcPr>
            <w:tcW w:w="796" w:type="dxa"/>
            <w:tcBorders>
              <w:top w:val="nil"/>
              <w:bottom w:val="nil"/>
            </w:tcBorders>
            <w:shd w:val="clear" w:color="auto" w:fill="00B050"/>
            <w:vAlign w:val="center"/>
          </w:tcPr>
          <w:p w14:paraId="2E356B12"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525969CE"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4B3CDCA0"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78E8C954"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1580883D"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7EF75536"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718CFCA3" w14:textId="77777777" w:rsidR="00DB215C" w:rsidRPr="00DB215C" w:rsidRDefault="00DB215C" w:rsidP="00DB215C">
            <w:pPr>
              <w:jc w:val="center"/>
              <w:rPr>
                <w:rFonts w:eastAsia="Calibri"/>
                <w:sz w:val="16"/>
                <w:szCs w:val="16"/>
                <w:lang w:eastAsia="en-US"/>
              </w:rPr>
            </w:pPr>
          </w:p>
        </w:tc>
      </w:tr>
      <w:tr w:rsidR="00DB215C" w:rsidRPr="00DB215C" w14:paraId="36D088BE" w14:textId="77777777" w:rsidTr="00DB215C">
        <w:trPr>
          <w:jc w:val="center"/>
        </w:trPr>
        <w:tc>
          <w:tcPr>
            <w:tcW w:w="2263" w:type="dxa"/>
            <w:gridSpan w:val="2"/>
            <w:tcBorders>
              <w:top w:val="nil"/>
              <w:bottom w:val="nil"/>
            </w:tcBorders>
            <w:vAlign w:val="center"/>
          </w:tcPr>
          <w:p w14:paraId="47F1CBFF" w14:textId="77777777" w:rsidR="00DB215C" w:rsidRPr="00DB215C" w:rsidRDefault="00DB215C" w:rsidP="00DB215C">
            <w:pPr>
              <w:jc w:val="both"/>
              <w:rPr>
                <w:rFonts w:eastAsia="Calibri"/>
                <w:sz w:val="16"/>
                <w:szCs w:val="16"/>
                <w:lang w:eastAsia="en-US"/>
              </w:rPr>
            </w:pPr>
            <w:r w:rsidRPr="00DB215C">
              <w:rPr>
                <w:rFonts w:eastAsia="Calibri"/>
                <w:sz w:val="16"/>
                <w:szCs w:val="16"/>
                <w:lang w:eastAsia="en-US"/>
              </w:rPr>
              <w:t>Bankaool</w:t>
            </w:r>
          </w:p>
        </w:tc>
        <w:tc>
          <w:tcPr>
            <w:tcW w:w="993" w:type="dxa"/>
            <w:tcBorders>
              <w:top w:val="nil"/>
              <w:bottom w:val="nil"/>
            </w:tcBorders>
            <w:vAlign w:val="center"/>
          </w:tcPr>
          <w:p w14:paraId="222BD5B2" w14:textId="77777777" w:rsidR="00DB215C" w:rsidRPr="00DB215C" w:rsidRDefault="00DB215C" w:rsidP="00DB215C">
            <w:pPr>
              <w:jc w:val="center"/>
              <w:rPr>
                <w:rFonts w:eastAsia="Calibri"/>
                <w:sz w:val="16"/>
                <w:szCs w:val="16"/>
                <w:lang w:eastAsia="en-US"/>
              </w:rPr>
            </w:pPr>
            <w:r w:rsidRPr="00DB215C">
              <w:rPr>
                <w:rFonts w:eastAsia="Calibri"/>
                <w:sz w:val="16"/>
                <w:szCs w:val="16"/>
                <w:lang w:eastAsia="en-US"/>
              </w:rPr>
              <w:t>100</w:t>
            </w:r>
          </w:p>
        </w:tc>
        <w:tc>
          <w:tcPr>
            <w:tcW w:w="796" w:type="dxa"/>
            <w:tcBorders>
              <w:top w:val="nil"/>
              <w:bottom w:val="nil"/>
            </w:tcBorders>
            <w:shd w:val="clear" w:color="auto" w:fill="00B050"/>
            <w:vAlign w:val="center"/>
          </w:tcPr>
          <w:p w14:paraId="06B1E243"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7141DA96"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066B99D1"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68F89B00"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245F320F"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731021DE"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4CF0393C" w14:textId="77777777" w:rsidR="00DB215C" w:rsidRPr="00DB215C" w:rsidRDefault="00DB215C" w:rsidP="00DB215C">
            <w:pPr>
              <w:jc w:val="center"/>
              <w:rPr>
                <w:rFonts w:eastAsia="Calibri"/>
                <w:sz w:val="16"/>
                <w:szCs w:val="16"/>
                <w:lang w:eastAsia="en-US"/>
              </w:rPr>
            </w:pPr>
          </w:p>
        </w:tc>
      </w:tr>
      <w:tr w:rsidR="00DB215C" w:rsidRPr="00DB215C" w14:paraId="1CF45598" w14:textId="77777777" w:rsidTr="00DB215C">
        <w:trPr>
          <w:jc w:val="center"/>
        </w:trPr>
        <w:tc>
          <w:tcPr>
            <w:tcW w:w="2263" w:type="dxa"/>
            <w:gridSpan w:val="2"/>
            <w:tcBorders>
              <w:top w:val="nil"/>
              <w:bottom w:val="nil"/>
            </w:tcBorders>
            <w:vAlign w:val="center"/>
          </w:tcPr>
          <w:p w14:paraId="791AA19C" w14:textId="77777777" w:rsidR="00DB215C" w:rsidRPr="00DB215C" w:rsidRDefault="00DB215C" w:rsidP="00DB215C">
            <w:pPr>
              <w:jc w:val="both"/>
              <w:rPr>
                <w:rFonts w:eastAsia="Calibri"/>
                <w:sz w:val="16"/>
                <w:szCs w:val="16"/>
                <w:lang w:eastAsia="en-US"/>
              </w:rPr>
            </w:pPr>
            <w:r w:rsidRPr="00DB215C">
              <w:rPr>
                <w:rFonts w:eastAsia="Calibri"/>
                <w:sz w:val="16"/>
                <w:szCs w:val="16"/>
                <w:lang w:eastAsia="en-US"/>
              </w:rPr>
              <w:t>Banorte/Ixe</w:t>
            </w:r>
          </w:p>
        </w:tc>
        <w:tc>
          <w:tcPr>
            <w:tcW w:w="993" w:type="dxa"/>
            <w:tcBorders>
              <w:top w:val="nil"/>
              <w:bottom w:val="nil"/>
            </w:tcBorders>
            <w:vAlign w:val="center"/>
          </w:tcPr>
          <w:p w14:paraId="0DB6CD8B" w14:textId="77777777" w:rsidR="00DB215C" w:rsidRPr="00DB215C" w:rsidRDefault="00DB215C" w:rsidP="00DB215C">
            <w:pPr>
              <w:jc w:val="center"/>
              <w:rPr>
                <w:rFonts w:eastAsia="Calibri"/>
                <w:sz w:val="16"/>
                <w:szCs w:val="16"/>
                <w:lang w:eastAsia="en-US"/>
              </w:rPr>
            </w:pPr>
            <w:r w:rsidRPr="00DB215C">
              <w:rPr>
                <w:rFonts w:eastAsia="Calibri"/>
                <w:sz w:val="16"/>
                <w:szCs w:val="16"/>
                <w:lang w:eastAsia="en-US"/>
              </w:rPr>
              <w:t>100</w:t>
            </w:r>
          </w:p>
        </w:tc>
        <w:tc>
          <w:tcPr>
            <w:tcW w:w="796" w:type="dxa"/>
            <w:tcBorders>
              <w:top w:val="nil"/>
              <w:bottom w:val="nil"/>
            </w:tcBorders>
            <w:shd w:val="clear" w:color="auto" w:fill="00B050"/>
            <w:vAlign w:val="center"/>
          </w:tcPr>
          <w:p w14:paraId="38F80851"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1E63D575"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7700AEA9"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70397C55"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6863BB4B"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5515142C"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24B3B35A" w14:textId="77777777" w:rsidR="00DB215C" w:rsidRPr="00DB215C" w:rsidRDefault="00DB215C" w:rsidP="00DB215C">
            <w:pPr>
              <w:jc w:val="center"/>
              <w:rPr>
                <w:rFonts w:eastAsia="Calibri"/>
                <w:sz w:val="16"/>
                <w:szCs w:val="16"/>
                <w:lang w:eastAsia="en-US"/>
              </w:rPr>
            </w:pPr>
          </w:p>
        </w:tc>
      </w:tr>
      <w:tr w:rsidR="00DB215C" w:rsidRPr="00DB215C" w14:paraId="759317B7" w14:textId="77777777" w:rsidTr="00DB215C">
        <w:trPr>
          <w:jc w:val="center"/>
        </w:trPr>
        <w:tc>
          <w:tcPr>
            <w:tcW w:w="2263" w:type="dxa"/>
            <w:gridSpan w:val="2"/>
            <w:tcBorders>
              <w:top w:val="nil"/>
              <w:bottom w:val="nil"/>
            </w:tcBorders>
            <w:vAlign w:val="center"/>
          </w:tcPr>
          <w:p w14:paraId="64847026" w14:textId="77777777" w:rsidR="00DB215C" w:rsidRPr="00DB215C" w:rsidRDefault="00DB215C" w:rsidP="00DB215C">
            <w:pPr>
              <w:jc w:val="both"/>
              <w:rPr>
                <w:rFonts w:eastAsia="Calibri"/>
                <w:sz w:val="16"/>
                <w:szCs w:val="16"/>
                <w:lang w:eastAsia="en-US"/>
              </w:rPr>
            </w:pPr>
            <w:r w:rsidRPr="00DB215C">
              <w:rPr>
                <w:rFonts w:eastAsia="Calibri"/>
                <w:sz w:val="16"/>
                <w:szCs w:val="16"/>
                <w:lang w:eastAsia="en-US"/>
              </w:rPr>
              <w:t>Banregio</w:t>
            </w:r>
          </w:p>
        </w:tc>
        <w:tc>
          <w:tcPr>
            <w:tcW w:w="993" w:type="dxa"/>
            <w:tcBorders>
              <w:top w:val="nil"/>
              <w:bottom w:val="nil"/>
            </w:tcBorders>
            <w:vAlign w:val="center"/>
          </w:tcPr>
          <w:p w14:paraId="47CF4A08" w14:textId="77777777" w:rsidR="00DB215C" w:rsidRPr="00DB215C" w:rsidRDefault="00DB215C" w:rsidP="00DB215C">
            <w:pPr>
              <w:jc w:val="center"/>
              <w:rPr>
                <w:rFonts w:eastAsia="Calibri"/>
                <w:sz w:val="16"/>
                <w:szCs w:val="16"/>
                <w:lang w:eastAsia="en-US"/>
              </w:rPr>
            </w:pPr>
            <w:r w:rsidRPr="00DB215C">
              <w:rPr>
                <w:rFonts w:eastAsia="Calibri"/>
                <w:sz w:val="16"/>
                <w:szCs w:val="16"/>
                <w:lang w:eastAsia="en-US"/>
              </w:rPr>
              <w:t>100</w:t>
            </w:r>
          </w:p>
        </w:tc>
        <w:tc>
          <w:tcPr>
            <w:tcW w:w="796" w:type="dxa"/>
            <w:tcBorders>
              <w:top w:val="nil"/>
              <w:bottom w:val="nil"/>
            </w:tcBorders>
            <w:shd w:val="clear" w:color="auto" w:fill="FFFF00"/>
            <w:vAlign w:val="center"/>
          </w:tcPr>
          <w:p w14:paraId="7657E1C8"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247D9D6F"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020D74D5"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5947CA1F"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3221F0B0"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5B1B7038"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46ACFDD8" w14:textId="77777777" w:rsidR="00DB215C" w:rsidRPr="00DB215C" w:rsidRDefault="00DB215C" w:rsidP="00DB215C">
            <w:pPr>
              <w:jc w:val="center"/>
              <w:rPr>
                <w:rFonts w:eastAsia="Calibri"/>
                <w:sz w:val="16"/>
                <w:szCs w:val="16"/>
                <w:lang w:eastAsia="en-US"/>
              </w:rPr>
            </w:pPr>
          </w:p>
        </w:tc>
      </w:tr>
      <w:tr w:rsidR="00DB215C" w:rsidRPr="00DB215C" w14:paraId="721C0FFA" w14:textId="77777777" w:rsidTr="00DB215C">
        <w:trPr>
          <w:jc w:val="center"/>
        </w:trPr>
        <w:tc>
          <w:tcPr>
            <w:tcW w:w="2263" w:type="dxa"/>
            <w:gridSpan w:val="2"/>
            <w:tcBorders>
              <w:top w:val="nil"/>
              <w:bottom w:val="nil"/>
            </w:tcBorders>
            <w:vAlign w:val="center"/>
          </w:tcPr>
          <w:p w14:paraId="2701B5ED" w14:textId="77777777" w:rsidR="00DB215C" w:rsidRPr="00DB215C" w:rsidRDefault="00DB215C" w:rsidP="00DB215C">
            <w:pPr>
              <w:jc w:val="both"/>
              <w:rPr>
                <w:rFonts w:eastAsia="Calibri"/>
                <w:sz w:val="16"/>
                <w:szCs w:val="16"/>
                <w:lang w:eastAsia="en-US"/>
              </w:rPr>
            </w:pPr>
            <w:r w:rsidRPr="00DB215C">
              <w:rPr>
                <w:rFonts w:eastAsia="Calibri"/>
                <w:sz w:val="16"/>
                <w:szCs w:val="16"/>
                <w:lang w:eastAsia="en-US"/>
              </w:rPr>
              <w:t>Bansí</w:t>
            </w:r>
          </w:p>
        </w:tc>
        <w:tc>
          <w:tcPr>
            <w:tcW w:w="993" w:type="dxa"/>
            <w:tcBorders>
              <w:top w:val="nil"/>
              <w:bottom w:val="nil"/>
            </w:tcBorders>
            <w:vAlign w:val="center"/>
          </w:tcPr>
          <w:p w14:paraId="07AD150D" w14:textId="77777777" w:rsidR="00DB215C" w:rsidRPr="00DB215C" w:rsidRDefault="00DB215C" w:rsidP="00DB215C">
            <w:pPr>
              <w:jc w:val="center"/>
              <w:rPr>
                <w:rFonts w:eastAsia="Calibri"/>
                <w:sz w:val="16"/>
                <w:szCs w:val="16"/>
                <w:lang w:eastAsia="en-US"/>
              </w:rPr>
            </w:pPr>
            <w:r w:rsidRPr="00DB215C">
              <w:rPr>
                <w:rFonts w:eastAsia="Calibri"/>
                <w:sz w:val="16"/>
                <w:szCs w:val="16"/>
                <w:lang w:eastAsia="en-US"/>
              </w:rPr>
              <w:t>100</w:t>
            </w:r>
          </w:p>
        </w:tc>
        <w:tc>
          <w:tcPr>
            <w:tcW w:w="796" w:type="dxa"/>
            <w:tcBorders>
              <w:top w:val="nil"/>
              <w:bottom w:val="nil"/>
            </w:tcBorders>
            <w:shd w:val="clear" w:color="auto" w:fill="00B050"/>
            <w:vAlign w:val="center"/>
          </w:tcPr>
          <w:p w14:paraId="160D3FEF"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155A6DBF"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4930FB86"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772E13ED"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FF0000"/>
            <w:vAlign w:val="center"/>
          </w:tcPr>
          <w:p w14:paraId="3DBF598B"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FF0000"/>
            <w:vAlign w:val="center"/>
          </w:tcPr>
          <w:p w14:paraId="70DAF971"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1BA05CFD" w14:textId="77777777" w:rsidR="00DB215C" w:rsidRPr="00DB215C" w:rsidRDefault="00DB215C" w:rsidP="00DB215C">
            <w:pPr>
              <w:jc w:val="center"/>
              <w:rPr>
                <w:rFonts w:eastAsia="Calibri"/>
                <w:sz w:val="16"/>
                <w:szCs w:val="16"/>
                <w:lang w:eastAsia="en-US"/>
              </w:rPr>
            </w:pPr>
          </w:p>
        </w:tc>
      </w:tr>
      <w:tr w:rsidR="00DB215C" w:rsidRPr="00DB215C" w14:paraId="07C444CC" w14:textId="77777777" w:rsidTr="00DB215C">
        <w:trPr>
          <w:jc w:val="center"/>
        </w:trPr>
        <w:tc>
          <w:tcPr>
            <w:tcW w:w="2263" w:type="dxa"/>
            <w:gridSpan w:val="2"/>
            <w:tcBorders>
              <w:top w:val="nil"/>
              <w:bottom w:val="nil"/>
            </w:tcBorders>
            <w:vAlign w:val="center"/>
          </w:tcPr>
          <w:p w14:paraId="399DE142" w14:textId="77777777" w:rsidR="00DB215C" w:rsidRPr="00DB215C" w:rsidRDefault="00DB215C" w:rsidP="00DB215C">
            <w:pPr>
              <w:jc w:val="both"/>
              <w:rPr>
                <w:rFonts w:eastAsia="Calibri"/>
                <w:sz w:val="16"/>
                <w:szCs w:val="16"/>
                <w:lang w:eastAsia="en-US"/>
              </w:rPr>
            </w:pPr>
            <w:r w:rsidRPr="00DB215C">
              <w:rPr>
                <w:rFonts w:eastAsia="Calibri"/>
                <w:sz w:val="16"/>
                <w:szCs w:val="16"/>
                <w:lang w:eastAsia="en-US"/>
              </w:rPr>
              <w:t>Banclays</w:t>
            </w:r>
          </w:p>
        </w:tc>
        <w:tc>
          <w:tcPr>
            <w:tcW w:w="993" w:type="dxa"/>
            <w:tcBorders>
              <w:top w:val="nil"/>
              <w:bottom w:val="nil"/>
            </w:tcBorders>
            <w:vAlign w:val="center"/>
          </w:tcPr>
          <w:p w14:paraId="78D76921" w14:textId="77777777" w:rsidR="00DB215C" w:rsidRPr="00DB215C" w:rsidRDefault="00DB215C" w:rsidP="00DB215C">
            <w:pPr>
              <w:jc w:val="center"/>
              <w:rPr>
                <w:rFonts w:eastAsia="Calibri"/>
                <w:sz w:val="16"/>
                <w:szCs w:val="16"/>
                <w:lang w:eastAsia="en-US"/>
              </w:rPr>
            </w:pPr>
            <w:r w:rsidRPr="00DB215C">
              <w:rPr>
                <w:rFonts w:eastAsia="Calibri"/>
                <w:sz w:val="16"/>
                <w:szCs w:val="16"/>
                <w:lang w:eastAsia="en-US"/>
              </w:rPr>
              <w:t>100</w:t>
            </w:r>
          </w:p>
        </w:tc>
        <w:tc>
          <w:tcPr>
            <w:tcW w:w="796" w:type="dxa"/>
            <w:tcBorders>
              <w:top w:val="nil"/>
              <w:bottom w:val="nil"/>
            </w:tcBorders>
            <w:shd w:val="clear" w:color="auto" w:fill="00B050"/>
            <w:vAlign w:val="center"/>
          </w:tcPr>
          <w:p w14:paraId="7AE9141E"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5AB5A9EC"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0644B9A6"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1592D2E6"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3CB180DF"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00A9B126"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08FDB2E2" w14:textId="77777777" w:rsidR="00DB215C" w:rsidRPr="00DB215C" w:rsidRDefault="00DB215C" w:rsidP="00DB215C">
            <w:pPr>
              <w:jc w:val="center"/>
              <w:rPr>
                <w:rFonts w:eastAsia="Calibri"/>
                <w:sz w:val="16"/>
                <w:szCs w:val="16"/>
                <w:lang w:eastAsia="en-US"/>
              </w:rPr>
            </w:pPr>
          </w:p>
        </w:tc>
      </w:tr>
      <w:tr w:rsidR="00DB215C" w:rsidRPr="00DB215C" w14:paraId="1FC1A887" w14:textId="77777777" w:rsidTr="00DB215C">
        <w:trPr>
          <w:jc w:val="center"/>
        </w:trPr>
        <w:tc>
          <w:tcPr>
            <w:tcW w:w="2263" w:type="dxa"/>
            <w:gridSpan w:val="2"/>
            <w:tcBorders>
              <w:top w:val="nil"/>
              <w:bottom w:val="nil"/>
            </w:tcBorders>
            <w:vAlign w:val="center"/>
          </w:tcPr>
          <w:p w14:paraId="0F900A09" w14:textId="77777777" w:rsidR="00DB215C" w:rsidRPr="00DB215C" w:rsidRDefault="00DB215C" w:rsidP="00DB215C">
            <w:pPr>
              <w:jc w:val="both"/>
              <w:rPr>
                <w:rFonts w:eastAsia="Calibri"/>
                <w:sz w:val="16"/>
                <w:szCs w:val="16"/>
                <w:lang w:eastAsia="en-US"/>
              </w:rPr>
            </w:pPr>
            <w:r w:rsidRPr="00DB215C">
              <w:rPr>
                <w:rFonts w:eastAsia="Calibri"/>
                <w:sz w:val="16"/>
                <w:szCs w:val="16"/>
                <w:lang w:eastAsia="en-US"/>
              </w:rPr>
              <w:t>BBVA Bancomer</w:t>
            </w:r>
          </w:p>
        </w:tc>
        <w:tc>
          <w:tcPr>
            <w:tcW w:w="993" w:type="dxa"/>
            <w:tcBorders>
              <w:top w:val="nil"/>
              <w:bottom w:val="nil"/>
            </w:tcBorders>
            <w:vAlign w:val="center"/>
          </w:tcPr>
          <w:p w14:paraId="23DDB4C7" w14:textId="77777777" w:rsidR="00DB215C" w:rsidRPr="00DB215C" w:rsidRDefault="00DB215C" w:rsidP="00DB215C">
            <w:pPr>
              <w:jc w:val="center"/>
              <w:rPr>
                <w:rFonts w:eastAsia="Calibri"/>
                <w:sz w:val="16"/>
                <w:szCs w:val="16"/>
                <w:lang w:eastAsia="en-US"/>
              </w:rPr>
            </w:pPr>
            <w:r w:rsidRPr="00DB215C">
              <w:rPr>
                <w:rFonts w:eastAsia="Calibri"/>
                <w:sz w:val="16"/>
                <w:szCs w:val="16"/>
                <w:lang w:eastAsia="en-US"/>
              </w:rPr>
              <w:t>100</w:t>
            </w:r>
          </w:p>
        </w:tc>
        <w:tc>
          <w:tcPr>
            <w:tcW w:w="796" w:type="dxa"/>
            <w:tcBorders>
              <w:top w:val="nil"/>
              <w:bottom w:val="nil"/>
            </w:tcBorders>
            <w:shd w:val="clear" w:color="auto" w:fill="00B050"/>
            <w:vAlign w:val="center"/>
          </w:tcPr>
          <w:p w14:paraId="0B6D0CA7"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718B1009"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7EF315A6"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4E928AF3"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66E959AD"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2122340A"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38333694" w14:textId="77777777" w:rsidR="00DB215C" w:rsidRPr="00DB215C" w:rsidRDefault="00DB215C" w:rsidP="00DB215C">
            <w:pPr>
              <w:jc w:val="center"/>
              <w:rPr>
                <w:rFonts w:eastAsia="Calibri"/>
                <w:sz w:val="16"/>
                <w:szCs w:val="16"/>
                <w:lang w:eastAsia="en-US"/>
              </w:rPr>
            </w:pPr>
          </w:p>
        </w:tc>
      </w:tr>
      <w:tr w:rsidR="00DB215C" w:rsidRPr="00DB215C" w14:paraId="5A4321A3" w14:textId="77777777" w:rsidTr="00DB215C">
        <w:trPr>
          <w:jc w:val="center"/>
        </w:trPr>
        <w:tc>
          <w:tcPr>
            <w:tcW w:w="2263" w:type="dxa"/>
            <w:gridSpan w:val="2"/>
            <w:tcBorders>
              <w:top w:val="nil"/>
              <w:bottom w:val="nil"/>
            </w:tcBorders>
            <w:vAlign w:val="center"/>
          </w:tcPr>
          <w:p w14:paraId="636B17EF" w14:textId="77777777" w:rsidR="00DB215C" w:rsidRPr="00DB215C" w:rsidRDefault="00DB215C" w:rsidP="00DB215C">
            <w:pPr>
              <w:jc w:val="both"/>
              <w:rPr>
                <w:rFonts w:eastAsia="Calibri"/>
                <w:sz w:val="16"/>
                <w:szCs w:val="16"/>
                <w:lang w:eastAsia="en-US"/>
              </w:rPr>
            </w:pPr>
            <w:r w:rsidRPr="00DB215C">
              <w:rPr>
                <w:rFonts w:eastAsia="Calibri"/>
                <w:sz w:val="16"/>
                <w:szCs w:val="16"/>
                <w:lang w:eastAsia="en-US"/>
              </w:rPr>
              <w:t>CIBanco</w:t>
            </w:r>
          </w:p>
        </w:tc>
        <w:tc>
          <w:tcPr>
            <w:tcW w:w="993" w:type="dxa"/>
            <w:tcBorders>
              <w:top w:val="nil"/>
              <w:bottom w:val="nil"/>
            </w:tcBorders>
            <w:vAlign w:val="center"/>
          </w:tcPr>
          <w:p w14:paraId="1E822450" w14:textId="77777777" w:rsidR="00DB215C" w:rsidRPr="00DB215C" w:rsidRDefault="00DB215C" w:rsidP="00DB215C">
            <w:pPr>
              <w:jc w:val="center"/>
              <w:rPr>
                <w:rFonts w:eastAsia="Calibri"/>
                <w:sz w:val="16"/>
                <w:szCs w:val="16"/>
                <w:lang w:eastAsia="en-US"/>
              </w:rPr>
            </w:pPr>
            <w:r w:rsidRPr="00DB215C">
              <w:rPr>
                <w:rFonts w:eastAsia="Calibri"/>
                <w:sz w:val="16"/>
                <w:szCs w:val="16"/>
                <w:lang w:eastAsia="en-US"/>
              </w:rPr>
              <w:t>100</w:t>
            </w:r>
          </w:p>
        </w:tc>
        <w:tc>
          <w:tcPr>
            <w:tcW w:w="796" w:type="dxa"/>
            <w:tcBorders>
              <w:top w:val="nil"/>
              <w:bottom w:val="nil"/>
            </w:tcBorders>
            <w:shd w:val="clear" w:color="auto" w:fill="00B050"/>
            <w:vAlign w:val="center"/>
          </w:tcPr>
          <w:p w14:paraId="01B7C78A"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026EAEA3"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6B2E4ADA"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69FA8167"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4A433A7D"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1027A0BC"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5B4DFF2C" w14:textId="77777777" w:rsidR="00DB215C" w:rsidRPr="00DB215C" w:rsidRDefault="00DB215C" w:rsidP="00DB215C">
            <w:pPr>
              <w:jc w:val="center"/>
              <w:rPr>
                <w:rFonts w:eastAsia="Calibri"/>
                <w:sz w:val="16"/>
                <w:szCs w:val="16"/>
                <w:lang w:eastAsia="en-US"/>
              </w:rPr>
            </w:pPr>
          </w:p>
        </w:tc>
      </w:tr>
      <w:tr w:rsidR="00DB215C" w:rsidRPr="00DB215C" w14:paraId="707F926D" w14:textId="77777777" w:rsidTr="00DB215C">
        <w:trPr>
          <w:jc w:val="center"/>
        </w:trPr>
        <w:tc>
          <w:tcPr>
            <w:tcW w:w="2263" w:type="dxa"/>
            <w:gridSpan w:val="2"/>
            <w:tcBorders>
              <w:top w:val="nil"/>
              <w:bottom w:val="nil"/>
            </w:tcBorders>
            <w:vAlign w:val="center"/>
          </w:tcPr>
          <w:p w14:paraId="5C6E3E35" w14:textId="5515CD2D" w:rsidR="00DB215C" w:rsidRPr="00DB215C" w:rsidRDefault="00DB215C" w:rsidP="00DB215C">
            <w:pPr>
              <w:jc w:val="both"/>
              <w:rPr>
                <w:rFonts w:eastAsia="Calibri"/>
                <w:sz w:val="16"/>
                <w:szCs w:val="16"/>
                <w:lang w:eastAsia="en-US"/>
              </w:rPr>
            </w:pPr>
            <w:r w:rsidRPr="00DB215C">
              <w:rPr>
                <w:rFonts w:eastAsia="Calibri"/>
                <w:sz w:val="16"/>
                <w:szCs w:val="16"/>
                <w:lang w:eastAsia="en-US"/>
              </w:rPr>
              <w:t>Compartamos</w:t>
            </w:r>
          </w:p>
        </w:tc>
        <w:tc>
          <w:tcPr>
            <w:tcW w:w="993" w:type="dxa"/>
            <w:tcBorders>
              <w:top w:val="nil"/>
              <w:bottom w:val="nil"/>
            </w:tcBorders>
            <w:vAlign w:val="center"/>
          </w:tcPr>
          <w:p w14:paraId="0C5568D9" w14:textId="77777777" w:rsidR="00DB215C" w:rsidRPr="00DB215C" w:rsidRDefault="00DB215C" w:rsidP="00DB215C">
            <w:pPr>
              <w:jc w:val="center"/>
              <w:rPr>
                <w:rFonts w:eastAsia="Calibri"/>
                <w:sz w:val="16"/>
                <w:szCs w:val="16"/>
                <w:lang w:eastAsia="en-US"/>
              </w:rPr>
            </w:pPr>
            <w:r w:rsidRPr="00DB215C">
              <w:rPr>
                <w:rFonts w:eastAsia="Calibri"/>
                <w:sz w:val="16"/>
                <w:szCs w:val="16"/>
                <w:lang w:eastAsia="en-US"/>
              </w:rPr>
              <w:t>100</w:t>
            </w:r>
          </w:p>
        </w:tc>
        <w:tc>
          <w:tcPr>
            <w:tcW w:w="796" w:type="dxa"/>
            <w:tcBorders>
              <w:top w:val="nil"/>
              <w:bottom w:val="nil"/>
            </w:tcBorders>
            <w:shd w:val="clear" w:color="auto" w:fill="00B050"/>
            <w:vAlign w:val="center"/>
          </w:tcPr>
          <w:p w14:paraId="43A40E65"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07C91010"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4779E159"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29C6DB44"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4CD68191"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5C35648D"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075F5D01" w14:textId="77777777" w:rsidR="00DB215C" w:rsidRPr="00DB215C" w:rsidRDefault="00DB215C" w:rsidP="00DB215C">
            <w:pPr>
              <w:jc w:val="center"/>
              <w:rPr>
                <w:rFonts w:eastAsia="Calibri"/>
                <w:sz w:val="16"/>
                <w:szCs w:val="16"/>
                <w:lang w:eastAsia="en-US"/>
              </w:rPr>
            </w:pPr>
          </w:p>
        </w:tc>
      </w:tr>
      <w:tr w:rsidR="00DB215C" w:rsidRPr="00DB215C" w14:paraId="18A6EB7A" w14:textId="77777777" w:rsidTr="00DB215C">
        <w:trPr>
          <w:jc w:val="center"/>
        </w:trPr>
        <w:tc>
          <w:tcPr>
            <w:tcW w:w="2263" w:type="dxa"/>
            <w:gridSpan w:val="2"/>
            <w:tcBorders>
              <w:top w:val="nil"/>
              <w:bottom w:val="nil"/>
            </w:tcBorders>
            <w:vAlign w:val="center"/>
          </w:tcPr>
          <w:p w14:paraId="69216019" w14:textId="3BE782E5" w:rsidR="00DB215C" w:rsidRPr="00DB215C" w:rsidRDefault="00DB215C" w:rsidP="00DB215C">
            <w:pPr>
              <w:jc w:val="both"/>
              <w:rPr>
                <w:rFonts w:eastAsia="Calibri"/>
                <w:sz w:val="16"/>
                <w:szCs w:val="16"/>
                <w:lang w:eastAsia="en-US"/>
              </w:rPr>
            </w:pPr>
            <w:r w:rsidRPr="00DB215C">
              <w:rPr>
                <w:rFonts w:eastAsia="Calibri"/>
                <w:sz w:val="16"/>
                <w:szCs w:val="16"/>
                <w:lang w:eastAsia="en-US"/>
              </w:rPr>
              <w:t>Consubanco</w:t>
            </w:r>
          </w:p>
        </w:tc>
        <w:tc>
          <w:tcPr>
            <w:tcW w:w="993" w:type="dxa"/>
            <w:tcBorders>
              <w:top w:val="nil"/>
              <w:bottom w:val="nil"/>
            </w:tcBorders>
            <w:vAlign w:val="center"/>
          </w:tcPr>
          <w:p w14:paraId="40708CB4" w14:textId="77777777" w:rsidR="00DB215C" w:rsidRPr="00DB215C" w:rsidRDefault="00DB215C" w:rsidP="00DB215C">
            <w:pPr>
              <w:jc w:val="center"/>
              <w:rPr>
                <w:rFonts w:eastAsia="Calibri"/>
                <w:sz w:val="16"/>
                <w:szCs w:val="16"/>
                <w:lang w:eastAsia="en-US"/>
              </w:rPr>
            </w:pPr>
            <w:r w:rsidRPr="00DB215C">
              <w:rPr>
                <w:rFonts w:eastAsia="Calibri"/>
                <w:sz w:val="16"/>
                <w:szCs w:val="16"/>
                <w:lang w:eastAsia="en-US"/>
              </w:rPr>
              <w:t>95</w:t>
            </w:r>
          </w:p>
        </w:tc>
        <w:tc>
          <w:tcPr>
            <w:tcW w:w="796" w:type="dxa"/>
            <w:tcBorders>
              <w:top w:val="nil"/>
              <w:bottom w:val="nil"/>
            </w:tcBorders>
            <w:shd w:val="clear" w:color="auto" w:fill="FFFF00"/>
            <w:vAlign w:val="center"/>
          </w:tcPr>
          <w:p w14:paraId="38D2A544"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041AED4F"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180EADBE"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062C14CA"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642636CA"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2910C012"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02A54078" w14:textId="77777777" w:rsidR="00DB215C" w:rsidRPr="00DB215C" w:rsidRDefault="00DB215C" w:rsidP="00DB215C">
            <w:pPr>
              <w:jc w:val="center"/>
              <w:rPr>
                <w:rFonts w:eastAsia="Calibri"/>
                <w:sz w:val="16"/>
                <w:szCs w:val="16"/>
                <w:lang w:eastAsia="en-US"/>
              </w:rPr>
            </w:pPr>
          </w:p>
        </w:tc>
      </w:tr>
      <w:tr w:rsidR="00DB215C" w:rsidRPr="00DB215C" w14:paraId="17951304" w14:textId="77777777" w:rsidTr="00DB215C">
        <w:trPr>
          <w:jc w:val="center"/>
        </w:trPr>
        <w:tc>
          <w:tcPr>
            <w:tcW w:w="2263" w:type="dxa"/>
            <w:gridSpan w:val="2"/>
            <w:tcBorders>
              <w:top w:val="nil"/>
              <w:bottom w:val="nil"/>
            </w:tcBorders>
            <w:vAlign w:val="center"/>
          </w:tcPr>
          <w:p w14:paraId="56A45D6B" w14:textId="137D369C" w:rsidR="00DB215C" w:rsidRPr="00DB215C" w:rsidRDefault="00DB215C" w:rsidP="00DB215C">
            <w:pPr>
              <w:jc w:val="both"/>
              <w:rPr>
                <w:rFonts w:eastAsia="Calibri"/>
                <w:sz w:val="16"/>
                <w:szCs w:val="16"/>
                <w:lang w:eastAsia="en-US"/>
              </w:rPr>
            </w:pPr>
            <w:r w:rsidRPr="00DB215C">
              <w:rPr>
                <w:rFonts w:eastAsia="Calibri"/>
                <w:sz w:val="16"/>
                <w:szCs w:val="16"/>
                <w:lang w:eastAsia="en-US"/>
              </w:rPr>
              <w:t>Deutsche Bank</w:t>
            </w:r>
          </w:p>
        </w:tc>
        <w:tc>
          <w:tcPr>
            <w:tcW w:w="993" w:type="dxa"/>
            <w:tcBorders>
              <w:top w:val="nil"/>
              <w:bottom w:val="nil"/>
            </w:tcBorders>
            <w:vAlign w:val="center"/>
          </w:tcPr>
          <w:p w14:paraId="7AA0C841" w14:textId="77777777" w:rsidR="00DB215C" w:rsidRPr="00DB215C" w:rsidRDefault="00DB215C" w:rsidP="00DB215C">
            <w:pPr>
              <w:jc w:val="center"/>
              <w:rPr>
                <w:rFonts w:eastAsia="Calibri"/>
                <w:sz w:val="16"/>
                <w:szCs w:val="16"/>
                <w:lang w:eastAsia="en-US"/>
              </w:rPr>
            </w:pPr>
            <w:r w:rsidRPr="00DB215C">
              <w:rPr>
                <w:rFonts w:eastAsia="Calibri"/>
                <w:sz w:val="16"/>
                <w:szCs w:val="16"/>
                <w:lang w:eastAsia="en-US"/>
              </w:rPr>
              <w:t>100</w:t>
            </w:r>
          </w:p>
        </w:tc>
        <w:tc>
          <w:tcPr>
            <w:tcW w:w="796" w:type="dxa"/>
            <w:tcBorders>
              <w:top w:val="nil"/>
              <w:bottom w:val="nil"/>
            </w:tcBorders>
            <w:shd w:val="clear" w:color="auto" w:fill="00B050"/>
            <w:vAlign w:val="center"/>
          </w:tcPr>
          <w:p w14:paraId="052F6585"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06565532"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390F0348"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0FFDA9C4"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1166780F"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23187F3D"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7DD60BF1" w14:textId="77777777" w:rsidR="00DB215C" w:rsidRPr="00DB215C" w:rsidRDefault="00DB215C" w:rsidP="00DB215C">
            <w:pPr>
              <w:jc w:val="center"/>
              <w:rPr>
                <w:rFonts w:eastAsia="Calibri"/>
                <w:sz w:val="16"/>
                <w:szCs w:val="16"/>
                <w:lang w:eastAsia="en-US"/>
              </w:rPr>
            </w:pPr>
          </w:p>
        </w:tc>
      </w:tr>
      <w:tr w:rsidR="00DB215C" w:rsidRPr="00DB215C" w14:paraId="16EBBEFB" w14:textId="77777777" w:rsidTr="00DB215C">
        <w:trPr>
          <w:jc w:val="center"/>
        </w:trPr>
        <w:tc>
          <w:tcPr>
            <w:tcW w:w="2263" w:type="dxa"/>
            <w:gridSpan w:val="2"/>
            <w:tcBorders>
              <w:top w:val="nil"/>
              <w:bottom w:val="nil"/>
            </w:tcBorders>
            <w:vAlign w:val="center"/>
          </w:tcPr>
          <w:p w14:paraId="4D073AAC" w14:textId="0334E606" w:rsidR="00DB215C" w:rsidRPr="00DB215C" w:rsidRDefault="00DB215C" w:rsidP="00DB215C">
            <w:pPr>
              <w:jc w:val="both"/>
              <w:rPr>
                <w:rFonts w:eastAsia="Calibri"/>
                <w:sz w:val="16"/>
                <w:szCs w:val="16"/>
                <w:lang w:eastAsia="en-US"/>
              </w:rPr>
            </w:pPr>
            <w:r w:rsidRPr="00DB215C">
              <w:rPr>
                <w:rFonts w:eastAsia="Calibri"/>
                <w:sz w:val="16"/>
                <w:szCs w:val="16"/>
                <w:lang w:eastAsia="en-US"/>
              </w:rPr>
              <w:t>Dondé Banco</w:t>
            </w:r>
          </w:p>
        </w:tc>
        <w:tc>
          <w:tcPr>
            <w:tcW w:w="993" w:type="dxa"/>
            <w:tcBorders>
              <w:top w:val="nil"/>
              <w:bottom w:val="nil"/>
            </w:tcBorders>
            <w:vAlign w:val="center"/>
          </w:tcPr>
          <w:p w14:paraId="2962B77F" w14:textId="77777777" w:rsidR="00DB215C" w:rsidRPr="00DB215C" w:rsidRDefault="00DB215C" w:rsidP="00DB215C">
            <w:pPr>
              <w:jc w:val="center"/>
              <w:rPr>
                <w:rFonts w:eastAsia="Calibri"/>
                <w:sz w:val="16"/>
                <w:szCs w:val="16"/>
                <w:lang w:eastAsia="en-US"/>
              </w:rPr>
            </w:pPr>
            <w:r w:rsidRPr="00DB215C">
              <w:rPr>
                <w:rFonts w:eastAsia="Calibri"/>
                <w:sz w:val="16"/>
                <w:szCs w:val="16"/>
                <w:lang w:eastAsia="en-US"/>
              </w:rPr>
              <w:t>100</w:t>
            </w:r>
          </w:p>
        </w:tc>
        <w:tc>
          <w:tcPr>
            <w:tcW w:w="796" w:type="dxa"/>
            <w:tcBorders>
              <w:top w:val="nil"/>
              <w:bottom w:val="nil"/>
            </w:tcBorders>
            <w:shd w:val="clear" w:color="auto" w:fill="00B050"/>
            <w:vAlign w:val="center"/>
          </w:tcPr>
          <w:p w14:paraId="4B2642E6"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15E16180"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02662D37"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24E155EC"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73AA0863"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5D10C403"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673C7F47" w14:textId="77777777" w:rsidR="00DB215C" w:rsidRPr="00DB215C" w:rsidRDefault="00DB215C" w:rsidP="00DB215C">
            <w:pPr>
              <w:jc w:val="center"/>
              <w:rPr>
                <w:rFonts w:eastAsia="Calibri"/>
                <w:sz w:val="16"/>
                <w:szCs w:val="16"/>
                <w:lang w:eastAsia="en-US"/>
              </w:rPr>
            </w:pPr>
          </w:p>
        </w:tc>
      </w:tr>
      <w:tr w:rsidR="00DB215C" w:rsidRPr="00DB215C" w14:paraId="354D339F" w14:textId="77777777" w:rsidTr="00DB215C">
        <w:trPr>
          <w:jc w:val="center"/>
        </w:trPr>
        <w:tc>
          <w:tcPr>
            <w:tcW w:w="2263" w:type="dxa"/>
            <w:gridSpan w:val="2"/>
            <w:tcBorders>
              <w:top w:val="nil"/>
              <w:bottom w:val="nil"/>
            </w:tcBorders>
            <w:vAlign w:val="center"/>
          </w:tcPr>
          <w:p w14:paraId="6D0A6425" w14:textId="4752E952" w:rsidR="00DB215C" w:rsidRPr="00DB215C" w:rsidRDefault="00DB215C" w:rsidP="00DB215C">
            <w:pPr>
              <w:jc w:val="both"/>
              <w:rPr>
                <w:rFonts w:eastAsia="Calibri"/>
                <w:sz w:val="16"/>
                <w:szCs w:val="16"/>
                <w:lang w:eastAsia="en-US"/>
              </w:rPr>
            </w:pPr>
            <w:r w:rsidRPr="00DB215C">
              <w:rPr>
                <w:rFonts w:eastAsia="Calibri"/>
                <w:sz w:val="16"/>
                <w:szCs w:val="16"/>
                <w:lang w:eastAsia="en-US"/>
              </w:rPr>
              <w:t>Forjadores</w:t>
            </w:r>
          </w:p>
        </w:tc>
        <w:tc>
          <w:tcPr>
            <w:tcW w:w="993" w:type="dxa"/>
            <w:tcBorders>
              <w:top w:val="nil"/>
              <w:bottom w:val="nil"/>
            </w:tcBorders>
            <w:vAlign w:val="center"/>
          </w:tcPr>
          <w:p w14:paraId="42B0CBCA" w14:textId="77777777" w:rsidR="00DB215C" w:rsidRPr="00DB215C" w:rsidRDefault="00DB215C" w:rsidP="00DB215C">
            <w:pPr>
              <w:jc w:val="center"/>
              <w:rPr>
                <w:rFonts w:eastAsia="Calibri"/>
                <w:sz w:val="16"/>
                <w:szCs w:val="16"/>
                <w:lang w:eastAsia="en-US"/>
              </w:rPr>
            </w:pPr>
            <w:r w:rsidRPr="00DB215C">
              <w:rPr>
                <w:rFonts w:eastAsia="Calibri"/>
                <w:sz w:val="16"/>
                <w:szCs w:val="16"/>
                <w:lang w:eastAsia="en-US"/>
              </w:rPr>
              <w:t>100</w:t>
            </w:r>
          </w:p>
        </w:tc>
        <w:tc>
          <w:tcPr>
            <w:tcW w:w="796" w:type="dxa"/>
            <w:tcBorders>
              <w:top w:val="nil"/>
              <w:bottom w:val="nil"/>
            </w:tcBorders>
            <w:shd w:val="clear" w:color="auto" w:fill="FFFF00"/>
            <w:vAlign w:val="center"/>
          </w:tcPr>
          <w:p w14:paraId="1386D10A"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360E1924"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55E74FDF"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25EFF707"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01E4994B"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39D98C3E"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69E5F0A1" w14:textId="77777777" w:rsidR="00DB215C" w:rsidRPr="00DB215C" w:rsidRDefault="00DB215C" w:rsidP="00DB215C">
            <w:pPr>
              <w:jc w:val="center"/>
              <w:rPr>
                <w:rFonts w:eastAsia="Calibri"/>
                <w:sz w:val="16"/>
                <w:szCs w:val="16"/>
                <w:lang w:eastAsia="en-US"/>
              </w:rPr>
            </w:pPr>
          </w:p>
        </w:tc>
      </w:tr>
      <w:tr w:rsidR="00DB215C" w:rsidRPr="00DB215C" w14:paraId="74DECD61" w14:textId="77777777" w:rsidTr="00DB215C">
        <w:trPr>
          <w:jc w:val="center"/>
        </w:trPr>
        <w:tc>
          <w:tcPr>
            <w:tcW w:w="2263" w:type="dxa"/>
            <w:gridSpan w:val="2"/>
            <w:tcBorders>
              <w:top w:val="nil"/>
              <w:bottom w:val="nil"/>
            </w:tcBorders>
            <w:vAlign w:val="center"/>
          </w:tcPr>
          <w:p w14:paraId="6DC21A26" w14:textId="65CB02DD" w:rsidR="00DB215C" w:rsidRPr="00DB215C" w:rsidRDefault="00DB215C" w:rsidP="00DB215C">
            <w:pPr>
              <w:jc w:val="both"/>
              <w:rPr>
                <w:rFonts w:eastAsia="Calibri"/>
                <w:sz w:val="16"/>
                <w:szCs w:val="16"/>
                <w:lang w:eastAsia="en-US"/>
              </w:rPr>
            </w:pPr>
            <w:r w:rsidRPr="00DB215C">
              <w:rPr>
                <w:rFonts w:eastAsia="Calibri"/>
                <w:sz w:val="16"/>
                <w:szCs w:val="16"/>
                <w:lang w:eastAsia="en-US"/>
              </w:rPr>
              <w:t>HSBC</w:t>
            </w:r>
          </w:p>
        </w:tc>
        <w:tc>
          <w:tcPr>
            <w:tcW w:w="993" w:type="dxa"/>
            <w:tcBorders>
              <w:top w:val="nil"/>
              <w:bottom w:val="nil"/>
            </w:tcBorders>
            <w:vAlign w:val="center"/>
          </w:tcPr>
          <w:p w14:paraId="4A721745" w14:textId="77777777" w:rsidR="00DB215C" w:rsidRPr="00DB215C" w:rsidRDefault="00DB215C" w:rsidP="00DB215C">
            <w:pPr>
              <w:jc w:val="center"/>
              <w:rPr>
                <w:rFonts w:eastAsia="Calibri"/>
                <w:sz w:val="16"/>
                <w:szCs w:val="16"/>
                <w:lang w:eastAsia="en-US"/>
              </w:rPr>
            </w:pPr>
            <w:r w:rsidRPr="00DB215C">
              <w:rPr>
                <w:rFonts w:eastAsia="Calibri"/>
                <w:sz w:val="16"/>
                <w:szCs w:val="16"/>
                <w:lang w:eastAsia="en-US"/>
              </w:rPr>
              <w:t>100</w:t>
            </w:r>
          </w:p>
        </w:tc>
        <w:tc>
          <w:tcPr>
            <w:tcW w:w="796" w:type="dxa"/>
            <w:tcBorders>
              <w:top w:val="nil"/>
              <w:bottom w:val="nil"/>
            </w:tcBorders>
            <w:shd w:val="clear" w:color="auto" w:fill="FFFF00"/>
            <w:vAlign w:val="center"/>
          </w:tcPr>
          <w:p w14:paraId="15F38876"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3AC6DAE7"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79C8A70E"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FF0000"/>
            <w:vAlign w:val="center"/>
          </w:tcPr>
          <w:p w14:paraId="21BDCDCE"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FFFF00"/>
            <w:vAlign w:val="center"/>
          </w:tcPr>
          <w:p w14:paraId="098D2C49"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07E894D6"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00A27E95" w14:textId="77777777" w:rsidR="00DB215C" w:rsidRPr="00DB215C" w:rsidRDefault="00DB215C" w:rsidP="00DB215C">
            <w:pPr>
              <w:jc w:val="center"/>
              <w:rPr>
                <w:rFonts w:eastAsia="Calibri"/>
                <w:sz w:val="16"/>
                <w:szCs w:val="16"/>
                <w:lang w:eastAsia="en-US"/>
              </w:rPr>
            </w:pPr>
          </w:p>
        </w:tc>
      </w:tr>
      <w:tr w:rsidR="00DB215C" w:rsidRPr="00DB215C" w14:paraId="78292841" w14:textId="77777777" w:rsidTr="00DB215C">
        <w:trPr>
          <w:jc w:val="center"/>
        </w:trPr>
        <w:tc>
          <w:tcPr>
            <w:tcW w:w="2263" w:type="dxa"/>
            <w:gridSpan w:val="2"/>
            <w:tcBorders>
              <w:top w:val="nil"/>
              <w:bottom w:val="nil"/>
            </w:tcBorders>
            <w:vAlign w:val="center"/>
          </w:tcPr>
          <w:p w14:paraId="2279E55F" w14:textId="0D2A4AD1" w:rsidR="00DB215C" w:rsidRPr="00DB215C" w:rsidRDefault="00DB215C" w:rsidP="00DB215C">
            <w:pPr>
              <w:jc w:val="both"/>
              <w:rPr>
                <w:rFonts w:eastAsia="Calibri"/>
                <w:sz w:val="16"/>
                <w:szCs w:val="16"/>
                <w:lang w:eastAsia="en-US"/>
              </w:rPr>
            </w:pPr>
            <w:r w:rsidRPr="00DB215C">
              <w:rPr>
                <w:rFonts w:eastAsia="Calibri"/>
                <w:sz w:val="16"/>
                <w:szCs w:val="16"/>
                <w:lang w:eastAsia="en-US"/>
              </w:rPr>
              <w:t>Inbursa</w:t>
            </w:r>
          </w:p>
        </w:tc>
        <w:tc>
          <w:tcPr>
            <w:tcW w:w="993" w:type="dxa"/>
            <w:tcBorders>
              <w:top w:val="nil"/>
              <w:bottom w:val="nil"/>
            </w:tcBorders>
            <w:vAlign w:val="center"/>
          </w:tcPr>
          <w:p w14:paraId="39613884" w14:textId="77777777" w:rsidR="00DB215C" w:rsidRPr="00DB215C" w:rsidRDefault="00DB215C" w:rsidP="00DB215C">
            <w:pPr>
              <w:jc w:val="center"/>
              <w:rPr>
                <w:rFonts w:eastAsia="Calibri"/>
                <w:sz w:val="16"/>
                <w:szCs w:val="16"/>
                <w:lang w:eastAsia="en-US"/>
              </w:rPr>
            </w:pPr>
            <w:r w:rsidRPr="00DB215C">
              <w:rPr>
                <w:rFonts w:eastAsia="Calibri"/>
                <w:sz w:val="16"/>
                <w:szCs w:val="16"/>
                <w:lang w:eastAsia="en-US"/>
              </w:rPr>
              <w:t>100</w:t>
            </w:r>
          </w:p>
        </w:tc>
        <w:tc>
          <w:tcPr>
            <w:tcW w:w="796" w:type="dxa"/>
            <w:tcBorders>
              <w:top w:val="nil"/>
              <w:bottom w:val="nil"/>
            </w:tcBorders>
            <w:shd w:val="clear" w:color="auto" w:fill="FFFF00"/>
            <w:vAlign w:val="center"/>
          </w:tcPr>
          <w:p w14:paraId="61C1F2F9"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68931E2F"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6EF9E835"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044E321E"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46E55BED"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68046152"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FF0000"/>
            <w:vAlign w:val="center"/>
          </w:tcPr>
          <w:p w14:paraId="0B1678E9" w14:textId="77777777" w:rsidR="00DB215C" w:rsidRPr="00DB215C" w:rsidRDefault="00DB215C" w:rsidP="00DB215C">
            <w:pPr>
              <w:jc w:val="center"/>
              <w:rPr>
                <w:rFonts w:eastAsia="Calibri"/>
                <w:sz w:val="16"/>
                <w:szCs w:val="16"/>
                <w:lang w:eastAsia="en-US"/>
              </w:rPr>
            </w:pPr>
          </w:p>
        </w:tc>
      </w:tr>
      <w:tr w:rsidR="00DB215C" w:rsidRPr="00DB215C" w14:paraId="53965E15" w14:textId="77777777" w:rsidTr="00DB215C">
        <w:trPr>
          <w:jc w:val="center"/>
        </w:trPr>
        <w:tc>
          <w:tcPr>
            <w:tcW w:w="2263" w:type="dxa"/>
            <w:gridSpan w:val="2"/>
            <w:tcBorders>
              <w:top w:val="nil"/>
              <w:bottom w:val="nil"/>
            </w:tcBorders>
            <w:vAlign w:val="center"/>
          </w:tcPr>
          <w:p w14:paraId="5DFA4CDB" w14:textId="38589ADD" w:rsidR="00DB215C" w:rsidRPr="00DB215C" w:rsidRDefault="00DB215C" w:rsidP="00DB215C">
            <w:pPr>
              <w:jc w:val="both"/>
              <w:rPr>
                <w:rFonts w:eastAsia="Calibri"/>
                <w:sz w:val="16"/>
                <w:szCs w:val="16"/>
                <w:lang w:eastAsia="en-US"/>
              </w:rPr>
            </w:pPr>
            <w:r w:rsidRPr="00DB215C">
              <w:rPr>
                <w:rFonts w:eastAsia="Calibri"/>
                <w:sz w:val="16"/>
                <w:szCs w:val="16"/>
                <w:lang w:eastAsia="en-US"/>
              </w:rPr>
              <w:t>Inmobiliario Mexicano</w:t>
            </w:r>
          </w:p>
        </w:tc>
        <w:tc>
          <w:tcPr>
            <w:tcW w:w="993" w:type="dxa"/>
            <w:tcBorders>
              <w:top w:val="nil"/>
              <w:bottom w:val="nil"/>
            </w:tcBorders>
            <w:vAlign w:val="center"/>
          </w:tcPr>
          <w:p w14:paraId="66636884" w14:textId="77777777" w:rsidR="00DB215C" w:rsidRPr="00DB215C" w:rsidRDefault="00DB215C" w:rsidP="00DB215C">
            <w:pPr>
              <w:jc w:val="center"/>
              <w:rPr>
                <w:rFonts w:eastAsia="Calibri"/>
                <w:sz w:val="16"/>
                <w:szCs w:val="16"/>
                <w:lang w:eastAsia="en-US"/>
              </w:rPr>
            </w:pPr>
            <w:r w:rsidRPr="00DB215C">
              <w:rPr>
                <w:rFonts w:eastAsia="Calibri"/>
                <w:sz w:val="16"/>
                <w:szCs w:val="16"/>
                <w:lang w:eastAsia="en-US"/>
              </w:rPr>
              <w:t>100</w:t>
            </w:r>
          </w:p>
        </w:tc>
        <w:tc>
          <w:tcPr>
            <w:tcW w:w="796" w:type="dxa"/>
            <w:tcBorders>
              <w:top w:val="nil"/>
              <w:bottom w:val="nil"/>
            </w:tcBorders>
            <w:shd w:val="clear" w:color="auto" w:fill="00B050"/>
            <w:vAlign w:val="center"/>
          </w:tcPr>
          <w:p w14:paraId="0EAD6C91"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2E2ABDA2"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38B9CA37"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4A8F7C11"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7D977B14"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3759A57A"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052E12DD" w14:textId="77777777" w:rsidR="00DB215C" w:rsidRPr="00DB215C" w:rsidRDefault="00DB215C" w:rsidP="00DB215C">
            <w:pPr>
              <w:jc w:val="center"/>
              <w:rPr>
                <w:rFonts w:eastAsia="Calibri"/>
                <w:sz w:val="16"/>
                <w:szCs w:val="16"/>
                <w:lang w:eastAsia="en-US"/>
              </w:rPr>
            </w:pPr>
          </w:p>
        </w:tc>
      </w:tr>
      <w:tr w:rsidR="00DB215C" w:rsidRPr="00DB215C" w14:paraId="6CAF37E5" w14:textId="77777777" w:rsidTr="00DB215C">
        <w:trPr>
          <w:jc w:val="center"/>
        </w:trPr>
        <w:tc>
          <w:tcPr>
            <w:tcW w:w="2263" w:type="dxa"/>
            <w:gridSpan w:val="2"/>
            <w:tcBorders>
              <w:top w:val="nil"/>
              <w:bottom w:val="nil"/>
            </w:tcBorders>
            <w:vAlign w:val="center"/>
          </w:tcPr>
          <w:p w14:paraId="4AA43581" w14:textId="7382BFA2" w:rsidR="00DB215C" w:rsidRPr="00DB215C" w:rsidRDefault="00DB215C" w:rsidP="00DB215C">
            <w:pPr>
              <w:jc w:val="both"/>
              <w:rPr>
                <w:rFonts w:eastAsia="Calibri"/>
                <w:sz w:val="16"/>
                <w:szCs w:val="16"/>
                <w:lang w:eastAsia="en-US"/>
              </w:rPr>
            </w:pPr>
            <w:r w:rsidRPr="00DB215C">
              <w:rPr>
                <w:rFonts w:eastAsia="Calibri"/>
                <w:sz w:val="16"/>
                <w:szCs w:val="16"/>
                <w:lang w:eastAsia="en-US"/>
              </w:rPr>
              <w:t>Interacciones</w:t>
            </w:r>
          </w:p>
        </w:tc>
        <w:tc>
          <w:tcPr>
            <w:tcW w:w="993" w:type="dxa"/>
            <w:tcBorders>
              <w:top w:val="nil"/>
              <w:bottom w:val="nil"/>
            </w:tcBorders>
            <w:vAlign w:val="center"/>
          </w:tcPr>
          <w:p w14:paraId="18A56298" w14:textId="77777777" w:rsidR="00DB215C" w:rsidRPr="00DB215C" w:rsidRDefault="00DB215C" w:rsidP="00DB215C">
            <w:pPr>
              <w:jc w:val="center"/>
              <w:rPr>
                <w:rFonts w:eastAsia="Calibri"/>
                <w:sz w:val="16"/>
                <w:szCs w:val="16"/>
                <w:lang w:eastAsia="en-US"/>
              </w:rPr>
            </w:pPr>
            <w:r w:rsidRPr="00DB215C">
              <w:rPr>
                <w:rFonts w:eastAsia="Calibri"/>
                <w:sz w:val="16"/>
                <w:szCs w:val="16"/>
                <w:lang w:eastAsia="en-US"/>
              </w:rPr>
              <w:t>100</w:t>
            </w:r>
          </w:p>
        </w:tc>
        <w:tc>
          <w:tcPr>
            <w:tcW w:w="796" w:type="dxa"/>
            <w:tcBorders>
              <w:top w:val="nil"/>
              <w:bottom w:val="nil"/>
            </w:tcBorders>
            <w:shd w:val="clear" w:color="auto" w:fill="00B050"/>
            <w:vAlign w:val="center"/>
          </w:tcPr>
          <w:p w14:paraId="1BC414B2"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4C5AC256"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50DE36A2"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77E2B313"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4EFCD204"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5411D5DE"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4B468D80" w14:textId="77777777" w:rsidR="00DB215C" w:rsidRPr="00DB215C" w:rsidRDefault="00DB215C" w:rsidP="00DB215C">
            <w:pPr>
              <w:jc w:val="center"/>
              <w:rPr>
                <w:rFonts w:eastAsia="Calibri"/>
                <w:sz w:val="16"/>
                <w:szCs w:val="16"/>
                <w:lang w:eastAsia="en-US"/>
              </w:rPr>
            </w:pPr>
          </w:p>
        </w:tc>
      </w:tr>
      <w:tr w:rsidR="00DB215C" w:rsidRPr="00DB215C" w14:paraId="7CECF4BF" w14:textId="77777777" w:rsidTr="00DB215C">
        <w:trPr>
          <w:jc w:val="center"/>
        </w:trPr>
        <w:tc>
          <w:tcPr>
            <w:tcW w:w="2263" w:type="dxa"/>
            <w:gridSpan w:val="2"/>
            <w:tcBorders>
              <w:top w:val="nil"/>
              <w:bottom w:val="nil"/>
            </w:tcBorders>
            <w:vAlign w:val="center"/>
          </w:tcPr>
          <w:p w14:paraId="19004893" w14:textId="017B80DA" w:rsidR="00DB215C" w:rsidRPr="00DB215C" w:rsidRDefault="00DB215C" w:rsidP="00DB215C">
            <w:pPr>
              <w:jc w:val="both"/>
              <w:rPr>
                <w:rFonts w:eastAsia="Calibri"/>
                <w:sz w:val="16"/>
                <w:szCs w:val="16"/>
                <w:lang w:eastAsia="en-US"/>
              </w:rPr>
            </w:pPr>
            <w:r w:rsidRPr="00DB215C">
              <w:rPr>
                <w:rFonts w:eastAsia="Calibri"/>
                <w:sz w:val="16"/>
                <w:szCs w:val="16"/>
                <w:lang w:eastAsia="en-US"/>
              </w:rPr>
              <w:t>Intercam Banco</w:t>
            </w:r>
          </w:p>
        </w:tc>
        <w:tc>
          <w:tcPr>
            <w:tcW w:w="993" w:type="dxa"/>
            <w:tcBorders>
              <w:top w:val="nil"/>
              <w:bottom w:val="nil"/>
            </w:tcBorders>
            <w:vAlign w:val="center"/>
          </w:tcPr>
          <w:p w14:paraId="3AECF6F6" w14:textId="77777777" w:rsidR="00DB215C" w:rsidRPr="00DB215C" w:rsidRDefault="00DB215C" w:rsidP="00DB215C">
            <w:pPr>
              <w:jc w:val="center"/>
              <w:rPr>
                <w:rFonts w:eastAsia="Calibri"/>
                <w:sz w:val="16"/>
                <w:szCs w:val="16"/>
                <w:lang w:eastAsia="en-US"/>
              </w:rPr>
            </w:pPr>
            <w:r w:rsidRPr="00DB215C">
              <w:rPr>
                <w:rFonts w:eastAsia="Calibri"/>
                <w:sz w:val="16"/>
                <w:szCs w:val="16"/>
                <w:lang w:eastAsia="en-US"/>
              </w:rPr>
              <w:t>95</w:t>
            </w:r>
          </w:p>
        </w:tc>
        <w:tc>
          <w:tcPr>
            <w:tcW w:w="796" w:type="dxa"/>
            <w:tcBorders>
              <w:top w:val="nil"/>
              <w:bottom w:val="nil"/>
            </w:tcBorders>
            <w:shd w:val="clear" w:color="auto" w:fill="00B050"/>
            <w:vAlign w:val="center"/>
          </w:tcPr>
          <w:p w14:paraId="2FCB00C1"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19E8A73C"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0D646857"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60038647"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0243463C"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69EA299C"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574B4041" w14:textId="77777777" w:rsidR="00DB215C" w:rsidRPr="00DB215C" w:rsidRDefault="00DB215C" w:rsidP="00DB215C">
            <w:pPr>
              <w:jc w:val="center"/>
              <w:rPr>
                <w:rFonts w:eastAsia="Calibri"/>
                <w:sz w:val="16"/>
                <w:szCs w:val="16"/>
                <w:lang w:eastAsia="en-US"/>
              </w:rPr>
            </w:pPr>
          </w:p>
        </w:tc>
      </w:tr>
      <w:tr w:rsidR="00DB215C" w:rsidRPr="00DB215C" w14:paraId="4B885B4C" w14:textId="77777777" w:rsidTr="00DB215C">
        <w:trPr>
          <w:jc w:val="center"/>
        </w:trPr>
        <w:tc>
          <w:tcPr>
            <w:tcW w:w="2263" w:type="dxa"/>
            <w:gridSpan w:val="2"/>
            <w:tcBorders>
              <w:top w:val="nil"/>
              <w:bottom w:val="nil"/>
            </w:tcBorders>
            <w:vAlign w:val="center"/>
          </w:tcPr>
          <w:p w14:paraId="29763C3F" w14:textId="60705D75" w:rsidR="00DB215C" w:rsidRPr="00DB215C" w:rsidRDefault="00DB215C" w:rsidP="00DB215C">
            <w:pPr>
              <w:jc w:val="both"/>
              <w:rPr>
                <w:rFonts w:eastAsia="Calibri"/>
                <w:sz w:val="16"/>
                <w:szCs w:val="16"/>
                <w:lang w:eastAsia="en-US"/>
              </w:rPr>
            </w:pPr>
            <w:r w:rsidRPr="00DB215C">
              <w:rPr>
                <w:rFonts w:eastAsia="Calibri"/>
                <w:sz w:val="16"/>
                <w:szCs w:val="16"/>
                <w:lang w:eastAsia="en-US"/>
              </w:rPr>
              <w:t>Investa Bank</w:t>
            </w:r>
          </w:p>
        </w:tc>
        <w:tc>
          <w:tcPr>
            <w:tcW w:w="993" w:type="dxa"/>
            <w:tcBorders>
              <w:top w:val="nil"/>
              <w:bottom w:val="nil"/>
            </w:tcBorders>
            <w:vAlign w:val="center"/>
          </w:tcPr>
          <w:p w14:paraId="37F21647" w14:textId="77777777" w:rsidR="00DB215C" w:rsidRPr="00DB215C" w:rsidRDefault="00DB215C" w:rsidP="00DB215C">
            <w:pPr>
              <w:jc w:val="center"/>
              <w:rPr>
                <w:rFonts w:eastAsia="Calibri"/>
                <w:sz w:val="16"/>
                <w:szCs w:val="16"/>
                <w:lang w:eastAsia="en-US"/>
              </w:rPr>
            </w:pPr>
            <w:r w:rsidRPr="00DB215C">
              <w:rPr>
                <w:rFonts w:eastAsia="Calibri"/>
                <w:sz w:val="16"/>
                <w:szCs w:val="16"/>
                <w:lang w:eastAsia="en-US"/>
              </w:rPr>
              <w:t>100</w:t>
            </w:r>
          </w:p>
        </w:tc>
        <w:tc>
          <w:tcPr>
            <w:tcW w:w="796" w:type="dxa"/>
            <w:tcBorders>
              <w:top w:val="nil"/>
              <w:bottom w:val="nil"/>
            </w:tcBorders>
            <w:shd w:val="clear" w:color="auto" w:fill="FFFF00"/>
            <w:vAlign w:val="center"/>
          </w:tcPr>
          <w:p w14:paraId="5D4D7004"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7ECF3B91"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6F2D1C04"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3098A67D"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6B37C593"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55A39322"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7F506D91" w14:textId="77777777" w:rsidR="00DB215C" w:rsidRPr="00DB215C" w:rsidRDefault="00DB215C" w:rsidP="00DB215C">
            <w:pPr>
              <w:jc w:val="center"/>
              <w:rPr>
                <w:rFonts w:eastAsia="Calibri"/>
                <w:sz w:val="16"/>
                <w:szCs w:val="16"/>
                <w:lang w:eastAsia="en-US"/>
              </w:rPr>
            </w:pPr>
          </w:p>
        </w:tc>
      </w:tr>
      <w:tr w:rsidR="00DB215C" w:rsidRPr="00DB215C" w14:paraId="545749AE" w14:textId="77777777" w:rsidTr="00DB215C">
        <w:trPr>
          <w:jc w:val="center"/>
        </w:trPr>
        <w:tc>
          <w:tcPr>
            <w:tcW w:w="2263" w:type="dxa"/>
            <w:gridSpan w:val="2"/>
            <w:tcBorders>
              <w:top w:val="nil"/>
              <w:bottom w:val="nil"/>
            </w:tcBorders>
            <w:vAlign w:val="center"/>
          </w:tcPr>
          <w:p w14:paraId="492343C2" w14:textId="41AFAB4D" w:rsidR="00DB215C" w:rsidRPr="00DB215C" w:rsidRDefault="00DB215C" w:rsidP="00DB215C">
            <w:pPr>
              <w:jc w:val="both"/>
              <w:rPr>
                <w:rFonts w:eastAsia="Calibri"/>
                <w:sz w:val="16"/>
                <w:szCs w:val="16"/>
                <w:lang w:eastAsia="en-US"/>
              </w:rPr>
            </w:pPr>
            <w:r w:rsidRPr="00DB215C">
              <w:rPr>
                <w:rFonts w:eastAsia="Calibri"/>
                <w:sz w:val="16"/>
                <w:szCs w:val="16"/>
                <w:lang w:eastAsia="en-US"/>
              </w:rPr>
              <w:t>Invex</w:t>
            </w:r>
          </w:p>
        </w:tc>
        <w:tc>
          <w:tcPr>
            <w:tcW w:w="993" w:type="dxa"/>
            <w:tcBorders>
              <w:top w:val="nil"/>
              <w:bottom w:val="nil"/>
            </w:tcBorders>
            <w:vAlign w:val="center"/>
          </w:tcPr>
          <w:p w14:paraId="68EB3873" w14:textId="77777777" w:rsidR="00DB215C" w:rsidRPr="00DB215C" w:rsidRDefault="00DB215C" w:rsidP="00DB215C">
            <w:pPr>
              <w:jc w:val="center"/>
              <w:rPr>
                <w:rFonts w:eastAsia="Calibri"/>
                <w:sz w:val="16"/>
                <w:szCs w:val="16"/>
                <w:lang w:eastAsia="en-US"/>
              </w:rPr>
            </w:pPr>
            <w:r w:rsidRPr="00DB215C">
              <w:rPr>
                <w:rFonts w:eastAsia="Calibri"/>
                <w:sz w:val="16"/>
                <w:szCs w:val="16"/>
                <w:lang w:eastAsia="en-US"/>
              </w:rPr>
              <w:t>100</w:t>
            </w:r>
          </w:p>
        </w:tc>
        <w:tc>
          <w:tcPr>
            <w:tcW w:w="796" w:type="dxa"/>
            <w:tcBorders>
              <w:top w:val="nil"/>
              <w:bottom w:val="nil"/>
            </w:tcBorders>
            <w:shd w:val="clear" w:color="auto" w:fill="FFFF00"/>
            <w:vAlign w:val="center"/>
          </w:tcPr>
          <w:p w14:paraId="22E17EDA"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FFFF00"/>
            <w:vAlign w:val="center"/>
          </w:tcPr>
          <w:p w14:paraId="3FCC3A53"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18E666C9"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5A01DE52"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14BADD90"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5FD294C2"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2CA1C034" w14:textId="77777777" w:rsidR="00DB215C" w:rsidRPr="00DB215C" w:rsidRDefault="00DB215C" w:rsidP="00DB215C">
            <w:pPr>
              <w:jc w:val="center"/>
              <w:rPr>
                <w:rFonts w:eastAsia="Calibri"/>
                <w:sz w:val="16"/>
                <w:szCs w:val="16"/>
                <w:lang w:eastAsia="en-US"/>
              </w:rPr>
            </w:pPr>
          </w:p>
        </w:tc>
      </w:tr>
      <w:tr w:rsidR="00DB215C" w:rsidRPr="00DB215C" w14:paraId="1DB89952" w14:textId="77777777" w:rsidTr="00DB215C">
        <w:trPr>
          <w:jc w:val="center"/>
        </w:trPr>
        <w:tc>
          <w:tcPr>
            <w:tcW w:w="2263" w:type="dxa"/>
            <w:gridSpan w:val="2"/>
            <w:tcBorders>
              <w:top w:val="nil"/>
              <w:bottom w:val="nil"/>
            </w:tcBorders>
            <w:vAlign w:val="center"/>
          </w:tcPr>
          <w:p w14:paraId="33B27A4B" w14:textId="3C56C4F7" w:rsidR="00DB215C" w:rsidRPr="00DB215C" w:rsidRDefault="00DB215C" w:rsidP="00DB215C">
            <w:pPr>
              <w:jc w:val="both"/>
              <w:rPr>
                <w:rFonts w:eastAsia="Calibri"/>
                <w:sz w:val="16"/>
                <w:szCs w:val="16"/>
                <w:lang w:eastAsia="en-US"/>
              </w:rPr>
            </w:pPr>
            <w:r w:rsidRPr="00DB215C">
              <w:rPr>
                <w:rFonts w:eastAsia="Calibri"/>
                <w:sz w:val="16"/>
                <w:szCs w:val="16"/>
                <w:lang w:eastAsia="en-US"/>
              </w:rPr>
              <w:t>JP Morgan</w:t>
            </w:r>
          </w:p>
        </w:tc>
        <w:tc>
          <w:tcPr>
            <w:tcW w:w="993" w:type="dxa"/>
            <w:tcBorders>
              <w:top w:val="nil"/>
              <w:bottom w:val="nil"/>
            </w:tcBorders>
            <w:vAlign w:val="center"/>
          </w:tcPr>
          <w:p w14:paraId="610A602B" w14:textId="77777777" w:rsidR="00DB215C" w:rsidRPr="00DB215C" w:rsidRDefault="00DB215C" w:rsidP="00DB215C">
            <w:pPr>
              <w:jc w:val="center"/>
              <w:rPr>
                <w:rFonts w:eastAsia="Calibri"/>
                <w:sz w:val="16"/>
                <w:szCs w:val="16"/>
                <w:lang w:eastAsia="en-US"/>
              </w:rPr>
            </w:pPr>
            <w:r w:rsidRPr="00DB215C">
              <w:rPr>
                <w:rFonts w:eastAsia="Calibri"/>
                <w:sz w:val="16"/>
                <w:szCs w:val="16"/>
                <w:lang w:eastAsia="en-US"/>
              </w:rPr>
              <w:t>95</w:t>
            </w:r>
          </w:p>
        </w:tc>
        <w:tc>
          <w:tcPr>
            <w:tcW w:w="796" w:type="dxa"/>
            <w:tcBorders>
              <w:top w:val="nil"/>
              <w:bottom w:val="nil"/>
            </w:tcBorders>
            <w:shd w:val="clear" w:color="auto" w:fill="FFFF00"/>
            <w:vAlign w:val="center"/>
          </w:tcPr>
          <w:p w14:paraId="6618320D"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FF0000"/>
            <w:vAlign w:val="center"/>
          </w:tcPr>
          <w:p w14:paraId="49451428"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7A2330E6"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3317D6C0"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34964C82"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0501D904"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32EF345D" w14:textId="77777777" w:rsidR="00DB215C" w:rsidRPr="00DB215C" w:rsidRDefault="00DB215C" w:rsidP="00DB215C">
            <w:pPr>
              <w:jc w:val="center"/>
              <w:rPr>
                <w:rFonts w:eastAsia="Calibri"/>
                <w:sz w:val="16"/>
                <w:szCs w:val="16"/>
                <w:lang w:eastAsia="en-US"/>
              </w:rPr>
            </w:pPr>
          </w:p>
        </w:tc>
      </w:tr>
      <w:tr w:rsidR="00DB215C" w:rsidRPr="00DB215C" w14:paraId="3E7DA30C" w14:textId="77777777" w:rsidTr="00DB215C">
        <w:trPr>
          <w:jc w:val="center"/>
        </w:trPr>
        <w:tc>
          <w:tcPr>
            <w:tcW w:w="2263" w:type="dxa"/>
            <w:gridSpan w:val="2"/>
            <w:tcBorders>
              <w:top w:val="nil"/>
              <w:bottom w:val="nil"/>
            </w:tcBorders>
            <w:vAlign w:val="center"/>
          </w:tcPr>
          <w:p w14:paraId="4DDEA7D8" w14:textId="48D90F33" w:rsidR="00DB215C" w:rsidRPr="00DB215C" w:rsidRDefault="00DB215C" w:rsidP="00DB215C">
            <w:pPr>
              <w:jc w:val="both"/>
              <w:rPr>
                <w:rFonts w:eastAsia="Calibri"/>
                <w:sz w:val="16"/>
                <w:szCs w:val="16"/>
                <w:lang w:eastAsia="en-US"/>
              </w:rPr>
            </w:pPr>
            <w:r w:rsidRPr="00DB215C">
              <w:rPr>
                <w:rFonts w:eastAsia="Calibri"/>
                <w:sz w:val="16"/>
                <w:szCs w:val="16"/>
                <w:lang w:eastAsia="en-US"/>
              </w:rPr>
              <w:t>Monex</w:t>
            </w:r>
          </w:p>
        </w:tc>
        <w:tc>
          <w:tcPr>
            <w:tcW w:w="993" w:type="dxa"/>
            <w:tcBorders>
              <w:top w:val="nil"/>
              <w:bottom w:val="nil"/>
            </w:tcBorders>
            <w:vAlign w:val="center"/>
          </w:tcPr>
          <w:p w14:paraId="71D9E720" w14:textId="77777777" w:rsidR="00DB215C" w:rsidRPr="00DB215C" w:rsidRDefault="00DB215C" w:rsidP="00DB215C">
            <w:pPr>
              <w:jc w:val="center"/>
              <w:rPr>
                <w:rFonts w:eastAsia="Calibri"/>
                <w:sz w:val="16"/>
                <w:szCs w:val="16"/>
                <w:lang w:eastAsia="en-US"/>
              </w:rPr>
            </w:pPr>
            <w:r w:rsidRPr="00DB215C">
              <w:rPr>
                <w:rFonts w:eastAsia="Calibri"/>
                <w:sz w:val="16"/>
                <w:szCs w:val="16"/>
                <w:lang w:eastAsia="en-US"/>
              </w:rPr>
              <w:t>100</w:t>
            </w:r>
          </w:p>
        </w:tc>
        <w:tc>
          <w:tcPr>
            <w:tcW w:w="796" w:type="dxa"/>
            <w:tcBorders>
              <w:top w:val="nil"/>
              <w:bottom w:val="nil"/>
            </w:tcBorders>
            <w:shd w:val="clear" w:color="auto" w:fill="00B050"/>
            <w:vAlign w:val="center"/>
          </w:tcPr>
          <w:p w14:paraId="4F84B8C6"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31B17167"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7F583E5A"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775CFCE6"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455F0DA6"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6A9B6A26"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674433A1" w14:textId="77777777" w:rsidR="00DB215C" w:rsidRPr="00DB215C" w:rsidRDefault="00DB215C" w:rsidP="00DB215C">
            <w:pPr>
              <w:jc w:val="center"/>
              <w:rPr>
                <w:rFonts w:eastAsia="Calibri"/>
                <w:sz w:val="16"/>
                <w:szCs w:val="16"/>
                <w:lang w:eastAsia="en-US"/>
              </w:rPr>
            </w:pPr>
          </w:p>
        </w:tc>
      </w:tr>
      <w:tr w:rsidR="00DB215C" w:rsidRPr="00DB215C" w14:paraId="407F9129" w14:textId="77777777" w:rsidTr="00DB215C">
        <w:trPr>
          <w:jc w:val="center"/>
        </w:trPr>
        <w:tc>
          <w:tcPr>
            <w:tcW w:w="2263" w:type="dxa"/>
            <w:gridSpan w:val="2"/>
            <w:tcBorders>
              <w:top w:val="nil"/>
              <w:bottom w:val="nil"/>
            </w:tcBorders>
            <w:vAlign w:val="center"/>
          </w:tcPr>
          <w:p w14:paraId="74E4CAFD" w14:textId="7FBD3233" w:rsidR="00DB215C" w:rsidRPr="00DB215C" w:rsidRDefault="00DB215C" w:rsidP="00DB215C">
            <w:pPr>
              <w:jc w:val="both"/>
              <w:rPr>
                <w:rFonts w:eastAsia="Calibri"/>
                <w:sz w:val="16"/>
                <w:szCs w:val="16"/>
                <w:lang w:eastAsia="en-US"/>
              </w:rPr>
            </w:pPr>
            <w:r w:rsidRPr="00DB215C">
              <w:rPr>
                <w:rFonts w:eastAsia="Calibri"/>
                <w:sz w:val="16"/>
                <w:szCs w:val="16"/>
                <w:lang w:eastAsia="en-US"/>
              </w:rPr>
              <w:t>Multiva</w:t>
            </w:r>
          </w:p>
        </w:tc>
        <w:tc>
          <w:tcPr>
            <w:tcW w:w="993" w:type="dxa"/>
            <w:tcBorders>
              <w:top w:val="nil"/>
              <w:bottom w:val="nil"/>
            </w:tcBorders>
            <w:vAlign w:val="center"/>
          </w:tcPr>
          <w:p w14:paraId="084C3EA1" w14:textId="77777777" w:rsidR="00DB215C" w:rsidRPr="00DB215C" w:rsidRDefault="00DB215C" w:rsidP="00DB215C">
            <w:pPr>
              <w:jc w:val="center"/>
              <w:rPr>
                <w:rFonts w:eastAsia="Calibri"/>
                <w:sz w:val="16"/>
                <w:szCs w:val="16"/>
                <w:lang w:eastAsia="en-US"/>
              </w:rPr>
            </w:pPr>
            <w:r w:rsidRPr="00DB215C">
              <w:rPr>
                <w:rFonts w:eastAsia="Calibri"/>
                <w:sz w:val="16"/>
                <w:szCs w:val="16"/>
                <w:lang w:eastAsia="en-US"/>
              </w:rPr>
              <w:t>100</w:t>
            </w:r>
          </w:p>
        </w:tc>
        <w:tc>
          <w:tcPr>
            <w:tcW w:w="796" w:type="dxa"/>
            <w:tcBorders>
              <w:top w:val="nil"/>
              <w:bottom w:val="nil"/>
            </w:tcBorders>
            <w:shd w:val="clear" w:color="auto" w:fill="00B050"/>
            <w:vAlign w:val="center"/>
          </w:tcPr>
          <w:p w14:paraId="700B5D8F"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7F112431"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4FA665B5"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3D98BEF9"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27E337B7"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52DD387A"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0BCC87BA" w14:textId="77777777" w:rsidR="00DB215C" w:rsidRPr="00DB215C" w:rsidRDefault="00DB215C" w:rsidP="00DB215C">
            <w:pPr>
              <w:jc w:val="center"/>
              <w:rPr>
                <w:rFonts w:eastAsia="Calibri"/>
                <w:sz w:val="16"/>
                <w:szCs w:val="16"/>
                <w:lang w:eastAsia="en-US"/>
              </w:rPr>
            </w:pPr>
          </w:p>
        </w:tc>
      </w:tr>
      <w:tr w:rsidR="00DB215C" w:rsidRPr="00DB215C" w14:paraId="53B061B3" w14:textId="77777777" w:rsidTr="00DB215C">
        <w:trPr>
          <w:jc w:val="center"/>
        </w:trPr>
        <w:tc>
          <w:tcPr>
            <w:tcW w:w="2263" w:type="dxa"/>
            <w:gridSpan w:val="2"/>
            <w:tcBorders>
              <w:top w:val="nil"/>
              <w:bottom w:val="nil"/>
            </w:tcBorders>
            <w:vAlign w:val="center"/>
          </w:tcPr>
          <w:p w14:paraId="78F09A46" w14:textId="492417E1" w:rsidR="00DB215C" w:rsidRPr="00DB215C" w:rsidRDefault="00DB215C" w:rsidP="00DB215C">
            <w:pPr>
              <w:jc w:val="both"/>
              <w:rPr>
                <w:rFonts w:eastAsia="Calibri"/>
                <w:sz w:val="16"/>
                <w:szCs w:val="16"/>
                <w:lang w:eastAsia="en-US"/>
              </w:rPr>
            </w:pPr>
            <w:r w:rsidRPr="00DB215C">
              <w:rPr>
                <w:rFonts w:eastAsia="Calibri"/>
                <w:sz w:val="16"/>
                <w:szCs w:val="16"/>
                <w:lang w:eastAsia="en-US"/>
              </w:rPr>
              <w:t>Pagatodo</w:t>
            </w:r>
          </w:p>
        </w:tc>
        <w:tc>
          <w:tcPr>
            <w:tcW w:w="993" w:type="dxa"/>
            <w:tcBorders>
              <w:top w:val="nil"/>
              <w:bottom w:val="nil"/>
            </w:tcBorders>
            <w:vAlign w:val="center"/>
          </w:tcPr>
          <w:p w14:paraId="415B5B1A" w14:textId="77777777" w:rsidR="00DB215C" w:rsidRPr="00DB215C" w:rsidRDefault="00DB215C" w:rsidP="00DB215C">
            <w:pPr>
              <w:jc w:val="center"/>
              <w:rPr>
                <w:rFonts w:eastAsia="Calibri"/>
                <w:sz w:val="16"/>
                <w:szCs w:val="16"/>
                <w:lang w:eastAsia="en-US"/>
              </w:rPr>
            </w:pPr>
            <w:r w:rsidRPr="00DB215C">
              <w:rPr>
                <w:rFonts w:eastAsia="Calibri"/>
                <w:sz w:val="16"/>
                <w:szCs w:val="16"/>
                <w:lang w:eastAsia="en-US"/>
              </w:rPr>
              <w:t>100</w:t>
            </w:r>
          </w:p>
        </w:tc>
        <w:tc>
          <w:tcPr>
            <w:tcW w:w="796" w:type="dxa"/>
            <w:tcBorders>
              <w:top w:val="nil"/>
              <w:bottom w:val="nil"/>
            </w:tcBorders>
            <w:shd w:val="clear" w:color="auto" w:fill="00B050"/>
            <w:vAlign w:val="center"/>
          </w:tcPr>
          <w:p w14:paraId="68C2CF08"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148D56E7"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0D4B8C1A"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264A6D0E"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104680FD"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7BCF27A6"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5530FEEB" w14:textId="77777777" w:rsidR="00DB215C" w:rsidRPr="00DB215C" w:rsidRDefault="00DB215C" w:rsidP="00DB215C">
            <w:pPr>
              <w:jc w:val="center"/>
              <w:rPr>
                <w:rFonts w:eastAsia="Calibri"/>
                <w:sz w:val="16"/>
                <w:szCs w:val="16"/>
                <w:lang w:eastAsia="en-US"/>
              </w:rPr>
            </w:pPr>
          </w:p>
        </w:tc>
      </w:tr>
      <w:tr w:rsidR="00DB215C" w:rsidRPr="00DB215C" w14:paraId="33E2E228" w14:textId="77777777" w:rsidTr="00DB215C">
        <w:trPr>
          <w:jc w:val="center"/>
        </w:trPr>
        <w:tc>
          <w:tcPr>
            <w:tcW w:w="2263" w:type="dxa"/>
            <w:gridSpan w:val="2"/>
            <w:tcBorders>
              <w:top w:val="nil"/>
              <w:bottom w:val="nil"/>
            </w:tcBorders>
            <w:vAlign w:val="center"/>
          </w:tcPr>
          <w:p w14:paraId="30A0F22F" w14:textId="6E1BFB82" w:rsidR="00DB215C" w:rsidRPr="00DB215C" w:rsidRDefault="00DB215C" w:rsidP="00DB215C">
            <w:pPr>
              <w:jc w:val="both"/>
              <w:rPr>
                <w:rFonts w:eastAsia="Calibri"/>
                <w:sz w:val="16"/>
                <w:szCs w:val="16"/>
                <w:lang w:eastAsia="en-US"/>
              </w:rPr>
            </w:pPr>
            <w:r w:rsidRPr="00DB215C">
              <w:rPr>
                <w:rFonts w:eastAsia="Calibri"/>
                <w:sz w:val="16"/>
                <w:szCs w:val="16"/>
                <w:lang w:eastAsia="en-US"/>
              </w:rPr>
              <w:t>Santander</w:t>
            </w:r>
          </w:p>
        </w:tc>
        <w:tc>
          <w:tcPr>
            <w:tcW w:w="993" w:type="dxa"/>
            <w:tcBorders>
              <w:top w:val="nil"/>
              <w:bottom w:val="nil"/>
            </w:tcBorders>
            <w:vAlign w:val="center"/>
          </w:tcPr>
          <w:p w14:paraId="2977CCF8" w14:textId="77777777" w:rsidR="00DB215C" w:rsidRPr="00DB215C" w:rsidRDefault="00DB215C" w:rsidP="00DB215C">
            <w:pPr>
              <w:jc w:val="center"/>
              <w:rPr>
                <w:rFonts w:eastAsia="Calibri"/>
                <w:sz w:val="16"/>
                <w:szCs w:val="16"/>
                <w:lang w:eastAsia="en-US"/>
              </w:rPr>
            </w:pPr>
            <w:r w:rsidRPr="00DB215C">
              <w:rPr>
                <w:rFonts w:eastAsia="Calibri"/>
                <w:sz w:val="16"/>
                <w:szCs w:val="16"/>
                <w:lang w:eastAsia="en-US"/>
              </w:rPr>
              <w:t>100</w:t>
            </w:r>
          </w:p>
        </w:tc>
        <w:tc>
          <w:tcPr>
            <w:tcW w:w="796" w:type="dxa"/>
            <w:tcBorders>
              <w:top w:val="nil"/>
              <w:bottom w:val="nil"/>
            </w:tcBorders>
            <w:shd w:val="clear" w:color="auto" w:fill="00B050"/>
            <w:vAlign w:val="center"/>
          </w:tcPr>
          <w:p w14:paraId="73FEFC0A"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18180372"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6C48F0F9"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45516204"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5E29FA1C"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0B6CE907"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6C3477C0" w14:textId="77777777" w:rsidR="00DB215C" w:rsidRPr="00DB215C" w:rsidRDefault="00DB215C" w:rsidP="00DB215C">
            <w:pPr>
              <w:jc w:val="center"/>
              <w:rPr>
                <w:rFonts w:eastAsia="Calibri"/>
                <w:sz w:val="16"/>
                <w:szCs w:val="16"/>
                <w:lang w:eastAsia="en-US"/>
              </w:rPr>
            </w:pPr>
          </w:p>
        </w:tc>
      </w:tr>
      <w:tr w:rsidR="00DB215C" w:rsidRPr="00DB215C" w14:paraId="36217E18" w14:textId="77777777" w:rsidTr="00DB215C">
        <w:trPr>
          <w:jc w:val="center"/>
        </w:trPr>
        <w:tc>
          <w:tcPr>
            <w:tcW w:w="2263" w:type="dxa"/>
            <w:gridSpan w:val="2"/>
            <w:tcBorders>
              <w:top w:val="nil"/>
              <w:bottom w:val="nil"/>
            </w:tcBorders>
            <w:vAlign w:val="center"/>
          </w:tcPr>
          <w:p w14:paraId="220AF778" w14:textId="0F53218C" w:rsidR="00DB215C" w:rsidRPr="00DB215C" w:rsidRDefault="00DB215C" w:rsidP="00DB215C">
            <w:pPr>
              <w:jc w:val="both"/>
              <w:rPr>
                <w:rFonts w:eastAsia="Calibri"/>
                <w:sz w:val="16"/>
                <w:szCs w:val="16"/>
                <w:lang w:eastAsia="en-US"/>
              </w:rPr>
            </w:pPr>
            <w:r w:rsidRPr="00DB215C">
              <w:rPr>
                <w:rFonts w:eastAsia="Calibri"/>
                <w:sz w:val="16"/>
                <w:szCs w:val="16"/>
                <w:lang w:eastAsia="en-US"/>
              </w:rPr>
              <w:t>Scotiabank</w:t>
            </w:r>
          </w:p>
        </w:tc>
        <w:tc>
          <w:tcPr>
            <w:tcW w:w="993" w:type="dxa"/>
            <w:tcBorders>
              <w:top w:val="nil"/>
              <w:bottom w:val="nil"/>
            </w:tcBorders>
            <w:vAlign w:val="center"/>
          </w:tcPr>
          <w:p w14:paraId="19C46F64" w14:textId="77777777" w:rsidR="00DB215C" w:rsidRPr="00DB215C" w:rsidRDefault="00DB215C" w:rsidP="00DB215C">
            <w:pPr>
              <w:jc w:val="center"/>
              <w:rPr>
                <w:rFonts w:eastAsia="Calibri"/>
                <w:sz w:val="16"/>
                <w:szCs w:val="16"/>
                <w:lang w:eastAsia="en-US"/>
              </w:rPr>
            </w:pPr>
            <w:r w:rsidRPr="00DB215C">
              <w:rPr>
                <w:rFonts w:eastAsia="Calibri"/>
                <w:sz w:val="16"/>
                <w:szCs w:val="16"/>
                <w:lang w:eastAsia="en-US"/>
              </w:rPr>
              <w:t>100</w:t>
            </w:r>
          </w:p>
        </w:tc>
        <w:tc>
          <w:tcPr>
            <w:tcW w:w="796" w:type="dxa"/>
            <w:tcBorders>
              <w:top w:val="nil"/>
              <w:bottom w:val="nil"/>
            </w:tcBorders>
            <w:shd w:val="clear" w:color="auto" w:fill="00B050"/>
            <w:vAlign w:val="center"/>
          </w:tcPr>
          <w:p w14:paraId="1FF21D08"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26507D3F"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FF0000"/>
            <w:vAlign w:val="center"/>
          </w:tcPr>
          <w:p w14:paraId="78E19C58"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FF0000"/>
            <w:vAlign w:val="center"/>
          </w:tcPr>
          <w:p w14:paraId="0237E099"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FF0000"/>
            <w:vAlign w:val="center"/>
          </w:tcPr>
          <w:p w14:paraId="34AFEE2D"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FF0000"/>
            <w:vAlign w:val="center"/>
          </w:tcPr>
          <w:p w14:paraId="5C510EB6"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2CAE4F35" w14:textId="77777777" w:rsidR="00DB215C" w:rsidRPr="00DB215C" w:rsidRDefault="00DB215C" w:rsidP="00DB215C">
            <w:pPr>
              <w:jc w:val="center"/>
              <w:rPr>
                <w:rFonts w:eastAsia="Calibri"/>
                <w:sz w:val="16"/>
                <w:szCs w:val="16"/>
                <w:lang w:eastAsia="en-US"/>
              </w:rPr>
            </w:pPr>
          </w:p>
        </w:tc>
      </w:tr>
      <w:tr w:rsidR="00DB215C" w:rsidRPr="00DB215C" w14:paraId="6150CAD4" w14:textId="77777777" w:rsidTr="00DB215C">
        <w:trPr>
          <w:jc w:val="center"/>
        </w:trPr>
        <w:tc>
          <w:tcPr>
            <w:tcW w:w="2263" w:type="dxa"/>
            <w:gridSpan w:val="2"/>
            <w:tcBorders>
              <w:top w:val="nil"/>
              <w:bottom w:val="nil"/>
            </w:tcBorders>
            <w:vAlign w:val="center"/>
          </w:tcPr>
          <w:p w14:paraId="3DEF3064" w14:textId="2A8F9CC6" w:rsidR="00DB215C" w:rsidRPr="00DB215C" w:rsidRDefault="00DB215C" w:rsidP="00DB215C">
            <w:pPr>
              <w:jc w:val="both"/>
              <w:rPr>
                <w:rFonts w:eastAsia="Calibri"/>
                <w:sz w:val="16"/>
                <w:szCs w:val="16"/>
                <w:lang w:eastAsia="en-US"/>
              </w:rPr>
            </w:pPr>
            <w:r w:rsidRPr="00DB215C">
              <w:rPr>
                <w:rFonts w:eastAsia="Calibri"/>
                <w:sz w:val="16"/>
                <w:szCs w:val="16"/>
                <w:lang w:eastAsia="en-US"/>
              </w:rPr>
              <w:t>UBS</w:t>
            </w:r>
          </w:p>
        </w:tc>
        <w:tc>
          <w:tcPr>
            <w:tcW w:w="993" w:type="dxa"/>
            <w:tcBorders>
              <w:top w:val="nil"/>
              <w:bottom w:val="nil"/>
            </w:tcBorders>
            <w:vAlign w:val="center"/>
          </w:tcPr>
          <w:p w14:paraId="1C2045B8" w14:textId="77777777" w:rsidR="00DB215C" w:rsidRPr="00DB215C" w:rsidRDefault="00DB215C" w:rsidP="00DB215C">
            <w:pPr>
              <w:jc w:val="center"/>
              <w:rPr>
                <w:rFonts w:eastAsia="Calibri"/>
                <w:sz w:val="16"/>
                <w:szCs w:val="16"/>
                <w:lang w:eastAsia="en-US"/>
              </w:rPr>
            </w:pPr>
            <w:r w:rsidRPr="00DB215C">
              <w:rPr>
                <w:rFonts w:eastAsia="Calibri"/>
                <w:sz w:val="16"/>
                <w:szCs w:val="16"/>
                <w:lang w:eastAsia="en-US"/>
              </w:rPr>
              <w:t>100</w:t>
            </w:r>
          </w:p>
        </w:tc>
        <w:tc>
          <w:tcPr>
            <w:tcW w:w="796" w:type="dxa"/>
            <w:tcBorders>
              <w:top w:val="nil"/>
              <w:bottom w:val="nil"/>
            </w:tcBorders>
            <w:shd w:val="clear" w:color="auto" w:fill="00B050"/>
            <w:vAlign w:val="center"/>
          </w:tcPr>
          <w:p w14:paraId="1D1F7212"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5A67E84A"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5F475139"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4E03D897"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0498ED61"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79D75184"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D9D9D9"/>
            <w:vAlign w:val="center"/>
          </w:tcPr>
          <w:p w14:paraId="545F2665" w14:textId="77777777" w:rsidR="00DB215C" w:rsidRPr="00DB215C" w:rsidRDefault="00DB215C" w:rsidP="00DB215C">
            <w:pPr>
              <w:jc w:val="center"/>
              <w:rPr>
                <w:rFonts w:eastAsia="Calibri"/>
                <w:sz w:val="16"/>
                <w:szCs w:val="16"/>
                <w:lang w:eastAsia="en-US"/>
              </w:rPr>
            </w:pPr>
          </w:p>
        </w:tc>
      </w:tr>
      <w:tr w:rsidR="00DB215C" w:rsidRPr="00DB215C" w14:paraId="57A29C91" w14:textId="77777777" w:rsidTr="00DB215C">
        <w:trPr>
          <w:jc w:val="center"/>
        </w:trPr>
        <w:tc>
          <w:tcPr>
            <w:tcW w:w="2263" w:type="dxa"/>
            <w:gridSpan w:val="2"/>
            <w:tcBorders>
              <w:top w:val="nil"/>
              <w:bottom w:val="nil"/>
            </w:tcBorders>
            <w:vAlign w:val="center"/>
          </w:tcPr>
          <w:p w14:paraId="7382148F" w14:textId="03B24B81" w:rsidR="00DB215C" w:rsidRPr="00DB215C" w:rsidRDefault="00DB215C" w:rsidP="00DB215C">
            <w:pPr>
              <w:jc w:val="both"/>
              <w:rPr>
                <w:rFonts w:eastAsia="Calibri"/>
                <w:sz w:val="16"/>
                <w:szCs w:val="16"/>
                <w:lang w:eastAsia="en-US"/>
              </w:rPr>
            </w:pPr>
            <w:r w:rsidRPr="00DB215C">
              <w:rPr>
                <w:rFonts w:eastAsia="Calibri"/>
                <w:sz w:val="16"/>
                <w:szCs w:val="16"/>
                <w:lang w:eastAsia="en-US"/>
              </w:rPr>
              <w:t>Ve por Más</w:t>
            </w:r>
          </w:p>
        </w:tc>
        <w:tc>
          <w:tcPr>
            <w:tcW w:w="993" w:type="dxa"/>
            <w:tcBorders>
              <w:top w:val="nil"/>
              <w:bottom w:val="nil"/>
            </w:tcBorders>
            <w:vAlign w:val="center"/>
          </w:tcPr>
          <w:p w14:paraId="605BA137" w14:textId="77777777" w:rsidR="00DB215C" w:rsidRPr="00DB215C" w:rsidRDefault="00DB215C" w:rsidP="00DB215C">
            <w:pPr>
              <w:jc w:val="center"/>
              <w:rPr>
                <w:rFonts w:eastAsia="Calibri"/>
                <w:sz w:val="16"/>
                <w:szCs w:val="16"/>
                <w:lang w:eastAsia="en-US"/>
              </w:rPr>
            </w:pPr>
            <w:r w:rsidRPr="00DB215C">
              <w:rPr>
                <w:rFonts w:eastAsia="Calibri"/>
                <w:sz w:val="16"/>
                <w:szCs w:val="16"/>
                <w:lang w:eastAsia="en-US"/>
              </w:rPr>
              <w:t>100</w:t>
            </w:r>
          </w:p>
        </w:tc>
        <w:tc>
          <w:tcPr>
            <w:tcW w:w="796" w:type="dxa"/>
            <w:tcBorders>
              <w:top w:val="nil"/>
              <w:bottom w:val="nil"/>
            </w:tcBorders>
            <w:shd w:val="clear" w:color="auto" w:fill="00B050"/>
            <w:vAlign w:val="center"/>
          </w:tcPr>
          <w:p w14:paraId="3644B125"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044C9D14"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0A32CA6E"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598CA059"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02F04DA1"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57DEBE0D" w14:textId="77777777" w:rsidR="00DB215C" w:rsidRPr="00DB215C" w:rsidRDefault="00DB215C" w:rsidP="00DB215C">
            <w:pPr>
              <w:jc w:val="center"/>
              <w:rPr>
                <w:rFonts w:eastAsia="Calibri"/>
                <w:sz w:val="16"/>
                <w:szCs w:val="16"/>
                <w:lang w:eastAsia="en-US"/>
              </w:rPr>
            </w:pPr>
          </w:p>
        </w:tc>
        <w:tc>
          <w:tcPr>
            <w:tcW w:w="796" w:type="dxa"/>
            <w:tcBorders>
              <w:top w:val="nil"/>
              <w:bottom w:val="nil"/>
            </w:tcBorders>
            <w:shd w:val="clear" w:color="auto" w:fill="00B050"/>
            <w:vAlign w:val="center"/>
          </w:tcPr>
          <w:p w14:paraId="172DEB25" w14:textId="77777777" w:rsidR="00DB215C" w:rsidRPr="00DB215C" w:rsidRDefault="00DB215C" w:rsidP="00DB215C">
            <w:pPr>
              <w:jc w:val="center"/>
              <w:rPr>
                <w:rFonts w:eastAsia="Calibri"/>
                <w:sz w:val="16"/>
                <w:szCs w:val="16"/>
                <w:lang w:eastAsia="en-US"/>
              </w:rPr>
            </w:pPr>
          </w:p>
        </w:tc>
      </w:tr>
      <w:tr w:rsidR="00DB215C" w:rsidRPr="00DB215C" w14:paraId="2C99FB66" w14:textId="77777777" w:rsidTr="00DB215C">
        <w:trPr>
          <w:jc w:val="center"/>
        </w:trPr>
        <w:tc>
          <w:tcPr>
            <w:tcW w:w="2263" w:type="dxa"/>
            <w:gridSpan w:val="2"/>
            <w:tcBorders>
              <w:top w:val="nil"/>
              <w:bottom w:val="single" w:sz="4" w:space="0" w:color="auto"/>
            </w:tcBorders>
            <w:vAlign w:val="center"/>
          </w:tcPr>
          <w:p w14:paraId="145D5460" w14:textId="1A5A354E" w:rsidR="00DB215C" w:rsidRPr="00DB215C" w:rsidRDefault="00DB215C" w:rsidP="00DB215C">
            <w:pPr>
              <w:spacing w:after="120"/>
              <w:jc w:val="both"/>
              <w:rPr>
                <w:rFonts w:eastAsia="Calibri"/>
                <w:sz w:val="16"/>
                <w:szCs w:val="16"/>
                <w:lang w:eastAsia="en-US"/>
              </w:rPr>
            </w:pPr>
            <w:r w:rsidRPr="00DB215C">
              <w:rPr>
                <w:rFonts w:eastAsia="Calibri"/>
                <w:sz w:val="16"/>
                <w:szCs w:val="16"/>
                <w:lang w:eastAsia="en-US"/>
              </w:rPr>
              <w:t>Volkswagen Bank</w:t>
            </w:r>
          </w:p>
        </w:tc>
        <w:tc>
          <w:tcPr>
            <w:tcW w:w="993" w:type="dxa"/>
            <w:tcBorders>
              <w:top w:val="nil"/>
              <w:bottom w:val="single" w:sz="4" w:space="0" w:color="auto"/>
            </w:tcBorders>
            <w:vAlign w:val="center"/>
          </w:tcPr>
          <w:p w14:paraId="5B7A975A" w14:textId="77777777" w:rsidR="00DB215C" w:rsidRPr="00DB215C" w:rsidRDefault="00DB215C" w:rsidP="00DB215C">
            <w:pPr>
              <w:jc w:val="center"/>
              <w:rPr>
                <w:rFonts w:eastAsia="Calibri"/>
                <w:sz w:val="16"/>
                <w:szCs w:val="16"/>
                <w:lang w:eastAsia="en-US"/>
              </w:rPr>
            </w:pPr>
            <w:r w:rsidRPr="00DB215C">
              <w:rPr>
                <w:rFonts w:eastAsia="Calibri"/>
                <w:sz w:val="16"/>
                <w:szCs w:val="16"/>
                <w:lang w:eastAsia="en-US"/>
              </w:rPr>
              <w:t>100</w:t>
            </w:r>
          </w:p>
        </w:tc>
        <w:tc>
          <w:tcPr>
            <w:tcW w:w="796" w:type="dxa"/>
            <w:tcBorders>
              <w:top w:val="nil"/>
              <w:bottom w:val="single" w:sz="4" w:space="0" w:color="auto"/>
            </w:tcBorders>
            <w:shd w:val="clear" w:color="auto" w:fill="00B050"/>
            <w:vAlign w:val="center"/>
          </w:tcPr>
          <w:p w14:paraId="090D458B" w14:textId="77777777" w:rsidR="00DB215C" w:rsidRPr="00DB215C" w:rsidRDefault="00DB215C" w:rsidP="00DB215C">
            <w:pPr>
              <w:spacing w:after="120"/>
              <w:jc w:val="center"/>
              <w:rPr>
                <w:rFonts w:eastAsia="Calibri"/>
                <w:sz w:val="16"/>
                <w:szCs w:val="16"/>
                <w:lang w:eastAsia="en-US"/>
              </w:rPr>
            </w:pPr>
          </w:p>
        </w:tc>
        <w:tc>
          <w:tcPr>
            <w:tcW w:w="796" w:type="dxa"/>
            <w:tcBorders>
              <w:top w:val="nil"/>
              <w:bottom w:val="single" w:sz="4" w:space="0" w:color="auto"/>
            </w:tcBorders>
            <w:shd w:val="clear" w:color="auto" w:fill="D9D9D9"/>
            <w:vAlign w:val="center"/>
          </w:tcPr>
          <w:p w14:paraId="5D31A3E9" w14:textId="77777777" w:rsidR="00DB215C" w:rsidRPr="00DB215C" w:rsidRDefault="00DB215C" w:rsidP="00DB215C">
            <w:pPr>
              <w:spacing w:after="120"/>
              <w:jc w:val="center"/>
              <w:rPr>
                <w:rFonts w:eastAsia="Calibri"/>
                <w:sz w:val="16"/>
                <w:szCs w:val="16"/>
                <w:lang w:eastAsia="en-US"/>
              </w:rPr>
            </w:pPr>
          </w:p>
        </w:tc>
        <w:tc>
          <w:tcPr>
            <w:tcW w:w="796" w:type="dxa"/>
            <w:tcBorders>
              <w:top w:val="nil"/>
              <w:bottom w:val="single" w:sz="4" w:space="0" w:color="auto"/>
            </w:tcBorders>
            <w:shd w:val="clear" w:color="auto" w:fill="D9D9D9"/>
            <w:vAlign w:val="center"/>
          </w:tcPr>
          <w:p w14:paraId="546A073F" w14:textId="77777777" w:rsidR="00DB215C" w:rsidRPr="00DB215C" w:rsidRDefault="00DB215C" w:rsidP="00DB215C">
            <w:pPr>
              <w:spacing w:after="120"/>
              <w:jc w:val="center"/>
              <w:rPr>
                <w:rFonts w:eastAsia="Calibri"/>
                <w:sz w:val="16"/>
                <w:szCs w:val="16"/>
                <w:lang w:eastAsia="en-US"/>
              </w:rPr>
            </w:pPr>
          </w:p>
        </w:tc>
        <w:tc>
          <w:tcPr>
            <w:tcW w:w="796" w:type="dxa"/>
            <w:tcBorders>
              <w:top w:val="nil"/>
              <w:bottom w:val="single" w:sz="4" w:space="0" w:color="auto"/>
            </w:tcBorders>
            <w:shd w:val="clear" w:color="auto" w:fill="D9D9D9"/>
            <w:vAlign w:val="center"/>
          </w:tcPr>
          <w:p w14:paraId="02A4E16B" w14:textId="77777777" w:rsidR="00DB215C" w:rsidRPr="00DB215C" w:rsidRDefault="00DB215C" w:rsidP="00DB215C">
            <w:pPr>
              <w:spacing w:after="120"/>
              <w:jc w:val="center"/>
              <w:rPr>
                <w:rFonts w:eastAsia="Calibri"/>
                <w:sz w:val="16"/>
                <w:szCs w:val="16"/>
                <w:lang w:eastAsia="en-US"/>
              </w:rPr>
            </w:pPr>
          </w:p>
        </w:tc>
        <w:tc>
          <w:tcPr>
            <w:tcW w:w="796" w:type="dxa"/>
            <w:tcBorders>
              <w:top w:val="nil"/>
              <w:bottom w:val="single" w:sz="4" w:space="0" w:color="auto"/>
            </w:tcBorders>
            <w:shd w:val="clear" w:color="auto" w:fill="D9D9D9"/>
            <w:vAlign w:val="center"/>
          </w:tcPr>
          <w:p w14:paraId="0A687E12" w14:textId="77777777" w:rsidR="00DB215C" w:rsidRPr="00DB215C" w:rsidRDefault="00DB215C" w:rsidP="00DB215C">
            <w:pPr>
              <w:spacing w:after="120"/>
              <w:jc w:val="center"/>
              <w:rPr>
                <w:rFonts w:eastAsia="Calibri"/>
                <w:sz w:val="16"/>
                <w:szCs w:val="16"/>
                <w:lang w:eastAsia="en-US"/>
              </w:rPr>
            </w:pPr>
          </w:p>
        </w:tc>
        <w:tc>
          <w:tcPr>
            <w:tcW w:w="796" w:type="dxa"/>
            <w:tcBorders>
              <w:top w:val="nil"/>
              <w:bottom w:val="single" w:sz="4" w:space="0" w:color="auto"/>
            </w:tcBorders>
            <w:shd w:val="clear" w:color="auto" w:fill="D9D9D9"/>
            <w:vAlign w:val="center"/>
          </w:tcPr>
          <w:p w14:paraId="65B934DB" w14:textId="77777777" w:rsidR="00DB215C" w:rsidRPr="00DB215C" w:rsidRDefault="00DB215C" w:rsidP="00DB215C">
            <w:pPr>
              <w:spacing w:after="120"/>
              <w:jc w:val="center"/>
              <w:rPr>
                <w:rFonts w:eastAsia="Calibri"/>
                <w:sz w:val="16"/>
                <w:szCs w:val="16"/>
                <w:lang w:eastAsia="en-US"/>
              </w:rPr>
            </w:pPr>
          </w:p>
        </w:tc>
        <w:tc>
          <w:tcPr>
            <w:tcW w:w="796" w:type="dxa"/>
            <w:tcBorders>
              <w:top w:val="nil"/>
              <w:bottom w:val="single" w:sz="4" w:space="0" w:color="auto"/>
            </w:tcBorders>
            <w:shd w:val="clear" w:color="auto" w:fill="D9D9D9"/>
            <w:vAlign w:val="center"/>
          </w:tcPr>
          <w:p w14:paraId="0D2DAEDD" w14:textId="77777777" w:rsidR="00DB215C" w:rsidRPr="00DB215C" w:rsidRDefault="00DB215C" w:rsidP="00DB215C">
            <w:pPr>
              <w:spacing w:after="120"/>
              <w:jc w:val="center"/>
              <w:rPr>
                <w:rFonts w:eastAsia="Calibri"/>
                <w:sz w:val="16"/>
                <w:szCs w:val="16"/>
                <w:lang w:eastAsia="en-US"/>
              </w:rPr>
            </w:pPr>
          </w:p>
        </w:tc>
      </w:tr>
      <w:tr w:rsidR="00DB215C" w:rsidRPr="00DB215C" w14:paraId="74C908F3" w14:textId="77777777" w:rsidTr="00DB215C">
        <w:trPr>
          <w:jc w:val="center"/>
        </w:trPr>
        <w:tc>
          <w:tcPr>
            <w:tcW w:w="421" w:type="dxa"/>
            <w:tcBorders>
              <w:left w:val="nil"/>
              <w:bottom w:val="nil"/>
              <w:right w:val="nil"/>
            </w:tcBorders>
            <w:shd w:val="clear" w:color="auto" w:fill="00B050"/>
            <w:vAlign w:val="center"/>
          </w:tcPr>
          <w:p w14:paraId="2A4E4ADA" w14:textId="574E6AB3" w:rsidR="00DB215C" w:rsidRPr="00DB215C" w:rsidRDefault="00DB215C" w:rsidP="00DB215C">
            <w:pPr>
              <w:jc w:val="both"/>
              <w:rPr>
                <w:rFonts w:eastAsia="Calibri"/>
                <w:sz w:val="18"/>
                <w:szCs w:val="18"/>
                <w:lang w:eastAsia="en-US"/>
              </w:rPr>
            </w:pPr>
          </w:p>
        </w:tc>
        <w:tc>
          <w:tcPr>
            <w:tcW w:w="8407" w:type="dxa"/>
            <w:gridSpan w:val="9"/>
            <w:tcBorders>
              <w:left w:val="nil"/>
              <w:bottom w:val="nil"/>
              <w:right w:val="nil"/>
            </w:tcBorders>
            <w:shd w:val="clear" w:color="auto" w:fill="FFFFFF"/>
            <w:vAlign w:val="center"/>
          </w:tcPr>
          <w:p w14:paraId="189A5C06" w14:textId="77777777" w:rsidR="00DB215C" w:rsidRPr="00DB215C" w:rsidRDefault="00DB215C" w:rsidP="00DB215C">
            <w:pPr>
              <w:spacing w:before="120" w:after="120"/>
              <w:jc w:val="both"/>
              <w:rPr>
                <w:rFonts w:eastAsia="Calibri"/>
                <w:sz w:val="18"/>
                <w:szCs w:val="18"/>
                <w:lang w:eastAsia="en-US"/>
              </w:rPr>
            </w:pPr>
            <w:r w:rsidRPr="00DB215C">
              <w:rPr>
                <w:rFonts w:eastAsia="Calibri"/>
                <w:sz w:val="18"/>
                <w:szCs w:val="18"/>
                <w:lang w:eastAsia="en-US"/>
              </w:rPr>
              <w:t>La información cumple con los criterios mínimos de calidad y consistencia, por tanto puede ser utilizada.</w:t>
            </w:r>
          </w:p>
        </w:tc>
      </w:tr>
      <w:tr w:rsidR="00DB215C" w:rsidRPr="00DB215C" w14:paraId="4521208B" w14:textId="77777777" w:rsidTr="00DB215C">
        <w:trPr>
          <w:jc w:val="center"/>
        </w:trPr>
        <w:tc>
          <w:tcPr>
            <w:tcW w:w="421" w:type="dxa"/>
            <w:tcBorders>
              <w:top w:val="nil"/>
              <w:left w:val="nil"/>
              <w:bottom w:val="nil"/>
              <w:right w:val="nil"/>
            </w:tcBorders>
            <w:shd w:val="clear" w:color="auto" w:fill="FFFF00"/>
            <w:vAlign w:val="center"/>
          </w:tcPr>
          <w:p w14:paraId="5F694A03" w14:textId="7EC99DC8" w:rsidR="00DB215C" w:rsidRPr="00DB215C" w:rsidRDefault="00DB215C" w:rsidP="00DB215C">
            <w:pPr>
              <w:jc w:val="both"/>
              <w:rPr>
                <w:rFonts w:eastAsia="Calibri"/>
                <w:sz w:val="18"/>
                <w:szCs w:val="18"/>
                <w:lang w:eastAsia="en-US"/>
              </w:rPr>
            </w:pPr>
          </w:p>
        </w:tc>
        <w:tc>
          <w:tcPr>
            <w:tcW w:w="8407" w:type="dxa"/>
            <w:gridSpan w:val="9"/>
            <w:tcBorders>
              <w:top w:val="nil"/>
              <w:left w:val="nil"/>
              <w:bottom w:val="nil"/>
              <w:right w:val="nil"/>
            </w:tcBorders>
            <w:shd w:val="clear" w:color="auto" w:fill="FFFFFF"/>
            <w:vAlign w:val="center"/>
          </w:tcPr>
          <w:p w14:paraId="6549391E" w14:textId="77777777" w:rsidR="00DB215C" w:rsidRPr="00DB215C" w:rsidRDefault="00DB215C" w:rsidP="00DB215C">
            <w:pPr>
              <w:jc w:val="both"/>
              <w:rPr>
                <w:rFonts w:eastAsia="Calibri"/>
                <w:sz w:val="18"/>
                <w:szCs w:val="18"/>
                <w:lang w:eastAsia="en-US"/>
              </w:rPr>
            </w:pPr>
            <w:r w:rsidRPr="00DB215C">
              <w:rPr>
                <w:rFonts w:eastAsia="Calibri"/>
                <w:sz w:val="18"/>
                <w:szCs w:val="18"/>
                <w:lang w:eastAsia="en-US"/>
              </w:rPr>
              <w:t>La información no cumple con los criterios mínimos de calidad establecidos por esta Comisión, por lo que debe usarse con reservas.</w:t>
            </w:r>
          </w:p>
        </w:tc>
      </w:tr>
      <w:tr w:rsidR="00DB215C" w:rsidRPr="00DB215C" w14:paraId="6D27CB2F" w14:textId="77777777" w:rsidTr="00DB215C">
        <w:trPr>
          <w:jc w:val="center"/>
        </w:trPr>
        <w:tc>
          <w:tcPr>
            <w:tcW w:w="421" w:type="dxa"/>
            <w:tcBorders>
              <w:top w:val="nil"/>
              <w:left w:val="nil"/>
              <w:bottom w:val="nil"/>
              <w:right w:val="nil"/>
            </w:tcBorders>
            <w:shd w:val="clear" w:color="auto" w:fill="FF0000"/>
            <w:vAlign w:val="center"/>
          </w:tcPr>
          <w:p w14:paraId="22EA5CE0" w14:textId="374C3BA6" w:rsidR="00DB215C" w:rsidRPr="00DB215C" w:rsidRDefault="00DB215C" w:rsidP="00DB215C">
            <w:pPr>
              <w:jc w:val="both"/>
              <w:rPr>
                <w:rFonts w:eastAsia="Calibri"/>
                <w:sz w:val="18"/>
                <w:szCs w:val="18"/>
                <w:lang w:eastAsia="en-US"/>
              </w:rPr>
            </w:pPr>
          </w:p>
        </w:tc>
        <w:tc>
          <w:tcPr>
            <w:tcW w:w="8407" w:type="dxa"/>
            <w:gridSpan w:val="9"/>
            <w:tcBorders>
              <w:top w:val="nil"/>
              <w:left w:val="nil"/>
              <w:bottom w:val="nil"/>
              <w:right w:val="nil"/>
            </w:tcBorders>
            <w:shd w:val="clear" w:color="auto" w:fill="FFFFFF"/>
            <w:vAlign w:val="center"/>
          </w:tcPr>
          <w:p w14:paraId="13F9B1D4" w14:textId="77777777" w:rsidR="00DB215C" w:rsidRPr="00DB215C" w:rsidRDefault="00DB215C" w:rsidP="00DB215C">
            <w:pPr>
              <w:jc w:val="both"/>
              <w:rPr>
                <w:rFonts w:eastAsia="Calibri"/>
                <w:sz w:val="18"/>
                <w:szCs w:val="18"/>
                <w:lang w:eastAsia="en-US"/>
              </w:rPr>
            </w:pPr>
            <w:r w:rsidRPr="00DB215C">
              <w:rPr>
                <w:rFonts w:eastAsia="Calibri"/>
                <w:sz w:val="18"/>
                <w:szCs w:val="18"/>
                <w:lang w:eastAsia="en-US"/>
              </w:rPr>
              <w:t>No se recomienda el uso de la información ya que presenta inconsistencias graves o no presentaron la información en el plazo establecido en las Disposiciones.</w:t>
            </w:r>
          </w:p>
        </w:tc>
      </w:tr>
      <w:tr w:rsidR="00DB215C" w:rsidRPr="00DB215C" w14:paraId="72C612A4" w14:textId="77777777" w:rsidTr="00DB215C">
        <w:trPr>
          <w:jc w:val="center"/>
        </w:trPr>
        <w:tc>
          <w:tcPr>
            <w:tcW w:w="8828" w:type="dxa"/>
            <w:gridSpan w:val="10"/>
            <w:tcBorders>
              <w:top w:val="nil"/>
              <w:left w:val="nil"/>
              <w:bottom w:val="nil"/>
              <w:right w:val="nil"/>
            </w:tcBorders>
            <w:shd w:val="clear" w:color="auto" w:fill="FFFFFF"/>
            <w:vAlign w:val="center"/>
          </w:tcPr>
          <w:p w14:paraId="2AAABA9E" w14:textId="1A41C602" w:rsidR="00DB215C" w:rsidRPr="00DB215C" w:rsidRDefault="00DB215C" w:rsidP="00DB215C">
            <w:pPr>
              <w:jc w:val="both"/>
              <w:rPr>
                <w:rFonts w:eastAsia="Calibri"/>
                <w:sz w:val="18"/>
                <w:szCs w:val="18"/>
                <w:lang w:eastAsia="en-US"/>
              </w:rPr>
            </w:pPr>
            <w:r w:rsidRPr="00DB215C">
              <w:rPr>
                <w:rFonts w:eastAsia="Calibri"/>
                <w:sz w:val="18"/>
                <w:szCs w:val="18"/>
                <w:lang w:eastAsia="en-US"/>
              </w:rPr>
              <w:t>FUENTE: CNBV.</w:t>
            </w:r>
          </w:p>
        </w:tc>
      </w:tr>
    </w:tbl>
    <w:p w14:paraId="33C61637" w14:textId="0ABDD474" w:rsidR="00DB215C" w:rsidRPr="00DB215C" w:rsidRDefault="00DB215C" w:rsidP="00DB215C">
      <w:pPr>
        <w:spacing w:after="360" w:line="360" w:lineRule="auto"/>
        <w:ind w:right="-159"/>
        <w:jc w:val="both"/>
        <w:rPr>
          <w:rFonts w:eastAsia="Calibri"/>
          <w:sz w:val="26"/>
          <w:szCs w:val="26"/>
          <w:lang w:eastAsia="en-US"/>
        </w:rPr>
      </w:pPr>
    </w:p>
    <w:p w14:paraId="514F008A" w14:textId="77777777" w:rsidR="00DB215C" w:rsidRPr="00DB215C" w:rsidRDefault="00DB215C" w:rsidP="00DB215C">
      <w:pPr>
        <w:ind w:right="-159"/>
        <w:jc w:val="both"/>
        <w:rPr>
          <w:rFonts w:eastAsia="Calibri"/>
          <w:b/>
          <w:sz w:val="20"/>
          <w:szCs w:val="20"/>
          <w:lang w:eastAsia="en-US"/>
        </w:rPr>
      </w:pPr>
      <w:r w:rsidRPr="00DB215C">
        <w:rPr>
          <w:rFonts w:eastAsia="Calibri"/>
          <w:b/>
          <w:sz w:val="20"/>
          <w:szCs w:val="20"/>
          <w:lang w:eastAsia="en-US"/>
        </w:rPr>
        <w:lastRenderedPageBreak/>
        <w:t>Fuente de información:</w:t>
      </w:r>
    </w:p>
    <w:p w14:paraId="5ED48FB0" w14:textId="7ED13370" w:rsidR="00DB215C" w:rsidRPr="0096505B" w:rsidRDefault="0093224F" w:rsidP="00DB215C">
      <w:pPr>
        <w:ind w:right="-159"/>
        <w:jc w:val="both"/>
        <w:rPr>
          <w:rFonts w:eastAsia="Calibri"/>
          <w:color w:val="0000FF"/>
          <w:sz w:val="20"/>
          <w:szCs w:val="20"/>
          <w:lang w:val="es-ES" w:eastAsia="en-US"/>
        </w:rPr>
      </w:pPr>
      <w:hyperlink r:id="rId325" w:history="1"/>
      <w:hyperlink r:id="rId326" w:history="1">
        <w:r w:rsidR="00DB215C" w:rsidRPr="0096505B">
          <w:rPr>
            <w:rFonts w:eastAsia="Calibri"/>
            <w:color w:val="0000FF"/>
            <w:sz w:val="20"/>
            <w:szCs w:val="20"/>
            <w:u w:val="single"/>
            <w:lang w:val="es-ES" w:eastAsia="en-US"/>
          </w:rPr>
          <w:t>http://www.cnbv.gob.mx/SECTORES-SUPERVISADOS/BANCA-MULTIPLE/Prensa%20%20Sector%20Bancario/20150304_BM%20_Comunicado_de_Prensa_Ene_15.pdf</w:t>
        </w:r>
      </w:hyperlink>
      <w:r w:rsidR="00DB215C" w:rsidRPr="0096505B">
        <w:rPr>
          <w:rFonts w:eastAsia="Calibri"/>
          <w:color w:val="0000FF"/>
          <w:sz w:val="20"/>
          <w:szCs w:val="20"/>
          <w:lang w:val="es-ES" w:eastAsia="en-US"/>
        </w:rPr>
        <w:t xml:space="preserve"> </w:t>
      </w:r>
    </w:p>
    <w:p w14:paraId="1B993FD0" w14:textId="48881779" w:rsidR="00DB215C" w:rsidRPr="0096505B" w:rsidRDefault="00DB215C" w:rsidP="00DB215C">
      <w:pPr>
        <w:ind w:right="-159"/>
        <w:jc w:val="both"/>
        <w:rPr>
          <w:rFonts w:eastAsia="Calibri"/>
          <w:sz w:val="20"/>
          <w:szCs w:val="20"/>
          <w:lang w:val="es-ES" w:eastAsia="en-US"/>
        </w:rPr>
      </w:pPr>
      <w:r w:rsidRPr="0096505B">
        <w:rPr>
          <w:rFonts w:eastAsia="Calibri"/>
          <w:sz w:val="20"/>
          <w:szCs w:val="20"/>
          <w:lang w:val="es-ES" w:eastAsia="en-US"/>
        </w:rPr>
        <w:t>Para tener acceso a información adicional visite:</w:t>
      </w:r>
    </w:p>
    <w:p w14:paraId="6131BF1D" w14:textId="77777777" w:rsidR="00DB215C" w:rsidRPr="0096505B" w:rsidRDefault="0093224F" w:rsidP="0096505B">
      <w:pPr>
        <w:spacing w:after="720"/>
        <w:ind w:right="-159"/>
        <w:jc w:val="both"/>
        <w:rPr>
          <w:rFonts w:eastAsia="Calibri"/>
          <w:color w:val="0000FF"/>
          <w:sz w:val="20"/>
          <w:szCs w:val="20"/>
          <w:lang w:val="es-ES" w:eastAsia="en-US"/>
        </w:rPr>
      </w:pPr>
      <w:hyperlink r:id="rId327" w:history="1">
        <w:r w:rsidR="00DB215C" w:rsidRPr="0096505B">
          <w:rPr>
            <w:rFonts w:eastAsia="Calibri"/>
            <w:color w:val="0000FF"/>
            <w:sz w:val="20"/>
            <w:szCs w:val="20"/>
            <w:u w:val="single"/>
            <w:lang w:val="es-ES" w:eastAsia="en-US"/>
          </w:rPr>
          <w:t>http://portafoliodeinformacion.cnbv.gob.mx/bm1/Paginas/infosituacion.aspx</w:t>
        </w:r>
      </w:hyperlink>
      <w:r w:rsidR="00DB215C" w:rsidRPr="0096505B">
        <w:rPr>
          <w:rFonts w:eastAsia="Calibri"/>
          <w:color w:val="0000FF"/>
          <w:sz w:val="20"/>
          <w:szCs w:val="20"/>
          <w:lang w:val="es-ES" w:eastAsia="en-US"/>
        </w:rPr>
        <w:t xml:space="preserve"> </w:t>
      </w:r>
    </w:p>
    <w:p w14:paraId="74F0ABC7" w14:textId="6986921E" w:rsidR="0079755B" w:rsidRPr="0079755B" w:rsidRDefault="0079755B" w:rsidP="0079755B">
      <w:pPr>
        <w:ind w:right="-159"/>
        <w:jc w:val="both"/>
        <w:rPr>
          <w:rFonts w:eastAsia="Times New Roman"/>
          <w:b/>
          <w:bCs/>
          <w:sz w:val="26"/>
          <w:szCs w:val="26"/>
        </w:rPr>
      </w:pPr>
      <w:r w:rsidRPr="0079755B">
        <w:rPr>
          <w:rFonts w:eastAsia="Times New Roman"/>
          <w:b/>
          <w:bCs/>
          <w:sz w:val="26"/>
          <w:szCs w:val="26"/>
        </w:rPr>
        <w:t>La banca de desarrollo se transformó</w:t>
      </w:r>
    </w:p>
    <w:p w14:paraId="4FFAE728" w14:textId="77777777" w:rsidR="0079755B" w:rsidRPr="0079755B" w:rsidRDefault="0079755B" w:rsidP="0079755B">
      <w:pPr>
        <w:ind w:right="-159"/>
        <w:jc w:val="both"/>
        <w:rPr>
          <w:rFonts w:eastAsia="Times New Roman"/>
          <w:b/>
          <w:bCs/>
          <w:sz w:val="26"/>
          <w:szCs w:val="26"/>
        </w:rPr>
      </w:pPr>
      <w:r w:rsidRPr="0079755B">
        <w:rPr>
          <w:rFonts w:eastAsia="Times New Roman"/>
          <w:b/>
          <w:bCs/>
          <w:sz w:val="26"/>
          <w:szCs w:val="26"/>
        </w:rPr>
        <w:t>en favor del crecimiento económico y</w:t>
      </w:r>
    </w:p>
    <w:p w14:paraId="6782B8BA" w14:textId="7ECCEE21" w:rsidR="0079755B" w:rsidRPr="0079755B" w:rsidRDefault="0079755B" w:rsidP="0079755B">
      <w:pPr>
        <w:spacing w:after="360" w:line="360" w:lineRule="auto"/>
        <w:ind w:right="-159"/>
        <w:jc w:val="both"/>
        <w:rPr>
          <w:rFonts w:eastAsia="Times New Roman"/>
          <w:b/>
          <w:bCs/>
          <w:sz w:val="26"/>
          <w:szCs w:val="26"/>
        </w:rPr>
      </w:pPr>
      <w:r w:rsidRPr="0079755B">
        <w:rPr>
          <w:rFonts w:eastAsia="Times New Roman"/>
          <w:b/>
          <w:bCs/>
          <w:sz w:val="26"/>
          <w:szCs w:val="26"/>
        </w:rPr>
        <w:t>el bienestar social (SHCP)</w:t>
      </w:r>
    </w:p>
    <w:p w14:paraId="1CF5B78D" w14:textId="5184ACBF" w:rsidR="0079755B" w:rsidRPr="0079755B" w:rsidRDefault="0079755B" w:rsidP="0079755B">
      <w:pPr>
        <w:spacing w:after="360" w:line="360" w:lineRule="auto"/>
        <w:ind w:right="-159"/>
        <w:jc w:val="both"/>
        <w:rPr>
          <w:rFonts w:eastAsia="Times New Roman"/>
          <w:bCs/>
          <w:sz w:val="26"/>
          <w:szCs w:val="26"/>
          <w:lang w:val="es-ES"/>
        </w:rPr>
      </w:pPr>
      <w:r w:rsidRPr="0079755B">
        <w:rPr>
          <w:rFonts w:eastAsia="Times New Roman"/>
          <w:bCs/>
          <w:sz w:val="26"/>
          <w:szCs w:val="26"/>
          <w:lang w:val="es-ES"/>
        </w:rPr>
        <w:t>El 1</w:t>
      </w:r>
      <w:r w:rsidR="005B2CE5">
        <w:rPr>
          <w:rFonts w:eastAsia="Times New Roman"/>
          <w:bCs/>
          <w:sz w:val="26"/>
          <w:szCs w:val="26"/>
          <w:lang w:val="es-ES"/>
        </w:rPr>
        <w:t xml:space="preserve">º </w:t>
      </w:r>
      <w:r w:rsidRPr="0079755B">
        <w:rPr>
          <w:rFonts w:eastAsia="Times New Roman"/>
          <w:bCs/>
          <w:sz w:val="26"/>
          <w:szCs w:val="26"/>
          <w:lang w:val="es-ES"/>
        </w:rPr>
        <w:t xml:space="preserve">de marzo de 2015, la Secretaría de Hacienda y Crédito Público (SHCP) publicó, a través de la Unidad de Comunicación Social y Vocero de la SHCP, en su “Informe Semanal del Vocero de la SHCP” correspondiente a la semana que va del </w:t>
      </w:r>
      <w:r w:rsidRPr="0079755B">
        <w:rPr>
          <w:rFonts w:eastAsia="Times New Roman"/>
          <w:bCs/>
          <w:sz w:val="26"/>
          <w:szCs w:val="26"/>
        </w:rPr>
        <w:t xml:space="preserve">23 al 27 de febrero de </w:t>
      </w:r>
      <w:r w:rsidRPr="0079755B">
        <w:rPr>
          <w:rFonts w:eastAsia="Times New Roman"/>
          <w:bCs/>
          <w:sz w:val="26"/>
          <w:szCs w:val="26"/>
          <w:lang w:val="es-ES"/>
        </w:rPr>
        <w:t xml:space="preserve">2015, una nota informativa en la que se destaca la función que tiene la banca de desarrollo en pro del crecimiento económico y del bienestar social. A continuación </w:t>
      </w:r>
      <w:r w:rsidR="00CB7BE4">
        <w:rPr>
          <w:rFonts w:eastAsia="Times New Roman"/>
          <w:bCs/>
          <w:sz w:val="26"/>
          <w:szCs w:val="26"/>
          <w:lang w:val="es-ES"/>
        </w:rPr>
        <w:t xml:space="preserve">se presenta </w:t>
      </w:r>
      <w:r w:rsidRPr="0079755B">
        <w:rPr>
          <w:rFonts w:eastAsia="Times New Roman"/>
          <w:bCs/>
          <w:sz w:val="26"/>
          <w:szCs w:val="26"/>
          <w:lang w:val="es-ES"/>
        </w:rPr>
        <w:t>la información.</w:t>
      </w:r>
      <w:r w:rsidRPr="0079755B">
        <w:rPr>
          <w:rFonts w:eastAsia="Times New Roman"/>
          <w:bCs/>
          <w:sz w:val="26"/>
          <w:szCs w:val="26"/>
        </w:rPr>
        <w:t xml:space="preserve"> </w:t>
      </w:r>
    </w:p>
    <w:p w14:paraId="198F58FE" w14:textId="77777777" w:rsidR="0079755B" w:rsidRPr="0079755B" w:rsidRDefault="0079755B" w:rsidP="0079755B">
      <w:pPr>
        <w:spacing w:after="360" w:line="360" w:lineRule="auto"/>
        <w:ind w:right="-159"/>
        <w:jc w:val="both"/>
        <w:rPr>
          <w:rFonts w:eastAsia="Times New Roman"/>
          <w:bCs/>
          <w:sz w:val="26"/>
          <w:szCs w:val="26"/>
        </w:rPr>
      </w:pPr>
      <w:r w:rsidRPr="0079755B">
        <w:rPr>
          <w:rFonts w:eastAsia="Times New Roman"/>
          <w:bCs/>
          <w:sz w:val="26"/>
          <w:szCs w:val="26"/>
        </w:rPr>
        <w:t>Desde su inicio, uno de los objetivos de la banca de desarrollo (BD) ha sido el promover el crecimiento económico y el bienestar social de México. Actualmente está integrada por seis Sociedades Nacionales de Crédito</w:t>
      </w:r>
      <w:r w:rsidRPr="0079755B">
        <w:rPr>
          <w:rFonts w:eastAsia="Times New Roman"/>
          <w:bCs/>
          <w:sz w:val="26"/>
          <w:szCs w:val="26"/>
          <w:vertAlign w:val="superscript"/>
        </w:rPr>
        <w:footnoteReference w:id="94"/>
      </w:r>
      <w:r w:rsidRPr="0079755B">
        <w:rPr>
          <w:rFonts w:eastAsia="Times New Roman"/>
          <w:bCs/>
          <w:sz w:val="26"/>
          <w:szCs w:val="26"/>
        </w:rPr>
        <w:t>, la Financiera Nacional de Desarrollo Agropecuario, Rural, Forestal y Pesquero (FND), los fideicomisos de fomento sectorizados en la SHCP</w:t>
      </w:r>
      <w:r w:rsidRPr="0079755B">
        <w:rPr>
          <w:rFonts w:eastAsia="Times New Roman"/>
          <w:bCs/>
          <w:sz w:val="26"/>
          <w:szCs w:val="26"/>
          <w:vertAlign w:val="superscript"/>
        </w:rPr>
        <w:footnoteReference w:id="95"/>
      </w:r>
      <w:r w:rsidRPr="0079755B">
        <w:rPr>
          <w:rFonts w:eastAsia="Times New Roman"/>
          <w:bCs/>
          <w:sz w:val="26"/>
          <w:szCs w:val="26"/>
        </w:rPr>
        <w:t xml:space="preserve">, así como por proyectos financiados en México por </w:t>
      </w:r>
      <w:r w:rsidRPr="005B2CE5">
        <w:rPr>
          <w:rFonts w:eastAsia="Times New Roman"/>
          <w:bCs/>
          <w:i/>
          <w:sz w:val="26"/>
          <w:szCs w:val="26"/>
        </w:rPr>
        <w:t>el North American Development Bank</w:t>
      </w:r>
      <w:r w:rsidRPr="0079755B">
        <w:rPr>
          <w:rFonts w:eastAsia="Times New Roman"/>
          <w:bCs/>
          <w:sz w:val="26"/>
          <w:szCs w:val="26"/>
        </w:rPr>
        <w:t xml:space="preserve"> (Nadbank). A través de la BD se han canalizado recursos para fortalecer a los sectores prioritarios para el desarrollo nacional como infraestructura, comercio, vivienda y empresas. Además, ha sido un factor fundamental para ampliar la oferta de servicios financieros en sectores a los que la banca comercial no siempre cubre.</w:t>
      </w:r>
    </w:p>
    <w:p w14:paraId="2B55C7AA" w14:textId="77777777" w:rsidR="0079755B" w:rsidRPr="0079755B" w:rsidRDefault="0079755B" w:rsidP="0079755B">
      <w:pPr>
        <w:spacing w:after="360" w:line="360" w:lineRule="auto"/>
        <w:ind w:right="-159"/>
        <w:jc w:val="both"/>
        <w:rPr>
          <w:rFonts w:eastAsia="Times New Roman"/>
          <w:bCs/>
          <w:sz w:val="26"/>
          <w:szCs w:val="26"/>
        </w:rPr>
      </w:pPr>
      <w:r w:rsidRPr="0079755B">
        <w:rPr>
          <w:rFonts w:eastAsia="Times New Roman"/>
          <w:bCs/>
          <w:sz w:val="26"/>
          <w:szCs w:val="26"/>
        </w:rPr>
        <w:lastRenderedPageBreak/>
        <w:t>En años recientes, la BD había mantenido una política conservadora en el otorgamiento de crédito, ya que se había enfocado en mantener niveles de capitalización altos y una cartera de clientes con bajos índices de morosidad. Esto porque así lo establecía su mandato, el cual fijaba como prioridad la preservación de su capital.</w:t>
      </w:r>
    </w:p>
    <w:p w14:paraId="14D991DD" w14:textId="77777777" w:rsidR="0079755B" w:rsidRPr="0079755B" w:rsidRDefault="0079755B" w:rsidP="0079755B">
      <w:pPr>
        <w:spacing w:after="360" w:line="360" w:lineRule="auto"/>
        <w:ind w:right="-159"/>
        <w:jc w:val="both"/>
        <w:rPr>
          <w:rFonts w:eastAsia="Times New Roman"/>
          <w:bCs/>
          <w:sz w:val="26"/>
          <w:szCs w:val="26"/>
        </w:rPr>
      </w:pPr>
      <w:r w:rsidRPr="0079755B">
        <w:rPr>
          <w:rFonts w:eastAsia="Times New Roman"/>
          <w:bCs/>
          <w:sz w:val="26"/>
          <w:szCs w:val="26"/>
        </w:rPr>
        <w:t>La Reforma Financiera promulgada por el Presidente de la República, el 9 de enero del año pasado, contempló una serie de medidas con la finalidad de ampliar el financiamiento de dichas instituciones, fortaleciendo y flexibilizando su operación. Entre las principales mejoras se encuentran:</w:t>
      </w:r>
    </w:p>
    <w:p w14:paraId="79BD7B3C" w14:textId="77777777" w:rsidR="0079755B" w:rsidRPr="0079755B" w:rsidRDefault="0079755B" w:rsidP="00276F3E">
      <w:pPr>
        <w:numPr>
          <w:ilvl w:val="0"/>
          <w:numId w:val="58"/>
        </w:numPr>
        <w:spacing w:after="360" w:line="360" w:lineRule="auto"/>
        <w:ind w:left="714" w:right="-159" w:hanging="357"/>
        <w:jc w:val="both"/>
        <w:rPr>
          <w:rFonts w:eastAsia="Times New Roman"/>
          <w:bCs/>
          <w:sz w:val="26"/>
          <w:szCs w:val="26"/>
        </w:rPr>
      </w:pPr>
      <w:r w:rsidRPr="0079755B">
        <w:rPr>
          <w:rFonts w:eastAsia="Times New Roman"/>
          <w:bCs/>
          <w:sz w:val="26"/>
          <w:szCs w:val="26"/>
        </w:rPr>
        <w:t xml:space="preserve">Se </w:t>
      </w:r>
      <w:r w:rsidRPr="0079755B">
        <w:rPr>
          <w:rFonts w:eastAsia="Times New Roman"/>
          <w:b/>
          <w:bCs/>
          <w:sz w:val="26"/>
          <w:szCs w:val="26"/>
        </w:rPr>
        <w:t xml:space="preserve">redefinió su mandato </w:t>
      </w:r>
      <w:r w:rsidRPr="0079755B">
        <w:rPr>
          <w:rFonts w:eastAsia="Times New Roman"/>
          <w:bCs/>
          <w:sz w:val="26"/>
          <w:szCs w:val="26"/>
        </w:rPr>
        <w:t>estableciendo como prioridad brindar acceso al crédito, dar asistencia técnica y capacitación para impulsar el desarrollo económico.</w:t>
      </w:r>
    </w:p>
    <w:p w14:paraId="752DB696" w14:textId="77777777" w:rsidR="0079755B" w:rsidRPr="0079755B" w:rsidRDefault="0079755B" w:rsidP="00276F3E">
      <w:pPr>
        <w:numPr>
          <w:ilvl w:val="0"/>
          <w:numId w:val="58"/>
        </w:numPr>
        <w:spacing w:after="360" w:line="360" w:lineRule="auto"/>
        <w:ind w:left="714" w:right="-159" w:hanging="357"/>
        <w:jc w:val="both"/>
        <w:rPr>
          <w:rFonts w:eastAsia="Times New Roman"/>
          <w:bCs/>
          <w:sz w:val="26"/>
          <w:szCs w:val="26"/>
        </w:rPr>
      </w:pPr>
      <w:r w:rsidRPr="0079755B">
        <w:rPr>
          <w:rFonts w:eastAsia="Times New Roman"/>
          <w:bCs/>
          <w:sz w:val="26"/>
          <w:szCs w:val="26"/>
        </w:rPr>
        <w:t xml:space="preserve">Con el propósito de evitar la duplicidad de funciones y la sobrerregulación, se </w:t>
      </w:r>
      <w:r w:rsidRPr="0079755B">
        <w:rPr>
          <w:rFonts w:eastAsia="Times New Roman"/>
          <w:b/>
          <w:bCs/>
          <w:sz w:val="26"/>
          <w:szCs w:val="26"/>
        </w:rPr>
        <w:t>eliminaron restricciones innecesarias</w:t>
      </w:r>
      <w:r w:rsidRPr="0079755B">
        <w:rPr>
          <w:rFonts w:eastAsia="Times New Roman"/>
          <w:bCs/>
          <w:sz w:val="26"/>
          <w:szCs w:val="26"/>
        </w:rPr>
        <w:t>. Por ejemplo, se determinó que todos los aspectos bancarios sean supervisados exclusivamente por la Comisión Nacional Bancaria y de Valores (CNBV) y las autoridades financieras.</w:t>
      </w:r>
    </w:p>
    <w:p w14:paraId="75C29A31" w14:textId="77777777" w:rsidR="0079755B" w:rsidRPr="0079755B" w:rsidRDefault="0079755B" w:rsidP="00276F3E">
      <w:pPr>
        <w:numPr>
          <w:ilvl w:val="0"/>
          <w:numId w:val="58"/>
        </w:numPr>
        <w:spacing w:after="360" w:line="360" w:lineRule="auto"/>
        <w:ind w:left="714" w:right="-159" w:hanging="357"/>
        <w:jc w:val="both"/>
        <w:rPr>
          <w:rFonts w:eastAsia="Times New Roman"/>
          <w:bCs/>
          <w:sz w:val="26"/>
          <w:szCs w:val="26"/>
        </w:rPr>
      </w:pPr>
      <w:r w:rsidRPr="0079755B">
        <w:rPr>
          <w:rFonts w:eastAsia="Times New Roman"/>
          <w:bCs/>
          <w:sz w:val="26"/>
          <w:szCs w:val="26"/>
        </w:rPr>
        <w:t xml:space="preserve">Se </w:t>
      </w:r>
      <w:r w:rsidRPr="0079755B">
        <w:rPr>
          <w:rFonts w:eastAsia="Times New Roman"/>
          <w:b/>
          <w:bCs/>
          <w:sz w:val="26"/>
          <w:szCs w:val="26"/>
        </w:rPr>
        <w:t xml:space="preserve">fortaleció a los órganos de gobierno </w:t>
      </w:r>
      <w:r w:rsidRPr="0079755B">
        <w:rPr>
          <w:rFonts w:eastAsia="Times New Roman"/>
          <w:bCs/>
          <w:sz w:val="26"/>
          <w:szCs w:val="26"/>
        </w:rPr>
        <w:t>de los bancos de desarrollo para que determinen la estructura organizacional y necesidades de recursos humanos que propicien un mejor funcionamiento de los mismos.</w:t>
      </w:r>
    </w:p>
    <w:p w14:paraId="45A233D3" w14:textId="77777777" w:rsidR="0079755B" w:rsidRPr="0079755B" w:rsidRDefault="0079755B" w:rsidP="00276F3E">
      <w:pPr>
        <w:numPr>
          <w:ilvl w:val="0"/>
          <w:numId w:val="58"/>
        </w:numPr>
        <w:spacing w:after="360" w:line="360" w:lineRule="auto"/>
        <w:ind w:left="714" w:right="-159" w:hanging="357"/>
        <w:jc w:val="both"/>
        <w:rPr>
          <w:rFonts w:eastAsia="Times New Roman"/>
          <w:bCs/>
          <w:sz w:val="26"/>
          <w:szCs w:val="26"/>
        </w:rPr>
      </w:pPr>
      <w:r w:rsidRPr="0079755B">
        <w:rPr>
          <w:rFonts w:eastAsia="Times New Roman"/>
          <w:bCs/>
          <w:sz w:val="26"/>
          <w:szCs w:val="26"/>
        </w:rPr>
        <w:t xml:space="preserve">Se establecieron obligaciones en materia de </w:t>
      </w:r>
      <w:r w:rsidRPr="0079755B">
        <w:rPr>
          <w:rFonts w:eastAsia="Times New Roman"/>
          <w:b/>
          <w:bCs/>
          <w:sz w:val="26"/>
          <w:szCs w:val="26"/>
        </w:rPr>
        <w:t>inclusión financiera</w:t>
      </w:r>
      <w:r w:rsidRPr="0079755B">
        <w:rPr>
          <w:rFonts w:eastAsia="Times New Roman"/>
          <w:bCs/>
          <w:sz w:val="26"/>
          <w:szCs w:val="26"/>
        </w:rPr>
        <w:t xml:space="preserve"> y </w:t>
      </w:r>
      <w:r w:rsidRPr="0079755B">
        <w:rPr>
          <w:rFonts w:eastAsia="Times New Roman"/>
          <w:b/>
          <w:bCs/>
          <w:sz w:val="26"/>
          <w:szCs w:val="26"/>
        </w:rPr>
        <w:t>equidad de género</w:t>
      </w:r>
      <w:r w:rsidRPr="0079755B">
        <w:rPr>
          <w:rFonts w:eastAsia="Times New Roman"/>
          <w:bCs/>
          <w:sz w:val="26"/>
          <w:szCs w:val="26"/>
        </w:rPr>
        <w:t xml:space="preserve">; se definieron </w:t>
      </w:r>
      <w:r w:rsidRPr="0079755B">
        <w:rPr>
          <w:rFonts w:eastAsia="Times New Roman"/>
          <w:b/>
          <w:bCs/>
          <w:sz w:val="26"/>
          <w:szCs w:val="26"/>
        </w:rPr>
        <w:t>sectores prioritarios</w:t>
      </w:r>
      <w:r w:rsidRPr="0079755B">
        <w:rPr>
          <w:rFonts w:eastAsia="Times New Roman"/>
          <w:bCs/>
          <w:sz w:val="26"/>
          <w:szCs w:val="26"/>
        </w:rPr>
        <w:t xml:space="preserve"> de atención como las MiPyMEs y el campo, y se contemplaron medidas para una </w:t>
      </w:r>
      <w:r w:rsidRPr="0079755B">
        <w:rPr>
          <w:rFonts w:eastAsia="Times New Roman"/>
          <w:b/>
          <w:bCs/>
          <w:sz w:val="26"/>
          <w:szCs w:val="26"/>
        </w:rPr>
        <w:t>canalización eficiente, prudente y trasparente de los recursos</w:t>
      </w:r>
      <w:r w:rsidRPr="0079755B">
        <w:rPr>
          <w:rFonts w:eastAsia="Times New Roman"/>
          <w:bCs/>
          <w:sz w:val="26"/>
          <w:szCs w:val="26"/>
        </w:rPr>
        <w:t>.</w:t>
      </w:r>
    </w:p>
    <w:p w14:paraId="7AAB0063" w14:textId="77777777" w:rsidR="0079755B" w:rsidRPr="0079755B" w:rsidRDefault="0079755B" w:rsidP="0079755B">
      <w:pPr>
        <w:spacing w:after="360" w:line="360" w:lineRule="auto"/>
        <w:ind w:right="-159"/>
        <w:jc w:val="both"/>
        <w:rPr>
          <w:rFonts w:eastAsia="Times New Roman"/>
          <w:bCs/>
          <w:sz w:val="26"/>
          <w:szCs w:val="26"/>
        </w:rPr>
      </w:pPr>
      <w:r w:rsidRPr="0079755B">
        <w:rPr>
          <w:rFonts w:eastAsia="Times New Roman"/>
          <w:bCs/>
          <w:sz w:val="26"/>
          <w:szCs w:val="26"/>
        </w:rPr>
        <w:lastRenderedPageBreak/>
        <w:t>Atendiendo a la instrucción presidencial, la implementación de estos cambios se ha dado de manera acelerada. Entre los principales avances que se tienen hasta ahora, destaca que:</w:t>
      </w:r>
    </w:p>
    <w:p w14:paraId="0D3AD4E6" w14:textId="77777777" w:rsidR="0079755B" w:rsidRPr="0079755B" w:rsidRDefault="0079755B" w:rsidP="00276F3E">
      <w:pPr>
        <w:numPr>
          <w:ilvl w:val="0"/>
          <w:numId w:val="58"/>
        </w:numPr>
        <w:spacing w:after="360" w:line="360" w:lineRule="auto"/>
        <w:ind w:left="714" w:right="-159" w:hanging="357"/>
        <w:jc w:val="both"/>
        <w:rPr>
          <w:rFonts w:eastAsia="Times New Roman"/>
          <w:bCs/>
          <w:sz w:val="26"/>
          <w:szCs w:val="26"/>
        </w:rPr>
      </w:pPr>
      <w:r w:rsidRPr="0079755B">
        <w:rPr>
          <w:rFonts w:eastAsia="Times New Roman"/>
          <w:bCs/>
          <w:sz w:val="26"/>
          <w:szCs w:val="26"/>
        </w:rPr>
        <w:t>Se modificaron las Disposiciones de Carácter General Aplicables a las Instituciones de Crédito, estableciendo un nuevo régimen en materia de control y vigilancia para las instituciones de BD.</w:t>
      </w:r>
    </w:p>
    <w:p w14:paraId="250623A5" w14:textId="77777777" w:rsidR="0079755B" w:rsidRPr="0079755B" w:rsidRDefault="0079755B" w:rsidP="00276F3E">
      <w:pPr>
        <w:numPr>
          <w:ilvl w:val="0"/>
          <w:numId w:val="58"/>
        </w:numPr>
        <w:spacing w:after="360" w:line="360" w:lineRule="auto"/>
        <w:ind w:left="714" w:right="-159" w:hanging="357"/>
        <w:jc w:val="both"/>
        <w:rPr>
          <w:rFonts w:eastAsia="Times New Roman"/>
          <w:bCs/>
          <w:sz w:val="26"/>
          <w:szCs w:val="26"/>
        </w:rPr>
      </w:pPr>
      <w:r w:rsidRPr="0079755B">
        <w:rPr>
          <w:rFonts w:eastAsia="Times New Roman"/>
          <w:bCs/>
          <w:sz w:val="26"/>
          <w:szCs w:val="26"/>
        </w:rPr>
        <w:t>Se aprobaron reformas a los Reglamentos Orgánicos de las Sociedades Nacionales de Crédito.</w:t>
      </w:r>
    </w:p>
    <w:p w14:paraId="77922B3C" w14:textId="77777777" w:rsidR="0079755B" w:rsidRPr="0079755B" w:rsidRDefault="0079755B" w:rsidP="00276F3E">
      <w:pPr>
        <w:numPr>
          <w:ilvl w:val="0"/>
          <w:numId w:val="58"/>
        </w:numPr>
        <w:spacing w:after="360" w:line="360" w:lineRule="auto"/>
        <w:ind w:left="714" w:right="-159" w:hanging="357"/>
        <w:jc w:val="both"/>
        <w:rPr>
          <w:rFonts w:eastAsia="Times New Roman"/>
          <w:bCs/>
          <w:sz w:val="26"/>
          <w:szCs w:val="26"/>
        </w:rPr>
      </w:pPr>
      <w:r w:rsidRPr="0079755B">
        <w:rPr>
          <w:rFonts w:eastAsia="Times New Roman"/>
          <w:bCs/>
          <w:sz w:val="26"/>
          <w:szCs w:val="26"/>
        </w:rPr>
        <w:t>Se emitieron criterios en materia de estructura ocupacional, movimientos salariales, percepciones extraordinarias y prestaciones.</w:t>
      </w:r>
    </w:p>
    <w:p w14:paraId="3D9182C6" w14:textId="77777777" w:rsidR="0079755B" w:rsidRPr="0079755B" w:rsidRDefault="0079755B" w:rsidP="00276F3E">
      <w:pPr>
        <w:numPr>
          <w:ilvl w:val="0"/>
          <w:numId w:val="58"/>
        </w:numPr>
        <w:spacing w:after="360" w:line="360" w:lineRule="auto"/>
        <w:ind w:left="714" w:right="-159" w:hanging="357"/>
        <w:jc w:val="both"/>
        <w:rPr>
          <w:rFonts w:eastAsia="Times New Roman"/>
          <w:bCs/>
          <w:sz w:val="26"/>
          <w:szCs w:val="26"/>
        </w:rPr>
      </w:pPr>
      <w:r w:rsidRPr="0079755B">
        <w:rPr>
          <w:rFonts w:eastAsia="Times New Roman"/>
          <w:bCs/>
          <w:sz w:val="26"/>
          <w:szCs w:val="26"/>
        </w:rPr>
        <w:t>Se publicaron en el Diario Oficial de la Federación los Programas Institucionales de las instituciones de BD.</w:t>
      </w:r>
    </w:p>
    <w:p w14:paraId="1252C804" w14:textId="77777777" w:rsidR="0079755B" w:rsidRPr="0079755B" w:rsidRDefault="0079755B" w:rsidP="0079755B">
      <w:pPr>
        <w:spacing w:after="360" w:line="360" w:lineRule="auto"/>
        <w:ind w:right="-159"/>
        <w:jc w:val="both"/>
        <w:rPr>
          <w:rFonts w:eastAsia="Times New Roman"/>
          <w:bCs/>
          <w:sz w:val="26"/>
          <w:szCs w:val="26"/>
        </w:rPr>
      </w:pPr>
      <w:r w:rsidRPr="0079755B">
        <w:rPr>
          <w:rFonts w:eastAsia="Times New Roman"/>
          <w:bCs/>
          <w:sz w:val="26"/>
          <w:szCs w:val="26"/>
        </w:rPr>
        <w:t>El nuevo marco normativo aplicable a la BD ha permitido la instrumentación de programas de financiamiento que ya están ampliando la oferta de crédito en mejores condiciones para impulsar a los sectores estratégicos de nuestra economía. Por ejemplo:</w:t>
      </w:r>
    </w:p>
    <w:p w14:paraId="0CCFEC04" w14:textId="77777777" w:rsidR="0079755B" w:rsidRPr="0079755B" w:rsidRDefault="0079755B" w:rsidP="0079755B">
      <w:pPr>
        <w:spacing w:after="360" w:line="360" w:lineRule="auto"/>
        <w:ind w:right="-159"/>
        <w:jc w:val="both"/>
        <w:rPr>
          <w:rFonts w:eastAsia="Times New Roman"/>
          <w:bCs/>
          <w:sz w:val="26"/>
          <w:szCs w:val="26"/>
        </w:rPr>
      </w:pPr>
      <w:r w:rsidRPr="001D7965">
        <w:rPr>
          <w:rFonts w:eastAsia="Times New Roman"/>
          <w:b/>
          <w:bCs/>
          <w:iCs/>
          <w:sz w:val="26"/>
          <w:szCs w:val="26"/>
        </w:rPr>
        <w:t xml:space="preserve">Sector Empresarial. </w:t>
      </w:r>
      <w:r w:rsidRPr="0079755B">
        <w:rPr>
          <w:rFonts w:eastAsia="Times New Roman"/>
          <w:bCs/>
          <w:sz w:val="26"/>
          <w:szCs w:val="26"/>
        </w:rPr>
        <w:t>Se han canalizado apoyos para alcanzar un saldo de 428 mil 29 millones de pesos (mdp) al cierre de 2014, a través de esquemas crédito y garantías brindadas por NAFIN y BANCOMEXT, beneficiando a más de un millón 190 mil pequeñas y medianas empresas (PyMES). Este monto representa 35.7% de la cartera total de crédito directo e impulsado por la BD. Los programas mediante los cuales se canalizan estos recursos son:</w:t>
      </w:r>
    </w:p>
    <w:p w14:paraId="1F9E0F86" w14:textId="77777777" w:rsidR="0079755B" w:rsidRPr="0079755B" w:rsidRDefault="0079755B" w:rsidP="00276F3E">
      <w:pPr>
        <w:numPr>
          <w:ilvl w:val="0"/>
          <w:numId w:val="38"/>
        </w:numPr>
        <w:spacing w:after="360" w:line="360" w:lineRule="auto"/>
        <w:ind w:left="714" w:right="-159" w:hanging="357"/>
        <w:jc w:val="both"/>
        <w:rPr>
          <w:rFonts w:eastAsia="Times New Roman"/>
          <w:bCs/>
          <w:sz w:val="26"/>
          <w:szCs w:val="26"/>
        </w:rPr>
      </w:pPr>
      <w:r w:rsidRPr="0079755B">
        <w:rPr>
          <w:rFonts w:eastAsia="Times New Roman"/>
          <w:b/>
          <w:bCs/>
          <w:sz w:val="26"/>
          <w:szCs w:val="26"/>
        </w:rPr>
        <w:t>Programa de garantías de crédito PyMES (NAFIN)</w:t>
      </w:r>
      <w:r w:rsidRPr="0079755B">
        <w:rPr>
          <w:rFonts w:eastAsia="Times New Roman"/>
          <w:bCs/>
          <w:sz w:val="26"/>
          <w:szCs w:val="26"/>
        </w:rPr>
        <w:t xml:space="preserve">. Tiene como objetivo, promover el acceso al financiamiento de las PyMES y el desarrollo de sectores </w:t>
      </w:r>
      <w:r w:rsidRPr="0079755B">
        <w:rPr>
          <w:rFonts w:eastAsia="Times New Roman"/>
          <w:bCs/>
          <w:sz w:val="26"/>
          <w:szCs w:val="26"/>
        </w:rPr>
        <w:lastRenderedPageBreak/>
        <w:t>y regiones específicas. Contribuye al crecimiento de las empresas a través de mejores condiciones en los financiamientos menores requerimientos de información.</w:t>
      </w:r>
    </w:p>
    <w:p w14:paraId="0DC658C1" w14:textId="77777777" w:rsidR="0079755B" w:rsidRPr="0079755B" w:rsidRDefault="0079755B" w:rsidP="00276F3E">
      <w:pPr>
        <w:numPr>
          <w:ilvl w:val="0"/>
          <w:numId w:val="38"/>
        </w:numPr>
        <w:spacing w:after="360" w:line="360" w:lineRule="auto"/>
        <w:ind w:left="714" w:right="-159" w:hanging="357"/>
        <w:jc w:val="both"/>
        <w:rPr>
          <w:rFonts w:eastAsia="Times New Roman"/>
          <w:bCs/>
          <w:sz w:val="26"/>
          <w:szCs w:val="26"/>
        </w:rPr>
      </w:pPr>
      <w:r w:rsidRPr="0079755B">
        <w:rPr>
          <w:rFonts w:eastAsia="Times New Roman"/>
          <w:b/>
          <w:bCs/>
          <w:sz w:val="26"/>
          <w:szCs w:val="26"/>
        </w:rPr>
        <w:t xml:space="preserve">Impulso energético. </w:t>
      </w:r>
      <w:r w:rsidRPr="0079755B">
        <w:rPr>
          <w:rFonts w:eastAsia="Times New Roman"/>
          <w:bCs/>
          <w:sz w:val="26"/>
          <w:szCs w:val="26"/>
        </w:rPr>
        <w:t>Dirigida a las empresas que participan en la cadena de valor del sector energético. Permite a PyMES acceder a financiamiento a tasas competitivas, en períodos de uno a tres años, con garantías de NAFIN que van desde el 50 hasta el 80% del crédito.</w:t>
      </w:r>
    </w:p>
    <w:p w14:paraId="0D47AC1F" w14:textId="2E1DA919" w:rsidR="0079755B" w:rsidRPr="0079755B" w:rsidRDefault="0079755B" w:rsidP="00276F3E">
      <w:pPr>
        <w:numPr>
          <w:ilvl w:val="0"/>
          <w:numId w:val="37"/>
        </w:numPr>
        <w:spacing w:after="360" w:line="360" w:lineRule="auto"/>
        <w:ind w:left="714" w:right="-159" w:hanging="357"/>
        <w:jc w:val="both"/>
        <w:rPr>
          <w:rFonts w:eastAsia="Times New Roman"/>
          <w:bCs/>
          <w:sz w:val="26"/>
          <w:szCs w:val="26"/>
        </w:rPr>
      </w:pPr>
      <w:r w:rsidRPr="0079755B">
        <w:rPr>
          <w:rFonts w:eastAsia="Times New Roman"/>
          <w:b/>
          <w:bCs/>
          <w:sz w:val="26"/>
          <w:szCs w:val="26"/>
        </w:rPr>
        <w:t xml:space="preserve">Alianza PyME. </w:t>
      </w:r>
      <w:r w:rsidRPr="0079755B">
        <w:rPr>
          <w:rFonts w:eastAsia="Times New Roman"/>
          <w:bCs/>
          <w:sz w:val="26"/>
          <w:szCs w:val="26"/>
        </w:rPr>
        <w:t xml:space="preserve">Permitirá duplicar en los próximos tres años, el saldo de cartera a PyMES mexicanas a través de uno de los bancos comerciales con los que opera NAFIN, para alcanzar un saldo de 120 mil millones de pesos </w:t>
      </w:r>
      <w:r w:rsidR="0051422E">
        <w:rPr>
          <w:rFonts w:eastAsia="Times New Roman"/>
          <w:bCs/>
          <w:sz w:val="26"/>
          <w:szCs w:val="26"/>
        </w:rPr>
        <w:t xml:space="preserve">(mdp) </w:t>
      </w:r>
      <w:r w:rsidRPr="0079755B">
        <w:rPr>
          <w:rFonts w:eastAsia="Times New Roman"/>
          <w:bCs/>
          <w:sz w:val="26"/>
          <w:szCs w:val="26"/>
        </w:rPr>
        <w:t>en beneficio de más de 100 mil PyMES. En este Programa participan NAFIN y BANCOMEXT.</w:t>
      </w:r>
    </w:p>
    <w:p w14:paraId="11A2EA18" w14:textId="77777777" w:rsidR="0079755B" w:rsidRPr="0079755B" w:rsidRDefault="0079755B" w:rsidP="00276F3E">
      <w:pPr>
        <w:numPr>
          <w:ilvl w:val="0"/>
          <w:numId w:val="37"/>
        </w:numPr>
        <w:spacing w:after="360" w:line="360" w:lineRule="auto"/>
        <w:ind w:left="714" w:right="-159" w:hanging="357"/>
        <w:jc w:val="both"/>
        <w:rPr>
          <w:rFonts w:eastAsia="Times New Roman"/>
          <w:bCs/>
          <w:sz w:val="26"/>
          <w:szCs w:val="26"/>
        </w:rPr>
      </w:pPr>
      <w:r w:rsidRPr="0079755B">
        <w:rPr>
          <w:rFonts w:eastAsia="Times New Roman"/>
          <w:b/>
          <w:bCs/>
          <w:sz w:val="26"/>
          <w:szCs w:val="26"/>
        </w:rPr>
        <w:t xml:space="preserve">Programa de apoyo al sector calzado. </w:t>
      </w:r>
      <w:r w:rsidRPr="0079755B">
        <w:rPr>
          <w:rFonts w:eastAsia="Times New Roman"/>
          <w:bCs/>
          <w:sz w:val="26"/>
          <w:szCs w:val="26"/>
        </w:rPr>
        <w:t>En un período de 14 meses, NAFIN destinará recursos de contragarantía por 64 mdp para detonar una derrama de crédito adicional de 900 mdp, con lo que se apoyará a más de un mil empresas equivalentes a 10% de las que conforman al sector. Este monto es superior a los 800 mdp que se otorgaron en los últimos 11 años.</w:t>
      </w:r>
    </w:p>
    <w:p w14:paraId="31FB637A" w14:textId="14698B5D" w:rsidR="0079755B" w:rsidRPr="0079755B" w:rsidRDefault="0079755B" w:rsidP="00276F3E">
      <w:pPr>
        <w:numPr>
          <w:ilvl w:val="0"/>
          <w:numId w:val="37"/>
        </w:numPr>
        <w:spacing w:after="360" w:line="360" w:lineRule="auto"/>
        <w:ind w:left="714" w:right="-159" w:hanging="357"/>
        <w:jc w:val="both"/>
        <w:rPr>
          <w:rFonts w:eastAsia="Times New Roman"/>
          <w:bCs/>
          <w:sz w:val="26"/>
          <w:szCs w:val="26"/>
        </w:rPr>
      </w:pPr>
      <w:r w:rsidRPr="0079755B">
        <w:rPr>
          <w:rFonts w:eastAsia="Times New Roman"/>
          <w:b/>
          <w:bCs/>
          <w:sz w:val="26"/>
          <w:szCs w:val="26"/>
        </w:rPr>
        <w:t xml:space="preserve">Programa “Crédito Joven”. </w:t>
      </w:r>
      <w:r w:rsidRPr="0079755B">
        <w:rPr>
          <w:rFonts w:eastAsia="Times New Roman"/>
          <w:bCs/>
          <w:sz w:val="26"/>
          <w:szCs w:val="26"/>
        </w:rPr>
        <w:t xml:space="preserve">Está dirigido a los jóvenes de 18 a 30 años de edad, que buscan abrir un negocio o hacer crecer el que ya tienen. El producto básico de Crédito Joven, “Tu Primer Crédito”, considera financiamientos desde 50 mil hasta 150 mil pesos, una tasa de 9.9% y hasta </w:t>
      </w:r>
      <w:r w:rsidR="0051422E">
        <w:rPr>
          <w:rFonts w:eastAsia="Times New Roman"/>
          <w:bCs/>
          <w:sz w:val="26"/>
          <w:szCs w:val="26"/>
        </w:rPr>
        <w:t>cuatro</w:t>
      </w:r>
      <w:r w:rsidRPr="0079755B">
        <w:rPr>
          <w:rFonts w:eastAsia="Times New Roman"/>
          <w:bCs/>
          <w:sz w:val="26"/>
          <w:szCs w:val="26"/>
        </w:rPr>
        <w:t xml:space="preserve"> años de plazo. Los productos complementarios permiten alcanzar créditos de hasta 2.5 mdp.</w:t>
      </w:r>
    </w:p>
    <w:p w14:paraId="1424011C" w14:textId="77777777" w:rsidR="0079755B" w:rsidRPr="0079755B" w:rsidRDefault="0079755B" w:rsidP="0079755B">
      <w:pPr>
        <w:spacing w:after="360" w:line="360" w:lineRule="auto"/>
        <w:ind w:right="-159"/>
        <w:jc w:val="both"/>
        <w:rPr>
          <w:rFonts w:eastAsia="Times New Roman"/>
          <w:bCs/>
          <w:sz w:val="26"/>
          <w:szCs w:val="26"/>
        </w:rPr>
      </w:pPr>
      <w:r w:rsidRPr="001D7965">
        <w:rPr>
          <w:rFonts w:eastAsia="Times New Roman"/>
          <w:b/>
          <w:bCs/>
          <w:iCs/>
          <w:sz w:val="26"/>
          <w:szCs w:val="26"/>
        </w:rPr>
        <w:t>Sector Infraestructura</w:t>
      </w:r>
      <w:r w:rsidRPr="0079755B">
        <w:rPr>
          <w:rFonts w:eastAsia="Times New Roman"/>
          <w:bCs/>
          <w:i/>
          <w:iCs/>
          <w:sz w:val="26"/>
          <w:szCs w:val="26"/>
        </w:rPr>
        <w:t xml:space="preserve">: </w:t>
      </w:r>
      <w:r w:rsidRPr="0079755B">
        <w:rPr>
          <w:rFonts w:eastAsia="Times New Roman"/>
          <w:bCs/>
          <w:sz w:val="26"/>
          <w:szCs w:val="26"/>
        </w:rPr>
        <w:t xml:space="preserve">Se canalizaron recursos para alcanzar un saldo de crédito directo e inducido de 356 mil 182 mdp al cierre de 2014, destinado al desarrollo de proyectos de infraestructura y apoyo a municipios en todo el país, lo que representó </w:t>
      </w:r>
      <w:r w:rsidRPr="0079755B">
        <w:rPr>
          <w:rFonts w:eastAsia="Times New Roman"/>
          <w:bCs/>
          <w:sz w:val="26"/>
          <w:szCs w:val="26"/>
        </w:rPr>
        <w:lastRenderedPageBreak/>
        <w:t>29.7% de la cartera total. Particularmente, se atendió a 738 municipios, entre los que se encuentran 178 con alto y muy alto grado de marginación. Los recursos se distribuyeron a través de:</w:t>
      </w:r>
    </w:p>
    <w:p w14:paraId="444B5514" w14:textId="77777777" w:rsidR="0079755B" w:rsidRPr="0079755B" w:rsidRDefault="0079755B" w:rsidP="00276F3E">
      <w:pPr>
        <w:numPr>
          <w:ilvl w:val="0"/>
          <w:numId w:val="36"/>
        </w:numPr>
        <w:spacing w:after="360" w:line="360" w:lineRule="auto"/>
        <w:ind w:left="714" w:right="-159" w:hanging="357"/>
        <w:jc w:val="both"/>
        <w:rPr>
          <w:rFonts w:eastAsia="Times New Roman"/>
          <w:bCs/>
          <w:sz w:val="26"/>
          <w:szCs w:val="26"/>
        </w:rPr>
      </w:pPr>
      <w:r w:rsidRPr="0079755B">
        <w:rPr>
          <w:rFonts w:eastAsia="Times New Roman"/>
          <w:b/>
          <w:bCs/>
          <w:sz w:val="26"/>
          <w:szCs w:val="26"/>
        </w:rPr>
        <w:t xml:space="preserve">BANOBRAS: </w:t>
      </w:r>
      <w:r w:rsidRPr="0079755B">
        <w:rPr>
          <w:rFonts w:eastAsia="Times New Roman"/>
          <w:bCs/>
          <w:sz w:val="26"/>
          <w:szCs w:val="26"/>
        </w:rPr>
        <w:t>Mediante los esquemas de crédito y garantías, el Banco alcanzó un saldo de 338 mil 240 mdp para el desarrollo de una amplia gama de proyectos en estados y municipios.</w:t>
      </w:r>
    </w:p>
    <w:p w14:paraId="190BCC2A" w14:textId="77777777" w:rsidR="0079755B" w:rsidRPr="0079755B" w:rsidRDefault="0079755B" w:rsidP="00276F3E">
      <w:pPr>
        <w:numPr>
          <w:ilvl w:val="0"/>
          <w:numId w:val="36"/>
        </w:numPr>
        <w:spacing w:after="360" w:line="360" w:lineRule="auto"/>
        <w:ind w:left="714" w:right="-159" w:hanging="357"/>
        <w:jc w:val="both"/>
        <w:rPr>
          <w:rFonts w:eastAsia="Times New Roman"/>
          <w:bCs/>
          <w:sz w:val="26"/>
          <w:szCs w:val="26"/>
        </w:rPr>
      </w:pPr>
      <w:r w:rsidRPr="0079755B">
        <w:rPr>
          <w:rFonts w:eastAsia="Times New Roman"/>
          <w:b/>
          <w:bCs/>
          <w:sz w:val="26"/>
          <w:szCs w:val="26"/>
        </w:rPr>
        <w:t xml:space="preserve">FONADIN: </w:t>
      </w:r>
      <w:r w:rsidRPr="0079755B">
        <w:rPr>
          <w:rFonts w:eastAsia="Times New Roman"/>
          <w:bCs/>
          <w:sz w:val="26"/>
          <w:szCs w:val="26"/>
        </w:rPr>
        <w:t>Se llegó a un saldo de 11 mil 61 mdp a través de créditos por deuda subordinada y contingente.</w:t>
      </w:r>
    </w:p>
    <w:p w14:paraId="74A4304F" w14:textId="77777777" w:rsidR="0079755B" w:rsidRPr="0079755B" w:rsidRDefault="0079755B" w:rsidP="00276F3E">
      <w:pPr>
        <w:numPr>
          <w:ilvl w:val="0"/>
          <w:numId w:val="36"/>
        </w:numPr>
        <w:spacing w:after="360" w:line="360" w:lineRule="auto"/>
        <w:ind w:left="714" w:right="-159" w:hanging="357"/>
        <w:jc w:val="both"/>
        <w:rPr>
          <w:rFonts w:eastAsia="Times New Roman"/>
          <w:bCs/>
          <w:sz w:val="26"/>
          <w:szCs w:val="26"/>
        </w:rPr>
      </w:pPr>
      <w:r w:rsidRPr="0079755B">
        <w:rPr>
          <w:rFonts w:eastAsia="Times New Roman"/>
          <w:b/>
          <w:bCs/>
          <w:sz w:val="26"/>
          <w:szCs w:val="26"/>
        </w:rPr>
        <w:t xml:space="preserve">Nadbank: </w:t>
      </w:r>
      <w:r w:rsidRPr="0079755B">
        <w:rPr>
          <w:rFonts w:eastAsia="Times New Roman"/>
          <w:bCs/>
          <w:sz w:val="26"/>
          <w:szCs w:val="26"/>
        </w:rPr>
        <w:t>El saldo de créditos para el desarrollo de proyectos de infraestructura en los estados de la frontera norte al cierre de 2014 fue de 6 mil 881 mdp.</w:t>
      </w:r>
    </w:p>
    <w:p w14:paraId="59DE4AB9" w14:textId="77777777" w:rsidR="0079755B" w:rsidRPr="0079755B" w:rsidRDefault="0079755B" w:rsidP="0079755B">
      <w:pPr>
        <w:spacing w:after="360" w:line="360" w:lineRule="auto"/>
        <w:ind w:right="-159"/>
        <w:jc w:val="both"/>
        <w:rPr>
          <w:rFonts w:eastAsia="Times New Roman"/>
          <w:bCs/>
          <w:sz w:val="26"/>
          <w:szCs w:val="26"/>
        </w:rPr>
      </w:pPr>
      <w:r w:rsidRPr="001D7965">
        <w:rPr>
          <w:rFonts w:eastAsia="Times New Roman"/>
          <w:b/>
          <w:bCs/>
          <w:iCs/>
          <w:sz w:val="26"/>
          <w:szCs w:val="26"/>
        </w:rPr>
        <w:t>Sector Vivienda</w:t>
      </w:r>
      <w:r w:rsidRPr="0079755B">
        <w:rPr>
          <w:rFonts w:eastAsia="Times New Roman"/>
          <w:bCs/>
          <w:i/>
          <w:iCs/>
          <w:sz w:val="26"/>
          <w:szCs w:val="26"/>
        </w:rPr>
        <w:t xml:space="preserve">: </w:t>
      </w:r>
      <w:r w:rsidRPr="0079755B">
        <w:rPr>
          <w:rFonts w:eastAsia="Times New Roman"/>
          <w:bCs/>
          <w:sz w:val="26"/>
          <w:szCs w:val="26"/>
        </w:rPr>
        <w:t>Los recursos destinados a este sector lograron un saldo al cierre de 2014 por 262 mil 529 mdp de crédito directo e impulsado, lo que representó 21.9% del total de la cartera de crédito de la BD. Los recursos fueron otorgados a través de la SHF y del Fondo de Operación y Financiamiento Bancario a la Vivienda.</w:t>
      </w:r>
    </w:p>
    <w:p w14:paraId="3FE57725" w14:textId="77777777" w:rsidR="0079755B" w:rsidRPr="0079755B" w:rsidRDefault="0079755B" w:rsidP="00276F3E">
      <w:pPr>
        <w:numPr>
          <w:ilvl w:val="0"/>
          <w:numId w:val="35"/>
        </w:numPr>
        <w:spacing w:after="360" w:line="360" w:lineRule="auto"/>
        <w:ind w:left="714" w:right="-159" w:hanging="357"/>
        <w:jc w:val="both"/>
        <w:rPr>
          <w:rFonts w:eastAsia="Times New Roman"/>
          <w:bCs/>
          <w:sz w:val="26"/>
          <w:szCs w:val="26"/>
        </w:rPr>
      </w:pPr>
      <w:r w:rsidRPr="0079755B">
        <w:rPr>
          <w:rFonts w:eastAsia="Times New Roman"/>
          <w:bCs/>
          <w:sz w:val="26"/>
          <w:szCs w:val="26"/>
        </w:rPr>
        <w:t xml:space="preserve">Se dio un impulso contra cíclico a través del </w:t>
      </w:r>
      <w:r w:rsidRPr="0079755B">
        <w:rPr>
          <w:rFonts w:eastAsia="Times New Roman"/>
          <w:b/>
          <w:bCs/>
          <w:sz w:val="26"/>
          <w:szCs w:val="26"/>
        </w:rPr>
        <w:t xml:space="preserve">programa de créditos sindicados </w:t>
      </w:r>
      <w:r w:rsidRPr="0079755B">
        <w:rPr>
          <w:rFonts w:eastAsia="Times New Roman"/>
          <w:bCs/>
          <w:sz w:val="26"/>
          <w:szCs w:val="26"/>
        </w:rPr>
        <w:t>de SHF al sector construcción de vivienda durante 2013 y 2014, con líneas autorizadas por más de 19 mil mdp, lo que permitió su pronta recuperación. Ya se observan datos positivos en 2014 con crecimientos de la actividad económica en el sector edificación y empleo de 2.8 y 10.7%, respectivamente.</w:t>
      </w:r>
    </w:p>
    <w:p w14:paraId="61189B69" w14:textId="77777777" w:rsidR="0079755B" w:rsidRPr="0079755B" w:rsidRDefault="0079755B" w:rsidP="0079755B">
      <w:pPr>
        <w:spacing w:after="360" w:line="360" w:lineRule="auto"/>
        <w:ind w:right="-159"/>
        <w:jc w:val="both"/>
        <w:rPr>
          <w:rFonts w:eastAsia="Times New Roman"/>
          <w:bCs/>
          <w:sz w:val="26"/>
          <w:szCs w:val="26"/>
        </w:rPr>
      </w:pPr>
      <w:r w:rsidRPr="001D7965">
        <w:rPr>
          <w:rFonts w:eastAsia="Times New Roman"/>
          <w:b/>
          <w:bCs/>
          <w:iCs/>
          <w:sz w:val="26"/>
          <w:szCs w:val="26"/>
        </w:rPr>
        <w:t>Sector Rural</w:t>
      </w:r>
      <w:r w:rsidRPr="0079755B">
        <w:rPr>
          <w:rFonts w:eastAsia="Times New Roman"/>
          <w:bCs/>
          <w:i/>
          <w:iCs/>
          <w:sz w:val="26"/>
          <w:szCs w:val="26"/>
        </w:rPr>
        <w:t xml:space="preserve">: </w:t>
      </w:r>
      <w:r w:rsidRPr="0079755B">
        <w:rPr>
          <w:rFonts w:eastAsia="Times New Roman"/>
          <w:bCs/>
          <w:sz w:val="26"/>
          <w:szCs w:val="26"/>
        </w:rPr>
        <w:t>Se ofrecieron apoyos para alcanzar un saldo de 126 mil 448 mdp al cierre de 2014 en beneficio de más de un millón 782 mil productores y empresas rurales. Entre los programas implementados para este sector destacan:</w:t>
      </w:r>
    </w:p>
    <w:p w14:paraId="080EE43D" w14:textId="77777777" w:rsidR="0079755B" w:rsidRPr="0079755B" w:rsidRDefault="0079755B" w:rsidP="00276F3E">
      <w:pPr>
        <w:numPr>
          <w:ilvl w:val="0"/>
          <w:numId w:val="34"/>
        </w:numPr>
        <w:spacing w:after="360" w:line="360" w:lineRule="auto"/>
        <w:ind w:left="714" w:right="-159" w:hanging="357"/>
        <w:jc w:val="both"/>
        <w:rPr>
          <w:rFonts w:eastAsia="Times New Roman"/>
          <w:bCs/>
          <w:sz w:val="26"/>
          <w:szCs w:val="26"/>
        </w:rPr>
      </w:pPr>
      <w:r w:rsidRPr="0079755B">
        <w:rPr>
          <w:rFonts w:eastAsia="Times New Roman"/>
          <w:b/>
          <w:bCs/>
          <w:sz w:val="26"/>
          <w:szCs w:val="26"/>
        </w:rPr>
        <w:lastRenderedPageBreak/>
        <w:t xml:space="preserve">Nuevo programa de crédito de Financiera Nacional de Desarrollo Agropecuario Rural Forestal y Pesquero. </w:t>
      </w:r>
      <w:r w:rsidRPr="0079755B">
        <w:rPr>
          <w:rFonts w:eastAsia="Times New Roman"/>
          <w:bCs/>
          <w:sz w:val="26"/>
          <w:szCs w:val="26"/>
        </w:rPr>
        <w:t>Otorga más crédito y con menores costos, reduciendo las tasas de interés a menos de un dígito para productores del sector primario.</w:t>
      </w:r>
    </w:p>
    <w:p w14:paraId="3E56AA83" w14:textId="77777777" w:rsidR="0079755B" w:rsidRPr="0079755B" w:rsidRDefault="0079755B" w:rsidP="00276F3E">
      <w:pPr>
        <w:numPr>
          <w:ilvl w:val="0"/>
          <w:numId w:val="34"/>
        </w:numPr>
        <w:spacing w:after="360" w:line="360" w:lineRule="auto"/>
        <w:ind w:left="714" w:right="-159" w:hanging="357"/>
        <w:jc w:val="both"/>
        <w:rPr>
          <w:rFonts w:eastAsia="Times New Roman"/>
          <w:bCs/>
          <w:sz w:val="26"/>
          <w:szCs w:val="26"/>
        </w:rPr>
      </w:pPr>
      <w:r w:rsidRPr="0079755B">
        <w:rPr>
          <w:rFonts w:eastAsia="Times New Roman"/>
          <w:b/>
          <w:bCs/>
          <w:sz w:val="26"/>
          <w:szCs w:val="26"/>
        </w:rPr>
        <w:t xml:space="preserve">Programa especial para pequeños productores. </w:t>
      </w:r>
      <w:r w:rsidRPr="0079755B">
        <w:rPr>
          <w:rFonts w:eastAsia="Times New Roman"/>
          <w:bCs/>
          <w:sz w:val="26"/>
          <w:szCs w:val="26"/>
        </w:rPr>
        <w:t>Crédito hasta por 230 mil pesos con tasas de interés preferenciales de 7.0 y 6.5% para mujeres.</w:t>
      </w:r>
    </w:p>
    <w:p w14:paraId="1DD83FD4" w14:textId="77777777" w:rsidR="0079755B" w:rsidRPr="0079755B" w:rsidRDefault="0079755B" w:rsidP="00276F3E">
      <w:pPr>
        <w:numPr>
          <w:ilvl w:val="0"/>
          <w:numId w:val="34"/>
        </w:numPr>
        <w:spacing w:after="360" w:line="360" w:lineRule="auto"/>
        <w:ind w:left="714" w:right="-159" w:hanging="357"/>
        <w:jc w:val="both"/>
        <w:rPr>
          <w:rFonts w:eastAsia="Times New Roman"/>
          <w:bCs/>
          <w:sz w:val="26"/>
          <w:szCs w:val="26"/>
        </w:rPr>
      </w:pPr>
      <w:r w:rsidRPr="0079755B">
        <w:rPr>
          <w:rFonts w:eastAsia="Times New Roman"/>
          <w:b/>
          <w:bCs/>
          <w:sz w:val="26"/>
          <w:szCs w:val="26"/>
        </w:rPr>
        <w:t>Financiamiento de largo plazo</w:t>
      </w:r>
      <w:r w:rsidRPr="0079755B">
        <w:rPr>
          <w:rFonts w:eastAsia="Times New Roman"/>
          <w:bCs/>
          <w:sz w:val="26"/>
          <w:szCs w:val="26"/>
        </w:rPr>
        <w:t>. Plazos hasta por 15 años para la compra de activos para atender las necesidades de capitalización y maduración de los proyectos del sector. Gracias a esta ampliación los productores agropecuarios podrán invertir en infraestructura para riego, almacenamiento, etcétera.</w:t>
      </w:r>
    </w:p>
    <w:p w14:paraId="0C15727F" w14:textId="77777777" w:rsidR="0079755B" w:rsidRPr="0079755B" w:rsidRDefault="0079755B" w:rsidP="0079755B">
      <w:pPr>
        <w:spacing w:after="360" w:line="360" w:lineRule="auto"/>
        <w:ind w:right="-159"/>
        <w:jc w:val="both"/>
        <w:rPr>
          <w:rFonts w:eastAsia="Times New Roman"/>
          <w:bCs/>
          <w:sz w:val="26"/>
          <w:szCs w:val="26"/>
        </w:rPr>
      </w:pPr>
      <w:r w:rsidRPr="001D7965">
        <w:rPr>
          <w:rFonts w:eastAsia="Times New Roman"/>
          <w:b/>
          <w:bCs/>
          <w:iCs/>
          <w:sz w:val="26"/>
          <w:szCs w:val="26"/>
        </w:rPr>
        <w:t>Otros sectores</w:t>
      </w:r>
      <w:r w:rsidRPr="0079755B">
        <w:rPr>
          <w:rFonts w:eastAsia="Times New Roman"/>
          <w:bCs/>
          <w:i/>
          <w:iCs/>
          <w:sz w:val="26"/>
          <w:szCs w:val="26"/>
        </w:rPr>
        <w:t xml:space="preserve">: </w:t>
      </w:r>
      <w:r w:rsidRPr="0079755B">
        <w:rPr>
          <w:rFonts w:eastAsia="Times New Roman"/>
          <w:bCs/>
          <w:sz w:val="26"/>
          <w:szCs w:val="26"/>
        </w:rPr>
        <w:t>El saldo de la BD para la atención de otros sectores, como el comercial y social, con el objetivo de promover el ahorro, la inclusión financiera y la perspectiva de género en el otorgamiento de créditos fue de 26 mil 311 mdp al cierre de 2014. Estos recursos equivalen a 2.2% de la cartera total impulsada por la BD. Dentro de los programas de canalización de recursos a estos sectores destaca:</w:t>
      </w:r>
    </w:p>
    <w:p w14:paraId="2DD63ABE" w14:textId="77777777" w:rsidR="0079755B" w:rsidRPr="0079755B" w:rsidRDefault="0079755B" w:rsidP="00276F3E">
      <w:pPr>
        <w:numPr>
          <w:ilvl w:val="0"/>
          <w:numId w:val="33"/>
        </w:numPr>
        <w:spacing w:after="360" w:line="360" w:lineRule="auto"/>
        <w:ind w:left="714" w:right="-159" w:hanging="357"/>
        <w:jc w:val="both"/>
        <w:rPr>
          <w:rFonts w:eastAsia="Times New Roman"/>
          <w:bCs/>
          <w:sz w:val="26"/>
          <w:szCs w:val="26"/>
        </w:rPr>
      </w:pPr>
      <w:r w:rsidRPr="0079755B">
        <w:rPr>
          <w:rFonts w:eastAsia="Times New Roman"/>
          <w:b/>
          <w:bCs/>
          <w:sz w:val="26"/>
          <w:szCs w:val="26"/>
        </w:rPr>
        <w:t xml:space="preserve">Programa integral de inclusión financiera “PROSPERA Más con BANSEFI”. </w:t>
      </w:r>
      <w:r w:rsidRPr="0079755B">
        <w:rPr>
          <w:rFonts w:eastAsia="Times New Roman"/>
          <w:bCs/>
          <w:sz w:val="26"/>
          <w:szCs w:val="26"/>
        </w:rPr>
        <w:t>Permitirá integrar al sistema financiero a más de 6 millones de beneficiarias del programa Prospera. Con la tarjeta Prospera-Bansefi será posible otorgar beneficios adicionales como préstamos que van de 500 a 2 mil 500 pesos a una tasa de 9.99%. En un plazo de dos años se espera cubrir con esta oferta de servicios a la totalidad del padrón de SEDESOL.</w:t>
      </w:r>
    </w:p>
    <w:p w14:paraId="64A03DD6" w14:textId="77777777" w:rsidR="001D7965" w:rsidRDefault="001D7965" w:rsidP="0079755B">
      <w:pPr>
        <w:spacing w:after="360" w:line="360" w:lineRule="auto"/>
        <w:ind w:right="-159"/>
        <w:jc w:val="both"/>
        <w:rPr>
          <w:rFonts w:eastAsia="Times New Roman"/>
          <w:b/>
          <w:bCs/>
          <w:sz w:val="26"/>
          <w:szCs w:val="26"/>
        </w:rPr>
      </w:pPr>
    </w:p>
    <w:p w14:paraId="72711C5F" w14:textId="77777777" w:rsidR="001D7965" w:rsidRDefault="001D7965" w:rsidP="0079755B">
      <w:pPr>
        <w:spacing w:after="360" w:line="360" w:lineRule="auto"/>
        <w:ind w:right="-159"/>
        <w:jc w:val="both"/>
        <w:rPr>
          <w:rFonts w:eastAsia="Times New Roman"/>
          <w:b/>
          <w:bCs/>
          <w:sz w:val="26"/>
          <w:szCs w:val="26"/>
        </w:rPr>
      </w:pPr>
    </w:p>
    <w:p w14:paraId="0E98653E" w14:textId="77777777" w:rsidR="0079755B" w:rsidRPr="0079755B" w:rsidRDefault="0079755B" w:rsidP="0079755B">
      <w:pPr>
        <w:spacing w:after="360" w:line="360" w:lineRule="auto"/>
        <w:ind w:right="-159"/>
        <w:jc w:val="both"/>
        <w:rPr>
          <w:rFonts w:eastAsia="Times New Roman"/>
          <w:bCs/>
          <w:sz w:val="26"/>
          <w:szCs w:val="26"/>
        </w:rPr>
      </w:pPr>
      <w:r w:rsidRPr="0079755B">
        <w:rPr>
          <w:rFonts w:eastAsia="Times New Roman"/>
          <w:b/>
          <w:bCs/>
          <w:sz w:val="26"/>
          <w:szCs w:val="26"/>
        </w:rPr>
        <w:lastRenderedPageBreak/>
        <w:t>Consideraciones finales</w:t>
      </w:r>
    </w:p>
    <w:p w14:paraId="0770A350" w14:textId="77777777" w:rsidR="0079755B" w:rsidRPr="0051422E" w:rsidRDefault="0079755B" w:rsidP="0079755B">
      <w:pPr>
        <w:spacing w:after="360" w:line="360" w:lineRule="auto"/>
        <w:ind w:right="-159"/>
        <w:jc w:val="both"/>
        <w:rPr>
          <w:rFonts w:eastAsia="Times New Roman"/>
          <w:bCs/>
          <w:sz w:val="26"/>
          <w:szCs w:val="26"/>
          <w:lang w:val="es-ES"/>
        </w:rPr>
      </w:pPr>
      <w:r w:rsidRPr="0079755B">
        <w:rPr>
          <w:rFonts w:eastAsia="Times New Roman"/>
          <w:bCs/>
          <w:sz w:val="26"/>
          <w:szCs w:val="26"/>
        </w:rPr>
        <w:t xml:space="preserve">A partir de la Reforma Financiera, la BD inició una nueva etapa en la que está profundizando sus acciones para la atención de la población en los sectores de mayor impacto económico y social, que hasta antes de la Reforma tenían un acceso limitado </w:t>
      </w:r>
      <w:r w:rsidRPr="0051422E">
        <w:rPr>
          <w:rFonts w:eastAsia="Times New Roman"/>
          <w:bCs/>
          <w:sz w:val="26"/>
          <w:szCs w:val="26"/>
        </w:rPr>
        <w:t>al financiamiento. Con las acciones implementadas, el Gobierno de la República ratifica su compromiso de consolidar a la BD como un pilar fundamental de acceso al crédito y palanca de actividad productiva.</w:t>
      </w:r>
    </w:p>
    <w:p w14:paraId="0735F8DA" w14:textId="77777777" w:rsidR="0079755B" w:rsidRPr="0079755B" w:rsidRDefault="0079755B" w:rsidP="0079755B">
      <w:pPr>
        <w:ind w:right="-159"/>
        <w:jc w:val="both"/>
        <w:rPr>
          <w:rFonts w:eastAsia="Calibri"/>
          <w:b/>
          <w:sz w:val="20"/>
          <w:szCs w:val="20"/>
          <w:lang w:val="es-ES" w:eastAsia="en-US"/>
        </w:rPr>
      </w:pPr>
      <w:r w:rsidRPr="0079755B">
        <w:rPr>
          <w:rFonts w:eastAsia="Calibri"/>
          <w:b/>
          <w:sz w:val="20"/>
          <w:szCs w:val="20"/>
          <w:lang w:val="es-ES" w:eastAsia="en-US"/>
        </w:rPr>
        <w:t>Fuente de información:</w:t>
      </w:r>
    </w:p>
    <w:p w14:paraId="3C986CEE" w14:textId="77777777" w:rsidR="0079755B" w:rsidRPr="0096505B" w:rsidRDefault="0093224F" w:rsidP="0096505B">
      <w:pPr>
        <w:spacing w:after="720"/>
        <w:ind w:right="-159"/>
        <w:jc w:val="both"/>
        <w:rPr>
          <w:rFonts w:eastAsia="Calibri"/>
          <w:color w:val="0000FF"/>
          <w:sz w:val="20"/>
          <w:szCs w:val="20"/>
          <w:lang w:eastAsia="en-US"/>
        </w:rPr>
      </w:pPr>
      <w:hyperlink r:id="rId328" w:history="1">
        <w:r w:rsidR="0079755B" w:rsidRPr="0096505B">
          <w:rPr>
            <w:rFonts w:eastAsia="Calibri"/>
            <w:color w:val="0000FF"/>
            <w:sz w:val="20"/>
            <w:szCs w:val="20"/>
            <w:u w:val="single"/>
            <w:lang w:eastAsia="en-US"/>
          </w:rPr>
          <w:t>http://www.hacienda.gob.mx/SALAPRENSA/doc_informe_vocero/2015/vocero_09_2015.pdf</w:t>
        </w:r>
      </w:hyperlink>
      <w:r w:rsidR="0079755B" w:rsidRPr="0096505B">
        <w:rPr>
          <w:rFonts w:eastAsia="Calibri"/>
          <w:color w:val="0000FF"/>
          <w:sz w:val="20"/>
          <w:szCs w:val="20"/>
          <w:lang w:eastAsia="en-US"/>
        </w:rPr>
        <w:t xml:space="preserve"> </w:t>
      </w:r>
      <w:hyperlink r:id="rId329" w:history="1"/>
    </w:p>
    <w:p w14:paraId="6E19A77A" w14:textId="77777777" w:rsidR="001C4330" w:rsidRPr="001C4330" w:rsidRDefault="001C4330" w:rsidP="001C4330">
      <w:pPr>
        <w:spacing w:after="360" w:line="360" w:lineRule="auto"/>
        <w:ind w:right="-159"/>
        <w:jc w:val="both"/>
        <w:rPr>
          <w:b/>
          <w:sz w:val="26"/>
          <w:szCs w:val="26"/>
        </w:rPr>
      </w:pPr>
      <w:r w:rsidRPr="001C4330">
        <w:rPr>
          <w:b/>
          <w:sz w:val="26"/>
          <w:szCs w:val="26"/>
        </w:rPr>
        <w:t>Financiamiento Bancario (Banxico)</w:t>
      </w:r>
    </w:p>
    <w:p w14:paraId="693AF6AB" w14:textId="77777777" w:rsidR="001C4330" w:rsidRPr="001C4330" w:rsidRDefault="001C4330" w:rsidP="001C4330">
      <w:pPr>
        <w:spacing w:after="360" w:line="360" w:lineRule="auto"/>
        <w:ind w:right="-159"/>
        <w:jc w:val="both"/>
        <w:rPr>
          <w:sz w:val="26"/>
          <w:szCs w:val="26"/>
          <w:lang w:val="es-ES"/>
        </w:rPr>
      </w:pPr>
      <w:r w:rsidRPr="001C4330">
        <w:rPr>
          <w:sz w:val="26"/>
          <w:szCs w:val="26"/>
          <w:lang w:val="es-ES"/>
        </w:rPr>
        <w:t>De acuerdo con información del Banco de México (Banxico) publicada en los “Agregados Monetarios y Actividad Financiera”, al cierre de enero de 2015, muestra que el saldo del financiamiento otorgado por la banca comercial, a través de valores, cartera de crédito vigente y vencida, títulos asociados a programas de reestructura, así como por las Sofom Reguladas de tarjetas de crédito (Tarjetas Banamex, Santader Consumo, IXE Tarjetas y Sociedad Financiera Inbursa) fue de 3 billones 936 mil 200 millones de pesos, cantidad que significó un incremento en términos reales de 7.8% con respecto al mismo mes de 2014.</w:t>
      </w:r>
    </w:p>
    <w:p w14:paraId="1615E7FF" w14:textId="77777777" w:rsidR="001C4330" w:rsidRPr="001C4330" w:rsidRDefault="001C4330" w:rsidP="001C4330">
      <w:pPr>
        <w:spacing w:after="360" w:line="360" w:lineRule="auto"/>
        <w:ind w:right="-159"/>
        <w:jc w:val="both"/>
        <w:rPr>
          <w:sz w:val="26"/>
          <w:szCs w:val="26"/>
          <w:lang w:val="es-ES"/>
        </w:rPr>
      </w:pPr>
      <w:r w:rsidRPr="001C4330">
        <w:rPr>
          <w:sz w:val="26"/>
          <w:szCs w:val="26"/>
          <w:lang w:val="es-ES"/>
        </w:rPr>
        <w:t xml:space="preserve">En enero de 2015, del total del financiamiento, el otorgado al sector privado fue de         2 billones 932 mil 300 millones de pesos, con una participación de 74.5% del total, y presentó un aumento de 5.6%. La tenencia de valores y el saldo del crédito directo total (vigente y vencido) otorgado al sector público federal que representa 16.1% del financiamiento otorgado por la banca comercial, se situaron en 634 mil 900 millones de pesos, que implicó un aumento de 19.0%. Preliminarmente, el incremento en el financiamiento de la banca comercial al sector público federal parece haber respondido, </w:t>
      </w:r>
      <w:r w:rsidRPr="001C4330">
        <w:rPr>
          <w:sz w:val="26"/>
          <w:szCs w:val="26"/>
          <w:lang w:val="es-ES"/>
        </w:rPr>
        <w:lastRenderedPageBreak/>
        <w:t>en parte, a que algunas instituciones han estado adquiriendo títulos a cargo del Gobierno Federal en firme en vez de mediante reportos, en respuesta a la nueva regulación de liquidez que tendrán que seguir. El saldo del financiamiento a los estados y municipios, que conforma 7.9% del financiamiento otorgado por la banca comercial, ascendió a  312 mil 300 millones de pesos y registró un aumento de 3.5%. Por último, el saldo del financiamiento a otros sectores, que comprende el financiamiento al Instituto para la Protección al Ahorro Bancario (IPAB), Pidiregas de la Comisión Federal de Electricidad (CFE) y el Fondo Nacional de Infraestructura (Fonadin), y que representa 1.4% del mencionado financiamiento, se ubicó en 56 mil 800 millones de pesos, lo que implicó un incremento de 46.3 por ciento.</w:t>
      </w:r>
    </w:p>
    <w:p w14:paraId="6171EE5D" w14:textId="77777777" w:rsidR="001C4330" w:rsidRPr="001C4330" w:rsidRDefault="001C4330" w:rsidP="001C4330">
      <w:pPr>
        <w:spacing w:after="360" w:line="360" w:lineRule="auto"/>
        <w:ind w:right="-159"/>
        <w:jc w:val="both"/>
        <w:rPr>
          <w:b/>
          <w:sz w:val="26"/>
          <w:szCs w:val="26"/>
          <w:lang w:val="es-ES"/>
        </w:rPr>
      </w:pPr>
      <w:r w:rsidRPr="001C4330">
        <w:rPr>
          <w:b/>
          <w:sz w:val="26"/>
          <w:szCs w:val="26"/>
          <w:lang w:val="es-ES"/>
        </w:rPr>
        <w:t>Crédito Vigente de la banca comercial al sector privado</w:t>
      </w:r>
    </w:p>
    <w:p w14:paraId="6AD23F9F" w14:textId="77777777" w:rsidR="001C4330" w:rsidRDefault="001C4330" w:rsidP="001C4330">
      <w:pPr>
        <w:spacing w:after="360" w:line="360" w:lineRule="auto"/>
        <w:ind w:right="-159"/>
        <w:jc w:val="both"/>
        <w:rPr>
          <w:sz w:val="26"/>
          <w:szCs w:val="26"/>
          <w:lang w:val="es-ES"/>
        </w:rPr>
      </w:pPr>
      <w:r w:rsidRPr="001C4330">
        <w:rPr>
          <w:sz w:val="26"/>
          <w:szCs w:val="26"/>
          <w:lang w:val="es-ES"/>
        </w:rPr>
        <w:t>El crédito vigente de la banca comercial al sector privado, las variaciones en por ciento del financiamiento otorgado por la banca comercial, así como de sus componentes, se expresan en términos reales anuales, ascendió en enero de 2015 a 2 billones 727 mil 700 millones de pesos, siendo su expansión de 6.2% anual en términos reales</w:t>
      </w:r>
      <w:r w:rsidRPr="001C4330">
        <w:rPr>
          <w:sz w:val="26"/>
          <w:szCs w:val="26"/>
          <w:vertAlign w:val="superscript"/>
          <w:lang w:val="es-ES"/>
        </w:rPr>
        <w:footnoteReference w:id="96"/>
      </w:r>
      <w:r w:rsidRPr="001C4330">
        <w:rPr>
          <w:sz w:val="26"/>
          <w:szCs w:val="26"/>
          <w:lang w:val="es-ES"/>
        </w:rPr>
        <w:t>. De este saldo, 684 mil 300 millones de pesos fueron destinados al crédito al consumo, lo que implicó un aumento de 2.8%. El saldo del crédito a la vivienda fue de 522 mil millones de pesos y creció 6.4%. Por su parte, el crédito a empresas no financieras y personas físicas con actividad empresarial tuvo un saldo de 1 billón 392 mil 400 millones de pesos, que representó un incremento, a tasa anual, de 70%. Finalmente, el saldo del crédito otorgado a intermediarios financieros no bancarios se ubicó en 129 mil millones de pesos, registrando una variación de 15.9% en términos reales.</w:t>
      </w:r>
    </w:p>
    <w:p w14:paraId="6D828E2D" w14:textId="77777777" w:rsidR="005B2CE5" w:rsidRPr="001C4330" w:rsidRDefault="005B2CE5" w:rsidP="001C4330">
      <w:pPr>
        <w:spacing w:after="360" w:line="360" w:lineRule="auto"/>
        <w:ind w:right="-159"/>
        <w:jc w:val="both"/>
        <w:rPr>
          <w:sz w:val="26"/>
          <w:szCs w:val="26"/>
          <w:lang w:val="es-ES"/>
        </w:rPr>
      </w:pPr>
    </w:p>
    <w:p w14:paraId="1EDFAECD" w14:textId="77777777" w:rsidR="001C4330" w:rsidRPr="001C4330" w:rsidRDefault="001C4330" w:rsidP="001C4330">
      <w:pPr>
        <w:spacing w:after="360" w:line="360" w:lineRule="auto"/>
        <w:ind w:right="-159"/>
        <w:jc w:val="both"/>
        <w:rPr>
          <w:b/>
          <w:sz w:val="26"/>
          <w:szCs w:val="26"/>
          <w:lang w:val="es-ES"/>
        </w:rPr>
      </w:pPr>
      <w:r w:rsidRPr="001C4330">
        <w:rPr>
          <w:b/>
          <w:sz w:val="26"/>
          <w:szCs w:val="26"/>
          <w:lang w:val="es-ES"/>
        </w:rPr>
        <w:lastRenderedPageBreak/>
        <w:t>Financiamiento de la Banca de Desarrollo</w:t>
      </w:r>
    </w:p>
    <w:p w14:paraId="0641A1A7" w14:textId="77777777" w:rsidR="001C4330" w:rsidRPr="001C4330" w:rsidRDefault="001C4330" w:rsidP="001C4330">
      <w:pPr>
        <w:spacing w:after="360" w:line="360" w:lineRule="auto"/>
        <w:ind w:right="-159"/>
        <w:jc w:val="both"/>
        <w:rPr>
          <w:sz w:val="26"/>
          <w:szCs w:val="26"/>
          <w:lang w:val="es-ES"/>
        </w:rPr>
      </w:pPr>
      <w:r w:rsidRPr="001C4330">
        <w:rPr>
          <w:sz w:val="26"/>
          <w:szCs w:val="26"/>
          <w:lang w:val="es-ES"/>
        </w:rPr>
        <w:t>El financiamiento otorgado por la banca de desarrollo en enero de 2015 presentó un saldo de 743 mil 700 millones de pesos y tuvo un crecimiento real anual de 15.4%. El financiamiento de la banca de desarrollo incluye a la cartera de crédito vigente y vencida, los títulos asociados a programas de reestructura y de valores. También incluye a Nacional Financiera, S.A. (Nafin), Banco Nacional de Comercio Exterior (Bancomex), Banco Nacional de Obras y Servicios Públicos (Banobras), Sociedad Hipotecaria Federal (SHF), Banco del Ejército (Banjercito) y Banco del Ahorro Nacional y Servicios Financieros (Bansefi).</w:t>
      </w:r>
    </w:p>
    <w:p w14:paraId="1EE33978" w14:textId="77777777" w:rsidR="001C4330" w:rsidRPr="001C4330" w:rsidRDefault="001C4330" w:rsidP="001C4330">
      <w:pPr>
        <w:spacing w:after="360" w:line="360" w:lineRule="auto"/>
        <w:ind w:right="-159"/>
        <w:jc w:val="both"/>
        <w:rPr>
          <w:sz w:val="26"/>
          <w:szCs w:val="26"/>
          <w:lang w:val="es-ES"/>
        </w:rPr>
      </w:pPr>
      <w:r w:rsidRPr="001C4330">
        <w:rPr>
          <w:sz w:val="26"/>
          <w:szCs w:val="26"/>
          <w:lang w:val="es-ES"/>
        </w:rPr>
        <w:t>Del monto de financiamiento, 378 mil 200 millones de pesos correspondieron al financiamiento canalizado al sector privado, con una participación de 50.9% del total, lo que significó un aumento a tasa real anual de 14.4%. El financiamiento a estados y municipios, que representa el 19.2% del total, reportó un saldo de 142 mil 800 millones de pesos presentando un incremento real anual de 3.2%. La tenencia de valores y el saldo del crédito directo total (vigente y vencido) al sector público federal, que conforman el 25.3% del financiamiento total, se situaron en 188 mil 100 millones de pesos, lo que implicó un aumento de 27.4%. Finalmente, el saldo del financiamiento a otros sectores, que comprenden el financiamiento al IPAB, Pidiregas de CFE y Fonadin, y que representa 4.7% del mencionado financiamiento, se ubicó en 34 mil 600 millones de pesos, registrando un incremento de 24.8 por ciento.</w:t>
      </w:r>
    </w:p>
    <w:p w14:paraId="0E20741C" w14:textId="77777777" w:rsidR="001C4330" w:rsidRPr="001C4330" w:rsidRDefault="001C4330" w:rsidP="001C4330">
      <w:pPr>
        <w:spacing w:after="360" w:line="360" w:lineRule="auto"/>
        <w:ind w:right="-159"/>
        <w:jc w:val="both"/>
        <w:rPr>
          <w:sz w:val="26"/>
          <w:szCs w:val="26"/>
          <w:lang w:val="es-ES"/>
        </w:rPr>
      </w:pPr>
    </w:p>
    <w:p w14:paraId="0E12FC8A" w14:textId="77777777" w:rsidR="001C4330" w:rsidRPr="001C4330" w:rsidRDefault="001C4330" w:rsidP="001C4330">
      <w:pPr>
        <w:spacing w:after="360" w:line="360" w:lineRule="auto"/>
        <w:ind w:right="-159"/>
        <w:jc w:val="both"/>
        <w:rPr>
          <w:sz w:val="26"/>
          <w:szCs w:val="26"/>
          <w:lang w:val="es-ES"/>
        </w:rPr>
      </w:pPr>
    </w:p>
    <w:p w14:paraId="7F9E4B57" w14:textId="77777777" w:rsidR="001C4330" w:rsidRPr="001C4330" w:rsidRDefault="001C4330" w:rsidP="001C4330">
      <w:pPr>
        <w:spacing w:after="360" w:line="360" w:lineRule="auto"/>
        <w:ind w:right="-159"/>
        <w:jc w:val="both"/>
        <w:rPr>
          <w:sz w:val="26"/>
          <w:szCs w:val="26"/>
          <w:lang w:val="es-ES"/>
        </w:rPr>
      </w:pPr>
    </w:p>
    <w:p w14:paraId="76BD485B" w14:textId="77777777" w:rsidR="001C4330" w:rsidRPr="001C4330" w:rsidRDefault="001C4330" w:rsidP="001C4330">
      <w:pPr>
        <w:spacing w:after="360" w:line="360" w:lineRule="auto"/>
        <w:ind w:right="-159"/>
        <w:jc w:val="both"/>
        <w:rPr>
          <w:sz w:val="26"/>
          <w:szCs w:val="26"/>
          <w:lang w:val="es-ES"/>
        </w:rPr>
      </w:pPr>
    </w:p>
    <w:tbl>
      <w:tblPr>
        <w:tblW w:w="7834" w:type="dxa"/>
        <w:jc w:val="center"/>
        <w:tblLook w:val="0000" w:firstRow="0" w:lastRow="0" w:firstColumn="0" w:lastColumn="0" w:noHBand="0" w:noVBand="0"/>
      </w:tblPr>
      <w:tblGrid>
        <w:gridCol w:w="1800"/>
        <w:gridCol w:w="1500"/>
        <w:gridCol w:w="1543"/>
        <w:gridCol w:w="1432"/>
        <w:gridCol w:w="1559"/>
      </w:tblGrid>
      <w:tr w:rsidR="001C4330" w:rsidRPr="001C4330" w14:paraId="4E90EFB6" w14:textId="77777777" w:rsidTr="006A662C">
        <w:trPr>
          <w:cantSplit/>
          <w:jc w:val="center"/>
        </w:trPr>
        <w:tc>
          <w:tcPr>
            <w:tcW w:w="7834" w:type="dxa"/>
            <w:gridSpan w:val="5"/>
            <w:tcBorders>
              <w:bottom w:val="single" w:sz="4" w:space="0" w:color="auto"/>
            </w:tcBorders>
          </w:tcPr>
          <w:p w14:paraId="438CEDF6" w14:textId="77777777" w:rsidR="001C4330" w:rsidRPr="001C4330" w:rsidRDefault="001C4330" w:rsidP="001C4330">
            <w:pPr>
              <w:widowControl w:val="0"/>
              <w:adjustRightInd w:val="0"/>
              <w:jc w:val="center"/>
              <w:textAlignment w:val="baseline"/>
              <w:rPr>
                <w:b/>
                <w:bCs/>
                <w:sz w:val="22"/>
                <w:szCs w:val="22"/>
              </w:rPr>
            </w:pPr>
            <w:r w:rsidRPr="001C4330">
              <w:rPr>
                <w:sz w:val="26"/>
              </w:rPr>
              <w:lastRenderedPageBreak/>
              <w:br w:type="page"/>
            </w:r>
            <w:r w:rsidRPr="001C4330">
              <w:rPr>
                <w:b/>
                <w:bCs/>
                <w:sz w:val="22"/>
                <w:szCs w:val="22"/>
              </w:rPr>
              <w:t xml:space="preserve">FINANCIAMIENTO DE LA BANCA COMERCIAL </w:t>
            </w:r>
          </w:p>
          <w:p w14:paraId="1091BCA7" w14:textId="77777777" w:rsidR="001C4330" w:rsidRPr="001C4330" w:rsidRDefault="001C4330" w:rsidP="001C4330">
            <w:pPr>
              <w:widowControl w:val="0"/>
              <w:adjustRightInd w:val="0"/>
              <w:jc w:val="center"/>
              <w:textAlignment w:val="baseline"/>
              <w:rPr>
                <w:b/>
                <w:bCs/>
                <w:sz w:val="22"/>
                <w:szCs w:val="22"/>
              </w:rPr>
            </w:pPr>
            <w:r w:rsidRPr="001C4330">
              <w:rPr>
                <w:b/>
                <w:bCs/>
                <w:sz w:val="22"/>
                <w:szCs w:val="22"/>
              </w:rPr>
              <w:t>AL SECTOR NO BANCARIO</w:t>
            </w:r>
            <w:r w:rsidRPr="001C4330">
              <w:rPr>
                <w:b/>
                <w:bCs/>
                <w:sz w:val="22"/>
                <w:szCs w:val="22"/>
                <w:u w:val="single"/>
                <w:vertAlign w:val="superscript"/>
              </w:rPr>
              <w:t>1</w:t>
            </w:r>
            <w:r w:rsidRPr="001C4330">
              <w:rPr>
                <w:b/>
                <w:bCs/>
                <w:sz w:val="22"/>
                <w:szCs w:val="22"/>
                <w:vertAlign w:val="superscript"/>
              </w:rPr>
              <w:t>/</w:t>
            </w:r>
          </w:p>
          <w:p w14:paraId="41FF14AE" w14:textId="77777777" w:rsidR="001C4330" w:rsidRPr="001C4330" w:rsidRDefault="001C4330" w:rsidP="001C4330">
            <w:pPr>
              <w:widowControl w:val="0"/>
              <w:adjustRightInd w:val="0"/>
              <w:jc w:val="center"/>
              <w:textAlignment w:val="baseline"/>
              <w:rPr>
                <w:b/>
                <w:bCs/>
                <w:sz w:val="22"/>
                <w:szCs w:val="22"/>
              </w:rPr>
            </w:pPr>
            <w:r w:rsidRPr="001C4330">
              <w:rPr>
                <w:b/>
                <w:bCs/>
                <w:sz w:val="22"/>
                <w:szCs w:val="22"/>
              </w:rPr>
              <w:t>2006-2015</w:t>
            </w:r>
          </w:p>
          <w:p w14:paraId="71C93205" w14:textId="77777777" w:rsidR="001C4330" w:rsidRPr="001C4330" w:rsidRDefault="001C4330" w:rsidP="001C4330">
            <w:pPr>
              <w:widowControl w:val="0"/>
              <w:adjustRightInd w:val="0"/>
              <w:jc w:val="center"/>
              <w:textAlignment w:val="baseline"/>
              <w:rPr>
                <w:b/>
                <w:bCs/>
              </w:rPr>
            </w:pPr>
            <w:r w:rsidRPr="001C4330">
              <w:rPr>
                <w:b/>
                <w:bCs/>
                <w:sz w:val="22"/>
                <w:szCs w:val="22"/>
              </w:rPr>
              <w:t>-Saldo en miles de millones de pesos-</w:t>
            </w:r>
          </w:p>
        </w:tc>
      </w:tr>
      <w:tr w:rsidR="001C4330" w:rsidRPr="001C4330" w14:paraId="678CAB45" w14:textId="77777777" w:rsidTr="006A662C">
        <w:trPr>
          <w:jc w:val="center"/>
        </w:trPr>
        <w:tc>
          <w:tcPr>
            <w:tcW w:w="1800" w:type="dxa"/>
            <w:tcBorders>
              <w:top w:val="single" w:sz="4" w:space="0" w:color="auto"/>
              <w:left w:val="single" w:sz="4" w:space="0" w:color="auto"/>
              <w:bottom w:val="single" w:sz="4" w:space="0" w:color="auto"/>
              <w:right w:val="single" w:sz="4" w:space="0" w:color="auto"/>
            </w:tcBorders>
            <w:vAlign w:val="center"/>
          </w:tcPr>
          <w:p w14:paraId="294909BC" w14:textId="77777777" w:rsidR="001C4330" w:rsidRPr="001C4330" w:rsidRDefault="001C4330" w:rsidP="001C4330">
            <w:pPr>
              <w:widowControl w:val="0"/>
              <w:adjustRightInd w:val="0"/>
              <w:jc w:val="center"/>
              <w:textAlignment w:val="baseline"/>
              <w:rPr>
                <w:b/>
                <w:sz w:val="20"/>
              </w:rPr>
            </w:pPr>
            <w:r w:rsidRPr="001C4330">
              <w:rPr>
                <w:b/>
                <w:sz w:val="20"/>
              </w:rPr>
              <w:t>Mes</w:t>
            </w:r>
          </w:p>
        </w:tc>
        <w:tc>
          <w:tcPr>
            <w:tcW w:w="1500" w:type="dxa"/>
            <w:tcBorders>
              <w:top w:val="single" w:sz="4" w:space="0" w:color="auto"/>
              <w:left w:val="single" w:sz="4" w:space="0" w:color="auto"/>
              <w:bottom w:val="single" w:sz="4" w:space="0" w:color="auto"/>
              <w:right w:val="single" w:sz="4" w:space="0" w:color="auto"/>
            </w:tcBorders>
            <w:vAlign w:val="center"/>
          </w:tcPr>
          <w:p w14:paraId="72074B5C" w14:textId="77777777" w:rsidR="001C4330" w:rsidRPr="001C4330" w:rsidRDefault="001C4330" w:rsidP="001C4330">
            <w:pPr>
              <w:widowControl w:val="0"/>
              <w:adjustRightInd w:val="0"/>
              <w:jc w:val="center"/>
              <w:textAlignment w:val="baseline"/>
              <w:rPr>
                <w:b/>
                <w:sz w:val="20"/>
              </w:rPr>
            </w:pPr>
            <w:r w:rsidRPr="001C4330">
              <w:rPr>
                <w:b/>
                <w:sz w:val="20"/>
              </w:rPr>
              <w:t>Total</w:t>
            </w:r>
            <w:r w:rsidRPr="001C4330">
              <w:rPr>
                <w:b/>
                <w:sz w:val="20"/>
                <w:u w:val="single"/>
                <w:vertAlign w:val="superscript"/>
              </w:rPr>
              <w:t>2</w:t>
            </w:r>
            <w:r w:rsidRPr="001C4330">
              <w:rPr>
                <w:b/>
                <w:sz w:val="20"/>
                <w:vertAlign w:val="superscript"/>
              </w:rPr>
              <w:t>/</w:t>
            </w:r>
          </w:p>
        </w:tc>
        <w:tc>
          <w:tcPr>
            <w:tcW w:w="1543" w:type="dxa"/>
            <w:tcBorders>
              <w:top w:val="single" w:sz="4" w:space="0" w:color="auto"/>
              <w:left w:val="single" w:sz="4" w:space="0" w:color="auto"/>
              <w:bottom w:val="single" w:sz="4" w:space="0" w:color="auto"/>
              <w:right w:val="single" w:sz="4" w:space="0" w:color="auto"/>
            </w:tcBorders>
            <w:vAlign w:val="center"/>
          </w:tcPr>
          <w:p w14:paraId="1CE2EF00" w14:textId="77777777" w:rsidR="001C4330" w:rsidRPr="001C4330" w:rsidRDefault="001C4330" w:rsidP="001C4330">
            <w:pPr>
              <w:widowControl w:val="0"/>
              <w:adjustRightInd w:val="0"/>
              <w:jc w:val="center"/>
              <w:textAlignment w:val="baseline"/>
              <w:rPr>
                <w:b/>
                <w:sz w:val="20"/>
              </w:rPr>
            </w:pPr>
            <w:r w:rsidRPr="001C4330">
              <w:rPr>
                <w:b/>
                <w:sz w:val="20"/>
              </w:rPr>
              <w:t>Sector Privado</w:t>
            </w:r>
          </w:p>
        </w:tc>
        <w:tc>
          <w:tcPr>
            <w:tcW w:w="1432" w:type="dxa"/>
            <w:tcBorders>
              <w:top w:val="single" w:sz="4" w:space="0" w:color="auto"/>
              <w:left w:val="single" w:sz="4" w:space="0" w:color="auto"/>
              <w:bottom w:val="single" w:sz="4" w:space="0" w:color="auto"/>
              <w:right w:val="single" w:sz="4" w:space="0" w:color="auto"/>
            </w:tcBorders>
          </w:tcPr>
          <w:p w14:paraId="48F7A01A" w14:textId="77777777" w:rsidR="001C4330" w:rsidRPr="001C4330" w:rsidRDefault="001C4330" w:rsidP="001C4330">
            <w:pPr>
              <w:widowControl w:val="0"/>
              <w:adjustRightInd w:val="0"/>
              <w:jc w:val="center"/>
              <w:textAlignment w:val="baseline"/>
              <w:rPr>
                <w:b/>
                <w:sz w:val="20"/>
              </w:rPr>
            </w:pPr>
            <w:r w:rsidRPr="001C4330">
              <w:rPr>
                <w:b/>
                <w:sz w:val="20"/>
              </w:rPr>
              <w:t>Estados y Municipios</w:t>
            </w:r>
          </w:p>
        </w:tc>
        <w:tc>
          <w:tcPr>
            <w:tcW w:w="1559" w:type="dxa"/>
            <w:tcBorders>
              <w:top w:val="single" w:sz="4" w:space="0" w:color="auto"/>
              <w:left w:val="single" w:sz="4" w:space="0" w:color="auto"/>
              <w:bottom w:val="single" w:sz="4" w:space="0" w:color="auto"/>
              <w:right w:val="single" w:sz="4" w:space="0" w:color="auto"/>
            </w:tcBorders>
          </w:tcPr>
          <w:p w14:paraId="5EC5DBC3" w14:textId="77777777" w:rsidR="001C4330" w:rsidRPr="001C4330" w:rsidRDefault="001C4330" w:rsidP="001C4330">
            <w:pPr>
              <w:widowControl w:val="0"/>
              <w:adjustRightInd w:val="0"/>
              <w:jc w:val="center"/>
              <w:textAlignment w:val="baseline"/>
              <w:rPr>
                <w:b/>
                <w:sz w:val="20"/>
              </w:rPr>
            </w:pPr>
            <w:r w:rsidRPr="001C4330">
              <w:rPr>
                <w:b/>
                <w:sz w:val="20"/>
              </w:rPr>
              <w:t>Sector Público no bancario</w:t>
            </w:r>
          </w:p>
        </w:tc>
      </w:tr>
      <w:tr w:rsidR="001C4330" w:rsidRPr="001C4330" w14:paraId="1EA35920" w14:textId="77777777" w:rsidTr="006A662C">
        <w:trPr>
          <w:jc w:val="center"/>
        </w:trPr>
        <w:tc>
          <w:tcPr>
            <w:tcW w:w="1800" w:type="dxa"/>
            <w:tcBorders>
              <w:left w:val="single" w:sz="4" w:space="0" w:color="auto"/>
              <w:right w:val="single" w:sz="4" w:space="0" w:color="auto"/>
            </w:tcBorders>
          </w:tcPr>
          <w:p w14:paraId="078E9F9D" w14:textId="77777777" w:rsidR="001C4330" w:rsidRPr="001C4330" w:rsidRDefault="001C4330" w:rsidP="001C4330">
            <w:pPr>
              <w:widowControl w:val="0"/>
              <w:adjustRightInd w:val="0"/>
              <w:jc w:val="both"/>
              <w:textAlignment w:val="baseline"/>
              <w:rPr>
                <w:sz w:val="20"/>
              </w:rPr>
            </w:pPr>
            <w:bookmarkStart w:id="10" w:name="_Hlk55628772"/>
            <w:r w:rsidRPr="001C4330">
              <w:rPr>
                <w:sz w:val="20"/>
              </w:rPr>
              <w:t>Diciembre 2009</w:t>
            </w:r>
          </w:p>
        </w:tc>
        <w:tc>
          <w:tcPr>
            <w:tcW w:w="1500" w:type="dxa"/>
            <w:tcBorders>
              <w:left w:val="single" w:sz="4" w:space="0" w:color="auto"/>
              <w:right w:val="single" w:sz="4" w:space="0" w:color="auto"/>
            </w:tcBorders>
          </w:tcPr>
          <w:p w14:paraId="058DFDD1" w14:textId="77777777" w:rsidR="001C4330" w:rsidRPr="001C4330" w:rsidRDefault="001C4330" w:rsidP="001C4330">
            <w:pPr>
              <w:widowControl w:val="0"/>
              <w:adjustRightInd w:val="0"/>
              <w:ind w:right="284"/>
              <w:jc w:val="right"/>
              <w:textAlignment w:val="baseline"/>
              <w:rPr>
                <w:sz w:val="20"/>
              </w:rPr>
            </w:pPr>
            <w:r w:rsidRPr="001C4330">
              <w:rPr>
                <w:sz w:val="20"/>
              </w:rPr>
              <w:t>2 438.6</w:t>
            </w:r>
          </w:p>
        </w:tc>
        <w:tc>
          <w:tcPr>
            <w:tcW w:w="1543" w:type="dxa"/>
            <w:tcBorders>
              <w:left w:val="single" w:sz="4" w:space="0" w:color="auto"/>
              <w:right w:val="single" w:sz="4" w:space="0" w:color="auto"/>
            </w:tcBorders>
          </w:tcPr>
          <w:p w14:paraId="334EDBBF" w14:textId="77777777" w:rsidR="001C4330" w:rsidRPr="001C4330" w:rsidRDefault="001C4330" w:rsidP="001C4330">
            <w:pPr>
              <w:widowControl w:val="0"/>
              <w:adjustRightInd w:val="0"/>
              <w:ind w:right="284"/>
              <w:jc w:val="right"/>
              <w:textAlignment w:val="baseline"/>
              <w:rPr>
                <w:sz w:val="20"/>
              </w:rPr>
            </w:pPr>
            <w:r w:rsidRPr="001C4330">
              <w:rPr>
                <w:sz w:val="20"/>
              </w:rPr>
              <w:t>1 794.4</w:t>
            </w:r>
          </w:p>
        </w:tc>
        <w:tc>
          <w:tcPr>
            <w:tcW w:w="1432" w:type="dxa"/>
            <w:tcBorders>
              <w:left w:val="single" w:sz="4" w:space="0" w:color="auto"/>
              <w:right w:val="single" w:sz="4" w:space="0" w:color="auto"/>
            </w:tcBorders>
          </w:tcPr>
          <w:p w14:paraId="7350F74A" w14:textId="77777777" w:rsidR="001C4330" w:rsidRPr="001C4330" w:rsidRDefault="001C4330" w:rsidP="001C4330">
            <w:pPr>
              <w:widowControl w:val="0"/>
              <w:adjustRightInd w:val="0"/>
              <w:jc w:val="center"/>
              <w:textAlignment w:val="baseline"/>
              <w:rPr>
                <w:sz w:val="20"/>
              </w:rPr>
            </w:pPr>
            <w:r w:rsidRPr="001C4330">
              <w:rPr>
                <w:sz w:val="20"/>
              </w:rPr>
              <w:t>174.0</w:t>
            </w:r>
          </w:p>
        </w:tc>
        <w:tc>
          <w:tcPr>
            <w:tcW w:w="1559" w:type="dxa"/>
            <w:tcBorders>
              <w:left w:val="single" w:sz="4" w:space="0" w:color="auto"/>
              <w:right w:val="single" w:sz="4" w:space="0" w:color="auto"/>
            </w:tcBorders>
          </w:tcPr>
          <w:p w14:paraId="042BC7F9" w14:textId="77777777" w:rsidR="001C4330" w:rsidRPr="001C4330" w:rsidRDefault="001C4330" w:rsidP="001C4330">
            <w:pPr>
              <w:widowControl w:val="0"/>
              <w:adjustRightInd w:val="0"/>
              <w:ind w:right="454"/>
              <w:jc w:val="right"/>
              <w:textAlignment w:val="baseline"/>
              <w:rPr>
                <w:sz w:val="20"/>
              </w:rPr>
            </w:pPr>
            <w:r w:rsidRPr="001C4330">
              <w:rPr>
                <w:sz w:val="20"/>
              </w:rPr>
              <w:t>434.4</w:t>
            </w:r>
          </w:p>
        </w:tc>
      </w:tr>
      <w:tr w:rsidR="001C4330" w:rsidRPr="001C4330" w14:paraId="366552CC" w14:textId="77777777" w:rsidTr="006A662C">
        <w:trPr>
          <w:jc w:val="center"/>
        </w:trPr>
        <w:tc>
          <w:tcPr>
            <w:tcW w:w="1800" w:type="dxa"/>
            <w:tcBorders>
              <w:left w:val="single" w:sz="4" w:space="0" w:color="auto"/>
              <w:right w:val="single" w:sz="4" w:space="0" w:color="auto"/>
            </w:tcBorders>
          </w:tcPr>
          <w:p w14:paraId="7B9EE6E8" w14:textId="77777777" w:rsidR="001C4330" w:rsidRPr="001C4330" w:rsidRDefault="001C4330" w:rsidP="001C4330">
            <w:pPr>
              <w:widowControl w:val="0"/>
              <w:adjustRightInd w:val="0"/>
              <w:jc w:val="both"/>
              <w:textAlignment w:val="baseline"/>
              <w:rPr>
                <w:sz w:val="20"/>
              </w:rPr>
            </w:pPr>
            <w:r w:rsidRPr="001C4330">
              <w:rPr>
                <w:sz w:val="20"/>
              </w:rPr>
              <w:t>Diciembre 2010</w:t>
            </w:r>
          </w:p>
        </w:tc>
        <w:tc>
          <w:tcPr>
            <w:tcW w:w="1500" w:type="dxa"/>
            <w:tcBorders>
              <w:left w:val="single" w:sz="4" w:space="0" w:color="auto"/>
              <w:right w:val="single" w:sz="4" w:space="0" w:color="auto"/>
            </w:tcBorders>
          </w:tcPr>
          <w:p w14:paraId="1A0D3AA9" w14:textId="77777777" w:rsidR="001C4330" w:rsidRPr="001C4330" w:rsidRDefault="001C4330" w:rsidP="001C4330">
            <w:pPr>
              <w:widowControl w:val="0"/>
              <w:adjustRightInd w:val="0"/>
              <w:ind w:right="284"/>
              <w:jc w:val="right"/>
              <w:textAlignment w:val="baseline"/>
              <w:rPr>
                <w:sz w:val="20"/>
              </w:rPr>
            </w:pPr>
            <w:r w:rsidRPr="001C4330">
              <w:rPr>
                <w:sz w:val="20"/>
              </w:rPr>
              <w:t>2 807.5</w:t>
            </w:r>
          </w:p>
        </w:tc>
        <w:tc>
          <w:tcPr>
            <w:tcW w:w="1543" w:type="dxa"/>
            <w:tcBorders>
              <w:left w:val="single" w:sz="4" w:space="0" w:color="auto"/>
              <w:right w:val="single" w:sz="4" w:space="0" w:color="auto"/>
            </w:tcBorders>
          </w:tcPr>
          <w:p w14:paraId="089019EC" w14:textId="77777777" w:rsidR="001C4330" w:rsidRPr="001C4330" w:rsidRDefault="001C4330" w:rsidP="001C4330">
            <w:pPr>
              <w:widowControl w:val="0"/>
              <w:adjustRightInd w:val="0"/>
              <w:ind w:right="284"/>
              <w:jc w:val="right"/>
              <w:textAlignment w:val="baseline"/>
              <w:rPr>
                <w:sz w:val="20"/>
              </w:rPr>
            </w:pPr>
            <w:r w:rsidRPr="001C4330">
              <w:rPr>
                <w:sz w:val="20"/>
              </w:rPr>
              <w:t>1 921.9</w:t>
            </w:r>
          </w:p>
        </w:tc>
        <w:tc>
          <w:tcPr>
            <w:tcW w:w="1432" w:type="dxa"/>
            <w:tcBorders>
              <w:left w:val="single" w:sz="4" w:space="0" w:color="auto"/>
              <w:right w:val="single" w:sz="4" w:space="0" w:color="auto"/>
            </w:tcBorders>
          </w:tcPr>
          <w:p w14:paraId="1B3F32E0" w14:textId="77777777" w:rsidR="001C4330" w:rsidRPr="001C4330" w:rsidRDefault="001C4330" w:rsidP="001C4330">
            <w:pPr>
              <w:widowControl w:val="0"/>
              <w:adjustRightInd w:val="0"/>
              <w:jc w:val="center"/>
              <w:textAlignment w:val="baseline"/>
              <w:rPr>
                <w:sz w:val="20"/>
              </w:rPr>
            </w:pPr>
            <w:r w:rsidRPr="001C4330">
              <w:rPr>
                <w:sz w:val="20"/>
              </w:rPr>
              <w:t>219.0</w:t>
            </w:r>
          </w:p>
        </w:tc>
        <w:tc>
          <w:tcPr>
            <w:tcW w:w="1559" w:type="dxa"/>
            <w:tcBorders>
              <w:left w:val="single" w:sz="4" w:space="0" w:color="auto"/>
              <w:right w:val="single" w:sz="4" w:space="0" w:color="auto"/>
            </w:tcBorders>
          </w:tcPr>
          <w:p w14:paraId="628F816E" w14:textId="77777777" w:rsidR="001C4330" w:rsidRPr="001C4330" w:rsidRDefault="001C4330" w:rsidP="001C4330">
            <w:pPr>
              <w:widowControl w:val="0"/>
              <w:adjustRightInd w:val="0"/>
              <w:ind w:right="454"/>
              <w:jc w:val="right"/>
              <w:textAlignment w:val="baseline"/>
              <w:rPr>
                <w:sz w:val="20"/>
              </w:rPr>
            </w:pPr>
            <w:r w:rsidRPr="001C4330">
              <w:rPr>
                <w:sz w:val="20"/>
              </w:rPr>
              <w:t>561.1</w:t>
            </w:r>
          </w:p>
        </w:tc>
      </w:tr>
      <w:tr w:rsidR="001C4330" w:rsidRPr="001C4330" w14:paraId="411ECFF6" w14:textId="77777777" w:rsidTr="006A662C">
        <w:trPr>
          <w:jc w:val="center"/>
        </w:trPr>
        <w:tc>
          <w:tcPr>
            <w:tcW w:w="1800" w:type="dxa"/>
            <w:tcBorders>
              <w:left w:val="single" w:sz="4" w:space="0" w:color="auto"/>
              <w:right w:val="single" w:sz="4" w:space="0" w:color="auto"/>
            </w:tcBorders>
          </w:tcPr>
          <w:p w14:paraId="68261CEC" w14:textId="77777777" w:rsidR="001C4330" w:rsidRPr="001C4330" w:rsidRDefault="001C4330" w:rsidP="001C4330">
            <w:pPr>
              <w:widowControl w:val="0"/>
              <w:adjustRightInd w:val="0"/>
              <w:jc w:val="both"/>
              <w:textAlignment w:val="baseline"/>
              <w:rPr>
                <w:sz w:val="20"/>
              </w:rPr>
            </w:pPr>
            <w:r w:rsidRPr="001C4330">
              <w:rPr>
                <w:sz w:val="20"/>
              </w:rPr>
              <w:t>Diciembre 2011</w:t>
            </w:r>
          </w:p>
        </w:tc>
        <w:tc>
          <w:tcPr>
            <w:tcW w:w="1500" w:type="dxa"/>
            <w:tcBorders>
              <w:left w:val="single" w:sz="4" w:space="0" w:color="auto"/>
              <w:right w:val="single" w:sz="4" w:space="0" w:color="auto"/>
            </w:tcBorders>
          </w:tcPr>
          <w:p w14:paraId="19306826" w14:textId="77777777" w:rsidR="001C4330" w:rsidRPr="001C4330" w:rsidRDefault="001C4330" w:rsidP="001C4330">
            <w:pPr>
              <w:widowControl w:val="0"/>
              <w:adjustRightInd w:val="0"/>
              <w:ind w:right="284"/>
              <w:jc w:val="right"/>
              <w:textAlignment w:val="baseline"/>
              <w:rPr>
                <w:sz w:val="20"/>
              </w:rPr>
            </w:pPr>
            <w:r w:rsidRPr="001C4330">
              <w:rPr>
                <w:sz w:val="20"/>
              </w:rPr>
              <w:t>3 145.1</w:t>
            </w:r>
          </w:p>
        </w:tc>
        <w:tc>
          <w:tcPr>
            <w:tcW w:w="1543" w:type="dxa"/>
            <w:tcBorders>
              <w:left w:val="single" w:sz="4" w:space="0" w:color="auto"/>
              <w:right w:val="single" w:sz="4" w:space="0" w:color="auto"/>
            </w:tcBorders>
          </w:tcPr>
          <w:p w14:paraId="7118282F" w14:textId="77777777" w:rsidR="001C4330" w:rsidRPr="001C4330" w:rsidRDefault="001C4330" w:rsidP="001C4330">
            <w:pPr>
              <w:widowControl w:val="0"/>
              <w:adjustRightInd w:val="0"/>
              <w:ind w:right="284"/>
              <w:jc w:val="right"/>
              <w:textAlignment w:val="baseline"/>
              <w:rPr>
                <w:sz w:val="20"/>
              </w:rPr>
            </w:pPr>
            <w:r w:rsidRPr="001C4330">
              <w:rPr>
                <w:sz w:val="20"/>
              </w:rPr>
              <w:t>2 222.3</w:t>
            </w:r>
          </w:p>
        </w:tc>
        <w:tc>
          <w:tcPr>
            <w:tcW w:w="1432" w:type="dxa"/>
            <w:tcBorders>
              <w:left w:val="single" w:sz="4" w:space="0" w:color="auto"/>
              <w:right w:val="single" w:sz="4" w:space="0" w:color="auto"/>
            </w:tcBorders>
          </w:tcPr>
          <w:p w14:paraId="46CA7D9F" w14:textId="77777777" w:rsidR="001C4330" w:rsidRPr="001C4330" w:rsidRDefault="001C4330" w:rsidP="001C4330">
            <w:pPr>
              <w:widowControl w:val="0"/>
              <w:adjustRightInd w:val="0"/>
              <w:jc w:val="center"/>
              <w:textAlignment w:val="baseline"/>
              <w:rPr>
                <w:sz w:val="20"/>
              </w:rPr>
            </w:pPr>
            <w:r w:rsidRPr="001C4330">
              <w:rPr>
                <w:sz w:val="20"/>
              </w:rPr>
              <w:t>223.6</w:t>
            </w:r>
          </w:p>
        </w:tc>
        <w:tc>
          <w:tcPr>
            <w:tcW w:w="1559" w:type="dxa"/>
            <w:tcBorders>
              <w:left w:val="single" w:sz="4" w:space="0" w:color="auto"/>
              <w:right w:val="single" w:sz="4" w:space="0" w:color="auto"/>
            </w:tcBorders>
          </w:tcPr>
          <w:p w14:paraId="614221FD" w14:textId="77777777" w:rsidR="001C4330" w:rsidRPr="001C4330" w:rsidRDefault="001C4330" w:rsidP="001C4330">
            <w:pPr>
              <w:widowControl w:val="0"/>
              <w:adjustRightInd w:val="0"/>
              <w:ind w:right="454"/>
              <w:jc w:val="right"/>
              <w:textAlignment w:val="baseline"/>
              <w:rPr>
                <w:sz w:val="20"/>
              </w:rPr>
            </w:pPr>
            <w:r w:rsidRPr="001C4330">
              <w:rPr>
                <w:sz w:val="20"/>
              </w:rPr>
              <w:t>582.9</w:t>
            </w:r>
          </w:p>
        </w:tc>
      </w:tr>
      <w:tr w:rsidR="001C4330" w:rsidRPr="001C4330" w14:paraId="41A43A5A" w14:textId="77777777" w:rsidTr="006A662C">
        <w:trPr>
          <w:jc w:val="center"/>
        </w:trPr>
        <w:tc>
          <w:tcPr>
            <w:tcW w:w="1800" w:type="dxa"/>
            <w:tcBorders>
              <w:left w:val="single" w:sz="4" w:space="0" w:color="auto"/>
              <w:right w:val="single" w:sz="4" w:space="0" w:color="auto"/>
            </w:tcBorders>
          </w:tcPr>
          <w:p w14:paraId="561CDD2B" w14:textId="77777777" w:rsidR="001C4330" w:rsidRPr="001C4330" w:rsidRDefault="001C4330" w:rsidP="001C4330">
            <w:pPr>
              <w:widowControl w:val="0"/>
              <w:adjustRightInd w:val="0"/>
              <w:jc w:val="both"/>
              <w:textAlignment w:val="baseline"/>
              <w:rPr>
                <w:sz w:val="20"/>
              </w:rPr>
            </w:pPr>
            <w:r w:rsidRPr="001C4330">
              <w:rPr>
                <w:sz w:val="20"/>
              </w:rPr>
              <w:t>Diciembre 2012</w:t>
            </w:r>
          </w:p>
        </w:tc>
        <w:tc>
          <w:tcPr>
            <w:tcW w:w="1500" w:type="dxa"/>
            <w:tcBorders>
              <w:left w:val="single" w:sz="4" w:space="0" w:color="auto"/>
              <w:right w:val="single" w:sz="4" w:space="0" w:color="auto"/>
            </w:tcBorders>
          </w:tcPr>
          <w:p w14:paraId="2C5D9B6E" w14:textId="77777777" w:rsidR="001C4330" w:rsidRPr="001C4330" w:rsidRDefault="001C4330" w:rsidP="001C4330">
            <w:pPr>
              <w:widowControl w:val="0"/>
              <w:adjustRightInd w:val="0"/>
              <w:ind w:right="284"/>
              <w:jc w:val="right"/>
              <w:textAlignment w:val="baseline"/>
              <w:rPr>
                <w:sz w:val="20"/>
              </w:rPr>
            </w:pPr>
            <w:r w:rsidRPr="001C4330">
              <w:rPr>
                <w:sz w:val="20"/>
              </w:rPr>
              <w:t>3 335.1</w:t>
            </w:r>
          </w:p>
        </w:tc>
        <w:tc>
          <w:tcPr>
            <w:tcW w:w="1543" w:type="dxa"/>
            <w:tcBorders>
              <w:left w:val="single" w:sz="4" w:space="0" w:color="auto"/>
              <w:right w:val="single" w:sz="4" w:space="0" w:color="auto"/>
            </w:tcBorders>
          </w:tcPr>
          <w:p w14:paraId="1E209884" w14:textId="77777777" w:rsidR="001C4330" w:rsidRPr="001C4330" w:rsidRDefault="001C4330" w:rsidP="001C4330">
            <w:pPr>
              <w:widowControl w:val="0"/>
              <w:adjustRightInd w:val="0"/>
              <w:ind w:right="284"/>
              <w:jc w:val="right"/>
              <w:textAlignment w:val="baseline"/>
              <w:rPr>
                <w:sz w:val="20"/>
              </w:rPr>
            </w:pPr>
            <w:r w:rsidRPr="001C4330">
              <w:rPr>
                <w:sz w:val="20"/>
              </w:rPr>
              <w:t>2 464.4</w:t>
            </w:r>
          </w:p>
        </w:tc>
        <w:tc>
          <w:tcPr>
            <w:tcW w:w="1432" w:type="dxa"/>
            <w:tcBorders>
              <w:left w:val="single" w:sz="4" w:space="0" w:color="auto"/>
              <w:right w:val="single" w:sz="4" w:space="0" w:color="auto"/>
            </w:tcBorders>
          </w:tcPr>
          <w:p w14:paraId="6387B35A" w14:textId="77777777" w:rsidR="001C4330" w:rsidRPr="001C4330" w:rsidRDefault="001C4330" w:rsidP="001C4330">
            <w:pPr>
              <w:widowControl w:val="0"/>
              <w:adjustRightInd w:val="0"/>
              <w:jc w:val="center"/>
              <w:textAlignment w:val="baseline"/>
              <w:rPr>
                <w:sz w:val="20"/>
              </w:rPr>
            </w:pPr>
            <w:r w:rsidRPr="001C4330">
              <w:rPr>
                <w:sz w:val="20"/>
              </w:rPr>
              <w:t>270.3</w:t>
            </w:r>
          </w:p>
        </w:tc>
        <w:tc>
          <w:tcPr>
            <w:tcW w:w="1559" w:type="dxa"/>
            <w:tcBorders>
              <w:left w:val="single" w:sz="4" w:space="0" w:color="auto"/>
              <w:right w:val="single" w:sz="4" w:space="0" w:color="auto"/>
            </w:tcBorders>
          </w:tcPr>
          <w:p w14:paraId="67F874C3" w14:textId="77777777" w:rsidR="001C4330" w:rsidRPr="001C4330" w:rsidRDefault="001C4330" w:rsidP="001C4330">
            <w:pPr>
              <w:widowControl w:val="0"/>
              <w:adjustRightInd w:val="0"/>
              <w:ind w:right="454"/>
              <w:jc w:val="right"/>
              <w:textAlignment w:val="baseline"/>
              <w:rPr>
                <w:sz w:val="20"/>
              </w:rPr>
            </w:pPr>
            <w:r w:rsidRPr="001C4330">
              <w:rPr>
                <w:sz w:val="20"/>
              </w:rPr>
              <w:t>527.0</w:t>
            </w:r>
          </w:p>
        </w:tc>
      </w:tr>
      <w:tr w:rsidR="001C4330" w:rsidRPr="001C4330" w14:paraId="20A886CF" w14:textId="77777777" w:rsidTr="005B2CE5">
        <w:trPr>
          <w:jc w:val="center"/>
        </w:trPr>
        <w:tc>
          <w:tcPr>
            <w:tcW w:w="1800" w:type="dxa"/>
            <w:tcBorders>
              <w:left w:val="single" w:sz="4" w:space="0" w:color="auto"/>
              <w:bottom w:val="single" w:sz="4" w:space="0" w:color="auto"/>
              <w:right w:val="single" w:sz="4" w:space="0" w:color="auto"/>
            </w:tcBorders>
          </w:tcPr>
          <w:p w14:paraId="545F5C8B" w14:textId="77777777" w:rsidR="001C4330" w:rsidRPr="001C4330" w:rsidRDefault="001C4330" w:rsidP="001C4330">
            <w:pPr>
              <w:widowControl w:val="0"/>
              <w:adjustRightInd w:val="0"/>
              <w:jc w:val="both"/>
              <w:textAlignment w:val="baseline"/>
              <w:rPr>
                <w:sz w:val="20"/>
              </w:rPr>
            </w:pPr>
            <w:r w:rsidRPr="001C4330">
              <w:rPr>
                <w:sz w:val="20"/>
              </w:rPr>
              <w:t>Diciembre 2013</w:t>
            </w:r>
          </w:p>
        </w:tc>
        <w:tc>
          <w:tcPr>
            <w:tcW w:w="1500" w:type="dxa"/>
            <w:tcBorders>
              <w:left w:val="single" w:sz="4" w:space="0" w:color="auto"/>
              <w:bottom w:val="single" w:sz="4" w:space="0" w:color="auto"/>
              <w:right w:val="single" w:sz="4" w:space="0" w:color="auto"/>
            </w:tcBorders>
          </w:tcPr>
          <w:p w14:paraId="696E3622" w14:textId="77777777" w:rsidR="001C4330" w:rsidRPr="001C4330" w:rsidRDefault="001C4330" w:rsidP="001C4330">
            <w:pPr>
              <w:widowControl w:val="0"/>
              <w:adjustRightInd w:val="0"/>
              <w:ind w:right="284"/>
              <w:jc w:val="right"/>
              <w:textAlignment w:val="baseline"/>
              <w:rPr>
                <w:sz w:val="20"/>
              </w:rPr>
            </w:pPr>
            <w:r w:rsidRPr="001C4330">
              <w:rPr>
                <w:sz w:val="20"/>
              </w:rPr>
              <w:t>3 615.0</w:t>
            </w:r>
          </w:p>
        </w:tc>
        <w:tc>
          <w:tcPr>
            <w:tcW w:w="1543" w:type="dxa"/>
            <w:tcBorders>
              <w:left w:val="single" w:sz="4" w:space="0" w:color="auto"/>
              <w:bottom w:val="single" w:sz="4" w:space="0" w:color="auto"/>
              <w:right w:val="single" w:sz="4" w:space="0" w:color="auto"/>
            </w:tcBorders>
          </w:tcPr>
          <w:p w14:paraId="441F96EF" w14:textId="77777777" w:rsidR="001C4330" w:rsidRPr="001C4330" w:rsidRDefault="001C4330" w:rsidP="001C4330">
            <w:pPr>
              <w:widowControl w:val="0"/>
              <w:adjustRightInd w:val="0"/>
              <w:ind w:right="284"/>
              <w:jc w:val="right"/>
              <w:textAlignment w:val="baseline"/>
              <w:rPr>
                <w:sz w:val="20"/>
              </w:rPr>
            </w:pPr>
            <w:r w:rsidRPr="001C4330">
              <w:rPr>
                <w:sz w:val="20"/>
              </w:rPr>
              <w:t>2 710.6</w:t>
            </w:r>
          </w:p>
        </w:tc>
        <w:tc>
          <w:tcPr>
            <w:tcW w:w="1432" w:type="dxa"/>
            <w:tcBorders>
              <w:left w:val="single" w:sz="4" w:space="0" w:color="auto"/>
              <w:bottom w:val="single" w:sz="4" w:space="0" w:color="auto"/>
              <w:right w:val="single" w:sz="4" w:space="0" w:color="auto"/>
            </w:tcBorders>
          </w:tcPr>
          <w:p w14:paraId="0AEE2DD6" w14:textId="77777777" w:rsidR="001C4330" w:rsidRPr="001C4330" w:rsidRDefault="001C4330" w:rsidP="001C4330">
            <w:pPr>
              <w:widowControl w:val="0"/>
              <w:adjustRightInd w:val="0"/>
              <w:jc w:val="center"/>
              <w:textAlignment w:val="baseline"/>
              <w:rPr>
                <w:sz w:val="20"/>
              </w:rPr>
            </w:pPr>
            <w:r w:rsidRPr="001C4330">
              <w:rPr>
                <w:sz w:val="20"/>
              </w:rPr>
              <w:t>295.0</w:t>
            </w:r>
          </w:p>
        </w:tc>
        <w:tc>
          <w:tcPr>
            <w:tcW w:w="1559" w:type="dxa"/>
            <w:tcBorders>
              <w:left w:val="single" w:sz="4" w:space="0" w:color="auto"/>
              <w:bottom w:val="single" w:sz="4" w:space="0" w:color="auto"/>
              <w:right w:val="single" w:sz="4" w:space="0" w:color="auto"/>
            </w:tcBorders>
          </w:tcPr>
          <w:p w14:paraId="6E612A81" w14:textId="77777777" w:rsidR="001C4330" w:rsidRPr="001C4330" w:rsidRDefault="001C4330" w:rsidP="001C4330">
            <w:pPr>
              <w:widowControl w:val="0"/>
              <w:adjustRightInd w:val="0"/>
              <w:ind w:right="454"/>
              <w:jc w:val="right"/>
              <w:textAlignment w:val="baseline"/>
              <w:rPr>
                <w:sz w:val="20"/>
              </w:rPr>
            </w:pPr>
            <w:r w:rsidRPr="001C4330">
              <w:rPr>
                <w:sz w:val="20"/>
              </w:rPr>
              <w:t>555.4</w:t>
            </w:r>
          </w:p>
        </w:tc>
      </w:tr>
      <w:tr w:rsidR="001C4330" w:rsidRPr="001C4330" w14:paraId="02BFB3B1" w14:textId="77777777" w:rsidTr="005B2CE5">
        <w:trPr>
          <w:jc w:val="center"/>
        </w:trPr>
        <w:tc>
          <w:tcPr>
            <w:tcW w:w="7834" w:type="dxa"/>
            <w:gridSpan w:val="5"/>
            <w:tcBorders>
              <w:top w:val="single" w:sz="4" w:space="0" w:color="auto"/>
              <w:left w:val="single" w:sz="4" w:space="0" w:color="auto"/>
              <w:bottom w:val="single" w:sz="4" w:space="0" w:color="auto"/>
              <w:right w:val="single" w:sz="4" w:space="0" w:color="auto"/>
            </w:tcBorders>
          </w:tcPr>
          <w:p w14:paraId="7C48750F" w14:textId="77777777" w:rsidR="001C4330" w:rsidRPr="001C4330" w:rsidRDefault="001C4330" w:rsidP="001C4330">
            <w:pPr>
              <w:widowControl w:val="0"/>
              <w:adjustRightInd w:val="0"/>
              <w:ind w:right="284"/>
              <w:jc w:val="center"/>
              <w:textAlignment w:val="baseline"/>
              <w:rPr>
                <w:b/>
                <w:sz w:val="20"/>
              </w:rPr>
            </w:pPr>
            <w:r w:rsidRPr="001C4330">
              <w:rPr>
                <w:b/>
                <w:sz w:val="20"/>
              </w:rPr>
              <w:t>2014</w:t>
            </w:r>
          </w:p>
        </w:tc>
      </w:tr>
      <w:tr w:rsidR="001C4330" w:rsidRPr="001C4330" w14:paraId="402541C4" w14:textId="77777777" w:rsidTr="005B2CE5">
        <w:trPr>
          <w:jc w:val="center"/>
        </w:trPr>
        <w:tc>
          <w:tcPr>
            <w:tcW w:w="1800" w:type="dxa"/>
            <w:tcBorders>
              <w:top w:val="single" w:sz="4" w:space="0" w:color="auto"/>
              <w:left w:val="single" w:sz="4" w:space="0" w:color="auto"/>
              <w:right w:val="single" w:sz="4" w:space="0" w:color="auto"/>
            </w:tcBorders>
          </w:tcPr>
          <w:p w14:paraId="0F5D4EDE" w14:textId="77777777" w:rsidR="001C4330" w:rsidRPr="001C4330" w:rsidRDefault="001C4330" w:rsidP="001C4330">
            <w:pPr>
              <w:widowControl w:val="0"/>
              <w:adjustRightInd w:val="0"/>
              <w:jc w:val="both"/>
              <w:textAlignment w:val="baseline"/>
              <w:rPr>
                <w:sz w:val="20"/>
              </w:rPr>
            </w:pPr>
            <w:r w:rsidRPr="001C4330">
              <w:rPr>
                <w:sz w:val="20"/>
              </w:rPr>
              <w:t>Enero</w:t>
            </w:r>
          </w:p>
        </w:tc>
        <w:tc>
          <w:tcPr>
            <w:tcW w:w="1500" w:type="dxa"/>
            <w:tcBorders>
              <w:top w:val="single" w:sz="4" w:space="0" w:color="auto"/>
              <w:left w:val="single" w:sz="4" w:space="0" w:color="auto"/>
              <w:right w:val="single" w:sz="4" w:space="0" w:color="auto"/>
            </w:tcBorders>
          </w:tcPr>
          <w:p w14:paraId="09A74BA8" w14:textId="77777777" w:rsidR="001C4330" w:rsidRPr="001C4330" w:rsidRDefault="001C4330" w:rsidP="001C4330">
            <w:pPr>
              <w:widowControl w:val="0"/>
              <w:adjustRightInd w:val="0"/>
              <w:ind w:right="284"/>
              <w:jc w:val="right"/>
              <w:textAlignment w:val="baseline"/>
              <w:rPr>
                <w:sz w:val="20"/>
              </w:rPr>
            </w:pPr>
            <w:r w:rsidRPr="001C4330">
              <w:rPr>
                <w:sz w:val="20"/>
              </w:rPr>
              <w:t>3 543.0</w:t>
            </w:r>
          </w:p>
        </w:tc>
        <w:tc>
          <w:tcPr>
            <w:tcW w:w="1543" w:type="dxa"/>
            <w:tcBorders>
              <w:top w:val="single" w:sz="4" w:space="0" w:color="auto"/>
              <w:left w:val="single" w:sz="4" w:space="0" w:color="auto"/>
              <w:right w:val="single" w:sz="4" w:space="0" w:color="auto"/>
            </w:tcBorders>
          </w:tcPr>
          <w:p w14:paraId="720E2E91" w14:textId="77777777" w:rsidR="001C4330" w:rsidRPr="001C4330" w:rsidRDefault="001C4330" w:rsidP="001C4330">
            <w:pPr>
              <w:widowControl w:val="0"/>
              <w:adjustRightInd w:val="0"/>
              <w:ind w:right="284"/>
              <w:jc w:val="right"/>
              <w:textAlignment w:val="baseline"/>
              <w:rPr>
                <w:sz w:val="20"/>
              </w:rPr>
            </w:pPr>
            <w:r w:rsidRPr="001C4330">
              <w:rPr>
                <w:sz w:val="20"/>
              </w:rPr>
              <w:t>2 695.2</w:t>
            </w:r>
          </w:p>
        </w:tc>
        <w:tc>
          <w:tcPr>
            <w:tcW w:w="1432" w:type="dxa"/>
            <w:tcBorders>
              <w:top w:val="single" w:sz="4" w:space="0" w:color="auto"/>
              <w:left w:val="single" w:sz="4" w:space="0" w:color="auto"/>
              <w:right w:val="single" w:sz="4" w:space="0" w:color="auto"/>
            </w:tcBorders>
          </w:tcPr>
          <w:p w14:paraId="251D55E8" w14:textId="77777777" w:rsidR="001C4330" w:rsidRPr="001C4330" w:rsidRDefault="001C4330" w:rsidP="001C4330">
            <w:pPr>
              <w:widowControl w:val="0"/>
              <w:adjustRightInd w:val="0"/>
              <w:jc w:val="center"/>
              <w:textAlignment w:val="baseline"/>
              <w:rPr>
                <w:sz w:val="20"/>
              </w:rPr>
            </w:pPr>
            <w:r w:rsidRPr="001C4330">
              <w:rPr>
                <w:sz w:val="20"/>
              </w:rPr>
              <w:t>292.7</w:t>
            </w:r>
          </w:p>
        </w:tc>
        <w:tc>
          <w:tcPr>
            <w:tcW w:w="1559" w:type="dxa"/>
            <w:tcBorders>
              <w:top w:val="single" w:sz="4" w:space="0" w:color="auto"/>
              <w:left w:val="single" w:sz="4" w:space="0" w:color="auto"/>
              <w:right w:val="single" w:sz="4" w:space="0" w:color="auto"/>
            </w:tcBorders>
          </w:tcPr>
          <w:p w14:paraId="7175680A" w14:textId="77777777" w:rsidR="001C4330" w:rsidRPr="001C4330" w:rsidRDefault="001C4330" w:rsidP="001C4330">
            <w:pPr>
              <w:widowControl w:val="0"/>
              <w:adjustRightInd w:val="0"/>
              <w:ind w:right="454"/>
              <w:jc w:val="right"/>
              <w:textAlignment w:val="baseline"/>
              <w:rPr>
                <w:sz w:val="20"/>
              </w:rPr>
            </w:pPr>
            <w:r w:rsidRPr="001C4330">
              <w:rPr>
                <w:sz w:val="20"/>
              </w:rPr>
              <w:t>517.4</w:t>
            </w:r>
          </w:p>
        </w:tc>
      </w:tr>
      <w:tr w:rsidR="001C4330" w:rsidRPr="001C4330" w14:paraId="39D745DA" w14:textId="77777777" w:rsidTr="006A662C">
        <w:trPr>
          <w:jc w:val="center"/>
        </w:trPr>
        <w:tc>
          <w:tcPr>
            <w:tcW w:w="1800" w:type="dxa"/>
            <w:tcBorders>
              <w:left w:val="single" w:sz="4" w:space="0" w:color="auto"/>
              <w:right w:val="single" w:sz="4" w:space="0" w:color="auto"/>
            </w:tcBorders>
          </w:tcPr>
          <w:p w14:paraId="7058D909" w14:textId="77777777" w:rsidR="001C4330" w:rsidRPr="001C4330" w:rsidRDefault="001C4330" w:rsidP="001C4330">
            <w:pPr>
              <w:widowControl w:val="0"/>
              <w:adjustRightInd w:val="0"/>
              <w:jc w:val="both"/>
              <w:textAlignment w:val="baseline"/>
              <w:rPr>
                <w:sz w:val="20"/>
              </w:rPr>
            </w:pPr>
            <w:r w:rsidRPr="001C4330">
              <w:rPr>
                <w:sz w:val="20"/>
              </w:rPr>
              <w:t>Febrero</w:t>
            </w:r>
          </w:p>
        </w:tc>
        <w:tc>
          <w:tcPr>
            <w:tcW w:w="1500" w:type="dxa"/>
            <w:tcBorders>
              <w:left w:val="single" w:sz="4" w:space="0" w:color="auto"/>
              <w:right w:val="single" w:sz="4" w:space="0" w:color="auto"/>
            </w:tcBorders>
          </w:tcPr>
          <w:p w14:paraId="1B8B307F" w14:textId="77777777" w:rsidR="001C4330" w:rsidRPr="001C4330" w:rsidRDefault="001C4330" w:rsidP="001C4330">
            <w:pPr>
              <w:widowControl w:val="0"/>
              <w:adjustRightInd w:val="0"/>
              <w:ind w:right="284"/>
              <w:jc w:val="right"/>
              <w:textAlignment w:val="baseline"/>
              <w:rPr>
                <w:sz w:val="20"/>
              </w:rPr>
            </w:pPr>
            <w:r w:rsidRPr="001C4330">
              <w:rPr>
                <w:sz w:val="20"/>
              </w:rPr>
              <w:t>3 480.9</w:t>
            </w:r>
          </w:p>
        </w:tc>
        <w:tc>
          <w:tcPr>
            <w:tcW w:w="1543" w:type="dxa"/>
            <w:tcBorders>
              <w:left w:val="single" w:sz="4" w:space="0" w:color="auto"/>
              <w:right w:val="single" w:sz="4" w:space="0" w:color="auto"/>
            </w:tcBorders>
          </w:tcPr>
          <w:p w14:paraId="45D04649" w14:textId="77777777" w:rsidR="001C4330" w:rsidRPr="001C4330" w:rsidRDefault="001C4330" w:rsidP="001C4330">
            <w:pPr>
              <w:widowControl w:val="0"/>
              <w:adjustRightInd w:val="0"/>
              <w:ind w:right="284"/>
              <w:jc w:val="right"/>
              <w:textAlignment w:val="baseline"/>
              <w:rPr>
                <w:sz w:val="20"/>
              </w:rPr>
            </w:pPr>
            <w:r w:rsidRPr="001C4330">
              <w:rPr>
                <w:sz w:val="20"/>
              </w:rPr>
              <w:t>2 695.4</w:t>
            </w:r>
          </w:p>
        </w:tc>
        <w:tc>
          <w:tcPr>
            <w:tcW w:w="1432" w:type="dxa"/>
            <w:tcBorders>
              <w:left w:val="single" w:sz="4" w:space="0" w:color="auto"/>
              <w:right w:val="single" w:sz="4" w:space="0" w:color="auto"/>
            </w:tcBorders>
          </w:tcPr>
          <w:p w14:paraId="622549AA" w14:textId="77777777" w:rsidR="001C4330" w:rsidRPr="001C4330" w:rsidRDefault="001C4330" w:rsidP="001C4330">
            <w:pPr>
              <w:widowControl w:val="0"/>
              <w:adjustRightInd w:val="0"/>
              <w:jc w:val="center"/>
              <w:textAlignment w:val="baseline"/>
              <w:rPr>
                <w:sz w:val="20"/>
              </w:rPr>
            </w:pPr>
            <w:r w:rsidRPr="001C4330">
              <w:rPr>
                <w:sz w:val="20"/>
              </w:rPr>
              <w:t>292.9</w:t>
            </w:r>
          </w:p>
        </w:tc>
        <w:tc>
          <w:tcPr>
            <w:tcW w:w="1559" w:type="dxa"/>
            <w:tcBorders>
              <w:left w:val="single" w:sz="4" w:space="0" w:color="auto"/>
              <w:right w:val="single" w:sz="4" w:space="0" w:color="auto"/>
            </w:tcBorders>
          </w:tcPr>
          <w:p w14:paraId="4B87F538" w14:textId="77777777" w:rsidR="001C4330" w:rsidRPr="001C4330" w:rsidRDefault="001C4330" w:rsidP="001C4330">
            <w:pPr>
              <w:widowControl w:val="0"/>
              <w:adjustRightInd w:val="0"/>
              <w:ind w:right="454"/>
              <w:jc w:val="right"/>
              <w:textAlignment w:val="baseline"/>
              <w:rPr>
                <w:sz w:val="20"/>
              </w:rPr>
            </w:pPr>
            <w:r w:rsidRPr="001C4330">
              <w:rPr>
                <w:sz w:val="20"/>
              </w:rPr>
              <w:t>469.3</w:t>
            </w:r>
          </w:p>
        </w:tc>
      </w:tr>
      <w:tr w:rsidR="001C4330" w:rsidRPr="001C4330" w14:paraId="46D03195" w14:textId="77777777" w:rsidTr="006A662C">
        <w:trPr>
          <w:jc w:val="center"/>
        </w:trPr>
        <w:tc>
          <w:tcPr>
            <w:tcW w:w="1800" w:type="dxa"/>
            <w:tcBorders>
              <w:left w:val="single" w:sz="4" w:space="0" w:color="auto"/>
              <w:right w:val="single" w:sz="4" w:space="0" w:color="auto"/>
            </w:tcBorders>
          </w:tcPr>
          <w:p w14:paraId="129F943D" w14:textId="77777777" w:rsidR="001C4330" w:rsidRPr="001C4330" w:rsidRDefault="001C4330" w:rsidP="001C4330">
            <w:pPr>
              <w:widowControl w:val="0"/>
              <w:adjustRightInd w:val="0"/>
              <w:jc w:val="both"/>
              <w:textAlignment w:val="baseline"/>
              <w:rPr>
                <w:sz w:val="20"/>
              </w:rPr>
            </w:pPr>
            <w:r w:rsidRPr="001C4330">
              <w:rPr>
                <w:sz w:val="20"/>
              </w:rPr>
              <w:t>Marzo</w:t>
            </w:r>
          </w:p>
        </w:tc>
        <w:tc>
          <w:tcPr>
            <w:tcW w:w="1500" w:type="dxa"/>
            <w:tcBorders>
              <w:left w:val="single" w:sz="4" w:space="0" w:color="auto"/>
              <w:right w:val="single" w:sz="4" w:space="0" w:color="auto"/>
            </w:tcBorders>
          </w:tcPr>
          <w:p w14:paraId="0F06AC0C" w14:textId="77777777" w:rsidR="001C4330" w:rsidRPr="001C4330" w:rsidRDefault="001C4330" w:rsidP="001C4330">
            <w:pPr>
              <w:widowControl w:val="0"/>
              <w:adjustRightInd w:val="0"/>
              <w:ind w:right="284"/>
              <w:jc w:val="right"/>
              <w:textAlignment w:val="baseline"/>
              <w:rPr>
                <w:sz w:val="20"/>
              </w:rPr>
            </w:pPr>
            <w:r w:rsidRPr="001C4330">
              <w:rPr>
                <w:sz w:val="20"/>
              </w:rPr>
              <w:t>3 674.6</w:t>
            </w:r>
          </w:p>
        </w:tc>
        <w:tc>
          <w:tcPr>
            <w:tcW w:w="1543" w:type="dxa"/>
            <w:tcBorders>
              <w:left w:val="single" w:sz="4" w:space="0" w:color="auto"/>
              <w:right w:val="single" w:sz="4" w:space="0" w:color="auto"/>
            </w:tcBorders>
          </w:tcPr>
          <w:p w14:paraId="0E031191" w14:textId="77777777" w:rsidR="001C4330" w:rsidRPr="001C4330" w:rsidRDefault="001C4330" w:rsidP="001C4330">
            <w:pPr>
              <w:widowControl w:val="0"/>
              <w:adjustRightInd w:val="0"/>
              <w:ind w:right="284"/>
              <w:jc w:val="right"/>
              <w:textAlignment w:val="baseline"/>
              <w:rPr>
                <w:sz w:val="20"/>
              </w:rPr>
            </w:pPr>
            <w:r w:rsidRPr="001C4330">
              <w:rPr>
                <w:sz w:val="20"/>
              </w:rPr>
              <w:t>2 707.3</w:t>
            </w:r>
          </w:p>
        </w:tc>
        <w:tc>
          <w:tcPr>
            <w:tcW w:w="1432" w:type="dxa"/>
            <w:tcBorders>
              <w:left w:val="single" w:sz="4" w:space="0" w:color="auto"/>
              <w:right w:val="single" w:sz="4" w:space="0" w:color="auto"/>
            </w:tcBorders>
          </w:tcPr>
          <w:p w14:paraId="26C5ACE9" w14:textId="77777777" w:rsidR="001C4330" w:rsidRPr="001C4330" w:rsidRDefault="001C4330" w:rsidP="001C4330">
            <w:pPr>
              <w:widowControl w:val="0"/>
              <w:adjustRightInd w:val="0"/>
              <w:jc w:val="center"/>
              <w:textAlignment w:val="baseline"/>
              <w:rPr>
                <w:sz w:val="20"/>
              </w:rPr>
            </w:pPr>
            <w:r w:rsidRPr="001C4330">
              <w:rPr>
                <w:sz w:val="20"/>
              </w:rPr>
              <w:t>290.8</w:t>
            </w:r>
          </w:p>
        </w:tc>
        <w:tc>
          <w:tcPr>
            <w:tcW w:w="1559" w:type="dxa"/>
            <w:tcBorders>
              <w:left w:val="single" w:sz="4" w:space="0" w:color="auto"/>
              <w:right w:val="single" w:sz="4" w:space="0" w:color="auto"/>
            </w:tcBorders>
          </w:tcPr>
          <w:p w14:paraId="08873A31" w14:textId="77777777" w:rsidR="001C4330" w:rsidRPr="001C4330" w:rsidRDefault="001C4330" w:rsidP="001C4330">
            <w:pPr>
              <w:widowControl w:val="0"/>
              <w:adjustRightInd w:val="0"/>
              <w:ind w:right="454"/>
              <w:jc w:val="right"/>
              <w:textAlignment w:val="baseline"/>
              <w:rPr>
                <w:sz w:val="20"/>
              </w:rPr>
            </w:pPr>
            <w:r w:rsidRPr="001C4330">
              <w:rPr>
                <w:sz w:val="20"/>
              </w:rPr>
              <w:t>626.7</w:t>
            </w:r>
          </w:p>
        </w:tc>
      </w:tr>
      <w:tr w:rsidR="001C4330" w:rsidRPr="001C4330" w14:paraId="42C9FE0A" w14:textId="77777777" w:rsidTr="006A662C">
        <w:trPr>
          <w:jc w:val="center"/>
        </w:trPr>
        <w:tc>
          <w:tcPr>
            <w:tcW w:w="1800" w:type="dxa"/>
            <w:tcBorders>
              <w:left w:val="single" w:sz="4" w:space="0" w:color="auto"/>
              <w:right w:val="single" w:sz="4" w:space="0" w:color="auto"/>
            </w:tcBorders>
          </w:tcPr>
          <w:p w14:paraId="3C0AFB6B" w14:textId="77777777" w:rsidR="001C4330" w:rsidRPr="001C4330" w:rsidRDefault="001C4330" w:rsidP="001C4330">
            <w:pPr>
              <w:widowControl w:val="0"/>
              <w:adjustRightInd w:val="0"/>
              <w:jc w:val="both"/>
              <w:textAlignment w:val="baseline"/>
              <w:rPr>
                <w:sz w:val="20"/>
              </w:rPr>
            </w:pPr>
            <w:r w:rsidRPr="001C4330">
              <w:rPr>
                <w:sz w:val="20"/>
              </w:rPr>
              <w:t>Abril</w:t>
            </w:r>
          </w:p>
        </w:tc>
        <w:tc>
          <w:tcPr>
            <w:tcW w:w="1500" w:type="dxa"/>
            <w:tcBorders>
              <w:left w:val="single" w:sz="4" w:space="0" w:color="auto"/>
              <w:right w:val="single" w:sz="4" w:space="0" w:color="auto"/>
            </w:tcBorders>
          </w:tcPr>
          <w:p w14:paraId="0C5C0CFE" w14:textId="77777777" w:rsidR="001C4330" w:rsidRPr="001C4330" w:rsidRDefault="001C4330" w:rsidP="001C4330">
            <w:pPr>
              <w:widowControl w:val="0"/>
              <w:adjustRightInd w:val="0"/>
              <w:ind w:right="284"/>
              <w:jc w:val="right"/>
              <w:textAlignment w:val="baseline"/>
              <w:rPr>
                <w:sz w:val="20"/>
              </w:rPr>
            </w:pPr>
            <w:r w:rsidRPr="001C4330">
              <w:rPr>
                <w:sz w:val="20"/>
              </w:rPr>
              <w:t>3 641.7</w:t>
            </w:r>
          </w:p>
        </w:tc>
        <w:tc>
          <w:tcPr>
            <w:tcW w:w="1543" w:type="dxa"/>
            <w:tcBorders>
              <w:left w:val="single" w:sz="4" w:space="0" w:color="auto"/>
              <w:right w:val="single" w:sz="4" w:space="0" w:color="auto"/>
            </w:tcBorders>
          </w:tcPr>
          <w:p w14:paraId="426B2CF0" w14:textId="77777777" w:rsidR="001C4330" w:rsidRPr="001C4330" w:rsidRDefault="001C4330" w:rsidP="001C4330">
            <w:pPr>
              <w:widowControl w:val="0"/>
              <w:adjustRightInd w:val="0"/>
              <w:ind w:right="284"/>
              <w:jc w:val="right"/>
              <w:textAlignment w:val="baseline"/>
              <w:rPr>
                <w:sz w:val="20"/>
              </w:rPr>
            </w:pPr>
            <w:r w:rsidRPr="001C4330">
              <w:rPr>
                <w:sz w:val="20"/>
              </w:rPr>
              <w:t>2 715.0</w:t>
            </w:r>
          </w:p>
        </w:tc>
        <w:tc>
          <w:tcPr>
            <w:tcW w:w="1432" w:type="dxa"/>
            <w:tcBorders>
              <w:left w:val="single" w:sz="4" w:space="0" w:color="auto"/>
              <w:right w:val="single" w:sz="4" w:space="0" w:color="auto"/>
            </w:tcBorders>
          </w:tcPr>
          <w:p w14:paraId="24A7C3AA" w14:textId="77777777" w:rsidR="001C4330" w:rsidRPr="001C4330" w:rsidRDefault="001C4330" w:rsidP="001C4330">
            <w:pPr>
              <w:widowControl w:val="0"/>
              <w:adjustRightInd w:val="0"/>
              <w:jc w:val="center"/>
              <w:textAlignment w:val="baseline"/>
              <w:rPr>
                <w:sz w:val="20"/>
              </w:rPr>
            </w:pPr>
            <w:r w:rsidRPr="001C4330">
              <w:rPr>
                <w:sz w:val="20"/>
              </w:rPr>
              <w:t>290.8</w:t>
            </w:r>
          </w:p>
        </w:tc>
        <w:tc>
          <w:tcPr>
            <w:tcW w:w="1559" w:type="dxa"/>
            <w:tcBorders>
              <w:left w:val="single" w:sz="4" w:space="0" w:color="auto"/>
              <w:right w:val="single" w:sz="4" w:space="0" w:color="auto"/>
            </w:tcBorders>
          </w:tcPr>
          <w:p w14:paraId="530A0761" w14:textId="77777777" w:rsidR="001C4330" w:rsidRPr="001C4330" w:rsidRDefault="001C4330" w:rsidP="001C4330">
            <w:pPr>
              <w:widowControl w:val="0"/>
              <w:adjustRightInd w:val="0"/>
              <w:ind w:right="454"/>
              <w:jc w:val="right"/>
              <w:textAlignment w:val="baseline"/>
              <w:rPr>
                <w:sz w:val="20"/>
              </w:rPr>
            </w:pPr>
            <w:r w:rsidRPr="001C4330">
              <w:rPr>
                <w:sz w:val="20"/>
              </w:rPr>
              <w:t>601.2</w:t>
            </w:r>
          </w:p>
        </w:tc>
      </w:tr>
      <w:tr w:rsidR="001C4330" w:rsidRPr="001C4330" w14:paraId="4BA36919" w14:textId="77777777" w:rsidTr="006A662C">
        <w:trPr>
          <w:jc w:val="center"/>
        </w:trPr>
        <w:tc>
          <w:tcPr>
            <w:tcW w:w="1800" w:type="dxa"/>
            <w:tcBorders>
              <w:left w:val="single" w:sz="4" w:space="0" w:color="auto"/>
              <w:right w:val="single" w:sz="4" w:space="0" w:color="auto"/>
            </w:tcBorders>
          </w:tcPr>
          <w:p w14:paraId="5A238B64" w14:textId="77777777" w:rsidR="001C4330" w:rsidRPr="001C4330" w:rsidRDefault="001C4330" w:rsidP="001C4330">
            <w:pPr>
              <w:widowControl w:val="0"/>
              <w:adjustRightInd w:val="0"/>
              <w:jc w:val="both"/>
              <w:textAlignment w:val="baseline"/>
              <w:rPr>
                <w:sz w:val="20"/>
              </w:rPr>
            </w:pPr>
            <w:r w:rsidRPr="001C4330">
              <w:rPr>
                <w:sz w:val="20"/>
              </w:rPr>
              <w:t>Mayo</w:t>
            </w:r>
          </w:p>
        </w:tc>
        <w:tc>
          <w:tcPr>
            <w:tcW w:w="1500" w:type="dxa"/>
            <w:tcBorders>
              <w:left w:val="single" w:sz="4" w:space="0" w:color="auto"/>
              <w:right w:val="single" w:sz="4" w:space="0" w:color="auto"/>
            </w:tcBorders>
          </w:tcPr>
          <w:p w14:paraId="20A7594A" w14:textId="77777777" w:rsidR="001C4330" w:rsidRPr="001C4330" w:rsidRDefault="001C4330" w:rsidP="001C4330">
            <w:pPr>
              <w:widowControl w:val="0"/>
              <w:adjustRightInd w:val="0"/>
              <w:ind w:right="284"/>
              <w:jc w:val="right"/>
              <w:textAlignment w:val="baseline"/>
              <w:rPr>
                <w:sz w:val="20"/>
              </w:rPr>
            </w:pPr>
            <w:r w:rsidRPr="001C4330">
              <w:rPr>
                <w:sz w:val="20"/>
              </w:rPr>
              <w:t>3 637.9</w:t>
            </w:r>
          </w:p>
        </w:tc>
        <w:tc>
          <w:tcPr>
            <w:tcW w:w="1543" w:type="dxa"/>
            <w:tcBorders>
              <w:left w:val="single" w:sz="4" w:space="0" w:color="auto"/>
              <w:right w:val="single" w:sz="4" w:space="0" w:color="auto"/>
            </w:tcBorders>
          </w:tcPr>
          <w:p w14:paraId="4F193D2E" w14:textId="77777777" w:rsidR="001C4330" w:rsidRPr="001C4330" w:rsidRDefault="001C4330" w:rsidP="001C4330">
            <w:pPr>
              <w:widowControl w:val="0"/>
              <w:adjustRightInd w:val="0"/>
              <w:ind w:right="284"/>
              <w:jc w:val="right"/>
              <w:textAlignment w:val="baseline"/>
              <w:rPr>
                <w:sz w:val="20"/>
              </w:rPr>
            </w:pPr>
            <w:r w:rsidRPr="001C4330">
              <w:rPr>
                <w:sz w:val="20"/>
              </w:rPr>
              <w:t>2 764.5</w:t>
            </w:r>
          </w:p>
        </w:tc>
        <w:tc>
          <w:tcPr>
            <w:tcW w:w="1432" w:type="dxa"/>
            <w:tcBorders>
              <w:left w:val="single" w:sz="4" w:space="0" w:color="auto"/>
              <w:right w:val="single" w:sz="4" w:space="0" w:color="auto"/>
            </w:tcBorders>
          </w:tcPr>
          <w:p w14:paraId="164CEAA0" w14:textId="77777777" w:rsidR="001C4330" w:rsidRPr="001C4330" w:rsidRDefault="001C4330" w:rsidP="001C4330">
            <w:pPr>
              <w:widowControl w:val="0"/>
              <w:adjustRightInd w:val="0"/>
              <w:jc w:val="center"/>
              <w:textAlignment w:val="baseline"/>
              <w:rPr>
                <w:sz w:val="20"/>
              </w:rPr>
            </w:pPr>
            <w:r w:rsidRPr="001C4330">
              <w:rPr>
                <w:sz w:val="20"/>
              </w:rPr>
              <w:t>294.0</w:t>
            </w:r>
          </w:p>
        </w:tc>
        <w:tc>
          <w:tcPr>
            <w:tcW w:w="1559" w:type="dxa"/>
            <w:tcBorders>
              <w:left w:val="single" w:sz="4" w:space="0" w:color="auto"/>
              <w:right w:val="single" w:sz="4" w:space="0" w:color="auto"/>
            </w:tcBorders>
          </w:tcPr>
          <w:p w14:paraId="1FD1B898" w14:textId="77777777" w:rsidR="001C4330" w:rsidRPr="001C4330" w:rsidRDefault="001C4330" w:rsidP="001C4330">
            <w:pPr>
              <w:widowControl w:val="0"/>
              <w:adjustRightInd w:val="0"/>
              <w:ind w:right="454"/>
              <w:jc w:val="right"/>
              <w:textAlignment w:val="baseline"/>
              <w:rPr>
                <w:sz w:val="20"/>
              </w:rPr>
            </w:pPr>
            <w:r w:rsidRPr="001C4330">
              <w:rPr>
                <w:sz w:val="20"/>
              </w:rPr>
              <w:t>557.0</w:t>
            </w:r>
          </w:p>
        </w:tc>
      </w:tr>
      <w:tr w:rsidR="001C4330" w:rsidRPr="001C4330" w14:paraId="51AD29CF" w14:textId="77777777" w:rsidTr="006A662C">
        <w:trPr>
          <w:jc w:val="center"/>
        </w:trPr>
        <w:tc>
          <w:tcPr>
            <w:tcW w:w="1800" w:type="dxa"/>
            <w:tcBorders>
              <w:left w:val="single" w:sz="4" w:space="0" w:color="auto"/>
              <w:right w:val="single" w:sz="4" w:space="0" w:color="auto"/>
            </w:tcBorders>
          </w:tcPr>
          <w:p w14:paraId="5703C1AB" w14:textId="77777777" w:rsidR="001C4330" w:rsidRPr="001C4330" w:rsidRDefault="001C4330" w:rsidP="001C4330">
            <w:pPr>
              <w:widowControl w:val="0"/>
              <w:adjustRightInd w:val="0"/>
              <w:jc w:val="both"/>
              <w:textAlignment w:val="baseline"/>
              <w:rPr>
                <w:sz w:val="20"/>
              </w:rPr>
            </w:pPr>
            <w:r w:rsidRPr="001C4330">
              <w:rPr>
                <w:sz w:val="20"/>
              </w:rPr>
              <w:t>Junio</w:t>
            </w:r>
          </w:p>
        </w:tc>
        <w:tc>
          <w:tcPr>
            <w:tcW w:w="1500" w:type="dxa"/>
            <w:tcBorders>
              <w:left w:val="single" w:sz="4" w:space="0" w:color="auto"/>
              <w:right w:val="single" w:sz="4" w:space="0" w:color="auto"/>
            </w:tcBorders>
          </w:tcPr>
          <w:p w14:paraId="462991F1" w14:textId="77777777" w:rsidR="001C4330" w:rsidRPr="001C4330" w:rsidRDefault="001C4330" w:rsidP="001C4330">
            <w:pPr>
              <w:widowControl w:val="0"/>
              <w:adjustRightInd w:val="0"/>
              <w:ind w:right="284"/>
              <w:jc w:val="right"/>
              <w:textAlignment w:val="baseline"/>
              <w:rPr>
                <w:sz w:val="20"/>
              </w:rPr>
            </w:pPr>
            <w:r w:rsidRPr="001C4330">
              <w:rPr>
                <w:sz w:val="20"/>
              </w:rPr>
              <w:t>3 710.1</w:t>
            </w:r>
          </w:p>
        </w:tc>
        <w:tc>
          <w:tcPr>
            <w:tcW w:w="1543" w:type="dxa"/>
            <w:tcBorders>
              <w:left w:val="single" w:sz="4" w:space="0" w:color="auto"/>
              <w:right w:val="single" w:sz="4" w:space="0" w:color="auto"/>
            </w:tcBorders>
          </w:tcPr>
          <w:p w14:paraId="43D095B4" w14:textId="77777777" w:rsidR="001C4330" w:rsidRPr="001C4330" w:rsidRDefault="001C4330" w:rsidP="001C4330">
            <w:pPr>
              <w:widowControl w:val="0"/>
              <w:adjustRightInd w:val="0"/>
              <w:ind w:right="284"/>
              <w:jc w:val="right"/>
              <w:textAlignment w:val="baseline"/>
              <w:rPr>
                <w:sz w:val="20"/>
              </w:rPr>
            </w:pPr>
            <w:r w:rsidRPr="001C4330">
              <w:rPr>
                <w:sz w:val="20"/>
              </w:rPr>
              <w:t>2 778.9</w:t>
            </w:r>
          </w:p>
        </w:tc>
        <w:tc>
          <w:tcPr>
            <w:tcW w:w="1432" w:type="dxa"/>
            <w:tcBorders>
              <w:left w:val="single" w:sz="4" w:space="0" w:color="auto"/>
              <w:right w:val="single" w:sz="4" w:space="0" w:color="auto"/>
            </w:tcBorders>
          </w:tcPr>
          <w:p w14:paraId="340BFB59" w14:textId="77777777" w:rsidR="001C4330" w:rsidRPr="001C4330" w:rsidRDefault="001C4330" w:rsidP="001C4330">
            <w:pPr>
              <w:widowControl w:val="0"/>
              <w:adjustRightInd w:val="0"/>
              <w:jc w:val="center"/>
              <w:textAlignment w:val="baseline"/>
              <w:rPr>
                <w:sz w:val="20"/>
              </w:rPr>
            </w:pPr>
            <w:r w:rsidRPr="001C4330">
              <w:rPr>
                <w:sz w:val="20"/>
              </w:rPr>
              <w:t>294.1</w:t>
            </w:r>
          </w:p>
        </w:tc>
        <w:tc>
          <w:tcPr>
            <w:tcW w:w="1559" w:type="dxa"/>
            <w:tcBorders>
              <w:left w:val="single" w:sz="4" w:space="0" w:color="auto"/>
              <w:right w:val="single" w:sz="4" w:space="0" w:color="auto"/>
            </w:tcBorders>
          </w:tcPr>
          <w:p w14:paraId="4AB660D2" w14:textId="77777777" w:rsidR="001C4330" w:rsidRPr="001C4330" w:rsidRDefault="001C4330" w:rsidP="001C4330">
            <w:pPr>
              <w:widowControl w:val="0"/>
              <w:adjustRightInd w:val="0"/>
              <w:ind w:right="454"/>
              <w:jc w:val="right"/>
              <w:textAlignment w:val="baseline"/>
              <w:rPr>
                <w:sz w:val="20"/>
              </w:rPr>
            </w:pPr>
            <w:r w:rsidRPr="001C4330">
              <w:rPr>
                <w:sz w:val="20"/>
              </w:rPr>
              <w:t>604.7</w:t>
            </w:r>
          </w:p>
        </w:tc>
      </w:tr>
      <w:tr w:rsidR="001C4330" w:rsidRPr="001C4330" w14:paraId="5E360CBA" w14:textId="77777777" w:rsidTr="006A662C">
        <w:trPr>
          <w:jc w:val="center"/>
        </w:trPr>
        <w:tc>
          <w:tcPr>
            <w:tcW w:w="1800" w:type="dxa"/>
            <w:tcBorders>
              <w:left w:val="single" w:sz="4" w:space="0" w:color="auto"/>
              <w:right w:val="single" w:sz="4" w:space="0" w:color="auto"/>
            </w:tcBorders>
          </w:tcPr>
          <w:p w14:paraId="7B29DC03" w14:textId="77777777" w:rsidR="001C4330" w:rsidRPr="001C4330" w:rsidRDefault="001C4330" w:rsidP="001C4330">
            <w:pPr>
              <w:widowControl w:val="0"/>
              <w:adjustRightInd w:val="0"/>
              <w:jc w:val="both"/>
              <w:textAlignment w:val="baseline"/>
              <w:rPr>
                <w:sz w:val="20"/>
              </w:rPr>
            </w:pPr>
            <w:r w:rsidRPr="001C4330">
              <w:rPr>
                <w:sz w:val="20"/>
              </w:rPr>
              <w:t>Julio</w:t>
            </w:r>
          </w:p>
        </w:tc>
        <w:tc>
          <w:tcPr>
            <w:tcW w:w="1500" w:type="dxa"/>
            <w:tcBorders>
              <w:left w:val="single" w:sz="4" w:space="0" w:color="auto"/>
              <w:right w:val="single" w:sz="4" w:space="0" w:color="auto"/>
            </w:tcBorders>
          </w:tcPr>
          <w:p w14:paraId="0FEA5BEC" w14:textId="77777777" w:rsidR="001C4330" w:rsidRPr="001C4330" w:rsidRDefault="001C4330" w:rsidP="001C4330">
            <w:pPr>
              <w:widowControl w:val="0"/>
              <w:adjustRightInd w:val="0"/>
              <w:ind w:right="284"/>
              <w:jc w:val="right"/>
              <w:textAlignment w:val="baseline"/>
              <w:rPr>
                <w:sz w:val="20"/>
              </w:rPr>
            </w:pPr>
            <w:r w:rsidRPr="001C4330">
              <w:rPr>
                <w:sz w:val="20"/>
              </w:rPr>
              <w:t>3 697.6</w:t>
            </w:r>
          </w:p>
        </w:tc>
        <w:tc>
          <w:tcPr>
            <w:tcW w:w="1543" w:type="dxa"/>
            <w:tcBorders>
              <w:left w:val="single" w:sz="4" w:space="0" w:color="auto"/>
              <w:right w:val="single" w:sz="4" w:space="0" w:color="auto"/>
            </w:tcBorders>
          </w:tcPr>
          <w:p w14:paraId="2CD537E4" w14:textId="77777777" w:rsidR="001C4330" w:rsidRPr="001C4330" w:rsidRDefault="001C4330" w:rsidP="001C4330">
            <w:pPr>
              <w:widowControl w:val="0"/>
              <w:adjustRightInd w:val="0"/>
              <w:ind w:right="284"/>
              <w:jc w:val="right"/>
              <w:textAlignment w:val="baseline"/>
              <w:rPr>
                <w:sz w:val="20"/>
              </w:rPr>
            </w:pPr>
            <w:r w:rsidRPr="001C4330">
              <w:rPr>
                <w:sz w:val="20"/>
              </w:rPr>
              <w:t>2 791.3</w:t>
            </w:r>
          </w:p>
        </w:tc>
        <w:tc>
          <w:tcPr>
            <w:tcW w:w="1432" w:type="dxa"/>
            <w:tcBorders>
              <w:left w:val="single" w:sz="4" w:space="0" w:color="auto"/>
              <w:right w:val="single" w:sz="4" w:space="0" w:color="auto"/>
            </w:tcBorders>
          </w:tcPr>
          <w:p w14:paraId="0ACDE06D" w14:textId="77777777" w:rsidR="001C4330" w:rsidRPr="001C4330" w:rsidRDefault="001C4330" w:rsidP="001C4330">
            <w:pPr>
              <w:widowControl w:val="0"/>
              <w:adjustRightInd w:val="0"/>
              <w:jc w:val="center"/>
              <w:textAlignment w:val="baseline"/>
              <w:rPr>
                <w:sz w:val="20"/>
              </w:rPr>
            </w:pPr>
            <w:r w:rsidRPr="001C4330">
              <w:rPr>
                <w:sz w:val="20"/>
              </w:rPr>
              <w:t>294.8</w:t>
            </w:r>
          </w:p>
        </w:tc>
        <w:tc>
          <w:tcPr>
            <w:tcW w:w="1559" w:type="dxa"/>
            <w:tcBorders>
              <w:left w:val="single" w:sz="4" w:space="0" w:color="auto"/>
              <w:right w:val="single" w:sz="4" w:space="0" w:color="auto"/>
            </w:tcBorders>
          </w:tcPr>
          <w:p w14:paraId="17276ABA" w14:textId="77777777" w:rsidR="001C4330" w:rsidRPr="001C4330" w:rsidRDefault="001C4330" w:rsidP="001C4330">
            <w:pPr>
              <w:widowControl w:val="0"/>
              <w:adjustRightInd w:val="0"/>
              <w:ind w:right="454"/>
              <w:jc w:val="right"/>
              <w:textAlignment w:val="baseline"/>
              <w:rPr>
                <w:sz w:val="20"/>
              </w:rPr>
            </w:pPr>
            <w:r w:rsidRPr="001C4330">
              <w:rPr>
                <w:sz w:val="20"/>
              </w:rPr>
              <w:t>587.2</w:t>
            </w:r>
          </w:p>
        </w:tc>
      </w:tr>
      <w:tr w:rsidR="001C4330" w:rsidRPr="001C4330" w14:paraId="71718545" w14:textId="77777777" w:rsidTr="006A662C">
        <w:trPr>
          <w:jc w:val="center"/>
        </w:trPr>
        <w:tc>
          <w:tcPr>
            <w:tcW w:w="1800" w:type="dxa"/>
            <w:tcBorders>
              <w:left w:val="single" w:sz="4" w:space="0" w:color="auto"/>
              <w:right w:val="single" w:sz="4" w:space="0" w:color="auto"/>
            </w:tcBorders>
          </w:tcPr>
          <w:p w14:paraId="5A932D63" w14:textId="77777777" w:rsidR="001C4330" w:rsidRPr="001C4330" w:rsidRDefault="001C4330" w:rsidP="001C4330">
            <w:pPr>
              <w:widowControl w:val="0"/>
              <w:adjustRightInd w:val="0"/>
              <w:jc w:val="both"/>
              <w:textAlignment w:val="baseline"/>
              <w:rPr>
                <w:sz w:val="20"/>
              </w:rPr>
            </w:pPr>
            <w:r w:rsidRPr="001C4330">
              <w:rPr>
                <w:sz w:val="20"/>
              </w:rPr>
              <w:t>Agosto</w:t>
            </w:r>
          </w:p>
        </w:tc>
        <w:tc>
          <w:tcPr>
            <w:tcW w:w="1500" w:type="dxa"/>
            <w:tcBorders>
              <w:left w:val="single" w:sz="4" w:space="0" w:color="auto"/>
              <w:right w:val="single" w:sz="4" w:space="0" w:color="auto"/>
            </w:tcBorders>
          </w:tcPr>
          <w:p w14:paraId="5B41056E" w14:textId="77777777" w:rsidR="001C4330" w:rsidRPr="001C4330" w:rsidRDefault="001C4330" w:rsidP="001C4330">
            <w:pPr>
              <w:widowControl w:val="0"/>
              <w:adjustRightInd w:val="0"/>
              <w:ind w:right="284"/>
              <w:jc w:val="right"/>
              <w:textAlignment w:val="baseline"/>
              <w:rPr>
                <w:sz w:val="20"/>
              </w:rPr>
            </w:pPr>
            <w:r w:rsidRPr="001C4330">
              <w:rPr>
                <w:sz w:val="20"/>
              </w:rPr>
              <w:t>3 731.1</w:t>
            </w:r>
          </w:p>
        </w:tc>
        <w:tc>
          <w:tcPr>
            <w:tcW w:w="1543" w:type="dxa"/>
            <w:tcBorders>
              <w:left w:val="single" w:sz="4" w:space="0" w:color="auto"/>
              <w:right w:val="single" w:sz="4" w:space="0" w:color="auto"/>
            </w:tcBorders>
          </w:tcPr>
          <w:p w14:paraId="687A3E53" w14:textId="77777777" w:rsidR="001C4330" w:rsidRPr="001C4330" w:rsidRDefault="001C4330" w:rsidP="001C4330">
            <w:pPr>
              <w:widowControl w:val="0"/>
              <w:adjustRightInd w:val="0"/>
              <w:ind w:right="284"/>
              <w:jc w:val="right"/>
              <w:textAlignment w:val="baseline"/>
              <w:rPr>
                <w:sz w:val="20"/>
              </w:rPr>
            </w:pPr>
            <w:r w:rsidRPr="001C4330">
              <w:rPr>
                <w:sz w:val="20"/>
              </w:rPr>
              <w:t>2 813.1</w:t>
            </w:r>
          </w:p>
        </w:tc>
        <w:tc>
          <w:tcPr>
            <w:tcW w:w="1432" w:type="dxa"/>
            <w:tcBorders>
              <w:left w:val="single" w:sz="4" w:space="0" w:color="auto"/>
              <w:right w:val="single" w:sz="4" w:space="0" w:color="auto"/>
            </w:tcBorders>
          </w:tcPr>
          <w:p w14:paraId="34B5EF8A" w14:textId="77777777" w:rsidR="001C4330" w:rsidRPr="001C4330" w:rsidRDefault="001C4330" w:rsidP="001C4330">
            <w:pPr>
              <w:widowControl w:val="0"/>
              <w:adjustRightInd w:val="0"/>
              <w:jc w:val="center"/>
              <w:textAlignment w:val="baseline"/>
              <w:rPr>
                <w:sz w:val="20"/>
              </w:rPr>
            </w:pPr>
            <w:r w:rsidRPr="001C4330">
              <w:rPr>
                <w:sz w:val="20"/>
              </w:rPr>
              <w:t>295.6</w:t>
            </w:r>
          </w:p>
        </w:tc>
        <w:tc>
          <w:tcPr>
            <w:tcW w:w="1559" w:type="dxa"/>
            <w:tcBorders>
              <w:left w:val="single" w:sz="4" w:space="0" w:color="auto"/>
              <w:right w:val="single" w:sz="4" w:space="0" w:color="auto"/>
            </w:tcBorders>
          </w:tcPr>
          <w:p w14:paraId="42B33E80" w14:textId="77777777" w:rsidR="001C4330" w:rsidRPr="001C4330" w:rsidRDefault="001C4330" w:rsidP="001C4330">
            <w:pPr>
              <w:widowControl w:val="0"/>
              <w:adjustRightInd w:val="0"/>
              <w:ind w:right="454"/>
              <w:jc w:val="right"/>
              <w:textAlignment w:val="baseline"/>
              <w:rPr>
                <w:sz w:val="20"/>
              </w:rPr>
            </w:pPr>
            <w:r w:rsidRPr="001C4330">
              <w:rPr>
                <w:sz w:val="20"/>
              </w:rPr>
              <w:t>588.1</w:t>
            </w:r>
          </w:p>
        </w:tc>
      </w:tr>
      <w:tr w:rsidR="001C4330" w:rsidRPr="001C4330" w14:paraId="2495A36C" w14:textId="77777777" w:rsidTr="006A662C">
        <w:trPr>
          <w:jc w:val="center"/>
        </w:trPr>
        <w:tc>
          <w:tcPr>
            <w:tcW w:w="1800" w:type="dxa"/>
            <w:tcBorders>
              <w:left w:val="single" w:sz="4" w:space="0" w:color="auto"/>
              <w:right w:val="single" w:sz="4" w:space="0" w:color="auto"/>
            </w:tcBorders>
          </w:tcPr>
          <w:p w14:paraId="2B12A0ED" w14:textId="77777777" w:rsidR="001C4330" w:rsidRPr="001C4330" w:rsidRDefault="001C4330" w:rsidP="001C4330">
            <w:pPr>
              <w:widowControl w:val="0"/>
              <w:adjustRightInd w:val="0"/>
              <w:jc w:val="both"/>
              <w:textAlignment w:val="baseline"/>
              <w:rPr>
                <w:sz w:val="20"/>
              </w:rPr>
            </w:pPr>
            <w:r w:rsidRPr="001C4330">
              <w:rPr>
                <w:sz w:val="20"/>
              </w:rPr>
              <w:t>Septiembre</w:t>
            </w:r>
          </w:p>
        </w:tc>
        <w:tc>
          <w:tcPr>
            <w:tcW w:w="1500" w:type="dxa"/>
            <w:tcBorders>
              <w:left w:val="single" w:sz="4" w:space="0" w:color="auto"/>
              <w:right w:val="single" w:sz="4" w:space="0" w:color="auto"/>
            </w:tcBorders>
          </w:tcPr>
          <w:p w14:paraId="04B47D7E" w14:textId="77777777" w:rsidR="001C4330" w:rsidRPr="001C4330" w:rsidRDefault="001C4330" w:rsidP="001C4330">
            <w:pPr>
              <w:widowControl w:val="0"/>
              <w:adjustRightInd w:val="0"/>
              <w:ind w:right="284"/>
              <w:jc w:val="right"/>
              <w:textAlignment w:val="baseline"/>
              <w:rPr>
                <w:sz w:val="20"/>
              </w:rPr>
            </w:pPr>
            <w:r w:rsidRPr="001C4330">
              <w:rPr>
                <w:sz w:val="20"/>
              </w:rPr>
              <w:t>3 753.8</w:t>
            </w:r>
          </w:p>
        </w:tc>
        <w:tc>
          <w:tcPr>
            <w:tcW w:w="1543" w:type="dxa"/>
            <w:tcBorders>
              <w:left w:val="single" w:sz="4" w:space="0" w:color="auto"/>
              <w:right w:val="single" w:sz="4" w:space="0" w:color="auto"/>
            </w:tcBorders>
          </w:tcPr>
          <w:p w14:paraId="1B3EF2A3" w14:textId="77777777" w:rsidR="001C4330" w:rsidRPr="001C4330" w:rsidRDefault="001C4330" w:rsidP="001C4330">
            <w:pPr>
              <w:widowControl w:val="0"/>
              <w:adjustRightInd w:val="0"/>
              <w:ind w:right="284"/>
              <w:jc w:val="right"/>
              <w:textAlignment w:val="baseline"/>
              <w:rPr>
                <w:sz w:val="20"/>
              </w:rPr>
            </w:pPr>
            <w:r w:rsidRPr="001C4330">
              <w:rPr>
                <w:sz w:val="20"/>
              </w:rPr>
              <w:t>2 823.6</w:t>
            </w:r>
          </w:p>
        </w:tc>
        <w:tc>
          <w:tcPr>
            <w:tcW w:w="1432" w:type="dxa"/>
            <w:tcBorders>
              <w:left w:val="single" w:sz="4" w:space="0" w:color="auto"/>
              <w:right w:val="single" w:sz="4" w:space="0" w:color="auto"/>
            </w:tcBorders>
          </w:tcPr>
          <w:p w14:paraId="58EF22F7" w14:textId="77777777" w:rsidR="001C4330" w:rsidRPr="001C4330" w:rsidRDefault="001C4330" w:rsidP="001C4330">
            <w:pPr>
              <w:widowControl w:val="0"/>
              <w:adjustRightInd w:val="0"/>
              <w:jc w:val="center"/>
              <w:textAlignment w:val="baseline"/>
              <w:rPr>
                <w:sz w:val="20"/>
              </w:rPr>
            </w:pPr>
            <w:r w:rsidRPr="001C4330">
              <w:rPr>
                <w:sz w:val="20"/>
              </w:rPr>
              <w:t>293.5</w:t>
            </w:r>
          </w:p>
        </w:tc>
        <w:tc>
          <w:tcPr>
            <w:tcW w:w="1559" w:type="dxa"/>
            <w:tcBorders>
              <w:left w:val="single" w:sz="4" w:space="0" w:color="auto"/>
              <w:right w:val="single" w:sz="4" w:space="0" w:color="auto"/>
            </w:tcBorders>
          </w:tcPr>
          <w:p w14:paraId="691D5012" w14:textId="77777777" w:rsidR="001C4330" w:rsidRPr="001C4330" w:rsidRDefault="001C4330" w:rsidP="001C4330">
            <w:pPr>
              <w:widowControl w:val="0"/>
              <w:adjustRightInd w:val="0"/>
              <w:ind w:right="454"/>
              <w:jc w:val="right"/>
              <w:textAlignment w:val="baseline"/>
              <w:rPr>
                <w:sz w:val="20"/>
              </w:rPr>
            </w:pPr>
            <w:r w:rsidRPr="001C4330">
              <w:rPr>
                <w:sz w:val="20"/>
              </w:rPr>
              <w:t>599.2</w:t>
            </w:r>
          </w:p>
        </w:tc>
      </w:tr>
      <w:tr w:rsidR="001C4330" w:rsidRPr="001C4330" w14:paraId="0981AC3E" w14:textId="77777777" w:rsidTr="006A662C">
        <w:trPr>
          <w:jc w:val="center"/>
        </w:trPr>
        <w:tc>
          <w:tcPr>
            <w:tcW w:w="1800" w:type="dxa"/>
            <w:tcBorders>
              <w:left w:val="single" w:sz="4" w:space="0" w:color="auto"/>
              <w:right w:val="single" w:sz="4" w:space="0" w:color="auto"/>
            </w:tcBorders>
          </w:tcPr>
          <w:p w14:paraId="1BAB3AC2" w14:textId="77777777" w:rsidR="001C4330" w:rsidRPr="001C4330" w:rsidRDefault="001C4330" w:rsidP="001C4330">
            <w:pPr>
              <w:widowControl w:val="0"/>
              <w:adjustRightInd w:val="0"/>
              <w:jc w:val="both"/>
              <w:textAlignment w:val="baseline"/>
              <w:rPr>
                <w:sz w:val="20"/>
              </w:rPr>
            </w:pPr>
            <w:r w:rsidRPr="001C4330">
              <w:rPr>
                <w:sz w:val="20"/>
              </w:rPr>
              <w:t>Octubre</w:t>
            </w:r>
          </w:p>
        </w:tc>
        <w:tc>
          <w:tcPr>
            <w:tcW w:w="1500" w:type="dxa"/>
            <w:tcBorders>
              <w:left w:val="single" w:sz="4" w:space="0" w:color="auto"/>
              <w:right w:val="single" w:sz="4" w:space="0" w:color="auto"/>
            </w:tcBorders>
          </w:tcPr>
          <w:p w14:paraId="12F9D3C2" w14:textId="77777777" w:rsidR="001C4330" w:rsidRPr="001C4330" w:rsidRDefault="001C4330" w:rsidP="001C4330">
            <w:pPr>
              <w:widowControl w:val="0"/>
              <w:adjustRightInd w:val="0"/>
              <w:ind w:right="284"/>
              <w:jc w:val="right"/>
              <w:textAlignment w:val="baseline"/>
              <w:rPr>
                <w:sz w:val="20"/>
              </w:rPr>
            </w:pPr>
            <w:r w:rsidRPr="001C4330">
              <w:rPr>
                <w:sz w:val="20"/>
              </w:rPr>
              <w:t>3 804.2</w:t>
            </w:r>
          </w:p>
        </w:tc>
        <w:tc>
          <w:tcPr>
            <w:tcW w:w="1543" w:type="dxa"/>
            <w:tcBorders>
              <w:left w:val="single" w:sz="4" w:space="0" w:color="auto"/>
              <w:right w:val="single" w:sz="4" w:space="0" w:color="auto"/>
            </w:tcBorders>
          </w:tcPr>
          <w:p w14:paraId="153D848F" w14:textId="77777777" w:rsidR="001C4330" w:rsidRPr="001C4330" w:rsidRDefault="001C4330" w:rsidP="001C4330">
            <w:pPr>
              <w:widowControl w:val="0"/>
              <w:adjustRightInd w:val="0"/>
              <w:ind w:right="284"/>
              <w:jc w:val="right"/>
              <w:textAlignment w:val="baseline"/>
              <w:rPr>
                <w:sz w:val="20"/>
              </w:rPr>
            </w:pPr>
            <w:r w:rsidRPr="001C4330">
              <w:rPr>
                <w:sz w:val="20"/>
              </w:rPr>
              <w:t>2 848.0</w:t>
            </w:r>
          </w:p>
        </w:tc>
        <w:tc>
          <w:tcPr>
            <w:tcW w:w="1432" w:type="dxa"/>
            <w:tcBorders>
              <w:left w:val="single" w:sz="4" w:space="0" w:color="auto"/>
              <w:right w:val="single" w:sz="4" w:space="0" w:color="auto"/>
            </w:tcBorders>
          </w:tcPr>
          <w:p w14:paraId="74131592" w14:textId="77777777" w:rsidR="001C4330" w:rsidRPr="001C4330" w:rsidRDefault="001C4330" w:rsidP="001C4330">
            <w:pPr>
              <w:widowControl w:val="0"/>
              <w:adjustRightInd w:val="0"/>
              <w:jc w:val="center"/>
              <w:textAlignment w:val="baseline"/>
              <w:rPr>
                <w:sz w:val="20"/>
              </w:rPr>
            </w:pPr>
            <w:r w:rsidRPr="001C4330">
              <w:rPr>
                <w:sz w:val="20"/>
              </w:rPr>
              <w:t>296.8</w:t>
            </w:r>
          </w:p>
        </w:tc>
        <w:tc>
          <w:tcPr>
            <w:tcW w:w="1559" w:type="dxa"/>
            <w:tcBorders>
              <w:left w:val="single" w:sz="4" w:space="0" w:color="auto"/>
              <w:right w:val="single" w:sz="4" w:space="0" w:color="auto"/>
            </w:tcBorders>
          </w:tcPr>
          <w:p w14:paraId="1B2F8803" w14:textId="77777777" w:rsidR="001C4330" w:rsidRPr="001C4330" w:rsidRDefault="001C4330" w:rsidP="001C4330">
            <w:pPr>
              <w:widowControl w:val="0"/>
              <w:adjustRightInd w:val="0"/>
              <w:ind w:right="454"/>
              <w:jc w:val="right"/>
              <w:textAlignment w:val="baseline"/>
              <w:rPr>
                <w:sz w:val="20"/>
              </w:rPr>
            </w:pPr>
            <w:r w:rsidRPr="001C4330">
              <w:rPr>
                <w:sz w:val="20"/>
              </w:rPr>
              <w:t>607.7</w:t>
            </w:r>
          </w:p>
        </w:tc>
      </w:tr>
      <w:tr w:rsidR="001C4330" w:rsidRPr="001C4330" w14:paraId="5EBE01B8" w14:textId="77777777" w:rsidTr="006A662C">
        <w:trPr>
          <w:jc w:val="center"/>
        </w:trPr>
        <w:tc>
          <w:tcPr>
            <w:tcW w:w="1800" w:type="dxa"/>
            <w:tcBorders>
              <w:left w:val="single" w:sz="4" w:space="0" w:color="auto"/>
              <w:right w:val="single" w:sz="4" w:space="0" w:color="auto"/>
            </w:tcBorders>
          </w:tcPr>
          <w:p w14:paraId="4EB96F22" w14:textId="77777777" w:rsidR="001C4330" w:rsidRPr="001C4330" w:rsidRDefault="001C4330" w:rsidP="001C4330">
            <w:pPr>
              <w:widowControl w:val="0"/>
              <w:adjustRightInd w:val="0"/>
              <w:jc w:val="both"/>
              <w:textAlignment w:val="baseline"/>
              <w:rPr>
                <w:sz w:val="20"/>
              </w:rPr>
            </w:pPr>
            <w:r w:rsidRPr="001C4330">
              <w:rPr>
                <w:sz w:val="20"/>
              </w:rPr>
              <w:t>Noviembre</w:t>
            </w:r>
          </w:p>
        </w:tc>
        <w:tc>
          <w:tcPr>
            <w:tcW w:w="1500" w:type="dxa"/>
            <w:tcBorders>
              <w:left w:val="single" w:sz="4" w:space="0" w:color="auto"/>
              <w:right w:val="single" w:sz="4" w:space="0" w:color="auto"/>
            </w:tcBorders>
          </w:tcPr>
          <w:p w14:paraId="3AE9566D" w14:textId="77777777" w:rsidR="001C4330" w:rsidRPr="001C4330" w:rsidRDefault="001C4330" w:rsidP="001C4330">
            <w:pPr>
              <w:widowControl w:val="0"/>
              <w:adjustRightInd w:val="0"/>
              <w:ind w:right="284"/>
              <w:jc w:val="right"/>
              <w:textAlignment w:val="baseline"/>
              <w:rPr>
                <w:sz w:val="20"/>
              </w:rPr>
            </w:pPr>
            <w:r w:rsidRPr="001C4330">
              <w:rPr>
                <w:sz w:val="20"/>
              </w:rPr>
              <w:t>3 723.3</w:t>
            </w:r>
          </w:p>
        </w:tc>
        <w:tc>
          <w:tcPr>
            <w:tcW w:w="1543" w:type="dxa"/>
            <w:tcBorders>
              <w:left w:val="single" w:sz="4" w:space="0" w:color="auto"/>
              <w:right w:val="single" w:sz="4" w:space="0" w:color="auto"/>
            </w:tcBorders>
          </w:tcPr>
          <w:p w14:paraId="24A55CBB" w14:textId="77777777" w:rsidR="001C4330" w:rsidRPr="001C4330" w:rsidRDefault="001C4330" w:rsidP="001C4330">
            <w:pPr>
              <w:widowControl w:val="0"/>
              <w:adjustRightInd w:val="0"/>
              <w:ind w:right="284"/>
              <w:jc w:val="right"/>
              <w:textAlignment w:val="baseline"/>
              <w:rPr>
                <w:sz w:val="20"/>
              </w:rPr>
            </w:pPr>
            <w:r w:rsidRPr="001C4330">
              <w:rPr>
                <w:sz w:val="20"/>
              </w:rPr>
              <w:t>2 899.4</w:t>
            </w:r>
          </w:p>
        </w:tc>
        <w:tc>
          <w:tcPr>
            <w:tcW w:w="1432" w:type="dxa"/>
            <w:tcBorders>
              <w:left w:val="single" w:sz="4" w:space="0" w:color="auto"/>
              <w:right w:val="single" w:sz="4" w:space="0" w:color="auto"/>
            </w:tcBorders>
          </w:tcPr>
          <w:p w14:paraId="76E33032" w14:textId="77777777" w:rsidR="001C4330" w:rsidRPr="001C4330" w:rsidRDefault="001C4330" w:rsidP="001C4330">
            <w:pPr>
              <w:widowControl w:val="0"/>
              <w:adjustRightInd w:val="0"/>
              <w:jc w:val="center"/>
              <w:textAlignment w:val="baseline"/>
              <w:rPr>
                <w:sz w:val="20"/>
              </w:rPr>
            </w:pPr>
            <w:r w:rsidRPr="001C4330">
              <w:rPr>
                <w:sz w:val="20"/>
              </w:rPr>
              <w:t>303.9</w:t>
            </w:r>
          </w:p>
        </w:tc>
        <w:tc>
          <w:tcPr>
            <w:tcW w:w="1559" w:type="dxa"/>
            <w:tcBorders>
              <w:left w:val="single" w:sz="4" w:space="0" w:color="auto"/>
              <w:right w:val="single" w:sz="4" w:space="0" w:color="auto"/>
            </w:tcBorders>
          </w:tcPr>
          <w:p w14:paraId="04BCEC33" w14:textId="77777777" w:rsidR="001C4330" w:rsidRPr="001C4330" w:rsidRDefault="001C4330" w:rsidP="001C4330">
            <w:pPr>
              <w:widowControl w:val="0"/>
              <w:adjustRightInd w:val="0"/>
              <w:ind w:right="454"/>
              <w:jc w:val="right"/>
              <w:textAlignment w:val="baseline"/>
              <w:rPr>
                <w:sz w:val="20"/>
              </w:rPr>
            </w:pPr>
            <w:r w:rsidRPr="001C4330">
              <w:rPr>
                <w:sz w:val="20"/>
              </w:rPr>
              <w:t>494.2</w:t>
            </w:r>
          </w:p>
        </w:tc>
      </w:tr>
      <w:tr w:rsidR="001C4330" w:rsidRPr="001C4330" w14:paraId="3D61A6A8" w14:textId="77777777" w:rsidTr="005B2CE5">
        <w:trPr>
          <w:jc w:val="center"/>
        </w:trPr>
        <w:tc>
          <w:tcPr>
            <w:tcW w:w="1800" w:type="dxa"/>
            <w:tcBorders>
              <w:left w:val="single" w:sz="4" w:space="0" w:color="auto"/>
              <w:bottom w:val="single" w:sz="4" w:space="0" w:color="auto"/>
              <w:right w:val="single" w:sz="4" w:space="0" w:color="auto"/>
            </w:tcBorders>
          </w:tcPr>
          <w:p w14:paraId="3A54DB97" w14:textId="77777777" w:rsidR="001C4330" w:rsidRPr="001C4330" w:rsidRDefault="001C4330" w:rsidP="001C4330">
            <w:pPr>
              <w:widowControl w:val="0"/>
              <w:adjustRightInd w:val="0"/>
              <w:jc w:val="both"/>
              <w:textAlignment w:val="baseline"/>
              <w:rPr>
                <w:sz w:val="20"/>
              </w:rPr>
            </w:pPr>
            <w:r w:rsidRPr="001C4330">
              <w:rPr>
                <w:sz w:val="20"/>
              </w:rPr>
              <w:t>Diciembre</w:t>
            </w:r>
          </w:p>
        </w:tc>
        <w:tc>
          <w:tcPr>
            <w:tcW w:w="1500" w:type="dxa"/>
            <w:tcBorders>
              <w:left w:val="single" w:sz="4" w:space="0" w:color="auto"/>
              <w:bottom w:val="single" w:sz="4" w:space="0" w:color="auto"/>
              <w:right w:val="single" w:sz="4" w:space="0" w:color="auto"/>
            </w:tcBorders>
          </w:tcPr>
          <w:p w14:paraId="64791156" w14:textId="77777777" w:rsidR="001C4330" w:rsidRPr="001C4330" w:rsidRDefault="001C4330" w:rsidP="001C4330">
            <w:pPr>
              <w:widowControl w:val="0"/>
              <w:adjustRightInd w:val="0"/>
              <w:ind w:right="284"/>
              <w:jc w:val="right"/>
              <w:textAlignment w:val="baseline"/>
              <w:rPr>
                <w:sz w:val="20"/>
              </w:rPr>
            </w:pPr>
            <w:r w:rsidRPr="001C4330">
              <w:rPr>
                <w:sz w:val="20"/>
              </w:rPr>
              <w:t>3 971.7</w:t>
            </w:r>
          </w:p>
        </w:tc>
        <w:tc>
          <w:tcPr>
            <w:tcW w:w="1543" w:type="dxa"/>
            <w:tcBorders>
              <w:left w:val="single" w:sz="4" w:space="0" w:color="auto"/>
              <w:bottom w:val="single" w:sz="4" w:space="0" w:color="auto"/>
              <w:right w:val="single" w:sz="4" w:space="0" w:color="auto"/>
            </w:tcBorders>
          </w:tcPr>
          <w:p w14:paraId="139AF626" w14:textId="77777777" w:rsidR="001C4330" w:rsidRPr="001C4330" w:rsidRDefault="001C4330" w:rsidP="001C4330">
            <w:pPr>
              <w:widowControl w:val="0"/>
              <w:adjustRightInd w:val="0"/>
              <w:ind w:right="284"/>
              <w:jc w:val="right"/>
              <w:textAlignment w:val="baseline"/>
              <w:rPr>
                <w:sz w:val="20"/>
              </w:rPr>
            </w:pPr>
            <w:r w:rsidRPr="001C4330">
              <w:rPr>
                <w:sz w:val="20"/>
              </w:rPr>
              <w:t>2 920.1</w:t>
            </w:r>
          </w:p>
        </w:tc>
        <w:tc>
          <w:tcPr>
            <w:tcW w:w="1432" w:type="dxa"/>
            <w:tcBorders>
              <w:left w:val="single" w:sz="4" w:space="0" w:color="auto"/>
              <w:bottom w:val="single" w:sz="4" w:space="0" w:color="auto"/>
              <w:right w:val="single" w:sz="4" w:space="0" w:color="auto"/>
            </w:tcBorders>
          </w:tcPr>
          <w:p w14:paraId="3AE1C47B" w14:textId="77777777" w:rsidR="001C4330" w:rsidRPr="001C4330" w:rsidRDefault="001C4330" w:rsidP="001C4330">
            <w:pPr>
              <w:widowControl w:val="0"/>
              <w:adjustRightInd w:val="0"/>
              <w:jc w:val="center"/>
              <w:textAlignment w:val="baseline"/>
              <w:rPr>
                <w:sz w:val="20"/>
              </w:rPr>
            </w:pPr>
            <w:r w:rsidRPr="001C4330">
              <w:rPr>
                <w:sz w:val="20"/>
              </w:rPr>
              <w:t>312.2</w:t>
            </w:r>
          </w:p>
        </w:tc>
        <w:tc>
          <w:tcPr>
            <w:tcW w:w="1559" w:type="dxa"/>
            <w:tcBorders>
              <w:left w:val="single" w:sz="4" w:space="0" w:color="auto"/>
              <w:bottom w:val="single" w:sz="4" w:space="0" w:color="auto"/>
              <w:right w:val="single" w:sz="4" w:space="0" w:color="auto"/>
            </w:tcBorders>
          </w:tcPr>
          <w:p w14:paraId="023B70C3" w14:textId="77777777" w:rsidR="001C4330" w:rsidRPr="001C4330" w:rsidRDefault="001C4330" w:rsidP="001C4330">
            <w:pPr>
              <w:widowControl w:val="0"/>
              <w:adjustRightInd w:val="0"/>
              <w:ind w:right="454"/>
              <w:jc w:val="right"/>
              <w:textAlignment w:val="baseline"/>
              <w:rPr>
                <w:sz w:val="20"/>
              </w:rPr>
            </w:pPr>
            <w:r w:rsidRPr="001C4330">
              <w:rPr>
                <w:sz w:val="20"/>
              </w:rPr>
              <w:t>669.3</w:t>
            </w:r>
          </w:p>
        </w:tc>
      </w:tr>
      <w:tr w:rsidR="001C4330" w:rsidRPr="001C4330" w14:paraId="3F444163" w14:textId="77777777" w:rsidTr="005B2CE5">
        <w:trPr>
          <w:jc w:val="center"/>
        </w:trPr>
        <w:tc>
          <w:tcPr>
            <w:tcW w:w="7834" w:type="dxa"/>
            <w:gridSpan w:val="5"/>
            <w:tcBorders>
              <w:top w:val="single" w:sz="4" w:space="0" w:color="auto"/>
              <w:left w:val="single" w:sz="4" w:space="0" w:color="auto"/>
              <w:bottom w:val="single" w:sz="4" w:space="0" w:color="auto"/>
              <w:right w:val="single" w:sz="4" w:space="0" w:color="auto"/>
            </w:tcBorders>
          </w:tcPr>
          <w:p w14:paraId="66434F40" w14:textId="77777777" w:rsidR="001C4330" w:rsidRPr="001C4330" w:rsidRDefault="001C4330" w:rsidP="001C4330">
            <w:pPr>
              <w:widowControl w:val="0"/>
              <w:adjustRightInd w:val="0"/>
              <w:ind w:right="454"/>
              <w:jc w:val="center"/>
              <w:textAlignment w:val="baseline"/>
              <w:rPr>
                <w:sz w:val="20"/>
              </w:rPr>
            </w:pPr>
            <w:r w:rsidRPr="001C4330">
              <w:rPr>
                <w:b/>
                <w:sz w:val="20"/>
              </w:rPr>
              <w:t>2015</w:t>
            </w:r>
          </w:p>
        </w:tc>
      </w:tr>
      <w:tr w:rsidR="001C4330" w:rsidRPr="001C4330" w14:paraId="4771BAE2" w14:textId="77777777" w:rsidTr="005B2CE5">
        <w:trPr>
          <w:jc w:val="center"/>
        </w:trPr>
        <w:tc>
          <w:tcPr>
            <w:tcW w:w="1800" w:type="dxa"/>
            <w:tcBorders>
              <w:top w:val="single" w:sz="4" w:space="0" w:color="auto"/>
              <w:left w:val="single" w:sz="4" w:space="0" w:color="auto"/>
              <w:bottom w:val="single" w:sz="4" w:space="0" w:color="auto"/>
              <w:right w:val="single" w:sz="4" w:space="0" w:color="auto"/>
            </w:tcBorders>
          </w:tcPr>
          <w:p w14:paraId="388D4576" w14:textId="77777777" w:rsidR="001C4330" w:rsidRPr="001C4330" w:rsidRDefault="001C4330" w:rsidP="001C4330">
            <w:pPr>
              <w:widowControl w:val="0"/>
              <w:adjustRightInd w:val="0"/>
              <w:jc w:val="both"/>
              <w:textAlignment w:val="baseline"/>
              <w:rPr>
                <w:sz w:val="20"/>
              </w:rPr>
            </w:pPr>
            <w:r w:rsidRPr="001C4330">
              <w:rPr>
                <w:sz w:val="20"/>
              </w:rPr>
              <w:t>Enero</w:t>
            </w:r>
          </w:p>
        </w:tc>
        <w:tc>
          <w:tcPr>
            <w:tcW w:w="1500" w:type="dxa"/>
            <w:tcBorders>
              <w:top w:val="single" w:sz="4" w:space="0" w:color="auto"/>
              <w:left w:val="single" w:sz="4" w:space="0" w:color="auto"/>
              <w:bottom w:val="single" w:sz="4" w:space="0" w:color="auto"/>
              <w:right w:val="single" w:sz="4" w:space="0" w:color="auto"/>
            </w:tcBorders>
          </w:tcPr>
          <w:p w14:paraId="1EAE992F" w14:textId="77777777" w:rsidR="001C4330" w:rsidRPr="001C4330" w:rsidRDefault="001C4330" w:rsidP="001C4330">
            <w:pPr>
              <w:widowControl w:val="0"/>
              <w:adjustRightInd w:val="0"/>
              <w:ind w:right="284"/>
              <w:jc w:val="right"/>
              <w:textAlignment w:val="baseline"/>
              <w:rPr>
                <w:sz w:val="20"/>
              </w:rPr>
            </w:pPr>
            <w:r w:rsidRPr="001C4330">
              <w:rPr>
                <w:sz w:val="20"/>
              </w:rPr>
              <w:t>3 936.2</w:t>
            </w:r>
          </w:p>
        </w:tc>
        <w:tc>
          <w:tcPr>
            <w:tcW w:w="1543" w:type="dxa"/>
            <w:tcBorders>
              <w:top w:val="single" w:sz="4" w:space="0" w:color="auto"/>
              <w:left w:val="single" w:sz="4" w:space="0" w:color="auto"/>
              <w:bottom w:val="single" w:sz="4" w:space="0" w:color="auto"/>
              <w:right w:val="single" w:sz="4" w:space="0" w:color="auto"/>
            </w:tcBorders>
          </w:tcPr>
          <w:p w14:paraId="2B376755" w14:textId="77777777" w:rsidR="001C4330" w:rsidRPr="001C4330" w:rsidRDefault="001C4330" w:rsidP="001C4330">
            <w:pPr>
              <w:widowControl w:val="0"/>
              <w:adjustRightInd w:val="0"/>
              <w:ind w:right="284"/>
              <w:jc w:val="right"/>
              <w:textAlignment w:val="baseline"/>
              <w:rPr>
                <w:sz w:val="20"/>
              </w:rPr>
            </w:pPr>
            <w:r w:rsidRPr="001C4330">
              <w:rPr>
                <w:sz w:val="20"/>
              </w:rPr>
              <w:t>2 932.3</w:t>
            </w:r>
          </w:p>
        </w:tc>
        <w:tc>
          <w:tcPr>
            <w:tcW w:w="1432" w:type="dxa"/>
            <w:tcBorders>
              <w:top w:val="single" w:sz="4" w:space="0" w:color="auto"/>
              <w:left w:val="single" w:sz="4" w:space="0" w:color="auto"/>
              <w:bottom w:val="single" w:sz="4" w:space="0" w:color="auto"/>
              <w:right w:val="single" w:sz="4" w:space="0" w:color="auto"/>
            </w:tcBorders>
          </w:tcPr>
          <w:p w14:paraId="0783F7C2" w14:textId="77777777" w:rsidR="001C4330" w:rsidRPr="001C4330" w:rsidRDefault="001C4330" w:rsidP="001C4330">
            <w:pPr>
              <w:widowControl w:val="0"/>
              <w:adjustRightInd w:val="0"/>
              <w:jc w:val="center"/>
              <w:textAlignment w:val="baseline"/>
              <w:rPr>
                <w:sz w:val="20"/>
              </w:rPr>
            </w:pPr>
            <w:r w:rsidRPr="001C4330">
              <w:rPr>
                <w:sz w:val="20"/>
              </w:rPr>
              <w:t>312.3</w:t>
            </w:r>
          </w:p>
        </w:tc>
        <w:tc>
          <w:tcPr>
            <w:tcW w:w="1559" w:type="dxa"/>
            <w:tcBorders>
              <w:top w:val="single" w:sz="4" w:space="0" w:color="auto"/>
              <w:left w:val="single" w:sz="4" w:space="0" w:color="auto"/>
              <w:bottom w:val="single" w:sz="4" w:space="0" w:color="auto"/>
              <w:right w:val="single" w:sz="4" w:space="0" w:color="auto"/>
            </w:tcBorders>
          </w:tcPr>
          <w:p w14:paraId="6CC472B7" w14:textId="77777777" w:rsidR="001C4330" w:rsidRPr="001C4330" w:rsidRDefault="001C4330" w:rsidP="001C4330">
            <w:pPr>
              <w:widowControl w:val="0"/>
              <w:adjustRightInd w:val="0"/>
              <w:ind w:right="454"/>
              <w:jc w:val="right"/>
              <w:textAlignment w:val="baseline"/>
              <w:rPr>
                <w:sz w:val="20"/>
              </w:rPr>
            </w:pPr>
            <w:r w:rsidRPr="001C4330">
              <w:rPr>
                <w:sz w:val="20"/>
              </w:rPr>
              <w:t>634.9</w:t>
            </w:r>
          </w:p>
        </w:tc>
      </w:tr>
      <w:tr w:rsidR="001C4330" w:rsidRPr="001C4330" w14:paraId="65B41682" w14:textId="77777777" w:rsidTr="006A662C">
        <w:trPr>
          <w:jc w:val="center"/>
        </w:trPr>
        <w:tc>
          <w:tcPr>
            <w:tcW w:w="7834" w:type="dxa"/>
            <w:gridSpan w:val="5"/>
            <w:tcBorders>
              <w:top w:val="single" w:sz="4" w:space="0" w:color="auto"/>
            </w:tcBorders>
          </w:tcPr>
          <w:p w14:paraId="711B5939" w14:textId="77777777" w:rsidR="001C4330" w:rsidRPr="001C4330" w:rsidRDefault="001C4330" w:rsidP="00EB7908">
            <w:pPr>
              <w:widowControl w:val="0"/>
              <w:adjustRightInd w:val="0"/>
              <w:ind w:left="510" w:hanging="510"/>
              <w:jc w:val="both"/>
              <w:textAlignment w:val="baseline"/>
              <w:rPr>
                <w:sz w:val="20"/>
                <w:szCs w:val="18"/>
              </w:rPr>
            </w:pPr>
            <w:r w:rsidRPr="001C4330">
              <w:rPr>
                <w:sz w:val="20"/>
                <w:szCs w:val="18"/>
              </w:rPr>
              <w:t>Nota: Cabe destacar que en la columna del total de financiamiento se incorpora el rubro de “Otros” que incluye al Instituto de Protección al Ahorro Bancario (IPAB), Proyectos de Infraestructura Productiva de Largo Plazo (Pidiregas) y el Fondo Nacional de Infraestructura (Fonadin) antes Fideicomiso de Apoyo al Rescate de Autopistas Concesionadas (Farac).</w:t>
            </w:r>
          </w:p>
          <w:p w14:paraId="413AD9D7" w14:textId="77777777" w:rsidR="001C4330" w:rsidRPr="001C4330" w:rsidRDefault="001C4330" w:rsidP="00EB7908">
            <w:pPr>
              <w:widowControl w:val="0"/>
              <w:adjustRightInd w:val="0"/>
              <w:ind w:left="227" w:hanging="227"/>
              <w:jc w:val="both"/>
              <w:textAlignment w:val="baseline"/>
              <w:rPr>
                <w:sz w:val="20"/>
                <w:szCs w:val="18"/>
              </w:rPr>
            </w:pPr>
            <w:r w:rsidRPr="001C4330">
              <w:rPr>
                <w:sz w:val="20"/>
                <w:szCs w:val="18"/>
                <w:u w:val="single"/>
              </w:rPr>
              <w:t>1</w:t>
            </w:r>
            <w:r w:rsidRPr="001C4330">
              <w:rPr>
                <w:sz w:val="20"/>
                <w:szCs w:val="18"/>
              </w:rPr>
              <w:t>/ Incluye las cifras de las Sofom Reguladas de tarjetas de crédito: Tarjetas Banamex, Santander Consumo, Ixe Tarjetas y Sociedad Financiera Inbursa.</w:t>
            </w:r>
          </w:p>
          <w:p w14:paraId="09C3E9F2" w14:textId="77777777" w:rsidR="001C4330" w:rsidRPr="001C4330" w:rsidRDefault="001C4330" w:rsidP="00EB7908">
            <w:pPr>
              <w:widowControl w:val="0"/>
              <w:adjustRightInd w:val="0"/>
              <w:ind w:left="227" w:hanging="227"/>
              <w:jc w:val="both"/>
              <w:textAlignment w:val="baseline"/>
              <w:rPr>
                <w:sz w:val="20"/>
                <w:szCs w:val="18"/>
              </w:rPr>
            </w:pPr>
            <w:r w:rsidRPr="001C4330">
              <w:rPr>
                <w:sz w:val="20"/>
                <w:szCs w:val="18"/>
                <w:u w:val="single"/>
              </w:rPr>
              <w:t>2</w:t>
            </w:r>
            <w:r w:rsidRPr="001C4330">
              <w:rPr>
                <w:sz w:val="20"/>
                <w:szCs w:val="18"/>
              </w:rPr>
              <w:t>/ Se refiere al sector no bancario, incluye valores, cartera de crédito vigente y vencida, así como títulos asociados a programas de reestructura. Asimismo, para que las partes que se presentan sumaran estas cifras, habría que agregar: el crédito directo y valores del IPAB; el financiamiento otorgado a Proyectos de Infraestructura Productiva de Largo Plazo en moneda nacional y en moneda extranjera; y el diferimento a través de créditos y valores del Fideicomiso Fondo Nacional de Infraestructura (FOADIN) DOF 7/02/2008 (antes FARAC).</w:t>
            </w:r>
          </w:p>
          <w:p w14:paraId="3BF29E6A" w14:textId="77777777" w:rsidR="001C4330" w:rsidRPr="001C4330" w:rsidRDefault="001C4330" w:rsidP="00EB7908">
            <w:pPr>
              <w:widowControl w:val="0"/>
              <w:adjustRightInd w:val="0"/>
              <w:ind w:left="907" w:hanging="907"/>
              <w:jc w:val="both"/>
              <w:textAlignment w:val="baseline"/>
              <w:rPr>
                <w:sz w:val="18"/>
                <w:szCs w:val="18"/>
              </w:rPr>
            </w:pPr>
            <w:r w:rsidRPr="001C4330">
              <w:rPr>
                <w:sz w:val="20"/>
                <w:szCs w:val="18"/>
              </w:rPr>
              <w:t xml:space="preserve">FUENTE: Elaborado por </w:t>
            </w:r>
            <w:smartTag w:uri="urn:schemas-microsoft-com:office:smarttags" w:element="PersonName">
              <w:smartTagPr>
                <w:attr w:name="ProductID" w:val="La Comisi￳n Nacional"/>
              </w:smartTagPr>
              <w:r w:rsidRPr="001C4330">
                <w:rPr>
                  <w:sz w:val="20"/>
                  <w:szCs w:val="18"/>
                </w:rPr>
                <w:t>la Comisión Nacional</w:t>
              </w:r>
            </w:smartTag>
            <w:r w:rsidRPr="001C4330">
              <w:rPr>
                <w:sz w:val="20"/>
                <w:szCs w:val="18"/>
              </w:rPr>
              <w:t xml:space="preserve"> de los Salarios Mínimos con información del Banco de México.</w:t>
            </w:r>
          </w:p>
        </w:tc>
      </w:tr>
      <w:bookmarkEnd w:id="10"/>
    </w:tbl>
    <w:p w14:paraId="48D05670" w14:textId="77777777" w:rsidR="001C4330" w:rsidRPr="001C4330" w:rsidRDefault="001C4330" w:rsidP="001C4330">
      <w:pPr>
        <w:ind w:right="-159"/>
        <w:jc w:val="both"/>
        <w:rPr>
          <w:b/>
          <w:sz w:val="20"/>
          <w:szCs w:val="20"/>
        </w:rPr>
      </w:pPr>
    </w:p>
    <w:p w14:paraId="7B90DF06" w14:textId="77777777" w:rsidR="001C4330" w:rsidRPr="001C4330" w:rsidRDefault="001C4330" w:rsidP="001C4330">
      <w:pPr>
        <w:ind w:right="-159"/>
        <w:jc w:val="both"/>
        <w:rPr>
          <w:b/>
          <w:sz w:val="20"/>
          <w:szCs w:val="20"/>
        </w:rPr>
      </w:pPr>
      <w:r w:rsidRPr="001C4330">
        <w:rPr>
          <w:b/>
          <w:sz w:val="20"/>
          <w:szCs w:val="20"/>
        </w:rPr>
        <w:t>Fuente de información:</w:t>
      </w:r>
    </w:p>
    <w:p w14:paraId="7FC8EF4C" w14:textId="77777777" w:rsidR="001C4330" w:rsidRPr="0096505B" w:rsidRDefault="0093224F" w:rsidP="001C4330">
      <w:pPr>
        <w:rPr>
          <w:color w:val="0000FF"/>
          <w:sz w:val="20"/>
          <w:szCs w:val="20"/>
        </w:rPr>
      </w:pPr>
      <w:hyperlink r:id="rId330" w:history="1">
        <w:r w:rsidR="001C4330" w:rsidRPr="0096505B">
          <w:rPr>
            <w:color w:val="0000FF"/>
            <w:sz w:val="20"/>
            <w:szCs w:val="20"/>
            <w:u w:val="single"/>
          </w:rPr>
          <w:t>http://www.banxico.org.mx/informacion-para-la-prensa/comunicados/sector-financiero/agregados-monetarios/%7BD8BAB71F-BE7D-7BF1-0608-2DFC39011CD7%7D.pdf</w:t>
        </w:r>
      </w:hyperlink>
      <w:r w:rsidR="001C4330" w:rsidRPr="0096505B">
        <w:rPr>
          <w:color w:val="0000FF"/>
          <w:sz w:val="20"/>
          <w:szCs w:val="20"/>
        </w:rPr>
        <w:t xml:space="preserve"> </w:t>
      </w:r>
    </w:p>
    <w:p w14:paraId="3350BCDA" w14:textId="77777777" w:rsidR="002F1869" w:rsidRDefault="002F1869" w:rsidP="00AB4882">
      <w:pPr>
        <w:spacing w:after="360" w:line="360" w:lineRule="auto"/>
        <w:ind w:right="-159"/>
        <w:jc w:val="both"/>
        <w:rPr>
          <w:sz w:val="26"/>
          <w:szCs w:val="26"/>
          <w:lang w:val="es-ES"/>
        </w:rPr>
      </w:pPr>
    </w:p>
    <w:p w14:paraId="3B69D7B4" w14:textId="77777777" w:rsidR="002F1869" w:rsidRDefault="002F1869" w:rsidP="00AB4882">
      <w:pPr>
        <w:spacing w:after="360" w:line="360" w:lineRule="auto"/>
        <w:ind w:right="-159"/>
        <w:jc w:val="both"/>
        <w:rPr>
          <w:sz w:val="26"/>
          <w:szCs w:val="26"/>
          <w:lang w:val="es-ES"/>
        </w:rPr>
      </w:pPr>
    </w:p>
    <w:p w14:paraId="75786634" w14:textId="77777777" w:rsidR="00593607" w:rsidRDefault="00593607" w:rsidP="00AB4882">
      <w:pPr>
        <w:spacing w:after="360" w:line="360" w:lineRule="auto"/>
        <w:ind w:right="-159"/>
        <w:jc w:val="both"/>
        <w:rPr>
          <w:sz w:val="26"/>
          <w:szCs w:val="26"/>
          <w:lang w:val="es-ES"/>
        </w:rPr>
      </w:pPr>
    </w:p>
    <w:p w14:paraId="5E7C52E4" w14:textId="77777777" w:rsidR="00176424" w:rsidRPr="00176424" w:rsidRDefault="00176424" w:rsidP="00176424">
      <w:pPr>
        <w:ind w:right="-159"/>
        <w:jc w:val="both"/>
        <w:rPr>
          <w:rFonts w:eastAsia="Calibri"/>
          <w:b/>
          <w:sz w:val="26"/>
          <w:szCs w:val="26"/>
          <w:lang w:eastAsia="en-US"/>
        </w:rPr>
      </w:pPr>
      <w:r w:rsidRPr="00176424">
        <w:rPr>
          <w:rFonts w:eastAsia="Calibri"/>
          <w:b/>
          <w:sz w:val="26"/>
          <w:szCs w:val="26"/>
          <w:lang w:eastAsia="en-US"/>
        </w:rPr>
        <w:lastRenderedPageBreak/>
        <w:t>Evolución  del  Financiamiento  a  las</w:t>
      </w:r>
    </w:p>
    <w:p w14:paraId="6284EB96" w14:textId="77777777" w:rsidR="00176424" w:rsidRPr="00176424" w:rsidRDefault="00176424" w:rsidP="00176424">
      <w:pPr>
        <w:ind w:right="-159"/>
        <w:jc w:val="both"/>
        <w:rPr>
          <w:rFonts w:eastAsia="Calibri"/>
          <w:b/>
          <w:sz w:val="26"/>
          <w:szCs w:val="26"/>
          <w:lang w:eastAsia="en-US"/>
        </w:rPr>
      </w:pPr>
      <w:r w:rsidRPr="00176424">
        <w:rPr>
          <w:rFonts w:eastAsia="Calibri"/>
          <w:b/>
          <w:sz w:val="26"/>
          <w:szCs w:val="26"/>
          <w:lang w:eastAsia="en-US"/>
        </w:rPr>
        <w:t>Empresas     durante    el    Trimestre</w:t>
      </w:r>
    </w:p>
    <w:p w14:paraId="204ED5E0" w14:textId="77777777" w:rsidR="00176424" w:rsidRPr="00176424" w:rsidRDefault="00176424" w:rsidP="00176424">
      <w:pPr>
        <w:spacing w:after="360" w:line="360" w:lineRule="auto"/>
        <w:ind w:right="-159"/>
        <w:jc w:val="both"/>
        <w:rPr>
          <w:rFonts w:eastAsia="Calibri"/>
          <w:b/>
          <w:sz w:val="26"/>
          <w:szCs w:val="26"/>
          <w:lang w:eastAsia="en-US"/>
        </w:rPr>
      </w:pPr>
      <w:r w:rsidRPr="00176424">
        <w:rPr>
          <w:rFonts w:eastAsia="Calibri"/>
          <w:b/>
          <w:sz w:val="26"/>
          <w:szCs w:val="26"/>
          <w:lang w:eastAsia="en-US"/>
        </w:rPr>
        <w:t>Octubre-Diciembre de 2014 (Banxico)</w:t>
      </w:r>
    </w:p>
    <w:p w14:paraId="0B6FB9EF" w14:textId="77777777" w:rsidR="00176424" w:rsidRPr="00176424" w:rsidRDefault="00176424" w:rsidP="00176424">
      <w:pPr>
        <w:spacing w:after="360" w:line="360" w:lineRule="auto"/>
        <w:ind w:right="-159"/>
        <w:jc w:val="both"/>
        <w:rPr>
          <w:rFonts w:eastAsia="Calibri"/>
          <w:sz w:val="26"/>
          <w:szCs w:val="26"/>
          <w:lang w:eastAsia="en-US"/>
        </w:rPr>
      </w:pPr>
      <w:r w:rsidRPr="00176424">
        <w:rPr>
          <w:rFonts w:eastAsia="Calibri"/>
          <w:sz w:val="26"/>
          <w:szCs w:val="26"/>
          <w:lang w:eastAsia="en-US"/>
        </w:rPr>
        <w:t>El 23 de febrero de 2015, el Banco de México (Banxico) dio a conocer la “Evolución del Financiamiento a las Empresas durante el Trimestre Octubre-Diciembre de 2014”</w:t>
      </w:r>
      <w:r w:rsidRPr="00176424">
        <w:rPr>
          <w:rFonts w:eastAsia="Calibri"/>
          <w:i/>
          <w:sz w:val="26"/>
          <w:szCs w:val="26"/>
          <w:lang w:eastAsia="en-US"/>
        </w:rPr>
        <w:t xml:space="preserve">. </w:t>
      </w:r>
      <w:r w:rsidRPr="00176424">
        <w:rPr>
          <w:rFonts w:eastAsia="Calibri"/>
          <w:sz w:val="26"/>
          <w:szCs w:val="26"/>
          <w:lang w:eastAsia="en-US"/>
        </w:rPr>
        <w:t>A continuación se presenta la información.</w:t>
      </w:r>
    </w:p>
    <w:p w14:paraId="583CCB35" w14:textId="2D838F6E" w:rsidR="00176424" w:rsidRPr="00176424" w:rsidRDefault="00176424" w:rsidP="00176424">
      <w:pPr>
        <w:spacing w:after="360" w:line="360" w:lineRule="auto"/>
        <w:ind w:right="-159"/>
        <w:jc w:val="both"/>
        <w:rPr>
          <w:rFonts w:eastAsia="Calibri"/>
          <w:sz w:val="26"/>
          <w:szCs w:val="26"/>
          <w:lang w:eastAsia="en-US"/>
        </w:rPr>
      </w:pPr>
      <w:r w:rsidRPr="00176424">
        <w:rPr>
          <w:rFonts w:eastAsia="Calibri"/>
          <w:sz w:val="26"/>
          <w:szCs w:val="26"/>
          <w:lang w:eastAsia="en-US"/>
        </w:rPr>
        <w:t>Los principales resultados de la Encuesta Trimestral de Evaluación Coyuntural del Mercado Crediticio realizada por Banxico para el período Octubre-Diciembre de 2014 indican que</w:t>
      </w:r>
      <w:r w:rsidRPr="00176424">
        <w:rPr>
          <w:rFonts w:eastAsia="Calibri"/>
          <w:sz w:val="26"/>
          <w:szCs w:val="26"/>
          <w:vertAlign w:val="superscript"/>
          <w:lang w:eastAsia="en-US"/>
        </w:rPr>
        <w:footnoteReference w:id="97"/>
      </w:r>
      <w:r w:rsidR="0023750A">
        <w:rPr>
          <w:rFonts w:eastAsia="Calibri"/>
          <w:sz w:val="26"/>
          <w:szCs w:val="26"/>
          <w:lang w:eastAsia="en-US"/>
        </w:rPr>
        <w:t>:</w:t>
      </w:r>
    </w:p>
    <w:p w14:paraId="2F4C91BD" w14:textId="7AF28CEA" w:rsidR="00176424" w:rsidRPr="00176424" w:rsidRDefault="00176424" w:rsidP="00276F3E">
      <w:pPr>
        <w:numPr>
          <w:ilvl w:val="0"/>
          <w:numId w:val="14"/>
        </w:numPr>
        <w:spacing w:after="360" w:line="360" w:lineRule="auto"/>
        <w:ind w:right="-159"/>
        <w:jc w:val="both"/>
        <w:rPr>
          <w:rFonts w:eastAsia="Calibri"/>
          <w:sz w:val="26"/>
          <w:szCs w:val="26"/>
          <w:lang w:eastAsia="en-US"/>
        </w:rPr>
      </w:pPr>
      <w:r w:rsidRPr="00176424">
        <w:rPr>
          <w:rFonts w:eastAsia="Calibri"/>
          <w:sz w:val="26"/>
          <w:szCs w:val="26"/>
          <w:lang w:eastAsia="en-US"/>
        </w:rPr>
        <w:t>Con relación a las fuentes de financiamiento utilizadas en el trimestre que se reporta, 79.4% de las empresas encuestadas señaló que recibió financiamiento de proveedores, 34.4% utilizó crédito de la banca comercial, 24.2% de otras empresas del grupo corporativo y/o la oficina matriz, 5.9% de la banca de desarrollo, 8.0% de la banca domiciliada en el extranjero y 2.3% por emisión de deuda</w:t>
      </w:r>
      <w:r w:rsidRPr="00176424">
        <w:rPr>
          <w:rFonts w:eastAsia="Calibri"/>
          <w:sz w:val="26"/>
          <w:szCs w:val="26"/>
          <w:vertAlign w:val="superscript"/>
          <w:lang w:eastAsia="en-US"/>
        </w:rPr>
        <w:footnoteReference w:id="98"/>
      </w:r>
      <w:r w:rsidR="0023750A">
        <w:rPr>
          <w:rFonts w:eastAsia="Calibri"/>
          <w:sz w:val="26"/>
          <w:szCs w:val="26"/>
          <w:lang w:eastAsia="en-US"/>
        </w:rPr>
        <w:t>.</w:t>
      </w:r>
    </w:p>
    <w:p w14:paraId="277FBF34" w14:textId="77777777" w:rsidR="00176424" w:rsidRPr="00176424" w:rsidRDefault="00176424" w:rsidP="00276F3E">
      <w:pPr>
        <w:numPr>
          <w:ilvl w:val="0"/>
          <w:numId w:val="14"/>
        </w:numPr>
        <w:spacing w:after="360" w:line="360" w:lineRule="auto"/>
        <w:ind w:right="-159"/>
        <w:jc w:val="both"/>
        <w:rPr>
          <w:rFonts w:eastAsia="Calibri"/>
          <w:sz w:val="26"/>
          <w:szCs w:val="26"/>
          <w:lang w:eastAsia="en-US"/>
        </w:rPr>
      </w:pPr>
      <w:r w:rsidRPr="00176424">
        <w:rPr>
          <w:rFonts w:eastAsia="Calibri"/>
          <w:sz w:val="26"/>
          <w:szCs w:val="26"/>
          <w:lang w:eastAsia="en-US"/>
        </w:rPr>
        <w:t>En lo que respecta al endeudamiento de las empresas con la banca, 43.9% de las empresas encuestadas señaló que contaba con créditos bancarios al inicio del trimestre.</w:t>
      </w:r>
    </w:p>
    <w:p w14:paraId="6AD6E290" w14:textId="77777777" w:rsidR="00176424" w:rsidRPr="00176424" w:rsidRDefault="00176424" w:rsidP="00276F3E">
      <w:pPr>
        <w:numPr>
          <w:ilvl w:val="0"/>
          <w:numId w:val="14"/>
        </w:numPr>
        <w:spacing w:after="360" w:line="360" w:lineRule="auto"/>
        <w:ind w:right="-159"/>
        <w:jc w:val="both"/>
        <w:rPr>
          <w:rFonts w:eastAsia="Calibri"/>
          <w:sz w:val="26"/>
          <w:szCs w:val="26"/>
          <w:lang w:eastAsia="en-US"/>
        </w:rPr>
      </w:pPr>
      <w:r w:rsidRPr="00176424">
        <w:rPr>
          <w:rFonts w:eastAsia="Calibri"/>
          <w:sz w:val="26"/>
          <w:szCs w:val="26"/>
          <w:lang w:eastAsia="en-US"/>
        </w:rPr>
        <w:t>El 20.0% de las empresas utilizó nuevos créditos bancarios durante el cuarto trimestre del año.</w:t>
      </w:r>
    </w:p>
    <w:p w14:paraId="50BEA2C0" w14:textId="77777777" w:rsidR="00176424" w:rsidRPr="00176424" w:rsidRDefault="00176424" w:rsidP="00276F3E">
      <w:pPr>
        <w:numPr>
          <w:ilvl w:val="0"/>
          <w:numId w:val="14"/>
        </w:numPr>
        <w:spacing w:after="360" w:line="360" w:lineRule="auto"/>
        <w:ind w:left="714" w:right="-159" w:hanging="357"/>
        <w:jc w:val="both"/>
        <w:rPr>
          <w:rFonts w:eastAsia="Calibri"/>
          <w:sz w:val="26"/>
          <w:szCs w:val="26"/>
          <w:lang w:eastAsia="en-US"/>
        </w:rPr>
      </w:pPr>
      <w:r w:rsidRPr="00176424">
        <w:rPr>
          <w:rFonts w:eastAsia="Calibri"/>
          <w:sz w:val="26"/>
          <w:szCs w:val="26"/>
          <w:lang w:eastAsia="en-US"/>
        </w:rPr>
        <w:t xml:space="preserve">El conjunto de empresas que utilizó nuevos créditos bancarios expresó haber enfrentado condiciones más favorables respecto del trimestre previo en términos de los montos, plazos ofrecidos y las tasas de interés. A su vez, las condiciones </w:t>
      </w:r>
      <w:r w:rsidRPr="00176424">
        <w:rPr>
          <w:rFonts w:eastAsia="Calibri"/>
          <w:sz w:val="26"/>
          <w:szCs w:val="26"/>
          <w:lang w:eastAsia="en-US"/>
        </w:rPr>
        <w:lastRenderedPageBreak/>
        <w:t>para refinanciar créditos se mantuvieron prácticamente sin cambio. En cuanto a las comisiones y otros gastos, los tiempos de resolución del crédito, los requerimientos de colateral, así como de otros requisitos solicitados por la banca, las empresas percibieron condiciones menos favorables respecto del trimestre previo.</w:t>
      </w:r>
    </w:p>
    <w:p w14:paraId="3C768414" w14:textId="77777777" w:rsidR="00176424" w:rsidRPr="00176424" w:rsidRDefault="00176424" w:rsidP="00176424">
      <w:pPr>
        <w:spacing w:after="360" w:line="360" w:lineRule="auto"/>
        <w:ind w:right="-159"/>
        <w:jc w:val="both"/>
        <w:rPr>
          <w:rFonts w:eastAsia="Calibri"/>
          <w:b/>
          <w:sz w:val="26"/>
          <w:szCs w:val="26"/>
          <w:lang w:eastAsia="en-US"/>
        </w:rPr>
      </w:pPr>
      <w:r w:rsidRPr="00176424">
        <w:rPr>
          <w:rFonts w:eastAsia="Calibri"/>
          <w:b/>
          <w:sz w:val="26"/>
          <w:szCs w:val="26"/>
          <w:lang w:eastAsia="en-US"/>
        </w:rPr>
        <w:t>Fuentes de Financiamiento por Tipo de Oferente</w:t>
      </w:r>
    </w:p>
    <w:p w14:paraId="29B5D56C" w14:textId="06C70AAF" w:rsidR="00176424" w:rsidRPr="00176424" w:rsidRDefault="00176424" w:rsidP="00176424">
      <w:pPr>
        <w:spacing w:after="360" w:line="360" w:lineRule="auto"/>
        <w:ind w:right="-159"/>
        <w:jc w:val="both"/>
        <w:rPr>
          <w:rFonts w:eastAsia="Calibri"/>
          <w:sz w:val="26"/>
          <w:szCs w:val="26"/>
          <w:lang w:eastAsia="en-US"/>
        </w:rPr>
      </w:pPr>
      <w:r w:rsidRPr="00176424">
        <w:rPr>
          <w:rFonts w:eastAsia="Calibri"/>
          <w:sz w:val="26"/>
          <w:szCs w:val="26"/>
          <w:lang w:eastAsia="en-US"/>
        </w:rPr>
        <w:t xml:space="preserve">Los resultados de la encuesta indican que las dos fuentes de financiamiento más utilizadas por las empresas son los proveedores y banca comercial. En el cuarto trimestre de 2014 en particular, se observó una reducción tanto en el financiamiento por proveedores (de 80.8% de las empresas en el trimestre previo a 79.4% en el trimestre que se reporta), y un aumento en el financiamiento a las empresas otorgado por la banca comercial (de 33.9% de las empresas en el trimestre previo a 34.4% en el trimestre que se reporta). Del resto de las fuentes de financiamiento, 24.2% de las empresas reportaron haber utilizado financiamiento de otras empresas del grupo corporativo y/o oficina matriz (22.7% en el trimestre previo), 5.9% de la banca de desarrollo (6.3% en el trimestre previo), 8.0% de la banca domiciliada en el extranjero (7.5% en el trimestre previo), y 2.3% de las empresas reportó haber emitido deuda (3.8% en el trimestre previo) (Ver gráfica </w:t>
      </w:r>
      <w:r w:rsidRPr="00176424">
        <w:rPr>
          <w:rFonts w:eastAsia="Calibri"/>
          <w:i/>
          <w:sz w:val="26"/>
          <w:szCs w:val="26"/>
          <w:lang w:eastAsia="en-US"/>
        </w:rPr>
        <w:t>Fuentes de Financiamiento a las empresas por tipo de oferente</w:t>
      </w:r>
      <w:r w:rsidRPr="00176424">
        <w:rPr>
          <w:rFonts w:eastAsia="Calibri"/>
          <w:sz w:val="26"/>
          <w:szCs w:val="26"/>
          <w:lang w:eastAsia="en-US"/>
        </w:rPr>
        <w:t xml:space="preserve"> y el cuadro: </w:t>
      </w:r>
      <w:r w:rsidRPr="00176424">
        <w:rPr>
          <w:rFonts w:eastAsia="Calibri"/>
          <w:i/>
          <w:sz w:val="26"/>
          <w:szCs w:val="26"/>
          <w:lang w:eastAsia="en-US"/>
        </w:rPr>
        <w:t>Resultados de la Encuesta de Evaluación Coyuntural del Mercado Crediticio</w:t>
      </w:r>
      <w:r w:rsidRPr="00176424">
        <w:rPr>
          <w:rFonts w:eastAsia="Calibri"/>
          <w:sz w:val="26"/>
          <w:szCs w:val="26"/>
          <w:lang w:eastAsia="en-US"/>
        </w:rPr>
        <w:t>)</w:t>
      </w:r>
      <w:r w:rsidRPr="00176424">
        <w:rPr>
          <w:rFonts w:eastAsia="Calibri"/>
          <w:sz w:val="26"/>
          <w:szCs w:val="26"/>
          <w:vertAlign w:val="superscript"/>
          <w:lang w:eastAsia="en-US"/>
        </w:rPr>
        <w:footnoteReference w:id="99"/>
      </w:r>
      <w:r w:rsidR="0023750A">
        <w:rPr>
          <w:rFonts w:eastAsia="Calibri"/>
          <w:sz w:val="26"/>
          <w:szCs w:val="26"/>
          <w:lang w:eastAsia="en-US"/>
        </w:rPr>
        <w:t>.</w:t>
      </w:r>
      <w:r w:rsidRPr="00176424">
        <w:rPr>
          <w:rFonts w:eastAsia="Calibri"/>
          <w:sz w:val="26"/>
          <w:szCs w:val="26"/>
          <w:lang w:eastAsia="en-US"/>
        </w:rPr>
        <w:t xml:space="preserve"> Por tamaño de empresa, los resultados del cuarto trimestre muestran que 78.4% de las empresas que emplean entre 11 y 100 empleados recibió financiamiento por parte de proveedores, mientras que para el conjunto de empresas de más de              100 empleados, dicha proporción fue de 80.1 por ciento</w:t>
      </w:r>
      <w:r w:rsidRPr="00176424">
        <w:rPr>
          <w:rFonts w:eastAsia="Calibri"/>
          <w:sz w:val="26"/>
          <w:szCs w:val="26"/>
          <w:vertAlign w:val="superscript"/>
          <w:lang w:eastAsia="en-US"/>
        </w:rPr>
        <w:footnoteReference w:id="100"/>
      </w:r>
      <w:r w:rsidR="0023750A">
        <w:rPr>
          <w:rFonts w:eastAsia="Calibri"/>
          <w:sz w:val="26"/>
          <w:szCs w:val="26"/>
          <w:lang w:eastAsia="en-US"/>
        </w:rPr>
        <w:t>.</w:t>
      </w:r>
    </w:p>
    <w:p w14:paraId="3FC96820" w14:textId="2E1569DE" w:rsidR="00176424" w:rsidRPr="00176424" w:rsidRDefault="00176424" w:rsidP="00176424">
      <w:pPr>
        <w:spacing w:after="360" w:line="360" w:lineRule="auto"/>
        <w:ind w:right="-159"/>
        <w:jc w:val="both"/>
        <w:rPr>
          <w:rFonts w:eastAsia="Calibri"/>
          <w:sz w:val="26"/>
          <w:szCs w:val="26"/>
          <w:lang w:eastAsia="en-US"/>
        </w:rPr>
      </w:pPr>
      <w:r w:rsidRPr="00176424">
        <w:rPr>
          <w:rFonts w:eastAsia="Calibri"/>
          <w:sz w:val="26"/>
          <w:szCs w:val="26"/>
          <w:lang w:eastAsia="en-US"/>
        </w:rPr>
        <w:lastRenderedPageBreak/>
        <w:t xml:space="preserve">En lo que se refiere al crédito de la banca comercial, el porcentaje de empresas de hasta 100 empleados que lo señaló como fuente de financiamiento durante el trimestre de referencia fue de 28.4%, mientras que la proporción de empresas de más de </w:t>
      </w:r>
      <w:r w:rsidR="00CB7BE4">
        <w:rPr>
          <w:rFonts w:eastAsia="Calibri"/>
          <w:sz w:val="26"/>
          <w:szCs w:val="26"/>
          <w:lang w:eastAsia="en-US"/>
        </w:rPr>
        <w:t xml:space="preserve">                     </w:t>
      </w:r>
      <w:r w:rsidRPr="00176424">
        <w:rPr>
          <w:rFonts w:eastAsia="Calibri"/>
          <w:sz w:val="26"/>
          <w:szCs w:val="26"/>
          <w:lang w:eastAsia="en-US"/>
        </w:rPr>
        <w:t>100 empleados que utilizaron este tipo de financiamiento fue de 38.0 por ciento.</w:t>
      </w:r>
    </w:p>
    <w:tbl>
      <w:tblPr>
        <w:tblW w:w="0" w:type="auto"/>
        <w:jc w:val="center"/>
        <w:tblBorders>
          <w:insideV w:val="single" w:sz="4" w:space="0" w:color="auto"/>
        </w:tblBorders>
        <w:tblLook w:val="04A0" w:firstRow="1" w:lastRow="0" w:firstColumn="1" w:lastColumn="0" w:noHBand="0" w:noVBand="1"/>
      </w:tblPr>
      <w:tblGrid>
        <w:gridCol w:w="8824"/>
      </w:tblGrid>
      <w:tr w:rsidR="00176424" w:rsidRPr="00176424" w14:paraId="6BE400B2" w14:textId="77777777" w:rsidTr="00DA1492">
        <w:trPr>
          <w:jc w:val="center"/>
        </w:trPr>
        <w:tc>
          <w:tcPr>
            <w:tcW w:w="6995" w:type="dxa"/>
          </w:tcPr>
          <w:p w14:paraId="2CAC6FF0" w14:textId="77777777" w:rsidR="00176424" w:rsidRPr="00176424" w:rsidRDefault="00176424" w:rsidP="00176424">
            <w:pPr>
              <w:jc w:val="center"/>
              <w:rPr>
                <w:rFonts w:eastAsia="Calibri"/>
                <w:b/>
                <w:sz w:val="22"/>
                <w:szCs w:val="22"/>
                <w:lang w:eastAsia="en-US"/>
              </w:rPr>
            </w:pPr>
            <w:r w:rsidRPr="00176424">
              <w:rPr>
                <w:rFonts w:eastAsia="Calibri"/>
                <w:b/>
                <w:sz w:val="22"/>
                <w:szCs w:val="22"/>
                <w:lang w:eastAsia="en-US"/>
              </w:rPr>
              <w:t>FUENTES DE FINANCIAMIENTO A LAS EMPRESAS POR TIPO DE OFERENTE</w:t>
            </w:r>
          </w:p>
          <w:p w14:paraId="6E4F1BA2" w14:textId="77777777" w:rsidR="00176424" w:rsidRPr="00176424" w:rsidRDefault="00176424" w:rsidP="00176424">
            <w:pPr>
              <w:jc w:val="center"/>
              <w:rPr>
                <w:rFonts w:eastAsia="Calibri"/>
                <w:b/>
                <w:sz w:val="22"/>
                <w:szCs w:val="22"/>
                <w:lang w:eastAsia="en-US"/>
              </w:rPr>
            </w:pPr>
            <w:r w:rsidRPr="00176424">
              <w:rPr>
                <w:rFonts w:eastAsia="Calibri"/>
                <w:b/>
                <w:sz w:val="22"/>
                <w:szCs w:val="22"/>
                <w:lang w:eastAsia="en-US"/>
              </w:rPr>
              <w:t>-Por ciento del total de empresas</w:t>
            </w:r>
            <w:r w:rsidRPr="00176424">
              <w:rPr>
                <w:rFonts w:eastAsia="Calibri"/>
                <w:b/>
                <w:sz w:val="22"/>
                <w:szCs w:val="22"/>
                <w:u w:val="single"/>
                <w:vertAlign w:val="superscript"/>
                <w:lang w:eastAsia="en-US"/>
              </w:rPr>
              <w:t>1</w:t>
            </w:r>
            <w:r w:rsidRPr="00176424">
              <w:rPr>
                <w:rFonts w:eastAsia="Calibri"/>
                <w:b/>
                <w:sz w:val="22"/>
                <w:szCs w:val="22"/>
                <w:vertAlign w:val="superscript"/>
                <w:lang w:eastAsia="en-US"/>
              </w:rPr>
              <w:t>/</w:t>
            </w:r>
            <w:r w:rsidRPr="00176424">
              <w:rPr>
                <w:rFonts w:eastAsia="Calibri"/>
                <w:b/>
                <w:sz w:val="22"/>
                <w:szCs w:val="22"/>
                <w:lang w:eastAsia="en-US"/>
              </w:rPr>
              <w:t>-</w:t>
            </w:r>
          </w:p>
        </w:tc>
      </w:tr>
      <w:tr w:rsidR="00176424" w:rsidRPr="00176424" w14:paraId="664610D7" w14:textId="77777777" w:rsidTr="00DA1492">
        <w:trPr>
          <w:jc w:val="center"/>
        </w:trPr>
        <w:tc>
          <w:tcPr>
            <w:tcW w:w="6995" w:type="dxa"/>
          </w:tcPr>
          <w:p w14:paraId="24FBADC4" w14:textId="1F1B8874" w:rsidR="00176424" w:rsidRPr="00176424" w:rsidRDefault="00460570" w:rsidP="00176424">
            <w:pPr>
              <w:jc w:val="center"/>
              <w:rPr>
                <w:rFonts w:eastAsia="Calibri"/>
                <w:sz w:val="26"/>
                <w:szCs w:val="26"/>
                <w:lang w:eastAsia="en-US"/>
              </w:rPr>
            </w:pPr>
            <w:r w:rsidRPr="00056FBD">
              <w:rPr>
                <w:noProof/>
                <w:lang w:eastAsia="es-MX"/>
              </w:rPr>
              <w:drawing>
                <wp:inline distT="0" distB="0" distL="0" distR="0" wp14:anchorId="7E4E913E" wp14:editId="27270630">
                  <wp:extent cx="5466080" cy="5766435"/>
                  <wp:effectExtent l="0" t="0" r="0" b="0"/>
                  <wp:docPr id="188" name="Imagen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5466080" cy="5766435"/>
                          </a:xfrm>
                          <a:prstGeom prst="rect">
                            <a:avLst/>
                          </a:prstGeom>
                          <a:noFill/>
                          <a:ln>
                            <a:noFill/>
                          </a:ln>
                        </pic:spPr>
                      </pic:pic>
                    </a:graphicData>
                  </a:graphic>
                </wp:inline>
              </w:drawing>
            </w:r>
          </w:p>
        </w:tc>
      </w:tr>
      <w:tr w:rsidR="00176424" w:rsidRPr="00176424" w14:paraId="41F02A92" w14:textId="77777777" w:rsidTr="00DA1492">
        <w:trPr>
          <w:jc w:val="center"/>
        </w:trPr>
        <w:tc>
          <w:tcPr>
            <w:tcW w:w="6995" w:type="dxa"/>
          </w:tcPr>
          <w:p w14:paraId="290103BD" w14:textId="77777777" w:rsidR="00176424" w:rsidRPr="00176424" w:rsidRDefault="00176424" w:rsidP="00176424">
            <w:pPr>
              <w:ind w:left="255" w:hanging="255"/>
              <w:jc w:val="both"/>
              <w:rPr>
                <w:rFonts w:eastAsia="Calibri"/>
                <w:sz w:val="20"/>
                <w:szCs w:val="20"/>
                <w:lang w:eastAsia="en-US"/>
              </w:rPr>
            </w:pPr>
            <w:r w:rsidRPr="00176424">
              <w:rPr>
                <w:rFonts w:eastAsia="Calibri"/>
                <w:sz w:val="20"/>
                <w:szCs w:val="20"/>
                <w:u w:val="single"/>
                <w:lang w:eastAsia="en-US"/>
              </w:rPr>
              <w:t>1</w:t>
            </w:r>
            <w:r w:rsidRPr="00176424">
              <w:rPr>
                <w:rFonts w:eastAsia="Calibri"/>
                <w:sz w:val="20"/>
                <w:szCs w:val="20"/>
                <w:lang w:eastAsia="en-US"/>
              </w:rPr>
              <w:t>/ Estas cifras se refieren a la proporción de las empresas que utilizó la fuente de financiamiento mencionada, no a la estructura del financiamiento de las empresas.</w:t>
            </w:r>
          </w:p>
          <w:p w14:paraId="26F93843" w14:textId="77777777" w:rsidR="00176424" w:rsidRPr="00176424" w:rsidRDefault="00176424" w:rsidP="00176424">
            <w:pPr>
              <w:jc w:val="both"/>
              <w:rPr>
                <w:rFonts w:eastAsia="Calibri"/>
                <w:sz w:val="20"/>
                <w:szCs w:val="20"/>
                <w:lang w:eastAsia="en-US"/>
              </w:rPr>
            </w:pPr>
            <w:r w:rsidRPr="00176424">
              <w:rPr>
                <w:rFonts w:eastAsia="Calibri"/>
                <w:sz w:val="20"/>
                <w:szCs w:val="20"/>
                <w:lang w:eastAsia="en-US"/>
              </w:rPr>
              <w:t>FUENTE: Banco de México.</w:t>
            </w:r>
          </w:p>
        </w:tc>
      </w:tr>
    </w:tbl>
    <w:p w14:paraId="359E00C6" w14:textId="77777777" w:rsidR="00176424" w:rsidRPr="00176424" w:rsidRDefault="00176424" w:rsidP="00176424">
      <w:pPr>
        <w:spacing w:after="360" w:line="360" w:lineRule="auto"/>
        <w:ind w:right="-159"/>
        <w:jc w:val="both"/>
        <w:rPr>
          <w:rFonts w:eastAsia="Calibri"/>
          <w:sz w:val="26"/>
          <w:szCs w:val="26"/>
          <w:lang w:eastAsia="en-US"/>
        </w:rPr>
      </w:pPr>
    </w:p>
    <w:p w14:paraId="09908EB0" w14:textId="77777777" w:rsidR="00176424" w:rsidRPr="00176424" w:rsidRDefault="00176424" w:rsidP="00176424">
      <w:pPr>
        <w:spacing w:after="360" w:line="360" w:lineRule="auto"/>
        <w:ind w:right="-159"/>
        <w:jc w:val="both"/>
        <w:rPr>
          <w:rFonts w:eastAsia="Calibri"/>
          <w:b/>
          <w:sz w:val="26"/>
          <w:szCs w:val="26"/>
          <w:lang w:eastAsia="en-US"/>
        </w:rPr>
      </w:pPr>
      <w:r w:rsidRPr="00176424">
        <w:rPr>
          <w:rFonts w:eastAsia="Calibri"/>
          <w:b/>
          <w:sz w:val="26"/>
          <w:szCs w:val="26"/>
          <w:lang w:eastAsia="en-US"/>
        </w:rPr>
        <w:lastRenderedPageBreak/>
        <w:t>Crédito Bancario</w:t>
      </w:r>
    </w:p>
    <w:p w14:paraId="09BEB8DA" w14:textId="57F9FE57" w:rsidR="00176424" w:rsidRPr="00176424" w:rsidRDefault="00176424" w:rsidP="00176424">
      <w:pPr>
        <w:spacing w:after="360" w:line="360" w:lineRule="auto"/>
        <w:ind w:right="-159"/>
        <w:jc w:val="both"/>
        <w:rPr>
          <w:rFonts w:eastAsia="Calibri"/>
          <w:sz w:val="26"/>
          <w:szCs w:val="26"/>
          <w:lang w:eastAsia="en-US"/>
        </w:rPr>
      </w:pPr>
      <w:r w:rsidRPr="00176424">
        <w:rPr>
          <w:rFonts w:eastAsia="Calibri"/>
          <w:sz w:val="26"/>
          <w:szCs w:val="26"/>
          <w:lang w:eastAsia="en-US"/>
        </w:rPr>
        <w:t xml:space="preserve">Los resultados para el cuarto trimestre de 2014 muestran que 43.9% del total de las empresas encuestadas contaba con créditos bancarios al inicio del trimestre (45.9% en el trimestre previo) (Gráfica </w:t>
      </w:r>
      <w:r w:rsidRPr="00176424">
        <w:rPr>
          <w:rFonts w:eastAsia="Calibri"/>
          <w:i/>
          <w:sz w:val="26"/>
          <w:szCs w:val="26"/>
          <w:lang w:eastAsia="en-US"/>
        </w:rPr>
        <w:t xml:space="preserve">Crédito Bancario en el trimestre: a) Empresas con endeudamiento bancario </w:t>
      </w:r>
      <w:r w:rsidRPr="00176424">
        <w:rPr>
          <w:rFonts w:eastAsia="Calibri"/>
          <w:sz w:val="26"/>
          <w:szCs w:val="26"/>
          <w:lang w:eastAsia="en-US"/>
        </w:rPr>
        <w:t xml:space="preserve">y cuadro </w:t>
      </w:r>
      <w:r w:rsidRPr="00176424">
        <w:rPr>
          <w:rFonts w:eastAsia="Calibri"/>
          <w:i/>
          <w:sz w:val="26"/>
          <w:szCs w:val="26"/>
          <w:lang w:eastAsia="en-US"/>
        </w:rPr>
        <w:t>Resultados de la encuesta de evaluación coyuntural del mercado crediticio</w:t>
      </w:r>
      <w:r w:rsidRPr="00176424">
        <w:rPr>
          <w:rFonts w:eastAsia="Calibri"/>
          <w:sz w:val="26"/>
          <w:szCs w:val="26"/>
          <w:lang w:eastAsia="en-US"/>
        </w:rPr>
        <w:t>). Por tamaño de empresa, la proporción de empresas de hasta 100 empleados que reportó tener créditos bancarios al inicio del trimestre fue 36.1%, mientras que el porcentaje correspondiente para las empresas con más de                          100 empleados fue de 48.6 por ciento.</w:t>
      </w:r>
    </w:p>
    <w:p w14:paraId="74C63E89" w14:textId="748CC8A3" w:rsidR="00176424" w:rsidRPr="00176424" w:rsidRDefault="00176424" w:rsidP="00176424">
      <w:pPr>
        <w:spacing w:after="360" w:line="360" w:lineRule="auto"/>
        <w:ind w:right="-159"/>
        <w:jc w:val="both"/>
        <w:rPr>
          <w:rFonts w:eastAsia="Calibri"/>
          <w:sz w:val="26"/>
          <w:szCs w:val="26"/>
          <w:lang w:eastAsia="en-US"/>
        </w:rPr>
      </w:pPr>
      <w:r w:rsidRPr="00176424">
        <w:rPr>
          <w:rFonts w:eastAsia="Calibri"/>
          <w:sz w:val="26"/>
          <w:szCs w:val="26"/>
          <w:lang w:eastAsia="en-US"/>
        </w:rPr>
        <w:t>El porcentaje de empresas que utilizó nuevos créditos bancarios en el trimestre de referencia fue de 20.0% (24.6% en el trimestre previo) (Gráfica</w:t>
      </w:r>
      <w:r w:rsidRPr="00176424">
        <w:rPr>
          <w:rFonts w:eastAsia="Calibri"/>
          <w:i/>
          <w:sz w:val="26"/>
          <w:szCs w:val="26"/>
          <w:lang w:eastAsia="en-US"/>
        </w:rPr>
        <w:t xml:space="preserve"> Crédito Bancario en el trimestre: b) Estructura de las solicitudes de crédito bancario </w:t>
      </w:r>
      <w:r w:rsidRPr="00176424">
        <w:rPr>
          <w:rFonts w:eastAsia="Calibri"/>
          <w:sz w:val="26"/>
          <w:szCs w:val="26"/>
          <w:lang w:eastAsia="en-US"/>
        </w:rPr>
        <w:t xml:space="preserve">y cuadro </w:t>
      </w:r>
      <w:r w:rsidRPr="00176424">
        <w:rPr>
          <w:rFonts w:eastAsia="Calibri"/>
          <w:i/>
          <w:sz w:val="26"/>
          <w:szCs w:val="26"/>
          <w:lang w:eastAsia="en-US"/>
        </w:rPr>
        <w:t>Resultados de la encuesta de evaluación coyuntural del mercado crediticio</w:t>
      </w:r>
      <w:r w:rsidRPr="00176424">
        <w:rPr>
          <w:rFonts w:eastAsia="Calibri"/>
          <w:sz w:val="26"/>
          <w:szCs w:val="26"/>
          <w:lang w:eastAsia="en-US"/>
        </w:rPr>
        <w:t>). El porcentaje de empresas con hasta 100 empleados que señaló haber utilizado nuevos créditos bancarios fue de 11.0%, mientras que en el caso de las empresas de más de 100 empleados este porcentaje fue de 25.4 por ciento.</w:t>
      </w:r>
    </w:p>
    <w:p w14:paraId="745A0893" w14:textId="776FAA3F" w:rsidR="00176424" w:rsidRPr="00176424" w:rsidRDefault="00176424" w:rsidP="00176424">
      <w:pPr>
        <w:spacing w:after="360" w:line="360" w:lineRule="auto"/>
        <w:ind w:right="-159"/>
        <w:jc w:val="both"/>
        <w:rPr>
          <w:rFonts w:eastAsia="Calibri"/>
          <w:sz w:val="26"/>
          <w:szCs w:val="26"/>
          <w:lang w:eastAsia="en-US"/>
        </w:rPr>
      </w:pPr>
      <w:r w:rsidRPr="00176424">
        <w:rPr>
          <w:rFonts w:eastAsia="Calibri"/>
          <w:sz w:val="26"/>
          <w:szCs w:val="26"/>
          <w:lang w:eastAsia="en-US"/>
        </w:rPr>
        <w:t xml:space="preserve">En complemento de lo anterior, el porcentaje de empresas que no utilizó nuevos créditos bancarios fue 80.0% (75.4% en el trimestre previo). Con respecto al total de empresas, el 75.5% reveló que no los solicitó (67.9% en el trimestre anterior); el 2.6% de las empresas señaló que solicitó crédito y está en proceso de autorización (4.9% en el trimestre anterior) y el 1.5% de las empresas indicó que solicitó crédito y no fue autorizado (2.1% el trimestre anterior). A su vez, el 0.5% de las empresas indicó que, aunque solicitó el crédito, lo rechazó por considerar que era muy caro (0.4% el trimestre anterior) (Gráfica </w:t>
      </w:r>
      <w:r w:rsidRPr="00176424">
        <w:rPr>
          <w:rFonts w:eastAsia="Calibri"/>
          <w:i/>
          <w:sz w:val="26"/>
          <w:szCs w:val="26"/>
          <w:lang w:eastAsia="en-US"/>
        </w:rPr>
        <w:t xml:space="preserve">Crédito Bancario en el trimestre: b) Estructura de las solicitudes de </w:t>
      </w:r>
      <w:r w:rsidRPr="00176424">
        <w:rPr>
          <w:rFonts w:eastAsia="Calibri"/>
          <w:i/>
          <w:sz w:val="26"/>
          <w:szCs w:val="26"/>
          <w:lang w:eastAsia="en-US"/>
        </w:rPr>
        <w:lastRenderedPageBreak/>
        <w:t xml:space="preserve">crédito bancario </w:t>
      </w:r>
      <w:r w:rsidRPr="00176424">
        <w:rPr>
          <w:rFonts w:eastAsia="Calibri"/>
          <w:sz w:val="26"/>
          <w:szCs w:val="26"/>
          <w:lang w:eastAsia="en-US"/>
        </w:rPr>
        <w:t xml:space="preserve">y cuadro </w:t>
      </w:r>
      <w:r w:rsidRPr="00176424">
        <w:rPr>
          <w:rFonts w:eastAsia="Calibri"/>
          <w:i/>
          <w:sz w:val="26"/>
          <w:szCs w:val="26"/>
          <w:lang w:eastAsia="en-US"/>
        </w:rPr>
        <w:t>Resultados de la encuesta de evaluación coyuntural del mercado crediticio</w:t>
      </w:r>
      <w:r w:rsidRPr="00176424">
        <w:rPr>
          <w:rFonts w:eastAsia="Calibri"/>
          <w:sz w:val="26"/>
          <w:szCs w:val="26"/>
          <w:lang w:eastAsia="en-US"/>
        </w:rPr>
        <w:t>)</w:t>
      </w:r>
      <w:r w:rsidRPr="00176424">
        <w:rPr>
          <w:rFonts w:eastAsia="Calibri"/>
          <w:sz w:val="26"/>
          <w:szCs w:val="26"/>
          <w:vertAlign w:val="superscript"/>
          <w:lang w:eastAsia="en-US"/>
        </w:rPr>
        <w:footnoteReference w:id="101"/>
      </w:r>
      <w:r w:rsidR="0023750A">
        <w:rPr>
          <w:rFonts w:eastAsia="Calibri"/>
          <w:sz w:val="26"/>
          <w:szCs w:val="26"/>
          <w:lang w:eastAsia="en-US"/>
        </w:rPr>
        <w:t>.</w:t>
      </w:r>
    </w:p>
    <w:tbl>
      <w:tblPr>
        <w:tblW w:w="0" w:type="auto"/>
        <w:tblBorders>
          <w:insideV w:val="single" w:sz="4" w:space="0" w:color="auto"/>
        </w:tblBorders>
        <w:tblLook w:val="04A0" w:firstRow="1" w:lastRow="0" w:firstColumn="1" w:lastColumn="0" w:noHBand="0" w:noVBand="1"/>
      </w:tblPr>
      <w:tblGrid>
        <w:gridCol w:w="4873"/>
        <w:gridCol w:w="3967"/>
      </w:tblGrid>
      <w:tr w:rsidR="00176424" w:rsidRPr="00176424" w14:paraId="1C6BD693" w14:textId="77777777" w:rsidTr="00B96277">
        <w:tc>
          <w:tcPr>
            <w:tcW w:w="8840" w:type="dxa"/>
            <w:gridSpan w:val="2"/>
          </w:tcPr>
          <w:p w14:paraId="27E7C4A1" w14:textId="77777777" w:rsidR="00176424" w:rsidRPr="00176424" w:rsidRDefault="00176424" w:rsidP="00176424">
            <w:pPr>
              <w:jc w:val="center"/>
              <w:rPr>
                <w:rFonts w:eastAsia="Calibri"/>
                <w:b/>
                <w:sz w:val="22"/>
                <w:szCs w:val="22"/>
                <w:lang w:eastAsia="en-US"/>
              </w:rPr>
            </w:pPr>
            <w:r w:rsidRPr="00176424">
              <w:rPr>
                <w:rFonts w:eastAsia="Calibri"/>
                <w:b/>
                <w:sz w:val="22"/>
                <w:szCs w:val="22"/>
                <w:lang w:eastAsia="en-US"/>
              </w:rPr>
              <w:t>CRÉDITO BANCARIO EN EL TRIMESTRE</w:t>
            </w:r>
          </w:p>
          <w:p w14:paraId="016F0DAA" w14:textId="77777777" w:rsidR="00176424" w:rsidRPr="00176424" w:rsidRDefault="00176424" w:rsidP="00176424">
            <w:pPr>
              <w:jc w:val="center"/>
              <w:rPr>
                <w:rFonts w:eastAsia="Calibri"/>
                <w:b/>
                <w:sz w:val="22"/>
                <w:szCs w:val="22"/>
                <w:lang w:eastAsia="en-US"/>
              </w:rPr>
            </w:pPr>
            <w:r w:rsidRPr="00176424">
              <w:rPr>
                <w:rFonts w:eastAsia="Calibri"/>
                <w:b/>
                <w:sz w:val="22"/>
                <w:szCs w:val="22"/>
                <w:lang w:eastAsia="en-US"/>
              </w:rPr>
              <w:t>-Por ciento del total de empresas-</w:t>
            </w:r>
          </w:p>
        </w:tc>
      </w:tr>
      <w:tr w:rsidR="00176424" w:rsidRPr="00176424" w14:paraId="797783B6" w14:textId="77777777" w:rsidTr="00B96277">
        <w:tc>
          <w:tcPr>
            <w:tcW w:w="4822" w:type="dxa"/>
            <w:tcBorders>
              <w:right w:val="nil"/>
            </w:tcBorders>
          </w:tcPr>
          <w:p w14:paraId="7013987F" w14:textId="77777777" w:rsidR="00176424" w:rsidRPr="00176424" w:rsidRDefault="00176424" w:rsidP="00176424">
            <w:pPr>
              <w:jc w:val="center"/>
              <w:rPr>
                <w:rFonts w:eastAsia="Calibri"/>
                <w:b/>
                <w:sz w:val="20"/>
                <w:szCs w:val="20"/>
                <w:lang w:eastAsia="en-US"/>
              </w:rPr>
            </w:pPr>
            <w:r w:rsidRPr="00176424">
              <w:rPr>
                <w:rFonts w:eastAsia="Calibri"/>
                <w:b/>
                <w:sz w:val="20"/>
                <w:szCs w:val="20"/>
                <w:lang w:eastAsia="en-US"/>
              </w:rPr>
              <w:t>a) Empresas con endeudamiento bancario</w:t>
            </w:r>
          </w:p>
          <w:p w14:paraId="3ACE3656" w14:textId="77777777" w:rsidR="00176424" w:rsidRPr="00176424" w:rsidRDefault="00176424" w:rsidP="00176424">
            <w:pPr>
              <w:jc w:val="center"/>
              <w:rPr>
                <w:rFonts w:eastAsia="Calibri"/>
                <w:b/>
                <w:sz w:val="20"/>
                <w:szCs w:val="20"/>
                <w:lang w:eastAsia="en-US"/>
              </w:rPr>
            </w:pPr>
          </w:p>
        </w:tc>
        <w:tc>
          <w:tcPr>
            <w:tcW w:w="4018" w:type="dxa"/>
            <w:tcBorders>
              <w:left w:val="nil"/>
            </w:tcBorders>
          </w:tcPr>
          <w:p w14:paraId="14075C95" w14:textId="77777777" w:rsidR="00176424" w:rsidRPr="00176424" w:rsidRDefault="00176424" w:rsidP="00176424">
            <w:pPr>
              <w:jc w:val="center"/>
              <w:rPr>
                <w:rFonts w:eastAsia="Calibri"/>
                <w:b/>
                <w:sz w:val="20"/>
                <w:szCs w:val="20"/>
                <w:lang w:eastAsia="en-US"/>
              </w:rPr>
            </w:pPr>
            <w:r w:rsidRPr="00176424">
              <w:rPr>
                <w:rFonts w:eastAsia="Calibri"/>
                <w:b/>
                <w:sz w:val="20"/>
                <w:szCs w:val="20"/>
                <w:lang w:eastAsia="en-US"/>
              </w:rPr>
              <w:t>b) Estructura de las solicitudes de crédito bancario</w:t>
            </w:r>
          </w:p>
        </w:tc>
      </w:tr>
      <w:tr w:rsidR="00176424" w:rsidRPr="00176424" w14:paraId="49BFAF24" w14:textId="77777777" w:rsidTr="00B96277">
        <w:tc>
          <w:tcPr>
            <w:tcW w:w="8840" w:type="dxa"/>
            <w:gridSpan w:val="2"/>
          </w:tcPr>
          <w:p w14:paraId="7904D72C" w14:textId="7C31E6F3" w:rsidR="00176424" w:rsidRPr="00176424" w:rsidRDefault="00460570" w:rsidP="00176424">
            <w:pPr>
              <w:jc w:val="center"/>
              <w:rPr>
                <w:rFonts w:eastAsia="Calibri"/>
                <w:b/>
                <w:sz w:val="20"/>
                <w:szCs w:val="20"/>
                <w:lang w:eastAsia="en-US"/>
              </w:rPr>
            </w:pPr>
            <w:r w:rsidRPr="00056FBD">
              <w:rPr>
                <w:noProof/>
                <w:lang w:eastAsia="es-MX"/>
              </w:rPr>
              <w:drawing>
                <wp:inline distT="0" distB="0" distL="0" distR="0" wp14:anchorId="2175FC87" wp14:editId="46659172">
                  <wp:extent cx="5612130" cy="2839090"/>
                  <wp:effectExtent l="0" t="0" r="7620" b="0"/>
                  <wp:docPr id="189" name="Imagen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5612130" cy="2839090"/>
                          </a:xfrm>
                          <a:prstGeom prst="rect">
                            <a:avLst/>
                          </a:prstGeom>
                          <a:noFill/>
                          <a:ln>
                            <a:noFill/>
                          </a:ln>
                        </pic:spPr>
                      </pic:pic>
                    </a:graphicData>
                  </a:graphic>
                </wp:inline>
              </w:drawing>
            </w:r>
          </w:p>
        </w:tc>
      </w:tr>
    </w:tbl>
    <w:p w14:paraId="59AED12B" w14:textId="77777777" w:rsidR="00176424" w:rsidRPr="00176424" w:rsidRDefault="00176424" w:rsidP="00176424">
      <w:pPr>
        <w:spacing w:after="360" w:line="360" w:lineRule="auto"/>
        <w:ind w:right="-159"/>
        <w:jc w:val="both"/>
        <w:rPr>
          <w:rFonts w:eastAsia="Calibri"/>
          <w:sz w:val="20"/>
          <w:szCs w:val="20"/>
          <w:lang w:eastAsia="en-US"/>
        </w:rPr>
      </w:pPr>
      <w:r w:rsidRPr="00176424">
        <w:rPr>
          <w:rFonts w:eastAsia="Calibri"/>
          <w:sz w:val="20"/>
          <w:szCs w:val="20"/>
          <w:lang w:eastAsia="en-US"/>
        </w:rPr>
        <w:t>FUENTE: Banco de México.</w:t>
      </w:r>
    </w:p>
    <w:p w14:paraId="229B3757" w14:textId="77777777" w:rsidR="00176424" w:rsidRPr="00176424" w:rsidRDefault="00176424" w:rsidP="00176424">
      <w:pPr>
        <w:spacing w:after="360" w:line="360" w:lineRule="auto"/>
        <w:ind w:right="-159"/>
        <w:jc w:val="both"/>
        <w:rPr>
          <w:rFonts w:eastAsia="Calibri"/>
          <w:b/>
          <w:sz w:val="26"/>
          <w:szCs w:val="26"/>
          <w:lang w:eastAsia="en-US"/>
        </w:rPr>
      </w:pPr>
      <w:r w:rsidRPr="00176424">
        <w:rPr>
          <w:rFonts w:eastAsia="Calibri"/>
          <w:b/>
          <w:sz w:val="26"/>
          <w:szCs w:val="26"/>
          <w:lang w:eastAsia="en-US"/>
        </w:rPr>
        <w:t>Percepción sobre las Condiciones de Acceso y Costo del Crédito Bancario</w:t>
      </w:r>
    </w:p>
    <w:p w14:paraId="37A6BA7B" w14:textId="5A7A0138" w:rsidR="00176424" w:rsidRDefault="00176424" w:rsidP="00176424">
      <w:pPr>
        <w:spacing w:after="360" w:line="360" w:lineRule="auto"/>
        <w:ind w:right="-159"/>
        <w:jc w:val="both"/>
        <w:rPr>
          <w:rFonts w:eastAsia="Calibri"/>
          <w:sz w:val="26"/>
          <w:szCs w:val="26"/>
          <w:lang w:eastAsia="en-US"/>
        </w:rPr>
      </w:pPr>
      <w:r w:rsidRPr="00176424">
        <w:rPr>
          <w:rFonts w:eastAsia="Calibri"/>
          <w:sz w:val="26"/>
          <w:szCs w:val="26"/>
          <w:lang w:eastAsia="en-US"/>
        </w:rPr>
        <w:t>A continuación se presentan algunos resultados sobre la percepción de las empresas encuestadas respecto a las condiciones de acceso y costo del crédito bancario a través de índices de difusión</w:t>
      </w:r>
      <w:r w:rsidRPr="00176424">
        <w:rPr>
          <w:rFonts w:eastAsia="Calibri"/>
          <w:sz w:val="26"/>
          <w:szCs w:val="26"/>
          <w:vertAlign w:val="superscript"/>
          <w:lang w:eastAsia="en-US"/>
        </w:rPr>
        <w:footnoteReference w:id="102"/>
      </w:r>
      <w:r w:rsidR="0023750A">
        <w:rPr>
          <w:rFonts w:eastAsia="Calibri"/>
          <w:sz w:val="26"/>
          <w:szCs w:val="26"/>
          <w:lang w:eastAsia="en-US"/>
        </w:rPr>
        <w:t>.</w:t>
      </w:r>
    </w:p>
    <w:p w14:paraId="124CCB2A" w14:textId="6363E2CD" w:rsidR="00176424" w:rsidRPr="00176424" w:rsidRDefault="00176424" w:rsidP="00176424">
      <w:pPr>
        <w:spacing w:after="360" w:line="360" w:lineRule="auto"/>
        <w:ind w:right="-159"/>
        <w:jc w:val="both"/>
        <w:rPr>
          <w:rFonts w:eastAsia="Calibri"/>
          <w:sz w:val="26"/>
          <w:szCs w:val="26"/>
          <w:lang w:eastAsia="en-US"/>
        </w:rPr>
      </w:pPr>
      <w:r w:rsidRPr="00176424">
        <w:rPr>
          <w:rFonts w:eastAsia="Calibri"/>
          <w:sz w:val="26"/>
          <w:szCs w:val="26"/>
          <w:lang w:eastAsia="en-US"/>
        </w:rPr>
        <w:lastRenderedPageBreak/>
        <w:t xml:space="preserve">Para el total de las empresas encuestadas que utilizaron nuevos créditos bancarios (20.0%), los índices de difusión que miden la percepción acerca de </w:t>
      </w:r>
      <w:r w:rsidRPr="00176424">
        <w:rPr>
          <w:rFonts w:eastAsia="Calibri"/>
          <w:i/>
          <w:sz w:val="26"/>
          <w:szCs w:val="26"/>
          <w:lang w:eastAsia="en-US"/>
        </w:rPr>
        <w:t>las condiciones de acceso al mercado de crédito bancario en el trimestre actual respecto del trimestre previo</w:t>
      </w:r>
      <w:r w:rsidRPr="00176424">
        <w:rPr>
          <w:rFonts w:eastAsia="Calibri"/>
          <w:sz w:val="26"/>
          <w:szCs w:val="26"/>
          <w:lang w:eastAsia="en-US"/>
        </w:rPr>
        <w:t xml:space="preserve"> indican condiciones más accesibles en términos de los plazos ofrecidos           (59.0 puntos) y los montos ofrecidos (52.1%). Por su parte, las condiciones para refinanciar créditos (49.2 puntos) se mantuvieron prácticamente sin cambio. Finalmente, los tiempos de resolución del crédito (45.4 puntos), los requerimientos de colateral (42.5 puntos) y otros requisitos solicitados por la banca (44.5 puntos) registraron condiciones menos favorables (Gráfica </w:t>
      </w:r>
      <w:r w:rsidRPr="00176424">
        <w:rPr>
          <w:rFonts w:eastAsia="Calibri"/>
          <w:i/>
          <w:sz w:val="26"/>
          <w:szCs w:val="26"/>
          <w:lang w:eastAsia="en-US"/>
        </w:rPr>
        <w:t>Percepción sobre las</w:t>
      </w:r>
      <w:r w:rsidRPr="00176424">
        <w:rPr>
          <w:rFonts w:eastAsia="Calibri"/>
          <w:sz w:val="26"/>
          <w:szCs w:val="26"/>
          <w:lang w:eastAsia="en-US"/>
        </w:rPr>
        <w:t xml:space="preserve"> c</w:t>
      </w:r>
      <w:r w:rsidRPr="00176424">
        <w:rPr>
          <w:rFonts w:eastAsia="Calibri"/>
          <w:i/>
          <w:sz w:val="26"/>
          <w:szCs w:val="26"/>
          <w:lang w:eastAsia="en-US"/>
        </w:rPr>
        <w:t xml:space="preserve">ondiciones generales de acceso y costo del mercado de crédito bancario: a) Condiciones de acceso </w:t>
      </w:r>
      <w:r w:rsidRPr="00176424">
        <w:rPr>
          <w:rFonts w:eastAsia="Calibri"/>
          <w:sz w:val="26"/>
          <w:szCs w:val="26"/>
          <w:lang w:eastAsia="en-US"/>
        </w:rPr>
        <w:t xml:space="preserve">y cuadro </w:t>
      </w:r>
      <w:r w:rsidRPr="00176424">
        <w:rPr>
          <w:rFonts w:eastAsia="Calibri"/>
          <w:i/>
          <w:sz w:val="26"/>
          <w:szCs w:val="26"/>
          <w:lang w:eastAsia="en-US"/>
        </w:rPr>
        <w:t>Resultados de la encuesta de evaluación coyuntural del mercado crediticio</w:t>
      </w:r>
      <w:r w:rsidRPr="00176424">
        <w:rPr>
          <w:rFonts w:eastAsia="Calibri"/>
          <w:sz w:val="26"/>
          <w:szCs w:val="26"/>
          <w:lang w:eastAsia="en-US"/>
        </w:rPr>
        <w:t>).</w:t>
      </w:r>
    </w:p>
    <w:p w14:paraId="271AD2DD" w14:textId="068B3ABA" w:rsidR="00176424" w:rsidRPr="00176424" w:rsidRDefault="00176424" w:rsidP="00176424">
      <w:pPr>
        <w:spacing w:after="360" w:line="360" w:lineRule="auto"/>
        <w:ind w:right="-159"/>
        <w:jc w:val="both"/>
        <w:rPr>
          <w:rFonts w:eastAsia="Calibri"/>
          <w:sz w:val="26"/>
          <w:szCs w:val="26"/>
          <w:lang w:eastAsia="en-US"/>
        </w:rPr>
      </w:pPr>
      <w:r w:rsidRPr="00176424">
        <w:rPr>
          <w:rFonts w:eastAsia="Calibri"/>
          <w:sz w:val="26"/>
          <w:szCs w:val="26"/>
          <w:lang w:eastAsia="en-US"/>
        </w:rPr>
        <w:t>Considerando estos índices de difusión por tamaño de empresa, aquéllas de hasta        100 empleados percibieron condiciones más favorables en términos de los montos ofrecidos (6</w:t>
      </w:r>
      <w:r w:rsidR="006B134F">
        <w:rPr>
          <w:rFonts w:eastAsia="Calibri"/>
          <w:sz w:val="26"/>
          <w:szCs w:val="26"/>
          <w:lang w:eastAsia="en-US"/>
        </w:rPr>
        <w:t>3</w:t>
      </w:r>
      <w:r w:rsidRPr="00176424">
        <w:rPr>
          <w:rFonts w:eastAsia="Calibri"/>
          <w:sz w:val="26"/>
          <w:szCs w:val="26"/>
          <w:lang w:eastAsia="en-US"/>
        </w:rPr>
        <w:t xml:space="preserve">.5 puntos) y de los plazos ofrecidos (61.4 puntos). Por su parte, </w:t>
      </w:r>
      <w:r w:rsidR="00CB7BE4">
        <w:rPr>
          <w:rFonts w:eastAsia="Calibri"/>
          <w:sz w:val="26"/>
          <w:szCs w:val="26"/>
          <w:lang w:eastAsia="en-US"/>
        </w:rPr>
        <w:t>l</w:t>
      </w:r>
      <w:r w:rsidRPr="00176424">
        <w:rPr>
          <w:rFonts w:eastAsia="Calibri"/>
          <w:sz w:val="26"/>
          <w:szCs w:val="26"/>
          <w:lang w:eastAsia="en-US"/>
        </w:rPr>
        <w:t>os otros requisitos solicitados por la banca (50.0 puntos), los tiempos de resolución del crédito (49.9 puntos), los requerimientos de colateral (49.9 puntos) y las condiciones para refinanciar créditos (49.7 puntos), se mantuvieron sin cambio.</w:t>
      </w:r>
    </w:p>
    <w:p w14:paraId="4B184280" w14:textId="77777777" w:rsidR="00176424" w:rsidRPr="00176424" w:rsidRDefault="00176424" w:rsidP="00176424">
      <w:pPr>
        <w:spacing w:after="360" w:line="360" w:lineRule="auto"/>
        <w:ind w:right="-159"/>
        <w:jc w:val="both"/>
        <w:rPr>
          <w:rFonts w:eastAsia="Calibri"/>
          <w:sz w:val="26"/>
          <w:szCs w:val="26"/>
          <w:lang w:eastAsia="en-US"/>
        </w:rPr>
      </w:pPr>
      <w:r w:rsidRPr="00176424">
        <w:rPr>
          <w:rFonts w:eastAsia="Calibri"/>
          <w:sz w:val="26"/>
          <w:szCs w:val="26"/>
          <w:lang w:eastAsia="en-US"/>
        </w:rPr>
        <w:t>A su vez, las empresas de más de 100 empleados percibieron condiciones más favorables en términos de los plazos ofrecidos (58.4 puntos). Por su parte, los montos ofrecidos (49.3 puntos) y las condiciones para refinanciar créditos (49.1 puntos), se mantuvieron prácticamente sin cambio. Finalmente, los tiempos de resolución del crédito (44.4 puntos), los requerimientos de colateral (40.6 puntos) y otros requisitos solicitados por la banca (43.3 puntos) registraron condiciones menos favorables.</w:t>
      </w:r>
    </w:p>
    <w:p w14:paraId="7CBBF6A6" w14:textId="10B0A2D8" w:rsidR="00176424" w:rsidRPr="00EB7908" w:rsidRDefault="00176424" w:rsidP="00EB7908">
      <w:pPr>
        <w:spacing w:after="360" w:line="360" w:lineRule="auto"/>
        <w:ind w:right="-159"/>
        <w:jc w:val="both"/>
        <w:rPr>
          <w:rFonts w:eastAsia="Calibri"/>
          <w:sz w:val="26"/>
          <w:szCs w:val="26"/>
          <w:lang w:eastAsia="en-US"/>
        </w:rPr>
      </w:pPr>
      <w:r w:rsidRPr="00176424">
        <w:rPr>
          <w:rFonts w:eastAsia="Calibri"/>
          <w:sz w:val="26"/>
          <w:szCs w:val="26"/>
          <w:lang w:eastAsia="en-US"/>
        </w:rPr>
        <w:t xml:space="preserve">Respecto de la percepción del total de las empresas encuestadas acerca de </w:t>
      </w:r>
      <w:r w:rsidRPr="00EB7908">
        <w:rPr>
          <w:rFonts w:eastAsia="Calibri"/>
          <w:sz w:val="26"/>
          <w:szCs w:val="26"/>
          <w:lang w:eastAsia="en-US"/>
        </w:rPr>
        <w:t>las condiciones de costo del crédito bancario en el trimestre actual respecto del trimestre previo</w:t>
      </w:r>
      <w:r w:rsidRPr="00176424">
        <w:rPr>
          <w:rFonts w:eastAsia="Calibri"/>
          <w:sz w:val="26"/>
          <w:szCs w:val="26"/>
          <w:lang w:eastAsia="en-US"/>
        </w:rPr>
        <w:t xml:space="preserve">, los índices de difusión con relación a las tasas de interés apuntaron hacia </w:t>
      </w:r>
      <w:r w:rsidRPr="00176424">
        <w:rPr>
          <w:rFonts w:eastAsia="Calibri"/>
          <w:sz w:val="26"/>
          <w:szCs w:val="26"/>
          <w:lang w:eastAsia="en-US"/>
        </w:rPr>
        <w:lastRenderedPageBreak/>
        <w:t xml:space="preserve">condiciones más favorables en el trimestre de referencia (53.1 puntos) mientras que aquellas vinculadas a las comisiones y otros gastos asociados al crédito bancario presentaron un balance menos favorable (47.9 puntos) (Gráfica </w:t>
      </w:r>
      <w:r w:rsidRPr="00EB7908">
        <w:rPr>
          <w:rFonts w:eastAsia="Calibri"/>
          <w:sz w:val="26"/>
          <w:szCs w:val="26"/>
          <w:lang w:eastAsia="en-US"/>
        </w:rPr>
        <w:t>Percepción sobre las</w:t>
      </w:r>
      <w:r w:rsidRPr="00176424">
        <w:rPr>
          <w:rFonts w:eastAsia="Calibri"/>
          <w:sz w:val="26"/>
          <w:szCs w:val="26"/>
          <w:lang w:eastAsia="en-US"/>
        </w:rPr>
        <w:t xml:space="preserve"> c</w:t>
      </w:r>
      <w:r w:rsidRPr="00EB7908">
        <w:rPr>
          <w:rFonts w:eastAsia="Calibri"/>
          <w:sz w:val="26"/>
          <w:szCs w:val="26"/>
          <w:lang w:eastAsia="en-US"/>
        </w:rPr>
        <w:t>ondiciones generales de acceso y costo del mercado de crédito bancario: b) Condiciones de costo y cuadro Resultados de la encuesta de evaluación coyuntural del mercado crediticio).</w:t>
      </w:r>
    </w:p>
    <w:p w14:paraId="51F22974" w14:textId="77777777" w:rsidR="00176424" w:rsidRDefault="00176424" w:rsidP="00176424">
      <w:pPr>
        <w:spacing w:after="360" w:line="360" w:lineRule="auto"/>
        <w:ind w:right="-159"/>
        <w:jc w:val="both"/>
        <w:rPr>
          <w:rFonts w:eastAsia="Calibri"/>
          <w:sz w:val="26"/>
          <w:szCs w:val="26"/>
          <w:lang w:eastAsia="en-US"/>
        </w:rPr>
      </w:pPr>
      <w:r w:rsidRPr="00176424">
        <w:rPr>
          <w:rFonts w:eastAsia="Calibri"/>
          <w:sz w:val="26"/>
          <w:szCs w:val="26"/>
          <w:lang w:eastAsia="en-US"/>
        </w:rPr>
        <w:t>Considerando estos índices de difusión por tamaño de empresa, aquéllas de hasta        100 empleados percibieron que las condiciones en las tasas de interés (49.4 puntos) se mantuvieron prácticamente sin cambio y aquéllas relacionadas con comisiones y otros gastos asociados al crédito bancario (47.1 puntos) resultaron más costosas que el trimestre previo. Por su parte, las empresas de más de 100 empleados consideraron que las condiciones respecto de las tasas de interés (54.0 puntos) resultaron menos costosas en comparación con el trimestre anterior, mientras que las relacionadas con las comisiones y otros gastos asociados al crédito bancario (48.1 puntos) presentaron un balance menos favorable.</w:t>
      </w:r>
    </w:p>
    <w:p w14:paraId="15857171" w14:textId="77777777" w:rsidR="00B96277" w:rsidRDefault="00B96277" w:rsidP="00176424">
      <w:pPr>
        <w:spacing w:after="360" w:line="360" w:lineRule="auto"/>
        <w:ind w:right="-159"/>
        <w:jc w:val="both"/>
        <w:rPr>
          <w:rFonts w:eastAsia="Calibri"/>
          <w:sz w:val="26"/>
          <w:szCs w:val="26"/>
          <w:lang w:eastAsia="en-US"/>
        </w:rPr>
      </w:pPr>
    </w:p>
    <w:p w14:paraId="3B5DB5E5" w14:textId="77777777" w:rsidR="00B96277" w:rsidRDefault="00B96277" w:rsidP="00176424">
      <w:pPr>
        <w:spacing w:after="360" w:line="360" w:lineRule="auto"/>
        <w:ind w:right="-159"/>
        <w:jc w:val="both"/>
        <w:rPr>
          <w:rFonts w:eastAsia="Calibri"/>
          <w:sz w:val="26"/>
          <w:szCs w:val="26"/>
          <w:lang w:eastAsia="en-US"/>
        </w:rPr>
      </w:pPr>
    </w:p>
    <w:p w14:paraId="1517F4BA" w14:textId="77777777" w:rsidR="00B96277" w:rsidRDefault="00B96277" w:rsidP="00176424">
      <w:pPr>
        <w:spacing w:after="360" w:line="360" w:lineRule="auto"/>
        <w:ind w:right="-159"/>
        <w:jc w:val="both"/>
        <w:rPr>
          <w:rFonts w:eastAsia="Calibri"/>
          <w:sz w:val="26"/>
          <w:szCs w:val="26"/>
          <w:lang w:eastAsia="en-US"/>
        </w:rPr>
      </w:pPr>
    </w:p>
    <w:p w14:paraId="53143193" w14:textId="77777777" w:rsidR="00B96277" w:rsidRDefault="00B96277" w:rsidP="00176424">
      <w:pPr>
        <w:spacing w:after="360" w:line="360" w:lineRule="auto"/>
        <w:ind w:right="-159"/>
        <w:jc w:val="both"/>
        <w:rPr>
          <w:rFonts w:eastAsia="Calibri"/>
          <w:sz w:val="26"/>
          <w:szCs w:val="26"/>
          <w:lang w:eastAsia="en-US"/>
        </w:rPr>
      </w:pPr>
    </w:p>
    <w:p w14:paraId="48BEC279" w14:textId="77777777" w:rsidR="00B96277" w:rsidRDefault="00B96277" w:rsidP="00176424">
      <w:pPr>
        <w:spacing w:after="360" w:line="360" w:lineRule="auto"/>
        <w:ind w:right="-159"/>
        <w:jc w:val="both"/>
        <w:rPr>
          <w:rFonts w:eastAsia="Calibri"/>
          <w:sz w:val="26"/>
          <w:szCs w:val="26"/>
          <w:lang w:eastAsia="en-US"/>
        </w:rPr>
      </w:pPr>
    </w:p>
    <w:p w14:paraId="59376F47" w14:textId="77777777" w:rsidR="00B96277" w:rsidRDefault="00B96277" w:rsidP="00176424">
      <w:pPr>
        <w:spacing w:after="360" w:line="360" w:lineRule="auto"/>
        <w:ind w:right="-159"/>
        <w:jc w:val="both"/>
        <w:rPr>
          <w:rFonts w:eastAsia="Calibri"/>
          <w:sz w:val="26"/>
          <w:szCs w:val="26"/>
          <w:lang w:eastAsia="en-US"/>
        </w:rPr>
      </w:pPr>
    </w:p>
    <w:p w14:paraId="3EB4D008" w14:textId="77777777" w:rsidR="00B96277" w:rsidRDefault="00B96277" w:rsidP="00176424">
      <w:pPr>
        <w:spacing w:after="360" w:line="360" w:lineRule="auto"/>
        <w:ind w:right="-159"/>
        <w:jc w:val="both"/>
        <w:rPr>
          <w:rFonts w:eastAsia="Calibri"/>
          <w:sz w:val="26"/>
          <w:szCs w:val="26"/>
          <w:lang w:eastAsia="en-US"/>
        </w:rPr>
      </w:pPr>
    </w:p>
    <w:tbl>
      <w:tblPr>
        <w:tblW w:w="10065" w:type="dxa"/>
        <w:tblInd w:w="-459" w:type="dxa"/>
        <w:tblLook w:val="04A0" w:firstRow="1" w:lastRow="0" w:firstColumn="1" w:lastColumn="0" w:noHBand="0" w:noVBand="1"/>
      </w:tblPr>
      <w:tblGrid>
        <w:gridCol w:w="5116"/>
        <w:gridCol w:w="4949"/>
      </w:tblGrid>
      <w:tr w:rsidR="00176424" w:rsidRPr="00176424" w14:paraId="7F8BDE8B" w14:textId="77777777" w:rsidTr="00DA1492">
        <w:tc>
          <w:tcPr>
            <w:tcW w:w="10065" w:type="dxa"/>
            <w:gridSpan w:val="2"/>
          </w:tcPr>
          <w:p w14:paraId="522D1763" w14:textId="77777777" w:rsidR="00176424" w:rsidRPr="00176424" w:rsidRDefault="00176424" w:rsidP="00176424">
            <w:pPr>
              <w:jc w:val="center"/>
              <w:rPr>
                <w:rFonts w:eastAsia="Calibri"/>
                <w:b/>
                <w:sz w:val="22"/>
                <w:szCs w:val="22"/>
                <w:lang w:eastAsia="en-US"/>
              </w:rPr>
            </w:pPr>
            <w:r w:rsidRPr="00176424">
              <w:rPr>
                <w:rFonts w:eastAsia="Calibri"/>
                <w:b/>
                <w:sz w:val="22"/>
                <w:szCs w:val="22"/>
                <w:lang w:eastAsia="en-US"/>
              </w:rPr>
              <w:lastRenderedPageBreak/>
              <w:t>PERCEPCIÓN SOBRE LAS CONDICIONES GENERALES DE ACCESO Y COSTO DEL MERCADO DE CRÉDITO BANCARIO</w:t>
            </w:r>
          </w:p>
          <w:p w14:paraId="26E71F69" w14:textId="5ECB4493" w:rsidR="00176424" w:rsidRPr="00176424" w:rsidRDefault="00CB7BE4" w:rsidP="00176424">
            <w:pPr>
              <w:jc w:val="center"/>
              <w:rPr>
                <w:rFonts w:eastAsia="Calibri"/>
                <w:b/>
                <w:sz w:val="22"/>
                <w:szCs w:val="22"/>
                <w:lang w:eastAsia="en-US"/>
              </w:rPr>
            </w:pPr>
            <w:r>
              <w:rPr>
                <w:rFonts w:eastAsia="Calibri"/>
                <w:b/>
                <w:sz w:val="22"/>
                <w:szCs w:val="22"/>
                <w:lang w:eastAsia="en-US"/>
              </w:rPr>
              <w:t>-</w:t>
            </w:r>
            <w:r w:rsidR="00176424" w:rsidRPr="00176424">
              <w:rPr>
                <w:rFonts w:eastAsia="Calibri"/>
                <w:b/>
                <w:sz w:val="22"/>
                <w:szCs w:val="22"/>
                <w:lang w:eastAsia="en-US"/>
              </w:rPr>
              <w:t>Empresas que obtuvieron nuevos créditos bancarios</w:t>
            </w:r>
            <w:r>
              <w:rPr>
                <w:rFonts w:eastAsia="Calibri"/>
                <w:b/>
                <w:sz w:val="22"/>
                <w:szCs w:val="22"/>
                <w:lang w:eastAsia="en-US"/>
              </w:rPr>
              <w:t>-</w:t>
            </w:r>
          </w:p>
          <w:p w14:paraId="0BACCEF2" w14:textId="77777777" w:rsidR="00176424" w:rsidRPr="00176424" w:rsidRDefault="00176424" w:rsidP="00176424">
            <w:pPr>
              <w:jc w:val="center"/>
              <w:rPr>
                <w:rFonts w:eastAsia="Calibri"/>
                <w:b/>
                <w:sz w:val="22"/>
                <w:szCs w:val="22"/>
                <w:lang w:eastAsia="en-US"/>
              </w:rPr>
            </w:pPr>
            <w:r w:rsidRPr="00176424">
              <w:rPr>
                <w:rFonts w:eastAsia="Calibri"/>
                <w:b/>
                <w:sz w:val="22"/>
                <w:szCs w:val="22"/>
                <w:lang w:eastAsia="en-US"/>
              </w:rPr>
              <w:t>Índices de difusión</w:t>
            </w:r>
          </w:p>
        </w:tc>
      </w:tr>
      <w:tr w:rsidR="00176424" w:rsidRPr="00176424" w14:paraId="7910FCDB" w14:textId="77777777" w:rsidTr="00DA1492">
        <w:tc>
          <w:tcPr>
            <w:tcW w:w="5116" w:type="dxa"/>
          </w:tcPr>
          <w:p w14:paraId="33E58963" w14:textId="77777777" w:rsidR="00176424" w:rsidRPr="00176424" w:rsidRDefault="00176424" w:rsidP="00176424">
            <w:pPr>
              <w:jc w:val="center"/>
              <w:rPr>
                <w:rFonts w:eastAsia="Calibri"/>
                <w:b/>
                <w:sz w:val="20"/>
                <w:szCs w:val="20"/>
                <w:lang w:eastAsia="en-US"/>
              </w:rPr>
            </w:pPr>
            <w:r w:rsidRPr="00176424">
              <w:rPr>
                <w:rFonts w:eastAsia="Calibri"/>
                <w:b/>
                <w:sz w:val="20"/>
                <w:szCs w:val="20"/>
                <w:lang w:eastAsia="en-US"/>
              </w:rPr>
              <w:t>a) Condiciones de acceso</w:t>
            </w:r>
          </w:p>
        </w:tc>
        <w:tc>
          <w:tcPr>
            <w:tcW w:w="4949" w:type="dxa"/>
          </w:tcPr>
          <w:p w14:paraId="07D45D6E" w14:textId="77777777" w:rsidR="00176424" w:rsidRPr="00176424" w:rsidRDefault="00176424" w:rsidP="00176424">
            <w:pPr>
              <w:jc w:val="center"/>
              <w:rPr>
                <w:rFonts w:eastAsia="Calibri"/>
                <w:b/>
                <w:sz w:val="20"/>
                <w:szCs w:val="20"/>
                <w:lang w:eastAsia="en-US"/>
              </w:rPr>
            </w:pPr>
            <w:r w:rsidRPr="00176424">
              <w:rPr>
                <w:rFonts w:eastAsia="Calibri"/>
                <w:b/>
                <w:sz w:val="20"/>
                <w:szCs w:val="20"/>
                <w:lang w:eastAsia="en-US"/>
              </w:rPr>
              <w:t>b) Condiciones de costo</w:t>
            </w:r>
          </w:p>
        </w:tc>
      </w:tr>
      <w:tr w:rsidR="00176424" w:rsidRPr="00176424" w14:paraId="615CB46F" w14:textId="77777777" w:rsidTr="00DA1492">
        <w:tc>
          <w:tcPr>
            <w:tcW w:w="10065" w:type="dxa"/>
            <w:gridSpan w:val="2"/>
          </w:tcPr>
          <w:p w14:paraId="1BC14ABB" w14:textId="412EBE7F" w:rsidR="00176424" w:rsidRPr="00176424" w:rsidRDefault="00460570" w:rsidP="00176424">
            <w:pPr>
              <w:jc w:val="center"/>
              <w:rPr>
                <w:rFonts w:eastAsia="Calibri"/>
                <w:b/>
                <w:sz w:val="20"/>
                <w:szCs w:val="20"/>
                <w:lang w:eastAsia="en-US"/>
              </w:rPr>
            </w:pPr>
            <w:r w:rsidRPr="00056FBD">
              <w:rPr>
                <w:noProof/>
                <w:lang w:eastAsia="es-MX"/>
              </w:rPr>
              <w:drawing>
                <wp:inline distT="0" distB="0" distL="0" distR="0" wp14:anchorId="394EF7C9" wp14:editId="2584B835">
                  <wp:extent cx="5612130" cy="2692618"/>
                  <wp:effectExtent l="0" t="0" r="0" b="0"/>
                  <wp:docPr id="190" name="Imagen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5612130" cy="2692618"/>
                          </a:xfrm>
                          <a:prstGeom prst="rect">
                            <a:avLst/>
                          </a:prstGeom>
                          <a:noFill/>
                          <a:ln>
                            <a:noFill/>
                          </a:ln>
                        </pic:spPr>
                      </pic:pic>
                    </a:graphicData>
                  </a:graphic>
                </wp:inline>
              </w:drawing>
            </w:r>
          </w:p>
        </w:tc>
      </w:tr>
    </w:tbl>
    <w:p w14:paraId="3C82F19F" w14:textId="77777777" w:rsidR="00176424" w:rsidRPr="00176424" w:rsidRDefault="00176424" w:rsidP="00176424">
      <w:pPr>
        <w:spacing w:after="360" w:line="360" w:lineRule="auto"/>
        <w:ind w:right="-159"/>
        <w:jc w:val="both"/>
        <w:rPr>
          <w:rFonts w:eastAsia="Calibri"/>
          <w:sz w:val="20"/>
          <w:szCs w:val="20"/>
          <w:lang w:eastAsia="en-US"/>
        </w:rPr>
      </w:pPr>
      <w:r w:rsidRPr="00176424">
        <w:rPr>
          <w:rFonts w:eastAsia="Calibri"/>
          <w:sz w:val="20"/>
          <w:szCs w:val="20"/>
          <w:lang w:eastAsia="en-US"/>
        </w:rPr>
        <w:t>FUENTE: Banco de México.</w:t>
      </w:r>
    </w:p>
    <w:p w14:paraId="7EEF6BA9" w14:textId="77777777" w:rsidR="00176424" w:rsidRPr="00176424" w:rsidRDefault="00176424" w:rsidP="0023750A">
      <w:pPr>
        <w:spacing w:after="360" w:line="360" w:lineRule="auto"/>
        <w:ind w:right="-159"/>
        <w:jc w:val="both"/>
        <w:rPr>
          <w:rFonts w:eastAsia="Calibri"/>
          <w:b/>
          <w:sz w:val="26"/>
          <w:szCs w:val="26"/>
          <w:lang w:eastAsia="en-US"/>
        </w:rPr>
      </w:pPr>
      <w:r w:rsidRPr="00176424">
        <w:rPr>
          <w:rFonts w:eastAsia="Calibri"/>
          <w:b/>
          <w:sz w:val="26"/>
          <w:szCs w:val="26"/>
          <w:lang w:eastAsia="en-US"/>
        </w:rPr>
        <w:t>Factores Limitantes según las Empresas para Utilizar Nuevos Créditos Bancarios</w:t>
      </w:r>
    </w:p>
    <w:p w14:paraId="6AC33916" w14:textId="5A2320DD" w:rsidR="00176424" w:rsidRPr="00176424" w:rsidRDefault="00176424" w:rsidP="00176424">
      <w:pPr>
        <w:spacing w:after="360" w:line="360" w:lineRule="auto"/>
        <w:ind w:right="-159"/>
        <w:jc w:val="both"/>
        <w:rPr>
          <w:rFonts w:eastAsia="Calibri"/>
          <w:sz w:val="26"/>
          <w:szCs w:val="26"/>
          <w:lang w:eastAsia="en-US"/>
        </w:rPr>
      </w:pPr>
      <w:r w:rsidRPr="00176424">
        <w:rPr>
          <w:rFonts w:eastAsia="Calibri"/>
          <w:sz w:val="26"/>
          <w:szCs w:val="26"/>
          <w:lang w:eastAsia="en-US"/>
        </w:rPr>
        <w:t>En esta sección se enlistan los principales factores limitantes para utilizar nuevos créditos bancarios según la opinión de las empresas encuestadas. Estos factores fueron señalados por el total de las empresas encuestadas que no utilizaron nuevos créditos bancarios (80.0%) durante el trimestre</w:t>
      </w:r>
      <w:r w:rsidRPr="00176424">
        <w:rPr>
          <w:rFonts w:eastAsia="Calibri"/>
          <w:sz w:val="26"/>
          <w:szCs w:val="26"/>
          <w:vertAlign w:val="superscript"/>
          <w:lang w:eastAsia="en-US"/>
        </w:rPr>
        <w:footnoteReference w:id="103"/>
      </w:r>
      <w:r w:rsidR="0023750A">
        <w:rPr>
          <w:rFonts w:eastAsia="Calibri"/>
          <w:sz w:val="26"/>
          <w:szCs w:val="26"/>
          <w:lang w:eastAsia="en-US"/>
        </w:rPr>
        <w:t>.</w:t>
      </w:r>
    </w:p>
    <w:p w14:paraId="5E71F056" w14:textId="3712A7AD" w:rsidR="00176424" w:rsidRPr="001D7965" w:rsidRDefault="00176424" w:rsidP="00176424">
      <w:pPr>
        <w:spacing w:after="360" w:line="360" w:lineRule="auto"/>
        <w:ind w:right="-159"/>
        <w:jc w:val="both"/>
        <w:rPr>
          <w:rFonts w:eastAsia="Calibri"/>
          <w:sz w:val="26"/>
          <w:szCs w:val="26"/>
          <w:lang w:eastAsia="en-US"/>
        </w:rPr>
      </w:pPr>
      <w:r w:rsidRPr="00176424">
        <w:rPr>
          <w:rFonts w:eastAsia="Calibri"/>
          <w:sz w:val="26"/>
          <w:szCs w:val="26"/>
          <w:lang w:eastAsia="en-US"/>
        </w:rPr>
        <w:t xml:space="preserve">Las limitantes señaladas por las empresas, en orden de importancia, fueron: la situación económica general (45.7%), las tasas de interés del mercado de crédito (42.1%), las condiciones de acceso al crédito bancario (39.8%), </w:t>
      </w:r>
      <w:r w:rsidR="00CB7BE4">
        <w:rPr>
          <w:rFonts w:eastAsia="Calibri"/>
          <w:sz w:val="26"/>
          <w:szCs w:val="26"/>
          <w:lang w:eastAsia="en-US"/>
        </w:rPr>
        <w:t>l</w:t>
      </w:r>
      <w:r w:rsidRPr="00176424">
        <w:rPr>
          <w:rFonts w:eastAsia="Calibri"/>
          <w:sz w:val="26"/>
          <w:szCs w:val="26"/>
          <w:lang w:eastAsia="en-US"/>
        </w:rPr>
        <w:t xml:space="preserve">os montos exigidos como colateral (39.8%), el acceso a apoyo público (36.4%), la disposición de los bancos a otorgar crédito (35.0%), las ventas y rentabilidad de la empresa (34.1%), la capitalización de la empresa (30.0%), las dificultades para  pagar el servicio  de  la deuda vigente (29.4%) </w:t>
      </w:r>
      <w:r w:rsidRPr="001D7965">
        <w:rPr>
          <w:rFonts w:eastAsia="Calibri"/>
          <w:sz w:val="26"/>
          <w:szCs w:val="26"/>
          <w:lang w:eastAsia="en-US"/>
        </w:rPr>
        <w:lastRenderedPageBreak/>
        <w:t xml:space="preserve">y la historia crediticia </w:t>
      </w:r>
      <w:r w:rsidR="0023750A" w:rsidRPr="001D7965">
        <w:rPr>
          <w:rFonts w:eastAsia="Calibri"/>
          <w:sz w:val="26"/>
          <w:szCs w:val="26"/>
          <w:lang w:eastAsia="en-US"/>
        </w:rPr>
        <w:t>de la empresa (26.6%) (Gráfica</w:t>
      </w:r>
      <w:r w:rsidRPr="001D7965">
        <w:rPr>
          <w:rFonts w:eastAsia="Calibri"/>
          <w:sz w:val="26"/>
          <w:szCs w:val="26"/>
          <w:lang w:eastAsia="en-US"/>
        </w:rPr>
        <w:t xml:space="preserve"> </w:t>
      </w:r>
      <w:r w:rsidRPr="00CB7BE4">
        <w:rPr>
          <w:rFonts w:eastAsia="Calibri"/>
          <w:i/>
          <w:sz w:val="26"/>
          <w:szCs w:val="26"/>
          <w:lang w:eastAsia="en-US"/>
        </w:rPr>
        <w:t>Principales Factores Limitantes para Tener Acceso al Crédito Bancario</w:t>
      </w:r>
      <w:r w:rsidRPr="001D7965">
        <w:rPr>
          <w:rFonts w:eastAsia="Calibri"/>
          <w:sz w:val="26"/>
          <w:szCs w:val="26"/>
          <w:lang w:eastAsia="en-US"/>
        </w:rPr>
        <w:t xml:space="preserve"> y cuadro </w:t>
      </w:r>
      <w:r w:rsidRPr="00CB7BE4">
        <w:rPr>
          <w:rFonts w:eastAsia="Calibri"/>
          <w:i/>
          <w:sz w:val="26"/>
          <w:szCs w:val="26"/>
          <w:lang w:eastAsia="en-US"/>
        </w:rPr>
        <w:t>Resultados de la encuesta de evaluación coyuntural del mercado crediticio</w:t>
      </w:r>
      <w:r w:rsidRPr="001D7965">
        <w:rPr>
          <w:rFonts w:eastAsia="Calibri"/>
          <w:sz w:val="26"/>
          <w:szCs w:val="26"/>
          <w:lang w:eastAsia="en-US"/>
        </w:rPr>
        <w:t>)</w:t>
      </w:r>
      <w:r w:rsidRPr="001D7965">
        <w:rPr>
          <w:rFonts w:eastAsia="Calibri"/>
          <w:sz w:val="26"/>
          <w:szCs w:val="26"/>
          <w:vertAlign w:val="superscript"/>
          <w:lang w:eastAsia="en-US"/>
        </w:rPr>
        <w:footnoteReference w:id="104"/>
      </w:r>
      <w:r w:rsidR="0023750A" w:rsidRPr="001D7965">
        <w:rPr>
          <w:rFonts w:eastAsia="Calibri"/>
          <w:sz w:val="26"/>
          <w:szCs w:val="26"/>
          <w:lang w:eastAsia="en-US"/>
        </w:rPr>
        <w:t>.</w:t>
      </w:r>
    </w:p>
    <w:p w14:paraId="541DE9EF" w14:textId="5DD73562" w:rsidR="00176424" w:rsidRDefault="00176424" w:rsidP="00176424">
      <w:pPr>
        <w:spacing w:after="360" w:line="360" w:lineRule="auto"/>
        <w:ind w:right="-159"/>
        <w:jc w:val="both"/>
        <w:rPr>
          <w:rFonts w:eastAsia="Calibri"/>
          <w:sz w:val="26"/>
          <w:szCs w:val="26"/>
          <w:lang w:eastAsia="en-US"/>
        </w:rPr>
      </w:pPr>
      <w:r w:rsidRPr="00176424">
        <w:rPr>
          <w:rFonts w:eastAsia="Calibri"/>
          <w:sz w:val="26"/>
          <w:szCs w:val="26"/>
          <w:lang w:eastAsia="en-US"/>
        </w:rPr>
        <w:t xml:space="preserve">Para el cuarto trimestre de 2014, del total de las empresas encuestadas, 52.9% señaló que las condiciones actuales de acceso y costo del mercado de crédito bancario no constituyen una limitante para poder llevar a cabo las operaciones corrientes de su empresa (53.0% en el trimestre previo), mientras que 33.2% indicó que estas condiciones son una limitante menor (33.4% en el trimestre previo). Por su parte, 13.9% de las empresas (13.6% en el trimestre anterior) consideró que estas condiciones constituyen una limitante mayor para las operaciones corrientes de su empresa (Gráfica </w:t>
      </w:r>
      <w:r w:rsidRPr="00176424">
        <w:rPr>
          <w:rFonts w:eastAsia="Calibri"/>
          <w:i/>
          <w:sz w:val="26"/>
          <w:szCs w:val="26"/>
          <w:lang w:eastAsia="en-US"/>
        </w:rPr>
        <w:t xml:space="preserve">Condiciones de Acceso y Costo al Crédito Bancario como Limitantes para las Operaciones de su Empresa </w:t>
      </w:r>
      <w:r w:rsidRPr="00176424">
        <w:rPr>
          <w:rFonts w:eastAsia="Calibri"/>
          <w:sz w:val="26"/>
          <w:szCs w:val="26"/>
          <w:lang w:eastAsia="en-US"/>
        </w:rPr>
        <w:t xml:space="preserve">y cuadro </w:t>
      </w:r>
      <w:r w:rsidRPr="00176424">
        <w:rPr>
          <w:rFonts w:eastAsia="Calibri"/>
          <w:i/>
          <w:sz w:val="26"/>
          <w:szCs w:val="26"/>
          <w:lang w:eastAsia="en-US"/>
        </w:rPr>
        <w:t>Resultados de la encuesta de evaluación coyuntural del mercado crediticio</w:t>
      </w:r>
      <w:r w:rsidRPr="00176424">
        <w:rPr>
          <w:rFonts w:eastAsia="Calibri"/>
          <w:sz w:val="26"/>
          <w:szCs w:val="26"/>
          <w:lang w:eastAsia="en-US"/>
        </w:rPr>
        <w:t>).</w:t>
      </w:r>
    </w:p>
    <w:p w14:paraId="1BDCAE10" w14:textId="77777777" w:rsidR="001D7965" w:rsidRDefault="001D7965" w:rsidP="00176424">
      <w:pPr>
        <w:spacing w:after="360" w:line="360" w:lineRule="auto"/>
        <w:ind w:right="-159"/>
        <w:jc w:val="both"/>
        <w:rPr>
          <w:rFonts w:eastAsia="Calibri"/>
          <w:sz w:val="26"/>
          <w:szCs w:val="26"/>
          <w:lang w:eastAsia="en-US"/>
        </w:rPr>
      </w:pPr>
    </w:p>
    <w:p w14:paraId="7C0E5222" w14:textId="77777777" w:rsidR="001D7965" w:rsidRDefault="001D7965" w:rsidP="00176424">
      <w:pPr>
        <w:spacing w:after="360" w:line="360" w:lineRule="auto"/>
        <w:ind w:right="-159"/>
        <w:jc w:val="both"/>
        <w:rPr>
          <w:rFonts w:eastAsia="Calibri"/>
          <w:sz w:val="26"/>
          <w:szCs w:val="26"/>
          <w:lang w:eastAsia="en-US"/>
        </w:rPr>
      </w:pPr>
    </w:p>
    <w:p w14:paraId="4C71D6A4" w14:textId="77777777" w:rsidR="001D7965" w:rsidRDefault="001D7965" w:rsidP="00176424">
      <w:pPr>
        <w:spacing w:after="360" w:line="360" w:lineRule="auto"/>
        <w:ind w:right="-159"/>
        <w:jc w:val="both"/>
        <w:rPr>
          <w:rFonts w:eastAsia="Calibri"/>
          <w:sz w:val="26"/>
          <w:szCs w:val="26"/>
          <w:lang w:eastAsia="en-US"/>
        </w:rPr>
      </w:pPr>
    </w:p>
    <w:p w14:paraId="464427D2" w14:textId="77777777" w:rsidR="001D7965" w:rsidRDefault="001D7965" w:rsidP="00176424">
      <w:pPr>
        <w:spacing w:after="360" w:line="360" w:lineRule="auto"/>
        <w:ind w:right="-159"/>
        <w:jc w:val="both"/>
        <w:rPr>
          <w:rFonts w:eastAsia="Calibri"/>
          <w:sz w:val="26"/>
          <w:szCs w:val="26"/>
          <w:lang w:eastAsia="en-US"/>
        </w:rPr>
      </w:pPr>
    </w:p>
    <w:p w14:paraId="3FB87FC0" w14:textId="77777777" w:rsidR="001D7965" w:rsidRDefault="001D7965" w:rsidP="00176424">
      <w:pPr>
        <w:spacing w:after="360" w:line="360" w:lineRule="auto"/>
        <w:ind w:right="-159"/>
        <w:jc w:val="both"/>
        <w:rPr>
          <w:rFonts w:eastAsia="Calibri"/>
          <w:sz w:val="26"/>
          <w:szCs w:val="26"/>
          <w:lang w:eastAsia="en-US"/>
        </w:rPr>
      </w:pPr>
    </w:p>
    <w:p w14:paraId="5157FB80" w14:textId="77777777" w:rsidR="0096505B" w:rsidRDefault="0096505B" w:rsidP="00176424">
      <w:pPr>
        <w:spacing w:after="360" w:line="360" w:lineRule="auto"/>
        <w:ind w:right="-159"/>
        <w:jc w:val="both"/>
        <w:rPr>
          <w:rFonts w:eastAsia="Calibri"/>
          <w:sz w:val="26"/>
          <w:szCs w:val="26"/>
          <w:lang w:eastAsia="en-US"/>
        </w:rPr>
      </w:pPr>
    </w:p>
    <w:p w14:paraId="2409C823" w14:textId="77777777" w:rsidR="001D7965" w:rsidRDefault="001D7965" w:rsidP="0096505B">
      <w:pPr>
        <w:ind w:right="-159"/>
        <w:jc w:val="both"/>
        <w:rPr>
          <w:rFonts w:eastAsia="Calibri"/>
          <w:sz w:val="26"/>
          <w:szCs w:val="26"/>
          <w:lang w:eastAsia="en-US"/>
        </w:rPr>
      </w:pPr>
    </w:p>
    <w:tbl>
      <w:tblPr>
        <w:tblW w:w="0" w:type="auto"/>
        <w:tblBorders>
          <w:insideV w:val="single" w:sz="4" w:space="0" w:color="auto"/>
        </w:tblBorders>
        <w:tblLook w:val="04A0" w:firstRow="1" w:lastRow="0" w:firstColumn="1" w:lastColumn="0" w:noHBand="0" w:noVBand="1"/>
      </w:tblPr>
      <w:tblGrid>
        <w:gridCol w:w="4450"/>
        <w:gridCol w:w="4390"/>
      </w:tblGrid>
      <w:tr w:rsidR="00176424" w:rsidRPr="00176424" w14:paraId="501703F6" w14:textId="77777777" w:rsidTr="0096505B">
        <w:tc>
          <w:tcPr>
            <w:tcW w:w="4514" w:type="dxa"/>
            <w:tcBorders>
              <w:right w:val="nil"/>
            </w:tcBorders>
          </w:tcPr>
          <w:p w14:paraId="1AA455BC" w14:textId="77777777" w:rsidR="00176424" w:rsidRPr="00176424" w:rsidRDefault="00176424" w:rsidP="00176424">
            <w:pPr>
              <w:jc w:val="center"/>
              <w:rPr>
                <w:rFonts w:eastAsia="Calibri"/>
                <w:b/>
                <w:sz w:val="20"/>
                <w:szCs w:val="20"/>
                <w:lang w:eastAsia="en-US"/>
              </w:rPr>
            </w:pPr>
            <w:r w:rsidRPr="00176424">
              <w:rPr>
                <w:rFonts w:eastAsia="Calibri"/>
                <w:b/>
                <w:sz w:val="20"/>
                <w:szCs w:val="20"/>
                <w:lang w:eastAsia="en-US"/>
              </w:rPr>
              <w:lastRenderedPageBreak/>
              <w:t>a) Principales Factores Limitantes para tener</w:t>
            </w:r>
          </w:p>
          <w:p w14:paraId="2D79D3F5" w14:textId="77777777" w:rsidR="00176424" w:rsidRPr="00176424" w:rsidRDefault="00176424" w:rsidP="00176424">
            <w:pPr>
              <w:jc w:val="center"/>
              <w:rPr>
                <w:rFonts w:eastAsia="Calibri"/>
                <w:b/>
                <w:sz w:val="20"/>
                <w:szCs w:val="20"/>
                <w:lang w:eastAsia="en-US"/>
              </w:rPr>
            </w:pPr>
            <w:r w:rsidRPr="00176424">
              <w:rPr>
                <w:rFonts w:eastAsia="Calibri"/>
                <w:b/>
                <w:sz w:val="20"/>
                <w:szCs w:val="20"/>
                <w:lang w:eastAsia="en-US"/>
              </w:rPr>
              <w:t>Acceso al Crédito Bancario</w:t>
            </w:r>
          </w:p>
          <w:p w14:paraId="35C51C7F" w14:textId="62EFC35C" w:rsidR="00176424" w:rsidRPr="00176424" w:rsidRDefault="00176424" w:rsidP="00176424">
            <w:pPr>
              <w:jc w:val="center"/>
              <w:rPr>
                <w:rFonts w:eastAsia="Calibri"/>
                <w:b/>
                <w:sz w:val="20"/>
                <w:szCs w:val="20"/>
                <w:lang w:eastAsia="en-US"/>
              </w:rPr>
            </w:pPr>
            <w:r w:rsidRPr="00176424">
              <w:rPr>
                <w:rFonts w:eastAsia="Calibri"/>
                <w:b/>
                <w:sz w:val="20"/>
                <w:szCs w:val="20"/>
                <w:lang w:eastAsia="en-US"/>
              </w:rPr>
              <w:t xml:space="preserve">-Por ciento de las empresas que no </w:t>
            </w:r>
            <w:r w:rsidR="00CB7BE4">
              <w:rPr>
                <w:rFonts w:eastAsia="Calibri"/>
                <w:b/>
                <w:sz w:val="20"/>
                <w:szCs w:val="20"/>
                <w:lang w:eastAsia="en-US"/>
              </w:rPr>
              <w:t>utilizaron</w:t>
            </w:r>
          </w:p>
          <w:p w14:paraId="65E2FA58" w14:textId="77777777" w:rsidR="00176424" w:rsidRPr="00176424" w:rsidRDefault="00176424" w:rsidP="00176424">
            <w:pPr>
              <w:jc w:val="center"/>
              <w:rPr>
                <w:rFonts w:eastAsia="Calibri"/>
                <w:b/>
                <w:sz w:val="20"/>
                <w:szCs w:val="20"/>
                <w:lang w:eastAsia="en-US"/>
              </w:rPr>
            </w:pPr>
            <w:r w:rsidRPr="00176424">
              <w:rPr>
                <w:rFonts w:eastAsia="Calibri"/>
                <w:b/>
                <w:sz w:val="20"/>
                <w:szCs w:val="20"/>
                <w:lang w:eastAsia="en-US"/>
              </w:rPr>
              <w:t>nuevos créditos bancarios-</w:t>
            </w:r>
          </w:p>
        </w:tc>
        <w:tc>
          <w:tcPr>
            <w:tcW w:w="4326" w:type="dxa"/>
            <w:tcBorders>
              <w:left w:val="nil"/>
            </w:tcBorders>
          </w:tcPr>
          <w:p w14:paraId="4FAAE360" w14:textId="77777777" w:rsidR="00176424" w:rsidRPr="00176424" w:rsidRDefault="00176424" w:rsidP="00176424">
            <w:pPr>
              <w:jc w:val="center"/>
              <w:rPr>
                <w:rFonts w:eastAsia="Calibri"/>
                <w:b/>
                <w:sz w:val="20"/>
                <w:szCs w:val="20"/>
                <w:lang w:eastAsia="en-US"/>
              </w:rPr>
            </w:pPr>
            <w:r w:rsidRPr="00176424">
              <w:rPr>
                <w:rFonts w:eastAsia="Calibri"/>
                <w:b/>
                <w:sz w:val="20"/>
                <w:szCs w:val="20"/>
                <w:lang w:eastAsia="en-US"/>
              </w:rPr>
              <w:t>b) Condiciones de Acceso y Costo al Crédito</w:t>
            </w:r>
          </w:p>
          <w:p w14:paraId="69E1B8CF" w14:textId="77777777" w:rsidR="00176424" w:rsidRPr="00176424" w:rsidRDefault="00176424" w:rsidP="00176424">
            <w:pPr>
              <w:jc w:val="center"/>
              <w:rPr>
                <w:rFonts w:eastAsia="Calibri"/>
                <w:b/>
                <w:sz w:val="20"/>
                <w:szCs w:val="20"/>
                <w:lang w:eastAsia="en-US"/>
              </w:rPr>
            </w:pPr>
            <w:r w:rsidRPr="00176424">
              <w:rPr>
                <w:rFonts w:eastAsia="Calibri"/>
                <w:b/>
                <w:sz w:val="20"/>
                <w:szCs w:val="20"/>
                <w:lang w:eastAsia="en-US"/>
              </w:rPr>
              <w:t>Bancario como Limitantes para las</w:t>
            </w:r>
          </w:p>
          <w:p w14:paraId="137BBC5C" w14:textId="77777777" w:rsidR="00176424" w:rsidRPr="00176424" w:rsidRDefault="00176424" w:rsidP="00176424">
            <w:pPr>
              <w:jc w:val="center"/>
              <w:rPr>
                <w:rFonts w:eastAsia="Calibri"/>
                <w:b/>
                <w:sz w:val="20"/>
                <w:szCs w:val="20"/>
                <w:lang w:eastAsia="en-US"/>
              </w:rPr>
            </w:pPr>
            <w:r w:rsidRPr="00176424">
              <w:rPr>
                <w:rFonts w:eastAsia="Calibri"/>
                <w:b/>
                <w:sz w:val="20"/>
                <w:szCs w:val="20"/>
                <w:lang w:eastAsia="en-US"/>
              </w:rPr>
              <w:t>Operaciones de su Empresa</w:t>
            </w:r>
          </w:p>
          <w:p w14:paraId="0CF5E320" w14:textId="77777777" w:rsidR="00176424" w:rsidRPr="00176424" w:rsidRDefault="00176424" w:rsidP="00176424">
            <w:pPr>
              <w:jc w:val="center"/>
              <w:rPr>
                <w:rFonts w:eastAsia="Calibri"/>
                <w:b/>
                <w:sz w:val="20"/>
                <w:szCs w:val="20"/>
                <w:lang w:eastAsia="en-US"/>
              </w:rPr>
            </w:pPr>
            <w:r w:rsidRPr="00176424">
              <w:rPr>
                <w:rFonts w:eastAsia="Calibri"/>
                <w:b/>
                <w:sz w:val="20"/>
                <w:szCs w:val="20"/>
                <w:lang w:eastAsia="en-US"/>
              </w:rPr>
              <w:t>-Por ciento del total de empresas-</w:t>
            </w:r>
          </w:p>
        </w:tc>
      </w:tr>
      <w:tr w:rsidR="00176424" w:rsidRPr="00176424" w14:paraId="7BD57F0F" w14:textId="77777777" w:rsidTr="0096505B">
        <w:tc>
          <w:tcPr>
            <w:tcW w:w="8840" w:type="dxa"/>
            <w:gridSpan w:val="2"/>
          </w:tcPr>
          <w:p w14:paraId="1DFFDD32" w14:textId="4F3731E4" w:rsidR="00176424" w:rsidRPr="00176424" w:rsidRDefault="00460570" w:rsidP="00176424">
            <w:pPr>
              <w:jc w:val="center"/>
              <w:rPr>
                <w:rFonts w:eastAsia="Calibri"/>
                <w:b/>
                <w:sz w:val="20"/>
                <w:szCs w:val="20"/>
                <w:lang w:eastAsia="en-US"/>
              </w:rPr>
            </w:pPr>
            <w:r w:rsidRPr="00056FBD">
              <w:rPr>
                <w:noProof/>
                <w:lang w:eastAsia="es-MX"/>
              </w:rPr>
              <w:drawing>
                <wp:inline distT="0" distB="0" distL="0" distR="0" wp14:anchorId="1381D75D" wp14:editId="772FD4F6">
                  <wp:extent cx="5612130" cy="2768762"/>
                  <wp:effectExtent l="0" t="0" r="0" b="0"/>
                  <wp:docPr id="191" name="Imagen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5612130" cy="2768762"/>
                          </a:xfrm>
                          <a:prstGeom prst="rect">
                            <a:avLst/>
                          </a:prstGeom>
                          <a:noFill/>
                          <a:ln>
                            <a:noFill/>
                          </a:ln>
                        </pic:spPr>
                      </pic:pic>
                    </a:graphicData>
                  </a:graphic>
                </wp:inline>
              </w:drawing>
            </w:r>
          </w:p>
        </w:tc>
      </w:tr>
    </w:tbl>
    <w:p w14:paraId="48784F9F" w14:textId="77777777" w:rsidR="00176424" w:rsidRPr="00176424" w:rsidRDefault="00176424" w:rsidP="00176424">
      <w:pPr>
        <w:spacing w:after="360" w:line="360" w:lineRule="auto"/>
        <w:ind w:right="-159"/>
        <w:jc w:val="both"/>
        <w:rPr>
          <w:rFonts w:eastAsia="Calibri"/>
          <w:sz w:val="20"/>
          <w:szCs w:val="20"/>
          <w:lang w:eastAsia="en-US"/>
        </w:rPr>
      </w:pPr>
      <w:r w:rsidRPr="00176424">
        <w:rPr>
          <w:rFonts w:eastAsia="Calibri"/>
          <w:sz w:val="20"/>
          <w:szCs w:val="20"/>
          <w:lang w:eastAsia="en-US"/>
        </w:rPr>
        <w:t>FUENTE: Banco de México.</w:t>
      </w:r>
    </w:p>
    <w:tbl>
      <w:tblPr>
        <w:tblW w:w="9056" w:type="dxa"/>
        <w:jc w:val="center"/>
        <w:tblLayout w:type="fixed"/>
        <w:tblLook w:val="01E0" w:firstRow="1" w:lastRow="1" w:firstColumn="1" w:lastColumn="1" w:noHBand="0" w:noVBand="0"/>
      </w:tblPr>
      <w:tblGrid>
        <w:gridCol w:w="2797"/>
        <w:gridCol w:w="541"/>
        <w:gridCol w:w="64"/>
        <w:gridCol w:w="426"/>
        <w:gridCol w:w="594"/>
        <w:gridCol w:w="545"/>
        <w:gridCol w:w="542"/>
        <w:gridCol w:w="720"/>
        <w:gridCol w:w="720"/>
        <w:gridCol w:w="899"/>
        <w:gridCol w:w="720"/>
        <w:gridCol w:w="488"/>
      </w:tblGrid>
      <w:tr w:rsidR="00176424" w:rsidRPr="00176424" w14:paraId="19CD7741" w14:textId="77777777" w:rsidTr="00DA1492">
        <w:trPr>
          <w:jc w:val="center"/>
        </w:trPr>
        <w:tc>
          <w:tcPr>
            <w:tcW w:w="9056" w:type="dxa"/>
            <w:gridSpan w:val="12"/>
            <w:tcBorders>
              <w:top w:val="nil"/>
              <w:left w:val="nil"/>
              <w:bottom w:val="single" w:sz="4" w:space="0" w:color="auto"/>
              <w:right w:val="nil"/>
            </w:tcBorders>
          </w:tcPr>
          <w:p w14:paraId="4A935343" w14:textId="77777777" w:rsidR="00176424" w:rsidRPr="00176424" w:rsidRDefault="00176424" w:rsidP="00176424">
            <w:pPr>
              <w:jc w:val="center"/>
              <w:rPr>
                <w:rFonts w:eastAsia="Calibri"/>
                <w:b/>
                <w:sz w:val="14"/>
                <w:szCs w:val="14"/>
                <w:vertAlign w:val="superscript"/>
                <w:lang w:eastAsia="en-US"/>
              </w:rPr>
            </w:pPr>
            <w:r w:rsidRPr="00176424">
              <w:rPr>
                <w:rFonts w:eastAsia="Calibri"/>
                <w:b/>
                <w:sz w:val="14"/>
                <w:szCs w:val="14"/>
                <w:lang w:eastAsia="en-US"/>
              </w:rPr>
              <w:t>RESULTADOS DE LA ENCUESTA DE EVALUACIÓN COYUNTURAL DEL MERCADO CREDITICIO</w:t>
            </w:r>
            <w:r w:rsidRPr="00176424">
              <w:rPr>
                <w:rFonts w:eastAsia="Calibri"/>
                <w:b/>
                <w:sz w:val="14"/>
                <w:szCs w:val="14"/>
                <w:u w:val="single"/>
                <w:vertAlign w:val="superscript"/>
                <w:lang w:eastAsia="en-US"/>
              </w:rPr>
              <w:t>1</w:t>
            </w:r>
            <w:r w:rsidRPr="00176424">
              <w:rPr>
                <w:rFonts w:eastAsia="Calibri"/>
                <w:b/>
                <w:sz w:val="14"/>
                <w:szCs w:val="14"/>
                <w:vertAlign w:val="superscript"/>
                <w:lang w:eastAsia="en-US"/>
              </w:rPr>
              <w:t>/</w:t>
            </w:r>
          </w:p>
          <w:p w14:paraId="10EE1CA4" w14:textId="77777777" w:rsidR="00176424" w:rsidRPr="00176424" w:rsidRDefault="00176424" w:rsidP="00176424">
            <w:pPr>
              <w:jc w:val="center"/>
              <w:rPr>
                <w:rFonts w:eastAsia="Calibri"/>
                <w:b/>
                <w:sz w:val="14"/>
                <w:szCs w:val="14"/>
                <w:lang w:eastAsia="en-US"/>
              </w:rPr>
            </w:pPr>
            <w:r w:rsidRPr="00176424">
              <w:rPr>
                <w:rFonts w:eastAsia="Calibri"/>
                <w:b/>
                <w:sz w:val="14"/>
                <w:szCs w:val="14"/>
                <w:lang w:eastAsia="en-US"/>
              </w:rPr>
              <w:t>Cuarto trimestre de 2014</w:t>
            </w:r>
          </w:p>
        </w:tc>
      </w:tr>
      <w:tr w:rsidR="00176424" w:rsidRPr="00176424" w14:paraId="064BDBAB" w14:textId="77777777" w:rsidTr="0023750A">
        <w:trPr>
          <w:jc w:val="center"/>
        </w:trPr>
        <w:tc>
          <w:tcPr>
            <w:tcW w:w="2797" w:type="dxa"/>
            <w:vMerge w:val="restart"/>
            <w:tcBorders>
              <w:left w:val="single" w:sz="2" w:space="0" w:color="auto"/>
              <w:bottom w:val="nil"/>
              <w:right w:val="single" w:sz="4" w:space="0" w:color="auto"/>
            </w:tcBorders>
            <w:vAlign w:val="center"/>
          </w:tcPr>
          <w:p w14:paraId="7A64AA83" w14:textId="77777777" w:rsidR="00176424" w:rsidRPr="00176424" w:rsidRDefault="00176424" w:rsidP="00176424">
            <w:pPr>
              <w:jc w:val="center"/>
              <w:rPr>
                <w:rFonts w:eastAsia="Calibri"/>
                <w:b/>
                <w:sz w:val="12"/>
                <w:szCs w:val="10"/>
                <w:lang w:eastAsia="en-US"/>
              </w:rPr>
            </w:pPr>
            <w:r w:rsidRPr="00176424">
              <w:rPr>
                <w:rFonts w:eastAsia="Calibri"/>
                <w:b/>
                <w:sz w:val="12"/>
                <w:szCs w:val="10"/>
                <w:lang w:eastAsia="en-US"/>
              </w:rPr>
              <w:t>Concepto</w:t>
            </w:r>
          </w:p>
        </w:tc>
        <w:tc>
          <w:tcPr>
            <w:tcW w:w="2712" w:type="dxa"/>
            <w:gridSpan w:val="6"/>
            <w:tcBorders>
              <w:left w:val="single" w:sz="4" w:space="0" w:color="auto"/>
              <w:bottom w:val="single" w:sz="4" w:space="0" w:color="auto"/>
              <w:right w:val="single" w:sz="4" w:space="0" w:color="auto"/>
            </w:tcBorders>
            <w:vAlign w:val="center"/>
          </w:tcPr>
          <w:p w14:paraId="02EE62BF" w14:textId="77777777" w:rsidR="00176424" w:rsidRPr="00176424" w:rsidRDefault="00176424" w:rsidP="00176424">
            <w:pPr>
              <w:jc w:val="center"/>
              <w:rPr>
                <w:rFonts w:eastAsia="Calibri"/>
                <w:b/>
                <w:sz w:val="12"/>
                <w:szCs w:val="10"/>
                <w:lang w:eastAsia="en-US"/>
              </w:rPr>
            </w:pPr>
            <w:r w:rsidRPr="00176424">
              <w:rPr>
                <w:rFonts w:eastAsia="Calibri"/>
                <w:b/>
                <w:sz w:val="12"/>
                <w:szCs w:val="10"/>
                <w:lang w:eastAsia="en-US"/>
              </w:rPr>
              <w:t>Total</w:t>
            </w:r>
          </w:p>
        </w:tc>
        <w:tc>
          <w:tcPr>
            <w:tcW w:w="3547" w:type="dxa"/>
            <w:gridSpan w:val="5"/>
            <w:tcBorders>
              <w:left w:val="single" w:sz="4" w:space="0" w:color="auto"/>
              <w:bottom w:val="single" w:sz="4" w:space="0" w:color="auto"/>
              <w:right w:val="single" w:sz="2" w:space="0" w:color="auto"/>
            </w:tcBorders>
            <w:vAlign w:val="center"/>
          </w:tcPr>
          <w:p w14:paraId="0E4EF64F" w14:textId="77777777" w:rsidR="00176424" w:rsidRPr="00176424" w:rsidRDefault="00176424" w:rsidP="00176424">
            <w:pPr>
              <w:jc w:val="center"/>
              <w:rPr>
                <w:rFonts w:eastAsia="Calibri"/>
                <w:b/>
                <w:sz w:val="12"/>
                <w:szCs w:val="10"/>
                <w:lang w:eastAsia="en-US"/>
              </w:rPr>
            </w:pPr>
            <w:r w:rsidRPr="00176424">
              <w:rPr>
                <w:rFonts w:eastAsia="Calibri"/>
                <w:b/>
                <w:sz w:val="12"/>
                <w:szCs w:val="10"/>
                <w:lang w:eastAsia="en-US"/>
              </w:rPr>
              <w:t>IV Trimestre de 2014</w:t>
            </w:r>
          </w:p>
        </w:tc>
      </w:tr>
      <w:tr w:rsidR="00176424" w:rsidRPr="00176424" w14:paraId="795B271F" w14:textId="77777777" w:rsidTr="0023750A">
        <w:trPr>
          <w:jc w:val="center"/>
        </w:trPr>
        <w:tc>
          <w:tcPr>
            <w:tcW w:w="2797" w:type="dxa"/>
            <w:vMerge/>
            <w:tcBorders>
              <w:top w:val="nil"/>
              <w:left w:val="single" w:sz="2" w:space="0" w:color="auto"/>
              <w:bottom w:val="nil"/>
              <w:right w:val="single" w:sz="4" w:space="0" w:color="auto"/>
            </w:tcBorders>
            <w:vAlign w:val="center"/>
          </w:tcPr>
          <w:p w14:paraId="2736E49F" w14:textId="77777777" w:rsidR="00176424" w:rsidRPr="00176424" w:rsidRDefault="00176424" w:rsidP="00176424">
            <w:pPr>
              <w:jc w:val="center"/>
              <w:rPr>
                <w:rFonts w:eastAsia="Calibri"/>
                <w:b/>
                <w:sz w:val="12"/>
                <w:szCs w:val="10"/>
                <w:lang w:eastAsia="en-US"/>
              </w:rPr>
            </w:pPr>
          </w:p>
        </w:tc>
        <w:tc>
          <w:tcPr>
            <w:tcW w:w="605" w:type="dxa"/>
            <w:gridSpan w:val="2"/>
            <w:tcBorders>
              <w:top w:val="nil"/>
              <w:left w:val="single" w:sz="4" w:space="0" w:color="auto"/>
              <w:bottom w:val="single" w:sz="4" w:space="0" w:color="auto"/>
              <w:right w:val="single" w:sz="4" w:space="0" w:color="auto"/>
            </w:tcBorders>
            <w:vAlign w:val="center"/>
          </w:tcPr>
          <w:p w14:paraId="7FED75C2" w14:textId="77777777" w:rsidR="00176424" w:rsidRPr="00176424" w:rsidRDefault="00176424" w:rsidP="00176424">
            <w:pPr>
              <w:jc w:val="center"/>
              <w:rPr>
                <w:rFonts w:eastAsia="Calibri"/>
                <w:b/>
                <w:sz w:val="12"/>
                <w:szCs w:val="10"/>
                <w:lang w:eastAsia="en-US"/>
              </w:rPr>
            </w:pPr>
            <w:r w:rsidRPr="00176424">
              <w:rPr>
                <w:rFonts w:eastAsia="Calibri"/>
                <w:b/>
                <w:sz w:val="12"/>
                <w:szCs w:val="10"/>
                <w:lang w:eastAsia="en-US"/>
              </w:rPr>
              <w:t>2013</w:t>
            </w:r>
          </w:p>
        </w:tc>
        <w:tc>
          <w:tcPr>
            <w:tcW w:w="2107" w:type="dxa"/>
            <w:gridSpan w:val="4"/>
            <w:tcBorders>
              <w:top w:val="nil"/>
              <w:left w:val="single" w:sz="4" w:space="0" w:color="auto"/>
              <w:bottom w:val="single" w:sz="4" w:space="0" w:color="auto"/>
              <w:right w:val="single" w:sz="4" w:space="0" w:color="auto"/>
            </w:tcBorders>
            <w:vAlign w:val="center"/>
          </w:tcPr>
          <w:p w14:paraId="53CB970D" w14:textId="77777777" w:rsidR="00176424" w:rsidRPr="00176424" w:rsidRDefault="00176424" w:rsidP="00176424">
            <w:pPr>
              <w:jc w:val="center"/>
              <w:rPr>
                <w:rFonts w:eastAsia="Calibri"/>
                <w:b/>
                <w:sz w:val="12"/>
                <w:szCs w:val="10"/>
                <w:lang w:eastAsia="en-US"/>
              </w:rPr>
            </w:pPr>
            <w:r w:rsidRPr="00176424">
              <w:rPr>
                <w:rFonts w:eastAsia="Calibri"/>
                <w:b/>
                <w:sz w:val="12"/>
                <w:szCs w:val="10"/>
                <w:lang w:eastAsia="en-US"/>
              </w:rPr>
              <w:t>2014</w:t>
            </w:r>
          </w:p>
        </w:tc>
        <w:tc>
          <w:tcPr>
            <w:tcW w:w="1440" w:type="dxa"/>
            <w:gridSpan w:val="2"/>
            <w:tcBorders>
              <w:top w:val="nil"/>
              <w:left w:val="single" w:sz="4" w:space="0" w:color="auto"/>
              <w:bottom w:val="single" w:sz="4" w:space="0" w:color="auto"/>
              <w:right w:val="single" w:sz="4" w:space="0" w:color="auto"/>
            </w:tcBorders>
            <w:vAlign w:val="center"/>
          </w:tcPr>
          <w:p w14:paraId="446EA610" w14:textId="77777777" w:rsidR="00176424" w:rsidRPr="00176424" w:rsidRDefault="00176424" w:rsidP="00176424">
            <w:pPr>
              <w:jc w:val="center"/>
              <w:rPr>
                <w:rFonts w:eastAsia="Calibri"/>
                <w:b/>
                <w:sz w:val="12"/>
                <w:szCs w:val="10"/>
                <w:lang w:eastAsia="en-US"/>
              </w:rPr>
            </w:pPr>
            <w:r w:rsidRPr="00176424">
              <w:rPr>
                <w:rFonts w:eastAsia="Calibri"/>
                <w:b/>
                <w:sz w:val="12"/>
                <w:szCs w:val="10"/>
                <w:lang w:eastAsia="en-US"/>
              </w:rPr>
              <w:t>Por tamaño</w:t>
            </w:r>
          </w:p>
        </w:tc>
        <w:tc>
          <w:tcPr>
            <w:tcW w:w="2107" w:type="dxa"/>
            <w:gridSpan w:val="3"/>
            <w:tcBorders>
              <w:top w:val="nil"/>
              <w:left w:val="single" w:sz="4" w:space="0" w:color="auto"/>
              <w:bottom w:val="single" w:sz="4" w:space="0" w:color="auto"/>
              <w:right w:val="single" w:sz="2" w:space="0" w:color="auto"/>
            </w:tcBorders>
            <w:vAlign w:val="center"/>
          </w:tcPr>
          <w:p w14:paraId="63E59392" w14:textId="77777777" w:rsidR="00176424" w:rsidRPr="00176424" w:rsidRDefault="00176424" w:rsidP="00176424">
            <w:pPr>
              <w:jc w:val="center"/>
              <w:rPr>
                <w:rFonts w:eastAsia="Calibri"/>
                <w:b/>
                <w:sz w:val="12"/>
                <w:szCs w:val="10"/>
                <w:lang w:eastAsia="en-US"/>
              </w:rPr>
            </w:pPr>
            <w:r w:rsidRPr="00176424">
              <w:rPr>
                <w:rFonts w:eastAsia="Calibri"/>
                <w:b/>
                <w:sz w:val="12"/>
                <w:szCs w:val="10"/>
                <w:lang w:eastAsia="en-US"/>
              </w:rPr>
              <w:t>Por actividad económica</w:t>
            </w:r>
            <w:r w:rsidRPr="00176424">
              <w:rPr>
                <w:rFonts w:eastAsia="Calibri"/>
                <w:b/>
                <w:sz w:val="12"/>
                <w:szCs w:val="10"/>
                <w:u w:val="single"/>
                <w:vertAlign w:val="superscript"/>
                <w:lang w:eastAsia="en-US"/>
              </w:rPr>
              <w:t>2</w:t>
            </w:r>
            <w:r w:rsidRPr="00176424">
              <w:rPr>
                <w:rFonts w:eastAsia="Calibri"/>
                <w:b/>
                <w:sz w:val="12"/>
                <w:szCs w:val="10"/>
                <w:vertAlign w:val="superscript"/>
                <w:lang w:eastAsia="en-US"/>
              </w:rPr>
              <w:t>/</w:t>
            </w:r>
          </w:p>
        </w:tc>
      </w:tr>
      <w:tr w:rsidR="00176424" w:rsidRPr="00176424" w14:paraId="0538E9DA" w14:textId="77777777" w:rsidTr="0023750A">
        <w:trPr>
          <w:jc w:val="center"/>
        </w:trPr>
        <w:tc>
          <w:tcPr>
            <w:tcW w:w="2797" w:type="dxa"/>
            <w:vMerge/>
            <w:tcBorders>
              <w:top w:val="nil"/>
              <w:left w:val="single" w:sz="2" w:space="0" w:color="auto"/>
              <w:bottom w:val="single" w:sz="4" w:space="0" w:color="auto"/>
              <w:right w:val="single" w:sz="4" w:space="0" w:color="auto"/>
            </w:tcBorders>
            <w:vAlign w:val="center"/>
          </w:tcPr>
          <w:p w14:paraId="38F8BD5C" w14:textId="77777777" w:rsidR="00176424" w:rsidRPr="00176424" w:rsidRDefault="00176424" w:rsidP="00176424">
            <w:pPr>
              <w:jc w:val="center"/>
              <w:rPr>
                <w:rFonts w:eastAsia="Calibri"/>
                <w:b/>
                <w:sz w:val="12"/>
                <w:szCs w:val="10"/>
                <w:lang w:eastAsia="en-US"/>
              </w:rPr>
            </w:pPr>
          </w:p>
        </w:tc>
        <w:tc>
          <w:tcPr>
            <w:tcW w:w="605" w:type="dxa"/>
            <w:gridSpan w:val="2"/>
            <w:tcBorders>
              <w:top w:val="single" w:sz="4" w:space="0" w:color="auto"/>
              <w:left w:val="single" w:sz="4" w:space="0" w:color="auto"/>
              <w:bottom w:val="single" w:sz="4" w:space="0" w:color="auto"/>
              <w:right w:val="single" w:sz="4" w:space="0" w:color="auto"/>
            </w:tcBorders>
            <w:vAlign w:val="center"/>
          </w:tcPr>
          <w:p w14:paraId="398537E2" w14:textId="77777777" w:rsidR="00176424" w:rsidRPr="00176424" w:rsidRDefault="00176424" w:rsidP="00176424">
            <w:pPr>
              <w:jc w:val="center"/>
              <w:rPr>
                <w:rFonts w:eastAsia="Calibri"/>
                <w:b/>
                <w:sz w:val="12"/>
                <w:szCs w:val="10"/>
                <w:lang w:eastAsia="en-US"/>
              </w:rPr>
            </w:pPr>
            <w:r w:rsidRPr="00176424">
              <w:rPr>
                <w:rFonts w:eastAsia="Calibri"/>
                <w:b/>
                <w:sz w:val="12"/>
                <w:szCs w:val="10"/>
                <w:lang w:eastAsia="en-US"/>
              </w:rPr>
              <w:t>IV</w:t>
            </w:r>
          </w:p>
        </w:tc>
        <w:tc>
          <w:tcPr>
            <w:tcW w:w="426" w:type="dxa"/>
            <w:tcBorders>
              <w:top w:val="single" w:sz="4" w:space="0" w:color="auto"/>
              <w:left w:val="single" w:sz="4" w:space="0" w:color="auto"/>
              <w:bottom w:val="single" w:sz="4" w:space="0" w:color="auto"/>
              <w:right w:val="single" w:sz="4" w:space="0" w:color="auto"/>
            </w:tcBorders>
            <w:vAlign w:val="center"/>
          </w:tcPr>
          <w:p w14:paraId="46BD9B30" w14:textId="77777777" w:rsidR="00176424" w:rsidRPr="00176424" w:rsidRDefault="00176424" w:rsidP="00176424">
            <w:pPr>
              <w:jc w:val="center"/>
              <w:rPr>
                <w:rFonts w:eastAsia="Calibri"/>
                <w:b/>
                <w:sz w:val="12"/>
                <w:szCs w:val="10"/>
                <w:lang w:eastAsia="en-US"/>
              </w:rPr>
            </w:pPr>
            <w:r w:rsidRPr="00176424">
              <w:rPr>
                <w:rFonts w:eastAsia="Calibri"/>
                <w:b/>
                <w:sz w:val="12"/>
                <w:szCs w:val="10"/>
                <w:lang w:eastAsia="en-US"/>
              </w:rPr>
              <w:t>I</w:t>
            </w:r>
          </w:p>
        </w:tc>
        <w:tc>
          <w:tcPr>
            <w:tcW w:w="594" w:type="dxa"/>
            <w:tcBorders>
              <w:top w:val="single" w:sz="4" w:space="0" w:color="auto"/>
              <w:left w:val="single" w:sz="4" w:space="0" w:color="auto"/>
              <w:bottom w:val="single" w:sz="4" w:space="0" w:color="auto"/>
              <w:right w:val="single" w:sz="4" w:space="0" w:color="auto"/>
            </w:tcBorders>
            <w:vAlign w:val="center"/>
          </w:tcPr>
          <w:p w14:paraId="72F76237" w14:textId="77777777" w:rsidR="00176424" w:rsidRPr="00176424" w:rsidRDefault="00176424" w:rsidP="00176424">
            <w:pPr>
              <w:jc w:val="center"/>
              <w:rPr>
                <w:rFonts w:eastAsia="Calibri"/>
                <w:b/>
                <w:sz w:val="12"/>
                <w:szCs w:val="10"/>
                <w:lang w:eastAsia="en-US"/>
              </w:rPr>
            </w:pPr>
            <w:r w:rsidRPr="00176424">
              <w:rPr>
                <w:rFonts w:eastAsia="Calibri"/>
                <w:b/>
                <w:sz w:val="12"/>
                <w:szCs w:val="10"/>
                <w:lang w:eastAsia="en-US"/>
              </w:rPr>
              <w:t>II</w:t>
            </w:r>
          </w:p>
        </w:tc>
        <w:tc>
          <w:tcPr>
            <w:tcW w:w="545" w:type="dxa"/>
            <w:tcBorders>
              <w:top w:val="single" w:sz="4" w:space="0" w:color="auto"/>
              <w:left w:val="single" w:sz="4" w:space="0" w:color="auto"/>
              <w:bottom w:val="single" w:sz="4" w:space="0" w:color="auto"/>
              <w:right w:val="single" w:sz="4" w:space="0" w:color="auto"/>
            </w:tcBorders>
            <w:vAlign w:val="center"/>
          </w:tcPr>
          <w:p w14:paraId="177FD9C2" w14:textId="77777777" w:rsidR="00176424" w:rsidRPr="00176424" w:rsidRDefault="00176424" w:rsidP="00176424">
            <w:pPr>
              <w:jc w:val="center"/>
              <w:rPr>
                <w:rFonts w:eastAsia="Calibri"/>
                <w:b/>
                <w:sz w:val="12"/>
                <w:szCs w:val="10"/>
                <w:lang w:eastAsia="en-US"/>
              </w:rPr>
            </w:pPr>
            <w:r w:rsidRPr="00176424">
              <w:rPr>
                <w:rFonts w:eastAsia="Calibri"/>
                <w:b/>
                <w:sz w:val="12"/>
                <w:szCs w:val="10"/>
                <w:lang w:eastAsia="en-US"/>
              </w:rPr>
              <w:t>III</w:t>
            </w:r>
          </w:p>
        </w:tc>
        <w:tc>
          <w:tcPr>
            <w:tcW w:w="542" w:type="dxa"/>
            <w:tcBorders>
              <w:top w:val="single" w:sz="4" w:space="0" w:color="auto"/>
              <w:left w:val="single" w:sz="4" w:space="0" w:color="auto"/>
              <w:bottom w:val="single" w:sz="4" w:space="0" w:color="auto"/>
              <w:right w:val="single" w:sz="4" w:space="0" w:color="auto"/>
            </w:tcBorders>
            <w:vAlign w:val="center"/>
          </w:tcPr>
          <w:p w14:paraId="1ED1B208" w14:textId="77777777" w:rsidR="00176424" w:rsidRPr="00176424" w:rsidRDefault="00176424" w:rsidP="00176424">
            <w:pPr>
              <w:jc w:val="center"/>
              <w:rPr>
                <w:rFonts w:eastAsia="Calibri"/>
                <w:b/>
                <w:sz w:val="12"/>
                <w:szCs w:val="10"/>
                <w:lang w:eastAsia="en-US"/>
              </w:rPr>
            </w:pPr>
            <w:r w:rsidRPr="00176424">
              <w:rPr>
                <w:rFonts w:eastAsia="Calibri"/>
                <w:b/>
                <w:sz w:val="12"/>
                <w:szCs w:val="10"/>
                <w:lang w:eastAsia="en-US"/>
              </w:rPr>
              <w:t>IV</w:t>
            </w:r>
          </w:p>
        </w:tc>
        <w:tc>
          <w:tcPr>
            <w:tcW w:w="720" w:type="dxa"/>
            <w:tcBorders>
              <w:top w:val="single" w:sz="4" w:space="0" w:color="auto"/>
              <w:left w:val="single" w:sz="4" w:space="0" w:color="auto"/>
              <w:bottom w:val="single" w:sz="4" w:space="0" w:color="auto"/>
              <w:right w:val="single" w:sz="4" w:space="0" w:color="auto"/>
            </w:tcBorders>
            <w:vAlign w:val="center"/>
          </w:tcPr>
          <w:p w14:paraId="6DA7AC7A" w14:textId="77777777" w:rsidR="00176424" w:rsidRPr="00176424" w:rsidRDefault="00176424" w:rsidP="00176424">
            <w:pPr>
              <w:ind w:left="-57" w:right="-57"/>
              <w:jc w:val="center"/>
              <w:rPr>
                <w:rFonts w:eastAsia="Calibri"/>
                <w:b/>
                <w:sz w:val="12"/>
                <w:szCs w:val="10"/>
                <w:lang w:eastAsia="en-US"/>
              </w:rPr>
            </w:pPr>
            <w:r w:rsidRPr="00176424">
              <w:rPr>
                <w:rFonts w:eastAsia="Calibri"/>
                <w:b/>
                <w:sz w:val="12"/>
                <w:szCs w:val="10"/>
                <w:lang w:eastAsia="en-US"/>
              </w:rPr>
              <w:t>Hasta 100 Empleados</w:t>
            </w:r>
          </w:p>
        </w:tc>
        <w:tc>
          <w:tcPr>
            <w:tcW w:w="720" w:type="dxa"/>
            <w:tcBorders>
              <w:top w:val="single" w:sz="4" w:space="0" w:color="auto"/>
              <w:left w:val="single" w:sz="4" w:space="0" w:color="auto"/>
              <w:bottom w:val="single" w:sz="4" w:space="0" w:color="auto"/>
              <w:right w:val="single" w:sz="4" w:space="0" w:color="auto"/>
            </w:tcBorders>
            <w:vAlign w:val="center"/>
          </w:tcPr>
          <w:p w14:paraId="5490C0C6" w14:textId="77777777" w:rsidR="00176424" w:rsidRPr="00176424" w:rsidRDefault="00176424" w:rsidP="00176424">
            <w:pPr>
              <w:ind w:left="-57" w:right="-57"/>
              <w:jc w:val="center"/>
              <w:rPr>
                <w:rFonts w:eastAsia="Calibri"/>
                <w:b/>
                <w:sz w:val="12"/>
                <w:szCs w:val="10"/>
                <w:lang w:eastAsia="en-US"/>
              </w:rPr>
            </w:pPr>
            <w:r w:rsidRPr="00176424">
              <w:rPr>
                <w:rFonts w:eastAsia="Calibri"/>
                <w:b/>
                <w:sz w:val="12"/>
                <w:szCs w:val="10"/>
                <w:lang w:eastAsia="en-US"/>
              </w:rPr>
              <w:t>Más de 100 Empleados</w:t>
            </w:r>
          </w:p>
        </w:tc>
        <w:tc>
          <w:tcPr>
            <w:tcW w:w="899" w:type="dxa"/>
            <w:tcBorders>
              <w:top w:val="single" w:sz="4" w:space="0" w:color="auto"/>
              <w:left w:val="single" w:sz="4" w:space="0" w:color="auto"/>
              <w:bottom w:val="single" w:sz="4" w:space="0" w:color="auto"/>
              <w:right w:val="single" w:sz="4" w:space="0" w:color="auto"/>
            </w:tcBorders>
            <w:vAlign w:val="center"/>
          </w:tcPr>
          <w:p w14:paraId="504060E4" w14:textId="77777777" w:rsidR="00176424" w:rsidRPr="00176424" w:rsidRDefault="00176424" w:rsidP="00176424">
            <w:pPr>
              <w:ind w:left="-57" w:right="-57"/>
              <w:jc w:val="center"/>
              <w:rPr>
                <w:rFonts w:eastAsia="Calibri"/>
                <w:b/>
                <w:sz w:val="12"/>
                <w:szCs w:val="10"/>
                <w:lang w:eastAsia="en-US"/>
              </w:rPr>
            </w:pPr>
            <w:r w:rsidRPr="00176424">
              <w:rPr>
                <w:rFonts w:eastAsia="Calibri"/>
                <w:b/>
                <w:sz w:val="12"/>
                <w:szCs w:val="10"/>
                <w:lang w:eastAsia="en-US"/>
              </w:rPr>
              <w:t>Manufacturas</w:t>
            </w:r>
          </w:p>
        </w:tc>
        <w:tc>
          <w:tcPr>
            <w:tcW w:w="720" w:type="dxa"/>
            <w:tcBorders>
              <w:top w:val="single" w:sz="4" w:space="0" w:color="auto"/>
              <w:left w:val="single" w:sz="4" w:space="0" w:color="auto"/>
              <w:bottom w:val="single" w:sz="4" w:space="0" w:color="auto"/>
              <w:right w:val="single" w:sz="4" w:space="0" w:color="auto"/>
            </w:tcBorders>
            <w:vAlign w:val="center"/>
          </w:tcPr>
          <w:p w14:paraId="50D1F96C" w14:textId="77777777" w:rsidR="00176424" w:rsidRPr="00176424" w:rsidRDefault="00176424" w:rsidP="00176424">
            <w:pPr>
              <w:ind w:left="-57" w:right="-57"/>
              <w:jc w:val="center"/>
              <w:rPr>
                <w:rFonts w:eastAsia="Calibri"/>
                <w:b/>
                <w:sz w:val="12"/>
                <w:szCs w:val="10"/>
                <w:lang w:eastAsia="en-US"/>
              </w:rPr>
            </w:pPr>
            <w:r w:rsidRPr="00176424">
              <w:rPr>
                <w:rFonts w:eastAsia="Calibri"/>
                <w:b/>
                <w:sz w:val="12"/>
                <w:szCs w:val="10"/>
                <w:lang w:eastAsia="en-US"/>
              </w:rPr>
              <w:t>Servicios y Comercio</w:t>
            </w:r>
          </w:p>
        </w:tc>
        <w:tc>
          <w:tcPr>
            <w:tcW w:w="488" w:type="dxa"/>
            <w:tcBorders>
              <w:top w:val="single" w:sz="4" w:space="0" w:color="auto"/>
              <w:left w:val="single" w:sz="4" w:space="0" w:color="auto"/>
              <w:bottom w:val="single" w:sz="4" w:space="0" w:color="auto"/>
              <w:right w:val="single" w:sz="2" w:space="0" w:color="auto"/>
            </w:tcBorders>
            <w:vAlign w:val="center"/>
          </w:tcPr>
          <w:p w14:paraId="225A81F9" w14:textId="77777777" w:rsidR="00176424" w:rsidRPr="00176424" w:rsidRDefault="00176424" w:rsidP="00176424">
            <w:pPr>
              <w:ind w:left="-57" w:right="-57"/>
              <w:jc w:val="center"/>
              <w:rPr>
                <w:rFonts w:eastAsia="Calibri"/>
                <w:b/>
                <w:sz w:val="12"/>
                <w:szCs w:val="10"/>
                <w:lang w:eastAsia="en-US"/>
              </w:rPr>
            </w:pPr>
            <w:r w:rsidRPr="00176424">
              <w:rPr>
                <w:rFonts w:eastAsia="Calibri"/>
                <w:b/>
                <w:sz w:val="12"/>
                <w:szCs w:val="10"/>
                <w:lang w:eastAsia="en-US"/>
              </w:rPr>
              <w:t>Resto</w:t>
            </w:r>
          </w:p>
        </w:tc>
      </w:tr>
      <w:tr w:rsidR="00176424" w:rsidRPr="00176424" w14:paraId="586837BA" w14:textId="77777777" w:rsidTr="0023750A">
        <w:trPr>
          <w:jc w:val="center"/>
        </w:trPr>
        <w:tc>
          <w:tcPr>
            <w:tcW w:w="2797" w:type="dxa"/>
            <w:tcBorders>
              <w:top w:val="single" w:sz="4" w:space="0" w:color="auto"/>
              <w:left w:val="single" w:sz="2" w:space="0" w:color="auto"/>
              <w:bottom w:val="single" w:sz="4" w:space="0" w:color="auto"/>
              <w:right w:val="single" w:sz="4" w:space="0" w:color="auto"/>
            </w:tcBorders>
          </w:tcPr>
          <w:p w14:paraId="7370131A" w14:textId="77777777" w:rsidR="00176424" w:rsidRPr="00176424" w:rsidRDefault="00176424" w:rsidP="00176424">
            <w:pPr>
              <w:jc w:val="both"/>
              <w:rPr>
                <w:rFonts w:eastAsia="Calibri"/>
                <w:b/>
                <w:sz w:val="12"/>
                <w:szCs w:val="10"/>
                <w:lang w:eastAsia="en-US"/>
              </w:rPr>
            </w:pPr>
            <w:r w:rsidRPr="00176424">
              <w:rPr>
                <w:rFonts w:eastAsia="Calibri"/>
                <w:b/>
                <w:sz w:val="12"/>
                <w:szCs w:val="10"/>
                <w:lang w:eastAsia="en-US"/>
              </w:rPr>
              <w:t>FINANCIAMIENTO TOTAL</w:t>
            </w:r>
          </w:p>
          <w:p w14:paraId="2D99D484" w14:textId="77777777" w:rsidR="00176424" w:rsidRPr="00176424" w:rsidRDefault="00176424" w:rsidP="00176424">
            <w:pPr>
              <w:jc w:val="both"/>
              <w:rPr>
                <w:rFonts w:eastAsia="Calibri"/>
                <w:sz w:val="12"/>
                <w:szCs w:val="10"/>
                <w:lang w:eastAsia="en-US"/>
              </w:rPr>
            </w:pPr>
            <w:r w:rsidRPr="00176424">
              <w:rPr>
                <w:rFonts w:eastAsia="Calibri"/>
                <w:sz w:val="12"/>
                <w:szCs w:val="10"/>
                <w:lang w:eastAsia="en-US"/>
              </w:rPr>
              <w:t>Por ciento de Empresas</w:t>
            </w:r>
          </w:p>
        </w:tc>
        <w:tc>
          <w:tcPr>
            <w:tcW w:w="6259" w:type="dxa"/>
            <w:gridSpan w:val="11"/>
            <w:tcBorders>
              <w:top w:val="single" w:sz="4" w:space="0" w:color="auto"/>
              <w:left w:val="single" w:sz="4" w:space="0" w:color="auto"/>
              <w:bottom w:val="single" w:sz="4" w:space="0" w:color="auto"/>
              <w:right w:val="single" w:sz="2" w:space="0" w:color="auto"/>
            </w:tcBorders>
          </w:tcPr>
          <w:p w14:paraId="017AA067" w14:textId="77777777" w:rsidR="00176424" w:rsidRPr="00176424" w:rsidRDefault="00176424" w:rsidP="00176424">
            <w:pPr>
              <w:jc w:val="both"/>
              <w:rPr>
                <w:rFonts w:eastAsia="Calibri"/>
                <w:sz w:val="12"/>
                <w:szCs w:val="10"/>
                <w:lang w:eastAsia="en-US"/>
              </w:rPr>
            </w:pPr>
          </w:p>
        </w:tc>
      </w:tr>
      <w:tr w:rsidR="00176424" w:rsidRPr="00176424" w14:paraId="5F5607C7" w14:textId="77777777" w:rsidTr="0023750A">
        <w:trPr>
          <w:jc w:val="center"/>
        </w:trPr>
        <w:tc>
          <w:tcPr>
            <w:tcW w:w="2797" w:type="dxa"/>
            <w:tcBorders>
              <w:top w:val="single" w:sz="4" w:space="0" w:color="auto"/>
              <w:left w:val="single" w:sz="2" w:space="0" w:color="auto"/>
              <w:bottom w:val="nil"/>
              <w:right w:val="single" w:sz="4" w:space="0" w:color="auto"/>
            </w:tcBorders>
          </w:tcPr>
          <w:p w14:paraId="312ED023" w14:textId="77777777" w:rsidR="00176424" w:rsidRPr="00176424" w:rsidRDefault="00176424" w:rsidP="00176424">
            <w:pPr>
              <w:jc w:val="both"/>
              <w:rPr>
                <w:rFonts w:eastAsia="Calibri"/>
                <w:b/>
                <w:sz w:val="12"/>
                <w:szCs w:val="10"/>
                <w:lang w:eastAsia="en-US"/>
              </w:rPr>
            </w:pPr>
            <w:r w:rsidRPr="00176424">
              <w:rPr>
                <w:rFonts w:eastAsia="Calibri"/>
                <w:b/>
                <w:sz w:val="12"/>
                <w:szCs w:val="10"/>
                <w:lang w:eastAsia="en-US"/>
              </w:rPr>
              <w:t>Empresas que obtuvieron algún tipo de financiamiento</w:t>
            </w:r>
            <w:r w:rsidRPr="00176424">
              <w:rPr>
                <w:rFonts w:eastAsia="Calibri"/>
                <w:b/>
                <w:sz w:val="12"/>
                <w:szCs w:val="10"/>
                <w:u w:val="single"/>
                <w:vertAlign w:val="superscript"/>
                <w:lang w:eastAsia="en-US"/>
              </w:rPr>
              <w:t>3</w:t>
            </w:r>
            <w:r w:rsidRPr="00176424">
              <w:rPr>
                <w:rFonts w:eastAsia="Calibri"/>
                <w:b/>
                <w:sz w:val="12"/>
                <w:szCs w:val="10"/>
                <w:vertAlign w:val="superscript"/>
                <w:lang w:eastAsia="en-US"/>
              </w:rPr>
              <w:t>/</w:t>
            </w:r>
          </w:p>
        </w:tc>
        <w:tc>
          <w:tcPr>
            <w:tcW w:w="541" w:type="dxa"/>
            <w:tcBorders>
              <w:top w:val="single" w:sz="4" w:space="0" w:color="auto"/>
              <w:left w:val="single" w:sz="4" w:space="0" w:color="auto"/>
              <w:bottom w:val="nil"/>
              <w:right w:val="single" w:sz="4" w:space="0" w:color="auto"/>
            </w:tcBorders>
            <w:vAlign w:val="center"/>
          </w:tcPr>
          <w:p w14:paraId="6BF38D6D"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89.3</w:t>
            </w:r>
          </w:p>
        </w:tc>
        <w:tc>
          <w:tcPr>
            <w:tcW w:w="490" w:type="dxa"/>
            <w:gridSpan w:val="2"/>
            <w:tcBorders>
              <w:top w:val="single" w:sz="4" w:space="0" w:color="auto"/>
              <w:left w:val="single" w:sz="4" w:space="0" w:color="auto"/>
              <w:bottom w:val="nil"/>
              <w:right w:val="single" w:sz="4" w:space="0" w:color="auto"/>
            </w:tcBorders>
            <w:vAlign w:val="center"/>
          </w:tcPr>
          <w:p w14:paraId="79859012"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88.4</w:t>
            </w:r>
          </w:p>
        </w:tc>
        <w:tc>
          <w:tcPr>
            <w:tcW w:w="594" w:type="dxa"/>
            <w:tcBorders>
              <w:top w:val="single" w:sz="4" w:space="0" w:color="auto"/>
              <w:left w:val="single" w:sz="4" w:space="0" w:color="auto"/>
              <w:bottom w:val="nil"/>
              <w:right w:val="single" w:sz="4" w:space="0" w:color="auto"/>
            </w:tcBorders>
            <w:vAlign w:val="center"/>
          </w:tcPr>
          <w:p w14:paraId="13F4FDF3"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89.2</w:t>
            </w:r>
          </w:p>
        </w:tc>
        <w:tc>
          <w:tcPr>
            <w:tcW w:w="545" w:type="dxa"/>
            <w:tcBorders>
              <w:top w:val="single" w:sz="4" w:space="0" w:color="auto"/>
              <w:left w:val="single" w:sz="4" w:space="0" w:color="auto"/>
              <w:bottom w:val="nil"/>
              <w:right w:val="single" w:sz="4" w:space="0" w:color="auto"/>
            </w:tcBorders>
            <w:vAlign w:val="center"/>
          </w:tcPr>
          <w:p w14:paraId="38BF0D0C"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85.8</w:t>
            </w:r>
          </w:p>
        </w:tc>
        <w:tc>
          <w:tcPr>
            <w:tcW w:w="542" w:type="dxa"/>
            <w:tcBorders>
              <w:top w:val="single" w:sz="4" w:space="0" w:color="auto"/>
              <w:left w:val="single" w:sz="4" w:space="0" w:color="auto"/>
              <w:bottom w:val="nil"/>
              <w:right w:val="single" w:sz="4" w:space="0" w:color="auto"/>
            </w:tcBorders>
            <w:vAlign w:val="center"/>
          </w:tcPr>
          <w:p w14:paraId="146460ED"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86.6</w:t>
            </w:r>
          </w:p>
        </w:tc>
        <w:tc>
          <w:tcPr>
            <w:tcW w:w="720" w:type="dxa"/>
            <w:tcBorders>
              <w:top w:val="single" w:sz="4" w:space="0" w:color="auto"/>
              <w:left w:val="single" w:sz="4" w:space="0" w:color="auto"/>
              <w:bottom w:val="nil"/>
              <w:right w:val="single" w:sz="4" w:space="0" w:color="auto"/>
            </w:tcBorders>
            <w:vAlign w:val="center"/>
          </w:tcPr>
          <w:p w14:paraId="69E71639" w14:textId="77777777" w:rsidR="00176424" w:rsidRPr="00176424" w:rsidRDefault="00176424" w:rsidP="00176424">
            <w:pPr>
              <w:ind w:right="170"/>
              <w:jc w:val="right"/>
              <w:rPr>
                <w:rFonts w:eastAsia="Calibri"/>
                <w:sz w:val="12"/>
                <w:szCs w:val="10"/>
                <w:lang w:eastAsia="en-US"/>
              </w:rPr>
            </w:pPr>
            <w:r w:rsidRPr="00176424">
              <w:rPr>
                <w:rFonts w:eastAsia="Calibri"/>
                <w:sz w:val="12"/>
                <w:szCs w:val="10"/>
                <w:lang w:eastAsia="en-US"/>
              </w:rPr>
              <w:t>83.5</w:t>
            </w:r>
          </w:p>
        </w:tc>
        <w:tc>
          <w:tcPr>
            <w:tcW w:w="720" w:type="dxa"/>
            <w:tcBorders>
              <w:top w:val="single" w:sz="4" w:space="0" w:color="auto"/>
              <w:left w:val="single" w:sz="4" w:space="0" w:color="auto"/>
              <w:bottom w:val="nil"/>
              <w:right w:val="single" w:sz="4" w:space="0" w:color="auto"/>
            </w:tcBorders>
            <w:vAlign w:val="center"/>
          </w:tcPr>
          <w:p w14:paraId="614C7666" w14:textId="77777777" w:rsidR="00176424" w:rsidRPr="00176424" w:rsidRDefault="00176424" w:rsidP="00176424">
            <w:pPr>
              <w:ind w:right="170"/>
              <w:jc w:val="right"/>
              <w:rPr>
                <w:rFonts w:eastAsia="Calibri"/>
                <w:sz w:val="12"/>
                <w:szCs w:val="10"/>
                <w:lang w:eastAsia="en-US"/>
              </w:rPr>
            </w:pPr>
            <w:r w:rsidRPr="00176424">
              <w:rPr>
                <w:rFonts w:eastAsia="Calibri"/>
                <w:sz w:val="12"/>
                <w:szCs w:val="10"/>
                <w:lang w:eastAsia="en-US"/>
              </w:rPr>
              <w:t>88.3</w:t>
            </w:r>
          </w:p>
        </w:tc>
        <w:tc>
          <w:tcPr>
            <w:tcW w:w="899" w:type="dxa"/>
            <w:tcBorders>
              <w:top w:val="single" w:sz="4" w:space="0" w:color="auto"/>
              <w:left w:val="single" w:sz="4" w:space="0" w:color="auto"/>
              <w:bottom w:val="nil"/>
              <w:right w:val="single" w:sz="4" w:space="0" w:color="auto"/>
            </w:tcBorders>
            <w:vAlign w:val="center"/>
          </w:tcPr>
          <w:p w14:paraId="4D672442" w14:textId="77777777" w:rsidR="00176424" w:rsidRPr="00176424" w:rsidRDefault="00176424" w:rsidP="00176424">
            <w:pPr>
              <w:ind w:right="227"/>
              <w:jc w:val="right"/>
              <w:rPr>
                <w:rFonts w:eastAsia="Calibri"/>
                <w:sz w:val="12"/>
                <w:szCs w:val="10"/>
                <w:lang w:eastAsia="en-US"/>
              </w:rPr>
            </w:pPr>
            <w:r w:rsidRPr="00176424">
              <w:rPr>
                <w:rFonts w:eastAsia="Calibri"/>
                <w:sz w:val="12"/>
                <w:szCs w:val="10"/>
                <w:lang w:eastAsia="en-US"/>
              </w:rPr>
              <w:t>90.4</w:t>
            </w:r>
          </w:p>
        </w:tc>
        <w:tc>
          <w:tcPr>
            <w:tcW w:w="720" w:type="dxa"/>
            <w:tcBorders>
              <w:top w:val="single" w:sz="4" w:space="0" w:color="auto"/>
              <w:left w:val="single" w:sz="4" w:space="0" w:color="auto"/>
              <w:bottom w:val="nil"/>
              <w:right w:val="single" w:sz="4" w:space="0" w:color="auto"/>
            </w:tcBorders>
            <w:vAlign w:val="center"/>
          </w:tcPr>
          <w:p w14:paraId="08E6E5D3" w14:textId="77777777" w:rsidR="00176424" w:rsidRPr="00176424" w:rsidRDefault="00176424" w:rsidP="00176424">
            <w:pPr>
              <w:ind w:right="170"/>
              <w:jc w:val="right"/>
              <w:rPr>
                <w:rFonts w:eastAsia="Calibri"/>
                <w:sz w:val="12"/>
                <w:szCs w:val="10"/>
                <w:lang w:eastAsia="en-US"/>
              </w:rPr>
            </w:pPr>
            <w:r w:rsidRPr="00176424">
              <w:rPr>
                <w:rFonts w:eastAsia="Calibri"/>
                <w:sz w:val="12"/>
                <w:szCs w:val="10"/>
                <w:lang w:eastAsia="en-US"/>
              </w:rPr>
              <w:t>89.7</w:t>
            </w:r>
          </w:p>
        </w:tc>
        <w:tc>
          <w:tcPr>
            <w:tcW w:w="488" w:type="dxa"/>
            <w:tcBorders>
              <w:top w:val="single" w:sz="4" w:space="0" w:color="auto"/>
              <w:left w:val="single" w:sz="4" w:space="0" w:color="auto"/>
              <w:bottom w:val="nil"/>
              <w:right w:val="single" w:sz="2" w:space="0" w:color="auto"/>
            </w:tcBorders>
            <w:vAlign w:val="center"/>
          </w:tcPr>
          <w:p w14:paraId="1D0B8E12"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49.3</w:t>
            </w:r>
          </w:p>
        </w:tc>
      </w:tr>
      <w:tr w:rsidR="00176424" w:rsidRPr="00176424" w14:paraId="2E523F15" w14:textId="77777777" w:rsidTr="0023750A">
        <w:trPr>
          <w:jc w:val="center"/>
        </w:trPr>
        <w:tc>
          <w:tcPr>
            <w:tcW w:w="2797" w:type="dxa"/>
            <w:tcBorders>
              <w:top w:val="nil"/>
              <w:left w:val="single" w:sz="2" w:space="0" w:color="auto"/>
              <w:bottom w:val="nil"/>
              <w:right w:val="single" w:sz="4" w:space="0" w:color="auto"/>
            </w:tcBorders>
          </w:tcPr>
          <w:p w14:paraId="027542D3" w14:textId="77777777" w:rsidR="00176424" w:rsidRPr="00176424" w:rsidRDefault="00176424" w:rsidP="00176424">
            <w:pPr>
              <w:ind w:left="113"/>
              <w:jc w:val="both"/>
              <w:rPr>
                <w:rFonts w:eastAsia="Calibri"/>
                <w:sz w:val="12"/>
                <w:szCs w:val="10"/>
                <w:lang w:eastAsia="en-US"/>
              </w:rPr>
            </w:pPr>
            <w:r w:rsidRPr="00176424">
              <w:rPr>
                <w:rFonts w:eastAsia="Calibri"/>
                <w:sz w:val="12"/>
                <w:szCs w:val="10"/>
                <w:lang w:eastAsia="en-US"/>
              </w:rPr>
              <w:t>Fuente</w:t>
            </w:r>
            <w:r w:rsidRPr="00176424">
              <w:rPr>
                <w:rFonts w:eastAsia="Calibri"/>
                <w:sz w:val="12"/>
                <w:szCs w:val="10"/>
                <w:u w:val="single"/>
                <w:vertAlign w:val="superscript"/>
                <w:lang w:eastAsia="en-US"/>
              </w:rPr>
              <w:t>4</w:t>
            </w:r>
            <w:r w:rsidRPr="00176424">
              <w:rPr>
                <w:rFonts w:eastAsia="Calibri"/>
                <w:sz w:val="12"/>
                <w:szCs w:val="10"/>
                <w:vertAlign w:val="superscript"/>
                <w:lang w:eastAsia="en-US"/>
              </w:rPr>
              <w:t>/</w:t>
            </w:r>
          </w:p>
        </w:tc>
        <w:tc>
          <w:tcPr>
            <w:tcW w:w="541" w:type="dxa"/>
            <w:tcBorders>
              <w:top w:val="nil"/>
              <w:left w:val="single" w:sz="4" w:space="0" w:color="auto"/>
              <w:bottom w:val="nil"/>
              <w:right w:val="single" w:sz="4" w:space="0" w:color="auto"/>
            </w:tcBorders>
          </w:tcPr>
          <w:p w14:paraId="679150D9" w14:textId="77777777" w:rsidR="00176424" w:rsidRPr="00176424" w:rsidRDefault="00176424" w:rsidP="00176424">
            <w:pPr>
              <w:ind w:right="57"/>
              <w:jc w:val="right"/>
              <w:rPr>
                <w:rFonts w:eastAsia="Calibri"/>
                <w:sz w:val="12"/>
                <w:szCs w:val="10"/>
                <w:lang w:eastAsia="en-US"/>
              </w:rPr>
            </w:pPr>
          </w:p>
        </w:tc>
        <w:tc>
          <w:tcPr>
            <w:tcW w:w="490" w:type="dxa"/>
            <w:gridSpan w:val="2"/>
            <w:tcBorders>
              <w:top w:val="nil"/>
              <w:left w:val="single" w:sz="4" w:space="0" w:color="auto"/>
              <w:bottom w:val="nil"/>
              <w:right w:val="single" w:sz="4" w:space="0" w:color="auto"/>
            </w:tcBorders>
          </w:tcPr>
          <w:p w14:paraId="4CD77784" w14:textId="77777777" w:rsidR="00176424" w:rsidRPr="00176424" w:rsidRDefault="00176424" w:rsidP="00176424">
            <w:pPr>
              <w:ind w:right="57"/>
              <w:jc w:val="right"/>
              <w:rPr>
                <w:rFonts w:eastAsia="Calibri"/>
                <w:sz w:val="12"/>
                <w:szCs w:val="10"/>
                <w:lang w:eastAsia="en-US"/>
              </w:rPr>
            </w:pPr>
          </w:p>
        </w:tc>
        <w:tc>
          <w:tcPr>
            <w:tcW w:w="594" w:type="dxa"/>
            <w:tcBorders>
              <w:top w:val="nil"/>
              <w:left w:val="single" w:sz="4" w:space="0" w:color="auto"/>
              <w:bottom w:val="nil"/>
              <w:right w:val="single" w:sz="4" w:space="0" w:color="auto"/>
            </w:tcBorders>
          </w:tcPr>
          <w:p w14:paraId="0110D5E7" w14:textId="77777777" w:rsidR="00176424" w:rsidRPr="00176424" w:rsidRDefault="00176424" w:rsidP="00176424">
            <w:pPr>
              <w:ind w:right="57"/>
              <w:jc w:val="right"/>
              <w:rPr>
                <w:rFonts w:eastAsia="Calibri"/>
                <w:sz w:val="12"/>
                <w:szCs w:val="10"/>
                <w:lang w:eastAsia="en-US"/>
              </w:rPr>
            </w:pPr>
          </w:p>
        </w:tc>
        <w:tc>
          <w:tcPr>
            <w:tcW w:w="545" w:type="dxa"/>
            <w:tcBorders>
              <w:top w:val="nil"/>
              <w:left w:val="single" w:sz="4" w:space="0" w:color="auto"/>
              <w:bottom w:val="nil"/>
              <w:right w:val="single" w:sz="4" w:space="0" w:color="auto"/>
            </w:tcBorders>
          </w:tcPr>
          <w:p w14:paraId="7DEAB550" w14:textId="77777777" w:rsidR="00176424" w:rsidRPr="00176424" w:rsidRDefault="00176424" w:rsidP="00176424">
            <w:pPr>
              <w:ind w:right="57"/>
              <w:jc w:val="right"/>
              <w:rPr>
                <w:rFonts w:eastAsia="Calibri"/>
                <w:sz w:val="12"/>
                <w:szCs w:val="10"/>
                <w:lang w:eastAsia="en-US"/>
              </w:rPr>
            </w:pPr>
          </w:p>
        </w:tc>
        <w:tc>
          <w:tcPr>
            <w:tcW w:w="542" w:type="dxa"/>
            <w:tcBorders>
              <w:top w:val="nil"/>
              <w:left w:val="single" w:sz="4" w:space="0" w:color="auto"/>
              <w:bottom w:val="nil"/>
              <w:right w:val="single" w:sz="4" w:space="0" w:color="auto"/>
            </w:tcBorders>
          </w:tcPr>
          <w:p w14:paraId="303AB952" w14:textId="77777777" w:rsidR="00176424" w:rsidRPr="00176424" w:rsidRDefault="00176424" w:rsidP="00176424">
            <w:pPr>
              <w:ind w:right="57"/>
              <w:jc w:val="right"/>
              <w:rPr>
                <w:rFonts w:eastAsia="Calibri"/>
                <w:sz w:val="12"/>
                <w:szCs w:val="10"/>
                <w:lang w:eastAsia="en-US"/>
              </w:rPr>
            </w:pPr>
          </w:p>
        </w:tc>
        <w:tc>
          <w:tcPr>
            <w:tcW w:w="720" w:type="dxa"/>
            <w:tcBorders>
              <w:top w:val="nil"/>
              <w:left w:val="single" w:sz="4" w:space="0" w:color="auto"/>
              <w:bottom w:val="nil"/>
              <w:right w:val="single" w:sz="4" w:space="0" w:color="auto"/>
            </w:tcBorders>
          </w:tcPr>
          <w:p w14:paraId="57E45C86" w14:textId="77777777" w:rsidR="00176424" w:rsidRPr="00176424" w:rsidRDefault="00176424" w:rsidP="00176424">
            <w:pPr>
              <w:ind w:right="170"/>
              <w:jc w:val="right"/>
              <w:rPr>
                <w:rFonts w:eastAsia="Calibri"/>
                <w:sz w:val="12"/>
                <w:szCs w:val="10"/>
                <w:lang w:eastAsia="en-US"/>
              </w:rPr>
            </w:pPr>
          </w:p>
        </w:tc>
        <w:tc>
          <w:tcPr>
            <w:tcW w:w="720" w:type="dxa"/>
            <w:tcBorders>
              <w:top w:val="nil"/>
              <w:left w:val="single" w:sz="4" w:space="0" w:color="auto"/>
              <w:bottom w:val="nil"/>
              <w:right w:val="single" w:sz="4" w:space="0" w:color="auto"/>
            </w:tcBorders>
          </w:tcPr>
          <w:p w14:paraId="6EBE636F" w14:textId="77777777" w:rsidR="00176424" w:rsidRPr="00176424" w:rsidRDefault="00176424" w:rsidP="00176424">
            <w:pPr>
              <w:ind w:right="170"/>
              <w:jc w:val="right"/>
              <w:rPr>
                <w:rFonts w:eastAsia="Calibri"/>
                <w:sz w:val="12"/>
                <w:szCs w:val="10"/>
                <w:lang w:eastAsia="en-US"/>
              </w:rPr>
            </w:pPr>
          </w:p>
        </w:tc>
        <w:tc>
          <w:tcPr>
            <w:tcW w:w="899" w:type="dxa"/>
            <w:tcBorders>
              <w:top w:val="nil"/>
              <w:left w:val="single" w:sz="4" w:space="0" w:color="auto"/>
              <w:bottom w:val="nil"/>
              <w:right w:val="single" w:sz="4" w:space="0" w:color="auto"/>
            </w:tcBorders>
          </w:tcPr>
          <w:p w14:paraId="18F9829A" w14:textId="77777777" w:rsidR="00176424" w:rsidRPr="00176424" w:rsidRDefault="00176424" w:rsidP="00176424">
            <w:pPr>
              <w:ind w:right="227"/>
              <w:jc w:val="right"/>
              <w:rPr>
                <w:rFonts w:eastAsia="Calibri"/>
                <w:sz w:val="12"/>
                <w:szCs w:val="10"/>
                <w:lang w:eastAsia="en-US"/>
              </w:rPr>
            </w:pPr>
          </w:p>
        </w:tc>
        <w:tc>
          <w:tcPr>
            <w:tcW w:w="720" w:type="dxa"/>
            <w:tcBorders>
              <w:top w:val="nil"/>
              <w:left w:val="single" w:sz="4" w:space="0" w:color="auto"/>
              <w:bottom w:val="nil"/>
              <w:right w:val="single" w:sz="4" w:space="0" w:color="auto"/>
            </w:tcBorders>
          </w:tcPr>
          <w:p w14:paraId="3714095D" w14:textId="77777777" w:rsidR="00176424" w:rsidRPr="00176424" w:rsidRDefault="00176424" w:rsidP="00176424">
            <w:pPr>
              <w:ind w:right="170"/>
              <w:jc w:val="right"/>
              <w:rPr>
                <w:rFonts w:eastAsia="Calibri"/>
                <w:sz w:val="12"/>
                <w:szCs w:val="10"/>
                <w:lang w:eastAsia="en-US"/>
              </w:rPr>
            </w:pPr>
          </w:p>
        </w:tc>
        <w:tc>
          <w:tcPr>
            <w:tcW w:w="488" w:type="dxa"/>
            <w:tcBorders>
              <w:top w:val="nil"/>
              <w:left w:val="single" w:sz="4" w:space="0" w:color="auto"/>
              <w:bottom w:val="nil"/>
              <w:right w:val="single" w:sz="2" w:space="0" w:color="auto"/>
            </w:tcBorders>
          </w:tcPr>
          <w:p w14:paraId="16B81033" w14:textId="77777777" w:rsidR="00176424" w:rsidRPr="00176424" w:rsidRDefault="00176424" w:rsidP="00176424">
            <w:pPr>
              <w:ind w:right="57"/>
              <w:jc w:val="right"/>
              <w:rPr>
                <w:rFonts w:eastAsia="Calibri"/>
                <w:sz w:val="12"/>
                <w:szCs w:val="10"/>
                <w:lang w:eastAsia="en-US"/>
              </w:rPr>
            </w:pPr>
          </w:p>
        </w:tc>
      </w:tr>
      <w:tr w:rsidR="00176424" w:rsidRPr="00176424" w14:paraId="371E8282" w14:textId="77777777" w:rsidTr="0023750A">
        <w:trPr>
          <w:jc w:val="center"/>
        </w:trPr>
        <w:tc>
          <w:tcPr>
            <w:tcW w:w="2797" w:type="dxa"/>
            <w:tcBorders>
              <w:top w:val="nil"/>
              <w:left w:val="single" w:sz="2" w:space="0" w:color="auto"/>
              <w:bottom w:val="nil"/>
              <w:right w:val="single" w:sz="4" w:space="0" w:color="auto"/>
            </w:tcBorders>
          </w:tcPr>
          <w:p w14:paraId="244AD834" w14:textId="77777777" w:rsidR="00176424" w:rsidRPr="00176424" w:rsidRDefault="00176424" w:rsidP="00176424">
            <w:pPr>
              <w:ind w:left="170"/>
              <w:jc w:val="both"/>
              <w:rPr>
                <w:rFonts w:eastAsia="Calibri"/>
                <w:sz w:val="12"/>
                <w:szCs w:val="10"/>
                <w:lang w:eastAsia="en-US"/>
              </w:rPr>
            </w:pPr>
            <w:r w:rsidRPr="00176424">
              <w:rPr>
                <w:rFonts w:eastAsia="Calibri"/>
                <w:sz w:val="12"/>
                <w:szCs w:val="10"/>
                <w:lang w:eastAsia="en-US"/>
              </w:rPr>
              <w:t>De proveedores</w:t>
            </w:r>
          </w:p>
        </w:tc>
        <w:tc>
          <w:tcPr>
            <w:tcW w:w="541" w:type="dxa"/>
            <w:tcBorders>
              <w:top w:val="nil"/>
              <w:left w:val="single" w:sz="4" w:space="0" w:color="auto"/>
              <w:bottom w:val="nil"/>
              <w:right w:val="single" w:sz="4" w:space="0" w:color="auto"/>
            </w:tcBorders>
          </w:tcPr>
          <w:p w14:paraId="665518FB"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84.9</w:t>
            </w:r>
          </w:p>
        </w:tc>
        <w:tc>
          <w:tcPr>
            <w:tcW w:w="490" w:type="dxa"/>
            <w:gridSpan w:val="2"/>
            <w:tcBorders>
              <w:top w:val="nil"/>
              <w:left w:val="single" w:sz="4" w:space="0" w:color="auto"/>
              <w:bottom w:val="nil"/>
              <w:right w:val="single" w:sz="4" w:space="0" w:color="auto"/>
            </w:tcBorders>
          </w:tcPr>
          <w:p w14:paraId="69AC4A12"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84.5</w:t>
            </w:r>
          </w:p>
        </w:tc>
        <w:tc>
          <w:tcPr>
            <w:tcW w:w="594" w:type="dxa"/>
            <w:tcBorders>
              <w:top w:val="nil"/>
              <w:left w:val="single" w:sz="4" w:space="0" w:color="auto"/>
              <w:bottom w:val="nil"/>
              <w:right w:val="single" w:sz="4" w:space="0" w:color="auto"/>
            </w:tcBorders>
          </w:tcPr>
          <w:p w14:paraId="11A27C2B"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82.7</w:t>
            </w:r>
          </w:p>
        </w:tc>
        <w:tc>
          <w:tcPr>
            <w:tcW w:w="545" w:type="dxa"/>
            <w:tcBorders>
              <w:top w:val="nil"/>
              <w:left w:val="single" w:sz="4" w:space="0" w:color="auto"/>
              <w:bottom w:val="nil"/>
              <w:right w:val="single" w:sz="4" w:space="0" w:color="auto"/>
            </w:tcBorders>
          </w:tcPr>
          <w:p w14:paraId="2182391E"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80.8</w:t>
            </w:r>
          </w:p>
        </w:tc>
        <w:tc>
          <w:tcPr>
            <w:tcW w:w="542" w:type="dxa"/>
            <w:tcBorders>
              <w:top w:val="nil"/>
              <w:left w:val="single" w:sz="4" w:space="0" w:color="auto"/>
              <w:bottom w:val="nil"/>
              <w:right w:val="single" w:sz="4" w:space="0" w:color="auto"/>
            </w:tcBorders>
          </w:tcPr>
          <w:p w14:paraId="1BD5EFEB"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79.4</w:t>
            </w:r>
          </w:p>
        </w:tc>
        <w:tc>
          <w:tcPr>
            <w:tcW w:w="720" w:type="dxa"/>
            <w:tcBorders>
              <w:top w:val="nil"/>
              <w:left w:val="single" w:sz="4" w:space="0" w:color="auto"/>
              <w:bottom w:val="nil"/>
              <w:right w:val="single" w:sz="4" w:space="0" w:color="auto"/>
            </w:tcBorders>
          </w:tcPr>
          <w:p w14:paraId="7961D0CD" w14:textId="77777777" w:rsidR="00176424" w:rsidRPr="00176424" w:rsidRDefault="00176424" w:rsidP="00176424">
            <w:pPr>
              <w:ind w:right="170"/>
              <w:jc w:val="right"/>
              <w:rPr>
                <w:rFonts w:eastAsia="Calibri"/>
                <w:sz w:val="12"/>
                <w:szCs w:val="10"/>
                <w:lang w:eastAsia="en-US"/>
              </w:rPr>
            </w:pPr>
            <w:r w:rsidRPr="00176424">
              <w:rPr>
                <w:rFonts w:eastAsia="Calibri"/>
                <w:sz w:val="12"/>
                <w:szCs w:val="10"/>
                <w:lang w:eastAsia="en-US"/>
              </w:rPr>
              <w:t>78.4</w:t>
            </w:r>
          </w:p>
        </w:tc>
        <w:tc>
          <w:tcPr>
            <w:tcW w:w="720" w:type="dxa"/>
            <w:tcBorders>
              <w:top w:val="nil"/>
              <w:left w:val="single" w:sz="4" w:space="0" w:color="auto"/>
              <w:bottom w:val="nil"/>
              <w:right w:val="single" w:sz="4" w:space="0" w:color="auto"/>
            </w:tcBorders>
          </w:tcPr>
          <w:p w14:paraId="38943EC9" w14:textId="77777777" w:rsidR="00176424" w:rsidRPr="00176424" w:rsidRDefault="00176424" w:rsidP="00176424">
            <w:pPr>
              <w:ind w:right="170"/>
              <w:jc w:val="right"/>
              <w:rPr>
                <w:rFonts w:eastAsia="Calibri"/>
                <w:sz w:val="12"/>
                <w:szCs w:val="10"/>
                <w:lang w:eastAsia="en-US"/>
              </w:rPr>
            </w:pPr>
            <w:r w:rsidRPr="00176424">
              <w:rPr>
                <w:rFonts w:eastAsia="Calibri"/>
                <w:sz w:val="12"/>
                <w:szCs w:val="10"/>
                <w:lang w:eastAsia="en-US"/>
              </w:rPr>
              <w:t>80.1</w:t>
            </w:r>
          </w:p>
        </w:tc>
        <w:tc>
          <w:tcPr>
            <w:tcW w:w="899" w:type="dxa"/>
            <w:tcBorders>
              <w:top w:val="nil"/>
              <w:left w:val="single" w:sz="4" w:space="0" w:color="auto"/>
              <w:bottom w:val="nil"/>
              <w:right w:val="single" w:sz="4" w:space="0" w:color="auto"/>
            </w:tcBorders>
          </w:tcPr>
          <w:p w14:paraId="2A3977AB" w14:textId="77777777" w:rsidR="00176424" w:rsidRPr="00176424" w:rsidRDefault="00176424" w:rsidP="00176424">
            <w:pPr>
              <w:ind w:right="227"/>
              <w:jc w:val="right"/>
              <w:rPr>
                <w:rFonts w:eastAsia="Calibri"/>
                <w:sz w:val="12"/>
                <w:szCs w:val="10"/>
                <w:lang w:eastAsia="en-US"/>
              </w:rPr>
            </w:pPr>
            <w:r w:rsidRPr="00176424">
              <w:rPr>
                <w:rFonts w:eastAsia="Calibri"/>
                <w:sz w:val="12"/>
                <w:szCs w:val="10"/>
                <w:lang w:eastAsia="en-US"/>
              </w:rPr>
              <w:t>84.2</w:t>
            </w:r>
          </w:p>
        </w:tc>
        <w:tc>
          <w:tcPr>
            <w:tcW w:w="720" w:type="dxa"/>
            <w:tcBorders>
              <w:top w:val="nil"/>
              <w:left w:val="single" w:sz="4" w:space="0" w:color="auto"/>
              <w:bottom w:val="nil"/>
              <w:right w:val="single" w:sz="4" w:space="0" w:color="auto"/>
            </w:tcBorders>
          </w:tcPr>
          <w:p w14:paraId="79B09C01" w14:textId="77777777" w:rsidR="00176424" w:rsidRPr="00176424" w:rsidRDefault="00176424" w:rsidP="00176424">
            <w:pPr>
              <w:ind w:right="170"/>
              <w:jc w:val="right"/>
              <w:rPr>
                <w:rFonts w:eastAsia="Calibri"/>
                <w:sz w:val="12"/>
                <w:szCs w:val="10"/>
                <w:lang w:eastAsia="en-US"/>
              </w:rPr>
            </w:pPr>
            <w:r w:rsidRPr="00176424">
              <w:rPr>
                <w:rFonts w:eastAsia="Calibri"/>
                <w:sz w:val="12"/>
                <w:szCs w:val="10"/>
                <w:lang w:eastAsia="en-US"/>
              </w:rPr>
              <w:t>83.8</w:t>
            </w:r>
          </w:p>
        </w:tc>
        <w:tc>
          <w:tcPr>
            <w:tcW w:w="488" w:type="dxa"/>
            <w:tcBorders>
              <w:top w:val="nil"/>
              <w:left w:val="single" w:sz="4" w:space="0" w:color="auto"/>
              <w:bottom w:val="nil"/>
              <w:right w:val="single" w:sz="2" w:space="0" w:color="auto"/>
            </w:tcBorders>
          </w:tcPr>
          <w:p w14:paraId="075DDE1C"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30.7</w:t>
            </w:r>
          </w:p>
        </w:tc>
      </w:tr>
      <w:tr w:rsidR="00176424" w:rsidRPr="00176424" w14:paraId="58B09869" w14:textId="77777777" w:rsidTr="0023750A">
        <w:trPr>
          <w:jc w:val="center"/>
        </w:trPr>
        <w:tc>
          <w:tcPr>
            <w:tcW w:w="2797" w:type="dxa"/>
            <w:tcBorders>
              <w:top w:val="nil"/>
              <w:left w:val="single" w:sz="2" w:space="0" w:color="auto"/>
              <w:bottom w:val="nil"/>
              <w:right w:val="single" w:sz="4" w:space="0" w:color="auto"/>
            </w:tcBorders>
          </w:tcPr>
          <w:p w14:paraId="288180C2" w14:textId="77777777" w:rsidR="00176424" w:rsidRPr="00176424" w:rsidRDefault="00176424" w:rsidP="00176424">
            <w:pPr>
              <w:ind w:left="170"/>
              <w:jc w:val="both"/>
              <w:rPr>
                <w:rFonts w:eastAsia="Calibri"/>
                <w:sz w:val="12"/>
                <w:szCs w:val="10"/>
                <w:lang w:eastAsia="en-US"/>
              </w:rPr>
            </w:pPr>
            <w:r w:rsidRPr="00176424">
              <w:rPr>
                <w:rFonts w:eastAsia="Calibri"/>
                <w:sz w:val="12"/>
                <w:szCs w:val="10"/>
                <w:lang w:eastAsia="en-US"/>
              </w:rPr>
              <w:t>De la banca comercial</w:t>
            </w:r>
          </w:p>
        </w:tc>
        <w:tc>
          <w:tcPr>
            <w:tcW w:w="541" w:type="dxa"/>
            <w:tcBorders>
              <w:top w:val="nil"/>
              <w:left w:val="single" w:sz="4" w:space="0" w:color="auto"/>
              <w:bottom w:val="nil"/>
              <w:right w:val="single" w:sz="4" w:space="0" w:color="auto"/>
            </w:tcBorders>
          </w:tcPr>
          <w:p w14:paraId="0B35498D"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36.1</w:t>
            </w:r>
          </w:p>
        </w:tc>
        <w:tc>
          <w:tcPr>
            <w:tcW w:w="490" w:type="dxa"/>
            <w:gridSpan w:val="2"/>
            <w:tcBorders>
              <w:top w:val="nil"/>
              <w:left w:val="single" w:sz="4" w:space="0" w:color="auto"/>
              <w:bottom w:val="nil"/>
              <w:right w:val="single" w:sz="4" w:space="0" w:color="auto"/>
            </w:tcBorders>
          </w:tcPr>
          <w:p w14:paraId="16536D1C"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34.8</w:t>
            </w:r>
          </w:p>
        </w:tc>
        <w:tc>
          <w:tcPr>
            <w:tcW w:w="594" w:type="dxa"/>
            <w:tcBorders>
              <w:top w:val="nil"/>
              <w:left w:val="single" w:sz="4" w:space="0" w:color="auto"/>
              <w:bottom w:val="nil"/>
              <w:right w:val="single" w:sz="4" w:space="0" w:color="auto"/>
            </w:tcBorders>
          </w:tcPr>
          <w:p w14:paraId="198D7835"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39.7</w:t>
            </w:r>
          </w:p>
        </w:tc>
        <w:tc>
          <w:tcPr>
            <w:tcW w:w="545" w:type="dxa"/>
            <w:tcBorders>
              <w:top w:val="nil"/>
              <w:left w:val="single" w:sz="4" w:space="0" w:color="auto"/>
              <w:bottom w:val="nil"/>
              <w:right w:val="single" w:sz="4" w:space="0" w:color="auto"/>
            </w:tcBorders>
          </w:tcPr>
          <w:p w14:paraId="63494319"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33.9</w:t>
            </w:r>
          </w:p>
        </w:tc>
        <w:tc>
          <w:tcPr>
            <w:tcW w:w="542" w:type="dxa"/>
            <w:tcBorders>
              <w:top w:val="nil"/>
              <w:left w:val="single" w:sz="4" w:space="0" w:color="auto"/>
              <w:bottom w:val="nil"/>
              <w:right w:val="single" w:sz="4" w:space="0" w:color="auto"/>
            </w:tcBorders>
          </w:tcPr>
          <w:p w14:paraId="0C9FF89E"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34.4</w:t>
            </w:r>
          </w:p>
        </w:tc>
        <w:tc>
          <w:tcPr>
            <w:tcW w:w="720" w:type="dxa"/>
            <w:tcBorders>
              <w:top w:val="nil"/>
              <w:left w:val="single" w:sz="4" w:space="0" w:color="auto"/>
              <w:bottom w:val="nil"/>
              <w:right w:val="single" w:sz="4" w:space="0" w:color="auto"/>
            </w:tcBorders>
          </w:tcPr>
          <w:p w14:paraId="70117367" w14:textId="77777777" w:rsidR="00176424" w:rsidRPr="00176424" w:rsidRDefault="00176424" w:rsidP="00176424">
            <w:pPr>
              <w:ind w:right="170"/>
              <w:jc w:val="right"/>
              <w:rPr>
                <w:rFonts w:eastAsia="Calibri"/>
                <w:sz w:val="12"/>
                <w:szCs w:val="10"/>
                <w:lang w:eastAsia="en-US"/>
              </w:rPr>
            </w:pPr>
            <w:r w:rsidRPr="00176424">
              <w:rPr>
                <w:rFonts w:eastAsia="Calibri"/>
                <w:sz w:val="12"/>
                <w:szCs w:val="10"/>
                <w:lang w:eastAsia="en-US"/>
              </w:rPr>
              <w:t>28.4</w:t>
            </w:r>
          </w:p>
        </w:tc>
        <w:tc>
          <w:tcPr>
            <w:tcW w:w="720" w:type="dxa"/>
            <w:tcBorders>
              <w:top w:val="nil"/>
              <w:left w:val="single" w:sz="4" w:space="0" w:color="auto"/>
              <w:bottom w:val="nil"/>
              <w:right w:val="single" w:sz="4" w:space="0" w:color="auto"/>
            </w:tcBorders>
          </w:tcPr>
          <w:p w14:paraId="6885247C" w14:textId="77777777" w:rsidR="00176424" w:rsidRPr="00176424" w:rsidRDefault="00176424" w:rsidP="00176424">
            <w:pPr>
              <w:ind w:right="170"/>
              <w:jc w:val="right"/>
              <w:rPr>
                <w:rFonts w:eastAsia="Calibri"/>
                <w:sz w:val="12"/>
                <w:szCs w:val="10"/>
                <w:lang w:eastAsia="en-US"/>
              </w:rPr>
            </w:pPr>
            <w:r w:rsidRPr="00176424">
              <w:rPr>
                <w:rFonts w:eastAsia="Calibri"/>
                <w:sz w:val="12"/>
                <w:szCs w:val="10"/>
                <w:lang w:eastAsia="en-US"/>
              </w:rPr>
              <w:t>38.0</w:t>
            </w:r>
          </w:p>
        </w:tc>
        <w:tc>
          <w:tcPr>
            <w:tcW w:w="899" w:type="dxa"/>
            <w:tcBorders>
              <w:top w:val="nil"/>
              <w:left w:val="single" w:sz="4" w:space="0" w:color="auto"/>
              <w:bottom w:val="nil"/>
              <w:right w:val="single" w:sz="4" w:space="0" w:color="auto"/>
            </w:tcBorders>
          </w:tcPr>
          <w:p w14:paraId="56D5A2CE" w14:textId="77777777" w:rsidR="00176424" w:rsidRPr="00176424" w:rsidRDefault="00176424" w:rsidP="00176424">
            <w:pPr>
              <w:ind w:right="227"/>
              <w:jc w:val="right"/>
              <w:rPr>
                <w:rFonts w:eastAsia="Calibri"/>
                <w:sz w:val="12"/>
                <w:szCs w:val="10"/>
                <w:lang w:eastAsia="en-US"/>
              </w:rPr>
            </w:pPr>
            <w:r w:rsidRPr="00176424">
              <w:rPr>
                <w:rFonts w:eastAsia="Calibri"/>
                <w:sz w:val="12"/>
                <w:szCs w:val="10"/>
                <w:lang w:eastAsia="en-US"/>
              </w:rPr>
              <w:t>34.3</w:t>
            </w:r>
          </w:p>
        </w:tc>
        <w:tc>
          <w:tcPr>
            <w:tcW w:w="720" w:type="dxa"/>
            <w:tcBorders>
              <w:top w:val="nil"/>
              <w:left w:val="single" w:sz="4" w:space="0" w:color="auto"/>
              <w:bottom w:val="nil"/>
              <w:right w:val="single" w:sz="4" w:space="0" w:color="auto"/>
            </w:tcBorders>
          </w:tcPr>
          <w:p w14:paraId="5CD3990B" w14:textId="77777777" w:rsidR="00176424" w:rsidRPr="00176424" w:rsidRDefault="00176424" w:rsidP="00176424">
            <w:pPr>
              <w:ind w:right="170"/>
              <w:jc w:val="right"/>
              <w:rPr>
                <w:rFonts w:eastAsia="Calibri"/>
                <w:sz w:val="12"/>
                <w:szCs w:val="10"/>
                <w:lang w:eastAsia="en-US"/>
              </w:rPr>
            </w:pPr>
            <w:r w:rsidRPr="00176424">
              <w:rPr>
                <w:rFonts w:eastAsia="Calibri"/>
                <w:sz w:val="12"/>
                <w:szCs w:val="10"/>
                <w:lang w:eastAsia="en-US"/>
              </w:rPr>
              <w:t>35.4</w:t>
            </w:r>
          </w:p>
        </w:tc>
        <w:tc>
          <w:tcPr>
            <w:tcW w:w="488" w:type="dxa"/>
            <w:tcBorders>
              <w:top w:val="nil"/>
              <w:left w:val="single" w:sz="4" w:space="0" w:color="auto"/>
              <w:bottom w:val="nil"/>
              <w:right w:val="single" w:sz="2" w:space="0" w:color="auto"/>
            </w:tcBorders>
          </w:tcPr>
          <w:p w14:paraId="3CA31D87"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27.9</w:t>
            </w:r>
          </w:p>
        </w:tc>
      </w:tr>
      <w:tr w:rsidR="00176424" w:rsidRPr="00176424" w14:paraId="7968D06F" w14:textId="77777777" w:rsidTr="0023750A">
        <w:trPr>
          <w:jc w:val="center"/>
        </w:trPr>
        <w:tc>
          <w:tcPr>
            <w:tcW w:w="2797" w:type="dxa"/>
            <w:tcBorders>
              <w:top w:val="nil"/>
              <w:left w:val="single" w:sz="2" w:space="0" w:color="auto"/>
              <w:bottom w:val="nil"/>
              <w:right w:val="single" w:sz="4" w:space="0" w:color="auto"/>
            </w:tcBorders>
          </w:tcPr>
          <w:p w14:paraId="09D3E238" w14:textId="77777777" w:rsidR="00176424" w:rsidRPr="00176424" w:rsidRDefault="00176424" w:rsidP="00176424">
            <w:pPr>
              <w:ind w:left="170"/>
              <w:jc w:val="both"/>
              <w:rPr>
                <w:rFonts w:eastAsia="Calibri"/>
                <w:sz w:val="12"/>
                <w:szCs w:val="10"/>
                <w:lang w:eastAsia="en-US"/>
              </w:rPr>
            </w:pPr>
            <w:r w:rsidRPr="00176424">
              <w:rPr>
                <w:rFonts w:eastAsia="Calibri"/>
                <w:sz w:val="12"/>
                <w:szCs w:val="10"/>
                <w:lang w:eastAsia="en-US"/>
              </w:rPr>
              <w:t>De la banca en el extranjero</w:t>
            </w:r>
          </w:p>
        </w:tc>
        <w:tc>
          <w:tcPr>
            <w:tcW w:w="541" w:type="dxa"/>
            <w:tcBorders>
              <w:top w:val="nil"/>
              <w:left w:val="single" w:sz="4" w:space="0" w:color="auto"/>
              <w:bottom w:val="nil"/>
              <w:right w:val="single" w:sz="4" w:space="0" w:color="auto"/>
            </w:tcBorders>
          </w:tcPr>
          <w:p w14:paraId="209A2B4E"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5.5</w:t>
            </w:r>
          </w:p>
        </w:tc>
        <w:tc>
          <w:tcPr>
            <w:tcW w:w="490" w:type="dxa"/>
            <w:gridSpan w:val="2"/>
            <w:tcBorders>
              <w:top w:val="nil"/>
              <w:left w:val="single" w:sz="4" w:space="0" w:color="auto"/>
              <w:bottom w:val="nil"/>
              <w:right w:val="single" w:sz="4" w:space="0" w:color="auto"/>
            </w:tcBorders>
          </w:tcPr>
          <w:p w14:paraId="557C0236"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4.3</w:t>
            </w:r>
          </w:p>
        </w:tc>
        <w:tc>
          <w:tcPr>
            <w:tcW w:w="594" w:type="dxa"/>
            <w:tcBorders>
              <w:top w:val="nil"/>
              <w:left w:val="single" w:sz="4" w:space="0" w:color="auto"/>
              <w:bottom w:val="nil"/>
              <w:right w:val="single" w:sz="4" w:space="0" w:color="auto"/>
            </w:tcBorders>
          </w:tcPr>
          <w:p w14:paraId="116DB846"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5.4</w:t>
            </w:r>
          </w:p>
        </w:tc>
        <w:tc>
          <w:tcPr>
            <w:tcW w:w="545" w:type="dxa"/>
            <w:tcBorders>
              <w:top w:val="nil"/>
              <w:left w:val="single" w:sz="4" w:space="0" w:color="auto"/>
              <w:bottom w:val="nil"/>
              <w:right w:val="single" w:sz="4" w:space="0" w:color="auto"/>
            </w:tcBorders>
          </w:tcPr>
          <w:p w14:paraId="39430310"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7.5</w:t>
            </w:r>
          </w:p>
        </w:tc>
        <w:tc>
          <w:tcPr>
            <w:tcW w:w="542" w:type="dxa"/>
            <w:tcBorders>
              <w:top w:val="nil"/>
              <w:left w:val="single" w:sz="4" w:space="0" w:color="auto"/>
              <w:bottom w:val="nil"/>
              <w:right w:val="single" w:sz="4" w:space="0" w:color="auto"/>
            </w:tcBorders>
          </w:tcPr>
          <w:p w14:paraId="5AD9480A"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8.0</w:t>
            </w:r>
          </w:p>
        </w:tc>
        <w:tc>
          <w:tcPr>
            <w:tcW w:w="720" w:type="dxa"/>
            <w:tcBorders>
              <w:top w:val="nil"/>
              <w:left w:val="single" w:sz="4" w:space="0" w:color="auto"/>
              <w:bottom w:val="nil"/>
              <w:right w:val="single" w:sz="4" w:space="0" w:color="auto"/>
            </w:tcBorders>
          </w:tcPr>
          <w:p w14:paraId="5CAD8F8F" w14:textId="77777777" w:rsidR="00176424" w:rsidRPr="00176424" w:rsidRDefault="00176424" w:rsidP="00176424">
            <w:pPr>
              <w:ind w:right="170"/>
              <w:jc w:val="right"/>
              <w:rPr>
                <w:rFonts w:eastAsia="Calibri"/>
                <w:sz w:val="12"/>
                <w:szCs w:val="10"/>
                <w:lang w:eastAsia="en-US"/>
              </w:rPr>
            </w:pPr>
            <w:r w:rsidRPr="00176424">
              <w:rPr>
                <w:rFonts w:eastAsia="Calibri"/>
                <w:sz w:val="12"/>
                <w:szCs w:val="10"/>
                <w:lang w:eastAsia="en-US"/>
              </w:rPr>
              <w:t>6.1</w:t>
            </w:r>
          </w:p>
        </w:tc>
        <w:tc>
          <w:tcPr>
            <w:tcW w:w="720" w:type="dxa"/>
            <w:tcBorders>
              <w:top w:val="nil"/>
              <w:left w:val="single" w:sz="4" w:space="0" w:color="auto"/>
              <w:bottom w:val="nil"/>
              <w:right w:val="single" w:sz="4" w:space="0" w:color="auto"/>
            </w:tcBorders>
          </w:tcPr>
          <w:p w14:paraId="09693852" w14:textId="77777777" w:rsidR="00176424" w:rsidRPr="00176424" w:rsidRDefault="00176424" w:rsidP="00176424">
            <w:pPr>
              <w:ind w:right="170"/>
              <w:jc w:val="right"/>
              <w:rPr>
                <w:rFonts w:eastAsia="Calibri"/>
                <w:sz w:val="12"/>
                <w:szCs w:val="10"/>
                <w:lang w:eastAsia="en-US"/>
              </w:rPr>
            </w:pPr>
            <w:r w:rsidRPr="00176424">
              <w:rPr>
                <w:rFonts w:eastAsia="Calibri"/>
                <w:sz w:val="12"/>
                <w:szCs w:val="10"/>
                <w:lang w:eastAsia="en-US"/>
              </w:rPr>
              <w:t>9.2</w:t>
            </w:r>
          </w:p>
        </w:tc>
        <w:tc>
          <w:tcPr>
            <w:tcW w:w="899" w:type="dxa"/>
            <w:tcBorders>
              <w:top w:val="nil"/>
              <w:left w:val="single" w:sz="4" w:space="0" w:color="auto"/>
              <w:bottom w:val="nil"/>
              <w:right w:val="single" w:sz="4" w:space="0" w:color="auto"/>
            </w:tcBorders>
          </w:tcPr>
          <w:p w14:paraId="24A24D53" w14:textId="77777777" w:rsidR="00176424" w:rsidRPr="00176424" w:rsidRDefault="00176424" w:rsidP="00176424">
            <w:pPr>
              <w:ind w:right="227"/>
              <w:jc w:val="right"/>
              <w:rPr>
                <w:rFonts w:eastAsia="Calibri"/>
                <w:sz w:val="12"/>
                <w:szCs w:val="10"/>
                <w:lang w:eastAsia="en-US"/>
              </w:rPr>
            </w:pPr>
            <w:r w:rsidRPr="00176424">
              <w:rPr>
                <w:rFonts w:eastAsia="Calibri"/>
                <w:sz w:val="12"/>
                <w:szCs w:val="10"/>
                <w:lang w:eastAsia="en-US"/>
              </w:rPr>
              <w:t>4.9</w:t>
            </w:r>
          </w:p>
        </w:tc>
        <w:tc>
          <w:tcPr>
            <w:tcW w:w="720" w:type="dxa"/>
            <w:tcBorders>
              <w:top w:val="nil"/>
              <w:left w:val="single" w:sz="4" w:space="0" w:color="auto"/>
              <w:bottom w:val="nil"/>
              <w:right w:val="single" w:sz="4" w:space="0" w:color="auto"/>
            </w:tcBorders>
          </w:tcPr>
          <w:p w14:paraId="017D3116" w14:textId="77777777" w:rsidR="00176424" w:rsidRPr="00176424" w:rsidRDefault="00176424" w:rsidP="00176424">
            <w:pPr>
              <w:ind w:right="170"/>
              <w:jc w:val="right"/>
              <w:rPr>
                <w:rFonts w:eastAsia="Calibri"/>
                <w:sz w:val="12"/>
                <w:szCs w:val="10"/>
                <w:lang w:eastAsia="en-US"/>
              </w:rPr>
            </w:pPr>
            <w:r w:rsidRPr="00176424">
              <w:rPr>
                <w:rFonts w:eastAsia="Calibri"/>
                <w:sz w:val="12"/>
                <w:szCs w:val="10"/>
                <w:lang w:eastAsia="en-US"/>
              </w:rPr>
              <w:t>10.6</w:t>
            </w:r>
          </w:p>
        </w:tc>
        <w:tc>
          <w:tcPr>
            <w:tcW w:w="488" w:type="dxa"/>
            <w:tcBorders>
              <w:top w:val="nil"/>
              <w:left w:val="single" w:sz="4" w:space="0" w:color="auto"/>
              <w:bottom w:val="nil"/>
              <w:right w:val="single" w:sz="2" w:space="0" w:color="auto"/>
            </w:tcBorders>
          </w:tcPr>
          <w:p w14:paraId="3AD0DADB"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1.7</w:t>
            </w:r>
          </w:p>
        </w:tc>
      </w:tr>
      <w:tr w:rsidR="00176424" w:rsidRPr="00176424" w14:paraId="271833FD" w14:textId="77777777" w:rsidTr="0023750A">
        <w:trPr>
          <w:jc w:val="center"/>
        </w:trPr>
        <w:tc>
          <w:tcPr>
            <w:tcW w:w="2797" w:type="dxa"/>
            <w:tcBorders>
              <w:top w:val="nil"/>
              <w:left w:val="single" w:sz="2" w:space="0" w:color="auto"/>
              <w:bottom w:val="nil"/>
              <w:right w:val="single" w:sz="4" w:space="0" w:color="auto"/>
            </w:tcBorders>
          </w:tcPr>
          <w:p w14:paraId="45112590" w14:textId="77777777" w:rsidR="00176424" w:rsidRPr="00176424" w:rsidRDefault="00176424" w:rsidP="00176424">
            <w:pPr>
              <w:ind w:left="170"/>
              <w:jc w:val="both"/>
              <w:rPr>
                <w:rFonts w:eastAsia="Calibri"/>
                <w:sz w:val="12"/>
                <w:szCs w:val="10"/>
                <w:lang w:eastAsia="en-US"/>
              </w:rPr>
            </w:pPr>
            <w:r w:rsidRPr="00176424">
              <w:rPr>
                <w:rFonts w:eastAsia="Calibri"/>
                <w:sz w:val="12"/>
                <w:szCs w:val="10"/>
                <w:lang w:eastAsia="en-US"/>
              </w:rPr>
              <w:t>De empresas del grupo corporativo/oficina matriz</w:t>
            </w:r>
          </w:p>
        </w:tc>
        <w:tc>
          <w:tcPr>
            <w:tcW w:w="541" w:type="dxa"/>
            <w:tcBorders>
              <w:top w:val="nil"/>
              <w:left w:val="single" w:sz="4" w:space="0" w:color="auto"/>
              <w:bottom w:val="nil"/>
              <w:right w:val="single" w:sz="4" w:space="0" w:color="auto"/>
            </w:tcBorders>
          </w:tcPr>
          <w:p w14:paraId="3DDAED3D"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28.4</w:t>
            </w:r>
          </w:p>
        </w:tc>
        <w:tc>
          <w:tcPr>
            <w:tcW w:w="490" w:type="dxa"/>
            <w:gridSpan w:val="2"/>
            <w:tcBorders>
              <w:top w:val="nil"/>
              <w:left w:val="single" w:sz="4" w:space="0" w:color="auto"/>
              <w:bottom w:val="nil"/>
              <w:right w:val="single" w:sz="4" w:space="0" w:color="auto"/>
            </w:tcBorders>
          </w:tcPr>
          <w:p w14:paraId="12CC1488"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24.6</w:t>
            </w:r>
          </w:p>
        </w:tc>
        <w:tc>
          <w:tcPr>
            <w:tcW w:w="594" w:type="dxa"/>
            <w:tcBorders>
              <w:top w:val="nil"/>
              <w:left w:val="single" w:sz="4" w:space="0" w:color="auto"/>
              <w:bottom w:val="nil"/>
              <w:right w:val="single" w:sz="4" w:space="0" w:color="auto"/>
            </w:tcBorders>
          </w:tcPr>
          <w:p w14:paraId="3A3C50F1"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24.4</w:t>
            </w:r>
          </w:p>
        </w:tc>
        <w:tc>
          <w:tcPr>
            <w:tcW w:w="545" w:type="dxa"/>
            <w:tcBorders>
              <w:top w:val="nil"/>
              <w:left w:val="single" w:sz="4" w:space="0" w:color="auto"/>
              <w:bottom w:val="nil"/>
              <w:right w:val="single" w:sz="4" w:space="0" w:color="auto"/>
            </w:tcBorders>
          </w:tcPr>
          <w:p w14:paraId="36F9F57C"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22.7</w:t>
            </w:r>
          </w:p>
        </w:tc>
        <w:tc>
          <w:tcPr>
            <w:tcW w:w="542" w:type="dxa"/>
            <w:tcBorders>
              <w:top w:val="nil"/>
              <w:left w:val="single" w:sz="4" w:space="0" w:color="auto"/>
              <w:bottom w:val="nil"/>
              <w:right w:val="single" w:sz="4" w:space="0" w:color="auto"/>
            </w:tcBorders>
          </w:tcPr>
          <w:p w14:paraId="2E4B57E9"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24.2</w:t>
            </w:r>
          </w:p>
        </w:tc>
        <w:tc>
          <w:tcPr>
            <w:tcW w:w="720" w:type="dxa"/>
            <w:tcBorders>
              <w:top w:val="nil"/>
              <w:left w:val="single" w:sz="4" w:space="0" w:color="auto"/>
              <w:bottom w:val="nil"/>
              <w:right w:val="single" w:sz="4" w:space="0" w:color="auto"/>
            </w:tcBorders>
          </w:tcPr>
          <w:p w14:paraId="1B785286" w14:textId="77777777" w:rsidR="00176424" w:rsidRPr="00176424" w:rsidRDefault="00176424" w:rsidP="00176424">
            <w:pPr>
              <w:ind w:right="170"/>
              <w:jc w:val="right"/>
              <w:rPr>
                <w:rFonts w:eastAsia="Calibri"/>
                <w:sz w:val="12"/>
                <w:szCs w:val="10"/>
                <w:lang w:eastAsia="en-US"/>
              </w:rPr>
            </w:pPr>
            <w:r w:rsidRPr="00176424">
              <w:rPr>
                <w:rFonts w:eastAsia="Calibri"/>
                <w:sz w:val="12"/>
                <w:szCs w:val="10"/>
                <w:lang w:eastAsia="en-US"/>
              </w:rPr>
              <w:t>20.2</w:t>
            </w:r>
          </w:p>
        </w:tc>
        <w:tc>
          <w:tcPr>
            <w:tcW w:w="720" w:type="dxa"/>
            <w:tcBorders>
              <w:top w:val="nil"/>
              <w:left w:val="single" w:sz="4" w:space="0" w:color="auto"/>
              <w:bottom w:val="nil"/>
              <w:right w:val="single" w:sz="4" w:space="0" w:color="auto"/>
            </w:tcBorders>
          </w:tcPr>
          <w:p w14:paraId="7202A017" w14:textId="77777777" w:rsidR="00176424" w:rsidRPr="00176424" w:rsidRDefault="00176424" w:rsidP="00176424">
            <w:pPr>
              <w:ind w:right="170"/>
              <w:jc w:val="right"/>
              <w:rPr>
                <w:rFonts w:eastAsia="Calibri"/>
                <w:sz w:val="12"/>
                <w:szCs w:val="10"/>
                <w:lang w:eastAsia="en-US"/>
              </w:rPr>
            </w:pPr>
            <w:r w:rsidRPr="00176424">
              <w:rPr>
                <w:rFonts w:eastAsia="Calibri"/>
                <w:sz w:val="12"/>
                <w:szCs w:val="10"/>
                <w:lang w:eastAsia="en-US"/>
              </w:rPr>
              <w:t>26.6</w:t>
            </w:r>
          </w:p>
        </w:tc>
        <w:tc>
          <w:tcPr>
            <w:tcW w:w="899" w:type="dxa"/>
            <w:tcBorders>
              <w:top w:val="nil"/>
              <w:left w:val="single" w:sz="4" w:space="0" w:color="auto"/>
              <w:bottom w:val="nil"/>
              <w:right w:val="single" w:sz="4" w:space="0" w:color="auto"/>
            </w:tcBorders>
          </w:tcPr>
          <w:p w14:paraId="69C48225" w14:textId="77777777" w:rsidR="00176424" w:rsidRPr="00176424" w:rsidRDefault="00176424" w:rsidP="00176424">
            <w:pPr>
              <w:ind w:right="227"/>
              <w:jc w:val="right"/>
              <w:rPr>
                <w:rFonts w:eastAsia="Calibri"/>
                <w:sz w:val="12"/>
                <w:szCs w:val="10"/>
                <w:lang w:eastAsia="en-US"/>
              </w:rPr>
            </w:pPr>
            <w:r w:rsidRPr="00176424">
              <w:rPr>
                <w:rFonts w:eastAsia="Calibri"/>
                <w:sz w:val="12"/>
                <w:szCs w:val="10"/>
                <w:lang w:eastAsia="en-US"/>
              </w:rPr>
              <w:t>23.3</w:t>
            </w:r>
          </w:p>
        </w:tc>
        <w:tc>
          <w:tcPr>
            <w:tcW w:w="720" w:type="dxa"/>
            <w:tcBorders>
              <w:top w:val="nil"/>
              <w:left w:val="single" w:sz="4" w:space="0" w:color="auto"/>
              <w:bottom w:val="nil"/>
              <w:right w:val="single" w:sz="4" w:space="0" w:color="auto"/>
            </w:tcBorders>
          </w:tcPr>
          <w:p w14:paraId="32C1C5F2" w14:textId="77777777" w:rsidR="00176424" w:rsidRPr="00176424" w:rsidRDefault="00176424" w:rsidP="00176424">
            <w:pPr>
              <w:ind w:right="170"/>
              <w:jc w:val="right"/>
              <w:rPr>
                <w:rFonts w:eastAsia="Calibri"/>
                <w:sz w:val="12"/>
                <w:szCs w:val="10"/>
                <w:lang w:eastAsia="en-US"/>
              </w:rPr>
            </w:pPr>
            <w:r w:rsidRPr="00176424">
              <w:rPr>
                <w:rFonts w:eastAsia="Calibri"/>
                <w:sz w:val="12"/>
                <w:szCs w:val="10"/>
                <w:lang w:eastAsia="en-US"/>
              </w:rPr>
              <w:t>26.9</w:t>
            </w:r>
          </w:p>
        </w:tc>
        <w:tc>
          <w:tcPr>
            <w:tcW w:w="488" w:type="dxa"/>
            <w:tcBorders>
              <w:top w:val="nil"/>
              <w:left w:val="single" w:sz="4" w:space="0" w:color="auto"/>
              <w:bottom w:val="nil"/>
              <w:right w:val="single" w:sz="2" w:space="0" w:color="auto"/>
            </w:tcBorders>
          </w:tcPr>
          <w:p w14:paraId="4ED39C18"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8.4</w:t>
            </w:r>
          </w:p>
        </w:tc>
      </w:tr>
      <w:tr w:rsidR="00176424" w:rsidRPr="00176424" w14:paraId="0DFAEE03" w14:textId="77777777" w:rsidTr="0023750A">
        <w:trPr>
          <w:jc w:val="center"/>
        </w:trPr>
        <w:tc>
          <w:tcPr>
            <w:tcW w:w="2797" w:type="dxa"/>
            <w:tcBorders>
              <w:top w:val="nil"/>
              <w:left w:val="single" w:sz="2" w:space="0" w:color="auto"/>
              <w:bottom w:val="nil"/>
              <w:right w:val="single" w:sz="4" w:space="0" w:color="auto"/>
            </w:tcBorders>
          </w:tcPr>
          <w:p w14:paraId="668F40A2" w14:textId="77777777" w:rsidR="00176424" w:rsidRPr="00176424" w:rsidRDefault="00176424" w:rsidP="00176424">
            <w:pPr>
              <w:ind w:left="170"/>
              <w:jc w:val="both"/>
              <w:rPr>
                <w:rFonts w:eastAsia="Calibri"/>
                <w:sz w:val="12"/>
                <w:szCs w:val="10"/>
                <w:lang w:eastAsia="en-US"/>
              </w:rPr>
            </w:pPr>
            <w:r w:rsidRPr="00176424">
              <w:rPr>
                <w:rFonts w:eastAsia="Calibri"/>
                <w:sz w:val="12"/>
                <w:szCs w:val="10"/>
                <w:lang w:eastAsia="en-US"/>
              </w:rPr>
              <w:t>De la banca de desarrollo</w:t>
            </w:r>
          </w:p>
        </w:tc>
        <w:tc>
          <w:tcPr>
            <w:tcW w:w="541" w:type="dxa"/>
            <w:tcBorders>
              <w:top w:val="nil"/>
              <w:left w:val="single" w:sz="4" w:space="0" w:color="auto"/>
              <w:bottom w:val="nil"/>
              <w:right w:val="single" w:sz="4" w:space="0" w:color="auto"/>
            </w:tcBorders>
          </w:tcPr>
          <w:p w14:paraId="20AF6AE2"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6.3</w:t>
            </w:r>
          </w:p>
        </w:tc>
        <w:tc>
          <w:tcPr>
            <w:tcW w:w="490" w:type="dxa"/>
            <w:gridSpan w:val="2"/>
            <w:tcBorders>
              <w:top w:val="nil"/>
              <w:left w:val="single" w:sz="4" w:space="0" w:color="auto"/>
              <w:bottom w:val="nil"/>
              <w:right w:val="single" w:sz="4" w:space="0" w:color="auto"/>
            </w:tcBorders>
          </w:tcPr>
          <w:p w14:paraId="04A42663"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5.9</w:t>
            </w:r>
          </w:p>
        </w:tc>
        <w:tc>
          <w:tcPr>
            <w:tcW w:w="594" w:type="dxa"/>
            <w:tcBorders>
              <w:top w:val="nil"/>
              <w:left w:val="single" w:sz="4" w:space="0" w:color="auto"/>
              <w:bottom w:val="nil"/>
              <w:right w:val="single" w:sz="4" w:space="0" w:color="auto"/>
            </w:tcBorders>
          </w:tcPr>
          <w:p w14:paraId="286165FA"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6.4</w:t>
            </w:r>
          </w:p>
        </w:tc>
        <w:tc>
          <w:tcPr>
            <w:tcW w:w="545" w:type="dxa"/>
            <w:tcBorders>
              <w:top w:val="nil"/>
              <w:left w:val="single" w:sz="4" w:space="0" w:color="auto"/>
              <w:bottom w:val="nil"/>
              <w:right w:val="single" w:sz="4" w:space="0" w:color="auto"/>
            </w:tcBorders>
          </w:tcPr>
          <w:p w14:paraId="3B9202A2"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6.3</w:t>
            </w:r>
          </w:p>
        </w:tc>
        <w:tc>
          <w:tcPr>
            <w:tcW w:w="542" w:type="dxa"/>
            <w:tcBorders>
              <w:top w:val="nil"/>
              <w:left w:val="single" w:sz="4" w:space="0" w:color="auto"/>
              <w:bottom w:val="nil"/>
              <w:right w:val="single" w:sz="4" w:space="0" w:color="auto"/>
            </w:tcBorders>
          </w:tcPr>
          <w:p w14:paraId="6B7BE062"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5.9</w:t>
            </w:r>
          </w:p>
        </w:tc>
        <w:tc>
          <w:tcPr>
            <w:tcW w:w="720" w:type="dxa"/>
            <w:tcBorders>
              <w:top w:val="nil"/>
              <w:left w:val="single" w:sz="4" w:space="0" w:color="auto"/>
              <w:bottom w:val="nil"/>
              <w:right w:val="single" w:sz="4" w:space="0" w:color="auto"/>
            </w:tcBorders>
          </w:tcPr>
          <w:p w14:paraId="0A5C0026" w14:textId="77777777" w:rsidR="00176424" w:rsidRPr="00176424" w:rsidRDefault="00176424" w:rsidP="00176424">
            <w:pPr>
              <w:ind w:right="170"/>
              <w:jc w:val="right"/>
              <w:rPr>
                <w:rFonts w:eastAsia="Calibri"/>
                <w:sz w:val="12"/>
                <w:szCs w:val="10"/>
                <w:lang w:eastAsia="en-US"/>
              </w:rPr>
            </w:pPr>
            <w:r w:rsidRPr="00176424">
              <w:rPr>
                <w:rFonts w:eastAsia="Calibri"/>
                <w:sz w:val="12"/>
                <w:szCs w:val="10"/>
                <w:lang w:eastAsia="en-US"/>
              </w:rPr>
              <w:t>4.2</w:t>
            </w:r>
          </w:p>
        </w:tc>
        <w:tc>
          <w:tcPr>
            <w:tcW w:w="720" w:type="dxa"/>
            <w:tcBorders>
              <w:top w:val="nil"/>
              <w:left w:val="single" w:sz="4" w:space="0" w:color="auto"/>
              <w:bottom w:val="nil"/>
              <w:right w:val="single" w:sz="4" w:space="0" w:color="auto"/>
            </w:tcBorders>
          </w:tcPr>
          <w:p w14:paraId="067E5EB1" w14:textId="77777777" w:rsidR="00176424" w:rsidRPr="00176424" w:rsidRDefault="00176424" w:rsidP="00176424">
            <w:pPr>
              <w:ind w:right="170"/>
              <w:jc w:val="right"/>
              <w:rPr>
                <w:rFonts w:eastAsia="Calibri"/>
                <w:sz w:val="12"/>
                <w:szCs w:val="10"/>
                <w:lang w:eastAsia="en-US"/>
              </w:rPr>
            </w:pPr>
            <w:r w:rsidRPr="00176424">
              <w:rPr>
                <w:rFonts w:eastAsia="Calibri"/>
                <w:sz w:val="12"/>
                <w:szCs w:val="10"/>
                <w:lang w:eastAsia="en-US"/>
              </w:rPr>
              <w:t>6.9</w:t>
            </w:r>
          </w:p>
        </w:tc>
        <w:tc>
          <w:tcPr>
            <w:tcW w:w="899" w:type="dxa"/>
            <w:tcBorders>
              <w:top w:val="nil"/>
              <w:left w:val="single" w:sz="4" w:space="0" w:color="auto"/>
              <w:bottom w:val="nil"/>
              <w:right w:val="single" w:sz="4" w:space="0" w:color="auto"/>
            </w:tcBorders>
          </w:tcPr>
          <w:p w14:paraId="39035836" w14:textId="77777777" w:rsidR="00176424" w:rsidRPr="00176424" w:rsidRDefault="00176424" w:rsidP="00176424">
            <w:pPr>
              <w:ind w:right="227"/>
              <w:jc w:val="right"/>
              <w:rPr>
                <w:rFonts w:eastAsia="Calibri"/>
                <w:sz w:val="12"/>
                <w:szCs w:val="10"/>
                <w:lang w:eastAsia="en-US"/>
              </w:rPr>
            </w:pPr>
            <w:r w:rsidRPr="00176424">
              <w:rPr>
                <w:rFonts w:eastAsia="Calibri"/>
                <w:sz w:val="12"/>
                <w:szCs w:val="10"/>
                <w:lang w:eastAsia="en-US"/>
              </w:rPr>
              <w:t>6.0</w:t>
            </w:r>
          </w:p>
        </w:tc>
        <w:tc>
          <w:tcPr>
            <w:tcW w:w="720" w:type="dxa"/>
            <w:tcBorders>
              <w:top w:val="nil"/>
              <w:left w:val="single" w:sz="4" w:space="0" w:color="auto"/>
              <w:bottom w:val="nil"/>
              <w:right w:val="single" w:sz="4" w:space="0" w:color="auto"/>
            </w:tcBorders>
          </w:tcPr>
          <w:p w14:paraId="505BD407" w14:textId="77777777" w:rsidR="00176424" w:rsidRPr="00176424" w:rsidRDefault="00176424" w:rsidP="00176424">
            <w:pPr>
              <w:ind w:right="170"/>
              <w:jc w:val="right"/>
              <w:rPr>
                <w:rFonts w:eastAsia="Calibri"/>
                <w:sz w:val="12"/>
                <w:szCs w:val="10"/>
                <w:lang w:eastAsia="en-US"/>
              </w:rPr>
            </w:pPr>
            <w:r w:rsidRPr="00176424">
              <w:rPr>
                <w:rFonts w:eastAsia="Calibri"/>
                <w:sz w:val="12"/>
                <w:szCs w:val="10"/>
                <w:lang w:eastAsia="en-US"/>
              </w:rPr>
              <w:t>6.1</w:t>
            </w:r>
          </w:p>
        </w:tc>
        <w:tc>
          <w:tcPr>
            <w:tcW w:w="488" w:type="dxa"/>
            <w:tcBorders>
              <w:top w:val="nil"/>
              <w:left w:val="single" w:sz="4" w:space="0" w:color="auto"/>
              <w:bottom w:val="nil"/>
              <w:right w:val="single" w:sz="2" w:space="0" w:color="auto"/>
            </w:tcBorders>
          </w:tcPr>
          <w:p w14:paraId="6DE1E429"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4.0</w:t>
            </w:r>
          </w:p>
        </w:tc>
      </w:tr>
      <w:tr w:rsidR="00176424" w:rsidRPr="00176424" w14:paraId="1DD63846" w14:textId="77777777" w:rsidTr="0023750A">
        <w:trPr>
          <w:jc w:val="center"/>
        </w:trPr>
        <w:tc>
          <w:tcPr>
            <w:tcW w:w="2797" w:type="dxa"/>
            <w:tcBorders>
              <w:top w:val="nil"/>
              <w:left w:val="single" w:sz="2" w:space="0" w:color="auto"/>
              <w:bottom w:val="single" w:sz="4" w:space="0" w:color="auto"/>
              <w:right w:val="single" w:sz="4" w:space="0" w:color="auto"/>
            </w:tcBorders>
          </w:tcPr>
          <w:p w14:paraId="6E8998F7" w14:textId="77777777" w:rsidR="00176424" w:rsidRPr="00176424" w:rsidRDefault="00176424" w:rsidP="00176424">
            <w:pPr>
              <w:ind w:left="170"/>
              <w:jc w:val="both"/>
              <w:rPr>
                <w:rFonts w:eastAsia="Calibri"/>
                <w:sz w:val="12"/>
                <w:szCs w:val="10"/>
                <w:lang w:eastAsia="en-US"/>
              </w:rPr>
            </w:pPr>
            <w:r w:rsidRPr="00176424">
              <w:rPr>
                <w:rFonts w:eastAsia="Calibri"/>
                <w:sz w:val="12"/>
                <w:szCs w:val="10"/>
                <w:lang w:eastAsia="en-US"/>
              </w:rPr>
              <w:t>Mediante emisión de deuda</w:t>
            </w:r>
          </w:p>
        </w:tc>
        <w:tc>
          <w:tcPr>
            <w:tcW w:w="541" w:type="dxa"/>
            <w:tcBorders>
              <w:top w:val="nil"/>
              <w:left w:val="single" w:sz="4" w:space="0" w:color="auto"/>
              <w:bottom w:val="single" w:sz="4" w:space="0" w:color="auto"/>
              <w:right w:val="single" w:sz="4" w:space="0" w:color="auto"/>
            </w:tcBorders>
          </w:tcPr>
          <w:p w14:paraId="2FBE3E8E"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1.6</w:t>
            </w:r>
          </w:p>
        </w:tc>
        <w:tc>
          <w:tcPr>
            <w:tcW w:w="490" w:type="dxa"/>
            <w:gridSpan w:val="2"/>
            <w:tcBorders>
              <w:top w:val="nil"/>
              <w:left w:val="single" w:sz="4" w:space="0" w:color="auto"/>
              <w:bottom w:val="single" w:sz="4" w:space="0" w:color="auto"/>
              <w:right w:val="single" w:sz="4" w:space="0" w:color="auto"/>
            </w:tcBorders>
          </w:tcPr>
          <w:p w14:paraId="3072AD1F"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1.7</w:t>
            </w:r>
          </w:p>
        </w:tc>
        <w:tc>
          <w:tcPr>
            <w:tcW w:w="594" w:type="dxa"/>
            <w:tcBorders>
              <w:top w:val="nil"/>
              <w:left w:val="single" w:sz="4" w:space="0" w:color="auto"/>
              <w:bottom w:val="single" w:sz="4" w:space="0" w:color="auto"/>
              <w:right w:val="single" w:sz="4" w:space="0" w:color="auto"/>
            </w:tcBorders>
          </w:tcPr>
          <w:p w14:paraId="3A684871"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1.8</w:t>
            </w:r>
          </w:p>
        </w:tc>
        <w:tc>
          <w:tcPr>
            <w:tcW w:w="545" w:type="dxa"/>
            <w:tcBorders>
              <w:top w:val="nil"/>
              <w:left w:val="single" w:sz="4" w:space="0" w:color="auto"/>
              <w:bottom w:val="single" w:sz="4" w:space="0" w:color="auto"/>
              <w:right w:val="single" w:sz="4" w:space="0" w:color="auto"/>
            </w:tcBorders>
          </w:tcPr>
          <w:p w14:paraId="4DAFEA25"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3.8</w:t>
            </w:r>
          </w:p>
        </w:tc>
        <w:tc>
          <w:tcPr>
            <w:tcW w:w="542" w:type="dxa"/>
            <w:tcBorders>
              <w:top w:val="nil"/>
              <w:left w:val="single" w:sz="4" w:space="0" w:color="auto"/>
              <w:bottom w:val="single" w:sz="4" w:space="0" w:color="auto"/>
              <w:right w:val="single" w:sz="4" w:space="0" w:color="auto"/>
            </w:tcBorders>
          </w:tcPr>
          <w:p w14:paraId="70B67823"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2.3</w:t>
            </w:r>
          </w:p>
        </w:tc>
        <w:tc>
          <w:tcPr>
            <w:tcW w:w="720" w:type="dxa"/>
            <w:tcBorders>
              <w:top w:val="nil"/>
              <w:left w:val="single" w:sz="4" w:space="0" w:color="auto"/>
              <w:bottom w:val="single" w:sz="4" w:space="0" w:color="auto"/>
              <w:right w:val="single" w:sz="4" w:space="0" w:color="auto"/>
            </w:tcBorders>
          </w:tcPr>
          <w:p w14:paraId="232BC9BB" w14:textId="77777777" w:rsidR="00176424" w:rsidRPr="00176424" w:rsidRDefault="00176424" w:rsidP="00176424">
            <w:pPr>
              <w:ind w:right="170"/>
              <w:jc w:val="right"/>
              <w:rPr>
                <w:rFonts w:eastAsia="Calibri"/>
                <w:sz w:val="12"/>
                <w:szCs w:val="10"/>
                <w:lang w:eastAsia="en-US"/>
              </w:rPr>
            </w:pPr>
            <w:r w:rsidRPr="00176424">
              <w:rPr>
                <w:rFonts w:eastAsia="Calibri"/>
                <w:sz w:val="12"/>
                <w:szCs w:val="10"/>
                <w:lang w:eastAsia="en-US"/>
              </w:rPr>
              <w:t>0.0</w:t>
            </w:r>
          </w:p>
        </w:tc>
        <w:tc>
          <w:tcPr>
            <w:tcW w:w="720" w:type="dxa"/>
            <w:tcBorders>
              <w:top w:val="nil"/>
              <w:left w:val="single" w:sz="4" w:space="0" w:color="auto"/>
              <w:bottom w:val="single" w:sz="4" w:space="0" w:color="auto"/>
              <w:right w:val="single" w:sz="4" w:space="0" w:color="auto"/>
            </w:tcBorders>
          </w:tcPr>
          <w:p w14:paraId="61E6DDE1" w14:textId="77777777" w:rsidR="00176424" w:rsidRPr="00176424" w:rsidRDefault="00176424" w:rsidP="00176424">
            <w:pPr>
              <w:ind w:right="170"/>
              <w:jc w:val="right"/>
              <w:rPr>
                <w:rFonts w:eastAsia="Calibri"/>
                <w:sz w:val="12"/>
                <w:szCs w:val="10"/>
                <w:lang w:eastAsia="en-US"/>
              </w:rPr>
            </w:pPr>
            <w:r w:rsidRPr="00176424">
              <w:rPr>
                <w:rFonts w:eastAsia="Calibri"/>
                <w:sz w:val="12"/>
                <w:szCs w:val="10"/>
                <w:lang w:eastAsia="en-US"/>
              </w:rPr>
              <w:t>3.7</w:t>
            </w:r>
          </w:p>
        </w:tc>
        <w:tc>
          <w:tcPr>
            <w:tcW w:w="899" w:type="dxa"/>
            <w:tcBorders>
              <w:top w:val="nil"/>
              <w:left w:val="single" w:sz="4" w:space="0" w:color="auto"/>
              <w:bottom w:val="single" w:sz="4" w:space="0" w:color="auto"/>
              <w:right w:val="single" w:sz="4" w:space="0" w:color="auto"/>
            </w:tcBorders>
          </w:tcPr>
          <w:p w14:paraId="70DADD7F" w14:textId="77777777" w:rsidR="00176424" w:rsidRPr="00176424" w:rsidRDefault="00176424" w:rsidP="00176424">
            <w:pPr>
              <w:ind w:right="227"/>
              <w:jc w:val="right"/>
              <w:rPr>
                <w:rFonts w:eastAsia="Calibri"/>
                <w:sz w:val="12"/>
                <w:szCs w:val="10"/>
                <w:lang w:eastAsia="en-US"/>
              </w:rPr>
            </w:pPr>
            <w:r w:rsidRPr="00176424">
              <w:rPr>
                <w:rFonts w:eastAsia="Calibri"/>
                <w:sz w:val="12"/>
                <w:szCs w:val="10"/>
                <w:lang w:eastAsia="en-US"/>
              </w:rPr>
              <w:t>0.9</w:t>
            </w:r>
          </w:p>
        </w:tc>
        <w:tc>
          <w:tcPr>
            <w:tcW w:w="720" w:type="dxa"/>
            <w:tcBorders>
              <w:top w:val="nil"/>
              <w:left w:val="single" w:sz="4" w:space="0" w:color="auto"/>
              <w:bottom w:val="single" w:sz="4" w:space="0" w:color="auto"/>
              <w:right w:val="single" w:sz="4" w:space="0" w:color="auto"/>
            </w:tcBorders>
          </w:tcPr>
          <w:p w14:paraId="17704C66" w14:textId="77777777" w:rsidR="00176424" w:rsidRPr="00176424" w:rsidRDefault="00176424" w:rsidP="00176424">
            <w:pPr>
              <w:ind w:right="170"/>
              <w:jc w:val="right"/>
              <w:rPr>
                <w:rFonts w:eastAsia="Calibri"/>
                <w:sz w:val="12"/>
                <w:szCs w:val="10"/>
                <w:lang w:eastAsia="en-US"/>
              </w:rPr>
            </w:pPr>
            <w:r w:rsidRPr="00176424">
              <w:rPr>
                <w:rFonts w:eastAsia="Calibri"/>
                <w:sz w:val="12"/>
                <w:szCs w:val="10"/>
                <w:lang w:eastAsia="en-US"/>
              </w:rPr>
              <w:t>3.2</w:t>
            </w:r>
          </w:p>
        </w:tc>
        <w:tc>
          <w:tcPr>
            <w:tcW w:w="488" w:type="dxa"/>
            <w:tcBorders>
              <w:top w:val="nil"/>
              <w:left w:val="single" w:sz="4" w:space="0" w:color="auto"/>
              <w:bottom w:val="single" w:sz="4" w:space="0" w:color="auto"/>
              <w:right w:val="single" w:sz="2" w:space="0" w:color="auto"/>
            </w:tcBorders>
          </w:tcPr>
          <w:p w14:paraId="4A2F90E3"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1.0</w:t>
            </w:r>
          </w:p>
        </w:tc>
      </w:tr>
      <w:tr w:rsidR="00176424" w:rsidRPr="00176424" w14:paraId="237A7000" w14:textId="77777777" w:rsidTr="0023750A">
        <w:trPr>
          <w:jc w:val="center"/>
        </w:trPr>
        <w:tc>
          <w:tcPr>
            <w:tcW w:w="2797" w:type="dxa"/>
            <w:tcBorders>
              <w:top w:val="single" w:sz="4" w:space="0" w:color="auto"/>
              <w:left w:val="single" w:sz="2" w:space="0" w:color="auto"/>
              <w:bottom w:val="nil"/>
              <w:right w:val="single" w:sz="4" w:space="0" w:color="auto"/>
            </w:tcBorders>
          </w:tcPr>
          <w:p w14:paraId="3E3986CF" w14:textId="77777777" w:rsidR="00176424" w:rsidRPr="00176424" w:rsidRDefault="00176424" w:rsidP="00176424">
            <w:pPr>
              <w:jc w:val="both"/>
              <w:rPr>
                <w:rFonts w:eastAsia="Calibri"/>
                <w:b/>
                <w:sz w:val="12"/>
                <w:szCs w:val="10"/>
                <w:lang w:eastAsia="en-US"/>
              </w:rPr>
            </w:pPr>
            <w:r w:rsidRPr="00176424">
              <w:rPr>
                <w:rFonts w:eastAsia="Calibri"/>
                <w:b/>
                <w:sz w:val="12"/>
                <w:szCs w:val="10"/>
                <w:lang w:eastAsia="en-US"/>
              </w:rPr>
              <w:t>Empresas que otorgaron algún tipo de financiamiento</w:t>
            </w:r>
            <w:r w:rsidRPr="00176424">
              <w:rPr>
                <w:rFonts w:eastAsia="Calibri"/>
                <w:b/>
                <w:sz w:val="12"/>
                <w:szCs w:val="10"/>
                <w:u w:val="single"/>
                <w:vertAlign w:val="superscript"/>
                <w:lang w:eastAsia="en-US"/>
              </w:rPr>
              <w:t>3</w:t>
            </w:r>
            <w:r w:rsidRPr="00176424">
              <w:rPr>
                <w:rFonts w:eastAsia="Calibri"/>
                <w:b/>
                <w:sz w:val="12"/>
                <w:szCs w:val="10"/>
                <w:vertAlign w:val="superscript"/>
                <w:lang w:eastAsia="en-US"/>
              </w:rPr>
              <w:t>/</w:t>
            </w:r>
          </w:p>
        </w:tc>
        <w:tc>
          <w:tcPr>
            <w:tcW w:w="541" w:type="dxa"/>
            <w:tcBorders>
              <w:top w:val="single" w:sz="4" w:space="0" w:color="auto"/>
              <w:left w:val="single" w:sz="4" w:space="0" w:color="auto"/>
              <w:bottom w:val="nil"/>
              <w:right w:val="single" w:sz="4" w:space="0" w:color="auto"/>
            </w:tcBorders>
            <w:vAlign w:val="center"/>
          </w:tcPr>
          <w:p w14:paraId="3FF58193"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81.1</w:t>
            </w:r>
          </w:p>
        </w:tc>
        <w:tc>
          <w:tcPr>
            <w:tcW w:w="490" w:type="dxa"/>
            <w:gridSpan w:val="2"/>
            <w:tcBorders>
              <w:top w:val="single" w:sz="4" w:space="0" w:color="auto"/>
              <w:left w:val="single" w:sz="4" w:space="0" w:color="auto"/>
              <w:bottom w:val="nil"/>
              <w:right w:val="single" w:sz="4" w:space="0" w:color="auto"/>
            </w:tcBorders>
            <w:vAlign w:val="center"/>
          </w:tcPr>
          <w:p w14:paraId="4878BE17"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80.6</w:t>
            </w:r>
          </w:p>
        </w:tc>
        <w:tc>
          <w:tcPr>
            <w:tcW w:w="594" w:type="dxa"/>
            <w:tcBorders>
              <w:top w:val="single" w:sz="4" w:space="0" w:color="auto"/>
              <w:left w:val="single" w:sz="4" w:space="0" w:color="auto"/>
              <w:bottom w:val="nil"/>
              <w:right w:val="single" w:sz="4" w:space="0" w:color="auto"/>
            </w:tcBorders>
            <w:vAlign w:val="center"/>
          </w:tcPr>
          <w:p w14:paraId="5B216274"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81.9</w:t>
            </w:r>
          </w:p>
        </w:tc>
        <w:tc>
          <w:tcPr>
            <w:tcW w:w="545" w:type="dxa"/>
            <w:tcBorders>
              <w:top w:val="single" w:sz="4" w:space="0" w:color="auto"/>
              <w:left w:val="single" w:sz="4" w:space="0" w:color="auto"/>
              <w:bottom w:val="nil"/>
              <w:right w:val="single" w:sz="4" w:space="0" w:color="auto"/>
            </w:tcBorders>
            <w:vAlign w:val="center"/>
          </w:tcPr>
          <w:p w14:paraId="2ACADDC6"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79.2</w:t>
            </w:r>
          </w:p>
        </w:tc>
        <w:tc>
          <w:tcPr>
            <w:tcW w:w="542" w:type="dxa"/>
            <w:tcBorders>
              <w:top w:val="single" w:sz="4" w:space="0" w:color="auto"/>
              <w:left w:val="single" w:sz="4" w:space="0" w:color="auto"/>
              <w:bottom w:val="nil"/>
              <w:right w:val="single" w:sz="4" w:space="0" w:color="auto"/>
            </w:tcBorders>
            <w:vAlign w:val="center"/>
          </w:tcPr>
          <w:p w14:paraId="43AAC268"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77.4</w:t>
            </w:r>
          </w:p>
        </w:tc>
        <w:tc>
          <w:tcPr>
            <w:tcW w:w="720" w:type="dxa"/>
            <w:tcBorders>
              <w:top w:val="single" w:sz="4" w:space="0" w:color="auto"/>
              <w:left w:val="single" w:sz="4" w:space="0" w:color="auto"/>
              <w:bottom w:val="nil"/>
              <w:right w:val="single" w:sz="4" w:space="0" w:color="auto"/>
            </w:tcBorders>
            <w:vAlign w:val="center"/>
          </w:tcPr>
          <w:p w14:paraId="08F0E295" w14:textId="77777777" w:rsidR="00176424" w:rsidRPr="00176424" w:rsidRDefault="00176424" w:rsidP="00176424">
            <w:pPr>
              <w:ind w:right="170"/>
              <w:jc w:val="right"/>
              <w:rPr>
                <w:rFonts w:eastAsia="Calibri"/>
                <w:sz w:val="12"/>
                <w:szCs w:val="10"/>
                <w:lang w:eastAsia="en-US"/>
              </w:rPr>
            </w:pPr>
            <w:r w:rsidRPr="00176424">
              <w:rPr>
                <w:rFonts w:eastAsia="Calibri"/>
                <w:sz w:val="12"/>
                <w:szCs w:val="10"/>
                <w:lang w:eastAsia="en-US"/>
              </w:rPr>
              <w:t>76.2</w:t>
            </w:r>
          </w:p>
        </w:tc>
        <w:tc>
          <w:tcPr>
            <w:tcW w:w="720" w:type="dxa"/>
            <w:tcBorders>
              <w:top w:val="single" w:sz="4" w:space="0" w:color="auto"/>
              <w:left w:val="single" w:sz="4" w:space="0" w:color="auto"/>
              <w:bottom w:val="nil"/>
              <w:right w:val="single" w:sz="4" w:space="0" w:color="auto"/>
            </w:tcBorders>
            <w:vAlign w:val="center"/>
          </w:tcPr>
          <w:p w14:paraId="1C311698" w14:textId="77777777" w:rsidR="00176424" w:rsidRPr="00176424" w:rsidRDefault="00176424" w:rsidP="00176424">
            <w:pPr>
              <w:ind w:right="170"/>
              <w:jc w:val="right"/>
              <w:rPr>
                <w:rFonts w:eastAsia="Calibri"/>
                <w:sz w:val="12"/>
                <w:szCs w:val="10"/>
                <w:lang w:eastAsia="en-US"/>
              </w:rPr>
            </w:pPr>
            <w:r w:rsidRPr="00176424">
              <w:rPr>
                <w:rFonts w:eastAsia="Calibri"/>
                <w:sz w:val="12"/>
                <w:szCs w:val="10"/>
                <w:lang w:eastAsia="en-US"/>
              </w:rPr>
              <w:t>78.1</w:t>
            </w:r>
          </w:p>
        </w:tc>
        <w:tc>
          <w:tcPr>
            <w:tcW w:w="899" w:type="dxa"/>
            <w:tcBorders>
              <w:top w:val="single" w:sz="4" w:space="0" w:color="auto"/>
              <w:left w:val="single" w:sz="4" w:space="0" w:color="auto"/>
              <w:bottom w:val="nil"/>
              <w:right w:val="single" w:sz="4" w:space="0" w:color="auto"/>
            </w:tcBorders>
            <w:vAlign w:val="center"/>
          </w:tcPr>
          <w:p w14:paraId="223C7BFE" w14:textId="77777777" w:rsidR="00176424" w:rsidRPr="00176424" w:rsidRDefault="00176424" w:rsidP="00176424">
            <w:pPr>
              <w:ind w:right="227"/>
              <w:jc w:val="right"/>
              <w:rPr>
                <w:rFonts w:eastAsia="Calibri"/>
                <w:sz w:val="12"/>
                <w:szCs w:val="10"/>
                <w:lang w:eastAsia="en-US"/>
              </w:rPr>
            </w:pPr>
            <w:r w:rsidRPr="00176424">
              <w:rPr>
                <w:rFonts w:eastAsia="Calibri"/>
                <w:sz w:val="12"/>
                <w:szCs w:val="10"/>
                <w:lang w:eastAsia="en-US"/>
              </w:rPr>
              <w:t>89.8</w:t>
            </w:r>
          </w:p>
        </w:tc>
        <w:tc>
          <w:tcPr>
            <w:tcW w:w="720" w:type="dxa"/>
            <w:tcBorders>
              <w:top w:val="single" w:sz="4" w:space="0" w:color="auto"/>
              <w:left w:val="single" w:sz="4" w:space="0" w:color="auto"/>
              <w:bottom w:val="nil"/>
              <w:right w:val="single" w:sz="4" w:space="0" w:color="auto"/>
            </w:tcBorders>
            <w:vAlign w:val="center"/>
          </w:tcPr>
          <w:p w14:paraId="056D90A6" w14:textId="77777777" w:rsidR="00176424" w:rsidRPr="00176424" w:rsidRDefault="00176424" w:rsidP="00176424">
            <w:pPr>
              <w:ind w:right="170"/>
              <w:jc w:val="right"/>
              <w:rPr>
                <w:rFonts w:eastAsia="Calibri"/>
                <w:sz w:val="12"/>
                <w:szCs w:val="10"/>
                <w:lang w:eastAsia="en-US"/>
              </w:rPr>
            </w:pPr>
            <w:r w:rsidRPr="00176424">
              <w:rPr>
                <w:rFonts w:eastAsia="Calibri"/>
                <w:sz w:val="12"/>
                <w:szCs w:val="10"/>
                <w:lang w:eastAsia="en-US"/>
              </w:rPr>
              <w:t>74.3</w:t>
            </w:r>
          </w:p>
        </w:tc>
        <w:tc>
          <w:tcPr>
            <w:tcW w:w="488" w:type="dxa"/>
            <w:tcBorders>
              <w:top w:val="single" w:sz="4" w:space="0" w:color="auto"/>
              <w:left w:val="single" w:sz="4" w:space="0" w:color="auto"/>
              <w:bottom w:val="nil"/>
              <w:right w:val="single" w:sz="2" w:space="0" w:color="auto"/>
            </w:tcBorders>
            <w:vAlign w:val="center"/>
          </w:tcPr>
          <w:p w14:paraId="5752EDD2"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52.8</w:t>
            </w:r>
          </w:p>
        </w:tc>
      </w:tr>
      <w:tr w:rsidR="00176424" w:rsidRPr="00176424" w14:paraId="2E8D9C53" w14:textId="77777777" w:rsidTr="0023750A">
        <w:trPr>
          <w:jc w:val="center"/>
        </w:trPr>
        <w:tc>
          <w:tcPr>
            <w:tcW w:w="2797" w:type="dxa"/>
            <w:tcBorders>
              <w:top w:val="nil"/>
              <w:left w:val="single" w:sz="2" w:space="0" w:color="auto"/>
              <w:bottom w:val="nil"/>
              <w:right w:val="single" w:sz="4" w:space="0" w:color="auto"/>
            </w:tcBorders>
          </w:tcPr>
          <w:p w14:paraId="2B277A41" w14:textId="77777777" w:rsidR="00176424" w:rsidRPr="00176424" w:rsidRDefault="00176424" w:rsidP="00176424">
            <w:pPr>
              <w:ind w:left="113"/>
              <w:jc w:val="both"/>
              <w:rPr>
                <w:rFonts w:eastAsia="Calibri"/>
                <w:sz w:val="12"/>
                <w:szCs w:val="10"/>
                <w:lang w:eastAsia="en-US"/>
              </w:rPr>
            </w:pPr>
            <w:r w:rsidRPr="00176424">
              <w:rPr>
                <w:rFonts w:eastAsia="Calibri"/>
                <w:sz w:val="12"/>
                <w:szCs w:val="10"/>
                <w:lang w:eastAsia="en-US"/>
              </w:rPr>
              <w:t>Destino:</w:t>
            </w:r>
            <w:r w:rsidRPr="00176424">
              <w:rPr>
                <w:rFonts w:eastAsia="Calibri"/>
                <w:sz w:val="12"/>
                <w:szCs w:val="10"/>
                <w:u w:val="single"/>
                <w:vertAlign w:val="superscript"/>
                <w:lang w:eastAsia="en-US"/>
              </w:rPr>
              <w:t xml:space="preserve"> 4</w:t>
            </w:r>
            <w:r w:rsidRPr="00176424">
              <w:rPr>
                <w:rFonts w:eastAsia="Calibri"/>
                <w:sz w:val="12"/>
                <w:szCs w:val="10"/>
                <w:vertAlign w:val="superscript"/>
                <w:lang w:eastAsia="en-US"/>
              </w:rPr>
              <w:t>/</w:t>
            </w:r>
          </w:p>
        </w:tc>
        <w:tc>
          <w:tcPr>
            <w:tcW w:w="541" w:type="dxa"/>
            <w:tcBorders>
              <w:top w:val="nil"/>
              <w:left w:val="single" w:sz="4" w:space="0" w:color="auto"/>
              <w:bottom w:val="nil"/>
              <w:right w:val="single" w:sz="4" w:space="0" w:color="auto"/>
            </w:tcBorders>
          </w:tcPr>
          <w:p w14:paraId="2489E9AE" w14:textId="77777777" w:rsidR="00176424" w:rsidRPr="00176424" w:rsidRDefault="00176424" w:rsidP="00176424">
            <w:pPr>
              <w:ind w:right="57"/>
              <w:jc w:val="right"/>
              <w:rPr>
                <w:rFonts w:eastAsia="Calibri"/>
                <w:sz w:val="12"/>
                <w:szCs w:val="10"/>
                <w:lang w:eastAsia="en-US"/>
              </w:rPr>
            </w:pPr>
          </w:p>
        </w:tc>
        <w:tc>
          <w:tcPr>
            <w:tcW w:w="490" w:type="dxa"/>
            <w:gridSpan w:val="2"/>
            <w:tcBorders>
              <w:top w:val="nil"/>
              <w:left w:val="single" w:sz="4" w:space="0" w:color="auto"/>
              <w:bottom w:val="nil"/>
              <w:right w:val="single" w:sz="4" w:space="0" w:color="auto"/>
            </w:tcBorders>
          </w:tcPr>
          <w:p w14:paraId="59D6786C" w14:textId="77777777" w:rsidR="00176424" w:rsidRPr="00176424" w:rsidRDefault="00176424" w:rsidP="00176424">
            <w:pPr>
              <w:ind w:right="57"/>
              <w:jc w:val="right"/>
              <w:rPr>
                <w:rFonts w:eastAsia="Calibri"/>
                <w:sz w:val="12"/>
                <w:szCs w:val="10"/>
                <w:lang w:eastAsia="en-US"/>
              </w:rPr>
            </w:pPr>
          </w:p>
        </w:tc>
        <w:tc>
          <w:tcPr>
            <w:tcW w:w="594" w:type="dxa"/>
            <w:tcBorders>
              <w:top w:val="nil"/>
              <w:left w:val="single" w:sz="4" w:space="0" w:color="auto"/>
              <w:bottom w:val="nil"/>
              <w:right w:val="single" w:sz="4" w:space="0" w:color="auto"/>
            </w:tcBorders>
          </w:tcPr>
          <w:p w14:paraId="13D6BAA1" w14:textId="77777777" w:rsidR="00176424" w:rsidRPr="00176424" w:rsidRDefault="00176424" w:rsidP="00176424">
            <w:pPr>
              <w:ind w:right="57"/>
              <w:jc w:val="right"/>
              <w:rPr>
                <w:rFonts w:eastAsia="Calibri"/>
                <w:sz w:val="12"/>
                <w:szCs w:val="10"/>
                <w:lang w:eastAsia="en-US"/>
              </w:rPr>
            </w:pPr>
          </w:p>
        </w:tc>
        <w:tc>
          <w:tcPr>
            <w:tcW w:w="545" w:type="dxa"/>
            <w:tcBorders>
              <w:top w:val="nil"/>
              <w:left w:val="single" w:sz="4" w:space="0" w:color="auto"/>
              <w:bottom w:val="nil"/>
              <w:right w:val="single" w:sz="4" w:space="0" w:color="auto"/>
            </w:tcBorders>
          </w:tcPr>
          <w:p w14:paraId="2FC25B7A" w14:textId="77777777" w:rsidR="00176424" w:rsidRPr="00176424" w:rsidRDefault="00176424" w:rsidP="00176424">
            <w:pPr>
              <w:ind w:right="57"/>
              <w:jc w:val="right"/>
              <w:rPr>
                <w:rFonts w:eastAsia="Calibri"/>
                <w:sz w:val="12"/>
                <w:szCs w:val="10"/>
                <w:lang w:eastAsia="en-US"/>
              </w:rPr>
            </w:pPr>
          </w:p>
        </w:tc>
        <w:tc>
          <w:tcPr>
            <w:tcW w:w="542" w:type="dxa"/>
            <w:tcBorders>
              <w:top w:val="nil"/>
              <w:left w:val="single" w:sz="4" w:space="0" w:color="auto"/>
              <w:bottom w:val="nil"/>
              <w:right w:val="single" w:sz="4" w:space="0" w:color="auto"/>
            </w:tcBorders>
          </w:tcPr>
          <w:p w14:paraId="4E3C1882" w14:textId="77777777" w:rsidR="00176424" w:rsidRPr="00176424" w:rsidRDefault="00176424" w:rsidP="00176424">
            <w:pPr>
              <w:ind w:right="57"/>
              <w:jc w:val="right"/>
              <w:rPr>
                <w:rFonts w:eastAsia="Calibri"/>
                <w:sz w:val="12"/>
                <w:szCs w:val="10"/>
                <w:lang w:eastAsia="en-US"/>
              </w:rPr>
            </w:pPr>
          </w:p>
        </w:tc>
        <w:tc>
          <w:tcPr>
            <w:tcW w:w="720" w:type="dxa"/>
            <w:tcBorders>
              <w:top w:val="nil"/>
              <w:left w:val="single" w:sz="4" w:space="0" w:color="auto"/>
              <w:bottom w:val="nil"/>
              <w:right w:val="single" w:sz="4" w:space="0" w:color="auto"/>
            </w:tcBorders>
          </w:tcPr>
          <w:p w14:paraId="72850E1D" w14:textId="77777777" w:rsidR="00176424" w:rsidRPr="00176424" w:rsidRDefault="00176424" w:rsidP="00176424">
            <w:pPr>
              <w:ind w:right="170"/>
              <w:jc w:val="right"/>
              <w:rPr>
                <w:rFonts w:eastAsia="Calibri"/>
                <w:sz w:val="12"/>
                <w:szCs w:val="10"/>
                <w:lang w:eastAsia="en-US"/>
              </w:rPr>
            </w:pPr>
          </w:p>
        </w:tc>
        <w:tc>
          <w:tcPr>
            <w:tcW w:w="720" w:type="dxa"/>
            <w:tcBorders>
              <w:top w:val="nil"/>
              <w:left w:val="single" w:sz="4" w:space="0" w:color="auto"/>
              <w:bottom w:val="nil"/>
              <w:right w:val="single" w:sz="4" w:space="0" w:color="auto"/>
            </w:tcBorders>
          </w:tcPr>
          <w:p w14:paraId="757B5509" w14:textId="77777777" w:rsidR="00176424" w:rsidRPr="00176424" w:rsidRDefault="00176424" w:rsidP="00176424">
            <w:pPr>
              <w:ind w:right="170"/>
              <w:jc w:val="right"/>
              <w:rPr>
                <w:rFonts w:eastAsia="Calibri"/>
                <w:sz w:val="12"/>
                <w:szCs w:val="10"/>
                <w:lang w:eastAsia="en-US"/>
              </w:rPr>
            </w:pPr>
          </w:p>
        </w:tc>
        <w:tc>
          <w:tcPr>
            <w:tcW w:w="899" w:type="dxa"/>
            <w:tcBorders>
              <w:top w:val="nil"/>
              <w:left w:val="single" w:sz="4" w:space="0" w:color="auto"/>
              <w:bottom w:val="nil"/>
              <w:right w:val="single" w:sz="4" w:space="0" w:color="auto"/>
            </w:tcBorders>
          </w:tcPr>
          <w:p w14:paraId="177A26B2" w14:textId="77777777" w:rsidR="00176424" w:rsidRPr="00176424" w:rsidRDefault="00176424" w:rsidP="00176424">
            <w:pPr>
              <w:ind w:right="227"/>
              <w:jc w:val="right"/>
              <w:rPr>
                <w:rFonts w:eastAsia="Calibri"/>
                <w:sz w:val="12"/>
                <w:szCs w:val="10"/>
                <w:lang w:eastAsia="en-US"/>
              </w:rPr>
            </w:pPr>
          </w:p>
        </w:tc>
        <w:tc>
          <w:tcPr>
            <w:tcW w:w="720" w:type="dxa"/>
            <w:tcBorders>
              <w:top w:val="nil"/>
              <w:left w:val="single" w:sz="4" w:space="0" w:color="auto"/>
              <w:bottom w:val="nil"/>
              <w:right w:val="single" w:sz="4" w:space="0" w:color="auto"/>
            </w:tcBorders>
          </w:tcPr>
          <w:p w14:paraId="442B27D9" w14:textId="77777777" w:rsidR="00176424" w:rsidRPr="00176424" w:rsidRDefault="00176424" w:rsidP="00176424">
            <w:pPr>
              <w:ind w:right="170"/>
              <w:jc w:val="right"/>
              <w:rPr>
                <w:rFonts w:eastAsia="Calibri"/>
                <w:sz w:val="12"/>
                <w:szCs w:val="10"/>
                <w:lang w:eastAsia="en-US"/>
              </w:rPr>
            </w:pPr>
          </w:p>
        </w:tc>
        <w:tc>
          <w:tcPr>
            <w:tcW w:w="488" w:type="dxa"/>
            <w:tcBorders>
              <w:top w:val="nil"/>
              <w:left w:val="single" w:sz="4" w:space="0" w:color="auto"/>
              <w:bottom w:val="nil"/>
              <w:right w:val="single" w:sz="2" w:space="0" w:color="auto"/>
            </w:tcBorders>
          </w:tcPr>
          <w:p w14:paraId="46A4779D" w14:textId="77777777" w:rsidR="00176424" w:rsidRPr="00176424" w:rsidRDefault="00176424" w:rsidP="00176424">
            <w:pPr>
              <w:ind w:right="57"/>
              <w:jc w:val="right"/>
              <w:rPr>
                <w:rFonts w:eastAsia="Calibri"/>
                <w:sz w:val="12"/>
                <w:szCs w:val="10"/>
                <w:lang w:eastAsia="en-US"/>
              </w:rPr>
            </w:pPr>
          </w:p>
        </w:tc>
      </w:tr>
      <w:tr w:rsidR="00176424" w:rsidRPr="00176424" w14:paraId="2E5F4500" w14:textId="77777777" w:rsidTr="0023750A">
        <w:trPr>
          <w:jc w:val="center"/>
        </w:trPr>
        <w:tc>
          <w:tcPr>
            <w:tcW w:w="2797" w:type="dxa"/>
            <w:tcBorders>
              <w:top w:val="nil"/>
              <w:left w:val="single" w:sz="2" w:space="0" w:color="auto"/>
              <w:bottom w:val="nil"/>
              <w:right w:val="single" w:sz="4" w:space="0" w:color="auto"/>
            </w:tcBorders>
          </w:tcPr>
          <w:p w14:paraId="09B2F146" w14:textId="77777777" w:rsidR="00176424" w:rsidRPr="00176424" w:rsidRDefault="00176424" w:rsidP="00176424">
            <w:pPr>
              <w:ind w:left="170"/>
              <w:jc w:val="both"/>
              <w:rPr>
                <w:rFonts w:eastAsia="Calibri"/>
                <w:sz w:val="12"/>
                <w:szCs w:val="10"/>
                <w:lang w:eastAsia="en-US"/>
              </w:rPr>
            </w:pPr>
            <w:r w:rsidRPr="00176424">
              <w:rPr>
                <w:rFonts w:eastAsia="Calibri"/>
                <w:sz w:val="12"/>
                <w:szCs w:val="10"/>
                <w:lang w:eastAsia="en-US"/>
              </w:rPr>
              <w:t>A clientes</w:t>
            </w:r>
          </w:p>
        </w:tc>
        <w:tc>
          <w:tcPr>
            <w:tcW w:w="541" w:type="dxa"/>
            <w:tcBorders>
              <w:top w:val="nil"/>
              <w:left w:val="single" w:sz="4" w:space="0" w:color="auto"/>
              <w:bottom w:val="nil"/>
              <w:right w:val="single" w:sz="4" w:space="0" w:color="auto"/>
            </w:tcBorders>
          </w:tcPr>
          <w:p w14:paraId="30DECB18"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78.4</w:t>
            </w:r>
          </w:p>
        </w:tc>
        <w:tc>
          <w:tcPr>
            <w:tcW w:w="490" w:type="dxa"/>
            <w:gridSpan w:val="2"/>
            <w:tcBorders>
              <w:top w:val="nil"/>
              <w:left w:val="single" w:sz="4" w:space="0" w:color="auto"/>
              <w:bottom w:val="nil"/>
              <w:right w:val="single" w:sz="4" w:space="0" w:color="auto"/>
            </w:tcBorders>
          </w:tcPr>
          <w:p w14:paraId="6E222830"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77.6</w:t>
            </w:r>
          </w:p>
        </w:tc>
        <w:tc>
          <w:tcPr>
            <w:tcW w:w="594" w:type="dxa"/>
            <w:tcBorders>
              <w:top w:val="nil"/>
              <w:left w:val="single" w:sz="4" w:space="0" w:color="auto"/>
              <w:bottom w:val="nil"/>
              <w:right w:val="single" w:sz="4" w:space="0" w:color="auto"/>
            </w:tcBorders>
          </w:tcPr>
          <w:p w14:paraId="2F6CBCCA"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78.8</w:t>
            </w:r>
          </w:p>
        </w:tc>
        <w:tc>
          <w:tcPr>
            <w:tcW w:w="545" w:type="dxa"/>
            <w:tcBorders>
              <w:top w:val="nil"/>
              <w:left w:val="single" w:sz="4" w:space="0" w:color="auto"/>
              <w:bottom w:val="nil"/>
              <w:right w:val="single" w:sz="4" w:space="0" w:color="auto"/>
            </w:tcBorders>
          </w:tcPr>
          <w:p w14:paraId="799354E4"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75.7</w:t>
            </w:r>
          </w:p>
        </w:tc>
        <w:tc>
          <w:tcPr>
            <w:tcW w:w="542" w:type="dxa"/>
            <w:tcBorders>
              <w:top w:val="nil"/>
              <w:left w:val="single" w:sz="4" w:space="0" w:color="auto"/>
              <w:bottom w:val="nil"/>
              <w:right w:val="single" w:sz="4" w:space="0" w:color="auto"/>
            </w:tcBorders>
          </w:tcPr>
          <w:p w14:paraId="242CA1EC"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75.2</w:t>
            </w:r>
          </w:p>
        </w:tc>
        <w:tc>
          <w:tcPr>
            <w:tcW w:w="720" w:type="dxa"/>
            <w:tcBorders>
              <w:top w:val="nil"/>
              <w:left w:val="single" w:sz="4" w:space="0" w:color="auto"/>
              <w:bottom w:val="nil"/>
              <w:right w:val="single" w:sz="4" w:space="0" w:color="auto"/>
            </w:tcBorders>
          </w:tcPr>
          <w:p w14:paraId="5F4C8E35" w14:textId="77777777" w:rsidR="00176424" w:rsidRPr="00176424" w:rsidRDefault="00176424" w:rsidP="00176424">
            <w:pPr>
              <w:ind w:right="170"/>
              <w:jc w:val="right"/>
              <w:rPr>
                <w:rFonts w:eastAsia="Calibri"/>
                <w:sz w:val="12"/>
                <w:szCs w:val="10"/>
                <w:lang w:eastAsia="en-US"/>
              </w:rPr>
            </w:pPr>
            <w:r w:rsidRPr="00176424">
              <w:rPr>
                <w:rFonts w:eastAsia="Calibri"/>
                <w:sz w:val="12"/>
                <w:szCs w:val="10"/>
                <w:lang w:eastAsia="en-US"/>
              </w:rPr>
              <w:t>74.6</w:t>
            </w:r>
          </w:p>
        </w:tc>
        <w:tc>
          <w:tcPr>
            <w:tcW w:w="720" w:type="dxa"/>
            <w:tcBorders>
              <w:top w:val="nil"/>
              <w:left w:val="single" w:sz="4" w:space="0" w:color="auto"/>
              <w:bottom w:val="nil"/>
              <w:right w:val="single" w:sz="4" w:space="0" w:color="auto"/>
            </w:tcBorders>
          </w:tcPr>
          <w:p w14:paraId="16F87F4B" w14:textId="77777777" w:rsidR="00176424" w:rsidRPr="00176424" w:rsidRDefault="00176424" w:rsidP="00176424">
            <w:pPr>
              <w:ind w:right="170"/>
              <w:jc w:val="right"/>
              <w:rPr>
                <w:rFonts w:eastAsia="Calibri"/>
                <w:sz w:val="12"/>
                <w:szCs w:val="10"/>
                <w:lang w:eastAsia="en-US"/>
              </w:rPr>
            </w:pPr>
            <w:r w:rsidRPr="00176424">
              <w:rPr>
                <w:rFonts w:eastAsia="Calibri"/>
                <w:sz w:val="12"/>
                <w:szCs w:val="10"/>
                <w:lang w:eastAsia="en-US"/>
              </w:rPr>
              <w:t>75.6</w:t>
            </w:r>
          </w:p>
        </w:tc>
        <w:tc>
          <w:tcPr>
            <w:tcW w:w="899" w:type="dxa"/>
            <w:tcBorders>
              <w:top w:val="nil"/>
              <w:left w:val="single" w:sz="4" w:space="0" w:color="auto"/>
              <w:bottom w:val="nil"/>
              <w:right w:val="single" w:sz="4" w:space="0" w:color="auto"/>
            </w:tcBorders>
          </w:tcPr>
          <w:p w14:paraId="56381345" w14:textId="77777777" w:rsidR="00176424" w:rsidRPr="00176424" w:rsidRDefault="00176424" w:rsidP="00176424">
            <w:pPr>
              <w:ind w:right="227"/>
              <w:jc w:val="right"/>
              <w:rPr>
                <w:rFonts w:eastAsia="Calibri"/>
                <w:sz w:val="12"/>
                <w:szCs w:val="10"/>
                <w:lang w:eastAsia="en-US"/>
              </w:rPr>
            </w:pPr>
            <w:r w:rsidRPr="00176424">
              <w:rPr>
                <w:rFonts w:eastAsia="Calibri"/>
                <w:sz w:val="12"/>
                <w:szCs w:val="10"/>
                <w:lang w:eastAsia="en-US"/>
              </w:rPr>
              <w:t>88.1</w:t>
            </w:r>
          </w:p>
        </w:tc>
        <w:tc>
          <w:tcPr>
            <w:tcW w:w="720" w:type="dxa"/>
            <w:tcBorders>
              <w:top w:val="nil"/>
              <w:left w:val="single" w:sz="4" w:space="0" w:color="auto"/>
              <w:bottom w:val="nil"/>
              <w:right w:val="single" w:sz="4" w:space="0" w:color="auto"/>
            </w:tcBorders>
          </w:tcPr>
          <w:p w14:paraId="404832A8" w14:textId="77777777" w:rsidR="00176424" w:rsidRPr="00176424" w:rsidRDefault="00176424" w:rsidP="00176424">
            <w:pPr>
              <w:ind w:right="170"/>
              <w:jc w:val="right"/>
              <w:rPr>
                <w:rFonts w:eastAsia="Calibri"/>
                <w:sz w:val="12"/>
                <w:szCs w:val="10"/>
                <w:lang w:eastAsia="en-US"/>
              </w:rPr>
            </w:pPr>
            <w:r w:rsidRPr="00176424">
              <w:rPr>
                <w:rFonts w:eastAsia="Calibri"/>
                <w:sz w:val="12"/>
                <w:szCs w:val="10"/>
                <w:lang w:eastAsia="en-US"/>
              </w:rPr>
              <w:t>72.2</w:t>
            </w:r>
          </w:p>
        </w:tc>
        <w:tc>
          <w:tcPr>
            <w:tcW w:w="488" w:type="dxa"/>
            <w:tcBorders>
              <w:top w:val="nil"/>
              <w:left w:val="single" w:sz="4" w:space="0" w:color="auto"/>
              <w:bottom w:val="nil"/>
              <w:right w:val="single" w:sz="2" w:space="0" w:color="auto"/>
            </w:tcBorders>
          </w:tcPr>
          <w:p w14:paraId="2CCC22C9"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48.4</w:t>
            </w:r>
          </w:p>
        </w:tc>
      </w:tr>
      <w:tr w:rsidR="00176424" w:rsidRPr="00176424" w14:paraId="0B861CD0" w14:textId="77777777" w:rsidTr="0023750A">
        <w:trPr>
          <w:jc w:val="center"/>
        </w:trPr>
        <w:tc>
          <w:tcPr>
            <w:tcW w:w="2797" w:type="dxa"/>
            <w:tcBorders>
              <w:top w:val="nil"/>
              <w:left w:val="single" w:sz="2" w:space="0" w:color="auto"/>
              <w:bottom w:val="nil"/>
              <w:right w:val="single" w:sz="4" w:space="0" w:color="auto"/>
            </w:tcBorders>
          </w:tcPr>
          <w:p w14:paraId="17E6CB86" w14:textId="77777777" w:rsidR="00176424" w:rsidRPr="00176424" w:rsidRDefault="00176424" w:rsidP="00176424">
            <w:pPr>
              <w:ind w:left="170"/>
              <w:jc w:val="both"/>
              <w:rPr>
                <w:rFonts w:eastAsia="Calibri"/>
                <w:sz w:val="12"/>
                <w:szCs w:val="10"/>
                <w:lang w:eastAsia="en-US"/>
              </w:rPr>
            </w:pPr>
            <w:r w:rsidRPr="00176424">
              <w:rPr>
                <w:rFonts w:eastAsia="Calibri"/>
                <w:sz w:val="12"/>
                <w:szCs w:val="10"/>
                <w:lang w:eastAsia="en-US"/>
              </w:rPr>
              <w:t>A proveedores</w:t>
            </w:r>
          </w:p>
        </w:tc>
        <w:tc>
          <w:tcPr>
            <w:tcW w:w="541" w:type="dxa"/>
            <w:tcBorders>
              <w:top w:val="nil"/>
              <w:left w:val="single" w:sz="4" w:space="0" w:color="auto"/>
              <w:bottom w:val="nil"/>
              <w:right w:val="single" w:sz="4" w:space="0" w:color="auto"/>
            </w:tcBorders>
          </w:tcPr>
          <w:p w14:paraId="0C1A81D7"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13.2</w:t>
            </w:r>
          </w:p>
        </w:tc>
        <w:tc>
          <w:tcPr>
            <w:tcW w:w="490" w:type="dxa"/>
            <w:gridSpan w:val="2"/>
            <w:tcBorders>
              <w:top w:val="nil"/>
              <w:left w:val="single" w:sz="4" w:space="0" w:color="auto"/>
              <w:bottom w:val="nil"/>
              <w:right w:val="single" w:sz="4" w:space="0" w:color="auto"/>
            </w:tcBorders>
          </w:tcPr>
          <w:p w14:paraId="6FF3C462"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16.6</w:t>
            </w:r>
          </w:p>
        </w:tc>
        <w:tc>
          <w:tcPr>
            <w:tcW w:w="594" w:type="dxa"/>
            <w:tcBorders>
              <w:top w:val="nil"/>
              <w:left w:val="single" w:sz="4" w:space="0" w:color="auto"/>
              <w:bottom w:val="nil"/>
              <w:right w:val="single" w:sz="4" w:space="0" w:color="auto"/>
            </w:tcBorders>
          </w:tcPr>
          <w:p w14:paraId="75C1D50A"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16.2</w:t>
            </w:r>
          </w:p>
        </w:tc>
        <w:tc>
          <w:tcPr>
            <w:tcW w:w="545" w:type="dxa"/>
            <w:tcBorders>
              <w:top w:val="nil"/>
              <w:left w:val="single" w:sz="4" w:space="0" w:color="auto"/>
              <w:bottom w:val="nil"/>
              <w:right w:val="single" w:sz="4" w:space="0" w:color="auto"/>
            </w:tcBorders>
          </w:tcPr>
          <w:p w14:paraId="2816E123"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15.2</w:t>
            </w:r>
          </w:p>
        </w:tc>
        <w:tc>
          <w:tcPr>
            <w:tcW w:w="542" w:type="dxa"/>
            <w:tcBorders>
              <w:top w:val="nil"/>
              <w:left w:val="single" w:sz="4" w:space="0" w:color="auto"/>
              <w:bottom w:val="nil"/>
              <w:right w:val="single" w:sz="4" w:space="0" w:color="auto"/>
            </w:tcBorders>
          </w:tcPr>
          <w:p w14:paraId="10C7C2FA"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12.1</w:t>
            </w:r>
          </w:p>
        </w:tc>
        <w:tc>
          <w:tcPr>
            <w:tcW w:w="720" w:type="dxa"/>
            <w:tcBorders>
              <w:top w:val="nil"/>
              <w:left w:val="single" w:sz="4" w:space="0" w:color="auto"/>
              <w:bottom w:val="nil"/>
              <w:right w:val="single" w:sz="4" w:space="0" w:color="auto"/>
            </w:tcBorders>
          </w:tcPr>
          <w:p w14:paraId="5A8F9A54" w14:textId="77777777" w:rsidR="00176424" w:rsidRPr="00176424" w:rsidRDefault="00176424" w:rsidP="00176424">
            <w:pPr>
              <w:ind w:right="170"/>
              <w:jc w:val="right"/>
              <w:rPr>
                <w:rFonts w:eastAsia="Calibri"/>
                <w:sz w:val="12"/>
                <w:szCs w:val="10"/>
                <w:lang w:eastAsia="en-US"/>
              </w:rPr>
            </w:pPr>
            <w:r w:rsidRPr="00176424">
              <w:rPr>
                <w:rFonts w:eastAsia="Calibri"/>
                <w:sz w:val="12"/>
                <w:szCs w:val="10"/>
                <w:lang w:eastAsia="en-US"/>
              </w:rPr>
              <w:t>9.9</w:t>
            </w:r>
          </w:p>
        </w:tc>
        <w:tc>
          <w:tcPr>
            <w:tcW w:w="720" w:type="dxa"/>
            <w:tcBorders>
              <w:top w:val="nil"/>
              <w:left w:val="single" w:sz="4" w:space="0" w:color="auto"/>
              <w:bottom w:val="nil"/>
              <w:right w:val="single" w:sz="4" w:space="0" w:color="auto"/>
            </w:tcBorders>
          </w:tcPr>
          <w:p w14:paraId="52207A7B" w14:textId="77777777" w:rsidR="00176424" w:rsidRPr="00176424" w:rsidRDefault="00176424" w:rsidP="00176424">
            <w:pPr>
              <w:ind w:right="170"/>
              <w:jc w:val="right"/>
              <w:rPr>
                <w:rFonts w:eastAsia="Calibri"/>
                <w:sz w:val="12"/>
                <w:szCs w:val="10"/>
                <w:lang w:eastAsia="en-US"/>
              </w:rPr>
            </w:pPr>
            <w:r w:rsidRPr="00176424">
              <w:rPr>
                <w:rFonts w:eastAsia="Calibri"/>
                <w:sz w:val="12"/>
                <w:szCs w:val="10"/>
                <w:lang w:eastAsia="en-US"/>
              </w:rPr>
              <w:t>13.5</w:t>
            </w:r>
          </w:p>
        </w:tc>
        <w:tc>
          <w:tcPr>
            <w:tcW w:w="899" w:type="dxa"/>
            <w:tcBorders>
              <w:top w:val="nil"/>
              <w:left w:val="single" w:sz="4" w:space="0" w:color="auto"/>
              <w:bottom w:val="nil"/>
              <w:right w:val="single" w:sz="4" w:space="0" w:color="auto"/>
            </w:tcBorders>
          </w:tcPr>
          <w:p w14:paraId="4307A516" w14:textId="77777777" w:rsidR="00176424" w:rsidRPr="00176424" w:rsidRDefault="00176424" w:rsidP="00176424">
            <w:pPr>
              <w:ind w:right="227"/>
              <w:jc w:val="right"/>
              <w:rPr>
                <w:rFonts w:eastAsia="Calibri"/>
                <w:sz w:val="12"/>
                <w:szCs w:val="10"/>
                <w:lang w:eastAsia="en-US"/>
              </w:rPr>
            </w:pPr>
            <w:r w:rsidRPr="00176424">
              <w:rPr>
                <w:rFonts w:eastAsia="Calibri"/>
                <w:sz w:val="12"/>
                <w:szCs w:val="10"/>
                <w:lang w:eastAsia="en-US"/>
              </w:rPr>
              <w:t>18.5</w:t>
            </w:r>
          </w:p>
        </w:tc>
        <w:tc>
          <w:tcPr>
            <w:tcW w:w="720" w:type="dxa"/>
            <w:tcBorders>
              <w:top w:val="nil"/>
              <w:left w:val="single" w:sz="4" w:space="0" w:color="auto"/>
              <w:bottom w:val="nil"/>
              <w:right w:val="single" w:sz="4" w:space="0" w:color="auto"/>
            </w:tcBorders>
          </w:tcPr>
          <w:p w14:paraId="1755261F" w14:textId="77777777" w:rsidR="00176424" w:rsidRPr="00176424" w:rsidRDefault="00176424" w:rsidP="00176424">
            <w:pPr>
              <w:ind w:right="170"/>
              <w:jc w:val="right"/>
              <w:rPr>
                <w:rFonts w:eastAsia="Calibri"/>
                <w:sz w:val="12"/>
                <w:szCs w:val="10"/>
                <w:lang w:eastAsia="en-US"/>
              </w:rPr>
            </w:pPr>
            <w:r w:rsidRPr="00176424">
              <w:rPr>
                <w:rFonts w:eastAsia="Calibri"/>
                <w:sz w:val="12"/>
                <w:szCs w:val="10"/>
                <w:lang w:eastAsia="en-US"/>
              </w:rPr>
              <w:t>8.9</w:t>
            </w:r>
          </w:p>
        </w:tc>
        <w:tc>
          <w:tcPr>
            <w:tcW w:w="488" w:type="dxa"/>
            <w:tcBorders>
              <w:top w:val="nil"/>
              <w:left w:val="single" w:sz="4" w:space="0" w:color="auto"/>
              <w:bottom w:val="nil"/>
              <w:right w:val="single" w:sz="2" w:space="0" w:color="auto"/>
            </w:tcBorders>
          </w:tcPr>
          <w:p w14:paraId="38A420AB"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11.0</w:t>
            </w:r>
          </w:p>
        </w:tc>
      </w:tr>
      <w:tr w:rsidR="00176424" w:rsidRPr="00176424" w14:paraId="306A13F2" w14:textId="77777777" w:rsidTr="0023750A">
        <w:trPr>
          <w:jc w:val="center"/>
        </w:trPr>
        <w:tc>
          <w:tcPr>
            <w:tcW w:w="2797" w:type="dxa"/>
            <w:tcBorders>
              <w:top w:val="nil"/>
              <w:left w:val="single" w:sz="2" w:space="0" w:color="auto"/>
              <w:bottom w:val="nil"/>
              <w:right w:val="single" w:sz="4" w:space="0" w:color="auto"/>
            </w:tcBorders>
          </w:tcPr>
          <w:p w14:paraId="330BFF20" w14:textId="77777777" w:rsidR="00176424" w:rsidRPr="00176424" w:rsidRDefault="00176424" w:rsidP="00176424">
            <w:pPr>
              <w:ind w:left="170"/>
              <w:jc w:val="both"/>
              <w:rPr>
                <w:rFonts w:eastAsia="Calibri"/>
                <w:sz w:val="12"/>
                <w:szCs w:val="10"/>
                <w:lang w:eastAsia="en-US"/>
              </w:rPr>
            </w:pPr>
            <w:r w:rsidRPr="00176424">
              <w:rPr>
                <w:rFonts w:eastAsia="Calibri"/>
                <w:sz w:val="12"/>
                <w:szCs w:val="10"/>
                <w:lang w:eastAsia="en-US"/>
              </w:rPr>
              <w:t>A empresas del grupo</w:t>
            </w:r>
          </w:p>
        </w:tc>
        <w:tc>
          <w:tcPr>
            <w:tcW w:w="541" w:type="dxa"/>
            <w:tcBorders>
              <w:top w:val="nil"/>
              <w:left w:val="single" w:sz="4" w:space="0" w:color="auto"/>
              <w:bottom w:val="nil"/>
              <w:right w:val="single" w:sz="4" w:space="0" w:color="auto"/>
            </w:tcBorders>
          </w:tcPr>
          <w:p w14:paraId="6E4744DD"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17.7</w:t>
            </w:r>
          </w:p>
        </w:tc>
        <w:tc>
          <w:tcPr>
            <w:tcW w:w="490" w:type="dxa"/>
            <w:gridSpan w:val="2"/>
            <w:tcBorders>
              <w:top w:val="nil"/>
              <w:left w:val="single" w:sz="4" w:space="0" w:color="auto"/>
              <w:bottom w:val="nil"/>
              <w:right w:val="single" w:sz="4" w:space="0" w:color="auto"/>
            </w:tcBorders>
          </w:tcPr>
          <w:p w14:paraId="3F29D51C"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14.8</w:t>
            </w:r>
          </w:p>
        </w:tc>
        <w:tc>
          <w:tcPr>
            <w:tcW w:w="594" w:type="dxa"/>
            <w:tcBorders>
              <w:top w:val="nil"/>
              <w:left w:val="single" w:sz="4" w:space="0" w:color="auto"/>
              <w:bottom w:val="nil"/>
              <w:right w:val="single" w:sz="4" w:space="0" w:color="auto"/>
            </w:tcBorders>
          </w:tcPr>
          <w:p w14:paraId="42E172B5"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15.1</w:t>
            </w:r>
          </w:p>
        </w:tc>
        <w:tc>
          <w:tcPr>
            <w:tcW w:w="545" w:type="dxa"/>
            <w:tcBorders>
              <w:top w:val="nil"/>
              <w:left w:val="single" w:sz="4" w:space="0" w:color="auto"/>
              <w:bottom w:val="nil"/>
              <w:right w:val="single" w:sz="4" w:space="0" w:color="auto"/>
            </w:tcBorders>
          </w:tcPr>
          <w:p w14:paraId="5DFA53EE"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14.8</w:t>
            </w:r>
          </w:p>
        </w:tc>
        <w:tc>
          <w:tcPr>
            <w:tcW w:w="542" w:type="dxa"/>
            <w:tcBorders>
              <w:top w:val="nil"/>
              <w:left w:val="single" w:sz="4" w:space="0" w:color="auto"/>
              <w:bottom w:val="nil"/>
              <w:right w:val="single" w:sz="4" w:space="0" w:color="auto"/>
            </w:tcBorders>
          </w:tcPr>
          <w:p w14:paraId="6772CAEB"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13.1</w:t>
            </w:r>
          </w:p>
        </w:tc>
        <w:tc>
          <w:tcPr>
            <w:tcW w:w="720" w:type="dxa"/>
            <w:tcBorders>
              <w:top w:val="nil"/>
              <w:left w:val="single" w:sz="4" w:space="0" w:color="auto"/>
              <w:bottom w:val="nil"/>
              <w:right w:val="single" w:sz="4" w:space="0" w:color="auto"/>
            </w:tcBorders>
          </w:tcPr>
          <w:p w14:paraId="39DF8412" w14:textId="77777777" w:rsidR="00176424" w:rsidRPr="00176424" w:rsidRDefault="00176424" w:rsidP="00176424">
            <w:pPr>
              <w:ind w:right="170"/>
              <w:jc w:val="right"/>
              <w:rPr>
                <w:rFonts w:eastAsia="Calibri"/>
                <w:sz w:val="12"/>
                <w:szCs w:val="10"/>
                <w:lang w:eastAsia="en-US"/>
              </w:rPr>
            </w:pPr>
            <w:r w:rsidRPr="00176424">
              <w:rPr>
                <w:rFonts w:eastAsia="Calibri"/>
                <w:sz w:val="12"/>
                <w:szCs w:val="10"/>
                <w:lang w:eastAsia="en-US"/>
              </w:rPr>
              <w:t>12.0</w:t>
            </w:r>
          </w:p>
        </w:tc>
        <w:tc>
          <w:tcPr>
            <w:tcW w:w="720" w:type="dxa"/>
            <w:tcBorders>
              <w:top w:val="nil"/>
              <w:left w:val="single" w:sz="4" w:space="0" w:color="auto"/>
              <w:bottom w:val="nil"/>
              <w:right w:val="single" w:sz="4" w:space="0" w:color="auto"/>
            </w:tcBorders>
          </w:tcPr>
          <w:p w14:paraId="4EDA7331" w14:textId="77777777" w:rsidR="00176424" w:rsidRPr="00176424" w:rsidRDefault="00176424" w:rsidP="00176424">
            <w:pPr>
              <w:ind w:right="170"/>
              <w:jc w:val="right"/>
              <w:rPr>
                <w:rFonts w:eastAsia="Calibri"/>
                <w:sz w:val="12"/>
                <w:szCs w:val="10"/>
                <w:lang w:eastAsia="en-US"/>
              </w:rPr>
            </w:pPr>
            <w:r w:rsidRPr="00176424">
              <w:rPr>
                <w:rFonts w:eastAsia="Calibri"/>
                <w:sz w:val="12"/>
                <w:szCs w:val="10"/>
                <w:lang w:eastAsia="en-US"/>
              </w:rPr>
              <w:t>13.8</w:t>
            </w:r>
          </w:p>
        </w:tc>
        <w:tc>
          <w:tcPr>
            <w:tcW w:w="899" w:type="dxa"/>
            <w:tcBorders>
              <w:top w:val="nil"/>
              <w:left w:val="single" w:sz="4" w:space="0" w:color="auto"/>
              <w:bottom w:val="nil"/>
              <w:right w:val="single" w:sz="4" w:space="0" w:color="auto"/>
            </w:tcBorders>
          </w:tcPr>
          <w:p w14:paraId="2D81F1AC" w14:textId="77777777" w:rsidR="00176424" w:rsidRPr="00176424" w:rsidRDefault="00176424" w:rsidP="00176424">
            <w:pPr>
              <w:ind w:right="227"/>
              <w:jc w:val="right"/>
              <w:rPr>
                <w:rFonts w:eastAsia="Calibri"/>
                <w:sz w:val="12"/>
                <w:szCs w:val="10"/>
                <w:lang w:eastAsia="en-US"/>
              </w:rPr>
            </w:pPr>
            <w:r w:rsidRPr="00176424">
              <w:rPr>
                <w:rFonts w:eastAsia="Calibri"/>
                <w:sz w:val="12"/>
                <w:szCs w:val="10"/>
                <w:lang w:eastAsia="en-US"/>
              </w:rPr>
              <w:t>14.7</w:t>
            </w:r>
          </w:p>
        </w:tc>
        <w:tc>
          <w:tcPr>
            <w:tcW w:w="720" w:type="dxa"/>
            <w:tcBorders>
              <w:top w:val="nil"/>
              <w:left w:val="single" w:sz="4" w:space="0" w:color="auto"/>
              <w:bottom w:val="nil"/>
              <w:right w:val="single" w:sz="4" w:space="0" w:color="auto"/>
            </w:tcBorders>
          </w:tcPr>
          <w:p w14:paraId="6D212946" w14:textId="77777777" w:rsidR="00176424" w:rsidRPr="00176424" w:rsidRDefault="00176424" w:rsidP="00176424">
            <w:pPr>
              <w:ind w:right="170"/>
              <w:jc w:val="right"/>
              <w:rPr>
                <w:rFonts w:eastAsia="Calibri"/>
                <w:sz w:val="12"/>
                <w:szCs w:val="10"/>
                <w:lang w:eastAsia="en-US"/>
              </w:rPr>
            </w:pPr>
            <w:r w:rsidRPr="00176424">
              <w:rPr>
                <w:rFonts w:eastAsia="Calibri"/>
                <w:sz w:val="12"/>
                <w:szCs w:val="10"/>
                <w:lang w:eastAsia="en-US"/>
              </w:rPr>
              <w:t>13.3</w:t>
            </w:r>
          </w:p>
        </w:tc>
        <w:tc>
          <w:tcPr>
            <w:tcW w:w="488" w:type="dxa"/>
            <w:tcBorders>
              <w:top w:val="nil"/>
              <w:left w:val="single" w:sz="4" w:space="0" w:color="auto"/>
              <w:bottom w:val="nil"/>
              <w:right w:val="single" w:sz="2" w:space="0" w:color="auto"/>
            </w:tcBorders>
          </w:tcPr>
          <w:p w14:paraId="2C3961CF"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6.1</w:t>
            </w:r>
          </w:p>
        </w:tc>
      </w:tr>
      <w:tr w:rsidR="00176424" w:rsidRPr="00176424" w14:paraId="21C2319A" w14:textId="77777777" w:rsidTr="0023750A">
        <w:trPr>
          <w:jc w:val="center"/>
        </w:trPr>
        <w:tc>
          <w:tcPr>
            <w:tcW w:w="2797" w:type="dxa"/>
            <w:tcBorders>
              <w:top w:val="nil"/>
              <w:left w:val="single" w:sz="2" w:space="0" w:color="auto"/>
              <w:bottom w:val="nil"/>
              <w:right w:val="single" w:sz="4" w:space="0" w:color="auto"/>
            </w:tcBorders>
          </w:tcPr>
          <w:p w14:paraId="708C0B45" w14:textId="77777777" w:rsidR="00176424" w:rsidRPr="00176424" w:rsidRDefault="00176424" w:rsidP="00176424">
            <w:pPr>
              <w:ind w:left="170"/>
              <w:jc w:val="both"/>
              <w:rPr>
                <w:rFonts w:eastAsia="Calibri"/>
                <w:sz w:val="12"/>
                <w:szCs w:val="10"/>
                <w:lang w:eastAsia="en-US"/>
              </w:rPr>
            </w:pPr>
            <w:r w:rsidRPr="00176424">
              <w:rPr>
                <w:rFonts w:eastAsia="Calibri"/>
                <w:sz w:val="12"/>
                <w:szCs w:val="10"/>
                <w:lang w:eastAsia="en-US"/>
              </w:rPr>
              <w:t>A otros</w:t>
            </w:r>
          </w:p>
        </w:tc>
        <w:tc>
          <w:tcPr>
            <w:tcW w:w="541" w:type="dxa"/>
            <w:tcBorders>
              <w:top w:val="nil"/>
              <w:left w:val="single" w:sz="4" w:space="0" w:color="auto"/>
              <w:bottom w:val="nil"/>
              <w:right w:val="single" w:sz="4" w:space="0" w:color="auto"/>
            </w:tcBorders>
          </w:tcPr>
          <w:p w14:paraId="47994689"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0.0</w:t>
            </w:r>
          </w:p>
        </w:tc>
        <w:tc>
          <w:tcPr>
            <w:tcW w:w="490" w:type="dxa"/>
            <w:gridSpan w:val="2"/>
            <w:tcBorders>
              <w:top w:val="nil"/>
              <w:left w:val="single" w:sz="4" w:space="0" w:color="auto"/>
              <w:bottom w:val="nil"/>
              <w:right w:val="single" w:sz="4" w:space="0" w:color="auto"/>
            </w:tcBorders>
          </w:tcPr>
          <w:p w14:paraId="5E33C1F8"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0.2</w:t>
            </w:r>
          </w:p>
        </w:tc>
        <w:tc>
          <w:tcPr>
            <w:tcW w:w="594" w:type="dxa"/>
            <w:tcBorders>
              <w:top w:val="nil"/>
              <w:left w:val="single" w:sz="4" w:space="0" w:color="auto"/>
              <w:bottom w:val="nil"/>
              <w:right w:val="single" w:sz="4" w:space="0" w:color="auto"/>
            </w:tcBorders>
          </w:tcPr>
          <w:p w14:paraId="02A53CE3"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0.6</w:t>
            </w:r>
          </w:p>
        </w:tc>
        <w:tc>
          <w:tcPr>
            <w:tcW w:w="545" w:type="dxa"/>
            <w:tcBorders>
              <w:top w:val="nil"/>
              <w:left w:val="single" w:sz="4" w:space="0" w:color="auto"/>
              <w:bottom w:val="nil"/>
              <w:right w:val="single" w:sz="4" w:space="0" w:color="auto"/>
            </w:tcBorders>
          </w:tcPr>
          <w:p w14:paraId="181D7243"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0.3</w:t>
            </w:r>
          </w:p>
        </w:tc>
        <w:tc>
          <w:tcPr>
            <w:tcW w:w="542" w:type="dxa"/>
            <w:tcBorders>
              <w:top w:val="nil"/>
              <w:left w:val="single" w:sz="4" w:space="0" w:color="auto"/>
              <w:bottom w:val="nil"/>
              <w:right w:val="single" w:sz="4" w:space="0" w:color="auto"/>
            </w:tcBorders>
          </w:tcPr>
          <w:p w14:paraId="3CB524BF"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0.3</w:t>
            </w:r>
          </w:p>
        </w:tc>
        <w:tc>
          <w:tcPr>
            <w:tcW w:w="720" w:type="dxa"/>
            <w:tcBorders>
              <w:top w:val="nil"/>
              <w:left w:val="single" w:sz="4" w:space="0" w:color="auto"/>
              <w:bottom w:val="nil"/>
              <w:right w:val="single" w:sz="4" w:space="0" w:color="auto"/>
            </w:tcBorders>
          </w:tcPr>
          <w:p w14:paraId="0C4F8AE8" w14:textId="77777777" w:rsidR="00176424" w:rsidRPr="00176424" w:rsidRDefault="00176424" w:rsidP="00176424">
            <w:pPr>
              <w:ind w:right="170"/>
              <w:jc w:val="right"/>
              <w:rPr>
                <w:rFonts w:eastAsia="Calibri"/>
                <w:sz w:val="12"/>
                <w:szCs w:val="10"/>
                <w:lang w:eastAsia="en-US"/>
              </w:rPr>
            </w:pPr>
            <w:r w:rsidRPr="00176424">
              <w:rPr>
                <w:rFonts w:eastAsia="Calibri"/>
                <w:sz w:val="12"/>
                <w:szCs w:val="10"/>
                <w:lang w:eastAsia="en-US"/>
              </w:rPr>
              <w:t>0.8</w:t>
            </w:r>
          </w:p>
        </w:tc>
        <w:tc>
          <w:tcPr>
            <w:tcW w:w="720" w:type="dxa"/>
            <w:tcBorders>
              <w:top w:val="nil"/>
              <w:left w:val="single" w:sz="4" w:space="0" w:color="auto"/>
              <w:bottom w:val="nil"/>
              <w:right w:val="single" w:sz="4" w:space="0" w:color="auto"/>
            </w:tcBorders>
          </w:tcPr>
          <w:p w14:paraId="62909FC0" w14:textId="77777777" w:rsidR="00176424" w:rsidRPr="00176424" w:rsidRDefault="00176424" w:rsidP="00176424">
            <w:pPr>
              <w:ind w:right="170"/>
              <w:jc w:val="right"/>
              <w:rPr>
                <w:rFonts w:eastAsia="Calibri"/>
                <w:sz w:val="12"/>
                <w:szCs w:val="10"/>
                <w:lang w:eastAsia="en-US"/>
              </w:rPr>
            </w:pPr>
            <w:r w:rsidRPr="00176424">
              <w:rPr>
                <w:rFonts w:eastAsia="Calibri"/>
                <w:sz w:val="12"/>
                <w:szCs w:val="10"/>
                <w:lang w:eastAsia="en-US"/>
              </w:rPr>
              <w:t>0.0</w:t>
            </w:r>
          </w:p>
        </w:tc>
        <w:tc>
          <w:tcPr>
            <w:tcW w:w="899" w:type="dxa"/>
            <w:tcBorders>
              <w:top w:val="nil"/>
              <w:left w:val="single" w:sz="4" w:space="0" w:color="auto"/>
              <w:bottom w:val="nil"/>
              <w:right w:val="single" w:sz="4" w:space="0" w:color="auto"/>
            </w:tcBorders>
          </w:tcPr>
          <w:p w14:paraId="614D6ECD" w14:textId="77777777" w:rsidR="00176424" w:rsidRPr="00176424" w:rsidRDefault="00176424" w:rsidP="00176424">
            <w:pPr>
              <w:ind w:right="227"/>
              <w:jc w:val="right"/>
              <w:rPr>
                <w:rFonts w:eastAsia="Calibri"/>
                <w:sz w:val="12"/>
                <w:szCs w:val="10"/>
                <w:lang w:eastAsia="en-US"/>
              </w:rPr>
            </w:pPr>
            <w:r w:rsidRPr="00176424">
              <w:rPr>
                <w:rFonts w:eastAsia="Calibri"/>
                <w:sz w:val="12"/>
                <w:szCs w:val="10"/>
                <w:lang w:eastAsia="en-US"/>
              </w:rPr>
              <w:t>0.9</w:t>
            </w:r>
          </w:p>
        </w:tc>
        <w:tc>
          <w:tcPr>
            <w:tcW w:w="720" w:type="dxa"/>
            <w:tcBorders>
              <w:top w:val="nil"/>
              <w:left w:val="single" w:sz="4" w:space="0" w:color="auto"/>
              <w:bottom w:val="nil"/>
              <w:right w:val="single" w:sz="4" w:space="0" w:color="auto"/>
            </w:tcBorders>
          </w:tcPr>
          <w:p w14:paraId="72A09772" w14:textId="77777777" w:rsidR="00176424" w:rsidRPr="00176424" w:rsidRDefault="00176424" w:rsidP="00176424">
            <w:pPr>
              <w:ind w:right="170"/>
              <w:jc w:val="right"/>
              <w:rPr>
                <w:rFonts w:eastAsia="Calibri"/>
                <w:sz w:val="12"/>
                <w:szCs w:val="10"/>
                <w:lang w:eastAsia="en-US"/>
              </w:rPr>
            </w:pPr>
            <w:r w:rsidRPr="00176424">
              <w:rPr>
                <w:rFonts w:eastAsia="Calibri"/>
                <w:sz w:val="12"/>
                <w:szCs w:val="10"/>
                <w:lang w:eastAsia="en-US"/>
              </w:rPr>
              <w:t>0.0</w:t>
            </w:r>
          </w:p>
        </w:tc>
        <w:tc>
          <w:tcPr>
            <w:tcW w:w="488" w:type="dxa"/>
            <w:tcBorders>
              <w:top w:val="nil"/>
              <w:left w:val="single" w:sz="4" w:space="0" w:color="auto"/>
              <w:bottom w:val="nil"/>
              <w:right w:val="single" w:sz="2" w:space="0" w:color="auto"/>
            </w:tcBorders>
          </w:tcPr>
          <w:p w14:paraId="15DEDC9D"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0.0</w:t>
            </w:r>
          </w:p>
        </w:tc>
      </w:tr>
      <w:tr w:rsidR="00176424" w:rsidRPr="00176424" w14:paraId="4F36EED7" w14:textId="77777777" w:rsidTr="0023750A">
        <w:trPr>
          <w:jc w:val="center"/>
        </w:trPr>
        <w:tc>
          <w:tcPr>
            <w:tcW w:w="2797" w:type="dxa"/>
            <w:tcBorders>
              <w:top w:val="nil"/>
              <w:left w:val="single" w:sz="2" w:space="0" w:color="auto"/>
              <w:bottom w:val="nil"/>
              <w:right w:val="single" w:sz="4" w:space="0" w:color="auto"/>
            </w:tcBorders>
          </w:tcPr>
          <w:p w14:paraId="31F5AE1F" w14:textId="77777777" w:rsidR="00176424" w:rsidRPr="00176424" w:rsidRDefault="00176424" w:rsidP="00176424">
            <w:pPr>
              <w:jc w:val="both"/>
              <w:rPr>
                <w:rFonts w:eastAsia="Calibri"/>
                <w:sz w:val="12"/>
                <w:szCs w:val="10"/>
                <w:lang w:eastAsia="en-US"/>
              </w:rPr>
            </w:pPr>
            <w:r w:rsidRPr="00176424">
              <w:rPr>
                <w:rFonts w:eastAsia="Calibri"/>
                <w:sz w:val="12"/>
                <w:szCs w:val="10"/>
                <w:lang w:eastAsia="en-US"/>
              </w:rPr>
              <w:t>Plazo promedio del financiamiento otorgado en días:</w:t>
            </w:r>
          </w:p>
        </w:tc>
        <w:tc>
          <w:tcPr>
            <w:tcW w:w="541" w:type="dxa"/>
            <w:tcBorders>
              <w:top w:val="nil"/>
              <w:left w:val="single" w:sz="4" w:space="0" w:color="auto"/>
              <w:bottom w:val="nil"/>
              <w:right w:val="single" w:sz="4" w:space="0" w:color="auto"/>
            </w:tcBorders>
          </w:tcPr>
          <w:p w14:paraId="3925B88C" w14:textId="77777777" w:rsidR="00176424" w:rsidRPr="00176424" w:rsidRDefault="00176424" w:rsidP="00176424">
            <w:pPr>
              <w:ind w:right="57"/>
              <w:jc w:val="right"/>
              <w:rPr>
                <w:rFonts w:eastAsia="Calibri"/>
                <w:sz w:val="12"/>
                <w:szCs w:val="10"/>
                <w:lang w:eastAsia="en-US"/>
              </w:rPr>
            </w:pPr>
          </w:p>
        </w:tc>
        <w:tc>
          <w:tcPr>
            <w:tcW w:w="490" w:type="dxa"/>
            <w:gridSpan w:val="2"/>
            <w:tcBorders>
              <w:top w:val="nil"/>
              <w:left w:val="single" w:sz="4" w:space="0" w:color="auto"/>
              <w:bottom w:val="nil"/>
              <w:right w:val="single" w:sz="4" w:space="0" w:color="auto"/>
            </w:tcBorders>
          </w:tcPr>
          <w:p w14:paraId="7725B22A" w14:textId="77777777" w:rsidR="00176424" w:rsidRPr="00176424" w:rsidRDefault="00176424" w:rsidP="00176424">
            <w:pPr>
              <w:ind w:right="57"/>
              <w:jc w:val="right"/>
              <w:rPr>
                <w:rFonts w:eastAsia="Calibri"/>
                <w:sz w:val="12"/>
                <w:szCs w:val="10"/>
                <w:lang w:eastAsia="en-US"/>
              </w:rPr>
            </w:pPr>
          </w:p>
        </w:tc>
        <w:tc>
          <w:tcPr>
            <w:tcW w:w="594" w:type="dxa"/>
            <w:tcBorders>
              <w:top w:val="nil"/>
              <w:left w:val="single" w:sz="4" w:space="0" w:color="auto"/>
              <w:bottom w:val="nil"/>
              <w:right w:val="single" w:sz="4" w:space="0" w:color="auto"/>
            </w:tcBorders>
          </w:tcPr>
          <w:p w14:paraId="7C30F741" w14:textId="77777777" w:rsidR="00176424" w:rsidRPr="00176424" w:rsidRDefault="00176424" w:rsidP="00176424">
            <w:pPr>
              <w:ind w:right="57"/>
              <w:jc w:val="right"/>
              <w:rPr>
                <w:rFonts w:eastAsia="Calibri"/>
                <w:sz w:val="12"/>
                <w:szCs w:val="10"/>
                <w:lang w:eastAsia="en-US"/>
              </w:rPr>
            </w:pPr>
          </w:p>
        </w:tc>
        <w:tc>
          <w:tcPr>
            <w:tcW w:w="545" w:type="dxa"/>
            <w:tcBorders>
              <w:top w:val="nil"/>
              <w:left w:val="single" w:sz="4" w:space="0" w:color="auto"/>
              <w:bottom w:val="nil"/>
              <w:right w:val="single" w:sz="4" w:space="0" w:color="auto"/>
            </w:tcBorders>
          </w:tcPr>
          <w:p w14:paraId="7D8A7E82" w14:textId="77777777" w:rsidR="00176424" w:rsidRPr="00176424" w:rsidRDefault="00176424" w:rsidP="00176424">
            <w:pPr>
              <w:ind w:right="57"/>
              <w:jc w:val="right"/>
              <w:rPr>
                <w:rFonts w:eastAsia="Calibri"/>
                <w:sz w:val="12"/>
                <w:szCs w:val="10"/>
                <w:lang w:eastAsia="en-US"/>
              </w:rPr>
            </w:pPr>
          </w:p>
        </w:tc>
        <w:tc>
          <w:tcPr>
            <w:tcW w:w="542" w:type="dxa"/>
            <w:tcBorders>
              <w:top w:val="nil"/>
              <w:left w:val="single" w:sz="4" w:space="0" w:color="auto"/>
              <w:bottom w:val="nil"/>
              <w:right w:val="single" w:sz="4" w:space="0" w:color="auto"/>
            </w:tcBorders>
          </w:tcPr>
          <w:p w14:paraId="452431D8" w14:textId="77777777" w:rsidR="00176424" w:rsidRPr="00176424" w:rsidRDefault="00176424" w:rsidP="00176424">
            <w:pPr>
              <w:ind w:right="57"/>
              <w:jc w:val="right"/>
              <w:rPr>
                <w:rFonts w:eastAsia="Calibri"/>
                <w:sz w:val="12"/>
                <w:szCs w:val="10"/>
                <w:lang w:eastAsia="en-US"/>
              </w:rPr>
            </w:pPr>
          </w:p>
        </w:tc>
        <w:tc>
          <w:tcPr>
            <w:tcW w:w="720" w:type="dxa"/>
            <w:tcBorders>
              <w:top w:val="nil"/>
              <w:left w:val="single" w:sz="4" w:space="0" w:color="auto"/>
              <w:bottom w:val="nil"/>
              <w:right w:val="single" w:sz="4" w:space="0" w:color="auto"/>
            </w:tcBorders>
          </w:tcPr>
          <w:p w14:paraId="1899059C" w14:textId="77777777" w:rsidR="00176424" w:rsidRPr="00176424" w:rsidRDefault="00176424" w:rsidP="00176424">
            <w:pPr>
              <w:ind w:right="170"/>
              <w:jc w:val="right"/>
              <w:rPr>
                <w:rFonts w:eastAsia="Calibri"/>
                <w:sz w:val="12"/>
                <w:szCs w:val="10"/>
                <w:lang w:eastAsia="en-US"/>
              </w:rPr>
            </w:pPr>
          </w:p>
        </w:tc>
        <w:tc>
          <w:tcPr>
            <w:tcW w:w="720" w:type="dxa"/>
            <w:tcBorders>
              <w:top w:val="nil"/>
              <w:left w:val="single" w:sz="4" w:space="0" w:color="auto"/>
              <w:bottom w:val="nil"/>
              <w:right w:val="single" w:sz="4" w:space="0" w:color="auto"/>
            </w:tcBorders>
          </w:tcPr>
          <w:p w14:paraId="4178F8DB" w14:textId="77777777" w:rsidR="00176424" w:rsidRPr="00176424" w:rsidRDefault="00176424" w:rsidP="00176424">
            <w:pPr>
              <w:ind w:right="170"/>
              <w:jc w:val="right"/>
              <w:rPr>
                <w:rFonts w:eastAsia="Calibri"/>
                <w:sz w:val="12"/>
                <w:szCs w:val="10"/>
                <w:lang w:eastAsia="en-US"/>
              </w:rPr>
            </w:pPr>
          </w:p>
        </w:tc>
        <w:tc>
          <w:tcPr>
            <w:tcW w:w="899" w:type="dxa"/>
            <w:tcBorders>
              <w:top w:val="nil"/>
              <w:left w:val="single" w:sz="4" w:space="0" w:color="auto"/>
              <w:bottom w:val="nil"/>
              <w:right w:val="single" w:sz="4" w:space="0" w:color="auto"/>
            </w:tcBorders>
          </w:tcPr>
          <w:p w14:paraId="58EFB276" w14:textId="77777777" w:rsidR="00176424" w:rsidRPr="00176424" w:rsidRDefault="00176424" w:rsidP="00176424">
            <w:pPr>
              <w:ind w:right="227"/>
              <w:jc w:val="right"/>
              <w:rPr>
                <w:rFonts w:eastAsia="Calibri"/>
                <w:sz w:val="12"/>
                <w:szCs w:val="10"/>
                <w:lang w:eastAsia="en-US"/>
              </w:rPr>
            </w:pPr>
          </w:p>
        </w:tc>
        <w:tc>
          <w:tcPr>
            <w:tcW w:w="720" w:type="dxa"/>
            <w:tcBorders>
              <w:top w:val="nil"/>
              <w:left w:val="single" w:sz="4" w:space="0" w:color="auto"/>
              <w:bottom w:val="nil"/>
              <w:right w:val="single" w:sz="4" w:space="0" w:color="auto"/>
            </w:tcBorders>
          </w:tcPr>
          <w:p w14:paraId="7E9E4EF3" w14:textId="77777777" w:rsidR="00176424" w:rsidRPr="00176424" w:rsidRDefault="00176424" w:rsidP="00176424">
            <w:pPr>
              <w:ind w:right="170"/>
              <w:jc w:val="right"/>
              <w:rPr>
                <w:rFonts w:eastAsia="Calibri"/>
                <w:sz w:val="12"/>
                <w:szCs w:val="10"/>
                <w:lang w:eastAsia="en-US"/>
              </w:rPr>
            </w:pPr>
          </w:p>
        </w:tc>
        <w:tc>
          <w:tcPr>
            <w:tcW w:w="488" w:type="dxa"/>
            <w:tcBorders>
              <w:top w:val="nil"/>
              <w:left w:val="single" w:sz="4" w:space="0" w:color="auto"/>
              <w:bottom w:val="nil"/>
              <w:right w:val="single" w:sz="2" w:space="0" w:color="auto"/>
            </w:tcBorders>
          </w:tcPr>
          <w:p w14:paraId="1A47CAAC" w14:textId="77777777" w:rsidR="00176424" w:rsidRPr="00176424" w:rsidRDefault="00176424" w:rsidP="00176424">
            <w:pPr>
              <w:ind w:right="57"/>
              <w:jc w:val="right"/>
              <w:rPr>
                <w:rFonts w:eastAsia="Calibri"/>
                <w:sz w:val="12"/>
                <w:szCs w:val="10"/>
                <w:lang w:eastAsia="en-US"/>
              </w:rPr>
            </w:pPr>
          </w:p>
        </w:tc>
      </w:tr>
      <w:tr w:rsidR="00176424" w:rsidRPr="00176424" w14:paraId="1BE8F98A" w14:textId="77777777" w:rsidTr="0023750A">
        <w:trPr>
          <w:jc w:val="center"/>
        </w:trPr>
        <w:tc>
          <w:tcPr>
            <w:tcW w:w="2797" w:type="dxa"/>
            <w:tcBorders>
              <w:top w:val="nil"/>
              <w:left w:val="single" w:sz="2" w:space="0" w:color="auto"/>
              <w:bottom w:val="nil"/>
              <w:right w:val="single" w:sz="4" w:space="0" w:color="auto"/>
            </w:tcBorders>
          </w:tcPr>
          <w:p w14:paraId="09759D74" w14:textId="77777777" w:rsidR="00176424" w:rsidRPr="00176424" w:rsidRDefault="00176424" w:rsidP="00176424">
            <w:pPr>
              <w:ind w:left="170"/>
              <w:jc w:val="both"/>
              <w:rPr>
                <w:rFonts w:eastAsia="Calibri"/>
                <w:sz w:val="12"/>
                <w:szCs w:val="10"/>
                <w:lang w:eastAsia="en-US"/>
              </w:rPr>
            </w:pPr>
            <w:r w:rsidRPr="00176424">
              <w:rPr>
                <w:rFonts w:eastAsia="Calibri"/>
                <w:sz w:val="12"/>
                <w:szCs w:val="10"/>
                <w:lang w:eastAsia="en-US"/>
              </w:rPr>
              <w:t>A clientes</w:t>
            </w:r>
          </w:p>
        </w:tc>
        <w:tc>
          <w:tcPr>
            <w:tcW w:w="541" w:type="dxa"/>
            <w:tcBorders>
              <w:top w:val="nil"/>
              <w:left w:val="single" w:sz="4" w:space="0" w:color="auto"/>
              <w:bottom w:val="nil"/>
              <w:right w:val="single" w:sz="4" w:space="0" w:color="auto"/>
            </w:tcBorders>
          </w:tcPr>
          <w:p w14:paraId="00261B79"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56</w:t>
            </w:r>
          </w:p>
        </w:tc>
        <w:tc>
          <w:tcPr>
            <w:tcW w:w="490" w:type="dxa"/>
            <w:gridSpan w:val="2"/>
            <w:tcBorders>
              <w:top w:val="nil"/>
              <w:left w:val="single" w:sz="4" w:space="0" w:color="auto"/>
              <w:bottom w:val="nil"/>
              <w:right w:val="single" w:sz="4" w:space="0" w:color="auto"/>
            </w:tcBorders>
          </w:tcPr>
          <w:p w14:paraId="50F8AA80"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58</w:t>
            </w:r>
          </w:p>
        </w:tc>
        <w:tc>
          <w:tcPr>
            <w:tcW w:w="594" w:type="dxa"/>
            <w:tcBorders>
              <w:top w:val="nil"/>
              <w:left w:val="single" w:sz="4" w:space="0" w:color="auto"/>
              <w:bottom w:val="nil"/>
              <w:right w:val="single" w:sz="4" w:space="0" w:color="auto"/>
            </w:tcBorders>
          </w:tcPr>
          <w:p w14:paraId="6EB1DD85"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59</w:t>
            </w:r>
          </w:p>
        </w:tc>
        <w:tc>
          <w:tcPr>
            <w:tcW w:w="545" w:type="dxa"/>
            <w:tcBorders>
              <w:top w:val="nil"/>
              <w:left w:val="single" w:sz="4" w:space="0" w:color="auto"/>
              <w:bottom w:val="nil"/>
              <w:right w:val="single" w:sz="4" w:space="0" w:color="auto"/>
            </w:tcBorders>
          </w:tcPr>
          <w:p w14:paraId="388C2A8F"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64</w:t>
            </w:r>
          </w:p>
        </w:tc>
        <w:tc>
          <w:tcPr>
            <w:tcW w:w="542" w:type="dxa"/>
            <w:tcBorders>
              <w:top w:val="nil"/>
              <w:left w:val="single" w:sz="4" w:space="0" w:color="auto"/>
              <w:bottom w:val="nil"/>
              <w:right w:val="single" w:sz="4" w:space="0" w:color="auto"/>
            </w:tcBorders>
          </w:tcPr>
          <w:p w14:paraId="74497182"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62</w:t>
            </w:r>
          </w:p>
        </w:tc>
        <w:tc>
          <w:tcPr>
            <w:tcW w:w="720" w:type="dxa"/>
            <w:tcBorders>
              <w:top w:val="nil"/>
              <w:left w:val="single" w:sz="4" w:space="0" w:color="auto"/>
              <w:bottom w:val="nil"/>
              <w:right w:val="single" w:sz="4" w:space="0" w:color="auto"/>
            </w:tcBorders>
          </w:tcPr>
          <w:p w14:paraId="409485F5" w14:textId="77777777" w:rsidR="00176424" w:rsidRPr="00176424" w:rsidRDefault="00176424" w:rsidP="00176424">
            <w:pPr>
              <w:ind w:right="170"/>
              <w:jc w:val="right"/>
              <w:rPr>
                <w:rFonts w:eastAsia="Calibri"/>
                <w:sz w:val="12"/>
                <w:szCs w:val="10"/>
                <w:lang w:eastAsia="en-US"/>
              </w:rPr>
            </w:pPr>
            <w:r w:rsidRPr="00176424">
              <w:rPr>
                <w:rFonts w:eastAsia="Calibri"/>
                <w:sz w:val="12"/>
                <w:szCs w:val="10"/>
                <w:lang w:eastAsia="en-US"/>
              </w:rPr>
              <w:t>59</w:t>
            </w:r>
          </w:p>
        </w:tc>
        <w:tc>
          <w:tcPr>
            <w:tcW w:w="720" w:type="dxa"/>
            <w:tcBorders>
              <w:top w:val="nil"/>
              <w:left w:val="single" w:sz="4" w:space="0" w:color="auto"/>
              <w:bottom w:val="nil"/>
              <w:right w:val="single" w:sz="4" w:space="0" w:color="auto"/>
            </w:tcBorders>
          </w:tcPr>
          <w:p w14:paraId="1CE3DA0E" w14:textId="77777777" w:rsidR="00176424" w:rsidRPr="00176424" w:rsidRDefault="00176424" w:rsidP="00176424">
            <w:pPr>
              <w:ind w:right="170"/>
              <w:jc w:val="right"/>
              <w:rPr>
                <w:rFonts w:eastAsia="Calibri"/>
                <w:sz w:val="12"/>
                <w:szCs w:val="10"/>
                <w:lang w:eastAsia="en-US"/>
              </w:rPr>
            </w:pPr>
            <w:r w:rsidRPr="00176424">
              <w:rPr>
                <w:rFonts w:eastAsia="Calibri"/>
                <w:sz w:val="12"/>
                <w:szCs w:val="10"/>
                <w:lang w:eastAsia="en-US"/>
              </w:rPr>
              <w:t>65</w:t>
            </w:r>
          </w:p>
        </w:tc>
        <w:tc>
          <w:tcPr>
            <w:tcW w:w="899" w:type="dxa"/>
            <w:tcBorders>
              <w:top w:val="nil"/>
              <w:left w:val="single" w:sz="4" w:space="0" w:color="auto"/>
              <w:bottom w:val="nil"/>
              <w:right w:val="single" w:sz="4" w:space="0" w:color="auto"/>
            </w:tcBorders>
          </w:tcPr>
          <w:p w14:paraId="6C30FA97" w14:textId="77777777" w:rsidR="00176424" w:rsidRPr="00176424" w:rsidRDefault="00176424" w:rsidP="00176424">
            <w:pPr>
              <w:ind w:right="227"/>
              <w:jc w:val="right"/>
              <w:rPr>
                <w:rFonts w:eastAsia="Calibri"/>
                <w:sz w:val="12"/>
                <w:szCs w:val="10"/>
                <w:lang w:eastAsia="en-US"/>
              </w:rPr>
            </w:pPr>
            <w:r w:rsidRPr="00176424">
              <w:rPr>
                <w:rFonts w:eastAsia="Calibri"/>
                <w:sz w:val="12"/>
                <w:szCs w:val="10"/>
                <w:lang w:eastAsia="en-US"/>
              </w:rPr>
              <w:t>54</w:t>
            </w:r>
          </w:p>
        </w:tc>
        <w:tc>
          <w:tcPr>
            <w:tcW w:w="720" w:type="dxa"/>
            <w:tcBorders>
              <w:top w:val="nil"/>
              <w:left w:val="single" w:sz="4" w:space="0" w:color="auto"/>
              <w:bottom w:val="nil"/>
              <w:right w:val="single" w:sz="4" w:space="0" w:color="auto"/>
            </w:tcBorders>
          </w:tcPr>
          <w:p w14:paraId="2E0A52D7" w14:textId="77777777" w:rsidR="00176424" w:rsidRPr="00176424" w:rsidRDefault="00176424" w:rsidP="00176424">
            <w:pPr>
              <w:ind w:right="170"/>
              <w:jc w:val="right"/>
              <w:rPr>
                <w:rFonts w:eastAsia="Calibri"/>
                <w:sz w:val="12"/>
                <w:szCs w:val="10"/>
                <w:lang w:eastAsia="en-US"/>
              </w:rPr>
            </w:pPr>
            <w:r w:rsidRPr="00176424">
              <w:rPr>
                <w:rFonts w:eastAsia="Calibri"/>
                <w:sz w:val="12"/>
                <w:szCs w:val="10"/>
                <w:lang w:eastAsia="en-US"/>
              </w:rPr>
              <w:t>69</w:t>
            </w:r>
          </w:p>
        </w:tc>
        <w:tc>
          <w:tcPr>
            <w:tcW w:w="488" w:type="dxa"/>
            <w:tcBorders>
              <w:top w:val="nil"/>
              <w:left w:val="single" w:sz="4" w:space="0" w:color="auto"/>
              <w:bottom w:val="nil"/>
              <w:right w:val="single" w:sz="2" w:space="0" w:color="auto"/>
            </w:tcBorders>
          </w:tcPr>
          <w:p w14:paraId="5D18CFCE"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51</w:t>
            </w:r>
          </w:p>
        </w:tc>
      </w:tr>
      <w:tr w:rsidR="00176424" w:rsidRPr="00176424" w14:paraId="2F83D361" w14:textId="77777777" w:rsidTr="0023750A">
        <w:trPr>
          <w:jc w:val="center"/>
        </w:trPr>
        <w:tc>
          <w:tcPr>
            <w:tcW w:w="2797" w:type="dxa"/>
            <w:tcBorders>
              <w:top w:val="nil"/>
              <w:left w:val="single" w:sz="2" w:space="0" w:color="auto"/>
              <w:bottom w:val="nil"/>
              <w:right w:val="single" w:sz="4" w:space="0" w:color="auto"/>
            </w:tcBorders>
          </w:tcPr>
          <w:p w14:paraId="53B9E598" w14:textId="77777777" w:rsidR="00176424" w:rsidRPr="00176424" w:rsidRDefault="00176424" w:rsidP="00176424">
            <w:pPr>
              <w:ind w:left="170"/>
              <w:jc w:val="both"/>
              <w:rPr>
                <w:rFonts w:eastAsia="Calibri"/>
                <w:sz w:val="12"/>
                <w:szCs w:val="10"/>
                <w:lang w:eastAsia="en-US"/>
              </w:rPr>
            </w:pPr>
            <w:r w:rsidRPr="00176424">
              <w:rPr>
                <w:rFonts w:eastAsia="Calibri"/>
                <w:sz w:val="12"/>
                <w:szCs w:val="10"/>
                <w:lang w:eastAsia="en-US"/>
              </w:rPr>
              <w:t>A proveedores</w:t>
            </w:r>
          </w:p>
        </w:tc>
        <w:tc>
          <w:tcPr>
            <w:tcW w:w="541" w:type="dxa"/>
            <w:tcBorders>
              <w:top w:val="nil"/>
              <w:left w:val="single" w:sz="4" w:space="0" w:color="auto"/>
              <w:bottom w:val="nil"/>
              <w:right w:val="single" w:sz="4" w:space="0" w:color="auto"/>
            </w:tcBorders>
          </w:tcPr>
          <w:p w14:paraId="1DA9D67B"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48</w:t>
            </w:r>
          </w:p>
        </w:tc>
        <w:tc>
          <w:tcPr>
            <w:tcW w:w="490" w:type="dxa"/>
            <w:gridSpan w:val="2"/>
            <w:tcBorders>
              <w:top w:val="nil"/>
              <w:left w:val="single" w:sz="4" w:space="0" w:color="auto"/>
              <w:bottom w:val="nil"/>
              <w:right w:val="single" w:sz="4" w:space="0" w:color="auto"/>
            </w:tcBorders>
          </w:tcPr>
          <w:p w14:paraId="1795F37E"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45</w:t>
            </w:r>
          </w:p>
        </w:tc>
        <w:tc>
          <w:tcPr>
            <w:tcW w:w="594" w:type="dxa"/>
            <w:tcBorders>
              <w:top w:val="nil"/>
              <w:left w:val="single" w:sz="4" w:space="0" w:color="auto"/>
              <w:bottom w:val="nil"/>
              <w:right w:val="single" w:sz="4" w:space="0" w:color="auto"/>
            </w:tcBorders>
          </w:tcPr>
          <w:p w14:paraId="6EAAF533"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53</w:t>
            </w:r>
          </w:p>
        </w:tc>
        <w:tc>
          <w:tcPr>
            <w:tcW w:w="545" w:type="dxa"/>
            <w:tcBorders>
              <w:top w:val="nil"/>
              <w:left w:val="single" w:sz="4" w:space="0" w:color="auto"/>
              <w:bottom w:val="nil"/>
              <w:right w:val="single" w:sz="4" w:space="0" w:color="auto"/>
            </w:tcBorders>
          </w:tcPr>
          <w:p w14:paraId="2F8D89DC"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46</w:t>
            </w:r>
          </w:p>
        </w:tc>
        <w:tc>
          <w:tcPr>
            <w:tcW w:w="542" w:type="dxa"/>
            <w:tcBorders>
              <w:top w:val="nil"/>
              <w:left w:val="single" w:sz="4" w:space="0" w:color="auto"/>
              <w:bottom w:val="nil"/>
              <w:right w:val="single" w:sz="4" w:space="0" w:color="auto"/>
            </w:tcBorders>
          </w:tcPr>
          <w:p w14:paraId="63EE78CA"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51</w:t>
            </w:r>
          </w:p>
        </w:tc>
        <w:tc>
          <w:tcPr>
            <w:tcW w:w="720" w:type="dxa"/>
            <w:tcBorders>
              <w:top w:val="nil"/>
              <w:left w:val="single" w:sz="4" w:space="0" w:color="auto"/>
              <w:bottom w:val="nil"/>
              <w:right w:val="single" w:sz="4" w:space="0" w:color="auto"/>
            </w:tcBorders>
          </w:tcPr>
          <w:p w14:paraId="4E9CBC3E" w14:textId="77777777" w:rsidR="00176424" w:rsidRPr="00176424" w:rsidRDefault="00176424" w:rsidP="00176424">
            <w:pPr>
              <w:ind w:right="170"/>
              <w:jc w:val="right"/>
              <w:rPr>
                <w:rFonts w:eastAsia="Calibri"/>
                <w:sz w:val="12"/>
                <w:szCs w:val="10"/>
                <w:lang w:eastAsia="en-US"/>
              </w:rPr>
            </w:pPr>
            <w:r w:rsidRPr="00176424">
              <w:rPr>
                <w:rFonts w:eastAsia="Calibri"/>
                <w:sz w:val="12"/>
                <w:szCs w:val="10"/>
                <w:lang w:eastAsia="en-US"/>
              </w:rPr>
              <w:t>50</w:t>
            </w:r>
          </w:p>
        </w:tc>
        <w:tc>
          <w:tcPr>
            <w:tcW w:w="720" w:type="dxa"/>
            <w:tcBorders>
              <w:top w:val="nil"/>
              <w:left w:val="single" w:sz="4" w:space="0" w:color="auto"/>
              <w:bottom w:val="nil"/>
              <w:right w:val="single" w:sz="4" w:space="0" w:color="auto"/>
            </w:tcBorders>
          </w:tcPr>
          <w:p w14:paraId="6DEE6EB6" w14:textId="77777777" w:rsidR="00176424" w:rsidRPr="00176424" w:rsidRDefault="00176424" w:rsidP="00176424">
            <w:pPr>
              <w:ind w:right="170"/>
              <w:jc w:val="right"/>
              <w:rPr>
                <w:rFonts w:eastAsia="Calibri"/>
                <w:sz w:val="12"/>
                <w:szCs w:val="10"/>
                <w:lang w:eastAsia="en-US"/>
              </w:rPr>
            </w:pPr>
            <w:r w:rsidRPr="00176424">
              <w:rPr>
                <w:rFonts w:eastAsia="Calibri"/>
                <w:sz w:val="12"/>
                <w:szCs w:val="10"/>
                <w:lang w:eastAsia="en-US"/>
              </w:rPr>
              <w:t>51</w:t>
            </w:r>
          </w:p>
        </w:tc>
        <w:tc>
          <w:tcPr>
            <w:tcW w:w="899" w:type="dxa"/>
            <w:tcBorders>
              <w:top w:val="nil"/>
              <w:left w:val="single" w:sz="4" w:space="0" w:color="auto"/>
              <w:bottom w:val="nil"/>
              <w:right w:val="single" w:sz="4" w:space="0" w:color="auto"/>
            </w:tcBorders>
          </w:tcPr>
          <w:p w14:paraId="6F1A344D" w14:textId="77777777" w:rsidR="00176424" w:rsidRPr="00176424" w:rsidRDefault="00176424" w:rsidP="00176424">
            <w:pPr>
              <w:ind w:right="227"/>
              <w:jc w:val="right"/>
              <w:rPr>
                <w:rFonts w:eastAsia="Calibri"/>
                <w:sz w:val="12"/>
                <w:szCs w:val="10"/>
                <w:lang w:eastAsia="en-US"/>
              </w:rPr>
            </w:pPr>
            <w:r w:rsidRPr="00176424">
              <w:rPr>
                <w:rFonts w:eastAsia="Calibri"/>
                <w:sz w:val="12"/>
                <w:szCs w:val="10"/>
                <w:lang w:eastAsia="en-US"/>
              </w:rPr>
              <w:t>53</w:t>
            </w:r>
          </w:p>
        </w:tc>
        <w:tc>
          <w:tcPr>
            <w:tcW w:w="720" w:type="dxa"/>
            <w:tcBorders>
              <w:top w:val="nil"/>
              <w:left w:val="single" w:sz="4" w:space="0" w:color="auto"/>
              <w:bottom w:val="nil"/>
              <w:right w:val="single" w:sz="4" w:space="0" w:color="auto"/>
            </w:tcBorders>
          </w:tcPr>
          <w:p w14:paraId="5B55554C" w14:textId="77777777" w:rsidR="00176424" w:rsidRPr="00176424" w:rsidRDefault="00176424" w:rsidP="00176424">
            <w:pPr>
              <w:ind w:right="170"/>
              <w:jc w:val="right"/>
              <w:rPr>
                <w:rFonts w:eastAsia="Calibri"/>
                <w:sz w:val="12"/>
                <w:szCs w:val="10"/>
                <w:lang w:eastAsia="en-US"/>
              </w:rPr>
            </w:pPr>
            <w:r w:rsidRPr="00176424">
              <w:rPr>
                <w:rFonts w:eastAsia="Calibri"/>
                <w:sz w:val="12"/>
                <w:szCs w:val="10"/>
                <w:lang w:eastAsia="en-US"/>
              </w:rPr>
              <w:t>53</w:t>
            </w:r>
          </w:p>
        </w:tc>
        <w:tc>
          <w:tcPr>
            <w:tcW w:w="488" w:type="dxa"/>
            <w:tcBorders>
              <w:top w:val="nil"/>
              <w:left w:val="single" w:sz="4" w:space="0" w:color="auto"/>
              <w:bottom w:val="nil"/>
              <w:right w:val="single" w:sz="2" w:space="0" w:color="auto"/>
            </w:tcBorders>
          </w:tcPr>
          <w:p w14:paraId="73B63107"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32</w:t>
            </w:r>
          </w:p>
        </w:tc>
      </w:tr>
      <w:tr w:rsidR="00176424" w:rsidRPr="00176424" w14:paraId="7856D912" w14:textId="77777777" w:rsidTr="0023750A">
        <w:trPr>
          <w:jc w:val="center"/>
        </w:trPr>
        <w:tc>
          <w:tcPr>
            <w:tcW w:w="2797" w:type="dxa"/>
            <w:tcBorders>
              <w:top w:val="nil"/>
              <w:left w:val="single" w:sz="2" w:space="0" w:color="auto"/>
              <w:bottom w:val="single" w:sz="4" w:space="0" w:color="auto"/>
              <w:right w:val="single" w:sz="4" w:space="0" w:color="auto"/>
            </w:tcBorders>
          </w:tcPr>
          <w:p w14:paraId="6F50F133" w14:textId="77777777" w:rsidR="00176424" w:rsidRPr="00176424" w:rsidRDefault="00176424" w:rsidP="00176424">
            <w:pPr>
              <w:ind w:left="170"/>
              <w:jc w:val="both"/>
              <w:rPr>
                <w:rFonts w:eastAsia="Calibri"/>
                <w:sz w:val="12"/>
                <w:szCs w:val="10"/>
                <w:lang w:eastAsia="en-US"/>
              </w:rPr>
            </w:pPr>
            <w:r w:rsidRPr="00176424">
              <w:rPr>
                <w:rFonts w:eastAsia="Calibri"/>
                <w:sz w:val="12"/>
                <w:szCs w:val="10"/>
                <w:lang w:eastAsia="en-US"/>
              </w:rPr>
              <w:t>A empresas del grupo</w:t>
            </w:r>
          </w:p>
        </w:tc>
        <w:tc>
          <w:tcPr>
            <w:tcW w:w="541" w:type="dxa"/>
            <w:tcBorders>
              <w:top w:val="nil"/>
              <w:left w:val="single" w:sz="4" w:space="0" w:color="auto"/>
              <w:bottom w:val="single" w:sz="4" w:space="0" w:color="auto"/>
              <w:right w:val="single" w:sz="4" w:space="0" w:color="auto"/>
            </w:tcBorders>
          </w:tcPr>
          <w:p w14:paraId="0F421DE1"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68</w:t>
            </w:r>
          </w:p>
        </w:tc>
        <w:tc>
          <w:tcPr>
            <w:tcW w:w="490" w:type="dxa"/>
            <w:gridSpan w:val="2"/>
            <w:tcBorders>
              <w:top w:val="nil"/>
              <w:left w:val="single" w:sz="4" w:space="0" w:color="auto"/>
              <w:bottom w:val="single" w:sz="4" w:space="0" w:color="auto"/>
              <w:right w:val="single" w:sz="4" w:space="0" w:color="auto"/>
            </w:tcBorders>
          </w:tcPr>
          <w:p w14:paraId="7680E706"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81</w:t>
            </w:r>
          </w:p>
        </w:tc>
        <w:tc>
          <w:tcPr>
            <w:tcW w:w="594" w:type="dxa"/>
            <w:tcBorders>
              <w:top w:val="nil"/>
              <w:left w:val="single" w:sz="4" w:space="0" w:color="auto"/>
              <w:bottom w:val="single" w:sz="4" w:space="0" w:color="auto"/>
              <w:right w:val="single" w:sz="4" w:space="0" w:color="auto"/>
            </w:tcBorders>
          </w:tcPr>
          <w:p w14:paraId="4A2BCA6A"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73</w:t>
            </w:r>
          </w:p>
        </w:tc>
        <w:tc>
          <w:tcPr>
            <w:tcW w:w="545" w:type="dxa"/>
            <w:tcBorders>
              <w:top w:val="nil"/>
              <w:left w:val="single" w:sz="4" w:space="0" w:color="auto"/>
              <w:bottom w:val="single" w:sz="4" w:space="0" w:color="auto"/>
              <w:right w:val="single" w:sz="4" w:space="0" w:color="auto"/>
            </w:tcBorders>
          </w:tcPr>
          <w:p w14:paraId="0D011A74"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82</w:t>
            </w:r>
          </w:p>
        </w:tc>
        <w:tc>
          <w:tcPr>
            <w:tcW w:w="542" w:type="dxa"/>
            <w:tcBorders>
              <w:top w:val="nil"/>
              <w:left w:val="single" w:sz="4" w:space="0" w:color="auto"/>
              <w:bottom w:val="single" w:sz="4" w:space="0" w:color="auto"/>
              <w:right w:val="single" w:sz="4" w:space="0" w:color="auto"/>
            </w:tcBorders>
          </w:tcPr>
          <w:p w14:paraId="7E6094BA"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94</w:t>
            </w:r>
          </w:p>
        </w:tc>
        <w:tc>
          <w:tcPr>
            <w:tcW w:w="720" w:type="dxa"/>
            <w:tcBorders>
              <w:top w:val="nil"/>
              <w:left w:val="single" w:sz="4" w:space="0" w:color="auto"/>
              <w:bottom w:val="single" w:sz="4" w:space="0" w:color="auto"/>
              <w:right w:val="single" w:sz="4" w:space="0" w:color="auto"/>
            </w:tcBorders>
          </w:tcPr>
          <w:p w14:paraId="5A369370" w14:textId="77777777" w:rsidR="00176424" w:rsidRPr="00176424" w:rsidRDefault="00176424" w:rsidP="00176424">
            <w:pPr>
              <w:ind w:right="170"/>
              <w:jc w:val="right"/>
              <w:rPr>
                <w:rFonts w:eastAsia="Calibri"/>
                <w:sz w:val="12"/>
                <w:szCs w:val="10"/>
                <w:lang w:eastAsia="en-US"/>
              </w:rPr>
            </w:pPr>
            <w:r w:rsidRPr="00176424">
              <w:rPr>
                <w:rFonts w:eastAsia="Calibri"/>
                <w:sz w:val="12"/>
                <w:szCs w:val="10"/>
                <w:lang w:eastAsia="en-US"/>
              </w:rPr>
              <w:t>146</w:t>
            </w:r>
          </w:p>
        </w:tc>
        <w:tc>
          <w:tcPr>
            <w:tcW w:w="720" w:type="dxa"/>
            <w:tcBorders>
              <w:top w:val="nil"/>
              <w:left w:val="single" w:sz="4" w:space="0" w:color="auto"/>
              <w:bottom w:val="single" w:sz="4" w:space="0" w:color="auto"/>
              <w:right w:val="single" w:sz="4" w:space="0" w:color="auto"/>
            </w:tcBorders>
          </w:tcPr>
          <w:p w14:paraId="7AC310DE" w14:textId="77777777" w:rsidR="00176424" w:rsidRPr="00176424" w:rsidRDefault="00176424" w:rsidP="00176424">
            <w:pPr>
              <w:ind w:right="170"/>
              <w:jc w:val="right"/>
              <w:rPr>
                <w:rFonts w:eastAsia="Calibri"/>
                <w:sz w:val="12"/>
                <w:szCs w:val="10"/>
                <w:lang w:eastAsia="en-US"/>
              </w:rPr>
            </w:pPr>
            <w:r w:rsidRPr="00176424">
              <w:rPr>
                <w:rFonts w:eastAsia="Calibri"/>
                <w:sz w:val="12"/>
                <w:szCs w:val="10"/>
                <w:lang w:eastAsia="en-US"/>
              </w:rPr>
              <w:t>69</w:t>
            </w:r>
          </w:p>
        </w:tc>
        <w:tc>
          <w:tcPr>
            <w:tcW w:w="899" w:type="dxa"/>
            <w:tcBorders>
              <w:top w:val="nil"/>
              <w:left w:val="single" w:sz="4" w:space="0" w:color="auto"/>
              <w:bottom w:val="single" w:sz="4" w:space="0" w:color="auto"/>
              <w:right w:val="single" w:sz="4" w:space="0" w:color="auto"/>
            </w:tcBorders>
          </w:tcPr>
          <w:p w14:paraId="286B050B" w14:textId="77777777" w:rsidR="00176424" w:rsidRPr="00176424" w:rsidRDefault="00176424" w:rsidP="00176424">
            <w:pPr>
              <w:ind w:right="227"/>
              <w:jc w:val="right"/>
              <w:rPr>
                <w:rFonts w:eastAsia="Calibri"/>
                <w:sz w:val="12"/>
                <w:szCs w:val="10"/>
                <w:lang w:eastAsia="en-US"/>
              </w:rPr>
            </w:pPr>
            <w:r w:rsidRPr="00176424">
              <w:rPr>
                <w:rFonts w:eastAsia="Calibri"/>
                <w:sz w:val="12"/>
                <w:szCs w:val="10"/>
                <w:lang w:eastAsia="en-US"/>
              </w:rPr>
              <w:t>65</w:t>
            </w:r>
          </w:p>
        </w:tc>
        <w:tc>
          <w:tcPr>
            <w:tcW w:w="720" w:type="dxa"/>
            <w:tcBorders>
              <w:top w:val="nil"/>
              <w:left w:val="single" w:sz="4" w:space="0" w:color="auto"/>
              <w:bottom w:val="single" w:sz="4" w:space="0" w:color="auto"/>
              <w:right w:val="single" w:sz="4" w:space="0" w:color="auto"/>
            </w:tcBorders>
          </w:tcPr>
          <w:p w14:paraId="2CAD3C28" w14:textId="77777777" w:rsidR="00176424" w:rsidRPr="00176424" w:rsidRDefault="00176424" w:rsidP="00176424">
            <w:pPr>
              <w:ind w:right="170"/>
              <w:jc w:val="right"/>
              <w:rPr>
                <w:rFonts w:eastAsia="Calibri"/>
                <w:sz w:val="12"/>
                <w:szCs w:val="10"/>
                <w:lang w:eastAsia="en-US"/>
              </w:rPr>
            </w:pPr>
            <w:r w:rsidRPr="00176424">
              <w:rPr>
                <w:rFonts w:eastAsia="Calibri"/>
                <w:sz w:val="12"/>
                <w:szCs w:val="10"/>
                <w:lang w:eastAsia="en-US"/>
              </w:rPr>
              <w:t>112</w:t>
            </w:r>
          </w:p>
        </w:tc>
        <w:tc>
          <w:tcPr>
            <w:tcW w:w="488" w:type="dxa"/>
            <w:tcBorders>
              <w:top w:val="nil"/>
              <w:left w:val="single" w:sz="4" w:space="0" w:color="auto"/>
              <w:bottom w:val="single" w:sz="4" w:space="0" w:color="auto"/>
              <w:right w:val="single" w:sz="2" w:space="0" w:color="auto"/>
            </w:tcBorders>
          </w:tcPr>
          <w:p w14:paraId="0CE9971D"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70</w:t>
            </w:r>
          </w:p>
        </w:tc>
      </w:tr>
      <w:tr w:rsidR="00176424" w:rsidRPr="00176424" w14:paraId="59C58D55" w14:textId="77777777" w:rsidTr="0023750A">
        <w:trPr>
          <w:jc w:val="center"/>
        </w:trPr>
        <w:tc>
          <w:tcPr>
            <w:tcW w:w="2797" w:type="dxa"/>
            <w:tcBorders>
              <w:top w:val="single" w:sz="4" w:space="0" w:color="auto"/>
              <w:left w:val="single" w:sz="2" w:space="0" w:color="auto"/>
              <w:bottom w:val="single" w:sz="4" w:space="0" w:color="auto"/>
              <w:right w:val="single" w:sz="4" w:space="0" w:color="auto"/>
            </w:tcBorders>
          </w:tcPr>
          <w:p w14:paraId="36D287D1" w14:textId="77777777" w:rsidR="00176424" w:rsidRPr="00176424" w:rsidRDefault="00176424" w:rsidP="00176424">
            <w:pPr>
              <w:jc w:val="both"/>
              <w:rPr>
                <w:rFonts w:eastAsia="Calibri"/>
                <w:b/>
                <w:sz w:val="12"/>
                <w:szCs w:val="10"/>
                <w:lang w:eastAsia="en-US"/>
              </w:rPr>
            </w:pPr>
            <w:r w:rsidRPr="00176424">
              <w:rPr>
                <w:rFonts w:eastAsia="Calibri"/>
                <w:b/>
                <w:sz w:val="12"/>
                <w:szCs w:val="10"/>
                <w:lang w:eastAsia="en-US"/>
              </w:rPr>
              <w:t>Empresas que esperan solicitar financiamiento de la banca comercial en el próximo trimestre:</w:t>
            </w:r>
            <w:r w:rsidRPr="00176424">
              <w:rPr>
                <w:rFonts w:eastAsia="Calibri"/>
                <w:b/>
                <w:sz w:val="12"/>
                <w:szCs w:val="10"/>
                <w:u w:val="single"/>
                <w:vertAlign w:val="superscript"/>
                <w:lang w:eastAsia="en-US"/>
              </w:rPr>
              <w:t xml:space="preserve"> 3</w:t>
            </w:r>
            <w:r w:rsidRPr="00176424">
              <w:rPr>
                <w:rFonts w:eastAsia="Calibri"/>
                <w:b/>
                <w:sz w:val="12"/>
                <w:szCs w:val="10"/>
                <w:vertAlign w:val="superscript"/>
                <w:lang w:eastAsia="en-US"/>
              </w:rPr>
              <w:t>/</w:t>
            </w:r>
          </w:p>
        </w:tc>
        <w:tc>
          <w:tcPr>
            <w:tcW w:w="541" w:type="dxa"/>
            <w:tcBorders>
              <w:top w:val="single" w:sz="4" w:space="0" w:color="auto"/>
              <w:left w:val="single" w:sz="4" w:space="0" w:color="auto"/>
              <w:bottom w:val="single" w:sz="4" w:space="0" w:color="auto"/>
              <w:right w:val="single" w:sz="4" w:space="0" w:color="auto"/>
            </w:tcBorders>
            <w:vAlign w:val="center"/>
          </w:tcPr>
          <w:p w14:paraId="45B13591"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37.0</w:t>
            </w:r>
          </w:p>
        </w:tc>
        <w:tc>
          <w:tcPr>
            <w:tcW w:w="490" w:type="dxa"/>
            <w:gridSpan w:val="2"/>
            <w:tcBorders>
              <w:top w:val="single" w:sz="4" w:space="0" w:color="auto"/>
              <w:left w:val="single" w:sz="4" w:space="0" w:color="auto"/>
              <w:bottom w:val="single" w:sz="4" w:space="0" w:color="auto"/>
              <w:right w:val="single" w:sz="4" w:space="0" w:color="auto"/>
            </w:tcBorders>
            <w:vAlign w:val="center"/>
          </w:tcPr>
          <w:p w14:paraId="3A60D0F2"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42.8</w:t>
            </w:r>
          </w:p>
        </w:tc>
        <w:tc>
          <w:tcPr>
            <w:tcW w:w="594" w:type="dxa"/>
            <w:tcBorders>
              <w:top w:val="single" w:sz="4" w:space="0" w:color="auto"/>
              <w:left w:val="single" w:sz="4" w:space="0" w:color="auto"/>
              <w:bottom w:val="single" w:sz="4" w:space="0" w:color="auto"/>
              <w:right w:val="single" w:sz="4" w:space="0" w:color="auto"/>
            </w:tcBorders>
            <w:vAlign w:val="center"/>
          </w:tcPr>
          <w:p w14:paraId="2F3CA284"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38.3</w:t>
            </w:r>
          </w:p>
        </w:tc>
        <w:tc>
          <w:tcPr>
            <w:tcW w:w="545" w:type="dxa"/>
            <w:tcBorders>
              <w:top w:val="single" w:sz="4" w:space="0" w:color="auto"/>
              <w:left w:val="single" w:sz="4" w:space="0" w:color="auto"/>
              <w:bottom w:val="single" w:sz="4" w:space="0" w:color="auto"/>
              <w:right w:val="single" w:sz="4" w:space="0" w:color="auto"/>
            </w:tcBorders>
            <w:vAlign w:val="center"/>
          </w:tcPr>
          <w:p w14:paraId="44336A2F"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38.4</w:t>
            </w:r>
          </w:p>
        </w:tc>
        <w:tc>
          <w:tcPr>
            <w:tcW w:w="542" w:type="dxa"/>
            <w:tcBorders>
              <w:top w:val="single" w:sz="4" w:space="0" w:color="auto"/>
              <w:left w:val="single" w:sz="4" w:space="0" w:color="auto"/>
              <w:bottom w:val="single" w:sz="4" w:space="0" w:color="auto"/>
              <w:right w:val="single" w:sz="4" w:space="0" w:color="auto"/>
            </w:tcBorders>
            <w:vAlign w:val="center"/>
          </w:tcPr>
          <w:p w14:paraId="037D6AD0"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38.8</w:t>
            </w:r>
          </w:p>
        </w:tc>
        <w:tc>
          <w:tcPr>
            <w:tcW w:w="720" w:type="dxa"/>
            <w:tcBorders>
              <w:top w:val="single" w:sz="4" w:space="0" w:color="auto"/>
              <w:left w:val="single" w:sz="4" w:space="0" w:color="auto"/>
              <w:bottom w:val="single" w:sz="4" w:space="0" w:color="auto"/>
              <w:right w:val="single" w:sz="4" w:space="0" w:color="auto"/>
            </w:tcBorders>
            <w:vAlign w:val="center"/>
          </w:tcPr>
          <w:p w14:paraId="7D7769F4" w14:textId="77777777" w:rsidR="00176424" w:rsidRPr="00176424" w:rsidRDefault="00176424" w:rsidP="00176424">
            <w:pPr>
              <w:ind w:right="170"/>
              <w:jc w:val="right"/>
              <w:rPr>
                <w:rFonts w:eastAsia="Calibri"/>
                <w:sz w:val="12"/>
                <w:szCs w:val="10"/>
                <w:lang w:eastAsia="en-US"/>
              </w:rPr>
            </w:pPr>
            <w:r w:rsidRPr="00176424">
              <w:rPr>
                <w:rFonts w:eastAsia="Calibri"/>
                <w:sz w:val="12"/>
                <w:szCs w:val="10"/>
                <w:lang w:eastAsia="en-US"/>
              </w:rPr>
              <w:t>36.2</w:t>
            </w:r>
          </w:p>
        </w:tc>
        <w:tc>
          <w:tcPr>
            <w:tcW w:w="720" w:type="dxa"/>
            <w:tcBorders>
              <w:top w:val="single" w:sz="4" w:space="0" w:color="auto"/>
              <w:left w:val="single" w:sz="4" w:space="0" w:color="auto"/>
              <w:bottom w:val="single" w:sz="4" w:space="0" w:color="auto"/>
              <w:right w:val="single" w:sz="4" w:space="0" w:color="auto"/>
            </w:tcBorders>
            <w:vAlign w:val="center"/>
          </w:tcPr>
          <w:p w14:paraId="69289EEA" w14:textId="77777777" w:rsidR="00176424" w:rsidRPr="00176424" w:rsidRDefault="00176424" w:rsidP="00176424">
            <w:pPr>
              <w:ind w:right="170"/>
              <w:jc w:val="right"/>
              <w:rPr>
                <w:rFonts w:eastAsia="Calibri"/>
                <w:sz w:val="12"/>
                <w:szCs w:val="10"/>
                <w:lang w:eastAsia="en-US"/>
              </w:rPr>
            </w:pPr>
            <w:r w:rsidRPr="00176424">
              <w:rPr>
                <w:rFonts w:eastAsia="Calibri"/>
                <w:sz w:val="12"/>
                <w:szCs w:val="10"/>
                <w:lang w:eastAsia="en-US"/>
              </w:rPr>
              <w:t>40.3</w:t>
            </w:r>
          </w:p>
        </w:tc>
        <w:tc>
          <w:tcPr>
            <w:tcW w:w="899" w:type="dxa"/>
            <w:tcBorders>
              <w:top w:val="single" w:sz="4" w:space="0" w:color="auto"/>
              <w:left w:val="single" w:sz="4" w:space="0" w:color="auto"/>
              <w:bottom w:val="single" w:sz="4" w:space="0" w:color="auto"/>
              <w:right w:val="single" w:sz="4" w:space="0" w:color="auto"/>
            </w:tcBorders>
            <w:vAlign w:val="center"/>
          </w:tcPr>
          <w:p w14:paraId="566558CA" w14:textId="77777777" w:rsidR="00176424" w:rsidRPr="00176424" w:rsidRDefault="00176424" w:rsidP="00176424">
            <w:pPr>
              <w:ind w:right="227"/>
              <w:jc w:val="right"/>
              <w:rPr>
                <w:rFonts w:eastAsia="Calibri"/>
                <w:sz w:val="12"/>
                <w:szCs w:val="10"/>
                <w:lang w:eastAsia="en-US"/>
              </w:rPr>
            </w:pPr>
            <w:r w:rsidRPr="00176424">
              <w:rPr>
                <w:rFonts w:eastAsia="Calibri"/>
                <w:sz w:val="12"/>
                <w:szCs w:val="10"/>
                <w:lang w:eastAsia="en-US"/>
              </w:rPr>
              <w:t>33.9</w:t>
            </w:r>
          </w:p>
        </w:tc>
        <w:tc>
          <w:tcPr>
            <w:tcW w:w="720" w:type="dxa"/>
            <w:tcBorders>
              <w:top w:val="single" w:sz="4" w:space="0" w:color="auto"/>
              <w:left w:val="single" w:sz="4" w:space="0" w:color="auto"/>
              <w:bottom w:val="single" w:sz="4" w:space="0" w:color="auto"/>
              <w:right w:val="single" w:sz="4" w:space="0" w:color="auto"/>
            </w:tcBorders>
            <w:vAlign w:val="center"/>
          </w:tcPr>
          <w:p w14:paraId="090C18CD" w14:textId="77777777" w:rsidR="00176424" w:rsidRPr="00176424" w:rsidRDefault="00176424" w:rsidP="00176424">
            <w:pPr>
              <w:ind w:right="170"/>
              <w:jc w:val="right"/>
              <w:rPr>
                <w:rFonts w:eastAsia="Calibri"/>
                <w:sz w:val="12"/>
                <w:szCs w:val="10"/>
                <w:lang w:eastAsia="en-US"/>
              </w:rPr>
            </w:pPr>
            <w:r w:rsidRPr="00176424">
              <w:rPr>
                <w:rFonts w:eastAsia="Calibri"/>
                <w:sz w:val="12"/>
                <w:szCs w:val="10"/>
                <w:lang w:eastAsia="en-US"/>
              </w:rPr>
              <w:t>44.8</w:t>
            </w:r>
          </w:p>
        </w:tc>
        <w:tc>
          <w:tcPr>
            <w:tcW w:w="488" w:type="dxa"/>
            <w:tcBorders>
              <w:top w:val="single" w:sz="4" w:space="0" w:color="auto"/>
              <w:left w:val="single" w:sz="4" w:space="0" w:color="auto"/>
              <w:bottom w:val="single" w:sz="4" w:space="0" w:color="auto"/>
              <w:right w:val="single" w:sz="2" w:space="0" w:color="auto"/>
            </w:tcBorders>
            <w:vAlign w:val="center"/>
          </w:tcPr>
          <w:p w14:paraId="302014AA" w14:textId="77777777" w:rsidR="00176424" w:rsidRPr="00176424" w:rsidRDefault="00176424" w:rsidP="00176424">
            <w:pPr>
              <w:ind w:right="57"/>
              <w:jc w:val="right"/>
              <w:rPr>
                <w:rFonts w:eastAsia="Calibri"/>
                <w:sz w:val="12"/>
                <w:szCs w:val="10"/>
                <w:lang w:eastAsia="en-US"/>
              </w:rPr>
            </w:pPr>
            <w:r w:rsidRPr="00176424">
              <w:rPr>
                <w:rFonts w:eastAsia="Calibri"/>
                <w:sz w:val="12"/>
                <w:szCs w:val="10"/>
                <w:lang w:eastAsia="en-US"/>
              </w:rPr>
              <w:t>14.5</w:t>
            </w:r>
          </w:p>
        </w:tc>
      </w:tr>
      <w:tr w:rsidR="00176424" w:rsidRPr="00176424" w14:paraId="4BAD511A" w14:textId="77777777" w:rsidTr="00DA1492">
        <w:trPr>
          <w:jc w:val="center"/>
        </w:trPr>
        <w:tc>
          <w:tcPr>
            <w:tcW w:w="9056" w:type="dxa"/>
            <w:gridSpan w:val="12"/>
            <w:tcBorders>
              <w:left w:val="nil"/>
              <w:bottom w:val="nil"/>
              <w:right w:val="nil"/>
            </w:tcBorders>
          </w:tcPr>
          <w:p w14:paraId="0ACBCBFA" w14:textId="77777777" w:rsidR="00176424" w:rsidRPr="00176424" w:rsidRDefault="00176424" w:rsidP="00176424">
            <w:pPr>
              <w:jc w:val="both"/>
              <w:rPr>
                <w:rFonts w:eastAsia="Calibri"/>
                <w:sz w:val="12"/>
                <w:szCs w:val="10"/>
                <w:lang w:eastAsia="en-US"/>
              </w:rPr>
            </w:pPr>
            <w:r w:rsidRPr="00176424">
              <w:rPr>
                <w:rFonts w:eastAsia="Calibri"/>
                <w:sz w:val="12"/>
                <w:szCs w:val="10"/>
                <w:u w:val="single"/>
                <w:vertAlign w:val="superscript"/>
                <w:lang w:eastAsia="en-US"/>
              </w:rPr>
              <w:t>1</w:t>
            </w:r>
            <w:r w:rsidRPr="00176424">
              <w:rPr>
                <w:rFonts w:eastAsia="Calibri"/>
                <w:sz w:val="12"/>
                <w:szCs w:val="10"/>
                <w:vertAlign w:val="superscript"/>
                <w:lang w:eastAsia="en-US"/>
              </w:rPr>
              <w:t>/</w:t>
            </w:r>
            <w:r w:rsidRPr="00176424">
              <w:rPr>
                <w:rFonts w:eastAsia="Calibri"/>
                <w:sz w:val="12"/>
                <w:szCs w:val="10"/>
                <w:lang w:eastAsia="en-US"/>
              </w:rPr>
              <w:t xml:space="preserve"> Muestra con cobertura nacional de por lo menos 450 empresas. La respuesta es voluntaria y confidencial.</w:t>
            </w:r>
          </w:p>
          <w:p w14:paraId="475CDDFB" w14:textId="77777777" w:rsidR="00176424" w:rsidRPr="00176424" w:rsidRDefault="00176424" w:rsidP="00176424">
            <w:pPr>
              <w:ind w:left="170" w:hanging="170"/>
              <w:jc w:val="both"/>
              <w:rPr>
                <w:rFonts w:eastAsia="Calibri"/>
                <w:sz w:val="12"/>
                <w:szCs w:val="10"/>
                <w:lang w:eastAsia="en-US"/>
              </w:rPr>
            </w:pPr>
            <w:r w:rsidRPr="00176424">
              <w:rPr>
                <w:rFonts w:eastAsia="Calibri"/>
                <w:sz w:val="12"/>
                <w:szCs w:val="10"/>
                <w:u w:val="single"/>
                <w:vertAlign w:val="superscript"/>
                <w:lang w:eastAsia="en-US"/>
              </w:rPr>
              <w:t>2</w:t>
            </w:r>
            <w:r w:rsidRPr="00176424">
              <w:rPr>
                <w:rFonts w:eastAsia="Calibri"/>
                <w:sz w:val="12"/>
                <w:szCs w:val="10"/>
                <w:vertAlign w:val="superscript"/>
                <w:lang w:eastAsia="en-US"/>
              </w:rPr>
              <w:t>/</w:t>
            </w:r>
            <w:r w:rsidRPr="00176424">
              <w:rPr>
                <w:rFonts w:eastAsia="Calibri"/>
                <w:sz w:val="12"/>
                <w:szCs w:val="10"/>
                <w:lang w:eastAsia="en-US"/>
              </w:rPr>
              <w:t xml:space="preserve"> Los sectores de manufacturas y de servicios y comercio son los únicos representativos a nivel nacional.</w:t>
            </w:r>
          </w:p>
          <w:p w14:paraId="50BCCDCF" w14:textId="77777777" w:rsidR="00176424" w:rsidRPr="00176424" w:rsidRDefault="00176424" w:rsidP="00176424">
            <w:pPr>
              <w:ind w:left="113" w:hanging="113"/>
              <w:jc w:val="both"/>
              <w:rPr>
                <w:rFonts w:eastAsia="Calibri"/>
                <w:sz w:val="12"/>
                <w:szCs w:val="10"/>
                <w:lang w:eastAsia="en-US"/>
              </w:rPr>
            </w:pPr>
            <w:r w:rsidRPr="00176424">
              <w:rPr>
                <w:rFonts w:eastAsia="Calibri"/>
                <w:sz w:val="12"/>
                <w:szCs w:val="10"/>
                <w:u w:val="single"/>
                <w:vertAlign w:val="superscript"/>
                <w:lang w:eastAsia="en-US"/>
              </w:rPr>
              <w:t>3</w:t>
            </w:r>
            <w:r w:rsidRPr="00176424">
              <w:rPr>
                <w:rFonts w:eastAsia="Calibri"/>
                <w:sz w:val="12"/>
                <w:szCs w:val="10"/>
                <w:vertAlign w:val="superscript"/>
                <w:lang w:eastAsia="en-US"/>
              </w:rPr>
              <w:t>/</w:t>
            </w:r>
            <w:r w:rsidRPr="00176424">
              <w:rPr>
                <w:rFonts w:eastAsia="Calibri"/>
                <w:sz w:val="12"/>
                <w:szCs w:val="10"/>
                <w:lang w:eastAsia="en-US"/>
              </w:rPr>
              <w:t xml:space="preserve"> A partir de este comunicado de prensa del primer trimestre de 2010 los resultados se presentan como por ciento del total de empresas. En los comunicados de prensa anteriores esta información se presentaba en por ciento de respuestas.</w:t>
            </w:r>
          </w:p>
          <w:p w14:paraId="7630600D" w14:textId="77777777" w:rsidR="00176424" w:rsidRPr="00176424" w:rsidRDefault="00176424" w:rsidP="00176424">
            <w:pPr>
              <w:jc w:val="both"/>
              <w:rPr>
                <w:rFonts w:eastAsia="Calibri"/>
                <w:sz w:val="12"/>
                <w:szCs w:val="10"/>
                <w:lang w:eastAsia="en-US"/>
              </w:rPr>
            </w:pPr>
            <w:r w:rsidRPr="00176424">
              <w:rPr>
                <w:rFonts w:eastAsia="Calibri"/>
                <w:sz w:val="12"/>
                <w:szCs w:val="10"/>
                <w:u w:val="single"/>
                <w:vertAlign w:val="superscript"/>
                <w:lang w:eastAsia="en-US"/>
              </w:rPr>
              <w:t>4</w:t>
            </w:r>
            <w:r w:rsidRPr="00176424">
              <w:rPr>
                <w:rFonts w:eastAsia="Calibri"/>
                <w:sz w:val="12"/>
                <w:szCs w:val="10"/>
                <w:vertAlign w:val="superscript"/>
                <w:lang w:eastAsia="en-US"/>
              </w:rPr>
              <w:t>/</w:t>
            </w:r>
            <w:r w:rsidRPr="00176424">
              <w:rPr>
                <w:rFonts w:eastAsia="Calibri"/>
                <w:sz w:val="12"/>
                <w:szCs w:val="10"/>
                <w:lang w:eastAsia="en-US"/>
              </w:rPr>
              <w:t xml:space="preserve"> La suma de los porcentajes puede ser superior a 100 ya que las empresas pueden elegir más de una opción.</w:t>
            </w:r>
          </w:p>
          <w:p w14:paraId="38E1DB78" w14:textId="77777777" w:rsidR="00176424" w:rsidRPr="00176424" w:rsidRDefault="00176424" w:rsidP="00176424">
            <w:pPr>
              <w:jc w:val="both"/>
              <w:rPr>
                <w:rFonts w:eastAsia="Calibri"/>
                <w:sz w:val="12"/>
                <w:szCs w:val="10"/>
                <w:lang w:eastAsia="en-US"/>
              </w:rPr>
            </w:pPr>
            <w:r w:rsidRPr="00176424">
              <w:rPr>
                <w:rFonts w:eastAsia="Calibri"/>
                <w:sz w:val="12"/>
                <w:szCs w:val="10"/>
                <w:lang w:eastAsia="en-US"/>
              </w:rPr>
              <w:t>FUENTE: Banxico.</w:t>
            </w:r>
          </w:p>
        </w:tc>
      </w:tr>
    </w:tbl>
    <w:p w14:paraId="530D295C" w14:textId="77777777" w:rsidR="00176424" w:rsidRDefault="00176424" w:rsidP="00176424">
      <w:pPr>
        <w:spacing w:after="360" w:line="360" w:lineRule="auto"/>
        <w:ind w:right="-159"/>
        <w:jc w:val="both"/>
        <w:rPr>
          <w:rFonts w:eastAsia="Calibri"/>
          <w:sz w:val="26"/>
          <w:szCs w:val="26"/>
          <w:lang w:eastAsia="en-US"/>
        </w:rPr>
      </w:pPr>
    </w:p>
    <w:p w14:paraId="7A9BC701" w14:textId="77777777" w:rsidR="0096505B" w:rsidRPr="00176424" w:rsidRDefault="0096505B" w:rsidP="00176424">
      <w:pPr>
        <w:spacing w:after="360" w:line="360" w:lineRule="auto"/>
        <w:ind w:right="-159"/>
        <w:jc w:val="both"/>
        <w:rPr>
          <w:rFonts w:eastAsia="Calibri"/>
          <w:sz w:val="26"/>
          <w:szCs w:val="26"/>
          <w:lang w:eastAsia="en-US"/>
        </w:rPr>
      </w:pPr>
    </w:p>
    <w:p w14:paraId="3AF8A33C" w14:textId="77777777" w:rsidR="00176424" w:rsidRPr="00176424" w:rsidRDefault="00176424" w:rsidP="00176424">
      <w:pPr>
        <w:spacing w:after="360" w:line="360" w:lineRule="auto"/>
        <w:ind w:right="-159"/>
        <w:jc w:val="both"/>
        <w:rPr>
          <w:rFonts w:eastAsia="Calibri"/>
          <w:sz w:val="26"/>
          <w:szCs w:val="26"/>
          <w:lang w:eastAsia="en-US"/>
        </w:rPr>
      </w:pPr>
    </w:p>
    <w:tbl>
      <w:tblPr>
        <w:tblW w:w="9108" w:type="dxa"/>
        <w:tblLayout w:type="fixed"/>
        <w:tblLook w:val="01E0" w:firstRow="1" w:lastRow="1" w:firstColumn="1" w:lastColumn="1" w:noHBand="0" w:noVBand="0"/>
      </w:tblPr>
      <w:tblGrid>
        <w:gridCol w:w="2792"/>
        <w:gridCol w:w="541"/>
        <w:gridCol w:w="69"/>
        <w:gridCol w:w="567"/>
        <w:gridCol w:w="451"/>
        <w:gridCol w:w="542"/>
        <w:gridCol w:w="548"/>
        <w:gridCol w:w="720"/>
        <w:gridCol w:w="720"/>
        <w:gridCol w:w="898"/>
        <w:gridCol w:w="720"/>
        <w:gridCol w:w="540"/>
      </w:tblGrid>
      <w:tr w:rsidR="00176424" w:rsidRPr="00176424" w14:paraId="3E0605FB" w14:textId="77777777" w:rsidTr="00DA1492">
        <w:tc>
          <w:tcPr>
            <w:tcW w:w="9108" w:type="dxa"/>
            <w:gridSpan w:val="12"/>
            <w:tcBorders>
              <w:top w:val="nil"/>
              <w:left w:val="nil"/>
              <w:bottom w:val="single" w:sz="4" w:space="0" w:color="auto"/>
              <w:right w:val="nil"/>
            </w:tcBorders>
          </w:tcPr>
          <w:p w14:paraId="6F9B1574" w14:textId="77777777" w:rsidR="00176424" w:rsidRPr="00176424" w:rsidRDefault="00176424" w:rsidP="00176424">
            <w:pPr>
              <w:jc w:val="center"/>
              <w:rPr>
                <w:rFonts w:eastAsia="Times New Roman"/>
                <w:b/>
                <w:sz w:val="12"/>
                <w:szCs w:val="12"/>
                <w:vertAlign w:val="superscript"/>
              </w:rPr>
            </w:pPr>
            <w:r w:rsidRPr="00176424">
              <w:rPr>
                <w:rFonts w:eastAsia="Times New Roman"/>
                <w:sz w:val="26"/>
                <w:szCs w:val="26"/>
              </w:rPr>
              <w:lastRenderedPageBreak/>
              <w:br w:type="page"/>
            </w:r>
            <w:r w:rsidRPr="00176424">
              <w:rPr>
                <w:rFonts w:eastAsia="Times New Roman"/>
                <w:b/>
                <w:sz w:val="12"/>
                <w:szCs w:val="12"/>
              </w:rPr>
              <w:t xml:space="preserve">RESULTADOS DE </w:t>
            </w:r>
            <w:smartTag w:uri="urn:schemas-microsoft-com:office:smarttags" w:element="PersonName">
              <w:smartTagPr>
                <w:attr w:name="ProductID" w:val="LA ENCUESTA DE"/>
              </w:smartTagPr>
              <w:smartTag w:uri="urn:schemas-microsoft-com:office:smarttags" w:element="PersonName">
                <w:smartTagPr>
                  <w:attr w:name="ProductID" w:val="la Encuesta"/>
                </w:smartTagPr>
                <w:r w:rsidRPr="00176424">
                  <w:rPr>
                    <w:rFonts w:eastAsia="Times New Roman"/>
                    <w:b/>
                    <w:sz w:val="12"/>
                    <w:szCs w:val="12"/>
                  </w:rPr>
                  <w:t>LA ENCUESTA</w:t>
                </w:r>
              </w:smartTag>
              <w:r w:rsidRPr="00176424">
                <w:rPr>
                  <w:rFonts w:eastAsia="Times New Roman"/>
                  <w:b/>
                  <w:sz w:val="12"/>
                  <w:szCs w:val="12"/>
                </w:rPr>
                <w:t xml:space="preserve"> DE</w:t>
              </w:r>
            </w:smartTag>
            <w:r w:rsidRPr="00176424">
              <w:rPr>
                <w:rFonts w:eastAsia="Times New Roman"/>
                <w:b/>
                <w:sz w:val="12"/>
                <w:szCs w:val="12"/>
              </w:rPr>
              <w:t xml:space="preserve"> EVALUACIÓN COYUNTURAL DEL MERCADO CREDITICIO</w:t>
            </w:r>
            <w:r w:rsidRPr="00176424">
              <w:rPr>
                <w:rFonts w:eastAsia="Times New Roman"/>
                <w:b/>
                <w:sz w:val="12"/>
                <w:szCs w:val="12"/>
                <w:u w:val="single"/>
                <w:vertAlign w:val="superscript"/>
              </w:rPr>
              <w:t>1</w:t>
            </w:r>
            <w:r w:rsidRPr="00176424">
              <w:rPr>
                <w:rFonts w:eastAsia="Times New Roman"/>
                <w:b/>
                <w:sz w:val="12"/>
                <w:szCs w:val="12"/>
                <w:vertAlign w:val="superscript"/>
              </w:rPr>
              <w:t>/</w:t>
            </w:r>
          </w:p>
          <w:p w14:paraId="2B92E91F" w14:textId="77777777" w:rsidR="00176424" w:rsidRPr="00176424" w:rsidRDefault="00176424" w:rsidP="00176424">
            <w:pPr>
              <w:jc w:val="center"/>
              <w:rPr>
                <w:rFonts w:eastAsia="Times New Roman"/>
                <w:b/>
                <w:sz w:val="12"/>
                <w:szCs w:val="12"/>
              </w:rPr>
            </w:pPr>
            <w:r w:rsidRPr="00176424">
              <w:rPr>
                <w:rFonts w:eastAsia="Times New Roman"/>
                <w:b/>
                <w:sz w:val="12"/>
                <w:szCs w:val="12"/>
              </w:rPr>
              <w:t>Cuarto trimestre de 2014</w:t>
            </w:r>
          </w:p>
        </w:tc>
      </w:tr>
      <w:tr w:rsidR="00176424" w:rsidRPr="00176424" w14:paraId="538C0B96" w14:textId="77777777" w:rsidTr="00DA1492">
        <w:tc>
          <w:tcPr>
            <w:tcW w:w="2792" w:type="dxa"/>
            <w:vMerge w:val="restart"/>
            <w:tcBorders>
              <w:top w:val="single" w:sz="4" w:space="0" w:color="auto"/>
              <w:left w:val="single" w:sz="4" w:space="0" w:color="auto"/>
              <w:bottom w:val="nil"/>
              <w:right w:val="single" w:sz="4" w:space="0" w:color="auto"/>
            </w:tcBorders>
            <w:vAlign w:val="center"/>
          </w:tcPr>
          <w:p w14:paraId="08203F1C" w14:textId="77777777" w:rsidR="00176424" w:rsidRPr="00176424" w:rsidRDefault="00176424" w:rsidP="00176424">
            <w:pPr>
              <w:jc w:val="center"/>
              <w:rPr>
                <w:rFonts w:eastAsia="Times New Roman"/>
                <w:b/>
                <w:sz w:val="10"/>
                <w:szCs w:val="10"/>
              </w:rPr>
            </w:pPr>
            <w:r w:rsidRPr="00176424">
              <w:rPr>
                <w:rFonts w:eastAsia="Times New Roman"/>
                <w:b/>
                <w:sz w:val="10"/>
                <w:szCs w:val="10"/>
              </w:rPr>
              <w:t>Concepto</w:t>
            </w:r>
          </w:p>
        </w:tc>
        <w:tc>
          <w:tcPr>
            <w:tcW w:w="2718" w:type="dxa"/>
            <w:gridSpan w:val="6"/>
            <w:tcBorders>
              <w:top w:val="single" w:sz="4" w:space="0" w:color="auto"/>
              <w:left w:val="single" w:sz="4" w:space="0" w:color="auto"/>
              <w:bottom w:val="single" w:sz="4" w:space="0" w:color="auto"/>
              <w:right w:val="single" w:sz="4" w:space="0" w:color="auto"/>
            </w:tcBorders>
            <w:vAlign w:val="center"/>
          </w:tcPr>
          <w:p w14:paraId="5821CF3D" w14:textId="77777777" w:rsidR="00176424" w:rsidRPr="00176424" w:rsidRDefault="00176424" w:rsidP="00176424">
            <w:pPr>
              <w:jc w:val="center"/>
              <w:rPr>
                <w:rFonts w:eastAsia="Times New Roman"/>
                <w:b/>
                <w:sz w:val="10"/>
                <w:szCs w:val="10"/>
              </w:rPr>
            </w:pPr>
            <w:r w:rsidRPr="00176424">
              <w:rPr>
                <w:rFonts w:eastAsia="Times New Roman"/>
                <w:b/>
                <w:sz w:val="10"/>
                <w:szCs w:val="10"/>
              </w:rPr>
              <w:t>Total</w:t>
            </w:r>
          </w:p>
        </w:tc>
        <w:tc>
          <w:tcPr>
            <w:tcW w:w="3598" w:type="dxa"/>
            <w:gridSpan w:val="5"/>
            <w:tcBorders>
              <w:top w:val="single" w:sz="4" w:space="0" w:color="auto"/>
              <w:left w:val="single" w:sz="4" w:space="0" w:color="auto"/>
              <w:bottom w:val="single" w:sz="4" w:space="0" w:color="auto"/>
              <w:right w:val="single" w:sz="4" w:space="0" w:color="auto"/>
            </w:tcBorders>
            <w:vAlign w:val="center"/>
          </w:tcPr>
          <w:p w14:paraId="24184E99" w14:textId="77777777" w:rsidR="00176424" w:rsidRPr="00176424" w:rsidRDefault="00176424" w:rsidP="00176424">
            <w:pPr>
              <w:jc w:val="center"/>
              <w:rPr>
                <w:rFonts w:eastAsia="Times New Roman"/>
                <w:b/>
                <w:sz w:val="10"/>
                <w:szCs w:val="10"/>
              </w:rPr>
            </w:pPr>
            <w:r w:rsidRPr="00176424">
              <w:rPr>
                <w:rFonts w:eastAsia="Times New Roman"/>
                <w:b/>
                <w:sz w:val="10"/>
                <w:szCs w:val="10"/>
              </w:rPr>
              <w:t>IV Trimestre 2014</w:t>
            </w:r>
          </w:p>
        </w:tc>
      </w:tr>
      <w:tr w:rsidR="00176424" w:rsidRPr="00176424" w14:paraId="183B0309" w14:textId="77777777" w:rsidTr="00DA1492">
        <w:tc>
          <w:tcPr>
            <w:tcW w:w="2792" w:type="dxa"/>
            <w:vMerge/>
            <w:tcBorders>
              <w:top w:val="nil"/>
              <w:left w:val="single" w:sz="4" w:space="0" w:color="auto"/>
              <w:bottom w:val="nil"/>
              <w:right w:val="single" w:sz="4" w:space="0" w:color="auto"/>
            </w:tcBorders>
            <w:vAlign w:val="center"/>
          </w:tcPr>
          <w:p w14:paraId="3EA568B0" w14:textId="77777777" w:rsidR="00176424" w:rsidRPr="00176424" w:rsidRDefault="00176424" w:rsidP="00176424">
            <w:pPr>
              <w:jc w:val="center"/>
              <w:rPr>
                <w:rFonts w:eastAsia="Times New Roman"/>
                <w:b/>
                <w:sz w:val="10"/>
                <w:szCs w:val="10"/>
              </w:rPr>
            </w:pPr>
          </w:p>
        </w:tc>
        <w:tc>
          <w:tcPr>
            <w:tcW w:w="610" w:type="dxa"/>
            <w:gridSpan w:val="2"/>
            <w:tcBorders>
              <w:top w:val="nil"/>
              <w:left w:val="single" w:sz="4" w:space="0" w:color="auto"/>
              <w:bottom w:val="single" w:sz="4" w:space="0" w:color="auto"/>
              <w:right w:val="single" w:sz="4" w:space="0" w:color="auto"/>
            </w:tcBorders>
            <w:vAlign w:val="center"/>
          </w:tcPr>
          <w:p w14:paraId="6AADF0B1" w14:textId="77777777" w:rsidR="00176424" w:rsidRPr="00176424" w:rsidRDefault="00176424" w:rsidP="00176424">
            <w:pPr>
              <w:jc w:val="center"/>
              <w:rPr>
                <w:rFonts w:eastAsia="Times New Roman"/>
                <w:b/>
                <w:sz w:val="10"/>
                <w:szCs w:val="10"/>
              </w:rPr>
            </w:pPr>
            <w:r w:rsidRPr="00176424">
              <w:rPr>
                <w:rFonts w:eastAsia="Times New Roman"/>
                <w:b/>
                <w:sz w:val="10"/>
                <w:szCs w:val="10"/>
              </w:rPr>
              <w:t>2013</w:t>
            </w:r>
          </w:p>
        </w:tc>
        <w:tc>
          <w:tcPr>
            <w:tcW w:w="2108" w:type="dxa"/>
            <w:gridSpan w:val="4"/>
            <w:tcBorders>
              <w:top w:val="nil"/>
              <w:left w:val="single" w:sz="4" w:space="0" w:color="auto"/>
              <w:bottom w:val="single" w:sz="4" w:space="0" w:color="auto"/>
              <w:right w:val="single" w:sz="4" w:space="0" w:color="auto"/>
            </w:tcBorders>
            <w:vAlign w:val="center"/>
          </w:tcPr>
          <w:p w14:paraId="2DF79E74" w14:textId="77777777" w:rsidR="00176424" w:rsidRPr="00176424" w:rsidRDefault="00176424" w:rsidP="00176424">
            <w:pPr>
              <w:jc w:val="center"/>
              <w:rPr>
                <w:rFonts w:eastAsia="Times New Roman"/>
                <w:b/>
                <w:sz w:val="10"/>
                <w:szCs w:val="10"/>
              </w:rPr>
            </w:pPr>
            <w:r w:rsidRPr="00176424">
              <w:rPr>
                <w:rFonts w:eastAsia="Times New Roman"/>
                <w:b/>
                <w:sz w:val="10"/>
                <w:szCs w:val="10"/>
              </w:rPr>
              <w:t>2014</w:t>
            </w:r>
          </w:p>
        </w:tc>
        <w:tc>
          <w:tcPr>
            <w:tcW w:w="1440" w:type="dxa"/>
            <w:gridSpan w:val="2"/>
            <w:tcBorders>
              <w:top w:val="nil"/>
              <w:left w:val="single" w:sz="4" w:space="0" w:color="auto"/>
              <w:bottom w:val="single" w:sz="4" w:space="0" w:color="auto"/>
              <w:right w:val="single" w:sz="4" w:space="0" w:color="auto"/>
            </w:tcBorders>
            <w:vAlign w:val="center"/>
          </w:tcPr>
          <w:p w14:paraId="0F868E0D" w14:textId="77777777" w:rsidR="00176424" w:rsidRPr="00176424" w:rsidRDefault="00176424" w:rsidP="00176424">
            <w:pPr>
              <w:jc w:val="center"/>
              <w:rPr>
                <w:rFonts w:eastAsia="Times New Roman"/>
                <w:b/>
                <w:sz w:val="10"/>
                <w:szCs w:val="10"/>
              </w:rPr>
            </w:pPr>
            <w:r w:rsidRPr="00176424">
              <w:rPr>
                <w:rFonts w:eastAsia="Times New Roman"/>
                <w:b/>
                <w:sz w:val="10"/>
                <w:szCs w:val="10"/>
              </w:rPr>
              <w:t>Por tamaño</w:t>
            </w:r>
          </w:p>
        </w:tc>
        <w:tc>
          <w:tcPr>
            <w:tcW w:w="2158" w:type="dxa"/>
            <w:gridSpan w:val="3"/>
            <w:tcBorders>
              <w:top w:val="nil"/>
              <w:left w:val="single" w:sz="4" w:space="0" w:color="auto"/>
              <w:bottom w:val="single" w:sz="4" w:space="0" w:color="auto"/>
              <w:right w:val="single" w:sz="4" w:space="0" w:color="auto"/>
            </w:tcBorders>
            <w:vAlign w:val="center"/>
          </w:tcPr>
          <w:p w14:paraId="38044E42" w14:textId="77777777" w:rsidR="00176424" w:rsidRPr="00176424" w:rsidRDefault="00176424" w:rsidP="00176424">
            <w:pPr>
              <w:jc w:val="center"/>
              <w:rPr>
                <w:rFonts w:eastAsia="Times New Roman"/>
                <w:b/>
                <w:sz w:val="10"/>
                <w:szCs w:val="10"/>
              </w:rPr>
            </w:pPr>
            <w:r w:rsidRPr="00176424">
              <w:rPr>
                <w:rFonts w:eastAsia="Times New Roman"/>
                <w:b/>
                <w:sz w:val="10"/>
                <w:szCs w:val="10"/>
              </w:rPr>
              <w:t>Por actividad económica</w:t>
            </w:r>
            <w:r w:rsidRPr="00176424">
              <w:rPr>
                <w:rFonts w:eastAsia="Times New Roman"/>
                <w:b/>
                <w:sz w:val="10"/>
                <w:szCs w:val="10"/>
                <w:u w:val="single"/>
                <w:vertAlign w:val="superscript"/>
              </w:rPr>
              <w:t>2</w:t>
            </w:r>
            <w:r w:rsidRPr="00176424">
              <w:rPr>
                <w:rFonts w:eastAsia="Times New Roman"/>
                <w:b/>
                <w:sz w:val="10"/>
                <w:szCs w:val="10"/>
                <w:vertAlign w:val="superscript"/>
              </w:rPr>
              <w:t>/</w:t>
            </w:r>
          </w:p>
        </w:tc>
      </w:tr>
      <w:tr w:rsidR="00176424" w:rsidRPr="00176424" w14:paraId="79900E01" w14:textId="77777777" w:rsidTr="00DA1492">
        <w:tc>
          <w:tcPr>
            <w:tcW w:w="2792" w:type="dxa"/>
            <w:vMerge/>
            <w:tcBorders>
              <w:top w:val="nil"/>
              <w:left w:val="single" w:sz="4" w:space="0" w:color="auto"/>
              <w:bottom w:val="single" w:sz="4" w:space="0" w:color="auto"/>
              <w:right w:val="single" w:sz="4" w:space="0" w:color="auto"/>
            </w:tcBorders>
            <w:vAlign w:val="center"/>
          </w:tcPr>
          <w:p w14:paraId="2AF02791" w14:textId="77777777" w:rsidR="00176424" w:rsidRPr="00176424" w:rsidRDefault="00176424" w:rsidP="00176424">
            <w:pPr>
              <w:jc w:val="center"/>
              <w:rPr>
                <w:rFonts w:eastAsia="Times New Roman"/>
                <w:b/>
                <w:sz w:val="10"/>
                <w:szCs w:val="10"/>
              </w:rPr>
            </w:pPr>
          </w:p>
        </w:tc>
        <w:tc>
          <w:tcPr>
            <w:tcW w:w="610" w:type="dxa"/>
            <w:gridSpan w:val="2"/>
            <w:tcBorders>
              <w:top w:val="single" w:sz="4" w:space="0" w:color="auto"/>
              <w:left w:val="single" w:sz="4" w:space="0" w:color="auto"/>
              <w:bottom w:val="single" w:sz="4" w:space="0" w:color="auto"/>
              <w:right w:val="single" w:sz="4" w:space="0" w:color="auto"/>
            </w:tcBorders>
            <w:vAlign w:val="center"/>
          </w:tcPr>
          <w:p w14:paraId="5A2AC176" w14:textId="77777777" w:rsidR="00176424" w:rsidRPr="00176424" w:rsidRDefault="00176424" w:rsidP="00176424">
            <w:pPr>
              <w:jc w:val="center"/>
              <w:rPr>
                <w:rFonts w:eastAsia="Times New Roman"/>
                <w:b/>
                <w:sz w:val="10"/>
                <w:szCs w:val="10"/>
              </w:rPr>
            </w:pPr>
            <w:r w:rsidRPr="00176424">
              <w:rPr>
                <w:rFonts w:eastAsia="Times New Roman"/>
                <w:b/>
                <w:sz w:val="10"/>
                <w:szCs w:val="10"/>
              </w:rPr>
              <w:t>IV</w:t>
            </w:r>
          </w:p>
        </w:tc>
        <w:tc>
          <w:tcPr>
            <w:tcW w:w="567" w:type="dxa"/>
            <w:tcBorders>
              <w:top w:val="single" w:sz="4" w:space="0" w:color="auto"/>
              <w:left w:val="single" w:sz="4" w:space="0" w:color="auto"/>
              <w:bottom w:val="single" w:sz="4" w:space="0" w:color="auto"/>
              <w:right w:val="single" w:sz="4" w:space="0" w:color="auto"/>
            </w:tcBorders>
            <w:vAlign w:val="center"/>
          </w:tcPr>
          <w:p w14:paraId="354CB943" w14:textId="77777777" w:rsidR="00176424" w:rsidRPr="00176424" w:rsidRDefault="00176424" w:rsidP="00176424">
            <w:pPr>
              <w:jc w:val="center"/>
              <w:rPr>
                <w:rFonts w:eastAsia="Times New Roman"/>
                <w:b/>
                <w:sz w:val="10"/>
                <w:szCs w:val="10"/>
              </w:rPr>
            </w:pPr>
            <w:r w:rsidRPr="00176424">
              <w:rPr>
                <w:rFonts w:eastAsia="Times New Roman"/>
                <w:b/>
                <w:sz w:val="10"/>
                <w:szCs w:val="10"/>
              </w:rPr>
              <w:t>I</w:t>
            </w:r>
          </w:p>
        </w:tc>
        <w:tc>
          <w:tcPr>
            <w:tcW w:w="451" w:type="dxa"/>
            <w:tcBorders>
              <w:top w:val="single" w:sz="4" w:space="0" w:color="auto"/>
              <w:left w:val="single" w:sz="4" w:space="0" w:color="auto"/>
              <w:bottom w:val="single" w:sz="4" w:space="0" w:color="auto"/>
              <w:right w:val="single" w:sz="4" w:space="0" w:color="auto"/>
            </w:tcBorders>
            <w:vAlign w:val="center"/>
          </w:tcPr>
          <w:p w14:paraId="5B6C20AC" w14:textId="77777777" w:rsidR="00176424" w:rsidRPr="00176424" w:rsidRDefault="00176424" w:rsidP="00176424">
            <w:pPr>
              <w:jc w:val="center"/>
              <w:rPr>
                <w:rFonts w:eastAsia="Times New Roman"/>
                <w:b/>
                <w:sz w:val="10"/>
                <w:szCs w:val="10"/>
              </w:rPr>
            </w:pPr>
            <w:r w:rsidRPr="00176424">
              <w:rPr>
                <w:rFonts w:eastAsia="Times New Roman"/>
                <w:b/>
                <w:sz w:val="10"/>
                <w:szCs w:val="10"/>
              </w:rPr>
              <w:t>II</w:t>
            </w:r>
          </w:p>
        </w:tc>
        <w:tc>
          <w:tcPr>
            <w:tcW w:w="542" w:type="dxa"/>
            <w:tcBorders>
              <w:top w:val="single" w:sz="4" w:space="0" w:color="auto"/>
              <w:left w:val="single" w:sz="4" w:space="0" w:color="auto"/>
              <w:bottom w:val="single" w:sz="4" w:space="0" w:color="auto"/>
              <w:right w:val="single" w:sz="4" w:space="0" w:color="auto"/>
            </w:tcBorders>
            <w:vAlign w:val="center"/>
          </w:tcPr>
          <w:p w14:paraId="5E2E3E73" w14:textId="77777777" w:rsidR="00176424" w:rsidRPr="00176424" w:rsidRDefault="00176424" w:rsidP="00176424">
            <w:pPr>
              <w:jc w:val="center"/>
              <w:rPr>
                <w:rFonts w:eastAsia="Times New Roman"/>
                <w:b/>
                <w:sz w:val="10"/>
                <w:szCs w:val="10"/>
              </w:rPr>
            </w:pPr>
            <w:r w:rsidRPr="00176424">
              <w:rPr>
                <w:rFonts w:eastAsia="Times New Roman"/>
                <w:b/>
                <w:sz w:val="10"/>
                <w:szCs w:val="10"/>
              </w:rPr>
              <w:t>III</w:t>
            </w:r>
          </w:p>
        </w:tc>
        <w:tc>
          <w:tcPr>
            <w:tcW w:w="548" w:type="dxa"/>
            <w:tcBorders>
              <w:top w:val="single" w:sz="4" w:space="0" w:color="auto"/>
              <w:left w:val="single" w:sz="4" w:space="0" w:color="auto"/>
              <w:bottom w:val="single" w:sz="4" w:space="0" w:color="auto"/>
              <w:right w:val="single" w:sz="4" w:space="0" w:color="auto"/>
            </w:tcBorders>
            <w:vAlign w:val="center"/>
          </w:tcPr>
          <w:p w14:paraId="2F1EA50F" w14:textId="77777777" w:rsidR="00176424" w:rsidRPr="00176424" w:rsidRDefault="00176424" w:rsidP="00176424">
            <w:pPr>
              <w:jc w:val="center"/>
              <w:rPr>
                <w:rFonts w:eastAsia="Times New Roman"/>
                <w:b/>
                <w:sz w:val="10"/>
                <w:szCs w:val="10"/>
              </w:rPr>
            </w:pPr>
            <w:r w:rsidRPr="00176424">
              <w:rPr>
                <w:rFonts w:eastAsia="Times New Roman"/>
                <w:b/>
                <w:sz w:val="10"/>
                <w:szCs w:val="10"/>
              </w:rPr>
              <w:t>IV</w:t>
            </w:r>
          </w:p>
        </w:tc>
        <w:tc>
          <w:tcPr>
            <w:tcW w:w="720" w:type="dxa"/>
            <w:tcBorders>
              <w:top w:val="single" w:sz="4" w:space="0" w:color="auto"/>
              <w:left w:val="single" w:sz="4" w:space="0" w:color="auto"/>
              <w:bottom w:val="single" w:sz="4" w:space="0" w:color="auto"/>
              <w:right w:val="single" w:sz="4" w:space="0" w:color="auto"/>
            </w:tcBorders>
            <w:vAlign w:val="center"/>
          </w:tcPr>
          <w:p w14:paraId="45AEFDC6" w14:textId="77777777" w:rsidR="00176424" w:rsidRPr="00176424" w:rsidRDefault="00176424" w:rsidP="00176424">
            <w:pPr>
              <w:jc w:val="center"/>
              <w:rPr>
                <w:rFonts w:eastAsia="Times New Roman"/>
                <w:b/>
                <w:sz w:val="10"/>
                <w:szCs w:val="10"/>
              </w:rPr>
            </w:pPr>
            <w:r w:rsidRPr="00176424">
              <w:rPr>
                <w:rFonts w:eastAsia="Times New Roman"/>
                <w:b/>
                <w:sz w:val="10"/>
                <w:szCs w:val="10"/>
              </w:rPr>
              <w:t>Hasta 100 Empleados</w:t>
            </w:r>
          </w:p>
        </w:tc>
        <w:tc>
          <w:tcPr>
            <w:tcW w:w="720" w:type="dxa"/>
            <w:tcBorders>
              <w:top w:val="single" w:sz="4" w:space="0" w:color="auto"/>
              <w:left w:val="single" w:sz="4" w:space="0" w:color="auto"/>
              <w:bottom w:val="single" w:sz="4" w:space="0" w:color="auto"/>
              <w:right w:val="single" w:sz="4" w:space="0" w:color="auto"/>
            </w:tcBorders>
            <w:vAlign w:val="center"/>
          </w:tcPr>
          <w:p w14:paraId="654A8026" w14:textId="77777777" w:rsidR="00176424" w:rsidRPr="00176424" w:rsidRDefault="00176424" w:rsidP="00176424">
            <w:pPr>
              <w:jc w:val="center"/>
              <w:rPr>
                <w:rFonts w:eastAsia="Times New Roman"/>
                <w:b/>
                <w:sz w:val="10"/>
                <w:szCs w:val="10"/>
              </w:rPr>
            </w:pPr>
            <w:r w:rsidRPr="00176424">
              <w:rPr>
                <w:rFonts w:eastAsia="Times New Roman"/>
                <w:b/>
                <w:sz w:val="10"/>
                <w:szCs w:val="10"/>
              </w:rPr>
              <w:t>Más de 100 Empleados</w:t>
            </w:r>
          </w:p>
        </w:tc>
        <w:tc>
          <w:tcPr>
            <w:tcW w:w="898" w:type="dxa"/>
            <w:tcBorders>
              <w:top w:val="single" w:sz="4" w:space="0" w:color="auto"/>
              <w:left w:val="single" w:sz="4" w:space="0" w:color="auto"/>
              <w:bottom w:val="single" w:sz="4" w:space="0" w:color="auto"/>
              <w:right w:val="single" w:sz="4" w:space="0" w:color="auto"/>
            </w:tcBorders>
            <w:vAlign w:val="center"/>
          </w:tcPr>
          <w:p w14:paraId="76232F3B" w14:textId="77777777" w:rsidR="00176424" w:rsidRPr="00176424" w:rsidRDefault="00176424" w:rsidP="00176424">
            <w:pPr>
              <w:jc w:val="center"/>
              <w:rPr>
                <w:rFonts w:eastAsia="Times New Roman"/>
                <w:b/>
                <w:sz w:val="10"/>
                <w:szCs w:val="10"/>
              </w:rPr>
            </w:pPr>
            <w:r w:rsidRPr="00176424">
              <w:rPr>
                <w:rFonts w:eastAsia="Times New Roman"/>
                <w:b/>
                <w:sz w:val="10"/>
                <w:szCs w:val="10"/>
              </w:rPr>
              <w:t>Manufacturas</w:t>
            </w:r>
          </w:p>
        </w:tc>
        <w:tc>
          <w:tcPr>
            <w:tcW w:w="720" w:type="dxa"/>
            <w:tcBorders>
              <w:top w:val="single" w:sz="4" w:space="0" w:color="auto"/>
              <w:left w:val="single" w:sz="4" w:space="0" w:color="auto"/>
              <w:bottom w:val="single" w:sz="4" w:space="0" w:color="auto"/>
              <w:right w:val="single" w:sz="4" w:space="0" w:color="auto"/>
            </w:tcBorders>
            <w:vAlign w:val="center"/>
          </w:tcPr>
          <w:p w14:paraId="3ED7ED2F" w14:textId="77777777" w:rsidR="00176424" w:rsidRPr="00176424" w:rsidRDefault="00176424" w:rsidP="00176424">
            <w:pPr>
              <w:jc w:val="center"/>
              <w:rPr>
                <w:rFonts w:eastAsia="Times New Roman"/>
                <w:b/>
                <w:sz w:val="10"/>
                <w:szCs w:val="10"/>
              </w:rPr>
            </w:pPr>
            <w:r w:rsidRPr="00176424">
              <w:rPr>
                <w:rFonts w:eastAsia="Times New Roman"/>
                <w:b/>
                <w:sz w:val="10"/>
                <w:szCs w:val="10"/>
              </w:rPr>
              <w:t>Servicios y Comercio</w:t>
            </w:r>
          </w:p>
        </w:tc>
        <w:tc>
          <w:tcPr>
            <w:tcW w:w="540" w:type="dxa"/>
            <w:tcBorders>
              <w:top w:val="single" w:sz="4" w:space="0" w:color="auto"/>
              <w:left w:val="single" w:sz="4" w:space="0" w:color="auto"/>
              <w:bottom w:val="single" w:sz="4" w:space="0" w:color="auto"/>
              <w:right w:val="single" w:sz="4" w:space="0" w:color="auto"/>
            </w:tcBorders>
            <w:vAlign w:val="center"/>
          </w:tcPr>
          <w:p w14:paraId="7CB2FC90" w14:textId="77777777" w:rsidR="00176424" w:rsidRPr="00176424" w:rsidRDefault="00176424" w:rsidP="00176424">
            <w:pPr>
              <w:jc w:val="center"/>
              <w:rPr>
                <w:rFonts w:eastAsia="Times New Roman"/>
                <w:b/>
                <w:sz w:val="10"/>
                <w:szCs w:val="10"/>
              </w:rPr>
            </w:pPr>
            <w:r w:rsidRPr="00176424">
              <w:rPr>
                <w:rFonts w:eastAsia="Times New Roman"/>
                <w:b/>
                <w:sz w:val="10"/>
                <w:szCs w:val="10"/>
              </w:rPr>
              <w:t>Resto</w:t>
            </w:r>
          </w:p>
        </w:tc>
      </w:tr>
      <w:tr w:rsidR="00176424" w:rsidRPr="00176424" w14:paraId="17AA9437" w14:textId="77777777" w:rsidTr="00DA1492">
        <w:tc>
          <w:tcPr>
            <w:tcW w:w="2792" w:type="dxa"/>
            <w:tcBorders>
              <w:top w:val="single" w:sz="4" w:space="0" w:color="auto"/>
              <w:left w:val="single" w:sz="4" w:space="0" w:color="auto"/>
              <w:bottom w:val="single" w:sz="4" w:space="0" w:color="auto"/>
              <w:right w:val="single" w:sz="4" w:space="0" w:color="auto"/>
            </w:tcBorders>
          </w:tcPr>
          <w:p w14:paraId="26763992" w14:textId="77777777" w:rsidR="00176424" w:rsidRPr="00176424" w:rsidRDefault="00176424" w:rsidP="00176424">
            <w:pPr>
              <w:jc w:val="both"/>
              <w:rPr>
                <w:rFonts w:eastAsia="Times New Roman"/>
                <w:b/>
                <w:sz w:val="10"/>
                <w:szCs w:val="10"/>
              </w:rPr>
            </w:pPr>
            <w:r w:rsidRPr="00176424">
              <w:rPr>
                <w:rFonts w:eastAsia="Times New Roman"/>
                <w:b/>
                <w:sz w:val="10"/>
                <w:szCs w:val="10"/>
              </w:rPr>
              <w:t>MERCADO DE CRÉDITO BANCARIO</w:t>
            </w:r>
            <w:r w:rsidRPr="00176424">
              <w:rPr>
                <w:rFonts w:eastAsia="Times New Roman"/>
                <w:b/>
                <w:sz w:val="10"/>
                <w:szCs w:val="10"/>
                <w:u w:val="single"/>
                <w:vertAlign w:val="superscript"/>
              </w:rPr>
              <w:t>3</w:t>
            </w:r>
            <w:r w:rsidRPr="00176424">
              <w:rPr>
                <w:rFonts w:eastAsia="Times New Roman"/>
                <w:b/>
                <w:sz w:val="10"/>
                <w:szCs w:val="10"/>
                <w:vertAlign w:val="superscript"/>
              </w:rPr>
              <w:t>/</w:t>
            </w:r>
          </w:p>
          <w:p w14:paraId="208B5D99" w14:textId="77777777" w:rsidR="00176424" w:rsidRPr="00176424" w:rsidRDefault="00176424" w:rsidP="00176424">
            <w:pPr>
              <w:jc w:val="both"/>
              <w:rPr>
                <w:rFonts w:eastAsia="Times New Roman"/>
                <w:i/>
                <w:sz w:val="10"/>
                <w:szCs w:val="10"/>
              </w:rPr>
            </w:pPr>
            <w:r w:rsidRPr="00176424">
              <w:rPr>
                <w:rFonts w:eastAsia="Times New Roman"/>
                <w:i/>
                <w:sz w:val="10"/>
                <w:szCs w:val="10"/>
              </w:rPr>
              <w:t>Por ciento de Empresas</w:t>
            </w:r>
          </w:p>
        </w:tc>
        <w:tc>
          <w:tcPr>
            <w:tcW w:w="6316" w:type="dxa"/>
            <w:gridSpan w:val="11"/>
            <w:tcBorders>
              <w:top w:val="single" w:sz="4" w:space="0" w:color="auto"/>
              <w:left w:val="single" w:sz="4" w:space="0" w:color="auto"/>
              <w:bottom w:val="single" w:sz="4" w:space="0" w:color="auto"/>
              <w:right w:val="single" w:sz="4" w:space="0" w:color="auto"/>
            </w:tcBorders>
          </w:tcPr>
          <w:p w14:paraId="1D927BF8" w14:textId="77777777" w:rsidR="00176424" w:rsidRPr="00176424" w:rsidRDefault="00176424" w:rsidP="00176424">
            <w:pPr>
              <w:jc w:val="both"/>
              <w:rPr>
                <w:rFonts w:eastAsia="Times New Roman"/>
                <w:sz w:val="10"/>
                <w:szCs w:val="10"/>
              </w:rPr>
            </w:pPr>
          </w:p>
        </w:tc>
      </w:tr>
      <w:tr w:rsidR="00176424" w:rsidRPr="00176424" w14:paraId="161BDED9" w14:textId="77777777" w:rsidTr="00DA1492">
        <w:tc>
          <w:tcPr>
            <w:tcW w:w="2792" w:type="dxa"/>
            <w:tcBorders>
              <w:top w:val="single" w:sz="4" w:space="0" w:color="auto"/>
              <w:left w:val="single" w:sz="4" w:space="0" w:color="auto"/>
              <w:bottom w:val="single" w:sz="4" w:space="0" w:color="auto"/>
              <w:right w:val="single" w:sz="4" w:space="0" w:color="auto"/>
            </w:tcBorders>
          </w:tcPr>
          <w:p w14:paraId="0604C186" w14:textId="77777777" w:rsidR="00176424" w:rsidRPr="00176424" w:rsidRDefault="00176424" w:rsidP="00176424">
            <w:pPr>
              <w:spacing w:before="60" w:after="60"/>
              <w:jc w:val="both"/>
              <w:rPr>
                <w:rFonts w:eastAsia="Times New Roman"/>
                <w:b/>
                <w:sz w:val="10"/>
                <w:szCs w:val="10"/>
              </w:rPr>
            </w:pPr>
            <w:r w:rsidRPr="00176424">
              <w:rPr>
                <w:rFonts w:eastAsia="Times New Roman"/>
                <w:b/>
                <w:sz w:val="10"/>
                <w:szCs w:val="10"/>
              </w:rPr>
              <w:t>Empresas con endeudamiento bancarios al inicio del trimestre:</w:t>
            </w:r>
          </w:p>
        </w:tc>
        <w:tc>
          <w:tcPr>
            <w:tcW w:w="541" w:type="dxa"/>
            <w:tcBorders>
              <w:top w:val="single" w:sz="4" w:space="0" w:color="auto"/>
              <w:left w:val="single" w:sz="4" w:space="0" w:color="auto"/>
              <w:bottom w:val="single" w:sz="4" w:space="0" w:color="auto"/>
              <w:right w:val="single" w:sz="4" w:space="0" w:color="auto"/>
            </w:tcBorders>
            <w:vAlign w:val="center"/>
          </w:tcPr>
          <w:p w14:paraId="7F80E65A"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47.5</w:t>
            </w:r>
          </w:p>
        </w:tc>
        <w:tc>
          <w:tcPr>
            <w:tcW w:w="636" w:type="dxa"/>
            <w:gridSpan w:val="2"/>
            <w:tcBorders>
              <w:top w:val="single" w:sz="4" w:space="0" w:color="auto"/>
              <w:left w:val="single" w:sz="4" w:space="0" w:color="auto"/>
              <w:bottom w:val="single" w:sz="4" w:space="0" w:color="auto"/>
              <w:right w:val="single" w:sz="4" w:space="0" w:color="auto"/>
            </w:tcBorders>
            <w:vAlign w:val="center"/>
          </w:tcPr>
          <w:p w14:paraId="0F11FF23"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44.8</w:t>
            </w:r>
          </w:p>
        </w:tc>
        <w:tc>
          <w:tcPr>
            <w:tcW w:w="451" w:type="dxa"/>
            <w:tcBorders>
              <w:top w:val="single" w:sz="4" w:space="0" w:color="auto"/>
              <w:left w:val="single" w:sz="4" w:space="0" w:color="auto"/>
              <w:bottom w:val="single" w:sz="4" w:space="0" w:color="auto"/>
              <w:right w:val="single" w:sz="4" w:space="0" w:color="auto"/>
            </w:tcBorders>
            <w:vAlign w:val="center"/>
          </w:tcPr>
          <w:p w14:paraId="40759FAE"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48.3</w:t>
            </w:r>
          </w:p>
        </w:tc>
        <w:tc>
          <w:tcPr>
            <w:tcW w:w="542" w:type="dxa"/>
            <w:tcBorders>
              <w:top w:val="single" w:sz="4" w:space="0" w:color="auto"/>
              <w:left w:val="single" w:sz="4" w:space="0" w:color="auto"/>
              <w:bottom w:val="single" w:sz="4" w:space="0" w:color="auto"/>
              <w:right w:val="single" w:sz="4" w:space="0" w:color="auto"/>
            </w:tcBorders>
            <w:vAlign w:val="center"/>
          </w:tcPr>
          <w:p w14:paraId="7B7BB85D"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45.9</w:t>
            </w:r>
          </w:p>
        </w:tc>
        <w:tc>
          <w:tcPr>
            <w:tcW w:w="548" w:type="dxa"/>
            <w:tcBorders>
              <w:top w:val="single" w:sz="4" w:space="0" w:color="auto"/>
              <w:left w:val="single" w:sz="4" w:space="0" w:color="auto"/>
              <w:bottom w:val="single" w:sz="4" w:space="0" w:color="auto"/>
              <w:right w:val="single" w:sz="4" w:space="0" w:color="auto"/>
            </w:tcBorders>
            <w:vAlign w:val="center"/>
          </w:tcPr>
          <w:p w14:paraId="545CC60A"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43.9</w:t>
            </w:r>
          </w:p>
        </w:tc>
        <w:tc>
          <w:tcPr>
            <w:tcW w:w="720" w:type="dxa"/>
            <w:tcBorders>
              <w:top w:val="single" w:sz="4" w:space="0" w:color="auto"/>
              <w:left w:val="single" w:sz="4" w:space="0" w:color="auto"/>
              <w:bottom w:val="single" w:sz="4" w:space="0" w:color="auto"/>
              <w:right w:val="single" w:sz="4" w:space="0" w:color="auto"/>
            </w:tcBorders>
            <w:vAlign w:val="center"/>
          </w:tcPr>
          <w:p w14:paraId="06264A06"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36.1</w:t>
            </w:r>
          </w:p>
        </w:tc>
        <w:tc>
          <w:tcPr>
            <w:tcW w:w="720" w:type="dxa"/>
            <w:tcBorders>
              <w:top w:val="single" w:sz="4" w:space="0" w:color="auto"/>
              <w:left w:val="single" w:sz="4" w:space="0" w:color="auto"/>
              <w:bottom w:val="single" w:sz="4" w:space="0" w:color="auto"/>
              <w:right w:val="single" w:sz="4" w:space="0" w:color="auto"/>
            </w:tcBorders>
            <w:vAlign w:val="center"/>
          </w:tcPr>
          <w:p w14:paraId="05F27A3C"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48.6</w:t>
            </w:r>
          </w:p>
        </w:tc>
        <w:tc>
          <w:tcPr>
            <w:tcW w:w="898" w:type="dxa"/>
            <w:tcBorders>
              <w:top w:val="single" w:sz="4" w:space="0" w:color="auto"/>
              <w:left w:val="single" w:sz="4" w:space="0" w:color="auto"/>
              <w:bottom w:val="single" w:sz="4" w:space="0" w:color="auto"/>
              <w:right w:val="single" w:sz="4" w:space="0" w:color="auto"/>
            </w:tcBorders>
            <w:vAlign w:val="center"/>
          </w:tcPr>
          <w:p w14:paraId="42481029" w14:textId="77777777" w:rsidR="00176424" w:rsidRPr="00176424" w:rsidRDefault="00176424" w:rsidP="00176424">
            <w:pPr>
              <w:ind w:right="227"/>
              <w:jc w:val="right"/>
              <w:rPr>
                <w:rFonts w:eastAsia="Times New Roman"/>
                <w:sz w:val="10"/>
                <w:szCs w:val="10"/>
                <w:lang w:eastAsia="es-MX"/>
              </w:rPr>
            </w:pPr>
            <w:r w:rsidRPr="00176424">
              <w:rPr>
                <w:rFonts w:eastAsia="Times New Roman"/>
                <w:sz w:val="10"/>
                <w:szCs w:val="10"/>
                <w:lang w:eastAsia="es-MX"/>
              </w:rPr>
              <w:t>46.5</w:t>
            </w:r>
          </w:p>
        </w:tc>
        <w:tc>
          <w:tcPr>
            <w:tcW w:w="720" w:type="dxa"/>
            <w:tcBorders>
              <w:top w:val="single" w:sz="4" w:space="0" w:color="auto"/>
              <w:left w:val="single" w:sz="4" w:space="0" w:color="auto"/>
              <w:bottom w:val="single" w:sz="4" w:space="0" w:color="auto"/>
              <w:right w:val="single" w:sz="4" w:space="0" w:color="auto"/>
            </w:tcBorders>
            <w:vAlign w:val="center"/>
          </w:tcPr>
          <w:p w14:paraId="61A0CFDB"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42.7</w:t>
            </w:r>
          </w:p>
        </w:tc>
        <w:tc>
          <w:tcPr>
            <w:tcW w:w="540" w:type="dxa"/>
            <w:tcBorders>
              <w:top w:val="single" w:sz="4" w:space="0" w:color="auto"/>
              <w:left w:val="single" w:sz="4" w:space="0" w:color="auto"/>
              <w:bottom w:val="single" w:sz="4" w:space="0" w:color="auto"/>
              <w:right w:val="single" w:sz="4" w:space="0" w:color="auto"/>
            </w:tcBorders>
            <w:vAlign w:val="center"/>
          </w:tcPr>
          <w:p w14:paraId="7152F207"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42.7</w:t>
            </w:r>
          </w:p>
        </w:tc>
      </w:tr>
      <w:tr w:rsidR="00176424" w:rsidRPr="00176424" w14:paraId="5F6CE247" w14:textId="77777777" w:rsidTr="00DA1492">
        <w:tc>
          <w:tcPr>
            <w:tcW w:w="2792" w:type="dxa"/>
            <w:tcBorders>
              <w:top w:val="single" w:sz="4" w:space="0" w:color="auto"/>
              <w:left w:val="single" w:sz="4" w:space="0" w:color="auto"/>
              <w:bottom w:val="nil"/>
              <w:right w:val="single" w:sz="4" w:space="0" w:color="auto"/>
            </w:tcBorders>
          </w:tcPr>
          <w:p w14:paraId="4640D850" w14:textId="47791E6F" w:rsidR="00176424" w:rsidRPr="00176424" w:rsidRDefault="00176424" w:rsidP="00CB7BE4">
            <w:pPr>
              <w:jc w:val="both"/>
              <w:rPr>
                <w:rFonts w:eastAsia="Times New Roman"/>
                <w:b/>
                <w:sz w:val="10"/>
                <w:szCs w:val="10"/>
              </w:rPr>
            </w:pPr>
            <w:r w:rsidRPr="00176424">
              <w:rPr>
                <w:rFonts w:eastAsia="Times New Roman"/>
                <w:b/>
                <w:sz w:val="10"/>
                <w:szCs w:val="10"/>
              </w:rPr>
              <w:t xml:space="preserve">Empresas que </w:t>
            </w:r>
            <w:r w:rsidR="00CB7BE4">
              <w:rPr>
                <w:rFonts w:eastAsia="Times New Roman"/>
                <w:b/>
                <w:sz w:val="10"/>
                <w:szCs w:val="10"/>
              </w:rPr>
              <w:t>utilizaron</w:t>
            </w:r>
            <w:r w:rsidRPr="00176424">
              <w:rPr>
                <w:rFonts w:eastAsia="Times New Roman"/>
                <w:b/>
                <w:sz w:val="10"/>
                <w:szCs w:val="10"/>
              </w:rPr>
              <w:t xml:space="preserve"> nuevos créditos bancarios</w:t>
            </w:r>
            <w:r w:rsidRPr="00176424">
              <w:rPr>
                <w:rFonts w:eastAsia="Times New Roman"/>
                <w:b/>
                <w:sz w:val="10"/>
                <w:szCs w:val="10"/>
                <w:u w:val="single"/>
                <w:vertAlign w:val="superscript"/>
              </w:rPr>
              <w:t>4</w:t>
            </w:r>
            <w:r w:rsidRPr="00176424">
              <w:rPr>
                <w:rFonts w:eastAsia="Times New Roman"/>
                <w:b/>
                <w:sz w:val="10"/>
                <w:szCs w:val="10"/>
                <w:vertAlign w:val="superscript"/>
              </w:rPr>
              <w:t>/</w:t>
            </w:r>
          </w:p>
        </w:tc>
        <w:tc>
          <w:tcPr>
            <w:tcW w:w="541" w:type="dxa"/>
            <w:tcBorders>
              <w:top w:val="single" w:sz="4" w:space="0" w:color="auto"/>
              <w:left w:val="single" w:sz="4" w:space="0" w:color="auto"/>
              <w:bottom w:val="nil"/>
              <w:right w:val="single" w:sz="4" w:space="0" w:color="auto"/>
            </w:tcBorders>
            <w:vAlign w:val="center"/>
          </w:tcPr>
          <w:p w14:paraId="40B758B8"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23.0</w:t>
            </w:r>
          </w:p>
        </w:tc>
        <w:tc>
          <w:tcPr>
            <w:tcW w:w="636" w:type="dxa"/>
            <w:gridSpan w:val="2"/>
            <w:tcBorders>
              <w:top w:val="single" w:sz="4" w:space="0" w:color="auto"/>
              <w:left w:val="single" w:sz="4" w:space="0" w:color="auto"/>
              <w:bottom w:val="nil"/>
              <w:right w:val="single" w:sz="4" w:space="0" w:color="auto"/>
            </w:tcBorders>
            <w:vAlign w:val="center"/>
          </w:tcPr>
          <w:p w14:paraId="54D354A6"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21.5</w:t>
            </w:r>
          </w:p>
        </w:tc>
        <w:tc>
          <w:tcPr>
            <w:tcW w:w="451" w:type="dxa"/>
            <w:tcBorders>
              <w:top w:val="single" w:sz="4" w:space="0" w:color="auto"/>
              <w:left w:val="single" w:sz="4" w:space="0" w:color="auto"/>
              <w:bottom w:val="nil"/>
              <w:right w:val="single" w:sz="4" w:space="0" w:color="auto"/>
            </w:tcBorders>
            <w:vAlign w:val="center"/>
          </w:tcPr>
          <w:p w14:paraId="4A633AEC"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24.9</w:t>
            </w:r>
          </w:p>
        </w:tc>
        <w:tc>
          <w:tcPr>
            <w:tcW w:w="542" w:type="dxa"/>
            <w:tcBorders>
              <w:top w:val="single" w:sz="4" w:space="0" w:color="auto"/>
              <w:left w:val="single" w:sz="4" w:space="0" w:color="auto"/>
              <w:bottom w:val="nil"/>
              <w:right w:val="single" w:sz="4" w:space="0" w:color="auto"/>
            </w:tcBorders>
            <w:vAlign w:val="center"/>
          </w:tcPr>
          <w:p w14:paraId="5BD848AC"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24.6</w:t>
            </w:r>
          </w:p>
        </w:tc>
        <w:tc>
          <w:tcPr>
            <w:tcW w:w="548" w:type="dxa"/>
            <w:tcBorders>
              <w:top w:val="single" w:sz="4" w:space="0" w:color="auto"/>
              <w:left w:val="single" w:sz="4" w:space="0" w:color="auto"/>
              <w:bottom w:val="nil"/>
              <w:right w:val="single" w:sz="4" w:space="0" w:color="auto"/>
            </w:tcBorders>
            <w:vAlign w:val="center"/>
          </w:tcPr>
          <w:p w14:paraId="1368DFA1"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20.0</w:t>
            </w:r>
          </w:p>
        </w:tc>
        <w:tc>
          <w:tcPr>
            <w:tcW w:w="720" w:type="dxa"/>
            <w:tcBorders>
              <w:top w:val="single" w:sz="4" w:space="0" w:color="auto"/>
              <w:left w:val="single" w:sz="4" w:space="0" w:color="auto"/>
              <w:bottom w:val="nil"/>
              <w:right w:val="single" w:sz="4" w:space="0" w:color="auto"/>
            </w:tcBorders>
            <w:vAlign w:val="center"/>
          </w:tcPr>
          <w:p w14:paraId="3957E19B"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11.0</w:t>
            </w:r>
          </w:p>
        </w:tc>
        <w:tc>
          <w:tcPr>
            <w:tcW w:w="720" w:type="dxa"/>
            <w:tcBorders>
              <w:top w:val="single" w:sz="4" w:space="0" w:color="auto"/>
              <w:left w:val="single" w:sz="4" w:space="0" w:color="auto"/>
              <w:bottom w:val="nil"/>
              <w:right w:val="single" w:sz="4" w:space="0" w:color="auto"/>
            </w:tcBorders>
            <w:vAlign w:val="center"/>
          </w:tcPr>
          <w:p w14:paraId="7B76C109"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25.4</w:t>
            </w:r>
          </w:p>
        </w:tc>
        <w:tc>
          <w:tcPr>
            <w:tcW w:w="898" w:type="dxa"/>
            <w:tcBorders>
              <w:top w:val="single" w:sz="4" w:space="0" w:color="auto"/>
              <w:left w:val="single" w:sz="4" w:space="0" w:color="auto"/>
              <w:bottom w:val="nil"/>
              <w:right w:val="single" w:sz="4" w:space="0" w:color="auto"/>
            </w:tcBorders>
            <w:vAlign w:val="center"/>
          </w:tcPr>
          <w:p w14:paraId="15D86C49" w14:textId="77777777" w:rsidR="00176424" w:rsidRPr="00176424" w:rsidRDefault="00176424" w:rsidP="00176424">
            <w:pPr>
              <w:ind w:right="227"/>
              <w:jc w:val="right"/>
              <w:rPr>
                <w:rFonts w:eastAsia="Times New Roman"/>
                <w:sz w:val="10"/>
                <w:szCs w:val="10"/>
                <w:lang w:eastAsia="es-MX"/>
              </w:rPr>
            </w:pPr>
            <w:r w:rsidRPr="00176424">
              <w:rPr>
                <w:rFonts w:eastAsia="Times New Roman"/>
                <w:sz w:val="10"/>
                <w:szCs w:val="10"/>
                <w:lang w:eastAsia="es-MX"/>
              </w:rPr>
              <w:t>26.1</w:t>
            </w:r>
          </w:p>
        </w:tc>
        <w:tc>
          <w:tcPr>
            <w:tcW w:w="720" w:type="dxa"/>
            <w:tcBorders>
              <w:top w:val="single" w:sz="4" w:space="0" w:color="auto"/>
              <w:left w:val="single" w:sz="4" w:space="0" w:color="auto"/>
              <w:bottom w:val="nil"/>
              <w:right w:val="single" w:sz="4" w:space="0" w:color="auto"/>
            </w:tcBorders>
            <w:vAlign w:val="center"/>
          </w:tcPr>
          <w:p w14:paraId="2ABEE34B"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16.4</w:t>
            </w:r>
          </w:p>
        </w:tc>
        <w:tc>
          <w:tcPr>
            <w:tcW w:w="540" w:type="dxa"/>
            <w:tcBorders>
              <w:top w:val="single" w:sz="4" w:space="0" w:color="auto"/>
              <w:left w:val="single" w:sz="4" w:space="0" w:color="auto"/>
              <w:bottom w:val="nil"/>
              <w:right w:val="single" w:sz="4" w:space="0" w:color="auto"/>
            </w:tcBorders>
            <w:vAlign w:val="center"/>
          </w:tcPr>
          <w:p w14:paraId="7822859D"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23.0</w:t>
            </w:r>
          </w:p>
        </w:tc>
      </w:tr>
      <w:tr w:rsidR="00176424" w:rsidRPr="00176424" w14:paraId="284F748D" w14:textId="77777777" w:rsidTr="00DA1492">
        <w:tc>
          <w:tcPr>
            <w:tcW w:w="2792" w:type="dxa"/>
            <w:tcBorders>
              <w:top w:val="nil"/>
              <w:left w:val="single" w:sz="4" w:space="0" w:color="auto"/>
              <w:bottom w:val="nil"/>
              <w:right w:val="single" w:sz="4" w:space="0" w:color="auto"/>
            </w:tcBorders>
          </w:tcPr>
          <w:p w14:paraId="6F319C93" w14:textId="77777777" w:rsidR="00176424" w:rsidRPr="00176424" w:rsidRDefault="00176424" w:rsidP="00176424">
            <w:pPr>
              <w:ind w:left="113"/>
              <w:jc w:val="both"/>
              <w:rPr>
                <w:rFonts w:eastAsia="Times New Roman"/>
                <w:sz w:val="10"/>
                <w:szCs w:val="10"/>
              </w:rPr>
            </w:pPr>
            <w:r w:rsidRPr="00176424">
              <w:rPr>
                <w:rFonts w:eastAsia="Times New Roman"/>
                <w:sz w:val="10"/>
                <w:szCs w:val="10"/>
              </w:rPr>
              <w:t>Destino del crédito bancario</w:t>
            </w:r>
            <w:r w:rsidRPr="00176424">
              <w:rPr>
                <w:rFonts w:eastAsia="Times New Roman"/>
                <w:sz w:val="10"/>
                <w:szCs w:val="10"/>
                <w:u w:val="single"/>
                <w:vertAlign w:val="superscript"/>
              </w:rPr>
              <w:t>5</w:t>
            </w:r>
            <w:r w:rsidRPr="00176424">
              <w:rPr>
                <w:rFonts w:eastAsia="Times New Roman"/>
                <w:sz w:val="10"/>
                <w:szCs w:val="10"/>
                <w:vertAlign w:val="superscript"/>
              </w:rPr>
              <w:t>/</w:t>
            </w:r>
          </w:p>
        </w:tc>
        <w:tc>
          <w:tcPr>
            <w:tcW w:w="541" w:type="dxa"/>
            <w:tcBorders>
              <w:top w:val="nil"/>
              <w:left w:val="single" w:sz="4" w:space="0" w:color="auto"/>
              <w:bottom w:val="nil"/>
              <w:right w:val="single" w:sz="4" w:space="0" w:color="auto"/>
            </w:tcBorders>
          </w:tcPr>
          <w:p w14:paraId="5D50AAFD" w14:textId="77777777" w:rsidR="00176424" w:rsidRPr="00176424" w:rsidRDefault="00176424" w:rsidP="00176424">
            <w:pPr>
              <w:ind w:right="57"/>
              <w:jc w:val="right"/>
              <w:rPr>
                <w:rFonts w:eastAsia="Times New Roman"/>
                <w:sz w:val="10"/>
                <w:szCs w:val="10"/>
                <w:lang w:eastAsia="es-MX"/>
              </w:rPr>
            </w:pPr>
          </w:p>
        </w:tc>
        <w:tc>
          <w:tcPr>
            <w:tcW w:w="636" w:type="dxa"/>
            <w:gridSpan w:val="2"/>
            <w:tcBorders>
              <w:top w:val="nil"/>
              <w:left w:val="single" w:sz="4" w:space="0" w:color="auto"/>
              <w:bottom w:val="nil"/>
              <w:right w:val="single" w:sz="4" w:space="0" w:color="auto"/>
            </w:tcBorders>
          </w:tcPr>
          <w:p w14:paraId="7ABC81DA" w14:textId="77777777" w:rsidR="00176424" w:rsidRPr="00176424" w:rsidRDefault="00176424" w:rsidP="00176424">
            <w:pPr>
              <w:ind w:right="57"/>
              <w:jc w:val="right"/>
              <w:rPr>
                <w:rFonts w:eastAsia="Times New Roman"/>
                <w:sz w:val="10"/>
                <w:szCs w:val="10"/>
                <w:lang w:eastAsia="es-MX"/>
              </w:rPr>
            </w:pPr>
          </w:p>
        </w:tc>
        <w:tc>
          <w:tcPr>
            <w:tcW w:w="451" w:type="dxa"/>
            <w:tcBorders>
              <w:top w:val="nil"/>
              <w:left w:val="single" w:sz="4" w:space="0" w:color="auto"/>
              <w:bottom w:val="nil"/>
              <w:right w:val="single" w:sz="4" w:space="0" w:color="auto"/>
            </w:tcBorders>
          </w:tcPr>
          <w:p w14:paraId="2CCE6F26" w14:textId="77777777" w:rsidR="00176424" w:rsidRPr="00176424" w:rsidRDefault="00176424" w:rsidP="00176424">
            <w:pPr>
              <w:ind w:right="57"/>
              <w:jc w:val="right"/>
              <w:rPr>
                <w:rFonts w:eastAsia="Times New Roman"/>
                <w:sz w:val="10"/>
                <w:szCs w:val="10"/>
                <w:lang w:eastAsia="es-MX"/>
              </w:rPr>
            </w:pPr>
          </w:p>
        </w:tc>
        <w:tc>
          <w:tcPr>
            <w:tcW w:w="542" w:type="dxa"/>
            <w:tcBorders>
              <w:top w:val="nil"/>
              <w:left w:val="single" w:sz="4" w:space="0" w:color="auto"/>
              <w:bottom w:val="nil"/>
              <w:right w:val="single" w:sz="4" w:space="0" w:color="auto"/>
            </w:tcBorders>
          </w:tcPr>
          <w:p w14:paraId="068ACE77" w14:textId="77777777" w:rsidR="00176424" w:rsidRPr="00176424" w:rsidRDefault="00176424" w:rsidP="00176424">
            <w:pPr>
              <w:ind w:right="57"/>
              <w:jc w:val="right"/>
              <w:rPr>
                <w:rFonts w:eastAsia="Times New Roman"/>
                <w:sz w:val="10"/>
                <w:szCs w:val="10"/>
                <w:lang w:eastAsia="es-MX"/>
              </w:rPr>
            </w:pPr>
          </w:p>
        </w:tc>
        <w:tc>
          <w:tcPr>
            <w:tcW w:w="548" w:type="dxa"/>
            <w:tcBorders>
              <w:top w:val="nil"/>
              <w:left w:val="single" w:sz="4" w:space="0" w:color="auto"/>
              <w:bottom w:val="nil"/>
              <w:right w:val="single" w:sz="4" w:space="0" w:color="auto"/>
            </w:tcBorders>
          </w:tcPr>
          <w:p w14:paraId="161F4D8D" w14:textId="77777777" w:rsidR="00176424" w:rsidRPr="00176424" w:rsidRDefault="00176424" w:rsidP="00176424">
            <w:pPr>
              <w:ind w:right="57"/>
              <w:jc w:val="right"/>
              <w:rPr>
                <w:rFonts w:eastAsia="Times New Roman"/>
                <w:sz w:val="10"/>
                <w:szCs w:val="10"/>
                <w:lang w:eastAsia="es-MX"/>
              </w:rPr>
            </w:pPr>
          </w:p>
        </w:tc>
        <w:tc>
          <w:tcPr>
            <w:tcW w:w="720" w:type="dxa"/>
            <w:tcBorders>
              <w:top w:val="nil"/>
              <w:left w:val="single" w:sz="4" w:space="0" w:color="auto"/>
              <w:bottom w:val="nil"/>
              <w:right w:val="single" w:sz="4" w:space="0" w:color="auto"/>
            </w:tcBorders>
          </w:tcPr>
          <w:p w14:paraId="49EED50B" w14:textId="77777777" w:rsidR="00176424" w:rsidRPr="00176424" w:rsidRDefault="00176424" w:rsidP="00176424">
            <w:pPr>
              <w:ind w:right="170"/>
              <w:jc w:val="right"/>
              <w:rPr>
                <w:rFonts w:eastAsia="Times New Roman"/>
                <w:sz w:val="10"/>
                <w:szCs w:val="10"/>
                <w:lang w:eastAsia="es-MX"/>
              </w:rPr>
            </w:pPr>
          </w:p>
        </w:tc>
        <w:tc>
          <w:tcPr>
            <w:tcW w:w="720" w:type="dxa"/>
            <w:tcBorders>
              <w:top w:val="nil"/>
              <w:left w:val="single" w:sz="4" w:space="0" w:color="auto"/>
              <w:bottom w:val="nil"/>
              <w:right w:val="single" w:sz="4" w:space="0" w:color="auto"/>
            </w:tcBorders>
          </w:tcPr>
          <w:p w14:paraId="6A6FD106" w14:textId="77777777" w:rsidR="00176424" w:rsidRPr="00176424" w:rsidRDefault="00176424" w:rsidP="00176424">
            <w:pPr>
              <w:ind w:right="170"/>
              <w:jc w:val="right"/>
              <w:rPr>
                <w:rFonts w:eastAsia="Times New Roman"/>
                <w:sz w:val="10"/>
                <w:szCs w:val="10"/>
                <w:lang w:eastAsia="es-MX"/>
              </w:rPr>
            </w:pPr>
          </w:p>
        </w:tc>
        <w:tc>
          <w:tcPr>
            <w:tcW w:w="898" w:type="dxa"/>
            <w:tcBorders>
              <w:top w:val="nil"/>
              <w:left w:val="single" w:sz="4" w:space="0" w:color="auto"/>
              <w:bottom w:val="nil"/>
              <w:right w:val="single" w:sz="4" w:space="0" w:color="auto"/>
            </w:tcBorders>
          </w:tcPr>
          <w:p w14:paraId="5EB2BEB3" w14:textId="77777777" w:rsidR="00176424" w:rsidRPr="00176424" w:rsidRDefault="00176424" w:rsidP="00176424">
            <w:pPr>
              <w:ind w:right="227"/>
              <w:jc w:val="right"/>
              <w:rPr>
                <w:rFonts w:eastAsia="Times New Roman"/>
                <w:sz w:val="10"/>
                <w:szCs w:val="10"/>
                <w:lang w:eastAsia="es-MX"/>
              </w:rPr>
            </w:pPr>
          </w:p>
        </w:tc>
        <w:tc>
          <w:tcPr>
            <w:tcW w:w="720" w:type="dxa"/>
            <w:tcBorders>
              <w:top w:val="nil"/>
              <w:left w:val="single" w:sz="4" w:space="0" w:color="auto"/>
              <w:bottom w:val="nil"/>
              <w:right w:val="single" w:sz="4" w:space="0" w:color="auto"/>
            </w:tcBorders>
          </w:tcPr>
          <w:p w14:paraId="0A4ACBF9" w14:textId="77777777" w:rsidR="00176424" w:rsidRPr="00176424" w:rsidRDefault="00176424" w:rsidP="00176424">
            <w:pPr>
              <w:ind w:right="170"/>
              <w:jc w:val="right"/>
              <w:rPr>
                <w:rFonts w:eastAsia="Times New Roman"/>
                <w:sz w:val="10"/>
                <w:szCs w:val="10"/>
                <w:lang w:eastAsia="es-MX"/>
              </w:rPr>
            </w:pPr>
          </w:p>
        </w:tc>
        <w:tc>
          <w:tcPr>
            <w:tcW w:w="540" w:type="dxa"/>
            <w:tcBorders>
              <w:top w:val="nil"/>
              <w:left w:val="single" w:sz="4" w:space="0" w:color="auto"/>
              <w:bottom w:val="nil"/>
              <w:right w:val="single" w:sz="4" w:space="0" w:color="auto"/>
            </w:tcBorders>
          </w:tcPr>
          <w:p w14:paraId="727FB4FE" w14:textId="77777777" w:rsidR="00176424" w:rsidRPr="00176424" w:rsidRDefault="00176424" w:rsidP="00176424">
            <w:pPr>
              <w:ind w:right="57"/>
              <w:jc w:val="right"/>
              <w:rPr>
                <w:rFonts w:eastAsia="Times New Roman"/>
                <w:sz w:val="10"/>
                <w:szCs w:val="10"/>
                <w:lang w:eastAsia="es-MX"/>
              </w:rPr>
            </w:pPr>
          </w:p>
        </w:tc>
      </w:tr>
      <w:tr w:rsidR="00176424" w:rsidRPr="00176424" w14:paraId="7FE2F165" w14:textId="77777777" w:rsidTr="00DA1492">
        <w:tc>
          <w:tcPr>
            <w:tcW w:w="2792" w:type="dxa"/>
            <w:tcBorders>
              <w:top w:val="nil"/>
              <w:left w:val="single" w:sz="4" w:space="0" w:color="auto"/>
              <w:bottom w:val="nil"/>
              <w:right w:val="single" w:sz="4" w:space="0" w:color="auto"/>
            </w:tcBorders>
          </w:tcPr>
          <w:p w14:paraId="0B371DDE" w14:textId="77777777" w:rsidR="00176424" w:rsidRPr="00176424" w:rsidRDefault="00176424" w:rsidP="00176424">
            <w:pPr>
              <w:ind w:left="397"/>
              <w:jc w:val="both"/>
              <w:rPr>
                <w:rFonts w:eastAsia="Times New Roman"/>
                <w:sz w:val="10"/>
                <w:szCs w:val="10"/>
              </w:rPr>
            </w:pPr>
            <w:r w:rsidRPr="00176424">
              <w:rPr>
                <w:rFonts w:eastAsia="Times New Roman"/>
                <w:sz w:val="10"/>
                <w:szCs w:val="10"/>
              </w:rPr>
              <w:t>Capital de trabajo</w:t>
            </w:r>
          </w:p>
        </w:tc>
        <w:tc>
          <w:tcPr>
            <w:tcW w:w="541" w:type="dxa"/>
            <w:tcBorders>
              <w:top w:val="nil"/>
              <w:left w:val="single" w:sz="4" w:space="0" w:color="auto"/>
              <w:bottom w:val="nil"/>
              <w:right w:val="single" w:sz="4" w:space="0" w:color="auto"/>
            </w:tcBorders>
          </w:tcPr>
          <w:p w14:paraId="5C817C8D"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80.2</w:t>
            </w:r>
          </w:p>
        </w:tc>
        <w:tc>
          <w:tcPr>
            <w:tcW w:w="636" w:type="dxa"/>
            <w:gridSpan w:val="2"/>
            <w:tcBorders>
              <w:top w:val="nil"/>
              <w:left w:val="single" w:sz="4" w:space="0" w:color="auto"/>
              <w:bottom w:val="nil"/>
              <w:right w:val="single" w:sz="4" w:space="0" w:color="auto"/>
            </w:tcBorders>
          </w:tcPr>
          <w:p w14:paraId="6E94222F"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70.6</w:t>
            </w:r>
          </w:p>
        </w:tc>
        <w:tc>
          <w:tcPr>
            <w:tcW w:w="451" w:type="dxa"/>
            <w:tcBorders>
              <w:top w:val="nil"/>
              <w:left w:val="single" w:sz="4" w:space="0" w:color="auto"/>
              <w:bottom w:val="nil"/>
              <w:right w:val="single" w:sz="4" w:space="0" w:color="auto"/>
            </w:tcBorders>
          </w:tcPr>
          <w:p w14:paraId="43F053AB"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80.3</w:t>
            </w:r>
          </w:p>
        </w:tc>
        <w:tc>
          <w:tcPr>
            <w:tcW w:w="542" w:type="dxa"/>
            <w:tcBorders>
              <w:top w:val="nil"/>
              <w:left w:val="single" w:sz="4" w:space="0" w:color="auto"/>
              <w:bottom w:val="nil"/>
              <w:right w:val="single" w:sz="4" w:space="0" w:color="auto"/>
            </w:tcBorders>
          </w:tcPr>
          <w:p w14:paraId="75C6A4DA"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73.3</w:t>
            </w:r>
          </w:p>
        </w:tc>
        <w:tc>
          <w:tcPr>
            <w:tcW w:w="548" w:type="dxa"/>
            <w:tcBorders>
              <w:top w:val="nil"/>
              <w:left w:val="single" w:sz="4" w:space="0" w:color="auto"/>
              <w:bottom w:val="nil"/>
              <w:right w:val="single" w:sz="4" w:space="0" w:color="auto"/>
            </w:tcBorders>
          </w:tcPr>
          <w:p w14:paraId="60AF4850"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74.7</w:t>
            </w:r>
          </w:p>
        </w:tc>
        <w:tc>
          <w:tcPr>
            <w:tcW w:w="720" w:type="dxa"/>
            <w:tcBorders>
              <w:top w:val="nil"/>
              <w:left w:val="single" w:sz="4" w:space="0" w:color="auto"/>
              <w:bottom w:val="nil"/>
              <w:right w:val="single" w:sz="4" w:space="0" w:color="auto"/>
            </w:tcBorders>
          </w:tcPr>
          <w:p w14:paraId="3F760E7D"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85.1</w:t>
            </w:r>
          </w:p>
        </w:tc>
        <w:tc>
          <w:tcPr>
            <w:tcW w:w="720" w:type="dxa"/>
            <w:tcBorders>
              <w:top w:val="nil"/>
              <w:left w:val="single" w:sz="4" w:space="0" w:color="auto"/>
              <w:bottom w:val="nil"/>
              <w:right w:val="single" w:sz="4" w:space="0" w:color="auto"/>
            </w:tcBorders>
          </w:tcPr>
          <w:p w14:paraId="2F169AB1"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72.0</w:t>
            </w:r>
          </w:p>
        </w:tc>
        <w:tc>
          <w:tcPr>
            <w:tcW w:w="898" w:type="dxa"/>
            <w:tcBorders>
              <w:top w:val="nil"/>
              <w:left w:val="single" w:sz="4" w:space="0" w:color="auto"/>
              <w:bottom w:val="nil"/>
              <w:right w:val="single" w:sz="4" w:space="0" w:color="auto"/>
            </w:tcBorders>
          </w:tcPr>
          <w:p w14:paraId="11394482" w14:textId="77777777" w:rsidR="00176424" w:rsidRPr="00176424" w:rsidRDefault="00176424" w:rsidP="00176424">
            <w:pPr>
              <w:ind w:right="227"/>
              <w:jc w:val="right"/>
              <w:rPr>
                <w:rFonts w:eastAsia="Times New Roman"/>
                <w:sz w:val="10"/>
                <w:szCs w:val="10"/>
                <w:lang w:eastAsia="es-MX"/>
              </w:rPr>
            </w:pPr>
            <w:r w:rsidRPr="00176424">
              <w:rPr>
                <w:rFonts w:eastAsia="Times New Roman"/>
                <w:sz w:val="10"/>
                <w:szCs w:val="10"/>
                <w:lang w:eastAsia="es-MX"/>
              </w:rPr>
              <w:t>85.6</w:t>
            </w:r>
          </w:p>
        </w:tc>
        <w:tc>
          <w:tcPr>
            <w:tcW w:w="720" w:type="dxa"/>
            <w:tcBorders>
              <w:top w:val="nil"/>
              <w:left w:val="single" w:sz="4" w:space="0" w:color="auto"/>
              <w:bottom w:val="nil"/>
              <w:right w:val="single" w:sz="4" w:space="0" w:color="auto"/>
            </w:tcBorders>
          </w:tcPr>
          <w:p w14:paraId="5D05D849"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64.0</w:t>
            </w:r>
          </w:p>
        </w:tc>
        <w:tc>
          <w:tcPr>
            <w:tcW w:w="540" w:type="dxa"/>
            <w:tcBorders>
              <w:top w:val="nil"/>
              <w:left w:val="single" w:sz="4" w:space="0" w:color="auto"/>
              <w:bottom w:val="nil"/>
              <w:right w:val="single" w:sz="4" w:space="0" w:color="auto"/>
            </w:tcBorders>
          </w:tcPr>
          <w:p w14:paraId="4447570A"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84.1</w:t>
            </w:r>
          </w:p>
        </w:tc>
      </w:tr>
      <w:tr w:rsidR="00176424" w:rsidRPr="00176424" w14:paraId="17A90CA9" w14:textId="77777777" w:rsidTr="00DA1492">
        <w:tc>
          <w:tcPr>
            <w:tcW w:w="2792" w:type="dxa"/>
            <w:tcBorders>
              <w:top w:val="nil"/>
              <w:left w:val="single" w:sz="4" w:space="0" w:color="auto"/>
              <w:bottom w:val="nil"/>
              <w:right w:val="single" w:sz="4" w:space="0" w:color="auto"/>
            </w:tcBorders>
          </w:tcPr>
          <w:p w14:paraId="4053BCEE" w14:textId="77777777" w:rsidR="00176424" w:rsidRPr="00176424" w:rsidRDefault="00176424" w:rsidP="00176424">
            <w:pPr>
              <w:ind w:left="397"/>
              <w:jc w:val="both"/>
              <w:rPr>
                <w:rFonts w:eastAsia="Times New Roman"/>
                <w:sz w:val="10"/>
                <w:szCs w:val="10"/>
              </w:rPr>
            </w:pPr>
            <w:r w:rsidRPr="00176424">
              <w:rPr>
                <w:rFonts w:eastAsia="Times New Roman"/>
                <w:sz w:val="10"/>
                <w:szCs w:val="10"/>
              </w:rPr>
              <w:t>Reestructuración de pasivos</w:t>
            </w:r>
          </w:p>
        </w:tc>
        <w:tc>
          <w:tcPr>
            <w:tcW w:w="541" w:type="dxa"/>
            <w:tcBorders>
              <w:top w:val="nil"/>
              <w:left w:val="single" w:sz="4" w:space="0" w:color="auto"/>
              <w:bottom w:val="nil"/>
              <w:right w:val="single" w:sz="4" w:space="0" w:color="auto"/>
            </w:tcBorders>
          </w:tcPr>
          <w:p w14:paraId="6783DF6F"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5.8</w:t>
            </w:r>
          </w:p>
        </w:tc>
        <w:tc>
          <w:tcPr>
            <w:tcW w:w="636" w:type="dxa"/>
            <w:gridSpan w:val="2"/>
            <w:tcBorders>
              <w:top w:val="nil"/>
              <w:left w:val="single" w:sz="4" w:space="0" w:color="auto"/>
              <w:bottom w:val="nil"/>
              <w:right w:val="single" w:sz="4" w:space="0" w:color="auto"/>
            </w:tcBorders>
          </w:tcPr>
          <w:p w14:paraId="491F9185"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7.9</w:t>
            </w:r>
          </w:p>
        </w:tc>
        <w:tc>
          <w:tcPr>
            <w:tcW w:w="451" w:type="dxa"/>
            <w:tcBorders>
              <w:top w:val="nil"/>
              <w:left w:val="single" w:sz="4" w:space="0" w:color="auto"/>
              <w:bottom w:val="nil"/>
              <w:right w:val="single" w:sz="4" w:space="0" w:color="auto"/>
            </w:tcBorders>
          </w:tcPr>
          <w:p w14:paraId="5B1E803E"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17.5</w:t>
            </w:r>
          </w:p>
        </w:tc>
        <w:tc>
          <w:tcPr>
            <w:tcW w:w="542" w:type="dxa"/>
            <w:tcBorders>
              <w:top w:val="nil"/>
              <w:left w:val="single" w:sz="4" w:space="0" w:color="auto"/>
              <w:bottom w:val="nil"/>
              <w:right w:val="single" w:sz="4" w:space="0" w:color="auto"/>
            </w:tcBorders>
          </w:tcPr>
          <w:p w14:paraId="3C2ABE10"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11.4</w:t>
            </w:r>
          </w:p>
        </w:tc>
        <w:tc>
          <w:tcPr>
            <w:tcW w:w="548" w:type="dxa"/>
            <w:tcBorders>
              <w:top w:val="nil"/>
              <w:left w:val="single" w:sz="4" w:space="0" w:color="auto"/>
              <w:bottom w:val="nil"/>
              <w:right w:val="single" w:sz="4" w:space="0" w:color="auto"/>
            </w:tcBorders>
          </w:tcPr>
          <w:p w14:paraId="4ECA4919"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7.3</w:t>
            </w:r>
          </w:p>
        </w:tc>
        <w:tc>
          <w:tcPr>
            <w:tcW w:w="720" w:type="dxa"/>
            <w:tcBorders>
              <w:top w:val="nil"/>
              <w:left w:val="single" w:sz="4" w:space="0" w:color="auto"/>
              <w:bottom w:val="nil"/>
              <w:right w:val="single" w:sz="4" w:space="0" w:color="auto"/>
            </w:tcBorders>
          </w:tcPr>
          <w:p w14:paraId="41632364"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14.0</w:t>
            </w:r>
          </w:p>
        </w:tc>
        <w:tc>
          <w:tcPr>
            <w:tcW w:w="720" w:type="dxa"/>
            <w:tcBorders>
              <w:top w:val="nil"/>
              <w:left w:val="single" w:sz="4" w:space="0" w:color="auto"/>
              <w:bottom w:val="nil"/>
              <w:right w:val="single" w:sz="4" w:space="0" w:color="auto"/>
            </w:tcBorders>
          </w:tcPr>
          <w:p w14:paraId="13518EF8"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5.4</w:t>
            </w:r>
          </w:p>
        </w:tc>
        <w:tc>
          <w:tcPr>
            <w:tcW w:w="898" w:type="dxa"/>
            <w:tcBorders>
              <w:top w:val="nil"/>
              <w:left w:val="single" w:sz="4" w:space="0" w:color="auto"/>
              <w:bottom w:val="nil"/>
              <w:right w:val="single" w:sz="4" w:space="0" w:color="auto"/>
            </w:tcBorders>
          </w:tcPr>
          <w:p w14:paraId="3AE67931" w14:textId="77777777" w:rsidR="00176424" w:rsidRPr="00176424" w:rsidRDefault="00176424" w:rsidP="00176424">
            <w:pPr>
              <w:ind w:right="227"/>
              <w:jc w:val="right"/>
              <w:rPr>
                <w:rFonts w:eastAsia="Times New Roman"/>
                <w:sz w:val="10"/>
                <w:szCs w:val="10"/>
                <w:lang w:eastAsia="es-MX"/>
              </w:rPr>
            </w:pPr>
            <w:r w:rsidRPr="00176424">
              <w:rPr>
                <w:rFonts w:eastAsia="Times New Roman"/>
                <w:sz w:val="10"/>
                <w:szCs w:val="10"/>
                <w:lang w:eastAsia="es-MX"/>
              </w:rPr>
              <w:t>10.8</w:t>
            </w:r>
          </w:p>
        </w:tc>
        <w:tc>
          <w:tcPr>
            <w:tcW w:w="720" w:type="dxa"/>
            <w:tcBorders>
              <w:top w:val="nil"/>
              <w:left w:val="single" w:sz="4" w:space="0" w:color="auto"/>
              <w:bottom w:val="nil"/>
              <w:right w:val="single" w:sz="4" w:space="0" w:color="auto"/>
            </w:tcBorders>
          </w:tcPr>
          <w:p w14:paraId="36C41003"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5.8</w:t>
            </w:r>
          </w:p>
        </w:tc>
        <w:tc>
          <w:tcPr>
            <w:tcW w:w="540" w:type="dxa"/>
            <w:tcBorders>
              <w:top w:val="nil"/>
              <w:left w:val="single" w:sz="4" w:space="0" w:color="auto"/>
              <w:bottom w:val="nil"/>
              <w:right w:val="single" w:sz="4" w:space="0" w:color="auto"/>
            </w:tcBorders>
          </w:tcPr>
          <w:p w14:paraId="1AA71A4F"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1.1</w:t>
            </w:r>
          </w:p>
        </w:tc>
      </w:tr>
      <w:tr w:rsidR="00176424" w:rsidRPr="00176424" w14:paraId="753A5224" w14:textId="77777777" w:rsidTr="00DA1492">
        <w:tc>
          <w:tcPr>
            <w:tcW w:w="2792" w:type="dxa"/>
            <w:tcBorders>
              <w:top w:val="nil"/>
              <w:left w:val="single" w:sz="4" w:space="0" w:color="auto"/>
              <w:bottom w:val="nil"/>
              <w:right w:val="single" w:sz="4" w:space="0" w:color="auto"/>
            </w:tcBorders>
          </w:tcPr>
          <w:p w14:paraId="4B577F91" w14:textId="77777777" w:rsidR="00176424" w:rsidRPr="00176424" w:rsidRDefault="00176424" w:rsidP="00176424">
            <w:pPr>
              <w:ind w:left="397"/>
              <w:jc w:val="both"/>
              <w:rPr>
                <w:rFonts w:eastAsia="Times New Roman"/>
                <w:sz w:val="10"/>
                <w:szCs w:val="10"/>
              </w:rPr>
            </w:pPr>
            <w:r w:rsidRPr="00176424">
              <w:rPr>
                <w:rFonts w:eastAsia="Times New Roman"/>
                <w:sz w:val="10"/>
                <w:szCs w:val="10"/>
              </w:rPr>
              <w:t>Operaciones de comercio exterior</w:t>
            </w:r>
          </w:p>
        </w:tc>
        <w:tc>
          <w:tcPr>
            <w:tcW w:w="541" w:type="dxa"/>
            <w:tcBorders>
              <w:top w:val="nil"/>
              <w:left w:val="single" w:sz="4" w:space="0" w:color="auto"/>
              <w:bottom w:val="nil"/>
              <w:right w:val="single" w:sz="4" w:space="0" w:color="auto"/>
            </w:tcBorders>
          </w:tcPr>
          <w:p w14:paraId="76C5C526"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6.5</w:t>
            </w:r>
          </w:p>
        </w:tc>
        <w:tc>
          <w:tcPr>
            <w:tcW w:w="636" w:type="dxa"/>
            <w:gridSpan w:val="2"/>
            <w:tcBorders>
              <w:top w:val="nil"/>
              <w:left w:val="single" w:sz="4" w:space="0" w:color="auto"/>
              <w:bottom w:val="nil"/>
              <w:right w:val="single" w:sz="4" w:space="0" w:color="auto"/>
            </w:tcBorders>
          </w:tcPr>
          <w:p w14:paraId="1C293D17"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3.3</w:t>
            </w:r>
          </w:p>
        </w:tc>
        <w:tc>
          <w:tcPr>
            <w:tcW w:w="451" w:type="dxa"/>
            <w:tcBorders>
              <w:top w:val="nil"/>
              <w:left w:val="single" w:sz="4" w:space="0" w:color="auto"/>
              <w:bottom w:val="nil"/>
              <w:right w:val="single" w:sz="4" w:space="0" w:color="auto"/>
            </w:tcBorders>
          </w:tcPr>
          <w:p w14:paraId="75195F9D"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0.7</w:t>
            </w:r>
          </w:p>
        </w:tc>
        <w:tc>
          <w:tcPr>
            <w:tcW w:w="542" w:type="dxa"/>
            <w:tcBorders>
              <w:top w:val="nil"/>
              <w:left w:val="single" w:sz="4" w:space="0" w:color="auto"/>
              <w:bottom w:val="nil"/>
              <w:right w:val="single" w:sz="4" w:space="0" w:color="auto"/>
            </w:tcBorders>
          </w:tcPr>
          <w:p w14:paraId="6975F614"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4.1</w:t>
            </w:r>
          </w:p>
        </w:tc>
        <w:tc>
          <w:tcPr>
            <w:tcW w:w="548" w:type="dxa"/>
            <w:tcBorders>
              <w:top w:val="nil"/>
              <w:left w:val="single" w:sz="4" w:space="0" w:color="auto"/>
              <w:bottom w:val="nil"/>
              <w:right w:val="single" w:sz="4" w:space="0" w:color="auto"/>
            </w:tcBorders>
          </w:tcPr>
          <w:p w14:paraId="6D6E5AC5"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1.5</w:t>
            </w:r>
          </w:p>
        </w:tc>
        <w:tc>
          <w:tcPr>
            <w:tcW w:w="720" w:type="dxa"/>
            <w:tcBorders>
              <w:top w:val="nil"/>
              <w:left w:val="single" w:sz="4" w:space="0" w:color="auto"/>
              <w:bottom w:val="nil"/>
              <w:right w:val="single" w:sz="4" w:space="0" w:color="auto"/>
            </w:tcBorders>
          </w:tcPr>
          <w:p w14:paraId="3D9D1AEC"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0.5</w:t>
            </w:r>
          </w:p>
        </w:tc>
        <w:tc>
          <w:tcPr>
            <w:tcW w:w="720" w:type="dxa"/>
            <w:tcBorders>
              <w:top w:val="nil"/>
              <w:left w:val="single" w:sz="4" w:space="0" w:color="auto"/>
              <w:bottom w:val="nil"/>
              <w:right w:val="single" w:sz="4" w:space="0" w:color="auto"/>
            </w:tcBorders>
          </w:tcPr>
          <w:p w14:paraId="4F1EA42E"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1.8</w:t>
            </w:r>
          </w:p>
        </w:tc>
        <w:tc>
          <w:tcPr>
            <w:tcW w:w="898" w:type="dxa"/>
            <w:tcBorders>
              <w:top w:val="nil"/>
              <w:left w:val="single" w:sz="4" w:space="0" w:color="auto"/>
              <w:bottom w:val="nil"/>
              <w:right w:val="single" w:sz="4" w:space="0" w:color="auto"/>
            </w:tcBorders>
          </w:tcPr>
          <w:p w14:paraId="658D4762" w14:textId="77777777" w:rsidR="00176424" w:rsidRPr="00176424" w:rsidRDefault="00176424" w:rsidP="00176424">
            <w:pPr>
              <w:ind w:right="227"/>
              <w:jc w:val="right"/>
              <w:rPr>
                <w:rFonts w:eastAsia="Times New Roman"/>
                <w:sz w:val="10"/>
                <w:szCs w:val="10"/>
                <w:lang w:eastAsia="es-MX"/>
              </w:rPr>
            </w:pPr>
            <w:r w:rsidRPr="00176424">
              <w:rPr>
                <w:rFonts w:eastAsia="Times New Roman"/>
                <w:sz w:val="10"/>
                <w:szCs w:val="10"/>
                <w:lang w:eastAsia="es-MX"/>
              </w:rPr>
              <w:t>0.0</w:t>
            </w:r>
          </w:p>
        </w:tc>
        <w:tc>
          <w:tcPr>
            <w:tcW w:w="720" w:type="dxa"/>
            <w:tcBorders>
              <w:top w:val="nil"/>
              <w:left w:val="single" w:sz="4" w:space="0" w:color="auto"/>
              <w:bottom w:val="nil"/>
              <w:right w:val="single" w:sz="4" w:space="0" w:color="auto"/>
            </w:tcBorders>
          </w:tcPr>
          <w:p w14:paraId="77F87029"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2.6</w:t>
            </w:r>
          </w:p>
        </w:tc>
        <w:tc>
          <w:tcPr>
            <w:tcW w:w="540" w:type="dxa"/>
            <w:tcBorders>
              <w:top w:val="nil"/>
              <w:left w:val="single" w:sz="4" w:space="0" w:color="auto"/>
              <w:bottom w:val="nil"/>
              <w:right w:val="single" w:sz="4" w:space="0" w:color="auto"/>
            </w:tcBorders>
          </w:tcPr>
          <w:p w14:paraId="10F3D4E0"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2.4</w:t>
            </w:r>
          </w:p>
        </w:tc>
      </w:tr>
      <w:tr w:rsidR="00176424" w:rsidRPr="00176424" w14:paraId="38A09D5F" w14:textId="77777777" w:rsidTr="00DA1492">
        <w:tc>
          <w:tcPr>
            <w:tcW w:w="2792" w:type="dxa"/>
            <w:tcBorders>
              <w:top w:val="nil"/>
              <w:left w:val="single" w:sz="4" w:space="0" w:color="auto"/>
              <w:bottom w:val="nil"/>
              <w:right w:val="single" w:sz="4" w:space="0" w:color="auto"/>
            </w:tcBorders>
          </w:tcPr>
          <w:p w14:paraId="596E14D4" w14:textId="4860D518" w:rsidR="00176424" w:rsidRPr="00176424" w:rsidRDefault="00176424" w:rsidP="00176424">
            <w:pPr>
              <w:ind w:left="397"/>
              <w:jc w:val="both"/>
              <w:rPr>
                <w:rFonts w:eastAsia="Times New Roman"/>
                <w:sz w:val="10"/>
                <w:szCs w:val="10"/>
              </w:rPr>
            </w:pPr>
            <w:r w:rsidRPr="00176424">
              <w:rPr>
                <w:rFonts w:eastAsia="Times New Roman"/>
                <w:sz w:val="10"/>
                <w:szCs w:val="10"/>
              </w:rPr>
              <w:t>Inversión</w:t>
            </w:r>
          </w:p>
        </w:tc>
        <w:tc>
          <w:tcPr>
            <w:tcW w:w="541" w:type="dxa"/>
            <w:tcBorders>
              <w:top w:val="nil"/>
              <w:left w:val="single" w:sz="4" w:space="0" w:color="auto"/>
              <w:bottom w:val="nil"/>
              <w:right w:val="single" w:sz="4" w:space="0" w:color="auto"/>
            </w:tcBorders>
          </w:tcPr>
          <w:p w14:paraId="6F21FCA1"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18.7</w:t>
            </w:r>
          </w:p>
        </w:tc>
        <w:tc>
          <w:tcPr>
            <w:tcW w:w="636" w:type="dxa"/>
            <w:gridSpan w:val="2"/>
            <w:tcBorders>
              <w:top w:val="nil"/>
              <w:left w:val="single" w:sz="4" w:space="0" w:color="auto"/>
              <w:bottom w:val="nil"/>
              <w:right w:val="single" w:sz="4" w:space="0" w:color="auto"/>
            </w:tcBorders>
          </w:tcPr>
          <w:p w14:paraId="05E590BF"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26.5</w:t>
            </w:r>
          </w:p>
        </w:tc>
        <w:tc>
          <w:tcPr>
            <w:tcW w:w="451" w:type="dxa"/>
            <w:tcBorders>
              <w:top w:val="nil"/>
              <w:left w:val="single" w:sz="4" w:space="0" w:color="auto"/>
              <w:bottom w:val="nil"/>
              <w:right w:val="single" w:sz="4" w:space="0" w:color="auto"/>
            </w:tcBorders>
          </w:tcPr>
          <w:p w14:paraId="52EEA45C"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17.8</w:t>
            </w:r>
          </w:p>
        </w:tc>
        <w:tc>
          <w:tcPr>
            <w:tcW w:w="542" w:type="dxa"/>
            <w:tcBorders>
              <w:top w:val="nil"/>
              <w:left w:val="single" w:sz="4" w:space="0" w:color="auto"/>
              <w:bottom w:val="nil"/>
              <w:right w:val="single" w:sz="4" w:space="0" w:color="auto"/>
            </w:tcBorders>
          </w:tcPr>
          <w:p w14:paraId="2824475F"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17.4</w:t>
            </w:r>
          </w:p>
        </w:tc>
        <w:tc>
          <w:tcPr>
            <w:tcW w:w="548" w:type="dxa"/>
            <w:tcBorders>
              <w:top w:val="nil"/>
              <w:left w:val="single" w:sz="4" w:space="0" w:color="auto"/>
              <w:bottom w:val="nil"/>
              <w:right w:val="single" w:sz="4" w:space="0" w:color="auto"/>
            </w:tcBorders>
          </w:tcPr>
          <w:p w14:paraId="12D2DB36"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21.9</w:t>
            </w:r>
          </w:p>
        </w:tc>
        <w:tc>
          <w:tcPr>
            <w:tcW w:w="720" w:type="dxa"/>
            <w:tcBorders>
              <w:top w:val="nil"/>
              <w:left w:val="single" w:sz="4" w:space="0" w:color="auto"/>
              <w:bottom w:val="nil"/>
              <w:right w:val="single" w:sz="4" w:space="0" w:color="auto"/>
            </w:tcBorders>
          </w:tcPr>
          <w:p w14:paraId="3E3055F9"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28.4</w:t>
            </w:r>
          </w:p>
        </w:tc>
        <w:tc>
          <w:tcPr>
            <w:tcW w:w="720" w:type="dxa"/>
            <w:tcBorders>
              <w:top w:val="nil"/>
              <w:left w:val="single" w:sz="4" w:space="0" w:color="auto"/>
              <w:bottom w:val="nil"/>
              <w:right w:val="single" w:sz="4" w:space="0" w:color="auto"/>
            </w:tcBorders>
          </w:tcPr>
          <w:p w14:paraId="5F5F0380"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20.0</w:t>
            </w:r>
          </w:p>
        </w:tc>
        <w:tc>
          <w:tcPr>
            <w:tcW w:w="898" w:type="dxa"/>
            <w:tcBorders>
              <w:top w:val="nil"/>
              <w:left w:val="single" w:sz="4" w:space="0" w:color="auto"/>
              <w:bottom w:val="nil"/>
              <w:right w:val="single" w:sz="4" w:space="0" w:color="auto"/>
            </w:tcBorders>
          </w:tcPr>
          <w:p w14:paraId="5B1641BB" w14:textId="77777777" w:rsidR="00176424" w:rsidRPr="00176424" w:rsidRDefault="00176424" w:rsidP="00176424">
            <w:pPr>
              <w:ind w:right="227"/>
              <w:jc w:val="right"/>
              <w:rPr>
                <w:rFonts w:eastAsia="Times New Roman"/>
                <w:sz w:val="10"/>
                <w:szCs w:val="10"/>
                <w:lang w:eastAsia="es-MX"/>
              </w:rPr>
            </w:pPr>
            <w:r w:rsidRPr="00176424">
              <w:rPr>
                <w:rFonts w:eastAsia="Times New Roman"/>
                <w:sz w:val="10"/>
                <w:szCs w:val="10"/>
                <w:lang w:eastAsia="es-MX"/>
              </w:rPr>
              <w:t>14.8</w:t>
            </w:r>
          </w:p>
        </w:tc>
        <w:tc>
          <w:tcPr>
            <w:tcW w:w="720" w:type="dxa"/>
            <w:tcBorders>
              <w:top w:val="nil"/>
              <w:left w:val="single" w:sz="4" w:space="0" w:color="auto"/>
              <w:bottom w:val="nil"/>
              <w:right w:val="single" w:sz="4" w:space="0" w:color="auto"/>
            </w:tcBorders>
          </w:tcPr>
          <w:p w14:paraId="7FE482EA"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29.7</w:t>
            </w:r>
          </w:p>
        </w:tc>
        <w:tc>
          <w:tcPr>
            <w:tcW w:w="540" w:type="dxa"/>
            <w:tcBorders>
              <w:top w:val="nil"/>
              <w:left w:val="single" w:sz="4" w:space="0" w:color="auto"/>
              <w:bottom w:val="nil"/>
              <w:right w:val="single" w:sz="4" w:space="0" w:color="auto"/>
            </w:tcBorders>
          </w:tcPr>
          <w:p w14:paraId="7C7F3EFE"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13.0</w:t>
            </w:r>
          </w:p>
        </w:tc>
      </w:tr>
      <w:tr w:rsidR="00176424" w:rsidRPr="00176424" w14:paraId="40EA1823" w14:textId="77777777" w:rsidTr="00DA1492">
        <w:tc>
          <w:tcPr>
            <w:tcW w:w="2792" w:type="dxa"/>
            <w:tcBorders>
              <w:top w:val="nil"/>
              <w:left w:val="single" w:sz="4" w:space="0" w:color="auto"/>
              <w:bottom w:val="nil"/>
              <w:right w:val="single" w:sz="4" w:space="0" w:color="auto"/>
            </w:tcBorders>
          </w:tcPr>
          <w:p w14:paraId="04C20C2C" w14:textId="77777777" w:rsidR="00176424" w:rsidRPr="00176424" w:rsidRDefault="00176424" w:rsidP="00176424">
            <w:pPr>
              <w:ind w:left="397"/>
              <w:jc w:val="both"/>
              <w:rPr>
                <w:rFonts w:eastAsia="Times New Roman"/>
                <w:sz w:val="10"/>
                <w:szCs w:val="10"/>
              </w:rPr>
            </w:pPr>
            <w:r w:rsidRPr="00176424">
              <w:rPr>
                <w:rFonts w:eastAsia="Times New Roman"/>
                <w:sz w:val="10"/>
                <w:szCs w:val="10"/>
              </w:rPr>
              <w:t>Otros propósitos</w:t>
            </w:r>
          </w:p>
        </w:tc>
        <w:tc>
          <w:tcPr>
            <w:tcW w:w="541" w:type="dxa"/>
            <w:tcBorders>
              <w:top w:val="nil"/>
              <w:left w:val="single" w:sz="4" w:space="0" w:color="auto"/>
              <w:bottom w:val="nil"/>
              <w:right w:val="single" w:sz="4" w:space="0" w:color="auto"/>
            </w:tcBorders>
          </w:tcPr>
          <w:p w14:paraId="2359B27A"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3.2</w:t>
            </w:r>
          </w:p>
        </w:tc>
        <w:tc>
          <w:tcPr>
            <w:tcW w:w="636" w:type="dxa"/>
            <w:gridSpan w:val="2"/>
            <w:tcBorders>
              <w:top w:val="nil"/>
              <w:left w:val="single" w:sz="4" w:space="0" w:color="auto"/>
              <w:bottom w:val="nil"/>
              <w:right w:val="single" w:sz="4" w:space="0" w:color="auto"/>
            </w:tcBorders>
          </w:tcPr>
          <w:p w14:paraId="4320B887"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3.7</w:t>
            </w:r>
          </w:p>
        </w:tc>
        <w:tc>
          <w:tcPr>
            <w:tcW w:w="451" w:type="dxa"/>
            <w:tcBorders>
              <w:top w:val="nil"/>
              <w:left w:val="single" w:sz="4" w:space="0" w:color="auto"/>
              <w:bottom w:val="nil"/>
              <w:right w:val="single" w:sz="4" w:space="0" w:color="auto"/>
            </w:tcBorders>
          </w:tcPr>
          <w:p w14:paraId="5953F473"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4.3</w:t>
            </w:r>
          </w:p>
        </w:tc>
        <w:tc>
          <w:tcPr>
            <w:tcW w:w="542" w:type="dxa"/>
            <w:tcBorders>
              <w:top w:val="nil"/>
              <w:left w:val="single" w:sz="4" w:space="0" w:color="auto"/>
              <w:bottom w:val="nil"/>
              <w:right w:val="single" w:sz="4" w:space="0" w:color="auto"/>
            </w:tcBorders>
          </w:tcPr>
          <w:p w14:paraId="04D5BEB7"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2.0</w:t>
            </w:r>
          </w:p>
        </w:tc>
        <w:tc>
          <w:tcPr>
            <w:tcW w:w="548" w:type="dxa"/>
            <w:tcBorders>
              <w:top w:val="nil"/>
              <w:left w:val="single" w:sz="4" w:space="0" w:color="auto"/>
              <w:bottom w:val="nil"/>
              <w:right w:val="single" w:sz="4" w:space="0" w:color="auto"/>
            </w:tcBorders>
          </w:tcPr>
          <w:p w14:paraId="17022B47"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1.8</w:t>
            </w:r>
          </w:p>
        </w:tc>
        <w:tc>
          <w:tcPr>
            <w:tcW w:w="720" w:type="dxa"/>
            <w:tcBorders>
              <w:top w:val="nil"/>
              <w:left w:val="single" w:sz="4" w:space="0" w:color="auto"/>
              <w:bottom w:val="nil"/>
              <w:right w:val="single" w:sz="4" w:space="0" w:color="auto"/>
            </w:tcBorders>
          </w:tcPr>
          <w:p w14:paraId="4943107E"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0.0</w:t>
            </w:r>
          </w:p>
        </w:tc>
        <w:tc>
          <w:tcPr>
            <w:tcW w:w="720" w:type="dxa"/>
            <w:tcBorders>
              <w:top w:val="nil"/>
              <w:left w:val="single" w:sz="4" w:space="0" w:color="auto"/>
              <w:bottom w:val="nil"/>
              <w:right w:val="single" w:sz="4" w:space="0" w:color="auto"/>
            </w:tcBorders>
          </w:tcPr>
          <w:p w14:paraId="2CDC997A"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2.3</w:t>
            </w:r>
          </w:p>
        </w:tc>
        <w:tc>
          <w:tcPr>
            <w:tcW w:w="898" w:type="dxa"/>
            <w:tcBorders>
              <w:top w:val="nil"/>
              <w:left w:val="single" w:sz="4" w:space="0" w:color="auto"/>
              <w:bottom w:val="nil"/>
              <w:right w:val="single" w:sz="4" w:space="0" w:color="auto"/>
            </w:tcBorders>
          </w:tcPr>
          <w:p w14:paraId="25F89FC9" w14:textId="77777777" w:rsidR="00176424" w:rsidRPr="00176424" w:rsidRDefault="00176424" w:rsidP="00176424">
            <w:pPr>
              <w:ind w:right="227"/>
              <w:jc w:val="right"/>
              <w:rPr>
                <w:rFonts w:eastAsia="Times New Roman"/>
                <w:sz w:val="10"/>
                <w:szCs w:val="10"/>
                <w:lang w:eastAsia="es-MX"/>
              </w:rPr>
            </w:pPr>
            <w:r w:rsidRPr="00176424">
              <w:rPr>
                <w:rFonts w:eastAsia="Times New Roman"/>
                <w:sz w:val="10"/>
                <w:szCs w:val="10"/>
                <w:lang w:eastAsia="es-MX"/>
              </w:rPr>
              <w:t>0.0</w:t>
            </w:r>
          </w:p>
        </w:tc>
        <w:tc>
          <w:tcPr>
            <w:tcW w:w="720" w:type="dxa"/>
            <w:tcBorders>
              <w:top w:val="nil"/>
              <w:left w:val="single" w:sz="4" w:space="0" w:color="auto"/>
              <w:bottom w:val="nil"/>
              <w:right w:val="single" w:sz="4" w:space="0" w:color="auto"/>
            </w:tcBorders>
          </w:tcPr>
          <w:p w14:paraId="4E1699EA"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2.6</w:t>
            </w:r>
          </w:p>
        </w:tc>
        <w:tc>
          <w:tcPr>
            <w:tcW w:w="540" w:type="dxa"/>
            <w:tcBorders>
              <w:top w:val="nil"/>
              <w:left w:val="single" w:sz="4" w:space="0" w:color="auto"/>
              <w:bottom w:val="nil"/>
              <w:right w:val="single" w:sz="4" w:space="0" w:color="auto"/>
            </w:tcBorders>
          </w:tcPr>
          <w:p w14:paraId="541B932D"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4.8</w:t>
            </w:r>
          </w:p>
        </w:tc>
      </w:tr>
      <w:tr w:rsidR="00176424" w:rsidRPr="00176424" w14:paraId="02CCFF9C" w14:textId="77777777" w:rsidTr="00DA1492">
        <w:tc>
          <w:tcPr>
            <w:tcW w:w="2792" w:type="dxa"/>
            <w:tcBorders>
              <w:top w:val="nil"/>
              <w:left w:val="single" w:sz="4" w:space="0" w:color="auto"/>
              <w:bottom w:val="nil"/>
              <w:right w:val="single" w:sz="4" w:space="0" w:color="auto"/>
            </w:tcBorders>
          </w:tcPr>
          <w:p w14:paraId="6FACDB0B" w14:textId="0C57051A" w:rsidR="00176424" w:rsidRPr="00176424" w:rsidRDefault="008D29D8" w:rsidP="00176424">
            <w:pPr>
              <w:ind w:left="113"/>
              <w:jc w:val="both"/>
              <w:rPr>
                <w:rFonts w:eastAsia="Times New Roman"/>
                <w:sz w:val="10"/>
                <w:szCs w:val="10"/>
              </w:rPr>
            </w:pPr>
            <w:r>
              <w:rPr>
                <w:rFonts w:eastAsia="Times New Roman"/>
                <w:sz w:val="10"/>
                <w:szCs w:val="10"/>
              </w:rPr>
              <w:t>Percepción sobre las c</w:t>
            </w:r>
            <w:r w:rsidR="00176424" w:rsidRPr="00176424">
              <w:rPr>
                <w:rFonts w:eastAsia="Times New Roman"/>
                <w:sz w:val="10"/>
                <w:szCs w:val="10"/>
              </w:rPr>
              <w:t>ondiciones de acceso al crédito bancario:</w:t>
            </w:r>
          </w:p>
          <w:p w14:paraId="555C1727" w14:textId="77777777" w:rsidR="00176424" w:rsidRPr="00176424" w:rsidRDefault="00176424" w:rsidP="00176424">
            <w:pPr>
              <w:ind w:left="113"/>
              <w:jc w:val="both"/>
              <w:rPr>
                <w:rFonts w:eastAsia="Times New Roman"/>
                <w:sz w:val="10"/>
                <w:szCs w:val="10"/>
              </w:rPr>
            </w:pPr>
            <w:r w:rsidRPr="00176424">
              <w:rPr>
                <w:rFonts w:eastAsia="Times New Roman"/>
                <w:i/>
                <w:sz w:val="10"/>
                <w:szCs w:val="10"/>
              </w:rPr>
              <w:t>Índices de Difusión</w:t>
            </w:r>
            <w:r w:rsidRPr="00176424">
              <w:rPr>
                <w:rFonts w:eastAsia="Times New Roman"/>
                <w:b/>
                <w:i/>
                <w:sz w:val="10"/>
                <w:szCs w:val="10"/>
                <w:u w:val="single"/>
                <w:vertAlign w:val="superscript"/>
              </w:rPr>
              <w:t>6</w:t>
            </w:r>
            <w:r w:rsidRPr="00176424">
              <w:rPr>
                <w:rFonts w:eastAsia="Times New Roman"/>
                <w:b/>
                <w:sz w:val="10"/>
                <w:szCs w:val="10"/>
                <w:vertAlign w:val="superscript"/>
              </w:rPr>
              <w:t>/</w:t>
            </w:r>
          </w:p>
        </w:tc>
        <w:tc>
          <w:tcPr>
            <w:tcW w:w="541" w:type="dxa"/>
            <w:tcBorders>
              <w:top w:val="nil"/>
              <w:left w:val="single" w:sz="4" w:space="0" w:color="auto"/>
              <w:bottom w:val="nil"/>
              <w:right w:val="single" w:sz="4" w:space="0" w:color="auto"/>
            </w:tcBorders>
          </w:tcPr>
          <w:p w14:paraId="48F10B35" w14:textId="77777777" w:rsidR="00176424" w:rsidRPr="00176424" w:rsidRDefault="00176424" w:rsidP="00176424">
            <w:pPr>
              <w:ind w:right="57"/>
              <w:jc w:val="right"/>
              <w:rPr>
                <w:rFonts w:eastAsia="Times New Roman"/>
                <w:sz w:val="10"/>
                <w:szCs w:val="10"/>
              </w:rPr>
            </w:pPr>
          </w:p>
        </w:tc>
        <w:tc>
          <w:tcPr>
            <w:tcW w:w="636" w:type="dxa"/>
            <w:gridSpan w:val="2"/>
            <w:tcBorders>
              <w:top w:val="nil"/>
              <w:left w:val="single" w:sz="4" w:space="0" w:color="auto"/>
              <w:bottom w:val="nil"/>
              <w:right w:val="single" w:sz="4" w:space="0" w:color="auto"/>
            </w:tcBorders>
          </w:tcPr>
          <w:p w14:paraId="6247DA80" w14:textId="77777777" w:rsidR="00176424" w:rsidRPr="00176424" w:rsidRDefault="00176424" w:rsidP="00176424">
            <w:pPr>
              <w:ind w:right="57"/>
              <w:jc w:val="right"/>
              <w:rPr>
                <w:rFonts w:eastAsia="Times New Roman"/>
                <w:sz w:val="10"/>
                <w:szCs w:val="10"/>
              </w:rPr>
            </w:pPr>
          </w:p>
        </w:tc>
        <w:tc>
          <w:tcPr>
            <w:tcW w:w="451" w:type="dxa"/>
            <w:tcBorders>
              <w:top w:val="nil"/>
              <w:left w:val="single" w:sz="4" w:space="0" w:color="auto"/>
              <w:bottom w:val="nil"/>
              <w:right w:val="single" w:sz="4" w:space="0" w:color="auto"/>
            </w:tcBorders>
          </w:tcPr>
          <w:p w14:paraId="79965011" w14:textId="77777777" w:rsidR="00176424" w:rsidRPr="00176424" w:rsidRDefault="00176424" w:rsidP="00176424">
            <w:pPr>
              <w:ind w:right="57"/>
              <w:jc w:val="right"/>
              <w:rPr>
                <w:rFonts w:eastAsia="Times New Roman"/>
                <w:sz w:val="10"/>
                <w:szCs w:val="10"/>
              </w:rPr>
            </w:pPr>
          </w:p>
        </w:tc>
        <w:tc>
          <w:tcPr>
            <w:tcW w:w="542" w:type="dxa"/>
            <w:tcBorders>
              <w:top w:val="nil"/>
              <w:left w:val="single" w:sz="4" w:space="0" w:color="auto"/>
              <w:bottom w:val="nil"/>
              <w:right w:val="single" w:sz="4" w:space="0" w:color="auto"/>
            </w:tcBorders>
          </w:tcPr>
          <w:p w14:paraId="168A87C7" w14:textId="77777777" w:rsidR="00176424" w:rsidRPr="00176424" w:rsidRDefault="00176424" w:rsidP="00176424">
            <w:pPr>
              <w:ind w:right="57"/>
              <w:jc w:val="right"/>
              <w:rPr>
                <w:rFonts w:eastAsia="Times New Roman"/>
                <w:sz w:val="10"/>
                <w:szCs w:val="10"/>
              </w:rPr>
            </w:pPr>
          </w:p>
        </w:tc>
        <w:tc>
          <w:tcPr>
            <w:tcW w:w="548" w:type="dxa"/>
            <w:tcBorders>
              <w:top w:val="nil"/>
              <w:left w:val="single" w:sz="4" w:space="0" w:color="auto"/>
              <w:bottom w:val="nil"/>
              <w:right w:val="single" w:sz="4" w:space="0" w:color="auto"/>
            </w:tcBorders>
          </w:tcPr>
          <w:p w14:paraId="5B878A79" w14:textId="77777777" w:rsidR="00176424" w:rsidRPr="00176424" w:rsidRDefault="00176424" w:rsidP="00176424">
            <w:pPr>
              <w:ind w:right="57"/>
              <w:jc w:val="right"/>
              <w:rPr>
                <w:rFonts w:eastAsia="Times New Roman"/>
                <w:sz w:val="10"/>
                <w:szCs w:val="10"/>
              </w:rPr>
            </w:pPr>
          </w:p>
        </w:tc>
        <w:tc>
          <w:tcPr>
            <w:tcW w:w="720" w:type="dxa"/>
            <w:tcBorders>
              <w:top w:val="nil"/>
              <w:left w:val="single" w:sz="4" w:space="0" w:color="auto"/>
              <w:bottom w:val="nil"/>
              <w:right w:val="single" w:sz="4" w:space="0" w:color="auto"/>
            </w:tcBorders>
          </w:tcPr>
          <w:p w14:paraId="79D83219" w14:textId="77777777" w:rsidR="00176424" w:rsidRPr="00176424" w:rsidRDefault="00176424" w:rsidP="00176424">
            <w:pPr>
              <w:ind w:right="170"/>
              <w:jc w:val="right"/>
              <w:rPr>
                <w:rFonts w:eastAsia="Times New Roman"/>
                <w:sz w:val="10"/>
                <w:szCs w:val="10"/>
              </w:rPr>
            </w:pPr>
          </w:p>
        </w:tc>
        <w:tc>
          <w:tcPr>
            <w:tcW w:w="720" w:type="dxa"/>
            <w:tcBorders>
              <w:top w:val="nil"/>
              <w:left w:val="single" w:sz="4" w:space="0" w:color="auto"/>
              <w:bottom w:val="nil"/>
              <w:right w:val="single" w:sz="4" w:space="0" w:color="auto"/>
            </w:tcBorders>
          </w:tcPr>
          <w:p w14:paraId="7606E9BB" w14:textId="77777777" w:rsidR="00176424" w:rsidRPr="00176424" w:rsidRDefault="00176424" w:rsidP="00176424">
            <w:pPr>
              <w:ind w:right="170"/>
              <w:jc w:val="right"/>
              <w:rPr>
                <w:rFonts w:eastAsia="Times New Roman"/>
                <w:sz w:val="10"/>
                <w:szCs w:val="10"/>
              </w:rPr>
            </w:pPr>
          </w:p>
        </w:tc>
        <w:tc>
          <w:tcPr>
            <w:tcW w:w="898" w:type="dxa"/>
            <w:tcBorders>
              <w:top w:val="nil"/>
              <w:left w:val="single" w:sz="4" w:space="0" w:color="auto"/>
              <w:bottom w:val="nil"/>
              <w:right w:val="single" w:sz="4" w:space="0" w:color="auto"/>
            </w:tcBorders>
          </w:tcPr>
          <w:p w14:paraId="0241A67F" w14:textId="77777777" w:rsidR="00176424" w:rsidRPr="00176424" w:rsidRDefault="00176424" w:rsidP="00176424">
            <w:pPr>
              <w:ind w:right="227"/>
              <w:jc w:val="right"/>
              <w:rPr>
                <w:rFonts w:eastAsia="Times New Roman"/>
                <w:sz w:val="10"/>
                <w:szCs w:val="10"/>
              </w:rPr>
            </w:pPr>
          </w:p>
        </w:tc>
        <w:tc>
          <w:tcPr>
            <w:tcW w:w="720" w:type="dxa"/>
            <w:tcBorders>
              <w:top w:val="nil"/>
              <w:left w:val="single" w:sz="4" w:space="0" w:color="auto"/>
              <w:bottom w:val="nil"/>
              <w:right w:val="single" w:sz="4" w:space="0" w:color="auto"/>
            </w:tcBorders>
          </w:tcPr>
          <w:p w14:paraId="2B9CF77B" w14:textId="77777777" w:rsidR="00176424" w:rsidRPr="00176424" w:rsidRDefault="00176424" w:rsidP="00176424">
            <w:pPr>
              <w:ind w:right="170"/>
              <w:jc w:val="right"/>
              <w:rPr>
                <w:rFonts w:eastAsia="Times New Roman"/>
                <w:sz w:val="10"/>
                <w:szCs w:val="10"/>
              </w:rPr>
            </w:pPr>
          </w:p>
        </w:tc>
        <w:tc>
          <w:tcPr>
            <w:tcW w:w="540" w:type="dxa"/>
            <w:tcBorders>
              <w:top w:val="nil"/>
              <w:left w:val="single" w:sz="4" w:space="0" w:color="auto"/>
              <w:bottom w:val="nil"/>
              <w:right w:val="single" w:sz="4" w:space="0" w:color="auto"/>
            </w:tcBorders>
          </w:tcPr>
          <w:p w14:paraId="3FCEFD02" w14:textId="77777777" w:rsidR="00176424" w:rsidRPr="00176424" w:rsidRDefault="00176424" w:rsidP="00176424">
            <w:pPr>
              <w:ind w:right="57"/>
              <w:jc w:val="right"/>
              <w:rPr>
                <w:rFonts w:eastAsia="Times New Roman"/>
                <w:sz w:val="10"/>
                <w:szCs w:val="10"/>
              </w:rPr>
            </w:pPr>
          </w:p>
        </w:tc>
      </w:tr>
      <w:tr w:rsidR="00176424" w:rsidRPr="00176424" w14:paraId="41210295" w14:textId="77777777" w:rsidTr="00DA1492">
        <w:tc>
          <w:tcPr>
            <w:tcW w:w="2792" w:type="dxa"/>
            <w:tcBorders>
              <w:top w:val="nil"/>
              <w:left w:val="single" w:sz="4" w:space="0" w:color="auto"/>
              <w:bottom w:val="nil"/>
              <w:right w:val="single" w:sz="4" w:space="0" w:color="auto"/>
            </w:tcBorders>
          </w:tcPr>
          <w:p w14:paraId="0D76BAE6" w14:textId="77777777" w:rsidR="00176424" w:rsidRPr="00176424" w:rsidRDefault="00176424" w:rsidP="00176424">
            <w:pPr>
              <w:ind w:left="397"/>
              <w:jc w:val="both"/>
              <w:rPr>
                <w:rFonts w:eastAsia="Times New Roman"/>
                <w:sz w:val="10"/>
                <w:szCs w:val="10"/>
              </w:rPr>
            </w:pPr>
            <w:r w:rsidRPr="00176424">
              <w:rPr>
                <w:rFonts w:eastAsia="Times New Roman"/>
                <w:sz w:val="10"/>
                <w:szCs w:val="10"/>
              </w:rPr>
              <w:t>Montos ofrecidos</w:t>
            </w:r>
          </w:p>
        </w:tc>
        <w:tc>
          <w:tcPr>
            <w:tcW w:w="541" w:type="dxa"/>
            <w:tcBorders>
              <w:top w:val="nil"/>
              <w:left w:val="single" w:sz="4" w:space="0" w:color="auto"/>
              <w:bottom w:val="nil"/>
              <w:right w:val="single" w:sz="4" w:space="0" w:color="auto"/>
            </w:tcBorders>
          </w:tcPr>
          <w:p w14:paraId="1EECB804"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60.2</w:t>
            </w:r>
          </w:p>
        </w:tc>
        <w:tc>
          <w:tcPr>
            <w:tcW w:w="636" w:type="dxa"/>
            <w:gridSpan w:val="2"/>
            <w:tcBorders>
              <w:top w:val="nil"/>
              <w:left w:val="single" w:sz="4" w:space="0" w:color="auto"/>
              <w:bottom w:val="nil"/>
              <w:right w:val="single" w:sz="4" w:space="0" w:color="auto"/>
            </w:tcBorders>
          </w:tcPr>
          <w:p w14:paraId="7A5C2D3E"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57.8</w:t>
            </w:r>
          </w:p>
        </w:tc>
        <w:tc>
          <w:tcPr>
            <w:tcW w:w="451" w:type="dxa"/>
            <w:tcBorders>
              <w:top w:val="nil"/>
              <w:left w:val="single" w:sz="4" w:space="0" w:color="auto"/>
              <w:bottom w:val="nil"/>
              <w:right w:val="single" w:sz="4" w:space="0" w:color="auto"/>
            </w:tcBorders>
          </w:tcPr>
          <w:p w14:paraId="3D40A1C7"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59.3</w:t>
            </w:r>
          </w:p>
        </w:tc>
        <w:tc>
          <w:tcPr>
            <w:tcW w:w="542" w:type="dxa"/>
            <w:tcBorders>
              <w:top w:val="nil"/>
              <w:left w:val="single" w:sz="4" w:space="0" w:color="auto"/>
              <w:bottom w:val="nil"/>
              <w:right w:val="single" w:sz="4" w:space="0" w:color="auto"/>
            </w:tcBorders>
          </w:tcPr>
          <w:p w14:paraId="738B2BAD"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53.1</w:t>
            </w:r>
          </w:p>
        </w:tc>
        <w:tc>
          <w:tcPr>
            <w:tcW w:w="548" w:type="dxa"/>
            <w:tcBorders>
              <w:top w:val="nil"/>
              <w:left w:val="single" w:sz="4" w:space="0" w:color="auto"/>
              <w:bottom w:val="nil"/>
              <w:right w:val="single" w:sz="4" w:space="0" w:color="auto"/>
            </w:tcBorders>
          </w:tcPr>
          <w:p w14:paraId="3D178AA0"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52.1</w:t>
            </w:r>
          </w:p>
        </w:tc>
        <w:tc>
          <w:tcPr>
            <w:tcW w:w="720" w:type="dxa"/>
            <w:tcBorders>
              <w:top w:val="nil"/>
              <w:left w:val="single" w:sz="4" w:space="0" w:color="auto"/>
              <w:bottom w:val="nil"/>
              <w:right w:val="single" w:sz="4" w:space="0" w:color="auto"/>
            </w:tcBorders>
          </w:tcPr>
          <w:p w14:paraId="4B2E02DA"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63.5</w:t>
            </w:r>
          </w:p>
        </w:tc>
        <w:tc>
          <w:tcPr>
            <w:tcW w:w="720" w:type="dxa"/>
            <w:tcBorders>
              <w:top w:val="nil"/>
              <w:left w:val="single" w:sz="4" w:space="0" w:color="auto"/>
              <w:bottom w:val="nil"/>
              <w:right w:val="single" w:sz="4" w:space="0" w:color="auto"/>
            </w:tcBorders>
          </w:tcPr>
          <w:p w14:paraId="3F304029"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49.3</w:t>
            </w:r>
          </w:p>
        </w:tc>
        <w:tc>
          <w:tcPr>
            <w:tcW w:w="898" w:type="dxa"/>
            <w:tcBorders>
              <w:top w:val="nil"/>
              <w:left w:val="single" w:sz="4" w:space="0" w:color="auto"/>
              <w:bottom w:val="nil"/>
              <w:right w:val="single" w:sz="4" w:space="0" w:color="auto"/>
            </w:tcBorders>
          </w:tcPr>
          <w:p w14:paraId="391A2C01" w14:textId="77777777" w:rsidR="00176424" w:rsidRPr="00176424" w:rsidRDefault="00176424" w:rsidP="00176424">
            <w:pPr>
              <w:ind w:right="227"/>
              <w:jc w:val="right"/>
              <w:rPr>
                <w:rFonts w:eastAsia="Times New Roman"/>
                <w:sz w:val="10"/>
                <w:szCs w:val="10"/>
                <w:lang w:eastAsia="es-MX"/>
              </w:rPr>
            </w:pPr>
            <w:r w:rsidRPr="00176424">
              <w:rPr>
                <w:rFonts w:eastAsia="Times New Roman"/>
                <w:sz w:val="10"/>
                <w:szCs w:val="10"/>
                <w:lang w:eastAsia="es-MX"/>
              </w:rPr>
              <w:t>58.2</w:t>
            </w:r>
          </w:p>
        </w:tc>
        <w:tc>
          <w:tcPr>
            <w:tcW w:w="720" w:type="dxa"/>
            <w:tcBorders>
              <w:top w:val="nil"/>
              <w:left w:val="single" w:sz="4" w:space="0" w:color="auto"/>
              <w:bottom w:val="nil"/>
              <w:right w:val="single" w:sz="4" w:space="0" w:color="auto"/>
            </w:tcBorders>
          </w:tcPr>
          <w:p w14:paraId="3C16E44D"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47.6</w:t>
            </w:r>
          </w:p>
        </w:tc>
        <w:tc>
          <w:tcPr>
            <w:tcW w:w="540" w:type="dxa"/>
            <w:tcBorders>
              <w:top w:val="nil"/>
              <w:left w:val="single" w:sz="4" w:space="0" w:color="auto"/>
              <w:bottom w:val="nil"/>
              <w:right w:val="single" w:sz="4" w:space="0" w:color="auto"/>
            </w:tcBorders>
          </w:tcPr>
          <w:p w14:paraId="554131D1"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47.6</w:t>
            </w:r>
          </w:p>
        </w:tc>
      </w:tr>
      <w:tr w:rsidR="00176424" w:rsidRPr="00176424" w14:paraId="6128C84C" w14:textId="77777777" w:rsidTr="00DA1492">
        <w:tc>
          <w:tcPr>
            <w:tcW w:w="2792" w:type="dxa"/>
            <w:tcBorders>
              <w:top w:val="nil"/>
              <w:left w:val="single" w:sz="4" w:space="0" w:color="auto"/>
              <w:bottom w:val="nil"/>
              <w:right w:val="single" w:sz="4" w:space="0" w:color="auto"/>
            </w:tcBorders>
          </w:tcPr>
          <w:p w14:paraId="2A6CD7EF" w14:textId="77777777" w:rsidR="00176424" w:rsidRPr="00176424" w:rsidRDefault="00176424" w:rsidP="00176424">
            <w:pPr>
              <w:ind w:left="397"/>
              <w:jc w:val="both"/>
              <w:rPr>
                <w:rFonts w:eastAsia="Times New Roman"/>
                <w:sz w:val="10"/>
                <w:szCs w:val="10"/>
              </w:rPr>
            </w:pPr>
            <w:r w:rsidRPr="00176424">
              <w:rPr>
                <w:rFonts w:eastAsia="Times New Roman"/>
                <w:sz w:val="10"/>
                <w:szCs w:val="10"/>
              </w:rPr>
              <w:t>Plazos ofrecidos</w:t>
            </w:r>
          </w:p>
        </w:tc>
        <w:tc>
          <w:tcPr>
            <w:tcW w:w="541" w:type="dxa"/>
            <w:tcBorders>
              <w:top w:val="nil"/>
              <w:left w:val="single" w:sz="4" w:space="0" w:color="auto"/>
              <w:bottom w:val="nil"/>
              <w:right w:val="single" w:sz="4" w:space="0" w:color="auto"/>
            </w:tcBorders>
          </w:tcPr>
          <w:p w14:paraId="2CA4C271"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57.6</w:t>
            </w:r>
          </w:p>
        </w:tc>
        <w:tc>
          <w:tcPr>
            <w:tcW w:w="636" w:type="dxa"/>
            <w:gridSpan w:val="2"/>
            <w:tcBorders>
              <w:top w:val="nil"/>
              <w:left w:val="single" w:sz="4" w:space="0" w:color="auto"/>
              <w:bottom w:val="nil"/>
              <w:right w:val="single" w:sz="4" w:space="0" w:color="auto"/>
            </w:tcBorders>
          </w:tcPr>
          <w:p w14:paraId="47C441FE"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55.3</w:t>
            </w:r>
          </w:p>
        </w:tc>
        <w:tc>
          <w:tcPr>
            <w:tcW w:w="451" w:type="dxa"/>
            <w:tcBorders>
              <w:top w:val="nil"/>
              <w:left w:val="single" w:sz="4" w:space="0" w:color="auto"/>
              <w:bottom w:val="nil"/>
              <w:right w:val="single" w:sz="4" w:space="0" w:color="auto"/>
            </w:tcBorders>
          </w:tcPr>
          <w:p w14:paraId="4F24780D"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59.9</w:t>
            </w:r>
          </w:p>
        </w:tc>
        <w:tc>
          <w:tcPr>
            <w:tcW w:w="542" w:type="dxa"/>
            <w:tcBorders>
              <w:top w:val="nil"/>
              <w:left w:val="single" w:sz="4" w:space="0" w:color="auto"/>
              <w:bottom w:val="nil"/>
              <w:right w:val="single" w:sz="4" w:space="0" w:color="auto"/>
            </w:tcBorders>
          </w:tcPr>
          <w:p w14:paraId="451E6F34"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49.8</w:t>
            </w:r>
          </w:p>
        </w:tc>
        <w:tc>
          <w:tcPr>
            <w:tcW w:w="548" w:type="dxa"/>
            <w:tcBorders>
              <w:top w:val="nil"/>
              <w:left w:val="single" w:sz="4" w:space="0" w:color="auto"/>
              <w:bottom w:val="nil"/>
              <w:right w:val="single" w:sz="4" w:space="0" w:color="auto"/>
            </w:tcBorders>
          </w:tcPr>
          <w:p w14:paraId="3B9CE79F"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59.0</w:t>
            </w:r>
          </w:p>
        </w:tc>
        <w:tc>
          <w:tcPr>
            <w:tcW w:w="720" w:type="dxa"/>
            <w:tcBorders>
              <w:top w:val="nil"/>
              <w:left w:val="single" w:sz="4" w:space="0" w:color="auto"/>
              <w:bottom w:val="nil"/>
              <w:right w:val="single" w:sz="4" w:space="0" w:color="auto"/>
            </w:tcBorders>
          </w:tcPr>
          <w:p w14:paraId="0D6E8E6A"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61.4</w:t>
            </w:r>
          </w:p>
        </w:tc>
        <w:tc>
          <w:tcPr>
            <w:tcW w:w="720" w:type="dxa"/>
            <w:tcBorders>
              <w:top w:val="nil"/>
              <w:left w:val="single" w:sz="4" w:space="0" w:color="auto"/>
              <w:bottom w:val="nil"/>
              <w:right w:val="single" w:sz="4" w:space="0" w:color="auto"/>
            </w:tcBorders>
          </w:tcPr>
          <w:p w14:paraId="655A2F34"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58.4</w:t>
            </w:r>
          </w:p>
        </w:tc>
        <w:tc>
          <w:tcPr>
            <w:tcW w:w="898" w:type="dxa"/>
            <w:tcBorders>
              <w:top w:val="nil"/>
              <w:left w:val="single" w:sz="4" w:space="0" w:color="auto"/>
              <w:bottom w:val="nil"/>
              <w:right w:val="single" w:sz="4" w:space="0" w:color="auto"/>
            </w:tcBorders>
          </w:tcPr>
          <w:p w14:paraId="4FD1CEA8" w14:textId="77777777" w:rsidR="00176424" w:rsidRPr="00176424" w:rsidRDefault="00176424" w:rsidP="00176424">
            <w:pPr>
              <w:ind w:right="227"/>
              <w:jc w:val="right"/>
              <w:rPr>
                <w:rFonts w:eastAsia="Times New Roman"/>
                <w:sz w:val="10"/>
                <w:szCs w:val="10"/>
                <w:lang w:eastAsia="es-MX"/>
              </w:rPr>
            </w:pPr>
            <w:r w:rsidRPr="00176424">
              <w:rPr>
                <w:rFonts w:eastAsia="Times New Roman"/>
                <w:sz w:val="10"/>
                <w:szCs w:val="10"/>
                <w:lang w:eastAsia="es-MX"/>
              </w:rPr>
              <w:t>59.7</w:t>
            </w:r>
          </w:p>
        </w:tc>
        <w:tc>
          <w:tcPr>
            <w:tcW w:w="720" w:type="dxa"/>
            <w:tcBorders>
              <w:top w:val="nil"/>
              <w:left w:val="single" w:sz="4" w:space="0" w:color="auto"/>
              <w:bottom w:val="nil"/>
              <w:right w:val="single" w:sz="4" w:space="0" w:color="auto"/>
            </w:tcBorders>
          </w:tcPr>
          <w:p w14:paraId="3EF1EB08"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59.4</w:t>
            </w:r>
          </w:p>
        </w:tc>
        <w:tc>
          <w:tcPr>
            <w:tcW w:w="540" w:type="dxa"/>
            <w:tcBorders>
              <w:top w:val="nil"/>
              <w:left w:val="single" w:sz="4" w:space="0" w:color="auto"/>
              <w:bottom w:val="nil"/>
              <w:right w:val="single" w:sz="4" w:space="0" w:color="auto"/>
            </w:tcBorders>
          </w:tcPr>
          <w:p w14:paraId="61D2703D"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50.0</w:t>
            </w:r>
          </w:p>
        </w:tc>
      </w:tr>
      <w:tr w:rsidR="00176424" w:rsidRPr="00176424" w14:paraId="6EFB3DD5" w14:textId="77777777" w:rsidTr="00DA1492">
        <w:tc>
          <w:tcPr>
            <w:tcW w:w="2792" w:type="dxa"/>
            <w:tcBorders>
              <w:top w:val="nil"/>
              <w:left w:val="single" w:sz="4" w:space="0" w:color="auto"/>
              <w:bottom w:val="nil"/>
              <w:right w:val="single" w:sz="4" w:space="0" w:color="auto"/>
            </w:tcBorders>
          </w:tcPr>
          <w:p w14:paraId="7498FA47" w14:textId="77777777" w:rsidR="00176424" w:rsidRPr="00176424" w:rsidRDefault="00176424" w:rsidP="00176424">
            <w:pPr>
              <w:ind w:left="397"/>
              <w:jc w:val="both"/>
              <w:rPr>
                <w:rFonts w:eastAsia="Times New Roman"/>
                <w:sz w:val="10"/>
                <w:szCs w:val="10"/>
              </w:rPr>
            </w:pPr>
            <w:r w:rsidRPr="00176424">
              <w:rPr>
                <w:rFonts w:eastAsia="Times New Roman"/>
                <w:sz w:val="10"/>
                <w:szCs w:val="10"/>
              </w:rPr>
              <w:t>Requerimientos de colateral</w:t>
            </w:r>
          </w:p>
        </w:tc>
        <w:tc>
          <w:tcPr>
            <w:tcW w:w="541" w:type="dxa"/>
            <w:tcBorders>
              <w:top w:val="nil"/>
              <w:left w:val="single" w:sz="4" w:space="0" w:color="auto"/>
              <w:bottom w:val="nil"/>
              <w:right w:val="single" w:sz="4" w:space="0" w:color="auto"/>
            </w:tcBorders>
          </w:tcPr>
          <w:p w14:paraId="2BC65A80"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50.8</w:t>
            </w:r>
          </w:p>
        </w:tc>
        <w:tc>
          <w:tcPr>
            <w:tcW w:w="636" w:type="dxa"/>
            <w:gridSpan w:val="2"/>
            <w:tcBorders>
              <w:top w:val="nil"/>
              <w:left w:val="single" w:sz="4" w:space="0" w:color="auto"/>
              <w:bottom w:val="nil"/>
              <w:right w:val="single" w:sz="4" w:space="0" w:color="auto"/>
            </w:tcBorders>
          </w:tcPr>
          <w:p w14:paraId="738A98C5"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47.0</w:t>
            </w:r>
          </w:p>
        </w:tc>
        <w:tc>
          <w:tcPr>
            <w:tcW w:w="451" w:type="dxa"/>
            <w:tcBorders>
              <w:top w:val="nil"/>
              <w:left w:val="single" w:sz="4" w:space="0" w:color="auto"/>
              <w:bottom w:val="nil"/>
              <w:right w:val="single" w:sz="4" w:space="0" w:color="auto"/>
            </w:tcBorders>
          </w:tcPr>
          <w:p w14:paraId="2713A738"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43.4</w:t>
            </w:r>
          </w:p>
        </w:tc>
        <w:tc>
          <w:tcPr>
            <w:tcW w:w="542" w:type="dxa"/>
            <w:tcBorders>
              <w:top w:val="nil"/>
              <w:left w:val="single" w:sz="4" w:space="0" w:color="auto"/>
              <w:bottom w:val="nil"/>
              <w:right w:val="single" w:sz="4" w:space="0" w:color="auto"/>
            </w:tcBorders>
          </w:tcPr>
          <w:p w14:paraId="3802C751"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41.8</w:t>
            </w:r>
          </w:p>
        </w:tc>
        <w:tc>
          <w:tcPr>
            <w:tcW w:w="548" w:type="dxa"/>
            <w:tcBorders>
              <w:top w:val="nil"/>
              <w:left w:val="single" w:sz="4" w:space="0" w:color="auto"/>
              <w:bottom w:val="nil"/>
              <w:right w:val="single" w:sz="4" w:space="0" w:color="auto"/>
            </w:tcBorders>
          </w:tcPr>
          <w:p w14:paraId="5DA53C33"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42.5</w:t>
            </w:r>
          </w:p>
        </w:tc>
        <w:tc>
          <w:tcPr>
            <w:tcW w:w="720" w:type="dxa"/>
            <w:tcBorders>
              <w:top w:val="nil"/>
              <w:left w:val="single" w:sz="4" w:space="0" w:color="auto"/>
              <w:bottom w:val="nil"/>
              <w:right w:val="single" w:sz="4" w:space="0" w:color="auto"/>
            </w:tcBorders>
          </w:tcPr>
          <w:p w14:paraId="27035F33"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49.9</w:t>
            </w:r>
          </w:p>
        </w:tc>
        <w:tc>
          <w:tcPr>
            <w:tcW w:w="720" w:type="dxa"/>
            <w:tcBorders>
              <w:top w:val="nil"/>
              <w:left w:val="single" w:sz="4" w:space="0" w:color="auto"/>
              <w:bottom w:val="nil"/>
              <w:right w:val="single" w:sz="4" w:space="0" w:color="auto"/>
            </w:tcBorders>
          </w:tcPr>
          <w:p w14:paraId="4767E5DE"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40.6</w:t>
            </w:r>
          </w:p>
        </w:tc>
        <w:tc>
          <w:tcPr>
            <w:tcW w:w="898" w:type="dxa"/>
            <w:tcBorders>
              <w:top w:val="nil"/>
              <w:left w:val="single" w:sz="4" w:space="0" w:color="auto"/>
              <w:bottom w:val="nil"/>
              <w:right w:val="single" w:sz="4" w:space="0" w:color="auto"/>
            </w:tcBorders>
          </w:tcPr>
          <w:p w14:paraId="77EA5448" w14:textId="77777777" w:rsidR="00176424" w:rsidRPr="00176424" w:rsidRDefault="00176424" w:rsidP="00176424">
            <w:pPr>
              <w:ind w:right="227"/>
              <w:jc w:val="right"/>
              <w:rPr>
                <w:rFonts w:eastAsia="Times New Roman"/>
                <w:sz w:val="10"/>
                <w:szCs w:val="10"/>
                <w:lang w:eastAsia="es-MX"/>
              </w:rPr>
            </w:pPr>
            <w:r w:rsidRPr="00176424">
              <w:rPr>
                <w:rFonts w:eastAsia="Times New Roman"/>
                <w:sz w:val="10"/>
                <w:szCs w:val="10"/>
                <w:lang w:eastAsia="es-MX"/>
              </w:rPr>
              <w:t>43.8</w:t>
            </w:r>
          </w:p>
        </w:tc>
        <w:tc>
          <w:tcPr>
            <w:tcW w:w="720" w:type="dxa"/>
            <w:tcBorders>
              <w:top w:val="nil"/>
              <w:left w:val="single" w:sz="4" w:space="0" w:color="auto"/>
              <w:bottom w:val="nil"/>
              <w:right w:val="single" w:sz="4" w:space="0" w:color="auto"/>
            </w:tcBorders>
          </w:tcPr>
          <w:p w14:paraId="73B037CD"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41.2</w:t>
            </w:r>
          </w:p>
        </w:tc>
        <w:tc>
          <w:tcPr>
            <w:tcW w:w="540" w:type="dxa"/>
            <w:tcBorders>
              <w:top w:val="nil"/>
              <w:left w:val="single" w:sz="4" w:space="0" w:color="auto"/>
              <w:bottom w:val="nil"/>
              <w:right w:val="single" w:sz="4" w:space="0" w:color="auto"/>
            </w:tcBorders>
          </w:tcPr>
          <w:p w14:paraId="4A59B82C"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45.8</w:t>
            </w:r>
          </w:p>
        </w:tc>
      </w:tr>
      <w:tr w:rsidR="00176424" w:rsidRPr="00176424" w14:paraId="2157A13E" w14:textId="77777777" w:rsidTr="00DA1492">
        <w:tc>
          <w:tcPr>
            <w:tcW w:w="2792" w:type="dxa"/>
            <w:tcBorders>
              <w:top w:val="nil"/>
              <w:left w:val="single" w:sz="4" w:space="0" w:color="auto"/>
              <w:bottom w:val="nil"/>
              <w:right w:val="single" w:sz="4" w:space="0" w:color="auto"/>
            </w:tcBorders>
          </w:tcPr>
          <w:p w14:paraId="37800A04" w14:textId="77777777" w:rsidR="00176424" w:rsidRPr="00176424" w:rsidRDefault="00176424" w:rsidP="00176424">
            <w:pPr>
              <w:ind w:left="397"/>
              <w:jc w:val="both"/>
              <w:rPr>
                <w:rFonts w:eastAsia="Times New Roman"/>
                <w:sz w:val="10"/>
                <w:szCs w:val="10"/>
              </w:rPr>
            </w:pPr>
            <w:r w:rsidRPr="00176424">
              <w:rPr>
                <w:rFonts w:eastAsia="Times New Roman"/>
                <w:sz w:val="10"/>
                <w:szCs w:val="10"/>
              </w:rPr>
              <w:t>Tiempos de resolución del crédito</w:t>
            </w:r>
          </w:p>
        </w:tc>
        <w:tc>
          <w:tcPr>
            <w:tcW w:w="541" w:type="dxa"/>
            <w:tcBorders>
              <w:top w:val="nil"/>
              <w:left w:val="single" w:sz="4" w:space="0" w:color="auto"/>
              <w:bottom w:val="nil"/>
              <w:right w:val="single" w:sz="4" w:space="0" w:color="auto"/>
            </w:tcBorders>
          </w:tcPr>
          <w:p w14:paraId="460D1C2F"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49.7</w:t>
            </w:r>
          </w:p>
        </w:tc>
        <w:tc>
          <w:tcPr>
            <w:tcW w:w="636" w:type="dxa"/>
            <w:gridSpan w:val="2"/>
            <w:tcBorders>
              <w:top w:val="nil"/>
              <w:left w:val="single" w:sz="4" w:space="0" w:color="auto"/>
              <w:bottom w:val="nil"/>
              <w:right w:val="single" w:sz="4" w:space="0" w:color="auto"/>
            </w:tcBorders>
          </w:tcPr>
          <w:p w14:paraId="7FFF2404"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46.8</w:t>
            </w:r>
          </w:p>
        </w:tc>
        <w:tc>
          <w:tcPr>
            <w:tcW w:w="451" w:type="dxa"/>
            <w:tcBorders>
              <w:top w:val="nil"/>
              <w:left w:val="single" w:sz="4" w:space="0" w:color="auto"/>
              <w:bottom w:val="nil"/>
              <w:right w:val="single" w:sz="4" w:space="0" w:color="auto"/>
            </w:tcBorders>
          </w:tcPr>
          <w:p w14:paraId="7A15B1B3"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49.7</w:t>
            </w:r>
          </w:p>
        </w:tc>
        <w:tc>
          <w:tcPr>
            <w:tcW w:w="542" w:type="dxa"/>
            <w:tcBorders>
              <w:top w:val="nil"/>
              <w:left w:val="single" w:sz="4" w:space="0" w:color="auto"/>
              <w:bottom w:val="nil"/>
              <w:right w:val="single" w:sz="4" w:space="0" w:color="auto"/>
            </w:tcBorders>
          </w:tcPr>
          <w:p w14:paraId="2D4F10CC"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46.6</w:t>
            </w:r>
          </w:p>
        </w:tc>
        <w:tc>
          <w:tcPr>
            <w:tcW w:w="548" w:type="dxa"/>
            <w:tcBorders>
              <w:top w:val="nil"/>
              <w:left w:val="single" w:sz="4" w:space="0" w:color="auto"/>
              <w:bottom w:val="nil"/>
              <w:right w:val="single" w:sz="4" w:space="0" w:color="auto"/>
            </w:tcBorders>
          </w:tcPr>
          <w:p w14:paraId="4D4423D2"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45.4</w:t>
            </w:r>
          </w:p>
        </w:tc>
        <w:tc>
          <w:tcPr>
            <w:tcW w:w="720" w:type="dxa"/>
            <w:tcBorders>
              <w:top w:val="nil"/>
              <w:left w:val="single" w:sz="4" w:space="0" w:color="auto"/>
              <w:bottom w:val="nil"/>
              <w:right w:val="single" w:sz="4" w:space="0" w:color="auto"/>
            </w:tcBorders>
          </w:tcPr>
          <w:p w14:paraId="4A1F1498"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49.9</w:t>
            </w:r>
          </w:p>
        </w:tc>
        <w:tc>
          <w:tcPr>
            <w:tcW w:w="720" w:type="dxa"/>
            <w:tcBorders>
              <w:top w:val="nil"/>
              <w:left w:val="single" w:sz="4" w:space="0" w:color="auto"/>
              <w:bottom w:val="nil"/>
              <w:right w:val="single" w:sz="4" w:space="0" w:color="auto"/>
            </w:tcBorders>
          </w:tcPr>
          <w:p w14:paraId="2565D4E0"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44.4</w:t>
            </w:r>
          </w:p>
        </w:tc>
        <w:tc>
          <w:tcPr>
            <w:tcW w:w="898" w:type="dxa"/>
            <w:tcBorders>
              <w:top w:val="nil"/>
              <w:left w:val="single" w:sz="4" w:space="0" w:color="auto"/>
              <w:bottom w:val="nil"/>
              <w:right w:val="single" w:sz="4" w:space="0" w:color="auto"/>
            </w:tcBorders>
          </w:tcPr>
          <w:p w14:paraId="4EA45E0E" w14:textId="77777777" w:rsidR="00176424" w:rsidRPr="00176424" w:rsidRDefault="00176424" w:rsidP="00176424">
            <w:pPr>
              <w:ind w:right="227"/>
              <w:jc w:val="right"/>
              <w:rPr>
                <w:rFonts w:eastAsia="Times New Roman"/>
                <w:sz w:val="10"/>
                <w:szCs w:val="10"/>
                <w:lang w:eastAsia="es-MX"/>
              </w:rPr>
            </w:pPr>
            <w:r w:rsidRPr="00176424">
              <w:rPr>
                <w:rFonts w:eastAsia="Times New Roman"/>
                <w:sz w:val="10"/>
                <w:szCs w:val="10"/>
                <w:lang w:eastAsia="es-MX"/>
              </w:rPr>
              <w:t>46.2</w:t>
            </w:r>
          </w:p>
        </w:tc>
        <w:tc>
          <w:tcPr>
            <w:tcW w:w="720" w:type="dxa"/>
            <w:tcBorders>
              <w:top w:val="nil"/>
              <w:left w:val="single" w:sz="4" w:space="0" w:color="auto"/>
              <w:bottom w:val="nil"/>
              <w:right w:val="single" w:sz="4" w:space="0" w:color="auto"/>
            </w:tcBorders>
          </w:tcPr>
          <w:p w14:paraId="12B92045"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44.4</w:t>
            </w:r>
          </w:p>
        </w:tc>
        <w:tc>
          <w:tcPr>
            <w:tcW w:w="540" w:type="dxa"/>
            <w:tcBorders>
              <w:top w:val="nil"/>
              <w:left w:val="single" w:sz="4" w:space="0" w:color="auto"/>
              <w:bottom w:val="nil"/>
              <w:right w:val="single" w:sz="4" w:space="0" w:color="auto"/>
            </w:tcBorders>
          </w:tcPr>
          <w:p w14:paraId="6317C118"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50.6</w:t>
            </w:r>
          </w:p>
        </w:tc>
      </w:tr>
      <w:tr w:rsidR="00176424" w:rsidRPr="00176424" w14:paraId="1479DA74" w14:textId="77777777" w:rsidTr="00DA1492">
        <w:tc>
          <w:tcPr>
            <w:tcW w:w="2792" w:type="dxa"/>
            <w:tcBorders>
              <w:top w:val="nil"/>
              <w:left w:val="single" w:sz="4" w:space="0" w:color="auto"/>
              <w:bottom w:val="nil"/>
              <w:right w:val="single" w:sz="4" w:space="0" w:color="auto"/>
            </w:tcBorders>
          </w:tcPr>
          <w:p w14:paraId="39D1941A" w14:textId="77777777" w:rsidR="00176424" w:rsidRPr="00176424" w:rsidRDefault="00176424" w:rsidP="00176424">
            <w:pPr>
              <w:ind w:left="397"/>
              <w:jc w:val="both"/>
              <w:rPr>
                <w:rFonts w:eastAsia="Times New Roman"/>
                <w:sz w:val="10"/>
                <w:szCs w:val="10"/>
              </w:rPr>
            </w:pPr>
            <w:r w:rsidRPr="00176424">
              <w:rPr>
                <w:rFonts w:eastAsia="Times New Roman"/>
                <w:sz w:val="10"/>
                <w:szCs w:val="10"/>
              </w:rPr>
              <w:t>Condiciones para refinanciar créditos</w:t>
            </w:r>
          </w:p>
        </w:tc>
        <w:tc>
          <w:tcPr>
            <w:tcW w:w="541" w:type="dxa"/>
            <w:tcBorders>
              <w:top w:val="nil"/>
              <w:left w:val="single" w:sz="4" w:space="0" w:color="auto"/>
              <w:bottom w:val="nil"/>
              <w:right w:val="single" w:sz="4" w:space="0" w:color="auto"/>
            </w:tcBorders>
          </w:tcPr>
          <w:p w14:paraId="382B7559"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48.2</w:t>
            </w:r>
          </w:p>
        </w:tc>
        <w:tc>
          <w:tcPr>
            <w:tcW w:w="636" w:type="dxa"/>
            <w:gridSpan w:val="2"/>
            <w:tcBorders>
              <w:top w:val="nil"/>
              <w:left w:val="single" w:sz="4" w:space="0" w:color="auto"/>
              <w:bottom w:val="nil"/>
              <w:right w:val="single" w:sz="4" w:space="0" w:color="auto"/>
            </w:tcBorders>
          </w:tcPr>
          <w:p w14:paraId="7641B13E"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52.8</w:t>
            </w:r>
          </w:p>
        </w:tc>
        <w:tc>
          <w:tcPr>
            <w:tcW w:w="451" w:type="dxa"/>
            <w:tcBorders>
              <w:top w:val="nil"/>
              <w:left w:val="single" w:sz="4" w:space="0" w:color="auto"/>
              <w:bottom w:val="nil"/>
              <w:right w:val="single" w:sz="4" w:space="0" w:color="auto"/>
            </w:tcBorders>
          </w:tcPr>
          <w:p w14:paraId="51399687"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49.8</w:t>
            </w:r>
          </w:p>
        </w:tc>
        <w:tc>
          <w:tcPr>
            <w:tcW w:w="542" w:type="dxa"/>
            <w:tcBorders>
              <w:top w:val="nil"/>
              <w:left w:val="single" w:sz="4" w:space="0" w:color="auto"/>
              <w:bottom w:val="nil"/>
              <w:right w:val="single" w:sz="4" w:space="0" w:color="auto"/>
            </w:tcBorders>
          </w:tcPr>
          <w:p w14:paraId="29508E63"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49.2</w:t>
            </w:r>
          </w:p>
        </w:tc>
        <w:tc>
          <w:tcPr>
            <w:tcW w:w="548" w:type="dxa"/>
            <w:tcBorders>
              <w:top w:val="nil"/>
              <w:left w:val="single" w:sz="4" w:space="0" w:color="auto"/>
              <w:bottom w:val="nil"/>
              <w:right w:val="single" w:sz="4" w:space="0" w:color="auto"/>
            </w:tcBorders>
          </w:tcPr>
          <w:p w14:paraId="12734189"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49.2</w:t>
            </w:r>
          </w:p>
        </w:tc>
        <w:tc>
          <w:tcPr>
            <w:tcW w:w="720" w:type="dxa"/>
            <w:tcBorders>
              <w:top w:val="nil"/>
              <w:left w:val="single" w:sz="4" w:space="0" w:color="auto"/>
              <w:bottom w:val="nil"/>
              <w:right w:val="single" w:sz="4" w:space="0" w:color="auto"/>
            </w:tcBorders>
          </w:tcPr>
          <w:p w14:paraId="6AA5E8E1"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49.7</w:t>
            </w:r>
          </w:p>
        </w:tc>
        <w:tc>
          <w:tcPr>
            <w:tcW w:w="720" w:type="dxa"/>
            <w:tcBorders>
              <w:top w:val="nil"/>
              <w:left w:val="single" w:sz="4" w:space="0" w:color="auto"/>
              <w:bottom w:val="nil"/>
              <w:right w:val="single" w:sz="4" w:space="0" w:color="auto"/>
            </w:tcBorders>
          </w:tcPr>
          <w:p w14:paraId="79E3DDD8"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49.1</w:t>
            </w:r>
          </w:p>
        </w:tc>
        <w:tc>
          <w:tcPr>
            <w:tcW w:w="898" w:type="dxa"/>
            <w:tcBorders>
              <w:top w:val="nil"/>
              <w:left w:val="single" w:sz="4" w:space="0" w:color="auto"/>
              <w:bottom w:val="nil"/>
              <w:right w:val="single" w:sz="4" w:space="0" w:color="auto"/>
            </w:tcBorders>
          </w:tcPr>
          <w:p w14:paraId="35C2AD11" w14:textId="77777777" w:rsidR="00176424" w:rsidRPr="00176424" w:rsidRDefault="00176424" w:rsidP="00176424">
            <w:pPr>
              <w:ind w:right="227"/>
              <w:jc w:val="right"/>
              <w:rPr>
                <w:rFonts w:eastAsia="Times New Roman"/>
                <w:sz w:val="10"/>
                <w:szCs w:val="10"/>
                <w:lang w:eastAsia="es-MX"/>
              </w:rPr>
            </w:pPr>
            <w:r w:rsidRPr="00176424">
              <w:rPr>
                <w:rFonts w:eastAsia="Times New Roman"/>
                <w:sz w:val="10"/>
                <w:szCs w:val="10"/>
                <w:lang w:eastAsia="es-MX"/>
              </w:rPr>
              <w:t>48.3</w:t>
            </w:r>
          </w:p>
        </w:tc>
        <w:tc>
          <w:tcPr>
            <w:tcW w:w="720" w:type="dxa"/>
            <w:tcBorders>
              <w:top w:val="nil"/>
              <w:left w:val="single" w:sz="4" w:space="0" w:color="auto"/>
              <w:bottom w:val="nil"/>
              <w:right w:val="single" w:sz="4" w:space="0" w:color="auto"/>
            </w:tcBorders>
          </w:tcPr>
          <w:p w14:paraId="087639EC"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49.6</w:t>
            </w:r>
          </w:p>
        </w:tc>
        <w:tc>
          <w:tcPr>
            <w:tcW w:w="540" w:type="dxa"/>
            <w:tcBorders>
              <w:top w:val="nil"/>
              <w:left w:val="single" w:sz="4" w:space="0" w:color="auto"/>
              <w:bottom w:val="nil"/>
              <w:right w:val="single" w:sz="4" w:space="0" w:color="auto"/>
            </w:tcBorders>
          </w:tcPr>
          <w:p w14:paraId="3A98D6EB"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52.2</w:t>
            </w:r>
          </w:p>
        </w:tc>
      </w:tr>
      <w:tr w:rsidR="00176424" w:rsidRPr="00176424" w14:paraId="6F333019" w14:textId="77777777" w:rsidTr="00DA1492">
        <w:tc>
          <w:tcPr>
            <w:tcW w:w="2792" w:type="dxa"/>
            <w:tcBorders>
              <w:top w:val="nil"/>
              <w:left w:val="single" w:sz="4" w:space="0" w:color="auto"/>
              <w:bottom w:val="nil"/>
              <w:right w:val="single" w:sz="4" w:space="0" w:color="auto"/>
            </w:tcBorders>
          </w:tcPr>
          <w:p w14:paraId="21BE48E4" w14:textId="77777777" w:rsidR="00176424" w:rsidRPr="00176424" w:rsidRDefault="00176424" w:rsidP="00176424">
            <w:pPr>
              <w:ind w:left="397"/>
              <w:jc w:val="both"/>
              <w:rPr>
                <w:rFonts w:eastAsia="Times New Roman"/>
                <w:sz w:val="10"/>
                <w:szCs w:val="10"/>
              </w:rPr>
            </w:pPr>
            <w:r w:rsidRPr="00176424">
              <w:rPr>
                <w:rFonts w:eastAsia="Times New Roman"/>
                <w:sz w:val="10"/>
                <w:szCs w:val="10"/>
              </w:rPr>
              <w:t>Otros requisitos solicitados por la banca</w:t>
            </w:r>
          </w:p>
        </w:tc>
        <w:tc>
          <w:tcPr>
            <w:tcW w:w="541" w:type="dxa"/>
            <w:tcBorders>
              <w:top w:val="nil"/>
              <w:left w:val="single" w:sz="4" w:space="0" w:color="auto"/>
              <w:bottom w:val="nil"/>
              <w:right w:val="single" w:sz="4" w:space="0" w:color="auto"/>
            </w:tcBorders>
          </w:tcPr>
          <w:p w14:paraId="1BFF27E0"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45.3</w:t>
            </w:r>
          </w:p>
        </w:tc>
        <w:tc>
          <w:tcPr>
            <w:tcW w:w="636" w:type="dxa"/>
            <w:gridSpan w:val="2"/>
            <w:tcBorders>
              <w:top w:val="nil"/>
              <w:left w:val="single" w:sz="4" w:space="0" w:color="auto"/>
              <w:bottom w:val="nil"/>
              <w:right w:val="single" w:sz="4" w:space="0" w:color="auto"/>
            </w:tcBorders>
          </w:tcPr>
          <w:p w14:paraId="26A97612"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48.2</w:t>
            </w:r>
          </w:p>
        </w:tc>
        <w:tc>
          <w:tcPr>
            <w:tcW w:w="451" w:type="dxa"/>
            <w:tcBorders>
              <w:top w:val="nil"/>
              <w:left w:val="single" w:sz="4" w:space="0" w:color="auto"/>
              <w:bottom w:val="nil"/>
              <w:right w:val="single" w:sz="4" w:space="0" w:color="auto"/>
            </w:tcBorders>
          </w:tcPr>
          <w:p w14:paraId="4E236522"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53.0</w:t>
            </w:r>
          </w:p>
        </w:tc>
        <w:tc>
          <w:tcPr>
            <w:tcW w:w="542" w:type="dxa"/>
            <w:tcBorders>
              <w:top w:val="nil"/>
              <w:left w:val="single" w:sz="4" w:space="0" w:color="auto"/>
              <w:bottom w:val="nil"/>
              <w:right w:val="single" w:sz="4" w:space="0" w:color="auto"/>
            </w:tcBorders>
          </w:tcPr>
          <w:p w14:paraId="3EEBA5F7"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44.2</w:t>
            </w:r>
          </w:p>
        </w:tc>
        <w:tc>
          <w:tcPr>
            <w:tcW w:w="548" w:type="dxa"/>
            <w:tcBorders>
              <w:top w:val="nil"/>
              <w:left w:val="single" w:sz="4" w:space="0" w:color="auto"/>
              <w:bottom w:val="nil"/>
              <w:right w:val="single" w:sz="4" w:space="0" w:color="auto"/>
            </w:tcBorders>
          </w:tcPr>
          <w:p w14:paraId="714ABBAF"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44.5</w:t>
            </w:r>
          </w:p>
        </w:tc>
        <w:tc>
          <w:tcPr>
            <w:tcW w:w="720" w:type="dxa"/>
            <w:tcBorders>
              <w:top w:val="nil"/>
              <w:left w:val="single" w:sz="4" w:space="0" w:color="auto"/>
              <w:bottom w:val="nil"/>
              <w:right w:val="single" w:sz="4" w:space="0" w:color="auto"/>
            </w:tcBorders>
          </w:tcPr>
          <w:p w14:paraId="5B0F294D"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50.0</w:t>
            </w:r>
          </w:p>
        </w:tc>
        <w:tc>
          <w:tcPr>
            <w:tcW w:w="720" w:type="dxa"/>
            <w:tcBorders>
              <w:top w:val="nil"/>
              <w:left w:val="single" w:sz="4" w:space="0" w:color="auto"/>
              <w:bottom w:val="nil"/>
              <w:right w:val="single" w:sz="4" w:space="0" w:color="auto"/>
            </w:tcBorders>
          </w:tcPr>
          <w:p w14:paraId="6FB04B35"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43.3</w:t>
            </w:r>
          </w:p>
        </w:tc>
        <w:tc>
          <w:tcPr>
            <w:tcW w:w="898" w:type="dxa"/>
            <w:tcBorders>
              <w:top w:val="nil"/>
              <w:left w:val="single" w:sz="4" w:space="0" w:color="auto"/>
              <w:bottom w:val="nil"/>
              <w:right w:val="single" w:sz="4" w:space="0" w:color="auto"/>
            </w:tcBorders>
          </w:tcPr>
          <w:p w14:paraId="59422118" w14:textId="77777777" w:rsidR="00176424" w:rsidRPr="00176424" w:rsidRDefault="00176424" w:rsidP="00176424">
            <w:pPr>
              <w:ind w:right="227"/>
              <w:jc w:val="right"/>
              <w:rPr>
                <w:rFonts w:eastAsia="Times New Roman"/>
                <w:sz w:val="10"/>
                <w:szCs w:val="10"/>
                <w:lang w:eastAsia="es-MX"/>
              </w:rPr>
            </w:pPr>
            <w:r w:rsidRPr="00176424">
              <w:rPr>
                <w:rFonts w:eastAsia="Times New Roman"/>
                <w:sz w:val="10"/>
                <w:szCs w:val="10"/>
                <w:lang w:eastAsia="es-MX"/>
              </w:rPr>
              <w:t>42.7</w:t>
            </w:r>
          </w:p>
        </w:tc>
        <w:tc>
          <w:tcPr>
            <w:tcW w:w="720" w:type="dxa"/>
            <w:tcBorders>
              <w:top w:val="nil"/>
              <w:left w:val="single" w:sz="4" w:space="0" w:color="auto"/>
              <w:bottom w:val="nil"/>
              <w:right w:val="single" w:sz="4" w:space="0" w:color="auto"/>
            </w:tcBorders>
          </w:tcPr>
          <w:p w14:paraId="58FC84D6"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45.3</w:t>
            </w:r>
          </w:p>
        </w:tc>
        <w:tc>
          <w:tcPr>
            <w:tcW w:w="540" w:type="dxa"/>
            <w:tcBorders>
              <w:top w:val="nil"/>
              <w:left w:val="single" w:sz="4" w:space="0" w:color="auto"/>
              <w:bottom w:val="nil"/>
              <w:right w:val="single" w:sz="4" w:space="0" w:color="auto"/>
            </w:tcBorders>
          </w:tcPr>
          <w:p w14:paraId="6A80EDE4"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49.5</w:t>
            </w:r>
          </w:p>
        </w:tc>
      </w:tr>
      <w:tr w:rsidR="00176424" w:rsidRPr="00176424" w14:paraId="6B0497D2" w14:textId="77777777" w:rsidTr="00DA1492">
        <w:tc>
          <w:tcPr>
            <w:tcW w:w="2792" w:type="dxa"/>
            <w:tcBorders>
              <w:top w:val="nil"/>
              <w:left w:val="single" w:sz="4" w:space="0" w:color="auto"/>
              <w:bottom w:val="nil"/>
              <w:right w:val="single" w:sz="4" w:space="0" w:color="auto"/>
            </w:tcBorders>
          </w:tcPr>
          <w:p w14:paraId="19C91AFB" w14:textId="270579EA" w:rsidR="00176424" w:rsidRPr="00176424" w:rsidRDefault="008D29D8" w:rsidP="00176424">
            <w:pPr>
              <w:ind w:left="113"/>
              <w:jc w:val="both"/>
              <w:rPr>
                <w:rFonts w:eastAsia="Times New Roman"/>
                <w:sz w:val="10"/>
                <w:szCs w:val="10"/>
              </w:rPr>
            </w:pPr>
            <w:r>
              <w:rPr>
                <w:rFonts w:eastAsia="Times New Roman"/>
                <w:sz w:val="10"/>
                <w:szCs w:val="10"/>
              </w:rPr>
              <w:t>Percepción sobre las c</w:t>
            </w:r>
            <w:r w:rsidR="00176424" w:rsidRPr="00176424">
              <w:rPr>
                <w:rFonts w:eastAsia="Times New Roman"/>
                <w:sz w:val="10"/>
                <w:szCs w:val="10"/>
              </w:rPr>
              <w:t>ondiciones de costo del crédito bancario:</w:t>
            </w:r>
          </w:p>
          <w:p w14:paraId="531CD83D" w14:textId="77777777" w:rsidR="00176424" w:rsidRPr="00176424" w:rsidRDefault="00176424" w:rsidP="00176424">
            <w:pPr>
              <w:ind w:left="113"/>
              <w:jc w:val="both"/>
              <w:rPr>
                <w:rFonts w:eastAsia="Times New Roman"/>
                <w:sz w:val="10"/>
                <w:szCs w:val="10"/>
              </w:rPr>
            </w:pPr>
            <w:r w:rsidRPr="00176424">
              <w:rPr>
                <w:rFonts w:eastAsia="Times New Roman"/>
                <w:i/>
                <w:sz w:val="10"/>
                <w:szCs w:val="10"/>
              </w:rPr>
              <w:t>Índices de Difusión</w:t>
            </w:r>
            <w:r w:rsidRPr="00176424">
              <w:rPr>
                <w:rFonts w:eastAsia="Times New Roman"/>
                <w:b/>
                <w:i/>
                <w:sz w:val="10"/>
                <w:szCs w:val="10"/>
                <w:u w:val="single"/>
                <w:vertAlign w:val="superscript"/>
              </w:rPr>
              <w:t>7</w:t>
            </w:r>
            <w:r w:rsidRPr="00176424">
              <w:rPr>
                <w:rFonts w:eastAsia="Times New Roman"/>
                <w:b/>
                <w:sz w:val="10"/>
                <w:szCs w:val="10"/>
                <w:vertAlign w:val="superscript"/>
              </w:rPr>
              <w:t>/</w:t>
            </w:r>
          </w:p>
        </w:tc>
        <w:tc>
          <w:tcPr>
            <w:tcW w:w="541" w:type="dxa"/>
            <w:tcBorders>
              <w:top w:val="nil"/>
              <w:left w:val="single" w:sz="4" w:space="0" w:color="auto"/>
              <w:bottom w:val="nil"/>
              <w:right w:val="single" w:sz="4" w:space="0" w:color="auto"/>
            </w:tcBorders>
          </w:tcPr>
          <w:p w14:paraId="14A079D3" w14:textId="77777777" w:rsidR="00176424" w:rsidRPr="00176424" w:rsidRDefault="00176424" w:rsidP="00176424">
            <w:pPr>
              <w:ind w:right="57"/>
              <w:jc w:val="right"/>
              <w:rPr>
                <w:rFonts w:eastAsia="Times New Roman"/>
                <w:sz w:val="10"/>
                <w:szCs w:val="10"/>
              </w:rPr>
            </w:pPr>
          </w:p>
        </w:tc>
        <w:tc>
          <w:tcPr>
            <w:tcW w:w="636" w:type="dxa"/>
            <w:gridSpan w:val="2"/>
            <w:tcBorders>
              <w:top w:val="nil"/>
              <w:left w:val="single" w:sz="4" w:space="0" w:color="auto"/>
              <w:bottom w:val="nil"/>
              <w:right w:val="single" w:sz="4" w:space="0" w:color="auto"/>
            </w:tcBorders>
          </w:tcPr>
          <w:p w14:paraId="6B6E4913" w14:textId="77777777" w:rsidR="00176424" w:rsidRPr="00176424" w:rsidRDefault="00176424" w:rsidP="00176424">
            <w:pPr>
              <w:ind w:right="57"/>
              <w:jc w:val="right"/>
              <w:rPr>
                <w:rFonts w:eastAsia="Times New Roman"/>
                <w:sz w:val="10"/>
                <w:szCs w:val="10"/>
              </w:rPr>
            </w:pPr>
          </w:p>
        </w:tc>
        <w:tc>
          <w:tcPr>
            <w:tcW w:w="451" w:type="dxa"/>
            <w:tcBorders>
              <w:top w:val="nil"/>
              <w:left w:val="single" w:sz="4" w:space="0" w:color="auto"/>
              <w:bottom w:val="nil"/>
              <w:right w:val="single" w:sz="4" w:space="0" w:color="auto"/>
            </w:tcBorders>
          </w:tcPr>
          <w:p w14:paraId="00F64B4D" w14:textId="77777777" w:rsidR="00176424" w:rsidRPr="00176424" w:rsidRDefault="00176424" w:rsidP="00176424">
            <w:pPr>
              <w:ind w:right="57"/>
              <w:jc w:val="right"/>
              <w:rPr>
                <w:rFonts w:eastAsia="Times New Roman"/>
                <w:sz w:val="10"/>
                <w:szCs w:val="10"/>
              </w:rPr>
            </w:pPr>
          </w:p>
        </w:tc>
        <w:tc>
          <w:tcPr>
            <w:tcW w:w="542" w:type="dxa"/>
            <w:tcBorders>
              <w:top w:val="nil"/>
              <w:left w:val="single" w:sz="4" w:space="0" w:color="auto"/>
              <w:bottom w:val="nil"/>
              <w:right w:val="single" w:sz="4" w:space="0" w:color="auto"/>
            </w:tcBorders>
          </w:tcPr>
          <w:p w14:paraId="03B383F2" w14:textId="77777777" w:rsidR="00176424" w:rsidRPr="00176424" w:rsidRDefault="00176424" w:rsidP="00176424">
            <w:pPr>
              <w:ind w:right="57"/>
              <w:jc w:val="right"/>
              <w:rPr>
                <w:rFonts w:eastAsia="Times New Roman"/>
                <w:sz w:val="10"/>
                <w:szCs w:val="10"/>
              </w:rPr>
            </w:pPr>
          </w:p>
        </w:tc>
        <w:tc>
          <w:tcPr>
            <w:tcW w:w="548" w:type="dxa"/>
            <w:tcBorders>
              <w:top w:val="nil"/>
              <w:left w:val="single" w:sz="4" w:space="0" w:color="auto"/>
              <w:bottom w:val="nil"/>
              <w:right w:val="single" w:sz="4" w:space="0" w:color="auto"/>
            </w:tcBorders>
          </w:tcPr>
          <w:p w14:paraId="18D98C85" w14:textId="77777777" w:rsidR="00176424" w:rsidRPr="00176424" w:rsidRDefault="00176424" w:rsidP="00176424">
            <w:pPr>
              <w:ind w:right="57"/>
              <w:jc w:val="right"/>
              <w:rPr>
                <w:rFonts w:eastAsia="Times New Roman"/>
                <w:sz w:val="10"/>
                <w:szCs w:val="10"/>
              </w:rPr>
            </w:pPr>
          </w:p>
        </w:tc>
        <w:tc>
          <w:tcPr>
            <w:tcW w:w="720" w:type="dxa"/>
            <w:tcBorders>
              <w:top w:val="nil"/>
              <w:left w:val="single" w:sz="4" w:space="0" w:color="auto"/>
              <w:bottom w:val="nil"/>
              <w:right w:val="single" w:sz="4" w:space="0" w:color="auto"/>
            </w:tcBorders>
          </w:tcPr>
          <w:p w14:paraId="6CF092BA" w14:textId="77777777" w:rsidR="00176424" w:rsidRPr="00176424" w:rsidRDefault="00176424" w:rsidP="00176424">
            <w:pPr>
              <w:ind w:right="170"/>
              <w:jc w:val="right"/>
              <w:rPr>
                <w:rFonts w:eastAsia="Times New Roman"/>
                <w:sz w:val="10"/>
                <w:szCs w:val="10"/>
              </w:rPr>
            </w:pPr>
          </w:p>
        </w:tc>
        <w:tc>
          <w:tcPr>
            <w:tcW w:w="720" w:type="dxa"/>
            <w:tcBorders>
              <w:top w:val="nil"/>
              <w:left w:val="single" w:sz="4" w:space="0" w:color="auto"/>
              <w:bottom w:val="nil"/>
              <w:right w:val="single" w:sz="4" w:space="0" w:color="auto"/>
            </w:tcBorders>
          </w:tcPr>
          <w:p w14:paraId="6439E448" w14:textId="77777777" w:rsidR="00176424" w:rsidRPr="00176424" w:rsidRDefault="00176424" w:rsidP="00176424">
            <w:pPr>
              <w:ind w:right="170"/>
              <w:jc w:val="right"/>
              <w:rPr>
                <w:rFonts w:eastAsia="Times New Roman"/>
                <w:sz w:val="10"/>
                <w:szCs w:val="10"/>
              </w:rPr>
            </w:pPr>
          </w:p>
        </w:tc>
        <w:tc>
          <w:tcPr>
            <w:tcW w:w="898" w:type="dxa"/>
            <w:tcBorders>
              <w:top w:val="nil"/>
              <w:left w:val="single" w:sz="4" w:space="0" w:color="auto"/>
              <w:bottom w:val="nil"/>
              <w:right w:val="single" w:sz="4" w:space="0" w:color="auto"/>
            </w:tcBorders>
          </w:tcPr>
          <w:p w14:paraId="1BF7942C" w14:textId="77777777" w:rsidR="00176424" w:rsidRPr="00176424" w:rsidRDefault="00176424" w:rsidP="00176424">
            <w:pPr>
              <w:ind w:right="227"/>
              <w:jc w:val="right"/>
              <w:rPr>
                <w:rFonts w:eastAsia="Times New Roman"/>
                <w:sz w:val="10"/>
                <w:szCs w:val="10"/>
              </w:rPr>
            </w:pPr>
          </w:p>
        </w:tc>
        <w:tc>
          <w:tcPr>
            <w:tcW w:w="720" w:type="dxa"/>
            <w:tcBorders>
              <w:top w:val="nil"/>
              <w:left w:val="single" w:sz="4" w:space="0" w:color="auto"/>
              <w:bottom w:val="nil"/>
              <w:right w:val="single" w:sz="4" w:space="0" w:color="auto"/>
            </w:tcBorders>
          </w:tcPr>
          <w:p w14:paraId="03FC12B0" w14:textId="77777777" w:rsidR="00176424" w:rsidRPr="00176424" w:rsidRDefault="00176424" w:rsidP="00176424">
            <w:pPr>
              <w:ind w:right="170"/>
              <w:jc w:val="right"/>
              <w:rPr>
                <w:rFonts w:eastAsia="Times New Roman"/>
                <w:sz w:val="10"/>
                <w:szCs w:val="10"/>
              </w:rPr>
            </w:pPr>
          </w:p>
        </w:tc>
        <w:tc>
          <w:tcPr>
            <w:tcW w:w="540" w:type="dxa"/>
            <w:tcBorders>
              <w:top w:val="nil"/>
              <w:left w:val="single" w:sz="4" w:space="0" w:color="auto"/>
              <w:bottom w:val="nil"/>
              <w:right w:val="single" w:sz="4" w:space="0" w:color="auto"/>
            </w:tcBorders>
          </w:tcPr>
          <w:p w14:paraId="78658DFA" w14:textId="77777777" w:rsidR="00176424" w:rsidRPr="00176424" w:rsidRDefault="00176424" w:rsidP="00176424">
            <w:pPr>
              <w:ind w:right="57"/>
              <w:jc w:val="right"/>
              <w:rPr>
                <w:rFonts w:eastAsia="Times New Roman"/>
                <w:sz w:val="10"/>
                <w:szCs w:val="10"/>
              </w:rPr>
            </w:pPr>
          </w:p>
        </w:tc>
      </w:tr>
      <w:tr w:rsidR="00176424" w:rsidRPr="00176424" w14:paraId="50812429" w14:textId="77777777" w:rsidTr="00DA1492">
        <w:tc>
          <w:tcPr>
            <w:tcW w:w="2792" w:type="dxa"/>
            <w:tcBorders>
              <w:top w:val="nil"/>
              <w:left w:val="single" w:sz="4" w:space="0" w:color="auto"/>
              <w:bottom w:val="nil"/>
              <w:right w:val="single" w:sz="4" w:space="0" w:color="auto"/>
            </w:tcBorders>
          </w:tcPr>
          <w:p w14:paraId="2A4131A0" w14:textId="77777777" w:rsidR="00176424" w:rsidRPr="00176424" w:rsidRDefault="00176424" w:rsidP="00176424">
            <w:pPr>
              <w:ind w:left="397"/>
              <w:jc w:val="both"/>
              <w:rPr>
                <w:rFonts w:eastAsia="Times New Roman"/>
                <w:sz w:val="10"/>
                <w:szCs w:val="10"/>
              </w:rPr>
            </w:pPr>
            <w:r w:rsidRPr="00176424">
              <w:rPr>
                <w:rFonts w:eastAsia="Times New Roman"/>
                <w:sz w:val="10"/>
                <w:szCs w:val="10"/>
              </w:rPr>
              <w:t>Tasas de interés bancarias</w:t>
            </w:r>
          </w:p>
        </w:tc>
        <w:tc>
          <w:tcPr>
            <w:tcW w:w="541" w:type="dxa"/>
            <w:tcBorders>
              <w:top w:val="nil"/>
              <w:left w:val="single" w:sz="4" w:space="0" w:color="auto"/>
              <w:bottom w:val="nil"/>
              <w:right w:val="single" w:sz="4" w:space="0" w:color="auto"/>
            </w:tcBorders>
          </w:tcPr>
          <w:p w14:paraId="221994FA"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56.6</w:t>
            </w:r>
          </w:p>
        </w:tc>
        <w:tc>
          <w:tcPr>
            <w:tcW w:w="636" w:type="dxa"/>
            <w:gridSpan w:val="2"/>
            <w:tcBorders>
              <w:top w:val="nil"/>
              <w:left w:val="single" w:sz="4" w:space="0" w:color="auto"/>
              <w:bottom w:val="nil"/>
              <w:right w:val="single" w:sz="4" w:space="0" w:color="auto"/>
            </w:tcBorders>
          </w:tcPr>
          <w:p w14:paraId="4A750A18"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52.7</w:t>
            </w:r>
          </w:p>
        </w:tc>
        <w:tc>
          <w:tcPr>
            <w:tcW w:w="451" w:type="dxa"/>
            <w:tcBorders>
              <w:top w:val="nil"/>
              <w:left w:val="single" w:sz="4" w:space="0" w:color="auto"/>
              <w:bottom w:val="nil"/>
              <w:right w:val="single" w:sz="4" w:space="0" w:color="auto"/>
            </w:tcBorders>
          </w:tcPr>
          <w:p w14:paraId="07111B4E"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59.8</w:t>
            </w:r>
          </w:p>
        </w:tc>
        <w:tc>
          <w:tcPr>
            <w:tcW w:w="542" w:type="dxa"/>
            <w:tcBorders>
              <w:top w:val="nil"/>
              <w:left w:val="single" w:sz="4" w:space="0" w:color="auto"/>
              <w:bottom w:val="nil"/>
              <w:right w:val="single" w:sz="4" w:space="0" w:color="auto"/>
            </w:tcBorders>
          </w:tcPr>
          <w:p w14:paraId="365137FC"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51.6</w:t>
            </w:r>
          </w:p>
        </w:tc>
        <w:tc>
          <w:tcPr>
            <w:tcW w:w="548" w:type="dxa"/>
            <w:tcBorders>
              <w:top w:val="nil"/>
              <w:left w:val="single" w:sz="4" w:space="0" w:color="auto"/>
              <w:bottom w:val="nil"/>
              <w:right w:val="single" w:sz="4" w:space="0" w:color="auto"/>
            </w:tcBorders>
          </w:tcPr>
          <w:p w14:paraId="64DD7E4F"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53.1</w:t>
            </w:r>
          </w:p>
        </w:tc>
        <w:tc>
          <w:tcPr>
            <w:tcW w:w="720" w:type="dxa"/>
            <w:tcBorders>
              <w:top w:val="nil"/>
              <w:left w:val="single" w:sz="4" w:space="0" w:color="auto"/>
              <w:bottom w:val="nil"/>
              <w:right w:val="single" w:sz="4" w:space="0" w:color="auto"/>
            </w:tcBorders>
          </w:tcPr>
          <w:p w14:paraId="20438CA5"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49.4</w:t>
            </w:r>
          </w:p>
        </w:tc>
        <w:tc>
          <w:tcPr>
            <w:tcW w:w="720" w:type="dxa"/>
            <w:tcBorders>
              <w:top w:val="nil"/>
              <w:left w:val="single" w:sz="4" w:space="0" w:color="auto"/>
              <w:bottom w:val="nil"/>
              <w:right w:val="single" w:sz="4" w:space="0" w:color="auto"/>
            </w:tcBorders>
          </w:tcPr>
          <w:p w14:paraId="5A7757A7"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54.0</w:t>
            </w:r>
          </w:p>
        </w:tc>
        <w:tc>
          <w:tcPr>
            <w:tcW w:w="898" w:type="dxa"/>
            <w:tcBorders>
              <w:top w:val="nil"/>
              <w:left w:val="single" w:sz="4" w:space="0" w:color="auto"/>
              <w:bottom w:val="nil"/>
              <w:right w:val="single" w:sz="4" w:space="0" w:color="auto"/>
            </w:tcBorders>
          </w:tcPr>
          <w:p w14:paraId="2F6A86F9" w14:textId="77777777" w:rsidR="00176424" w:rsidRPr="00176424" w:rsidRDefault="00176424" w:rsidP="00176424">
            <w:pPr>
              <w:ind w:right="227"/>
              <w:jc w:val="right"/>
              <w:rPr>
                <w:rFonts w:eastAsia="Times New Roman"/>
                <w:sz w:val="10"/>
                <w:szCs w:val="10"/>
                <w:lang w:eastAsia="es-MX"/>
              </w:rPr>
            </w:pPr>
            <w:r w:rsidRPr="00176424">
              <w:rPr>
                <w:rFonts w:eastAsia="Times New Roman"/>
                <w:sz w:val="10"/>
                <w:szCs w:val="10"/>
                <w:lang w:eastAsia="es-MX"/>
              </w:rPr>
              <w:t>55.6</w:t>
            </w:r>
          </w:p>
        </w:tc>
        <w:tc>
          <w:tcPr>
            <w:tcW w:w="720" w:type="dxa"/>
            <w:tcBorders>
              <w:top w:val="nil"/>
              <w:left w:val="single" w:sz="4" w:space="0" w:color="auto"/>
              <w:bottom w:val="nil"/>
              <w:right w:val="single" w:sz="4" w:space="0" w:color="auto"/>
            </w:tcBorders>
          </w:tcPr>
          <w:p w14:paraId="24C8C81D"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51.4</w:t>
            </w:r>
          </w:p>
        </w:tc>
        <w:tc>
          <w:tcPr>
            <w:tcW w:w="540" w:type="dxa"/>
            <w:tcBorders>
              <w:top w:val="nil"/>
              <w:left w:val="single" w:sz="4" w:space="0" w:color="auto"/>
              <w:bottom w:val="nil"/>
              <w:right w:val="single" w:sz="4" w:space="0" w:color="auto"/>
            </w:tcBorders>
          </w:tcPr>
          <w:p w14:paraId="45B1C937"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51.4</w:t>
            </w:r>
          </w:p>
        </w:tc>
      </w:tr>
      <w:tr w:rsidR="00176424" w:rsidRPr="00176424" w14:paraId="633D78E4" w14:textId="77777777" w:rsidTr="00DA1492">
        <w:tc>
          <w:tcPr>
            <w:tcW w:w="2792" w:type="dxa"/>
            <w:tcBorders>
              <w:top w:val="nil"/>
              <w:left w:val="single" w:sz="4" w:space="0" w:color="auto"/>
              <w:bottom w:val="single" w:sz="4" w:space="0" w:color="auto"/>
              <w:right w:val="single" w:sz="4" w:space="0" w:color="auto"/>
            </w:tcBorders>
          </w:tcPr>
          <w:p w14:paraId="0555294A" w14:textId="77777777" w:rsidR="00176424" w:rsidRPr="00176424" w:rsidRDefault="00176424" w:rsidP="00176424">
            <w:pPr>
              <w:ind w:left="397"/>
              <w:jc w:val="both"/>
              <w:rPr>
                <w:rFonts w:eastAsia="Times New Roman"/>
                <w:sz w:val="10"/>
                <w:szCs w:val="10"/>
              </w:rPr>
            </w:pPr>
            <w:r w:rsidRPr="00176424">
              <w:rPr>
                <w:rFonts w:eastAsia="Times New Roman"/>
                <w:sz w:val="10"/>
                <w:szCs w:val="10"/>
              </w:rPr>
              <w:t>Comisiones y otros gastos</w:t>
            </w:r>
          </w:p>
        </w:tc>
        <w:tc>
          <w:tcPr>
            <w:tcW w:w="541" w:type="dxa"/>
            <w:tcBorders>
              <w:top w:val="nil"/>
              <w:left w:val="single" w:sz="4" w:space="0" w:color="auto"/>
              <w:bottom w:val="single" w:sz="4" w:space="0" w:color="auto"/>
              <w:right w:val="single" w:sz="4" w:space="0" w:color="auto"/>
            </w:tcBorders>
          </w:tcPr>
          <w:p w14:paraId="2F1DC10B"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49.0</w:t>
            </w:r>
          </w:p>
        </w:tc>
        <w:tc>
          <w:tcPr>
            <w:tcW w:w="636" w:type="dxa"/>
            <w:gridSpan w:val="2"/>
            <w:tcBorders>
              <w:top w:val="nil"/>
              <w:left w:val="single" w:sz="4" w:space="0" w:color="auto"/>
              <w:bottom w:val="single" w:sz="4" w:space="0" w:color="auto"/>
              <w:right w:val="single" w:sz="4" w:space="0" w:color="auto"/>
            </w:tcBorders>
          </w:tcPr>
          <w:p w14:paraId="23838F93"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49.2</w:t>
            </w:r>
          </w:p>
        </w:tc>
        <w:tc>
          <w:tcPr>
            <w:tcW w:w="451" w:type="dxa"/>
            <w:tcBorders>
              <w:top w:val="nil"/>
              <w:left w:val="single" w:sz="4" w:space="0" w:color="auto"/>
              <w:bottom w:val="single" w:sz="4" w:space="0" w:color="auto"/>
              <w:right w:val="single" w:sz="4" w:space="0" w:color="auto"/>
            </w:tcBorders>
          </w:tcPr>
          <w:p w14:paraId="0927C64F"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46.2</w:t>
            </w:r>
          </w:p>
        </w:tc>
        <w:tc>
          <w:tcPr>
            <w:tcW w:w="542" w:type="dxa"/>
            <w:tcBorders>
              <w:top w:val="nil"/>
              <w:left w:val="single" w:sz="4" w:space="0" w:color="auto"/>
              <w:bottom w:val="single" w:sz="4" w:space="0" w:color="auto"/>
              <w:right w:val="single" w:sz="4" w:space="0" w:color="auto"/>
            </w:tcBorders>
          </w:tcPr>
          <w:p w14:paraId="55EF7840"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48.2</w:t>
            </w:r>
          </w:p>
        </w:tc>
        <w:tc>
          <w:tcPr>
            <w:tcW w:w="548" w:type="dxa"/>
            <w:tcBorders>
              <w:top w:val="nil"/>
              <w:left w:val="single" w:sz="4" w:space="0" w:color="auto"/>
              <w:bottom w:val="single" w:sz="4" w:space="0" w:color="auto"/>
              <w:right w:val="single" w:sz="4" w:space="0" w:color="auto"/>
            </w:tcBorders>
          </w:tcPr>
          <w:p w14:paraId="5EE507E3"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47.9</w:t>
            </w:r>
          </w:p>
        </w:tc>
        <w:tc>
          <w:tcPr>
            <w:tcW w:w="720" w:type="dxa"/>
            <w:tcBorders>
              <w:top w:val="nil"/>
              <w:left w:val="single" w:sz="4" w:space="0" w:color="auto"/>
              <w:bottom w:val="single" w:sz="4" w:space="0" w:color="auto"/>
              <w:right w:val="single" w:sz="4" w:space="0" w:color="auto"/>
            </w:tcBorders>
          </w:tcPr>
          <w:p w14:paraId="136C8B19"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47.1</w:t>
            </w:r>
          </w:p>
        </w:tc>
        <w:tc>
          <w:tcPr>
            <w:tcW w:w="720" w:type="dxa"/>
            <w:tcBorders>
              <w:top w:val="nil"/>
              <w:left w:val="single" w:sz="4" w:space="0" w:color="auto"/>
              <w:bottom w:val="single" w:sz="4" w:space="0" w:color="auto"/>
              <w:right w:val="single" w:sz="4" w:space="0" w:color="auto"/>
            </w:tcBorders>
          </w:tcPr>
          <w:p w14:paraId="46210CAF"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48.1</w:t>
            </w:r>
          </w:p>
        </w:tc>
        <w:tc>
          <w:tcPr>
            <w:tcW w:w="898" w:type="dxa"/>
            <w:tcBorders>
              <w:top w:val="nil"/>
              <w:left w:val="single" w:sz="4" w:space="0" w:color="auto"/>
              <w:bottom w:val="single" w:sz="4" w:space="0" w:color="auto"/>
              <w:right w:val="single" w:sz="4" w:space="0" w:color="auto"/>
            </w:tcBorders>
          </w:tcPr>
          <w:p w14:paraId="7CF05DCD" w14:textId="77777777" w:rsidR="00176424" w:rsidRPr="00176424" w:rsidRDefault="00176424" w:rsidP="00176424">
            <w:pPr>
              <w:ind w:right="227"/>
              <w:jc w:val="right"/>
              <w:rPr>
                <w:rFonts w:eastAsia="Times New Roman"/>
                <w:sz w:val="10"/>
                <w:szCs w:val="10"/>
                <w:lang w:eastAsia="es-MX"/>
              </w:rPr>
            </w:pPr>
            <w:r w:rsidRPr="00176424">
              <w:rPr>
                <w:rFonts w:eastAsia="Times New Roman"/>
                <w:sz w:val="10"/>
                <w:szCs w:val="10"/>
                <w:lang w:eastAsia="es-MX"/>
              </w:rPr>
              <w:t>47.7</w:t>
            </w:r>
          </w:p>
        </w:tc>
        <w:tc>
          <w:tcPr>
            <w:tcW w:w="720" w:type="dxa"/>
            <w:tcBorders>
              <w:top w:val="nil"/>
              <w:left w:val="single" w:sz="4" w:space="0" w:color="auto"/>
              <w:bottom w:val="single" w:sz="4" w:space="0" w:color="auto"/>
              <w:right w:val="single" w:sz="4" w:space="0" w:color="auto"/>
            </w:tcBorders>
          </w:tcPr>
          <w:p w14:paraId="2C4B8593"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48.6</w:t>
            </w:r>
          </w:p>
        </w:tc>
        <w:tc>
          <w:tcPr>
            <w:tcW w:w="540" w:type="dxa"/>
            <w:tcBorders>
              <w:top w:val="nil"/>
              <w:left w:val="single" w:sz="4" w:space="0" w:color="auto"/>
              <w:bottom w:val="single" w:sz="4" w:space="0" w:color="auto"/>
              <w:right w:val="single" w:sz="4" w:space="0" w:color="auto"/>
            </w:tcBorders>
          </w:tcPr>
          <w:p w14:paraId="685014DE"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41.9</w:t>
            </w:r>
          </w:p>
        </w:tc>
      </w:tr>
      <w:tr w:rsidR="00176424" w:rsidRPr="00176424" w14:paraId="10D944D3" w14:textId="77777777" w:rsidTr="00DA1492">
        <w:tc>
          <w:tcPr>
            <w:tcW w:w="2792" w:type="dxa"/>
            <w:tcBorders>
              <w:top w:val="single" w:sz="4" w:space="0" w:color="auto"/>
              <w:left w:val="single" w:sz="4" w:space="0" w:color="auto"/>
              <w:bottom w:val="nil"/>
              <w:right w:val="single" w:sz="4" w:space="0" w:color="auto"/>
            </w:tcBorders>
          </w:tcPr>
          <w:p w14:paraId="4853A06A" w14:textId="305AA2A6" w:rsidR="00176424" w:rsidRPr="00176424" w:rsidRDefault="00176424" w:rsidP="008D29D8">
            <w:pPr>
              <w:jc w:val="both"/>
              <w:rPr>
                <w:rFonts w:eastAsia="Times New Roman"/>
                <w:b/>
                <w:sz w:val="10"/>
                <w:szCs w:val="10"/>
              </w:rPr>
            </w:pPr>
            <w:r w:rsidRPr="00176424">
              <w:rPr>
                <w:rFonts w:eastAsia="Times New Roman"/>
                <w:b/>
                <w:sz w:val="10"/>
                <w:szCs w:val="10"/>
              </w:rPr>
              <w:t xml:space="preserve">Empresas que no </w:t>
            </w:r>
            <w:r w:rsidR="008D29D8">
              <w:rPr>
                <w:rFonts w:eastAsia="Times New Roman"/>
                <w:b/>
                <w:sz w:val="10"/>
                <w:szCs w:val="10"/>
              </w:rPr>
              <w:t>utilizaron</w:t>
            </w:r>
            <w:r w:rsidRPr="00176424">
              <w:rPr>
                <w:rFonts w:eastAsia="Times New Roman"/>
                <w:b/>
                <w:sz w:val="10"/>
                <w:szCs w:val="10"/>
              </w:rPr>
              <w:t xml:space="preserve"> nuevos créditos bancarios</w:t>
            </w:r>
            <w:r w:rsidRPr="00176424">
              <w:rPr>
                <w:rFonts w:eastAsia="Times New Roman"/>
                <w:b/>
                <w:sz w:val="10"/>
                <w:szCs w:val="10"/>
                <w:u w:val="single"/>
                <w:vertAlign w:val="superscript"/>
              </w:rPr>
              <w:t>4</w:t>
            </w:r>
            <w:r w:rsidRPr="00176424">
              <w:rPr>
                <w:rFonts w:eastAsia="Times New Roman"/>
                <w:b/>
                <w:sz w:val="10"/>
                <w:szCs w:val="10"/>
                <w:vertAlign w:val="superscript"/>
              </w:rPr>
              <w:t>/</w:t>
            </w:r>
          </w:p>
        </w:tc>
        <w:tc>
          <w:tcPr>
            <w:tcW w:w="541" w:type="dxa"/>
            <w:tcBorders>
              <w:top w:val="single" w:sz="4" w:space="0" w:color="auto"/>
              <w:left w:val="single" w:sz="4" w:space="0" w:color="auto"/>
              <w:bottom w:val="nil"/>
              <w:right w:val="single" w:sz="4" w:space="0" w:color="auto"/>
            </w:tcBorders>
          </w:tcPr>
          <w:p w14:paraId="4B3DD754"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77.0</w:t>
            </w:r>
          </w:p>
        </w:tc>
        <w:tc>
          <w:tcPr>
            <w:tcW w:w="636" w:type="dxa"/>
            <w:gridSpan w:val="2"/>
            <w:tcBorders>
              <w:top w:val="single" w:sz="4" w:space="0" w:color="auto"/>
              <w:left w:val="single" w:sz="4" w:space="0" w:color="auto"/>
              <w:bottom w:val="nil"/>
              <w:right w:val="single" w:sz="4" w:space="0" w:color="auto"/>
            </w:tcBorders>
          </w:tcPr>
          <w:p w14:paraId="1E7A7CAC"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78.5</w:t>
            </w:r>
          </w:p>
        </w:tc>
        <w:tc>
          <w:tcPr>
            <w:tcW w:w="451" w:type="dxa"/>
            <w:tcBorders>
              <w:top w:val="single" w:sz="4" w:space="0" w:color="auto"/>
              <w:left w:val="single" w:sz="4" w:space="0" w:color="auto"/>
              <w:bottom w:val="nil"/>
              <w:right w:val="single" w:sz="4" w:space="0" w:color="auto"/>
            </w:tcBorders>
          </w:tcPr>
          <w:p w14:paraId="5C0D8D14"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75.1</w:t>
            </w:r>
          </w:p>
        </w:tc>
        <w:tc>
          <w:tcPr>
            <w:tcW w:w="542" w:type="dxa"/>
            <w:tcBorders>
              <w:top w:val="single" w:sz="4" w:space="0" w:color="auto"/>
              <w:left w:val="single" w:sz="4" w:space="0" w:color="auto"/>
              <w:bottom w:val="nil"/>
              <w:right w:val="single" w:sz="4" w:space="0" w:color="auto"/>
            </w:tcBorders>
          </w:tcPr>
          <w:p w14:paraId="0EEA13C2"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75.4</w:t>
            </w:r>
          </w:p>
        </w:tc>
        <w:tc>
          <w:tcPr>
            <w:tcW w:w="548" w:type="dxa"/>
            <w:tcBorders>
              <w:top w:val="single" w:sz="4" w:space="0" w:color="auto"/>
              <w:left w:val="single" w:sz="4" w:space="0" w:color="auto"/>
              <w:bottom w:val="nil"/>
              <w:right w:val="single" w:sz="4" w:space="0" w:color="auto"/>
            </w:tcBorders>
          </w:tcPr>
          <w:p w14:paraId="4504A4A3"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80.0</w:t>
            </w:r>
          </w:p>
        </w:tc>
        <w:tc>
          <w:tcPr>
            <w:tcW w:w="720" w:type="dxa"/>
            <w:tcBorders>
              <w:top w:val="single" w:sz="4" w:space="0" w:color="auto"/>
              <w:left w:val="single" w:sz="4" w:space="0" w:color="auto"/>
              <w:bottom w:val="nil"/>
              <w:right w:val="single" w:sz="4" w:space="0" w:color="auto"/>
            </w:tcBorders>
          </w:tcPr>
          <w:p w14:paraId="5E2CCCAB"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89.0</w:t>
            </w:r>
          </w:p>
        </w:tc>
        <w:tc>
          <w:tcPr>
            <w:tcW w:w="720" w:type="dxa"/>
            <w:tcBorders>
              <w:top w:val="single" w:sz="4" w:space="0" w:color="auto"/>
              <w:left w:val="single" w:sz="4" w:space="0" w:color="auto"/>
              <w:bottom w:val="nil"/>
              <w:right w:val="single" w:sz="4" w:space="0" w:color="auto"/>
            </w:tcBorders>
          </w:tcPr>
          <w:p w14:paraId="77B49296"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74.6</w:t>
            </w:r>
          </w:p>
        </w:tc>
        <w:tc>
          <w:tcPr>
            <w:tcW w:w="898" w:type="dxa"/>
            <w:tcBorders>
              <w:top w:val="single" w:sz="4" w:space="0" w:color="auto"/>
              <w:left w:val="single" w:sz="4" w:space="0" w:color="auto"/>
              <w:bottom w:val="nil"/>
              <w:right w:val="single" w:sz="4" w:space="0" w:color="auto"/>
            </w:tcBorders>
          </w:tcPr>
          <w:p w14:paraId="656875DB" w14:textId="77777777" w:rsidR="00176424" w:rsidRPr="00176424" w:rsidRDefault="00176424" w:rsidP="00176424">
            <w:pPr>
              <w:ind w:right="227"/>
              <w:jc w:val="right"/>
              <w:rPr>
                <w:rFonts w:eastAsia="Times New Roman"/>
                <w:sz w:val="10"/>
                <w:szCs w:val="10"/>
                <w:lang w:eastAsia="es-MX"/>
              </w:rPr>
            </w:pPr>
            <w:r w:rsidRPr="00176424">
              <w:rPr>
                <w:rFonts w:eastAsia="Times New Roman"/>
                <w:sz w:val="10"/>
                <w:szCs w:val="10"/>
                <w:lang w:eastAsia="es-MX"/>
              </w:rPr>
              <w:t>73.9</w:t>
            </w:r>
          </w:p>
        </w:tc>
        <w:tc>
          <w:tcPr>
            <w:tcW w:w="720" w:type="dxa"/>
            <w:tcBorders>
              <w:top w:val="single" w:sz="4" w:space="0" w:color="auto"/>
              <w:left w:val="single" w:sz="4" w:space="0" w:color="auto"/>
              <w:bottom w:val="nil"/>
              <w:right w:val="single" w:sz="4" w:space="0" w:color="auto"/>
            </w:tcBorders>
          </w:tcPr>
          <w:p w14:paraId="737E4C04"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83.6</w:t>
            </w:r>
          </w:p>
        </w:tc>
        <w:tc>
          <w:tcPr>
            <w:tcW w:w="540" w:type="dxa"/>
            <w:tcBorders>
              <w:top w:val="single" w:sz="4" w:space="0" w:color="auto"/>
              <w:left w:val="single" w:sz="4" w:space="0" w:color="auto"/>
              <w:bottom w:val="nil"/>
              <w:right w:val="single" w:sz="4" w:space="0" w:color="auto"/>
            </w:tcBorders>
          </w:tcPr>
          <w:p w14:paraId="4F372027"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77.0</w:t>
            </w:r>
          </w:p>
        </w:tc>
      </w:tr>
      <w:tr w:rsidR="00176424" w:rsidRPr="00176424" w14:paraId="6FDB43CB" w14:textId="77777777" w:rsidTr="00DA1492">
        <w:tc>
          <w:tcPr>
            <w:tcW w:w="2792" w:type="dxa"/>
            <w:tcBorders>
              <w:top w:val="nil"/>
              <w:left w:val="single" w:sz="4" w:space="0" w:color="auto"/>
              <w:bottom w:val="nil"/>
              <w:right w:val="single" w:sz="4" w:space="0" w:color="auto"/>
            </w:tcBorders>
          </w:tcPr>
          <w:p w14:paraId="7A31FF28" w14:textId="77777777" w:rsidR="00176424" w:rsidRPr="00176424" w:rsidRDefault="00176424" w:rsidP="00176424">
            <w:pPr>
              <w:ind w:left="397"/>
              <w:jc w:val="both"/>
              <w:rPr>
                <w:rFonts w:eastAsia="Times New Roman"/>
                <w:sz w:val="10"/>
                <w:szCs w:val="10"/>
              </w:rPr>
            </w:pPr>
            <w:r w:rsidRPr="00176424">
              <w:rPr>
                <w:rFonts w:eastAsia="Times New Roman"/>
                <w:sz w:val="10"/>
                <w:szCs w:val="10"/>
              </w:rPr>
              <w:t>Lo solicitaron y está en proceso de autorización</w:t>
            </w:r>
          </w:p>
        </w:tc>
        <w:tc>
          <w:tcPr>
            <w:tcW w:w="541" w:type="dxa"/>
            <w:tcBorders>
              <w:top w:val="nil"/>
              <w:left w:val="single" w:sz="4" w:space="0" w:color="auto"/>
              <w:bottom w:val="nil"/>
              <w:right w:val="single" w:sz="4" w:space="0" w:color="auto"/>
            </w:tcBorders>
          </w:tcPr>
          <w:p w14:paraId="6B169DAF"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2.6</w:t>
            </w:r>
          </w:p>
        </w:tc>
        <w:tc>
          <w:tcPr>
            <w:tcW w:w="636" w:type="dxa"/>
            <w:gridSpan w:val="2"/>
            <w:tcBorders>
              <w:top w:val="nil"/>
              <w:left w:val="single" w:sz="4" w:space="0" w:color="auto"/>
              <w:bottom w:val="nil"/>
              <w:right w:val="single" w:sz="4" w:space="0" w:color="auto"/>
            </w:tcBorders>
          </w:tcPr>
          <w:p w14:paraId="5DAC4207"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4.8</w:t>
            </w:r>
          </w:p>
        </w:tc>
        <w:tc>
          <w:tcPr>
            <w:tcW w:w="451" w:type="dxa"/>
            <w:tcBorders>
              <w:top w:val="nil"/>
              <w:left w:val="single" w:sz="4" w:space="0" w:color="auto"/>
              <w:bottom w:val="nil"/>
              <w:right w:val="single" w:sz="4" w:space="0" w:color="auto"/>
            </w:tcBorders>
          </w:tcPr>
          <w:p w14:paraId="346DDF56"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3.4</w:t>
            </w:r>
          </w:p>
        </w:tc>
        <w:tc>
          <w:tcPr>
            <w:tcW w:w="542" w:type="dxa"/>
            <w:tcBorders>
              <w:top w:val="nil"/>
              <w:left w:val="single" w:sz="4" w:space="0" w:color="auto"/>
              <w:bottom w:val="nil"/>
              <w:right w:val="single" w:sz="4" w:space="0" w:color="auto"/>
            </w:tcBorders>
          </w:tcPr>
          <w:p w14:paraId="761DA315"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4.9</w:t>
            </w:r>
          </w:p>
        </w:tc>
        <w:tc>
          <w:tcPr>
            <w:tcW w:w="548" w:type="dxa"/>
            <w:tcBorders>
              <w:top w:val="nil"/>
              <w:left w:val="single" w:sz="4" w:space="0" w:color="auto"/>
              <w:bottom w:val="nil"/>
              <w:right w:val="single" w:sz="4" w:space="0" w:color="auto"/>
            </w:tcBorders>
          </w:tcPr>
          <w:p w14:paraId="6A064959"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2.6</w:t>
            </w:r>
          </w:p>
        </w:tc>
        <w:tc>
          <w:tcPr>
            <w:tcW w:w="720" w:type="dxa"/>
            <w:tcBorders>
              <w:top w:val="nil"/>
              <w:left w:val="single" w:sz="4" w:space="0" w:color="auto"/>
              <w:bottom w:val="nil"/>
              <w:right w:val="single" w:sz="4" w:space="0" w:color="auto"/>
            </w:tcBorders>
          </w:tcPr>
          <w:p w14:paraId="0E38CAC1"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3.5</w:t>
            </w:r>
          </w:p>
        </w:tc>
        <w:tc>
          <w:tcPr>
            <w:tcW w:w="720" w:type="dxa"/>
            <w:tcBorders>
              <w:top w:val="nil"/>
              <w:left w:val="single" w:sz="4" w:space="0" w:color="auto"/>
              <w:bottom w:val="nil"/>
              <w:right w:val="single" w:sz="4" w:space="0" w:color="auto"/>
            </w:tcBorders>
          </w:tcPr>
          <w:p w14:paraId="33C70569"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2.1</w:t>
            </w:r>
          </w:p>
        </w:tc>
        <w:tc>
          <w:tcPr>
            <w:tcW w:w="898" w:type="dxa"/>
            <w:tcBorders>
              <w:top w:val="nil"/>
              <w:left w:val="single" w:sz="4" w:space="0" w:color="auto"/>
              <w:bottom w:val="nil"/>
              <w:right w:val="single" w:sz="4" w:space="0" w:color="auto"/>
            </w:tcBorders>
          </w:tcPr>
          <w:p w14:paraId="752768EE" w14:textId="77777777" w:rsidR="00176424" w:rsidRPr="00176424" w:rsidRDefault="00176424" w:rsidP="00176424">
            <w:pPr>
              <w:ind w:right="227"/>
              <w:jc w:val="right"/>
              <w:rPr>
                <w:rFonts w:eastAsia="Times New Roman"/>
                <w:sz w:val="10"/>
                <w:szCs w:val="10"/>
                <w:lang w:eastAsia="es-MX"/>
              </w:rPr>
            </w:pPr>
            <w:r w:rsidRPr="00176424">
              <w:rPr>
                <w:rFonts w:eastAsia="Times New Roman"/>
                <w:sz w:val="10"/>
                <w:szCs w:val="10"/>
                <w:lang w:eastAsia="es-MX"/>
              </w:rPr>
              <w:t>1.7</w:t>
            </w:r>
          </w:p>
        </w:tc>
        <w:tc>
          <w:tcPr>
            <w:tcW w:w="720" w:type="dxa"/>
            <w:tcBorders>
              <w:top w:val="nil"/>
              <w:left w:val="single" w:sz="4" w:space="0" w:color="auto"/>
              <w:bottom w:val="nil"/>
              <w:right w:val="single" w:sz="4" w:space="0" w:color="auto"/>
            </w:tcBorders>
          </w:tcPr>
          <w:p w14:paraId="03F15FDC"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2.6</w:t>
            </w:r>
          </w:p>
        </w:tc>
        <w:tc>
          <w:tcPr>
            <w:tcW w:w="540" w:type="dxa"/>
            <w:tcBorders>
              <w:top w:val="nil"/>
              <w:left w:val="single" w:sz="4" w:space="0" w:color="auto"/>
              <w:bottom w:val="nil"/>
              <w:right w:val="single" w:sz="4" w:space="0" w:color="auto"/>
            </w:tcBorders>
          </w:tcPr>
          <w:p w14:paraId="5DF735E4"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5.8</w:t>
            </w:r>
          </w:p>
        </w:tc>
      </w:tr>
      <w:tr w:rsidR="00176424" w:rsidRPr="00176424" w14:paraId="4257C2F0" w14:textId="77777777" w:rsidTr="00DA1492">
        <w:tc>
          <w:tcPr>
            <w:tcW w:w="2792" w:type="dxa"/>
            <w:tcBorders>
              <w:top w:val="nil"/>
              <w:left w:val="single" w:sz="4" w:space="0" w:color="auto"/>
              <w:bottom w:val="nil"/>
              <w:right w:val="single" w:sz="4" w:space="0" w:color="auto"/>
            </w:tcBorders>
          </w:tcPr>
          <w:p w14:paraId="49C4A607" w14:textId="77777777" w:rsidR="00176424" w:rsidRPr="00176424" w:rsidRDefault="00176424" w:rsidP="00176424">
            <w:pPr>
              <w:ind w:left="397"/>
              <w:jc w:val="both"/>
              <w:rPr>
                <w:rFonts w:eastAsia="Times New Roman"/>
                <w:sz w:val="10"/>
                <w:szCs w:val="10"/>
              </w:rPr>
            </w:pPr>
            <w:r w:rsidRPr="00176424">
              <w:rPr>
                <w:rFonts w:eastAsia="Times New Roman"/>
                <w:sz w:val="10"/>
                <w:szCs w:val="10"/>
              </w:rPr>
              <w:t>Lo solicitaron y fue rechazado</w:t>
            </w:r>
          </w:p>
        </w:tc>
        <w:tc>
          <w:tcPr>
            <w:tcW w:w="541" w:type="dxa"/>
            <w:tcBorders>
              <w:top w:val="nil"/>
              <w:left w:val="single" w:sz="4" w:space="0" w:color="auto"/>
              <w:bottom w:val="nil"/>
              <w:right w:val="single" w:sz="4" w:space="0" w:color="auto"/>
            </w:tcBorders>
          </w:tcPr>
          <w:p w14:paraId="182227F2"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1.6</w:t>
            </w:r>
          </w:p>
        </w:tc>
        <w:tc>
          <w:tcPr>
            <w:tcW w:w="636" w:type="dxa"/>
            <w:gridSpan w:val="2"/>
            <w:tcBorders>
              <w:top w:val="nil"/>
              <w:left w:val="single" w:sz="4" w:space="0" w:color="auto"/>
              <w:bottom w:val="nil"/>
              <w:right w:val="single" w:sz="4" w:space="0" w:color="auto"/>
            </w:tcBorders>
          </w:tcPr>
          <w:p w14:paraId="71633ABD"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1.3</w:t>
            </w:r>
          </w:p>
        </w:tc>
        <w:tc>
          <w:tcPr>
            <w:tcW w:w="451" w:type="dxa"/>
            <w:tcBorders>
              <w:top w:val="nil"/>
              <w:left w:val="single" w:sz="4" w:space="0" w:color="auto"/>
              <w:bottom w:val="nil"/>
              <w:right w:val="single" w:sz="4" w:space="0" w:color="auto"/>
            </w:tcBorders>
          </w:tcPr>
          <w:p w14:paraId="06D15DF9"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0.2</w:t>
            </w:r>
          </w:p>
        </w:tc>
        <w:tc>
          <w:tcPr>
            <w:tcW w:w="542" w:type="dxa"/>
            <w:tcBorders>
              <w:top w:val="nil"/>
              <w:left w:val="single" w:sz="4" w:space="0" w:color="auto"/>
              <w:bottom w:val="nil"/>
              <w:right w:val="single" w:sz="4" w:space="0" w:color="auto"/>
            </w:tcBorders>
          </w:tcPr>
          <w:p w14:paraId="290ECFEE"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2.1</w:t>
            </w:r>
          </w:p>
        </w:tc>
        <w:tc>
          <w:tcPr>
            <w:tcW w:w="548" w:type="dxa"/>
            <w:tcBorders>
              <w:top w:val="nil"/>
              <w:left w:val="single" w:sz="4" w:space="0" w:color="auto"/>
              <w:bottom w:val="nil"/>
              <w:right w:val="single" w:sz="4" w:space="0" w:color="auto"/>
            </w:tcBorders>
          </w:tcPr>
          <w:p w14:paraId="384BB953"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1.5</w:t>
            </w:r>
          </w:p>
        </w:tc>
        <w:tc>
          <w:tcPr>
            <w:tcW w:w="720" w:type="dxa"/>
            <w:tcBorders>
              <w:top w:val="nil"/>
              <w:left w:val="single" w:sz="4" w:space="0" w:color="auto"/>
              <w:bottom w:val="nil"/>
              <w:right w:val="single" w:sz="4" w:space="0" w:color="auto"/>
            </w:tcBorders>
          </w:tcPr>
          <w:p w14:paraId="4C117327"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3.0</w:t>
            </w:r>
          </w:p>
        </w:tc>
        <w:tc>
          <w:tcPr>
            <w:tcW w:w="720" w:type="dxa"/>
            <w:tcBorders>
              <w:top w:val="nil"/>
              <w:left w:val="single" w:sz="4" w:space="0" w:color="auto"/>
              <w:bottom w:val="nil"/>
              <w:right w:val="single" w:sz="4" w:space="0" w:color="auto"/>
            </w:tcBorders>
          </w:tcPr>
          <w:p w14:paraId="547B7C61"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0.6</w:t>
            </w:r>
          </w:p>
        </w:tc>
        <w:tc>
          <w:tcPr>
            <w:tcW w:w="898" w:type="dxa"/>
            <w:tcBorders>
              <w:top w:val="nil"/>
              <w:left w:val="single" w:sz="4" w:space="0" w:color="auto"/>
              <w:bottom w:val="nil"/>
              <w:right w:val="single" w:sz="4" w:space="0" w:color="auto"/>
            </w:tcBorders>
          </w:tcPr>
          <w:p w14:paraId="205F6D95" w14:textId="77777777" w:rsidR="00176424" w:rsidRPr="00176424" w:rsidRDefault="00176424" w:rsidP="00176424">
            <w:pPr>
              <w:ind w:right="227"/>
              <w:jc w:val="right"/>
              <w:rPr>
                <w:rFonts w:eastAsia="Times New Roman"/>
                <w:sz w:val="10"/>
                <w:szCs w:val="10"/>
                <w:lang w:eastAsia="es-MX"/>
              </w:rPr>
            </w:pPr>
            <w:r w:rsidRPr="00176424">
              <w:rPr>
                <w:rFonts w:eastAsia="Times New Roman"/>
                <w:sz w:val="10"/>
                <w:szCs w:val="10"/>
                <w:lang w:eastAsia="es-MX"/>
              </w:rPr>
              <w:t>0.9</w:t>
            </w:r>
          </w:p>
        </w:tc>
        <w:tc>
          <w:tcPr>
            <w:tcW w:w="720" w:type="dxa"/>
            <w:tcBorders>
              <w:top w:val="nil"/>
              <w:left w:val="single" w:sz="4" w:space="0" w:color="auto"/>
              <w:bottom w:val="nil"/>
              <w:right w:val="single" w:sz="4" w:space="0" w:color="auto"/>
            </w:tcBorders>
          </w:tcPr>
          <w:p w14:paraId="07FBA687"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1.7</w:t>
            </w:r>
          </w:p>
        </w:tc>
        <w:tc>
          <w:tcPr>
            <w:tcW w:w="540" w:type="dxa"/>
            <w:tcBorders>
              <w:top w:val="nil"/>
              <w:left w:val="single" w:sz="4" w:space="0" w:color="auto"/>
              <w:bottom w:val="nil"/>
              <w:right w:val="single" w:sz="4" w:space="0" w:color="auto"/>
            </w:tcBorders>
          </w:tcPr>
          <w:p w14:paraId="5C3041C3"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2.5</w:t>
            </w:r>
          </w:p>
        </w:tc>
      </w:tr>
      <w:tr w:rsidR="00176424" w:rsidRPr="00176424" w14:paraId="1BBCDFE1" w14:textId="77777777" w:rsidTr="00DA1492">
        <w:tc>
          <w:tcPr>
            <w:tcW w:w="2792" w:type="dxa"/>
            <w:tcBorders>
              <w:top w:val="nil"/>
              <w:left w:val="single" w:sz="4" w:space="0" w:color="auto"/>
              <w:bottom w:val="nil"/>
              <w:right w:val="single" w:sz="4" w:space="0" w:color="auto"/>
            </w:tcBorders>
          </w:tcPr>
          <w:p w14:paraId="3BDE36A6" w14:textId="77777777" w:rsidR="00176424" w:rsidRPr="00176424" w:rsidRDefault="00176424" w:rsidP="00176424">
            <w:pPr>
              <w:ind w:left="397"/>
              <w:jc w:val="both"/>
              <w:rPr>
                <w:rFonts w:eastAsia="Times New Roman"/>
                <w:sz w:val="10"/>
                <w:szCs w:val="10"/>
              </w:rPr>
            </w:pPr>
            <w:r w:rsidRPr="00176424">
              <w:rPr>
                <w:rFonts w:eastAsia="Times New Roman"/>
                <w:sz w:val="10"/>
                <w:szCs w:val="10"/>
              </w:rPr>
              <w:t>Lo solicitaron, pero lo rechazaron porque es muy caro</w:t>
            </w:r>
          </w:p>
        </w:tc>
        <w:tc>
          <w:tcPr>
            <w:tcW w:w="541" w:type="dxa"/>
            <w:tcBorders>
              <w:top w:val="nil"/>
              <w:left w:val="single" w:sz="4" w:space="0" w:color="auto"/>
              <w:bottom w:val="nil"/>
              <w:right w:val="single" w:sz="4" w:space="0" w:color="auto"/>
            </w:tcBorders>
          </w:tcPr>
          <w:p w14:paraId="56E34064"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1.1</w:t>
            </w:r>
          </w:p>
        </w:tc>
        <w:tc>
          <w:tcPr>
            <w:tcW w:w="636" w:type="dxa"/>
            <w:gridSpan w:val="2"/>
            <w:tcBorders>
              <w:top w:val="nil"/>
              <w:left w:val="single" w:sz="4" w:space="0" w:color="auto"/>
              <w:bottom w:val="nil"/>
              <w:right w:val="single" w:sz="4" w:space="0" w:color="auto"/>
            </w:tcBorders>
          </w:tcPr>
          <w:p w14:paraId="672A1E1C"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0.1</w:t>
            </w:r>
          </w:p>
        </w:tc>
        <w:tc>
          <w:tcPr>
            <w:tcW w:w="451" w:type="dxa"/>
            <w:tcBorders>
              <w:top w:val="nil"/>
              <w:left w:val="single" w:sz="4" w:space="0" w:color="auto"/>
              <w:bottom w:val="nil"/>
              <w:right w:val="single" w:sz="4" w:space="0" w:color="auto"/>
            </w:tcBorders>
          </w:tcPr>
          <w:p w14:paraId="55D1F395"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1.3</w:t>
            </w:r>
          </w:p>
        </w:tc>
        <w:tc>
          <w:tcPr>
            <w:tcW w:w="542" w:type="dxa"/>
            <w:tcBorders>
              <w:top w:val="nil"/>
              <w:left w:val="single" w:sz="4" w:space="0" w:color="auto"/>
              <w:bottom w:val="nil"/>
              <w:right w:val="single" w:sz="4" w:space="0" w:color="auto"/>
            </w:tcBorders>
          </w:tcPr>
          <w:p w14:paraId="727A8C0B"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0.4</w:t>
            </w:r>
          </w:p>
        </w:tc>
        <w:tc>
          <w:tcPr>
            <w:tcW w:w="548" w:type="dxa"/>
            <w:tcBorders>
              <w:top w:val="nil"/>
              <w:left w:val="single" w:sz="4" w:space="0" w:color="auto"/>
              <w:bottom w:val="nil"/>
              <w:right w:val="single" w:sz="4" w:space="0" w:color="auto"/>
            </w:tcBorders>
          </w:tcPr>
          <w:p w14:paraId="625B77EE"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0.5</w:t>
            </w:r>
          </w:p>
        </w:tc>
        <w:tc>
          <w:tcPr>
            <w:tcW w:w="720" w:type="dxa"/>
            <w:tcBorders>
              <w:top w:val="nil"/>
              <w:left w:val="single" w:sz="4" w:space="0" w:color="auto"/>
              <w:bottom w:val="nil"/>
              <w:right w:val="single" w:sz="4" w:space="0" w:color="auto"/>
            </w:tcBorders>
          </w:tcPr>
          <w:p w14:paraId="6A14E210"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1.3</w:t>
            </w:r>
          </w:p>
        </w:tc>
        <w:tc>
          <w:tcPr>
            <w:tcW w:w="720" w:type="dxa"/>
            <w:tcBorders>
              <w:top w:val="nil"/>
              <w:left w:val="single" w:sz="4" w:space="0" w:color="auto"/>
              <w:bottom w:val="nil"/>
              <w:right w:val="single" w:sz="4" w:space="0" w:color="auto"/>
            </w:tcBorders>
          </w:tcPr>
          <w:p w14:paraId="3E3182A3"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0.0</w:t>
            </w:r>
          </w:p>
        </w:tc>
        <w:tc>
          <w:tcPr>
            <w:tcW w:w="898" w:type="dxa"/>
            <w:tcBorders>
              <w:top w:val="nil"/>
              <w:left w:val="single" w:sz="4" w:space="0" w:color="auto"/>
              <w:bottom w:val="nil"/>
              <w:right w:val="single" w:sz="4" w:space="0" w:color="auto"/>
            </w:tcBorders>
          </w:tcPr>
          <w:p w14:paraId="0C6D869A" w14:textId="77777777" w:rsidR="00176424" w:rsidRPr="00176424" w:rsidRDefault="00176424" w:rsidP="00176424">
            <w:pPr>
              <w:ind w:right="227"/>
              <w:jc w:val="right"/>
              <w:rPr>
                <w:rFonts w:eastAsia="Times New Roman"/>
                <w:sz w:val="10"/>
                <w:szCs w:val="10"/>
                <w:lang w:eastAsia="es-MX"/>
              </w:rPr>
            </w:pPr>
            <w:r w:rsidRPr="00176424">
              <w:rPr>
                <w:rFonts w:eastAsia="Times New Roman"/>
                <w:sz w:val="10"/>
                <w:szCs w:val="10"/>
                <w:lang w:eastAsia="es-MX"/>
              </w:rPr>
              <w:t>0.0</w:t>
            </w:r>
          </w:p>
        </w:tc>
        <w:tc>
          <w:tcPr>
            <w:tcW w:w="720" w:type="dxa"/>
            <w:tcBorders>
              <w:top w:val="nil"/>
              <w:left w:val="single" w:sz="4" w:space="0" w:color="auto"/>
              <w:bottom w:val="nil"/>
              <w:right w:val="single" w:sz="4" w:space="0" w:color="auto"/>
            </w:tcBorders>
          </w:tcPr>
          <w:p w14:paraId="60D17E30"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0.7</w:t>
            </w:r>
          </w:p>
        </w:tc>
        <w:tc>
          <w:tcPr>
            <w:tcW w:w="540" w:type="dxa"/>
            <w:tcBorders>
              <w:top w:val="nil"/>
              <w:left w:val="single" w:sz="4" w:space="0" w:color="auto"/>
              <w:bottom w:val="nil"/>
              <w:right w:val="single" w:sz="4" w:space="0" w:color="auto"/>
            </w:tcBorders>
          </w:tcPr>
          <w:p w14:paraId="5FE2D2C6"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0.3</w:t>
            </w:r>
          </w:p>
        </w:tc>
      </w:tr>
      <w:tr w:rsidR="00176424" w:rsidRPr="00176424" w14:paraId="64B36285" w14:textId="77777777" w:rsidTr="00DA1492">
        <w:tc>
          <w:tcPr>
            <w:tcW w:w="2792" w:type="dxa"/>
            <w:tcBorders>
              <w:top w:val="nil"/>
              <w:left w:val="single" w:sz="4" w:space="0" w:color="auto"/>
              <w:bottom w:val="nil"/>
              <w:right w:val="single" w:sz="4" w:space="0" w:color="auto"/>
            </w:tcBorders>
          </w:tcPr>
          <w:p w14:paraId="37E58E6F" w14:textId="77777777" w:rsidR="00176424" w:rsidRPr="00176424" w:rsidRDefault="00176424" w:rsidP="00176424">
            <w:pPr>
              <w:ind w:left="397"/>
              <w:jc w:val="both"/>
              <w:rPr>
                <w:rFonts w:eastAsia="Times New Roman"/>
                <w:sz w:val="10"/>
                <w:szCs w:val="10"/>
              </w:rPr>
            </w:pPr>
            <w:r w:rsidRPr="00176424">
              <w:rPr>
                <w:rFonts w:eastAsia="Times New Roman"/>
                <w:sz w:val="10"/>
                <w:szCs w:val="10"/>
              </w:rPr>
              <w:t>No solicitaron</w:t>
            </w:r>
          </w:p>
        </w:tc>
        <w:tc>
          <w:tcPr>
            <w:tcW w:w="541" w:type="dxa"/>
            <w:tcBorders>
              <w:top w:val="nil"/>
              <w:left w:val="single" w:sz="4" w:space="0" w:color="auto"/>
              <w:bottom w:val="nil"/>
              <w:right w:val="single" w:sz="4" w:space="0" w:color="auto"/>
            </w:tcBorders>
          </w:tcPr>
          <w:p w14:paraId="7C960E0A"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71.7</w:t>
            </w:r>
          </w:p>
        </w:tc>
        <w:tc>
          <w:tcPr>
            <w:tcW w:w="636" w:type="dxa"/>
            <w:gridSpan w:val="2"/>
            <w:tcBorders>
              <w:top w:val="nil"/>
              <w:left w:val="single" w:sz="4" w:space="0" w:color="auto"/>
              <w:bottom w:val="nil"/>
              <w:right w:val="single" w:sz="4" w:space="0" w:color="auto"/>
            </w:tcBorders>
          </w:tcPr>
          <w:p w14:paraId="23A58E0B"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72.3</w:t>
            </w:r>
          </w:p>
        </w:tc>
        <w:tc>
          <w:tcPr>
            <w:tcW w:w="451" w:type="dxa"/>
            <w:tcBorders>
              <w:top w:val="nil"/>
              <w:left w:val="single" w:sz="4" w:space="0" w:color="auto"/>
              <w:bottom w:val="nil"/>
              <w:right w:val="single" w:sz="4" w:space="0" w:color="auto"/>
            </w:tcBorders>
          </w:tcPr>
          <w:p w14:paraId="214711F1"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70.2</w:t>
            </w:r>
          </w:p>
        </w:tc>
        <w:tc>
          <w:tcPr>
            <w:tcW w:w="542" w:type="dxa"/>
            <w:tcBorders>
              <w:top w:val="nil"/>
              <w:left w:val="single" w:sz="4" w:space="0" w:color="auto"/>
              <w:bottom w:val="nil"/>
              <w:right w:val="single" w:sz="4" w:space="0" w:color="auto"/>
            </w:tcBorders>
          </w:tcPr>
          <w:p w14:paraId="3E880B24"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67.9</w:t>
            </w:r>
          </w:p>
        </w:tc>
        <w:tc>
          <w:tcPr>
            <w:tcW w:w="548" w:type="dxa"/>
            <w:tcBorders>
              <w:top w:val="nil"/>
              <w:left w:val="single" w:sz="4" w:space="0" w:color="auto"/>
              <w:bottom w:val="nil"/>
              <w:right w:val="single" w:sz="4" w:space="0" w:color="auto"/>
            </w:tcBorders>
          </w:tcPr>
          <w:p w14:paraId="04202D96"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75.5</w:t>
            </w:r>
          </w:p>
        </w:tc>
        <w:tc>
          <w:tcPr>
            <w:tcW w:w="720" w:type="dxa"/>
            <w:tcBorders>
              <w:top w:val="nil"/>
              <w:left w:val="single" w:sz="4" w:space="0" w:color="auto"/>
              <w:bottom w:val="nil"/>
              <w:right w:val="single" w:sz="4" w:space="0" w:color="auto"/>
            </w:tcBorders>
          </w:tcPr>
          <w:p w14:paraId="61818E3C"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81.3</w:t>
            </w:r>
          </w:p>
        </w:tc>
        <w:tc>
          <w:tcPr>
            <w:tcW w:w="720" w:type="dxa"/>
            <w:tcBorders>
              <w:top w:val="nil"/>
              <w:left w:val="single" w:sz="4" w:space="0" w:color="auto"/>
              <w:bottom w:val="nil"/>
              <w:right w:val="single" w:sz="4" w:space="0" w:color="auto"/>
            </w:tcBorders>
          </w:tcPr>
          <w:p w14:paraId="423A7D39"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72.0</w:t>
            </w:r>
          </w:p>
        </w:tc>
        <w:tc>
          <w:tcPr>
            <w:tcW w:w="898" w:type="dxa"/>
            <w:tcBorders>
              <w:top w:val="nil"/>
              <w:left w:val="single" w:sz="4" w:space="0" w:color="auto"/>
              <w:bottom w:val="nil"/>
              <w:right w:val="single" w:sz="4" w:space="0" w:color="auto"/>
            </w:tcBorders>
          </w:tcPr>
          <w:p w14:paraId="58E2BCFC" w14:textId="77777777" w:rsidR="00176424" w:rsidRPr="00176424" w:rsidRDefault="00176424" w:rsidP="00176424">
            <w:pPr>
              <w:ind w:right="227"/>
              <w:jc w:val="right"/>
              <w:rPr>
                <w:rFonts w:eastAsia="Times New Roman"/>
                <w:sz w:val="10"/>
                <w:szCs w:val="10"/>
                <w:lang w:eastAsia="es-MX"/>
              </w:rPr>
            </w:pPr>
            <w:r w:rsidRPr="00176424">
              <w:rPr>
                <w:rFonts w:eastAsia="Times New Roman"/>
                <w:sz w:val="10"/>
                <w:szCs w:val="10"/>
                <w:lang w:eastAsia="es-MX"/>
              </w:rPr>
              <w:t>71.4</w:t>
            </w:r>
          </w:p>
        </w:tc>
        <w:tc>
          <w:tcPr>
            <w:tcW w:w="720" w:type="dxa"/>
            <w:tcBorders>
              <w:top w:val="nil"/>
              <w:left w:val="single" w:sz="4" w:space="0" w:color="auto"/>
              <w:bottom w:val="nil"/>
              <w:right w:val="single" w:sz="4" w:space="0" w:color="auto"/>
            </w:tcBorders>
          </w:tcPr>
          <w:p w14:paraId="0D79021E"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78.6</w:t>
            </w:r>
          </w:p>
        </w:tc>
        <w:tc>
          <w:tcPr>
            <w:tcW w:w="540" w:type="dxa"/>
            <w:tcBorders>
              <w:top w:val="nil"/>
              <w:left w:val="single" w:sz="4" w:space="0" w:color="auto"/>
              <w:bottom w:val="nil"/>
              <w:right w:val="single" w:sz="4" w:space="0" w:color="auto"/>
            </w:tcBorders>
          </w:tcPr>
          <w:p w14:paraId="7652E1F5"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68.4</w:t>
            </w:r>
          </w:p>
        </w:tc>
      </w:tr>
      <w:tr w:rsidR="00176424" w:rsidRPr="00176424" w14:paraId="35734EAE" w14:textId="77777777" w:rsidTr="00DA1492">
        <w:tc>
          <w:tcPr>
            <w:tcW w:w="2792" w:type="dxa"/>
            <w:tcBorders>
              <w:top w:val="nil"/>
              <w:left w:val="single" w:sz="4" w:space="0" w:color="auto"/>
              <w:bottom w:val="nil"/>
              <w:right w:val="single" w:sz="4" w:space="0" w:color="auto"/>
            </w:tcBorders>
          </w:tcPr>
          <w:p w14:paraId="50D78585" w14:textId="77777777" w:rsidR="00176424" w:rsidRPr="00176424" w:rsidRDefault="00176424" w:rsidP="00176424">
            <w:pPr>
              <w:jc w:val="both"/>
              <w:rPr>
                <w:rFonts w:eastAsia="Times New Roman"/>
                <w:sz w:val="10"/>
                <w:szCs w:val="10"/>
              </w:rPr>
            </w:pPr>
            <w:r w:rsidRPr="00176424">
              <w:rPr>
                <w:rFonts w:eastAsia="Times New Roman"/>
                <w:sz w:val="10"/>
                <w:szCs w:val="10"/>
              </w:rPr>
              <w:t>Factores limitantes para solicitar o recibir nuevos créditos</w:t>
            </w:r>
            <w:r w:rsidRPr="00176424">
              <w:rPr>
                <w:rFonts w:eastAsia="Times New Roman"/>
                <w:sz w:val="10"/>
                <w:szCs w:val="10"/>
                <w:u w:val="single"/>
                <w:vertAlign w:val="superscript"/>
              </w:rPr>
              <w:t>8</w:t>
            </w:r>
            <w:r w:rsidRPr="00176424">
              <w:rPr>
                <w:rFonts w:eastAsia="Times New Roman"/>
                <w:sz w:val="10"/>
                <w:szCs w:val="10"/>
                <w:vertAlign w:val="superscript"/>
              </w:rPr>
              <w:t>/</w:t>
            </w:r>
          </w:p>
        </w:tc>
        <w:tc>
          <w:tcPr>
            <w:tcW w:w="541" w:type="dxa"/>
            <w:tcBorders>
              <w:top w:val="nil"/>
              <w:left w:val="single" w:sz="4" w:space="0" w:color="auto"/>
              <w:bottom w:val="nil"/>
              <w:right w:val="single" w:sz="4" w:space="0" w:color="auto"/>
            </w:tcBorders>
          </w:tcPr>
          <w:p w14:paraId="772A2D29" w14:textId="77777777" w:rsidR="00176424" w:rsidRPr="00176424" w:rsidRDefault="00176424" w:rsidP="00176424">
            <w:pPr>
              <w:ind w:right="57"/>
              <w:jc w:val="right"/>
              <w:rPr>
                <w:rFonts w:eastAsia="Times New Roman"/>
                <w:sz w:val="10"/>
                <w:szCs w:val="10"/>
              </w:rPr>
            </w:pPr>
          </w:p>
        </w:tc>
        <w:tc>
          <w:tcPr>
            <w:tcW w:w="636" w:type="dxa"/>
            <w:gridSpan w:val="2"/>
            <w:tcBorders>
              <w:top w:val="nil"/>
              <w:left w:val="single" w:sz="4" w:space="0" w:color="auto"/>
              <w:bottom w:val="nil"/>
              <w:right w:val="single" w:sz="4" w:space="0" w:color="auto"/>
            </w:tcBorders>
          </w:tcPr>
          <w:p w14:paraId="281362AD" w14:textId="77777777" w:rsidR="00176424" w:rsidRPr="00176424" w:rsidRDefault="00176424" w:rsidP="00176424">
            <w:pPr>
              <w:ind w:right="57"/>
              <w:jc w:val="right"/>
              <w:rPr>
                <w:rFonts w:eastAsia="Times New Roman"/>
                <w:sz w:val="10"/>
                <w:szCs w:val="10"/>
              </w:rPr>
            </w:pPr>
          </w:p>
        </w:tc>
        <w:tc>
          <w:tcPr>
            <w:tcW w:w="451" w:type="dxa"/>
            <w:tcBorders>
              <w:top w:val="nil"/>
              <w:left w:val="single" w:sz="4" w:space="0" w:color="auto"/>
              <w:bottom w:val="nil"/>
              <w:right w:val="single" w:sz="4" w:space="0" w:color="auto"/>
            </w:tcBorders>
          </w:tcPr>
          <w:p w14:paraId="0ABD462A" w14:textId="77777777" w:rsidR="00176424" w:rsidRPr="00176424" w:rsidRDefault="00176424" w:rsidP="00176424">
            <w:pPr>
              <w:ind w:right="57"/>
              <w:jc w:val="right"/>
              <w:rPr>
                <w:rFonts w:eastAsia="Times New Roman"/>
                <w:sz w:val="10"/>
                <w:szCs w:val="10"/>
              </w:rPr>
            </w:pPr>
          </w:p>
        </w:tc>
        <w:tc>
          <w:tcPr>
            <w:tcW w:w="542" w:type="dxa"/>
            <w:tcBorders>
              <w:top w:val="nil"/>
              <w:left w:val="single" w:sz="4" w:space="0" w:color="auto"/>
              <w:bottom w:val="nil"/>
              <w:right w:val="single" w:sz="4" w:space="0" w:color="auto"/>
            </w:tcBorders>
          </w:tcPr>
          <w:p w14:paraId="1A397F65" w14:textId="77777777" w:rsidR="00176424" w:rsidRPr="00176424" w:rsidRDefault="00176424" w:rsidP="00176424">
            <w:pPr>
              <w:ind w:right="57"/>
              <w:jc w:val="right"/>
              <w:rPr>
                <w:rFonts w:eastAsia="Times New Roman"/>
                <w:sz w:val="10"/>
                <w:szCs w:val="10"/>
              </w:rPr>
            </w:pPr>
          </w:p>
        </w:tc>
        <w:tc>
          <w:tcPr>
            <w:tcW w:w="548" w:type="dxa"/>
            <w:tcBorders>
              <w:top w:val="nil"/>
              <w:left w:val="single" w:sz="4" w:space="0" w:color="auto"/>
              <w:bottom w:val="nil"/>
              <w:right w:val="single" w:sz="4" w:space="0" w:color="auto"/>
            </w:tcBorders>
          </w:tcPr>
          <w:p w14:paraId="2AD8F9C5" w14:textId="77777777" w:rsidR="00176424" w:rsidRPr="00176424" w:rsidRDefault="00176424" w:rsidP="00176424">
            <w:pPr>
              <w:ind w:right="57"/>
              <w:jc w:val="right"/>
              <w:rPr>
                <w:rFonts w:eastAsia="Times New Roman"/>
                <w:sz w:val="10"/>
                <w:szCs w:val="10"/>
              </w:rPr>
            </w:pPr>
          </w:p>
        </w:tc>
        <w:tc>
          <w:tcPr>
            <w:tcW w:w="720" w:type="dxa"/>
            <w:tcBorders>
              <w:top w:val="nil"/>
              <w:left w:val="single" w:sz="4" w:space="0" w:color="auto"/>
              <w:bottom w:val="nil"/>
              <w:right w:val="single" w:sz="4" w:space="0" w:color="auto"/>
            </w:tcBorders>
          </w:tcPr>
          <w:p w14:paraId="60F2B742" w14:textId="77777777" w:rsidR="00176424" w:rsidRPr="00176424" w:rsidRDefault="00176424" w:rsidP="00176424">
            <w:pPr>
              <w:ind w:right="170"/>
              <w:jc w:val="right"/>
              <w:rPr>
                <w:rFonts w:eastAsia="Times New Roman"/>
                <w:sz w:val="10"/>
                <w:szCs w:val="10"/>
              </w:rPr>
            </w:pPr>
          </w:p>
        </w:tc>
        <w:tc>
          <w:tcPr>
            <w:tcW w:w="720" w:type="dxa"/>
            <w:tcBorders>
              <w:top w:val="nil"/>
              <w:left w:val="single" w:sz="4" w:space="0" w:color="auto"/>
              <w:bottom w:val="nil"/>
              <w:right w:val="single" w:sz="4" w:space="0" w:color="auto"/>
            </w:tcBorders>
          </w:tcPr>
          <w:p w14:paraId="5A6D3DC2" w14:textId="77777777" w:rsidR="00176424" w:rsidRPr="00176424" w:rsidRDefault="00176424" w:rsidP="00176424">
            <w:pPr>
              <w:ind w:right="170"/>
              <w:jc w:val="right"/>
              <w:rPr>
                <w:rFonts w:eastAsia="Times New Roman"/>
                <w:sz w:val="10"/>
                <w:szCs w:val="10"/>
              </w:rPr>
            </w:pPr>
          </w:p>
        </w:tc>
        <w:tc>
          <w:tcPr>
            <w:tcW w:w="898" w:type="dxa"/>
            <w:tcBorders>
              <w:top w:val="nil"/>
              <w:left w:val="single" w:sz="4" w:space="0" w:color="auto"/>
              <w:bottom w:val="nil"/>
              <w:right w:val="single" w:sz="4" w:space="0" w:color="auto"/>
            </w:tcBorders>
          </w:tcPr>
          <w:p w14:paraId="2BE73310" w14:textId="77777777" w:rsidR="00176424" w:rsidRPr="00176424" w:rsidRDefault="00176424" w:rsidP="00176424">
            <w:pPr>
              <w:ind w:right="227"/>
              <w:jc w:val="right"/>
              <w:rPr>
                <w:rFonts w:eastAsia="Times New Roman"/>
                <w:sz w:val="10"/>
                <w:szCs w:val="10"/>
              </w:rPr>
            </w:pPr>
          </w:p>
        </w:tc>
        <w:tc>
          <w:tcPr>
            <w:tcW w:w="720" w:type="dxa"/>
            <w:tcBorders>
              <w:top w:val="nil"/>
              <w:left w:val="single" w:sz="4" w:space="0" w:color="auto"/>
              <w:bottom w:val="nil"/>
              <w:right w:val="single" w:sz="4" w:space="0" w:color="auto"/>
            </w:tcBorders>
          </w:tcPr>
          <w:p w14:paraId="5F9EC2C1" w14:textId="77777777" w:rsidR="00176424" w:rsidRPr="00176424" w:rsidRDefault="00176424" w:rsidP="00176424">
            <w:pPr>
              <w:ind w:right="170"/>
              <w:jc w:val="right"/>
              <w:rPr>
                <w:rFonts w:eastAsia="Times New Roman"/>
                <w:sz w:val="10"/>
                <w:szCs w:val="10"/>
              </w:rPr>
            </w:pPr>
          </w:p>
        </w:tc>
        <w:tc>
          <w:tcPr>
            <w:tcW w:w="540" w:type="dxa"/>
            <w:tcBorders>
              <w:top w:val="nil"/>
              <w:left w:val="single" w:sz="4" w:space="0" w:color="auto"/>
              <w:bottom w:val="nil"/>
              <w:right w:val="single" w:sz="4" w:space="0" w:color="auto"/>
            </w:tcBorders>
          </w:tcPr>
          <w:p w14:paraId="68A24D10" w14:textId="77777777" w:rsidR="00176424" w:rsidRPr="00176424" w:rsidRDefault="00176424" w:rsidP="00176424">
            <w:pPr>
              <w:ind w:right="57"/>
              <w:jc w:val="right"/>
              <w:rPr>
                <w:rFonts w:eastAsia="Times New Roman"/>
                <w:sz w:val="10"/>
                <w:szCs w:val="10"/>
              </w:rPr>
            </w:pPr>
          </w:p>
        </w:tc>
      </w:tr>
      <w:tr w:rsidR="00176424" w:rsidRPr="00176424" w14:paraId="7D249ADF" w14:textId="77777777" w:rsidTr="00DA1492">
        <w:tc>
          <w:tcPr>
            <w:tcW w:w="2792" w:type="dxa"/>
            <w:tcBorders>
              <w:top w:val="nil"/>
              <w:left w:val="single" w:sz="4" w:space="0" w:color="auto"/>
              <w:bottom w:val="nil"/>
              <w:right w:val="single" w:sz="4" w:space="0" w:color="auto"/>
            </w:tcBorders>
          </w:tcPr>
          <w:p w14:paraId="239E4A52" w14:textId="77777777" w:rsidR="00176424" w:rsidRPr="00176424" w:rsidRDefault="00176424" w:rsidP="00176424">
            <w:pPr>
              <w:ind w:left="397"/>
              <w:jc w:val="both"/>
              <w:rPr>
                <w:rFonts w:eastAsia="Times New Roman"/>
                <w:sz w:val="10"/>
                <w:szCs w:val="10"/>
              </w:rPr>
            </w:pPr>
            <w:r w:rsidRPr="00176424">
              <w:rPr>
                <w:rFonts w:eastAsia="Times New Roman"/>
                <w:sz w:val="10"/>
                <w:szCs w:val="10"/>
              </w:rPr>
              <w:t>Situación económica general</w:t>
            </w:r>
          </w:p>
        </w:tc>
        <w:tc>
          <w:tcPr>
            <w:tcW w:w="541" w:type="dxa"/>
            <w:tcBorders>
              <w:top w:val="nil"/>
              <w:left w:val="single" w:sz="4" w:space="0" w:color="auto"/>
              <w:bottom w:val="nil"/>
              <w:right w:val="single" w:sz="4" w:space="0" w:color="auto"/>
            </w:tcBorders>
          </w:tcPr>
          <w:p w14:paraId="0A95EEDA"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51.0</w:t>
            </w:r>
          </w:p>
        </w:tc>
        <w:tc>
          <w:tcPr>
            <w:tcW w:w="636" w:type="dxa"/>
            <w:gridSpan w:val="2"/>
            <w:tcBorders>
              <w:top w:val="nil"/>
              <w:left w:val="single" w:sz="4" w:space="0" w:color="auto"/>
              <w:bottom w:val="nil"/>
              <w:right w:val="single" w:sz="4" w:space="0" w:color="auto"/>
            </w:tcBorders>
          </w:tcPr>
          <w:p w14:paraId="34F8EA7A"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48.6</w:t>
            </w:r>
          </w:p>
        </w:tc>
        <w:tc>
          <w:tcPr>
            <w:tcW w:w="451" w:type="dxa"/>
            <w:tcBorders>
              <w:top w:val="nil"/>
              <w:left w:val="single" w:sz="4" w:space="0" w:color="auto"/>
              <w:bottom w:val="nil"/>
              <w:right w:val="single" w:sz="4" w:space="0" w:color="auto"/>
            </w:tcBorders>
          </w:tcPr>
          <w:p w14:paraId="4C481686"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49.2</w:t>
            </w:r>
          </w:p>
        </w:tc>
        <w:tc>
          <w:tcPr>
            <w:tcW w:w="542" w:type="dxa"/>
            <w:tcBorders>
              <w:top w:val="nil"/>
              <w:left w:val="single" w:sz="4" w:space="0" w:color="auto"/>
              <w:bottom w:val="nil"/>
              <w:right w:val="single" w:sz="4" w:space="0" w:color="auto"/>
            </w:tcBorders>
          </w:tcPr>
          <w:p w14:paraId="0494E21C"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54.0</w:t>
            </w:r>
          </w:p>
        </w:tc>
        <w:tc>
          <w:tcPr>
            <w:tcW w:w="548" w:type="dxa"/>
            <w:tcBorders>
              <w:top w:val="nil"/>
              <w:left w:val="single" w:sz="4" w:space="0" w:color="auto"/>
              <w:bottom w:val="nil"/>
              <w:right w:val="single" w:sz="4" w:space="0" w:color="auto"/>
            </w:tcBorders>
          </w:tcPr>
          <w:p w14:paraId="5EB2EDF7"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45.7</w:t>
            </w:r>
          </w:p>
        </w:tc>
        <w:tc>
          <w:tcPr>
            <w:tcW w:w="720" w:type="dxa"/>
            <w:tcBorders>
              <w:top w:val="nil"/>
              <w:left w:val="single" w:sz="4" w:space="0" w:color="auto"/>
              <w:bottom w:val="nil"/>
              <w:right w:val="single" w:sz="4" w:space="0" w:color="auto"/>
            </w:tcBorders>
          </w:tcPr>
          <w:p w14:paraId="115FF380"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48.0</w:t>
            </w:r>
          </w:p>
        </w:tc>
        <w:tc>
          <w:tcPr>
            <w:tcW w:w="720" w:type="dxa"/>
            <w:tcBorders>
              <w:top w:val="nil"/>
              <w:left w:val="single" w:sz="4" w:space="0" w:color="auto"/>
              <w:bottom w:val="nil"/>
              <w:right w:val="single" w:sz="4" w:space="0" w:color="auto"/>
            </w:tcBorders>
          </w:tcPr>
          <w:p w14:paraId="290D3604" w14:textId="77777777" w:rsidR="00176424" w:rsidRPr="00176424" w:rsidRDefault="00176424" w:rsidP="00176424">
            <w:pPr>
              <w:ind w:right="170"/>
              <w:jc w:val="right"/>
              <w:rPr>
                <w:rFonts w:eastAsia="Times New Roman"/>
                <w:sz w:val="10"/>
                <w:szCs w:val="10"/>
              </w:rPr>
            </w:pPr>
            <w:r w:rsidRPr="00176424">
              <w:rPr>
                <w:rFonts w:eastAsia="Times New Roman"/>
                <w:sz w:val="10"/>
                <w:szCs w:val="10"/>
              </w:rPr>
              <w:t>44.1</w:t>
            </w:r>
          </w:p>
        </w:tc>
        <w:tc>
          <w:tcPr>
            <w:tcW w:w="898" w:type="dxa"/>
            <w:tcBorders>
              <w:top w:val="nil"/>
              <w:left w:val="single" w:sz="4" w:space="0" w:color="auto"/>
              <w:bottom w:val="nil"/>
              <w:right w:val="single" w:sz="4" w:space="0" w:color="auto"/>
            </w:tcBorders>
          </w:tcPr>
          <w:p w14:paraId="7ADDF9FC" w14:textId="77777777" w:rsidR="00176424" w:rsidRPr="00176424" w:rsidRDefault="00176424" w:rsidP="00176424">
            <w:pPr>
              <w:ind w:right="227"/>
              <w:jc w:val="right"/>
              <w:rPr>
                <w:rFonts w:eastAsia="Times New Roman"/>
                <w:sz w:val="10"/>
                <w:szCs w:val="10"/>
                <w:lang w:eastAsia="es-MX"/>
              </w:rPr>
            </w:pPr>
            <w:r w:rsidRPr="00176424">
              <w:rPr>
                <w:rFonts w:eastAsia="Times New Roman"/>
                <w:sz w:val="10"/>
                <w:szCs w:val="10"/>
                <w:lang w:eastAsia="es-MX"/>
              </w:rPr>
              <w:t>43.0</w:t>
            </w:r>
          </w:p>
        </w:tc>
        <w:tc>
          <w:tcPr>
            <w:tcW w:w="720" w:type="dxa"/>
            <w:tcBorders>
              <w:top w:val="nil"/>
              <w:left w:val="single" w:sz="4" w:space="0" w:color="auto"/>
              <w:bottom w:val="nil"/>
              <w:right w:val="single" w:sz="4" w:space="0" w:color="auto"/>
            </w:tcBorders>
          </w:tcPr>
          <w:p w14:paraId="30CC4424"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46.3</w:t>
            </w:r>
          </w:p>
        </w:tc>
        <w:tc>
          <w:tcPr>
            <w:tcW w:w="540" w:type="dxa"/>
            <w:tcBorders>
              <w:top w:val="nil"/>
              <w:left w:val="single" w:sz="4" w:space="0" w:color="auto"/>
              <w:bottom w:val="nil"/>
              <w:right w:val="single" w:sz="4" w:space="0" w:color="auto"/>
            </w:tcBorders>
          </w:tcPr>
          <w:p w14:paraId="275EDBD7"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50.9</w:t>
            </w:r>
          </w:p>
        </w:tc>
      </w:tr>
      <w:tr w:rsidR="00176424" w:rsidRPr="00176424" w14:paraId="6FE097D8" w14:textId="77777777" w:rsidTr="00DA1492">
        <w:tc>
          <w:tcPr>
            <w:tcW w:w="2792" w:type="dxa"/>
            <w:tcBorders>
              <w:top w:val="nil"/>
              <w:left w:val="single" w:sz="4" w:space="0" w:color="auto"/>
              <w:bottom w:val="nil"/>
              <w:right w:val="single" w:sz="4" w:space="0" w:color="auto"/>
            </w:tcBorders>
          </w:tcPr>
          <w:p w14:paraId="00566011" w14:textId="77777777" w:rsidR="00176424" w:rsidRPr="00176424" w:rsidRDefault="00176424" w:rsidP="00176424">
            <w:pPr>
              <w:ind w:left="397"/>
              <w:jc w:val="both"/>
              <w:rPr>
                <w:rFonts w:eastAsia="Times New Roman"/>
                <w:sz w:val="10"/>
                <w:szCs w:val="10"/>
              </w:rPr>
            </w:pPr>
            <w:r w:rsidRPr="00176424">
              <w:rPr>
                <w:rFonts w:eastAsia="Times New Roman"/>
                <w:sz w:val="10"/>
                <w:szCs w:val="10"/>
              </w:rPr>
              <w:t>Acceso a apoyo público</w:t>
            </w:r>
          </w:p>
        </w:tc>
        <w:tc>
          <w:tcPr>
            <w:tcW w:w="541" w:type="dxa"/>
            <w:tcBorders>
              <w:top w:val="nil"/>
              <w:left w:val="single" w:sz="4" w:space="0" w:color="auto"/>
              <w:bottom w:val="nil"/>
              <w:right w:val="single" w:sz="4" w:space="0" w:color="auto"/>
            </w:tcBorders>
          </w:tcPr>
          <w:p w14:paraId="0CB013D1"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33.0</w:t>
            </w:r>
          </w:p>
        </w:tc>
        <w:tc>
          <w:tcPr>
            <w:tcW w:w="636" w:type="dxa"/>
            <w:gridSpan w:val="2"/>
            <w:tcBorders>
              <w:top w:val="nil"/>
              <w:left w:val="single" w:sz="4" w:space="0" w:color="auto"/>
              <w:bottom w:val="nil"/>
              <w:right w:val="single" w:sz="4" w:space="0" w:color="auto"/>
            </w:tcBorders>
          </w:tcPr>
          <w:p w14:paraId="59F4EFC6"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36.7</w:t>
            </w:r>
          </w:p>
        </w:tc>
        <w:tc>
          <w:tcPr>
            <w:tcW w:w="451" w:type="dxa"/>
            <w:tcBorders>
              <w:top w:val="nil"/>
              <w:left w:val="single" w:sz="4" w:space="0" w:color="auto"/>
              <w:bottom w:val="nil"/>
              <w:right w:val="single" w:sz="4" w:space="0" w:color="auto"/>
            </w:tcBorders>
          </w:tcPr>
          <w:p w14:paraId="249F65A6"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44.1</w:t>
            </w:r>
          </w:p>
        </w:tc>
        <w:tc>
          <w:tcPr>
            <w:tcW w:w="542" w:type="dxa"/>
            <w:tcBorders>
              <w:top w:val="nil"/>
              <w:left w:val="single" w:sz="4" w:space="0" w:color="auto"/>
              <w:bottom w:val="nil"/>
              <w:right w:val="single" w:sz="4" w:space="0" w:color="auto"/>
            </w:tcBorders>
          </w:tcPr>
          <w:p w14:paraId="120B5CFC"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41.4</w:t>
            </w:r>
          </w:p>
        </w:tc>
        <w:tc>
          <w:tcPr>
            <w:tcW w:w="548" w:type="dxa"/>
            <w:tcBorders>
              <w:top w:val="nil"/>
              <w:left w:val="single" w:sz="4" w:space="0" w:color="auto"/>
              <w:bottom w:val="nil"/>
              <w:right w:val="single" w:sz="4" w:space="0" w:color="auto"/>
            </w:tcBorders>
          </w:tcPr>
          <w:p w14:paraId="58FAF48E"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36.4</w:t>
            </w:r>
          </w:p>
        </w:tc>
        <w:tc>
          <w:tcPr>
            <w:tcW w:w="720" w:type="dxa"/>
            <w:tcBorders>
              <w:top w:val="nil"/>
              <w:left w:val="single" w:sz="4" w:space="0" w:color="auto"/>
              <w:bottom w:val="nil"/>
              <w:right w:val="single" w:sz="4" w:space="0" w:color="auto"/>
            </w:tcBorders>
          </w:tcPr>
          <w:p w14:paraId="2E84D097"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37.1</w:t>
            </w:r>
          </w:p>
        </w:tc>
        <w:tc>
          <w:tcPr>
            <w:tcW w:w="720" w:type="dxa"/>
            <w:tcBorders>
              <w:top w:val="nil"/>
              <w:left w:val="single" w:sz="4" w:space="0" w:color="auto"/>
              <w:bottom w:val="nil"/>
              <w:right w:val="single" w:sz="4" w:space="0" w:color="auto"/>
            </w:tcBorders>
          </w:tcPr>
          <w:p w14:paraId="38430500"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35.9</w:t>
            </w:r>
          </w:p>
        </w:tc>
        <w:tc>
          <w:tcPr>
            <w:tcW w:w="898" w:type="dxa"/>
            <w:tcBorders>
              <w:top w:val="nil"/>
              <w:left w:val="single" w:sz="4" w:space="0" w:color="auto"/>
              <w:bottom w:val="nil"/>
              <w:right w:val="single" w:sz="4" w:space="0" w:color="auto"/>
            </w:tcBorders>
          </w:tcPr>
          <w:p w14:paraId="7E23AA29" w14:textId="77777777" w:rsidR="00176424" w:rsidRPr="00176424" w:rsidRDefault="00176424" w:rsidP="00176424">
            <w:pPr>
              <w:ind w:right="227"/>
              <w:jc w:val="right"/>
              <w:rPr>
                <w:rFonts w:eastAsia="Times New Roman"/>
                <w:sz w:val="10"/>
                <w:szCs w:val="10"/>
                <w:lang w:eastAsia="es-MX"/>
              </w:rPr>
            </w:pPr>
            <w:r w:rsidRPr="00176424">
              <w:rPr>
                <w:rFonts w:eastAsia="Times New Roman"/>
                <w:sz w:val="10"/>
                <w:szCs w:val="10"/>
                <w:lang w:eastAsia="es-MX"/>
              </w:rPr>
              <w:t>31.7</w:t>
            </w:r>
          </w:p>
        </w:tc>
        <w:tc>
          <w:tcPr>
            <w:tcW w:w="720" w:type="dxa"/>
            <w:tcBorders>
              <w:top w:val="nil"/>
              <w:left w:val="single" w:sz="4" w:space="0" w:color="auto"/>
              <w:bottom w:val="nil"/>
              <w:right w:val="single" w:sz="4" w:space="0" w:color="auto"/>
            </w:tcBorders>
          </w:tcPr>
          <w:p w14:paraId="3943ECF1"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37.3</w:t>
            </w:r>
          </w:p>
        </w:tc>
        <w:tc>
          <w:tcPr>
            <w:tcW w:w="540" w:type="dxa"/>
            <w:tcBorders>
              <w:top w:val="nil"/>
              <w:left w:val="single" w:sz="4" w:space="0" w:color="auto"/>
              <w:bottom w:val="nil"/>
              <w:right w:val="single" w:sz="4" w:space="0" w:color="auto"/>
            </w:tcBorders>
          </w:tcPr>
          <w:p w14:paraId="7DE5B1BD"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46.7</w:t>
            </w:r>
          </w:p>
        </w:tc>
      </w:tr>
      <w:tr w:rsidR="00176424" w:rsidRPr="00176424" w14:paraId="2CE1F62A" w14:textId="77777777" w:rsidTr="00DA1492">
        <w:tc>
          <w:tcPr>
            <w:tcW w:w="2792" w:type="dxa"/>
            <w:tcBorders>
              <w:top w:val="nil"/>
              <w:left w:val="single" w:sz="4" w:space="0" w:color="auto"/>
              <w:bottom w:val="nil"/>
              <w:right w:val="single" w:sz="4" w:space="0" w:color="auto"/>
            </w:tcBorders>
          </w:tcPr>
          <w:p w14:paraId="162E20CC" w14:textId="77777777" w:rsidR="00176424" w:rsidRPr="00176424" w:rsidRDefault="00176424" w:rsidP="00176424">
            <w:pPr>
              <w:ind w:left="397"/>
              <w:jc w:val="both"/>
              <w:rPr>
                <w:rFonts w:eastAsia="Times New Roman"/>
                <w:sz w:val="10"/>
                <w:szCs w:val="10"/>
              </w:rPr>
            </w:pPr>
            <w:r w:rsidRPr="00176424">
              <w:rPr>
                <w:rFonts w:eastAsia="Times New Roman"/>
                <w:sz w:val="10"/>
                <w:szCs w:val="10"/>
              </w:rPr>
              <w:t>Ventas y rentabilidad de su empresa</w:t>
            </w:r>
          </w:p>
        </w:tc>
        <w:tc>
          <w:tcPr>
            <w:tcW w:w="541" w:type="dxa"/>
            <w:tcBorders>
              <w:top w:val="nil"/>
              <w:left w:val="single" w:sz="4" w:space="0" w:color="auto"/>
              <w:bottom w:val="nil"/>
              <w:right w:val="single" w:sz="4" w:space="0" w:color="auto"/>
            </w:tcBorders>
          </w:tcPr>
          <w:p w14:paraId="02ACF82C"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40.2</w:t>
            </w:r>
          </w:p>
        </w:tc>
        <w:tc>
          <w:tcPr>
            <w:tcW w:w="636" w:type="dxa"/>
            <w:gridSpan w:val="2"/>
            <w:tcBorders>
              <w:top w:val="nil"/>
              <w:left w:val="single" w:sz="4" w:space="0" w:color="auto"/>
              <w:bottom w:val="nil"/>
              <w:right w:val="single" w:sz="4" w:space="0" w:color="auto"/>
            </w:tcBorders>
          </w:tcPr>
          <w:p w14:paraId="40B95D17"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38.1</w:t>
            </w:r>
          </w:p>
        </w:tc>
        <w:tc>
          <w:tcPr>
            <w:tcW w:w="451" w:type="dxa"/>
            <w:tcBorders>
              <w:top w:val="nil"/>
              <w:left w:val="single" w:sz="4" w:space="0" w:color="auto"/>
              <w:bottom w:val="nil"/>
              <w:right w:val="single" w:sz="4" w:space="0" w:color="auto"/>
            </w:tcBorders>
          </w:tcPr>
          <w:p w14:paraId="22352289"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46.6</w:t>
            </w:r>
          </w:p>
        </w:tc>
        <w:tc>
          <w:tcPr>
            <w:tcW w:w="542" w:type="dxa"/>
            <w:tcBorders>
              <w:top w:val="nil"/>
              <w:left w:val="single" w:sz="4" w:space="0" w:color="auto"/>
              <w:bottom w:val="nil"/>
              <w:right w:val="single" w:sz="4" w:space="0" w:color="auto"/>
            </w:tcBorders>
          </w:tcPr>
          <w:p w14:paraId="6B7AB0D1"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40.8</w:t>
            </w:r>
          </w:p>
        </w:tc>
        <w:tc>
          <w:tcPr>
            <w:tcW w:w="548" w:type="dxa"/>
            <w:tcBorders>
              <w:top w:val="nil"/>
              <w:left w:val="single" w:sz="4" w:space="0" w:color="auto"/>
              <w:bottom w:val="nil"/>
              <w:right w:val="single" w:sz="4" w:space="0" w:color="auto"/>
            </w:tcBorders>
          </w:tcPr>
          <w:p w14:paraId="5CDE33F7"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34.1</w:t>
            </w:r>
          </w:p>
        </w:tc>
        <w:tc>
          <w:tcPr>
            <w:tcW w:w="720" w:type="dxa"/>
            <w:tcBorders>
              <w:top w:val="nil"/>
              <w:left w:val="single" w:sz="4" w:space="0" w:color="auto"/>
              <w:bottom w:val="nil"/>
              <w:right w:val="single" w:sz="4" w:space="0" w:color="auto"/>
            </w:tcBorders>
          </w:tcPr>
          <w:p w14:paraId="537C7640"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41.9</w:t>
            </w:r>
          </w:p>
        </w:tc>
        <w:tc>
          <w:tcPr>
            <w:tcW w:w="720" w:type="dxa"/>
            <w:tcBorders>
              <w:top w:val="nil"/>
              <w:left w:val="single" w:sz="4" w:space="0" w:color="auto"/>
              <w:bottom w:val="nil"/>
              <w:right w:val="single" w:sz="4" w:space="0" w:color="auto"/>
            </w:tcBorders>
          </w:tcPr>
          <w:p w14:paraId="68D16830"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28.6</w:t>
            </w:r>
          </w:p>
        </w:tc>
        <w:tc>
          <w:tcPr>
            <w:tcW w:w="898" w:type="dxa"/>
            <w:tcBorders>
              <w:top w:val="nil"/>
              <w:left w:val="single" w:sz="4" w:space="0" w:color="auto"/>
              <w:bottom w:val="nil"/>
              <w:right w:val="single" w:sz="4" w:space="0" w:color="auto"/>
            </w:tcBorders>
          </w:tcPr>
          <w:p w14:paraId="4496EBB4" w14:textId="77777777" w:rsidR="00176424" w:rsidRPr="00176424" w:rsidRDefault="00176424" w:rsidP="00176424">
            <w:pPr>
              <w:ind w:right="227"/>
              <w:jc w:val="right"/>
              <w:rPr>
                <w:rFonts w:eastAsia="Times New Roman"/>
                <w:sz w:val="10"/>
                <w:szCs w:val="10"/>
                <w:lang w:eastAsia="es-MX"/>
              </w:rPr>
            </w:pPr>
            <w:r w:rsidRPr="00176424">
              <w:rPr>
                <w:rFonts w:eastAsia="Times New Roman"/>
                <w:sz w:val="10"/>
                <w:szCs w:val="10"/>
                <w:lang w:eastAsia="es-MX"/>
              </w:rPr>
              <w:t>36.5</w:t>
            </w:r>
          </w:p>
        </w:tc>
        <w:tc>
          <w:tcPr>
            <w:tcW w:w="720" w:type="dxa"/>
            <w:tcBorders>
              <w:top w:val="nil"/>
              <w:left w:val="single" w:sz="4" w:space="0" w:color="auto"/>
              <w:bottom w:val="nil"/>
              <w:right w:val="single" w:sz="4" w:space="0" w:color="auto"/>
            </w:tcBorders>
          </w:tcPr>
          <w:p w14:paraId="6CDD324D"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31.3</w:t>
            </w:r>
          </w:p>
        </w:tc>
        <w:tc>
          <w:tcPr>
            <w:tcW w:w="540" w:type="dxa"/>
            <w:tcBorders>
              <w:top w:val="nil"/>
              <w:left w:val="single" w:sz="4" w:space="0" w:color="auto"/>
              <w:bottom w:val="nil"/>
              <w:right w:val="single" w:sz="4" w:space="0" w:color="auto"/>
            </w:tcBorders>
          </w:tcPr>
          <w:p w14:paraId="7CDFB2F9"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47.0</w:t>
            </w:r>
          </w:p>
        </w:tc>
      </w:tr>
      <w:tr w:rsidR="00176424" w:rsidRPr="00176424" w14:paraId="6AD939FE" w14:textId="77777777" w:rsidTr="00DA1492">
        <w:tc>
          <w:tcPr>
            <w:tcW w:w="2792" w:type="dxa"/>
            <w:tcBorders>
              <w:top w:val="nil"/>
              <w:left w:val="single" w:sz="4" w:space="0" w:color="auto"/>
              <w:bottom w:val="nil"/>
              <w:right w:val="single" w:sz="4" w:space="0" w:color="auto"/>
            </w:tcBorders>
          </w:tcPr>
          <w:p w14:paraId="73AD7EE6" w14:textId="77777777" w:rsidR="00176424" w:rsidRPr="00176424" w:rsidRDefault="00176424" w:rsidP="00176424">
            <w:pPr>
              <w:ind w:left="397"/>
              <w:jc w:val="both"/>
              <w:rPr>
                <w:rFonts w:eastAsia="Times New Roman"/>
                <w:sz w:val="10"/>
                <w:szCs w:val="10"/>
              </w:rPr>
            </w:pPr>
            <w:r w:rsidRPr="00176424">
              <w:rPr>
                <w:rFonts w:eastAsia="Times New Roman"/>
                <w:sz w:val="10"/>
                <w:szCs w:val="10"/>
              </w:rPr>
              <w:t>Capitalización de su empresa</w:t>
            </w:r>
          </w:p>
        </w:tc>
        <w:tc>
          <w:tcPr>
            <w:tcW w:w="541" w:type="dxa"/>
            <w:tcBorders>
              <w:top w:val="nil"/>
              <w:left w:val="single" w:sz="4" w:space="0" w:color="auto"/>
              <w:bottom w:val="nil"/>
              <w:right w:val="single" w:sz="4" w:space="0" w:color="auto"/>
            </w:tcBorders>
          </w:tcPr>
          <w:p w14:paraId="61EA2EFF"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30.3</w:t>
            </w:r>
          </w:p>
        </w:tc>
        <w:tc>
          <w:tcPr>
            <w:tcW w:w="636" w:type="dxa"/>
            <w:gridSpan w:val="2"/>
            <w:tcBorders>
              <w:top w:val="nil"/>
              <w:left w:val="single" w:sz="4" w:space="0" w:color="auto"/>
              <w:bottom w:val="nil"/>
              <w:right w:val="single" w:sz="4" w:space="0" w:color="auto"/>
            </w:tcBorders>
          </w:tcPr>
          <w:p w14:paraId="7019C6C6"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34.2</w:t>
            </w:r>
          </w:p>
        </w:tc>
        <w:tc>
          <w:tcPr>
            <w:tcW w:w="451" w:type="dxa"/>
            <w:tcBorders>
              <w:top w:val="nil"/>
              <w:left w:val="single" w:sz="4" w:space="0" w:color="auto"/>
              <w:bottom w:val="nil"/>
              <w:right w:val="single" w:sz="4" w:space="0" w:color="auto"/>
            </w:tcBorders>
          </w:tcPr>
          <w:p w14:paraId="27EB877A"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37.9</w:t>
            </w:r>
          </w:p>
        </w:tc>
        <w:tc>
          <w:tcPr>
            <w:tcW w:w="542" w:type="dxa"/>
            <w:tcBorders>
              <w:top w:val="nil"/>
              <w:left w:val="single" w:sz="4" w:space="0" w:color="auto"/>
              <w:bottom w:val="nil"/>
              <w:right w:val="single" w:sz="4" w:space="0" w:color="auto"/>
            </w:tcBorders>
          </w:tcPr>
          <w:p w14:paraId="11B91C61"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34.8</w:t>
            </w:r>
          </w:p>
        </w:tc>
        <w:tc>
          <w:tcPr>
            <w:tcW w:w="548" w:type="dxa"/>
            <w:tcBorders>
              <w:top w:val="nil"/>
              <w:left w:val="single" w:sz="4" w:space="0" w:color="auto"/>
              <w:bottom w:val="nil"/>
              <w:right w:val="single" w:sz="4" w:space="0" w:color="auto"/>
            </w:tcBorders>
          </w:tcPr>
          <w:p w14:paraId="05826C8A"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30.0</w:t>
            </w:r>
          </w:p>
        </w:tc>
        <w:tc>
          <w:tcPr>
            <w:tcW w:w="720" w:type="dxa"/>
            <w:tcBorders>
              <w:top w:val="nil"/>
              <w:left w:val="single" w:sz="4" w:space="0" w:color="auto"/>
              <w:bottom w:val="nil"/>
              <w:right w:val="single" w:sz="4" w:space="0" w:color="auto"/>
            </w:tcBorders>
          </w:tcPr>
          <w:p w14:paraId="778A9F8E"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33.4</w:t>
            </w:r>
          </w:p>
        </w:tc>
        <w:tc>
          <w:tcPr>
            <w:tcW w:w="720" w:type="dxa"/>
            <w:tcBorders>
              <w:top w:val="nil"/>
              <w:left w:val="single" w:sz="4" w:space="0" w:color="auto"/>
              <w:bottom w:val="nil"/>
              <w:right w:val="single" w:sz="4" w:space="0" w:color="auto"/>
            </w:tcBorders>
          </w:tcPr>
          <w:p w14:paraId="1C17F7FC"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27.6</w:t>
            </w:r>
          </w:p>
        </w:tc>
        <w:tc>
          <w:tcPr>
            <w:tcW w:w="898" w:type="dxa"/>
            <w:tcBorders>
              <w:top w:val="nil"/>
              <w:left w:val="single" w:sz="4" w:space="0" w:color="auto"/>
              <w:bottom w:val="nil"/>
              <w:right w:val="single" w:sz="4" w:space="0" w:color="auto"/>
            </w:tcBorders>
          </w:tcPr>
          <w:p w14:paraId="5E913984" w14:textId="77777777" w:rsidR="00176424" w:rsidRPr="00176424" w:rsidRDefault="00176424" w:rsidP="00176424">
            <w:pPr>
              <w:ind w:right="227"/>
              <w:jc w:val="right"/>
              <w:rPr>
                <w:rFonts w:eastAsia="Times New Roman"/>
                <w:sz w:val="10"/>
                <w:szCs w:val="10"/>
                <w:lang w:eastAsia="es-MX"/>
              </w:rPr>
            </w:pPr>
            <w:r w:rsidRPr="00176424">
              <w:rPr>
                <w:rFonts w:eastAsia="Times New Roman"/>
                <w:sz w:val="10"/>
                <w:szCs w:val="10"/>
                <w:lang w:eastAsia="es-MX"/>
              </w:rPr>
              <w:t>27.8</w:t>
            </w:r>
          </w:p>
        </w:tc>
        <w:tc>
          <w:tcPr>
            <w:tcW w:w="720" w:type="dxa"/>
            <w:tcBorders>
              <w:top w:val="nil"/>
              <w:left w:val="single" w:sz="4" w:space="0" w:color="auto"/>
              <w:bottom w:val="nil"/>
              <w:right w:val="single" w:sz="4" w:space="0" w:color="auto"/>
            </w:tcBorders>
          </w:tcPr>
          <w:p w14:paraId="045854EC"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29.4</w:t>
            </w:r>
          </w:p>
        </w:tc>
        <w:tc>
          <w:tcPr>
            <w:tcW w:w="540" w:type="dxa"/>
            <w:tcBorders>
              <w:top w:val="nil"/>
              <w:left w:val="single" w:sz="4" w:space="0" w:color="auto"/>
              <w:bottom w:val="nil"/>
              <w:right w:val="single" w:sz="4" w:space="0" w:color="auto"/>
            </w:tcBorders>
          </w:tcPr>
          <w:p w14:paraId="4BBE9EA7"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42.8</w:t>
            </w:r>
          </w:p>
        </w:tc>
      </w:tr>
      <w:tr w:rsidR="00176424" w:rsidRPr="00176424" w14:paraId="5EB23427" w14:textId="77777777" w:rsidTr="00DA1492">
        <w:tc>
          <w:tcPr>
            <w:tcW w:w="2792" w:type="dxa"/>
            <w:tcBorders>
              <w:top w:val="nil"/>
              <w:left w:val="single" w:sz="4" w:space="0" w:color="auto"/>
              <w:bottom w:val="nil"/>
              <w:right w:val="single" w:sz="4" w:space="0" w:color="auto"/>
            </w:tcBorders>
          </w:tcPr>
          <w:p w14:paraId="2A92B07F" w14:textId="77777777" w:rsidR="00176424" w:rsidRPr="00176424" w:rsidRDefault="00176424" w:rsidP="00176424">
            <w:pPr>
              <w:ind w:left="397"/>
              <w:jc w:val="both"/>
              <w:rPr>
                <w:rFonts w:eastAsia="Times New Roman"/>
                <w:sz w:val="10"/>
                <w:szCs w:val="10"/>
              </w:rPr>
            </w:pPr>
            <w:r w:rsidRPr="00176424">
              <w:rPr>
                <w:rFonts w:eastAsia="Times New Roman"/>
                <w:sz w:val="10"/>
                <w:szCs w:val="10"/>
              </w:rPr>
              <w:t>Historia crediticia de su empresa</w:t>
            </w:r>
          </w:p>
        </w:tc>
        <w:tc>
          <w:tcPr>
            <w:tcW w:w="541" w:type="dxa"/>
            <w:tcBorders>
              <w:top w:val="nil"/>
              <w:left w:val="single" w:sz="4" w:space="0" w:color="auto"/>
              <w:bottom w:val="nil"/>
              <w:right w:val="single" w:sz="4" w:space="0" w:color="auto"/>
            </w:tcBorders>
          </w:tcPr>
          <w:p w14:paraId="5889CF47"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26.3</w:t>
            </w:r>
          </w:p>
        </w:tc>
        <w:tc>
          <w:tcPr>
            <w:tcW w:w="636" w:type="dxa"/>
            <w:gridSpan w:val="2"/>
            <w:tcBorders>
              <w:top w:val="nil"/>
              <w:left w:val="single" w:sz="4" w:space="0" w:color="auto"/>
              <w:bottom w:val="nil"/>
              <w:right w:val="single" w:sz="4" w:space="0" w:color="auto"/>
            </w:tcBorders>
          </w:tcPr>
          <w:p w14:paraId="39E1BA26"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27.6</w:t>
            </w:r>
          </w:p>
        </w:tc>
        <w:tc>
          <w:tcPr>
            <w:tcW w:w="451" w:type="dxa"/>
            <w:tcBorders>
              <w:top w:val="nil"/>
              <w:left w:val="single" w:sz="4" w:space="0" w:color="auto"/>
              <w:bottom w:val="nil"/>
              <w:right w:val="single" w:sz="4" w:space="0" w:color="auto"/>
            </w:tcBorders>
          </w:tcPr>
          <w:p w14:paraId="23AF181A"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31.0</w:t>
            </w:r>
          </w:p>
        </w:tc>
        <w:tc>
          <w:tcPr>
            <w:tcW w:w="542" w:type="dxa"/>
            <w:tcBorders>
              <w:top w:val="nil"/>
              <w:left w:val="single" w:sz="4" w:space="0" w:color="auto"/>
              <w:bottom w:val="nil"/>
              <w:right w:val="single" w:sz="4" w:space="0" w:color="auto"/>
            </w:tcBorders>
          </w:tcPr>
          <w:p w14:paraId="0F3C5E30"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26.8</w:t>
            </w:r>
          </w:p>
        </w:tc>
        <w:tc>
          <w:tcPr>
            <w:tcW w:w="548" w:type="dxa"/>
            <w:tcBorders>
              <w:top w:val="nil"/>
              <w:left w:val="single" w:sz="4" w:space="0" w:color="auto"/>
              <w:bottom w:val="nil"/>
              <w:right w:val="single" w:sz="4" w:space="0" w:color="auto"/>
            </w:tcBorders>
          </w:tcPr>
          <w:p w14:paraId="19F60885"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26.6</w:t>
            </w:r>
          </w:p>
        </w:tc>
        <w:tc>
          <w:tcPr>
            <w:tcW w:w="720" w:type="dxa"/>
            <w:tcBorders>
              <w:top w:val="nil"/>
              <w:left w:val="single" w:sz="4" w:space="0" w:color="auto"/>
              <w:bottom w:val="nil"/>
              <w:right w:val="single" w:sz="4" w:space="0" w:color="auto"/>
            </w:tcBorders>
          </w:tcPr>
          <w:p w14:paraId="0EB188D2"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32.3</w:t>
            </w:r>
          </w:p>
        </w:tc>
        <w:tc>
          <w:tcPr>
            <w:tcW w:w="720" w:type="dxa"/>
            <w:tcBorders>
              <w:top w:val="nil"/>
              <w:left w:val="single" w:sz="4" w:space="0" w:color="auto"/>
              <w:bottom w:val="nil"/>
              <w:right w:val="single" w:sz="4" w:space="0" w:color="auto"/>
            </w:tcBorders>
          </w:tcPr>
          <w:p w14:paraId="4BDAA419"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22.6</w:t>
            </w:r>
          </w:p>
        </w:tc>
        <w:tc>
          <w:tcPr>
            <w:tcW w:w="898" w:type="dxa"/>
            <w:tcBorders>
              <w:top w:val="nil"/>
              <w:left w:val="single" w:sz="4" w:space="0" w:color="auto"/>
              <w:bottom w:val="nil"/>
              <w:right w:val="single" w:sz="4" w:space="0" w:color="auto"/>
            </w:tcBorders>
          </w:tcPr>
          <w:p w14:paraId="1DD63BAF" w14:textId="77777777" w:rsidR="00176424" w:rsidRPr="00176424" w:rsidRDefault="00176424" w:rsidP="00176424">
            <w:pPr>
              <w:ind w:right="227"/>
              <w:jc w:val="right"/>
              <w:rPr>
                <w:rFonts w:eastAsia="Times New Roman"/>
                <w:sz w:val="10"/>
                <w:szCs w:val="10"/>
                <w:lang w:eastAsia="es-MX"/>
              </w:rPr>
            </w:pPr>
            <w:r w:rsidRPr="00176424">
              <w:rPr>
                <w:rFonts w:eastAsia="Times New Roman"/>
                <w:sz w:val="10"/>
                <w:szCs w:val="10"/>
                <w:lang w:eastAsia="es-MX"/>
              </w:rPr>
              <w:t>24.7</w:t>
            </w:r>
          </w:p>
        </w:tc>
        <w:tc>
          <w:tcPr>
            <w:tcW w:w="720" w:type="dxa"/>
            <w:tcBorders>
              <w:top w:val="nil"/>
              <w:left w:val="single" w:sz="4" w:space="0" w:color="auto"/>
              <w:bottom w:val="nil"/>
              <w:right w:val="single" w:sz="4" w:space="0" w:color="auto"/>
            </w:tcBorders>
          </w:tcPr>
          <w:p w14:paraId="3EBC71EE"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26.6</w:t>
            </w:r>
          </w:p>
        </w:tc>
        <w:tc>
          <w:tcPr>
            <w:tcW w:w="540" w:type="dxa"/>
            <w:tcBorders>
              <w:top w:val="nil"/>
              <w:left w:val="single" w:sz="4" w:space="0" w:color="auto"/>
              <w:bottom w:val="nil"/>
              <w:right w:val="single" w:sz="4" w:space="0" w:color="auto"/>
            </w:tcBorders>
          </w:tcPr>
          <w:p w14:paraId="5E6B8AA1"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33.8</w:t>
            </w:r>
          </w:p>
        </w:tc>
      </w:tr>
      <w:tr w:rsidR="00176424" w:rsidRPr="00176424" w14:paraId="5AF30C44" w14:textId="77777777" w:rsidTr="00DA1492">
        <w:tc>
          <w:tcPr>
            <w:tcW w:w="2792" w:type="dxa"/>
            <w:tcBorders>
              <w:top w:val="nil"/>
              <w:left w:val="single" w:sz="4" w:space="0" w:color="auto"/>
              <w:bottom w:val="nil"/>
              <w:right w:val="single" w:sz="4" w:space="0" w:color="auto"/>
            </w:tcBorders>
          </w:tcPr>
          <w:p w14:paraId="7587AB0F" w14:textId="77777777" w:rsidR="00176424" w:rsidRPr="00176424" w:rsidRDefault="00176424" w:rsidP="00176424">
            <w:pPr>
              <w:ind w:left="397"/>
              <w:jc w:val="both"/>
              <w:rPr>
                <w:rFonts w:eastAsia="Times New Roman"/>
                <w:sz w:val="10"/>
                <w:szCs w:val="10"/>
              </w:rPr>
            </w:pPr>
            <w:r w:rsidRPr="00176424">
              <w:rPr>
                <w:rFonts w:eastAsia="Times New Roman"/>
                <w:sz w:val="10"/>
                <w:szCs w:val="10"/>
              </w:rPr>
              <w:t>Disposición de los bancos a otorgar créditos</w:t>
            </w:r>
          </w:p>
        </w:tc>
        <w:tc>
          <w:tcPr>
            <w:tcW w:w="541" w:type="dxa"/>
            <w:tcBorders>
              <w:top w:val="nil"/>
              <w:left w:val="single" w:sz="4" w:space="0" w:color="auto"/>
              <w:bottom w:val="nil"/>
              <w:right w:val="single" w:sz="4" w:space="0" w:color="auto"/>
            </w:tcBorders>
          </w:tcPr>
          <w:p w14:paraId="70BA580E"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35.9</w:t>
            </w:r>
          </w:p>
        </w:tc>
        <w:tc>
          <w:tcPr>
            <w:tcW w:w="636" w:type="dxa"/>
            <w:gridSpan w:val="2"/>
            <w:tcBorders>
              <w:top w:val="nil"/>
              <w:left w:val="single" w:sz="4" w:space="0" w:color="auto"/>
              <w:bottom w:val="nil"/>
              <w:right w:val="single" w:sz="4" w:space="0" w:color="auto"/>
            </w:tcBorders>
          </w:tcPr>
          <w:p w14:paraId="37D109CC"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39.7</w:t>
            </w:r>
          </w:p>
        </w:tc>
        <w:tc>
          <w:tcPr>
            <w:tcW w:w="451" w:type="dxa"/>
            <w:tcBorders>
              <w:top w:val="nil"/>
              <w:left w:val="single" w:sz="4" w:space="0" w:color="auto"/>
              <w:bottom w:val="nil"/>
              <w:right w:val="single" w:sz="4" w:space="0" w:color="auto"/>
            </w:tcBorders>
          </w:tcPr>
          <w:p w14:paraId="6971A28F"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40.2</w:t>
            </w:r>
          </w:p>
        </w:tc>
        <w:tc>
          <w:tcPr>
            <w:tcW w:w="542" w:type="dxa"/>
            <w:tcBorders>
              <w:top w:val="nil"/>
              <w:left w:val="single" w:sz="4" w:space="0" w:color="auto"/>
              <w:bottom w:val="nil"/>
              <w:right w:val="single" w:sz="4" w:space="0" w:color="auto"/>
            </w:tcBorders>
          </w:tcPr>
          <w:p w14:paraId="477644C8"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37.6</w:t>
            </w:r>
          </w:p>
        </w:tc>
        <w:tc>
          <w:tcPr>
            <w:tcW w:w="548" w:type="dxa"/>
            <w:tcBorders>
              <w:top w:val="nil"/>
              <w:left w:val="single" w:sz="4" w:space="0" w:color="auto"/>
              <w:bottom w:val="nil"/>
              <w:right w:val="single" w:sz="4" w:space="0" w:color="auto"/>
            </w:tcBorders>
          </w:tcPr>
          <w:p w14:paraId="1F3977A9"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35.0</w:t>
            </w:r>
          </w:p>
        </w:tc>
        <w:tc>
          <w:tcPr>
            <w:tcW w:w="720" w:type="dxa"/>
            <w:tcBorders>
              <w:top w:val="nil"/>
              <w:left w:val="single" w:sz="4" w:space="0" w:color="auto"/>
              <w:bottom w:val="nil"/>
              <w:right w:val="single" w:sz="4" w:space="0" w:color="auto"/>
            </w:tcBorders>
          </w:tcPr>
          <w:p w14:paraId="7AB06169"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38.7</w:t>
            </w:r>
          </w:p>
        </w:tc>
        <w:tc>
          <w:tcPr>
            <w:tcW w:w="720" w:type="dxa"/>
            <w:tcBorders>
              <w:top w:val="nil"/>
              <w:left w:val="single" w:sz="4" w:space="0" w:color="auto"/>
              <w:bottom w:val="nil"/>
              <w:right w:val="single" w:sz="4" w:space="0" w:color="auto"/>
            </w:tcBorders>
          </w:tcPr>
          <w:p w14:paraId="5B96033C"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32.3</w:t>
            </w:r>
          </w:p>
        </w:tc>
        <w:tc>
          <w:tcPr>
            <w:tcW w:w="898" w:type="dxa"/>
            <w:tcBorders>
              <w:top w:val="nil"/>
              <w:left w:val="single" w:sz="4" w:space="0" w:color="auto"/>
              <w:bottom w:val="nil"/>
              <w:right w:val="single" w:sz="4" w:space="0" w:color="auto"/>
            </w:tcBorders>
          </w:tcPr>
          <w:p w14:paraId="25070C02" w14:textId="77777777" w:rsidR="00176424" w:rsidRPr="00176424" w:rsidRDefault="00176424" w:rsidP="00176424">
            <w:pPr>
              <w:ind w:right="227"/>
              <w:jc w:val="right"/>
              <w:rPr>
                <w:rFonts w:eastAsia="Times New Roman"/>
                <w:sz w:val="10"/>
                <w:szCs w:val="10"/>
                <w:lang w:eastAsia="es-MX"/>
              </w:rPr>
            </w:pPr>
            <w:r w:rsidRPr="00176424">
              <w:rPr>
                <w:rFonts w:eastAsia="Times New Roman"/>
                <w:sz w:val="10"/>
                <w:szCs w:val="10"/>
                <w:lang w:eastAsia="es-MX"/>
              </w:rPr>
              <w:t>33.3</w:t>
            </w:r>
          </w:p>
        </w:tc>
        <w:tc>
          <w:tcPr>
            <w:tcW w:w="720" w:type="dxa"/>
            <w:tcBorders>
              <w:top w:val="nil"/>
              <w:left w:val="single" w:sz="4" w:space="0" w:color="auto"/>
              <w:bottom w:val="nil"/>
              <w:right w:val="single" w:sz="4" w:space="0" w:color="auto"/>
            </w:tcBorders>
          </w:tcPr>
          <w:p w14:paraId="1A648232"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34.2</w:t>
            </w:r>
          </w:p>
        </w:tc>
        <w:tc>
          <w:tcPr>
            <w:tcW w:w="540" w:type="dxa"/>
            <w:tcBorders>
              <w:top w:val="nil"/>
              <w:left w:val="single" w:sz="4" w:space="0" w:color="auto"/>
              <w:bottom w:val="nil"/>
              <w:right w:val="single" w:sz="4" w:space="0" w:color="auto"/>
            </w:tcBorders>
          </w:tcPr>
          <w:p w14:paraId="1CE366FF"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47.1</w:t>
            </w:r>
          </w:p>
        </w:tc>
      </w:tr>
      <w:tr w:rsidR="00176424" w:rsidRPr="00176424" w14:paraId="618587FC" w14:textId="77777777" w:rsidTr="00DA1492">
        <w:tc>
          <w:tcPr>
            <w:tcW w:w="2792" w:type="dxa"/>
            <w:tcBorders>
              <w:top w:val="nil"/>
              <w:left w:val="single" w:sz="4" w:space="0" w:color="auto"/>
              <w:bottom w:val="nil"/>
              <w:right w:val="single" w:sz="4" w:space="0" w:color="auto"/>
            </w:tcBorders>
          </w:tcPr>
          <w:p w14:paraId="392A7F6B" w14:textId="77777777" w:rsidR="00176424" w:rsidRPr="00176424" w:rsidRDefault="00176424" w:rsidP="00176424">
            <w:pPr>
              <w:ind w:left="397"/>
              <w:jc w:val="both"/>
              <w:rPr>
                <w:rFonts w:eastAsia="Times New Roman"/>
                <w:sz w:val="10"/>
                <w:szCs w:val="10"/>
              </w:rPr>
            </w:pPr>
            <w:r w:rsidRPr="00176424">
              <w:rPr>
                <w:rFonts w:eastAsia="Times New Roman"/>
                <w:sz w:val="10"/>
                <w:szCs w:val="10"/>
              </w:rPr>
              <w:t>Dificultades para el pago del servicio de la deuda bancaria vigente</w:t>
            </w:r>
          </w:p>
        </w:tc>
        <w:tc>
          <w:tcPr>
            <w:tcW w:w="541" w:type="dxa"/>
            <w:tcBorders>
              <w:top w:val="nil"/>
              <w:left w:val="single" w:sz="4" w:space="0" w:color="auto"/>
              <w:bottom w:val="nil"/>
              <w:right w:val="single" w:sz="4" w:space="0" w:color="auto"/>
            </w:tcBorders>
          </w:tcPr>
          <w:p w14:paraId="2E67093C"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27.1</w:t>
            </w:r>
          </w:p>
        </w:tc>
        <w:tc>
          <w:tcPr>
            <w:tcW w:w="636" w:type="dxa"/>
            <w:gridSpan w:val="2"/>
            <w:tcBorders>
              <w:top w:val="nil"/>
              <w:left w:val="single" w:sz="4" w:space="0" w:color="auto"/>
              <w:bottom w:val="nil"/>
              <w:right w:val="single" w:sz="4" w:space="0" w:color="auto"/>
            </w:tcBorders>
          </w:tcPr>
          <w:p w14:paraId="41DA02B6"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26.2</w:t>
            </w:r>
          </w:p>
        </w:tc>
        <w:tc>
          <w:tcPr>
            <w:tcW w:w="451" w:type="dxa"/>
            <w:tcBorders>
              <w:top w:val="nil"/>
              <w:left w:val="single" w:sz="4" w:space="0" w:color="auto"/>
              <w:bottom w:val="nil"/>
              <w:right w:val="single" w:sz="4" w:space="0" w:color="auto"/>
            </w:tcBorders>
          </w:tcPr>
          <w:p w14:paraId="63A6D7A2"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35.5</w:t>
            </w:r>
          </w:p>
        </w:tc>
        <w:tc>
          <w:tcPr>
            <w:tcW w:w="542" w:type="dxa"/>
            <w:tcBorders>
              <w:top w:val="nil"/>
              <w:left w:val="single" w:sz="4" w:space="0" w:color="auto"/>
              <w:bottom w:val="nil"/>
              <w:right w:val="single" w:sz="4" w:space="0" w:color="auto"/>
            </w:tcBorders>
          </w:tcPr>
          <w:p w14:paraId="12AB41B0"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31.9</w:t>
            </w:r>
          </w:p>
        </w:tc>
        <w:tc>
          <w:tcPr>
            <w:tcW w:w="548" w:type="dxa"/>
            <w:tcBorders>
              <w:top w:val="nil"/>
              <w:left w:val="single" w:sz="4" w:space="0" w:color="auto"/>
              <w:bottom w:val="nil"/>
              <w:right w:val="single" w:sz="4" w:space="0" w:color="auto"/>
            </w:tcBorders>
          </w:tcPr>
          <w:p w14:paraId="4F03BCA0"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29.4</w:t>
            </w:r>
          </w:p>
        </w:tc>
        <w:tc>
          <w:tcPr>
            <w:tcW w:w="720" w:type="dxa"/>
            <w:tcBorders>
              <w:top w:val="nil"/>
              <w:left w:val="single" w:sz="4" w:space="0" w:color="auto"/>
              <w:bottom w:val="nil"/>
              <w:right w:val="single" w:sz="4" w:space="0" w:color="auto"/>
            </w:tcBorders>
          </w:tcPr>
          <w:p w14:paraId="5D682F19"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36.2</w:t>
            </w:r>
          </w:p>
        </w:tc>
        <w:tc>
          <w:tcPr>
            <w:tcW w:w="720" w:type="dxa"/>
            <w:tcBorders>
              <w:top w:val="nil"/>
              <w:left w:val="single" w:sz="4" w:space="0" w:color="auto"/>
              <w:bottom w:val="nil"/>
              <w:right w:val="single" w:sz="4" w:space="0" w:color="auto"/>
            </w:tcBorders>
          </w:tcPr>
          <w:p w14:paraId="00E3BE48"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24.6</w:t>
            </w:r>
          </w:p>
        </w:tc>
        <w:tc>
          <w:tcPr>
            <w:tcW w:w="898" w:type="dxa"/>
            <w:tcBorders>
              <w:top w:val="nil"/>
              <w:left w:val="single" w:sz="4" w:space="0" w:color="auto"/>
              <w:bottom w:val="nil"/>
              <w:right w:val="single" w:sz="4" w:space="0" w:color="auto"/>
            </w:tcBorders>
          </w:tcPr>
          <w:p w14:paraId="3C078EB9" w14:textId="77777777" w:rsidR="00176424" w:rsidRPr="00176424" w:rsidRDefault="00176424" w:rsidP="00176424">
            <w:pPr>
              <w:ind w:right="227"/>
              <w:jc w:val="right"/>
              <w:rPr>
                <w:rFonts w:eastAsia="Times New Roman"/>
                <w:sz w:val="10"/>
                <w:szCs w:val="10"/>
                <w:lang w:eastAsia="es-MX"/>
              </w:rPr>
            </w:pPr>
            <w:r w:rsidRPr="00176424">
              <w:rPr>
                <w:rFonts w:eastAsia="Times New Roman"/>
                <w:sz w:val="10"/>
                <w:szCs w:val="10"/>
                <w:lang w:eastAsia="es-MX"/>
              </w:rPr>
              <w:t>22.9</w:t>
            </w:r>
          </w:p>
        </w:tc>
        <w:tc>
          <w:tcPr>
            <w:tcW w:w="720" w:type="dxa"/>
            <w:tcBorders>
              <w:top w:val="nil"/>
              <w:left w:val="single" w:sz="4" w:space="0" w:color="auto"/>
              <w:bottom w:val="nil"/>
              <w:right w:val="single" w:sz="4" w:space="0" w:color="auto"/>
            </w:tcBorders>
          </w:tcPr>
          <w:p w14:paraId="08FB1C63"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31.3</w:t>
            </w:r>
          </w:p>
        </w:tc>
        <w:tc>
          <w:tcPr>
            <w:tcW w:w="540" w:type="dxa"/>
            <w:tcBorders>
              <w:top w:val="nil"/>
              <w:left w:val="single" w:sz="4" w:space="0" w:color="auto"/>
              <w:bottom w:val="nil"/>
              <w:right w:val="single" w:sz="4" w:space="0" w:color="auto"/>
            </w:tcBorders>
          </w:tcPr>
          <w:p w14:paraId="247CC45A"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38.8</w:t>
            </w:r>
          </w:p>
        </w:tc>
      </w:tr>
      <w:tr w:rsidR="00176424" w:rsidRPr="00176424" w14:paraId="548D81A2" w14:textId="77777777" w:rsidTr="00DA1492">
        <w:tc>
          <w:tcPr>
            <w:tcW w:w="2792" w:type="dxa"/>
            <w:tcBorders>
              <w:top w:val="nil"/>
              <w:left w:val="single" w:sz="4" w:space="0" w:color="auto"/>
              <w:bottom w:val="nil"/>
              <w:right w:val="single" w:sz="4" w:space="0" w:color="auto"/>
            </w:tcBorders>
          </w:tcPr>
          <w:p w14:paraId="5ABEBFD6" w14:textId="77777777" w:rsidR="00176424" w:rsidRPr="00176424" w:rsidRDefault="00176424" w:rsidP="00176424">
            <w:pPr>
              <w:ind w:left="397"/>
              <w:jc w:val="both"/>
              <w:rPr>
                <w:rFonts w:eastAsia="Times New Roman"/>
                <w:sz w:val="10"/>
                <w:szCs w:val="10"/>
              </w:rPr>
            </w:pPr>
            <w:r w:rsidRPr="00176424">
              <w:rPr>
                <w:rFonts w:eastAsia="Times New Roman"/>
                <w:sz w:val="10"/>
                <w:szCs w:val="10"/>
              </w:rPr>
              <w:t>Tasas de interés del mercado de crédito bancario</w:t>
            </w:r>
          </w:p>
        </w:tc>
        <w:tc>
          <w:tcPr>
            <w:tcW w:w="541" w:type="dxa"/>
            <w:tcBorders>
              <w:top w:val="nil"/>
              <w:left w:val="single" w:sz="4" w:space="0" w:color="auto"/>
              <w:bottom w:val="nil"/>
              <w:right w:val="single" w:sz="4" w:space="0" w:color="auto"/>
            </w:tcBorders>
          </w:tcPr>
          <w:p w14:paraId="62D26728"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40.6</w:t>
            </w:r>
          </w:p>
        </w:tc>
        <w:tc>
          <w:tcPr>
            <w:tcW w:w="636" w:type="dxa"/>
            <w:gridSpan w:val="2"/>
            <w:tcBorders>
              <w:top w:val="nil"/>
              <w:left w:val="single" w:sz="4" w:space="0" w:color="auto"/>
              <w:bottom w:val="nil"/>
              <w:right w:val="single" w:sz="4" w:space="0" w:color="auto"/>
            </w:tcBorders>
          </w:tcPr>
          <w:p w14:paraId="3CCC5162"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45.2</w:t>
            </w:r>
          </w:p>
        </w:tc>
        <w:tc>
          <w:tcPr>
            <w:tcW w:w="451" w:type="dxa"/>
            <w:tcBorders>
              <w:top w:val="nil"/>
              <w:left w:val="single" w:sz="4" w:space="0" w:color="auto"/>
              <w:bottom w:val="nil"/>
              <w:right w:val="single" w:sz="4" w:space="0" w:color="auto"/>
            </w:tcBorders>
          </w:tcPr>
          <w:p w14:paraId="055AED01"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45.7</w:t>
            </w:r>
          </w:p>
        </w:tc>
        <w:tc>
          <w:tcPr>
            <w:tcW w:w="542" w:type="dxa"/>
            <w:tcBorders>
              <w:top w:val="nil"/>
              <w:left w:val="single" w:sz="4" w:space="0" w:color="auto"/>
              <w:bottom w:val="nil"/>
              <w:right w:val="single" w:sz="4" w:space="0" w:color="auto"/>
            </w:tcBorders>
          </w:tcPr>
          <w:p w14:paraId="0C42EF05"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46.9</w:t>
            </w:r>
          </w:p>
        </w:tc>
        <w:tc>
          <w:tcPr>
            <w:tcW w:w="548" w:type="dxa"/>
            <w:tcBorders>
              <w:top w:val="nil"/>
              <w:left w:val="single" w:sz="4" w:space="0" w:color="auto"/>
              <w:bottom w:val="nil"/>
              <w:right w:val="single" w:sz="4" w:space="0" w:color="auto"/>
            </w:tcBorders>
          </w:tcPr>
          <w:p w14:paraId="7ED85A5F"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42.1</w:t>
            </w:r>
          </w:p>
        </w:tc>
        <w:tc>
          <w:tcPr>
            <w:tcW w:w="720" w:type="dxa"/>
            <w:tcBorders>
              <w:top w:val="nil"/>
              <w:left w:val="single" w:sz="4" w:space="0" w:color="auto"/>
              <w:bottom w:val="nil"/>
              <w:right w:val="single" w:sz="4" w:space="0" w:color="auto"/>
            </w:tcBorders>
          </w:tcPr>
          <w:p w14:paraId="4D0FDA42"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48.9</w:t>
            </w:r>
          </w:p>
        </w:tc>
        <w:tc>
          <w:tcPr>
            <w:tcW w:w="720" w:type="dxa"/>
            <w:tcBorders>
              <w:top w:val="nil"/>
              <w:left w:val="single" w:sz="4" w:space="0" w:color="auto"/>
              <w:bottom w:val="nil"/>
              <w:right w:val="single" w:sz="4" w:space="0" w:color="auto"/>
            </w:tcBorders>
          </w:tcPr>
          <w:p w14:paraId="7434F79B"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37.2</w:t>
            </w:r>
          </w:p>
        </w:tc>
        <w:tc>
          <w:tcPr>
            <w:tcW w:w="898" w:type="dxa"/>
            <w:tcBorders>
              <w:top w:val="nil"/>
              <w:left w:val="single" w:sz="4" w:space="0" w:color="auto"/>
              <w:bottom w:val="nil"/>
              <w:right w:val="single" w:sz="4" w:space="0" w:color="auto"/>
            </w:tcBorders>
          </w:tcPr>
          <w:p w14:paraId="2F0BE926" w14:textId="77777777" w:rsidR="00176424" w:rsidRPr="00176424" w:rsidRDefault="00176424" w:rsidP="00176424">
            <w:pPr>
              <w:ind w:right="227"/>
              <w:jc w:val="right"/>
              <w:rPr>
                <w:rFonts w:eastAsia="Times New Roman"/>
                <w:sz w:val="10"/>
                <w:szCs w:val="10"/>
                <w:lang w:eastAsia="es-MX"/>
              </w:rPr>
            </w:pPr>
            <w:r w:rsidRPr="00176424">
              <w:rPr>
                <w:rFonts w:eastAsia="Times New Roman"/>
                <w:sz w:val="10"/>
                <w:szCs w:val="10"/>
                <w:lang w:eastAsia="es-MX"/>
              </w:rPr>
              <w:t>42.0</w:t>
            </w:r>
          </w:p>
        </w:tc>
        <w:tc>
          <w:tcPr>
            <w:tcW w:w="720" w:type="dxa"/>
            <w:tcBorders>
              <w:top w:val="nil"/>
              <w:left w:val="single" w:sz="4" w:space="0" w:color="auto"/>
              <w:bottom w:val="nil"/>
              <w:right w:val="single" w:sz="4" w:space="0" w:color="auto"/>
            </w:tcBorders>
          </w:tcPr>
          <w:p w14:paraId="76FC29BF"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40.9</w:t>
            </w:r>
          </w:p>
        </w:tc>
        <w:tc>
          <w:tcPr>
            <w:tcW w:w="540" w:type="dxa"/>
            <w:tcBorders>
              <w:top w:val="nil"/>
              <w:left w:val="single" w:sz="4" w:space="0" w:color="auto"/>
              <w:bottom w:val="nil"/>
              <w:right w:val="single" w:sz="4" w:space="0" w:color="auto"/>
            </w:tcBorders>
          </w:tcPr>
          <w:p w14:paraId="42DA8783"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51.0</w:t>
            </w:r>
          </w:p>
        </w:tc>
      </w:tr>
      <w:tr w:rsidR="00176424" w:rsidRPr="00176424" w14:paraId="14C7820D" w14:textId="77777777" w:rsidTr="00DA1492">
        <w:tc>
          <w:tcPr>
            <w:tcW w:w="2792" w:type="dxa"/>
            <w:tcBorders>
              <w:top w:val="nil"/>
              <w:left w:val="single" w:sz="4" w:space="0" w:color="auto"/>
              <w:bottom w:val="nil"/>
              <w:right w:val="single" w:sz="4" w:space="0" w:color="auto"/>
            </w:tcBorders>
          </w:tcPr>
          <w:p w14:paraId="53B303E9" w14:textId="77777777" w:rsidR="00176424" w:rsidRPr="00176424" w:rsidRDefault="00176424" w:rsidP="00176424">
            <w:pPr>
              <w:ind w:left="397"/>
              <w:jc w:val="both"/>
              <w:rPr>
                <w:rFonts w:eastAsia="Times New Roman"/>
                <w:sz w:val="10"/>
                <w:szCs w:val="10"/>
              </w:rPr>
            </w:pPr>
            <w:r w:rsidRPr="00176424">
              <w:rPr>
                <w:rFonts w:eastAsia="Times New Roman"/>
                <w:sz w:val="10"/>
                <w:szCs w:val="10"/>
              </w:rPr>
              <w:t>Condiciones de acceso al crédito bancario</w:t>
            </w:r>
          </w:p>
        </w:tc>
        <w:tc>
          <w:tcPr>
            <w:tcW w:w="541" w:type="dxa"/>
            <w:tcBorders>
              <w:top w:val="nil"/>
              <w:left w:val="single" w:sz="4" w:space="0" w:color="auto"/>
              <w:bottom w:val="nil"/>
              <w:right w:val="single" w:sz="4" w:space="0" w:color="auto"/>
            </w:tcBorders>
          </w:tcPr>
          <w:p w14:paraId="15A9D63E"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38.0</w:t>
            </w:r>
          </w:p>
        </w:tc>
        <w:tc>
          <w:tcPr>
            <w:tcW w:w="636" w:type="dxa"/>
            <w:gridSpan w:val="2"/>
            <w:tcBorders>
              <w:top w:val="nil"/>
              <w:left w:val="single" w:sz="4" w:space="0" w:color="auto"/>
              <w:bottom w:val="nil"/>
              <w:right w:val="single" w:sz="4" w:space="0" w:color="auto"/>
            </w:tcBorders>
          </w:tcPr>
          <w:p w14:paraId="2F8CBEC6"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43.4</w:t>
            </w:r>
          </w:p>
        </w:tc>
        <w:tc>
          <w:tcPr>
            <w:tcW w:w="451" w:type="dxa"/>
            <w:tcBorders>
              <w:top w:val="nil"/>
              <w:left w:val="single" w:sz="4" w:space="0" w:color="auto"/>
              <w:bottom w:val="nil"/>
              <w:right w:val="single" w:sz="4" w:space="0" w:color="auto"/>
            </w:tcBorders>
          </w:tcPr>
          <w:p w14:paraId="457F78E3"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45.5</w:t>
            </w:r>
          </w:p>
        </w:tc>
        <w:tc>
          <w:tcPr>
            <w:tcW w:w="542" w:type="dxa"/>
            <w:tcBorders>
              <w:top w:val="nil"/>
              <w:left w:val="single" w:sz="4" w:space="0" w:color="auto"/>
              <w:bottom w:val="nil"/>
              <w:right w:val="single" w:sz="4" w:space="0" w:color="auto"/>
            </w:tcBorders>
          </w:tcPr>
          <w:p w14:paraId="464D76D4"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42.0</w:t>
            </w:r>
          </w:p>
        </w:tc>
        <w:tc>
          <w:tcPr>
            <w:tcW w:w="548" w:type="dxa"/>
            <w:tcBorders>
              <w:top w:val="nil"/>
              <w:left w:val="single" w:sz="4" w:space="0" w:color="auto"/>
              <w:bottom w:val="nil"/>
              <w:right w:val="single" w:sz="4" w:space="0" w:color="auto"/>
            </w:tcBorders>
          </w:tcPr>
          <w:p w14:paraId="24D47F1B"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39.8</w:t>
            </w:r>
          </w:p>
        </w:tc>
        <w:tc>
          <w:tcPr>
            <w:tcW w:w="720" w:type="dxa"/>
            <w:tcBorders>
              <w:top w:val="nil"/>
              <w:left w:val="single" w:sz="4" w:space="0" w:color="auto"/>
              <w:bottom w:val="nil"/>
              <w:right w:val="single" w:sz="4" w:space="0" w:color="auto"/>
            </w:tcBorders>
          </w:tcPr>
          <w:p w14:paraId="071CEB5B"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43.4</w:t>
            </w:r>
          </w:p>
        </w:tc>
        <w:tc>
          <w:tcPr>
            <w:tcW w:w="720" w:type="dxa"/>
            <w:tcBorders>
              <w:top w:val="nil"/>
              <w:left w:val="single" w:sz="4" w:space="0" w:color="auto"/>
              <w:bottom w:val="nil"/>
              <w:right w:val="single" w:sz="4" w:space="0" w:color="auto"/>
            </w:tcBorders>
          </w:tcPr>
          <w:p w14:paraId="7B7DAC8A"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37.3</w:t>
            </w:r>
          </w:p>
        </w:tc>
        <w:tc>
          <w:tcPr>
            <w:tcW w:w="898" w:type="dxa"/>
            <w:tcBorders>
              <w:top w:val="nil"/>
              <w:left w:val="single" w:sz="4" w:space="0" w:color="auto"/>
              <w:bottom w:val="nil"/>
              <w:right w:val="single" w:sz="4" w:space="0" w:color="auto"/>
            </w:tcBorders>
          </w:tcPr>
          <w:p w14:paraId="1F5129F6" w14:textId="77777777" w:rsidR="00176424" w:rsidRPr="00176424" w:rsidRDefault="00176424" w:rsidP="00176424">
            <w:pPr>
              <w:ind w:right="227"/>
              <w:jc w:val="right"/>
              <w:rPr>
                <w:rFonts w:eastAsia="Times New Roman"/>
                <w:sz w:val="10"/>
                <w:szCs w:val="10"/>
                <w:lang w:eastAsia="es-MX"/>
              </w:rPr>
            </w:pPr>
            <w:r w:rsidRPr="00176424">
              <w:rPr>
                <w:rFonts w:eastAsia="Times New Roman"/>
                <w:sz w:val="10"/>
                <w:szCs w:val="10"/>
                <w:lang w:eastAsia="es-MX"/>
              </w:rPr>
              <w:t>39.0</w:t>
            </w:r>
          </w:p>
        </w:tc>
        <w:tc>
          <w:tcPr>
            <w:tcW w:w="720" w:type="dxa"/>
            <w:tcBorders>
              <w:top w:val="nil"/>
              <w:left w:val="single" w:sz="4" w:space="0" w:color="auto"/>
              <w:bottom w:val="nil"/>
              <w:right w:val="single" w:sz="4" w:space="0" w:color="auto"/>
            </w:tcBorders>
          </w:tcPr>
          <w:p w14:paraId="07C397B7"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39.0</w:t>
            </w:r>
          </w:p>
        </w:tc>
        <w:tc>
          <w:tcPr>
            <w:tcW w:w="540" w:type="dxa"/>
            <w:tcBorders>
              <w:top w:val="nil"/>
              <w:left w:val="single" w:sz="4" w:space="0" w:color="auto"/>
              <w:bottom w:val="nil"/>
              <w:right w:val="single" w:sz="4" w:space="0" w:color="auto"/>
            </w:tcBorders>
          </w:tcPr>
          <w:p w14:paraId="759FF6AF"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49.4</w:t>
            </w:r>
          </w:p>
        </w:tc>
      </w:tr>
      <w:tr w:rsidR="00176424" w:rsidRPr="00176424" w14:paraId="2BA0603A" w14:textId="77777777" w:rsidTr="00DA1492">
        <w:tc>
          <w:tcPr>
            <w:tcW w:w="2792" w:type="dxa"/>
            <w:tcBorders>
              <w:top w:val="nil"/>
              <w:left w:val="single" w:sz="4" w:space="0" w:color="auto"/>
              <w:bottom w:val="single" w:sz="4" w:space="0" w:color="auto"/>
              <w:right w:val="single" w:sz="4" w:space="0" w:color="auto"/>
            </w:tcBorders>
          </w:tcPr>
          <w:p w14:paraId="44D4E48B" w14:textId="77777777" w:rsidR="00176424" w:rsidRPr="00176424" w:rsidRDefault="00176424" w:rsidP="00176424">
            <w:pPr>
              <w:ind w:left="397"/>
              <w:jc w:val="both"/>
              <w:rPr>
                <w:rFonts w:eastAsia="Times New Roman"/>
                <w:sz w:val="10"/>
                <w:szCs w:val="10"/>
              </w:rPr>
            </w:pPr>
            <w:r w:rsidRPr="00176424">
              <w:rPr>
                <w:rFonts w:eastAsia="Times New Roman"/>
                <w:sz w:val="10"/>
                <w:szCs w:val="10"/>
              </w:rPr>
              <w:t>Montos exigidos como colateral para acceder al financiamiento bancario</w:t>
            </w:r>
          </w:p>
        </w:tc>
        <w:tc>
          <w:tcPr>
            <w:tcW w:w="541" w:type="dxa"/>
            <w:tcBorders>
              <w:top w:val="nil"/>
              <w:left w:val="single" w:sz="4" w:space="0" w:color="auto"/>
              <w:bottom w:val="single" w:sz="4" w:space="0" w:color="auto"/>
              <w:right w:val="single" w:sz="4" w:space="0" w:color="auto"/>
            </w:tcBorders>
          </w:tcPr>
          <w:p w14:paraId="36508EB3"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37.0</w:t>
            </w:r>
          </w:p>
        </w:tc>
        <w:tc>
          <w:tcPr>
            <w:tcW w:w="636" w:type="dxa"/>
            <w:gridSpan w:val="2"/>
            <w:tcBorders>
              <w:top w:val="nil"/>
              <w:left w:val="single" w:sz="4" w:space="0" w:color="auto"/>
              <w:bottom w:val="single" w:sz="4" w:space="0" w:color="auto"/>
              <w:right w:val="single" w:sz="4" w:space="0" w:color="auto"/>
            </w:tcBorders>
          </w:tcPr>
          <w:p w14:paraId="4B7F3993"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39.9</w:t>
            </w:r>
          </w:p>
        </w:tc>
        <w:tc>
          <w:tcPr>
            <w:tcW w:w="451" w:type="dxa"/>
            <w:tcBorders>
              <w:top w:val="nil"/>
              <w:left w:val="single" w:sz="4" w:space="0" w:color="auto"/>
              <w:bottom w:val="single" w:sz="4" w:space="0" w:color="auto"/>
              <w:right w:val="single" w:sz="4" w:space="0" w:color="auto"/>
            </w:tcBorders>
          </w:tcPr>
          <w:p w14:paraId="6AD0A05B"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46.7</w:t>
            </w:r>
          </w:p>
        </w:tc>
        <w:tc>
          <w:tcPr>
            <w:tcW w:w="542" w:type="dxa"/>
            <w:tcBorders>
              <w:top w:val="nil"/>
              <w:left w:val="single" w:sz="4" w:space="0" w:color="auto"/>
              <w:bottom w:val="single" w:sz="4" w:space="0" w:color="auto"/>
              <w:right w:val="single" w:sz="4" w:space="0" w:color="auto"/>
            </w:tcBorders>
          </w:tcPr>
          <w:p w14:paraId="60A4A8BC"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41.1</w:t>
            </w:r>
          </w:p>
        </w:tc>
        <w:tc>
          <w:tcPr>
            <w:tcW w:w="548" w:type="dxa"/>
            <w:tcBorders>
              <w:top w:val="nil"/>
              <w:left w:val="single" w:sz="4" w:space="0" w:color="auto"/>
              <w:bottom w:val="single" w:sz="4" w:space="0" w:color="auto"/>
              <w:right w:val="single" w:sz="4" w:space="0" w:color="auto"/>
            </w:tcBorders>
          </w:tcPr>
          <w:p w14:paraId="27EA20DF"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39.8</w:t>
            </w:r>
          </w:p>
        </w:tc>
        <w:tc>
          <w:tcPr>
            <w:tcW w:w="720" w:type="dxa"/>
            <w:tcBorders>
              <w:top w:val="nil"/>
              <w:left w:val="single" w:sz="4" w:space="0" w:color="auto"/>
              <w:bottom w:val="single" w:sz="4" w:space="0" w:color="auto"/>
              <w:right w:val="single" w:sz="4" w:space="0" w:color="auto"/>
            </w:tcBorders>
          </w:tcPr>
          <w:p w14:paraId="5BFBC60E"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45.0</w:t>
            </w:r>
          </w:p>
        </w:tc>
        <w:tc>
          <w:tcPr>
            <w:tcW w:w="720" w:type="dxa"/>
            <w:tcBorders>
              <w:top w:val="nil"/>
              <w:left w:val="single" w:sz="4" w:space="0" w:color="auto"/>
              <w:bottom w:val="single" w:sz="4" w:space="0" w:color="auto"/>
              <w:right w:val="single" w:sz="4" w:space="0" w:color="auto"/>
            </w:tcBorders>
          </w:tcPr>
          <w:p w14:paraId="64E9E605"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36.1</w:t>
            </w:r>
          </w:p>
        </w:tc>
        <w:tc>
          <w:tcPr>
            <w:tcW w:w="898" w:type="dxa"/>
            <w:tcBorders>
              <w:top w:val="nil"/>
              <w:left w:val="single" w:sz="4" w:space="0" w:color="auto"/>
              <w:bottom w:val="single" w:sz="4" w:space="0" w:color="auto"/>
              <w:right w:val="single" w:sz="4" w:space="0" w:color="auto"/>
            </w:tcBorders>
          </w:tcPr>
          <w:p w14:paraId="7C2A2CF9" w14:textId="77777777" w:rsidR="00176424" w:rsidRPr="00176424" w:rsidRDefault="00176424" w:rsidP="00176424">
            <w:pPr>
              <w:ind w:right="227"/>
              <w:jc w:val="right"/>
              <w:rPr>
                <w:rFonts w:eastAsia="Times New Roman"/>
                <w:sz w:val="10"/>
                <w:szCs w:val="10"/>
                <w:lang w:eastAsia="es-MX"/>
              </w:rPr>
            </w:pPr>
            <w:r w:rsidRPr="00176424">
              <w:rPr>
                <w:rFonts w:eastAsia="Times New Roman"/>
                <w:sz w:val="10"/>
                <w:szCs w:val="10"/>
                <w:lang w:eastAsia="es-MX"/>
              </w:rPr>
              <w:t>37.0</w:t>
            </w:r>
          </w:p>
        </w:tc>
        <w:tc>
          <w:tcPr>
            <w:tcW w:w="720" w:type="dxa"/>
            <w:tcBorders>
              <w:top w:val="nil"/>
              <w:left w:val="single" w:sz="4" w:space="0" w:color="auto"/>
              <w:bottom w:val="single" w:sz="4" w:space="0" w:color="auto"/>
              <w:right w:val="single" w:sz="4" w:space="0" w:color="auto"/>
            </w:tcBorders>
          </w:tcPr>
          <w:p w14:paraId="790C4085"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40.0</w:t>
            </w:r>
          </w:p>
        </w:tc>
        <w:tc>
          <w:tcPr>
            <w:tcW w:w="540" w:type="dxa"/>
            <w:tcBorders>
              <w:top w:val="nil"/>
              <w:left w:val="single" w:sz="4" w:space="0" w:color="auto"/>
              <w:bottom w:val="single" w:sz="4" w:space="0" w:color="auto"/>
              <w:right w:val="single" w:sz="4" w:space="0" w:color="auto"/>
            </w:tcBorders>
          </w:tcPr>
          <w:p w14:paraId="66141617"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48.1</w:t>
            </w:r>
          </w:p>
        </w:tc>
      </w:tr>
      <w:tr w:rsidR="00176424" w:rsidRPr="00176424" w14:paraId="09966F5D" w14:textId="77777777" w:rsidTr="00DA1492">
        <w:tc>
          <w:tcPr>
            <w:tcW w:w="2792" w:type="dxa"/>
            <w:tcBorders>
              <w:top w:val="single" w:sz="4" w:space="0" w:color="auto"/>
              <w:left w:val="single" w:sz="4" w:space="0" w:color="auto"/>
              <w:bottom w:val="nil"/>
              <w:right w:val="single" w:sz="4" w:space="0" w:color="auto"/>
            </w:tcBorders>
          </w:tcPr>
          <w:p w14:paraId="42984BD0" w14:textId="77777777" w:rsidR="00176424" w:rsidRPr="00176424" w:rsidRDefault="00176424" w:rsidP="00176424">
            <w:pPr>
              <w:jc w:val="both"/>
              <w:rPr>
                <w:rFonts w:eastAsia="Times New Roman"/>
                <w:b/>
                <w:sz w:val="10"/>
                <w:szCs w:val="10"/>
              </w:rPr>
            </w:pPr>
            <w:r w:rsidRPr="00176424">
              <w:rPr>
                <w:rFonts w:eastAsia="Times New Roman"/>
                <w:b/>
                <w:sz w:val="10"/>
                <w:szCs w:val="10"/>
              </w:rPr>
              <w:t>Total de empresas:</w:t>
            </w:r>
          </w:p>
        </w:tc>
        <w:tc>
          <w:tcPr>
            <w:tcW w:w="541" w:type="dxa"/>
            <w:tcBorders>
              <w:top w:val="single" w:sz="4" w:space="0" w:color="auto"/>
              <w:left w:val="single" w:sz="4" w:space="0" w:color="auto"/>
              <w:bottom w:val="nil"/>
              <w:right w:val="single" w:sz="4" w:space="0" w:color="auto"/>
            </w:tcBorders>
          </w:tcPr>
          <w:p w14:paraId="67A153FC" w14:textId="77777777" w:rsidR="00176424" w:rsidRPr="00176424" w:rsidRDefault="00176424" w:rsidP="00176424">
            <w:pPr>
              <w:ind w:right="57"/>
              <w:jc w:val="right"/>
              <w:rPr>
                <w:rFonts w:eastAsia="Times New Roman"/>
                <w:sz w:val="10"/>
                <w:szCs w:val="10"/>
              </w:rPr>
            </w:pPr>
          </w:p>
        </w:tc>
        <w:tc>
          <w:tcPr>
            <w:tcW w:w="636" w:type="dxa"/>
            <w:gridSpan w:val="2"/>
            <w:tcBorders>
              <w:top w:val="single" w:sz="4" w:space="0" w:color="auto"/>
              <w:left w:val="single" w:sz="4" w:space="0" w:color="auto"/>
              <w:bottom w:val="nil"/>
              <w:right w:val="single" w:sz="4" w:space="0" w:color="auto"/>
            </w:tcBorders>
          </w:tcPr>
          <w:p w14:paraId="331FDA31" w14:textId="77777777" w:rsidR="00176424" w:rsidRPr="00176424" w:rsidRDefault="00176424" w:rsidP="00176424">
            <w:pPr>
              <w:ind w:right="57"/>
              <w:jc w:val="right"/>
              <w:rPr>
                <w:rFonts w:eastAsia="Times New Roman"/>
                <w:sz w:val="10"/>
                <w:szCs w:val="10"/>
              </w:rPr>
            </w:pPr>
          </w:p>
        </w:tc>
        <w:tc>
          <w:tcPr>
            <w:tcW w:w="451" w:type="dxa"/>
            <w:tcBorders>
              <w:top w:val="single" w:sz="4" w:space="0" w:color="auto"/>
              <w:left w:val="single" w:sz="4" w:space="0" w:color="auto"/>
              <w:bottom w:val="nil"/>
              <w:right w:val="single" w:sz="4" w:space="0" w:color="auto"/>
            </w:tcBorders>
          </w:tcPr>
          <w:p w14:paraId="68025600" w14:textId="77777777" w:rsidR="00176424" w:rsidRPr="00176424" w:rsidRDefault="00176424" w:rsidP="00176424">
            <w:pPr>
              <w:ind w:right="57"/>
              <w:jc w:val="right"/>
              <w:rPr>
                <w:rFonts w:eastAsia="Times New Roman"/>
                <w:sz w:val="10"/>
                <w:szCs w:val="10"/>
              </w:rPr>
            </w:pPr>
          </w:p>
        </w:tc>
        <w:tc>
          <w:tcPr>
            <w:tcW w:w="542" w:type="dxa"/>
            <w:tcBorders>
              <w:top w:val="single" w:sz="4" w:space="0" w:color="auto"/>
              <w:left w:val="single" w:sz="4" w:space="0" w:color="auto"/>
              <w:bottom w:val="nil"/>
              <w:right w:val="single" w:sz="4" w:space="0" w:color="auto"/>
            </w:tcBorders>
          </w:tcPr>
          <w:p w14:paraId="3CAA33CA" w14:textId="77777777" w:rsidR="00176424" w:rsidRPr="00176424" w:rsidRDefault="00176424" w:rsidP="00176424">
            <w:pPr>
              <w:ind w:right="57"/>
              <w:jc w:val="right"/>
              <w:rPr>
                <w:rFonts w:eastAsia="Times New Roman"/>
                <w:sz w:val="10"/>
                <w:szCs w:val="10"/>
              </w:rPr>
            </w:pPr>
          </w:p>
        </w:tc>
        <w:tc>
          <w:tcPr>
            <w:tcW w:w="548" w:type="dxa"/>
            <w:tcBorders>
              <w:top w:val="single" w:sz="4" w:space="0" w:color="auto"/>
              <w:left w:val="single" w:sz="4" w:space="0" w:color="auto"/>
              <w:bottom w:val="nil"/>
              <w:right w:val="single" w:sz="4" w:space="0" w:color="auto"/>
            </w:tcBorders>
          </w:tcPr>
          <w:p w14:paraId="68919489" w14:textId="77777777" w:rsidR="00176424" w:rsidRPr="00176424" w:rsidRDefault="00176424" w:rsidP="00176424">
            <w:pPr>
              <w:ind w:right="57"/>
              <w:jc w:val="right"/>
              <w:rPr>
                <w:rFonts w:eastAsia="Times New Roman"/>
                <w:sz w:val="10"/>
                <w:szCs w:val="10"/>
              </w:rPr>
            </w:pPr>
          </w:p>
        </w:tc>
        <w:tc>
          <w:tcPr>
            <w:tcW w:w="720" w:type="dxa"/>
            <w:tcBorders>
              <w:top w:val="single" w:sz="4" w:space="0" w:color="auto"/>
              <w:left w:val="single" w:sz="4" w:space="0" w:color="auto"/>
              <w:bottom w:val="nil"/>
              <w:right w:val="single" w:sz="4" w:space="0" w:color="auto"/>
            </w:tcBorders>
          </w:tcPr>
          <w:p w14:paraId="33FC48E7" w14:textId="77777777" w:rsidR="00176424" w:rsidRPr="00176424" w:rsidRDefault="00176424" w:rsidP="00176424">
            <w:pPr>
              <w:ind w:right="170"/>
              <w:jc w:val="right"/>
              <w:rPr>
                <w:rFonts w:eastAsia="Times New Roman"/>
                <w:sz w:val="10"/>
                <w:szCs w:val="10"/>
              </w:rPr>
            </w:pPr>
          </w:p>
        </w:tc>
        <w:tc>
          <w:tcPr>
            <w:tcW w:w="720" w:type="dxa"/>
            <w:tcBorders>
              <w:top w:val="single" w:sz="4" w:space="0" w:color="auto"/>
              <w:left w:val="single" w:sz="4" w:space="0" w:color="auto"/>
              <w:bottom w:val="nil"/>
              <w:right w:val="single" w:sz="4" w:space="0" w:color="auto"/>
            </w:tcBorders>
          </w:tcPr>
          <w:p w14:paraId="7085866E" w14:textId="77777777" w:rsidR="00176424" w:rsidRPr="00176424" w:rsidRDefault="00176424" w:rsidP="00176424">
            <w:pPr>
              <w:ind w:right="170"/>
              <w:jc w:val="right"/>
              <w:rPr>
                <w:rFonts w:eastAsia="Times New Roman"/>
                <w:sz w:val="10"/>
                <w:szCs w:val="10"/>
                <w:lang w:eastAsia="es-MX"/>
              </w:rPr>
            </w:pPr>
          </w:p>
        </w:tc>
        <w:tc>
          <w:tcPr>
            <w:tcW w:w="898" w:type="dxa"/>
            <w:tcBorders>
              <w:top w:val="single" w:sz="4" w:space="0" w:color="auto"/>
              <w:left w:val="single" w:sz="4" w:space="0" w:color="auto"/>
              <w:bottom w:val="nil"/>
              <w:right w:val="single" w:sz="4" w:space="0" w:color="auto"/>
            </w:tcBorders>
          </w:tcPr>
          <w:p w14:paraId="4D8312DC" w14:textId="77777777" w:rsidR="00176424" w:rsidRPr="00176424" w:rsidRDefault="00176424" w:rsidP="00176424">
            <w:pPr>
              <w:ind w:right="227"/>
              <w:jc w:val="right"/>
              <w:rPr>
                <w:rFonts w:eastAsia="Times New Roman"/>
                <w:sz w:val="10"/>
                <w:szCs w:val="10"/>
              </w:rPr>
            </w:pPr>
          </w:p>
        </w:tc>
        <w:tc>
          <w:tcPr>
            <w:tcW w:w="720" w:type="dxa"/>
            <w:tcBorders>
              <w:top w:val="single" w:sz="4" w:space="0" w:color="auto"/>
              <w:left w:val="single" w:sz="4" w:space="0" w:color="auto"/>
              <w:bottom w:val="nil"/>
              <w:right w:val="single" w:sz="4" w:space="0" w:color="auto"/>
            </w:tcBorders>
          </w:tcPr>
          <w:p w14:paraId="38776727" w14:textId="77777777" w:rsidR="00176424" w:rsidRPr="00176424" w:rsidRDefault="00176424" w:rsidP="00176424">
            <w:pPr>
              <w:ind w:right="170"/>
              <w:jc w:val="right"/>
              <w:rPr>
                <w:rFonts w:eastAsia="Times New Roman"/>
                <w:sz w:val="10"/>
                <w:szCs w:val="10"/>
              </w:rPr>
            </w:pPr>
          </w:p>
        </w:tc>
        <w:tc>
          <w:tcPr>
            <w:tcW w:w="540" w:type="dxa"/>
            <w:tcBorders>
              <w:top w:val="single" w:sz="4" w:space="0" w:color="auto"/>
              <w:left w:val="single" w:sz="4" w:space="0" w:color="auto"/>
              <w:bottom w:val="nil"/>
              <w:right w:val="single" w:sz="4" w:space="0" w:color="auto"/>
            </w:tcBorders>
          </w:tcPr>
          <w:p w14:paraId="57BD05DA" w14:textId="77777777" w:rsidR="00176424" w:rsidRPr="00176424" w:rsidRDefault="00176424" w:rsidP="00176424">
            <w:pPr>
              <w:ind w:right="57"/>
              <w:jc w:val="right"/>
              <w:rPr>
                <w:rFonts w:eastAsia="Times New Roman"/>
                <w:sz w:val="10"/>
                <w:szCs w:val="10"/>
              </w:rPr>
            </w:pPr>
          </w:p>
        </w:tc>
      </w:tr>
      <w:tr w:rsidR="00176424" w:rsidRPr="00176424" w14:paraId="7CD2CB03" w14:textId="77777777" w:rsidTr="00DA1492">
        <w:tc>
          <w:tcPr>
            <w:tcW w:w="2792" w:type="dxa"/>
            <w:tcBorders>
              <w:top w:val="nil"/>
              <w:left w:val="single" w:sz="4" w:space="0" w:color="auto"/>
              <w:bottom w:val="nil"/>
              <w:right w:val="single" w:sz="4" w:space="0" w:color="auto"/>
            </w:tcBorders>
          </w:tcPr>
          <w:p w14:paraId="6B3AFD3A" w14:textId="77777777" w:rsidR="00176424" w:rsidRPr="00176424" w:rsidRDefault="00176424" w:rsidP="00176424">
            <w:pPr>
              <w:jc w:val="both"/>
              <w:rPr>
                <w:rFonts w:eastAsia="Times New Roman"/>
                <w:sz w:val="10"/>
                <w:szCs w:val="10"/>
              </w:rPr>
            </w:pPr>
            <w:r w:rsidRPr="00176424">
              <w:rPr>
                <w:rFonts w:eastAsia="Times New Roman"/>
                <w:sz w:val="10"/>
                <w:szCs w:val="10"/>
              </w:rPr>
              <w:t>Las condiciones de acceso y costo del mercado de crédito bancario son una limitante para la operación de su empresa:</w:t>
            </w:r>
          </w:p>
        </w:tc>
        <w:tc>
          <w:tcPr>
            <w:tcW w:w="541" w:type="dxa"/>
            <w:tcBorders>
              <w:top w:val="nil"/>
              <w:left w:val="single" w:sz="4" w:space="0" w:color="auto"/>
              <w:bottom w:val="nil"/>
              <w:right w:val="single" w:sz="4" w:space="0" w:color="auto"/>
            </w:tcBorders>
          </w:tcPr>
          <w:p w14:paraId="51118DFC" w14:textId="77777777" w:rsidR="00176424" w:rsidRPr="00176424" w:rsidRDefault="00176424" w:rsidP="00176424">
            <w:pPr>
              <w:ind w:right="57"/>
              <w:jc w:val="right"/>
              <w:rPr>
                <w:rFonts w:eastAsia="Times New Roman"/>
                <w:sz w:val="10"/>
                <w:szCs w:val="10"/>
              </w:rPr>
            </w:pPr>
          </w:p>
        </w:tc>
        <w:tc>
          <w:tcPr>
            <w:tcW w:w="636" w:type="dxa"/>
            <w:gridSpan w:val="2"/>
            <w:tcBorders>
              <w:top w:val="nil"/>
              <w:left w:val="single" w:sz="4" w:space="0" w:color="auto"/>
              <w:bottom w:val="nil"/>
              <w:right w:val="single" w:sz="4" w:space="0" w:color="auto"/>
            </w:tcBorders>
          </w:tcPr>
          <w:p w14:paraId="2980D663" w14:textId="77777777" w:rsidR="00176424" w:rsidRPr="00176424" w:rsidRDefault="00176424" w:rsidP="00176424">
            <w:pPr>
              <w:ind w:right="57"/>
              <w:jc w:val="right"/>
              <w:rPr>
                <w:rFonts w:eastAsia="Times New Roman"/>
                <w:sz w:val="10"/>
                <w:szCs w:val="10"/>
              </w:rPr>
            </w:pPr>
          </w:p>
        </w:tc>
        <w:tc>
          <w:tcPr>
            <w:tcW w:w="451" w:type="dxa"/>
            <w:tcBorders>
              <w:top w:val="nil"/>
              <w:left w:val="single" w:sz="4" w:space="0" w:color="auto"/>
              <w:bottom w:val="nil"/>
              <w:right w:val="single" w:sz="4" w:space="0" w:color="auto"/>
            </w:tcBorders>
          </w:tcPr>
          <w:p w14:paraId="4EAD65A3" w14:textId="77777777" w:rsidR="00176424" w:rsidRPr="00176424" w:rsidRDefault="00176424" w:rsidP="00176424">
            <w:pPr>
              <w:ind w:right="57"/>
              <w:jc w:val="right"/>
              <w:rPr>
                <w:rFonts w:eastAsia="Times New Roman"/>
                <w:sz w:val="10"/>
                <w:szCs w:val="10"/>
              </w:rPr>
            </w:pPr>
          </w:p>
        </w:tc>
        <w:tc>
          <w:tcPr>
            <w:tcW w:w="542" w:type="dxa"/>
            <w:tcBorders>
              <w:top w:val="nil"/>
              <w:left w:val="single" w:sz="4" w:space="0" w:color="auto"/>
              <w:bottom w:val="nil"/>
              <w:right w:val="single" w:sz="4" w:space="0" w:color="auto"/>
            </w:tcBorders>
          </w:tcPr>
          <w:p w14:paraId="6D20F79A" w14:textId="77777777" w:rsidR="00176424" w:rsidRPr="00176424" w:rsidRDefault="00176424" w:rsidP="00176424">
            <w:pPr>
              <w:ind w:right="57"/>
              <w:jc w:val="right"/>
              <w:rPr>
                <w:rFonts w:eastAsia="Times New Roman"/>
                <w:sz w:val="10"/>
                <w:szCs w:val="10"/>
              </w:rPr>
            </w:pPr>
          </w:p>
        </w:tc>
        <w:tc>
          <w:tcPr>
            <w:tcW w:w="548" w:type="dxa"/>
            <w:tcBorders>
              <w:top w:val="nil"/>
              <w:left w:val="single" w:sz="4" w:space="0" w:color="auto"/>
              <w:bottom w:val="nil"/>
              <w:right w:val="single" w:sz="4" w:space="0" w:color="auto"/>
            </w:tcBorders>
          </w:tcPr>
          <w:p w14:paraId="24C7C389" w14:textId="77777777" w:rsidR="00176424" w:rsidRPr="00176424" w:rsidRDefault="00176424" w:rsidP="00176424">
            <w:pPr>
              <w:ind w:right="57"/>
              <w:jc w:val="right"/>
              <w:rPr>
                <w:rFonts w:eastAsia="Times New Roman"/>
                <w:sz w:val="10"/>
                <w:szCs w:val="10"/>
              </w:rPr>
            </w:pPr>
          </w:p>
        </w:tc>
        <w:tc>
          <w:tcPr>
            <w:tcW w:w="720" w:type="dxa"/>
            <w:tcBorders>
              <w:top w:val="nil"/>
              <w:left w:val="single" w:sz="4" w:space="0" w:color="auto"/>
              <w:bottom w:val="nil"/>
              <w:right w:val="single" w:sz="4" w:space="0" w:color="auto"/>
            </w:tcBorders>
          </w:tcPr>
          <w:p w14:paraId="1EA52A86" w14:textId="77777777" w:rsidR="00176424" w:rsidRPr="00176424" w:rsidRDefault="00176424" w:rsidP="00176424">
            <w:pPr>
              <w:ind w:right="170"/>
              <w:jc w:val="right"/>
              <w:rPr>
                <w:rFonts w:eastAsia="Times New Roman"/>
                <w:sz w:val="10"/>
                <w:szCs w:val="10"/>
              </w:rPr>
            </w:pPr>
          </w:p>
        </w:tc>
        <w:tc>
          <w:tcPr>
            <w:tcW w:w="720" w:type="dxa"/>
            <w:tcBorders>
              <w:top w:val="nil"/>
              <w:left w:val="single" w:sz="4" w:space="0" w:color="auto"/>
              <w:bottom w:val="nil"/>
              <w:right w:val="single" w:sz="4" w:space="0" w:color="auto"/>
            </w:tcBorders>
          </w:tcPr>
          <w:p w14:paraId="415D22A8" w14:textId="77777777" w:rsidR="00176424" w:rsidRPr="00176424" w:rsidRDefault="00176424" w:rsidP="00176424">
            <w:pPr>
              <w:ind w:right="170"/>
              <w:jc w:val="right"/>
              <w:rPr>
                <w:rFonts w:eastAsia="Times New Roman"/>
                <w:sz w:val="10"/>
                <w:szCs w:val="10"/>
              </w:rPr>
            </w:pPr>
          </w:p>
        </w:tc>
        <w:tc>
          <w:tcPr>
            <w:tcW w:w="898" w:type="dxa"/>
            <w:tcBorders>
              <w:top w:val="nil"/>
              <w:left w:val="single" w:sz="4" w:space="0" w:color="auto"/>
              <w:bottom w:val="nil"/>
              <w:right w:val="single" w:sz="4" w:space="0" w:color="auto"/>
            </w:tcBorders>
          </w:tcPr>
          <w:p w14:paraId="2D0767EA" w14:textId="77777777" w:rsidR="00176424" w:rsidRPr="00176424" w:rsidRDefault="00176424" w:rsidP="00176424">
            <w:pPr>
              <w:ind w:right="227"/>
              <w:jc w:val="right"/>
              <w:rPr>
                <w:rFonts w:eastAsia="Times New Roman"/>
                <w:sz w:val="10"/>
                <w:szCs w:val="10"/>
              </w:rPr>
            </w:pPr>
          </w:p>
        </w:tc>
        <w:tc>
          <w:tcPr>
            <w:tcW w:w="720" w:type="dxa"/>
            <w:tcBorders>
              <w:top w:val="nil"/>
              <w:left w:val="single" w:sz="4" w:space="0" w:color="auto"/>
              <w:bottom w:val="nil"/>
              <w:right w:val="single" w:sz="4" w:space="0" w:color="auto"/>
            </w:tcBorders>
          </w:tcPr>
          <w:p w14:paraId="102A5088" w14:textId="77777777" w:rsidR="00176424" w:rsidRPr="00176424" w:rsidRDefault="00176424" w:rsidP="00176424">
            <w:pPr>
              <w:ind w:right="170"/>
              <w:jc w:val="right"/>
              <w:rPr>
                <w:rFonts w:eastAsia="Times New Roman"/>
                <w:sz w:val="10"/>
                <w:szCs w:val="10"/>
              </w:rPr>
            </w:pPr>
          </w:p>
        </w:tc>
        <w:tc>
          <w:tcPr>
            <w:tcW w:w="540" w:type="dxa"/>
            <w:tcBorders>
              <w:top w:val="nil"/>
              <w:left w:val="single" w:sz="4" w:space="0" w:color="auto"/>
              <w:bottom w:val="nil"/>
              <w:right w:val="single" w:sz="4" w:space="0" w:color="auto"/>
            </w:tcBorders>
          </w:tcPr>
          <w:p w14:paraId="426020B0" w14:textId="77777777" w:rsidR="00176424" w:rsidRPr="00176424" w:rsidRDefault="00176424" w:rsidP="00176424">
            <w:pPr>
              <w:ind w:right="57"/>
              <w:jc w:val="right"/>
              <w:rPr>
                <w:rFonts w:eastAsia="Times New Roman"/>
                <w:sz w:val="10"/>
                <w:szCs w:val="10"/>
              </w:rPr>
            </w:pPr>
          </w:p>
        </w:tc>
      </w:tr>
      <w:tr w:rsidR="00176424" w:rsidRPr="00176424" w14:paraId="6AD24557" w14:textId="77777777" w:rsidTr="00DA1492">
        <w:tc>
          <w:tcPr>
            <w:tcW w:w="2792" w:type="dxa"/>
            <w:tcBorders>
              <w:top w:val="nil"/>
              <w:left w:val="single" w:sz="4" w:space="0" w:color="auto"/>
              <w:bottom w:val="nil"/>
              <w:right w:val="single" w:sz="4" w:space="0" w:color="auto"/>
            </w:tcBorders>
          </w:tcPr>
          <w:p w14:paraId="3DC33271" w14:textId="77777777" w:rsidR="00176424" w:rsidRPr="00176424" w:rsidRDefault="00176424" w:rsidP="00176424">
            <w:pPr>
              <w:ind w:left="397"/>
              <w:jc w:val="both"/>
              <w:rPr>
                <w:rFonts w:eastAsia="Times New Roman"/>
                <w:sz w:val="10"/>
                <w:szCs w:val="10"/>
              </w:rPr>
            </w:pPr>
            <w:r w:rsidRPr="00176424">
              <w:rPr>
                <w:rFonts w:eastAsia="Times New Roman"/>
                <w:sz w:val="10"/>
                <w:szCs w:val="10"/>
              </w:rPr>
              <w:t>Mayor limitante</w:t>
            </w:r>
          </w:p>
        </w:tc>
        <w:tc>
          <w:tcPr>
            <w:tcW w:w="541" w:type="dxa"/>
            <w:tcBorders>
              <w:top w:val="nil"/>
              <w:left w:val="single" w:sz="4" w:space="0" w:color="auto"/>
              <w:bottom w:val="nil"/>
              <w:right w:val="single" w:sz="4" w:space="0" w:color="auto"/>
            </w:tcBorders>
          </w:tcPr>
          <w:p w14:paraId="0472F8BD"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16.3</w:t>
            </w:r>
          </w:p>
        </w:tc>
        <w:tc>
          <w:tcPr>
            <w:tcW w:w="636" w:type="dxa"/>
            <w:gridSpan w:val="2"/>
            <w:tcBorders>
              <w:top w:val="nil"/>
              <w:left w:val="single" w:sz="4" w:space="0" w:color="auto"/>
              <w:bottom w:val="nil"/>
              <w:right w:val="single" w:sz="4" w:space="0" w:color="auto"/>
            </w:tcBorders>
          </w:tcPr>
          <w:p w14:paraId="49BD1C6A"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15.7</w:t>
            </w:r>
          </w:p>
        </w:tc>
        <w:tc>
          <w:tcPr>
            <w:tcW w:w="451" w:type="dxa"/>
            <w:tcBorders>
              <w:top w:val="nil"/>
              <w:left w:val="single" w:sz="4" w:space="0" w:color="auto"/>
              <w:bottom w:val="nil"/>
              <w:right w:val="single" w:sz="4" w:space="0" w:color="auto"/>
            </w:tcBorders>
          </w:tcPr>
          <w:p w14:paraId="76F7D95C"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13.3</w:t>
            </w:r>
          </w:p>
        </w:tc>
        <w:tc>
          <w:tcPr>
            <w:tcW w:w="542" w:type="dxa"/>
            <w:tcBorders>
              <w:top w:val="nil"/>
              <w:left w:val="single" w:sz="4" w:space="0" w:color="auto"/>
              <w:bottom w:val="nil"/>
              <w:right w:val="single" w:sz="4" w:space="0" w:color="auto"/>
            </w:tcBorders>
          </w:tcPr>
          <w:p w14:paraId="1D5A89DF"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13.6</w:t>
            </w:r>
          </w:p>
        </w:tc>
        <w:tc>
          <w:tcPr>
            <w:tcW w:w="548" w:type="dxa"/>
            <w:tcBorders>
              <w:top w:val="nil"/>
              <w:left w:val="single" w:sz="4" w:space="0" w:color="auto"/>
              <w:bottom w:val="nil"/>
              <w:right w:val="single" w:sz="4" w:space="0" w:color="auto"/>
            </w:tcBorders>
          </w:tcPr>
          <w:p w14:paraId="3567F5C5"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13.9</w:t>
            </w:r>
          </w:p>
        </w:tc>
        <w:tc>
          <w:tcPr>
            <w:tcW w:w="720" w:type="dxa"/>
            <w:tcBorders>
              <w:top w:val="nil"/>
              <w:left w:val="single" w:sz="4" w:space="0" w:color="auto"/>
              <w:bottom w:val="nil"/>
              <w:right w:val="single" w:sz="4" w:space="0" w:color="auto"/>
            </w:tcBorders>
          </w:tcPr>
          <w:p w14:paraId="704C6486"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14.6</w:t>
            </w:r>
          </w:p>
        </w:tc>
        <w:tc>
          <w:tcPr>
            <w:tcW w:w="720" w:type="dxa"/>
            <w:tcBorders>
              <w:top w:val="nil"/>
              <w:left w:val="single" w:sz="4" w:space="0" w:color="auto"/>
              <w:bottom w:val="nil"/>
              <w:right w:val="single" w:sz="4" w:space="0" w:color="auto"/>
            </w:tcBorders>
          </w:tcPr>
          <w:p w14:paraId="3DB96057"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13.5</w:t>
            </w:r>
          </w:p>
        </w:tc>
        <w:tc>
          <w:tcPr>
            <w:tcW w:w="898" w:type="dxa"/>
            <w:tcBorders>
              <w:top w:val="nil"/>
              <w:left w:val="single" w:sz="4" w:space="0" w:color="auto"/>
              <w:bottom w:val="nil"/>
              <w:right w:val="single" w:sz="4" w:space="0" w:color="auto"/>
            </w:tcBorders>
          </w:tcPr>
          <w:p w14:paraId="0BB1C698" w14:textId="77777777" w:rsidR="00176424" w:rsidRPr="00176424" w:rsidRDefault="00176424" w:rsidP="00176424">
            <w:pPr>
              <w:ind w:right="227"/>
              <w:jc w:val="right"/>
              <w:rPr>
                <w:rFonts w:eastAsia="Times New Roman"/>
                <w:sz w:val="10"/>
                <w:szCs w:val="10"/>
                <w:lang w:eastAsia="es-MX"/>
              </w:rPr>
            </w:pPr>
            <w:r w:rsidRPr="00176424">
              <w:rPr>
                <w:rFonts w:eastAsia="Times New Roman"/>
                <w:sz w:val="10"/>
                <w:szCs w:val="10"/>
                <w:lang w:eastAsia="es-MX"/>
              </w:rPr>
              <w:t>16.3</w:t>
            </w:r>
          </w:p>
        </w:tc>
        <w:tc>
          <w:tcPr>
            <w:tcW w:w="720" w:type="dxa"/>
            <w:tcBorders>
              <w:top w:val="nil"/>
              <w:left w:val="single" w:sz="4" w:space="0" w:color="auto"/>
              <w:bottom w:val="nil"/>
              <w:right w:val="single" w:sz="4" w:space="0" w:color="auto"/>
            </w:tcBorders>
          </w:tcPr>
          <w:p w14:paraId="3E1C78A8"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12.3</w:t>
            </w:r>
          </w:p>
        </w:tc>
        <w:tc>
          <w:tcPr>
            <w:tcW w:w="540" w:type="dxa"/>
            <w:tcBorders>
              <w:top w:val="nil"/>
              <w:left w:val="single" w:sz="4" w:space="0" w:color="auto"/>
              <w:bottom w:val="nil"/>
              <w:right w:val="single" w:sz="4" w:space="0" w:color="auto"/>
            </w:tcBorders>
          </w:tcPr>
          <w:p w14:paraId="654D8ACA"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16.3</w:t>
            </w:r>
          </w:p>
        </w:tc>
      </w:tr>
      <w:tr w:rsidR="00176424" w:rsidRPr="00176424" w14:paraId="314CC31C" w14:textId="77777777" w:rsidTr="00DA1492">
        <w:tc>
          <w:tcPr>
            <w:tcW w:w="2792" w:type="dxa"/>
            <w:tcBorders>
              <w:top w:val="nil"/>
              <w:left w:val="single" w:sz="4" w:space="0" w:color="auto"/>
              <w:bottom w:val="nil"/>
              <w:right w:val="single" w:sz="4" w:space="0" w:color="auto"/>
            </w:tcBorders>
          </w:tcPr>
          <w:p w14:paraId="1FBB1245" w14:textId="77777777" w:rsidR="00176424" w:rsidRPr="00176424" w:rsidRDefault="00176424" w:rsidP="00176424">
            <w:pPr>
              <w:ind w:left="397"/>
              <w:jc w:val="both"/>
              <w:rPr>
                <w:rFonts w:eastAsia="Times New Roman"/>
                <w:sz w:val="10"/>
                <w:szCs w:val="10"/>
              </w:rPr>
            </w:pPr>
            <w:r w:rsidRPr="00176424">
              <w:rPr>
                <w:rFonts w:eastAsia="Times New Roman"/>
                <w:sz w:val="10"/>
                <w:szCs w:val="10"/>
              </w:rPr>
              <w:t>Menor limitante</w:t>
            </w:r>
          </w:p>
        </w:tc>
        <w:tc>
          <w:tcPr>
            <w:tcW w:w="541" w:type="dxa"/>
            <w:tcBorders>
              <w:top w:val="nil"/>
              <w:left w:val="single" w:sz="4" w:space="0" w:color="auto"/>
              <w:bottom w:val="nil"/>
              <w:right w:val="single" w:sz="4" w:space="0" w:color="auto"/>
            </w:tcBorders>
          </w:tcPr>
          <w:p w14:paraId="66B897B0"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34.4</w:t>
            </w:r>
          </w:p>
        </w:tc>
        <w:tc>
          <w:tcPr>
            <w:tcW w:w="636" w:type="dxa"/>
            <w:gridSpan w:val="2"/>
            <w:tcBorders>
              <w:top w:val="nil"/>
              <w:left w:val="single" w:sz="4" w:space="0" w:color="auto"/>
              <w:bottom w:val="nil"/>
              <w:right w:val="single" w:sz="4" w:space="0" w:color="auto"/>
            </w:tcBorders>
          </w:tcPr>
          <w:p w14:paraId="52A024BC"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36.5</w:t>
            </w:r>
          </w:p>
        </w:tc>
        <w:tc>
          <w:tcPr>
            <w:tcW w:w="451" w:type="dxa"/>
            <w:tcBorders>
              <w:top w:val="nil"/>
              <w:left w:val="single" w:sz="4" w:space="0" w:color="auto"/>
              <w:bottom w:val="nil"/>
              <w:right w:val="single" w:sz="4" w:space="0" w:color="auto"/>
            </w:tcBorders>
          </w:tcPr>
          <w:p w14:paraId="64AE2C6B"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33.5</w:t>
            </w:r>
          </w:p>
        </w:tc>
        <w:tc>
          <w:tcPr>
            <w:tcW w:w="542" w:type="dxa"/>
            <w:tcBorders>
              <w:top w:val="nil"/>
              <w:left w:val="single" w:sz="4" w:space="0" w:color="auto"/>
              <w:bottom w:val="nil"/>
              <w:right w:val="single" w:sz="4" w:space="0" w:color="auto"/>
            </w:tcBorders>
          </w:tcPr>
          <w:p w14:paraId="08EAE2D6"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33.4</w:t>
            </w:r>
          </w:p>
        </w:tc>
        <w:tc>
          <w:tcPr>
            <w:tcW w:w="548" w:type="dxa"/>
            <w:tcBorders>
              <w:top w:val="nil"/>
              <w:left w:val="single" w:sz="4" w:space="0" w:color="auto"/>
              <w:bottom w:val="nil"/>
              <w:right w:val="single" w:sz="4" w:space="0" w:color="auto"/>
            </w:tcBorders>
          </w:tcPr>
          <w:p w14:paraId="360CD6AD"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33.2</w:t>
            </w:r>
          </w:p>
        </w:tc>
        <w:tc>
          <w:tcPr>
            <w:tcW w:w="720" w:type="dxa"/>
            <w:tcBorders>
              <w:top w:val="nil"/>
              <w:left w:val="single" w:sz="4" w:space="0" w:color="auto"/>
              <w:bottom w:val="nil"/>
              <w:right w:val="single" w:sz="4" w:space="0" w:color="auto"/>
            </w:tcBorders>
          </w:tcPr>
          <w:p w14:paraId="259487C3"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39.8</w:t>
            </w:r>
          </w:p>
        </w:tc>
        <w:tc>
          <w:tcPr>
            <w:tcW w:w="720" w:type="dxa"/>
            <w:tcBorders>
              <w:top w:val="nil"/>
              <w:left w:val="single" w:sz="4" w:space="0" w:color="auto"/>
              <w:bottom w:val="nil"/>
              <w:right w:val="single" w:sz="4" w:space="0" w:color="auto"/>
            </w:tcBorders>
          </w:tcPr>
          <w:p w14:paraId="4E29004E"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29.3</w:t>
            </w:r>
          </w:p>
        </w:tc>
        <w:tc>
          <w:tcPr>
            <w:tcW w:w="898" w:type="dxa"/>
            <w:tcBorders>
              <w:top w:val="nil"/>
              <w:left w:val="single" w:sz="4" w:space="0" w:color="auto"/>
              <w:bottom w:val="nil"/>
              <w:right w:val="single" w:sz="4" w:space="0" w:color="auto"/>
            </w:tcBorders>
          </w:tcPr>
          <w:p w14:paraId="15FDA095" w14:textId="77777777" w:rsidR="00176424" w:rsidRPr="00176424" w:rsidRDefault="00176424" w:rsidP="00176424">
            <w:pPr>
              <w:ind w:right="227"/>
              <w:jc w:val="right"/>
              <w:rPr>
                <w:rFonts w:eastAsia="Times New Roman"/>
                <w:sz w:val="10"/>
                <w:szCs w:val="10"/>
                <w:lang w:eastAsia="es-MX"/>
              </w:rPr>
            </w:pPr>
            <w:r w:rsidRPr="00176424">
              <w:rPr>
                <w:rFonts w:eastAsia="Times New Roman"/>
                <w:sz w:val="10"/>
                <w:szCs w:val="10"/>
                <w:lang w:eastAsia="es-MX"/>
              </w:rPr>
              <w:t>27.8</w:t>
            </w:r>
          </w:p>
        </w:tc>
        <w:tc>
          <w:tcPr>
            <w:tcW w:w="720" w:type="dxa"/>
            <w:tcBorders>
              <w:top w:val="nil"/>
              <w:left w:val="single" w:sz="4" w:space="0" w:color="auto"/>
              <w:bottom w:val="nil"/>
              <w:right w:val="single" w:sz="4" w:space="0" w:color="auto"/>
            </w:tcBorders>
          </w:tcPr>
          <w:p w14:paraId="3E062B5A"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36.0</w:t>
            </w:r>
          </w:p>
        </w:tc>
        <w:tc>
          <w:tcPr>
            <w:tcW w:w="540" w:type="dxa"/>
            <w:tcBorders>
              <w:top w:val="nil"/>
              <w:left w:val="single" w:sz="4" w:space="0" w:color="auto"/>
              <w:bottom w:val="nil"/>
              <w:right w:val="single" w:sz="4" w:space="0" w:color="auto"/>
            </w:tcBorders>
          </w:tcPr>
          <w:p w14:paraId="0DB9F084"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33.8</w:t>
            </w:r>
          </w:p>
        </w:tc>
      </w:tr>
      <w:tr w:rsidR="00176424" w:rsidRPr="00176424" w14:paraId="1F8CD65B" w14:textId="77777777" w:rsidTr="00DA1492">
        <w:tc>
          <w:tcPr>
            <w:tcW w:w="2792" w:type="dxa"/>
            <w:tcBorders>
              <w:top w:val="nil"/>
              <w:left w:val="single" w:sz="4" w:space="0" w:color="auto"/>
              <w:bottom w:val="single" w:sz="4" w:space="0" w:color="auto"/>
              <w:right w:val="single" w:sz="4" w:space="0" w:color="auto"/>
            </w:tcBorders>
          </w:tcPr>
          <w:p w14:paraId="68E5C3C3" w14:textId="77777777" w:rsidR="00176424" w:rsidRPr="00176424" w:rsidRDefault="00176424" w:rsidP="00176424">
            <w:pPr>
              <w:ind w:left="397"/>
              <w:jc w:val="both"/>
              <w:rPr>
                <w:rFonts w:eastAsia="Times New Roman"/>
                <w:sz w:val="10"/>
                <w:szCs w:val="10"/>
              </w:rPr>
            </w:pPr>
            <w:r w:rsidRPr="00176424">
              <w:rPr>
                <w:rFonts w:eastAsia="Times New Roman"/>
                <w:sz w:val="10"/>
                <w:szCs w:val="10"/>
              </w:rPr>
              <w:t>Ninguna limitante</w:t>
            </w:r>
          </w:p>
        </w:tc>
        <w:tc>
          <w:tcPr>
            <w:tcW w:w="541" w:type="dxa"/>
            <w:tcBorders>
              <w:top w:val="nil"/>
              <w:left w:val="single" w:sz="4" w:space="0" w:color="auto"/>
              <w:bottom w:val="single" w:sz="4" w:space="0" w:color="auto"/>
              <w:right w:val="single" w:sz="4" w:space="0" w:color="auto"/>
            </w:tcBorders>
          </w:tcPr>
          <w:p w14:paraId="519411B1"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49.4</w:t>
            </w:r>
          </w:p>
        </w:tc>
        <w:tc>
          <w:tcPr>
            <w:tcW w:w="636" w:type="dxa"/>
            <w:gridSpan w:val="2"/>
            <w:tcBorders>
              <w:top w:val="nil"/>
              <w:left w:val="single" w:sz="4" w:space="0" w:color="auto"/>
              <w:bottom w:val="single" w:sz="4" w:space="0" w:color="auto"/>
              <w:right w:val="single" w:sz="4" w:space="0" w:color="auto"/>
            </w:tcBorders>
          </w:tcPr>
          <w:p w14:paraId="387784D3"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47.8</w:t>
            </w:r>
          </w:p>
        </w:tc>
        <w:tc>
          <w:tcPr>
            <w:tcW w:w="451" w:type="dxa"/>
            <w:tcBorders>
              <w:top w:val="nil"/>
              <w:left w:val="single" w:sz="4" w:space="0" w:color="auto"/>
              <w:bottom w:val="single" w:sz="4" w:space="0" w:color="auto"/>
              <w:right w:val="single" w:sz="4" w:space="0" w:color="auto"/>
            </w:tcBorders>
          </w:tcPr>
          <w:p w14:paraId="5C2F5E1B"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53.3</w:t>
            </w:r>
          </w:p>
        </w:tc>
        <w:tc>
          <w:tcPr>
            <w:tcW w:w="542" w:type="dxa"/>
            <w:tcBorders>
              <w:top w:val="nil"/>
              <w:left w:val="single" w:sz="4" w:space="0" w:color="auto"/>
              <w:bottom w:val="single" w:sz="4" w:space="0" w:color="auto"/>
              <w:right w:val="single" w:sz="4" w:space="0" w:color="auto"/>
            </w:tcBorders>
          </w:tcPr>
          <w:p w14:paraId="203A0847"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53.0</w:t>
            </w:r>
          </w:p>
        </w:tc>
        <w:tc>
          <w:tcPr>
            <w:tcW w:w="548" w:type="dxa"/>
            <w:tcBorders>
              <w:top w:val="nil"/>
              <w:left w:val="single" w:sz="4" w:space="0" w:color="auto"/>
              <w:bottom w:val="single" w:sz="4" w:space="0" w:color="auto"/>
              <w:right w:val="single" w:sz="4" w:space="0" w:color="auto"/>
            </w:tcBorders>
          </w:tcPr>
          <w:p w14:paraId="6D5C56CB"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52.9</w:t>
            </w:r>
          </w:p>
        </w:tc>
        <w:tc>
          <w:tcPr>
            <w:tcW w:w="720" w:type="dxa"/>
            <w:tcBorders>
              <w:top w:val="nil"/>
              <w:left w:val="single" w:sz="4" w:space="0" w:color="auto"/>
              <w:bottom w:val="single" w:sz="4" w:space="0" w:color="auto"/>
              <w:right w:val="single" w:sz="4" w:space="0" w:color="auto"/>
            </w:tcBorders>
          </w:tcPr>
          <w:p w14:paraId="0A7AA322"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45.6</w:t>
            </w:r>
          </w:p>
        </w:tc>
        <w:tc>
          <w:tcPr>
            <w:tcW w:w="720" w:type="dxa"/>
            <w:tcBorders>
              <w:top w:val="nil"/>
              <w:left w:val="single" w:sz="4" w:space="0" w:color="auto"/>
              <w:bottom w:val="single" w:sz="4" w:space="0" w:color="auto"/>
              <w:right w:val="single" w:sz="4" w:space="0" w:color="auto"/>
            </w:tcBorders>
          </w:tcPr>
          <w:p w14:paraId="1DD10CB8"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57.3</w:t>
            </w:r>
          </w:p>
        </w:tc>
        <w:tc>
          <w:tcPr>
            <w:tcW w:w="898" w:type="dxa"/>
            <w:tcBorders>
              <w:top w:val="nil"/>
              <w:left w:val="single" w:sz="4" w:space="0" w:color="auto"/>
              <w:bottom w:val="single" w:sz="4" w:space="0" w:color="auto"/>
              <w:right w:val="single" w:sz="4" w:space="0" w:color="auto"/>
            </w:tcBorders>
          </w:tcPr>
          <w:p w14:paraId="77E1BF9D" w14:textId="77777777" w:rsidR="00176424" w:rsidRPr="00176424" w:rsidRDefault="00176424" w:rsidP="00176424">
            <w:pPr>
              <w:ind w:right="227"/>
              <w:jc w:val="right"/>
              <w:rPr>
                <w:rFonts w:eastAsia="Times New Roman"/>
                <w:sz w:val="10"/>
                <w:szCs w:val="10"/>
                <w:lang w:eastAsia="es-MX"/>
              </w:rPr>
            </w:pPr>
            <w:r w:rsidRPr="00176424">
              <w:rPr>
                <w:rFonts w:eastAsia="Times New Roman"/>
                <w:sz w:val="10"/>
                <w:szCs w:val="10"/>
                <w:lang w:eastAsia="es-MX"/>
              </w:rPr>
              <w:t>55.9</w:t>
            </w:r>
          </w:p>
        </w:tc>
        <w:tc>
          <w:tcPr>
            <w:tcW w:w="720" w:type="dxa"/>
            <w:tcBorders>
              <w:top w:val="nil"/>
              <w:left w:val="single" w:sz="4" w:space="0" w:color="auto"/>
              <w:bottom w:val="single" w:sz="4" w:space="0" w:color="auto"/>
              <w:right w:val="single" w:sz="4" w:space="0" w:color="auto"/>
            </w:tcBorders>
          </w:tcPr>
          <w:p w14:paraId="2A80E2E5" w14:textId="77777777" w:rsidR="00176424" w:rsidRPr="00176424" w:rsidRDefault="00176424" w:rsidP="00176424">
            <w:pPr>
              <w:ind w:right="170"/>
              <w:jc w:val="right"/>
              <w:rPr>
                <w:rFonts w:eastAsia="Times New Roman"/>
                <w:sz w:val="10"/>
                <w:szCs w:val="10"/>
                <w:lang w:eastAsia="es-MX"/>
              </w:rPr>
            </w:pPr>
            <w:r w:rsidRPr="00176424">
              <w:rPr>
                <w:rFonts w:eastAsia="Times New Roman"/>
                <w:sz w:val="10"/>
                <w:szCs w:val="10"/>
                <w:lang w:eastAsia="es-MX"/>
              </w:rPr>
              <w:t>51.7</w:t>
            </w:r>
          </w:p>
        </w:tc>
        <w:tc>
          <w:tcPr>
            <w:tcW w:w="540" w:type="dxa"/>
            <w:tcBorders>
              <w:top w:val="nil"/>
              <w:left w:val="single" w:sz="4" w:space="0" w:color="auto"/>
              <w:bottom w:val="single" w:sz="4" w:space="0" w:color="auto"/>
              <w:right w:val="single" w:sz="4" w:space="0" w:color="auto"/>
            </w:tcBorders>
          </w:tcPr>
          <w:p w14:paraId="2D8D4495" w14:textId="77777777" w:rsidR="00176424" w:rsidRPr="00176424" w:rsidRDefault="00176424" w:rsidP="00176424">
            <w:pPr>
              <w:ind w:right="57"/>
              <w:jc w:val="right"/>
              <w:rPr>
                <w:rFonts w:eastAsia="Times New Roman"/>
                <w:sz w:val="10"/>
                <w:szCs w:val="10"/>
                <w:lang w:eastAsia="es-MX"/>
              </w:rPr>
            </w:pPr>
            <w:r w:rsidRPr="00176424">
              <w:rPr>
                <w:rFonts w:eastAsia="Times New Roman"/>
                <w:sz w:val="10"/>
                <w:szCs w:val="10"/>
                <w:lang w:eastAsia="es-MX"/>
              </w:rPr>
              <w:t>49.9</w:t>
            </w:r>
          </w:p>
        </w:tc>
      </w:tr>
      <w:tr w:rsidR="00176424" w:rsidRPr="00176424" w14:paraId="5532D773" w14:textId="77777777" w:rsidTr="00DA1492">
        <w:tc>
          <w:tcPr>
            <w:tcW w:w="9108" w:type="dxa"/>
            <w:gridSpan w:val="12"/>
            <w:tcBorders>
              <w:top w:val="single" w:sz="4" w:space="0" w:color="auto"/>
              <w:left w:val="nil"/>
              <w:bottom w:val="nil"/>
              <w:right w:val="nil"/>
            </w:tcBorders>
          </w:tcPr>
          <w:p w14:paraId="79082CCF" w14:textId="77777777" w:rsidR="00176424" w:rsidRPr="00176424" w:rsidRDefault="00176424" w:rsidP="00176424">
            <w:pPr>
              <w:jc w:val="both"/>
              <w:rPr>
                <w:rFonts w:eastAsia="Times New Roman"/>
                <w:sz w:val="10"/>
                <w:szCs w:val="10"/>
              </w:rPr>
            </w:pPr>
            <w:r w:rsidRPr="00176424">
              <w:rPr>
                <w:rFonts w:eastAsia="Times New Roman"/>
                <w:sz w:val="10"/>
                <w:szCs w:val="10"/>
                <w:u w:val="single"/>
              </w:rPr>
              <w:t>1</w:t>
            </w:r>
            <w:r w:rsidRPr="00176424">
              <w:rPr>
                <w:rFonts w:eastAsia="Times New Roman"/>
                <w:sz w:val="10"/>
                <w:szCs w:val="10"/>
              </w:rPr>
              <w:t>/ Muestra con cobertura nacional de por lo menos 450 empresas. La respuesta es voluntaria y confidencial.</w:t>
            </w:r>
          </w:p>
          <w:p w14:paraId="49ABF38A" w14:textId="77777777" w:rsidR="00176424" w:rsidRPr="00176424" w:rsidRDefault="00176424" w:rsidP="00176424">
            <w:pPr>
              <w:ind w:left="170" w:hanging="170"/>
              <w:jc w:val="both"/>
              <w:rPr>
                <w:rFonts w:eastAsia="Times New Roman"/>
                <w:sz w:val="10"/>
                <w:szCs w:val="10"/>
              </w:rPr>
            </w:pPr>
            <w:r w:rsidRPr="00176424">
              <w:rPr>
                <w:rFonts w:eastAsia="Times New Roman"/>
                <w:sz w:val="10"/>
                <w:szCs w:val="10"/>
                <w:u w:val="single"/>
              </w:rPr>
              <w:t>2</w:t>
            </w:r>
            <w:r w:rsidRPr="00176424">
              <w:rPr>
                <w:rFonts w:eastAsia="Times New Roman"/>
                <w:sz w:val="10"/>
                <w:szCs w:val="10"/>
              </w:rPr>
              <w:t>/ Los sectores de manufacturas y de servicios y comercio son los únicos sectores de actividad económica que son representativos a nivel nacional.</w:t>
            </w:r>
          </w:p>
          <w:p w14:paraId="64AAD62A" w14:textId="77777777" w:rsidR="00176424" w:rsidRPr="00176424" w:rsidRDefault="00176424" w:rsidP="00176424">
            <w:pPr>
              <w:ind w:left="170" w:hanging="170"/>
              <w:jc w:val="both"/>
              <w:rPr>
                <w:rFonts w:eastAsia="Times New Roman"/>
                <w:sz w:val="10"/>
                <w:szCs w:val="10"/>
              </w:rPr>
            </w:pPr>
            <w:r w:rsidRPr="00176424">
              <w:rPr>
                <w:rFonts w:eastAsia="Times New Roman"/>
                <w:sz w:val="10"/>
                <w:szCs w:val="10"/>
                <w:u w:val="single"/>
              </w:rPr>
              <w:t>3</w:t>
            </w:r>
            <w:r w:rsidRPr="00176424">
              <w:rPr>
                <w:rFonts w:eastAsia="Times New Roman"/>
                <w:sz w:val="10"/>
                <w:szCs w:val="10"/>
              </w:rPr>
              <w:t>/ El mercado de crédito bancario incluye la banca comercial, la banca de desarrollo y los bancos extranjeros.</w:t>
            </w:r>
          </w:p>
          <w:p w14:paraId="08E6EBB8" w14:textId="77777777" w:rsidR="00176424" w:rsidRPr="00176424" w:rsidRDefault="00176424" w:rsidP="00176424">
            <w:pPr>
              <w:ind w:left="113" w:hanging="113"/>
              <w:jc w:val="both"/>
              <w:rPr>
                <w:rFonts w:eastAsia="Times New Roman"/>
                <w:sz w:val="10"/>
                <w:szCs w:val="10"/>
              </w:rPr>
            </w:pPr>
            <w:r w:rsidRPr="00176424">
              <w:rPr>
                <w:rFonts w:eastAsia="Times New Roman"/>
                <w:sz w:val="10"/>
                <w:szCs w:val="10"/>
                <w:u w:val="single"/>
              </w:rPr>
              <w:t>4</w:t>
            </w:r>
            <w:r w:rsidRPr="00176424">
              <w:rPr>
                <w:rFonts w:eastAsia="Times New Roman"/>
                <w:sz w:val="10"/>
                <w:szCs w:val="10"/>
              </w:rPr>
              <w:t>/ A partir de este comunicado de prensa del primer trimestre de 2010 los resultados se presentan como por ciento del total de empresas. En los comunicados anteriores esta información se presentaba en por ciento de respuestas. La suma de las partes puede no coincidir debido al redondeo.</w:t>
            </w:r>
          </w:p>
          <w:p w14:paraId="1DED98E2" w14:textId="77777777" w:rsidR="00176424" w:rsidRPr="00176424" w:rsidRDefault="00176424" w:rsidP="00176424">
            <w:pPr>
              <w:ind w:left="57" w:hanging="57"/>
              <w:jc w:val="both"/>
              <w:rPr>
                <w:rFonts w:eastAsia="Times New Roman"/>
                <w:sz w:val="10"/>
                <w:szCs w:val="10"/>
              </w:rPr>
            </w:pPr>
            <w:r w:rsidRPr="00176424">
              <w:rPr>
                <w:rFonts w:eastAsia="Times New Roman"/>
                <w:sz w:val="10"/>
                <w:szCs w:val="10"/>
                <w:u w:val="single"/>
              </w:rPr>
              <w:t>5</w:t>
            </w:r>
            <w:r w:rsidRPr="00176424">
              <w:rPr>
                <w:rFonts w:eastAsia="Times New Roman"/>
                <w:sz w:val="10"/>
                <w:szCs w:val="10"/>
              </w:rPr>
              <w:t xml:space="preserve">/ La suma de los porcentajes puede ser superior a 100 ya que las empresas pueden elegir más de una opción. </w:t>
            </w:r>
          </w:p>
          <w:p w14:paraId="3F0EE1EE" w14:textId="77777777" w:rsidR="00176424" w:rsidRPr="00176424" w:rsidRDefault="00176424" w:rsidP="00176424">
            <w:pPr>
              <w:ind w:left="113" w:hanging="113"/>
              <w:jc w:val="both"/>
              <w:rPr>
                <w:rFonts w:eastAsia="Times New Roman"/>
                <w:sz w:val="10"/>
                <w:szCs w:val="10"/>
                <w:lang w:val="es-ES"/>
              </w:rPr>
            </w:pPr>
            <w:r w:rsidRPr="00176424">
              <w:rPr>
                <w:rFonts w:eastAsia="Times New Roman"/>
                <w:sz w:val="10"/>
                <w:szCs w:val="10"/>
                <w:u w:val="single"/>
              </w:rPr>
              <w:t>6</w:t>
            </w:r>
            <w:r w:rsidRPr="00176424">
              <w:rPr>
                <w:rFonts w:eastAsia="Times New Roman"/>
                <w:sz w:val="10"/>
                <w:szCs w:val="10"/>
              </w:rPr>
              <w:t xml:space="preserve">/ </w:t>
            </w:r>
            <w:r w:rsidRPr="00176424">
              <w:rPr>
                <w:rFonts w:eastAsia="Times New Roman"/>
                <w:sz w:val="10"/>
                <w:szCs w:val="10"/>
                <w:lang w:val="es-ES"/>
              </w:rPr>
              <w:t>Índice de difusión. Definido como la suma del porcentaje de empresas que mencionó que hubo condiciones más accesibles, más la mitad del porcentaje de empresas que indicó que no hubo cambios en las condiciones de acceso. Bajo esta métrica, cuando el valor del índice de difusión es superior (inferior) a 50 significa que un mayor número de empresas señaló que percibió condiciones más accesibles (menos accesibles) en la variable relevante, en comparación a la situación observada en el trimestre previo.</w:t>
            </w:r>
          </w:p>
          <w:p w14:paraId="38FE3A68" w14:textId="77777777" w:rsidR="00176424" w:rsidRPr="00176424" w:rsidRDefault="00176424" w:rsidP="00176424">
            <w:pPr>
              <w:ind w:left="113" w:hanging="113"/>
              <w:jc w:val="both"/>
              <w:rPr>
                <w:rFonts w:eastAsia="Times New Roman"/>
                <w:sz w:val="10"/>
                <w:szCs w:val="10"/>
                <w:lang w:val="es-ES"/>
              </w:rPr>
            </w:pPr>
            <w:r w:rsidRPr="00176424">
              <w:rPr>
                <w:rFonts w:eastAsia="Times New Roman"/>
                <w:sz w:val="10"/>
                <w:szCs w:val="10"/>
                <w:u w:val="single"/>
              </w:rPr>
              <w:t>7</w:t>
            </w:r>
            <w:r w:rsidRPr="00176424">
              <w:rPr>
                <w:rFonts w:eastAsia="Times New Roman"/>
                <w:sz w:val="10"/>
                <w:szCs w:val="10"/>
              </w:rPr>
              <w:t xml:space="preserve">/ </w:t>
            </w:r>
            <w:r w:rsidRPr="00176424">
              <w:rPr>
                <w:rFonts w:eastAsia="Times New Roman"/>
                <w:sz w:val="10"/>
                <w:szCs w:val="10"/>
                <w:lang w:val="es-ES"/>
              </w:rPr>
              <w:t>Índice de difusión. Definido como la suma del porcentaje de empresas que mencionó que hubo condiciones menos costosas, más la mitad del porcentaje de empresas que indicó que no hubo cambio. Bajo esta métrica, cuando el valor del índice de difusión es superior (inferior) a 50 significa que un mayor número de empresas señaló que percibió condiciones menos costosas (más costosas) en la variable relevante, en comparación a la situación observada en el trimestre previo.</w:t>
            </w:r>
          </w:p>
          <w:p w14:paraId="0C13848C" w14:textId="77777777" w:rsidR="00176424" w:rsidRPr="00176424" w:rsidRDefault="00176424" w:rsidP="00176424">
            <w:pPr>
              <w:ind w:left="113" w:hanging="113"/>
              <w:jc w:val="both"/>
              <w:rPr>
                <w:rFonts w:eastAsia="Times New Roman"/>
                <w:sz w:val="10"/>
                <w:szCs w:val="10"/>
                <w:lang w:val="es-ES"/>
              </w:rPr>
            </w:pPr>
            <w:r w:rsidRPr="00176424">
              <w:rPr>
                <w:rFonts w:eastAsia="Times New Roman"/>
                <w:sz w:val="10"/>
                <w:szCs w:val="10"/>
                <w:u w:val="single"/>
              </w:rPr>
              <w:t>8</w:t>
            </w:r>
            <w:r w:rsidRPr="00176424">
              <w:rPr>
                <w:rFonts w:eastAsia="Times New Roman"/>
                <w:sz w:val="10"/>
                <w:szCs w:val="10"/>
              </w:rPr>
              <w:t>/ Del conjunto de posibles limitantes, cada empresa califica el grado de cada factor (muy limitante, relativamente limitante o nada limitante), por lo que la suma de los porcentajes de todos los factores puede ser superior a 100. Además, el porcentaje de cada factor incluye la suma de las calificaciones muy limitante y relativamente limitante.</w:t>
            </w:r>
          </w:p>
          <w:p w14:paraId="63D09D63" w14:textId="77777777" w:rsidR="00176424" w:rsidRPr="00176424" w:rsidRDefault="00176424" w:rsidP="00176424">
            <w:pPr>
              <w:ind w:left="113" w:hanging="113"/>
              <w:jc w:val="both"/>
              <w:rPr>
                <w:rFonts w:eastAsia="Times New Roman"/>
                <w:sz w:val="10"/>
                <w:szCs w:val="10"/>
              </w:rPr>
            </w:pPr>
            <w:r w:rsidRPr="00176424">
              <w:rPr>
                <w:rFonts w:eastAsia="Times New Roman"/>
                <w:sz w:val="10"/>
                <w:szCs w:val="10"/>
              </w:rPr>
              <w:t>FUENTE: Banxico.</w:t>
            </w:r>
          </w:p>
        </w:tc>
      </w:tr>
    </w:tbl>
    <w:p w14:paraId="1A80339E" w14:textId="77777777" w:rsidR="00176424" w:rsidRPr="00176424" w:rsidRDefault="00176424" w:rsidP="00176424">
      <w:pPr>
        <w:spacing w:after="360" w:line="360" w:lineRule="auto"/>
        <w:ind w:right="-159"/>
        <w:jc w:val="both"/>
        <w:rPr>
          <w:rFonts w:eastAsia="Calibri"/>
          <w:sz w:val="26"/>
          <w:szCs w:val="26"/>
          <w:lang w:eastAsia="en-US"/>
        </w:rPr>
      </w:pPr>
    </w:p>
    <w:p w14:paraId="4348E9E6" w14:textId="77777777" w:rsidR="00176424" w:rsidRPr="00176424" w:rsidRDefault="00176424" w:rsidP="00176424">
      <w:pPr>
        <w:ind w:right="-159"/>
        <w:jc w:val="both"/>
        <w:rPr>
          <w:rFonts w:eastAsia="Calibri"/>
          <w:b/>
          <w:sz w:val="20"/>
          <w:szCs w:val="20"/>
          <w:lang w:eastAsia="en-US"/>
        </w:rPr>
      </w:pPr>
      <w:r w:rsidRPr="00176424">
        <w:rPr>
          <w:rFonts w:eastAsia="Calibri"/>
          <w:b/>
          <w:sz w:val="20"/>
          <w:szCs w:val="20"/>
          <w:lang w:eastAsia="en-US"/>
        </w:rPr>
        <w:t>Fuente de información:</w:t>
      </w:r>
    </w:p>
    <w:p w14:paraId="5F41EA8E" w14:textId="77777777" w:rsidR="00176424" w:rsidRPr="002B6043" w:rsidRDefault="0093224F" w:rsidP="002B6043">
      <w:pPr>
        <w:spacing w:after="720"/>
        <w:ind w:right="-159"/>
        <w:jc w:val="both"/>
        <w:rPr>
          <w:rFonts w:eastAsia="Calibri"/>
          <w:color w:val="0000FF"/>
          <w:sz w:val="20"/>
          <w:szCs w:val="20"/>
          <w:lang w:eastAsia="en-US"/>
        </w:rPr>
      </w:pPr>
      <w:hyperlink r:id="rId335" w:history="1">
        <w:r w:rsidR="00176424" w:rsidRPr="002B6043">
          <w:rPr>
            <w:rFonts w:eastAsia="Calibri"/>
            <w:color w:val="0000FF"/>
            <w:sz w:val="20"/>
            <w:szCs w:val="20"/>
            <w:u w:val="single"/>
            <w:lang w:eastAsia="en-US"/>
          </w:rPr>
          <w:t>http://www.banxico.org.mx/informacion-para-la-prensa/comunicados/sector-financiero/financiamiento-empresas/%7B176F9E2A-D7BF-DED9-1AA1-2C3C2CB2835C%7D.pdf</w:t>
        </w:r>
      </w:hyperlink>
      <w:r w:rsidR="00176424" w:rsidRPr="002B6043">
        <w:rPr>
          <w:rFonts w:eastAsia="Calibri"/>
          <w:color w:val="0000FF"/>
          <w:sz w:val="20"/>
          <w:szCs w:val="20"/>
          <w:lang w:eastAsia="en-US"/>
        </w:rPr>
        <w:t xml:space="preserve"> </w:t>
      </w:r>
    </w:p>
    <w:p w14:paraId="4998D791" w14:textId="77777777" w:rsidR="008E60A1" w:rsidRPr="008E60A1" w:rsidRDefault="008E60A1" w:rsidP="008E60A1">
      <w:pPr>
        <w:ind w:right="-159"/>
        <w:jc w:val="both"/>
        <w:rPr>
          <w:rFonts w:eastAsia="Times New Roman"/>
          <w:b/>
          <w:bCs/>
          <w:sz w:val="26"/>
          <w:szCs w:val="26"/>
          <w:lang w:val="es-ES"/>
        </w:rPr>
      </w:pPr>
      <w:r w:rsidRPr="008E60A1">
        <w:rPr>
          <w:rFonts w:eastAsia="Times New Roman"/>
          <w:b/>
          <w:bCs/>
          <w:sz w:val="26"/>
          <w:szCs w:val="26"/>
          <w:lang w:val="es-ES"/>
        </w:rPr>
        <w:t>Solicitudes de seguro de depósito</w:t>
      </w:r>
    </w:p>
    <w:p w14:paraId="0792BE94" w14:textId="77777777" w:rsidR="008E60A1" w:rsidRPr="008E60A1" w:rsidRDefault="008E60A1" w:rsidP="008E60A1">
      <w:pPr>
        <w:spacing w:after="360" w:line="360" w:lineRule="auto"/>
        <w:ind w:right="-159"/>
        <w:jc w:val="both"/>
        <w:rPr>
          <w:rFonts w:eastAsia="Times New Roman"/>
          <w:b/>
          <w:bCs/>
          <w:sz w:val="26"/>
          <w:szCs w:val="26"/>
          <w:lang w:val="es-ES"/>
        </w:rPr>
      </w:pPr>
      <w:r w:rsidRPr="008E60A1">
        <w:rPr>
          <w:rFonts w:eastAsia="Times New Roman"/>
          <w:b/>
          <w:bCs/>
          <w:sz w:val="26"/>
          <w:szCs w:val="26"/>
          <w:lang w:val="es-ES"/>
        </w:rPr>
        <w:t>y pagos de FICREA (CNVB)</w:t>
      </w:r>
    </w:p>
    <w:p w14:paraId="23A5F2A2" w14:textId="0FF6A293" w:rsidR="008E60A1" w:rsidRPr="008E60A1" w:rsidRDefault="008E60A1" w:rsidP="008E60A1">
      <w:pPr>
        <w:spacing w:after="360" w:line="360" w:lineRule="auto"/>
        <w:ind w:right="-159"/>
        <w:jc w:val="both"/>
        <w:rPr>
          <w:rFonts w:eastAsia="Times New Roman"/>
          <w:bCs/>
          <w:sz w:val="26"/>
          <w:szCs w:val="26"/>
          <w:lang w:val="es-ES"/>
        </w:rPr>
      </w:pPr>
      <w:r w:rsidRPr="008E60A1">
        <w:rPr>
          <w:rFonts w:eastAsia="Times New Roman"/>
          <w:bCs/>
          <w:sz w:val="26"/>
          <w:szCs w:val="26"/>
          <w:lang w:val="es-ES"/>
        </w:rPr>
        <w:t xml:space="preserve">El 6 de marzo de 2015, la Comisión Nacional Bancaria y de Valores (CNBV) informó que a esta fecha fueron recibidas 4 mil 783 solicitudes, lo que representa el 70% del </w:t>
      </w:r>
      <w:r w:rsidRPr="008E60A1">
        <w:rPr>
          <w:rFonts w:eastAsia="Times New Roman"/>
          <w:bCs/>
          <w:sz w:val="26"/>
          <w:szCs w:val="26"/>
          <w:lang w:val="es-ES"/>
        </w:rPr>
        <w:lastRenderedPageBreak/>
        <w:t>total de ahorradores registrados en la base de datos de la sociedad en liquidación. A continuación se presentan los detalles:</w:t>
      </w:r>
    </w:p>
    <w:p w14:paraId="3059F38A" w14:textId="77777777" w:rsidR="008E60A1" w:rsidRPr="008E60A1" w:rsidRDefault="008E60A1" w:rsidP="00276F3E">
      <w:pPr>
        <w:numPr>
          <w:ilvl w:val="0"/>
          <w:numId w:val="92"/>
        </w:numPr>
        <w:spacing w:after="360" w:line="360" w:lineRule="auto"/>
        <w:ind w:left="454" w:right="-159" w:hanging="454"/>
        <w:jc w:val="both"/>
        <w:rPr>
          <w:rFonts w:eastAsia="Times New Roman"/>
          <w:bCs/>
          <w:sz w:val="26"/>
          <w:szCs w:val="26"/>
          <w:lang w:val="es-ES"/>
        </w:rPr>
      </w:pPr>
      <w:r w:rsidRPr="008E60A1">
        <w:rPr>
          <w:rFonts w:eastAsia="Times New Roman"/>
          <w:bCs/>
          <w:sz w:val="26"/>
          <w:szCs w:val="26"/>
          <w:lang w:val="es-ES"/>
        </w:rPr>
        <w:t>El Fondo de Protección ha emitido 3 mil 591 cheques para pago.</w:t>
      </w:r>
    </w:p>
    <w:p w14:paraId="05E0C1F0" w14:textId="2BA11F3E" w:rsidR="008E60A1" w:rsidRPr="008E60A1" w:rsidRDefault="008E60A1" w:rsidP="00276F3E">
      <w:pPr>
        <w:numPr>
          <w:ilvl w:val="0"/>
          <w:numId w:val="92"/>
        </w:numPr>
        <w:spacing w:after="360" w:line="360" w:lineRule="auto"/>
        <w:ind w:left="454" w:right="-159" w:hanging="454"/>
        <w:jc w:val="both"/>
        <w:rPr>
          <w:rFonts w:eastAsia="Times New Roman"/>
          <w:bCs/>
          <w:sz w:val="26"/>
          <w:szCs w:val="26"/>
          <w:lang w:val="es-ES"/>
        </w:rPr>
      </w:pPr>
      <w:r w:rsidRPr="008E60A1">
        <w:rPr>
          <w:rFonts w:eastAsia="Times New Roman"/>
          <w:bCs/>
          <w:sz w:val="26"/>
          <w:szCs w:val="26"/>
          <w:lang w:val="es-ES"/>
        </w:rPr>
        <w:t xml:space="preserve">La autoridad competente recuerda a los solicitantes del seguro de depósito que para el cobro de sus respectivos cheques la “Interventoría Gerencial” les informará una vez que </w:t>
      </w:r>
      <w:r w:rsidR="002862A6">
        <w:rPr>
          <w:rFonts w:eastAsia="Times New Roman"/>
          <w:bCs/>
          <w:sz w:val="26"/>
          <w:szCs w:val="26"/>
          <w:lang w:val="es-ES"/>
        </w:rPr>
        <w:t>é</w:t>
      </w:r>
      <w:r w:rsidRPr="008E60A1">
        <w:rPr>
          <w:rFonts w:eastAsia="Times New Roman"/>
          <w:bCs/>
          <w:sz w:val="26"/>
          <w:szCs w:val="26"/>
          <w:lang w:val="es-ES"/>
        </w:rPr>
        <w:t>stos estén disponibles en las sucursales en que se haya registrado para este efecto.</w:t>
      </w:r>
    </w:p>
    <w:p w14:paraId="1A7CCEA2" w14:textId="77777777" w:rsidR="008E60A1" w:rsidRPr="008E60A1" w:rsidRDefault="008E60A1" w:rsidP="00276F3E">
      <w:pPr>
        <w:numPr>
          <w:ilvl w:val="0"/>
          <w:numId w:val="92"/>
        </w:numPr>
        <w:spacing w:after="360" w:line="360" w:lineRule="auto"/>
        <w:ind w:left="454" w:right="-159" w:hanging="454"/>
        <w:jc w:val="both"/>
        <w:rPr>
          <w:rFonts w:eastAsia="Times New Roman"/>
          <w:bCs/>
          <w:sz w:val="26"/>
          <w:szCs w:val="26"/>
          <w:lang w:val="es-ES"/>
        </w:rPr>
      </w:pPr>
      <w:r w:rsidRPr="008E60A1">
        <w:rPr>
          <w:rFonts w:eastAsia="Times New Roman"/>
          <w:bCs/>
          <w:sz w:val="26"/>
          <w:szCs w:val="26"/>
          <w:lang w:val="es-ES"/>
        </w:rPr>
        <w:t>Solicitar el pago del seguro de depósito, de ninguna manera supone renunciar a los derechos que le corresponden a cada ahorrador, en caso de que tengan un saldo mayor a las 25 mil unidades de inversión (UDIs).</w:t>
      </w:r>
    </w:p>
    <w:p w14:paraId="410FEA67" w14:textId="77777777" w:rsidR="008E60A1" w:rsidRPr="008E60A1" w:rsidRDefault="008E60A1" w:rsidP="00276F3E">
      <w:pPr>
        <w:numPr>
          <w:ilvl w:val="0"/>
          <w:numId w:val="92"/>
        </w:numPr>
        <w:spacing w:after="360" w:line="360" w:lineRule="auto"/>
        <w:ind w:left="454" w:right="-159" w:hanging="454"/>
        <w:jc w:val="both"/>
        <w:rPr>
          <w:rFonts w:eastAsia="Times New Roman"/>
          <w:bCs/>
          <w:sz w:val="26"/>
          <w:szCs w:val="26"/>
          <w:lang w:val="es-ES"/>
        </w:rPr>
      </w:pPr>
      <w:r w:rsidRPr="008E60A1">
        <w:rPr>
          <w:rFonts w:eastAsia="Times New Roman"/>
          <w:bCs/>
          <w:sz w:val="26"/>
          <w:szCs w:val="26"/>
          <w:lang w:val="es-ES"/>
        </w:rPr>
        <w:t>El solicitar su seguro de depósito, simplemente implica retirar, contra su saldo disponible, el monto de hasta 25 mil UDIs y mantenerse con la totalidad de derechos sobre el resto, en el proceso de liquidación.</w:t>
      </w:r>
    </w:p>
    <w:p w14:paraId="1AA04B2F" w14:textId="77777777" w:rsidR="008E60A1" w:rsidRPr="008E60A1" w:rsidRDefault="008E60A1" w:rsidP="00276F3E">
      <w:pPr>
        <w:numPr>
          <w:ilvl w:val="0"/>
          <w:numId w:val="92"/>
        </w:numPr>
        <w:spacing w:after="360" w:line="360" w:lineRule="auto"/>
        <w:ind w:left="454" w:right="-159" w:hanging="454"/>
        <w:jc w:val="both"/>
        <w:rPr>
          <w:rFonts w:eastAsia="Times New Roman"/>
          <w:bCs/>
          <w:sz w:val="26"/>
          <w:szCs w:val="26"/>
          <w:lang w:val="es-ES"/>
        </w:rPr>
      </w:pPr>
      <w:r w:rsidRPr="008E60A1">
        <w:rPr>
          <w:rFonts w:eastAsia="Times New Roman"/>
          <w:bCs/>
          <w:sz w:val="26"/>
          <w:szCs w:val="26"/>
          <w:lang w:val="es-ES"/>
        </w:rPr>
        <w:t>Se informa también a los ahorradores titulares a este derecho, que ningún tercero podrá cobrarles algún tipo de “honorario por gestión” para realizar su trámite, que es personal y sin costo.</w:t>
      </w:r>
    </w:p>
    <w:p w14:paraId="127114C8" w14:textId="77777777" w:rsidR="008E60A1" w:rsidRPr="008E60A1" w:rsidRDefault="008E60A1" w:rsidP="00276F3E">
      <w:pPr>
        <w:numPr>
          <w:ilvl w:val="0"/>
          <w:numId w:val="92"/>
        </w:numPr>
        <w:spacing w:after="360" w:line="360" w:lineRule="auto"/>
        <w:ind w:left="454" w:right="-159" w:hanging="454"/>
        <w:jc w:val="both"/>
        <w:rPr>
          <w:rFonts w:eastAsia="Times New Roman"/>
          <w:bCs/>
          <w:sz w:val="26"/>
          <w:szCs w:val="26"/>
          <w:lang w:val="es-ES"/>
        </w:rPr>
      </w:pPr>
      <w:r w:rsidRPr="008E60A1">
        <w:rPr>
          <w:rFonts w:eastAsia="Times New Roman"/>
          <w:bCs/>
          <w:sz w:val="26"/>
          <w:szCs w:val="26"/>
          <w:lang w:val="es-ES"/>
        </w:rPr>
        <w:t>Como lo señala la ley, los ahorradores cuentan con 180 días naturales a partir del día siguiente de la publicación de la revocación, para presentar su solicitud, es decir hasta el 17 de junio de 2015.</w:t>
      </w:r>
    </w:p>
    <w:p w14:paraId="399DA98F" w14:textId="77777777" w:rsidR="00B96277" w:rsidRDefault="00B96277" w:rsidP="008E60A1">
      <w:pPr>
        <w:spacing w:after="360" w:line="360" w:lineRule="auto"/>
        <w:ind w:right="-159"/>
        <w:jc w:val="both"/>
        <w:rPr>
          <w:rFonts w:eastAsia="Times New Roman"/>
          <w:bCs/>
          <w:sz w:val="26"/>
          <w:szCs w:val="26"/>
          <w:lang w:val="es-ES"/>
        </w:rPr>
      </w:pPr>
    </w:p>
    <w:p w14:paraId="707EA6F1" w14:textId="77777777" w:rsidR="00B96277" w:rsidRDefault="00B96277" w:rsidP="008E60A1">
      <w:pPr>
        <w:spacing w:after="360" w:line="360" w:lineRule="auto"/>
        <w:ind w:right="-159"/>
        <w:jc w:val="both"/>
        <w:rPr>
          <w:rFonts w:eastAsia="Times New Roman"/>
          <w:bCs/>
          <w:sz w:val="26"/>
          <w:szCs w:val="26"/>
          <w:lang w:val="es-ES"/>
        </w:rPr>
      </w:pPr>
    </w:p>
    <w:p w14:paraId="1736F3CE" w14:textId="77777777" w:rsidR="008E60A1" w:rsidRPr="008E60A1" w:rsidRDefault="008E60A1" w:rsidP="008E60A1">
      <w:pPr>
        <w:spacing w:after="360" w:line="360" w:lineRule="auto"/>
        <w:ind w:right="-159"/>
        <w:jc w:val="both"/>
        <w:rPr>
          <w:rFonts w:eastAsia="Times New Roman"/>
          <w:bCs/>
          <w:sz w:val="26"/>
          <w:szCs w:val="26"/>
          <w:lang w:val="es-ES"/>
        </w:rPr>
      </w:pPr>
      <w:r w:rsidRPr="008E60A1">
        <w:rPr>
          <w:rFonts w:eastAsia="Times New Roman"/>
          <w:bCs/>
          <w:sz w:val="26"/>
          <w:szCs w:val="26"/>
          <w:lang w:val="es-ES"/>
        </w:rPr>
        <w:lastRenderedPageBreak/>
        <w:t>Las sucursales a disposición de los clientes ahorradores para presentar sus solicitudes son:</w:t>
      </w:r>
    </w:p>
    <w:tbl>
      <w:tblPr>
        <w:tblW w:w="0" w:type="auto"/>
        <w:jc w:val="center"/>
        <w:tblLayout w:type="fixed"/>
        <w:tblLook w:val="04A0" w:firstRow="1" w:lastRow="0" w:firstColumn="1" w:lastColumn="0" w:noHBand="0" w:noVBand="1"/>
      </w:tblPr>
      <w:tblGrid>
        <w:gridCol w:w="988"/>
        <w:gridCol w:w="2551"/>
        <w:gridCol w:w="5289"/>
      </w:tblGrid>
      <w:tr w:rsidR="008E60A1" w:rsidRPr="008E60A1" w14:paraId="5B7BD633" w14:textId="77777777" w:rsidTr="00B96277">
        <w:trPr>
          <w:jc w:val="center"/>
        </w:trPr>
        <w:tc>
          <w:tcPr>
            <w:tcW w:w="8828" w:type="dxa"/>
            <w:gridSpan w:val="3"/>
            <w:tcBorders>
              <w:top w:val="nil"/>
              <w:left w:val="nil"/>
              <w:bottom w:val="single" w:sz="4" w:space="0" w:color="auto"/>
              <w:right w:val="nil"/>
            </w:tcBorders>
            <w:vAlign w:val="center"/>
          </w:tcPr>
          <w:p w14:paraId="0E187637" w14:textId="2AC71FFC" w:rsidR="008E60A1" w:rsidRPr="008E60A1" w:rsidRDefault="008E60A1" w:rsidP="008E60A1">
            <w:pPr>
              <w:jc w:val="center"/>
              <w:rPr>
                <w:rFonts w:eastAsia="Times New Roman"/>
                <w:b/>
                <w:bCs/>
                <w:sz w:val="22"/>
                <w:szCs w:val="22"/>
                <w:lang w:val="es-ES"/>
              </w:rPr>
            </w:pPr>
            <w:r w:rsidRPr="008E60A1">
              <w:rPr>
                <w:rFonts w:eastAsia="Times New Roman"/>
                <w:b/>
                <w:bCs/>
                <w:sz w:val="22"/>
                <w:szCs w:val="22"/>
                <w:lang w:val="es-ES"/>
              </w:rPr>
              <w:t>SUCURSALES A DISPOSICIÓN DE LOS CLIENTES AHORRADORES DE FICREA</w:t>
            </w:r>
          </w:p>
        </w:tc>
      </w:tr>
      <w:tr w:rsidR="008E60A1" w:rsidRPr="008E60A1" w14:paraId="168C776E" w14:textId="77777777" w:rsidTr="00B96277">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38D5418A" w14:textId="77777777" w:rsidR="008E60A1" w:rsidRPr="008E60A1" w:rsidRDefault="008E60A1" w:rsidP="008E60A1">
            <w:pPr>
              <w:jc w:val="center"/>
              <w:rPr>
                <w:rFonts w:eastAsia="Times New Roman"/>
                <w:b/>
                <w:bCs/>
                <w:sz w:val="20"/>
                <w:szCs w:val="20"/>
                <w:lang w:val="es-ES"/>
              </w:rPr>
            </w:pPr>
            <w:r w:rsidRPr="008E60A1">
              <w:rPr>
                <w:rFonts w:eastAsia="Times New Roman"/>
                <w:b/>
                <w:bCs/>
                <w:sz w:val="20"/>
                <w:szCs w:val="20"/>
                <w:lang w:val="es-ES"/>
              </w:rPr>
              <w:t>Número</w:t>
            </w:r>
          </w:p>
        </w:tc>
        <w:tc>
          <w:tcPr>
            <w:tcW w:w="2551" w:type="dxa"/>
            <w:tcBorders>
              <w:top w:val="single" w:sz="4" w:space="0" w:color="auto"/>
              <w:left w:val="single" w:sz="4" w:space="0" w:color="auto"/>
              <w:bottom w:val="single" w:sz="4" w:space="0" w:color="auto"/>
              <w:right w:val="single" w:sz="4" w:space="0" w:color="auto"/>
            </w:tcBorders>
            <w:vAlign w:val="center"/>
          </w:tcPr>
          <w:p w14:paraId="68400AE5" w14:textId="77777777" w:rsidR="008E60A1" w:rsidRPr="008E60A1" w:rsidRDefault="008E60A1" w:rsidP="008E60A1">
            <w:pPr>
              <w:jc w:val="center"/>
              <w:rPr>
                <w:rFonts w:eastAsia="Times New Roman"/>
                <w:b/>
                <w:bCs/>
                <w:sz w:val="20"/>
                <w:szCs w:val="20"/>
                <w:lang w:val="es-ES"/>
              </w:rPr>
            </w:pPr>
            <w:r w:rsidRPr="008E60A1">
              <w:rPr>
                <w:rFonts w:eastAsia="Times New Roman"/>
                <w:b/>
                <w:bCs/>
                <w:sz w:val="20"/>
                <w:szCs w:val="20"/>
                <w:lang w:val="es-ES"/>
              </w:rPr>
              <w:t>Sucursal</w:t>
            </w:r>
          </w:p>
        </w:tc>
        <w:tc>
          <w:tcPr>
            <w:tcW w:w="5289" w:type="dxa"/>
            <w:tcBorders>
              <w:top w:val="single" w:sz="4" w:space="0" w:color="auto"/>
              <w:left w:val="single" w:sz="4" w:space="0" w:color="auto"/>
              <w:bottom w:val="single" w:sz="4" w:space="0" w:color="auto"/>
              <w:right w:val="single" w:sz="4" w:space="0" w:color="auto"/>
            </w:tcBorders>
            <w:vAlign w:val="center"/>
          </w:tcPr>
          <w:p w14:paraId="7BEEE322" w14:textId="77777777" w:rsidR="008E60A1" w:rsidRPr="008E60A1" w:rsidRDefault="008E60A1" w:rsidP="008E60A1">
            <w:pPr>
              <w:jc w:val="center"/>
              <w:rPr>
                <w:rFonts w:eastAsia="Times New Roman"/>
                <w:b/>
                <w:bCs/>
                <w:sz w:val="20"/>
                <w:szCs w:val="20"/>
                <w:lang w:val="es-ES"/>
              </w:rPr>
            </w:pPr>
            <w:r w:rsidRPr="008E60A1">
              <w:rPr>
                <w:rFonts w:eastAsia="Times New Roman"/>
                <w:b/>
                <w:bCs/>
                <w:sz w:val="20"/>
                <w:szCs w:val="20"/>
                <w:lang w:val="es-ES"/>
              </w:rPr>
              <w:t>Dirección</w:t>
            </w:r>
          </w:p>
        </w:tc>
      </w:tr>
      <w:tr w:rsidR="008E60A1" w:rsidRPr="008E60A1" w14:paraId="4C950F17" w14:textId="77777777" w:rsidTr="00B96277">
        <w:trPr>
          <w:jc w:val="center"/>
        </w:trPr>
        <w:tc>
          <w:tcPr>
            <w:tcW w:w="988" w:type="dxa"/>
            <w:tcBorders>
              <w:top w:val="single" w:sz="4" w:space="0" w:color="auto"/>
              <w:left w:val="single" w:sz="4" w:space="0" w:color="auto"/>
              <w:bottom w:val="nil"/>
              <w:right w:val="single" w:sz="4" w:space="0" w:color="auto"/>
            </w:tcBorders>
            <w:vAlign w:val="center"/>
          </w:tcPr>
          <w:p w14:paraId="25CE75FA" w14:textId="77777777" w:rsidR="008E60A1" w:rsidRPr="008E60A1" w:rsidRDefault="008E60A1" w:rsidP="008E60A1">
            <w:pPr>
              <w:jc w:val="center"/>
              <w:rPr>
                <w:rFonts w:eastAsia="Times New Roman"/>
                <w:bCs/>
                <w:sz w:val="20"/>
                <w:szCs w:val="20"/>
                <w:lang w:val="es-ES"/>
              </w:rPr>
            </w:pPr>
            <w:r w:rsidRPr="008E60A1">
              <w:rPr>
                <w:rFonts w:eastAsia="Times New Roman"/>
                <w:bCs/>
                <w:sz w:val="20"/>
                <w:szCs w:val="20"/>
                <w:lang w:val="es-ES"/>
              </w:rPr>
              <w:t>1</w:t>
            </w:r>
          </w:p>
        </w:tc>
        <w:tc>
          <w:tcPr>
            <w:tcW w:w="2551" w:type="dxa"/>
            <w:tcBorders>
              <w:top w:val="single" w:sz="4" w:space="0" w:color="auto"/>
              <w:left w:val="single" w:sz="4" w:space="0" w:color="auto"/>
              <w:bottom w:val="nil"/>
              <w:right w:val="single" w:sz="4" w:space="0" w:color="auto"/>
            </w:tcBorders>
            <w:vAlign w:val="center"/>
          </w:tcPr>
          <w:p w14:paraId="7C90C871" w14:textId="77777777" w:rsidR="008E60A1" w:rsidRPr="008E60A1" w:rsidRDefault="008E60A1" w:rsidP="008E60A1">
            <w:pPr>
              <w:jc w:val="both"/>
              <w:rPr>
                <w:rFonts w:eastAsia="Times New Roman"/>
                <w:bCs/>
                <w:sz w:val="20"/>
                <w:szCs w:val="20"/>
                <w:lang w:val="es-ES"/>
              </w:rPr>
            </w:pPr>
            <w:r w:rsidRPr="008E60A1">
              <w:rPr>
                <w:rFonts w:eastAsia="Times New Roman"/>
                <w:bCs/>
                <w:sz w:val="20"/>
                <w:szCs w:val="20"/>
                <w:lang w:val="es-ES"/>
              </w:rPr>
              <w:t>Palmas III</w:t>
            </w:r>
          </w:p>
        </w:tc>
        <w:tc>
          <w:tcPr>
            <w:tcW w:w="5289" w:type="dxa"/>
            <w:tcBorders>
              <w:top w:val="single" w:sz="4" w:space="0" w:color="auto"/>
              <w:left w:val="single" w:sz="4" w:space="0" w:color="auto"/>
              <w:bottom w:val="nil"/>
              <w:right w:val="single" w:sz="4" w:space="0" w:color="auto"/>
            </w:tcBorders>
            <w:vAlign w:val="center"/>
          </w:tcPr>
          <w:p w14:paraId="596681F9" w14:textId="77777777" w:rsidR="008E60A1" w:rsidRPr="008E60A1" w:rsidRDefault="008E60A1" w:rsidP="002862A6">
            <w:pPr>
              <w:spacing w:before="60" w:after="60"/>
              <w:jc w:val="both"/>
              <w:rPr>
                <w:rFonts w:eastAsia="Times New Roman"/>
                <w:bCs/>
                <w:sz w:val="20"/>
                <w:szCs w:val="20"/>
                <w:lang w:val="es-ES"/>
              </w:rPr>
            </w:pPr>
            <w:r w:rsidRPr="008E60A1">
              <w:rPr>
                <w:rFonts w:eastAsia="Times New Roman"/>
                <w:bCs/>
                <w:sz w:val="20"/>
                <w:szCs w:val="20"/>
                <w:lang w:val="es-ES"/>
              </w:rPr>
              <w:t>Av. Paseo de Las Palmas “Torre Optima I” 405-201, Lomas de Chapultepec, México, Distrito Federal</w:t>
            </w:r>
          </w:p>
        </w:tc>
      </w:tr>
      <w:tr w:rsidR="008E60A1" w:rsidRPr="008E60A1" w14:paraId="7CC6561E" w14:textId="77777777" w:rsidTr="008E60A1">
        <w:trPr>
          <w:jc w:val="center"/>
        </w:trPr>
        <w:tc>
          <w:tcPr>
            <w:tcW w:w="988" w:type="dxa"/>
            <w:tcBorders>
              <w:top w:val="nil"/>
              <w:left w:val="single" w:sz="4" w:space="0" w:color="auto"/>
              <w:bottom w:val="nil"/>
              <w:right w:val="single" w:sz="4" w:space="0" w:color="auto"/>
            </w:tcBorders>
            <w:vAlign w:val="center"/>
          </w:tcPr>
          <w:p w14:paraId="0D70B2D6" w14:textId="77777777" w:rsidR="008E60A1" w:rsidRPr="008E60A1" w:rsidRDefault="008E60A1" w:rsidP="008E60A1">
            <w:pPr>
              <w:jc w:val="center"/>
              <w:rPr>
                <w:rFonts w:eastAsia="Times New Roman"/>
                <w:bCs/>
                <w:sz w:val="20"/>
                <w:szCs w:val="20"/>
                <w:lang w:val="es-ES"/>
              </w:rPr>
            </w:pPr>
            <w:r w:rsidRPr="008E60A1">
              <w:rPr>
                <w:rFonts w:eastAsia="Times New Roman"/>
                <w:bCs/>
                <w:sz w:val="20"/>
                <w:szCs w:val="20"/>
                <w:lang w:val="es-ES"/>
              </w:rPr>
              <w:t>2</w:t>
            </w:r>
          </w:p>
        </w:tc>
        <w:tc>
          <w:tcPr>
            <w:tcW w:w="2551" w:type="dxa"/>
            <w:tcBorders>
              <w:top w:val="nil"/>
              <w:left w:val="single" w:sz="4" w:space="0" w:color="auto"/>
              <w:bottom w:val="nil"/>
              <w:right w:val="single" w:sz="4" w:space="0" w:color="auto"/>
            </w:tcBorders>
            <w:vAlign w:val="center"/>
          </w:tcPr>
          <w:p w14:paraId="3789682D" w14:textId="77777777" w:rsidR="008E60A1" w:rsidRPr="008E60A1" w:rsidRDefault="008E60A1" w:rsidP="008E60A1">
            <w:pPr>
              <w:jc w:val="both"/>
              <w:rPr>
                <w:rFonts w:eastAsia="Times New Roman"/>
                <w:bCs/>
                <w:sz w:val="20"/>
                <w:szCs w:val="20"/>
                <w:lang w:val="es-ES"/>
              </w:rPr>
            </w:pPr>
            <w:r w:rsidRPr="008E60A1">
              <w:rPr>
                <w:rFonts w:eastAsia="Times New Roman"/>
                <w:bCs/>
                <w:sz w:val="20"/>
                <w:szCs w:val="20"/>
                <w:lang w:val="es-ES"/>
              </w:rPr>
              <w:t>Sucursal D.F.</w:t>
            </w:r>
          </w:p>
        </w:tc>
        <w:tc>
          <w:tcPr>
            <w:tcW w:w="5289" w:type="dxa"/>
            <w:tcBorders>
              <w:top w:val="nil"/>
              <w:left w:val="single" w:sz="4" w:space="0" w:color="auto"/>
              <w:bottom w:val="nil"/>
              <w:right w:val="single" w:sz="4" w:space="0" w:color="auto"/>
            </w:tcBorders>
            <w:vAlign w:val="center"/>
          </w:tcPr>
          <w:p w14:paraId="2D6E552C" w14:textId="3EDDC92A" w:rsidR="008E60A1" w:rsidRPr="008E60A1" w:rsidRDefault="008E60A1" w:rsidP="002B6043">
            <w:pPr>
              <w:spacing w:before="60" w:after="60"/>
              <w:jc w:val="both"/>
              <w:rPr>
                <w:rFonts w:eastAsia="Times New Roman"/>
                <w:bCs/>
                <w:sz w:val="20"/>
                <w:szCs w:val="20"/>
                <w:lang w:val="es-ES"/>
              </w:rPr>
            </w:pPr>
            <w:r w:rsidRPr="008E60A1">
              <w:rPr>
                <w:rFonts w:eastAsia="Times New Roman"/>
                <w:bCs/>
                <w:sz w:val="20"/>
                <w:szCs w:val="20"/>
                <w:lang w:val="es-ES"/>
              </w:rPr>
              <w:t>Mont</w:t>
            </w:r>
            <w:r w:rsidR="002862A6">
              <w:rPr>
                <w:rFonts w:eastAsia="Times New Roman"/>
                <w:bCs/>
                <w:sz w:val="20"/>
                <w:szCs w:val="20"/>
                <w:lang w:val="es-ES"/>
              </w:rPr>
              <w:t>e</w:t>
            </w:r>
            <w:r w:rsidRPr="008E60A1">
              <w:rPr>
                <w:rFonts w:eastAsia="Times New Roman"/>
                <w:bCs/>
                <w:sz w:val="20"/>
                <w:szCs w:val="20"/>
                <w:lang w:val="es-ES"/>
              </w:rPr>
              <w:t xml:space="preserve"> Camerún 120 2</w:t>
            </w:r>
            <w:r w:rsidR="002B6043">
              <w:rPr>
                <w:rFonts w:eastAsia="Times New Roman"/>
                <w:bCs/>
                <w:sz w:val="20"/>
                <w:szCs w:val="20"/>
                <w:lang w:val="es-ES"/>
              </w:rPr>
              <w:t xml:space="preserve">º </w:t>
            </w:r>
            <w:r w:rsidRPr="008E60A1">
              <w:rPr>
                <w:rFonts w:eastAsia="Times New Roman"/>
                <w:bCs/>
                <w:sz w:val="20"/>
                <w:szCs w:val="20"/>
                <w:lang w:val="es-ES"/>
              </w:rPr>
              <w:t>Piso, Lomas de Barrilaco, México, Distrito Federal</w:t>
            </w:r>
          </w:p>
        </w:tc>
      </w:tr>
      <w:tr w:rsidR="008E60A1" w:rsidRPr="008E60A1" w14:paraId="55A2A9FA" w14:textId="77777777" w:rsidTr="008E60A1">
        <w:trPr>
          <w:jc w:val="center"/>
        </w:trPr>
        <w:tc>
          <w:tcPr>
            <w:tcW w:w="988" w:type="dxa"/>
            <w:tcBorders>
              <w:top w:val="nil"/>
              <w:left w:val="single" w:sz="4" w:space="0" w:color="auto"/>
              <w:bottom w:val="nil"/>
              <w:right w:val="single" w:sz="4" w:space="0" w:color="auto"/>
            </w:tcBorders>
            <w:vAlign w:val="center"/>
          </w:tcPr>
          <w:p w14:paraId="5FE2B4A2" w14:textId="77777777" w:rsidR="008E60A1" w:rsidRPr="008E60A1" w:rsidRDefault="008E60A1" w:rsidP="008E60A1">
            <w:pPr>
              <w:jc w:val="center"/>
              <w:rPr>
                <w:rFonts w:eastAsia="Times New Roman"/>
                <w:bCs/>
                <w:sz w:val="20"/>
                <w:szCs w:val="20"/>
                <w:lang w:val="es-ES"/>
              </w:rPr>
            </w:pPr>
            <w:r w:rsidRPr="008E60A1">
              <w:rPr>
                <w:rFonts w:eastAsia="Times New Roman"/>
                <w:bCs/>
                <w:sz w:val="20"/>
                <w:szCs w:val="20"/>
                <w:lang w:val="es-ES"/>
              </w:rPr>
              <w:t>3</w:t>
            </w:r>
          </w:p>
        </w:tc>
        <w:tc>
          <w:tcPr>
            <w:tcW w:w="2551" w:type="dxa"/>
            <w:tcBorders>
              <w:top w:val="nil"/>
              <w:left w:val="single" w:sz="4" w:space="0" w:color="auto"/>
              <w:bottom w:val="nil"/>
              <w:right w:val="single" w:sz="4" w:space="0" w:color="auto"/>
            </w:tcBorders>
            <w:vAlign w:val="center"/>
          </w:tcPr>
          <w:p w14:paraId="17388EE2" w14:textId="77777777" w:rsidR="008E60A1" w:rsidRPr="008E60A1" w:rsidRDefault="008E60A1" w:rsidP="008E60A1">
            <w:pPr>
              <w:jc w:val="both"/>
              <w:rPr>
                <w:rFonts w:eastAsia="Times New Roman"/>
                <w:bCs/>
                <w:sz w:val="20"/>
                <w:szCs w:val="20"/>
                <w:lang w:val="es-ES"/>
              </w:rPr>
            </w:pPr>
            <w:r w:rsidRPr="008E60A1">
              <w:rPr>
                <w:rFonts w:eastAsia="Times New Roman"/>
                <w:bCs/>
                <w:sz w:val="20"/>
                <w:szCs w:val="20"/>
                <w:lang w:val="es-ES"/>
              </w:rPr>
              <w:t>Palmas I</w:t>
            </w:r>
          </w:p>
        </w:tc>
        <w:tc>
          <w:tcPr>
            <w:tcW w:w="5289" w:type="dxa"/>
            <w:tcBorders>
              <w:top w:val="nil"/>
              <w:left w:val="single" w:sz="4" w:space="0" w:color="auto"/>
              <w:bottom w:val="nil"/>
              <w:right w:val="single" w:sz="4" w:space="0" w:color="auto"/>
            </w:tcBorders>
            <w:vAlign w:val="center"/>
          </w:tcPr>
          <w:p w14:paraId="6FCE3A62" w14:textId="578F63D3" w:rsidR="008E60A1" w:rsidRPr="008E60A1" w:rsidRDefault="008E60A1" w:rsidP="002B6043">
            <w:pPr>
              <w:spacing w:before="60" w:after="60"/>
              <w:jc w:val="both"/>
              <w:rPr>
                <w:rFonts w:eastAsia="Times New Roman"/>
                <w:bCs/>
                <w:sz w:val="20"/>
                <w:szCs w:val="20"/>
                <w:lang w:val="es-ES"/>
              </w:rPr>
            </w:pPr>
            <w:r w:rsidRPr="008E60A1">
              <w:rPr>
                <w:rFonts w:eastAsia="Times New Roman"/>
                <w:bCs/>
                <w:sz w:val="20"/>
                <w:szCs w:val="20"/>
                <w:lang w:val="es-ES"/>
              </w:rPr>
              <w:t>Av. Paseo de Las Palmas “Torre Optima II” No. 275 401-</w:t>
            </w:r>
            <w:r w:rsidR="002B6043">
              <w:rPr>
                <w:rFonts w:eastAsia="Times New Roman"/>
                <w:bCs/>
                <w:sz w:val="20"/>
                <w:szCs w:val="20"/>
                <w:lang w:val="es-ES"/>
              </w:rPr>
              <w:t>4</w:t>
            </w:r>
            <w:r w:rsidRPr="008E60A1">
              <w:rPr>
                <w:rFonts w:eastAsia="Times New Roman"/>
                <w:bCs/>
                <w:sz w:val="20"/>
                <w:szCs w:val="20"/>
                <w:lang w:val="es-ES"/>
              </w:rPr>
              <w:t>02, Lomas de Chapultepec, México, Distrito Federal</w:t>
            </w:r>
          </w:p>
        </w:tc>
      </w:tr>
      <w:tr w:rsidR="008E60A1" w:rsidRPr="008E60A1" w14:paraId="3E6F32BD" w14:textId="77777777" w:rsidTr="008E60A1">
        <w:trPr>
          <w:jc w:val="center"/>
        </w:trPr>
        <w:tc>
          <w:tcPr>
            <w:tcW w:w="988" w:type="dxa"/>
            <w:tcBorders>
              <w:top w:val="nil"/>
              <w:left w:val="single" w:sz="4" w:space="0" w:color="auto"/>
              <w:bottom w:val="nil"/>
              <w:right w:val="single" w:sz="4" w:space="0" w:color="auto"/>
            </w:tcBorders>
            <w:vAlign w:val="center"/>
          </w:tcPr>
          <w:p w14:paraId="5C5FB6B5" w14:textId="77777777" w:rsidR="008E60A1" w:rsidRPr="008E60A1" w:rsidRDefault="008E60A1" w:rsidP="008E60A1">
            <w:pPr>
              <w:jc w:val="center"/>
              <w:rPr>
                <w:rFonts w:eastAsia="Times New Roman"/>
                <w:bCs/>
                <w:sz w:val="20"/>
                <w:szCs w:val="20"/>
                <w:lang w:val="es-ES"/>
              </w:rPr>
            </w:pPr>
            <w:r w:rsidRPr="008E60A1">
              <w:rPr>
                <w:rFonts w:eastAsia="Times New Roman"/>
                <w:bCs/>
                <w:sz w:val="20"/>
                <w:szCs w:val="20"/>
                <w:lang w:val="es-ES"/>
              </w:rPr>
              <w:t>4</w:t>
            </w:r>
          </w:p>
        </w:tc>
        <w:tc>
          <w:tcPr>
            <w:tcW w:w="2551" w:type="dxa"/>
            <w:tcBorders>
              <w:top w:val="nil"/>
              <w:left w:val="single" w:sz="4" w:space="0" w:color="auto"/>
              <w:bottom w:val="nil"/>
              <w:right w:val="single" w:sz="4" w:space="0" w:color="auto"/>
            </w:tcBorders>
            <w:vAlign w:val="center"/>
          </w:tcPr>
          <w:p w14:paraId="5EF12441" w14:textId="77777777" w:rsidR="008E60A1" w:rsidRPr="008E60A1" w:rsidRDefault="008E60A1" w:rsidP="008E60A1">
            <w:pPr>
              <w:jc w:val="both"/>
              <w:rPr>
                <w:rFonts w:eastAsia="Times New Roman"/>
                <w:bCs/>
                <w:sz w:val="20"/>
                <w:szCs w:val="20"/>
                <w:lang w:val="es-ES"/>
              </w:rPr>
            </w:pPr>
            <w:r w:rsidRPr="008E60A1">
              <w:rPr>
                <w:rFonts w:eastAsia="Times New Roman"/>
                <w:bCs/>
                <w:sz w:val="20"/>
                <w:szCs w:val="20"/>
                <w:lang w:val="es-ES"/>
              </w:rPr>
              <w:t xml:space="preserve">Cuautitlán </w:t>
            </w:r>
          </w:p>
        </w:tc>
        <w:tc>
          <w:tcPr>
            <w:tcW w:w="5289" w:type="dxa"/>
            <w:tcBorders>
              <w:top w:val="nil"/>
              <w:left w:val="single" w:sz="4" w:space="0" w:color="auto"/>
              <w:bottom w:val="nil"/>
              <w:right w:val="single" w:sz="4" w:space="0" w:color="auto"/>
            </w:tcBorders>
            <w:vAlign w:val="center"/>
          </w:tcPr>
          <w:p w14:paraId="6408BE08" w14:textId="77777777" w:rsidR="008E60A1" w:rsidRPr="008E60A1" w:rsidRDefault="008E60A1" w:rsidP="002862A6">
            <w:pPr>
              <w:spacing w:before="60" w:after="60"/>
              <w:jc w:val="both"/>
              <w:rPr>
                <w:rFonts w:eastAsia="Times New Roman"/>
                <w:bCs/>
                <w:sz w:val="20"/>
                <w:szCs w:val="20"/>
                <w:lang w:val="es-ES"/>
              </w:rPr>
            </w:pPr>
            <w:r w:rsidRPr="008E60A1">
              <w:rPr>
                <w:rFonts w:eastAsia="Times New Roman"/>
                <w:bCs/>
                <w:sz w:val="20"/>
                <w:szCs w:val="20"/>
                <w:lang w:val="es-ES"/>
              </w:rPr>
              <w:t xml:space="preserve">Av. 1 de Mayo Mza. 24-B, San Isidro Cuautitlán Izcalli, Estado de México </w:t>
            </w:r>
          </w:p>
        </w:tc>
      </w:tr>
      <w:tr w:rsidR="008E60A1" w:rsidRPr="008E60A1" w14:paraId="7734B031" w14:textId="77777777" w:rsidTr="008E60A1">
        <w:trPr>
          <w:jc w:val="center"/>
        </w:trPr>
        <w:tc>
          <w:tcPr>
            <w:tcW w:w="988" w:type="dxa"/>
            <w:tcBorders>
              <w:top w:val="nil"/>
              <w:left w:val="single" w:sz="4" w:space="0" w:color="auto"/>
              <w:bottom w:val="nil"/>
              <w:right w:val="single" w:sz="4" w:space="0" w:color="auto"/>
            </w:tcBorders>
            <w:vAlign w:val="center"/>
          </w:tcPr>
          <w:p w14:paraId="4AFA63D6" w14:textId="77777777" w:rsidR="008E60A1" w:rsidRPr="008E60A1" w:rsidRDefault="008E60A1" w:rsidP="008E60A1">
            <w:pPr>
              <w:jc w:val="center"/>
              <w:rPr>
                <w:rFonts w:eastAsia="Times New Roman"/>
                <w:bCs/>
                <w:sz w:val="20"/>
                <w:szCs w:val="20"/>
                <w:lang w:val="es-ES"/>
              </w:rPr>
            </w:pPr>
            <w:r w:rsidRPr="008E60A1">
              <w:rPr>
                <w:rFonts w:eastAsia="Times New Roman"/>
                <w:bCs/>
                <w:sz w:val="20"/>
                <w:szCs w:val="20"/>
                <w:lang w:val="es-ES"/>
              </w:rPr>
              <w:t>5</w:t>
            </w:r>
          </w:p>
        </w:tc>
        <w:tc>
          <w:tcPr>
            <w:tcW w:w="2551" w:type="dxa"/>
            <w:tcBorders>
              <w:top w:val="nil"/>
              <w:left w:val="single" w:sz="4" w:space="0" w:color="auto"/>
              <w:bottom w:val="nil"/>
              <w:right w:val="single" w:sz="4" w:space="0" w:color="auto"/>
            </w:tcBorders>
            <w:vAlign w:val="center"/>
          </w:tcPr>
          <w:p w14:paraId="02D4E728" w14:textId="77777777" w:rsidR="008E60A1" w:rsidRPr="008E60A1" w:rsidRDefault="008E60A1" w:rsidP="008E60A1">
            <w:pPr>
              <w:jc w:val="both"/>
              <w:rPr>
                <w:rFonts w:eastAsia="Times New Roman"/>
                <w:bCs/>
                <w:sz w:val="20"/>
                <w:szCs w:val="20"/>
                <w:lang w:val="es-ES"/>
              </w:rPr>
            </w:pPr>
            <w:r w:rsidRPr="008E60A1">
              <w:rPr>
                <w:rFonts w:eastAsia="Times New Roman"/>
                <w:bCs/>
                <w:sz w:val="20"/>
                <w:szCs w:val="20"/>
                <w:lang w:val="es-ES"/>
              </w:rPr>
              <w:t>Naucalpan (San Mateo)</w:t>
            </w:r>
          </w:p>
        </w:tc>
        <w:tc>
          <w:tcPr>
            <w:tcW w:w="5289" w:type="dxa"/>
            <w:tcBorders>
              <w:top w:val="nil"/>
              <w:left w:val="single" w:sz="4" w:space="0" w:color="auto"/>
              <w:bottom w:val="nil"/>
              <w:right w:val="single" w:sz="4" w:space="0" w:color="auto"/>
            </w:tcBorders>
            <w:vAlign w:val="center"/>
          </w:tcPr>
          <w:p w14:paraId="3CB497EA" w14:textId="77777777" w:rsidR="008E60A1" w:rsidRPr="008E60A1" w:rsidRDefault="008E60A1" w:rsidP="002862A6">
            <w:pPr>
              <w:spacing w:before="60" w:after="60"/>
              <w:jc w:val="both"/>
              <w:rPr>
                <w:rFonts w:eastAsia="Times New Roman"/>
                <w:bCs/>
                <w:sz w:val="20"/>
                <w:szCs w:val="20"/>
                <w:lang w:val="es-ES"/>
              </w:rPr>
            </w:pPr>
            <w:r w:rsidRPr="008E60A1">
              <w:rPr>
                <w:rFonts w:eastAsia="Times New Roman"/>
                <w:bCs/>
                <w:sz w:val="20"/>
                <w:szCs w:val="20"/>
                <w:lang w:val="es-ES"/>
              </w:rPr>
              <w:t>Av. López Mateos 201 L Cinemex L3, Santa Cruz Acatlán, Naucalpan de Juárez</w:t>
            </w:r>
          </w:p>
        </w:tc>
      </w:tr>
      <w:tr w:rsidR="008E60A1" w:rsidRPr="008E60A1" w14:paraId="26953078" w14:textId="77777777" w:rsidTr="008E60A1">
        <w:trPr>
          <w:jc w:val="center"/>
        </w:trPr>
        <w:tc>
          <w:tcPr>
            <w:tcW w:w="988" w:type="dxa"/>
            <w:tcBorders>
              <w:top w:val="nil"/>
              <w:left w:val="single" w:sz="4" w:space="0" w:color="auto"/>
              <w:bottom w:val="nil"/>
              <w:right w:val="single" w:sz="4" w:space="0" w:color="auto"/>
            </w:tcBorders>
            <w:vAlign w:val="center"/>
          </w:tcPr>
          <w:p w14:paraId="3B5843E2" w14:textId="77777777" w:rsidR="008E60A1" w:rsidRPr="008E60A1" w:rsidRDefault="008E60A1" w:rsidP="008E60A1">
            <w:pPr>
              <w:jc w:val="center"/>
              <w:rPr>
                <w:rFonts w:eastAsia="Times New Roman"/>
                <w:bCs/>
                <w:sz w:val="20"/>
                <w:szCs w:val="20"/>
                <w:lang w:val="es-ES"/>
              </w:rPr>
            </w:pPr>
            <w:r w:rsidRPr="008E60A1">
              <w:rPr>
                <w:rFonts w:eastAsia="Times New Roman"/>
                <w:bCs/>
                <w:sz w:val="20"/>
                <w:szCs w:val="20"/>
                <w:lang w:val="es-ES"/>
              </w:rPr>
              <w:t>6</w:t>
            </w:r>
          </w:p>
        </w:tc>
        <w:tc>
          <w:tcPr>
            <w:tcW w:w="2551" w:type="dxa"/>
            <w:tcBorders>
              <w:top w:val="nil"/>
              <w:left w:val="single" w:sz="4" w:space="0" w:color="auto"/>
              <w:bottom w:val="nil"/>
              <w:right w:val="single" w:sz="4" w:space="0" w:color="auto"/>
            </w:tcBorders>
            <w:vAlign w:val="center"/>
          </w:tcPr>
          <w:p w14:paraId="44310726" w14:textId="77777777" w:rsidR="008E60A1" w:rsidRPr="008E60A1" w:rsidRDefault="008E60A1" w:rsidP="008E60A1">
            <w:pPr>
              <w:jc w:val="both"/>
              <w:rPr>
                <w:rFonts w:eastAsia="Times New Roman"/>
                <w:bCs/>
                <w:sz w:val="20"/>
                <w:szCs w:val="20"/>
                <w:lang w:val="es-ES"/>
              </w:rPr>
            </w:pPr>
            <w:r w:rsidRPr="008E60A1">
              <w:rPr>
                <w:rFonts w:eastAsia="Times New Roman"/>
                <w:bCs/>
                <w:sz w:val="20"/>
                <w:szCs w:val="20"/>
                <w:lang w:val="es-ES"/>
              </w:rPr>
              <w:t>Tlalnepantla (Arboledas)</w:t>
            </w:r>
          </w:p>
        </w:tc>
        <w:tc>
          <w:tcPr>
            <w:tcW w:w="5289" w:type="dxa"/>
            <w:tcBorders>
              <w:top w:val="nil"/>
              <w:left w:val="single" w:sz="4" w:space="0" w:color="auto"/>
              <w:bottom w:val="nil"/>
              <w:right w:val="single" w:sz="4" w:space="0" w:color="auto"/>
            </w:tcBorders>
            <w:vAlign w:val="center"/>
          </w:tcPr>
          <w:p w14:paraId="27EC12AD" w14:textId="77777777" w:rsidR="008E60A1" w:rsidRPr="008E60A1" w:rsidRDefault="008E60A1" w:rsidP="002862A6">
            <w:pPr>
              <w:spacing w:before="60" w:after="60"/>
              <w:jc w:val="both"/>
              <w:rPr>
                <w:rFonts w:eastAsia="Times New Roman"/>
                <w:bCs/>
                <w:sz w:val="20"/>
                <w:szCs w:val="20"/>
                <w:lang w:val="es-ES"/>
              </w:rPr>
            </w:pPr>
            <w:r w:rsidRPr="008E60A1">
              <w:rPr>
                <w:rFonts w:eastAsia="Times New Roman"/>
                <w:bCs/>
                <w:sz w:val="20"/>
                <w:szCs w:val="20"/>
                <w:lang w:val="es-ES"/>
              </w:rPr>
              <w:t>Vía Gustavo Baz 4001 L056, Industrial Tlalnepantla, Estado de México</w:t>
            </w:r>
          </w:p>
        </w:tc>
      </w:tr>
      <w:tr w:rsidR="008E60A1" w:rsidRPr="008E60A1" w14:paraId="7F883DB7" w14:textId="77777777" w:rsidTr="008E60A1">
        <w:trPr>
          <w:jc w:val="center"/>
        </w:trPr>
        <w:tc>
          <w:tcPr>
            <w:tcW w:w="988" w:type="dxa"/>
            <w:tcBorders>
              <w:top w:val="nil"/>
              <w:left w:val="single" w:sz="4" w:space="0" w:color="auto"/>
              <w:bottom w:val="nil"/>
              <w:right w:val="single" w:sz="4" w:space="0" w:color="auto"/>
            </w:tcBorders>
            <w:vAlign w:val="center"/>
          </w:tcPr>
          <w:p w14:paraId="44713938" w14:textId="77777777" w:rsidR="008E60A1" w:rsidRPr="008E60A1" w:rsidRDefault="008E60A1" w:rsidP="008E60A1">
            <w:pPr>
              <w:jc w:val="center"/>
              <w:rPr>
                <w:rFonts w:eastAsia="Times New Roman"/>
                <w:bCs/>
                <w:sz w:val="20"/>
                <w:szCs w:val="20"/>
                <w:lang w:val="es-ES"/>
              </w:rPr>
            </w:pPr>
            <w:r w:rsidRPr="008E60A1">
              <w:rPr>
                <w:rFonts w:eastAsia="Times New Roman"/>
                <w:bCs/>
                <w:sz w:val="20"/>
                <w:szCs w:val="20"/>
                <w:lang w:val="es-ES"/>
              </w:rPr>
              <w:t>7</w:t>
            </w:r>
          </w:p>
        </w:tc>
        <w:tc>
          <w:tcPr>
            <w:tcW w:w="2551" w:type="dxa"/>
            <w:tcBorders>
              <w:top w:val="nil"/>
              <w:left w:val="single" w:sz="4" w:space="0" w:color="auto"/>
              <w:bottom w:val="nil"/>
              <w:right w:val="single" w:sz="4" w:space="0" w:color="auto"/>
            </w:tcBorders>
            <w:vAlign w:val="center"/>
          </w:tcPr>
          <w:p w14:paraId="46ACFA13" w14:textId="77777777" w:rsidR="008E60A1" w:rsidRPr="008E60A1" w:rsidRDefault="008E60A1" w:rsidP="008E60A1">
            <w:pPr>
              <w:jc w:val="both"/>
              <w:rPr>
                <w:rFonts w:eastAsia="Times New Roman"/>
                <w:bCs/>
                <w:sz w:val="20"/>
                <w:szCs w:val="20"/>
                <w:lang w:val="es-ES"/>
              </w:rPr>
            </w:pPr>
            <w:r w:rsidRPr="008E60A1">
              <w:rPr>
                <w:rFonts w:eastAsia="Times New Roman"/>
                <w:bCs/>
                <w:sz w:val="20"/>
                <w:szCs w:val="20"/>
                <w:lang w:val="es-ES"/>
              </w:rPr>
              <w:t>Ecatepec</w:t>
            </w:r>
          </w:p>
        </w:tc>
        <w:tc>
          <w:tcPr>
            <w:tcW w:w="5289" w:type="dxa"/>
            <w:tcBorders>
              <w:top w:val="nil"/>
              <w:left w:val="single" w:sz="4" w:space="0" w:color="auto"/>
              <w:bottom w:val="nil"/>
              <w:right w:val="single" w:sz="4" w:space="0" w:color="auto"/>
            </w:tcBorders>
            <w:vAlign w:val="center"/>
          </w:tcPr>
          <w:p w14:paraId="750297D8" w14:textId="77777777" w:rsidR="008E60A1" w:rsidRPr="008E60A1" w:rsidRDefault="008E60A1" w:rsidP="002862A6">
            <w:pPr>
              <w:spacing w:before="60" w:after="60"/>
              <w:jc w:val="both"/>
              <w:rPr>
                <w:rFonts w:eastAsia="Times New Roman"/>
                <w:bCs/>
                <w:sz w:val="20"/>
                <w:szCs w:val="20"/>
                <w:lang w:val="es-ES"/>
              </w:rPr>
            </w:pPr>
            <w:r w:rsidRPr="008E60A1">
              <w:rPr>
                <w:rFonts w:eastAsia="Times New Roman"/>
                <w:bCs/>
                <w:sz w:val="20"/>
                <w:szCs w:val="20"/>
                <w:lang w:val="es-ES"/>
              </w:rPr>
              <w:t>Av. Central, Manzana 4 Lote 1 y 2, Local 25 y 26, Conjunto Urbano Las Américas, Ecatepec de Morelos, Estado de México</w:t>
            </w:r>
          </w:p>
        </w:tc>
      </w:tr>
      <w:tr w:rsidR="008E60A1" w:rsidRPr="008E60A1" w14:paraId="10BFC024" w14:textId="77777777" w:rsidTr="008E60A1">
        <w:trPr>
          <w:jc w:val="center"/>
        </w:trPr>
        <w:tc>
          <w:tcPr>
            <w:tcW w:w="988" w:type="dxa"/>
            <w:tcBorders>
              <w:top w:val="nil"/>
              <w:left w:val="single" w:sz="4" w:space="0" w:color="auto"/>
              <w:bottom w:val="nil"/>
              <w:right w:val="single" w:sz="4" w:space="0" w:color="auto"/>
            </w:tcBorders>
            <w:vAlign w:val="center"/>
          </w:tcPr>
          <w:p w14:paraId="28B48640" w14:textId="77777777" w:rsidR="008E60A1" w:rsidRPr="008E60A1" w:rsidRDefault="008E60A1" w:rsidP="008E60A1">
            <w:pPr>
              <w:jc w:val="center"/>
              <w:rPr>
                <w:rFonts w:eastAsia="Times New Roman"/>
                <w:bCs/>
                <w:sz w:val="20"/>
                <w:szCs w:val="20"/>
                <w:lang w:val="es-ES"/>
              </w:rPr>
            </w:pPr>
            <w:r w:rsidRPr="008E60A1">
              <w:rPr>
                <w:rFonts w:eastAsia="Times New Roman"/>
                <w:bCs/>
                <w:sz w:val="20"/>
                <w:szCs w:val="20"/>
                <w:lang w:val="es-ES"/>
              </w:rPr>
              <w:t>8</w:t>
            </w:r>
          </w:p>
        </w:tc>
        <w:tc>
          <w:tcPr>
            <w:tcW w:w="2551" w:type="dxa"/>
            <w:tcBorders>
              <w:top w:val="nil"/>
              <w:left w:val="single" w:sz="4" w:space="0" w:color="auto"/>
              <w:bottom w:val="nil"/>
              <w:right w:val="single" w:sz="4" w:space="0" w:color="auto"/>
            </w:tcBorders>
            <w:vAlign w:val="center"/>
          </w:tcPr>
          <w:p w14:paraId="308F06F7" w14:textId="77777777" w:rsidR="008E60A1" w:rsidRPr="008E60A1" w:rsidRDefault="008E60A1" w:rsidP="008E60A1">
            <w:pPr>
              <w:jc w:val="both"/>
              <w:rPr>
                <w:rFonts w:eastAsia="Times New Roman"/>
                <w:bCs/>
                <w:sz w:val="20"/>
                <w:szCs w:val="20"/>
                <w:lang w:val="es-ES"/>
              </w:rPr>
            </w:pPr>
            <w:r w:rsidRPr="008E60A1">
              <w:rPr>
                <w:rFonts w:eastAsia="Times New Roman"/>
                <w:bCs/>
                <w:sz w:val="20"/>
                <w:szCs w:val="20"/>
                <w:lang w:val="es-ES"/>
              </w:rPr>
              <w:t>Filadelfía</w:t>
            </w:r>
          </w:p>
        </w:tc>
        <w:tc>
          <w:tcPr>
            <w:tcW w:w="5289" w:type="dxa"/>
            <w:tcBorders>
              <w:top w:val="nil"/>
              <w:left w:val="single" w:sz="4" w:space="0" w:color="auto"/>
              <w:bottom w:val="nil"/>
              <w:right w:val="single" w:sz="4" w:space="0" w:color="auto"/>
            </w:tcBorders>
            <w:vAlign w:val="center"/>
          </w:tcPr>
          <w:p w14:paraId="7A0AF0AB" w14:textId="77777777" w:rsidR="008E60A1" w:rsidRPr="008E60A1" w:rsidRDefault="008E60A1" w:rsidP="002862A6">
            <w:pPr>
              <w:spacing w:before="60" w:after="60"/>
              <w:jc w:val="both"/>
              <w:rPr>
                <w:rFonts w:eastAsia="Times New Roman"/>
                <w:bCs/>
                <w:sz w:val="20"/>
                <w:szCs w:val="20"/>
                <w:lang w:val="es-ES"/>
              </w:rPr>
            </w:pPr>
            <w:r w:rsidRPr="008E60A1">
              <w:rPr>
                <w:rFonts w:eastAsia="Times New Roman"/>
                <w:bCs/>
                <w:sz w:val="20"/>
                <w:szCs w:val="20"/>
                <w:lang w:val="es-ES"/>
              </w:rPr>
              <w:t xml:space="preserve">Filadelfía 1137, Circunvalación Américas, Guadalajara, Jalisco </w:t>
            </w:r>
          </w:p>
        </w:tc>
      </w:tr>
      <w:tr w:rsidR="008E60A1" w:rsidRPr="008E60A1" w14:paraId="61355FF5" w14:textId="77777777" w:rsidTr="008E60A1">
        <w:trPr>
          <w:jc w:val="center"/>
        </w:trPr>
        <w:tc>
          <w:tcPr>
            <w:tcW w:w="988" w:type="dxa"/>
            <w:tcBorders>
              <w:top w:val="nil"/>
              <w:left w:val="single" w:sz="4" w:space="0" w:color="auto"/>
              <w:bottom w:val="nil"/>
              <w:right w:val="single" w:sz="4" w:space="0" w:color="auto"/>
            </w:tcBorders>
            <w:vAlign w:val="center"/>
          </w:tcPr>
          <w:p w14:paraId="273AEDD6" w14:textId="77777777" w:rsidR="008E60A1" w:rsidRPr="008E60A1" w:rsidRDefault="008E60A1" w:rsidP="008E60A1">
            <w:pPr>
              <w:jc w:val="center"/>
              <w:rPr>
                <w:rFonts w:eastAsia="Times New Roman"/>
                <w:bCs/>
                <w:sz w:val="20"/>
                <w:szCs w:val="20"/>
                <w:lang w:val="es-ES"/>
              </w:rPr>
            </w:pPr>
            <w:r w:rsidRPr="008E60A1">
              <w:rPr>
                <w:rFonts w:eastAsia="Times New Roman"/>
                <w:bCs/>
                <w:sz w:val="20"/>
                <w:szCs w:val="20"/>
                <w:lang w:val="es-ES"/>
              </w:rPr>
              <w:t>9</w:t>
            </w:r>
          </w:p>
        </w:tc>
        <w:tc>
          <w:tcPr>
            <w:tcW w:w="2551" w:type="dxa"/>
            <w:tcBorders>
              <w:top w:val="nil"/>
              <w:left w:val="single" w:sz="4" w:space="0" w:color="auto"/>
              <w:bottom w:val="nil"/>
              <w:right w:val="single" w:sz="4" w:space="0" w:color="auto"/>
            </w:tcBorders>
            <w:vAlign w:val="center"/>
          </w:tcPr>
          <w:p w14:paraId="1AC2EC88" w14:textId="77777777" w:rsidR="008E60A1" w:rsidRPr="008E60A1" w:rsidRDefault="008E60A1" w:rsidP="008E60A1">
            <w:pPr>
              <w:jc w:val="both"/>
              <w:rPr>
                <w:rFonts w:eastAsia="Times New Roman"/>
                <w:bCs/>
                <w:sz w:val="20"/>
                <w:szCs w:val="20"/>
                <w:lang w:val="es-ES"/>
              </w:rPr>
            </w:pPr>
            <w:r w:rsidRPr="008E60A1">
              <w:rPr>
                <w:rFonts w:eastAsia="Times New Roman"/>
                <w:bCs/>
                <w:sz w:val="20"/>
                <w:szCs w:val="20"/>
                <w:lang w:val="es-ES"/>
              </w:rPr>
              <w:t>Echegaray</w:t>
            </w:r>
          </w:p>
        </w:tc>
        <w:tc>
          <w:tcPr>
            <w:tcW w:w="5289" w:type="dxa"/>
            <w:tcBorders>
              <w:top w:val="nil"/>
              <w:left w:val="single" w:sz="4" w:space="0" w:color="auto"/>
              <w:bottom w:val="nil"/>
              <w:right w:val="single" w:sz="4" w:space="0" w:color="auto"/>
            </w:tcBorders>
            <w:vAlign w:val="center"/>
          </w:tcPr>
          <w:p w14:paraId="42F8E351" w14:textId="77777777" w:rsidR="008E60A1" w:rsidRPr="008E60A1" w:rsidRDefault="008E60A1" w:rsidP="002862A6">
            <w:pPr>
              <w:spacing w:before="60" w:after="60"/>
              <w:jc w:val="both"/>
              <w:rPr>
                <w:rFonts w:eastAsia="Times New Roman"/>
                <w:bCs/>
                <w:sz w:val="20"/>
                <w:szCs w:val="20"/>
                <w:lang w:val="es-ES"/>
              </w:rPr>
            </w:pPr>
            <w:r w:rsidRPr="008E60A1">
              <w:rPr>
                <w:rFonts w:eastAsia="Times New Roman"/>
                <w:bCs/>
                <w:sz w:val="20"/>
                <w:szCs w:val="20"/>
                <w:lang w:val="es-ES"/>
              </w:rPr>
              <w:t>Av. Gustavo Baz 181, Hacienda de Echegaray, Naucalpan de Juárez</w:t>
            </w:r>
          </w:p>
        </w:tc>
      </w:tr>
      <w:tr w:rsidR="008E60A1" w:rsidRPr="008E60A1" w14:paraId="04FB994B" w14:textId="77777777" w:rsidTr="008E60A1">
        <w:trPr>
          <w:jc w:val="center"/>
        </w:trPr>
        <w:tc>
          <w:tcPr>
            <w:tcW w:w="988" w:type="dxa"/>
            <w:tcBorders>
              <w:top w:val="nil"/>
              <w:left w:val="single" w:sz="4" w:space="0" w:color="auto"/>
              <w:bottom w:val="nil"/>
              <w:right w:val="single" w:sz="4" w:space="0" w:color="auto"/>
            </w:tcBorders>
            <w:vAlign w:val="center"/>
          </w:tcPr>
          <w:p w14:paraId="57AF296C" w14:textId="77777777" w:rsidR="008E60A1" w:rsidRPr="008E60A1" w:rsidRDefault="008E60A1" w:rsidP="008E60A1">
            <w:pPr>
              <w:jc w:val="center"/>
              <w:rPr>
                <w:rFonts w:eastAsia="Times New Roman"/>
                <w:bCs/>
                <w:sz w:val="20"/>
                <w:szCs w:val="20"/>
                <w:lang w:val="es-ES"/>
              </w:rPr>
            </w:pPr>
            <w:r w:rsidRPr="008E60A1">
              <w:rPr>
                <w:rFonts w:eastAsia="Times New Roman"/>
                <w:bCs/>
                <w:sz w:val="20"/>
                <w:szCs w:val="20"/>
                <w:lang w:val="es-ES"/>
              </w:rPr>
              <w:t>10</w:t>
            </w:r>
          </w:p>
        </w:tc>
        <w:tc>
          <w:tcPr>
            <w:tcW w:w="2551" w:type="dxa"/>
            <w:tcBorders>
              <w:top w:val="nil"/>
              <w:left w:val="single" w:sz="4" w:space="0" w:color="auto"/>
              <w:bottom w:val="nil"/>
              <w:right w:val="single" w:sz="4" w:space="0" w:color="auto"/>
            </w:tcBorders>
            <w:vAlign w:val="center"/>
          </w:tcPr>
          <w:p w14:paraId="75D4F1E4" w14:textId="77777777" w:rsidR="008E60A1" w:rsidRPr="008E60A1" w:rsidRDefault="008E60A1" w:rsidP="008E60A1">
            <w:pPr>
              <w:jc w:val="both"/>
              <w:rPr>
                <w:rFonts w:eastAsia="Times New Roman"/>
                <w:bCs/>
                <w:sz w:val="20"/>
                <w:szCs w:val="20"/>
                <w:lang w:val="es-ES"/>
              </w:rPr>
            </w:pPr>
            <w:r w:rsidRPr="008E60A1">
              <w:rPr>
                <w:rFonts w:eastAsia="Times New Roman"/>
                <w:bCs/>
                <w:sz w:val="20"/>
                <w:szCs w:val="20"/>
                <w:lang w:val="es-ES"/>
              </w:rPr>
              <w:t>Centro</w:t>
            </w:r>
          </w:p>
        </w:tc>
        <w:tc>
          <w:tcPr>
            <w:tcW w:w="5289" w:type="dxa"/>
            <w:tcBorders>
              <w:top w:val="nil"/>
              <w:left w:val="single" w:sz="4" w:space="0" w:color="auto"/>
              <w:bottom w:val="nil"/>
              <w:right w:val="single" w:sz="4" w:space="0" w:color="auto"/>
            </w:tcBorders>
            <w:vAlign w:val="center"/>
          </w:tcPr>
          <w:p w14:paraId="0550B9FC" w14:textId="77777777" w:rsidR="008E60A1" w:rsidRPr="008E60A1" w:rsidRDefault="008E60A1" w:rsidP="002862A6">
            <w:pPr>
              <w:spacing w:before="60" w:after="60"/>
              <w:jc w:val="both"/>
              <w:rPr>
                <w:rFonts w:eastAsia="Times New Roman"/>
                <w:bCs/>
                <w:sz w:val="20"/>
                <w:szCs w:val="20"/>
                <w:lang w:val="es-ES"/>
              </w:rPr>
            </w:pPr>
            <w:r w:rsidRPr="008E60A1">
              <w:rPr>
                <w:rFonts w:eastAsia="Times New Roman"/>
                <w:bCs/>
                <w:sz w:val="20"/>
                <w:szCs w:val="20"/>
                <w:lang w:val="es-ES"/>
              </w:rPr>
              <w:t>Fray Servando Teresa de Mier 50, Centro, México, Distrito Federal</w:t>
            </w:r>
          </w:p>
        </w:tc>
      </w:tr>
      <w:tr w:rsidR="008E60A1" w:rsidRPr="008E60A1" w14:paraId="0EAFD75A" w14:textId="77777777" w:rsidTr="008E60A1">
        <w:trPr>
          <w:jc w:val="center"/>
        </w:trPr>
        <w:tc>
          <w:tcPr>
            <w:tcW w:w="988" w:type="dxa"/>
            <w:tcBorders>
              <w:top w:val="nil"/>
              <w:left w:val="single" w:sz="4" w:space="0" w:color="auto"/>
              <w:bottom w:val="nil"/>
              <w:right w:val="single" w:sz="4" w:space="0" w:color="auto"/>
            </w:tcBorders>
            <w:vAlign w:val="center"/>
          </w:tcPr>
          <w:p w14:paraId="4334942F" w14:textId="77777777" w:rsidR="008E60A1" w:rsidRPr="008E60A1" w:rsidRDefault="008E60A1" w:rsidP="008E60A1">
            <w:pPr>
              <w:jc w:val="center"/>
              <w:rPr>
                <w:rFonts w:eastAsia="Times New Roman"/>
                <w:bCs/>
                <w:sz w:val="20"/>
                <w:szCs w:val="20"/>
                <w:lang w:val="es-ES"/>
              </w:rPr>
            </w:pPr>
            <w:r w:rsidRPr="008E60A1">
              <w:rPr>
                <w:rFonts w:eastAsia="Times New Roman"/>
                <w:bCs/>
                <w:sz w:val="20"/>
                <w:szCs w:val="20"/>
                <w:lang w:val="es-ES"/>
              </w:rPr>
              <w:t>11</w:t>
            </w:r>
          </w:p>
        </w:tc>
        <w:tc>
          <w:tcPr>
            <w:tcW w:w="2551" w:type="dxa"/>
            <w:tcBorders>
              <w:top w:val="nil"/>
              <w:left w:val="single" w:sz="4" w:space="0" w:color="auto"/>
              <w:bottom w:val="nil"/>
              <w:right w:val="single" w:sz="4" w:space="0" w:color="auto"/>
            </w:tcBorders>
            <w:vAlign w:val="center"/>
          </w:tcPr>
          <w:p w14:paraId="5325A2EB" w14:textId="77777777" w:rsidR="008E60A1" w:rsidRPr="008E60A1" w:rsidRDefault="008E60A1" w:rsidP="008E60A1">
            <w:pPr>
              <w:jc w:val="both"/>
              <w:rPr>
                <w:rFonts w:eastAsia="Times New Roman"/>
                <w:bCs/>
                <w:sz w:val="20"/>
                <w:szCs w:val="20"/>
                <w:lang w:val="es-ES"/>
              </w:rPr>
            </w:pPr>
            <w:r w:rsidRPr="008E60A1">
              <w:rPr>
                <w:rFonts w:eastAsia="Times New Roman"/>
                <w:bCs/>
                <w:sz w:val="20"/>
                <w:szCs w:val="20"/>
                <w:lang w:val="es-ES"/>
              </w:rPr>
              <w:t>Zamora</w:t>
            </w:r>
          </w:p>
        </w:tc>
        <w:tc>
          <w:tcPr>
            <w:tcW w:w="5289" w:type="dxa"/>
            <w:tcBorders>
              <w:top w:val="nil"/>
              <w:left w:val="single" w:sz="4" w:space="0" w:color="auto"/>
              <w:bottom w:val="nil"/>
              <w:right w:val="single" w:sz="4" w:space="0" w:color="auto"/>
            </w:tcBorders>
            <w:vAlign w:val="center"/>
          </w:tcPr>
          <w:p w14:paraId="65E7F506" w14:textId="77777777" w:rsidR="008E60A1" w:rsidRPr="008E60A1" w:rsidRDefault="008E60A1" w:rsidP="002862A6">
            <w:pPr>
              <w:spacing w:before="60" w:after="60"/>
              <w:jc w:val="both"/>
              <w:rPr>
                <w:rFonts w:eastAsia="Times New Roman"/>
                <w:bCs/>
                <w:sz w:val="20"/>
                <w:szCs w:val="20"/>
                <w:lang w:val="es-ES"/>
              </w:rPr>
            </w:pPr>
            <w:r w:rsidRPr="008E60A1">
              <w:rPr>
                <w:rFonts w:eastAsia="Times New Roman"/>
                <w:bCs/>
                <w:sz w:val="20"/>
                <w:szCs w:val="20"/>
                <w:lang w:val="es-ES"/>
              </w:rPr>
              <w:t>Morelos Sur 610, Jardinadas, Zamora, Michoacán</w:t>
            </w:r>
          </w:p>
        </w:tc>
      </w:tr>
      <w:tr w:rsidR="008E60A1" w:rsidRPr="008E60A1" w14:paraId="26D49ABE" w14:textId="77777777" w:rsidTr="008E60A1">
        <w:trPr>
          <w:jc w:val="center"/>
        </w:trPr>
        <w:tc>
          <w:tcPr>
            <w:tcW w:w="988" w:type="dxa"/>
            <w:tcBorders>
              <w:top w:val="nil"/>
              <w:left w:val="single" w:sz="4" w:space="0" w:color="auto"/>
              <w:bottom w:val="nil"/>
              <w:right w:val="single" w:sz="4" w:space="0" w:color="auto"/>
            </w:tcBorders>
            <w:vAlign w:val="center"/>
          </w:tcPr>
          <w:p w14:paraId="0AE547F4" w14:textId="77777777" w:rsidR="008E60A1" w:rsidRPr="008E60A1" w:rsidRDefault="008E60A1" w:rsidP="008E60A1">
            <w:pPr>
              <w:jc w:val="center"/>
              <w:rPr>
                <w:rFonts w:eastAsia="Times New Roman"/>
                <w:bCs/>
                <w:sz w:val="20"/>
                <w:szCs w:val="20"/>
                <w:lang w:val="es-ES"/>
              </w:rPr>
            </w:pPr>
            <w:r w:rsidRPr="008E60A1">
              <w:rPr>
                <w:rFonts w:eastAsia="Times New Roman"/>
                <w:bCs/>
                <w:sz w:val="20"/>
                <w:szCs w:val="20"/>
                <w:lang w:val="es-ES"/>
              </w:rPr>
              <w:t>12</w:t>
            </w:r>
          </w:p>
        </w:tc>
        <w:tc>
          <w:tcPr>
            <w:tcW w:w="2551" w:type="dxa"/>
            <w:tcBorders>
              <w:top w:val="nil"/>
              <w:left w:val="single" w:sz="4" w:space="0" w:color="auto"/>
              <w:bottom w:val="nil"/>
              <w:right w:val="single" w:sz="4" w:space="0" w:color="auto"/>
            </w:tcBorders>
            <w:vAlign w:val="center"/>
          </w:tcPr>
          <w:p w14:paraId="19060E38" w14:textId="77777777" w:rsidR="008E60A1" w:rsidRPr="008E60A1" w:rsidRDefault="008E60A1" w:rsidP="008E60A1">
            <w:pPr>
              <w:jc w:val="both"/>
              <w:rPr>
                <w:rFonts w:eastAsia="Times New Roman"/>
                <w:bCs/>
                <w:sz w:val="20"/>
                <w:szCs w:val="20"/>
                <w:lang w:val="es-ES"/>
              </w:rPr>
            </w:pPr>
            <w:r w:rsidRPr="008E60A1">
              <w:rPr>
                <w:rFonts w:eastAsia="Times New Roman"/>
                <w:bCs/>
                <w:sz w:val="20"/>
                <w:szCs w:val="20"/>
                <w:lang w:val="es-ES"/>
              </w:rPr>
              <w:t>Aguascalientes</w:t>
            </w:r>
          </w:p>
        </w:tc>
        <w:tc>
          <w:tcPr>
            <w:tcW w:w="5289" w:type="dxa"/>
            <w:tcBorders>
              <w:top w:val="nil"/>
              <w:left w:val="single" w:sz="4" w:space="0" w:color="auto"/>
              <w:bottom w:val="nil"/>
              <w:right w:val="single" w:sz="4" w:space="0" w:color="auto"/>
            </w:tcBorders>
            <w:vAlign w:val="center"/>
          </w:tcPr>
          <w:p w14:paraId="185C4520" w14:textId="77777777" w:rsidR="008E60A1" w:rsidRPr="008E60A1" w:rsidRDefault="008E60A1" w:rsidP="002862A6">
            <w:pPr>
              <w:spacing w:before="60" w:after="60"/>
              <w:jc w:val="both"/>
              <w:rPr>
                <w:rFonts w:eastAsia="Times New Roman"/>
                <w:bCs/>
                <w:sz w:val="20"/>
                <w:szCs w:val="20"/>
                <w:lang w:val="es-ES"/>
              </w:rPr>
            </w:pPr>
            <w:r w:rsidRPr="008E60A1">
              <w:rPr>
                <w:rFonts w:eastAsia="Times New Roman"/>
                <w:bCs/>
                <w:sz w:val="20"/>
                <w:szCs w:val="20"/>
                <w:lang w:val="es-ES"/>
              </w:rPr>
              <w:t>Blvd. Luis Donaldo Colosio 107, Fraccionamiento Jardines de La Concepción 1ra. Sección, Aguascalientes, Aguascalientes.</w:t>
            </w:r>
          </w:p>
        </w:tc>
      </w:tr>
      <w:tr w:rsidR="008E60A1" w:rsidRPr="008E60A1" w14:paraId="074FE07A" w14:textId="77777777" w:rsidTr="008E60A1">
        <w:trPr>
          <w:jc w:val="center"/>
        </w:trPr>
        <w:tc>
          <w:tcPr>
            <w:tcW w:w="988" w:type="dxa"/>
            <w:tcBorders>
              <w:top w:val="nil"/>
              <w:left w:val="single" w:sz="4" w:space="0" w:color="auto"/>
              <w:bottom w:val="nil"/>
              <w:right w:val="single" w:sz="4" w:space="0" w:color="auto"/>
            </w:tcBorders>
            <w:vAlign w:val="center"/>
          </w:tcPr>
          <w:p w14:paraId="454134C1" w14:textId="77777777" w:rsidR="008E60A1" w:rsidRPr="008E60A1" w:rsidRDefault="008E60A1" w:rsidP="008E60A1">
            <w:pPr>
              <w:jc w:val="center"/>
              <w:rPr>
                <w:rFonts w:eastAsia="Times New Roman"/>
                <w:bCs/>
                <w:sz w:val="20"/>
                <w:szCs w:val="20"/>
                <w:lang w:val="es-ES"/>
              </w:rPr>
            </w:pPr>
            <w:r w:rsidRPr="008E60A1">
              <w:rPr>
                <w:rFonts w:eastAsia="Times New Roman"/>
                <w:bCs/>
                <w:sz w:val="20"/>
                <w:szCs w:val="20"/>
                <w:lang w:val="es-ES"/>
              </w:rPr>
              <w:t>13</w:t>
            </w:r>
          </w:p>
        </w:tc>
        <w:tc>
          <w:tcPr>
            <w:tcW w:w="2551" w:type="dxa"/>
            <w:tcBorders>
              <w:top w:val="nil"/>
              <w:left w:val="single" w:sz="4" w:space="0" w:color="auto"/>
              <w:bottom w:val="nil"/>
              <w:right w:val="single" w:sz="4" w:space="0" w:color="auto"/>
            </w:tcBorders>
            <w:vAlign w:val="center"/>
          </w:tcPr>
          <w:p w14:paraId="71919FC2" w14:textId="77777777" w:rsidR="008E60A1" w:rsidRPr="008E60A1" w:rsidRDefault="008E60A1" w:rsidP="008E60A1">
            <w:pPr>
              <w:jc w:val="both"/>
              <w:rPr>
                <w:rFonts w:eastAsia="Times New Roman"/>
                <w:bCs/>
                <w:sz w:val="20"/>
                <w:szCs w:val="20"/>
                <w:lang w:val="es-ES"/>
              </w:rPr>
            </w:pPr>
            <w:r w:rsidRPr="008E60A1">
              <w:rPr>
                <w:rFonts w:eastAsia="Times New Roman"/>
                <w:bCs/>
                <w:sz w:val="20"/>
                <w:szCs w:val="20"/>
                <w:lang w:val="es-ES"/>
              </w:rPr>
              <w:t>Chiluca</w:t>
            </w:r>
          </w:p>
        </w:tc>
        <w:tc>
          <w:tcPr>
            <w:tcW w:w="5289" w:type="dxa"/>
            <w:tcBorders>
              <w:top w:val="nil"/>
              <w:left w:val="single" w:sz="4" w:space="0" w:color="auto"/>
              <w:bottom w:val="nil"/>
              <w:right w:val="single" w:sz="4" w:space="0" w:color="auto"/>
            </w:tcBorders>
            <w:vAlign w:val="center"/>
          </w:tcPr>
          <w:p w14:paraId="7AAAD8E6" w14:textId="0DBA3B54" w:rsidR="008E60A1" w:rsidRPr="008E60A1" w:rsidRDefault="008E60A1" w:rsidP="002B6043">
            <w:pPr>
              <w:spacing w:before="60" w:after="60"/>
              <w:jc w:val="both"/>
              <w:rPr>
                <w:rFonts w:eastAsia="Times New Roman"/>
                <w:bCs/>
                <w:sz w:val="20"/>
                <w:szCs w:val="20"/>
                <w:lang w:val="es-ES"/>
              </w:rPr>
            </w:pPr>
            <w:r w:rsidRPr="008E60A1">
              <w:rPr>
                <w:rFonts w:eastAsia="Times New Roman"/>
                <w:bCs/>
                <w:sz w:val="20"/>
                <w:szCs w:val="20"/>
                <w:lang w:val="es-ES"/>
              </w:rPr>
              <w:t>Av. Jorge Jiménez Cantú lot</w:t>
            </w:r>
            <w:r w:rsidR="002B6043">
              <w:rPr>
                <w:rFonts w:eastAsia="Times New Roman"/>
                <w:bCs/>
                <w:sz w:val="20"/>
                <w:szCs w:val="20"/>
                <w:lang w:val="es-ES"/>
              </w:rPr>
              <w:t>e</w:t>
            </w:r>
            <w:r w:rsidRPr="008E60A1">
              <w:rPr>
                <w:rFonts w:eastAsia="Times New Roman"/>
                <w:bCs/>
                <w:sz w:val="20"/>
                <w:szCs w:val="20"/>
                <w:lang w:val="es-ES"/>
              </w:rPr>
              <w:t xml:space="preserve"> 1, Manzana 1, s/n Local 3, Fraccionamiento Bosque Esmeralda, Atizapán de Zaragoza, Estado de México</w:t>
            </w:r>
          </w:p>
        </w:tc>
      </w:tr>
      <w:tr w:rsidR="008E60A1" w:rsidRPr="008E60A1" w14:paraId="066ECB03" w14:textId="77777777" w:rsidTr="008E60A1">
        <w:trPr>
          <w:jc w:val="center"/>
        </w:trPr>
        <w:tc>
          <w:tcPr>
            <w:tcW w:w="988" w:type="dxa"/>
            <w:tcBorders>
              <w:top w:val="nil"/>
              <w:left w:val="single" w:sz="4" w:space="0" w:color="auto"/>
              <w:bottom w:val="nil"/>
              <w:right w:val="single" w:sz="4" w:space="0" w:color="auto"/>
            </w:tcBorders>
            <w:vAlign w:val="center"/>
          </w:tcPr>
          <w:p w14:paraId="1E63519C" w14:textId="77777777" w:rsidR="008E60A1" w:rsidRPr="008E60A1" w:rsidRDefault="008E60A1" w:rsidP="008E60A1">
            <w:pPr>
              <w:jc w:val="center"/>
              <w:rPr>
                <w:rFonts w:eastAsia="Times New Roman"/>
                <w:bCs/>
                <w:sz w:val="20"/>
                <w:szCs w:val="20"/>
                <w:lang w:val="es-ES"/>
              </w:rPr>
            </w:pPr>
            <w:r w:rsidRPr="008E60A1">
              <w:rPr>
                <w:rFonts w:eastAsia="Times New Roman"/>
                <w:bCs/>
                <w:sz w:val="20"/>
                <w:szCs w:val="20"/>
                <w:lang w:val="es-ES"/>
              </w:rPr>
              <w:t>14</w:t>
            </w:r>
          </w:p>
        </w:tc>
        <w:tc>
          <w:tcPr>
            <w:tcW w:w="2551" w:type="dxa"/>
            <w:tcBorders>
              <w:top w:val="nil"/>
              <w:left w:val="single" w:sz="4" w:space="0" w:color="auto"/>
              <w:bottom w:val="nil"/>
              <w:right w:val="single" w:sz="4" w:space="0" w:color="auto"/>
            </w:tcBorders>
            <w:vAlign w:val="center"/>
          </w:tcPr>
          <w:p w14:paraId="633E845E" w14:textId="77777777" w:rsidR="008E60A1" w:rsidRPr="008E60A1" w:rsidRDefault="008E60A1" w:rsidP="008E60A1">
            <w:pPr>
              <w:jc w:val="both"/>
              <w:rPr>
                <w:rFonts w:eastAsia="Times New Roman"/>
                <w:bCs/>
                <w:sz w:val="20"/>
                <w:szCs w:val="20"/>
                <w:lang w:val="es-ES"/>
              </w:rPr>
            </w:pPr>
            <w:r w:rsidRPr="008E60A1">
              <w:rPr>
                <w:rFonts w:eastAsia="Times New Roman"/>
                <w:bCs/>
                <w:sz w:val="20"/>
                <w:szCs w:val="20"/>
                <w:lang w:val="es-ES"/>
              </w:rPr>
              <w:t>Gran Sur</w:t>
            </w:r>
          </w:p>
        </w:tc>
        <w:tc>
          <w:tcPr>
            <w:tcW w:w="5289" w:type="dxa"/>
            <w:tcBorders>
              <w:top w:val="nil"/>
              <w:left w:val="single" w:sz="4" w:space="0" w:color="auto"/>
              <w:bottom w:val="nil"/>
              <w:right w:val="single" w:sz="4" w:space="0" w:color="auto"/>
            </w:tcBorders>
            <w:vAlign w:val="center"/>
          </w:tcPr>
          <w:p w14:paraId="7068FAEA" w14:textId="77777777" w:rsidR="008E60A1" w:rsidRPr="008E60A1" w:rsidRDefault="008E60A1" w:rsidP="002862A6">
            <w:pPr>
              <w:spacing w:before="60" w:after="60"/>
              <w:jc w:val="both"/>
              <w:rPr>
                <w:rFonts w:eastAsia="Times New Roman"/>
                <w:bCs/>
                <w:sz w:val="20"/>
                <w:szCs w:val="20"/>
                <w:lang w:val="es-ES"/>
              </w:rPr>
            </w:pPr>
            <w:r w:rsidRPr="008E60A1">
              <w:rPr>
                <w:rFonts w:eastAsia="Times New Roman"/>
                <w:bCs/>
                <w:sz w:val="20"/>
                <w:szCs w:val="20"/>
                <w:lang w:val="es-ES"/>
              </w:rPr>
              <w:t>Av. del Imán 151 local a007. Pedregal de Carrasco, México, Distrito Federal</w:t>
            </w:r>
          </w:p>
        </w:tc>
      </w:tr>
      <w:tr w:rsidR="008E60A1" w:rsidRPr="008E60A1" w14:paraId="3316CB99" w14:textId="77777777" w:rsidTr="008E60A1">
        <w:trPr>
          <w:jc w:val="center"/>
        </w:trPr>
        <w:tc>
          <w:tcPr>
            <w:tcW w:w="988" w:type="dxa"/>
            <w:tcBorders>
              <w:top w:val="nil"/>
              <w:left w:val="single" w:sz="4" w:space="0" w:color="auto"/>
              <w:bottom w:val="nil"/>
              <w:right w:val="single" w:sz="4" w:space="0" w:color="auto"/>
            </w:tcBorders>
            <w:vAlign w:val="center"/>
          </w:tcPr>
          <w:p w14:paraId="636EEA0F" w14:textId="77777777" w:rsidR="008E60A1" w:rsidRPr="008E60A1" w:rsidRDefault="008E60A1" w:rsidP="008E60A1">
            <w:pPr>
              <w:jc w:val="center"/>
              <w:rPr>
                <w:rFonts w:eastAsia="Times New Roman"/>
                <w:bCs/>
                <w:sz w:val="20"/>
                <w:szCs w:val="20"/>
                <w:lang w:val="es-ES"/>
              </w:rPr>
            </w:pPr>
            <w:r w:rsidRPr="008E60A1">
              <w:rPr>
                <w:rFonts w:eastAsia="Times New Roman"/>
                <w:bCs/>
                <w:sz w:val="20"/>
                <w:szCs w:val="20"/>
                <w:lang w:val="es-ES"/>
              </w:rPr>
              <w:t>15</w:t>
            </w:r>
          </w:p>
        </w:tc>
        <w:tc>
          <w:tcPr>
            <w:tcW w:w="2551" w:type="dxa"/>
            <w:tcBorders>
              <w:top w:val="nil"/>
              <w:left w:val="single" w:sz="4" w:space="0" w:color="auto"/>
              <w:bottom w:val="nil"/>
              <w:right w:val="single" w:sz="4" w:space="0" w:color="auto"/>
            </w:tcBorders>
            <w:vAlign w:val="center"/>
          </w:tcPr>
          <w:p w14:paraId="31163597" w14:textId="77777777" w:rsidR="008E60A1" w:rsidRPr="008E60A1" w:rsidRDefault="008E60A1" w:rsidP="008E60A1">
            <w:pPr>
              <w:jc w:val="both"/>
              <w:rPr>
                <w:rFonts w:eastAsia="Times New Roman"/>
                <w:bCs/>
                <w:sz w:val="20"/>
                <w:szCs w:val="20"/>
                <w:lang w:val="es-ES"/>
              </w:rPr>
            </w:pPr>
            <w:r w:rsidRPr="008E60A1">
              <w:rPr>
                <w:rFonts w:eastAsia="Times New Roman"/>
                <w:bCs/>
                <w:sz w:val="20"/>
                <w:szCs w:val="20"/>
                <w:lang w:val="es-ES"/>
              </w:rPr>
              <w:t xml:space="preserve">Tecamachalco </w:t>
            </w:r>
          </w:p>
        </w:tc>
        <w:tc>
          <w:tcPr>
            <w:tcW w:w="5289" w:type="dxa"/>
            <w:tcBorders>
              <w:top w:val="nil"/>
              <w:left w:val="single" w:sz="4" w:space="0" w:color="auto"/>
              <w:bottom w:val="nil"/>
              <w:right w:val="single" w:sz="4" w:space="0" w:color="auto"/>
            </w:tcBorders>
            <w:vAlign w:val="center"/>
          </w:tcPr>
          <w:p w14:paraId="3C12AA29" w14:textId="77777777" w:rsidR="008E60A1" w:rsidRPr="008E60A1" w:rsidRDefault="008E60A1" w:rsidP="002862A6">
            <w:pPr>
              <w:spacing w:before="60" w:after="60"/>
              <w:jc w:val="both"/>
              <w:rPr>
                <w:rFonts w:eastAsia="Times New Roman"/>
                <w:bCs/>
                <w:sz w:val="20"/>
                <w:szCs w:val="20"/>
                <w:lang w:val="es-ES"/>
              </w:rPr>
            </w:pPr>
            <w:r w:rsidRPr="008E60A1">
              <w:rPr>
                <w:rFonts w:eastAsia="Times New Roman"/>
                <w:bCs/>
                <w:sz w:val="20"/>
                <w:szCs w:val="20"/>
                <w:lang w:val="es-ES"/>
              </w:rPr>
              <w:t>Esq. que forman Avenida de las Fuentes y Fuentes de Molino 49-b local 5 PB, Tecamachalco Estado de México</w:t>
            </w:r>
          </w:p>
        </w:tc>
      </w:tr>
      <w:tr w:rsidR="008E60A1" w:rsidRPr="008E60A1" w14:paraId="540D48B0" w14:textId="77777777" w:rsidTr="008E60A1">
        <w:trPr>
          <w:jc w:val="center"/>
        </w:trPr>
        <w:tc>
          <w:tcPr>
            <w:tcW w:w="988" w:type="dxa"/>
            <w:tcBorders>
              <w:top w:val="nil"/>
              <w:left w:val="single" w:sz="4" w:space="0" w:color="auto"/>
              <w:bottom w:val="nil"/>
              <w:right w:val="single" w:sz="4" w:space="0" w:color="auto"/>
            </w:tcBorders>
            <w:vAlign w:val="center"/>
          </w:tcPr>
          <w:p w14:paraId="0C8D8B38" w14:textId="77777777" w:rsidR="008E60A1" w:rsidRPr="008E60A1" w:rsidRDefault="008E60A1" w:rsidP="008E60A1">
            <w:pPr>
              <w:jc w:val="center"/>
              <w:rPr>
                <w:rFonts w:eastAsia="Times New Roman"/>
                <w:bCs/>
                <w:sz w:val="20"/>
                <w:szCs w:val="20"/>
                <w:lang w:val="es-ES"/>
              </w:rPr>
            </w:pPr>
            <w:r w:rsidRPr="008E60A1">
              <w:rPr>
                <w:rFonts w:eastAsia="Times New Roman"/>
                <w:bCs/>
                <w:sz w:val="20"/>
                <w:szCs w:val="20"/>
                <w:lang w:val="es-ES"/>
              </w:rPr>
              <w:t>16</w:t>
            </w:r>
          </w:p>
        </w:tc>
        <w:tc>
          <w:tcPr>
            <w:tcW w:w="2551" w:type="dxa"/>
            <w:tcBorders>
              <w:top w:val="nil"/>
              <w:left w:val="single" w:sz="4" w:space="0" w:color="auto"/>
              <w:bottom w:val="nil"/>
              <w:right w:val="single" w:sz="4" w:space="0" w:color="auto"/>
            </w:tcBorders>
            <w:vAlign w:val="center"/>
          </w:tcPr>
          <w:p w14:paraId="2D22A6A1" w14:textId="77777777" w:rsidR="008E60A1" w:rsidRPr="008E60A1" w:rsidRDefault="008E60A1" w:rsidP="008E60A1">
            <w:pPr>
              <w:jc w:val="both"/>
              <w:rPr>
                <w:rFonts w:eastAsia="Times New Roman"/>
                <w:bCs/>
                <w:sz w:val="20"/>
                <w:szCs w:val="20"/>
                <w:lang w:val="es-ES"/>
              </w:rPr>
            </w:pPr>
            <w:r w:rsidRPr="008E60A1">
              <w:rPr>
                <w:rFonts w:eastAsia="Times New Roman"/>
                <w:bCs/>
                <w:sz w:val="20"/>
                <w:szCs w:val="20"/>
                <w:lang w:val="es-ES"/>
              </w:rPr>
              <w:t>Monterrey</w:t>
            </w:r>
          </w:p>
        </w:tc>
        <w:tc>
          <w:tcPr>
            <w:tcW w:w="5289" w:type="dxa"/>
            <w:tcBorders>
              <w:top w:val="nil"/>
              <w:left w:val="single" w:sz="4" w:space="0" w:color="auto"/>
              <w:bottom w:val="nil"/>
              <w:right w:val="single" w:sz="4" w:space="0" w:color="auto"/>
            </w:tcBorders>
            <w:vAlign w:val="center"/>
          </w:tcPr>
          <w:p w14:paraId="255F4CAD" w14:textId="77777777" w:rsidR="008E60A1" w:rsidRPr="008E60A1" w:rsidRDefault="008E60A1" w:rsidP="002862A6">
            <w:pPr>
              <w:spacing w:before="60" w:after="60"/>
              <w:jc w:val="both"/>
              <w:rPr>
                <w:rFonts w:eastAsia="Times New Roman"/>
                <w:bCs/>
                <w:sz w:val="20"/>
                <w:szCs w:val="20"/>
                <w:lang w:val="es-ES"/>
              </w:rPr>
            </w:pPr>
            <w:r w:rsidRPr="008E60A1">
              <w:rPr>
                <w:rFonts w:eastAsia="Times New Roman"/>
                <w:bCs/>
                <w:sz w:val="20"/>
                <w:szCs w:val="20"/>
                <w:lang w:val="es-ES"/>
              </w:rPr>
              <w:t>Av. Frida Kahlo 2222 Local 107, Valle Oriente, San Pedro Garza García, Nuevo León</w:t>
            </w:r>
          </w:p>
        </w:tc>
      </w:tr>
      <w:tr w:rsidR="008E60A1" w:rsidRPr="008E60A1" w14:paraId="53F2C358" w14:textId="77777777" w:rsidTr="008E60A1">
        <w:trPr>
          <w:jc w:val="center"/>
        </w:trPr>
        <w:tc>
          <w:tcPr>
            <w:tcW w:w="988" w:type="dxa"/>
            <w:tcBorders>
              <w:top w:val="nil"/>
              <w:left w:val="single" w:sz="4" w:space="0" w:color="auto"/>
              <w:bottom w:val="nil"/>
              <w:right w:val="single" w:sz="4" w:space="0" w:color="auto"/>
            </w:tcBorders>
            <w:vAlign w:val="center"/>
          </w:tcPr>
          <w:p w14:paraId="1CAA587D" w14:textId="77777777" w:rsidR="008E60A1" w:rsidRPr="008E60A1" w:rsidRDefault="008E60A1" w:rsidP="008E60A1">
            <w:pPr>
              <w:jc w:val="center"/>
              <w:rPr>
                <w:rFonts w:eastAsia="Times New Roman"/>
                <w:bCs/>
                <w:sz w:val="20"/>
                <w:szCs w:val="20"/>
                <w:lang w:val="es-ES"/>
              </w:rPr>
            </w:pPr>
            <w:r w:rsidRPr="008E60A1">
              <w:rPr>
                <w:rFonts w:eastAsia="Times New Roman"/>
                <w:bCs/>
                <w:sz w:val="20"/>
                <w:szCs w:val="20"/>
                <w:lang w:val="es-ES"/>
              </w:rPr>
              <w:t>17</w:t>
            </w:r>
          </w:p>
        </w:tc>
        <w:tc>
          <w:tcPr>
            <w:tcW w:w="2551" w:type="dxa"/>
            <w:tcBorders>
              <w:top w:val="nil"/>
              <w:left w:val="single" w:sz="4" w:space="0" w:color="auto"/>
              <w:bottom w:val="nil"/>
              <w:right w:val="single" w:sz="4" w:space="0" w:color="auto"/>
            </w:tcBorders>
            <w:vAlign w:val="center"/>
          </w:tcPr>
          <w:p w14:paraId="4E117100" w14:textId="77777777" w:rsidR="008E60A1" w:rsidRPr="008E60A1" w:rsidRDefault="008E60A1" w:rsidP="008E60A1">
            <w:pPr>
              <w:jc w:val="both"/>
              <w:rPr>
                <w:rFonts w:eastAsia="Times New Roman"/>
                <w:bCs/>
                <w:sz w:val="20"/>
                <w:szCs w:val="20"/>
                <w:lang w:val="es-ES"/>
              </w:rPr>
            </w:pPr>
            <w:r w:rsidRPr="008E60A1">
              <w:rPr>
                <w:rFonts w:eastAsia="Times New Roman"/>
                <w:bCs/>
                <w:sz w:val="20"/>
                <w:szCs w:val="20"/>
                <w:lang w:val="es-ES"/>
              </w:rPr>
              <w:t xml:space="preserve">Río Marne </w:t>
            </w:r>
          </w:p>
        </w:tc>
        <w:tc>
          <w:tcPr>
            <w:tcW w:w="5289" w:type="dxa"/>
            <w:tcBorders>
              <w:top w:val="nil"/>
              <w:left w:val="single" w:sz="4" w:space="0" w:color="auto"/>
              <w:bottom w:val="nil"/>
              <w:right w:val="single" w:sz="4" w:space="0" w:color="auto"/>
            </w:tcBorders>
            <w:vAlign w:val="center"/>
          </w:tcPr>
          <w:p w14:paraId="0E28F2AE" w14:textId="77777777" w:rsidR="008E60A1" w:rsidRPr="008E60A1" w:rsidRDefault="008E60A1" w:rsidP="002862A6">
            <w:pPr>
              <w:spacing w:before="60" w:after="60"/>
              <w:jc w:val="both"/>
              <w:rPr>
                <w:rFonts w:eastAsia="Times New Roman"/>
                <w:bCs/>
                <w:sz w:val="20"/>
                <w:szCs w:val="20"/>
                <w:lang w:val="es-ES"/>
              </w:rPr>
            </w:pPr>
            <w:r w:rsidRPr="008E60A1">
              <w:rPr>
                <w:rFonts w:eastAsia="Times New Roman"/>
                <w:bCs/>
                <w:sz w:val="20"/>
                <w:szCs w:val="20"/>
                <w:lang w:val="es-ES"/>
              </w:rPr>
              <w:t xml:space="preserve">Río Marne 10, Cuauhtémoc, México, Distrito Federal </w:t>
            </w:r>
          </w:p>
        </w:tc>
      </w:tr>
      <w:tr w:rsidR="008E60A1" w:rsidRPr="008E60A1" w14:paraId="2EFED957" w14:textId="77777777" w:rsidTr="008E60A1">
        <w:trPr>
          <w:jc w:val="center"/>
        </w:trPr>
        <w:tc>
          <w:tcPr>
            <w:tcW w:w="988" w:type="dxa"/>
            <w:tcBorders>
              <w:top w:val="nil"/>
              <w:left w:val="single" w:sz="4" w:space="0" w:color="auto"/>
              <w:bottom w:val="nil"/>
              <w:right w:val="single" w:sz="4" w:space="0" w:color="auto"/>
            </w:tcBorders>
            <w:vAlign w:val="center"/>
          </w:tcPr>
          <w:p w14:paraId="233CE169" w14:textId="77777777" w:rsidR="008E60A1" w:rsidRPr="008E60A1" w:rsidRDefault="008E60A1" w:rsidP="008E60A1">
            <w:pPr>
              <w:jc w:val="center"/>
              <w:rPr>
                <w:rFonts w:eastAsia="Times New Roman"/>
                <w:bCs/>
                <w:sz w:val="20"/>
                <w:szCs w:val="20"/>
                <w:lang w:val="es-ES"/>
              </w:rPr>
            </w:pPr>
            <w:r w:rsidRPr="008E60A1">
              <w:rPr>
                <w:rFonts w:eastAsia="Times New Roman"/>
                <w:bCs/>
                <w:sz w:val="20"/>
                <w:szCs w:val="20"/>
                <w:lang w:val="es-ES"/>
              </w:rPr>
              <w:t>18</w:t>
            </w:r>
          </w:p>
        </w:tc>
        <w:tc>
          <w:tcPr>
            <w:tcW w:w="2551" w:type="dxa"/>
            <w:tcBorders>
              <w:top w:val="nil"/>
              <w:left w:val="single" w:sz="4" w:space="0" w:color="auto"/>
              <w:bottom w:val="nil"/>
              <w:right w:val="single" w:sz="4" w:space="0" w:color="auto"/>
            </w:tcBorders>
            <w:vAlign w:val="center"/>
          </w:tcPr>
          <w:p w14:paraId="71A035D5" w14:textId="77777777" w:rsidR="008E60A1" w:rsidRPr="008E60A1" w:rsidRDefault="008E60A1" w:rsidP="008E60A1">
            <w:pPr>
              <w:jc w:val="both"/>
              <w:rPr>
                <w:rFonts w:eastAsia="Times New Roman"/>
                <w:bCs/>
                <w:sz w:val="20"/>
                <w:szCs w:val="20"/>
                <w:lang w:val="es-ES"/>
              </w:rPr>
            </w:pPr>
            <w:r w:rsidRPr="008E60A1">
              <w:rPr>
                <w:rFonts w:eastAsia="Times New Roman"/>
                <w:bCs/>
                <w:sz w:val="20"/>
                <w:szCs w:val="20"/>
                <w:lang w:val="es-ES"/>
              </w:rPr>
              <w:t>Polanco</w:t>
            </w:r>
          </w:p>
        </w:tc>
        <w:tc>
          <w:tcPr>
            <w:tcW w:w="5289" w:type="dxa"/>
            <w:tcBorders>
              <w:top w:val="nil"/>
              <w:left w:val="single" w:sz="4" w:space="0" w:color="auto"/>
              <w:bottom w:val="nil"/>
              <w:right w:val="single" w:sz="4" w:space="0" w:color="auto"/>
            </w:tcBorders>
            <w:vAlign w:val="center"/>
          </w:tcPr>
          <w:p w14:paraId="2A3E3187" w14:textId="77777777" w:rsidR="008E60A1" w:rsidRPr="008E60A1" w:rsidRDefault="008E60A1" w:rsidP="002862A6">
            <w:pPr>
              <w:spacing w:before="60" w:after="60"/>
              <w:jc w:val="both"/>
              <w:rPr>
                <w:rFonts w:eastAsia="Times New Roman"/>
                <w:bCs/>
                <w:sz w:val="20"/>
                <w:szCs w:val="20"/>
                <w:lang w:val="es-ES"/>
              </w:rPr>
            </w:pPr>
            <w:r w:rsidRPr="008E60A1">
              <w:rPr>
                <w:rFonts w:eastAsia="Times New Roman"/>
                <w:bCs/>
                <w:sz w:val="20"/>
                <w:szCs w:val="20"/>
                <w:lang w:val="es-ES"/>
              </w:rPr>
              <w:t>Galileo 74 Loc. a, Polanco, México, Distrito Federal</w:t>
            </w:r>
          </w:p>
        </w:tc>
      </w:tr>
      <w:tr w:rsidR="008E60A1" w:rsidRPr="008E60A1" w14:paraId="74ECD524" w14:textId="77777777" w:rsidTr="008E60A1">
        <w:trPr>
          <w:jc w:val="center"/>
        </w:trPr>
        <w:tc>
          <w:tcPr>
            <w:tcW w:w="988" w:type="dxa"/>
            <w:tcBorders>
              <w:top w:val="nil"/>
              <w:left w:val="single" w:sz="4" w:space="0" w:color="auto"/>
              <w:bottom w:val="single" w:sz="4" w:space="0" w:color="auto"/>
              <w:right w:val="single" w:sz="4" w:space="0" w:color="auto"/>
            </w:tcBorders>
            <w:vAlign w:val="center"/>
          </w:tcPr>
          <w:p w14:paraId="01E4BB85" w14:textId="77777777" w:rsidR="008E60A1" w:rsidRPr="008E60A1" w:rsidRDefault="008E60A1" w:rsidP="008E60A1">
            <w:pPr>
              <w:jc w:val="center"/>
              <w:rPr>
                <w:rFonts w:eastAsia="Times New Roman"/>
                <w:bCs/>
                <w:sz w:val="20"/>
                <w:szCs w:val="20"/>
                <w:lang w:val="es-ES"/>
              </w:rPr>
            </w:pPr>
            <w:r w:rsidRPr="008E60A1">
              <w:rPr>
                <w:rFonts w:eastAsia="Times New Roman"/>
                <w:bCs/>
                <w:sz w:val="20"/>
                <w:szCs w:val="20"/>
                <w:lang w:val="es-ES"/>
              </w:rPr>
              <w:t>19</w:t>
            </w:r>
          </w:p>
        </w:tc>
        <w:tc>
          <w:tcPr>
            <w:tcW w:w="2551" w:type="dxa"/>
            <w:tcBorders>
              <w:top w:val="nil"/>
              <w:left w:val="single" w:sz="4" w:space="0" w:color="auto"/>
              <w:bottom w:val="single" w:sz="4" w:space="0" w:color="auto"/>
              <w:right w:val="single" w:sz="4" w:space="0" w:color="auto"/>
            </w:tcBorders>
            <w:vAlign w:val="center"/>
          </w:tcPr>
          <w:p w14:paraId="3EFA99C9" w14:textId="77777777" w:rsidR="008E60A1" w:rsidRPr="008E60A1" w:rsidRDefault="008E60A1" w:rsidP="008E60A1">
            <w:pPr>
              <w:jc w:val="both"/>
              <w:rPr>
                <w:rFonts w:eastAsia="Times New Roman"/>
                <w:bCs/>
                <w:sz w:val="20"/>
                <w:szCs w:val="20"/>
                <w:lang w:val="es-ES"/>
              </w:rPr>
            </w:pPr>
            <w:r w:rsidRPr="008E60A1">
              <w:rPr>
                <w:rFonts w:eastAsia="Times New Roman"/>
                <w:bCs/>
                <w:sz w:val="20"/>
                <w:szCs w:val="20"/>
                <w:lang w:val="es-ES"/>
              </w:rPr>
              <w:t xml:space="preserve">Santa Fe </w:t>
            </w:r>
          </w:p>
        </w:tc>
        <w:tc>
          <w:tcPr>
            <w:tcW w:w="5289" w:type="dxa"/>
            <w:tcBorders>
              <w:top w:val="nil"/>
              <w:left w:val="single" w:sz="4" w:space="0" w:color="auto"/>
              <w:bottom w:val="single" w:sz="4" w:space="0" w:color="auto"/>
              <w:right w:val="single" w:sz="4" w:space="0" w:color="auto"/>
            </w:tcBorders>
            <w:vAlign w:val="center"/>
          </w:tcPr>
          <w:p w14:paraId="2EEA7DE7" w14:textId="77777777" w:rsidR="008E60A1" w:rsidRPr="008E60A1" w:rsidRDefault="008E60A1" w:rsidP="002862A6">
            <w:pPr>
              <w:spacing w:before="60" w:after="60"/>
              <w:jc w:val="both"/>
              <w:rPr>
                <w:rFonts w:eastAsia="Times New Roman"/>
                <w:bCs/>
                <w:sz w:val="20"/>
                <w:szCs w:val="20"/>
                <w:lang w:val="es-ES"/>
              </w:rPr>
            </w:pPr>
            <w:r w:rsidRPr="008E60A1">
              <w:rPr>
                <w:rFonts w:eastAsia="Times New Roman"/>
                <w:bCs/>
                <w:sz w:val="20"/>
                <w:szCs w:val="20"/>
                <w:lang w:val="es-ES"/>
              </w:rPr>
              <w:t>Juan Salvador Agraz 61 I 208 1er. Piso, Lomas de Santa Fe, México, Distrito Federal</w:t>
            </w:r>
          </w:p>
        </w:tc>
      </w:tr>
      <w:tr w:rsidR="008E60A1" w:rsidRPr="008E60A1" w14:paraId="7849DEC6" w14:textId="77777777" w:rsidTr="004F1C40">
        <w:trPr>
          <w:jc w:val="center"/>
        </w:trPr>
        <w:tc>
          <w:tcPr>
            <w:tcW w:w="988" w:type="dxa"/>
            <w:tcBorders>
              <w:left w:val="nil"/>
              <w:bottom w:val="nil"/>
              <w:right w:val="nil"/>
            </w:tcBorders>
            <w:vAlign w:val="center"/>
          </w:tcPr>
          <w:p w14:paraId="3CB9B832" w14:textId="77777777" w:rsidR="008E60A1" w:rsidRPr="008E60A1" w:rsidRDefault="008E60A1" w:rsidP="008E60A1">
            <w:pPr>
              <w:jc w:val="center"/>
              <w:rPr>
                <w:rFonts w:eastAsia="Times New Roman"/>
                <w:bCs/>
                <w:sz w:val="20"/>
                <w:szCs w:val="20"/>
                <w:lang w:val="es-ES"/>
              </w:rPr>
            </w:pPr>
          </w:p>
        </w:tc>
        <w:tc>
          <w:tcPr>
            <w:tcW w:w="2551" w:type="dxa"/>
            <w:tcBorders>
              <w:left w:val="nil"/>
              <w:bottom w:val="nil"/>
              <w:right w:val="nil"/>
            </w:tcBorders>
            <w:vAlign w:val="center"/>
          </w:tcPr>
          <w:p w14:paraId="3BDC2238" w14:textId="77777777" w:rsidR="008E60A1" w:rsidRPr="008E60A1" w:rsidRDefault="008E60A1" w:rsidP="008E60A1">
            <w:pPr>
              <w:jc w:val="both"/>
              <w:rPr>
                <w:rFonts w:eastAsia="Times New Roman"/>
                <w:bCs/>
                <w:sz w:val="20"/>
                <w:szCs w:val="20"/>
                <w:lang w:val="es-ES"/>
              </w:rPr>
            </w:pPr>
          </w:p>
        </w:tc>
        <w:tc>
          <w:tcPr>
            <w:tcW w:w="5289" w:type="dxa"/>
            <w:tcBorders>
              <w:left w:val="nil"/>
              <w:bottom w:val="nil"/>
              <w:right w:val="nil"/>
            </w:tcBorders>
            <w:vAlign w:val="center"/>
          </w:tcPr>
          <w:p w14:paraId="07197FD6" w14:textId="77777777" w:rsidR="008E60A1" w:rsidRPr="008E60A1" w:rsidRDefault="008E60A1" w:rsidP="008E60A1">
            <w:pPr>
              <w:jc w:val="right"/>
              <w:rPr>
                <w:rFonts w:eastAsia="Times New Roman"/>
                <w:bCs/>
                <w:sz w:val="20"/>
                <w:szCs w:val="20"/>
                <w:lang w:val="es-ES"/>
              </w:rPr>
            </w:pPr>
            <w:r w:rsidRPr="008E60A1">
              <w:rPr>
                <w:rFonts w:eastAsia="Times New Roman"/>
                <w:bCs/>
                <w:sz w:val="20"/>
                <w:szCs w:val="20"/>
                <w:lang w:val="es-ES"/>
              </w:rPr>
              <w:t>Continúa …</w:t>
            </w:r>
          </w:p>
        </w:tc>
      </w:tr>
    </w:tbl>
    <w:p w14:paraId="44F44E50" w14:textId="77777777" w:rsidR="008E60A1" w:rsidRDefault="008E60A1" w:rsidP="008E60A1">
      <w:pPr>
        <w:spacing w:after="360" w:line="360" w:lineRule="auto"/>
        <w:ind w:right="-159"/>
        <w:jc w:val="both"/>
        <w:rPr>
          <w:rFonts w:eastAsia="Times New Roman"/>
          <w:bCs/>
          <w:sz w:val="26"/>
          <w:szCs w:val="26"/>
          <w:lang w:val="es-ES"/>
        </w:rPr>
      </w:pPr>
    </w:p>
    <w:p w14:paraId="60E1FBBA" w14:textId="77777777" w:rsidR="00B96277" w:rsidRPr="008E60A1" w:rsidRDefault="00B96277" w:rsidP="0054411E">
      <w:pPr>
        <w:spacing w:after="120" w:line="360" w:lineRule="auto"/>
        <w:ind w:right="-159"/>
        <w:jc w:val="both"/>
        <w:rPr>
          <w:rFonts w:eastAsia="Times New Roman"/>
          <w:bCs/>
          <w:sz w:val="26"/>
          <w:szCs w:val="26"/>
          <w:lang w:val="es-ES"/>
        </w:rPr>
      </w:pPr>
    </w:p>
    <w:tbl>
      <w:tblPr>
        <w:tblW w:w="0" w:type="auto"/>
        <w:jc w:val="center"/>
        <w:tblLayout w:type="fixed"/>
        <w:tblLook w:val="04A0" w:firstRow="1" w:lastRow="0" w:firstColumn="1" w:lastColumn="0" w:noHBand="0" w:noVBand="1"/>
      </w:tblPr>
      <w:tblGrid>
        <w:gridCol w:w="988"/>
        <w:gridCol w:w="2551"/>
        <w:gridCol w:w="5289"/>
      </w:tblGrid>
      <w:tr w:rsidR="008E60A1" w:rsidRPr="008E60A1" w14:paraId="30EF6C13" w14:textId="77777777" w:rsidTr="008E60A1">
        <w:trPr>
          <w:jc w:val="center"/>
        </w:trPr>
        <w:tc>
          <w:tcPr>
            <w:tcW w:w="8828" w:type="dxa"/>
            <w:gridSpan w:val="3"/>
            <w:tcBorders>
              <w:top w:val="nil"/>
              <w:left w:val="nil"/>
              <w:bottom w:val="single" w:sz="4" w:space="0" w:color="auto"/>
              <w:right w:val="nil"/>
            </w:tcBorders>
            <w:vAlign w:val="center"/>
          </w:tcPr>
          <w:p w14:paraId="6B6D1A9E" w14:textId="77777777" w:rsidR="008E60A1" w:rsidRPr="008E60A1" w:rsidRDefault="008E60A1" w:rsidP="008E60A1">
            <w:pPr>
              <w:jc w:val="center"/>
              <w:rPr>
                <w:rFonts w:eastAsia="Times New Roman"/>
                <w:b/>
                <w:bCs/>
                <w:sz w:val="22"/>
                <w:szCs w:val="22"/>
                <w:lang w:val="es-ES"/>
              </w:rPr>
            </w:pPr>
            <w:r w:rsidRPr="008E60A1">
              <w:rPr>
                <w:rFonts w:eastAsia="Times New Roman"/>
                <w:b/>
                <w:bCs/>
                <w:sz w:val="22"/>
                <w:szCs w:val="22"/>
                <w:lang w:val="es-ES"/>
              </w:rPr>
              <w:t>SUCURSALES A DISPOSICIÓN DE LOS CLIENTES AHORRADORES FICREA</w:t>
            </w:r>
          </w:p>
          <w:p w14:paraId="53A30B25" w14:textId="77777777" w:rsidR="008E60A1" w:rsidRPr="008E60A1" w:rsidRDefault="008E60A1" w:rsidP="008E60A1">
            <w:pPr>
              <w:jc w:val="center"/>
              <w:rPr>
                <w:rFonts w:eastAsia="Times New Roman"/>
                <w:b/>
                <w:bCs/>
                <w:sz w:val="22"/>
                <w:szCs w:val="22"/>
                <w:lang w:val="es-ES"/>
              </w:rPr>
            </w:pPr>
          </w:p>
        </w:tc>
      </w:tr>
      <w:tr w:rsidR="008E60A1" w:rsidRPr="008E60A1" w14:paraId="037883BB" w14:textId="77777777" w:rsidTr="008E60A1">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6C11E260" w14:textId="77777777" w:rsidR="008E60A1" w:rsidRPr="008E60A1" w:rsidRDefault="008E60A1" w:rsidP="008E60A1">
            <w:pPr>
              <w:spacing w:before="40" w:after="40"/>
              <w:jc w:val="center"/>
              <w:rPr>
                <w:rFonts w:eastAsia="Times New Roman"/>
                <w:b/>
                <w:bCs/>
                <w:sz w:val="20"/>
                <w:szCs w:val="20"/>
                <w:lang w:val="es-ES"/>
              </w:rPr>
            </w:pPr>
            <w:r w:rsidRPr="008E60A1">
              <w:rPr>
                <w:rFonts w:eastAsia="Times New Roman"/>
                <w:b/>
                <w:bCs/>
                <w:sz w:val="20"/>
                <w:szCs w:val="20"/>
                <w:lang w:val="es-ES"/>
              </w:rPr>
              <w:t>Número</w:t>
            </w:r>
          </w:p>
        </w:tc>
        <w:tc>
          <w:tcPr>
            <w:tcW w:w="2551" w:type="dxa"/>
            <w:tcBorders>
              <w:top w:val="single" w:sz="4" w:space="0" w:color="auto"/>
              <w:left w:val="single" w:sz="4" w:space="0" w:color="auto"/>
              <w:bottom w:val="single" w:sz="4" w:space="0" w:color="auto"/>
              <w:right w:val="single" w:sz="4" w:space="0" w:color="auto"/>
            </w:tcBorders>
            <w:vAlign w:val="center"/>
          </w:tcPr>
          <w:p w14:paraId="0526760A" w14:textId="77777777" w:rsidR="008E60A1" w:rsidRPr="008E60A1" w:rsidRDefault="008E60A1" w:rsidP="008E60A1">
            <w:pPr>
              <w:spacing w:before="40" w:after="40"/>
              <w:jc w:val="center"/>
              <w:rPr>
                <w:rFonts w:eastAsia="Times New Roman"/>
                <w:b/>
                <w:bCs/>
                <w:sz w:val="20"/>
                <w:szCs w:val="20"/>
                <w:lang w:val="es-ES"/>
              </w:rPr>
            </w:pPr>
            <w:r w:rsidRPr="008E60A1">
              <w:rPr>
                <w:rFonts w:eastAsia="Times New Roman"/>
                <w:b/>
                <w:bCs/>
                <w:sz w:val="20"/>
                <w:szCs w:val="20"/>
                <w:lang w:val="es-ES"/>
              </w:rPr>
              <w:t>Sucursal</w:t>
            </w:r>
          </w:p>
        </w:tc>
        <w:tc>
          <w:tcPr>
            <w:tcW w:w="5289" w:type="dxa"/>
            <w:tcBorders>
              <w:top w:val="single" w:sz="4" w:space="0" w:color="auto"/>
              <w:left w:val="single" w:sz="4" w:space="0" w:color="auto"/>
              <w:bottom w:val="single" w:sz="4" w:space="0" w:color="auto"/>
              <w:right w:val="single" w:sz="4" w:space="0" w:color="auto"/>
            </w:tcBorders>
            <w:vAlign w:val="center"/>
          </w:tcPr>
          <w:p w14:paraId="2F8B062C" w14:textId="77777777" w:rsidR="008E60A1" w:rsidRPr="008E60A1" w:rsidRDefault="008E60A1" w:rsidP="008E60A1">
            <w:pPr>
              <w:spacing w:before="40" w:after="40"/>
              <w:jc w:val="center"/>
              <w:rPr>
                <w:rFonts w:eastAsia="Times New Roman"/>
                <w:b/>
                <w:bCs/>
                <w:sz w:val="20"/>
                <w:szCs w:val="20"/>
                <w:lang w:val="es-ES"/>
              </w:rPr>
            </w:pPr>
            <w:r w:rsidRPr="008E60A1">
              <w:rPr>
                <w:rFonts w:eastAsia="Times New Roman"/>
                <w:b/>
                <w:bCs/>
                <w:sz w:val="20"/>
                <w:szCs w:val="20"/>
                <w:lang w:val="es-ES"/>
              </w:rPr>
              <w:t>Dirección</w:t>
            </w:r>
          </w:p>
        </w:tc>
      </w:tr>
      <w:tr w:rsidR="008E60A1" w:rsidRPr="008E60A1" w14:paraId="746133A9" w14:textId="77777777" w:rsidTr="008E60A1">
        <w:trPr>
          <w:jc w:val="center"/>
        </w:trPr>
        <w:tc>
          <w:tcPr>
            <w:tcW w:w="988" w:type="dxa"/>
            <w:tcBorders>
              <w:top w:val="single" w:sz="4" w:space="0" w:color="auto"/>
              <w:left w:val="single" w:sz="4" w:space="0" w:color="auto"/>
              <w:bottom w:val="nil"/>
              <w:right w:val="single" w:sz="4" w:space="0" w:color="auto"/>
            </w:tcBorders>
            <w:vAlign w:val="center"/>
          </w:tcPr>
          <w:p w14:paraId="416243D2" w14:textId="77777777" w:rsidR="008E60A1" w:rsidRPr="008E60A1" w:rsidRDefault="008E60A1" w:rsidP="008E60A1">
            <w:pPr>
              <w:spacing w:before="60" w:after="60"/>
              <w:jc w:val="center"/>
              <w:rPr>
                <w:rFonts w:eastAsia="Times New Roman"/>
                <w:bCs/>
                <w:sz w:val="20"/>
                <w:szCs w:val="20"/>
                <w:lang w:val="es-ES"/>
              </w:rPr>
            </w:pPr>
            <w:r w:rsidRPr="008E60A1">
              <w:rPr>
                <w:rFonts w:eastAsia="Times New Roman"/>
                <w:bCs/>
                <w:sz w:val="20"/>
                <w:szCs w:val="20"/>
                <w:lang w:val="es-ES"/>
              </w:rPr>
              <w:t>20</w:t>
            </w:r>
          </w:p>
        </w:tc>
        <w:tc>
          <w:tcPr>
            <w:tcW w:w="2551" w:type="dxa"/>
            <w:tcBorders>
              <w:top w:val="single" w:sz="4" w:space="0" w:color="auto"/>
              <w:left w:val="single" w:sz="4" w:space="0" w:color="auto"/>
              <w:bottom w:val="nil"/>
              <w:right w:val="single" w:sz="4" w:space="0" w:color="auto"/>
            </w:tcBorders>
            <w:vAlign w:val="center"/>
          </w:tcPr>
          <w:p w14:paraId="71D0B38A" w14:textId="77777777" w:rsidR="008E60A1" w:rsidRPr="008E60A1" w:rsidRDefault="008E60A1" w:rsidP="008E60A1">
            <w:pPr>
              <w:spacing w:before="60" w:after="60"/>
              <w:jc w:val="both"/>
              <w:rPr>
                <w:rFonts w:eastAsia="Times New Roman"/>
                <w:bCs/>
                <w:sz w:val="20"/>
                <w:szCs w:val="20"/>
                <w:lang w:val="es-ES"/>
              </w:rPr>
            </w:pPr>
            <w:r w:rsidRPr="008E60A1">
              <w:rPr>
                <w:rFonts w:eastAsia="Times New Roman"/>
                <w:bCs/>
                <w:sz w:val="20"/>
                <w:szCs w:val="20"/>
                <w:lang w:val="es-ES"/>
              </w:rPr>
              <w:t>Interlomas</w:t>
            </w:r>
          </w:p>
        </w:tc>
        <w:tc>
          <w:tcPr>
            <w:tcW w:w="5289" w:type="dxa"/>
            <w:tcBorders>
              <w:top w:val="single" w:sz="4" w:space="0" w:color="auto"/>
              <w:left w:val="single" w:sz="4" w:space="0" w:color="auto"/>
              <w:bottom w:val="nil"/>
              <w:right w:val="single" w:sz="4" w:space="0" w:color="auto"/>
            </w:tcBorders>
            <w:vAlign w:val="center"/>
          </w:tcPr>
          <w:p w14:paraId="6E84B6AE" w14:textId="77777777" w:rsidR="008E60A1" w:rsidRPr="008E60A1" w:rsidRDefault="008E60A1" w:rsidP="008E60A1">
            <w:pPr>
              <w:spacing w:before="120" w:after="60"/>
              <w:jc w:val="both"/>
              <w:rPr>
                <w:rFonts w:eastAsia="Times New Roman"/>
                <w:bCs/>
                <w:sz w:val="20"/>
                <w:szCs w:val="20"/>
                <w:lang w:val="es-ES"/>
              </w:rPr>
            </w:pPr>
            <w:r w:rsidRPr="008E60A1">
              <w:rPr>
                <w:rFonts w:eastAsia="Times New Roman"/>
                <w:bCs/>
                <w:sz w:val="20"/>
                <w:szCs w:val="20"/>
                <w:lang w:val="es-ES"/>
              </w:rPr>
              <w:t>Av. Jesús del Monte 37 Plaza Espacio Loc. 29, Jesús del Monte, Huixquilucan, Estado de México</w:t>
            </w:r>
          </w:p>
        </w:tc>
      </w:tr>
      <w:tr w:rsidR="008E60A1" w:rsidRPr="008E60A1" w14:paraId="493B4366" w14:textId="77777777" w:rsidTr="008E60A1">
        <w:trPr>
          <w:jc w:val="center"/>
        </w:trPr>
        <w:tc>
          <w:tcPr>
            <w:tcW w:w="988" w:type="dxa"/>
            <w:tcBorders>
              <w:top w:val="nil"/>
              <w:left w:val="single" w:sz="4" w:space="0" w:color="auto"/>
              <w:bottom w:val="nil"/>
              <w:right w:val="single" w:sz="4" w:space="0" w:color="auto"/>
            </w:tcBorders>
            <w:vAlign w:val="center"/>
          </w:tcPr>
          <w:p w14:paraId="5007BD60" w14:textId="77777777" w:rsidR="008E60A1" w:rsidRPr="008E60A1" w:rsidRDefault="008E60A1" w:rsidP="008E60A1">
            <w:pPr>
              <w:spacing w:before="60" w:after="60"/>
              <w:jc w:val="center"/>
              <w:rPr>
                <w:rFonts w:eastAsia="Times New Roman"/>
                <w:bCs/>
                <w:sz w:val="20"/>
                <w:szCs w:val="20"/>
                <w:lang w:val="es-ES"/>
              </w:rPr>
            </w:pPr>
            <w:r w:rsidRPr="008E60A1">
              <w:rPr>
                <w:rFonts w:eastAsia="Times New Roman"/>
                <w:bCs/>
                <w:sz w:val="20"/>
                <w:szCs w:val="20"/>
                <w:lang w:val="es-ES"/>
              </w:rPr>
              <w:t>21</w:t>
            </w:r>
          </w:p>
        </w:tc>
        <w:tc>
          <w:tcPr>
            <w:tcW w:w="2551" w:type="dxa"/>
            <w:tcBorders>
              <w:top w:val="nil"/>
              <w:left w:val="single" w:sz="4" w:space="0" w:color="auto"/>
              <w:bottom w:val="nil"/>
              <w:right w:val="single" w:sz="4" w:space="0" w:color="auto"/>
            </w:tcBorders>
            <w:vAlign w:val="center"/>
          </w:tcPr>
          <w:p w14:paraId="53F8E3C4" w14:textId="77777777" w:rsidR="008E60A1" w:rsidRPr="008E60A1" w:rsidRDefault="008E60A1" w:rsidP="008E60A1">
            <w:pPr>
              <w:spacing w:before="60" w:after="60"/>
              <w:jc w:val="both"/>
              <w:rPr>
                <w:rFonts w:eastAsia="Times New Roman"/>
                <w:bCs/>
                <w:sz w:val="20"/>
                <w:szCs w:val="20"/>
                <w:lang w:val="es-ES"/>
              </w:rPr>
            </w:pPr>
            <w:r w:rsidRPr="008E60A1">
              <w:rPr>
                <w:rFonts w:eastAsia="Times New Roman"/>
                <w:bCs/>
                <w:sz w:val="20"/>
                <w:szCs w:val="20"/>
                <w:lang w:val="es-ES"/>
              </w:rPr>
              <w:t>Andares</w:t>
            </w:r>
          </w:p>
        </w:tc>
        <w:tc>
          <w:tcPr>
            <w:tcW w:w="5289" w:type="dxa"/>
            <w:tcBorders>
              <w:top w:val="nil"/>
              <w:left w:val="single" w:sz="4" w:space="0" w:color="auto"/>
              <w:bottom w:val="nil"/>
              <w:right w:val="single" w:sz="4" w:space="0" w:color="auto"/>
            </w:tcBorders>
            <w:vAlign w:val="center"/>
          </w:tcPr>
          <w:p w14:paraId="0E46B285" w14:textId="77777777" w:rsidR="008E60A1" w:rsidRPr="008E60A1" w:rsidRDefault="008E60A1" w:rsidP="008E60A1">
            <w:pPr>
              <w:spacing w:before="60" w:after="60"/>
              <w:jc w:val="both"/>
              <w:rPr>
                <w:rFonts w:eastAsia="Times New Roman"/>
                <w:bCs/>
                <w:sz w:val="20"/>
                <w:szCs w:val="20"/>
                <w:lang w:val="es-ES"/>
              </w:rPr>
            </w:pPr>
            <w:r w:rsidRPr="008E60A1">
              <w:rPr>
                <w:rFonts w:eastAsia="Times New Roman"/>
                <w:bCs/>
                <w:sz w:val="20"/>
                <w:szCs w:val="20"/>
                <w:lang w:val="es-ES"/>
              </w:rPr>
              <w:t>Av. Acueducto 4851 Piso 10, Int. 2 y 4, Puerta de Hierro, Zapopan, Jalisco</w:t>
            </w:r>
          </w:p>
        </w:tc>
      </w:tr>
      <w:tr w:rsidR="008E60A1" w:rsidRPr="008E60A1" w14:paraId="45BDAE91" w14:textId="77777777" w:rsidTr="008E60A1">
        <w:trPr>
          <w:jc w:val="center"/>
        </w:trPr>
        <w:tc>
          <w:tcPr>
            <w:tcW w:w="988" w:type="dxa"/>
            <w:tcBorders>
              <w:top w:val="nil"/>
              <w:left w:val="single" w:sz="4" w:space="0" w:color="auto"/>
              <w:bottom w:val="nil"/>
              <w:right w:val="single" w:sz="4" w:space="0" w:color="auto"/>
            </w:tcBorders>
            <w:vAlign w:val="center"/>
          </w:tcPr>
          <w:p w14:paraId="01958AE8" w14:textId="77777777" w:rsidR="008E60A1" w:rsidRPr="008E60A1" w:rsidRDefault="008E60A1" w:rsidP="008E60A1">
            <w:pPr>
              <w:spacing w:before="60" w:after="60"/>
              <w:jc w:val="center"/>
              <w:rPr>
                <w:rFonts w:eastAsia="Times New Roman"/>
                <w:bCs/>
                <w:sz w:val="20"/>
                <w:szCs w:val="20"/>
                <w:lang w:val="es-ES"/>
              </w:rPr>
            </w:pPr>
            <w:r w:rsidRPr="008E60A1">
              <w:rPr>
                <w:rFonts w:eastAsia="Times New Roman"/>
                <w:bCs/>
                <w:sz w:val="20"/>
                <w:szCs w:val="20"/>
                <w:lang w:val="es-ES"/>
              </w:rPr>
              <w:t>22</w:t>
            </w:r>
          </w:p>
        </w:tc>
        <w:tc>
          <w:tcPr>
            <w:tcW w:w="2551" w:type="dxa"/>
            <w:tcBorders>
              <w:top w:val="nil"/>
              <w:left w:val="single" w:sz="4" w:space="0" w:color="auto"/>
              <w:bottom w:val="nil"/>
              <w:right w:val="single" w:sz="4" w:space="0" w:color="auto"/>
            </w:tcBorders>
            <w:vAlign w:val="center"/>
          </w:tcPr>
          <w:p w14:paraId="60FE9A81" w14:textId="77777777" w:rsidR="008E60A1" w:rsidRPr="008E60A1" w:rsidRDefault="008E60A1" w:rsidP="008E60A1">
            <w:pPr>
              <w:spacing w:before="60" w:after="60"/>
              <w:jc w:val="both"/>
              <w:rPr>
                <w:rFonts w:eastAsia="Times New Roman"/>
                <w:bCs/>
                <w:sz w:val="20"/>
                <w:szCs w:val="20"/>
                <w:lang w:val="es-ES"/>
              </w:rPr>
            </w:pPr>
            <w:r w:rsidRPr="008E60A1">
              <w:rPr>
                <w:rFonts w:eastAsia="Times New Roman"/>
                <w:bCs/>
                <w:sz w:val="20"/>
                <w:szCs w:val="20"/>
                <w:lang w:val="es-ES"/>
              </w:rPr>
              <w:t>Saltillo II</w:t>
            </w:r>
          </w:p>
        </w:tc>
        <w:tc>
          <w:tcPr>
            <w:tcW w:w="5289" w:type="dxa"/>
            <w:tcBorders>
              <w:top w:val="nil"/>
              <w:left w:val="single" w:sz="4" w:space="0" w:color="auto"/>
              <w:bottom w:val="nil"/>
              <w:right w:val="single" w:sz="4" w:space="0" w:color="auto"/>
            </w:tcBorders>
            <w:vAlign w:val="center"/>
          </w:tcPr>
          <w:p w14:paraId="227A37DC" w14:textId="77777777" w:rsidR="008E60A1" w:rsidRPr="008E60A1" w:rsidRDefault="008E60A1" w:rsidP="008E60A1">
            <w:pPr>
              <w:spacing w:before="60" w:after="60"/>
              <w:jc w:val="both"/>
              <w:rPr>
                <w:rFonts w:eastAsia="Times New Roman"/>
                <w:bCs/>
                <w:sz w:val="20"/>
                <w:szCs w:val="20"/>
                <w:lang w:val="es-ES"/>
              </w:rPr>
            </w:pPr>
            <w:r w:rsidRPr="008E60A1">
              <w:rPr>
                <w:rFonts w:eastAsia="Times New Roman"/>
                <w:bCs/>
                <w:sz w:val="20"/>
                <w:szCs w:val="20"/>
                <w:lang w:val="es-ES"/>
              </w:rPr>
              <w:t>Blvd. Galerías 200 Ed. Qx. Loc. 11pb, Villa Olímpica, Saltillo Coahuila</w:t>
            </w:r>
          </w:p>
        </w:tc>
      </w:tr>
      <w:tr w:rsidR="008E60A1" w:rsidRPr="008E60A1" w14:paraId="4057E531" w14:textId="77777777" w:rsidTr="008E60A1">
        <w:trPr>
          <w:jc w:val="center"/>
        </w:trPr>
        <w:tc>
          <w:tcPr>
            <w:tcW w:w="988" w:type="dxa"/>
            <w:tcBorders>
              <w:top w:val="nil"/>
              <w:left w:val="single" w:sz="4" w:space="0" w:color="auto"/>
              <w:bottom w:val="nil"/>
              <w:right w:val="single" w:sz="4" w:space="0" w:color="auto"/>
            </w:tcBorders>
            <w:vAlign w:val="center"/>
          </w:tcPr>
          <w:p w14:paraId="18DEBAA2" w14:textId="77777777" w:rsidR="008E60A1" w:rsidRPr="008E60A1" w:rsidRDefault="008E60A1" w:rsidP="008E60A1">
            <w:pPr>
              <w:spacing w:before="60" w:after="60"/>
              <w:jc w:val="center"/>
              <w:rPr>
                <w:rFonts w:eastAsia="Times New Roman"/>
                <w:bCs/>
                <w:sz w:val="20"/>
                <w:szCs w:val="20"/>
                <w:lang w:val="es-ES"/>
              </w:rPr>
            </w:pPr>
            <w:r w:rsidRPr="008E60A1">
              <w:rPr>
                <w:rFonts w:eastAsia="Times New Roman"/>
                <w:bCs/>
                <w:sz w:val="20"/>
                <w:szCs w:val="20"/>
                <w:lang w:val="es-ES"/>
              </w:rPr>
              <w:t>23</w:t>
            </w:r>
          </w:p>
        </w:tc>
        <w:tc>
          <w:tcPr>
            <w:tcW w:w="2551" w:type="dxa"/>
            <w:tcBorders>
              <w:top w:val="nil"/>
              <w:left w:val="single" w:sz="4" w:space="0" w:color="auto"/>
              <w:bottom w:val="nil"/>
              <w:right w:val="single" w:sz="4" w:space="0" w:color="auto"/>
            </w:tcBorders>
            <w:vAlign w:val="center"/>
          </w:tcPr>
          <w:p w14:paraId="33AA970B" w14:textId="77777777" w:rsidR="008E60A1" w:rsidRPr="008E60A1" w:rsidRDefault="008E60A1" w:rsidP="008E60A1">
            <w:pPr>
              <w:spacing w:before="60" w:after="60"/>
              <w:jc w:val="both"/>
              <w:rPr>
                <w:rFonts w:eastAsia="Times New Roman"/>
                <w:bCs/>
                <w:sz w:val="20"/>
                <w:szCs w:val="20"/>
                <w:lang w:val="es-ES"/>
              </w:rPr>
            </w:pPr>
            <w:r w:rsidRPr="008E60A1">
              <w:rPr>
                <w:rFonts w:eastAsia="Times New Roman"/>
                <w:bCs/>
                <w:sz w:val="20"/>
                <w:szCs w:val="20"/>
                <w:lang w:val="es-ES"/>
              </w:rPr>
              <w:t>San Luis Potosí</w:t>
            </w:r>
          </w:p>
        </w:tc>
        <w:tc>
          <w:tcPr>
            <w:tcW w:w="5289" w:type="dxa"/>
            <w:tcBorders>
              <w:top w:val="nil"/>
              <w:left w:val="single" w:sz="4" w:space="0" w:color="auto"/>
              <w:bottom w:val="nil"/>
              <w:right w:val="single" w:sz="4" w:space="0" w:color="auto"/>
            </w:tcBorders>
            <w:vAlign w:val="center"/>
          </w:tcPr>
          <w:p w14:paraId="327151B2" w14:textId="77777777" w:rsidR="008E60A1" w:rsidRPr="008E60A1" w:rsidRDefault="008E60A1" w:rsidP="008E60A1">
            <w:pPr>
              <w:spacing w:before="60" w:after="60"/>
              <w:jc w:val="both"/>
              <w:rPr>
                <w:rFonts w:eastAsia="Times New Roman"/>
                <w:bCs/>
                <w:sz w:val="20"/>
                <w:szCs w:val="20"/>
                <w:lang w:val="es-ES"/>
              </w:rPr>
            </w:pPr>
            <w:r w:rsidRPr="008E60A1">
              <w:rPr>
                <w:rFonts w:eastAsia="Times New Roman"/>
                <w:bCs/>
                <w:sz w:val="20"/>
                <w:szCs w:val="20"/>
                <w:lang w:val="es-ES"/>
              </w:rPr>
              <w:t>Real de las Lomas 1005 Torre 1, PB, Loc. D, Lomas 4 Sección, San Luis Potosí</w:t>
            </w:r>
          </w:p>
        </w:tc>
      </w:tr>
      <w:tr w:rsidR="008E60A1" w:rsidRPr="008E60A1" w14:paraId="61BA5289" w14:textId="77777777" w:rsidTr="008E60A1">
        <w:trPr>
          <w:jc w:val="center"/>
        </w:trPr>
        <w:tc>
          <w:tcPr>
            <w:tcW w:w="988" w:type="dxa"/>
            <w:tcBorders>
              <w:top w:val="nil"/>
              <w:left w:val="single" w:sz="4" w:space="0" w:color="auto"/>
              <w:bottom w:val="nil"/>
              <w:right w:val="single" w:sz="4" w:space="0" w:color="auto"/>
            </w:tcBorders>
            <w:vAlign w:val="center"/>
          </w:tcPr>
          <w:p w14:paraId="0700663D" w14:textId="77777777" w:rsidR="008E60A1" w:rsidRPr="008E60A1" w:rsidRDefault="008E60A1" w:rsidP="008E60A1">
            <w:pPr>
              <w:spacing w:before="60" w:after="60"/>
              <w:jc w:val="center"/>
              <w:rPr>
                <w:rFonts w:eastAsia="Times New Roman"/>
                <w:bCs/>
                <w:sz w:val="20"/>
                <w:szCs w:val="20"/>
                <w:lang w:val="es-ES"/>
              </w:rPr>
            </w:pPr>
            <w:r w:rsidRPr="008E60A1">
              <w:rPr>
                <w:rFonts w:eastAsia="Times New Roman"/>
                <w:bCs/>
                <w:sz w:val="20"/>
                <w:szCs w:val="20"/>
                <w:lang w:val="es-ES"/>
              </w:rPr>
              <w:t>24</w:t>
            </w:r>
          </w:p>
        </w:tc>
        <w:tc>
          <w:tcPr>
            <w:tcW w:w="2551" w:type="dxa"/>
            <w:tcBorders>
              <w:top w:val="nil"/>
              <w:left w:val="single" w:sz="4" w:space="0" w:color="auto"/>
              <w:bottom w:val="nil"/>
              <w:right w:val="single" w:sz="4" w:space="0" w:color="auto"/>
            </w:tcBorders>
            <w:vAlign w:val="center"/>
          </w:tcPr>
          <w:p w14:paraId="355EF90B" w14:textId="77777777" w:rsidR="008E60A1" w:rsidRPr="008E60A1" w:rsidRDefault="008E60A1" w:rsidP="008E60A1">
            <w:pPr>
              <w:spacing w:before="60" w:after="60"/>
              <w:jc w:val="both"/>
              <w:rPr>
                <w:rFonts w:eastAsia="Times New Roman"/>
                <w:bCs/>
                <w:sz w:val="20"/>
                <w:szCs w:val="20"/>
                <w:lang w:val="es-ES"/>
              </w:rPr>
            </w:pPr>
            <w:r w:rsidRPr="008E60A1">
              <w:rPr>
                <w:rFonts w:eastAsia="Times New Roman"/>
                <w:bCs/>
                <w:sz w:val="20"/>
                <w:szCs w:val="20"/>
                <w:lang w:val="es-ES"/>
              </w:rPr>
              <w:t>León</w:t>
            </w:r>
          </w:p>
        </w:tc>
        <w:tc>
          <w:tcPr>
            <w:tcW w:w="5289" w:type="dxa"/>
            <w:tcBorders>
              <w:top w:val="nil"/>
              <w:left w:val="single" w:sz="4" w:space="0" w:color="auto"/>
              <w:bottom w:val="nil"/>
              <w:right w:val="single" w:sz="4" w:space="0" w:color="auto"/>
            </w:tcBorders>
            <w:vAlign w:val="center"/>
          </w:tcPr>
          <w:p w14:paraId="1784EE65" w14:textId="77777777" w:rsidR="008E60A1" w:rsidRPr="008E60A1" w:rsidRDefault="008E60A1" w:rsidP="008E60A1">
            <w:pPr>
              <w:spacing w:before="60" w:after="60"/>
              <w:jc w:val="both"/>
              <w:rPr>
                <w:rFonts w:eastAsia="Times New Roman"/>
                <w:bCs/>
                <w:sz w:val="20"/>
                <w:szCs w:val="20"/>
                <w:lang w:val="es-ES"/>
              </w:rPr>
            </w:pPr>
            <w:r w:rsidRPr="008E60A1">
              <w:rPr>
                <w:rFonts w:eastAsia="Times New Roman"/>
                <w:bCs/>
                <w:sz w:val="20"/>
                <w:szCs w:val="20"/>
                <w:lang w:val="es-ES"/>
              </w:rPr>
              <w:t>Paseo de los Insurgentes 303 Planta Baja, Local B, Los Paraísos. León, Guanajuato</w:t>
            </w:r>
          </w:p>
        </w:tc>
      </w:tr>
      <w:tr w:rsidR="008E60A1" w:rsidRPr="008E60A1" w14:paraId="34594D2B" w14:textId="77777777" w:rsidTr="008E60A1">
        <w:trPr>
          <w:jc w:val="center"/>
        </w:trPr>
        <w:tc>
          <w:tcPr>
            <w:tcW w:w="988" w:type="dxa"/>
            <w:tcBorders>
              <w:top w:val="nil"/>
              <w:left w:val="single" w:sz="4" w:space="0" w:color="auto"/>
              <w:bottom w:val="nil"/>
              <w:right w:val="single" w:sz="4" w:space="0" w:color="auto"/>
            </w:tcBorders>
            <w:vAlign w:val="center"/>
          </w:tcPr>
          <w:p w14:paraId="43FD344D" w14:textId="77777777" w:rsidR="008E60A1" w:rsidRPr="008E60A1" w:rsidRDefault="008E60A1" w:rsidP="008E60A1">
            <w:pPr>
              <w:spacing w:before="60" w:after="60"/>
              <w:jc w:val="center"/>
              <w:rPr>
                <w:rFonts w:eastAsia="Times New Roman"/>
                <w:bCs/>
                <w:sz w:val="20"/>
                <w:szCs w:val="20"/>
                <w:lang w:val="es-ES"/>
              </w:rPr>
            </w:pPr>
            <w:r w:rsidRPr="008E60A1">
              <w:rPr>
                <w:rFonts w:eastAsia="Times New Roman"/>
                <w:bCs/>
                <w:sz w:val="20"/>
                <w:szCs w:val="20"/>
                <w:lang w:val="es-ES"/>
              </w:rPr>
              <w:t>25</w:t>
            </w:r>
          </w:p>
        </w:tc>
        <w:tc>
          <w:tcPr>
            <w:tcW w:w="2551" w:type="dxa"/>
            <w:tcBorders>
              <w:top w:val="nil"/>
              <w:left w:val="single" w:sz="4" w:space="0" w:color="auto"/>
              <w:bottom w:val="nil"/>
              <w:right w:val="single" w:sz="4" w:space="0" w:color="auto"/>
            </w:tcBorders>
            <w:vAlign w:val="center"/>
          </w:tcPr>
          <w:p w14:paraId="63CC4257" w14:textId="77777777" w:rsidR="008E60A1" w:rsidRPr="008E60A1" w:rsidRDefault="008E60A1" w:rsidP="008E60A1">
            <w:pPr>
              <w:spacing w:before="60" w:after="60"/>
              <w:jc w:val="both"/>
              <w:rPr>
                <w:rFonts w:eastAsia="Times New Roman"/>
                <w:bCs/>
                <w:sz w:val="20"/>
                <w:szCs w:val="20"/>
                <w:lang w:val="es-ES"/>
              </w:rPr>
            </w:pPr>
            <w:r w:rsidRPr="008E60A1">
              <w:rPr>
                <w:rFonts w:eastAsia="Times New Roman"/>
                <w:bCs/>
                <w:sz w:val="20"/>
                <w:szCs w:val="20"/>
                <w:lang w:val="es-ES"/>
              </w:rPr>
              <w:t>Pabellón del Valle</w:t>
            </w:r>
          </w:p>
        </w:tc>
        <w:tc>
          <w:tcPr>
            <w:tcW w:w="5289" w:type="dxa"/>
            <w:tcBorders>
              <w:top w:val="nil"/>
              <w:left w:val="single" w:sz="4" w:space="0" w:color="auto"/>
              <w:bottom w:val="nil"/>
              <w:right w:val="single" w:sz="4" w:space="0" w:color="auto"/>
            </w:tcBorders>
            <w:vAlign w:val="center"/>
          </w:tcPr>
          <w:p w14:paraId="2E19F1AD" w14:textId="77777777" w:rsidR="008E60A1" w:rsidRPr="008E60A1" w:rsidRDefault="008E60A1" w:rsidP="008E60A1">
            <w:pPr>
              <w:spacing w:before="60" w:after="60"/>
              <w:jc w:val="both"/>
              <w:rPr>
                <w:rFonts w:eastAsia="Times New Roman"/>
                <w:bCs/>
                <w:sz w:val="20"/>
                <w:szCs w:val="20"/>
                <w:lang w:val="es-ES"/>
              </w:rPr>
            </w:pPr>
            <w:r w:rsidRPr="008E60A1">
              <w:rPr>
                <w:rFonts w:eastAsia="Times New Roman"/>
                <w:bCs/>
                <w:sz w:val="20"/>
                <w:szCs w:val="20"/>
                <w:lang w:val="es-ES"/>
              </w:rPr>
              <w:t>Av. Universidad 740, Santa Cruz Atoyac, México, Distrito Federal</w:t>
            </w:r>
          </w:p>
        </w:tc>
      </w:tr>
      <w:tr w:rsidR="008E60A1" w:rsidRPr="008E60A1" w14:paraId="5B444048" w14:textId="77777777" w:rsidTr="008E60A1">
        <w:trPr>
          <w:jc w:val="center"/>
        </w:trPr>
        <w:tc>
          <w:tcPr>
            <w:tcW w:w="988" w:type="dxa"/>
            <w:tcBorders>
              <w:top w:val="nil"/>
              <w:left w:val="single" w:sz="4" w:space="0" w:color="auto"/>
              <w:bottom w:val="nil"/>
              <w:right w:val="single" w:sz="4" w:space="0" w:color="auto"/>
            </w:tcBorders>
            <w:vAlign w:val="center"/>
          </w:tcPr>
          <w:p w14:paraId="60F243DC" w14:textId="77777777" w:rsidR="008E60A1" w:rsidRPr="008E60A1" w:rsidRDefault="008E60A1" w:rsidP="008E60A1">
            <w:pPr>
              <w:spacing w:before="60" w:after="60"/>
              <w:jc w:val="center"/>
              <w:rPr>
                <w:rFonts w:eastAsia="Times New Roman"/>
                <w:bCs/>
                <w:sz w:val="20"/>
                <w:szCs w:val="20"/>
                <w:lang w:val="es-ES"/>
              </w:rPr>
            </w:pPr>
            <w:r w:rsidRPr="008E60A1">
              <w:rPr>
                <w:rFonts w:eastAsia="Times New Roman"/>
                <w:bCs/>
                <w:sz w:val="20"/>
                <w:szCs w:val="20"/>
                <w:lang w:val="es-ES"/>
              </w:rPr>
              <w:t>26</w:t>
            </w:r>
          </w:p>
        </w:tc>
        <w:tc>
          <w:tcPr>
            <w:tcW w:w="2551" w:type="dxa"/>
            <w:tcBorders>
              <w:top w:val="nil"/>
              <w:left w:val="single" w:sz="4" w:space="0" w:color="auto"/>
              <w:bottom w:val="nil"/>
              <w:right w:val="single" w:sz="4" w:space="0" w:color="auto"/>
            </w:tcBorders>
            <w:vAlign w:val="center"/>
          </w:tcPr>
          <w:p w14:paraId="49223593" w14:textId="77777777" w:rsidR="008E60A1" w:rsidRPr="008E60A1" w:rsidRDefault="008E60A1" w:rsidP="008E60A1">
            <w:pPr>
              <w:spacing w:before="60" w:after="60"/>
              <w:jc w:val="both"/>
              <w:rPr>
                <w:rFonts w:eastAsia="Times New Roman"/>
                <w:bCs/>
                <w:sz w:val="20"/>
                <w:szCs w:val="20"/>
                <w:lang w:val="es-ES"/>
              </w:rPr>
            </w:pPr>
            <w:r w:rsidRPr="008E60A1">
              <w:rPr>
                <w:rFonts w:eastAsia="Times New Roman"/>
                <w:bCs/>
                <w:sz w:val="20"/>
                <w:szCs w:val="20"/>
                <w:lang w:val="es-ES"/>
              </w:rPr>
              <w:t>Puebla</w:t>
            </w:r>
          </w:p>
        </w:tc>
        <w:tc>
          <w:tcPr>
            <w:tcW w:w="5289" w:type="dxa"/>
            <w:tcBorders>
              <w:top w:val="nil"/>
              <w:left w:val="single" w:sz="4" w:space="0" w:color="auto"/>
              <w:bottom w:val="nil"/>
              <w:right w:val="single" w:sz="4" w:space="0" w:color="auto"/>
            </w:tcBorders>
            <w:vAlign w:val="center"/>
          </w:tcPr>
          <w:p w14:paraId="406E1C66" w14:textId="3358604D" w:rsidR="008E60A1" w:rsidRPr="008E60A1" w:rsidRDefault="008E60A1" w:rsidP="002B6043">
            <w:pPr>
              <w:spacing w:before="60" w:after="60"/>
              <w:jc w:val="both"/>
              <w:rPr>
                <w:rFonts w:eastAsia="Times New Roman"/>
                <w:bCs/>
                <w:sz w:val="20"/>
                <w:szCs w:val="20"/>
                <w:lang w:val="es-ES"/>
              </w:rPr>
            </w:pPr>
            <w:r w:rsidRPr="008E60A1">
              <w:rPr>
                <w:rFonts w:eastAsia="Times New Roman"/>
                <w:bCs/>
                <w:sz w:val="20"/>
                <w:szCs w:val="20"/>
                <w:lang w:val="es-ES"/>
              </w:rPr>
              <w:t xml:space="preserve">Av. </w:t>
            </w:r>
            <w:r w:rsidR="002B6043">
              <w:rPr>
                <w:rFonts w:eastAsia="Times New Roman"/>
                <w:bCs/>
                <w:sz w:val="20"/>
                <w:szCs w:val="20"/>
                <w:lang w:val="es-ES"/>
              </w:rPr>
              <w:t>Juárez</w:t>
            </w:r>
            <w:r w:rsidRPr="008E60A1">
              <w:rPr>
                <w:rFonts w:eastAsia="Times New Roman"/>
                <w:bCs/>
                <w:sz w:val="20"/>
                <w:szCs w:val="20"/>
                <w:lang w:val="es-ES"/>
              </w:rPr>
              <w:t xml:space="preserve"> 1906, Zona Esmeralda, Puebla de los Ángeles, Puebla</w:t>
            </w:r>
          </w:p>
        </w:tc>
      </w:tr>
      <w:tr w:rsidR="008E60A1" w:rsidRPr="008E60A1" w14:paraId="5972CDB3" w14:textId="77777777" w:rsidTr="008E60A1">
        <w:trPr>
          <w:jc w:val="center"/>
        </w:trPr>
        <w:tc>
          <w:tcPr>
            <w:tcW w:w="988" w:type="dxa"/>
            <w:tcBorders>
              <w:top w:val="nil"/>
              <w:left w:val="single" w:sz="4" w:space="0" w:color="auto"/>
              <w:bottom w:val="nil"/>
              <w:right w:val="single" w:sz="4" w:space="0" w:color="auto"/>
            </w:tcBorders>
            <w:vAlign w:val="center"/>
          </w:tcPr>
          <w:p w14:paraId="6462F214" w14:textId="77777777" w:rsidR="008E60A1" w:rsidRPr="008E60A1" w:rsidRDefault="008E60A1" w:rsidP="008E60A1">
            <w:pPr>
              <w:spacing w:before="60" w:after="60"/>
              <w:jc w:val="center"/>
              <w:rPr>
                <w:rFonts w:eastAsia="Times New Roman"/>
                <w:bCs/>
                <w:sz w:val="20"/>
                <w:szCs w:val="20"/>
                <w:lang w:val="es-ES"/>
              </w:rPr>
            </w:pPr>
            <w:r w:rsidRPr="008E60A1">
              <w:rPr>
                <w:rFonts w:eastAsia="Times New Roman"/>
                <w:bCs/>
                <w:sz w:val="20"/>
                <w:szCs w:val="20"/>
                <w:lang w:val="es-ES"/>
              </w:rPr>
              <w:t>27</w:t>
            </w:r>
          </w:p>
        </w:tc>
        <w:tc>
          <w:tcPr>
            <w:tcW w:w="2551" w:type="dxa"/>
            <w:tcBorders>
              <w:top w:val="nil"/>
              <w:left w:val="single" w:sz="4" w:space="0" w:color="auto"/>
              <w:bottom w:val="nil"/>
              <w:right w:val="single" w:sz="4" w:space="0" w:color="auto"/>
            </w:tcBorders>
            <w:vAlign w:val="center"/>
          </w:tcPr>
          <w:p w14:paraId="42EDE6FF" w14:textId="77777777" w:rsidR="008E60A1" w:rsidRPr="008E60A1" w:rsidRDefault="008E60A1" w:rsidP="008E60A1">
            <w:pPr>
              <w:spacing w:before="60" w:after="60"/>
              <w:jc w:val="both"/>
              <w:rPr>
                <w:rFonts w:eastAsia="Times New Roman"/>
                <w:bCs/>
                <w:sz w:val="20"/>
                <w:szCs w:val="20"/>
                <w:lang w:val="es-ES"/>
              </w:rPr>
            </w:pPr>
            <w:r w:rsidRPr="008E60A1">
              <w:rPr>
                <w:rFonts w:eastAsia="Times New Roman"/>
                <w:bCs/>
                <w:sz w:val="20"/>
                <w:szCs w:val="20"/>
                <w:lang w:val="es-ES"/>
              </w:rPr>
              <w:t>Metepec</w:t>
            </w:r>
          </w:p>
        </w:tc>
        <w:tc>
          <w:tcPr>
            <w:tcW w:w="5289" w:type="dxa"/>
            <w:tcBorders>
              <w:top w:val="nil"/>
              <w:left w:val="single" w:sz="4" w:space="0" w:color="auto"/>
              <w:bottom w:val="nil"/>
              <w:right w:val="single" w:sz="4" w:space="0" w:color="auto"/>
            </w:tcBorders>
            <w:vAlign w:val="center"/>
          </w:tcPr>
          <w:p w14:paraId="3BC39689" w14:textId="77777777" w:rsidR="008E60A1" w:rsidRPr="008E60A1" w:rsidRDefault="008E60A1" w:rsidP="008E60A1">
            <w:pPr>
              <w:spacing w:before="60" w:after="60"/>
              <w:jc w:val="both"/>
              <w:rPr>
                <w:rFonts w:eastAsia="Times New Roman"/>
                <w:bCs/>
                <w:sz w:val="20"/>
                <w:szCs w:val="20"/>
                <w:lang w:val="es-ES"/>
              </w:rPr>
            </w:pPr>
            <w:r w:rsidRPr="008E60A1">
              <w:rPr>
                <w:rFonts w:eastAsia="Times New Roman"/>
                <w:bCs/>
                <w:sz w:val="20"/>
                <w:szCs w:val="20"/>
                <w:lang w:val="es-ES"/>
              </w:rPr>
              <w:t>Av. Tecnológico 1600 L 23-24, San Salvador Tizatlalli, Metepec, Estado de México</w:t>
            </w:r>
          </w:p>
        </w:tc>
      </w:tr>
      <w:tr w:rsidR="008E60A1" w:rsidRPr="008E60A1" w14:paraId="106B8FDF" w14:textId="77777777" w:rsidTr="008E60A1">
        <w:trPr>
          <w:jc w:val="center"/>
        </w:trPr>
        <w:tc>
          <w:tcPr>
            <w:tcW w:w="988" w:type="dxa"/>
            <w:tcBorders>
              <w:top w:val="nil"/>
              <w:left w:val="single" w:sz="4" w:space="0" w:color="auto"/>
              <w:bottom w:val="nil"/>
              <w:right w:val="single" w:sz="4" w:space="0" w:color="auto"/>
            </w:tcBorders>
            <w:vAlign w:val="center"/>
          </w:tcPr>
          <w:p w14:paraId="244A3441" w14:textId="77777777" w:rsidR="008E60A1" w:rsidRPr="008E60A1" w:rsidRDefault="008E60A1" w:rsidP="008E60A1">
            <w:pPr>
              <w:spacing w:before="60" w:after="60"/>
              <w:jc w:val="center"/>
              <w:rPr>
                <w:rFonts w:eastAsia="Times New Roman"/>
                <w:bCs/>
                <w:sz w:val="20"/>
                <w:szCs w:val="20"/>
                <w:lang w:val="es-ES"/>
              </w:rPr>
            </w:pPr>
            <w:r w:rsidRPr="008E60A1">
              <w:rPr>
                <w:rFonts w:eastAsia="Times New Roman"/>
                <w:bCs/>
                <w:sz w:val="20"/>
                <w:szCs w:val="20"/>
                <w:lang w:val="es-ES"/>
              </w:rPr>
              <w:t>28</w:t>
            </w:r>
          </w:p>
        </w:tc>
        <w:tc>
          <w:tcPr>
            <w:tcW w:w="2551" w:type="dxa"/>
            <w:tcBorders>
              <w:top w:val="nil"/>
              <w:left w:val="single" w:sz="4" w:space="0" w:color="auto"/>
              <w:bottom w:val="nil"/>
              <w:right w:val="single" w:sz="4" w:space="0" w:color="auto"/>
            </w:tcBorders>
            <w:vAlign w:val="center"/>
          </w:tcPr>
          <w:p w14:paraId="4DC36E7D" w14:textId="77777777" w:rsidR="008E60A1" w:rsidRPr="008E60A1" w:rsidRDefault="008E60A1" w:rsidP="008E60A1">
            <w:pPr>
              <w:spacing w:before="60" w:after="60"/>
              <w:jc w:val="both"/>
              <w:rPr>
                <w:rFonts w:eastAsia="Times New Roman"/>
                <w:bCs/>
                <w:sz w:val="20"/>
                <w:szCs w:val="20"/>
                <w:lang w:val="es-ES"/>
              </w:rPr>
            </w:pPr>
            <w:r w:rsidRPr="008E60A1">
              <w:rPr>
                <w:rFonts w:eastAsia="Times New Roman"/>
                <w:bCs/>
                <w:sz w:val="20"/>
                <w:szCs w:val="20"/>
                <w:lang w:val="es-ES"/>
              </w:rPr>
              <w:t>Altavista</w:t>
            </w:r>
          </w:p>
        </w:tc>
        <w:tc>
          <w:tcPr>
            <w:tcW w:w="5289" w:type="dxa"/>
            <w:tcBorders>
              <w:top w:val="nil"/>
              <w:left w:val="single" w:sz="4" w:space="0" w:color="auto"/>
              <w:bottom w:val="nil"/>
              <w:right w:val="single" w:sz="4" w:space="0" w:color="auto"/>
            </w:tcBorders>
            <w:vAlign w:val="center"/>
          </w:tcPr>
          <w:p w14:paraId="5D72992F" w14:textId="77777777" w:rsidR="008E60A1" w:rsidRPr="008E60A1" w:rsidRDefault="008E60A1" w:rsidP="008E60A1">
            <w:pPr>
              <w:spacing w:before="60" w:after="60"/>
              <w:jc w:val="both"/>
              <w:rPr>
                <w:rFonts w:eastAsia="Times New Roman"/>
                <w:bCs/>
                <w:sz w:val="20"/>
                <w:szCs w:val="20"/>
                <w:lang w:val="es-ES"/>
              </w:rPr>
            </w:pPr>
            <w:r w:rsidRPr="008E60A1">
              <w:rPr>
                <w:rFonts w:eastAsia="Times New Roman"/>
                <w:bCs/>
                <w:sz w:val="20"/>
                <w:szCs w:val="20"/>
                <w:lang w:val="es-ES"/>
              </w:rPr>
              <w:t>Clz. Desierto de Los Leones 52 152, San Ángel, México, Distrito Federal</w:t>
            </w:r>
          </w:p>
        </w:tc>
      </w:tr>
      <w:tr w:rsidR="008E60A1" w:rsidRPr="008E60A1" w14:paraId="7E767BD9" w14:textId="77777777" w:rsidTr="008E60A1">
        <w:trPr>
          <w:jc w:val="center"/>
        </w:trPr>
        <w:tc>
          <w:tcPr>
            <w:tcW w:w="988" w:type="dxa"/>
            <w:tcBorders>
              <w:top w:val="nil"/>
              <w:left w:val="single" w:sz="4" w:space="0" w:color="auto"/>
              <w:bottom w:val="single" w:sz="4" w:space="0" w:color="auto"/>
              <w:right w:val="single" w:sz="4" w:space="0" w:color="auto"/>
            </w:tcBorders>
            <w:vAlign w:val="center"/>
          </w:tcPr>
          <w:p w14:paraId="097B11CA" w14:textId="77777777" w:rsidR="008E60A1" w:rsidRPr="008E60A1" w:rsidRDefault="008E60A1" w:rsidP="008E60A1">
            <w:pPr>
              <w:spacing w:before="60" w:after="60"/>
              <w:jc w:val="center"/>
              <w:rPr>
                <w:rFonts w:eastAsia="Times New Roman"/>
                <w:bCs/>
                <w:sz w:val="20"/>
                <w:szCs w:val="20"/>
                <w:lang w:val="es-ES"/>
              </w:rPr>
            </w:pPr>
            <w:r w:rsidRPr="008E60A1">
              <w:rPr>
                <w:rFonts w:eastAsia="Times New Roman"/>
                <w:bCs/>
                <w:sz w:val="20"/>
                <w:szCs w:val="20"/>
                <w:lang w:val="es-ES"/>
              </w:rPr>
              <w:t>29</w:t>
            </w:r>
          </w:p>
        </w:tc>
        <w:tc>
          <w:tcPr>
            <w:tcW w:w="2551" w:type="dxa"/>
            <w:tcBorders>
              <w:top w:val="nil"/>
              <w:left w:val="single" w:sz="4" w:space="0" w:color="auto"/>
              <w:bottom w:val="single" w:sz="4" w:space="0" w:color="auto"/>
              <w:right w:val="single" w:sz="4" w:space="0" w:color="auto"/>
            </w:tcBorders>
            <w:vAlign w:val="center"/>
          </w:tcPr>
          <w:p w14:paraId="51663990" w14:textId="77777777" w:rsidR="008E60A1" w:rsidRPr="008E60A1" w:rsidRDefault="008E60A1" w:rsidP="008E60A1">
            <w:pPr>
              <w:spacing w:before="60" w:after="60"/>
              <w:jc w:val="both"/>
              <w:rPr>
                <w:rFonts w:eastAsia="Times New Roman"/>
                <w:bCs/>
                <w:sz w:val="20"/>
                <w:szCs w:val="20"/>
                <w:lang w:val="es-ES"/>
              </w:rPr>
            </w:pPr>
            <w:r w:rsidRPr="008E60A1">
              <w:rPr>
                <w:rFonts w:eastAsia="Times New Roman"/>
                <w:bCs/>
                <w:sz w:val="20"/>
                <w:szCs w:val="20"/>
                <w:lang w:val="es-ES"/>
              </w:rPr>
              <w:t>Cuitláhuac</w:t>
            </w:r>
          </w:p>
        </w:tc>
        <w:tc>
          <w:tcPr>
            <w:tcW w:w="5289" w:type="dxa"/>
            <w:tcBorders>
              <w:top w:val="nil"/>
              <w:left w:val="single" w:sz="4" w:space="0" w:color="auto"/>
              <w:bottom w:val="single" w:sz="4" w:space="0" w:color="auto"/>
              <w:right w:val="single" w:sz="4" w:space="0" w:color="auto"/>
            </w:tcBorders>
            <w:vAlign w:val="center"/>
          </w:tcPr>
          <w:p w14:paraId="59BB3894" w14:textId="77777777" w:rsidR="008E60A1" w:rsidRPr="008E60A1" w:rsidRDefault="008E60A1" w:rsidP="008E60A1">
            <w:pPr>
              <w:spacing w:before="60" w:after="120"/>
              <w:jc w:val="both"/>
              <w:rPr>
                <w:rFonts w:eastAsia="Times New Roman"/>
                <w:bCs/>
                <w:sz w:val="20"/>
                <w:szCs w:val="20"/>
                <w:lang w:val="es-ES"/>
              </w:rPr>
            </w:pPr>
            <w:r w:rsidRPr="008E60A1">
              <w:rPr>
                <w:rFonts w:eastAsia="Times New Roman"/>
                <w:bCs/>
                <w:sz w:val="20"/>
                <w:szCs w:val="20"/>
                <w:lang w:val="es-ES"/>
              </w:rPr>
              <w:t>Av. Cuitláhuac no. 2939, Esq. Poniente 58, Col. Obrera Popular, México, Distrito Federal</w:t>
            </w:r>
          </w:p>
        </w:tc>
      </w:tr>
    </w:tbl>
    <w:p w14:paraId="227A3E3A" w14:textId="4BA242D7" w:rsidR="008E60A1" w:rsidRPr="008E60A1" w:rsidRDefault="008E60A1" w:rsidP="008E60A1">
      <w:pPr>
        <w:spacing w:after="360" w:line="360" w:lineRule="auto"/>
        <w:ind w:right="-159"/>
        <w:jc w:val="both"/>
        <w:rPr>
          <w:rFonts w:eastAsia="Times New Roman"/>
          <w:bCs/>
          <w:sz w:val="20"/>
          <w:szCs w:val="20"/>
          <w:lang w:val="es-ES"/>
        </w:rPr>
      </w:pPr>
      <w:r w:rsidRPr="008E60A1">
        <w:rPr>
          <w:rFonts w:eastAsia="Times New Roman"/>
          <w:bCs/>
          <w:sz w:val="20"/>
          <w:szCs w:val="20"/>
          <w:lang w:val="es-ES"/>
        </w:rPr>
        <w:t>FUENTE: CNBV.</w:t>
      </w:r>
    </w:p>
    <w:p w14:paraId="46B1FD6E" w14:textId="77777777" w:rsidR="008E60A1" w:rsidRPr="008E60A1" w:rsidRDefault="008E60A1" w:rsidP="008E60A1">
      <w:pPr>
        <w:spacing w:after="360" w:line="360" w:lineRule="auto"/>
        <w:ind w:right="-159"/>
        <w:jc w:val="both"/>
        <w:rPr>
          <w:rFonts w:eastAsia="Times New Roman"/>
          <w:bCs/>
          <w:sz w:val="26"/>
          <w:szCs w:val="26"/>
          <w:lang w:val="es-ES"/>
        </w:rPr>
      </w:pPr>
      <w:r w:rsidRPr="008E60A1">
        <w:rPr>
          <w:rFonts w:eastAsia="Times New Roman"/>
          <w:bCs/>
          <w:sz w:val="26"/>
          <w:szCs w:val="26"/>
          <w:lang w:val="es-ES"/>
        </w:rPr>
        <w:t>A través de las páginas de internet de FICREA (</w:t>
      </w:r>
      <w:hyperlink r:id="rId336" w:history="1">
        <w:r w:rsidRPr="008E60A1">
          <w:rPr>
            <w:rFonts w:eastAsia="Times New Roman"/>
            <w:bCs/>
            <w:sz w:val="26"/>
            <w:szCs w:val="26"/>
            <w:u w:val="single"/>
            <w:lang w:val="es-ES"/>
          </w:rPr>
          <w:t>www.ficrea.com.mx</w:t>
        </w:r>
      </w:hyperlink>
      <w:r w:rsidRPr="008E60A1">
        <w:rPr>
          <w:rFonts w:eastAsia="Times New Roman"/>
          <w:bCs/>
          <w:sz w:val="26"/>
          <w:szCs w:val="26"/>
          <w:lang w:val="es-ES"/>
        </w:rPr>
        <w:t>), CNBV (</w:t>
      </w:r>
      <w:hyperlink r:id="rId337" w:history="1">
        <w:r w:rsidRPr="008E60A1">
          <w:rPr>
            <w:rFonts w:eastAsia="Times New Roman"/>
            <w:bCs/>
            <w:sz w:val="26"/>
            <w:szCs w:val="26"/>
            <w:u w:val="single"/>
            <w:lang w:val="es-ES"/>
          </w:rPr>
          <w:t>www.cnbv,gob.mx</w:t>
        </w:r>
      </w:hyperlink>
      <w:r w:rsidRPr="008E60A1">
        <w:rPr>
          <w:rFonts w:eastAsia="Times New Roman"/>
          <w:bCs/>
          <w:sz w:val="26"/>
          <w:szCs w:val="26"/>
          <w:lang w:val="es-ES"/>
        </w:rPr>
        <w:t>) y CONDUSEF (</w:t>
      </w:r>
      <w:hyperlink r:id="rId338" w:history="1">
        <w:r w:rsidRPr="008E60A1">
          <w:rPr>
            <w:rFonts w:eastAsia="Times New Roman"/>
            <w:bCs/>
            <w:sz w:val="26"/>
            <w:szCs w:val="26"/>
            <w:u w:val="single"/>
            <w:lang w:val="es-ES"/>
          </w:rPr>
          <w:t>www.condusef.gob.mx</w:t>
        </w:r>
      </w:hyperlink>
      <w:r w:rsidRPr="008E60A1">
        <w:rPr>
          <w:rFonts w:eastAsia="Times New Roman"/>
          <w:bCs/>
          <w:sz w:val="26"/>
          <w:szCs w:val="26"/>
          <w:lang w:val="es-ES"/>
        </w:rPr>
        <w:t>) pueden consultar los requisitos para la prestación de las solicitudes y actualizaciones sobre la información.</w:t>
      </w:r>
    </w:p>
    <w:p w14:paraId="35542DF1" w14:textId="77777777" w:rsidR="008E60A1" w:rsidRPr="008E60A1" w:rsidRDefault="008E60A1" w:rsidP="008E60A1">
      <w:pPr>
        <w:ind w:right="-159"/>
        <w:jc w:val="both"/>
        <w:rPr>
          <w:rFonts w:eastAsia="Calibri"/>
          <w:b/>
          <w:sz w:val="20"/>
          <w:szCs w:val="20"/>
          <w:lang w:val="es-ES" w:eastAsia="en-US"/>
        </w:rPr>
      </w:pPr>
      <w:r w:rsidRPr="008E60A1">
        <w:rPr>
          <w:rFonts w:eastAsia="Calibri"/>
          <w:b/>
          <w:sz w:val="20"/>
          <w:szCs w:val="20"/>
          <w:lang w:val="es-ES" w:eastAsia="en-US"/>
        </w:rPr>
        <w:t>Fuente de información:</w:t>
      </w:r>
    </w:p>
    <w:p w14:paraId="79734D3D" w14:textId="77777777" w:rsidR="008E60A1" w:rsidRPr="002B6043" w:rsidRDefault="0093224F" w:rsidP="008E60A1">
      <w:pPr>
        <w:ind w:right="-159"/>
        <w:jc w:val="both"/>
        <w:rPr>
          <w:rFonts w:eastAsia="Calibri"/>
          <w:color w:val="0000FF"/>
          <w:sz w:val="20"/>
          <w:szCs w:val="20"/>
          <w:lang w:eastAsia="en-US"/>
        </w:rPr>
      </w:pPr>
      <w:hyperlink r:id="rId339" w:history="1">
        <w:r w:rsidR="008E60A1" w:rsidRPr="002B6043">
          <w:rPr>
            <w:rFonts w:eastAsia="Calibri"/>
            <w:color w:val="0000FF"/>
            <w:sz w:val="20"/>
            <w:szCs w:val="20"/>
            <w:u w:val="single"/>
            <w:lang w:eastAsia="en-US"/>
          </w:rPr>
          <w:t>http://www.cnbv.gob.mx/SECTORES-SUPERVISADOS/SECTOR-POPULAR/Difusión/Prensa%20%20Sociedades%20Financieras%20Populares/Comunicado%20de%20proceso%20de%20liquidación%20Ficrea%20mar6.pdf</w:t>
        </w:r>
      </w:hyperlink>
      <w:r w:rsidR="008E60A1" w:rsidRPr="002B6043">
        <w:rPr>
          <w:rFonts w:eastAsia="Calibri"/>
          <w:color w:val="0000FF"/>
          <w:sz w:val="20"/>
          <w:szCs w:val="20"/>
          <w:lang w:eastAsia="en-US"/>
        </w:rPr>
        <w:t xml:space="preserve"> </w:t>
      </w:r>
    </w:p>
    <w:p w14:paraId="27C9F0B4" w14:textId="77777777" w:rsidR="008E60A1" w:rsidRDefault="008E60A1" w:rsidP="005169EC">
      <w:pPr>
        <w:spacing w:after="360" w:line="360" w:lineRule="auto"/>
        <w:ind w:right="-159"/>
        <w:jc w:val="both"/>
        <w:rPr>
          <w:rFonts w:eastAsia="Calibri"/>
          <w:sz w:val="26"/>
          <w:szCs w:val="26"/>
          <w:lang w:eastAsia="en-US"/>
        </w:rPr>
      </w:pPr>
    </w:p>
    <w:p w14:paraId="08C7C186" w14:textId="77777777" w:rsidR="0054411E" w:rsidRDefault="0054411E" w:rsidP="005169EC">
      <w:pPr>
        <w:spacing w:after="360" w:line="360" w:lineRule="auto"/>
        <w:ind w:right="-159"/>
        <w:jc w:val="both"/>
        <w:rPr>
          <w:rFonts w:eastAsia="Calibri"/>
          <w:sz w:val="26"/>
          <w:szCs w:val="26"/>
          <w:lang w:eastAsia="en-US"/>
        </w:rPr>
      </w:pPr>
    </w:p>
    <w:p w14:paraId="7257E6A7" w14:textId="77777777" w:rsidR="0054411E" w:rsidRDefault="0054411E" w:rsidP="005169EC">
      <w:pPr>
        <w:spacing w:after="360" w:line="360" w:lineRule="auto"/>
        <w:ind w:right="-159"/>
        <w:jc w:val="both"/>
        <w:rPr>
          <w:rFonts w:eastAsia="Calibri"/>
          <w:sz w:val="26"/>
          <w:szCs w:val="26"/>
          <w:lang w:eastAsia="en-US"/>
        </w:rPr>
      </w:pPr>
    </w:p>
    <w:p w14:paraId="1396FA81" w14:textId="77777777" w:rsidR="00FD3FC3" w:rsidRPr="00FD3FC3" w:rsidRDefault="00FD3FC3" w:rsidP="00FD3FC3">
      <w:pPr>
        <w:rPr>
          <w:rFonts w:eastAsia="Calibri"/>
          <w:b/>
          <w:sz w:val="26"/>
          <w:szCs w:val="26"/>
          <w:lang w:eastAsia="en-US"/>
        </w:rPr>
      </w:pPr>
      <w:r w:rsidRPr="00FD3FC3">
        <w:rPr>
          <w:rFonts w:eastAsia="Calibri"/>
          <w:b/>
          <w:sz w:val="26"/>
          <w:szCs w:val="26"/>
          <w:lang w:eastAsia="en-US"/>
        </w:rPr>
        <w:lastRenderedPageBreak/>
        <w:t>Comportamiento de las SOFOMES ENR</w:t>
      </w:r>
    </w:p>
    <w:p w14:paraId="2214E355" w14:textId="77777777" w:rsidR="00FD3FC3" w:rsidRPr="00FD3FC3" w:rsidRDefault="00FD3FC3" w:rsidP="00FD3FC3">
      <w:pPr>
        <w:spacing w:after="360" w:line="360" w:lineRule="auto"/>
        <w:ind w:right="-159"/>
        <w:jc w:val="both"/>
        <w:rPr>
          <w:rFonts w:eastAsia="Calibri"/>
          <w:b/>
          <w:sz w:val="26"/>
          <w:szCs w:val="26"/>
          <w:lang w:eastAsia="en-US"/>
        </w:rPr>
      </w:pPr>
      <w:r w:rsidRPr="00FD3FC3">
        <w:rPr>
          <w:rFonts w:eastAsia="Calibri"/>
          <w:b/>
          <w:sz w:val="26"/>
          <w:szCs w:val="26"/>
          <w:lang w:eastAsia="en-US"/>
        </w:rPr>
        <w:t>durante 2014 (CONDUSEF)</w:t>
      </w:r>
    </w:p>
    <w:p w14:paraId="1661FDC3" w14:textId="77777777" w:rsidR="00FD3FC3" w:rsidRPr="00FD3FC3" w:rsidRDefault="00FD3FC3" w:rsidP="00FD3FC3">
      <w:pPr>
        <w:spacing w:after="360" w:line="360" w:lineRule="auto"/>
        <w:ind w:right="-159"/>
        <w:jc w:val="both"/>
        <w:rPr>
          <w:rFonts w:eastAsia="Calibri"/>
          <w:sz w:val="26"/>
          <w:szCs w:val="26"/>
          <w:lang w:eastAsia="en-US"/>
        </w:rPr>
      </w:pPr>
      <w:r w:rsidRPr="00FD3FC3">
        <w:rPr>
          <w:rFonts w:eastAsia="Calibri"/>
          <w:sz w:val="26"/>
          <w:szCs w:val="26"/>
          <w:lang w:eastAsia="en-US"/>
        </w:rPr>
        <w:t>El 27 de febrero de 2015, la Comisión Nacional para la Protección y Defensa de los Usuarios de Servicios Financieros (CONDUSEF) dio a conocer el comportamiento de las Sociedades Financieras de Objeto Múltiple (SOFOMES) entidades no reguladas (ENR) en 2014. A continuación se presenta la información.</w:t>
      </w:r>
    </w:p>
    <w:p w14:paraId="4850D910" w14:textId="77777777" w:rsidR="00FD3FC3" w:rsidRPr="00FD3FC3" w:rsidRDefault="00FD3FC3" w:rsidP="00FD3FC3">
      <w:pPr>
        <w:spacing w:after="360" w:line="360" w:lineRule="auto"/>
        <w:ind w:right="-159"/>
        <w:jc w:val="both"/>
        <w:rPr>
          <w:rFonts w:eastAsia="Calibri"/>
          <w:sz w:val="26"/>
          <w:szCs w:val="26"/>
          <w:lang w:eastAsia="en-US"/>
        </w:rPr>
      </w:pPr>
      <w:r w:rsidRPr="00FD3FC3">
        <w:rPr>
          <w:rFonts w:eastAsia="Calibri"/>
          <w:sz w:val="26"/>
          <w:szCs w:val="26"/>
          <w:lang w:eastAsia="en-US"/>
        </w:rPr>
        <w:t>Durante 2014, en el Buró de Entidades Financieras la CONDUSEF registró un total de 7 mil 101 reclamaciones del sector SOFOMES ENR.</w:t>
      </w:r>
    </w:p>
    <w:p w14:paraId="60A40FA1" w14:textId="77777777" w:rsidR="00FD3FC3" w:rsidRPr="00FD3FC3" w:rsidRDefault="00FD3FC3" w:rsidP="00FD3FC3">
      <w:pPr>
        <w:spacing w:after="360" w:line="360" w:lineRule="auto"/>
        <w:ind w:right="-159"/>
        <w:jc w:val="both"/>
        <w:rPr>
          <w:rFonts w:eastAsia="Calibri"/>
          <w:sz w:val="26"/>
          <w:szCs w:val="26"/>
          <w:lang w:eastAsia="en-US"/>
        </w:rPr>
      </w:pPr>
      <w:r w:rsidRPr="00FD3FC3">
        <w:rPr>
          <w:rFonts w:eastAsia="Calibri"/>
          <w:sz w:val="26"/>
          <w:szCs w:val="26"/>
          <w:lang w:eastAsia="en-US"/>
        </w:rPr>
        <w:t>Financiera Independencia encabeza la lista de reclamaciones con 1 mil 467, seguida por Tertius con 729 y NR Finance México con 615. Cabe señalar que estas tres entidades concentran el 40% del total de reclamaciones del sector.</w:t>
      </w:r>
    </w:p>
    <w:p w14:paraId="10F88502" w14:textId="77777777" w:rsidR="00FD3FC3" w:rsidRPr="00FD3FC3" w:rsidRDefault="00FD3FC3" w:rsidP="00FD3FC3">
      <w:pPr>
        <w:spacing w:after="360" w:line="360" w:lineRule="auto"/>
        <w:ind w:right="-159"/>
        <w:jc w:val="both"/>
        <w:rPr>
          <w:rFonts w:eastAsia="Calibri"/>
          <w:sz w:val="26"/>
          <w:szCs w:val="26"/>
          <w:lang w:eastAsia="en-US"/>
        </w:rPr>
      </w:pPr>
      <w:r w:rsidRPr="00FD3FC3">
        <w:rPr>
          <w:rFonts w:eastAsia="Calibri"/>
          <w:sz w:val="26"/>
          <w:szCs w:val="26"/>
          <w:lang w:eastAsia="en-US"/>
        </w:rPr>
        <w:t>Por lo que respecta al porcentaje de resolución favorable al usuario, éste se ubicó en 37.1% y el índice de atención al usuario promedio del sector fue de 5.44, sobre una escala de 10.</w:t>
      </w:r>
    </w:p>
    <w:p w14:paraId="29135852" w14:textId="77777777" w:rsidR="00FD3FC3" w:rsidRPr="00FD3FC3" w:rsidRDefault="00FD3FC3" w:rsidP="00FD3FC3">
      <w:pPr>
        <w:spacing w:after="360" w:line="360" w:lineRule="auto"/>
        <w:ind w:right="-159"/>
        <w:jc w:val="both"/>
        <w:rPr>
          <w:rFonts w:eastAsia="Calibri"/>
          <w:sz w:val="26"/>
          <w:szCs w:val="26"/>
          <w:lang w:eastAsia="en-US"/>
        </w:rPr>
      </w:pPr>
      <w:r w:rsidRPr="00FD3FC3">
        <w:rPr>
          <w:rFonts w:eastAsia="Calibri"/>
          <w:sz w:val="26"/>
          <w:szCs w:val="26"/>
          <w:lang w:eastAsia="en-US"/>
        </w:rPr>
        <w:t>Finalmente, el total de sanciones impuestas al sector SOFOM ENR, fue de 1 mil 228, por un importe de 36.28 millones de pesos.</w:t>
      </w:r>
    </w:p>
    <w:p w14:paraId="66301D46" w14:textId="77777777" w:rsidR="00FD3FC3" w:rsidRDefault="00FD3FC3" w:rsidP="00FD3FC3">
      <w:pPr>
        <w:spacing w:after="360" w:line="360" w:lineRule="auto"/>
        <w:ind w:right="-159"/>
        <w:jc w:val="both"/>
        <w:rPr>
          <w:rFonts w:eastAsia="Calibri"/>
          <w:sz w:val="26"/>
          <w:szCs w:val="26"/>
          <w:lang w:eastAsia="en-US"/>
        </w:rPr>
      </w:pPr>
      <w:r w:rsidRPr="00FD3FC3">
        <w:rPr>
          <w:rFonts w:eastAsia="Calibri"/>
          <w:sz w:val="26"/>
          <w:szCs w:val="26"/>
          <w:lang w:eastAsia="en-US"/>
        </w:rPr>
        <w:t xml:space="preserve">La CONDUSEF recomienda consultar el Buró de Entidades Financieras </w:t>
      </w:r>
      <w:r w:rsidRPr="001D7965">
        <w:rPr>
          <w:rFonts w:eastAsia="Calibri"/>
          <w:sz w:val="26"/>
          <w:szCs w:val="26"/>
          <w:lang w:eastAsia="en-US"/>
        </w:rPr>
        <w:t>(</w:t>
      </w:r>
      <w:hyperlink r:id="rId340" w:history="1">
        <w:r w:rsidRPr="002B6043">
          <w:rPr>
            <w:rFonts w:eastAsia="Calibri"/>
            <w:color w:val="0000FF"/>
            <w:sz w:val="26"/>
            <w:szCs w:val="26"/>
            <w:u w:val="single"/>
            <w:lang w:eastAsia="en-US"/>
          </w:rPr>
          <w:t>www.buro.gob.mx</w:t>
        </w:r>
      </w:hyperlink>
      <w:r w:rsidRPr="001D7965">
        <w:rPr>
          <w:rFonts w:eastAsia="Calibri"/>
          <w:sz w:val="26"/>
          <w:szCs w:val="26"/>
          <w:lang w:eastAsia="en-US"/>
        </w:rPr>
        <w:t xml:space="preserve">), para contar con información y tomar la mejor decisión al </w:t>
      </w:r>
      <w:r w:rsidRPr="00FD3FC3">
        <w:rPr>
          <w:rFonts w:eastAsia="Calibri"/>
          <w:sz w:val="26"/>
          <w:szCs w:val="26"/>
          <w:lang w:eastAsia="en-US"/>
        </w:rPr>
        <w:t>momento de contratar un producto o servicio financiero.</w:t>
      </w:r>
    </w:p>
    <w:p w14:paraId="1F54446C" w14:textId="77777777" w:rsidR="001D7965" w:rsidRDefault="001D7965" w:rsidP="00FD3FC3">
      <w:pPr>
        <w:spacing w:after="360" w:line="360" w:lineRule="auto"/>
        <w:ind w:right="-159"/>
        <w:jc w:val="both"/>
        <w:rPr>
          <w:rFonts w:eastAsia="Calibri"/>
          <w:sz w:val="26"/>
          <w:szCs w:val="26"/>
          <w:lang w:eastAsia="en-US"/>
        </w:rPr>
      </w:pPr>
    </w:p>
    <w:p w14:paraId="7ED1B92C" w14:textId="77777777" w:rsidR="001D7965" w:rsidRDefault="001D7965" w:rsidP="00FD3FC3">
      <w:pPr>
        <w:spacing w:after="360" w:line="360" w:lineRule="auto"/>
        <w:ind w:right="-159"/>
        <w:jc w:val="both"/>
        <w:rPr>
          <w:rFonts w:eastAsia="Calibri"/>
          <w:sz w:val="26"/>
          <w:szCs w:val="26"/>
          <w:lang w:eastAsia="en-US"/>
        </w:rPr>
      </w:pPr>
    </w:p>
    <w:p w14:paraId="4EB9DA4C" w14:textId="77777777" w:rsidR="001D7965" w:rsidRDefault="001D7965" w:rsidP="00FD3FC3">
      <w:pPr>
        <w:spacing w:after="360" w:line="360" w:lineRule="auto"/>
        <w:ind w:right="-159"/>
        <w:jc w:val="both"/>
        <w:rPr>
          <w:rFonts w:eastAsia="Calibri"/>
          <w:sz w:val="26"/>
          <w:szCs w:val="26"/>
          <w:lang w:eastAsia="en-US"/>
        </w:rPr>
      </w:pPr>
    </w:p>
    <w:tbl>
      <w:tblPr>
        <w:tblW w:w="8685" w:type="dxa"/>
        <w:jc w:val="center"/>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Layout w:type="fixed"/>
        <w:tblLook w:val="04A0" w:firstRow="1" w:lastRow="0" w:firstColumn="1" w:lastColumn="0" w:noHBand="0" w:noVBand="1"/>
      </w:tblPr>
      <w:tblGrid>
        <w:gridCol w:w="3284"/>
        <w:gridCol w:w="821"/>
        <w:gridCol w:w="1021"/>
        <w:gridCol w:w="1134"/>
        <w:gridCol w:w="996"/>
        <w:gridCol w:w="1429"/>
      </w:tblGrid>
      <w:tr w:rsidR="00FD3FC3" w:rsidRPr="00FD3FC3" w14:paraId="2D678500" w14:textId="77777777" w:rsidTr="00B96277">
        <w:trPr>
          <w:trHeight w:val="106"/>
          <w:jc w:val="center"/>
        </w:trPr>
        <w:tc>
          <w:tcPr>
            <w:tcW w:w="8685" w:type="dxa"/>
            <w:gridSpan w:val="6"/>
            <w:tcBorders>
              <w:top w:val="nil"/>
              <w:left w:val="nil"/>
              <w:bottom w:val="single" w:sz="4" w:space="0" w:color="auto"/>
              <w:right w:val="nil"/>
            </w:tcBorders>
            <w:shd w:val="clear" w:color="auto" w:fill="auto"/>
            <w:vAlign w:val="center"/>
          </w:tcPr>
          <w:p w14:paraId="5EDFFE50" w14:textId="039D79C7" w:rsidR="00FD3FC3" w:rsidRPr="00FD3FC3" w:rsidRDefault="00FD3FC3" w:rsidP="00FD3FC3">
            <w:pPr>
              <w:autoSpaceDE w:val="0"/>
              <w:autoSpaceDN w:val="0"/>
              <w:adjustRightInd w:val="0"/>
              <w:jc w:val="center"/>
              <w:rPr>
                <w:rFonts w:eastAsia="Calibri"/>
                <w:b/>
                <w:sz w:val="22"/>
                <w:szCs w:val="22"/>
                <w:lang w:eastAsia="en-US"/>
              </w:rPr>
            </w:pPr>
            <w:r w:rsidRPr="00FD3FC3">
              <w:rPr>
                <w:rFonts w:eastAsia="Calibri"/>
                <w:b/>
                <w:sz w:val="22"/>
                <w:szCs w:val="22"/>
                <w:lang w:eastAsia="en-US"/>
              </w:rPr>
              <w:lastRenderedPageBreak/>
              <w:t>COMPORTAMIENTO DEL SECTOR SOFOM ENR, 2014</w:t>
            </w:r>
          </w:p>
          <w:p w14:paraId="522C34E1" w14:textId="50E6B873" w:rsidR="00FD3FC3" w:rsidRPr="00FD3FC3" w:rsidRDefault="00FD3FC3" w:rsidP="00FD3FC3">
            <w:pPr>
              <w:jc w:val="center"/>
              <w:rPr>
                <w:rFonts w:eastAsia="Calibri"/>
                <w:b/>
                <w:sz w:val="22"/>
                <w:szCs w:val="22"/>
                <w:lang w:eastAsia="en-US"/>
              </w:rPr>
            </w:pPr>
            <w:r w:rsidRPr="00FD3FC3">
              <w:rPr>
                <w:rFonts w:eastAsia="Calibri"/>
                <w:b/>
                <w:sz w:val="22"/>
                <w:szCs w:val="22"/>
                <w:lang w:eastAsia="en-US"/>
              </w:rPr>
              <w:t xml:space="preserve">-Buró de </w:t>
            </w:r>
            <w:r w:rsidR="008D29D8">
              <w:rPr>
                <w:rFonts w:eastAsia="Calibri"/>
                <w:b/>
                <w:sz w:val="22"/>
                <w:szCs w:val="22"/>
                <w:lang w:eastAsia="en-US"/>
              </w:rPr>
              <w:t>E</w:t>
            </w:r>
            <w:r w:rsidRPr="00FD3FC3">
              <w:rPr>
                <w:rFonts w:eastAsia="Calibri"/>
                <w:b/>
                <w:sz w:val="22"/>
                <w:szCs w:val="22"/>
                <w:lang w:eastAsia="en-US"/>
              </w:rPr>
              <w:t>ntidades Financieras-</w:t>
            </w:r>
          </w:p>
          <w:p w14:paraId="572B2642" w14:textId="62DB34D2" w:rsidR="00FD3FC3" w:rsidRPr="00FD3FC3" w:rsidRDefault="00FD3FC3" w:rsidP="00FD3FC3">
            <w:pPr>
              <w:jc w:val="center"/>
              <w:rPr>
                <w:rFonts w:eastAsia="Calibri"/>
                <w:sz w:val="22"/>
                <w:szCs w:val="22"/>
                <w:lang w:eastAsia="en-US"/>
              </w:rPr>
            </w:pPr>
            <w:r w:rsidRPr="00FD3FC3">
              <w:rPr>
                <w:rFonts w:eastAsia="Calibri"/>
                <w:b/>
                <w:sz w:val="22"/>
                <w:szCs w:val="22"/>
                <w:lang w:eastAsia="en-US"/>
              </w:rPr>
              <w:t>SOFOMES ENR con más de 100 reclamaciones en el año</w:t>
            </w:r>
          </w:p>
        </w:tc>
      </w:tr>
      <w:tr w:rsidR="00FD3FC3" w:rsidRPr="00FD3FC3" w14:paraId="24530EF1" w14:textId="77777777" w:rsidTr="00B96277">
        <w:trPr>
          <w:cantSplit/>
          <w:trHeight w:val="1931"/>
          <w:jc w:val="center"/>
        </w:trPr>
        <w:tc>
          <w:tcPr>
            <w:tcW w:w="3284" w:type="dxa"/>
            <w:tcBorders>
              <w:top w:val="single" w:sz="4" w:space="0" w:color="auto"/>
              <w:left w:val="single" w:sz="4" w:space="0" w:color="auto"/>
              <w:bottom w:val="single" w:sz="4" w:space="0" w:color="auto"/>
              <w:right w:val="single" w:sz="4" w:space="0" w:color="auto"/>
            </w:tcBorders>
            <w:shd w:val="clear" w:color="auto" w:fill="auto"/>
            <w:vAlign w:val="center"/>
          </w:tcPr>
          <w:p w14:paraId="77660E5D" w14:textId="77777777" w:rsidR="00FD3FC3" w:rsidRPr="00FD3FC3" w:rsidRDefault="00FD3FC3" w:rsidP="00FD3FC3">
            <w:pPr>
              <w:autoSpaceDE w:val="0"/>
              <w:autoSpaceDN w:val="0"/>
              <w:adjustRightInd w:val="0"/>
              <w:rPr>
                <w:rFonts w:eastAsia="Calibri"/>
                <w:b/>
                <w:sz w:val="22"/>
                <w:szCs w:val="22"/>
                <w:lang w:eastAsia="en-US"/>
              </w:rPr>
            </w:pPr>
          </w:p>
        </w:tc>
        <w:tc>
          <w:tcPr>
            <w:tcW w:w="82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141FCEC" w14:textId="77777777" w:rsidR="00FD3FC3" w:rsidRPr="00FD3FC3" w:rsidRDefault="00FD3FC3" w:rsidP="00FD3FC3">
            <w:pPr>
              <w:autoSpaceDE w:val="0"/>
              <w:autoSpaceDN w:val="0"/>
              <w:adjustRightInd w:val="0"/>
              <w:rPr>
                <w:rFonts w:eastAsia="Calibri"/>
                <w:b/>
                <w:sz w:val="22"/>
                <w:szCs w:val="22"/>
                <w:lang w:eastAsia="en-US"/>
              </w:rPr>
            </w:pPr>
            <w:r w:rsidRPr="00FD3FC3">
              <w:rPr>
                <w:rFonts w:eastAsia="Calibri"/>
                <w:b/>
                <w:sz w:val="22"/>
                <w:szCs w:val="22"/>
                <w:lang w:eastAsia="en-US"/>
              </w:rPr>
              <w:t>Reclamaciones</w:t>
            </w:r>
          </w:p>
        </w:tc>
        <w:tc>
          <w:tcPr>
            <w:tcW w:w="1021"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B90BC61" w14:textId="77777777" w:rsidR="00FD3FC3" w:rsidRPr="00FD3FC3" w:rsidRDefault="00FD3FC3" w:rsidP="00FD3FC3">
            <w:pPr>
              <w:autoSpaceDE w:val="0"/>
              <w:autoSpaceDN w:val="0"/>
              <w:adjustRightInd w:val="0"/>
              <w:rPr>
                <w:rFonts w:eastAsia="Calibri"/>
                <w:b/>
                <w:sz w:val="22"/>
                <w:szCs w:val="22"/>
                <w:lang w:eastAsia="en-US"/>
              </w:rPr>
            </w:pPr>
            <w:r w:rsidRPr="00FD3FC3">
              <w:rPr>
                <w:rFonts w:eastAsia="Calibri"/>
                <w:b/>
                <w:sz w:val="22"/>
                <w:szCs w:val="22"/>
                <w:lang w:eastAsia="en-US"/>
              </w:rPr>
              <w:t>Resolución favorable al usuario (%)</w:t>
            </w:r>
          </w:p>
        </w:tc>
        <w:tc>
          <w:tcPr>
            <w:tcW w:w="113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A97BC7C" w14:textId="77777777" w:rsidR="00FD3FC3" w:rsidRPr="00FD3FC3" w:rsidRDefault="00FD3FC3" w:rsidP="00FD3FC3">
            <w:pPr>
              <w:autoSpaceDE w:val="0"/>
              <w:autoSpaceDN w:val="0"/>
              <w:adjustRightInd w:val="0"/>
              <w:rPr>
                <w:rFonts w:eastAsia="Calibri"/>
                <w:b/>
                <w:lang w:eastAsia="en-US"/>
              </w:rPr>
            </w:pPr>
            <w:r w:rsidRPr="00FD3FC3">
              <w:rPr>
                <w:rFonts w:eastAsia="Calibri"/>
                <w:b/>
                <w:sz w:val="22"/>
                <w:szCs w:val="22"/>
                <w:lang w:eastAsia="en-US"/>
              </w:rPr>
              <w:t xml:space="preserve">Índice de atención a usuarios </w:t>
            </w:r>
            <w:r w:rsidRPr="00FD3FC3">
              <w:rPr>
                <w:rFonts w:eastAsia="Calibri"/>
                <w:b/>
                <w:lang w:eastAsia="en-US"/>
              </w:rPr>
              <w:t>(0 a 10)</w:t>
            </w:r>
          </w:p>
        </w:tc>
        <w:tc>
          <w:tcPr>
            <w:tcW w:w="996"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A26ECF1" w14:textId="77777777" w:rsidR="00FD3FC3" w:rsidRPr="00FD3FC3" w:rsidRDefault="00FD3FC3" w:rsidP="00FD3FC3">
            <w:pPr>
              <w:autoSpaceDE w:val="0"/>
              <w:autoSpaceDN w:val="0"/>
              <w:adjustRightInd w:val="0"/>
              <w:rPr>
                <w:rFonts w:eastAsia="Calibri"/>
                <w:b/>
                <w:sz w:val="22"/>
                <w:szCs w:val="22"/>
                <w:lang w:eastAsia="en-US"/>
              </w:rPr>
            </w:pPr>
            <w:r w:rsidRPr="00FD3FC3">
              <w:rPr>
                <w:rFonts w:eastAsia="Calibri"/>
                <w:b/>
                <w:sz w:val="22"/>
                <w:szCs w:val="22"/>
                <w:lang w:eastAsia="en-US"/>
              </w:rPr>
              <w:t>Total de sanciones impuestas</w:t>
            </w:r>
          </w:p>
        </w:tc>
        <w:tc>
          <w:tcPr>
            <w:tcW w:w="142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25C91D3" w14:textId="77777777" w:rsidR="00FD3FC3" w:rsidRPr="00FD3FC3" w:rsidRDefault="00FD3FC3" w:rsidP="00FD3FC3">
            <w:pPr>
              <w:autoSpaceDE w:val="0"/>
              <w:autoSpaceDN w:val="0"/>
              <w:adjustRightInd w:val="0"/>
              <w:rPr>
                <w:rFonts w:eastAsia="Calibri"/>
                <w:b/>
                <w:sz w:val="26"/>
                <w:szCs w:val="26"/>
                <w:lang w:eastAsia="en-US"/>
              </w:rPr>
            </w:pPr>
            <w:r w:rsidRPr="00FD3FC3">
              <w:rPr>
                <w:rFonts w:eastAsia="Calibri"/>
                <w:b/>
                <w:sz w:val="22"/>
                <w:szCs w:val="22"/>
                <w:lang w:eastAsia="en-US"/>
              </w:rPr>
              <w:t xml:space="preserve">Monto total de Sanción </w:t>
            </w:r>
            <w:r w:rsidRPr="00FD3FC3">
              <w:rPr>
                <w:rFonts w:eastAsia="Calibri"/>
                <w:b/>
                <w:sz w:val="26"/>
                <w:szCs w:val="26"/>
                <w:lang w:eastAsia="en-US"/>
              </w:rPr>
              <w:t>($)</w:t>
            </w:r>
          </w:p>
        </w:tc>
      </w:tr>
      <w:tr w:rsidR="00FD3FC3" w:rsidRPr="00FD3FC3" w14:paraId="0572A4AC" w14:textId="77777777" w:rsidTr="00B96277">
        <w:trPr>
          <w:trHeight w:val="106"/>
          <w:jc w:val="center"/>
        </w:trPr>
        <w:tc>
          <w:tcPr>
            <w:tcW w:w="3284" w:type="dxa"/>
            <w:tcBorders>
              <w:top w:val="single" w:sz="4" w:space="0" w:color="auto"/>
              <w:left w:val="single" w:sz="4" w:space="0" w:color="auto"/>
              <w:bottom w:val="nil"/>
              <w:right w:val="single" w:sz="4" w:space="0" w:color="auto"/>
            </w:tcBorders>
            <w:shd w:val="clear" w:color="auto" w:fill="auto"/>
            <w:vAlign w:val="center"/>
          </w:tcPr>
          <w:p w14:paraId="2170EB60" w14:textId="77777777" w:rsidR="00FD3FC3" w:rsidRPr="00FD3FC3" w:rsidRDefault="00FD3FC3" w:rsidP="00FD3FC3">
            <w:pPr>
              <w:autoSpaceDE w:val="0"/>
              <w:autoSpaceDN w:val="0"/>
              <w:adjustRightInd w:val="0"/>
              <w:rPr>
                <w:rFonts w:eastAsia="Calibri"/>
                <w:b/>
                <w:sz w:val="22"/>
                <w:szCs w:val="22"/>
                <w:lang w:eastAsia="en-US"/>
              </w:rPr>
            </w:pPr>
            <w:r w:rsidRPr="00FD3FC3">
              <w:rPr>
                <w:rFonts w:eastAsia="Calibri"/>
                <w:b/>
                <w:sz w:val="22"/>
                <w:szCs w:val="22"/>
                <w:lang w:eastAsia="en-US"/>
              </w:rPr>
              <w:t>Sector</w:t>
            </w:r>
          </w:p>
        </w:tc>
        <w:tc>
          <w:tcPr>
            <w:tcW w:w="821" w:type="dxa"/>
            <w:tcBorders>
              <w:top w:val="single" w:sz="4" w:space="0" w:color="auto"/>
              <w:left w:val="single" w:sz="4" w:space="0" w:color="auto"/>
              <w:bottom w:val="nil"/>
              <w:right w:val="single" w:sz="4" w:space="0" w:color="auto"/>
            </w:tcBorders>
            <w:shd w:val="clear" w:color="auto" w:fill="auto"/>
            <w:vAlign w:val="center"/>
          </w:tcPr>
          <w:p w14:paraId="040281B8" w14:textId="77777777" w:rsidR="00FD3FC3" w:rsidRPr="00FD3FC3" w:rsidRDefault="00FD3FC3" w:rsidP="008D29D8">
            <w:pPr>
              <w:autoSpaceDE w:val="0"/>
              <w:autoSpaceDN w:val="0"/>
              <w:adjustRightInd w:val="0"/>
              <w:ind w:right="57"/>
              <w:jc w:val="right"/>
              <w:rPr>
                <w:rFonts w:eastAsia="Calibri"/>
                <w:b/>
                <w:sz w:val="22"/>
                <w:szCs w:val="22"/>
                <w:lang w:eastAsia="en-US"/>
              </w:rPr>
            </w:pPr>
            <w:r w:rsidRPr="00FD3FC3">
              <w:rPr>
                <w:rFonts w:eastAsia="Calibri"/>
                <w:b/>
                <w:sz w:val="22"/>
                <w:szCs w:val="22"/>
                <w:lang w:eastAsia="en-US"/>
              </w:rPr>
              <w:t>7 101</w:t>
            </w:r>
          </w:p>
        </w:tc>
        <w:tc>
          <w:tcPr>
            <w:tcW w:w="1021" w:type="dxa"/>
            <w:tcBorders>
              <w:top w:val="single" w:sz="4" w:space="0" w:color="auto"/>
              <w:left w:val="single" w:sz="4" w:space="0" w:color="auto"/>
              <w:bottom w:val="nil"/>
              <w:right w:val="single" w:sz="4" w:space="0" w:color="auto"/>
            </w:tcBorders>
            <w:shd w:val="clear" w:color="auto" w:fill="auto"/>
          </w:tcPr>
          <w:p w14:paraId="6F371A07" w14:textId="77777777" w:rsidR="00FD3FC3" w:rsidRPr="00FD3FC3" w:rsidRDefault="00FD3FC3" w:rsidP="008D29D8">
            <w:pPr>
              <w:autoSpaceDE w:val="0"/>
              <w:autoSpaceDN w:val="0"/>
              <w:adjustRightInd w:val="0"/>
              <w:jc w:val="center"/>
              <w:rPr>
                <w:rFonts w:eastAsia="Calibri"/>
                <w:b/>
                <w:sz w:val="22"/>
                <w:szCs w:val="22"/>
                <w:lang w:eastAsia="en-US"/>
              </w:rPr>
            </w:pPr>
            <w:r w:rsidRPr="00FD3FC3">
              <w:rPr>
                <w:rFonts w:eastAsia="Calibri"/>
                <w:b/>
                <w:sz w:val="22"/>
                <w:szCs w:val="22"/>
                <w:lang w:eastAsia="en-US"/>
              </w:rPr>
              <w:t>37.1</w:t>
            </w:r>
          </w:p>
        </w:tc>
        <w:tc>
          <w:tcPr>
            <w:tcW w:w="1134" w:type="dxa"/>
            <w:tcBorders>
              <w:top w:val="single" w:sz="4" w:space="0" w:color="auto"/>
              <w:left w:val="single" w:sz="4" w:space="0" w:color="auto"/>
              <w:bottom w:val="nil"/>
              <w:right w:val="single" w:sz="4" w:space="0" w:color="auto"/>
            </w:tcBorders>
            <w:shd w:val="clear" w:color="auto" w:fill="auto"/>
          </w:tcPr>
          <w:p w14:paraId="2FEE6280" w14:textId="77777777" w:rsidR="00FD3FC3" w:rsidRPr="00FD3FC3" w:rsidRDefault="00FD3FC3" w:rsidP="008D29D8">
            <w:pPr>
              <w:autoSpaceDE w:val="0"/>
              <w:autoSpaceDN w:val="0"/>
              <w:adjustRightInd w:val="0"/>
              <w:jc w:val="center"/>
              <w:rPr>
                <w:rFonts w:eastAsia="Calibri"/>
                <w:b/>
                <w:sz w:val="22"/>
                <w:szCs w:val="22"/>
                <w:lang w:eastAsia="en-US"/>
              </w:rPr>
            </w:pPr>
            <w:r w:rsidRPr="00FD3FC3">
              <w:rPr>
                <w:rFonts w:eastAsia="Calibri"/>
                <w:b/>
                <w:sz w:val="22"/>
                <w:szCs w:val="22"/>
                <w:lang w:eastAsia="en-US"/>
              </w:rPr>
              <w:t>5.4</w:t>
            </w:r>
          </w:p>
        </w:tc>
        <w:tc>
          <w:tcPr>
            <w:tcW w:w="996" w:type="dxa"/>
            <w:tcBorders>
              <w:top w:val="single" w:sz="4" w:space="0" w:color="auto"/>
              <w:left w:val="single" w:sz="4" w:space="0" w:color="auto"/>
              <w:bottom w:val="nil"/>
              <w:right w:val="single" w:sz="4" w:space="0" w:color="auto"/>
            </w:tcBorders>
            <w:shd w:val="clear" w:color="auto" w:fill="auto"/>
          </w:tcPr>
          <w:p w14:paraId="674587F6" w14:textId="77777777" w:rsidR="00FD3FC3" w:rsidRPr="00FD3FC3" w:rsidRDefault="00FD3FC3" w:rsidP="008D29D8">
            <w:pPr>
              <w:autoSpaceDE w:val="0"/>
              <w:autoSpaceDN w:val="0"/>
              <w:adjustRightInd w:val="0"/>
              <w:ind w:right="113"/>
              <w:jc w:val="right"/>
              <w:rPr>
                <w:rFonts w:eastAsia="Calibri"/>
                <w:b/>
                <w:sz w:val="22"/>
                <w:szCs w:val="22"/>
                <w:lang w:eastAsia="en-US"/>
              </w:rPr>
            </w:pPr>
            <w:r w:rsidRPr="00FD3FC3">
              <w:rPr>
                <w:rFonts w:eastAsia="Calibri"/>
                <w:b/>
                <w:sz w:val="22"/>
                <w:szCs w:val="22"/>
                <w:lang w:eastAsia="en-US"/>
              </w:rPr>
              <w:t>1 228</w:t>
            </w:r>
          </w:p>
        </w:tc>
        <w:tc>
          <w:tcPr>
            <w:tcW w:w="1429" w:type="dxa"/>
            <w:tcBorders>
              <w:top w:val="single" w:sz="4" w:space="0" w:color="auto"/>
              <w:left w:val="single" w:sz="4" w:space="0" w:color="auto"/>
              <w:bottom w:val="nil"/>
              <w:right w:val="single" w:sz="4" w:space="0" w:color="auto"/>
            </w:tcBorders>
            <w:shd w:val="clear" w:color="auto" w:fill="auto"/>
          </w:tcPr>
          <w:p w14:paraId="717DE2CC" w14:textId="77777777" w:rsidR="00FD3FC3" w:rsidRPr="00FD3FC3" w:rsidRDefault="00FD3FC3" w:rsidP="008D29D8">
            <w:pPr>
              <w:autoSpaceDE w:val="0"/>
              <w:autoSpaceDN w:val="0"/>
              <w:adjustRightInd w:val="0"/>
              <w:ind w:right="113"/>
              <w:jc w:val="right"/>
              <w:rPr>
                <w:rFonts w:eastAsia="Calibri"/>
                <w:b/>
                <w:sz w:val="22"/>
                <w:szCs w:val="22"/>
                <w:lang w:eastAsia="en-US"/>
              </w:rPr>
            </w:pPr>
            <w:r w:rsidRPr="00FD3FC3">
              <w:rPr>
                <w:rFonts w:eastAsia="Calibri"/>
                <w:b/>
                <w:sz w:val="22"/>
                <w:szCs w:val="22"/>
                <w:lang w:eastAsia="en-US"/>
              </w:rPr>
              <w:t>36 270 990</w:t>
            </w:r>
          </w:p>
        </w:tc>
      </w:tr>
      <w:tr w:rsidR="00FD3FC3" w:rsidRPr="00FD3FC3" w14:paraId="2BED9410" w14:textId="77777777" w:rsidTr="00B96277">
        <w:trPr>
          <w:trHeight w:val="106"/>
          <w:jc w:val="center"/>
        </w:trPr>
        <w:tc>
          <w:tcPr>
            <w:tcW w:w="3284" w:type="dxa"/>
            <w:tcBorders>
              <w:top w:val="nil"/>
              <w:left w:val="single" w:sz="4" w:space="0" w:color="auto"/>
              <w:bottom w:val="nil"/>
              <w:right w:val="single" w:sz="4" w:space="0" w:color="auto"/>
            </w:tcBorders>
            <w:shd w:val="clear" w:color="auto" w:fill="auto"/>
            <w:vAlign w:val="center"/>
          </w:tcPr>
          <w:p w14:paraId="1A241801" w14:textId="77777777" w:rsidR="00FD3FC3" w:rsidRPr="00FD3FC3" w:rsidRDefault="00FD3FC3" w:rsidP="00FD3FC3">
            <w:pPr>
              <w:autoSpaceDE w:val="0"/>
              <w:autoSpaceDN w:val="0"/>
              <w:adjustRightInd w:val="0"/>
              <w:rPr>
                <w:rFonts w:eastAsia="Calibri"/>
                <w:sz w:val="22"/>
                <w:szCs w:val="22"/>
                <w:lang w:eastAsia="en-US"/>
              </w:rPr>
            </w:pPr>
            <w:r w:rsidRPr="00FD3FC3">
              <w:rPr>
                <w:rFonts w:eastAsia="Calibri"/>
                <w:sz w:val="22"/>
                <w:szCs w:val="22"/>
                <w:lang w:eastAsia="en-US"/>
              </w:rPr>
              <w:t>Financiera Independencia</w:t>
            </w:r>
          </w:p>
        </w:tc>
        <w:tc>
          <w:tcPr>
            <w:tcW w:w="821" w:type="dxa"/>
            <w:tcBorders>
              <w:top w:val="nil"/>
              <w:left w:val="single" w:sz="4" w:space="0" w:color="auto"/>
              <w:bottom w:val="nil"/>
              <w:right w:val="single" w:sz="4" w:space="0" w:color="auto"/>
            </w:tcBorders>
            <w:shd w:val="clear" w:color="auto" w:fill="auto"/>
            <w:vAlign w:val="center"/>
          </w:tcPr>
          <w:p w14:paraId="75B996B5" w14:textId="77777777" w:rsidR="00FD3FC3" w:rsidRPr="00FD3FC3" w:rsidRDefault="00FD3FC3" w:rsidP="008D29D8">
            <w:pPr>
              <w:autoSpaceDE w:val="0"/>
              <w:autoSpaceDN w:val="0"/>
              <w:adjustRightInd w:val="0"/>
              <w:ind w:right="57"/>
              <w:jc w:val="right"/>
              <w:rPr>
                <w:rFonts w:eastAsia="Calibri"/>
                <w:sz w:val="22"/>
                <w:szCs w:val="22"/>
                <w:lang w:eastAsia="en-US"/>
              </w:rPr>
            </w:pPr>
            <w:r w:rsidRPr="00FD3FC3">
              <w:rPr>
                <w:rFonts w:eastAsia="Calibri"/>
                <w:sz w:val="22"/>
                <w:szCs w:val="22"/>
                <w:lang w:eastAsia="en-US"/>
              </w:rPr>
              <w:t>1 467</w:t>
            </w:r>
          </w:p>
        </w:tc>
        <w:tc>
          <w:tcPr>
            <w:tcW w:w="1021" w:type="dxa"/>
            <w:tcBorders>
              <w:top w:val="nil"/>
              <w:left w:val="single" w:sz="4" w:space="0" w:color="auto"/>
              <w:bottom w:val="nil"/>
              <w:right w:val="single" w:sz="4" w:space="0" w:color="auto"/>
            </w:tcBorders>
            <w:shd w:val="clear" w:color="auto" w:fill="auto"/>
            <w:vAlign w:val="center"/>
          </w:tcPr>
          <w:p w14:paraId="6BD78E5E" w14:textId="77777777" w:rsidR="00FD3FC3" w:rsidRPr="00FD3FC3" w:rsidRDefault="00FD3FC3" w:rsidP="008D29D8">
            <w:pPr>
              <w:autoSpaceDE w:val="0"/>
              <w:autoSpaceDN w:val="0"/>
              <w:adjustRightInd w:val="0"/>
              <w:jc w:val="center"/>
              <w:rPr>
                <w:rFonts w:eastAsia="Calibri"/>
                <w:sz w:val="22"/>
                <w:szCs w:val="22"/>
                <w:lang w:eastAsia="en-US"/>
              </w:rPr>
            </w:pPr>
            <w:r w:rsidRPr="00FD3FC3">
              <w:rPr>
                <w:rFonts w:eastAsia="Calibri"/>
                <w:sz w:val="22"/>
                <w:szCs w:val="22"/>
                <w:lang w:eastAsia="en-US"/>
              </w:rPr>
              <w:t>32.8</w:t>
            </w:r>
          </w:p>
        </w:tc>
        <w:tc>
          <w:tcPr>
            <w:tcW w:w="1134" w:type="dxa"/>
            <w:tcBorders>
              <w:top w:val="nil"/>
              <w:left w:val="single" w:sz="4" w:space="0" w:color="auto"/>
              <w:bottom w:val="nil"/>
              <w:right w:val="single" w:sz="4" w:space="0" w:color="auto"/>
            </w:tcBorders>
            <w:shd w:val="clear" w:color="auto" w:fill="auto"/>
            <w:vAlign w:val="center"/>
          </w:tcPr>
          <w:p w14:paraId="477DACA6" w14:textId="77777777" w:rsidR="00FD3FC3" w:rsidRPr="00FD3FC3" w:rsidRDefault="00FD3FC3" w:rsidP="008D29D8">
            <w:pPr>
              <w:autoSpaceDE w:val="0"/>
              <w:autoSpaceDN w:val="0"/>
              <w:adjustRightInd w:val="0"/>
              <w:jc w:val="center"/>
              <w:rPr>
                <w:rFonts w:eastAsia="Calibri"/>
                <w:sz w:val="22"/>
                <w:szCs w:val="22"/>
                <w:lang w:eastAsia="en-US"/>
              </w:rPr>
            </w:pPr>
            <w:r w:rsidRPr="00FD3FC3">
              <w:rPr>
                <w:rFonts w:eastAsia="Calibri"/>
                <w:sz w:val="22"/>
                <w:szCs w:val="22"/>
                <w:lang w:eastAsia="en-US"/>
              </w:rPr>
              <w:t>7.8</w:t>
            </w:r>
          </w:p>
        </w:tc>
        <w:tc>
          <w:tcPr>
            <w:tcW w:w="996" w:type="dxa"/>
            <w:tcBorders>
              <w:top w:val="nil"/>
              <w:left w:val="single" w:sz="4" w:space="0" w:color="auto"/>
              <w:bottom w:val="nil"/>
              <w:right w:val="single" w:sz="4" w:space="0" w:color="auto"/>
            </w:tcBorders>
            <w:shd w:val="clear" w:color="auto" w:fill="auto"/>
            <w:vAlign w:val="center"/>
          </w:tcPr>
          <w:p w14:paraId="3B5549ED" w14:textId="77777777" w:rsidR="00FD3FC3" w:rsidRPr="00FD3FC3" w:rsidRDefault="00FD3FC3" w:rsidP="008D29D8">
            <w:pPr>
              <w:autoSpaceDE w:val="0"/>
              <w:autoSpaceDN w:val="0"/>
              <w:adjustRightInd w:val="0"/>
              <w:ind w:right="113"/>
              <w:jc w:val="right"/>
              <w:rPr>
                <w:rFonts w:eastAsia="Calibri"/>
                <w:sz w:val="22"/>
                <w:szCs w:val="22"/>
                <w:lang w:eastAsia="en-US"/>
              </w:rPr>
            </w:pPr>
            <w:r w:rsidRPr="00FD3FC3">
              <w:rPr>
                <w:rFonts w:eastAsia="Calibri"/>
                <w:sz w:val="22"/>
                <w:szCs w:val="22"/>
                <w:lang w:eastAsia="en-US"/>
              </w:rPr>
              <w:t>8</w:t>
            </w:r>
          </w:p>
        </w:tc>
        <w:tc>
          <w:tcPr>
            <w:tcW w:w="1429" w:type="dxa"/>
            <w:tcBorders>
              <w:top w:val="nil"/>
              <w:left w:val="single" w:sz="4" w:space="0" w:color="auto"/>
              <w:bottom w:val="nil"/>
              <w:right w:val="single" w:sz="4" w:space="0" w:color="auto"/>
            </w:tcBorders>
            <w:shd w:val="clear" w:color="auto" w:fill="auto"/>
            <w:vAlign w:val="center"/>
          </w:tcPr>
          <w:p w14:paraId="5201D8F8" w14:textId="77777777" w:rsidR="00FD3FC3" w:rsidRPr="00FD3FC3" w:rsidRDefault="00FD3FC3" w:rsidP="008D29D8">
            <w:pPr>
              <w:autoSpaceDE w:val="0"/>
              <w:autoSpaceDN w:val="0"/>
              <w:adjustRightInd w:val="0"/>
              <w:ind w:right="113"/>
              <w:jc w:val="right"/>
              <w:rPr>
                <w:rFonts w:eastAsia="Calibri"/>
                <w:sz w:val="22"/>
                <w:szCs w:val="22"/>
                <w:lang w:eastAsia="en-US"/>
              </w:rPr>
            </w:pPr>
            <w:r w:rsidRPr="00FD3FC3">
              <w:rPr>
                <w:rFonts w:eastAsia="Calibri"/>
                <w:sz w:val="22"/>
                <w:szCs w:val="22"/>
                <w:lang w:eastAsia="en-US"/>
              </w:rPr>
              <w:t>151 378</w:t>
            </w:r>
          </w:p>
        </w:tc>
      </w:tr>
      <w:tr w:rsidR="00FD3FC3" w:rsidRPr="00FD3FC3" w14:paraId="6C7A3ABB" w14:textId="77777777" w:rsidTr="00B96277">
        <w:trPr>
          <w:trHeight w:val="106"/>
          <w:jc w:val="center"/>
        </w:trPr>
        <w:tc>
          <w:tcPr>
            <w:tcW w:w="3284" w:type="dxa"/>
            <w:tcBorders>
              <w:top w:val="nil"/>
              <w:left w:val="single" w:sz="4" w:space="0" w:color="auto"/>
              <w:bottom w:val="nil"/>
              <w:right w:val="single" w:sz="4" w:space="0" w:color="auto"/>
            </w:tcBorders>
            <w:shd w:val="clear" w:color="auto" w:fill="auto"/>
            <w:vAlign w:val="center"/>
          </w:tcPr>
          <w:p w14:paraId="5455E7DA" w14:textId="77777777" w:rsidR="00FD3FC3" w:rsidRPr="00FD3FC3" w:rsidRDefault="00FD3FC3" w:rsidP="00FD3FC3">
            <w:pPr>
              <w:autoSpaceDE w:val="0"/>
              <w:autoSpaceDN w:val="0"/>
              <w:adjustRightInd w:val="0"/>
              <w:rPr>
                <w:rFonts w:eastAsia="Calibri"/>
                <w:sz w:val="22"/>
                <w:szCs w:val="22"/>
                <w:lang w:eastAsia="en-US"/>
              </w:rPr>
            </w:pPr>
            <w:r w:rsidRPr="00FD3FC3">
              <w:rPr>
                <w:rFonts w:eastAsia="Calibri"/>
                <w:sz w:val="22"/>
                <w:szCs w:val="22"/>
                <w:lang w:eastAsia="en-US"/>
              </w:rPr>
              <w:t>Tertius</w:t>
            </w:r>
          </w:p>
        </w:tc>
        <w:tc>
          <w:tcPr>
            <w:tcW w:w="821" w:type="dxa"/>
            <w:tcBorders>
              <w:top w:val="nil"/>
              <w:left w:val="single" w:sz="4" w:space="0" w:color="auto"/>
              <w:bottom w:val="nil"/>
              <w:right w:val="single" w:sz="4" w:space="0" w:color="auto"/>
            </w:tcBorders>
            <w:shd w:val="clear" w:color="auto" w:fill="auto"/>
            <w:vAlign w:val="center"/>
          </w:tcPr>
          <w:p w14:paraId="7EAC7F51" w14:textId="77777777" w:rsidR="00FD3FC3" w:rsidRPr="00FD3FC3" w:rsidRDefault="00FD3FC3" w:rsidP="008D29D8">
            <w:pPr>
              <w:autoSpaceDE w:val="0"/>
              <w:autoSpaceDN w:val="0"/>
              <w:adjustRightInd w:val="0"/>
              <w:ind w:right="57"/>
              <w:jc w:val="right"/>
              <w:rPr>
                <w:rFonts w:eastAsia="Calibri"/>
                <w:sz w:val="22"/>
                <w:szCs w:val="22"/>
                <w:lang w:eastAsia="en-US"/>
              </w:rPr>
            </w:pPr>
            <w:r w:rsidRPr="00FD3FC3">
              <w:rPr>
                <w:rFonts w:eastAsia="Calibri"/>
                <w:sz w:val="22"/>
                <w:szCs w:val="22"/>
                <w:lang w:eastAsia="en-US"/>
              </w:rPr>
              <w:t>729</w:t>
            </w:r>
          </w:p>
        </w:tc>
        <w:tc>
          <w:tcPr>
            <w:tcW w:w="1021" w:type="dxa"/>
            <w:tcBorders>
              <w:top w:val="nil"/>
              <w:left w:val="single" w:sz="4" w:space="0" w:color="auto"/>
              <w:bottom w:val="nil"/>
              <w:right w:val="single" w:sz="4" w:space="0" w:color="auto"/>
            </w:tcBorders>
            <w:shd w:val="clear" w:color="auto" w:fill="auto"/>
          </w:tcPr>
          <w:p w14:paraId="3A9D408F" w14:textId="77777777" w:rsidR="00FD3FC3" w:rsidRPr="00FD3FC3" w:rsidRDefault="00FD3FC3" w:rsidP="008D29D8">
            <w:pPr>
              <w:autoSpaceDE w:val="0"/>
              <w:autoSpaceDN w:val="0"/>
              <w:adjustRightInd w:val="0"/>
              <w:jc w:val="center"/>
              <w:rPr>
                <w:rFonts w:eastAsia="Calibri"/>
                <w:sz w:val="22"/>
                <w:szCs w:val="22"/>
                <w:lang w:eastAsia="en-US"/>
              </w:rPr>
            </w:pPr>
            <w:r w:rsidRPr="00FD3FC3">
              <w:rPr>
                <w:rFonts w:eastAsia="Calibri"/>
                <w:sz w:val="22"/>
                <w:szCs w:val="22"/>
                <w:lang w:eastAsia="en-US"/>
              </w:rPr>
              <w:t>22.4</w:t>
            </w:r>
          </w:p>
        </w:tc>
        <w:tc>
          <w:tcPr>
            <w:tcW w:w="1134" w:type="dxa"/>
            <w:tcBorders>
              <w:top w:val="nil"/>
              <w:left w:val="single" w:sz="4" w:space="0" w:color="auto"/>
              <w:bottom w:val="nil"/>
              <w:right w:val="single" w:sz="4" w:space="0" w:color="auto"/>
            </w:tcBorders>
            <w:shd w:val="clear" w:color="auto" w:fill="auto"/>
          </w:tcPr>
          <w:p w14:paraId="3DC28AC9" w14:textId="77777777" w:rsidR="00FD3FC3" w:rsidRPr="00FD3FC3" w:rsidRDefault="00FD3FC3" w:rsidP="008D29D8">
            <w:pPr>
              <w:autoSpaceDE w:val="0"/>
              <w:autoSpaceDN w:val="0"/>
              <w:adjustRightInd w:val="0"/>
              <w:jc w:val="center"/>
              <w:rPr>
                <w:rFonts w:eastAsia="Calibri"/>
                <w:sz w:val="22"/>
                <w:szCs w:val="22"/>
                <w:lang w:eastAsia="en-US"/>
              </w:rPr>
            </w:pPr>
            <w:r w:rsidRPr="00FD3FC3">
              <w:rPr>
                <w:rFonts w:eastAsia="Calibri"/>
                <w:sz w:val="22"/>
                <w:szCs w:val="22"/>
                <w:lang w:eastAsia="en-US"/>
              </w:rPr>
              <w:t>7.5</w:t>
            </w:r>
          </w:p>
        </w:tc>
        <w:tc>
          <w:tcPr>
            <w:tcW w:w="996" w:type="dxa"/>
            <w:tcBorders>
              <w:top w:val="nil"/>
              <w:left w:val="single" w:sz="4" w:space="0" w:color="auto"/>
              <w:bottom w:val="nil"/>
              <w:right w:val="single" w:sz="4" w:space="0" w:color="auto"/>
            </w:tcBorders>
            <w:shd w:val="clear" w:color="auto" w:fill="auto"/>
          </w:tcPr>
          <w:p w14:paraId="6B531CE1" w14:textId="77777777" w:rsidR="00FD3FC3" w:rsidRPr="00FD3FC3" w:rsidRDefault="00FD3FC3" w:rsidP="008D29D8">
            <w:pPr>
              <w:autoSpaceDE w:val="0"/>
              <w:autoSpaceDN w:val="0"/>
              <w:adjustRightInd w:val="0"/>
              <w:ind w:right="113"/>
              <w:jc w:val="right"/>
              <w:rPr>
                <w:rFonts w:eastAsia="Calibri"/>
                <w:sz w:val="22"/>
                <w:szCs w:val="22"/>
                <w:lang w:eastAsia="en-US"/>
              </w:rPr>
            </w:pPr>
            <w:r w:rsidRPr="00FD3FC3">
              <w:rPr>
                <w:rFonts w:eastAsia="Calibri"/>
                <w:sz w:val="22"/>
                <w:szCs w:val="22"/>
                <w:lang w:eastAsia="en-US"/>
              </w:rPr>
              <w:t>6</w:t>
            </w:r>
          </w:p>
        </w:tc>
        <w:tc>
          <w:tcPr>
            <w:tcW w:w="1429" w:type="dxa"/>
            <w:tcBorders>
              <w:top w:val="nil"/>
              <w:left w:val="single" w:sz="4" w:space="0" w:color="auto"/>
              <w:bottom w:val="nil"/>
              <w:right w:val="single" w:sz="4" w:space="0" w:color="auto"/>
            </w:tcBorders>
            <w:shd w:val="clear" w:color="auto" w:fill="auto"/>
          </w:tcPr>
          <w:p w14:paraId="6E87D819" w14:textId="77777777" w:rsidR="00FD3FC3" w:rsidRPr="00FD3FC3" w:rsidRDefault="00FD3FC3" w:rsidP="008D29D8">
            <w:pPr>
              <w:autoSpaceDE w:val="0"/>
              <w:autoSpaceDN w:val="0"/>
              <w:adjustRightInd w:val="0"/>
              <w:ind w:right="113"/>
              <w:jc w:val="right"/>
              <w:rPr>
                <w:rFonts w:eastAsia="Calibri"/>
                <w:sz w:val="22"/>
                <w:szCs w:val="22"/>
                <w:lang w:eastAsia="en-US"/>
              </w:rPr>
            </w:pPr>
            <w:r w:rsidRPr="00FD3FC3">
              <w:rPr>
                <w:rFonts w:eastAsia="Calibri"/>
                <w:sz w:val="22"/>
                <w:szCs w:val="22"/>
                <w:lang w:eastAsia="en-US"/>
              </w:rPr>
              <w:t>153 392</w:t>
            </w:r>
          </w:p>
        </w:tc>
      </w:tr>
      <w:tr w:rsidR="00FD3FC3" w:rsidRPr="00FD3FC3" w14:paraId="7B18BCCE" w14:textId="77777777" w:rsidTr="00B96277">
        <w:trPr>
          <w:trHeight w:val="106"/>
          <w:jc w:val="center"/>
        </w:trPr>
        <w:tc>
          <w:tcPr>
            <w:tcW w:w="3284" w:type="dxa"/>
            <w:tcBorders>
              <w:top w:val="nil"/>
              <w:left w:val="single" w:sz="4" w:space="0" w:color="auto"/>
              <w:bottom w:val="nil"/>
              <w:right w:val="single" w:sz="4" w:space="0" w:color="auto"/>
            </w:tcBorders>
            <w:shd w:val="clear" w:color="auto" w:fill="auto"/>
            <w:vAlign w:val="center"/>
          </w:tcPr>
          <w:p w14:paraId="282BF752" w14:textId="77777777" w:rsidR="00FD3FC3" w:rsidRPr="00FD3FC3" w:rsidRDefault="00FD3FC3" w:rsidP="00FD3FC3">
            <w:pPr>
              <w:autoSpaceDE w:val="0"/>
              <w:autoSpaceDN w:val="0"/>
              <w:adjustRightInd w:val="0"/>
              <w:rPr>
                <w:rFonts w:eastAsia="Calibri"/>
                <w:sz w:val="22"/>
                <w:szCs w:val="22"/>
                <w:lang w:eastAsia="en-US"/>
              </w:rPr>
            </w:pPr>
            <w:r w:rsidRPr="00FD3FC3">
              <w:rPr>
                <w:rFonts w:eastAsia="Calibri"/>
                <w:sz w:val="22"/>
                <w:szCs w:val="22"/>
                <w:lang w:eastAsia="en-US"/>
              </w:rPr>
              <w:t>NR Finance México</w:t>
            </w:r>
          </w:p>
        </w:tc>
        <w:tc>
          <w:tcPr>
            <w:tcW w:w="821" w:type="dxa"/>
            <w:tcBorders>
              <w:top w:val="nil"/>
              <w:left w:val="single" w:sz="4" w:space="0" w:color="auto"/>
              <w:bottom w:val="nil"/>
              <w:right w:val="single" w:sz="4" w:space="0" w:color="auto"/>
            </w:tcBorders>
            <w:shd w:val="clear" w:color="auto" w:fill="auto"/>
            <w:vAlign w:val="center"/>
          </w:tcPr>
          <w:p w14:paraId="39BBC11B" w14:textId="77777777" w:rsidR="00FD3FC3" w:rsidRPr="00FD3FC3" w:rsidRDefault="00FD3FC3" w:rsidP="008D29D8">
            <w:pPr>
              <w:autoSpaceDE w:val="0"/>
              <w:autoSpaceDN w:val="0"/>
              <w:adjustRightInd w:val="0"/>
              <w:ind w:right="57"/>
              <w:jc w:val="right"/>
              <w:rPr>
                <w:rFonts w:eastAsia="Calibri"/>
                <w:sz w:val="22"/>
                <w:szCs w:val="22"/>
                <w:lang w:eastAsia="en-US"/>
              </w:rPr>
            </w:pPr>
            <w:r w:rsidRPr="00FD3FC3">
              <w:rPr>
                <w:rFonts w:eastAsia="Calibri"/>
                <w:sz w:val="22"/>
                <w:szCs w:val="22"/>
                <w:lang w:eastAsia="en-US"/>
              </w:rPr>
              <w:t>615</w:t>
            </w:r>
          </w:p>
        </w:tc>
        <w:tc>
          <w:tcPr>
            <w:tcW w:w="1021" w:type="dxa"/>
            <w:tcBorders>
              <w:top w:val="nil"/>
              <w:left w:val="single" w:sz="4" w:space="0" w:color="auto"/>
              <w:bottom w:val="nil"/>
              <w:right w:val="single" w:sz="4" w:space="0" w:color="auto"/>
            </w:tcBorders>
            <w:shd w:val="clear" w:color="auto" w:fill="auto"/>
          </w:tcPr>
          <w:p w14:paraId="72EC0B1D" w14:textId="77777777" w:rsidR="00FD3FC3" w:rsidRPr="00FD3FC3" w:rsidRDefault="00FD3FC3" w:rsidP="008D29D8">
            <w:pPr>
              <w:autoSpaceDE w:val="0"/>
              <w:autoSpaceDN w:val="0"/>
              <w:adjustRightInd w:val="0"/>
              <w:jc w:val="center"/>
              <w:rPr>
                <w:rFonts w:eastAsia="Calibri"/>
                <w:sz w:val="22"/>
                <w:szCs w:val="22"/>
                <w:lang w:eastAsia="en-US"/>
              </w:rPr>
            </w:pPr>
            <w:r w:rsidRPr="00FD3FC3">
              <w:rPr>
                <w:rFonts w:eastAsia="Calibri"/>
                <w:sz w:val="22"/>
                <w:szCs w:val="22"/>
                <w:lang w:eastAsia="en-US"/>
              </w:rPr>
              <w:t>26.0</w:t>
            </w:r>
          </w:p>
        </w:tc>
        <w:tc>
          <w:tcPr>
            <w:tcW w:w="1134" w:type="dxa"/>
            <w:tcBorders>
              <w:top w:val="nil"/>
              <w:left w:val="single" w:sz="4" w:space="0" w:color="auto"/>
              <w:bottom w:val="nil"/>
              <w:right w:val="single" w:sz="4" w:space="0" w:color="auto"/>
            </w:tcBorders>
            <w:shd w:val="clear" w:color="auto" w:fill="auto"/>
          </w:tcPr>
          <w:p w14:paraId="64733D5C" w14:textId="77777777" w:rsidR="00FD3FC3" w:rsidRPr="00FD3FC3" w:rsidRDefault="00FD3FC3" w:rsidP="008D29D8">
            <w:pPr>
              <w:autoSpaceDE w:val="0"/>
              <w:autoSpaceDN w:val="0"/>
              <w:adjustRightInd w:val="0"/>
              <w:jc w:val="center"/>
              <w:rPr>
                <w:rFonts w:eastAsia="Calibri"/>
                <w:sz w:val="22"/>
                <w:szCs w:val="22"/>
                <w:lang w:eastAsia="en-US"/>
              </w:rPr>
            </w:pPr>
            <w:r w:rsidRPr="00FD3FC3">
              <w:rPr>
                <w:rFonts w:eastAsia="Calibri"/>
                <w:sz w:val="22"/>
                <w:szCs w:val="22"/>
                <w:lang w:eastAsia="en-US"/>
              </w:rPr>
              <w:t>8.4</w:t>
            </w:r>
          </w:p>
        </w:tc>
        <w:tc>
          <w:tcPr>
            <w:tcW w:w="996" w:type="dxa"/>
            <w:tcBorders>
              <w:top w:val="nil"/>
              <w:left w:val="single" w:sz="4" w:space="0" w:color="auto"/>
              <w:bottom w:val="nil"/>
              <w:right w:val="single" w:sz="4" w:space="0" w:color="auto"/>
            </w:tcBorders>
            <w:shd w:val="clear" w:color="auto" w:fill="auto"/>
          </w:tcPr>
          <w:p w14:paraId="3405ECEE" w14:textId="77777777" w:rsidR="00FD3FC3" w:rsidRPr="00FD3FC3" w:rsidRDefault="00FD3FC3" w:rsidP="008D29D8">
            <w:pPr>
              <w:autoSpaceDE w:val="0"/>
              <w:autoSpaceDN w:val="0"/>
              <w:adjustRightInd w:val="0"/>
              <w:ind w:right="113"/>
              <w:jc w:val="right"/>
              <w:rPr>
                <w:rFonts w:eastAsia="Calibri"/>
                <w:sz w:val="22"/>
                <w:szCs w:val="22"/>
                <w:lang w:eastAsia="en-US"/>
              </w:rPr>
            </w:pPr>
            <w:r w:rsidRPr="00FD3FC3">
              <w:rPr>
                <w:rFonts w:eastAsia="Calibri"/>
                <w:sz w:val="22"/>
                <w:szCs w:val="22"/>
                <w:lang w:eastAsia="en-US"/>
              </w:rPr>
              <w:t>25</w:t>
            </w:r>
          </w:p>
        </w:tc>
        <w:tc>
          <w:tcPr>
            <w:tcW w:w="1429" w:type="dxa"/>
            <w:tcBorders>
              <w:top w:val="nil"/>
              <w:left w:val="single" w:sz="4" w:space="0" w:color="auto"/>
              <w:bottom w:val="nil"/>
              <w:right w:val="single" w:sz="4" w:space="0" w:color="auto"/>
            </w:tcBorders>
            <w:shd w:val="clear" w:color="auto" w:fill="auto"/>
          </w:tcPr>
          <w:p w14:paraId="625F3FA0" w14:textId="77777777" w:rsidR="00FD3FC3" w:rsidRPr="00FD3FC3" w:rsidRDefault="00FD3FC3" w:rsidP="008D29D8">
            <w:pPr>
              <w:autoSpaceDE w:val="0"/>
              <w:autoSpaceDN w:val="0"/>
              <w:adjustRightInd w:val="0"/>
              <w:ind w:right="113"/>
              <w:jc w:val="right"/>
              <w:rPr>
                <w:rFonts w:eastAsia="Calibri"/>
                <w:sz w:val="22"/>
                <w:szCs w:val="22"/>
                <w:lang w:eastAsia="en-US"/>
              </w:rPr>
            </w:pPr>
            <w:r w:rsidRPr="00FD3FC3">
              <w:rPr>
                <w:rFonts w:eastAsia="Calibri"/>
                <w:sz w:val="22"/>
                <w:szCs w:val="22"/>
                <w:lang w:eastAsia="en-US"/>
              </w:rPr>
              <w:t>565 288</w:t>
            </w:r>
          </w:p>
        </w:tc>
      </w:tr>
      <w:tr w:rsidR="00FD3FC3" w:rsidRPr="00FD3FC3" w14:paraId="5FE1C3D1" w14:textId="77777777" w:rsidTr="00B96277">
        <w:trPr>
          <w:trHeight w:val="106"/>
          <w:jc w:val="center"/>
        </w:trPr>
        <w:tc>
          <w:tcPr>
            <w:tcW w:w="3284" w:type="dxa"/>
            <w:tcBorders>
              <w:top w:val="nil"/>
              <w:left w:val="single" w:sz="4" w:space="0" w:color="auto"/>
              <w:bottom w:val="nil"/>
              <w:right w:val="single" w:sz="4" w:space="0" w:color="auto"/>
            </w:tcBorders>
            <w:shd w:val="clear" w:color="auto" w:fill="auto"/>
            <w:vAlign w:val="center"/>
          </w:tcPr>
          <w:p w14:paraId="7F102950" w14:textId="77777777" w:rsidR="00FD3FC3" w:rsidRPr="00FD3FC3" w:rsidRDefault="00FD3FC3" w:rsidP="00FD3FC3">
            <w:pPr>
              <w:autoSpaceDE w:val="0"/>
              <w:autoSpaceDN w:val="0"/>
              <w:adjustRightInd w:val="0"/>
              <w:rPr>
                <w:rFonts w:eastAsia="Calibri"/>
                <w:sz w:val="22"/>
                <w:szCs w:val="22"/>
                <w:lang w:eastAsia="en-US"/>
              </w:rPr>
            </w:pPr>
            <w:r w:rsidRPr="00FD3FC3">
              <w:rPr>
                <w:rFonts w:eastAsia="Calibri"/>
                <w:sz w:val="22"/>
                <w:szCs w:val="22"/>
                <w:lang w:eastAsia="en-US"/>
              </w:rPr>
              <w:t>Patrimonio</w:t>
            </w:r>
          </w:p>
        </w:tc>
        <w:tc>
          <w:tcPr>
            <w:tcW w:w="821" w:type="dxa"/>
            <w:tcBorders>
              <w:top w:val="nil"/>
              <w:left w:val="single" w:sz="4" w:space="0" w:color="auto"/>
              <w:bottom w:val="nil"/>
              <w:right w:val="single" w:sz="4" w:space="0" w:color="auto"/>
            </w:tcBorders>
            <w:shd w:val="clear" w:color="auto" w:fill="auto"/>
            <w:vAlign w:val="center"/>
          </w:tcPr>
          <w:p w14:paraId="2A0DD348" w14:textId="77777777" w:rsidR="00FD3FC3" w:rsidRPr="00FD3FC3" w:rsidRDefault="00FD3FC3" w:rsidP="008D29D8">
            <w:pPr>
              <w:autoSpaceDE w:val="0"/>
              <w:autoSpaceDN w:val="0"/>
              <w:adjustRightInd w:val="0"/>
              <w:ind w:right="57"/>
              <w:jc w:val="right"/>
              <w:rPr>
                <w:rFonts w:eastAsia="Calibri"/>
                <w:sz w:val="22"/>
                <w:szCs w:val="22"/>
                <w:lang w:eastAsia="en-US"/>
              </w:rPr>
            </w:pPr>
            <w:r w:rsidRPr="00FD3FC3">
              <w:rPr>
                <w:rFonts w:eastAsia="Calibri"/>
                <w:sz w:val="22"/>
                <w:szCs w:val="22"/>
                <w:lang w:eastAsia="en-US"/>
              </w:rPr>
              <w:t>335</w:t>
            </w:r>
          </w:p>
        </w:tc>
        <w:tc>
          <w:tcPr>
            <w:tcW w:w="1021" w:type="dxa"/>
            <w:tcBorders>
              <w:top w:val="nil"/>
              <w:left w:val="single" w:sz="4" w:space="0" w:color="auto"/>
              <w:bottom w:val="nil"/>
              <w:right w:val="single" w:sz="4" w:space="0" w:color="auto"/>
            </w:tcBorders>
            <w:shd w:val="clear" w:color="auto" w:fill="auto"/>
          </w:tcPr>
          <w:p w14:paraId="6F6F3650" w14:textId="77777777" w:rsidR="00FD3FC3" w:rsidRPr="00FD3FC3" w:rsidRDefault="00FD3FC3" w:rsidP="008D29D8">
            <w:pPr>
              <w:autoSpaceDE w:val="0"/>
              <w:autoSpaceDN w:val="0"/>
              <w:adjustRightInd w:val="0"/>
              <w:jc w:val="center"/>
              <w:rPr>
                <w:rFonts w:eastAsia="Calibri"/>
                <w:sz w:val="22"/>
                <w:szCs w:val="22"/>
                <w:lang w:eastAsia="en-US"/>
              </w:rPr>
            </w:pPr>
            <w:r w:rsidRPr="00FD3FC3">
              <w:rPr>
                <w:rFonts w:eastAsia="Calibri"/>
                <w:sz w:val="22"/>
                <w:szCs w:val="22"/>
                <w:lang w:eastAsia="en-US"/>
              </w:rPr>
              <w:t>24.5</w:t>
            </w:r>
          </w:p>
        </w:tc>
        <w:tc>
          <w:tcPr>
            <w:tcW w:w="1134" w:type="dxa"/>
            <w:tcBorders>
              <w:top w:val="nil"/>
              <w:left w:val="single" w:sz="4" w:space="0" w:color="auto"/>
              <w:bottom w:val="nil"/>
              <w:right w:val="single" w:sz="4" w:space="0" w:color="auto"/>
            </w:tcBorders>
            <w:shd w:val="clear" w:color="auto" w:fill="auto"/>
          </w:tcPr>
          <w:p w14:paraId="18838E01" w14:textId="77777777" w:rsidR="00FD3FC3" w:rsidRPr="00FD3FC3" w:rsidRDefault="00FD3FC3" w:rsidP="008D29D8">
            <w:pPr>
              <w:autoSpaceDE w:val="0"/>
              <w:autoSpaceDN w:val="0"/>
              <w:adjustRightInd w:val="0"/>
              <w:jc w:val="center"/>
              <w:rPr>
                <w:rFonts w:eastAsia="Calibri"/>
                <w:sz w:val="22"/>
                <w:szCs w:val="22"/>
                <w:lang w:eastAsia="en-US"/>
              </w:rPr>
            </w:pPr>
            <w:r w:rsidRPr="00FD3FC3">
              <w:rPr>
                <w:rFonts w:eastAsia="Calibri"/>
                <w:sz w:val="22"/>
                <w:szCs w:val="22"/>
                <w:lang w:eastAsia="en-US"/>
              </w:rPr>
              <w:t>7.5</w:t>
            </w:r>
          </w:p>
        </w:tc>
        <w:tc>
          <w:tcPr>
            <w:tcW w:w="996" w:type="dxa"/>
            <w:tcBorders>
              <w:top w:val="nil"/>
              <w:left w:val="single" w:sz="4" w:space="0" w:color="auto"/>
              <w:bottom w:val="nil"/>
              <w:right w:val="single" w:sz="4" w:space="0" w:color="auto"/>
            </w:tcBorders>
            <w:shd w:val="clear" w:color="auto" w:fill="auto"/>
          </w:tcPr>
          <w:p w14:paraId="09EB886B" w14:textId="77777777" w:rsidR="00FD3FC3" w:rsidRPr="00FD3FC3" w:rsidRDefault="00FD3FC3" w:rsidP="008D29D8">
            <w:pPr>
              <w:autoSpaceDE w:val="0"/>
              <w:autoSpaceDN w:val="0"/>
              <w:adjustRightInd w:val="0"/>
              <w:ind w:right="113"/>
              <w:jc w:val="right"/>
              <w:rPr>
                <w:rFonts w:eastAsia="Calibri"/>
                <w:sz w:val="22"/>
                <w:szCs w:val="22"/>
                <w:lang w:eastAsia="en-US"/>
              </w:rPr>
            </w:pPr>
            <w:r w:rsidRPr="00FD3FC3">
              <w:rPr>
                <w:rFonts w:eastAsia="Calibri"/>
                <w:sz w:val="22"/>
                <w:szCs w:val="22"/>
                <w:lang w:eastAsia="en-US"/>
              </w:rPr>
              <w:t>7</w:t>
            </w:r>
          </w:p>
        </w:tc>
        <w:tc>
          <w:tcPr>
            <w:tcW w:w="1429" w:type="dxa"/>
            <w:tcBorders>
              <w:top w:val="nil"/>
              <w:left w:val="single" w:sz="4" w:space="0" w:color="auto"/>
              <w:bottom w:val="nil"/>
              <w:right w:val="single" w:sz="4" w:space="0" w:color="auto"/>
            </w:tcBorders>
            <w:shd w:val="clear" w:color="auto" w:fill="auto"/>
          </w:tcPr>
          <w:p w14:paraId="2BDD325C" w14:textId="77777777" w:rsidR="00FD3FC3" w:rsidRPr="00FD3FC3" w:rsidRDefault="00FD3FC3" w:rsidP="008D29D8">
            <w:pPr>
              <w:autoSpaceDE w:val="0"/>
              <w:autoSpaceDN w:val="0"/>
              <w:adjustRightInd w:val="0"/>
              <w:ind w:right="113"/>
              <w:jc w:val="right"/>
              <w:rPr>
                <w:rFonts w:eastAsia="Calibri"/>
                <w:sz w:val="22"/>
                <w:szCs w:val="22"/>
                <w:lang w:eastAsia="en-US"/>
              </w:rPr>
            </w:pPr>
            <w:r w:rsidRPr="00FD3FC3">
              <w:rPr>
                <w:rFonts w:eastAsia="Calibri"/>
                <w:sz w:val="22"/>
                <w:szCs w:val="22"/>
                <w:lang w:eastAsia="en-US"/>
              </w:rPr>
              <w:t>193 223</w:t>
            </w:r>
          </w:p>
        </w:tc>
      </w:tr>
      <w:tr w:rsidR="00FD3FC3" w:rsidRPr="00FD3FC3" w14:paraId="5A83BC29" w14:textId="77777777" w:rsidTr="00B96277">
        <w:trPr>
          <w:trHeight w:val="106"/>
          <w:jc w:val="center"/>
        </w:trPr>
        <w:tc>
          <w:tcPr>
            <w:tcW w:w="3284" w:type="dxa"/>
            <w:tcBorders>
              <w:top w:val="nil"/>
              <w:left w:val="single" w:sz="4" w:space="0" w:color="auto"/>
              <w:bottom w:val="nil"/>
              <w:right w:val="single" w:sz="4" w:space="0" w:color="auto"/>
            </w:tcBorders>
            <w:shd w:val="clear" w:color="auto" w:fill="auto"/>
            <w:vAlign w:val="center"/>
          </w:tcPr>
          <w:p w14:paraId="7322254E" w14:textId="77777777" w:rsidR="00FD3FC3" w:rsidRPr="00FD3FC3" w:rsidRDefault="00FD3FC3" w:rsidP="00FD3FC3">
            <w:pPr>
              <w:autoSpaceDE w:val="0"/>
              <w:autoSpaceDN w:val="0"/>
              <w:adjustRightInd w:val="0"/>
              <w:rPr>
                <w:rFonts w:eastAsia="Calibri"/>
                <w:sz w:val="22"/>
                <w:szCs w:val="22"/>
                <w:lang w:eastAsia="en-US"/>
              </w:rPr>
            </w:pPr>
            <w:r w:rsidRPr="00FD3FC3">
              <w:rPr>
                <w:rFonts w:eastAsia="Calibri"/>
                <w:sz w:val="22"/>
                <w:szCs w:val="22"/>
                <w:lang w:eastAsia="en-US"/>
              </w:rPr>
              <w:t>GM Financial de México</w:t>
            </w:r>
          </w:p>
        </w:tc>
        <w:tc>
          <w:tcPr>
            <w:tcW w:w="821" w:type="dxa"/>
            <w:tcBorders>
              <w:top w:val="nil"/>
              <w:left w:val="single" w:sz="4" w:space="0" w:color="auto"/>
              <w:bottom w:val="nil"/>
              <w:right w:val="single" w:sz="4" w:space="0" w:color="auto"/>
            </w:tcBorders>
            <w:shd w:val="clear" w:color="auto" w:fill="auto"/>
            <w:vAlign w:val="center"/>
          </w:tcPr>
          <w:p w14:paraId="7FFE0F41" w14:textId="77777777" w:rsidR="00FD3FC3" w:rsidRPr="00FD3FC3" w:rsidRDefault="00FD3FC3" w:rsidP="008D29D8">
            <w:pPr>
              <w:autoSpaceDE w:val="0"/>
              <w:autoSpaceDN w:val="0"/>
              <w:adjustRightInd w:val="0"/>
              <w:ind w:right="57"/>
              <w:jc w:val="right"/>
              <w:rPr>
                <w:rFonts w:eastAsia="Calibri"/>
                <w:sz w:val="22"/>
                <w:szCs w:val="22"/>
                <w:lang w:eastAsia="en-US"/>
              </w:rPr>
            </w:pPr>
            <w:r w:rsidRPr="00FD3FC3">
              <w:rPr>
                <w:rFonts w:eastAsia="Calibri"/>
                <w:sz w:val="22"/>
                <w:szCs w:val="22"/>
                <w:lang w:eastAsia="en-US"/>
              </w:rPr>
              <w:t>279</w:t>
            </w:r>
          </w:p>
        </w:tc>
        <w:tc>
          <w:tcPr>
            <w:tcW w:w="1021" w:type="dxa"/>
            <w:tcBorders>
              <w:top w:val="nil"/>
              <w:left w:val="single" w:sz="4" w:space="0" w:color="auto"/>
              <w:bottom w:val="nil"/>
              <w:right w:val="single" w:sz="4" w:space="0" w:color="auto"/>
            </w:tcBorders>
            <w:shd w:val="clear" w:color="auto" w:fill="auto"/>
          </w:tcPr>
          <w:p w14:paraId="509C1C6F" w14:textId="77777777" w:rsidR="00FD3FC3" w:rsidRPr="00FD3FC3" w:rsidRDefault="00FD3FC3" w:rsidP="008D29D8">
            <w:pPr>
              <w:autoSpaceDE w:val="0"/>
              <w:autoSpaceDN w:val="0"/>
              <w:adjustRightInd w:val="0"/>
              <w:jc w:val="center"/>
              <w:rPr>
                <w:rFonts w:eastAsia="Calibri"/>
                <w:sz w:val="22"/>
                <w:szCs w:val="22"/>
                <w:lang w:eastAsia="en-US"/>
              </w:rPr>
            </w:pPr>
            <w:r w:rsidRPr="00FD3FC3">
              <w:rPr>
                <w:rFonts w:eastAsia="Calibri"/>
                <w:sz w:val="22"/>
                <w:szCs w:val="22"/>
                <w:lang w:eastAsia="en-US"/>
              </w:rPr>
              <w:t>58.3</w:t>
            </w:r>
          </w:p>
        </w:tc>
        <w:tc>
          <w:tcPr>
            <w:tcW w:w="1134" w:type="dxa"/>
            <w:tcBorders>
              <w:top w:val="nil"/>
              <w:left w:val="single" w:sz="4" w:space="0" w:color="auto"/>
              <w:bottom w:val="nil"/>
              <w:right w:val="single" w:sz="4" w:space="0" w:color="auto"/>
            </w:tcBorders>
            <w:shd w:val="clear" w:color="auto" w:fill="auto"/>
          </w:tcPr>
          <w:p w14:paraId="0FFBB6DA" w14:textId="77777777" w:rsidR="00FD3FC3" w:rsidRPr="00FD3FC3" w:rsidRDefault="00FD3FC3" w:rsidP="008D29D8">
            <w:pPr>
              <w:autoSpaceDE w:val="0"/>
              <w:autoSpaceDN w:val="0"/>
              <w:adjustRightInd w:val="0"/>
              <w:jc w:val="center"/>
              <w:rPr>
                <w:rFonts w:eastAsia="Calibri"/>
                <w:sz w:val="22"/>
                <w:szCs w:val="22"/>
                <w:lang w:eastAsia="en-US"/>
              </w:rPr>
            </w:pPr>
            <w:r w:rsidRPr="00FD3FC3">
              <w:rPr>
                <w:rFonts w:eastAsia="Calibri"/>
                <w:sz w:val="22"/>
                <w:szCs w:val="22"/>
                <w:lang w:eastAsia="en-US"/>
              </w:rPr>
              <w:t>7.8</w:t>
            </w:r>
          </w:p>
        </w:tc>
        <w:tc>
          <w:tcPr>
            <w:tcW w:w="996" w:type="dxa"/>
            <w:tcBorders>
              <w:top w:val="nil"/>
              <w:left w:val="single" w:sz="4" w:space="0" w:color="auto"/>
              <w:bottom w:val="nil"/>
              <w:right w:val="single" w:sz="4" w:space="0" w:color="auto"/>
            </w:tcBorders>
            <w:shd w:val="clear" w:color="auto" w:fill="auto"/>
          </w:tcPr>
          <w:p w14:paraId="46A28B95" w14:textId="77777777" w:rsidR="00FD3FC3" w:rsidRPr="00FD3FC3" w:rsidRDefault="00FD3FC3" w:rsidP="008D29D8">
            <w:pPr>
              <w:autoSpaceDE w:val="0"/>
              <w:autoSpaceDN w:val="0"/>
              <w:adjustRightInd w:val="0"/>
              <w:ind w:right="113"/>
              <w:jc w:val="right"/>
              <w:rPr>
                <w:rFonts w:eastAsia="Calibri"/>
                <w:sz w:val="22"/>
                <w:szCs w:val="22"/>
                <w:lang w:eastAsia="en-US"/>
              </w:rPr>
            </w:pPr>
            <w:r w:rsidRPr="00FD3FC3">
              <w:rPr>
                <w:rFonts w:eastAsia="Calibri"/>
                <w:sz w:val="22"/>
                <w:szCs w:val="22"/>
                <w:lang w:eastAsia="en-US"/>
              </w:rPr>
              <w:t>9</w:t>
            </w:r>
          </w:p>
        </w:tc>
        <w:tc>
          <w:tcPr>
            <w:tcW w:w="1429" w:type="dxa"/>
            <w:tcBorders>
              <w:top w:val="nil"/>
              <w:left w:val="single" w:sz="4" w:space="0" w:color="auto"/>
              <w:bottom w:val="nil"/>
              <w:right w:val="single" w:sz="4" w:space="0" w:color="auto"/>
            </w:tcBorders>
            <w:shd w:val="clear" w:color="auto" w:fill="auto"/>
          </w:tcPr>
          <w:p w14:paraId="64D1AA6B" w14:textId="77777777" w:rsidR="00FD3FC3" w:rsidRPr="00FD3FC3" w:rsidRDefault="00FD3FC3" w:rsidP="008D29D8">
            <w:pPr>
              <w:autoSpaceDE w:val="0"/>
              <w:autoSpaceDN w:val="0"/>
              <w:adjustRightInd w:val="0"/>
              <w:ind w:right="113"/>
              <w:jc w:val="right"/>
              <w:rPr>
                <w:rFonts w:eastAsia="Calibri"/>
                <w:sz w:val="22"/>
                <w:szCs w:val="22"/>
                <w:lang w:eastAsia="en-US"/>
              </w:rPr>
            </w:pPr>
            <w:r w:rsidRPr="00FD3FC3">
              <w:rPr>
                <w:rFonts w:eastAsia="Calibri"/>
                <w:sz w:val="22"/>
                <w:szCs w:val="22"/>
                <w:lang w:eastAsia="en-US"/>
              </w:rPr>
              <w:t>230 167</w:t>
            </w:r>
          </w:p>
        </w:tc>
      </w:tr>
      <w:tr w:rsidR="00FD3FC3" w:rsidRPr="00FD3FC3" w14:paraId="2DBB4745" w14:textId="77777777" w:rsidTr="00B96277">
        <w:trPr>
          <w:trHeight w:val="106"/>
          <w:jc w:val="center"/>
        </w:trPr>
        <w:tc>
          <w:tcPr>
            <w:tcW w:w="3284" w:type="dxa"/>
            <w:tcBorders>
              <w:top w:val="nil"/>
              <w:left w:val="single" w:sz="4" w:space="0" w:color="auto"/>
              <w:bottom w:val="nil"/>
              <w:right w:val="single" w:sz="4" w:space="0" w:color="auto"/>
            </w:tcBorders>
            <w:shd w:val="clear" w:color="auto" w:fill="auto"/>
            <w:vAlign w:val="center"/>
          </w:tcPr>
          <w:p w14:paraId="0AD66350" w14:textId="77777777" w:rsidR="00FD3FC3" w:rsidRPr="00FD3FC3" w:rsidRDefault="00FD3FC3" w:rsidP="00FD3FC3">
            <w:pPr>
              <w:autoSpaceDE w:val="0"/>
              <w:autoSpaceDN w:val="0"/>
              <w:adjustRightInd w:val="0"/>
              <w:rPr>
                <w:rFonts w:eastAsia="Calibri"/>
                <w:sz w:val="22"/>
                <w:szCs w:val="22"/>
                <w:lang w:eastAsia="en-US"/>
              </w:rPr>
            </w:pPr>
            <w:r w:rsidRPr="00FD3FC3">
              <w:rPr>
                <w:rFonts w:eastAsia="Calibri"/>
                <w:sz w:val="22"/>
                <w:szCs w:val="22"/>
                <w:lang w:eastAsia="en-US"/>
              </w:rPr>
              <w:t>Crédito Real</w:t>
            </w:r>
          </w:p>
        </w:tc>
        <w:tc>
          <w:tcPr>
            <w:tcW w:w="821" w:type="dxa"/>
            <w:tcBorders>
              <w:top w:val="nil"/>
              <w:left w:val="single" w:sz="4" w:space="0" w:color="auto"/>
              <w:bottom w:val="nil"/>
              <w:right w:val="single" w:sz="4" w:space="0" w:color="auto"/>
            </w:tcBorders>
            <w:shd w:val="clear" w:color="auto" w:fill="auto"/>
            <w:vAlign w:val="center"/>
          </w:tcPr>
          <w:p w14:paraId="5DACB58C" w14:textId="77777777" w:rsidR="00FD3FC3" w:rsidRPr="00FD3FC3" w:rsidRDefault="00FD3FC3" w:rsidP="008D29D8">
            <w:pPr>
              <w:autoSpaceDE w:val="0"/>
              <w:autoSpaceDN w:val="0"/>
              <w:adjustRightInd w:val="0"/>
              <w:ind w:right="57"/>
              <w:jc w:val="right"/>
              <w:rPr>
                <w:rFonts w:eastAsia="Calibri"/>
                <w:sz w:val="22"/>
                <w:szCs w:val="22"/>
                <w:lang w:eastAsia="en-US"/>
              </w:rPr>
            </w:pPr>
            <w:r w:rsidRPr="00FD3FC3">
              <w:rPr>
                <w:rFonts w:eastAsia="Calibri"/>
                <w:sz w:val="22"/>
                <w:szCs w:val="22"/>
                <w:lang w:eastAsia="en-US"/>
              </w:rPr>
              <w:t>262</w:t>
            </w:r>
          </w:p>
        </w:tc>
        <w:tc>
          <w:tcPr>
            <w:tcW w:w="1021" w:type="dxa"/>
            <w:tcBorders>
              <w:top w:val="nil"/>
              <w:left w:val="single" w:sz="4" w:space="0" w:color="auto"/>
              <w:bottom w:val="nil"/>
              <w:right w:val="single" w:sz="4" w:space="0" w:color="auto"/>
            </w:tcBorders>
            <w:shd w:val="clear" w:color="auto" w:fill="auto"/>
          </w:tcPr>
          <w:p w14:paraId="45BDB29F" w14:textId="77777777" w:rsidR="00FD3FC3" w:rsidRPr="00FD3FC3" w:rsidRDefault="00FD3FC3" w:rsidP="008D29D8">
            <w:pPr>
              <w:autoSpaceDE w:val="0"/>
              <w:autoSpaceDN w:val="0"/>
              <w:adjustRightInd w:val="0"/>
              <w:jc w:val="center"/>
              <w:rPr>
                <w:rFonts w:eastAsia="Calibri"/>
                <w:sz w:val="22"/>
                <w:szCs w:val="22"/>
                <w:lang w:eastAsia="en-US"/>
              </w:rPr>
            </w:pPr>
            <w:r w:rsidRPr="00FD3FC3">
              <w:rPr>
                <w:rFonts w:eastAsia="Calibri"/>
                <w:sz w:val="22"/>
                <w:szCs w:val="22"/>
                <w:lang w:eastAsia="en-US"/>
              </w:rPr>
              <w:t>67.3</w:t>
            </w:r>
          </w:p>
        </w:tc>
        <w:tc>
          <w:tcPr>
            <w:tcW w:w="1134" w:type="dxa"/>
            <w:tcBorders>
              <w:top w:val="nil"/>
              <w:left w:val="single" w:sz="4" w:space="0" w:color="auto"/>
              <w:bottom w:val="nil"/>
              <w:right w:val="single" w:sz="4" w:space="0" w:color="auto"/>
            </w:tcBorders>
            <w:shd w:val="clear" w:color="auto" w:fill="auto"/>
          </w:tcPr>
          <w:p w14:paraId="197A53C8" w14:textId="77777777" w:rsidR="00FD3FC3" w:rsidRPr="00FD3FC3" w:rsidRDefault="00FD3FC3" w:rsidP="008D29D8">
            <w:pPr>
              <w:autoSpaceDE w:val="0"/>
              <w:autoSpaceDN w:val="0"/>
              <w:adjustRightInd w:val="0"/>
              <w:jc w:val="center"/>
              <w:rPr>
                <w:rFonts w:eastAsia="Calibri"/>
                <w:sz w:val="22"/>
                <w:szCs w:val="22"/>
                <w:lang w:eastAsia="en-US"/>
              </w:rPr>
            </w:pPr>
            <w:r w:rsidRPr="00FD3FC3">
              <w:rPr>
                <w:rFonts w:eastAsia="Calibri"/>
                <w:sz w:val="22"/>
                <w:szCs w:val="22"/>
                <w:lang w:eastAsia="en-US"/>
              </w:rPr>
              <w:t>6.9</w:t>
            </w:r>
          </w:p>
        </w:tc>
        <w:tc>
          <w:tcPr>
            <w:tcW w:w="996" w:type="dxa"/>
            <w:tcBorders>
              <w:top w:val="nil"/>
              <w:left w:val="single" w:sz="4" w:space="0" w:color="auto"/>
              <w:bottom w:val="nil"/>
              <w:right w:val="single" w:sz="4" w:space="0" w:color="auto"/>
            </w:tcBorders>
            <w:shd w:val="clear" w:color="auto" w:fill="auto"/>
          </w:tcPr>
          <w:p w14:paraId="04ECE737" w14:textId="77777777" w:rsidR="00FD3FC3" w:rsidRPr="00FD3FC3" w:rsidRDefault="00FD3FC3" w:rsidP="008D29D8">
            <w:pPr>
              <w:autoSpaceDE w:val="0"/>
              <w:autoSpaceDN w:val="0"/>
              <w:adjustRightInd w:val="0"/>
              <w:ind w:right="113"/>
              <w:jc w:val="right"/>
              <w:rPr>
                <w:rFonts w:eastAsia="Calibri"/>
                <w:sz w:val="22"/>
                <w:szCs w:val="22"/>
                <w:lang w:eastAsia="en-US"/>
              </w:rPr>
            </w:pPr>
            <w:r w:rsidRPr="00FD3FC3">
              <w:rPr>
                <w:rFonts w:eastAsia="Calibri"/>
                <w:sz w:val="22"/>
                <w:szCs w:val="22"/>
                <w:lang w:eastAsia="en-US"/>
              </w:rPr>
              <w:t>0</w:t>
            </w:r>
          </w:p>
        </w:tc>
        <w:tc>
          <w:tcPr>
            <w:tcW w:w="1429" w:type="dxa"/>
            <w:tcBorders>
              <w:top w:val="nil"/>
              <w:left w:val="single" w:sz="4" w:space="0" w:color="auto"/>
              <w:bottom w:val="nil"/>
              <w:right w:val="single" w:sz="4" w:space="0" w:color="auto"/>
            </w:tcBorders>
            <w:shd w:val="clear" w:color="auto" w:fill="auto"/>
          </w:tcPr>
          <w:p w14:paraId="0F6EEE5E" w14:textId="77777777" w:rsidR="00FD3FC3" w:rsidRPr="00FD3FC3" w:rsidRDefault="00FD3FC3" w:rsidP="008D29D8">
            <w:pPr>
              <w:autoSpaceDE w:val="0"/>
              <w:autoSpaceDN w:val="0"/>
              <w:adjustRightInd w:val="0"/>
              <w:ind w:right="113"/>
              <w:jc w:val="right"/>
              <w:rPr>
                <w:rFonts w:eastAsia="Calibri"/>
                <w:sz w:val="22"/>
                <w:szCs w:val="22"/>
                <w:lang w:eastAsia="en-US"/>
              </w:rPr>
            </w:pPr>
            <w:r w:rsidRPr="00FD3FC3">
              <w:rPr>
                <w:rFonts w:eastAsia="Calibri"/>
                <w:sz w:val="22"/>
                <w:szCs w:val="22"/>
                <w:lang w:eastAsia="en-US"/>
              </w:rPr>
              <w:t>—</w:t>
            </w:r>
          </w:p>
        </w:tc>
      </w:tr>
      <w:tr w:rsidR="00FD3FC3" w:rsidRPr="00FD3FC3" w14:paraId="3B2DABC3" w14:textId="77777777" w:rsidTr="00B96277">
        <w:trPr>
          <w:trHeight w:val="106"/>
          <w:jc w:val="center"/>
        </w:trPr>
        <w:tc>
          <w:tcPr>
            <w:tcW w:w="3284" w:type="dxa"/>
            <w:tcBorders>
              <w:top w:val="nil"/>
              <w:left w:val="single" w:sz="4" w:space="0" w:color="auto"/>
              <w:bottom w:val="nil"/>
              <w:right w:val="single" w:sz="4" w:space="0" w:color="auto"/>
            </w:tcBorders>
            <w:shd w:val="clear" w:color="auto" w:fill="auto"/>
            <w:vAlign w:val="center"/>
          </w:tcPr>
          <w:p w14:paraId="04A9E19C" w14:textId="77777777" w:rsidR="00FD3FC3" w:rsidRPr="00FD3FC3" w:rsidRDefault="00FD3FC3" w:rsidP="00FD3FC3">
            <w:pPr>
              <w:autoSpaceDE w:val="0"/>
              <w:autoSpaceDN w:val="0"/>
              <w:adjustRightInd w:val="0"/>
              <w:rPr>
                <w:rFonts w:eastAsia="Calibri"/>
                <w:sz w:val="22"/>
                <w:szCs w:val="22"/>
                <w:lang w:eastAsia="en-US"/>
              </w:rPr>
            </w:pPr>
            <w:r w:rsidRPr="00FD3FC3">
              <w:rPr>
                <w:rFonts w:eastAsia="Calibri"/>
                <w:sz w:val="22"/>
                <w:szCs w:val="22"/>
                <w:lang w:eastAsia="en-US"/>
              </w:rPr>
              <w:t>Publiseg</w:t>
            </w:r>
          </w:p>
        </w:tc>
        <w:tc>
          <w:tcPr>
            <w:tcW w:w="821" w:type="dxa"/>
            <w:tcBorders>
              <w:top w:val="nil"/>
              <w:left w:val="single" w:sz="4" w:space="0" w:color="auto"/>
              <w:bottom w:val="nil"/>
              <w:right w:val="single" w:sz="4" w:space="0" w:color="auto"/>
            </w:tcBorders>
            <w:shd w:val="clear" w:color="auto" w:fill="auto"/>
            <w:vAlign w:val="center"/>
          </w:tcPr>
          <w:p w14:paraId="0440D25A" w14:textId="77777777" w:rsidR="00FD3FC3" w:rsidRPr="00FD3FC3" w:rsidRDefault="00FD3FC3" w:rsidP="008D29D8">
            <w:pPr>
              <w:autoSpaceDE w:val="0"/>
              <w:autoSpaceDN w:val="0"/>
              <w:adjustRightInd w:val="0"/>
              <w:ind w:right="57"/>
              <w:jc w:val="right"/>
              <w:rPr>
                <w:rFonts w:eastAsia="Calibri"/>
                <w:sz w:val="22"/>
                <w:szCs w:val="22"/>
                <w:lang w:eastAsia="en-US"/>
              </w:rPr>
            </w:pPr>
            <w:r w:rsidRPr="00FD3FC3">
              <w:rPr>
                <w:rFonts w:eastAsia="Calibri"/>
                <w:sz w:val="22"/>
                <w:szCs w:val="22"/>
                <w:lang w:eastAsia="en-US"/>
              </w:rPr>
              <w:t>235</w:t>
            </w:r>
          </w:p>
        </w:tc>
        <w:tc>
          <w:tcPr>
            <w:tcW w:w="1021" w:type="dxa"/>
            <w:tcBorders>
              <w:top w:val="nil"/>
              <w:left w:val="single" w:sz="4" w:space="0" w:color="auto"/>
              <w:bottom w:val="nil"/>
              <w:right w:val="single" w:sz="4" w:space="0" w:color="auto"/>
            </w:tcBorders>
            <w:shd w:val="clear" w:color="auto" w:fill="auto"/>
          </w:tcPr>
          <w:p w14:paraId="45D26E68" w14:textId="77777777" w:rsidR="00FD3FC3" w:rsidRPr="00FD3FC3" w:rsidRDefault="00FD3FC3" w:rsidP="008D29D8">
            <w:pPr>
              <w:autoSpaceDE w:val="0"/>
              <w:autoSpaceDN w:val="0"/>
              <w:adjustRightInd w:val="0"/>
              <w:jc w:val="center"/>
              <w:rPr>
                <w:rFonts w:eastAsia="Calibri"/>
                <w:sz w:val="22"/>
                <w:szCs w:val="22"/>
                <w:lang w:eastAsia="en-US"/>
              </w:rPr>
            </w:pPr>
            <w:r w:rsidRPr="00FD3FC3">
              <w:rPr>
                <w:rFonts w:eastAsia="Calibri"/>
                <w:sz w:val="22"/>
                <w:szCs w:val="22"/>
                <w:lang w:eastAsia="en-US"/>
              </w:rPr>
              <w:t>66.7</w:t>
            </w:r>
          </w:p>
        </w:tc>
        <w:tc>
          <w:tcPr>
            <w:tcW w:w="1134" w:type="dxa"/>
            <w:tcBorders>
              <w:top w:val="nil"/>
              <w:left w:val="single" w:sz="4" w:space="0" w:color="auto"/>
              <w:bottom w:val="nil"/>
              <w:right w:val="single" w:sz="4" w:space="0" w:color="auto"/>
            </w:tcBorders>
            <w:shd w:val="clear" w:color="auto" w:fill="auto"/>
          </w:tcPr>
          <w:p w14:paraId="34E26FF6" w14:textId="77777777" w:rsidR="00FD3FC3" w:rsidRPr="00FD3FC3" w:rsidRDefault="00FD3FC3" w:rsidP="008D29D8">
            <w:pPr>
              <w:autoSpaceDE w:val="0"/>
              <w:autoSpaceDN w:val="0"/>
              <w:adjustRightInd w:val="0"/>
              <w:jc w:val="center"/>
              <w:rPr>
                <w:rFonts w:eastAsia="Calibri"/>
                <w:sz w:val="22"/>
                <w:szCs w:val="22"/>
                <w:lang w:eastAsia="en-US"/>
              </w:rPr>
            </w:pPr>
            <w:r w:rsidRPr="00FD3FC3">
              <w:rPr>
                <w:rFonts w:eastAsia="Calibri"/>
                <w:sz w:val="22"/>
                <w:szCs w:val="22"/>
                <w:lang w:eastAsia="en-US"/>
              </w:rPr>
              <w:t>7.4</w:t>
            </w:r>
          </w:p>
        </w:tc>
        <w:tc>
          <w:tcPr>
            <w:tcW w:w="996" w:type="dxa"/>
            <w:tcBorders>
              <w:top w:val="nil"/>
              <w:left w:val="single" w:sz="4" w:space="0" w:color="auto"/>
              <w:bottom w:val="nil"/>
              <w:right w:val="single" w:sz="4" w:space="0" w:color="auto"/>
            </w:tcBorders>
            <w:shd w:val="clear" w:color="auto" w:fill="auto"/>
          </w:tcPr>
          <w:p w14:paraId="6DEE0496" w14:textId="77777777" w:rsidR="00FD3FC3" w:rsidRPr="00FD3FC3" w:rsidRDefault="00FD3FC3" w:rsidP="008D29D8">
            <w:pPr>
              <w:autoSpaceDE w:val="0"/>
              <w:autoSpaceDN w:val="0"/>
              <w:adjustRightInd w:val="0"/>
              <w:ind w:right="113"/>
              <w:jc w:val="right"/>
              <w:rPr>
                <w:rFonts w:eastAsia="Calibri"/>
                <w:sz w:val="22"/>
                <w:szCs w:val="22"/>
                <w:lang w:eastAsia="en-US"/>
              </w:rPr>
            </w:pPr>
            <w:r w:rsidRPr="00FD3FC3">
              <w:rPr>
                <w:rFonts w:eastAsia="Calibri"/>
                <w:sz w:val="22"/>
                <w:szCs w:val="22"/>
                <w:lang w:eastAsia="en-US"/>
              </w:rPr>
              <w:t>0</w:t>
            </w:r>
          </w:p>
        </w:tc>
        <w:tc>
          <w:tcPr>
            <w:tcW w:w="1429" w:type="dxa"/>
            <w:tcBorders>
              <w:top w:val="nil"/>
              <w:left w:val="single" w:sz="4" w:space="0" w:color="auto"/>
              <w:bottom w:val="nil"/>
              <w:right w:val="single" w:sz="4" w:space="0" w:color="auto"/>
            </w:tcBorders>
            <w:shd w:val="clear" w:color="auto" w:fill="auto"/>
          </w:tcPr>
          <w:p w14:paraId="5F32CEA0" w14:textId="77777777" w:rsidR="00FD3FC3" w:rsidRPr="00FD3FC3" w:rsidRDefault="00FD3FC3" w:rsidP="008D29D8">
            <w:pPr>
              <w:autoSpaceDE w:val="0"/>
              <w:autoSpaceDN w:val="0"/>
              <w:adjustRightInd w:val="0"/>
              <w:ind w:right="113"/>
              <w:jc w:val="right"/>
              <w:rPr>
                <w:rFonts w:eastAsia="Calibri"/>
                <w:sz w:val="22"/>
                <w:szCs w:val="22"/>
                <w:lang w:eastAsia="en-US"/>
              </w:rPr>
            </w:pPr>
            <w:r w:rsidRPr="00FD3FC3">
              <w:rPr>
                <w:rFonts w:eastAsia="Calibri"/>
                <w:sz w:val="22"/>
                <w:szCs w:val="22"/>
                <w:lang w:eastAsia="en-US"/>
              </w:rPr>
              <w:t>—</w:t>
            </w:r>
          </w:p>
        </w:tc>
      </w:tr>
      <w:tr w:rsidR="00FD3FC3" w:rsidRPr="00FD3FC3" w14:paraId="601A8DD2" w14:textId="77777777" w:rsidTr="00B96277">
        <w:trPr>
          <w:trHeight w:val="106"/>
          <w:jc w:val="center"/>
        </w:trPr>
        <w:tc>
          <w:tcPr>
            <w:tcW w:w="3284" w:type="dxa"/>
            <w:tcBorders>
              <w:top w:val="nil"/>
              <w:left w:val="single" w:sz="4" w:space="0" w:color="auto"/>
              <w:bottom w:val="nil"/>
              <w:right w:val="single" w:sz="4" w:space="0" w:color="auto"/>
            </w:tcBorders>
            <w:shd w:val="clear" w:color="auto" w:fill="auto"/>
            <w:vAlign w:val="center"/>
          </w:tcPr>
          <w:p w14:paraId="6223374C" w14:textId="77777777" w:rsidR="00FD3FC3" w:rsidRPr="00FD3FC3" w:rsidRDefault="00FD3FC3" w:rsidP="00FD3FC3">
            <w:pPr>
              <w:autoSpaceDE w:val="0"/>
              <w:autoSpaceDN w:val="0"/>
              <w:adjustRightInd w:val="0"/>
              <w:rPr>
                <w:rFonts w:eastAsia="Calibri"/>
                <w:sz w:val="22"/>
                <w:szCs w:val="22"/>
                <w:lang w:eastAsia="en-US"/>
              </w:rPr>
            </w:pPr>
            <w:r w:rsidRPr="00FD3FC3">
              <w:rPr>
                <w:rFonts w:eastAsia="Calibri"/>
                <w:sz w:val="22"/>
                <w:szCs w:val="22"/>
                <w:lang w:eastAsia="en-US"/>
              </w:rPr>
              <w:t>Apoyo Económico Familiar</w:t>
            </w:r>
          </w:p>
        </w:tc>
        <w:tc>
          <w:tcPr>
            <w:tcW w:w="821" w:type="dxa"/>
            <w:tcBorders>
              <w:top w:val="nil"/>
              <w:left w:val="single" w:sz="4" w:space="0" w:color="auto"/>
              <w:bottom w:val="nil"/>
              <w:right w:val="single" w:sz="4" w:space="0" w:color="auto"/>
            </w:tcBorders>
            <w:shd w:val="clear" w:color="auto" w:fill="auto"/>
            <w:vAlign w:val="center"/>
          </w:tcPr>
          <w:p w14:paraId="7C0D482E" w14:textId="77777777" w:rsidR="00FD3FC3" w:rsidRPr="00FD3FC3" w:rsidRDefault="00FD3FC3" w:rsidP="008D29D8">
            <w:pPr>
              <w:autoSpaceDE w:val="0"/>
              <w:autoSpaceDN w:val="0"/>
              <w:adjustRightInd w:val="0"/>
              <w:ind w:right="57"/>
              <w:jc w:val="right"/>
              <w:rPr>
                <w:rFonts w:eastAsia="Calibri"/>
                <w:sz w:val="22"/>
                <w:szCs w:val="22"/>
                <w:lang w:eastAsia="en-US"/>
              </w:rPr>
            </w:pPr>
            <w:r w:rsidRPr="00FD3FC3">
              <w:rPr>
                <w:rFonts w:eastAsia="Calibri"/>
                <w:sz w:val="22"/>
                <w:szCs w:val="22"/>
                <w:lang w:eastAsia="en-US"/>
              </w:rPr>
              <w:t>212</w:t>
            </w:r>
          </w:p>
        </w:tc>
        <w:tc>
          <w:tcPr>
            <w:tcW w:w="1021" w:type="dxa"/>
            <w:tcBorders>
              <w:top w:val="nil"/>
              <w:left w:val="single" w:sz="4" w:space="0" w:color="auto"/>
              <w:bottom w:val="nil"/>
              <w:right w:val="single" w:sz="4" w:space="0" w:color="auto"/>
            </w:tcBorders>
            <w:shd w:val="clear" w:color="auto" w:fill="auto"/>
            <w:vAlign w:val="center"/>
          </w:tcPr>
          <w:p w14:paraId="24970A4B" w14:textId="77777777" w:rsidR="00FD3FC3" w:rsidRPr="00FD3FC3" w:rsidRDefault="00FD3FC3" w:rsidP="008D29D8">
            <w:pPr>
              <w:autoSpaceDE w:val="0"/>
              <w:autoSpaceDN w:val="0"/>
              <w:adjustRightInd w:val="0"/>
              <w:jc w:val="center"/>
              <w:rPr>
                <w:rFonts w:eastAsia="Calibri"/>
                <w:sz w:val="22"/>
                <w:szCs w:val="22"/>
                <w:lang w:eastAsia="en-US"/>
              </w:rPr>
            </w:pPr>
            <w:r w:rsidRPr="00FD3FC3">
              <w:rPr>
                <w:rFonts w:eastAsia="Calibri"/>
                <w:sz w:val="22"/>
                <w:szCs w:val="22"/>
                <w:lang w:eastAsia="en-US"/>
              </w:rPr>
              <w:t>26.1</w:t>
            </w:r>
          </w:p>
        </w:tc>
        <w:tc>
          <w:tcPr>
            <w:tcW w:w="1134" w:type="dxa"/>
            <w:tcBorders>
              <w:top w:val="nil"/>
              <w:left w:val="single" w:sz="4" w:space="0" w:color="auto"/>
              <w:bottom w:val="nil"/>
              <w:right w:val="single" w:sz="4" w:space="0" w:color="auto"/>
            </w:tcBorders>
            <w:shd w:val="clear" w:color="auto" w:fill="auto"/>
            <w:vAlign w:val="center"/>
          </w:tcPr>
          <w:p w14:paraId="5172A335" w14:textId="77777777" w:rsidR="00FD3FC3" w:rsidRPr="00FD3FC3" w:rsidRDefault="00FD3FC3" w:rsidP="008D29D8">
            <w:pPr>
              <w:autoSpaceDE w:val="0"/>
              <w:autoSpaceDN w:val="0"/>
              <w:adjustRightInd w:val="0"/>
              <w:jc w:val="center"/>
              <w:rPr>
                <w:rFonts w:eastAsia="Calibri"/>
                <w:sz w:val="22"/>
                <w:szCs w:val="22"/>
                <w:lang w:eastAsia="en-US"/>
              </w:rPr>
            </w:pPr>
            <w:r w:rsidRPr="00FD3FC3">
              <w:rPr>
                <w:rFonts w:eastAsia="Calibri"/>
                <w:sz w:val="22"/>
                <w:szCs w:val="22"/>
                <w:lang w:eastAsia="en-US"/>
              </w:rPr>
              <w:t>8.6</w:t>
            </w:r>
          </w:p>
        </w:tc>
        <w:tc>
          <w:tcPr>
            <w:tcW w:w="996" w:type="dxa"/>
            <w:tcBorders>
              <w:top w:val="nil"/>
              <w:left w:val="single" w:sz="4" w:space="0" w:color="auto"/>
              <w:bottom w:val="nil"/>
              <w:right w:val="single" w:sz="4" w:space="0" w:color="auto"/>
            </w:tcBorders>
            <w:shd w:val="clear" w:color="auto" w:fill="auto"/>
            <w:vAlign w:val="center"/>
          </w:tcPr>
          <w:p w14:paraId="35EBF86E" w14:textId="77777777" w:rsidR="00FD3FC3" w:rsidRPr="00FD3FC3" w:rsidRDefault="00FD3FC3" w:rsidP="008D29D8">
            <w:pPr>
              <w:autoSpaceDE w:val="0"/>
              <w:autoSpaceDN w:val="0"/>
              <w:adjustRightInd w:val="0"/>
              <w:ind w:right="113"/>
              <w:jc w:val="right"/>
              <w:rPr>
                <w:rFonts w:eastAsia="Calibri"/>
                <w:sz w:val="22"/>
                <w:szCs w:val="22"/>
                <w:lang w:eastAsia="en-US"/>
              </w:rPr>
            </w:pPr>
            <w:r w:rsidRPr="00FD3FC3">
              <w:rPr>
                <w:rFonts w:eastAsia="Calibri"/>
                <w:sz w:val="22"/>
                <w:szCs w:val="22"/>
                <w:lang w:eastAsia="en-US"/>
              </w:rPr>
              <w:t>1</w:t>
            </w:r>
          </w:p>
        </w:tc>
        <w:tc>
          <w:tcPr>
            <w:tcW w:w="1429" w:type="dxa"/>
            <w:tcBorders>
              <w:top w:val="nil"/>
              <w:left w:val="single" w:sz="4" w:space="0" w:color="auto"/>
              <w:bottom w:val="nil"/>
              <w:right w:val="single" w:sz="4" w:space="0" w:color="auto"/>
            </w:tcBorders>
            <w:shd w:val="clear" w:color="auto" w:fill="auto"/>
            <w:vAlign w:val="center"/>
          </w:tcPr>
          <w:p w14:paraId="38A65513" w14:textId="77777777" w:rsidR="00FD3FC3" w:rsidRPr="00FD3FC3" w:rsidRDefault="00FD3FC3" w:rsidP="008D29D8">
            <w:pPr>
              <w:autoSpaceDE w:val="0"/>
              <w:autoSpaceDN w:val="0"/>
              <w:adjustRightInd w:val="0"/>
              <w:ind w:right="113"/>
              <w:jc w:val="right"/>
              <w:rPr>
                <w:rFonts w:eastAsia="Calibri"/>
                <w:sz w:val="22"/>
                <w:szCs w:val="22"/>
                <w:lang w:eastAsia="en-US"/>
              </w:rPr>
            </w:pPr>
            <w:r w:rsidRPr="00FD3FC3">
              <w:rPr>
                <w:rFonts w:eastAsia="Calibri"/>
                <w:sz w:val="22"/>
                <w:szCs w:val="22"/>
                <w:lang w:eastAsia="en-US"/>
              </w:rPr>
              <w:t>1 349</w:t>
            </w:r>
          </w:p>
        </w:tc>
      </w:tr>
      <w:tr w:rsidR="00FD3FC3" w:rsidRPr="00FD3FC3" w14:paraId="20213FCF" w14:textId="77777777" w:rsidTr="00B96277">
        <w:trPr>
          <w:trHeight w:val="106"/>
          <w:jc w:val="center"/>
        </w:trPr>
        <w:tc>
          <w:tcPr>
            <w:tcW w:w="3284" w:type="dxa"/>
            <w:tcBorders>
              <w:top w:val="nil"/>
              <w:left w:val="single" w:sz="4" w:space="0" w:color="auto"/>
              <w:bottom w:val="nil"/>
              <w:right w:val="single" w:sz="4" w:space="0" w:color="auto"/>
            </w:tcBorders>
            <w:shd w:val="clear" w:color="auto" w:fill="auto"/>
            <w:vAlign w:val="center"/>
          </w:tcPr>
          <w:p w14:paraId="75BF9BE9" w14:textId="77777777" w:rsidR="00FD3FC3" w:rsidRPr="00FD3FC3" w:rsidRDefault="00FD3FC3" w:rsidP="00FD3FC3">
            <w:pPr>
              <w:autoSpaceDE w:val="0"/>
              <w:autoSpaceDN w:val="0"/>
              <w:adjustRightInd w:val="0"/>
              <w:rPr>
                <w:rFonts w:eastAsia="Calibri"/>
                <w:sz w:val="22"/>
                <w:szCs w:val="22"/>
                <w:lang w:eastAsia="en-US"/>
              </w:rPr>
            </w:pPr>
            <w:r w:rsidRPr="00FD3FC3">
              <w:rPr>
                <w:rFonts w:eastAsia="Calibri"/>
                <w:sz w:val="22"/>
                <w:szCs w:val="22"/>
                <w:lang w:eastAsia="en-US"/>
              </w:rPr>
              <w:t>Compañía Comercial Comernova</w:t>
            </w:r>
          </w:p>
        </w:tc>
        <w:tc>
          <w:tcPr>
            <w:tcW w:w="821" w:type="dxa"/>
            <w:tcBorders>
              <w:top w:val="nil"/>
              <w:left w:val="single" w:sz="4" w:space="0" w:color="auto"/>
              <w:bottom w:val="nil"/>
              <w:right w:val="single" w:sz="4" w:space="0" w:color="auto"/>
            </w:tcBorders>
            <w:shd w:val="clear" w:color="auto" w:fill="auto"/>
            <w:vAlign w:val="center"/>
          </w:tcPr>
          <w:p w14:paraId="52CD25B1" w14:textId="77777777" w:rsidR="00FD3FC3" w:rsidRPr="00FD3FC3" w:rsidRDefault="00FD3FC3" w:rsidP="008D29D8">
            <w:pPr>
              <w:autoSpaceDE w:val="0"/>
              <w:autoSpaceDN w:val="0"/>
              <w:adjustRightInd w:val="0"/>
              <w:ind w:right="57"/>
              <w:jc w:val="right"/>
              <w:rPr>
                <w:rFonts w:eastAsia="Calibri"/>
                <w:sz w:val="22"/>
                <w:szCs w:val="22"/>
                <w:lang w:eastAsia="en-US"/>
              </w:rPr>
            </w:pPr>
            <w:r w:rsidRPr="00FD3FC3">
              <w:rPr>
                <w:rFonts w:eastAsia="Calibri"/>
                <w:sz w:val="22"/>
                <w:szCs w:val="22"/>
                <w:lang w:eastAsia="en-US"/>
              </w:rPr>
              <w:t>181</w:t>
            </w:r>
          </w:p>
        </w:tc>
        <w:tc>
          <w:tcPr>
            <w:tcW w:w="1021" w:type="dxa"/>
            <w:tcBorders>
              <w:top w:val="nil"/>
              <w:left w:val="single" w:sz="4" w:space="0" w:color="auto"/>
              <w:bottom w:val="nil"/>
              <w:right w:val="single" w:sz="4" w:space="0" w:color="auto"/>
            </w:tcBorders>
            <w:shd w:val="clear" w:color="auto" w:fill="auto"/>
            <w:vAlign w:val="center"/>
          </w:tcPr>
          <w:p w14:paraId="232BCE72" w14:textId="77777777" w:rsidR="00FD3FC3" w:rsidRPr="00FD3FC3" w:rsidRDefault="00FD3FC3" w:rsidP="008D29D8">
            <w:pPr>
              <w:autoSpaceDE w:val="0"/>
              <w:autoSpaceDN w:val="0"/>
              <w:adjustRightInd w:val="0"/>
              <w:jc w:val="center"/>
              <w:rPr>
                <w:rFonts w:eastAsia="Calibri"/>
                <w:sz w:val="22"/>
                <w:szCs w:val="22"/>
                <w:lang w:eastAsia="en-US"/>
              </w:rPr>
            </w:pPr>
            <w:r w:rsidRPr="00FD3FC3">
              <w:rPr>
                <w:rFonts w:eastAsia="Calibri"/>
                <w:sz w:val="22"/>
                <w:szCs w:val="22"/>
                <w:lang w:eastAsia="en-US"/>
              </w:rPr>
              <w:t>45.0</w:t>
            </w:r>
          </w:p>
        </w:tc>
        <w:tc>
          <w:tcPr>
            <w:tcW w:w="1134" w:type="dxa"/>
            <w:tcBorders>
              <w:top w:val="nil"/>
              <w:left w:val="single" w:sz="4" w:space="0" w:color="auto"/>
              <w:bottom w:val="nil"/>
              <w:right w:val="single" w:sz="4" w:space="0" w:color="auto"/>
            </w:tcBorders>
            <w:shd w:val="clear" w:color="auto" w:fill="auto"/>
            <w:vAlign w:val="center"/>
          </w:tcPr>
          <w:p w14:paraId="629BA867" w14:textId="77777777" w:rsidR="00FD3FC3" w:rsidRPr="00FD3FC3" w:rsidRDefault="00FD3FC3" w:rsidP="008D29D8">
            <w:pPr>
              <w:autoSpaceDE w:val="0"/>
              <w:autoSpaceDN w:val="0"/>
              <w:adjustRightInd w:val="0"/>
              <w:jc w:val="center"/>
              <w:rPr>
                <w:rFonts w:eastAsia="Calibri"/>
                <w:sz w:val="22"/>
                <w:szCs w:val="22"/>
                <w:lang w:eastAsia="en-US"/>
              </w:rPr>
            </w:pPr>
            <w:r w:rsidRPr="00FD3FC3">
              <w:rPr>
                <w:rFonts w:eastAsia="Calibri"/>
                <w:sz w:val="22"/>
                <w:szCs w:val="22"/>
                <w:lang w:eastAsia="en-US"/>
              </w:rPr>
              <w:t>9.1</w:t>
            </w:r>
          </w:p>
        </w:tc>
        <w:tc>
          <w:tcPr>
            <w:tcW w:w="996" w:type="dxa"/>
            <w:tcBorders>
              <w:top w:val="nil"/>
              <w:left w:val="single" w:sz="4" w:space="0" w:color="auto"/>
              <w:bottom w:val="nil"/>
              <w:right w:val="single" w:sz="4" w:space="0" w:color="auto"/>
            </w:tcBorders>
            <w:shd w:val="clear" w:color="auto" w:fill="auto"/>
            <w:vAlign w:val="center"/>
          </w:tcPr>
          <w:p w14:paraId="08987214" w14:textId="77777777" w:rsidR="00FD3FC3" w:rsidRPr="00FD3FC3" w:rsidRDefault="00FD3FC3" w:rsidP="008D29D8">
            <w:pPr>
              <w:autoSpaceDE w:val="0"/>
              <w:autoSpaceDN w:val="0"/>
              <w:adjustRightInd w:val="0"/>
              <w:ind w:right="113"/>
              <w:jc w:val="right"/>
              <w:rPr>
                <w:rFonts w:eastAsia="Calibri"/>
                <w:sz w:val="22"/>
                <w:szCs w:val="22"/>
                <w:lang w:eastAsia="en-US"/>
              </w:rPr>
            </w:pPr>
            <w:r w:rsidRPr="00FD3FC3">
              <w:rPr>
                <w:rFonts w:eastAsia="Calibri"/>
                <w:sz w:val="22"/>
                <w:szCs w:val="22"/>
                <w:lang w:eastAsia="en-US"/>
              </w:rPr>
              <w:t>0</w:t>
            </w:r>
          </w:p>
        </w:tc>
        <w:tc>
          <w:tcPr>
            <w:tcW w:w="1429" w:type="dxa"/>
            <w:tcBorders>
              <w:top w:val="nil"/>
              <w:left w:val="single" w:sz="4" w:space="0" w:color="auto"/>
              <w:bottom w:val="nil"/>
              <w:right w:val="single" w:sz="4" w:space="0" w:color="auto"/>
            </w:tcBorders>
            <w:shd w:val="clear" w:color="auto" w:fill="auto"/>
            <w:vAlign w:val="center"/>
          </w:tcPr>
          <w:p w14:paraId="5B5D2A01" w14:textId="77777777" w:rsidR="00FD3FC3" w:rsidRPr="00FD3FC3" w:rsidRDefault="00FD3FC3" w:rsidP="008D29D8">
            <w:pPr>
              <w:autoSpaceDE w:val="0"/>
              <w:autoSpaceDN w:val="0"/>
              <w:adjustRightInd w:val="0"/>
              <w:ind w:right="113"/>
              <w:jc w:val="right"/>
              <w:rPr>
                <w:rFonts w:eastAsia="Calibri"/>
                <w:sz w:val="22"/>
                <w:szCs w:val="22"/>
                <w:lang w:eastAsia="en-US"/>
              </w:rPr>
            </w:pPr>
            <w:r w:rsidRPr="00FD3FC3">
              <w:rPr>
                <w:rFonts w:eastAsia="Calibri"/>
                <w:sz w:val="22"/>
                <w:szCs w:val="22"/>
                <w:lang w:eastAsia="en-US"/>
              </w:rPr>
              <w:t>—</w:t>
            </w:r>
          </w:p>
        </w:tc>
      </w:tr>
      <w:tr w:rsidR="00FD3FC3" w:rsidRPr="00FD3FC3" w14:paraId="4C230A22" w14:textId="77777777" w:rsidTr="00B96277">
        <w:trPr>
          <w:trHeight w:val="106"/>
          <w:jc w:val="center"/>
        </w:trPr>
        <w:tc>
          <w:tcPr>
            <w:tcW w:w="3284" w:type="dxa"/>
            <w:tcBorders>
              <w:top w:val="nil"/>
              <w:left w:val="single" w:sz="4" w:space="0" w:color="auto"/>
              <w:bottom w:val="nil"/>
              <w:right w:val="single" w:sz="4" w:space="0" w:color="auto"/>
            </w:tcBorders>
            <w:shd w:val="clear" w:color="auto" w:fill="auto"/>
            <w:vAlign w:val="center"/>
          </w:tcPr>
          <w:p w14:paraId="36999AB4" w14:textId="77777777" w:rsidR="00FD3FC3" w:rsidRPr="00FD3FC3" w:rsidRDefault="00FD3FC3" w:rsidP="00FD3FC3">
            <w:pPr>
              <w:autoSpaceDE w:val="0"/>
              <w:autoSpaceDN w:val="0"/>
              <w:adjustRightInd w:val="0"/>
              <w:rPr>
                <w:rFonts w:eastAsia="Calibri"/>
                <w:sz w:val="22"/>
                <w:szCs w:val="22"/>
                <w:lang w:eastAsia="en-US"/>
              </w:rPr>
            </w:pPr>
            <w:r w:rsidRPr="00FD3FC3">
              <w:rPr>
                <w:rFonts w:eastAsia="Calibri"/>
                <w:sz w:val="22"/>
                <w:szCs w:val="22"/>
                <w:lang w:eastAsia="en-US"/>
              </w:rPr>
              <w:t>Hipotecaria Su Casita</w:t>
            </w:r>
          </w:p>
        </w:tc>
        <w:tc>
          <w:tcPr>
            <w:tcW w:w="821" w:type="dxa"/>
            <w:tcBorders>
              <w:top w:val="nil"/>
              <w:left w:val="single" w:sz="4" w:space="0" w:color="auto"/>
              <w:bottom w:val="nil"/>
              <w:right w:val="single" w:sz="4" w:space="0" w:color="auto"/>
            </w:tcBorders>
            <w:shd w:val="clear" w:color="auto" w:fill="auto"/>
            <w:vAlign w:val="center"/>
          </w:tcPr>
          <w:p w14:paraId="3DD0AF34" w14:textId="77777777" w:rsidR="00FD3FC3" w:rsidRPr="00FD3FC3" w:rsidRDefault="00FD3FC3" w:rsidP="008D29D8">
            <w:pPr>
              <w:autoSpaceDE w:val="0"/>
              <w:autoSpaceDN w:val="0"/>
              <w:adjustRightInd w:val="0"/>
              <w:ind w:right="57"/>
              <w:jc w:val="right"/>
              <w:rPr>
                <w:rFonts w:eastAsia="Calibri"/>
                <w:sz w:val="22"/>
                <w:szCs w:val="22"/>
                <w:lang w:eastAsia="en-US"/>
              </w:rPr>
            </w:pPr>
            <w:r w:rsidRPr="00FD3FC3">
              <w:rPr>
                <w:rFonts w:eastAsia="Calibri"/>
                <w:sz w:val="22"/>
                <w:szCs w:val="22"/>
                <w:lang w:eastAsia="en-US"/>
              </w:rPr>
              <w:t>176</w:t>
            </w:r>
          </w:p>
        </w:tc>
        <w:tc>
          <w:tcPr>
            <w:tcW w:w="1021" w:type="dxa"/>
            <w:tcBorders>
              <w:top w:val="nil"/>
              <w:left w:val="single" w:sz="4" w:space="0" w:color="auto"/>
              <w:bottom w:val="nil"/>
              <w:right w:val="single" w:sz="4" w:space="0" w:color="auto"/>
            </w:tcBorders>
            <w:shd w:val="clear" w:color="auto" w:fill="auto"/>
            <w:vAlign w:val="center"/>
          </w:tcPr>
          <w:p w14:paraId="09DE2022" w14:textId="77777777" w:rsidR="00FD3FC3" w:rsidRPr="00FD3FC3" w:rsidRDefault="00FD3FC3" w:rsidP="008D29D8">
            <w:pPr>
              <w:autoSpaceDE w:val="0"/>
              <w:autoSpaceDN w:val="0"/>
              <w:adjustRightInd w:val="0"/>
              <w:jc w:val="center"/>
              <w:rPr>
                <w:rFonts w:eastAsia="Calibri"/>
                <w:sz w:val="22"/>
                <w:szCs w:val="22"/>
                <w:lang w:eastAsia="en-US"/>
              </w:rPr>
            </w:pPr>
            <w:r w:rsidRPr="00FD3FC3">
              <w:rPr>
                <w:rFonts w:eastAsia="Calibri"/>
                <w:sz w:val="22"/>
                <w:szCs w:val="22"/>
                <w:lang w:eastAsia="en-US"/>
              </w:rPr>
              <w:t>17.0</w:t>
            </w:r>
          </w:p>
        </w:tc>
        <w:tc>
          <w:tcPr>
            <w:tcW w:w="1134" w:type="dxa"/>
            <w:tcBorders>
              <w:top w:val="nil"/>
              <w:left w:val="single" w:sz="4" w:space="0" w:color="auto"/>
              <w:bottom w:val="nil"/>
              <w:right w:val="single" w:sz="4" w:space="0" w:color="auto"/>
            </w:tcBorders>
            <w:shd w:val="clear" w:color="auto" w:fill="auto"/>
            <w:vAlign w:val="center"/>
          </w:tcPr>
          <w:p w14:paraId="29835B58" w14:textId="77777777" w:rsidR="00FD3FC3" w:rsidRPr="00FD3FC3" w:rsidRDefault="00FD3FC3" w:rsidP="008D29D8">
            <w:pPr>
              <w:autoSpaceDE w:val="0"/>
              <w:autoSpaceDN w:val="0"/>
              <w:adjustRightInd w:val="0"/>
              <w:jc w:val="center"/>
              <w:rPr>
                <w:rFonts w:eastAsia="Calibri"/>
                <w:sz w:val="22"/>
                <w:szCs w:val="22"/>
                <w:lang w:eastAsia="en-US"/>
              </w:rPr>
            </w:pPr>
            <w:r w:rsidRPr="00FD3FC3">
              <w:rPr>
                <w:rFonts w:eastAsia="Calibri"/>
                <w:sz w:val="22"/>
                <w:szCs w:val="22"/>
                <w:lang w:eastAsia="en-US"/>
              </w:rPr>
              <w:t>7.8</w:t>
            </w:r>
          </w:p>
        </w:tc>
        <w:tc>
          <w:tcPr>
            <w:tcW w:w="996" w:type="dxa"/>
            <w:tcBorders>
              <w:top w:val="nil"/>
              <w:left w:val="single" w:sz="4" w:space="0" w:color="auto"/>
              <w:bottom w:val="nil"/>
              <w:right w:val="single" w:sz="4" w:space="0" w:color="auto"/>
            </w:tcBorders>
            <w:shd w:val="clear" w:color="auto" w:fill="auto"/>
            <w:vAlign w:val="center"/>
          </w:tcPr>
          <w:p w14:paraId="2F541224" w14:textId="77777777" w:rsidR="00FD3FC3" w:rsidRPr="00FD3FC3" w:rsidRDefault="00FD3FC3" w:rsidP="008D29D8">
            <w:pPr>
              <w:autoSpaceDE w:val="0"/>
              <w:autoSpaceDN w:val="0"/>
              <w:adjustRightInd w:val="0"/>
              <w:ind w:right="113"/>
              <w:jc w:val="right"/>
              <w:rPr>
                <w:rFonts w:eastAsia="Calibri"/>
                <w:sz w:val="22"/>
                <w:szCs w:val="22"/>
                <w:lang w:eastAsia="en-US"/>
              </w:rPr>
            </w:pPr>
            <w:r w:rsidRPr="00FD3FC3">
              <w:rPr>
                <w:rFonts w:eastAsia="Calibri"/>
                <w:sz w:val="22"/>
                <w:szCs w:val="22"/>
                <w:lang w:eastAsia="en-US"/>
              </w:rPr>
              <w:t>2</w:t>
            </w:r>
          </w:p>
        </w:tc>
        <w:tc>
          <w:tcPr>
            <w:tcW w:w="1429" w:type="dxa"/>
            <w:tcBorders>
              <w:top w:val="nil"/>
              <w:left w:val="single" w:sz="4" w:space="0" w:color="auto"/>
              <w:bottom w:val="nil"/>
              <w:right w:val="single" w:sz="4" w:space="0" w:color="auto"/>
            </w:tcBorders>
            <w:shd w:val="clear" w:color="auto" w:fill="auto"/>
            <w:vAlign w:val="center"/>
          </w:tcPr>
          <w:p w14:paraId="4748BA62" w14:textId="77777777" w:rsidR="00FD3FC3" w:rsidRPr="00FD3FC3" w:rsidRDefault="00FD3FC3" w:rsidP="008D29D8">
            <w:pPr>
              <w:autoSpaceDE w:val="0"/>
              <w:autoSpaceDN w:val="0"/>
              <w:adjustRightInd w:val="0"/>
              <w:ind w:right="113"/>
              <w:jc w:val="right"/>
              <w:rPr>
                <w:rFonts w:eastAsia="Calibri"/>
                <w:sz w:val="22"/>
                <w:szCs w:val="22"/>
                <w:lang w:eastAsia="en-US"/>
              </w:rPr>
            </w:pPr>
            <w:r w:rsidRPr="00FD3FC3">
              <w:rPr>
                <w:rFonts w:eastAsia="Calibri"/>
                <w:sz w:val="22"/>
                <w:szCs w:val="22"/>
                <w:lang w:eastAsia="en-US"/>
              </w:rPr>
              <w:t>49 122</w:t>
            </w:r>
          </w:p>
        </w:tc>
      </w:tr>
      <w:tr w:rsidR="00FD3FC3" w:rsidRPr="00FD3FC3" w14:paraId="11E5F22F" w14:textId="77777777" w:rsidTr="00B96277">
        <w:trPr>
          <w:trHeight w:val="106"/>
          <w:jc w:val="center"/>
        </w:trPr>
        <w:tc>
          <w:tcPr>
            <w:tcW w:w="3284" w:type="dxa"/>
            <w:tcBorders>
              <w:top w:val="nil"/>
              <w:left w:val="single" w:sz="4" w:space="0" w:color="auto"/>
              <w:bottom w:val="nil"/>
              <w:right w:val="single" w:sz="4" w:space="0" w:color="auto"/>
            </w:tcBorders>
            <w:shd w:val="clear" w:color="auto" w:fill="auto"/>
            <w:vAlign w:val="center"/>
          </w:tcPr>
          <w:p w14:paraId="77488D98" w14:textId="77777777" w:rsidR="00FD3FC3" w:rsidRPr="00FD3FC3" w:rsidRDefault="00FD3FC3" w:rsidP="00FD3FC3">
            <w:pPr>
              <w:autoSpaceDE w:val="0"/>
              <w:autoSpaceDN w:val="0"/>
              <w:adjustRightInd w:val="0"/>
              <w:rPr>
                <w:rFonts w:eastAsia="Calibri"/>
                <w:sz w:val="22"/>
                <w:szCs w:val="22"/>
                <w:lang w:eastAsia="en-US"/>
              </w:rPr>
            </w:pPr>
            <w:r w:rsidRPr="00FD3FC3">
              <w:rPr>
                <w:rFonts w:eastAsia="Calibri"/>
                <w:sz w:val="22"/>
                <w:szCs w:val="22"/>
                <w:lang w:eastAsia="en-US"/>
              </w:rPr>
              <w:t>BNP Paribas Personal FInance</w:t>
            </w:r>
          </w:p>
        </w:tc>
        <w:tc>
          <w:tcPr>
            <w:tcW w:w="821" w:type="dxa"/>
            <w:tcBorders>
              <w:top w:val="nil"/>
              <w:left w:val="single" w:sz="4" w:space="0" w:color="auto"/>
              <w:bottom w:val="nil"/>
              <w:right w:val="single" w:sz="4" w:space="0" w:color="auto"/>
            </w:tcBorders>
            <w:shd w:val="clear" w:color="auto" w:fill="auto"/>
            <w:vAlign w:val="center"/>
          </w:tcPr>
          <w:p w14:paraId="356CF8DB" w14:textId="77777777" w:rsidR="00FD3FC3" w:rsidRPr="00FD3FC3" w:rsidRDefault="00FD3FC3" w:rsidP="008D29D8">
            <w:pPr>
              <w:autoSpaceDE w:val="0"/>
              <w:autoSpaceDN w:val="0"/>
              <w:adjustRightInd w:val="0"/>
              <w:ind w:right="57"/>
              <w:jc w:val="right"/>
              <w:rPr>
                <w:rFonts w:eastAsia="Calibri"/>
                <w:sz w:val="22"/>
                <w:szCs w:val="22"/>
                <w:lang w:eastAsia="en-US"/>
              </w:rPr>
            </w:pPr>
            <w:r w:rsidRPr="00FD3FC3">
              <w:rPr>
                <w:rFonts w:eastAsia="Calibri"/>
                <w:sz w:val="22"/>
                <w:szCs w:val="22"/>
                <w:lang w:eastAsia="en-US"/>
              </w:rPr>
              <w:t>163</w:t>
            </w:r>
          </w:p>
        </w:tc>
        <w:tc>
          <w:tcPr>
            <w:tcW w:w="1021" w:type="dxa"/>
            <w:tcBorders>
              <w:top w:val="nil"/>
              <w:left w:val="single" w:sz="4" w:space="0" w:color="auto"/>
              <w:bottom w:val="nil"/>
              <w:right w:val="single" w:sz="4" w:space="0" w:color="auto"/>
            </w:tcBorders>
            <w:shd w:val="clear" w:color="auto" w:fill="auto"/>
            <w:vAlign w:val="center"/>
          </w:tcPr>
          <w:p w14:paraId="3093AE1F" w14:textId="77777777" w:rsidR="00FD3FC3" w:rsidRPr="00FD3FC3" w:rsidRDefault="00FD3FC3" w:rsidP="008D29D8">
            <w:pPr>
              <w:autoSpaceDE w:val="0"/>
              <w:autoSpaceDN w:val="0"/>
              <w:adjustRightInd w:val="0"/>
              <w:jc w:val="center"/>
              <w:rPr>
                <w:rFonts w:eastAsia="Calibri"/>
                <w:sz w:val="22"/>
                <w:szCs w:val="22"/>
                <w:lang w:eastAsia="en-US"/>
              </w:rPr>
            </w:pPr>
            <w:r w:rsidRPr="00FD3FC3">
              <w:rPr>
                <w:rFonts w:eastAsia="Calibri"/>
                <w:sz w:val="22"/>
                <w:szCs w:val="22"/>
                <w:lang w:eastAsia="en-US"/>
              </w:rPr>
              <w:t>37.2</w:t>
            </w:r>
          </w:p>
        </w:tc>
        <w:tc>
          <w:tcPr>
            <w:tcW w:w="1134" w:type="dxa"/>
            <w:tcBorders>
              <w:top w:val="nil"/>
              <w:left w:val="single" w:sz="4" w:space="0" w:color="auto"/>
              <w:bottom w:val="nil"/>
              <w:right w:val="single" w:sz="4" w:space="0" w:color="auto"/>
            </w:tcBorders>
            <w:shd w:val="clear" w:color="auto" w:fill="auto"/>
            <w:vAlign w:val="center"/>
          </w:tcPr>
          <w:p w14:paraId="2C8B9675" w14:textId="77777777" w:rsidR="00FD3FC3" w:rsidRPr="00FD3FC3" w:rsidRDefault="00FD3FC3" w:rsidP="008D29D8">
            <w:pPr>
              <w:autoSpaceDE w:val="0"/>
              <w:autoSpaceDN w:val="0"/>
              <w:adjustRightInd w:val="0"/>
              <w:jc w:val="center"/>
              <w:rPr>
                <w:rFonts w:eastAsia="Calibri"/>
                <w:sz w:val="22"/>
                <w:szCs w:val="22"/>
                <w:lang w:eastAsia="en-US"/>
              </w:rPr>
            </w:pPr>
            <w:r w:rsidRPr="00FD3FC3">
              <w:rPr>
                <w:rFonts w:eastAsia="Calibri"/>
                <w:sz w:val="22"/>
                <w:szCs w:val="22"/>
                <w:lang w:eastAsia="en-US"/>
              </w:rPr>
              <w:t>7.5</w:t>
            </w:r>
          </w:p>
        </w:tc>
        <w:tc>
          <w:tcPr>
            <w:tcW w:w="996" w:type="dxa"/>
            <w:tcBorders>
              <w:top w:val="nil"/>
              <w:left w:val="single" w:sz="4" w:space="0" w:color="auto"/>
              <w:bottom w:val="nil"/>
              <w:right w:val="single" w:sz="4" w:space="0" w:color="auto"/>
            </w:tcBorders>
            <w:shd w:val="clear" w:color="auto" w:fill="auto"/>
            <w:vAlign w:val="center"/>
          </w:tcPr>
          <w:p w14:paraId="0217CD04" w14:textId="77777777" w:rsidR="00FD3FC3" w:rsidRPr="00FD3FC3" w:rsidRDefault="00FD3FC3" w:rsidP="008D29D8">
            <w:pPr>
              <w:autoSpaceDE w:val="0"/>
              <w:autoSpaceDN w:val="0"/>
              <w:adjustRightInd w:val="0"/>
              <w:ind w:right="113"/>
              <w:jc w:val="right"/>
              <w:rPr>
                <w:rFonts w:eastAsia="Calibri"/>
                <w:sz w:val="22"/>
                <w:szCs w:val="22"/>
                <w:lang w:eastAsia="en-US"/>
              </w:rPr>
            </w:pPr>
            <w:r w:rsidRPr="00FD3FC3">
              <w:rPr>
                <w:rFonts w:eastAsia="Calibri"/>
                <w:sz w:val="22"/>
                <w:szCs w:val="22"/>
                <w:lang w:eastAsia="en-US"/>
              </w:rPr>
              <w:t>7</w:t>
            </w:r>
          </w:p>
        </w:tc>
        <w:tc>
          <w:tcPr>
            <w:tcW w:w="1429" w:type="dxa"/>
            <w:tcBorders>
              <w:top w:val="nil"/>
              <w:left w:val="single" w:sz="4" w:space="0" w:color="auto"/>
              <w:bottom w:val="nil"/>
              <w:right w:val="single" w:sz="4" w:space="0" w:color="auto"/>
            </w:tcBorders>
            <w:shd w:val="clear" w:color="auto" w:fill="auto"/>
            <w:vAlign w:val="center"/>
          </w:tcPr>
          <w:p w14:paraId="6620C301" w14:textId="77777777" w:rsidR="00FD3FC3" w:rsidRPr="00FD3FC3" w:rsidRDefault="00FD3FC3" w:rsidP="008D29D8">
            <w:pPr>
              <w:autoSpaceDE w:val="0"/>
              <w:autoSpaceDN w:val="0"/>
              <w:adjustRightInd w:val="0"/>
              <w:ind w:right="113"/>
              <w:jc w:val="right"/>
              <w:rPr>
                <w:rFonts w:eastAsia="Calibri"/>
                <w:sz w:val="22"/>
                <w:szCs w:val="22"/>
                <w:lang w:eastAsia="en-US"/>
              </w:rPr>
            </w:pPr>
            <w:r w:rsidRPr="00FD3FC3">
              <w:rPr>
                <w:rFonts w:eastAsia="Calibri"/>
                <w:sz w:val="22"/>
                <w:szCs w:val="22"/>
                <w:lang w:eastAsia="en-US"/>
              </w:rPr>
              <w:t>191 968</w:t>
            </w:r>
          </w:p>
        </w:tc>
      </w:tr>
      <w:tr w:rsidR="00FD3FC3" w:rsidRPr="00FD3FC3" w14:paraId="31AE5057" w14:textId="77777777" w:rsidTr="00B96277">
        <w:trPr>
          <w:trHeight w:val="106"/>
          <w:jc w:val="center"/>
        </w:trPr>
        <w:tc>
          <w:tcPr>
            <w:tcW w:w="3284" w:type="dxa"/>
            <w:tcBorders>
              <w:top w:val="nil"/>
              <w:left w:val="single" w:sz="4" w:space="0" w:color="auto"/>
              <w:bottom w:val="nil"/>
              <w:right w:val="single" w:sz="4" w:space="0" w:color="auto"/>
            </w:tcBorders>
            <w:shd w:val="clear" w:color="auto" w:fill="auto"/>
            <w:vAlign w:val="center"/>
          </w:tcPr>
          <w:p w14:paraId="3D88A002" w14:textId="77777777" w:rsidR="00FD3FC3" w:rsidRPr="00FD3FC3" w:rsidRDefault="00FD3FC3" w:rsidP="00FD3FC3">
            <w:pPr>
              <w:autoSpaceDE w:val="0"/>
              <w:autoSpaceDN w:val="0"/>
              <w:adjustRightInd w:val="0"/>
              <w:rPr>
                <w:rFonts w:eastAsia="Calibri"/>
                <w:sz w:val="22"/>
                <w:szCs w:val="22"/>
                <w:lang w:eastAsia="en-US"/>
              </w:rPr>
            </w:pPr>
            <w:r w:rsidRPr="00FD3FC3">
              <w:rPr>
                <w:rFonts w:eastAsia="Calibri"/>
                <w:sz w:val="22"/>
                <w:szCs w:val="22"/>
                <w:lang w:eastAsia="en-US"/>
              </w:rPr>
              <w:t>Ford Credit de México</w:t>
            </w:r>
          </w:p>
        </w:tc>
        <w:tc>
          <w:tcPr>
            <w:tcW w:w="821" w:type="dxa"/>
            <w:tcBorders>
              <w:top w:val="nil"/>
              <w:left w:val="single" w:sz="4" w:space="0" w:color="auto"/>
              <w:bottom w:val="nil"/>
              <w:right w:val="single" w:sz="4" w:space="0" w:color="auto"/>
            </w:tcBorders>
            <w:shd w:val="clear" w:color="auto" w:fill="auto"/>
            <w:vAlign w:val="center"/>
          </w:tcPr>
          <w:p w14:paraId="3D6F49A3" w14:textId="77777777" w:rsidR="00FD3FC3" w:rsidRPr="00FD3FC3" w:rsidRDefault="00FD3FC3" w:rsidP="008D29D8">
            <w:pPr>
              <w:autoSpaceDE w:val="0"/>
              <w:autoSpaceDN w:val="0"/>
              <w:adjustRightInd w:val="0"/>
              <w:ind w:right="57"/>
              <w:jc w:val="right"/>
              <w:rPr>
                <w:rFonts w:eastAsia="Calibri"/>
                <w:sz w:val="22"/>
                <w:szCs w:val="22"/>
                <w:lang w:eastAsia="en-US"/>
              </w:rPr>
            </w:pPr>
            <w:r w:rsidRPr="00FD3FC3">
              <w:rPr>
                <w:rFonts w:eastAsia="Calibri"/>
                <w:sz w:val="22"/>
                <w:szCs w:val="22"/>
                <w:lang w:eastAsia="en-US"/>
              </w:rPr>
              <w:t>148</w:t>
            </w:r>
          </w:p>
        </w:tc>
        <w:tc>
          <w:tcPr>
            <w:tcW w:w="1021" w:type="dxa"/>
            <w:tcBorders>
              <w:top w:val="nil"/>
              <w:left w:val="single" w:sz="4" w:space="0" w:color="auto"/>
              <w:bottom w:val="nil"/>
              <w:right w:val="single" w:sz="4" w:space="0" w:color="auto"/>
            </w:tcBorders>
            <w:shd w:val="clear" w:color="auto" w:fill="auto"/>
            <w:vAlign w:val="center"/>
          </w:tcPr>
          <w:p w14:paraId="7168D50B" w14:textId="77777777" w:rsidR="00FD3FC3" w:rsidRPr="00FD3FC3" w:rsidRDefault="00FD3FC3" w:rsidP="008D29D8">
            <w:pPr>
              <w:autoSpaceDE w:val="0"/>
              <w:autoSpaceDN w:val="0"/>
              <w:adjustRightInd w:val="0"/>
              <w:jc w:val="center"/>
              <w:rPr>
                <w:rFonts w:eastAsia="Calibri"/>
                <w:sz w:val="22"/>
                <w:szCs w:val="22"/>
                <w:lang w:eastAsia="en-US"/>
              </w:rPr>
            </w:pPr>
            <w:r w:rsidRPr="00FD3FC3">
              <w:rPr>
                <w:rFonts w:eastAsia="Calibri"/>
                <w:sz w:val="22"/>
                <w:szCs w:val="22"/>
                <w:lang w:eastAsia="en-US"/>
              </w:rPr>
              <w:t>30.2</w:t>
            </w:r>
          </w:p>
        </w:tc>
        <w:tc>
          <w:tcPr>
            <w:tcW w:w="1134" w:type="dxa"/>
            <w:tcBorders>
              <w:top w:val="nil"/>
              <w:left w:val="single" w:sz="4" w:space="0" w:color="auto"/>
              <w:bottom w:val="nil"/>
              <w:right w:val="single" w:sz="4" w:space="0" w:color="auto"/>
            </w:tcBorders>
            <w:shd w:val="clear" w:color="auto" w:fill="auto"/>
            <w:vAlign w:val="center"/>
          </w:tcPr>
          <w:p w14:paraId="5DC1F73D" w14:textId="77777777" w:rsidR="00FD3FC3" w:rsidRPr="00FD3FC3" w:rsidRDefault="00FD3FC3" w:rsidP="008D29D8">
            <w:pPr>
              <w:autoSpaceDE w:val="0"/>
              <w:autoSpaceDN w:val="0"/>
              <w:adjustRightInd w:val="0"/>
              <w:jc w:val="center"/>
              <w:rPr>
                <w:rFonts w:eastAsia="Calibri"/>
                <w:sz w:val="22"/>
                <w:szCs w:val="22"/>
                <w:lang w:eastAsia="en-US"/>
              </w:rPr>
            </w:pPr>
            <w:r w:rsidRPr="00FD3FC3">
              <w:rPr>
                <w:rFonts w:eastAsia="Calibri"/>
                <w:sz w:val="22"/>
                <w:szCs w:val="22"/>
                <w:lang w:eastAsia="en-US"/>
              </w:rPr>
              <w:t>7.4</w:t>
            </w:r>
          </w:p>
        </w:tc>
        <w:tc>
          <w:tcPr>
            <w:tcW w:w="996" w:type="dxa"/>
            <w:tcBorders>
              <w:top w:val="nil"/>
              <w:left w:val="single" w:sz="4" w:space="0" w:color="auto"/>
              <w:bottom w:val="nil"/>
              <w:right w:val="single" w:sz="4" w:space="0" w:color="auto"/>
            </w:tcBorders>
            <w:shd w:val="clear" w:color="auto" w:fill="auto"/>
            <w:vAlign w:val="center"/>
          </w:tcPr>
          <w:p w14:paraId="7536BCE4" w14:textId="77777777" w:rsidR="00FD3FC3" w:rsidRPr="00FD3FC3" w:rsidRDefault="00FD3FC3" w:rsidP="008D29D8">
            <w:pPr>
              <w:autoSpaceDE w:val="0"/>
              <w:autoSpaceDN w:val="0"/>
              <w:adjustRightInd w:val="0"/>
              <w:ind w:right="113"/>
              <w:jc w:val="right"/>
              <w:rPr>
                <w:rFonts w:eastAsia="Calibri"/>
                <w:sz w:val="22"/>
                <w:szCs w:val="22"/>
                <w:lang w:eastAsia="en-US"/>
              </w:rPr>
            </w:pPr>
            <w:r w:rsidRPr="00FD3FC3">
              <w:rPr>
                <w:rFonts w:eastAsia="Calibri"/>
                <w:sz w:val="22"/>
                <w:szCs w:val="22"/>
                <w:lang w:eastAsia="en-US"/>
              </w:rPr>
              <w:t>0</w:t>
            </w:r>
          </w:p>
        </w:tc>
        <w:tc>
          <w:tcPr>
            <w:tcW w:w="1429" w:type="dxa"/>
            <w:tcBorders>
              <w:top w:val="nil"/>
              <w:left w:val="single" w:sz="4" w:space="0" w:color="auto"/>
              <w:bottom w:val="nil"/>
              <w:right w:val="single" w:sz="4" w:space="0" w:color="auto"/>
            </w:tcBorders>
            <w:shd w:val="clear" w:color="auto" w:fill="auto"/>
            <w:vAlign w:val="center"/>
          </w:tcPr>
          <w:p w14:paraId="4FF97FF2" w14:textId="77777777" w:rsidR="00FD3FC3" w:rsidRPr="00FD3FC3" w:rsidRDefault="00FD3FC3" w:rsidP="008D29D8">
            <w:pPr>
              <w:autoSpaceDE w:val="0"/>
              <w:autoSpaceDN w:val="0"/>
              <w:adjustRightInd w:val="0"/>
              <w:ind w:right="113"/>
              <w:jc w:val="right"/>
              <w:rPr>
                <w:rFonts w:eastAsia="Calibri"/>
                <w:sz w:val="22"/>
                <w:szCs w:val="22"/>
                <w:lang w:eastAsia="en-US"/>
              </w:rPr>
            </w:pPr>
            <w:r w:rsidRPr="00FD3FC3">
              <w:rPr>
                <w:rFonts w:eastAsia="Calibri"/>
                <w:sz w:val="22"/>
                <w:szCs w:val="22"/>
                <w:lang w:eastAsia="en-US"/>
              </w:rPr>
              <w:t>—</w:t>
            </w:r>
          </w:p>
        </w:tc>
      </w:tr>
      <w:tr w:rsidR="00FD3FC3" w:rsidRPr="00FD3FC3" w14:paraId="79738C3D" w14:textId="77777777" w:rsidTr="00B96277">
        <w:trPr>
          <w:trHeight w:val="106"/>
          <w:jc w:val="center"/>
        </w:trPr>
        <w:tc>
          <w:tcPr>
            <w:tcW w:w="3284" w:type="dxa"/>
            <w:tcBorders>
              <w:top w:val="nil"/>
              <w:left w:val="single" w:sz="4" w:space="0" w:color="auto"/>
              <w:bottom w:val="nil"/>
              <w:right w:val="single" w:sz="4" w:space="0" w:color="auto"/>
            </w:tcBorders>
            <w:shd w:val="clear" w:color="auto" w:fill="auto"/>
            <w:vAlign w:val="center"/>
          </w:tcPr>
          <w:p w14:paraId="074CE2E4" w14:textId="77777777" w:rsidR="00FD3FC3" w:rsidRPr="00FD3FC3" w:rsidRDefault="00FD3FC3" w:rsidP="00FD3FC3">
            <w:pPr>
              <w:autoSpaceDE w:val="0"/>
              <w:autoSpaceDN w:val="0"/>
              <w:adjustRightInd w:val="0"/>
              <w:rPr>
                <w:rFonts w:eastAsia="Calibri"/>
                <w:sz w:val="22"/>
                <w:szCs w:val="22"/>
                <w:lang w:eastAsia="en-US"/>
              </w:rPr>
            </w:pPr>
            <w:r w:rsidRPr="00FD3FC3">
              <w:rPr>
                <w:rFonts w:eastAsia="Calibri"/>
                <w:sz w:val="22"/>
                <w:szCs w:val="22"/>
                <w:lang w:eastAsia="en-US"/>
              </w:rPr>
              <w:t>Financiera Finsol</w:t>
            </w:r>
          </w:p>
        </w:tc>
        <w:tc>
          <w:tcPr>
            <w:tcW w:w="821" w:type="dxa"/>
            <w:tcBorders>
              <w:top w:val="nil"/>
              <w:left w:val="single" w:sz="4" w:space="0" w:color="auto"/>
              <w:bottom w:val="nil"/>
              <w:right w:val="single" w:sz="4" w:space="0" w:color="auto"/>
            </w:tcBorders>
            <w:shd w:val="clear" w:color="auto" w:fill="auto"/>
            <w:vAlign w:val="center"/>
          </w:tcPr>
          <w:p w14:paraId="2BA8EAAB" w14:textId="77777777" w:rsidR="00FD3FC3" w:rsidRPr="00FD3FC3" w:rsidRDefault="00FD3FC3" w:rsidP="008D29D8">
            <w:pPr>
              <w:autoSpaceDE w:val="0"/>
              <w:autoSpaceDN w:val="0"/>
              <w:adjustRightInd w:val="0"/>
              <w:ind w:right="57"/>
              <w:jc w:val="right"/>
              <w:rPr>
                <w:rFonts w:eastAsia="Calibri"/>
                <w:sz w:val="22"/>
                <w:szCs w:val="22"/>
                <w:lang w:eastAsia="en-US"/>
              </w:rPr>
            </w:pPr>
            <w:r w:rsidRPr="00FD3FC3">
              <w:rPr>
                <w:rFonts w:eastAsia="Calibri"/>
                <w:sz w:val="22"/>
                <w:szCs w:val="22"/>
                <w:lang w:eastAsia="en-US"/>
              </w:rPr>
              <w:t>137</w:t>
            </w:r>
          </w:p>
        </w:tc>
        <w:tc>
          <w:tcPr>
            <w:tcW w:w="1021" w:type="dxa"/>
            <w:tcBorders>
              <w:top w:val="nil"/>
              <w:left w:val="single" w:sz="4" w:space="0" w:color="auto"/>
              <w:bottom w:val="nil"/>
              <w:right w:val="single" w:sz="4" w:space="0" w:color="auto"/>
            </w:tcBorders>
            <w:shd w:val="clear" w:color="auto" w:fill="auto"/>
          </w:tcPr>
          <w:p w14:paraId="0A3F718C" w14:textId="77777777" w:rsidR="00FD3FC3" w:rsidRPr="00FD3FC3" w:rsidRDefault="00FD3FC3" w:rsidP="008D29D8">
            <w:pPr>
              <w:autoSpaceDE w:val="0"/>
              <w:autoSpaceDN w:val="0"/>
              <w:adjustRightInd w:val="0"/>
              <w:jc w:val="center"/>
              <w:rPr>
                <w:rFonts w:eastAsia="Calibri"/>
                <w:sz w:val="22"/>
                <w:szCs w:val="22"/>
                <w:lang w:eastAsia="en-US"/>
              </w:rPr>
            </w:pPr>
            <w:r w:rsidRPr="00FD3FC3">
              <w:rPr>
                <w:rFonts w:eastAsia="Calibri"/>
                <w:sz w:val="22"/>
                <w:szCs w:val="22"/>
                <w:lang w:eastAsia="en-US"/>
              </w:rPr>
              <w:t>24.1</w:t>
            </w:r>
          </w:p>
        </w:tc>
        <w:tc>
          <w:tcPr>
            <w:tcW w:w="1134" w:type="dxa"/>
            <w:tcBorders>
              <w:top w:val="nil"/>
              <w:left w:val="single" w:sz="4" w:space="0" w:color="auto"/>
              <w:bottom w:val="nil"/>
              <w:right w:val="single" w:sz="4" w:space="0" w:color="auto"/>
            </w:tcBorders>
            <w:shd w:val="clear" w:color="auto" w:fill="auto"/>
          </w:tcPr>
          <w:p w14:paraId="3EF3D004" w14:textId="77777777" w:rsidR="00FD3FC3" w:rsidRPr="00FD3FC3" w:rsidRDefault="00FD3FC3" w:rsidP="008D29D8">
            <w:pPr>
              <w:autoSpaceDE w:val="0"/>
              <w:autoSpaceDN w:val="0"/>
              <w:adjustRightInd w:val="0"/>
              <w:jc w:val="center"/>
              <w:rPr>
                <w:rFonts w:eastAsia="Calibri"/>
                <w:sz w:val="22"/>
                <w:szCs w:val="22"/>
                <w:lang w:eastAsia="en-US"/>
              </w:rPr>
            </w:pPr>
            <w:r w:rsidRPr="00FD3FC3">
              <w:rPr>
                <w:rFonts w:eastAsia="Calibri"/>
                <w:sz w:val="22"/>
                <w:szCs w:val="22"/>
                <w:lang w:eastAsia="en-US"/>
              </w:rPr>
              <w:t>8.0</w:t>
            </w:r>
          </w:p>
        </w:tc>
        <w:tc>
          <w:tcPr>
            <w:tcW w:w="996" w:type="dxa"/>
            <w:tcBorders>
              <w:top w:val="nil"/>
              <w:left w:val="single" w:sz="4" w:space="0" w:color="auto"/>
              <w:bottom w:val="nil"/>
              <w:right w:val="single" w:sz="4" w:space="0" w:color="auto"/>
            </w:tcBorders>
            <w:shd w:val="clear" w:color="auto" w:fill="auto"/>
          </w:tcPr>
          <w:p w14:paraId="2A800039" w14:textId="77777777" w:rsidR="00FD3FC3" w:rsidRPr="00FD3FC3" w:rsidRDefault="00FD3FC3" w:rsidP="008D29D8">
            <w:pPr>
              <w:autoSpaceDE w:val="0"/>
              <w:autoSpaceDN w:val="0"/>
              <w:adjustRightInd w:val="0"/>
              <w:ind w:right="113"/>
              <w:jc w:val="right"/>
              <w:rPr>
                <w:rFonts w:eastAsia="Calibri"/>
                <w:sz w:val="22"/>
                <w:szCs w:val="22"/>
                <w:lang w:eastAsia="en-US"/>
              </w:rPr>
            </w:pPr>
            <w:r w:rsidRPr="00FD3FC3">
              <w:rPr>
                <w:rFonts w:eastAsia="Calibri"/>
                <w:sz w:val="22"/>
                <w:szCs w:val="22"/>
                <w:lang w:eastAsia="en-US"/>
              </w:rPr>
              <w:t>0</w:t>
            </w:r>
          </w:p>
        </w:tc>
        <w:tc>
          <w:tcPr>
            <w:tcW w:w="1429" w:type="dxa"/>
            <w:tcBorders>
              <w:top w:val="nil"/>
              <w:left w:val="single" w:sz="4" w:space="0" w:color="auto"/>
              <w:bottom w:val="nil"/>
              <w:right w:val="single" w:sz="4" w:space="0" w:color="auto"/>
            </w:tcBorders>
            <w:shd w:val="clear" w:color="auto" w:fill="auto"/>
          </w:tcPr>
          <w:p w14:paraId="0B954B39" w14:textId="77777777" w:rsidR="00FD3FC3" w:rsidRPr="00FD3FC3" w:rsidRDefault="00FD3FC3" w:rsidP="008D29D8">
            <w:pPr>
              <w:autoSpaceDE w:val="0"/>
              <w:autoSpaceDN w:val="0"/>
              <w:adjustRightInd w:val="0"/>
              <w:ind w:right="113"/>
              <w:jc w:val="right"/>
              <w:rPr>
                <w:rFonts w:eastAsia="Calibri"/>
                <w:sz w:val="22"/>
                <w:szCs w:val="22"/>
                <w:lang w:eastAsia="en-US"/>
              </w:rPr>
            </w:pPr>
            <w:r w:rsidRPr="00FD3FC3">
              <w:rPr>
                <w:rFonts w:eastAsia="Calibri"/>
                <w:sz w:val="22"/>
                <w:szCs w:val="22"/>
                <w:lang w:eastAsia="en-US"/>
              </w:rPr>
              <w:t>—</w:t>
            </w:r>
          </w:p>
        </w:tc>
      </w:tr>
      <w:tr w:rsidR="00FD3FC3" w:rsidRPr="00FD3FC3" w14:paraId="4A3FFBC9" w14:textId="77777777" w:rsidTr="00B96277">
        <w:trPr>
          <w:trHeight w:val="106"/>
          <w:jc w:val="center"/>
        </w:trPr>
        <w:tc>
          <w:tcPr>
            <w:tcW w:w="3284" w:type="dxa"/>
            <w:tcBorders>
              <w:top w:val="nil"/>
              <w:left w:val="single" w:sz="4" w:space="0" w:color="auto"/>
              <w:bottom w:val="nil"/>
              <w:right w:val="single" w:sz="4" w:space="0" w:color="auto"/>
            </w:tcBorders>
            <w:shd w:val="clear" w:color="auto" w:fill="auto"/>
            <w:vAlign w:val="center"/>
          </w:tcPr>
          <w:p w14:paraId="60D80BC0" w14:textId="77777777" w:rsidR="00FD3FC3" w:rsidRPr="00FD3FC3" w:rsidRDefault="00FD3FC3" w:rsidP="00FD3FC3">
            <w:pPr>
              <w:autoSpaceDE w:val="0"/>
              <w:autoSpaceDN w:val="0"/>
              <w:adjustRightInd w:val="0"/>
              <w:rPr>
                <w:rFonts w:eastAsia="Calibri"/>
                <w:sz w:val="22"/>
                <w:szCs w:val="22"/>
                <w:lang w:eastAsia="en-US"/>
              </w:rPr>
            </w:pPr>
            <w:r w:rsidRPr="00FD3FC3">
              <w:rPr>
                <w:rFonts w:eastAsia="Calibri"/>
                <w:sz w:val="22"/>
                <w:szCs w:val="22"/>
                <w:lang w:eastAsia="en-US"/>
              </w:rPr>
              <w:t>Directodo México</w:t>
            </w:r>
          </w:p>
        </w:tc>
        <w:tc>
          <w:tcPr>
            <w:tcW w:w="821" w:type="dxa"/>
            <w:tcBorders>
              <w:top w:val="nil"/>
              <w:left w:val="single" w:sz="4" w:space="0" w:color="auto"/>
              <w:bottom w:val="nil"/>
              <w:right w:val="single" w:sz="4" w:space="0" w:color="auto"/>
            </w:tcBorders>
            <w:shd w:val="clear" w:color="auto" w:fill="auto"/>
            <w:vAlign w:val="center"/>
          </w:tcPr>
          <w:p w14:paraId="5B47ADE0" w14:textId="77777777" w:rsidR="00FD3FC3" w:rsidRPr="00FD3FC3" w:rsidRDefault="00FD3FC3" w:rsidP="008D29D8">
            <w:pPr>
              <w:autoSpaceDE w:val="0"/>
              <w:autoSpaceDN w:val="0"/>
              <w:adjustRightInd w:val="0"/>
              <w:ind w:right="57"/>
              <w:jc w:val="right"/>
              <w:rPr>
                <w:rFonts w:eastAsia="Calibri"/>
                <w:sz w:val="22"/>
                <w:szCs w:val="22"/>
                <w:lang w:eastAsia="en-US"/>
              </w:rPr>
            </w:pPr>
            <w:r w:rsidRPr="00FD3FC3">
              <w:rPr>
                <w:rFonts w:eastAsia="Calibri"/>
                <w:sz w:val="22"/>
                <w:szCs w:val="22"/>
                <w:lang w:eastAsia="en-US"/>
              </w:rPr>
              <w:t>110</w:t>
            </w:r>
          </w:p>
        </w:tc>
        <w:tc>
          <w:tcPr>
            <w:tcW w:w="1021" w:type="dxa"/>
            <w:tcBorders>
              <w:top w:val="nil"/>
              <w:left w:val="single" w:sz="4" w:space="0" w:color="auto"/>
              <w:bottom w:val="nil"/>
              <w:right w:val="single" w:sz="4" w:space="0" w:color="auto"/>
            </w:tcBorders>
            <w:shd w:val="clear" w:color="auto" w:fill="auto"/>
          </w:tcPr>
          <w:p w14:paraId="67E63E25" w14:textId="77777777" w:rsidR="00FD3FC3" w:rsidRPr="00FD3FC3" w:rsidRDefault="00FD3FC3" w:rsidP="008D29D8">
            <w:pPr>
              <w:autoSpaceDE w:val="0"/>
              <w:autoSpaceDN w:val="0"/>
              <w:adjustRightInd w:val="0"/>
              <w:jc w:val="center"/>
              <w:rPr>
                <w:rFonts w:eastAsia="Calibri"/>
                <w:sz w:val="22"/>
                <w:szCs w:val="22"/>
                <w:lang w:eastAsia="en-US"/>
              </w:rPr>
            </w:pPr>
            <w:r w:rsidRPr="00FD3FC3">
              <w:rPr>
                <w:rFonts w:eastAsia="Calibri"/>
                <w:sz w:val="22"/>
                <w:szCs w:val="22"/>
                <w:lang w:eastAsia="en-US"/>
              </w:rPr>
              <w:t>47.2</w:t>
            </w:r>
          </w:p>
        </w:tc>
        <w:tc>
          <w:tcPr>
            <w:tcW w:w="1134" w:type="dxa"/>
            <w:tcBorders>
              <w:top w:val="nil"/>
              <w:left w:val="single" w:sz="4" w:space="0" w:color="auto"/>
              <w:bottom w:val="nil"/>
              <w:right w:val="single" w:sz="4" w:space="0" w:color="auto"/>
            </w:tcBorders>
            <w:shd w:val="clear" w:color="auto" w:fill="auto"/>
          </w:tcPr>
          <w:p w14:paraId="06EAEE22" w14:textId="77777777" w:rsidR="00FD3FC3" w:rsidRPr="00FD3FC3" w:rsidRDefault="00FD3FC3" w:rsidP="008D29D8">
            <w:pPr>
              <w:autoSpaceDE w:val="0"/>
              <w:autoSpaceDN w:val="0"/>
              <w:adjustRightInd w:val="0"/>
              <w:jc w:val="center"/>
              <w:rPr>
                <w:rFonts w:eastAsia="Calibri"/>
                <w:sz w:val="22"/>
                <w:szCs w:val="22"/>
                <w:lang w:eastAsia="en-US"/>
              </w:rPr>
            </w:pPr>
            <w:r w:rsidRPr="00FD3FC3">
              <w:rPr>
                <w:rFonts w:eastAsia="Calibri"/>
                <w:sz w:val="22"/>
                <w:szCs w:val="22"/>
                <w:lang w:eastAsia="en-US"/>
              </w:rPr>
              <w:t>4.9</w:t>
            </w:r>
          </w:p>
        </w:tc>
        <w:tc>
          <w:tcPr>
            <w:tcW w:w="996" w:type="dxa"/>
            <w:tcBorders>
              <w:top w:val="nil"/>
              <w:left w:val="single" w:sz="4" w:space="0" w:color="auto"/>
              <w:bottom w:val="nil"/>
              <w:right w:val="single" w:sz="4" w:space="0" w:color="auto"/>
            </w:tcBorders>
            <w:shd w:val="clear" w:color="auto" w:fill="auto"/>
          </w:tcPr>
          <w:p w14:paraId="7DBE35E9" w14:textId="77777777" w:rsidR="00FD3FC3" w:rsidRPr="00FD3FC3" w:rsidRDefault="00FD3FC3" w:rsidP="008D29D8">
            <w:pPr>
              <w:autoSpaceDE w:val="0"/>
              <w:autoSpaceDN w:val="0"/>
              <w:adjustRightInd w:val="0"/>
              <w:ind w:right="113"/>
              <w:jc w:val="right"/>
              <w:rPr>
                <w:rFonts w:eastAsia="Calibri"/>
                <w:sz w:val="22"/>
                <w:szCs w:val="22"/>
                <w:lang w:eastAsia="en-US"/>
              </w:rPr>
            </w:pPr>
            <w:r w:rsidRPr="00FD3FC3">
              <w:rPr>
                <w:rFonts w:eastAsia="Calibri"/>
                <w:sz w:val="22"/>
                <w:szCs w:val="22"/>
                <w:lang w:eastAsia="en-US"/>
              </w:rPr>
              <w:t>0</w:t>
            </w:r>
          </w:p>
        </w:tc>
        <w:tc>
          <w:tcPr>
            <w:tcW w:w="1429" w:type="dxa"/>
            <w:tcBorders>
              <w:top w:val="nil"/>
              <w:left w:val="single" w:sz="4" w:space="0" w:color="auto"/>
              <w:bottom w:val="nil"/>
              <w:right w:val="single" w:sz="4" w:space="0" w:color="auto"/>
            </w:tcBorders>
            <w:shd w:val="clear" w:color="auto" w:fill="auto"/>
          </w:tcPr>
          <w:p w14:paraId="05272841" w14:textId="77777777" w:rsidR="00FD3FC3" w:rsidRPr="00FD3FC3" w:rsidRDefault="00FD3FC3" w:rsidP="008D29D8">
            <w:pPr>
              <w:autoSpaceDE w:val="0"/>
              <w:autoSpaceDN w:val="0"/>
              <w:adjustRightInd w:val="0"/>
              <w:ind w:right="113"/>
              <w:jc w:val="right"/>
              <w:rPr>
                <w:rFonts w:eastAsia="Calibri"/>
                <w:sz w:val="22"/>
                <w:szCs w:val="22"/>
                <w:lang w:eastAsia="en-US"/>
              </w:rPr>
            </w:pPr>
            <w:r w:rsidRPr="00FD3FC3">
              <w:rPr>
                <w:rFonts w:eastAsia="Calibri"/>
                <w:sz w:val="22"/>
                <w:szCs w:val="22"/>
                <w:lang w:eastAsia="en-US"/>
              </w:rPr>
              <w:t>—</w:t>
            </w:r>
          </w:p>
        </w:tc>
      </w:tr>
      <w:tr w:rsidR="00FD3FC3" w:rsidRPr="00FD3FC3" w14:paraId="77C20685" w14:textId="77777777" w:rsidTr="00B96277">
        <w:trPr>
          <w:trHeight w:val="106"/>
          <w:jc w:val="center"/>
        </w:trPr>
        <w:tc>
          <w:tcPr>
            <w:tcW w:w="3284" w:type="dxa"/>
            <w:tcBorders>
              <w:top w:val="nil"/>
              <w:left w:val="single" w:sz="4" w:space="0" w:color="auto"/>
              <w:bottom w:val="single" w:sz="4" w:space="0" w:color="auto"/>
              <w:right w:val="single" w:sz="4" w:space="0" w:color="auto"/>
            </w:tcBorders>
            <w:shd w:val="clear" w:color="auto" w:fill="auto"/>
            <w:vAlign w:val="center"/>
          </w:tcPr>
          <w:p w14:paraId="13AB3460" w14:textId="77777777" w:rsidR="00FD3FC3" w:rsidRPr="00FD3FC3" w:rsidRDefault="00FD3FC3" w:rsidP="00FD3FC3">
            <w:pPr>
              <w:autoSpaceDE w:val="0"/>
              <w:autoSpaceDN w:val="0"/>
              <w:adjustRightInd w:val="0"/>
              <w:rPr>
                <w:rFonts w:eastAsia="Calibri"/>
                <w:sz w:val="22"/>
                <w:szCs w:val="22"/>
                <w:lang w:eastAsia="en-US"/>
              </w:rPr>
            </w:pPr>
            <w:r w:rsidRPr="00FD3FC3">
              <w:rPr>
                <w:rFonts w:eastAsia="Calibri"/>
                <w:sz w:val="22"/>
                <w:szCs w:val="22"/>
                <w:lang w:eastAsia="en-US"/>
              </w:rPr>
              <w:t>Prestaciones Finmart</w:t>
            </w:r>
          </w:p>
        </w:tc>
        <w:tc>
          <w:tcPr>
            <w:tcW w:w="821" w:type="dxa"/>
            <w:tcBorders>
              <w:top w:val="nil"/>
              <w:left w:val="single" w:sz="4" w:space="0" w:color="auto"/>
              <w:bottom w:val="single" w:sz="4" w:space="0" w:color="auto"/>
              <w:right w:val="single" w:sz="4" w:space="0" w:color="auto"/>
            </w:tcBorders>
            <w:shd w:val="clear" w:color="auto" w:fill="auto"/>
            <w:vAlign w:val="center"/>
          </w:tcPr>
          <w:p w14:paraId="2A04FEFF" w14:textId="77777777" w:rsidR="00FD3FC3" w:rsidRPr="00FD3FC3" w:rsidRDefault="00FD3FC3" w:rsidP="008D29D8">
            <w:pPr>
              <w:autoSpaceDE w:val="0"/>
              <w:autoSpaceDN w:val="0"/>
              <w:adjustRightInd w:val="0"/>
              <w:ind w:right="57"/>
              <w:jc w:val="right"/>
              <w:rPr>
                <w:rFonts w:eastAsia="Calibri"/>
                <w:sz w:val="22"/>
                <w:szCs w:val="22"/>
                <w:lang w:eastAsia="en-US"/>
              </w:rPr>
            </w:pPr>
            <w:r w:rsidRPr="00FD3FC3">
              <w:rPr>
                <w:rFonts w:eastAsia="Calibri"/>
                <w:sz w:val="22"/>
                <w:szCs w:val="22"/>
                <w:lang w:eastAsia="en-US"/>
              </w:rPr>
              <w:t>108</w:t>
            </w:r>
          </w:p>
        </w:tc>
        <w:tc>
          <w:tcPr>
            <w:tcW w:w="1021" w:type="dxa"/>
            <w:tcBorders>
              <w:top w:val="nil"/>
              <w:left w:val="single" w:sz="4" w:space="0" w:color="auto"/>
              <w:bottom w:val="single" w:sz="4" w:space="0" w:color="auto"/>
              <w:right w:val="single" w:sz="4" w:space="0" w:color="auto"/>
            </w:tcBorders>
            <w:shd w:val="clear" w:color="auto" w:fill="auto"/>
            <w:vAlign w:val="center"/>
          </w:tcPr>
          <w:p w14:paraId="1CB7585A" w14:textId="77777777" w:rsidR="00FD3FC3" w:rsidRPr="00FD3FC3" w:rsidRDefault="00FD3FC3" w:rsidP="008D29D8">
            <w:pPr>
              <w:autoSpaceDE w:val="0"/>
              <w:autoSpaceDN w:val="0"/>
              <w:adjustRightInd w:val="0"/>
              <w:jc w:val="center"/>
              <w:rPr>
                <w:rFonts w:eastAsia="Calibri"/>
                <w:sz w:val="22"/>
                <w:szCs w:val="22"/>
                <w:lang w:eastAsia="en-US"/>
              </w:rPr>
            </w:pPr>
            <w:r w:rsidRPr="00FD3FC3">
              <w:rPr>
                <w:rFonts w:eastAsia="Calibri"/>
                <w:sz w:val="22"/>
                <w:szCs w:val="22"/>
                <w:lang w:eastAsia="en-US"/>
              </w:rPr>
              <w:t>56.8</w:t>
            </w:r>
          </w:p>
        </w:tc>
        <w:tc>
          <w:tcPr>
            <w:tcW w:w="1134" w:type="dxa"/>
            <w:tcBorders>
              <w:top w:val="nil"/>
              <w:left w:val="single" w:sz="4" w:space="0" w:color="auto"/>
              <w:bottom w:val="single" w:sz="4" w:space="0" w:color="auto"/>
              <w:right w:val="single" w:sz="4" w:space="0" w:color="auto"/>
            </w:tcBorders>
            <w:shd w:val="clear" w:color="auto" w:fill="auto"/>
            <w:vAlign w:val="center"/>
          </w:tcPr>
          <w:p w14:paraId="40C534C2" w14:textId="77777777" w:rsidR="00FD3FC3" w:rsidRPr="00FD3FC3" w:rsidRDefault="00FD3FC3" w:rsidP="008D29D8">
            <w:pPr>
              <w:autoSpaceDE w:val="0"/>
              <w:autoSpaceDN w:val="0"/>
              <w:adjustRightInd w:val="0"/>
              <w:jc w:val="center"/>
              <w:rPr>
                <w:rFonts w:eastAsia="Calibri"/>
                <w:sz w:val="22"/>
                <w:szCs w:val="22"/>
                <w:lang w:eastAsia="en-US"/>
              </w:rPr>
            </w:pPr>
            <w:r w:rsidRPr="00FD3FC3">
              <w:rPr>
                <w:rFonts w:eastAsia="Calibri"/>
                <w:sz w:val="22"/>
                <w:szCs w:val="22"/>
                <w:lang w:eastAsia="en-US"/>
              </w:rPr>
              <w:t>4.9</w:t>
            </w:r>
          </w:p>
        </w:tc>
        <w:tc>
          <w:tcPr>
            <w:tcW w:w="996" w:type="dxa"/>
            <w:tcBorders>
              <w:top w:val="nil"/>
              <w:left w:val="single" w:sz="4" w:space="0" w:color="auto"/>
              <w:bottom w:val="single" w:sz="4" w:space="0" w:color="auto"/>
              <w:right w:val="single" w:sz="4" w:space="0" w:color="auto"/>
            </w:tcBorders>
            <w:shd w:val="clear" w:color="auto" w:fill="auto"/>
            <w:vAlign w:val="center"/>
          </w:tcPr>
          <w:p w14:paraId="6885DBED" w14:textId="77777777" w:rsidR="00FD3FC3" w:rsidRPr="00FD3FC3" w:rsidRDefault="00FD3FC3" w:rsidP="008D29D8">
            <w:pPr>
              <w:autoSpaceDE w:val="0"/>
              <w:autoSpaceDN w:val="0"/>
              <w:adjustRightInd w:val="0"/>
              <w:ind w:right="113"/>
              <w:jc w:val="right"/>
              <w:rPr>
                <w:rFonts w:eastAsia="Calibri"/>
                <w:sz w:val="22"/>
                <w:szCs w:val="22"/>
                <w:lang w:eastAsia="en-US"/>
              </w:rPr>
            </w:pPr>
            <w:r w:rsidRPr="00FD3FC3">
              <w:rPr>
                <w:rFonts w:eastAsia="Calibri"/>
                <w:sz w:val="22"/>
                <w:szCs w:val="22"/>
                <w:lang w:eastAsia="en-US"/>
              </w:rPr>
              <w:t>9</w:t>
            </w:r>
          </w:p>
        </w:tc>
        <w:tc>
          <w:tcPr>
            <w:tcW w:w="1429" w:type="dxa"/>
            <w:tcBorders>
              <w:top w:val="nil"/>
              <w:left w:val="single" w:sz="4" w:space="0" w:color="auto"/>
              <w:bottom w:val="single" w:sz="4" w:space="0" w:color="auto"/>
              <w:right w:val="single" w:sz="4" w:space="0" w:color="auto"/>
            </w:tcBorders>
            <w:shd w:val="clear" w:color="auto" w:fill="auto"/>
            <w:vAlign w:val="center"/>
          </w:tcPr>
          <w:p w14:paraId="7253110D" w14:textId="77777777" w:rsidR="00FD3FC3" w:rsidRPr="00FD3FC3" w:rsidRDefault="00FD3FC3" w:rsidP="008D29D8">
            <w:pPr>
              <w:autoSpaceDE w:val="0"/>
              <w:autoSpaceDN w:val="0"/>
              <w:adjustRightInd w:val="0"/>
              <w:ind w:right="113"/>
              <w:jc w:val="right"/>
              <w:rPr>
                <w:rFonts w:eastAsia="Calibri"/>
                <w:sz w:val="22"/>
                <w:szCs w:val="22"/>
                <w:lang w:eastAsia="en-US"/>
              </w:rPr>
            </w:pPr>
            <w:r w:rsidRPr="00FD3FC3">
              <w:rPr>
                <w:rFonts w:eastAsia="Calibri"/>
                <w:sz w:val="22"/>
                <w:szCs w:val="22"/>
                <w:lang w:eastAsia="en-US"/>
              </w:rPr>
              <w:t>245 905</w:t>
            </w:r>
          </w:p>
        </w:tc>
      </w:tr>
      <w:tr w:rsidR="00FD3FC3" w:rsidRPr="00FD3FC3" w14:paraId="1A665E19" w14:textId="77777777" w:rsidTr="00B96277">
        <w:trPr>
          <w:trHeight w:val="106"/>
          <w:jc w:val="center"/>
        </w:trPr>
        <w:tc>
          <w:tcPr>
            <w:tcW w:w="8685" w:type="dxa"/>
            <w:gridSpan w:val="6"/>
            <w:tcBorders>
              <w:top w:val="single" w:sz="4" w:space="0" w:color="auto"/>
              <w:left w:val="nil"/>
              <w:bottom w:val="nil"/>
              <w:right w:val="nil"/>
            </w:tcBorders>
            <w:shd w:val="clear" w:color="auto" w:fill="auto"/>
            <w:vAlign w:val="center"/>
          </w:tcPr>
          <w:p w14:paraId="6981249C" w14:textId="345F41AC" w:rsidR="00FD3FC3" w:rsidRPr="00FD3FC3" w:rsidRDefault="00FD3FC3" w:rsidP="00FD3FC3">
            <w:pPr>
              <w:autoSpaceDE w:val="0"/>
              <w:autoSpaceDN w:val="0"/>
              <w:adjustRightInd w:val="0"/>
              <w:jc w:val="both"/>
              <w:rPr>
                <w:rFonts w:eastAsia="Calibri"/>
                <w:sz w:val="22"/>
                <w:szCs w:val="22"/>
                <w:lang w:eastAsia="en-US"/>
              </w:rPr>
            </w:pPr>
            <w:r w:rsidRPr="00FD3FC3">
              <w:rPr>
                <w:rFonts w:eastAsia="Calibri"/>
                <w:sz w:val="22"/>
                <w:szCs w:val="22"/>
                <w:lang w:eastAsia="en-US"/>
              </w:rPr>
              <w:t>FUENTE: CONDUSEF</w:t>
            </w:r>
            <w:r w:rsidR="008D29D8">
              <w:rPr>
                <w:rFonts w:eastAsia="Calibri"/>
                <w:sz w:val="22"/>
                <w:szCs w:val="22"/>
                <w:lang w:eastAsia="en-US"/>
              </w:rPr>
              <w:t>.</w:t>
            </w:r>
          </w:p>
        </w:tc>
      </w:tr>
    </w:tbl>
    <w:p w14:paraId="6434AE5C" w14:textId="77777777" w:rsidR="00FD3FC3" w:rsidRPr="00FD3FC3" w:rsidRDefault="00FD3FC3" w:rsidP="00FD3FC3">
      <w:pPr>
        <w:spacing w:after="360" w:line="360" w:lineRule="auto"/>
        <w:ind w:right="-159"/>
        <w:jc w:val="both"/>
        <w:rPr>
          <w:rFonts w:eastAsia="Calibri"/>
          <w:sz w:val="26"/>
          <w:szCs w:val="26"/>
          <w:lang w:eastAsia="en-US"/>
        </w:rPr>
      </w:pPr>
    </w:p>
    <w:p w14:paraId="5411F1FD" w14:textId="77777777" w:rsidR="00FD3FC3" w:rsidRPr="00FD3FC3" w:rsidRDefault="00FD3FC3" w:rsidP="00FD3FC3">
      <w:pPr>
        <w:ind w:right="-159"/>
        <w:jc w:val="both"/>
        <w:rPr>
          <w:rFonts w:eastAsia="Calibri"/>
          <w:sz w:val="20"/>
          <w:szCs w:val="20"/>
          <w:lang w:eastAsia="en-US"/>
        </w:rPr>
      </w:pPr>
      <w:r w:rsidRPr="00FD3FC3">
        <w:rPr>
          <w:rFonts w:eastAsia="Calibri"/>
          <w:b/>
          <w:sz w:val="20"/>
          <w:szCs w:val="20"/>
          <w:lang w:eastAsia="en-US"/>
        </w:rPr>
        <w:t>Fuente de información</w:t>
      </w:r>
      <w:r w:rsidRPr="00FD3FC3">
        <w:rPr>
          <w:rFonts w:eastAsia="Calibri"/>
          <w:sz w:val="20"/>
          <w:szCs w:val="20"/>
          <w:lang w:eastAsia="en-US"/>
        </w:rPr>
        <w:t>:</w:t>
      </w:r>
    </w:p>
    <w:p w14:paraId="4F7D4655" w14:textId="77777777" w:rsidR="00FD3FC3" w:rsidRPr="002B6043" w:rsidRDefault="0093224F" w:rsidP="002B6043">
      <w:pPr>
        <w:spacing w:after="720"/>
        <w:ind w:right="-159"/>
        <w:jc w:val="both"/>
        <w:rPr>
          <w:rFonts w:eastAsia="Calibri"/>
          <w:color w:val="0000FF"/>
          <w:sz w:val="20"/>
          <w:szCs w:val="20"/>
          <w:lang w:eastAsia="en-US"/>
        </w:rPr>
      </w:pPr>
      <w:hyperlink r:id="rId341" w:history="1">
        <w:r w:rsidR="00FD3FC3" w:rsidRPr="002B6043">
          <w:rPr>
            <w:rFonts w:eastAsia="Calibri"/>
            <w:color w:val="0000FF"/>
            <w:sz w:val="20"/>
            <w:szCs w:val="20"/>
            <w:u w:val="single"/>
            <w:lang w:eastAsia="en-US"/>
          </w:rPr>
          <w:t>http://www.condusef.gob.mx/index.php/prensa/comunicados-2015/1161-conoce-el-comportamiento-de-las-sofomes-enr-durante-el-2014</w:t>
        </w:r>
      </w:hyperlink>
    </w:p>
    <w:p w14:paraId="66E84A80" w14:textId="77777777" w:rsidR="008C4669" w:rsidRPr="008C4669" w:rsidRDefault="008C4669" w:rsidP="008C4669">
      <w:pPr>
        <w:rPr>
          <w:rFonts w:eastAsia="Calibri"/>
          <w:b/>
          <w:sz w:val="26"/>
          <w:szCs w:val="26"/>
          <w:lang w:eastAsia="en-US"/>
        </w:rPr>
      </w:pPr>
      <w:r w:rsidRPr="008C4669">
        <w:rPr>
          <w:rFonts w:eastAsia="Calibri"/>
          <w:b/>
          <w:sz w:val="26"/>
          <w:szCs w:val="26"/>
          <w:lang w:eastAsia="en-US"/>
        </w:rPr>
        <w:t>Presentan calificaciones del crédito de nómina</w:t>
      </w:r>
    </w:p>
    <w:p w14:paraId="787F09F5" w14:textId="77777777" w:rsidR="008C4669" w:rsidRPr="008C4669" w:rsidRDefault="008C4669" w:rsidP="008C4669">
      <w:pPr>
        <w:spacing w:after="360" w:line="360" w:lineRule="auto"/>
        <w:ind w:right="-159"/>
        <w:jc w:val="both"/>
        <w:rPr>
          <w:rFonts w:eastAsia="Calibri"/>
          <w:b/>
          <w:sz w:val="26"/>
          <w:szCs w:val="26"/>
          <w:lang w:eastAsia="en-US"/>
        </w:rPr>
      </w:pPr>
      <w:r w:rsidRPr="008C4669">
        <w:rPr>
          <w:rFonts w:eastAsia="Calibri"/>
          <w:b/>
          <w:sz w:val="26"/>
          <w:szCs w:val="26"/>
          <w:lang w:eastAsia="en-US"/>
        </w:rPr>
        <w:t>que ofrecen las Sofom E.N.R. (CONDUSEF)</w:t>
      </w:r>
    </w:p>
    <w:p w14:paraId="3CADE6B4" w14:textId="77777777" w:rsidR="008C4669" w:rsidRPr="008C4669" w:rsidRDefault="008C4669" w:rsidP="008C4669">
      <w:pPr>
        <w:spacing w:after="360" w:line="360" w:lineRule="auto"/>
        <w:ind w:right="-159"/>
        <w:jc w:val="both"/>
        <w:rPr>
          <w:rFonts w:eastAsia="Calibri"/>
          <w:sz w:val="26"/>
          <w:szCs w:val="26"/>
          <w:lang w:eastAsia="en-US"/>
        </w:rPr>
      </w:pPr>
      <w:r w:rsidRPr="008C4669">
        <w:rPr>
          <w:rFonts w:eastAsia="Calibri"/>
          <w:sz w:val="26"/>
          <w:szCs w:val="26"/>
          <w:lang w:eastAsia="en-US"/>
        </w:rPr>
        <w:t>EL 23 de febrero de 2015, la Comisión Nacional para la Protección y Defensa de los Usuarios de Servicios Financieros (CONDUSEF) presentó información sobre las calificaciones obtenidas por las Sofomes E.N.R (entidades no reguladas) en materia de “crédito de nómina” para el período enero-diciembre de 2014. A continuación se presenta la información.</w:t>
      </w:r>
    </w:p>
    <w:p w14:paraId="7678540A" w14:textId="7E08C485" w:rsidR="008C4669" w:rsidRPr="008C4669" w:rsidRDefault="008C4669" w:rsidP="008C4669">
      <w:pPr>
        <w:spacing w:after="360" w:line="360" w:lineRule="auto"/>
        <w:ind w:right="-159"/>
        <w:jc w:val="both"/>
        <w:rPr>
          <w:rFonts w:eastAsia="Calibri"/>
          <w:sz w:val="26"/>
          <w:szCs w:val="26"/>
          <w:lang w:eastAsia="en-US"/>
        </w:rPr>
      </w:pPr>
      <w:r w:rsidRPr="008C4669">
        <w:rPr>
          <w:rFonts w:eastAsia="Calibri"/>
          <w:sz w:val="26"/>
          <w:szCs w:val="26"/>
          <w:lang w:eastAsia="en-US"/>
        </w:rPr>
        <w:lastRenderedPageBreak/>
        <w:t xml:space="preserve">La cartera total de “crédito de nómina” de las Sociedades Financieras de Objeto Múltiple E.N.R (Sofomes E.N.R.) registrada ante CONDUSEF aumentó 12.77% en 2014, con relación al año anterior. De acuerdo </w:t>
      </w:r>
      <w:r w:rsidR="008957E5">
        <w:rPr>
          <w:rFonts w:eastAsia="Calibri"/>
          <w:sz w:val="26"/>
          <w:szCs w:val="26"/>
          <w:lang w:eastAsia="en-US"/>
        </w:rPr>
        <w:t>con e</w:t>
      </w:r>
      <w:r w:rsidRPr="008C4669">
        <w:rPr>
          <w:rFonts w:eastAsia="Calibri"/>
          <w:sz w:val="26"/>
          <w:szCs w:val="26"/>
          <w:lang w:eastAsia="en-US"/>
        </w:rPr>
        <w:t xml:space="preserve">l Registro de Comisiones de CONDUSEF (RECO), en diciembre de 2013 se tenía una cartera total por la cantidad de 9 mil 933.33 millones de pesos, en tanto en diciembre de 2014, dicha cifra fue de </w:t>
      </w:r>
      <w:r w:rsidR="008F194B">
        <w:rPr>
          <w:rFonts w:eastAsia="Calibri"/>
          <w:sz w:val="26"/>
          <w:szCs w:val="26"/>
          <w:lang w:eastAsia="en-US"/>
        </w:rPr>
        <w:t xml:space="preserve">    </w:t>
      </w:r>
      <w:r w:rsidRPr="008C4669">
        <w:rPr>
          <w:rFonts w:eastAsia="Calibri"/>
          <w:sz w:val="26"/>
          <w:szCs w:val="26"/>
          <w:lang w:eastAsia="en-US"/>
        </w:rPr>
        <w:t>11 mil 202.4 millones de pesos, lo que representa un incremento de 1 mil 269.1 millones de pesos.</w:t>
      </w:r>
    </w:p>
    <w:p w14:paraId="013CFCDF" w14:textId="77777777" w:rsidR="008C4669" w:rsidRPr="008C4669" w:rsidRDefault="008C4669" w:rsidP="008C4669">
      <w:pPr>
        <w:spacing w:after="360" w:line="360" w:lineRule="auto"/>
        <w:ind w:right="-159"/>
        <w:jc w:val="both"/>
        <w:rPr>
          <w:rFonts w:eastAsia="Calibri"/>
          <w:sz w:val="26"/>
          <w:szCs w:val="26"/>
          <w:lang w:eastAsia="en-US"/>
        </w:rPr>
      </w:pPr>
      <w:r w:rsidRPr="008C4669">
        <w:rPr>
          <w:rFonts w:eastAsia="Calibri"/>
          <w:sz w:val="26"/>
          <w:szCs w:val="26"/>
          <w:lang w:eastAsia="en-US"/>
        </w:rPr>
        <w:t>Por tanto, la CODUSEF comunica sobre las calificaciones obtenidas por las Sofomes E.N.R en lo que toca al “crédito de nómina” para el período enero-diciembre de 2014.</w:t>
      </w:r>
    </w:p>
    <w:p w14:paraId="1BBDA698" w14:textId="5B36B354" w:rsidR="008C4669" w:rsidRPr="008C4669" w:rsidRDefault="008C4669" w:rsidP="008C4669">
      <w:pPr>
        <w:spacing w:after="360" w:line="360" w:lineRule="auto"/>
        <w:ind w:right="-159"/>
        <w:jc w:val="both"/>
        <w:rPr>
          <w:rFonts w:eastAsia="Calibri"/>
          <w:sz w:val="26"/>
          <w:szCs w:val="26"/>
          <w:lang w:eastAsia="en-US"/>
        </w:rPr>
      </w:pPr>
      <w:r w:rsidRPr="008C4669">
        <w:rPr>
          <w:rFonts w:eastAsia="Calibri"/>
          <w:sz w:val="26"/>
          <w:szCs w:val="26"/>
          <w:lang w:eastAsia="en-US"/>
        </w:rPr>
        <w:t xml:space="preserve">De acuerdo </w:t>
      </w:r>
      <w:r w:rsidR="008957E5">
        <w:rPr>
          <w:rFonts w:eastAsia="Calibri"/>
          <w:sz w:val="26"/>
          <w:szCs w:val="26"/>
          <w:lang w:eastAsia="en-US"/>
        </w:rPr>
        <w:t>con e</w:t>
      </w:r>
      <w:r w:rsidRPr="008C4669">
        <w:rPr>
          <w:rFonts w:eastAsia="Calibri"/>
          <w:sz w:val="26"/>
          <w:szCs w:val="26"/>
          <w:lang w:eastAsia="en-US"/>
        </w:rPr>
        <w:t>l Buró de Entidades Financieras, se tienen reportadas 40 Sofom E.N.R que ofrecen el producto “crédito de nómina”, de las cuales 15 presentan calificaciones reprobatorias, lo que representa el 37.5% del total.</w:t>
      </w:r>
    </w:p>
    <w:p w14:paraId="55ACD5CF" w14:textId="77777777" w:rsidR="008C4669" w:rsidRPr="008C4669" w:rsidRDefault="008C4669" w:rsidP="008C4669">
      <w:pPr>
        <w:spacing w:after="360" w:line="360" w:lineRule="auto"/>
        <w:ind w:right="-159"/>
        <w:jc w:val="both"/>
        <w:rPr>
          <w:rFonts w:eastAsia="Calibri"/>
          <w:sz w:val="26"/>
          <w:szCs w:val="26"/>
          <w:lang w:eastAsia="en-US"/>
        </w:rPr>
      </w:pPr>
      <w:r w:rsidRPr="008C4669">
        <w:rPr>
          <w:rFonts w:eastAsia="Calibri"/>
          <w:sz w:val="26"/>
          <w:szCs w:val="26"/>
          <w:lang w:eastAsia="en-US"/>
        </w:rPr>
        <w:t>Las cinco Sofom E.N.R con mejores calificaciones son: Arrendamiento para Empresas con 7.61; Vextor Activo con 7.57; Administradora Solidaria Mexicana con 7.48; KRTC 7.21 y; Cuenta Ahora con 7.2.</w:t>
      </w:r>
    </w:p>
    <w:p w14:paraId="62933B34" w14:textId="249CEB58" w:rsidR="008C4669" w:rsidRPr="008C4669" w:rsidRDefault="008C4669" w:rsidP="008C4669">
      <w:pPr>
        <w:spacing w:after="360" w:line="360" w:lineRule="auto"/>
        <w:ind w:right="-159"/>
        <w:jc w:val="both"/>
        <w:rPr>
          <w:rFonts w:eastAsia="Calibri"/>
          <w:sz w:val="26"/>
          <w:szCs w:val="26"/>
          <w:lang w:eastAsia="en-US"/>
        </w:rPr>
      </w:pPr>
      <w:r w:rsidRPr="008C4669">
        <w:rPr>
          <w:rFonts w:eastAsia="Calibri"/>
          <w:sz w:val="26"/>
          <w:szCs w:val="26"/>
          <w:lang w:eastAsia="en-US"/>
        </w:rPr>
        <w:t>Por el contrario, las instituciones con las calificaciones reprobatorias más bajas son Fomepade con 3.38; Sipresto con 3.10; Fisofo y CN Capital que obtuvieron 3.05</w:t>
      </w:r>
      <w:r w:rsidR="008D29D8">
        <w:rPr>
          <w:rFonts w:eastAsia="Calibri"/>
          <w:sz w:val="26"/>
          <w:szCs w:val="26"/>
          <w:lang w:eastAsia="en-US"/>
        </w:rPr>
        <w:t>;</w:t>
      </w:r>
      <w:r w:rsidRPr="008C4669">
        <w:rPr>
          <w:rFonts w:eastAsia="Calibri"/>
          <w:sz w:val="26"/>
          <w:szCs w:val="26"/>
          <w:lang w:eastAsia="en-US"/>
        </w:rPr>
        <w:t xml:space="preserve"> y Quincena Express con 2.95.</w:t>
      </w:r>
    </w:p>
    <w:p w14:paraId="455329AF" w14:textId="77777777" w:rsidR="008C4669" w:rsidRPr="008C4669" w:rsidRDefault="008C4669" w:rsidP="008C4669">
      <w:pPr>
        <w:spacing w:after="360" w:line="360" w:lineRule="auto"/>
        <w:ind w:right="-159"/>
        <w:jc w:val="both"/>
        <w:rPr>
          <w:rFonts w:eastAsia="Calibri"/>
          <w:sz w:val="26"/>
          <w:szCs w:val="26"/>
          <w:lang w:eastAsia="en-US"/>
        </w:rPr>
      </w:pPr>
      <w:r w:rsidRPr="008C4669">
        <w:rPr>
          <w:rFonts w:eastAsia="Calibri"/>
          <w:sz w:val="26"/>
          <w:szCs w:val="26"/>
          <w:lang w:eastAsia="en-US"/>
        </w:rPr>
        <w:t>La institución con mayor número de reclamaciones es Publiseg con 32, y un índice de reclamación de 6.853; le sigue Compañía Comercial Comernova con 10 reclamaciones y un índice de 3.704.</w:t>
      </w:r>
    </w:p>
    <w:p w14:paraId="2272F8B7" w14:textId="77777777" w:rsidR="008C4669" w:rsidRPr="008C4669" w:rsidRDefault="008C4669" w:rsidP="008C4669">
      <w:pPr>
        <w:spacing w:after="360" w:line="360" w:lineRule="auto"/>
        <w:ind w:right="-159"/>
        <w:jc w:val="both"/>
        <w:rPr>
          <w:rFonts w:eastAsia="Calibri"/>
          <w:sz w:val="26"/>
          <w:szCs w:val="26"/>
          <w:lang w:eastAsia="en-US"/>
        </w:rPr>
      </w:pPr>
      <w:r w:rsidRPr="008C4669">
        <w:rPr>
          <w:rFonts w:eastAsia="Calibri"/>
          <w:sz w:val="26"/>
          <w:szCs w:val="26"/>
          <w:lang w:eastAsia="en-US"/>
        </w:rPr>
        <w:t>Asimismo, se detectaron tres principales causas de reclamación por parte de los usuarios en este tipo de créditos, las cuales son:</w:t>
      </w:r>
    </w:p>
    <w:p w14:paraId="2FBC4BAA" w14:textId="77777777" w:rsidR="008C4669" w:rsidRPr="008C4669" w:rsidRDefault="008C4669" w:rsidP="00276F3E">
      <w:pPr>
        <w:numPr>
          <w:ilvl w:val="0"/>
          <w:numId w:val="18"/>
        </w:numPr>
        <w:spacing w:after="360" w:line="360" w:lineRule="auto"/>
        <w:ind w:left="357" w:right="-159" w:hanging="357"/>
        <w:jc w:val="both"/>
        <w:rPr>
          <w:rFonts w:eastAsia="Calibri"/>
          <w:sz w:val="26"/>
          <w:szCs w:val="26"/>
          <w:lang w:eastAsia="en-US"/>
        </w:rPr>
      </w:pPr>
      <w:r w:rsidRPr="008C4669">
        <w:rPr>
          <w:rFonts w:eastAsia="Calibri"/>
          <w:sz w:val="26"/>
          <w:szCs w:val="26"/>
          <w:lang w:eastAsia="en-US"/>
        </w:rPr>
        <w:lastRenderedPageBreak/>
        <w:t>Inconformidad con el saldo del crédito o del monto de las amortizaciones.</w:t>
      </w:r>
    </w:p>
    <w:p w14:paraId="65AF81A9" w14:textId="77777777" w:rsidR="008C4669" w:rsidRPr="008C4669" w:rsidRDefault="008C4669" w:rsidP="00276F3E">
      <w:pPr>
        <w:numPr>
          <w:ilvl w:val="0"/>
          <w:numId w:val="18"/>
        </w:numPr>
        <w:spacing w:after="360" w:line="360" w:lineRule="auto"/>
        <w:ind w:left="357" w:right="-159" w:hanging="357"/>
        <w:jc w:val="both"/>
        <w:rPr>
          <w:rFonts w:eastAsia="Calibri"/>
          <w:sz w:val="26"/>
          <w:szCs w:val="26"/>
          <w:lang w:eastAsia="en-US"/>
        </w:rPr>
      </w:pPr>
      <w:r w:rsidRPr="008C4669">
        <w:rPr>
          <w:rFonts w:eastAsia="Calibri"/>
          <w:sz w:val="26"/>
          <w:szCs w:val="26"/>
          <w:lang w:eastAsia="en-US"/>
        </w:rPr>
        <w:t>Negativa de entrega del estado de cuenta.</w:t>
      </w:r>
    </w:p>
    <w:p w14:paraId="190E267C" w14:textId="77777777" w:rsidR="008C4669" w:rsidRPr="008C4669" w:rsidRDefault="008C4669" w:rsidP="00276F3E">
      <w:pPr>
        <w:numPr>
          <w:ilvl w:val="0"/>
          <w:numId w:val="18"/>
        </w:numPr>
        <w:spacing w:after="360" w:line="360" w:lineRule="auto"/>
        <w:ind w:left="357" w:right="-159" w:hanging="357"/>
        <w:jc w:val="both"/>
        <w:rPr>
          <w:rFonts w:eastAsia="Calibri"/>
          <w:sz w:val="26"/>
          <w:szCs w:val="26"/>
          <w:lang w:eastAsia="en-US"/>
        </w:rPr>
      </w:pPr>
      <w:r w:rsidRPr="008C4669">
        <w:rPr>
          <w:rFonts w:eastAsia="Calibri"/>
          <w:sz w:val="26"/>
          <w:szCs w:val="26"/>
          <w:lang w:eastAsia="en-US"/>
        </w:rPr>
        <w:t>Inconformidad con el cobro de intereses no pactados en el contrato.</w:t>
      </w:r>
    </w:p>
    <w:p w14:paraId="4EE720B6" w14:textId="77777777" w:rsidR="008C4669" w:rsidRPr="008C4669" w:rsidRDefault="008C4669" w:rsidP="008C4669">
      <w:pPr>
        <w:spacing w:after="360" w:line="360" w:lineRule="auto"/>
        <w:ind w:right="-159"/>
        <w:jc w:val="both"/>
        <w:rPr>
          <w:rFonts w:eastAsia="Calibri"/>
          <w:sz w:val="26"/>
          <w:szCs w:val="26"/>
          <w:lang w:eastAsia="en-US"/>
        </w:rPr>
      </w:pPr>
      <w:r w:rsidRPr="008C4669">
        <w:rPr>
          <w:rFonts w:eastAsia="Calibri"/>
          <w:sz w:val="26"/>
          <w:szCs w:val="26"/>
          <w:lang w:eastAsia="en-US"/>
        </w:rPr>
        <w:t>En el proceso de supervisión que realiza la CONDUSEF, se localizaron seis cláusulas abusivas en los contratos de dicho producto, en las siguientes instituciones: Attendo con dos cláusulas abusivas, y con una cláusula, Expansión Económica, Publiseg, Solufex, y Quincena Express.</w:t>
      </w:r>
    </w:p>
    <w:p w14:paraId="13DED2C4" w14:textId="77777777" w:rsidR="008C4669" w:rsidRPr="008C4669" w:rsidRDefault="008C4669" w:rsidP="008C4669">
      <w:pPr>
        <w:spacing w:after="360" w:line="360" w:lineRule="auto"/>
        <w:ind w:right="-159"/>
        <w:jc w:val="both"/>
        <w:rPr>
          <w:rFonts w:eastAsia="Calibri"/>
          <w:sz w:val="26"/>
          <w:szCs w:val="26"/>
          <w:lang w:eastAsia="en-US"/>
        </w:rPr>
      </w:pPr>
      <w:r w:rsidRPr="008C4669">
        <w:rPr>
          <w:rFonts w:eastAsia="Calibri"/>
          <w:sz w:val="26"/>
          <w:szCs w:val="26"/>
          <w:lang w:eastAsia="en-US"/>
        </w:rPr>
        <w:t>Destacan las siguientes cláusulas abusivas:</w:t>
      </w:r>
    </w:p>
    <w:p w14:paraId="66486B37" w14:textId="77777777" w:rsidR="008C4669" w:rsidRPr="008C4669" w:rsidRDefault="008C4669" w:rsidP="00276F3E">
      <w:pPr>
        <w:numPr>
          <w:ilvl w:val="0"/>
          <w:numId w:val="59"/>
        </w:numPr>
        <w:spacing w:after="360" w:line="360" w:lineRule="auto"/>
        <w:ind w:right="-159"/>
        <w:jc w:val="both"/>
        <w:rPr>
          <w:rFonts w:eastAsia="Calibri"/>
          <w:sz w:val="26"/>
          <w:szCs w:val="26"/>
          <w:lang w:eastAsia="en-US"/>
        </w:rPr>
      </w:pPr>
      <w:r w:rsidRPr="008C4669">
        <w:rPr>
          <w:rFonts w:eastAsia="Calibri"/>
          <w:sz w:val="26"/>
          <w:szCs w:val="26"/>
          <w:lang w:eastAsia="en-US"/>
        </w:rPr>
        <w:t>Si el cliente da aviso de que realizará un pago anticipado, lo obligan a efectuarlo.</w:t>
      </w:r>
    </w:p>
    <w:p w14:paraId="0345F7CC" w14:textId="77777777" w:rsidR="008C4669" w:rsidRPr="008C4669" w:rsidRDefault="008C4669" w:rsidP="00276F3E">
      <w:pPr>
        <w:numPr>
          <w:ilvl w:val="0"/>
          <w:numId w:val="59"/>
        </w:numPr>
        <w:spacing w:after="360" w:line="360" w:lineRule="auto"/>
        <w:ind w:right="-159"/>
        <w:jc w:val="both"/>
        <w:rPr>
          <w:rFonts w:eastAsia="Calibri"/>
          <w:sz w:val="26"/>
          <w:szCs w:val="26"/>
          <w:lang w:eastAsia="en-US"/>
        </w:rPr>
      </w:pPr>
      <w:r w:rsidRPr="008C4669">
        <w:rPr>
          <w:rFonts w:eastAsia="Calibri"/>
          <w:sz w:val="26"/>
          <w:szCs w:val="26"/>
          <w:lang w:eastAsia="en-US"/>
        </w:rPr>
        <w:t>Dan por vencido anticipadamente el crédito si el cliente se atrasa con otros créditos en la misma institución.</w:t>
      </w:r>
    </w:p>
    <w:p w14:paraId="2E400648" w14:textId="77777777" w:rsidR="008C4669" w:rsidRDefault="008C4669" w:rsidP="00276F3E">
      <w:pPr>
        <w:numPr>
          <w:ilvl w:val="0"/>
          <w:numId w:val="59"/>
        </w:numPr>
        <w:spacing w:after="360" w:line="360" w:lineRule="auto"/>
        <w:ind w:right="-159"/>
        <w:jc w:val="both"/>
        <w:rPr>
          <w:rFonts w:eastAsia="Calibri"/>
          <w:sz w:val="26"/>
          <w:szCs w:val="26"/>
          <w:lang w:eastAsia="en-US"/>
        </w:rPr>
      </w:pPr>
      <w:r w:rsidRPr="008C4669">
        <w:rPr>
          <w:rFonts w:eastAsia="Calibri"/>
          <w:sz w:val="26"/>
          <w:szCs w:val="26"/>
          <w:lang w:eastAsia="en-US"/>
        </w:rPr>
        <w:t>Cuando el cliente deje de laborar tiene 48 horas para liquidar el préstamo.</w:t>
      </w:r>
    </w:p>
    <w:p w14:paraId="5A4A5931" w14:textId="77777777" w:rsidR="001D7965" w:rsidRDefault="001D7965" w:rsidP="001D7965">
      <w:pPr>
        <w:spacing w:after="360" w:line="360" w:lineRule="auto"/>
        <w:ind w:right="-159"/>
        <w:jc w:val="both"/>
        <w:rPr>
          <w:rFonts w:eastAsia="Calibri"/>
          <w:sz w:val="26"/>
          <w:szCs w:val="26"/>
          <w:lang w:eastAsia="en-US"/>
        </w:rPr>
      </w:pPr>
    </w:p>
    <w:p w14:paraId="714CA0A3" w14:textId="77777777" w:rsidR="001D7965" w:rsidRDefault="001D7965" w:rsidP="001D7965">
      <w:pPr>
        <w:spacing w:after="360" w:line="360" w:lineRule="auto"/>
        <w:ind w:right="-159"/>
        <w:jc w:val="both"/>
        <w:rPr>
          <w:rFonts w:eastAsia="Calibri"/>
          <w:sz w:val="26"/>
          <w:szCs w:val="26"/>
          <w:lang w:eastAsia="en-US"/>
        </w:rPr>
      </w:pPr>
    </w:p>
    <w:p w14:paraId="23BB8660" w14:textId="77777777" w:rsidR="001D7965" w:rsidRDefault="001D7965" w:rsidP="001D7965">
      <w:pPr>
        <w:spacing w:after="360" w:line="360" w:lineRule="auto"/>
        <w:ind w:right="-159"/>
        <w:jc w:val="both"/>
        <w:rPr>
          <w:rFonts w:eastAsia="Calibri"/>
          <w:sz w:val="26"/>
          <w:szCs w:val="26"/>
          <w:lang w:eastAsia="en-US"/>
        </w:rPr>
      </w:pPr>
    </w:p>
    <w:p w14:paraId="6C1EDFC6" w14:textId="77777777" w:rsidR="001D7965" w:rsidRDefault="001D7965" w:rsidP="001D7965">
      <w:pPr>
        <w:spacing w:after="360" w:line="360" w:lineRule="auto"/>
        <w:ind w:right="-159"/>
        <w:jc w:val="both"/>
        <w:rPr>
          <w:rFonts w:eastAsia="Calibri"/>
          <w:sz w:val="26"/>
          <w:szCs w:val="26"/>
          <w:lang w:eastAsia="en-US"/>
        </w:rPr>
      </w:pPr>
    </w:p>
    <w:p w14:paraId="777B9308" w14:textId="77777777" w:rsidR="001D7965" w:rsidRDefault="001D7965" w:rsidP="001D7965">
      <w:pPr>
        <w:spacing w:after="360" w:line="360" w:lineRule="auto"/>
        <w:ind w:right="-159"/>
        <w:jc w:val="both"/>
        <w:rPr>
          <w:rFonts w:eastAsia="Calibri"/>
          <w:sz w:val="26"/>
          <w:szCs w:val="26"/>
          <w:lang w:eastAsia="en-US"/>
        </w:rPr>
      </w:pPr>
    </w:p>
    <w:p w14:paraId="5AC48D85" w14:textId="77777777" w:rsidR="001D7965" w:rsidRPr="008C4669" w:rsidRDefault="001D7965" w:rsidP="001D7965">
      <w:pPr>
        <w:spacing w:after="360" w:line="360" w:lineRule="auto"/>
        <w:ind w:right="-159"/>
        <w:jc w:val="both"/>
        <w:rPr>
          <w:rFonts w:eastAsia="Calibri"/>
          <w:sz w:val="26"/>
          <w:szCs w:val="26"/>
          <w:lang w:eastAsia="en-US"/>
        </w:rPr>
      </w:pP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877"/>
        <w:gridCol w:w="2362"/>
        <w:gridCol w:w="992"/>
        <w:gridCol w:w="1276"/>
        <w:gridCol w:w="709"/>
        <w:gridCol w:w="992"/>
        <w:gridCol w:w="1276"/>
        <w:gridCol w:w="1275"/>
      </w:tblGrid>
      <w:tr w:rsidR="008C4669" w:rsidRPr="008C4669" w14:paraId="3F9EB63D" w14:textId="77777777" w:rsidTr="008C4669">
        <w:trPr>
          <w:trHeight w:val="106"/>
          <w:jc w:val="center"/>
        </w:trPr>
        <w:tc>
          <w:tcPr>
            <w:tcW w:w="9759" w:type="dxa"/>
            <w:gridSpan w:val="8"/>
            <w:tcBorders>
              <w:top w:val="nil"/>
              <w:left w:val="nil"/>
              <w:right w:val="nil"/>
            </w:tcBorders>
            <w:shd w:val="clear" w:color="auto" w:fill="auto"/>
            <w:vAlign w:val="center"/>
          </w:tcPr>
          <w:p w14:paraId="693DC256" w14:textId="77777777" w:rsidR="008C4669" w:rsidRPr="008C4669" w:rsidRDefault="008C4669" w:rsidP="008C4669">
            <w:pPr>
              <w:autoSpaceDE w:val="0"/>
              <w:autoSpaceDN w:val="0"/>
              <w:adjustRightInd w:val="0"/>
              <w:jc w:val="center"/>
              <w:rPr>
                <w:rFonts w:eastAsia="Calibri"/>
                <w:b/>
                <w:sz w:val="20"/>
                <w:szCs w:val="20"/>
                <w:lang w:eastAsia="en-US"/>
              </w:rPr>
            </w:pPr>
            <w:r w:rsidRPr="008C4669">
              <w:rPr>
                <w:rFonts w:eastAsia="Calibri"/>
                <w:b/>
                <w:sz w:val="20"/>
                <w:szCs w:val="20"/>
                <w:lang w:eastAsia="en-US"/>
              </w:rPr>
              <w:lastRenderedPageBreak/>
              <w:t>SOFOM ENR: CRÉDITO DE NÓMINA</w:t>
            </w:r>
          </w:p>
          <w:p w14:paraId="01554758" w14:textId="77777777" w:rsidR="008C4669" w:rsidRPr="008C4669" w:rsidRDefault="008C4669" w:rsidP="008C4669">
            <w:pPr>
              <w:autoSpaceDE w:val="0"/>
              <w:autoSpaceDN w:val="0"/>
              <w:adjustRightInd w:val="0"/>
              <w:jc w:val="center"/>
              <w:rPr>
                <w:rFonts w:eastAsia="Calibri"/>
                <w:b/>
                <w:sz w:val="26"/>
                <w:szCs w:val="26"/>
                <w:lang w:eastAsia="en-US"/>
              </w:rPr>
            </w:pPr>
            <w:r w:rsidRPr="008C4669">
              <w:rPr>
                <w:rFonts w:eastAsia="Calibri"/>
                <w:b/>
                <w:sz w:val="20"/>
                <w:szCs w:val="20"/>
                <w:lang w:eastAsia="en-US"/>
              </w:rPr>
              <w:t>-De enero a diciembre de 2014-</w:t>
            </w:r>
          </w:p>
        </w:tc>
      </w:tr>
      <w:tr w:rsidR="008C4669" w:rsidRPr="008C4669" w14:paraId="3CCCDCBA" w14:textId="77777777" w:rsidTr="008C4669">
        <w:trPr>
          <w:trHeight w:val="106"/>
          <w:jc w:val="center"/>
        </w:trPr>
        <w:tc>
          <w:tcPr>
            <w:tcW w:w="877" w:type="dxa"/>
            <w:vMerge w:val="restart"/>
            <w:shd w:val="clear" w:color="auto" w:fill="auto"/>
            <w:vAlign w:val="center"/>
          </w:tcPr>
          <w:p w14:paraId="46C20FA3" w14:textId="77777777" w:rsidR="008C4669" w:rsidRPr="008C4669" w:rsidRDefault="008C4669" w:rsidP="008C4669">
            <w:pPr>
              <w:autoSpaceDE w:val="0"/>
              <w:autoSpaceDN w:val="0"/>
              <w:adjustRightInd w:val="0"/>
              <w:jc w:val="center"/>
              <w:rPr>
                <w:rFonts w:eastAsia="Calibri"/>
                <w:b/>
                <w:bCs/>
                <w:sz w:val="18"/>
                <w:szCs w:val="18"/>
                <w:lang w:eastAsia="en-US"/>
              </w:rPr>
            </w:pPr>
            <w:r w:rsidRPr="008C4669">
              <w:rPr>
                <w:rFonts w:eastAsia="Calibri"/>
                <w:b/>
                <w:bCs/>
                <w:sz w:val="18"/>
                <w:szCs w:val="18"/>
                <w:lang w:eastAsia="en-US"/>
              </w:rPr>
              <w:t>Lugar*</w:t>
            </w:r>
          </w:p>
        </w:tc>
        <w:tc>
          <w:tcPr>
            <w:tcW w:w="2362" w:type="dxa"/>
            <w:vMerge w:val="restart"/>
            <w:shd w:val="clear" w:color="auto" w:fill="auto"/>
            <w:vAlign w:val="center"/>
          </w:tcPr>
          <w:p w14:paraId="1DDEBE7A" w14:textId="77777777" w:rsidR="008C4669" w:rsidRPr="008C4669" w:rsidRDefault="008C4669" w:rsidP="008C4669">
            <w:pPr>
              <w:autoSpaceDE w:val="0"/>
              <w:autoSpaceDN w:val="0"/>
              <w:adjustRightInd w:val="0"/>
              <w:jc w:val="center"/>
              <w:rPr>
                <w:rFonts w:eastAsia="Calibri"/>
                <w:b/>
                <w:sz w:val="18"/>
                <w:szCs w:val="18"/>
                <w:lang w:eastAsia="en-US"/>
              </w:rPr>
            </w:pPr>
            <w:r w:rsidRPr="008C4669">
              <w:rPr>
                <w:rFonts w:eastAsia="Calibri"/>
                <w:b/>
                <w:sz w:val="18"/>
                <w:szCs w:val="18"/>
                <w:lang w:eastAsia="en-US"/>
              </w:rPr>
              <w:t>Instituciones</w:t>
            </w:r>
          </w:p>
        </w:tc>
        <w:tc>
          <w:tcPr>
            <w:tcW w:w="2268" w:type="dxa"/>
            <w:gridSpan w:val="2"/>
            <w:shd w:val="clear" w:color="auto" w:fill="auto"/>
            <w:vAlign w:val="center"/>
          </w:tcPr>
          <w:p w14:paraId="053E1522" w14:textId="77777777" w:rsidR="008C4669" w:rsidRPr="008C4669" w:rsidRDefault="008C4669" w:rsidP="008C4669">
            <w:pPr>
              <w:autoSpaceDE w:val="0"/>
              <w:autoSpaceDN w:val="0"/>
              <w:adjustRightInd w:val="0"/>
              <w:jc w:val="center"/>
              <w:rPr>
                <w:rFonts w:eastAsia="Calibri"/>
                <w:b/>
                <w:sz w:val="18"/>
                <w:szCs w:val="18"/>
                <w:lang w:eastAsia="en-US"/>
              </w:rPr>
            </w:pPr>
            <w:r w:rsidRPr="008C4669">
              <w:rPr>
                <w:rFonts w:eastAsia="Calibri"/>
                <w:b/>
                <w:sz w:val="18"/>
                <w:szCs w:val="18"/>
                <w:lang w:eastAsia="en-US"/>
              </w:rPr>
              <w:t>Consultas, reclamaciones y controversias</w:t>
            </w:r>
          </w:p>
        </w:tc>
        <w:tc>
          <w:tcPr>
            <w:tcW w:w="1701" w:type="dxa"/>
            <w:gridSpan w:val="2"/>
            <w:shd w:val="clear" w:color="auto" w:fill="auto"/>
            <w:vAlign w:val="center"/>
          </w:tcPr>
          <w:p w14:paraId="39BD5F6A" w14:textId="77777777" w:rsidR="008C4669" w:rsidRPr="008C4669" w:rsidRDefault="008C4669" w:rsidP="008C4669">
            <w:pPr>
              <w:autoSpaceDE w:val="0"/>
              <w:autoSpaceDN w:val="0"/>
              <w:adjustRightInd w:val="0"/>
              <w:jc w:val="center"/>
              <w:rPr>
                <w:rFonts w:eastAsia="Calibri"/>
                <w:b/>
                <w:sz w:val="18"/>
                <w:szCs w:val="18"/>
                <w:lang w:eastAsia="en-US"/>
              </w:rPr>
            </w:pPr>
            <w:r w:rsidRPr="008C4669">
              <w:rPr>
                <w:rFonts w:eastAsia="Calibri"/>
                <w:b/>
                <w:sz w:val="18"/>
                <w:szCs w:val="18"/>
                <w:lang w:eastAsia="en-US"/>
              </w:rPr>
              <w:t>Sanciones</w:t>
            </w:r>
          </w:p>
        </w:tc>
        <w:tc>
          <w:tcPr>
            <w:tcW w:w="1276" w:type="dxa"/>
            <w:vMerge w:val="restart"/>
            <w:shd w:val="clear" w:color="auto" w:fill="auto"/>
          </w:tcPr>
          <w:p w14:paraId="310249D7" w14:textId="77777777" w:rsidR="008C4669" w:rsidRPr="008C4669" w:rsidRDefault="008C4669" w:rsidP="008C4669">
            <w:pPr>
              <w:autoSpaceDE w:val="0"/>
              <w:autoSpaceDN w:val="0"/>
              <w:adjustRightInd w:val="0"/>
              <w:jc w:val="center"/>
              <w:rPr>
                <w:rFonts w:eastAsia="Calibri"/>
                <w:b/>
                <w:sz w:val="18"/>
                <w:szCs w:val="18"/>
                <w:lang w:eastAsia="en-US"/>
              </w:rPr>
            </w:pPr>
            <w:r w:rsidRPr="008C4669">
              <w:rPr>
                <w:rFonts w:eastAsia="Calibri"/>
                <w:b/>
                <w:sz w:val="18"/>
                <w:szCs w:val="18"/>
                <w:lang w:eastAsia="en-US"/>
              </w:rPr>
              <w:t>Supervisión de CONDUSEF</w:t>
            </w:r>
          </w:p>
          <w:p w14:paraId="3FD778E6" w14:textId="77777777" w:rsidR="008C4669" w:rsidRPr="008C4669" w:rsidRDefault="008C4669" w:rsidP="008C4669">
            <w:pPr>
              <w:spacing w:line="259" w:lineRule="auto"/>
              <w:jc w:val="center"/>
              <w:rPr>
                <w:rFonts w:eastAsia="Calibri"/>
                <w:b/>
                <w:sz w:val="18"/>
                <w:szCs w:val="18"/>
                <w:lang w:eastAsia="en-US"/>
              </w:rPr>
            </w:pPr>
            <w:r w:rsidRPr="008C4669">
              <w:rPr>
                <w:rFonts w:eastAsia="Calibri"/>
                <w:b/>
                <w:sz w:val="18"/>
                <w:szCs w:val="18"/>
                <w:lang w:eastAsia="en-US"/>
              </w:rPr>
              <w:t>Calificación (0-10)</w:t>
            </w:r>
          </w:p>
        </w:tc>
        <w:tc>
          <w:tcPr>
            <w:tcW w:w="1275" w:type="dxa"/>
            <w:vMerge w:val="restart"/>
            <w:shd w:val="clear" w:color="auto" w:fill="auto"/>
          </w:tcPr>
          <w:p w14:paraId="4845E772" w14:textId="77777777" w:rsidR="008C4669" w:rsidRPr="008C4669" w:rsidRDefault="008C4669" w:rsidP="008C4669">
            <w:pPr>
              <w:autoSpaceDE w:val="0"/>
              <w:autoSpaceDN w:val="0"/>
              <w:adjustRightInd w:val="0"/>
              <w:jc w:val="center"/>
              <w:rPr>
                <w:rFonts w:eastAsia="Calibri"/>
                <w:b/>
                <w:sz w:val="18"/>
                <w:szCs w:val="18"/>
                <w:lang w:eastAsia="en-US"/>
              </w:rPr>
            </w:pPr>
            <w:r w:rsidRPr="008C4669">
              <w:rPr>
                <w:rFonts w:eastAsia="Calibri"/>
                <w:b/>
                <w:sz w:val="18"/>
                <w:szCs w:val="18"/>
                <w:lang w:eastAsia="en-US"/>
              </w:rPr>
              <w:t>Calificación general por producto Calificación (0-10)</w:t>
            </w:r>
          </w:p>
        </w:tc>
      </w:tr>
      <w:tr w:rsidR="008C4669" w:rsidRPr="008C4669" w14:paraId="5B0AFBB3" w14:textId="77777777" w:rsidTr="008C4669">
        <w:trPr>
          <w:trHeight w:val="106"/>
          <w:jc w:val="center"/>
        </w:trPr>
        <w:tc>
          <w:tcPr>
            <w:tcW w:w="877" w:type="dxa"/>
            <w:vMerge/>
            <w:shd w:val="clear" w:color="auto" w:fill="auto"/>
            <w:vAlign w:val="center"/>
          </w:tcPr>
          <w:p w14:paraId="1A3C9D05" w14:textId="77777777" w:rsidR="008C4669" w:rsidRPr="008C4669" w:rsidRDefault="008C4669" w:rsidP="008C4669">
            <w:pPr>
              <w:autoSpaceDE w:val="0"/>
              <w:autoSpaceDN w:val="0"/>
              <w:adjustRightInd w:val="0"/>
              <w:jc w:val="center"/>
              <w:rPr>
                <w:rFonts w:eastAsia="Calibri"/>
                <w:bCs/>
                <w:sz w:val="18"/>
                <w:szCs w:val="18"/>
                <w:lang w:eastAsia="en-US"/>
              </w:rPr>
            </w:pPr>
          </w:p>
        </w:tc>
        <w:tc>
          <w:tcPr>
            <w:tcW w:w="2362" w:type="dxa"/>
            <w:vMerge/>
            <w:shd w:val="clear" w:color="auto" w:fill="auto"/>
            <w:vAlign w:val="center"/>
          </w:tcPr>
          <w:p w14:paraId="22608D4E" w14:textId="77777777" w:rsidR="008C4669" w:rsidRPr="008C4669" w:rsidRDefault="008C4669" w:rsidP="008C4669">
            <w:pPr>
              <w:autoSpaceDE w:val="0"/>
              <w:autoSpaceDN w:val="0"/>
              <w:adjustRightInd w:val="0"/>
              <w:jc w:val="center"/>
              <w:rPr>
                <w:rFonts w:eastAsia="Calibri"/>
                <w:sz w:val="18"/>
                <w:szCs w:val="18"/>
                <w:lang w:eastAsia="en-US"/>
              </w:rPr>
            </w:pPr>
          </w:p>
        </w:tc>
        <w:tc>
          <w:tcPr>
            <w:tcW w:w="992" w:type="dxa"/>
            <w:shd w:val="clear" w:color="auto" w:fill="auto"/>
            <w:vAlign w:val="center"/>
          </w:tcPr>
          <w:p w14:paraId="6D199D8F" w14:textId="77777777" w:rsidR="008C4669" w:rsidRPr="008C4669" w:rsidRDefault="008C4669" w:rsidP="008C4669">
            <w:pPr>
              <w:autoSpaceDE w:val="0"/>
              <w:autoSpaceDN w:val="0"/>
              <w:adjustRightInd w:val="0"/>
              <w:jc w:val="center"/>
              <w:rPr>
                <w:rFonts w:eastAsia="Calibri"/>
                <w:b/>
                <w:sz w:val="18"/>
                <w:szCs w:val="18"/>
                <w:lang w:eastAsia="en-US"/>
              </w:rPr>
            </w:pPr>
            <w:r w:rsidRPr="008C4669">
              <w:rPr>
                <w:rFonts w:eastAsia="Calibri"/>
                <w:b/>
                <w:sz w:val="18"/>
                <w:szCs w:val="18"/>
                <w:lang w:eastAsia="en-US"/>
              </w:rPr>
              <w:t>Total de reclamos</w:t>
            </w:r>
          </w:p>
        </w:tc>
        <w:tc>
          <w:tcPr>
            <w:tcW w:w="1276" w:type="dxa"/>
            <w:shd w:val="clear" w:color="auto" w:fill="auto"/>
            <w:vAlign w:val="center"/>
          </w:tcPr>
          <w:p w14:paraId="0ABE67F2" w14:textId="77777777" w:rsidR="008C4669" w:rsidRPr="008C4669" w:rsidRDefault="008C4669" w:rsidP="008C4669">
            <w:pPr>
              <w:autoSpaceDE w:val="0"/>
              <w:autoSpaceDN w:val="0"/>
              <w:adjustRightInd w:val="0"/>
              <w:jc w:val="center"/>
              <w:rPr>
                <w:rFonts w:eastAsia="Calibri"/>
                <w:b/>
                <w:sz w:val="18"/>
                <w:szCs w:val="18"/>
                <w:lang w:eastAsia="en-US"/>
              </w:rPr>
            </w:pPr>
            <w:r w:rsidRPr="008C4669">
              <w:rPr>
                <w:rFonts w:eastAsia="Calibri"/>
                <w:b/>
                <w:sz w:val="18"/>
                <w:szCs w:val="18"/>
                <w:lang w:eastAsia="en-US"/>
              </w:rPr>
              <w:t>Índice de reclamación por cada 10 mil contratos</w:t>
            </w:r>
          </w:p>
        </w:tc>
        <w:tc>
          <w:tcPr>
            <w:tcW w:w="709" w:type="dxa"/>
            <w:shd w:val="clear" w:color="auto" w:fill="auto"/>
            <w:vAlign w:val="center"/>
          </w:tcPr>
          <w:p w14:paraId="45A65F18" w14:textId="77777777" w:rsidR="008C4669" w:rsidRPr="008C4669" w:rsidRDefault="008C4669" w:rsidP="008C4669">
            <w:pPr>
              <w:autoSpaceDE w:val="0"/>
              <w:autoSpaceDN w:val="0"/>
              <w:adjustRightInd w:val="0"/>
              <w:jc w:val="center"/>
              <w:rPr>
                <w:rFonts w:eastAsia="Calibri"/>
                <w:b/>
                <w:sz w:val="18"/>
                <w:szCs w:val="18"/>
                <w:lang w:eastAsia="en-US"/>
              </w:rPr>
            </w:pPr>
            <w:r w:rsidRPr="008C4669">
              <w:rPr>
                <w:rFonts w:eastAsia="Calibri"/>
                <w:b/>
                <w:sz w:val="18"/>
                <w:szCs w:val="18"/>
                <w:lang w:eastAsia="en-US"/>
              </w:rPr>
              <w:t>Total</w:t>
            </w:r>
          </w:p>
        </w:tc>
        <w:tc>
          <w:tcPr>
            <w:tcW w:w="992" w:type="dxa"/>
            <w:shd w:val="clear" w:color="auto" w:fill="auto"/>
          </w:tcPr>
          <w:p w14:paraId="1A9AEDB1" w14:textId="77777777" w:rsidR="008C4669" w:rsidRPr="008C4669" w:rsidRDefault="008C4669" w:rsidP="008C4669">
            <w:pPr>
              <w:autoSpaceDE w:val="0"/>
              <w:autoSpaceDN w:val="0"/>
              <w:adjustRightInd w:val="0"/>
              <w:jc w:val="center"/>
              <w:rPr>
                <w:rFonts w:eastAsia="Calibri"/>
                <w:b/>
                <w:sz w:val="18"/>
                <w:szCs w:val="18"/>
                <w:lang w:eastAsia="en-US"/>
              </w:rPr>
            </w:pPr>
            <w:r w:rsidRPr="008C4669">
              <w:rPr>
                <w:rFonts w:eastAsia="Calibri"/>
                <w:b/>
                <w:sz w:val="18"/>
                <w:szCs w:val="18"/>
                <w:lang w:eastAsia="en-US"/>
              </w:rPr>
              <w:t>Monto de multa promedio</w:t>
            </w:r>
          </w:p>
          <w:p w14:paraId="449D6E33" w14:textId="77777777" w:rsidR="008C4669" w:rsidRPr="008C4669" w:rsidRDefault="008C4669" w:rsidP="008C4669">
            <w:pPr>
              <w:autoSpaceDE w:val="0"/>
              <w:autoSpaceDN w:val="0"/>
              <w:adjustRightInd w:val="0"/>
              <w:jc w:val="center"/>
              <w:rPr>
                <w:rFonts w:eastAsia="Calibri"/>
                <w:b/>
                <w:sz w:val="18"/>
                <w:szCs w:val="18"/>
                <w:lang w:eastAsia="en-US"/>
              </w:rPr>
            </w:pPr>
            <w:r w:rsidRPr="008C4669">
              <w:rPr>
                <w:rFonts w:eastAsia="Calibri"/>
                <w:sz w:val="18"/>
                <w:szCs w:val="18"/>
                <w:lang w:eastAsia="en-US"/>
              </w:rPr>
              <w:t>($)</w:t>
            </w:r>
          </w:p>
        </w:tc>
        <w:tc>
          <w:tcPr>
            <w:tcW w:w="1276" w:type="dxa"/>
            <w:vMerge/>
            <w:shd w:val="clear" w:color="auto" w:fill="auto"/>
          </w:tcPr>
          <w:p w14:paraId="66997EA1" w14:textId="77777777" w:rsidR="008C4669" w:rsidRPr="008C4669" w:rsidRDefault="008C4669" w:rsidP="008C4669">
            <w:pPr>
              <w:autoSpaceDE w:val="0"/>
              <w:autoSpaceDN w:val="0"/>
              <w:adjustRightInd w:val="0"/>
              <w:jc w:val="center"/>
              <w:rPr>
                <w:rFonts w:eastAsia="Calibri"/>
                <w:sz w:val="18"/>
                <w:szCs w:val="18"/>
                <w:lang w:eastAsia="en-US"/>
              </w:rPr>
            </w:pPr>
          </w:p>
        </w:tc>
        <w:tc>
          <w:tcPr>
            <w:tcW w:w="1275" w:type="dxa"/>
            <w:vMerge/>
            <w:shd w:val="clear" w:color="auto" w:fill="auto"/>
          </w:tcPr>
          <w:p w14:paraId="299BDA1B" w14:textId="77777777" w:rsidR="008C4669" w:rsidRPr="008C4669" w:rsidRDefault="008C4669" w:rsidP="008C4669">
            <w:pPr>
              <w:autoSpaceDE w:val="0"/>
              <w:autoSpaceDN w:val="0"/>
              <w:adjustRightInd w:val="0"/>
              <w:jc w:val="center"/>
              <w:rPr>
                <w:rFonts w:eastAsia="Calibri"/>
                <w:sz w:val="18"/>
                <w:szCs w:val="18"/>
                <w:lang w:eastAsia="en-US"/>
              </w:rPr>
            </w:pPr>
          </w:p>
        </w:tc>
      </w:tr>
      <w:tr w:rsidR="008C4669" w:rsidRPr="008C4669" w14:paraId="2FF48367" w14:textId="77777777" w:rsidTr="008C4669">
        <w:trPr>
          <w:trHeight w:val="106"/>
          <w:jc w:val="center"/>
        </w:trPr>
        <w:tc>
          <w:tcPr>
            <w:tcW w:w="877" w:type="dxa"/>
            <w:shd w:val="clear" w:color="auto" w:fill="auto"/>
            <w:vAlign w:val="center"/>
          </w:tcPr>
          <w:p w14:paraId="4F66DD37" w14:textId="77777777" w:rsidR="008C4669" w:rsidRPr="008C4669" w:rsidRDefault="008C4669" w:rsidP="008C4669">
            <w:pPr>
              <w:autoSpaceDE w:val="0"/>
              <w:autoSpaceDN w:val="0"/>
              <w:adjustRightInd w:val="0"/>
              <w:jc w:val="center"/>
              <w:rPr>
                <w:rFonts w:eastAsia="Calibri"/>
                <w:bCs/>
                <w:sz w:val="18"/>
                <w:szCs w:val="18"/>
                <w:lang w:eastAsia="en-US"/>
              </w:rPr>
            </w:pPr>
            <w:r w:rsidRPr="008C4669">
              <w:rPr>
                <w:rFonts w:eastAsia="Calibri"/>
                <w:bCs/>
                <w:sz w:val="18"/>
                <w:szCs w:val="18"/>
                <w:lang w:eastAsia="en-US"/>
              </w:rPr>
              <w:t>1</w:t>
            </w:r>
          </w:p>
        </w:tc>
        <w:tc>
          <w:tcPr>
            <w:tcW w:w="2362" w:type="dxa"/>
            <w:shd w:val="clear" w:color="auto" w:fill="auto"/>
            <w:vAlign w:val="center"/>
          </w:tcPr>
          <w:p w14:paraId="384162FE" w14:textId="77777777" w:rsidR="008C4669" w:rsidRPr="008C4669" w:rsidRDefault="008C4669" w:rsidP="008C4669">
            <w:pPr>
              <w:autoSpaceDE w:val="0"/>
              <w:autoSpaceDN w:val="0"/>
              <w:adjustRightInd w:val="0"/>
              <w:rPr>
                <w:rFonts w:eastAsia="Calibri"/>
                <w:sz w:val="18"/>
                <w:szCs w:val="18"/>
                <w:lang w:eastAsia="en-US"/>
              </w:rPr>
            </w:pPr>
            <w:r w:rsidRPr="008C4669">
              <w:rPr>
                <w:rFonts w:eastAsia="Calibri"/>
                <w:sz w:val="18"/>
                <w:szCs w:val="18"/>
                <w:lang w:eastAsia="en-US"/>
              </w:rPr>
              <w:t>Arrendamiento para empresas</w:t>
            </w:r>
          </w:p>
        </w:tc>
        <w:tc>
          <w:tcPr>
            <w:tcW w:w="992" w:type="dxa"/>
            <w:shd w:val="clear" w:color="auto" w:fill="auto"/>
            <w:vAlign w:val="center"/>
          </w:tcPr>
          <w:p w14:paraId="3F7F8636"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1276" w:type="dxa"/>
            <w:shd w:val="clear" w:color="auto" w:fill="auto"/>
            <w:vAlign w:val="center"/>
          </w:tcPr>
          <w:p w14:paraId="1A4C9A97"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709" w:type="dxa"/>
            <w:shd w:val="clear" w:color="auto" w:fill="auto"/>
            <w:vAlign w:val="center"/>
          </w:tcPr>
          <w:p w14:paraId="07D34596"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992" w:type="dxa"/>
            <w:shd w:val="clear" w:color="auto" w:fill="auto"/>
            <w:vAlign w:val="center"/>
          </w:tcPr>
          <w:p w14:paraId="4F213DD8"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1276" w:type="dxa"/>
            <w:shd w:val="clear" w:color="auto" w:fill="auto"/>
            <w:vAlign w:val="center"/>
          </w:tcPr>
          <w:p w14:paraId="494E63B5"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8.44</w:t>
            </w:r>
          </w:p>
        </w:tc>
        <w:tc>
          <w:tcPr>
            <w:tcW w:w="1275" w:type="dxa"/>
            <w:shd w:val="clear" w:color="auto" w:fill="auto"/>
            <w:vAlign w:val="center"/>
          </w:tcPr>
          <w:p w14:paraId="5F53E13B"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7.61</w:t>
            </w:r>
          </w:p>
        </w:tc>
      </w:tr>
      <w:tr w:rsidR="008C4669" w:rsidRPr="008C4669" w14:paraId="4192FAEC" w14:textId="77777777" w:rsidTr="008C4669">
        <w:trPr>
          <w:trHeight w:val="106"/>
          <w:jc w:val="center"/>
        </w:trPr>
        <w:tc>
          <w:tcPr>
            <w:tcW w:w="877" w:type="dxa"/>
            <w:shd w:val="clear" w:color="auto" w:fill="auto"/>
            <w:vAlign w:val="center"/>
          </w:tcPr>
          <w:p w14:paraId="5261E0A1" w14:textId="77777777" w:rsidR="008C4669" w:rsidRPr="008C4669" w:rsidRDefault="008C4669" w:rsidP="008C4669">
            <w:pPr>
              <w:autoSpaceDE w:val="0"/>
              <w:autoSpaceDN w:val="0"/>
              <w:adjustRightInd w:val="0"/>
              <w:jc w:val="center"/>
              <w:rPr>
                <w:rFonts w:eastAsia="Calibri"/>
                <w:bCs/>
                <w:sz w:val="18"/>
                <w:szCs w:val="18"/>
                <w:lang w:eastAsia="en-US"/>
              </w:rPr>
            </w:pPr>
            <w:r w:rsidRPr="008C4669">
              <w:rPr>
                <w:rFonts w:eastAsia="Calibri"/>
                <w:bCs/>
                <w:sz w:val="18"/>
                <w:szCs w:val="18"/>
                <w:lang w:eastAsia="en-US"/>
              </w:rPr>
              <w:t>2</w:t>
            </w:r>
          </w:p>
        </w:tc>
        <w:tc>
          <w:tcPr>
            <w:tcW w:w="2362" w:type="dxa"/>
            <w:shd w:val="clear" w:color="auto" w:fill="auto"/>
            <w:vAlign w:val="center"/>
          </w:tcPr>
          <w:p w14:paraId="0FF37501" w14:textId="77777777" w:rsidR="008C4669" w:rsidRPr="008C4669" w:rsidRDefault="008C4669" w:rsidP="008C4669">
            <w:pPr>
              <w:autoSpaceDE w:val="0"/>
              <w:autoSpaceDN w:val="0"/>
              <w:adjustRightInd w:val="0"/>
              <w:rPr>
                <w:rFonts w:eastAsia="Calibri"/>
                <w:sz w:val="18"/>
                <w:szCs w:val="18"/>
                <w:lang w:eastAsia="en-US"/>
              </w:rPr>
            </w:pPr>
            <w:r w:rsidRPr="008C4669">
              <w:rPr>
                <w:rFonts w:eastAsia="Calibri"/>
                <w:sz w:val="18"/>
                <w:szCs w:val="18"/>
                <w:lang w:eastAsia="en-US"/>
              </w:rPr>
              <w:t>Vextor Activo</w:t>
            </w:r>
          </w:p>
        </w:tc>
        <w:tc>
          <w:tcPr>
            <w:tcW w:w="992" w:type="dxa"/>
            <w:shd w:val="clear" w:color="auto" w:fill="auto"/>
            <w:vAlign w:val="center"/>
          </w:tcPr>
          <w:p w14:paraId="09DC6C27"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1276" w:type="dxa"/>
            <w:shd w:val="clear" w:color="auto" w:fill="auto"/>
            <w:vAlign w:val="center"/>
          </w:tcPr>
          <w:p w14:paraId="682DBDE7"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709" w:type="dxa"/>
            <w:shd w:val="clear" w:color="auto" w:fill="auto"/>
            <w:vAlign w:val="center"/>
          </w:tcPr>
          <w:p w14:paraId="3DDB276D"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992" w:type="dxa"/>
            <w:shd w:val="clear" w:color="auto" w:fill="auto"/>
          </w:tcPr>
          <w:p w14:paraId="1B8458A4"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1276" w:type="dxa"/>
            <w:shd w:val="clear" w:color="auto" w:fill="auto"/>
            <w:vAlign w:val="center"/>
          </w:tcPr>
          <w:p w14:paraId="3F494F77"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8.28</w:t>
            </w:r>
          </w:p>
        </w:tc>
        <w:tc>
          <w:tcPr>
            <w:tcW w:w="1275" w:type="dxa"/>
            <w:shd w:val="clear" w:color="auto" w:fill="auto"/>
            <w:vAlign w:val="center"/>
          </w:tcPr>
          <w:p w14:paraId="7A7A516F"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7.57</w:t>
            </w:r>
          </w:p>
        </w:tc>
      </w:tr>
      <w:tr w:rsidR="008C4669" w:rsidRPr="008C4669" w14:paraId="5E184ABA" w14:textId="77777777" w:rsidTr="008C4669">
        <w:trPr>
          <w:trHeight w:val="106"/>
          <w:jc w:val="center"/>
        </w:trPr>
        <w:tc>
          <w:tcPr>
            <w:tcW w:w="877" w:type="dxa"/>
            <w:shd w:val="clear" w:color="auto" w:fill="auto"/>
            <w:vAlign w:val="center"/>
          </w:tcPr>
          <w:p w14:paraId="3EB10348" w14:textId="77777777" w:rsidR="008C4669" w:rsidRPr="008C4669" w:rsidRDefault="008C4669" w:rsidP="008C4669">
            <w:pPr>
              <w:autoSpaceDE w:val="0"/>
              <w:autoSpaceDN w:val="0"/>
              <w:adjustRightInd w:val="0"/>
              <w:jc w:val="center"/>
              <w:rPr>
                <w:rFonts w:eastAsia="Calibri"/>
                <w:bCs/>
                <w:sz w:val="18"/>
                <w:szCs w:val="18"/>
                <w:lang w:eastAsia="en-US"/>
              </w:rPr>
            </w:pPr>
            <w:r w:rsidRPr="008C4669">
              <w:rPr>
                <w:rFonts w:eastAsia="Calibri"/>
                <w:bCs/>
                <w:sz w:val="18"/>
                <w:szCs w:val="18"/>
                <w:lang w:eastAsia="en-US"/>
              </w:rPr>
              <w:t>3</w:t>
            </w:r>
          </w:p>
        </w:tc>
        <w:tc>
          <w:tcPr>
            <w:tcW w:w="2362" w:type="dxa"/>
            <w:shd w:val="clear" w:color="auto" w:fill="auto"/>
            <w:vAlign w:val="center"/>
          </w:tcPr>
          <w:p w14:paraId="27D7A8F0" w14:textId="77777777" w:rsidR="008C4669" w:rsidRPr="008C4669" w:rsidRDefault="008C4669" w:rsidP="008C4669">
            <w:pPr>
              <w:autoSpaceDE w:val="0"/>
              <w:autoSpaceDN w:val="0"/>
              <w:adjustRightInd w:val="0"/>
              <w:rPr>
                <w:rFonts w:eastAsia="Calibri"/>
                <w:sz w:val="18"/>
                <w:szCs w:val="18"/>
                <w:lang w:eastAsia="en-US"/>
              </w:rPr>
            </w:pPr>
            <w:r w:rsidRPr="008C4669">
              <w:rPr>
                <w:rFonts w:eastAsia="Calibri"/>
                <w:sz w:val="18"/>
                <w:szCs w:val="18"/>
                <w:lang w:eastAsia="en-US"/>
              </w:rPr>
              <w:t>Administradora Solidaria Mexicana</w:t>
            </w:r>
          </w:p>
        </w:tc>
        <w:tc>
          <w:tcPr>
            <w:tcW w:w="992" w:type="dxa"/>
            <w:shd w:val="clear" w:color="auto" w:fill="auto"/>
            <w:vAlign w:val="center"/>
          </w:tcPr>
          <w:p w14:paraId="1778D97B"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1276" w:type="dxa"/>
            <w:shd w:val="clear" w:color="auto" w:fill="auto"/>
            <w:vAlign w:val="center"/>
          </w:tcPr>
          <w:p w14:paraId="123BF271"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709" w:type="dxa"/>
            <w:shd w:val="clear" w:color="auto" w:fill="auto"/>
            <w:vAlign w:val="center"/>
          </w:tcPr>
          <w:p w14:paraId="20D099B7"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992" w:type="dxa"/>
            <w:shd w:val="clear" w:color="auto" w:fill="auto"/>
            <w:vAlign w:val="center"/>
          </w:tcPr>
          <w:p w14:paraId="7DA5D1F3"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1276" w:type="dxa"/>
            <w:shd w:val="clear" w:color="auto" w:fill="auto"/>
            <w:vAlign w:val="center"/>
          </w:tcPr>
          <w:p w14:paraId="5D745AA0"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7.90</w:t>
            </w:r>
          </w:p>
        </w:tc>
        <w:tc>
          <w:tcPr>
            <w:tcW w:w="1275" w:type="dxa"/>
            <w:shd w:val="clear" w:color="auto" w:fill="auto"/>
            <w:vAlign w:val="center"/>
          </w:tcPr>
          <w:p w14:paraId="53C595FF"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7.48</w:t>
            </w:r>
          </w:p>
        </w:tc>
      </w:tr>
      <w:tr w:rsidR="008C4669" w:rsidRPr="008C4669" w14:paraId="1767F955" w14:textId="77777777" w:rsidTr="008C4669">
        <w:trPr>
          <w:trHeight w:val="106"/>
          <w:jc w:val="center"/>
        </w:trPr>
        <w:tc>
          <w:tcPr>
            <w:tcW w:w="877" w:type="dxa"/>
            <w:shd w:val="clear" w:color="auto" w:fill="auto"/>
            <w:vAlign w:val="center"/>
          </w:tcPr>
          <w:p w14:paraId="64F79B68" w14:textId="77777777" w:rsidR="008C4669" w:rsidRPr="008C4669" w:rsidRDefault="008C4669" w:rsidP="008C4669">
            <w:pPr>
              <w:autoSpaceDE w:val="0"/>
              <w:autoSpaceDN w:val="0"/>
              <w:adjustRightInd w:val="0"/>
              <w:jc w:val="center"/>
              <w:rPr>
                <w:rFonts w:eastAsia="Calibri"/>
                <w:bCs/>
                <w:sz w:val="18"/>
                <w:szCs w:val="18"/>
                <w:lang w:eastAsia="en-US"/>
              </w:rPr>
            </w:pPr>
            <w:r w:rsidRPr="008C4669">
              <w:rPr>
                <w:rFonts w:eastAsia="Calibri"/>
                <w:bCs/>
                <w:sz w:val="18"/>
                <w:szCs w:val="18"/>
                <w:lang w:eastAsia="en-US"/>
              </w:rPr>
              <w:t>4</w:t>
            </w:r>
          </w:p>
        </w:tc>
        <w:tc>
          <w:tcPr>
            <w:tcW w:w="2362" w:type="dxa"/>
            <w:shd w:val="clear" w:color="auto" w:fill="auto"/>
            <w:vAlign w:val="center"/>
          </w:tcPr>
          <w:p w14:paraId="0A11DCD2" w14:textId="77777777" w:rsidR="008C4669" w:rsidRPr="008C4669" w:rsidRDefault="008C4669" w:rsidP="008C4669">
            <w:pPr>
              <w:autoSpaceDE w:val="0"/>
              <w:autoSpaceDN w:val="0"/>
              <w:adjustRightInd w:val="0"/>
              <w:rPr>
                <w:rFonts w:eastAsia="Calibri"/>
                <w:sz w:val="18"/>
                <w:szCs w:val="18"/>
                <w:lang w:eastAsia="en-US"/>
              </w:rPr>
            </w:pPr>
            <w:r w:rsidRPr="008C4669">
              <w:rPr>
                <w:rFonts w:eastAsia="Calibri"/>
                <w:sz w:val="18"/>
                <w:szCs w:val="18"/>
                <w:lang w:eastAsia="en-US"/>
              </w:rPr>
              <w:t>KRTC</w:t>
            </w:r>
          </w:p>
        </w:tc>
        <w:tc>
          <w:tcPr>
            <w:tcW w:w="992" w:type="dxa"/>
            <w:shd w:val="clear" w:color="auto" w:fill="auto"/>
            <w:vAlign w:val="center"/>
          </w:tcPr>
          <w:p w14:paraId="6A511750"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1276" w:type="dxa"/>
            <w:shd w:val="clear" w:color="auto" w:fill="auto"/>
            <w:vAlign w:val="center"/>
          </w:tcPr>
          <w:p w14:paraId="43F84CA7"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709" w:type="dxa"/>
            <w:shd w:val="clear" w:color="auto" w:fill="auto"/>
            <w:vAlign w:val="center"/>
          </w:tcPr>
          <w:p w14:paraId="27A16E6C"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992" w:type="dxa"/>
            <w:shd w:val="clear" w:color="auto" w:fill="auto"/>
          </w:tcPr>
          <w:p w14:paraId="7715F135"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1276" w:type="dxa"/>
            <w:shd w:val="clear" w:color="auto" w:fill="auto"/>
          </w:tcPr>
          <w:p w14:paraId="1FD38580"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6.82</w:t>
            </w:r>
          </w:p>
        </w:tc>
        <w:tc>
          <w:tcPr>
            <w:tcW w:w="1275" w:type="dxa"/>
            <w:shd w:val="clear" w:color="auto" w:fill="auto"/>
          </w:tcPr>
          <w:p w14:paraId="10B55419"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7.21</w:t>
            </w:r>
          </w:p>
        </w:tc>
      </w:tr>
      <w:tr w:rsidR="008C4669" w:rsidRPr="008C4669" w14:paraId="5F702E17" w14:textId="77777777" w:rsidTr="008C4669">
        <w:trPr>
          <w:trHeight w:val="106"/>
          <w:jc w:val="center"/>
        </w:trPr>
        <w:tc>
          <w:tcPr>
            <w:tcW w:w="877" w:type="dxa"/>
            <w:shd w:val="clear" w:color="auto" w:fill="auto"/>
            <w:vAlign w:val="center"/>
          </w:tcPr>
          <w:p w14:paraId="0AD4F8D7" w14:textId="77777777" w:rsidR="008C4669" w:rsidRPr="008C4669" w:rsidRDefault="008C4669" w:rsidP="008C4669">
            <w:pPr>
              <w:autoSpaceDE w:val="0"/>
              <w:autoSpaceDN w:val="0"/>
              <w:adjustRightInd w:val="0"/>
              <w:jc w:val="center"/>
              <w:rPr>
                <w:rFonts w:eastAsia="Calibri"/>
                <w:bCs/>
                <w:sz w:val="18"/>
                <w:szCs w:val="18"/>
                <w:lang w:eastAsia="en-US"/>
              </w:rPr>
            </w:pPr>
            <w:r w:rsidRPr="008C4669">
              <w:rPr>
                <w:rFonts w:eastAsia="Calibri"/>
                <w:bCs/>
                <w:sz w:val="18"/>
                <w:szCs w:val="18"/>
                <w:lang w:eastAsia="en-US"/>
              </w:rPr>
              <w:t>5</w:t>
            </w:r>
          </w:p>
        </w:tc>
        <w:tc>
          <w:tcPr>
            <w:tcW w:w="2362" w:type="dxa"/>
            <w:shd w:val="clear" w:color="auto" w:fill="auto"/>
            <w:vAlign w:val="center"/>
          </w:tcPr>
          <w:p w14:paraId="275B041C" w14:textId="77777777" w:rsidR="008C4669" w:rsidRPr="008C4669" w:rsidRDefault="008C4669" w:rsidP="008C4669">
            <w:pPr>
              <w:autoSpaceDE w:val="0"/>
              <w:autoSpaceDN w:val="0"/>
              <w:adjustRightInd w:val="0"/>
              <w:rPr>
                <w:rFonts w:eastAsia="Calibri"/>
                <w:sz w:val="18"/>
                <w:szCs w:val="18"/>
                <w:lang w:eastAsia="en-US"/>
              </w:rPr>
            </w:pPr>
            <w:r w:rsidRPr="008C4669">
              <w:rPr>
                <w:rFonts w:eastAsia="Calibri"/>
                <w:sz w:val="18"/>
                <w:szCs w:val="18"/>
                <w:lang w:eastAsia="en-US"/>
              </w:rPr>
              <w:t>Cuenta Ahora</w:t>
            </w:r>
          </w:p>
        </w:tc>
        <w:tc>
          <w:tcPr>
            <w:tcW w:w="992" w:type="dxa"/>
            <w:shd w:val="clear" w:color="auto" w:fill="auto"/>
            <w:vAlign w:val="center"/>
          </w:tcPr>
          <w:p w14:paraId="69B95BE5"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1276" w:type="dxa"/>
            <w:shd w:val="clear" w:color="auto" w:fill="auto"/>
            <w:vAlign w:val="center"/>
          </w:tcPr>
          <w:p w14:paraId="0707431A"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709" w:type="dxa"/>
            <w:shd w:val="clear" w:color="auto" w:fill="auto"/>
            <w:vAlign w:val="center"/>
          </w:tcPr>
          <w:p w14:paraId="3CA5E6EE"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992" w:type="dxa"/>
            <w:shd w:val="clear" w:color="auto" w:fill="auto"/>
          </w:tcPr>
          <w:p w14:paraId="439911ED"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1276" w:type="dxa"/>
            <w:shd w:val="clear" w:color="auto" w:fill="auto"/>
          </w:tcPr>
          <w:p w14:paraId="6251864A"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6.80</w:t>
            </w:r>
          </w:p>
        </w:tc>
        <w:tc>
          <w:tcPr>
            <w:tcW w:w="1275" w:type="dxa"/>
            <w:shd w:val="clear" w:color="auto" w:fill="auto"/>
          </w:tcPr>
          <w:p w14:paraId="6C99B2E0"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7.20</w:t>
            </w:r>
          </w:p>
        </w:tc>
      </w:tr>
      <w:tr w:rsidR="008C4669" w:rsidRPr="008C4669" w14:paraId="3E082F62" w14:textId="77777777" w:rsidTr="008C4669">
        <w:trPr>
          <w:trHeight w:val="106"/>
          <w:jc w:val="center"/>
        </w:trPr>
        <w:tc>
          <w:tcPr>
            <w:tcW w:w="877" w:type="dxa"/>
            <w:shd w:val="clear" w:color="auto" w:fill="auto"/>
            <w:vAlign w:val="center"/>
          </w:tcPr>
          <w:p w14:paraId="6DA505CA" w14:textId="77777777" w:rsidR="008C4669" w:rsidRPr="008C4669" w:rsidRDefault="008C4669" w:rsidP="008C4669">
            <w:pPr>
              <w:autoSpaceDE w:val="0"/>
              <w:autoSpaceDN w:val="0"/>
              <w:adjustRightInd w:val="0"/>
              <w:jc w:val="center"/>
              <w:rPr>
                <w:rFonts w:eastAsia="Calibri"/>
                <w:bCs/>
                <w:sz w:val="18"/>
                <w:szCs w:val="18"/>
                <w:lang w:eastAsia="en-US"/>
              </w:rPr>
            </w:pPr>
            <w:r w:rsidRPr="008C4669">
              <w:rPr>
                <w:rFonts w:eastAsia="Calibri"/>
                <w:bCs/>
                <w:sz w:val="18"/>
                <w:szCs w:val="18"/>
                <w:lang w:eastAsia="en-US"/>
              </w:rPr>
              <w:t>6</w:t>
            </w:r>
          </w:p>
        </w:tc>
        <w:tc>
          <w:tcPr>
            <w:tcW w:w="2362" w:type="dxa"/>
            <w:shd w:val="clear" w:color="auto" w:fill="auto"/>
            <w:vAlign w:val="center"/>
          </w:tcPr>
          <w:p w14:paraId="6EDC03A0" w14:textId="77777777" w:rsidR="008C4669" w:rsidRPr="008C4669" w:rsidRDefault="008C4669" w:rsidP="008C4669">
            <w:pPr>
              <w:autoSpaceDE w:val="0"/>
              <w:autoSpaceDN w:val="0"/>
              <w:adjustRightInd w:val="0"/>
              <w:rPr>
                <w:rFonts w:eastAsia="Calibri"/>
                <w:sz w:val="18"/>
                <w:szCs w:val="18"/>
                <w:lang w:eastAsia="en-US"/>
              </w:rPr>
            </w:pPr>
            <w:r w:rsidRPr="008C4669">
              <w:rPr>
                <w:rFonts w:eastAsia="Calibri"/>
                <w:sz w:val="18"/>
                <w:szCs w:val="18"/>
                <w:lang w:eastAsia="en-US"/>
              </w:rPr>
              <w:t>Solución PMOS</w:t>
            </w:r>
          </w:p>
        </w:tc>
        <w:tc>
          <w:tcPr>
            <w:tcW w:w="992" w:type="dxa"/>
            <w:shd w:val="clear" w:color="auto" w:fill="auto"/>
            <w:vAlign w:val="center"/>
          </w:tcPr>
          <w:p w14:paraId="09840B09"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1276" w:type="dxa"/>
            <w:shd w:val="clear" w:color="auto" w:fill="auto"/>
            <w:vAlign w:val="center"/>
          </w:tcPr>
          <w:p w14:paraId="29A82021"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709" w:type="dxa"/>
            <w:shd w:val="clear" w:color="auto" w:fill="auto"/>
            <w:vAlign w:val="center"/>
          </w:tcPr>
          <w:p w14:paraId="31E54CE2"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992" w:type="dxa"/>
            <w:shd w:val="clear" w:color="auto" w:fill="auto"/>
            <w:vAlign w:val="center"/>
          </w:tcPr>
          <w:p w14:paraId="44C34B19"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1276" w:type="dxa"/>
            <w:shd w:val="clear" w:color="auto" w:fill="auto"/>
            <w:vAlign w:val="center"/>
          </w:tcPr>
          <w:p w14:paraId="1324E57C"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6.70</w:t>
            </w:r>
          </w:p>
        </w:tc>
        <w:tc>
          <w:tcPr>
            <w:tcW w:w="1275" w:type="dxa"/>
            <w:shd w:val="clear" w:color="auto" w:fill="auto"/>
            <w:vAlign w:val="center"/>
          </w:tcPr>
          <w:p w14:paraId="09849300"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7.18</w:t>
            </w:r>
          </w:p>
        </w:tc>
      </w:tr>
      <w:tr w:rsidR="008C4669" w:rsidRPr="008C4669" w14:paraId="05186AC3" w14:textId="77777777" w:rsidTr="008C4669">
        <w:trPr>
          <w:trHeight w:val="106"/>
          <w:jc w:val="center"/>
        </w:trPr>
        <w:tc>
          <w:tcPr>
            <w:tcW w:w="877" w:type="dxa"/>
            <w:shd w:val="clear" w:color="auto" w:fill="auto"/>
            <w:vAlign w:val="center"/>
          </w:tcPr>
          <w:p w14:paraId="5B0E87E9" w14:textId="77777777" w:rsidR="008C4669" w:rsidRPr="008C4669" w:rsidRDefault="008C4669" w:rsidP="008C4669">
            <w:pPr>
              <w:autoSpaceDE w:val="0"/>
              <w:autoSpaceDN w:val="0"/>
              <w:adjustRightInd w:val="0"/>
              <w:jc w:val="center"/>
              <w:rPr>
                <w:rFonts w:eastAsia="Calibri"/>
                <w:bCs/>
                <w:sz w:val="18"/>
                <w:szCs w:val="18"/>
                <w:lang w:eastAsia="en-US"/>
              </w:rPr>
            </w:pPr>
            <w:r w:rsidRPr="008C4669">
              <w:rPr>
                <w:rFonts w:eastAsia="Calibri"/>
                <w:bCs/>
                <w:sz w:val="18"/>
                <w:szCs w:val="18"/>
                <w:lang w:eastAsia="en-US"/>
              </w:rPr>
              <w:t>7</w:t>
            </w:r>
          </w:p>
        </w:tc>
        <w:tc>
          <w:tcPr>
            <w:tcW w:w="2362" w:type="dxa"/>
            <w:shd w:val="clear" w:color="auto" w:fill="auto"/>
            <w:vAlign w:val="center"/>
          </w:tcPr>
          <w:p w14:paraId="5780D028" w14:textId="77777777" w:rsidR="008C4669" w:rsidRPr="008C4669" w:rsidRDefault="008C4669" w:rsidP="008C4669">
            <w:pPr>
              <w:autoSpaceDE w:val="0"/>
              <w:autoSpaceDN w:val="0"/>
              <w:adjustRightInd w:val="0"/>
              <w:rPr>
                <w:rFonts w:eastAsia="Calibri"/>
                <w:sz w:val="18"/>
                <w:szCs w:val="18"/>
                <w:lang w:eastAsia="en-US"/>
              </w:rPr>
            </w:pPr>
            <w:r w:rsidRPr="008C4669">
              <w:rPr>
                <w:rFonts w:eastAsia="Calibri"/>
                <w:sz w:val="18"/>
                <w:szCs w:val="18"/>
                <w:lang w:eastAsia="en-US"/>
              </w:rPr>
              <w:t>Credipresto</w:t>
            </w:r>
          </w:p>
        </w:tc>
        <w:tc>
          <w:tcPr>
            <w:tcW w:w="992" w:type="dxa"/>
            <w:shd w:val="clear" w:color="auto" w:fill="auto"/>
            <w:vAlign w:val="center"/>
          </w:tcPr>
          <w:p w14:paraId="03BE788F"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1276" w:type="dxa"/>
            <w:shd w:val="clear" w:color="auto" w:fill="auto"/>
            <w:vAlign w:val="center"/>
          </w:tcPr>
          <w:p w14:paraId="3D23BA40"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709" w:type="dxa"/>
            <w:shd w:val="clear" w:color="auto" w:fill="auto"/>
            <w:vAlign w:val="center"/>
          </w:tcPr>
          <w:p w14:paraId="1EACFAD9"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992" w:type="dxa"/>
            <w:shd w:val="clear" w:color="auto" w:fill="auto"/>
            <w:vAlign w:val="center"/>
          </w:tcPr>
          <w:p w14:paraId="6D202940"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1276" w:type="dxa"/>
            <w:shd w:val="clear" w:color="auto" w:fill="auto"/>
          </w:tcPr>
          <w:p w14:paraId="05DB74F7"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6.54</w:t>
            </w:r>
          </w:p>
        </w:tc>
        <w:tc>
          <w:tcPr>
            <w:tcW w:w="1275" w:type="dxa"/>
            <w:shd w:val="clear" w:color="auto" w:fill="auto"/>
          </w:tcPr>
          <w:p w14:paraId="4F22CCD2"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7.14</w:t>
            </w:r>
          </w:p>
        </w:tc>
      </w:tr>
      <w:tr w:rsidR="008C4669" w:rsidRPr="008C4669" w14:paraId="0BF7C18D" w14:textId="77777777" w:rsidTr="008C4669">
        <w:trPr>
          <w:trHeight w:val="106"/>
          <w:jc w:val="center"/>
        </w:trPr>
        <w:tc>
          <w:tcPr>
            <w:tcW w:w="877" w:type="dxa"/>
            <w:shd w:val="clear" w:color="auto" w:fill="auto"/>
            <w:vAlign w:val="center"/>
          </w:tcPr>
          <w:p w14:paraId="14C45F7C" w14:textId="77777777" w:rsidR="008C4669" w:rsidRPr="008C4669" w:rsidRDefault="008C4669" w:rsidP="008C4669">
            <w:pPr>
              <w:autoSpaceDE w:val="0"/>
              <w:autoSpaceDN w:val="0"/>
              <w:adjustRightInd w:val="0"/>
              <w:jc w:val="center"/>
              <w:rPr>
                <w:rFonts w:eastAsia="Calibri"/>
                <w:bCs/>
                <w:sz w:val="18"/>
                <w:szCs w:val="18"/>
                <w:lang w:eastAsia="en-US"/>
              </w:rPr>
            </w:pPr>
            <w:r w:rsidRPr="008C4669">
              <w:rPr>
                <w:rFonts w:eastAsia="Calibri"/>
                <w:bCs/>
                <w:sz w:val="18"/>
                <w:szCs w:val="18"/>
                <w:lang w:eastAsia="en-US"/>
              </w:rPr>
              <w:t>8</w:t>
            </w:r>
          </w:p>
        </w:tc>
        <w:tc>
          <w:tcPr>
            <w:tcW w:w="2362" w:type="dxa"/>
            <w:shd w:val="clear" w:color="auto" w:fill="auto"/>
            <w:vAlign w:val="center"/>
          </w:tcPr>
          <w:p w14:paraId="4C8FC4B4" w14:textId="77777777" w:rsidR="008C4669" w:rsidRPr="008C4669" w:rsidRDefault="008C4669" w:rsidP="008C4669">
            <w:pPr>
              <w:autoSpaceDE w:val="0"/>
              <w:autoSpaceDN w:val="0"/>
              <w:adjustRightInd w:val="0"/>
              <w:rPr>
                <w:rFonts w:eastAsia="Calibri"/>
                <w:sz w:val="18"/>
                <w:szCs w:val="18"/>
                <w:lang w:eastAsia="en-US"/>
              </w:rPr>
            </w:pPr>
            <w:r w:rsidRPr="008C4669">
              <w:rPr>
                <w:rFonts w:eastAsia="Calibri"/>
                <w:sz w:val="18"/>
                <w:szCs w:val="18"/>
                <w:lang w:eastAsia="en-US"/>
              </w:rPr>
              <w:t>Microfinanciera Más Por Ti</w:t>
            </w:r>
          </w:p>
        </w:tc>
        <w:tc>
          <w:tcPr>
            <w:tcW w:w="992" w:type="dxa"/>
            <w:shd w:val="clear" w:color="auto" w:fill="auto"/>
            <w:vAlign w:val="center"/>
          </w:tcPr>
          <w:p w14:paraId="427A111F"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1276" w:type="dxa"/>
            <w:shd w:val="clear" w:color="auto" w:fill="auto"/>
            <w:vAlign w:val="center"/>
          </w:tcPr>
          <w:p w14:paraId="5FEFA308"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709" w:type="dxa"/>
            <w:shd w:val="clear" w:color="auto" w:fill="auto"/>
            <w:vAlign w:val="center"/>
          </w:tcPr>
          <w:p w14:paraId="074E62C5"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992" w:type="dxa"/>
            <w:shd w:val="clear" w:color="auto" w:fill="auto"/>
            <w:vAlign w:val="center"/>
          </w:tcPr>
          <w:p w14:paraId="652FD284"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1276" w:type="dxa"/>
            <w:shd w:val="clear" w:color="auto" w:fill="auto"/>
            <w:vAlign w:val="center"/>
          </w:tcPr>
          <w:p w14:paraId="76ABFF92"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6.50</w:t>
            </w:r>
          </w:p>
        </w:tc>
        <w:tc>
          <w:tcPr>
            <w:tcW w:w="1275" w:type="dxa"/>
            <w:shd w:val="clear" w:color="auto" w:fill="auto"/>
            <w:vAlign w:val="center"/>
          </w:tcPr>
          <w:p w14:paraId="3F787A47"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7.13</w:t>
            </w:r>
          </w:p>
        </w:tc>
      </w:tr>
      <w:tr w:rsidR="008C4669" w:rsidRPr="008C4669" w14:paraId="121394C6" w14:textId="77777777" w:rsidTr="008C4669">
        <w:trPr>
          <w:trHeight w:val="106"/>
          <w:jc w:val="center"/>
        </w:trPr>
        <w:tc>
          <w:tcPr>
            <w:tcW w:w="877" w:type="dxa"/>
            <w:shd w:val="clear" w:color="auto" w:fill="auto"/>
            <w:vAlign w:val="center"/>
          </w:tcPr>
          <w:p w14:paraId="3AC8E3D6" w14:textId="77777777" w:rsidR="008C4669" w:rsidRPr="008C4669" w:rsidRDefault="008C4669" w:rsidP="008C4669">
            <w:pPr>
              <w:autoSpaceDE w:val="0"/>
              <w:autoSpaceDN w:val="0"/>
              <w:adjustRightInd w:val="0"/>
              <w:jc w:val="center"/>
              <w:rPr>
                <w:rFonts w:eastAsia="Calibri"/>
                <w:bCs/>
                <w:sz w:val="18"/>
                <w:szCs w:val="18"/>
                <w:lang w:eastAsia="en-US"/>
              </w:rPr>
            </w:pPr>
            <w:r w:rsidRPr="008C4669">
              <w:rPr>
                <w:rFonts w:eastAsia="Calibri"/>
                <w:bCs/>
                <w:sz w:val="18"/>
                <w:szCs w:val="18"/>
                <w:lang w:eastAsia="en-US"/>
              </w:rPr>
              <w:t>9</w:t>
            </w:r>
          </w:p>
        </w:tc>
        <w:tc>
          <w:tcPr>
            <w:tcW w:w="2362" w:type="dxa"/>
            <w:shd w:val="clear" w:color="auto" w:fill="auto"/>
            <w:vAlign w:val="center"/>
          </w:tcPr>
          <w:p w14:paraId="47D969A0" w14:textId="77777777" w:rsidR="008C4669" w:rsidRPr="008C4669" w:rsidRDefault="008C4669" w:rsidP="008C4669">
            <w:pPr>
              <w:autoSpaceDE w:val="0"/>
              <w:autoSpaceDN w:val="0"/>
              <w:adjustRightInd w:val="0"/>
              <w:rPr>
                <w:rFonts w:eastAsia="Calibri"/>
                <w:sz w:val="18"/>
                <w:szCs w:val="18"/>
                <w:lang w:eastAsia="en-US"/>
              </w:rPr>
            </w:pPr>
            <w:r w:rsidRPr="008C4669">
              <w:rPr>
                <w:rFonts w:eastAsia="Calibri"/>
                <w:sz w:val="18"/>
                <w:szCs w:val="18"/>
                <w:lang w:eastAsia="en-US"/>
              </w:rPr>
              <w:t>Promotora Noble</w:t>
            </w:r>
          </w:p>
        </w:tc>
        <w:tc>
          <w:tcPr>
            <w:tcW w:w="992" w:type="dxa"/>
            <w:shd w:val="clear" w:color="auto" w:fill="auto"/>
            <w:vAlign w:val="center"/>
          </w:tcPr>
          <w:p w14:paraId="7AB5F3A4"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1276" w:type="dxa"/>
            <w:shd w:val="clear" w:color="auto" w:fill="auto"/>
            <w:vAlign w:val="center"/>
          </w:tcPr>
          <w:p w14:paraId="3150D696"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709" w:type="dxa"/>
            <w:shd w:val="clear" w:color="auto" w:fill="auto"/>
            <w:vAlign w:val="center"/>
          </w:tcPr>
          <w:p w14:paraId="054503A6"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992" w:type="dxa"/>
            <w:shd w:val="clear" w:color="auto" w:fill="auto"/>
            <w:vAlign w:val="center"/>
          </w:tcPr>
          <w:p w14:paraId="43A9B1E6"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1276" w:type="dxa"/>
            <w:shd w:val="clear" w:color="auto" w:fill="auto"/>
            <w:vAlign w:val="center"/>
          </w:tcPr>
          <w:p w14:paraId="601AA00A"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5.70</w:t>
            </w:r>
          </w:p>
        </w:tc>
        <w:tc>
          <w:tcPr>
            <w:tcW w:w="1275" w:type="dxa"/>
            <w:shd w:val="clear" w:color="auto" w:fill="auto"/>
            <w:vAlign w:val="center"/>
          </w:tcPr>
          <w:p w14:paraId="787A9784"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6.93</w:t>
            </w:r>
          </w:p>
        </w:tc>
      </w:tr>
      <w:tr w:rsidR="008C4669" w:rsidRPr="008C4669" w14:paraId="26D0553B" w14:textId="77777777" w:rsidTr="008C4669">
        <w:trPr>
          <w:trHeight w:val="106"/>
          <w:jc w:val="center"/>
        </w:trPr>
        <w:tc>
          <w:tcPr>
            <w:tcW w:w="877" w:type="dxa"/>
            <w:shd w:val="clear" w:color="auto" w:fill="auto"/>
            <w:vAlign w:val="center"/>
          </w:tcPr>
          <w:p w14:paraId="143F201D" w14:textId="77777777" w:rsidR="008C4669" w:rsidRPr="008C4669" w:rsidRDefault="008C4669" w:rsidP="008C4669">
            <w:pPr>
              <w:autoSpaceDE w:val="0"/>
              <w:autoSpaceDN w:val="0"/>
              <w:adjustRightInd w:val="0"/>
              <w:jc w:val="center"/>
              <w:rPr>
                <w:rFonts w:eastAsia="Calibri"/>
                <w:bCs/>
                <w:sz w:val="18"/>
                <w:szCs w:val="18"/>
                <w:lang w:eastAsia="en-US"/>
              </w:rPr>
            </w:pPr>
            <w:r w:rsidRPr="008C4669">
              <w:rPr>
                <w:rFonts w:eastAsia="Calibri"/>
                <w:bCs/>
                <w:sz w:val="18"/>
                <w:szCs w:val="18"/>
                <w:lang w:eastAsia="en-US"/>
              </w:rPr>
              <w:t>10</w:t>
            </w:r>
          </w:p>
        </w:tc>
        <w:tc>
          <w:tcPr>
            <w:tcW w:w="2362" w:type="dxa"/>
            <w:shd w:val="clear" w:color="auto" w:fill="auto"/>
            <w:vAlign w:val="center"/>
          </w:tcPr>
          <w:p w14:paraId="54BFA424" w14:textId="77777777" w:rsidR="008C4669" w:rsidRPr="008C4669" w:rsidRDefault="008C4669" w:rsidP="008C4669">
            <w:pPr>
              <w:autoSpaceDE w:val="0"/>
              <w:autoSpaceDN w:val="0"/>
              <w:adjustRightInd w:val="0"/>
              <w:rPr>
                <w:rFonts w:eastAsia="Calibri"/>
                <w:sz w:val="18"/>
                <w:szCs w:val="18"/>
                <w:lang w:eastAsia="en-US"/>
              </w:rPr>
            </w:pPr>
            <w:r w:rsidRPr="008C4669">
              <w:rPr>
                <w:rFonts w:eastAsia="Calibri"/>
                <w:sz w:val="18"/>
                <w:szCs w:val="18"/>
                <w:lang w:eastAsia="en-US"/>
              </w:rPr>
              <w:t>Financiera Trínitas</w:t>
            </w:r>
          </w:p>
        </w:tc>
        <w:tc>
          <w:tcPr>
            <w:tcW w:w="992" w:type="dxa"/>
            <w:shd w:val="clear" w:color="auto" w:fill="auto"/>
            <w:vAlign w:val="center"/>
          </w:tcPr>
          <w:p w14:paraId="5708EE57"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1276" w:type="dxa"/>
            <w:shd w:val="clear" w:color="auto" w:fill="auto"/>
            <w:vAlign w:val="center"/>
          </w:tcPr>
          <w:p w14:paraId="0CAC63B7"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709" w:type="dxa"/>
            <w:shd w:val="clear" w:color="auto" w:fill="auto"/>
            <w:vAlign w:val="center"/>
          </w:tcPr>
          <w:p w14:paraId="4C7A0A5E"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992" w:type="dxa"/>
            <w:shd w:val="clear" w:color="auto" w:fill="auto"/>
            <w:vAlign w:val="center"/>
          </w:tcPr>
          <w:p w14:paraId="00EC9C68"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1276" w:type="dxa"/>
            <w:shd w:val="clear" w:color="auto" w:fill="auto"/>
            <w:vAlign w:val="center"/>
          </w:tcPr>
          <w:p w14:paraId="1038F69C"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5.10</w:t>
            </w:r>
          </w:p>
        </w:tc>
        <w:tc>
          <w:tcPr>
            <w:tcW w:w="1275" w:type="dxa"/>
            <w:shd w:val="clear" w:color="auto" w:fill="auto"/>
            <w:vAlign w:val="center"/>
          </w:tcPr>
          <w:p w14:paraId="74597452"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6.78</w:t>
            </w:r>
          </w:p>
        </w:tc>
      </w:tr>
      <w:tr w:rsidR="008C4669" w:rsidRPr="008C4669" w14:paraId="4631077A" w14:textId="77777777" w:rsidTr="008C4669">
        <w:trPr>
          <w:trHeight w:val="106"/>
          <w:jc w:val="center"/>
        </w:trPr>
        <w:tc>
          <w:tcPr>
            <w:tcW w:w="877" w:type="dxa"/>
            <w:shd w:val="clear" w:color="auto" w:fill="auto"/>
            <w:vAlign w:val="center"/>
          </w:tcPr>
          <w:p w14:paraId="216275CD" w14:textId="77777777" w:rsidR="008C4669" w:rsidRPr="008C4669" w:rsidRDefault="008C4669" w:rsidP="008C4669">
            <w:pPr>
              <w:autoSpaceDE w:val="0"/>
              <w:autoSpaceDN w:val="0"/>
              <w:adjustRightInd w:val="0"/>
              <w:jc w:val="center"/>
              <w:rPr>
                <w:rFonts w:eastAsia="Calibri"/>
                <w:bCs/>
                <w:sz w:val="18"/>
                <w:szCs w:val="18"/>
                <w:lang w:eastAsia="en-US"/>
              </w:rPr>
            </w:pPr>
            <w:r w:rsidRPr="008C4669">
              <w:rPr>
                <w:rFonts w:eastAsia="Calibri"/>
                <w:bCs/>
                <w:sz w:val="18"/>
                <w:szCs w:val="18"/>
                <w:lang w:eastAsia="en-US"/>
              </w:rPr>
              <w:t>11</w:t>
            </w:r>
          </w:p>
        </w:tc>
        <w:tc>
          <w:tcPr>
            <w:tcW w:w="2362" w:type="dxa"/>
            <w:shd w:val="clear" w:color="auto" w:fill="auto"/>
            <w:vAlign w:val="center"/>
          </w:tcPr>
          <w:p w14:paraId="594E0A3E" w14:textId="77777777" w:rsidR="008C4669" w:rsidRPr="008C4669" w:rsidRDefault="008C4669" w:rsidP="008C4669">
            <w:pPr>
              <w:autoSpaceDE w:val="0"/>
              <w:autoSpaceDN w:val="0"/>
              <w:adjustRightInd w:val="0"/>
              <w:rPr>
                <w:rFonts w:eastAsia="Calibri"/>
                <w:sz w:val="18"/>
                <w:szCs w:val="18"/>
                <w:lang w:eastAsia="en-US"/>
              </w:rPr>
            </w:pPr>
            <w:r w:rsidRPr="008C4669">
              <w:rPr>
                <w:rFonts w:eastAsia="Calibri"/>
                <w:sz w:val="18"/>
                <w:szCs w:val="18"/>
                <w:lang w:eastAsia="en-US"/>
              </w:rPr>
              <w:t>Soluciones Múltiples Empresariales</w:t>
            </w:r>
          </w:p>
        </w:tc>
        <w:tc>
          <w:tcPr>
            <w:tcW w:w="992" w:type="dxa"/>
            <w:shd w:val="clear" w:color="auto" w:fill="auto"/>
            <w:vAlign w:val="center"/>
          </w:tcPr>
          <w:p w14:paraId="21EBE563"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1276" w:type="dxa"/>
            <w:shd w:val="clear" w:color="auto" w:fill="auto"/>
            <w:vAlign w:val="center"/>
          </w:tcPr>
          <w:p w14:paraId="71CBB9EA"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709" w:type="dxa"/>
            <w:shd w:val="clear" w:color="auto" w:fill="auto"/>
            <w:vAlign w:val="center"/>
          </w:tcPr>
          <w:p w14:paraId="2FA833A1"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992" w:type="dxa"/>
            <w:shd w:val="clear" w:color="auto" w:fill="auto"/>
            <w:vAlign w:val="center"/>
          </w:tcPr>
          <w:p w14:paraId="62D1776F" w14:textId="77777777" w:rsidR="008C4669" w:rsidRPr="008C4669" w:rsidRDefault="008C4669" w:rsidP="008C4669">
            <w:pPr>
              <w:autoSpaceDE w:val="0"/>
              <w:autoSpaceDN w:val="0"/>
              <w:adjustRightInd w:val="0"/>
              <w:jc w:val="center"/>
              <w:rPr>
                <w:rFonts w:eastAsia="Calibri"/>
                <w:b/>
                <w:sz w:val="18"/>
                <w:szCs w:val="18"/>
                <w:lang w:eastAsia="en-US"/>
              </w:rPr>
            </w:pPr>
            <w:r w:rsidRPr="008C4669">
              <w:rPr>
                <w:rFonts w:eastAsia="Calibri"/>
                <w:sz w:val="18"/>
                <w:szCs w:val="18"/>
                <w:lang w:eastAsia="en-US"/>
              </w:rPr>
              <w:t>—</w:t>
            </w:r>
          </w:p>
        </w:tc>
        <w:tc>
          <w:tcPr>
            <w:tcW w:w="1276" w:type="dxa"/>
            <w:shd w:val="clear" w:color="auto" w:fill="auto"/>
            <w:vAlign w:val="center"/>
          </w:tcPr>
          <w:p w14:paraId="18DFD643"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4.90</w:t>
            </w:r>
          </w:p>
        </w:tc>
        <w:tc>
          <w:tcPr>
            <w:tcW w:w="1275" w:type="dxa"/>
            <w:shd w:val="clear" w:color="auto" w:fill="auto"/>
            <w:vAlign w:val="center"/>
          </w:tcPr>
          <w:p w14:paraId="5E2B8242"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6.73</w:t>
            </w:r>
          </w:p>
        </w:tc>
      </w:tr>
      <w:tr w:rsidR="008C4669" w:rsidRPr="008C4669" w14:paraId="35E530DF" w14:textId="77777777" w:rsidTr="008C4669">
        <w:trPr>
          <w:trHeight w:val="106"/>
          <w:jc w:val="center"/>
        </w:trPr>
        <w:tc>
          <w:tcPr>
            <w:tcW w:w="877" w:type="dxa"/>
            <w:shd w:val="clear" w:color="auto" w:fill="auto"/>
            <w:vAlign w:val="center"/>
          </w:tcPr>
          <w:p w14:paraId="61F8A391" w14:textId="77777777" w:rsidR="008C4669" w:rsidRPr="008C4669" w:rsidRDefault="008C4669" w:rsidP="008C4669">
            <w:pPr>
              <w:autoSpaceDE w:val="0"/>
              <w:autoSpaceDN w:val="0"/>
              <w:adjustRightInd w:val="0"/>
              <w:jc w:val="center"/>
              <w:rPr>
                <w:rFonts w:eastAsia="Calibri"/>
                <w:bCs/>
                <w:sz w:val="18"/>
                <w:szCs w:val="18"/>
                <w:lang w:eastAsia="en-US"/>
              </w:rPr>
            </w:pPr>
            <w:r w:rsidRPr="008C4669">
              <w:rPr>
                <w:rFonts w:eastAsia="Calibri"/>
                <w:bCs/>
                <w:sz w:val="18"/>
                <w:szCs w:val="18"/>
                <w:lang w:eastAsia="en-US"/>
              </w:rPr>
              <w:t>12</w:t>
            </w:r>
          </w:p>
        </w:tc>
        <w:tc>
          <w:tcPr>
            <w:tcW w:w="2362" w:type="dxa"/>
            <w:shd w:val="clear" w:color="auto" w:fill="auto"/>
            <w:vAlign w:val="center"/>
          </w:tcPr>
          <w:p w14:paraId="1AA7E01F" w14:textId="77777777" w:rsidR="008C4669" w:rsidRPr="008C4669" w:rsidRDefault="008C4669" w:rsidP="008C4669">
            <w:pPr>
              <w:autoSpaceDE w:val="0"/>
              <w:autoSpaceDN w:val="0"/>
              <w:adjustRightInd w:val="0"/>
              <w:rPr>
                <w:rFonts w:eastAsia="Calibri"/>
                <w:sz w:val="18"/>
                <w:szCs w:val="18"/>
                <w:lang w:eastAsia="en-US"/>
              </w:rPr>
            </w:pPr>
            <w:r w:rsidRPr="008C4669">
              <w:rPr>
                <w:rFonts w:eastAsia="Calibri"/>
                <w:sz w:val="18"/>
                <w:szCs w:val="18"/>
                <w:lang w:eastAsia="en-US"/>
              </w:rPr>
              <w:t>Compañía Comercial Comernova</w:t>
            </w:r>
          </w:p>
        </w:tc>
        <w:tc>
          <w:tcPr>
            <w:tcW w:w="992" w:type="dxa"/>
            <w:shd w:val="clear" w:color="auto" w:fill="auto"/>
            <w:vAlign w:val="center"/>
          </w:tcPr>
          <w:p w14:paraId="354DD510"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10</w:t>
            </w:r>
          </w:p>
        </w:tc>
        <w:tc>
          <w:tcPr>
            <w:tcW w:w="1276" w:type="dxa"/>
            <w:shd w:val="clear" w:color="auto" w:fill="auto"/>
            <w:vAlign w:val="center"/>
          </w:tcPr>
          <w:p w14:paraId="05F38B73"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3.704</w:t>
            </w:r>
          </w:p>
        </w:tc>
        <w:tc>
          <w:tcPr>
            <w:tcW w:w="709" w:type="dxa"/>
            <w:shd w:val="clear" w:color="auto" w:fill="auto"/>
            <w:vAlign w:val="center"/>
          </w:tcPr>
          <w:p w14:paraId="6B397CF0"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992" w:type="dxa"/>
            <w:shd w:val="clear" w:color="auto" w:fill="auto"/>
            <w:vAlign w:val="center"/>
          </w:tcPr>
          <w:p w14:paraId="177AEBF1"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1276" w:type="dxa"/>
            <w:shd w:val="clear" w:color="auto" w:fill="auto"/>
            <w:vAlign w:val="center"/>
          </w:tcPr>
          <w:p w14:paraId="61BA2DA1"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6.44</w:t>
            </w:r>
          </w:p>
        </w:tc>
        <w:tc>
          <w:tcPr>
            <w:tcW w:w="1275" w:type="dxa"/>
            <w:shd w:val="clear" w:color="auto" w:fill="auto"/>
            <w:vAlign w:val="center"/>
          </w:tcPr>
          <w:p w14:paraId="3E75525B"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6.71</w:t>
            </w:r>
          </w:p>
        </w:tc>
      </w:tr>
      <w:tr w:rsidR="008C4669" w:rsidRPr="008C4669" w14:paraId="67C36673" w14:textId="77777777" w:rsidTr="008C4669">
        <w:trPr>
          <w:trHeight w:val="106"/>
          <w:jc w:val="center"/>
        </w:trPr>
        <w:tc>
          <w:tcPr>
            <w:tcW w:w="877" w:type="dxa"/>
            <w:shd w:val="clear" w:color="auto" w:fill="auto"/>
            <w:vAlign w:val="center"/>
          </w:tcPr>
          <w:p w14:paraId="34909D40" w14:textId="77777777" w:rsidR="008C4669" w:rsidRPr="008C4669" w:rsidRDefault="008C4669" w:rsidP="008C4669">
            <w:pPr>
              <w:autoSpaceDE w:val="0"/>
              <w:autoSpaceDN w:val="0"/>
              <w:adjustRightInd w:val="0"/>
              <w:jc w:val="center"/>
              <w:rPr>
                <w:rFonts w:eastAsia="Calibri"/>
                <w:bCs/>
                <w:sz w:val="18"/>
                <w:szCs w:val="18"/>
                <w:lang w:eastAsia="en-US"/>
              </w:rPr>
            </w:pPr>
            <w:r w:rsidRPr="008C4669">
              <w:rPr>
                <w:rFonts w:eastAsia="Calibri"/>
                <w:bCs/>
                <w:sz w:val="18"/>
                <w:szCs w:val="18"/>
                <w:lang w:eastAsia="en-US"/>
              </w:rPr>
              <w:t>13</w:t>
            </w:r>
          </w:p>
        </w:tc>
        <w:tc>
          <w:tcPr>
            <w:tcW w:w="2362" w:type="dxa"/>
            <w:shd w:val="clear" w:color="auto" w:fill="auto"/>
            <w:vAlign w:val="center"/>
          </w:tcPr>
          <w:p w14:paraId="2AED699B" w14:textId="77777777" w:rsidR="008C4669" w:rsidRPr="008C4669" w:rsidRDefault="008C4669" w:rsidP="008C4669">
            <w:pPr>
              <w:autoSpaceDE w:val="0"/>
              <w:autoSpaceDN w:val="0"/>
              <w:adjustRightInd w:val="0"/>
              <w:rPr>
                <w:rFonts w:eastAsia="Calibri"/>
                <w:sz w:val="18"/>
                <w:szCs w:val="18"/>
                <w:lang w:eastAsia="en-US"/>
              </w:rPr>
            </w:pPr>
            <w:r w:rsidRPr="008C4669">
              <w:rPr>
                <w:rFonts w:eastAsia="Calibri"/>
                <w:sz w:val="18"/>
                <w:szCs w:val="18"/>
                <w:lang w:eastAsia="en-US"/>
              </w:rPr>
              <w:t>Fimubac</w:t>
            </w:r>
          </w:p>
        </w:tc>
        <w:tc>
          <w:tcPr>
            <w:tcW w:w="992" w:type="dxa"/>
            <w:shd w:val="clear" w:color="auto" w:fill="auto"/>
            <w:vAlign w:val="center"/>
          </w:tcPr>
          <w:p w14:paraId="70F9327A"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1</w:t>
            </w:r>
          </w:p>
        </w:tc>
        <w:tc>
          <w:tcPr>
            <w:tcW w:w="1276" w:type="dxa"/>
            <w:shd w:val="clear" w:color="auto" w:fill="auto"/>
            <w:vAlign w:val="center"/>
          </w:tcPr>
          <w:p w14:paraId="231263FD"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1.088</w:t>
            </w:r>
          </w:p>
        </w:tc>
        <w:tc>
          <w:tcPr>
            <w:tcW w:w="709" w:type="dxa"/>
            <w:shd w:val="clear" w:color="auto" w:fill="auto"/>
            <w:vAlign w:val="center"/>
          </w:tcPr>
          <w:p w14:paraId="1392A985"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992" w:type="dxa"/>
            <w:shd w:val="clear" w:color="auto" w:fill="auto"/>
          </w:tcPr>
          <w:p w14:paraId="7C7E072A"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1276" w:type="dxa"/>
            <w:shd w:val="clear" w:color="auto" w:fill="auto"/>
          </w:tcPr>
          <w:p w14:paraId="09E5CAC6"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5.22</w:t>
            </w:r>
          </w:p>
        </w:tc>
        <w:tc>
          <w:tcPr>
            <w:tcW w:w="1275" w:type="dxa"/>
            <w:shd w:val="clear" w:color="auto" w:fill="auto"/>
          </w:tcPr>
          <w:p w14:paraId="4FA0D2CA"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6.69</w:t>
            </w:r>
          </w:p>
        </w:tc>
      </w:tr>
      <w:tr w:rsidR="008C4669" w:rsidRPr="008C4669" w14:paraId="3B3F8296" w14:textId="77777777" w:rsidTr="008C4669">
        <w:trPr>
          <w:trHeight w:val="106"/>
          <w:jc w:val="center"/>
        </w:trPr>
        <w:tc>
          <w:tcPr>
            <w:tcW w:w="877" w:type="dxa"/>
            <w:shd w:val="clear" w:color="auto" w:fill="auto"/>
            <w:vAlign w:val="center"/>
          </w:tcPr>
          <w:p w14:paraId="4E3E262A" w14:textId="77777777" w:rsidR="008C4669" w:rsidRPr="008C4669" w:rsidRDefault="008C4669" w:rsidP="008C4669">
            <w:pPr>
              <w:autoSpaceDE w:val="0"/>
              <w:autoSpaceDN w:val="0"/>
              <w:adjustRightInd w:val="0"/>
              <w:jc w:val="center"/>
              <w:rPr>
                <w:rFonts w:eastAsia="Calibri"/>
                <w:bCs/>
                <w:sz w:val="18"/>
                <w:szCs w:val="18"/>
                <w:lang w:eastAsia="en-US"/>
              </w:rPr>
            </w:pPr>
            <w:r w:rsidRPr="008C4669">
              <w:rPr>
                <w:rFonts w:eastAsia="Calibri"/>
                <w:bCs/>
                <w:sz w:val="18"/>
                <w:szCs w:val="18"/>
                <w:lang w:eastAsia="en-US"/>
              </w:rPr>
              <w:t>14</w:t>
            </w:r>
          </w:p>
        </w:tc>
        <w:tc>
          <w:tcPr>
            <w:tcW w:w="2362" w:type="dxa"/>
            <w:shd w:val="clear" w:color="auto" w:fill="auto"/>
            <w:vAlign w:val="center"/>
          </w:tcPr>
          <w:p w14:paraId="414AF1AC" w14:textId="77777777" w:rsidR="008C4669" w:rsidRPr="008C4669" w:rsidRDefault="008C4669" w:rsidP="008C4669">
            <w:pPr>
              <w:autoSpaceDE w:val="0"/>
              <w:autoSpaceDN w:val="0"/>
              <w:adjustRightInd w:val="0"/>
              <w:rPr>
                <w:rFonts w:eastAsia="Calibri"/>
                <w:sz w:val="18"/>
                <w:szCs w:val="18"/>
                <w:lang w:eastAsia="en-US"/>
              </w:rPr>
            </w:pPr>
            <w:r w:rsidRPr="008C4669">
              <w:rPr>
                <w:rFonts w:eastAsia="Calibri"/>
                <w:sz w:val="18"/>
                <w:szCs w:val="18"/>
                <w:lang w:eastAsia="en-US"/>
              </w:rPr>
              <w:t>Help Money</w:t>
            </w:r>
          </w:p>
        </w:tc>
        <w:tc>
          <w:tcPr>
            <w:tcW w:w="992" w:type="dxa"/>
            <w:shd w:val="clear" w:color="auto" w:fill="auto"/>
            <w:vAlign w:val="center"/>
          </w:tcPr>
          <w:p w14:paraId="73263A35"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1276" w:type="dxa"/>
            <w:shd w:val="clear" w:color="auto" w:fill="auto"/>
            <w:vAlign w:val="center"/>
          </w:tcPr>
          <w:p w14:paraId="1C940495"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709" w:type="dxa"/>
            <w:shd w:val="clear" w:color="auto" w:fill="auto"/>
            <w:vAlign w:val="center"/>
          </w:tcPr>
          <w:p w14:paraId="75808F62"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992" w:type="dxa"/>
            <w:shd w:val="clear" w:color="auto" w:fill="auto"/>
          </w:tcPr>
          <w:p w14:paraId="600998D6"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1276" w:type="dxa"/>
            <w:shd w:val="clear" w:color="auto" w:fill="auto"/>
          </w:tcPr>
          <w:p w14:paraId="6B393BDB"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4.70</w:t>
            </w:r>
          </w:p>
        </w:tc>
        <w:tc>
          <w:tcPr>
            <w:tcW w:w="1275" w:type="dxa"/>
            <w:shd w:val="clear" w:color="auto" w:fill="auto"/>
          </w:tcPr>
          <w:p w14:paraId="0DBA32E7"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6.68</w:t>
            </w:r>
          </w:p>
        </w:tc>
      </w:tr>
      <w:tr w:rsidR="008C4669" w:rsidRPr="008C4669" w14:paraId="042BA487" w14:textId="77777777" w:rsidTr="008C4669">
        <w:trPr>
          <w:trHeight w:val="106"/>
          <w:jc w:val="center"/>
        </w:trPr>
        <w:tc>
          <w:tcPr>
            <w:tcW w:w="877" w:type="dxa"/>
            <w:shd w:val="clear" w:color="auto" w:fill="auto"/>
            <w:vAlign w:val="center"/>
          </w:tcPr>
          <w:p w14:paraId="0E8196F4" w14:textId="77777777" w:rsidR="008C4669" w:rsidRPr="008C4669" w:rsidRDefault="008C4669" w:rsidP="008C4669">
            <w:pPr>
              <w:autoSpaceDE w:val="0"/>
              <w:autoSpaceDN w:val="0"/>
              <w:adjustRightInd w:val="0"/>
              <w:jc w:val="center"/>
              <w:rPr>
                <w:rFonts w:eastAsia="Calibri"/>
                <w:bCs/>
                <w:sz w:val="18"/>
                <w:szCs w:val="18"/>
                <w:lang w:eastAsia="en-US"/>
              </w:rPr>
            </w:pPr>
            <w:r w:rsidRPr="008C4669">
              <w:rPr>
                <w:rFonts w:eastAsia="Calibri"/>
                <w:bCs/>
                <w:sz w:val="18"/>
                <w:szCs w:val="18"/>
                <w:lang w:eastAsia="en-US"/>
              </w:rPr>
              <w:t>15</w:t>
            </w:r>
          </w:p>
        </w:tc>
        <w:tc>
          <w:tcPr>
            <w:tcW w:w="2362" w:type="dxa"/>
            <w:shd w:val="clear" w:color="auto" w:fill="auto"/>
            <w:vAlign w:val="center"/>
          </w:tcPr>
          <w:p w14:paraId="1C88B5AE" w14:textId="77777777" w:rsidR="008C4669" w:rsidRPr="008C4669" w:rsidRDefault="008C4669" w:rsidP="008C4669">
            <w:pPr>
              <w:autoSpaceDE w:val="0"/>
              <w:autoSpaceDN w:val="0"/>
              <w:adjustRightInd w:val="0"/>
              <w:rPr>
                <w:rFonts w:eastAsia="Calibri"/>
                <w:sz w:val="18"/>
                <w:szCs w:val="18"/>
                <w:lang w:eastAsia="en-US"/>
              </w:rPr>
            </w:pPr>
            <w:r w:rsidRPr="008C4669">
              <w:rPr>
                <w:rFonts w:eastAsia="Calibri"/>
                <w:sz w:val="18"/>
                <w:szCs w:val="18"/>
                <w:lang w:eastAsia="en-US"/>
              </w:rPr>
              <w:t>Sip Capital</w:t>
            </w:r>
          </w:p>
        </w:tc>
        <w:tc>
          <w:tcPr>
            <w:tcW w:w="992" w:type="dxa"/>
            <w:shd w:val="clear" w:color="auto" w:fill="auto"/>
            <w:vAlign w:val="center"/>
          </w:tcPr>
          <w:p w14:paraId="43AEA00A"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1276" w:type="dxa"/>
            <w:shd w:val="clear" w:color="auto" w:fill="auto"/>
            <w:vAlign w:val="center"/>
          </w:tcPr>
          <w:p w14:paraId="1D3E7295"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709" w:type="dxa"/>
            <w:shd w:val="clear" w:color="auto" w:fill="auto"/>
            <w:vAlign w:val="center"/>
          </w:tcPr>
          <w:p w14:paraId="7FBE7486"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992" w:type="dxa"/>
            <w:shd w:val="clear" w:color="auto" w:fill="auto"/>
          </w:tcPr>
          <w:p w14:paraId="488933F0"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1276" w:type="dxa"/>
            <w:shd w:val="clear" w:color="auto" w:fill="auto"/>
          </w:tcPr>
          <w:p w14:paraId="529A5062"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4.26</w:t>
            </w:r>
          </w:p>
        </w:tc>
        <w:tc>
          <w:tcPr>
            <w:tcW w:w="1275" w:type="dxa"/>
            <w:shd w:val="clear" w:color="auto" w:fill="auto"/>
          </w:tcPr>
          <w:p w14:paraId="050AA369"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6.57</w:t>
            </w:r>
          </w:p>
        </w:tc>
      </w:tr>
      <w:tr w:rsidR="008C4669" w:rsidRPr="008C4669" w14:paraId="20956627" w14:textId="77777777" w:rsidTr="008C4669">
        <w:trPr>
          <w:trHeight w:val="106"/>
          <w:jc w:val="center"/>
        </w:trPr>
        <w:tc>
          <w:tcPr>
            <w:tcW w:w="877" w:type="dxa"/>
            <w:shd w:val="clear" w:color="auto" w:fill="auto"/>
            <w:vAlign w:val="center"/>
          </w:tcPr>
          <w:p w14:paraId="1953770F" w14:textId="77777777" w:rsidR="008C4669" w:rsidRPr="008C4669" w:rsidRDefault="008C4669" w:rsidP="008C4669">
            <w:pPr>
              <w:autoSpaceDE w:val="0"/>
              <w:autoSpaceDN w:val="0"/>
              <w:adjustRightInd w:val="0"/>
              <w:jc w:val="center"/>
              <w:rPr>
                <w:rFonts w:eastAsia="Calibri"/>
                <w:bCs/>
                <w:sz w:val="18"/>
                <w:szCs w:val="18"/>
                <w:lang w:eastAsia="en-US"/>
              </w:rPr>
            </w:pPr>
            <w:r w:rsidRPr="008C4669">
              <w:rPr>
                <w:rFonts w:eastAsia="Calibri"/>
                <w:bCs/>
                <w:sz w:val="18"/>
                <w:szCs w:val="18"/>
                <w:lang w:eastAsia="en-US"/>
              </w:rPr>
              <w:t>16</w:t>
            </w:r>
          </w:p>
        </w:tc>
        <w:tc>
          <w:tcPr>
            <w:tcW w:w="2362" w:type="dxa"/>
            <w:shd w:val="clear" w:color="auto" w:fill="auto"/>
            <w:vAlign w:val="center"/>
          </w:tcPr>
          <w:p w14:paraId="320B2DC7" w14:textId="77777777" w:rsidR="008C4669" w:rsidRPr="008C4669" w:rsidRDefault="008C4669" w:rsidP="008C4669">
            <w:pPr>
              <w:autoSpaceDE w:val="0"/>
              <w:autoSpaceDN w:val="0"/>
              <w:adjustRightInd w:val="0"/>
              <w:rPr>
                <w:rFonts w:eastAsia="Calibri"/>
                <w:sz w:val="18"/>
                <w:szCs w:val="18"/>
                <w:lang w:eastAsia="en-US"/>
              </w:rPr>
            </w:pPr>
            <w:r w:rsidRPr="008C4669">
              <w:rPr>
                <w:rFonts w:eastAsia="Calibri"/>
                <w:sz w:val="18"/>
                <w:szCs w:val="18"/>
                <w:lang w:eastAsia="en-US"/>
              </w:rPr>
              <w:t>Cibago Capital</w:t>
            </w:r>
          </w:p>
        </w:tc>
        <w:tc>
          <w:tcPr>
            <w:tcW w:w="992" w:type="dxa"/>
            <w:shd w:val="clear" w:color="auto" w:fill="auto"/>
            <w:vAlign w:val="center"/>
          </w:tcPr>
          <w:p w14:paraId="71E7EF07"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1276" w:type="dxa"/>
            <w:shd w:val="clear" w:color="auto" w:fill="auto"/>
            <w:vAlign w:val="center"/>
          </w:tcPr>
          <w:p w14:paraId="69C9C12C"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709" w:type="dxa"/>
            <w:shd w:val="clear" w:color="auto" w:fill="auto"/>
            <w:vAlign w:val="center"/>
          </w:tcPr>
          <w:p w14:paraId="7C04A8E5"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992" w:type="dxa"/>
            <w:shd w:val="clear" w:color="auto" w:fill="auto"/>
            <w:vAlign w:val="center"/>
          </w:tcPr>
          <w:p w14:paraId="59D05951"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1276" w:type="dxa"/>
            <w:shd w:val="clear" w:color="auto" w:fill="auto"/>
            <w:vAlign w:val="center"/>
          </w:tcPr>
          <w:p w14:paraId="28FF69A5"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4.00</w:t>
            </w:r>
          </w:p>
        </w:tc>
        <w:tc>
          <w:tcPr>
            <w:tcW w:w="1275" w:type="dxa"/>
            <w:shd w:val="clear" w:color="auto" w:fill="auto"/>
            <w:vAlign w:val="center"/>
          </w:tcPr>
          <w:p w14:paraId="6984A406"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6.50</w:t>
            </w:r>
          </w:p>
        </w:tc>
      </w:tr>
      <w:tr w:rsidR="008C4669" w:rsidRPr="008C4669" w14:paraId="671C1676" w14:textId="77777777" w:rsidTr="008C4669">
        <w:trPr>
          <w:trHeight w:val="106"/>
          <w:jc w:val="center"/>
        </w:trPr>
        <w:tc>
          <w:tcPr>
            <w:tcW w:w="877" w:type="dxa"/>
            <w:shd w:val="clear" w:color="auto" w:fill="auto"/>
            <w:vAlign w:val="center"/>
          </w:tcPr>
          <w:p w14:paraId="1E7CB632" w14:textId="77777777" w:rsidR="008C4669" w:rsidRPr="008C4669" w:rsidRDefault="008C4669" w:rsidP="008C4669">
            <w:pPr>
              <w:autoSpaceDE w:val="0"/>
              <w:autoSpaceDN w:val="0"/>
              <w:adjustRightInd w:val="0"/>
              <w:jc w:val="center"/>
              <w:rPr>
                <w:rFonts w:eastAsia="Calibri"/>
                <w:bCs/>
                <w:sz w:val="18"/>
                <w:szCs w:val="18"/>
                <w:lang w:eastAsia="en-US"/>
              </w:rPr>
            </w:pPr>
            <w:r w:rsidRPr="008C4669">
              <w:rPr>
                <w:rFonts w:eastAsia="Calibri"/>
                <w:bCs/>
                <w:sz w:val="18"/>
                <w:szCs w:val="18"/>
                <w:lang w:eastAsia="en-US"/>
              </w:rPr>
              <w:t>17</w:t>
            </w:r>
          </w:p>
        </w:tc>
        <w:tc>
          <w:tcPr>
            <w:tcW w:w="2362" w:type="dxa"/>
            <w:shd w:val="clear" w:color="auto" w:fill="auto"/>
            <w:vAlign w:val="center"/>
          </w:tcPr>
          <w:p w14:paraId="31664F57" w14:textId="77777777" w:rsidR="008C4669" w:rsidRPr="008C4669" w:rsidRDefault="008C4669" w:rsidP="008C4669">
            <w:pPr>
              <w:autoSpaceDE w:val="0"/>
              <w:autoSpaceDN w:val="0"/>
              <w:adjustRightInd w:val="0"/>
              <w:rPr>
                <w:rFonts w:eastAsia="Calibri"/>
                <w:sz w:val="18"/>
                <w:szCs w:val="18"/>
                <w:lang w:eastAsia="en-US"/>
              </w:rPr>
            </w:pPr>
            <w:r w:rsidRPr="008C4669">
              <w:rPr>
                <w:rFonts w:eastAsia="Calibri"/>
                <w:sz w:val="18"/>
                <w:szCs w:val="18"/>
                <w:lang w:eastAsia="en-US"/>
              </w:rPr>
              <w:t>JCA Tecnología</w:t>
            </w:r>
          </w:p>
        </w:tc>
        <w:tc>
          <w:tcPr>
            <w:tcW w:w="992" w:type="dxa"/>
            <w:shd w:val="clear" w:color="auto" w:fill="auto"/>
            <w:vAlign w:val="center"/>
          </w:tcPr>
          <w:p w14:paraId="3CFE98C5"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1276" w:type="dxa"/>
            <w:shd w:val="clear" w:color="auto" w:fill="auto"/>
            <w:vAlign w:val="center"/>
          </w:tcPr>
          <w:p w14:paraId="0E378115"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709" w:type="dxa"/>
            <w:shd w:val="clear" w:color="auto" w:fill="auto"/>
            <w:vAlign w:val="center"/>
          </w:tcPr>
          <w:p w14:paraId="025FA8FF"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992" w:type="dxa"/>
            <w:shd w:val="clear" w:color="auto" w:fill="auto"/>
            <w:vAlign w:val="center"/>
          </w:tcPr>
          <w:p w14:paraId="2AE2F21D"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1276" w:type="dxa"/>
            <w:shd w:val="clear" w:color="auto" w:fill="auto"/>
            <w:vAlign w:val="center"/>
          </w:tcPr>
          <w:p w14:paraId="5F6F1435"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3.90</w:t>
            </w:r>
          </w:p>
        </w:tc>
        <w:tc>
          <w:tcPr>
            <w:tcW w:w="1275" w:type="dxa"/>
            <w:shd w:val="clear" w:color="auto" w:fill="auto"/>
            <w:vAlign w:val="center"/>
          </w:tcPr>
          <w:p w14:paraId="436725A5"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6.48</w:t>
            </w:r>
          </w:p>
        </w:tc>
      </w:tr>
      <w:tr w:rsidR="008C4669" w:rsidRPr="008C4669" w14:paraId="11748AF0" w14:textId="77777777" w:rsidTr="008C4669">
        <w:trPr>
          <w:trHeight w:val="106"/>
          <w:jc w:val="center"/>
        </w:trPr>
        <w:tc>
          <w:tcPr>
            <w:tcW w:w="877" w:type="dxa"/>
            <w:shd w:val="clear" w:color="auto" w:fill="auto"/>
            <w:vAlign w:val="center"/>
          </w:tcPr>
          <w:p w14:paraId="3B969FCF" w14:textId="77777777" w:rsidR="008C4669" w:rsidRPr="008C4669" w:rsidRDefault="008C4669" w:rsidP="008C4669">
            <w:pPr>
              <w:autoSpaceDE w:val="0"/>
              <w:autoSpaceDN w:val="0"/>
              <w:adjustRightInd w:val="0"/>
              <w:jc w:val="center"/>
              <w:rPr>
                <w:rFonts w:eastAsia="Calibri"/>
                <w:bCs/>
                <w:sz w:val="18"/>
                <w:szCs w:val="18"/>
                <w:lang w:eastAsia="en-US"/>
              </w:rPr>
            </w:pPr>
            <w:r w:rsidRPr="008C4669">
              <w:rPr>
                <w:rFonts w:eastAsia="Calibri"/>
                <w:bCs/>
                <w:sz w:val="18"/>
                <w:szCs w:val="18"/>
                <w:lang w:eastAsia="en-US"/>
              </w:rPr>
              <w:t>18</w:t>
            </w:r>
          </w:p>
        </w:tc>
        <w:tc>
          <w:tcPr>
            <w:tcW w:w="2362" w:type="dxa"/>
            <w:shd w:val="clear" w:color="auto" w:fill="auto"/>
            <w:vAlign w:val="center"/>
          </w:tcPr>
          <w:p w14:paraId="1C7D941B" w14:textId="77777777" w:rsidR="008C4669" w:rsidRPr="008C4669" w:rsidRDefault="008C4669" w:rsidP="008C4669">
            <w:pPr>
              <w:autoSpaceDE w:val="0"/>
              <w:autoSpaceDN w:val="0"/>
              <w:adjustRightInd w:val="0"/>
              <w:rPr>
                <w:rFonts w:eastAsia="Calibri"/>
                <w:sz w:val="18"/>
                <w:szCs w:val="18"/>
                <w:lang w:eastAsia="en-US"/>
              </w:rPr>
            </w:pPr>
            <w:r w:rsidRPr="008C4669">
              <w:rPr>
                <w:rFonts w:eastAsia="Calibri"/>
                <w:sz w:val="18"/>
                <w:szCs w:val="18"/>
                <w:lang w:eastAsia="en-US"/>
              </w:rPr>
              <w:t>DXN Express</w:t>
            </w:r>
          </w:p>
        </w:tc>
        <w:tc>
          <w:tcPr>
            <w:tcW w:w="992" w:type="dxa"/>
            <w:shd w:val="clear" w:color="auto" w:fill="auto"/>
            <w:vAlign w:val="center"/>
          </w:tcPr>
          <w:p w14:paraId="18A7835D"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1276" w:type="dxa"/>
            <w:shd w:val="clear" w:color="auto" w:fill="auto"/>
            <w:vAlign w:val="center"/>
          </w:tcPr>
          <w:p w14:paraId="6D67390F"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709" w:type="dxa"/>
            <w:shd w:val="clear" w:color="auto" w:fill="auto"/>
            <w:vAlign w:val="center"/>
          </w:tcPr>
          <w:p w14:paraId="2C04F015"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992" w:type="dxa"/>
            <w:shd w:val="clear" w:color="auto" w:fill="auto"/>
            <w:vAlign w:val="center"/>
          </w:tcPr>
          <w:p w14:paraId="547B2461"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1276" w:type="dxa"/>
            <w:shd w:val="clear" w:color="auto" w:fill="auto"/>
          </w:tcPr>
          <w:p w14:paraId="132F7369"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3.50</w:t>
            </w:r>
          </w:p>
        </w:tc>
        <w:tc>
          <w:tcPr>
            <w:tcW w:w="1275" w:type="dxa"/>
            <w:shd w:val="clear" w:color="auto" w:fill="auto"/>
          </w:tcPr>
          <w:p w14:paraId="1E6B3247"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6.38</w:t>
            </w:r>
          </w:p>
        </w:tc>
      </w:tr>
      <w:tr w:rsidR="008C4669" w:rsidRPr="008C4669" w14:paraId="2DC8487A" w14:textId="77777777" w:rsidTr="008C4669">
        <w:trPr>
          <w:trHeight w:val="106"/>
          <w:jc w:val="center"/>
        </w:trPr>
        <w:tc>
          <w:tcPr>
            <w:tcW w:w="877" w:type="dxa"/>
            <w:shd w:val="clear" w:color="auto" w:fill="auto"/>
            <w:vAlign w:val="center"/>
          </w:tcPr>
          <w:p w14:paraId="3F02D50E" w14:textId="77777777" w:rsidR="008C4669" w:rsidRPr="008C4669" w:rsidRDefault="008C4669" w:rsidP="008C4669">
            <w:pPr>
              <w:autoSpaceDE w:val="0"/>
              <w:autoSpaceDN w:val="0"/>
              <w:adjustRightInd w:val="0"/>
              <w:jc w:val="center"/>
              <w:rPr>
                <w:rFonts w:eastAsia="Calibri"/>
                <w:bCs/>
                <w:sz w:val="18"/>
                <w:szCs w:val="18"/>
                <w:lang w:eastAsia="en-US"/>
              </w:rPr>
            </w:pPr>
            <w:r w:rsidRPr="008C4669">
              <w:rPr>
                <w:rFonts w:eastAsia="Calibri"/>
                <w:bCs/>
                <w:sz w:val="18"/>
                <w:szCs w:val="18"/>
                <w:lang w:eastAsia="en-US"/>
              </w:rPr>
              <w:t>19</w:t>
            </w:r>
          </w:p>
        </w:tc>
        <w:tc>
          <w:tcPr>
            <w:tcW w:w="2362" w:type="dxa"/>
            <w:shd w:val="clear" w:color="auto" w:fill="auto"/>
            <w:vAlign w:val="center"/>
          </w:tcPr>
          <w:p w14:paraId="6AB458F1" w14:textId="77777777" w:rsidR="008C4669" w:rsidRPr="008C4669" w:rsidRDefault="008C4669" w:rsidP="008C4669">
            <w:pPr>
              <w:autoSpaceDE w:val="0"/>
              <w:autoSpaceDN w:val="0"/>
              <w:adjustRightInd w:val="0"/>
              <w:rPr>
                <w:rFonts w:eastAsia="Calibri"/>
                <w:sz w:val="18"/>
                <w:szCs w:val="18"/>
                <w:lang w:eastAsia="en-US"/>
              </w:rPr>
            </w:pPr>
            <w:r w:rsidRPr="008C4669">
              <w:rPr>
                <w:rFonts w:eastAsia="Calibri"/>
                <w:sz w:val="18"/>
                <w:szCs w:val="18"/>
                <w:lang w:eastAsia="en-US"/>
              </w:rPr>
              <w:t>Administra tu futuro</w:t>
            </w:r>
          </w:p>
        </w:tc>
        <w:tc>
          <w:tcPr>
            <w:tcW w:w="992" w:type="dxa"/>
            <w:shd w:val="clear" w:color="auto" w:fill="auto"/>
            <w:vAlign w:val="center"/>
          </w:tcPr>
          <w:p w14:paraId="23C5141B"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1276" w:type="dxa"/>
            <w:shd w:val="clear" w:color="auto" w:fill="auto"/>
            <w:vAlign w:val="center"/>
          </w:tcPr>
          <w:p w14:paraId="5AA121A1"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709" w:type="dxa"/>
            <w:shd w:val="clear" w:color="auto" w:fill="auto"/>
            <w:vAlign w:val="center"/>
          </w:tcPr>
          <w:p w14:paraId="729404D0"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992" w:type="dxa"/>
            <w:shd w:val="clear" w:color="auto" w:fill="auto"/>
            <w:vAlign w:val="center"/>
          </w:tcPr>
          <w:p w14:paraId="33898BE9" w14:textId="77777777" w:rsidR="008C4669" w:rsidRPr="008C4669" w:rsidRDefault="008C4669" w:rsidP="008C4669">
            <w:pPr>
              <w:autoSpaceDE w:val="0"/>
              <w:autoSpaceDN w:val="0"/>
              <w:adjustRightInd w:val="0"/>
              <w:jc w:val="center"/>
              <w:rPr>
                <w:rFonts w:eastAsia="Calibri"/>
                <w:b/>
                <w:sz w:val="18"/>
                <w:szCs w:val="18"/>
                <w:lang w:eastAsia="en-US"/>
              </w:rPr>
            </w:pPr>
            <w:r w:rsidRPr="008C4669">
              <w:rPr>
                <w:rFonts w:eastAsia="Calibri"/>
                <w:sz w:val="18"/>
                <w:szCs w:val="18"/>
                <w:lang w:eastAsia="en-US"/>
              </w:rPr>
              <w:t>—</w:t>
            </w:r>
          </w:p>
        </w:tc>
        <w:tc>
          <w:tcPr>
            <w:tcW w:w="1276" w:type="dxa"/>
            <w:shd w:val="clear" w:color="auto" w:fill="auto"/>
            <w:vAlign w:val="center"/>
          </w:tcPr>
          <w:p w14:paraId="3EC9364C"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3.50</w:t>
            </w:r>
          </w:p>
        </w:tc>
        <w:tc>
          <w:tcPr>
            <w:tcW w:w="1275" w:type="dxa"/>
            <w:shd w:val="clear" w:color="auto" w:fill="auto"/>
            <w:vAlign w:val="center"/>
          </w:tcPr>
          <w:p w14:paraId="4834D47B"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6.38</w:t>
            </w:r>
          </w:p>
        </w:tc>
      </w:tr>
      <w:tr w:rsidR="008C4669" w:rsidRPr="008C4669" w14:paraId="6557C075" w14:textId="77777777" w:rsidTr="008C4669">
        <w:trPr>
          <w:trHeight w:val="106"/>
          <w:jc w:val="center"/>
        </w:trPr>
        <w:tc>
          <w:tcPr>
            <w:tcW w:w="877" w:type="dxa"/>
            <w:shd w:val="clear" w:color="auto" w:fill="auto"/>
            <w:vAlign w:val="center"/>
          </w:tcPr>
          <w:p w14:paraId="77914955" w14:textId="77777777" w:rsidR="008C4669" w:rsidRPr="008C4669" w:rsidRDefault="008C4669" w:rsidP="008C4669">
            <w:pPr>
              <w:autoSpaceDE w:val="0"/>
              <w:autoSpaceDN w:val="0"/>
              <w:adjustRightInd w:val="0"/>
              <w:jc w:val="center"/>
              <w:rPr>
                <w:rFonts w:eastAsia="Calibri"/>
                <w:bCs/>
                <w:sz w:val="18"/>
                <w:szCs w:val="18"/>
                <w:lang w:eastAsia="en-US"/>
              </w:rPr>
            </w:pPr>
            <w:r w:rsidRPr="008C4669">
              <w:rPr>
                <w:rFonts w:eastAsia="Calibri"/>
                <w:bCs/>
                <w:sz w:val="18"/>
                <w:szCs w:val="18"/>
                <w:lang w:eastAsia="en-US"/>
              </w:rPr>
              <w:t>20</w:t>
            </w:r>
          </w:p>
        </w:tc>
        <w:tc>
          <w:tcPr>
            <w:tcW w:w="2362" w:type="dxa"/>
            <w:shd w:val="clear" w:color="auto" w:fill="auto"/>
            <w:vAlign w:val="center"/>
          </w:tcPr>
          <w:p w14:paraId="1BB739FE" w14:textId="77777777" w:rsidR="008C4669" w:rsidRPr="008C4669" w:rsidRDefault="008C4669" w:rsidP="008C4669">
            <w:pPr>
              <w:autoSpaceDE w:val="0"/>
              <w:autoSpaceDN w:val="0"/>
              <w:adjustRightInd w:val="0"/>
              <w:rPr>
                <w:rFonts w:eastAsia="Calibri"/>
                <w:sz w:val="18"/>
                <w:szCs w:val="18"/>
                <w:lang w:eastAsia="en-US"/>
              </w:rPr>
            </w:pPr>
            <w:r w:rsidRPr="008C4669">
              <w:rPr>
                <w:rFonts w:eastAsia="Calibri"/>
                <w:sz w:val="18"/>
                <w:szCs w:val="18"/>
                <w:lang w:eastAsia="en-US"/>
              </w:rPr>
              <w:t>Servicios a la Microempresa ANDAR</w:t>
            </w:r>
          </w:p>
        </w:tc>
        <w:tc>
          <w:tcPr>
            <w:tcW w:w="992" w:type="dxa"/>
            <w:shd w:val="clear" w:color="auto" w:fill="auto"/>
            <w:vAlign w:val="center"/>
          </w:tcPr>
          <w:p w14:paraId="5F387F57"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1276" w:type="dxa"/>
            <w:shd w:val="clear" w:color="auto" w:fill="auto"/>
            <w:vAlign w:val="center"/>
          </w:tcPr>
          <w:p w14:paraId="157A240B"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709" w:type="dxa"/>
            <w:shd w:val="clear" w:color="auto" w:fill="auto"/>
            <w:vAlign w:val="center"/>
          </w:tcPr>
          <w:p w14:paraId="09C58201"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992" w:type="dxa"/>
            <w:shd w:val="clear" w:color="auto" w:fill="auto"/>
            <w:vAlign w:val="center"/>
          </w:tcPr>
          <w:p w14:paraId="79192931" w14:textId="77777777" w:rsidR="008C4669" w:rsidRPr="008C4669" w:rsidRDefault="008C4669" w:rsidP="008C4669">
            <w:pPr>
              <w:autoSpaceDE w:val="0"/>
              <w:autoSpaceDN w:val="0"/>
              <w:adjustRightInd w:val="0"/>
              <w:jc w:val="center"/>
              <w:rPr>
                <w:rFonts w:eastAsia="Calibri"/>
                <w:b/>
                <w:sz w:val="18"/>
                <w:szCs w:val="18"/>
                <w:lang w:eastAsia="en-US"/>
              </w:rPr>
            </w:pPr>
            <w:r w:rsidRPr="008C4669">
              <w:rPr>
                <w:rFonts w:eastAsia="Calibri"/>
                <w:sz w:val="18"/>
                <w:szCs w:val="18"/>
                <w:lang w:eastAsia="en-US"/>
              </w:rPr>
              <w:t>—</w:t>
            </w:r>
          </w:p>
        </w:tc>
        <w:tc>
          <w:tcPr>
            <w:tcW w:w="1276" w:type="dxa"/>
            <w:shd w:val="clear" w:color="auto" w:fill="auto"/>
            <w:vAlign w:val="center"/>
          </w:tcPr>
          <w:p w14:paraId="554E2BEB"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3.20</w:t>
            </w:r>
          </w:p>
        </w:tc>
        <w:tc>
          <w:tcPr>
            <w:tcW w:w="1275" w:type="dxa"/>
            <w:shd w:val="clear" w:color="auto" w:fill="auto"/>
            <w:vAlign w:val="center"/>
          </w:tcPr>
          <w:p w14:paraId="32F7BE99"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6.30</w:t>
            </w:r>
          </w:p>
        </w:tc>
      </w:tr>
      <w:tr w:rsidR="008C4669" w:rsidRPr="008C4669" w14:paraId="0110942B" w14:textId="77777777" w:rsidTr="008C4669">
        <w:trPr>
          <w:trHeight w:val="106"/>
          <w:jc w:val="center"/>
        </w:trPr>
        <w:tc>
          <w:tcPr>
            <w:tcW w:w="877" w:type="dxa"/>
            <w:shd w:val="clear" w:color="auto" w:fill="auto"/>
            <w:vAlign w:val="center"/>
          </w:tcPr>
          <w:p w14:paraId="727F3047" w14:textId="77777777" w:rsidR="008C4669" w:rsidRPr="008C4669" w:rsidRDefault="008C4669" w:rsidP="008C4669">
            <w:pPr>
              <w:autoSpaceDE w:val="0"/>
              <w:autoSpaceDN w:val="0"/>
              <w:adjustRightInd w:val="0"/>
              <w:jc w:val="center"/>
              <w:rPr>
                <w:rFonts w:eastAsia="Calibri"/>
                <w:bCs/>
                <w:sz w:val="18"/>
                <w:szCs w:val="18"/>
                <w:lang w:eastAsia="en-US"/>
              </w:rPr>
            </w:pPr>
            <w:r w:rsidRPr="008C4669">
              <w:rPr>
                <w:rFonts w:eastAsia="Calibri"/>
                <w:bCs/>
                <w:sz w:val="18"/>
                <w:szCs w:val="18"/>
                <w:lang w:eastAsia="en-US"/>
              </w:rPr>
              <w:t>21</w:t>
            </w:r>
          </w:p>
        </w:tc>
        <w:tc>
          <w:tcPr>
            <w:tcW w:w="2362" w:type="dxa"/>
            <w:shd w:val="clear" w:color="auto" w:fill="auto"/>
            <w:vAlign w:val="center"/>
          </w:tcPr>
          <w:p w14:paraId="146C0397" w14:textId="77777777" w:rsidR="008C4669" w:rsidRPr="008C4669" w:rsidRDefault="008C4669" w:rsidP="008C4669">
            <w:pPr>
              <w:autoSpaceDE w:val="0"/>
              <w:autoSpaceDN w:val="0"/>
              <w:adjustRightInd w:val="0"/>
              <w:rPr>
                <w:rFonts w:eastAsia="Calibri"/>
                <w:sz w:val="18"/>
                <w:szCs w:val="18"/>
                <w:lang w:eastAsia="en-US"/>
              </w:rPr>
            </w:pPr>
            <w:r w:rsidRPr="008C4669">
              <w:rPr>
                <w:rFonts w:eastAsia="Calibri"/>
                <w:sz w:val="18"/>
                <w:szCs w:val="18"/>
                <w:lang w:eastAsia="en-US"/>
              </w:rPr>
              <w:t>Aliados Financieros del Golfo</w:t>
            </w:r>
          </w:p>
        </w:tc>
        <w:tc>
          <w:tcPr>
            <w:tcW w:w="992" w:type="dxa"/>
            <w:shd w:val="clear" w:color="auto" w:fill="auto"/>
            <w:vAlign w:val="center"/>
          </w:tcPr>
          <w:p w14:paraId="0ED26BA2"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1276" w:type="dxa"/>
            <w:shd w:val="clear" w:color="auto" w:fill="auto"/>
            <w:vAlign w:val="center"/>
          </w:tcPr>
          <w:p w14:paraId="3977ED09"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709" w:type="dxa"/>
            <w:shd w:val="clear" w:color="auto" w:fill="auto"/>
            <w:vAlign w:val="center"/>
          </w:tcPr>
          <w:p w14:paraId="48CD3B2D"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992" w:type="dxa"/>
            <w:shd w:val="clear" w:color="auto" w:fill="auto"/>
            <w:vAlign w:val="center"/>
          </w:tcPr>
          <w:p w14:paraId="0463FD13" w14:textId="77777777" w:rsidR="008C4669" w:rsidRPr="008C4669" w:rsidRDefault="008C4669" w:rsidP="008C4669">
            <w:pPr>
              <w:autoSpaceDE w:val="0"/>
              <w:autoSpaceDN w:val="0"/>
              <w:adjustRightInd w:val="0"/>
              <w:jc w:val="center"/>
              <w:rPr>
                <w:rFonts w:eastAsia="Calibri"/>
                <w:b/>
                <w:sz w:val="18"/>
                <w:szCs w:val="18"/>
                <w:lang w:eastAsia="en-US"/>
              </w:rPr>
            </w:pPr>
            <w:r w:rsidRPr="008C4669">
              <w:rPr>
                <w:rFonts w:eastAsia="Calibri"/>
                <w:sz w:val="18"/>
                <w:szCs w:val="18"/>
                <w:lang w:eastAsia="en-US"/>
              </w:rPr>
              <w:t>—</w:t>
            </w:r>
          </w:p>
        </w:tc>
        <w:tc>
          <w:tcPr>
            <w:tcW w:w="1276" w:type="dxa"/>
            <w:shd w:val="clear" w:color="auto" w:fill="auto"/>
            <w:vAlign w:val="center"/>
          </w:tcPr>
          <w:p w14:paraId="0AF07F92"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2.90</w:t>
            </w:r>
          </w:p>
        </w:tc>
        <w:tc>
          <w:tcPr>
            <w:tcW w:w="1275" w:type="dxa"/>
            <w:shd w:val="clear" w:color="auto" w:fill="auto"/>
            <w:vAlign w:val="center"/>
          </w:tcPr>
          <w:p w14:paraId="475ACA52" w14:textId="77777777" w:rsidR="008C4669" w:rsidRPr="008C4669" w:rsidRDefault="008C4669" w:rsidP="008C4669">
            <w:pPr>
              <w:autoSpaceDE w:val="0"/>
              <w:autoSpaceDN w:val="0"/>
              <w:adjustRightInd w:val="0"/>
              <w:jc w:val="center"/>
              <w:rPr>
                <w:rFonts w:ascii="Myriad Pro Light" w:eastAsia="Calibri" w:hAnsi="Myriad Pro Light"/>
                <w:sz w:val="18"/>
                <w:szCs w:val="18"/>
                <w:lang w:eastAsia="en-US"/>
              </w:rPr>
            </w:pPr>
            <w:r w:rsidRPr="008C4669">
              <w:rPr>
                <w:rFonts w:eastAsia="Calibri"/>
                <w:sz w:val="18"/>
                <w:szCs w:val="18"/>
                <w:lang w:eastAsia="en-US"/>
              </w:rPr>
              <w:t>6.23</w:t>
            </w:r>
          </w:p>
        </w:tc>
      </w:tr>
      <w:tr w:rsidR="008C4669" w:rsidRPr="008C4669" w14:paraId="04537877" w14:textId="77777777" w:rsidTr="008C4669">
        <w:trPr>
          <w:trHeight w:val="106"/>
          <w:jc w:val="center"/>
        </w:trPr>
        <w:tc>
          <w:tcPr>
            <w:tcW w:w="877" w:type="dxa"/>
            <w:shd w:val="clear" w:color="auto" w:fill="auto"/>
            <w:vAlign w:val="center"/>
          </w:tcPr>
          <w:p w14:paraId="7410EA11" w14:textId="77777777" w:rsidR="008C4669" w:rsidRPr="008C4669" w:rsidRDefault="008C4669" w:rsidP="008C4669">
            <w:pPr>
              <w:autoSpaceDE w:val="0"/>
              <w:autoSpaceDN w:val="0"/>
              <w:adjustRightInd w:val="0"/>
              <w:jc w:val="center"/>
              <w:rPr>
                <w:rFonts w:eastAsia="Calibri"/>
                <w:bCs/>
                <w:sz w:val="18"/>
                <w:szCs w:val="18"/>
                <w:lang w:eastAsia="en-US"/>
              </w:rPr>
            </w:pPr>
            <w:r w:rsidRPr="008C4669">
              <w:rPr>
                <w:rFonts w:eastAsia="Calibri"/>
                <w:bCs/>
                <w:sz w:val="18"/>
                <w:szCs w:val="18"/>
                <w:lang w:eastAsia="en-US"/>
              </w:rPr>
              <w:t>22</w:t>
            </w:r>
          </w:p>
        </w:tc>
        <w:tc>
          <w:tcPr>
            <w:tcW w:w="2362" w:type="dxa"/>
            <w:shd w:val="clear" w:color="auto" w:fill="auto"/>
            <w:vAlign w:val="center"/>
          </w:tcPr>
          <w:p w14:paraId="47F09413" w14:textId="77777777" w:rsidR="008C4669" w:rsidRPr="008C4669" w:rsidRDefault="008C4669" w:rsidP="008C4669">
            <w:pPr>
              <w:autoSpaceDE w:val="0"/>
              <w:autoSpaceDN w:val="0"/>
              <w:adjustRightInd w:val="0"/>
              <w:rPr>
                <w:rFonts w:eastAsia="Calibri"/>
                <w:sz w:val="18"/>
                <w:szCs w:val="18"/>
                <w:lang w:eastAsia="en-US"/>
              </w:rPr>
            </w:pPr>
            <w:r w:rsidRPr="008C4669">
              <w:rPr>
                <w:rFonts w:eastAsia="Calibri"/>
                <w:sz w:val="18"/>
                <w:szCs w:val="18"/>
                <w:lang w:eastAsia="en-US"/>
              </w:rPr>
              <w:t>Arco Servicios Financieros</w:t>
            </w:r>
          </w:p>
        </w:tc>
        <w:tc>
          <w:tcPr>
            <w:tcW w:w="992" w:type="dxa"/>
            <w:shd w:val="clear" w:color="auto" w:fill="auto"/>
            <w:vAlign w:val="center"/>
          </w:tcPr>
          <w:p w14:paraId="736D72B1"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1276" w:type="dxa"/>
            <w:shd w:val="clear" w:color="auto" w:fill="auto"/>
            <w:vAlign w:val="center"/>
          </w:tcPr>
          <w:p w14:paraId="48D5EFAE"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709" w:type="dxa"/>
            <w:shd w:val="clear" w:color="auto" w:fill="auto"/>
            <w:vAlign w:val="center"/>
          </w:tcPr>
          <w:p w14:paraId="5258B7F5"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992" w:type="dxa"/>
            <w:shd w:val="clear" w:color="auto" w:fill="auto"/>
            <w:vAlign w:val="center"/>
          </w:tcPr>
          <w:p w14:paraId="3096125D" w14:textId="77777777" w:rsidR="008C4669" w:rsidRPr="008C4669" w:rsidRDefault="008C4669" w:rsidP="008C4669">
            <w:pPr>
              <w:autoSpaceDE w:val="0"/>
              <w:autoSpaceDN w:val="0"/>
              <w:adjustRightInd w:val="0"/>
              <w:jc w:val="center"/>
              <w:rPr>
                <w:rFonts w:eastAsia="Calibri"/>
                <w:b/>
                <w:sz w:val="18"/>
                <w:szCs w:val="18"/>
                <w:lang w:eastAsia="en-US"/>
              </w:rPr>
            </w:pPr>
            <w:r w:rsidRPr="008C4669">
              <w:rPr>
                <w:rFonts w:eastAsia="Calibri"/>
                <w:sz w:val="18"/>
                <w:szCs w:val="18"/>
                <w:lang w:eastAsia="en-US"/>
              </w:rPr>
              <w:t>—</w:t>
            </w:r>
          </w:p>
        </w:tc>
        <w:tc>
          <w:tcPr>
            <w:tcW w:w="1276" w:type="dxa"/>
            <w:shd w:val="clear" w:color="auto" w:fill="auto"/>
            <w:vAlign w:val="center"/>
          </w:tcPr>
          <w:p w14:paraId="084B43E5"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2.70</w:t>
            </w:r>
          </w:p>
        </w:tc>
        <w:tc>
          <w:tcPr>
            <w:tcW w:w="1275" w:type="dxa"/>
            <w:shd w:val="clear" w:color="auto" w:fill="auto"/>
            <w:vAlign w:val="center"/>
          </w:tcPr>
          <w:p w14:paraId="4A784DF4"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6.18</w:t>
            </w:r>
          </w:p>
        </w:tc>
      </w:tr>
      <w:tr w:rsidR="008C4669" w:rsidRPr="008C4669" w14:paraId="52786C38" w14:textId="77777777" w:rsidTr="008C4669">
        <w:trPr>
          <w:trHeight w:val="106"/>
          <w:jc w:val="center"/>
        </w:trPr>
        <w:tc>
          <w:tcPr>
            <w:tcW w:w="877" w:type="dxa"/>
            <w:shd w:val="clear" w:color="auto" w:fill="auto"/>
            <w:vAlign w:val="center"/>
          </w:tcPr>
          <w:p w14:paraId="11411326" w14:textId="77777777" w:rsidR="008C4669" w:rsidRPr="008C4669" w:rsidRDefault="008C4669" w:rsidP="008C4669">
            <w:pPr>
              <w:autoSpaceDE w:val="0"/>
              <w:autoSpaceDN w:val="0"/>
              <w:adjustRightInd w:val="0"/>
              <w:jc w:val="center"/>
              <w:rPr>
                <w:rFonts w:eastAsia="Calibri"/>
                <w:bCs/>
                <w:sz w:val="18"/>
                <w:szCs w:val="18"/>
                <w:lang w:eastAsia="en-US"/>
              </w:rPr>
            </w:pPr>
            <w:r w:rsidRPr="008C4669">
              <w:rPr>
                <w:rFonts w:eastAsia="Calibri"/>
                <w:bCs/>
                <w:sz w:val="18"/>
                <w:szCs w:val="18"/>
                <w:lang w:eastAsia="en-US"/>
              </w:rPr>
              <w:t>23</w:t>
            </w:r>
          </w:p>
        </w:tc>
        <w:tc>
          <w:tcPr>
            <w:tcW w:w="2362" w:type="dxa"/>
            <w:shd w:val="clear" w:color="auto" w:fill="auto"/>
            <w:vAlign w:val="center"/>
          </w:tcPr>
          <w:p w14:paraId="088848D6" w14:textId="77777777" w:rsidR="008C4669" w:rsidRPr="008C4669" w:rsidRDefault="008C4669" w:rsidP="008C4669">
            <w:pPr>
              <w:autoSpaceDE w:val="0"/>
              <w:autoSpaceDN w:val="0"/>
              <w:adjustRightInd w:val="0"/>
              <w:rPr>
                <w:rFonts w:eastAsia="Calibri"/>
                <w:sz w:val="18"/>
                <w:szCs w:val="18"/>
                <w:lang w:eastAsia="en-US"/>
              </w:rPr>
            </w:pPr>
            <w:r w:rsidRPr="008C4669">
              <w:rPr>
                <w:rFonts w:eastAsia="Calibri"/>
                <w:sz w:val="18"/>
                <w:szCs w:val="18"/>
                <w:lang w:eastAsia="en-US"/>
              </w:rPr>
              <w:t>Servicios Pacto</w:t>
            </w:r>
          </w:p>
        </w:tc>
        <w:tc>
          <w:tcPr>
            <w:tcW w:w="992" w:type="dxa"/>
            <w:shd w:val="clear" w:color="auto" w:fill="auto"/>
            <w:vAlign w:val="center"/>
          </w:tcPr>
          <w:p w14:paraId="6F5EFDC6"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1276" w:type="dxa"/>
            <w:shd w:val="clear" w:color="auto" w:fill="auto"/>
            <w:vAlign w:val="center"/>
          </w:tcPr>
          <w:p w14:paraId="2A3A9270"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709" w:type="dxa"/>
            <w:shd w:val="clear" w:color="auto" w:fill="auto"/>
            <w:vAlign w:val="center"/>
          </w:tcPr>
          <w:p w14:paraId="24108FC2"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992" w:type="dxa"/>
            <w:shd w:val="clear" w:color="auto" w:fill="auto"/>
            <w:vAlign w:val="center"/>
          </w:tcPr>
          <w:p w14:paraId="2A67BA61" w14:textId="77777777" w:rsidR="008C4669" w:rsidRPr="008C4669" w:rsidRDefault="008C4669" w:rsidP="008C4669">
            <w:pPr>
              <w:autoSpaceDE w:val="0"/>
              <w:autoSpaceDN w:val="0"/>
              <w:adjustRightInd w:val="0"/>
              <w:jc w:val="center"/>
              <w:rPr>
                <w:rFonts w:eastAsia="Calibri"/>
                <w:b/>
                <w:sz w:val="18"/>
                <w:szCs w:val="18"/>
                <w:lang w:eastAsia="en-US"/>
              </w:rPr>
            </w:pPr>
            <w:r w:rsidRPr="008C4669">
              <w:rPr>
                <w:rFonts w:eastAsia="Calibri"/>
                <w:sz w:val="18"/>
                <w:szCs w:val="18"/>
                <w:lang w:eastAsia="en-US"/>
              </w:rPr>
              <w:t>—</w:t>
            </w:r>
          </w:p>
        </w:tc>
        <w:tc>
          <w:tcPr>
            <w:tcW w:w="1276" w:type="dxa"/>
            <w:shd w:val="clear" w:color="auto" w:fill="auto"/>
            <w:vAlign w:val="center"/>
          </w:tcPr>
          <w:p w14:paraId="6865D7DA"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2.60</w:t>
            </w:r>
          </w:p>
        </w:tc>
        <w:tc>
          <w:tcPr>
            <w:tcW w:w="1275" w:type="dxa"/>
            <w:shd w:val="clear" w:color="auto" w:fill="auto"/>
            <w:vAlign w:val="center"/>
          </w:tcPr>
          <w:p w14:paraId="2616C460"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6.15</w:t>
            </w:r>
          </w:p>
        </w:tc>
      </w:tr>
      <w:tr w:rsidR="008C4669" w:rsidRPr="008C4669" w14:paraId="2CD429DE" w14:textId="77777777" w:rsidTr="008C4669">
        <w:trPr>
          <w:trHeight w:val="106"/>
          <w:jc w:val="center"/>
        </w:trPr>
        <w:tc>
          <w:tcPr>
            <w:tcW w:w="877" w:type="dxa"/>
            <w:shd w:val="clear" w:color="auto" w:fill="auto"/>
            <w:vAlign w:val="center"/>
          </w:tcPr>
          <w:p w14:paraId="70DC75E9" w14:textId="77777777" w:rsidR="008C4669" w:rsidRPr="008C4669" w:rsidRDefault="008C4669" w:rsidP="008C4669">
            <w:pPr>
              <w:autoSpaceDE w:val="0"/>
              <w:autoSpaceDN w:val="0"/>
              <w:adjustRightInd w:val="0"/>
              <w:jc w:val="center"/>
              <w:rPr>
                <w:rFonts w:eastAsia="Calibri"/>
                <w:bCs/>
                <w:sz w:val="18"/>
                <w:szCs w:val="18"/>
                <w:lang w:eastAsia="en-US"/>
              </w:rPr>
            </w:pPr>
            <w:r w:rsidRPr="008C4669">
              <w:rPr>
                <w:rFonts w:eastAsia="Calibri"/>
                <w:bCs/>
                <w:sz w:val="18"/>
                <w:szCs w:val="18"/>
                <w:lang w:eastAsia="en-US"/>
              </w:rPr>
              <w:t>24</w:t>
            </w:r>
          </w:p>
        </w:tc>
        <w:tc>
          <w:tcPr>
            <w:tcW w:w="2362" w:type="dxa"/>
            <w:shd w:val="clear" w:color="auto" w:fill="auto"/>
            <w:vAlign w:val="center"/>
          </w:tcPr>
          <w:p w14:paraId="54A4561E" w14:textId="77777777" w:rsidR="008C4669" w:rsidRPr="008C4669" w:rsidRDefault="008C4669" w:rsidP="008C4669">
            <w:pPr>
              <w:autoSpaceDE w:val="0"/>
              <w:autoSpaceDN w:val="0"/>
              <w:adjustRightInd w:val="0"/>
              <w:rPr>
                <w:rFonts w:eastAsia="Calibri"/>
                <w:sz w:val="18"/>
                <w:szCs w:val="18"/>
                <w:lang w:eastAsia="en-US"/>
              </w:rPr>
            </w:pPr>
            <w:r w:rsidRPr="008C4669">
              <w:rPr>
                <w:rFonts w:eastAsia="Calibri"/>
                <w:sz w:val="18"/>
                <w:szCs w:val="18"/>
                <w:lang w:eastAsia="en-US"/>
              </w:rPr>
              <w:t>Corporación Pacto</w:t>
            </w:r>
          </w:p>
        </w:tc>
        <w:tc>
          <w:tcPr>
            <w:tcW w:w="992" w:type="dxa"/>
            <w:shd w:val="clear" w:color="auto" w:fill="auto"/>
            <w:vAlign w:val="center"/>
          </w:tcPr>
          <w:p w14:paraId="3F889B15"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1276" w:type="dxa"/>
            <w:shd w:val="clear" w:color="auto" w:fill="auto"/>
            <w:vAlign w:val="center"/>
          </w:tcPr>
          <w:p w14:paraId="76B25AD4"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709" w:type="dxa"/>
            <w:shd w:val="clear" w:color="auto" w:fill="auto"/>
            <w:vAlign w:val="center"/>
          </w:tcPr>
          <w:p w14:paraId="33536DEE"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992" w:type="dxa"/>
            <w:shd w:val="clear" w:color="auto" w:fill="auto"/>
            <w:vAlign w:val="center"/>
          </w:tcPr>
          <w:p w14:paraId="22AD0121" w14:textId="77777777" w:rsidR="008C4669" w:rsidRPr="008C4669" w:rsidRDefault="008C4669" w:rsidP="008C4669">
            <w:pPr>
              <w:autoSpaceDE w:val="0"/>
              <w:autoSpaceDN w:val="0"/>
              <w:adjustRightInd w:val="0"/>
              <w:jc w:val="center"/>
              <w:rPr>
                <w:rFonts w:eastAsia="Calibri"/>
                <w:b/>
                <w:sz w:val="18"/>
                <w:szCs w:val="18"/>
                <w:lang w:eastAsia="en-US"/>
              </w:rPr>
            </w:pPr>
            <w:r w:rsidRPr="008C4669">
              <w:rPr>
                <w:rFonts w:eastAsia="Calibri"/>
                <w:sz w:val="18"/>
                <w:szCs w:val="18"/>
                <w:lang w:eastAsia="en-US"/>
              </w:rPr>
              <w:t>—</w:t>
            </w:r>
          </w:p>
        </w:tc>
        <w:tc>
          <w:tcPr>
            <w:tcW w:w="1276" w:type="dxa"/>
            <w:shd w:val="clear" w:color="auto" w:fill="auto"/>
            <w:vAlign w:val="center"/>
          </w:tcPr>
          <w:p w14:paraId="62111545"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2.50</w:t>
            </w:r>
          </w:p>
        </w:tc>
        <w:tc>
          <w:tcPr>
            <w:tcW w:w="1275" w:type="dxa"/>
            <w:shd w:val="clear" w:color="auto" w:fill="auto"/>
            <w:vAlign w:val="center"/>
          </w:tcPr>
          <w:p w14:paraId="4469E071"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6.13</w:t>
            </w:r>
          </w:p>
        </w:tc>
      </w:tr>
      <w:tr w:rsidR="008C4669" w:rsidRPr="008C4669" w14:paraId="0CF30E30" w14:textId="77777777" w:rsidTr="008C4669">
        <w:trPr>
          <w:trHeight w:val="106"/>
          <w:jc w:val="center"/>
        </w:trPr>
        <w:tc>
          <w:tcPr>
            <w:tcW w:w="877" w:type="dxa"/>
            <w:shd w:val="clear" w:color="auto" w:fill="auto"/>
            <w:vAlign w:val="center"/>
          </w:tcPr>
          <w:p w14:paraId="6256E2D1" w14:textId="77777777" w:rsidR="008C4669" w:rsidRPr="008C4669" w:rsidRDefault="008C4669" w:rsidP="008C4669">
            <w:pPr>
              <w:autoSpaceDE w:val="0"/>
              <w:autoSpaceDN w:val="0"/>
              <w:adjustRightInd w:val="0"/>
              <w:jc w:val="center"/>
              <w:rPr>
                <w:rFonts w:eastAsia="Calibri"/>
                <w:bCs/>
                <w:sz w:val="18"/>
                <w:szCs w:val="18"/>
                <w:lang w:eastAsia="en-US"/>
              </w:rPr>
            </w:pPr>
            <w:r w:rsidRPr="008C4669">
              <w:rPr>
                <w:rFonts w:eastAsia="Calibri"/>
                <w:bCs/>
                <w:sz w:val="18"/>
                <w:szCs w:val="18"/>
                <w:lang w:eastAsia="en-US"/>
              </w:rPr>
              <w:t>25</w:t>
            </w:r>
          </w:p>
        </w:tc>
        <w:tc>
          <w:tcPr>
            <w:tcW w:w="2362" w:type="dxa"/>
            <w:shd w:val="clear" w:color="auto" w:fill="auto"/>
            <w:vAlign w:val="center"/>
          </w:tcPr>
          <w:p w14:paraId="3A485C78" w14:textId="77777777" w:rsidR="008C4669" w:rsidRPr="008C4669" w:rsidRDefault="008C4669" w:rsidP="008C4669">
            <w:pPr>
              <w:autoSpaceDE w:val="0"/>
              <w:autoSpaceDN w:val="0"/>
              <w:adjustRightInd w:val="0"/>
              <w:rPr>
                <w:rFonts w:eastAsia="Calibri"/>
                <w:sz w:val="18"/>
                <w:szCs w:val="18"/>
                <w:lang w:eastAsia="en-US"/>
              </w:rPr>
            </w:pPr>
            <w:r w:rsidRPr="008C4669">
              <w:rPr>
                <w:rFonts w:eastAsia="Calibri"/>
                <w:sz w:val="18"/>
                <w:szCs w:val="18"/>
                <w:lang w:eastAsia="en-US"/>
              </w:rPr>
              <w:t>Financiera Fortaleza</w:t>
            </w:r>
          </w:p>
        </w:tc>
        <w:tc>
          <w:tcPr>
            <w:tcW w:w="992" w:type="dxa"/>
            <w:shd w:val="clear" w:color="auto" w:fill="auto"/>
            <w:vAlign w:val="center"/>
          </w:tcPr>
          <w:p w14:paraId="05103AB1"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1</w:t>
            </w:r>
          </w:p>
        </w:tc>
        <w:tc>
          <w:tcPr>
            <w:tcW w:w="1276" w:type="dxa"/>
            <w:shd w:val="clear" w:color="auto" w:fill="auto"/>
            <w:vAlign w:val="center"/>
          </w:tcPr>
          <w:p w14:paraId="5AA85CA2"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1.31</w:t>
            </w:r>
          </w:p>
        </w:tc>
        <w:tc>
          <w:tcPr>
            <w:tcW w:w="709" w:type="dxa"/>
            <w:shd w:val="clear" w:color="auto" w:fill="auto"/>
            <w:vAlign w:val="center"/>
          </w:tcPr>
          <w:p w14:paraId="07F6A5DF"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992" w:type="dxa"/>
            <w:shd w:val="clear" w:color="auto" w:fill="auto"/>
            <w:vAlign w:val="center"/>
          </w:tcPr>
          <w:p w14:paraId="1C460886" w14:textId="77777777" w:rsidR="008C4669" w:rsidRPr="008C4669" w:rsidRDefault="008C4669" w:rsidP="008C4669">
            <w:pPr>
              <w:autoSpaceDE w:val="0"/>
              <w:autoSpaceDN w:val="0"/>
              <w:adjustRightInd w:val="0"/>
              <w:jc w:val="center"/>
              <w:rPr>
                <w:rFonts w:eastAsia="Calibri"/>
                <w:b/>
                <w:sz w:val="18"/>
                <w:szCs w:val="18"/>
                <w:lang w:eastAsia="en-US"/>
              </w:rPr>
            </w:pPr>
            <w:r w:rsidRPr="008C4669">
              <w:rPr>
                <w:rFonts w:eastAsia="Calibri"/>
                <w:sz w:val="18"/>
                <w:szCs w:val="18"/>
                <w:lang w:eastAsia="en-US"/>
              </w:rPr>
              <w:t>—</w:t>
            </w:r>
          </w:p>
        </w:tc>
        <w:tc>
          <w:tcPr>
            <w:tcW w:w="1276" w:type="dxa"/>
            <w:shd w:val="clear" w:color="auto" w:fill="auto"/>
            <w:vAlign w:val="center"/>
          </w:tcPr>
          <w:p w14:paraId="45C1AC1C"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3.00</w:t>
            </w:r>
          </w:p>
        </w:tc>
        <w:tc>
          <w:tcPr>
            <w:tcW w:w="1275" w:type="dxa"/>
            <w:shd w:val="clear" w:color="auto" w:fill="auto"/>
            <w:vAlign w:val="center"/>
          </w:tcPr>
          <w:p w14:paraId="31F48730"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6.11</w:t>
            </w:r>
          </w:p>
        </w:tc>
      </w:tr>
      <w:tr w:rsidR="008C4669" w:rsidRPr="008C4669" w14:paraId="1CE383E4" w14:textId="77777777" w:rsidTr="008C4669">
        <w:trPr>
          <w:trHeight w:val="106"/>
          <w:jc w:val="center"/>
        </w:trPr>
        <w:tc>
          <w:tcPr>
            <w:tcW w:w="877" w:type="dxa"/>
            <w:shd w:val="clear" w:color="auto" w:fill="auto"/>
            <w:vAlign w:val="center"/>
          </w:tcPr>
          <w:p w14:paraId="6374016E" w14:textId="77777777" w:rsidR="008C4669" w:rsidRPr="008C4669" w:rsidRDefault="008C4669" w:rsidP="008C4669">
            <w:pPr>
              <w:autoSpaceDE w:val="0"/>
              <w:autoSpaceDN w:val="0"/>
              <w:adjustRightInd w:val="0"/>
              <w:jc w:val="center"/>
              <w:rPr>
                <w:rFonts w:eastAsia="Calibri"/>
                <w:bCs/>
                <w:sz w:val="18"/>
                <w:szCs w:val="18"/>
                <w:lang w:eastAsia="en-US"/>
              </w:rPr>
            </w:pPr>
            <w:r w:rsidRPr="008C4669">
              <w:rPr>
                <w:rFonts w:eastAsia="Calibri"/>
                <w:bCs/>
                <w:sz w:val="18"/>
                <w:szCs w:val="18"/>
                <w:lang w:eastAsia="en-US"/>
              </w:rPr>
              <w:t>26</w:t>
            </w:r>
          </w:p>
        </w:tc>
        <w:tc>
          <w:tcPr>
            <w:tcW w:w="2362" w:type="dxa"/>
            <w:shd w:val="clear" w:color="auto" w:fill="auto"/>
            <w:vAlign w:val="center"/>
          </w:tcPr>
          <w:p w14:paraId="7467C96D" w14:textId="77777777" w:rsidR="008C4669" w:rsidRPr="008C4669" w:rsidRDefault="008C4669" w:rsidP="008C4669">
            <w:pPr>
              <w:autoSpaceDE w:val="0"/>
              <w:autoSpaceDN w:val="0"/>
              <w:adjustRightInd w:val="0"/>
              <w:rPr>
                <w:rFonts w:eastAsia="Calibri"/>
                <w:sz w:val="18"/>
                <w:szCs w:val="18"/>
                <w:lang w:eastAsia="en-US"/>
              </w:rPr>
            </w:pPr>
            <w:r w:rsidRPr="008C4669">
              <w:rPr>
                <w:rFonts w:eastAsia="Calibri"/>
                <w:sz w:val="18"/>
                <w:szCs w:val="18"/>
                <w:lang w:eastAsia="en-US"/>
              </w:rPr>
              <w:t>Presyser de México</w:t>
            </w:r>
          </w:p>
        </w:tc>
        <w:tc>
          <w:tcPr>
            <w:tcW w:w="992" w:type="dxa"/>
            <w:shd w:val="clear" w:color="auto" w:fill="auto"/>
            <w:vAlign w:val="center"/>
          </w:tcPr>
          <w:p w14:paraId="4CA74D16"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1276" w:type="dxa"/>
            <w:shd w:val="clear" w:color="auto" w:fill="auto"/>
            <w:vAlign w:val="center"/>
          </w:tcPr>
          <w:p w14:paraId="494533D0"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709" w:type="dxa"/>
            <w:shd w:val="clear" w:color="auto" w:fill="auto"/>
            <w:vAlign w:val="center"/>
          </w:tcPr>
          <w:p w14:paraId="7EE17ED6"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992" w:type="dxa"/>
            <w:shd w:val="clear" w:color="auto" w:fill="auto"/>
            <w:vAlign w:val="center"/>
          </w:tcPr>
          <w:p w14:paraId="2BCBD480" w14:textId="77777777" w:rsidR="008C4669" w:rsidRPr="008C4669" w:rsidRDefault="008C4669" w:rsidP="008C4669">
            <w:pPr>
              <w:autoSpaceDE w:val="0"/>
              <w:autoSpaceDN w:val="0"/>
              <w:adjustRightInd w:val="0"/>
              <w:jc w:val="center"/>
              <w:rPr>
                <w:rFonts w:eastAsia="Calibri"/>
                <w:b/>
                <w:sz w:val="18"/>
                <w:szCs w:val="18"/>
                <w:lang w:eastAsia="en-US"/>
              </w:rPr>
            </w:pPr>
            <w:r w:rsidRPr="008C4669">
              <w:rPr>
                <w:rFonts w:eastAsia="Calibri"/>
                <w:sz w:val="18"/>
                <w:szCs w:val="18"/>
                <w:lang w:eastAsia="en-US"/>
              </w:rPr>
              <w:t>—</w:t>
            </w:r>
          </w:p>
        </w:tc>
        <w:tc>
          <w:tcPr>
            <w:tcW w:w="1276" w:type="dxa"/>
            <w:shd w:val="clear" w:color="auto" w:fill="auto"/>
            <w:vAlign w:val="center"/>
          </w:tcPr>
          <w:p w14:paraId="45A3F69C"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1.50</w:t>
            </w:r>
          </w:p>
        </w:tc>
        <w:tc>
          <w:tcPr>
            <w:tcW w:w="1275" w:type="dxa"/>
            <w:shd w:val="clear" w:color="auto" w:fill="auto"/>
            <w:vAlign w:val="center"/>
          </w:tcPr>
          <w:p w14:paraId="3E389CC8"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5.88</w:t>
            </w:r>
          </w:p>
        </w:tc>
      </w:tr>
      <w:tr w:rsidR="008C4669" w:rsidRPr="008C4669" w14:paraId="07D502EC" w14:textId="77777777" w:rsidTr="008C4669">
        <w:trPr>
          <w:trHeight w:val="106"/>
          <w:jc w:val="center"/>
        </w:trPr>
        <w:tc>
          <w:tcPr>
            <w:tcW w:w="877" w:type="dxa"/>
            <w:shd w:val="clear" w:color="auto" w:fill="auto"/>
            <w:vAlign w:val="center"/>
          </w:tcPr>
          <w:p w14:paraId="5F47967F" w14:textId="77777777" w:rsidR="008C4669" w:rsidRPr="008C4669" w:rsidRDefault="008C4669" w:rsidP="008C4669">
            <w:pPr>
              <w:autoSpaceDE w:val="0"/>
              <w:autoSpaceDN w:val="0"/>
              <w:adjustRightInd w:val="0"/>
              <w:jc w:val="center"/>
              <w:rPr>
                <w:rFonts w:eastAsia="Calibri"/>
                <w:bCs/>
                <w:sz w:val="18"/>
                <w:szCs w:val="18"/>
                <w:lang w:eastAsia="en-US"/>
              </w:rPr>
            </w:pPr>
            <w:r w:rsidRPr="008C4669">
              <w:rPr>
                <w:rFonts w:eastAsia="Calibri"/>
                <w:bCs/>
                <w:sz w:val="18"/>
                <w:szCs w:val="18"/>
                <w:lang w:eastAsia="en-US"/>
              </w:rPr>
              <w:t>27</w:t>
            </w:r>
          </w:p>
        </w:tc>
        <w:tc>
          <w:tcPr>
            <w:tcW w:w="2362" w:type="dxa"/>
            <w:shd w:val="clear" w:color="auto" w:fill="auto"/>
            <w:vAlign w:val="center"/>
          </w:tcPr>
          <w:p w14:paraId="586569B7" w14:textId="77777777" w:rsidR="008C4669" w:rsidRPr="008C4669" w:rsidRDefault="008C4669" w:rsidP="008C4669">
            <w:pPr>
              <w:autoSpaceDE w:val="0"/>
              <w:autoSpaceDN w:val="0"/>
              <w:adjustRightInd w:val="0"/>
              <w:rPr>
                <w:rFonts w:eastAsia="Calibri"/>
                <w:sz w:val="18"/>
                <w:szCs w:val="18"/>
                <w:lang w:eastAsia="en-US"/>
              </w:rPr>
            </w:pPr>
            <w:r w:rsidRPr="008C4669">
              <w:rPr>
                <w:rFonts w:eastAsia="Calibri"/>
                <w:sz w:val="18"/>
                <w:szCs w:val="18"/>
                <w:lang w:eastAsia="en-US"/>
              </w:rPr>
              <w:t>Expansión Económica</w:t>
            </w:r>
          </w:p>
        </w:tc>
        <w:tc>
          <w:tcPr>
            <w:tcW w:w="992" w:type="dxa"/>
            <w:shd w:val="clear" w:color="auto" w:fill="auto"/>
            <w:vAlign w:val="center"/>
          </w:tcPr>
          <w:p w14:paraId="45957AAE"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1276" w:type="dxa"/>
            <w:shd w:val="clear" w:color="auto" w:fill="auto"/>
            <w:vAlign w:val="center"/>
          </w:tcPr>
          <w:p w14:paraId="12903FF4"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709" w:type="dxa"/>
            <w:shd w:val="clear" w:color="auto" w:fill="auto"/>
            <w:vAlign w:val="center"/>
          </w:tcPr>
          <w:p w14:paraId="42F225D8"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992" w:type="dxa"/>
            <w:shd w:val="clear" w:color="auto" w:fill="auto"/>
            <w:vAlign w:val="center"/>
          </w:tcPr>
          <w:p w14:paraId="5EA29DC4"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1276" w:type="dxa"/>
            <w:shd w:val="clear" w:color="auto" w:fill="auto"/>
            <w:vAlign w:val="center"/>
          </w:tcPr>
          <w:p w14:paraId="1F8B614A"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1.50</w:t>
            </w:r>
          </w:p>
        </w:tc>
        <w:tc>
          <w:tcPr>
            <w:tcW w:w="1275" w:type="dxa"/>
            <w:shd w:val="clear" w:color="auto" w:fill="auto"/>
            <w:vAlign w:val="center"/>
          </w:tcPr>
          <w:p w14:paraId="41201BBD"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5.88</w:t>
            </w:r>
          </w:p>
        </w:tc>
      </w:tr>
      <w:tr w:rsidR="008C4669" w:rsidRPr="008C4669" w14:paraId="41C59E13" w14:textId="77777777" w:rsidTr="008C4669">
        <w:trPr>
          <w:trHeight w:val="106"/>
          <w:jc w:val="center"/>
        </w:trPr>
        <w:tc>
          <w:tcPr>
            <w:tcW w:w="877" w:type="dxa"/>
            <w:shd w:val="clear" w:color="auto" w:fill="auto"/>
            <w:vAlign w:val="center"/>
          </w:tcPr>
          <w:p w14:paraId="11DDC25F" w14:textId="77777777" w:rsidR="008C4669" w:rsidRPr="008C4669" w:rsidRDefault="008C4669" w:rsidP="008C4669">
            <w:pPr>
              <w:autoSpaceDE w:val="0"/>
              <w:autoSpaceDN w:val="0"/>
              <w:adjustRightInd w:val="0"/>
              <w:jc w:val="center"/>
              <w:rPr>
                <w:rFonts w:eastAsia="Calibri"/>
                <w:bCs/>
                <w:sz w:val="18"/>
                <w:szCs w:val="18"/>
                <w:lang w:eastAsia="en-US"/>
              </w:rPr>
            </w:pPr>
            <w:r w:rsidRPr="008C4669">
              <w:rPr>
                <w:rFonts w:eastAsia="Calibri"/>
                <w:bCs/>
                <w:sz w:val="18"/>
                <w:szCs w:val="18"/>
                <w:lang w:eastAsia="en-US"/>
              </w:rPr>
              <w:t>28</w:t>
            </w:r>
          </w:p>
        </w:tc>
        <w:tc>
          <w:tcPr>
            <w:tcW w:w="2362" w:type="dxa"/>
            <w:shd w:val="clear" w:color="auto" w:fill="auto"/>
            <w:vAlign w:val="center"/>
          </w:tcPr>
          <w:p w14:paraId="0376778E" w14:textId="77777777" w:rsidR="008C4669" w:rsidRPr="008C4669" w:rsidRDefault="008C4669" w:rsidP="008C4669">
            <w:pPr>
              <w:autoSpaceDE w:val="0"/>
              <w:autoSpaceDN w:val="0"/>
              <w:adjustRightInd w:val="0"/>
              <w:rPr>
                <w:rFonts w:eastAsia="Calibri"/>
                <w:sz w:val="18"/>
                <w:szCs w:val="18"/>
                <w:lang w:eastAsia="en-US"/>
              </w:rPr>
            </w:pPr>
            <w:r w:rsidRPr="008C4669">
              <w:rPr>
                <w:rFonts w:eastAsia="Calibri"/>
                <w:sz w:val="18"/>
                <w:szCs w:val="18"/>
                <w:lang w:eastAsia="en-US"/>
              </w:rPr>
              <w:t>Ako Credit</w:t>
            </w:r>
          </w:p>
        </w:tc>
        <w:tc>
          <w:tcPr>
            <w:tcW w:w="992" w:type="dxa"/>
            <w:shd w:val="clear" w:color="auto" w:fill="auto"/>
            <w:vAlign w:val="center"/>
          </w:tcPr>
          <w:p w14:paraId="72D5292C"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1276" w:type="dxa"/>
            <w:shd w:val="clear" w:color="auto" w:fill="auto"/>
            <w:vAlign w:val="center"/>
          </w:tcPr>
          <w:p w14:paraId="76996BBA"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709" w:type="dxa"/>
            <w:shd w:val="clear" w:color="auto" w:fill="auto"/>
            <w:vAlign w:val="center"/>
          </w:tcPr>
          <w:p w14:paraId="76C6AA64"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992" w:type="dxa"/>
            <w:shd w:val="clear" w:color="auto" w:fill="auto"/>
            <w:vAlign w:val="center"/>
          </w:tcPr>
          <w:p w14:paraId="3E83A6DA" w14:textId="77777777" w:rsidR="008C4669" w:rsidRPr="008C4669" w:rsidRDefault="008C4669" w:rsidP="008C4669">
            <w:pPr>
              <w:autoSpaceDE w:val="0"/>
              <w:autoSpaceDN w:val="0"/>
              <w:adjustRightInd w:val="0"/>
              <w:jc w:val="center"/>
              <w:rPr>
                <w:rFonts w:eastAsia="Calibri"/>
                <w:b/>
                <w:sz w:val="18"/>
                <w:szCs w:val="18"/>
                <w:lang w:eastAsia="en-US"/>
              </w:rPr>
            </w:pPr>
            <w:r w:rsidRPr="008C4669">
              <w:rPr>
                <w:rFonts w:eastAsia="Calibri"/>
                <w:sz w:val="18"/>
                <w:szCs w:val="18"/>
                <w:lang w:eastAsia="en-US"/>
              </w:rPr>
              <w:t>—</w:t>
            </w:r>
          </w:p>
        </w:tc>
        <w:tc>
          <w:tcPr>
            <w:tcW w:w="1276" w:type="dxa"/>
            <w:shd w:val="clear" w:color="auto" w:fill="auto"/>
          </w:tcPr>
          <w:p w14:paraId="5BA4E205"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1.00</w:t>
            </w:r>
          </w:p>
        </w:tc>
        <w:tc>
          <w:tcPr>
            <w:tcW w:w="1275" w:type="dxa"/>
            <w:shd w:val="clear" w:color="auto" w:fill="auto"/>
          </w:tcPr>
          <w:p w14:paraId="5F7FB813"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5.75</w:t>
            </w:r>
          </w:p>
        </w:tc>
      </w:tr>
      <w:tr w:rsidR="008C4669" w:rsidRPr="008C4669" w14:paraId="4A92F28A" w14:textId="77777777" w:rsidTr="008C4669">
        <w:trPr>
          <w:trHeight w:val="106"/>
          <w:jc w:val="center"/>
        </w:trPr>
        <w:tc>
          <w:tcPr>
            <w:tcW w:w="877" w:type="dxa"/>
            <w:shd w:val="clear" w:color="auto" w:fill="auto"/>
            <w:vAlign w:val="center"/>
          </w:tcPr>
          <w:p w14:paraId="554E0B54" w14:textId="77777777" w:rsidR="008C4669" w:rsidRPr="008C4669" w:rsidRDefault="008C4669" w:rsidP="008C4669">
            <w:pPr>
              <w:autoSpaceDE w:val="0"/>
              <w:autoSpaceDN w:val="0"/>
              <w:adjustRightInd w:val="0"/>
              <w:jc w:val="center"/>
              <w:rPr>
                <w:rFonts w:eastAsia="Calibri"/>
                <w:bCs/>
                <w:sz w:val="18"/>
                <w:szCs w:val="18"/>
                <w:lang w:eastAsia="en-US"/>
              </w:rPr>
            </w:pPr>
            <w:r w:rsidRPr="008C4669">
              <w:rPr>
                <w:rFonts w:eastAsia="Calibri"/>
                <w:bCs/>
                <w:sz w:val="18"/>
                <w:szCs w:val="18"/>
                <w:lang w:eastAsia="en-US"/>
              </w:rPr>
              <w:t>29</w:t>
            </w:r>
          </w:p>
        </w:tc>
        <w:tc>
          <w:tcPr>
            <w:tcW w:w="2362" w:type="dxa"/>
            <w:shd w:val="clear" w:color="auto" w:fill="auto"/>
            <w:vAlign w:val="center"/>
          </w:tcPr>
          <w:p w14:paraId="2E1579D9" w14:textId="77777777" w:rsidR="008C4669" w:rsidRPr="008C4669" w:rsidRDefault="008C4669" w:rsidP="008C4669">
            <w:pPr>
              <w:autoSpaceDE w:val="0"/>
              <w:autoSpaceDN w:val="0"/>
              <w:adjustRightInd w:val="0"/>
              <w:rPr>
                <w:rFonts w:eastAsia="Calibri"/>
                <w:sz w:val="18"/>
                <w:szCs w:val="18"/>
                <w:lang w:eastAsia="en-US"/>
              </w:rPr>
            </w:pPr>
            <w:r w:rsidRPr="008C4669">
              <w:rPr>
                <w:rFonts w:eastAsia="Calibri"/>
                <w:sz w:val="18"/>
                <w:szCs w:val="18"/>
                <w:lang w:eastAsia="en-US"/>
              </w:rPr>
              <w:t>Arallandadora Majofin</w:t>
            </w:r>
          </w:p>
        </w:tc>
        <w:tc>
          <w:tcPr>
            <w:tcW w:w="992" w:type="dxa"/>
            <w:shd w:val="clear" w:color="auto" w:fill="auto"/>
            <w:vAlign w:val="center"/>
          </w:tcPr>
          <w:p w14:paraId="08F035A1"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1276" w:type="dxa"/>
            <w:shd w:val="clear" w:color="auto" w:fill="auto"/>
            <w:vAlign w:val="center"/>
          </w:tcPr>
          <w:p w14:paraId="02461305"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709" w:type="dxa"/>
            <w:shd w:val="clear" w:color="auto" w:fill="auto"/>
            <w:vAlign w:val="center"/>
          </w:tcPr>
          <w:p w14:paraId="55545CC4"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992" w:type="dxa"/>
            <w:shd w:val="clear" w:color="auto" w:fill="auto"/>
            <w:vAlign w:val="center"/>
          </w:tcPr>
          <w:p w14:paraId="20779CA8" w14:textId="77777777" w:rsidR="008C4669" w:rsidRPr="008C4669" w:rsidRDefault="008C4669" w:rsidP="008C4669">
            <w:pPr>
              <w:autoSpaceDE w:val="0"/>
              <w:autoSpaceDN w:val="0"/>
              <w:adjustRightInd w:val="0"/>
              <w:jc w:val="center"/>
              <w:rPr>
                <w:rFonts w:eastAsia="Calibri"/>
                <w:b/>
                <w:sz w:val="18"/>
                <w:szCs w:val="18"/>
                <w:lang w:eastAsia="en-US"/>
              </w:rPr>
            </w:pPr>
            <w:r w:rsidRPr="008C4669">
              <w:rPr>
                <w:rFonts w:eastAsia="Calibri"/>
                <w:sz w:val="18"/>
                <w:szCs w:val="18"/>
                <w:lang w:eastAsia="en-US"/>
              </w:rPr>
              <w:t>—</w:t>
            </w:r>
          </w:p>
        </w:tc>
        <w:tc>
          <w:tcPr>
            <w:tcW w:w="1276" w:type="dxa"/>
            <w:shd w:val="clear" w:color="auto" w:fill="auto"/>
            <w:vAlign w:val="center"/>
          </w:tcPr>
          <w:p w14:paraId="27C18E28"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0.70</w:t>
            </w:r>
          </w:p>
        </w:tc>
        <w:tc>
          <w:tcPr>
            <w:tcW w:w="1275" w:type="dxa"/>
            <w:shd w:val="clear" w:color="auto" w:fill="auto"/>
            <w:vAlign w:val="center"/>
          </w:tcPr>
          <w:p w14:paraId="4777660E"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5.68</w:t>
            </w:r>
          </w:p>
        </w:tc>
      </w:tr>
      <w:tr w:rsidR="008C4669" w:rsidRPr="008C4669" w14:paraId="7687230E" w14:textId="77777777" w:rsidTr="008C4669">
        <w:trPr>
          <w:trHeight w:val="106"/>
          <w:jc w:val="center"/>
        </w:trPr>
        <w:tc>
          <w:tcPr>
            <w:tcW w:w="877" w:type="dxa"/>
            <w:shd w:val="clear" w:color="auto" w:fill="auto"/>
            <w:vAlign w:val="center"/>
          </w:tcPr>
          <w:p w14:paraId="026F6E9B" w14:textId="77777777" w:rsidR="008C4669" w:rsidRPr="008C4669" w:rsidRDefault="008C4669" w:rsidP="008C4669">
            <w:pPr>
              <w:autoSpaceDE w:val="0"/>
              <w:autoSpaceDN w:val="0"/>
              <w:adjustRightInd w:val="0"/>
              <w:jc w:val="center"/>
              <w:rPr>
                <w:rFonts w:eastAsia="Calibri"/>
                <w:bCs/>
                <w:sz w:val="18"/>
                <w:szCs w:val="18"/>
                <w:lang w:eastAsia="en-US"/>
              </w:rPr>
            </w:pPr>
            <w:r w:rsidRPr="008C4669">
              <w:rPr>
                <w:rFonts w:eastAsia="Calibri"/>
                <w:bCs/>
                <w:sz w:val="18"/>
                <w:szCs w:val="18"/>
                <w:lang w:eastAsia="en-US"/>
              </w:rPr>
              <w:t>30</w:t>
            </w:r>
          </w:p>
        </w:tc>
        <w:tc>
          <w:tcPr>
            <w:tcW w:w="2362" w:type="dxa"/>
            <w:shd w:val="clear" w:color="auto" w:fill="auto"/>
            <w:vAlign w:val="center"/>
          </w:tcPr>
          <w:p w14:paraId="07F2D4F4" w14:textId="77777777" w:rsidR="008C4669" w:rsidRPr="008C4669" w:rsidRDefault="008C4669" w:rsidP="008C4669">
            <w:pPr>
              <w:autoSpaceDE w:val="0"/>
              <w:autoSpaceDN w:val="0"/>
              <w:adjustRightInd w:val="0"/>
              <w:rPr>
                <w:rFonts w:eastAsia="Calibri"/>
                <w:sz w:val="18"/>
                <w:szCs w:val="18"/>
                <w:lang w:eastAsia="en-US"/>
              </w:rPr>
            </w:pPr>
            <w:r w:rsidRPr="008C4669">
              <w:rPr>
                <w:rFonts w:eastAsia="Calibri"/>
                <w:sz w:val="18"/>
                <w:szCs w:val="18"/>
                <w:lang w:eastAsia="en-US"/>
              </w:rPr>
              <w:t>Publiseg</w:t>
            </w:r>
          </w:p>
        </w:tc>
        <w:tc>
          <w:tcPr>
            <w:tcW w:w="992" w:type="dxa"/>
            <w:shd w:val="clear" w:color="auto" w:fill="auto"/>
            <w:vAlign w:val="center"/>
          </w:tcPr>
          <w:p w14:paraId="09E0414E"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32</w:t>
            </w:r>
          </w:p>
        </w:tc>
        <w:tc>
          <w:tcPr>
            <w:tcW w:w="1276" w:type="dxa"/>
            <w:shd w:val="clear" w:color="auto" w:fill="auto"/>
            <w:vAlign w:val="center"/>
          </w:tcPr>
          <w:p w14:paraId="7B35FB54"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6.853</w:t>
            </w:r>
          </w:p>
        </w:tc>
        <w:tc>
          <w:tcPr>
            <w:tcW w:w="709" w:type="dxa"/>
            <w:shd w:val="clear" w:color="auto" w:fill="auto"/>
            <w:vAlign w:val="center"/>
          </w:tcPr>
          <w:p w14:paraId="60F7CAB1"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992" w:type="dxa"/>
            <w:shd w:val="clear" w:color="auto" w:fill="auto"/>
            <w:vAlign w:val="center"/>
          </w:tcPr>
          <w:p w14:paraId="1D27C0F2"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1276" w:type="dxa"/>
            <w:shd w:val="clear" w:color="auto" w:fill="auto"/>
          </w:tcPr>
          <w:p w14:paraId="1921B2D2"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3.20</w:t>
            </w:r>
          </w:p>
        </w:tc>
        <w:tc>
          <w:tcPr>
            <w:tcW w:w="1275" w:type="dxa"/>
            <w:shd w:val="clear" w:color="auto" w:fill="auto"/>
          </w:tcPr>
          <w:p w14:paraId="3CD5F0E4"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5.57</w:t>
            </w:r>
          </w:p>
        </w:tc>
      </w:tr>
      <w:tr w:rsidR="008C4669" w:rsidRPr="008C4669" w14:paraId="0C4C8D61" w14:textId="77777777" w:rsidTr="008C4669">
        <w:trPr>
          <w:trHeight w:val="106"/>
          <w:jc w:val="center"/>
        </w:trPr>
        <w:tc>
          <w:tcPr>
            <w:tcW w:w="877" w:type="dxa"/>
            <w:shd w:val="clear" w:color="auto" w:fill="auto"/>
            <w:vAlign w:val="center"/>
          </w:tcPr>
          <w:p w14:paraId="3958D42F" w14:textId="77777777" w:rsidR="008C4669" w:rsidRPr="008C4669" w:rsidRDefault="008C4669" w:rsidP="008C4669">
            <w:pPr>
              <w:autoSpaceDE w:val="0"/>
              <w:autoSpaceDN w:val="0"/>
              <w:adjustRightInd w:val="0"/>
              <w:jc w:val="center"/>
              <w:rPr>
                <w:rFonts w:eastAsia="Calibri"/>
                <w:bCs/>
                <w:sz w:val="18"/>
                <w:szCs w:val="18"/>
                <w:lang w:eastAsia="en-US"/>
              </w:rPr>
            </w:pPr>
            <w:r w:rsidRPr="008C4669">
              <w:rPr>
                <w:rFonts w:eastAsia="Calibri"/>
                <w:bCs/>
                <w:sz w:val="18"/>
                <w:szCs w:val="18"/>
                <w:lang w:eastAsia="en-US"/>
              </w:rPr>
              <w:t>31</w:t>
            </w:r>
          </w:p>
        </w:tc>
        <w:tc>
          <w:tcPr>
            <w:tcW w:w="2362" w:type="dxa"/>
            <w:shd w:val="clear" w:color="auto" w:fill="auto"/>
            <w:vAlign w:val="center"/>
          </w:tcPr>
          <w:p w14:paraId="1FD0F1E8" w14:textId="77777777" w:rsidR="008C4669" w:rsidRPr="008C4669" w:rsidRDefault="008C4669" w:rsidP="008C4669">
            <w:pPr>
              <w:autoSpaceDE w:val="0"/>
              <w:autoSpaceDN w:val="0"/>
              <w:adjustRightInd w:val="0"/>
              <w:rPr>
                <w:rFonts w:eastAsia="Calibri"/>
                <w:sz w:val="18"/>
                <w:szCs w:val="18"/>
                <w:lang w:eastAsia="en-US"/>
              </w:rPr>
            </w:pPr>
            <w:r w:rsidRPr="008C4669">
              <w:rPr>
                <w:rFonts w:eastAsia="Calibri"/>
                <w:sz w:val="18"/>
                <w:szCs w:val="18"/>
                <w:lang w:eastAsia="en-US"/>
              </w:rPr>
              <w:t>Refásil Servicios Integrales</w:t>
            </w:r>
          </w:p>
        </w:tc>
        <w:tc>
          <w:tcPr>
            <w:tcW w:w="992" w:type="dxa"/>
            <w:shd w:val="clear" w:color="auto" w:fill="auto"/>
            <w:vAlign w:val="center"/>
          </w:tcPr>
          <w:p w14:paraId="2DDD1B29"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8</w:t>
            </w:r>
          </w:p>
        </w:tc>
        <w:tc>
          <w:tcPr>
            <w:tcW w:w="1276" w:type="dxa"/>
            <w:shd w:val="clear" w:color="auto" w:fill="auto"/>
            <w:vAlign w:val="center"/>
          </w:tcPr>
          <w:p w14:paraId="1667D17C"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3.255</w:t>
            </w:r>
          </w:p>
        </w:tc>
        <w:tc>
          <w:tcPr>
            <w:tcW w:w="709" w:type="dxa"/>
            <w:shd w:val="clear" w:color="auto" w:fill="auto"/>
            <w:vAlign w:val="center"/>
          </w:tcPr>
          <w:p w14:paraId="27DC3081"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992" w:type="dxa"/>
            <w:shd w:val="clear" w:color="auto" w:fill="auto"/>
            <w:vAlign w:val="center"/>
          </w:tcPr>
          <w:p w14:paraId="453D9004"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1276" w:type="dxa"/>
            <w:shd w:val="clear" w:color="auto" w:fill="auto"/>
            <w:vAlign w:val="center"/>
          </w:tcPr>
          <w:p w14:paraId="65CACA69"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0.60</w:t>
            </w:r>
          </w:p>
        </w:tc>
        <w:tc>
          <w:tcPr>
            <w:tcW w:w="1275" w:type="dxa"/>
            <w:shd w:val="clear" w:color="auto" w:fill="auto"/>
            <w:vAlign w:val="center"/>
          </w:tcPr>
          <w:p w14:paraId="2FC3F9A2"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5.30</w:t>
            </w:r>
          </w:p>
        </w:tc>
      </w:tr>
      <w:tr w:rsidR="008C4669" w:rsidRPr="008C4669" w14:paraId="2E9B5BA4" w14:textId="77777777" w:rsidTr="008C4669">
        <w:trPr>
          <w:trHeight w:val="106"/>
          <w:jc w:val="center"/>
        </w:trPr>
        <w:tc>
          <w:tcPr>
            <w:tcW w:w="877" w:type="dxa"/>
            <w:shd w:val="clear" w:color="auto" w:fill="auto"/>
            <w:vAlign w:val="center"/>
          </w:tcPr>
          <w:p w14:paraId="6FD86753" w14:textId="77777777" w:rsidR="008C4669" w:rsidRPr="008C4669" w:rsidRDefault="008C4669" w:rsidP="008C4669">
            <w:pPr>
              <w:autoSpaceDE w:val="0"/>
              <w:autoSpaceDN w:val="0"/>
              <w:adjustRightInd w:val="0"/>
              <w:jc w:val="center"/>
              <w:rPr>
                <w:rFonts w:eastAsia="Calibri"/>
                <w:bCs/>
                <w:sz w:val="18"/>
                <w:szCs w:val="18"/>
                <w:lang w:eastAsia="en-US"/>
              </w:rPr>
            </w:pPr>
            <w:r w:rsidRPr="008C4669">
              <w:rPr>
                <w:rFonts w:eastAsia="Calibri"/>
                <w:bCs/>
                <w:sz w:val="18"/>
                <w:szCs w:val="18"/>
                <w:lang w:eastAsia="en-US"/>
              </w:rPr>
              <w:t>32</w:t>
            </w:r>
          </w:p>
        </w:tc>
        <w:tc>
          <w:tcPr>
            <w:tcW w:w="2362" w:type="dxa"/>
            <w:shd w:val="clear" w:color="auto" w:fill="auto"/>
            <w:vAlign w:val="center"/>
          </w:tcPr>
          <w:p w14:paraId="5C00D7FB" w14:textId="77777777" w:rsidR="008C4669" w:rsidRPr="008C4669" w:rsidRDefault="008C4669" w:rsidP="008C4669">
            <w:pPr>
              <w:autoSpaceDE w:val="0"/>
              <w:autoSpaceDN w:val="0"/>
              <w:adjustRightInd w:val="0"/>
              <w:rPr>
                <w:rFonts w:eastAsia="Calibri"/>
                <w:sz w:val="18"/>
                <w:szCs w:val="18"/>
                <w:lang w:eastAsia="en-US"/>
              </w:rPr>
            </w:pPr>
            <w:r w:rsidRPr="008C4669">
              <w:rPr>
                <w:rFonts w:eastAsia="Calibri"/>
                <w:sz w:val="18"/>
                <w:szCs w:val="18"/>
                <w:lang w:eastAsia="en-US"/>
              </w:rPr>
              <w:t>Attendo</w:t>
            </w:r>
          </w:p>
        </w:tc>
        <w:tc>
          <w:tcPr>
            <w:tcW w:w="992" w:type="dxa"/>
            <w:shd w:val="clear" w:color="auto" w:fill="auto"/>
            <w:vAlign w:val="center"/>
          </w:tcPr>
          <w:p w14:paraId="276AA9B4"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1276" w:type="dxa"/>
            <w:shd w:val="clear" w:color="auto" w:fill="auto"/>
            <w:vAlign w:val="center"/>
          </w:tcPr>
          <w:p w14:paraId="41FD18FC"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709" w:type="dxa"/>
            <w:shd w:val="clear" w:color="auto" w:fill="auto"/>
            <w:vAlign w:val="center"/>
          </w:tcPr>
          <w:p w14:paraId="25B45709"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1</w:t>
            </w:r>
          </w:p>
        </w:tc>
        <w:tc>
          <w:tcPr>
            <w:tcW w:w="992" w:type="dxa"/>
            <w:shd w:val="clear" w:color="auto" w:fill="auto"/>
          </w:tcPr>
          <w:p w14:paraId="127BC5CB"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12 952</w:t>
            </w:r>
          </w:p>
        </w:tc>
        <w:tc>
          <w:tcPr>
            <w:tcW w:w="1276" w:type="dxa"/>
            <w:shd w:val="clear" w:color="auto" w:fill="auto"/>
          </w:tcPr>
          <w:p w14:paraId="315FC833"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6.70</w:t>
            </w:r>
          </w:p>
        </w:tc>
        <w:tc>
          <w:tcPr>
            <w:tcW w:w="1275" w:type="dxa"/>
            <w:shd w:val="clear" w:color="auto" w:fill="auto"/>
          </w:tcPr>
          <w:p w14:paraId="429022FF"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5.18</w:t>
            </w:r>
          </w:p>
        </w:tc>
      </w:tr>
      <w:tr w:rsidR="008C4669" w:rsidRPr="008C4669" w14:paraId="023E0602" w14:textId="77777777" w:rsidTr="008C4669">
        <w:trPr>
          <w:trHeight w:val="106"/>
          <w:jc w:val="center"/>
        </w:trPr>
        <w:tc>
          <w:tcPr>
            <w:tcW w:w="877" w:type="dxa"/>
            <w:shd w:val="clear" w:color="auto" w:fill="auto"/>
            <w:vAlign w:val="center"/>
          </w:tcPr>
          <w:p w14:paraId="1917759A" w14:textId="77777777" w:rsidR="008C4669" w:rsidRPr="008C4669" w:rsidRDefault="008C4669" w:rsidP="008C4669">
            <w:pPr>
              <w:autoSpaceDE w:val="0"/>
              <w:autoSpaceDN w:val="0"/>
              <w:adjustRightInd w:val="0"/>
              <w:jc w:val="center"/>
              <w:rPr>
                <w:rFonts w:eastAsia="Calibri"/>
                <w:bCs/>
                <w:sz w:val="18"/>
                <w:szCs w:val="18"/>
                <w:lang w:eastAsia="en-US"/>
              </w:rPr>
            </w:pPr>
            <w:r w:rsidRPr="008C4669">
              <w:rPr>
                <w:rFonts w:eastAsia="Calibri"/>
                <w:bCs/>
                <w:sz w:val="18"/>
                <w:szCs w:val="18"/>
                <w:lang w:eastAsia="en-US"/>
              </w:rPr>
              <w:t>33</w:t>
            </w:r>
          </w:p>
        </w:tc>
        <w:tc>
          <w:tcPr>
            <w:tcW w:w="2362" w:type="dxa"/>
            <w:shd w:val="clear" w:color="auto" w:fill="auto"/>
            <w:vAlign w:val="center"/>
          </w:tcPr>
          <w:p w14:paraId="34075250" w14:textId="77777777" w:rsidR="008C4669" w:rsidRPr="008C4669" w:rsidRDefault="008C4669" w:rsidP="008C4669">
            <w:pPr>
              <w:autoSpaceDE w:val="0"/>
              <w:autoSpaceDN w:val="0"/>
              <w:adjustRightInd w:val="0"/>
              <w:rPr>
                <w:rFonts w:eastAsia="Calibri"/>
                <w:sz w:val="18"/>
                <w:szCs w:val="18"/>
                <w:lang w:eastAsia="en-US"/>
              </w:rPr>
            </w:pPr>
            <w:r w:rsidRPr="008C4669">
              <w:rPr>
                <w:rFonts w:eastAsia="Calibri"/>
                <w:sz w:val="18"/>
                <w:szCs w:val="18"/>
                <w:lang w:eastAsia="en-US"/>
              </w:rPr>
              <w:t>Grupo KF</w:t>
            </w:r>
          </w:p>
        </w:tc>
        <w:tc>
          <w:tcPr>
            <w:tcW w:w="992" w:type="dxa"/>
            <w:shd w:val="clear" w:color="auto" w:fill="auto"/>
            <w:vAlign w:val="center"/>
          </w:tcPr>
          <w:p w14:paraId="17ED97D7"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3</w:t>
            </w:r>
          </w:p>
        </w:tc>
        <w:tc>
          <w:tcPr>
            <w:tcW w:w="1276" w:type="dxa"/>
            <w:shd w:val="clear" w:color="auto" w:fill="auto"/>
            <w:vAlign w:val="center"/>
          </w:tcPr>
          <w:p w14:paraId="10E6BF3E"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21.946</w:t>
            </w:r>
          </w:p>
        </w:tc>
        <w:tc>
          <w:tcPr>
            <w:tcW w:w="709" w:type="dxa"/>
            <w:shd w:val="clear" w:color="auto" w:fill="auto"/>
            <w:vAlign w:val="center"/>
          </w:tcPr>
          <w:p w14:paraId="7F436079"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992" w:type="dxa"/>
            <w:shd w:val="clear" w:color="auto" w:fill="auto"/>
          </w:tcPr>
          <w:p w14:paraId="56D8EF93"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1276" w:type="dxa"/>
            <w:shd w:val="clear" w:color="auto" w:fill="auto"/>
          </w:tcPr>
          <w:p w14:paraId="5B6BD0B6"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4.80</w:t>
            </w:r>
          </w:p>
        </w:tc>
        <w:tc>
          <w:tcPr>
            <w:tcW w:w="1275" w:type="dxa"/>
            <w:shd w:val="clear" w:color="auto" w:fill="auto"/>
          </w:tcPr>
          <w:p w14:paraId="5232CF0D"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4.36</w:t>
            </w:r>
          </w:p>
        </w:tc>
      </w:tr>
      <w:tr w:rsidR="008C4669" w:rsidRPr="008C4669" w14:paraId="730ABE4A" w14:textId="77777777" w:rsidTr="008C4669">
        <w:trPr>
          <w:trHeight w:val="106"/>
          <w:jc w:val="center"/>
        </w:trPr>
        <w:tc>
          <w:tcPr>
            <w:tcW w:w="877" w:type="dxa"/>
            <w:shd w:val="clear" w:color="auto" w:fill="auto"/>
            <w:vAlign w:val="center"/>
          </w:tcPr>
          <w:p w14:paraId="20793DDD" w14:textId="77777777" w:rsidR="008C4669" w:rsidRPr="008C4669" w:rsidRDefault="008C4669" w:rsidP="008C4669">
            <w:pPr>
              <w:autoSpaceDE w:val="0"/>
              <w:autoSpaceDN w:val="0"/>
              <w:adjustRightInd w:val="0"/>
              <w:jc w:val="center"/>
              <w:rPr>
                <w:rFonts w:eastAsia="Calibri"/>
                <w:bCs/>
                <w:sz w:val="18"/>
                <w:szCs w:val="18"/>
                <w:lang w:eastAsia="en-US"/>
              </w:rPr>
            </w:pPr>
            <w:r w:rsidRPr="008C4669">
              <w:rPr>
                <w:rFonts w:eastAsia="Calibri"/>
                <w:bCs/>
                <w:sz w:val="18"/>
                <w:szCs w:val="18"/>
                <w:lang w:eastAsia="en-US"/>
              </w:rPr>
              <w:t>34</w:t>
            </w:r>
          </w:p>
        </w:tc>
        <w:tc>
          <w:tcPr>
            <w:tcW w:w="2362" w:type="dxa"/>
            <w:shd w:val="clear" w:color="auto" w:fill="auto"/>
            <w:vAlign w:val="center"/>
          </w:tcPr>
          <w:p w14:paraId="66471789" w14:textId="77777777" w:rsidR="008C4669" w:rsidRPr="008C4669" w:rsidRDefault="008C4669" w:rsidP="008C4669">
            <w:pPr>
              <w:autoSpaceDE w:val="0"/>
              <w:autoSpaceDN w:val="0"/>
              <w:adjustRightInd w:val="0"/>
              <w:rPr>
                <w:rFonts w:eastAsia="Calibri"/>
                <w:sz w:val="18"/>
                <w:szCs w:val="18"/>
                <w:lang w:eastAsia="en-US"/>
              </w:rPr>
            </w:pPr>
            <w:r w:rsidRPr="008C4669">
              <w:rPr>
                <w:rFonts w:eastAsia="Calibri"/>
                <w:sz w:val="18"/>
                <w:szCs w:val="18"/>
                <w:lang w:eastAsia="en-US"/>
              </w:rPr>
              <w:t>Solufex</w:t>
            </w:r>
          </w:p>
        </w:tc>
        <w:tc>
          <w:tcPr>
            <w:tcW w:w="992" w:type="dxa"/>
            <w:shd w:val="clear" w:color="auto" w:fill="auto"/>
            <w:vAlign w:val="center"/>
          </w:tcPr>
          <w:p w14:paraId="505EC1DA"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1276" w:type="dxa"/>
            <w:shd w:val="clear" w:color="auto" w:fill="auto"/>
            <w:vAlign w:val="center"/>
          </w:tcPr>
          <w:p w14:paraId="5E3FB54A"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709" w:type="dxa"/>
            <w:shd w:val="clear" w:color="auto" w:fill="auto"/>
            <w:vAlign w:val="center"/>
          </w:tcPr>
          <w:p w14:paraId="4D1AC3B4"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1</w:t>
            </w:r>
          </w:p>
        </w:tc>
        <w:tc>
          <w:tcPr>
            <w:tcW w:w="992" w:type="dxa"/>
            <w:shd w:val="clear" w:color="auto" w:fill="auto"/>
          </w:tcPr>
          <w:p w14:paraId="16D2B8D8"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11 964</w:t>
            </w:r>
          </w:p>
        </w:tc>
        <w:tc>
          <w:tcPr>
            <w:tcW w:w="1276" w:type="dxa"/>
            <w:shd w:val="clear" w:color="auto" w:fill="auto"/>
          </w:tcPr>
          <w:p w14:paraId="2D09F1E3"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2.10</w:t>
            </w:r>
          </w:p>
        </w:tc>
        <w:tc>
          <w:tcPr>
            <w:tcW w:w="1275" w:type="dxa"/>
            <w:shd w:val="clear" w:color="auto" w:fill="auto"/>
          </w:tcPr>
          <w:p w14:paraId="71916CE0"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4.18</w:t>
            </w:r>
          </w:p>
        </w:tc>
      </w:tr>
      <w:tr w:rsidR="008C4669" w:rsidRPr="008C4669" w14:paraId="0B77480A" w14:textId="77777777" w:rsidTr="008C4669">
        <w:trPr>
          <w:trHeight w:val="106"/>
          <w:jc w:val="center"/>
        </w:trPr>
        <w:tc>
          <w:tcPr>
            <w:tcW w:w="877" w:type="dxa"/>
            <w:shd w:val="clear" w:color="auto" w:fill="auto"/>
            <w:vAlign w:val="center"/>
          </w:tcPr>
          <w:p w14:paraId="7E3312E4" w14:textId="77777777" w:rsidR="008C4669" w:rsidRPr="008C4669" w:rsidRDefault="008C4669" w:rsidP="008C4669">
            <w:pPr>
              <w:autoSpaceDE w:val="0"/>
              <w:autoSpaceDN w:val="0"/>
              <w:adjustRightInd w:val="0"/>
              <w:jc w:val="center"/>
              <w:rPr>
                <w:rFonts w:eastAsia="Calibri"/>
                <w:bCs/>
                <w:sz w:val="18"/>
                <w:szCs w:val="18"/>
                <w:lang w:eastAsia="en-US"/>
              </w:rPr>
            </w:pPr>
            <w:r w:rsidRPr="008C4669">
              <w:rPr>
                <w:rFonts w:eastAsia="Calibri"/>
                <w:bCs/>
                <w:sz w:val="18"/>
                <w:szCs w:val="18"/>
                <w:lang w:eastAsia="en-US"/>
              </w:rPr>
              <w:t>35</w:t>
            </w:r>
          </w:p>
        </w:tc>
        <w:tc>
          <w:tcPr>
            <w:tcW w:w="2362" w:type="dxa"/>
            <w:shd w:val="clear" w:color="auto" w:fill="auto"/>
            <w:vAlign w:val="center"/>
          </w:tcPr>
          <w:p w14:paraId="0868B855" w14:textId="77777777" w:rsidR="008C4669" w:rsidRPr="008C4669" w:rsidRDefault="008C4669" w:rsidP="008C4669">
            <w:pPr>
              <w:autoSpaceDE w:val="0"/>
              <w:autoSpaceDN w:val="0"/>
              <w:adjustRightInd w:val="0"/>
              <w:rPr>
                <w:rFonts w:eastAsia="Calibri"/>
                <w:sz w:val="18"/>
                <w:szCs w:val="18"/>
                <w:lang w:eastAsia="en-US"/>
              </w:rPr>
            </w:pPr>
            <w:r w:rsidRPr="008C4669">
              <w:rPr>
                <w:rFonts w:eastAsia="Calibri"/>
                <w:sz w:val="18"/>
                <w:szCs w:val="18"/>
                <w:lang w:eastAsia="en-US"/>
              </w:rPr>
              <w:t>Ayuda Oportuna</w:t>
            </w:r>
          </w:p>
        </w:tc>
        <w:tc>
          <w:tcPr>
            <w:tcW w:w="992" w:type="dxa"/>
            <w:shd w:val="clear" w:color="auto" w:fill="auto"/>
            <w:vAlign w:val="center"/>
          </w:tcPr>
          <w:p w14:paraId="34743FF7"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1</w:t>
            </w:r>
          </w:p>
        </w:tc>
        <w:tc>
          <w:tcPr>
            <w:tcW w:w="1276" w:type="dxa"/>
            <w:shd w:val="clear" w:color="auto" w:fill="auto"/>
            <w:vAlign w:val="center"/>
          </w:tcPr>
          <w:p w14:paraId="6AC6AB36"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28.986</w:t>
            </w:r>
          </w:p>
        </w:tc>
        <w:tc>
          <w:tcPr>
            <w:tcW w:w="709" w:type="dxa"/>
            <w:shd w:val="clear" w:color="auto" w:fill="auto"/>
            <w:vAlign w:val="center"/>
          </w:tcPr>
          <w:p w14:paraId="62A33791"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992" w:type="dxa"/>
            <w:shd w:val="clear" w:color="auto" w:fill="auto"/>
            <w:vAlign w:val="center"/>
          </w:tcPr>
          <w:p w14:paraId="2A97A6BF"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1276" w:type="dxa"/>
            <w:shd w:val="clear" w:color="auto" w:fill="auto"/>
            <w:vAlign w:val="center"/>
          </w:tcPr>
          <w:p w14:paraId="16E4A489"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6.20</w:t>
            </w:r>
          </w:p>
        </w:tc>
        <w:tc>
          <w:tcPr>
            <w:tcW w:w="1275" w:type="dxa"/>
            <w:shd w:val="clear" w:color="auto" w:fill="auto"/>
            <w:vAlign w:val="center"/>
          </w:tcPr>
          <w:p w14:paraId="5C88E99E"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3.96</w:t>
            </w:r>
          </w:p>
        </w:tc>
      </w:tr>
      <w:tr w:rsidR="008C4669" w:rsidRPr="008C4669" w14:paraId="2A7B7AD7" w14:textId="77777777" w:rsidTr="008C4669">
        <w:trPr>
          <w:trHeight w:val="106"/>
          <w:jc w:val="center"/>
        </w:trPr>
        <w:tc>
          <w:tcPr>
            <w:tcW w:w="877" w:type="dxa"/>
            <w:shd w:val="clear" w:color="auto" w:fill="auto"/>
            <w:vAlign w:val="center"/>
          </w:tcPr>
          <w:p w14:paraId="7A1361D9" w14:textId="77777777" w:rsidR="008C4669" w:rsidRPr="008C4669" w:rsidRDefault="008C4669" w:rsidP="008C4669">
            <w:pPr>
              <w:autoSpaceDE w:val="0"/>
              <w:autoSpaceDN w:val="0"/>
              <w:adjustRightInd w:val="0"/>
              <w:jc w:val="center"/>
              <w:rPr>
                <w:rFonts w:eastAsia="Calibri"/>
                <w:bCs/>
                <w:sz w:val="18"/>
                <w:szCs w:val="18"/>
                <w:lang w:eastAsia="en-US"/>
              </w:rPr>
            </w:pPr>
            <w:r w:rsidRPr="008C4669">
              <w:rPr>
                <w:rFonts w:eastAsia="Calibri"/>
                <w:bCs/>
                <w:sz w:val="18"/>
                <w:szCs w:val="18"/>
                <w:lang w:eastAsia="en-US"/>
              </w:rPr>
              <w:t>36</w:t>
            </w:r>
          </w:p>
        </w:tc>
        <w:tc>
          <w:tcPr>
            <w:tcW w:w="2362" w:type="dxa"/>
            <w:shd w:val="clear" w:color="auto" w:fill="auto"/>
            <w:vAlign w:val="center"/>
          </w:tcPr>
          <w:p w14:paraId="549DC734" w14:textId="77777777" w:rsidR="008C4669" w:rsidRPr="008C4669" w:rsidRDefault="008C4669" w:rsidP="008C4669">
            <w:pPr>
              <w:autoSpaceDE w:val="0"/>
              <w:autoSpaceDN w:val="0"/>
              <w:adjustRightInd w:val="0"/>
              <w:rPr>
                <w:rFonts w:eastAsia="Calibri"/>
                <w:sz w:val="18"/>
                <w:szCs w:val="18"/>
                <w:lang w:eastAsia="en-US"/>
              </w:rPr>
            </w:pPr>
            <w:r w:rsidRPr="008C4669">
              <w:rPr>
                <w:rFonts w:eastAsia="Calibri"/>
                <w:sz w:val="18"/>
                <w:szCs w:val="18"/>
                <w:lang w:eastAsia="en-US"/>
              </w:rPr>
              <w:t>Fomepade</w:t>
            </w:r>
          </w:p>
        </w:tc>
        <w:tc>
          <w:tcPr>
            <w:tcW w:w="992" w:type="dxa"/>
            <w:shd w:val="clear" w:color="auto" w:fill="auto"/>
            <w:vAlign w:val="center"/>
          </w:tcPr>
          <w:p w14:paraId="43EFFC05"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3</w:t>
            </w:r>
          </w:p>
        </w:tc>
        <w:tc>
          <w:tcPr>
            <w:tcW w:w="1276" w:type="dxa"/>
            <w:shd w:val="clear" w:color="auto" w:fill="auto"/>
            <w:vAlign w:val="center"/>
          </w:tcPr>
          <w:p w14:paraId="68A41565"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709" w:type="dxa"/>
            <w:shd w:val="clear" w:color="auto" w:fill="auto"/>
            <w:vAlign w:val="center"/>
          </w:tcPr>
          <w:p w14:paraId="79D5ABC3"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992" w:type="dxa"/>
            <w:shd w:val="clear" w:color="auto" w:fill="auto"/>
          </w:tcPr>
          <w:p w14:paraId="152B6382" w14:textId="77777777" w:rsidR="008C4669" w:rsidRPr="008C4669" w:rsidRDefault="008C4669" w:rsidP="008C4669">
            <w:pPr>
              <w:autoSpaceDE w:val="0"/>
              <w:autoSpaceDN w:val="0"/>
              <w:adjustRightInd w:val="0"/>
              <w:jc w:val="center"/>
              <w:rPr>
                <w:rFonts w:eastAsia="Calibri"/>
                <w:sz w:val="18"/>
                <w:szCs w:val="18"/>
                <w:lang w:eastAsia="en-US"/>
              </w:rPr>
            </w:pPr>
          </w:p>
        </w:tc>
        <w:tc>
          <w:tcPr>
            <w:tcW w:w="1276" w:type="dxa"/>
            <w:shd w:val="clear" w:color="auto" w:fill="auto"/>
          </w:tcPr>
          <w:p w14:paraId="3C953BE2"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5.50</w:t>
            </w:r>
          </w:p>
        </w:tc>
        <w:tc>
          <w:tcPr>
            <w:tcW w:w="1275" w:type="dxa"/>
            <w:shd w:val="clear" w:color="auto" w:fill="auto"/>
          </w:tcPr>
          <w:p w14:paraId="442715C8"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3.38</w:t>
            </w:r>
          </w:p>
        </w:tc>
      </w:tr>
      <w:tr w:rsidR="008C4669" w:rsidRPr="008C4669" w14:paraId="4FD82805" w14:textId="77777777" w:rsidTr="008C4669">
        <w:trPr>
          <w:trHeight w:val="106"/>
          <w:jc w:val="center"/>
        </w:trPr>
        <w:tc>
          <w:tcPr>
            <w:tcW w:w="877" w:type="dxa"/>
            <w:shd w:val="clear" w:color="auto" w:fill="auto"/>
            <w:vAlign w:val="center"/>
          </w:tcPr>
          <w:p w14:paraId="5E245422" w14:textId="77777777" w:rsidR="008C4669" w:rsidRPr="008C4669" w:rsidRDefault="008C4669" w:rsidP="008C4669">
            <w:pPr>
              <w:autoSpaceDE w:val="0"/>
              <w:autoSpaceDN w:val="0"/>
              <w:adjustRightInd w:val="0"/>
              <w:jc w:val="center"/>
              <w:rPr>
                <w:rFonts w:eastAsia="Calibri"/>
                <w:bCs/>
                <w:sz w:val="18"/>
                <w:szCs w:val="18"/>
                <w:lang w:eastAsia="en-US"/>
              </w:rPr>
            </w:pPr>
            <w:r w:rsidRPr="008C4669">
              <w:rPr>
                <w:rFonts w:eastAsia="Calibri"/>
                <w:bCs/>
                <w:sz w:val="18"/>
                <w:szCs w:val="18"/>
                <w:lang w:eastAsia="en-US"/>
              </w:rPr>
              <w:t>37</w:t>
            </w:r>
          </w:p>
        </w:tc>
        <w:tc>
          <w:tcPr>
            <w:tcW w:w="2362" w:type="dxa"/>
            <w:shd w:val="clear" w:color="auto" w:fill="auto"/>
            <w:vAlign w:val="center"/>
          </w:tcPr>
          <w:p w14:paraId="32BC87E0" w14:textId="77777777" w:rsidR="008C4669" w:rsidRPr="008C4669" w:rsidRDefault="008C4669" w:rsidP="008C4669">
            <w:pPr>
              <w:autoSpaceDE w:val="0"/>
              <w:autoSpaceDN w:val="0"/>
              <w:adjustRightInd w:val="0"/>
              <w:rPr>
                <w:rFonts w:eastAsia="Calibri"/>
                <w:sz w:val="18"/>
                <w:szCs w:val="18"/>
                <w:lang w:eastAsia="en-US"/>
              </w:rPr>
            </w:pPr>
            <w:r w:rsidRPr="008C4669">
              <w:rPr>
                <w:rFonts w:eastAsia="Calibri"/>
                <w:sz w:val="18"/>
                <w:szCs w:val="18"/>
                <w:lang w:eastAsia="en-US"/>
              </w:rPr>
              <w:t>Sipresto</w:t>
            </w:r>
          </w:p>
        </w:tc>
        <w:tc>
          <w:tcPr>
            <w:tcW w:w="992" w:type="dxa"/>
            <w:shd w:val="clear" w:color="auto" w:fill="auto"/>
            <w:vAlign w:val="center"/>
          </w:tcPr>
          <w:p w14:paraId="05B568F5"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1</w:t>
            </w:r>
          </w:p>
        </w:tc>
        <w:tc>
          <w:tcPr>
            <w:tcW w:w="1276" w:type="dxa"/>
            <w:shd w:val="clear" w:color="auto" w:fill="auto"/>
            <w:vAlign w:val="center"/>
          </w:tcPr>
          <w:p w14:paraId="1B88248C"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32.787</w:t>
            </w:r>
          </w:p>
        </w:tc>
        <w:tc>
          <w:tcPr>
            <w:tcW w:w="709" w:type="dxa"/>
            <w:shd w:val="clear" w:color="auto" w:fill="auto"/>
            <w:vAlign w:val="center"/>
          </w:tcPr>
          <w:p w14:paraId="50EEC269"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992" w:type="dxa"/>
            <w:shd w:val="clear" w:color="auto" w:fill="auto"/>
          </w:tcPr>
          <w:p w14:paraId="72A50EC8"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1276" w:type="dxa"/>
            <w:shd w:val="clear" w:color="auto" w:fill="auto"/>
          </w:tcPr>
          <w:p w14:paraId="41350A4A"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4.40</w:t>
            </w:r>
          </w:p>
        </w:tc>
        <w:tc>
          <w:tcPr>
            <w:tcW w:w="1275" w:type="dxa"/>
            <w:shd w:val="clear" w:color="auto" w:fill="auto"/>
          </w:tcPr>
          <w:p w14:paraId="2AD887A2"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3.10</w:t>
            </w:r>
          </w:p>
        </w:tc>
      </w:tr>
      <w:tr w:rsidR="008C4669" w:rsidRPr="008C4669" w14:paraId="46739DBF" w14:textId="77777777" w:rsidTr="008C4669">
        <w:trPr>
          <w:trHeight w:val="106"/>
          <w:jc w:val="center"/>
        </w:trPr>
        <w:tc>
          <w:tcPr>
            <w:tcW w:w="877" w:type="dxa"/>
            <w:shd w:val="clear" w:color="auto" w:fill="auto"/>
            <w:vAlign w:val="center"/>
          </w:tcPr>
          <w:p w14:paraId="32841D50" w14:textId="77777777" w:rsidR="008C4669" w:rsidRPr="008C4669" w:rsidRDefault="008C4669" w:rsidP="008C4669">
            <w:pPr>
              <w:autoSpaceDE w:val="0"/>
              <w:autoSpaceDN w:val="0"/>
              <w:adjustRightInd w:val="0"/>
              <w:jc w:val="center"/>
              <w:rPr>
                <w:rFonts w:eastAsia="Calibri"/>
                <w:bCs/>
                <w:sz w:val="18"/>
                <w:szCs w:val="18"/>
                <w:lang w:eastAsia="en-US"/>
              </w:rPr>
            </w:pPr>
            <w:r w:rsidRPr="008C4669">
              <w:rPr>
                <w:rFonts w:eastAsia="Calibri"/>
                <w:bCs/>
                <w:sz w:val="18"/>
                <w:szCs w:val="18"/>
                <w:lang w:eastAsia="en-US"/>
              </w:rPr>
              <w:t>38</w:t>
            </w:r>
          </w:p>
        </w:tc>
        <w:tc>
          <w:tcPr>
            <w:tcW w:w="2362" w:type="dxa"/>
            <w:shd w:val="clear" w:color="auto" w:fill="auto"/>
            <w:vAlign w:val="center"/>
          </w:tcPr>
          <w:p w14:paraId="11654335" w14:textId="77777777" w:rsidR="008C4669" w:rsidRPr="008C4669" w:rsidRDefault="008C4669" w:rsidP="008C4669">
            <w:pPr>
              <w:autoSpaceDE w:val="0"/>
              <w:autoSpaceDN w:val="0"/>
              <w:adjustRightInd w:val="0"/>
              <w:rPr>
                <w:rFonts w:eastAsia="Calibri"/>
                <w:sz w:val="18"/>
                <w:szCs w:val="18"/>
                <w:lang w:eastAsia="en-US"/>
              </w:rPr>
            </w:pPr>
            <w:r w:rsidRPr="008C4669">
              <w:rPr>
                <w:rFonts w:eastAsia="Calibri"/>
                <w:sz w:val="18"/>
                <w:szCs w:val="18"/>
                <w:lang w:eastAsia="en-US"/>
              </w:rPr>
              <w:t>Fisofo</w:t>
            </w:r>
          </w:p>
        </w:tc>
        <w:tc>
          <w:tcPr>
            <w:tcW w:w="992" w:type="dxa"/>
            <w:shd w:val="clear" w:color="auto" w:fill="auto"/>
            <w:vAlign w:val="center"/>
          </w:tcPr>
          <w:p w14:paraId="74D0041E"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1</w:t>
            </w:r>
          </w:p>
        </w:tc>
        <w:tc>
          <w:tcPr>
            <w:tcW w:w="1276" w:type="dxa"/>
            <w:shd w:val="clear" w:color="auto" w:fill="auto"/>
            <w:vAlign w:val="center"/>
          </w:tcPr>
          <w:p w14:paraId="6B3AF81E"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709" w:type="dxa"/>
            <w:shd w:val="clear" w:color="auto" w:fill="auto"/>
            <w:vAlign w:val="center"/>
          </w:tcPr>
          <w:p w14:paraId="504D959A"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992" w:type="dxa"/>
            <w:shd w:val="clear" w:color="auto" w:fill="auto"/>
          </w:tcPr>
          <w:p w14:paraId="4B7114C7"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1276" w:type="dxa"/>
            <w:shd w:val="clear" w:color="auto" w:fill="auto"/>
          </w:tcPr>
          <w:p w14:paraId="4C36FC58"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4.20</w:t>
            </w:r>
          </w:p>
        </w:tc>
        <w:tc>
          <w:tcPr>
            <w:tcW w:w="1275" w:type="dxa"/>
            <w:shd w:val="clear" w:color="auto" w:fill="auto"/>
          </w:tcPr>
          <w:p w14:paraId="747BA4F1"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3.05</w:t>
            </w:r>
          </w:p>
        </w:tc>
      </w:tr>
      <w:tr w:rsidR="008C4669" w:rsidRPr="008C4669" w14:paraId="1559B7E4" w14:textId="77777777" w:rsidTr="008C4669">
        <w:trPr>
          <w:trHeight w:val="106"/>
          <w:jc w:val="center"/>
        </w:trPr>
        <w:tc>
          <w:tcPr>
            <w:tcW w:w="877" w:type="dxa"/>
            <w:shd w:val="clear" w:color="auto" w:fill="auto"/>
            <w:vAlign w:val="center"/>
          </w:tcPr>
          <w:p w14:paraId="5C778D50" w14:textId="77777777" w:rsidR="008C4669" w:rsidRPr="008C4669" w:rsidRDefault="008C4669" w:rsidP="008C4669">
            <w:pPr>
              <w:autoSpaceDE w:val="0"/>
              <w:autoSpaceDN w:val="0"/>
              <w:adjustRightInd w:val="0"/>
              <w:jc w:val="center"/>
              <w:rPr>
                <w:rFonts w:eastAsia="Calibri"/>
                <w:bCs/>
                <w:sz w:val="18"/>
                <w:szCs w:val="18"/>
                <w:lang w:eastAsia="en-US"/>
              </w:rPr>
            </w:pPr>
            <w:r w:rsidRPr="008C4669">
              <w:rPr>
                <w:rFonts w:eastAsia="Calibri"/>
                <w:bCs/>
                <w:sz w:val="18"/>
                <w:szCs w:val="18"/>
                <w:lang w:eastAsia="en-US"/>
              </w:rPr>
              <w:t>39</w:t>
            </w:r>
          </w:p>
        </w:tc>
        <w:tc>
          <w:tcPr>
            <w:tcW w:w="2362" w:type="dxa"/>
            <w:shd w:val="clear" w:color="auto" w:fill="auto"/>
            <w:vAlign w:val="center"/>
          </w:tcPr>
          <w:p w14:paraId="71752999" w14:textId="77777777" w:rsidR="008C4669" w:rsidRPr="008C4669" w:rsidRDefault="008C4669" w:rsidP="008C4669">
            <w:pPr>
              <w:autoSpaceDE w:val="0"/>
              <w:autoSpaceDN w:val="0"/>
              <w:adjustRightInd w:val="0"/>
              <w:rPr>
                <w:rFonts w:eastAsia="Calibri"/>
                <w:sz w:val="18"/>
                <w:szCs w:val="18"/>
                <w:lang w:eastAsia="en-US"/>
              </w:rPr>
            </w:pPr>
            <w:r w:rsidRPr="008C4669">
              <w:rPr>
                <w:rFonts w:eastAsia="Calibri"/>
                <w:sz w:val="18"/>
                <w:szCs w:val="18"/>
                <w:lang w:eastAsia="en-US"/>
              </w:rPr>
              <w:t>CN Capital</w:t>
            </w:r>
          </w:p>
        </w:tc>
        <w:tc>
          <w:tcPr>
            <w:tcW w:w="992" w:type="dxa"/>
            <w:shd w:val="clear" w:color="auto" w:fill="auto"/>
            <w:vAlign w:val="center"/>
          </w:tcPr>
          <w:p w14:paraId="36C9D63B"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1</w:t>
            </w:r>
          </w:p>
        </w:tc>
        <w:tc>
          <w:tcPr>
            <w:tcW w:w="1276" w:type="dxa"/>
            <w:shd w:val="clear" w:color="auto" w:fill="auto"/>
            <w:vAlign w:val="center"/>
          </w:tcPr>
          <w:p w14:paraId="782C74D0"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709" w:type="dxa"/>
            <w:shd w:val="clear" w:color="auto" w:fill="auto"/>
            <w:vAlign w:val="center"/>
          </w:tcPr>
          <w:p w14:paraId="5C8A5888"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992" w:type="dxa"/>
            <w:shd w:val="clear" w:color="auto" w:fill="auto"/>
          </w:tcPr>
          <w:p w14:paraId="427334BE"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1276" w:type="dxa"/>
            <w:shd w:val="clear" w:color="auto" w:fill="auto"/>
          </w:tcPr>
          <w:p w14:paraId="58BB46F9"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4.20</w:t>
            </w:r>
          </w:p>
        </w:tc>
        <w:tc>
          <w:tcPr>
            <w:tcW w:w="1275" w:type="dxa"/>
            <w:shd w:val="clear" w:color="auto" w:fill="auto"/>
          </w:tcPr>
          <w:p w14:paraId="239E9227"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3.05</w:t>
            </w:r>
          </w:p>
        </w:tc>
      </w:tr>
      <w:tr w:rsidR="008C4669" w:rsidRPr="008C4669" w14:paraId="7E596626" w14:textId="77777777" w:rsidTr="008C4669">
        <w:trPr>
          <w:trHeight w:val="106"/>
          <w:jc w:val="center"/>
        </w:trPr>
        <w:tc>
          <w:tcPr>
            <w:tcW w:w="877" w:type="dxa"/>
            <w:tcBorders>
              <w:bottom w:val="single" w:sz="4" w:space="0" w:color="auto"/>
            </w:tcBorders>
            <w:shd w:val="clear" w:color="auto" w:fill="auto"/>
            <w:vAlign w:val="center"/>
          </w:tcPr>
          <w:p w14:paraId="2DF05183" w14:textId="77777777" w:rsidR="008C4669" w:rsidRPr="008C4669" w:rsidRDefault="008C4669" w:rsidP="008C4669">
            <w:pPr>
              <w:autoSpaceDE w:val="0"/>
              <w:autoSpaceDN w:val="0"/>
              <w:adjustRightInd w:val="0"/>
              <w:jc w:val="center"/>
              <w:rPr>
                <w:rFonts w:eastAsia="Calibri"/>
                <w:bCs/>
                <w:sz w:val="18"/>
                <w:szCs w:val="18"/>
                <w:lang w:eastAsia="en-US"/>
              </w:rPr>
            </w:pPr>
            <w:r w:rsidRPr="008C4669">
              <w:rPr>
                <w:rFonts w:eastAsia="Calibri"/>
                <w:bCs/>
                <w:sz w:val="18"/>
                <w:szCs w:val="18"/>
                <w:lang w:eastAsia="en-US"/>
              </w:rPr>
              <w:t>40</w:t>
            </w:r>
          </w:p>
        </w:tc>
        <w:tc>
          <w:tcPr>
            <w:tcW w:w="2362" w:type="dxa"/>
            <w:tcBorders>
              <w:bottom w:val="single" w:sz="4" w:space="0" w:color="auto"/>
            </w:tcBorders>
            <w:shd w:val="clear" w:color="auto" w:fill="auto"/>
            <w:vAlign w:val="center"/>
          </w:tcPr>
          <w:p w14:paraId="7773E474" w14:textId="77777777" w:rsidR="008C4669" w:rsidRPr="008C4669" w:rsidRDefault="008C4669" w:rsidP="008C4669">
            <w:pPr>
              <w:autoSpaceDE w:val="0"/>
              <w:autoSpaceDN w:val="0"/>
              <w:adjustRightInd w:val="0"/>
              <w:rPr>
                <w:rFonts w:eastAsia="Calibri"/>
                <w:sz w:val="18"/>
                <w:szCs w:val="18"/>
                <w:lang w:eastAsia="en-US"/>
              </w:rPr>
            </w:pPr>
            <w:r w:rsidRPr="008C4669">
              <w:rPr>
                <w:rFonts w:eastAsia="Calibri"/>
                <w:sz w:val="18"/>
                <w:szCs w:val="18"/>
                <w:lang w:eastAsia="en-US"/>
              </w:rPr>
              <w:t>Quincena Express</w:t>
            </w:r>
          </w:p>
        </w:tc>
        <w:tc>
          <w:tcPr>
            <w:tcW w:w="992" w:type="dxa"/>
            <w:tcBorders>
              <w:bottom w:val="single" w:sz="4" w:space="0" w:color="auto"/>
            </w:tcBorders>
            <w:shd w:val="clear" w:color="auto" w:fill="auto"/>
            <w:vAlign w:val="center"/>
          </w:tcPr>
          <w:p w14:paraId="34103C7D"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1</w:t>
            </w:r>
          </w:p>
        </w:tc>
        <w:tc>
          <w:tcPr>
            <w:tcW w:w="1276" w:type="dxa"/>
            <w:tcBorders>
              <w:bottom w:val="single" w:sz="4" w:space="0" w:color="auto"/>
            </w:tcBorders>
            <w:shd w:val="clear" w:color="auto" w:fill="auto"/>
            <w:vAlign w:val="center"/>
          </w:tcPr>
          <w:p w14:paraId="6DED551C"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709" w:type="dxa"/>
            <w:tcBorders>
              <w:bottom w:val="single" w:sz="4" w:space="0" w:color="auto"/>
            </w:tcBorders>
            <w:shd w:val="clear" w:color="auto" w:fill="auto"/>
            <w:vAlign w:val="center"/>
          </w:tcPr>
          <w:p w14:paraId="44E6FADF"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0</w:t>
            </w:r>
          </w:p>
        </w:tc>
        <w:tc>
          <w:tcPr>
            <w:tcW w:w="992" w:type="dxa"/>
            <w:tcBorders>
              <w:bottom w:val="single" w:sz="4" w:space="0" w:color="auto"/>
            </w:tcBorders>
            <w:shd w:val="clear" w:color="auto" w:fill="auto"/>
          </w:tcPr>
          <w:p w14:paraId="6C3325D6"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w:t>
            </w:r>
          </w:p>
        </w:tc>
        <w:tc>
          <w:tcPr>
            <w:tcW w:w="1276" w:type="dxa"/>
            <w:tcBorders>
              <w:bottom w:val="single" w:sz="4" w:space="0" w:color="auto"/>
            </w:tcBorders>
            <w:shd w:val="clear" w:color="auto" w:fill="auto"/>
            <w:vAlign w:val="center"/>
          </w:tcPr>
          <w:p w14:paraId="013F6102"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3.80</w:t>
            </w:r>
          </w:p>
        </w:tc>
        <w:tc>
          <w:tcPr>
            <w:tcW w:w="1275" w:type="dxa"/>
            <w:tcBorders>
              <w:bottom w:val="single" w:sz="4" w:space="0" w:color="auto"/>
            </w:tcBorders>
            <w:shd w:val="clear" w:color="auto" w:fill="auto"/>
            <w:vAlign w:val="center"/>
          </w:tcPr>
          <w:p w14:paraId="77792A51" w14:textId="77777777" w:rsidR="008C4669" w:rsidRPr="008C4669" w:rsidRDefault="008C4669" w:rsidP="008C4669">
            <w:pPr>
              <w:autoSpaceDE w:val="0"/>
              <w:autoSpaceDN w:val="0"/>
              <w:adjustRightInd w:val="0"/>
              <w:jc w:val="center"/>
              <w:rPr>
                <w:rFonts w:eastAsia="Calibri"/>
                <w:sz w:val="18"/>
                <w:szCs w:val="18"/>
                <w:lang w:eastAsia="en-US"/>
              </w:rPr>
            </w:pPr>
            <w:r w:rsidRPr="008C4669">
              <w:rPr>
                <w:rFonts w:eastAsia="Calibri"/>
                <w:sz w:val="18"/>
                <w:szCs w:val="18"/>
                <w:lang w:eastAsia="en-US"/>
              </w:rPr>
              <w:t>2.95</w:t>
            </w:r>
          </w:p>
        </w:tc>
      </w:tr>
      <w:tr w:rsidR="008C4669" w:rsidRPr="008C4669" w14:paraId="6279C432" w14:textId="77777777" w:rsidTr="008C4669">
        <w:trPr>
          <w:trHeight w:val="106"/>
          <w:jc w:val="center"/>
        </w:trPr>
        <w:tc>
          <w:tcPr>
            <w:tcW w:w="9759" w:type="dxa"/>
            <w:gridSpan w:val="8"/>
            <w:tcBorders>
              <w:left w:val="nil"/>
              <w:bottom w:val="nil"/>
              <w:right w:val="nil"/>
            </w:tcBorders>
            <w:shd w:val="clear" w:color="auto" w:fill="auto"/>
            <w:vAlign w:val="center"/>
          </w:tcPr>
          <w:p w14:paraId="46B0CDCB" w14:textId="77777777" w:rsidR="008C4669" w:rsidRPr="008C4669" w:rsidRDefault="008C4669" w:rsidP="008C4669">
            <w:pPr>
              <w:autoSpaceDE w:val="0"/>
              <w:autoSpaceDN w:val="0"/>
              <w:adjustRightInd w:val="0"/>
              <w:jc w:val="both"/>
              <w:rPr>
                <w:rFonts w:eastAsia="Calibri"/>
                <w:bCs/>
                <w:sz w:val="18"/>
                <w:szCs w:val="18"/>
                <w:lang w:eastAsia="en-US"/>
              </w:rPr>
            </w:pPr>
            <w:r w:rsidRPr="008C4669">
              <w:rPr>
                <w:rFonts w:eastAsia="Calibri"/>
                <w:bCs/>
                <w:sz w:val="18"/>
                <w:szCs w:val="18"/>
                <w:lang w:eastAsia="en-US"/>
              </w:rPr>
              <w:t>* Ordenado en función de la calificación.</w:t>
            </w:r>
          </w:p>
          <w:p w14:paraId="07D3C6AE" w14:textId="32FD527B" w:rsidR="008C4669" w:rsidRPr="008C4669" w:rsidRDefault="008C4669" w:rsidP="008C4669">
            <w:pPr>
              <w:autoSpaceDE w:val="0"/>
              <w:autoSpaceDN w:val="0"/>
              <w:adjustRightInd w:val="0"/>
              <w:jc w:val="both"/>
              <w:rPr>
                <w:rFonts w:eastAsia="Calibri"/>
                <w:bCs/>
                <w:sz w:val="18"/>
                <w:szCs w:val="18"/>
                <w:lang w:eastAsia="en-US"/>
              </w:rPr>
            </w:pPr>
            <w:r w:rsidRPr="008C4669">
              <w:rPr>
                <w:rFonts w:eastAsia="Calibri"/>
                <w:bCs/>
                <w:sz w:val="18"/>
                <w:szCs w:val="18"/>
                <w:lang w:eastAsia="en-US"/>
              </w:rPr>
              <w:t>FUENTE: CONDUSEF</w:t>
            </w:r>
            <w:r w:rsidR="008D29D8">
              <w:rPr>
                <w:rFonts w:eastAsia="Calibri"/>
                <w:bCs/>
                <w:sz w:val="18"/>
                <w:szCs w:val="18"/>
                <w:lang w:eastAsia="en-US"/>
              </w:rPr>
              <w:t>.</w:t>
            </w:r>
          </w:p>
        </w:tc>
      </w:tr>
    </w:tbl>
    <w:p w14:paraId="74689AD6" w14:textId="77777777" w:rsidR="008C4669" w:rsidRPr="008C4669" w:rsidRDefault="008C4669" w:rsidP="008C4669">
      <w:pPr>
        <w:spacing w:after="360" w:line="360" w:lineRule="auto"/>
        <w:ind w:right="-159"/>
        <w:jc w:val="both"/>
        <w:rPr>
          <w:rFonts w:eastAsia="Calibri"/>
          <w:sz w:val="26"/>
          <w:szCs w:val="26"/>
          <w:lang w:eastAsia="en-US"/>
        </w:rPr>
      </w:pPr>
    </w:p>
    <w:p w14:paraId="6C08FA6D" w14:textId="77777777" w:rsidR="008C4669" w:rsidRPr="008C4669" w:rsidRDefault="008C4669" w:rsidP="008C4669">
      <w:pPr>
        <w:spacing w:after="360" w:line="360" w:lineRule="auto"/>
        <w:ind w:right="-159"/>
        <w:jc w:val="both"/>
        <w:rPr>
          <w:rFonts w:eastAsia="Calibri"/>
          <w:sz w:val="26"/>
          <w:szCs w:val="26"/>
          <w:lang w:eastAsia="en-US"/>
        </w:rPr>
      </w:pPr>
      <w:r w:rsidRPr="008C4669">
        <w:rPr>
          <w:rFonts w:eastAsia="Calibri"/>
          <w:sz w:val="26"/>
          <w:szCs w:val="26"/>
          <w:lang w:eastAsia="en-US"/>
        </w:rPr>
        <w:lastRenderedPageBreak/>
        <w:t>Así que decides contratar un crédito de nómina, CONDUSEF sugiere considerar las siguientes recomendaciones:</w:t>
      </w:r>
    </w:p>
    <w:p w14:paraId="2F7C1D03" w14:textId="77777777" w:rsidR="008C4669" w:rsidRPr="008C4669" w:rsidRDefault="008C4669" w:rsidP="00276F3E">
      <w:pPr>
        <w:numPr>
          <w:ilvl w:val="0"/>
          <w:numId w:val="19"/>
        </w:numPr>
        <w:spacing w:after="360" w:line="360" w:lineRule="auto"/>
        <w:ind w:right="-159"/>
        <w:jc w:val="both"/>
        <w:rPr>
          <w:rFonts w:eastAsia="Calibri"/>
          <w:sz w:val="26"/>
          <w:szCs w:val="26"/>
          <w:lang w:eastAsia="en-US"/>
        </w:rPr>
      </w:pPr>
      <w:r w:rsidRPr="008C4669">
        <w:rPr>
          <w:rFonts w:eastAsia="Calibri"/>
          <w:sz w:val="26"/>
          <w:szCs w:val="26"/>
          <w:lang w:eastAsia="en-US"/>
        </w:rPr>
        <w:t>Compara el pago total del crédito: considerando el costo anual total y las comisiones.</w:t>
      </w:r>
    </w:p>
    <w:p w14:paraId="4771C7D8" w14:textId="77777777" w:rsidR="008C4669" w:rsidRPr="008C4669" w:rsidRDefault="008C4669" w:rsidP="00276F3E">
      <w:pPr>
        <w:numPr>
          <w:ilvl w:val="0"/>
          <w:numId w:val="19"/>
        </w:numPr>
        <w:spacing w:after="360" w:line="360" w:lineRule="auto"/>
        <w:ind w:right="-159"/>
        <w:jc w:val="both"/>
        <w:rPr>
          <w:rFonts w:eastAsia="Calibri"/>
          <w:sz w:val="26"/>
          <w:szCs w:val="26"/>
          <w:lang w:eastAsia="en-US"/>
        </w:rPr>
      </w:pPr>
      <w:r w:rsidRPr="008C4669">
        <w:rPr>
          <w:rFonts w:eastAsia="Calibri"/>
          <w:sz w:val="26"/>
          <w:szCs w:val="26"/>
          <w:lang w:eastAsia="en-US"/>
        </w:rPr>
        <w:t>Pide siempre la “Tabla de Amortización” al inicio del crédito y si existe comisión por pago adelantado o anticipado.</w:t>
      </w:r>
    </w:p>
    <w:p w14:paraId="730C7571" w14:textId="77777777" w:rsidR="008C4669" w:rsidRPr="008C4669" w:rsidRDefault="008C4669" w:rsidP="00276F3E">
      <w:pPr>
        <w:numPr>
          <w:ilvl w:val="0"/>
          <w:numId w:val="19"/>
        </w:numPr>
        <w:spacing w:after="360" w:line="360" w:lineRule="auto"/>
        <w:ind w:right="-159"/>
        <w:jc w:val="both"/>
        <w:rPr>
          <w:rFonts w:eastAsia="Calibri"/>
          <w:sz w:val="26"/>
          <w:szCs w:val="26"/>
          <w:lang w:eastAsia="en-US"/>
        </w:rPr>
      </w:pPr>
      <w:r w:rsidRPr="008C4669">
        <w:rPr>
          <w:rFonts w:eastAsia="Calibri"/>
          <w:sz w:val="26"/>
          <w:szCs w:val="26"/>
          <w:lang w:eastAsia="en-US"/>
        </w:rPr>
        <w:t>Evita contratar un crédito para cubrir gastos que puedes planear como vacaciones o útiles escolares.</w:t>
      </w:r>
    </w:p>
    <w:p w14:paraId="4002774C" w14:textId="77777777" w:rsidR="008C4669" w:rsidRPr="008C4669" w:rsidRDefault="008C4669" w:rsidP="00276F3E">
      <w:pPr>
        <w:numPr>
          <w:ilvl w:val="0"/>
          <w:numId w:val="19"/>
        </w:numPr>
        <w:spacing w:after="360" w:line="360" w:lineRule="auto"/>
        <w:ind w:right="-159"/>
        <w:jc w:val="both"/>
        <w:rPr>
          <w:rFonts w:eastAsia="Calibri"/>
          <w:sz w:val="26"/>
          <w:szCs w:val="26"/>
          <w:lang w:eastAsia="en-US"/>
        </w:rPr>
      </w:pPr>
      <w:r w:rsidRPr="008C4669">
        <w:rPr>
          <w:rFonts w:eastAsia="Calibri"/>
          <w:sz w:val="26"/>
          <w:szCs w:val="26"/>
          <w:lang w:eastAsia="en-US"/>
        </w:rPr>
        <w:t>Lee cuidadosamente tu contrato antes de firmar.</w:t>
      </w:r>
    </w:p>
    <w:p w14:paraId="39A77334" w14:textId="77777777" w:rsidR="008C4669" w:rsidRPr="008C4669" w:rsidRDefault="008C4669" w:rsidP="00276F3E">
      <w:pPr>
        <w:numPr>
          <w:ilvl w:val="0"/>
          <w:numId w:val="19"/>
        </w:numPr>
        <w:spacing w:after="360" w:line="360" w:lineRule="auto"/>
        <w:ind w:right="-159"/>
        <w:jc w:val="both"/>
        <w:rPr>
          <w:rFonts w:eastAsia="Calibri"/>
          <w:sz w:val="26"/>
          <w:szCs w:val="26"/>
          <w:lang w:eastAsia="en-US"/>
        </w:rPr>
      </w:pPr>
      <w:r w:rsidRPr="008C4669">
        <w:rPr>
          <w:rFonts w:eastAsia="Calibri"/>
          <w:sz w:val="26"/>
          <w:szCs w:val="26"/>
          <w:lang w:eastAsia="en-US"/>
        </w:rPr>
        <w:t xml:space="preserve">Revisa el Catálogo Nacional de Productos y Servicios Financieros para que conozcas las Sofomes E.N.R que ofrecen crédito de nómina y la información y condiciones que ofrece cada producto, en </w:t>
      </w:r>
      <w:hyperlink r:id="rId342" w:history="1">
        <w:r w:rsidRPr="008C4669">
          <w:rPr>
            <w:rFonts w:eastAsia="Calibri"/>
            <w:sz w:val="26"/>
            <w:szCs w:val="26"/>
            <w:u w:val="single"/>
            <w:lang w:eastAsia="en-US"/>
          </w:rPr>
          <w:t>www.buro.gob.mx</w:t>
        </w:r>
      </w:hyperlink>
      <w:r w:rsidRPr="008C4669">
        <w:rPr>
          <w:rFonts w:eastAsia="Calibri"/>
          <w:sz w:val="26"/>
          <w:szCs w:val="26"/>
          <w:lang w:eastAsia="en-US"/>
        </w:rPr>
        <w:t>.</w:t>
      </w:r>
    </w:p>
    <w:p w14:paraId="67FB6E80" w14:textId="77777777" w:rsidR="008C4669" w:rsidRPr="008C4669" w:rsidRDefault="008C4669" w:rsidP="008C4669">
      <w:pPr>
        <w:ind w:right="-159"/>
        <w:jc w:val="both"/>
        <w:rPr>
          <w:rFonts w:eastAsia="Calibri"/>
          <w:sz w:val="20"/>
          <w:szCs w:val="20"/>
          <w:lang w:eastAsia="en-US"/>
        </w:rPr>
      </w:pPr>
      <w:r w:rsidRPr="008C4669">
        <w:rPr>
          <w:rFonts w:eastAsia="Calibri"/>
          <w:b/>
          <w:sz w:val="20"/>
          <w:szCs w:val="20"/>
          <w:lang w:eastAsia="en-US"/>
        </w:rPr>
        <w:t>Fuente de información</w:t>
      </w:r>
      <w:r w:rsidRPr="008C4669">
        <w:rPr>
          <w:rFonts w:eastAsia="Calibri"/>
          <w:sz w:val="20"/>
          <w:szCs w:val="20"/>
          <w:lang w:eastAsia="en-US"/>
        </w:rPr>
        <w:t>:</w:t>
      </w:r>
    </w:p>
    <w:p w14:paraId="33CB11D2" w14:textId="77777777" w:rsidR="008C4669" w:rsidRPr="002B6043" w:rsidRDefault="0093224F" w:rsidP="002B6043">
      <w:pPr>
        <w:spacing w:after="720"/>
        <w:ind w:right="-159"/>
        <w:jc w:val="both"/>
        <w:rPr>
          <w:rFonts w:eastAsia="Calibri"/>
          <w:color w:val="0000FF"/>
          <w:sz w:val="20"/>
          <w:szCs w:val="20"/>
          <w:u w:val="single"/>
          <w:lang w:eastAsia="en-US"/>
        </w:rPr>
      </w:pPr>
      <w:hyperlink r:id="rId343" w:history="1">
        <w:r w:rsidR="008C4669" w:rsidRPr="002B6043">
          <w:rPr>
            <w:rFonts w:eastAsia="Calibri"/>
            <w:color w:val="0000FF"/>
            <w:sz w:val="20"/>
            <w:szCs w:val="20"/>
            <w:u w:val="single"/>
            <w:lang w:eastAsia="en-US"/>
          </w:rPr>
          <w:t>http://www.condusef.gob.mx/index.php/prensa/comunicados-2015/1159-conoce-las-calificaciones-del-credito-de-nomina-que-ofrece-las-sofom-e-n-r</w:t>
        </w:r>
      </w:hyperlink>
    </w:p>
    <w:p w14:paraId="4CC1FC22" w14:textId="77777777" w:rsidR="00361351" w:rsidRPr="00361351" w:rsidRDefault="00361351" w:rsidP="00361351">
      <w:pPr>
        <w:rPr>
          <w:rFonts w:eastAsia="Calibri"/>
          <w:b/>
          <w:sz w:val="26"/>
          <w:szCs w:val="26"/>
          <w:lang w:eastAsia="en-US"/>
        </w:rPr>
      </w:pPr>
      <w:r w:rsidRPr="00361351">
        <w:rPr>
          <w:rFonts w:eastAsia="Calibri"/>
          <w:b/>
          <w:sz w:val="26"/>
          <w:szCs w:val="26"/>
          <w:lang w:eastAsia="en-US"/>
        </w:rPr>
        <w:t>Disminuye tasa y aumenta el plazo de los créditos</w:t>
      </w:r>
    </w:p>
    <w:p w14:paraId="48F28C94" w14:textId="77777777" w:rsidR="00361351" w:rsidRPr="00361351" w:rsidRDefault="00361351" w:rsidP="00361351">
      <w:pPr>
        <w:spacing w:after="360" w:line="360" w:lineRule="auto"/>
        <w:ind w:right="-159"/>
        <w:jc w:val="both"/>
        <w:rPr>
          <w:rFonts w:eastAsia="Calibri"/>
          <w:b/>
          <w:sz w:val="26"/>
          <w:szCs w:val="26"/>
          <w:lang w:eastAsia="en-US"/>
        </w:rPr>
      </w:pPr>
      <w:r w:rsidRPr="00361351">
        <w:rPr>
          <w:rFonts w:eastAsia="Calibri"/>
          <w:b/>
          <w:sz w:val="26"/>
          <w:szCs w:val="26"/>
          <w:lang w:eastAsia="en-US"/>
        </w:rPr>
        <w:t>de nómina de la banca múltiple (CONDUSEF)</w:t>
      </w:r>
    </w:p>
    <w:p w14:paraId="1C07D6A5" w14:textId="77777777" w:rsidR="00361351" w:rsidRPr="00361351" w:rsidRDefault="00361351" w:rsidP="00361351">
      <w:pPr>
        <w:spacing w:after="360" w:line="360" w:lineRule="auto"/>
        <w:ind w:right="-159"/>
        <w:jc w:val="both"/>
        <w:rPr>
          <w:rFonts w:eastAsia="Calibri"/>
          <w:sz w:val="26"/>
          <w:szCs w:val="26"/>
          <w:lang w:eastAsia="en-US"/>
        </w:rPr>
      </w:pPr>
      <w:r w:rsidRPr="00361351">
        <w:rPr>
          <w:rFonts w:eastAsia="Calibri"/>
          <w:sz w:val="26"/>
          <w:szCs w:val="26"/>
          <w:lang w:eastAsia="en-US"/>
        </w:rPr>
        <w:t>El 3 de marzo de 2015, la Comisión Nacional para la Protección y Defensa de los Usuarios de Servicios Financieros (CONDUSEF) dio a conocer las recomendaciones al contratar un “crédito de nómina”. A continuación se presenta la información.</w:t>
      </w:r>
    </w:p>
    <w:p w14:paraId="73C2395A" w14:textId="77777777" w:rsidR="00361351" w:rsidRPr="00361351" w:rsidRDefault="00361351" w:rsidP="00361351">
      <w:pPr>
        <w:spacing w:after="360" w:line="360" w:lineRule="auto"/>
        <w:ind w:right="-159"/>
        <w:jc w:val="both"/>
        <w:rPr>
          <w:rFonts w:eastAsia="Calibri"/>
          <w:sz w:val="26"/>
          <w:szCs w:val="26"/>
          <w:lang w:eastAsia="en-US"/>
        </w:rPr>
      </w:pPr>
      <w:r w:rsidRPr="00361351">
        <w:rPr>
          <w:rFonts w:eastAsia="Calibri"/>
          <w:sz w:val="26"/>
          <w:szCs w:val="26"/>
          <w:lang w:eastAsia="en-US"/>
        </w:rPr>
        <w:t xml:space="preserve">Los “créditos de nómina” pueden ser otorgados a los trabajadores cuyo salario es abonado a una cuenta de nómina en alguna institución financiera; la ventaja de estos </w:t>
      </w:r>
      <w:r w:rsidRPr="00361351">
        <w:rPr>
          <w:rFonts w:eastAsia="Calibri"/>
          <w:sz w:val="26"/>
          <w:szCs w:val="26"/>
          <w:lang w:eastAsia="en-US"/>
        </w:rPr>
        <w:lastRenderedPageBreak/>
        <w:t>créditos para los otorgantes es que la institución retira el pago periódico del crédito de manera automática, cuando el patrón dispersa el pago de la nómina.</w:t>
      </w:r>
    </w:p>
    <w:p w14:paraId="7D1F217C" w14:textId="77777777" w:rsidR="00361351" w:rsidRPr="00361351" w:rsidRDefault="00361351" w:rsidP="00361351">
      <w:pPr>
        <w:spacing w:after="360" w:line="360" w:lineRule="auto"/>
        <w:ind w:right="-159"/>
        <w:jc w:val="both"/>
        <w:rPr>
          <w:rFonts w:eastAsia="Calibri"/>
          <w:sz w:val="26"/>
          <w:szCs w:val="26"/>
          <w:lang w:eastAsia="en-US"/>
        </w:rPr>
      </w:pPr>
      <w:r w:rsidRPr="00361351">
        <w:rPr>
          <w:rFonts w:eastAsia="Calibri"/>
          <w:sz w:val="26"/>
          <w:szCs w:val="26"/>
          <w:lang w:eastAsia="en-US"/>
        </w:rPr>
        <w:t>Si bien es cierto que se trata de un crédito sin garantía física, el riesgo del crédito de nómina es menor al de otros créditos al consumo no garantizados, ya que en la medida en que el trabajador continúe laborando para la misma empresa, recibe el pago de su salario de manera regular en su cuenta de nómina y la institución continuará recibiendo el pago del crédito.</w:t>
      </w:r>
    </w:p>
    <w:p w14:paraId="2E54928D" w14:textId="77777777" w:rsidR="00361351" w:rsidRPr="00361351" w:rsidRDefault="00361351" w:rsidP="00361351">
      <w:pPr>
        <w:spacing w:after="360" w:line="360" w:lineRule="auto"/>
        <w:ind w:right="-159"/>
        <w:jc w:val="both"/>
        <w:rPr>
          <w:rFonts w:eastAsia="Calibri"/>
          <w:sz w:val="26"/>
          <w:szCs w:val="26"/>
          <w:lang w:eastAsia="en-US"/>
        </w:rPr>
      </w:pPr>
      <w:r w:rsidRPr="00361351">
        <w:rPr>
          <w:rFonts w:eastAsia="Calibri"/>
          <w:sz w:val="26"/>
          <w:szCs w:val="26"/>
          <w:lang w:eastAsia="en-US"/>
        </w:rPr>
        <w:t>De acuerdo con información del Banco de México, a junio del año pasado, los créditos de nómina otorgados ascendieron a 3 millones 799 mil 435, cifra que representa aproximadamente 15% del total de las cuentas de nómina que existen en el sistema bancario.</w:t>
      </w:r>
    </w:p>
    <w:p w14:paraId="7D86F27A" w14:textId="77777777" w:rsidR="00361351" w:rsidRPr="00361351" w:rsidRDefault="00361351" w:rsidP="00361351">
      <w:pPr>
        <w:spacing w:after="360" w:line="360" w:lineRule="auto"/>
        <w:ind w:right="-159"/>
        <w:jc w:val="both"/>
        <w:rPr>
          <w:rFonts w:eastAsia="Calibri"/>
          <w:sz w:val="26"/>
          <w:szCs w:val="26"/>
          <w:lang w:eastAsia="en-US"/>
        </w:rPr>
      </w:pPr>
      <w:r w:rsidRPr="00361351">
        <w:rPr>
          <w:rFonts w:eastAsia="Calibri"/>
          <w:sz w:val="26"/>
          <w:szCs w:val="26"/>
          <w:lang w:eastAsia="en-US"/>
        </w:rPr>
        <w:t>Con respecto al saldo total de la cartera de créditos de nómina, se observa un crecimiento de 21.8% entre junio de 2013 y junio de 2014.</w:t>
      </w:r>
    </w:p>
    <w:p w14:paraId="3D11288F" w14:textId="77777777" w:rsidR="00361351" w:rsidRPr="00361351" w:rsidRDefault="00361351" w:rsidP="00361351">
      <w:pPr>
        <w:spacing w:after="360" w:line="360" w:lineRule="auto"/>
        <w:ind w:right="-159"/>
        <w:jc w:val="both"/>
        <w:rPr>
          <w:rFonts w:eastAsia="Calibri"/>
          <w:sz w:val="26"/>
          <w:szCs w:val="26"/>
          <w:lang w:eastAsia="en-US"/>
        </w:rPr>
      </w:pPr>
      <w:r w:rsidRPr="00361351">
        <w:rPr>
          <w:rFonts w:eastAsia="Calibri"/>
          <w:sz w:val="26"/>
          <w:szCs w:val="26"/>
          <w:lang w:eastAsia="en-US"/>
        </w:rPr>
        <w:t>De las instituciones bancarias que ofrecen este producto, es BBVA Bancomer la que mayor participación tiene en el mercado al concentrar el 36.6% del total de los créditos, le sigue Banamex con 31.1% y Banorte con 18.6%; es decir, dichas instituciones concentran el 86.8% del total de créditos de nómina otorgados por el sistema.</w:t>
      </w:r>
    </w:p>
    <w:p w14:paraId="564DC1B3" w14:textId="77777777" w:rsidR="00361351" w:rsidRPr="00361351" w:rsidRDefault="00361351" w:rsidP="00361351">
      <w:pPr>
        <w:spacing w:after="360" w:line="360" w:lineRule="auto"/>
        <w:ind w:right="-159"/>
        <w:jc w:val="both"/>
        <w:rPr>
          <w:rFonts w:eastAsia="Calibri"/>
          <w:sz w:val="26"/>
          <w:szCs w:val="26"/>
          <w:lang w:eastAsia="en-US"/>
        </w:rPr>
      </w:pPr>
      <w:r w:rsidRPr="00361351">
        <w:rPr>
          <w:rFonts w:eastAsia="Calibri"/>
          <w:sz w:val="26"/>
          <w:szCs w:val="26"/>
          <w:lang w:eastAsia="en-US"/>
        </w:rPr>
        <w:t>Respecto al monto promedio de los créditos otorgados, se observa que si bien el promedio del total del sistema bancario es de 43 mil 757 pesos, la institución que registró el monto promedio por crédito más alto fue Banorte con 48 mil 609 pesos, y la que registró el menor monto promedio fue Banco del Bajío con 22 mil 553 pesos por crédito.</w:t>
      </w:r>
    </w:p>
    <w:p w14:paraId="000CE25F" w14:textId="77777777" w:rsidR="00361351" w:rsidRPr="00361351" w:rsidRDefault="00361351" w:rsidP="00361351">
      <w:pPr>
        <w:spacing w:after="360" w:line="360" w:lineRule="auto"/>
        <w:ind w:right="-159"/>
        <w:jc w:val="both"/>
        <w:rPr>
          <w:rFonts w:eastAsia="Calibri"/>
          <w:sz w:val="26"/>
          <w:szCs w:val="26"/>
          <w:lang w:eastAsia="en-US"/>
        </w:rPr>
      </w:pPr>
      <w:r w:rsidRPr="00361351">
        <w:rPr>
          <w:rFonts w:eastAsia="Calibri"/>
          <w:sz w:val="26"/>
          <w:szCs w:val="26"/>
          <w:lang w:eastAsia="en-US"/>
        </w:rPr>
        <w:t xml:space="preserve">Asimismo, en cuanto al plazo promedio del crédito, se observa un incremento entre 2013 y 2014 en un período de dos meses, al pasar de 38 meses en 2013 a 40 meses en </w:t>
      </w:r>
      <w:r w:rsidRPr="00361351">
        <w:rPr>
          <w:rFonts w:eastAsia="Calibri"/>
          <w:sz w:val="26"/>
          <w:szCs w:val="26"/>
          <w:lang w:eastAsia="en-US"/>
        </w:rPr>
        <w:lastRenderedPageBreak/>
        <w:t>2014; en este punto cabe señalar que, con excepción de banco Afirme, el resto de las instituciones registra un aumento en el plazo promedio del crédito, siendo Santander la que mayor registró con 47 meses, y Banco del Bajío la que obtuvo un registro menor con 28 meses.</w:t>
      </w:r>
    </w:p>
    <w:p w14:paraId="09551109" w14:textId="77777777" w:rsidR="00361351" w:rsidRPr="00361351" w:rsidRDefault="00361351" w:rsidP="00361351">
      <w:pPr>
        <w:spacing w:after="360" w:line="360" w:lineRule="auto"/>
        <w:ind w:right="-159"/>
        <w:jc w:val="both"/>
        <w:rPr>
          <w:rFonts w:eastAsia="Calibri"/>
          <w:sz w:val="26"/>
          <w:szCs w:val="26"/>
          <w:lang w:eastAsia="en-US"/>
        </w:rPr>
      </w:pPr>
      <w:r w:rsidRPr="00361351">
        <w:rPr>
          <w:rFonts w:eastAsia="Calibri"/>
          <w:sz w:val="26"/>
          <w:szCs w:val="26"/>
          <w:lang w:eastAsia="en-US"/>
        </w:rPr>
        <w:t>Por su parte, la tasa de interés promedio ponderada para los “créditos de nómina” registró una reducción de 0.8 puntos entre 2013 y 2014; con excepción de banco Inbursa, las principales instituciones reflejaron una disminución en la tasa de interés de estos créditos, siendo Scotiabank la que menor tasa de interés promedio registró (22.40%) y banco Afirme la que mayor tasa de interés registró (29.90%).</w:t>
      </w:r>
    </w:p>
    <w:p w14:paraId="1F7B346E" w14:textId="77777777" w:rsidR="00361351" w:rsidRPr="00361351" w:rsidRDefault="00361351" w:rsidP="00361351">
      <w:pPr>
        <w:spacing w:after="360" w:line="360" w:lineRule="auto"/>
        <w:ind w:right="-159"/>
        <w:jc w:val="both"/>
        <w:rPr>
          <w:rFonts w:eastAsia="Calibri"/>
          <w:sz w:val="26"/>
          <w:szCs w:val="26"/>
          <w:lang w:eastAsia="en-US"/>
        </w:rPr>
      </w:pPr>
      <w:r w:rsidRPr="00361351">
        <w:rPr>
          <w:rFonts w:eastAsia="Calibri"/>
          <w:sz w:val="26"/>
          <w:szCs w:val="26"/>
          <w:lang w:eastAsia="en-US"/>
        </w:rPr>
        <w:t>Es importante mencionar que de acuerdo con información reportada por el Buró de Entidades Financieras, a septiembre de 2014, se observa que el mayor índice de reclamación por cada 10 mil contratos fue para Santander con 62.9 y el menor fue para Banco del Bajío con 0.63.</w:t>
      </w:r>
    </w:p>
    <w:p w14:paraId="54971CE5" w14:textId="77777777" w:rsidR="00361351" w:rsidRPr="00361351" w:rsidRDefault="00361351" w:rsidP="00361351">
      <w:pPr>
        <w:spacing w:after="360" w:line="360" w:lineRule="auto"/>
        <w:ind w:right="-159"/>
        <w:jc w:val="both"/>
        <w:rPr>
          <w:rFonts w:eastAsia="Calibri"/>
          <w:sz w:val="26"/>
          <w:szCs w:val="26"/>
          <w:lang w:eastAsia="en-US"/>
        </w:rPr>
      </w:pPr>
      <w:r w:rsidRPr="00361351">
        <w:rPr>
          <w:rFonts w:eastAsia="Calibri"/>
          <w:sz w:val="26"/>
          <w:szCs w:val="26"/>
          <w:lang w:eastAsia="en-US"/>
        </w:rPr>
        <w:t>Finalmente, respecto de la calificación general otorgada por CONDUSEF al producto de “crédito de nómina”, se observa que la institución mejor calificada fue banco Afirme con 9.86 y la que mostró la calificación más baja fue Santander con 5.34.</w:t>
      </w:r>
    </w:p>
    <w:p w14:paraId="443C6903" w14:textId="77777777" w:rsidR="00361351" w:rsidRDefault="00361351" w:rsidP="00361351">
      <w:pPr>
        <w:spacing w:after="360" w:line="360" w:lineRule="auto"/>
        <w:ind w:right="-159"/>
        <w:jc w:val="both"/>
        <w:rPr>
          <w:rFonts w:eastAsia="Calibri"/>
          <w:sz w:val="26"/>
          <w:szCs w:val="26"/>
          <w:lang w:eastAsia="en-US"/>
        </w:rPr>
      </w:pPr>
    </w:p>
    <w:p w14:paraId="3F4D7E0F" w14:textId="77777777" w:rsidR="00AA71BA" w:rsidRDefault="00AA71BA" w:rsidP="00361351">
      <w:pPr>
        <w:spacing w:after="360" w:line="360" w:lineRule="auto"/>
        <w:ind w:right="-159"/>
        <w:jc w:val="both"/>
        <w:rPr>
          <w:rFonts w:eastAsia="Calibri"/>
          <w:sz w:val="26"/>
          <w:szCs w:val="26"/>
          <w:lang w:eastAsia="en-US"/>
        </w:rPr>
      </w:pPr>
    </w:p>
    <w:p w14:paraId="1AE9CD02" w14:textId="77777777" w:rsidR="00AA71BA" w:rsidRDefault="00AA71BA" w:rsidP="00361351">
      <w:pPr>
        <w:spacing w:after="360" w:line="360" w:lineRule="auto"/>
        <w:ind w:right="-159"/>
        <w:jc w:val="both"/>
        <w:rPr>
          <w:rFonts w:eastAsia="Calibri"/>
          <w:sz w:val="26"/>
          <w:szCs w:val="26"/>
          <w:lang w:eastAsia="en-US"/>
        </w:rPr>
      </w:pPr>
    </w:p>
    <w:p w14:paraId="166A8B1D" w14:textId="77777777" w:rsidR="00AA71BA" w:rsidRDefault="00AA71BA" w:rsidP="00361351">
      <w:pPr>
        <w:spacing w:after="360" w:line="360" w:lineRule="auto"/>
        <w:ind w:right="-159"/>
        <w:jc w:val="both"/>
        <w:rPr>
          <w:rFonts w:eastAsia="Calibri"/>
          <w:sz w:val="26"/>
          <w:szCs w:val="26"/>
          <w:lang w:eastAsia="en-US"/>
        </w:rPr>
      </w:pPr>
    </w:p>
    <w:p w14:paraId="106792A8" w14:textId="77777777" w:rsidR="00AA71BA" w:rsidRDefault="00AA71BA" w:rsidP="00361351">
      <w:pPr>
        <w:spacing w:after="360" w:line="360" w:lineRule="auto"/>
        <w:ind w:right="-159"/>
        <w:jc w:val="both"/>
        <w:rPr>
          <w:rFonts w:eastAsia="Calibri"/>
          <w:sz w:val="26"/>
          <w:szCs w:val="26"/>
          <w:lang w:eastAsia="en-US"/>
        </w:rPr>
      </w:pPr>
    </w:p>
    <w:p w14:paraId="33D73919" w14:textId="77777777" w:rsidR="00361351" w:rsidRPr="00361351" w:rsidRDefault="00361351" w:rsidP="00361351">
      <w:pPr>
        <w:spacing w:after="360" w:line="360" w:lineRule="auto"/>
        <w:ind w:right="-159"/>
        <w:jc w:val="both"/>
        <w:rPr>
          <w:rFonts w:eastAsia="Calibri"/>
          <w:sz w:val="26"/>
          <w:szCs w:val="26"/>
          <w:lang w:eastAsia="en-US"/>
        </w:rPr>
      </w:pPr>
    </w:p>
    <w:tbl>
      <w:tblPr>
        <w:tblW w:w="9354"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70" w:type="dxa"/>
          <w:right w:w="70" w:type="dxa"/>
        </w:tblCellMar>
        <w:tblLook w:val="04A0" w:firstRow="1" w:lastRow="0" w:firstColumn="1" w:lastColumn="0" w:noHBand="0" w:noVBand="1"/>
      </w:tblPr>
      <w:tblGrid>
        <w:gridCol w:w="940"/>
        <w:gridCol w:w="890"/>
        <w:gridCol w:w="995"/>
        <w:gridCol w:w="820"/>
        <w:gridCol w:w="811"/>
        <w:gridCol w:w="830"/>
        <w:gridCol w:w="647"/>
        <w:gridCol w:w="709"/>
        <w:gridCol w:w="737"/>
        <w:gridCol w:w="681"/>
        <w:gridCol w:w="584"/>
        <w:gridCol w:w="710"/>
      </w:tblGrid>
      <w:tr w:rsidR="00361351" w:rsidRPr="00361351" w14:paraId="027C5F6D" w14:textId="77777777" w:rsidTr="00361351">
        <w:trPr>
          <w:trHeight w:val="251"/>
        </w:trPr>
        <w:tc>
          <w:tcPr>
            <w:tcW w:w="9354" w:type="dxa"/>
            <w:gridSpan w:val="12"/>
            <w:tcBorders>
              <w:top w:val="nil"/>
              <w:left w:val="nil"/>
              <w:bottom w:val="single" w:sz="4" w:space="0" w:color="auto"/>
              <w:right w:val="nil"/>
            </w:tcBorders>
            <w:shd w:val="clear" w:color="auto" w:fill="auto"/>
            <w:noWrap/>
          </w:tcPr>
          <w:p w14:paraId="6E710FE9" w14:textId="62B6496C" w:rsidR="00361351" w:rsidRPr="00361351" w:rsidRDefault="00361351" w:rsidP="00361351">
            <w:pPr>
              <w:jc w:val="center"/>
              <w:rPr>
                <w:rFonts w:eastAsia="Times New Roman"/>
                <w:b/>
                <w:bCs/>
                <w:sz w:val="22"/>
                <w:szCs w:val="22"/>
                <w:lang w:eastAsia="es-MX"/>
              </w:rPr>
            </w:pPr>
            <w:r w:rsidRPr="00361351">
              <w:rPr>
                <w:rFonts w:eastAsia="Times New Roman"/>
                <w:b/>
                <w:bCs/>
                <w:sz w:val="22"/>
                <w:szCs w:val="22"/>
                <w:lang w:eastAsia="es-MX"/>
              </w:rPr>
              <w:lastRenderedPageBreak/>
              <w:t>CRÉDITOS DE NÓMINA VIGENTES A JUNIO DE 2013 Y DE 2014</w:t>
            </w:r>
          </w:p>
        </w:tc>
      </w:tr>
      <w:tr w:rsidR="00361351" w:rsidRPr="00361351" w14:paraId="30F77081" w14:textId="77777777" w:rsidTr="00361351">
        <w:trPr>
          <w:cantSplit/>
          <w:trHeight w:val="1134"/>
        </w:trPr>
        <w:tc>
          <w:tcPr>
            <w:tcW w:w="940" w:type="dxa"/>
            <w:vMerge w:val="restar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14:paraId="78657CC9" w14:textId="77777777" w:rsidR="00361351" w:rsidRPr="00361351" w:rsidRDefault="00361351" w:rsidP="00361351">
            <w:pPr>
              <w:ind w:left="113" w:right="113"/>
              <w:jc w:val="center"/>
              <w:rPr>
                <w:rFonts w:eastAsia="Times New Roman"/>
                <w:b/>
                <w:bCs/>
                <w:sz w:val="18"/>
                <w:szCs w:val="18"/>
                <w:lang w:eastAsia="es-MX"/>
              </w:rPr>
            </w:pPr>
            <w:r w:rsidRPr="00361351">
              <w:rPr>
                <w:rFonts w:eastAsia="Times New Roman"/>
                <w:b/>
                <w:bCs/>
                <w:sz w:val="18"/>
                <w:szCs w:val="18"/>
                <w:lang w:eastAsia="es-MX"/>
              </w:rPr>
              <w:t>Institución</w:t>
            </w:r>
          </w:p>
        </w:tc>
        <w:tc>
          <w:tcPr>
            <w:tcW w:w="1885"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87120F5" w14:textId="77777777" w:rsidR="00361351" w:rsidRPr="00361351" w:rsidRDefault="00361351" w:rsidP="00361351">
            <w:pPr>
              <w:jc w:val="center"/>
              <w:rPr>
                <w:rFonts w:eastAsia="Times New Roman"/>
                <w:b/>
                <w:sz w:val="18"/>
                <w:szCs w:val="18"/>
                <w:lang w:eastAsia="es-MX"/>
              </w:rPr>
            </w:pPr>
            <w:r w:rsidRPr="00361351">
              <w:rPr>
                <w:rFonts w:eastAsia="Times New Roman"/>
                <w:b/>
                <w:sz w:val="18"/>
                <w:szCs w:val="18"/>
                <w:lang w:eastAsia="es-MX"/>
              </w:rPr>
              <w:t>Número de créditos</w:t>
            </w:r>
          </w:p>
        </w:tc>
        <w:tc>
          <w:tcPr>
            <w:tcW w:w="1631"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70A442C" w14:textId="77777777" w:rsidR="00361351" w:rsidRPr="00361351" w:rsidRDefault="00361351" w:rsidP="00361351">
            <w:pPr>
              <w:jc w:val="center"/>
              <w:rPr>
                <w:rFonts w:eastAsia="Times New Roman"/>
                <w:b/>
                <w:sz w:val="18"/>
                <w:szCs w:val="18"/>
                <w:lang w:eastAsia="es-MX"/>
              </w:rPr>
            </w:pPr>
            <w:r w:rsidRPr="00361351">
              <w:rPr>
                <w:rFonts w:eastAsia="Times New Roman"/>
                <w:b/>
                <w:sz w:val="18"/>
                <w:szCs w:val="18"/>
                <w:lang w:eastAsia="es-MX"/>
              </w:rPr>
              <w:t>Saldo de crédito otorgado</w:t>
            </w:r>
          </w:p>
          <w:p w14:paraId="3FE63EC6" w14:textId="77777777" w:rsidR="00361351" w:rsidRPr="00361351" w:rsidRDefault="00361351" w:rsidP="00361351">
            <w:pPr>
              <w:jc w:val="center"/>
              <w:rPr>
                <w:rFonts w:eastAsia="Times New Roman"/>
                <w:b/>
                <w:sz w:val="18"/>
                <w:szCs w:val="18"/>
                <w:lang w:eastAsia="es-MX"/>
              </w:rPr>
            </w:pPr>
            <w:r w:rsidRPr="00361351">
              <w:rPr>
                <w:rFonts w:eastAsia="Times New Roman"/>
                <w:b/>
                <w:sz w:val="18"/>
                <w:szCs w:val="18"/>
                <w:lang w:eastAsia="es-MX"/>
              </w:rPr>
              <w:t>(Millones de pesos)</w:t>
            </w:r>
          </w:p>
        </w:tc>
        <w:tc>
          <w:tcPr>
            <w:tcW w:w="1477"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F031641" w14:textId="77777777" w:rsidR="00361351" w:rsidRPr="00361351" w:rsidRDefault="00361351" w:rsidP="00361351">
            <w:pPr>
              <w:jc w:val="center"/>
              <w:rPr>
                <w:rFonts w:eastAsia="Times New Roman"/>
                <w:b/>
                <w:sz w:val="18"/>
                <w:szCs w:val="18"/>
                <w:lang w:eastAsia="es-MX"/>
              </w:rPr>
            </w:pPr>
            <w:r w:rsidRPr="00361351">
              <w:rPr>
                <w:rFonts w:eastAsia="Times New Roman"/>
                <w:b/>
                <w:sz w:val="18"/>
                <w:szCs w:val="18"/>
                <w:lang w:eastAsia="es-MX"/>
              </w:rPr>
              <w:t>Monto promedio del crédito otorgado</w:t>
            </w:r>
          </w:p>
          <w:p w14:paraId="3479C422" w14:textId="25CAB475" w:rsidR="00361351" w:rsidRPr="00361351" w:rsidRDefault="00361351" w:rsidP="00CF72BB">
            <w:pPr>
              <w:jc w:val="center"/>
              <w:rPr>
                <w:rFonts w:eastAsia="Times New Roman"/>
                <w:b/>
                <w:sz w:val="18"/>
                <w:szCs w:val="18"/>
                <w:lang w:eastAsia="es-MX"/>
              </w:rPr>
            </w:pPr>
            <w:r w:rsidRPr="00361351">
              <w:rPr>
                <w:rFonts w:eastAsia="Times New Roman"/>
                <w:b/>
                <w:sz w:val="18"/>
                <w:szCs w:val="18"/>
                <w:lang w:eastAsia="es-MX"/>
              </w:rPr>
              <w:t>(</w:t>
            </w:r>
            <w:r w:rsidR="00CF72BB">
              <w:rPr>
                <w:rFonts w:eastAsia="Times New Roman"/>
                <w:b/>
                <w:sz w:val="18"/>
                <w:szCs w:val="18"/>
                <w:lang w:eastAsia="es-MX"/>
              </w:rPr>
              <w:t>P</w:t>
            </w:r>
            <w:r w:rsidRPr="00361351">
              <w:rPr>
                <w:rFonts w:eastAsia="Times New Roman"/>
                <w:b/>
                <w:sz w:val="18"/>
                <w:szCs w:val="18"/>
                <w:lang w:eastAsia="es-MX"/>
              </w:rPr>
              <w:t>esos)</w:t>
            </w:r>
          </w:p>
        </w:tc>
        <w:tc>
          <w:tcPr>
            <w:tcW w:w="144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662465" w14:textId="11A7AA19" w:rsidR="00361351" w:rsidRPr="00361351" w:rsidRDefault="00361351" w:rsidP="00CF72BB">
            <w:pPr>
              <w:jc w:val="center"/>
              <w:rPr>
                <w:rFonts w:eastAsia="Times New Roman"/>
                <w:b/>
                <w:sz w:val="18"/>
                <w:szCs w:val="18"/>
                <w:lang w:eastAsia="es-MX"/>
              </w:rPr>
            </w:pPr>
            <w:r w:rsidRPr="00361351">
              <w:rPr>
                <w:rFonts w:eastAsia="Times New Roman"/>
                <w:b/>
                <w:sz w:val="18"/>
                <w:szCs w:val="18"/>
                <w:lang w:eastAsia="es-MX"/>
              </w:rPr>
              <w:t>Plazo promedio del crédito (</w:t>
            </w:r>
            <w:r w:rsidR="00CF72BB">
              <w:rPr>
                <w:rFonts w:eastAsia="Times New Roman"/>
                <w:b/>
                <w:sz w:val="18"/>
                <w:szCs w:val="18"/>
                <w:lang w:eastAsia="es-MX"/>
              </w:rPr>
              <w:t>M</w:t>
            </w:r>
            <w:r w:rsidRPr="00361351">
              <w:rPr>
                <w:rFonts w:eastAsia="Times New Roman"/>
                <w:b/>
                <w:sz w:val="18"/>
                <w:szCs w:val="18"/>
                <w:lang w:eastAsia="es-MX"/>
              </w:rPr>
              <w:t>eses)</w:t>
            </w:r>
          </w:p>
        </w:tc>
        <w:tc>
          <w:tcPr>
            <w:tcW w:w="126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8EFA93" w14:textId="77777777" w:rsidR="00361351" w:rsidRPr="00361351" w:rsidRDefault="00361351" w:rsidP="00361351">
            <w:pPr>
              <w:jc w:val="center"/>
              <w:rPr>
                <w:rFonts w:eastAsia="Times New Roman"/>
                <w:b/>
                <w:sz w:val="18"/>
                <w:szCs w:val="18"/>
                <w:lang w:eastAsia="es-MX"/>
              </w:rPr>
            </w:pPr>
            <w:r w:rsidRPr="00361351">
              <w:rPr>
                <w:rFonts w:eastAsia="Times New Roman"/>
                <w:b/>
                <w:sz w:val="18"/>
                <w:szCs w:val="18"/>
                <w:lang w:eastAsia="es-MX"/>
              </w:rPr>
              <w:t>Tasa promedio ponderada por saldo</w:t>
            </w:r>
          </w:p>
          <w:p w14:paraId="5B2FC8F8" w14:textId="0E1D358A" w:rsidR="00361351" w:rsidRPr="00361351" w:rsidRDefault="00361351" w:rsidP="00CF72BB">
            <w:pPr>
              <w:jc w:val="center"/>
              <w:rPr>
                <w:rFonts w:eastAsia="Times New Roman"/>
                <w:b/>
                <w:sz w:val="18"/>
                <w:szCs w:val="18"/>
                <w:lang w:eastAsia="es-MX"/>
              </w:rPr>
            </w:pPr>
            <w:r w:rsidRPr="00361351">
              <w:rPr>
                <w:rFonts w:eastAsia="Times New Roman"/>
                <w:b/>
                <w:sz w:val="18"/>
                <w:szCs w:val="18"/>
                <w:lang w:eastAsia="es-MX"/>
              </w:rPr>
              <w:t>(%)</w:t>
            </w:r>
          </w:p>
        </w:tc>
        <w:tc>
          <w:tcPr>
            <w:tcW w:w="710" w:type="dxa"/>
            <w:vMerge w:val="restart"/>
            <w:tcBorders>
              <w:top w:val="single" w:sz="4" w:space="0" w:color="auto"/>
              <w:left w:val="single" w:sz="4" w:space="0" w:color="auto"/>
              <w:bottom w:val="single" w:sz="4" w:space="0" w:color="auto"/>
              <w:right w:val="single" w:sz="4" w:space="0" w:color="auto"/>
            </w:tcBorders>
            <w:shd w:val="clear" w:color="auto" w:fill="auto"/>
            <w:textDirection w:val="btLr"/>
          </w:tcPr>
          <w:p w14:paraId="533DBDC4" w14:textId="77777777" w:rsidR="00361351" w:rsidRPr="00361351" w:rsidRDefault="00361351" w:rsidP="00361351">
            <w:pPr>
              <w:ind w:left="113" w:right="113"/>
              <w:jc w:val="center"/>
              <w:rPr>
                <w:rFonts w:eastAsia="Times New Roman"/>
                <w:b/>
                <w:sz w:val="18"/>
                <w:szCs w:val="18"/>
                <w:lang w:eastAsia="es-MX"/>
              </w:rPr>
            </w:pPr>
            <w:r w:rsidRPr="00361351">
              <w:rPr>
                <w:rFonts w:eastAsia="Times New Roman"/>
                <w:b/>
                <w:sz w:val="18"/>
                <w:szCs w:val="18"/>
                <w:lang w:eastAsia="es-MX"/>
              </w:rPr>
              <w:t xml:space="preserve">Evaluación CONDUSEF </w:t>
            </w:r>
          </w:p>
          <w:p w14:paraId="02A5E2B8" w14:textId="77777777" w:rsidR="00361351" w:rsidRPr="00361351" w:rsidRDefault="00361351" w:rsidP="00361351">
            <w:pPr>
              <w:ind w:left="113" w:right="113"/>
              <w:jc w:val="center"/>
              <w:rPr>
                <w:rFonts w:eastAsia="Times New Roman"/>
                <w:b/>
                <w:sz w:val="18"/>
                <w:szCs w:val="18"/>
                <w:lang w:eastAsia="es-MX"/>
              </w:rPr>
            </w:pPr>
            <w:r w:rsidRPr="00361351">
              <w:rPr>
                <w:rFonts w:eastAsia="Times New Roman"/>
                <w:b/>
                <w:sz w:val="18"/>
                <w:szCs w:val="18"/>
                <w:lang w:eastAsia="es-MX"/>
              </w:rPr>
              <w:t>(de 0 a 10)</w:t>
            </w:r>
          </w:p>
        </w:tc>
      </w:tr>
      <w:tr w:rsidR="00361351" w:rsidRPr="00361351" w14:paraId="42758CFE" w14:textId="77777777" w:rsidTr="00361351">
        <w:trPr>
          <w:trHeight w:val="315"/>
        </w:trPr>
        <w:tc>
          <w:tcPr>
            <w:tcW w:w="940" w:type="dxa"/>
            <w:vMerge/>
            <w:tcBorders>
              <w:top w:val="single" w:sz="4" w:space="0" w:color="auto"/>
              <w:left w:val="single" w:sz="4" w:space="0" w:color="auto"/>
              <w:bottom w:val="single" w:sz="4" w:space="0" w:color="auto"/>
              <w:right w:val="single" w:sz="4" w:space="0" w:color="auto"/>
            </w:tcBorders>
            <w:shd w:val="clear" w:color="auto" w:fill="auto"/>
            <w:noWrap/>
            <w:vAlign w:val="bottom"/>
          </w:tcPr>
          <w:p w14:paraId="1FA3DF88" w14:textId="77777777" w:rsidR="00361351" w:rsidRPr="00361351" w:rsidRDefault="00361351" w:rsidP="00361351">
            <w:pPr>
              <w:rPr>
                <w:rFonts w:eastAsia="Times New Roman"/>
                <w:sz w:val="18"/>
                <w:szCs w:val="18"/>
                <w:lang w:eastAsia="es-MX"/>
              </w:rPr>
            </w:pPr>
          </w:p>
        </w:tc>
        <w:tc>
          <w:tcPr>
            <w:tcW w:w="89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C326A4" w14:textId="77777777" w:rsidR="00361351" w:rsidRPr="00361351" w:rsidRDefault="00361351" w:rsidP="00361351">
            <w:pPr>
              <w:jc w:val="center"/>
              <w:rPr>
                <w:rFonts w:eastAsia="Times New Roman"/>
                <w:b/>
                <w:sz w:val="18"/>
                <w:szCs w:val="18"/>
                <w:lang w:eastAsia="es-MX"/>
              </w:rPr>
            </w:pPr>
            <w:r w:rsidRPr="00361351">
              <w:rPr>
                <w:rFonts w:eastAsia="Times New Roman"/>
                <w:b/>
                <w:sz w:val="18"/>
                <w:szCs w:val="18"/>
                <w:lang w:eastAsia="es-MX"/>
              </w:rPr>
              <w:t>2013</w:t>
            </w:r>
          </w:p>
        </w:tc>
        <w:tc>
          <w:tcPr>
            <w:tcW w:w="99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AE514D" w14:textId="77777777" w:rsidR="00361351" w:rsidRPr="00361351" w:rsidRDefault="00361351" w:rsidP="00361351">
            <w:pPr>
              <w:jc w:val="center"/>
              <w:rPr>
                <w:rFonts w:eastAsia="Times New Roman"/>
                <w:b/>
                <w:sz w:val="18"/>
                <w:szCs w:val="18"/>
                <w:lang w:eastAsia="es-MX"/>
              </w:rPr>
            </w:pPr>
            <w:r w:rsidRPr="00361351">
              <w:rPr>
                <w:rFonts w:eastAsia="Times New Roman"/>
                <w:b/>
                <w:sz w:val="18"/>
                <w:szCs w:val="18"/>
                <w:lang w:eastAsia="es-MX"/>
              </w:rPr>
              <w:t>2014</w:t>
            </w:r>
          </w:p>
        </w:tc>
        <w:tc>
          <w:tcPr>
            <w:tcW w:w="8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71A3DA" w14:textId="77777777" w:rsidR="00361351" w:rsidRPr="00361351" w:rsidRDefault="00361351" w:rsidP="00361351">
            <w:pPr>
              <w:jc w:val="center"/>
              <w:rPr>
                <w:rFonts w:eastAsia="Times New Roman"/>
                <w:b/>
                <w:sz w:val="18"/>
                <w:szCs w:val="18"/>
                <w:lang w:eastAsia="es-MX"/>
              </w:rPr>
            </w:pPr>
            <w:r w:rsidRPr="00361351">
              <w:rPr>
                <w:rFonts w:eastAsia="Times New Roman"/>
                <w:b/>
                <w:sz w:val="18"/>
                <w:szCs w:val="18"/>
                <w:lang w:eastAsia="es-MX"/>
              </w:rPr>
              <w:t>2013</w:t>
            </w:r>
          </w:p>
        </w:tc>
        <w:tc>
          <w:tcPr>
            <w:tcW w:w="81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A7DAD5" w14:textId="77777777" w:rsidR="00361351" w:rsidRPr="00361351" w:rsidRDefault="00361351" w:rsidP="00361351">
            <w:pPr>
              <w:jc w:val="center"/>
              <w:rPr>
                <w:rFonts w:eastAsia="Times New Roman"/>
                <w:b/>
                <w:sz w:val="18"/>
                <w:szCs w:val="18"/>
                <w:lang w:eastAsia="es-MX"/>
              </w:rPr>
            </w:pPr>
            <w:r w:rsidRPr="00361351">
              <w:rPr>
                <w:rFonts w:eastAsia="Times New Roman"/>
                <w:b/>
                <w:sz w:val="18"/>
                <w:szCs w:val="18"/>
                <w:lang w:eastAsia="es-MX"/>
              </w:rPr>
              <w:t>2014</w:t>
            </w:r>
          </w:p>
        </w:tc>
        <w:tc>
          <w:tcPr>
            <w:tcW w:w="8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82E1CB" w14:textId="77777777" w:rsidR="00361351" w:rsidRPr="00361351" w:rsidRDefault="00361351" w:rsidP="00361351">
            <w:pPr>
              <w:jc w:val="center"/>
              <w:rPr>
                <w:rFonts w:eastAsia="Times New Roman"/>
                <w:b/>
                <w:sz w:val="18"/>
                <w:szCs w:val="18"/>
                <w:lang w:eastAsia="es-MX"/>
              </w:rPr>
            </w:pPr>
            <w:r w:rsidRPr="00361351">
              <w:rPr>
                <w:rFonts w:eastAsia="Times New Roman"/>
                <w:b/>
                <w:sz w:val="18"/>
                <w:szCs w:val="18"/>
                <w:lang w:eastAsia="es-MX"/>
              </w:rPr>
              <w:t>2013</w:t>
            </w:r>
          </w:p>
        </w:tc>
        <w:tc>
          <w:tcPr>
            <w:tcW w:w="64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1CD601" w14:textId="77777777" w:rsidR="00361351" w:rsidRPr="00361351" w:rsidRDefault="00361351" w:rsidP="00361351">
            <w:pPr>
              <w:jc w:val="center"/>
              <w:rPr>
                <w:rFonts w:eastAsia="Times New Roman"/>
                <w:b/>
                <w:sz w:val="18"/>
                <w:szCs w:val="18"/>
                <w:lang w:eastAsia="es-MX"/>
              </w:rPr>
            </w:pPr>
            <w:r w:rsidRPr="00361351">
              <w:rPr>
                <w:rFonts w:eastAsia="Times New Roman"/>
                <w:b/>
                <w:sz w:val="18"/>
                <w:szCs w:val="18"/>
                <w:lang w:eastAsia="es-MX"/>
              </w:rPr>
              <w:t>2014</w:t>
            </w:r>
          </w:p>
        </w:tc>
        <w:tc>
          <w:tcPr>
            <w:tcW w:w="709" w:type="dxa"/>
            <w:tcBorders>
              <w:top w:val="single" w:sz="4" w:space="0" w:color="auto"/>
              <w:left w:val="single" w:sz="4" w:space="0" w:color="auto"/>
              <w:bottom w:val="single" w:sz="4" w:space="0" w:color="auto"/>
              <w:right w:val="single" w:sz="4" w:space="0" w:color="auto"/>
            </w:tcBorders>
            <w:shd w:val="clear" w:color="auto" w:fill="auto"/>
            <w:vAlign w:val="bottom"/>
          </w:tcPr>
          <w:p w14:paraId="0C4AB31E" w14:textId="77777777" w:rsidR="00361351" w:rsidRPr="00361351" w:rsidRDefault="00361351" w:rsidP="00361351">
            <w:pPr>
              <w:jc w:val="center"/>
              <w:rPr>
                <w:rFonts w:eastAsia="Times New Roman"/>
                <w:b/>
                <w:sz w:val="18"/>
                <w:szCs w:val="18"/>
                <w:lang w:eastAsia="es-MX"/>
              </w:rPr>
            </w:pPr>
            <w:r w:rsidRPr="00361351">
              <w:rPr>
                <w:rFonts w:eastAsia="Times New Roman"/>
                <w:b/>
                <w:sz w:val="18"/>
                <w:szCs w:val="18"/>
                <w:lang w:eastAsia="es-MX"/>
              </w:rPr>
              <w:t>2013</w:t>
            </w:r>
          </w:p>
        </w:tc>
        <w:tc>
          <w:tcPr>
            <w:tcW w:w="737" w:type="dxa"/>
            <w:tcBorders>
              <w:top w:val="single" w:sz="4" w:space="0" w:color="auto"/>
              <w:left w:val="single" w:sz="4" w:space="0" w:color="auto"/>
              <w:bottom w:val="single" w:sz="4" w:space="0" w:color="auto"/>
              <w:right w:val="single" w:sz="4" w:space="0" w:color="auto"/>
            </w:tcBorders>
            <w:shd w:val="clear" w:color="auto" w:fill="auto"/>
            <w:vAlign w:val="bottom"/>
          </w:tcPr>
          <w:p w14:paraId="28C635B4" w14:textId="77777777" w:rsidR="00361351" w:rsidRPr="00361351" w:rsidRDefault="00361351" w:rsidP="00361351">
            <w:pPr>
              <w:jc w:val="center"/>
              <w:rPr>
                <w:rFonts w:eastAsia="Times New Roman"/>
                <w:b/>
                <w:sz w:val="18"/>
                <w:szCs w:val="18"/>
                <w:lang w:eastAsia="es-MX"/>
              </w:rPr>
            </w:pPr>
            <w:r w:rsidRPr="00361351">
              <w:rPr>
                <w:rFonts w:eastAsia="Times New Roman"/>
                <w:b/>
                <w:sz w:val="18"/>
                <w:szCs w:val="18"/>
                <w:lang w:eastAsia="es-MX"/>
              </w:rPr>
              <w:t>2014</w:t>
            </w:r>
          </w:p>
        </w:tc>
        <w:tc>
          <w:tcPr>
            <w:tcW w:w="681" w:type="dxa"/>
            <w:tcBorders>
              <w:top w:val="single" w:sz="4" w:space="0" w:color="auto"/>
              <w:left w:val="single" w:sz="4" w:space="0" w:color="auto"/>
              <w:bottom w:val="single" w:sz="4" w:space="0" w:color="auto"/>
              <w:right w:val="single" w:sz="4" w:space="0" w:color="auto"/>
            </w:tcBorders>
            <w:shd w:val="clear" w:color="auto" w:fill="auto"/>
            <w:vAlign w:val="bottom"/>
          </w:tcPr>
          <w:p w14:paraId="57070FE2" w14:textId="77777777" w:rsidR="00361351" w:rsidRPr="00361351" w:rsidRDefault="00361351" w:rsidP="00361351">
            <w:pPr>
              <w:jc w:val="center"/>
              <w:rPr>
                <w:rFonts w:eastAsia="Times New Roman"/>
                <w:b/>
                <w:sz w:val="18"/>
                <w:szCs w:val="18"/>
                <w:lang w:eastAsia="es-MX"/>
              </w:rPr>
            </w:pPr>
            <w:r w:rsidRPr="00361351">
              <w:rPr>
                <w:rFonts w:eastAsia="Times New Roman"/>
                <w:b/>
                <w:sz w:val="18"/>
                <w:szCs w:val="18"/>
                <w:lang w:eastAsia="es-MX"/>
              </w:rPr>
              <w:t>2013</w:t>
            </w:r>
          </w:p>
        </w:tc>
        <w:tc>
          <w:tcPr>
            <w:tcW w:w="584" w:type="dxa"/>
            <w:tcBorders>
              <w:top w:val="single" w:sz="4" w:space="0" w:color="auto"/>
              <w:left w:val="single" w:sz="4" w:space="0" w:color="auto"/>
              <w:bottom w:val="single" w:sz="4" w:space="0" w:color="auto"/>
              <w:right w:val="single" w:sz="4" w:space="0" w:color="auto"/>
            </w:tcBorders>
            <w:shd w:val="clear" w:color="auto" w:fill="auto"/>
            <w:vAlign w:val="bottom"/>
          </w:tcPr>
          <w:p w14:paraId="44F9349B" w14:textId="77777777" w:rsidR="00361351" w:rsidRPr="00361351" w:rsidRDefault="00361351" w:rsidP="00361351">
            <w:pPr>
              <w:jc w:val="center"/>
              <w:rPr>
                <w:rFonts w:eastAsia="Times New Roman"/>
                <w:b/>
                <w:sz w:val="18"/>
                <w:szCs w:val="18"/>
                <w:lang w:eastAsia="es-MX"/>
              </w:rPr>
            </w:pPr>
            <w:r w:rsidRPr="00361351">
              <w:rPr>
                <w:rFonts w:eastAsia="Times New Roman"/>
                <w:b/>
                <w:sz w:val="18"/>
                <w:szCs w:val="18"/>
                <w:lang w:eastAsia="es-MX"/>
              </w:rPr>
              <w:t>2014</w:t>
            </w:r>
          </w:p>
        </w:tc>
        <w:tc>
          <w:tcPr>
            <w:tcW w:w="710" w:type="dxa"/>
            <w:vMerge/>
            <w:tcBorders>
              <w:top w:val="single" w:sz="4" w:space="0" w:color="auto"/>
              <w:left w:val="single" w:sz="4" w:space="0" w:color="auto"/>
              <w:bottom w:val="single" w:sz="4" w:space="0" w:color="auto"/>
              <w:right w:val="single" w:sz="4" w:space="0" w:color="auto"/>
            </w:tcBorders>
            <w:shd w:val="clear" w:color="auto" w:fill="auto"/>
          </w:tcPr>
          <w:p w14:paraId="2764008B" w14:textId="77777777" w:rsidR="00361351" w:rsidRPr="00361351" w:rsidRDefault="00361351" w:rsidP="00361351">
            <w:pPr>
              <w:jc w:val="right"/>
              <w:rPr>
                <w:rFonts w:eastAsia="Times New Roman"/>
                <w:sz w:val="18"/>
                <w:szCs w:val="18"/>
                <w:lang w:eastAsia="es-MX"/>
              </w:rPr>
            </w:pPr>
          </w:p>
        </w:tc>
      </w:tr>
      <w:tr w:rsidR="00361351" w:rsidRPr="00361351" w14:paraId="7FE7EA7A" w14:textId="77777777" w:rsidTr="00361351">
        <w:trPr>
          <w:trHeight w:val="315"/>
        </w:trPr>
        <w:tc>
          <w:tcPr>
            <w:tcW w:w="940" w:type="dxa"/>
            <w:tcBorders>
              <w:top w:val="single" w:sz="4" w:space="0" w:color="auto"/>
              <w:left w:val="single" w:sz="4" w:space="0" w:color="auto"/>
              <w:bottom w:val="nil"/>
              <w:right w:val="single" w:sz="4" w:space="0" w:color="auto"/>
            </w:tcBorders>
            <w:shd w:val="clear" w:color="auto" w:fill="auto"/>
            <w:noWrap/>
            <w:vAlign w:val="bottom"/>
          </w:tcPr>
          <w:p w14:paraId="32AEC477" w14:textId="77777777" w:rsidR="00361351" w:rsidRPr="00361351" w:rsidRDefault="00361351" w:rsidP="00361351">
            <w:pPr>
              <w:rPr>
                <w:rFonts w:eastAsia="Times New Roman"/>
                <w:b/>
                <w:sz w:val="18"/>
                <w:szCs w:val="18"/>
                <w:lang w:eastAsia="es-MX"/>
              </w:rPr>
            </w:pPr>
            <w:r w:rsidRPr="00361351">
              <w:rPr>
                <w:rFonts w:eastAsia="Times New Roman"/>
                <w:b/>
                <w:sz w:val="18"/>
                <w:szCs w:val="18"/>
                <w:lang w:eastAsia="es-MX"/>
              </w:rPr>
              <w:t>Total del sistema</w:t>
            </w:r>
          </w:p>
        </w:tc>
        <w:tc>
          <w:tcPr>
            <w:tcW w:w="890" w:type="dxa"/>
            <w:tcBorders>
              <w:top w:val="single" w:sz="4" w:space="0" w:color="auto"/>
              <w:left w:val="single" w:sz="4" w:space="0" w:color="auto"/>
              <w:bottom w:val="nil"/>
              <w:right w:val="single" w:sz="4" w:space="0" w:color="auto"/>
            </w:tcBorders>
            <w:shd w:val="clear" w:color="auto" w:fill="auto"/>
            <w:noWrap/>
            <w:vAlign w:val="center"/>
          </w:tcPr>
          <w:p w14:paraId="75B3DB0D" w14:textId="77777777" w:rsidR="00361351" w:rsidRPr="00361351" w:rsidRDefault="00361351" w:rsidP="00361351">
            <w:pPr>
              <w:jc w:val="right"/>
              <w:rPr>
                <w:rFonts w:eastAsia="Times New Roman"/>
                <w:b/>
                <w:sz w:val="18"/>
                <w:szCs w:val="18"/>
                <w:lang w:eastAsia="es-MX"/>
              </w:rPr>
            </w:pPr>
            <w:r w:rsidRPr="00361351">
              <w:rPr>
                <w:rFonts w:eastAsia="Times New Roman"/>
                <w:b/>
                <w:sz w:val="18"/>
                <w:szCs w:val="18"/>
                <w:lang w:eastAsia="es-MX"/>
              </w:rPr>
              <w:t>3 818 098</w:t>
            </w:r>
          </w:p>
        </w:tc>
        <w:tc>
          <w:tcPr>
            <w:tcW w:w="995" w:type="dxa"/>
            <w:tcBorders>
              <w:top w:val="single" w:sz="4" w:space="0" w:color="auto"/>
              <w:left w:val="single" w:sz="4" w:space="0" w:color="auto"/>
              <w:bottom w:val="nil"/>
              <w:right w:val="single" w:sz="4" w:space="0" w:color="auto"/>
            </w:tcBorders>
            <w:shd w:val="clear" w:color="auto" w:fill="auto"/>
            <w:noWrap/>
            <w:vAlign w:val="center"/>
          </w:tcPr>
          <w:p w14:paraId="0FE7690D" w14:textId="77777777" w:rsidR="00361351" w:rsidRPr="00361351" w:rsidRDefault="00361351" w:rsidP="00361351">
            <w:pPr>
              <w:jc w:val="right"/>
              <w:rPr>
                <w:rFonts w:eastAsia="Times New Roman"/>
                <w:b/>
                <w:sz w:val="18"/>
                <w:szCs w:val="18"/>
                <w:lang w:eastAsia="es-MX"/>
              </w:rPr>
            </w:pPr>
            <w:r w:rsidRPr="00361351">
              <w:rPr>
                <w:rFonts w:eastAsia="Times New Roman"/>
                <w:b/>
                <w:sz w:val="18"/>
                <w:szCs w:val="18"/>
                <w:lang w:eastAsia="es-MX"/>
              </w:rPr>
              <w:t>3 799 435</w:t>
            </w:r>
          </w:p>
        </w:tc>
        <w:tc>
          <w:tcPr>
            <w:tcW w:w="820" w:type="dxa"/>
            <w:tcBorders>
              <w:top w:val="single" w:sz="4" w:space="0" w:color="auto"/>
              <w:left w:val="single" w:sz="4" w:space="0" w:color="auto"/>
              <w:bottom w:val="nil"/>
              <w:right w:val="single" w:sz="4" w:space="0" w:color="auto"/>
            </w:tcBorders>
            <w:shd w:val="clear" w:color="auto" w:fill="auto"/>
            <w:noWrap/>
            <w:vAlign w:val="center"/>
          </w:tcPr>
          <w:p w14:paraId="3BB5DDC8" w14:textId="77777777" w:rsidR="00361351" w:rsidRPr="00361351" w:rsidRDefault="00361351" w:rsidP="00361351">
            <w:pPr>
              <w:ind w:left="-113" w:right="113"/>
              <w:jc w:val="right"/>
              <w:rPr>
                <w:rFonts w:eastAsia="Times New Roman"/>
                <w:b/>
                <w:sz w:val="18"/>
                <w:szCs w:val="18"/>
                <w:lang w:eastAsia="es-MX"/>
              </w:rPr>
            </w:pPr>
            <w:r w:rsidRPr="00361351">
              <w:rPr>
                <w:rFonts w:eastAsia="Times New Roman"/>
                <w:b/>
                <w:sz w:val="18"/>
                <w:szCs w:val="18"/>
                <w:lang w:eastAsia="es-MX"/>
              </w:rPr>
              <w:t>99 058</w:t>
            </w:r>
          </w:p>
        </w:tc>
        <w:tc>
          <w:tcPr>
            <w:tcW w:w="811" w:type="dxa"/>
            <w:tcBorders>
              <w:top w:val="single" w:sz="4" w:space="0" w:color="auto"/>
              <w:left w:val="single" w:sz="4" w:space="0" w:color="auto"/>
              <w:bottom w:val="nil"/>
              <w:right w:val="single" w:sz="4" w:space="0" w:color="auto"/>
            </w:tcBorders>
            <w:shd w:val="clear" w:color="auto" w:fill="auto"/>
            <w:noWrap/>
            <w:vAlign w:val="center"/>
          </w:tcPr>
          <w:p w14:paraId="4B0A1520" w14:textId="77777777" w:rsidR="00361351" w:rsidRPr="00361351" w:rsidRDefault="00361351" w:rsidP="00361351">
            <w:pPr>
              <w:jc w:val="right"/>
              <w:rPr>
                <w:rFonts w:eastAsia="Times New Roman"/>
                <w:b/>
                <w:sz w:val="18"/>
                <w:szCs w:val="18"/>
                <w:lang w:eastAsia="es-MX"/>
              </w:rPr>
            </w:pPr>
            <w:r w:rsidRPr="00361351">
              <w:rPr>
                <w:rFonts w:eastAsia="Times New Roman"/>
                <w:b/>
                <w:sz w:val="18"/>
                <w:szCs w:val="18"/>
                <w:lang w:eastAsia="es-MX"/>
              </w:rPr>
              <w:t>120 645</w:t>
            </w:r>
          </w:p>
        </w:tc>
        <w:tc>
          <w:tcPr>
            <w:tcW w:w="830" w:type="dxa"/>
            <w:tcBorders>
              <w:top w:val="single" w:sz="4" w:space="0" w:color="auto"/>
              <w:left w:val="single" w:sz="4" w:space="0" w:color="auto"/>
              <w:bottom w:val="nil"/>
              <w:right w:val="single" w:sz="4" w:space="0" w:color="auto"/>
            </w:tcBorders>
            <w:shd w:val="clear" w:color="auto" w:fill="auto"/>
            <w:noWrap/>
            <w:vAlign w:val="center"/>
          </w:tcPr>
          <w:p w14:paraId="5CD953CD" w14:textId="77777777" w:rsidR="00361351" w:rsidRPr="00361351" w:rsidRDefault="00361351" w:rsidP="00361351">
            <w:pPr>
              <w:jc w:val="right"/>
              <w:rPr>
                <w:rFonts w:eastAsia="Times New Roman"/>
                <w:b/>
                <w:sz w:val="18"/>
                <w:szCs w:val="18"/>
                <w:lang w:eastAsia="es-MX"/>
              </w:rPr>
            </w:pPr>
            <w:r w:rsidRPr="00361351">
              <w:rPr>
                <w:rFonts w:eastAsia="Times New Roman"/>
                <w:b/>
                <w:sz w:val="18"/>
                <w:szCs w:val="18"/>
                <w:lang w:eastAsia="es-MX"/>
              </w:rPr>
              <w:t>33 156</w:t>
            </w:r>
          </w:p>
        </w:tc>
        <w:tc>
          <w:tcPr>
            <w:tcW w:w="647" w:type="dxa"/>
            <w:tcBorders>
              <w:top w:val="single" w:sz="4" w:space="0" w:color="auto"/>
              <w:left w:val="single" w:sz="4" w:space="0" w:color="auto"/>
              <w:bottom w:val="nil"/>
              <w:right w:val="single" w:sz="4" w:space="0" w:color="auto"/>
            </w:tcBorders>
            <w:shd w:val="clear" w:color="auto" w:fill="auto"/>
            <w:noWrap/>
            <w:vAlign w:val="center"/>
          </w:tcPr>
          <w:p w14:paraId="1870BDE3" w14:textId="77777777" w:rsidR="00361351" w:rsidRPr="00361351" w:rsidRDefault="00361351" w:rsidP="00361351">
            <w:pPr>
              <w:jc w:val="right"/>
              <w:rPr>
                <w:rFonts w:eastAsia="Times New Roman"/>
                <w:b/>
                <w:sz w:val="18"/>
                <w:szCs w:val="18"/>
                <w:lang w:eastAsia="es-MX"/>
              </w:rPr>
            </w:pPr>
            <w:r w:rsidRPr="00361351">
              <w:rPr>
                <w:rFonts w:eastAsia="Times New Roman"/>
                <w:b/>
                <w:sz w:val="18"/>
                <w:szCs w:val="18"/>
                <w:lang w:eastAsia="es-MX"/>
              </w:rPr>
              <w:t>43 757</w:t>
            </w:r>
          </w:p>
        </w:tc>
        <w:tc>
          <w:tcPr>
            <w:tcW w:w="709" w:type="dxa"/>
            <w:tcBorders>
              <w:top w:val="single" w:sz="4" w:space="0" w:color="auto"/>
              <w:left w:val="single" w:sz="4" w:space="0" w:color="auto"/>
              <w:bottom w:val="nil"/>
              <w:right w:val="single" w:sz="4" w:space="0" w:color="auto"/>
            </w:tcBorders>
            <w:shd w:val="clear" w:color="auto" w:fill="auto"/>
            <w:vAlign w:val="center"/>
          </w:tcPr>
          <w:p w14:paraId="38315BD9" w14:textId="77777777" w:rsidR="00361351" w:rsidRPr="00361351" w:rsidRDefault="00361351" w:rsidP="00361351">
            <w:pPr>
              <w:ind w:left="-170" w:right="170"/>
              <w:jc w:val="right"/>
              <w:rPr>
                <w:rFonts w:eastAsia="Times New Roman"/>
                <w:b/>
                <w:sz w:val="18"/>
                <w:szCs w:val="18"/>
                <w:lang w:eastAsia="es-MX"/>
              </w:rPr>
            </w:pPr>
            <w:r w:rsidRPr="00361351">
              <w:rPr>
                <w:rFonts w:eastAsia="Times New Roman"/>
                <w:b/>
                <w:sz w:val="18"/>
                <w:szCs w:val="18"/>
                <w:lang w:eastAsia="es-MX"/>
              </w:rPr>
              <w:t>38</w:t>
            </w:r>
          </w:p>
        </w:tc>
        <w:tc>
          <w:tcPr>
            <w:tcW w:w="737" w:type="dxa"/>
            <w:tcBorders>
              <w:top w:val="single" w:sz="4" w:space="0" w:color="auto"/>
              <w:left w:val="single" w:sz="4" w:space="0" w:color="auto"/>
              <w:bottom w:val="nil"/>
              <w:right w:val="single" w:sz="4" w:space="0" w:color="auto"/>
            </w:tcBorders>
            <w:shd w:val="clear" w:color="auto" w:fill="auto"/>
            <w:vAlign w:val="center"/>
          </w:tcPr>
          <w:p w14:paraId="589D5804" w14:textId="77777777" w:rsidR="00361351" w:rsidRPr="00361351" w:rsidRDefault="00361351" w:rsidP="00361351">
            <w:pPr>
              <w:ind w:left="-170" w:right="170"/>
              <w:jc w:val="right"/>
              <w:rPr>
                <w:rFonts w:eastAsia="Times New Roman"/>
                <w:b/>
                <w:sz w:val="18"/>
                <w:szCs w:val="18"/>
                <w:lang w:eastAsia="es-MX"/>
              </w:rPr>
            </w:pPr>
            <w:r w:rsidRPr="00361351">
              <w:rPr>
                <w:rFonts w:eastAsia="Times New Roman"/>
                <w:b/>
                <w:sz w:val="18"/>
                <w:szCs w:val="18"/>
                <w:lang w:eastAsia="es-MX"/>
              </w:rPr>
              <w:t>40</w:t>
            </w:r>
          </w:p>
        </w:tc>
        <w:tc>
          <w:tcPr>
            <w:tcW w:w="681" w:type="dxa"/>
            <w:tcBorders>
              <w:top w:val="single" w:sz="4" w:space="0" w:color="auto"/>
              <w:left w:val="single" w:sz="4" w:space="0" w:color="auto"/>
              <w:bottom w:val="nil"/>
              <w:right w:val="single" w:sz="4" w:space="0" w:color="auto"/>
            </w:tcBorders>
            <w:shd w:val="clear" w:color="auto" w:fill="auto"/>
            <w:vAlign w:val="center"/>
          </w:tcPr>
          <w:p w14:paraId="27467689" w14:textId="77777777" w:rsidR="00361351" w:rsidRPr="00361351" w:rsidRDefault="00361351" w:rsidP="00CF72BB">
            <w:pPr>
              <w:jc w:val="center"/>
              <w:rPr>
                <w:rFonts w:eastAsia="Times New Roman"/>
                <w:b/>
                <w:sz w:val="18"/>
                <w:szCs w:val="18"/>
                <w:lang w:eastAsia="es-MX"/>
              </w:rPr>
            </w:pPr>
            <w:r w:rsidRPr="00361351">
              <w:rPr>
                <w:rFonts w:eastAsia="Times New Roman"/>
                <w:b/>
                <w:sz w:val="18"/>
                <w:szCs w:val="18"/>
                <w:lang w:eastAsia="es-MX"/>
              </w:rPr>
              <w:t>26.0</w:t>
            </w:r>
          </w:p>
        </w:tc>
        <w:tc>
          <w:tcPr>
            <w:tcW w:w="584" w:type="dxa"/>
            <w:tcBorders>
              <w:top w:val="single" w:sz="4" w:space="0" w:color="auto"/>
              <w:left w:val="single" w:sz="4" w:space="0" w:color="auto"/>
              <w:bottom w:val="nil"/>
              <w:right w:val="single" w:sz="4" w:space="0" w:color="auto"/>
            </w:tcBorders>
            <w:shd w:val="clear" w:color="auto" w:fill="auto"/>
            <w:vAlign w:val="center"/>
          </w:tcPr>
          <w:p w14:paraId="553E1A85" w14:textId="77777777" w:rsidR="00361351" w:rsidRPr="00361351" w:rsidRDefault="00361351" w:rsidP="00CF72BB">
            <w:pPr>
              <w:jc w:val="center"/>
              <w:rPr>
                <w:rFonts w:eastAsia="Times New Roman"/>
                <w:b/>
                <w:sz w:val="18"/>
                <w:szCs w:val="18"/>
                <w:lang w:eastAsia="es-MX"/>
              </w:rPr>
            </w:pPr>
            <w:r w:rsidRPr="00361351">
              <w:rPr>
                <w:rFonts w:eastAsia="Times New Roman"/>
                <w:b/>
                <w:sz w:val="18"/>
                <w:szCs w:val="18"/>
                <w:lang w:eastAsia="es-MX"/>
              </w:rPr>
              <w:t>25.2</w:t>
            </w:r>
          </w:p>
        </w:tc>
        <w:tc>
          <w:tcPr>
            <w:tcW w:w="710" w:type="dxa"/>
            <w:tcBorders>
              <w:top w:val="single" w:sz="4" w:space="0" w:color="auto"/>
              <w:left w:val="single" w:sz="4" w:space="0" w:color="auto"/>
              <w:bottom w:val="nil"/>
              <w:right w:val="single" w:sz="4" w:space="0" w:color="auto"/>
            </w:tcBorders>
            <w:shd w:val="clear" w:color="auto" w:fill="auto"/>
            <w:vAlign w:val="center"/>
          </w:tcPr>
          <w:p w14:paraId="4A8C355C" w14:textId="77777777" w:rsidR="00361351" w:rsidRPr="00361351" w:rsidRDefault="00361351" w:rsidP="00CF72BB">
            <w:pPr>
              <w:jc w:val="center"/>
              <w:rPr>
                <w:rFonts w:eastAsia="Times New Roman"/>
                <w:b/>
                <w:sz w:val="18"/>
                <w:szCs w:val="18"/>
                <w:lang w:eastAsia="es-MX"/>
              </w:rPr>
            </w:pPr>
          </w:p>
        </w:tc>
      </w:tr>
      <w:tr w:rsidR="00361351" w:rsidRPr="00361351" w14:paraId="562D84CF" w14:textId="77777777" w:rsidTr="00361351">
        <w:trPr>
          <w:trHeight w:val="315"/>
        </w:trPr>
        <w:tc>
          <w:tcPr>
            <w:tcW w:w="940" w:type="dxa"/>
            <w:tcBorders>
              <w:top w:val="nil"/>
              <w:left w:val="single" w:sz="4" w:space="0" w:color="auto"/>
              <w:bottom w:val="nil"/>
              <w:right w:val="single" w:sz="4" w:space="0" w:color="auto"/>
            </w:tcBorders>
            <w:shd w:val="clear" w:color="auto" w:fill="auto"/>
            <w:noWrap/>
            <w:vAlign w:val="bottom"/>
          </w:tcPr>
          <w:p w14:paraId="7F1B4546" w14:textId="77777777" w:rsidR="00361351" w:rsidRPr="00361351" w:rsidRDefault="00361351" w:rsidP="00361351">
            <w:pPr>
              <w:rPr>
                <w:rFonts w:eastAsia="Times New Roman"/>
                <w:sz w:val="18"/>
                <w:szCs w:val="18"/>
                <w:lang w:eastAsia="es-MX"/>
              </w:rPr>
            </w:pPr>
            <w:r w:rsidRPr="00361351">
              <w:rPr>
                <w:rFonts w:eastAsia="Times New Roman"/>
                <w:sz w:val="18"/>
                <w:szCs w:val="18"/>
                <w:lang w:eastAsia="es-MX"/>
              </w:rPr>
              <w:t>BBVA Bancomer</w:t>
            </w:r>
          </w:p>
        </w:tc>
        <w:tc>
          <w:tcPr>
            <w:tcW w:w="890" w:type="dxa"/>
            <w:tcBorders>
              <w:top w:val="nil"/>
              <w:left w:val="single" w:sz="4" w:space="0" w:color="auto"/>
              <w:bottom w:val="nil"/>
              <w:right w:val="single" w:sz="4" w:space="0" w:color="auto"/>
            </w:tcBorders>
            <w:shd w:val="clear" w:color="auto" w:fill="auto"/>
            <w:noWrap/>
            <w:vAlign w:val="center"/>
          </w:tcPr>
          <w:p w14:paraId="543D917A" w14:textId="77777777" w:rsidR="00361351" w:rsidRPr="00361351" w:rsidRDefault="00361351" w:rsidP="00361351">
            <w:pPr>
              <w:jc w:val="right"/>
              <w:rPr>
                <w:rFonts w:eastAsia="Times New Roman"/>
                <w:sz w:val="18"/>
                <w:szCs w:val="18"/>
                <w:lang w:eastAsia="es-MX"/>
              </w:rPr>
            </w:pPr>
            <w:r w:rsidRPr="00361351">
              <w:rPr>
                <w:rFonts w:eastAsia="Times New Roman"/>
                <w:sz w:val="18"/>
                <w:szCs w:val="18"/>
                <w:lang w:eastAsia="es-MX"/>
              </w:rPr>
              <w:t>1 424 359</w:t>
            </w:r>
          </w:p>
        </w:tc>
        <w:tc>
          <w:tcPr>
            <w:tcW w:w="995" w:type="dxa"/>
            <w:tcBorders>
              <w:top w:val="nil"/>
              <w:left w:val="single" w:sz="4" w:space="0" w:color="auto"/>
              <w:bottom w:val="nil"/>
              <w:right w:val="single" w:sz="4" w:space="0" w:color="auto"/>
            </w:tcBorders>
            <w:shd w:val="clear" w:color="auto" w:fill="auto"/>
            <w:noWrap/>
            <w:vAlign w:val="center"/>
          </w:tcPr>
          <w:p w14:paraId="5902E9AF" w14:textId="77777777" w:rsidR="00361351" w:rsidRPr="00361351" w:rsidRDefault="00361351" w:rsidP="00361351">
            <w:pPr>
              <w:jc w:val="right"/>
              <w:rPr>
                <w:rFonts w:eastAsia="Times New Roman"/>
                <w:sz w:val="18"/>
                <w:szCs w:val="18"/>
                <w:lang w:eastAsia="es-MX"/>
              </w:rPr>
            </w:pPr>
            <w:r w:rsidRPr="00361351">
              <w:rPr>
                <w:rFonts w:eastAsia="Times New Roman"/>
                <w:sz w:val="18"/>
                <w:szCs w:val="18"/>
                <w:lang w:eastAsia="es-MX"/>
              </w:rPr>
              <w:t>1 397 611</w:t>
            </w:r>
          </w:p>
        </w:tc>
        <w:tc>
          <w:tcPr>
            <w:tcW w:w="820" w:type="dxa"/>
            <w:tcBorders>
              <w:top w:val="nil"/>
              <w:left w:val="single" w:sz="4" w:space="0" w:color="auto"/>
              <w:bottom w:val="nil"/>
              <w:right w:val="single" w:sz="4" w:space="0" w:color="auto"/>
            </w:tcBorders>
            <w:shd w:val="clear" w:color="auto" w:fill="auto"/>
            <w:noWrap/>
            <w:vAlign w:val="center"/>
          </w:tcPr>
          <w:p w14:paraId="5FCBBBC9" w14:textId="77777777" w:rsidR="00361351" w:rsidRPr="00361351" w:rsidRDefault="00361351" w:rsidP="00361351">
            <w:pPr>
              <w:ind w:left="-113" w:right="113"/>
              <w:jc w:val="right"/>
              <w:rPr>
                <w:rFonts w:eastAsia="Times New Roman"/>
                <w:sz w:val="18"/>
                <w:szCs w:val="18"/>
                <w:lang w:eastAsia="es-MX"/>
              </w:rPr>
            </w:pPr>
            <w:r w:rsidRPr="00361351">
              <w:rPr>
                <w:rFonts w:eastAsia="Times New Roman"/>
                <w:sz w:val="18"/>
                <w:szCs w:val="18"/>
                <w:lang w:eastAsia="es-MX"/>
              </w:rPr>
              <w:t>31 923</w:t>
            </w:r>
          </w:p>
        </w:tc>
        <w:tc>
          <w:tcPr>
            <w:tcW w:w="811" w:type="dxa"/>
            <w:tcBorders>
              <w:top w:val="nil"/>
              <w:left w:val="single" w:sz="4" w:space="0" w:color="auto"/>
              <w:bottom w:val="nil"/>
              <w:right w:val="single" w:sz="4" w:space="0" w:color="auto"/>
            </w:tcBorders>
            <w:shd w:val="clear" w:color="auto" w:fill="auto"/>
            <w:noWrap/>
            <w:vAlign w:val="center"/>
          </w:tcPr>
          <w:p w14:paraId="25EFE65D" w14:textId="77777777" w:rsidR="00361351" w:rsidRPr="00361351" w:rsidRDefault="00361351" w:rsidP="00361351">
            <w:pPr>
              <w:jc w:val="right"/>
              <w:rPr>
                <w:rFonts w:eastAsia="Times New Roman"/>
                <w:sz w:val="18"/>
                <w:szCs w:val="18"/>
                <w:lang w:eastAsia="es-MX"/>
              </w:rPr>
            </w:pPr>
            <w:r w:rsidRPr="00361351">
              <w:rPr>
                <w:rFonts w:eastAsia="Times New Roman"/>
                <w:sz w:val="18"/>
                <w:szCs w:val="18"/>
                <w:lang w:eastAsia="es-MX"/>
              </w:rPr>
              <w:t>43 508</w:t>
            </w:r>
          </w:p>
        </w:tc>
        <w:tc>
          <w:tcPr>
            <w:tcW w:w="830" w:type="dxa"/>
            <w:tcBorders>
              <w:top w:val="nil"/>
              <w:left w:val="single" w:sz="4" w:space="0" w:color="auto"/>
              <w:bottom w:val="nil"/>
              <w:right w:val="single" w:sz="4" w:space="0" w:color="auto"/>
            </w:tcBorders>
            <w:shd w:val="clear" w:color="auto" w:fill="auto"/>
            <w:noWrap/>
            <w:vAlign w:val="center"/>
          </w:tcPr>
          <w:p w14:paraId="7F65372D" w14:textId="77777777" w:rsidR="00361351" w:rsidRPr="00361351" w:rsidRDefault="00361351" w:rsidP="00361351">
            <w:pPr>
              <w:jc w:val="right"/>
              <w:rPr>
                <w:rFonts w:eastAsia="Times New Roman"/>
                <w:sz w:val="18"/>
                <w:szCs w:val="18"/>
                <w:lang w:eastAsia="es-MX"/>
              </w:rPr>
            </w:pPr>
            <w:r w:rsidRPr="00361351">
              <w:rPr>
                <w:rFonts w:eastAsia="Times New Roman"/>
                <w:sz w:val="18"/>
                <w:szCs w:val="18"/>
                <w:lang w:eastAsia="es-MX"/>
              </w:rPr>
              <w:t>30 301</w:t>
            </w:r>
          </w:p>
        </w:tc>
        <w:tc>
          <w:tcPr>
            <w:tcW w:w="647" w:type="dxa"/>
            <w:tcBorders>
              <w:top w:val="nil"/>
              <w:left w:val="single" w:sz="4" w:space="0" w:color="auto"/>
              <w:bottom w:val="nil"/>
              <w:right w:val="single" w:sz="4" w:space="0" w:color="auto"/>
            </w:tcBorders>
            <w:shd w:val="clear" w:color="auto" w:fill="auto"/>
            <w:noWrap/>
            <w:vAlign w:val="center"/>
          </w:tcPr>
          <w:p w14:paraId="6902BECB" w14:textId="77777777" w:rsidR="00361351" w:rsidRPr="00361351" w:rsidRDefault="00361351" w:rsidP="00361351">
            <w:pPr>
              <w:jc w:val="right"/>
              <w:rPr>
                <w:rFonts w:eastAsia="Times New Roman"/>
                <w:sz w:val="18"/>
                <w:szCs w:val="18"/>
                <w:lang w:eastAsia="es-MX"/>
              </w:rPr>
            </w:pPr>
            <w:r w:rsidRPr="00361351">
              <w:rPr>
                <w:rFonts w:eastAsia="Times New Roman"/>
                <w:sz w:val="18"/>
                <w:szCs w:val="18"/>
                <w:lang w:eastAsia="es-MX"/>
              </w:rPr>
              <w:t>40 956</w:t>
            </w:r>
          </w:p>
        </w:tc>
        <w:tc>
          <w:tcPr>
            <w:tcW w:w="709" w:type="dxa"/>
            <w:tcBorders>
              <w:top w:val="nil"/>
              <w:left w:val="single" w:sz="4" w:space="0" w:color="auto"/>
              <w:bottom w:val="nil"/>
              <w:right w:val="single" w:sz="4" w:space="0" w:color="auto"/>
            </w:tcBorders>
            <w:shd w:val="clear" w:color="auto" w:fill="auto"/>
            <w:vAlign w:val="center"/>
          </w:tcPr>
          <w:p w14:paraId="295E5EEB" w14:textId="77777777" w:rsidR="00361351" w:rsidRPr="00361351" w:rsidRDefault="00361351" w:rsidP="00361351">
            <w:pPr>
              <w:ind w:left="-170" w:right="170"/>
              <w:jc w:val="right"/>
              <w:rPr>
                <w:rFonts w:eastAsia="Times New Roman"/>
                <w:sz w:val="18"/>
                <w:szCs w:val="18"/>
                <w:lang w:eastAsia="es-MX"/>
              </w:rPr>
            </w:pPr>
            <w:r w:rsidRPr="00361351">
              <w:rPr>
                <w:rFonts w:eastAsia="Times New Roman"/>
                <w:sz w:val="18"/>
                <w:szCs w:val="18"/>
                <w:lang w:eastAsia="es-MX"/>
              </w:rPr>
              <w:t>43</w:t>
            </w:r>
          </w:p>
        </w:tc>
        <w:tc>
          <w:tcPr>
            <w:tcW w:w="737" w:type="dxa"/>
            <w:tcBorders>
              <w:top w:val="nil"/>
              <w:left w:val="single" w:sz="4" w:space="0" w:color="auto"/>
              <w:bottom w:val="nil"/>
              <w:right w:val="single" w:sz="4" w:space="0" w:color="auto"/>
            </w:tcBorders>
            <w:shd w:val="clear" w:color="auto" w:fill="auto"/>
            <w:vAlign w:val="center"/>
          </w:tcPr>
          <w:p w14:paraId="246C29CD" w14:textId="77777777" w:rsidR="00361351" w:rsidRPr="00361351" w:rsidRDefault="00361351" w:rsidP="00361351">
            <w:pPr>
              <w:ind w:left="-170" w:right="170"/>
              <w:jc w:val="right"/>
              <w:rPr>
                <w:rFonts w:eastAsia="Times New Roman"/>
                <w:sz w:val="18"/>
                <w:szCs w:val="18"/>
                <w:lang w:eastAsia="es-MX"/>
              </w:rPr>
            </w:pPr>
            <w:r w:rsidRPr="00361351">
              <w:rPr>
                <w:rFonts w:eastAsia="Times New Roman"/>
                <w:sz w:val="18"/>
                <w:szCs w:val="18"/>
                <w:lang w:eastAsia="es-MX"/>
              </w:rPr>
              <w:t>45</w:t>
            </w:r>
          </w:p>
        </w:tc>
        <w:tc>
          <w:tcPr>
            <w:tcW w:w="681" w:type="dxa"/>
            <w:tcBorders>
              <w:top w:val="nil"/>
              <w:left w:val="single" w:sz="4" w:space="0" w:color="auto"/>
              <w:bottom w:val="nil"/>
              <w:right w:val="single" w:sz="4" w:space="0" w:color="auto"/>
            </w:tcBorders>
            <w:shd w:val="clear" w:color="auto" w:fill="auto"/>
            <w:vAlign w:val="center"/>
          </w:tcPr>
          <w:p w14:paraId="648C5B70" w14:textId="77777777" w:rsidR="00361351" w:rsidRPr="00361351" w:rsidRDefault="00361351" w:rsidP="00CF72BB">
            <w:pPr>
              <w:jc w:val="center"/>
              <w:rPr>
                <w:rFonts w:eastAsia="Times New Roman"/>
                <w:sz w:val="18"/>
                <w:szCs w:val="18"/>
                <w:lang w:eastAsia="es-MX"/>
              </w:rPr>
            </w:pPr>
            <w:r w:rsidRPr="00361351">
              <w:rPr>
                <w:rFonts w:eastAsia="Times New Roman"/>
                <w:sz w:val="18"/>
                <w:szCs w:val="18"/>
                <w:lang w:eastAsia="es-MX"/>
              </w:rPr>
              <w:t>26.8</w:t>
            </w:r>
          </w:p>
        </w:tc>
        <w:tc>
          <w:tcPr>
            <w:tcW w:w="584" w:type="dxa"/>
            <w:tcBorders>
              <w:top w:val="nil"/>
              <w:left w:val="single" w:sz="4" w:space="0" w:color="auto"/>
              <w:bottom w:val="nil"/>
              <w:right w:val="single" w:sz="4" w:space="0" w:color="auto"/>
            </w:tcBorders>
            <w:shd w:val="clear" w:color="auto" w:fill="auto"/>
            <w:vAlign w:val="center"/>
          </w:tcPr>
          <w:p w14:paraId="779CB9D7" w14:textId="77777777" w:rsidR="00361351" w:rsidRPr="00361351" w:rsidRDefault="00361351" w:rsidP="00CF72BB">
            <w:pPr>
              <w:jc w:val="center"/>
              <w:rPr>
                <w:rFonts w:eastAsia="Times New Roman"/>
                <w:sz w:val="18"/>
                <w:szCs w:val="18"/>
                <w:lang w:eastAsia="es-MX"/>
              </w:rPr>
            </w:pPr>
            <w:r w:rsidRPr="00361351">
              <w:rPr>
                <w:rFonts w:eastAsia="Times New Roman"/>
                <w:sz w:val="18"/>
                <w:szCs w:val="18"/>
                <w:lang w:eastAsia="es-MX"/>
              </w:rPr>
              <w:t>26.4</w:t>
            </w:r>
          </w:p>
        </w:tc>
        <w:tc>
          <w:tcPr>
            <w:tcW w:w="710" w:type="dxa"/>
            <w:tcBorders>
              <w:top w:val="nil"/>
              <w:left w:val="single" w:sz="4" w:space="0" w:color="auto"/>
              <w:bottom w:val="nil"/>
              <w:right w:val="single" w:sz="4" w:space="0" w:color="auto"/>
            </w:tcBorders>
            <w:shd w:val="clear" w:color="auto" w:fill="auto"/>
            <w:vAlign w:val="center"/>
          </w:tcPr>
          <w:p w14:paraId="52926B5C" w14:textId="77777777" w:rsidR="00361351" w:rsidRPr="00361351" w:rsidRDefault="00361351" w:rsidP="00CF72BB">
            <w:pPr>
              <w:jc w:val="center"/>
              <w:rPr>
                <w:rFonts w:eastAsia="Times New Roman"/>
                <w:sz w:val="18"/>
                <w:szCs w:val="18"/>
                <w:lang w:eastAsia="es-MX"/>
              </w:rPr>
            </w:pPr>
            <w:r w:rsidRPr="00361351">
              <w:rPr>
                <w:rFonts w:eastAsia="Times New Roman"/>
                <w:sz w:val="18"/>
                <w:szCs w:val="18"/>
                <w:lang w:eastAsia="es-MX"/>
              </w:rPr>
              <w:t>5.73</w:t>
            </w:r>
          </w:p>
        </w:tc>
      </w:tr>
      <w:tr w:rsidR="00361351" w:rsidRPr="00361351" w14:paraId="6573DD1B" w14:textId="77777777" w:rsidTr="00361351">
        <w:trPr>
          <w:trHeight w:val="315"/>
        </w:trPr>
        <w:tc>
          <w:tcPr>
            <w:tcW w:w="940" w:type="dxa"/>
            <w:tcBorders>
              <w:top w:val="nil"/>
              <w:left w:val="single" w:sz="4" w:space="0" w:color="auto"/>
              <w:bottom w:val="nil"/>
              <w:right w:val="single" w:sz="4" w:space="0" w:color="auto"/>
            </w:tcBorders>
            <w:shd w:val="clear" w:color="auto" w:fill="auto"/>
            <w:noWrap/>
            <w:vAlign w:val="bottom"/>
          </w:tcPr>
          <w:p w14:paraId="2B4CD19E" w14:textId="77777777" w:rsidR="00361351" w:rsidRPr="00361351" w:rsidRDefault="00361351" w:rsidP="00361351">
            <w:pPr>
              <w:rPr>
                <w:rFonts w:eastAsia="Times New Roman"/>
                <w:sz w:val="18"/>
                <w:szCs w:val="18"/>
                <w:lang w:eastAsia="es-MX"/>
              </w:rPr>
            </w:pPr>
            <w:r w:rsidRPr="00361351">
              <w:rPr>
                <w:rFonts w:eastAsia="Times New Roman"/>
                <w:sz w:val="18"/>
                <w:szCs w:val="18"/>
                <w:lang w:eastAsia="es-MX"/>
              </w:rPr>
              <w:t>Banamex</w:t>
            </w:r>
          </w:p>
        </w:tc>
        <w:tc>
          <w:tcPr>
            <w:tcW w:w="890" w:type="dxa"/>
            <w:tcBorders>
              <w:top w:val="nil"/>
              <w:left w:val="single" w:sz="4" w:space="0" w:color="auto"/>
              <w:bottom w:val="nil"/>
              <w:right w:val="single" w:sz="4" w:space="0" w:color="auto"/>
            </w:tcBorders>
            <w:shd w:val="clear" w:color="auto" w:fill="auto"/>
            <w:noWrap/>
            <w:vAlign w:val="center"/>
          </w:tcPr>
          <w:p w14:paraId="3D125AC3" w14:textId="77777777" w:rsidR="00361351" w:rsidRPr="00361351" w:rsidRDefault="00361351" w:rsidP="00361351">
            <w:pPr>
              <w:jc w:val="right"/>
              <w:rPr>
                <w:rFonts w:eastAsia="Times New Roman"/>
                <w:sz w:val="18"/>
                <w:szCs w:val="18"/>
                <w:lang w:eastAsia="es-MX"/>
              </w:rPr>
            </w:pPr>
            <w:r w:rsidRPr="00361351">
              <w:rPr>
                <w:rFonts w:eastAsia="Times New Roman"/>
                <w:sz w:val="18"/>
                <w:szCs w:val="18"/>
                <w:lang w:eastAsia="es-MX"/>
              </w:rPr>
              <w:t>1 164 175</w:t>
            </w:r>
          </w:p>
        </w:tc>
        <w:tc>
          <w:tcPr>
            <w:tcW w:w="995" w:type="dxa"/>
            <w:tcBorders>
              <w:top w:val="nil"/>
              <w:left w:val="single" w:sz="4" w:space="0" w:color="auto"/>
              <w:bottom w:val="nil"/>
              <w:right w:val="single" w:sz="4" w:space="0" w:color="auto"/>
            </w:tcBorders>
            <w:shd w:val="clear" w:color="auto" w:fill="auto"/>
            <w:noWrap/>
            <w:vAlign w:val="center"/>
          </w:tcPr>
          <w:p w14:paraId="0430C5CF" w14:textId="77777777" w:rsidR="00361351" w:rsidRPr="00361351" w:rsidRDefault="00361351" w:rsidP="00361351">
            <w:pPr>
              <w:jc w:val="right"/>
              <w:rPr>
                <w:rFonts w:eastAsia="Times New Roman"/>
                <w:sz w:val="18"/>
                <w:szCs w:val="18"/>
                <w:lang w:eastAsia="es-MX"/>
              </w:rPr>
            </w:pPr>
            <w:r w:rsidRPr="00361351">
              <w:rPr>
                <w:rFonts w:eastAsia="Times New Roman"/>
                <w:sz w:val="18"/>
                <w:szCs w:val="18"/>
                <w:lang w:eastAsia="es-MX"/>
              </w:rPr>
              <w:t>1 185 145</w:t>
            </w:r>
          </w:p>
        </w:tc>
        <w:tc>
          <w:tcPr>
            <w:tcW w:w="820" w:type="dxa"/>
            <w:tcBorders>
              <w:top w:val="nil"/>
              <w:left w:val="single" w:sz="4" w:space="0" w:color="auto"/>
              <w:bottom w:val="nil"/>
              <w:right w:val="single" w:sz="4" w:space="0" w:color="auto"/>
            </w:tcBorders>
            <w:shd w:val="clear" w:color="auto" w:fill="auto"/>
            <w:noWrap/>
            <w:vAlign w:val="center"/>
          </w:tcPr>
          <w:p w14:paraId="5E2136F1" w14:textId="77777777" w:rsidR="00361351" w:rsidRPr="00361351" w:rsidRDefault="00361351" w:rsidP="00361351">
            <w:pPr>
              <w:ind w:left="-113" w:right="113"/>
              <w:jc w:val="right"/>
              <w:rPr>
                <w:rFonts w:eastAsia="Times New Roman"/>
                <w:sz w:val="18"/>
                <w:szCs w:val="18"/>
                <w:lang w:eastAsia="es-MX"/>
              </w:rPr>
            </w:pPr>
            <w:r w:rsidRPr="00361351">
              <w:rPr>
                <w:rFonts w:eastAsia="Times New Roman"/>
                <w:sz w:val="18"/>
                <w:szCs w:val="18"/>
                <w:lang w:eastAsia="es-MX"/>
              </w:rPr>
              <w:t>34 152</w:t>
            </w:r>
          </w:p>
        </w:tc>
        <w:tc>
          <w:tcPr>
            <w:tcW w:w="811" w:type="dxa"/>
            <w:tcBorders>
              <w:top w:val="nil"/>
              <w:left w:val="single" w:sz="4" w:space="0" w:color="auto"/>
              <w:bottom w:val="nil"/>
              <w:right w:val="single" w:sz="4" w:space="0" w:color="auto"/>
            </w:tcBorders>
            <w:shd w:val="clear" w:color="auto" w:fill="auto"/>
            <w:noWrap/>
            <w:vAlign w:val="center"/>
          </w:tcPr>
          <w:p w14:paraId="3B45A3DA" w14:textId="77777777" w:rsidR="00361351" w:rsidRPr="00361351" w:rsidRDefault="00361351" w:rsidP="00361351">
            <w:pPr>
              <w:jc w:val="right"/>
              <w:rPr>
                <w:rFonts w:eastAsia="Times New Roman"/>
                <w:sz w:val="18"/>
                <w:szCs w:val="18"/>
                <w:lang w:eastAsia="es-MX"/>
              </w:rPr>
            </w:pPr>
            <w:r w:rsidRPr="00361351">
              <w:rPr>
                <w:rFonts w:eastAsia="Times New Roman"/>
                <w:sz w:val="18"/>
                <w:szCs w:val="18"/>
                <w:lang w:eastAsia="es-MX"/>
              </w:rPr>
              <w:t>37 166</w:t>
            </w:r>
          </w:p>
        </w:tc>
        <w:tc>
          <w:tcPr>
            <w:tcW w:w="830" w:type="dxa"/>
            <w:tcBorders>
              <w:top w:val="nil"/>
              <w:left w:val="single" w:sz="4" w:space="0" w:color="auto"/>
              <w:bottom w:val="nil"/>
              <w:right w:val="single" w:sz="4" w:space="0" w:color="auto"/>
            </w:tcBorders>
            <w:shd w:val="clear" w:color="auto" w:fill="auto"/>
            <w:noWrap/>
            <w:vAlign w:val="center"/>
          </w:tcPr>
          <w:p w14:paraId="79ABB609" w14:textId="77777777" w:rsidR="00361351" w:rsidRPr="00361351" w:rsidRDefault="00361351" w:rsidP="00361351">
            <w:pPr>
              <w:jc w:val="right"/>
              <w:rPr>
                <w:rFonts w:eastAsia="Times New Roman"/>
                <w:sz w:val="18"/>
                <w:szCs w:val="18"/>
                <w:lang w:eastAsia="es-MX"/>
              </w:rPr>
            </w:pPr>
            <w:r w:rsidRPr="00361351">
              <w:rPr>
                <w:rFonts w:eastAsia="Times New Roman"/>
                <w:sz w:val="18"/>
                <w:szCs w:val="18"/>
                <w:lang w:eastAsia="es-MX"/>
              </w:rPr>
              <w:t>36 746</w:t>
            </w:r>
          </w:p>
        </w:tc>
        <w:tc>
          <w:tcPr>
            <w:tcW w:w="647" w:type="dxa"/>
            <w:tcBorders>
              <w:top w:val="nil"/>
              <w:left w:val="single" w:sz="4" w:space="0" w:color="auto"/>
              <w:bottom w:val="nil"/>
              <w:right w:val="single" w:sz="4" w:space="0" w:color="auto"/>
            </w:tcBorders>
            <w:shd w:val="clear" w:color="auto" w:fill="auto"/>
            <w:noWrap/>
            <w:vAlign w:val="center"/>
          </w:tcPr>
          <w:p w14:paraId="4B738149" w14:textId="77777777" w:rsidR="00361351" w:rsidRPr="00361351" w:rsidRDefault="00361351" w:rsidP="00361351">
            <w:pPr>
              <w:jc w:val="right"/>
              <w:rPr>
                <w:rFonts w:eastAsia="Times New Roman"/>
                <w:sz w:val="18"/>
                <w:szCs w:val="18"/>
                <w:lang w:eastAsia="es-MX"/>
              </w:rPr>
            </w:pPr>
            <w:r w:rsidRPr="00361351">
              <w:rPr>
                <w:rFonts w:eastAsia="Times New Roman"/>
                <w:sz w:val="18"/>
                <w:szCs w:val="18"/>
                <w:lang w:eastAsia="es-MX"/>
              </w:rPr>
              <w:t>47 748</w:t>
            </w:r>
          </w:p>
        </w:tc>
        <w:tc>
          <w:tcPr>
            <w:tcW w:w="709" w:type="dxa"/>
            <w:tcBorders>
              <w:top w:val="nil"/>
              <w:left w:val="single" w:sz="4" w:space="0" w:color="auto"/>
              <w:bottom w:val="nil"/>
              <w:right w:val="single" w:sz="4" w:space="0" w:color="auto"/>
            </w:tcBorders>
            <w:shd w:val="clear" w:color="auto" w:fill="auto"/>
            <w:vAlign w:val="center"/>
          </w:tcPr>
          <w:p w14:paraId="2933BDD7" w14:textId="77777777" w:rsidR="00361351" w:rsidRPr="00361351" w:rsidRDefault="00361351" w:rsidP="00361351">
            <w:pPr>
              <w:ind w:left="-170" w:right="170"/>
              <w:jc w:val="right"/>
              <w:rPr>
                <w:rFonts w:eastAsia="Times New Roman"/>
                <w:sz w:val="18"/>
                <w:szCs w:val="18"/>
                <w:lang w:eastAsia="es-MX"/>
              </w:rPr>
            </w:pPr>
            <w:r w:rsidRPr="00361351">
              <w:rPr>
                <w:rFonts w:eastAsia="Times New Roman"/>
                <w:sz w:val="18"/>
                <w:szCs w:val="18"/>
                <w:lang w:eastAsia="es-MX"/>
              </w:rPr>
              <w:t>42</w:t>
            </w:r>
          </w:p>
        </w:tc>
        <w:tc>
          <w:tcPr>
            <w:tcW w:w="737" w:type="dxa"/>
            <w:tcBorders>
              <w:top w:val="nil"/>
              <w:left w:val="single" w:sz="4" w:space="0" w:color="auto"/>
              <w:bottom w:val="nil"/>
              <w:right w:val="single" w:sz="4" w:space="0" w:color="auto"/>
            </w:tcBorders>
            <w:shd w:val="clear" w:color="auto" w:fill="auto"/>
            <w:vAlign w:val="center"/>
          </w:tcPr>
          <w:p w14:paraId="41069F4C" w14:textId="77777777" w:rsidR="00361351" w:rsidRPr="00361351" w:rsidRDefault="00361351" w:rsidP="00361351">
            <w:pPr>
              <w:ind w:left="-170" w:right="170"/>
              <w:jc w:val="right"/>
              <w:rPr>
                <w:rFonts w:eastAsia="Times New Roman"/>
                <w:sz w:val="18"/>
                <w:szCs w:val="18"/>
                <w:lang w:eastAsia="es-MX"/>
              </w:rPr>
            </w:pPr>
            <w:r w:rsidRPr="00361351">
              <w:rPr>
                <w:rFonts w:eastAsia="Times New Roman"/>
                <w:sz w:val="18"/>
                <w:szCs w:val="18"/>
                <w:lang w:eastAsia="es-MX"/>
              </w:rPr>
              <w:t>42</w:t>
            </w:r>
          </w:p>
        </w:tc>
        <w:tc>
          <w:tcPr>
            <w:tcW w:w="681" w:type="dxa"/>
            <w:tcBorders>
              <w:top w:val="nil"/>
              <w:left w:val="single" w:sz="4" w:space="0" w:color="auto"/>
              <w:bottom w:val="nil"/>
              <w:right w:val="single" w:sz="4" w:space="0" w:color="auto"/>
            </w:tcBorders>
            <w:shd w:val="clear" w:color="auto" w:fill="auto"/>
            <w:vAlign w:val="center"/>
          </w:tcPr>
          <w:p w14:paraId="3619F74F" w14:textId="77777777" w:rsidR="00361351" w:rsidRPr="00361351" w:rsidRDefault="00361351" w:rsidP="00CF72BB">
            <w:pPr>
              <w:jc w:val="center"/>
              <w:rPr>
                <w:rFonts w:eastAsia="Times New Roman"/>
                <w:sz w:val="18"/>
                <w:szCs w:val="18"/>
                <w:lang w:eastAsia="es-MX"/>
              </w:rPr>
            </w:pPr>
            <w:r w:rsidRPr="00361351">
              <w:rPr>
                <w:rFonts w:eastAsia="Times New Roman"/>
                <w:sz w:val="18"/>
                <w:szCs w:val="18"/>
                <w:lang w:eastAsia="es-MX"/>
              </w:rPr>
              <w:t>25.2</w:t>
            </w:r>
          </w:p>
        </w:tc>
        <w:tc>
          <w:tcPr>
            <w:tcW w:w="584" w:type="dxa"/>
            <w:tcBorders>
              <w:top w:val="nil"/>
              <w:left w:val="single" w:sz="4" w:space="0" w:color="auto"/>
              <w:bottom w:val="nil"/>
              <w:right w:val="single" w:sz="4" w:space="0" w:color="auto"/>
            </w:tcBorders>
            <w:shd w:val="clear" w:color="auto" w:fill="auto"/>
            <w:vAlign w:val="center"/>
          </w:tcPr>
          <w:p w14:paraId="1D315D3B" w14:textId="77777777" w:rsidR="00361351" w:rsidRPr="00361351" w:rsidRDefault="00361351" w:rsidP="00CF72BB">
            <w:pPr>
              <w:jc w:val="center"/>
              <w:rPr>
                <w:rFonts w:eastAsia="Times New Roman"/>
                <w:sz w:val="18"/>
                <w:szCs w:val="18"/>
                <w:lang w:eastAsia="es-MX"/>
              </w:rPr>
            </w:pPr>
            <w:r w:rsidRPr="00361351">
              <w:rPr>
                <w:rFonts w:eastAsia="Times New Roman"/>
                <w:sz w:val="18"/>
                <w:szCs w:val="18"/>
                <w:lang w:eastAsia="es-MX"/>
              </w:rPr>
              <w:t>24.9</w:t>
            </w:r>
          </w:p>
        </w:tc>
        <w:tc>
          <w:tcPr>
            <w:tcW w:w="710" w:type="dxa"/>
            <w:tcBorders>
              <w:top w:val="nil"/>
              <w:left w:val="single" w:sz="4" w:space="0" w:color="auto"/>
              <w:bottom w:val="nil"/>
              <w:right w:val="single" w:sz="4" w:space="0" w:color="auto"/>
            </w:tcBorders>
            <w:shd w:val="clear" w:color="auto" w:fill="auto"/>
            <w:vAlign w:val="center"/>
          </w:tcPr>
          <w:p w14:paraId="09D25782" w14:textId="77777777" w:rsidR="00361351" w:rsidRPr="00361351" w:rsidRDefault="00361351" w:rsidP="00CF72BB">
            <w:pPr>
              <w:jc w:val="center"/>
              <w:rPr>
                <w:rFonts w:eastAsia="Times New Roman"/>
                <w:sz w:val="18"/>
                <w:szCs w:val="18"/>
                <w:lang w:eastAsia="es-MX"/>
              </w:rPr>
            </w:pPr>
            <w:r w:rsidRPr="00361351">
              <w:rPr>
                <w:rFonts w:eastAsia="Times New Roman"/>
                <w:sz w:val="18"/>
                <w:szCs w:val="18"/>
                <w:lang w:eastAsia="es-MX"/>
              </w:rPr>
              <w:t>6.71</w:t>
            </w:r>
          </w:p>
        </w:tc>
      </w:tr>
      <w:tr w:rsidR="00361351" w:rsidRPr="00361351" w14:paraId="55F1D4AC" w14:textId="77777777" w:rsidTr="00361351">
        <w:trPr>
          <w:trHeight w:val="315"/>
        </w:trPr>
        <w:tc>
          <w:tcPr>
            <w:tcW w:w="940" w:type="dxa"/>
            <w:tcBorders>
              <w:top w:val="nil"/>
              <w:left w:val="single" w:sz="4" w:space="0" w:color="auto"/>
              <w:bottom w:val="nil"/>
              <w:right w:val="single" w:sz="4" w:space="0" w:color="auto"/>
            </w:tcBorders>
            <w:shd w:val="clear" w:color="auto" w:fill="auto"/>
            <w:noWrap/>
            <w:vAlign w:val="bottom"/>
          </w:tcPr>
          <w:p w14:paraId="28F64E92" w14:textId="77777777" w:rsidR="00361351" w:rsidRPr="00361351" w:rsidRDefault="00361351" w:rsidP="00361351">
            <w:pPr>
              <w:rPr>
                <w:rFonts w:eastAsia="Times New Roman"/>
                <w:sz w:val="18"/>
                <w:szCs w:val="18"/>
                <w:lang w:eastAsia="es-MX"/>
              </w:rPr>
            </w:pPr>
            <w:r w:rsidRPr="00361351">
              <w:rPr>
                <w:rFonts w:eastAsia="Times New Roman"/>
                <w:sz w:val="18"/>
                <w:szCs w:val="18"/>
                <w:lang w:eastAsia="es-MX"/>
              </w:rPr>
              <w:t>Banorte</w:t>
            </w:r>
          </w:p>
        </w:tc>
        <w:tc>
          <w:tcPr>
            <w:tcW w:w="890" w:type="dxa"/>
            <w:tcBorders>
              <w:top w:val="nil"/>
              <w:left w:val="single" w:sz="4" w:space="0" w:color="auto"/>
              <w:bottom w:val="nil"/>
              <w:right w:val="single" w:sz="4" w:space="0" w:color="auto"/>
            </w:tcBorders>
            <w:shd w:val="clear" w:color="auto" w:fill="auto"/>
            <w:noWrap/>
            <w:vAlign w:val="center"/>
          </w:tcPr>
          <w:p w14:paraId="0C30F0E3" w14:textId="77777777" w:rsidR="00361351" w:rsidRPr="00361351" w:rsidRDefault="00361351" w:rsidP="00361351">
            <w:pPr>
              <w:jc w:val="right"/>
              <w:rPr>
                <w:rFonts w:eastAsia="Times New Roman"/>
                <w:sz w:val="18"/>
                <w:szCs w:val="18"/>
                <w:lang w:eastAsia="es-MX"/>
              </w:rPr>
            </w:pPr>
            <w:r w:rsidRPr="00361351">
              <w:rPr>
                <w:rFonts w:eastAsia="Times New Roman"/>
                <w:sz w:val="18"/>
                <w:szCs w:val="18"/>
                <w:lang w:eastAsia="es-MX"/>
              </w:rPr>
              <w:t>606 200</w:t>
            </w:r>
          </w:p>
        </w:tc>
        <w:tc>
          <w:tcPr>
            <w:tcW w:w="995" w:type="dxa"/>
            <w:tcBorders>
              <w:top w:val="nil"/>
              <w:left w:val="single" w:sz="4" w:space="0" w:color="auto"/>
              <w:bottom w:val="nil"/>
              <w:right w:val="single" w:sz="4" w:space="0" w:color="auto"/>
            </w:tcBorders>
            <w:shd w:val="clear" w:color="auto" w:fill="auto"/>
            <w:noWrap/>
            <w:vAlign w:val="center"/>
          </w:tcPr>
          <w:p w14:paraId="4C95F0A2" w14:textId="77777777" w:rsidR="00361351" w:rsidRPr="00361351" w:rsidRDefault="00361351" w:rsidP="00361351">
            <w:pPr>
              <w:jc w:val="right"/>
              <w:rPr>
                <w:rFonts w:eastAsia="Times New Roman"/>
                <w:sz w:val="18"/>
                <w:szCs w:val="18"/>
                <w:lang w:eastAsia="es-MX"/>
              </w:rPr>
            </w:pPr>
            <w:r w:rsidRPr="00361351">
              <w:rPr>
                <w:rFonts w:eastAsia="Times New Roman"/>
                <w:sz w:val="18"/>
                <w:szCs w:val="18"/>
                <w:lang w:eastAsia="es-MX"/>
              </w:rPr>
              <w:t>708 193</w:t>
            </w:r>
          </w:p>
        </w:tc>
        <w:tc>
          <w:tcPr>
            <w:tcW w:w="820" w:type="dxa"/>
            <w:tcBorders>
              <w:top w:val="nil"/>
              <w:left w:val="single" w:sz="4" w:space="0" w:color="auto"/>
              <w:bottom w:val="nil"/>
              <w:right w:val="single" w:sz="4" w:space="0" w:color="auto"/>
            </w:tcBorders>
            <w:shd w:val="clear" w:color="auto" w:fill="auto"/>
            <w:noWrap/>
            <w:vAlign w:val="center"/>
          </w:tcPr>
          <w:p w14:paraId="2F3D4B39" w14:textId="77777777" w:rsidR="00361351" w:rsidRPr="00361351" w:rsidRDefault="00361351" w:rsidP="00361351">
            <w:pPr>
              <w:ind w:left="-113" w:right="113"/>
              <w:jc w:val="right"/>
              <w:rPr>
                <w:rFonts w:eastAsia="Times New Roman"/>
                <w:sz w:val="18"/>
                <w:szCs w:val="18"/>
                <w:lang w:eastAsia="es-MX"/>
              </w:rPr>
            </w:pPr>
            <w:r w:rsidRPr="00361351">
              <w:rPr>
                <w:rFonts w:eastAsia="Times New Roman"/>
                <w:sz w:val="18"/>
                <w:szCs w:val="18"/>
                <w:lang w:eastAsia="es-MX"/>
              </w:rPr>
              <w:t>20 570</w:t>
            </w:r>
          </w:p>
        </w:tc>
        <w:tc>
          <w:tcPr>
            <w:tcW w:w="811" w:type="dxa"/>
            <w:tcBorders>
              <w:top w:val="nil"/>
              <w:left w:val="single" w:sz="4" w:space="0" w:color="auto"/>
              <w:bottom w:val="nil"/>
              <w:right w:val="single" w:sz="4" w:space="0" w:color="auto"/>
            </w:tcBorders>
            <w:shd w:val="clear" w:color="auto" w:fill="auto"/>
            <w:noWrap/>
            <w:vAlign w:val="center"/>
          </w:tcPr>
          <w:p w14:paraId="5D7B9169" w14:textId="77777777" w:rsidR="00361351" w:rsidRPr="00361351" w:rsidRDefault="00361351" w:rsidP="00361351">
            <w:pPr>
              <w:jc w:val="right"/>
              <w:rPr>
                <w:rFonts w:eastAsia="Times New Roman"/>
                <w:sz w:val="18"/>
                <w:szCs w:val="18"/>
                <w:lang w:eastAsia="es-MX"/>
              </w:rPr>
            </w:pPr>
            <w:r w:rsidRPr="00361351">
              <w:rPr>
                <w:rFonts w:eastAsia="Times New Roman"/>
                <w:sz w:val="18"/>
                <w:szCs w:val="18"/>
                <w:lang w:eastAsia="es-MX"/>
              </w:rPr>
              <w:t>28 146</w:t>
            </w:r>
          </w:p>
        </w:tc>
        <w:tc>
          <w:tcPr>
            <w:tcW w:w="830" w:type="dxa"/>
            <w:tcBorders>
              <w:top w:val="nil"/>
              <w:left w:val="single" w:sz="4" w:space="0" w:color="auto"/>
              <w:bottom w:val="nil"/>
              <w:right w:val="single" w:sz="4" w:space="0" w:color="auto"/>
            </w:tcBorders>
            <w:shd w:val="clear" w:color="auto" w:fill="auto"/>
            <w:noWrap/>
            <w:vAlign w:val="center"/>
          </w:tcPr>
          <w:p w14:paraId="688662D3" w14:textId="77777777" w:rsidR="00361351" w:rsidRPr="00361351" w:rsidRDefault="00361351" w:rsidP="00361351">
            <w:pPr>
              <w:jc w:val="right"/>
              <w:rPr>
                <w:rFonts w:eastAsia="Times New Roman"/>
                <w:sz w:val="18"/>
                <w:szCs w:val="18"/>
                <w:lang w:eastAsia="es-MX"/>
              </w:rPr>
            </w:pPr>
            <w:r w:rsidRPr="00361351">
              <w:rPr>
                <w:rFonts w:eastAsia="Times New Roman"/>
                <w:sz w:val="18"/>
                <w:szCs w:val="18"/>
                <w:lang w:eastAsia="es-MX"/>
              </w:rPr>
              <w:t>35 980</w:t>
            </w:r>
          </w:p>
        </w:tc>
        <w:tc>
          <w:tcPr>
            <w:tcW w:w="647" w:type="dxa"/>
            <w:tcBorders>
              <w:top w:val="nil"/>
              <w:left w:val="single" w:sz="4" w:space="0" w:color="auto"/>
              <w:bottom w:val="nil"/>
              <w:right w:val="single" w:sz="4" w:space="0" w:color="auto"/>
            </w:tcBorders>
            <w:shd w:val="clear" w:color="auto" w:fill="auto"/>
            <w:noWrap/>
            <w:vAlign w:val="center"/>
          </w:tcPr>
          <w:p w14:paraId="068A3842" w14:textId="77777777" w:rsidR="00361351" w:rsidRPr="00361351" w:rsidRDefault="00361351" w:rsidP="00361351">
            <w:pPr>
              <w:jc w:val="right"/>
              <w:rPr>
                <w:rFonts w:eastAsia="Times New Roman"/>
                <w:sz w:val="18"/>
                <w:szCs w:val="18"/>
                <w:lang w:eastAsia="es-MX"/>
              </w:rPr>
            </w:pPr>
            <w:r w:rsidRPr="00361351">
              <w:rPr>
                <w:rFonts w:eastAsia="Times New Roman"/>
                <w:sz w:val="18"/>
                <w:szCs w:val="18"/>
                <w:lang w:eastAsia="es-MX"/>
              </w:rPr>
              <w:t>48 609</w:t>
            </w:r>
          </w:p>
        </w:tc>
        <w:tc>
          <w:tcPr>
            <w:tcW w:w="709" w:type="dxa"/>
            <w:tcBorders>
              <w:top w:val="nil"/>
              <w:left w:val="single" w:sz="4" w:space="0" w:color="auto"/>
              <w:bottom w:val="nil"/>
              <w:right w:val="single" w:sz="4" w:space="0" w:color="auto"/>
            </w:tcBorders>
            <w:shd w:val="clear" w:color="auto" w:fill="auto"/>
            <w:vAlign w:val="center"/>
          </w:tcPr>
          <w:p w14:paraId="7F9CFC43" w14:textId="77777777" w:rsidR="00361351" w:rsidRPr="00361351" w:rsidRDefault="00361351" w:rsidP="00361351">
            <w:pPr>
              <w:ind w:left="-170" w:right="170"/>
              <w:jc w:val="right"/>
              <w:rPr>
                <w:rFonts w:eastAsia="Times New Roman"/>
                <w:sz w:val="18"/>
                <w:szCs w:val="18"/>
                <w:lang w:eastAsia="es-MX"/>
              </w:rPr>
            </w:pPr>
            <w:r w:rsidRPr="00361351">
              <w:rPr>
                <w:rFonts w:eastAsia="Times New Roman"/>
                <w:sz w:val="18"/>
                <w:szCs w:val="18"/>
                <w:lang w:eastAsia="es-MX"/>
              </w:rPr>
              <w:t>29</w:t>
            </w:r>
          </w:p>
        </w:tc>
        <w:tc>
          <w:tcPr>
            <w:tcW w:w="737" w:type="dxa"/>
            <w:tcBorders>
              <w:top w:val="nil"/>
              <w:left w:val="single" w:sz="4" w:space="0" w:color="auto"/>
              <w:bottom w:val="nil"/>
              <w:right w:val="single" w:sz="4" w:space="0" w:color="auto"/>
            </w:tcBorders>
            <w:shd w:val="clear" w:color="auto" w:fill="auto"/>
            <w:vAlign w:val="center"/>
          </w:tcPr>
          <w:p w14:paraId="448690B3" w14:textId="77777777" w:rsidR="00361351" w:rsidRPr="00361351" w:rsidRDefault="00361351" w:rsidP="00361351">
            <w:pPr>
              <w:ind w:left="-170" w:right="170"/>
              <w:jc w:val="right"/>
              <w:rPr>
                <w:rFonts w:eastAsia="Times New Roman"/>
                <w:sz w:val="18"/>
                <w:szCs w:val="18"/>
                <w:lang w:eastAsia="es-MX"/>
              </w:rPr>
            </w:pPr>
            <w:r w:rsidRPr="00361351">
              <w:rPr>
                <w:rFonts w:eastAsia="Times New Roman"/>
                <w:sz w:val="18"/>
                <w:szCs w:val="18"/>
                <w:lang w:eastAsia="es-MX"/>
              </w:rPr>
              <w:t>33</w:t>
            </w:r>
          </w:p>
        </w:tc>
        <w:tc>
          <w:tcPr>
            <w:tcW w:w="681" w:type="dxa"/>
            <w:tcBorders>
              <w:top w:val="nil"/>
              <w:left w:val="single" w:sz="4" w:space="0" w:color="auto"/>
              <w:bottom w:val="nil"/>
              <w:right w:val="single" w:sz="4" w:space="0" w:color="auto"/>
            </w:tcBorders>
            <w:shd w:val="clear" w:color="auto" w:fill="auto"/>
            <w:vAlign w:val="center"/>
          </w:tcPr>
          <w:p w14:paraId="7969EE54" w14:textId="77777777" w:rsidR="00361351" w:rsidRPr="00361351" w:rsidRDefault="00361351" w:rsidP="00CF72BB">
            <w:pPr>
              <w:jc w:val="center"/>
              <w:rPr>
                <w:rFonts w:eastAsia="Times New Roman"/>
                <w:sz w:val="18"/>
                <w:szCs w:val="18"/>
                <w:lang w:eastAsia="es-MX"/>
              </w:rPr>
            </w:pPr>
            <w:r w:rsidRPr="00361351">
              <w:rPr>
                <w:rFonts w:eastAsia="Times New Roman"/>
                <w:sz w:val="18"/>
                <w:szCs w:val="18"/>
                <w:lang w:eastAsia="es-MX"/>
              </w:rPr>
              <w:t>25.0</w:t>
            </w:r>
          </w:p>
        </w:tc>
        <w:tc>
          <w:tcPr>
            <w:tcW w:w="584" w:type="dxa"/>
            <w:tcBorders>
              <w:top w:val="nil"/>
              <w:left w:val="single" w:sz="4" w:space="0" w:color="auto"/>
              <w:bottom w:val="nil"/>
              <w:right w:val="single" w:sz="4" w:space="0" w:color="auto"/>
            </w:tcBorders>
            <w:shd w:val="clear" w:color="auto" w:fill="auto"/>
            <w:vAlign w:val="center"/>
          </w:tcPr>
          <w:p w14:paraId="6FE8FB68" w14:textId="77777777" w:rsidR="00361351" w:rsidRPr="00361351" w:rsidRDefault="00361351" w:rsidP="00CF72BB">
            <w:pPr>
              <w:jc w:val="center"/>
              <w:rPr>
                <w:rFonts w:eastAsia="Times New Roman"/>
                <w:sz w:val="18"/>
                <w:szCs w:val="18"/>
                <w:lang w:eastAsia="es-MX"/>
              </w:rPr>
            </w:pPr>
            <w:r w:rsidRPr="00361351">
              <w:rPr>
                <w:rFonts w:eastAsia="Times New Roman"/>
                <w:sz w:val="18"/>
                <w:szCs w:val="18"/>
                <w:lang w:eastAsia="es-MX"/>
              </w:rPr>
              <w:t>23.6</w:t>
            </w:r>
          </w:p>
        </w:tc>
        <w:tc>
          <w:tcPr>
            <w:tcW w:w="710" w:type="dxa"/>
            <w:tcBorders>
              <w:top w:val="nil"/>
              <w:left w:val="single" w:sz="4" w:space="0" w:color="auto"/>
              <w:bottom w:val="nil"/>
              <w:right w:val="single" w:sz="4" w:space="0" w:color="auto"/>
            </w:tcBorders>
            <w:shd w:val="clear" w:color="auto" w:fill="auto"/>
            <w:vAlign w:val="center"/>
          </w:tcPr>
          <w:p w14:paraId="5801BE64" w14:textId="77777777" w:rsidR="00361351" w:rsidRPr="00361351" w:rsidRDefault="00361351" w:rsidP="00CF72BB">
            <w:pPr>
              <w:jc w:val="center"/>
              <w:rPr>
                <w:rFonts w:eastAsia="Times New Roman"/>
                <w:sz w:val="18"/>
                <w:szCs w:val="18"/>
                <w:lang w:eastAsia="es-MX"/>
              </w:rPr>
            </w:pPr>
            <w:r w:rsidRPr="00361351">
              <w:rPr>
                <w:rFonts w:eastAsia="Times New Roman"/>
                <w:sz w:val="18"/>
                <w:szCs w:val="18"/>
                <w:lang w:eastAsia="es-MX"/>
              </w:rPr>
              <w:t>8.86</w:t>
            </w:r>
          </w:p>
        </w:tc>
      </w:tr>
      <w:tr w:rsidR="00361351" w:rsidRPr="00361351" w14:paraId="440D483E" w14:textId="77777777" w:rsidTr="00361351">
        <w:trPr>
          <w:trHeight w:val="315"/>
        </w:trPr>
        <w:tc>
          <w:tcPr>
            <w:tcW w:w="940" w:type="dxa"/>
            <w:tcBorders>
              <w:top w:val="nil"/>
              <w:left w:val="single" w:sz="4" w:space="0" w:color="auto"/>
              <w:bottom w:val="nil"/>
              <w:right w:val="single" w:sz="4" w:space="0" w:color="auto"/>
            </w:tcBorders>
            <w:shd w:val="clear" w:color="auto" w:fill="auto"/>
            <w:noWrap/>
            <w:vAlign w:val="bottom"/>
          </w:tcPr>
          <w:p w14:paraId="3978BC3A" w14:textId="77777777" w:rsidR="00361351" w:rsidRPr="00361351" w:rsidRDefault="00361351" w:rsidP="00361351">
            <w:pPr>
              <w:rPr>
                <w:rFonts w:eastAsia="Times New Roman"/>
                <w:sz w:val="18"/>
                <w:szCs w:val="18"/>
                <w:lang w:eastAsia="es-MX"/>
              </w:rPr>
            </w:pPr>
            <w:r w:rsidRPr="00361351">
              <w:rPr>
                <w:rFonts w:eastAsia="Times New Roman"/>
                <w:sz w:val="18"/>
                <w:szCs w:val="18"/>
                <w:lang w:eastAsia="es-MX"/>
              </w:rPr>
              <w:t>HSBC</w:t>
            </w:r>
          </w:p>
        </w:tc>
        <w:tc>
          <w:tcPr>
            <w:tcW w:w="890" w:type="dxa"/>
            <w:tcBorders>
              <w:top w:val="nil"/>
              <w:left w:val="single" w:sz="4" w:space="0" w:color="auto"/>
              <w:bottom w:val="nil"/>
              <w:right w:val="single" w:sz="4" w:space="0" w:color="auto"/>
            </w:tcBorders>
            <w:shd w:val="clear" w:color="auto" w:fill="auto"/>
            <w:noWrap/>
            <w:vAlign w:val="center"/>
          </w:tcPr>
          <w:p w14:paraId="67D9CC91" w14:textId="77777777" w:rsidR="00361351" w:rsidRPr="00361351" w:rsidRDefault="00361351" w:rsidP="00361351">
            <w:pPr>
              <w:jc w:val="right"/>
              <w:rPr>
                <w:rFonts w:eastAsia="Times New Roman"/>
                <w:sz w:val="18"/>
                <w:szCs w:val="18"/>
                <w:lang w:eastAsia="es-MX"/>
              </w:rPr>
            </w:pPr>
            <w:r w:rsidRPr="00361351">
              <w:rPr>
                <w:rFonts w:eastAsia="Times New Roman"/>
                <w:sz w:val="18"/>
                <w:szCs w:val="18"/>
                <w:lang w:eastAsia="es-MX"/>
              </w:rPr>
              <w:t>458 069</w:t>
            </w:r>
          </w:p>
        </w:tc>
        <w:tc>
          <w:tcPr>
            <w:tcW w:w="995" w:type="dxa"/>
            <w:tcBorders>
              <w:top w:val="nil"/>
              <w:left w:val="single" w:sz="4" w:space="0" w:color="auto"/>
              <w:bottom w:val="nil"/>
              <w:right w:val="single" w:sz="4" w:space="0" w:color="auto"/>
            </w:tcBorders>
            <w:shd w:val="clear" w:color="auto" w:fill="auto"/>
            <w:noWrap/>
            <w:vAlign w:val="center"/>
          </w:tcPr>
          <w:p w14:paraId="2989CC2A" w14:textId="77777777" w:rsidR="00361351" w:rsidRPr="00361351" w:rsidRDefault="00361351" w:rsidP="00361351">
            <w:pPr>
              <w:jc w:val="right"/>
              <w:rPr>
                <w:rFonts w:eastAsia="Times New Roman"/>
                <w:sz w:val="18"/>
                <w:szCs w:val="18"/>
                <w:lang w:eastAsia="es-MX"/>
              </w:rPr>
            </w:pPr>
            <w:r w:rsidRPr="00361351">
              <w:rPr>
                <w:rFonts w:eastAsia="Times New Roman"/>
                <w:sz w:val="18"/>
                <w:szCs w:val="18"/>
                <w:lang w:eastAsia="es-MX"/>
              </w:rPr>
              <w:t>366 383</w:t>
            </w:r>
          </w:p>
        </w:tc>
        <w:tc>
          <w:tcPr>
            <w:tcW w:w="820" w:type="dxa"/>
            <w:tcBorders>
              <w:top w:val="nil"/>
              <w:left w:val="single" w:sz="4" w:space="0" w:color="auto"/>
              <w:bottom w:val="nil"/>
              <w:right w:val="single" w:sz="4" w:space="0" w:color="auto"/>
            </w:tcBorders>
            <w:shd w:val="clear" w:color="auto" w:fill="auto"/>
            <w:noWrap/>
            <w:vAlign w:val="center"/>
          </w:tcPr>
          <w:p w14:paraId="266A39E8" w14:textId="77777777" w:rsidR="00361351" w:rsidRPr="00361351" w:rsidRDefault="00361351" w:rsidP="00361351">
            <w:pPr>
              <w:ind w:left="-113" w:right="113"/>
              <w:jc w:val="right"/>
              <w:rPr>
                <w:rFonts w:eastAsia="Times New Roman"/>
                <w:sz w:val="18"/>
                <w:szCs w:val="18"/>
                <w:lang w:eastAsia="es-MX"/>
              </w:rPr>
            </w:pPr>
            <w:r w:rsidRPr="00361351">
              <w:rPr>
                <w:rFonts w:eastAsia="Times New Roman"/>
                <w:sz w:val="18"/>
                <w:szCs w:val="18"/>
                <w:lang w:eastAsia="es-MX"/>
              </w:rPr>
              <w:t>9 146</w:t>
            </w:r>
          </w:p>
        </w:tc>
        <w:tc>
          <w:tcPr>
            <w:tcW w:w="811" w:type="dxa"/>
            <w:tcBorders>
              <w:top w:val="nil"/>
              <w:left w:val="single" w:sz="4" w:space="0" w:color="auto"/>
              <w:bottom w:val="nil"/>
              <w:right w:val="single" w:sz="4" w:space="0" w:color="auto"/>
            </w:tcBorders>
            <w:shd w:val="clear" w:color="auto" w:fill="auto"/>
            <w:noWrap/>
            <w:vAlign w:val="center"/>
          </w:tcPr>
          <w:p w14:paraId="543C3A2B" w14:textId="77777777" w:rsidR="00361351" w:rsidRPr="00361351" w:rsidRDefault="00361351" w:rsidP="00361351">
            <w:pPr>
              <w:jc w:val="right"/>
              <w:rPr>
                <w:rFonts w:eastAsia="Times New Roman"/>
                <w:sz w:val="18"/>
                <w:szCs w:val="18"/>
                <w:lang w:eastAsia="es-MX"/>
              </w:rPr>
            </w:pPr>
            <w:r w:rsidRPr="00361351">
              <w:rPr>
                <w:rFonts w:eastAsia="Times New Roman"/>
                <w:sz w:val="18"/>
                <w:szCs w:val="18"/>
                <w:lang w:eastAsia="es-MX"/>
              </w:rPr>
              <w:t>8 236</w:t>
            </w:r>
          </w:p>
        </w:tc>
        <w:tc>
          <w:tcPr>
            <w:tcW w:w="830" w:type="dxa"/>
            <w:tcBorders>
              <w:top w:val="nil"/>
              <w:left w:val="single" w:sz="4" w:space="0" w:color="auto"/>
              <w:bottom w:val="nil"/>
              <w:right w:val="single" w:sz="4" w:space="0" w:color="auto"/>
            </w:tcBorders>
            <w:shd w:val="clear" w:color="auto" w:fill="auto"/>
            <w:noWrap/>
            <w:vAlign w:val="center"/>
          </w:tcPr>
          <w:p w14:paraId="25906900" w14:textId="77777777" w:rsidR="00361351" w:rsidRPr="00361351" w:rsidRDefault="00361351" w:rsidP="00361351">
            <w:pPr>
              <w:jc w:val="right"/>
              <w:rPr>
                <w:rFonts w:eastAsia="Times New Roman"/>
                <w:sz w:val="18"/>
                <w:szCs w:val="18"/>
                <w:lang w:eastAsia="es-MX"/>
              </w:rPr>
            </w:pPr>
            <w:r w:rsidRPr="00361351">
              <w:rPr>
                <w:rFonts w:eastAsia="Times New Roman"/>
                <w:sz w:val="18"/>
                <w:szCs w:val="18"/>
                <w:lang w:eastAsia="es-MX"/>
              </w:rPr>
              <w:t>29 189</w:t>
            </w:r>
          </w:p>
        </w:tc>
        <w:tc>
          <w:tcPr>
            <w:tcW w:w="647" w:type="dxa"/>
            <w:tcBorders>
              <w:top w:val="nil"/>
              <w:left w:val="single" w:sz="4" w:space="0" w:color="auto"/>
              <w:bottom w:val="nil"/>
              <w:right w:val="single" w:sz="4" w:space="0" w:color="auto"/>
            </w:tcBorders>
            <w:shd w:val="clear" w:color="auto" w:fill="auto"/>
            <w:noWrap/>
            <w:vAlign w:val="center"/>
          </w:tcPr>
          <w:p w14:paraId="3018F5A0" w14:textId="77777777" w:rsidR="00361351" w:rsidRPr="00361351" w:rsidRDefault="00361351" w:rsidP="00361351">
            <w:pPr>
              <w:jc w:val="right"/>
              <w:rPr>
                <w:rFonts w:eastAsia="Times New Roman"/>
                <w:sz w:val="18"/>
                <w:szCs w:val="18"/>
                <w:lang w:eastAsia="es-MX"/>
              </w:rPr>
            </w:pPr>
            <w:r w:rsidRPr="00361351">
              <w:rPr>
                <w:rFonts w:eastAsia="Times New Roman"/>
                <w:sz w:val="18"/>
                <w:szCs w:val="18"/>
                <w:lang w:eastAsia="es-MX"/>
              </w:rPr>
              <w:t>35 205</w:t>
            </w:r>
          </w:p>
        </w:tc>
        <w:tc>
          <w:tcPr>
            <w:tcW w:w="709" w:type="dxa"/>
            <w:tcBorders>
              <w:top w:val="nil"/>
              <w:left w:val="single" w:sz="4" w:space="0" w:color="auto"/>
              <w:bottom w:val="nil"/>
              <w:right w:val="single" w:sz="4" w:space="0" w:color="auto"/>
            </w:tcBorders>
            <w:shd w:val="clear" w:color="auto" w:fill="auto"/>
            <w:vAlign w:val="center"/>
          </w:tcPr>
          <w:p w14:paraId="4893BFAF" w14:textId="77777777" w:rsidR="00361351" w:rsidRPr="00361351" w:rsidRDefault="00361351" w:rsidP="00361351">
            <w:pPr>
              <w:ind w:left="-170" w:right="170"/>
              <w:jc w:val="right"/>
              <w:rPr>
                <w:rFonts w:eastAsia="Times New Roman"/>
                <w:sz w:val="18"/>
                <w:szCs w:val="18"/>
                <w:lang w:eastAsia="es-MX"/>
              </w:rPr>
            </w:pPr>
            <w:r w:rsidRPr="00361351">
              <w:rPr>
                <w:rFonts w:eastAsia="Times New Roman"/>
                <w:sz w:val="18"/>
                <w:szCs w:val="18"/>
                <w:lang w:eastAsia="es-MX"/>
              </w:rPr>
              <w:t>28</w:t>
            </w:r>
          </w:p>
        </w:tc>
        <w:tc>
          <w:tcPr>
            <w:tcW w:w="737" w:type="dxa"/>
            <w:tcBorders>
              <w:top w:val="nil"/>
              <w:left w:val="single" w:sz="4" w:space="0" w:color="auto"/>
              <w:bottom w:val="nil"/>
              <w:right w:val="single" w:sz="4" w:space="0" w:color="auto"/>
            </w:tcBorders>
            <w:shd w:val="clear" w:color="auto" w:fill="auto"/>
            <w:vAlign w:val="center"/>
          </w:tcPr>
          <w:p w14:paraId="672D7E21" w14:textId="77777777" w:rsidR="00361351" w:rsidRPr="00361351" w:rsidRDefault="00361351" w:rsidP="00361351">
            <w:pPr>
              <w:ind w:left="-170" w:right="170"/>
              <w:jc w:val="right"/>
              <w:rPr>
                <w:rFonts w:eastAsia="Times New Roman"/>
                <w:sz w:val="18"/>
                <w:szCs w:val="18"/>
                <w:lang w:eastAsia="es-MX"/>
              </w:rPr>
            </w:pPr>
            <w:r w:rsidRPr="00361351">
              <w:rPr>
                <w:rFonts w:eastAsia="Times New Roman"/>
                <w:sz w:val="18"/>
                <w:szCs w:val="18"/>
                <w:lang w:eastAsia="es-MX"/>
              </w:rPr>
              <w:t>30</w:t>
            </w:r>
          </w:p>
        </w:tc>
        <w:tc>
          <w:tcPr>
            <w:tcW w:w="681" w:type="dxa"/>
            <w:tcBorders>
              <w:top w:val="nil"/>
              <w:left w:val="single" w:sz="4" w:space="0" w:color="auto"/>
              <w:bottom w:val="nil"/>
              <w:right w:val="single" w:sz="4" w:space="0" w:color="auto"/>
            </w:tcBorders>
            <w:shd w:val="clear" w:color="auto" w:fill="auto"/>
            <w:vAlign w:val="center"/>
          </w:tcPr>
          <w:p w14:paraId="574CA4DC" w14:textId="77777777" w:rsidR="00361351" w:rsidRPr="00361351" w:rsidRDefault="00361351" w:rsidP="00CF72BB">
            <w:pPr>
              <w:jc w:val="center"/>
              <w:rPr>
                <w:rFonts w:eastAsia="Times New Roman"/>
                <w:sz w:val="18"/>
                <w:szCs w:val="18"/>
                <w:lang w:eastAsia="es-MX"/>
              </w:rPr>
            </w:pPr>
            <w:r w:rsidRPr="00361351">
              <w:rPr>
                <w:rFonts w:eastAsia="Times New Roman"/>
                <w:sz w:val="18"/>
                <w:szCs w:val="18"/>
                <w:lang w:eastAsia="es-MX"/>
              </w:rPr>
              <w:t>27.5</w:t>
            </w:r>
          </w:p>
        </w:tc>
        <w:tc>
          <w:tcPr>
            <w:tcW w:w="584" w:type="dxa"/>
            <w:tcBorders>
              <w:top w:val="nil"/>
              <w:left w:val="single" w:sz="4" w:space="0" w:color="auto"/>
              <w:bottom w:val="nil"/>
              <w:right w:val="single" w:sz="4" w:space="0" w:color="auto"/>
            </w:tcBorders>
            <w:shd w:val="clear" w:color="auto" w:fill="auto"/>
            <w:vAlign w:val="center"/>
          </w:tcPr>
          <w:p w14:paraId="325D62D7" w14:textId="77777777" w:rsidR="00361351" w:rsidRPr="00361351" w:rsidRDefault="00361351" w:rsidP="00CF72BB">
            <w:pPr>
              <w:jc w:val="center"/>
              <w:rPr>
                <w:rFonts w:eastAsia="Times New Roman"/>
                <w:sz w:val="18"/>
                <w:szCs w:val="18"/>
                <w:lang w:eastAsia="es-MX"/>
              </w:rPr>
            </w:pPr>
            <w:r w:rsidRPr="00361351">
              <w:rPr>
                <w:rFonts w:eastAsia="Times New Roman"/>
                <w:sz w:val="18"/>
                <w:szCs w:val="18"/>
                <w:lang w:eastAsia="es-MX"/>
              </w:rPr>
              <w:t>25.7</w:t>
            </w:r>
          </w:p>
        </w:tc>
        <w:tc>
          <w:tcPr>
            <w:tcW w:w="710" w:type="dxa"/>
            <w:tcBorders>
              <w:top w:val="nil"/>
              <w:left w:val="single" w:sz="4" w:space="0" w:color="auto"/>
              <w:bottom w:val="nil"/>
              <w:right w:val="single" w:sz="4" w:space="0" w:color="auto"/>
            </w:tcBorders>
            <w:shd w:val="clear" w:color="auto" w:fill="auto"/>
            <w:vAlign w:val="center"/>
          </w:tcPr>
          <w:p w14:paraId="43A5A08E" w14:textId="77777777" w:rsidR="00361351" w:rsidRPr="00361351" w:rsidRDefault="00361351" w:rsidP="00CF72BB">
            <w:pPr>
              <w:jc w:val="center"/>
              <w:rPr>
                <w:rFonts w:eastAsia="Times New Roman"/>
                <w:sz w:val="18"/>
                <w:szCs w:val="18"/>
                <w:lang w:eastAsia="es-MX"/>
              </w:rPr>
            </w:pPr>
            <w:r w:rsidRPr="00361351">
              <w:rPr>
                <w:rFonts w:eastAsia="Times New Roman"/>
                <w:sz w:val="18"/>
                <w:szCs w:val="18"/>
                <w:lang w:eastAsia="es-MX"/>
              </w:rPr>
              <w:t>6.63</w:t>
            </w:r>
          </w:p>
        </w:tc>
      </w:tr>
      <w:tr w:rsidR="00361351" w:rsidRPr="00361351" w14:paraId="1EDA81CA" w14:textId="77777777" w:rsidTr="00361351">
        <w:trPr>
          <w:trHeight w:val="315"/>
        </w:trPr>
        <w:tc>
          <w:tcPr>
            <w:tcW w:w="940" w:type="dxa"/>
            <w:tcBorders>
              <w:top w:val="nil"/>
              <w:left w:val="single" w:sz="4" w:space="0" w:color="auto"/>
              <w:bottom w:val="nil"/>
              <w:right w:val="single" w:sz="4" w:space="0" w:color="auto"/>
            </w:tcBorders>
            <w:shd w:val="clear" w:color="auto" w:fill="auto"/>
            <w:noWrap/>
            <w:vAlign w:val="bottom"/>
          </w:tcPr>
          <w:p w14:paraId="4C995880" w14:textId="77777777" w:rsidR="00361351" w:rsidRPr="00361351" w:rsidRDefault="00361351" w:rsidP="00361351">
            <w:pPr>
              <w:rPr>
                <w:rFonts w:eastAsia="Times New Roman"/>
                <w:sz w:val="18"/>
                <w:szCs w:val="18"/>
                <w:lang w:eastAsia="es-MX"/>
              </w:rPr>
            </w:pPr>
            <w:r w:rsidRPr="00361351">
              <w:rPr>
                <w:rFonts w:eastAsia="Times New Roman"/>
                <w:sz w:val="18"/>
                <w:szCs w:val="18"/>
                <w:lang w:eastAsia="es-MX"/>
              </w:rPr>
              <w:t>Afirme</w:t>
            </w:r>
          </w:p>
        </w:tc>
        <w:tc>
          <w:tcPr>
            <w:tcW w:w="890" w:type="dxa"/>
            <w:tcBorders>
              <w:top w:val="nil"/>
              <w:left w:val="single" w:sz="4" w:space="0" w:color="auto"/>
              <w:bottom w:val="nil"/>
              <w:right w:val="single" w:sz="4" w:space="0" w:color="auto"/>
            </w:tcBorders>
            <w:shd w:val="clear" w:color="auto" w:fill="auto"/>
            <w:noWrap/>
            <w:vAlign w:val="center"/>
          </w:tcPr>
          <w:p w14:paraId="31E50882" w14:textId="77777777" w:rsidR="00361351" w:rsidRPr="00361351" w:rsidRDefault="00361351" w:rsidP="00361351">
            <w:pPr>
              <w:jc w:val="right"/>
              <w:rPr>
                <w:rFonts w:eastAsia="Times New Roman"/>
                <w:sz w:val="18"/>
                <w:szCs w:val="18"/>
                <w:lang w:eastAsia="es-MX"/>
              </w:rPr>
            </w:pPr>
            <w:r w:rsidRPr="00361351">
              <w:rPr>
                <w:rFonts w:eastAsia="Times New Roman"/>
                <w:sz w:val="18"/>
                <w:szCs w:val="18"/>
                <w:lang w:eastAsia="es-MX"/>
              </w:rPr>
              <w:t>35 248</w:t>
            </w:r>
          </w:p>
        </w:tc>
        <w:tc>
          <w:tcPr>
            <w:tcW w:w="995" w:type="dxa"/>
            <w:tcBorders>
              <w:top w:val="nil"/>
              <w:left w:val="single" w:sz="4" w:space="0" w:color="auto"/>
              <w:bottom w:val="nil"/>
              <w:right w:val="single" w:sz="4" w:space="0" w:color="auto"/>
            </w:tcBorders>
            <w:shd w:val="clear" w:color="auto" w:fill="auto"/>
            <w:noWrap/>
            <w:vAlign w:val="center"/>
          </w:tcPr>
          <w:p w14:paraId="3A842D2E" w14:textId="77777777" w:rsidR="00361351" w:rsidRPr="00361351" w:rsidRDefault="00361351" w:rsidP="00361351">
            <w:pPr>
              <w:jc w:val="right"/>
              <w:rPr>
                <w:rFonts w:eastAsia="Times New Roman"/>
                <w:sz w:val="18"/>
                <w:szCs w:val="18"/>
                <w:lang w:eastAsia="es-MX"/>
              </w:rPr>
            </w:pPr>
            <w:r w:rsidRPr="00361351">
              <w:rPr>
                <w:rFonts w:eastAsia="Times New Roman"/>
                <w:sz w:val="18"/>
                <w:szCs w:val="18"/>
                <w:lang w:eastAsia="es-MX"/>
              </w:rPr>
              <w:t>44 719</w:t>
            </w:r>
          </w:p>
        </w:tc>
        <w:tc>
          <w:tcPr>
            <w:tcW w:w="820" w:type="dxa"/>
            <w:tcBorders>
              <w:top w:val="nil"/>
              <w:left w:val="single" w:sz="4" w:space="0" w:color="auto"/>
              <w:bottom w:val="nil"/>
              <w:right w:val="single" w:sz="4" w:space="0" w:color="auto"/>
            </w:tcBorders>
            <w:shd w:val="clear" w:color="auto" w:fill="auto"/>
            <w:noWrap/>
            <w:vAlign w:val="center"/>
          </w:tcPr>
          <w:p w14:paraId="7BC62243" w14:textId="77777777" w:rsidR="00361351" w:rsidRPr="00361351" w:rsidRDefault="00361351" w:rsidP="00361351">
            <w:pPr>
              <w:ind w:left="-113" w:right="113"/>
              <w:jc w:val="right"/>
              <w:rPr>
                <w:rFonts w:eastAsia="Times New Roman"/>
                <w:sz w:val="18"/>
                <w:szCs w:val="18"/>
                <w:lang w:eastAsia="es-MX"/>
              </w:rPr>
            </w:pPr>
            <w:r w:rsidRPr="00361351">
              <w:rPr>
                <w:rFonts w:eastAsia="Times New Roman"/>
                <w:sz w:val="18"/>
                <w:szCs w:val="18"/>
                <w:lang w:eastAsia="es-MX"/>
              </w:rPr>
              <w:t>788</w:t>
            </w:r>
          </w:p>
        </w:tc>
        <w:tc>
          <w:tcPr>
            <w:tcW w:w="811" w:type="dxa"/>
            <w:tcBorders>
              <w:top w:val="nil"/>
              <w:left w:val="single" w:sz="4" w:space="0" w:color="auto"/>
              <w:bottom w:val="nil"/>
              <w:right w:val="single" w:sz="4" w:space="0" w:color="auto"/>
            </w:tcBorders>
            <w:shd w:val="clear" w:color="auto" w:fill="auto"/>
            <w:noWrap/>
            <w:vAlign w:val="center"/>
          </w:tcPr>
          <w:p w14:paraId="7B1D5B66" w14:textId="77777777" w:rsidR="00361351" w:rsidRPr="00361351" w:rsidRDefault="00361351" w:rsidP="00361351">
            <w:pPr>
              <w:jc w:val="right"/>
              <w:rPr>
                <w:rFonts w:eastAsia="Times New Roman"/>
                <w:sz w:val="18"/>
                <w:szCs w:val="18"/>
                <w:lang w:eastAsia="es-MX"/>
              </w:rPr>
            </w:pPr>
            <w:r w:rsidRPr="00361351">
              <w:rPr>
                <w:rFonts w:eastAsia="Times New Roman"/>
                <w:sz w:val="18"/>
                <w:szCs w:val="18"/>
                <w:lang w:eastAsia="es-MX"/>
              </w:rPr>
              <w:t>951</w:t>
            </w:r>
          </w:p>
        </w:tc>
        <w:tc>
          <w:tcPr>
            <w:tcW w:w="830" w:type="dxa"/>
            <w:tcBorders>
              <w:top w:val="nil"/>
              <w:left w:val="single" w:sz="4" w:space="0" w:color="auto"/>
              <w:bottom w:val="nil"/>
              <w:right w:val="single" w:sz="4" w:space="0" w:color="auto"/>
            </w:tcBorders>
            <w:shd w:val="clear" w:color="auto" w:fill="auto"/>
            <w:noWrap/>
            <w:vAlign w:val="center"/>
          </w:tcPr>
          <w:p w14:paraId="30484A06" w14:textId="77777777" w:rsidR="00361351" w:rsidRPr="00361351" w:rsidRDefault="00361351" w:rsidP="00361351">
            <w:pPr>
              <w:jc w:val="right"/>
              <w:rPr>
                <w:rFonts w:eastAsia="Times New Roman"/>
                <w:sz w:val="18"/>
                <w:szCs w:val="18"/>
                <w:lang w:eastAsia="es-MX"/>
              </w:rPr>
            </w:pPr>
            <w:r w:rsidRPr="00361351">
              <w:rPr>
                <w:rFonts w:eastAsia="Times New Roman"/>
                <w:sz w:val="18"/>
                <w:szCs w:val="18"/>
                <w:lang w:eastAsia="es-MX"/>
              </w:rPr>
              <w:t>25 386</w:t>
            </w:r>
          </w:p>
        </w:tc>
        <w:tc>
          <w:tcPr>
            <w:tcW w:w="647" w:type="dxa"/>
            <w:tcBorders>
              <w:top w:val="nil"/>
              <w:left w:val="single" w:sz="4" w:space="0" w:color="auto"/>
              <w:bottom w:val="nil"/>
              <w:right w:val="single" w:sz="4" w:space="0" w:color="auto"/>
            </w:tcBorders>
            <w:shd w:val="clear" w:color="auto" w:fill="auto"/>
            <w:noWrap/>
            <w:vAlign w:val="center"/>
          </w:tcPr>
          <w:p w14:paraId="604C864B" w14:textId="77777777" w:rsidR="00361351" w:rsidRPr="00361351" w:rsidRDefault="00361351" w:rsidP="00361351">
            <w:pPr>
              <w:jc w:val="right"/>
              <w:rPr>
                <w:rFonts w:eastAsia="Times New Roman"/>
                <w:sz w:val="18"/>
                <w:szCs w:val="18"/>
                <w:lang w:eastAsia="es-MX"/>
              </w:rPr>
            </w:pPr>
            <w:r w:rsidRPr="00361351">
              <w:rPr>
                <w:rFonts w:eastAsia="Times New Roman"/>
                <w:sz w:val="18"/>
                <w:szCs w:val="18"/>
                <w:lang w:eastAsia="es-MX"/>
              </w:rPr>
              <w:t>25 178</w:t>
            </w:r>
          </w:p>
        </w:tc>
        <w:tc>
          <w:tcPr>
            <w:tcW w:w="709" w:type="dxa"/>
            <w:tcBorders>
              <w:top w:val="nil"/>
              <w:left w:val="single" w:sz="4" w:space="0" w:color="auto"/>
              <w:bottom w:val="nil"/>
              <w:right w:val="single" w:sz="4" w:space="0" w:color="auto"/>
            </w:tcBorders>
            <w:shd w:val="clear" w:color="auto" w:fill="auto"/>
            <w:vAlign w:val="center"/>
          </w:tcPr>
          <w:p w14:paraId="72C8DB56" w14:textId="77777777" w:rsidR="00361351" w:rsidRPr="00361351" w:rsidRDefault="00361351" w:rsidP="00361351">
            <w:pPr>
              <w:ind w:left="-170" w:right="170"/>
              <w:jc w:val="right"/>
              <w:rPr>
                <w:rFonts w:eastAsia="Times New Roman"/>
                <w:sz w:val="18"/>
                <w:szCs w:val="18"/>
                <w:lang w:eastAsia="es-MX"/>
              </w:rPr>
            </w:pPr>
            <w:r w:rsidRPr="00361351">
              <w:rPr>
                <w:rFonts w:eastAsia="Times New Roman"/>
                <w:sz w:val="18"/>
                <w:szCs w:val="18"/>
                <w:lang w:eastAsia="es-MX"/>
              </w:rPr>
              <w:t>36</w:t>
            </w:r>
          </w:p>
        </w:tc>
        <w:tc>
          <w:tcPr>
            <w:tcW w:w="737" w:type="dxa"/>
            <w:tcBorders>
              <w:top w:val="nil"/>
              <w:left w:val="single" w:sz="4" w:space="0" w:color="auto"/>
              <w:bottom w:val="nil"/>
              <w:right w:val="single" w:sz="4" w:space="0" w:color="auto"/>
            </w:tcBorders>
            <w:shd w:val="clear" w:color="auto" w:fill="auto"/>
            <w:vAlign w:val="center"/>
          </w:tcPr>
          <w:p w14:paraId="1E936842" w14:textId="77777777" w:rsidR="00361351" w:rsidRPr="00361351" w:rsidRDefault="00361351" w:rsidP="00361351">
            <w:pPr>
              <w:ind w:left="-170" w:right="170"/>
              <w:jc w:val="right"/>
              <w:rPr>
                <w:rFonts w:eastAsia="Times New Roman"/>
                <w:sz w:val="18"/>
                <w:szCs w:val="18"/>
                <w:lang w:eastAsia="es-MX"/>
              </w:rPr>
            </w:pPr>
            <w:r w:rsidRPr="00361351">
              <w:rPr>
                <w:rFonts w:eastAsia="Times New Roman"/>
                <w:sz w:val="18"/>
                <w:szCs w:val="18"/>
                <w:lang w:eastAsia="es-MX"/>
              </w:rPr>
              <w:t>35</w:t>
            </w:r>
          </w:p>
        </w:tc>
        <w:tc>
          <w:tcPr>
            <w:tcW w:w="681" w:type="dxa"/>
            <w:tcBorders>
              <w:top w:val="nil"/>
              <w:left w:val="single" w:sz="4" w:space="0" w:color="auto"/>
              <w:bottom w:val="nil"/>
              <w:right w:val="single" w:sz="4" w:space="0" w:color="auto"/>
            </w:tcBorders>
            <w:shd w:val="clear" w:color="auto" w:fill="auto"/>
            <w:vAlign w:val="center"/>
          </w:tcPr>
          <w:p w14:paraId="181362C0" w14:textId="77777777" w:rsidR="00361351" w:rsidRPr="00361351" w:rsidRDefault="00361351" w:rsidP="00CF72BB">
            <w:pPr>
              <w:jc w:val="center"/>
              <w:rPr>
                <w:rFonts w:eastAsia="Times New Roman"/>
                <w:sz w:val="18"/>
                <w:szCs w:val="18"/>
                <w:lang w:eastAsia="es-MX"/>
              </w:rPr>
            </w:pPr>
            <w:r w:rsidRPr="00361351">
              <w:rPr>
                <w:rFonts w:eastAsia="Times New Roman"/>
                <w:sz w:val="18"/>
                <w:szCs w:val="18"/>
                <w:lang w:eastAsia="es-MX"/>
              </w:rPr>
              <w:t>29.6</w:t>
            </w:r>
          </w:p>
        </w:tc>
        <w:tc>
          <w:tcPr>
            <w:tcW w:w="584" w:type="dxa"/>
            <w:tcBorders>
              <w:top w:val="nil"/>
              <w:left w:val="single" w:sz="4" w:space="0" w:color="auto"/>
              <w:bottom w:val="nil"/>
              <w:right w:val="single" w:sz="4" w:space="0" w:color="auto"/>
            </w:tcBorders>
            <w:shd w:val="clear" w:color="auto" w:fill="auto"/>
            <w:vAlign w:val="center"/>
          </w:tcPr>
          <w:p w14:paraId="3AC0311F" w14:textId="77777777" w:rsidR="00361351" w:rsidRPr="00361351" w:rsidRDefault="00361351" w:rsidP="00CF72BB">
            <w:pPr>
              <w:jc w:val="center"/>
              <w:rPr>
                <w:rFonts w:eastAsia="Times New Roman"/>
                <w:sz w:val="18"/>
                <w:szCs w:val="18"/>
                <w:lang w:eastAsia="es-MX"/>
              </w:rPr>
            </w:pPr>
            <w:r w:rsidRPr="00361351">
              <w:rPr>
                <w:rFonts w:eastAsia="Times New Roman"/>
                <w:sz w:val="18"/>
                <w:szCs w:val="18"/>
                <w:lang w:eastAsia="es-MX"/>
              </w:rPr>
              <w:t>29.9</w:t>
            </w:r>
          </w:p>
        </w:tc>
        <w:tc>
          <w:tcPr>
            <w:tcW w:w="710" w:type="dxa"/>
            <w:tcBorders>
              <w:top w:val="nil"/>
              <w:left w:val="single" w:sz="4" w:space="0" w:color="auto"/>
              <w:bottom w:val="nil"/>
              <w:right w:val="single" w:sz="4" w:space="0" w:color="auto"/>
            </w:tcBorders>
            <w:shd w:val="clear" w:color="auto" w:fill="auto"/>
            <w:vAlign w:val="center"/>
          </w:tcPr>
          <w:p w14:paraId="7A295623" w14:textId="77777777" w:rsidR="00361351" w:rsidRPr="00361351" w:rsidRDefault="00361351" w:rsidP="00CF72BB">
            <w:pPr>
              <w:jc w:val="center"/>
              <w:rPr>
                <w:rFonts w:eastAsia="Times New Roman"/>
                <w:sz w:val="18"/>
                <w:szCs w:val="18"/>
                <w:lang w:eastAsia="es-MX"/>
              </w:rPr>
            </w:pPr>
            <w:r w:rsidRPr="00361351">
              <w:rPr>
                <w:rFonts w:eastAsia="Times New Roman"/>
                <w:sz w:val="18"/>
                <w:szCs w:val="18"/>
                <w:lang w:eastAsia="es-MX"/>
              </w:rPr>
              <w:t>9.86</w:t>
            </w:r>
          </w:p>
        </w:tc>
      </w:tr>
      <w:tr w:rsidR="00361351" w:rsidRPr="00361351" w14:paraId="1B6F4910" w14:textId="77777777" w:rsidTr="00361351">
        <w:trPr>
          <w:trHeight w:val="315"/>
        </w:trPr>
        <w:tc>
          <w:tcPr>
            <w:tcW w:w="940" w:type="dxa"/>
            <w:tcBorders>
              <w:top w:val="nil"/>
              <w:left w:val="single" w:sz="4" w:space="0" w:color="auto"/>
              <w:bottom w:val="nil"/>
              <w:right w:val="single" w:sz="4" w:space="0" w:color="auto"/>
            </w:tcBorders>
            <w:shd w:val="clear" w:color="auto" w:fill="auto"/>
            <w:noWrap/>
            <w:vAlign w:val="bottom"/>
          </w:tcPr>
          <w:p w14:paraId="3FB1ECA3" w14:textId="77777777" w:rsidR="00361351" w:rsidRPr="00361351" w:rsidRDefault="00361351" w:rsidP="00361351">
            <w:pPr>
              <w:rPr>
                <w:rFonts w:eastAsia="Times New Roman"/>
                <w:sz w:val="18"/>
                <w:szCs w:val="18"/>
                <w:lang w:eastAsia="es-MX"/>
              </w:rPr>
            </w:pPr>
            <w:r w:rsidRPr="00361351">
              <w:rPr>
                <w:rFonts w:eastAsia="Times New Roman"/>
                <w:sz w:val="18"/>
                <w:szCs w:val="18"/>
                <w:lang w:eastAsia="es-MX"/>
              </w:rPr>
              <w:t>Inbursa</w:t>
            </w:r>
          </w:p>
        </w:tc>
        <w:tc>
          <w:tcPr>
            <w:tcW w:w="890" w:type="dxa"/>
            <w:tcBorders>
              <w:top w:val="nil"/>
              <w:left w:val="single" w:sz="4" w:space="0" w:color="auto"/>
              <w:bottom w:val="nil"/>
              <w:right w:val="single" w:sz="4" w:space="0" w:color="auto"/>
            </w:tcBorders>
            <w:shd w:val="clear" w:color="auto" w:fill="auto"/>
            <w:noWrap/>
            <w:vAlign w:val="center"/>
          </w:tcPr>
          <w:p w14:paraId="27D00348" w14:textId="77777777" w:rsidR="00361351" w:rsidRPr="00361351" w:rsidRDefault="00361351" w:rsidP="00361351">
            <w:pPr>
              <w:jc w:val="right"/>
              <w:rPr>
                <w:rFonts w:eastAsia="Times New Roman"/>
                <w:sz w:val="18"/>
                <w:szCs w:val="18"/>
                <w:lang w:eastAsia="es-MX"/>
              </w:rPr>
            </w:pPr>
            <w:r w:rsidRPr="00361351">
              <w:rPr>
                <w:rFonts w:eastAsia="Times New Roman"/>
                <w:sz w:val="18"/>
                <w:szCs w:val="18"/>
                <w:lang w:eastAsia="es-MX"/>
              </w:rPr>
              <w:t>20 358</w:t>
            </w:r>
          </w:p>
        </w:tc>
        <w:tc>
          <w:tcPr>
            <w:tcW w:w="995" w:type="dxa"/>
            <w:tcBorders>
              <w:top w:val="nil"/>
              <w:left w:val="single" w:sz="4" w:space="0" w:color="auto"/>
              <w:bottom w:val="nil"/>
              <w:right w:val="single" w:sz="4" w:space="0" w:color="auto"/>
            </w:tcBorders>
            <w:shd w:val="clear" w:color="auto" w:fill="auto"/>
            <w:noWrap/>
            <w:vAlign w:val="center"/>
          </w:tcPr>
          <w:p w14:paraId="721AA15E" w14:textId="77777777" w:rsidR="00361351" w:rsidRPr="00361351" w:rsidRDefault="00361351" w:rsidP="00361351">
            <w:pPr>
              <w:jc w:val="right"/>
              <w:rPr>
                <w:rFonts w:eastAsia="Times New Roman"/>
                <w:sz w:val="18"/>
                <w:szCs w:val="18"/>
                <w:lang w:eastAsia="es-MX"/>
              </w:rPr>
            </w:pPr>
            <w:r w:rsidRPr="00361351">
              <w:rPr>
                <w:rFonts w:eastAsia="Times New Roman"/>
                <w:sz w:val="18"/>
                <w:szCs w:val="18"/>
                <w:lang w:eastAsia="es-MX"/>
              </w:rPr>
              <w:t>36 597</w:t>
            </w:r>
          </w:p>
        </w:tc>
        <w:tc>
          <w:tcPr>
            <w:tcW w:w="820" w:type="dxa"/>
            <w:tcBorders>
              <w:top w:val="nil"/>
              <w:left w:val="single" w:sz="4" w:space="0" w:color="auto"/>
              <w:bottom w:val="nil"/>
              <w:right w:val="single" w:sz="4" w:space="0" w:color="auto"/>
            </w:tcBorders>
            <w:shd w:val="clear" w:color="auto" w:fill="auto"/>
            <w:noWrap/>
            <w:vAlign w:val="center"/>
          </w:tcPr>
          <w:p w14:paraId="02AD868B" w14:textId="77777777" w:rsidR="00361351" w:rsidRPr="00361351" w:rsidRDefault="00361351" w:rsidP="00361351">
            <w:pPr>
              <w:ind w:left="-113" w:right="113"/>
              <w:jc w:val="right"/>
              <w:rPr>
                <w:rFonts w:eastAsia="Times New Roman"/>
                <w:sz w:val="18"/>
                <w:szCs w:val="18"/>
                <w:lang w:eastAsia="es-MX"/>
              </w:rPr>
            </w:pPr>
            <w:r w:rsidRPr="00361351">
              <w:rPr>
                <w:rFonts w:eastAsia="Times New Roman"/>
                <w:sz w:val="18"/>
                <w:szCs w:val="18"/>
                <w:lang w:eastAsia="es-MX"/>
              </w:rPr>
              <w:t>678</w:t>
            </w:r>
          </w:p>
        </w:tc>
        <w:tc>
          <w:tcPr>
            <w:tcW w:w="811" w:type="dxa"/>
            <w:tcBorders>
              <w:top w:val="nil"/>
              <w:left w:val="single" w:sz="4" w:space="0" w:color="auto"/>
              <w:bottom w:val="nil"/>
              <w:right w:val="single" w:sz="4" w:space="0" w:color="auto"/>
            </w:tcBorders>
            <w:shd w:val="clear" w:color="auto" w:fill="auto"/>
            <w:noWrap/>
            <w:vAlign w:val="center"/>
          </w:tcPr>
          <w:p w14:paraId="560F2B7B" w14:textId="77777777" w:rsidR="00361351" w:rsidRPr="00361351" w:rsidRDefault="00361351" w:rsidP="00361351">
            <w:pPr>
              <w:jc w:val="right"/>
              <w:rPr>
                <w:rFonts w:eastAsia="Times New Roman"/>
                <w:sz w:val="18"/>
                <w:szCs w:val="18"/>
                <w:lang w:eastAsia="es-MX"/>
              </w:rPr>
            </w:pPr>
            <w:r w:rsidRPr="00361351">
              <w:rPr>
                <w:rFonts w:eastAsia="Times New Roman"/>
                <w:sz w:val="18"/>
                <w:szCs w:val="18"/>
                <w:lang w:eastAsia="es-MX"/>
              </w:rPr>
              <w:t>1 421</w:t>
            </w:r>
          </w:p>
        </w:tc>
        <w:tc>
          <w:tcPr>
            <w:tcW w:w="830" w:type="dxa"/>
            <w:tcBorders>
              <w:top w:val="nil"/>
              <w:left w:val="single" w:sz="4" w:space="0" w:color="auto"/>
              <w:bottom w:val="nil"/>
              <w:right w:val="single" w:sz="4" w:space="0" w:color="auto"/>
            </w:tcBorders>
            <w:shd w:val="clear" w:color="auto" w:fill="auto"/>
            <w:noWrap/>
            <w:vAlign w:val="center"/>
          </w:tcPr>
          <w:p w14:paraId="1F03F53D" w14:textId="77777777" w:rsidR="00361351" w:rsidRPr="00361351" w:rsidRDefault="00361351" w:rsidP="00361351">
            <w:pPr>
              <w:jc w:val="right"/>
              <w:rPr>
                <w:rFonts w:eastAsia="Times New Roman"/>
                <w:sz w:val="18"/>
                <w:szCs w:val="18"/>
                <w:lang w:eastAsia="es-MX"/>
              </w:rPr>
            </w:pPr>
            <w:r w:rsidRPr="00361351">
              <w:rPr>
                <w:rFonts w:eastAsia="Times New Roman"/>
                <w:sz w:val="18"/>
                <w:szCs w:val="18"/>
                <w:lang w:eastAsia="es-MX"/>
              </w:rPr>
              <w:t>43 145</w:t>
            </w:r>
          </w:p>
        </w:tc>
        <w:tc>
          <w:tcPr>
            <w:tcW w:w="647" w:type="dxa"/>
            <w:tcBorders>
              <w:top w:val="nil"/>
              <w:left w:val="single" w:sz="4" w:space="0" w:color="auto"/>
              <w:bottom w:val="nil"/>
              <w:right w:val="single" w:sz="4" w:space="0" w:color="auto"/>
            </w:tcBorders>
            <w:shd w:val="clear" w:color="auto" w:fill="auto"/>
            <w:noWrap/>
            <w:vAlign w:val="center"/>
          </w:tcPr>
          <w:p w14:paraId="75E3F0AF" w14:textId="77777777" w:rsidR="00361351" w:rsidRPr="00361351" w:rsidRDefault="00361351" w:rsidP="00361351">
            <w:pPr>
              <w:jc w:val="right"/>
              <w:rPr>
                <w:rFonts w:eastAsia="Times New Roman"/>
                <w:sz w:val="18"/>
                <w:szCs w:val="18"/>
                <w:lang w:eastAsia="es-MX"/>
              </w:rPr>
            </w:pPr>
            <w:r w:rsidRPr="00361351">
              <w:rPr>
                <w:rFonts w:eastAsia="Times New Roman"/>
                <w:sz w:val="18"/>
                <w:szCs w:val="18"/>
                <w:lang w:eastAsia="es-MX"/>
              </w:rPr>
              <w:t>47 352</w:t>
            </w:r>
          </w:p>
        </w:tc>
        <w:tc>
          <w:tcPr>
            <w:tcW w:w="709" w:type="dxa"/>
            <w:tcBorders>
              <w:top w:val="nil"/>
              <w:left w:val="single" w:sz="4" w:space="0" w:color="auto"/>
              <w:bottom w:val="nil"/>
              <w:right w:val="single" w:sz="4" w:space="0" w:color="auto"/>
            </w:tcBorders>
            <w:shd w:val="clear" w:color="auto" w:fill="auto"/>
            <w:vAlign w:val="center"/>
          </w:tcPr>
          <w:p w14:paraId="44956D60" w14:textId="77777777" w:rsidR="00361351" w:rsidRPr="00361351" w:rsidRDefault="00361351" w:rsidP="00361351">
            <w:pPr>
              <w:ind w:left="-170" w:right="170"/>
              <w:jc w:val="right"/>
              <w:rPr>
                <w:rFonts w:eastAsia="Times New Roman"/>
                <w:sz w:val="18"/>
                <w:szCs w:val="18"/>
                <w:lang w:eastAsia="es-MX"/>
              </w:rPr>
            </w:pPr>
            <w:r w:rsidRPr="00361351">
              <w:rPr>
                <w:rFonts w:eastAsia="Times New Roman"/>
                <w:sz w:val="18"/>
                <w:szCs w:val="18"/>
                <w:lang w:eastAsia="es-MX"/>
              </w:rPr>
              <w:t>35</w:t>
            </w:r>
          </w:p>
        </w:tc>
        <w:tc>
          <w:tcPr>
            <w:tcW w:w="737" w:type="dxa"/>
            <w:tcBorders>
              <w:top w:val="nil"/>
              <w:left w:val="single" w:sz="4" w:space="0" w:color="auto"/>
              <w:bottom w:val="nil"/>
              <w:right w:val="single" w:sz="4" w:space="0" w:color="auto"/>
            </w:tcBorders>
            <w:shd w:val="clear" w:color="auto" w:fill="auto"/>
            <w:vAlign w:val="center"/>
          </w:tcPr>
          <w:p w14:paraId="3391C2D5" w14:textId="77777777" w:rsidR="00361351" w:rsidRPr="00361351" w:rsidRDefault="00361351" w:rsidP="00361351">
            <w:pPr>
              <w:ind w:left="-170" w:right="170"/>
              <w:jc w:val="right"/>
              <w:rPr>
                <w:rFonts w:eastAsia="Times New Roman"/>
                <w:sz w:val="18"/>
                <w:szCs w:val="18"/>
                <w:lang w:eastAsia="es-MX"/>
              </w:rPr>
            </w:pPr>
            <w:r w:rsidRPr="00361351">
              <w:rPr>
                <w:rFonts w:eastAsia="Times New Roman"/>
                <w:sz w:val="18"/>
                <w:szCs w:val="18"/>
                <w:lang w:eastAsia="es-MX"/>
              </w:rPr>
              <w:t>37</w:t>
            </w:r>
          </w:p>
        </w:tc>
        <w:tc>
          <w:tcPr>
            <w:tcW w:w="681" w:type="dxa"/>
            <w:tcBorders>
              <w:top w:val="nil"/>
              <w:left w:val="single" w:sz="4" w:space="0" w:color="auto"/>
              <w:bottom w:val="nil"/>
              <w:right w:val="single" w:sz="4" w:space="0" w:color="auto"/>
            </w:tcBorders>
            <w:shd w:val="clear" w:color="auto" w:fill="auto"/>
            <w:vAlign w:val="center"/>
          </w:tcPr>
          <w:p w14:paraId="79EC3FBD" w14:textId="77777777" w:rsidR="00361351" w:rsidRPr="00361351" w:rsidRDefault="00361351" w:rsidP="00CF72BB">
            <w:pPr>
              <w:jc w:val="center"/>
              <w:rPr>
                <w:rFonts w:eastAsia="Times New Roman"/>
                <w:sz w:val="18"/>
                <w:szCs w:val="18"/>
                <w:lang w:eastAsia="es-MX"/>
              </w:rPr>
            </w:pPr>
            <w:r w:rsidRPr="00361351">
              <w:rPr>
                <w:rFonts w:eastAsia="Times New Roman"/>
                <w:sz w:val="18"/>
                <w:szCs w:val="18"/>
                <w:lang w:eastAsia="es-MX"/>
              </w:rPr>
              <w:t>22.8</w:t>
            </w:r>
          </w:p>
        </w:tc>
        <w:tc>
          <w:tcPr>
            <w:tcW w:w="584" w:type="dxa"/>
            <w:tcBorders>
              <w:top w:val="nil"/>
              <w:left w:val="single" w:sz="4" w:space="0" w:color="auto"/>
              <w:bottom w:val="nil"/>
              <w:right w:val="single" w:sz="4" w:space="0" w:color="auto"/>
            </w:tcBorders>
            <w:shd w:val="clear" w:color="auto" w:fill="auto"/>
            <w:vAlign w:val="center"/>
          </w:tcPr>
          <w:p w14:paraId="7756381B" w14:textId="77777777" w:rsidR="00361351" w:rsidRPr="00361351" w:rsidRDefault="00361351" w:rsidP="00CF72BB">
            <w:pPr>
              <w:jc w:val="center"/>
              <w:rPr>
                <w:rFonts w:eastAsia="Times New Roman"/>
                <w:sz w:val="18"/>
                <w:szCs w:val="18"/>
                <w:lang w:eastAsia="es-MX"/>
              </w:rPr>
            </w:pPr>
            <w:r w:rsidRPr="00361351">
              <w:rPr>
                <w:rFonts w:eastAsia="Times New Roman"/>
                <w:sz w:val="18"/>
                <w:szCs w:val="18"/>
                <w:lang w:eastAsia="es-MX"/>
              </w:rPr>
              <w:t>23.4</w:t>
            </w:r>
          </w:p>
        </w:tc>
        <w:tc>
          <w:tcPr>
            <w:tcW w:w="710" w:type="dxa"/>
            <w:tcBorders>
              <w:top w:val="nil"/>
              <w:left w:val="single" w:sz="4" w:space="0" w:color="auto"/>
              <w:bottom w:val="nil"/>
              <w:right w:val="single" w:sz="4" w:space="0" w:color="auto"/>
            </w:tcBorders>
            <w:shd w:val="clear" w:color="auto" w:fill="auto"/>
            <w:vAlign w:val="center"/>
          </w:tcPr>
          <w:p w14:paraId="41B36D27" w14:textId="77777777" w:rsidR="00361351" w:rsidRPr="00361351" w:rsidRDefault="00361351" w:rsidP="00CF72BB">
            <w:pPr>
              <w:jc w:val="center"/>
              <w:rPr>
                <w:rFonts w:eastAsia="Times New Roman"/>
                <w:sz w:val="18"/>
                <w:szCs w:val="18"/>
                <w:lang w:eastAsia="es-MX"/>
              </w:rPr>
            </w:pPr>
            <w:r w:rsidRPr="00361351">
              <w:rPr>
                <w:rFonts w:eastAsia="Times New Roman"/>
                <w:sz w:val="18"/>
                <w:szCs w:val="18"/>
                <w:lang w:eastAsia="es-MX"/>
              </w:rPr>
              <w:t>8.51</w:t>
            </w:r>
          </w:p>
        </w:tc>
      </w:tr>
      <w:tr w:rsidR="00361351" w:rsidRPr="00361351" w14:paraId="5DD306DB" w14:textId="77777777" w:rsidTr="00361351">
        <w:trPr>
          <w:trHeight w:val="315"/>
        </w:trPr>
        <w:tc>
          <w:tcPr>
            <w:tcW w:w="940" w:type="dxa"/>
            <w:tcBorders>
              <w:top w:val="nil"/>
              <w:left w:val="single" w:sz="4" w:space="0" w:color="auto"/>
              <w:bottom w:val="nil"/>
              <w:right w:val="single" w:sz="4" w:space="0" w:color="auto"/>
            </w:tcBorders>
            <w:shd w:val="clear" w:color="auto" w:fill="auto"/>
            <w:noWrap/>
            <w:vAlign w:val="bottom"/>
          </w:tcPr>
          <w:p w14:paraId="1752A0C4" w14:textId="77777777" w:rsidR="00361351" w:rsidRPr="00361351" w:rsidRDefault="00361351" w:rsidP="00361351">
            <w:pPr>
              <w:rPr>
                <w:rFonts w:eastAsia="Times New Roman"/>
                <w:sz w:val="18"/>
                <w:szCs w:val="18"/>
                <w:lang w:eastAsia="es-MX"/>
              </w:rPr>
            </w:pPr>
            <w:r w:rsidRPr="00361351">
              <w:rPr>
                <w:rFonts w:eastAsia="Times New Roman"/>
                <w:sz w:val="18"/>
                <w:szCs w:val="18"/>
                <w:lang w:eastAsia="es-MX"/>
              </w:rPr>
              <w:t>Santander</w:t>
            </w:r>
          </w:p>
        </w:tc>
        <w:tc>
          <w:tcPr>
            <w:tcW w:w="890" w:type="dxa"/>
            <w:tcBorders>
              <w:top w:val="nil"/>
              <w:left w:val="single" w:sz="4" w:space="0" w:color="auto"/>
              <w:bottom w:val="nil"/>
              <w:right w:val="single" w:sz="4" w:space="0" w:color="auto"/>
            </w:tcBorders>
            <w:shd w:val="clear" w:color="auto" w:fill="auto"/>
            <w:noWrap/>
            <w:vAlign w:val="center"/>
          </w:tcPr>
          <w:p w14:paraId="57EE2A49" w14:textId="77777777" w:rsidR="00361351" w:rsidRPr="00361351" w:rsidRDefault="00361351" w:rsidP="00361351">
            <w:pPr>
              <w:jc w:val="right"/>
              <w:rPr>
                <w:rFonts w:eastAsia="Times New Roman"/>
                <w:sz w:val="18"/>
                <w:szCs w:val="18"/>
                <w:lang w:eastAsia="es-MX"/>
              </w:rPr>
            </w:pPr>
            <w:r w:rsidRPr="00361351">
              <w:rPr>
                <w:rFonts w:eastAsia="Times New Roman"/>
                <w:sz w:val="18"/>
                <w:szCs w:val="18"/>
                <w:lang w:eastAsia="es-MX"/>
              </w:rPr>
              <w:t>94 662</w:t>
            </w:r>
          </w:p>
        </w:tc>
        <w:tc>
          <w:tcPr>
            <w:tcW w:w="995" w:type="dxa"/>
            <w:tcBorders>
              <w:top w:val="nil"/>
              <w:left w:val="single" w:sz="4" w:space="0" w:color="auto"/>
              <w:bottom w:val="nil"/>
              <w:right w:val="single" w:sz="4" w:space="0" w:color="auto"/>
            </w:tcBorders>
            <w:shd w:val="clear" w:color="auto" w:fill="auto"/>
            <w:noWrap/>
            <w:vAlign w:val="center"/>
          </w:tcPr>
          <w:p w14:paraId="66D91D5D" w14:textId="77777777" w:rsidR="00361351" w:rsidRPr="00361351" w:rsidRDefault="00361351" w:rsidP="00361351">
            <w:pPr>
              <w:jc w:val="right"/>
              <w:rPr>
                <w:rFonts w:eastAsia="Times New Roman"/>
                <w:sz w:val="18"/>
                <w:szCs w:val="18"/>
                <w:lang w:eastAsia="es-MX"/>
              </w:rPr>
            </w:pPr>
            <w:r w:rsidRPr="00361351">
              <w:rPr>
                <w:rFonts w:eastAsia="Times New Roman"/>
                <w:sz w:val="18"/>
                <w:szCs w:val="18"/>
                <w:lang w:eastAsia="es-MX"/>
              </w:rPr>
              <w:t>32 357</w:t>
            </w:r>
          </w:p>
        </w:tc>
        <w:tc>
          <w:tcPr>
            <w:tcW w:w="820" w:type="dxa"/>
            <w:tcBorders>
              <w:top w:val="nil"/>
              <w:left w:val="single" w:sz="4" w:space="0" w:color="auto"/>
              <w:bottom w:val="nil"/>
              <w:right w:val="single" w:sz="4" w:space="0" w:color="auto"/>
            </w:tcBorders>
            <w:shd w:val="clear" w:color="auto" w:fill="auto"/>
            <w:noWrap/>
            <w:vAlign w:val="center"/>
          </w:tcPr>
          <w:p w14:paraId="324879BD" w14:textId="77777777" w:rsidR="00361351" w:rsidRPr="00361351" w:rsidRDefault="00361351" w:rsidP="00361351">
            <w:pPr>
              <w:ind w:left="-113" w:right="113"/>
              <w:jc w:val="right"/>
              <w:rPr>
                <w:rFonts w:eastAsia="Times New Roman"/>
                <w:sz w:val="18"/>
                <w:szCs w:val="18"/>
                <w:lang w:eastAsia="es-MX"/>
              </w:rPr>
            </w:pPr>
            <w:r w:rsidRPr="00361351">
              <w:rPr>
                <w:rFonts w:eastAsia="Times New Roman"/>
                <w:sz w:val="18"/>
                <w:szCs w:val="18"/>
                <w:lang w:eastAsia="es-MX"/>
              </w:rPr>
              <w:t>1 554</w:t>
            </w:r>
          </w:p>
        </w:tc>
        <w:tc>
          <w:tcPr>
            <w:tcW w:w="811" w:type="dxa"/>
            <w:tcBorders>
              <w:top w:val="nil"/>
              <w:left w:val="single" w:sz="4" w:space="0" w:color="auto"/>
              <w:bottom w:val="nil"/>
              <w:right w:val="single" w:sz="4" w:space="0" w:color="auto"/>
            </w:tcBorders>
            <w:shd w:val="clear" w:color="auto" w:fill="auto"/>
            <w:noWrap/>
            <w:vAlign w:val="center"/>
          </w:tcPr>
          <w:p w14:paraId="2173124A" w14:textId="77777777" w:rsidR="00361351" w:rsidRPr="00361351" w:rsidRDefault="00361351" w:rsidP="00361351">
            <w:pPr>
              <w:jc w:val="right"/>
              <w:rPr>
                <w:rFonts w:eastAsia="Times New Roman"/>
                <w:sz w:val="18"/>
                <w:szCs w:val="18"/>
                <w:lang w:eastAsia="es-MX"/>
              </w:rPr>
            </w:pPr>
            <w:r w:rsidRPr="00361351">
              <w:rPr>
                <w:rFonts w:eastAsia="Times New Roman"/>
                <w:sz w:val="18"/>
                <w:szCs w:val="18"/>
                <w:lang w:eastAsia="es-MX"/>
              </w:rPr>
              <w:t>430</w:t>
            </w:r>
          </w:p>
        </w:tc>
        <w:tc>
          <w:tcPr>
            <w:tcW w:w="830" w:type="dxa"/>
            <w:tcBorders>
              <w:top w:val="nil"/>
              <w:left w:val="single" w:sz="4" w:space="0" w:color="auto"/>
              <w:bottom w:val="nil"/>
              <w:right w:val="single" w:sz="4" w:space="0" w:color="auto"/>
            </w:tcBorders>
            <w:shd w:val="clear" w:color="auto" w:fill="auto"/>
            <w:noWrap/>
            <w:vAlign w:val="center"/>
          </w:tcPr>
          <w:p w14:paraId="5691776D" w14:textId="77777777" w:rsidR="00361351" w:rsidRPr="00361351" w:rsidRDefault="00361351" w:rsidP="00361351">
            <w:pPr>
              <w:jc w:val="right"/>
              <w:rPr>
                <w:rFonts w:eastAsia="Times New Roman"/>
                <w:sz w:val="18"/>
                <w:szCs w:val="18"/>
                <w:lang w:eastAsia="es-MX"/>
              </w:rPr>
            </w:pPr>
            <w:r w:rsidRPr="00361351">
              <w:rPr>
                <w:rFonts w:eastAsia="Times New Roman"/>
                <w:sz w:val="18"/>
                <w:szCs w:val="18"/>
                <w:lang w:eastAsia="es-MX"/>
              </w:rPr>
              <w:t>35 858</w:t>
            </w:r>
          </w:p>
        </w:tc>
        <w:tc>
          <w:tcPr>
            <w:tcW w:w="647" w:type="dxa"/>
            <w:tcBorders>
              <w:top w:val="nil"/>
              <w:left w:val="single" w:sz="4" w:space="0" w:color="auto"/>
              <w:bottom w:val="nil"/>
              <w:right w:val="single" w:sz="4" w:space="0" w:color="auto"/>
            </w:tcBorders>
            <w:shd w:val="clear" w:color="auto" w:fill="auto"/>
            <w:noWrap/>
            <w:vAlign w:val="center"/>
          </w:tcPr>
          <w:p w14:paraId="259F6292" w14:textId="77777777" w:rsidR="00361351" w:rsidRPr="00361351" w:rsidRDefault="00361351" w:rsidP="00361351">
            <w:pPr>
              <w:jc w:val="right"/>
              <w:rPr>
                <w:rFonts w:eastAsia="Times New Roman"/>
                <w:sz w:val="18"/>
                <w:szCs w:val="18"/>
                <w:lang w:eastAsia="es-MX"/>
              </w:rPr>
            </w:pPr>
            <w:r w:rsidRPr="00361351">
              <w:rPr>
                <w:rFonts w:eastAsia="Times New Roman"/>
                <w:sz w:val="18"/>
                <w:szCs w:val="18"/>
                <w:lang w:eastAsia="es-MX"/>
              </w:rPr>
              <w:t>41 877</w:t>
            </w:r>
          </w:p>
        </w:tc>
        <w:tc>
          <w:tcPr>
            <w:tcW w:w="709" w:type="dxa"/>
            <w:tcBorders>
              <w:top w:val="nil"/>
              <w:left w:val="single" w:sz="4" w:space="0" w:color="auto"/>
              <w:bottom w:val="nil"/>
              <w:right w:val="single" w:sz="4" w:space="0" w:color="auto"/>
            </w:tcBorders>
            <w:shd w:val="clear" w:color="auto" w:fill="auto"/>
            <w:vAlign w:val="center"/>
          </w:tcPr>
          <w:p w14:paraId="6E9549F0" w14:textId="77777777" w:rsidR="00361351" w:rsidRPr="00361351" w:rsidRDefault="00361351" w:rsidP="00361351">
            <w:pPr>
              <w:ind w:left="-170" w:right="170"/>
              <w:jc w:val="right"/>
              <w:rPr>
                <w:rFonts w:eastAsia="Times New Roman"/>
                <w:sz w:val="18"/>
                <w:szCs w:val="18"/>
                <w:lang w:eastAsia="es-MX"/>
              </w:rPr>
            </w:pPr>
            <w:r w:rsidRPr="00361351">
              <w:rPr>
                <w:rFonts w:eastAsia="Times New Roman"/>
                <w:sz w:val="18"/>
                <w:szCs w:val="18"/>
                <w:lang w:eastAsia="es-MX"/>
              </w:rPr>
              <w:t>43</w:t>
            </w:r>
          </w:p>
        </w:tc>
        <w:tc>
          <w:tcPr>
            <w:tcW w:w="737" w:type="dxa"/>
            <w:tcBorders>
              <w:top w:val="nil"/>
              <w:left w:val="single" w:sz="4" w:space="0" w:color="auto"/>
              <w:bottom w:val="nil"/>
              <w:right w:val="single" w:sz="4" w:space="0" w:color="auto"/>
            </w:tcBorders>
            <w:shd w:val="clear" w:color="auto" w:fill="auto"/>
            <w:vAlign w:val="center"/>
          </w:tcPr>
          <w:p w14:paraId="7042604A" w14:textId="77777777" w:rsidR="00361351" w:rsidRPr="00361351" w:rsidRDefault="00361351" w:rsidP="00361351">
            <w:pPr>
              <w:ind w:left="-170" w:right="170"/>
              <w:jc w:val="right"/>
              <w:rPr>
                <w:rFonts w:eastAsia="Times New Roman"/>
                <w:sz w:val="18"/>
                <w:szCs w:val="18"/>
                <w:lang w:eastAsia="es-MX"/>
              </w:rPr>
            </w:pPr>
            <w:r w:rsidRPr="00361351">
              <w:rPr>
                <w:rFonts w:eastAsia="Times New Roman"/>
                <w:sz w:val="18"/>
                <w:szCs w:val="18"/>
                <w:lang w:eastAsia="es-MX"/>
              </w:rPr>
              <w:t>47</w:t>
            </w:r>
          </w:p>
        </w:tc>
        <w:tc>
          <w:tcPr>
            <w:tcW w:w="681" w:type="dxa"/>
            <w:tcBorders>
              <w:top w:val="nil"/>
              <w:left w:val="single" w:sz="4" w:space="0" w:color="auto"/>
              <w:bottom w:val="nil"/>
              <w:right w:val="single" w:sz="4" w:space="0" w:color="auto"/>
            </w:tcBorders>
            <w:shd w:val="clear" w:color="auto" w:fill="auto"/>
            <w:vAlign w:val="center"/>
          </w:tcPr>
          <w:p w14:paraId="3D74EA7F" w14:textId="77777777" w:rsidR="00361351" w:rsidRPr="00361351" w:rsidRDefault="00361351" w:rsidP="00CF72BB">
            <w:pPr>
              <w:jc w:val="center"/>
              <w:rPr>
                <w:rFonts w:eastAsia="Times New Roman"/>
                <w:sz w:val="18"/>
                <w:szCs w:val="18"/>
                <w:lang w:eastAsia="es-MX"/>
              </w:rPr>
            </w:pPr>
            <w:r w:rsidRPr="00361351">
              <w:rPr>
                <w:rFonts w:eastAsia="Times New Roman"/>
                <w:sz w:val="18"/>
                <w:szCs w:val="18"/>
                <w:lang w:eastAsia="es-MX"/>
              </w:rPr>
              <w:t>30.8</w:t>
            </w:r>
          </w:p>
        </w:tc>
        <w:tc>
          <w:tcPr>
            <w:tcW w:w="584" w:type="dxa"/>
            <w:tcBorders>
              <w:top w:val="nil"/>
              <w:left w:val="single" w:sz="4" w:space="0" w:color="auto"/>
              <w:bottom w:val="nil"/>
              <w:right w:val="single" w:sz="4" w:space="0" w:color="auto"/>
            </w:tcBorders>
            <w:shd w:val="clear" w:color="auto" w:fill="auto"/>
            <w:vAlign w:val="center"/>
          </w:tcPr>
          <w:p w14:paraId="4954EE77" w14:textId="77777777" w:rsidR="00361351" w:rsidRPr="00361351" w:rsidRDefault="00361351" w:rsidP="00CF72BB">
            <w:pPr>
              <w:jc w:val="center"/>
              <w:rPr>
                <w:rFonts w:eastAsia="Times New Roman"/>
                <w:sz w:val="18"/>
                <w:szCs w:val="18"/>
                <w:lang w:eastAsia="es-MX"/>
              </w:rPr>
            </w:pPr>
            <w:r w:rsidRPr="00361351">
              <w:rPr>
                <w:rFonts w:eastAsia="Times New Roman"/>
                <w:sz w:val="18"/>
                <w:szCs w:val="18"/>
                <w:lang w:eastAsia="es-MX"/>
              </w:rPr>
              <w:t>28.0</w:t>
            </w:r>
          </w:p>
        </w:tc>
        <w:tc>
          <w:tcPr>
            <w:tcW w:w="710" w:type="dxa"/>
            <w:tcBorders>
              <w:top w:val="nil"/>
              <w:left w:val="single" w:sz="4" w:space="0" w:color="auto"/>
              <w:bottom w:val="nil"/>
              <w:right w:val="single" w:sz="4" w:space="0" w:color="auto"/>
            </w:tcBorders>
            <w:shd w:val="clear" w:color="auto" w:fill="auto"/>
            <w:vAlign w:val="center"/>
          </w:tcPr>
          <w:p w14:paraId="5A4D2D63" w14:textId="77777777" w:rsidR="00361351" w:rsidRPr="00361351" w:rsidRDefault="00361351" w:rsidP="00CF72BB">
            <w:pPr>
              <w:jc w:val="center"/>
              <w:rPr>
                <w:rFonts w:eastAsia="Times New Roman"/>
                <w:sz w:val="18"/>
                <w:szCs w:val="18"/>
                <w:lang w:eastAsia="es-MX"/>
              </w:rPr>
            </w:pPr>
            <w:r w:rsidRPr="00361351">
              <w:rPr>
                <w:rFonts w:eastAsia="Times New Roman"/>
                <w:sz w:val="18"/>
                <w:szCs w:val="18"/>
                <w:lang w:eastAsia="es-MX"/>
              </w:rPr>
              <w:t>5.34</w:t>
            </w:r>
          </w:p>
        </w:tc>
      </w:tr>
      <w:tr w:rsidR="00361351" w:rsidRPr="00361351" w14:paraId="15087FCF" w14:textId="77777777" w:rsidTr="00361351">
        <w:trPr>
          <w:trHeight w:val="315"/>
        </w:trPr>
        <w:tc>
          <w:tcPr>
            <w:tcW w:w="940" w:type="dxa"/>
            <w:tcBorders>
              <w:top w:val="nil"/>
              <w:left w:val="single" w:sz="4" w:space="0" w:color="auto"/>
              <w:bottom w:val="nil"/>
              <w:right w:val="single" w:sz="4" w:space="0" w:color="auto"/>
            </w:tcBorders>
            <w:shd w:val="clear" w:color="auto" w:fill="auto"/>
            <w:noWrap/>
            <w:vAlign w:val="bottom"/>
          </w:tcPr>
          <w:p w14:paraId="03BADBE0" w14:textId="77777777" w:rsidR="00361351" w:rsidRPr="00361351" w:rsidRDefault="00361351" w:rsidP="00361351">
            <w:pPr>
              <w:rPr>
                <w:rFonts w:eastAsia="Times New Roman"/>
                <w:sz w:val="18"/>
                <w:szCs w:val="18"/>
                <w:lang w:eastAsia="es-MX"/>
              </w:rPr>
            </w:pPr>
            <w:r w:rsidRPr="00361351">
              <w:rPr>
                <w:rFonts w:eastAsia="Times New Roman"/>
                <w:sz w:val="18"/>
                <w:szCs w:val="18"/>
                <w:lang w:eastAsia="es-MX"/>
              </w:rPr>
              <w:t>Scotiabank</w:t>
            </w:r>
          </w:p>
        </w:tc>
        <w:tc>
          <w:tcPr>
            <w:tcW w:w="890" w:type="dxa"/>
            <w:tcBorders>
              <w:top w:val="nil"/>
              <w:left w:val="single" w:sz="4" w:space="0" w:color="auto"/>
              <w:bottom w:val="nil"/>
              <w:right w:val="single" w:sz="4" w:space="0" w:color="auto"/>
            </w:tcBorders>
            <w:shd w:val="clear" w:color="auto" w:fill="auto"/>
            <w:noWrap/>
            <w:vAlign w:val="center"/>
          </w:tcPr>
          <w:p w14:paraId="3291CB76" w14:textId="77777777" w:rsidR="00361351" w:rsidRPr="00361351" w:rsidRDefault="00361351" w:rsidP="00361351">
            <w:pPr>
              <w:jc w:val="right"/>
              <w:rPr>
                <w:rFonts w:eastAsia="Times New Roman"/>
                <w:sz w:val="18"/>
                <w:szCs w:val="18"/>
                <w:lang w:eastAsia="es-MX"/>
              </w:rPr>
            </w:pPr>
            <w:r w:rsidRPr="00361351">
              <w:rPr>
                <w:rFonts w:eastAsia="Times New Roman"/>
                <w:sz w:val="18"/>
                <w:szCs w:val="18"/>
                <w:lang w:eastAsia="es-MX"/>
              </w:rPr>
              <w:t>8 380</w:t>
            </w:r>
          </w:p>
        </w:tc>
        <w:tc>
          <w:tcPr>
            <w:tcW w:w="995" w:type="dxa"/>
            <w:tcBorders>
              <w:top w:val="nil"/>
              <w:left w:val="single" w:sz="4" w:space="0" w:color="auto"/>
              <w:bottom w:val="nil"/>
              <w:right w:val="single" w:sz="4" w:space="0" w:color="auto"/>
            </w:tcBorders>
            <w:shd w:val="clear" w:color="auto" w:fill="auto"/>
            <w:noWrap/>
            <w:vAlign w:val="center"/>
          </w:tcPr>
          <w:p w14:paraId="1E37325B" w14:textId="77777777" w:rsidR="00361351" w:rsidRPr="00361351" w:rsidRDefault="00361351" w:rsidP="00361351">
            <w:pPr>
              <w:jc w:val="right"/>
              <w:rPr>
                <w:rFonts w:eastAsia="Times New Roman"/>
                <w:sz w:val="18"/>
                <w:szCs w:val="18"/>
                <w:lang w:eastAsia="es-MX"/>
              </w:rPr>
            </w:pPr>
            <w:r w:rsidRPr="00361351">
              <w:rPr>
                <w:rFonts w:eastAsia="Times New Roman"/>
                <w:sz w:val="18"/>
                <w:szCs w:val="18"/>
                <w:lang w:eastAsia="es-MX"/>
              </w:rPr>
              <w:t>24 491</w:t>
            </w:r>
          </w:p>
        </w:tc>
        <w:tc>
          <w:tcPr>
            <w:tcW w:w="820" w:type="dxa"/>
            <w:tcBorders>
              <w:top w:val="nil"/>
              <w:left w:val="single" w:sz="4" w:space="0" w:color="auto"/>
              <w:bottom w:val="nil"/>
              <w:right w:val="single" w:sz="4" w:space="0" w:color="auto"/>
            </w:tcBorders>
            <w:shd w:val="clear" w:color="auto" w:fill="auto"/>
            <w:noWrap/>
            <w:vAlign w:val="center"/>
          </w:tcPr>
          <w:p w14:paraId="46938149" w14:textId="77777777" w:rsidR="00361351" w:rsidRPr="00361351" w:rsidRDefault="00361351" w:rsidP="00361351">
            <w:pPr>
              <w:ind w:left="-113" w:right="113"/>
              <w:jc w:val="right"/>
              <w:rPr>
                <w:rFonts w:eastAsia="Times New Roman"/>
                <w:sz w:val="18"/>
                <w:szCs w:val="18"/>
                <w:lang w:eastAsia="es-MX"/>
              </w:rPr>
            </w:pPr>
            <w:r w:rsidRPr="00361351">
              <w:rPr>
                <w:rFonts w:eastAsia="Times New Roman"/>
                <w:sz w:val="18"/>
                <w:szCs w:val="18"/>
                <w:lang w:eastAsia="es-MX"/>
              </w:rPr>
              <w:t>161</w:t>
            </w:r>
          </w:p>
        </w:tc>
        <w:tc>
          <w:tcPr>
            <w:tcW w:w="811" w:type="dxa"/>
            <w:tcBorders>
              <w:top w:val="nil"/>
              <w:left w:val="single" w:sz="4" w:space="0" w:color="auto"/>
              <w:bottom w:val="nil"/>
              <w:right w:val="single" w:sz="4" w:space="0" w:color="auto"/>
            </w:tcBorders>
            <w:shd w:val="clear" w:color="auto" w:fill="auto"/>
            <w:noWrap/>
            <w:vAlign w:val="center"/>
          </w:tcPr>
          <w:p w14:paraId="23D39826" w14:textId="77777777" w:rsidR="00361351" w:rsidRPr="00361351" w:rsidRDefault="00361351" w:rsidP="00361351">
            <w:pPr>
              <w:jc w:val="right"/>
              <w:rPr>
                <w:rFonts w:eastAsia="Times New Roman"/>
                <w:sz w:val="18"/>
                <w:szCs w:val="18"/>
                <w:lang w:eastAsia="es-MX"/>
              </w:rPr>
            </w:pPr>
            <w:r w:rsidRPr="00361351">
              <w:rPr>
                <w:rFonts w:eastAsia="Times New Roman"/>
                <w:sz w:val="18"/>
                <w:szCs w:val="18"/>
                <w:lang w:eastAsia="es-MX"/>
              </w:rPr>
              <w:t>724</w:t>
            </w:r>
          </w:p>
        </w:tc>
        <w:tc>
          <w:tcPr>
            <w:tcW w:w="830" w:type="dxa"/>
            <w:tcBorders>
              <w:top w:val="nil"/>
              <w:left w:val="single" w:sz="4" w:space="0" w:color="auto"/>
              <w:bottom w:val="nil"/>
              <w:right w:val="single" w:sz="4" w:space="0" w:color="auto"/>
            </w:tcBorders>
            <w:shd w:val="clear" w:color="auto" w:fill="auto"/>
            <w:noWrap/>
            <w:vAlign w:val="center"/>
          </w:tcPr>
          <w:p w14:paraId="0780C05A" w14:textId="77777777" w:rsidR="00361351" w:rsidRPr="00361351" w:rsidRDefault="00361351" w:rsidP="00361351">
            <w:pPr>
              <w:jc w:val="right"/>
              <w:rPr>
                <w:rFonts w:eastAsia="Times New Roman"/>
                <w:sz w:val="18"/>
                <w:szCs w:val="18"/>
                <w:lang w:eastAsia="es-MX"/>
              </w:rPr>
            </w:pPr>
            <w:r w:rsidRPr="00361351">
              <w:rPr>
                <w:rFonts w:eastAsia="Times New Roman"/>
                <w:sz w:val="18"/>
                <w:szCs w:val="18"/>
                <w:lang w:eastAsia="es-MX"/>
              </w:rPr>
              <w:t>26 294</w:t>
            </w:r>
          </w:p>
        </w:tc>
        <w:tc>
          <w:tcPr>
            <w:tcW w:w="647" w:type="dxa"/>
            <w:tcBorders>
              <w:top w:val="nil"/>
              <w:left w:val="single" w:sz="4" w:space="0" w:color="auto"/>
              <w:bottom w:val="nil"/>
              <w:right w:val="single" w:sz="4" w:space="0" w:color="auto"/>
            </w:tcBorders>
            <w:shd w:val="clear" w:color="auto" w:fill="auto"/>
            <w:noWrap/>
            <w:vAlign w:val="center"/>
          </w:tcPr>
          <w:p w14:paraId="715FE84D" w14:textId="77777777" w:rsidR="00361351" w:rsidRPr="00361351" w:rsidRDefault="00361351" w:rsidP="00361351">
            <w:pPr>
              <w:jc w:val="right"/>
              <w:rPr>
                <w:rFonts w:eastAsia="Times New Roman"/>
                <w:sz w:val="18"/>
                <w:szCs w:val="18"/>
                <w:lang w:eastAsia="es-MX"/>
              </w:rPr>
            </w:pPr>
            <w:r w:rsidRPr="00361351">
              <w:rPr>
                <w:rFonts w:eastAsia="Times New Roman"/>
                <w:sz w:val="18"/>
                <w:szCs w:val="18"/>
                <w:lang w:eastAsia="es-MX"/>
              </w:rPr>
              <w:t>35 146</w:t>
            </w:r>
          </w:p>
        </w:tc>
        <w:tc>
          <w:tcPr>
            <w:tcW w:w="709" w:type="dxa"/>
            <w:tcBorders>
              <w:top w:val="nil"/>
              <w:left w:val="single" w:sz="4" w:space="0" w:color="auto"/>
              <w:bottom w:val="nil"/>
              <w:right w:val="single" w:sz="4" w:space="0" w:color="auto"/>
            </w:tcBorders>
            <w:shd w:val="clear" w:color="auto" w:fill="auto"/>
            <w:vAlign w:val="center"/>
          </w:tcPr>
          <w:p w14:paraId="075FC73D" w14:textId="77777777" w:rsidR="00361351" w:rsidRPr="00361351" w:rsidRDefault="00361351" w:rsidP="00361351">
            <w:pPr>
              <w:ind w:left="-170" w:right="170"/>
              <w:jc w:val="right"/>
              <w:rPr>
                <w:rFonts w:eastAsia="Times New Roman"/>
                <w:sz w:val="18"/>
                <w:szCs w:val="18"/>
                <w:lang w:eastAsia="es-MX"/>
              </w:rPr>
            </w:pPr>
            <w:r w:rsidRPr="00361351">
              <w:rPr>
                <w:rFonts w:eastAsia="Times New Roman"/>
                <w:sz w:val="18"/>
                <w:szCs w:val="18"/>
                <w:lang w:eastAsia="es-MX"/>
              </w:rPr>
              <w:t>26</w:t>
            </w:r>
          </w:p>
        </w:tc>
        <w:tc>
          <w:tcPr>
            <w:tcW w:w="737" w:type="dxa"/>
            <w:tcBorders>
              <w:top w:val="nil"/>
              <w:left w:val="single" w:sz="4" w:space="0" w:color="auto"/>
              <w:bottom w:val="nil"/>
              <w:right w:val="single" w:sz="4" w:space="0" w:color="auto"/>
            </w:tcBorders>
            <w:shd w:val="clear" w:color="auto" w:fill="auto"/>
            <w:vAlign w:val="center"/>
          </w:tcPr>
          <w:p w14:paraId="006B2CFB" w14:textId="77777777" w:rsidR="00361351" w:rsidRPr="00361351" w:rsidRDefault="00361351" w:rsidP="00361351">
            <w:pPr>
              <w:ind w:left="-170" w:right="170"/>
              <w:jc w:val="right"/>
              <w:rPr>
                <w:rFonts w:eastAsia="Times New Roman"/>
                <w:sz w:val="18"/>
                <w:szCs w:val="18"/>
                <w:lang w:eastAsia="es-MX"/>
              </w:rPr>
            </w:pPr>
            <w:r w:rsidRPr="00361351">
              <w:rPr>
                <w:rFonts w:eastAsia="Times New Roman"/>
                <w:sz w:val="18"/>
                <w:szCs w:val="18"/>
                <w:lang w:eastAsia="es-MX"/>
              </w:rPr>
              <w:t>30</w:t>
            </w:r>
          </w:p>
        </w:tc>
        <w:tc>
          <w:tcPr>
            <w:tcW w:w="681" w:type="dxa"/>
            <w:tcBorders>
              <w:top w:val="nil"/>
              <w:left w:val="single" w:sz="4" w:space="0" w:color="auto"/>
              <w:bottom w:val="nil"/>
              <w:right w:val="single" w:sz="4" w:space="0" w:color="auto"/>
            </w:tcBorders>
            <w:shd w:val="clear" w:color="auto" w:fill="auto"/>
            <w:vAlign w:val="center"/>
          </w:tcPr>
          <w:p w14:paraId="2AA9470B" w14:textId="77777777" w:rsidR="00361351" w:rsidRPr="00361351" w:rsidRDefault="00361351" w:rsidP="00CF72BB">
            <w:pPr>
              <w:jc w:val="center"/>
              <w:rPr>
                <w:rFonts w:eastAsia="Times New Roman"/>
                <w:sz w:val="18"/>
                <w:szCs w:val="18"/>
                <w:lang w:eastAsia="es-MX"/>
              </w:rPr>
            </w:pPr>
            <w:r w:rsidRPr="00361351">
              <w:rPr>
                <w:rFonts w:eastAsia="Times New Roman"/>
                <w:sz w:val="18"/>
                <w:szCs w:val="18"/>
                <w:lang w:eastAsia="es-MX"/>
              </w:rPr>
              <w:t>24.1</w:t>
            </w:r>
          </w:p>
        </w:tc>
        <w:tc>
          <w:tcPr>
            <w:tcW w:w="584" w:type="dxa"/>
            <w:tcBorders>
              <w:top w:val="nil"/>
              <w:left w:val="single" w:sz="4" w:space="0" w:color="auto"/>
              <w:bottom w:val="nil"/>
              <w:right w:val="single" w:sz="4" w:space="0" w:color="auto"/>
            </w:tcBorders>
            <w:shd w:val="clear" w:color="auto" w:fill="auto"/>
            <w:vAlign w:val="center"/>
          </w:tcPr>
          <w:p w14:paraId="3B172AC5" w14:textId="77777777" w:rsidR="00361351" w:rsidRPr="00361351" w:rsidRDefault="00361351" w:rsidP="00CF72BB">
            <w:pPr>
              <w:jc w:val="center"/>
              <w:rPr>
                <w:rFonts w:eastAsia="Times New Roman"/>
                <w:sz w:val="18"/>
                <w:szCs w:val="18"/>
                <w:lang w:eastAsia="es-MX"/>
              </w:rPr>
            </w:pPr>
            <w:r w:rsidRPr="00361351">
              <w:rPr>
                <w:rFonts w:eastAsia="Times New Roman"/>
                <w:sz w:val="18"/>
                <w:szCs w:val="18"/>
                <w:lang w:eastAsia="es-MX"/>
              </w:rPr>
              <w:t>22.4</w:t>
            </w:r>
          </w:p>
        </w:tc>
        <w:tc>
          <w:tcPr>
            <w:tcW w:w="710" w:type="dxa"/>
            <w:tcBorders>
              <w:top w:val="nil"/>
              <w:left w:val="single" w:sz="4" w:space="0" w:color="auto"/>
              <w:bottom w:val="nil"/>
              <w:right w:val="single" w:sz="4" w:space="0" w:color="auto"/>
            </w:tcBorders>
            <w:shd w:val="clear" w:color="auto" w:fill="auto"/>
            <w:vAlign w:val="center"/>
          </w:tcPr>
          <w:p w14:paraId="02D08845" w14:textId="77777777" w:rsidR="00361351" w:rsidRPr="00361351" w:rsidRDefault="00361351" w:rsidP="00CF72BB">
            <w:pPr>
              <w:jc w:val="center"/>
              <w:rPr>
                <w:rFonts w:eastAsia="Times New Roman"/>
                <w:sz w:val="18"/>
                <w:szCs w:val="18"/>
                <w:lang w:eastAsia="es-MX"/>
              </w:rPr>
            </w:pPr>
            <w:r w:rsidRPr="00361351">
              <w:rPr>
                <w:rFonts w:eastAsia="Times New Roman"/>
                <w:sz w:val="18"/>
                <w:szCs w:val="18"/>
                <w:lang w:eastAsia="es-MX"/>
              </w:rPr>
              <w:t>8.58</w:t>
            </w:r>
          </w:p>
        </w:tc>
      </w:tr>
      <w:tr w:rsidR="00361351" w:rsidRPr="00361351" w14:paraId="4F49470B" w14:textId="77777777" w:rsidTr="00361351">
        <w:trPr>
          <w:trHeight w:val="315"/>
        </w:trPr>
        <w:tc>
          <w:tcPr>
            <w:tcW w:w="940" w:type="dxa"/>
            <w:tcBorders>
              <w:top w:val="nil"/>
              <w:left w:val="single" w:sz="4" w:space="0" w:color="auto"/>
              <w:bottom w:val="single" w:sz="4" w:space="0" w:color="auto"/>
              <w:right w:val="single" w:sz="4" w:space="0" w:color="auto"/>
            </w:tcBorders>
            <w:shd w:val="clear" w:color="auto" w:fill="auto"/>
            <w:noWrap/>
            <w:vAlign w:val="bottom"/>
          </w:tcPr>
          <w:p w14:paraId="021BD949" w14:textId="77777777" w:rsidR="00361351" w:rsidRPr="00361351" w:rsidRDefault="00361351" w:rsidP="00361351">
            <w:pPr>
              <w:rPr>
                <w:rFonts w:eastAsia="Times New Roman"/>
                <w:sz w:val="18"/>
                <w:szCs w:val="18"/>
                <w:lang w:eastAsia="es-MX"/>
              </w:rPr>
            </w:pPr>
            <w:r w:rsidRPr="00361351">
              <w:rPr>
                <w:rFonts w:eastAsia="Times New Roman"/>
                <w:sz w:val="18"/>
                <w:szCs w:val="18"/>
                <w:lang w:eastAsia="es-MX"/>
              </w:rPr>
              <w:t>Banco del Bajío</w:t>
            </w:r>
          </w:p>
        </w:tc>
        <w:tc>
          <w:tcPr>
            <w:tcW w:w="890" w:type="dxa"/>
            <w:tcBorders>
              <w:top w:val="nil"/>
              <w:left w:val="single" w:sz="4" w:space="0" w:color="auto"/>
              <w:bottom w:val="single" w:sz="4" w:space="0" w:color="auto"/>
              <w:right w:val="single" w:sz="4" w:space="0" w:color="auto"/>
            </w:tcBorders>
            <w:shd w:val="clear" w:color="auto" w:fill="auto"/>
            <w:noWrap/>
            <w:vAlign w:val="center"/>
          </w:tcPr>
          <w:p w14:paraId="016B68AA" w14:textId="77777777" w:rsidR="00361351" w:rsidRPr="00361351" w:rsidRDefault="00361351" w:rsidP="00361351">
            <w:pPr>
              <w:jc w:val="right"/>
              <w:rPr>
                <w:rFonts w:eastAsia="Times New Roman"/>
                <w:sz w:val="18"/>
                <w:szCs w:val="18"/>
                <w:lang w:eastAsia="es-MX"/>
              </w:rPr>
            </w:pPr>
            <w:r w:rsidRPr="00361351">
              <w:rPr>
                <w:rFonts w:eastAsia="Times New Roman"/>
                <w:sz w:val="18"/>
                <w:szCs w:val="18"/>
                <w:lang w:eastAsia="es-MX"/>
              </w:rPr>
              <w:t>6 647</w:t>
            </w:r>
          </w:p>
        </w:tc>
        <w:tc>
          <w:tcPr>
            <w:tcW w:w="995" w:type="dxa"/>
            <w:tcBorders>
              <w:top w:val="nil"/>
              <w:left w:val="single" w:sz="4" w:space="0" w:color="auto"/>
              <w:bottom w:val="single" w:sz="4" w:space="0" w:color="auto"/>
              <w:right w:val="single" w:sz="4" w:space="0" w:color="auto"/>
            </w:tcBorders>
            <w:shd w:val="clear" w:color="auto" w:fill="auto"/>
            <w:noWrap/>
            <w:vAlign w:val="center"/>
          </w:tcPr>
          <w:p w14:paraId="109AFC82" w14:textId="77777777" w:rsidR="00361351" w:rsidRPr="00361351" w:rsidRDefault="00361351" w:rsidP="00361351">
            <w:pPr>
              <w:jc w:val="right"/>
              <w:rPr>
                <w:rFonts w:eastAsia="Times New Roman"/>
                <w:sz w:val="18"/>
                <w:szCs w:val="18"/>
                <w:lang w:eastAsia="es-MX"/>
              </w:rPr>
            </w:pPr>
            <w:r w:rsidRPr="00361351">
              <w:rPr>
                <w:rFonts w:eastAsia="Times New Roman"/>
                <w:sz w:val="18"/>
                <w:szCs w:val="18"/>
                <w:lang w:eastAsia="es-MX"/>
              </w:rPr>
              <w:t>3 939</w:t>
            </w:r>
          </w:p>
        </w:tc>
        <w:tc>
          <w:tcPr>
            <w:tcW w:w="820" w:type="dxa"/>
            <w:tcBorders>
              <w:top w:val="nil"/>
              <w:left w:val="single" w:sz="4" w:space="0" w:color="auto"/>
              <w:bottom w:val="single" w:sz="4" w:space="0" w:color="auto"/>
              <w:right w:val="single" w:sz="4" w:space="0" w:color="auto"/>
            </w:tcBorders>
            <w:shd w:val="clear" w:color="auto" w:fill="auto"/>
            <w:noWrap/>
            <w:vAlign w:val="center"/>
          </w:tcPr>
          <w:p w14:paraId="24D5BAEC" w14:textId="77777777" w:rsidR="00361351" w:rsidRPr="00361351" w:rsidRDefault="00361351" w:rsidP="00361351">
            <w:pPr>
              <w:ind w:left="-113" w:right="113"/>
              <w:jc w:val="right"/>
              <w:rPr>
                <w:rFonts w:eastAsia="Times New Roman"/>
                <w:sz w:val="18"/>
                <w:szCs w:val="18"/>
                <w:lang w:eastAsia="es-MX"/>
              </w:rPr>
            </w:pPr>
            <w:r w:rsidRPr="00361351">
              <w:rPr>
                <w:rFonts w:eastAsia="Times New Roman"/>
                <w:sz w:val="18"/>
                <w:szCs w:val="18"/>
                <w:lang w:eastAsia="es-MX"/>
              </w:rPr>
              <w:t>87</w:t>
            </w:r>
          </w:p>
        </w:tc>
        <w:tc>
          <w:tcPr>
            <w:tcW w:w="811" w:type="dxa"/>
            <w:tcBorders>
              <w:top w:val="nil"/>
              <w:left w:val="single" w:sz="4" w:space="0" w:color="auto"/>
              <w:bottom w:val="single" w:sz="4" w:space="0" w:color="auto"/>
              <w:right w:val="single" w:sz="4" w:space="0" w:color="auto"/>
            </w:tcBorders>
            <w:shd w:val="clear" w:color="auto" w:fill="auto"/>
            <w:noWrap/>
            <w:vAlign w:val="center"/>
          </w:tcPr>
          <w:p w14:paraId="3670C330" w14:textId="77777777" w:rsidR="00361351" w:rsidRPr="00361351" w:rsidRDefault="00361351" w:rsidP="00361351">
            <w:pPr>
              <w:jc w:val="right"/>
              <w:rPr>
                <w:rFonts w:eastAsia="Times New Roman"/>
                <w:sz w:val="18"/>
                <w:szCs w:val="18"/>
                <w:lang w:eastAsia="es-MX"/>
              </w:rPr>
            </w:pPr>
            <w:r w:rsidRPr="00361351">
              <w:rPr>
                <w:rFonts w:eastAsia="Times New Roman"/>
                <w:sz w:val="18"/>
                <w:szCs w:val="18"/>
                <w:lang w:eastAsia="es-MX"/>
              </w:rPr>
              <w:t>64</w:t>
            </w:r>
          </w:p>
        </w:tc>
        <w:tc>
          <w:tcPr>
            <w:tcW w:w="830" w:type="dxa"/>
            <w:tcBorders>
              <w:top w:val="nil"/>
              <w:left w:val="single" w:sz="4" w:space="0" w:color="auto"/>
              <w:bottom w:val="single" w:sz="4" w:space="0" w:color="auto"/>
              <w:right w:val="single" w:sz="4" w:space="0" w:color="auto"/>
            </w:tcBorders>
            <w:shd w:val="clear" w:color="auto" w:fill="auto"/>
            <w:noWrap/>
            <w:vAlign w:val="center"/>
          </w:tcPr>
          <w:p w14:paraId="1EFCD11F" w14:textId="77777777" w:rsidR="00361351" w:rsidRPr="00361351" w:rsidRDefault="00361351" w:rsidP="00361351">
            <w:pPr>
              <w:jc w:val="right"/>
              <w:rPr>
                <w:rFonts w:eastAsia="Times New Roman"/>
                <w:sz w:val="18"/>
                <w:szCs w:val="18"/>
                <w:lang w:eastAsia="es-MX"/>
              </w:rPr>
            </w:pPr>
            <w:r w:rsidRPr="00361351">
              <w:rPr>
                <w:rFonts w:eastAsia="Times New Roman"/>
                <w:sz w:val="18"/>
                <w:szCs w:val="18"/>
                <w:lang w:eastAsia="es-MX"/>
              </w:rPr>
              <w:t>19 667</w:t>
            </w:r>
          </w:p>
        </w:tc>
        <w:tc>
          <w:tcPr>
            <w:tcW w:w="647" w:type="dxa"/>
            <w:tcBorders>
              <w:top w:val="nil"/>
              <w:left w:val="single" w:sz="4" w:space="0" w:color="auto"/>
              <w:bottom w:val="single" w:sz="4" w:space="0" w:color="auto"/>
              <w:right w:val="single" w:sz="4" w:space="0" w:color="auto"/>
            </w:tcBorders>
            <w:shd w:val="clear" w:color="auto" w:fill="auto"/>
            <w:noWrap/>
            <w:vAlign w:val="center"/>
          </w:tcPr>
          <w:p w14:paraId="63EF4D14" w14:textId="77777777" w:rsidR="00361351" w:rsidRPr="00361351" w:rsidRDefault="00361351" w:rsidP="00361351">
            <w:pPr>
              <w:jc w:val="right"/>
              <w:rPr>
                <w:rFonts w:eastAsia="Times New Roman"/>
                <w:sz w:val="18"/>
                <w:szCs w:val="18"/>
                <w:lang w:eastAsia="es-MX"/>
              </w:rPr>
            </w:pPr>
            <w:r w:rsidRPr="00361351">
              <w:rPr>
                <w:rFonts w:eastAsia="Times New Roman"/>
                <w:sz w:val="18"/>
                <w:szCs w:val="18"/>
                <w:lang w:eastAsia="es-MX"/>
              </w:rPr>
              <w:t>22 553</w:t>
            </w:r>
          </w:p>
        </w:tc>
        <w:tc>
          <w:tcPr>
            <w:tcW w:w="709" w:type="dxa"/>
            <w:tcBorders>
              <w:top w:val="nil"/>
              <w:left w:val="single" w:sz="4" w:space="0" w:color="auto"/>
              <w:bottom w:val="single" w:sz="4" w:space="0" w:color="auto"/>
              <w:right w:val="single" w:sz="4" w:space="0" w:color="auto"/>
            </w:tcBorders>
            <w:shd w:val="clear" w:color="auto" w:fill="auto"/>
            <w:vAlign w:val="center"/>
          </w:tcPr>
          <w:p w14:paraId="6E6CE8A8" w14:textId="77777777" w:rsidR="00361351" w:rsidRPr="00361351" w:rsidRDefault="00361351" w:rsidP="00361351">
            <w:pPr>
              <w:ind w:left="-170" w:right="170"/>
              <w:jc w:val="right"/>
              <w:rPr>
                <w:rFonts w:eastAsia="Times New Roman"/>
                <w:sz w:val="18"/>
                <w:szCs w:val="18"/>
                <w:lang w:eastAsia="es-MX"/>
              </w:rPr>
            </w:pPr>
            <w:r w:rsidRPr="00361351">
              <w:rPr>
                <w:rFonts w:eastAsia="Times New Roman"/>
                <w:sz w:val="18"/>
                <w:szCs w:val="18"/>
                <w:lang w:eastAsia="es-MX"/>
              </w:rPr>
              <w:t>27</w:t>
            </w:r>
          </w:p>
        </w:tc>
        <w:tc>
          <w:tcPr>
            <w:tcW w:w="737" w:type="dxa"/>
            <w:tcBorders>
              <w:top w:val="nil"/>
              <w:left w:val="single" w:sz="4" w:space="0" w:color="auto"/>
              <w:bottom w:val="single" w:sz="4" w:space="0" w:color="auto"/>
              <w:right w:val="single" w:sz="4" w:space="0" w:color="auto"/>
            </w:tcBorders>
            <w:shd w:val="clear" w:color="auto" w:fill="auto"/>
            <w:vAlign w:val="center"/>
          </w:tcPr>
          <w:p w14:paraId="6326608D" w14:textId="77777777" w:rsidR="00361351" w:rsidRPr="00361351" w:rsidRDefault="00361351" w:rsidP="00361351">
            <w:pPr>
              <w:ind w:left="-170" w:right="170"/>
              <w:jc w:val="right"/>
              <w:rPr>
                <w:rFonts w:eastAsia="Times New Roman"/>
                <w:sz w:val="18"/>
                <w:szCs w:val="18"/>
                <w:lang w:eastAsia="es-MX"/>
              </w:rPr>
            </w:pPr>
            <w:r w:rsidRPr="00361351">
              <w:rPr>
                <w:rFonts w:eastAsia="Times New Roman"/>
                <w:sz w:val="18"/>
                <w:szCs w:val="18"/>
                <w:lang w:eastAsia="es-MX"/>
              </w:rPr>
              <w:t>28</w:t>
            </w:r>
          </w:p>
        </w:tc>
        <w:tc>
          <w:tcPr>
            <w:tcW w:w="681" w:type="dxa"/>
            <w:tcBorders>
              <w:top w:val="nil"/>
              <w:left w:val="single" w:sz="4" w:space="0" w:color="auto"/>
              <w:bottom w:val="single" w:sz="4" w:space="0" w:color="auto"/>
              <w:right w:val="single" w:sz="4" w:space="0" w:color="auto"/>
            </w:tcBorders>
            <w:shd w:val="clear" w:color="auto" w:fill="auto"/>
            <w:vAlign w:val="center"/>
          </w:tcPr>
          <w:p w14:paraId="5252F43D" w14:textId="77777777" w:rsidR="00361351" w:rsidRPr="00361351" w:rsidRDefault="00361351" w:rsidP="00CF72BB">
            <w:pPr>
              <w:jc w:val="center"/>
              <w:rPr>
                <w:rFonts w:eastAsia="Times New Roman"/>
                <w:sz w:val="18"/>
                <w:szCs w:val="18"/>
                <w:lang w:eastAsia="es-MX"/>
              </w:rPr>
            </w:pPr>
            <w:r w:rsidRPr="00361351">
              <w:rPr>
                <w:rFonts w:eastAsia="Times New Roman"/>
                <w:sz w:val="18"/>
                <w:szCs w:val="18"/>
                <w:lang w:eastAsia="es-MX"/>
              </w:rPr>
              <w:t>27.8</w:t>
            </w:r>
          </w:p>
        </w:tc>
        <w:tc>
          <w:tcPr>
            <w:tcW w:w="584" w:type="dxa"/>
            <w:tcBorders>
              <w:top w:val="nil"/>
              <w:left w:val="single" w:sz="4" w:space="0" w:color="auto"/>
              <w:bottom w:val="single" w:sz="4" w:space="0" w:color="auto"/>
              <w:right w:val="single" w:sz="4" w:space="0" w:color="auto"/>
            </w:tcBorders>
            <w:shd w:val="clear" w:color="auto" w:fill="auto"/>
            <w:vAlign w:val="center"/>
          </w:tcPr>
          <w:p w14:paraId="53709B08" w14:textId="77777777" w:rsidR="00361351" w:rsidRPr="00361351" w:rsidRDefault="00361351" w:rsidP="00CF72BB">
            <w:pPr>
              <w:jc w:val="center"/>
              <w:rPr>
                <w:rFonts w:eastAsia="Times New Roman"/>
                <w:sz w:val="18"/>
                <w:szCs w:val="18"/>
                <w:lang w:eastAsia="es-MX"/>
              </w:rPr>
            </w:pPr>
            <w:r w:rsidRPr="00361351">
              <w:rPr>
                <w:rFonts w:eastAsia="Times New Roman"/>
                <w:sz w:val="18"/>
                <w:szCs w:val="18"/>
                <w:lang w:eastAsia="es-MX"/>
              </w:rPr>
              <w:t>26.5</w:t>
            </w:r>
          </w:p>
        </w:tc>
        <w:tc>
          <w:tcPr>
            <w:tcW w:w="710" w:type="dxa"/>
            <w:tcBorders>
              <w:top w:val="nil"/>
              <w:left w:val="single" w:sz="4" w:space="0" w:color="auto"/>
              <w:bottom w:val="single" w:sz="4" w:space="0" w:color="auto"/>
              <w:right w:val="single" w:sz="4" w:space="0" w:color="auto"/>
            </w:tcBorders>
            <w:shd w:val="clear" w:color="auto" w:fill="auto"/>
            <w:vAlign w:val="center"/>
          </w:tcPr>
          <w:p w14:paraId="21F857B4" w14:textId="77777777" w:rsidR="00361351" w:rsidRPr="00361351" w:rsidRDefault="00361351" w:rsidP="00CF72BB">
            <w:pPr>
              <w:jc w:val="center"/>
              <w:rPr>
                <w:rFonts w:eastAsia="Times New Roman"/>
                <w:sz w:val="18"/>
                <w:szCs w:val="18"/>
                <w:lang w:eastAsia="es-MX"/>
              </w:rPr>
            </w:pPr>
            <w:r w:rsidRPr="00361351">
              <w:rPr>
                <w:rFonts w:eastAsia="Times New Roman"/>
                <w:sz w:val="18"/>
                <w:szCs w:val="18"/>
                <w:lang w:eastAsia="es-MX"/>
              </w:rPr>
              <w:t>9.17</w:t>
            </w:r>
          </w:p>
        </w:tc>
      </w:tr>
      <w:tr w:rsidR="00361351" w:rsidRPr="00361351" w14:paraId="68085361" w14:textId="77777777" w:rsidTr="00361351">
        <w:trPr>
          <w:trHeight w:val="315"/>
        </w:trPr>
        <w:tc>
          <w:tcPr>
            <w:tcW w:w="9354" w:type="dxa"/>
            <w:gridSpan w:val="12"/>
            <w:tcBorders>
              <w:top w:val="single" w:sz="4" w:space="0" w:color="auto"/>
              <w:left w:val="nil"/>
              <w:bottom w:val="nil"/>
              <w:right w:val="nil"/>
            </w:tcBorders>
            <w:shd w:val="clear" w:color="auto" w:fill="auto"/>
            <w:noWrap/>
          </w:tcPr>
          <w:p w14:paraId="493742BE" w14:textId="77777777" w:rsidR="00361351" w:rsidRPr="00361351" w:rsidRDefault="00361351" w:rsidP="00361351">
            <w:pPr>
              <w:spacing w:before="120"/>
              <w:rPr>
                <w:rFonts w:eastAsia="Times New Roman"/>
                <w:sz w:val="18"/>
                <w:szCs w:val="18"/>
                <w:lang w:eastAsia="es-MX"/>
              </w:rPr>
            </w:pPr>
            <w:r w:rsidRPr="00361351">
              <w:rPr>
                <w:rFonts w:eastAsia="Times New Roman"/>
                <w:bCs/>
                <w:sz w:val="18"/>
                <w:szCs w:val="18"/>
                <w:lang w:eastAsia="es-MX"/>
              </w:rPr>
              <w:t>FUENTE: CONDUSEF, con datos de BANXICO.</w:t>
            </w:r>
          </w:p>
        </w:tc>
      </w:tr>
    </w:tbl>
    <w:p w14:paraId="2273A0B5" w14:textId="77777777" w:rsidR="00361351" w:rsidRPr="00361351" w:rsidRDefault="00361351" w:rsidP="00361351">
      <w:pPr>
        <w:spacing w:before="360" w:after="360" w:line="360" w:lineRule="auto"/>
        <w:ind w:right="-159"/>
        <w:jc w:val="both"/>
        <w:rPr>
          <w:rFonts w:eastAsia="Calibri"/>
          <w:sz w:val="26"/>
          <w:szCs w:val="26"/>
          <w:lang w:eastAsia="en-US"/>
        </w:rPr>
      </w:pPr>
      <w:r w:rsidRPr="00361351">
        <w:rPr>
          <w:rFonts w:eastAsia="Calibri"/>
          <w:sz w:val="26"/>
          <w:szCs w:val="26"/>
          <w:lang w:eastAsia="en-US"/>
        </w:rPr>
        <w:t>La CONDUSEF ofrece las siguientes recomendaciones al momento de contratar un “crédito de nómina” y enfatiza que a partir de la Reforma Financiera, los trámites para cambiar tu cuenta de nómina a otras instituciones, ahora son más fáciles:</w:t>
      </w:r>
    </w:p>
    <w:p w14:paraId="48E90BE1" w14:textId="77777777" w:rsidR="00361351" w:rsidRPr="00361351" w:rsidRDefault="00361351" w:rsidP="00276F3E">
      <w:pPr>
        <w:numPr>
          <w:ilvl w:val="0"/>
          <w:numId w:val="94"/>
        </w:numPr>
        <w:spacing w:after="360" w:line="360" w:lineRule="auto"/>
        <w:ind w:left="714" w:right="-159" w:hanging="357"/>
        <w:jc w:val="both"/>
        <w:rPr>
          <w:rFonts w:eastAsia="Calibri"/>
          <w:sz w:val="26"/>
          <w:szCs w:val="26"/>
          <w:lang w:eastAsia="en-US"/>
        </w:rPr>
      </w:pPr>
      <w:r w:rsidRPr="00361351">
        <w:rPr>
          <w:rFonts w:eastAsia="Calibri"/>
          <w:sz w:val="26"/>
          <w:szCs w:val="26"/>
          <w:lang w:eastAsia="en-US"/>
        </w:rPr>
        <w:t>Antes de “ACEPTAR” un crédito de nómina, consulta los términos y condiciones, incluyendo costos y comisiones del mismo.</w:t>
      </w:r>
    </w:p>
    <w:p w14:paraId="2F79A58F" w14:textId="77777777" w:rsidR="00361351" w:rsidRPr="00361351" w:rsidRDefault="00361351" w:rsidP="00276F3E">
      <w:pPr>
        <w:numPr>
          <w:ilvl w:val="0"/>
          <w:numId w:val="94"/>
        </w:numPr>
        <w:spacing w:after="360" w:line="360" w:lineRule="auto"/>
        <w:ind w:left="714" w:right="-159" w:hanging="357"/>
        <w:jc w:val="both"/>
        <w:rPr>
          <w:rFonts w:eastAsia="Calibri"/>
          <w:sz w:val="26"/>
          <w:szCs w:val="26"/>
          <w:lang w:eastAsia="en-US"/>
        </w:rPr>
      </w:pPr>
      <w:r w:rsidRPr="00361351">
        <w:rPr>
          <w:rFonts w:eastAsia="Calibri"/>
          <w:sz w:val="26"/>
          <w:szCs w:val="26"/>
          <w:lang w:eastAsia="en-US"/>
        </w:rPr>
        <w:t>Verifica tu capacidad de pago antes de contratar.</w:t>
      </w:r>
    </w:p>
    <w:p w14:paraId="68D12B39" w14:textId="77777777" w:rsidR="00361351" w:rsidRPr="00361351" w:rsidRDefault="00361351" w:rsidP="00276F3E">
      <w:pPr>
        <w:numPr>
          <w:ilvl w:val="0"/>
          <w:numId w:val="94"/>
        </w:numPr>
        <w:spacing w:after="360" w:line="360" w:lineRule="auto"/>
        <w:ind w:left="714" w:right="-159" w:hanging="357"/>
        <w:jc w:val="both"/>
        <w:rPr>
          <w:rFonts w:eastAsia="Calibri"/>
          <w:sz w:val="26"/>
          <w:szCs w:val="26"/>
          <w:lang w:eastAsia="en-US"/>
        </w:rPr>
      </w:pPr>
      <w:r w:rsidRPr="00361351">
        <w:rPr>
          <w:rFonts w:eastAsia="Calibri"/>
          <w:sz w:val="26"/>
          <w:szCs w:val="26"/>
          <w:lang w:eastAsia="en-US"/>
        </w:rPr>
        <w:t>Siempre compara el costo anual total (CAT), te puedes ahorrar mucho dinero.</w:t>
      </w:r>
    </w:p>
    <w:p w14:paraId="3B742677" w14:textId="77777777" w:rsidR="00361351" w:rsidRPr="00361351" w:rsidRDefault="00361351" w:rsidP="00276F3E">
      <w:pPr>
        <w:numPr>
          <w:ilvl w:val="0"/>
          <w:numId w:val="94"/>
        </w:numPr>
        <w:spacing w:after="360" w:line="360" w:lineRule="auto"/>
        <w:ind w:left="714" w:right="-159" w:hanging="357"/>
        <w:jc w:val="both"/>
        <w:rPr>
          <w:rFonts w:eastAsia="Calibri"/>
          <w:sz w:val="26"/>
          <w:szCs w:val="26"/>
          <w:lang w:eastAsia="en-US"/>
        </w:rPr>
      </w:pPr>
      <w:r w:rsidRPr="00361351">
        <w:rPr>
          <w:rFonts w:eastAsia="Calibri"/>
          <w:sz w:val="26"/>
          <w:szCs w:val="26"/>
          <w:lang w:eastAsia="en-US"/>
        </w:rPr>
        <w:t>Al “ACEPTAR” la oferta del crédito de nómina, toma en cuenta que el dinero se depositará en tu cuenta a la brevedad, pero los intereses pueden ser muy altos.</w:t>
      </w:r>
    </w:p>
    <w:p w14:paraId="71F46743" w14:textId="77777777" w:rsidR="00361351" w:rsidRPr="002B6043" w:rsidRDefault="00361351" w:rsidP="00276F3E">
      <w:pPr>
        <w:numPr>
          <w:ilvl w:val="0"/>
          <w:numId w:val="94"/>
        </w:numPr>
        <w:spacing w:after="360" w:line="360" w:lineRule="auto"/>
        <w:ind w:left="714" w:right="-159" w:hanging="357"/>
        <w:jc w:val="both"/>
        <w:rPr>
          <w:rFonts w:eastAsia="Calibri"/>
          <w:color w:val="0000FF"/>
          <w:sz w:val="26"/>
          <w:szCs w:val="26"/>
          <w:lang w:eastAsia="en-US"/>
        </w:rPr>
      </w:pPr>
      <w:r w:rsidRPr="00361351">
        <w:rPr>
          <w:rFonts w:eastAsia="Calibri"/>
          <w:sz w:val="26"/>
          <w:szCs w:val="26"/>
          <w:lang w:eastAsia="en-US"/>
        </w:rPr>
        <w:t xml:space="preserve">Lee antes de firmar y verifica que no haya cláusulas abusivas o ilegales. Las puedes consultar en </w:t>
      </w:r>
      <w:hyperlink r:id="rId344" w:history="1">
        <w:r w:rsidRPr="002B6043">
          <w:rPr>
            <w:rFonts w:eastAsia="Calibri"/>
            <w:color w:val="0000FF"/>
            <w:sz w:val="26"/>
            <w:szCs w:val="26"/>
            <w:u w:val="single"/>
            <w:lang w:eastAsia="en-US"/>
          </w:rPr>
          <w:t>www.condusef.gob.mx</w:t>
        </w:r>
      </w:hyperlink>
      <w:r w:rsidRPr="002B6043">
        <w:rPr>
          <w:rFonts w:eastAsia="Calibri"/>
          <w:color w:val="0000FF"/>
          <w:sz w:val="26"/>
          <w:szCs w:val="26"/>
          <w:lang w:eastAsia="en-US"/>
        </w:rPr>
        <w:t>.</w:t>
      </w:r>
    </w:p>
    <w:p w14:paraId="482A72D8" w14:textId="77777777" w:rsidR="00361351" w:rsidRPr="00361351" w:rsidRDefault="00361351" w:rsidP="00276F3E">
      <w:pPr>
        <w:numPr>
          <w:ilvl w:val="0"/>
          <w:numId w:val="94"/>
        </w:numPr>
        <w:spacing w:after="360" w:line="360" w:lineRule="auto"/>
        <w:ind w:left="714" w:right="-159" w:hanging="357"/>
        <w:jc w:val="both"/>
        <w:rPr>
          <w:rFonts w:eastAsia="Calibri"/>
          <w:sz w:val="26"/>
          <w:szCs w:val="26"/>
          <w:lang w:eastAsia="en-US"/>
        </w:rPr>
      </w:pPr>
      <w:r w:rsidRPr="00361351">
        <w:rPr>
          <w:rFonts w:eastAsia="Calibri"/>
          <w:sz w:val="26"/>
          <w:szCs w:val="26"/>
          <w:lang w:eastAsia="en-US"/>
        </w:rPr>
        <w:lastRenderedPageBreak/>
        <w:t>En caso de encontrarlas, presenta tu reclamación o queja ante esta Comisión Nacional, ya que ahora CONDUSEF puede ordenar retirarlas de los contratos.</w:t>
      </w:r>
    </w:p>
    <w:p w14:paraId="1F84ABE7" w14:textId="77777777" w:rsidR="00361351" w:rsidRPr="00361351" w:rsidRDefault="00361351" w:rsidP="00361351">
      <w:pPr>
        <w:ind w:right="-159"/>
        <w:jc w:val="both"/>
        <w:rPr>
          <w:rFonts w:eastAsia="Calibri"/>
          <w:sz w:val="20"/>
          <w:szCs w:val="20"/>
          <w:lang w:eastAsia="en-US"/>
        </w:rPr>
      </w:pPr>
      <w:r w:rsidRPr="00361351">
        <w:rPr>
          <w:rFonts w:eastAsia="Calibri"/>
          <w:b/>
          <w:sz w:val="20"/>
          <w:szCs w:val="20"/>
          <w:lang w:eastAsia="en-US"/>
        </w:rPr>
        <w:t>Fuente de información</w:t>
      </w:r>
      <w:r w:rsidRPr="00361351">
        <w:rPr>
          <w:rFonts w:eastAsia="Calibri"/>
          <w:sz w:val="20"/>
          <w:szCs w:val="20"/>
          <w:lang w:eastAsia="en-US"/>
        </w:rPr>
        <w:t>:</w:t>
      </w:r>
    </w:p>
    <w:p w14:paraId="3FC371D1" w14:textId="77777777" w:rsidR="00361351" w:rsidRPr="002B6043" w:rsidRDefault="0093224F" w:rsidP="002B6043">
      <w:pPr>
        <w:spacing w:after="720"/>
        <w:ind w:right="-159"/>
        <w:jc w:val="both"/>
        <w:rPr>
          <w:rFonts w:eastAsia="Calibri"/>
          <w:color w:val="0000FF"/>
          <w:sz w:val="20"/>
          <w:szCs w:val="20"/>
          <w:lang w:eastAsia="en-US"/>
        </w:rPr>
      </w:pPr>
      <w:hyperlink r:id="rId345" w:history="1">
        <w:r w:rsidR="00361351" w:rsidRPr="002B6043">
          <w:rPr>
            <w:rFonts w:eastAsia="Calibri"/>
            <w:color w:val="0000FF"/>
            <w:sz w:val="20"/>
            <w:szCs w:val="20"/>
            <w:u w:val="single"/>
            <w:lang w:eastAsia="en-US"/>
          </w:rPr>
          <w:t>http://www.condusef.gob.mx/index.php/prensa/comunicados-2015/1163-disminuye-tasa-y-aumenta-el-plazo-de-los-creditos-de-nomina-de-la-banca-multiple</w:t>
        </w:r>
      </w:hyperlink>
    </w:p>
    <w:p w14:paraId="0D4AEFAA" w14:textId="77777777" w:rsidR="00FD3FC3" w:rsidRPr="00FD3FC3" w:rsidRDefault="00FD3FC3" w:rsidP="00FD3FC3">
      <w:pPr>
        <w:rPr>
          <w:rFonts w:eastAsia="Calibri"/>
          <w:b/>
          <w:sz w:val="26"/>
          <w:szCs w:val="26"/>
          <w:lang w:eastAsia="en-US"/>
        </w:rPr>
      </w:pPr>
      <w:r w:rsidRPr="00FD3FC3">
        <w:rPr>
          <w:rFonts w:eastAsia="Calibri"/>
          <w:b/>
          <w:sz w:val="26"/>
          <w:szCs w:val="26"/>
          <w:lang w:eastAsia="en-US"/>
        </w:rPr>
        <w:t>Detectan 115 despachos que sin estar registrados</w:t>
      </w:r>
    </w:p>
    <w:p w14:paraId="0ED90183" w14:textId="77777777" w:rsidR="00FD3FC3" w:rsidRPr="00FD3FC3" w:rsidRDefault="00FD3FC3" w:rsidP="00FD3FC3">
      <w:pPr>
        <w:rPr>
          <w:rFonts w:eastAsia="Calibri"/>
          <w:b/>
          <w:sz w:val="26"/>
          <w:szCs w:val="26"/>
          <w:lang w:eastAsia="en-US"/>
        </w:rPr>
      </w:pPr>
      <w:r w:rsidRPr="00FD3FC3">
        <w:rPr>
          <w:rFonts w:eastAsia="Calibri"/>
          <w:b/>
          <w:sz w:val="26"/>
          <w:szCs w:val="26"/>
          <w:lang w:eastAsia="en-US"/>
        </w:rPr>
        <w:t>ejercen   acciones   de  cobranza   a   nombre   de</w:t>
      </w:r>
    </w:p>
    <w:p w14:paraId="361BB8C6" w14:textId="77777777" w:rsidR="00FD3FC3" w:rsidRPr="00FD3FC3" w:rsidRDefault="00FD3FC3" w:rsidP="00FD3FC3">
      <w:pPr>
        <w:spacing w:after="360" w:line="360" w:lineRule="auto"/>
        <w:ind w:right="-159"/>
        <w:jc w:val="both"/>
        <w:rPr>
          <w:rFonts w:eastAsia="Calibri"/>
          <w:b/>
          <w:sz w:val="26"/>
          <w:szCs w:val="26"/>
          <w:lang w:eastAsia="en-US"/>
        </w:rPr>
      </w:pPr>
      <w:r w:rsidRPr="00FD3FC3">
        <w:rPr>
          <w:rFonts w:eastAsia="Calibri"/>
          <w:b/>
          <w:sz w:val="26"/>
          <w:szCs w:val="26"/>
          <w:lang w:eastAsia="en-US"/>
        </w:rPr>
        <w:t>instituciones financieras (CONDUSEF)</w:t>
      </w:r>
    </w:p>
    <w:p w14:paraId="608C4C45" w14:textId="77777777" w:rsidR="00FD3FC3" w:rsidRPr="00FD3FC3" w:rsidRDefault="00FD3FC3" w:rsidP="00FD3FC3">
      <w:pPr>
        <w:spacing w:after="360" w:line="360" w:lineRule="auto"/>
        <w:ind w:right="-159"/>
        <w:jc w:val="both"/>
        <w:rPr>
          <w:rFonts w:eastAsia="Calibri"/>
          <w:sz w:val="26"/>
          <w:szCs w:val="26"/>
          <w:lang w:eastAsia="en-US"/>
        </w:rPr>
      </w:pPr>
      <w:r w:rsidRPr="00FD3FC3">
        <w:rPr>
          <w:rFonts w:eastAsia="Calibri"/>
          <w:sz w:val="26"/>
          <w:szCs w:val="26"/>
          <w:lang w:eastAsia="en-US"/>
        </w:rPr>
        <w:t>El 25 de febrero de 2015, la Comisión Nacional para la Protección y Defensa de los Usuarios de Servicios Financieros (CONDUSEF) comunicó que como resultado de la Reforma Financiera se cumplió el término para acatar las nuevas disposiciones que regulan las actividades que realizan los despachos de cobranza. A continuación se presenta la información.</w:t>
      </w:r>
    </w:p>
    <w:p w14:paraId="0156EE67" w14:textId="77777777" w:rsidR="00FD3FC3" w:rsidRPr="00FD3FC3" w:rsidRDefault="00FD3FC3" w:rsidP="00FD3FC3">
      <w:pPr>
        <w:spacing w:after="360" w:line="360" w:lineRule="auto"/>
        <w:ind w:right="-159"/>
        <w:jc w:val="both"/>
        <w:rPr>
          <w:rFonts w:eastAsia="Calibri"/>
          <w:sz w:val="26"/>
          <w:szCs w:val="26"/>
          <w:lang w:eastAsia="en-US"/>
        </w:rPr>
      </w:pPr>
      <w:r w:rsidRPr="00FD3FC3">
        <w:rPr>
          <w:rFonts w:eastAsia="Calibri"/>
          <w:sz w:val="26"/>
          <w:szCs w:val="26"/>
          <w:lang w:eastAsia="en-US"/>
        </w:rPr>
        <w:t>Como resultado de la Reforma Financiera, el pasado 6 de enero, se cumplió el término para acatar las nuevas disposiciones que regulan las actividades que realizan los despachos de cobranza y que son contratados por las entidades financieras para la gestión de su cartera.</w:t>
      </w:r>
    </w:p>
    <w:p w14:paraId="7F049824" w14:textId="77777777" w:rsidR="00FD3FC3" w:rsidRPr="00FD3FC3" w:rsidRDefault="00FD3FC3" w:rsidP="00FD3FC3">
      <w:pPr>
        <w:spacing w:after="360" w:line="360" w:lineRule="auto"/>
        <w:ind w:right="-159"/>
        <w:jc w:val="both"/>
        <w:rPr>
          <w:rFonts w:eastAsia="Calibri"/>
          <w:sz w:val="26"/>
          <w:szCs w:val="26"/>
          <w:lang w:eastAsia="en-US"/>
        </w:rPr>
      </w:pPr>
      <w:r w:rsidRPr="00FD3FC3">
        <w:rPr>
          <w:rFonts w:eastAsia="Calibri"/>
          <w:sz w:val="26"/>
          <w:szCs w:val="26"/>
          <w:lang w:eastAsia="en-US"/>
        </w:rPr>
        <w:t>Dentro de estas disposiciones, además de incluir reglas claras sobre sobre la conducta que deben guardar los despachos al momento de llevar a cabo sus gestiones de cobro, se estableció la creación del Registro de Despachos de Cobranza (REDECO).</w:t>
      </w:r>
    </w:p>
    <w:p w14:paraId="6E4D9C28" w14:textId="77777777" w:rsidR="00FD3FC3" w:rsidRPr="00FD3FC3" w:rsidRDefault="00FD3FC3" w:rsidP="00FD3FC3">
      <w:pPr>
        <w:spacing w:after="360" w:line="360" w:lineRule="auto"/>
        <w:ind w:right="-159"/>
        <w:jc w:val="both"/>
        <w:rPr>
          <w:rFonts w:eastAsia="Calibri"/>
          <w:sz w:val="26"/>
          <w:szCs w:val="26"/>
          <w:lang w:eastAsia="en-US"/>
        </w:rPr>
      </w:pPr>
      <w:r w:rsidRPr="00FD3FC3">
        <w:rPr>
          <w:rFonts w:eastAsia="Calibri"/>
          <w:sz w:val="26"/>
          <w:szCs w:val="26"/>
          <w:lang w:eastAsia="en-US"/>
        </w:rPr>
        <w:t>Esta plataforma permite que los usuarios conozcan información básica de los despachos de cobranza, así como las instituciones para las que prestan sus servicios, lo que facilita a los usuarios identificar, “de quién y ante qué institución” dirigir una queja, cuando se registre un incumplimiento de las normas emitidas por la CONDUSEF.</w:t>
      </w:r>
    </w:p>
    <w:p w14:paraId="326C924F" w14:textId="77777777" w:rsidR="00FD3FC3" w:rsidRPr="00FD3FC3" w:rsidRDefault="00FD3FC3" w:rsidP="00FD3FC3">
      <w:pPr>
        <w:spacing w:after="360" w:line="360" w:lineRule="auto"/>
        <w:ind w:right="-159"/>
        <w:jc w:val="both"/>
        <w:rPr>
          <w:rFonts w:eastAsia="Calibri"/>
          <w:sz w:val="26"/>
          <w:szCs w:val="26"/>
          <w:lang w:eastAsia="en-US"/>
        </w:rPr>
      </w:pPr>
      <w:r w:rsidRPr="00FD3FC3">
        <w:rPr>
          <w:rFonts w:eastAsia="Calibri"/>
          <w:sz w:val="26"/>
          <w:szCs w:val="26"/>
          <w:lang w:eastAsia="en-US"/>
        </w:rPr>
        <w:lastRenderedPageBreak/>
        <w:t>Para ello, desde el 7 de octubre de 2014, fecha en que fueron publicadas las disposiciones sobre esta materia, todas las entidades financieras debieron de haber registrado a sus correspondientes despachos, independientemente si estos despachos dan servicio a más de una institución.</w:t>
      </w:r>
    </w:p>
    <w:p w14:paraId="0A35AA35" w14:textId="77777777" w:rsidR="00FD3FC3" w:rsidRPr="00FD3FC3" w:rsidRDefault="00FD3FC3" w:rsidP="00FD3FC3">
      <w:pPr>
        <w:spacing w:after="360" w:line="360" w:lineRule="auto"/>
        <w:ind w:right="-159"/>
        <w:jc w:val="both"/>
        <w:rPr>
          <w:rFonts w:eastAsia="Calibri"/>
          <w:sz w:val="26"/>
          <w:szCs w:val="26"/>
          <w:lang w:eastAsia="en-US"/>
        </w:rPr>
      </w:pPr>
      <w:r w:rsidRPr="00FD3FC3">
        <w:rPr>
          <w:rFonts w:eastAsia="Calibri"/>
          <w:sz w:val="26"/>
          <w:szCs w:val="26"/>
          <w:lang w:eastAsia="en-US"/>
        </w:rPr>
        <w:t xml:space="preserve">Cabe señalar que en las disposiciones emitidas se estableció un plazo de 90 días para cumplir con esta obligación, plazo que terminó el pasado 5 de enero, de lo contrario la ley faculta a la CONDUSEF para imponer sanciones que van desde los 200 a 2 mil días de </w:t>
      </w:r>
      <w:r w:rsidRPr="00FD3FC3">
        <w:rPr>
          <w:rFonts w:eastAsia="Calibri"/>
          <w:b/>
          <w:sz w:val="26"/>
          <w:szCs w:val="26"/>
          <w:lang w:eastAsia="en-US"/>
        </w:rPr>
        <w:t>salario mínimo</w:t>
      </w:r>
      <w:r w:rsidRPr="00FD3FC3">
        <w:rPr>
          <w:rFonts w:eastAsia="Calibri"/>
          <w:sz w:val="26"/>
          <w:szCs w:val="26"/>
          <w:lang w:eastAsia="en-US"/>
        </w:rPr>
        <w:t xml:space="preserve"> a las instituciones financieras que no hubiesen cumplido en tiempo y forma con esta obligación, o que no demuestren que dicha cartera fue vendida al despacho que ahora realiza la gestión de cobranza y con el cual ya no mantiene relación alguna.</w:t>
      </w:r>
    </w:p>
    <w:p w14:paraId="47CF6DFF" w14:textId="3B520569" w:rsidR="00FD3FC3" w:rsidRPr="00FD3FC3" w:rsidRDefault="00FD3FC3" w:rsidP="00FD3FC3">
      <w:pPr>
        <w:spacing w:after="360" w:line="360" w:lineRule="auto"/>
        <w:ind w:right="-159"/>
        <w:jc w:val="both"/>
        <w:rPr>
          <w:rFonts w:eastAsia="Calibri"/>
          <w:sz w:val="26"/>
          <w:szCs w:val="26"/>
          <w:lang w:eastAsia="en-US"/>
        </w:rPr>
      </w:pPr>
      <w:r w:rsidRPr="00FD3FC3">
        <w:rPr>
          <w:rFonts w:eastAsia="Calibri"/>
          <w:sz w:val="26"/>
          <w:szCs w:val="26"/>
          <w:lang w:eastAsia="en-US"/>
        </w:rPr>
        <w:t>De esta manera y de acuerdo con datos del REDECO de la CONDUSEF, se observa que el número de quejas correspondientes al Sector de banca múltiple y SOFOM E.R, al 24 de febrero del presente año, ascendió a 3 mil 430</w:t>
      </w:r>
      <w:r w:rsidR="008D29D8">
        <w:rPr>
          <w:rFonts w:eastAsia="Calibri"/>
          <w:sz w:val="26"/>
          <w:szCs w:val="26"/>
          <w:lang w:eastAsia="en-US"/>
        </w:rPr>
        <w:t>,</w:t>
      </w:r>
      <w:r w:rsidRPr="00FD3FC3">
        <w:rPr>
          <w:rFonts w:eastAsia="Calibri"/>
          <w:sz w:val="26"/>
          <w:szCs w:val="26"/>
          <w:lang w:eastAsia="en-US"/>
        </w:rPr>
        <w:t xml:space="preserve"> de las cuales, el 72% correspondió directamente a la banca múltiple y el 28% restante a las SOFOM E.R.</w:t>
      </w:r>
    </w:p>
    <w:p w14:paraId="7BBBB90F" w14:textId="77777777" w:rsidR="00FD3FC3" w:rsidRPr="00FD3FC3" w:rsidRDefault="00FD3FC3" w:rsidP="00FD3FC3">
      <w:pPr>
        <w:spacing w:after="360" w:line="360" w:lineRule="auto"/>
        <w:ind w:right="-159"/>
        <w:jc w:val="both"/>
        <w:rPr>
          <w:rFonts w:eastAsia="Calibri"/>
          <w:sz w:val="26"/>
          <w:szCs w:val="26"/>
          <w:lang w:eastAsia="en-US"/>
        </w:rPr>
      </w:pPr>
      <w:r w:rsidRPr="00FD3FC3">
        <w:rPr>
          <w:rFonts w:eastAsia="Calibri"/>
          <w:sz w:val="26"/>
          <w:szCs w:val="26"/>
          <w:lang w:eastAsia="en-US"/>
        </w:rPr>
        <w:t>Cabe señalar que dentro del sector de banca múltiple, nueve instituciones participaron con el 83% de las quejas y dentro del sector de las SOFOM E.R, diez entidades contribuyeron con el 87.4% del total.</w:t>
      </w:r>
    </w:p>
    <w:p w14:paraId="6BB76417" w14:textId="77777777" w:rsidR="00FD3FC3" w:rsidRPr="00FD3FC3" w:rsidRDefault="00FD3FC3" w:rsidP="00FD3FC3">
      <w:pPr>
        <w:spacing w:after="360" w:line="360" w:lineRule="auto"/>
        <w:ind w:right="-159"/>
        <w:jc w:val="both"/>
        <w:rPr>
          <w:rFonts w:eastAsia="Calibri"/>
          <w:sz w:val="26"/>
          <w:szCs w:val="26"/>
          <w:lang w:eastAsia="en-US"/>
        </w:rPr>
      </w:pPr>
      <w:r w:rsidRPr="00FD3FC3">
        <w:rPr>
          <w:rFonts w:eastAsia="Calibri"/>
          <w:sz w:val="26"/>
          <w:szCs w:val="26"/>
          <w:lang w:eastAsia="en-US"/>
        </w:rPr>
        <w:t>En cuanto a los despachos registrados, se observa que de los nueve bancos que concentraron el mayor número de quejas en el REDECO, Banamex fue la institución que más despachos registró con 67, seguido de Banorte 43, Inbursa 9, Santander 8, Scotiabank y Bancomer 7, y HSBC con 5. En el caso de Azteca y Coppel, si bien no registraron despachos de cobranza, sí registraron quejas por parte de los usuarios.</w:t>
      </w:r>
    </w:p>
    <w:p w14:paraId="7587B911" w14:textId="77777777" w:rsidR="00FD3FC3" w:rsidRPr="00FD3FC3" w:rsidRDefault="00FD3FC3" w:rsidP="00FD3FC3">
      <w:pPr>
        <w:spacing w:after="360" w:line="360" w:lineRule="auto"/>
        <w:ind w:right="-159"/>
        <w:jc w:val="both"/>
        <w:rPr>
          <w:rFonts w:eastAsia="Calibri"/>
          <w:sz w:val="26"/>
          <w:szCs w:val="26"/>
          <w:lang w:eastAsia="en-US"/>
        </w:rPr>
      </w:pPr>
      <w:r w:rsidRPr="00FD3FC3">
        <w:rPr>
          <w:rFonts w:eastAsia="Calibri"/>
          <w:sz w:val="26"/>
          <w:szCs w:val="26"/>
          <w:lang w:eastAsia="en-US"/>
        </w:rPr>
        <w:lastRenderedPageBreak/>
        <w:t>Por lo que respecta a las SOFOM E.R, fue Tarjetas Banamex la que más despachos de cobranza registró con 79, seguido por Sólida Administradora de Portafolios de Banorte 41, Banorte Ixe–Tarjetas 28.</w:t>
      </w:r>
    </w:p>
    <w:p w14:paraId="72D3C4F9" w14:textId="77777777" w:rsidR="00FD3FC3" w:rsidRPr="00FD3FC3" w:rsidRDefault="00FD3FC3" w:rsidP="00FD3FC3">
      <w:pPr>
        <w:spacing w:after="360" w:line="360" w:lineRule="auto"/>
        <w:ind w:right="-159"/>
        <w:jc w:val="both"/>
        <w:rPr>
          <w:rFonts w:eastAsia="Calibri"/>
          <w:sz w:val="26"/>
          <w:szCs w:val="26"/>
          <w:lang w:eastAsia="en-US"/>
        </w:rPr>
      </w:pPr>
      <w:r w:rsidRPr="00FD3FC3">
        <w:rPr>
          <w:rFonts w:eastAsia="Calibri"/>
          <w:sz w:val="26"/>
          <w:szCs w:val="26"/>
          <w:lang w:eastAsia="en-US"/>
        </w:rPr>
        <w:t>Es importante mencionar que de las quejas de los usuarios se observa que existen despachos de cobranza que llevan a cabo sus gestiones en nombre de instituciones bancarias aún y cuando no fueron registradas por éstas y, por lo tanto, sus datos de identificación y contacto NO aparecen en el REDECO, lo que hace difícil su identificación a los usuarios y por ende su gestión.</w:t>
      </w:r>
    </w:p>
    <w:p w14:paraId="413871C7" w14:textId="77777777" w:rsidR="00FD3FC3" w:rsidRDefault="00FD3FC3" w:rsidP="00FD3FC3">
      <w:pPr>
        <w:spacing w:after="360" w:line="360" w:lineRule="auto"/>
        <w:ind w:right="-159"/>
        <w:jc w:val="both"/>
        <w:rPr>
          <w:rFonts w:eastAsia="Calibri"/>
          <w:sz w:val="26"/>
          <w:szCs w:val="26"/>
          <w:lang w:eastAsia="en-US"/>
        </w:rPr>
      </w:pPr>
      <w:r w:rsidRPr="00FD3FC3">
        <w:rPr>
          <w:rFonts w:eastAsia="Calibri"/>
          <w:sz w:val="26"/>
          <w:szCs w:val="26"/>
          <w:lang w:eastAsia="en-US"/>
        </w:rPr>
        <w:t>Entre los despachos que se han identificado fuera de registro se tienen por ejemplo: Bufete Santillán, Rocha, Bermúdez S.C., Administrador Grupo SAC S.A de C.V., Corporativo Legal, ACP Abogados que gestionan cartera para BBVA Bancomer; Mda Monetización de Activos Uno, S.A. DE C.V., Profesionales en Recuperación, Amortizaciones, que llevan a cabo cobranza para HSBC; Abogados ACP.SC., Despacho Especialista en Recuperación Urgente, Ortiz, Troyo, García y Asociados que realizan gestiones de cobro para SCOTIABANK, entre otros.</w:t>
      </w:r>
    </w:p>
    <w:p w14:paraId="1D5CED22" w14:textId="77777777" w:rsidR="00AA71BA" w:rsidRDefault="00AA71BA" w:rsidP="00FD3FC3">
      <w:pPr>
        <w:spacing w:after="360" w:line="360" w:lineRule="auto"/>
        <w:ind w:right="-159"/>
        <w:jc w:val="both"/>
        <w:rPr>
          <w:rFonts w:eastAsia="Calibri"/>
          <w:sz w:val="26"/>
          <w:szCs w:val="26"/>
          <w:lang w:eastAsia="en-US"/>
        </w:rPr>
      </w:pPr>
    </w:p>
    <w:p w14:paraId="1101EB93" w14:textId="77777777" w:rsidR="00AA71BA" w:rsidRDefault="00AA71BA" w:rsidP="00FD3FC3">
      <w:pPr>
        <w:spacing w:after="360" w:line="360" w:lineRule="auto"/>
        <w:ind w:right="-159"/>
        <w:jc w:val="both"/>
        <w:rPr>
          <w:rFonts w:eastAsia="Calibri"/>
          <w:sz w:val="26"/>
          <w:szCs w:val="26"/>
          <w:lang w:eastAsia="en-US"/>
        </w:rPr>
      </w:pPr>
    </w:p>
    <w:p w14:paraId="11B71F0D" w14:textId="77777777" w:rsidR="00AA71BA" w:rsidRDefault="00AA71BA" w:rsidP="00FD3FC3">
      <w:pPr>
        <w:spacing w:after="360" w:line="360" w:lineRule="auto"/>
        <w:ind w:right="-159"/>
        <w:jc w:val="both"/>
        <w:rPr>
          <w:rFonts w:eastAsia="Calibri"/>
          <w:sz w:val="26"/>
          <w:szCs w:val="26"/>
          <w:lang w:eastAsia="en-US"/>
        </w:rPr>
      </w:pPr>
    </w:p>
    <w:p w14:paraId="392EF57D" w14:textId="77777777" w:rsidR="00AA71BA" w:rsidRDefault="00AA71BA" w:rsidP="00FD3FC3">
      <w:pPr>
        <w:spacing w:after="360" w:line="360" w:lineRule="auto"/>
        <w:ind w:right="-159"/>
        <w:jc w:val="both"/>
        <w:rPr>
          <w:rFonts w:eastAsia="Calibri"/>
          <w:sz w:val="26"/>
          <w:szCs w:val="26"/>
          <w:lang w:eastAsia="en-US"/>
        </w:rPr>
      </w:pPr>
    </w:p>
    <w:p w14:paraId="598C85FD" w14:textId="77777777" w:rsidR="00AA71BA" w:rsidRDefault="00AA71BA" w:rsidP="00FD3FC3">
      <w:pPr>
        <w:spacing w:after="360" w:line="360" w:lineRule="auto"/>
        <w:ind w:right="-159"/>
        <w:jc w:val="both"/>
        <w:rPr>
          <w:rFonts w:eastAsia="Calibri"/>
          <w:sz w:val="26"/>
          <w:szCs w:val="26"/>
          <w:lang w:eastAsia="en-US"/>
        </w:rPr>
      </w:pPr>
    </w:p>
    <w:p w14:paraId="14AE3F6B" w14:textId="77777777" w:rsidR="00AA71BA" w:rsidRDefault="00AA71BA" w:rsidP="00FD3FC3">
      <w:pPr>
        <w:spacing w:after="360" w:line="360" w:lineRule="auto"/>
        <w:ind w:right="-159"/>
        <w:jc w:val="both"/>
        <w:rPr>
          <w:rFonts w:eastAsia="Calibri"/>
          <w:sz w:val="26"/>
          <w:szCs w:val="26"/>
          <w:lang w:eastAsia="en-US"/>
        </w:rPr>
      </w:pPr>
    </w:p>
    <w:p w14:paraId="7BC3B0A7" w14:textId="77777777" w:rsidR="00AA71BA" w:rsidRPr="00FD3FC3" w:rsidRDefault="00AA71BA" w:rsidP="00FD3FC3">
      <w:pPr>
        <w:spacing w:after="360" w:line="360" w:lineRule="auto"/>
        <w:ind w:right="-159"/>
        <w:jc w:val="both"/>
        <w:rPr>
          <w:rFonts w:eastAsia="Calibri"/>
          <w:sz w:val="26"/>
          <w:szCs w:val="26"/>
          <w:lang w:eastAsia="en-US"/>
        </w:rPr>
      </w:pP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3209"/>
        <w:gridCol w:w="1352"/>
        <w:gridCol w:w="951"/>
        <w:gridCol w:w="1434"/>
        <w:gridCol w:w="1701"/>
      </w:tblGrid>
      <w:tr w:rsidR="00FD3FC3" w:rsidRPr="00FD3FC3" w14:paraId="5B70EAF6" w14:textId="77777777" w:rsidTr="00445B89">
        <w:trPr>
          <w:trHeight w:val="106"/>
          <w:jc w:val="center"/>
        </w:trPr>
        <w:tc>
          <w:tcPr>
            <w:tcW w:w="8647" w:type="dxa"/>
            <w:gridSpan w:val="5"/>
            <w:tcBorders>
              <w:top w:val="nil"/>
              <w:left w:val="nil"/>
              <w:bottom w:val="single" w:sz="2" w:space="0" w:color="auto"/>
              <w:right w:val="nil"/>
            </w:tcBorders>
            <w:shd w:val="clear" w:color="auto" w:fill="auto"/>
            <w:vAlign w:val="center"/>
          </w:tcPr>
          <w:p w14:paraId="2D71B9BC" w14:textId="77777777" w:rsidR="00FD3FC3" w:rsidRPr="00445B89" w:rsidRDefault="00FD3FC3" w:rsidP="00FD3FC3">
            <w:pPr>
              <w:autoSpaceDE w:val="0"/>
              <w:autoSpaceDN w:val="0"/>
              <w:adjustRightInd w:val="0"/>
              <w:jc w:val="center"/>
              <w:rPr>
                <w:rFonts w:eastAsia="Calibri"/>
                <w:b/>
                <w:bCs/>
                <w:sz w:val="22"/>
                <w:szCs w:val="22"/>
                <w:lang w:eastAsia="en-US"/>
              </w:rPr>
            </w:pPr>
            <w:r w:rsidRPr="00445B89">
              <w:rPr>
                <w:rFonts w:eastAsia="Calibri"/>
                <w:b/>
                <w:bCs/>
                <w:sz w:val="22"/>
                <w:szCs w:val="22"/>
                <w:lang w:eastAsia="en-US"/>
              </w:rPr>
              <w:lastRenderedPageBreak/>
              <w:t>QUEJAS Y DESPACHOS REGISTRADOS Y NO</w:t>
            </w:r>
          </w:p>
          <w:p w14:paraId="7EEF1DFC" w14:textId="77777777" w:rsidR="00FD3FC3" w:rsidRPr="00445B89" w:rsidRDefault="00FD3FC3" w:rsidP="00FD3FC3">
            <w:pPr>
              <w:autoSpaceDE w:val="0"/>
              <w:autoSpaceDN w:val="0"/>
              <w:adjustRightInd w:val="0"/>
              <w:jc w:val="center"/>
              <w:rPr>
                <w:rFonts w:eastAsia="Calibri"/>
                <w:b/>
                <w:bCs/>
                <w:sz w:val="22"/>
                <w:szCs w:val="22"/>
                <w:lang w:eastAsia="en-US"/>
              </w:rPr>
            </w:pPr>
            <w:r w:rsidRPr="00445B89">
              <w:rPr>
                <w:rFonts w:eastAsia="Calibri"/>
                <w:b/>
                <w:bCs/>
                <w:sz w:val="22"/>
                <w:szCs w:val="22"/>
                <w:lang w:eastAsia="en-US"/>
              </w:rPr>
              <w:t>REGISTRADOS POR BANCOS Y SOFOMES ER</w:t>
            </w:r>
          </w:p>
          <w:p w14:paraId="365E51B2" w14:textId="77777777" w:rsidR="00FD3FC3" w:rsidRPr="00445B89" w:rsidRDefault="00FD3FC3" w:rsidP="00FD3FC3">
            <w:pPr>
              <w:autoSpaceDE w:val="0"/>
              <w:autoSpaceDN w:val="0"/>
              <w:adjustRightInd w:val="0"/>
              <w:spacing w:after="120"/>
              <w:jc w:val="center"/>
              <w:rPr>
                <w:rFonts w:eastAsia="Calibri"/>
                <w:b/>
                <w:sz w:val="22"/>
                <w:szCs w:val="22"/>
                <w:lang w:eastAsia="en-US"/>
              </w:rPr>
            </w:pPr>
            <w:r w:rsidRPr="00445B89">
              <w:rPr>
                <w:rFonts w:eastAsia="Calibri"/>
                <w:b/>
                <w:sz w:val="22"/>
                <w:szCs w:val="22"/>
                <w:lang w:eastAsia="en-US"/>
              </w:rPr>
              <w:t>-Datos al 24 de febrero de 2015-</w:t>
            </w:r>
          </w:p>
        </w:tc>
      </w:tr>
      <w:tr w:rsidR="00445B89" w:rsidRPr="00445B89" w14:paraId="7CE45418" w14:textId="77777777" w:rsidTr="0011560C">
        <w:trPr>
          <w:trHeight w:val="106"/>
          <w:jc w:val="center"/>
        </w:trPr>
        <w:tc>
          <w:tcPr>
            <w:tcW w:w="3209" w:type="dxa"/>
            <w:vMerge w:val="restart"/>
            <w:tcBorders>
              <w:top w:val="single" w:sz="2" w:space="0" w:color="auto"/>
              <w:left w:val="single" w:sz="2" w:space="0" w:color="auto"/>
              <w:bottom w:val="single" w:sz="2" w:space="0" w:color="auto"/>
              <w:right w:val="single" w:sz="2" w:space="0" w:color="auto"/>
            </w:tcBorders>
            <w:shd w:val="clear" w:color="auto" w:fill="auto"/>
            <w:vAlign w:val="center"/>
          </w:tcPr>
          <w:p w14:paraId="15F2BC48" w14:textId="77777777" w:rsidR="00445B89" w:rsidRPr="00445B89" w:rsidRDefault="00445B89" w:rsidP="00FD3FC3">
            <w:pPr>
              <w:autoSpaceDE w:val="0"/>
              <w:autoSpaceDN w:val="0"/>
              <w:adjustRightInd w:val="0"/>
              <w:jc w:val="center"/>
              <w:rPr>
                <w:rFonts w:eastAsia="Calibri"/>
                <w:b/>
                <w:bCs/>
                <w:sz w:val="20"/>
                <w:szCs w:val="20"/>
                <w:lang w:eastAsia="en-US"/>
              </w:rPr>
            </w:pPr>
            <w:r w:rsidRPr="00445B89">
              <w:rPr>
                <w:rFonts w:eastAsia="Calibri"/>
                <w:b/>
                <w:bCs/>
                <w:sz w:val="20"/>
                <w:szCs w:val="20"/>
                <w:lang w:eastAsia="en-US"/>
              </w:rPr>
              <w:t>Institución</w:t>
            </w:r>
          </w:p>
        </w:tc>
        <w:tc>
          <w:tcPr>
            <w:tcW w:w="2303"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1C2DD2A0" w14:textId="77777777" w:rsidR="00445B89" w:rsidRPr="00445B89" w:rsidRDefault="00445B89" w:rsidP="00FD3FC3">
            <w:pPr>
              <w:autoSpaceDE w:val="0"/>
              <w:autoSpaceDN w:val="0"/>
              <w:adjustRightInd w:val="0"/>
              <w:jc w:val="center"/>
              <w:rPr>
                <w:rFonts w:eastAsia="Calibri"/>
                <w:b/>
                <w:sz w:val="20"/>
                <w:szCs w:val="20"/>
                <w:lang w:eastAsia="en-US"/>
              </w:rPr>
            </w:pPr>
            <w:r w:rsidRPr="00445B89">
              <w:rPr>
                <w:rFonts w:eastAsia="Calibri"/>
                <w:b/>
                <w:sz w:val="20"/>
                <w:szCs w:val="20"/>
                <w:lang w:eastAsia="en-US"/>
              </w:rPr>
              <w:t>Quejas</w:t>
            </w:r>
          </w:p>
        </w:tc>
        <w:tc>
          <w:tcPr>
            <w:tcW w:w="1434" w:type="dxa"/>
            <w:vMerge w:val="restart"/>
            <w:tcBorders>
              <w:top w:val="single" w:sz="2" w:space="0" w:color="auto"/>
              <w:left w:val="single" w:sz="2" w:space="0" w:color="auto"/>
              <w:right w:val="single" w:sz="2" w:space="0" w:color="auto"/>
            </w:tcBorders>
            <w:shd w:val="clear" w:color="auto" w:fill="auto"/>
            <w:vAlign w:val="center"/>
          </w:tcPr>
          <w:p w14:paraId="24F60E02" w14:textId="77777777" w:rsidR="00445B89" w:rsidRPr="00445B89" w:rsidRDefault="00445B89" w:rsidP="00FD3FC3">
            <w:pPr>
              <w:autoSpaceDE w:val="0"/>
              <w:autoSpaceDN w:val="0"/>
              <w:adjustRightInd w:val="0"/>
              <w:jc w:val="center"/>
              <w:rPr>
                <w:rFonts w:eastAsia="Calibri"/>
                <w:b/>
                <w:sz w:val="20"/>
                <w:szCs w:val="20"/>
                <w:lang w:eastAsia="en-US"/>
              </w:rPr>
            </w:pPr>
            <w:r w:rsidRPr="00445B89">
              <w:rPr>
                <w:rFonts w:eastAsia="Calibri"/>
                <w:b/>
                <w:sz w:val="20"/>
                <w:szCs w:val="20"/>
                <w:lang w:eastAsia="en-US"/>
              </w:rPr>
              <w:t>Despachos registrados (REDECO)</w:t>
            </w:r>
            <w:r w:rsidRPr="00445B89">
              <w:rPr>
                <w:rFonts w:eastAsia="Calibri"/>
                <w:b/>
                <w:sz w:val="20"/>
                <w:szCs w:val="20"/>
                <w:u w:val="single"/>
                <w:vertAlign w:val="superscript"/>
                <w:lang w:eastAsia="en-US"/>
              </w:rPr>
              <w:t>1</w:t>
            </w:r>
            <w:r w:rsidRPr="00445B89">
              <w:rPr>
                <w:rFonts w:eastAsia="Calibri"/>
                <w:b/>
                <w:sz w:val="20"/>
                <w:szCs w:val="20"/>
                <w:vertAlign w:val="superscript"/>
                <w:lang w:eastAsia="en-US"/>
              </w:rPr>
              <w:t>/</w:t>
            </w:r>
          </w:p>
        </w:tc>
        <w:tc>
          <w:tcPr>
            <w:tcW w:w="1701" w:type="dxa"/>
            <w:vMerge w:val="restart"/>
            <w:tcBorders>
              <w:top w:val="single" w:sz="2" w:space="0" w:color="auto"/>
              <w:left w:val="single" w:sz="2" w:space="0" w:color="auto"/>
              <w:right w:val="single" w:sz="2" w:space="0" w:color="auto"/>
            </w:tcBorders>
            <w:shd w:val="clear" w:color="auto" w:fill="auto"/>
            <w:vAlign w:val="center"/>
          </w:tcPr>
          <w:p w14:paraId="0E8419F4" w14:textId="77777777" w:rsidR="00445B89" w:rsidRPr="00445B89" w:rsidRDefault="00445B89" w:rsidP="00FD3FC3">
            <w:pPr>
              <w:autoSpaceDE w:val="0"/>
              <w:autoSpaceDN w:val="0"/>
              <w:adjustRightInd w:val="0"/>
              <w:jc w:val="center"/>
              <w:rPr>
                <w:rFonts w:eastAsia="Calibri"/>
                <w:b/>
                <w:sz w:val="20"/>
                <w:szCs w:val="20"/>
                <w:lang w:eastAsia="en-US"/>
              </w:rPr>
            </w:pPr>
            <w:r w:rsidRPr="00445B89">
              <w:rPr>
                <w:rFonts w:eastAsia="Calibri"/>
                <w:b/>
                <w:sz w:val="20"/>
                <w:szCs w:val="20"/>
                <w:lang w:eastAsia="en-US"/>
              </w:rPr>
              <w:t xml:space="preserve">Despachos no registrados que hacen cobranza </w:t>
            </w:r>
          </w:p>
        </w:tc>
      </w:tr>
      <w:tr w:rsidR="00445B89" w:rsidRPr="00FD3FC3" w14:paraId="6B50A931" w14:textId="77777777" w:rsidTr="0011560C">
        <w:trPr>
          <w:trHeight w:val="106"/>
          <w:jc w:val="center"/>
        </w:trPr>
        <w:tc>
          <w:tcPr>
            <w:tcW w:w="3209" w:type="dxa"/>
            <w:vMerge/>
            <w:tcBorders>
              <w:top w:val="single" w:sz="2" w:space="0" w:color="auto"/>
              <w:left w:val="single" w:sz="2" w:space="0" w:color="auto"/>
              <w:bottom w:val="single" w:sz="2" w:space="0" w:color="auto"/>
              <w:right w:val="single" w:sz="2" w:space="0" w:color="auto"/>
            </w:tcBorders>
            <w:shd w:val="clear" w:color="auto" w:fill="auto"/>
            <w:vAlign w:val="center"/>
          </w:tcPr>
          <w:p w14:paraId="5E7B0E3C" w14:textId="77777777" w:rsidR="00445B89" w:rsidRPr="00445B89" w:rsidRDefault="00445B89" w:rsidP="00FD3FC3">
            <w:pPr>
              <w:autoSpaceDE w:val="0"/>
              <w:autoSpaceDN w:val="0"/>
              <w:adjustRightInd w:val="0"/>
              <w:jc w:val="center"/>
              <w:rPr>
                <w:rFonts w:eastAsia="Calibri"/>
                <w:bCs/>
                <w:sz w:val="20"/>
                <w:szCs w:val="20"/>
                <w:lang w:eastAsia="en-US"/>
              </w:rPr>
            </w:pPr>
          </w:p>
        </w:tc>
        <w:tc>
          <w:tcPr>
            <w:tcW w:w="1352" w:type="dxa"/>
            <w:tcBorders>
              <w:top w:val="single" w:sz="2" w:space="0" w:color="auto"/>
              <w:left w:val="single" w:sz="2" w:space="0" w:color="auto"/>
              <w:bottom w:val="single" w:sz="2" w:space="0" w:color="auto"/>
              <w:right w:val="single" w:sz="2" w:space="0" w:color="auto"/>
            </w:tcBorders>
            <w:shd w:val="clear" w:color="auto" w:fill="auto"/>
            <w:vAlign w:val="center"/>
          </w:tcPr>
          <w:p w14:paraId="31DDF4D5" w14:textId="77777777" w:rsidR="00445B89" w:rsidRPr="00445B89" w:rsidRDefault="00445B89" w:rsidP="00FD3FC3">
            <w:pPr>
              <w:autoSpaceDE w:val="0"/>
              <w:autoSpaceDN w:val="0"/>
              <w:adjustRightInd w:val="0"/>
              <w:jc w:val="center"/>
              <w:rPr>
                <w:rFonts w:eastAsia="Calibri"/>
                <w:b/>
                <w:sz w:val="20"/>
                <w:szCs w:val="20"/>
                <w:lang w:eastAsia="en-US"/>
              </w:rPr>
            </w:pPr>
            <w:r w:rsidRPr="00445B89">
              <w:rPr>
                <w:rFonts w:eastAsia="Calibri"/>
                <w:b/>
                <w:sz w:val="20"/>
                <w:szCs w:val="20"/>
                <w:lang w:eastAsia="en-US"/>
              </w:rPr>
              <w:t>Número</w:t>
            </w:r>
          </w:p>
        </w:tc>
        <w:tc>
          <w:tcPr>
            <w:tcW w:w="951" w:type="dxa"/>
            <w:tcBorders>
              <w:top w:val="single" w:sz="2" w:space="0" w:color="auto"/>
              <w:left w:val="single" w:sz="2" w:space="0" w:color="auto"/>
              <w:bottom w:val="single" w:sz="2" w:space="0" w:color="auto"/>
              <w:right w:val="single" w:sz="2" w:space="0" w:color="auto"/>
            </w:tcBorders>
            <w:shd w:val="clear" w:color="auto" w:fill="auto"/>
            <w:vAlign w:val="center"/>
          </w:tcPr>
          <w:p w14:paraId="2B064B79" w14:textId="77777777" w:rsidR="00445B89" w:rsidRPr="00445B89" w:rsidRDefault="00445B89" w:rsidP="00FD3FC3">
            <w:pPr>
              <w:autoSpaceDE w:val="0"/>
              <w:autoSpaceDN w:val="0"/>
              <w:adjustRightInd w:val="0"/>
              <w:jc w:val="center"/>
              <w:rPr>
                <w:rFonts w:eastAsia="Calibri"/>
                <w:b/>
                <w:sz w:val="20"/>
                <w:szCs w:val="20"/>
                <w:lang w:eastAsia="en-US"/>
              </w:rPr>
            </w:pPr>
            <w:r w:rsidRPr="00445B89">
              <w:rPr>
                <w:rFonts w:eastAsia="Calibri"/>
                <w:b/>
                <w:sz w:val="20"/>
                <w:szCs w:val="20"/>
                <w:lang w:eastAsia="en-US"/>
              </w:rPr>
              <w:t>(%) Total</w:t>
            </w:r>
          </w:p>
        </w:tc>
        <w:tc>
          <w:tcPr>
            <w:tcW w:w="1434" w:type="dxa"/>
            <w:vMerge/>
            <w:tcBorders>
              <w:left w:val="single" w:sz="2" w:space="0" w:color="auto"/>
              <w:bottom w:val="single" w:sz="2" w:space="0" w:color="auto"/>
              <w:right w:val="single" w:sz="2" w:space="0" w:color="auto"/>
            </w:tcBorders>
            <w:shd w:val="clear" w:color="auto" w:fill="auto"/>
            <w:vAlign w:val="center"/>
          </w:tcPr>
          <w:p w14:paraId="2B8A2E5C" w14:textId="77777777" w:rsidR="00445B89" w:rsidRPr="00445B89" w:rsidRDefault="00445B89" w:rsidP="00FD3FC3">
            <w:pPr>
              <w:autoSpaceDE w:val="0"/>
              <w:autoSpaceDN w:val="0"/>
              <w:adjustRightInd w:val="0"/>
              <w:jc w:val="center"/>
              <w:rPr>
                <w:rFonts w:eastAsia="Calibri"/>
                <w:sz w:val="20"/>
                <w:szCs w:val="20"/>
                <w:lang w:eastAsia="en-US"/>
              </w:rPr>
            </w:pPr>
          </w:p>
        </w:tc>
        <w:tc>
          <w:tcPr>
            <w:tcW w:w="1701" w:type="dxa"/>
            <w:vMerge/>
            <w:tcBorders>
              <w:left w:val="single" w:sz="2" w:space="0" w:color="auto"/>
              <w:bottom w:val="single" w:sz="2" w:space="0" w:color="auto"/>
              <w:right w:val="single" w:sz="2" w:space="0" w:color="auto"/>
            </w:tcBorders>
            <w:shd w:val="clear" w:color="auto" w:fill="auto"/>
            <w:vAlign w:val="center"/>
          </w:tcPr>
          <w:p w14:paraId="6F214B3F" w14:textId="77777777" w:rsidR="00445B89" w:rsidRPr="00445B89" w:rsidRDefault="00445B89" w:rsidP="00FD3FC3">
            <w:pPr>
              <w:autoSpaceDE w:val="0"/>
              <w:autoSpaceDN w:val="0"/>
              <w:adjustRightInd w:val="0"/>
              <w:jc w:val="center"/>
              <w:rPr>
                <w:rFonts w:eastAsia="Calibri"/>
                <w:sz w:val="20"/>
                <w:szCs w:val="20"/>
                <w:lang w:eastAsia="en-US"/>
              </w:rPr>
            </w:pPr>
          </w:p>
        </w:tc>
      </w:tr>
      <w:tr w:rsidR="00FD3FC3" w:rsidRPr="00FD3FC3" w14:paraId="194ED681" w14:textId="77777777" w:rsidTr="00445B89">
        <w:trPr>
          <w:trHeight w:val="106"/>
          <w:jc w:val="center"/>
        </w:trPr>
        <w:tc>
          <w:tcPr>
            <w:tcW w:w="3209" w:type="dxa"/>
            <w:tcBorders>
              <w:top w:val="single" w:sz="2" w:space="0" w:color="auto"/>
              <w:left w:val="single" w:sz="2" w:space="0" w:color="auto"/>
              <w:bottom w:val="nil"/>
              <w:right w:val="single" w:sz="2" w:space="0" w:color="auto"/>
            </w:tcBorders>
            <w:shd w:val="clear" w:color="auto" w:fill="auto"/>
            <w:vAlign w:val="center"/>
          </w:tcPr>
          <w:p w14:paraId="1077C001" w14:textId="77777777" w:rsidR="00FD3FC3" w:rsidRPr="00445B89" w:rsidRDefault="00FD3FC3" w:rsidP="00FD3FC3">
            <w:pPr>
              <w:autoSpaceDE w:val="0"/>
              <w:autoSpaceDN w:val="0"/>
              <w:adjustRightInd w:val="0"/>
              <w:jc w:val="both"/>
              <w:rPr>
                <w:rFonts w:eastAsia="Calibri"/>
                <w:b/>
                <w:bCs/>
                <w:sz w:val="20"/>
                <w:szCs w:val="20"/>
                <w:lang w:eastAsia="en-US"/>
              </w:rPr>
            </w:pPr>
            <w:r w:rsidRPr="00445B89">
              <w:rPr>
                <w:rFonts w:eastAsia="Calibri"/>
                <w:b/>
                <w:bCs/>
                <w:sz w:val="20"/>
                <w:szCs w:val="20"/>
                <w:lang w:eastAsia="en-US"/>
              </w:rPr>
              <w:t>Total</w:t>
            </w:r>
          </w:p>
        </w:tc>
        <w:tc>
          <w:tcPr>
            <w:tcW w:w="1352" w:type="dxa"/>
            <w:tcBorders>
              <w:top w:val="single" w:sz="2" w:space="0" w:color="auto"/>
              <w:left w:val="single" w:sz="2" w:space="0" w:color="auto"/>
              <w:bottom w:val="nil"/>
              <w:right w:val="single" w:sz="2" w:space="0" w:color="auto"/>
            </w:tcBorders>
            <w:shd w:val="clear" w:color="auto" w:fill="auto"/>
            <w:vAlign w:val="center"/>
          </w:tcPr>
          <w:p w14:paraId="5D0D9BF0" w14:textId="77777777" w:rsidR="00FD3FC3" w:rsidRPr="00445B89" w:rsidRDefault="00FD3FC3" w:rsidP="008D29D8">
            <w:pPr>
              <w:autoSpaceDE w:val="0"/>
              <w:autoSpaceDN w:val="0"/>
              <w:adjustRightInd w:val="0"/>
              <w:ind w:right="340"/>
              <w:jc w:val="right"/>
              <w:rPr>
                <w:rFonts w:eastAsia="Calibri"/>
                <w:b/>
                <w:sz w:val="20"/>
                <w:szCs w:val="20"/>
                <w:lang w:eastAsia="en-US"/>
              </w:rPr>
            </w:pPr>
            <w:r w:rsidRPr="00445B89">
              <w:rPr>
                <w:rFonts w:eastAsia="Calibri"/>
                <w:b/>
                <w:sz w:val="20"/>
                <w:szCs w:val="20"/>
                <w:lang w:eastAsia="en-US"/>
              </w:rPr>
              <w:t>3 430</w:t>
            </w:r>
          </w:p>
        </w:tc>
        <w:tc>
          <w:tcPr>
            <w:tcW w:w="951" w:type="dxa"/>
            <w:tcBorders>
              <w:top w:val="single" w:sz="2" w:space="0" w:color="auto"/>
              <w:left w:val="single" w:sz="2" w:space="0" w:color="auto"/>
              <w:bottom w:val="nil"/>
              <w:right w:val="single" w:sz="2" w:space="0" w:color="auto"/>
            </w:tcBorders>
            <w:shd w:val="clear" w:color="auto" w:fill="auto"/>
            <w:vAlign w:val="center"/>
          </w:tcPr>
          <w:p w14:paraId="6E241B27" w14:textId="77777777" w:rsidR="00FD3FC3" w:rsidRPr="00445B89" w:rsidRDefault="00FD3FC3" w:rsidP="008D29D8">
            <w:pPr>
              <w:autoSpaceDE w:val="0"/>
              <w:autoSpaceDN w:val="0"/>
              <w:adjustRightInd w:val="0"/>
              <w:ind w:right="170"/>
              <w:jc w:val="right"/>
              <w:rPr>
                <w:rFonts w:eastAsia="Calibri"/>
                <w:b/>
                <w:sz w:val="20"/>
                <w:szCs w:val="20"/>
                <w:lang w:eastAsia="en-US"/>
              </w:rPr>
            </w:pPr>
            <w:r w:rsidRPr="00445B89">
              <w:rPr>
                <w:rFonts w:eastAsia="Calibri"/>
                <w:b/>
                <w:sz w:val="20"/>
                <w:szCs w:val="20"/>
                <w:lang w:eastAsia="en-US"/>
              </w:rPr>
              <w:t>100.0</w:t>
            </w:r>
          </w:p>
        </w:tc>
        <w:tc>
          <w:tcPr>
            <w:tcW w:w="1434" w:type="dxa"/>
            <w:tcBorders>
              <w:top w:val="single" w:sz="2" w:space="0" w:color="auto"/>
              <w:left w:val="single" w:sz="2" w:space="0" w:color="auto"/>
              <w:bottom w:val="nil"/>
              <w:right w:val="single" w:sz="2" w:space="0" w:color="auto"/>
            </w:tcBorders>
            <w:shd w:val="clear" w:color="auto" w:fill="auto"/>
            <w:vAlign w:val="center"/>
          </w:tcPr>
          <w:p w14:paraId="7A32A69E" w14:textId="10C852BA" w:rsidR="00FD3FC3" w:rsidRPr="00445B89" w:rsidRDefault="008D29D8" w:rsidP="008D29D8">
            <w:pPr>
              <w:autoSpaceDE w:val="0"/>
              <w:autoSpaceDN w:val="0"/>
              <w:adjustRightInd w:val="0"/>
              <w:ind w:right="454"/>
              <w:jc w:val="right"/>
              <w:rPr>
                <w:rFonts w:eastAsia="Calibri"/>
                <w:b/>
                <w:sz w:val="20"/>
                <w:szCs w:val="20"/>
                <w:lang w:eastAsia="en-US"/>
              </w:rPr>
            </w:pPr>
            <w:r>
              <w:rPr>
                <w:rFonts w:eastAsia="Calibri"/>
                <w:b/>
                <w:sz w:val="20"/>
                <w:szCs w:val="20"/>
                <w:lang w:eastAsia="en-US"/>
              </w:rPr>
              <w:t>na</w:t>
            </w:r>
          </w:p>
        </w:tc>
        <w:tc>
          <w:tcPr>
            <w:tcW w:w="1701" w:type="dxa"/>
            <w:tcBorders>
              <w:top w:val="single" w:sz="2" w:space="0" w:color="auto"/>
              <w:left w:val="single" w:sz="2" w:space="0" w:color="auto"/>
              <w:bottom w:val="nil"/>
              <w:right w:val="single" w:sz="2" w:space="0" w:color="auto"/>
            </w:tcBorders>
            <w:shd w:val="clear" w:color="auto" w:fill="auto"/>
            <w:vAlign w:val="center"/>
          </w:tcPr>
          <w:p w14:paraId="042EFA8E" w14:textId="77777777" w:rsidR="00FD3FC3" w:rsidRPr="00445B89" w:rsidRDefault="00FD3FC3" w:rsidP="008D29D8">
            <w:pPr>
              <w:autoSpaceDE w:val="0"/>
              <w:autoSpaceDN w:val="0"/>
              <w:adjustRightInd w:val="0"/>
              <w:ind w:right="567"/>
              <w:jc w:val="right"/>
              <w:rPr>
                <w:rFonts w:eastAsia="Calibri"/>
                <w:b/>
                <w:sz w:val="20"/>
                <w:szCs w:val="20"/>
                <w:lang w:eastAsia="en-US"/>
              </w:rPr>
            </w:pPr>
            <w:r w:rsidRPr="00445B89">
              <w:rPr>
                <w:rFonts w:eastAsia="Calibri"/>
                <w:b/>
                <w:sz w:val="20"/>
                <w:szCs w:val="20"/>
                <w:lang w:eastAsia="en-US"/>
              </w:rPr>
              <w:t>na</w:t>
            </w:r>
          </w:p>
        </w:tc>
      </w:tr>
      <w:tr w:rsidR="00FD3FC3" w:rsidRPr="00FD3FC3" w14:paraId="5F045594" w14:textId="77777777" w:rsidTr="00445B89">
        <w:trPr>
          <w:trHeight w:val="106"/>
          <w:jc w:val="center"/>
        </w:trPr>
        <w:tc>
          <w:tcPr>
            <w:tcW w:w="3209" w:type="dxa"/>
            <w:tcBorders>
              <w:top w:val="nil"/>
              <w:left w:val="single" w:sz="2" w:space="0" w:color="auto"/>
              <w:bottom w:val="nil"/>
              <w:right w:val="single" w:sz="2" w:space="0" w:color="auto"/>
            </w:tcBorders>
            <w:shd w:val="clear" w:color="auto" w:fill="auto"/>
            <w:vAlign w:val="center"/>
          </w:tcPr>
          <w:p w14:paraId="0087E032" w14:textId="77777777" w:rsidR="00FD3FC3" w:rsidRPr="00445B89" w:rsidRDefault="00FD3FC3" w:rsidP="00FD3FC3">
            <w:pPr>
              <w:autoSpaceDE w:val="0"/>
              <w:autoSpaceDN w:val="0"/>
              <w:adjustRightInd w:val="0"/>
              <w:rPr>
                <w:rFonts w:eastAsia="Calibri"/>
                <w:bCs/>
                <w:sz w:val="20"/>
                <w:szCs w:val="20"/>
                <w:lang w:eastAsia="en-US"/>
              </w:rPr>
            </w:pPr>
            <w:r w:rsidRPr="00445B89">
              <w:rPr>
                <w:rFonts w:eastAsia="Calibri"/>
                <w:bCs/>
                <w:sz w:val="20"/>
                <w:szCs w:val="20"/>
                <w:lang w:eastAsia="en-US"/>
              </w:rPr>
              <w:t>Banca Múltiple</w:t>
            </w:r>
          </w:p>
        </w:tc>
        <w:tc>
          <w:tcPr>
            <w:tcW w:w="1352" w:type="dxa"/>
            <w:tcBorders>
              <w:top w:val="nil"/>
              <w:left w:val="single" w:sz="2" w:space="0" w:color="auto"/>
              <w:bottom w:val="nil"/>
              <w:right w:val="single" w:sz="2" w:space="0" w:color="auto"/>
            </w:tcBorders>
            <w:shd w:val="clear" w:color="auto" w:fill="auto"/>
            <w:vAlign w:val="center"/>
          </w:tcPr>
          <w:p w14:paraId="77B07CA8" w14:textId="77777777" w:rsidR="00FD3FC3" w:rsidRPr="00445B89" w:rsidRDefault="00FD3FC3" w:rsidP="008D29D8">
            <w:pPr>
              <w:autoSpaceDE w:val="0"/>
              <w:autoSpaceDN w:val="0"/>
              <w:adjustRightInd w:val="0"/>
              <w:ind w:right="340"/>
              <w:jc w:val="right"/>
              <w:rPr>
                <w:rFonts w:eastAsia="Calibri"/>
                <w:sz w:val="20"/>
                <w:szCs w:val="20"/>
                <w:lang w:eastAsia="en-US"/>
              </w:rPr>
            </w:pPr>
            <w:r w:rsidRPr="00445B89">
              <w:rPr>
                <w:rFonts w:eastAsia="Calibri"/>
                <w:sz w:val="20"/>
                <w:szCs w:val="20"/>
                <w:lang w:eastAsia="en-US"/>
              </w:rPr>
              <w:t>2 472</w:t>
            </w:r>
          </w:p>
        </w:tc>
        <w:tc>
          <w:tcPr>
            <w:tcW w:w="951" w:type="dxa"/>
            <w:tcBorders>
              <w:top w:val="nil"/>
              <w:left w:val="single" w:sz="2" w:space="0" w:color="auto"/>
              <w:bottom w:val="nil"/>
              <w:right w:val="single" w:sz="2" w:space="0" w:color="auto"/>
            </w:tcBorders>
            <w:shd w:val="clear" w:color="auto" w:fill="auto"/>
            <w:vAlign w:val="center"/>
          </w:tcPr>
          <w:p w14:paraId="48AB3676" w14:textId="77777777" w:rsidR="00FD3FC3" w:rsidRPr="00445B89" w:rsidRDefault="00FD3FC3" w:rsidP="008D29D8">
            <w:pPr>
              <w:autoSpaceDE w:val="0"/>
              <w:autoSpaceDN w:val="0"/>
              <w:adjustRightInd w:val="0"/>
              <w:ind w:right="170"/>
              <w:jc w:val="right"/>
              <w:rPr>
                <w:rFonts w:eastAsia="Calibri"/>
                <w:sz w:val="20"/>
                <w:szCs w:val="20"/>
                <w:lang w:eastAsia="en-US"/>
              </w:rPr>
            </w:pPr>
            <w:r w:rsidRPr="00445B89">
              <w:rPr>
                <w:rFonts w:eastAsia="Calibri"/>
                <w:sz w:val="20"/>
                <w:szCs w:val="20"/>
                <w:lang w:eastAsia="en-US"/>
              </w:rPr>
              <w:t>72.1</w:t>
            </w:r>
          </w:p>
        </w:tc>
        <w:tc>
          <w:tcPr>
            <w:tcW w:w="1434" w:type="dxa"/>
            <w:tcBorders>
              <w:top w:val="nil"/>
              <w:left w:val="single" w:sz="2" w:space="0" w:color="auto"/>
              <w:bottom w:val="nil"/>
              <w:right w:val="single" w:sz="2" w:space="0" w:color="auto"/>
            </w:tcBorders>
            <w:shd w:val="clear" w:color="auto" w:fill="auto"/>
            <w:vAlign w:val="center"/>
          </w:tcPr>
          <w:p w14:paraId="6B5534CA" w14:textId="77777777" w:rsidR="00FD3FC3" w:rsidRPr="00445B89" w:rsidRDefault="00FD3FC3" w:rsidP="008D29D8">
            <w:pPr>
              <w:autoSpaceDE w:val="0"/>
              <w:autoSpaceDN w:val="0"/>
              <w:adjustRightInd w:val="0"/>
              <w:ind w:right="454"/>
              <w:jc w:val="right"/>
              <w:rPr>
                <w:rFonts w:eastAsia="Calibri"/>
                <w:sz w:val="20"/>
                <w:szCs w:val="20"/>
                <w:lang w:eastAsia="en-US"/>
              </w:rPr>
            </w:pPr>
          </w:p>
        </w:tc>
        <w:tc>
          <w:tcPr>
            <w:tcW w:w="1701" w:type="dxa"/>
            <w:tcBorders>
              <w:top w:val="nil"/>
              <w:left w:val="single" w:sz="2" w:space="0" w:color="auto"/>
              <w:bottom w:val="nil"/>
              <w:right w:val="single" w:sz="2" w:space="0" w:color="auto"/>
            </w:tcBorders>
            <w:shd w:val="clear" w:color="auto" w:fill="auto"/>
            <w:vAlign w:val="center"/>
          </w:tcPr>
          <w:p w14:paraId="3ED7271D" w14:textId="77777777" w:rsidR="00FD3FC3" w:rsidRPr="00445B89" w:rsidRDefault="00FD3FC3" w:rsidP="008D29D8">
            <w:pPr>
              <w:autoSpaceDE w:val="0"/>
              <w:autoSpaceDN w:val="0"/>
              <w:adjustRightInd w:val="0"/>
              <w:ind w:right="567"/>
              <w:jc w:val="right"/>
              <w:rPr>
                <w:rFonts w:eastAsia="Calibri"/>
                <w:sz w:val="20"/>
                <w:szCs w:val="20"/>
                <w:lang w:eastAsia="en-US"/>
              </w:rPr>
            </w:pPr>
          </w:p>
        </w:tc>
      </w:tr>
      <w:tr w:rsidR="00FD3FC3" w:rsidRPr="00FD3FC3" w14:paraId="01901690" w14:textId="77777777" w:rsidTr="00445B89">
        <w:trPr>
          <w:trHeight w:val="106"/>
          <w:jc w:val="center"/>
        </w:trPr>
        <w:tc>
          <w:tcPr>
            <w:tcW w:w="3209" w:type="dxa"/>
            <w:tcBorders>
              <w:top w:val="nil"/>
              <w:left w:val="single" w:sz="2" w:space="0" w:color="auto"/>
              <w:bottom w:val="nil"/>
              <w:right w:val="single" w:sz="2" w:space="0" w:color="auto"/>
            </w:tcBorders>
            <w:shd w:val="clear" w:color="auto" w:fill="auto"/>
            <w:vAlign w:val="center"/>
          </w:tcPr>
          <w:p w14:paraId="44540AFF" w14:textId="77777777" w:rsidR="00FD3FC3" w:rsidRPr="00445B89" w:rsidRDefault="00FD3FC3" w:rsidP="00FD3FC3">
            <w:pPr>
              <w:autoSpaceDE w:val="0"/>
              <w:autoSpaceDN w:val="0"/>
              <w:adjustRightInd w:val="0"/>
              <w:rPr>
                <w:rFonts w:eastAsia="Calibri"/>
                <w:bCs/>
                <w:sz w:val="20"/>
                <w:szCs w:val="20"/>
                <w:lang w:eastAsia="en-US"/>
              </w:rPr>
            </w:pPr>
            <w:r w:rsidRPr="00445B89">
              <w:rPr>
                <w:rFonts w:eastAsia="Calibri"/>
                <w:bCs/>
                <w:sz w:val="20"/>
                <w:szCs w:val="20"/>
                <w:lang w:eastAsia="en-US"/>
              </w:rPr>
              <w:t xml:space="preserve">   SOFOMER</w:t>
            </w:r>
          </w:p>
        </w:tc>
        <w:tc>
          <w:tcPr>
            <w:tcW w:w="1352" w:type="dxa"/>
            <w:tcBorders>
              <w:top w:val="nil"/>
              <w:left w:val="single" w:sz="2" w:space="0" w:color="auto"/>
              <w:bottom w:val="nil"/>
              <w:right w:val="single" w:sz="2" w:space="0" w:color="auto"/>
            </w:tcBorders>
            <w:shd w:val="clear" w:color="auto" w:fill="auto"/>
            <w:vAlign w:val="center"/>
          </w:tcPr>
          <w:p w14:paraId="6736B89E" w14:textId="77777777" w:rsidR="00FD3FC3" w:rsidRPr="00445B89" w:rsidRDefault="00FD3FC3" w:rsidP="008D29D8">
            <w:pPr>
              <w:autoSpaceDE w:val="0"/>
              <w:autoSpaceDN w:val="0"/>
              <w:adjustRightInd w:val="0"/>
              <w:ind w:right="340"/>
              <w:jc w:val="right"/>
              <w:rPr>
                <w:rFonts w:eastAsia="Calibri"/>
                <w:sz w:val="20"/>
                <w:szCs w:val="20"/>
                <w:lang w:eastAsia="en-US"/>
              </w:rPr>
            </w:pPr>
            <w:r w:rsidRPr="00445B89">
              <w:rPr>
                <w:rFonts w:eastAsia="Calibri"/>
                <w:sz w:val="20"/>
                <w:szCs w:val="20"/>
                <w:lang w:eastAsia="en-US"/>
              </w:rPr>
              <w:t>958</w:t>
            </w:r>
          </w:p>
        </w:tc>
        <w:tc>
          <w:tcPr>
            <w:tcW w:w="951" w:type="dxa"/>
            <w:tcBorders>
              <w:top w:val="nil"/>
              <w:left w:val="single" w:sz="2" w:space="0" w:color="auto"/>
              <w:bottom w:val="nil"/>
              <w:right w:val="single" w:sz="2" w:space="0" w:color="auto"/>
            </w:tcBorders>
            <w:shd w:val="clear" w:color="auto" w:fill="auto"/>
            <w:vAlign w:val="center"/>
          </w:tcPr>
          <w:p w14:paraId="39557963" w14:textId="77777777" w:rsidR="00FD3FC3" w:rsidRPr="00445B89" w:rsidRDefault="00FD3FC3" w:rsidP="008D29D8">
            <w:pPr>
              <w:autoSpaceDE w:val="0"/>
              <w:autoSpaceDN w:val="0"/>
              <w:adjustRightInd w:val="0"/>
              <w:ind w:right="170"/>
              <w:jc w:val="right"/>
              <w:rPr>
                <w:rFonts w:eastAsia="Calibri"/>
                <w:sz w:val="20"/>
                <w:szCs w:val="20"/>
                <w:lang w:eastAsia="en-US"/>
              </w:rPr>
            </w:pPr>
            <w:r w:rsidRPr="00445B89">
              <w:rPr>
                <w:rFonts w:eastAsia="Calibri"/>
                <w:sz w:val="20"/>
                <w:szCs w:val="20"/>
                <w:lang w:eastAsia="en-US"/>
              </w:rPr>
              <w:t>27.9</w:t>
            </w:r>
          </w:p>
        </w:tc>
        <w:tc>
          <w:tcPr>
            <w:tcW w:w="1434" w:type="dxa"/>
            <w:tcBorders>
              <w:top w:val="nil"/>
              <w:left w:val="single" w:sz="2" w:space="0" w:color="auto"/>
              <w:bottom w:val="nil"/>
              <w:right w:val="single" w:sz="2" w:space="0" w:color="auto"/>
            </w:tcBorders>
            <w:shd w:val="clear" w:color="auto" w:fill="auto"/>
            <w:vAlign w:val="center"/>
          </w:tcPr>
          <w:p w14:paraId="1F1EABB3" w14:textId="77777777" w:rsidR="00FD3FC3" w:rsidRPr="00445B89" w:rsidRDefault="00FD3FC3" w:rsidP="008D29D8">
            <w:pPr>
              <w:autoSpaceDE w:val="0"/>
              <w:autoSpaceDN w:val="0"/>
              <w:adjustRightInd w:val="0"/>
              <w:ind w:right="454"/>
              <w:jc w:val="right"/>
              <w:rPr>
                <w:rFonts w:eastAsia="Calibri"/>
                <w:sz w:val="20"/>
                <w:szCs w:val="20"/>
                <w:lang w:eastAsia="en-US"/>
              </w:rPr>
            </w:pPr>
          </w:p>
        </w:tc>
        <w:tc>
          <w:tcPr>
            <w:tcW w:w="1701" w:type="dxa"/>
            <w:tcBorders>
              <w:top w:val="nil"/>
              <w:left w:val="single" w:sz="2" w:space="0" w:color="auto"/>
              <w:bottom w:val="nil"/>
              <w:right w:val="single" w:sz="2" w:space="0" w:color="auto"/>
            </w:tcBorders>
            <w:shd w:val="clear" w:color="auto" w:fill="auto"/>
            <w:vAlign w:val="center"/>
          </w:tcPr>
          <w:p w14:paraId="76ADB89B" w14:textId="77777777" w:rsidR="00FD3FC3" w:rsidRPr="00445B89" w:rsidRDefault="00FD3FC3" w:rsidP="008D29D8">
            <w:pPr>
              <w:autoSpaceDE w:val="0"/>
              <w:autoSpaceDN w:val="0"/>
              <w:adjustRightInd w:val="0"/>
              <w:ind w:right="567"/>
              <w:jc w:val="right"/>
              <w:rPr>
                <w:rFonts w:eastAsia="Calibri"/>
                <w:sz w:val="20"/>
                <w:szCs w:val="20"/>
                <w:lang w:eastAsia="en-US"/>
              </w:rPr>
            </w:pPr>
          </w:p>
        </w:tc>
      </w:tr>
      <w:tr w:rsidR="00FD3FC3" w:rsidRPr="00FD3FC3" w14:paraId="5D089958" w14:textId="77777777" w:rsidTr="00445B89">
        <w:trPr>
          <w:trHeight w:val="106"/>
          <w:jc w:val="center"/>
        </w:trPr>
        <w:tc>
          <w:tcPr>
            <w:tcW w:w="3209" w:type="dxa"/>
            <w:tcBorders>
              <w:top w:val="nil"/>
              <w:left w:val="single" w:sz="2" w:space="0" w:color="auto"/>
              <w:bottom w:val="nil"/>
              <w:right w:val="single" w:sz="2" w:space="0" w:color="auto"/>
            </w:tcBorders>
            <w:shd w:val="clear" w:color="auto" w:fill="auto"/>
            <w:vAlign w:val="center"/>
          </w:tcPr>
          <w:p w14:paraId="0FBE365B" w14:textId="77777777" w:rsidR="00FD3FC3" w:rsidRPr="00445B89" w:rsidRDefault="00FD3FC3" w:rsidP="00FD3FC3">
            <w:pPr>
              <w:autoSpaceDE w:val="0"/>
              <w:autoSpaceDN w:val="0"/>
              <w:adjustRightInd w:val="0"/>
              <w:rPr>
                <w:rFonts w:eastAsia="Calibri"/>
                <w:bCs/>
                <w:sz w:val="20"/>
                <w:szCs w:val="20"/>
                <w:lang w:eastAsia="en-US"/>
              </w:rPr>
            </w:pPr>
            <w:r w:rsidRPr="00445B89">
              <w:rPr>
                <w:rFonts w:eastAsia="Calibri"/>
                <w:bCs/>
                <w:sz w:val="20"/>
                <w:szCs w:val="20"/>
                <w:lang w:eastAsia="en-US"/>
              </w:rPr>
              <w:t>Sub total</w:t>
            </w:r>
          </w:p>
        </w:tc>
        <w:tc>
          <w:tcPr>
            <w:tcW w:w="1352" w:type="dxa"/>
            <w:tcBorders>
              <w:top w:val="nil"/>
              <w:left w:val="single" w:sz="2" w:space="0" w:color="auto"/>
              <w:bottom w:val="nil"/>
              <w:right w:val="single" w:sz="2" w:space="0" w:color="auto"/>
            </w:tcBorders>
            <w:shd w:val="clear" w:color="auto" w:fill="auto"/>
            <w:vAlign w:val="center"/>
          </w:tcPr>
          <w:p w14:paraId="0F3802B3" w14:textId="77777777" w:rsidR="00FD3FC3" w:rsidRPr="00445B89" w:rsidRDefault="00FD3FC3" w:rsidP="008D29D8">
            <w:pPr>
              <w:autoSpaceDE w:val="0"/>
              <w:autoSpaceDN w:val="0"/>
              <w:adjustRightInd w:val="0"/>
              <w:ind w:right="340"/>
              <w:jc w:val="right"/>
              <w:rPr>
                <w:rFonts w:eastAsia="Calibri"/>
                <w:sz w:val="20"/>
                <w:szCs w:val="20"/>
                <w:lang w:eastAsia="en-US"/>
              </w:rPr>
            </w:pPr>
          </w:p>
        </w:tc>
        <w:tc>
          <w:tcPr>
            <w:tcW w:w="951" w:type="dxa"/>
            <w:tcBorders>
              <w:top w:val="nil"/>
              <w:left w:val="single" w:sz="2" w:space="0" w:color="auto"/>
              <w:bottom w:val="nil"/>
              <w:right w:val="single" w:sz="2" w:space="0" w:color="auto"/>
            </w:tcBorders>
            <w:shd w:val="clear" w:color="auto" w:fill="auto"/>
            <w:vAlign w:val="center"/>
          </w:tcPr>
          <w:p w14:paraId="72CC507F" w14:textId="77777777" w:rsidR="00FD3FC3" w:rsidRPr="00445B89" w:rsidRDefault="00FD3FC3" w:rsidP="008D29D8">
            <w:pPr>
              <w:autoSpaceDE w:val="0"/>
              <w:autoSpaceDN w:val="0"/>
              <w:adjustRightInd w:val="0"/>
              <w:ind w:right="170"/>
              <w:jc w:val="right"/>
              <w:rPr>
                <w:rFonts w:eastAsia="Calibri"/>
                <w:sz w:val="20"/>
                <w:szCs w:val="20"/>
                <w:lang w:eastAsia="en-US"/>
              </w:rPr>
            </w:pPr>
          </w:p>
        </w:tc>
        <w:tc>
          <w:tcPr>
            <w:tcW w:w="1434" w:type="dxa"/>
            <w:tcBorders>
              <w:top w:val="nil"/>
              <w:left w:val="single" w:sz="2" w:space="0" w:color="auto"/>
              <w:bottom w:val="nil"/>
              <w:right w:val="single" w:sz="2" w:space="0" w:color="auto"/>
            </w:tcBorders>
            <w:shd w:val="clear" w:color="auto" w:fill="auto"/>
            <w:vAlign w:val="center"/>
          </w:tcPr>
          <w:p w14:paraId="23391AED" w14:textId="77777777" w:rsidR="00FD3FC3" w:rsidRPr="00445B89" w:rsidRDefault="00FD3FC3" w:rsidP="008D29D8">
            <w:pPr>
              <w:autoSpaceDE w:val="0"/>
              <w:autoSpaceDN w:val="0"/>
              <w:adjustRightInd w:val="0"/>
              <w:ind w:right="454"/>
              <w:jc w:val="right"/>
              <w:rPr>
                <w:rFonts w:eastAsia="Calibri"/>
                <w:sz w:val="20"/>
                <w:szCs w:val="20"/>
                <w:lang w:eastAsia="en-US"/>
              </w:rPr>
            </w:pPr>
            <w:r w:rsidRPr="00445B89">
              <w:rPr>
                <w:rFonts w:eastAsia="Calibri"/>
                <w:sz w:val="20"/>
                <w:szCs w:val="20"/>
                <w:lang w:eastAsia="en-US"/>
              </w:rPr>
              <w:t>na</w:t>
            </w:r>
          </w:p>
        </w:tc>
        <w:tc>
          <w:tcPr>
            <w:tcW w:w="1701" w:type="dxa"/>
            <w:tcBorders>
              <w:top w:val="nil"/>
              <w:left w:val="single" w:sz="2" w:space="0" w:color="auto"/>
              <w:bottom w:val="nil"/>
              <w:right w:val="single" w:sz="2" w:space="0" w:color="auto"/>
            </w:tcBorders>
            <w:shd w:val="clear" w:color="auto" w:fill="auto"/>
            <w:vAlign w:val="center"/>
          </w:tcPr>
          <w:p w14:paraId="60CABEDA" w14:textId="77777777" w:rsidR="00FD3FC3" w:rsidRPr="00445B89" w:rsidRDefault="00FD3FC3" w:rsidP="008D29D8">
            <w:pPr>
              <w:autoSpaceDE w:val="0"/>
              <w:autoSpaceDN w:val="0"/>
              <w:adjustRightInd w:val="0"/>
              <w:ind w:right="567"/>
              <w:jc w:val="right"/>
              <w:rPr>
                <w:rFonts w:eastAsia="Calibri"/>
                <w:sz w:val="20"/>
                <w:szCs w:val="20"/>
                <w:lang w:eastAsia="en-US"/>
              </w:rPr>
            </w:pPr>
            <w:r w:rsidRPr="00445B89">
              <w:rPr>
                <w:rFonts w:eastAsia="Calibri"/>
                <w:sz w:val="20"/>
                <w:szCs w:val="20"/>
                <w:lang w:eastAsia="en-US"/>
              </w:rPr>
              <w:t>na</w:t>
            </w:r>
          </w:p>
        </w:tc>
      </w:tr>
      <w:tr w:rsidR="00FD3FC3" w:rsidRPr="00FD3FC3" w14:paraId="6EC849A0" w14:textId="77777777" w:rsidTr="00445B89">
        <w:trPr>
          <w:trHeight w:val="106"/>
          <w:jc w:val="center"/>
        </w:trPr>
        <w:tc>
          <w:tcPr>
            <w:tcW w:w="3209" w:type="dxa"/>
            <w:tcBorders>
              <w:top w:val="nil"/>
              <w:left w:val="single" w:sz="2" w:space="0" w:color="auto"/>
              <w:bottom w:val="nil"/>
              <w:right w:val="single" w:sz="2" w:space="0" w:color="auto"/>
            </w:tcBorders>
            <w:shd w:val="clear" w:color="auto" w:fill="auto"/>
            <w:vAlign w:val="center"/>
          </w:tcPr>
          <w:p w14:paraId="2DEFB13E" w14:textId="77777777" w:rsidR="00FD3FC3" w:rsidRPr="00445B89" w:rsidRDefault="00FD3FC3" w:rsidP="00FD3FC3">
            <w:pPr>
              <w:autoSpaceDE w:val="0"/>
              <w:autoSpaceDN w:val="0"/>
              <w:adjustRightInd w:val="0"/>
              <w:rPr>
                <w:rFonts w:eastAsia="Calibri"/>
                <w:bCs/>
                <w:sz w:val="20"/>
                <w:szCs w:val="20"/>
                <w:lang w:eastAsia="en-US"/>
              </w:rPr>
            </w:pPr>
            <w:r w:rsidRPr="00445B89">
              <w:rPr>
                <w:rFonts w:eastAsia="Calibri"/>
                <w:bCs/>
                <w:sz w:val="20"/>
                <w:szCs w:val="20"/>
                <w:lang w:eastAsia="en-US"/>
              </w:rPr>
              <w:t xml:space="preserve">   Sub total 9 bancos</w:t>
            </w:r>
          </w:p>
        </w:tc>
        <w:tc>
          <w:tcPr>
            <w:tcW w:w="1352" w:type="dxa"/>
            <w:tcBorders>
              <w:top w:val="nil"/>
              <w:left w:val="single" w:sz="2" w:space="0" w:color="auto"/>
              <w:bottom w:val="nil"/>
              <w:right w:val="single" w:sz="2" w:space="0" w:color="auto"/>
            </w:tcBorders>
            <w:shd w:val="clear" w:color="auto" w:fill="auto"/>
            <w:vAlign w:val="center"/>
          </w:tcPr>
          <w:p w14:paraId="5F6F5D0E" w14:textId="77777777" w:rsidR="00FD3FC3" w:rsidRPr="00445B89" w:rsidRDefault="00FD3FC3" w:rsidP="008D29D8">
            <w:pPr>
              <w:autoSpaceDE w:val="0"/>
              <w:autoSpaceDN w:val="0"/>
              <w:adjustRightInd w:val="0"/>
              <w:ind w:right="340"/>
              <w:jc w:val="right"/>
              <w:rPr>
                <w:rFonts w:eastAsia="Calibri"/>
                <w:sz w:val="20"/>
                <w:szCs w:val="20"/>
                <w:lang w:eastAsia="en-US"/>
              </w:rPr>
            </w:pPr>
            <w:r w:rsidRPr="00445B89">
              <w:rPr>
                <w:rFonts w:eastAsia="Calibri"/>
                <w:sz w:val="20"/>
                <w:szCs w:val="20"/>
                <w:lang w:eastAsia="en-US"/>
              </w:rPr>
              <w:t>2 052</w:t>
            </w:r>
          </w:p>
        </w:tc>
        <w:tc>
          <w:tcPr>
            <w:tcW w:w="951" w:type="dxa"/>
            <w:tcBorders>
              <w:top w:val="nil"/>
              <w:left w:val="single" w:sz="2" w:space="0" w:color="auto"/>
              <w:bottom w:val="nil"/>
              <w:right w:val="single" w:sz="2" w:space="0" w:color="auto"/>
            </w:tcBorders>
            <w:shd w:val="clear" w:color="auto" w:fill="auto"/>
            <w:vAlign w:val="center"/>
          </w:tcPr>
          <w:p w14:paraId="4E51D181" w14:textId="77777777" w:rsidR="00FD3FC3" w:rsidRPr="00445B89" w:rsidRDefault="00FD3FC3" w:rsidP="008D29D8">
            <w:pPr>
              <w:autoSpaceDE w:val="0"/>
              <w:autoSpaceDN w:val="0"/>
              <w:adjustRightInd w:val="0"/>
              <w:ind w:right="170"/>
              <w:jc w:val="right"/>
              <w:rPr>
                <w:rFonts w:eastAsia="Calibri"/>
                <w:sz w:val="20"/>
                <w:szCs w:val="20"/>
                <w:lang w:eastAsia="en-US"/>
              </w:rPr>
            </w:pPr>
            <w:r w:rsidRPr="00445B89">
              <w:rPr>
                <w:rFonts w:eastAsia="Calibri"/>
                <w:sz w:val="20"/>
                <w:szCs w:val="20"/>
                <w:lang w:eastAsia="en-US"/>
              </w:rPr>
              <w:t>83.0</w:t>
            </w:r>
          </w:p>
        </w:tc>
        <w:tc>
          <w:tcPr>
            <w:tcW w:w="1434" w:type="dxa"/>
            <w:tcBorders>
              <w:top w:val="nil"/>
              <w:left w:val="single" w:sz="2" w:space="0" w:color="auto"/>
              <w:bottom w:val="nil"/>
              <w:right w:val="single" w:sz="2" w:space="0" w:color="auto"/>
            </w:tcBorders>
            <w:shd w:val="clear" w:color="auto" w:fill="auto"/>
            <w:vAlign w:val="center"/>
          </w:tcPr>
          <w:p w14:paraId="33DF1F86" w14:textId="77777777" w:rsidR="00FD3FC3" w:rsidRPr="00445B89" w:rsidRDefault="00FD3FC3" w:rsidP="008D29D8">
            <w:pPr>
              <w:autoSpaceDE w:val="0"/>
              <w:autoSpaceDN w:val="0"/>
              <w:adjustRightInd w:val="0"/>
              <w:ind w:right="454"/>
              <w:jc w:val="right"/>
              <w:rPr>
                <w:rFonts w:eastAsia="Calibri"/>
                <w:sz w:val="20"/>
                <w:szCs w:val="20"/>
                <w:lang w:eastAsia="en-US"/>
              </w:rPr>
            </w:pPr>
          </w:p>
        </w:tc>
        <w:tc>
          <w:tcPr>
            <w:tcW w:w="1701" w:type="dxa"/>
            <w:tcBorders>
              <w:top w:val="nil"/>
              <w:left w:val="single" w:sz="2" w:space="0" w:color="auto"/>
              <w:bottom w:val="nil"/>
              <w:right w:val="single" w:sz="2" w:space="0" w:color="auto"/>
            </w:tcBorders>
            <w:shd w:val="clear" w:color="auto" w:fill="auto"/>
            <w:vAlign w:val="center"/>
          </w:tcPr>
          <w:p w14:paraId="11C93378" w14:textId="77777777" w:rsidR="00FD3FC3" w:rsidRPr="00445B89" w:rsidRDefault="00FD3FC3" w:rsidP="008D29D8">
            <w:pPr>
              <w:autoSpaceDE w:val="0"/>
              <w:autoSpaceDN w:val="0"/>
              <w:adjustRightInd w:val="0"/>
              <w:ind w:right="567"/>
              <w:jc w:val="right"/>
              <w:rPr>
                <w:rFonts w:eastAsia="Calibri"/>
                <w:sz w:val="20"/>
                <w:szCs w:val="20"/>
                <w:lang w:eastAsia="en-US"/>
              </w:rPr>
            </w:pPr>
          </w:p>
        </w:tc>
      </w:tr>
      <w:tr w:rsidR="00FD3FC3" w:rsidRPr="00FD3FC3" w14:paraId="1B71AFB0" w14:textId="77777777" w:rsidTr="00445B89">
        <w:trPr>
          <w:trHeight w:val="106"/>
          <w:jc w:val="center"/>
        </w:trPr>
        <w:tc>
          <w:tcPr>
            <w:tcW w:w="3209" w:type="dxa"/>
            <w:tcBorders>
              <w:top w:val="nil"/>
              <w:left w:val="single" w:sz="2" w:space="0" w:color="auto"/>
              <w:bottom w:val="nil"/>
              <w:right w:val="single" w:sz="2" w:space="0" w:color="auto"/>
            </w:tcBorders>
            <w:shd w:val="clear" w:color="auto" w:fill="auto"/>
            <w:vAlign w:val="center"/>
          </w:tcPr>
          <w:p w14:paraId="14BD6076" w14:textId="77777777" w:rsidR="00FD3FC3" w:rsidRPr="00445B89" w:rsidRDefault="00FD3FC3" w:rsidP="00FD3FC3">
            <w:pPr>
              <w:autoSpaceDE w:val="0"/>
              <w:autoSpaceDN w:val="0"/>
              <w:adjustRightInd w:val="0"/>
              <w:rPr>
                <w:rFonts w:eastAsia="Calibri"/>
                <w:bCs/>
                <w:sz w:val="20"/>
                <w:szCs w:val="20"/>
                <w:lang w:eastAsia="en-US"/>
              </w:rPr>
            </w:pPr>
            <w:r w:rsidRPr="00445B89">
              <w:rPr>
                <w:rFonts w:eastAsia="Calibri"/>
                <w:bCs/>
                <w:sz w:val="20"/>
                <w:szCs w:val="20"/>
                <w:lang w:eastAsia="en-US"/>
              </w:rPr>
              <w:t xml:space="preserve">   Sub total 10 SOFOMER</w:t>
            </w:r>
          </w:p>
        </w:tc>
        <w:tc>
          <w:tcPr>
            <w:tcW w:w="1352" w:type="dxa"/>
            <w:tcBorders>
              <w:top w:val="nil"/>
              <w:left w:val="single" w:sz="2" w:space="0" w:color="auto"/>
              <w:bottom w:val="nil"/>
              <w:right w:val="single" w:sz="2" w:space="0" w:color="auto"/>
            </w:tcBorders>
            <w:shd w:val="clear" w:color="auto" w:fill="auto"/>
            <w:vAlign w:val="center"/>
          </w:tcPr>
          <w:p w14:paraId="402A408C" w14:textId="77777777" w:rsidR="00FD3FC3" w:rsidRPr="00445B89" w:rsidRDefault="00FD3FC3" w:rsidP="008D29D8">
            <w:pPr>
              <w:autoSpaceDE w:val="0"/>
              <w:autoSpaceDN w:val="0"/>
              <w:adjustRightInd w:val="0"/>
              <w:ind w:right="340"/>
              <w:jc w:val="right"/>
              <w:rPr>
                <w:rFonts w:eastAsia="Calibri"/>
                <w:sz w:val="20"/>
                <w:szCs w:val="20"/>
                <w:lang w:eastAsia="en-US"/>
              </w:rPr>
            </w:pPr>
            <w:r w:rsidRPr="00445B89">
              <w:rPr>
                <w:rFonts w:eastAsia="Calibri"/>
                <w:sz w:val="20"/>
                <w:szCs w:val="20"/>
                <w:lang w:eastAsia="en-US"/>
              </w:rPr>
              <w:t>837</w:t>
            </w:r>
          </w:p>
        </w:tc>
        <w:tc>
          <w:tcPr>
            <w:tcW w:w="951" w:type="dxa"/>
            <w:tcBorders>
              <w:top w:val="nil"/>
              <w:left w:val="single" w:sz="2" w:space="0" w:color="auto"/>
              <w:bottom w:val="nil"/>
              <w:right w:val="single" w:sz="2" w:space="0" w:color="auto"/>
            </w:tcBorders>
            <w:shd w:val="clear" w:color="auto" w:fill="auto"/>
            <w:vAlign w:val="center"/>
          </w:tcPr>
          <w:p w14:paraId="2FFAFEBF" w14:textId="77777777" w:rsidR="00FD3FC3" w:rsidRPr="00445B89" w:rsidRDefault="00FD3FC3" w:rsidP="008D29D8">
            <w:pPr>
              <w:autoSpaceDE w:val="0"/>
              <w:autoSpaceDN w:val="0"/>
              <w:adjustRightInd w:val="0"/>
              <w:ind w:right="170"/>
              <w:jc w:val="right"/>
              <w:rPr>
                <w:rFonts w:eastAsia="Calibri"/>
                <w:sz w:val="20"/>
                <w:szCs w:val="20"/>
                <w:lang w:eastAsia="en-US"/>
              </w:rPr>
            </w:pPr>
            <w:r w:rsidRPr="00445B89">
              <w:rPr>
                <w:rFonts w:eastAsia="Calibri"/>
                <w:sz w:val="20"/>
                <w:szCs w:val="20"/>
                <w:lang w:eastAsia="en-US"/>
              </w:rPr>
              <w:t>87.4</w:t>
            </w:r>
          </w:p>
        </w:tc>
        <w:tc>
          <w:tcPr>
            <w:tcW w:w="1434" w:type="dxa"/>
            <w:tcBorders>
              <w:top w:val="nil"/>
              <w:left w:val="single" w:sz="2" w:space="0" w:color="auto"/>
              <w:bottom w:val="nil"/>
              <w:right w:val="single" w:sz="2" w:space="0" w:color="auto"/>
            </w:tcBorders>
            <w:shd w:val="clear" w:color="auto" w:fill="auto"/>
            <w:vAlign w:val="center"/>
          </w:tcPr>
          <w:p w14:paraId="4B0BAE97" w14:textId="77777777" w:rsidR="00FD3FC3" w:rsidRPr="00445B89" w:rsidRDefault="00FD3FC3" w:rsidP="008D29D8">
            <w:pPr>
              <w:autoSpaceDE w:val="0"/>
              <w:autoSpaceDN w:val="0"/>
              <w:adjustRightInd w:val="0"/>
              <w:ind w:right="454"/>
              <w:jc w:val="right"/>
              <w:rPr>
                <w:rFonts w:eastAsia="Calibri"/>
                <w:sz w:val="20"/>
                <w:szCs w:val="20"/>
                <w:lang w:eastAsia="en-US"/>
              </w:rPr>
            </w:pPr>
          </w:p>
        </w:tc>
        <w:tc>
          <w:tcPr>
            <w:tcW w:w="1701" w:type="dxa"/>
            <w:tcBorders>
              <w:top w:val="nil"/>
              <w:left w:val="single" w:sz="2" w:space="0" w:color="auto"/>
              <w:bottom w:val="nil"/>
              <w:right w:val="single" w:sz="2" w:space="0" w:color="auto"/>
            </w:tcBorders>
            <w:shd w:val="clear" w:color="auto" w:fill="auto"/>
            <w:vAlign w:val="center"/>
          </w:tcPr>
          <w:p w14:paraId="1A35C275" w14:textId="77777777" w:rsidR="00FD3FC3" w:rsidRPr="00445B89" w:rsidRDefault="00FD3FC3" w:rsidP="008D29D8">
            <w:pPr>
              <w:autoSpaceDE w:val="0"/>
              <w:autoSpaceDN w:val="0"/>
              <w:adjustRightInd w:val="0"/>
              <w:ind w:right="567"/>
              <w:jc w:val="right"/>
              <w:rPr>
                <w:rFonts w:eastAsia="Calibri"/>
                <w:sz w:val="20"/>
                <w:szCs w:val="20"/>
                <w:lang w:eastAsia="en-US"/>
              </w:rPr>
            </w:pPr>
          </w:p>
        </w:tc>
      </w:tr>
      <w:tr w:rsidR="00FD3FC3" w:rsidRPr="00FD3FC3" w14:paraId="6DAE00FC" w14:textId="77777777" w:rsidTr="00445B89">
        <w:trPr>
          <w:trHeight w:val="106"/>
          <w:jc w:val="center"/>
        </w:trPr>
        <w:tc>
          <w:tcPr>
            <w:tcW w:w="3209" w:type="dxa"/>
            <w:tcBorders>
              <w:top w:val="nil"/>
              <w:left w:val="single" w:sz="2" w:space="0" w:color="auto"/>
              <w:bottom w:val="nil"/>
              <w:right w:val="single" w:sz="2" w:space="0" w:color="auto"/>
            </w:tcBorders>
            <w:shd w:val="clear" w:color="auto" w:fill="auto"/>
            <w:vAlign w:val="center"/>
          </w:tcPr>
          <w:p w14:paraId="736DBAB7" w14:textId="77777777" w:rsidR="00FD3FC3" w:rsidRPr="00445B89" w:rsidRDefault="00FD3FC3" w:rsidP="00FD3FC3">
            <w:pPr>
              <w:autoSpaceDE w:val="0"/>
              <w:autoSpaceDN w:val="0"/>
              <w:adjustRightInd w:val="0"/>
              <w:rPr>
                <w:rFonts w:eastAsia="Calibri"/>
                <w:bCs/>
                <w:sz w:val="20"/>
                <w:szCs w:val="20"/>
                <w:lang w:eastAsia="en-US"/>
              </w:rPr>
            </w:pPr>
            <w:r w:rsidRPr="00445B89">
              <w:rPr>
                <w:rFonts w:eastAsia="Calibri"/>
                <w:bCs/>
                <w:sz w:val="20"/>
                <w:szCs w:val="20"/>
                <w:lang w:eastAsia="en-US"/>
              </w:rPr>
              <w:t>BBVA Bancomer</w:t>
            </w:r>
          </w:p>
        </w:tc>
        <w:tc>
          <w:tcPr>
            <w:tcW w:w="1352" w:type="dxa"/>
            <w:tcBorders>
              <w:top w:val="nil"/>
              <w:left w:val="single" w:sz="2" w:space="0" w:color="auto"/>
              <w:bottom w:val="nil"/>
              <w:right w:val="single" w:sz="2" w:space="0" w:color="auto"/>
            </w:tcBorders>
            <w:shd w:val="clear" w:color="auto" w:fill="auto"/>
            <w:vAlign w:val="center"/>
          </w:tcPr>
          <w:p w14:paraId="53A0FF22" w14:textId="77777777" w:rsidR="00FD3FC3" w:rsidRPr="00445B89" w:rsidRDefault="00FD3FC3" w:rsidP="008D29D8">
            <w:pPr>
              <w:autoSpaceDE w:val="0"/>
              <w:autoSpaceDN w:val="0"/>
              <w:adjustRightInd w:val="0"/>
              <w:ind w:right="340"/>
              <w:jc w:val="right"/>
              <w:rPr>
                <w:rFonts w:eastAsia="Calibri"/>
                <w:sz w:val="20"/>
                <w:szCs w:val="20"/>
                <w:lang w:eastAsia="en-US"/>
              </w:rPr>
            </w:pPr>
            <w:r w:rsidRPr="00445B89">
              <w:rPr>
                <w:rFonts w:eastAsia="Calibri"/>
                <w:sz w:val="20"/>
                <w:szCs w:val="20"/>
                <w:lang w:eastAsia="en-US"/>
              </w:rPr>
              <w:t>502</w:t>
            </w:r>
          </w:p>
        </w:tc>
        <w:tc>
          <w:tcPr>
            <w:tcW w:w="951" w:type="dxa"/>
            <w:tcBorders>
              <w:top w:val="nil"/>
              <w:left w:val="single" w:sz="2" w:space="0" w:color="auto"/>
              <w:bottom w:val="nil"/>
              <w:right w:val="single" w:sz="2" w:space="0" w:color="auto"/>
            </w:tcBorders>
            <w:shd w:val="clear" w:color="auto" w:fill="auto"/>
            <w:vAlign w:val="center"/>
          </w:tcPr>
          <w:p w14:paraId="6268908B" w14:textId="77777777" w:rsidR="00FD3FC3" w:rsidRPr="00445B89" w:rsidRDefault="00FD3FC3" w:rsidP="008D29D8">
            <w:pPr>
              <w:autoSpaceDE w:val="0"/>
              <w:autoSpaceDN w:val="0"/>
              <w:adjustRightInd w:val="0"/>
              <w:ind w:right="170"/>
              <w:jc w:val="right"/>
              <w:rPr>
                <w:rFonts w:eastAsia="Calibri"/>
                <w:sz w:val="20"/>
                <w:szCs w:val="20"/>
                <w:lang w:eastAsia="en-US"/>
              </w:rPr>
            </w:pPr>
            <w:r w:rsidRPr="00445B89">
              <w:rPr>
                <w:rFonts w:eastAsia="Calibri"/>
                <w:sz w:val="20"/>
                <w:szCs w:val="20"/>
                <w:lang w:eastAsia="en-US"/>
              </w:rPr>
              <w:t>14.6</w:t>
            </w:r>
          </w:p>
        </w:tc>
        <w:tc>
          <w:tcPr>
            <w:tcW w:w="1434" w:type="dxa"/>
            <w:tcBorders>
              <w:top w:val="nil"/>
              <w:left w:val="single" w:sz="2" w:space="0" w:color="auto"/>
              <w:bottom w:val="nil"/>
              <w:right w:val="single" w:sz="2" w:space="0" w:color="auto"/>
            </w:tcBorders>
            <w:shd w:val="clear" w:color="auto" w:fill="auto"/>
            <w:vAlign w:val="center"/>
          </w:tcPr>
          <w:p w14:paraId="607E127D" w14:textId="77777777" w:rsidR="00FD3FC3" w:rsidRPr="00445B89" w:rsidRDefault="00FD3FC3" w:rsidP="008D29D8">
            <w:pPr>
              <w:autoSpaceDE w:val="0"/>
              <w:autoSpaceDN w:val="0"/>
              <w:adjustRightInd w:val="0"/>
              <w:ind w:right="454"/>
              <w:jc w:val="right"/>
              <w:rPr>
                <w:rFonts w:eastAsia="Calibri"/>
                <w:sz w:val="20"/>
                <w:szCs w:val="20"/>
                <w:lang w:eastAsia="en-US"/>
              </w:rPr>
            </w:pPr>
            <w:r w:rsidRPr="00445B89">
              <w:rPr>
                <w:rFonts w:eastAsia="Calibri"/>
                <w:sz w:val="20"/>
                <w:szCs w:val="20"/>
                <w:lang w:eastAsia="en-US"/>
              </w:rPr>
              <w:t>7</w:t>
            </w:r>
          </w:p>
        </w:tc>
        <w:tc>
          <w:tcPr>
            <w:tcW w:w="1701" w:type="dxa"/>
            <w:tcBorders>
              <w:top w:val="nil"/>
              <w:left w:val="single" w:sz="2" w:space="0" w:color="auto"/>
              <w:bottom w:val="nil"/>
              <w:right w:val="single" w:sz="2" w:space="0" w:color="auto"/>
            </w:tcBorders>
            <w:shd w:val="clear" w:color="auto" w:fill="auto"/>
            <w:vAlign w:val="center"/>
          </w:tcPr>
          <w:p w14:paraId="5F983820" w14:textId="77777777" w:rsidR="00FD3FC3" w:rsidRPr="00445B89" w:rsidRDefault="00FD3FC3" w:rsidP="008D29D8">
            <w:pPr>
              <w:autoSpaceDE w:val="0"/>
              <w:autoSpaceDN w:val="0"/>
              <w:adjustRightInd w:val="0"/>
              <w:ind w:right="567"/>
              <w:jc w:val="right"/>
              <w:rPr>
                <w:rFonts w:eastAsia="Calibri"/>
                <w:sz w:val="20"/>
                <w:szCs w:val="20"/>
                <w:lang w:eastAsia="en-US"/>
              </w:rPr>
            </w:pPr>
            <w:r w:rsidRPr="00445B89">
              <w:rPr>
                <w:rFonts w:eastAsia="Calibri"/>
                <w:sz w:val="20"/>
                <w:szCs w:val="20"/>
                <w:lang w:eastAsia="en-US"/>
              </w:rPr>
              <w:t>35</w:t>
            </w:r>
          </w:p>
        </w:tc>
      </w:tr>
      <w:tr w:rsidR="00FD3FC3" w:rsidRPr="00FD3FC3" w14:paraId="6204A2F5" w14:textId="77777777" w:rsidTr="00445B89">
        <w:trPr>
          <w:trHeight w:val="106"/>
          <w:jc w:val="center"/>
        </w:trPr>
        <w:tc>
          <w:tcPr>
            <w:tcW w:w="3209" w:type="dxa"/>
            <w:tcBorders>
              <w:top w:val="nil"/>
              <w:left w:val="single" w:sz="2" w:space="0" w:color="auto"/>
              <w:bottom w:val="nil"/>
              <w:right w:val="single" w:sz="2" w:space="0" w:color="auto"/>
            </w:tcBorders>
            <w:shd w:val="clear" w:color="auto" w:fill="auto"/>
            <w:vAlign w:val="center"/>
          </w:tcPr>
          <w:p w14:paraId="4768A9D3" w14:textId="77777777" w:rsidR="00FD3FC3" w:rsidRPr="00445B89" w:rsidRDefault="00FD3FC3" w:rsidP="00FD3FC3">
            <w:pPr>
              <w:autoSpaceDE w:val="0"/>
              <w:autoSpaceDN w:val="0"/>
              <w:adjustRightInd w:val="0"/>
              <w:rPr>
                <w:rFonts w:eastAsia="Calibri"/>
                <w:bCs/>
                <w:sz w:val="20"/>
                <w:szCs w:val="20"/>
                <w:lang w:eastAsia="en-US"/>
              </w:rPr>
            </w:pPr>
            <w:r w:rsidRPr="00445B89">
              <w:rPr>
                <w:rFonts w:eastAsia="Calibri"/>
                <w:bCs/>
                <w:sz w:val="20"/>
                <w:szCs w:val="20"/>
                <w:lang w:eastAsia="en-US"/>
              </w:rPr>
              <w:t>Banamex</w:t>
            </w:r>
          </w:p>
        </w:tc>
        <w:tc>
          <w:tcPr>
            <w:tcW w:w="1352" w:type="dxa"/>
            <w:tcBorders>
              <w:top w:val="nil"/>
              <w:left w:val="single" w:sz="2" w:space="0" w:color="auto"/>
              <w:bottom w:val="nil"/>
              <w:right w:val="single" w:sz="2" w:space="0" w:color="auto"/>
            </w:tcBorders>
            <w:shd w:val="clear" w:color="auto" w:fill="auto"/>
            <w:vAlign w:val="center"/>
          </w:tcPr>
          <w:p w14:paraId="1547DB3F" w14:textId="77777777" w:rsidR="00FD3FC3" w:rsidRPr="00445B89" w:rsidRDefault="00FD3FC3" w:rsidP="008D29D8">
            <w:pPr>
              <w:autoSpaceDE w:val="0"/>
              <w:autoSpaceDN w:val="0"/>
              <w:adjustRightInd w:val="0"/>
              <w:ind w:right="340"/>
              <w:jc w:val="right"/>
              <w:rPr>
                <w:rFonts w:eastAsia="Calibri"/>
                <w:sz w:val="20"/>
                <w:szCs w:val="20"/>
                <w:lang w:eastAsia="en-US"/>
              </w:rPr>
            </w:pPr>
            <w:r w:rsidRPr="00445B89">
              <w:rPr>
                <w:rFonts w:eastAsia="Calibri"/>
                <w:sz w:val="20"/>
                <w:szCs w:val="20"/>
                <w:lang w:eastAsia="en-US"/>
              </w:rPr>
              <w:t>480</w:t>
            </w:r>
          </w:p>
        </w:tc>
        <w:tc>
          <w:tcPr>
            <w:tcW w:w="951" w:type="dxa"/>
            <w:tcBorders>
              <w:top w:val="nil"/>
              <w:left w:val="single" w:sz="2" w:space="0" w:color="auto"/>
              <w:bottom w:val="nil"/>
              <w:right w:val="single" w:sz="2" w:space="0" w:color="auto"/>
            </w:tcBorders>
            <w:shd w:val="clear" w:color="auto" w:fill="auto"/>
            <w:vAlign w:val="center"/>
          </w:tcPr>
          <w:p w14:paraId="00B2C054" w14:textId="77777777" w:rsidR="00FD3FC3" w:rsidRPr="00445B89" w:rsidRDefault="00FD3FC3" w:rsidP="008D29D8">
            <w:pPr>
              <w:autoSpaceDE w:val="0"/>
              <w:autoSpaceDN w:val="0"/>
              <w:adjustRightInd w:val="0"/>
              <w:ind w:right="170"/>
              <w:jc w:val="right"/>
              <w:rPr>
                <w:rFonts w:eastAsia="Calibri"/>
                <w:sz w:val="20"/>
                <w:szCs w:val="20"/>
                <w:lang w:eastAsia="en-US"/>
              </w:rPr>
            </w:pPr>
            <w:r w:rsidRPr="00445B89">
              <w:rPr>
                <w:rFonts w:eastAsia="Calibri"/>
                <w:sz w:val="20"/>
                <w:szCs w:val="20"/>
                <w:lang w:eastAsia="en-US"/>
              </w:rPr>
              <w:t>14.0</w:t>
            </w:r>
          </w:p>
        </w:tc>
        <w:tc>
          <w:tcPr>
            <w:tcW w:w="1434" w:type="dxa"/>
            <w:tcBorders>
              <w:top w:val="nil"/>
              <w:left w:val="single" w:sz="2" w:space="0" w:color="auto"/>
              <w:bottom w:val="nil"/>
              <w:right w:val="single" w:sz="2" w:space="0" w:color="auto"/>
            </w:tcBorders>
            <w:shd w:val="clear" w:color="auto" w:fill="auto"/>
            <w:vAlign w:val="center"/>
          </w:tcPr>
          <w:p w14:paraId="64891215" w14:textId="77777777" w:rsidR="00FD3FC3" w:rsidRPr="00445B89" w:rsidRDefault="00FD3FC3" w:rsidP="008D29D8">
            <w:pPr>
              <w:autoSpaceDE w:val="0"/>
              <w:autoSpaceDN w:val="0"/>
              <w:adjustRightInd w:val="0"/>
              <w:ind w:right="454"/>
              <w:jc w:val="right"/>
              <w:rPr>
                <w:rFonts w:eastAsia="Calibri"/>
                <w:sz w:val="20"/>
                <w:szCs w:val="20"/>
                <w:lang w:eastAsia="en-US"/>
              </w:rPr>
            </w:pPr>
            <w:r w:rsidRPr="00445B89">
              <w:rPr>
                <w:rFonts w:eastAsia="Calibri"/>
                <w:sz w:val="20"/>
                <w:szCs w:val="20"/>
                <w:lang w:eastAsia="en-US"/>
              </w:rPr>
              <w:t>67</w:t>
            </w:r>
          </w:p>
        </w:tc>
        <w:tc>
          <w:tcPr>
            <w:tcW w:w="1701" w:type="dxa"/>
            <w:tcBorders>
              <w:top w:val="nil"/>
              <w:left w:val="single" w:sz="2" w:space="0" w:color="auto"/>
              <w:bottom w:val="nil"/>
              <w:right w:val="single" w:sz="2" w:space="0" w:color="auto"/>
            </w:tcBorders>
            <w:shd w:val="clear" w:color="auto" w:fill="auto"/>
            <w:vAlign w:val="center"/>
          </w:tcPr>
          <w:p w14:paraId="798798FA" w14:textId="77777777" w:rsidR="00FD3FC3" w:rsidRPr="00445B89" w:rsidRDefault="00FD3FC3" w:rsidP="008D29D8">
            <w:pPr>
              <w:autoSpaceDE w:val="0"/>
              <w:autoSpaceDN w:val="0"/>
              <w:adjustRightInd w:val="0"/>
              <w:ind w:right="567"/>
              <w:jc w:val="right"/>
              <w:rPr>
                <w:rFonts w:eastAsia="Calibri"/>
                <w:sz w:val="20"/>
                <w:szCs w:val="20"/>
                <w:lang w:eastAsia="en-US"/>
              </w:rPr>
            </w:pPr>
            <w:r w:rsidRPr="00445B89">
              <w:rPr>
                <w:rFonts w:eastAsia="Calibri"/>
                <w:sz w:val="20"/>
                <w:szCs w:val="20"/>
                <w:lang w:eastAsia="en-US"/>
              </w:rPr>
              <w:t>9</w:t>
            </w:r>
          </w:p>
        </w:tc>
      </w:tr>
      <w:tr w:rsidR="00FD3FC3" w:rsidRPr="00FD3FC3" w14:paraId="6B5AACC6" w14:textId="77777777" w:rsidTr="00445B89">
        <w:trPr>
          <w:trHeight w:val="106"/>
          <w:jc w:val="center"/>
        </w:trPr>
        <w:tc>
          <w:tcPr>
            <w:tcW w:w="3209" w:type="dxa"/>
            <w:tcBorders>
              <w:top w:val="nil"/>
              <w:left w:val="single" w:sz="2" w:space="0" w:color="auto"/>
              <w:bottom w:val="nil"/>
              <w:right w:val="single" w:sz="2" w:space="0" w:color="auto"/>
            </w:tcBorders>
            <w:shd w:val="clear" w:color="auto" w:fill="auto"/>
            <w:vAlign w:val="center"/>
          </w:tcPr>
          <w:p w14:paraId="66EC7FD2" w14:textId="77777777" w:rsidR="00FD3FC3" w:rsidRPr="00445B89" w:rsidRDefault="00FD3FC3" w:rsidP="00FD3FC3">
            <w:pPr>
              <w:autoSpaceDE w:val="0"/>
              <w:autoSpaceDN w:val="0"/>
              <w:adjustRightInd w:val="0"/>
              <w:rPr>
                <w:rFonts w:eastAsia="Calibri"/>
                <w:bCs/>
                <w:sz w:val="20"/>
                <w:szCs w:val="20"/>
                <w:lang w:eastAsia="en-US"/>
              </w:rPr>
            </w:pPr>
            <w:r w:rsidRPr="00445B89">
              <w:rPr>
                <w:rFonts w:eastAsia="Calibri"/>
                <w:bCs/>
                <w:sz w:val="20"/>
                <w:szCs w:val="20"/>
                <w:lang w:eastAsia="en-US"/>
              </w:rPr>
              <w:t xml:space="preserve">   Tarjetas Banamex, Sofom, ER</w:t>
            </w:r>
          </w:p>
        </w:tc>
        <w:tc>
          <w:tcPr>
            <w:tcW w:w="1352" w:type="dxa"/>
            <w:tcBorders>
              <w:top w:val="nil"/>
              <w:left w:val="single" w:sz="2" w:space="0" w:color="auto"/>
              <w:bottom w:val="nil"/>
              <w:right w:val="single" w:sz="2" w:space="0" w:color="auto"/>
            </w:tcBorders>
            <w:shd w:val="clear" w:color="auto" w:fill="auto"/>
            <w:vAlign w:val="center"/>
          </w:tcPr>
          <w:p w14:paraId="19F08DEF" w14:textId="77777777" w:rsidR="00FD3FC3" w:rsidRPr="00445B89" w:rsidRDefault="00FD3FC3" w:rsidP="008D29D8">
            <w:pPr>
              <w:autoSpaceDE w:val="0"/>
              <w:autoSpaceDN w:val="0"/>
              <w:adjustRightInd w:val="0"/>
              <w:ind w:right="340"/>
              <w:jc w:val="right"/>
              <w:rPr>
                <w:rFonts w:eastAsia="Calibri"/>
                <w:sz w:val="20"/>
                <w:szCs w:val="20"/>
                <w:lang w:eastAsia="en-US"/>
              </w:rPr>
            </w:pPr>
            <w:r w:rsidRPr="00445B89">
              <w:rPr>
                <w:rFonts w:eastAsia="Calibri"/>
                <w:sz w:val="20"/>
                <w:szCs w:val="20"/>
                <w:lang w:eastAsia="en-US"/>
              </w:rPr>
              <w:t>330</w:t>
            </w:r>
          </w:p>
        </w:tc>
        <w:tc>
          <w:tcPr>
            <w:tcW w:w="951" w:type="dxa"/>
            <w:tcBorders>
              <w:top w:val="nil"/>
              <w:left w:val="single" w:sz="2" w:space="0" w:color="auto"/>
              <w:bottom w:val="nil"/>
              <w:right w:val="single" w:sz="2" w:space="0" w:color="auto"/>
            </w:tcBorders>
            <w:shd w:val="clear" w:color="auto" w:fill="auto"/>
            <w:vAlign w:val="center"/>
          </w:tcPr>
          <w:p w14:paraId="3C81B9DB" w14:textId="77777777" w:rsidR="00FD3FC3" w:rsidRPr="00445B89" w:rsidRDefault="00FD3FC3" w:rsidP="008D29D8">
            <w:pPr>
              <w:autoSpaceDE w:val="0"/>
              <w:autoSpaceDN w:val="0"/>
              <w:adjustRightInd w:val="0"/>
              <w:ind w:right="170"/>
              <w:jc w:val="right"/>
              <w:rPr>
                <w:rFonts w:eastAsia="Calibri"/>
                <w:sz w:val="20"/>
                <w:szCs w:val="20"/>
                <w:lang w:eastAsia="en-US"/>
              </w:rPr>
            </w:pPr>
            <w:r w:rsidRPr="00445B89">
              <w:rPr>
                <w:rFonts w:eastAsia="Calibri"/>
                <w:sz w:val="20"/>
                <w:szCs w:val="20"/>
                <w:lang w:eastAsia="en-US"/>
              </w:rPr>
              <w:t>9.6</w:t>
            </w:r>
          </w:p>
        </w:tc>
        <w:tc>
          <w:tcPr>
            <w:tcW w:w="1434" w:type="dxa"/>
            <w:tcBorders>
              <w:top w:val="nil"/>
              <w:left w:val="single" w:sz="2" w:space="0" w:color="auto"/>
              <w:bottom w:val="nil"/>
              <w:right w:val="single" w:sz="2" w:space="0" w:color="auto"/>
            </w:tcBorders>
            <w:shd w:val="clear" w:color="auto" w:fill="auto"/>
            <w:vAlign w:val="center"/>
          </w:tcPr>
          <w:p w14:paraId="57C3CA98" w14:textId="77777777" w:rsidR="00FD3FC3" w:rsidRPr="00445B89" w:rsidRDefault="00FD3FC3" w:rsidP="008D29D8">
            <w:pPr>
              <w:autoSpaceDE w:val="0"/>
              <w:autoSpaceDN w:val="0"/>
              <w:adjustRightInd w:val="0"/>
              <w:ind w:right="454"/>
              <w:jc w:val="right"/>
              <w:rPr>
                <w:rFonts w:eastAsia="Calibri"/>
                <w:sz w:val="20"/>
                <w:szCs w:val="20"/>
                <w:lang w:eastAsia="en-US"/>
              </w:rPr>
            </w:pPr>
            <w:r w:rsidRPr="00445B89">
              <w:rPr>
                <w:rFonts w:eastAsia="Calibri"/>
                <w:sz w:val="20"/>
                <w:szCs w:val="20"/>
                <w:lang w:eastAsia="en-US"/>
              </w:rPr>
              <w:t>79</w:t>
            </w:r>
          </w:p>
        </w:tc>
        <w:tc>
          <w:tcPr>
            <w:tcW w:w="1701" w:type="dxa"/>
            <w:tcBorders>
              <w:top w:val="nil"/>
              <w:left w:val="single" w:sz="2" w:space="0" w:color="auto"/>
              <w:bottom w:val="nil"/>
              <w:right w:val="single" w:sz="2" w:space="0" w:color="auto"/>
            </w:tcBorders>
            <w:shd w:val="clear" w:color="auto" w:fill="auto"/>
            <w:vAlign w:val="center"/>
          </w:tcPr>
          <w:p w14:paraId="0D40005D" w14:textId="77777777" w:rsidR="00FD3FC3" w:rsidRPr="00445B89" w:rsidRDefault="00FD3FC3" w:rsidP="008D29D8">
            <w:pPr>
              <w:autoSpaceDE w:val="0"/>
              <w:autoSpaceDN w:val="0"/>
              <w:adjustRightInd w:val="0"/>
              <w:ind w:right="567"/>
              <w:jc w:val="right"/>
              <w:rPr>
                <w:rFonts w:eastAsia="Calibri"/>
                <w:sz w:val="20"/>
                <w:szCs w:val="20"/>
                <w:lang w:eastAsia="en-US"/>
              </w:rPr>
            </w:pPr>
            <w:r w:rsidRPr="00445B89">
              <w:rPr>
                <w:rFonts w:eastAsia="Calibri"/>
                <w:sz w:val="20"/>
                <w:szCs w:val="20"/>
                <w:lang w:eastAsia="en-US"/>
              </w:rPr>
              <w:t>2</w:t>
            </w:r>
          </w:p>
        </w:tc>
      </w:tr>
      <w:tr w:rsidR="00FD3FC3" w:rsidRPr="00FD3FC3" w14:paraId="180E94C7" w14:textId="77777777" w:rsidTr="00445B89">
        <w:trPr>
          <w:trHeight w:val="106"/>
          <w:jc w:val="center"/>
        </w:trPr>
        <w:tc>
          <w:tcPr>
            <w:tcW w:w="3209" w:type="dxa"/>
            <w:tcBorders>
              <w:top w:val="nil"/>
              <w:left w:val="single" w:sz="2" w:space="0" w:color="auto"/>
              <w:bottom w:val="nil"/>
              <w:right w:val="single" w:sz="2" w:space="0" w:color="auto"/>
            </w:tcBorders>
            <w:shd w:val="clear" w:color="auto" w:fill="auto"/>
            <w:vAlign w:val="center"/>
          </w:tcPr>
          <w:p w14:paraId="10A32297" w14:textId="77777777" w:rsidR="00FD3FC3" w:rsidRPr="00445B89" w:rsidRDefault="00FD3FC3" w:rsidP="00FD3FC3">
            <w:pPr>
              <w:autoSpaceDE w:val="0"/>
              <w:autoSpaceDN w:val="0"/>
              <w:adjustRightInd w:val="0"/>
              <w:rPr>
                <w:rFonts w:eastAsia="Calibri"/>
                <w:bCs/>
                <w:sz w:val="20"/>
                <w:szCs w:val="20"/>
                <w:lang w:eastAsia="en-US"/>
              </w:rPr>
            </w:pPr>
            <w:r w:rsidRPr="00445B89">
              <w:rPr>
                <w:rFonts w:eastAsia="Calibri"/>
                <w:bCs/>
                <w:sz w:val="20"/>
                <w:szCs w:val="20"/>
                <w:lang w:eastAsia="en-US"/>
              </w:rPr>
              <w:t xml:space="preserve">   Arrendadora Banamex, Sofom, ER</w:t>
            </w:r>
          </w:p>
        </w:tc>
        <w:tc>
          <w:tcPr>
            <w:tcW w:w="1352" w:type="dxa"/>
            <w:tcBorders>
              <w:top w:val="nil"/>
              <w:left w:val="single" w:sz="2" w:space="0" w:color="auto"/>
              <w:bottom w:val="nil"/>
              <w:right w:val="single" w:sz="2" w:space="0" w:color="auto"/>
            </w:tcBorders>
            <w:shd w:val="clear" w:color="auto" w:fill="auto"/>
            <w:vAlign w:val="center"/>
          </w:tcPr>
          <w:p w14:paraId="5D72BBAB" w14:textId="77777777" w:rsidR="00FD3FC3" w:rsidRPr="00445B89" w:rsidRDefault="00FD3FC3" w:rsidP="008D29D8">
            <w:pPr>
              <w:autoSpaceDE w:val="0"/>
              <w:autoSpaceDN w:val="0"/>
              <w:adjustRightInd w:val="0"/>
              <w:ind w:right="340"/>
              <w:jc w:val="right"/>
              <w:rPr>
                <w:rFonts w:eastAsia="Calibri"/>
                <w:sz w:val="20"/>
                <w:szCs w:val="20"/>
                <w:lang w:eastAsia="en-US"/>
              </w:rPr>
            </w:pPr>
            <w:r w:rsidRPr="00445B89">
              <w:rPr>
                <w:rFonts w:eastAsia="Calibri"/>
                <w:sz w:val="20"/>
                <w:szCs w:val="20"/>
                <w:lang w:eastAsia="en-US"/>
              </w:rPr>
              <w:t>37</w:t>
            </w:r>
          </w:p>
        </w:tc>
        <w:tc>
          <w:tcPr>
            <w:tcW w:w="951" w:type="dxa"/>
            <w:tcBorders>
              <w:top w:val="nil"/>
              <w:left w:val="single" w:sz="2" w:space="0" w:color="auto"/>
              <w:bottom w:val="nil"/>
              <w:right w:val="single" w:sz="2" w:space="0" w:color="auto"/>
            </w:tcBorders>
            <w:shd w:val="clear" w:color="auto" w:fill="auto"/>
            <w:vAlign w:val="center"/>
          </w:tcPr>
          <w:p w14:paraId="15966D89" w14:textId="77777777" w:rsidR="00FD3FC3" w:rsidRPr="00445B89" w:rsidRDefault="00FD3FC3" w:rsidP="008D29D8">
            <w:pPr>
              <w:autoSpaceDE w:val="0"/>
              <w:autoSpaceDN w:val="0"/>
              <w:adjustRightInd w:val="0"/>
              <w:ind w:right="170"/>
              <w:jc w:val="right"/>
              <w:rPr>
                <w:rFonts w:eastAsia="Calibri"/>
                <w:sz w:val="20"/>
                <w:szCs w:val="20"/>
                <w:lang w:eastAsia="en-US"/>
              </w:rPr>
            </w:pPr>
            <w:r w:rsidRPr="00445B89">
              <w:rPr>
                <w:rFonts w:eastAsia="Calibri"/>
                <w:sz w:val="20"/>
                <w:szCs w:val="20"/>
                <w:lang w:eastAsia="en-US"/>
              </w:rPr>
              <w:t>1.1</w:t>
            </w:r>
          </w:p>
        </w:tc>
        <w:tc>
          <w:tcPr>
            <w:tcW w:w="1434" w:type="dxa"/>
            <w:tcBorders>
              <w:top w:val="nil"/>
              <w:left w:val="single" w:sz="2" w:space="0" w:color="auto"/>
              <w:bottom w:val="nil"/>
              <w:right w:val="single" w:sz="2" w:space="0" w:color="auto"/>
            </w:tcBorders>
            <w:shd w:val="clear" w:color="auto" w:fill="auto"/>
            <w:vAlign w:val="center"/>
          </w:tcPr>
          <w:p w14:paraId="46F4CF26" w14:textId="77777777" w:rsidR="00FD3FC3" w:rsidRPr="00445B89" w:rsidRDefault="00FD3FC3" w:rsidP="008D29D8">
            <w:pPr>
              <w:autoSpaceDE w:val="0"/>
              <w:autoSpaceDN w:val="0"/>
              <w:adjustRightInd w:val="0"/>
              <w:ind w:right="454"/>
              <w:jc w:val="right"/>
              <w:rPr>
                <w:rFonts w:eastAsia="Calibri"/>
                <w:sz w:val="20"/>
                <w:szCs w:val="20"/>
                <w:lang w:eastAsia="en-US"/>
              </w:rPr>
            </w:pPr>
            <w:r w:rsidRPr="00445B89">
              <w:rPr>
                <w:rFonts w:eastAsia="Calibri"/>
                <w:sz w:val="20"/>
                <w:szCs w:val="20"/>
                <w:lang w:eastAsia="en-US"/>
              </w:rPr>
              <w:t>0</w:t>
            </w:r>
          </w:p>
        </w:tc>
        <w:tc>
          <w:tcPr>
            <w:tcW w:w="1701" w:type="dxa"/>
            <w:tcBorders>
              <w:top w:val="nil"/>
              <w:left w:val="single" w:sz="2" w:space="0" w:color="auto"/>
              <w:bottom w:val="nil"/>
              <w:right w:val="single" w:sz="2" w:space="0" w:color="auto"/>
            </w:tcBorders>
            <w:shd w:val="clear" w:color="auto" w:fill="auto"/>
            <w:vAlign w:val="center"/>
          </w:tcPr>
          <w:p w14:paraId="38BBCF5A" w14:textId="77777777" w:rsidR="00FD3FC3" w:rsidRPr="00445B89" w:rsidRDefault="00FD3FC3" w:rsidP="008D29D8">
            <w:pPr>
              <w:autoSpaceDE w:val="0"/>
              <w:autoSpaceDN w:val="0"/>
              <w:adjustRightInd w:val="0"/>
              <w:ind w:right="567"/>
              <w:jc w:val="right"/>
              <w:rPr>
                <w:rFonts w:eastAsia="Calibri"/>
                <w:sz w:val="20"/>
                <w:szCs w:val="20"/>
                <w:lang w:eastAsia="en-US"/>
              </w:rPr>
            </w:pPr>
            <w:r w:rsidRPr="00445B89">
              <w:rPr>
                <w:rFonts w:eastAsia="Calibri"/>
                <w:sz w:val="20"/>
                <w:szCs w:val="20"/>
                <w:lang w:eastAsia="en-US"/>
              </w:rPr>
              <w:t>1</w:t>
            </w:r>
          </w:p>
        </w:tc>
      </w:tr>
      <w:tr w:rsidR="00FD3FC3" w:rsidRPr="00FD3FC3" w14:paraId="51C45A3A" w14:textId="77777777" w:rsidTr="00445B89">
        <w:trPr>
          <w:trHeight w:val="106"/>
          <w:jc w:val="center"/>
        </w:trPr>
        <w:tc>
          <w:tcPr>
            <w:tcW w:w="3209" w:type="dxa"/>
            <w:tcBorders>
              <w:top w:val="nil"/>
              <w:left w:val="single" w:sz="2" w:space="0" w:color="auto"/>
              <w:bottom w:val="nil"/>
              <w:right w:val="single" w:sz="2" w:space="0" w:color="auto"/>
            </w:tcBorders>
            <w:shd w:val="clear" w:color="auto" w:fill="auto"/>
            <w:vAlign w:val="center"/>
          </w:tcPr>
          <w:p w14:paraId="026E4B0C" w14:textId="77777777" w:rsidR="00FD3FC3" w:rsidRPr="00445B89" w:rsidRDefault="00FD3FC3" w:rsidP="00FD3FC3">
            <w:pPr>
              <w:autoSpaceDE w:val="0"/>
              <w:autoSpaceDN w:val="0"/>
              <w:adjustRightInd w:val="0"/>
              <w:rPr>
                <w:rFonts w:eastAsia="Calibri"/>
                <w:bCs/>
                <w:sz w:val="20"/>
                <w:szCs w:val="20"/>
                <w:lang w:eastAsia="en-US"/>
              </w:rPr>
            </w:pPr>
            <w:r w:rsidRPr="00445B89">
              <w:rPr>
                <w:rFonts w:eastAsia="Calibri"/>
                <w:bCs/>
                <w:sz w:val="20"/>
                <w:szCs w:val="20"/>
                <w:lang w:eastAsia="en-US"/>
              </w:rPr>
              <w:t>HSBC</w:t>
            </w:r>
          </w:p>
        </w:tc>
        <w:tc>
          <w:tcPr>
            <w:tcW w:w="1352" w:type="dxa"/>
            <w:tcBorders>
              <w:top w:val="nil"/>
              <w:left w:val="single" w:sz="2" w:space="0" w:color="auto"/>
              <w:bottom w:val="nil"/>
              <w:right w:val="single" w:sz="2" w:space="0" w:color="auto"/>
            </w:tcBorders>
            <w:shd w:val="clear" w:color="auto" w:fill="auto"/>
            <w:vAlign w:val="center"/>
          </w:tcPr>
          <w:p w14:paraId="5C41BA0A" w14:textId="77777777" w:rsidR="00FD3FC3" w:rsidRPr="00445B89" w:rsidRDefault="00FD3FC3" w:rsidP="008D29D8">
            <w:pPr>
              <w:autoSpaceDE w:val="0"/>
              <w:autoSpaceDN w:val="0"/>
              <w:adjustRightInd w:val="0"/>
              <w:ind w:right="340"/>
              <w:jc w:val="right"/>
              <w:rPr>
                <w:rFonts w:eastAsia="Calibri"/>
                <w:sz w:val="20"/>
                <w:szCs w:val="20"/>
                <w:lang w:eastAsia="en-US"/>
              </w:rPr>
            </w:pPr>
            <w:r w:rsidRPr="00445B89">
              <w:rPr>
                <w:rFonts w:eastAsia="Calibri"/>
                <w:sz w:val="20"/>
                <w:szCs w:val="20"/>
                <w:lang w:eastAsia="en-US"/>
              </w:rPr>
              <w:t>176</w:t>
            </w:r>
          </w:p>
        </w:tc>
        <w:tc>
          <w:tcPr>
            <w:tcW w:w="951" w:type="dxa"/>
            <w:tcBorders>
              <w:top w:val="nil"/>
              <w:left w:val="single" w:sz="2" w:space="0" w:color="auto"/>
              <w:bottom w:val="nil"/>
              <w:right w:val="single" w:sz="2" w:space="0" w:color="auto"/>
            </w:tcBorders>
            <w:shd w:val="clear" w:color="auto" w:fill="auto"/>
            <w:vAlign w:val="center"/>
          </w:tcPr>
          <w:p w14:paraId="608AF1B1" w14:textId="77777777" w:rsidR="00FD3FC3" w:rsidRPr="00445B89" w:rsidRDefault="00FD3FC3" w:rsidP="008D29D8">
            <w:pPr>
              <w:autoSpaceDE w:val="0"/>
              <w:autoSpaceDN w:val="0"/>
              <w:adjustRightInd w:val="0"/>
              <w:ind w:right="170"/>
              <w:jc w:val="right"/>
              <w:rPr>
                <w:rFonts w:eastAsia="Calibri"/>
                <w:sz w:val="20"/>
                <w:szCs w:val="20"/>
                <w:lang w:eastAsia="en-US"/>
              </w:rPr>
            </w:pPr>
            <w:r w:rsidRPr="00445B89">
              <w:rPr>
                <w:rFonts w:eastAsia="Calibri"/>
                <w:sz w:val="20"/>
                <w:szCs w:val="20"/>
                <w:lang w:eastAsia="en-US"/>
              </w:rPr>
              <w:t>5.1</w:t>
            </w:r>
          </w:p>
        </w:tc>
        <w:tc>
          <w:tcPr>
            <w:tcW w:w="1434" w:type="dxa"/>
            <w:tcBorders>
              <w:top w:val="nil"/>
              <w:left w:val="single" w:sz="2" w:space="0" w:color="auto"/>
              <w:bottom w:val="nil"/>
              <w:right w:val="single" w:sz="2" w:space="0" w:color="auto"/>
            </w:tcBorders>
            <w:shd w:val="clear" w:color="auto" w:fill="auto"/>
            <w:vAlign w:val="center"/>
          </w:tcPr>
          <w:p w14:paraId="4D66FEE6" w14:textId="77777777" w:rsidR="00FD3FC3" w:rsidRPr="00445B89" w:rsidRDefault="00FD3FC3" w:rsidP="008D29D8">
            <w:pPr>
              <w:autoSpaceDE w:val="0"/>
              <w:autoSpaceDN w:val="0"/>
              <w:adjustRightInd w:val="0"/>
              <w:ind w:right="454"/>
              <w:jc w:val="right"/>
              <w:rPr>
                <w:rFonts w:eastAsia="Calibri"/>
                <w:sz w:val="20"/>
                <w:szCs w:val="20"/>
                <w:lang w:eastAsia="en-US"/>
              </w:rPr>
            </w:pPr>
            <w:r w:rsidRPr="00445B89">
              <w:rPr>
                <w:rFonts w:eastAsia="Calibri"/>
                <w:sz w:val="20"/>
                <w:szCs w:val="20"/>
                <w:lang w:eastAsia="en-US"/>
              </w:rPr>
              <w:t>5</w:t>
            </w:r>
          </w:p>
        </w:tc>
        <w:tc>
          <w:tcPr>
            <w:tcW w:w="1701" w:type="dxa"/>
            <w:tcBorders>
              <w:top w:val="nil"/>
              <w:left w:val="single" w:sz="2" w:space="0" w:color="auto"/>
              <w:bottom w:val="nil"/>
              <w:right w:val="single" w:sz="2" w:space="0" w:color="auto"/>
            </w:tcBorders>
            <w:shd w:val="clear" w:color="auto" w:fill="auto"/>
            <w:vAlign w:val="center"/>
          </w:tcPr>
          <w:p w14:paraId="034D911B" w14:textId="77777777" w:rsidR="00FD3FC3" w:rsidRPr="00445B89" w:rsidRDefault="00FD3FC3" w:rsidP="008D29D8">
            <w:pPr>
              <w:autoSpaceDE w:val="0"/>
              <w:autoSpaceDN w:val="0"/>
              <w:adjustRightInd w:val="0"/>
              <w:ind w:right="567"/>
              <w:jc w:val="right"/>
              <w:rPr>
                <w:rFonts w:eastAsia="Calibri"/>
                <w:sz w:val="20"/>
                <w:szCs w:val="20"/>
                <w:lang w:eastAsia="en-US"/>
              </w:rPr>
            </w:pPr>
            <w:r w:rsidRPr="00445B89">
              <w:rPr>
                <w:rFonts w:eastAsia="Calibri"/>
                <w:sz w:val="20"/>
                <w:szCs w:val="20"/>
                <w:lang w:eastAsia="en-US"/>
              </w:rPr>
              <w:t>3</w:t>
            </w:r>
          </w:p>
        </w:tc>
      </w:tr>
      <w:tr w:rsidR="00FD3FC3" w:rsidRPr="00FD3FC3" w14:paraId="33D8E679" w14:textId="77777777" w:rsidTr="00445B89">
        <w:trPr>
          <w:trHeight w:val="106"/>
          <w:jc w:val="center"/>
        </w:trPr>
        <w:tc>
          <w:tcPr>
            <w:tcW w:w="3209" w:type="dxa"/>
            <w:tcBorders>
              <w:top w:val="nil"/>
              <w:left w:val="single" w:sz="2" w:space="0" w:color="auto"/>
              <w:bottom w:val="nil"/>
              <w:right w:val="single" w:sz="2" w:space="0" w:color="auto"/>
            </w:tcBorders>
            <w:shd w:val="clear" w:color="auto" w:fill="auto"/>
            <w:vAlign w:val="center"/>
          </w:tcPr>
          <w:p w14:paraId="74C63D5C" w14:textId="77777777" w:rsidR="00FD3FC3" w:rsidRPr="00445B89" w:rsidRDefault="00FD3FC3" w:rsidP="00FD3FC3">
            <w:pPr>
              <w:autoSpaceDE w:val="0"/>
              <w:autoSpaceDN w:val="0"/>
              <w:adjustRightInd w:val="0"/>
              <w:rPr>
                <w:rFonts w:eastAsia="Calibri"/>
                <w:bCs/>
                <w:sz w:val="20"/>
                <w:szCs w:val="20"/>
                <w:lang w:eastAsia="en-US"/>
              </w:rPr>
            </w:pPr>
            <w:r w:rsidRPr="00445B89">
              <w:rPr>
                <w:rFonts w:eastAsia="Calibri"/>
                <w:bCs/>
                <w:sz w:val="20"/>
                <w:szCs w:val="20"/>
                <w:lang w:eastAsia="en-US"/>
              </w:rPr>
              <w:t>Santander</w:t>
            </w:r>
          </w:p>
        </w:tc>
        <w:tc>
          <w:tcPr>
            <w:tcW w:w="1352" w:type="dxa"/>
            <w:tcBorders>
              <w:top w:val="nil"/>
              <w:left w:val="single" w:sz="2" w:space="0" w:color="auto"/>
              <w:bottom w:val="nil"/>
              <w:right w:val="single" w:sz="2" w:space="0" w:color="auto"/>
            </w:tcBorders>
            <w:shd w:val="clear" w:color="auto" w:fill="auto"/>
            <w:vAlign w:val="center"/>
          </w:tcPr>
          <w:p w14:paraId="742CDE8A" w14:textId="77777777" w:rsidR="00FD3FC3" w:rsidRPr="00445B89" w:rsidRDefault="00FD3FC3" w:rsidP="008D29D8">
            <w:pPr>
              <w:autoSpaceDE w:val="0"/>
              <w:autoSpaceDN w:val="0"/>
              <w:adjustRightInd w:val="0"/>
              <w:ind w:right="340"/>
              <w:jc w:val="right"/>
              <w:rPr>
                <w:rFonts w:eastAsia="Calibri"/>
                <w:sz w:val="20"/>
                <w:szCs w:val="20"/>
                <w:lang w:eastAsia="en-US"/>
              </w:rPr>
            </w:pPr>
            <w:r w:rsidRPr="00445B89">
              <w:rPr>
                <w:rFonts w:eastAsia="Calibri"/>
                <w:sz w:val="20"/>
                <w:szCs w:val="20"/>
                <w:lang w:eastAsia="en-US"/>
              </w:rPr>
              <w:t>307</w:t>
            </w:r>
          </w:p>
        </w:tc>
        <w:tc>
          <w:tcPr>
            <w:tcW w:w="951" w:type="dxa"/>
            <w:tcBorders>
              <w:top w:val="nil"/>
              <w:left w:val="single" w:sz="2" w:space="0" w:color="auto"/>
              <w:bottom w:val="nil"/>
              <w:right w:val="single" w:sz="2" w:space="0" w:color="auto"/>
            </w:tcBorders>
            <w:shd w:val="clear" w:color="auto" w:fill="auto"/>
            <w:vAlign w:val="center"/>
          </w:tcPr>
          <w:p w14:paraId="78625887" w14:textId="77777777" w:rsidR="00FD3FC3" w:rsidRPr="00445B89" w:rsidRDefault="00FD3FC3" w:rsidP="008D29D8">
            <w:pPr>
              <w:autoSpaceDE w:val="0"/>
              <w:autoSpaceDN w:val="0"/>
              <w:adjustRightInd w:val="0"/>
              <w:ind w:right="170"/>
              <w:jc w:val="right"/>
              <w:rPr>
                <w:rFonts w:eastAsia="Calibri"/>
                <w:sz w:val="20"/>
                <w:szCs w:val="20"/>
                <w:lang w:eastAsia="en-US"/>
              </w:rPr>
            </w:pPr>
            <w:r w:rsidRPr="00445B89">
              <w:rPr>
                <w:rFonts w:eastAsia="Calibri"/>
                <w:sz w:val="20"/>
                <w:szCs w:val="20"/>
                <w:lang w:eastAsia="en-US"/>
              </w:rPr>
              <w:t>9.0</w:t>
            </w:r>
          </w:p>
        </w:tc>
        <w:tc>
          <w:tcPr>
            <w:tcW w:w="1434" w:type="dxa"/>
            <w:tcBorders>
              <w:top w:val="nil"/>
              <w:left w:val="single" w:sz="2" w:space="0" w:color="auto"/>
              <w:bottom w:val="nil"/>
              <w:right w:val="single" w:sz="2" w:space="0" w:color="auto"/>
            </w:tcBorders>
            <w:shd w:val="clear" w:color="auto" w:fill="auto"/>
            <w:vAlign w:val="center"/>
          </w:tcPr>
          <w:p w14:paraId="6FEB31BE" w14:textId="77777777" w:rsidR="00FD3FC3" w:rsidRPr="00445B89" w:rsidRDefault="00FD3FC3" w:rsidP="008D29D8">
            <w:pPr>
              <w:autoSpaceDE w:val="0"/>
              <w:autoSpaceDN w:val="0"/>
              <w:adjustRightInd w:val="0"/>
              <w:ind w:right="454"/>
              <w:jc w:val="right"/>
              <w:rPr>
                <w:rFonts w:eastAsia="Calibri"/>
                <w:sz w:val="20"/>
                <w:szCs w:val="20"/>
                <w:lang w:eastAsia="en-US"/>
              </w:rPr>
            </w:pPr>
            <w:r w:rsidRPr="00445B89">
              <w:rPr>
                <w:rFonts w:eastAsia="Calibri"/>
                <w:sz w:val="20"/>
                <w:szCs w:val="20"/>
                <w:lang w:eastAsia="en-US"/>
              </w:rPr>
              <w:t>8</w:t>
            </w:r>
          </w:p>
        </w:tc>
        <w:tc>
          <w:tcPr>
            <w:tcW w:w="1701" w:type="dxa"/>
            <w:tcBorders>
              <w:top w:val="nil"/>
              <w:left w:val="single" w:sz="2" w:space="0" w:color="auto"/>
              <w:bottom w:val="nil"/>
              <w:right w:val="single" w:sz="2" w:space="0" w:color="auto"/>
            </w:tcBorders>
            <w:shd w:val="clear" w:color="auto" w:fill="auto"/>
            <w:vAlign w:val="center"/>
          </w:tcPr>
          <w:p w14:paraId="2CE04C39" w14:textId="77777777" w:rsidR="00FD3FC3" w:rsidRPr="00445B89" w:rsidRDefault="00FD3FC3" w:rsidP="008D29D8">
            <w:pPr>
              <w:autoSpaceDE w:val="0"/>
              <w:autoSpaceDN w:val="0"/>
              <w:adjustRightInd w:val="0"/>
              <w:ind w:right="567"/>
              <w:jc w:val="right"/>
              <w:rPr>
                <w:rFonts w:eastAsia="Calibri"/>
                <w:sz w:val="20"/>
                <w:szCs w:val="20"/>
                <w:lang w:eastAsia="en-US"/>
              </w:rPr>
            </w:pPr>
            <w:r w:rsidRPr="00445B89">
              <w:rPr>
                <w:rFonts w:eastAsia="Calibri"/>
                <w:sz w:val="20"/>
                <w:szCs w:val="20"/>
                <w:lang w:eastAsia="en-US"/>
              </w:rPr>
              <w:t>21</w:t>
            </w:r>
          </w:p>
        </w:tc>
      </w:tr>
      <w:tr w:rsidR="00FD3FC3" w:rsidRPr="00FD3FC3" w14:paraId="14FCA02B" w14:textId="77777777" w:rsidTr="00445B89">
        <w:trPr>
          <w:trHeight w:val="106"/>
          <w:jc w:val="center"/>
        </w:trPr>
        <w:tc>
          <w:tcPr>
            <w:tcW w:w="3209" w:type="dxa"/>
            <w:tcBorders>
              <w:top w:val="nil"/>
              <w:left w:val="single" w:sz="2" w:space="0" w:color="auto"/>
              <w:bottom w:val="nil"/>
              <w:right w:val="single" w:sz="2" w:space="0" w:color="auto"/>
            </w:tcBorders>
            <w:shd w:val="clear" w:color="auto" w:fill="auto"/>
            <w:vAlign w:val="center"/>
          </w:tcPr>
          <w:p w14:paraId="230E798A" w14:textId="77777777" w:rsidR="00FD3FC3" w:rsidRPr="00445B89" w:rsidRDefault="00FD3FC3" w:rsidP="00FD3FC3">
            <w:pPr>
              <w:autoSpaceDE w:val="0"/>
              <w:autoSpaceDN w:val="0"/>
              <w:adjustRightInd w:val="0"/>
              <w:rPr>
                <w:rFonts w:eastAsia="Calibri"/>
                <w:bCs/>
                <w:sz w:val="20"/>
                <w:szCs w:val="20"/>
                <w:lang w:eastAsia="en-US"/>
              </w:rPr>
            </w:pPr>
            <w:r w:rsidRPr="00445B89">
              <w:rPr>
                <w:rFonts w:eastAsia="Calibri"/>
                <w:bCs/>
                <w:sz w:val="20"/>
                <w:szCs w:val="20"/>
                <w:lang w:eastAsia="en-US"/>
              </w:rPr>
              <w:t xml:space="preserve">   Santander Consumo Sofom ER</w:t>
            </w:r>
          </w:p>
        </w:tc>
        <w:tc>
          <w:tcPr>
            <w:tcW w:w="1352" w:type="dxa"/>
            <w:tcBorders>
              <w:top w:val="nil"/>
              <w:left w:val="single" w:sz="2" w:space="0" w:color="auto"/>
              <w:bottom w:val="nil"/>
              <w:right w:val="single" w:sz="2" w:space="0" w:color="auto"/>
            </w:tcBorders>
            <w:shd w:val="clear" w:color="auto" w:fill="auto"/>
            <w:vAlign w:val="center"/>
          </w:tcPr>
          <w:p w14:paraId="7D5964D7" w14:textId="77777777" w:rsidR="00FD3FC3" w:rsidRPr="00445B89" w:rsidRDefault="00FD3FC3" w:rsidP="008D29D8">
            <w:pPr>
              <w:autoSpaceDE w:val="0"/>
              <w:autoSpaceDN w:val="0"/>
              <w:adjustRightInd w:val="0"/>
              <w:ind w:right="340"/>
              <w:jc w:val="right"/>
              <w:rPr>
                <w:rFonts w:eastAsia="Calibri"/>
                <w:sz w:val="20"/>
                <w:szCs w:val="20"/>
                <w:lang w:eastAsia="en-US"/>
              </w:rPr>
            </w:pPr>
            <w:r w:rsidRPr="00445B89">
              <w:rPr>
                <w:rFonts w:eastAsia="Calibri"/>
                <w:sz w:val="20"/>
                <w:szCs w:val="20"/>
                <w:lang w:eastAsia="en-US"/>
              </w:rPr>
              <w:t>199</w:t>
            </w:r>
          </w:p>
        </w:tc>
        <w:tc>
          <w:tcPr>
            <w:tcW w:w="951" w:type="dxa"/>
            <w:tcBorders>
              <w:top w:val="nil"/>
              <w:left w:val="single" w:sz="2" w:space="0" w:color="auto"/>
              <w:bottom w:val="nil"/>
              <w:right w:val="single" w:sz="2" w:space="0" w:color="auto"/>
            </w:tcBorders>
            <w:shd w:val="clear" w:color="auto" w:fill="auto"/>
            <w:vAlign w:val="center"/>
          </w:tcPr>
          <w:p w14:paraId="697E97C5" w14:textId="77777777" w:rsidR="00FD3FC3" w:rsidRPr="00445B89" w:rsidRDefault="00FD3FC3" w:rsidP="008D29D8">
            <w:pPr>
              <w:autoSpaceDE w:val="0"/>
              <w:autoSpaceDN w:val="0"/>
              <w:adjustRightInd w:val="0"/>
              <w:ind w:right="170"/>
              <w:jc w:val="right"/>
              <w:rPr>
                <w:rFonts w:eastAsia="Calibri"/>
                <w:sz w:val="20"/>
                <w:szCs w:val="20"/>
                <w:lang w:eastAsia="en-US"/>
              </w:rPr>
            </w:pPr>
            <w:r w:rsidRPr="00445B89">
              <w:rPr>
                <w:rFonts w:eastAsia="Calibri"/>
                <w:sz w:val="20"/>
                <w:szCs w:val="20"/>
                <w:lang w:eastAsia="en-US"/>
              </w:rPr>
              <w:t>5.8</w:t>
            </w:r>
          </w:p>
        </w:tc>
        <w:tc>
          <w:tcPr>
            <w:tcW w:w="1434" w:type="dxa"/>
            <w:tcBorders>
              <w:top w:val="nil"/>
              <w:left w:val="single" w:sz="2" w:space="0" w:color="auto"/>
              <w:bottom w:val="nil"/>
              <w:right w:val="single" w:sz="2" w:space="0" w:color="auto"/>
            </w:tcBorders>
            <w:shd w:val="clear" w:color="auto" w:fill="auto"/>
            <w:vAlign w:val="center"/>
          </w:tcPr>
          <w:p w14:paraId="38915096" w14:textId="77777777" w:rsidR="00FD3FC3" w:rsidRPr="00445B89" w:rsidRDefault="00FD3FC3" w:rsidP="008D29D8">
            <w:pPr>
              <w:autoSpaceDE w:val="0"/>
              <w:autoSpaceDN w:val="0"/>
              <w:adjustRightInd w:val="0"/>
              <w:ind w:right="454"/>
              <w:jc w:val="right"/>
              <w:rPr>
                <w:rFonts w:eastAsia="Calibri"/>
                <w:sz w:val="20"/>
                <w:szCs w:val="20"/>
                <w:lang w:eastAsia="en-US"/>
              </w:rPr>
            </w:pPr>
            <w:r w:rsidRPr="00445B89">
              <w:rPr>
                <w:rFonts w:eastAsia="Calibri"/>
                <w:sz w:val="20"/>
                <w:szCs w:val="20"/>
                <w:lang w:eastAsia="en-US"/>
              </w:rPr>
              <w:t>16</w:t>
            </w:r>
          </w:p>
        </w:tc>
        <w:tc>
          <w:tcPr>
            <w:tcW w:w="1701" w:type="dxa"/>
            <w:tcBorders>
              <w:top w:val="nil"/>
              <w:left w:val="single" w:sz="2" w:space="0" w:color="auto"/>
              <w:bottom w:val="nil"/>
              <w:right w:val="single" w:sz="2" w:space="0" w:color="auto"/>
            </w:tcBorders>
            <w:shd w:val="clear" w:color="auto" w:fill="auto"/>
            <w:vAlign w:val="center"/>
          </w:tcPr>
          <w:p w14:paraId="39CD532C" w14:textId="77777777" w:rsidR="00FD3FC3" w:rsidRPr="00445B89" w:rsidRDefault="00FD3FC3" w:rsidP="008D29D8">
            <w:pPr>
              <w:autoSpaceDE w:val="0"/>
              <w:autoSpaceDN w:val="0"/>
              <w:adjustRightInd w:val="0"/>
              <w:ind w:right="567"/>
              <w:jc w:val="right"/>
              <w:rPr>
                <w:rFonts w:eastAsia="Calibri"/>
                <w:sz w:val="20"/>
                <w:szCs w:val="20"/>
                <w:lang w:eastAsia="en-US"/>
              </w:rPr>
            </w:pPr>
            <w:r w:rsidRPr="00445B89">
              <w:rPr>
                <w:rFonts w:eastAsia="Calibri"/>
                <w:sz w:val="20"/>
                <w:szCs w:val="20"/>
                <w:lang w:eastAsia="en-US"/>
              </w:rPr>
              <w:t>6</w:t>
            </w:r>
          </w:p>
        </w:tc>
      </w:tr>
      <w:tr w:rsidR="00FD3FC3" w:rsidRPr="00FD3FC3" w14:paraId="1C39F3FE" w14:textId="77777777" w:rsidTr="00445B89">
        <w:trPr>
          <w:trHeight w:val="106"/>
          <w:jc w:val="center"/>
        </w:trPr>
        <w:tc>
          <w:tcPr>
            <w:tcW w:w="3209" w:type="dxa"/>
            <w:tcBorders>
              <w:top w:val="nil"/>
              <w:left w:val="single" w:sz="2" w:space="0" w:color="auto"/>
              <w:bottom w:val="nil"/>
              <w:right w:val="single" w:sz="2" w:space="0" w:color="auto"/>
            </w:tcBorders>
            <w:shd w:val="clear" w:color="auto" w:fill="auto"/>
            <w:vAlign w:val="center"/>
          </w:tcPr>
          <w:p w14:paraId="3A995BA7" w14:textId="77777777" w:rsidR="00FD3FC3" w:rsidRPr="00445B89" w:rsidRDefault="00FD3FC3" w:rsidP="00FD3FC3">
            <w:pPr>
              <w:autoSpaceDE w:val="0"/>
              <w:autoSpaceDN w:val="0"/>
              <w:adjustRightInd w:val="0"/>
              <w:rPr>
                <w:rFonts w:eastAsia="Calibri"/>
                <w:bCs/>
                <w:sz w:val="20"/>
                <w:szCs w:val="20"/>
                <w:lang w:eastAsia="en-US"/>
              </w:rPr>
            </w:pPr>
            <w:r w:rsidRPr="00445B89">
              <w:rPr>
                <w:rFonts w:eastAsia="Calibri"/>
                <w:bCs/>
                <w:sz w:val="20"/>
                <w:szCs w:val="20"/>
                <w:lang w:eastAsia="en-US"/>
              </w:rPr>
              <w:t xml:space="preserve">   Santander Hipotecario Sofom ER</w:t>
            </w:r>
          </w:p>
        </w:tc>
        <w:tc>
          <w:tcPr>
            <w:tcW w:w="1352" w:type="dxa"/>
            <w:tcBorders>
              <w:top w:val="nil"/>
              <w:left w:val="single" w:sz="2" w:space="0" w:color="auto"/>
              <w:bottom w:val="nil"/>
              <w:right w:val="single" w:sz="2" w:space="0" w:color="auto"/>
            </w:tcBorders>
            <w:shd w:val="clear" w:color="auto" w:fill="auto"/>
            <w:vAlign w:val="center"/>
          </w:tcPr>
          <w:p w14:paraId="285DDAD4" w14:textId="77777777" w:rsidR="00FD3FC3" w:rsidRPr="00445B89" w:rsidRDefault="00FD3FC3" w:rsidP="008D29D8">
            <w:pPr>
              <w:autoSpaceDE w:val="0"/>
              <w:autoSpaceDN w:val="0"/>
              <w:adjustRightInd w:val="0"/>
              <w:ind w:right="340"/>
              <w:jc w:val="right"/>
              <w:rPr>
                <w:rFonts w:eastAsia="Calibri"/>
                <w:sz w:val="20"/>
                <w:szCs w:val="20"/>
                <w:lang w:eastAsia="en-US"/>
              </w:rPr>
            </w:pPr>
            <w:r w:rsidRPr="00445B89">
              <w:rPr>
                <w:rFonts w:eastAsia="Calibri"/>
                <w:sz w:val="20"/>
                <w:szCs w:val="20"/>
                <w:lang w:eastAsia="en-US"/>
              </w:rPr>
              <w:t>9</w:t>
            </w:r>
          </w:p>
        </w:tc>
        <w:tc>
          <w:tcPr>
            <w:tcW w:w="951" w:type="dxa"/>
            <w:tcBorders>
              <w:top w:val="nil"/>
              <w:left w:val="single" w:sz="2" w:space="0" w:color="auto"/>
              <w:bottom w:val="nil"/>
              <w:right w:val="single" w:sz="2" w:space="0" w:color="auto"/>
            </w:tcBorders>
            <w:shd w:val="clear" w:color="auto" w:fill="auto"/>
            <w:vAlign w:val="center"/>
          </w:tcPr>
          <w:p w14:paraId="33A0C398" w14:textId="77777777" w:rsidR="00FD3FC3" w:rsidRPr="00445B89" w:rsidRDefault="00FD3FC3" w:rsidP="008D29D8">
            <w:pPr>
              <w:autoSpaceDE w:val="0"/>
              <w:autoSpaceDN w:val="0"/>
              <w:adjustRightInd w:val="0"/>
              <w:ind w:right="170"/>
              <w:jc w:val="right"/>
              <w:rPr>
                <w:rFonts w:eastAsia="Calibri"/>
                <w:sz w:val="20"/>
                <w:szCs w:val="20"/>
                <w:lang w:eastAsia="en-US"/>
              </w:rPr>
            </w:pPr>
            <w:r w:rsidRPr="00445B89">
              <w:rPr>
                <w:rFonts w:eastAsia="Calibri"/>
                <w:sz w:val="20"/>
                <w:szCs w:val="20"/>
                <w:lang w:eastAsia="en-US"/>
              </w:rPr>
              <w:t>0.3</w:t>
            </w:r>
          </w:p>
        </w:tc>
        <w:tc>
          <w:tcPr>
            <w:tcW w:w="1434" w:type="dxa"/>
            <w:tcBorders>
              <w:top w:val="nil"/>
              <w:left w:val="single" w:sz="2" w:space="0" w:color="auto"/>
              <w:bottom w:val="nil"/>
              <w:right w:val="single" w:sz="2" w:space="0" w:color="auto"/>
            </w:tcBorders>
            <w:shd w:val="clear" w:color="auto" w:fill="auto"/>
            <w:vAlign w:val="center"/>
          </w:tcPr>
          <w:p w14:paraId="397C6A1F" w14:textId="77777777" w:rsidR="00FD3FC3" w:rsidRPr="00445B89" w:rsidRDefault="00FD3FC3" w:rsidP="008D29D8">
            <w:pPr>
              <w:autoSpaceDE w:val="0"/>
              <w:autoSpaceDN w:val="0"/>
              <w:adjustRightInd w:val="0"/>
              <w:ind w:right="454"/>
              <w:jc w:val="right"/>
              <w:rPr>
                <w:rFonts w:eastAsia="Calibri"/>
                <w:sz w:val="20"/>
                <w:szCs w:val="20"/>
                <w:lang w:eastAsia="en-US"/>
              </w:rPr>
            </w:pPr>
            <w:r w:rsidRPr="00445B89">
              <w:rPr>
                <w:rFonts w:eastAsia="Calibri"/>
                <w:sz w:val="20"/>
                <w:szCs w:val="20"/>
                <w:lang w:eastAsia="en-US"/>
              </w:rPr>
              <w:t>5</w:t>
            </w:r>
          </w:p>
        </w:tc>
        <w:tc>
          <w:tcPr>
            <w:tcW w:w="1701" w:type="dxa"/>
            <w:tcBorders>
              <w:top w:val="nil"/>
              <w:left w:val="single" w:sz="2" w:space="0" w:color="auto"/>
              <w:bottom w:val="nil"/>
              <w:right w:val="single" w:sz="2" w:space="0" w:color="auto"/>
            </w:tcBorders>
            <w:shd w:val="clear" w:color="auto" w:fill="auto"/>
            <w:vAlign w:val="center"/>
          </w:tcPr>
          <w:p w14:paraId="7500012C" w14:textId="77777777" w:rsidR="00FD3FC3" w:rsidRPr="00445B89" w:rsidRDefault="00FD3FC3" w:rsidP="008D29D8">
            <w:pPr>
              <w:autoSpaceDE w:val="0"/>
              <w:autoSpaceDN w:val="0"/>
              <w:adjustRightInd w:val="0"/>
              <w:ind w:right="567"/>
              <w:jc w:val="right"/>
              <w:rPr>
                <w:rFonts w:eastAsia="Calibri"/>
                <w:sz w:val="20"/>
                <w:szCs w:val="20"/>
                <w:lang w:eastAsia="en-US"/>
              </w:rPr>
            </w:pPr>
            <w:r w:rsidRPr="00445B89">
              <w:rPr>
                <w:rFonts w:eastAsia="Calibri"/>
                <w:sz w:val="20"/>
                <w:szCs w:val="20"/>
                <w:lang w:eastAsia="en-US"/>
              </w:rPr>
              <w:t>0</w:t>
            </w:r>
          </w:p>
        </w:tc>
      </w:tr>
      <w:tr w:rsidR="00FD3FC3" w:rsidRPr="00FD3FC3" w14:paraId="4455DAC6" w14:textId="77777777" w:rsidTr="00445B89">
        <w:trPr>
          <w:trHeight w:val="106"/>
          <w:jc w:val="center"/>
        </w:trPr>
        <w:tc>
          <w:tcPr>
            <w:tcW w:w="3209" w:type="dxa"/>
            <w:tcBorders>
              <w:top w:val="nil"/>
              <w:left w:val="single" w:sz="2" w:space="0" w:color="auto"/>
              <w:bottom w:val="nil"/>
              <w:right w:val="single" w:sz="2" w:space="0" w:color="auto"/>
            </w:tcBorders>
            <w:shd w:val="clear" w:color="auto" w:fill="auto"/>
            <w:vAlign w:val="center"/>
          </w:tcPr>
          <w:p w14:paraId="76520640" w14:textId="77777777" w:rsidR="00FD3FC3" w:rsidRPr="00445B89" w:rsidRDefault="00FD3FC3" w:rsidP="00FD3FC3">
            <w:pPr>
              <w:autoSpaceDE w:val="0"/>
              <w:autoSpaceDN w:val="0"/>
              <w:adjustRightInd w:val="0"/>
              <w:rPr>
                <w:rFonts w:eastAsia="Calibri"/>
                <w:bCs/>
                <w:sz w:val="20"/>
                <w:szCs w:val="20"/>
                <w:lang w:eastAsia="en-US"/>
              </w:rPr>
            </w:pPr>
            <w:r w:rsidRPr="00445B89">
              <w:rPr>
                <w:rFonts w:eastAsia="Calibri"/>
                <w:bCs/>
                <w:sz w:val="20"/>
                <w:szCs w:val="20"/>
                <w:lang w:eastAsia="en-US"/>
              </w:rPr>
              <w:t xml:space="preserve">   Santander Vivienda Sofom ER</w:t>
            </w:r>
          </w:p>
        </w:tc>
        <w:tc>
          <w:tcPr>
            <w:tcW w:w="1352" w:type="dxa"/>
            <w:tcBorders>
              <w:top w:val="nil"/>
              <w:left w:val="single" w:sz="2" w:space="0" w:color="auto"/>
              <w:bottom w:val="nil"/>
              <w:right w:val="single" w:sz="2" w:space="0" w:color="auto"/>
            </w:tcBorders>
            <w:shd w:val="clear" w:color="auto" w:fill="auto"/>
            <w:vAlign w:val="center"/>
          </w:tcPr>
          <w:p w14:paraId="43C6C12E" w14:textId="77777777" w:rsidR="00FD3FC3" w:rsidRPr="00445B89" w:rsidRDefault="00FD3FC3" w:rsidP="008D29D8">
            <w:pPr>
              <w:autoSpaceDE w:val="0"/>
              <w:autoSpaceDN w:val="0"/>
              <w:adjustRightInd w:val="0"/>
              <w:ind w:right="340"/>
              <w:jc w:val="right"/>
              <w:rPr>
                <w:rFonts w:eastAsia="Calibri"/>
                <w:sz w:val="20"/>
                <w:szCs w:val="20"/>
                <w:lang w:eastAsia="en-US"/>
              </w:rPr>
            </w:pPr>
            <w:r w:rsidRPr="00445B89">
              <w:rPr>
                <w:rFonts w:eastAsia="Calibri"/>
                <w:sz w:val="20"/>
                <w:szCs w:val="20"/>
                <w:lang w:eastAsia="en-US"/>
              </w:rPr>
              <w:t>13</w:t>
            </w:r>
          </w:p>
        </w:tc>
        <w:tc>
          <w:tcPr>
            <w:tcW w:w="951" w:type="dxa"/>
            <w:tcBorders>
              <w:top w:val="nil"/>
              <w:left w:val="single" w:sz="2" w:space="0" w:color="auto"/>
              <w:bottom w:val="nil"/>
              <w:right w:val="single" w:sz="2" w:space="0" w:color="auto"/>
            </w:tcBorders>
            <w:shd w:val="clear" w:color="auto" w:fill="auto"/>
            <w:vAlign w:val="center"/>
          </w:tcPr>
          <w:p w14:paraId="3AEDEC56" w14:textId="77777777" w:rsidR="00FD3FC3" w:rsidRPr="00445B89" w:rsidRDefault="00FD3FC3" w:rsidP="008D29D8">
            <w:pPr>
              <w:autoSpaceDE w:val="0"/>
              <w:autoSpaceDN w:val="0"/>
              <w:adjustRightInd w:val="0"/>
              <w:ind w:right="170"/>
              <w:jc w:val="right"/>
              <w:rPr>
                <w:rFonts w:eastAsia="Calibri"/>
                <w:sz w:val="20"/>
                <w:szCs w:val="20"/>
                <w:lang w:eastAsia="en-US"/>
              </w:rPr>
            </w:pPr>
            <w:r w:rsidRPr="00445B89">
              <w:rPr>
                <w:rFonts w:eastAsia="Calibri"/>
                <w:sz w:val="20"/>
                <w:szCs w:val="20"/>
                <w:lang w:eastAsia="en-US"/>
              </w:rPr>
              <w:t>0.4</w:t>
            </w:r>
          </w:p>
        </w:tc>
        <w:tc>
          <w:tcPr>
            <w:tcW w:w="1434" w:type="dxa"/>
            <w:tcBorders>
              <w:top w:val="nil"/>
              <w:left w:val="single" w:sz="2" w:space="0" w:color="auto"/>
              <w:bottom w:val="nil"/>
              <w:right w:val="single" w:sz="2" w:space="0" w:color="auto"/>
            </w:tcBorders>
            <w:shd w:val="clear" w:color="auto" w:fill="auto"/>
            <w:vAlign w:val="center"/>
          </w:tcPr>
          <w:p w14:paraId="549064ED" w14:textId="77777777" w:rsidR="00FD3FC3" w:rsidRPr="00445B89" w:rsidRDefault="00FD3FC3" w:rsidP="008D29D8">
            <w:pPr>
              <w:autoSpaceDE w:val="0"/>
              <w:autoSpaceDN w:val="0"/>
              <w:adjustRightInd w:val="0"/>
              <w:ind w:right="454"/>
              <w:jc w:val="right"/>
              <w:rPr>
                <w:rFonts w:eastAsia="Calibri"/>
                <w:sz w:val="20"/>
                <w:szCs w:val="20"/>
                <w:lang w:eastAsia="en-US"/>
              </w:rPr>
            </w:pPr>
            <w:r w:rsidRPr="00445B89">
              <w:rPr>
                <w:rFonts w:eastAsia="Calibri"/>
                <w:sz w:val="20"/>
                <w:szCs w:val="20"/>
                <w:lang w:eastAsia="en-US"/>
              </w:rPr>
              <w:t>15</w:t>
            </w:r>
          </w:p>
        </w:tc>
        <w:tc>
          <w:tcPr>
            <w:tcW w:w="1701" w:type="dxa"/>
            <w:tcBorders>
              <w:top w:val="nil"/>
              <w:left w:val="single" w:sz="2" w:space="0" w:color="auto"/>
              <w:bottom w:val="nil"/>
              <w:right w:val="single" w:sz="2" w:space="0" w:color="auto"/>
            </w:tcBorders>
            <w:shd w:val="clear" w:color="auto" w:fill="auto"/>
            <w:vAlign w:val="center"/>
          </w:tcPr>
          <w:p w14:paraId="427CAF17" w14:textId="77777777" w:rsidR="00FD3FC3" w:rsidRPr="00445B89" w:rsidRDefault="00FD3FC3" w:rsidP="008D29D8">
            <w:pPr>
              <w:autoSpaceDE w:val="0"/>
              <w:autoSpaceDN w:val="0"/>
              <w:adjustRightInd w:val="0"/>
              <w:ind w:right="567"/>
              <w:jc w:val="right"/>
              <w:rPr>
                <w:rFonts w:eastAsia="Calibri"/>
                <w:sz w:val="20"/>
                <w:szCs w:val="20"/>
                <w:lang w:eastAsia="en-US"/>
              </w:rPr>
            </w:pPr>
            <w:r w:rsidRPr="00445B89">
              <w:rPr>
                <w:rFonts w:eastAsia="Calibri"/>
                <w:sz w:val="20"/>
                <w:szCs w:val="20"/>
                <w:lang w:eastAsia="en-US"/>
              </w:rPr>
              <w:t>1</w:t>
            </w:r>
          </w:p>
        </w:tc>
      </w:tr>
      <w:tr w:rsidR="00FD3FC3" w:rsidRPr="00FD3FC3" w14:paraId="7B0694E7" w14:textId="77777777" w:rsidTr="00445B89">
        <w:trPr>
          <w:trHeight w:val="106"/>
          <w:jc w:val="center"/>
        </w:trPr>
        <w:tc>
          <w:tcPr>
            <w:tcW w:w="3209" w:type="dxa"/>
            <w:tcBorders>
              <w:top w:val="nil"/>
              <w:left w:val="single" w:sz="2" w:space="0" w:color="auto"/>
              <w:bottom w:val="nil"/>
              <w:right w:val="single" w:sz="2" w:space="0" w:color="auto"/>
            </w:tcBorders>
            <w:shd w:val="clear" w:color="auto" w:fill="auto"/>
            <w:vAlign w:val="center"/>
          </w:tcPr>
          <w:p w14:paraId="2CB6BA78" w14:textId="77777777" w:rsidR="00FD3FC3" w:rsidRPr="00445B89" w:rsidRDefault="00FD3FC3" w:rsidP="00FD3FC3">
            <w:pPr>
              <w:autoSpaceDE w:val="0"/>
              <w:autoSpaceDN w:val="0"/>
              <w:adjustRightInd w:val="0"/>
              <w:rPr>
                <w:rFonts w:eastAsia="Calibri"/>
                <w:bCs/>
                <w:sz w:val="20"/>
                <w:szCs w:val="20"/>
                <w:lang w:eastAsia="en-US"/>
              </w:rPr>
            </w:pPr>
            <w:r w:rsidRPr="00445B89">
              <w:rPr>
                <w:rFonts w:eastAsia="Calibri"/>
                <w:bCs/>
                <w:sz w:val="20"/>
                <w:szCs w:val="20"/>
                <w:lang w:eastAsia="en-US"/>
              </w:rPr>
              <w:t>Banorte</w:t>
            </w:r>
          </w:p>
        </w:tc>
        <w:tc>
          <w:tcPr>
            <w:tcW w:w="1352" w:type="dxa"/>
            <w:tcBorders>
              <w:top w:val="nil"/>
              <w:left w:val="single" w:sz="2" w:space="0" w:color="auto"/>
              <w:bottom w:val="nil"/>
              <w:right w:val="single" w:sz="2" w:space="0" w:color="auto"/>
            </w:tcBorders>
            <w:shd w:val="clear" w:color="auto" w:fill="auto"/>
            <w:vAlign w:val="center"/>
          </w:tcPr>
          <w:p w14:paraId="791C4D94" w14:textId="77777777" w:rsidR="00FD3FC3" w:rsidRPr="00445B89" w:rsidRDefault="00FD3FC3" w:rsidP="008D29D8">
            <w:pPr>
              <w:autoSpaceDE w:val="0"/>
              <w:autoSpaceDN w:val="0"/>
              <w:adjustRightInd w:val="0"/>
              <w:ind w:right="340"/>
              <w:jc w:val="right"/>
              <w:rPr>
                <w:rFonts w:eastAsia="Calibri"/>
                <w:sz w:val="20"/>
                <w:szCs w:val="20"/>
                <w:lang w:eastAsia="en-US"/>
              </w:rPr>
            </w:pPr>
            <w:r w:rsidRPr="00445B89">
              <w:rPr>
                <w:rFonts w:eastAsia="Calibri"/>
                <w:sz w:val="20"/>
                <w:szCs w:val="20"/>
                <w:lang w:eastAsia="en-US"/>
              </w:rPr>
              <w:t>197</w:t>
            </w:r>
          </w:p>
        </w:tc>
        <w:tc>
          <w:tcPr>
            <w:tcW w:w="951" w:type="dxa"/>
            <w:tcBorders>
              <w:top w:val="nil"/>
              <w:left w:val="single" w:sz="2" w:space="0" w:color="auto"/>
              <w:bottom w:val="nil"/>
              <w:right w:val="single" w:sz="2" w:space="0" w:color="auto"/>
            </w:tcBorders>
            <w:shd w:val="clear" w:color="auto" w:fill="auto"/>
            <w:vAlign w:val="center"/>
          </w:tcPr>
          <w:p w14:paraId="4DD92B9D" w14:textId="77777777" w:rsidR="00FD3FC3" w:rsidRPr="00445B89" w:rsidRDefault="00FD3FC3" w:rsidP="008D29D8">
            <w:pPr>
              <w:autoSpaceDE w:val="0"/>
              <w:autoSpaceDN w:val="0"/>
              <w:adjustRightInd w:val="0"/>
              <w:ind w:right="170"/>
              <w:jc w:val="right"/>
              <w:rPr>
                <w:rFonts w:eastAsia="Calibri"/>
                <w:sz w:val="20"/>
                <w:szCs w:val="20"/>
                <w:lang w:eastAsia="en-US"/>
              </w:rPr>
            </w:pPr>
            <w:r w:rsidRPr="00445B89">
              <w:rPr>
                <w:rFonts w:eastAsia="Calibri"/>
                <w:sz w:val="20"/>
                <w:szCs w:val="20"/>
                <w:lang w:eastAsia="en-US"/>
              </w:rPr>
              <w:t>5.7</w:t>
            </w:r>
          </w:p>
        </w:tc>
        <w:tc>
          <w:tcPr>
            <w:tcW w:w="1434" w:type="dxa"/>
            <w:tcBorders>
              <w:top w:val="nil"/>
              <w:left w:val="single" w:sz="2" w:space="0" w:color="auto"/>
              <w:bottom w:val="nil"/>
              <w:right w:val="single" w:sz="2" w:space="0" w:color="auto"/>
            </w:tcBorders>
            <w:shd w:val="clear" w:color="auto" w:fill="auto"/>
            <w:vAlign w:val="center"/>
          </w:tcPr>
          <w:p w14:paraId="1F6B01D3" w14:textId="77777777" w:rsidR="00FD3FC3" w:rsidRPr="00445B89" w:rsidRDefault="00FD3FC3" w:rsidP="008D29D8">
            <w:pPr>
              <w:autoSpaceDE w:val="0"/>
              <w:autoSpaceDN w:val="0"/>
              <w:adjustRightInd w:val="0"/>
              <w:ind w:right="454"/>
              <w:jc w:val="right"/>
              <w:rPr>
                <w:rFonts w:eastAsia="Calibri"/>
                <w:sz w:val="20"/>
                <w:szCs w:val="20"/>
                <w:lang w:eastAsia="en-US"/>
              </w:rPr>
            </w:pPr>
            <w:r w:rsidRPr="00445B89">
              <w:rPr>
                <w:rFonts w:eastAsia="Calibri"/>
                <w:sz w:val="20"/>
                <w:szCs w:val="20"/>
                <w:lang w:eastAsia="en-US"/>
              </w:rPr>
              <w:t>43</w:t>
            </w:r>
          </w:p>
        </w:tc>
        <w:tc>
          <w:tcPr>
            <w:tcW w:w="1701" w:type="dxa"/>
            <w:tcBorders>
              <w:top w:val="nil"/>
              <w:left w:val="single" w:sz="2" w:space="0" w:color="auto"/>
              <w:bottom w:val="nil"/>
              <w:right w:val="single" w:sz="2" w:space="0" w:color="auto"/>
            </w:tcBorders>
            <w:shd w:val="clear" w:color="auto" w:fill="auto"/>
            <w:vAlign w:val="center"/>
          </w:tcPr>
          <w:p w14:paraId="6731C2AF" w14:textId="77777777" w:rsidR="00FD3FC3" w:rsidRPr="00445B89" w:rsidRDefault="00FD3FC3" w:rsidP="008D29D8">
            <w:pPr>
              <w:autoSpaceDE w:val="0"/>
              <w:autoSpaceDN w:val="0"/>
              <w:adjustRightInd w:val="0"/>
              <w:ind w:right="567"/>
              <w:jc w:val="right"/>
              <w:rPr>
                <w:rFonts w:eastAsia="Calibri"/>
                <w:sz w:val="20"/>
                <w:szCs w:val="20"/>
                <w:lang w:eastAsia="en-US"/>
              </w:rPr>
            </w:pPr>
            <w:r w:rsidRPr="00445B89">
              <w:rPr>
                <w:rFonts w:eastAsia="Calibri"/>
                <w:sz w:val="20"/>
                <w:szCs w:val="20"/>
                <w:lang w:eastAsia="en-US"/>
              </w:rPr>
              <w:t>7</w:t>
            </w:r>
          </w:p>
        </w:tc>
      </w:tr>
      <w:tr w:rsidR="00FD3FC3" w:rsidRPr="00FD3FC3" w14:paraId="705889B6" w14:textId="77777777" w:rsidTr="00445B89">
        <w:trPr>
          <w:trHeight w:val="106"/>
          <w:jc w:val="center"/>
        </w:trPr>
        <w:tc>
          <w:tcPr>
            <w:tcW w:w="3209" w:type="dxa"/>
            <w:tcBorders>
              <w:top w:val="nil"/>
              <w:left w:val="single" w:sz="2" w:space="0" w:color="auto"/>
              <w:bottom w:val="nil"/>
              <w:right w:val="single" w:sz="2" w:space="0" w:color="auto"/>
            </w:tcBorders>
            <w:shd w:val="clear" w:color="auto" w:fill="auto"/>
            <w:vAlign w:val="center"/>
          </w:tcPr>
          <w:p w14:paraId="468B603F" w14:textId="77777777" w:rsidR="00FD3FC3" w:rsidRPr="00445B89" w:rsidRDefault="00FD3FC3" w:rsidP="00FD3FC3">
            <w:pPr>
              <w:autoSpaceDE w:val="0"/>
              <w:autoSpaceDN w:val="0"/>
              <w:adjustRightInd w:val="0"/>
              <w:rPr>
                <w:rFonts w:eastAsia="Calibri"/>
                <w:bCs/>
                <w:sz w:val="20"/>
                <w:szCs w:val="20"/>
                <w:lang w:eastAsia="en-US"/>
              </w:rPr>
            </w:pPr>
            <w:r w:rsidRPr="00445B89">
              <w:rPr>
                <w:rFonts w:eastAsia="Calibri"/>
                <w:bCs/>
                <w:sz w:val="20"/>
                <w:szCs w:val="20"/>
                <w:lang w:eastAsia="en-US"/>
              </w:rPr>
              <w:t xml:space="preserve">   Banorte-IXE tarjetas, Sofom ER</w:t>
            </w:r>
          </w:p>
        </w:tc>
        <w:tc>
          <w:tcPr>
            <w:tcW w:w="1352" w:type="dxa"/>
            <w:tcBorders>
              <w:top w:val="nil"/>
              <w:left w:val="single" w:sz="2" w:space="0" w:color="auto"/>
              <w:bottom w:val="nil"/>
              <w:right w:val="single" w:sz="2" w:space="0" w:color="auto"/>
            </w:tcBorders>
            <w:shd w:val="clear" w:color="auto" w:fill="auto"/>
            <w:vAlign w:val="center"/>
          </w:tcPr>
          <w:p w14:paraId="6BF83450" w14:textId="77777777" w:rsidR="00FD3FC3" w:rsidRPr="00445B89" w:rsidRDefault="00FD3FC3" w:rsidP="008D29D8">
            <w:pPr>
              <w:autoSpaceDE w:val="0"/>
              <w:autoSpaceDN w:val="0"/>
              <w:adjustRightInd w:val="0"/>
              <w:ind w:right="340"/>
              <w:jc w:val="right"/>
              <w:rPr>
                <w:rFonts w:eastAsia="Calibri"/>
                <w:sz w:val="20"/>
                <w:szCs w:val="20"/>
                <w:lang w:eastAsia="en-US"/>
              </w:rPr>
            </w:pPr>
            <w:r w:rsidRPr="00445B89">
              <w:rPr>
                <w:rFonts w:eastAsia="Calibri"/>
                <w:sz w:val="20"/>
                <w:szCs w:val="20"/>
                <w:lang w:eastAsia="en-US"/>
              </w:rPr>
              <w:t>107</w:t>
            </w:r>
          </w:p>
        </w:tc>
        <w:tc>
          <w:tcPr>
            <w:tcW w:w="951" w:type="dxa"/>
            <w:tcBorders>
              <w:top w:val="nil"/>
              <w:left w:val="single" w:sz="2" w:space="0" w:color="auto"/>
              <w:bottom w:val="nil"/>
              <w:right w:val="single" w:sz="2" w:space="0" w:color="auto"/>
            </w:tcBorders>
            <w:shd w:val="clear" w:color="auto" w:fill="auto"/>
            <w:vAlign w:val="center"/>
          </w:tcPr>
          <w:p w14:paraId="2BFBE2B1" w14:textId="77777777" w:rsidR="00FD3FC3" w:rsidRPr="00445B89" w:rsidRDefault="00FD3FC3" w:rsidP="008D29D8">
            <w:pPr>
              <w:autoSpaceDE w:val="0"/>
              <w:autoSpaceDN w:val="0"/>
              <w:adjustRightInd w:val="0"/>
              <w:ind w:right="170"/>
              <w:jc w:val="right"/>
              <w:rPr>
                <w:rFonts w:eastAsia="Calibri"/>
                <w:sz w:val="20"/>
                <w:szCs w:val="20"/>
                <w:lang w:eastAsia="en-US"/>
              </w:rPr>
            </w:pPr>
            <w:r w:rsidRPr="00445B89">
              <w:rPr>
                <w:rFonts w:eastAsia="Calibri"/>
                <w:sz w:val="20"/>
                <w:szCs w:val="20"/>
                <w:lang w:eastAsia="en-US"/>
              </w:rPr>
              <w:t>3.1</w:t>
            </w:r>
          </w:p>
        </w:tc>
        <w:tc>
          <w:tcPr>
            <w:tcW w:w="1434" w:type="dxa"/>
            <w:tcBorders>
              <w:top w:val="nil"/>
              <w:left w:val="single" w:sz="2" w:space="0" w:color="auto"/>
              <w:bottom w:val="nil"/>
              <w:right w:val="single" w:sz="2" w:space="0" w:color="auto"/>
            </w:tcBorders>
            <w:shd w:val="clear" w:color="auto" w:fill="auto"/>
            <w:vAlign w:val="center"/>
          </w:tcPr>
          <w:p w14:paraId="79345D11" w14:textId="77777777" w:rsidR="00FD3FC3" w:rsidRPr="00445B89" w:rsidRDefault="00FD3FC3" w:rsidP="008D29D8">
            <w:pPr>
              <w:autoSpaceDE w:val="0"/>
              <w:autoSpaceDN w:val="0"/>
              <w:adjustRightInd w:val="0"/>
              <w:ind w:right="454"/>
              <w:jc w:val="right"/>
              <w:rPr>
                <w:rFonts w:eastAsia="Calibri"/>
                <w:sz w:val="20"/>
                <w:szCs w:val="20"/>
                <w:lang w:eastAsia="en-US"/>
              </w:rPr>
            </w:pPr>
            <w:r w:rsidRPr="00445B89">
              <w:rPr>
                <w:rFonts w:eastAsia="Calibri"/>
                <w:sz w:val="20"/>
                <w:szCs w:val="20"/>
                <w:lang w:eastAsia="en-US"/>
              </w:rPr>
              <w:t>28</w:t>
            </w:r>
          </w:p>
        </w:tc>
        <w:tc>
          <w:tcPr>
            <w:tcW w:w="1701" w:type="dxa"/>
            <w:tcBorders>
              <w:top w:val="nil"/>
              <w:left w:val="single" w:sz="2" w:space="0" w:color="auto"/>
              <w:bottom w:val="nil"/>
              <w:right w:val="single" w:sz="2" w:space="0" w:color="auto"/>
            </w:tcBorders>
            <w:shd w:val="clear" w:color="auto" w:fill="auto"/>
            <w:vAlign w:val="center"/>
          </w:tcPr>
          <w:p w14:paraId="68E33AED" w14:textId="77777777" w:rsidR="00FD3FC3" w:rsidRPr="00445B89" w:rsidRDefault="00FD3FC3" w:rsidP="008D29D8">
            <w:pPr>
              <w:autoSpaceDE w:val="0"/>
              <w:autoSpaceDN w:val="0"/>
              <w:adjustRightInd w:val="0"/>
              <w:ind w:right="567"/>
              <w:jc w:val="right"/>
              <w:rPr>
                <w:rFonts w:eastAsia="Calibri"/>
                <w:sz w:val="20"/>
                <w:szCs w:val="20"/>
                <w:lang w:eastAsia="en-US"/>
              </w:rPr>
            </w:pPr>
            <w:r w:rsidRPr="00445B89">
              <w:rPr>
                <w:rFonts w:eastAsia="Calibri"/>
                <w:sz w:val="20"/>
                <w:szCs w:val="20"/>
                <w:lang w:eastAsia="en-US"/>
              </w:rPr>
              <w:t>0</w:t>
            </w:r>
          </w:p>
        </w:tc>
      </w:tr>
      <w:tr w:rsidR="00FD3FC3" w:rsidRPr="00FD3FC3" w14:paraId="583CDA8E" w14:textId="77777777" w:rsidTr="00445B89">
        <w:trPr>
          <w:trHeight w:val="106"/>
          <w:jc w:val="center"/>
        </w:trPr>
        <w:tc>
          <w:tcPr>
            <w:tcW w:w="3209" w:type="dxa"/>
            <w:tcBorders>
              <w:top w:val="nil"/>
              <w:left w:val="single" w:sz="2" w:space="0" w:color="auto"/>
              <w:bottom w:val="nil"/>
              <w:right w:val="single" w:sz="2" w:space="0" w:color="auto"/>
            </w:tcBorders>
            <w:shd w:val="clear" w:color="auto" w:fill="auto"/>
            <w:vAlign w:val="center"/>
          </w:tcPr>
          <w:p w14:paraId="0FA7EF60" w14:textId="77777777" w:rsidR="00FD3FC3" w:rsidRPr="00445B89" w:rsidRDefault="00FD3FC3" w:rsidP="00FD3FC3">
            <w:pPr>
              <w:autoSpaceDE w:val="0"/>
              <w:autoSpaceDN w:val="0"/>
              <w:adjustRightInd w:val="0"/>
              <w:rPr>
                <w:rFonts w:eastAsia="Calibri"/>
                <w:bCs/>
                <w:sz w:val="20"/>
                <w:szCs w:val="20"/>
                <w:lang w:eastAsia="en-US"/>
              </w:rPr>
            </w:pPr>
            <w:r w:rsidRPr="00445B89">
              <w:rPr>
                <w:rFonts w:eastAsia="Calibri"/>
                <w:bCs/>
                <w:sz w:val="20"/>
                <w:szCs w:val="20"/>
                <w:lang w:eastAsia="en-US"/>
              </w:rPr>
              <w:t xml:space="preserve">   Arrendadora Banorte, Sofom ER</w:t>
            </w:r>
          </w:p>
        </w:tc>
        <w:tc>
          <w:tcPr>
            <w:tcW w:w="1352" w:type="dxa"/>
            <w:tcBorders>
              <w:top w:val="nil"/>
              <w:left w:val="single" w:sz="2" w:space="0" w:color="auto"/>
              <w:bottom w:val="nil"/>
              <w:right w:val="single" w:sz="2" w:space="0" w:color="auto"/>
            </w:tcBorders>
            <w:shd w:val="clear" w:color="auto" w:fill="auto"/>
            <w:vAlign w:val="center"/>
          </w:tcPr>
          <w:p w14:paraId="3896EADA" w14:textId="77777777" w:rsidR="00FD3FC3" w:rsidRPr="00445B89" w:rsidRDefault="00FD3FC3" w:rsidP="008D29D8">
            <w:pPr>
              <w:autoSpaceDE w:val="0"/>
              <w:autoSpaceDN w:val="0"/>
              <w:adjustRightInd w:val="0"/>
              <w:ind w:right="340"/>
              <w:jc w:val="right"/>
              <w:rPr>
                <w:rFonts w:eastAsia="Calibri"/>
                <w:sz w:val="20"/>
                <w:szCs w:val="20"/>
                <w:lang w:eastAsia="en-US"/>
              </w:rPr>
            </w:pPr>
            <w:r w:rsidRPr="00445B89">
              <w:rPr>
                <w:rFonts w:eastAsia="Calibri"/>
                <w:sz w:val="20"/>
                <w:szCs w:val="20"/>
                <w:lang w:eastAsia="en-US"/>
              </w:rPr>
              <w:t>12</w:t>
            </w:r>
          </w:p>
        </w:tc>
        <w:tc>
          <w:tcPr>
            <w:tcW w:w="951" w:type="dxa"/>
            <w:tcBorders>
              <w:top w:val="nil"/>
              <w:left w:val="single" w:sz="2" w:space="0" w:color="auto"/>
              <w:bottom w:val="nil"/>
              <w:right w:val="single" w:sz="2" w:space="0" w:color="auto"/>
            </w:tcBorders>
            <w:shd w:val="clear" w:color="auto" w:fill="auto"/>
            <w:vAlign w:val="center"/>
          </w:tcPr>
          <w:p w14:paraId="10BC70C9" w14:textId="77777777" w:rsidR="00FD3FC3" w:rsidRPr="00445B89" w:rsidRDefault="00FD3FC3" w:rsidP="008D29D8">
            <w:pPr>
              <w:autoSpaceDE w:val="0"/>
              <w:autoSpaceDN w:val="0"/>
              <w:adjustRightInd w:val="0"/>
              <w:ind w:right="170"/>
              <w:jc w:val="right"/>
              <w:rPr>
                <w:rFonts w:eastAsia="Calibri"/>
                <w:sz w:val="20"/>
                <w:szCs w:val="20"/>
                <w:lang w:eastAsia="en-US"/>
              </w:rPr>
            </w:pPr>
            <w:r w:rsidRPr="00445B89">
              <w:rPr>
                <w:rFonts w:eastAsia="Calibri"/>
                <w:sz w:val="20"/>
                <w:szCs w:val="20"/>
                <w:lang w:eastAsia="en-US"/>
              </w:rPr>
              <w:t>0.3</w:t>
            </w:r>
          </w:p>
        </w:tc>
        <w:tc>
          <w:tcPr>
            <w:tcW w:w="1434" w:type="dxa"/>
            <w:tcBorders>
              <w:top w:val="nil"/>
              <w:left w:val="single" w:sz="2" w:space="0" w:color="auto"/>
              <w:bottom w:val="nil"/>
              <w:right w:val="single" w:sz="2" w:space="0" w:color="auto"/>
            </w:tcBorders>
            <w:shd w:val="clear" w:color="auto" w:fill="auto"/>
            <w:vAlign w:val="center"/>
          </w:tcPr>
          <w:p w14:paraId="283F7C5A" w14:textId="77777777" w:rsidR="00FD3FC3" w:rsidRPr="00445B89" w:rsidRDefault="00FD3FC3" w:rsidP="008D29D8">
            <w:pPr>
              <w:autoSpaceDE w:val="0"/>
              <w:autoSpaceDN w:val="0"/>
              <w:adjustRightInd w:val="0"/>
              <w:ind w:right="454"/>
              <w:jc w:val="right"/>
              <w:rPr>
                <w:rFonts w:eastAsia="Calibri"/>
                <w:sz w:val="20"/>
                <w:szCs w:val="20"/>
                <w:lang w:eastAsia="en-US"/>
              </w:rPr>
            </w:pPr>
            <w:r w:rsidRPr="00445B89">
              <w:rPr>
                <w:rFonts w:eastAsia="Calibri"/>
                <w:sz w:val="20"/>
                <w:szCs w:val="20"/>
                <w:lang w:eastAsia="en-US"/>
              </w:rPr>
              <w:t>2</w:t>
            </w:r>
          </w:p>
        </w:tc>
        <w:tc>
          <w:tcPr>
            <w:tcW w:w="1701" w:type="dxa"/>
            <w:tcBorders>
              <w:top w:val="nil"/>
              <w:left w:val="single" w:sz="2" w:space="0" w:color="auto"/>
              <w:bottom w:val="nil"/>
              <w:right w:val="single" w:sz="2" w:space="0" w:color="auto"/>
            </w:tcBorders>
            <w:shd w:val="clear" w:color="auto" w:fill="auto"/>
            <w:vAlign w:val="center"/>
          </w:tcPr>
          <w:p w14:paraId="26925E6A" w14:textId="77777777" w:rsidR="00FD3FC3" w:rsidRPr="00445B89" w:rsidRDefault="00FD3FC3" w:rsidP="008D29D8">
            <w:pPr>
              <w:autoSpaceDE w:val="0"/>
              <w:autoSpaceDN w:val="0"/>
              <w:adjustRightInd w:val="0"/>
              <w:ind w:right="567"/>
              <w:jc w:val="right"/>
              <w:rPr>
                <w:rFonts w:eastAsia="Calibri"/>
                <w:sz w:val="20"/>
                <w:szCs w:val="20"/>
                <w:lang w:eastAsia="en-US"/>
              </w:rPr>
            </w:pPr>
            <w:r w:rsidRPr="00445B89">
              <w:rPr>
                <w:rFonts w:eastAsia="Calibri"/>
                <w:sz w:val="20"/>
                <w:szCs w:val="20"/>
                <w:lang w:eastAsia="en-US"/>
              </w:rPr>
              <w:t>0</w:t>
            </w:r>
          </w:p>
        </w:tc>
      </w:tr>
      <w:tr w:rsidR="00FD3FC3" w:rsidRPr="00FD3FC3" w14:paraId="457C62E0" w14:textId="77777777" w:rsidTr="00445B89">
        <w:trPr>
          <w:trHeight w:val="106"/>
          <w:jc w:val="center"/>
        </w:trPr>
        <w:tc>
          <w:tcPr>
            <w:tcW w:w="3209" w:type="dxa"/>
            <w:tcBorders>
              <w:top w:val="nil"/>
              <w:left w:val="single" w:sz="2" w:space="0" w:color="auto"/>
              <w:bottom w:val="nil"/>
              <w:right w:val="single" w:sz="2" w:space="0" w:color="auto"/>
            </w:tcBorders>
            <w:shd w:val="clear" w:color="auto" w:fill="auto"/>
            <w:vAlign w:val="center"/>
          </w:tcPr>
          <w:p w14:paraId="31994F74" w14:textId="77777777" w:rsidR="00FD3FC3" w:rsidRPr="00445B89" w:rsidRDefault="00FD3FC3" w:rsidP="00FD3FC3">
            <w:pPr>
              <w:autoSpaceDE w:val="0"/>
              <w:autoSpaceDN w:val="0"/>
              <w:adjustRightInd w:val="0"/>
              <w:rPr>
                <w:rFonts w:eastAsia="Calibri"/>
                <w:bCs/>
                <w:sz w:val="20"/>
                <w:szCs w:val="20"/>
                <w:lang w:eastAsia="en-US"/>
              </w:rPr>
            </w:pPr>
            <w:r w:rsidRPr="00445B89">
              <w:rPr>
                <w:rFonts w:eastAsia="Calibri"/>
                <w:bCs/>
                <w:sz w:val="20"/>
                <w:szCs w:val="20"/>
                <w:lang w:eastAsia="en-US"/>
              </w:rPr>
              <w:t xml:space="preserve">   Sólida Banorte, Sofom ER</w:t>
            </w:r>
          </w:p>
        </w:tc>
        <w:tc>
          <w:tcPr>
            <w:tcW w:w="1352" w:type="dxa"/>
            <w:tcBorders>
              <w:top w:val="nil"/>
              <w:left w:val="single" w:sz="2" w:space="0" w:color="auto"/>
              <w:bottom w:val="nil"/>
              <w:right w:val="single" w:sz="2" w:space="0" w:color="auto"/>
            </w:tcBorders>
            <w:shd w:val="clear" w:color="auto" w:fill="auto"/>
            <w:vAlign w:val="center"/>
          </w:tcPr>
          <w:p w14:paraId="6189F51F" w14:textId="77777777" w:rsidR="00FD3FC3" w:rsidRPr="00445B89" w:rsidRDefault="00FD3FC3" w:rsidP="008D29D8">
            <w:pPr>
              <w:autoSpaceDE w:val="0"/>
              <w:autoSpaceDN w:val="0"/>
              <w:adjustRightInd w:val="0"/>
              <w:ind w:right="340"/>
              <w:jc w:val="right"/>
              <w:rPr>
                <w:rFonts w:eastAsia="Calibri"/>
                <w:sz w:val="20"/>
                <w:szCs w:val="20"/>
                <w:lang w:eastAsia="en-US"/>
              </w:rPr>
            </w:pPr>
            <w:r w:rsidRPr="00445B89">
              <w:rPr>
                <w:rFonts w:eastAsia="Calibri"/>
                <w:sz w:val="20"/>
                <w:szCs w:val="20"/>
                <w:lang w:eastAsia="en-US"/>
              </w:rPr>
              <w:t>40</w:t>
            </w:r>
          </w:p>
        </w:tc>
        <w:tc>
          <w:tcPr>
            <w:tcW w:w="951" w:type="dxa"/>
            <w:tcBorders>
              <w:top w:val="nil"/>
              <w:left w:val="single" w:sz="2" w:space="0" w:color="auto"/>
              <w:bottom w:val="nil"/>
              <w:right w:val="single" w:sz="2" w:space="0" w:color="auto"/>
            </w:tcBorders>
            <w:shd w:val="clear" w:color="auto" w:fill="auto"/>
            <w:vAlign w:val="center"/>
          </w:tcPr>
          <w:p w14:paraId="048D9A41" w14:textId="77777777" w:rsidR="00FD3FC3" w:rsidRPr="00445B89" w:rsidRDefault="00FD3FC3" w:rsidP="008D29D8">
            <w:pPr>
              <w:autoSpaceDE w:val="0"/>
              <w:autoSpaceDN w:val="0"/>
              <w:adjustRightInd w:val="0"/>
              <w:ind w:right="170"/>
              <w:jc w:val="right"/>
              <w:rPr>
                <w:rFonts w:eastAsia="Calibri"/>
                <w:sz w:val="20"/>
                <w:szCs w:val="20"/>
                <w:lang w:eastAsia="en-US"/>
              </w:rPr>
            </w:pPr>
            <w:r w:rsidRPr="00445B89">
              <w:rPr>
                <w:rFonts w:eastAsia="Calibri"/>
                <w:sz w:val="20"/>
                <w:szCs w:val="20"/>
                <w:lang w:eastAsia="en-US"/>
              </w:rPr>
              <w:t>1.2</w:t>
            </w:r>
          </w:p>
        </w:tc>
        <w:tc>
          <w:tcPr>
            <w:tcW w:w="1434" w:type="dxa"/>
            <w:tcBorders>
              <w:top w:val="nil"/>
              <w:left w:val="single" w:sz="2" w:space="0" w:color="auto"/>
              <w:bottom w:val="nil"/>
              <w:right w:val="single" w:sz="2" w:space="0" w:color="auto"/>
            </w:tcBorders>
            <w:shd w:val="clear" w:color="auto" w:fill="auto"/>
            <w:vAlign w:val="center"/>
          </w:tcPr>
          <w:p w14:paraId="476369FB" w14:textId="77777777" w:rsidR="00FD3FC3" w:rsidRPr="00445B89" w:rsidRDefault="00FD3FC3" w:rsidP="008D29D8">
            <w:pPr>
              <w:autoSpaceDE w:val="0"/>
              <w:autoSpaceDN w:val="0"/>
              <w:adjustRightInd w:val="0"/>
              <w:ind w:right="454"/>
              <w:jc w:val="right"/>
              <w:rPr>
                <w:rFonts w:eastAsia="Calibri"/>
                <w:sz w:val="20"/>
                <w:szCs w:val="20"/>
                <w:lang w:eastAsia="en-US"/>
              </w:rPr>
            </w:pPr>
            <w:r w:rsidRPr="00445B89">
              <w:rPr>
                <w:rFonts w:eastAsia="Calibri"/>
                <w:sz w:val="20"/>
                <w:szCs w:val="20"/>
                <w:lang w:eastAsia="en-US"/>
              </w:rPr>
              <w:t>41</w:t>
            </w:r>
          </w:p>
        </w:tc>
        <w:tc>
          <w:tcPr>
            <w:tcW w:w="1701" w:type="dxa"/>
            <w:tcBorders>
              <w:top w:val="nil"/>
              <w:left w:val="single" w:sz="2" w:space="0" w:color="auto"/>
              <w:bottom w:val="nil"/>
              <w:right w:val="single" w:sz="2" w:space="0" w:color="auto"/>
            </w:tcBorders>
            <w:shd w:val="clear" w:color="auto" w:fill="auto"/>
            <w:vAlign w:val="center"/>
          </w:tcPr>
          <w:p w14:paraId="4BE5AF21" w14:textId="77777777" w:rsidR="00FD3FC3" w:rsidRPr="00445B89" w:rsidRDefault="00FD3FC3" w:rsidP="008D29D8">
            <w:pPr>
              <w:autoSpaceDE w:val="0"/>
              <w:autoSpaceDN w:val="0"/>
              <w:adjustRightInd w:val="0"/>
              <w:ind w:right="567"/>
              <w:jc w:val="right"/>
              <w:rPr>
                <w:rFonts w:eastAsia="Calibri"/>
                <w:sz w:val="20"/>
                <w:szCs w:val="20"/>
                <w:lang w:eastAsia="en-US"/>
              </w:rPr>
            </w:pPr>
            <w:r w:rsidRPr="00445B89">
              <w:rPr>
                <w:rFonts w:eastAsia="Calibri"/>
                <w:sz w:val="20"/>
                <w:szCs w:val="20"/>
                <w:lang w:eastAsia="en-US"/>
              </w:rPr>
              <w:t>0</w:t>
            </w:r>
          </w:p>
        </w:tc>
      </w:tr>
      <w:tr w:rsidR="00FD3FC3" w:rsidRPr="00FD3FC3" w14:paraId="2C89134A" w14:textId="77777777" w:rsidTr="00445B89">
        <w:trPr>
          <w:trHeight w:val="106"/>
          <w:jc w:val="center"/>
        </w:trPr>
        <w:tc>
          <w:tcPr>
            <w:tcW w:w="3209" w:type="dxa"/>
            <w:tcBorders>
              <w:top w:val="nil"/>
              <w:left w:val="single" w:sz="2" w:space="0" w:color="auto"/>
              <w:bottom w:val="nil"/>
              <w:right w:val="single" w:sz="2" w:space="0" w:color="auto"/>
            </w:tcBorders>
            <w:shd w:val="clear" w:color="auto" w:fill="auto"/>
            <w:vAlign w:val="center"/>
          </w:tcPr>
          <w:p w14:paraId="4FE9F5B4" w14:textId="77777777" w:rsidR="00FD3FC3" w:rsidRPr="00445B89" w:rsidRDefault="00FD3FC3" w:rsidP="00FD3FC3">
            <w:pPr>
              <w:autoSpaceDE w:val="0"/>
              <w:autoSpaceDN w:val="0"/>
              <w:adjustRightInd w:val="0"/>
              <w:rPr>
                <w:rFonts w:eastAsia="Calibri"/>
                <w:bCs/>
                <w:sz w:val="20"/>
                <w:szCs w:val="20"/>
                <w:lang w:eastAsia="en-US"/>
              </w:rPr>
            </w:pPr>
            <w:r w:rsidRPr="00445B89">
              <w:rPr>
                <w:rFonts w:eastAsia="Calibri"/>
                <w:bCs/>
                <w:sz w:val="20"/>
                <w:szCs w:val="20"/>
                <w:lang w:eastAsia="en-US"/>
              </w:rPr>
              <w:t>Scotiabank</w:t>
            </w:r>
          </w:p>
        </w:tc>
        <w:tc>
          <w:tcPr>
            <w:tcW w:w="1352" w:type="dxa"/>
            <w:tcBorders>
              <w:top w:val="nil"/>
              <w:left w:val="single" w:sz="2" w:space="0" w:color="auto"/>
              <w:bottom w:val="nil"/>
              <w:right w:val="single" w:sz="2" w:space="0" w:color="auto"/>
            </w:tcBorders>
            <w:shd w:val="clear" w:color="auto" w:fill="auto"/>
            <w:vAlign w:val="center"/>
          </w:tcPr>
          <w:p w14:paraId="5D83DB6C" w14:textId="77777777" w:rsidR="00FD3FC3" w:rsidRPr="00445B89" w:rsidRDefault="00FD3FC3" w:rsidP="008D29D8">
            <w:pPr>
              <w:autoSpaceDE w:val="0"/>
              <w:autoSpaceDN w:val="0"/>
              <w:adjustRightInd w:val="0"/>
              <w:ind w:right="340"/>
              <w:jc w:val="right"/>
              <w:rPr>
                <w:rFonts w:eastAsia="Calibri"/>
                <w:sz w:val="20"/>
                <w:szCs w:val="20"/>
                <w:lang w:eastAsia="en-US"/>
              </w:rPr>
            </w:pPr>
            <w:r w:rsidRPr="00445B89">
              <w:rPr>
                <w:rFonts w:eastAsia="Calibri"/>
                <w:sz w:val="20"/>
                <w:szCs w:val="20"/>
                <w:lang w:eastAsia="en-US"/>
              </w:rPr>
              <w:t>195</w:t>
            </w:r>
          </w:p>
        </w:tc>
        <w:tc>
          <w:tcPr>
            <w:tcW w:w="951" w:type="dxa"/>
            <w:tcBorders>
              <w:top w:val="nil"/>
              <w:left w:val="single" w:sz="2" w:space="0" w:color="auto"/>
              <w:bottom w:val="nil"/>
              <w:right w:val="single" w:sz="2" w:space="0" w:color="auto"/>
            </w:tcBorders>
            <w:shd w:val="clear" w:color="auto" w:fill="auto"/>
            <w:vAlign w:val="center"/>
          </w:tcPr>
          <w:p w14:paraId="2685A0B1" w14:textId="77777777" w:rsidR="00FD3FC3" w:rsidRPr="00445B89" w:rsidRDefault="00FD3FC3" w:rsidP="008D29D8">
            <w:pPr>
              <w:autoSpaceDE w:val="0"/>
              <w:autoSpaceDN w:val="0"/>
              <w:adjustRightInd w:val="0"/>
              <w:ind w:right="170"/>
              <w:jc w:val="right"/>
              <w:rPr>
                <w:rFonts w:eastAsia="Calibri"/>
                <w:sz w:val="20"/>
                <w:szCs w:val="20"/>
                <w:lang w:eastAsia="en-US"/>
              </w:rPr>
            </w:pPr>
            <w:r w:rsidRPr="00445B89">
              <w:rPr>
                <w:rFonts w:eastAsia="Calibri"/>
                <w:sz w:val="20"/>
                <w:szCs w:val="20"/>
                <w:lang w:eastAsia="en-US"/>
              </w:rPr>
              <w:t>5.7</w:t>
            </w:r>
          </w:p>
        </w:tc>
        <w:tc>
          <w:tcPr>
            <w:tcW w:w="1434" w:type="dxa"/>
            <w:tcBorders>
              <w:top w:val="nil"/>
              <w:left w:val="single" w:sz="2" w:space="0" w:color="auto"/>
              <w:bottom w:val="nil"/>
              <w:right w:val="single" w:sz="2" w:space="0" w:color="auto"/>
            </w:tcBorders>
            <w:shd w:val="clear" w:color="auto" w:fill="auto"/>
            <w:vAlign w:val="center"/>
          </w:tcPr>
          <w:p w14:paraId="6F7273B3" w14:textId="77777777" w:rsidR="00FD3FC3" w:rsidRPr="00445B89" w:rsidRDefault="00FD3FC3" w:rsidP="008D29D8">
            <w:pPr>
              <w:autoSpaceDE w:val="0"/>
              <w:autoSpaceDN w:val="0"/>
              <w:adjustRightInd w:val="0"/>
              <w:ind w:right="454"/>
              <w:jc w:val="right"/>
              <w:rPr>
                <w:rFonts w:eastAsia="Calibri"/>
                <w:sz w:val="20"/>
                <w:szCs w:val="20"/>
                <w:lang w:eastAsia="en-US"/>
              </w:rPr>
            </w:pPr>
            <w:r w:rsidRPr="00445B89">
              <w:rPr>
                <w:rFonts w:eastAsia="Calibri"/>
                <w:sz w:val="20"/>
                <w:szCs w:val="20"/>
                <w:lang w:eastAsia="en-US"/>
              </w:rPr>
              <w:t>7</w:t>
            </w:r>
          </w:p>
        </w:tc>
        <w:tc>
          <w:tcPr>
            <w:tcW w:w="1701" w:type="dxa"/>
            <w:tcBorders>
              <w:top w:val="nil"/>
              <w:left w:val="single" w:sz="2" w:space="0" w:color="auto"/>
              <w:bottom w:val="nil"/>
              <w:right w:val="single" w:sz="2" w:space="0" w:color="auto"/>
            </w:tcBorders>
            <w:shd w:val="clear" w:color="auto" w:fill="auto"/>
            <w:vAlign w:val="center"/>
          </w:tcPr>
          <w:p w14:paraId="14CD8C39" w14:textId="77777777" w:rsidR="00FD3FC3" w:rsidRPr="00445B89" w:rsidRDefault="00FD3FC3" w:rsidP="008D29D8">
            <w:pPr>
              <w:autoSpaceDE w:val="0"/>
              <w:autoSpaceDN w:val="0"/>
              <w:adjustRightInd w:val="0"/>
              <w:ind w:right="567"/>
              <w:jc w:val="right"/>
              <w:rPr>
                <w:rFonts w:eastAsia="Calibri"/>
                <w:sz w:val="20"/>
                <w:szCs w:val="20"/>
                <w:lang w:eastAsia="en-US"/>
              </w:rPr>
            </w:pPr>
            <w:r w:rsidRPr="00445B89">
              <w:rPr>
                <w:rFonts w:eastAsia="Calibri"/>
                <w:sz w:val="20"/>
                <w:szCs w:val="20"/>
                <w:lang w:eastAsia="en-US"/>
              </w:rPr>
              <w:t>9</w:t>
            </w:r>
          </w:p>
        </w:tc>
      </w:tr>
      <w:tr w:rsidR="00FD3FC3" w:rsidRPr="00FD3FC3" w14:paraId="3D72B8A0" w14:textId="77777777" w:rsidTr="00445B89">
        <w:trPr>
          <w:trHeight w:val="106"/>
          <w:jc w:val="center"/>
        </w:trPr>
        <w:tc>
          <w:tcPr>
            <w:tcW w:w="3209" w:type="dxa"/>
            <w:tcBorders>
              <w:top w:val="nil"/>
              <w:left w:val="single" w:sz="2" w:space="0" w:color="auto"/>
              <w:bottom w:val="nil"/>
              <w:right w:val="single" w:sz="2" w:space="0" w:color="auto"/>
            </w:tcBorders>
            <w:shd w:val="clear" w:color="auto" w:fill="auto"/>
            <w:vAlign w:val="center"/>
          </w:tcPr>
          <w:p w14:paraId="21B5DAA5" w14:textId="77777777" w:rsidR="00FD3FC3" w:rsidRPr="00445B89" w:rsidRDefault="00FD3FC3" w:rsidP="00FD3FC3">
            <w:pPr>
              <w:autoSpaceDE w:val="0"/>
              <w:autoSpaceDN w:val="0"/>
              <w:adjustRightInd w:val="0"/>
              <w:rPr>
                <w:rFonts w:eastAsia="Calibri"/>
                <w:bCs/>
                <w:sz w:val="20"/>
                <w:szCs w:val="20"/>
                <w:lang w:eastAsia="en-US"/>
              </w:rPr>
            </w:pPr>
            <w:r w:rsidRPr="00445B89">
              <w:rPr>
                <w:rFonts w:eastAsia="Calibri"/>
                <w:bCs/>
                <w:sz w:val="20"/>
                <w:szCs w:val="20"/>
                <w:lang w:eastAsia="en-US"/>
              </w:rPr>
              <w:t xml:space="preserve">   Crédito Familiar, Sofom, ER</w:t>
            </w:r>
          </w:p>
        </w:tc>
        <w:tc>
          <w:tcPr>
            <w:tcW w:w="1352" w:type="dxa"/>
            <w:tcBorders>
              <w:top w:val="nil"/>
              <w:left w:val="single" w:sz="2" w:space="0" w:color="auto"/>
              <w:bottom w:val="nil"/>
              <w:right w:val="single" w:sz="2" w:space="0" w:color="auto"/>
            </w:tcBorders>
            <w:shd w:val="clear" w:color="auto" w:fill="auto"/>
            <w:vAlign w:val="center"/>
          </w:tcPr>
          <w:p w14:paraId="5891C0D6" w14:textId="77777777" w:rsidR="00FD3FC3" w:rsidRPr="00445B89" w:rsidRDefault="00FD3FC3" w:rsidP="008D29D8">
            <w:pPr>
              <w:autoSpaceDE w:val="0"/>
              <w:autoSpaceDN w:val="0"/>
              <w:adjustRightInd w:val="0"/>
              <w:ind w:right="340"/>
              <w:jc w:val="right"/>
              <w:rPr>
                <w:rFonts w:eastAsia="Calibri"/>
                <w:sz w:val="20"/>
                <w:szCs w:val="20"/>
                <w:lang w:eastAsia="en-US"/>
              </w:rPr>
            </w:pPr>
            <w:r w:rsidRPr="00445B89">
              <w:rPr>
                <w:rFonts w:eastAsia="Calibri"/>
                <w:sz w:val="20"/>
                <w:szCs w:val="20"/>
                <w:lang w:eastAsia="en-US"/>
              </w:rPr>
              <w:t>77</w:t>
            </w:r>
          </w:p>
        </w:tc>
        <w:tc>
          <w:tcPr>
            <w:tcW w:w="951" w:type="dxa"/>
            <w:tcBorders>
              <w:top w:val="nil"/>
              <w:left w:val="single" w:sz="2" w:space="0" w:color="auto"/>
              <w:bottom w:val="nil"/>
              <w:right w:val="single" w:sz="2" w:space="0" w:color="auto"/>
            </w:tcBorders>
            <w:shd w:val="clear" w:color="auto" w:fill="auto"/>
            <w:vAlign w:val="center"/>
          </w:tcPr>
          <w:p w14:paraId="6A9FA3DC" w14:textId="77777777" w:rsidR="00FD3FC3" w:rsidRPr="00445B89" w:rsidRDefault="00FD3FC3" w:rsidP="008D29D8">
            <w:pPr>
              <w:autoSpaceDE w:val="0"/>
              <w:autoSpaceDN w:val="0"/>
              <w:adjustRightInd w:val="0"/>
              <w:ind w:right="170"/>
              <w:jc w:val="right"/>
              <w:rPr>
                <w:rFonts w:eastAsia="Calibri"/>
                <w:sz w:val="20"/>
                <w:szCs w:val="20"/>
                <w:lang w:eastAsia="en-US"/>
              </w:rPr>
            </w:pPr>
            <w:r w:rsidRPr="00445B89">
              <w:rPr>
                <w:rFonts w:eastAsia="Calibri"/>
                <w:sz w:val="20"/>
                <w:szCs w:val="20"/>
                <w:lang w:eastAsia="en-US"/>
              </w:rPr>
              <w:t>2.2</w:t>
            </w:r>
          </w:p>
        </w:tc>
        <w:tc>
          <w:tcPr>
            <w:tcW w:w="1434" w:type="dxa"/>
            <w:tcBorders>
              <w:top w:val="nil"/>
              <w:left w:val="single" w:sz="2" w:space="0" w:color="auto"/>
              <w:bottom w:val="nil"/>
              <w:right w:val="single" w:sz="2" w:space="0" w:color="auto"/>
            </w:tcBorders>
            <w:shd w:val="clear" w:color="auto" w:fill="auto"/>
            <w:vAlign w:val="center"/>
          </w:tcPr>
          <w:p w14:paraId="095E3220" w14:textId="77777777" w:rsidR="00FD3FC3" w:rsidRPr="00445B89" w:rsidRDefault="00FD3FC3" w:rsidP="008D29D8">
            <w:pPr>
              <w:autoSpaceDE w:val="0"/>
              <w:autoSpaceDN w:val="0"/>
              <w:adjustRightInd w:val="0"/>
              <w:ind w:right="454"/>
              <w:jc w:val="right"/>
              <w:rPr>
                <w:rFonts w:eastAsia="Calibri"/>
                <w:sz w:val="20"/>
                <w:szCs w:val="20"/>
                <w:lang w:eastAsia="en-US"/>
              </w:rPr>
            </w:pPr>
            <w:r w:rsidRPr="00445B89">
              <w:rPr>
                <w:rFonts w:eastAsia="Calibri"/>
                <w:sz w:val="20"/>
                <w:szCs w:val="20"/>
                <w:lang w:eastAsia="en-US"/>
              </w:rPr>
              <w:t>8</w:t>
            </w:r>
          </w:p>
        </w:tc>
        <w:tc>
          <w:tcPr>
            <w:tcW w:w="1701" w:type="dxa"/>
            <w:tcBorders>
              <w:top w:val="nil"/>
              <w:left w:val="single" w:sz="2" w:space="0" w:color="auto"/>
              <w:bottom w:val="nil"/>
              <w:right w:val="single" w:sz="2" w:space="0" w:color="auto"/>
            </w:tcBorders>
            <w:shd w:val="clear" w:color="auto" w:fill="auto"/>
            <w:vAlign w:val="center"/>
          </w:tcPr>
          <w:p w14:paraId="7DB5AB1F" w14:textId="77777777" w:rsidR="00FD3FC3" w:rsidRPr="00445B89" w:rsidRDefault="00FD3FC3" w:rsidP="008D29D8">
            <w:pPr>
              <w:autoSpaceDE w:val="0"/>
              <w:autoSpaceDN w:val="0"/>
              <w:adjustRightInd w:val="0"/>
              <w:ind w:right="567"/>
              <w:jc w:val="right"/>
              <w:rPr>
                <w:rFonts w:eastAsia="Calibri"/>
                <w:sz w:val="20"/>
                <w:szCs w:val="20"/>
                <w:lang w:eastAsia="en-US"/>
              </w:rPr>
            </w:pPr>
            <w:r w:rsidRPr="00445B89">
              <w:rPr>
                <w:rFonts w:eastAsia="Calibri"/>
                <w:sz w:val="20"/>
                <w:szCs w:val="20"/>
                <w:lang w:eastAsia="en-US"/>
              </w:rPr>
              <w:t>4</w:t>
            </w:r>
          </w:p>
        </w:tc>
      </w:tr>
      <w:tr w:rsidR="00FD3FC3" w:rsidRPr="00FD3FC3" w14:paraId="2313925F" w14:textId="77777777" w:rsidTr="00445B89">
        <w:trPr>
          <w:trHeight w:val="106"/>
          <w:jc w:val="center"/>
        </w:trPr>
        <w:tc>
          <w:tcPr>
            <w:tcW w:w="3209" w:type="dxa"/>
            <w:tcBorders>
              <w:top w:val="nil"/>
              <w:left w:val="single" w:sz="2" w:space="0" w:color="auto"/>
              <w:bottom w:val="nil"/>
              <w:right w:val="single" w:sz="2" w:space="0" w:color="auto"/>
            </w:tcBorders>
            <w:shd w:val="clear" w:color="auto" w:fill="auto"/>
            <w:vAlign w:val="center"/>
          </w:tcPr>
          <w:p w14:paraId="7521AF68" w14:textId="77777777" w:rsidR="00FD3FC3" w:rsidRPr="00445B89" w:rsidRDefault="00FD3FC3" w:rsidP="00FD3FC3">
            <w:pPr>
              <w:autoSpaceDE w:val="0"/>
              <w:autoSpaceDN w:val="0"/>
              <w:adjustRightInd w:val="0"/>
              <w:rPr>
                <w:rFonts w:eastAsia="Calibri"/>
                <w:bCs/>
                <w:sz w:val="20"/>
                <w:szCs w:val="20"/>
                <w:lang w:eastAsia="en-US"/>
              </w:rPr>
            </w:pPr>
            <w:r w:rsidRPr="00445B89">
              <w:rPr>
                <w:rFonts w:eastAsia="Calibri"/>
                <w:bCs/>
                <w:sz w:val="20"/>
                <w:szCs w:val="20"/>
                <w:lang w:eastAsia="en-US"/>
              </w:rPr>
              <w:t>Azteca</w:t>
            </w:r>
          </w:p>
        </w:tc>
        <w:tc>
          <w:tcPr>
            <w:tcW w:w="1352" w:type="dxa"/>
            <w:tcBorders>
              <w:top w:val="nil"/>
              <w:left w:val="single" w:sz="2" w:space="0" w:color="auto"/>
              <w:bottom w:val="nil"/>
              <w:right w:val="single" w:sz="2" w:space="0" w:color="auto"/>
            </w:tcBorders>
            <w:shd w:val="clear" w:color="auto" w:fill="auto"/>
            <w:vAlign w:val="center"/>
          </w:tcPr>
          <w:p w14:paraId="28532E75" w14:textId="77777777" w:rsidR="00FD3FC3" w:rsidRPr="00445B89" w:rsidRDefault="00FD3FC3" w:rsidP="008D29D8">
            <w:pPr>
              <w:autoSpaceDE w:val="0"/>
              <w:autoSpaceDN w:val="0"/>
              <w:adjustRightInd w:val="0"/>
              <w:ind w:right="340"/>
              <w:jc w:val="right"/>
              <w:rPr>
                <w:rFonts w:eastAsia="Calibri"/>
                <w:sz w:val="20"/>
                <w:szCs w:val="20"/>
                <w:lang w:eastAsia="en-US"/>
              </w:rPr>
            </w:pPr>
            <w:r w:rsidRPr="00445B89">
              <w:rPr>
                <w:rFonts w:eastAsia="Calibri"/>
                <w:sz w:val="20"/>
                <w:szCs w:val="20"/>
                <w:lang w:eastAsia="en-US"/>
              </w:rPr>
              <w:t>138</w:t>
            </w:r>
          </w:p>
        </w:tc>
        <w:tc>
          <w:tcPr>
            <w:tcW w:w="951" w:type="dxa"/>
            <w:tcBorders>
              <w:top w:val="nil"/>
              <w:left w:val="single" w:sz="2" w:space="0" w:color="auto"/>
              <w:bottom w:val="nil"/>
              <w:right w:val="single" w:sz="2" w:space="0" w:color="auto"/>
            </w:tcBorders>
            <w:shd w:val="clear" w:color="auto" w:fill="auto"/>
            <w:vAlign w:val="center"/>
          </w:tcPr>
          <w:p w14:paraId="1A29F3C8" w14:textId="77777777" w:rsidR="00FD3FC3" w:rsidRPr="00445B89" w:rsidRDefault="00FD3FC3" w:rsidP="008D29D8">
            <w:pPr>
              <w:autoSpaceDE w:val="0"/>
              <w:autoSpaceDN w:val="0"/>
              <w:adjustRightInd w:val="0"/>
              <w:ind w:right="170"/>
              <w:jc w:val="right"/>
              <w:rPr>
                <w:rFonts w:eastAsia="Calibri"/>
                <w:sz w:val="20"/>
                <w:szCs w:val="20"/>
                <w:lang w:eastAsia="en-US"/>
              </w:rPr>
            </w:pPr>
            <w:r w:rsidRPr="00445B89">
              <w:rPr>
                <w:rFonts w:eastAsia="Calibri"/>
                <w:sz w:val="20"/>
                <w:szCs w:val="20"/>
                <w:lang w:eastAsia="en-US"/>
              </w:rPr>
              <w:t>4.0</w:t>
            </w:r>
          </w:p>
        </w:tc>
        <w:tc>
          <w:tcPr>
            <w:tcW w:w="1434" w:type="dxa"/>
            <w:tcBorders>
              <w:top w:val="nil"/>
              <w:left w:val="single" w:sz="2" w:space="0" w:color="auto"/>
              <w:bottom w:val="nil"/>
              <w:right w:val="single" w:sz="2" w:space="0" w:color="auto"/>
            </w:tcBorders>
            <w:shd w:val="clear" w:color="auto" w:fill="auto"/>
            <w:vAlign w:val="center"/>
          </w:tcPr>
          <w:p w14:paraId="5679F8C0" w14:textId="77777777" w:rsidR="00FD3FC3" w:rsidRPr="00445B89" w:rsidRDefault="00FD3FC3" w:rsidP="008D29D8">
            <w:pPr>
              <w:autoSpaceDE w:val="0"/>
              <w:autoSpaceDN w:val="0"/>
              <w:adjustRightInd w:val="0"/>
              <w:ind w:right="454"/>
              <w:jc w:val="right"/>
              <w:rPr>
                <w:rFonts w:eastAsia="Calibri"/>
                <w:sz w:val="20"/>
                <w:szCs w:val="20"/>
                <w:lang w:eastAsia="en-US"/>
              </w:rPr>
            </w:pPr>
            <w:r w:rsidRPr="00445B89">
              <w:rPr>
                <w:rFonts w:eastAsia="Calibri"/>
                <w:sz w:val="20"/>
                <w:szCs w:val="20"/>
                <w:lang w:eastAsia="en-US"/>
              </w:rPr>
              <w:t>0</w:t>
            </w:r>
          </w:p>
        </w:tc>
        <w:tc>
          <w:tcPr>
            <w:tcW w:w="1701" w:type="dxa"/>
            <w:tcBorders>
              <w:top w:val="nil"/>
              <w:left w:val="single" w:sz="2" w:space="0" w:color="auto"/>
              <w:bottom w:val="nil"/>
              <w:right w:val="single" w:sz="2" w:space="0" w:color="auto"/>
            </w:tcBorders>
            <w:shd w:val="clear" w:color="auto" w:fill="auto"/>
            <w:vAlign w:val="center"/>
          </w:tcPr>
          <w:p w14:paraId="2048C754" w14:textId="77777777" w:rsidR="00FD3FC3" w:rsidRPr="00445B89" w:rsidRDefault="00FD3FC3" w:rsidP="008D29D8">
            <w:pPr>
              <w:autoSpaceDE w:val="0"/>
              <w:autoSpaceDN w:val="0"/>
              <w:adjustRightInd w:val="0"/>
              <w:ind w:right="567"/>
              <w:jc w:val="right"/>
              <w:rPr>
                <w:rFonts w:eastAsia="Calibri"/>
                <w:sz w:val="20"/>
                <w:szCs w:val="20"/>
                <w:lang w:eastAsia="en-US"/>
              </w:rPr>
            </w:pPr>
            <w:r w:rsidRPr="00445B89">
              <w:rPr>
                <w:rFonts w:eastAsia="Calibri"/>
                <w:sz w:val="20"/>
                <w:szCs w:val="20"/>
                <w:lang w:eastAsia="en-US"/>
              </w:rPr>
              <w:t>19</w:t>
            </w:r>
          </w:p>
        </w:tc>
      </w:tr>
      <w:tr w:rsidR="00FD3FC3" w:rsidRPr="00FD3FC3" w14:paraId="7DEAAFA4" w14:textId="77777777" w:rsidTr="00445B89">
        <w:trPr>
          <w:trHeight w:val="106"/>
          <w:jc w:val="center"/>
        </w:trPr>
        <w:tc>
          <w:tcPr>
            <w:tcW w:w="3209" w:type="dxa"/>
            <w:tcBorders>
              <w:top w:val="nil"/>
              <w:left w:val="single" w:sz="2" w:space="0" w:color="auto"/>
              <w:bottom w:val="nil"/>
              <w:right w:val="single" w:sz="2" w:space="0" w:color="auto"/>
            </w:tcBorders>
            <w:shd w:val="clear" w:color="auto" w:fill="auto"/>
            <w:vAlign w:val="center"/>
          </w:tcPr>
          <w:p w14:paraId="40E30A79" w14:textId="77777777" w:rsidR="00FD3FC3" w:rsidRPr="00445B89" w:rsidRDefault="00FD3FC3" w:rsidP="00FD3FC3">
            <w:pPr>
              <w:autoSpaceDE w:val="0"/>
              <w:autoSpaceDN w:val="0"/>
              <w:adjustRightInd w:val="0"/>
              <w:rPr>
                <w:rFonts w:eastAsia="Calibri"/>
                <w:bCs/>
                <w:sz w:val="20"/>
                <w:szCs w:val="20"/>
                <w:lang w:eastAsia="en-US"/>
              </w:rPr>
            </w:pPr>
            <w:r w:rsidRPr="00445B89">
              <w:rPr>
                <w:rFonts w:eastAsia="Calibri"/>
                <w:bCs/>
                <w:sz w:val="20"/>
                <w:szCs w:val="20"/>
                <w:lang w:eastAsia="en-US"/>
              </w:rPr>
              <w:t>Coppel</w:t>
            </w:r>
          </w:p>
        </w:tc>
        <w:tc>
          <w:tcPr>
            <w:tcW w:w="1352" w:type="dxa"/>
            <w:tcBorders>
              <w:top w:val="nil"/>
              <w:left w:val="single" w:sz="2" w:space="0" w:color="auto"/>
              <w:bottom w:val="nil"/>
              <w:right w:val="single" w:sz="2" w:space="0" w:color="auto"/>
            </w:tcBorders>
            <w:shd w:val="clear" w:color="auto" w:fill="auto"/>
            <w:vAlign w:val="center"/>
          </w:tcPr>
          <w:p w14:paraId="61159421" w14:textId="77777777" w:rsidR="00FD3FC3" w:rsidRPr="00445B89" w:rsidRDefault="00FD3FC3" w:rsidP="008D29D8">
            <w:pPr>
              <w:autoSpaceDE w:val="0"/>
              <w:autoSpaceDN w:val="0"/>
              <w:adjustRightInd w:val="0"/>
              <w:ind w:right="340"/>
              <w:jc w:val="right"/>
              <w:rPr>
                <w:rFonts w:eastAsia="Calibri"/>
                <w:sz w:val="20"/>
                <w:szCs w:val="20"/>
                <w:lang w:eastAsia="en-US"/>
              </w:rPr>
            </w:pPr>
            <w:r w:rsidRPr="00445B89">
              <w:rPr>
                <w:rFonts w:eastAsia="Calibri"/>
                <w:sz w:val="20"/>
                <w:szCs w:val="20"/>
                <w:lang w:eastAsia="en-US"/>
              </w:rPr>
              <w:t>19</w:t>
            </w:r>
          </w:p>
        </w:tc>
        <w:tc>
          <w:tcPr>
            <w:tcW w:w="951" w:type="dxa"/>
            <w:tcBorders>
              <w:top w:val="nil"/>
              <w:left w:val="single" w:sz="2" w:space="0" w:color="auto"/>
              <w:bottom w:val="nil"/>
              <w:right w:val="single" w:sz="2" w:space="0" w:color="auto"/>
            </w:tcBorders>
            <w:shd w:val="clear" w:color="auto" w:fill="auto"/>
            <w:vAlign w:val="center"/>
          </w:tcPr>
          <w:p w14:paraId="13E09D78" w14:textId="77777777" w:rsidR="00FD3FC3" w:rsidRPr="00445B89" w:rsidRDefault="00FD3FC3" w:rsidP="008D29D8">
            <w:pPr>
              <w:autoSpaceDE w:val="0"/>
              <w:autoSpaceDN w:val="0"/>
              <w:adjustRightInd w:val="0"/>
              <w:ind w:right="170"/>
              <w:jc w:val="right"/>
              <w:rPr>
                <w:rFonts w:eastAsia="Calibri"/>
                <w:sz w:val="20"/>
                <w:szCs w:val="20"/>
                <w:lang w:eastAsia="en-US"/>
              </w:rPr>
            </w:pPr>
            <w:r w:rsidRPr="00445B89">
              <w:rPr>
                <w:rFonts w:eastAsia="Calibri"/>
                <w:sz w:val="20"/>
                <w:szCs w:val="20"/>
                <w:lang w:eastAsia="en-US"/>
              </w:rPr>
              <w:t>0.6</w:t>
            </w:r>
          </w:p>
        </w:tc>
        <w:tc>
          <w:tcPr>
            <w:tcW w:w="1434" w:type="dxa"/>
            <w:tcBorders>
              <w:top w:val="nil"/>
              <w:left w:val="single" w:sz="2" w:space="0" w:color="auto"/>
              <w:bottom w:val="nil"/>
              <w:right w:val="single" w:sz="2" w:space="0" w:color="auto"/>
            </w:tcBorders>
            <w:shd w:val="clear" w:color="auto" w:fill="auto"/>
            <w:vAlign w:val="center"/>
          </w:tcPr>
          <w:p w14:paraId="2B05B227" w14:textId="77777777" w:rsidR="00FD3FC3" w:rsidRPr="00445B89" w:rsidRDefault="00FD3FC3" w:rsidP="008D29D8">
            <w:pPr>
              <w:autoSpaceDE w:val="0"/>
              <w:autoSpaceDN w:val="0"/>
              <w:adjustRightInd w:val="0"/>
              <w:ind w:right="454"/>
              <w:jc w:val="right"/>
              <w:rPr>
                <w:rFonts w:eastAsia="Calibri"/>
                <w:sz w:val="20"/>
                <w:szCs w:val="20"/>
                <w:lang w:eastAsia="en-US"/>
              </w:rPr>
            </w:pPr>
            <w:r w:rsidRPr="00445B89">
              <w:rPr>
                <w:rFonts w:eastAsia="Calibri"/>
                <w:sz w:val="20"/>
                <w:szCs w:val="20"/>
                <w:lang w:eastAsia="en-US"/>
              </w:rPr>
              <w:t>0</w:t>
            </w:r>
          </w:p>
        </w:tc>
        <w:tc>
          <w:tcPr>
            <w:tcW w:w="1701" w:type="dxa"/>
            <w:tcBorders>
              <w:top w:val="nil"/>
              <w:left w:val="single" w:sz="2" w:space="0" w:color="auto"/>
              <w:bottom w:val="nil"/>
              <w:right w:val="single" w:sz="2" w:space="0" w:color="auto"/>
            </w:tcBorders>
            <w:shd w:val="clear" w:color="auto" w:fill="auto"/>
            <w:vAlign w:val="center"/>
          </w:tcPr>
          <w:p w14:paraId="1490466E" w14:textId="77777777" w:rsidR="00FD3FC3" w:rsidRPr="00445B89" w:rsidRDefault="00FD3FC3" w:rsidP="008D29D8">
            <w:pPr>
              <w:autoSpaceDE w:val="0"/>
              <w:autoSpaceDN w:val="0"/>
              <w:adjustRightInd w:val="0"/>
              <w:ind w:right="567"/>
              <w:jc w:val="right"/>
              <w:rPr>
                <w:rFonts w:eastAsia="Calibri"/>
                <w:sz w:val="20"/>
                <w:szCs w:val="20"/>
                <w:lang w:eastAsia="en-US"/>
              </w:rPr>
            </w:pPr>
            <w:r w:rsidRPr="00445B89">
              <w:rPr>
                <w:rFonts w:eastAsia="Calibri"/>
                <w:sz w:val="20"/>
                <w:szCs w:val="20"/>
                <w:lang w:eastAsia="en-US"/>
              </w:rPr>
              <w:t>3</w:t>
            </w:r>
          </w:p>
        </w:tc>
      </w:tr>
      <w:tr w:rsidR="00FD3FC3" w:rsidRPr="00FD3FC3" w14:paraId="7E2AA53B" w14:textId="77777777" w:rsidTr="00445B89">
        <w:trPr>
          <w:trHeight w:val="106"/>
          <w:jc w:val="center"/>
        </w:trPr>
        <w:tc>
          <w:tcPr>
            <w:tcW w:w="3209" w:type="dxa"/>
            <w:tcBorders>
              <w:top w:val="nil"/>
              <w:left w:val="single" w:sz="2" w:space="0" w:color="auto"/>
              <w:bottom w:val="nil"/>
              <w:right w:val="single" w:sz="2" w:space="0" w:color="auto"/>
            </w:tcBorders>
            <w:shd w:val="clear" w:color="auto" w:fill="auto"/>
            <w:vAlign w:val="center"/>
          </w:tcPr>
          <w:p w14:paraId="2F6123EF" w14:textId="77777777" w:rsidR="00FD3FC3" w:rsidRPr="00445B89" w:rsidRDefault="00FD3FC3" w:rsidP="00FD3FC3">
            <w:pPr>
              <w:autoSpaceDE w:val="0"/>
              <w:autoSpaceDN w:val="0"/>
              <w:adjustRightInd w:val="0"/>
              <w:rPr>
                <w:rFonts w:eastAsia="Calibri"/>
                <w:bCs/>
                <w:sz w:val="20"/>
                <w:szCs w:val="20"/>
                <w:lang w:eastAsia="en-US"/>
              </w:rPr>
            </w:pPr>
            <w:r w:rsidRPr="00445B89">
              <w:rPr>
                <w:rFonts w:eastAsia="Calibri"/>
                <w:bCs/>
                <w:sz w:val="20"/>
                <w:szCs w:val="20"/>
                <w:lang w:eastAsia="en-US"/>
              </w:rPr>
              <w:t>Inbursa</w:t>
            </w:r>
          </w:p>
        </w:tc>
        <w:tc>
          <w:tcPr>
            <w:tcW w:w="1352" w:type="dxa"/>
            <w:tcBorders>
              <w:top w:val="nil"/>
              <w:left w:val="single" w:sz="2" w:space="0" w:color="auto"/>
              <w:bottom w:val="nil"/>
              <w:right w:val="single" w:sz="2" w:space="0" w:color="auto"/>
            </w:tcBorders>
            <w:shd w:val="clear" w:color="auto" w:fill="auto"/>
            <w:vAlign w:val="center"/>
          </w:tcPr>
          <w:p w14:paraId="3CAC5D51" w14:textId="77777777" w:rsidR="00FD3FC3" w:rsidRPr="00445B89" w:rsidRDefault="00FD3FC3" w:rsidP="008D29D8">
            <w:pPr>
              <w:autoSpaceDE w:val="0"/>
              <w:autoSpaceDN w:val="0"/>
              <w:adjustRightInd w:val="0"/>
              <w:ind w:right="340"/>
              <w:jc w:val="right"/>
              <w:rPr>
                <w:rFonts w:eastAsia="Calibri"/>
                <w:sz w:val="20"/>
                <w:szCs w:val="20"/>
                <w:lang w:eastAsia="en-US"/>
              </w:rPr>
            </w:pPr>
            <w:r w:rsidRPr="00445B89">
              <w:rPr>
                <w:rFonts w:eastAsia="Calibri"/>
                <w:sz w:val="20"/>
                <w:szCs w:val="20"/>
                <w:lang w:eastAsia="en-US"/>
              </w:rPr>
              <w:t>38</w:t>
            </w:r>
          </w:p>
        </w:tc>
        <w:tc>
          <w:tcPr>
            <w:tcW w:w="951" w:type="dxa"/>
            <w:tcBorders>
              <w:top w:val="nil"/>
              <w:left w:val="single" w:sz="2" w:space="0" w:color="auto"/>
              <w:bottom w:val="nil"/>
              <w:right w:val="single" w:sz="2" w:space="0" w:color="auto"/>
            </w:tcBorders>
            <w:shd w:val="clear" w:color="auto" w:fill="auto"/>
            <w:vAlign w:val="center"/>
          </w:tcPr>
          <w:p w14:paraId="3B84CFEE" w14:textId="77777777" w:rsidR="00FD3FC3" w:rsidRPr="00445B89" w:rsidRDefault="00FD3FC3" w:rsidP="008D29D8">
            <w:pPr>
              <w:autoSpaceDE w:val="0"/>
              <w:autoSpaceDN w:val="0"/>
              <w:adjustRightInd w:val="0"/>
              <w:ind w:right="170"/>
              <w:jc w:val="right"/>
              <w:rPr>
                <w:rFonts w:eastAsia="Calibri"/>
                <w:sz w:val="20"/>
                <w:szCs w:val="20"/>
                <w:lang w:eastAsia="en-US"/>
              </w:rPr>
            </w:pPr>
            <w:r w:rsidRPr="00445B89">
              <w:rPr>
                <w:rFonts w:eastAsia="Calibri"/>
                <w:sz w:val="20"/>
                <w:szCs w:val="20"/>
                <w:lang w:eastAsia="en-US"/>
              </w:rPr>
              <w:t>1.1</w:t>
            </w:r>
          </w:p>
        </w:tc>
        <w:tc>
          <w:tcPr>
            <w:tcW w:w="1434" w:type="dxa"/>
            <w:tcBorders>
              <w:top w:val="nil"/>
              <w:left w:val="single" w:sz="2" w:space="0" w:color="auto"/>
              <w:bottom w:val="nil"/>
              <w:right w:val="single" w:sz="2" w:space="0" w:color="auto"/>
            </w:tcBorders>
            <w:shd w:val="clear" w:color="auto" w:fill="auto"/>
            <w:vAlign w:val="center"/>
          </w:tcPr>
          <w:p w14:paraId="7129BFB0" w14:textId="77777777" w:rsidR="00FD3FC3" w:rsidRPr="00445B89" w:rsidRDefault="00FD3FC3" w:rsidP="008D29D8">
            <w:pPr>
              <w:autoSpaceDE w:val="0"/>
              <w:autoSpaceDN w:val="0"/>
              <w:adjustRightInd w:val="0"/>
              <w:ind w:right="454"/>
              <w:jc w:val="right"/>
              <w:rPr>
                <w:rFonts w:eastAsia="Calibri"/>
                <w:sz w:val="20"/>
                <w:szCs w:val="20"/>
                <w:lang w:eastAsia="en-US"/>
              </w:rPr>
            </w:pPr>
            <w:r w:rsidRPr="00445B89">
              <w:rPr>
                <w:rFonts w:eastAsia="Calibri"/>
                <w:sz w:val="20"/>
                <w:szCs w:val="20"/>
                <w:lang w:eastAsia="en-US"/>
              </w:rPr>
              <w:t>9</w:t>
            </w:r>
          </w:p>
        </w:tc>
        <w:tc>
          <w:tcPr>
            <w:tcW w:w="1701" w:type="dxa"/>
            <w:tcBorders>
              <w:top w:val="nil"/>
              <w:left w:val="single" w:sz="2" w:space="0" w:color="auto"/>
              <w:bottom w:val="nil"/>
              <w:right w:val="single" w:sz="2" w:space="0" w:color="auto"/>
            </w:tcBorders>
            <w:shd w:val="clear" w:color="auto" w:fill="auto"/>
            <w:vAlign w:val="center"/>
          </w:tcPr>
          <w:p w14:paraId="69ABC828" w14:textId="77777777" w:rsidR="00FD3FC3" w:rsidRPr="00445B89" w:rsidRDefault="00FD3FC3" w:rsidP="008D29D8">
            <w:pPr>
              <w:autoSpaceDE w:val="0"/>
              <w:autoSpaceDN w:val="0"/>
              <w:adjustRightInd w:val="0"/>
              <w:ind w:right="567"/>
              <w:jc w:val="right"/>
              <w:rPr>
                <w:rFonts w:eastAsia="Calibri"/>
                <w:sz w:val="20"/>
                <w:szCs w:val="20"/>
                <w:lang w:eastAsia="en-US"/>
              </w:rPr>
            </w:pPr>
            <w:r w:rsidRPr="00445B89">
              <w:rPr>
                <w:rFonts w:eastAsia="Calibri"/>
                <w:sz w:val="20"/>
                <w:szCs w:val="20"/>
                <w:lang w:eastAsia="en-US"/>
              </w:rPr>
              <w:t>1</w:t>
            </w:r>
          </w:p>
        </w:tc>
      </w:tr>
      <w:tr w:rsidR="00FD3FC3" w:rsidRPr="00FD3FC3" w14:paraId="04C4BC42" w14:textId="77777777" w:rsidTr="00445B89">
        <w:trPr>
          <w:trHeight w:val="106"/>
          <w:jc w:val="center"/>
        </w:trPr>
        <w:tc>
          <w:tcPr>
            <w:tcW w:w="3209" w:type="dxa"/>
            <w:tcBorders>
              <w:top w:val="nil"/>
              <w:left w:val="single" w:sz="2" w:space="0" w:color="auto"/>
              <w:bottom w:val="single" w:sz="2" w:space="0" w:color="auto"/>
              <w:right w:val="single" w:sz="2" w:space="0" w:color="auto"/>
            </w:tcBorders>
            <w:shd w:val="clear" w:color="auto" w:fill="auto"/>
            <w:vAlign w:val="center"/>
          </w:tcPr>
          <w:p w14:paraId="4511CE8E" w14:textId="77777777" w:rsidR="00FD3FC3" w:rsidRPr="00445B89" w:rsidRDefault="00FD3FC3" w:rsidP="00FD3FC3">
            <w:pPr>
              <w:autoSpaceDE w:val="0"/>
              <w:autoSpaceDN w:val="0"/>
              <w:adjustRightInd w:val="0"/>
              <w:rPr>
                <w:rFonts w:eastAsia="Calibri"/>
                <w:bCs/>
                <w:sz w:val="20"/>
                <w:szCs w:val="20"/>
                <w:lang w:eastAsia="en-US"/>
              </w:rPr>
            </w:pPr>
            <w:r w:rsidRPr="00445B89">
              <w:rPr>
                <w:rFonts w:eastAsia="Calibri"/>
                <w:bCs/>
                <w:sz w:val="20"/>
                <w:szCs w:val="20"/>
                <w:lang w:eastAsia="en-US"/>
              </w:rPr>
              <w:t xml:space="preserve">   Sociedad Inbursa, Sofom, ER</w:t>
            </w:r>
          </w:p>
        </w:tc>
        <w:tc>
          <w:tcPr>
            <w:tcW w:w="1352" w:type="dxa"/>
            <w:tcBorders>
              <w:top w:val="nil"/>
              <w:left w:val="single" w:sz="2" w:space="0" w:color="auto"/>
              <w:bottom w:val="single" w:sz="2" w:space="0" w:color="auto"/>
              <w:right w:val="single" w:sz="2" w:space="0" w:color="auto"/>
            </w:tcBorders>
            <w:shd w:val="clear" w:color="auto" w:fill="auto"/>
            <w:vAlign w:val="center"/>
          </w:tcPr>
          <w:p w14:paraId="572DFCD2" w14:textId="77777777" w:rsidR="00FD3FC3" w:rsidRPr="00445B89" w:rsidRDefault="00FD3FC3" w:rsidP="008D29D8">
            <w:pPr>
              <w:autoSpaceDE w:val="0"/>
              <w:autoSpaceDN w:val="0"/>
              <w:adjustRightInd w:val="0"/>
              <w:ind w:right="340"/>
              <w:jc w:val="right"/>
              <w:rPr>
                <w:rFonts w:eastAsia="Calibri"/>
                <w:sz w:val="20"/>
                <w:szCs w:val="20"/>
                <w:lang w:eastAsia="en-US"/>
              </w:rPr>
            </w:pPr>
            <w:r w:rsidRPr="00445B89">
              <w:rPr>
                <w:rFonts w:eastAsia="Calibri"/>
                <w:sz w:val="20"/>
                <w:szCs w:val="20"/>
                <w:lang w:eastAsia="en-US"/>
              </w:rPr>
              <w:t>13</w:t>
            </w:r>
          </w:p>
        </w:tc>
        <w:tc>
          <w:tcPr>
            <w:tcW w:w="951" w:type="dxa"/>
            <w:tcBorders>
              <w:top w:val="nil"/>
              <w:left w:val="single" w:sz="2" w:space="0" w:color="auto"/>
              <w:bottom w:val="single" w:sz="2" w:space="0" w:color="auto"/>
              <w:right w:val="single" w:sz="2" w:space="0" w:color="auto"/>
            </w:tcBorders>
            <w:shd w:val="clear" w:color="auto" w:fill="auto"/>
            <w:vAlign w:val="center"/>
          </w:tcPr>
          <w:p w14:paraId="1A48D8F6" w14:textId="77777777" w:rsidR="00FD3FC3" w:rsidRPr="00445B89" w:rsidRDefault="00FD3FC3" w:rsidP="008D29D8">
            <w:pPr>
              <w:autoSpaceDE w:val="0"/>
              <w:autoSpaceDN w:val="0"/>
              <w:adjustRightInd w:val="0"/>
              <w:ind w:right="170"/>
              <w:jc w:val="right"/>
              <w:rPr>
                <w:rFonts w:eastAsia="Calibri"/>
                <w:sz w:val="20"/>
                <w:szCs w:val="20"/>
                <w:lang w:eastAsia="en-US"/>
              </w:rPr>
            </w:pPr>
            <w:r w:rsidRPr="00445B89">
              <w:rPr>
                <w:rFonts w:eastAsia="Calibri"/>
                <w:sz w:val="20"/>
                <w:szCs w:val="20"/>
                <w:lang w:eastAsia="en-US"/>
              </w:rPr>
              <w:t>0.4</w:t>
            </w:r>
          </w:p>
        </w:tc>
        <w:tc>
          <w:tcPr>
            <w:tcW w:w="1434" w:type="dxa"/>
            <w:tcBorders>
              <w:top w:val="nil"/>
              <w:left w:val="single" w:sz="2" w:space="0" w:color="auto"/>
              <w:bottom w:val="single" w:sz="2" w:space="0" w:color="auto"/>
              <w:right w:val="single" w:sz="2" w:space="0" w:color="auto"/>
            </w:tcBorders>
            <w:shd w:val="clear" w:color="auto" w:fill="auto"/>
            <w:vAlign w:val="center"/>
          </w:tcPr>
          <w:p w14:paraId="77B81295" w14:textId="77777777" w:rsidR="00FD3FC3" w:rsidRPr="00445B89" w:rsidRDefault="00FD3FC3" w:rsidP="008D29D8">
            <w:pPr>
              <w:autoSpaceDE w:val="0"/>
              <w:autoSpaceDN w:val="0"/>
              <w:adjustRightInd w:val="0"/>
              <w:ind w:right="454"/>
              <w:jc w:val="right"/>
              <w:rPr>
                <w:rFonts w:eastAsia="Calibri"/>
                <w:sz w:val="20"/>
                <w:szCs w:val="20"/>
                <w:lang w:eastAsia="en-US"/>
              </w:rPr>
            </w:pPr>
            <w:r w:rsidRPr="00445B89">
              <w:rPr>
                <w:rFonts w:eastAsia="Calibri"/>
                <w:sz w:val="20"/>
                <w:szCs w:val="20"/>
                <w:lang w:eastAsia="en-US"/>
              </w:rPr>
              <w:t>11</w:t>
            </w:r>
          </w:p>
        </w:tc>
        <w:tc>
          <w:tcPr>
            <w:tcW w:w="1701" w:type="dxa"/>
            <w:tcBorders>
              <w:top w:val="nil"/>
              <w:left w:val="single" w:sz="2" w:space="0" w:color="auto"/>
              <w:bottom w:val="single" w:sz="2" w:space="0" w:color="auto"/>
              <w:right w:val="single" w:sz="2" w:space="0" w:color="auto"/>
            </w:tcBorders>
            <w:shd w:val="clear" w:color="auto" w:fill="auto"/>
            <w:vAlign w:val="center"/>
          </w:tcPr>
          <w:p w14:paraId="6BADC753" w14:textId="77777777" w:rsidR="00FD3FC3" w:rsidRPr="00445B89" w:rsidRDefault="00FD3FC3" w:rsidP="008D29D8">
            <w:pPr>
              <w:autoSpaceDE w:val="0"/>
              <w:autoSpaceDN w:val="0"/>
              <w:adjustRightInd w:val="0"/>
              <w:ind w:right="567"/>
              <w:jc w:val="right"/>
              <w:rPr>
                <w:rFonts w:eastAsia="Calibri"/>
                <w:sz w:val="20"/>
                <w:szCs w:val="20"/>
                <w:lang w:eastAsia="en-US"/>
              </w:rPr>
            </w:pPr>
            <w:r w:rsidRPr="00445B89">
              <w:rPr>
                <w:rFonts w:eastAsia="Calibri"/>
                <w:sz w:val="20"/>
                <w:szCs w:val="20"/>
                <w:lang w:eastAsia="en-US"/>
              </w:rPr>
              <w:t>0</w:t>
            </w:r>
          </w:p>
        </w:tc>
      </w:tr>
      <w:tr w:rsidR="00FD3FC3" w:rsidRPr="00FD3FC3" w14:paraId="200949A0" w14:textId="77777777" w:rsidTr="00445B89">
        <w:trPr>
          <w:trHeight w:val="106"/>
          <w:jc w:val="center"/>
        </w:trPr>
        <w:tc>
          <w:tcPr>
            <w:tcW w:w="8647" w:type="dxa"/>
            <w:gridSpan w:val="5"/>
            <w:tcBorders>
              <w:top w:val="single" w:sz="2" w:space="0" w:color="auto"/>
              <w:left w:val="nil"/>
              <w:bottom w:val="nil"/>
              <w:right w:val="nil"/>
            </w:tcBorders>
            <w:shd w:val="clear" w:color="auto" w:fill="auto"/>
            <w:vAlign w:val="center"/>
          </w:tcPr>
          <w:p w14:paraId="0A76E242" w14:textId="77777777" w:rsidR="00FD3FC3" w:rsidRPr="00445B89" w:rsidRDefault="00FD3FC3" w:rsidP="00FD3FC3">
            <w:pPr>
              <w:autoSpaceDE w:val="0"/>
              <w:autoSpaceDN w:val="0"/>
              <w:adjustRightInd w:val="0"/>
              <w:spacing w:before="120"/>
              <w:ind w:left="227" w:right="-159" w:hanging="227"/>
              <w:jc w:val="both"/>
              <w:rPr>
                <w:rFonts w:eastAsia="Calibri"/>
                <w:bCs/>
                <w:sz w:val="20"/>
                <w:szCs w:val="20"/>
                <w:lang w:eastAsia="en-US"/>
              </w:rPr>
            </w:pPr>
            <w:r w:rsidRPr="00445B89">
              <w:rPr>
                <w:rFonts w:eastAsia="Calibri"/>
                <w:bCs/>
                <w:sz w:val="20"/>
                <w:szCs w:val="20"/>
                <w:u w:val="single"/>
                <w:lang w:eastAsia="en-US"/>
              </w:rPr>
              <w:t>1</w:t>
            </w:r>
            <w:r w:rsidRPr="00445B89">
              <w:rPr>
                <w:rFonts w:eastAsia="Calibri"/>
                <w:bCs/>
                <w:sz w:val="20"/>
                <w:szCs w:val="20"/>
                <w:lang w:eastAsia="en-US"/>
              </w:rPr>
              <w:t>/ Si bien los despachos registrados pueden llevar a cabo gestiones de cobranza para una o varias entidades, es obligación de cada entidad financiera registrar al despacho con el que trabaja.</w:t>
            </w:r>
          </w:p>
          <w:p w14:paraId="0DD2ACE3" w14:textId="77777777" w:rsidR="00FD3FC3" w:rsidRPr="00445B89" w:rsidRDefault="00FD3FC3" w:rsidP="00FD3FC3">
            <w:pPr>
              <w:rPr>
                <w:rFonts w:eastAsia="Calibri"/>
                <w:sz w:val="22"/>
                <w:szCs w:val="22"/>
                <w:lang w:eastAsia="en-US"/>
              </w:rPr>
            </w:pPr>
            <w:r w:rsidRPr="00445B89">
              <w:rPr>
                <w:rFonts w:eastAsia="Calibri"/>
                <w:sz w:val="22"/>
                <w:szCs w:val="22"/>
                <w:lang w:eastAsia="en-US"/>
              </w:rPr>
              <w:t>na = no aplica.</w:t>
            </w:r>
          </w:p>
          <w:p w14:paraId="663F28B3" w14:textId="77777777" w:rsidR="00FD3FC3" w:rsidRPr="00445B89" w:rsidRDefault="00FD3FC3" w:rsidP="00FD3FC3">
            <w:pPr>
              <w:autoSpaceDE w:val="0"/>
              <w:autoSpaceDN w:val="0"/>
              <w:adjustRightInd w:val="0"/>
              <w:ind w:right="-159"/>
              <w:jc w:val="both"/>
              <w:rPr>
                <w:rFonts w:eastAsia="Calibri"/>
                <w:sz w:val="20"/>
                <w:szCs w:val="20"/>
                <w:lang w:eastAsia="en-US"/>
              </w:rPr>
            </w:pPr>
            <w:r w:rsidRPr="00445B89">
              <w:rPr>
                <w:rFonts w:eastAsia="Calibri"/>
                <w:bCs/>
                <w:sz w:val="20"/>
                <w:szCs w:val="20"/>
                <w:lang w:eastAsia="en-US"/>
              </w:rPr>
              <w:t>FUENTE: CONDUSEF.</w:t>
            </w:r>
          </w:p>
        </w:tc>
      </w:tr>
    </w:tbl>
    <w:p w14:paraId="1F5A3680" w14:textId="77777777" w:rsidR="00FD3FC3" w:rsidRPr="00FD3FC3" w:rsidRDefault="00FD3FC3" w:rsidP="00FD3FC3">
      <w:pPr>
        <w:spacing w:before="360" w:after="360" w:line="360" w:lineRule="auto"/>
        <w:ind w:right="-159"/>
        <w:jc w:val="both"/>
        <w:rPr>
          <w:rFonts w:eastAsia="Calibri"/>
          <w:sz w:val="26"/>
          <w:szCs w:val="26"/>
          <w:lang w:eastAsia="en-US"/>
        </w:rPr>
      </w:pPr>
      <w:r w:rsidRPr="00FD3FC3">
        <w:rPr>
          <w:rFonts w:eastAsia="Calibri"/>
          <w:sz w:val="26"/>
          <w:szCs w:val="26"/>
          <w:lang w:eastAsia="en-US"/>
        </w:rPr>
        <w:t>Por ello la CONDUSEF te recomienda que si eres objeto de acciones de cobranza indebida, de malos modos, o fuera de los horarios permitidos, utilices el REDECO para presentar tu queja, para ello toma en cuenta las siguientes recomendaciones:</w:t>
      </w:r>
    </w:p>
    <w:p w14:paraId="62E988E4" w14:textId="77777777" w:rsidR="00FD3FC3" w:rsidRPr="00FD3FC3" w:rsidRDefault="00FD3FC3" w:rsidP="00276F3E">
      <w:pPr>
        <w:numPr>
          <w:ilvl w:val="0"/>
          <w:numId w:val="128"/>
        </w:numPr>
        <w:spacing w:after="360" w:line="360" w:lineRule="auto"/>
        <w:ind w:left="714" w:right="-159" w:hanging="357"/>
        <w:jc w:val="both"/>
        <w:rPr>
          <w:rFonts w:eastAsia="Calibri"/>
          <w:sz w:val="26"/>
          <w:szCs w:val="26"/>
          <w:lang w:eastAsia="en-US"/>
        </w:rPr>
      </w:pPr>
      <w:r w:rsidRPr="00FD3FC3">
        <w:rPr>
          <w:rFonts w:eastAsia="Calibri"/>
          <w:sz w:val="26"/>
          <w:szCs w:val="26"/>
          <w:lang w:eastAsia="en-US"/>
        </w:rPr>
        <w:t>Debes entrar a la página de CONDUSEF y localizar el sitio REDECO; al ingresar se desplegará el botón para presentar tu queja.</w:t>
      </w:r>
    </w:p>
    <w:p w14:paraId="34357C1A" w14:textId="77777777" w:rsidR="00FD3FC3" w:rsidRPr="00FD3FC3" w:rsidRDefault="00FD3FC3" w:rsidP="00276F3E">
      <w:pPr>
        <w:numPr>
          <w:ilvl w:val="0"/>
          <w:numId w:val="128"/>
        </w:numPr>
        <w:spacing w:after="360" w:line="360" w:lineRule="auto"/>
        <w:ind w:left="714" w:right="-159" w:hanging="357"/>
        <w:jc w:val="both"/>
        <w:rPr>
          <w:rFonts w:eastAsia="Calibri"/>
          <w:sz w:val="26"/>
          <w:szCs w:val="26"/>
          <w:lang w:eastAsia="en-US"/>
        </w:rPr>
      </w:pPr>
      <w:r w:rsidRPr="00FD3FC3">
        <w:rPr>
          <w:rFonts w:eastAsia="Calibri"/>
          <w:sz w:val="26"/>
          <w:szCs w:val="26"/>
          <w:lang w:eastAsia="en-US"/>
        </w:rPr>
        <w:t>Es muy importante que identifiques a la entidad financiera con la que tienes o dice tener algún tipo de problema derivado de un crédito, ya que si no pones su denominación, no podrá ser turnada la queja a ninguna institución;</w:t>
      </w:r>
    </w:p>
    <w:p w14:paraId="02E6D328" w14:textId="77777777" w:rsidR="00FD3FC3" w:rsidRPr="00FD3FC3" w:rsidRDefault="00FD3FC3" w:rsidP="00276F3E">
      <w:pPr>
        <w:numPr>
          <w:ilvl w:val="0"/>
          <w:numId w:val="128"/>
        </w:numPr>
        <w:spacing w:after="360" w:line="360" w:lineRule="auto"/>
        <w:ind w:left="714" w:right="-159" w:hanging="357"/>
        <w:jc w:val="both"/>
        <w:rPr>
          <w:rFonts w:eastAsia="Calibri"/>
          <w:sz w:val="26"/>
          <w:szCs w:val="26"/>
          <w:lang w:eastAsia="en-US"/>
        </w:rPr>
      </w:pPr>
      <w:r w:rsidRPr="00FD3FC3">
        <w:rPr>
          <w:rFonts w:eastAsia="Calibri"/>
          <w:sz w:val="26"/>
          <w:szCs w:val="26"/>
          <w:lang w:eastAsia="en-US"/>
        </w:rPr>
        <w:lastRenderedPageBreak/>
        <w:t>Es recomendable también ubicar al despacho de cobranza que estableció contacto contigo, es su obligación identificarse, así como el nombre del cobrador, ya que un mismo despacho puede prestar sus servicios a diversas instituciones financieras;</w:t>
      </w:r>
    </w:p>
    <w:p w14:paraId="6C3F539C" w14:textId="77777777" w:rsidR="00FD3FC3" w:rsidRPr="00FD3FC3" w:rsidRDefault="00FD3FC3" w:rsidP="00276F3E">
      <w:pPr>
        <w:numPr>
          <w:ilvl w:val="0"/>
          <w:numId w:val="128"/>
        </w:numPr>
        <w:spacing w:after="360" w:line="360" w:lineRule="auto"/>
        <w:ind w:left="714" w:right="-159" w:hanging="357"/>
        <w:jc w:val="both"/>
        <w:rPr>
          <w:rFonts w:eastAsia="Calibri"/>
          <w:sz w:val="26"/>
          <w:szCs w:val="26"/>
          <w:lang w:eastAsia="en-US"/>
        </w:rPr>
      </w:pPr>
      <w:r w:rsidRPr="00FD3FC3">
        <w:rPr>
          <w:rFonts w:eastAsia="Calibri"/>
          <w:sz w:val="26"/>
          <w:szCs w:val="26"/>
          <w:lang w:eastAsia="en-US"/>
        </w:rPr>
        <w:t>Debes ser muy puntual en seleccionar la causa o causas motivo de tu queja, ya que la institución deberá responder lo que proceda en función de cada una de ellas.</w:t>
      </w:r>
    </w:p>
    <w:p w14:paraId="54777CB6" w14:textId="77777777" w:rsidR="00FD3FC3" w:rsidRPr="00FD3FC3" w:rsidRDefault="00FD3FC3" w:rsidP="00276F3E">
      <w:pPr>
        <w:numPr>
          <w:ilvl w:val="0"/>
          <w:numId w:val="128"/>
        </w:numPr>
        <w:spacing w:after="360" w:line="360" w:lineRule="auto"/>
        <w:ind w:left="714" w:right="-159" w:hanging="357"/>
        <w:jc w:val="both"/>
        <w:rPr>
          <w:rFonts w:eastAsia="Calibri"/>
          <w:sz w:val="26"/>
          <w:szCs w:val="26"/>
          <w:lang w:eastAsia="en-US"/>
        </w:rPr>
      </w:pPr>
      <w:r w:rsidRPr="00FD3FC3">
        <w:rPr>
          <w:rFonts w:eastAsia="Calibri"/>
          <w:sz w:val="26"/>
          <w:szCs w:val="26"/>
          <w:lang w:eastAsia="en-US"/>
        </w:rPr>
        <w:t>Te recomendamos que si la respuesta que te dé la institución financiera no responde al motivo de la queja o no te satisface, puedes acercarte a alguna de nuestras delegaciones para iniciar el proceso de conciliación respectivo. Haz valer tus derechos como usuario de productos y servicios financieros.</w:t>
      </w:r>
    </w:p>
    <w:p w14:paraId="06F83866" w14:textId="77777777" w:rsidR="00FD3FC3" w:rsidRPr="00FD3FC3" w:rsidRDefault="00FD3FC3" w:rsidP="00FD3FC3">
      <w:pPr>
        <w:spacing w:after="360" w:line="360" w:lineRule="auto"/>
        <w:ind w:right="-159"/>
        <w:jc w:val="both"/>
        <w:rPr>
          <w:rFonts w:eastAsia="Calibri"/>
          <w:sz w:val="26"/>
          <w:szCs w:val="26"/>
          <w:lang w:eastAsia="en-US"/>
        </w:rPr>
      </w:pPr>
      <w:r w:rsidRPr="00FD3FC3">
        <w:rPr>
          <w:rFonts w:eastAsia="Calibri"/>
          <w:sz w:val="26"/>
          <w:szCs w:val="26"/>
          <w:lang w:eastAsia="en-US"/>
        </w:rPr>
        <w:t>CONDUSEF en breve pondrá a tu disposición una lista de despachos que en función de tu queja ha detectado que están operando sin estar registrados por alguna institución financiera.</w:t>
      </w:r>
    </w:p>
    <w:p w14:paraId="7B985234" w14:textId="77777777" w:rsidR="00FD3FC3" w:rsidRPr="00FD3FC3" w:rsidRDefault="00FD3FC3" w:rsidP="00FD3FC3">
      <w:pPr>
        <w:ind w:right="-159"/>
        <w:jc w:val="both"/>
        <w:rPr>
          <w:rFonts w:eastAsia="Calibri"/>
          <w:sz w:val="20"/>
          <w:szCs w:val="20"/>
          <w:lang w:eastAsia="en-US"/>
        </w:rPr>
      </w:pPr>
      <w:r w:rsidRPr="00FD3FC3">
        <w:rPr>
          <w:rFonts w:eastAsia="Calibri"/>
          <w:b/>
          <w:sz w:val="20"/>
          <w:szCs w:val="20"/>
          <w:lang w:eastAsia="en-US"/>
        </w:rPr>
        <w:t>Fuente de información</w:t>
      </w:r>
      <w:r w:rsidRPr="00FD3FC3">
        <w:rPr>
          <w:rFonts w:eastAsia="Calibri"/>
          <w:sz w:val="20"/>
          <w:szCs w:val="20"/>
          <w:lang w:eastAsia="en-US"/>
        </w:rPr>
        <w:t>:</w:t>
      </w:r>
    </w:p>
    <w:p w14:paraId="1D969B17" w14:textId="77777777" w:rsidR="00FD3FC3" w:rsidRPr="008631DB" w:rsidRDefault="0093224F" w:rsidP="008631DB">
      <w:pPr>
        <w:spacing w:after="720"/>
        <w:ind w:right="-159"/>
        <w:jc w:val="both"/>
        <w:rPr>
          <w:rFonts w:eastAsia="Calibri"/>
          <w:color w:val="0000FF"/>
          <w:sz w:val="20"/>
          <w:szCs w:val="20"/>
          <w:lang w:eastAsia="en-US"/>
        </w:rPr>
      </w:pPr>
      <w:hyperlink r:id="rId346" w:history="1">
        <w:r w:rsidR="00FD3FC3" w:rsidRPr="008631DB">
          <w:rPr>
            <w:rFonts w:eastAsia="Calibri"/>
            <w:color w:val="0000FF"/>
            <w:sz w:val="20"/>
            <w:szCs w:val="20"/>
            <w:u w:val="single"/>
            <w:lang w:eastAsia="en-US"/>
          </w:rPr>
          <w:t>http://www.condusef.gob.mx/index.php/prensa/comunicados-2015/1160-detecta-el-redeco-115-despachos-que-sin-estar-registrados-ejercen-acciones-de-cobranza-a-nombre-de-instituciones-financieras-condusef</w:t>
        </w:r>
      </w:hyperlink>
    </w:p>
    <w:p w14:paraId="3002A17B" w14:textId="77777777" w:rsidR="00FD3FC3" w:rsidRPr="00FD3FC3" w:rsidRDefault="00FD3FC3" w:rsidP="00FD3FC3">
      <w:pPr>
        <w:rPr>
          <w:rFonts w:eastAsia="Calibri"/>
          <w:b/>
          <w:sz w:val="26"/>
          <w:szCs w:val="26"/>
          <w:lang w:eastAsia="en-US"/>
        </w:rPr>
      </w:pPr>
      <w:r w:rsidRPr="00FD3FC3">
        <w:rPr>
          <w:rFonts w:eastAsia="Calibri"/>
          <w:b/>
          <w:sz w:val="26"/>
          <w:szCs w:val="26"/>
          <w:lang w:eastAsia="en-US"/>
        </w:rPr>
        <w:t>¿Sabes cuánto te cobra tu banco por emisión</w:t>
      </w:r>
    </w:p>
    <w:p w14:paraId="6FF9B26A" w14:textId="77777777" w:rsidR="00FD3FC3" w:rsidRPr="00FD3FC3" w:rsidRDefault="00FD3FC3" w:rsidP="00FD3FC3">
      <w:pPr>
        <w:rPr>
          <w:rFonts w:eastAsia="Calibri"/>
          <w:b/>
          <w:sz w:val="26"/>
          <w:szCs w:val="26"/>
          <w:lang w:eastAsia="en-US"/>
        </w:rPr>
      </w:pPr>
      <w:r w:rsidRPr="00FD3FC3">
        <w:rPr>
          <w:rFonts w:eastAsia="Calibri"/>
          <w:b/>
          <w:sz w:val="26"/>
          <w:szCs w:val="26"/>
          <w:lang w:eastAsia="en-US"/>
        </w:rPr>
        <w:t>de  cheque  adicional  y  cuál  es  la  comisión</w:t>
      </w:r>
    </w:p>
    <w:p w14:paraId="593E7854" w14:textId="77777777" w:rsidR="00FD3FC3" w:rsidRPr="00FD3FC3" w:rsidRDefault="00FD3FC3" w:rsidP="00FD3FC3">
      <w:pPr>
        <w:spacing w:after="360" w:line="360" w:lineRule="auto"/>
        <w:ind w:right="-159"/>
        <w:jc w:val="both"/>
        <w:rPr>
          <w:rFonts w:eastAsia="Calibri"/>
          <w:b/>
          <w:sz w:val="26"/>
          <w:szCs w:val="26"/>
          <w:lang w:eastAsia="en-US"/>
        </w:rPr>
      </w:pPr>
      <w:r w:rsidRPr="00FD3FC3">
        <w:rPr>
          <w:rFonts w:eastAsia="Calibri"/>
          <w:b/>
          <w:sz w:val="26"/>
          <w:szCs w:val="26"/>
          <w:lang w:eastAsia="en-US"/>
        </w:rPr>
        <w:t>por sobregiro? (CONDUSEF)</w:t>
      </w:r>
    </w:p>
    <w:p w14:paraId="4C9B170A" w14:textId="013B738E" w:rsidR="00FD3FC3" w:rsidRPr="00FD3FC3" w:rsidRDefault="00FD3FC3" w:rsidP="00FD3FC3">
      <w:pPr>
        <w:spacing w:after="360" w:line="360" w:lineRule="auto"/>
        <w:ind w:right="-159"/>
        <w:jc w:val="both"/>
        <w:rPr>
          <w:rFonts w:eastAsia="Calibri"/>
          <w:sz w:val="26"/>
          <w:szCs w:val="26"/>
          <w:lang w:eastAsia="en-US"/>
        </w:rPr>
      </w:pPr>
      <w:r w:rsidRPr="00FD3FC3">
        <w:rPr>
          <w:rFonts w:eastAsia="Calibri"/>
          <w:sz w:val="26"/>
          <w:szCs w:val="26"/>
          <w:lang w:eastAsia="en-US"/>
        </w:rPr>
        <w:t>El 1</w:t>
      </w:r>
      <w:r w:rsidR="008F194B">
        <w:rPr>
          <w:rFonts w:eastAsia="Calibri"/>
          <w:sz w:val="26"/>
          <w:szCs w:val="26"/>
          <w:lang w:eastAsia="en-US"/>
        </w:rPr>
        <w:t xml:space="preserve">º </w:t>
      </w:r>
      <w:r w:rsidRPr="00FD3FC3">
        <w:rPr>
          <w:rFonts w:eastAsia="Calibri"/>
          <w:sz w:val="26"/>
          <w:szCs w:val="26"/>
          <w:lang w:eastAsia="en-US"/>
        </w:rPr>
        <w:t>de marzo de 2015, la Comisión Nacional para la Protección y Defensa de los Usuarios de Servicios Financieros (CONDUSEF) comunicó sobre el costo en que se incurre al emitir un cheque, así como las penalizaciones por intento de sobregiro. A continuación se presenta la información.</w:t>
      </w:r>
    </w:p>
    <w:p w14:paraId="74CFC361" w14:textId="77777777" w:rsidR="00FD3FC3" w:rsidRPr="00FD3FC3" w:rsidRDefault="00FD3FC3" w:rsidP="00FD3FC3">
      <w:pPr>
        <w:spacing w:after="360" w:line="360" w:lineRule="auto"/>
        <w:ind w:right="-159"/>
        <w:jc w:val="both"/>
        <w:rPr>
          <w:rFonts w:eastAsia="Calibri"/>
          <w:sz w:val="26"/>
          <w:szCs w:val="26"/>
          <w:lang w:eastAsia="en-US"/>
        </w:rPr>
      </w:pPr>
      <w:r w:rsidRPr="00FD3FC3">
        <w:rPr>
          <w:rFonts w:eastAsia="Calibri"/>
          <w:sz w:val="26"/>
          <w:szCs w:val="26"/>
          <w:lang w:eastAsia="en-US"/>
        </w:rPr>
        <w:lastRenderedPageBreak/>
        <w:t>Si eres de las personas que utilizan comúnmente la chequera para realizar o recibir tus pagos, la CONDUSEF te informa sobre el costo por emitir un cheque, así como las penalizaciones por intento de sobregiro en ventanilla o en la cámara de compensación.</w:t>
      </w:r>
    </w:p>
    <w:p w14:paraId="61875DE4" w14:textId="12C96EAD" w:rsidR="00FD3FC3" w:rsidRPr="00FD3FC3" w:rsidRDefault="00FD3FC3" w:rsidP="00FD3FC3">
      <w:pPr>
        <w:spacing w:after="360" w:line="360" w:lineRule="auto"/>
        <w:ind w:right="-159"/>
        <w:jc w:val="both"/>
        <w:rPr>
          <w:rFonts w:eastAsia="Calibri"/>
          <w:sz w:val="26"/>
          <w:szCs w:val="26"/>
          <w:lang w:eastAsia="en-US"/>
        </w:rPr>
      </w:pPr>
      <w:r w:rsidRPr="00FD3FC3">
        <w:rPr>
          <w:rFonts w:eastAsia="Calibri"/>
          <w:sz w:val="26"/>
          <w:szCs w:val="26"/>
          <w:lang w:eastAsia="en-US"/>
        </w:rPr>
        <w:t xml:space="preserve">Cabe destacar que en promedio, puedes expedir sin costo </w:t>
      </w:r>
      <w:r w:rsidR="008F194B">
        <w:rPr>
          <w:rFonts w:eastAsia="Calibri"/>
          <w:sz w:val="26"/>
          <w:szCs w:val="26"/>
          <w:lang w:eastAsia="en-US"/>
        </w:rPr>
        <w:t>cinco</w:t>
      </w:r>
      <w:r w:rsidRPr="00FD3FC3">
        <w:rPr>
          <w:rFonts w:eastAsia="Calibri"/>
          <w:sz w:val="26"/>
          <w:szCs w:val="26"/>
          <w:lang w:eastAsia="en-US"/>
        </w:rPr>
        <w:t xml:space="preserve"> cheques al mes por cuenta, sin embargo, existen instituciones como BBVA Bancomer, en su producto Libretón 2.0, en el que sólo puedes expedir </w:t>
      </w:r>
      <w:r w:rsidR="008F194B">
        <w:rPr>
          <w:rFonts w:eastAsia="Calibri"/>
          <w:sz w:val="26"/>
          <w:szCs w:val="26"/>
          <w:lang w:eastAsia="en-US"/>
        </w:rPr>
        <w:t>dos</w:t>
      </w:r>
      <w:r w:rsidRPr="00FD3FC3">
        <w:rPr>
          <w:rFonts w:eastAsia="Calibri"/>
          <w:sz w:val="26"/>
          <w:szCs w:val="26"/>
          <w:lang w:eastAsia="en-US"/>
        </w:rPr>
        <w:t xml:space="preserve"> cheques gratis, por el contrario Banorte, en su producto Enlace Global Pago Fijo, puedes expedir hasta </w:t>
      </w:r>
      <w:r w:rsidR="008F194B">
        <w:rPr>
          <w:rFonts w:eastAsia="Calibri"/>
          <w:sz w:val="26"/>
          <w:szCs w:val="26"/>
          <w:lang w:eastAsia="en-US"/>
        </w:rPr>
        <w:t>seis</w:t>
      </w:r>
      <w:r w:rsidRPr="00FD3FC3">
        <w:rPr>
          <w:rFonts w:eastAsia="Calibri"/>
          <w:sz w:val="26"/>
          <w:szCs w:val="26"/>
          <w:lang w:eastAsia="en-US"/>
        </w:rPr>
        <w:t>.</w:t>
      </w:r>
    </w:p>
    <w:p w14:paraId="2129E532" w14:textId="77777777" w:rsidR="00FD3FC3" w:rsidRPr="00FD3FC3" w:rsidRDefault="00FD3FC3" w:rsidP="00FD3FC3">
      <w:pPr>
        <w:spacing w:after="360" w:line="360" w:lineRule="auto"/>
        <w:ind w:right="-159"/>
        <w:jc w:val="both"/>
        <w:rPr>
          <w:rFonts w:eastAsia="Calibri"/>
          <w:sz w:val="26"/>
          <w:szCs w:val="26"/>
          <w:lang w:eastAsia="en-US"/>
        </w:rPr>
      </w:pPr>
      <w:r w:rsidRPr="00FD3FC3">
        <w:rPr>
          <w:rFonts w:eastAsia="Calibri"/>
          <w:sz w:val="26"/>
          <w:szCs w:val="26"/>
          <w:lang w:eastAsia="en-US"/>
        </w:rPr>
        <w:t>Por lo que se refiere al cobro por cheque librado adicional, la comisión que se cobra en promedio es de 13 pesos; sin embargo, algunas instituciones como BBVA Bancomer, con el producto Libretón 2.0, llegan a cobrar una cuota de 15 pesos.</w:t>
      </w:r>
    </w:p>
    <w:p w14:paraId="5F4A822F" w14:textId="77777777" w:rsidR="00FD3FC3" w:rsidRPr="00FD3FC3" w:rsidRDefault="00FD3FC3" w:rsidP="00FD3FC3">
      <w:pPr>
        <w:spacing w:after="360" w:line="360" w:lineRule="auto"/>
        <w:ind w:right="-159"/>
        <w:jc w:val="both"/>
        <w:rPr>
          <w:rFonts w:eastAsia="Calibri"/>
          <w:sz w:val="26"/>
          <w:szCs w:val="26"/>
          <w:lang w:eastAsia="en-US"/>
        </w:rPr>
      </w:pPr>
      <w:r w:rsidRPr="00FD3FC3">
        <w:rPr>
          <w:rFonts w:eastAsia="Calibri"/>
          <w:sz w:val="26"/>
          <w:szCs w:val="26"/>
          <w:lang w:eastAsia="en-US"/>
        </w:rPr>
        <w:t>En cambio, algunas instituciones financieras como Inbursa con la Cuenta Efe, Afirme con la Cuenta L1der, Banregio en la Cuenta Libre y Banco Ahorro Famsa con el producto Mi Chequera Famsa no cobran comisión alguna por emisión de cheque adicional, por lo que no tienen un mínimo ni un máximo para emitir cheques a lo largo de un mes.</w:t>
      </w:r>
    </w:p>
    <w:p w14:paraId="487128CE" w14:textId="77777777" w:rsidR="00FD3FC3" w:rsidRDefault="00FD3FC3" w:rsidP="00FD3FC3">
      <w:pPr>
        <w:spacing w:after="360" w:line="360" w:lineRule="auto"/>
        <w:ind w:right="-159"/>
        <w:jc w:val="both"/>
        <w:rPr>
          <w:rFonts w:eastAsia="Calibri"/>
          <w:sz w:val="26"/>
          <w:szCs w:val="26"/>
          <w:lang w:eastAsia="en-US"/>
        </w:rPr>
      </w:pPr>
      <w:r w:rsidRPr="00FD3FC3">
        <w:rPr>
          <w:rFonts w:eastAsia="Calibri"/>
          <w:sz w:val="26"/>
          <w:szCs w:val="26"/>
          <w:lang w:eastAsia="en-US"/>
        </w:rPr>
        <w:t>Asimismo, el cobro promedio por cheque devuelto en ventanilla asciende a 900 pesos; aunque algunas instituciones como BBVA Bancomer en su producto Libretón 2.0 cobra 969 pesos, mientras Guardadito Cheques de Banco Azteca contempla una penalización de 500 pesos por cheque devuelto y la comisión más baja por este rubro es de Bancoppel con el producto Cuenta Efectiva con Cheques con una penalización de 250 pesos.</w:t>
      </w:r>
    </w:p>
    <w:p w14:paraId="41760BA5" w14:textId="77777777" w:rsidR="001D7965" w:rsidRDefault="001D7965" w:rsidP="00FD3FC3">
      <w:pPr>
        <w:spacing w:after="360" w:line="360" w:lineRule="auto"/>
        <w:ind w:right="-159"/>
        <w:jc w:val="both"/>
        <w:rPr>
          <w:rFonts w:eastAsia="Calibri"/>
          <w:sz w:val="26"/>
          <w:szCs w:val="26"/>
          <w:lang w:eastAsia="en-US"/>
        </w:rPr>
      </w:pPr>
    </w:p>
    <w:p w14:paraId="68A99B18" w14:textId="77777777" w:rsidR="001D7965" w:rsidRDefault="001D7965" w:rsidP="00FD3FC3">
      <w:pPr>
        <w:spacing w:after="360" w:line="360" w:lineRule="auto"/>
        <w:ind w:right="-159"/>
        <w:jc w:val="both"/>
        <w:rPr>
          <w:rFonts w:eastAsia="Calibri"/>
          <w:sz w:val="26"/>
          <w:szCs w:val="26"/>
          <w:lang w:eastAsia="en-US"/>
        </w:rPr>
      </w:pPr>
    </w:p>
    <w:p w14:paraId="4DAFE5F9" w14:textId="77777777" w:rsidR="001D7965" w:rsidRPr="00FD3FC3" w:rsidRDefault="001D7965" w:rsidP="00FD3FC3">
      <w:pPr>
        <w:spacing w:after="360" w:line="360" w:lineRule="auto"/>
        <w:ind w:right="-159"/>
        <w:jc w:val="both"/>
        <w:rPr>
          <w:rFonts w:eastAsia="Calibri"/>
          <w:sz w:val="26"/>
          <w:szCs w:val="26"/>
          <w:lang w:eastAsia="en-US"/>
        </w:rPr>
      </w:pPr>
    </w:p>
    <w:p w14:paraId="3837379C" w14:textId="1A3AB3AB" w:rsidR="00FD3FC3" w:rsidRDefault="00FD3FC3" w:rsidP="00FD3FC3">
      <w:pPr>
        <w:spacing w:after="360" w:line="360" w:lineRule="auto"/>
        <w:ind w:right="-159"/>
        <w:jc w:val="both"/>
        <w:rPr>
          <w:rFonts w:eastAsia="Calibri"/>
          <w:sz w:val="26"/>
          <w:szCs w:val="26"/>
          <w:lang w:eastAsia="en-US"/>
        </w:rPr>
      </w:pPr>
      <w:r w:rsidRPr="00FD3FC3">
        <w:rPr>
          <w:rFonts w:eastAsia="Calibri"/>
          <w:sz w:val="26"/>
          <w:szCs w:val="26"/>
          <w:lang w:eastAsia="en-US"/>
        </w:rPr>
        <w:lastRenderedPageBreak/>
        <w:t>A continuación</w:t>
      </w:r>
      <w:r w:rsidR="007D2C1E">
        <w:rPr>
          <w:rFonts w:eastAsia="Calibri"/>
          <w:sz w:val="26"/>
          <w:szCs w:val="26"/>
          <w:lang w:eastAsia="en-US"/>
        </w:rPr>
        <w:t xml:space="preserve"> se presenta el </w:t>
      </w:r>
      <w:r w:rsidRPr="00FD3FC3">
        <w:rPr>
          <w:rFonts w:eastAsia="Calibri"/>
          <w:sz w:val="26"/>
          <w:szCs w:val="26"/>
          <w:lang w:eastAsia="en-US"/>
        </w:rPr>
        <w:t>detalle por bancos:</w:t>
      </w:r>
    </w:p>
    <w:tbl>
      <w:tblPr>
        <w:tblW w:w="9292" w:type="dxa"/>
        <w:jc w:val="center"/>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Layout w:type="fixed"/>
        <w:tblLook w:val="04A0" w:firstRow="1" w:lastRow="0" w:firstColumn="1" w:lastColumn="0" w:noHBand="0" w:noVBand="1"/>
      </w:tblPr>
      <w:tblGrid>
        <w:gridCol w:w="2052"/>
        <w:gridCol w:w="2743"/>
        <w:gridCol w:w="1541"/>
        <w:gridCol w:w="1319"/>
        <w:gridCol w:w="1637"/>
      </w:tblGrid>
      <w:tr w:rsidR="007D2C1E" w:rsidRPr="007D2C1E" w14:paraId="5720358A" w14:textId="77777777" w:rsidTr="00F443FB">
        <w:trPr>
          <w:trHeight w:val="106"/>
          <w:jc w:val="center"/>
        </w:trPr>
        <w:tc>
          <w:tcPr>
            <w:tcW w:w="9292" w:type="dxa"/>
            <w:gridSpan w:val="5"/>
            <w:tcBorders>
              <w:top w:val="nil"/>
              <w:left w:val="nil"/>
              <w:bottom w:val="single" w:sz="4" w:space="0" w:color="auto"/>
              <w:right w:val="nil"/>
            </w:tcBorders>
            <w:shd w:val="clear" w:color="auto" w:fill="auto"/>
            <w:vAlign w:val="center"/>
          </w:tcPr>
          <w:p w14:paraId="7F555AFB" w14:textId="77777777" w:rsidR="007D2C1E" w:rsidRPr="007D2C1E" w:rsidRDefault="007D2C1E" w:rsidP="007D2C1E">
            <w:pPr>
              <w:autoSpaceDE w:val="0"/>
              <w:autoSpaceDN w:val="0"/>
              <w:adjustRightInd w:val="0"/>
              <w:jc w:val="center"/>
              <w:rPr>
                <w:rFonts w:eastAsia="Calibri"/>
                <w:b/>
                <w:sz w:val="22"/>
                <w:szCs w:val="22"/>
                <w:lang w:eastAsia="en-US"/>
              </w:rPr>
            </w:pPr>
            <w:r w:rsidRPr="007D2C1E">
              <w:rPr>
                <w:rFonts w:eastAsia="Calibri"/>
                <w:b/>
                <w:sz w:val="22"/>
                <w:szCs w:val="22"/>
                <w:lang w:eastAsia="en-US"/>
              </w:rPr>
              <w:t>CONOCE CUANTO COBRAN LOS BANCOS POR EMITIR UN CHEQUE Y LAS PENALIZACIONES POR INTENTO DE SOBREGIRO*</w:t>
            </w:r>
          </w:p>
          <w:p w14:paraId="2461CDC8" w14:textId="38BBAFAB" w:rsidR="007D2C1E" w:rsidRPr="007D2C1E" w:rsidRDefault="007D2C1E" w:rsidP="007D2C1E">
            <w:pPr>
              <w:jc w:val="center"/>
              <w:rPr>
                <w:rFonts w:eastAsia="Calibri"/>
                <w:b/>
                <w:sz w:val="22"/>
                <w:szCs w:val="22"/>
                <w:lang w:eastAsia="en-US"/>
              </w:rPr>
            </w:pPr>
            <w:r w:rsidRPr="007D2C1E">
              <w:rPr>
                <w:rFonts w:eastAsia="Calibri"/>
                <w:b/>
                <w:sz w:val="22"/>
                <w:szCs w:val="22"/>
                <w:lang w:eastAsia="en-US"/>
              </w:rPr>
              <w:t>-Personas físicas-</w:t>
            </w:r>
          </w:p>
        </w:tc>
      </w:tr>
      <w:tr w:rsidR="007D2C1E" w:rsidRPr="007D2C1E" w14:paraId="2471A55B" w14:textId="77777777" w:rsidTr="007D2C1E">
        <w:trPr>
          <w:trHeight w:val="106"/>
          <w:jc w:val="center"/>
        </w:trPr>
        <w:tc>
          <w:tcPr>
            <w:tcW w:w="2052" w:type="dxa"/>
            <w:vMerge w:val="restart"/>
            <w:tcBorders>
              <w:top w:val="single" w:sz="4" w:space="0" w:color="auto"/>
              <w:left w:val="single" w:sz="4" w:space="0" w:color="auto"/>
              <w:right w:val="single" w:sz="4" w:space="0" w:color="auto"/>
            </w:tcBorders>
            <w:shd w:val="clear" w:color="auto" w:fill="auto"/>
            <w:vAlign w:val="center"/>
          </w:tcPr>
          <w:p w14:paraId="09B2DEB4" w14:textId="77777777" w:rsidR="007D2C1E" w:rsidRPr="007D2C1E" w:rsidRDefault="007D2C1E" w:rsidP="0054411E">
            <w:pPr>
              <w:autoSpaceDE w:val="0"/>
              <w:autoSpaceDN w:val="0"/>
              <w:adjustRightInd w:val="0"/>
              <w:jc w:val="center"/>
              <w:rPr>
                <w:rFonts w:eastAsia="Calibri"/>
                <w:b/>
                <w:sz w:val="20"/>
                <w:szCs w:val="20"/>
                <w:lang w:eastAsia="en-US"/>
              </w:rPr>
            </w:pPr>
            <w:r w:rsidRPr="007D2C1E">
              <w:rPr>
                <w:rFonts w:eastAsia="Calibri"/>
                <w:b/>
                <w:sz w:val="20"/>
                <w:szCs w:val="20"/>
                <w:lang w:eastAsia="en-US"/>
              </w:rPr>
              <w:t>Banco</w:t>
            </w:r>
          </w:p>
        </w:tc>
        <w:tc>
          <w:tcPr>
            <w:tcW w:w="2743" w:type="dxa"/>
            <w:vMerge w:val="restart"/>
            <w:tcBorders>
              <w:top w:val="single" w:sz="4" w:space="0" w:color="auto"/>
              <w:left w:val="single" w:sz="4" w:space="0" w:color="auto"/>
              <w:right w:val="single" w:sz="4" w:space="0" w:color="auto"/>
            </w:tcBorders>
            <w:shd w:val="clear" w:color="auto" w:fill="auto"/>
            <w:vAlign w:val="center"/>
          </w:tcPr>
          <w:p w14:paraId="2E1664A0" w14:textId="77777777" w:rsidR="007D2C1E" w:rsidRPr="007D2C1E" w:rsidRDefault="007D2C1E" w:rsidP="007D2C1E">
            <w:pPr>
              <w:autoSpaceDE w:val="0"/>
              <w:autoSpaceDN w:val="0"/>
              <w:adjustRightInd w:val="0"/>
              <w:jc w:val="center"/>
              <w:rPr>
                <w:rFonts w:eastAsia="Calibri"/>
                <w:b/>
                <w:sz w:val="20"/>
                <w:szCs w:val="20"/>
                <w:lang w:eastAsia="en-US"/>
              </w:rPr>
            </w:pPr>
            <w:r w:rsidRPr="007D2C1E">
              <w:rPr>
                <w:rFonts w:eastAsia="Calibri"/>
                <w:b/>
                <w:sz w:val="20"/>
                <w:szCs w:val="20"/>
                <w:lang w:eastAsia="en-US"/>
              </w:rPr>
              <w:t>Cuenta</w:t>
            </w:r>
          </w:p>
        </w:tc>
        <w:tc>
          <w:tcPr>
            <w:tcW w:w="2860" w:type="dxa"/>
            <w:gridSpan w:val="2"/>
            <w:tcBorders>
              <w:top w:val="single" w:sz="4" w:space="0" w:color="auto"/>
              <w:left w:val="single" w:sz="4" w:space="0" w:color="auto"/>
              <w:bottom w:val="single" w:sz="4" w:space="0" w:color="auto"/>
              <w:right w:val="single" w:sz="4" w:space="0" w:color="auto"/>
            </w:tcBorders>
            <w:shd w:val="clear" w:color="auto" w:fill="auto"/>
          </w:tcPr>
          <w:p w14:paraId="2C1F21AC" w14:textId="77777777" w:rsidR="007D2C1E" w:rsidRPr="007D2C1E" w:rsidRDefault="007D2C1E" w:rsidP="007D2C1E">
            <w:pPr>
              <w:autoSpaceDE w:val="0"/>
              <w:autoSpaceDN w:val="0"/>
              <w:adjustRightInd w:val="0"/>
              <w:jc w:val="center"/>
              <w:rPr>
                <w:rFonts w:eastAsia="Calibri"/>
                <w:b/>
                <w:sz w:val="20"/>
                <w:szCs w:val="20"/>
                <w:lang w:eastAsia="en-US"/>
              </w:rPr>
            </w:pPr>
            <w:r w:rsidRPr="007D2C1E">
              <w:rPr>
                <w:rFonts w:eastAsia="Calibri"/>
                <w:b/>
                <w:sz w:val="20"/>
                <w:szCs w:val="20"/>
                <w:lang w:eastAsia="en-US"/>
              </w:rPr>
              <w:t>Cheque librado</w:t>
            </w:r>
          </w:p>
        </w:tc>
        <w:tc>
          <w:tcPr>
            <w:tcW w:w="1637" w:type="dxa"/>
            <w:vMerge w:val="restart"/>
            <w:tcBorders>
              <w:top w:val="single" w:sz="4" w:space="0" w:color="auto"/>
              <w:left w:val="single" w:sz="4" w:space="0" w:color="auto"/>
              <w:right w:val="single" w:sz="4" w:space="0" w:color="auto"/>
            </w:tcBorders>
            <w:shd w:val="clear" w:color="auto" w:fill="auto"/>
          </w:tcPr>
          <w:p w14:paraId="415B8B44" w14:textId="77777777" w:rsidR="007D2C1E" w:rsidRPr="007D2C1E" w:rsidRDefault="007D2C1E" w:rsidP="007D2C1E">
            <w:pPr>
              <w:autoSpaceDE w:val="0"/>
              <w:autoSpaceDN w:val="0"/>
              <w:adjustRightInd w:val="0"/>
              <w:jc w:val="center"/>
              <w:rPr>
                <w:rFonts w:eastAsia="Calibri"/>
                <w:b/>
                <w:sz w:val="20"/>
                <w:szCs w:val="20"/>
                <w:lang w:eastAsia="en-US"/>
              </w:rPr>
            </w:pPr>
            <w:r w:rsidRPr="007D2C1E">
              <w:rPr>
                <w:rFonts w:eastAsia="Calibri"/>
                <w:b/>
                <w:sz w:val="20"/>
                <w:szCs w:val="20"/>
                <w:lang w:eastAsia="en-US"/>
              </w:rPr>
              <w:t>Intento de sobregiro por cheque devuelto</w:t>
            </w:r>
          </w:p>
          <w:p w14:paraId="6FFA89FD" w14:textId="77777777" w:rsidR="007D2C1E" w:rsidRPr="007D2C1E" w:rsidRDefault="007D2C1E" w:rsidP="007D2C1E">
            <w:pPr>
              <w:jc w:val="center"/>
              <w:rPr>
                <w:rFonts w:eastAsia="Calibri"/>
                <w:sz w:val="20"/>
                <w:szCs w:val="20"/>
                <w:lang w:eastAsia="en-US"/>
              </w:rPr>
            </w:pPr>
            <w:r w:rsidRPr="007D2C1E">
              <w:rPr>
                <w:rFonts w:eastAsia="Calibri"/>
                <w:sz w:val="20"/>
                <w:szCs w:val="20"/>
                <w:lang w:eastAsia="en-US"/>
              </w:rPr>
              <w:t>(Cámara de compensación y/ventanilla)</w:t>
            </w:r>
          </w:p>
          <w:p w14:paraId="798CAA64" w14:textId="77777777" w:rsidR="007D2C1E" w:rsidRPr="007D2C1E" w:rsidRDefault="007D2C1E" w:rsidP="007D2C1E">
            <w:pPr>
              <w:jc w:val="center"/>
              <w:rPr>
                <w:rFonts w:eastAsia="Calibri"/>
                <w:sz w:val="20"/>
                <w:szCs w:val="20"/>
                <w:lang w:eastAsia="en-US"/>
              </w:rPr>
            </w:pPr>
            <w:r w:rsidRPr="007D2C1E">
              <w:rPr>
                <w:rFonts w:eastAsia="Calibri"/>
                <w:sz w:val="20"/>
                <w:szCs w:val="20"/>
                <w:lang w:eastAsia="en-US"/>
              </w:rPr>
              <w:t>($)</w:t>
            </w:r>
          </w:p>
        </w:tc>
      </w:tr>
      <w:tr w:rsidR="007D2C1E" w:rsidRPr="007D2C1E" w14:paraId="62AD9061" w14:textId="77777777" w:rsidTr="007D2C1E">
        <w:trPr>
          <w:trHeight w:val="106"/>
          <w:jc w:val="center"/>
        </w:trPr>
        <w:tc>
          <w:tcPr>
            <w:tcW w:w="2052" w:type="dxa"/>
            <w:vMerge/>
            <w:tcBorders>
              <w:left w:val="single" w:sz="4" w:space="0" w:color="auto"/>
              <w:bottom w:val="single" w:sz="4" w:space="0" w:color="auto"/>
              <w:right w:val="single" w:sz="4" w:space="0" w:color="auto"/>
            </w:tcBorders>
            <w:shd w:val="clear" w:color="auto" w:fill="auto"/>
            <w:vAlign w:val="center"/>
          </w:tcPr>
          <w:p w14:paraId="36E1649B" w14:textId="77777777" w:rsidR="007D2C1E" w:rsidRPr="007D2C1E" w:rsidRDefault="007D2C1E" w:rsidP="007D2C1E">
            <w:pPr>
              <w:autoSpaceDE w:val="0"/>
              <w:autoSpaceDN w:val="0"/>
              <w:adjustRightInd w:val="0"/>
              <w:rPr>
                <w:rFonts w:eastAsia="Calibri"/>
                <w:sz w:val="20"/>
                <w:szCs w:val="20"/>
                <w:lang w:eastAsia="en-US"/>
              </w:rPr>
            </w:pPr>
          </w:p>
        </w:tc>
        <w:tc>
          <w:tcPr>
            <w:tcW w:w="2743" w:type="dxa"/>
            <w:vMerge/>
            <w:tcBorders>
              <w:left w:val="single" w:sz="4" w:space="0" w:color="auto"/>
              <w:bottom w:val="single" w:sz="4" w:space="0" w:color="auto"/>
              <w:right w:val="single" w:sz="4" w:space="0" w:color="auto"/>
            </w:tcBorders>
            <w:shd w:val="clear" w:color="auto" w:fill="auto"/>
            <w:vAlign w:val="center"/>
          </w:tcPr>
          <w:p w14:paraId="7FDD7242" w14:textId="77777777" w:rsidR="007D2C1E" w:rsidRPr="007D2C1E" w:rsidRDefault="007D2C1E" w:rsidP="007D2C1E">
            <w:pPr>
              <w:autoSpaceDE w:val="0"/>
              <w:autoSpaceDN w:val="0"/>
              <w:adjustRightInd w:val="0"/>
              <w:jc w:val="center"/>
              <w:rPr>
                <w:rFonts w:eastAsia="Calibri"/>
                <w:sz w:val="20"/>
                <w:szCs w:val="20"/>
                <w:lang w:eastAsia="en-US"/>
              </w:rPr>
            </w:pPr>
          </w:p>
        </w:tc>
        <w:tc>
          <w:tcPr>
            <w:tcW w:w="1541" w:type="dxa"/>
            <w:tcBorders>
              <w:top w:val="single" w:sz="4" w:space="0" w:color="auto"/>
              <w:left w:val="single" w:sz="4" w:space="0" w:color="auto"/>
              <w:bottom w:val="single" w:sz="4" w:space="0" w:color="auto"/>
              <w:right w:val="single" w:sz="4" w:space="0" w:color="auto"/>
            </w:tcBorders>
            <w:shd w:val="clear" w:color="auto" w:fill="auto"/>
            <w:vAlign w:val="center"/>
          </w:tcPr>
          <w:p w14:paraId="6D755A04" w14:textId="77777777" w:rsidR="007D2C1E" w:rsidRPr="007D2C1E" w:rsidRDefault="007D2C1E" w:rsidP="007D2C1E">
            <w:pPr>
              <w:autoSpaceDE w:val="0"/>
              <w:autoSpaceDN w:val="0"/>
              <w:adjustRightInd w:val="0"/>
              <w:jc w:val="center"/>
              <w:rPr>
                <w:rFonts w:eastAsia="Calibri"/>
                <w:b/>
                <w:sz w:val="20"/>
                <w:szCs w:val="20"/>
                <w:lang w:eastAsia="en-US"/>
              </w:rPr>
            </w:pPr>
            <w:r w:rsidRPr="007D2C1E">
              <w:rPr>
                <w:rFonts w:eastAsia="Calibri"/>
                <w:b/>
                <w:sz w:val="20"/>
                <w:szCs w:val="20"/>
                <w:lang w:eastAsia="en-US"/>
              </w:rPr>
              <w:t>Cheques gratis</w:t>
            </w:r>
          </w:p>
          <w:p w14:paraId="4A0B3806" w14:textId="77777777" w:rsidR="007D2C1E" w:rsidRPr="007D2C1E" w:rsidRDefault="007D2C1E" w:rsidP="007D2C1E">
            <w:pPr>
              <w:autoSpaceDE w:val="0"/>
              <w:autoSpaceDN w:val="0"/>
              <w:adjustRightInd w:val="0"/>
              <w:jc w:val="center"/>
              <w:rPr>
                <w:rFonts w:eastAsia="Calibri"/>
                <w:b/>
                <w:sz w:val="20"/>
                <w:szCs w:val="20"/>
                <w:lang w:eastAsia="en-US"/>
              </w:rPr>
            </w:pPr>
            <w:r w:rsidRPr="007D2C1E">
              <w:rPr>
                <w:rFonts w:eastAsia="Calibri"/>
                <w:sz w:val="20"/>
                <w:szCs w:val="20"/>
                <w:lang w:eastAsia="en-US"/>
              </w:rPr>
              <w:t>(al mes)</w:t>
            </w:r>
          </w:p>
        </w:tc>
        <w:tc>
          <w:tcPr>
            <w:tcW w:w="1319" w:type="dxa"/>
            <w:tcBorders>
              <w:top w:val="single" w:sz="4" w:space="0" w:color="auto"/>
              <w:left w:val="single" w:sz="4" w:space="0" w:color="auto"/>
              <w:bottom w:val="single" w:sz="4" w:space="0" w:color="auto"/>
              <w:right w:val="single" w:sz="4" w:space="0" w:color="auto"/>
            </w:tcBorders>
            <w:shd w:val="clear" w:color="auto" w:fill="auto"/>
            <w:vAlign w:val="center"/>
          </w:tcPr>
          <w:p w14:paraId="2B711FAA" w14:textId="77777777" w:rsidR="007D2C1E" w:rsidRPr="007D2C1E" w:rsidRDefault="007D2C1E" w:rsidP="007D2C1E">
            <w:pPr>
              <w:autoSpaceDE w:val="0"/>
              <w:autoSpaceDN w:val="0"/>
              <w:adjustRightInd w:val="0"/>
              <w:jc w:val="center"/>
              <w:rPr>
                <w:rFonts w:eastAsia="Calibri"/>
                <w:b/>
                <w:sz w:val="20"/>
                <w:szCs w:val="20"/>
                <w:lang w:eastAsia="en-US"/>
              </w:rPr>
            </w:pPr>
            <w:r w:rsidRPr="007D2C1E">
              <w:rPr>
                <w:rFonts w:eastAsia="Calibri"/>
                <w:b/>
                <w:sz w:val="20"/>
                <w:szCs w:val="20"/>
                <w:lang w:eastAsia="en-US"/>
              </w:rPr>
              <w:t>Adicional</w:t>
            </w:r>
          </w:p>
          <w:p w14:paraId="2DD87C4C" w14:textId="77777777" w:rsidR="007D2C1E" w:rsidRPr="007D2C1E" w:rsidRDefault="007D2C1E" w:rsidP="007D2C1E">
            <w:pPr>
              <w:spacing w:after="160" w:line="259" w:lineRule="auto"/>
              <w:jc w:val="center"/>
              <w:rPr>
                <w:rFonts w:eastAsia="Calibri"/>
                <w:sz w:val="20"/>
                <w:szCs w:val="20"/>
                <w:lang w:eastAsia="en-US"/>
              </w:rPr>
            </w:pPr>
            <w:r w:rsidRPr="007D2C1E">
              <w:rPr>
                <w:rFonts w:eastAsia="Calibri"/>
                <w:sz w:val="20"/>
                <w:szCs w:val="20"/>
                <w:lang w:eastAsia="en-US"/>
              </w:rPr>
              <w:t>($)</w:t>
            </w:r>
          </w:p>
        </w:tc>
        <w:tc>
          <w:tcPr>
            <w:tcW w:w="1637" w:type="dxa"/>
            <w:vMerge/>
            <w:tcBorders>
              <w:left w:val="single" w:sz="4" w:space="0" w:color="auto"/>
              <w:bottom w:val="single" w:sz="4" w:space="0" w:color="auto"/>
              <w:right w:val="single" w:sz="4" w:space="0" w:color="auto"/>
            </w:tcBorders>
            <w:shd w:val="clear" w:color="auto" w:fill="auto"/>
            <w:vAlign w:val="center"/>
          </w:tcPr>
          <w:p w14:paraId="65254AA5" w14:textId="77777777" w:rsidR="007D2C1E" w:rsidRPr="007D2C1E" w:rsidRDefault="007D2C1E" w:rsidP="007D2C1E">
            <w:pPr>
              <w:autoSpaceDE w:val="0"/>
              <w:autoSpaceDN w:val="0"/>
              <w:adjustRightInd w:val="0"/>
              <w:jc w:val="center"/>
              <w:rPr>
                <w:rFonts w:eastAsia="Calibri"/>
                <w:sz w:val="20"/>
                <w:szCs w:val="20"/>
                <w:lang w:eastAsia="en-US"/>
              </w:rPr>
            </w:pPr>
          </w:p>
        </w:tc>
      </w:tr>
      <w:tr w:rsidR="007D2C1E" w:rsidRPr="007D2C1E" w14:paraId="7D247F9B" w14:textId="77777777" w:rsidTr="007D2C1E">
        <w:trPr>
          <w:trHeight w:val="106"/>
          <w:jc w:val="center"/>
        </w:trPr>
        <w:tc>
          <w:tcPr>
            <w:tcW w:w="2052" w:type="dxa"/>
            <w:vMerge w:val="restart"/>
            <w:tcBorders>
              <w:top w:val="single" w:sz="4" w:space="0" w:color="auto"/>
              <w:left w:val="single" w:sz="4" w:space="0" w:color="auto"/>
              <w:right w:val="single" w:sz="4" w:space="0" w:color="auto"/>
            </w:tcBorders>
            <w:shd w:val="clear" w:color="auto" w:fill="auto"/>
            <w:vAlign w:val="center"/>
          </w:tcPr>
          <w:p w14:paraId="3788BD6B" w14:textId="77777777" w:rsidR="007D2C1E" w:rsidRPr="007D2C1E" w:rsidRDefault="007D2C1E" w:rsidP="007D2C1E">
            <w:pPr>
              <w:autoSpaceDE w:val="0"/>
              <w:autoSpaceDN w:val="0"/>
              <w:adjustRightInd w:val="0"/>
              <w:rPr>
                <w:rFonts w:eastAsia="Calibri"/>
                <w:sz w:val="20"/>
                <w:szCs w:val="20"/>
                <w:lang w:eastAsia="en-US"/>
              </w:rPr>
            </w:pPr>
            <w:r w:rsidRPr="007D2C1E">
              <w:rPr>
                <w:rFonts w:eastAsia="Calibri"/>
                <w:sz w:val="20"/>
                <w:szCs w:val="20"/>
                <w:lang w:eastAsia="en-US"/>
              </w:rPr>
              <w:t>Banamex</w:t>
            </w:r>
          </w:p>
        </w:tc>
        <w:tc>
          <w:tcPr>
            <w:tcW w:w="2743" w:type="dxa"/>
            <w:tcBorders>
              <w:top w:val="single" w:sz="4" w:space="0" w:color="auto"/>
              <w:left w:val="single" w:sz="4" w:space="0" w:color="auto"/>
              <w:bottom w:val="single" w:sz="4" w:space="0" w:color="auto"/>
              <w:right w:val="single" w:sz="4" w:space="0" w:color="auto"/>
            </w:tcBorders>
            <w:shd w:val="clear" w:color="auto" w:fill="auto"/>
            <w:vAlign w:val="center"/>
          </w:tcPr>
          <w:p w14:paraId="13D78618" w14:textId="77777777" w:rsidR="007D2C1E" w:rsidRPr="007D2C1E" w:rsidRDefault="007D2C1E" w:rsidP="007D2C1E">
            <w:pPr>
              <w:autoSpaceDE w:val="0"/>
              <w:autoSpaceDN w:val="0"/>
              <w:adjustRightInd w:val="0"/>
              <w:rPr>
                <w:rFonts w:eastAsia="Calibri"/>
                <w:sz w:val="20"/>
                <w:szCs w:val="20"/>
                <w:lang w:eastAsia="en-US"/>
              </w:rPr>
            </w:pPr>
            <w:r w:rsidRPr="007D2C1E">
              <w:rPr>
                <w:rFonts w:eastAsia="Calibri"/>
                <w:sz w:val="20"/>
                <w:szCs w:val="20"/>
                <w:lang w:eastAsia="en-US"/>
              </w:rPr>
              <w:t>Perfiles renta mensual</w:t>
            </w:r>
          </w:p>
        </w:tc>
        <w:tc>
          <w:tcPr>
            <w:tcW w:w="1541" w:type="dxa"/>
            <w:tcBorders>
              <w:top w:val="single" w:sz="4" w:space="0" w:color="auto"/>
              <w:left w:val="single" w:sz="4" w:space="0" w:color="auto"/>
              <w:bottom w:val="single" w:sz="4" w:space="0" w:color="auto"/>
              <w:right w:val="single" w:sz="4" w:space="0" w:color="auto"/>
            </w:tcBorders>
            <w:shd w:val="clear" w:color="auto" w:fill="auto"/>
            <w:vAlign w:val="center"/>
          </w:tcPr>
          <w:p w14:paraId="4E40007D"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5</w:t>
            </w:r>
          </w:p>
        </w:tc>
        <w:tc>
          <w:tcPr>
            <w:tcW w:w="1319" w:type="dxa"/>
            <w:tcBorders>
              <w:top w:val="single" w:sz="4" w:space="0" w:color="auto"/>
              <w:left w:val="single" w:sz="4" w:space="0" w:color="auto"/>
              <w:bottom w:val="single" w:sz="4" w:space="0" w:color="auto"/>
              <w:right w:val="single" w:sz="4" w:space="0" w:color="auto"/>
            </w:tcBorders>
            <w:shd w:val="clear" w:color="auto" w:fill="auto"/>
            <w:vAlign w:val="center"/>
          </w:tcPr>
          <w:p w14:paraId="085F96FA"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13.00</w:t>
            </w:r>
          </w:p>
        </w:tc>
        <w:tc>
          <w:tcPr>
            <w:tcW w:w="1637" w:type="dxa"/>
            <w:tcBorders>
              <w:top w:val="single" w:sz="4" w:space="0" w:color="auto"/>
              <w:left w:val="single" w:sz="4" w:space="0" w:color="auto"/>
              <w:bottom w:val="single" w:sz="4" w:space="0" w:color="auto"/>
              <w:right w:val="single" w:sz="4" w:space="0" w:color="auto"/>
            </w:tcBorders>
            <w:shd w:val="clear" w:color="auto" w:fill="auto"/>
            <w:vAlign w:val="center"/>
          </w:tcPr>
          <w:p w14:paraId="562FA6F2"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900.00</w:t>
            </w:r>
          </w:p>
        </w:tc>
      </w:tr>
      <w:tr w:rsidR="007D2C1E" w:rsidRPr="007D2C1E" w14:paraId="359B859A" w14:textId="77777777" w:rsidTr="007D2C1E">
        <w:trPr>
          <w:trHeight w:val="106"/>
          <w:jc w:val="center"/>
        </w:trPr>
        <w:tc>
          <w:tcPr>
            <w:tcW w:w="2052" w:type="dxa"/>
            <w:vMerge/>
            <w:tcBorders>
              <w:left w:val="single" w:sz="4" w:space="0" w:color="auto"/>
              <w:bottom w:val="single" w:sz="4" w:space="0" w:color="auto"/>
              <w:right w:val="single" w:sz="4" w:space="0" w:color="auto"/>
            </w:tcBorders>
            <w:shd w:val="clear" w:color="auto" w:fill="auto"/>
            <w:vAlign w:val="center"/>
          </w:tcPr>
          <w:p w14:paraId="7C405A83" w14:textId="77777777" w:rsidR="007D2C1E" w:rsidRPr="007D2C1E" w:rsidRDefault="007D2C1E" w:rsidP="007D2C1E">
            <w:pPr>
              <w:autoSpaceDE w:val="0"/>
              <w:autoSpaceDN w:val="0"/>
              <w:adjustRightInd w:val="0"/>
              <w:rPr>
                <w:rFonts w:eastAsia="Calibri"/>
                <w:sz w:val="20"/>
                <w:szCs w:val="20"/>
                <w:lang w:eastAsia="en-US"/>
              </w:rPr>
            </w:pPr>
          </w:p>
        </w:tc>
        <w:tc>
          <w:tcPr>
            <w:tcW w:w="2743" w:type="dxa"/>
            <w:tcBorders>
              <w:top w:val="single" w:sz="4" w:space="0" w:color="auto"/>
              <w:left w:val="single" w:sz="4" w:space="0" w:color="auto"/>
              <w:bottom w:val="single" w:sz="4" w:space="0" w:color="auto"/>
              <w:right w:val="single" w:sz="4" w:space="0" w:color="auto"/>
            </w:tcBorders>
            <w:shd w:val="clear" w:color="auto" w:fill="auto"/>
            <w:vAlign w:val="center"/>
          </w:tcPr>
          <w:p w14:paraId="4BDD4182" w14:textId="77777777" w:rsidR="007D2C1E" w:rsidRPr="007D2C1E" w:rsidRDefault="007D2C1E" w:rsidP="007D2C1E">
            <w:pPr>
              <w:autoSpaceDE w:val="0"/>
              <w:autoSpaceDN w:val="0"/>
              <w:adjustRightInd w:val="0"/>
              <w:rPr>
                <w:rFonts w:eastAsia="Calibri"/>
                <w:sz w:val="20"/>
                <w:szCs w:val="20"/>
                <w:lang w:eastAsia="en-US"/>
              </w:rPr>
            </w:pPr>
            <w:r w:rsidRPr="007D2C1E">
              <w:rPr>
                <w:rFonts w:eastAsia="Calibri"/>
                <w:sz w:val="20"/>
                <w:szCs w:val="20"/>
                <w:lang w:eastAsia="en-US"/>
              </w:rPr>
              <w:t>Perfiles pago por operación</w:t>
            </w:r>
          </w:p>
        </w:tc>
        <w:tc>
          <w:tcPr>
            <w:tcW w:w="1541" w:type="dxa"/>
            <w:tcBorders>
              <w:top w:val="single" w:sz="4" w:space="0" w:color="auto"/>
              <w:left w:val="single" w:sz="4" w:space="0" w:color="auto"/>
              <w:bottom w:val="single" w:sz="4" w:space="0" w:color="auto"/>
              <w:right w:val="single" w:sz="4" w:space="0" w:color="auto"/>
            </w:tcBorders>
            <w:shd w:val="clear" w:color="auto" w:fill="auto"/>
            <w:vAlign w:val="center"/>
          </w:tcPr>
          <w:p w14:paraId="0227040D"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0</w:t>
            </w:r>
          </w:p>
        </w:tc>
        <w:tc>
          <w:tcPr>
            <w:tcW w:w="1319" w:type="dxa"/>
            <w:tcBorders>
              <w:top w:val="single" w:sz="4" w:space="0" w:color="auto"/>
              <w:left w:val="single" w:sz="4" w:space="0" w:color="auto"/>
              <w:bottom w:val="single" w:sz="4" w:space="0" w:color="auto"/>
              <w:right w:val="single" w:sz="4" w:space="0" w:color="auto"/>
            </w:tcBorders>
            <w:shd w:val="clear" w:color="auto" w:fill="auto"/>
            <w:vAlign w:val="center"/>
          </w:tcPr>
          <w:p w14:paraId="2DD328D0"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13.00</w:t>
            </w:r>
          </w:p>
        </w:tc>
        <w:tc>
          <w:tcPr>
            <w:tcW w:w="1637" w:type="dxa"/>
            <w:tcBorders>
              <w:top w:val="single" w:sz="4" w:space="0" w:color="auto"/>
              <w:left w:val="single" w:sz="4" w:space="0" w:color="auto"/>
              <w:bottom w:val="single" w:sz="4" w:space="0" w:color="auto"/>
              <w:right w:val="single" w:sz="4" w:space="0" w:color="auto"/>
            </w:tcBorders>
            <w:shd w:val="clear" w:color="auto" w:fill="auto"/>
            <w:vAlign w:val="center"/>
          </w:tcPr>
          <w:p w14:paraId="18D16EFC"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900.00</w:t>
            </w:r>
          </w:p>
        </w:tc>
      </w:tr>
      <w:tr w:rsidR="007D2C1E" w:rsidRPr="007D2C1E" w14:paraId="4F49C07E" w14:textId="77777777" w:rsidTr="007D2C1E">
        <w:trPr>
          <w:trHeight w:val="106"/>
          <w:jc w:val="center"/>
        </w:trPr>
        <w:tc>
          <w:tcPr>
            <w:tcW w:w="2052" w:type="dxa"/>
            <w:tcBorders>
              <w:top w:val="single" w:sz="4" w:space="0" w:color="auto"/>
              <w:left w:val="single" w:sz="4" w:space="0" w:color="auto"/>
              <w:bottom w:val="single" w:sz="4" w:space="0" w:color="auto"/>
              <w:right w:val="single" w:sz="4" w:space="0" w:color="auto"/>
            </w:tcBorders>
            <w:shd w:val="clear" w:color="auto" w:fill="auto"/>
            <w:vAlign w:val="center"/>
          </w:tcPr>
          <w:p w14:paraId="2A61266F" w14:textId="77777777" w:rsidR="007D2C1E" w:rsidRPr="007D2C1E" w:rsidRDefault="007D2C1E" w:rsidP="007D2C1E">
            <w:pPr>
              <w:autoSpaceDE w:val="0"/>
              <w:autoSpaceDN w:val="0"/>
              <w:adjustRightInd w:val="0"/>
              <w:rPr>
                <w:rFonts w:eastAsia="Calibri"/>
                <w:sz w:val="20"/>
                <w:szCs w:val="20"/>
                <w:lang w:eastAsia="en-US"/>
              </w:rPr>
            </w:pPr>
            <w:r w:rsidRPr="007D2C1E">
              <w:rPr>
                <w:rFonts w:eastAsia="Calibri"/>
                <w:sz w:val="20"/>
                <w:szCs w:val="20"/>
                <w:lang w:eastAsia="en-US"/>
              </w:rPr>
              <w:t>BBVA Bancomer</w:t>
            </w:r>
          </w:p>
        </w:tc>
        <w:tc>
          <w:tcPr>
            <w:tcW w:w="2743" w:type="dxa"/>
            <w:tcBorders>
              <w:top w:val="single" w:sz="4" w:space="0" w:color="auto"/>
              <w:left w:val="single" w:sz="4" w:space="0" w:color="auto"/>
              <w:bottom w:val="single" w:sz="4" w:space="0" w:color="auto"/>
              <w:right w:val="single" w:sz="4" w:space="0" w:color="auto"/>
            </w:tcBorders>
            <w:shd w:val="clear" w:color="auto" w:fill="auto"/>
            <w:vAlign w:val="center"/>
          </w:tcPr>
          <w:p w14:paraId="6C0C40B8" w14:textId="77777777" w:rsidR="007D2C1E" w:rsidRPr="007D2C1E" w:rsidRDefault="007D2C1E" w:rsidP="007D2C1E">
            <w:pPr>
              <w:autoSpaceDE w:val="0"/>
              <w:autoSpaceDN w:val="0"/>
              <w:adjustRightInd w:val="0"/>
              <w:rPr>
                <w:rFonts w:eastAsia="Calibri"/>
                <w:sz w:val="20"/>
                <w:szCs w:val="20"/>
                <w:lang w:eastAsia="en-US"/>
              </w:rPr>
            </w:pPr>
            <w:r w:rsidRPr="007D2C1E">
              <w:rPr>
                <w:rFonts w:eastAsia="Calibri"/>
                <w:sz w:val="20"/>
                <w:szCs w:val="20"/>
                <w:lang w:eastAsia="en-US"/>
              </w:rPr>
              <w:t>Libretón 2.0</w:t>
            </w:r>
          </w:p>
        </w:tc>
        <w:tc>
          <w:tcPr>
            <w:tcW w:w="1541" w:type="dxa"/>
            <w:tcBorders>
              <w:top w:val="single" w:sz="4" w:space="0" w:color="auto"/>
              <w:left w:val="single" w:sz="4" w:space="0" w:color="auto"/>
              <w:bottom w:val="single" w:sz="4" w:space="0" w:color="auto"/>
              <w:right w:val="single" w:sz="4" w:space="0" w:color="auto"/>
            </w:tcBorders>
            <w:shd w:val="clear" w:color="auto" w:fill="auto"/>
          </w:tcPr>
          <w:p w14:paraId="2D1BCF3A"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2</w:t>
            </w:r>
          </w:p>
        </w:tc>
        <w:tc>
          <w:tcPr>
            <w:tcW w:w="1319" w:type="dxa"/>
            <w:tcBorders>
              <w:top w:val="single" w:sz="4" w:space="0" w:color="auto"/>
              <w:left w:val="single" w:sz="4" w:space="0" w:color="auto"/>
              <w:bottom w:val="single" w:sz="4" w:space="0" w:color="auto"/>
              <w:right w:val="single" w:sz="4" w:space="0" w:color="auto"/>
            </w:tcBorders>
            <w:shd w:val="clear" w:color="auto" w:fill="auto"/>
          </w:tcPr>
          <w:p w14:paraId="1EE9ABA1"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15.00</w:t>
            </w:r>
          </w:p>
        </w:tc>
        <w:tc>
          <w:tcPr>
            <w:tcW w:w="1637" w:type="dxa"/>
            <w:tcBorders>
              <w:top w:val="single" w:sz="4" w:space="0" w:color="auto"/>
              <w:left w:val="single" w:sz="4" w:space="0" w:color="auto"/>
              <w:bottom w:val="single" w:sz="4" w:space="0" w:color="auto"/>
              <w:right w:val="single" w:sz="4" w:space="0" w:color="auto"/>
            </w:tcBorders>
            <w:shd w:val="clear" w:color="auto" w:fill="auto"/>
          </w:tcPr>
          <w:p w14:paraId="056A04E0"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969.00</w:t>
            </w:r>
          </w:p>
        </w:tc>
      </w:tr>
      <w:tr w:rsidR="007D2C1E" w:rsidRPr="007D2C1E" w14:paraId="1BBDC54B" w14:textId="77777777" w:rsidTr="007D2C1E">
        <w:trPr>
          <w:trHeight w:val="106"/>
          <w:jc w:val="center"/>
        </w:trPr>
        <w:tc>
          <w:tcPr>
            <w:tcW w:w="2052" w:type="dxa"/>
            <w:vMerge w:val="restart"/>
            <w:tcBorders>
              <w:top w:val="single" w:sz="4" w:space="0" w:color="auto"/>
              <w:left w:val="single" w:sz="4" w:space="0" w:color="auto"/>
              <w:right w:val="single" w:sz="4" w:space="0" w:color="auto"/>
            </w:tcBorders>
            <w:shd w:val="clear" w:color="auto" w:fill="auto"/>
            <w:vAlign w:val="center"/>
          </w:tcPr>
          <w:p w14:paraId="5B6A87AD" w14:textId="77777777" w:rsidR="007D2C1E" w:rsidRPr="007D2C1E" w:rsidRDefault="007D2C1E" w:rsidP="007D2C1E">
            <w:pPr>
              <w:autoSpaceDE w:val="0"/>
              <w:autoSpaceDN w:val="0"/>
              <w:adjustRightInd w:val="0"/>
              <w:rPr>
                <w:rFonts w:eastAsia="Calibri"/>
                <w:sz w:val="20"/>
                <w:szCs w:val="20"/>
                <w:lang w:eastAsia="en-US"/>
              </w:rPr>
            </w:pPr>
            <w:r w:rsidRPr="007D2C1E">
              <w:rPr>
                <w:rFonts w:eastAsia="Calibri"/>
                <w:sz w:val="20"/>
                <w:szCs w:val="20"/>
                <w:lang w:eastAsia="en-US"/>
              </w:rPr>
              <w:t>Banorte</w:t>
            </w:r>
          </w:p>
        </w:tc>
        <w:tc>
          <w:tcPr>
            <w:tcW w:w="2743" w:type="dxa"/>
            <w:tcBorders>
              <w:top w:val="single" w:sz="4" w:space="0" w:color="auto"/>
              <w:left w:val="single" w:sz="4" w:space="0" w:color="auto"/>
              <w:bottom w:val="single" w:sz="4" w:space="0" w:color="auto"/>
              <w:right w:val="single" w:sz="4" w:space="0" w:color="auto"/>
            </w:tcBorders>
            <w:shd w:val="clear" w:color="auto" w:fill="auto"/>
            <w:vAlign w:val="center"/>
          </w:tcPr>
          <w:p w14:paraId="20E3D2E3" w14:textId="77777777" w:rsidR="007D2C1E" w:rsidRPr="007D2C1E" w:rsidRDefault="007D2C1E" w:rsidP="007D2C1E">
            <w:pPr>
              <w:autoSpaceDE w:val="0"/>
              <w:autoSpaceDN w:val="0"/>
              <w:adjustRightInd w:val="0"/>
              <w:rPr>
                <w:rFonts w:eastAsia="Calibri"/>
                <w:sz w:val="20"/>
                <w:szCs w:val="20"/>
                <w:lang w:eastAsia="en-US"/>
              </w:rPr>
            </w:pPr>
            <w:r w:rsidRPr="007D2C1E">
              <w:rPr>
                <w:rFonts w:eastAsia="Calibri"/>
                <w:sz w:val="20"/>
                <w:szCs w:val="20"/>
                <w:lang w:eastAsia="en-US"/>
              </w:rPr>
              <w:t>Enlace Global Pago Fijo</w:t>
            </w:r>
          </w:p>
        </w:tc>
        <w:tc>
          <w:tcPr>
            <w:tcW w:w="1541" w:type="dxa"/>
            <w:tcBorders>
              <w:top w:val="single" w:sz="4" w:space="0" w:color="auto"/>
              <w:left w:val="single" w:sz="4" w:space="0" w:color="auto"/>
              <w:bottom w:val="single" w:sz="4" w:space="0" w:color="auto"/>
              <w:right w:val="single" w:sz="4" w:space="0" w:color="auto"/>
            </w:tcBorders>
            <w:shd w:val="clear" w:color="auto" w:fill="auto"/>
            <w:vAlign w:val="center"/>
          </w:tcPr>
          <w:p w14:paraId="5F1E1C8A"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6</w:t>
            </w:r>
          </w:p>
        </w:tc>
        <w:tc>
          <w:tcPr>
            <w:tcW w:w="1319" w:type="dxa"/>
            <w:tcBorders>
              <w:top w:val="single" w:sz="4" w:space="0" w:color="auto"/>
              <w:left w:val="single" w:sz="4" w:space="0" w:color="auto"/>
              <w:bottom w:val="single" w:sz="4" w:space="0" w:color="auto"/>
              <w:right w:val="single" w:sz="4" w:space="0" w:color="auto"/>
            </w:tcBorders>
            <w:shd w:val="clear" w:color="auto" w:fill="auto"/>
            <w:vAlign w:val="center"/>
          </w:tcPr>
          <w:p w14:paraId="2139BE50"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14.00</w:t>
            </w:r>
          </w:p>
        </w:tc>
        <w:tc>
          <w:tcPr>
            <w:tcW w:w="1637" w:type="dxa"/>
            <w:tcBorders>
              <w:top w:val="single" w:sz="4" w:space="0" w:color="auto"/>
              <w:left w:val="single" w:sz="4" w:space="0" w:color="auto"/>
              <w:bottom w:val="single" w:sz="4" w:space="0" w:color="auto"/>
              <w:right w:val="single" w:sz="4" w:space="0" w:color="auto"/>
            </w:tcBorders>
            <w:shd w:val="clear" w:color="auto" w:fill="auto"/>
            <w:vAlign w:val="center"/>
          </w:tcPr>
          <w:p w14:paraId="3F46D748"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900.00</w:t>
            </w:r>
          </w:p>
        </w:tc>
      </w:tr>
      <w:tr w:rsidR="007D2C1E" w:rsidRPr="007D2C1E" w14:paraId="5DD3EC1F" w14:textId="77777777" w:rsidTr="007D2C1E">
        <w:trPr>
          <w:trHeight w:val="106"/>
          <w:jc w:val="center"/>
        </w:trPr>
        <w:tc>
          <w:tcPr>
            <w:tcW w:w="2052" w:type="dxa"/>
            <w:vMerge/>
            <w:tcBorders>
              <w:left w:val="single" w:sz="4" w:space="0" w:color="auto"/>
              <w:bottom w:val="single" w:sz="4" w:space="0" w:color="auto"/>
              <w:right w:val="single" w:sz="4" w:space="0" w:color="auto"/>
            </w:tcBorders>
            <w:shd w:val="clear" w:color="auto" w:fill="auto"/>
            <w:vAlign w:val="center"/>
          </w:tcPr>
          <w:p w14:paraId="5A468372" w14:textId="77777777" w:rsidR="007D2C1E" w:rsidRPr="007D2C1E" w:rsidRDefault="007D2C1E" w:rsidP="007D2C1E">
            <w:pPr>
              <w:autoSpaceDE w:val="0"/>
              <w:autoSpaceDN w:val="0"/>
              <w:adjustRightInd w:val="0"/>
              <w:rPr>
                <w:rFonts w:eastAsia="Calibri"/>
                <w:sz w:val="20"/>
                <w:szCs w:val="20"/>
                <w:lang w:eastAsia="en-US"/>
              </w:rPr>
            </w:pPr>
          </w:p>
        </w:tc>
        <w:tc>
          <w:tcPr>
            <w:tcW w:w="2743" w:type="dxa"/>
            <w:tcBorders>
              <w:top w:val="single" w:sz="4" w:space="0" w:color="auto"/>
              <w:left w:val="single" w:sz="4" w:space="0" w:color="auto"/>
              <w:bottom w:val="single" w:sz="4" w:space="0" w:color="auto"/>
              <w:right w:val="single" w:sz="4" w:space="0" w:color="auto"/>
            </w:tcBorders>
            <w:shd w:val="clear" w:color="auto" w:fill="auto"/>
            <w:vAlign w:val="center"/>
          </w:tcPr>
          <w:p w14:paraId="5E2D84E7" w14:textId="77777777" w:rsidR="007D2C1E" w:rsidRPr="007D2C1E" w:rsidRDefault="007D2C1E" w:rsidP="007D2C1E">
            <w:pPr>
              <w:autoSpaceDE w:val="0"/>
              <w:autoSpaceDN w:val="0"/>
              <w:adjustRightInd w:val="0"/>
              <w:rPr>
                <w:rFonts w:eastAsia="Calibri"/>
                <w:sz w:val="20"/>
                <w:szCs w:val="20"/>
                <w:lang w:eastAsia="en-US"/>
              </w:rPr>
            </w:pPr>
            <w:r w:rsidRPr="007D2C1E">
              <w:rPr>
                <w:rFonts w:eastAsia="Calibri"/>
                <w:sz w:val="20"/>
                <w:szCs w:val="20"/>
                <w:lang w:eastAsia="en-US"/>
              </w:rPr>
              <w:t>Enlace Global Pago por Transacción</w:t>
            </w:r>
          </w:p>
        </w:tc>
        <w:tc>
          <w:tcPr>
            <w:tcW w:w="1541" w:type="dxa"/>
            <w:tcBorders>
              <w:top w:val="single" w:sz="4" w:space="0" w:color="auto"/>
              <w:left w:val="single" w:sz="4" w:space="0" w:color="auto"/>
              <w:bottom w:val="single" w:sz="4" w:space="0" w:color="auto"/>
              <w:right w:val="single" w:sz="4" w:space="0" w:color="auto"/>
            </w:tcBorders>
            <w:shd w:val="clear" w:color="auto" w:fill="auto"/>
            <w:vAlign w:val="center"/>
          </w:tcPr>
          <w:p w14:paraId="13507F9E"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0</w:t>
            </w:r>
          </w:p>
        </w:tc>
        <w:tc>
          <w:tcPr>
            <w:tcW w:w="1319" w:type="dxa"/>
            <w:tcBorders>
              <w:top w:val="single" w:sz="4" w:space="0" w:color="auto"/>
              <w:left w:val="single" w:sz="4" w:space="0" w:color="auto"/>
              <w:bottom w:val="single" w:sz="4" w:space="0" w:color="auto"/>
              <w:right w:val="single" w:sz="4" w:space="0" w:color="auto"/>
            </w:tcBorders>
            <w:shd w:val="clear" w:color="auto" w:fill="auto"/>
            <w:vAlign w:val="center"/>
          </w:tcPr>
          <w:p w14:paraId="123C80E1"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14.00</w:t>
            </w:r>
          </w:p>
        </w:tc>
        <w:tc>
          <w:tcPr>
            <w:tcW w:w="1637" w:type="dxa"/>
            <w:tcBorders>
              <w:top w:val="single" w:sz="4" w:space="0" w:color="auto"/>
              <w:left w:val="single" w:sz="4" w:space="0" w:color="auto"/>
              <w:bottom w:val="single" w:sz="4" w:space="0" w:color="auto"/>
              <w:right w:val="single" w:sz="4" w:space="0" w:color="auto"/>
            </w:tcBorders>
            <w:shd w:val="clear" w:color="auto" w:fill="auto"/>
            <w:vAlign w:val="center"/>
          </w:tcPr>
          <w:p w14:paraId="3628FF39"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900.00</w:t>
            </w:r>
          </w:p>
        </w:tc>
      </w:tr>
      <w:tr w:rsidR="007D2C1E" w:rsidRPr="007D2C1E" w14:paraId="1FBACC63" w14:textId="77777777" w:rsidTr="007D2C1E">
        <w:trPr>
          <w:trHeight w:val="106"/>
          <w:jc w:val="center"/>
        </w:trPr>
        <w:tc>
          <w:tcPr>
            <w:tcW w:w="2052" w:type="dxa"/>
            <w:vMerge w:val="restart"/>
            <w:tcBorders>
              <w:top w:val="single" w:sz="4" w:space="0" w:color="auto"/>
              <w:left w:val="single" w:sz="4" w:space="0" w:color="auto"/>
              <w:right w:val="single" w:sz="4" w:space="0" w:color="auto"/>
            </w:tcBorders>
            <w:shd w:val="clear" w:color="auto" w:fill="auto"/>
            <w:vAlign w:val="center"/>
          </w:tcPr>
          <w:p w14:paraId="261646DE" w14:textId="77777777" w:rsidR="007D2C1E" w:rsidRPr="007D2C1E" w:rsidRDefault="007D2C1E" w:rsidP="007D2C1E">
            <w:pPr>
              <w:autoSpaceDE w:val="0"/>
              <w:autoSpaceDN w:val="0"/>
              <w:adjustRightInd w:val="0"/>
              <w:rPr>
                <w:rFonts w:eastAsia="Calibri"/>
                <w:sz w:val="20"/>
                <w:szCs w:val="20"/>
                <w:lang w:eastAsia="en-US"/>
              </w:rPr>
            </w:pPr>
            <w:r w:rsidRPr="007D2C1E">
              <w:rPr>
                <w:rFonts w:eastAsia="Calibri"/>
                <w:sz w:val="20"/>
                <w:szCs w:val="20"/>
                <w:lang w:eastAsia="en-US"/>
              </w:rPr>
              <w:t>Santander</w:t>
            </w:r>
          </w:p>
        </w:tc>
        <w:tc>
          <w:tcPr>
            <w:tcW w:w="2743" w:type="dxa"/>
            <w:tcBorders>
              <w:top w:val="single" w:sz="4" w:space="0" w:color="auto"/>
              <w:left w:val="single" w:sz="4" w:space="0" w:color="auto"/>
              <w:bottom w:val="single" w:sz="4" w:space="0" w:color="auto"/>
              <w:right w:val="single" w:sz="4" w:space="0" w:color="auto"/>
            </w:tcBorders>
            <w:shd w:val="clear" w:color="auto" w:fill="auto"/>
            <w:vAlign w:val="center"/>
          </w:tcPr>
          <w:p w14:paraId="3FA971D0" w14:textId="77777777" w:rsidR="007D2C1E" w:rsidRPr="007D2C1E" w:rsidRDefault="007D2C1E" w:rsidP="007D2C1E">
            <w:pPr>
              <w:autoSpaceDE w:val="0"/>
              <w:autoSpaceDN w:val="0"/>
              <w:adjustRightInd w:val="0"/>
              <w:rPr>
                <w:rFonts w:eastAsia="Calibri"/>
                <w:sz w:val="20"/>
                <w:szCs w:val="20"/>
                <w:lang w:eastAsia="en-US"/>
              </w:rPr>
            </w:pPr>
            <w:r w:rsidRPr="007D2C1E">
              <w:rPr>
                <w:rFonts w:eastAsia="Calibri"/>
                <w:sz w:val="20"/>
                <w:szCs w:val="20"/>
                <w:lang w:eastAsia="en-US"/>
              </w:rPr>
              <w:t>Super Cuenta Cheques –Pago Fijo</w:t>
            </w:r>
          </w:p>
        </w:tc>
        <w:tc>
          <w:tcPr>
            <w:tcW w:w="1541" w:type="dxa"/>
            <w:tcBorders>
              <w:top w:val="single" w:sz="4" w:space="0" w:color="auto"/>
              <w:left w:val="single" w:sz="4" w:space="0" w:color="auto"/>
              <w:bottom w:val="single" w:sz="4" w:space="0" w:color="auto"/>
              <w:right w:val="single" w:sz="4" w:space="0" w:color="auto"/>
            </w:tcBorders>
            <w:shd w:val="clear" w:color="auto" w:fill="auto"/>
            <w:vAlign w:val="center"/>
          </w:tcPr>
          <w:p w14:paraId="6280171F"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4</w:t>
            </w:r>
          </w:p>
        </w:tc>
        <w:tc>
          <w:tcPr>
            <w:tcW w:w="1319" w:type="dxa"/>
            <w:tcBorders>
              <w:top w:val="single" w:sz="4" w:space="0" w:color="auto"/>
              <w:left w:val="single" w:sz="4" w:space="0" w:color="auto"/>
              <w:bottom w:val="single" w:sz="4" w:space="0" w:color="auto"/>
              <w:right w:val="single" w:sz="4" w:space="0" w:color="auto"/>
            </w:tcBorders>
            <w:shd w:val="clear" w:color="auto" w:fill="auto"/>
            <w:vAlign w:val="center"/>
          </w:tcPr>
          <w:p w14:paraId="6703E2F1"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13.00</w:t>
            </w:r>
          </w:p>
        </w:tc>
        <w:tc>
          <w:tcPr>
            <w:tcW w:w="1637" w:type="dxa"/>
            <w:tcBorders>
              <w:top w:val="single" w:sz="4" w:space="0" w:color="auto"/>
              <w:left w:val="single" w:sz="4" w:space="0" w:color="auto"/>
              <w:bottom w:val="single" w:sz="4" w:space="0" w:color="auto"/>
              <w:right w:val="single" w:sz="4" w:space="0" w:color="auto"/>
            </w:tcBorders>
            <w:shd w:val="clear" w:color="auto" w:fill="auto"/>
            <w:vAlign w:val="center"/>
          </w:tcPr>
          <w:p w14:paraId="1B2619DC"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890.00</w:t>
            </w:r>
          </w:p>
        </w:tc>
      </w:tr>
      <w:tr w:rsidR="007D2C1E" w:rsidRPr="007D2C1E" w14:paraId="2B58CAEC" w14:textId="77777777" w:rsidTr="007D2C1E">
        <w:trPr>
          <w:trHeight w:val="106"/>
          <w:jc w:val="center"/>
        </w:trPr>
        <w:tc>
          <w:tcPr>
            <w:tcW w:w="2052" w:type="dxa"/>
            <w:vMerge/>
            <w:tcBorders>
              <w:left w:val="single" w:sz="4" w:space="0" w:color="auto"/>
              <w:bottom w:val="single" w:sz="4" w:space="0" w:color="auto"/>
              <w:right w:val="single" w:sz="4" w:space="0" w:color="auto"/>
            </w:tcBorders>
            <w:shd w:val="clear" w:color="auto" w:fill="auto"/>
            <w:vAlign w:val="center"/>
          </w:tcPr>
          <w:p w14:paraId="5C3FC608" w14:textId="77777777" w:rsidR="007D2C1E" w:rsidRPr="007D2C1E" w:rsidRDefault="007D2C1E" w:rsidP="007D2C1E">
            <w:pPr>
              <w:autoSpaceDE w:val="0"/>
              <w:autoSpaceDN w:val="0"/>
              <w:adjustRightInd w:val="0"/>
              <w:rPr>
                <w:rFonts w:eastAsia="Calibri"/>
                <w:sz w:val="20"/>
                <w:szCs w:val="20"/>
                <w:lang w:eastAsia="en-US"/>
              </w:rPr>
            </w:pPr>
          </w:p>
        </w:tc>
        <w:tc>
          <w:tcPr>
            <w:tcW w:w="2743" w:type="dxa"/>
            <w:tcBorders>
              <w:top w:val="single" w:sz="4" w:space="0" w:color="auto"/>
              <w:left w:val="single" w:sz="4" w:space="0" w:color="auto"/>
              <w:bottom w:val="single" w:sz="4" w:space="0" w:color="auto"/>
              <w:right w:val="single" w:sz="4" w:space="0" w:color="auto"/>
            </w:tcBorders>
            <w:shd w:val="clear" w:color="auto" w:fill="auto"/>
            <w:vAlign w:val="center"/>
          </w:tcPr>
          <w:p w14:paraId="159D1978" w14:textId="77777777" w:rsidR="007D2C1E" w:rsidRPr="007D2C1E" w:rsidRDefault="007D2C1E" w:rsidP="007D2C1E">
            <w:pPr>
              <w:autoSpaceDE w:val="0"/>
              <w:autoSpaceDN w:val="0"/>
              <w:adjustRightInd w:val="0"/>
              <w:rPr>
                <w:rFonts w:eastAsia="Calibri"/>
                <w:sz w:val="20"/>
                <w:szCs w:val="20"/>
                <w:lang w:eastAsia="en-US"/>
              </w:rPr>
            </w:pPr>
            <w:r w:rsidRPr="007D2C1E">
              <w:rPr>
                <w:rFonts w:eastAsia="Calibri"/>
                <w:sz w:val="20"/>
                <w:szCs w:val="20"/>
                <w:lang w:eastAsia="en-US"/>
              </w:rPr>
              <w:t>Super Cuenta Cheques –Saldo Promedio</w:t>
            </w:r>
          </w:p>
        </w:tc>
        <w:tc>
          <w:tcPr>
            <w:tcW w:w="1541" w:type="dxa"/>
            <w:tcBorders>
              <w:top w:val="single" w:sz="4" w:space="0" w:color="auto"/>
              <w:left w:val="single" w:sz="4" w:space="0" w:color="auto"/>
              <w:bottom w:val="single" w:sz="4" w:space="0" w:color="auto"/>
              <w:right w:val="single" w:sz="4" w:space="0" w:color="auto"/>
            </w:tcBorders>
            <w:shd w:val="clear" w:color="auto" w:fill="auto"/>
            <w:vAlign w:val="center"/>
          </w:tcPr>
          <w:p w14:paraId="46E6CE09"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4</w:t>
            </w:r>
          </w:p>
        </w:tc>
        <w:tc>
          <w:tcPr>
            <w:tcW w:w="1319" w:type="dxa"/>
            <w:tcBorders>
              <w:top w:val="single" w:sz="4" w:space="0" w:color="auto"/>
              <w:left w:val="single" w:sz="4" w:space="0" w:color="auto"/>
              <w:bottom w:val="single" w:sz="4" w:space="0" w:color="auto"/>
              <w:right w:val="single" w:sz="4" w:space="0" w:color="auto"/>
            </w:tcBorders>
            <w:shd w:val="clear" w:color="auto" w:fill="auto"/>
            <w:vAlign w:val="center"/>
          </w:tcPr>
          <w:p w14:paraId="1F7B0703"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13.00</w:t>
            </w:r>
          </w:p>
        </w:tc>
        <w:tc>
          <w:tcPr>
            <w:tcW w:w="1637" w:type="dxa"/>
            <w:tcBorders>
              <w:top w:val="single" w:sz="4" w:space="0" w:color="auto"/>
              <w:left w:val="single" w:sz="4" w:space="0" w:color="auto"/>
              <w:bottom w:val="single" w:sz="4" w:space="0" w:color="auto"/>
              <w:right w:val="single" w:sz="4" w:space="0" w:color="auto"/>
            </w:tcBorders>
            <w:shd w:val="clear" w:color="auto" w:fill="auto"/>
            <w:vAlign w:val="center"/>
          </w:tcPr>
          <w:p w14:paraId="4DC8CC77"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890.00</w:t>
            </w:r>
          </w:p>
        </w:tc>
      </w:tr>
      <w:tr w:rsidR="007D2C1E" w:rsidRPr="007D2C1E" w14:paraId="4B3AD07A" w14:textId="77777777" w:rsidTr="007D2C1E">
        <w:trPr>
          <w:trHeight w:val="106"/>
          <w:jc w:val="center"/>
        </w:trPr>
        <w:tc>
          <w:tcPr>
            <w:tcW w:w="2052" w:type="dxa"/>
            <w:tcBorders>
              <w:top w:val="single" w:sz="4" w:space="0" w:color="auto"/>
              <w:left w:val="single" w:sz="4" w:space="0" w:color="auto"/>
              <w:bottom w:val="single" w:sz="4" w:space="0" w:color="auto"/>
              <w:right w:val="single" w:sz="4" w:space="0" w:color="auto"/>
            </w:tcBorders>
            <w:shd w:val="clear" w:color="auto" w:fill="auto"/>
            <w:vAlign w:val="center"/>
          </w:tcPr>
          <w:p w14:paraId="086D8379" w14:textId="77777777" w:rsidR="007D2C1E" w:rsidRPr="007D2C1E" w:rsidRDefault="007D2C1E" w:rsidP="007D2C1E">
            <w:pPr>
              <w:autoSpaceDE w:val="0"/>
              <w:autoSpaceDN w:val="0"/>
              <w:adjustRightInd w:val="0"/>
              <w:rPr>
                <w:rFonts w:eastAsia="Calibri"/>
                <w:sz w:val="20"/>
                <w:szCs w:val="20"/>
                <w:lang w:eastAsia="en-US"/>
              </w:rPr>
            </w:pPr>
            <w:r w:rsidRPr="007D2C1E">
              <w:rPr>
                <w:rFonts w:eastAsia="Calibri"/>
                <w:sz w:val="20"/>
                <w:szCs w:val="20"/>
                <w:lang w:eastAsia="en-US"/>
              </w:rPr>
              <w:t>Banco Azteca</w:t>
            </w:r>
          </w:p>
        </w:tc>
        <w:tc>
          <w:tcPr>
            <w:tcW w:w="2743" w:type="dxa"/>
            <w:tcBorders>
              <w:top w:val="single" w:sz="4" w:space="0" w:color="auto"/>
              <w:left w:val="single" w:sz="4" w:space="0" w:color="auto"/>
              <w:bottom w:val="single" w:sz="4" w:space="0" w:color="auto"/>
              <w:right w:val="single" w:sz="4" w:space="0" w:color="auto"/>
            </w:tcBorders>
            <w:shd w:val="clear" w:color="auto" w:fill="auto"/>
            <w:vAlign w:val="center"/>
          </w:tcPr>
          <w:p w14:paraId="6C597439" w14:textId="77777777" w:rsidR="007D2C1E" w:rsidRPr="007D2C1E" w:rsidRDefault="007D2C1E" w:rsidP="007D2C1E">
            <w:pPr>
              <w:autoSpaceDE w:val="0"/>
              <w:autoSpaceDN w:val="0"/>
              <w:adjustRightInd w:val="0"/>
              <w:rPr>
                <w:rFonts w:eastAsia="Calibri"/>
                <w:sz w:val="20"/>
                <w:szCs w:val="20"/>
                <w:lang w:eastAsia="en-US"/>
              </w:rPr>
            </w:pPr>
            <w:r w:rsidRPr="007D2C1E">
              <w:rPr>
                <w:rFonts w:eastAsia="Calibri"/>
                <w:sz w:val="20"/>
                <w:szCs w:val="20"/>
                <w:lang w:eastAsia="en-US"/>
              </w:rPr>
              <w:t>Guardadito Cheques</w:t>
            </w:r>
          </w:p>
        </w:tc>
        <w:tc>
          <w:tcPr>
            <w:tcW w:w="1541" w:type="dxa"/>
            <w:tcBorders>
              <w:top w:val="single" w:sz="4" w:space="0" w:color="auto"/>
              <w:left w:val="single" w:sz="4" w:space="0" w:color="auto"/>
              <w:bottom w:val="single" w:sz="4" w:space="0" w:color="auto"/>
              <w:right w:val="single" w:sz="4" w:space="0" w:color="auto"/>
            </w:tcBorders>
            <w:shd w:val="clear" w:color="auto" w:fill="auto"/>
            <w:vAlign w:val="center"/>
          </w:tcPr>
          <w:p w14:paraId="3ECCA28C"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5</w:t>
            </w:r>
          </w:p>
        </w:tc>
        <w:tc>
          <w:tcPr>
            <w:tcW w:w="1319" w:type="dxa"/>
            <w:tcBorders>
              <w:top w:val="single" w:sz="4" w:space="0" w:color="auto"/>
              <w:left w:val="single" w:sz="4" w:space="0" w:color="auto"/>
              <w:bottom w:val="single" w:sz="4" w:space="0" w:color="auto"/>
              <w:right w:val="single" w:sz="4" w:space="0" w:color="auto"/>
            </w:tcBorders>
            <w:shd w:val="clear" w:color="auto" w:fill="auto"/>
            <w:vAlign w:val="center"/>
          </w:tcPr>
          <w:p w14:paraId="4B84A7CE"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5.00</w:t>
            </w:r>
          </w:p>
        </w:tc>
        <w:tc>
          <w:tcPr>
            <w:tcW w:w="1637" w:type="dxa"/>
            <w:tcBorders>
              <w:top w:val="single" w:sz="4" w:space="0" w:color="auto"/>
              <w:left w:val="single" w:sz="4" w:space="0" w:color="auto"/>
              <w:bottom w:val="single" w:sz="4" w:space="0" w:color="auto"/>
              <w:right w:val="single" w:sz="4" w:space="0" w:color="auto"/>
            </w:tcBorders>
            <w:shd w:val="clear" w:color="auto" w:fill="auto"/>
            <w:vAlign w:val="center"/>
          </w:tcPr>
          <w:p w14:paraId="3B266699"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500.00</w:t>
            </w:r>
          </w:p>
        </w:tc>
      </w:tr>
      <w:tr w:rsidR="007D2C1E" w:rsidRPr="007D2C1E" w14:paraId="07BC159A" w14:textId="77777777" w:rsidTr="007D2C1E">
        <w:trPr>
          <w:trHeight w:val="106"/>
          <w:jc w:val="center"/>
        </w:trPr>
        <w:tc>
          <w:tcPr>
            <w:tcW w:w="2052" w:type="dxa"/>
            <w:tcBorders>
              <w:top w:val="single" w:sz="4" w:space="0" w:color="auto"/>
              <w:left w:val="single" w:sz="4" w:space="0" w:color="auto"/>
              <w:bottom w:val="single" w:sz="4" w:space="0" w:color="auto"/>
              <w:right w:val="single" w:sz="4" w:space="0" w:color="auto"/>
            </w:tcBorders>
            <w:shd w:val="clear" w:color="auto" w:fill="auto"/>
            <w:vAlign w:val="center"/>
          </w:tcPr>
          <w:p w14:paraId="2A5CAA72" w14:textId="77777777" w:rsidR="007D2C1E" w:rsidRPr="007D2C1E" w:rsidRDefault="007D2C1E" w:rsidP="007D2C1E">
            <w:pPr>
              <w:autoSpaceDE w:val="0"/>
              <w:autoSpaceDN w:val="0"/>
              <w:adjustRightInd w:val="0"/>
              <w:rPr>
                <w:rFonts w:eastAsia="Calibri"/>
                <w:sz w:val="20"/>
                <w:szCs w:val="20"/>
                <w:lang w:eastAsia="en-US"/>
              </w:rPr>
            </w:pPr>
            <w:r w:rsidRPr="007D2C1E">
              <w:rPr>
                <w:rFonts w:eastAsia="Calibri"/>
                <w:sz w:val="20"/>
                <w:szCs w:val="20"/>
                <w:lang w:eastAsia="en-US"/>
              </w:rPr>
              <w:t>HSBC</w:t>
            </w:r>
          </w:p>
        </w:tc>
        <w:tc>
          <w:tcPr>
            <w:tcW w:w="2743" w:type="dxa"/>
            <w:tcBorders>
              <w:top w:val="single" w:sz="4" w:space="0" w:color="auto"/>
              <w:left w:val="single" w:sz="4" w:space="0" w:color="auto"/>
              <w:bottom w:val="single" w:sz="4" w:space="0" w:color="auto"/>
              <w:right w:val="single" w:sz="4" w:space="0" w:color="auto"/>
            </w:tcBorders>
            <w:shd w:val="clear" w:color="auto" w:fill="auto"/>
            <w:vAlign w:val="center"/>
          </w:tcPr>
          <w:p w14:paraId="40038DE3" w14:textId="77777777" w:rsidR="007D2C1E" w:rsidRPr="007D2C1E" w:rsidRDefault="007D2C1E" w:rsidP="007D2C1E">
            <w:pPr>
              <w:autoSpaceDE w:val="0"/>
              <w:autoSpaceDN w:val="0"/>
              <w:adjustRightInd w:val="0"/>
              <w:rPr>
                <w:rFonts w:eastAsia="Calibri"/>
                <w:sz w:val="20"/>
                <w:szCs w:val="20"/>
                <w:lang w:eastAsia="en-US"/>
              </w:rPr>
            </w:pPr>
            <w:r w:rsidRPr="007D2C1E">
              <w:rPr>
                <w:rFonts w:eastAsia="Calibri"/>
                <w:sz w:val="20"/>
                <w:szCs w:val="20"/>
                <w:lang w:eastAsia="en-US"/>
              </w:rPr>
              <w:t>Flexible con Chequera</w:t>
            </w:r>
          </w:p>
        </w:tc>
        <w:tc>
          <w:tcPr>
            <w:tcW w:w="1541" w:type="dxa"/>
            <w:tcBorders>
              <w:top w:val="single" w:sz="4" w:space="0" w:color="auto"/>
              <w:left w:val="single" w:sz="4" w:space="0" w:color="auto"/>
              <w:bottom w:val="single" w:sz="4" w:space="0" w:color="auto"/>
              <w:right w:val="single" w:sz="4" w:space="0" w:color="auto"/>
            </w:tcBorders>
            <w:shd w:val="clear" w:color="auto" w:fill="auto"/>
            <w:vAlign w:val="center"/>
          </w:tcPr>
          <w:p w14:paraId="63671953"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5</w:t>
            </w:r>
          </w:p>
        </w:tc>
        <w:tc>
          <w:tcPr>
            <w:tcW w:w="1319" w:type="dxa"/>
            <w:tcBorders>
              <w:top w:val="single" w:sz="4" w:space="0" w:color="auto"/>
              <w:left w:val="single" w:sz="4" w:space="0" w:color="auto"/>
              <w:bottom w:val="single" w:sz="4" w:space="0" w:color="auto"/>
              <w:right w:val="single" w:sz="4" w:space="0" w:color="auto"/>
            </w:tcBorders>
            <w:shd w:val="clear" w:color="auto" w:fill="auto"/>
            <w:vAlign w:val="center"/>
          </w:tcPr>
          <w:p w14:paraId="05437985"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13.00</w:t>
            </w:r>
          </w:p>
        </w:tc>
        <w:tc>
          <w:tcPr>
            <w:tcW w:w="1637" w:type="dxa"/>
            <w:tcBorders>
              <w:top w:val="single" w:sz="4" w:space="0" w:color="auto"/>
              <w:left w:val="single" w:sz="4" w:space="0" w:color="auto"/>
              <w:bottom w:val="single" w:sz="4" w:space="0" w:color="auto"/>
              <w:right w:val="single" w:sz="4" w:space="0" w:color="auto"/>
            </w:tcBorders>
            <w:shd w:val="clear" w:color="auto" w:fill="auto"/>
            <w:vAlign w:val="center"/>
          </w:tcPr>
          <w:p w14:paraId="08999A2B"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900.00</w:t>
            </w:r>
          </w:p>
        </w:tc>
      </w:tr>
      <w:tr w:rsidR="007D2C1E" w:rsidRPr="007D2C1E" w14:paraId="0E53969A" w14:textId="77777777" w:rsidTr="007D2C1E">
        <w:trPr>
          <w:trHeight w:val="106"/>
          <w:jc w:val="center"/>
        </w:trPr>
        <w:tc>
          <w:tcPr>
            <w:tcW w:w="2052" w:type="dxa"/>
            <w:tcBorders>
              <w:top w:val="single" w:sz="4" w:space="0" w:color="auto"/>
              <w:left w:val="single" w:sz="4" w:space="0" w:color="auto"/>
              <w:bottom w:val="single" w:sz="4" w:space="0" w:color="auto"/>
              <w:right w:val="single" w:sz="4" w:space="0" w:color="auto"/>
            </w:tcBorders>
            <w:shd w:val="clear" w:color="auto" w:fill="auto"/>
            <w:vAlign w:val="center"/>
          </w:tcPr>
          <w:p w14:paraId="55956E57" w14:textId="77777777" w:rsidR="007D2C1E" w:rsidRPr="007D2C1E" w:rsidRDefault="007D2C1E" w:rsidP="007D2C1E">
            <w:pPr>
              <w:autoSpaceDE w:val="0"/>
              <w:autoSpaceDN w:val="0"/>
              <w:adjustRightInd w:val="0"/>
              <w:rPr>
                <w:rFonts w:eastAsia="Calibri"/>
                <w:sz w:val="20"/>
                <w:szCs w:val="20"/>
                <w:lang w:eastAsia="en-US"/>
              </w:rPr>
            </w:pPr>
            <w:r w:rsidRPr="007D2C1E">
              <w:rPr>
                <w:rFonts w:eastAsia="Calibri"/>
                <w:sz w:val="20"/>
                <w:szCs w:val="20"/>
                <w:lang w:eastAsia="en-US"/>
              </w:rPr>
              <w:t>BanCoppel</w:t>
            </w:r>
          </w:p>
        </w:tc>
        <w:tc>
          <w:tcPr>
            <w:tcW w:w="2743" w:type="dxa"/>
            <w:tcBorders>
              <w:top w:val="single" w:sz="4" w:space="0" w:color="auto"/>
              <w:left w:val="single" w:sz="4" w:space="0" w:color="auto"/>
              <w:bottom w:val="single" w:sz="4" w:space="0" w:color="auto"/>
              <w:right w:val="single" w:sz="4" w:space="0" w:color="auto"/>
            </w:tcBorders>
            <w:shd w:val="clear" w:color="auto" w:fill="auto"/>
            <w:vAlign w:val="center"/>
          </w:tcPr>
          <w:p w14:paraId="60B6DEB0" w14:textId="77777777" w:rsidR="007D2C1E" w:rsidRPr="007D2C1E" w:rsidRDefault="007D2C1E" w:rsidP="007D2C1E">
            <w:pPr>
              <w:autoSpaceDE w:val="0"/>
              <w:autoSpaceDN w:val="0"/>
              <w:adjustRightInd w:val="0"/>
              <w:rPr>
                <w:rFonts w:eastAsia="Calibri"/>
                <w:sz w:val="20"/>
                <w:szCs w:val="20"/>
                <w:lang w:eastAsia="en-US"/>
              </w:rPr>
            </w:pPr>
            <w:r w:rsidRPr="007D2C1E">
              <w:rPr>
                <w:rFonts w:eastAsia="Calibri"/>
                <w:sz w:val="20"/>
                <w:szCs w:val="20"/>
                <w:lang w:eastAsia="en-US"/>
              </w:rPr>
              <w:t>Cuenta Efectiva con Cheques</w:t>
            </w:r>
          </w:p>
        </w:tc>
        <w:tc>
          <w:tcPr>
            <w:tcW w:w="1541" w:type="dxa"/>
            <w:tcBorders>
              <w:top w:val="single" w:sz="4" w:space="0" w:color="auto"/>
              <w:left w:val="single" w:sz="4" w:space="0" w:color="auto"/>
              <w:bottom w:val="single" w:sz="4" w:space="0" w:color="auto"/>
              <w:right w:val="single" w:sz="4" w:space="0" w:color="auto"/>
            </w:tcBorders>
            <w:shd w:val="clear" w:color="auto" w:fill="auto"/>
            <w:vAlign w:val="center"/>
          </w:tcPr>
          <w:p w14:paraId="6289F308"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5</w:t>
            </w:r>
          </w:p>
        </w:tc>
        <w:tc>
          <w:tcPr>
            <w:tcW w:w="1319" w:type="dxa"/>
            <w:tcBorders>
              <w:top w:val="single" w:sz="4" w:space="0" w:color="auto"/>
              <w:left w:val="single" w:sz="4" w:space="0" w:color="auto"/>
              <w:bottom w:val="single" w:sz="4" w:space="0" w:color="auto"/>
              <w:right w:val="single" w:sz="4" w:space="0" w:color="auto"/>
            </w:tcBorders>
            <w:shd w:val="clear" w:color="auto" w:fill="auto"/>
            <w:vAlign w:val="center"/>
          </w:tcPr>
          <w:p w14:paraId="613D65BA"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6.00</w:t>
            </w:r>
          </w:p>
        </w:tc>
        <w:tc>
          <w:tcPr>
            <w:tcW w:w="1637" w:type="dxa"/>
            <w:tcBorders>
              <w:top w:val="single" w:sz="4" w:space="0" w:color="auto"/>
              <w:left w:val="single" w:sz="4" w:space="0" w:color="auto"/>
              <w:bottom w:val="single" w:sz="4" w:space="0" w:color="auto"/>
              <w:right w:val="single" w:sz="4" w:space="0" w:color="auto"/>
            </w:tcBorders>
            <w:shd w:val="clear" w:color="auto" w:fill="auto"/>
            <w:vAlign w:val="center"/>
          </w:tcPr>
          <w:p w14:paraId="0B747906"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250.00</w:t>
            </w:r>
          </w:p>
        </w:tc>
      </w:tr>
      <w:tr w:rsidR="007D2C1E" w:rsidRPr="007D2C1E" w14:paraId="69C40706" w14:textId="77777777" w:rsidTr="007D2C1E">
        <w:trPr>
          <w:trHeight w:val="106"/>
          <w:jc w:val="center"/>
        </w:trPr>
        <w:tc>
          <w:tcPr>
            <w:tcW w:w="2052" w:type="dxa"/>
            <w:vMerge w:val="restart"/>
            <w:tcBorders>
              <w:top w:val="single" w:sz="4" w:space="0" w:color="auto"/>
              <w:left w:val="single" w:sz="4" w:space="0" w:color="auto"/>
              <w:right w:val="single" w:sz="4" w:space="0" w:color="auto"/>
            </w:tcBorders>
            <w:shd w:val="clear" w:color="auto" w:fill="auto"/>
            <w:vAlign w:val="center"/>
          </w:tcPr>
          <w:p w14:paraId="37C546FF" w14:textId="77777777" w:rsidR="007D2C1E" w:rsidRPr="007D2C1E" w:rsidRDefault="007D2C1E" w:rsidP="007D2C1E">
            <w:pPr>
              <w:autoSpaceDE w:val="0"/>
              <w:autoSpaceDN w:val="0"/>
              <w:adjustRightInd w:val="0"/>
              <w:rPr>
                <w:rFonts w:eastAsia="Calibri"/>
                <w:sz w:val="20"/>
                <w:szCs w:val="20"/>
                <w:lang w:eastAsia="en-US"/>
              </w:rPr>
            </w:pPr>
            <w:r w:rsidRPr="007D2C1E">
              <w:rPr>
                <w:rFonts w:eastAsia="Calibri"/>
                <w:sz w:val="20"/>
                <w:szCs w:val="20"/>
                <w:lang w:eastAsia="en-US"/>
              </w:rPr>
              <w:t>Scotiabank</w:t>
            </w:r>
          </w:p>
        </w:tc>
        <w:tc>
          <w:tcPr>
            <w:tcW w:w="2743" w:type="dxa"/>
            <w:tcBorders>
              <w:top w:val="single" w:sz="4" w:space="0" w:color="auto"/>
              <w:left w:val="single" w:sz="4" w:space="0" w:color="auto"/>
              <w:bottom w:val="single" w:sz="4" w:space="0" w:color="auto"/>
              <w:right w:val="single" w:sz="4" w:space="0" w:color="auto"/>
            </w:tcBorders>
            <w:shd w:val="clear" w:color="auto" w:fill="auto"/>
            <w:vAlign w:val="center"/>
          </w:tcPr>
          <w:p w14:paraId="26416F31" w14:textId="77777777" w:rsidR="007D2C1E" w:rsidRPr="007D2C1E" w:rsidRDefault="007D2C1E" w:rsidP="007D2C1E">
            <w:pPr>
              <w:autoSpaceDE w:val="0"/>
              <w:autoSpaceDN w:val="0"/>
              <w:adjustRightInd w:val="0"/>
              <w:rPr>
                <w:rFonts w:eastAsia="Calibri"/>
                <w:sz w:val="20"/>
                <w:szCs w:val="20"/>
                <w:lang w:eastAsia="en-US"/>
              </w:rPr>
            </w:pPr>
            <w:r w:rsidRPr="007D2C1E">
              <w:rPr>
                <w:rFonts w:eastAsia="Calibri"/>
                <w:sz w:val="20"/>
                <w:szCs w:val="20"/>
                <w:lang w:eastAsia="en-US"/>
              </w:rPr>
              <w:t>Cuenta Única Chequera Cuota Mensual</w:t>
            </w:r>
          </w:p>
        </w:tc>
        <w:tc>
          <w:tcPr>
            <w:tcW w:w="1541" w:type="dxa"/>
            <w:tcBorders>
              <w:top w:val="single" w:sz="4" w:space="0" w:color="auto"/>
              <w:left w:val="single" w:sz="4" w:space="0" w:color="auto"/>
              <w:bottom w:val="single" w:sz="4" w:space="0" w:color="auto"/>
              <w:right w:val="single" w:sz="4" w:space="0" w:color="auto"/>
            </w:tcBorders>
            <w:shd w:val="clear" w:color="auto" w:fill="auto"/>
            <w:vAlign w:val="center"/>
          </w:tcPr>
          <w:p w14:paraId="37537A60"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5</w:t>
            </w:r>
          </w:p>
        </w:tc>
        <w:tc>
          <w:tcPr>
            <w:tcW w:w="1319" w:type="dxa"/>
            <w:tcBorders>
              <w:top w:val="single" w:sz="4" w:space="0" w:color="auto"/>
              <w:left w:val="single" w:sz="4" w:space="0" w:color="auto"/>
              <w:bottom w:val="single" w:sz="4" w:space="0" w:color="auto"/>
              <w:right w:val="single" w:sz="4" w:space="0" w:color="auto"/>
            </w:tcBorders>
            <w:shd w:val="clear" w:color="auto" w:fill="auto"/>
            <w:vAlign w:val="center"/>
          </w:tcPr>
          <w:p w14:paraId="188A8AF8"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13.00</w:t>
            </w:r>
          </w:p>
        </w:tc>
        <w:tc>
          <w:tcPr>
            <w:tcW w:w="1637" w:type="dxa"/>
            <w:tcBorders>
              <w:top w:val="single" w:sz="4" w:space="0" w:color="auto"/>
              <w:left w:val="single" w:sz="4" w:space="0" w:color="auto"/>
              <w:bottom w:val="single" w:sz="4" w:space="0" w:color="auto"/>
              <w:right w:val="single" w:sz="4" w:space="0" w:color="auto"/>
            </w:tcBorders>
            <w:shd w:val="clear" w:color="auto" w:fill="auto"/>
            <w:vAlign w:val="center"/>
          </w:tcPr>
          <w:p w14:paraId="16021A9F"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900.00</w:t>
            </w:r>
          </w:p>
        </w:tc>
      </w:tr>
      <w:tr w:rsidR="007D2C1E" w:rsidRPr="007D2C1E" w14:paraId="4A130B9F" w14:textId="77777777" w:rsidTr="007D2C1E">
        <w:trPr>
          <w:trHeight w:val="106"/>
          <w:jc w:val="center"/>
        </w:trPr>
        <w:tc>
          <w:tcPr>
            <w:tcW w:w="2052" w:type="dxa"/>
            <w:vMerge/>
            <w:tcBorders>
              <w:left w:val="single" w:sz="4" w:space="0" w:color="auto"/>
              <w:bottom w:val="single" w:sz="4" w:space="0" w:color="auto"/>
              <w:right w:val="single" w:sz="4" w:space="0" w:color="auto"/>
            </w:tcBorders>
            <w:shd w:val="clear" w:color="auto" w:fill="auto"/>
            <w:vAlign w:val="center"/>
          </w:tcPr>
          <w:p w14:paraId="204E530A" w14:textId="77777777" w:rsidR="007D2C1E" w:rsidRPr="007D2C1E" w:rsidRDefault="007D2C1E" w:rsidP="007D2C1E">
            <w:pPr>
              <w:autoSpaceDE w:val="0"/>
              <w:autoSpaceDN w:val="0"/>
              <w:adjustRightInd w:val="0"/>
              <w:rPr>
                <w:rFonts w:eastAsia="Calibri"/>
                <w:sz w:val="20"/>
                <w:szCs w:val="20"/>
                <w:lang w:eastAsia="en-US"/>
              </w:rPr>
            </w:pPr>
          </w:p>
        </w:tc>
        <w:tc>
          <w:tcPr>
            <w:tcW w:w="2743" w:type="dxa"/>
            <w:tcBorders>
              <w:top w:val="single" w:sz="4" w:space="0" w:color="auto"/>
              <w:left w:val="single" w:sz="4" w:space="0" w:color="auto"/>
              <w:bottom w:val="single" w:sz="4" w:space="0" w:color="auto"/>
              <w:right w:val="single" w:sz="4" w:space="0" w:color="auto"/>
            </w:tcBorders>
            <w:shd w:val="clear" w:color="auto" w:fill="auto"/>
            <w:vAlign w:val="center"/>
          </w:tcPr>
          <w:p w14:paraId="77D462A6" w14:textId="77777777" w:rsidR="007D2C1E" w:rsidRPr="007D2C1E" w:rsidRDefault="007D2C1E" w:rsidP="007D2C1E">
            <w:pPr>
              <w:autoSpaceDE w:val="0"/>
              <w:autoSpaceDN w:val="0"/>
              <w:adjustRightInd w:val="0"/>
              <w:rPr>
                <w:rFonts w:eastAsia="Calibri"/>
                <w:sz w:val="20"/>
                <w:szCs w:val="20"/>
                <w:lang w:eastAsia="en-US"/>
              </w:rPr>
            </w:pPr>
            <w:r w:rsidRPr="007D2C1E">
              <w:rPr>
                <w:rFonts w:eastAsia="Calibri"/>
                <w:sz w:val="20"/>
                <w:szCs w:val="20"/>
                <w:lang w:eastAsia="en-US"/>
              </w:rPr>
              <w:t>Cuenta Única Chequera Saldo Promedio</w:t>
            </w:r>
          </w:p>
        </w:tc>
        <w:tc>
          <w:tcPr>
            <w:tcW w:w="1541" w:type="dxa"/>
            <w:tcBorders>
              <w:top w:val="single" w:sz="4" w:space="0" w:color="auto"/>
              <w:left w:val="single" w:sz="4" w:space="0" w:color="auto"/>
              <w:bottom w:val="single" w:sz="4" w:space="0" w:color="auto"/>
              <w:right w:val="single" w:sz="4" w:space="0" w:color="auto"/>
            </w:tcBorders>
            <w:shd w:val="clear" w:color="auto" w:fill="auto"/>
            <w:vAlign w:val="center"/>
          </w:tcPr>
          <w:p w14:paraId="29D9671A"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5</w:t>
            </w:r>
          </w:p>
        </w:tc>
        <w:tc>
          <w:tcPr>
            <w:tcW w:w="1319" w:type="dxa"/>
            <w:tcBorders>
              <w:top w:val="single" w:sz="4" w:space="0" w:color="auto"/>
              <w:left w:val="single" w:sz="4" w:space="0" w:color="auto"/>
              <w:bottom w:val="single" w:sz="4" w:space="0" w:color="auto"/>
              <w:right w:val="single" w:sz="4" w:space="0" w:color="auto"/>
            </w:tcBorders>
            <w:shd w:val="clear" w:color="auto" w:fill="auto"/>
            <w:vAlign w:val="center"/>
          </w:tcPr>
          <w:p w14:paraId="14552066"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13.00</w:t>
            </w:r>
          </w:p>
        </w:tc>
        <w:tc>
          <w:tcPr>
            <w:tcW w:w="1637" w:type="dxa"/>
            <w:tcBorders>
              <w:top w:val="single" w:sz="4" w:space="0" w:color="auto"/>
              <w:left w:val="single" w:sz="4" w:space="0" w:color="auto"/>
              <w:bottom w:val="single" w:sz="4" w:space="0" w:color="auto"/>
              <w:right w:val="single" w:sz="4" w:space="0" w:color="auto"/>
            </w:tcBorders>
            <w:shd w:val="clear" w:color="auto" w:fill="auto"/>
            <w:vAlign w:val="center"/>
          </w:tcPr>
          <w:p w14:paraId="20C89544"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900.00</w:t>
            </w:r>
          </w:p>
        </w:tc>
      </w:tr>
      <w:tr w:rsidR="007D2C1E" w:rsidRPr="007D2C1E" w14:paraId="0DC27706" w14:textId="77777777" w:rsidTr="007D2C1E">
        <w:trPr>
          <w:trHeight w:val="106"/>
          <w:jc w:val="center"/>
        </w:trPr>
        <w:tc>
          <w:tcPr>
            <w:tcW w:w="2052" w:type="dxa"/>
            <w:tcBorders>
              <w:top w:val="single" w:sz="4" w:space="0" w:color="auto"/>
              <w:left w:val="single" w:sz="4" w:space="0" w:color="auto"/>
              <w:bottom w:val="single" w:sz="4" w:space="0" w:color="auto"/>
              <w:right w:val="single" w:sz="4" w:space="0" w:color="auto"/>
            </w:tcBorders>
            <w:shd w:val="clear" w:color="auto" w:fill="auto"/>
            <w:vAlign w:val="center"/>
          </w:tcPr>
          <w:p w14:paraId="57B1BC42" w14:textId="77777777" w:rsidR="007D2C1E" w:rsidRPr="007D2C1E" w:rsidRDefault="007D2C1E" w:rsidP="007D2C1E">
            <w:pPr>
              <w:autoSpaceDE w:val="0"/>
              <w:autoSpaceDN w:val="0"/>
              <w:adjustRightInd w:val="0"/>
              <w:rPr>
                <w:rFonts w:eastAsia="Calibri"/>
                <w:sz w:val="20"/>
                <w:szCs w:val="20"/>
                <w:lang w:eastAsia="en-US"/>
              </w:rPr>
            </w:pPr>
            <w:r w:rsidRPr="007D2C1E">
              <w:rPr>
                <w:rFonts w:eastAsia="Calibri"/>
                <w:sz w:val="20"/>
                <w:szCs w:val="20"/>
                <w:lang w:eastAsia="en-US"/>
              </w:rPr>
              <w:t>Inbursa</w:t>
            </w:r>
          </w:p>
        </w:tc>
        <w:tc>
          <w:tcPr>
            <w:tcW w:w="2743" w:type="dxa"/>
            <w:tcBorders>
              <w:top w:val="single" w:sz="4" w:space="0" w:color="auto"/>
              <w:left w:val="single" w:sz="4" w:space="0" w:color="auto"/>
              <w:bottom w:val="single" w:sz="4" w:space="0" w:color="auto"/>
              <w:right w:val="single" w:sz="4" w:space="0" w:color="auto"/>
            </w:tcBorders>
            <w:shd w:val="clear" w:color="auto" w:fill="auto"/>
            <w:vAlign w:val="center"/>
          </w:tcPr>
          <w:p w14:paraId="58902696" w14:textId="77777777" w:rsidR="007D2C1E" w:rsidRPr="007D2C1E" w:rsidRDefault="007D2C1E" w:rsidP="007D2C1E">
            <w:pPr>
              <w:autoSpaceDE w:val="0"/>
              <w:autoSpaceDN w:val="0"/>
              <w:adjustRightInd w:val="0"/>
              <w:rPr>
                <w:rFonts w:eastAsia="Calibri"/>
                <w:sz w:val="20"/>
                <w:szCs w:val="20"/>
                <w:lang w:eastAsia="en-US"/>
              </w:rPr>
            </w:pPr>
            <w:r w:rsidRPr="007D2C1E">
              <w:rPr>
                <w:rFonts w:eastAsia="Calibri"/>
                <w:sz w:val="20"/>
                <w:szCs w:val="20"/>
                <w:lang w:eastAsia="en-US"/>
              </w:rPr>
              <w:t>Cuenta Efe</w:t>
            </w:r>
          </w:p>
        </w:tc>
        <w:tc>
          <w:tcPr>
            <w:tcW w:w="1541" w:type="dxa"/>
            <w:tcBorders>
              <w:top w:val="single" w:sz="4" w:space="0" w:color="auto"/>
              <w:left w:val="single" w:sz="4" w:space="0" w:color="auto"/>
              <w:bottom w:val="single" w:sz="4" w:space="0" w:color="auto"/>
              <w:right w:val="single" w:sz="4" w:space="0" w:color="auto"/>
            </w:tcBorders>
            <w:shd w:val="clear" w:color="auto" w:fill="auto"/>
            <w:vAlign w:val="center"/>
          </w:tcPr>
          <w:p w14:paraId="2D2536F0"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0</w:t>
            </w:r>
          </w:p>
        </w:tc>
        <w:tc>
          <w:tcPr>
            <w:tcW w:w="1319" w:type="dxa"/>
            <w:tcBorders>
              <w:top w:val="single" w:sz="4" w:space="0" w:color="auto"/>
              <w:left w:val="single" w:sz="4" w:space="0" w:color="auto"/>
              <w:bottom w:val="single" w:sz="4" w:space="0" w:color="auto"/>
              <w:right w:val="single" w:sz="4" w:space="0" w:color="auto"/>
            </w:tcBorders>
            <w:shd w:val="clear" w:color="auto" w:fill="auto"/>
            <w:vAlign w:val="center"/>
          </w:tcPr>
          <w:p w14:paraId="07B964FD"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0.00</w:t>
            </w:r>
          </w:p>
        </w:tc>
        <w:tc>
          <w:tcPr>
            <w:tcW w:w="1637" w:type="dxa"/>
            <w:tcBorders>
              <w:top w:val="single" w:sz="4" w:space="0" w:color="auto"/>
              <w:left w:val="single" w:sz="4" w:space="0" w:color="auto"/>
              <w:bottom w:val="single" w:sz="4" w:space="0" w:color="auto"/>
              <w:right w:val="single" w:sz="4" w:space="0" w:color="auto"/>
            </w:tcBorders>
            <w:shd w:val="clear" w:color="auto" w:fill="auto"/>
            <w:vAlign w:val="center"/>
          </w:tcPr>
          <w:p w14:paraId="6E64028B"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600.00</w:t>
            </w:r>
          </w:p>
        </w:tc>
      </w:tr>
      <w:tr w:rsidR="007D2C1E" w:rsidRPr="007D2C1E" w14:paraId="402ADA0C" w14:textId="77777777" w:rsidTr="007D2C1E">
        <w:trPr>
          <w:trHeight w:val="106"/>
          <w:jc w:val="center"/>
        </w:trPr>
        <w:tc>
          <w:tcPr>
            <w:tcW w:w="2052" w:type="dxa"/>
            <w:tcBorders>
              <w:top w:val="single" w:sz="4" w:space="0" w:color="auto"/>
              <w:left w:val="single" w:sz="4" w:space="0" w:color="auto"/>
              <w:bottom w:val="single" w:sz="4" w:space="0" w:color="auto"/>
              <w:right w:val="single" w:sz="4" w:space="0" w:color="auto"/>
            </w:tcBorders>
            <w:shd w:val="clear" w:color="auto" w:fill="auto"/>
            <w:vAlign w:val="center"/>
          </w:tcPr>
          <w:p w14:paraId="785CE3A3" w14:textId="77777777" w:rsidR="007D2C1E" w:rsidRPr="007D2C1E" w:rsidRDefault="007D2C1E" w:rsidP="007D2C1E">
            <w:pPr>
              <w:autoSpaceDE w:val="0"/>
              <w:autoSpaceDN w:val="0"/>
              <w:adjustRightInd w:val="0"/>
              <w:rPr>
                <w:rFonts w:eastAsia="Calibri"/>
                <w:sz w:val="20"/>
                <w:szCs w:val="20"/>
                <w:lang w:eastAsia="en-US"/>
              </w:rPr>
            </w:pPr>
            <w:r w:rsidRPr="007D2C1E">
              <w:rPr>
                <w:rFonts w:eastAsia="Calibri"/>
                <w:sz w:val="20"/>
                <w:szCs w:val="20"/>
                <w:lang w:eastAsia="en-US"/>
              </w:rPr>
              <w:t>Banco del Bajío</w:t>
            </w:r>
          </w:p>
        </w:tc>
        <w:tc>
          <w:tcPr>
            <w:tcW w:w="2743" w:type="dxa"/>
            <w:tcBorders>
              <w:top w:val="single" w:sz="4" w:space="0" w:color="auto"/>
              <w:left w:val="single" w:sz="4" w:space="0" w:color="auto"/>
              <w:bottom w:val="single" w:sz="4" w:space="0" w:color="auto"/>
              <w:right w:val="single" w:sz="4" w:space="0" w:color="auto"/>
            </w:tcBorders>
            <w:shd w:val="clear" w:color="auto" w:fill="auto"/>
            <w:vAlign w:val="center"/>
          </w:tcPr>
          <w:p w14:paraId="1E95E8D7" w14:textId="77777777" w:rsidR="007D2C1E" w:rsidRPr="007D2C1E" w:rsidRDefault="007D2C1E" w:rsidP="007D2C1E">
            <w:pPr>
              <w:autoSpaceDE w:val="0"/>
              <w:autoSpaceDN w:val="0"/>
              <w:adjustRightInd w:val="0"/>
              <w:rPr>
                <w:rFonts w:eastAsia="Calibri"/>
                <w:sz w:val="20"/>
                <w:szCs w:val="20"/>
                <w:lang w:eastAsia="en-US"/>
              </w:rPr>
            </w:pPr>
            <w:r w:rsidRPr="007D2C1E">
              <w:rPr>
                <w:rFonts w:eastAsia="Calibri"/>
                <w:sz w:val="20"/>
                <w:szCs w:val="20"/>
                <w:lang w:eastAsia="en-US"/>
              </w:rPr>
              <w:t>Cuenta Clásica</w:t>
            </w:r>
          </w:p>
        </w:tc>
        <w:tc>
          <w:tcPr>
            <w:tcW w:w="1541" w:type="dxa"/>
            <w:tcBorders>
              <w:top w:val="single" w:sz="4" w:space="0" w:color="auto"/>
              <w:left w:val="single" w:sz="4" w:space="0" w:color="auto"/>
              <w:bottom w:val="single" w:sz="4" w:space="0" w:color="auto"/>
              <w:right w:val="single" w:sz="4" w:space="0" w:color="auto"/>
            </w:tcBorders>
            <w:shd w:val="clear" w:color="auto" w:fill="auto"/>
            <w:vAlign w:val="center"/>
          </w:tcPr>
          <w:p w14:paraId="7812470F"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4</w:t>
            </w:r>
          </w:p>
        </w:tc>
        <w:tc>
          <w:tcPr>
            <w:tcW w:w="1319" w:type="dxa"/>
            <w:tcBorders>
              <w:top w:val="single" w:sz="4" w:space="0" w:color="auto"/>
              <w:left w:val="single" w:sz="4" w:space="0" w:color="auto"/>
              <w:bottom w:val="single" w:sz="4" w:space="0" w:color="auto"/>
              <w:right w:val="single" w:sz="4" w:space="0" w:color="auto"/>
            </w:tcBorders>
            <w:shd w:val="clear" w:color="auto" w:fill="auto"/>
            <w:vAlign w:val="center"/>
          </w:tcPr>
          <w:p w14:paraId="703D0B2C"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13.00</w:t>
            </w:r>
          </w:p>
        </w:tc>
        <w:tc>
          <w:tcPr>
            <w:tcW w:w="1637" w:type="dxa"/>
            <w:tcBorders>
              <w:top w:val="single" w:sz="4" w:space="0" w:color="auto"/>
              <w:left w:val="single" w:sz="4" w:space="0" w:color="auto"/>
              <w:bottom w:val="single" w:sz="4" w:space="0" w:color="auto"/>
              <w:right w:val="single" w:sz="4" w:space="0" w:color="auto"/>
            </w:tcBorders>
            <w:shd w:val="clear" w:color="auto" w:fill="auto"/>
            <w:vAlign w:val="center"/>
          </w:tcPr>
          <w:p w14:paraId="70E29995"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900.00</w:t>
            </w:r>
          </w:p>
        </w:tc>
      </w:tr>
      <w:tr w:rsidR="007D2C1E" w:rsidRPr="007D2C1E" w14:paraId="769F04F1" w14:textId="77777777" w:rsidTr="007D2C1E">
        <w:trPr>
          <w:trHeight w:val="106"/>
          <w:jc w:val="center"/>
        </w:trPr>
        <w:tc>
          <w:tcPr>
            <w:tcW w:w="2052" w:type="dxa"/>
            <w:tcBorders>
              <w:top w:val="single" w:sz="4" w:space="0" w:color="auto"/>
              <w:left w:val="single" w:sz="4" w:space="0" w:color="auto"/>
              <w:bottom w:val="single" w:sz="4" w:space="0" w:color="auto"/>
              <w:right w:val="single" w:sz="4" w:space="0" w:color="auto"/>
            </w:tcBorders>
            <w:shd w:val="clear" w:color="auto" w:fill="auto"/>
            <w:vAlign w:val="center"/>
          </w:tcPr>
          <w:p w14:paraId="46FBCE02" w14:textId="77777777" w:rsidR="007D2C1E" w:rsidRPr="007D2C1E" w:rsidRDefault="007D2C1E" w:rsidP="007D2C1E">
            <w:pPr>
              <w:autoSpaceDE w:val="0"/>
              <w:autoSpaceDN w:val="0"/>
              <w:adjustRightInd w:val="0"/>
              <w:rPr>
                <w:rFonts w:eastAsia="Calibri"/>
                <w:sz w:val="20"/>
                <w:szCs w:val="20"/>
                <w:lang w:eastAsia="en-US"/>
              </w:rPr>
            </w:pPr>
            <w:r w:rsidRPr="007D2C1E">
              <w:rPr>
                <w:rFonts w:eastAsia="Calibri"/>
                <w:sz w:val="20"/>
                <w:szCs w:val="20"/>
                <w:lang w:eastAsia="en-US"/>
              </w:rPr>
              <w:t>Afirme</w:t>
            </w:r>
          </w:p>
        </w:tc>
        <w:tc>
          <w:tcPr>
            <w:tcW w:w="2743" w:type="dxa"/>
            <w:tcBorders>
              <w:top w:val="single" w:sz="4" w:space="0" w:color="auto"/>
              <w:left w:val="single" w:sz="4" w:space="0" w:color="auto"/>
              <w:bottom w:val="single" w:sz="4" w:space="0" w:color="auto"/>
              <w:right w:val="single" w:sz="4" w:space="0" w:color="auto"/>
            </w:tcBorders>
            <w:shd w:val="clear" w:color="auto" w:fill="auto"/>
            <w:vAlign w:val="center"/>
          </w:tcPr>
          <w:p w14:paraId="451AFFCA" w14:textId="77777777" w:rsidR="007D2C1E" w:rsidRPr="007D2C1E" w:rsidRDefault="007D2C1E" w:rsidP="007D2C1E">
            <w:pPr>
              <w:autoSpaceDE w:val="0"/>
              <w:autoSpaceDN w:val="0"/>
              <w:adjustRightInd w:val="0"/>
              <w:rPr>
                <w:rFonts w:eastAsia="Calibri"/>
                <w:sz w:val="20"/>
                <w:szCs w:val="20"/>
                <w:lang w:eastAsia="en-US"/>
              </w:rPr>
            </w:pPr>
            <w:r w:rsidRPr="007D2C1E">
              <w:rPr>
                <w:rFonts w:eastAsia="Calibri"/>
                <w:sz w:val="20"/>
                <w:szCs w:val="20"/>
                <w:lang w:eastAsia="en-US"/>
              </w:rPr>
              <w:t>Cuenta Líder</w:t>
            </w:r>
          </w:p>
        </w:tc>
        <w:tc>
          <w:tcPr>
            <w:tcW w:w="1541" w:type="dxa"/>
            <w:tcBorders>
              <w:top w:val="single" w:sz="4" w:space="0" w:color="auto"/>
              <w:left w:val="single" w:sz="4" w:space="0" w:color="auto"/>
              <w:bottom w:val="single" w:sz="4" w:space="0" w:color="auto"/>
              <w:right w:val="single" w:sz="4" w:space="0" w:color="auto"/>
            </w:tcBorders>
            <w:shd w:val="clear" w:color="auto" w:fill="auto"/>
            <w:vAlign w:val="center"/>
          </w:tcPr>
          <w:p w14:paraId="37D3B2CA"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0</w:t>
            </w:r>
          </w:p>
        </w:tc>
        <w:tc>
          <w:tcPr>
            <w:tcW w:w="1319" w:type="dxa"/>
            <w:tcBorders>
              <w:top w:val="single" w:sz="4" w:space="0" w:color="auto"/>
              <w:left w:val="single" w:sz="4" w:space="0" w:color="auto"/>
              <w:bottom w:val="single" w:sz="4" w:space="0" w:color="auto"/>
              <w:right w:val="single" w:sz="4" w:space="0" w:color="auto"/>
            </w:tcBorders>
            <w:shd w:val="clear" w:color="auto" w:fill="auto"/>
            <w:vAlign w:val="center"/>
          </w:tcPr>
          <w:p w14:paraId="4F7EB105"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0.00</w:t>
            </w:r>
          </w:p>
        </w:tc>
        <w:tc>
          <w:tcPr>
            <w:tcW w:w="1637" w:type="dxa"/>
            <w:tcBorders>
              <w:top w:val="single" w:sz="4" w:space="0" w:color="auto"/>
              <w:left w:val="single" w:sz="4" w:space="0" w:color="auto"/>
              <w:bottom w:val="single" w:sz="4" w:space="0" w:color="auto"/>
              <w:right w:val="single" w:sz="4" w:space="0" w:color="auto"/>
            </w:tcBorders>
            <w:shd w:val="clear" w:color="auto" w:fill="auto"/>
            <w:vAlign w:val="center"/>
          </w:tcPr>
          <w:p w14:paraId="4A59EB27"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900.00</w:t>
            </w:r>
          </w:p>
        </w:tc>
      </w:tr>
      <w:tr w:rsidR="007D2C1E" w:rsidRPr="007D2C1E" w14:paraId="0BCE2FD1" w14:textId="77777777" w:rsidTr="007D2C1E">
        <w:trPr>
          <w:trHeight w:val="106"/>
          <w:jc w:val="center"/>
        </w:trPr>
        <w:tc>
          <w:tcPr>
            <w:tcW w:w="2052" w:type="dxa"/>
            <w:tcBorders>
              <w:top w:val="single" w:sz="4" w:space="0" w:color="auto"/>
              <w:left w:val="single" w:sz="4" w:space="0" w:color="auto"/>
              <w:bottom w:val="single" w:sz="4" w:space="0" w:color="auto"/>
              <w:right w:val="single" w:sz="4" w:space="0" w:color="auto"/>
            </w:tcBorders>
            <w:shd w:val="clear" w:color="auto" w:fill="auto"/>
            <w:vAlign w:val="center"/>
          </w:tcPr>
          <w:p w14:paraId="4D8D8038" w14:textId="77777777" w:rsidR="007D2C1E" w:rsidRPr="007D2C1E" w:rsidRDefault="007D2C1E" w:rsidP="007D2C1E">
            <w:pPr>
              <w:autoSpaceDE w:val="0"/>
              <w:autoSpaceDN w:val="0"/>
              <w:adjustRightInd w:val="0"/>
              <w:rPr>
                <w:rFonts w:eastAsia="Calibri"/>
                <w:sz w:val="20"/>
                <w:szCs w:val="20"/>
                <w:lang w:eastAsia="en-US"/>
              </w:rPr>
            </w:pPr>
            <w:r w:rsidRPr="007D2C1E">
              <w:rPr>
                <w:rFonts w:eastAsia="Calibri"/>
                <w:sz w:val="20"/>
                <w:szCs w:val="20"/>
                <w:lang w:eastAsia="en-US"/>
              </w:rPr>
              <w:t>Banregio</w:t>
            </w:r>
          </w:p>
        </w:tc>
        <w:tc>
          <w:tcPr>
            <w:tcW w:w="2743" w:type="dxa"/>
            <w:tcBorders>
              <w:top w:val="single" w:sz="4" w:space="0" w:color="auto"/>
              <w:left w:val="single" w:sz="4" w:space="0" w:color="auto"/>
              <w:bottom w:val="single" w:sz="4" w:space="0" w:color="auto"/>
              <w:right w:val="single" w:sz="4" w:space="0" w:color="auto"/>
            </w:tcBorders>
            <w:shd w:val="clear" w:color="auto" w:fill="auto"/>
            <w:vAlign w:val="center"/>
          </w:tcPr>
          <w:p w14:paraId="487CC91F" w14:textId="77777777" w:rsidR="007D2C1E" w:rsidRPr="007D2C1E" w:rsidRDefault="007D2C1E" w:rsidP="007D2C1E">
            <w:pPr>
              <w:autoSpaceDE w:val="0"/>
              <w:autoSpaceDN w:val="0"/>
              <w:adjustRightInd w:val="0"/>
              <w:rPr>
                <w:rFonts w:eastAsia="Calibri"/>
                <w:sz w:val="20"/>
                <w:szCs w:val="20"/>
                <w:lang w:eastAsia="en-US"/>
              </w:rPr>
            </w:pPr>
            <w:r w:rsidRPr="007D2C1E">
              <w:rPr>
                <w:rFonts w:eastAsia="Calibri"/>
                <w:sz w:val="20"/>
                <w:szCs w:val="20"/>
                <w:lang w:eastAsia="en-US"/>
              </w:rPr>
              <w:t>Cuenta Libre</w:t>
            </w:r>
          </w:p>
        </w:tc>
        <w:tc>
          <w:tcPr>
            <w:tcW w:w="1541" w:type="dxa"/>
            <w:tcBorders>
              <w:top w:val="single" w:sz="4" w:space="0" w:color="auto"/>
              <w:left w:val="single" w:sz="4" w:space="0" w:color="auto"/>
              <w:bottom w:val="single" w:sz="4" w:space="0" w:color="auto"/>
              <w:right w:val="single" w:sz="4" w:space="0" w:color="auto"/>
            </w:tcBorders>
            <w:shd w:val="clear" w:color="auto" w:fill="auto"/>
            <w:vAlign w:val="center"/>
          </w:tcPr>
          <w:p w14:paraId="763C8FDD"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0</w:t>
            </w:r>
          </w:p>
        </w:tc>
        <w:tc>
          <w:tcPr>
            <w:tcW w:w="1319" w:type="dxa"/>
            <w:tcBorders>
              <w:top w:val="single" w:sz="4" w:space="0" w:color="auto"/>
              <w:left w:val="single" w:sz="4" w:space="0" w:color="auto"/>
              <w:bottom w:val="single" w:sz="4" w:space="0" w:color="auto"/>
              <w:right w:val="single" w:sz="4" w:space="0" w:color="auto"/>
            </w:tcBorders>
            <w:shd w:val="clear" w:color="auto" w:fill="auto"/>
          </w:tcPr>
          <w:p w14:paraId="0C67F6D1"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0.00</w:t>
            </w:r>
          </w:p>
        </w:tc>
        <w:tc>
          <w:tcPr>
            <w:tcW w:w="1637" w:type="dxa"/>
            <w:tcBorders>
              <w:top w:val="single" w:sz="4" w:space="0" w:color="auto"/>
              <w:left w:val="single" w:sz="4" w:space="0" w:color="auto"/>
              <w:bottom w:val="single" w:sz="4" w:space="0" w:color="auto"/>
              <w:right w:val="single" w:sz="4" w:space="0" w:color="auto"/>
            </w:tcBorders>
            <w:shd w:val="clear" w:color="auto" w:fill="auto"/>
          </w:tcPr>
          <w:p w14:paraId="0B746833"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800.00</w:t>
            </w:r>
          </w:p>
        </w:tc>
      </w:tr>
      <w:tr w:rsidR="007D2C1E" w:rsidRPr="007D2C1E" w14:paraId="2D34838A" w14:textId="77777777" w:rsidTr="007D2C1E">
        <w:trPr>
          <w:trHeight w:val="106"/>
          <w:jc w:val="center"/>
        </w:trPr>
        <w:tc>
          <w:tcPr>
            <w:tcW w:w="2052" w:type="dxa"/>
            <w:tcBorders>
              <w:top w:val="single" w:sz="4" w:space="0" w:color="auto"/>
              <w:left w:val="single" w:sz="4" w:space="0" w:color="auto"/>
              <w:bottom w:val="single" w:sz="4" w:space="0" w:color="auto"/>
              <w:right w:val="single" w:sz="4" w:space="0" w:color="auto"/>
            </w:tcBorders>
            <w:shd w:val="clear" w:color="auto" w:fill="auto"/>
            <w:vAlign w:val="center"/>
          </w:tcPr>
          <w:p w14:paraId="000D1CC0" w14:textId="77777777" w:rsidR="007D2C1E" w:rsidRPr="007D2C1E" w:rsidRDefault="007D2C1E" w:rsidP="007D2C1E">
            <w:pPr>
              <w:autoSpaceDE w:val="0"/>
              <w:autoSpaceDN w:val="0"/>
              <w:adjustRightInd w:val="0"/>
              <w:rPr>
                <w:rFonts w:eastAsia="Calibri"/>
                <w:sz w:val="20"/>
                <w:szCs w:val="20"/>
                <w:lang w:eastAsia="en-US"/>
              </w:rPr>
            </w:pPr>
            <w:r w:rsidRPr="007D2C1E">
              <w:rPr>
                <w:rFonts w:eastAsia="Calibri"/>
                <w:sz w:val="20"/>
                <w:szCs w:val="20"/>
                <w:lang w:eastAsia="en-US"/>
              </w:rPr>
              <w:t>Banco Ahorro FAMSA</w:t>
            </w:r>
          </w:p>
        </w:tc>
        <w:tc>
          <w:tcPr>
            <w:tcW w:w="2743" w:type="dxa"/>
            <w:tcBorders>
              <w:top w:val="single" w:sz="4" w:space="0" w:color="auto"/>
              <w:left w:val="single" w:sz="4" w:space="0" w:color="auto"/>
              <w:bottom w:val="single" w:sz="4" w:space="0" w:color="auto"/>
              <w:right w:val="single" w:sz="4" w:space="0" w:color="auto"/>
            </w:tcBorders>
            <w:shd w:val="clear" w:color="auto" w:fill="auto"/>
            <w:vAlign w:val="center"/>
          </w:tcPr>
          <w:p w14:paraId="1214B198" w14:textId="77777777" w:rsidR="007D2C1E" w:rsidRPr="007D2C1E" w:rsidRDefault="007D2C1E" w:rsidP="007D2C1E">
            <w:pPr>
              <w:autoSpaceDE w:val="0"/>
              <w:autoSpaceDN w:val="0"/>
              <w:adjustRightInd w:val="0"/>
              <w:rPr>
                <w:rFonts w:eastAsia="Calibri"/>
                <w:sz w:val="20"/>
                <w:szCs w:val="20"/>
                <w:lang w:eastAsia="en-US"/>
              </w:rPr>
            </w:pPr>
            <w:r w:rsidRPr="007D2C1E">
              <w:rPr>
                <w:rFonts w:eastAsia="Calibri"/>
                <w:sz w:val="20"/>
                <w:szCs w:val="20"/>
                <w:lang w:eastAsia="en-US"/>
              </w:rPr>
              <w:t>Mi Chequera FAMSA</w:t>
            </w:r>
          </w:p>
        </w:tc>
        <w:tc>
          <w:tcPr>
            <w:tcW w:w="1541" w:type="dxa"/>
            <w:tcBorders>
              <w:top w:val="single" w:sz="4" w:space="0" w:color="auto"/>
              <w:left w:val="single" w:sz="4" w:space="0" w:color="auto"/>
              <w:bottom w:val="single" w:sz="4" w:space="0" w:color="auto"/>
              <w:right w:val="single" w:sz="4" w:space="0" w:color="auto"/>
            </w:tcBorders>
            <w:shd w:val="clear" w:color="auto" w:fill="auto"/>
            <w:vAlign w:val="center"/>
          </w:tcPr>
          <w:p w14:paraId="3EEDBE68"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0</w:t>
            </w:r>
          </w:p>
        </w:tc>
        <w:tc>
          <w:tcPr>
            <w:tcW w:w="1319" w:type="dxa"/>
            <w:tcBorders>
              <w:top w:val="single" w:sz="4" w:space="0" w:color="auto"/>
              <w:left w:val="single" w:sz="4" w:space="0" w:color="auto"/>
              <w:bottom w:val="single" w:sz="4" w:space="0" w:color="auto"/>
              <w:right w:val="single" w:sz="4" w:space="0" w:color="auto"/>
            </w:tcBorders>
            <w:shd w:val="clear" w:color="auto" w:fill="auto"/>
            <w:vAlign w:val="center"/>
          </w:tcPr>
          <w:p w14:paraId="41AE6707"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0.00</w:t>
            </w:r>
          </w:p>
        </w:tc>
        <w:tc>
          <w:tcPr>
            <w:tcW w:w="1637" w:type="dxa"/>
            <w:tcBorders>
              <w:top w:val="single" w:sz="4" w:space="0" w:color="auto"/>
              <w:left w:val="single" w:sz="4" w:space="0" w:color="auto"/>
              <w:bottom w:val="single" w:sz="4" w:space="0" w:color="auto"/>
              <w:right w:val="single" w:sz="4" w:space="0" w:color="auto"/>
            </w:tcBorders>
            <w:shd w:val="clear" w:color="auto" w:fill="auto"/>
            <w:vAlign w:val="center"/>
          </w:tcPr>
          <w:p w14:paraId="5AB3579A"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900.00</w:t>
            </w:r>
          </w:p>
        </w:tc>
      </w:tr>
      <w:tr w:rsidR="007D2C1E" w:rsidRPr="007D2C1E" w14:paraId="3664FCD8" w14:textId="77777777" w:rsidTr="007D2C1E">
        <w:trPr>
          <w:trHeight w:val="106"/>
          <w:jc w:val="center"/>
        </w:trPr>
        <w:tc>
          <w:tcPr>
            <w:tcW w:w="2052" w:type="dxa"/>
            <w:tcBorders>
              <w:top w:val="single" w:sz="4" w:space="0" w:color="auto"/>
              <w:left w:val="single" w:sz="4" w:space="0" w:color="auto"/>
              <w:bottom w:val="single" w:sz="4" w:space="0" w:color="auto"/>
              <w:right w:val="single" w:sz="4" w:space="0" w:color="auto"/>
            </w:tcBorders>
            <w:shd w:val="clear" w:color="auto" w:fill="auto"/>
            <w:vAlign w:val="center"/>
          </w:tcPr>
          <w:p w14:paraId="52A721BE" w14:textId="77777777" w:rsidR="007D2C1E" w:rsidRPr="007D2C1E" w:rsidRDefault="007D2C1E" w:rsidP="007D2C1E">
            <w:pPr>
              <w:autoSpaceDE w:val="0"/>
              <w:autoSpaceDN w:val="0"/>
              <w:adjustRightInd w:val="0"/>
              <w:rPr>
                <w:rFonts w:eastAsia="Calibri"/>
                <w:sz w:val="20"/>
                <w:szCs w:val="20"/>
                <w:lang w:eastAsia="en-US"/>
              </w:rPr>
            </w:pPr>
            <w:r w:rsidRPr="007D2C1E">
              <w:rPr>
                <w:rFonts w:eastAsia="Calibri"/>
                <w:sz w:val="20"/>
                <w:szCs w:val="20"/>
                <w:lang w:eastAsia="en-US"/>
              </w:rPr>
              <w:t>Multiva</w:t>
            </w:r>
          </w:p>
        </w:tc>
        <w:tc>
          <w:tcPr>
            <w:tcW w:w="2743" w:type="dxa"/>
            <w:tcBorders>
              <w:top w:val="single" w:sz="4" w:space="0" w:color="auto"/>
              <w:left w:val="single" w:sz="4" w:space="0" w:color="auto"/>
              <w:bottom w:val="single" w:sz="4" w:space="0" w:color="auto"/>
              <w:right w:val="single" w:sz="4" w:space="0" w:color="auto"/>
            </w:tcBorders>
            <w:shd w:val="clear" w:color="auto" w:fill="auto"/>
            <w:vAlign w:val="center"/>
          </w:tcPr>
          <w:p w14:paraId="70C66357" w14:textId="77777777" w:rsidR="007D2C1E" w:rsidRPr="007D2C1E" w:rsidRDefault="007D2C1E" w:rsidP="007D2C1E">
            <w:pPr>
              <w:autoSpaceDE w:val="0"/>
              <w:autoSpaceDN w:val="0"/>
              <w:adjustRightInd w:val="0"/>
              <w:rPr>
                <w:rFonts w:eastAsia="Calibri"/>
                <w:sz w:val="20"/>
                <w:szCs w:val="20"/>
                <w:lang w:eastAsia="en-US"/>
              </w:rPr>
            </w:pPr>
            <w:r w:rsidRPr="007D2C1E">
              <w:rPr>
                <w:rFonts w:eastAsia="Calibri"/>
                <w:sz w:val="20"/>
                <w:szCs w:val="20"/>
                <w:lang w:eastAsia="en-US"/>
              </w:rPr>
              <w:t>Cuenta Multiva</w:t>
            </w:r>
          </w:p>
        </w:tc>
        <w:tc>
          <w:tcPr>
            <w:tcW w:w="1541" w:type="dxa"/>
            <w:tcBorders>
              <w:top w:val="single" w:sz="4" w:space="0" w:color="auto"/>
              <w:left w:val="single" w:sz="4" w:space="0" w:color="auto"/>
              <w:bottom w:val="single" w:sz="4" w:space="0" w:color="auto"/>
              <w:right w:val="single" w:sz="4" w:space="0" w:color="auto"/>
            </w:tcBorders>
            <w:shd w:val="clear" w:color="auto" w:fill="auto"/>
          </w:tcPr>
          <w:p w14:paraId="05DE0156"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4</w:t>
            </w:r>
          </w:p>
        </w:tc>
        <w:tc>
          <w:tcPr>
            <w:tcW w:w="1319" w:type="dxa"/>
            <w:tcBorders>
              <w:top w:val="single" w:sz="4" w:space="0" w:color="auto"/>
              <w:left w:val="single" w:sz="4" w:space="0" w:color="auto"/>
              <w:bottom w:val="single" w:sz="4" w:space="0" w:color="auto"/>
              <w:right w:val="single" w:sz="4" w:space="0" w:color="auto"/>
            </w:tcBorders>
            <w:shd w:val="clear" w:color="auto" w:fill="auto"/>
            <w:vAlign w:val="center"/>
          </w:tcPr>
          <w:p w14:paraId="30E5F61E"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5.00</w:t>
            </w:r>
          </w:p>
        </w:tc>
        <w:tc>
          <w:tcPr>
            <w:tcW w:w="1637" w:type="dxa"/>
            <w:tcBorders>
              <w:top w:val="single" w:sz="4" w:space="0" w:color="auto"/>
              <w:left w:val="single" w:sz="4" w:space="0" w:color="auto"/>
              <w:bottom w:val="single" w:sz="4" w:space="0" w:color="auto"/>
              <w:right w:val="single" w:sz="4" w:space="0" w:color="auto"/>
            </w:tcBorders>
            <w:shd w:val="clear" w:color="auto" w:fill="auto"/>
            <w:vAlign w:val="center"/>
          </w:tcPr>
          <w:p w14:paraId="011FA762" w14:textId="77777777" w:rsidR="007D2C1E" w:rsidRPr="007D2C1E" w:rsidRDefault="007D2C1E" w:rsidP="007D2C1E">
            <w:pPr>
              <w:autoSpaceDE w:val="0"/>
              <w:autoSpaceDN w:val="0"/>
              <w:adjustRightInd w:val="0"/>
              <w:jc w:val="center"/>
              <w:rPr>
                <w:rFonts w:eastAsia="Calibri"/>
                <w:sz w:val="20"/>
                <w:szCs w:val="20"/>
                <w:lang w:eastAsia="en-US"/>
              </w:rPr>
            </w:pPr>
            <w:r w:rsidRPr="007D2C1E">
              <w:rPr>
                <w:rFonts w:eastAsia="Calibri"/>
                <w:sz w:val="20"/>
                <w:szCs w:val="20"/>
                <w:lang w:eastAsia="en-US"/>
              </w:rPr>
              <w:t>800.00</w:t>
            </w:r>
          </w:p>
        </w:tc>
      </w:tr>
      <w:tr w:rsidR="007D2C1E" w:rsidRPr="007D2C1E" w14:paraId="6EC9DF91" w14:textId="77777777" w:rsidTr="007D2C1E">
        <w:trPr>
          <w:trHeight w:val="1252"/>
          <w:jc w:val="center"/>
        </w:trPr>
        <w:tc>
          <w:tcPr>
            <w:tcW w:w="9292" w:type="dxa"/>
            <w:gridSpan w:val="5"/>
            <w:tcBorders>
              <w:top w:val="single" w:sz="4" w:space="0" w:color="auto"/>
              <w:left w:val="nil"/>
              <w:bottom w:val="nil"/>
              <w:right w:val="nil"/>
            </w:tcBorders>
            <w:shd w:val="clear" w:color="auto" w:fill="auto"/>
            <w:vAlign w:val="center"/>
          </w:tcPr>
          <w:p w14:paraId="5B44C4AF" w14:textId="77777777" w:rsidR="007D2C1E" w:rsidRPr="007D2C1E" w:rsidRDefault="007D2C1E" w:rsidP="0054411E">
            <w:pPr>
              <w:autoSpaceDE w:val="0"/>
              <w:autoSpaceDN w:val="0"/>
              <w:adjustRightInd w:val="0"/>
              <w:ind w:left="142" w:hanging="142"/>
              <w:jc w:val="both"/>
              <w:rPr>
                <w:rFonts w:eastAsia="Calibri"/>
                <w:sz w:val="20"/>
                <w:szCs w:val="20"/>
                <w:lang w:eastAsia="en-US"/>
              </w:rPr>
            </w:pPr>
            <w:r w:rsidRPr="007D2C1E">
              <w:rPr>
                <w:rFonts w:eastAsia="Calibri"/>
                <w:sz w:val="20"/>
                <w:szCs w:val="20"/>
                <w:lang w:eastAsia="en-US"/>
              </w:rPr>
              <w:t>* Las comisiones no incluyen IVA. La información contenida en el cuadro, puede variar, por lo que se recomienda al usuario verificar antes de celebrar cualquier operación con la institución elegida.</w:t>
            </w:r>
          </w:p>
          <w:p w14:paraId="783A472F" w14:textId="77777777" w:rsidR="007D2C1E" w:rsidRPr="007D2C1E" w:rsidRDefault="007D2C1E" w:rsidP="007D2C1E">
            <w:pPr>
              <w:autoSpaceDE w:val="0"/>
              <w:autoSpaceDN w:val="0"/>
              <w:adjustRightInd w:val="0"/>
              <w:ind w:left="907" w:hanging="907"/>
              <w:jc w:val="both"/>
              <w:rPr>
                <w:rFonts w:eastAsia="Calibri"/>
                <w:sz w:val="20"/>
                <w:szCs w:val="20"/>
                <w:lang w:eastAsia="en-US"/>
              </w:rPr>
            </w:pPr>
            <w:r w:rsidRPr="007D2C1E">
              <w:rPr>
                <w:rFonts w:eastAsia="Calibri"/>
                <w:sz w:val="20"/>
                <w:szCs w:val="20"/>
                <w:lang w:eastAsia="en-US"/>
              </w:rPr>
              <w:t>FUENTE: CONDUSEF, con información del Banco de México y páginas electrónicas de las Instituciones Financieras al 18 de febrero de 2015.</w:t>
            </w:r>
          </w:p>
        </w:tc>
      </w:tr>
    </w:tbl>
    <w:p w14:paraId="6FAC3889" w14:textId="77777777" w:rsidR="007D2C1E" w:rsidRDefault="007D2C1E" w:rsidP="00FD3FC3">
      <w:pPr>
        <w:spacing w:after="360" w:line="360" w:lineRule="auto"/>
        <w:ind w:right="-159"/>
        <w:jc w:val="both"/>
        <w:rPr>
          <w:rFonts w:eastAsia="Calibri"/>
          <w:sz w:val="26"/>
          <w:szCs w:val="26"/>
          <w:lang w:eastAsia="en-US"/>
        </w:rPr>
      </w:pPr>
    </w:p>
    <w:p w14:paraId="3D01CBAB" w14:textId="77777777" w:rsidR="007D2C1E" w:rsidRDefault="007D2C1E" w:rsidP="00FD3FC3">
      <w:pPr>
        <w:spacing w:after="360" w:line="360" w:lineRule="auto"/>
        <w:ind w:right="-159"/>
        <w:jc w:val="both"/>
        <w:rPr>
          <w:rFonts w:eastAsia="Calibri"/>
          <w:sz w:val="26"/>
          <w:szCs w:val="26"/>
          <w:lang w:eastAsia="en-US"/>
        </w:rPr>
      </w:pPr>
    </w:p>
    <w:p w14:paraId="28073CFE" w14:textId="77777777" w:rsidR="007D2C1E" w:rsidRPr="00FD3FC3" w:rsidRDefault="007D2C1E" w:rsidP="00FD3FC3">
      <w:pPr>
        <w:spacing w:after="360" w:line="360" w:lineRule="auto"/>
        <w:ind w:right="-159"/>
        <w:jc w:val="both"/>
        <w:rPr>
          <w:rFonts w:eastAsia="Calibri"/>
          <w:sz w:val="26"/>
          <w:szCs w:val="26"/>
          <w:lang w:eastAsia="en-US"/>
        </w:rPr>
      </w:pPr>
    </w:p>
    <w:p w14:paraId="3D36DB65" w14:textId="77777777" w:rsidR="00FD3FC3" w:rsidRPr="00FD3FC3" w:rsidRDefault="00FD3FC3" w:rsidP="00FD3FC3">
      <w:pPr>
        <w:spacing w:after="360" w:line="360" w:lineRule="auto"/>
        <w:ind w:right="-159"/>
        <w:jc w:val="both"/>
        <w:rPr>
          <w:rFonts w:eastAsia="Calibri"/>
          <w:sz w:val="26"/>
          <w:szCs w:val="26"/>
          <w:lang w:eastAsia="en-US"/>
        </w:rPr>
      </w:pPr>
      <w:r w:rsidRPr="00FD3FC3">
        <w:rPr>
          <w:rFonts w:eastAsia="Calibri"/>
          <w:sz w:val="26"/>
          <w:szCs w:val="26"/>
          <w:lang w:eastAsia="en-US"/>
        </w:rPr>
        <w:lastRenderedPageBreak/>
        <w:t>Finalmente, CONDUSEF ofrece las siguientes recomendaciones sobre el uso y manejo de tu chequera:</w:t>
      </w:r>
    </w:p>
    <w:p w14:paraId="7C8B81F0" w14:textId="77777777" w:rsidR="00FD3FC3" w:rsidRPr="00FD3FC3" w:rsidRDefault="00FD3FC3" w:rsidP="00276F3E">
      <w:pPr>
        <w:numPr>
          <w:ilvl w:val="0"/>
          <w:numId w:val="48"/>
        </w:numPr>
        <w:spacing w:after="360" w:line="360" w:lineRule="auto"/>
        <w:ind w:left="714" w:right="-159" w:hanging="357"/>
        <w:jc w:val="both"/>
        <w:rPr>
          <w:rFonts w:eastAsia="Calibri"/>
          <w:sz w:val="26"/>
          <w:szCs w:val="26"/>
          <w:lang w:eastAsia="en-US"/>
        </w:rPr>
      </w:pPr>
      <w:r w:rsidRPr="00FD3FC3">
        <w:rPr>
          <w:rFonts w:eastAsia="Calibri"/>
          <w:sz w:val="26"/>
          <w:szCs w:val="26"/>
          <w:lang w:eastAsia="en-US"/>
        </w:rPr>
        <w:t>Cuando te entreguen tu chequera, verifica ante el ejecutivo que no falte ningún cheque, de lo contrario repórtalo de inmediato para que se tomen las medidas correspondientes.</w:t>
      </w:r>
    </w:p>
    <w:p w14:paraId="0F04C2A3" w14:textId="77777777" w:rsidR="00FD3FC3" w:rsidRPr="00FD3FC3" w:rsidRDefault="00FD3FC3" w:rsidP="00276F3E">
      <w:pPr>
        <w:numPr>
          <w:ilvl w:val="0"/>
          <w:numId w:val="48"/>
        </w:numPr>
        <w:spacing w:after="360" w:line="360" w:lineRule="auto"/>
        <w:ind w:left="714" w:right="-159" w:hanging="357"/>
        <w:jc w:val="both"/>
        <w:rPr>
          <w:rFonts w:eastAsia="Calibri"/>
          <w:sz w:val="26"/>
          <w:szCs w:val="26"/>
          <w:lang w:eastAsia="en-US"/>
        </w:rPr>
      </w:pPr>
      <w:r w:rsidRPr="00FD3FC3">
        <w:rPr>
          <w:rFonts w:eastAsia="Calibri"/>
          <w:sz w:val="26"/>
          <w:szCs w:val="26"/>
          <w:lang w:eastAsia="en-US"/>
        </w:rPr>
        <w:t>De acuerdo con la Ley, los cheques son pagados al momento en que se presentan para su cobro, independientemente de la fecha que aparece en ellos, por lo tanto el banco los pagará aunque el documento indique una fecha posterior.</w:t>
      </w:r>
    </w:p>
    <w:p w14:paraId="44AB90CD" w14:textId="77777777" w:rsidR="00FD3FC3" w:rsidRPr="00FD3FC3" w:rsidRDefault="00FD3FC3" w:rsidP="00276F3E">
      <w:pPr>
        <w:numPr>
          <w:ilvl w:val="0"/>
          <w:numId w:val="48"/>
        </w:numPr>
        <w:spacing w:after="360" w:line="360" w:lineRule="auto"/>
        <w:ind w:left="714" w:right="-159" w:hanging="357"/>
        <w:jc w:val="both"/>
        <w:rPr>
          <w:rFonts w:eastAsia="Calibri"/>
          <w:sz w:val="26"/>
          <w:szCs w:val="26"/>
          <w:lang w:eastAsia="en-US"/>
        </w:rPr>
      </w:pPr>
      <w:r w:rsidRPr="00FD3FC3">
        <w:rPr>
          <w:rFonts w:eastAsia="Calibri"/>
          <w:sz w:val="26"/>
          <w:szCs w:val="26"/>
          <w:lang w:eastAsia="en-US"/>
        </w:rPr>
        <w:t>Pregunta en tu banco sobre las comisiones que te cobran por la expedición de cada uno de los tipos de cheques y cuál es el trámite a seguir, en caso de cancelación de los mismos.</w:t>
      </w:r>
    </w:p>
    <w:p w14:paraId="04DEDB0C" w14:textId="77777777" w:rsidR="00FD3FC3" w:rsidRPr="00FD3FC3" w:rsidRDefault="00FD3FC3" w:rsidP="00276F3E">
      <w:pPr>
        <w:numPr>
          <w:ilvl w:val="0"/>
          <w:numId w:val="48"/>
        </w:numPr>
        <w:spacing w:after="360" w:line="360" w:lineRule="auto"/>
        <w:ind w:left="714" w:right="-159" w:hanging="357"/>
        <w:jc w:val="both"/>
        <w:rPr>
          <w:rFonts w:eastAsia="Calibri"/>
          <w:sz w:val="26"/>
          <w:szCs w:val="26"/>
          <w:lang w:eastAsia="en-US"/>
        </w:rPr>
      </w:pPr>
      <w:r w:rsidRPr="00FD3FC3">
        <w:rPr>
          <w:rFonts w:eastAsia="Calibri"/>
          <w:sz w:val="26"/>
          <w:szCs w:val="26"/>
          <w:lang w:eastAsia="en-US"/>
        </w:rPr>
        <w:t>Recuerda que los rasgos de nuestra firma cambian con el tiempo, por lo que es conveniente que la actualices en los archivos del banco cada determinado tiempo, para evitar que te nieguen el pago de algún cheque.</w:t>
      </w:r>
    </w:p>
    <w:p w14:paraId="74861547" w14:textId="77777777" w:rsidR="00FD3FC3" w:rsidRPr="00FD3FC3" w:rsidRDefault="00FD3FC3" w:rsidP="00276F3E">
      <w:pPr>
        <w:numPr>
          <w:ilvl w:val="0"/>
          <w:numId w:val="48"/>
        </w:numPr>
        <w:spacing w:after="360" w:line="360" w:lineRule="auto"/>
        <w:ind w:left="714" w:right="-159" w:hanging="357"/>
        <w:jc w:val="both"/>
        <w:rPr>
          <w:rFonts w:eastAsia="Calibri"/>
          <w:sz w:val="26"/>
          <w:szCs w:val="26"/>
          <w:lang w:eastAsia="en-US"/>
        </w:rPr>
      </w:pPr>
      <w:r w:rsidRPr="00FD3FC3">
        <w:rPr>
          <w:rFonts w:eastAsia="Calibri"/>
          <w:sz w:val="26"/>
          <w:szCs w:val="26"/>
          <w:lang w:eastAsia="en-US"/>
        </w:rPr>
        <w:t>En caso de pérdida o robo de un cheque, repórtalo inmediatamente a tu banco, quien te indicará el procedimiento a seguir para la cancelación del mismo.</w:t>
      </w:r>
    </w:p>
    <w:p w14:paraId="56EB2E4A" w14:textId="77777777" w:rsidR="00FD3FC3" w:rsidRDefault="00FD3FC3" w:rsidP="00276F3E">
      <w:pPr>
        <w:numPr>
          <w:ilvl w:val="0"/>
          <w:numId w:val="48"/>
        </w:numPr>
        <w:spacing w:after="360" w:line="360" w:lineRule="auto"/>
        <w:ind w:left="714" w:right="-159" w:hanging="357"/>
        <w:jc w:val="both"/>
        <w:rPr>
          <w:rFonts w:eastAsia="Calibri"/>
          <w:sz w:val="26"/>
          <w:szCs w:val="26"/>
          <w:lang w:eastAsia="en-US"/>
        </w:rPr>
      </w:pPr>
      <w:r w:rsidRPr="00FD3FC3">
        <w:rPr>
          <w:rFonts w:eastAsia="Calibri"/>
          <w:sz w:val="26"/>
          <w:szCs w:val="26"/>
          <w:lang w:eastAsia="en-US"/>
        </w:rPr>
        <w:t>Recuerda que el traer contigo frecuentemente tu chequera, incrementa el riesgo de extraviarla o de que alguien sustraiga uno de los cheques sin que te des cuenta, pudiendo realizar su cobro antes de que notes su desaparición.</w:t>
      </w:r>
    </w:p>
    <w:p w14:paraId="7EFD22FB" w14:textId="77777777" w:rsidR="00AA71BA" w:rsidRPr="00FD3FC3" w:rsidRDefault="00AA71BA" w:rsidP="00AA71BA">
      <w:pPr>
        <w:spacing w:after="360" w:line="360" w:lineRule="auto"/>
        <w:ind w:right="-159"/>
        <w:jc w:val="both"/>
        <w:rPr>
          <w:rFonts w:eastAsia="Calibri"/>
          <w:sz w:val="26"/>
          <w:szCs w:val="26"/>
          <w:lang w:eastAsia="en-US"/>
        </w:rPr>
      </w:pPr>
    </w:p>
    <w:p w14:paraId="175BC37F" w14:textId="24ECE241" w:rsidR="00FD3FC3" w:rsidRPr="00FD3FC3" w:rsidRDefault="00FD3FC3" w:rsidP="00276F3E">
      <w:pPr>
        <w:numPr>
          <w:ilvl w:val="0"/>
          <w:numId w:val="48"/>
        </w:numPr>
        <w:spacing w:after="360" w:line="360" w:lineRule="auto"/>
        <w:ind w:left="714" w:right="-159" w:hanging="357"/>
        <w:jc w:val="both"/>
        <w:rPr>
          <w:rFonts w:eastAsia="Calibri"/>
          <w:sz w:val="26"/>
          <w:szCs w:val="26"/>
          <w:lang w:eastAsia="en-US"/>
        </w:rPr>
      </w:pPr>
      <w:r w:rsidRPr="00FD3FC3">
        <w:rPr>
          <w:rFonts w:eastAsia="Calibri"/>
          <w:sz w:val="26"/>
          <w:szCs w:val="26"/>
          <w:lang w:eastAsia="en-US"/>
        </w:rPr>
        <w:lastRenderedPageBreak/>
        <w:t xml:space="preserve">Si has cometido algún error en la elaboración de un cheque es preferible realizar uno nuevo ya que </w:t>
      </w:r>
      <w:r w:rsidR="007D2C1E">
        <w:rPr>
          <w:rFonts w:eastAsia="Calibri"/>
          <w:sz w:val="26"/>
          <w:szCs w:val="26"/>
          <w:lang w:eastAsia="en-US"/>
        </w:rPr>
        <w:t>é</w:t>
      </w:r>
      <w:r w:rsidRPr="00FD3FC3">
        <w:rPr>
          <w:rFonts w:eastAsia="Calibri"/>
          <w:sz w:val="26"/>
          <w:szCs w:val="26"/>
          <w:lang w:eastAsia="en-US"/>
        </w:rPr>
        <w:t>ste no será pagado si presenta alteraciones, deterioros o mutilaciones.</w:t>
      </w:r>
    </w:p>
    <w:p w14:paraId="3667A738" w14:textId="77777777" w:rsidR="00FD3FC3" w:rsidRPr="00FD3FC3" w:rsidRDefault="00FD3FC3" w:rsidP="00FD3FC3">
      <w:pPr>
        <w:ind w:right="-159"/>
        <w:jc w:val="both"/>
        <w:rPr>
          <w:rFonts w:eastAsia="Calibri"/>
          <w:sz w:val="20"/>
          <w:szCs w:val="20"/>
          <w:lang w:eastAsia="en-US"/>
        </w:rPr>
      </w:pPr>
      <w:r w:rsidRPr="00FD3FC3">
        <w:rPr>
          <w:rFonts w:eastAsia="Calibri"/>
          <w:b/>
          <w:sz w:val="20"/>
          <w:szCs w:val="20"/>
          <w:lang w:eastAsia="en-US"/>
        </w:rPr>
        <w:t>Fuente de información</w:t>
      </w:r>
      <w:r w:rsidRPr="00FD3FC3">
        <w:rPr>
          <w:rFonts w:eastAsia="Calibri"/>
          <w:sz w:val="20"/>
          <w:szCs w:val="20"/>
          <w:lang w:eastAsia="en-US"/>
        </w:rPr>
        <w:t>:</w:t>
      </w:r>
    </w:p>
    <w:p w14:paraId="4186DF25" w14:textId="77777777" w:rsidR="00FD3FC3" w:rsidRPr="008631DB" w:rsidRDefault="0093224F" w:rsidP="008631DB">
      <w:pPr>
        <w:spacing w:after="720"/>
        <w:ind w:right="-159"/>
        <w:jc w:val="both"/>
        <w:rPr>
          <w:rFonts w:eastAsia="Calibri"/>
          <w:color w:val="0000FF"/>
          <w:sz w:val="20"/>
          <w:szCs w:val="20"/>
          <w:lang w:eastAsia="en-US"/>
        </w:rPr>
      </w:pPr>
      <w:hyperlink r:id="rId347" w:history="1">
        <w:r w:rsidR="00FD3FC3" w:rsidRPr="008631DB">
          <w:rPr>
            <w:rFonts w:eastAsia="Calibri"/>
            <w:color w:val="0000FF"/>
            <w:sz w:val="20"/>
            <w:szCs w:val="20"/>
            <w:u w:val="single"/>
            <w:lang w:eastAsia="en-US"/>
          </w:rPr>
          <w:t>http://www.condusef.gob.mx/index.php/prensa/comunicados-2015/1162-sabes-cuanto-te-cobra-tu-banco-por-emision-de-cheque-adicional-y-cual-es-la-comision-por-sobregiro</w:t>
        </w:r>
      </w:hyperlink>
    </w:p>
    <w:p w14:paraId="547337DA" w14:textId="77777777" w:rsidR="00176424" w:rsidRPr="00176424" w:rsidRDefault="00176424" w:rsidP="00176424">
      <w:pPr>
        <w:ind w:right="-159"/>
        <w:jc w:val="both"/>
        <w:rPr>
          <w:rFonts w:eastAsia="Times New Roman"/>
          <w:b/>
          <w:bCs/>
          <w:sz w:val="26"/>
          <w:szCs w:val="26"/>
          <w:lang w:val="es-ES"/>
        </w:rPr>
      </w:pPr>
      <w:r w:rsidRPr="00176424">
        <w:rPr>
          <w:rFonts w:eastAsia="Times New Roman"/>
          <w:b/>
          <w:bCs/>
          <w:sz w:val="26"/>
          <w:szCs w:val="26"/>
          <w:lang w:val="es-ES"/>
        </w:rPr>
        <w:t>¿Se recuperarán finalmente el crecimiento crediticio</w:t>
      </w:r>
    </w:p>
    <w:p w14:paraId="633288E0" w14:textId="77777777" w:rsidR="00176424" w:rsidRPr="00176424" w:rsidRDefault="00176424" w:rsidP="00176424">
      <w:pPr>
        <w:spacing w:after="360" w:line="360" w:lineRule="auto"/>
        <w:ind w:right="-159"/>
        <w:jc w:val="both"/>
        <w:rPr>
          <w:rFonts w:eastAsia="Times New Roman"/>
          <w:b/>
          <w:bCs/>
          <w:sz w:val="26"/>
          <w:szCs w:val="26"/>
          <w:lang w:val="es-ES"/>
        </w:rPr>
      </w:pPr>
      <w:r w:rsidRPr="00176424">
        <w:rPr>
          <w:rFonts w:eastAsia="Times New Roman"/>
          <w:b/>
          <w:bCs/>
          <w:sz w:val="26"/>
          <w:szCs w:val="26"/>
          <w:lang w:val="es-ES"/>
        </w:rPr>
        <w:t>e ingresos de los bancos mexicanos? (Fitch)</w:t>
      </w:r>
    </w:p>
    <w:p w14:paraId="24B9DBAF" w14:textId="77777777" w:rsidR="00176424" w:rsidRPr="00176424" w:rsidRDefault="00176424" w:rsidP="00176424">
      <w:pPr>
        <w:spacing w:after="360" w:line="360" w:lineRule="auto"/>
        <w:ind w:right="-159"/>
        <w:jc w:val="both"/>
        <w:rPr>
          <w:rFonts w:eastAsia="Times New Roman"/>
          <w:bCs/>
          <w:sz w:val="26"/>
          <w:szCs w:val="26"/>
          <w:lang w:val="es-ES"/>
        </w:rPr>
      </w:pPr>
      <w:r w:rsidRPr="00176424">
        <w:rPr>
          <w:rFonts w:eastAsia="Times New Roman"/>
          <w:bCs/>
          <w:sz w:val="26"/>
          <w:szCs w:val="26"/>
          <w:lang w:val="es-ES"/>
        </w:rPr>
        <w:t xml:space="preserve">El 20 de febrero de 2015, la casa calificadora </w:t>
      </w:r>
      <w:r w:rsidRPr="00176424">
        <w:rPr>
          <w:rFonts w:eastAsia="Times New Roman"/>
          <w:bCs/>
          <w:sz w:val="26"/>
          <w:szCs w:val="26"/>
        </w:rPr>
        <w:t xml:space="preserve">Fitch Ratings comunicó que los </w:t>
      </w:r>
      <w:r w:rsidRPr="00176424">
        <w:rPr>
          <w:rFonts w:eastAsia="Times New Roman"/>
          <w:bCs/>
          <w:sz w:val="26"/>
          <w:szCs w:val="26"/>
          <w:lang w:val="es-ES"/>
        </w:rPr>
        <w:t>bancos comerciales en México mantienen una perspectiva del sector “estable”. Fitch considera improbable una revisión de la misma durante 2015, dada la moderada recuperación económica esperada y los riesgos de deterioro derivados del entorno global.</w:t>
      </w:r>
    </w:p>
    <w:p w14:paraId="092D880B" w14:textId="77777777" w:rsidR="00176424" w:rsidRPr="00176424" w:rsidRDefault="00176424" w:rsidP="00176424">
      <w:pPr>
        <w:spacing w:after="360" w:line="360" w:lineRule="auto"/>
        <w:ind w:right="-159"/>
        <w:jc w:val="both"/>
        <w:rPr>
          <w:rFonts w:eastAsia="Times New Roman"/>
          <w:bCs/>
          <w:sz w:val="26"/>
          <w:szCs w:val="26"/>
          <w:lang w:val="es-ES"/>
        </w:rPr>
      </w:pPr>
      <w:r w:rsidRPr="00176424">
        <w:rPr>
          <w:rFonts w:eastAsia="Times New Roman"/>
          <w:bCs/>
          <w:sz w:val="26"/>
          <w:szCs w:val="26"/>
          <w:lang w:val="es-ES"/>
        </w:rPr>
        <w:t>Sin embargo, la agencia destaca que varios bancos podrían tener cambios al alza en sus calificaciones, especialmente aquellos que actualmente tienen una Perspectiva Positiva y sean capaces de continuar el fortalecimiento de su perfil crediticio.</w:t>
      </w:r>
    </w:p>
    <w:p w14:paraId="32C8BBB4" w14:textId="77777777" w:rsidR="00176424" w:rsidRPr="00176424" w:rsidRDefault="00176424" w:rsidP="00176424">
      <w:pPr>
        <w:spacing w:after="360" w:line="360" w:lineRule="auto"/>
        <w:ind w:right="-159"/>
        <w:jc w:val="both"/>
        <w:rPr>
          <w:rFonts w:eastAsia="Times New Roman"/>
          <w:bCs/>
          <w:sz w:val="26"/>
          <w:szCs w:val="26"/>
          <w:lang w:val="es-ES"/>
        </w:rPr>
      </w:pPr>
      <w:r w:rsidRPr="00176424">
        <w:rPr>
          <w:rFonts w:eastAsia="Times New Roman"/>
          <w:bCs/>
          <w:sz w:val="26"/>
          <w:szCs w:val="26"/>
          <w:lang w:val="es-ES"/>
        </w:rPr>
        <w:t>Fitch también considera que un escenario de revisión de la calificación o perspectiva del sector a “negativa” es altamente improbable, dado que solo ocurriría con un deterioro del entorno operativo hasta el punto de debilitar materialmente el capital y los perfiles de liquidez; no solo la calidad de activos sino también los ingresos.</w:t>
      </w:r>
    </w:p>
    <w:p w14:paraId="59D5BA96" w14:textId="77777777" w:rsidR="00176424" w:rsidRPr="00176424" w:rsidRDefault="00176424" w:rsidP="00176424">
      <w:pPr>
        <w:spacing w:after="360" w:line="360" w:lineRule="auto"/>
        <w:ind w:right="-159"/>
        <w:jc w:val="both"/>
        <w:rPr>
          <w:rFonts w:eastAsia="Times New Roman"/>
          <w:bCs/>
          <w:sz w:val="26"/>
          <w:szCs w:val="26"/>
          <w:lang w:val="es-ES"/>
        </w:rPr>
      </w:pPr>
      <w:r w:rsidRPr="00176424">
        <w:rPr>
          <w:rFonts w:eastAsia="Times New Roman"/>
          <w:bCs/>
          <w:sz w:val="26"/>
          <w:szCs w:val="26"/>
          <w:lang w:val="es-ES"/>
        </w:rPr>
        <w:t xml:space="preserve">La calificadora espera que el crecimiento del PIB se acelere hasta cierto punto en 2015 a aproximadamente 3% en términos reales. Sin embargo, se están desarrollando riesgos materiales, especialmente derivados de factores globales, que podrían comprometer un crecimiento económico mayor. Entre los principales riesgos están la caída y volatilidad de los precios del petróleo, que pudiesen ser determinantes para la perspectiva de </w:t>
      </w:r>
      <w:r w:rsidRPr="00176424">
        <w:rPr>
          <w:rFonts w:eastAsia="Times New Roman"/>
          <w:bCs/>
          <w:sz w:val="26"/>
          <w:szCs w:val="26"/>
          <w:lang w:val="es-ES"/>
        </w:rPr>
        <w:lastRenderedPageBreak/>
        <w:t>México, así como un cambio potencial en las tasas de interés bajas por parte de la Reserva Federal de Estados Unidos de Norteamérica.</w:t>
      </w:r>
    </w:p>
    <w:p w14:paraId="7763F04B" w14:textId="77777777" w:rsidR="00176424" w:rsidRPr="00176424" w:rsidRDefault="00176424" w:rsidP="00176424">
      <w:pPr>
        <w:spacing w:after="360" w:line="360" w:lineRule="auto"/>
        <w:ind w:right="-159"/>
        <w:jc w:val="both"/>
        <w:rPr>
          <w:rFonts w:eastAsia="Times New Roman"/>
          <w:bCs/>
          <w:sz w:val="26"/>
          <w:szCs w:val="26"/>
          <w:lang w:val="es-ES"/>
        </w:rPr>
      </w:pPr>
      <w:r w:rsidRPr="00176424">
        <w:rPr>
          <w:rFonts w:eastAsia="Times New Roman"/>
          <w:bCs/>
          <w:sz w:val="26"/>
          <w:szCs w:val="26"/>
          <w:lang w:val="es-ES"/>
        </w:rPr>
        <w:t>Fitch ha manifestado que los bancos mexicanos podrían mantener cómodamente tasas de crecimiento nominal entre 12 y 15% durante determinados años, dado el nivel bajo de intermediación financiera. No obstante, el crecimiento de los préstamos ha sido moderado ante un desempeño relativamente pobre de la economía, que fue aún más lento en 2014. La agencia espera una recuperación modesta de los préstamos en 2015 (entre 10 y 12% en términos nominales), pero por debajo de las perspectivas de mediano plazo.</w:t>
      </w:r>
    </w:p>
    <w:p w14:paraId="50066B5A" w14:textId="77777777" w:rsidR="00176424" w:rsidRPr="00176424" w:rsidRDefault="00176424" w:rsidP="00176424">
      <w:pPr>
        <w:spacing w:after="360" w:line="360" w:lineRule="auto"/>
        <w:ind w:right="-159"/>
        <w:jc w:val="both"/>
        <w:rPr>
          <w:rFonts w:eastAsia="Times New Roman"/>
          <w:bCs/>
          <w:sz w:val="26"/>
          <w:szCs w:val="26"/>
          <w:lang w:val="es-ES"/>
        </w:rPr>
      </w:pPr>
      <w:r w:rsidRPr="00176424">
        <w:rPr>
          <w:rFonts w:eastAsia="Times New Roman"/>
          <w:bCs/>
          <w:sz w:val="26"/>
          <w:szCs w:val="26"/>
          <w:lang w:val="es-ES"/>
        </w:rPr>
        <w:t>Los ingresos de los bancos mexicanos están relativamente expuestos a un entorno de tasas de interés menores porque sus balances están fondeados mayormente por depósitos. Sin embargo, el momento, ritmo y magnitud de esta tendencia son inciertos. Aunque el efecto de mediano plazo de tasas mayores debería favorecer los ingresos y márgenes de los bancos, podría surgir volatilidad en el corto plazo por el efecto inmediato de la valoración de los títulos de deuda que la mayoría de los bancos mantiene, sobre todo los grandes.</w:t>
      </w:r>
    </w:p>
    <w:p w14:paraId="21512A26" w14:textId="77777777" w:rsidR="00176424" w:rsidRPr="00176424" w:rsidRDefault="00176424" w:rsidP="00176424">
      <w:pPr>
        <w:spacing w:after="360" w:line="360" w:lineRule="auto"/>
        <w:ind w:right="-159"/>
        <w:jc w:val="both"/>
        <w:rPr>
          <w:rFonts w:eastAsia="Times New Roman"/>
          <w:bCs/>
          <w:sz w:val="26"/>
          <w:szCs w:val="26"/>
          <w:lang w:val="es-ES"/>
        </w:rPr>
      </w:pPr>
      <w:r w:rsidRPr="00176424">
        <w:rPr>
          <w:rFonts w:eastAsia="Times New Roman"/>
          <w:bCs/>
          <w:sz w:val="26"/>
          <w:szCs w:val="26"/>
          <w:lang w:val="es-ES"/>
        </w:rPr>
        <w:t>Mientras que el índice de cartera vencida tendió a estabilizarse en 2014, ocurrió lo contrario con las provisiones y castigos. Positivamente, el impacto más fuerte de la exposición a los constructores de vivienda que incumplieron ya fue absorbido. Por lo tanto, la agencia cree que los castigos y provisiones alcanzaron su pico hacia finales de 2014. Estas métricas deberían disminuir gradualmente, asumiendo que no habrá un deterioro mayor de la economía. El escenario base de Fitch para la calidad crediticia es que la mayoría de las métricas se estabilice cerca de los niveles actuales, con potencial de mejora en los cargos por provisiones.</w:t>
      </w:r>
    </w:p>
    <w:p w14:paraId="41CAAE19" w14:textId="77777777" w:rsidR="00176424" w:rsidRPr="00176424" w:rsidRDefault="00176424" w:rsidP="00176424">
      <w:pPr>
        <w:spacing w:after="360" w:line="360" w:lineRule="auto"/>
        <w:ind w:right="-159"/>
        <w:jc w:val="both"/>
        <w:rPr>
          <w:rFonts w:eastAsia="Times New Roman"/>
          <w:bCs/>
          <w:sz w:val="26"/>
          <w:szCs w:val="26"/>
          <w:lang w:val="es-ES"/>
        </w:rPr>
      </w:pPr>
      <w:r w:rsidRPr="00176424">
        <w:rPr>
          <w:rFonts w:eastAsia="Times New Roman"/>
          <w:bCs/>
          <w:sz w:val="26"/>
          <w:szCs w:val="26"/>
          <w:lang w:val="es-ES"/>
        </w:rPr>
        <w:t xml:space="preserve">El crecimiento moderado de los préstamos en años recientes ha impulsado la estabilidad del capital y la liquidez. Sin embargo, Fitch espera que ambos enfrenten retos en 2015 </w:t>
      </w:r>
      <w:r w:rsidRPr="00176424">
        <w:rPr>
          <w:rFonts w:eastAsia="Times New Roman"/>
          <w:bCs/>
          <w:sz w:val="26"/>
          <w:szCs w:val="26"/>
          <w:lang w:val="es-ES"/>
        </w:rPr>
        <w:lastRenderedPageBreak/>
        <w:t>y posteriormente, debido a la confluencia de préstamos ligeramente mayores, ingresos potencialmente menores y la adopción de normas más estrictas alineadas a los estándares de liquidez de Basilea III. La agencia también anticipa una dependencia creciente de fuentes de fondeo de plazos mayores y no provenientes de depósitos y, por lo tanto, un deterioro sostenido y gradual del indicador de préstamos sobre depósitos en los próximos años.</w:t>
      </w:r>
    </w:p>
    <w:p w14:paraId="1785DB10" w14:textId="4E46F2A6" w:rsidR="00176424" w:rsidRPr="00176424" w:rsidRDefault="001D7965" w:rsidP="00176424">
      <w:pPr>
        <w:spacing w:after="360" w:line="360" w:lineRule="auto"/>
        <w:ind w:right="-159"/>
        <w:jc w:val="both"/>
        <w:rPr>
          <w:rFonts w:eastAsia="Times New Roman"/>
          <w:bCs/>
          <w:sz w:val="26"/>
          <w:szCs w:val="26"/>
          <w:lang w:val="es-ES"/>
        </w:rPr>
      </w:pPr>
      <w:r>
        <w:rPr>
          <w:rFonts w:eastAsia="Times New Roman"/>
          <w:bCs/>
          <w:sz w:val="26"/>
          <w:szCs w:val="26"/>
          <w:lang w:val="es-ES"/>
        </w:rPr>
        <w:t>A continación se presentan</w:t>
      </w:r>
      <w:r w:rsidR="00176424" w:rsidRPr="00176424">
        <w:rPr>
          <w:rFonts w:eastAsia="Times New Roman"/>
          <w:bCs/>
          <w:sz w:val="26"/>
          <w:szCs w:val="26"/>
          <w:lang w:val="es-ES"/>
        </w:rPr>
        <w:t xml:space="preserve"> los rasgos más sobresalientes del documento de Fitch.</w:t>
      </w:r>
    </w:p>
    <w:p w14:paraId="0531B076" w14:textId="77777777" w:rsidR="00176424" w:rsidRPr="00176424" w:rsidRDefault="00176424" w:rsidP="00176424">
      <w:pPr>
        <w:spacing w:after="360" w:line="360" w:lineRule="auto"/>
        <w:ind w:right="-159"/>
        <w:jc w:val="both"/>
        <w:rPr>
          <w:rFonts w:eastAsia="Times New Roman"/>
          <w:b/>
          <w:bCs/>
          <w:sz w:val="26"/>
          <w:szCs w:val="26"/>
          <w:lang w:val="es-ES"/>
        </w:rPr>
      </w:pPr>
      <w:r w:rsidRPr="00176424">
        <w:rPr>
          <w:rFonts w:eastAsia="Times New Roman"/>
          <w:b/>
          <w:bCs/>
          <w:sz w:val="26"/>
          <w:szCs w:val="26"/>
          <w:lang w:val="es-ES"/>
        </w:rPr>
        <w:t>Perspectiva 2015: Bancos comerciales mexicanos</w:t>
      </w:r>
    </w:p>
    <w:p w14:paraId="5E4B4275" w14:textId="77777777" w:rsidR="00176424" w:rsidRPr="00176424" w:rsidRDefault="00176424" w:rsidP="00176424">
      <w:pPr>
        <w:spacing w:after="360" w:line="360" w:lineRule="auto"/>
        <w:ind w:right="-159"/>
        <w:jc w:val="both"/>
        <w:rPr>
          <w:rFonts w:eastAsia="Times New Roman"/>
          <w:b/>
          <w:bCs/>
          <w:sz w:val="26"/>
          <w:szCs w:val="26"/>
          <w:lang w:val="es-ES"/>
        </w:rPr>
      </w:pPr>
      <w:r w:rsidRPr="00176424">
        <w:rPr>
          <w:rFonts w:eastAsia="Times New Roman"/>
          <w:b/>
          <w:bCs/>
          <w:sz w:val="26"/>
          <w:szCs w:val="26"/>
        </w:rPr>
        <w:t>Todo es cuestión de la economía</w:t>
      </w:r>
    </w:p>
    <w:p w14:paraId="08416710" w14:textId="77777777" w:rsidR="00176424" w:rsidRPr="00176424" w:rsidRDefault="00176424" w:rsidP="00176424">
      <w:pPr>
        <w:spacing w:after="360" w:line="360" w:lineRule="auto"/>
        <w:ind w:right="-159"/>
        <w:jc w:val="both"/>
        <w:rPr>
          <w:rFonts w:eastAsia="Times New Roman"/>
          <w:bCs/>
          <w:sz w:val="26"/>
          <w:szCs w:val="26"/>
        </w:rPr>
      </w:pPr>
      <w:r w:rsidRPr="00176424">
        <w:rPr>
          <w:rFonts w:eastAsia="Times New Roman"/>
          <w:b/>
          <w:bCs/>
          <w:sz w:val="26"/>
          <w:szCs w:val="26"/>
        </w:rPr>
        <w:t xml:space="preserve">Perspectivas económicas inciertas: </w:t>
      </w:r>
      <w:r w:rsidRPr="00176424">
        <w:rPr>
          <w:rFonts w:eastAsia="Times New Roman"/>
          <w:bCs/>
          <w:sz w:val="26"/>
          <w:szCs w:val="26"/>
        </w:rPr>
        <w:t>Fitch Ratings espera que el crecimiento del PIB se acelere en 2015 a aproximadamente 3% en términos reales. Sin embargo, existen riesgos materiales, especialmente por factores globales, que podrían comprometer un crecimiento económico mayor. La caída y volatilidad de los precios del petróleo y un cambio potencial en las tasas de interés bajas por parte de la Reserva Federal de Estados Unidos de Norteamérica son riesgos claves que podrían perjudicar las perspectivas de México.</w:t>
      </w:r>
    </w:p>
    <w:p w14:paraId="501B7B25" w14:textId="77777777" w:rsidR="00176424" w:rsidRPr="00176424" w:rsidRDefault="00176424" w:rsidP="00176424">
      <w:pPr>
        <w:spacing w:after="360" w:line="360" w:lineRule="auto"/>
        <w:ind w:right="-159"/>
        <w:jc w:val="both"/>
        <w:rPr>
          <w:rFonts w:eastAsia="Times New Roman"/>
          <w:bCs/>
          <w:sz w:val="26"/>
          <w:szCs w:val="26"/>
        </w:rPr>
      </w:pPr>
      <w:r w:rsidRPr="00176424">
        <w:rPr>
          <w:rFonts w:eastAsia="Times New Roman"/>
          <w:b/>
          <w:bCs/>
          <w:sz w:val="26"/>
          <w:szCs w:val="26"/>
        </w:rPr>
        <w:t xml:space="preserve">Recuperación moderada del crecimiento de préstamos: </w:t>
      </w:r>
      <w:r w:rsidRPr="00176424">
        <w:rPr>
          <w:rFonts w:eastAsia="Times New Roman"/>
          <w:bCs/>
          <w:sz w:val="26"/>
          <w:szCs w:val="26"/>
        </w:rPr>
        <w:t>Fitch ha dicho que los bancos mexicanos podrían mantener cómodamente tasas de crecimiento nominal entre 12 y 15% por determinados años, dado el nivel bajo de intermediación financiera. Sin embargo, el crecimiento de los préstamos ha sido moderado, ante un desempeño relativamente pobre de la economía, que fue aún más lento en 2014. La agencia espera una modesta recuperación de los préstamos en 2015 (10-12% en términos nominales), pero por debajo de las perspectivas de mediano plazo.</w:t>
      </w:r>
    </w:p>
    <w:p w14:paraId="49502C55" w14:textId="77777777" w:rsidR="00176424" w:rsidRPr="00176424" w:rsidRDefault="00176424" w:rsidP="00176424">
      <w:pPr>
        <w:spacing w:after="360" w:line="360" w:lineRule="auto"/>
        <w:ind w:right="-159"/>
        <w:jc w:val="both"/>
        <w:rPr>
          <w:rFonts w:eastAsia="Times New Roman"/>
          <w:bCs/>
          <w:sz w:val="26"/>
          <w:szCs w:val="26"/>
          <w:lang w:val="es-ES"/>
        </w:rPr>
      </w:pPr>
      <w:r w:rsidRPr="00176424">
        <w:rPr>
          <w:rFonts w:eastAsia="Times New Roman"/>
          <w:b/>
          <w:bCs/>
          <w:sz w:val="26"/>
          <w:szCs w:val="26"/>
        </w:rPr>
        <w:lastRenderedPageBreak/>
        <w:t xml:space="preserve">Riesgo de tasas de interés mayores: </w:t>
      </w:r>
      <w:r w:rsidRPr="00176424">
        <w:rPr>
          <w:rFonts w:eastAsia="Times New Roman"/>
          <w:bCs/>
          <w:sz w:val="26"/>
          <w:szCs w:val="26"/>
        </w:rPr>
        <w:t>Los ingresos de los bancos mexicanos están relativamente expuestos a un entorno de tasas de interés menores porque sus balances están fondeados mayormente por depósitos. Sin embargo, el momento, ritmo y magnitud de esta tendencia son inciertos. Mientras que el efecto de mediano plazo de tasas mayores debería favorecer los ingresos y márgenes de los bancos, pudiese surgir volatilidad en el corto plazo por el efecto inmediato de la valoración de los títulos de deuda que la mayoría de los bancos (sobre todo los grandes) mantiene.</w:t>
      </w:r>
    </w:p>
    <w:p w14:paraId="23C19651" w14:textId="77777777" w:rsidR="00176424" w:rsidRPr="00176424" w:rsidRDefault="00176424" w:rsidP="00176424">
      <w:pPr>
        <w:spacing w:after="360" w:line="360" w:lineRule="auto"/>
        <w:ind w:right="-159"/>
        <w:jc w:val="both"/>
        <w:rPr>
          <w:rFonts w:eastAsia="Times New Roman"/>
          <w:bCs/>
          <w:sz w:val="26"/>
          <w:szCs w:val="26"/>
        </w:rPr>
      </w:pPr>
      <w:r w:rsidRPr="00176424">
        <w:rPr>
          <w:rFonts w:eastAsia="Times New Roman"/>
          <w:b/>
          <w:bCs/>
          <w:sz w:val="26"/>
          <w:szCs w:val="26"/>
        </w:rPr>
        <w:t xml:space="preserve">Mejora ligera de la calidad de activos: </w:t>
      </w:r>
      <w:r w:rsidRPr="00176424">
        <w:rPr>
          <w:rFonts w:eastAsia="Times New Roman"/>
          <w:bCs/>
          <w:sz w:val="26"/>
          <w:szCs w:val="26"/>
        </w:rPr>
        <w:t>Mientras que el índice de cartera vencida tendió a estabilizarse en 2014, ocurrió lo contrario con las provisiones y castigos. Positivamente, el impacto más fuerte de la exposición a los constructores de vivienda que incumplieron ya fue absorbido. Por lo tanto, Fitch cree que los castigos y provisiones alcanzaron su pico hacia finales de 2014. Estas métricas deberían disminuir gradualmente, al asumir que no habrá un deterioro mayor de la economía. El escenario base de Fitch para la calidad crediticia es que la mayoría de las métricas se estabilice cerca de los niveles actuales, con potencial de mejora en los cargos por provisiones.</w:t>
      </w:r>
    </w:p>
    <w:p w14:paraId="54B0684F" w14:textId="77777777" w:rsidR="00176424" w:rsidRPr="00176424" w:rsidRDefault="00176424" w:rsidP="00176424">
      <w:pPr>
        <w:spacing w:after="360" w:line="360" w:lineRule="auto"/>
        <w:ind w:right="-159"/>
        <w:jc w:val="both"/>
        <w:rPr>
          <w:rFonts w:eastAsia="Times New Roman"/>
          <w:bCs/>
          <w:sz w:val="26"/>
          <w:szCs w:val="26"/>
          <w:lang w:val="es-ES"/>
        </w:rPr>
      </w:pPr>
      <w:r w:rsidRPr="00176424">
        <w:rPr>
          <w:rFonts w:eastAsia="Times New Roman"/>
          <w:b/>
          <w:bCs/>
          <w:sz w:val="26"/>
          <w:szCs w:val="26"/>
        </w:rPr>
        <w:t xml:space="preserve">Desafíos moderados en capital y liquidez: </w:t>
      </w:r>
      <w:r w:rsidRPr="00176424">
        <w:rPr>
          <w:rFonts w:eastAsia="Times New Roman"/>
          <w:bCs/>
          <w:sz w:val="26"/>
          <w:szCs w:val="26"/>
        </w:rPr>
        <w:t>El crecimiento moderado de los préstamos en años recientes ha impulsado la estabilidad del capital y liquidez. Sin embargo, Fitch espera que ambos enfrenten retos en 2015 y posteriormente, por la confluencia de préstamos ligeramente mayores, ingresos potencialmente menores y la adopción de normas más estrictas alineadas a los estándares de liquidez de Basilea III. La agencia anticipa una dependencia creciente de fuentes de fondeo de plazos mayores y no provenientes de depósitos y, por lo tanto, un deterioro sostenido y gradual del indicador de préstamos sobre depósitos en los próximos años.</w:t>
      </w:r>
    </w:p>
    <w:p w14:paraId="0E9E7219" w14:textId="77777777" w:rsidR="00176424" w:rsidRPr="00176424" w:rsidRDefault="00176424" w:rsidP="00176424">
      <w:pPr>
        <w:spacing w:after="360" w:line="360" w:lineRule="auto"/>
        <w:ind w:right="-159"/>
        <w:jc w:val="center"/>
        <w:rPr>
          <w:rFonts w:eastAsia="Times New Roman"/>
          <w:bCs/>
          <w:sz w:val="26"/>
          <w:szCs w:val="26"/>
          <w:lang w:val="es-ES"/>
        </w:rPr>
      </w:pPr>
      <w:r w:rsidRPr="00176424">
        <w:rPr>
          <w:rFonts w:ascii="Arial" w:eastAsia="Times New Roman" w:hAnsi="Arial" w:cs="Arial"/>
          <w:noProof/>
          <w:sz w:val="18"/>
          <w:szCs w:val="20"/>
          <w:lang w:eastAsia="es-MX"/>
        </w:rPr>
        <w:lastRenderedPageBreak/>
        <w:drawing>
          <wp:inline distT="0" distB="0" distL="0" distR="0" wp14:anchorId="515C4F2F" wp14:editId="5D569E6E">
            <wp:extent cx="4559300" cy="2393452"/>
            <wp:effectExtent l="0" t="0" r="0" b="698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48" cstate="print">
                      <a:extLst>
                        <a:ext uri="{28A0092B-C50C-407E-A947-70E740481C1C}">
                          <a14:useLocalDpi xmlns:a14="http://schemas.microsoft.com/office/drawing/2010/main" val="0"/>
                        </a:ext>
                      </a:extLst>
                    </a:blip>
                    <a:srcRect b="30225"/>
                    <a:stretch/>
                  </pic:blipFill>
                  <pic:spPr bwMode="auto">
                    <a:xfrm>
                      <a:off x="0" y="0"/>
                      <a:ext cx="4559300" cy="2393452"/>
                    </a:xfrm>
                    <a:prstGeom prst="rect">
                      <a:avLst/>
                    </a:prstGeom>
                    <a:noFill/>
                    <a:ln>
                      <a:noFill/>
                    </a:ln>
                    <a:extLst>
                      <a:ext uri="{53640926-AAD7-44D8-BBD7-CCE9431645EC}">
                        <a14:shadowObscured xmlns:a14="http://schemas.microsoft.com/office/drawing/2010/main"/>
                      </a:ext>
                    </a:extLst>
                  </pic:spPr>
                </pic:pic>
              </a:graphicData>
            </a:graphic>
          </wp:inline>
        </w:drawing>
      </w:r>
    </w:p>
    <w:p w14:paraId="6F8BE2ED" w14:textId="77777777" w:rsidR="00176424" w:rsidRPr="00176424" w:rsidRDefault="00176424" w:rsidP="00176424">
      <w:pPr>
        <w:spacing w:after="360" w:line="360" w:lineRule="auto"/>
        <w:ind w:right="-159"/>
        <w:jc w:val="center"/>
        <w:rPr>
          <w:rFonts w:eastAsia="Times New Roman"/>
          <w:bCs/>
          <w:sz w:val="26"/>
          <w:szCs w:val="26"/>
          <w:lang w:val="es-ES"/>
        </w:rPr>
      </w:pPr>
      <w:r w:rsidRPr="00176424">
        <w:rPr>
          <w:rFonts w:ascii="Arial" w:eastAsia="Times New Roman" w:hAnsi="Arial" w:cs="Arial"/>
          <w:noProof/>
          <w:sz w:val="18"/>
          <w:szCs w:val="20"/>
          <w:lang w:eastAsia="es-MX"/>
        </w:rPr>
        <w:drawing>
          <wp:inline distT="0" distB="0" distL="0" distR="0" wp14:anchorId="5F08D26D" wp14:editId="707D9216">
            <wp:extent cx="4559300" cy="1597040"/>
            <wp:effectExtent l="0" t="0" r="0" b="317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49" cstate="print">
                      <a:extLst>
                        <a:ext uri="{28A0092B-C50C-407E-A947-70E740481C1C}">
                          <a14:useLocalDpi xmlns:a14="http://schemas.microsoft.com/office/drawing/2010/main" val="0"/>
                        </a:ext>
                      </a:extLst>
                    </a:blip>
                    <a:srcRect b="53443"/>
                    <a:stretch/>
                  </pic:blipFill>
                  <pic:spPr bwMode="auto">
                    <a:xfrm>
                      <a:off x="0" y="0"/>
                      <a:ext cx="4559300" cy="1597040"/>
                    </a:xfrm>
                    <a:prstGeom prst="rect">
                      <a:avLst/>
                    </a:prstGeom>
                    <a:noFill/>
                    <a:ln>
                      <a:noFill/>
                    </a:ln>
                    <a:extLst>
                      <a:ext uri="{53640926-AAD7-44D8-BBD7-CCE9431645EC}">
                        <a14:shadowObscured xmlns:a14="http://schemas.microsoft.com/office/drawing/2010/main"/>
                      </a:ext>
                    </a:extLst>
                  </pic:spPr>
                </pic:pic>
              </a:graphicData>
            </a:graphic>
          </wp:inline>
        </w:drawing>
      </w:r>
    </w:p>
    <w:p w14:paraId="648D80A0" w14:textId="77777777" w:rsidR="00176424" w:rsidRPr="00176424" w:rsidRDefault="00176424" w:rsidP="00176424">
      <w:pPr>
        <w:spacing w:after="360" w:line="360" w:lineRule="auto"/>
        <w:ind w:right="-159"/>
        <w:jc w:val="both"/>
        <w:rPr>
          <w:rFonts w:eastAsia="Times New Roman"/>
          <w:b/>
          <w:bCs/>
          <w:sz w:val="26"/>
          <w:szCs w:val="26"/>
          <w:lang w:val="es-ES"/>
        </w:rPr>
      </w:pPr>
      <w:r w:rsidRPr="00176424">
        <w:rPr>
          <w:rFonts w:eastAsia="Times New Roman"/>
          <w:b/>
          <w:bCs/>
          <w:sz w:val="26"/>
          <w:szCs w:val="26"/>
          <w:lang w:val="es-ES"/>
        </w:rPr>
        <w:t>Sensibilidades de la perspectiva</w:t>
      </w:r>
    </w:p>
    <w:p w14:paraId="238C74EF" w14:textId="77777777" w:rsidR="00176424" w:rsidRPr="00176424" w:rsidRDefault="00176424" w:rsidP="00176424">
      <w:pPr>
        <w:spacing w:after="360" w:line="360" w:lineRule="auto"/>
        <w:ind w:right="-159"/>
        <w:jc w:val="both"/>
        <w:rPr>
          <w:rFonts w:eastAsia="Times New Roman"/>
          <w:bCs/>
          <w:sz w:val="26"/>
          <w:szCs w:val="26"/>
          <w:lang w:val="es-ES"/>
        </w:rPr>
      </w:pPr>
      <w:r w:rsidRPr="00176424">
        <w:rPr>
          <w:rFonts w:eastAsia="Times New Roman"/>
          <w:b/>
          <w:bCs/>
          <w:sz w:val="26"/>
          <w:szCs w:val="26"/>
          <w:lang w:val="es-ES"/>
        </w:rPr>
        <w:t>Potencial de mejora limitado</w:t>
      </w:r>
      <w:r w:rsidRPr="00176424">
        <w:rPr>
          <w:rFonts w:eastAsia="Times New Roman"/>
          <w:bCs/>
          <w:sz w:val="26"/>
          <w:szCs w:val="26"/>
          <w:lang w:val="es-ES"/>
        </w:rPr>
        <w:t>: Fitch considera que existe poca posibilidad de revisar las calificaciones o perspectiva de los bancos mexicanos a positiva, dada una recuperación económica moderada que se espera y los riesgos que se desarrollan en el entorno global. Sin embargo, recalca que varios bancos tienen potencial de mejora, especialmente los que tienen una perspectiva positiva y que sean capaces de continuar fortaleciendo sus perfiles crediticios.</w:t>
      </w:r>
    </w:p>
    <w:p w14:paraId="5E6EC37F" w14:textId="77777777" w:rsidR="00176424" w:rsidRPr="00176424" w:rsidRDefault="00176424" w:rsidP="00176424">
      <w:pPr>
        <w:spacing w:after="360" w:line="360" w:lineRule="auto"/>
        <w:ind w:right="-159"/>
        <w:jc w:val="both"/>
        <w:rPr>
          <w:rFonts w:eastAsia="Times New Roman"/>
          <w:bCs/>
          <w:sz w:val="26"/>
          <w:szCs w:val="26"/>
          <w:lang w:val="es-ES"/>
        </w:rPr>
      </w:pPr>
      <w:r w:rsidRPr="00176424">
        <w:rPr>
          <w:rFonts w:eastAsia="Times New Roman"/>
          <w:b/>
          <w:bCs/>
          <w:sz w:val="26"/>
          <w:szCs w:val="26"/>
          <w:lang w:val="es-ES"/>
        </w:rPr>
        <w:t>Deterioro de la perspectiva de la economía</w:t>
      </w:r>
      <w:r w:rsidRPr="00176424">
        <w:rPr>
          <w:rFonts w:eastAsia="Times New Roman"/>
          <w:bCs/>
          <w:sz w:val="26"/>
          <w:szCs w:val="26"/>
          <w:lang w:val="es-ES"/>
        </w:rPr>
        <w:t>: Fitch también considera poco probable revisar la calificación o la perspectiva del sector a negativa, dado que ello se vincularía con un deterioro del entorno operativo que debilitase materialmente la liquidez y el capital, además de la calidad crediticia y los ingresos.</w:t>
      </w:r>
    </w:p>
    <w:p w14:paraId="5A4ED4B3" w14:textId="77777777" w:rsidR="00176424" w:rsidRPr="00176424" w:rsidRDefault="00176424" w:rsidP="00176424">
      <w:pPr>
        <w:spacing w:after="360" w:line="360" w:lineRule="auto"/>
        <w:ind w:right="-159"/>
        <w:jc w:val="both"/>
        <w:rPr>
          <w:rFonts w:eastAsia="Times New Roman"/>
          <w:b/>
          <w:bCs/>
          <w:sz w:val="26"/>
          <w:szCs w:val="26"/>
          <w:lang w:val="es-ES"/>
        </w:rPr>
      </w:pPr>
      <w:r w:rsidRPr="00176424">
        <w:rPr>
          <w:rFonts w:eastAsia="Times New Roman"/>
          <w:b/>
          <w:bCs/>
          <w:sz w:val="26"/>
          <w:szCs w:val="26"/>
          <w:lang w:val="es-ES"/>
        </w:rPr>
        <w:lastRenderedPageBreak/>
        <w:t>Resumen de la perspectiva</w:t>
      </w:r>
    </w:p>
    <w:p w14:paraId="1D42B0A5" w14:textId="77777777" w:rsidR="00176424" w:rsidRPr="00176424" w:rsidRDefault="00176424" w:rsidP="00176424">
      <w:pPr>
        <w:spacing w:after="360" w:line="360" w:lineRule="auto"/>
        <w:ind w:right="-159"/>
        <w:jc w:val="both"/>
        <w:rPr>
          <w:rFonts w:eastAsia="Times New Roman"/>
          <w:bCs/>
          <w:sz w:val="26"/>
          <w:szCs w:val="26"/>
          <w:lang w:val="es-ES"/>
        </w:rPr>
      </w:pPr>
      <w:r w:rsidRPr="00176424">
        <w:rPr>
          <w:rFonts w:eastAsia="Times New Roman"/>
          <w:bCs/>
          <w:sz w:val="26"/>
          <w:szCs w:val="26"/>
          <w:lang w:val="es-ES"/>
        </w:rPr>
        <w:t>El sector de bancos mexicanos mantiene una perspectiva “estable”. Fitch considera poco probable una revisión de la perspectiva de la industria durante 2015.</w:t>
      </w:r>
    </w:p>
    <w:tbl>
      <w:tblPr>
        <w:tblW w:w="893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3130"/>
        <w:gridCol w:w="1333"/>
        <w:gridCol w:w="1411"/>
        <w:gridCol w:w="1500"/>
        <w:gridCol w:w="1559"/>
      </w:tblGrid>
      <w:tr w:rsidR="00176424" w:rsidRPr="00176424" w14:paraId="11226D77" w14:textId="77777777" w:rsidTr="00DA1492">
        <w:trPr>
          <w:jc w:val="center"/>
        </w:trPr>
        <w:tc>
          <w:tcPr>
            <w:tcW w:w="8933" w:type="dxa"/>
            <w:gridSpan w:val="5"/>
            <w:tcBorders>
              <w:top w:val="nil"/>
              <w:left w:val="nil"/>
              <w:right w:val="nil"/>
            </w:tcBorders>
          </w:tcPr>
          <w:p w14:paraId="1FCD7FD6" w14:textId="77777777" w:rsidR="00176424" w:rsidRPr="00176424" w:rsidRDefault="00176424" w:rsidP="00176424">
            <w:pPr>
              <w:jc w:val="center"/>
              <w:rPr>
                <w:rFonts w:eastAsia="Times New Roman"/>
                <w:b/>
                <w:bCs/>
                <w:sz w:val="22"/>
                <w:szCs w:val="22"/>
                <w:lang w:val="es-ES"/>
              </w:rPr>
            </w:pPr>
            <w:r w:rsidRPr="00176424">
              <w:rPr>
                <w:rFonts w:eastAsia="Times New Roman"/>
                <w:b/>
                <w:bCs/>
                <w:sz w:val="22"/>
                <w:szCs w:val="22"/>
                <w:lang w:val="es-ES"/>
              </w:rPr>
              <w:t>EXPECTATIVAS DE FITCH PARA 2015: BANCOS MEXICANOS</w:t>
            </w:r>
          </w:p>
          <w:p w14:paraId="29ADF1CF" w14:textId="77777777" w:rsidR="00176424" w:rsidRPr="00176424" w:rsidRDefault="00176424" w:rsidP="00176424">
            <w:pPr>
              <w:jc w:val="center"/>
              <w:rPr>
                <w:rFonts w:eastAsia="Times New Roman"/>
                <w:bCs/>
                <w:sz w:val="22"/>
                <w:szCs w:val="22"/>
                <w:lang w:val="es-ES"/>
              </w:rPr>
            </w:pPr>
          </w:p>
        </w:tc>
      </w:tr>
      <w:tr w:rsidR="00176424" w:rsidRPr="000C7043" w14:paraId="0BB3F83C" w14:textId="77777777" w:rsidTr="000C7043">
        <w:trPr>
          <w:jc w:val="center"/>
        </w:trPr>
        <w:tc>
          <w:tcPr>
            <w:tcW w:w="3130" w:type="dxa"/>
            <w:vAlign w:val="center"/>
          </w:tcPr>
          <w:p w14:paraId="70CE2AD8" w14:textId="77777777" w:rsidR="00176424" w:rsidRPr="000C7043" w:rsidRDefault="00176424" w:rsidP="00176424">
            <w:pPr>
              <w:jc w:val="center"/>
              <w:rPr>
                <w:rFonts w:eastAsia="Times New Roman"/>
                <w:b/>
                <w:bCs/>
                <w:sz w:val="20"/>
                <w:szCs w:val="20"/>
                <w:lang w:val="es-ES"/>
              </w:rPr>
            </w:pPr>
            <w:r w:rsidRPr="000C7043">
              <w:rPr>
                <w:rFonts w:eastAsia="Times New Roman"/>
                <w:b/>
                <w:bCs/>
                <w:sz w:val="20"/>
                <w:szCs w:val="20"/>
                <w:lang w:val="es-ES"/>
              </w:rPr>
              <w:t>Concepto</w:t>
            </w:r>
          </w:p>
        </w:tc>
        <w:tc>
          <w:tcPr>
            <w:tcW w:w="1333" w:type="dxa"/>
            <w:vAlign w:val="center"/>
          </w:tcPr>
          <w:p w14:paraId="304E9EA6" w14:textId="77777777" w:rsidR="00176424" w:rsidRPr="000C7043" w:rsidRDefault="00176424" w:rsidP="00176424">
            <w:pPr>
              <w:jc w:val="center"/>
              <w:rPr>
                <w:rFonts w:eastAsia="Times New Roman"/>
                <w:b/>
                <w:bCs/>
                <w:sz w:val="20"/>
                <w:szCs w:val="20"/>
                <w:lang w:val="es-ES"/>
              </w:rPr>
            </w:pPr>
            <w:r w:rsidRPr="000C7043">
              <w:rPr>
                <w:rFonts w:eastAsia="Times New Roman"/>
                <w:b/>
                <w:bCs/>
                <w:sz w:val="20"/>
                <w:szCs w:val="20"/>
                <w:lang w:val="es-ES"/>
              </w:rPr>
              <w:t>Calidad de activos</w:t>
            </w:r>
          </w:p>
        </w:tc>
        <w:tc>
          <w:tcPr>
            <w:tcW w:w="1411" w:type="dxa"/>
            <w:vAlign w:val="center"/>
          </w:tcPr>
          <w:p w14:paraId="53291BA6" w14:textId="77777777" w:rsidR="00176424" w:rsidRPr="000C7043" w:rsidRDefault="00176424" w:rsidP="00176424">
            <w:pPr>
              <w:jc w:val="center"/>
              <w:rPr>
                <w:rFonts w:eastAsia="Times New Roman"/>
                <w:b/>
                <w:bCs/>
                <w:sz w:val="20"/>
                <w:szCs w:val="20"/>
                <w:lang w:val="es-ES"/>
              </w:rPr>
            </w:pPr>
            <w:r w:rsidRPr="000C7043">
              <w:rPr>
                <w:rFonts w:eastAsia="Times New Roman"/>
                <w:b/>
                <w:bCs/>
                <w:sz w:val="20"/>
                <w:szCs w:val="20"/>
                <w:lang w:val="es-ES"/>
              </w:rPr>
              <w:t>Rentabilidad</w:t>
            </w:r>
          </w:p>
        </w:tc>
        <w:tc>
          <w:tcPr>
            <w:tcW w:w="1500" w:type="dxa"/>
            <w:vAlign w:val="center"/>
          </w:tcPr>
          <w:p w14:paraId="6B1684DF" w14:textId="77777777" w:rsidR="00176424" w:rsidRPr="000C7043" w:rsidRDefault="00176424" w:rsidP="00176424">
            <w:pPr>
              <w:jc w:val="center"/>
              <w:rPr>
                <w:rFonts w:eastAsia="Times New Roman"/>
                <w:b/>
                <w:bCs/>
                <w:sz w:val="20"/>
                <w:szCs w:val="20"/>
                <w:lang w:val="es-ES"/>
              </w:rPr>
            </w:pPr>
            <w:r w:rsidRPr="000C7043">
              <w:rPr>
                <w:rFonts w:eastAsia="Times New Roman"/>
                <w:b/>
                <w:bCs/>
                <w:sz w:val="20"/>
                <w:szCs w:val="20"/>
                <w:lang w:val="es-ES"/>
              </w:rPr>
              <w:t>Capitalización</w:t>
            </w:r>
          </w:p>
        </w:tc>
        <w:tc>
          <w:tcPr>
            <w:tcW w:w="1559" w:type="dxa"/>
            <w:vAlign w:val="center"/>
          </w:tcPr>
          <w:p w14:paraId="59F4497C" w14:textId="77777777" w:rsidR="00176424" w:rsidRPr="000C7043" w:rsidRDefault="00176424" w:rsidP="00176424">
            <w:pPr>
              <w:jc w:val="center"/>
              <w:rPr>
                <w:rFonts w:eastAsia="Times New Roman"/>
                <w:b/>
                <w:bCs/>
                <w:sz w:val="20"/>
                <w:szCs w:val="20"/>
                <w:lang w:val="es-ES"/>
              </w:rPr>
            </w:pPr>
            <w:r w:rsidRPr="000C7043">
              <w:rPr>
                <w:rFonts w:eastAsia="Times New Roman"/>
                <w:b/>
                <w:bCs/>
                <w:sz w:val="20"/>
                <w:szCs w:val="20"/>
                <w:lang w:val="es-ES"/>
              </w:rPr>
              <w:t>Fondeo y liquidez</w:t>
            </w:r>
          </w:p>
        </w:tc>
      </w:tr>
      <w:tr w:rsidR="00176424" w:rsidRPr="00176424" w14:paraId="0230D260" w14:textId="77777777" w:rsidTr="000C7043">
        <w:trPr>
          <w:jc w:val="center"/>
        </w:trPr>
        <w:tc>
          <w:tcPr>
            <w:tcW w:w="3130" w:type="dxa"/>
            <w:tcBorders>
              <w:bottom w:val="nil"/>
            </w:tcBorders>
          </w:tcPr>
          <w:p w14:paraId="1246D5A4" w14:textId="77777777" w:rsidR="00176424" w:rsidRPr="00176424" w:rsidRDefault="00176424" w:rsidP="00176424">
            <w:pPr>
              <w:jc w:val="both"/>
              <w:rPr>
                <w:rFonts w:eastAsia="Times New Roman"/>
                <w:bCs/>
                <w:sz w:val="20"/>
                <w:szCs w:val="20"/>
                <w:lang w:val="es-ES"/>
              </w:rPr>
            </w:pPr>
            <w:r w:rsidRPr="00176424">
              <w:rPr>
                <w:rFonts w:eastAsia="Times New Roman"/>
                <w:bCs/>
                <w:sz w:val="20"/>
                <w:szCs w:val="20"/>
                <w:lang w:val="es-ES"/>
              </w:rPr>
              <w:t>Grandes bancos universales</w:t>
            </w:r>
          </w:p>
        </w:tc>
        <w:tc>
          <w:tcPr>
            <w:tcW w:w="1333" w:type="dxa"/>
            <w:tcBorders>
              <w:bottom w:val="nil"/>
            </w:tcBorders>
          </w:tcPr>
          <w:p w14:paraId="427E9EC3" w14:textId="77777777" w:rsidR="00176424" w:rsidRPr="00176424" w:rsidRDefault="00176424" w:rsidP="00176424">
            <w:pPr>
              <w:jc w:val="center"/>
              <w:rPr>
                <w:rFonts w:eastAsia="Times New Roman"/>
                <w:bCs/>
                <w:sz w:val="22"/>
                <w:szCs w:val="22"/>
                <w:lang w:val="es-ES"/>
              </w:rPr>
            </w:pPr>
            <w:r w:rsidRPr="00176424">
              <w:rPr>
                <w:rFonts w:ascii="Cambria Math" w:eastAsia="Times New Roman" w:hAnsi="Cambria Math" w:cs="Cambria Math"/>
                <w:bCs/>
                <w:sz w:val="22"/>
                <w:szCs w:val="22"/>
                <w:lang w:val="es-ES"/>
              </w:rPr>
              <w:t>↗</w:t>
            </w:r>
          </w:p>
        </w:tc>
        <w:tc>
          <w:tcPr>
            <w:tcW w:w="1411" w:type="dxa"/>
            <w:tcBorders>
              <w:bottom w:val="nil"/>
            </w:tcBorders>
          </w:tcPr>
          <w:p w14:paraId="0E9D82CC" w14:textId="77777777" w:rsidR="00176424" w:rsidRPr="00176424" w:rsidRDefault="00176424" w:rsidP="00176424">
            <w:pPr>
              <w:jc w:val="center"/>
              <w:rPr>
                <w:rFonts w:eastAsia="Times New Roman"/>
                <w:bCs/>
                <w:sz w:val="22"/>
                <w:szCs w:val="22"/>
                <w:lang w:val="es-ES"/>
              </w:rPr>
            </w:pPr>
            <w:r w:rsidRPr="00176424">
              <w:rPr>
                <w:rFonts w:ascii="Cambria Math" w:eastAsia="Times New Roman" w:hAnsi="Cambria Math" w:cs="Cambria Math"/>
                <w:bCs/>
                <w:sz w:val="22"/>
                <w:szCs w:val="22"/>
                <w:lang w:val="es-ES"/>
              </w:rPr>
              <w:t>↗</w:t>
            </w:r>
          </w:p>
        </w:tc>
        <w:tc>
          <w:tcPr>
            <w:tcW w:w="1500" w:type="dxa"/>
            <w:tcBorders>
              <w:bottom w:val="nil"/>
            </w:tcBorders>
          </w:tcPr>
          <w:p w14:paraId="4BAF8B6C" w14:textId="77777777" w:rsidR="00176424" w:rsidRPr="00176424" w:rsidRDefault="00176424" w:rsidP="00176424">
            <w:pPr>
              <w:jc w:val="center"/>
              <w:rPr>
                <w:rFonts w:eastAsia="Times New Roman"/>
                <w:bCs/>
                <w:sz w:val="22"/>
                <w:szCs w:val="22"/>
                <w:lang w:val="es-ES"/>
              </w:rPr>
            </w:pPr>
            <w:r w:rsidRPr="00176424">
              <w:rPr>
                <w:rFonts w:eastAsia="Times New Roman"/>
                <w:bCs/>
                <w:sz w:val="22"/>
                <w:szCs w:val="22"/>
                <w:lang w:val="es-ES"/>
              </w:rPr>
              <w:t>↔</w:t>
            </w:r>
          </w:p>
        </w:tc>
        <w:tc>
          <w:tcPr>
            <w:tcW w:w="1559" w:type="dxa"/>
            <w:tcBorders>
              <w:bottom w:val="nil"/>
            </w:tcBorders>
          </w:tcPr>
          <w:p w14:paraId="28849ABB" w14:textId="77777777" w:rsidR="00176424" w:rsidRPr="00176424" w:rsidRDefault="00176424" w:rsidP="00176424">
            <w:pPr>
              <w:jc w:val="center"/>
              <w:rPr>
                <w:rFonts w:eastAsia="Times New Roman"/>
                <w:bCs/>
                <w:sz w:val="22"/>
                <w:szCs w:val="22"/>
                <w:lang w:val="es-ES"/>
              </w:rPr>
            </w:pPr>
            <w:r w:rsidRPr="00176424">
              <w:rPr>
                <w:rFonts w:ascii="Cambria Math" w:eastAsia="Times New Roman" w:hAnsi="Cambria Math" w:cs="Cambria Math"/>
                <w:bCs/>
                <w:sz w:val="22"/>
                <w:szCs w:val="22"/>
                <w:lang w:val="es-ES"/>
              </w:rPr>
              <w:t>↘</w:t>
            </w:r>
          </w:p>
        </w:tc>
      </w:tr>
      <w:tr w:rsidR="00176424" w:rsidRPr="00176424" w14:paraId="0C56FE1C" w14:textId="77777777" w:rsidTr="000C7043">
        <w:trPr>
          <w:jc w:val="center"/>
        </w:trPr>
        <w:tc>
          <w:tcPr>
            <w:tcW w:w="3130" w:type="dxa"/>
            <w:tcBorders>
              <w:top w:val="nil"/>
              <w:bottom w:val="nil"/>
            </w:tcBorders>
          </w:tcPr>
          <w:p w14:paraId="26036992" w14:textId="77777777" w:rsidR="00176424" w:rsidRPr="00176424" w:rsidRDefault="00176424" w:rsidP="00176424">
            <w:pPr>
              <w:jc w:val="both"/>
              <w:rPr>
                <w:rFonts w:eastAsia="Times New Roman"/>
                <w:bCs/>
                <w:sz w:val="20"/>
                <w:szCs w:val="20"/>
                <w:lang w:val="es-ES"/>
              </w:rPr>
            </w:pPr>
            <w:r w:rsidRPr="00176424">
              <w:rPr>
                <w:rFonts w:eastAsia="Times New Roman"/>
                <w:bCs/>
                <w:sz w:val="20"/>
                <w:szCs w:val="20"/>
                <w:lang w:val="es-ES"/>
              </w:rPr>
              <w:t>Bancos medianos diversificados</w:t>
            </w:r>
          </w:p>
        </w:tc>
        <w:tc>
          <w:tcPr>
            <w:tcW w:w="1333" w:type="dxa"/>
            <w:tcBorders>
              <w:top w:val="nil"/>
              <w:bottom w:val="nil"/>
            </w:tcBorders>
            <w:vAlign w:val="center"/>
          </w:tcPr>
          <w:p w14:paraId="6BF5BE76" w14:textId="77777777" w:rsidR="00176424" w:rsidRPr="00176424" w:rsidRDefault="00176424" w:rsidP="00176424">
            <w:pPr>
              <w:jc w:val="center"/>
              <w:rPr>
                <w:rFonts w:eastAsia="Times New Roman"/>
                <w:bCs/>
                <w:sz w:val="22"/>
                <w:szCs w:val="22"/>
                <w:lang w:val="es-ES"/>
              </w:rPr>
            </w:pPr>
            <w:r w:rsidRPr="00176424">
              <w:rPr>
                <w:rFonts w:ascii="Cambria Math" w:eastAsia="Times New Roman" w:hAnsi="Cambria Math" w:cs="Cambria Math"/>
                <w:bCs/>
                <w:sz w:val="22"/>
                <w:szCs w:val="22"/>
                <w:lang w:val="es-ES"/>
              </w:rPr>
              <w:t>↗</w:t>
            </w:r>
          </w:p>
        </w:tc>
        <w:tc>
          <w:tcPr>
            <w:tcW w:w="1411" w:type="dxa"/>
            <w:tcBorders>
              <w:top w:val="nil"/>
              <w:bottom w:val="nil"/>
            </w:tcBorders>
            <w:vAlign w:val="center"/>
          </w:tcPr>
          <w:p w14:paraId="4D989D18" w14:textId="77777777" w:rsidR="00176424" w:rsidRPr="00176424" w:rsidRDefault="00176424" w:rsidP="00176424">
            <w:pPr>
              <w:jc w:val="center"/>
              <w:rPr>
                <w:rFonts w:eastAsia="Times New Roman"/>
                <w:bCs/>
                <w:sz w:val="22"/>
                <w:szCs w:val="22"/>
                <w:lang w:val="es-ES"/>
              </w:rPr>
            </w:pPr>
            <w:r w:rsidRPr="00176424">
              <w:rPr>
                <w:rFonts w:eastAsia="Times New Roman"/>
                <w:bCs/>
                <w:sz w:val="22"/>
                <w:szCs w:val="22"/>
                <w:lang w:val="es-ES"/>
              </w:rPr>
              <w:t>↔</w:t>
            </w:r>
          </w:p>
        </w:tc>
        <w:tc>
          <w:tcPr>
            <w:tcW w:w="1500" w:type="dxa"/>
            <w:tcBorders>
              <w:top w:val="nil"/>
              <w:bottom w:val="nil"/>
            </w:tcBorders>
            <w:vAlign w:val="center"/>
          </w:tcPr>
          <w:p w14:paraId="72CF6EAB" w14:textId="77777777" w:rsidR="00176424" w:rsidRPr="00176424" w:rsidRDefault="00176424" w:rsidP="00176424">
            <w:pPr>
              <w:jc w:val="center"/>
              <w:rPr>
                <w:rFonts w:eastAsia="Times New Roman"/>
                <w:bCs/>
                <w:sz w:val="22"/>
                <w:szCs w:val="22"/>
                <w:lang w:val="es-ES"/>
              </w:rPr>
            </w:pPr>
            <w:r w:rsidRPr="00176424">
              <w:rPr>
                <w:rFonts w:ascii="Cambria Math" w:eastAsia="Times New Roman" w:hAnsi="Cambria Math" w:cs="Cambria Math"/>
                <w:bCs/>
                <w:sz w:val="22"/>
                <w:szCs w:val="22"/>
                <w:lang w:val="es-ES"/>
              </w:rPr>
              <w:t>↘</w:t>
            </w:r>
          </w:p>
        </w:tc>
        <w:tc>
          <w:tcPr>
            <w:tcW w:w="1559" w:type="dxa"/>
            <w:tcBorders>
              <w:top w:val="nil"/>
              <w:bottom w:val="nil"/>
            </w:tcBorders>
            <w:vAlign w:val="center"/>
          </w:tcPr>
          <w:p w14:paraId="1AD584DE" w14:textId="77777777" w:rsidR="00176424" w:rsidRPr="00176424" w:rsidRDefault="00176424" w:rsidP="00176424">
            <w:pPr>
              <w:jc w:val="center"/>
              <w:rPr>
                <w:rFonts w:eastAsia="Times New Roman"/>
                <w:bCs/>
                <w:sz w:val="22"/>
                <w:szCs w:val="22"/>
                <w:lang w:val="es-ES"/>
              </w:rPr>
            </w:pPr>
            <w:r w:rsidRPr="00176424">
              <w:rPr>
                <w:rFonts w:ascii="Cambria Math" w:eastAsia="Times New Roman" w:hAnsi="Cambria Math" w:cs="Cambria Math"/>
                <w:bCs/>
                <w:sz w:val="22"/>
                <w:szCs w:val="22"/>
                <w:lang w:val="es-ES"/>
              </w:rPr>
              <w:t>↘</w:t>
            </w:r>
          </w:p>
        </w:tc>
      </w:tr>
      <w:tr w:rsidR="00176424" w:rsidRPr="00176424" w14:paraId="450DA799" w14:textId="77777777" w:rsidTr="000C7043">
        <w:trPr>
          <w:jc w:val="center"/>
        </w:trPr>
        <w:tc>
          <w:tcPr>
            <w:tcW w:w="3130" w:type="dxa"/>
            <w:tcBorders>
              <w:top w:val="nil"/>
              <w:bottom w:val="nil"/>
            </w:tcBorders>
          </w:tcPr>
          <w:p w14:paraId="005F3A43" w14:textId="77777777" w:rsidR="00176424" w:rsidRPr="00176424" w:rsidRDefault="00176424" w:rsidP="00176424">
            <w:pPr>
              <w:jc w:val="both"/>
              <w:rPr>
                <w:rFonts w:eastAsia="Times New Roman"/>
                <w:bCs/>
                <w:sz w:val="20"/>
                <w:szCs w:val="20"/>
                <w:lang w:val="es-ES"/>
              </w:rPr>
            </w:pPr>
            <w:r w:rsidRPr="00176424">
              <w:rPr>
                <w:rFonts w:eastAsia="Times New Roman"/>
                <w:bCs/>
                <w:sz w:val="20"/>
                <w:szCs w:val="20"/>
                <w:lang w:val="es-ES"/>
              </w:rPr>
              <w:t>Bancos de nicho orientados a consumo</w:t>
            </w:r>
          </w:p>
        </w:tc>
        <w:tc>
          <w:tcPr>
            <w:tcW w:w="1333" w:type="dxa"/>
            <w:tcBorders>
              <w:top w:val="nil"/>
              <w:bottom w:val="nil"/>
            </w:tcBorders>
            <w:vAlign w:val="center"/>
          </w:tcPr>
          <w:p w14:paraId="604AD7C2" w14:textId="77777777" w:rsidR="00176424" w:rsidRPr="00176424" w:rsidRDefault="00176424" w:rsidP="00176424">
            <w:pPr>
              <w:jc w:val="center"/>
              <w:rPr>
                <w:rFonts w:eastAsia="Times New Roman"/>
                <w:bCs/>
                <w:sz w:val="22"/>
                <w:szCs w:val="22"/>
                <w:lang w:val="es-ES"/>
              </w:rPr>
            </w:pPr>
            <w:r w:rsidRPr="00176424">
              <w:rPr>
                <w:rFonts w:eastAsia="Times New Roman"/>
                <w:bCs/>
                <w:sz w:val="22"/>
                <w:szCs w:val="22"/>
                <w:lang w:val="es-ES"/>
              </w:rPr>
              <w:t>↔</w:t>
            </w:r>
          </w:p>
        </w:tc>
        <w:tc>
          <w:tcPr>
            <w:tcW w:w="1411" w:type="dxa"/>
            <w:tcBorders>
              <w:top w:val="nil"/>
              <w:bottom w:val="nil"/>
            </w:tcBorders>
            <w:vAlign w:val="center"/>
          </w:tcPr>
          <w:p w14:paraId="324408E4" w14:textId="77777777" w:rsidR="00176424" w:rsidRPr="00176424" w:rsidRDefault="00176424" w:rsidP="00176424">
            <w:pPr>
              <w:jc w:val="center"/>
              <w:rPr>
                <w:rFonts w:eastAsia="Times New Roman"/>
                <w:bCs/>
                <w:sz w:val="22"/>
                <w:szCs w:val="22"/>
                <w:lang w:val="es-ES"/>
              </w:rPr>
            </w:pPr>
            <w:r w:rsidRPr="00176424">
              <w:rPr>
                <w:rFonts w:ascii="Cambria Math" w:eastAsia="Times New Roman" w:hAnsi="Cambria Math" w:cs="Cambria Math"/>
                <w:bCs/>
                <w:sz w:val="22"/>
                <w:szCs w:val="22"/>
                <w:lang w:val="es-ES"/>
              </w:rPr>
              <w:t>↗</w:t>
            </w:r>
          </w:p>
        </w:tc>
        <w:tc>
          <w:tcPr>
            <w:tcW w:w="1500" w:type="dxa"/>
            <w:tcBorders>
              <w:top w:val="nil"/>
              <w:bottom w:val="nil"/>
            </w:tcBorders>
            <w:vAlign w:val="center"/>
          </w:tcPr>
          <w:p w14:paraId="7715EBC4" w14:textId="77777777" w:rsidR="00176424" w:rsidRPr="00176424" w:rsidRDefault="00176424" w:rsidP="00176424">
            <w:pPr>
              <w:jc w:val="center"/>
              <w:rPr>
                <w:rFonts w:eastAsia="Times New Roman"/>
                <w:bCs/>
                <w:sz w:val="22"/>
                <w:szCs w:val="22"/>
                <w:lang w:val="es-ES"/>
              </w:rPr>
            </w:pPr>
            <w:r w:rsidRPr="00176424">
              <w:rPr>
                <w:rFonts w:ascii="Cambria Math" w:eastAsia="Times New Roman" w:hAnsi="Cambria Math" w:cs="Cambria Math"/>
                <w:bCs/>
                <w:sz w:val="22"/>
                <w:szCs w:val="22"/>
                <w:lang w:val="es-ES"/>
              </w:rPr>
              <w:t>↘</w:t>
            </w:r>
          </w:p>
        </w:tc>
        <w:tc>
          <w:tcPr>
            <w:tcW w:w="1559" w:type="dxa"/>
            <w:tcBorders>
              <w:top w:val="nil"/>
              <w:bottom w:val="nil"/>
            </w:tcBorders>
            <w:vAlign w:val="center"/>
          </w:tcPr>
          <w:p w14:paraId="1F02AF59" w14:textId="77777777" w:rsidR="00176424" w:rsidRPr="00176424" w:rsidRDefault="00176424" w:rsidP="00176424">
            <w:pPr>
              <w:jc w:val="center"/>
              <w:rPr>
                <w:rFonts w:eastAsia="Times New Roman"/>
                <w:bCs/>
                <w:sz w:val="22"/>
                <w:szCs w:val="22"/>
                <w:lang w:val="es-ES"/>
              </w:rPr>
            </w:pPr>
            <w:r w:rsidRPr="00176424">
              <w:rPr>
                <w:rFonts w:ascii="Cambria Math" w:eastAsia="Times New Roman" w:hAnsi="Cambria Math" w:cs="Cambria Math"/>
                <w:bCs/>
                <w:sz w:val="22"/>
                <w:szCs w:val="22"/>
                <w:lang w:val="es-ES"/>
              </w:rPr>
              <w:t>↘</w:t>
            </w:r>
          </w:p>
        </w:tc>
      </w:tr>
      <w:tr w:rsidR="00176424" w:rsidRPr="00176424" w14:paraId="20C69EB4" w14:textId="77777777" w:rsidTr="000C7043">
        <w:trPr>
          <w:jc w:val="center"/>
        </w:trPr>
        <w:tc>
          <w:tcPr>
            <w:tcW w:w="3130" w:type="dxa"/>
            <w:tcBorders>
              <w:top w:val="nil"/>
              <w:bottom w:val="single" w:sz="2" w:space="0" w:color="auto"/>
            </w:tcBorders>
          </w:tcPr>
          <w:p w14:paraId="37E37040" w14:textId="77777777" w:rsidR="00176424" w:rsidRPr="00176424" w:rsidRDefault="00176424" w:rsidP="00176424">
            <w:pPr>
              <w:jc w:val="both"/>
              <w:rPr>
                <w:rFonts w:eastAsia="Times New Roman"/>
                <w:bCs/>
                <w:sz w:val="20"/>
                <w:szCs w:val="20"/>
                <w:lang w:val="es-ES"/>
              </w:rPr>
            </w:pPr>
            <w:r w:rsidRPr="00176424">
              <w:rPr>
                <w:rFonts w:eastAsia="Times New Roman"/>
                <w:bCs/>
                <w:sz w:val="20"/>
                <w:szCs w:val="20"/>
                <w:lang w:val="es-ES"/>
              </w:rPr>
              <w:t>Bancos de nicho mayoristas</w:t>
            </w:r>
          </w:p>
        </w:tc>
        <w:tc>
          <w:tcPr>
            <w:tcW w:w="1333" w:type="dxa"/>
            <w:tcBorders>
              <w:top w:val="nil"/>
              <w:bottom w:val="single" w:sz="2" w:space="0" w:color="auto"/>
            </w:tcBorders>
          </w:tcPr>
          <w:p w14:paraId="2B560EA9" w14:textId="77777777" w:rsidR="00176424" w:rsidRPr="00176424" w:rsidRDefault="00176424" w:rsidP="00176424">
            <w:pPr>
              <w:jc w:val="center"/>
              <w:rPr>
                <w:rFonts w:eastAsia="Times New Roman"/>
                <w:bCs/>
                <w:sz w:val="22"/>
                <w:szCs w:val="22"/>
                <w:lang w:val="es-ES"/>
              </w:rPr>
            </w:pPr>
            <w:r w:rsidRPr="00176424">
              <w:rPr>
                <w:rFonts w:eastAsia="Times New Roman"/>
                <w:bCs/>
                <w:sz w:val="22"/>
                <w:szCs w:val="22"/>
                <w:lang w:val="es-ES"/>
              </w:rPr>
              <w:t>↔</w:t>
            </w:r>
          </w:p>
        </w:tc>
        <w:tc>
          <w:tcPr>
            <w:tcW w:w="1411" w:type="dxa"/>
            <w:tcBorders>
              <w:top w:val="nil"/>
              <w:bottom w:val="single" w:sz="2" w:space="0" w:color="auto"/>
            </w:tcBorders>
          </w:tcPr>
          <w:p w14:paraId="1F7D20D8" w14:textId="77777777" w:rsidR="00176424" w:rsidRPr="00176424" w:rsidRDefault="00176424" w:rsidP="00176424">
            <w:pPr>
              <w:jc w:val="center"/>
              <w:rPr>
                <w:rFonts w:eastAsia="Times New Roman"/>
                <w:bCs/>
                <w:sz w:val="22"/>
                <w:szCs w:val="22"/>
                <w:lang w:val="es-ES"/>
              </w:rPr>
            </w:pPr>
            <w:r w:rsidRPr="00176424">
              <w:rPr>
                <w:rFonts w:eastAsia="Times New Roman"/>
                <w:bCs/>
                <w:sz w:val="22"/>
                <w:szCs w:val="22"/>
                <w:lang w:val="es-ES"/>
              </w:rPr>
              <w:t>↔</w:t>
            </w:r>
          </w:p>
        </w:tc>
        <w:tc>
          <w:tcPr>
            <w:tcW w:w="1500" w:type="dxa"/>
            <w:tcBorders>
              <w:top w:val="nil"/>
              <w:bottom w:val="single" w:sz="2" w:space="0" w:color="auto"/>
            </w:tcBorders>
          </w:tcPr>
          <w:p w14:paraId="1E61C1D5" w14:textId="77777777" w:rsidR="00176424" w:rsidRPr="00176424" w:rsidRDefault="00176424" w:rsidP="00176424">
            <w:pPr>
              <w:jc w:val="center"/>
              <w:rPr>
                <w:rFonts w:eastAsia="Times New Roman"/>
                <w:bCs/>
                <w:sz w:val="22"/>
                <w:szCs w:val="22"/>
                <w:lang w:val="es-ES"/>
              </w:rPr>
            </w:pPr>
            <w:r w:rsidRPr="00176424">
              <w:rPr>
                <w:rFonts w:eastAsia="Times New Roman"/>
                <w:bCs/>
                <w:sz w:val="22"/>
                <w:szCs w:val="22"/>
                <w:lang w:val="es-ES"/>
              </w:rPr>
              <w:t>↔</w:t>
            </w:r>
          </w:p>
        </w:tc>
        <w:tc>
          <w:tcPr>
            <w:tcW w:w="1559" w:type="dxa"/>
            <w:tcBorders>
              <w:top w:val="nil"/>
              <w:bottom w:val="single" w:sz="2" w:space="0" w:color="auto"/>
            </w:tcBorders>
          </w:tcPr>
          <w:p w14:paraId="2755C72C" w14:textId="77777777" w:rsidR="00176424" w:rsidRPr="00176424" w:rsidRDefault="00176424" w:rsidP="00176424">
            <w:pPr>
              <w:jc w:val="center"/>
              <w:rPr>
                <w:rFonts w:eastAsia="Times New Roman"/>
                <w:bCs/>
                <w:sz w:val="22"/>
                <w:szCs w:val="22"/>
                <w:lang w:val="es-ES"/>
              </w:rPr>
            </w:pPr>
            <w:r w:rsidRPr="00176424">
              <w:rPr>
                <w:rFonts w:ascii="Cambria Math" w:eastAsia="Times New Roman" w:hAnsi="Cambria Math" w:cs="Cambria Math"/>
                <w:bCs/>
                <w:sz w:val="22"/>
                <w:szCs w:val="22"/>
                <w:lang w:val="es-ES"/>
              </w:rPr>
              <w:t>↘</w:t>
            </w:r>
          </w:p>
        </w:tc>
      </w:tr>
      <w:tr w:rsidR="00176424" w:rsidRPr="00176424" w14:paraId="15A6D249" w14:textId="77777777" w:rsidTr="00DA1492">
        <w:trPr>
          <w:jc w:val="center"/>
        </w:trPr>
        <w:tc>
          <w:tcPr>
            <w:tcW w:w="8933" w:type="dxa"/>
            <w:gridSpan w:val="5"/>
            <w:tcBorders>
              <w:left w:val="nil"/>
              <w:bottom w:val="nil"/>
              <w:right w:val="nil"/>
            </w:tcBorders>
          </w:tcPr>
          <w:p w14:paraId="7EC3304F" w14:textId="77777777" w:rsidR="00176424" w:rsidRPr="00176424" w:rsidRDefault="00176424" w:rsidP="00176424">
            <w:pPr>
              <w:spacing w:before="120"/>
              <w:jc w:val="both"/>
              <w:rPr>
                <w:rFonts w:eastAsia="Times New Roman"/>
                <w:bCs/>
                <w:sz w:val="20"/>
                <w:szCs w:val="20"/>
                <w:lang w:val="es-ES"/>
              </w:rPr>
            </w:pPr>
            <w:r w:rsidRPr="00176424">
              <w:rPr>
                <w:rFonts w:eastAsia="Times New Roman"/>
                <w:bCs/>
                <w:sz w:val="20"/>
                <w:szCs w:val="20"/>
                <w:lang w:val="es-ES"/>
              </w:rPr>
              <w:t xml:space="preserve">* ↑: Impacto positivo. </w:t>
            </w:r>
            <w:r w:rsidRPr="00176424">
              <w:rPr>
                <w:rFonts w:ascii="Cambria Math" w:eastAsia="Times New Roman" w:hAnsi="Cambria Math" w:cs="Cambria Math"/>
                <w:bCs/>
                <w:sz w:val="20"/>
                <w:szCs w:val="20"/>
                <w:lang w:val="es-ES"/>
              </w:rPr>
              <w:t>↗</w:t>
            </w:r>
            <w:r w:rsidRPr="00176424">
              <w:rPr>
                <w:rFonts w:eastAsia="Times New Roman"/>
                <w:bCs/>
                <w:sz w:val="20"/>
                <w:szCs w:val="20"/>
                <w:lang w:val="es-ES"/>
              </w:rPr>
              <w:t xml:space="preserve">: Leve impacto positivo. ↔: Neutral. ↓: Impacto Negativo. </w:t>
            </w:r>
            <w:r w:rsidRPr="00176424">
              <w:rPr>
                <w:rFonts w:ascii="Cambria Math" w:eastAsia="Times New Roman" w:hAnsi="Cambria Math" w:cs="Cambria Math"/>
                <w:bCs/>
                <w:sz w:val="20"/>
                <w:szCs w:val="20"/>
                <w:lang w:val="es-ES"/>
              </w:rPr>
              <w:t>↘</w:t>
            </w:r>
            <w:r w:rsidRPr="00176424">
              <w:rPr>
                <w:rFonts w:eastAsia="Times New Roman"/>
                <w:bCs/>
                <w:sz w:val="20"/>
                <w:szCs w:val="20"/>
                <w:lang w:val="es-ES"/>
              </w:rPr>
              <w:t>: Leve impacto negativo.</w:t>
            </w:r>
          </w:p>
          <w:p w14:paraId="21214D7F" w14:textId="77777777" w:rsidR="00176424" w:rsidRPr="00176424" w:rsidRDefault="00176424" w:rsidP="00176424">
            <w:pPr>
              <w:jc w:val="both"/>
              <w:rPr>
                <w:rFonts w:eastAsia="Times New Roman"/>
                <w:bCs/>
                <w:sz w:val="20"/>
                <w:szCs w:val="20"/>
                <w:lang w:val="es-ES"/>
              </w:rPr>
            </w:pPr>
            <w:r w:rsidRPr="00176424">
              <w:rPr>
                <w:rFonts w:eastAsia="Times New Roman"/>
                <w:bCs/>
                <w:sz w:val="20"/>
                <w:szCs w:val="20"/>
                <w:lang w:val="es-ES"/>
              </w:rPr>
              <w:t>FUENTE: Fitch.</w:t>
            </w:r>
          </w:p>
        </w:tc>
      </w:tr>
    </w:tbl>
    <w:p w14:paraId="3BDE097F" w14:textId="77777777" w:rsidR="00176424" w:rsidRPr="00176424" w:rsidRDefault="00176424" w:rsidP="00176424">
      <w:pPr>
        <w:spacing w:after="360" w:line="360" w:lineRule="auto"/>
        <w:ind w:right="-159"/>
        <w:jc w:val="both"/>
        <w:rPr>
          <w:rFonts w:eastAsia="Times New Roman"/>
          <w:bCs/>
          <w:sz w:val="26"/>
          <w:szCs w:val="26"/>
          <w:lang w:val="es-ES"/>
        </w:rPr>
      </w:pPr>
    </w:p>
    <w:p w14:paraId="501F11D8" w14:textId="77777777" w:rsidR="00176424" w:rsidRPr="00176424" w:rsidRDefault="00176424" w:rsidP="00176424">
      <w:pPr>
        <w:spacing w:after="360" w:line="360" w:lineRule="auto"/>
        <w:ind w:right="-159"/>
        <w:jc w:val="both"/>
        <w:rPr>
          <w:rFonts w:eastAsia="Times New Roman"/>
          <w:b/>
          <w:bCs/>
          <w:sz w:val="26"/>
          <w:szCs w:val="26"/>
          <w:lang w:val="es-ES"/>
        </w:rPr>
      </w:pPr>
      <w:r w:rsidRPr="00176424">
        <w:rPr>
          <w:rFonts w:eastAsia="Times New Roman"/>
          <w:b/>
          <w:bCs/>
          <w:sz w:val="26"/>
          <w:szCs w:val="26"/>
          <w:lang w:val="es-ES"/>
        </w:rPr>
        <w:t>Factores claves</w:t>
      </w:r>
    </w:p>
    <w:p w14:paraId="52FC7AF6" w14:textId="77777777" w:rsidR="00176424" w:rsidRPr="00445B89" w:rsidRDefault="00176424" w:rsidP="00176424">
      <w:pPr>
        <w:spacing w:after="360" w:line="360" w:lineRule="auto"/>
        <w:ind w:right="-159"/>
        <w:jc w:val="both"/>
        <w:rPr>
          <w:rFonts w:eastAsia="Times New Roman"/>
          <w:b/>
          <w:bCs/>
          <w:sz w:val="26"/>
          <w:szCs w:val="26"/>
          <w:lang w:val="es-ES"/>
        </w:rPr>
      </w:pPr>
      <w:r w:rsidRPr="00445B89">
        <w:rPr>
          <w:rFonts w:eastAsia="Times New Roman"/>
          <w:b/>
          <w:bCs/>
          <w:sz w:val="26"/>
          <w:szCs w:val="26"/>
          <w:lang w:val="es-ES"/>
        </w:rPr>
        <w:t>Entorno económico razonable, pero con riesgos a la baja</w:t>
      </w:r>
    </w:p>
    <w:p w14:paraId="3B0613FF" w14:textId="77777777" w:rsidR="00176424" w:rsidRPr="00176424" w:rsidRDefault="00176424" w:rsidP="00176424">
      <w:pPr>
        <w:spacing w:after="360" w:line="360" w:lineRule="auto"/>
        <w:ind w:right="-159"/>
        <w:jc w:val="both"/>
        <w:rPr>
          <w:rFonts w:eastAsia="Times New Roman"/>
          <w:bCs/>
          <w:sz w:val="26"/>
          <w:szCs w:val="26"/>
          <w:lang w:val="es-ES"/>
        </w:rPr>
      </w:pPr>
      <w:r w:rsidRPr="00176424">
        <w:rPr>
          <w:rFonts w:eastAsia="Times New Roman"/>
          <w:bCs/>
          <w:sz w:val="26"/>
          <w:szCs w:val="26"/>
          <w:lang w:val="es-ES"/>
        </w:rPr>
        <w:t>Contrario a otros países de mercados emergentes, la perspectiva económica de México en 2015 no se ha deteriorado, pero se asocia primordialmente al crecimiento bajo registrado durante 2013-2014. De hecho, Fitch espera que el crecimiento del PIB se acelere en 2015 a aproximadamente 3% en términos reales. Si el entorno económico resultase mejor que en 2014, muy probablemente beneficiaría el ambiente operativo de la mayoría de los bancos en México, especialmente para la reanudación de los préstamos y costos crediticios más contenidos.</w:t>
      </w:r>
    </w:p>
    <w:p w14:paraId="7339F54D" w14:textId="77777777" w:rsidR="00176424" w:rsidRPr="00176424" w:rsidRDefault="00176424" w:rsidP="00176424">
      <w:pPr>
        <w:spacing w:after="360" w:line="360" w:lineRule="auto"/>
        <w:ind w:right="-159"/>
        <w:jc w:val="both"/>
        <w:rPr>
          <w:rFonts w:eastAsia="Times New Roman"/>
          <w:bCs/>
          <w:sz w:val="26"/>
          <w:szCs w:val="26"/>
          <w:lang w:val="es-ES"/>
        </w:rPr>
      </w:pPr>
      <w:r w:rsidRPr="00176424">
        <w:rPr>
          <w:rFonts w:eastAsia="Times New Roman"/>
          <w:bCs/>
          <w:sz w:val="26"/>
          <w:szCs w:val="26"/>
          <w:lang w:val="es-ES"/>
        </w:rPr>
        <w:t xml:space="preserve">Sin embargo, se están desarrollando riesgos materiales de un crecimiento menor, derivado especialmente de factores globales, que pudiesen poner en peligro la materialización de un crecimiento económico mayor. Entre estos riesgos está la caída y volatilidad de los precios del petróleo, que pudiese ser determinante para las perspectivas de México. Las finanzas públicas y el balance externo están menos </w:t>
      </w:r>
      <w:r w:rsidRPr="00176424">
        <w:rPr>
          <w:rFonts w:eastAsia="Times New Roman"/>
          <w:bCs/>
          <w:sz w:val="26"/>
          <w:szCs w:val="26"/>
          <w:lang w:val="es-ES"/>
        </w:rPr>
        <w:lastRenderedPageBreak/>
        <w:t>expuestos a la caída de los precios del petróleo en comparación con otros países que exportan petróleo; sobre todo en el corto plazo, debido al apalancamiento adquirido por el Gobierno mexicano. Sin embargo, precios menores del petróleo podrían afectar eventualmente las perspectivas de inversión del sector energético, que es el principal contribuyente a la recuperación económica esperada en México.</w:t>
      </w:r>
    </w:p>
    <w:p w14:paraId="118478BF" w14:textId="48DCE01C" w:rsidR="00176424" w:rsidRPr="00176424" w:rsidRDefault="00176424" w:rsidP="00176424">
      <w:pPr>
        <w:spacing w:after="360" w:line="360" w:lineRule="auto"/>
        <w:ind w:right="-159"/>
        <w:jc w:val="both"/>
        <w:rPr>
          <w:rFonts w:eastAsia="Times New Roman"/>
          <w:bCs/>
          <w:sz w:val="26"/>
          <w:szCs w:val="26"/>
          <w:lang w:val="es-ES"/>
        </w:rPr>
      </w:pPr>
      <w:r w:rsidRPr="00176424">
        <w:rPr>
          <w:rFonts w:eastAsia="Times New Roman"/>
          <w:bCs/>
          <w:sz w:val="26"/>
          <w:szCs w:val="26"/>
          <w:lang w:val="es-ES"/>
        </w:rPr>
        <w:t xml:space="preserve">El consumo doméstico aún débil es otra tendencia macroeconómica clave que probablemente continuará afectando el entorno operativo de los bancos. </w:t>
      </w:r>
      <w:r w:rsidR="007D2C1E">
        <w:rPr>
          <w:rFonts w:eastAsia="Times New Roman"/>
          <w:bCs/>
          <w:sz w:val="26"/>
          <w:szCs w:val="26"/>
          <w:lang w:val="es-ES"/>
        </w:rPr>
        <w:t>É</w:t>
      </w:r>
      <w:r w:rsidRPr="00176424">
        <w:rPr>
          <w:rFonts w:eastAsia="Times New Roman"/>
          <w:bCs/>
          <w:sz w:val="26"/>
          <w:szCs w:val="26"/>
          <w:lang w:val="es-ES"/>
        </w:rPr>
        <w:t>ste ha sido afectado por la confluencia de crecimiento económico bajo e impuestos mayores en 2014. El crecimiento lento del consumo puede seguir restringiendo el crecimiento potencial de los préstamos al consumo, hasta que la economía se acelere a niveles que mejorasen materialmente el ingreso disponible de las familias</w:t>
      </w:r>
      <w:r w:rsidRPr="00176424">
        <w:rPr>
          <w:rFonts w:eastAsia="Times New Roman"/>
          <w:bCs/>
          <w:sz w:val="26"/>
          <w:szCs w:val="26"/>
          <w:vertAlign w:val="superscript"/>
          <w:lang w:val="es-ES"/>
        </w:rPr>
        <w:footnoteReference w:id="105"/>
      </w:r>
      <w:r w:rsidR="000C7043">
        <w:rPr>
          <w:rFonts w:eastAsia="Times New Roman"/>
          <w:bCs/>
          <w:sz w:val="26"/>
          <w:szCs w:val="26"/>
          <w:lang w:val="es-ES"/>
        </w:rPr>
        <w:t>.</w:t>
      </w:r>
    </w:p>
    <w:p w14:paraId="2218EEE9" w14:textId="77777777" w:rsidR="00176424" w:rsidRPr="00445B89" w:rsidRDefault="00176424" w:rsidP="00176424">
      <w:pPr>
        <w:spacing w:after="360" w:line="360" w:lineRule="auto"/>
        <w:ind w:right="-159"/>
        <w:jc w:val="both"/>
        <w:rPr>
          <w:rFonts w:eastAsia="Times New Roman"/>
          <w:b/>
          <w:bCs/>
          <w:sz w:val="26"/>
          <w:szCs w:val="26"/>
          <w:lang w:val="es-ES"/>
        </w:rPr>
      </w:pPr>
      <w:r w:rsidRPr="00445B89">
        <w:rPr>
          <w:rFonts w:eastAsia="Times New Roman"/>
          <w:b/>
          <w:bCs/>
          <w:sz w:val="26"/>
          <w:szCs w:val="26"/>
          <w:lang w:val="es-ES"/>
        </w:rPr>
        <w:t>Crecimiento tenue de los préstamos impide eficiencias mayores en costos</w:t>
      </w:r>
    </w:p>
    <w:p w14:paraId="31922AF9" w14:textId="77777777" w:rsidR="00176424" w:rsidRPr="00176424" w:rsidRDefault="00176424" w:rsidP="00176424">
      <w:pPr>
        <w:spacing w:after="360" w:line="360" w:lineRule="auto"/>
        <w:ind w:right="-159"/>
        <w:jc w:val="both"/>
        <w:rPr>
          <w:rFonts w:eastAsia="Times New Roman"/>
          <w:bCs/>
          <w:sz w:val="26"/>
          <w:szCs w:val="26"/>
          <w:lang w:val="es-ES"/>
        </w:rPr>
      </w:pPr>
      <w:r w:rsidRPr="00176424">
        <w:rPr>
          <w:rFonts w:eastAsia="Times New Roman"/>
          <w:bCs/>
          <w:sz w:val="26"/>
          <w:szCs w:val="26"/>
          <w:lang w:val="es-ES"/>
        </w:rPr>
        <w:t>Fitch ha dicho que los bancos mexicanos podrían mantener cómodamente tasas de crecimiento nominal en niveles entre 12 y 15%, durante determinados años. El nivel aún bajo de intermediación financiera (aproximadamente 28% del PIB) provee margen para una expansión crediticia mayor.</w:t>
      </w:r>
    </w:p>
    <w:p w14:paraId="4F87737D" w14:textId="77777777" w:rsidR="00176424" w:rsidRPr="00176424" w:rsidRDefault="00176424" w:rsidP="00176424">
      <w:pPr>
        <w:spacing w:after="360" w:line="360" w:lineRule="auto"/>
        <w:ind w:right="-159"/>
        <w:jc w:val="both"/>
        <w:rPr>
          <w:rFonts w:eastAsia="Times New Roman"/>
          <w:bCs/>
          <w:sz w:val="26"/>
          <w:szCs w:val="26"/>
          <w:lang w:val="es-ES"/>
        </w:rPr>
      </w:pPr>
      <w:r w:rsidRPr="00176424">
        <w:rPr>
          <w:rFonts w:eastAsia="Times New Roman"/>
          <w:bCs/>
          <w:sz w:val="26"/>
          <w:szCs w:val="26"/>
          <w:lang w:val="es-ES"/>
        </w:rPr>
        <w:t xml:space="preserve">Sin embargo, el crecimiento del portafolio crediticio ha sido tenue, como resultado del desempeño relativamente débil de la economía mexicana, y creció aún menos en 2014. Por primera vez desde la recuperación de la crisis de 2009, el crecimiento anual de los préstamos disminuyó a niveles de un dígito en términos nominales, en 2014. La desaceleración fue general, pero las tendencias fueron mixtas. El crecimiento anual de los créditos al consumo, que era uno de los sectores más dinámicos, tuvo una tendencia a la baja durante todo el año y este segmento fue el componente de menor crecimiento de los préstamos del sector privado. En contraste, el ritmo de crecimiento de los </w:t>
      </w:r>
      <w:r w:rsidRPr="00176424">
        <w:rPr>
          <w:rFonts w:eastAsia="Times New Roman"/>
          <w:bCs/>
          <w:sz w:val="26"/>
          <w:szCs w:val="26"/>
          <w:lang w:val="es-ES"/>
        </w:rPr>
        <w:lastRenderedPageBreak/>
        <w:t>préstamos comerciales fue particularmente débil en el segundo semestre de 2014. Estos préstamos permanecen con una participación superior a 45% de los préstamos totales del sistema.</w:t>
      </w:r>
    </w:p>
    <w:p w14:paraId="1A6664DE" w14:textId="45D84C4A" w:rsidR="00176424" w:rsidRPr="00176424" w:rsidRDefault="00F95D26" w:rsidP="00176424">
      <w:pPr>
        <w:spacing w:after="360" w:line="360" w:lineRule="auto"/>
        <w:ind w:right="-159"/>
        <w:jc w:val="center"/>
        <w:rPr>
          <w:rFonts w:eastAsia="Times New Roman"/>
          <w:bCs/>
          <w:sz w:val="26"/>
          <w:szCs w:val="26"/>
          <w:lang w:val="es-ES"/>
        </w:rPr>
      </w:pPr>
      <w:r w:rsidRPr="00F95D26">
        <w:rPr>
          <w:rFonts w:ascii="Calibri" w:eastAsia="Calibri" w:hAnsi="Calibri"/>
          <w:noProof/>
          <w:sz w:val="22"/>
          <w:szCs w:val="22"/>
          <w:lang w:eastAsia="es-MX"/>
        </w:rPr>
        <w:drawing>
          <wp:inline distT="0" distB="0" distL="0" distR="0" wp14:anchorId="15F39B56" wp14:editId="3D9AEDA9">
            <wp:extent cx="4559026" cy="2296394"/>
            <wp:effectExtent l="0" t="0" r="0" b="8890"/>
            <wp:docPr id="1496" name="Imagen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50" cstate="print">
                      <a:extLst>
                        <a:ext uri="{28A0092B-C50C-407E-A947-70E740481C1C}">
                          <a14:useLocalDpi xmlns:a14="http://schemas.microsoft.com/office/drawing/2010/main" val="0"/>
                        </a:ext>
                      </a:extLst>
                    </a:blip>
                    <a:srcRect t="1475" b="31576"/>
                    <a:stretch/>
                  </pic:blipFill>
                  <pic:spPr bwMode="auto">
                    <a:xfrm>
                      <a:off x="0" y="0"/>
                      <a:ext cx="4559300" cy="2296532"/>
                    </a:xfrm>
                    <a:prstGeom prst="rect">
                      <a:avLst/>
                    </a:prstGeom>
                    <a:noFill/>
                    <a:ln>
                      <a:noFill/>
                    </a:ln>
                    <a:extLst>
                      <a:ext uri="{53640926-AAD7-44D8-BBD7-CCE9431645EC}">
                        <a14:shadowObscured xmlns:a14="http://schemas.microsoft.com/office/drawing/2010/main"/>
                      </a:ext>
                    </a:extLst>
                  </pic:spPr>
                </pic:pic>
              </a:graphicData>
            </a:graphic>
          </wp:inline>
        </w:drawing>
      </w:r>
    </w:p>
    <w:p w14:paraId="6538660C" w14:textId="77777777" w:rsidR="00176424" w:rsidRPr="00176424" w:rsidRDefault="00176424" w:rsidP="00176424">
      <w:pPr>
        <w:spacing w:after="360" w:line="360" w:lineRule="auto"/>
        <w:ind w:right="-159"/>
        <w:jc w:val="both"/>
        <w:rPr>
          <w:rFonts w:eastAsia="Times New Roman"/>
          <w:bCs/>
          <w:sz w:val="26"/>
          <w:szCs w:val="26"/>
          <w:lang w:val="es-ES"/>
        </w:rPr>
      </w:pPr>
      <w:r w:rsidRPr="00176424">
        <w:rPr>
          <w:rFonts w:eastAsia="Times New Roman"/>
          <w:bCs/>
          <w:sz w:val="26"/>
          <w:szCs w:val="26"/>
          <w:lang w:val="es-ES"/>
        </w:rPr>
        <w:t>Fitch espera una recuperación modesta del crecimiento de préstamos en 2015, pero aún por debajo de las perspectivas de mediano plazo. Con base en las proyecciones económicas actuales, la agencia espera que los préstamos de los bancos al sector privado puedan acelerarse hasta niveles entre 10 y 12% en términos nominales.</w:t>
      </w:r>
    </w:p>
    <w:p w14:paraId="3FAFCC8D" w14:textId="77777777" w:rsidR="00176424" w:rsidRPr="00176424" w:rsidRDefault="00176424" w:rsidP="00176424">
      <w:pPr>
        <w:spacing w:after="360" w:line="360" w:lineRule="auto"/>
        <w:ind w:right="-159"/>
        <w:jc w:val="both"/>
        <w:rPr>
          <w:rFonts w:eastAsia="Times New Roman"/>
          <w:bCs/>
          <w:sz w:val="26"/>
          <w:szCs w:val="26"/>
          <w:lang w:val="es-ES"/>
        </w:rPr>
      </w:pPr>
      <w:r w:rsidRPr="00176424">
        <w:rPr>
          <w:rFonts w:eastAsia="Times New Roman"/>
          <w:bCs/>
          <w:sz w:val="26"/>
          <w:szCs w:val="26"/>
          <w:lang w:val="es-ES"/>
        </w:rPr>
        <w:t>En opinión de Fitch, si la economía mexicana creciese al menos 3% de manera continua, los bancos mexicanos deberían ser capaces de recuperar el ritmo de crecimiento de los préstamos hacia el rango alto. La agencia considera que esto sería un crecimiento sustentable a mediano plazo (12-15% anualmente en términos nominales), en adición a mayores beneficios en términos de recuperación de calidad de activos e ingresos.</w:t>
      </w:r>
    </w:p>
    <w:p w14:paraId="5647102B" w14:textId="77777777" w:rsidR="00176424" w:rsidRPr="00445B89" w:rsidRDefault="00176424" w:rsidP="00176424">
      <w:pPr>
        <w:spacing w:after="360" w:line="360" w:lineRule="auto"/>
        <w:ind w:right="-159"/>
        <w:jc w:val="both"/>
        <w:rPr>
          <w:rFonts w:eastAsia="Times New Roman"/>
          <w:b/>
          <w:bCs/>
          <w:sz w:val="26"/>
          <w:szCs w:val="26"/>
          <w:lang w:val="es-ES"/>
        </w:rPr>
      </w:pPr>
      <w:r w:rsidRPr="00445B89">
        <w:rPr>
          <w:rFonts w:eastAsia="Times New Roman"/>
          <w:b/>
          <w:bCs/>
          <w:sz w:val="26"/>
          <w:szCs w:val="26"/>
          <w:lang w:val="es-ES"/>
        </w:rPr>
        <w:t>Tasas de interés bajas continúan; el momento e impacto no están claros aún</w:t>
      </w:r>
    </w:p>
    <w:p w14:paraId="7F441E61" w14:textId="77777777" w:rsidR="00176424" w:rsidRPr="00176424" w:rsidRDefault="00176424" w:rsidP="00176424">
      <w:pPr>
        <w:spacing w:after="360" w:line="360" w:lineRule="auto"/>
        <w:ind w:right="-159"/>
        <w:jc w:val="both"/>
        <w:rPr>
          <w:rFonts w:eastAsia="Times New Roman"/>
          <w:bCs/>
          <w:sz w:val="26"/>
          <w:szCs w:val="26"/>
          <w:lang w:val="es-ES"/>
        </w:rPr>
      </w:pPr>
      <w:r w:rsidRPr="00176424">
        <w:rPr>
          <w:rFonts w:eastAsia="Times New Roman"/>
          <w:bCs/>
          <w:sz w:val="26"/>
          <w:szCs w:val="26"/>
          <w:lang w:val="es-ES"/>
        </w:rPr>
        <w:t xml:space="preserve">Dado el sistema bancario mexicano relativamente pequeño, los balances están fondeados mayormente por depósitos. Además, debido a la porción amplia de activos </w:t>
      </w:r>
      <w:r w:rsidRPr="00176424">
        <w:rPr>
          <w:rFonts w:eastAsia="Times New Roman"/>
          <w:bCs/>
          <w:sz w:val="26"/>
          <w:szCs w:val="26"/>
          <w:lang w:val="es-ES"/>
        </w:rPr>
        <w:lastRenderedPageBreak/>
        <w:t>fondeados con depósitos de clientes de rendimientos bajos o que no devengan interés, los bancos mexicanos están relativamente expuestos al entorno de tasas de interés menores. Mientras que el rendimiento de los préstamos al consumo es típicamente intensivo en tasas regulatorias, la mayoría de los portafolios crediticios aún comprenden préstamos comerciales, corporativos y al sector público, cuyas tasas de interés promedio se alinean cercanamente a las de referencia.</w:t>
      </w:r>
    </w:p>
    <w:p w14:paraId="734E6A7E" w14:textId="77777777" w:rsidR="00176424" w:rsidRPr="00176424" w:rsidRDefault="00176424" w:rsidP="00176424">
      <w:pPr>
        <w:spacing w:after="360" w:line="360" w:lineRule="auto"/>
        <w:ind w:right="-159"/>
        <w:jc w:val="both"/>
        <w:rPr>
          <w:rFonts w:eastAsia="Times New Roman"/>
          <w:bCs/>
          <w:sz w:val="26"/>
          <w:szCs w:val="26"/>
          <w:lang w:val="es-ES"/>
        </w:rPr>
      </w:pPr>
      <w:r w:rsidRPr="00176424">
        <w:rPr>
          <w:rFonts w:eastAsia="Times New Roman"/>
          <w:bCs/>
          <w:sz w:val="26"/>
          <w:szCs w:val="26"/>
          <w:lang w:val="es-ES"/>
        </w:rPr>
        <w:t>El desafío de enfrentarse a tasas de interés menores se ha exacerbado desde 2013, cuando el Banco Central reanudó las políticas de expansión monetaria. Las tasas de interés a corto plazo se han disminuido hasta 3%, después de reducciones de 100 puntos base (pb) en 2013 y 50 pb adicionales en 2014.</w:t>
      </w:r>
    </w:p>
    <w:p w14:paraId="22585C56" w14:textId="77777777" w:rsidR="00176424" w:rsidRPr="00176424" w:rsidRDefault="00176424" w:rsidP="00176424">
      <w:pPr>
        <w:spacing w:after="360" w:line="360" w:lineRule="auto"/>
        <w:ind w:right="-159"/>
        <w:jc w:val="center"/>
        <w:rPr>
          <w:rFonts w:eastAsia="Times New Roman"/>
          <w:bCs/>
          <w:sz w:val="26"/>
          <w:szCs w:val="26"/>
          <w:lang w:val="es-ES"/>
        </w:rPr>
      </w:pPr>
      <w:r w:rsidRPr="00176424">
        <w:rPr>
          <w:rFonts w:ascii="Arial" w:eastAsia="Times New Roman" w:hAnsi="Arial" w:cs="Arial"/>
          <w:noProof/>
          <w:sz w:val="18"/>
          <w:szCs w:val="20"/>
          <w:lang w:eastAsia="es-MX"/>
        </w:rPr>
        <w:drawing>
          <wp:inline distT="0" distB="0" distL="0" distR="0" wp14:anchorId="23E60D5F" wp14:editId="4B9BB56D">
            <wp:extent cx="4558811" cy="2338419"/>
            <wp:effectExtent l="0" t="0" r="0" b="508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51" cstate="print">
                      <a:extLst>
                        <a:ext uri="{28A0092B-C50C-407E-A947-70E740481C1C}">
                          <a14:useLocalDpi xmlns:a14="http://schemas.microsoft.com/office/drawing/2010/main" val="0"/>
                        </a:ext>
                      </a:extLst>
                    </a:blip>
                    <a:srcRect t="860" b="30962"/>
                    <a:stretch/>
                  </pic:blipFill>
                  <pic:spPr bwMode="auto">
                    <a:xfrm>
                      <a:off x="0" y="0"/>
                      <a:ext cx="4559300" cy="2338670"/>
                    </a:xfrm>
                    <a:prstGeom prst="rect">
                      <a:avLst/>
                    </a:prstGeom>
                    <a:noFill/>
                    <a:ln>
                      <a:noFill/>
                    </a:ln>
                    <a:extLst>
                      <a:ext uri="{53640926-AAD7-44D8-BBD7-CCE9431645EC}">
                        <a14:shadowObscured xmlns:a14="http://schemas.microsoft.com/office/drawing/2010/main"/>
                      </a:ext>
                    </a:extLst>
                  </pic:spPr>
                </pic:pic>
              </a:graphicData>
            </a:graphic>
          </wp:inline>
        </w:drawing>
      </w:r>
    </w:p>
    <w:p w14:paraId="32DB0CC2" w14:textId="77777777" w:rsidR="00176424" w:rsidRPr="00176424" w:rsidRDefault="00176424" w:rsidP="00176424">
      <w:pPr>
        <w:spacing w:after="360" w:line="360" w:lineRule="auto"/>
        <w:ind w:right="-159"/>
        <w:jc w:val="both"/>
        <w:rPr>
          <w:rFonts w:eastAsia="Times New Roman"/>
          <w:bCs/>
          <w:sz w:val="26"/>
          <w:szCs w:val="26"/>
          <w:lang w:val="es-ES"/>
        </w:rPr>
      </w:pPr>
      <w:r w:rsidRPr="00176424">
        <w:rPr>
          <w:rFonts w:eastAsia="Times New Roman"/>
          <w:bCs/>
          <w:sz w:val="26"/>
          <w:szCs w:val="26"/>
          <w:lang w:val="es-ES"/>
        </w:rPr>
        <w:t>El consenso del mercado es que las tasas de interés solo tenderían al alza. Sin embargo, el momento, el ritmo y la magnitud de dicha tendencia son inciertos, aunque es muy probable que esté impulsada por la tendencia al alza esperada por la Reserva Federal en las tasas de interés en Estados Unidos de Norteamérica, entre otros factores globales.</w:t>
      </w:r>
    </w:p>
    <w:p w14:paraId="18854D30" w14:textId="77777777" w:rsidR="00176424" w:rsidRPr="00176424" w:rsidRDefault="00176424" w:rsidP="00176424">
      <w:pPr>
        <w:spacing w:after="360" w:line="360" w:lineRule="auto"/>
        <w:ind w:right="-159"/>
        <w:jc w:val="both"/>
        <w:rPr>
          <w:rFonts w:eastAsia="Times New Roman"/>
          <w:bCs/>
          <w:sz w:val="26"/>
          <w:szCs w:val="26"/>
          <w:lang w:val="es-ES"/>
        </w:rPr>
      </w:pPr>
      <w:r w:rsidRPr="00176424">
        <w:rPr>
          <w:rFonts w:eastAsia="Times New Roman"/>
          <w:bCs/>
          <w:sz w:val="26"/>
          <w:szCs w:val="26"/>
          <w:lang w:val="es-ES"/>
        </w:rPr>
        <w:t xml:space="preserve">El efecto de mediano plazo de tasas de interés mayores debería favorecer los ingresos de los bancos, debido a rendimientos mayores de los préstamos y al impacto moderado de los costos de fondeo. Sin embargo, podría surgir volatilidad a corto plazo en los </w:t>
      </w:r>
      <w:r w:rsidRPr="00176424">
        <w:rPr>
          <w:rFonts w:eastAsia="Times New Roman"/>
          <w:bCs/>
          <w:sz w:val="26"/>
          <w:szCs w:val="26"/>
          <w:lang w:val="es-ES"/>
        </w:rPr>
        <w:lastRenderedPageBreak/>
        <w:t>ingresos, cuando las tasas de interés se incrementen. Esto se debería al efecto inmediato en la valoración de los portafolios amplios de títulos de deuda mantenidos por la mayoría de los bancos (especialmente los más grandes). El riesgo en los ingresos de corto plazo sería mayor, si el incremento en las tasas de interés no fuese gradual y se acelerase más de lo esperado por los participantes del mercado.</w:t>
      </w:r>
    </w:p>
    <w:p w14:paraId="4CEEF4B1" w14:textId="77777777" w:rsidR="00176424" w:rsidRPr="00445B89" w:rsidRDefault="00176424" w:rsidP="00445B89">
      <w:pPr>
        <w:spacing w:after="360"/>
        <w:ind w:right="-159"/>
        <w:jc w:val="both"/>
        <w:rPr>
          <w:rFonts w:eastAsia="Times New Roman"/>
          <w:b/>
          <w:bCs/>
          <w:sz w:val="26"/>
          <w:szCs w:val="26"/>
          <w:lang w:val="es-ES"/>
        </w:rPr>
      </w:pPr>
      <w:r w:rsidRPr="00445B89">
        <w:rPr>
          <w:rFonts w:eastAsia="Times New Roman"/>
          <w:b/>
          <w:bCs/>
          <w:sz w:val="26"/>
          <w:szCs w:val="26"/>
          <w:lang w:val="es-ES"/>
        </w:rPr>
        <w:t>Calidad de activos en estabilización, pero con mejoras significativas poco probables</w:t>
      </w:r>
    </w:p>
    <w:p w14:paraId="062E045E" w14:textId="77777777" w:rsidR="00176424" w:rsidRPr="00176424" w:rsidRDefault="00176424" w:rsidP="00176424">
      <w:pPr>
        <w:spacing w:after="360" w:line="360" w:lineRule="auto"/>
        <w:ind w:right="-159"/>
        <w:jc w:val="both"/>
        <w:rPr>
          <w:rFonts w:eastAsia="Times New Roman"/>
          <w:bCs/>
          <w:sz w:val="26"/>
          <w:szCs w:val="26"/>
          <w:lang w:val="es-ES"/>
        </w:rPr>
      </w:pPr>
      <w:r w:rsidRPr="00176424">
        <w:rPr>
          <w:rFonts w:eastAsia="Times New Roman"/>
          <w:bCs/>
          <w:sz w:val="26"/>
          <w:szCs w:val="26"/>
          <w:lang w:val="es-ES"/>
        </w:rPr>
        <w:t>Durante 2013 y 2014, las métricas de calidad de activos se deterioraron en medio de un desempeño débil de la economía, impulsado por los portafolios de consumo y los comerciales. Durante 2014, la crisis de los constructores de vivienda continuó mermando en las métricas de calidad de activos. Esto se debió a que la mayoría de los proyectos no se contabilizó completamente como préstamos morosos, sino hasta aproximadamente un año después del surgimiento de este problema en el segundo trimestre de 2013. De hecho, los índices de morosidad más recientes fueron más altos que los que se registraron en la crisis de 2008-2009, porque el deterioro del portafolio comercial fue material, dados los niveles de morosidad excepcionalmente bajos, registrados en el portafolio comercial antes de la crisis de los constructores de vivienda.</w:t>
      </w:r>
    </w:p>
    <w:p w14:paraId="3EB39ED0" w14:textId="77777777" w:rsidR="00176424" w:rsidRPr="00176424" w:rsidRDefault="00176424" w:rsidP="00176424">
      <w:pPr>
        <w:spacing w:after="360" w:line="360" w:lineRule="auto"/>
        <w:ind w:right="-159"/>
        <w:jc w:val="center"/>
        <w:rPr>
          <w:rFonts w:eastAsia="Times New Roman"/>
          <w:bCs/>
          <w:sz w:val="26"/>
          <w:szCs w:val="26"/>
          <w:lang w:val="es-ES"/>
        </w:rPr>
      </w:pPr>
      <w:r w:rsidRPr="00176424">
        <w:rPr>
          <w:rFonts w:ascii="Arial" w:eastAsia="Times New Roman" w:hAnsi="Arial" w:cs="Arial"/>
          <w:noProof/>
          <w:sz w:val="18"/>
          <w:szCs w:val="20"/>
          <w:lang w:eastAsia="es-MX"/>
        </w:rPr>
        <w:drawing>
          <wp:inline distT="0" distB="0" distL="0" distR="0" wp14:anchorId="2F8BEE1D" wp14:editId="263AAE5F">
            <wp:extent cx="4558853" cy="2460628"/>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52" cstate="print">
                      <a:extLst>
                        <a:ext uri="{28A0092B-C50C-407E-A947-70E740481C1C}">
                          <a14:useLocalDpi xmlns:a14="http://schemas.microsoft.com/office/drawing/2010/main" val="0"/>
                        </a:ext>
                      </a:extLst>
                    </a:blip>
                    <a:srcRect t="1351" b="26909"/>
                    <a:stretch/>
                  </pic:blipFill>
                  <pic:spPr bwMode="auto">
                    <a:xfrm>
                      <a:off x="0" y="0"/>
                      <a:ext cx="4559300" cy="2460869"/>
                    </a:xfrm>
                    <a:prstGeom prst="rect">
                      <a:avLst/>
                    </a:prstGeom>
                    <a:noFill/>
                    <a:ln>
                      <a:noFill/>
                    </a:ln>
                    <a:extLst>
                      <a:ext uri="{53640926-AAD7-44D8-BBD7-CCE9431645EC}">
                        <a14:shadowObscured xmlns:a14="http://schemas.microsoft.com/office/drawing/2010/main"/>
                      </a:ext>
                    </a:extLst>
                  </pic:spPr>
                </pic:pic>
              </a:graphicData>
            </a:graphic>
          </wp:inline>
        </w:drawing>
      </w:r>
    </w:p>
    <w:p w14:paraId="0BE060EA" w14:textId="77777777" w:rsidR="00176424" w:rsidRPr="00176424" w:rsidRDefault="00176424" w:rsidP="00176424">
      <w:pPr>
        <w:spacing w:after="360" w:line="360" w:lineRule="auto"/>
        <w:ind w:right="-159"/>
        <w:jc w:val="both"/>
        <w:rPr>
          <w:rFonts w:eastAsia="Times New Roman"/>
          <w:bCs/>
          <w:sz w:val="26"/>
          <w:szCs w:val="26"/>
          <w:lang w:val="es-ES"/>
        </w:rPr>
      </w:pPr>
      <w:r w:rsidRPr="00176424">
        <w:rPr>
          <w:rFonts w:eastAsia="Times New Roman"/>
          <w:bCs/>
          <w:sz w:val="26"/>
          <w:szCs w:val="26"/>
          <w:lang w:val="es-ES"/>
        </w:rPr>
        <w:lastRenderedPageBreak/>
        <w:t>Otra diferencia es que la crisis de 2008-2009 fue ocasionada principalmente por las tarjetas de crédito y otros productos de consumo, que pueden castigarse más rápido que los préstamos comerciales, los cuales impulsaron el mayor deterioro en 2013-2014. Esto se explica por los índices de morosidad que están ahora en niveles más altos que aquellos registrados en 2008-2009; aunque el grueso de los castigos y provisiones es materialmente menor.</w:t>
      </w:r>
    </w:p>
    <w:p w14:paraId="39F2B232" w14:textId="77777777" w:rsidR="00176424" w:rsidRPr="00176424" w:rsidRDefault="00176424" w:rsidP="00176424">
      <w:pPr>
        <w:spacing w:after="360" w:line="360" w:lineRule="auto"/>
        <w:ind w:right="-159"/>
        <w:jc w:val="both"/>
        <w:rPr>
          <w:rFonts w:eastAsia="Times New Roman"/>
          <w:bCs/>
          <w:sz w:val="26"/>
          <w:szCs w:val="26"/>
          <w:lang w:val="es-ES"/>
        </w:rPr>
      </w:pPr>
      <w:r w:rsidRPr="00176424">
        <w:rPr>
          <w:rFonts w:eastAsia="Times New Roman"/>
          <w:bCs/>
          <w:sz w:val="26"/>
          <w:szCs w:val="26"/>
          <w:lang w:val="es-ES"/>
        </w:rPr>
        <w:t>Mientras que la morosidad tendió a estabilizarse durante 2014, sucedió lo contrario con las provisiones y castigos. Fitch considera que la estabilidad de estos dos factores es crucial antes de asumir que hay espacio para que la calidad de activos mejore en general. Positivamente, el impacto mayor de la exposición a los constructores de vivienda ya fue absorbido. Por lo tanto, la agencia cree que los castigos y provisiones registraron un pico hacia finales de 2014. Estas métricas deberán disminuir eventual y gradualmente, asumiendo que no habrá un deterioro mayor de las perspectivas económicas.</w:t>
      </w:r>
    </w:p>
    <w:p w14:paraId="2EAB030E" w14:textId="77777777" w:rsidR="00176424" w:rsidRPr="00176424" w:rsidRDefault="00176424" w:rsidP="00176424">
      <w:pPr>
        <w:spacing w:after="360" w:line="360" w:lineRule="auto"/>
        <w:ind w:right="-159"/>
        <w:jc w:val="center"/>
        <w:rPr>
          <w:rFonts w:eastAsia="Times New Roman"/>
          <w:bCs/>
          <w:sz w:val="26"/>
          <w:szCs w:val="26"/>
          <w:lang w:val="es-ES"/>
        </w:rPr>
      </w:pPr>
      <w:r w:rsidRPr="00176424">
        <w:rPr>
          <w:rFonts w:ascii="Arial" w:eastAsia="Times New Roman" w:hAnsi="Arial" w:cs="Arial"/>
          <w:noProof/>
          <w:sz w:val="18"/>
          <w:szCs w:val="20"/>
          <w:lang w:eastAsia="es-MX"/>
        </w:rPr>
        <w:drawing>
          <wp:inline distT="0" distB="0" distL="0" distR="0" wp14:anchorId="34403234" wp14:editId="1DD2B781">
            <wp:extent cx="4559300" cy="2216471"/>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53" cstate="print">
                      <a:extLst>
                        <a:ext uri="{28A0092B-C50C-407E-A947-70E740481C1C}">
                          <a14:useLocalDpi xmlns:a14="http://schemas.microsoft.com/office/drawing/2010/main" val="0"/>
                        </a:ext>
                      </a:extLst>
                    </a:blip>
                    <a:srcRect b="35385"/>
                    <a:stretch/>
                  </pic:blipFill>
                  <pic:spPr bwMode="auto">
                    <a:xfrm>
                      <a:off x="0" y="0"/>
                      <a:ext cx="4559300" cy="2216471"/>
                    </a:xfrm>
                    <a:prstGeom prst="rect">
                      <a:avLst/>
                    </a:prstGeom>
                    <a:noFill/>
                    <a:ln>
                      <a:noFill/>
                    </a:ln>
                    <a:extLst>
                      <a:ext uri="{53640926-AAD7-44D8-BBD7-CCE9431645EC}">
                        <a14:shadowObscured xmlns:a14="http://schemas.microsoft.com/office/drawing/2010/main"/>
                      </a:ext>
                    </a:extLst>
                  </pic:spPr>
                </pic:pic>
              </a:graphicData>
            </a:graphic>
          </wp:inline>
        </w:drawing>
      </w:r>
    </w:p>
    <w:p w14:paraId="71A0F039" w14:textId="77777777" w:rsidR="00176424" w:rsidRPr="00176424" w:rsidRDefault="00176424" w:rsidP="00176424">
      <w:pPr>
        <w:spacing w:after="360" w:line="360" w:lineRule="auto"/>
        <w:ind w:right="-159"/>
        <w:jc w:val="both"/>
        <w:rPr>
          <w:rFonts w:eastAsia="Times New Roman"/>
          <w:bCs/>
          <w:sz w:val="26"/>
          <w:szCs w:val="26"/>
          <w:lang w:val="es-ES"/>
        </w:rPr>
      </w:pPr>
      <w:r w:rsidRPr="00176424">
        <w:rPr>
          <w:rFonts w:eastAsia="Times New Roman"/>
          <w:bCs/>
          <w:sz w:val="26"/>
          <w:szCs w:val="26"/>
          <w:lang w:val="es-ES"/>
        </w:rPr>
        <w:t xml:space="preserve">No obstante, la recuperación de la economía (más lenta de lo esperado) y el creciente riesgo a la baja de factores globales restringirán la habilidad de los bancos para mejorar materialmente la calidad crediticia. El escenario base de Fitch es que la mayoría de las métricas tenderá a estabilizarse en niveles cercanos a los registrados en 2014, con algo </w:t>
      </w:r>
      <w:r w:rsidRPr="00176424">
        <w:rPr>
          <w:rFonts w:eastAsia="Times New Roman"/>
          <w:bCs/>
          <w:sz w:val="26"/>
          <w:szCs w:val="26"/>
          <w:lang w:val="es-ES"/>
        </w:rPr>
        <w:lastRenderedPageBreak/>
        <w:t>de potencial de mejora, especialmente en el índice de morosidad y las provisiones. La agencia considera que las presiones pudiesen ser relativamente mayores en los préstamos para personas físicas, dada la estacionalidad de estos préstamos, que crecieron a un ritmo más acelerado durante 2011-2013.</w:t>
      </w:r>
    </w:p>
    <w:p w14:paraId="462CA721" w14:textId="77777777" w:rsidR="00176424" w:rsidRPr="00445B89" w:rsidRDefault="00176424" w:rsidP="00176424">
      <w:pPr>
        <w:spacing w:after="360" w:line="360" w:lineRule="auto"/>
        <w:ind w:right="-159"/>
        <w:jc w:val="both"/>
        <w:rPr>
          <w:rFonts w:eastAsia="Times New Roman"/>
          <w:b/>
          <w:bCs/>
          <w:sz w:val="26"/>
          <w:szCs w:val="26"/>
          <w:lang w:val="es-ES"/>
        </w:rPr>
      </w:pPr>
      <w:r w:rsidRPr="00445B89">
        <w:rPr>
          <w:rFonts w:eastAsia="Times New Roman"/>
          <w:b/>
          <w:bCs/>
          <w:sz w:val="26"/>
          <w:szCs w:val="26"/>
          <w:lang w:val="es-ES"/>
        </w:rPr>
        <w:t>Después de todo, los ingresos son buenos, pero con potencial de mejora limitado</w:t>
      </w:r>
    </w:p>
    <w:p w14:paraId="3A147089" w14:textId="77777777" w:rsidR="00176424" w:rsidRPr="00176424" w:rsidRDefault="00176424" w:rsidP="00176424">
      <w:pPr>
        <w:spacing w:after="360" w:line="360" w:lineRule="auto"/>
        <w:ind w:right="-159"/>
        <w:jc w:val="both"/>
        <w:rPr>
          <w:rFonts w:eastAsia="Times New Roman"/>
          <w:bCs/>
          <w:sz w:val="26"/>
          <w:szCs w:val="26"/>
          <w:lang w:val="es-ES"/>
        </w:rPr>
      </w:pPr>
      <w:r w:rsidRPr="00176424">
        <w:rPr>
          <w:rFonts w:eastAsia="Times New Roman"/>
          <w:bCs/>
          <w:sz w:val="26"/>
          <w:szCs w:val="26"/>
          <w:lang w:val="es-ES"/>
        </w:rPr>
        <w:t>En general, la rentabilidad del sistema bancario disminuyó ligeramente en 2014, en comparación con 2013, pero la ROA operativa y ROA neta permanecieron prácticamente en línea con el promedio de los 5 años previos. Los ingresos fueron presionados un poco por la compresión del margen, debido a la disminución de las tasas de interés y a que no hubo un cambio en el desplazamiento de los préstamos hacia el sector más rentable de préstamos al consumo, en 2014.</w:t>
      </w:r>
    </w:p>
    <w:p w14:paraId="3D2DFF8D" w14:textId="77777777" w:rsidR="00176424" w:rsidRPr="00176424" w:rsidRDefault="00176424" w:rsidP="00176424">
      <w:pPr>
        <w:spacing w:after="360" w:line="360" w:lineRule="auto"/>
        <w:ind w:right="-159"/>
        <w:jc w:val="center"/>
        <w:rPr>
          <w:rFonts w:eastAsia="Times New Roman"/>
          <w:bCs/>
          <w:sz w:val="26"/>
          <w:szCs w:val="26"/>
          <w:lang w:val="es-ES"/>
        </w:rPr>
      </w:pPr>
      <w:r w:rsidRPr="00176424">
        <w:rPr>
          <w:rFonts w:ascii="Arial" w:eastAsia="Times New Roman" w:hAnsi="Arial" w:cs="Arial"/>
          <w:noProof/>
          <w:sz w:val="18"/>
          <w:szCs w:val="20"/>
          <w:lang w:eastAsia="es-MX"/>
        </w:rPr>
        <w:drawing>
          <wp:inline distT="0" distB="0" distL="0" distR="0" wp14:anchorId="37D695B3" wp14:editId="3E39B298">
            <wp:extent cx="4559300" cy="2186976"/>
            <wp:effectExtent l="0" t="0" r="0" b="381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54" cstate="print">
                      <a:extLst>
                        <a:ext uri="{28A0092B-C50C-407E-A947-70E740481C1C}">
                          <a14:useLocalDpi xmlns:a14="http://schemas.microsoft.com/office/drawing/2010/main" val="0"/>
                        </a:ext>
                      </a:extLst>
                    </a:blip>
                    <a:srcRect b="36245"/>
                    <a:stretch/>
                  </pic:blipFill>
                  <pic:spPr bwMode="auto">
                    <a:xfrm>
                      <a:off x="0" y="0"/>
                      <a:ext cx="4559300" cy="2186976"/>
                    </a:xfrm>
                    <a:prstGeom prst="rect">
                      <a:avLst/>
                    </a:prstGeom>
                    <a:noFill/>
                    <a:ln>
                      <a:noFill/>
                    </a:ln>
                    <a:extLst>
                      <a:ext uri="{53640926-AAD7-44D8-BBD7-CCE9431645EC}">
                        <a14:shadowObscured xmlns:a14="http://schemas.microsoft.com/office/drawing/2010/main"/>
                      </a:ext>
                    </a:extLst>
                  </pic:spPr>
                </pic:pic>
              </a:graphicData>
            </a:graphic>
          </wp:inline>
        </w:drawing>
      </w:r>
    </w:p>
    <w:p w14:paraId="28B19E83" w14:textId="77777777" w:rsidR="00176424" w:rsidRPr="00176424" w:rsidRDefault="00176424" w:rsidP="00176424">
      <w:pPr>
        <w:spacing w:after="360" w:line="360" w:lineRule="auto"/>
        <w:ind w:right="-159"/>
        <w:jc w:val="both"/>
        <w:rPr>
          <w:rFonts w:eastAsia="Times New Roman"/>
          <w:bCs/>
          <w:sz w:val="26"/>
          <w:szCs w:val="26"/>
          <w:lang w:val="es-ES"/>
        </w:rPr>
      </w:pPr>
      <w:r w:rsidRPr="00176424">
        <w:rPr>
          <w:rFonts w:eastAsia="Times New Roman"/>
          <w:bCs/>
          <w:sz w:val="26"/>
          <w:szCs w:val="26"/>
          <w:lang w:val="es-ES"/>
        </w:rPr>
        <w:t>Fitch espera que las métricas de rentabilidad sean estables en 2015. El margen de interés neto (MIN), que aún explica la mayor parte de los ingresos operativos, probablemente será estable. Existe cierto potencial a la baja para el MIN, que se relacionaría con una competencia más intensa ante el ambiente de tasas de interés bajas. Sin embargo, Fitch considera que si este efecto negativo se materializase, podría ser compensando con ganancias en costos y/o eficiencia.</w:t>
      </w:r>
    </w:p>
    <w:p w14:paraId="411ADCB5" w14:textId="77777777" w:rsidR="00176424" w:rsidRPr="00176424" w:rsidRDefault="00176424" w:rsidP="00176424">
      <w:pPr>
        <w:spacing w:after="360" w:line="360" w:lineRule="auto"/>
        <w:ind w:right="-159"/>
        <w:jc w:val="both"/>
        <w:rPr>
          <w:rFonts w:eastAsia="Times New Roman"/>
          <w:bCs/>
          <w:sz w:val="26"/>
          <w:szCs w:val="26"/>
          <w:lang w:val="es-ES"/>
        </w:rPr>
      </w:pPr>
      <w:r w:rsidRPr="00176424">
        <w:rPr>
          <w:rFonts w:eastAsia="Times New Roman"/>
          <w:bCs/>
          <w:sz w:val="26"/>
          <w:szCs w:val="26"/>
          <w:lang w:val="es-ES"/>
        </w:rPr>
        <w:lastRenderedPageBreak/>
        <w:t>La agencia opina que el potencial que existe para que los ingresos se incrementen, surgiría de una disminución de los costos crediticios (provisiones). Sin embargo, esto ocurrirá de manera gradual y mejoras sustanciales están condicionadas a una economía materialmente más sólida y un entorno operativo de niveles de morosidad menores tanto en el portafolio comercial como el de consumo.</w:t>
      </w:r>
    </w:p>
    <w:p w14:paraId="3E91F2C8" w14:textId="77777777" w:rsidR="00176424" w:rsidRPr="00176424" w:rsidRDefault="00176424" w:rsidP="00176424">
      <w:pPr>
        <w:spacing w:after="360" w:line="360" w:lineRule="auto"/>
        <w:ind w:right="-159"/>
        <w:jc w:val="both"/>
        <w:rPr>
          <w:rFonts w:eastAsia="Times New Roman"/>
          <w:bCs/>
          <w:sz w:val="26"/>
          <w:szCs w:val="26"/>
          <w:lang w:val="es-ES"/>
        </w:rPr>
      </w:pPr>
      <w:r w:rsidRPr="00176424">
        <w:rPr>
          <w:rFonts w:eastAsia="Times New Roman"/>
          <w:bCs/>
          <w:sz w:val="26"/>
          <w:szCs w:val="26"/>
          <w:lang w:val="es-ES"/>
        </w:rPr>
        <w:t>Sucesivamente, Fitch considera que el riesgo a la baja más relevante para los ingresos podría surgir de una volatilidad mayor de los resultados por intermediación, cuando la fase del ciclo de la tasa de interés cambiase. Sin embargo, la magnitud y momento de tal impacto son virtualmente imposibles de predecir. La calificadora asume que los ingresos sufrirían temporalmente cuando las tasas de interés se incrementasen, porque el efecto positivo en los márgenes ocurre solo gradualmente, contrario al impacto inmediato en los ingresos por intermediación.</w:t>
      </w:r>
    </w:p>
    <w:p w14:paraId="001BB322" w14:textId="77777777" w:rsidR="00176424" w:rsidRPr="00A84901" w:rsidRDefault="00176424" w:rsidP="00176424">
      <w:pPr>
        <w:spacing w:after="360" w:line="360" w:lineRule="auto"/>
        <w:ind w:right="-159"/>
        <w:jc w:val="both"/>
        <w:rPr>
          <w:rFonts w:eastAsia="Times New Roman"/>
          <w:b/>
          <w:bCs/>
          <w:sz w:val="26"/>
          <w:szCs w:val="26"/>
          <w:lang w:val="es-ES"/>
        </w:rPr>
      </w:pPr>
      <w:r w:rsidRPr="00A84901">
        <w:rPr>
          <w:rFonts w:eastAsia="Times New Roman"/>
          <w:b/>
          <w:bCs/>
          <w:sz w:val="26"/>
          <w:szCs w:val="26"/>
          <w:lang w:val="es-ES"/>
        </w:rPr>
        <w:t>Capital y liquidez fuertes; retos nuevos en el mediano plazo</w:t>
      </w:r>
    </w:p>
    <w:p w14:paraId="41B3D5F9" w14:textId="77777777" w:rsidR="00176424" w:rsidRPr="00176424" w:rsidRDefault="00176424" w:rsidP="00176424">
      <w:pPr>
        <w:spacing w:after="360" w:line="360" w:lineRule="auto"/>
        <w:ind w:right="-159"/>
        <w:jc w:val="both"/>
        <w:rPr>
          <w:rFonts w:eastAsia="Times New Roman"/>
          <w:bCs/>
          <w:sz w:val="26"/>
          <w:szCs w:val="26"/>
          <w:lang w:val="es-ES"/>
        </w:rPr>
      </w:pPr>
      <w:r w:rsidRPr="00176424">
        <w:rPr>
          <w:rFonts w:eastAsia="Times New Roman"/>
          <w:bCs/>
          <w:sz w:val="26"/>
          <w:szCs w:val="26"/>
          <w:lang w:val="es-ES"/>
        </w:rPr>
        <w:t>El crecimiento moderado de los préstamos en años recientes ha impulsado la estabilidad en las métricas claves de capital y liquidez. La adecuación de capital ha sido estable, dado que la generación interna de capital (rentabilidad sobre capital después de dividendos) ha estado en línea con el ritmo moderado de crecimiento de los préstamos. La disminución en las métricas de capital durante 2013 fue virtualmente el resultado de la adopción de Basilea III, el cual se enfoca a medidas de capital regulatorio más rigurosas; aunque estas métricas mejoraron ligeramente desde entonces.</w:t>
      </w:r>
    </w:p>
    <w:p w14:paraId="2B249B42" w14:textId="77777777" w:rsidR="00176424" w:rsidRPr="00176424" w:rsidRDefault="00176424" w:rsidP="00176424">
      <w:pPr>
        <w:spacing w:after="360" w:line="360" w:lineRule="auto"/>
        <w:ind w:right="-159"/>
        <w:jc w:val="center"/>
        <w:rPr>
          <w:rFonts w:eastAsia="Times New Roman"/>
          <w:bCs/>
          <w:sz w:val="26"/>
          <w:szCs w:val="26"/>
          <w:lang w:val="es-ES"/>
        </w:rPr>
      </w:pPr>
      <w:r w:rsidRPr="00176424">
        <w:rPr>
          <w:rFonts w:ascii="Arial" w:eastAsia="Times New Roman" w:hAnsi="Arial" w:cs="Arial"/>
          <w:noProof/>
          <w:sz w:val="18"/>
          <w:szCs w:val="20"/>
          <w:lang w:eastAsia="es-MX"/>
        </w:rPr>
        <w:lastRenderedPageBreak/>
        <w:drawing>
          <wp:inline distT="0" distB="0" distL="0" distR="0" wp14:anchorId="46853E65" wp14:editId="00B785FB">
            <wp:extent cx="4558064" cy="2207436"/>
            <wp:effectExtent l="0" t="0" r="0" b="254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55" cstate="print">
                      <a:extLst>
                        <a:ext uri="{28A0092B-C50C-407E-A947-70E740481C1C}">
                          <a14:useLocalDpi xmlns:a14="http://schemas.microsoft.com/office/drawing/2010/main" val="0"/>
                        </a:ext>
                      </a:extLst>
                    </a:blip>
                    <a:srcRect t="1106" b="34525"/>
                    <a:stretch/>
                  </pic:blipFill>
                  <pic:spPr bwMode="auto">
                    <a:xfrm>
                      <a:off x="0" y="0"/>
                      <a:ext cx="4559300" cy="2208035"/>
                    </a:xfrm>
                    <a:prstGeom prst="rect">
                      <a:avLst/>
                    </a:prstGeom>
                    <a:noFill/>
                    <a:ln>
                      <a:noFill/>
                    </a:ln>
                    <a:extLst>
                      <a:ext uri="{53640926-AAD7-44D8-BBD7-CCE9431645EC}">
                        <a14:shadowObscured xmlns:a14="http://schemas.microsoft.com/office/drawing/2010/main"/>
                      </a:ext>
                    </a:extLst>
                  </pic:spPr>
                </pic:pic>
              </a:graphicData>
            </a:graphic>
          </wp:inline>
        </w:drawing>
      </w:r>
    </w:p>
    <w:p w14:paraId="3665071F" w14:textId="77777777" w:rsidR="00176424" w:rsidRPr="00176424" w:rsidRDefault="00176424" w:rsidP="00176424">
      <w:pPr>
        <w:spacing w:after="360" w:line="360" w:lineRule="auto"/>
        <w:ind w:right="-159"/>
        <w:jc w:val="both"/>
        <w:rPr>
          <w:rFonts w:eastAsia="Times New Roman"/>
          <w:bCs/>
          <w:sz w:val="26"/>
          <w:szCs w:val="26"/>
          <w:lang w:val="es-ES"/>
        </w:rPr>
      </w:pPr>
      <w:r w:rsidRPr="00176424">
        <w:rPr>
          <w:rFonts w:eastAsia="Times New Roman"/>
          <w:bCs/>
          <w:sz w:val="26"/>
          <w:szCs w:val="26"/>
          <w:lang w:val="es-ES"/>
        </w:rPr>
        <w:t>Sin embargo, Fitch espera que el capital y la liquidez enfrenten desafíos mayores a partir de 2015. Las métricas de adecuación de capital podrían estar un tanto presionadas por la confluencia de un crecimiento ligeramente mayor de los préstamos e ingresos potencialmente más bajos. A su vez, los perfiles de liquidez y fondeo podrían enfrentar desafíos por la adopción de regulaciones más rigurosas alineadas con los estándares de liquidez de Basilea III. Estas nuevas normas, introducidas en enero de 2015, tienen como objetivo reducir los descalces de plazos aún materiales entre activos y pasivos. Dada la naturaleza de corto plazo de la mayoría de los depósitos de clientes en México, Fitch espera una dependencia creciente de fondeo no proveniente de depósitos y plazos más largos. Por lo tanto, un deterioro sostenido, pero gradual, del indicador de créditos-depósitos no puede descartarse en los próximos años.</w:t>
      </w:r>
    </w:p>
    <w:p w14:paraId="5CCF096D" w14:textId="77777777" w:rsidR="00176424" w:rsidRPr="00176424" w:rsidRDefault="00176424" w:rsidP="00176424">
      <w:pPr>
        <w:spacing w:after="360" w:line="360" w:lineRule="auto"/>
        <w:ind w:right="-159"/>
        <w:jc w:val="both"/>
        <w:rPr>
          <w:rFonts w:eastAsia="Times New Roman"/>
          <w:b/>
          <w:bCs/>
          <w:sz w:val="26"/>
          <w:szCs w:val="26"/>
          <w:lang w:val="es-ES"/>
        </w:rPr>
      </w:pPr>
      <w:r w:rsidRPr="00176424">
        <w:rPr>
          <w:rFonts w:eastAsia="Times New Roman"/>
          <w:b/>
          <w:bCs/>
          <w:sz w:val="26"/>
          <w:szCs w:val="26"/>
          <w:lang w:val="es-ES"/>
        </w:rPr>
        <w:t>Revisión 2014</w:t>
      </w:r>
    </w:p>
    <w:p w14:paraId="0DA97A49" w14:textId="77777777" w:rsidR="00176424" w:rsidRPr="00176424" w:rsidRDefault="00176424" w:rsidP="00176424">
      <w:pPr>
        <w:spacing w:after="360" w:line="360" w:lineRule="auto"/>
        <w:ind w:right="-159"/>
        <w:jc w:val="both"/>
        <w:rPr>
          <w:rFonts w:eastAsia="Times New Roman"/>
          <w:bCs/>
          <w:sz w:val="26"/>
          <w:szCs w:val="26"/>
          <w:lang w:val="es-ES"/>
        </w:rPr>
      </w:pPr>
      <w:r w:rsidRPr="00176424">
        <w:rPr>
          <w:rFonts w:eastAsia="Times New Roman"/>
          <w:bCs/>
          <w:sz w:val="26"/>
          <w:szCs w:val="26"/>
          <w:lang w:val="es-ES"/>
        </w:rPr>
        <w:t>Durante 2014, el desempeño y fundamentales crediticios de los bancos mexicanos se alinearon estrechamente con las expectativas de Fitch al inicio del año. La única desviación importante fue con respecto al crecimiento de los préstamos, los cuales se desaceleraron aún más en relación a 2013, mientras que Fitch había anticipado cierta recuperación. Los niveles de morosidad fueron estables, de acuerdo con las expectativas de Fitch, aunque los costos crediticios siguieron creciendo.</w:t>
      </w:r>
    </w:p>
    <w:p w14:paraId="39C4F446" w14:textId="77777777" w:rsidR="00176424" w:rsidRPr="00176424" w:rsidRDefault="00176424" w:rsidP="00176424">
      <w:pPr>
        <w:spacing w:after="360" w:line="360" w:lineRule="auto"/>
        <w:ind w:right="-159"/>
        <w:jc w:val="both"/>
        <w:rPr>
          <w:rFonts w:eastAsia="Times New Roman"/>
          <w:bCs/>
          <w:sz w:val="26"/>
          <w:szCs w:val="26"/>
          <w:lang w:val="es-ES"/>
        </w:rPr>
      </w:pPr>
      <w:r w:rsidRPr="00176424">
        <w:rPr>
          <w:rFonts w:eastAsia="Times New Roman"/>
          <w:bCs/>
          <w:sz w:val="26"/>
          <w:szCs w:val="26"/>
          <w:lang w:val="es-ES"/>
        </w:rPr>
        <w:lastRenderedPageBreak/>
        <w:t>A pesar del entorno difícil, las acciones positivas de calificaciones superaron claramente las acciones negativas en 2014. Entre las acciones más relevantes en 2014, Fitch incrementó los IDRs de Banorte y Banco del Bajío, mientras que las Perspectivas de calificación de BBVA Bancomer y Banco Interacciones se revisaron a Positivas desde Estables. También hubo algunas acciones positivas sobre calificaciones en escala nacional, mientras que las únicas acciones negativas fueron en los bancos de nicho, ABC Capital y Bankaool.</w:t>
      </w:r>
    </w:p>
    <w:p w14:paraId="53DBEC48" w14:textId="77777777" w:rsidR="00176424" w:rsidRPr="00176424" w:rsidRDefault="00176424" w:rsidP="00176424">
      <w:pPr>
        <w:spacing w:after="360" w:line="360" w:lineRule="auto"/>
        <w:ind w:right="-159"/>
        <w:jc w:val="both"/>
        <w:rPr>
          <w:rFonts w:eastAsia="Times New Roman"/>
          <w:bCs/>
          <w:sz w:val="26"/>
          <w:szCs w:val="26"/>
          <w:lang w:val="es-ES"/>
        </w:rPr>
      </w:pPr>
      <w:r w:rsidRPr="00176424">
        <w:rPr>
          <w:rFonts w:eastAsia="Times New Roman"/>
          <w:bCs/>
          <w:sz w:val="26"/>
          <w:szCs w:val="26"/>
          <w:lang w:val="es-ES"/>
        </w:rPr>
        <w:t>A lo largo del año, Fitch señaló que ciertos hechos relevantes no impactaron las calificaciones de los bancos involucrados. Estos eventos incluyeron los anuncios de fraude cometidos por uno de los principales clientes de Banamex en el negocio de factoraje, así como la adquisición planeada de Banco Walmart de México por parte de Banco Inbursa.</w:t>
      </w:r>
    </w:p>
    <w:p w14:paraId="3704719B" w14:textId="77777777" w:rsidR="00176424" w:rsidRPr="00176424" w:rsidRDefault="00176424" w:rsidP="00176424">
      <w:pPr>
        <w:spacing w:after="360" w:line="360" w:lineRule="auto"/>
        <w:ind w:right="-159"/>
        <w:jc w:val="both"/>
        <w:rPr>
          <w:rFonts w:eastAsia="Times New Roman"/>
          <w:bCs/>
          <w:sz w:val="26"/>
          <w:szCs w:val="26"/>
          <w:lang w:val="es-ES"/>
        </w:rPr>
      </w:pPr>
      <w:r w:rsidRPr="00176424">
        <w:rPr>
          <w:rFonts w:eastAsia="Times New Roman"/>
          <w:bCs/>
          <w:sz w:val="26"/>
          <w:szCs w:val="26"/>
          <w:lang w:val="es-ES"/>
        </w:rPr>
        <w:t>Para tener acceso al “Apéndice: Calificaciones de Bancos Mexicanos”, visite:</w:t>
      </w:r>
    </w:p>
    <w:p w14:paraId="40870CEB" w14:textId="77777777" w:rsidR="00176424" w:rsidRPr="00176424" w:rsidRDefault="0093224F" w:rsidP="00176424">
      <w:pPr>
        <w:spacing w:after="360" w:line="360" w:lineRule="auto"/>
        <w:ind w:right="-159"/>
        <w:jc w:val="both"/>
        <w:rPr>
          <w:rFonts w:eastAsia="Times New Roman"/>
          <w:bCs/>
          <w:sz w:val="26"/>
          <w:szCs w:val="26"/>
          <w:lang w:val="es-ES"/>
        </w:rPr>
      </w:pPr>
      <w:hyperlink r:id="rId356" w:history="1">
        <w:r w:rsidR="00176424" w:rsidRPr="00176424">
          <w:rPr>
            <w:rFonts w:eastAsia="Times New Roman"/>
            <w:bCs/>
            <w:sz w:val="26"/>
            <w:szCs w:val="26"/>
            <w:u w:val="single"/>
            <w:lang w:val="es-ES"/>
          </w:rPr>
          <w:t>http://www.fitchratings.mx/ArchivosHTML/RepEsp_13800.pdf</w:t>
        </w:r>
      </w:hyperlink>
      <w:r w:rsidR="00176424" w:rsidRPr="00176424">
        <w:rPr>
          <w:rFonts w:eastAsia="Times New Roman"/>
          <w:bCs/>
          <w:sz w:val="26"/>
          <w:szCs w:val="26"/>
          <w:lang w:val="es-ES"/>
        </w:rPr>
        <w:t xml:space="preserve"> </w:t>
      </w:r>
    </w:p>
    <w:p w14:paraId="18076366" w14:textId="77777777" w:rsidR="00176424" w:rsidRPr="00176424" w:rsidRDefault="00176424" w:rsidP="00176424">
      <w:pPr>
        <w:ind w:right="-159"/>
        <w:jc w:val="both"/>
        <w:rPr>
          <w:rFonts w:eastAsia="Calibri"/>
          <w:b/>
          <w:sz w:val="20"/>
          <w:szCs w:val="20"/>
          <w:lang w:val="es-ES" w:eastAsia="en-US"/>
        </w:rPr>
      </w:pPr>
      <w:r w:rsidRPr="00176424">
        <w:rPr>
          <w:rFonts w:eastAsia="Calibri"/>
          <w:b/>
          <w:sz w:val="20"/>
          <w:szCs w:val="20"/>
          <w:lang w:val="es-ES" w:eastAsia="en-US"/>
        </w:rPr>
        <w:t>Fuente de información:</w:t>
      </w:r>
    </w:p>
    <w:p w14:paraId="6E7CF33A" w14:textId="77777777" w:rsidR="00176424" w:rsidRPr="008631DB" w:rsidRDefault="0093224F" w:rsidP="00176424">
      <w:pPr>
        <w:ind w:right="-159"/>
        <w:jc w:val="both"/>
        <w:rPr>
          <w:rFonts w:eastAsia="Calibri"/>
          <w:color w:val="0000FF"/>
          <w:sz w:val="20"/>
          <w:szCs w:val="20"/>
          <w:lang w:eastAsia="en-US"/>
        </w:rPr>
      </w:pPr>
      <w:hyperlink r:id="rId357" w:history="1">
        <w:r w:rsidR="00176424" w:rsidRPr="008631DB">
          <w:rPr>
            <w:rFonts w:eastAsia="Calibri"/>
            <w:color w:val="0000FF"/>
            <w:sz w:val="20"/>
            <w:szCs w:val="20"/>
            <w:u w:val="single"/>
            <w:lang w:eastAsia="en-US"/>
          </w:rPr>
          <w:t>http://www.fitchratings.mx/ArchivosHTML/ComRE_13801.html</w:t>
        </w:r>
      </w:hyperlink>
      <w:r w:rsidR="00176424" w:rsidRPr="008631DB">
        <w:rPr>
          <w:rFonts w:eastAsia="Calibri"/>
          <w:color w:val="0000FF"/>
          <w:sz w:val="20"/>
          <w:szCs w:val="20"/>
          <w:lang w:eastAsia="en-US"/>
        </w:rPr>
        <w:t xml:space="preserve"> </w:t>
      </w:r>
    </w:p>
    <w:p w14:paraId="4A8BFA98" w14:textId="77777777" w:rsidR="00176424" w:rsidRPr="008631DB" w:rsidRDefault="0093224F" w:rsidP="00176424">
      <w:pPr>
        <w:ind w:right="-159"/>
        <w:jc w:val="both"/>
        <w:rPr>
          <w:rFonts w:eastAsia="Calibri"/>
          <w:color w:val="0000FF"/>
          <w:sz w:val="20"/>
          <w:szCs w:val="20"/>
          <w:lang w:eastAsia="en-US"/>
        </w:rPr>
      </w:pPr>
      <w:hyperlink r:id="rId358" w:history="1">
        <w:r w:rsidR="00176424" w:rsidRPr="008631DB">
          <w:rPr>
            <w:rFonts w:eastAsia="Calibri"/>
            <w:color w:val="0000FF"/>
            <w:sz w:val="20"/>
            <w:szCs w:val="20"/>
            <w:u w:val="single"/>
            <w:lang w:eastAsia="en-US"/>
          </w:rPr>
          <w:t>http://www.fitchratings.mx/ArchivosHTML/ComRE_13801.pdf</w:t>
        </w:r>
      </w:hyperlink>
      <w:r w:rsidR="00176424" w:rsidRPr="008631DB">
        <w:rPr>
          <w:rFonts w:eastAsia="Calibri"/>
          <w:color w:val="0000FF"/>
          <w:sz w:val="20"/>
          <w:szCs w:val="20"/>
          <w:lang w:eastAsia="en-US"/>
        </w:rPr>
        <w:t xml:space="preserve"> </w:t>
      </w:r>
    </w:p>
    <w:p w14:paraId="28CCBC30" w14:textId="33A97ED1" w:rsidR="00176424" w:rsidRPr="008631DB" w:rsidRDefault="0093224F" w:rsidP="008631DB">
      <w:pPr>
        <w:spacing w:after="720"/>
        <w:ind w:right="-159"/>
        <w:jc w:val="both"/>
        <w:rPr>
          <w:rFonts w:eastAsia="Calibri"/>
          <w:color w:val="0000FF"/>
          <w:sz w:val="20"/>
          <w:szCs w:val="20"/>
          <w:lang w:eastAsia="en-US"/>
        </w:rPr>
      </w:pPr>
      <w:hyperlink r:id="rId359" w:history="1">
        <w:r w:rsidR="00176424" w:rsidRPr="008631DB">
          <w:rPr>
            <w:rFonts w:eastAsia="Calibri"/>
            <w:color w:val="0000FF"/>
            <w:sz w:val="20"/>
            <w:szCs w:val="20"/>
            <w:u w:val="single"/>
            <w:lang w:eastAsia="en-US"/>
          </w:rPr>
          <w:t>http://www.fitchratings.mx/ArchivosHTML/RepEsp_13800.pdf</w:t>
        </w:r>
      </w:hyperlink>
      <w:r w:rsidR="00176424" w:rsidRPr="008631DB">
        <w:rPr>
          <w:rFonts w:eastAsia="Calibri"/>
          <w:color w:val="0000FF"/>
          <w:sz w:val="20"/>
          <w:szCs w:val="20"/>
          <w:lang w:eastAsia="en-US"/>
        </w:rPr>
        <w:t xml:space="preserve"> </w:t>
      </w:r>
      <w:hyperlink r:id="rId360" w:history="1"/>
    </w:p>
    <w:p w14:paraId="2AC9A828" w14:textId="77777777" w:rsidR="004913BB" w:rsidRPr="004913BB" w:rsidRDefault="004913BB" w:rsidP="004913BB">
      <w:pPr>
        <w:ind w:right="-159"/>
        <w:jc w:val="both"/>
        <w:rPr>
          <w:rFonts w:eastAsia="Times New Roman"/>
          <w:b/>
          <w:bCs/>
          <w:sz w:val="26"/>
          <w:szCs w:val="26"/>
          <w:lang w:val="es-ES"/>
        </w:rPr>
      </w:pPr>
      <w:r w:rsidRPr="004913BB">
        <w:rPr>
          <w:rFonts w:eastAsia="Times New Roman"/>
          <w:b/>
          <w:bCs/>
          <w:sz w:val="26"/>
          <w:szCs w:val="26"/>
          <w:lang w:val="es-ES"/>
        </w:rPr>
        <w:t>La liquidez de los corporativos mexicanos</w:t>
      </w:r>
    </w:p>
    <w:p w14:paraId="1544DA87" w14:textId="77777777" w:rsidR="004913BB" w:rsidRPr="004913BB" w:rsidRDefault="004913BB" w:rsidP="004913BB">
      <w:pPr>
        <w:spacing w:after="360" w:line="360" w:lineRule="auto"/>
        <w:ind w:right="-159"/>
        <w:jc w:val="both"/>
        <w:rPr>
          <w:rFonts w:eastAsia="Times New Roman"/>
          <w:b/>
          <w:bCs/>
          <w:sz w:val="26"/>
          <w:szCs w:val="26"/>
          <w:lang w:val="es-ES"/>
        </w:rPr>
      </w:pPr>
      <w:r w:rsidRPr="004913BB">
        <w:rPr>
          <w:rFonts w:eastAsia="Times New Roman"/>
          <w:b/>
          <w:bCs/>
          <w:sz w:val="26"/>
          <w:szCs w:val="26"/>
          <w:lang w:val="es-ES"/>
        </w:rPr>
        <w:t>permanece sólida (Fitch)</w:t>
      </w:r>
    </w:p>
    <w:p w14:paraId="0D803846" w14:textId="5EBB81CB" w:rsidR="004913BB" w:rsidRPr="004913BB" w:rsidRDefault="004913BB" w:rsidP="004913BB">
      <w:pPr>
        <w:spacing w:after="360" w:line="360" w:lineRule="auto"/>
        <w:ind w:right="-159"/>
        <w:jc w:val="both"/>
        <w:rPr>
          <w:rFonts w:eastAsia="Times New Roman"/>
          <w:bCs/>
          <w:sz w:val="26"/>
          <w:szCs w:val="26"/>
          <w:lang w:val="es-ES"/>
        </w:rPr>
      </w:pPr>
      <w:r w:rsidRPr="004913BB">
        <w:rPr>
          <w:rFonts w:eastAsia="Times New Roman"/>
          <w:bCs/>
          <w:sz w:val="26"/>
          <w:szCs w:val="26"/>
          <w:lang w:val="es-ES"/>
        </w:rPr>
        <w:t xml:space="preserve">El 27 de febrero 2015, la casa calificadora Fitch Ratings comunicó que la liquidez de las empresas mexicanas permanece sólida, a pesar de que </w:t>
      </w:r>
      <w:r w:rsidR="007D2C1E">
        <w:rPr>
          <w:rFonts w:eastAsia="Times New Roman"/>
          <w:bCs/>
          <w:sz w:val="26"/>
          <w:szCs w:val="26"/>
          <w:lang w:val="es-ES"/>
        </w:rPr>
        <w:t>é</w:t>
      </w:r>
      <w:r w:rsidRPr="004913BB">
        <w:rPr>
          <w:rFonts w:eastAsia="Times New Roman"/>
          <w:bCs/>
          <w:sz w:val="26"/>
          <w:szCs w:val="26"/>
          <w:lang w:val="es-ES"/>
        </w:rPr>
        <w:t xml:space="preserve">sta se ha deteriorado ligeramente durante los últimos años, de acuerdo con el documento </w:t>
      </w:r>
      <w:r w:rsidRPr="004913BB">
        <w:rPr>
          <w:rFonts w:eastAsia="Times New Roman"/>
          <w:bCs/>
          <w:i/>
          <w:sz w:val="26"/>
          <w:szCs w:val="26"/>
        </w:rPr>
        <w:t>Mexican Corporate Liquidity Remains Sound Despite a Challenging 2015</w:t>
      </w:r>
      <w:r w:rsidRPr="004913BB">
        <w:rPr>
          <w:rFonts w:eastAsia="Times New Roman"/>
          <w:bCs/>
          <w:sz w:val="26"/>
          <w:szCs w:val="26"/>
          <w:lang w:val="es-ES"/>
        </w:rPr>
        <w:t xml:space="preserve"> (“Liquidez de Corporativos Mexicanos Permanece Sólida A Pesar de un 2015 Retador”).</w:t>
      </w:r>
    </w:p>
    <w:p w14:paraId="0AFB96FF" w14:textId="77777777" w:rsidR="004913BB" w:rsidRPr="004913BB" w:rsidRDefault="004913BB" w:rsidP="004913BB">
      <w:pPr>
        <w:spacing w:after="360" w:line="360" w:lineRule="auto"/>
        <w:ind w:right="-159"/>
        <w:jc w:val="both"/>
        <w:rPr>
          <w:rFonts w:eastAsia="Times New Roman"/>
          <w:bCs/>
          <w:sz w:val="26"/>
          <w:szCs w:val="26"/>
          <w:lang w:val="es-ES"/>
        </w:rPr>
      </w:pPr>
      <w:r w:rsidRPr="004913BB">
        <w:rPr>
          <w:rFonts w:eastAsia="Times New Roman"/>
          <w:bCs/>
          <w:sz w:val="26"/>
          <w:szCs w:val="26"/>
          <w:lang w:val="es-ES"/>
        </w:rPr>
        <w:lastRenderedPageBreak/>
        <w:t>Debido a un incremento en los vencimientos de deuda, la media del indicador agregado de efectivo más flujo de caja operativo (FCO) sobre deuda a corto plazo disminuyó a 3.2 veces a junio de 2014 desde 4.6 veces en 2010. En este mismo lapso de tiempo y de manera agregada, la deuda a corto plazo se ha incrementado a un ritmo mayor que el efectivo e inversiones temporales.</w:t>
      </w:r>
    </w:p>
    <w:p w14:paraId="70DC65A3" w14:textId="77777777" w:rsidR="004913BB" w:rsidRPr="004913BB" w:rsidRDefault="004913BB" w:rsidP="004913BB">
      <w:pPr>
        <w:spacing w:after="360" w:line="360" w:lineRule="auto"/>
        <w:ind w:right="-159"/>
        <w:jc w:val="both"/>
        <w:rPr>
          <w:rFonts w:eastAsia="Times New Roman"/>
          <w:bCs/>
          <w:sz w:val="26"/>
          <w:szCs w:val="26"/>
          <w:lang w:val="es-ES"/>
        </w:rPr>
      </w:pPr>
      <w:r w:rsidRPr="004913BB">
        <w:rPr>
          <w:rFonts w:eastAsia="Times New Roman"/>
          <w:bCs/>
          <w:sz w:val="26"/>
          <w:szCs w:val="26"/>
          <w:lang w:val="es-ES"/>
        </w:rPr>
        <w:t>Asimismo, la razón agregada de liquidez —medida como efectivo/deuda de corto plazo— se ha debilitado a 1.4 veces en junio de 2014 de 2.1 veces en 2010. A esta misma fecha, este efecto es notable por el incremento en el porcentaje de deuda a corto plazo/deuda total; el cual se incrementó a 13.4 desde 12.7%. Esta tendencia es consistente con el incremento observado en necesidades de refinanciamiento de deuda debido a vencimientos a corto plazo. Fitch cree que este indicador mejorará en la medida que las compañías vayan atiendo sus necesidades de refinanciar deuda de corto plazo.</w:t>
      </w:r>
    </w:p>
    <w:p w14:paraId="52341679" w14:textId="77777777" w:rsidR="004913BB" w:rsidRPr="004913BB" w:rsidRDefault="004913BB" w:rsidP="004913BB">
      <w:pPr>
        <w:spacing w:after="360" w:line="360" w:lineRule="auto"/>
        <w:ind w:right="-159"/>
        <w:jc w:val="both"/>
        <w:rPr>
          <w:rFonts w:eastAsia="Times New Roman"/>
          <w:bCs/>
          <w:sz w:val="26"/>
          <w:szCs w:val="26"/>
          <w:lang w:val="es-ES"/>
        </w:rPr>
      </w:pPr>
      <w:r w:rsidRPr="004913BB">
        <w:rPr>
          <w:rFonts w:eastAsia="Times New Roman"/>
          <w:bCs/>
          <w:sz w:val="26"/>
          <w:szCs w:val="26"/>
          <w:lang w:val="es-ES"/>
        </w:rPr>
        <w:t>Fitch espera que las acciones positivas de calificación sean ligeramente superiores a las negativas en 2015 para los corporativos mexicanos. Sin embargo, precios del petróleo bajos, recortes al presupuesto y la depreciación del peso mexicano, mitigan la relación entre alzas y bajas en las calificaciones. Fitch espera métricas de crédito estables debido a que los flujos de efectivo libre se aproximen a ser neutrales. Presiones negativas en las calificaciones pudieran detonarse por fusiones y adquisiciones, problemas de refinanciamiento en entidades con calificaciones bajas y en empresas que tengan exposiciones no cubiertas a monedas extranjeros, principalmente el dólares estadounidenses.</w:t>
      </w:r>
    </w:p>
    <w:p w14:paraId="334F0E54" w14:textId="77777777" w:rsidR="004913BB" w:rsidRPr="004913BB" w:rsidRDefault="004913BB" w:rsidP="004913BB">
      <w:pPr>
        <w:spacing w:after="360" w:line="360" w:lineRule="auto"/>
        <w:ind w:right="-159"/>
        <w:jc w:val="both"/>
        <w:rPr>
          <w:rFonts w:eastAsia="Times New Roman"/>
          <w:bCs/>
          <w:sz w:val="26"/>
          <w:szCs w:val="26"/>
          <w:lang w:val="es-ES"/>
        </w:rPr>
      </w:pPr>
      <w:r w:rsidRPr="004913BB">
        <w:rPr>
          <w:rFonts w:eastAsia="Times New Roman"/>
          <w:bCs/>
          <w:sz w:val="26"/>
          <w:szCs w:val="26"/>
          <w:lang w:val="es-ES"/>
        </w:rPr>
        <w:t xml:space="preserve">El reporte proporciona un análisis para los corporativos mexicanos calificados públicamente por Fitch en la escala nacional e internacional de la evolución de indicadores agregados de liquidez y apalancamiento. Este reporte muestra las tendencias relacionadas a las métricas crediticias, generación de flujo de efectivo y </w:t>
      </w:r>
      <w:r w:rsidRPr="004913BB">
        <w:rPr>
          <w:rFonts w:eastAsia="Times New Roman"/>
          <w:bCs/>
          <w:sz w:val="26"/>
          <w:szCs w:val="26"/>
          <w:lang w:val="es-ES"/>
        </w:rPr>
        <w:lastRenderedPageBreak/>
        <w:t>posiciones de liquidez para el portafolio. También aborda los motivos detrás de algunos de los cambios de calificación más notorios en los últimos años.</w:t>
      </w:r>
    </w:p>
    <w:p w14:paraId="7AE57558" w14:textId="77777777" w:rsidR="004913BB" w:rsidRPr="004913BB" w:rsidRDefault="004913BB" w:rsidP="004913BB">
      <w:pPr>
        <w:ind w:right="-159"/>
        <w:jc w:val="both"/>
        <w:rPr>
          <w:rFonts w:eastAsia="Calibri"/>
          <w:b/>
          <w:sz w:val="20"/>
          <w:szCs w:val="20"/>
          <w:lang w:val="es-ES" w:eastAsia="en-US"/>
        </w:rPr>
      </w:pPr>
      <w:r w:rsidRPr="004913BB">
        <w:rPr>
          <w:rFonts w:eastAsia="Calibri"/>
          <w:b/>
          <w:sz w:val="20"/>
          <w:szCs w:val="20"/>
          <w:lang w:val="es-ES" w:eastAsia="en-US"/>
        </w:rPr>
        <w:t>Fuente de información:</w:t>
      </w:r>
    </w:p>
    <w:p w14:paraId="4FD3A016" w14:textId="77777777" w:rsidR="004913BB" w:rsidRPr="008631DB" w:rsidRDefault="0093224F" w:rsidP="004913BB">
      <w:pPr>
        <w:ind w:right="-159"/>
        <w:jc w:val="both"/>
        <w:rPr>
          <w:rFonts w:eastAsia="Calibri"/>
          <w:color w:val="0000FF"/>
          <w:sz w:val="20"/>
          <w:szCs w:val="20"/>
          <w:lang w:eastAsia="en-US"/>
        </w:rPr>
      </w:pPr>
      <w:hyperlink r:id="rId361" w:history="1">
        <w:r w:rsidR="004913BB" w:rsidRPr="008631DB">
          <w:rPr>
            <w:rFonts w:eastAsia="Calibri"/>
            <w:color w:val="0000FF"/>
            <w:sz w:val="20"/>
            <w:szCs w:val="20"/>
            <w:u w:val="single"/>
            <w:lang w:eastAsia="en-US"/>
          </w:rPr>
          <w:t>http://www.fitchratings.mx/ArchivosHTML/Coment_13834.pdf</w:t>
        </w:r>
      </w:hyperlink>
      <w:r w:rsidR="004913BB" w:rsidRPr="008631DB">
        <w:rPr>
          <w:rFonts w:eastAsia="Calibri"/>
          <w:color w:val="0000FF"/>
          <w:sz w:val="20"/>
          <w:szCs w:val="20"/>
          <w:lang w:eastAsia="en-US"/>
        </w:rPr>
        <w:t xml:space="preserve"> </w:t>
      </w:r>
    </w:p>
    <w:p w14:paraId="04B15439" w14:textId="77777777" w:rsidR="004913BB" w:rsidRPr="008631DB" w:rsidRDefault="0093224F" w:rsidP="004913BB">
      <w:pPr>
        <w:ind w:right="-159"/>
        <w:jc w:val="both"/>
        <w:rPr>
          <w:rFonts w:eastAsia="Calibri"/>
          <w:color w:val="0000FF"/>
          <w:sz w:val="20"/>
          <w:szCs w:val="20"/>
          <w:lang w:eastAsia="en-US"/>
        </w:rPr>
      </w:pPr>
      <w:hyperlink r:id="rId362" w:history="1">
        <w:r w:rsidR="004913BB" w:rsidRPr="008631DB">
          <w:rPr>
            <w:rFonts w:eastAsia="Calibri"/>
            <w:color w:val="0000FF"/>
            <w:sz w:val="20"/>
            <w:szCs w:val="20"/>
            <w:u w:val="single"/>
            <w:lang w:eastAsia="en-US"/>
          </w:rPr>
          <w:t>http://www.fitchratings.mx/ArchivosHTML/Coment_13834.html</w:t>
        </w:r>
      </w:hyperlink>
      <w:r w:rsidR="004913BB" w:rsidRPr="008631DB">
        <w:rPr>
          <w:rFonts w:eastAsia="Calibri"/>
          <w:color w:val="0000FF"/>
          <w:sz w:val="20"/>
          <w:szCs w:val="20"/>
          <w:lang w:eastAsia="en-US"/>
        </w:rPr>
        <w:t xml:space="preserve"> </w:t>
      </w:r>
    </w:p>
    <w:p w14:paraId="21F8B539" w14:textId="77777777" w:rsidR="004913BB" w:rsidRPr="008631DB" w:rsidRDefault="004913BB" w:rsidP="008631DB">
      <w:pPr>
        <w:spacing w:after="720"/>
        <w:ind w:right="-159"/>
        <w:jc w:val="both"/>
        <w:rPr>
          <w:rFonts w:eastAsia="Calibri"/>
          <w:color w:val="0000FF"/>
          <w:sz w:val="20"/>
          <w:szCs w:val="20"/>
          <w:lang w:eastAsia="en-US"/>
        </w:rPr>
      </w:pPr>
      <w:r w:rsidRPr="008631DB">
        <w:rPr>
          <w:rFonts w:eastAsia="Calibri"/>
          <w:sz w:val="20"/>
          <w:szCs w:val="20"/>
          <w:lang w:eastAsia="en-US"/>
        </w:rPr>
        <w:t xml:space="preserve">Para tener acceso al documento: </w:t>
      </w:r>
      <w:r w:rsidRPr="008631DB">
        <w:rPr>
          <w:rFonts w:eastAsia="Calibri"/>
          <w:i/>
          <w:sz w:val="20"/>
          <w:szCs w:val="20"/>
          <w:lang w:eastAsia="en-US"/>
        </w:rPr>
        <w:t>Mexican Corporate Liquidity Remains Sound Despite a Challenging 2015</w:t>
      </w:r>
      <w:hyperlink r:id="rId363" w:history="1"/>
      <w:r w:rsidRPr="008631DB">
        <w:rPr>
          <w:rFonts w:eastAsia="Calibri"/>
          <w:sz w:val="20"/>
          <w:szCs w:val="20"/>
          <w:lang w:eastAsia="en-US"/>
        </w:rPr>
        <w:t xml:space="preserve"> visite: </w:t>
      </w:r>
      <w:hyperlink r:id="rId364" w:history="1">
        <w:r w:rsidRPr="008631DB">
          <w:rPr>
            <w:rFonts w:eastAsia="Calibri"/>
            <w:color w:val="0000FF"/>
            <w:sz w:val="20"/>
            <w:szCs w:val="20"/>
            <w:u w:val="single"/>
            <w:lang w:eastAsia="en-US"/>
          </w:rPr>
          <w:t>http://cts.businesswire.com/ct/CT?id=smartlink&amp;url=http%3A%2F%2Fwww.fitchratings.com%2Fcreditdesk%2Freports%2Freport_frame.cfm%3Frpt_id%3D862587&amp;esheet=51048466&amp;newsitemid=20150226006285&amp;lan=en-US&amp;anchor=http%3A%2F%2Fwww.fitchratings.com%2Fcreditdesk%2Freports%2Freport_frame.cfm%3Frpt_id%3D862587&amp;index=2&amp;md5=d9f20383b093845a122b20dc9f91f6f8</w:t>
        </w:r>
      </w:hyperlink>
      <w:r w:rsidRPr="008631DB">
        <w:rPr>
          <w:rFonts w:eastAsia="Calibri"/>
          <w:color w:val="0000FF"/>
          <w:sz w:val="20"/>
          <w:szCs w:val="20"/>
          <w:lang w:eastAsia="en-US"/>
        </w:rPr>
        <w:t xml:space="preserve"> </w:t>
      </w:r>
    </w:p>
    <w:p w14:paraId="47EC5B44" w14:textId="77777777" w:rsidR="003D77EA" w:rsidRPr="003D77EA" w:rsidRDefault="003D77EA" w:rsidP="003D77EA">
      <w:pPr>
        <w:ind w:right="-159"/>
        <w:jc w:val="both"/>
        <w:rPr>
          <w:rFonts w:eastAsia="Calibri"/>
          <w:b/>
          <w:sz w:val="26"/>
          <w:szCs w:val="26"/>
          <w:lang w:eastAsia="en-US"/>
        </w:rPr>
      </w:pPr>
      <w:r w:rsidRPr="003D77EA">
        <w:rPr>
          <w:rFonts w:eastAsia="Calibri"/>
          <w:b/>
          <w:sz w:val="26"/>
          <w:szCs w:val="26"/>
          <w:lang w:eastAsia="en-US"/>
        </w:rPr>
        <w:t>Los  bancos  globales  se  preparan para lidiar</w:t>
      </w:r>
    </w:p>
    <w:p w14:paraId="51762B26" w14:textId="77777777" w:rsidR="003D77EA" w:rsidRPr="003D77EA" w:rsidRDefault="003D77EA" w:rsidP="003D77EA">
      <w:pPr>
        <w:spacing w:after="360" w:line="360" w:lineRule="auto"/>
        <w:ind w:right="-159"/>
        <w:jc w:val="both"/>
        <w:rPr>
          <w:rFonts w:eastAsia="Calibri"/>
          <w:b/>
          <w:sz w:val="26"/>
          <w:szCs w:val="26"/>
          <w:lang w:eastAsia="en-US"/>
        </w:rPr>
      </w:pPr>
      <w:r w:rsidRPr="003D77EA">
        <w:rPr>
          <w:rFonts w:eastAsia="Calibri"/>
          <w:b/>
          <w:sz w:val="26"/>
          <w:szCs w:val="26"/>
          <w:lang w:eastAsia="en-US"/>
        </w:rPr>
        <w:t>con las pruebas de resistencia de la Fed (WSJ)</w:t>
      </w:r>
    </w:p>
    <w:p w14:paraId="3D623CC7" w14:textId="77777777" w:rsidR="003D77EA" w:rsidRPr="003D77EA" w:rsidRDefault="003D77EA" w:rsidP="003D77EA">
      <w:pPr>
        <w:spacing w:after="360" w:line="360" w:lineRule="auto"/>
        <w:ind w:right="-159"/>
        <w:jc w:val="both"/>
        <w:rPr>
          <w:rFonts w:eastAsia="Calibri"/>
          <w:sz w:val="26"/>
          <w:szCs w:val="26"/>
          <w:lang w:eastAsia="en-US"/>
        </w:rPr>
      </w:pPr>
      <w:r w:rsidRPr="003D77EA">
        <w:rPr>
          <w:rFonts w:eastAsia="Calibri"/>
          <w:sz w:val="26"/>
          <w:szCs w:val="26"/>
          <w:lang w:eastAsia="en-US"/>
        </w:rPr>
        <w:t xml:space="preserve">El 3 de marzo de 2015, el periódico </w:t>
      </w:r>
      <w:r w:rsidRPr="003D77EA">
        <w:rPr>
          <w:rFonts w:eastAsia="Calibri"/>
          <w:i/>
          <w:sz w:val="26"/>
          <w:szCs w:val="26"/>
          <w:lang w:eastAsia="en-US"/>
        </w:rPr>
        <w:t>The Wall Street Journal</w:t>
      </w:r>
      <w:r w:rsidRPr="003D77EA">
        <w:rPr>
          <w:rFonts w:eastAsia="Calibri"/>
          <w:sz w:val="26"/>
          <w:szCs w:val="26"/>
          <w:lang w:eastAsia="en-US"/>
        </w:rPr>
        <w:t xml:space="preserve"> (WSJ) dio a conocer la nota “Los bancos globales se preparan para lidiar con las pruebas de resistencia de la Fed”.</w:t>
      </w:r>
    </w:p>
    <w:p w14:paraId="7CC26E50" w14:textId="77777777" w:rsidR="003D77EA" w:rsidRPr="003D77EA" w:rsidRDefault="003D77EA" w:rsidP="003D77EA">
      <w:pPr>
        <w:spacing w:after="360" w:line="360" w:lineRule="auto"/>
        <w:ind w:right="-159"/>
        <w:jc w:val="both"/>
        <w:rPr>
          <w:rFonts w:eastAsia="Calibri"/>
          <w:sz w:val="26"/>
          <w:szCs w:val="26"/>
          <w:lang w:eastAsia="en-US"/>
        </w:rPr>
      </w:pPr>
      <w:r w:rsidRPr="003D77EA">
        <w:rPr>
          <w:rFonts w:eastAsia="Calibri"/>
          <w:sz w:val="26"/>
          <w:szCs w:val="26"/>
          <w:lang w:eastAsia="en-US"/>
        </w:rPr>
        <w:t xml:space="preserve">El creciente escrutinio de la Reserva Federal de Estados Unidos de Norteamérica ha obligado a los bancos globales a reforzar su personal y reorganizar sus operaciones para cumplir con las expectativas del banco central estadounidense. </w:t>
      </w:r>
    </w:p>
    <w:p w14:paraId="4A0EF2F7" w14:textId="77777777" w:rsidR="003D77EA" w:rsidRPr="003D77EA" w:rsidRDefault="003D77EA" w:rsidP="003D77EA">
      <w:pPr>
        <w:spacing w:after="360" w:line="360" w:lineRule="auto"/>
        <w:ind w:right="-159"/>
        <w:jc w:val="both"/>
        <w:rPr>
          <w:rFonts w:eastAsia="Calibri"/>
          <w:sz w:val="26"/>
          <w:szCs w:val="26"/>
          <w:lang w:eastAsia="en-US"/>
        </w:rPr>
      </w:pPr>
      <w:r w:rsidRPr="003D77EA">
        <w:rPr>
          <w:rFonts w:eastAsia="Calibri"/>
          <w:sz w:val="26"/>
          <w:szCs w:val="26"/>
          <w:lang w:eastAsia="en-US"/>
        </w:rPr>
        <w:t xml:space="preserve">Se prevé que las pruebas de resistencia de la Fed encuentren falencias en la gestión de riesgo de las filiales estadounidenses de algunos bancos de otros países, un grupo que incluiría a </w:t>
      </w:r>
      <w:r w:rsidRPr="003D77EA">
        <w:rPr>
          <w:rFonts w:eastAsia="Calibri"/>
          <w:i/>
          <w:sz w:val="26"/>
          <w:szCs w:val="26"/>
          <w:lang w:eastAsia="en-US"/>
        </w:rPr>
        <w:t>Deutsche Bank AG</w:t>
      </w:r>
      <w:r w:rsidRPr="003D77EA">
        <w:rPr>
          <w:rFonts w:eastAsia="Calibri"/>
          <w:sz w:val="26"/>
          <w:szCs w:val="26"/>
          <w:lang w:eastAsia="en-US"/>
        </w:rPr>
        <w:t xml:space="preserve"> y Banco </w:t>
      </w:r>
      <w:r w:rsidRPr="003D77EA">
        <w:rPr>
          <w:rFonts w:eastAsia="Calibri"/>
          <w:i/>
          <w:sz w:val="26"/>
          <w:szCs w:val="26"/>
          <w:lang w:eastAsia="en-US"/>
        </w:rPr>
        <w:t>Santander</w:t>
      </w:r>
      <w:r w:rsidRPr="003D77EA">
        <w:rPr>
          <w:rFonts w:eastAsia="Calibri"/>
          <w:sz w:val="26"/>
          <w:szCs w:val="26"/>
          <w:lang w:eastAsia="en-US"/>
        </w:rPr>
        <w:t xml:space="preserve"> SA, indicaron fuentes cercanas. La Fed anunciará los resultados preliminares de las pruebas de este año el jueves y los resultados definitivos el 11 de marzo.</w:t>
      </w:r>
    </w:p>
    <w:p w14:paraId="3A8BC9F8" w14:textId="77777777" w:rsidR="003D77EA" w:rsidRPr="003D77EA" w:rsidRDefault="003D77EA" w:rsidP="003D77EA">
      <w:pPr>
        <w:spacing w:after="360" w:line="360" w:lineRule="auto"/>
        <w:ind w:right="-159"/>
        <w:jc w:val="both"/>
        <w:rPr>
          <w:rFonts w:eastAsia="Calibri"/>
          <w:sz w:val="26"/>
          <w:szCs w:val="26"/>
          <w:lang w:eastAsia="en-US"/>
        </w:rPr>
      </w:pPr>
      <w:r w:rsidRPr="003D77EA">
        <w:rPr>
          <w:rFonts w:eastAsia="Calibri"/>
          <w:sz w:val="26"/>
          <w:szCs w:val="26"/>
          <w:lang w:eastAsia="en-US"/>
        </w:rPr>
        <w:t xml:space="preserve">Los bancos de otros países no tienen problemas para satisfacer los requisitos de capital, sino con lo que el banco central considera como fallas en su forma de evaluar y predecir riesgos y pérdidas en sus operaciones, incluyendo negocios que antes no habían sido regulados de cerca. </w:t>
      </w:r>
    </w:p>
    <w:p w14:paraId="1FCFF993" w14:textId="77777777" w:rsidR="003D77EA" w:rsidRPr="003D77EA" w:rsidRDefault="003D77EA" w:rsidP="003D77EA">
      <w:pPr>
        <w:spacing w:after="360" w:line="360" w:lineRule="auto"/>
        <w:ind w:right="-159"/>
        <w:jc w:val="both"/>
        <w:rPr>
          <w:rFonts w:eastAsia="Calibri"/>
          <w:sz w:val="26"/>
          <w:szCs w:val="26"/>
          <w:lang w:eastAsia="en-US"/>
        </w:rPr>
      </w:pPr>
      <w:r w:rsidRPr="003D77EA">
        <w:rPr>
          <w:rFonts w:eastAsia="Calibri"/>
          <w:sz w:val="26"/>
          <w:szCs w:val="26"/>
          <w:lang w:eastAsia="en-US"/>
        </w:rPr>
        <w:lastRenderedPageBreak/>
        <w:t xml:space="preserve">Por ejemplo, en marzo del año pasado, la Fed halló “deficiencias generalizadas y significativas” en las pruebas de resistencia de </w:t>
      </w:r>
      <w:r w:rsidRPr="003D77EA">
        <w:rPr>
          <w:rFonts w:eastAsia="Calibri"/>
          <w:i/>
          <w:sz w:val="26"/>
          <w:szCs w:val="26"/>
          <w:lang w:eastAsia="en-US"/>
        </w:rPr>
        <w:t>Santander</w:t>
      </w:r>
      <w:r w:rsidRPr="003D77EA">
        <w:rPr>
          <w:rFonts w:eastAsia="Calibri"/>
          <w:sz w:val="26"/>
          <w:szCs w:val="26"/>
          <w:lang w:eastAsia="en-US"/>
        </w:rPr>
        <w:t xml:space="preserve"> y sus planes de capital, incluyendo el gobierno corporativo de sus operaciones en Estados Unidos de Norteamérica. El banco central restringió los pagos de dividendos de la unidad estadounidense de </w:t>
      </w:r>
      <w:r w:rsidRPr="003D77EA">
        <w:rPr>
          <w:rFonts w:eastAsia="Calibri"/>
          <w:i/>
          <w:sz w:val="26"/>
          <w:szCs w:val="26"/>
          <w:lang w:eastAsia="en-US"/>
        </w:rPr>
        <w:t>Santander</w:t>
      </w:r>
      <w:r w:rsidRPr="003D77EA">
        <w:rPr>
          <w:rFonts w:eastAsia="Calibri"/>
          <w:sz w:val="26"/>
          <w:szCs w:val="26"/>
          <w:lang w:eastAsia="en-US"/>
        </w:rPr>
        <w:t xml:space="preserve">, pero posteriormente la subsidiaria en Estados Unidos de Norteamérica de préstamos automotrices de </w:t>
      </w:r>
      <w:r w:rsidRPr="003D77EA">
        <w:rPr>
          <w:rFonts w:eastAsia="Calibri"/>
          <w:i/>
          <w:sz w:val="26"/>
          <w:szCs w:val="26"/>
          <w:lang w:eastAsia="en-US"/>
        </w:rPr>
        <w:t>Santander</w:t>
      </w:r>
      <w:r w:rsidRPr="003D77EA">
        <w:rPr>
          <w:rFonts w:eastAsia="Calibri"/>
          <w:sz w:val="26"/>
          <w:szCs w:val="26"/>
          <w:lang w:eastAsia="en-US"/>
        </w:rPr>
        <w:t xml:space="preserve"> declaró un dividendo que infringía la orden de la Fed, una señal de que el gobierno corporativo sigue siendo un tema delicado. </w:t>
      </w:r>
    </w:p>
    <w:p w14:paraId="08A64503" w14:textId="77777777" w:rsidR="003D77EA" w:rsidRPr="003D77EA" w:rsidRDefault="003D77EA" w:rsidP="003D77EA">
      <w:pPr>
        <w:spacing w:after="360" w:line="360" w:lineRule="auto"/>
        <w:ind w:right="-159"/>
        <w:jc w:val="both"/>
        <w:rPr>
          <w:rFonts w:eastAsia="Calibri"/>
          <w:sz w:val="26"/>
          <w:szCs w:val="26"/>
          <w:lang w:eastAsia="en-US"/>
        </w:rPr>
      </w:pPr>
      <w:r w:rsidRPr="003D77EA">
        <w:rPr>
          <w:rFonts w:eastAsia="Calibri"/>
          <w:sz w:val="26"/>
          <w:szCs w:val="26"/>
          <w:lang w:eastAsia="en-US"/>
        </w:rPr>
        <w:t>La unidad en cuestión se ha abstenido de hacer comentarios sobre la salida en falso del dividendo.</w:t>
      </w:r>
    </w:p>
    <w:p w14:paraId="6DB237F0" w14:textId="77777777" w:rsidR="003D77EA" w:rsidRPr="003D77EA" w:rsidRDefault="003D77EA" w:rsidP="003D77EA">
      <w:pPr>
        <w:spacing w:after="360" w:line="360" w:lineRule="auto"/>
        <w:ind w:right="-159"/>
        <w:jc w:val="both"/>
        <w:rPr>
          <w:rFonts w:eastAsia="Calibri"/>
          <w:sz w:val="26"/>
          <w:szCs w:val="26"/>
          <w:lang w:eastAsia="en-US"/>
        </w:rPr>
      </w:pPr>
      <w:r w:rsidRPr="003D77EA">
        <w:rPr>
          <w:rFonts w:eastAsia="Calibri"/>
          <w:sz w:val="26"/>
          <w:szCs w:val="26"/>
          <w:lang w:eastAsia="en-US"/>
        </w:rPr>
        <w:t xml:space="preserve">La posible reprobación de las pruebas de resistencia marcaría la segunda ocasión consecutiva en que múltiples firmas europeas no cumplen las expectativas de la Fed en la parte cualitativa de los exámenes. </w:t>
      </w:r>
    </w:p>
    <w:p w14:paraId="6918E6B3" w14:textId="77777777" w:rsidR="003D77EA" w:rsidRPr="003D77EA" w:rsidRDefault="003D77EA" w:rsidP="003D77EA">
      <w:pPr>
        <w:spacing w:after="360" w:line="360" w:lineRule="auto"/>
        <w:ind w:right="-159"/>
        <w:jc w:val="both"/>
        <w:rPr>
          <w:rFonts w:eastAsia="Calibri"/>
          <w:sz w:val="26"/>
          <w:szCs w:val="26"/>
          <w:lang w:eastAsia="en-US"/>
        </w:rPr>
      </w:pPr>
      <w:r w:rsidRPr="003D77EA">
        <w:rPr>
          <w:rFonts w:eastAsia="Calibri"/>
          <w:sz w:val="26"/>
          <w:szCs w:val="26"/>
          <w:lang w:eastAsia="en-US"/>
        </w:rPr>
        <w:t xml:space="preserve">Bancos internacionales como </w:t>
      </w:r>
      <w:r w:rsidRPr="003D77EA">
        <w:rPr>
          <w:rFonts w:eastAsia="Calibri"/>
          <w:i/>
          <w:sz w:val="26"/>
          <w:szCs w:val="26"/>
          <w:lang w:eastAsia="en-US"/>
        </w:rPr>
        <w:t>Deutsche Bank, Barclays PLC</w:t>
      </w:r>
      <w:r w:rsidRPr="003D77EA">
        <w:rPr>
          <w:rFonts w:eastAsia="Calibri"/>
          <w:sz w:val="26"/>
          <w:szCs w:val="26"/>
          <w:lang w:eastAsia="en-US"/>
        </w:rPr>
        <w:t xml:space="preserve">, </w:t>
      </w:r>
      <w:r w:rsidRPr="003D77EA">
        <w:rPr>
          <w:rFonts w:eastAsia="Calibri"/>
          <w:i/>
          <w:sz w:val="26"/>
          <w:szCs w:val="26"/>
          <w:lang w:eastAsia="en-US"/>
        </w:rPr>
        <w:t>Credit Suisse Ah</w:t>
      </w:r>
      <w:r w:rsidRPr="003D77EA">
        <w:rPr>
          <w:rFonts w:eastAsia="Calibri"/>
          <w:sz w:val="26"/>
          <w:szCs w:val="26"/>
          <w:lang w:eastAsia="en-US"/>
        </w:rPr>
        <w:t xml:space="preserve"> y UBS AG están invirtiendo grandes sumas de dinero y contratando gerentes de proyectos, expertos de datos y otro personal necesario para administrar los complejos modelos computacionales involucrados en las pruebas anuales que realiza la Fed. Los gastos se suman a inversiones de mayor envergadura dedicadas a cumplir con las normativas europeas. </w:t>
      </w:r>
    </w:p>
    <w:p w14:paraId="7B574C3F" w14:textId="77777777" w:rsidR="003D77EA" w:rsidRPr="003D77EA" w:rsidRDefault="003D77EA" w:rsidP="003D77EA">
      <w:pPr>
        <w:spacing w:after="360" w:line="360" w:lineRule="auto"/>
        <w:ind w:right="-159"/>
        <w:jc w:val="both"/>
        <w:rPr>
          <w:rFonts w:eastAsia="Calibri"/>
          <w:sz w:val="26"/>
          <w:szCs w:val="26"/>
          <w:lang w:eastAsia="en-US"/>
        </w:rPr>
      </w:pPr>
      <w:r w:rsidRPr="003D77EA">
        <w:rPr>
          <w:rFonts w:eastAsia="Calibri"/>
          <w:sz w:val="26"/>
          <w:szCs w:val="26"/>
          <w:lang w:eastAsia="en-US"/>
        </w:rPr>
        <w:t xml:space="preserve">La prueba de resistencia estadounidense evalúa si un banco puede seguir otorgando crédito durante un bajón severo de la economía y el banco central determina si la empresa puede devolver capital a sus accionistas. </w:t>
      </w:r>
    </w:p>
    <w:p w14:paraId="5F150A51" w14:textId="77777777" w:rsidR="003D77EA" w:rsidRPr="003D77EA" w:rsidRDefault="003D77EA" w:rsidP="003D77EA">
      <w:pPr>
        <w:spacing w:after="360" w:line="360" w:lineRule="auto"/>
        <w:ind w:right="-159"/>
        <w:jc w:val="both"/>
        <w:rPr>
          <w:rFonts w:eastAsia="Calibri"/>
          <w:sz w:val="26"/>
          <w:szCs w:val="26"/>
          <w:lang w:eastAsia="en-US"/>
        </w:rPr>
      </w:pPr>
      <w:r w:rsidRPr="003D77EA">
        <w:rPr>
          <w:rFonts w:eastAsia="Calibri"/>
          <w:sz w:val="26"/>
          <w:szCs w:val="26"/>
          <w:lang w:eastAsia="en-US"/>
        </w:rPr>
        <w:t xml:space="preserve">En el caso de </w:t>
      </w:r>
      <w:r w:rsidRPr="003D77EA">
        <w:rPr>
          <w:rFonts w:eastAsia="Calibri"/>
          <w:i/>
          <w:sz w:val="26"/>
          <w:szCs w:val="26"/>
          <w:lang w:eastAsia="en-US"/>
        </w:rPr>
        <w:t>HSBC Holdings PLC</w:t>
      </w:r>
      <w:r w:rsidRPr="003D77EA">
        <w:rPr>
          <w:rFonts w:eastAsia="Calibri"/>
          <w:sz w:val="26"/>
          <w:szCs w:val="26"/>
          <w:lang w:eastAsia="en-US"/>
        </w:rPr>
        <w:t xml:space="preserve">, cuya filial estadounidense reprobó las pruebas de resistencia el año pasado, los costos de cumplir con las normas regulatorias a nivel global aumentaron en 774 millones de dólares en 2014 para ascender a 2 mil 400 </w:t>
      </w:r>
      <w:r w:rsidRPr="003D77EA">
        <w:rPr>
          <w:rFonts w:eastAsia="Calibri"/>
          <w:sz w:val="26"/>
          <w:szCs w:val="26"/>
          <w:lang w:eastAsia="en-US"/>
        </w:rPr>
        <w:lastRenderedPageBreak/>
        <w:t>millones de dólares, una cifra que incluye la reestructuración del banco en Gran Bretaña y para administrar las pruebas de resistencia en Estados Unidos de Norteamérica y Europa, señalaron ejecutivos en una conferencia telefónica el 23 de febrero. Las pruebas de resistencia en el mundo “se están volviendo mucho más intensas que en el pasado”, dijo el Director General de finanzas.</w:t>
      </w:r>
    </w:p>
    <w:p w14:paraId="4539A1F6" w14:textId="77777777" w:rsidR="003D77EA" w:rsidRPr="003D77EA" w:rsidRDefault="003D77EA" w:rsidP="003D77EA">
      <w:pPr>
        <w:spacing w:after="360" w:line="360" w:lineRule="auto"/>
        <w:ind w:right="-159"/>
        <w:jc w:val="both"/>
        <w:rPr>
          <w:rFonts w:eastAsia="Calibri"/>
          <w:sz w:val="26"/>
          <w:szCs w:val="26"/>
          <w:lang w:eastAsia="en-US"/>
        </w:rPr>
      </w:pPr>
      <w:r w:rsidRPr="003D77EA">
        <w:rPr>
          <w:rFonts w:eastAsia="Calibri"/>
          <w:sz w:val="26"/>
          <w:szCs w:val="26"/>
          <w:lang w:eastAsia="en-US"/>
        </w:rPr>
        <w:t xml:space="preserve">La Fed, preocupada por una repetición de la crisis de 2008, empezó el año pasado a someter a las operaciones de Estados Unidos de Norteamérica de los grandes bancos internacionales al mismo régimen regulatorio que llevó a bancos como </w:t>
      </w:r>
      <w:r w:rsidRPr="003D77EA">
        <w:rPr>
          <w:rFonts w:eastAsia="Calibri"/>
          <w:i/>
          <w:sz w:val="26"/>
          <w:szCs w:val="26"/>
          <w:lang w:eastAsia="en-US"/>
        </w:rPr>
        <w:t>J.P. Morgan Chase &amp; Co.</w:t>
      </w:r>
      <w:r w:rsidRPr="003D77EA">
        <w:rPr>
          <w:rFonts w:eastAsia="Calibri"/>
          <w:sz w:val="26"/>
          <w:szCs w:val="26"/>
          <w:lang w:eastAsia="en-US"/>
        </w:rPr>
        <w:t xml:space="preserve"> a cambiar la forma en que operan. Los bancos de otros países tienen plazo hasta mediados de 2016 para formar un </w:t>
      </w:r>
      <w:r w:rsidRPr="003D77EA">
        <w:rPr>
          <w:rFonts w:eastAsia="Calibri"/>
          <w:i/>
          <w:sz w:val="26"/>
          <w:szCs w:val="26"/>
          <w:lang w:eastAsia="en-US"/>
        </w:rPr>
        <w:t>holding</w:t>
      </w:r>
      <w:r w:rsidRPr="003D77EA">
        <w:rPr>
          <w:rFonts w:eastAsia="Calibri"/>
          <w:sz w:val="26"/>
          <w:szCs w:val="26"/>
          <w:lang w:eastAsia="en-US"/>
        </w:rPr>
        <w:t xml:space="preserve"> en Estados Unidos de Norteamérica. Para 2017 están obligados a cumplir una regla que les exige mantener niveles mínimos de capital en Estados Unidos de Norteamérica. </w:t>
      </w:r>
    </w:p>
    <w:p w14:paraId="4F0740B8" w14:textId="77777777" w:rsidR="003D77EA" w:rsidRPr="003D77EA" w:rsidRDefault="003D77EA" w:rsidP="003D77EA">
      <w:pPr>
        <w:spacing w:after="360" w:line="360" w:lineRule="auto"/>
        <w:ind w:right="-159"/>
        <w:jc w:val="both"/>
        <w:rPr>
          <w:rFonts w:eastAsia="Calibri"/>
          <w:sz w:val="26"/>
          <w:szCs w:val="26"/>
          <w:lang w:eastAsia="en-US"/>
        </w:rPr>
      </w:pPr>
      <w:r w:rsidRPr="003D77EA">
        <w:rPr>
          <w:rFonts w:eastAsia="Calibri"/>
          <w:i/>
          <w:sz w:val="26"/>
          <w:szCs w:val="26"/>
          <w:lang w:eastAsia="en-US"/>
        </w:rPr>
        <w:t>Santander</w:t>
      </w:r>
      <w:r w:rsidRPr="003D77EA">
        <w:rPr>
          <w:rFonts w:eastAsia="Calibri"/>
          <w:sz w:val="26"/>
          <w:szCs w:val="26"/>
          <w:lang w:eastAsia="en-US"/>
        </w:rPr>
        <w:t xml:space="preserve">, por ejemplo, designó una nueva presidente ejecutiva en Estados Unidos de Norteamérica, informó </w:t>
      </w:r>
      <w:r w:rsidRPr="003D77EA">
        <w:rPr>
          <w:rFonts w:eastAsia="Calibri"/>
          <w:i/>
          <w:sz w:val="26"/>
          <w:szCs w:val="26"/>
          <w:lang w:eastAsia="en-US"/>
        </w:rPr>
        <w:t>The Wall Street Journal</w:t>
      </w:r>
      <w:r w:rsidRPr="003D77EA">
        <w:rPr>
          <w:rFonts w:eastAsia="Calibri"/>
          <w:sz w:val="26"/>
          <w:szCs w:val="26"/>
          <w:lang w:eastAsia="en-US"/>
        </w:rPr>
        <w:t>. También había incorporado un nuevo director general de finanzas y nuevos directores de riesgo, además de invertir en tecnología y cambiar sus políticas de gobierno corporativo como parte de una campaña para mejorar el cumplimiento de las normativas.</w:t>
      </w:r>
    </w:p>
    <w:p w14:paraId="644AB154" w14:textId="77777777" w:rsidR="003D77EA" w:rsidRPr="003D77EA" w:rsidRDefault="003D77EA" w:rsidP="003D77EA">
      <w:pPr>
        <w:spacing w:after="360" w:line="360" w:lineRule="auto"/>
        <w:ind w:right="-159"/>
        <w:jc w:val="both"/>
        <w:rPr>
          <w:rFonts w:eastAsia="Calibri"/>
          <w:sz w:val="26"/>
          <w:szCs w:val="26"/>
          <w:lang w:eastAsia="en-US"/>
        </w:rPr>
      </w:pPr>
      <w:r w:rsidRPr="003D77EA">
        <w:rPr>
          <w:rFonts w:eastAsia="Calibri"/>
          <w:i/>
          <w:sz w:val="26"/>
          <w:szCs w:val="26"/>
          <w:lang w:eastAsia="en-US"/>
        </w:rPr>
        <w:t>Deutsche Bank, Barclays, Credit Suisse</w:t>
      </w:r>
      <w:r w:rsidRPr="003D77EA">
        <w:rPr>
          <w:rFonts w:eastAsia="Calibri"/>
          <w:sz w:val="26"/>
          <w:szCs w:val="26"/>
          <w:lang w:eastAsia="en-US"/>
        </w:rPr>
        <w:t xml:space="preserve"> y UBS han puesto anuncios de vacantes relacionadas a las pruebas de resistencia. </w:t>
      </w:r>
      <w:r w:rsidRPr="003D77EA">
        <w:rPr>
          <w:rFonts w:eastAsia="Calibri"/>
          <w:i/>
          <w:sz w:val="26"/>
          <w:szCs w:val="26"/>
          <w:lang w:eastAsia="en-US"/>
        </w:rPr>
        <w:t>Credit Suisse</w:t>
      </w:r>
      <w:r w:rsidRPr="003D77EA">
        <w:rPr>
          <w:rFonts w:eastAsia="Calibri"/>
          <w:sz w:val="26"/>
          <w:szCs w:val="26"/>
          <w:lang w:eastAsia="en-US"/>
        </w:rPr>
        <w:t xml:space="preserve"> está formando un equipo de gestión para abordar las pruebas de resistencia y </w:t>
      </w:r>
      <w:r w:rsidRPr="003D77EA">
        <w:rPr>
          <w:rFonts w:eastAsia="Calibri"/>
          <w:i/>
          <w:sz w:val="26"/>
          <w:szCs w:val="26"/>
          <w:lang w:eastAsia="en-US"/>
        </w:rPr>
        <w:t>Barclays</w:t>
      </w:r>
      <w:r w:rsidRPr="003D77EA">
        <w:rPr>
          <w:rFonts w:eastAsia="Calibri"/>
          <w:sz w:val="26"/>
          <w:szCs w:val="26"/>
          <w:lang w:eastAsia="en-US"/>
        </w:rPr>
        <w:t xml:space="preserve"> está contratando personal para ayudar a diseñar y elaborar tecnología para prepararse para las pruebas de resistencia.</w:t>
      </w:r>
    </w:p>
    <w:p w14:paraId="2081BF3B" w14:textId="77777777" w:rsidR="003D77EA" w:rsidRPr="003D77EA" w:rsidRDefault="003D77EA" w:rsidP="003D77EA">
      <w:pPr>
        <w:spacing w:after="360" w:line="360" w:lineRule="auto"/>
        <w:ind w:right="-159"/>
        <w:jc w:val="both"/>
        <w:rPr>
          <w:rFonts w:eastAsia="Calibri"/>
          <w:sz w:val="26"/>
          <w:szCs w:val="26"/>
          <w:lang w:eastAsia="en-US"/>
        </w:rPr>
      </w:pPr>
      <w:r w:rsidRPr="003D77EA">
        <w:rPr>
          <w:rFonts w:eastAsia="Calibri"/>
          <w:sz w:val="26"/>
          <w:szCs w:val="26"/>
          <w:lang w:eastAsia="en-US"/>
        </w:rPr>
        <w:t xml:space="preserve">Todos los bancos declinaron referirse a sus preparaciones para las pruebas de resistencia. </w:t>
      </w:r>
      <w:r w:rsidRPr="003D77EA">
        <w:rPr>
          <w:rFonts w:eastAsia="Calibri"/>
          <w:i/>
          <w:sz w:val="26"/>
          <w:szCs w:val="26"/>
          <w:lang w:eastAsia="en-US"/>
        </w:rPr>
        <w:t>Deustche Bank</w:t>
      </w:r>
      <w:r w:rsidRPr="003D77EA">
        <w:rPr>
          <w:rFonts w:eastAsia="Calibri"/>
          <w:sz w:val="26"/>
          <w:szCs w:val="26"/>
          <w:lang w:eastAsia="en-US"/>
        </w:rPr>
        <w:t xml:space="preserve"> y </w:t>
      </w:r>
      <w:r w:rsidRPr="003D77EA">
        <w:rPr>
          <w:rFonts w:eastAsia="Calibri"/>
          <w:i/>
          <w:sz w:val="26"/>
          <w:szCs w:val="26"/>
          <w:lang w:eastAsia="en-US"/>
        </w:rPr>
        <w:t>Santander</w:t>
      </w:r>
      <w:r w:rsidRPr="003D77EA">
        <w:rPr>
          <w:rFonts w:eastAsia="Calibri"/>
          <w:sz w:val="26"/>
          <w:szCs w:val="26"/>
          <w:lang w:eastAsia="en-US"/>
        </w:rPr>
        <w:t xml:space="preserve"> han señalado que trabajan para mejorar el cumplimiento de las reglas de los reguladores.</w:t>
      </w:r>
    </w:p>
    <w:p w14:paraId="2C91FA80" w14:textId="77777777" w:rsidR="003D77EA" w:rsidRPr="003D77EA" w:rsidRDefault="003D77EA" w:rsidP="003D77EA">
      <w:pPr>
        <w:spacing w:after="360" w:line="360" w:lineRule="auto"/>
        <w:ind w:right="-159"/>
        <w:jc w:val="both"/>
        <w:rPr>
          <w:rFonts w:eastAsia="Calibri"/>
          <w:sz w:val="26"/>
          <w:szCs w:val="26"/>
          <w:lang w:eastAsia="en-US"/>
        </w:rPr>
      </w:pPr>
      <w:r w:rsidRPr="003D77EA">
        <w:rPr>
          <w:rFonts w:eastAsia="Calibri"/>
          <w:sz w:val="26"/>
          <w:szCs w:val="26"/>
          <w:lang w:eastAsia="en-US"/>
        </w:rPr>
        <w:lastRenderedPageBreak/>
        <w:t xml:space="preserve">La Fed no quiso pronunciarse sobre el desempeño de bancos específicos en las pruebas de resistencia. El banco central ha reiterado que las filiales de bancos de otros países se han expandido en forma importante en Estados Unidos de Norteamérica y podrían afectar la estabilidad financiera del país, por lo que los nuevos requisitos de capital y de someterse a pruebas de resistencia se justifican. </w:t>
      </w:r>
    </w:p>
    <w:p w14:paraId="7743BF96" w14:textId="77777777" w:rsidR="003D77EA" w:rsidRPr="003D77EA" w:rsidRDefault="003D77EA" w:rsidP="003D77EA">
      <w:pPr>
        <w:spacing w:after="360" w:line="360" w:lineRule="auto"/>
        <w:ind w:right="-159"/>
        <w:jc w:val="both"/>
        <w:rPr>
          <w:rFonts w:eastAsia="Calibri"/>
          <w:sz w:val="26"/>
          <w:szCs w:val="26"/>
          <w:lang w:eastAsia="en-US"/>
        </w:rPr>
      </w:pPr>
      <w:r w:rsidRPr="003D77EA">
        <w:rPr>
          <w:rFonts w:eastAsia="Calibri"/>
          <w:sz w:val="26"/>
          <w:szCs w:val="26"/>
          <w:lang w:eastAsia="en-US"/>
        </w:rPr>
        <w:t>Durante la crisis de 2008, los bancos extranjeros con presencia en Estados Unidos de Norteamérica pasaron a depender de los préstamos a un día en dólares estadounidenses cuando los mercados se derrumbaron y el crédito se congeló. La Fed tuvo que proveer lo que consideró un “apoyo extraordinario” en la forma de financiamiento en dólares a estas firmas.</w:t>
      </w:r>
    </w:p>
    <w:p w14:paraId="7D19DB71" w14:textId="77777777" w:rsidR="003D77EA" w:rsidRPr="003D77EA" w:rsidRDefault="003D77EA" w:rsidP="003D77EA">
      <w:pPr>
        <w:spacing w:after="360" w:line="360" w:lineRule="auto"/>
        <w:ind w:right="-159"/>
        <w:jc w:val="both"/>
        <w:rPr>
          <w:rFonts w:eastAsia="Calibri"/>
          <w:sz w:val="26"/>
          <w:szCs w:val="26"/>
          <w:lang w:eastAsia="en-US"/>
        </w:rPr>
      </w:pPr>
      <w:r w:rsidRPr="003D77EA">
        <w:rPr>
          <w:rFonts w:eastAsia="Calibri"/>
          <w:sz w:val="26"/>
          <w:szCs w:val="26"/>
          <w:lang w:eastAsia="en-US"/>
        </w:rPr>
        <w:t xml:space="preserve">Sin embargo, algunos funcionarios europeos han indicado que las regulaciones de capital mínimo impuestas por la Fed no son necesarias puesto que las matrices europeas han mejorado substancialmente sus posiciones de capital. </w:t>
      </w:r>
      <w:r w:rsidRPr="003D77EA">
        <w:rPr>
          <w:rFonts w:eastAsia="Calibri"/>
          <w:i/>
          <w:sz w:val="26"/>
          <w:szCs w:val="26"/>
          <w:lang w:eastAsia="en-US"/>
        </w:rPr>
        <w:t>Deutsche Bank</w:t>
      </w:r>
      <w:r w:rsidRPr="003D77EA">
        <w:rPr>
          <w:rFonts w:eastAsia="Calibri"/>
          <w:sz w:val="26"/>
          <w:szCs w:val="26"/>
          <w:lang w:eastAsia="en-US"/>
        </w:rPr>
        <w:t xml:space="preserve"> y </w:t>
      </w:r>
      <w:r w:rsidRPr="003D77EA">
        <w:rPr>
          <w:rFonts w:eastAsia="Calibri"/>
          <w:i/>
          <w:sz w:val="26"/>
          <w:szCs w:val="26"/>
          <w:lang w:eastAsia="en-US"/>
        </w:rPr>
        <w:t>Santander</w:t>
      </w:r>
      <w:r w:rsidRPr="003D77EA">
        <w:rPr>
          <w:rFonts w:eastAsia="Calibri"/>
          <w:sz w:val="26"/>
          <w:szCs w:val="26"/>
          <w:lang w:eastAsia="en-US"/>
        </w:rPr>
        <w:t xml:space="preserve"> aprobaron las pruebas de resistencia realizadas por el Banco Central Europeo en octubre, que no incluían los criterios cualitativos que son parte del examen del banco central estadounidense. </w:t>
      </w:r>
    </w:p>
    <w:p w14:paraId="64048B4A" w14:textId="77777777" w:rsidR="003D77EA" w:rsidRDefault="003D77EA" w:rsidP="003D77EA">
      <w:pPr>
        <w:spacing w:after="360" w:line="360" w:lineRule="auto"/>
        <w:ind w:right="-159"/>
        <w:jc w:val="both"/>
        <w:rPr>
          <w:rFonts w:eastAsia="Calibri"/>
          <w:sz w:val="26"/>
          <w:szCs w:val="26"/>
          <w:lang w:eastAsia="en-US"/>
        </w:rPr>
      </w:pPr>
      <w:r w:rsidRPr="003D77EA">
        <w:rPr>
          <w:rFonts w:eastAsia="Calibri"/>
          <w:sz w:val="26"/>
          <w:szCs w:val="26"/>
          <w:lang w:eastAsia="en-US"/>
        </w:rPr>
        <w:t>“No estamos sugiriendo ni por un minuto que es incorrecto administrar diferentes pruebas de resistencia en diferentes jurisdicciones”, dice el Director General de estabilidad financiera de la Comisión Europea. “Lo que creo que es sensato es analizar juntos metodologías y, en la medida de lo posible, resultados”.</w:t>
      </w:r>
    </w:p>
    <w:p w14:paraId="503402D9" w14:textId="77777777" w:rsidR="00AA71BA" w:rsidRDefault="00AA71BA" w:rsidP="003D77EA">
      <w:pPr>
        <w:spacing w:after="360" w:line="360" w:lineRule="auto"/>
        <w:ind w:right="-159"/>
        <w:jc w:val="both"/>
        <w:rPr>
          <w:rFonts w:eastAsia="Calibri"/>
          <w:sz w:val="26"/>
          <w:szCs w:val="26"/>
          <w:lang w:eastAsia="en-US"/>
        </w:rPr>
      </w:pPr>
    </w:p>
    <w:p w14:paraId="765E2ED9" w14:textId="77777777" w:rsidR="00AA71BA" w:rsidRDefault="00AA71BA" w:rsidP="003D77EA">
      <w:pPr>
        <w:spacing w:after="360" w:line="360" w:lineRule="auto"/>
        <w:ind w:right="-159"/>
        <w:jc w:val="both"/>
        <w:rPr>
          <w:rFonts w:eastAsia="Calibri"/>
          <w:sz w:val="26"/>
          <w:szCs w:val="26"/>
          <w:lang w:eastAsia="en-US"/>
        </w:rPr>
      </w:pPr>
    </w:p>
    <w:p w14:paraId="163829E1" w14:textId="77777777" w:rsidR="00AA71BA" w:rsidRDefault="00AA71BA" w:rsidP="003D77EA">
      <w:pPr>
        <w:spacing w:after="360" w:line="360" w:lineRule="auto"/>
        <w:ind w:right="-159"/>
        <w:jc w:val="both"/>
        <w:rPr>
          <w:rFonts w:eastAsia="Calibri"/>
          <w:sz w:val="26"/>
          <w:szCs w:val="26"/>
          <w:lang w:eastAsia="en-US"/>
        </w:rPr>
      </w:pPr>
    </w:p>
    <w:p w14:paraId="1D607EDC" w14:textId="77777777" w:rsidR="003D77EA" w:rsidRPr="003D77EA" w:rsidRDefault="003D77EA" w:rsidP="003D77EA">
      <w:pPr>
        <w:spacing w:after="360" w:line="360" w:lineRule="auto"/>
        <w:ind w:right="-159"/>
        <w:jc w:val="both"/>
        <w:rPr>
          <w:rFonts w:eastAsia="Calibri"/>
          <w:sz w:val="26"/>
          <w:szCs w:val="26"/>
          <w:lang w:eastAsia="en-US"/>
        </w:rPr>
      </w:pPr>
      <w:r w:rsidRPr="003D77EA">
        <w:rPr>
          <w:rFonts w:eastAsia="Calibri"/>
          <w:sz w:val="26"/>
          <w:szCs w:val="26"/>
          <w:lang w:eastAsia="en-US"/>
        </w:rPr>
        <w:lastRenderedPageBreak/>
        <w:t xml:space="preserve">La reprobación de las pruebas de resistencia constituye un golpe de relaciones públicas acompañado de limitaciones financieras, pero el impacto es más pronunciado en el caso de los bancos estadounidenses que para las firmas de otros países, cuyas filiales en Estados Unidos de Norteamérica son una parte reducida de sus negocios. </w:t>
      </w:r>
    </w:p>
    <w:p w14:paraId="19EF83C2" w14:textId="77777777" w:rsidR="003D77EA" w:rsidRPr="003D77EA" w:rsidRDefault="003D77EA" w:rsidP="003D77EA">
      <w:pPr>
        <w:ind w:right="-159"/>
        <w:jc w:val="both"/>
        <w:rPr>
          <w:rFonts w:eastAsia="Calibri"/>
          <w:b/>
          <w:sz w:val="20"/>
          <w:szCs w:val="20"/>
          <w:lang w:eastAsia="en-US"/>
        </w:rPr>
      </w:pPr>
      <w:r w:rsidRPr="003D77EA">
        <w:rPr>
          <w:rFonts w:eastAsia="Calibri"/>
          <w:b/>
          <w:sz w:val="20"/>
          <w:szCs w:val="20"/>
          <w:lang w:eastAsia="en-US"/>
        </w:rPr>
        <w:t>Fuente de información:</w:t>
      </w:r>
    </w:p>
    <w:p w14:paraId="149E680B" w14:textId="77777777" w:rsidR="003D77EA" w:rsidRPr="008631DB" w:rsidRDefault="0093224F" w:rsidP="008631DB">
      <w:pPr>
        <w:spacing w:after="720"/>
        <w:ind w:right="-159"/>
        <w:jc w:val="both"/>
        <w:rPr>
          <w:rFonts w:eastAsia="Calibri"/>
          <w:color w:val="0000FF"/>
          <w:sz w:val="20"/>
          <w:szCs w:val="20"/>
          <w:lang w:eastAsia="en-US"/>
        </w:rPr>
      </w:pPr>
      <w:hyperlink r:id="rId365" w:history="1">
        <w:r w:rsidR="003D77EA" w:rsidRPr="008631DB">
          <w:rPr>
            <w:rFonts w:eastAsia="Calibri"/>
            <w:color w:val="0000FF"/>
            <w:sz w:val="20"/>
            <w:szCs w:val="20"/>
            <w:u w:val="single"/>
            <w:lang w:eastAsia="en-US"/>
          </w:rPr>
          <w:t>http://lat.wsj.com/articles/SB11235758984163043989104580496503189945186?tesla=y</w:t>
        </w:r>
      </w:hyperlink>
      <w:r w:rsidR="003D77EA" w:rsidRPr="008631DB">
        <w:rPr>
          <w:rFonts w:eastAsia="Calibri"/>
          <w:color w:val="0000FF"/>
          <w:sz w:val="20"/>
          <w:szCs w:val="20"/>
          <w:lang w:eastAsia="en-US"/>
        </w:rPr>
        <w:t xml:space="preserve"> </w:t>
      </w:r>
    </w:p>
    <w:p w14:paraId="1CA761C4" w14:textId="77777777" w:rsidR="00A84901" w:rsidRPr="00967D41" w:rsidRDefault="00A84901" w:rsidP="00A84901">
      <w:pPr>
        <w:spacing w:after="360" w:line="360" w:lineRule="auto"/>
        <w:ind w:right="-159"/>
        <w:jc w:val="both"/>
        <w:rPr>
          <w:rFonts w:eastAsia="Calibri"/>
          <w:b/>
          <w:sz w:val="26"/>
          <w:szCs w:val="26"/>
          <w:lang w:eastAsia="en-US"/>
        </w:rPr>
      </w:pPr>
      <w:r w:rsidRPr="00967D41">
        <w:rPr>
          <w:rFonts w:eastAsia="Calibri"/>
          <w:b/>
          <w:sz w:val="26"/>
          <w:szCs w:val="26"/>
          <w:lang w:eastAsia="en-US"/>
        </w:rPr>
        <w:t>Situación Banca. Primer trimestre 2015 (BBVA Research)</w:t>
      </w:r>
    </w:p>
    <w:p w14:paraId="5C5E4C88" w14:textId="77777777" w:rsidR="00A84901" w:rsidRPr="00967D41" w:rsidRDefault="00A84901" w:rsidP="00A84901">
      <w:pPr>
        <w:spacing w:after="360" w:line="360" w:lineRule="auto"/>
        <w:ind w:right="-159"/>
        <w:jc w:val="both"/>
        <w:rPr>
          <w:rFonts w:eastAsia="Calibri"/>
          <w:sz w:val="26"/>
          <w:szCs w:val="26"/>
          <w:lang w:val="es-ES" w:eastAsia="en-US"/>
        </w:rPr>
      </w:pPr>
      <w:r w:rsidRPr="00967D41">
        <w:rPr>
          <w:rFonts w:eastAsia="Calibri"/>
          <w:sz w:val="26"/>
          <w:szCs w:val="26"/>
          <w:lang w:val="es-ES" w:eastAsia="en-US"/>
        </w:rPr>
        <w:t>El 26 de febrero de 2015, la sección de Análisis Económico de BBVA Research dio a conocer el documento “Situación Banca”. A continuación se incluye el contenido.</w:t>
      </w:r>
    </w:p>
    <w:p w14:paraId="28AADD51" w14:textId="77777777" w:rsidR="00A84901" w:rsidRPr="00967D41" w:rsidRDefault="00A84901" w:rsidP="00A84901">
      <w:pPr>
        <w:spacing w:after="360" w:line="360" w:lineRule="auto"/>
        <w:ind w:right="-159"/>
        <w:jc w:val="both"/>
        <w:rPr>
          <w:rFonts w:eastAsia="Calibri"/>
          <w:b/>
          <w:sz w:val="26"/>
          <w:szCs w:val="26"/>
          <w:lang w:val="es-ES" w:eastAsia="en-US"/>
        </w:rPr>
      </w:pPr>
      <w:r w:rsidRPr="00967D41">
        <w:rPr>
          <w:rFonts w:eastAsia="Calibri"/>
          <w:b/>
          <w:sz w:val="26"/>
          <w:szCs w:val="26"/>
          <w:lang w:val="es-ES" w:eastAsia="en-US"/>
        </w:rPr>
        <w:t>Resumen</w:t>
      </w:r>
    </w:p>
    <w:p w14:paraId="3DF93315" w14:textId="77777777" w:rsidR="00A84901" w:rsidRPr="00967D41" w:rsidRDefault="00A84901" w:rsidP="00A84901">
      <w:pPr>
        <w:spacing w:after="360" w:line="360" w:lineRule="auto"/>
        <w:ind w:right="-159"/>
        <w:jc w:val="both"/>
        <w:rPr>
          <w:rFonts w:eastAsia="Calibri"/>
          <w:b/>
          <w:sz w:val="26"/>
          <w:szCs w:val="26"/>
          <w:lang w:val="es-ES" w:eastAsia="en-US"/>
        </w:rPr>
      </w:pPr>
      <w:r w:rsidRPr="00967D41">
        <w:rPr>
          <w:rFonts w:eastAsia="Calibri"/>
          <w:b/>
          <w:sz w:val="26"/>
          <w:szCs w:val="26"/>
          <w:lang w:val="es-ES" w:eastAsia="en-US"/>
        </w:rPr>
        <w:t>1.  Evolución del sector bancario español</w:t>
      </w:r>
    </w:p>
    <w:p w14:paraId="1C29917C" w14:textId="77777777" w:rsidR="00A84901" w:rsidRPr="00967D41" w:rsidRDefault="00A84901" w:rsidP="00A84901">
      <w:pPr>
        <w:spacing w:after="360" w:line="360" w:lineRule="auto"/>
        <w:ind w:right="-159"/>
        <w:jc w:val="both"/>
        <w:rPr>
          <w:rFonts w:eastAsia="Calibri"/>
          <w:sz w:val="26"/>
          <w:szCs w:val="26"/>
          <w:lang w:val="es-ES" w:eastAsia="en-US"/>
        </w:rPr>
      </w:pPr>
      <w:r w:rsidRPr="00967D41">
        <w:rPr>
          <w:rFonts w:eastAsia="Calibri"/>
          <w:sz w:val="26"/>
          <w:szCs w:val="26"/>
          <w:lang w:val="es-ES" w:eastAsia="en-US"/>
        </w:rPr>
        <w:t>La recuperación económica se afianza en España, pero continúa el necesario desapalancamiento del stock de crédito, que está convergiendo a la media europea. No obstante, se está haciendo de forma compatible con el crecimiento de las nuevas operaciones de crédito minorista. Adicionalmente, la mora del sistema dejó atrás su máximo en 2013 y se ha reducido notablemente la deuda en balance y la relación créditos/depósitos hasta niveles más sostenibles. Al mismo tiempo, la solvencia se ha reforzado y las entidades han incrementado sus fondos propios. La rentabilidad se vio afectada durante la crisis por las dotaciones a provisiones, y aún hoy es débil en un entorno de actividad reducida, desapalancamiento, tipos bajos y morosidad. A pesar de ello, el sector ha conseguido duplicar el beneficio antes de impuestos (BAI) en los nueve primeros meses de 2014 sobre el mismo período de 2013, y aumentar el beneficio neto un 42 por ciento.</w:t>
      </w:r>
    </w:p>
    <w:p w14:paraId="01BF0842" w14:textId="77777777" w:rsidR="00A84901" w:rsidRPr="00967D41" w:rsidRDefault="00A84901" w:rsidP="00A84901">
      <w:pPr>
        <w:spacing w:after="360" w:line="360" w:lineRule="auto"/>
        <w:ind w:right="-159"/>
        <w:jc w:val="both"/>
        <w:rPr>
          <w:rFonts w:eastAsia="Calibri"/>
          <w:b/>
          <w:sz w:val="26"/>
          <w:szCs w:val="26"/>
          <w:lang w:val="es-ES" w:eastAsia="en-US"/>
        </w:rPr>
      </w:pPr>
      <w:r w:rsidRPr="00967D41">
        <w:rPr>
          <w:rFonts w:eastAsia="Calibri"/>
          <w:b/>
          <w:sz w:val="26"/>
          <w:szCs w:val="26"/>
          <w:lang w:val="es-ES" w:eastAsia="en-US"/>
        </w:rPr>
        <w:lastRenderedPageBreak/>
        <w:t>2.  Retos de los bancos españoles ante la Unión Bancaria</w:t>
      </w:r>
    </w:p>
    <w:p w14:paraId="18AC8706" w14:textId="77777777" w:rsidR="00A84901" w:rsidRPr="00967D41" w:rsidRDefault="00A84901" w:rsidP="00A84901">
      <w:pPr>
        <w:spacing w:after="360" w:line="360" w:lineRule="auto"/>
        <w:ind w:right="-159"/>
        <w:jc w:val="both"/>
        <w:rPr>
          <w:rFonts w:eastAsia="Calibri"/>
          <w:sz w:val="26"/>
          <w:szCs w:val="26"/>
          <w:lang w:val="es-ES" w:eastAsia="en-US"/>
        </w:rPr>
      </w:pPr>
      <w:r w:rsidRPr="00967D41">
        <w:rPr>
          <w:rFonts w:eastAsia="Calibri"/>
          <w:sz w:val="26"/>
          <w:szCs w:val="26"/>
          <w:lang w:val="es-ES" w:eastAsia="en-US"/>
        </w:rPr>
        <w:t>Los múltiples y profundos avances provocados por la Unión Bancaria han conseguido situar a Europa en la vía correcta para la integración y han reducido la fragmentación financiera. Los bancos de la Unión Europea (UE) deben adaptarse a esta nueva realidad. En España las entidades se encuentran en mejor situación que en otros países gracias al importante esfuerzo realizado para sanear sus balances. En consecuencia, la rentabilidad ha vuelto a terreno positivo, si bien tímidamente. Aunque las entidades van a tener que afrontar algunos obstáculos e incertidumbres que presionarán la rentabilidad a la baja, la Unión Bancaria puede contribuir a mejorar su fortaleza, por lo que avanzar hacia la culminación de este proyecto es esencial.</w:t>
      </w:r>
    </w:p>
    <w:p w14:paraId="2DC4A9C1" w14:textId="77777777" w:rsidR="00A84901" w:rsidRPr="00967D41" w:rsidRDefault="00A84901" w:rsidP="00A84901">
      <w:pPr>
        <w:spacing w:after="360" w:line="360" w:lineRule="auto"/>
        <w:ind w:right="-159"/>
        <w:jc w:val="both"/>
        <w:rPr>
          <w:rFonts w:eastAsia="Calibri"/>
          <w:b/>
          <w:sz w:val="26"/>
          <w:szCs w:val="26"/>
          <w:lang w:val="es-ES" w:eastAsia="en-US"/>
        </w:rPr>
      </w:pPr>
      <w:r w:rsidRPr="00967D41">
        <w:rPr>
          <w:rFonts w:eastAsia="Calibri"/>
          <w:b/>
          <w:sz w:val="26"/>
          <w:szCs w:val="26"/>
          <w:lang w:val="es-ES" w:eastAsia="en-US"/>
        </w:rPr>
        <w:t>3.  Banca portuguesa: muchos desafíos por delante</w:t>
      </w:r>
    </w:p>
    <w:p w14:paraId="6CB120E9" w14:textId="08056FE4" w:rsidR="00A84901" w:rsidRPr="00967D41" w:rsidRDefault="00A84901" w:rsidP="00A84901">
      <w:pPr>
        <w:spacing w:after="360" w:line="360" w:lineRule="auto"/>
        <w:ind w:right="-159"/>
        <w:jc w:val="both"/>
        <w:rPr>
          <w:rFonts w:eastAsia="Calibri"/>
          <w:sz w:val="26"/>
          <w:szCs w:val="26"/>
          <w:lang w:val="es-ES" w:eastAsia="en-US"/>
        </w:rPr>
      </w:pPr>
      <w:r w:rsidRPr="00967D41">
        <w:rPr>
          <w:rFonts w:eastAsia="Calibri"/>
          <w:sz w:val="26"/>
          <w:szCs w:val="26"/>
          <w:lang w:val="es-ES" w:eastAsia="en-US"/>
        </w:rPr>
        <w:t>Tras tres años de recesión, el Producto Interno Bruto (PIB) portugués volverá a crecer en 2014. No obstante, la recuperación económica todavía no se ha trasladado a los balances bancarios que mantienen tasas de morosidad en máximos históricos, mientras la rentabilidad del conjunto del sector se mantiene negativa. El ejercicio de evaluación integral a la banca europea puso de manifiesto que dos de los tres bancos portugueses que participaron tienen capital suficiente para afrontar un escenario adverso y el tercer banco aprobaría con las acciones ya implementadas a lo largo de 2014. La resolución de</w:t>
      </w:r>
      <w:r w:rsidR="00391822">
        <w:rPr>
          <w:rFonts w:eastAsia="Calibri"/>
          <w:sz w:val="26"/>
          <w:szCs w:val="26"/>
          <w:lang w:val="es-ES" w:eastAsia="en-US"/>
        </w:rPr>
        <w:t>l Banco Espírito Santo</w:t>
      </w:r>
      <w:r w:rsidRPr="00967D41">
        <w:rPr>
          <w:rFonts w:eastAsia="Calibri"/>
          <w:sz w:val="26"/>
          <w:szCs w:val="26"/>
          <w:lang w:val="es-ES" w:eastAsia="en-US"/>
        </w:rPr>
        <w:t xml:space="preserve"> </w:t>
      </w:r>
      <w:r w:rsidR="00391822">
        <w:rPr>
          <w:rFonts w:eastAsia="Calibri"/>
          <w:sz w:val="26"/>
          <w:szCs w:val="26"/>
          <w:lang w:val="es-ES" w:eastAsia="en-US"/>
        </w:rPr>
        <w:t>(</w:t>
      </w:r>
      <w:r w:rsidRPr="00967D41">
        <w:rPr>
          <w:rFonts w:eastAsia="Calibri"/>
          <w:sz w:val="26"/>
          <w:szCs w:val="26"/>
          <w:lang w:val="es-ES" w:eastAsia="en-US"/>
        </w:rPr>
        <w:t>BES</w:t>
      </w:r>
      <w:r w:rsidR="00391822">
        <w:rPr>
          <w:rFonts w:eastAsia="Calibri"/>
          <w:sz w:val="26"/>
          <w:szCs w:val="26"/>
          <w:lang w:val="es-ES" w:eastAsia="en-US"/>
        </w:rPr>
        <w:t>)</w:t>
      </w:r>
      <w:r w:rsidRPr="00967D41">
        <w:rPr>
          <w:rFonts w:eastAsia="Calibri"/>
          <w:sz w:val="26"/>
          <w:szCs w:val="26"/>
          <w:lang w:val="es-ES" w:eastAsia="en-US"/>
        </w:rPr>
        <w:t xml:space="preserve"> en agosto de 2014 aseguró la estabilidad financiera del sistema pero a su vez supuso una carga adicional para el resto de los bancos, que a través del Fondo de Resolución portugués tienen que soportar eventuales pérdidas en la venta del banco puente —Novo Banco— si el precio es inferior a la recapitalización.</w:t>
      </w:r>
    </w:p>
    <w:p w14:paraId="624875A4" w14:textId="77777777" w:rsidR="00A84901" w:rsidRPr="00967D41" w:rsidRDefault="00A84901" w:rsidP="00A84901">
      <w:pPr>
        <w:spacing w:after="360" w:line="360" w:lineRule="auto"/>
        <w:ind w:right="-159"/>
        <w:jc w:val="both"/>
        <w:rPr>
          <w:rFonts w:eastAsia="Calibri"/>
          <w:b/>
          <w:sz w:val="26"/>
          <w:szCs w:val="26"/>
          <w:lang w:val="es-ES" w:eastAsia="en-US"/>
        </w:rPr>
      </w:pPr>
      <w:r w:rsidRPr="00967D41">
        <w:rPr>
          <w:rFonts w:eastAsia="Calibri"/>
          <w:b/>
          <w:sz w:val="26"/>
          <w:szCs w:val="26"/>
          <w:lang w:val="es-ES" w:eastAsia="en-US"/>
        </w:rPr>
        <w:t>4.  Regulación en 2015: balance y prioridades</w:t>
      </w:r>
    </w:p>
    <w:p w14:paraId="10D5FD1B" w14:textId="409797F4" w:rsidR="00A84901" w:rsidRPr="00967D41" w:rsidRDefault="00A84901" w:rsidP="00A84901">
      <w:pPr>
        <w:spacing w:after="360" w:line="360" w:lineRule="auto"/>
        <w:ind w:right="-159"/>
        <w:jc w:val="both"/>
        <w:rPr>
          <w:rFonts w:eastAsia="Calibri"/>
          <w:sz w:val="26"/>
          <w:szCs w:val="26"/>
          <w:lang w:val="es-ES" w:eastAsia="en-US"/>
        </w:rPr>
      </w:pPr>
      <w:r w:rsidRPr="00967D41">
        <w:rPr>
          <w:rFonts w:eastAsia="Calibri"/>
          <w:sz w:val="26"/>
          <w:szCs w:val="26"/>
          <w:lang w:val="es-ES" w:eastAsia="en-US"/>
        </w:rPr>
        <w:t xml:space="preserve">Tras siete años de intenso trabajo en el frente regulatorio, la cumbre de líderes del </w:t>
      </w:r>
      <w:r w:rsidR="002C730F">
        <w:rPr>
          <w:rFonts w:eastAsia="Calibri"/>
          <w:sz w:val="26"/>
          <w:szCs w:val="26"/>
          <w:lang w:val="es-ES" w:eastAsia="en-US"/>
        </w:rPr>
        <w:t>G-20</w:t>
      </w:r>
      <w:r w:rsidRPr="00967D41">
        <w:rPr>
          <w:rFonts w:eastAsia="Calibri"/>
          <w:sz w:val="26"/>
          <w:szCs w:val="26"/>
          <w:lang w:val="es-ES" w:eastAsia="en-US"/>
        </w:rPr>
        <w:t xml:space="preserve"> de noviembre de 2014 en Brisbane significó el inicio de una nueva etapa en la agenda </w:t>
      </w:r>
      <w:r w:rsidRPr="00967D41">
        <w:rPr>
          <w:rFonts w:eastAsia="Calibri"/>
          <w:sz w:val="26"/>
          <w:szCs w:val="26"/>
          <w:lang w:val="es-ES" w:eastAsia="en-US"/>
        </w:rPr>
        <w:lastRenderedPageBreak/>
        <w:t>regulatoria. Entramos ahora en la fase de implementación de las medidas, evaluación de su eficacia y, posiblemente, re-estimación de sus parámetros, para que el sector bancario pueda desarrollar plenamente su papel en la sociedad y financiar el crecimiento económico. Este año 2015</w:t>
      </w:r>
      <w:r w:rsidR="000D254C">
        <w:rPr>
          <w:rFonts w:eastAsia="Calibri"/>
          <w:sz w:val="26"/>
          <w:szCs w:val="26"/>
          <w:lang w:val="es-ES" w:eastAsia="en-US"/>
        </w:rPr>
        <w:t>,</w:t>
      </w:r>
      <w:r w:rsidRPr="00967D41">
        <w:rPr>
          <w:rFonts w:eastAsia="Calibri"/>
          <w:sz w:val="26"/>
          <w:szCs w:val="26"/>
          <w:lang w:val="es-ES" w:eastAsia="en-US"/>
        </w:rPr>
        <w:t xml:space="preserve"> las prioridades regulatorias se centrarán en cuatro ámbitos: i) políticas prudenciales; ii) resolución de entidades de crédito; iii) medidas de financiamiento; y iv) la agenda digital.</w:t>
      </w:r>
    </w:p>
    <w:p w14:paraId="7C5BB731" w14:textId="77777777" w:rsidR="00A84901" w:rsidRPr="00967D41" w:rsidRDefault="00A84901" w:rsidP="00A84901">
      <w:pPr>
        <w:spacing w:after="360" w:line="360" w:lineRule="auto"/>
        <w:ind w:right="-159"/>
        <w:jc w:val="both"/>
        <w:rPr>
          <w:rFonts w:eastAsia="Calibri"/>
          <w:b/>
          <w:sz w:val="26"/>
          <w:szCs w:val="26"/>
          <w:lang w:val="es-ES" w:eastAsia="en-US"/>
        </w:rPr>
      </w:pPr>
      <w:r w:rsidRPr="00967D41">
        <w:rPr>
          <w:rFonts w:eastAsia="Calibri"/>
          <w:b/>
          <w:sz w:val="26"/>
          <w:szCs w:val="26"/>
          <w:lang w:val="es-ES" w:eastAsia="en-US"/>
        </w:rPr>
        <w:t>1. Evolución del sector bancario español</w:t>
      </w:r>
    </w:p>
    <w:p w14:paraId="658FD074" w14:textId="5E699796" w:rsidR="00A84901" w:rsidRPr="00967D41" w:rsidRDefault="00A84901" w:rsidP="00A84901">
      <w:pPr>
        <w:spacing w:after="360" w:line="360" w:lineRule="auto"/>
        <w:ind w:right="-159"/>
        <w:jc w:val="both"/>
        <w:rPr>
          <w:rFonts w:eastAsia="Calibri"/>
          <w:sz w:val="26"/>
          <w:szCs w:val="26"/>
          <w:lang w:val="es-ES" w:eastAsia="en-US"/>
        </w:rPr>
      </w:pPr>
      <w:r w:rsidRPr="00967D41">
        <w:rPr>
          <w:rFonts w:eastAsia="Calibri"/>
          <w:sz w:val="26"/>
          <w:szCs w:val="26"/>
          <w:lang w:val="es-ES" w:eastAsia="en-US"/>
        </w:rPr>
        <w:t xml:space="preserve">Las tablas y datos comentados se encuentran en el anexo del documento original. La mayor parte de los datos proceden del </w:t>
      </w:r>
      <w:r w:rsidR="00391822">
        <w:rPr>
          <w:rFonts w:eastAsia="Calibri"/>
          <w:sz w:val="26"/>
          <w:szCs w:val="26"/>
          <w:lang w:val="es-ES" w:eastAsia="en-US"/>
        </w:rPr>
        <w:t>C</w:t>
      </w:r>
      <w:r w:rsidRPr="00967D41">
        <w:rPr>
          <w:rFonts w:eastAsia="Calibri"/>
          <w:sz w:val="26"/>
          <w:szCs w:val="26"/>
          <w:lang w:val="es-ES" w:eastAsia="en-US"/>
        </w:rPr>
        <w:t>apítulo 4 del Boletín Estadístico del Banco de España. El análisis se limita al negocio bancario en España.</w:t>
      </w:r>
    </w:p>
    <w:p w14:paraId="593CE382" w14:textId="77777777" w:rsidR="00A84901" w:rsidRPr="00967D41" w:rsidRDefault="00A84901" w:rsidP="00A84901">
      <w:pPr>
        <w:spacing w:after="360" w:line="360" w:lineRule="auto"/>
        <w:ind w:right="-159"/>
        <w:jc w:val="both"/>
        <w:rPr>
          <w:rFonts w:eastAsia="Calibri"/>
          <w:sz w:val="26"/>
          <w:szCs w:val="26"/>
          <w:lang w:val="es-ES" w:eastAsia="en-US"/>
        </w:rPr>
      </w:pPr>
      <w:r w:rsidRPr="00967D41">
        <w:rPr>
          <w:rFonts w:eastAsia="Calibri"/>
          <w:sz w:val="26"/>
          <w:szCs w:val="26"/>
          <w:lang w:val="es-ES" w:eastAsia="en-US"/>
        </w:rPr>
        <w:t>La mejora de los resultados del sector se mantiene en 2014, apalancados en el afianzamiento de la recuperación económica tras seis años de crisis.</w:t>
      </w:r>
    </w:p>
    <w:p w14:paraId="0FF0C540" w14:textId="77777777" w:rsidR="00A84901" w:rsidRPr="00967D41" w:rsidRDefault="00A84901" w:rsidP="00A84901">
      <w:pPr>
        <w:spacing w:after="360" w:line="360" w:lineRule="auto"/>
        <w:ind w:right="-159"/>
        <w:jc w:val="both"/>
        <w:rPr>
          <w:rFonts w:eastAsia="Calibri"/>
          <w:sz w:val="26"/>
          <w:szCs w:val="26"/>
          <w:lang w:val="es-ES" w:eastAsia="en-US"/>
        </w:rPr>
      </w:pPr>
      <w:r w:rsidRPr="00967D41">
        <w:rPr>
          <w:rFonts w:eastAsia="Calibri"/>
          <w:sz w:val="26"/>
          <w:szCs w:val="26"/>
          <w:lang w:val="es-ES" w:eastAsia="en-US"/>
        </w:rPr>
        <w:t>Continúa el necesario ajuste del stock de crédito, que está convergiendo a la media europea tras un profundo y prolongado esfuerzo de desapalancamiento. La disminución acumulada del volumen total de crédito ha sido de un 24% desde diciembre de 2008. Esta disminución del crédito ha sido especialmente fuerte en 2012 y 2013 debido al ajuste del valor de los activos tras los Reales Decretos de 2012 y al traspaso de activos inmobiliarios a la Sareb por parte de las entidades que recibieron fondos públicos para recapitalizarse.</w:t>
      </w:r>
    </w:p>
    <w:p w14:paraId="22CBE59E" w14:textId="72C21962" w:rsidR="00A84901" w:rsidRPr="00967D41" w:rsidRDefault="00A84901" w:rsidP="00A84901">
      <w:pPr>
        <w:spacing w:after="360" w:line="360" w:lineRule="auto"/>
        <w:ind w:right="-159"/>
        <w:jc w:val="both"/>
        <w:rPr>
          <w:rFonts w:eastAsia="Calibri"/>
          <w:sz w:val="26"/>
          <w:szCs w:val="26"/>
          <w:lang w:val="es-ES" w:eastAsia="en-US"/>
        </w:rPr>
      </w:pPr>
      <w:r w:rsidRPr="00967D41">
        <w:rPr>
          <w:rFonts w:eastAsia="Calibri"/>
          <w:sz w:val="26"/>
          <w:szCs w:val="26"/>
          <w:lang w:val="es-ES" w:eastAsia="en-US"/>
        </w:rPr>
        <w:t xml:space="preserve">Todas  las  carteras  de  crédito  al  sector  privado  (Otros  Sectores  Residentes,  OSR)  se  reducen fuertemente durante los últimos años. La reducción del crédito OSR desde 2008 es de 490 </w:t>
      </w:r>
      <w:r w:rsidR="000D254C">
        <w:rPr>
          <w:rFonts w:eastAsia="Calibri"/>
          <w:sz w:val="26"/>
          <w:szCs w:val="26"/>
          <w:lang w:val="es-ES" w:eastAsia="en-US"/>
        </w:rPr>
        <w:t>mil m</w:t>
      </w:r>
      <w:r w:rsidRPr="00967D41">
        <w:rPr>
          <w:rFonts w:eastAsia="Calibri"/>
          <w:sz w:val="26"/>
          <w:szCs w:val="26"/>
          <w:lang w:val="es-ES" w:eastAsia="en-US"/>
        </w:rPr>
        <w:t xml:space="preserve">illones de euros, un 47% del PIB. La contracción se concentra fundamentalmente en el crédito a empresas, con una caída acumulada del 34% desde el inicio de la crisis, siendo destacable que el crédito a empresas inmobiliarias y </w:t>
      </w:r>
      <w:r w:rsidRPr="00967D41">
        <w:rPr>
          <w:rFonts w:eastAsia="Calibri"/>
          <w:sz w:val="26"/>
          <w:szCs w:val="26"/>
          <w:lang w:val="es-ES" w:eastAsia="en-US"/>
        </w:rPr>
        <w:lastRenderedPageBreak/>
        <w:t>constructoras ha caído más de un 55%. El crédito a hogares muestra una resistencia mayor a la reducción por su menor mora y el mayor plazo medio del crédito hipotecario.</w:t>
      </w:r>
    </w:p>
    <w:p w14:paraId="0334AF2D" w14:textId="77777777" w:rsidR="00A84901" w:rsidRPr="00967D41" w:rsidRDefault="00A84901" w:rsidP="00A84901">
      <w:pPr>
        <w:spacing w:after="360" w:line="360" w:lineRule="auto"/>
        <w:ind w:right="-159"/>
        <w:jc w:val="both"/>
        <w:rPr>
          <w:rFonts w:eastAsia="Calibri"/>
          <w:sz w:val="26"/>
          <w:szCs w:val="26"/>
          <w:lang w:val="es-ES" w:eastAsia="en-US"/>
        </w:rPr>
      </w:pPr>
      <w:r w:rsidRPr="00967D41">
        <w:rPr>
          <w:rFonts w:eastAsia="Calibri"/>
          <w:sz w:val="26"/>
          <w:szCs w:val="26"/>
          <w:lang w:val="es-ES" w:eastAsia="en-US"/>
        </w:rPr>
        <w:t>El activo total del sector se ha reducido un 10% durante la crisis. Esta caída no es tan fuerte como la del crédito debido al comportamiento de las carteras de activos financieros (renta variable y renta fija) especialmente la cartera de deuda pública, que aumentan de forma continua desde 2008 en un intento de reforzar la capacidad de generación de ingresos de las entidades. Sólo en 2014 empiezan a decrecer estas tenencias en su conjunto, si bien las entidades han continuado acumulando renta fija soberana en sus balances.</w:t>
      </w:r>
    </w:p>
    <w:p w14:paraId="1730FD7C" w14:textId="77777777" w:rsidR="00A84901" w:rsidRPr="00967D41" w:rsidRDefault="00A84901" w:rsidP="00A84901">
      <w:pPr>
        <w:spacing w:after="360" w:line="360" w:lineRule="auto"/>
        <w:ind w:right="-159"/>
        <w:jc w:val="both"/>
        <w:rPr>
          <w:rFonts w:eastAsia="Calibri"/>
          <w:sz w:val="26"/>
          <w:szCs w:val="26"/>
          <w:lang w:val="es-ES" w:eastAsia="en-US"/>
        </w:rPr>
      </w:pPr>
      <w:r w:rsidRPr="00967D41">
        <w:rPr>
          <w:rFonts w:eastAsia="Calibri"/>
          <w:sz w:val="26"/>
          <w:szCs w:val="26"/>
          <w:lang w:val="es-ES" w:eastAsia="en-US"/>
        </w:rPr>
        <w:t>En cuanto al pasivo, el volumen total de depósitos se reduce un 16% en la crisis. No obstante, descartando otras partidas más volátiles, los depósitos del sector privado residente se mantienen prácticamente estables. La disminución del 1.5% en 2014 se puede atribuir en su mayor parte al entorno de bajos tipos de interés, que afecta especialmente al atractivo de las imposiciones a plazo fijo frente a otros productos de ahorro.</w:t>
      </w:r>
    </w:p>
    <w:p w14:paraId="4D793100" w14:textId="77777777" w:rsidR="00A84901" w:rsidRPr="00967D41" w:rsidRDefault="00A84901" w:rsidP="00A84901">
      <w:pPr>
        <w:spacing w:after="360" w:line="360" w:lineRule="auto"/>
        <w:ind w:right="-159"/>
        <w:jc w:val="both"/>
        <w:rPr>
          <w:rFonts w:eastAsia="Calibri"/>
          <w:sz w:val="26"/>
          <w:szCs w:val="26"/>
          <w:lang w:val="es-ES" w:eastAsia="en-US"/>
        </w:rPr>
      </w:pPr>
      <w:r w:rsidRPr="00967D41">
        <w:rPr>
          <w:rFonts w:eastAsia="Calibri"/>
          <w:sz w:val="26"/>
          <w:szCs w:val="26"/>
          <w:lang w:val="es-ES" w:eastAsia="en-US"/>
        </w:rPr>
        <w:t>En cuanto a las operaciones interbancarias, se observa un aumento significativo del saldo neto (pasivo menos activo) desde el inicio de la crisis por el aumento de la apelación a la liquidez del Banco Central Europeo (BCE) por parte de las entidades españolas ante el cierre de otras fuentes de financiamiento. No obstante, esta serie muestra una clara tendencia a la baja desde los máximos alcanzados en agosto de 2012 (64% negativo desde máximo), en línea con la normalización de otras fuentes de financiamiento mayorista. La unión bancaria será fundamental para mitigar la fragmentación de los mercados europeos y mejorar las condiciones de financiamiento de las entidades bancarias de las economías periféricas.</w:t>
      </w:r>
    </w:p>
    <w:p w14:paraId="3D59AB43" w14:textId="77777777" w:rsidR="00A84901" w:rsidRPr="00967D41" w:rsidRDefault="00A84901" w:rsidP="00A84901">
      <w:pPr>
        <w:spacing w:after="360" w:line="360" w:lineRule="auto"/>
        <w:ind w:right="-159"/>
        <w:jc w:val="both"/>
        <w:rPr>
          <w:rFonts w:eastAsia="Calibri"/>
          <w:sz w:val="26"/>
          <w:szCs w:val="26"/>
          <w:lang w:val="es-ES" w:eastAsia="en-US"/>
        </w:rPr>
      </w:pPr>
      <w:r w:rsidRPr="00967D41">
        <w:rPr>
          <w:rFonts w:eastAsia="Calibri"/>
          <w:sz w:val="26"/>
          <w:szCs w:val="26"/>
          <w:lang w:val="es-ES" w:eastAsia="en-US"/>
        </w:rPr>
        <w:lastRenderedPageBreak/>
        <w:t>El exceso de capacidad instalada sigue reduciéndose en línea con la contracción de volúmenes de negocio comentada. Es significativa la reducción del número de oficinas bancarias, casi 14 mil desde el máximo de 2008.</w:t>
      </w:r>
    </w:p>
    <w:p w14:paraId="340BF026" w14:textId="77777777" w:rsidR="00A84901" w:rsidRPr="00967D41" w:rsidRDefault="00A84901" w:rsidP="00A84901">
      <w:pPr>
        <w:spacing w:after="360" w:line="360" w:lineRule="auto"/>
        <w:ind w:right="-159"/>
        <w:jc w:val="both"/>
        <w:rPr>
          <w:rFonts w:eastAsia="Calibri"/>
          <w:sz w:val="26"/>
          <w:szCs w:val="26"/>
          <w:lang w:val="es-ES" w:eastAsia="en-US"/>
        </w:rPr>
      </w:pPr>
      <w:r w:rsidRPr="00967D41">
        <w:rPr>
          <w:rFonts w:eastAsia="Calibri"/>
          <w:sz w:val="26"/>
          <w:szCs w:val="26"/>
          <w:lang w:val="es-ES" w:eastAsia="en-US"/>
        </w:rPr>
        <w:t>Por otra parte, la solvencia del sector se ha reforzado notablemente, pues incluso durante una crisis de esta magnitud se observa un incremento de 50 billones de euros en el volumen de fondos propios en balance (exclusivamente capital y beneficios retenidos).</w:t>
      </w:r>
    </w:p>
    <w:p w14:paraId="4908AE3B" w14:textId="5D6B26F3" w:rsidR="00A84901" w:rsidRPr="00967D41" w:rsidRDefault="00A84901" w:rsidP="00A84901">
      <w:pPr>
        <w:spacing w:after="360" w:line="360" w:lineRule="auto"/>
        <w:ind w:right="-159"/>
        <w:jc w:val="both"/>
        <w:rPr>
          <w:rFonts w:eastAsia="Calibri"/>
          <w:sz w:val="26"/>
          <w:szCs w:val="26"/>
          <w:lang w:val="es-ES" w:eastAsia="en-US"/>
        </w:rPr>
      </w:pPr>
      <w:r w:rsidRPr="00967D41">
        <w:rPr>
          <w:rFonts w:eastAsia="Calibri"/>
          <w:sz w:val="26"/>
          <w:szCs w:val="26"/>
          <w:lang w:val="es-ES" w:eastAsia="en-US"/>
        </w:rPr>
        <w:t xml:space="preserve">La morosidad del sector se incrementa desde el inicio de la crisis. Sin embargo, ya se observa una tendencia decreciente en la relación de mora (a pesar de que su denominador sigue cayendo), que dejó atrás su nivel máximo en 2013. El volumen de crédito OSR dudoso se ha reducido en 25 </w:t>
      </w:r>
      <w:r w:rsidR="000D254C">
        <w:rPr>
          <w:rFonts w:eastAsia="Calibri"/>
          <w:sz w:val="26"/>
          <w:szCs w:val="26"/>
          <w:lang w:val="es-ES" w:eastAsia="en-US"/>
        </w:rPr>
        <w:t>mil millones</w:t>
      </w:r>
      <w:r w:rsidRPr="00967D41">
        <w:rPr>
          <w:rFonts w:eastAsia="Calibri"/>
          <w:sz w:val="26"/>
          <w:szCs w:val="26"/>
          <w:lang w:val="es-ES" w:eastAsia="en-US"/>
        </w:rPr>
        <w:t xml:space="preserve"> de euros en 2014, lo que representa una disminución del 12.5% (frente a una reducción del 4.7% del crédito total OSR).</w:t>
      </w:r>
    </w:p>
    <w:p w14:paraId="6D10F1C3" w14:textId="607E608C" w:rsidR="00A84901" w:rsidRPr="00967D41" w:rsidRDefault="00A84901" w:rsidP="00A84901">
      <w:pPr>
        <w:spacing w:after="360" w:line="360" w:lineRule="auto"/>
        <w:ind w:right="-159"/>
        <w:jc w:val="both"/>
        <w:rPr>
          <w:rFonts w:eastAsia="Calibri"/>
          <w:sz w:val="26"/>
          <w:szCs w:val="26"/>
          <w:lang w:val="es-ES" w:eastAsia="en-US"/>
        </w:rPr>
      </w:pPr>
      <w:r w:rsidRPr="00967D41">
        <w:rPr>
          <w:rFonts w:eastAsia="Calibri"/>
          <w:sz w:val="26"/>
          <w:szCs w:val="26"/>
          <w:lang w:val="es-ES" w:eastAsia="en-US"/>
        </w:rPr>
        <w:t xml:space="preserve">El desapalancamiento del crédito acumulado en el sector privado está siendo ya compatible con el flujo de nuevo crédito. Las nuevas operaciones de crédito muestran un cambio de tendencia desde finales de 2013, con crecimientos interanuales en todas las carteras salvo el crédito empresarial de más de </w:t>
      </w:r>
      <w:r w:rsidR="000D254C">
        <w:rPr>
          <w:rFonts w:eastAsia="Calibri"/>
          <w:sz w:val="26"/>
          <w:szCs w:val="26"/>
          <w:lang w:val="es-ES" w:eastAsia="en-US"/>
        </w:rPr>
        <w:t>un</w:t>
      </w:r>
      <w:r w:rsidRPr="00967D41">
        <w:rPr>
          <w:rFonts w:eastAsia="Calibri"/>
          <w:sz w:val="26"/>
          <w:szCs w:val="26"/>
          <w:lang w:val="es-ES" w:eastAsia="en-US"/>
        </w:rPr>
        <w:t xml:space="preserve"> </w:t>
      </w:r>
      <w:r w:rsidR="000D254C">
        <w:rPr>
          <w:rFonts w:eastAsia="Calibri"/>
          <w:sz w:val="26"/>
          <w:szCs w:val="26"/>
          <w:lang w:val="es-ES" w:eastAsia="en-US"/>
        </w:rPr>
        <w:t>mil millones</w:t>
      </w:r>
      <w:r w:rsidRPr="00967D41">
        <w:rPr>
          <w:rFonts w:eastAsia="Calibri"/>
          <w:sz w:val="26"/>
          <w:szCs w:val="26"/>
          <w:lang w:val="es-ES" w:eastAsia="en-US"/>
        </w:rPr>
        <w:t xml:space="preserve"> de euros (asociado con las grandes empresas, que tienen acceso a otras vías de financiamiento no bancario). Así, el importe de las nuevas operaciones de crédito a pequeña y medianas empresas (pymes) (aproximado por el crédito a empresas por importe inferior al millón de euros) y particulares mantienen la tendencia positiva iniciada a finales de 2013 (9 y 19% en 2014).</w:t>
      </w:r>
    </w:p>
    <w:p w14:paraId="3E17A7FF" w14:textId="08558A9A" w:rsidR="00A84901" w:rsidRPr="00967D41" w:rsidRDefault="00A84901" w:rsidP="00A84901">
      <w:pPr>
        <w:spacing w:after="360" w:line="360" w:lineRule="auto"/>
        <w:ind w:right="-159"/>
        <w:jc w:val="both"/>
        <w:rPr>
          <w:rFonts w:eastAsia="Calibri"/>
          <w:sz w:val="26"/>
          <w:szCs w:val="26"/>
          <w:lang w:val="es-ES" w:eastAsia="en-US"/>
        </w:rPr>
      </w:pPr>
      <w:r w:rsidRPr="00967D41">
        <w:rPr>
          <w:rFonts w:eastAsia="Calibri"/>
          <w:sz w:val="26"/>
          <w:szCs w:val="26"/>
          <w:lang w:val="es-ES" w:eastAsia="en-US"/>
        </w:rPr>
        <w:t xml:space="preserve">La generación de resultados se vio afectada durante la crisis por las dotaciones a provisiones, que desde 2008 han ascendido a 284 </w:t>
      </w:r>
      <w:r w:rsidR="000D254C">
        <w:rPr>
          <w:rFonts w:eastAsia="Calibri"/>
          <w:sz w:val="26"/>
          <w:szCs w:val="26"/>
          <w:lang w:val="es-ES" w:eastAsia="en-US"/>
        </w:rPr>
        <w:t>mil millones</w:t>
      </w:r>
      <w:r w:rsidRPr="00967D41">
        <w:rPr>
          <w:rFonts w:eastAsia="Calibri"/>
          <w:sz w:val="26"/>
          <w:szCs w:val="26"/>
          <w:lang w:val="es-ES" w:eastAsia="en-US"/>
        </w:rPr>
        <w:t xml:space="preserve"> de euros (por todos los conceptos: pérdidas por deterioro de créditos, costos  de  reestructuración  y  pérdidas  de  valor  de  activos  adjudicados,  fundamentalmente). Otros factores importantes han </w:t>
      </w:r>
      <w:r w:rsidRPr="00967D41">
        <w:rPr>
          <w:rFonts w:eastAsia="Calibri"/>
          <w:sz w:val="26"/>
          <w:szCs w:val="26"/>
          <w:lang w:val="es-ES" w:eastAsia="en-US"/>
        </w:rPr>
        <w:lastRenderedPageBreak/>
        <w:t>sido la menor actividad, el desapalancamiento de la economía y, sobre todo, los bajos tipos de interés y la morosidad. Así, en 2014</w:t>
      </w:r>
      <w:r w:rsidR="000D254C">
        <w:rPr>
          <w:rFonts w:eastAsia="Calibri"/>
          <w:sz w:val="26"/>
          <w:szCs w:val="26"/>
          <w:lang w:val="es-ES" w:eastAsia="en-US"/>
        </w:rPr>
        <w:t>,</w:t>
      </w:r>
      <w:r w:rsidRPr="00967D41">
        <w:rPr>
          <w:rFonts w:eastAsia="Calibri"/>
          <w:sz w:val="26"/>
          <w:szCs w:val="26"/>
          <w:lang w:val="es-ES" w:eastAsia="en-US"/>
        </w:rPr>
        <w:t xml:space="preserve"> el margen de intereses, en términos anualizados, podría situarse por encima de 26.4 </w:t>
      </w:r>
      <w:r w:rsidR="000D254C">
        <w:rPr>
          <w:rFonts w:eastAsia="Calibri"/>
          <w:sz w:val="26"/>
          <w:szCs w:val="26"/>
          <w:lang w:val="es-ES" w:eastAsia="en-US"/>
        </w:rPr>
        <w:t>mil mi</w:t>
      </w:r>
      <w:r w:rsidRPr="00967D41">
        <w:rPr>
          <w:rFonts w:eastAsia="Calibri"/>
          <w:sz w:val="26"/>
          <w:szCs w:val="26"/>
          <w:lang w:val="es-ES" w:eastAsia="en-US"/>
        </w:rPr>
        <w:t>llones de euros, cifra ligeramente inferior a la de 2013, y claramente por debajo de la de los primeros años de la crisis.</w:t>
      </w:r>
    </w:p>
    <w:p w14:paraId="2C94B9AE" w14:textId="77777777" w:rsidR="00A84901" w:rsidRPr="00967D41" w:rsidRDefault="00A84901" w:rsidP="00A84901">
      <w:pPr>
        <w:spacing w:after="360" w:line="360" w:lineRule="auto"/>
        <w:ind w:right="-159"/>
        <w:jc w:val="both"/>
        <w:rPr>
          <w:rFonts w:eastAsia="Calibri"/>
          <w:sz w:val="26"/>
          <w:szCs w:val="26"/>
          <w:lang w:val="es-ES" w:eastAsia="en-US"/>
        </w:rPr>
      </w:pPr>
      <w:r w:rsidRPr="00967D41">
        <w:rPr>
          <w:rFonts w:eastAsia="Calibri"/>
          <w:sz w:val="26"/>
          <w:szCs w:val="26"/>
          <w:lang w:val="es-ES" w:eastAsia="en-US"/>
        </w:rPr>
        <w:t>El control de costos se mantiene como una de las prioridades de gestión en un entorno como el actual y, en parte, soporta la generación de resultados recurrentes. Así el margen neto sólo se reduce un 3.8% en 2014 respecto del obtenido en el mismo período de 2013. La moderación de provisiones respecto de años anteriores permite duplicar el Beneficio Antes de Impuestos de los primeros nueve meses de 2013. El beneficio después de impuestos fue un 42% superior, alcanzando 8 mil 332 millones de euros en enero-septiembre de 2014.</w:t>
      </w:r>
    </w:p>
    <w:p w14:paraId="60A40C18" w14:textId="77777777" w:rsidR="00A84901" w:rsidRPr="00967D41" w:rsidRDefault="00A84901" w:rsidP="00A84901">
      <w:pPr>
        <w:spacing w:after="360" w:line="360" w:lineRule="auto"/>
        <w:ind w:right="-159"/>
        <w:jc w:val="both"/>
        <w:rPr>
          <w:rFonts w:eastAsia="Calibri"/>
          <w:sz w:val="26"/>
          <w:szCs w:val="26"/>
          <w:lang w:val="es-ES" w:eastAsia="en-US"/>
        </w:rPr>
      </w:pPr>
      <w:r w:rsidRPr="00967D41">
        <w:rPr>
          <w:rFonts w:eastAsia="Calibri"/>
          <w:sz w:val="26"/>
          <w:szCs w:val="26"/>
          <w:lang w:val="es-ES" w:eastAsia="en-US"/>
        </w:rPr>
        <w:t>En cuanto a las principales proporciones de gestión, el sistema financiero español está recuperando unos niveles normalizados:</w:t>
      </w:r>
    </w:p>
    <w:p w14:paraId="1070E44A" w14:textId="77777777" w:rsidR="00A84901" w:rsidRPr="00967D41" w:rsidRDefault="00A84901" w:rsidP="00276F3E">
      <w:pPr>
        <w:numPr>
          <w:ilvl w:val="0"/>
          <w:numId w:val="15"/>
        </w:numPr>
        <w:spacing w:after="360" w:line="360" w:lineRule="auto"/>
        <w:ind w:left="568" w:right="-159" w:hanging="284"/>
        <w:jc w:val="both"/>
        <w:rPr>
          <w:rFonts w:eastAsia="Calibri"/>
          <w:sz w:val="26"/>
          <w:szCs w:val="26"/>
          <w:lang w:val="es-ES" w:eastAsia="en-US"/>
        </w:rPr>
      </w:pPr>
      <w:r w:rsidRPr="00967D41">
        <w:rPr>
          <w:rFonts w:eastAsia="Calibri"/>
          <w:sz w:val="26"/>
          <w:szCs w:val="26"/>
          <w:lang w:val="es-ES" w:eastAsia="en-US"/>
        </w:rPr>
        <w:t>La eficiencia mejora hasta el 46.9% gracias al control de costos. Es clara la tendencia a disminuir el volumen de gastos de explotación como porcentaje de Activos Totales Medios.</w:t>
      </w:r>
    </w:p>
    <w:p w14:paraId="55F2B01E" w14:textId="77777777" w:rsidR="00A84901" w:rsidRPr="00967D41" w:rsidRDefault="00A84901" w:rsidP="00276F3E">
      <w:pPr>
        <w:numPr>
          <w:ilvl w:val="0"/>
          <w:numId w:val="15"/>
        </w:numPr>
        <w:spacing w:after="360" w:line="360" w:lineRule="auto"/>
        <w:ind w:left="568" w:right="-159" w:hanging="284"/>
        <w:jc w:val="both"/>
        <w:rPr>
          <w:rFonts w:eastAsia="Calibri"/>
          <w:sz w:val="26"/>
          <w:szCs w:val="26"/>
          <w:lang w:val="es-ES" w:eastAsia="en-US"/>
        </w:rPr>
      </w:pPr>
      <w:r w:rsidRPr="00967D41">
        <w:rPr>
          <w:rFonts w:eastAsia="Calibri"/>
          <w:sz w:val="26"/>
          <w:szCs w:val="26"/>
          <w:lang w:val="es-ES" w:eastAsia="en-US"/>
        </w:rPr>
        <w:t>La situación de solvencia y liquidez del sector ha mejorado significativamente: El volumen de recursos propios (capital y reservas) alcanza un 7.9% del balance total, uno de los mejores niveles de Europa. Por su parte, el sector ha reducido la relación créditos/depósitos hasta niveles más sostenibles, un 119%, 39 puntos porcentuales menos que en 2008.</w:t>
      </w:r>
    </w:p>
    <w:p w14:paraId="5A5B4271" w14:textId="77777777" w:rsidR="00A84901" w:rsidRPr="00967D41" w:rsidRDefault="00A84901" w:rsidP="00276F3E">
      <w:pPr>
        <w:numPr>
          <w:ilvl w:val="0"/>
          <w:numId w:val="15"/>
        </w:numPr>
        <w:spacing w:after="360" w:line="360" w:lineRule="auto"/>
        <w:ind w:left="568" w:right="-159" w:hanging="284"/>
        <w:jc w:val="both"/>
        <w:rPr>
          <w:rFonts w:eastAsia="Calibri"/>
          <w:sz w:val="26"/>
          <w:szCs w:val="26"/>
          <w:lang w:val="es-ES" w:eastAsia="en-US"/>
        </w:rPr>
      </w:pPr>
      <w:r w:rsidRPr="00967D41">
        <w:rPr>
          <w:rFonts w:eastAsia="Calibri"/>
          <w:sz w:val="26"/>
          <w:szCs w:val="26"/>
          <w:lang w:val="es-ES" w:eastAsia="en-US"/>
        </w:rPr>
        <w:t>Es destacable que el volumen de capital en balance se ha mantenido durante toda la crisis por encima del 100% del volumen de crédito dudoso.</w:t>
      </w:r>
    </w:p>
    <w:p w14:paraId="7A10D731" w14:textId="77777777" w:rsidR="00A84901" w:rsidRPr="00967D41" w:rsidRDefault="00A84901" w:rsidP="00276F3E">
      <w:pPr>
        <w:numPr>
          <w:ilvl w:val="0"/>
          <w:numId w:val="15"/>
        </w:numPr>
        <w:spacing w:after="360" w:line="360" w:lineRule="auto"/>
        <w:ind w:left="568" w:right="-159" w:hanging="284"/>
        <w:jc w:val="both"/>
        <w:rPr>
          <w:rFonts w:eastAsia="Calibri"/>
          <w:sz w:val="26"/>
          <w:szCs w:val="26"/>
          <w:lang w:val="es-ES" w:eastAsia="en-US"/>
        </w:rPr>
      </w:pPr>
      <w:r w:rsidRPr="00967D41">
        <w:rPr>
          <w:rFonts w:eastAsia="Calibri"/>
          <w:sz w:val="26"/>
          <w:szCs w:val="26"/>
          <w:lang w:val="es-ES" w:eastAsia="en-US"/>
        </w:rPr>
        <w:lastRenderedPageBreak/>
        <w:t xml:space="preserve">Adicionalmente el desapalancamiento se ha traducido en una reducción muy notable del </w:t>
      </w:r>
      <w:r w:rsidRPr="00391822">
        <w:rPr>
          <w:rFonts w:eastAsia="Calibri"/>
          <w:i/>
          <w:sz w:val="26"/>
          <w:szCs w:val="26"/>
          <w:lang w:val="es-ES" w:eastAsia="en-US"/>
        </w:rPr>
        <w:t>funding gap</w:t>
      </w:r>
      <w:r w:rsidRPr="00967D41">
        <w:rPr>
          <w:rFonts w:eastAsia="Calibri"/>
          <w:sz w:val="26"/>
          <w:szCs w:val="26"/>
          <w:lang w:val="es-ES" w:eastAsia="en-US"/>
        </w:rPr>
        <w:t xml:space="preserve"> del sistema (crédito OSR menos depósitos OSR), situándose actualmente en niveles del año 2003, y en mínimo histórico medido como porcentaje del balance total.</w:t>
      </w:r>
    </w:p>
    <w:p w14:paraId="731C7373" w14:textId="77777777" w:rsidR="00A84901" w:rsidRPr="00967D41" w:rsidRDefault="00A84901" w:rsidP="00276F3E">
      <w:pPr>
        <w:numPr>
          <w:ilvl w:val="0"/>
          <w:numId w:val="15"/>
        </w:numPr>
        <w:spacing w:after="360" w:line="360" w:lineRule="auto"/>
        <w:ind w:left="568" w:right="-159" w:hanging="284"/>
        <w:jc w:val="both"/>
        <w:rPr>
          <w:rFonts w:eastAsia="Calibri"/>
          <w:sz w:val="26"/>
          <w:szCs w:val="26"/>
          <w:lang w:val="es-ES" w:eastAsia="en-US"/>
        </w:rPr>
      </w:pPr>
      <w:r w:rsidRPr="00967D41">
        <w:rPr>
          <w:rFonts w:eastAsia="Calibri"/>
          <w:sz w:val="26"/>
          <w:szCs w:val="26"/>
          <w:lang w:val="es-ES" w:eastAsia="en-US"/>
        </w:rPr>
        <w:t>Por último, los indicadores de esfuerzo en provisiones (dotación de provisiones/margen neto) y costo del riesgo (dotación de provisiones/crédito total) vuelven en 2014 a niveles similares a los años anteriores a la crisis, síntoma de que las necesidades de provisiones se normalizan.</w:t>
      </w:r>
    </w:p>
    <w:p w14:paraId="2585FE56" w14:textId="77777777" w:rsidR="00A84901" w:rsidRPr="00967D41" w:rsidRDefault="00A84901" w:rsidP="00276F3E">
      <w:pPr>
        <w:numPr>
          <w:ilvl w:val="0"/>
          <w:numId w:val="15"/>
        </w:numPr>
        <w:spacing w:after="360" w:line="360" w:lineRule="auto"/>
        <w:ind w:left="568" w:right="-159" w:hanging="284"/>
        <w:jc w:val="both"/>
        <w:rPr>
          <w:rFonts w:eastAsia="Calibri"/>
          <w:sz w:val="26"/>
          <w:szCs w:val="26"/>
          <w:lang w:val="es-ES" w:eastAsia="en-US"/>
        </w:rPr>
      </w:pPr>
      <w:r w:rsidRPr="00967D41">
        <w:rPr>
          <w:rFonts w:eastAsia="Calibri"/>
          <w:sz w:val="26"/>
          <w:szCs w:val="26"/>
          <w:lang w:val="es-ES" w:eastAsia="en-US"/>
        </w:rPr>
        <w:t xml:space="preserve">La normalización de las dotaciones, entre otros muchos factores, explica que la rentabilidad se afianza en terreno positivo tras las abultadas pérdidas de 2011 y 2012. </w:t>
      </w:r>
    </w:p>
    <w:p w14:paraId="207AF0F3" w14:textId="77777777" w:rsidR="00A84901" w:rsidRPr="00967D41" w:rsidRDefault="00A84901" w:rsidP="00A84901">
      <w:pPr>
        <w:spacing w:after="360" w:line="360" w:lineRule="auto"/>
        <w:ind w:right="-159"/>
        <w:jc w:val="both"/>
        <w:rPr>
          <w:rFonts w:eastAsia="Calibri"/>
          <w:b/>
          <w:sz w:val="26"/>
          <w:szCs w:val="26"/>
          <w:lang w:val="es-ES" w:eastAsia="en-US"/>
        </w:rPr>
      </w:pPr>
      <w:r w:rsidRPr="00967D41">
        <w:rPr>
          <w:rFonts w:eastAsia="Calibri"/>
          <w:b/>
          <w:sz w:val="26"/>
          <w:szCs w:val="26"/>
          <w:lang w:val="es-ES" w:eastAsia="en-US"/>
        </w:rPr>
        <w:t>2. Retos de los bancos españoles ante la Unión Bancaria</w:t>
      </w:r>
    </w:p>
    <w:p w14:paraId="277A6D99" w14:textId="77777777" w:rsidR="00A84901" w:rsidRPr="00967D41" w:rsidRDefault="00A84901" w:rsidP="00A84901">
      <w:pPr>
        <w:spacing w:after="360" w:line="360" w:lineRule="auto"/>
        <w:ind w:right="-159"/>
        <w:jc w:val="both"/>
        <w:rPr>
          <w:rFonts w:eastAsia="Calibri"/>
          <w:b/>
          <w:sz w:val="26"/>
          <w:szCs w:val="26"/>
          <w:lang w:val="es-ES" w:eastAsia="en-US"/>
        </w:rPr>
      </w:pPr>
      <w:r w:rsidRPr="00967D41">
        <w:rPr>
          <w:rFonts w:eastAsia="Calibri"/>
          <w:b/>
          <w:sz w:val="26"/>
          <w:szCs w:val="26"/>
          <w:lang w:val="es-ES" w:eastAsia="en-US"/>
        </w:rPr>
        <w:t>La unión bancaria ha apuntalado el euro, reduciendo la fragmentación</w:t>
      </w:r>
    </w:p>
    <w:p w14:paraId="1ECB5FD3" w14:textId="77777777" w:rsidR="00A84901" w:rsidRPr="00967D41" w:rsidRDefault="00A84901" w:rsidP="00A84901">
      <w:pPr>
        <w:spacing w:after="360" w:line="360" w:lineRule="auto"/>
        <w:ind w:right="-159"/>
        <w:jc w:val="both"/>
        <w:rPr>
          <w:rFonts w:eastAsia="Calibri"/>
          <w:sz w:val="26"/>
          <w:szCs w:val="26"/>
          <w:lang w:val="es-ES" w:eastAsia="en-US"/>
        </w:rPr>
      </w:pPr>
      <w:r w:rsidRPr="00967D41">
        <w:rPr>
          <w:rFonts w:eastAsia="Calibri"/>
          <w:sz w:val="26"/>
          <w:szCs w:val="26"/>
          <w:lang w:val="es-ES" w:eastAsia="en-US"/>
        </w:rPr>
        <w:t>Los avances conseguidos en la unión bancaria no sólo han sido numerosos, sino que han sido tan profundos y se han registrado en un plazo tan corto de tiempo que eran impensables hace pocos años. Han conseguido situar a Europa en la vía correcta para la integración y han reducido la fragmentación financiera, que puso en peligro la moneda única en el verano de 2012. Dentro de la unión bancaria se han puesto en marcha tres pilares fundamentales: Single Rulebook, el Mecanismo Único de Supervisión (MUS) y el Mecanismo Único de Resolución (MUR).</w:t>
      </w:r>
    </w:p>
    <w:p w14:paraId="7B27E1F0" w14:textId="77777777" w:rsidR="00A84901" w:rsidRPr="00967D41" w:rsidRDefault="00A84901" w:rsidP="00A84901">
      <w:pPr>
        <w:spacing w:after="360" w:line="360" w:lineRule="auto"/>
        <w:ind w:right="-159"/>
        <w:jc w:val="both"/>
        <w:rPr>
          <w:rFonts w:eastAsia="Calibri"/>
          <w:sz w:val="26"/>
          <w:szCs w:val="26"/>
          <w:lang w:val="es-ES" w:eastAsia="en-US"/>
        </w:rPr>
      </w:pPr>
      <w:r w:rsidRPr="00967D41">
        <w:rPr>
          <w:rFonts w:eastAsia="Calibri"/>
          <w:sz w:val="26"/>
          <w:szCs w:val="26"/>
          <w:lang w:val="es-ES" w:eastAsia="en-US"/>
        </w:rPr>
        <w:t>Con el primero, se han establecido nuevas normas que han armonizado los requerimientos de capital (</w:t>
      </w:r>
      <w:r w:rsidRPr="00967D41">
        <w:rPr>
          <w:rFonts w:eastAsia="Calibri"/>
          <w:i/>
          <w:sz w:val="26"/>
          <w:szCs w:val="26"/>
          <w:lang w:val="es-ES" w:eastAsia="en-US"/>
        </w:rPr>
        <w:t>Capital Requirements Directive IV,</w:t>
      </w:r>
      <w:r w:rsidRPr="00967D41">
        <w:rPr>
          <w:rFonts w:eastAsia="Calibri"/>
          <w:sz w:val="26"/>
          <w:szCs w:val="26"/>
          <w:lang w:val="es-ES" w:eastAsia="en-US"/>
        </w:rPr>
        <w:t xml:space="preserve"> CRDIV), los criterios de recuperación y resolución de entidades (</w:t>
      </w:r>
      <w:r w:rsidRPr="00967D41">
        <w:rPr>
          <w:rFonts w:eastAsia="Calibri"/>
          <w:i/>
          <w:sz w:val="26"/>
          <w:szCs w:val="26"/>
          <w:lang w:val="es-ES" w:eastAsia="en-US"/>
        </w:rPr>
        <w:t>Bank Recovery and Resolution Directive,</w:t>
      </w:r>
      <w:r w:rsidRPr="00967D41">
        <w:rPr>
          <w:rFonts w:eastAsia="Calibri"/>
          <w:sz w:val="26"/>
          <w:szCs w:val="26"/>
          <w:lang w:val="es-ES" w:eastAsia="en-US"/>
        </w:rPr>
        <w:t xml:space="preserve"> BRRD) o las características de los fondos de garantía de depósitos (</w:t>
      </w:r>
      <w:r w:rsidRPr="00967D41">
        <w:rPr>
          <w:rFonts w:eastAsia="Calibri"/>
          <w:i/>
          <w:sz w:val="26"/>
          <w:szCs w:val="26"/>
          <w:lang w:val="es-ES" w:eastAsia="en-US"/>
        </w:rPr>
        <w:t xml:space="preserve">Deposit Guarantee </w:t>
      </w:r>
      <w:r w:rsidRPr="00967D41">
        <w:rPr>
          <w:rFonts w:eastAsia="Calibri"/>
          <w:i/>
          <w:sz w:val="26"/>
          <w:szCs w:val="26"/>
          <w:lang w:val="es-ES" w:eastAsia="en-US"/>
        </w:rPr>
        <w:lastRenderedPageBreak/>
        <w:t>Schemes Directive,</w:t>
      </w:r>
      <w:r w:rsidRPr="00967D41">
        <w:rPr>
          <w:rFonts w:eastAsia="Calibri"/>
          <w:sz w:val="26"/>
          <w:szCs w:val="26"/>
          <w:lang w:val="es-ES" w:eastAsia="en-US"/>
        </w:rPr>
        <w:t xml:space="preserve"> DGDD) con el fin de igualar las condiciones en los sistemas financieros europeos. Con la entrada en funcionamiento del MUS, en noviembre de 2014, y con el ejercicio previo de Evaluación Global, se limitaron las discrecionalidades nacionales y se incrementaron la transparencia, comparabilidad y confianza en el sistema financiero. Por último, a resultas del MUR, puesto en marcha en enero de este año, se aúnan criterios de resolución y se hace de la resolución de entidades un hecho predecible en el hipotético caso de suceder, además de mutualizar a nivel privado los costos de resolución.</w:t>
      </w:r>
    </w:p>
    <w:p w14:paraId="4413AE8C" w14:textId="77777777" w:rsidR="00A84901" w:rsidRPr="00967D41" w:rsidRDefault="00A84901" w:rsidP="00A84901">
      <w:pPr>
        <w:spacing w:after="360" w:line="360" w:lineRule="auto"/>
        <w:ind w:right="-159"/>
        <w:jc w:val="both"/>
        <w:rPr>
          <w:rFonts w:eastAsia="Calibri"/>
          <w:sz w:val="26"/>
          <w:szCs w:val="26"/>
          <w:lang w:val="es-ES" w:eastAsia="en-US"/>
        </w:rPr>
      </w:pPr>
      <w:r w:rsidRPr="00967D41">
        <w:rPr>
          <w:rFonts w:eastAsia="Calibri"/>
          <w:sz w:val="26"/>
          <w:szCs w:val="26"/>
          <w:lang w:val="es-ES" w:eastAsia="en-US"/>
        </w:rPr>
        <w:t>Todos los cambios puestos en marcha obligan a los bancos bajo el paraguas de la unión bancaria a realizar cambios significativos para adaptarse a este nuevo entorno. Así, a la mayor carga regulatoria, hay que añadir un nuevo marco institucional con gobernanza y estructuras internas complejas. Y aunque los costos de este nuevo entorno son manejables, deben ser asumidos por los bancos.</w:t>
      </w:r>
    </w:p>
    <w:p w14:paraId="421BFC2A" w14:textId="77777777" w:rsidR="00A84901" w:rsidRPr="00967D41" w:rsidRDefault="00A84901" w:rsidP="00A84901">
      <w:pPr>
        <w:spacing w:after="360"/>
        <w:ind w:right="-159"/>
        <w:jc w:val="both"/>
        <w:rPr>
          <w:rFonts w:eastAsia="Calibri"/>
          <w:b/>
          <w:sz w:val="26"/>
          <w:szCs w:val="26"/>
          <w:lang w:val="es-ES" w:eastAsia="en-US"/>
        </w:rPr>
      </w:pPr>
      <w:r w:rsidRPr="00967D41">
        <w:rPr>
          <w:rFonts w:eastAsia="Calibri"/>
          <w:b/>
          <w:sz w:val="26"/>
          <w:szCs w:val="26"/>
          <w:lang w:val="es-ES" w:eastAsia="en-US"/>
        </w:rPr>
        <w:t>Las entidades españolas</w:t>
      </w:r>
      <w:r>
        <w:rPr>
          <w:rFonts w:eastAsia="Calibri"/>
          <w:b/>
          <w:sz w:val="26"/>
          <w:szCs w:val="26"/>
          <w:lang w:val="es-ES" w:eastAsia="en-US"/>
        </w:rPr>
        <w:t xml:space="preserve"> están</w:t>
      </w:r>
      <w:r w:rsidRPr="00967D41">
        <w:rPr>
          <w:rFonts w:eastAsia="Calibri"/>
          <w:b/>
          <w:sz w:val="26"/>
          <w:szCs w:val="26"/>
          <w:lang w:val="es-ES" w:eastAsia="en-US"/>
        </w:rPr>
        <w:t xml:space="preserve"> en una buena posición, aunque la rentabilidad es una asignatura pendiente</w:t>
      </w:r>
    </w:p>
    <w:p w14:paraId="46A59FCA" w14:textId="77777777" w:rsidR="00A84901" w:rsidRPr="00967D41" w:rsidRDefault="00A84901" w:rsidP="00A84901">
      <w:pPr>
        <w:spacing w:after="360" w:line="360" w:lineRule="auto"/>
        <w:ind w:right="-159"/>
        <w:jc w:val="both"/>
        <w:rPr>
          <w:rFonts w:eastAsia="Calibri"/>
          <w:sz w:val="26"/>
          <w:szCs w:val="26"/>
          <w:lang w:val="es-ES" w:eastAsia="en-US"/>
        </w:rPr>
      </w:pPr>
      <w:r w:rsidRPr="00967D41">
        <w:rPr>
          <w:rFonts w:eastAsia="Calibri"/>
          <w:sz w:val="26"/>
          <w:szCs w:val="26"/>
          <w:lang w:val="es-ES" w:eastAsia="en-US"/>
        </w:rPr>
        <w:t>En este contexto de cambio, los bancos españoles se encuentran en mejor situación que otros de su entorno: han realizado ya un esfuerzo muy importante de saneamiento de sus balances y la actividad y rentabilidad han vuelto a terreno positivo, aunque de manera tímida. Con un entorno de crecimiento económico más moderado y tipos de interés bajos durante largo tiempo, el progreso del desapalancamiento y la entrada de nuevos competidores —no sólo los tecnológicos sino los que desarrollan instrumentos de financiamiento no bancario— la rentabilidad para el accionista se convierte en un tema esencial, ya que será improbable que vuelva a los niveles pre-crisis. Así, la cuestión es si será suficiente en el mediano/largo plazo para cubrir el costo del capital.</w:t>
      </w:r>
    </w:p>
    <w:p w14:paraId="5AEFDBA0" w14:textId="73878486" w:rsidR="00A84901" w:rsidRPr="00967D41" w:rsidRDefault="00A84901" w:rsidP="00A84901">
      <w:pPr>
        <w:spacing w:after="360" w:line="360" w:lineRule="auto"/>
        <w:ind w:right="-159"/>
        <w:jc w:val="both"/>
        <w:rPr>
          <w:rFonts w:eastAsia="Calibri"/>
          <w:sz w:val="26"/>
          <w:szCs w:val="26"/>
          <w:lang w:val="es-ES" w:eastAsia="en-US"/>
        </w:rPr>
      </w:pPr>
      <w:r w:rsidRPr="00967D41">
        <w:rPr>
          <w:rFonts w:eastAsia="Calibri"/>
          <w:sz w:val="26"/>
          <w:szCs w:val="26"/>
          <w:lang w:val="es-ES" w:eastAsia="en-US"/>
        </w:rPr>
        <w:t xml:space="preserve">En este contexto, los bancos van a tener que superar algunos obstáculos e incertidumbres que presionan la rentabilidad a la baja. Aunque ya se observan </w:t>
      </w:r>
      <w:r w:rsidRPr="00967D41">
        <w:rPr>
          <w:rFonts w:eastAsia="Calibri"/>
          <w:sz w:val="26"/>
          <w:szCs w:val="26"/>
          <w:lang w:val="es-ES" w:eastAsia="en-US"/>
        </w:rPr>
        <w:lastRenderedPageBreak/>
        <w:t>crecimientos sostenidos de las nuevas operaciones de crédito (sobre todo al sector minorista) el stock de crédito continuará reduciéndose, por lo que no apoyará la mejora de la rentabilidad de manera inmediata. Adicionalmente, el que los requisitos regulatorios empujen a las entidades a acudir a los mercados mayoristas simultáneamente generará una mayor competencia por los inversionistas en el corto plazo y, por tanto, un aumento del costo de estos instrumentos. Además, cuando la búsqueda de más rentabilidad se haga vía operaciones de concentración deberán salvarse algunas dificultades relacionadas, por ejemplo, con la separación de actividades mayoristas y minoristas, o con la imposición de límites al tamaño de las entidades resultantes (</w:t>
      </w:r>
      <w:r w:rsidRPr="00391822">
        <w:rPr>
          <w:rFonts w:eastAsia="Calibri"/>
          <w:i/>
          <w:sz w:val="26"/>
          <w:szCs w:val="26"/>
          <w:lang w:val="es-ES" w:eastAsia="en-US"/>
        </w:rPr>
        <w:t>too big to fail</w:t>
      </w:r>
      <w:r w:rsidRPr="00967D41">
        <w:rPr>
          <w:rFonts w:eastAsia="Calibri"/>
          <w:sz w:val="26"/>
          <w:szCs w:val="26"/>
          <w:lang w:val="es-ES" w:eastAsia="en-US"/>
        </w:rPr>
        <w:t>).</w:t>
      </w:r>
    </w:p>
    <w:tbl>
      <w:tblPr>
        <w:tblW w:w="9726" w:type="dxa"/>
        <w:tblLook w:val="04A0" w:firstRow="1" w:lastRow="0" w:firstColumn="1" w:lastColumn="0" w:noHBand="0" w:noVBand="1"/>
      </w:tblPr>
      <w:tblGrid>
        <w:gridCol w:w="9726"/>
      </w:tblGrid>
      <w:tr w:rsidR="00A84901" w:rsidRPr="00967D41" w14:paraId="19896239" w14:textId="77777777" w:rsidTr="001D7965">
        <w:tc>
          <w:tcPr>
            <w:tcW w:w="9726" w:type="dxa"/>
          </w:tcPr>
          <w:p w14:paraId="10294003" w14:textId="77777777" w:rsidR="00A84901" w:rsidRPr="00967D41" w:rsidRDefault="00A84901" w:rsidP="001E7D79">
            <w:pPr>
              <w:spacing w:after="200" w:line="276" w:lineRule="auto"/>
              <w:jc w:val="center"/>
              <w:rPr>
                <w:rFonts w:eastAsia="Calibri"/>
                <w:b/>
                <w:sz w:val="22"/>
                <w:szCs w:val="26"/>
                <w:lang w:val="es-ES" w:eastAsia="en-US"/>
              </w:rPr>
            </w:pPr>
            <w:r w:rsidRPr="00967D41">
              <w:rPr>
                <w:rFonts w:eastAsia="Calibri"/>
                <w:b/>
                <w:sz w:val="22"/>
                <w:szCs w:val="26"/>
                <w:lang w:val="es-ES" w:eastAsia="en-US"/>
              </w:rPr>
              <w:t>EVOLUCIÓN DEL ROE DEL SISTEMA BANCARIO ESPAÑOL</w:t>
            </w:r>
          </w:p>
        </w:tc>
      </w:tr>
      <w:tr w:rsidR="00A84901" w:rsidRPr="00967D41" w14:paraId="32AA2410" w14:textId="77777777" w:rsidTr="001D7965">
        <w:tc>
          <w:tcPr>
            <w:tcW w:w="9726" w:type="dxa"/>
          </w:tcPr>
          <w:p w14:paraId="4689E1D9" w14:textId="77777777" w:rsidR="00A84901" w:rsidRPr="00967D41" w:rsidRDefault="00A84901" w:rsidP="001E7D79">
            <w:pPr>
              <w:spacing w:after="200" w:line="276" w:lineRule="auto"/>
              <w:jc w:val="center"/>
              <w:rPr>
                <w:rFonts w:eastAsia="Calibri"/>
                <w:sz w:val="22"/>
                <w:szCs w:val="26"/>
                <w:lang w:val="es-ES" w:eastAsia="en-US"/>
              </w:rPr>
            </w:pPr>
            <w:r w:rsidRPr="00967D41">
              <w:rPr>
                <w:rFonts w:eastAsia="Calibri"/>
                <w:noProof/>
                <w:sz w:val="22"/>
                <w:szCs w:val="26"/>
                <w:lang w:eastAsia="es-MX"/>
              </w:rPr>
              <w:drawing>
                <wp:inline distT="0" distB="0" distL="0" distR="0" wp14:anchorId="639AF610" wp14:editId="4ADEA9CA">
                  <wp:extent cx="6034456" cy="2124000"/>
                  <wp:effectExtent l="0" t="0" r="4445" b="0"/>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66" cstate="print">
                            <a:extLst>
                              <a:ext uri="{28A0092B-C50C-407E-A947-70E740481C1C}">
                                <a14:useLocalDpi xmlns:a14="http://schemas.microsoft.com/office/drawing/2010/main" val="0"/>
                              </a:ext>
                            </a:extLst>
                          </a:blip>
                          <a:srcRect t="5902" b="1831"/>
                          <a:stretch/>
                        </pic:blipFill>
                        <pic:spPr bwMode="auto">
                          <a:xfrm>
                            <a:off x="0" y="0"/>
                            <a:ext cx="6034456" cy="2124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84901" w:rsidRPr="00967D41" w14:paraId="73F496AC" w14:textId="77777777" w:rsidTr="001D7965">
        <w:tc>
          <w:tcPr>
            <w:tcW w:w="9726" w:type="dxa"/>
          </w:tcPr>
          <w:p w14:paraId="443658AC" w14:textId="77777777" w:rsidR="00A84901" w:rsidRPr="00967D41" w:rsidRDefault="00A84901" w:rsidP="001E7D79">
            <w:pPr>
              <w:spacing w:after="200" w:line="276" w:lineRule="auto"/>
              <w:jc w:val="both"/>
              <w:rPr>
                <w:rFonts w:eastAsia="Calibri"/>
                <w:sz w:val="20"/>
                <w:szCs w:val="26"/>
                <w:lang w:val="es-ES" w:eastAsia="en-US"/>
              </w:rPr>
            </w:pPr>
            <w:r w:rsidRPr="00967D41">
              <w:rPr>
                <w:rFonts w:eastAsia="Calibri"/>
                <w:sz w:val="20"/>
                <w:szCs w:val="26"/>
                <w:lang w:val="es-ES" w:eastAsia="en-US"/>
              </w:rPr>
              <w:t>FUENTE: BBVA Research a partir de Banco de España</w:t>
            </w:r>
          </w:p>
        </w:tc>
      </w:tr>
    </w:tbl>
    <w:p w14:paraId="09453CAC" w14:textId="77777777" w:rsidR="00A84901" w:rsidRPr="00967D41" w:rsidRDefault="00A84901" w:rsidP="00A84901">
      <w:pPr>
        <w:spacing w:after="360" w:line="360" w:lineRule="auto"/>
        <w:ind w:right="-159"/>
        <w:jc w:val="both"/>
        <w:rPr>
          <w:rFonts w:eastAsia="Calibri"/>
          <w:sz w:val="26"/>
          <w:szCs w:val="26"/>
          <w:lang w:val="es-ES" w:eastAsia="en-US"/>
        </w:rPr>
      </w:pPr>
    </w:p>
    <w:p w14:paraId="40355373" w14:textId="77777777" w:rsidR="00A84901" w:rsidRPr="00967D41" w:rsidRDefault="00A84901" w:rsidP="00A84901">
      <w:pPr>
        <w:spacing w:after="360" w:line="360" w:lineRule="auto"/>
        <w:ind w:right="-159"/>
        <w:jc w:val="both"/>
        <w:rPr>
          <w:rFonts w:eastAsia="Calibri"/>
          <w:sz w:val="26"/>
          <w:szCs w:val="26"/>
          <w:lang w:val="es-ES" w:eastAsia="en-US"/>
        </w:rPr>
      </w:pPr>
      <w:r w:rsidRPr="00967D41">
        <w:rPr>
          <w:rFonts w:eastAsia="Calibri"/>
          <w:sz w:val="26"/>
          <w:szCs w:val="26"/>
          <w:lang w:val="es-ES" w:eastAsia="en-US"/>
        </w:rPr>
        <w:t xml:space="preserve">Sin embargo, la unión bancaria ayudará a las entidades a cubrir su costo de capital al actuar no sólo sobre éste, sino también sobre la rentabilidad. Por un lado, cabe esperar que, a resultas de la unión bancaria, las entidades se vuelvan más sanas y transparentes, con menores riesgos asociados y, por tanto, menor costo del capital. Por otro, es previsible que las eventuales operaciones de concentración favorecidas por la Unión </w:t>
      </w:r>
      <w:r w:rsidRPr="00967D41">
        <w:rPr>
          <w:rFonts w:eastAsia="Calibri"/>
          <w:sz w:val="26"/>
          <w:szCs w:val="26"/>
          <w:lang w:val="es-ES" w:eastAsia="en-US"/>
        </w:rPr>
        <w:lastRenderedPageBreak/>
        <w:t>Bancaria, primero entre entidades nacionales y posteriormente transfronterizas, incrementen la rentabilidad de las entidades resultantes.</w:t>
      </w:r>
    </w:p>
    <w:p w14:paraId="58CF28C2" w14:textId="77777777" w:rsidR="00A84901" w:rsidRPr="00967D41" w:rsidRDefault="00A84901" w:rsidP="00A84901">
      <w:pPr>
        <w:spacing w:after="360" w:line="360" w:lineRule="auto"/>
        <w:ind w:right="-159"/>
        <w:jc w:val="both"/>
        <w:rPr>
          <w:rFonts w:eastAsia="Calibri"/>
          <w:sz w:val="26"/>
          <w:szCs w:val="26"/>
          <w:lang w:val="es-ES" w:eastAsia="en-US"/>
        </w:rPr>
      </w:pPr>
      <w:r w:rsidRPr="00967D41">
        <w:rPr>
          <w:rFonts w:eastAsia="Calibri"/>
          <w:sz w:val="26"/>
          <w:szCs w:val="26"/>
          <w:lang w:val="es-ES" w:eastAsia="en-US"/>
        </w:rPr>
        <w:t>Aunque es mucho lo ya conseguido, las instituciones no deben ser complacientes y es preciso continuar con la armonización de los requerimientos regulatorios y otras medidas que afectan a las entidades bancarias. Asimismo es importante completar la Unión Bancaria con un fondo de garantía de depósitos único a mediano plazo que ofrezca una red de contención común a todos los bancos de la eurozona. De esta manera se conseguirá romper definitivamente el círculo vicioso soberano-bancario, acotar más la fragmentación financiera y alcanzar una rentabilidad que supere el costo del capital.</w:t>
      </w:r>
    </w:p>
    <w:p w14:paraId="1E5B8D58" w14:textId="77777777" w:rsidR="00A84901" w:rsidRPr="00967D41" w:rsidRDefault="00A84901" w:rsidP="00A84901">
      <w:pPr>
        <w:spacing w:after="360" w:line="360" w:lineRule="auto"/>
        <w:ind w:right="-159"/>
        <w:jc w:val="both"/>
        <w:rPr>
          <w:rFonts w:eastAsia="Calibri"/>
          <w:b/>
          <w:sz w:val="26"/>
          <w:szCs w:val="26"/>
          <w:lang w:val="es-ES" w:eastAsia="en-US"/>
        </w:rPr>
      </w:pPr>
      <w:r w:rsidRPr="00967D41">
        <w:rPr>
          <w:rFonts w:eastAsia="Calibri"/>
          <w:b/>
          <w:sz w:val="26"/>
          <w:szCs w:val="26"/>
          <w:lang w:val="es-ES" w:eastAsia="en-US"/>
        </w:rPr>
        <w:t>3. Banca portuguesa: muchos desafíos por delante</w:t>
      </w:r>
    </w:p>
    <w:p w14:paraId="394A2DE7" w14:textId="77777777" w:rsidR="00A84901" w:rsidRDefault="00A84901" w:rsidP="00A84901">
      <w:pPr>
        <w:spacing w:after="360" w:line="360" w:lineRule="auto"/>
        <w:ind w:right="-159"/>
        <w:jc w:val="both"/>
        <w:rPr>
          <w:rFonts w:eastAsia="Calibri"/>
          <w:sz w:val="26"/>
          <w:szCs w:val="26"/>
          <w:lang w:val="es-ES" w:eastAsia="en-US"/>
        </w:rPr>
      </w:pPr>
      <w:r w:rsidRPr="00967D41">
        <w:rPr>
          <w:rFonts w:eastAsia="Calibri"/>
          <w:sz w:val="26"/>
          <w:szCs w:val="26"/>
          <w:lang w:val="es-ES" w:eastAsia="en-US"/>
        </w:rPr>
        <w:t>Tras tres años consecutivos de recesión, se estima que el PIB portugués crecerá un 0.9% en 2014 (según las previsiones de BBVA Research, en línea con el consenso del mercado). No obstante, la recuperación económica todavía no se ha trasladado a los balances bancarios, que mantienen tasas de morosidad en máximos históricos, mientras la rentabilidad del conjunto del sector se mantiene negativa. El ejercicio de evaluación integral a la banca europea puso de manifiesto que dos de los tres bancos portugueses que participaron tienen capital suficiente para afrontar un escenario adverso y el tercer banco aprobaría con las acciones implementadas a lo largo de 2014. La resolución de BES en agosto de 2014 aseguró la estabilidad financiera del sistema pero a su vez supone una contingencia negativa para el resto de los bancos, que a través del Fondo de Resolución portugués tienen que soportar eventuales perdidas en la venta del banco puente —Novo Banco— (si el precio es inferior a la recapitalización).</w:t>
      </w:r>
    </w:p>
    <w:p w14:paraId="03AB57B6" w14:textId="77777777" w:rsidR="00AA71BA" w:rsidRDefault="00AA71BA" w:rsidP="00A84901">
      <w:pPr>
        <w:spacing w:after="360" w:line="360" w:lineRule="auto"/>
        <w:ind w:right="-159"/>
        <w:jc w:val="both"/>
        <w:rPr>
          <w:rFonts w:eastAsia="Calibri"/>
          <w:sz w:val="26"/>
          <w:szCs w:val="26"/>
          <w:lang w:val="es-ES" w:eastAsia="en-US"/>
        </w:rPr>
      </w:pPr>
    </w:p>
    <w:p w14:paraId="5F5092B8" w14:textId="77777777" w:rsidR="00AA71BA" w:rsidRPr="00967D41" w:rsidRDefault="00AA71BA" w:rsidP="00A84901">
      <w:pPr>
        <w:spacing w:after="360" w:line="360" w:lineRule="auto"/>
        <w:ind w:right="-159"/>
        <w:jc w:val="both"/>
        <w:rPr>
          <w:rFonts w:eastAsia="Calibri"/>
          <w:sz w:val="26"/>
          <w:szCs w:val="26"/>
          <w:lang w:val="es-ES" w:eastAsia="en-US"/>
        </w:rPr>
      </w:pPr>
    </w:p>
    <w:p w14:paraId="6DCFD4F3" w14:textId="77777777" w:rsidR="00A84901" w:rsidRPr="00967D41" w:rsidRDefault="00A84901" w:rsidP="00A84901">
      <w:pPr>
        <w:spacing w:after="360"/>
        <w:ind w:right="-159"/>
        <w:jc w:val="both"/>
        <w:rPr>
          <w:rFonts w:eastAsia="Calibri"/>
          <w:b/>
          <w:sz w:val="26"/>
          <w:szCs w:val="26"/>
          <w:lang w:val="es-ES" w:eastAsia="en-US"/>
        </w:rPr>
      </w:pPr>
      <w:r w:rsidRPr="00967D41">
        <w:rPr>
          <w:rFonts w:eastAsia="Calibri"/>
          <w:b/>
          <w:sz w:val="26"/>
          <w:szCs w:val="26"/>
          <w:lang w:val="es-ES" w:eastAsia="en-US"/>
        </w:rPr>
        <w:lastRenderedPageBreak/>
        <w:t>La solvencia del sector ha mejorado pero pocos bancos generan capital orgánicamente</w:t>
      </w:r>
    </w:p>
    <w:p w14:paraId="59296CE8" w14:textId="77777777" w:rsidR="00A84901" w:rsidRPr="00967D41" w:rsidRDefault="00A84901" w:rsidP="00A84901">
      <w:pPr>
        <w:spacing w:after="360" w:line="360" w:lineRule="auto"/>
        <w:ind w:right="-159"/>
        <w:jc w:val="both"/>
        <w:rPr>
          <w:rFonts w:eastAsia="Calibri"/>
          <w:sz w:val="26"/>
          <w:szCs w:val="26"/>
          <w:lang w:val="es-ES" w:eastAsia="en-US"/>
        </w:rPr>
      </w:pPr>
      <w:r w:rsidRPr="00967D41">
        <w:rPr>
          <w:rFonts w:eastAsia="Calibri"/>
          <w:sz w:val="26"/>
          <w:szCs w:val="26"/>
          <w:lang w:val="es-ES" w:eastAsia="en-US"/>
        </w:rPr>
        <w:t>Las  proporciones  de  capital  han  mejorado  notablemente tras  las  capitalizaciones (públicas  y  privadas)  y  el descenso de los activos ponderados por riesgo (por desapalancamiento y venta de activos no estratégicos). Dos bancos han aprobado el stress test europeo y el tercero lo ha hecho con las medidas adoptadas a lo largo de 2014. La resolución de BES generó alguna turbulencia por un período de tiempo muy corto aunque el principal impacto para el sector todavía está por cuantificar, una vez que depende del precio de venta de Novo Banco (proceso que Banco de Portugal puso en marcha a finales de 2014 y se prevé que concluya en el segundo trimestre de 2015).</w:t>
      </w:r>
    </w:p>
    <w:p w14:paraId="2543D939" w14:textId="77777777" w:rsidR="00A84901" w:rsidRPr="00967D41" w:rsidRDefault="00A84901" w:rsidP="00A84901">
      <w:pPr>
        <w:spacing w:after="360" w:line="360" w:lineRule="auto"/>
        <w:ind w:right="-159"/>
        <w:jc w:val="both"/>
        <w:rPr>
          <w:rFonts w:eastAsia="Calibri"/>
          <w:b/>
          <w:sz w:val="26"/>
          <w:szCs w:val="26"/>
          <w:lang w:val="es-ES" w:eastAsia="en-US"/>
        </w:rPr>
      </w:pPr>
      <w:r w:rsidRPr="00967D41">
        <w:rPr>
          <w:rFonts w:eastAsia="Calibri"/>
          <w:b/>
          <w:sz w:val="26"/>
          <w:szCs w:val="26"/>
          <w:lang w:val="es-ES" w:eastAsia="en-US"/>
        </w:rPr>
        <w:t>La banca portuguesa sigue en pérdidas aunque hay señales de leves mejoras</w:t>
      </w:r>
    </w:p>
    <w:p w14:paraId="36F12A7D" w14:textId="0DE60A8F" w:rsidR="00A84901" w:rsidRPr="00967D41" w:rsidRDefault="00A84901" w:rsidP="00A84901">
      <w:pPr>
        <w:spacing w:after="360" w:line="360" w:lineRule="auto"/>
        <w:ind w:right="-159"/>
        <w:jc w:val="both"/>
        <w:rPr>
          <w:rFonts w:eastAsia="Calibri"/>
          <w:sz w:val="26"/>
          <w:szCs w:val="26"/>
          <w:lang w:val="es-ES" w:eastAsia="en-US"/>
        </w:rPr>
      </w:pPr>
      <w:r w:rsidRPr="00967D41">
        <w:rPr>
          <w:rFonts w:eastAsia="Calibri"/>
          <w:sz w:val="26"/>
          <w:szCs w:val="26"/>
          <w:lang w:val="es-ES" w:eastAsia="en-US"/>
        </w:rPr>
        <w:t xml:space="preserve">El margen de intermediación cayó marcadamente entre 2008 y 2013 por los bajos tipos de interés (con un porcentaje muy elevado de la cartera a tipo variable), el incremento del costo del financiamiento mayorista (incluyendo los CoCos comprados por el gobierno cuyo costo anual supera 8.5%), el desapalancamiento y el incremento de la morosidad. Excluyendo los ingresos por comisiones, que se mantuvieron bastante estables, las restantes partidas de ingresos por definición más volátiles provocaron fuertes pérdidas en algunos bancos. En términos de rentabilidad, las perspectivas no son muy optimistas porque los tipos de interés se mantendrán bajos, la morosidad elevada y el desapalancamiento continuará más que compensando el repago parcial de los </w:t>
      </w:r>
      <w:r w:rsidR="00391822">
        <w:rPr>
          <w:rFonts w:eastAsia="Calibri"/>
          <w:sz w:val="26"/>
          <w:szCs w:val="26"/>
          <w:lang w:val="es-ES" w:eastAsia="en-US"/>
        </w:rPr>
        <w:t>Bonos Contingentes Convertibles en Acciones (</w:t>
      </w:r>
      <w:r w:rsidRPr="00967D41">
        <w:rPr>
          <w:rFonts w:eastAsia="Calibri"/>
          <w:sz w:val="26"/>
          <w:szCs w:val="26"/>
          <w:lang w:val="es-ES" w:eastAsia="en-US"/>
        </w:rPr>
        <w:t>CoCos</w:t>
      </w:r>
      <w:r w:rsidR="00391822">
        <w:rPr>
          <w:rFonts w:eastAsia="Calibri"/>
          <w:sz w:val="26"/>
          <w:szCs w:val="26"/>
          <w:lang w:val="es-ES" w:eastAsia="en-US"/>
        </w:rPr>
        <w:t>)</w:t>
      </w:r>
      <w:r w:rsidRPr="00967D41">
        <w:rPr>
          <w:rFonts w:eastAsia="Calibri"/>
          <w:sz w:val="26"/>
          <w:szCs w:val="26"/>
          <w:lang w:val="es-ES" w:eastAsia="en-US"/>
        </w:rPr>
        <w:t xml:space="preserve"> y el abaratamiento de los costos de financiamiento, que están aliviando el margen de intermediación.</w:t>
      </w:r>
    </w:p>
    <w:p w14:paraId="5CF7BB86" w14:textId="77777777" w:rsidR="00A84901" w:rsidRPr="00967D41" w:rsidRDefault="00A84901" w:rsidP="00A84901">
      <w:pPr>
        <w:spacing w:after="360"/>
        <w:ind w:right="-159"/>
        <w:jc w:val="both"/>
        <w:rPr>
          <w:rFonts w:eastAsia="Calibri"/>
          <w:b/>
          <w:sz w:val="26"/>
          <w:szCs w:val="26"/>
          <w:lang w:val="es-ES" w:eastAsia="en-US"/>
        </w:rPr>
      </w:pPr>
      <w:r w:rsidRPr="00967D41">
        <w:rPr>
          <w:rFonts w:eastAsia="Calibri"/>
          <w:b/>
          <w:sz w:val="26"/>
          <w:szCs w:val="26"/>
          <w:lang w:val="es-ES" w:eastAsia="en-US"/>
        </w:rPr>
        <w:t>La calidad de activos no mejora con la proporción de morosidad obstinadamente elevado</w:t>
      </w:r>
    </w:p>
    <w:p w14:paraId="26E1F3C6" w14:textId="77777777" w:rsidR="00A84901" w:rsidRPr="00967D41" w:rsidRDefault="00A84901" w:rsidP="00A84901">
      <w:pPr>
        <w:spacing w:after="360" w:line="360" w:lineRule="auto"/>
        <w:ind w:right="-159"/>
        <w:jc w:val="both"/>
        <w:rPr>
          <w:rFonts w:eastAsia="Calibri"/>
          <w:sz w:val="26"/>
          <w:szCs w:val="26"/>
          <w:lang w:val="es-ES" w:eastAsia="en-US"/>
        </w:rPr>
      </w:pPr>
      <w:r w:rsidRPr="00967D41">
        <w:rPr>
          <w:rFonts w:eastAsia="Calibri"/>
          <w:sz w:val="26"/>
          <w:szCs w:val="26"/>
          <w:lang w:val="es-ES" w:eastAsia="en-US"/>
        </w:rPr>
        <w:t xml:space="preserve">Los indicadores de calidad de los activos no han mejorado y el volumen de créditos morosos sigue aumentando a pesar de las tímidas mejorías en el entorno económico. </w:t>
      </w:r>
      <w:r w:rsidRPr="00967D41">
        <w:rPr>
          <w:rFonts w:eastAsia="Calibri"/>
          <w:sz w:val="26"/>
          <w:szCs w:val="26"/>
          <w:lang w:val="es-ES" w:eastAsia="en-US"/>
        </w:rPr>
        <w:lastRenderedPageBreak/>
        <w:t>Esto puede deberse por un lado, al AQR/stress test europeo (algunos bancos tuvieron revisiones de sus carteras y provisiones no despreciables) y, por otro, al número elevado de créditos refinanciados que pueden seguir alimentando la morosidad. El proceso de limpieza de balances ha sido gradual sin un período clave de saneamiento, pero sería de esperar que las mejores condiciones económicas se trasladen a la capacidad de pago y que la tasa de mora disminuya gradualmente.</w:t>
      </w:r>
    </w:p>
    <w:p w14:paraId="4551C294" w14:textId="77777777" w:rsidR="00A84901" w:rsidRPr="00967D41" w:rsidRDefault="00A84901" w:rsidP="00A84901">
      <w:pPr>
        <w:spacing w:after="360" w:line="360" w:lineRule="auto"/>
        <w:ind w:right="-159"/>
        <w:jc w:val="both"/>
        <w:rPr>
          <w:rFonts w:eastAsia="Calibri"/>
          <w:b/>
          <w:sz w:val="26"/>
          <w:szCs w:val="26"/>
          <w:lang w:val="es-ES" w:eastAsia="en-US"/>
        </w:rPr>
      </w:pPr>
      <w:r w:rsidRPr="00967D41">
        <w:rPr>
          <w:rFonts w:eastAsia="Calibri"/>
          <w:b/>
          <w:sz w:val="26"/>
          <w:szCs w:val="26"/>
          <w:lang w:val="es-ES" w:eastAsia="en-US"/>
        </w:rPr>
        <w:t>El financiamiento y la liquidez no son un problema</w:t>
      </w:r>
    </w:p>
    <w:p w14:paraId="6CA284D3" w14:textId="77777777" w:rsidR="00A84901" w:rsidRPr="00967D41" w:rsidRDefault="00A84901" w:rsidP="00A84901">
      <w:pPr>
        <w:spacing w:after="360" w:line="360" w:lineRule="auto"/>
        <w:ind w:right="-159"/>
        <w:jc w:val="both"/>
        <w:rPr>
          <w:rFonts w:eastAsia="Calibri"/>
          <w:sz w:val="26"/>
          <w:szCs w:val="26"/>
          <w:lang w:val="es-ES" w:eastAsia="en-US"/>
        </w:rPr>
      </w:pPr>
      <w:r w:rsidRPr="00967D41">
        <w:rPr>
          <w:rFonts w:eastAsia="Calibri"/>
          <w:sz w:val="26"/>
          <w:szCs w:val="26"/>
          <w:lang w:val="es-ES" w:eastAsia="en-US"/>
        </w:rPr>
        <w:t>El sentimiento de los mercados con respecto a la banca portuguesa ha mejorado en línea con la de otros países periféricos. Con respecto a los indicadores de liquidez, estos siguen mejorando. La brecha entre créditos y depósitos se ha estrechado y a nivel agregado está por debajo del 120% recomendado por la Troika. La apelación al BCE sigue siendo elevada (8% de los activos) con mucha heterogeneidad entre bancos.</w:t>
      </w:r>
    </w:p>
    <w:p w14:paraId="31CE836C" w14:textId="77777777" w:rsidR="00A84901" w:rsidRPr="00967D41" w:rsidRDefault="00A84901" w:rsidP="00A84901">
      <w:pPr>
        <w:spacing w:after="360" w:line="360" w:lineRule="auto"/>
        <w:ind w:right="-159"/>
        <w:jc w:val="both"/>
        <w:rPr>
          <w:rFonts w:eastAsia="Calibri"/>
          <w:b/>
          <w:sz w:val="26"/>
          <w:szCs w:val="26"/>
          <w:lang w:val="es-ES" w:eastAsia="en-US"/>
        </w:rPr>
      </w:pPr>
      <w:r w:rsidRPr="00967D41">
        <w:rPr>
          <w:rFonts w:eastAsia="Calibri"/>
          <w:b/>
          <w:sz w:val="26"/>
          <w:szCs w:val="26"/>
          <w:lang w:val="es-ES" w:eastAsia="en-US"/>
        </w:rPr>
        <w:t>4. Regulación en 2015: Balance y prioridades</w:t>
      </w:r>
    </w:p>
    <w:p w14:paraId="5A9487F2" w14:textId="77777777" w:rsidR="00A84901" w:rsidRPr="00967D41" w:rsidRDefault="00A84901" w:rsidP="00A84901">
      <w:pPr>
        <w:spacing w:after="360" w:line="360" w:lineRule="auto"/>
        <w:ind w:right="-159"/>
        <w:jc w:val="both"/>
        <w:rPr>
          <w:rFonts w:eastAsia="Calibri"/>
          <w:b/>
          <w:sz w:val="26"/>
          <w:szCs w:val="26"/>
          <w:lang w:val="es-ES" w:eastAsia="en-US"/>
        </w:rPr>
      </w:pPr>
      <w:r w:rsidRPr="00967D41">
        <w:rPr>
          <w:rFonts w:eastAsia="Calibri"/>
          <w:b/>
          <w:sz w:val="26"/>
          <w:szCs w:val="26"/>
          <w:lang w:val="es-ES" w:eastAsia="en-US"/>
        </w:rPr>
        <w:t>Misión (casi) cumplida, pero sigue habiendo retos</w:t>
      </w:r>
    </w:p>
    <w:p w14:paraId="0F303438" w14:textId="59712F96" w:rsidR="00A84901" w:rsidRPr="00967D41" w:rsidRDefault="00A84901" w:rsidP="00A84901">
      <w:pPr>
        <w:spacing w:after="360" w:line="360" w:lineRule="auto"/>
        <w:ind w:right="-159"/>
        <w:jc w:val="both"/>
        <w:rPr>
          <w:rFonts w:eastAsia="Calibri"/>
          <w:sz w:val="26"/>
          <w:szCs w:val="26"/>
          <w:lang w:val="es-ES" w:eastAsia="en-US"/>
        </w:rPr>
      </w:pPr>
      <w:r w:rsidRPr="00967D41">
        <w:rPr>
          <w:rFonts w:eastAsia="Calibri"/>
          <w:sz w:val="26"/>
          <w:szCs w:val="26"/>
          <w:lang w:val="es-ES" w:eastAsia="en-US"/>
        </w:rPr>
        <w:t xml:space="preserve">Tras siete años de intenso trabajo en el frente regulatorio, la cumbre de líderes del </w:t>
      </w:r>
      <w:r w:rsidR="002C730F">
        <w:rPr>
          <w:rFonts w:eastAsia="Calibri"/>
          <w:sz w:val="26"/>
          <w:szCs w:val="26"/>
          <w:lang w:val="es-ES" w:eastAsia="en-US"/>
        </w:rPr>
        <w:t>G-20</w:t>
      </w:r>
      <w:r w:rsidRPr="00967D41">
        <w:rPr>
          <w:rFonts w:eastAsia="Calibri"/>
          <w:sz w:val="26"/>
          <w:szCs w:val="26"/>
          <w:lang w:val="es-ES" w:eastAsia="en-US"/>
        </w:rPr>
        <w:t xml:space="preserve"> de noviembre de 2014 en Brisbane significó el inicio de una nueva etapa en la agenda regulatoria. Entramos ahora en la fase de implementación de las medidas, evaluación de su eficacia y, posiblemente, re-estimación de sus parámetros, para que el sector bancario pueda desarrollar plenamente su papel en la sociedad y financiar el crecimiento económico.</w:t>
      </w:r>
    </w:p>
    <w:p w14:paraId="47501200" w14:textId="49E2392B" w:rsidR="00A84901" w:rsidRPr="00967D41" w:rsidRDefault="00A84901" w:rsidP="00A84901">
      <w:pPr>
        <w:spacing w:after="360" w:line="360" w:lineRule="auto"/>
        <w:ind w:right="-159"/>
        <w:jc w:val="both"/>
        <w:rPr>
          <w:rFonts w:eastAsia="Calibri"/>
          <w:sz w:val="26"/>
          <w:szCs w:val="26"/>
          <w:lang w:val="es-ES" w:eastAsia="en-US"/>
        </w:rPr>
      </w:pPr>
      <w:r w:rsidRPr="00967D41">
        <w:rPr>
          <w:rFonts w:eastAsia="Calibri"/>
          <w:sz w:val="26"/>
          <w:szCs w:val="26"/>
          <w:lang w:val="es-ES" w:eastAsia="en-US"/>
        </w:rPr>
        <w:t>Hasta ahora los avances más significativos han sido: i) aumentar la resistencia y fortaleza del balance de las entidades bancarias; ii) acabar con el problema de la existencia de entidades demasiado grandes para quebrar (</w:t>
      </w:r>
      <w:r w:rsidRPr="00391822">
        <w:rPr>
          <w:rFonts w:eastAsia="Calibri"/>
          <w:i/>
          <w:sz w:val="26"/>
          <w:szCs w:val="26"/>
          <w:lang w:val="es-ES" w:eastAsia="en-US"/>
        </w:rPr>
        <w:t>too big to fail</w:t>
      </w:r>
      <w:r w:rsidRPr="00967D41">
        <w:rPr>
          <w:rFonts w:eastAsia="Calibri"/>
          <w:sz w:val="26"/>
          <w:szCs w:val="26"/>
          <w:lang w:val="es-ES" w:eastAsia="en-US"/>
        </w:rPr>
        <w:t xml:space="preserve">) y desarrollar un nuevo marco de resolución bancaria basado en un reparto justo de las  pérdidas  </w:t>
      </w:r>
      <w:r w:rsidR="00391822">
        <w:rPr>
          <w:rFonts w:eastAsia="Calibri"/>
          <w:sz w:val="26"/>
          <w:szCs w:val="26"/>
          <w:lang w:val="es-ES" w:eastAsia="en-US"/>
        </w:rPr>
        <w:t xml:space="preserve">   </w:t>
      </w:r>
      <w:r w:rsidRPr="00967D41">
        <w:rPr>
          <w:rFonts w:eastAsia="Calibri"/>
          <w:sz w:val="26"/>
          <w:szCs w:val="26"/>
          <w:lang w:val="es-ES" w:eastAsia="en-US"/>
        </w:rPr>
        <w:lastRenderedPageBreak/>
        <w:t>(</w:t>
      </w:r>
      <w:r w:rsidRPr="00391822">
        <w:rPr>
          <w:rFonts w:eastAsia="Calibri"/>
          <w:i/>
          <w:sz w:val="26"/>
          <w:szCs w:val="26"/>
          <w:lang w:val="es-ES" w:eastAsia="en-US"/>
        </w:rPr>
        <w:t>bail-in</w:t>
      </w:r>
      <w:r w:rsidRPr="00967D41">
        <w:rPr>
          <w:rFonts w:eastAsia="Calibri"/>
          <w:sz w:val="26"/>
          <w:szCs w:val="26"/>
          <w:lang w:val="es-ES" w:eastAsia="en-US"/>
        </w:rPr>
        <w:t>); iii) aumentar la transparencia del mercado de derivados (OTC</w:t>
      </w:r>
      <w:r w:rsidR="00391822">
        <w:rPr>
          <w:rFonts w:eastAsia="Calibri"/>
          <w:sz w:val="26"/>
          <w:szCs w:val="26"/>
          <w:lang w:val="es-ES" w:eastAsia="en-US"/>
        </w:rPr>
        <w:t>,</w:t>
      </w:r>
      <w:r w:rsidRPr="00967D41">
        <w:rPr>
          <w:rFonts w:eastAsia="Calibri"/>
          <w:sz w:val="26"/>
          <w:szCs w:val="26"/>
          <w:lang w:val="es-ES" w:eastAsia="en-US"/>
        </w:rPr>
        <w:t xml:space="preserve"> por sus siglas en inglés) y potenciar su liquidación en cámaras de compensación; y iv) incrementar la visibilidad de la “banca en la sombra” (aunque el progreso ha sido menor en este punto). Adicionalmente: v) se han mejorado los principios para una supervisión efectiva, condición necesaria para una regulación exitosa.</w:t>
      </w:r>
    </w:p>
    <w:p w14:paraId="65CF52AE" w14:textId="77777777" w:rsidR="00A84901" w:rsidRPr="00967D41" w:rsidRDefault="00A84901" w:rsidP="00A84901">
      <w:pPr>
        <w:spacing w:after="360" w:line="360" w:lineRule="auto"/>
        <w:ind w:right="-159"/>
        <w:jc w:val="both"/>
        <w:rPr>
          <w:rFonts w:eastAsia="Calibri"/>
          <w:b/>
          <w:sz w:val="26"/>
          <w:szCs w:val="26"/>
          <w:lang w:val="es-ES" w:eastAsia="en-US"/>
        </w:rPr>
      </w:pPr>
      <w:r w:rsidRPr="00967D41">
        <w:rPr>
          <w:rFonts w:eastAsia="Calibri"/>
          <w:b/>
          <w:sz w:val="26"/>
          <w:szCs w:val="26"/>
          <w:lang w:val="es-ES" w:eastAsia="en-US"/>
        </w:rPr>
        <w:t>Nueva etapa para la regulación</w:t>
      </w:r>
    </w:p>
    <w:p w14:paraId="5DA3BE64" w14:textId="7188E52F" w:rsidR="00A84901" w:rsidRPr="00967D41" w:rsidRDefault="00A84901" w:rsidP="00A84901">
      <w:pPr>
        <w:spacing w:after="360" w:line="360" w:lineRule="auto"/>
        <w:ind w:right="-159"/>
        <w:jc w:val="both"/>
        <w:rPr>
          <w:rFonts w:eastAsia="Calibri"/>
          <w:sz w:val="26"/>
          <w:szCs w:val="26"/>
          <w:lang w:val="es-ES" w:eastAsia="en-US"/>
        </w:rPr>
      </w:pPr>
      <w:r w:rsidRPr="00967D41">
        <w:rPr>
          <w:rFonts w:eastAsia="Calibri"/>
          <w:sz w:val="26"/>
          <w:szCs w:val="26"/>
          <w:lang w:val="es-ES" w:eastAsia="en-US"/>
        </w:rPr>
        <w:t xml:space="preserve">Durante los próximos años las autoridades tratarán de implementar de manera coordinada el “tsunami” regulatorio, pues </w:t>
      </w:r>
      <w:r w:rsidR="000D254C">
        <w:rPr>
          <w:rFonts w:eastAsia="Calibri"/>
          <w:sz w:val="26"/>
          <w:szCs w:val="26"/>
          <w:lang w:val="es-ES" w:eastAsia="en-US"/>
        </w:rPr>
        <w:t>é</w:t>
      </w:r>
      <w:r w:rsidRPr="00967D41">
        <w:rPr>
          <w:rFonts w:eastAsia="Calibri"/>
          <w:sz w:val="26"/>
          <w:szCs w:val="26"/>
          <w:lang w:val="es-ES" w:eastAsia="en-US"/>
        </w:rPr>
        <w:t xml:space="preserve">sta es la clave para garantizar la igualdad de condiciones en un mundo globalizado.  Una mayor cooperación y el reconocimiento mutuo determinarán en última instancia el éxito de la regulación ya aprobada. El </w:t>
      </w:r>
      <w:r w:rsidR="00391822">
        <w:rPr>
          <w:rFonts w:eastAsia="Calibri"/>
          <w:sz w:val="26"/>
          <w:szCs w:val="26"/>
          <w:lang w:val="es-ES" w:eastAsia="en-US"/>
        </w:rPr>
        <w:t>Consejo de Estabilidad Financiera (</w:t>
      </w:r>
      <w:r w:rsidRPr="00967D41">
        <w:rPr>
          <w:rFonts w:eastAsia="Calibri"/>
          <w:sz w:val="26"/>
          <w:szCs w:val="26"/>
          <w:lang w:val="es-ES" w:eastAsia="en-US"/>
        </w:rPr>
        <w:t>FSB</w:t>
      </w:r>
      <w:r w:rsidR="00391822">
        <w:rPr>
          <w:rFonts w:eastAsia="Calibri"/>
          <w:sz w:val="26"/>
          <w:szCs w:val="26"/>
          <w:lang w:val="es-ES" w:eastAsia="en-US"/>
        </w:rPr>
        <w:t xml:space="preserve">, </w:t>
      </w:r>
      <w:r w:rsidRPr="00391822">
        <w:rPr>
          <w:rFonts w:eastAsia="Calibri"/>
          <w:i/>
          <w:sz w:val="26"/>
          <w:szCs w:val="26"/>
          <w:lang w:val="es-ES" w:eastAsia="en-US"/>
        </w:rPr>
        <w:t>Financial Stablity Board</w:t>
      </w:r>
      <w:r w:rsidRPr="00967D41">
        <w:rPr>
          <w:rFonts w:eastAsia="Calibri"/>
          <w:sz w:val="26"/>
          <w:szCs w:val="26"/>
          <w:lang w:val="es-ES" w:eastAsia="en-US"/>
        </w:rPr>
        <w:t>) publicará un informe anual sobre implementación de las medidas recurriendo, entre otros, a la comparación entre pares, herramienta que se ha revelado muy útil para evaluar la consistencia de la implementación regulatoria en los diferentes países.</w:t>
      </w:r>
    </w:p>
    <w:p w14:paraId="6DCBF2B8" w14:textId="77777777" w:rsidR="00A84901" w:rsidRPr="00967D41" w:rsidRDefault="00A84901" w:rsidP="00A84901">
      <w:pPr>
        <w:spacing w:after="360" w:line="360" w:lineRule="auto"/>
        <w:ind w:right="-159"/>
        <w:jc w:val="both"/>
        <w:rPr>
          <w:rFonts w:eastAsia="Calibri"/>
          <w:sz w:val="26"/>
          <w:szCs w:val="26"/>
          <w:lang w:val="es-ES" w:eastAsia="en-US"/>
        </w:rPr>
      </w:pPr>
      <w:r w:rsidRPr="00967D41">
        <w:rPr>
          <w:rFonts w:eastAsia="Calibri"/>
          <w:sz w:val="26"/>
          <w:szCs w:val="26"/>
          <w:lang w:val="es-ES" w:eastAsia="en-US"/>
        </w:rPr>
        <w:t>Por otra parte, estando la mayor parte de las reformas aprobadas y en fase de implementación, es más importante que nunca elaborar un estudio de impacto de los efectos acumulados de todas las reformas, con vistas  a  revisar  el  diseño  y/o  calibración  de  aquellos  estándares  globales  que  hayan  tenido  efectos negativos no esperados. En este momento el objetivo no debe ser introducir nuevas normas, sino afinar el marco existente para apuntalar la estabilidad financiera y consolidar la recuperación económica y el crecimiento.</w:t>
      </w:r>
    </w:p>
    <w:p w14:paraId="442B685E" w14:textId="77777777" w:rsidR="00A84901" w:rsidRPr="00967D41" w:rsidRDefault="00A84901" w:rsidP="00A84901">
      <w:pPr>
        <w:spacing w:after="360" w:line="360" w:lineRule="auto"/>
        <w:ind w:right="-159"/>
        <w:jc w:val="both"/>
        <w:rPr>
          <w:rFonts w:eastAsia="Calibri"/>
          <w:b/>
          <w:sz w:val="26"/>
          <w:szCs w:val="26"/>
          <w:lang w:val="es-ES" w:eastAsia="en-US"/>
        </w:rPr>
      </w:pPr>
      <w:r w:rsidRPr="00967D41">
        <w:rPr>
          <w:rFonts w:eastAsia="Calibri"/>
          <w:b/>
          <w:sz w:val="26"/>
          <w:szCs w:val="26"/>
          <w:lang w:val="es-ES" w:eastAsia="en-US"/>
        </w:rPr>
        <w:t>¿Cuáles serán las prioridades en 2015?</w:t>
      </w:r>
    </w:p>
    <w:p w14:paraId="504FAACD" w14:textId="43B62D84" w:rsidR="00A84901" w:rsidRPr="00967D41" w:rsidRDefault="00A84901" w:rsidP="00A84901">
      <w:pPr>
        <w:spacing w:after="360" w:line="360" w:lineRule="auto"/>
        <w:ind w:right="-159"/>
        <w:jc w:val="both"/>
        <w:rPr>
          <w:rFonts w:eastAsia="Calibri"/>
          <w:sz w:val="26"/>
          <w:szCs w:val="26"/>
          <w:lang w:val="es-ES" w:eastAsia="en-US"/>
        </w:rPr>
      </w:pPr>
      <w:r w:rsidRPr="00967D41">
        <w:rPr>
          <w:rFonts w:eastAsia="Calibri"/>
          <w:b/>
          <w:sz w:val="26"/>
          <w:szCs w:val="26"/>
          <w:lang w:val="es-ES" w:eastAsia="en-US"/>
        </w:rPr>
        <w:t>Políticas prudenciales:</w:t>
      </w:r>
      <w:r w:rsidRPr="00967D41">
        <w:rPr>
          <w:rFonts w:eastAsia="Calibri"/>
          <w:sz w:val="26"/>
          <w:szCs w:val="26"/>
          <w:lang w:val="es-ES" w:eastAsia="en-US"/>
        </w:rPr>
        <w:t xml:space="preserve"> Basilea III representa un cambio significativo en el numerador de la relación de capital. Actualmente hay varias propuestas en consulta centradas en el denominador (revisión del método estándar, establecimiento de mínimos de capital para </w:t>
      </w:r>
      <w:r w:rsidRPr="00967D41">
        <w:rPr>
          <w:rFonts w:eastAsia="Calibri"/>
          <w:sz w:val="26"/>
          <w:szCs w:val="26"/>
          <w:lang w:val="es-ES" w:eastAsia="en-US"/>
        </w:rPr>
        <w:lastRenderedPageBreak/>
        <w:t>bancos que hayan optado por el método basado en la proporción interna (IRB</w:t>
      </w:r>
      <w:r w:rsidR="00391822">
        <w:rPr>
          <w:rFonts w:eastAsia="Calibri"/>
          <w:sz w:val="26"/>
          <w:szCs w:val="26"/>
          <w:lang w:val="es-ES" w:eastAsia="en-US"/>
        </w:rPr>
        <w:t>,</w:t>
      </w:r>
      <w:r w:rsidRPr="00967D41">
        <w:rPr>
          <w:rFonts w:eastAsia="Calibri"/>
          <w:sz w:val="26"/>
          <w:szCs w:val="26"/>
          <w:lang w:val="es-ES" w:eastAsia="en-US"/>
        </w:rPr>
        <w:t xml:space="preserve"> por sus sigla en inglés), consumo de capital de la deuda soberana, una revisión completa del libro de negociación…) que bien podrían ser consideradas como el nuevo Basilea IV.</w:t>
      </w:r>
    </w:p>
    <w:p w14:paraId="1B584D59" w14:textId="77777777" w:rsidR="00A84901" w:rsidRPr="00967D41" w:rsidRDefault="00A84901" w:rsidP="00A84901">
      <w:pPr>
        <w:spacing w:after="360" w:line="360" w:lineRule="auto"/>
        <w:ind w:right="-159"/>
        <w:jc w:val="both"/>
        <w:rPr>
          <w:rFonts w:eastAsia="Calibri"/>
          <w:sz w:val="26"/>
          <w:szCs w:val="26"/>
          <w:lang w:val="es-ES" w:eastAsia="en-US"/>
        </w:rPr>
      </w:pPr>
      <w:r w:rsidRPr="00967D41">
        <w:rPr>
          <w:rFonts w:eastAsia="Calibri"/>
          <w:b/>
          <w:sz w:val="26"/>
          <w:szCs w:val="26"/>
          <w:lang w:val="es-ES" w:eastAsia="en-US"/>
        </w:rPr>
        <w:t>Resolución:</w:t>
      </w:r>
      <w:r w:rsidRPr="00967D41">
        <w:rPr>
          <w:rFonts w:eastAsia="Calibri"/>
          <w:sz w:val="26"/>
          <w:szCs w:val="26"/>
          <w:lang w:val="es-ES" w:eastAsia="en-US"/>
        </w:rPr>
        <w:t xml:space="preserve"> 2015 será un año clave para poner en marcha medidas que garanticen la resolución de las entidades bancarias. Se están dando pasos importantes de cara a la valoración en casos de resolución, y en 2015 se introducirá la relación mínima de absorción de pérdidas (TLAC/MREL). Por otro lado, la reforma de los sistemas bancarios dirigida a imponer límites sobre la estructura de las entidades también será un tema relevante en Europa. Por último, se espera un intenso trabajo técnico para desarrollar el tratamiento de entidades sistémicas que no son bancos ni aseguradoras, que sigue pendiente en el momento actual.</w:t>
      </w:r>
    </w:p>
    <w:p w14:paraId="259BFEC3" w14:textId="77777777" w:rsidR="00A84901" w:rsidRPr="00967D41" w:rsidRDefault="00A84901" w:rsidP="00A84901">
      <w:pPr>
        <w:spacing w:after="360" w:line="360" w:lineRule="auto"/>
        <w:ind w:right="-159"/>
        <w:jc w:val="both"/>
        <w:rPr>
          <w:rFonts w:eastAsia="Calibri"/>
          <w:sz w:val="26"/>
          <w:szCs w:val="26"/>
          <w:lang w:val="es-ES" w:eastAsia="en-US"/>
        </w:rPr>
      </w:pPr>
      <w:r w:rsidRPr="00967D41">
        <w:rPr>
          <w:rFonts w:eastAsia="Calibri"/>
          <w:b/>
          <w:sz w:val="26"/>
          <w:szCs w:val="26"/>
          <w:lang w:val="es-ES" w:eastAsia="en-US"/>
        </w:rPr>
        <w:t>Medidas  de  financiamiento:</w:t>
      </w:r>
      <w:r w:rsidRPr="00967D41">
        <w:rPr>
          <w:rFonts w:eastAsia="Calibri"/>
          <w:sz w:val="26"/>
          <w:szCs w:val="26"/>
          <w:lang w:val="es-ES" w:eastAsia="en-US"/>
        </w:rPr>
        <w:t xml:space="preserve"> se espera  avances  en  la  reforma  de  la  banca  en  la  sombra,  y finalización de la reforma del tratamiento de los productos derivados.</w:t>
      </w:r>
    </w:p>
    <w:p w14:paraId="6C8957DA" w14:textId="33B18962" w:rsidR="00A84901" w:rsidRDefault="00A84901" w:rsidP="00A84901">
      <w:pPr>
        <w:spacing w:after="360" w:line="360" w:lineRule="auto"/>
        <w:ind w:right="-159"/>
        <w:jc w:val="both"/>
        <w:rPr>
          <w:rFonts w:eastAsia="Calibri"/>
          <w:sz w:val="26"/>
          <w:szCs w:val="26"/>
          <w:lang w:val="es-ES" w:eastAsia="en-US"/>
        </w:rPr>
      </w:pPr>
      <w:r w:rsidRPr="00967D41">
        <w:rPr>
          <w:rFonts w:eastAsia="Calibri"/>
          <w:b/>
          <w:sz w:val="26"/>
          <w:szCs w:val="26"/>
          <w:lang w:val="es-ES" w:eastAsia="en-US"/>
        </w:rPr>
        <w:t>Agenda digital:</w:t>
      </w:r>
      <w:r w:rsidRPr="00967D41">
        <w:rPr>
          <w:rFonts w:eastAsia="Calibri"/>
          <w:sz w:val="26"/>
          <w:szCs w:val="26"/>
          <w:lang w:val="es-ES" w:eastAsia="en-US"/>
        </w:rPr>
        <w:t xml:space="preserve"> Los reguladores han ido incluyendo, poco a poco, cuestiones digitales en sus agendas. Esperamos una mayor atención sobre asuntos  como </w:t>
      </w:r>
      <w:r w:rsidRPr="00391822">
        <w:rPr>
          <w:rFonts w:eastAsia="Calibri"/>
          <w:i/>
          <w:sz w:val="26"/>
          <w:szCs w:val="26"/>
          <w:lang w:val="es-ES" w:eastAsia="en-US"/>
        </w:rPr>
        <w:t>big  data</w:t>
      </w:r>
      <w:r w:rsidRPr="00967D41">
        <w:rPr>
          <w:rFonts w:eastAsia="Calibri"/>
          <w:sz w:val="26"/>
          <w:szCs w:val="26"/>
          <w:lang w:val="es-ES" w:eastAsia="en-US"/>
        </w:rPr>
        <w:t xml:space="preserve">, privacidad, </w:t>
      </w:r>
      <w:r w:rsidRPr="00391822">
        <w:rPr>
          <w:rFonts w:eastAsia="Calibri"/>
          <w:i/>
          <w:sz w:val="26"/>
          <w:szCs w:val="26"/>
          <w:lang w:val="es-ES" w:eastAsia="en-US"/>
        </w:rPr>
        <w:t>cloud computing</w:t>
      </w:r>
      <w:r w:rsidRPr="00967D41">
        <w:rPr>
          <w:rFonts w:eastAsia="Calibri"/>
          <w:sz w:val="26"/>
          <w:szCs w:val="26"/>
          <w:lang w:val="es-ES" w:eastAsia="en-US"/>
        </w:rPr>
        <w:t xml:space="preserve"> o sistemas de pagos.</w:t>
      </w:r>
    </w:p>
    <w:p w14:paraId="31198020" w14:textId="77777777" w:rsidR="00AA71BA" w:rsidRDefault="00AA71BA" w:rsidP="00A84901">
      <w:pPr>
        <w:spacing w:after="360" w:line="360" w:lineRule="auto"/>
        <w:ind w:right="-159"/>
        <w:jc w:val="both"/>
        <w:rPr>
          <w:rFonts w:eastAsia="Calibri"/>
          <w:sz w:val="26"/>
          <w:szCs w:val="26"/>
          <w:lang w:val="es-ES" w:eastAsia="en-US"/>
        </w:rPr>
      </w:pPr>
    </w:p>
    <w:p w14:paraId="3A5518F4" w14:textId="77777777" w:rsidR="00AA71BA" w:rsidRDefault="00AA71BA" w:rsidP="00A84901">
      <w:pPr>
        <w:spacing w:after="360" w:line="360" w:lineRule="auto"/>
        <w:ind w:right="-159"/>
        <w:jc w:val="both"/>
        <w:rPr>
          <w:rFonts w:eastAsia="Calibri"/>
          <w:sz w:val="26"/>
          <w:szCs w:val="26"/>
          <w:lang w:val="es-ES" w:eastAsia="en-US"/>
        </w:rPr>
      </w:pPr>
    </w:p>
    <w:p w14:paraId="6DAB0D7F" w14:textId="77777777" w:rsidR="00AA71BA" w:rsidRDefault="00AA71BA" w:rsidP="00A84901">
      <w:pPr>
        <w:spacing w:after="360" w:line="360" w:lineRule="auto"/>
        <w:ind w:right="-159"/>
        <w:jc w:val="both"/>
        <w:rPr>
          <w:rFonts w:eastAsia="Calibri"/>
          <w:sz w:val="26"/>
          <w:szCs w:val="26"/>
          <w:lang w:val="es-ES" w:eastAsia="en-US"/>
        </w:rPr>
      </w:pPr>
    </w:p>
    <w:p w14:paraId="5631BE91" w14:textId="77777777" w:rsidR="00AA71BA" w:rsidRDefault="00AA71BA" w:rsidP="00A84901">
      <w:pPr>
        <w:spacing w:after="360" w:line="360" w:lineRule="auto"/>
        <w:ind w:right="-159"/>
        <w:jc w:val="both"/>
        <w:rPr>
          <w:rFonts w:eastAsia="Calibri"/>
          <w:sz w:val="26"/>
          <w:szCs w:val="26"/>
          <w:lang w:val="es-ES" w:eastAsia="en-US"/>
        </w:rPr>
      </w:pPr>
    </w:p>
    <w:p w14:paraId="4D689D36" w14:textId="77777777" w:rsidR="00AA71BA" w:rsidRPr="00967D41" w:rsidRDefault="00AA71BA" w:rsidP="00A84901">
      <w:pPr>
        <w:spacing w:after="360" w:line="360" w:lineRule="auto"/>
        <w:ind w:right="-159"/>
        <w:jc w:val="both"/>
        <w:rPr>
          <w:rFonts w:eastAsia="Calibri"/>
          <w:sz w:val="26"/>
          <w:szCs w:val="26"/>
          <w:lang w:val="es-ES" w:eastAsia="en-US"/>
        </w:rPr>
      </w:pPr>
    </w:p>
    <w:tbl>
      <w:tblPr>
        <w:tblW w:w="9322" w:type="dxa"/>
        <w:tblLook w:val="04A0" w:firstRow="1" w:lastRow="0" w:firstColumn="1" w:lastColumn="0" w:noHBand="0" w:noVBand="1"/>
      </w:tblPr>
      <w:tblGrid>
        <w:gridCol w:w="9322"/>
      </w:tblGrid>
      <w:tr w:rsidR="00A84901" w:rsidRPr="00967D41" w14:paraId="46EF16C5" w14:textId="77777777" w:rsidTr="001E7D79">
        <w:tc>
          <w:tcPr>
            <w:tcW w:w="9322" w:type="dxa"/>
          </w:tcPr>
          <w:p w14:paraId="6BFC3E4E" w14:textId="77777777" w:rsidR="00A84901" w:rsidRPr="00967D41" w:rsidRDefault="00A84901" w:rsidP="001E7D79">
            <w:pPr>
              <w:spacing w:after="200" w:line="276" w:lineRule="auto"/>
              <w:jc w:val="center"/>
              <w:rPr>
                <w:rFonts w:eastAsia="Calibri"/>
                <w:b/>
                <w:sz w:val="22"/>
                <w:szCs w:val="26"/>
                <w:lang w:val="es-ES" w:eastAsia="en-US"/>
              </w:rPr>
            </w:pPr>
            <w:r w:rsidRPr="00967D41">
              <w:rPr>
                <w:rFonts w:eastAsia="Calibri"/>
                <w:b/>
                <w:sz w:val="22"/>
                <w:szCs w:val="26"/>
                <w:lang w:val="es-ES" w:eastAsia="en-US"/>
              </w:rPr>
              <w:lastRenderedPageBreak/>
              <w:t>PRINCIPALES TEMAS REGULATORIOS EN 2015</w:t>
            </w:r>
          </w:p>
        </w:tc>
      </w:tr>
      <w:tr w:rsidR="00A84901" w:rsidRPr="00967D41" w14:paraId="6143BF74" w14:textId="77777777" w:rsidTr="001E7D79">
        <w:tc>
          <w:tcPr>
            <w:tcW w:w="9322" w:type="dxa"/>
          </w:tcPr>
          <w:p w14:paraId="5D4954B6" w14:textId="77777777" w:rsidR="00A84901" w:rsidRPr="00967D41" w:rsidRDefault="00A84901" w:rsidP="001E7D79">
            <w:pPr>
              <w:spacing w:after="200" w:line="276" w:lineRule="auto"/>
              <w:jc w:val="center"/>
              <w:rPr>
                <w:rFonts w:eastAsia="Calibri"/>
                <w:sz w:val="22"/>
                <w:szCs w:val="26"/>
                <w:lang w:val="es-ES" w:eastAsia="en-US"/>
              </w:rPr>
            </w:pPr>
            <w:r w:rsidRPr="00967D41">
              <w:rPr>
                <w:rFonts w:eastAsia="Calibri"/>
                <w:noProof/>
                <w:sz w:val="22"/>
                <w:szCs w:val="26"/>
                <w:lang w:eastAsia="es-MX"/>
              </w:rPr>
              <w:drawing>
                <wp:inline distT="0" distB="0" distL="0" distR="0" wp14:anchorId="5B248C63" wp14:editId="242AA249">
                  <wp:extent cx="5752465" cy="2961640"/>
                  <wp:effectExtent l="0" t="0" r="635" b="0"/>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5752465" cy="2961640"/>
                          </a:xfrm>
                          <a:prstGeom prst="rect">
                            <a:avLst/>
                          </a:prstGeom>
                          <a:noFill/>
                          <a:ln>
                            <a:noFill/>
                          </a:ln>
                        </pic:spPr>
                      </pic:pic>
                    </a:graphicData>
                  </a:graphic>
                </wp:inline>
              </w:drawing>
            </w:r>
          </w:p>
        </w:tc>
      </w:tr>
      <w:tr w:rsidR="00A84901" w:rsidRPr="00967D41" w14:paraId="57B8F71C" w14:textId="77777777" w:rsidTr="001E7D79">
        <w:tc>
          <w:tcPr>
            <w:tcW w:w="9322" w:type="dxa"/>
          </w:tcPr>
          <w:p w14:paraId="7F14B036" w14:textId="77777777" w:rsidR="00A84901" w:rsidRPr="00967D41" w:rsidRDefault="00A84901" w:rsidP="001E7D79">
            <w:pPr>
              <w:spacing w:after="200" w:line="276" w:lineRule="auto"/>
              <w:jc w:val="both"/>
              <w:rPr>
                <w:rFonts w:eastAsia="Calibri"/>
                <w:sz w:val="20"/>
                <w:szCs w:val="26"/>
                <w:lang w:val="es-ES" w:eastAsia="en-US"/>
              </w:rPr>
            </w:pPr>
            <w:r w:rsidRPr="00967D41">
              <w:rPr>
                <w:rFonts w:eastAsia="Calibri"/>
                <w:sz w:val="20"/>
                <w:szCs w:val="26"/>
                <w:lang w:val="es-ES" w:eastAsia="en-US"/>
              </w:rPr>
              <w:t>FUENTE: BBVA Research.</w:t>
            </w:r>
          </w:p>
        </w:tc>
      </w:tr>
    </w:tbl>
    <w:p w14:paraId="6DECD1CC" w14:textId="77777777" w:rsidR="00A84901" w:rsidRPr="00967D41" w:rsidRDefault="00A84901" w:rsidP="00A84901">
      <w:pPr>
        <w:spacing w:after="360" w:line="360" w:lineRule="auto"/>
        <w:ind w:right="-159"/>
        <w:jc w:val="both"/>
        <w:rPr>
          <w:rFonts w:eastAsia="Calibri"/>
          <w:sz w:val="26"/>
          <w:szCs w:val="26"/>
          <w:lang w:val="es-ES" w:eastAsia="en-US"/>
        </w:rPr>
      </w:pPr>
    </w:p>
    <w:p w14:paraId="31397D24" w14:textId="77777777" w:rsidR="00A84901" w:rsidRPr="00967D41" w:rsidRDefault="00A84901" w:rsidP="00A84901">
      <w:pPr>
        <w:spacing w:before="360"/>
        <w:ind w:right="-159"/>
        <w:jc w:val="both"/>
        <w:rPr>
          <w:rFonts w:eastAsia="Calibri"/>
          <w:b/>
          <w:sz w:val="20"/>
          <w:szCs w:val="20"/>
          <w:lang w:val="es-ES" w:eastAsia="en-US"/>
        </w:rPr>
      </w:pPr>
      <w:r w:rsidRPr="00967D41">
        <w:rPr>
          <w:rFonts w:eastAsia="Calibri"/>
          <w:b/>
          <w:sz w:val="20"/>
          <w:szCs w:val="20"/>
          <w:lang w:val="es-ES" w:eastAsia="en-US"/>
        </w:rPr>
        <w:t>Fuente de información:</w:t>
      </w:r>
    </w:p>
    <w:p w14:paraId="058295A3" w14:textId="77777777" w:rsidR="00A84901" w:rsidRPr="008631DB" w:rsidRDefault="0093224F" w:rsidP="008631DB">
      <w:pPr>
        <w:spacing w:after="720"/>
        <w:ind w:right="-159"/>
        <w:jc w:val="both"/>
        <w:rPr>
          <w:rFonts w:eastAsia="Calibri"/>
          <w:color w:val="0000FF"/>
          <w:sz w:val="20"/>
          <w:szCs w:val="20"/>
          <w:lang w:eastAsia="en-US"/>
        </w:rPr>
      </w:pPr>
      <w:hyperlink r:id="rId368" w:history="1">
        <w:r w:rsidR="00A84901" w:rsidRPr="008631DB">
          <w:rPr>
            <w:rFonts w:eastAsia="Calibri"/>
            <w:color w:val="0000FF"/>
            <w:sz w:val="20"/>
            <w:szCs w:val="20"/>
            <w:u w:val="single"/>
            <w:lang w:eastAsia="en-US"/>
          </w:rPr>
          <w:t>https://www.bbvaresearch.com/wp-content/uploads/2015/02/Situacion-Banca-Febrero-20151.pdf</w:t>
        </w:r>
      </w:hyperlink>
    </w:p>
    <w:p w14:paraId="0B402D82" w14:textId="77777777" w:rsidR="00DB215C" w:rsidRPr="00DB215C" w:rsidRDefault="00DB215C" w:rsidP="00DB215C">
      <w:pPr>
        <w:spacing w:after="360"/>
        <w:ind w:right="-159"/>
        <w:jc w:val="both"/>
        <w:rPr>
          <w:rFonts w:eastAsia="Calibri"/>
          <w:b/>
          <w:sz w:val="26"/>
          <w:szCs w:val="26"/>
          <w:lang w:eastAsia="en-US"/>
        </w:rPr>
      </w:pPr>
      <w:r w:rsidRPr="00DB215C">
        <w:rPr>
          <w:rFonts w:eastAsia="Calibri"/>
          <w:b/>
          <w:sz w:val="26"/>
          <w:szCs w:val="26"/>
          <w:lang w:eastAsia="en-US"/>
        </w:rPr>
        <w:t>Financiamiento para el Desarrollo en América Latina y el Caribe (CEPAL)</w:t>
      </w:r>
    </w:p>
    <w:p w14:paraId="381E9A96" w14:textId="77777777" w:rsid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t xml:space="preserve">En marzo de 2015, la Comisión Económica para América Latina (CEPAL) publicó el documento “Financiamiento para el Desarrollo en América Latina y el Caribe. Un análisis estratégico desde la perspectiva de los países de renta media”. A continuación se presenta el Resumen Ejecutivo y las Conclusiones. </w:t>
      </w:r>
    </w:p>
    <w:p w14:paraId="084FAB44" w14:textId="77777777" w:rsidR="0054411E" w:rsidRDefault="0054411E" w:rsidP="00DB215C">
      <w:pPr>
        <w:spacing w:after="360" w:line="360" w:lineRule="auto"/>
        <w:ind w:right="-159"/>
        <w:jc w:val="both"/>
        <w:rPr>
          <w:rFonts w:eastAsia="Calibri"/>
          <w:sz w:val="26"/>
          <w:szCs w:val="26"/>
          <w:lang w:val="es-ES" w:eastAsia="en-US"/>
        </w:rPr>
      </w:pPr>
    </w:p>
    <w:p w14:paraId="7369F71D" w14:textId="77777777" w:rsidR="0054411E" w:rsidRDefault="0054411E" w:rsidP="00DB215C">
      <w:pPr>
        <w:spacing w:after="360" w:line="360" w:lineRule="auto"/>
        <w:ind w:right="-159"/>
        <w:jc w:val="both"/>
        <w:rPr>
          <w:rFonts w:eastAsia="Calibri"/>
          <w:sz w:val="26"/>
          <w:szCs w:val="26"/>
          <w:lang w:val="es-ES" w:eastAsia="en-US"/>
        </w:rPr>
      </w:pPr>
    </w:p>
    <w:p w14:paraId="433A0234" w14:textId="77777777" w:rsidR="0054411E" w:rsidRPr="00DB215C" w:rsidRDefault="0054411E" w:rsidP="00DB215C">
      <w:pPr>
        <w:spacing w:after="360" w:line="360" w:lineRule="auto"/>
        <w:ind w:right="-159"/>
        <w:jc w:val="both"/>
        <w:rPr>
          <w:rFonts w:eastAsia="Calibri"/>
          <w:sz w:val="26"/>
          <w:szCs w:val="26"/>
          <w:lang w:val="es-ES" w:eastAsia="en-US"/>
        </w:rPr>
      </w:pPr>
    </w:p>
    <w:p w14:paraId="091D357A" w14:textId="77777777" w:rsidR="00DB215C" w:rsidRPr="00DB215C" w:rsidRDefault="00DB215C" w:rsidP="00DB215C">
      <w:pPr>
        <w:spacing w:after="360" w:line="360" w:lineRule="auto"/>
        <w:ind w:right="-159"/>
        <w:jc w:val="both"/>
        <w:rPr>
          <w:rFonts w:eastAsia="Calibri"/>
          <w:b/>
          <w:sz w:val="26"/>
          <w:szCs w:val="26"/>
          <w:lang w:val="es-ES" w:eastAsia="en-US"/>
        </w:rPr>
      </w:pPr>
      <w:r w:rsidRPr="00DB215C">
        <w:rPr>
          <w:rFonts w:eastAsia="Calibri"/>
          <w:b/>
          <w:sz w:val="26"/>
          <w:szCs w:val="26"/>
          <w:lang w:val="es-ES" w:eastAsia="en-US"/>
        </w:rPr>
        <w:lastRenderedPageBreak/>
        <w:t>Resumen Ejecutivo</w:t>
      </w:r>
    </w:p>
    <w:p w14:paraId="409939A6" w14:textId="77777777" w:rsidR="00DB215C" w:rsidRPr="00DB215C" w:rsidRDefault="00DB215C" w:rsidP="00DB215C">
      <w:pPr>
        <w:spacing w:after="360"/>
        <w:ind w:right="-159"/>
        <w:jc w:val="both"/>
        <w:rPr>
          <w:rFonts w:eastAsia="Calibri"/>
          <w:b/>
          <w:sz w:val="26"/>
          <w:szCs w:val="26"/>
          <w:lang w:val="es-ES" w:eastAsia="en-US"/>
        </w:rPr>
      </w:pPr>
      <w:r w:rsidRPr="00DB215C">
        <w:rPr>
          <w:rFonts w:eastAsia="Calibri"/>
          <w:b/>
          <w:sz w:val="26"/>
          <w:szCs w:val="26"/>
          <w:lang w:val="es-ES" w:eastAsia="en-US"/>
        </w:rPr>
        <w:t>La agenda para el desarrollo después de 2015 transformará profundamente el desarrollo sostenible y requerirá una gran movilización de recursos, así como un cambio en el financiamiento, la organización y la asignación de esos recursos</w:t>
      </w:r>
    </w:p>
    <w:p w14:paraId="51457536" w14:textId="77777777" w:rsidR="00DB215C" w:rsidRP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t>Esta profunda transformación refleja el compromiso con un enfoque universal del desarrollo sostenible, que tenga en cuenta todos los grupos de ingreso de los distintos países, incluya las cuestiones de sostenibilidad en todas las actividades, aborde las causas del cambio climático y garantice el respeto de los derechos humanos en todas las acciones de conformidad con los estándares internacionales. También refleja una amplia lista de preocupaciones relacionadas con el desarrollo, como la necesidad de erradicar la pobreza para 2030, de garantizar un acceso equitativo a la educación y a la atención de la salud para todos, de transformar las economías para lograr una forma de desarrollo productivo con mayor inclusión social donde la igualdad sea el centro del desarrollo y de promover el establecimiento de sociedades pacíficas y seguras e instituciones sólidas.</w:t>
      </w:r>
    </w:p>
    <w:p w14:paraId="70AE85A3" w14:textId="77777777" w:rsidR="00DB215C" w:rsidRP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t>Como parte de esta transformación, la agenda para el desarrollo después de 2015 requerirá también profundos cambios en sus medios de implementación, en particular en el sistema comercial y la arquitectura financiera mundiales, y en las condiciones para la transferencia de conocimiento y tecnología de los países desarrollados a los países en desarrollo. La agenda se basará en los resultados de la Cumbre del Milenio, el Documento Final de la Cumbre Mundial 2005, la Reunión Plenaria de Alto Nivel de 2010 de la Asamblea General sobre los Objetivos de Desarrollo del Milenio, los resultados de la Conferencia de las Naciones Unidas sobre el Desarrollo Sostenible (Río+20) y la voz del pueblo expresada en el proceso de preparación de la agenda para el desarrollo después de 2015.</w:t>
      </w:r>
    </w:p>
    <w:p w14:paraId="7249A311" w14:textId="77777777" w:rsidR="00DB215C" w:rsidRP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t xml:space="preserve">La comunidad internacional tendrá que movilizar una gran cantidad de recursos para responder a este cambio de paradigma en el desarrollo económico. También deberá </w:t>
      </w:r>
      <w:r w:rsidRPr="00DB215C">
        <w:rPr>
          <w:rFonts w:eastAsia="Calibri"/>
          <w:sz w:val="26"/>
          <w:szCs w:val="26"/>
          <w:lang w:val="es-ES" w:eastAsia="en-US"/>
        </w:rPr>
        <w:lastRenderedPageBreak/>
        <w:t>modificar toda la lógica del financiamiento para el desarrollo. Para ello, es necesario reconocer que los criterios sociales y ambientales —y no solo los económicos— deberán formar parte de los principios rectores del financiamiento para el desarrollo.</w:t>
      </w:r>
    </w:p>
    <w:p w14:paraId="0E01AFE6" w14:textId="77777777" w:rsidR="00DB215C" w:rsidRPr="00DB215C" w:rsidRDefault="00DB215C" w:rsidP="00DB215C">
      <w:pPr>
        <w:spacing w:after="360"/>
        <w:ind w:right="-159"/>
        <w:jc w:val="both"/>
        <w:rPr>
          <w:rFonts w:eastAsia="Calibri"/>
          <w:b/>
          <w:sz w:val="26"/>
          <w:szCs w:val="26"/>
          <w:lang w:val="es-ES" w:eastAsia="en-US"/>
        </w:rPr>
      </w:pPr>
      <w:r w:rsidRPr="00DB215C">
        <w:rPr>
          <w:rFonts w:eastAsia="Calibri"/>
          <w:b/>
          <w:sz w:val="26"/>
          <w:szCs w:val="26"/>
          <w:lang w:val="es-ES" w:eastAsia="en-US"/>
        </w:rPr>
        <w:t>El cumplimiento de los objetivos de la agenda para el desarrollo después de 2015 requiere la movilización de recursos tanto públicos como privados</w:t>
      </w:r>
    </w:p>
    <w:p w14:paraId="71C5D39B" w14:textId="77777777" w:rsidR="00DB215C" w:rsidRP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t>Si bien los objetivos de la agenda para el desarrollo después de 2015 aún tienen que definirse con precisión, ya resulta evidente que los montos necesarios para cumplir los objetivos de desarrollo económico, social y ambiental y preservar los bienes comunes globales exceden ampliamente la capacidad del financiamiento de los flujos de desarrollo tradicionales. El financiamiento público será insuficiente para esta tarea y tendrá que ser complementado con flujos privados, que de hecho constituyen el grueso del financiamiento externo que reciben los países de renta media, incluidos los de América Latina y el Caribe.</w:t>
      </w:r>
    </w:p>
    <w:p w14:paraId="4D53E555" w14:textId="77777777" w:rsidR="00DB215C" w:rsidRP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t>Los países de la región deben afrontar el reto de canalizar de forma eficaz los flujos de financiamiento privado hacia las necesidades de producción y desarrollo. Esto requiere la combinación de recursos privados y públicos, con objeto de lograr el apalancamiento necesario para maximizar el impacto del financiamiento para el desarrollo.</w:t>
      </w:r>
    </w:p>
    <w:p w14:paraId="2691C9D1" w14:textId="77777777" w:rsidR="00DB215C" w:rsidRPr="00DB215C" w:rsidRDefault="00DB215C" w:rsidP="00DB215C">
      <w:pPr>
        <w:spacing w:after="360"/>
        <w:ind w:right="-159"/>
        <w:jc w:val="both"/>
        <w:rPr>
          <w:rFonts w:eastAsia="Calibri"/>
          <w:b/>
          <w:sz w:val="26"/>
          <w:szCs w:val="26"/>
          <w:lang w:val="es-ES" w:eastAsia="en-US"/>
        </w:rPr>
      </w:pPr>
      <w:r w:rsidRPr="00DB215C">
        <w:rPr>
          <w:rFonts w:eastAsia="Calibri"/>
          <w:b/>
          <w:sz w:val="26"/>
          <w:szCs w:val="26"/>
          <w:lang w:val="es-ES" w:eastAsia="en-US"/>
        </w:rPr>
        <w:t>Los países de América Latina y el Caribe difieren en sus capacidades para acceder al financiamiento privado</w:t>
      </w:r>
    </w:p>
    <w:p w14:paraId="41F82BE5" w14:textId="77777777" w:rsidR="00DB215C" w:rsidRP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t xml:space="preserve">La capacidad de acceder de forma efectiva al financiamiento privado en los distintos países de América Latina y el Caribe varía ampliamente. El financiamiento privado está sujeto a múltiples requisitos de acceso y condicionalidades, que dificultan la adopción por parte de los países de la región de un enfoque estratégico para financiar sus prioridades de desarrollo y evaluar el impacto y la eficacia de las fuentes de financiamiento para el desarrollo. Además, los proveedores de financiamiento privado </w:t>
      </w:r>
      <w:r w:rsidRPr="00DB215C">
        <w:rPr>
          <w:rFonts w:eastAsia="Calibri"/>
          <w:sz w:val="26"/>
          <w:szCs w:val="26"/>
          <w:lang w:val="es-ES" w:eastAsia="en-US"/>
        </w:rPr>
        <w:lastRenderedPageBreak/>
        <w:t>no exigen las mismas condiciones ni imponen los mismos criterios de acceso y elegibilidad que las fuentes de financiamiento público.</w:t>
      </w:r>
    </w:p>
    <w:p w14:paraId="68B8C947" w14:textId="77777777" w:rsidR="00DB215C" w:rsidRPr="00DB215C" w:rsidRDefault="00DB215C" w:rsidP="00DB215C">
      <w:pPr>
        <w:spacing w:after="360"/>
        <w:ind w:right="-159"/>
        <w:jc w:val="both"/>
        <w:rPr>
          <w:rFonts w:eastAsia="Calibri"/>
          <w:b/>
          <w:sz w:val="26"/>
          <w:szCs w:val="26"/>
          <w:lang w:val="es-ES" w:eastAsia="en-US"/>
        </w:rPr>
      </w:pPr>
      <w:r w:rsidRPr="00DB215C">
        <w:rPr>
          <w:rFonts w:eastAsia="Calibri"/>
          <w:b/>
          <w:sz w:val="26"/>
          <w:szCs w:val="26"/>
          <w:lang w:val="es-ES" w:eastAsia="en-US"/>
        </w:rPr>
        <w:t>Los flujos financieros privados tienden a ser volátiles y asimétricos, y tienen un impacto limitado en el desarrollo</w:t>
      </w:r>
    </w:p>
    <w:p w14:paraId="140EA7E0" w14:textId="77777777" w:rsidR="00DB215C" w:rsidRP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t>El financiamiento privado plantea problemas muy significativos desde el punto de vista del financiamiento para el desarrollo. Los flujos de capital de cartera son volátiles y procíclicos. Por su parte, la Inversión Extranjera Directa (IED), que es actualmente la principal fuente de financiamiento privado para la región, no es tan estable como se pensaba anteriormente y también tiende a ser procíclica, lo que puede contribuir a amplificar las fluctuaciones de los ciclos económicos. Además, la IED recibida por América Latina y el Caribe está concentrada tanto geográficamente como por sectores. Por otra parte, a pesar de su relevancia como fuente de financiamiento, la IED puede tener un impacto limitado en la innovación y en las capacidades de conocimiento a nivel local, lo que obstaculizaría el avance de la productividad. Finalmente, la IED también produce importantes filtraciones financieras a través de la repatriación de utilidades.</w:t>
      </w:r>
    </w:p>
    <w:p w14:paraId="114AF240" w14:textId="77777777" w:rsidR="00DB215C" w:rsidRP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t>Estas desventajas de los flujos de capital privado reflejan el hecho de que están motivados principalmente por el beneficio económico, lo que puede ocasionar que la inversión sea insuficiente en áreas cruciales para el desarrollo sostenible, como la reducción de la pobreza o el cambio climático, si el rendimiento esperado —ajustado por el correspondiente riesgo— es insatisfactorio en comparación con oportunidades alternativas de inversión.</w:t>
      </w:r>
    </w:p>
    <w:p w14:paraId="033C4BBC" w14:textId="77777777" w:rsidR="00DB215C" w:rsidRPr="00DB215C" w:rsidRDefault="00DB215C" w:rsidP="00DB215C">
      <w:pPr>
        <w:spacing w:after="360"/>
        <w:ind w:right="-159"/>
        <w:jc w:val="both"/>
        <w:rPr>
          <w:rFonts w:eastAsia="Calibri"/>
          <w:b/>
          <w:sz w:val="26"/>
          <w:szCs w:val="26"/>
          <w:lang w:val="es-ES" w:eastAsia="en-US"/>
        </w:rPr>
      </w:pPr>
      <w:r w:rsidRPr="00DB215C">
        <w:rPr>
          <w:rFonts w:eastAsia="Calibri"/>
          <w:b/>
          <w:sz w:val="26"/>
          <w:szCs w:val="26"/>
          <w:lang w:val="es-ES" w:eastAsia="en-US"/>
        </w:rPr>
        <w:t>Se requerirán intervenciones gubernamentales eficientes y selectivas para aprovechar los mercados y flujos de capital privado con miras a cumplir los objetivos de la agenda para el desarrollo después de 2015</w:t>
      </w:r>
    </w:p>
    <w:p w14:paraId="3B320D8A" w14:textId="77777777" w:rsidR="00DB215C" w:rsidRP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t xml:space="preserve">El sector público desempeña un papel cada vez más relevante en la inclusión de criterios de rentabilidad social en el análisis costo-beneficio. Puede proporcionar financiamiento </w:t>
      </w:r>
      <w:r w:rsidRPr="00DB215C">
        <w:rPr>
          <w:rFonts w:eastAsia="Calibri"/>
          <w:sz w:val="26"/>
          <w:szCs w:val="26"/>
          <w:lang w:val="es-ES" w:eastAsia="en-US"/>
        </w:rPr>
        <w:lastRenderedPageBreak/>
        <w:t>público para sectores que generan significativos beneficios sociales, pero no atraen suficientes flujos privados. Por otra parte, el sector público puede crear un entorno favorable y los incentivos adecuados para contribuir a mantener un perfil en la relación riesgo-rentabilidad capaz de atraer capital privado y dirigirlo hacia los objetivos de desarrollo. Los incentivos para el financiamiento privado tienen que ir de la mano de los marcos normativos apropiados.</w:t>
      </w:r>
    </w:p>
    <w:p w14:paraId="0A3E415A" w14:textId="77777777" w:rsidR="00DB215C" w:rsidRPr="00DB215C" w:rsidRDefault="00DB215C" w:rsidP="00DB215C">
      <w:pPr>
        <w:spacing w:after="360"/>
        <w:ind w:right="-159"/>
        <w:jc w:val="both"/>
        <w:rPr>
          <w:rFonts w:eastAsia="Calibri"/>
          <w:b/>
          <w:sz w:val="26"/>
          <w:szCs w:val="26"/>
          <w:lang w:val="es-ES" w:eastAsia="en-US"/>
        </w:rPr>
      </w:pPr>
      <w:r w:rsidRPr="00DB215C">
        <w:rPr>
          <w:rFonts w:eastAsia="Calibri"/>
          <w:b/>
          <w:sz w:val="26"/>
          <w:szCs w:val="26"/>
          <w:lang w:val="es-ES" w:eastAsia="en-US"/>
        </w:rPr>
        <w:t>La arquitectura del financiamiento para el desarrollo después de 2015 deberá incorporar los cambios que se han producido en el mapa del financiamiento para el desarrollo en la última década</w:t>
      </w:r>
    </w:p>
    <w:p w14:paraId="115DD87D" w14:textId="77777777" w:rsidR="00DB215C" w:rsidRP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t>Al reto de movilizar recursos para alcanzar los objetivos de la agenda para el desarrollo después de 2015, se suma la necesidad de tener en cuenta los cambios acaecidos en el panorama del financiamiento para el desarrollo en la última década. En el caso de los países de renta media, como los de América Latina y el Caribe, estos cambios pueden resumirse en un declive relativo de las formas más tradicionales de financiamiento para el desarrollo, como la Asistencia Oficial para el Desarrollo (AOD), y la emergencia de nuevos actores, mecanismos y fuentes de financiamiento. En esta última categoría se encuentran los nuevos donantes que no son países miembros del Comité de Asistencia para el Desarrollo, los mecanismos de financiamiento innovadores y los fondos para el clima, entre otros. Todos ellos desempeñan actualmente un papel más potente y visible en el financiamiento para el desarrollo.</w:t>
      </w:r>
    </w:p>
    <w:p w14:paraId="5846EF20" w14:textId="77777777" w:rsid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t>Con objeto de que el financiamiento se movilice de forma eficaz y eficiente para acelerar el progreso hacia un desarrollo sostenible en todos los grupos de ingresos, los países no deben quedar excluidos de los flujos de financiamiento para el desarrollo por criterios basados únicamente en el nivel de renta per cápita.</w:t>
      </w:r>
    </w:p>
    <w:p w14:paraId="237369AC" w14:textId="77777777" w:rsidR="0054411E" w:rsidRPr="00DB215C" w:rsidRDefault="0054411E" w:rsidP="00DB215C">
      <w:pPr>
        <w:spacing w:after="360" w:line="360" w:lineRule="auto"/>
        <w:ind w:right="-159"/>
        <w:jc w:val="both"/>
        <w:rPr>
          <w:rFonts w:eastAsia="Calibri"/>
          <w:sz w:val="26"/>
          <w:szCs w:val="26"/>
          <w:lang w:val="es-ES" w:eastAsia="en-US"/>
        </w:rPr>
      </w:pPr>
    </w:p>
    <w:p w14:paraId="345095E9" w14:textId="77777777" w:rsidR="00DB215C" w:rsidRPr="00DB215C" w:rsidRDefault="00DB215C" w:rsidP="00DB215C">
      <w:pPr>
        <w:spacing w:after="360"/>
        <w:ind w:right="-159"/>
        <w:jc w:val="both"/>
        <w:rPr>
          <w:rFonts w:eastAsia="Calibri"/>
          <w:b/>
          <w:sz w:val="26"/>
          <w:szCs w:val="26"/>
          <w:lang w:val="es-ES" w:eastAsia="en-US"/>
        </w:rPr>
      </w:pPr>
      <w:r w:rsidRPr="00DB215C">
        <w:rPr>
          <w:rFonts w:eastAsia="Calibri"/>
          <w:b/>
          <w:sz w:val="26"/>
          <w:szCs w:val="26"/>
          <w:lang w:val="es-ES" w:eastAsia="en-US"/>
        </w:rPr>
        <w:lastRenderedPageBreak/>
        <w:t>Los mecanismos de financiamiento innovadores y las nuevas formas de cooperación deberán ser componentes significativos de la arquitectura del financiamiento para el desarrollo después de 2015</w:t>
      </w:r>
    </w:p>
    <w:p w14:paraId="1293EC15" w14:textId="77777777" w:rsidR="00DB215C" w:rsidRP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t>Los mecanismos de financiamiento innovadores pueden proporcionar flujos financieros estables y predecibles para los países en desarrollo. También son instrumentos con un doble dividendo ya que ayudan en la provisión de bienes públicos a la vez que recaudan ingresos. Además, apoyan la colaboración con el sector privado.</w:t>
      </w:r>
    </w:p>
    <w:p w14:paraId="4FD48C56" w14:textId="77777777" w:rsidR="00DB215C" w:rsidRP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t>Los países de América Latina y el Caribe han adoptado algunas iniciativas de mecanismos de financiamiento innovadores, como los impuestos sobre las ventas de billetes de avión, la subasta (o venta) de permisos de emisión, un fondo de seguros soberanos denominado Fondo de seguro contra riesgos de catástrofe para el Caribe (CCRIF) y la Facilidad de Inversión en América Latina (LAIF).</w:t>
      </w:r>
    </w:p>
    <w:p w14:paraId="2818AD9D" w14:textId="77777777" w:rsidR="00DB215C" w:rsidRP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t>Como parte de los cambios en el panorama del financiamiento para el desarrollo, a las formas tradicionales de cooperación, basadas en las relaciones entre el donante y el receptor y que enfatizan los aspectos de la ayuda relacionados con la reducción de la pobreza, se han sumado de manera creciente nuevas modalidades de cooperación, como la cooperación Sur-Sur y la cooperación triangular. Estas nuevas modalidades complementan las formas de cooperación más tradicionales y proporcionan un enfoque innovador para la colaboración económica y social entre países.</w:t>
      </w:r>
    </w:p>
    <w:p w14:paraId="55C928DD" w14:textId="77777777" w:rsidR="00DB215C" w:rsidRP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t xml:space="preserve">Estas nuevas formas de cooperación han superado la antigua relación vertical entre los donantes y los receptores que caracteriza la cooperación tradicional, para centrarse en su lugar en un sistema de colaboración entre iguales. De manera similar, mientras que las formas tradicionales de cooperación ponen un gran énfasis en la reducción de la pobreza como objetivo principal, la cooperación Sur-Sur subraya más bien el crecimiento basado en el desarrollo de la infraestructura, la cooperación técnica y el intercambio de conocimientos. De esta manera, la cooperación Sur-Sur puede impulsar significativamente el desarrollo, en especial en los países de renta media que buscan </w:t>
      </w:r>
      <w:r w:rsidRPr="00DB215C">
        <w:rPr>
          <w:rFonts w:eastAsia="Calibri"/>
          <w:sz w:val="26"/>
          <w:szCs w:val="26"/>
          <w:lang w:val="es-ES" w:eastAsia="en-US"/>
        </w:rPr>
        <w:lastRenderedPageBreak/>
        <w:t>estrategias de crecimiento sostenido de la producción que les ayuden a no caer en la denominada trampa de la renta media.</w:t>
      </w:r>
    </w:p>
    <w:p w14:paraId="21319568" w14:textId="77777777" w:rsidR="00DB215C" w:rsidRPr="00DB215C" w:rsidRDefault="00DB215C" w:rsidP="00DB215C">
      <w:pPr>
        <w:spacing w:after="360"/>
        <w:ind w:right="-159"/>
        <w:jc w:val="both"/>
        <w:rPr>
          <w:rFonts w:eastAsia="Calibri"/>
          <w:b/>
          <w:sz w:val="26"/>
          <w:szCs w:val="26"/>
          <w:lang w:val="es-ES" w:eastAsia="en-US"/>
        </w:rPr>
      </w:pPr>
      <w:r w:rsidRPr="00DB215C">
        <w:rPr>
          <w:rFonts w:eastAsia="Calibri"/>
          <w:b/>
          <w:sz w:val="26"/>
          <w:szCs w:val="26"/>
          <w:lang w:val="es-ES" w:eastAsia="en-US"/>
        </w:rPr>
        <w:t>Los cambios en el panorama financiero han incrementado la complejidad de combinar las distintas opciones de financiamiento en el marco de una arquitectura coherente de financiamiento para el desarrollo</w:t>
      </w:r>
    </w:p>
    <w:p w14:paraId="063D7892" w14:textId="77777777" w:rsidR="00DB215C" w:rsidRP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t>Los cambios que se han producido en el panorama financiero durante la última década han ampliado la gama de opciones de financiamiento para el desarrollo. También han incrementado la complejidad de coordinar y combinar la variedad de actores, fondos, mecanismos e instrumentos dentro de una arquitectura coherente de financiamiento para el desarrollo. Esta complejidad resulta particularmente significativa en el caso de los mecanismos de financiamiento innovadores y los fondos para el clima, que precisan una mayor claridad en lo referente a los objetivos de desarrollo, las fuentes de financiamiento y las condiciones de uso y acceso.</w:t>
      </w:r>
    </w:p>
    <w:p w14:paraId="7F473EF2" w14:textId="77777777" w:rsidR="00DB215C" w:rsidRP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t>La arquitectura existente de fondos para el clima presenta varias carencias. Es desordenada y complicada, con múltiples fondos, cada uno de los cuales tiene sus propios objetivos, lógica interna y formas de funcionar. Además, acceder a estos fondos generalmente es difícil para ciertos países pequeños (incluidos algunos de América Latina y el Caribe).</w:t>
      </w:r>
    </w:p>
    <w:p w14:paraId="6B46B5CF" w14:textId="77777777" w:rsidR="00DB215C" w:rsidRP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t>El acceso a los fondos para el clima requiere el conocimiento específico de los trámites necesarios, con los consiguientes costos administrativos y de recursos humanos que, en la práctica, impiden que muchos países pequeños puedan recibir el financiamiento, mientras que los países de mayor tamaño disfrutan de economías de escala que les permiten beneficiarse con mayor facilidad. La comunidad internacional debe tomar medidas decisivas para afrontar estas carencias y racionalizar la arquitectura global de financiamiento para hacer frente al cambio climático.</w:t>
      </w:r>
    </w:p>
    <w:p w14:paraId="12B9B59F" w14:textId="77777777" w:rsidR="00DB215C" w:rsidRP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lastRenderedPageBreak/>
        <w:t>Además, se precisa una metodología mejor y más estandarizada para evaluar el aspecto ambiental de cada actividad, de modo que este pueda incluirse en el análisis de costo-beneficio que determina el acceso al financiamiento.</w:t>
      </w:r>
    </w:p>
    <w:p w14:paraId="79794C21" w14:textId="77777777" w:rsidR="00DB215C" w:rsidRPr="00DB215C" w:rsidRDefault="00DB215C" w:rsidP="00DB215C">
      <w:pPr>
        <w:spacing w:after="360"/>
        <w:ind w:right="-159"/>
        <w:jc w:val="both"/>
        <w:rPr>
          <w:rFonts w:eastAsia="Calibri"/>
          <w:b/>
          <w:sz w:val="26"/>
          <w:szCs w:val="26"/>
          <w:lang w:val="es-ES" w:eastAsia="en-US"/>
        </w:rPr>
      </w:pPr>
      <w:r w:rsidRPr="00DB215C">
        <w:rPr>
          <w:rFonts w:eastAsia="Calibri"/>
          <w:b/>
          <w:sz w:val="26"/>
          <w:szCs w:val="26"/>
          <w:lang w:val="es-ES" w:eastAsia="en-US"/>
        </w:rPr>
        <w:t>Los países de renta media, como los de América Latina y el Caribe, necesitan mayores recursos financieros para afrontar los efectos del cambio climático</w:t>
      </w:r>
    </w:p>
    <w:p w14:paraId="3D6A971C" w14:textId="77777777" w:rsidR="00DB215C" w:rsidRP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t>El cambio climático se está convirtiendo en un tema cada vez más urgente para América Latina y el Caribe. Además, los costos y el impacto del cambio climático se reparten de forma irregular y desigual entre los grupos con diferentes ingresos. En América Latina y el Caribe, los estratos económicos que menos contribuyen a provocar el cambio climático son los más vulnerables ante sus efectos, como por ejemplo los habitantes de los pequeños Estados insulares en desarrollo.</w:t>
      </w:r>
    </w:p>
    <w:p w14:paraId="3D33D03C" w14:textId="77777777" w:rsidR="00DB215C" w:rsidRP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t>Por un lado, en algunas de las economías de la región, el modelo de desarrollo actual está basado en la producción y exportación de recursos naturales renovables y no renovables. Por otro, el progreso económico y social en la región ha provocado la aparición de una clase media cuyos patrones de consumo otorgan prioridad al gasto en bienes y servicios (por ejemplo, automóviles) con un impacto ambiental negativo. Ambos factores han contribuido de forma sustancial a la generación de contaminación atmosférica, que pone en peligro el futuro desarrollo económico y social de la región.</w:t>
      </w:r>
    </w:p>
    <w:p w14:paraId="07C85715" w14:textId="77777777" w:rsidR="00DB215C" w:rsidRP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t>Compensar los efectos negativos y, especialmente, las causas profundas del cambio climático requerirá financiamiento para transformar el actual estilo de desarrollo de los países de América Latina y el Caribe.</w:t>
      </w:r>
    </w:p>
    <w:p w14:paraId="2BC16678" w14:textId="77777777" w:rsidR="00DB215C" w:rsidRPr="00DB215C" w:rsidRDefault="00DB215C" w:rsidP="00DB215C">
      <w:pPr>
        <w:spacing w:after="360"/>
        <w:ind w:right="-159"/>
        <w:jc w:val="both"/>
        <w:rPr>
          <w:rFonts w:eastAsia="Calibri"/>
          <w:b/>
          <w:sz w:val="26"/>
          <w:szCs w:val="26"/>
          <w:lang w:val="es-ES" w:eastAsia="en-US"/>
        </w:rPr>
      </w:pPr>
      <w:r w:rsidRPr="00DB215C">
        <w:rPr>
          <w:rFonts w:eastAsia="Calibri"/>
          <w:b/>
          <w:sz w:val="26"/>
          <w:szCs w:val="26"/>
          <w:lang w:val="es-ES" w:eastAsia="en-US"/>
        </w:rPr>
        <w:t>Un acceso más amplio a los recursos externos debe ser complementado y balanceado con una mejor movilización de recursos internos</w:t>
      </w:r>
    </w:p>
    <w:p w14:paraId="3584D905" w14:textId="77777777" w:rsidR="00DB215C" w:rsidRP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t xml:space="preserve">Tradicionalmente, la movilización de recursos internos en los países de América Latina y el Caribe ha sido limitada y difícil de incrementar. En consecuencia, es necesario </w:t>
      </w:r>
      <w:r w:rsidRPr="00DB215C">
        <w:rPr>
          <w:rFonts w:eastAsia="Calibri"/>
          <w:sz w:val="26"/>
          <w:szCs w:val="26"/>
          <w:lang w:val="es-ES" w:eastAsia="en-US"/>
        </w:rPr>
        <w:lastRenderedPageBreak/>
        <w:t>implementar una serie de políticas económicas y financieras para crear condiciones que fomenten el ahorro privado y público y la canalización de ese ahorro hacia actividades productivas e inversión pública.</w:t>
      </w:r>
    </w:p>
    <w:p w14:paraId="44865CF9" w14:textId="77777777" w:rsidR="00DB215C" w:rsidRP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t>No obstante, las estrategias de movilización de recursos internos en una región tan heterogénea como América Latina y el Caribe han de tener en cuenta que los países tienen diferentes capacidades para movilizar recursos y, en particular, para emprender reformas fiscales.</w:t>
      </w:r>
    </w:p>
    <w:p w14:paraId="71A99339" w14:textId="77777777" w:rsidR="00DB215C" w:rsidRP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t>En algunos países de la región, como los pequeños Estados insulares en desarrollo, el tamaño de la economía es una restricción significativa para la movilización de los recursos internos. Dada su situación de endeudamiento actual, los pequeños Estados insulares en desarrollo del Caribe se encuentran en una posición distinta a la de los países de América Latina y, por lo tanto, necesitan apoyo adicional, tanto a corto como a largo plazo. Este apoyo debe incluir recursos para afrontar el daño causado por fenómenos naturales extremos, que constituye una fuente clave de vulnerabilidad y de acumulación de deuda para estos países.</w:t>
      </w:r>
    </w:p>
    <w:p w14:paraId="1181D896" w14:textId="77777777" w:rsidR="00DB215C" w:rsidRPr="00DB215C" w:rsidRDefault="00DB215C" w:rsidP="00DB215C">
      <w:pPr>
        <w:spacing w:after="360"/>
        <w:ind w:right="-159"/>
        <w:jc w:val="both"/>
        <w:rPr>
          <w:rFonts w:eastAsia="Calibri"/>
          <w:b/>
          <w:sz w:val="26"/>
          <w:szCs w:val="26"/>
          <w:lang w:val="es-ES" w:eastAsia="en-US"/>
        </w:rPr>
      </w:pPr>
      <w:r w:rsidRPr="00DB215C">
        <w:rPr>
          <w:rFonts w:eastAsia="Calibri"/>
          <w:b/>
          <w:sz w:val="26"/>
          <w:szCs w:val="26"/>
          <w:lang w:val="es-ES" w:eastAsia="en-US"/>
        </w:rPr>
        <w:t>La movilización de los recursos internos no se limita a la mera movilización de recursos fiscales</w:t>
      </w:r>
    </w:p>
    <w:p w14:paraId="3D5EB51B" w14:textId="77777777" w:rsidR="00DB215C" w:rsidRP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t>La implementación de una estrategia para movilizar los recursos internos supone mejorar los sistemas de recaudación de impuestos, así como desarrollar aún más los mercados y sistemas financieros de la región y aumentar la inclusión financiera.</w:t>
      </w:r>
    </w:p>
    <w:p w14:paraId="755692A4" w14:textId="77777777" w:rsidR="00DB215C" w:rsidRP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t xml:space="preserve">Los países de América Latina y el Caribe han avanzado significativamente en el aumento de los ingresos fiscales: entre 1990 y 2013, la proporción de los impuestos en relación con el Producto Interno Bruto (PIB) de la región aumentó en promedio del 14.4 al 21.3%. Si bien este porcentaje queda aún lejos del promedio de los países de la Organización de Cooperación y Desarrollo Económicos (OCDE) (34.1% en 2013), la </w:t>
      </w:r>
      <w:r w:rsidRPr="00DB215C">
        <w:rPr>
          <w:rFonts w:eastAsia="Calibri"/>
          <w:sz w:val="26"/>
          <w:szCs w:val="26"/>
          <w:lang w:val="es-ES" w:eastAsia="en-US"/>
        </w:rPr>
        <w:lastRenderedPageBreak/>
        <w:t>brecha se ha ido cerrando a lo largo del tiempo, pasando de 18 a 13 puntos porcentuales entre 1990 y 2013.</w:t>
      </w:r>
    </w:p>
    <w:p w14:paraId="15448282" w14:textId="77777777" w:rsidR="00DB215C" w:rsidRP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t>No obstante, la región necesita seguir aumentando la recaudación de impuestos, para lo cual los sistemas fiscales han de ser más progresivos. También debe enfrentar el problema del alto grado de evasión fiscal y las desgravaciones muy extendidas, que actualmente dificulta los esfuerzos por incrementar los ingresos fiscales. La movilización de los recursos internos requiere reformas tributarias más enérgicas destinadas a mantener o aumentar la recaudación y a fortalecer el impuesto sobre la renta, con objeto de nivelar los ingresos e incrementar los recursos. Esto puede lograrse reduciendo las desgravaciones fiscales y reforzando la capacidad de las administraciones tributarias de controlar la evasión y elusión de impuestos.</w:t>
      </w:r>
    </w:p>
    <w:p w14:paraId="004F827B" w14:textId="77777777" w:rsidR="00DB215C" w:rsidRP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t>Varios países de la región han realizado reformas tributarias durante los últimos años. Aunque se han llevado a cabo cambios muy diversos, uno de los más notables con respecto a las décadas anteriores ha sido el enfoque centrado en el impuesto sobre la renta, no solo para mejorar la recaudación, sino también para reforzar uno de los puntos más débiles de la política fiscal: el impacto de los sistemas tributarios en la distribución de ingresos.</w:t>
      </w:r>
    </w:p>
    <w:p w14:paraId="054D6694" w14:textId="77777777" w:rsidR="00DB215C" w:rsidRP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t xml:space="preserve">Las reformas han tratado diversos aspectos de la estructura del impuesto sobre la renta, en particular la expansión o reducción de la base imponible, los cambios de los tipos impositivos y la tributación internacional. En otros casos, se ha intentado ampliar la base imponible, estableciendo sistemas duales de impuestos sobre la renta personal. Además, la reforma fiscal requiere atenuar la dependencia de los ingresos procedentes de recursos naturales no renovables, que suele ser muy fuerte, fortaleciendo las medidas institucionales para acelerar los cambios estructurales que transformen los recursos a corto plazo en conocimiento e innovación. También es necesario mejorar la </w:t>
      </w:r>
      <w:r w:rsidRPr="00DB215C">
        <w:rPr>
          <w:rFonts w:eastAsia="Calibri"/>
          <w:sz w:val="26"/>
          <w:szCs w:val="26"/>
          <w:lang w:val="es-ES" w:eastAsia="en-US"/>
        </w:rPr>
        <w:lastRenderedPageBreak/>
        <w:t>transparencia y calidad del gasto público para garantizar unos servicios públicos adecuados, avanzando hacia una gestión para el desarrollo basada en resultados.</w:t>
      </w:r>
    </w:p>
    <w:p w14:paraId="0564F098" w14:textId="77777777" w:rsidR="00DB215C" w:rsidRP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t>La reforma fiscal también debe hacer frente a los flujos financieros ilícitos, que representan una enorme salida de recursos financieros de las economías en desarrollo, incluidas las de América Latina y el Caribe. En algunos casos, la obtención del apoyo adecuado para las reformas necesarias requerirá iniciativas de reestructuración de la deuda soberana.</w:t>
      </w:r>
    </w:p>
    <w:p w14:paraId="0C6EBB3E" w14:textId="77777777" w:rsidR="00DB215C" w:rsidRPr="00DB215C" w:rsidRDefault="00DB215C" w:rsidP="00DB215C">
      <w:pPr>
        <w:spacing w:after="360"/>
        <w:ind w:right="-159"/>
        <w:jc w:val="both"/>
        <w:rPr>
          <w:rFonts w:eastAsia="Calibri"/>
          <w:b/>
          <w:sz w:val="26"/>
          <w:szCs w:val="26"/>
          <w:lang w:val="es-ES" w:eastAsia="en-US"/>
        </w:rPr>
      </w:pPr>
      <w:r w:rsidRPr="00DB215C">
        <w:rPr>
          <w:rFonts w:eastAsia="Calibri"/>
          <w:b/>
          <w:sz w:val="26"/>
          <w:szCs w:val="26"/>
          <w:lang w:val="es-ES" w:eastAsia="en-US"/>
        </w:rPr>
        <w:t>La movilización de los recursos internos por medios fiscales debería complementarse con el fortalecimiento del papel de los bancos de desarrollo</w:t>
      </w:r>
    </w:p>
    <w:p w14:paraId="0F11F9C8" w14:textId="77777777" w:rsidR="00DB215C" w:rsidRP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t>Los bancos de desarrollo regionales, subregionales y nacionales han demostrado ser una exitosa fuente de recursos de mediano y largo plazo a través del financiamiento de inversiones en infraestructura, desarrollo productivo y social, y mitigación de los efectos del cambio climático.</w:t>
      </w:r>
    </w:p>
    <w:p w14:paraId="3FA8329C" w14:textId="77777777" w:rsidR="00DB215C" w:rsidRP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t>Tradicionalmente, los bancos de desarrollo se han centrado en movilizar el ahorro de largo plazo hacia la inversión y, en particular, hacia sectores de producción estratégicos, especialmente la infraestructura. En algunas economías emergentes, los bancos de desarrollo se han convertido en uno de los proveedores, si no el principal, de crédito de largo plazo para la agricultura, vivienda e infraestructura.</w:t>
      </w:r>
    </w:p>
    <w:p w14:paraId="32AA60DC" w14:textId="77777777" w:rsidR="00DB215C" w:rsidRP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t>Con el paso del tiempo, los bancos de desarrollo también han asumido otras funciones, incluido el desarrollo de instituciones y mercados financieros, que constituyen una significativa fuente de apoyo al desarrollo del sector privado y facilitan ampliamente la movilización del ahorro. Esta función también complementa los esfuerzos gubernamentales para promover instituciones y políticas financieras sólidas, aliviar las restricciones financieras e intensificar la inclusión financiera de hogares y empresas.</w:t>
      </w:r>
    </w:p>
    <w:p w14:paraId="4D52A58C" w14:textId="77777777" w:rsidR="00DB215C" w:rsidRPr="00DB215C" w:rsidRDefault="00DB215C" w:rsidP="00DB215C">
      <w:pPr>
        <w:spacing w:after="360"/>
        <w:ind w:right="-159"/>
        <w:jc w:val="both"/>
        <w:rPr>
          <w:rFonts w:eastAsia="Calibri"/>
          <w:b/>
          <w:sz w:val="26"/>
          <w:szCs w:val="26"/>
          <w:lang w:val="es-ES" w:eastAsia="en-US"/>
        </w:rPr>
      </w:pPr>
      <w:r w:rsidRPr="00DB215C">
        <w:rPr>
          <w:rFonts w:eastAsia="Calibri"/>
          <w:b/>
          <w:sz w:val="26"/>
          <w:szCs w:val="26"/>
          <w:lang w:val="es-ES" w:eastAsia="en-US"/>
        </w:rPr>
        <w:lastRenderedPageBreak/>
        <w:t>Los esfuerzos para movilizar los recursos internos deben situarse en el marco de un entorno externo favorable que afronte las asimetrías existentes en las finanzas internacionales y el comercio mundial</w:t>
      </w:r>
    </w:p>
    <w:p w14:paraId="76A5CC97" w14:textId="77777777" w:rsidR="00DB215C" w:rsidRP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t>La movilización de los recursos internos deberá ser un pilar clave de la arquitectura del financiamiento para el desarrollo después de 2015. Sin embargo, esto no significa que la responsabilidad del proceso de desarrollo deba recaer únicamente en las políticas nacionales. El principio aplicable es, más bien, el de responsabilidades comunes, pero diferenciadas: los países deben asumir una mayor responsabilidad con respecto a su propio desarrollo y tomar el timón de su propia agenda para el desarrollo.</w:t>
      </w:r>
    </w:p>
    <w:p w14:paraId="51A6A9CD" w14:textId="77777777" w:rsidR="00DB215C" w:rsidRP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t>Mantener niveles adecuados de movilización de los recursos internos es una condición necesaria, pero no suficiente para lograr que la arquitectura del financiamiento para el desarrollo pueda satisfacer eficazmente las necesidades de desarrollo de los países. Las estrategias de movilización de los recursos internos deben integrarse en el contexto más amplio de un entorno externo favorable.</w:t>
      </w:r>
    </w:p>
    <w:p w14:paraId="01CCFB83" w14:textId="77777777" w:rsidR="00DB215C" w:rsidRP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t>En primer lugar, un entorno externo favorable debería afrontar y reducir las asimetrías existentes en el sistema financiero internacional y en el comercio mundial. El sistema financiero internacional es asimétrico en cuanto a sus mecanismos de gobernanza, ya que no otorga el peso y el reconocimiento adecuados a las economías en desarrollo, y en lo relativo a las diferencias en el acceso de los países al financiamiento y en los costos de ese financiamiento. Asimismo, el sistema financiero internacional no ha conseguido proporcionar estabilidad como un bien público global ni canalizar recursos hacia el sector productivo.</w:t>
      </w:r>
    </w:p>
    <w:p w14:paraId="2FD9827E" w14:textId="77777777" w:rsidR="00DB215C" w:rsidRP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t xml:space="preserve">El sistema de comercio internacional también muestra asimetrías que se reflejan en la falta de coherencia entre la importancia de las economías en desarrollo y su grado de participación en el comercio mundial o sus oportunidades de acceder a los mercados. También existen asimetrías en lo relativo a las limitadas oportunidades que tienen las </w:t>
      </w:r>
      <w:r w:rsidRPr="00DB215C">
        <w:rPr>
          <w:rFonts w:eastAsia="Calibri"/>
          <w:sz w:val="26"/>
          <w:szCs w:val="26"/>
          <w:lang w:val="es-ES" w:eastAsia="en-US"/>
        </w:rPr>
        <w:lastRenderedPageBreak/>
        <w:t>economías en desarrollo de captar y disfrutar de los beneficios de las transferencias de tecnología y de la adquisición de conocimientos.</w:t>
      </w:r>
    </w:p>
    <w:p w14:paraId="466FF491" w14:textId="77777777" w:rsidR="00DB215C" w:rsidRP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t>En segundo lugar, un entorno externo favorable debería reconocer que las condiciones económicas mundiales no afectan de la misma forma a todos los países, especialmente a los países de renta media.</w:t>
      </w:r>
    </w:p>
    <w:p w14:paraId="50063285" w14:textId="77777777" w:rsidR="00DB215C" w:rsidRP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t>El distinto impacto de las fluctuaciones de la economía mundial refleja la heterogeneidad de los países de renta media, que se plasma, entre otras cosas, en sus diversos tamaños y niveles de desarrollo económico, la composición de su estructura productiva, sus condiciones financieras internas y sus diferentes grados de integración en los mercados mundiales financieros y de bienes y servicios.</w:t>
      </w:r>
    </w:p>
    <w:p w14:paraId="18CCFBF9" w14:textId="77777777" w:rsidR="00DB215C" w:rsidRPr="00DB215C" w:rsidRDefault="00DB215C" w:rsidP="00DB215C">
      <w:pPr>
        <w:spacing w:after="360" w:line="360" w:lineRule="auto"/>
        <w:ind w:right="-159"/>
        <w:jc w:val="both"/>
        <w:rPr>
          <w:rFonts w:eastAsia="Calibri"/>
          <w:b/>
          <w:sz w:val="26"/>
          <w:szCs w:val="26"/>
          <w:lang w:val="es-ES" w:eastAsia="en-US"/>
        </w:rPr>
      </w:pPr>
      <w:r w:rsidRPr="00DB215C">
        <w:rPr>
          <w:rFonts w:eastAsia="Calibri"/>
          <w:b/>
          <w:sz w:val="26"/>
          <w:szCs w:val="26"/>
          <w:lang w:val="es-ES" w:eastAsia="en-US"/>
        </w:rPr>
        <w:t>Conclusiones</w:t>
      </w:r>
    </w:p>
    <w:p w14:paraId="0AEB4944" w14:textId="77777777" w:rsidR="00DB215C" w:rsidRP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t>La agenda para el desarrollo después de 2015 representa una completa transformación de la forma en que los países consideran y entienden el desarrollo sostenible. Para alcanzar su amplia lista de objetivos de desarrollo, la arquitectura del financiamiento para el desarrollo deberá movilizar una gran cantidad de recursos y cambiar la manera en que se obtienen, organizan y asignan esos recursos.</w:t>
      </w:r>
    </w:p>
    <w:p w14:paraId="7F6665F4" w14:textId="5DFEEB6E" w:rsidR="00DB215C" w:rsidRP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t>Dada la creciente importancia de los flujos privados, un reto clave con respecto a la arquitectura financiera para el desarrollo después de 2015 consiste en encontrar la forma de movilizar y canalizar esos recursos privados hacia los objetivos de desarrollo. Este reto es especialmente relevante en América Latina y el Caribe, ya que los flujos privados —incluidas las remesas y la IED— constituyen el grueso del financiamiento externo de la región. Por lo tanto, los recursos privados y públicos deben combinarse para lograr el apalancamiento necesario para maximizar el impacto del financiamiento para el desarrollo. Sin embargo, los flujos públicos y privados tienen una lógica interna diferente y responden a incentivos distintos.</w:t>
      </w:r>
    </w:p>
    <w:p w14:paraId="166240F2" w14:textId="77777777" w:rsidR="00DB215C" w:rsidRP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lastRenderedPageBreak/>
        <w:t>Los flujos de capital privado están motivados principalmente por el beneficio económico, más que por preocupaciones relativas al desarrollo. Esto puede ocasionar que la inversión sea insuficiente en áreas cruciales para el desarrollo sostenible, si el rendimiento esperado —ajustado por el correspondiente riesgo— es insatisfactorio en comparación con oportunidades alternativas de inversión. En este contexto, el sector público desempeña un papel cada vez más relevante en la inclusión de criterios de rentabilidad social en el análisis costo-beneficio. Puede proporcionar financiamiento público para sectores que no atraen suficientes flujos privados y crear un entorno favorable y los incentivos adecuados para que el capital privado se dirija hacia los objetivos de desarrollo.</w:t>
      </w:r>
    </w:p>
    <w:p w14:paraId="52624EC4" w14:textId="77777777" w:rsidR="00DB215C" w:rsidRP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t>El reto de movilizar un volumen adecuado de fondos públicos y privados combinados resulta más complejo por los cambios significativos que ha experimentado el mapa del financiamiento para el desarrollo en las últimas décadas en cuanto a sus actores, fondos, mecanismos e instrumentos.</w:t>
      </w:r>
    </w:p>
    <w:p w14:paraId="2074A0A7" w14:textId="77777777" w:rsidR="00DB215C" w:rsidRP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t>En el caso de los países de renta media, como los de América Latina y el Caribe, estos cambios pueden resumirse en un declive relativo de las formas más tradicionales de financiamiento para el desarrollo, como la Asistencia Oficial para el Desarrollo (AOD), y la emergencia de nuevos actores, mecanismos y fuentes de financiamiento. En esta última categoría se encuentran los nuevos donantes que no son países miembros del Comité de Asistencia para el Desarrollo, los mecanismos de financiamiento innovadores y los fondos para el clima, entre otros. Todos ellos desempeñan actualmente un papel más potente y visible en el financiamiento para el desarrollo.</w:t>
      </w:r>
    </w:p>
    <w:p w14:paraId="3543EC47" w14:textId="77777777" w:rsidR="00DB215C" w:rsidRP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t xml:space="preserve">Si bien estos cambios del panorama financiero han ampliado la gama de opciones de financiamiento para el desarrollo, también han incrementado la complejidad de coordinar y combinar la variedad de actores, fondos, mecanismos e instrumentos dentro de una arquitectura coherente de financiamiento para el desarrollo. Esta complejidad </w:t>
      </w:r>
      <w:r w:rsidRPr="00DB215C">
        <w:rPr>
          <w:rFonts w:eastAsia="Calibri"/>
          <w:sz w:val="26"/>
          <w:szCs w:val="26"/>
          <w:lang w:val="es-ES" w:eastAsia="en-US"/>
        </w:rPr>
        <w:lastRenderedPageBreak/>
        <w:t>resulta particularmente significativa en el caso de los mecanismos de financiamiento innovadores y los fondos para el clima, que precisan una mayor claridad en lo referente a los objetivos de desarrollo, las fuentes de financiamiento y las condiciones de uso y acceso.</w:t>
      </w:r>
    </w:p>
    <w:p w14:paraId="09CC2FD2" w14:textId="77777777" w:rsidR="00DB215C" w:rsidRP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t>Por otro lado, con objeto de lograr un financiamiento eficaz y eficiente para acelerar el progreso hacia un desarrollo sostenible en todos los niveles de ingresos, la relativa disminución de la importancia de los flujos financieros para el desarrollo tradicionales, como la AOD, no debería distraer la atención de la necesidad de evitar que algunos países queden excluidos de los flujos de financiamiento para el desarrollo por criterios basados únicamente en el nivel de renta per cápita.</w:t>
      </w:r>
    </w:p>
    <w:p w14:paraId="79533E76" w14:textId="77777777" w:rsidR="00DB215C" w:rsidRP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t>Finalmente, establecer el mapa de la arquitectura del financiamiento para el desarrollo no resulta suficiente para conseguir que los países adopten un enfoque estratégico del financiamiento para el desarrollo. La actual multiplicidad de opciones financieras no equivale a un acceso efectivo.</w:t>
      </w:r>
    </w:p>
    <w:p w14:paraId="09903765" w14:textId="77777777" w:rsidR="00DB215C" w:rsidRP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t>La capacidad de acceder de forma efectiva al financiamiento privado en los distintos países de América Latina y el Caribe varía ampliamente. El financiamiento privado está sujeto a múltiples requisitos de acceso y condicionalidades, que dificultan la adopción por parte de los países de la región de un enfoque estratégico para financiar sus prioridades de desarrollo y evaluar el impacto y la eficacia de las fuentes de financiamiento para el desarrollo. Además, los proveedores de financiamiento privado no exigen las mismas condiciones ni imponen los mismos criterios de acceso y elegibilidad que las fuentes de financiamiento público.</w:t>
      </w:r>
    </w:p>
    <w:p w14:paraId="7CA9E159" w14:textId="77777777" w:rsidR="00DB215C" w:rsidRP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t xml:space="preserve">La movilización de los recursos internos deberá ser un pilar clave de la arquitectura del financiamiento para el desarrollo después de 2015. Sin embargo, esto no significa que la responsabilidad del proceso de desarrollo deba recaer únicamente en las políticas nacionales. El principio aplicable es, más bien, el de responsabilidades comunes, pero </w:t>
      </w:r>
      <w:r w:rsidRPr="00DB215C">
        <w:rPr>
          <w:rFonts w:eastAsia="Calibri"/>
          <w:sz w:val="26"/>
          <w:szCs w:val="26"/>
          <w:lang w:val="es-ES" w:eastAsia="en-US"/>
        </w:rPr>
        <w:lastRenderedPageBreak/>
        <w:t>diferenciadas: los países deben asumir una mayor responsabilidad con respecto a su propio desarrollo y tomar el timón de su propia agenda para el desarrollo.</w:t>
      </w:r>
    </w:p>
    <w:p w14:paraId="1C37145C" w14:textId="77777777" w:rsidR="00DB215C" w:rsidRP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t>Al mismo tiempo, las estrategias de movilización de los recursos internos en una región tan heterogénea como América Latina y el Caribe han de tener en cuenta que los países tienen diferentes capacidades para movilizar recursos. En algunos países de la región, como los pequeños Estados insulares en desarrollo, el tamaño de la economía es una restricción significativa para la movilización de los recursos internos.</w:t>
      </w:r>
    </w:p>
    <w:p w14:paraId="0814DF2C" w14:textId="77777777" w:rsidR="00DB215C" w:rsidRP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t>Finalmente, mantener niveles adecuados de movilización de los recursos internos es una condición necesaria, pero no suficiente para lograr que la arquitectura del financiamiento para el desarrollo pueda satisfacer eficazmente las necesidades de desarrollo de los países. Las estrategias de movilización de los recursos internos deben integrarse en el contexto más amplio de un entorno externo favorable. Esto requiere un cambio profundo de los medios de implementación, incluidos el sistema de comercio internacional y las condiciones que regulan la transferencia de conocimientos y tecnología de los países desarrollados a los países en desarrollo.</w:t>
      </w:r>
    </w:p>
    <w:p w14:paraId="23C254FB" w14:textId="77777777" w:rsidR="00DB215C" w:rsidRPr="00DB215C" w:rsidRDefault="00DB215C" w:rsidP="00DB215C">
      <w:pPr>
        <w:spacing w:after="360" w:line="360" w:lineRule="auto"/>
        <w:ind w:right="-159"/>
        <w:jc w:val="both"/>
        <w:rPr>
          <w:rFonts w:eastAsia="Calibri"/>
          <w:sz w:val="26"/>
          <w:szCs w:val="26"/>
          <w:lang w:val="es-ES" w:eastAsia="en-US"/>
        </w:rPr>
      </w:pPr>
      <w:r w:rsidRPr="00DB215C">
        <w:rPr>
          <w:rFonts w:eastAsia="Calibri"/>
          <w:sz w:val="26"/>
          <w:szCs w:val="26"/>
          <w:lang w:val="es-ES" w:eastAsia="en-US"/>
        </w:rPr>
        <w:t>Este entorno externo debe reflejar la importancia de las economías en desarrollo en su estructura de gobernanza, evitar la discriminación en el acceso al financiamiento, garantizar la estabilidad como bien público global, mejorar la participación en el comercio internacional de los países en desarrollo —incluidos los países de renta media— y proporcionar oportunidades de cosechar los beneficios de la adquisición y transferencia de tecnología y conocimientos.</w:t>
      </w:r>
    </w:p>
    <w:p w14:paraId="7142EB49" w14:textId="77777777" w:rsidR="00DB215C" w:rsidRPr="00DB215C" w:rsidRDefault="00DB215C" w:rsidP="00DB215C">
      <w:pPr>
        <w:ind w:right="-159"/>
        <w:jc w:val="both"/>
        <w:rPr>
          <w:rFonts w:eastAsia="Calibri"/>
          <w:b/>
          <w:sz w:val="20"/>
          <w:szCs w:val="20"/>
          <w:lang w:eastAsia="en-US"/>
        </w:rPr>
      </w:pPr>
      <w:r w:rsidRPr="00DB215C">
        <w:rPr>
          <w:rFonts w:eastAsia="Calibri"/>
          <w:b/>
          <w:sz w:val="20"/>
          <w:szCs w:val="20"/>
          <w:lang w:eastAsia="en-US"/>
        </w:rPr>
        <w:t>Fuente de información:</w:t>
      </w:r>
    </w:p>
    <w:p w14:paraId="2F494203" w14:textId="77777777" w:rsidR="00DB215C" w:rsidRPr="00B7463A" w:rsidRDefault="0093224F" w:rsidP="00DB215C">
      <w:pPr>
        <w:ind w:right="-159"/>
        <w:jc w:val="both"/>
        <w:rPr>
          <w:rFonts w:eastAsia="Calibri"/>
          <w:color w:val="0000FF"/>
          <w:sz w:val="20"/>
          <w:szCs w:val="20"/>
          <w:lang w:eastAsia="en-US"/>
        </w:rPr>
      </w:pPr>
      <w:hyperlink r:id="rId369" w:history="1">
        <w:r w:rsidR="00DB215C" w:rsidRPr="00B7463A">
          <w:rPr>
            <w:rFonts w:eastAsia="Calibri"/>
            <w:color w:val="0000FF"/>
            <w:sz w:val="20"/>
            <w:szCs w:val="20"/>
            <w:u w:val="single"/>
            <w:lang w:eastAsia="en-US"/>
          </w:rPr>
          <w:t>http://repositorio.cepal.org/bitstream/handle/11362/37767/S1500127_es.pdf?sequence=1</w:t>
        </w:r>
      </w:hyperlink>
    </w:p>
    <w:p w14:paraId="3A6C283A" w14:textId="77777777" w:rsidR="00DB215C" w:rsidRDefault="00DB215C" w:rsidP="00A84901">
      <w:pPr>
        <w:spacing w:after="360" w:line="360" w:lineRule="auto"/>
        <w:ind w:right="-159"/>
        <w:jc w:val="both"/>
        <w:rPr>
          <w:sz w:val="26"/>
          <w:szCs w:val="26"/>
        </w:rPr>
      </w:pPr>
    </w:p>
    <w:p w14:paraId="6250171B" w14:textId="77777777" w:rsidR="00DB215C" w:rsidRDefault="00DB215C" w:rsidP="00A84901">
      <w:pPr>
        <w:spacing w:after="360" w:line="360" w:lineRule="auto"/>
        <w:ind w:right="-159"/>
        <w:jc w:val="both"/>
        <w:rPr>
          <w:sz w:val="26"/>
          <w:szCs w:val="26"/>
        </w:rPr>
      </w:pPr>
    </w:p>
    <w:p w14:paraId="514520EA" w14:textId="77777777" w:rsidR="00F96C66" w:rsidRPr="00F96C66" w:rsidRDefault="00F96C66" w:rsidP="00F96C66">
      <w:pPr>
        <w:ind w:right="-159"/>
        <w:jc w:val="both"/>
        <w:rPr>
          <w:rFonts w:eastAsia="Calibri"/>
          <w:b/>
          <w:sz w:val="26"/>
          <w:szCs w:val="26"/>
          <w:lang w:eastAsia="en-US"/>
        </w:rPr>
      </w:pPr>
      <w:r w:rsidRPr="00F96C66">
        <w:rPr>
          <w:rFonts w:eastAsia="Calibri"/>
          <w:b/>
          <w:sz w:val="26"/>
          <w:szCs w:val="26"/>
          <w:lang w:eastAsia="en-US"/>
        </w:rPr>
        <w:lastRenderedPageBreak/>
        <w:t>Un gran avance en el fortalecimiento</w:t>
      </w:r>
    </w:p>
    <w:p w14:paraId="640C91BD" w14:textId="77777777" w:rsidR="00F96C66" w:rsidRPr="00F96C66" w:rsidRDefault="00F96C66" w:rsidP="00F96C66">
      <w:pPr>
        <w:spacing w:after="360" w:line="360" w:lineRule="auto"/>
        <w:ind w:right="-159"/>
        <w:jc w:val="both"/>
        <w:rPr>
          <w:rFonts w:eastAsia="Calibri"/>
          <w:b/>
          <w:sz w:val="26"/>
          <w:szCs w:val="26"/>
          <w:lang w:eastAsia="en-US"/>
        </w:rPr>
      </w:pPr>
      <w:r w:rsidRPr="00F96C66">
        <w:rPr>
          <w:rFonts w:eastAsia="Calibri"/>
          <w:b/>
          <w:sz w:val="26"/>
          <w:szCs w:val="26"/>
          <w:lang w:eastAsia="en-US"/>
        </w:rPr>
        <w:t>de  la  inclusión  financiera  (FMI)</w:t>
      </w:r>
    </w:p>
    <w:p w14:paraId="513FEC9B" w14:textId="77777777" w:rsidR="00F96C66" w:rsidRPr="00F96C66" w:rsidRDefault="00F96C66" w:rsidP="00F96C66">
      <w:pPr>
        <w:spacing w:after="360" w:line="360" w:lineRule="auto"/>
        <w:ind w:right="-159"/>
        <w:jc w:val="both"/>
        <w:rPr>
          <w:rFonts w:eastAsia="Calibri"/>
          <w:sz w:val="26"/>
          <w:szCs w:val="26"/>
          <w:lang w:eastAsia="en-US"/>
        </w:rPr>
      </w:pPr>
      <w:r w:rsidRPr="00F96C66">
        <w:rPr>
          <w:rFonts w:eastAsia="Calibri"/>
          <w:sz w:val="26"/>
          <w:szCs w:val="26"/>
          <w:lang w:eastAsia="en-US"/>
        </w:rPr>
        <w:t>El 19 de Febrero de 2015, el Fondo Monetario Internacional (FMI) publicó la nota “Un gran avance en el fortalecimiento de la inclusión financiera”. A continuación se presenta la información.</w:t>
      </w:r>
    </w:p>
    <w:p w14:paraId="1C64D432" w14:textId="77777777" w:rsidR="00F96C66" w:rsidRPr="00F96C66" w:rsidRDefault="00F96C66" w:rsidP="00F96C66">
      <w:pPr>
        <w:spacing w:after="360" w:line="360" w:lineRule="auto"/>
        <w:ind w:right="-159"/>
        <w:jc w:val="both"/>
        <w:rPr>
          <w:rFonts w:eastAsia="Calibri"/>
          <w:sz w:val="26"/>
          <w:szCs w:val="26"/>
          <w:lang w:eastAsia="en-US"/>
        </w:rPr>
      </w:pPr>
      <w:r w:rsidRPr="00F96C66">
        <w:rPr>
          <w:rFonts w:eastAsia="Calibri"/>
          <w:sz w:val="26"/>
          <w:szCs w:val="26"/>
          <w:lang w:eastAsia="en-US"/>
        </w:rPr>
        <w:t>Los economistas están prestando cada vez más atención al vínculo entre la inclusión financiera —es decir, un acceso más amplio a servicios financieros más generalizados— y el desarrollo económico. En un nuevo estudio, examinamos más de cerca el impacto preciso de la inclusión financiera en la economía de un país y las políticas que mejor la promueven.</w:t>
      </w:r>
    </w:p>
    <w:p w14:paraId="632D4C7E" w14:textId="77777777" w:rsidR="00F96C66" w:rsidRPr="00F96C66" w:rsidRDefault="00F96C66" w:rsidP="00F96C66">
      <w:pPr>
        <w:spacing w:after="360" w:line="360" w:lineRule="auto"/>
        <w:ind w:right="-159"/>
        <w:jc w:val="both"/>
        <w:rPr>
          <w:rFonts w:eastAsia="Calibri"/>
          <w:sz w:val="26"/>
          <w:szCs w:val="26"/>
          <w:lang w:eastAsia="en-US"/>
        </w:rPr>
      </w:pPr>
      <w:r w:rsidRPr="00F96C66">
        <w:rPr>
          <w:rFonts w:eastAsia="Calibri"/>
          <w:sz w:val="26"/>
          <w:szCs w:val="26"/>
          <w:lang w:eastAsia="en-US"/>
        </w:rPr>
        <w:t>El nuevo marco presentado en nuestro estudio nos permite identificar obstáculos a la inclusión financiera y comprobar qué efecto tendría su eliminación en el producto de un país y el nivel de desigualdad imperante. La razón es que cuanto mejor sepamos qué impide la inclusión financiera, mejor podremos formular políticas para estimularla.</w:t>
      </w:r>
    </w:p>
    <w:p w14:paraId="5BDC5ECE" w14:textId="77777777" w:rsidR="00F96C66" w:rsidRPr="00F96C66" w:rsidRDefault="00F96C66" w:rsidP="00F96C66">
      <w:pPr>
        <w:spacing w:after="360" w:line="360" w:lineRule="auto"/>
        <w:ind w:right="-159"/>
        <w:jc w:val="both"/>
        <w:rPr>
          <w:rFonts w:eastAsia="Calibri"/>
          <w:sz w:val="26"/>
          <w:szCs w:val="26"/>
          <w:lang w:eastAsia="en-US"/>
        </w:rPr>
      </w:pPr>
      <w:r w:rsidRPr="00F96C66">
        <w:rPr>
          <w:rFonts w:eastAsia="Calibri"/>
          <w:sz w:val="26"/>
          <w:szCs w:val="26"/>
          <w:lang w:eastAsia="en-US"/>
        </w:rPr>
        <w:t>Una de nuestras determinaciones es que la falta de inclusión financiera contribuye a una persistente desigualdad del ingreso y a una desaceleración del crecimiento.</w:t>
      </w:r>
    </w:p>
    <w:p w14:paraId="302DE74B" w14:textId="77777777" w:rsidR="00F96C66" w:rsidRPr="00F96C66" w:rsidRDefault="00F96C66" w:rsidP="00F96C66">
      <w:pPr>
        <w:spacing w:after="360" w:line="360" w:lineRule="auto"/>
        <w:ind w:right="-159"/>
        <w:jc w:val="both"/>
        <w:rPr>
          <w:rFonts w:eastAsia="Calibri"/>
          <w:b/>
          <w:sz w:val="26"/>
          <w:szCs w:val="26"/>
          <w:lang w:eastAsia="en-US"/>
        </w:rPr>
      </w:pPr>
      <w:r w:rsidRPr="00F96C66">
        <w:rPr>
          <w:rFonts w:eastAsia="Calibri"/>
          <w:b/>
          <w:sz w:val="26"/>
          <w:szCs w:val="26"/>
          <w:lang w:eastAsia="en-US"/>
        </w:rPr>
        <w:t>Por qué es importante la inclusión financiera</w:t>
      </w:r>
    </w:p>
    <w:p w14:paraId="6C0EF5A5" w14:textId="77777777" w:rsidR="00F96C66" w:rsidRPr="00F96C66" w:rsidRDefault="00F96C66" w:rsidP="00F96C66">
      <w:pPr>
        <w:spacing w:after="360" w:line="360" w:lineRule="auto"/>
        <w:ind w:right="-159"/>
        <w:jc w:val="both"/>
        <w:rPr>
          <w:rFonts w:eastAsia="Calibri"/>
          <w:sz w:val="26"/>
          <w:szCs w:val="26"/>
          <w:lang w:eastAsia="en-US"/>
        </w:rPr>
      </w:pPr>
      <w:r w:rsidRPr="00F96C66">
        <w:rPr>
          <w:rFonts w:eastAsia="Calibri"/>
          <w:sz w:val="26"/>
          <w:szCs w:val="26"/>
          <w:lang w:eastAsia="en-US"/>
        </w:rPr>
        <w:t xml:space="preserve">Existen, a nivel mundial, grandes lagunas en el acceso al financiamiento. Un poco más de la mitad (58%) de las empresas de los países en desarrollo y apenas una quinta parte de las empresas de los países de bajo ingreso tienen acceso al crédito bancario (ver la gráfica siguiente). Las empresas —sobre todo las pequeñas y medianas— siguen enfrentando obstáculos que les impiden un mayor acceso al financiamiento, como los costos elevados, las distancias que recorrer y los trámites engorrosos. Las limitaciones </w:t>
      </w:r>
      <w:r w:rsidRPr="00F96C66">
        <w:rPr>
          <w:rFonts w:eastAsia="Calibri"/>
          <w:sz w:val="26"/>
          <w:szCs w:val="26"/>
          <w:lang w:eastAsia="en-US"/>
        </w:rPr>
        <w:lastRenderedPageBreak/>
        <w:t>del crédito, las elevadas garantías exigidas y las altas tasas de interés también impiden su crecimiento.</w:t>
      </w:r>
    </w:p>
    <w:tbl>
      <w:tblPr>
        <w:tblW w:w="0" w:type="auto"/>
        <w:tblBorders>
          <w:insideV w:val="single" w:sz="4" w:space="0" w:color="auto"/>
        </w:tblBorders>
        <w:tblLook w:val="04A0" w:firstRow="1" w:lastRow="0" w:firstColumn="1" w:lastColumn="0" w:noHBand="0" w:noVBand="1"/>
      </w:tblPr>
      <w:tblGrid>
        <w:gridCol w:w="8840"/>
      </w:tblGrid>
      <w:tr w:rsidR="00F96C66" w:rsidRPr="00F96C66" w14:paraId="3CE8C44C" w14:textId="77777777" w:rsidTr="00DA1492">
        <w:tc>
          <w:tcPr>
            <w:tcW w:w="8828" w:type="dxa"/>
          </w:tcPr>
          <w:p w14:paraId="14F2AD23" w14:textId="77777777" w:rsidR="00F96C66" w:rsidRPr="00F96C66" w:rsidRDefault="00F96C66" w:rsidP="00F96C66">
            <w:pPr>
              <w:jc w:val="center"/>
              <w:rPr>
                <w:rFonts w:eastAsia="Calibri"/>
                <w:b/>
                <w:sz w:val="22"/>
                <w:szCs w:val="22"/>
                <w:lang w:eastAsia="en-US"/>
              </w:rPr>
            </w:pPr>
            <w:r w:rsidRPr="00F96C66">
              <w:rPr>
                <w:rFonts w:eastAsia="Calibri"/>
                <w:b/>
                <w:sz w:val="22"/>
                <w:szCs w:val="22"/>
                <w:lang w:eastAsia="en-US"/>
              </w:rPr>
              <w:t>INCLUSIÓN FINANCIERA EN EL MUNDO</w:t>
            </w:r>
          </w:p>
        </w:tc>
      </w:tr>
      <w:tr w:rsidR="00F96C66" w:rsidRPr="00F96C66" w14:paraId="73E03567" w14:textId="77777777" w:rsidTr="00DA1492">
        <w:tc>
          <w:tcPr>
            <w:tcW w:w="8828" w:type="dxa"/>
          </w:tcPr>
          <w:p w14:paraId="48BF745F" w14:textId="77777777" w:rsidR="00F96C66" w:rsidRPr="00F96C66" w:rsidRDefault="00F96C66" w:rsidP="00F96C66">
            <w:pPr>
              <w:jc w:val="both"/>
              <w:rPr>
                <w:rFonts w:eastAsia="Calibri"/>
                <w:sz w:val="20"/>
                <w:szCs w:val="20"/>
                <w:lang w:eastAsia="en-US"/>
              </w:rPr>
            </w:pPr>
            <w:r w:rsidRPr="00F96C66">
              <w:rPr>
                <w:rFonts w:eastAsia="Calibri"/>
                <w:noProof/>
                <w:sz w:val="20"/>
                <w:szCs w:val="20"/>
                <w:lang w:eastAsia="es-MX"/>
              </w:rPr>
              <w:drawing>
                <wp:inline distT="0" distB="0" distL="0" distR="0" wp14:anchorId="51C88F06" wp14:editId="1623BEEF">
                  <wp:extent cx="5500426" cy="1908000"/>
                  <wp:effectExtent l="0" t="0" r="508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70" cstate="print">
                            <a:extLst>
                              <a:ext uri="{28A0092B-C50C-407E-A947-70E740481C1C}">
                                <a14:useLocalDpi xmlns:a14="http://schemas.microsoft.com/office/drawing/2010/main" val="0"/>
                              </a:ext>
                            </a:extLst>
                          </a:blip>
                          <a:srcRect l="792" r="1153"/>
                          <a:stretch/>
                        </pic:blipFill>
                        <pic:spPr bwMode="auto">
                          <a:xfrm>
                            <a:off x="0" y="0"/>
                            <a:ext cx="5500426" cy="1908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96C66" w:rsidRPr="00F96C66" w14:paraId="38F582C1" w14:textId="77777777" w:rsidTr="00DA1492">
        <w:tc>
          <w:tcPr>
            <w:tcW w:w="8828" w:type="dxa"/>
          </w:tcPr>
          <w:p w14:paraId="7B6DA8E6" w14:textId="77777777" w:rsidR="00F96C66" w:rsidRPr="00F96C66" w:rsidRDefault="00F96C66" w:rsidP="00F96C66">
            <w:pPr>
              <w:ind w:left="907" w:hanging="907"/>
              <w:jc w:val="both"/>
              <w:rPr>
                <w:rFonts w:eastAsia="Calibri"/>
                <w:sz w:val="20"/>
                <w:szCs w:val="20"/>
                <w:lang w:eastAsia="en-US"/>
              </w:rPr>
            </w:pPr>
            <w:r w:rsidRPr="00F96C66">
              <w:rPr>
                <w:rFonts w:eastAsia="Calibri"/>
                <w:sz w:val="20"/>
                <w:szCs w:val="20"/>
                <w:lang w:eastAsia="en-US"/>
              </w:rPr>
              <w:t xml:space="preserve">FUENTE: </w:t>
            </w:r>
            <w:r w:rsidRPr="00F96C66">
              <w:rPr>
                <w:rFonts w:eastAsia="Calibri"/>
                <w:i/>
                <w:sz w:val="20"/>
                <w:szCs w:val="20"/>
                <w:lang w:eastAsia="en-US"/>
              </w:rPr>
              <w:t>Enterprise Surveys</w:t>
            </w:r>
            <w:r w:rsidRPr="00F96C66">
              <w:rPr>
                <w:rFonts w:eastAsia="Calibri"/>
                <w:sz w:val="20"/>
                <w:szCs w:val="20"/>
                <w:lang w:eastAsia="en-US"/>
              </w:rPr>
              <w:t>, Banco Mundial.</w:t>
            </w:r>
          </w:p>
        </w:tc>
      </w:tr>
    </w:tbl>
    <w:p w14:paraId="3DA6020D" w14:textId="77777777" w:rsidR="00F96C66" w:rsidRPr="00F96C66" w:rsidRDefault="00F96C66" w:rsidP="00F96C66">
      <w:pPr>
        <w:spacing w:after="360" w:line="360" w:lineRule="auto"/>
        <w:ind w:right="-159"/>
        <w:jc w:val="both"/>
        <w:rPr>
          <w:rFonts w:eastAsia="Calibri"/>
          <w:sz w:val="26"/>
          <w:szCs w:val="26"/>
          <w:lang w:eastAsia="en-US"/>
        </w:rPr>
      </w:pPr>
    </w:p>
    <w:p w14:paraId="24A981B1" w14:textId="77777777" w:rsidR="00F96C66" w:rsidRPr="00F96C66" w:rsidRDefault="00F96C66" w:rsidP="00F96C66">
      <w:pPr>
        <w:spacing w:after="360" w:line="360" w:lineRule="auto"/>
        <w:ind w:right="-159"/>
        <w:jc w:val="both"/>
        <w:rPr>
          <w:rFonts w:eastAsia="Calibri"/>
          <w:sz w:val="26"/>
          <w:szCs w:val="26"/>
          <w:lang w:eastAsia="en-US"/>
        </w:rPr>
      </w:pPr>
      <w:r w:rsidRPr="00F96C66">
        <w:rPr>
          <w:rFonts w:eastAsia="Calibri"/>
          <w:sz w:val="26"/>
          <w:szCs w:val="26"/>
          <w:lang w:eastAsia="en-US"/>
        </w:rPr>
        <w:t xml:space="preserve">Como detalla nuestro estudio reciente (así como una monografía del </w:t>
      </w:r>
      <w:r w:rsidRPr="00F96C66">
        <w:rPr>
          <w:rFonts w:eastAsia="Calibri"/>
          <w:i/>
          <w:sz w:val="26"/>
          <w:szCs w:val="26"/>
          <w:lang w:eastAsia="en-US"/>
        </w:rPr>
        <w:t>National Bureau of Economic Research</w:t>
      </w:r>
      <w:r w:rsidRPr="00F96C66">
        <w:rPr>
          <w:rFonts w:eastAsia="Calibri"/>
          <w:sz w:val="26"/>
          <w:szCs w:val="26"/>
          <w:lang w:eastAsia="en-US"/>
        </w:rPr>
        <w:t>), esto significa que los particulares deben echar mano a sus limitados ahorros para establecer un emprendimiento. Una vez establecidas, estas incipientes empresas suelen depender del autofinanciamiento para poder invertir. Esto, a su vez, limita el tamaño global de la empresa, su capacidad para innovar y su productividad.</w:t>
      </w:r>
    </w:p>
    <w:p w14:paraId="15E13C65" w14:textId="77777777" w:rsidR="00F96C66" w:rsidRPr="00F96C66" w:rsidRDefault="00F96C66" w:rsidP="00F96C66">
      <w:pPr>
        <w:spacing w:after="360" w:line="360" w:lineRule="auto"/>
        <w:ind w:right="-159"/>
        <w:jc w:val="both"/>
        <w:rPr>
          <w:rFonts w:eastAsia="Calibri"/>
          <w:b/>
          <w:sz w:val="26"/>
          <w:szCs w:val="26"/>
          <w:lang w:eastAsia="en-US"/>
        </w:rPr>
      </w:pPr>
      <w:r w:rsidRPr="00F96C66">
        <w:rPr>
          <w:rFonts w:eastAsia="Calibri"/>
          <w:b/>
          <w:sz w:val="26"/>
          <w:szCs w:val="26"/>
          <w:lang w:eastAsia="en-US"/>
        </w:rPr>
        <w:t>Examen de casos nacionales</w:t>
      </w:r>
    </w:p>
    <w:p w14:paraId="7CD6A10A" w14:textId="7A776E28" w:rsidR="00F96C66" w:rsidRPr="00F96C66" w:rsidRDefault="00F96C66" w:rsidP="00F96C66">
      <w:pPr>
        <w:spacing w:after="360" w:line="360" w:lineRule="auto"/>
        <w:ind w:right="-159"/>
        <w:jc w:val="both"/>
        <w:rPr>
          <w:rFonts w:eastAsia="Calibri"/>
          <w:sz w:val="26"/>
          <w:szCs w:val="26"/>
          <w:lang w:eastAsia="en-US"/>
        </w:rPr>
      </w:pPr>
      <w:r w:rsidRPr="00F96C66">
        <w:rPr>
          <w:rFonts w:eastAsia="Calibri"/>
          <w:sz w:val="26"/>
          <w:szCs w:val="26"/>
          <w:lang w:eastAsia="en-US"/>
        </w:rPr>
        <w:t xml:space="preserve">Para analizar la mejor manera de ampliar la inclusión financiera, aplicamos nuestro marco a tres países de bajo ingreso: Kenya, Mozambique y Uganda. Hicimos lo propio con tres países de mercados emergentes: Egipto, Malasia y Filipinas. </w:t>
      </w:r>
      <w:r w:rsidR="000D254C">
        <w:rPr>
          <w:rFonts w:eastAsia="Calibri"/>
          <w:sz w:val="26"/>
          <w:szCs w:val="26"/>
          <w:lang w:eastAsia="en-US"/>
        </w:rPr>
        <w:t>É</w:t>
      </w:r>
      <w:r w:rsidRPr="00F96C66">
        <w:rPr>
          <w:rFonts w:eastAsia="Calibri"/>
          <w:sz w:val="26"/>
          <w:szCs w:val="26"/>
          <w:lang w:eastAsia="en-US"/>
        </w:rPr>
        <w:t>stas son nuestras conclusiones:</w:t>
      </w:r>
    </w:p>
    <w:p w14:paraId="50ECFF3B" w14:textId="77777777" w:rsidR="00F96C66" w:rsidRPr="00F96C66" w:rsidRDefault="00F96C66" w:rsidP="00F96C66">
      <w:pPr>
        <w:spacing w:after="360" w:line="360" w:lineRule="auto"/>
        <w:ind w:right="-159"/>
        <w:jc w:val="both"/>
        <w:rPr>
          <w:rFonts w:eastAsia="Calibri"/>
          <w:sz w:val="26"/>
          <w:szCs w:val="26"/>
          <w:lang w:eastAsia="en-US"/>
        </w:rPr>
      </w:pPr>
      <w:r w:rsidRPr="00F96C66">
        <w:rPr>
          <w:rFonts w:eastAsia="Calibri"/>
          <w:b/>
          <w:sz w:val="26"/>
          <w:szCs w:val="26"/>
          <w:lang w:eastAsia="en-US"/>
        </w:rPr>
        <w:t>Es crucial desenmarañar las trabas a la inclusión financiera</w:t>
      </w:r>
      <w:r w:rsidRPr="00F96C66">
        <w:rPr>
          <w:rFonts w:eastAsia="Calibri"/>
          <w:sz w:val="26"/>
          <w:szCs w:val="26"/>
          <w:lang w:eastAsia="en-US"/>
        </w:rPr>
        <w:t xml:space="preserve">. Encontramos en estos países obstáculos pertinentes a la inclusión financiera y evaluamos el impacto que tendría suavizar las restricciones al producto y la desigualdad. La conclusión es que el </w:t>
      </w:r>
      <w:r w:rsidRPr="00F96C66">
        <w:rPr>
          <w:rFonts w:eastAsia="Calibri"/>
          <w:sz w:val="26"/>
          <w:szCs w:val="26"/>
          <w:lang w:eastAsia="en-US"/>
        </w:rPr>
        <w:lastRenderedPageBreak/>
        <w:t>impacto de las políticas de inclusión financiera depende realmente de las características específicas de cada país.</w:t>
      </w:r>
    </w:p>
    <w:p w14:paraId="2F086B5A" w14:textId="77777777" w:rsidR="00F96C66" w:rsidRPr="00F96C66" w:rsidRDefault="00F96C66" w:rsidP="00F96C66">
      <w:pPr>
        <w:spacing w:after="360" w:line="360" w:lineRule="auto"/>
        <w:ind w:right="-159"/>
        <w:jc w:val="both"/>
        <w:rPr>
          <w:rFonts w:eastAsia="Calibri"/>
          <w:sz w:val="26"/>
          <w:szCs w:val="26"/>
          <w:lang w:eastAsia="en-US"/>
        </w:rPr>
      </w:pPr>
      <w:r w:rsidRPr="00F96C66">
        <w:rPr>
          <w:rFonts w:eastAsia="Calibri"/>
          <w:sz w:val="26"/>
          <w:szCs w:val="26"/>
          <w:lang w:eastAsia="en-US"/>
        </w:rPr>
        <w:t>Por ejemplo, en Uganda el producto responde mejor a la adopción de garantías menos estrictas, que son la restricción más fuerte en el país. Por el contrario, los altos costos de participación para lograr acceso a los servicios financieros son un gran obstáculo en Malasia. Por ende, comprender los factores concretos que bloquean la inclusión financiera es crítico para poder adaptar a cada país el asesoramiento en materia de políticas.</w:t>
      </w:r>
    </w:p>
    <w:p w14:paraId="710B2B44" w14:textId="77777777" w:rsidR="00F96C66" w:rsidRPr="00F96C66" w:rsidRDefault="00F96C66" w:rsidP="00F96C66">
      <w:pPr>
        <w:spacing w:after="360" w:line="360" w:lineRule="auto"/>
        <w:ind w:right="-159"/>
        <w:jc w:val="both"/>
        <w:rPr>
          <w:rFonts w:eastAsia="Calibri"/>
          <w:sz w:val="26"/>
          <w:szCs w:val="26"/>
          <w:lang w:eastAsia="en-US"/>
        </w:rPr>
      </w:pPr>
      <w:r w:rsidRPr="00F96C66">
        <w:rPr>
          <w:rFonts w:eastAsia="Calibri"/>
          <w:b/>
          <w:sz w:val="26"/>
          <w:szCs w:val="26"/>
          <w:lang w:eastAsia="en-US"/>
        </w:rPr>
        <w:t>La inclusión financiera no necesariamente produce más igualdad de inmediato.</w:t>
      </w:r>
      <w:r w:rsidRPr="00F96C66">
        <w:rPr>
          <w:rFonts w:eastAsia="Calibri"/>
          <w:sz w:val="26"/>
          <w:szCs w:val="26"/>
          <w:lang w:eastAsia="en-US"/>
        </w:rPr>
        <w:t xml:space="preserve"> Determinamos que la inclusión financiera sin duda produce un aumento del producto, aunque el impacto en la desigualdad medida en términos relativos (dispersión del ingreso) varía. Por ejemplo, el abaratamiento del acceso a los servicios financieros reduce la desigualdad del ingreso porque las empresas que estaban excluidas del sistema financiero pueden obtener crédito y los trabajadores cobran más.</w:t>
      </w:r>
    </w:p>
    <w:p w14:paraId="5487CC28" w14:textId="77777777" w:rsidR="00F96C66" w:rsidRPr="00F96C66" w:rsidRDefault="00F96C66" w:rsidP="00F96C66">
      <w:pPr>
        <w:spacing w:after="360" w:line="360" w:lineRule="auto"/>
        <w:ind w:right="-159"/>
        <w:jc w:val="both"/>
        <w:rPr>
          <w:rFonts w:eastAsia="Calibri"/>
          <w:sz w:val="26"/>
          <w:szCs w:val="26"/>
          <w:lang w:eastAsia="en-US"/>
        </w:rPr>
      </w:pPr>
      <w:r w:rsidRPr="00F96C66">
        <w:rPr>
          <w:rFonts w:eastAsia="Calibri"/>
          <w:sz w:val="26"/>
          <w:szCs w:val="26"/>
          <w:lang w:eastAsia="en-US"/>
        </w:rPr>
        <w:t>Sin embargo, suavizar los requisitos en términos de garantías al comienzo puede agravar la desigualdad. A medida que las empresas acaudaladas invierten tomando crédito con menos garantías, pueden apalancarse más e incrementar la producción y las utilidades. Pero como los bancos exigen menos garantías, la inclusión financiera termina beneficiando más a los agentes relativamente más pobres, lo cual reduce la desigualdad.</w:t>
      </w:r>
    </w:p>
    <w:p w14:paraId="78B00F7E" w14:textId="77777777" w:rsidR="00F96C66" w:rsidRPr="00F96C66" w:rsidRDefault="00F96C66" w:rsidP="00F96C66">
      <w:pPr>
        <w:spacing w:after="360" w:line="360" w:lineRule="auto"/>
        <w:ind w:right="-159"/>
        <w:jc w:val="both"/>
        <w:rPr>
          <w:rFonts w:eastAsia="Calibri"/>
          <w:sz w:val="26"/>
          <w:szCs w:val="26"/>
          <w:lang w:eastAsia="en-US"/>
        </w:rPr>
      </w:pPr>
      <w:r w:rsidRPr="00F96C66">
        <w:rPr>
          <w:rFonts w:eastAsia="Calibri"/>
          <w:b/>
          <w:sz w:val="26"/>
          <w:szCs w:val="26"/>
          <w:lang w:eastAsia="en-US"/>
        </w:rPr>
        <w:t>Las consecuencias distributivas pueden ser marcadas.</w:t>
      </w:r>
      <w:r w:rsidRPr="00F96C66">
        <w:rPr>
          <w:rFonts w:eastAsia="Calibri"/>
          <w:sz w:val="26"/>
          <w:szCs w:val="26"/>
          <w:lang w:eastAsia="en-US"/>
        </w:rPr>
        <w:t xml:space="preserve"> Las consecuencias del aumento de la inclusión financiera pueden ser desiguales. Nuestros resultados indican que la política más eficaz para ampliar el acceso al financiamiento —abaratar la participación en el sistema financiero— beneficia a los pobres, pero que las empresas acaudaladas pueden verse perjudicadas en cierta medida como resultado del aumento de las tasas de interés y los salarios.</w:t>
      </w:r>
    </w:p>
    <w:p w14:paraId="154F435F" w14:textId="77777777" w:rsidR="00F96C66" w:rsidRPr="00F96C66" w:rsidRDefault="00F96C66" w:rsidP="00F96C66">
      <w:pPr>
        <w:spacing w:after="360" w:line="360" w:lineRule="auto"/>
        <w:ind w:right="-159"/>
        <w:jc w:val="both"/>
        <w:rPr>
          <w:rFonts w:eastAsia="Calibri"/>
          <w:sz w:val="26"/>
          <w:szCs w:val="26"/>
          <w:lang w:eastAsia="en-US"/>
        </w:rPr>
      </w:pPr>
      <w:r w:rsidRPr="00F96C66">
        <w:rPr>
          <w:rFonts w:eastAsia="Calibri"/>
          <w:sz w:val="26"/>
          <w:szCs w:val="26"/>
          <w:lang w:eastAsia="en-US"/>
        </w:rPr>
        <w:lastRenderedPageBreak/>
        <w:t>Determinamos, por el contrario, que las políticas centradas en la profundidad financiera —por ejemplo, suavizar las exigencias en materia de garantías— favorecen a las empresas productivas. Pero estas políticas también pueden imponer pérdidas a las empresas menos productivas, así como a las que generan una baja demanda de crédito, independientemente de que se hayan adoptado o no políticas de inclusión financiera.</w:t>
      </w:r>
    </w:p>
    <w:p w14:paraId="1CD84AE3" w14:textId="77777777" w:rsidR="00F96C66" w:rsidRPr="00F96C66" w:rsidRDefault="00F96C66" w:rsidP="00F96C66">
      <w:pPr>
        <w:spacing w:after="360" w:line="360" w:lineRule="auto"/>
        <w:ind w:right="-159"/>
        <w:jc w:val="both"/>
        <w:rPr>
          <w:rFonts w:eastAsia="Calibri"/>
          <w:b/>
          <w:sz w:val="26"/>
          <w:szCs w:val="26"/>
          <w:lang w:eastAsia="en-US"/>
        </w:rPr>
      </w:pPr>
      <w:r w:rsidRPr="00F96C66">
        <w:rPr>
          <w:rFonts w:eastAsia="Calibri"/>
          <w:b/>
          <w:sz w:val="26"/>
          <w:szCs w:val="26"/>
          <w:lang w:eastAsia="en-US"/>
        </w:rPr>
        <w:t>Implicaciones para la formulación de políticas</w:t>
      </w:r>
    </w:p>
    <w:p w14:paraId="30BDA2DC" w14:textId="77777777" w:rsidR="00F96C66" w:rsidRPr="00F96C66" w:rsidRDefault="00F96C66" w:rsidP="00F96C66">
      <w:pPr>
        <w:spacing w:after="360" w:line="360" w:lineRule="auto"/>
        <w:ind w:right="-159"/>
        <w:jc w:val="both"/>
        <w:rPr>
          <w:rFonts w:eastAsia="Calibri"/>
          <w:sz w:val="26"/>
          <w:szCs w:val="26"/>
          <w:lang w:eastAsia="en-US"/>
        </w:rPr>
      </w:pPr>
      <w:r w:rsidRPr="00F96C66">
        <w:rPr>
          <w:rFonts w:eastAsia="Calibri"/>
          <w:sz w:val="26"/>
          <w:szCs w:val="26"/>
          <w:lang w:eastAsia="en-US"/>
        </w:rPr>
        <w:t>Como vemos en estos seis estudios, no hay una fórmula universal para estimular la inclusión financiera. Un primer paso fundamental consiste en crear marcos jurídicos, regulatorios e institucionales adecuados y un ambiente de información propicio.</w:t>
      </w:r>
    </w:p>
    <w:p w14:paraId="761D94D4" w14:textId="77777777" w:rsidR="00F96C66" w:rsidRPr="00F96C66" w:rsidRDefault="00F96C66" w:rsidP="00F96C66">
      <w:pPr>
        <w:spacing w:after="360" w:line="360" w:lineRule="auto"/>
        <w:ind w:right="-159"/>
        <w:jc w:val="both"/>
        <w:rPr>
          <w:rFonts w:eastAsia="Calibri"/>
          <w:sz w:val="26"/>
          <w:szCs w:val="26"/>
          <w:lang w:eastAsia="en-US"/>
        </w:rPr>
      </w:pPr>
      <w:r w:rsidRPr="00F96C66">
        <w:rPr>
          <w:rFonts w:eastAsia="Calibri"/>
          <w:sz w:val="26"/>
          <w:szCs w:val="26"/>
          <w:lang w:eastAsia="en-US"/>
        </w:rPr>
        <w:t>Al gobierno le toca jugar un papel central para derribar los obstáculos a la inclusión financiera, adoptando leyes que protejan los derechos de los propietarios y los acreedores y velando por su cumplimiento. También puede fijar normas de divulgación y transparencia, y promover sistemas de intercambio de información crediticia y registros de garantías. Fundamentalmente, debe educar y proteger al consumidor.</w:t>
      </w:r>
    </w:p>
    <w:p w14:paraId="67E39115" w14:textId="77777777" w:rsidR="00F96C66" w:rsidRPr="00F96C66" w:rsidRDefault="00F96C66" w:rsidP="00F96C66">
      <w:pPr>
        <w:spacing w:after="360" w:line="360" w:lineRule="auto"/>
        <w:ind w:right="-159"/>
        <w:jc w:val="both"/>
        <w:rPr>
          <w:rFonts w:eastAsia="Calibri"/>
          <w:sz w:val="26"/>
          <w:szCs w:val="26"/>
          <w:lang w:eastAsia="en-US"/>
        </w:rPr>
      </w:pPr>
      <w:r w:rsidRPr="00F96C66">
        <w:rPr>
          <w:rFonts w:eastAsia="Calibri"/>
          <w:sz w:val="26"/>
          <w:szCs w:val="26"/>
          <w:lang w:eastAsia="en-US"/>
        </w:rPr>
        <w:t>Los gobiernos también podrían estudiar políticas que eximan de engorrosos trámites, permitir las operaciones con bancos corresponsales, y permitir el pago electrónico en sus cuentas bancarias. Todas estas medidas contribuirían a expandir el acceso de las empresas al financiamiento. Adoptándolas, podrían lograr grandes avances hacia la inclusión financiera, la reducción de la desigualdad y el estímulo del crecimiento.</w:t>
      </w:r>
    </w:p>
    <w:p w14:paraId="2041CD70" w14:textId="77777777" w:rsidR="00F96C66" w:rsidRPr="00F96C66" w:rsidRDefault="00F96C66" w:rsidP="00F96C66">
      <w:pPr>
        <w:spacing w:after="360" w:line="360" w:lineRule="auto"/>
        <w:ind w:right="-159"/>
        <w:jc w:val="both"/>
        <w:rPr>
          <w:rFonts w:eastAsia="Calibri"/>
          <w:b/>
          <w:sz w:val="26"/>
          <w:szCs w:val="26"/>
          <w:lang w:eastAsia="en-US"/>
        </w:rPr>
      </w:pPr>
      <w:r w:rsidRPr="00F96C66">
        <w:rPr>
          <w:rFonts w:eastAsia="Calibri"/>
          <w:b/>
          <w:sz w:val="26"/>
          <w:szCs w:val="26"/>
          <w:lang w:eastAsia="en-US"/>
        </w:rPr>
        <w:t>El estudio continúa</w:t>
      </w:r>
    </w:p>
    <w:p w14:paraId="1773105D" w14:textId="77777777" w:rsidR="00F96C66" w:rsidRPr="00F96C66" w:rsidRDefault="00F96C66" w:rsidP="00F96C66">
      <w:pPr>
        <w:spacing w:after="360" w:line="360" w:lineRule="auto"/>
        <w:ind w:right="-159"/>
        <w:jc w:val="both"/>
        <w:rPr>
          <w:rFonts w:eastAsia="Calibri"/>
          <w:sz w:val="26"/>
          <w:szCs w:val="26"/>
          <w:lang w:eastAsia="en-US"/>
        </w:rPr>
      </w:pPr>
      <w:r w:rsidRPr="00F96C66">
        <w:rPr>
          <w:rFonts w:eastAsia="Calibri"/>
          <w:sz w:val="26"/>
          <w:szCs w:val="26"/>
          <w:lang w:eastAsia="en-US"/>
        </w:rPr>
        <w:t xml:space="preserve">En vista del creciente reconocimiento de la importancia de la inclusión financiera, estamos aplicando este marco a otros países de mercados emergentes y de bajo ingreso. Hemos concluido o tenemos en marcha más de 20 estudios, incluidos los casos de Colombia, Costa Rica, El Salvador, Guatemala, Honduras, India, Nicaragua, Nigeria, </w:t>
      </w:r>
      <w:r w:rsidRPr="00F96C66">
        <w:rPr>
          <w:rFonts w:eastAsia="Calibri"/>
          <w:sz w:val="26"/>
          <w:szCs w:val="26"/>
          <w:lang w:eastAsia="en-US"/>
        </w:rPr>
        <w:lastRenderedPageBreak/>
        <w:t>Paraguay, Panamá, Perú, Uruguay, la Comunidad Económica de los Estados de África Central y la República Democrática del Congo, Nigeria y Zambia.</w:t>
      </w:r>
    </w:p>
    <w:p w14:paraId="34478EFC" w14:textId="77777777" w:rsidR="00F96C66" w:rsidRPr="00F96C66" w:rsidRDefault="00F96C66" w:rsidP="00F96C66">
      <w:pPr>
        <w:ind w:right="-159"/>
        <w:jc w:val="both"/>
        <w:rPr>
          <w:rFonts w:eastAsia="Calibri"/>
          <w:b/>
          <w:sz w:val="20"/>
          <w:szCs w:val="20"/>
          <w:lang w:eastAsia="en-US"/>
        </w:rPr>
      </w:pPr>
      <w:r w:rsidRPr="00F96C66">
        <w:rPr>
          <w:rFonts w:eastAsia="Calibri"/>
          <w:b/>
          <w:sz w:val="20"/>
          <w:szCs w:val="20"/>
          <w:lang w:eastAsia="en-US"/>
        </w:rPr>
        <w:t>Fuente de información:</w:t>
      </w:r>
    </w:p>
    <w:p w14:paraId="38453329" w14:textId="77777777" w:rsidR="00F96C66" w:rsidRPr="00B7463A" w:rsidRDefault="0093224F" w:rsidP="00B7463A">
      <w:pPr>
        <w:spacing w:after="720"/>
        <w:ind w:right="-159"/>
        <w:jc w:val="both"/>
        <w:rPr>
          <w:rFonts w:eastAsia="Calibri"/>
          <w:color w:val="0000FF"/>
          <w:sz w:val="20"/>
          <w:szCs w:val="20"/>
          <w:lang w:eastAsia="en-US"/>
        </w:rPr>
      </w:pPr>
      <w:hyperlink r:id="rId371" w:history="1">
        <w:r w:rsidR="00F96C66" w:rsidRPr="00B7463A">
          <w:rPr>
            <w:rFonts w:eastAsia="Calibri"/>
            <w:color w:val="0000FF"/>
            <w:sz w:val="20"/>
            <w:szCs w:val="20"/>
            <w:u w:val="single"/>
            <w:lang w:eastAsia="en-US"/>
          </w:rPr>
          <w:t>http://blog-dialogoafondo.org/?p=4934</w:t>
        </w:r>
      </w:hyperlink>
      <w:r w:rsidR="00F96C66" w:rsidRPr="00B7463A">
        <w:rPr>
          <w:rFonts w:eastAsia="Calibri"/>
          <w:color w:val="0000FF"/>
          <w:sz w:val="20"/>
          <w:szCs w:val="20"/>
          <w:lang w:eastAsia="en-US"/>
        </w:rPr>
        <w:t xml:space="preserve"> </w:t>
      </w:r>
    </w:p>
    <w:p w14:paraId="3E5B654D" w14:textId="77777777" w:rsidR="00E178FE" w:rsidRPr="00E178FE" w:rsidRDefault="00E178FE" w:rsidP="00E178FE">
      <w:pPr>
        <w:spacing w:after="360" w:line="360" w:lineRule="auto"/>
        <w:ind w:right="-159"/>
        <w:jc w:val="both"/>
        <w:rPr>
          <w:rFonts w:eastAsia="Calibri"/>
          <w:b/>
          <w:sz w:val="26"/>
          <w:szCs w:val="26"/>
          <w:lang w:eastAsia="en-US"/>
        </w:rPr>
      </w:pPr>
      <w:r w:rsidRPr="00E178FE">
        <w:rPr>
          <w:rFonts w:eastAsia="Calibri"/>
          <w:b/>
          <w:sz w:val="26"/>
          <w:szCs w:val="26"/>
          <w:lang w:eastAsia="en-US"/>
        </w:rPr>
        <w:t>Calidad de Vida Internacional 2015 (Mercer)</w:t>
      </w:r>
    </w:p>
    <w:p w14:paraId="534A1410" w14:textId="77777777" w:rsidR="00E178FE" w:rsidRPr="00E178FE" w:rsidRDefault="00E178FE" w:rsidP="00E178FE">
      <w:pPr>
        <w:spacing w:after="360" w:line="360" w:lineRule="auto"/>
        <w:ind w:right="-159"/>
        <w:jc w:val="both"/>
        <w:rPr>
          <w:rFonts w:eastAsia="Calibri"/>
          <w:sz w:val="26"/>
          <w:szCs w:val="26"/>
          <w:lang w:eastAsia="en-US"/>
        </w:rPr>
      </w:pPr>
      <w:r w:rsidRPr="00E178FE">
        <w:rPr>
          <w:rFonts w:eastAsia="Calibri"/>
          <w:sz w:val="26"/>
          <w:szCs w:val="26"/>
          <w:lang w:eastAsia="en-US"/>
        </w:rPr>
        <w:t>El 4 de marzo de 2015, la consultora global Mercer publicó el artículo “Calidad de Vida Internacional 2015”. A continuación se presenta el contenido.</w:t>
      </w:r>
    </w:p>
    <w:p w14:paraId="5BF08287" w14:textId="77777777" w:rsidR="00E178FE" w:rsidRPr="00E178FE" w:rsidRDefault="00E178FE" w:rsidP="00E178FE">
      <w:pPr>
        <w:spacing w:after="360" w:line="360" w:lineRule="auto"/>
        <w:ind w:right="-159"/>
        <w:jc w:val="both"/>
        <w:rPr>
          <w:rFonts w:eastAsia="Calibri"/>
          <w:sz w:val="26"/>
          <w:szCs w:val="26"/>
          <w:lang w:eastAsia="en-US"/>
        </w:rPr>
      </w:pPr>
      <w:r w:rsidRPr="00E178FE">
        <w:rPr>
          <w:rFonts w:eastAsia="Calibri"/>
          <w:sz w:val="26"/>
          <w:szCs w:val="26"/>
          <w:lang w:eastAsia="en-US"/>
        </w:rPr>
        <w:t xml:space="preserve">Viena es la ciudad con la mejor Calidad de Vida del mundo, según la clasificación de Calidad de Vida 2015 de Mercer. Como ha ocurrido en años anteriores, las metrópolis europeas en general siguen dominando los primeros puestos, junto con las principales ciudades de Australia y Nueva Zelanda. Zúrich, Auckland y Múnich se sitúan en el segundo, tercer y cuarto puesto, respectivamente. En el quinto lugar, Vancouver es la ciudad de América del Norte que ocupa el lugar más alto de la clasificación y la única de la región que se ubica entre los 10 primeros.                                   </w:t>
      </w:r>
    </w:p>
    <w:p w14:paraId="34CC5148" w14:textId="77777777" w:rsidR="00E178FE" w:rsidRPr="00E178FE" w:rsidRDefault="00E178FE" w:rsidP="00E178FE">
      <w:pPr>
        <w:spacing w:after="360" w:line="360" w:lineRule="auto"/>
        <w:ind w:right="-159"/>
        <w:jc w:val="both"/>
        <w:rPr>
          <w:rFonts w:eastAsia="Calibri"/>
          <w:sz w:val="26"/>
          <w:szCs w:val="26"/>
          <w:lang w:eastAsia="en-US"/>
        </w:rPr>
      </w:pPr>
      <w:r w:rsidRPr="00E178FE">
        <w:rPr>
          <w:rFonts w:eastAsia="Calibri"/>
          <w:sz w:val="26"/>
          <w:szCs w:val="26"/>
          <w:lang w:eastAsia="en-US"/>
        </w:rPr>
        <w:t>En Asia, Singapur (26) es la ciudad asiática que tiene el puesto más alto de la clasificación, mientras que Dubái (74) se sitúa en el primer puesto en todo Medio Oriente y África. Por otro lado, en Latinoamérica, Uruguay, Montevideo (78) se lleva el primer lugar y Puerto Príncipe, Haití en la posición más baja de la región (228).</w:t>
      </w:r>
    </w:p>
    <w:p w14:paraId="1D5701A3" w14:textId="77777777" w:rsidR="00E178FE" w:rsidRPr="00E178FE" w:rsidRDefault="00E178FE" w:rsidP="00E178FE">
      <w:pPr>
        <w:spacing w:after="360" w:line="360" w:lineRule="auto"/>
        <w:ind w:right="-159"/>
        <w:jc w:val="both"/>
        <w:rPr>
          <w:rFonts w:eastAsia="Calibri"/>
          <w:sz w:val="26"/>
          <w:szCs w:val="26"/>
          <w:lang w:eastAsia="en-US"/>
        </w:rPr>
      </w:pPr>
      <w:r w:rsidRPr="00E178FE">
        <w:rPr>
          <w:rFonts w:eastAsia="Calibri"/>
          <w:sz w:val="26"/>
          <w:szCs w:val="26"/>
          <w:lang w:eastAsia="en-US"/>
        </w:rPr>
        <w:t>Mercer lleva a cabo su Encuesta de Calidad de Vida todos los años para ayudar a las compañías multinacionales y demás empleadores a compensar los diferenciales del nivel de vida de sus trabajadores de manera equitativa, al ser transferidos al exterior. Existen dos incentivos comunes que incluyen el subsidio a la calidad de vida y la prima por movilidad</w:t>
      </w:r>
      <w:r w:rsidRPr="00E178FE">
        <w:rPr>
          <w:rFonts w:eastAsia="Calibri"/>
          <w:sz w:val="26"/>
          <w:szCs w:val="26"/>
          <w:vertAlign w:val="superscript"/>
          <w:lang w:eastAsia="en-US"/>
        </w:rPr>
        <w:footnoteReference w:id="106"/>
      </w:r>
      <w:r w:rsidRPr="00E178FE">
        <w:rPr>
          <w:rFonts w:eastAsia="Calibri"/>
          <w:sz w:val="26"/>
          <w:szCs w:val="26"/>
          <w:lang w:eastAsia="en-US"/>
        </w:rPr>
        <w:t xml:space="preserve">. Los informes de Calidad de Vida de Mercer brindan información </w:t>
      </w:r>
      <w:r w:rsidRPr="00E178FE">
        <w:rPr>
          <w:rFonts w:eastAsia="Calibri"/>
          <w:sz w:val="26"/>
          <w:szCs w:val="26"/>
          <w:lang w:eastAsia="en-US"/>
        </w:rPr>
        <w:lastRenderedPageBreak/>
        <w:t>valiosa y recomendaciones sobre la prima de expatriación para más de 440 ciudades en todo el mundo, cubriendo 230 de esas localidades con esta clasificación.</w:t>
      </w:r>
    </w:p>
    <w:p w14:paraId="2DE692D2" w14:textId="359C55A4" w:rsidR="00E178FE" w:rsidRPr="00E178FE" w:rsidRDefault="00E178FE" w:rsidP="00E178FE">
      <w:pPr>
        <w:spacing w:after="360" w:line="360" w:lineRule="auto"/>
        <w:ind w:right="-159"/>
        <w:jc w:val="both"/>
        <w:rPr>
          <w:rFonts w:eastAsia="Calibri"/>
          <w:sz w:val="26"/>
          <w:szCs w:val="26"/>
          <w:lang w:eastAsia="en-US"/>
        </w:rPr>
      </w:pPr>
      <w:r w:rsidRPr="00E178FE">
        <w:rPr>
          <w:rFonts w:eastAsia="Calibri"/>
          <w:sz w:val="26"/>
          <w:szCs w:val="26"/>
          <w:lang w:eastAsia="en-US"/>
        </w:rPr>
        <w:t xml:space="preserve">“Las asignaciones de trabajo a corto o largo plazo en un nuevo país son una experiencia emocionante y, al mismo tiempo, suponen un desafío para los empleados y sus familias”, afirma el </w:t>
      </w:r>
      <w:r w:rsidR="003F6994">
        <w:rPr>
          <w:rFonts w:eastAsia="Calibri"/>
          <w:sz w:val="26"/>
          <w:szCs w:val="26"/>
          <w:lang w:eastAsia="en-US"/>
        </w:rPr>
        <w:t>D</w:t>
      </w:r>
      <w:r w:rsidRPr="00E178FE">
        <w:rPr>
          <w:rFonts w:eastAsia="Calibri"/>
          <w:sz w:val="26"/>
          <w:szCs w:val="26"/>
          <w:lang w:eastAsia="en-US"/>
        </w:rPr>
        <w:t>irector de Mercer.</w:t>
      </w:r>
    </w:p>
    <w:p w14:paraId="019B5C82" w14:textId="77777777" w:rsidR="00E178FE" w:rsidRPr="00E178FE" w:rsidRDefault="00E178FE" w:rsidP="00E178FE">
      <w:pPr>
        <w:spacing w:after="360" w:line="360" w:lineRule="auto"/>
        <w:ind w:right="-159"/>
        <w:jc w:val="both"/>
        <w:rPr>
          <w:rFonts w:eastAsia="Calibri"/>
          <w:sz w:val="26"/>
          <w:szCs w:val="26"/>
          <w:lang w:eastAsia="en-US"/>
        </w:rPr>
      </w:pPr>
      <w:r w:rsidRPr="00E178FE">
        <w:rPr>
          <w:rFonts w:eastAsia="Calibri"/>
          <w:sz w:val="26"/>
          <w:szCs w:val="26"/>
          <w:lang w:eastAsia="en-US"/>
        </w:rPr>
        <w:t>Y agregó: “Al igual que en la encuesta del año pasado, seguimos identificando algunas ciudades emergentes que compiten cada vez más con los centros financieros y de negocios tradicionales. Estas metrópolis denominadas ciudades emergentes de segundo nivel’, están invirtiendo especialmente en infraestructura para mejorar sus niveles de calidad de vida y, en última instancia, atraer a una mayor cantidad de compañías extranjeras”.</w:t>
      </w:r>
    </w:p>
    <w:p w14:paraId="40388F04" w14:textId="77777777" w:rsidR="00E178FE" w:rsidRPr="00E178FE" w:rsidRDefault="00E178FE" w:rsidP="00E178FE">
      <w:pPr>
        <w:spacing w:after="360" w:line="360" w:lineRule="auto"/>
        <w:ind w:right="-159"/>
        <w:jc w:val="both"/>
        <w:rPr>
          <w:rFonts w:eastAsia="Calibri"/>
          <w:b/>
          <w:sz w:val="26"/>
          <w:szCs w:val="26"/>
          <w:lang w:eastAsia="en-US"/>
        </w:rPr>
      </w:pPr>
      <w:r w:rsidRPr="00E178FE">
        <w:rPr>
          <w:rFonts w:eastAsia="Calibri"/>
          <w:b/>
          <w:sz w:val="26"/>
          <w:szCs w:val="26"/>
          <w:lang w:eastAsia="en-US"/>
        </w:rPr>
        <w:t>América</w:t>
      </w:r>
    </w:p>
    <w:p w14:paraId="54D3513D" w14:textId="77777777" w:rsidR="00E178FE" w:rsidRPr="00E178FE" w:rsidRDefault="00E178FE" w:rsidP="00E178FE">
      <w:pPr>
        <w:spacing w:after="360" w:line="360" w:lineRule="auto"/>
        <w:ind w:right="-159"/>
        <w:jc w:val="both"/>
        <w:rPr>
          <w:rFonts w:eastAsia="Calibri"/>
          <w:sz w:val="26"/>
          <w:szCs w:val="26"/>
          <w:lang w:eastAsia="en-US"/>
        </w:rPr>
      </w:pPr>
      <w:r w:rsidRPr="00E178FE">
        <w:rPr>
          <w:rFonts w:eastAsia="Calibri"/>
          <w:sz w:val="26"/>
          <w:szCs w:val="26"/>
          <w:lang w:eastAsia="en-US"/>
        </w:rPr>
        <w:t>En América del Norte, tanto Canadá como Estados Unidos de Norteamérica continúan ofreciendo un alto nivel de vida. Vancouver (5) encabeza la lista de esta región, seguida por las ciudades canadienses de Toronto (15) y Ottawa (16), mientras que San Francisco (27), Boston (34) y Honolulu (36) ocupan los primeros puestos en Estados Unidos de Norteamérica. Las localidades de la región de América del Norte que ocupan los lugares más bajos son La Habana (193) y Puerto Príncipe (228).</w:t>
      </w:r>
    </w:p>
    <w:p w14:paraId="49E06CB9" w14:textId="77777777" w:rsidR="00E178FE" w:rsidRPr="00E178FE" w:rsidRDefault="00E178FE" w:rsidP="00E178FE">
      <w:pPr>
        <w:spacing w:after="360" w:line="360" w:lineRule="auto"/>
        <w:ind w:right="-159"/>
        <w:jc w:val="both"/>
        <w:rPr>
          <w:rFonts w:eastAsia="Calibri"/>
          <w:sz w:val="26"/>
          <w:szCs w:val="26"/>
          <w:lang w:eastAsia="en-US"/>
        </w:rPr>
      </w:pPr>
      <w:r w:rsidRPr="00E178FE">
        <w:rPr>
          <w:rFonts w:eastAsia="Calibri"/>
          <w:sz w:val="26"/>
          <w:szCs w:val="26"/>
          <w:lang w:eastAsia="en-US"/>
        </w:rPr>
        <w:t>En Sudamérica, Montevideo (78), Buenos Aires (91) y Santiago (93) se ubican en los puestos más altos de la clasificación, mientras que La Paz (156) y Caracas (179) ocupan los más bajos. En Brasil, Mercer ha identificado a Manaos como una ciudad emergente, situada en el lugar 127, al ser ya un próspero centro industrial y poseer una zona de libre comercio; asimismo, su amplia oferta de bienes de consumo y su infraestructura relativamente avanzada contrarrestan parcialmente los efectos de la falta de opciones de enseñanza internacional para expatriados y su ubicación remota.</w:t>
      </w:r>
    </w:p>
    <w:p w14:paraId="41B7CDB3" w14:textId="77777777" w:rsidR="00E178FE" w:rsidRPr="00E178FE" w:rsidRDefault="00E178FE" w:rsidP="00E178FE">
      <w:pPr>
        <w:spacing w:after="360" w:line="360" w:lineRule="auto"/>
        <w:ind w:right="-159"/>
        <w:jc w:val="both"/>
        <w:rPr>
          <w:rFonts w:eastAsia="Calibri"/>
          <w:sz w:val="26"/>
          <w:szCs w:val="26"/>
          <w:lang w:eastAsia="en-US"/>
        </w:rPr>
      </w:pPr>
      <w:r w:rsidRPr="00E178FE">
        <w:rPr>
          <w:rFonts w:eastAsia="Calibri"/>
          <w:sz w:val="26"/>
          <w:szCs w:val="26"/>
          <w:lang w:eastAsia="en-US"/>
        </w:rPr>
        <w:lastRenderedPageBreak/>
        <w:t>En América Latina, encontramos que en Buenos Aires ha logrado mantenerse dentro de los cinco primeros lugares de la Región, a pesar de que la turbulencia económica ha impactado de manera negativa algunos criterios, como la dificultad de encontrar bienes de consumo importados. El nivel de desempleo también ha contribuido a incrementar la inestabilidad por lo tanto tuvo un importante reposicionamiento a la baja en la clasificación global.</w:t>
      </w:r>
    </w:p>
    <w:p w14:paraId="435B135C" w14:textId="77777777" w:rsidR="00E178FE" w:rsidRPr="00E178FE" w:rsidRDefault="00E178FE" w:rsidP="00E178FE">
      <w:pPr>
        <w:spacing w:after="360" w:line="360" w:lineRule="auto"/>
        <w:ind w:right="-159"/>
        <w:jc w:val="both"/>
        <w:rPr>
          <w:rFonts w:eastAsia="Calibri"/>
          <w:sz w:val="26"/>
          <w:szCs w:val="26"/>
          <w:lang w:eastAsia="en-US"/>
        </w:rPr>
      </w:pPr>
      <w:r w:rsidRPr="00E178FE">
        <w:rPr>
          <w:rFonts w:eastAsia="Calibri"/>
          <w:sz w:val="26"/>
          <w:szCs w:val="26"/>
          <w:lang w:eastAsia="en-US"/>
        </w:rPr>
        <w:t>Por otro lado Caracas, ha atravesado por tiempos muy adversos en los últimos años. La carencia de alimentos y el aumento de los niveles de criminalidad así como la alta inflación, ha provocado una serie de manifestaciones en los últimos tiempos. Esto se ve reflejado en una reducción de la calificación en diversos factores de Calidad de Vida como alimentos, productos de consumo diario, automóviles, regulaciones de tipos cambiarios e insumos médicos.</w:t>
      </w:r>
    </w:p>
    <w:p w14:paraId="18028744" w14:textId="77777777" w:rsidR="00E178FE" w:rsidRPr="00E178FE" w:rsidRDefault="00E178FE" w:rsidP="00E178FE">
      <w:pPr>
        <w:spacing w:after="360" w:line="360" w:lineRule="auto"/>
        <w:ind w:right="-159"/>
        <w:jc w:val="both"/>
        <w:rPr>
          <w:rFonts w:eastAsia="Calibri"/>
          <w:sz w:val="26"/>
          <w:szCs w:val="26"/>
          <w:lang w:eastAsia="en-US"/>
        </w:rPr>
      </w:pPr>
      <w:r w:rsidRPr="00E178FE">
        <w:rPr>
          <w:rFonts w:eastAsia="Calibri"/>
          <w:sz w:val="26"/>
          <w:szCs w:val="26"/>
          <w:lang w:eastAsia="en-US"/>
        </w:rPr>
        <w:t>Con respecto a la ciudad de Monterrey, el rubro de censura a los medios decreció lo que la llevó a reposicionarse.</w:t>
      </w:r>
    </w:p>
    <w:p w14:paraId="340C0330" w14:textId="77777777" w:rsidR="00E178FE" w:rsidRPr="00E178FE" w:rsidRDefault="00E178FE" w:rsidP="00E178FE">
      <w:pPr>
        <w:spacing w:after="360" w:line="360" w:lineRule="auto"/>
        <w:ind w:right="-159"/>
        <w:jc w:val="both"/>
        <w:rPr>
          <w:rFonts w:eastAsia="Calibri"/>
          <w:sz w:val="26"/>
          <w:szCs w:val="26"/>
          <w:lang w:eastAsia="en-US"/>
        </w:rPr>
      </w:pPr>
      <w:r w:rsidRPr="00E178FE">
        <w:rPr>
          <w:rFonts w:eastAsia="Calibri"/>
          <w:sz w:val="26"/>
          <w:szCs w:val="26"/>
          <w:lang w:eastAsia="en-US"/>
        </w:rPr>
        <w:t>“Algo adicional a considerar es que las ciudades pueden subir o bajar de la clasificación global debido a la inclusión de nuevas ciudades así como al reposicionamiento de las demás ciudades incluidas en la clasificación”, señaló la líder de Movilidad de Empleados de Mercer Latinoamérica.</w:t>
      </w:r>
    </w:p>
    <w:p w14:paraId="4BE306DA" w14:textId="77777777" w:rsidR="00E178FE" w:rsidRPr="00E178FE" w:rsidRDefault="00E178FE" w:rsidP="00E178FE">
      <w:pPr>
        <w:spacing w:after="360" w:line="360" w:lineRule="auto"/>
        <w:ind w:right="-159"/>
        <w:jc w:val="both"/>
        <w:rPr>
          <w:rFonts w:eastAsia="Calibri"/>
          <w:sz w:val="26"/>
          <w:szCs w:val="26"/>
          <w:lang w:eastAsia="en-US"/>
        </w:rPr>
      </w:pPr>
      <w:r w:rsidRPr="00E178FE">
        <w:rPr>
          <w:rFonts w:eastAsia="Calibri"/>
          <w:sz w:val="26"/>
          <w:szCs w:val="26"/>
          <w:lang w:eastAsia="en-US"/>
        </w:rPr>
        <w:t>“Las culturas, las sociedades y los climas comparativamente diferentes, así como la inestabilidad política, los altos niveles de delincuencia y la falta de infraestructura pueden dificultar el establecimiento de los empleados y sus familias en otro país. Los empleadores deben evaluar si su personal y sus familias enfrentarán una pérdida de calidad de vida al trasladarse al exterior y garantizar que reciban una compensación justa por ello”, concluyó la ejecutiva de Mercer.</w:t>
      </w:r>
    </w:p>
    <w:p w14:paraId="498E45BA" w14:textId="77777777" w:rsidR="003F6994" w:rsidRDefault="003F6994" w:rsidP="00E178FE">
      <w:pPr>
        <w:spacing w:after="360" w:line="360" w:lineRule="auto"/>
        <w:ind w:right="-159"/>
        <w:jc w:val="both"/>
        <w:rPr>
          <w:rFonts w:eastAsia="Calibri"/>
          <w:b/>
          <w:sz w:val="26"/>
          <w:szCs w:val="26"/>
          <w:lang w:eastAsia="en-US"/>
        </w:rPr>
      </w:pPr>
    </w:p>
    <w:p w14:paraId="5F8ABECC" w14:textId="77777777" w:rsidR="00E178FE" w:rsidRPr="00E178FE" w:rsidRDefault="00E178FE" w:rsidP="00E178FE">
      <w:pPr>
        <w:spacing w:after="360" w:line="360" w:lineRule="auto"/>
        <w:ind w:right="-159"/>
        <w:jc w:val="both"/>
        <w:rPr>
          <w:rFonts w:eastAsia="Calibri"/>
          <w:b/>
          <w:sz w:val="26"/>
          <w:szCs w:val="26"/>
          <w:lang w:eastAsia="en-US"/>
        </w:rPr>
      </w:pPr>
      <w:r w:rsidRPr="00E178FE">
        <w:rPr>
          <w:rFonts w:eastAsia="Calibri"/>
          <w:b/>
          <w:sz w:val="26"/>
          <w:szCs w:val="26"/>
          <w:lang w:eastAsia="en-US"/>
        </w:rPr>
        <w:lastRenderedPageBreak/>
        <w:t>Europa</w:t>
      </w:r>
    </w:p>
    <w:p w14:paraId="68C67DA3" w14:textId="77777777" w:rsidR="00E178FE" w:rsidRPr="00E178FE" w:rsidRDefault="00E178FE" w:rsidP="00E178FE">
      <w:pPr>
        <w:spacing w:after="360" w:line="360" w:lineRule="auto"/>
        <w:ind w:right="-159"/>
        <w:jc w:val="both"/>
        <w:rPr>
          <w:rFonts w:eastAsia="Calibri"/>
          <w:sz w:val="26"/>
          <w:szCs w:val="26"/>
          <w:lang w:eastAsia="en-US"/>
        </w:rPr>
      </w:pPr>
      <w:r w:rsidRPr="00E178FE">
        <w:rPr>
          <w:rFonts w:eastAsia="Calibri"/>
          <w:sz w:val="26"/>
          <w:szCs w:val="26"/>
          <w:lang w:eastAsia="en-US"/>
        </w:rPr>
        <w:t>A pesar de las preocupaciones acerca del crecimiento económico, las ciudades de Europa Occidental continúan ofreciendo un entorno estable para empleados y empleadores. Viena (1) es seguida por Zúrich (2), Múnich (4), Düsseldorf (6) y Frankfurt (7). Con Ginebra y Copenhague en octavo y noveno lugar, respectivamente, las de Europa Occidental ocupan siete lugares entre los primeros 10. Metrópolis de Europa Occidental que se ubican en los puestos más bajos son Belfast (63) y Atenas (85). Las urbes de Europa Central y Oriental presentan una mayor variedad de niveles de calidad de vida; las que ocupan los primeros puestos de la</w:t>
      </w:r>
      <w:r w:rsidRPr="00E178FE">
        <w:rPr>
          <w:rFonts w:ascii="Calibri" w:eastAsia="Calibri" w:hAnsi="Calibri"/>
          <w:sz w:val="22"/>
          <w:szCs w:val="22"/>
          <w:lang w:eastAsia="en-US"/>
        </w:rPr>
        <w:t xml:space="preserve"> </w:t>
      </w:r>
      <w:r w:rsidRPr="00E178FE">
        <w:rPr>
          <w:rFonts w:eastAsia="Calibri"/>
          <w:sz w:val="26"/>
          <w:szCs w:val="26"/>
          <w:lang w:eastAsia="en-US"/>
        </w:rPr>
        <w:t>clasificación son Praga (68), Budapest y Liubliana (ambas en el 75). La ciudad emergente de Wroclaw (100), en Polonia, tiene un próspero ambiente cultural y social, así como una amplia disponibilidad de bienes de consumo. Las que se ubican en los puestos más bajos en la región son Kiev (176), Tirana (180) y Minsk (189), donde Kiev experimenta un descenso considerable en la clasificación como consecuencia de la inestabilidad política y la violencia que se vive en Ucrania en general.</w:t>
      </w:r>
    </w:p>
    <w:p w14:paraId="21CEB4C7" w14:textId="77777777" w:rsidR="00E178FE" w:rsidRPr="00E178FE" w:rsidRDefault="00E178FE" w:rsidP="00E178FE">
      <w:pPr>
        <w:spacing w:after="360" w:line="360" w:lineRule="auto"/>
        <w:ind w:right="-159"/>
        <w:jc w:val="both"/>
        <w:rPr>
          <w:rFonts w:eastAsia="Calibri"/>
          <w:sz w:val="26"/>
          <w:szCs w:val="26"/>
          <w:lang w:eastAsia="en-US"/>
        </w:rPr>
      </w:pPr>
      <w:r w:rsidRPr="00E178FE">
        <w:rPr>
          <w:rFonts w:eastAsia="Calibri"/>
          <w:sz w:val="26"/>
          <w:szCs w:val="26"/>
          <w:lang w:eastAsia="en-US"/>
        </w:rPr>
        <w:t>En el Reino Unido, Londres (40) es la ciudad que ocupa el lugar más alto de la clasificación, seguida por Birmingham (52), Glasgow (55), Aberdeen (57) y Belfast (63).</w:t>
      </w:r>
    </w:p>
    <w:p w14:paraId="11F9F29D" w14:textId="77777777" w:rsidR="00E178FE" w:rsidRPr="00E178FE" w:rsidRDefault="00E178FE" w:rsidP="00E178FE">
      <w:pPr>
        <w:spacing w:after="360" w:line="360" w:lineRule="auto"/>
        <w:ind w:right="-159"/>
        <w:jc w:val="both"/>
        <w:rPr>
          <w:rFonts w:eastAsia="Calibri"/>
          <w:b/>
          <w:sz w:val="26"/>
          <w:szCs w:val="26"/>
          <w:lang w:eastAsia="en-US"/>
        </w:rPr>
      </w:pPr>
      <w:r w:rsidRPr="00E178FE">
        <w:rPr>
          <w:rFonts w:eastAsia="Calibri"/>
          <w:b/>
          <w:sz w:val="26"/>
          <w:szCs w:val="26"/>
          <w:lang w:eastAsia="en-US"/>
        </w:rPr>
        <w:t>Asia-Pacífico</w:t>
      </w:r>
    </w:p>
    <w:p w14:paraId="3CDD2CFA" w14:textId="77777777" w:rsidR="00E178FE" w:rsidRPr="00E178FE" w:rsidRDefault="00E178FE" w:rsidP="00E178FE">
      <w:pPr>
        <w:spacing w:after="360" w:line="360" w:lineRule="auto"/>
        <w:ind w:right="-159"/>
        <w:jc w:val="both"/>
        <w:rPr>
          <w:rFonts w:eastAsia="Calibri"/>
          <w:sz w:val="26"/>
          <w:szCs w:val="26"/>
          <w:lang w:eastAsia="en-US"/>
        </w:rPr>
      </w:pPr>
      <w:r w:rsidRPr="00E178FE">
        <w:rPr>
          <w:rFonts w:eastAsia="Calibri"/>
          <w:sz w:val="26"/>
          <w:szCs w:val="26"/>
          <w:lang w:eastAsia="en-US"/>
        </w:rPr>
        <w:t xml:space="preserve">Asia es la región que posee la mayor variedad de niveles de calidad de vida, donde la ciudad que ocupa el puesto más alto de la clasificación es Singapur (26) y la que se sitúa en el puesto más bajo es Dusambé (214), en Tayikistán. Encabezando el listado entre las ciudades del este asiático se encuentran Tokio, en el puesto 44, y otras ciudades importantes incluyen a Hong Kong (70), Seúl (72), Taipéi (83), Shanghái (101) y Beijing (118). Entre las emergentes más notables en esta parte de Asia podemos mencionar a Cheonan (98), Corea del Sur, y Taichung (99) en Taiwán. En China, Xi'an </w:t>
      </w:r>
      <w:r w:rsidRPr="00E178FE">
        <w:rPr>
          <w:rFonts w:eastAsia="Calibri"/>
          <w:sz w:val="26"/>
          <w:szCs w:val="26"/>
          <w:lang w:eastAsia="en-US"/>
        </w:rPr>
        <w:lastRenderedPageBreak/>
        <w:t>y Chongqing (ambas en el puesto 142) también se están convirtiendo en destinos de negocios. Sus principales retos para mejorar los niveles de calidad de vida son el suministro de agua potable y la contaminación atmosférica. Sin embargo, los avances en las telecomunicaciones y en los sectores de consumo han tenido algunos efectos compensatorios positivos en su posición en la clasificación.</w:t>
      </w:r>
    </w:p>
    <w:p w14:paraId="0C1358A7" w14:textId="77777777" w:rsidR="00E178FE" w:rsidRPr="00E178FE" w:rsidRDefault="00E178FE" w:rsidP="00E178FE">
      <w:pPr>
        <w:spacing w:after="360" w:line="360" w:lineRule="auto"/>
        <w:ind w:right="-159"/>
        <w:jc w:val="both"/>
        <w:rPr>
          <w:rFonts w:eastAsia="Calibri"/>
          <w:sz w:val="26"/>
          <w:szCs w:val="26"/>
          <w:lang w:eastAsia="en-US"/>
        </w:rPr>
      </w:pPr>
      <w:r w:rsidRPr="00E178FE">
        <w:rPr>
          <w:rFonts w:eastAsia="Calibri"/>
          <w:sz w:val="26"/>
          <w:szCs w:val="26"/>
          <w:lang w:eastAsia="en-US"/>
        </w:rPr>
        <w:t>Detrás de Singapur, la segunda población del sudeste asiático que ocupa el puesto más alto es Kuala Lumpur (84), y otras localidades importantes de la región incluyen Bangkok (117), Manila (136) y Yakarta (140). En el sur de Asia, Colombo (132), ocupa el puesto más alto y es seguido por las ciudades indias emergentes de Hyderabad (138) y Pune (145). Ambas poseen una mejor calidad en comparación con los centros de negocios más tradicionales del país, Mumbai (152) y Nueva Delhi (154). Los aumentos considerables de la población en éstas, en las últimas décadas, han incrementado los problemas existentes, incluido el acceso a agua potable, la contaminación atmosférica y la congestión del tráfico.</w:t>
      </w:r>
    </w:p>
    <w:p w14:paraId="5D3CAC5F" w14:textId="77777777" w:rsidR="00E178FE" w:rsidRPr="00E178FE" w:rsidRDefault="00E178FE" w:rsidP="00E178FE">
      <w:pPr>
        <w:spacing w:after="360" w:line="360" w:lineRule="auto"/>
        <w:ind w:right="-159"/>
        <w:jc w:val="both"/>
        <w:rPr>
          <w:rFonts w:eastAsia="Calibri"/>
          <w:sz w:val="26"/>
          <w:szCs w:val="26"/>
          <w:lang w:eastAsia="en-US"/>
        </w:rPr>
      </w:pPr>
      <w:r w:rsidRPr="00E178FE">
        <w:rPr>
          <w:rFonts w:eastAsia="Calibri"/>
          <w:sz w:val="26"/>
          <w:szCs w:val="26"/>
          <w:lang w:eastAsia="en-US"/>
        </w:rPr>
        <w:t>En la zona del Pacífico, las ciudades de Nueva Zelanda y Australia son algunas de las que ocupan los primeros puestos de la clasificación a nivel mundial, donde Auckland ocupa el tercer puesto, Sídney el décimo, Wellington el décimo segundo y Melbourne el décimo sexto.</w:t>
      </w:r>
    </w:p>
    <w:p w14:paraId="7BADB111" w14:textId="77777777" w:rsidR="00E178FE" w:rsidRPr="00E178FE" w:rsidRDefault="00E178FE" w:rsidP="00E178FE">
      <w:pPr>
        <w:spacing w:after="360" w:line="360" w:lineRule="auto"/>
        <w:ind w:right="-159"/>
        <w:jc w:val="both"/>
        <w:rPr>
          <w:rFonts w:eastAsia="Calibri"/>
          <w:b/>
          <w:sz w:val="26"/>
          <w:szCs w:val="26"/>
          <w:lang w:eastAsia="en-US"/>
        </w:rPr>
      </w:pPr>
      <w:r w:rsidRPr="00E178FE">
        <w:rPr>
          <w:rFonts w:eastAsia="Calibri"/>
          <w:b/>
          <w:sz w:val="26"/>
          <w:szCs w:val="26"/>
          <w:lang w:eastAsia="en-US"/>
        </w:rPr>
        <w:t>Medio Oriente y África</w:t>
      </w:r>
    </w:p>
    <w:p w14:paraId="516EE358" w14:textId="77777777" w:rsidR="00E178FE" w:rsidRPr="00E178FE" w:rsidRDefault="00E178FE" w:rsidP="00E178FE">
      <w:pPr>
        <w:spacing w:after="360" w:line="360" w:lineRule="auto"/>
        <w:ind w:right="-159"/>
        <w:jc w:val="both"/>
        <w:rPr>
          <w:rFonts w:eastAsia="Calibri"/>
          <w:sz w:val="26"/>
          <w:szCs w:val="26"/>
          <w:lang w:eastAsia="en-US"/>
        </w:rPr>
      </w:pPr>
      <w:r w:rsidRPr="00E178FE">
        <w:rPr>
          <w:rFonts w:eastAsia="Calibri"/>
          <w:sz w:val="26"/>
          <w:szCs w:val="26"/>
          <w:lang w:eastAsia="en-US"/>
        </w:rPr>
        <w:t xml:space="preserve">En el puesto 74, Dubái es la ciudad de la región de Medio Oriente y África con la mejor calidad de vida. Le sigue Abu Dhabi (77), también en los Emiratos Árabes Unidos, y Puerto Louis (82), en Mauricio. En Sudáfrica, Durban (85) es una ciudad emergente que posee mejor calidad de vida en comparación con los centros de negocio tradicionales del país, Ciudad del Cabo (91) y Johannesburgo (94). Esto se debe principalmente a las viviendas de alta calidad, a las innumerables ofertas recreativas y </w:t>
      </w:r>
      <w:r w:rsidRPr="00E178FE">
        <w:rPr>
          <w:rFonts w:eastAsia="Calibri"/>
          <w:sz w:val="26"/>
          <w:szCs w:val="26"/>
          <w:lang w:eastAsia="en-US"/>
        </w:rPr>
        <w:lastRenderedPageBreak/>
        <w:t>a la gran disponibilidad de bienes de consumo en Durban. Sin embargo, los problemas de delincuencia de la ciudad no permiten que llegue a los primeros 50 puestos.</w:t>
      </w:r>
    </w:p>
    <w:p w14:paraId="26147EB6" w14:textId="77777777" w:rsidR="00E178FE" w:rsidRDefault="00E178FE" w:rsidP="00E178FE">
      <w:pPr>
        <w:spacing w:after="360" w:line="360" w:lineRule="auto"/>
        <w:ind w:right="-159"/>
        <w:jc w:val="both"/>
        <w:rPr>
          <w:rFonts w:eastAsia="Calibri"/>
          <w:sz w:val="26"/>
          <w:szCs w:val="26"/>
          <w:lang w:eastAsia="en-US"/>
        </w:rPr>
      </w:pPr>
      <w:r w:rsidRPr="00E178FE">
        <w:rPr>
          <w:rFonts w:eastAsia="Calibri"/>
          <w:sz w:val="26"/>
          <w:szCs w:val="26"/>
          <w:lang w:eastAsia="en-US"/>
        </w:rPr>
        <w:t>En el puesto 230, Bagdad es la última ciudad de la clasificación tanto a nivel regional como global.</w:t>
      </w:r>
    </w:p>
    <w:tbl>
      <w:tblPr>
        <w:tblW w:w="9639" w:type="dxa"/>
        <w:jc w:val="center"/>
        <w:tblLook w:val="04A0" w:firstRow="1" w:lastRow="0" w:firstColumn="1" w:lastColumn="0" w:noHBand="0" w:noVBand="1"/>
      </w:tblPr>
      <w:tblGrid>
        <w:gridCol w:w="1351"/>
        <w:gridCol w:w="1457"/>
        <w:gridCol w:w="1796"/>
        <w:gridCol w:w="2484"/>
        <w:gridCol w:w="2551"/>
      </w:tblGrid>
      <w:tr w:rsidR="00E178FE" w:rsidRPr="00E178FE" w14:paraId="74C3ED76" w14:textId="77777777" w:rsidTr="00E178FE">
        <w:trPr>
          <w:jc w:val="center"/>
        </w:trPr>
        <w:tc>
          <w:tcPr>
            <w:tcW w:w="9639" w:type="dxa"/>
            <w:gridSpan w:val="5"/>
            <w:tcBorders>
              <w:top w:val="nil"/>
              <w:left w:val="nil"/>
              <w:bottom w:val="single" w:sz="4" w:space="0" w:color="auto"/>
              <w:right w:val="nil"/>
            </w:tcBorders>
            <w:vAlign w:val="center"/>
          </w:tcPr>
          <w:p w14:paraId="7B4DDA7D" w14:textId="77777777" w:rsidR="00E178FE" w:rsidRPr="00E178FE" w:rsidRDefault="00E178FE" w:rsidP="00E178FE">
            <w:pPr>
              <w:spacing w:before="20" w:after="20"/>
              <w:jc w:val="center"/>
              <w:rPr>
                <w:rFonts w:eastAsia="Calibri"/>
                <w:b/>
                <w:sz w:val="22"/>
                <w:szCs w:val="22"/>
                <w:lang w:eastAsia="en-US"/>
              </w:rPr>
            </w:pPr>
            <w:r w:rsidRPr="00E178FE">
              <w:rPr>
                <w:rFonts w:eastAsia="Calibri"/>
                <w:b/>
                <w:sz w:val="22"/>
                <w:szCs w:val="22"/>
                <w:lang w:eastAsia="en-US"/>
              </w:rPr>
              <w:t>PAÍSES CON MEJOR CALIDAD DE VIDA INTERNACIONAL 2015</w:t>
            </w:r>
          </w:p>
        </w:tc>
      </w:tr>
      <w:tr w:rsidR="00E178FE" w:rsidRPr="00E178FE" w14:paraId="3014DD1D" w14:textId="77777777" w:rsidTr="00E178FE">
        <w:trPr>
          <w:jc w:val="center"/>
        </w:trPr>
        <w:tc>
          <w:tcPr>
            <w:tcW w:w="2808" w:type="dxa"/>
            <w:gridSpan w:val="2"/>
            <w:tcBorders>
              <w:top w:val="single" w:sz="4" w:space="0" w:color="auto"/>
              <w:left w:val="single" w:sz="4" w:space="0" w:color="auto"/>
              <w:bottom w:val="single" w:sz="4" w:space="0" w:color="auto"/>
              <w:right w:val="single" w:sz="4" w:space="0" w:color="auto"/>
            </w:tcBorders>
            <w:vAlign w:val="center"/>
          </w:tcPr>
          <w:p w14:paraId="1B79B20B" w14:textId="77777777" w:rsidR="00E178FE" w:rsidRPr="00E178FE" w:rsidRDefault="00E178FE" w:rsidP="00E178FE">
            <w:pPr>
              <w:spacing w:before="20" w:after="20"/>
              <w:jc w:val="center"/>
              <w:rPr>
                <w:rFonts w:eastAsia="Calibri"/>
                <w:b/>
                <w:sz w:val="18"/>
                <w:szCs w:val="18"/>
                <w:lang w:eastAsia="en-US"/>
              </w:rPr>
            </w:pPr>
            <w:r w:rsidRPr="00E178FE">
              <w:rPr>
                <w:rFonts w:eastAsia="Calibri"/>
                <w:b/>
                <w:sz w:val="18"/>
                <w:szCs w:val="18"/>
                <w:lang w:eastAsia="en-US"/>
              </w:rPr>
              <w:t>Clasificación</w:t>
            </w:r>
          </w:p>
        </w:tc>
        <w:tc>
          <w:tcPr>
            <w:tcW w:w="1796" w:type="dxa"/>
            <w:vMerge w:val="restart"/>
            <w:tcBorders>
              <w:top w:val="single" w:sz="4" w:space="0" w:color="auto"/>
              <w:left w:val="single" w:sz="4" w:space="0" w:color="auto"/>
              <w:bottom w:val="single" w:sz="4" w:space="0" w:color="auto"/>
              <w:right w:val="single" w:sz="4" w:space="0" w:color="auto"/>
            </w:tcBorders>
            <w:vAlign w:val="center"/>
          </w:tcPr>
          <w:p w14:paraId="26B0124F" w14:textId="77777777" w:rsidR="00E178FE" w:rsidRPr="00E178FE" w:rsidRDefault="00E178FE" w:rsidP="00E178FE">
            <w:pPr>
              <w:spacing w:before="20" w:after="20"/>
              <w:jc w:val="center"/>
              <w:rPr>
                <w:rFonts w:eastAsia="Calibri"/>
                <w:b/>
                <w:sz w:val="18"/>
                <w:szCs w:val="18"/>
                <w:lang w:eastAsia="en-US"/>
              </w:rPr>
            </w:pPr>
            <w:r w:rsidRPr="00E178FE">
              <w:rPr>
                <w:rFonts w:eastAsia="Calibri"/>
                <w:b/>
                <w:sz w:val="18"/>
                <w:szCs w:val="18"/>
                <w:lang w:eastAsia="en-US"/>
              </w:rPr>
              <w:t>Ciudad</w:t>
            </w:r>
          </w:p>
        </w:tc>
        <w:tc>
          <w:tcPr>
            <w:tcW w:w="2484" w:type="dxa"/>
            <w:vMerge w:val="restart"/>
            <w:tcBorders>
              <w:top w:val="single" w:sz="4" w:space="0" w:color="auto"/>
              <w:left w:val="single" w:sz="4" w:space="0" w:color="auto"/>
              <w:bottom w:val="single" w:sz="4" w:space="0" w:color="auto"/>
              <w:right w:val="single" w:sz="4" w:space="0" w:color="auto"/>
            </w:tcBorders>
            <w:vAlign w:val="center"/>
          </w:tcPr>
          <w:p w14:paraId="4BBB3106" w14:textId="77777777" w:rsidR="00E178FE" w:rsidRPr="00E178FE" w:rsidRDefault="00E178FE" w:rsidP="00E178FE">
            <w:pPr>
              <w:spacing w:before="20" w:after="20"/>
              <w:jc w:val="center"/>
              <w:rPr>
                <w:rFonts w:eastAsia="Calibri"/>
                <w:b/>
                <w:sz w:val="18"/>
                <w:szCs w:val="18"/>
                <w:lang w:eastAsia="en-US"/>
              </w:rPr>
            </w:pPr>
            <w:r w:rsidRPr="00E178FE">
              <w:rPr>
                <w:rFonts w:eastAsia="Calibri"/>
                <w:b/>
                <w:sz w:val="18"/>
                <w:szCs w:val="18"/>
                <w:lang w:eastAsia="en-US"/>
              </w:rPr>
              <w:t>País</w:t>
            </w:r>
          </w:p>
        </w:tc>
        <w:tc>
          <w:tcPr>
            <w:tcW w:w="2551" w:type="dxa"/>
            <w:vMerge w:val="restart"/>
            <w:tcBorders>
              <w:top w:val="single" w:sz="4" w:space="0" w:color="auto"/>
              <w:left w:val="single" w:sz="4" w:space="0" w:color="auto"/>
              <w:bottom w:val="single" w:sz="4" w:space="0" w:color="auto"/>
              <w:right w:val="single" w:sz="4" w:space="0" w:color="auto"/>
            </w:tcBorders>
            <w:vAlign w:val="center"/>
          </w:tcPr>
          <w:p w14:paraId="6754823A" w14:textId="77777777" w:rsidR="00E178FE" w:rsidRPr="00E178FE" w:rsidRDefault="00E178FE" w:rsidP="00E178FE">
            <w:pPr>
              <w:spacing w:before="20" w:after="20"/>
              <w:jc w:val="center"/>
              <w:rPr>
                <w:rFonts w:eastAsia="Calibri"/>
                <w:b/>
                <w:sz w:val="18"/>
                <w:szCs w:val="18"/>
                <w:lang w:eastAsia="en-US"/>
              </w:rPr>
            </w:pPr>
            <w:r w:rsidRPr="00E178FE">
              <w:rPr>
                <w:rFonts w:eastAsia="Calibri"/>
                <w:b/>
                <w:sz w:val="18"/>
                <w:szCs w:val="18"/>
                <w:lang w:eastAsia="en-US"/>
              </w:rPr>
              <w:t>Región</w:t>
            </w:r>
          </w:p>
        </w:tc>
      </w:tr>
      <w:tr w:rsidR="00E178FE" w:rsidRPr="00E178FE" w14:paraId="021304E5" w14:textId="77777777" w:rsidTr="00E178FE">
        <w:trPr>
          <w:jc w:val="center"/>
        </w:trPr>
        <w:tc>
          <w:tcPr>
            <w:tcW w:w="1351" w:type="dxa"/>
            <w:tcBorders>
              <w:top w:val="single" w:sz="4" w:space="0" w:color="auto"/>
              <w:left w:val="single" w:sz="4" w:space="0" w:color="auto"/>
              <w:bottom w:val="single" w:sz="4" w:space="0" w:color="auto"/>
              <w:right w:val="single" w:sz="4" w:space="0" w:color="auto"/>
            </w:tcBorders>
            <w:vAlign w:val="center"/>
          </w:tcPr>
          <w:p w14:paraId="2B73668C" w14:textId="77777777" w:rsidR="00E178FE" w:rsidRPr="00E178FE" w:rsidRDefault="00E178FE" w:rsidP="00E178FE">
            <w:pPr>
              <w:spacing w:before="20" w:after="20"/>
              <w:jc w:val="center"/>
              <w:rPr>
                <w:rFonts w:eastAsia="Calibri"/>
                <w:b/>
                <w:sz w:val="18"/>
                <w:szCs w:val="18"/>
                <w:lang w:eastAsia="en-US"/>
              </w:rPr>
            </w:pPr>
            <w:r w:rsidRPr="00E178FE">
              <w:rPr>
                <w:rFonts w:eastAsia="Calibri"/>
                <w:b/>
                <w:sz w:val="18"/>
                <w:szCs w:val="18"/>
                <w:lang w:eastAsia="en-US"/>
              </w:rPr>
              <w:t>2014</w:t>
            </w:r>
          </w:p>
        </w:tc>
        <w:tc>
          <w:tcPr>
            <w:tcW w:w="1457" w:type="dxa"/>
            <w:tcBorders>
              <w:top w:val="single" w:sz="4" w:space="0" w:color="auto"/>
              <w:left w:val="single" w:sz="4" w:space="0" w:color="auto"/>
              <w:bottom w:val="single" w:sz="4" w:space="0" w:color="auto"/>
              <w:right w:val="single" w:sz="4" w:space="0" w:color="auto"/>
            </w:tcBorders>
            <w:vAlign w:val="center"/>
          </w:tcPr>
          <w:p w14:paraId="0531C781" w14:textId="77777777" w:rsidR="00E178FE" w:rsidRPr="00E178FE" w:rsidRDefault="00E178FE" w:rsidP="00E178FE">
            <w:pPr>
              <w:spacing w:before="20" w:after="20"/>
              <w:jc w:val="center"/>
              <w:rPr>
                <w:rFonts w:eastAsia="Calibri"/>
                <w:b/>
                <w:sz w:val="18"/>
                <w:szCs w:val="18"/>
                <w:lang w:eastAsia="en-US"/>
              </w:rPr>
            </w:pPr>
            <w:r w:rsidRPr="00E178FE">
              <w:rPr>
                <w:rFonts w:eastAsia="Calibri"/>
                <w:b/>
                <w:sz w:val="18"/>
                <w:szCs w:val="18"/>
                <w:lang w:eastAsia="en-US"/>
              </w:rPr>
              <w:t>2015</w:t>
            </w:r>
          </w:p>
        </w:tc>
        <w:tc>
          <w:tcPr>
            <w:tcW w:w="1796" w:type="dxa"/>
            <w:vMerge/>
            <w:tcBorders>
              <w:top w:val="single" w:sz="4" w:space="0" w:color="auto"/>
              <w:left w:val="single" w:sz="4" w:space="0" w:color="auto"/>
              <w:bottom w:val="single" w:sz="4" w:space="0" w:color="auto"/>
              <w:right w:val="single" w:sz="4" w:space="0" w:color="auto"/>
            </w:tcBorders>
            <w:vAlign w:val="center"/>
          </w:tcPr>
          <w:p w14:paraId="61BF4DA5" w14:textId="77777777" w:rsidR="00E178FE" w:rsidRPr="00E178FE" w:rsidRDefault="00E178FE" w:rsidP="00E178FE">
            <w:pPr>
              <w:spacing w:before="20" w:after="20"/>
              <w:jc w:val="center"/>
              <w:rPr>
                <w:rFonts w:eastAsia="Calibri"/>
                <w:b/>
                <w:sz w:val="18"/>
                <w:szCs w:val="18"/>
                <w:lang w:eastAsia="en-US"/>
              </w:rPr>
            </w:pPr>
          </w:p>
        </w:tc>
        <w:tc>
          <w:tcPr>
            <w:tcW w:w="2484" w:type="dxa"/>
            <w:vMerge/>
            <w:tcBorders>
              <w:top w:val="single" w:sz="4" w:space="0" w:color="auto"/>
              <w:left w:val="single" w:sz="4" w:space="0" w:color="auto"/>
              <w:bottom w:val="single" w:sz="4" w:space="0" w:color="auto"/>
              <w:right w:val="single" w:sz="4" w:space="0" w:color="auto"/>
            </w:tcBorders>
            <w:vAlign w:val="center"/>
          </w:tcPr>
          <w:p w14:paraId="03128C1C" w14:textId="77777777" w:rsidR="00E178FE" w:rsidRPr="00E178FE" w:rsidRDefault="00E178FE" w:rsidP="00E178FE">
            <w:pPr>
              <w:spacing w:before="20" w:after="20"/>
              <w:jc w:val="center"/>
              <w:rPr>
                <w:rFonts w:eastAsia="Calibri"/>
                <w:b/>
                <w:sz w:val="18"/>
                <w:szCs w:val="18"/>
                <w:lang w:eastAsia="en-US"/>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7995C77D" w14:textId="77777777" w:rsidR="00E178FE" w:rsidRPr="00E178FE" w:rsidRDefault="00E178FE" w:rsidP="00E178FE">
            <w:pPr>
              <w:spacing w:before="20" w:after="20"/>
              <w:jc w:val="center"/>
              <w:rPr>
                <w:rFonts w:eastAsia="Calibri"/>
                <w:b/>
                <w:sz w:val="18"/>
                <w:szCs w:val="18"/>
                <w:lang w:eastAsia="en-US"/>
              </w:rPr>
            </w:pPr>
          </w:p>
        </w:tc>
      </w:tr>
      <w:tr w:rsidR="00E178FE" w:rsidRPr="00E178FE" w14:paraId="61518754" w14:textId="77777777" w:rsidTr="00E178FE">
        <w:trPr>
          <w:jc w:val="center"/>
        </w:trPr>
        <w:tc>
          <w:tcPr>
            <w:tcW w:w="1351" w:type="dxa"/>
            <w:tcBorders>
              <w:top w:val="single" w:sz="4" w:space="0" w:color="auto"/>
              <w:left w:val="single" w:sz="4" w:space="0" w:color="auto"/>
              <w:bottom w:val="nil"/>
              <w:right w:val="single" w:sz="4" w:space="0" w:color="auto"/>
            </w:tcBorders>
            <w:vAlign w:val="center"/>
          </w:tcPr>
          <w:p w14:paraId="2EAF80C3" w14:textId="77777777" w:rsidR="00E178FE" w:rsidRPr="00E178FE" w:rsidRDefault="00E178FE" w:rsidP="00E178FE">
            <w:pPr>
              <w:spacing w:before="20" w:after="20"/>
              <w:ind w:right="340"/>
              <w:jc w:val="right"/>
              <w:rPr>
                <w:rFonts w:eastAsia="Calibri"/>
                <w:sz w:val="18"/>
                <w:szCs w:val="18"/>
                <w:lang w:eastAsia="en-US"/>
              </w:rPr>
            </w:pPr>
            <w:r w:rsidRPr="00E178FE">
              <w:rPr>
                <w:rFonts w:eastAsia="Calibri"/>
                <w:sz w:val="18"/>
                <w:szCs w:val="18"/>
                <w:lang w:eastAsia="en-US"/>
              </w:rPr>
              <w:t>1</w:t>
            </w:r>
          </w:p>
        </w:tc>
        <w:tc>
          <w:tcPr>
            <w:tcW w:w="1457" w:type="dxa"/>
            <w:tcBorders>
              <w:top w:val="single" w:sz="4" w:space="0" w:color="auto"/>
              <w:left w:val="single" w:sz="4" w:space="0" w:color="auto"/>
              <w:bottom w:val="nil"/>
              <w:right w:val="single" w:sz="4" w:space="0" w:color="auto"/>
            </w:tcBorders>
            <w:vAlign w:val="center"/>
          </w:tcPr>
          <w:p w14:paraId="1DEB7BD5" w14:textId="77777777" w:rsidR="00E178FE" w:rsidRPr="00E178FE" w:rsidRDefault="00E178FE" w:rsidP="00E178FE">
            <w:pPr>
              <w:spacing w:before="20" w:after="20"/>
              <w:ind w:right="340"/>
              <w:jc w:val="right"/>
              <w:rPr>
                <w:rFonts w:eastAsia="Calibri"/>
                <w:sz w:val="18"/>
                <w:szCs w:val="18"/>
                <w:lang w:eastAsia="en-US"/>
              </w:rPr>
            </w:pPr>
            <w:r w:rsidRPr="00E178FE">
              <w:rPr>
                <w:rFonts w:eastAsia="Calibri"/>
                <w:sz w:val="18"/>
                <w:szCs w:val="18"/>
                <w:lang w:eastAsia="en-US"/>
              </w:rPr>
              <w:t>1</w:t>
            </w:r>
          </w:p>
        </w:tc>
        <w:tc>
          <w:tcPr>
            <w:tcW w:w="1796" w:type="dxa"/>
            <w:tcBorders>
              <w:top w:val="single" w:sz="4" w:space="0" w:color="auto"/>
              <w:left w:val="single" w:sz="4" w:space="0" w:color="auto"/>
              <w:bottom w:val="nil"/>
              <w:right w:val="single" w:sz="4" w:space="0" w:color="auto"/>
            </w:tcBorders>
            <w:vAlign w:val="center"/>
          </w:tcPr>
          <w:p w14:paraId="6DFA4D54"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Viena</w:t>
            </w:r>
          </w:p>
        </w:tc>
        <w:tc>
          <w:tcPr>
            <w:tcW w:w="2484" w:type="dxa"/>
            <w:tcBorders>
              <w:top w:val="single" w:sz="4" w:space="0" w:color="auto"/>
              <w:left w:val="single" w:sz="4" w:space="0" w:color="auto"/>
              <w:bottom w:val="nil"/>
              <w:right w:val="single" w:sz="4" w:space="0" w:color="auto"/>
            </w:tcBorders>
            <w:vAlign w:val="center"/>
          </w:tcPr>
          <w:p w14:paraId="36757D23"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Austria</w:t>
            </w:r>
          </w:p>
        </w:tc>
        <w:tc>
          <w:tcPr>
            <w:tcW w:w="2551" w:type="dxa"/>
            <w:tcBorders>
              <w:top w:val="single" w:sz="4" w:space="0" w:color="auto"/>
              <w:left w:val="single" w:sz="4" w:space="0" w:color="auto"/>
              <w:bottom w:val="nil"/>
              <w:right w:val="single" w:sz="4" w:space="0" w:color="auto"/>
            </w:tcBorders>
            <w:vAlign w:val="center"/>
          </w:tcPr>
          <w:p w14:paraId="544E77AA"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Europa Occidental</w:t>
            </w:r>
          </w:p>
        </w:tc>
      </w:tr>
      <w:tr w:rsidR="00E178FE" w:rsidRPr="00E178FE" w14:paraId="4F467634" w14:textId="77777777" w:rsidTr="00E178FE">
        <w:trPr>
          <w:jc w:val="center"/>
        </w:trPr>
        <w:tc>
          <w:tcPr>
            <w:tcW w:w="1351" w:type="dxa"/>
            <w:tcBorders>
              <w:top w:val="nil"/>
              <w:left w:val="single" w:sz="4" w:space="0" w:color="auto"/>
              <w:bottom w:val="nil"/>
              <w:right w:val="single" w:sz="4" w:space="0" w:color="auto"/>
            </w:tcBorders>
            <w:vAlign w:val="center"/>
          </w:tcPr>
          <w:p w14:paraId="0FC181CD" w14:textId="77777777" w:rsidR="00E178FE" w:rsidRPr="00E178FE" w:rsidRDefault="00E178FE" w:rsidP="00E178FE">
            <w:pPr>
              <w:spacing w:before="20" w:after="20"/>
              <w:ind w:right="340"/>
              <w:jc w:val="right"/>
              <w:rPr>
                <w:rFonts w:eastAsia="Calibri"/>
                <w:sz w:val="18"/>
                <w:szCs w:val="18"/>
                <w:lang w:eastAsia="en-US"/>
              </w:rPr>
            </w:pPr>
            <w:r w:rsidRPr="00E178FE">
              <w:rPr>
                <w:rFonts w:eastAsia="Calibri"/>
                <w:sz w:val="18"/>
                <w:szCs w:val="18"/>
                <w:lang w:eastAsia="en-US"/>
              </w:rPr>
              <w:t>2</w:t>
            </w:r>
          </w:p>
        </w:tc>
        <w:tc>
          <w:tcPr>
            <w:tcW w:w="1457" w:type="dxa"/>
            <w:tcBorders>
              <w:top w:val="nil"/>
              <w:left w:val="single" w:sz="4" w:space="0" w:color="auto"/>
              <w:bottom w:val="nil"/>
              <w:right w:val="single" w:sz="4" w:space="0" w:color="auto"/>
            </w:tcBorders>
            <w:vAlign w:val="center"/>
          </w:tcPr>
          <w:p w14:paraId="0D9D589D" w14:textId="77777777" w:rsidR="00E178FE" w:rsidRPr="00E178FE" w:rsidRDefault="00E178FE" w:rsidP="00E178FE">
            <w:pPr>
              <w:spacing w:before="20" w:after="20"/>
              <w:ind w:right="340"/>
              <w:jc w:val="right"/>
              <w:rPr>
                <w:rFonts w:eastAsia="Calibri"/>
                <w:sz w:val="18"/>
                <w:szCs w:val="18"/>
                <w:lang w:eastAsia="en-US"/>
              </w:rPr>
            </w:pPr>
            <w:r w:rsidRPr="00E178FE">
              <w:rPr>
                <w:rFonts w:eastAsia="Calibri"/>
                <w:sz w:val="18"/>
                <w:szCs w:val="18"/>
                <w:lang w:eastAsia="en-US"/>
              </w:rPr>
              <w:t>2</w:t>
            </w:r>
          </w:p>
        </w:tc>
        <w:tc>
          <w:tcPr>
            <w:tcW w:w="1796" w:type="dxa"/>
            <w:tcBorders>
              <w:top w:val="nil"/>
              <w:left w:val="single" w:sz="4" w:space="0" w:color="auto"/>
              <w:bottom w:val="nil"/>
              <w:right w:val="single" w:sz="4" w:space="0" w:color="auto"/>
            </w:tcBorders>
            <w:vAlign w:val="center"/>
          </w:tcPr>
          <w:p w14:paraId="685D28EB"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Zúrich</w:t>
            </w:r>
          </w:p>
        </w:tc>
        <w:tc>
          <w:tcPr>
            <w:tcW w:w="2484" w:type="dxa"/>
            <w:tcBorders>
              <w:top w:val="nil"/>
              <w:left w:val="single" w:sz="4" w:space="0" w:color="auto"/>
              <w:bottom w:val="nil"/>
              <w:right w:val="single" w:sz="4" w:space="0" w:color="auto"/>
            </w:tcBorders>
            <w:vAlign w:val="center"/>
          </w:tcPr>
          <w:p w14:paraId="58F7ADD0"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Suiza</w:t>
            </w:r>
          </w:p>
        </w:tc>
        <w:tc>
          <w:tcPr>
            <w:tcW w:w="2551" w:type="dxa"/>
            <w:tcBorders>
              <w:top w:val="nil"/>
              <w:left w:val="single" w:sz="4" w:space="0" w:color="auto"/>
              <w:bottom w:val="nil"/>
              <w:right w:val="single" w:sz="4" w:space="0" w:color="auto"/>
            </w:tcBorders>
            <w:vAlign w:val="center"/>
          </w:tcPr>
          <w:p w14:paraId="30D3FABA"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Europa Occidental</w:t>
            </w:r>
          </w:p>
        </w:tc>
      </w:tr>
      <w:tr w:rsidR="00E178FE" w:rsidRPr="00E178FE" w14:paraId="449889CA" w14:textId="77777777" w:rsidTr="00E178FE">
        <w:trPr>
          <w:jc w:val="center"/>
        </w:trPr>
        <w:tc>
          <w:tcPr>
            <w:tcW w:w="1351" w:type="dxa"/>
            <w:tcBorders>
              <w:top w:val="nil"/>
              <w:left w:val="single" w:sz="4" w:space="0" w:color="auto"/>
              <w:bottom w:val="nil"/>
              <w:right w:val="single" w:sz="4" w:space="0" w:color="auto"/>
            </w:tcBorders>
            <w:vAlign w:val="center"/>
          </w:tcPr>
          <w:p w14:paraId="5D31916A" w14:textId="77777777" w:rsidR="00E178FE" w:rsidRPr="00E178FE" w:rsidRDefault="00E178FE" w:rsidP="00E178FE">
            <w:pPr>
              <w:spacing w:before="20" w:after="20"/>
              <w:ind w:right="340"/>
              <w:jc w:val="right"/>
              <w:rPr>
                <w:rFonts w:eastAsia="Calibri"/>
                <w:sz w:val="18"/>
                <w:szCs w:val="18"/>
                <w:lang w:eastAsia="en-US"/>
              </w:rPr>
            </w:pPr>
            <w:r w:rsidRPr="00E178FE">
              <w:rPr>
                <w:rFonts w:eastAsia="Calibri"/>
                <w:sz w:val="18"/>
                <w:szCs w:val="18"/>
                <w:lang w:eastAsia="en-US"/>
              </w:rPr>
              <w:t>3</w:t>
            </w:r>
          </w:p>
        </w:tc>
        <w:tc>
          <w:tcPr>
            <w:tcW w:w="1457" w:type="dxa"/>
            <w:tcBorders>
              <w:top w:val="nil"/>
              <w:left w:val="single" w:sz="4" w:space="0" w:color="auto"/>
              <w:bottom w:val="nil"/>
              <w:right w:val="single" w:sz="4" w:space="0" w:color="auto"/>
            </w:tcBorders>
            <w:vAlign w:val="center"/>
          </w:tcPr>
          <w:p w14:paraId="51A47842" w14:textId="77777777" w:rsidR="00E178FE" w:rsidRPr="00E178FE" w:rsidRDefault="00E178FE" w:rsidP="00E178FE">
            <w:pPr>
              <w:spacing w:before="20" w:after="20"/>
              <w:ind w:right="340"/>
              <w:jc w:val="right"/>
              <w:rPr>
                <w:rFonts w:eastAsia="Calibri"/>
                <w:sz w:val="18"/>
                <w:szCs w:val="18"/>
                <w:lang w:eastAsia="en-US"/>
              </w:rPr>
            </w:pPr>
            <w:r w:rsidRPr="00E178FE">
              <w:rPr>
                <w:rFonts w:eastAsia="Calibri"/>
                <w:sz w:val="18"/>
                <w:szCs w:val="18"/>
                <w:lang w:eastAsia="en-US"/>
              </w:rPr>
              <w:t>3</w:t>
            </w:r>
          </w:p>
        </w:tc>
        <w:tc>
          <w:tcPr>
            <w:tcW w:w="1796" w:type="dxa"/>
            <w:tcBorders>
              <w:top w:val="nil"/>
              <w:left w:val="single" w:sz="4" w:space="0" w:color="auto"/>
              <w:bottom w:val="nil"/>
              <w:right w:val="single" w:sz="4" w:space="0" w:color="auto"/>
            </w:tcBorders>
            <w:vAlign w:val="center"/>
          </w:tcPr>
          <w:p w14:paraId="2DA65345"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Auckland</w:t>
            </w:r>
          </w:p>
        </w:tc>
        <w:tc>
          <w:tcPr>
            <w:tcW w:w="2484" w:type="dxa"/>
            <w:tcBorders>
              <w:top w:val="nil"/>
              <w:left w:val="single" w:sz="4" w:space="0" w:color="auto"/>
              <w:bottom w:val="nil"/>
              <w:right w:val="single" w:sz="4" w:space="0" w:color="auto"/>
            </w:tcBorders>
            <w:vAlign w:val="center"/>
          </w:tcPr>
          <w:p w14:paraId="60D548FE"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Nueva Zelanda</w:t>
            </w:r>
          </w:p>
        </w:tc>
        <w:tc>
          <w:tcPr>
            <w:tcW w:w="2551" w:type="dxa"/>
            <w:tcBorders>
              <w:top w:val="nil"/>
              <w:left w:val="single" w:sz="4" w:space="0" w:color="auto"/>
              <w:bottom w:val="nil"/>
              <w:right w:val="single" w:sz="4" w:space="0" w:color="auto"/>
            </w:tcBorders>
            <w:vAlign w:val="center"/>
          </w:tcPr>
          <w:p w14:paraId="715E2AB0"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Asia y el Pacífico</w:t>
            </w:r>
          </w:p>
        </w:tc>
      </w:tr>
      <w:tr w:rsidR="00E178FE" w:rsidRPr="00E178FE" w14:paraId="1EA0B161" w14:textId="77777777" w:rsidTr="00E178FE">
        <w:trPr>
          <w:jc w:val="center"/>
        </w:trPr>
        <w:tc>
          <w:tcPr>
            <w:tcW w:w="1351" w:type="dxa"/>
            <w:tcBorders>
              <w:top w:val="nil"/>
              <w:left w:val="single" w:sz="4" w:space="0" w:color="auto"/>
              <w:bottom w:val="nil"/>
              <w:right w:val="single" w:sz="4" w:space="0" w:color="auto"/>
            </w:tcBorders>
            <w:vAlign w:val="center"/>
          </w:tcPr>
          <w:p w14:paraId="2AEADAEF" w14:textId="77777777" w:rsidR="00E178FE" w:rsidRPr="00E178FE" w:rsidRDefault="00E178FE" w:rsidP="00E178FE">
            <w:pPr>
              <w:spacing w:before="20" w:after="20"/>
              <w:ind w:right="340"/>
              <w:jc w:val="right"/>
              <w:rPr>
                <w:rFonts w:eastAsia="Calibri"/>
                <w:sz w:val="18"/>
                <w:szCs w:val="18"/>
                <w:lang w:eastAsia="en-US"/>
              </w:rPr>
            </w:pPr>
            <w:r w:rsidRPr="00E178FE">
              <w:rPr>
                <w:rFonts w:eastAsia="Calibri"/>
                <w:sz w:val="18"/>
                <w:szCs w:val="18"/>
                <w:lang w:eastAsia="en-US"/>
              </w:rPr>
              <w:t>4</w:t>
            </w:r>
          </w:p>
        </w:tc>
        <w:tc>
          <w:tcPr>
            <w:tcW w:w="1457" w:type="dxa"/>
            <w:tcBorders>
              <w:top w:val="nil"/>
              <w:left w:val="single" w:sz="4" w:space="0" w:color="auto"/>
              <w:bottom w:val="nil"/>
              <w:right w:val="single" w:sz="4" w:space="0" w:color="auto"/>
            </w:tcBorders>
            <w:vAlign w:val="center"/>
          </w:tcPr>
          <w:p w14:paraId="0EDDC06B" w14:textId="77777777" w:rsidR="00E178FE" w:rsidRPr="00E178FE" w:rsidRDefault="00E178FE" w:rsidP="00E178FE">
            <w:pPr>
              <w:spacing w:before="20" w:after="20"/>
              <w:ind w:right="340"/>
              <w:jc w:val="right"/>
              <w:rPr>
                <w:rFonts w:eastAsia="Calibri"/>
                <w:sz w:val="18"/>
                <w:szCs w:val="18"/>
                <w:lang w:eastAsia="en-US"/>
              </w:rPr>
            </w:pPr>
            <w:r w:rsidRPr="00E178FE">
              <w:rPr>
                <w:rFonts w:eastAsia="Calibri"/>
                <w:sz w:val="18"/>
                <w:szCs w:val="18"/>
                <w:lang w:eastAsia="en-US"/>
              </w:rPr>
              <w:t>4</w:t>
            </w:r>
          </w:p>
        </w:tc>
        <w:tc>
          <w:tcPr>
            <w:tcW w:w="1796" w:type="dxa"/>
            <w:tcBorders>
              <w:top w:val="nil"/>
              <w:left w:val="single" w:sz="4" w:space="0" w:color="auto"/>
              <w:bottom w:val="nil"/>
              <w:right w:val="single" w:sz="4" w:space="0" w:color="auto"/>
            </w:tcBorders>
            <w:vAlign w:val="center"/>
          </w:tcPr>
          <w:p w14:paraId="6C2B882F"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Múnich</w:t>
            </w:r>
          </w:p>
        </w:tc>
        <w:tc>
          <w:tcPr>
            <w:tcW w:w="2484" w:type="dxa"/>
            <w:tcBorders>
              <w:top w:val="nil"/>
              <w:left w:val="single" w:sz="4" w:space="0" w:color="auto"/>
              <w:bottom w:val="nil"/>
              <w:right w:val="single" w:sz="4" w:space="0" w:color="auto"/>
            </w:tcBorders>
            <w:vAlign w:val="center"/>
          </w:tcPr>
          <w:p w14:paraId="5D145F92"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Alemania</w:t>
            </w:r>
          </w:p>
        </w:tc>
        <w:tc>
          <w:tcPr>
            <w:tcW w:w="2551" w:type="dxa"/>
            <w:tcBorders>
              <w:top w:val="nil"/>
              <w:left w:val="single" w:sz="4" w:space="0" w:color="auto"/>
              <w:bottom w:val="nil"/>
              <w:right w:val="single" w:sz="4" w:space="0" w:color="auto"/>
            </w:tcBorders>
            <w:vAlign w:val="center"/>
          </w:tcPr>
          <w:p w14:paraId="71A33E7A"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Europa Occidental</w:t>
            </w:r>
          </w:p>
        </w:tc>
      </w:tr>
      <w:tr w:rsidR="00E178FE" w:rsidRPr="00E178FE" w14:paraId="6F369D22" w14:textId="77777777" w:rsidTr="00E178FE">
        <w:trPr>
          <w:jc w:val="center"/>
        </w:trPr>
        <w:tc>
          <w:tcPr>
            <w:tcW w:w="1351" w:type="dxa"/>
            <w:tcBorders>
              <w:top w:val="nil"/>
              <w:left w:val="single" w:sz="4" w:space="0" w:color="auto"/>
              <w:bottom w:val="nil"/>
              <w:right w:val="single" w:sz="4" w:space="0" w:color="auto"/>
            </w:tcBorders>
            <w:vAlign w:val="center"/>
          </w:tcPr>
          <w:p w14:paraId="15C18ED0" w14:textId="77777777" w:rsidR="00E178FE" w:rsidRPr="00E178FE" w:rsidRDefault="00E178FE" w:rsidP="00E178FE">
            <w:pPr>
              <w:spacing w:before="20" w:after="20"/>
              <w:ind w:right="340"/>
              <w:jc w:val="right"/>
              <w:rPr>
                <w:rFonts w:eastAsia="Calibri"/>
                <w:sz w:val="18"/>
                <w:szCs w:val="18"/>
                <w:lang w:eastAsia="en-US"/>
              </w:rPr>
            </w:pPr>
            <w:r w:rsidRPr="00E178FE">
              <w:rPr>
                <w:rFonts w:eastAsia="Calibri"/>
                <w:sz w:val="18"/>
                <w:szCs w:val="18"/>
                <w:lang w:eastAsia="en-US"/>
              </w:rPr>
              <w:t>5</w:t>
            </w:r>
          </w:p>
        </w:tc>
        <w:tc>
          <w:tcPr>
            <w:tcW w:w="1457" w:type="dxa"/>
            <w:tcBorders>
              <w:top w:val="nil"/>
              <w:left w:val="single" w:sz="4" w:space="0" w:color="auto"/>
              <w:bottom w:val="nil"/>
              <w:right w:val="single" w:sz="4" w:space="0" w:color="auto"/>
            </w:tcBorders>
            <w:vAlign w:val="center"/>
          </w:tcPr>
          <w:p w14:paraId="3D907A5C" w14:textId="77777777" w:rsidR="00E178FE" w:rsidRPr="00E178FE" w:rsidRDefault="00E178FE" w:rsidP="00E178FE">
            <w:pPr>
              <w:spacing w:before="20" w:after="20"/>
              <w:ind w:right="340"/>
              <w:jc w:val="right"/>
              <w:rPr>
                <w:rFonts w:eastAsia="Calibri"/>
                <w:sz w:val="18"/>
                <w:szCs w:val="18"/>
                <w:lang w:eastAsia="en-US"/>
              </w:rPr>
            </w:pPr>
            <w:r w:rsidRPr="00E178FE">
              <w:rPr>
                <w:rFonts w:eastAsia="Calibri"/>
                <w:sz w:val="18"/>
                <w:szCs w:val="18"/>
                <w:lang w:eastAsia="en-US"/>
              </w:rPr>
              <w:t>5</w:t>
            </w:r>
          </w:p>
        </w:tc>
        <w:tc>
          <w:tcPr>
            <w:tcW w:w="1796" w:type="dxa"/>
            <w:tcBorders>
              <w:top w:val="nil"/>
              <w:left w:val="single" w:sz="4" w:space="0" w:color="auto"/>
              <w:bottom w:val="nil"/>
              <w:right w:val="single" w:sz="4" w:space="0" w:color="auto"/>
            </w:tcBorders>
            <w:vAlign w:val="center"/>
          </w:tcPr>
          <w:p w14:paraId="6AB2E91F"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Vancouver</w:t>
            </w:r>
          </w:p>
        </w:tc>
        <w:tc>
          <w:tcPr>
            <w:tcW w:w="2484" w:type="dxa"/>
            <w:tcBorders>
              <w:top w:val="nil"/>
              <w:left w:val="single" w:sz="4" w:space="0" w:color="auto"/>
              <w:bottom w:val="nil"/>
              <w:right w:val="single" w:sz="4" w:space="0" w:color="auto"/>
            </w:tcBorders>
            <w:vAlign w:val="center"/>
          </w:tcPr>
          <w:p w14:paraId="6CA631F6"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Canadá</w:t>
            </w:r>
          </w:p>
        </w:tc>
        <w:tc>
          <w:tcPr>
            <w:tcW w:w="2551" w:type="dxa"/>
            <w:tcBorders>
              <w:top w:val="nil"/>
              <w:left w:val="single" w:sz="4" w:space="0" w:color="auto"/>
              <w:bottom w:val="nil"/>
              <w:right w:val="single" w:sz="4" w:space="0" w:color="auto"/>
            </w:tcBorders>
            <w:vAlign w:val="center"/>
          </w:tcPr>
          <w:p w14:paraId="3ED79331"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América del Norte</w:t>
            </w:r>
          </w:p>
        </w:tc>
      </w:tr>
      <w:tr w:rsidR="00E178FE" w:rsidRPr="00E178FE" w14:paraId="4782C823" w14:textId="77777777" w:rsidTr="00E178FE">
        <w:trPr>
          <w:jc w:val="center"/>
        </w:trPr>
        <w:tc>
          <w:tcPr>
            <w:tcW w:w="1351" w:type="dxa"/>
            <w:tcBorders>
              <w:top w:val="nil"/>
              <w:left w:val="single" w:sz="4" w:space="0" w:color="auto"/>
              <w:bottom w:val="nil"/>
              <w:right w:val="single" w:sz="4" w:space="0" w:color="auto"/>
            </w:tcBorders>
            <w:vAlign w:val="center"/>
          </w:tcPr>
          <w:p w14:paraId="1D37157E" w14:textId="77777777" w:rsidR="00E178FE" w:rsidRPr="00E178FE" w:rsidRDefault="00E178FE" w:rsidP="00E178FE">
            <w:pPr>
              <w:spacing w:before="20" w:after="20"/>
              <w:ind w:right="340"/>
              <w:jc w:val="right"/>
              <w:rPr>
                <w:rFonts w:eastAsia="Calibri"/>
                <w:sz w:val="18"/>
                <w:szCs w:val="18"/>
                <w:lang w:eastAsia="en-US"/>
              </w:rPr>
            </w:pPr>
            <w:r w:rsidRPr="00E178FE">
              <w:rPr>
                <w:rFonts w:eastAsia="Calibri"/>
                <w:sz w:val="18"/>
                <w:szCs w:val="18"/>
                <w:lang w:eastAsia="en-US"/>
              </w:rPr>
              <w:t>6</w:t>
            </w:r>
          </w:p>
        </w:tc>
        <w:tc>
          <w:tcPr>
            <w:tcW w:w="1457" w:type="dxa"/>
            <w:tcBorders>
              <w:top w:val="nil"/>
              <w:left w:val="single" w:sz="4" w:space="0" w:color="auto"/>
              <w:bottom w:val="nil"/>
              <w:right w:val="single" w:sz="4" w:space="0" w:color="auto"/>
            </w:tcBorders>
            <w:vAlign w:val="center"/>
          </w:tcPr>
          <w:p w14:paraId="65404B3A" w14:textId="77777777" w:rsidR="00E178FE" w:rsidRPr="00E178FE" w:rsidRDefault="00E178FE" w:rsidP="00E178FE">
            <w:pPr>
              <w:spacing w:before="20" w:after="20"/>
              <w:ind w:right="340"/>
              <w:jc w:val="right"/>
              <w:rPr>
                <w:rFonts w:eastAsia="Calibri"/>
                <w:sz w:val="18"/>
                <w:szCs w:val="18"/>
                <w:lang w:eastAsia="en-US"/>
              </w:rPr>
            </w:pPr>
            <w:r w:rsidRPr="00E178FE">
              <w:rPr>
                <w:rFonts w:eastAsia="Calibri"/>
                <w:sz w:val="18"/>
                <w:szCs w:val="18"/>
                <w:lang w:eastAsia="en-US"/>
              </w:rPr>
              <w:t>6</w:t>
            </w:r>
          </w:p>
        </w:tc>
        <w:tc>
          <w:tcPr>
            <w:tcW w:w="1796" w:type="dxa"/>
            <w:tcBorders>
              <w:top w:val="nil"/>
              <w:left w:val="single" w:sz="4" w:space="0" w:color="auto"/>
              <w:bottom w:val="nil"/>
              <w:right w:val="single" w:sz="4" w:space="0" w:color="auto"/>
            </w:tcBorders>
            <w:vAlign w:val="center"/>
          </w:tcPr>
          <w:p w14:paraId="6E92E2B5"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Dusseldorf</w:t>
            </w:r>
          </w:p>
        </w:tc>
        <w:tc>
          <w:tcPr>
            <w:tcW w:w="2484" w:type="dxa"/>
            <w:tcBorders>
              <w:top w:val="nil"/>
              <w:left w:val="single" w:sz="4" w:space="0" w:color="auto"/>
              <w:bottom w:val="nil"/>
              <w:right w:val="single" w:sz="4" w:space="0" w:color="auto"/>
            </w:tcBorders>
            <w:vAlign w:val="center"/>
          </w:tcPr>
          <w:p w14:paraId="14103683" w14:textId="77777777" w:rsidR="00E178FE" w:rsidRPr="00E178FE" w:rsidRDefault="00E178FE" w:rsidP="00E178FE">
            <w:pPr>
              <w:rPr>
                <w:rFonts w:ascii="Calibri" w:eastAsia="Calibri" w:hAnsi="Calibri"/>
                <w:sz w:val="22"/>
                <w:szCs w:val="22"/>
                <w:lang w:eastAsia="en-US"/>
              </w:rPr>
            </w:pPr>
            <w:r w:rsidRPr="00E178FE">
              <w:rPr>
                <w:rFonts w:eastAsia="Calibri"/>
                <w:sz w:val="18"/>
                <w:szCs w:val="18"/>
                <w:lang w:eastAsia="en-US"/>
              </w:rPr>
              <w:t>Alemania</w:t>
            </w:r>
          </w:p>
        </w:tc>
        <w:tc>
          <w:tcPr>
            <w:tcW w:w="2551" w:type="dxa"/>
            <w:tcBorders>
              <w:top w:val="nil"/>
              <w:left w:val="single" w:sz="4" w:space="0" w:color="auto"/>
              <w:bottom w:val="nil"/>
              <w:right w:val="single" w:sz="4" w:space="0" w:color="auto"/>
            </w:tcBorders>
            <w:vAlign w:val="center"/>
          </w:tcPr>
          <w:p w14:paraId="4D0803B3"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Europa Occidental</w:t>
            </w:r>
          </w:p>
        </w:tc>
      </w:tr>
      <w:tr w:rsidR="00E178FE" w:rsidRPr="00E178FE" w14:paraId="7F4FB1DF" w14:textId="77777777" w:rsidTr="00E178FE">
        <w:trPr>
          <w:jc w:val="center"/>
        </w:trPr>
        <w:tc>
          <w:tcPr>
            <w:tcW w:w="1351" w:type="dxa"/>
            <w:tcBorders>
              <w:top w:val="nil"/>
              <w:left w:val="single" w:sz="4" w:space="0" w:color="auto"/>
              <w:bottom w:val="nil"/>
              <w:right w:val="single" w:sz="4" w:space="0" w:color="auto"/>
            </w:tcBorders>
            <w:vAlign w:val="center"/>
          </w:tcPr>
          <w:p w14:paraId="7F44C5F2" w14:textId="77777777" w:rsidR="00E178FE" w:rsidRPr="00E178FE" w:rsidRDefault="00E178FE" w:rsidP="00E178FE">
            <w:pPr>
              <w:spacing w:before="20" w:after="20"/>
              <w:ind w:right="340"/>
              <w:jc w:val="right"/>
              <w:rPr>
                <w:rFonts w:eastAsia="Calibri"/>
                <w:sz w:val="18"/>
                <w:szCs w:val="18"/>
                <w:lang w:eastAsia="en-US"/>
              </w:rPr>
            </w:pPr>
            <w:r w:rsidRPr="00E178FE">
              <w:rPr>
                <w:rFonts w:eastAsia="Calibri"/>
                <w:sz w:val="18"/>
                <w:szCs w:val="18"/>
                <w:lang w:eastAsia="en-US"/>
              </w:rPr>
              <w:t>7</w:t>
            </w:r>
          </w:p>
        </w:tc>
        <w:tc>
          <w:tcPr>
            <w:tcW w:w="1457" w:type="dxa"/>
            <w:tcBorders>
              <w:top w:val="nil"/>
              <w:left w:val="single" w:sz="4" w:space="0" w:color="auto"/>
              <w:bottom w:val="nil"/>
              <w:right w:val="single" w:sz="4" w:space="0" w:color="auto"/>
            </w:tcBorders>
            <w:vAlign w:val="center"/>
          </w:tcPr>
          <w:p w14:paraId="0C6ACFF3" w14:textId="77777777" w:rsidR="00E178FE" w:rsidRPr="00E178FE" w:rsidRDefault="00E178FE" w:rsidP="00E178FE">
            <w:pPr>
              <w:spacing w:before="20" w:after="20"/>
              <w:ind w:right="340"/>
              <w:jc w:val="right"/>
              <w:rPr>
                <w:rFonts w:eastAsia="Calibri"/>
                <w:sz w:val="18"/>
                <w:szCs w:val="18"/>
                <w:lang w:eastAsia="en-US"/>
              </w:rPr>
            </w:pPr>
            <w:r w:rsidRPr="00E178FE">
              <w:rPr>
                <w:rFonts w:eastAsia="Calibri"/>
                <w:sz w:val="18"/>
                <w:szCs w:val="18"/>
                <w:lang w:eastAsia="en-US"/>
              </w:rPr>
              <w:t>7</w:t>
            </w:r>
          </w:p>
        </w:tc>
        <w:tc>
          <w:tcPr>
            <w:tcW w:w="1796" w:type="dxa"/>
            <w:tcBorders>
              <w:top w:val="nil"/>
              <w:left w:val="single" w:sz="4" w:space="0" w:color="auto"/>
              <w:bottom w:val="nil"/>
              <w:right w:val="single" w:sz="4" w:space="0" w:color="auto"/>
            </w:tcBorders>
            <w:vAlign w:val="center"/>
          </w:tcPr>
          <w:p w14:paraId="78B85AA4"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Frankfurt</w:t>
            </w:r>
          </w:p>
        </w:tc>
        <w:tc>
          <w:tcPr>
            <w:tcW w:w="2484" w:type="dxa"/>
            <w:tcBorders>
              <w:top w:val="nil"/>
              <w:left w:val="single" w:sz="4" w:space="0" w:color="auto"/>
              <w:bottom w:val="nil"/>
              <w:right w:val="single" w:sz="4" w:space="0" w:color="auto"/>
            </w:tcBorders>
            <w:vAlign w:val="center"/>
          </w:tcPr>
          <w:p w14:paraId="537A3CB7" w14:textId="77777777" w:rsidR="00E178FE" w:rsidRPr="00E178FE" w:rsidRDefault="00E178FE" w:rsidP="00E178FE">
            <w:pPr>
              <w:rPr>
                <w:rFonts w:ascii="Calibri" w:eastAsia="Calibri" w:hAnsi="Calibri"/>
                <w:sz w:val="22"/>
                <w:szCs w:val="22"/>
                <w:lang w:eastAsia="en-US"/>
              </w:rPr>
            </w:pPr>
            <w:r w:rsidRPr="00E178FE">
              <w:rPr>
                <w:rFonts w:eastAsia="Calibri"/>
                <w:sz w:val="18"/>
                <w:szCs w:val="18"/>
                <w:lang w:eastAsia="en-US"/>
              </w:rPr>
              <w:t>Alemania</w:t>
            </w:r>
          </w:p>
        </w:tc>
        <w:tc>
          <w:tcPr>
            <w:tcW w:w="2551" w:type="dxa"/>
            <w:tcBorders>
              <w:top w:val="nil"/>
              <w:left w:val="single" w:sz="4" w:space="0" w:color="auto"/>
              <w:bottom w:val="nil"/>
              <w:right w:val="single" w:sz="4" w:space="0" w:color="auto"/>
            </w:tcBorders>
            <w:vAlign w:val="center"/>
          </w:tcPr>
          <w:p w14:paraId="13780B21"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Europa Occidental</w:t>
            </w:r>
          </w:p>
        </w:tc>
      </w:tr>
      <w:tr w:rsidR="00E178FE" w:rsidRPr="00E178FE" w14:paraId="2C33DAC1" w14:textId="77777777" w:rsidTr="00E178FE">
        <w:trPr>
          <w:jc w:val="center"/>
        </w:trPr>
        <w:tc>
          <w:tcPr>
            <w:tcW w:w="1351" w:type="dxa"/>
            <w:tcBorders>
              <w:top w:val="nil"/>
              <w:left w:val="single" w:sz="4" w:space="0" w:color="auto"/>
              <w:bottom w:val="nil"/>
              <w:right w:val="single" w:sz="4" w:space="0" w:color="auto"/>
            </w:tcBorders>
            <w:vAlign w:val="center"/>
          </w:tcPr>
          <w:p w14:paraId="2F67C3C1" w14:textId="77777777" w:rsidR="00E178FE" w:rsidRPr="00E178FE" w:rsidRDefault="00E178FE" w:rsidP="00E178FE">
            <w:pPr>
              <w:spacing w:before="20" w:after="20"/>
              <w:ind w:right="340"/>
              <w:jc w:val="right"/>
              <w:rPr>
                <w:rFonts w:eastAsia="Calibri"/>
                <w:sz w:val="18"/>
                <w:szCs w:val="18"/>
                <w:lang w:eastAsia="en-US"/>
              </w:rPr>
            </w:pPr>
            <w:r w:rsidRPr="00E178FE">
              <w:rPr>
                <w:rFonts w:eastAsia="Calibri"/>
                <w:sz w:val="18"/>
                <w:szCs w:val="18"/>
                <w:lang w:eastAsia="en-US"/>
              </w:rPr>
              <w:t>8</w:t>
            </w:r>
          </w:p>
        </w:tc>
        <w:tc>
          <w:tcPr>
            <w:tcW w:w="1457" w:type="dxa"/>
            <w:tcBorders>
              <w:top w:val="nil"/>
              <w:left w:val="single" w:sz="4" w:space="0" w:color="auto"/>
              <w:bottom w:val="nil"/>
              <w:right w:val="single" w:sz="4" w:space="0" w:color="auto"/>
            </w:tcBorders>
            <w:vAlign w:val="center"/>
          </w:tcPr>
          <w:p w14:paraId="3ACD93D0" w14:textId="77777777" w:rsidR="00E178FE" w:rsidRPr="00E178FE" w:rsidRDefault="00E178FE" w:rsidP="00E178FE">
            <w:pPr>
              <w:spacing w:before="20" w:after="20"/>
              <w:ind w:right="340"/>
              <w:jc w:val="right"/>
              <w:rPr>
                <w:rFonts w:eastAsia="Calibri"/>
                <w:sz w:val="18"/>
                <w:szCs w:val="18"/>
                <w:lang w:eastAsia="en-US"/>
              </w:rPr>
            </w:pPr>
            <w:r w:rsidRPr="00E178FE">
              <w:rPr>
                <w:rFonts w:eastAsia="Calibri"/>
                <w:sz w:val="18"/>
                <w:szCs w:val="18"/>
                <w:lang w:eastAsia="en-US"/>
              </w:rPr>
              <w:t>8</w:t>
            </w:r>
          </w:p>
        </w:tc>
        <w:tc>
          <w:tcPr>
            <w:tcW w:w="1796" w:type="dxa"/>
            <w:tcBorders>
              <w:top w:val="nil"/>
              <w:left w:val="single" w:sz="4" w:space="0" w:color="auto"/>
              <w:bottom w:val="nil"/>
              <w:right w:val="single" w:sz="4" w:space="0" w:color="auto"/>
            </w:tcBorders>
            <w:vAlign w:val="center"/>
          </w:tcPr>
          <w:p w14:paraId="7BAC5E16"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Ginebra</w:t>
            </w:r>
          </w:p>
        </w:tc>
        <w:tc>
          <w:tcPr>
            <w:tcW w:w="2484" w:type="dxa"/>
            <w:tcBorders>
              <w:top w:val="nil"/>
              <w:left w:val="single" w:sz="4" w:space="0" w:color="auto"/>
              <w:bottom w:val="nil"/>
              <w:right w:val="single" w:sz="4" w:space="0" w:color="auto"/>
            </w:tcBorders>
            <w:vAlign w:val="center"/>
          </w:tcPr>
          <w:p w14:paraId="1EA275CB"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Suiza</w:t>
            </w:r>
          </w:p>
        </w:tc>
        <w:tc>
          <w:tcPr>
            <w:tcW w:w="2551" w:type="dxa"/>
            <w:tcBorders>
              <w:top w:val="nil"/>
              <w:left w:val="single" w:sz="4" w:space="0" w:color="auto"/>
              <w:bottom w:val="nil"/>
              <w:right w:val="single" w:sz="4" w:space="0" w:color="auto"/>
            </w:tcBorders>
            <w:vAlign w:val="center"/>
          </w:tcPr>
          <w:p w14:paraId="598DB3B4"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Europa Occidental</w:t>
            </w:r>
          </w:p>
        </w:tc>
      </w:tr>
      <w:tr w:rsidR="00E178FE" w:rsidRPr="00E178FE" w14:paraId="607148D4" w14:textId="77777777" w:rsidTr="00E178FE">
        <w:trPr>
          <w:jc w:val="center"/>
        </w:trPr>
        <w:tc>
          <w:tcPr>
            <w:tcW w:w="1351" w:type="dxa"/>
            <w:tcBorders>
              <w:top w:val="nil"/>
              <w:left w:val="single" w:sz="4" w:space="0" w:color="auto"/>
              <w:bottom w:val="nil"/>
              <w:right w:val="single" w:sz="4" w:space="0" w:color="auto"/>
            </w:tcBorders>
            <w:vAlign w:val="center"/>
          </w:tcPr>
          <w:p w14:paraId="5C5BFA33" w14:textId="77777777" w:rsidR="00E178FE" w:rsidRPr="00E178FE" w:rsidRDefault="00E178FE" w:rsidP="00E178FE">
            <w:pPr>
              <w:spacing w:before="20" w:after="20"/>
              <w:ind w:right="340"/>
              <w:jc w:val="right"/>
              <w:rPr>
                <w:rFonts w:eastAsia="Calibri"/>
                <w:sz w:val="18"/>
                <w:szCs w:val="18"/>
                <w:lang w:eastAsia="en-US"/>
              </w:rPr>
            </w:pPr>
            <w:r w:rsidRPr="00E178FE">
              <w:rPr>
                <w:rFonts w:eastAsia="Calibri"/>
                <w:sz w:val="18"/>
                <w:szCs w:val="18"/>
                <w:lang w:eastAsia="en-US"/>
              </w:rPr>
              <w:t>9</w:t>
            </w:r>
          </w:p>
        </w:tc>
        <w:tc>
          <w:tcPr>
            <w:tcW w:w="1457" w:type="dxa"/>
            <w:tcBorders>
              <w:top w:val="nil"/>
              <w:left w:val="single" w:sz="4" w:space="0" w:color="auto"/>
              <w:bottom w:val="nil"/>
              <w:right w:val="single" w:sz="4" w:space="0" w:color="auto"/>
            </w:tcBorders>
            <w:vAlign w:val="center"/>
          </w:tcPr>
          <w:p w14:paraId="4F9A596F" w14:textId="77777777" w:rsidR="00E178FE" w:rsidRPr="00E178FE" w:rsidRDefault="00E178FE" w:rsidP="00E178FE">
            <w:pPr>
              <w:spacing w:before="20" w:after="20"/>
              <w:ind w:right="340"/>
              <w:jc w:val="right"/>
              <w:rPr>
                <w:rFonts w:eastAsia="Calibri"/>
                <w:sz w:val="18"/>
                <w:szCs w:val="18"/>
                <w:lang w:eastAsia="en-US"/>
              </w:rPr>
            </w:pPr>
            <w:r w:rsidRPr="00E178FE">
              <w:rPr>
                <w:rFonts w:eastAsia="Calibri"/>
                <w:sz w:val="18"/>
                <w:szCs w:val="18"/>
                <w:lang w:eastAsia="en-US"/>
              </w:rPr>
              <w:t>9</w:t>
            </w:r>
          </w:p>
        </w:tc>
        <w:tc>
          <w:tcPr>
            <w:tcW w:w="1796" w:type="dxa"/>
            <w:tcBorders>
              <w:top w:val="nil"/>
              <w:left w:val="single" w:sz="4" w:space="0" w:color="auto"/>
              <w:bottom w:val="nil"/>
              <w:right w:val="single" w:sz="4" w:space="0" w:color="auto"/>
            </w:tcBorders>
            <w:vAlign w:val="center"/>
          </w:tcPr>
          <w:p w14:paraId="6F65C82B"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Copenhague</w:t>
            </w:r>
          </w:p>
        </w:tc>
        <w:tc>
          <w:tcPr>
            <w:tcW w:w="2484" w:type="dxa"/>
            <w:tcBorders>
              <w:top w:val="nil"/>
              <w:left w:val="single" w:sz="4" w:space="0" w:color="auto"/>
              <w:bottom w:val="nil"/>
              <w:right w:val="single" w:sz="4" w:space="0" w:color="auto"/>
            </w:tcBorders>
            <w:vAlign w:val="center"/>
          </w:tcPr>
          <w:p w14:paraId="2EBD1973"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Dinamarca</w:t>
            </w:r>
          </w:p>
        </w:tc>
        <w:tc>
          <w:tcPr>
            <w:tcW w:w="2551" w:type="dxa"/>
            <w:tcBorders>
              <w:top w:val="nil"/>
              <w:left w:val="single" w:sz="4" w:space="0" w:color="auto"/>
              <w:bottom w:val="nil"/>
              <w:right w:val="single" w:sz="4" w:space="0" w:color="auto"/>
            </w:tcBorders>
            <w:vAlign w:val="center"/>
          </w:tcPr>
          <w:p w14:paraId="2786261F"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Europa Occidental</w:t>
            </w:r>
          </w:p>
        </w:tc>
      </w:tr>
      <w:tr w:rsidR="00E178FE" w:rsidRPr="00E178FE" w14:paraId="046BE6FC" w14:textId="77777777" w:rsidTr="00E178FE">
        <w:trPr>
          <w:jc w:val="center"/>
        </w:trPr>
        <w:tc>
          <w:tcPr>
            <w:tcW w:w="1351" w:type="dxa"/>
            <w:tcBorders>
              <w:top w:val="nil"/>
              <w:left w:val="single" w:sz="4" w:space="0" w:color="auto"/>
              <w:bottom w:val="nil"/>
              <w:right w:val="single" w:sz="4" w:space="0" w:color="auto"/>
            </w:tcBorders>
            <w:vAlign w:val="center"/>
          </w:tcPr>
          <w:p w14:paraId="7503D77C" w14:textId="77777777" w:rsidR="00E178FE" w:rsidRPr="00E178FE" w:rsidRDefault="00E178FE" w:rsidP="00E178FE">
            <w:pPr>
              <w:spacing w:before="20" w:after="20"/>
              <w:ind w:right="340"/>
              <w:jc w:val="right"/>
              <w:rPr>
                <w:rFonts w:eastAsia="Calibri"/>
                <w:sz w:val="18"/>
                <w:szCs w:val="18"/>
                <w:lang w:eastAsia="en-US"/>
              </w:rPr>
            </w:pPr>
            <w:r w:rsidRPr="00E178FE">
              <w:rPr>
                <w:rFonts w:eastAsia="Calibri"/>
                <w:sz w:val="18"/>
                <w:szCs w:val="18"/>
                <w:lang w:eastAsia="en-US"/>
              </w:rPr>
              <w:t>10</w:t>
            </w:r>
          </w:p>
        </w:tc>
        <w:tc>
          <w:tcPr>
            <w:tcW w:w="1457" w:type="dxa"/>
            <w:tcBorders>
              <w:top w:val="nil"/>
              <w:left w:val="single" w:sz="4" w:space="0" w:color="auto"/>
              <w:bottom w:val="nil"/>
              <w:right w:val="single" w:sz="4" w:space="0" w:color="auto"/>
            </w:tcBorders>
            <w:vAlign w:val="center"/>
          </w:tcPr>
          <w:p w14:paraId="2F6EB485" w14:textId="77777777" w:rsidR="00E178FE" w:rsidRPr="00E178FE" w:rsidRDefault="00E178FE" w:rsidP="00E178FE">
            <w:pPr>
              <w:spacing w:before="20" w:after="20"/>
              <w:ind w:right="340"/>
              <w:jc w:val="right"/>
              <w:rPr>
                <w:rFonts w:eastAsia="Calibri"/>
                <w:sz w:val="18"/>
                <w:szCs w:val="18"/>
                <w:lang w:eastAsia="en-US"/>
              </w:rPr>
            </w:pPr>
            <w:r w:rsidRPr="00E178FE">
              <w:rPr>
                <w:rFonts w:eastAsia="Calibri"/>
                <w:sz w:val="18"/>
                <w:szCs w:val="18"/>
                <w:lang w:eastAsia="en-US"/>
              </w:rPr>
              <w:t>10</w:t>
            </w:r>
          </w:p>
        </w:tc>
        <w:tc>
          <w:tcPr>
            <w:tcW w:w="1796" w:type="dxa"/>
            <w:tcBorders>
              <w:top w:val="nil"/>
              <w:left w:val="single" w:sz="4" w:space="0" w:color="auto"/>
              <w:bottom w:val="nil"/>
              <w:right w:val="single" w:sz="4" w:space="0" w:color="auto"/>
            </w:tcBorders>
            <w:vAlign w:val="center"/>
          </w:tcPr>
          <w:p w14:paraId="4510318D"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Sídney</w:t>
            </w:r>
          </w:p>
        </w:tc>
        <w:tc>
          <w:tcPr>
            <w:tcW w:w="2484" w:type="dxa"/>
            <w:tcBorders>
              <w:top w:val="nil"/>
              <w:left w:val="single" w:sz="4" w:space="0" w:color="auto"/>
              <w:bottom w:val="nil"/>
              <w:right w:val="single" w:sz="4" w:space="0" w:color="auto"/>
            </w:tcBorders>
            <w:vAlign w:val="center"/>
          </w:tcPr>
          <w:p w14:paraId="1949C2E5"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Australia</w:t>
            </w:r>
          </w:p>
        </w:tc>
        <w:tc>
          <w:tcPr>
            <w:tcW w:w="2551" w:type="dxa"/>
            <w:tcBorders>
              <w:top w:val="nil"/>
              <w:left w:val="single" w:sz="4" w:space="0" w:color="auto"/>
              <w:bottom w:val="nil"/>
              <w:right w:val="single" w:sz="4" w:space="0" w:color="auto"/>
            </w:tcBorders>
            <w:vAlign w:val="center"/>
          </w:tcPr>
          <w:p w14:paraId="3DC68869"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Asia y el Pacífico</w:t>
            </w:r>
          </w:p>
        </w:tc>
      </w:tr>
      <w:tr w:rsidR="00E178FE" w:rsidRPr="00E178FE" w14:paraId="02C52671" w14:textId="77777777" w:rsidTr="00E178FE">
        <w:trPr>
          <w:jc w:val="center"/>
        </w:trPr>
        <w:tc>
          <w:tcPr>
            <w:tcW w:w="1351" w:type="dxa"/>
            <w:tcBorders>
              <w:top w:val="nil"/>
              <w:left w:val="single" w:sz="4" w:space="0" w:color="auto"/>
              <w:bottom w:val="nil"/>
              <w:right w:val="single" w:sz="4" w:space="0" w:color="auto"/>
            </w:tcBorders>
            <w:vAlign w:val="center"/>
          </w:tcPr>
          <w:p w14:paraId="3A8905EC" w14:textId="77777777" w:rsidR="00E178FE" w:rsidRPr="00E178FE" w:rsidRDefault="00E178FE" w:rsidP="00E178FE">
            <w:pPr>
              <w:spacing w:before="20" w:after="20"/>
              <w:ind w:right="340"/>
              <w:jc w:val="right"/>
              <w:rPr>
                <w:rFonts w:eastAsia="Calibri"/>
                <w:sz w:val="18"/>
                <w:szCs w:val="18"/>
                <w:lang w:eastAsia="en-US"/>
              </w:rPr>
            </w:pPr>
            <w:r w:rsidRPr="00E178FE">
              <w:rPr>
                <w:rFonts w:eastAsia="Calibri"/>
                <w:sz w:val="18"/>
                <w:szCs w:val="18"/>
                <w:lang w:eastAsia="en-US"/>
              </w:rPr>
              <w:t>69</w:t>
            </w:r>
          </w:p>
        </w:tc>
        <w:tc>
          <w:tcPr>
            <w:tcW w:w="1457" w:type="dxa"/>
            <w:tcBorders>
              <w:top w:val="nil"/>
              <w:left w:val="single" w:sz="4" w:space="0" w:color="auto"/>
              <w:bottom w:val="nil"/>
              <w:right w:val="single" w:sz="4" w:space="0" w:color="auto"/>
            </w:tcBorders>
            <w:vAlign w:val="center"/>
          </w:tcPr>
          <w:p w14:paraId="35B5074D" w14:textId="77777777" w:rsidR="00E178FE" w:rsidRPr="00E178FE" w:rsidRDefault="00E178FE" w:rsidP="00E178FE">
            <w:pPr>
              <w:spacing w:before="20" w:after="20"/>
              <w:ind w:right="340"/>
              <w:jc w:val="right"/>
              <w:rPr>
                <w:rFonts w:eastAsia="Calibri"/>
                <w:sz w:val="18"/>
                <w:szCs w:val="18"/>
                <w:lang w:eastAsia="en-US"/>
              </w:rPr>
            </w:pPr>
            <w:r w:rsidRPr="00E178FE">
              <w:rPr>
                <w:rFonts w:eastAsia="Calibri"/>
                <w:sz w:val="18"/>
                <w:szCs w:val="18"/>
                <w:lang w:eastAsia="en-US"/>
              </w:rPr>
              <w:t>69</w:t>
            </w:r>
          </w:p>
        </w:tc>
        <w:tc>
          <w:tcPr>
            <w:tcW w:w="1796" w:type="dxa"/>
            <w:tcBorders>
              <w:top w:val="nil"/>
              <w:left w:val="single" w:sz="4" w:space="0" w:color="auto"/>
              <w:bottom w:val="nil"/>
              <w:right w:val="single" w:sz="4" w:space="0" w:color="auto"/>
            </w:tcBorders>
            <w:vAlign w:val="center"/>
          </w:tcPr>
          <w:p w14:paraId="7CE5E345"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Pointe-A-Pitre</w:t>
            </w:r>
          </w:p>
        </w:tc>
        <w:tc>
          <w:tcPr>
            <w:tcW w:w="2484" w:type="dxa"/>
            <w:tcBorders>
              <w:top w:val="nil"/>
              <w:left w:val="single" w:sz="4" w:space="0" w:color="auto"/>
              <w:bottom w:val="nil"/>
              <w:right w:val="single" w:sz="4" w:space="0" w:color="auto"/>
            </w:tcBorders>
            <w:vAlign w:val="center"/>
          </w:tcPr>
          <w:p w14:paraId="1A4CC727"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Guadalupe</w:t>
            </w:r>
          </w:p>
        </w:tc>
        <w:tc>
          <w:tcPr>
            <w:tcW w:w="2551" w:type="dxa"/>
            <w:tcBorders>
              <w:top w:val="nil"/>
              <w:left w:val="single" w:sz="4" w:space="0" w:color="auto"/>
              <w:bottom w:val="nil"/>
              <w:right w:val="single" w:sz="4" w:space="0" w:color="auto"/>
            </w:tcBorders>
            <w:vAlign w:val="center"/>
          </w:tcPr>
          <w:p w14:paraId="0E80EB07"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América del Norte</w:t>
            </w:r>
          </w:p>
        </w:tc>
      </w:tr>
      <w:tr w:rsidR="00E178FE" w:rsidRPr="00E178FE" w14:paraId="1DFA50EE" w14:textId="77777777" w:rsidTr="00E178FE">
        <w:trPr>
          <w:jc w:val="center"/>
        </w:trPr>
        <w:tc>
          <w:tcPr>
            <w:tcW w:w="1351" w:type="dxa"/>
            <w:tcBorders>
              <w:top w:val="nil"/>
              <w:left w:val="single" w:sz="4" w:space="0" w:color="auto"/>
              <w:bottom w:val="nil"/>
              <w:right w:val="single" w:sz="4" w:space="0" w:color="auto"/>
            </w:tcBorders>
            <w:vAlign w:val="center"/>
          </w:tcPr>
          <w:p w14:paraId="606067AF" w14:textId="77777777" w:rsidR="00E178FE" w:rsidRPr="00E178FE" w:rsidRDefault="00E178FE" w:rsidP="00E178FE">
            <w:pPr>
              <w:spacing w:before="20" w:after="20"/>
              <w:ind w:right="340"/>
              <w:jc w:val="right"/>
              <w:rPr>
                <w:rFonts w:eastAsia="Calibri"/>
                <w:sz w:val="18"/>
                <w:szCs w:val="18"/>
                <w:lang w:eastAsia="en-US"/>
              </w:rPr>
            </w:pPr>
            <w:r w:rsidRPr="00E178FE">
              <w:rPr>
                <w:rFonts w:eastAsia="Calibri"/>
                <w:sz w:val="18"/>
                <w:szCs w:val="18"/>
                <w:lang w:eastAsia="en-US"/>
              </w:rPr>
              <w:t>77</w:t>
            </w:r>
          </w:p>
        </w:tc>
        <w:tc>
          <w:tcPr>
            <w:tcW w:w="1457" w:type="dxa"/>
            <w:tcBorders>
              <w:top w:val="nil"/>
              <w:left w:val="single" w:sz="4" w:space="0" w:color="auto"/>
              <w:bottom w:val="nil"/>
              <w:right w:val="single" w:sz="4" w:space="0" w:color="auto"/>
            </w:tcBorders>
            <w:vAlign w:val="center"/>
          </w:tcPr>
          <w:p w14:paraId="6D768BFA" w14:textId="77777777" w:rsidR="00E178FE" w:rsidRPr="00E178FE" w:rsidRDefault="00E178FE" w:rsidP="00E178FE">
            <w:pPr>
              <w:spacing w:before="20" w:after="20"/>
              <w:ind w:right="340"/>
              <w:jc w:val="right"/>
              <w:rPr>
                <w:rFonts w:eastAsia="Calibri"/>
                <w:sz w:val="18"/>
                <w:szCs w:val="18"/>
                <w:lang w:eastAsia="en-US"/>
              </w:rPr>
            </w:pPr>
            <w:r w:rsidRPr="00E178FE">
              <w:rPr>
                <w:rFonts w:eastAsia="Calibri"/>
                <w:sz w:val="18"/>
                <w:szCs w:val="18"/>
                <w:lang w:eastAsia="en-US"/>
              </w:rPr>
              <w:t>78</w:t>
            </w:r>
          </w:p>
        </w:tc>
        <w:tc>
          <w:tcPr>
            <w:tcW w:w="1796" w:type="dxa"/>
            <w:tcBorders>
              <w:top w:val="nil"/>
              <w:left w:val="single" w:sz="4" w:space="0" w:color="auto"/>
              <w:bottom w:val="nil"/>
              <w:right w:val="single" w:sz="4" w:space="0" w:color="auto"/>
            </w:tcBorders>
            <w:vAlign w:val="center"/>
          </w:tcPr>
          <w:p w14:paraId="77E4D9C6"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Montevideo</w:t>
            </w:r>
          </w:p>
        </w:tc>
        <w:tc>
          <w:tcPr>
            <w:tcW w:w="2484" w:type="dxa"/>
            <w:tcBorders>
              <w:top w:val="nil"/>
              <w:left w:val="single" w:sz="4" w:space="0" w:color="auto"/>
              <w:bottom w:val="nil"/>
              <w:right w:val="single" w:sz="4" w:space="0" w:color="auto"/>
            </w:tcBorders>
            <w:vAlign w:val="center"/>
          </w:tcPr>
          <w:p w14:paraId="218366C2"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Uruguay</w:t>
            </w:r>
          </w:p>
        </w:tc>
        <w:tc>
          <w:tcPr>
            <w:tcW w:w="2551" w:type="dxa"/>
            <w:tcBorders>
              <w:top w:val="nil"/>
              <w:left w:val="single" w:sz="4" w:space="0" w:color="auto"/>
              <w:bottom w:val="nil"/>
              <w:right w:val="single" w:sz="4" w:space="0" w:color="auto"/>
            </w:tcBorders>
            <w:vAlign w:val="center"/>
          </w:tcPr>
          <w:p w14:paraId="4909F49F"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América del Sur</w:t>
            </w:r>
          </w:p>
        </w:tc>
      </w:tr>
      <w:tr w:rsidR="00E178FE" w:rsidRPr="00E178FE" w14:paraId="44D95EE5" w14:textId="77777777" w:rsidTr="00E178FE">
        <w:trPr>
          <w:jc w:val="center"/>
        </w:trPr>
        <w:tc>
          <w:tcPr>
            <w:tcW w:w="1351" w:type="dxa"/>
            <w:tcBorders>
              <w:top w:val="nil"/>
              <w:left w:val="single" w:sz="4" w:space="0" w:color="auto"/>
              <w:bottom w:val="nil"/>
              <w:right w:val="single" w:sz="4" w:space="0" w:color="auto"/>
            </w:tcBorders>
            <w:vAlign w:val="center"/>
          </w:tcPr>
          <w:p w14:paraId="26FF73C8" w14:textId="77777777" w:rsidR="00E178FE" w:rsidRPr="00E178FE" w:rsidRDefault="00E178FE" w:rsidP="00E178FE">
            <w:pPr>
              <w:spacing w:before="20" w:after="20"/>
              <w:ind w:right="340"/>
              <w:jc w:val="right"/>
              <w:rPr>
                <w:rFonts w:eastAsia="Calibri"/>
                <w:sz w:val="18"/>
                <w:szCs w:val="18"/>
                <w:lang w:eastAsia="en-US"/>
              </w:rPr>
            </w:pPr>
            <w:r w:rsidRPr="00E178FE">
              <w:rPr>
                <w:rFonts w:eastAsia="Calibri"/>
                <w:sz w:val="18"/>
                <w:szCs w:val="18"/>
                <w:lang w:eastAsia="en-US"/>
              </w:rPr>
              <w:t>81</w:t>
            </w:r>
          </w:p>
        </w:tc>
        <w:tc>
          <w:tcPr>
            <w:tcW w:w="1457" w:type="dxa"/>
            <w:tcBorders>
              <w:top w:val="nil"/>
              <w:left w:val="single" w:sz="4" w:space="0" w:color="auto"/>
              <w:bottom w:val="nil"/>
              <w:right w:val="single" w:sz="4" w:space="0" w:color="auto"/>
            </w:tcBorders>
            <w:vAlign w:val="center"/>
          </w:tcPr>
          <w:p w14:paraId="310997C6" w14:textId="77777777" w:rsidR="00E178FE" w:rsidRPr="00E178FE" w:rsidRDefault="00E178FE" w:rsidP="00E178FE">
            <w:pPr>
              <w:spacing w:before="20" w:after="20"/>
              <w:ind w:right="340"/>
              <w:jc w:val="right"/>
              <w:rPr>
                <w:rFonts w:eastAsia="Calibri"/>
                <w:sz w:val="18"/>
                <w:szCs w:val="18"/>
                <w:lang w:eastAsia="en-US"/>
              </w:rPr>
            </w:pPr>
            <w:r w:rsidRPr="00E178FE">
              <w:rPr>
                <w:rFonts w:eastAsia="Calibri"/>
                <w:sz w:val="18"/>
                <w:szCs w:val="18"/>
                <w:lang w:eastAsia="en-US"/>
              </w:rPr>
              <w:t>91</w:t>
            </w:r>
          </w:p>
        </w:tc>
        <w:tc>
          <w:tcPr>
            <w:tcW w:w="1796" w:type="dxa"/>
            <w:tcBorders>
              <w:top w:val="nil"/>
              <w:left w:val="single" w:sz="4" w:space="0" w:color="auto"/>
              <w:bottom w:val="nil"/>
              <w:right w:val="single" w:sz="4" w:space="0" w:color="auto"/>
            </w:tcBorders>
            <w:vAlign w:val="center"/>
          </w:tcPr>
          <w:p w14:paraId="581051C8"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Buenos Aires</w:t>
            </w:r>
          </w:p>
        </w:tc>
        <w:tc>
          <w:tcPr>
            <w:tcW w:w="2484" w:type="dxa"/>
            <w:tcBorders>
              <w:top w:val="nil"/>
              <w:left w:val="single" w:sz="4" w:space="0" w:color="auto"/>
              <w:bottom w:val="nil"/>
              <w:right w:val="single" w:sz="4" w:space="0" w:color="auto"/>
            </w:tcBorders>
            <w:vAlign w:val="center"/>
          </w:tcPr>
          <w:p w14:paraId="051E511B"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Argentina</w:t>
            </w:r>
          </w:p>
        </w:tc>
        <w:tc>
          <w:tcPr>
            <w:tcW w:w="2551" w:type="dxa"/>
            <w:tcBorders>
              <w:top w:val="nil"/>
              <w:left w:val="single" w:sz="4" w:space="0" w:color="auto"/>
              <w:bottom w:val="nil"/>
              <w:right w:val="single" w:sz="4" w:space="0" w:color="auto"/>
            </w:tcBorders>
            <w:vAlign w:val="center"/>
          </w:tcPr>
          <w:p w14:paraId="771A3E6A"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América del Sur</w:t>
            </w:r>
          </w:p>
        </w:tc>
      </w:tr>
      <w:tr w:rsidR="00E178FE" w:rsidRPr="00E178FE" w14:paraId="7D11CDDB" w14:textId="77777777" w:rsidTr="00E178FE">
        <w:trPr>
          <w:jc w:val="center"/>
        </w:trPr>
        <w:tc>
          <w:tcPr>
            <w:tcW w:w="1351" w:type="dxa"/>
            <w:tcBorders>
              <w:top w:val="nil"/>
              <w:left w:val="single" w:sz="4" w:space="0" w:color="auto"/>
              <w:bottom w:val="nil"/>
              <w:right w:val="single" w:sz="4" w:space="0" w:color="auto"/>
            </w:tcBorders>
            <w:vAlign w:val="center"/>
          </w:tcPr>
          <w:p w14:paraId="621A50BB" w14:textId="77777777" w:rsidR="00E178FE" w:rsidRPr="00E178FE" w:rsidRDefault="00E178FE" w:rsidP="00E178FE">
            <w:pPr>
              <w:spacing w:before="20" w:after="20"/>
              <w:ind w:right="340"/>
              <w:jc w:val="right"/>
              <w:rPr>
                <w:rFonts w:eastAsia="Calibri"/>
                <w:sz w:val="18"/>
                <w:szCs w:val="18"/>
                <w:lang w:eastAsia="en-US"/>
              </w:rPr>
            </w:pPr>
            <w:r w:rsidRPr="00E178FE">
              <w:rPr>
                <w:rFonts w:eastAsia="Calibri"/>
                <w:sz w:val="18"/>
                <w:szCs w:val="18"/>
                <w:lang w:eastAsia="en-US"/>
              </w:rPr>
              <w:t>93</w:t>
            </w:r>
          </w:p>
        </w:tc>
        <w:tc>
          <w:tcPr>
            <w:tcW w:w="1457" w:type="dxa"/>
            <w:tcBorders>
              <w:top w:val="nil"/>
              <w:left w:val="single" w:sz="4" w:space="0" w:color="auto"/>
              <w:bottom w:val="nil"/>
              <w:right w:val="single" w:sz="4" w:space="0" w:color="auto"/>
            </w:tcBorders>
            <w:vAlign w:val="center"/>
          </w:tcPr>
          <w:p w14:paraId="2697F219" w14:textId="77777777" w:rsidR="00E178FE" w:rsidRPr="00E178FE" w:rsidRDefault="00E178FE" w:rsidP="00E178FE">
            <w:pPr>
              <w:spacing w:before="20" w:after="20"/>
              <w:ind w:right="340"/>
              <w:jc w:val="right"/>
              <w:rPr>
                <w:rFonts w:eastAsia="Calibri"/>
                <w:sz w:val="18"/>
                <w:szCs w:val="18"/>
                <w:lang w:eastAsia="en-US"/>
              </w:rPr>
            </w:pPr>
            <w:r w:rsidRPr="00E178FE">
              <w:rPr>
                <w:rFonts w:eastAsia="Calibri"/>
                <w:sz w:val="18"/>
                <w:szCs w:val="18"/>
                <w:lang w:eastAsia="en-US"/>
              </w:rPr>
              <w:t>93</w:t>
            </w:r>
          </w:p>
        </w:tc>
        <w:tc>
          <w:tcPr>
            <w:tcW w:w="1796" w:type="dxa"/>
            <w:tcBorders>
              <w:top w:val="nil"/>
              <w:left w:val="single" w:sz="4" w:space="0" w:color="auto"/>
              <w:bottom w:val="nil"/>
              <w:right w:val="single" w:sz="4" w:space="0" w:color="auto"/>
            </w:tcBorders>
            <w:vAlign w:val="center"/>
          </w:tcPr>
          <w:p w14:paraId="2E2F6C98"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Santiago</w:t>
            </w:r>
          </w:p>
        </w:tc>
        <w:tc>
          <w:tcPr>
            <w:tcW w:w="2484" w:type="dxa"/>
            <w:tcBorders>
              <w:top w:val="nil"/>
              <w:left w:val="single" w:sz="4" w:space="0" w:color="auto"/>
              <w:bottom w:val="nil"/>
              <w:right w:val="single" w:sz="4" w:space="0" w:color="auto"/>
            </w:tcBorders>
            <w:vAlign w:val="center"/>
          </w:tcPr>
          <w:p w14:paraId="6C65CFF1"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Chile</w:t>
            </w:r>
          </w:p>
        </w:tc>
        <w:tc>
          <w:tcPr>
            <w:tcW w:w="2551" w:type="dxa"/>
            <w:tcBorders>
              <w:top w:val="nil"/>
              <w:left w:val="single" w:sz="4" w:space="0" w:color="auto"/>
              <w:bottom w:val="nil"/>
              <w:right w:val="single" w:sz="4" w:space="0" w:color="auto"/>
            </w:tcBorders>
            <w:vAlign w:val="center"/>
          </w:tcPr>
          <w:p w14:paraId="18E750C1"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América del Sur</w:t>
            </w:r>
          </w:p>
        </w:tc>
      </w:tr>
      <w:tr w:rsidR="00E178FE" w:rsidRPr="00E178FE" w14:paraId="18ABCB22" w14:textId="77777777" w:rsidTr="00E178FE">
        <w:trPr>
          <w:jc w:val="center"/>
        </w:trPr>
        <w:tc>
          <w:tcPr>
            <w:tcW w:w="1351" w:type="dxa"/>
            <w:tcBorders>
              <w:top w:val="nil"/>
              <w:left w:val="single" w:sz="4" w:space="0" w:color="auto"/>
              <w:bottom w:val="nil"/>
              <w:right w:val="single" w:sz="4" w:space="0" w:color="auto"/>
            </w:tcBorders>
            <w:vAlign w:val="center"/>
          </w:tcPr>
          <w:p w14:paraId="2F135148" w14:textId="77777777" w:rsidR="00E178FE" w:rsidRPr="00E178FE" w:rsidRDefault="00E178FE" w:rsidP="00E178FE">
            <w:pPr>
              <w:spacing w:before="20" w:after="20"/>
              <w:ind w:right="340"/>
              <w:jc w:val="right"/>
              <w:rPr>
                <w:rFonts w:eastAsia="Calibri"/>
                <w:sz w:val="18"/>
                <w:szCs w:val="18"/>
                <w:lang w:eastAsia="en-US"/>
              </w:rPr>
            </w:pPr>
            <w:r w:rsidRPr="00E178FE">
              <w:rPr>
                <w:rFonts w:eastAsia="Calibri"/>
                <w:sz w:val="18"/>
                <w:szCs w:val="18"/>
                <w:lang w:eastAsia="en-US"/>
              </w:rPr>
              <w:t>120</w:t>
            </w:r>
          </w:p>
        </w:tc>
        <w:tc>
          <w:tcPr>
            <w:tcW w:w="1457" w:type="dxa"/>
            <w:tcBorders>
              <w:top w:val="nil"/>
              <w:left w:val="single" w:sz="4" w:space="0" w:color="auto"/>
              <w:bottom w:val="nil"/>
              <w:right w:val="single" w:sz="4" w:space="0" w:color="auto"/>
            </w:tcBorders>
            <w:vAlign w:val="center"/>
          </w:tcPr>
          <w:p w14:paraId="1322016A" w14:textId="77777777" w:rsidR="00E178FE" w:rsidRPr="00E178FE" w:rsidRDefault="00E178FE" w:rsidP="00E178FE">
            <w:pPr>
              <w:spacing w:before="20" w:after="20"/>
              <w:ind w:right="340"/>
              <w:jc w:val="right"/>
              <w:rPr>
                <w:rFonts w:eastAsia="Calibri"/>
                <w:sz w:val="18"/>
                <w:szCs w:val="18"/>
                <w:lang w:eastAsia="en-US"/>
              </w:rPr>
            </w:pPr>
            <w:r w:rsidRPr="00E178FE">
              <w:rPr>
                <w:rFonts w:eastAsia="Calibri"/>
                <w:sz w:val="18"/>
                <w:szCs w:val="18"/>
                <w:lang w:eastAsia="en-US"/>
              </w:rPr>
              <w:t>120</w:t>
            </w:r>
          </w:p>
        </w:tc>
        <w:tc>
          <w:tcPr>
            <w:tcW w:w="1796" w:type="dxa"/>
            <w:tcBorders>
              <w:top w:val="nil"/>
              <w:left w:val="single" w:sz="4" w:space="0" w:color="auto"/>
              <w:bottom w:val="nil"/>
              <w:right w:val="single" w:sz="4" w:space="0" w:color="auto"/>
            </w:tcBorders>
            <w:vAlign w:val="center"/>
          </w:tcPr>
          <w:p w14:paraId="1A9CF336"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Sao Paulo</w:t>
            </w:r>
          </w:p>
        </w:tc>
        <w:tc>
          <w:tcPr>
            <w:tcW w:w="2484" w:type="dxa"/>
            <w:tcBorders>
              <w:top w:val="nil"/>
              <w:left w:val="single" w:sz="4" w:space="0" w:color="auto"/>
              <w:bottom w:val="nil"/>
              <w:right w:val="single" w:sz="4" w:space="0" w:color="auto"/>
            </w:tcBorders>
            <w:vAlign w:val="center"/>
          </w:tcPr>
          <w:p w14:paraId="122B1ED5"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Brasil</w:t>
            </w:r>
          </w:p>
        </w:tc>
        <w:tc>
          <w:tcPr>
            <w:tcW w:w="2551" w:type="dxa"/>
            <w:tcBorders>
              <w:top w:val="nil"/>
              <w:left w:val="single" w:sz="4" w:space="0" w:color="auto"/>
              <w:bottom w:val="nil"/>
              <w:right w:val="single" w:sz="4" w:space="0" w:color="auto"/>
            </w:tcBorders>
            <w:vAlign w:val="center"/>
          </w:tcPr>
          <w:p w14:paraId="1B4A9E68"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América del Sur</w:t>
            </w:r>
          </w:p>
        </w:tc>
      </w:tr>
      <w:tr w:rsidR="00E178FE" w:rsidRPr="00E178FE" w14:paraId="126DFF27" w14:textId="77777777" w:rsidTr="00E178FE">
        <w:trPr>
          <w:jc w:val="center"/>
        </w:trPr>
        <w:tc>
          <w:tcPr>
            <w:tcW w:w="1351" w:type="dxa"/>
            <w:tcBorders>
              <w:top w:val="nil"/>
              <w:left w:val="single" w:sz="4" w:space="0" w:color="auto"/>
              <w:bottom w:val="nil"/>
              <w:right w:val="single" w:sz="4" w:space="0" w:color="auto"/>
            </w:tcBorders>
            <w:vAlign w:val="center"/>
          </w:tcPr>
          <w:p w14:paraId="119C988B" w14:textId="77777777" w:rsidR="00E178FE" w:rsidRPr="00E178FE" w:rsidRDefault="00E178FE" w:rsidP="00E178FE">
            <w:pPr>
              <w:spacing w:before="20" w:after="20"/>
              <w:ind w:right="340"/>
              <w:jc w:val="right"/>
              <w:rPr>
                <w:rFonts w:eastAsia="Calibri"/>
                <w:sz w:val="18"/>
                <w:szCs w:val="18"/>
                <w:lang w:eastAsia="en-US"/>
              </w:rPr>
            </w:pPr>
            <w:r w:rsidRPr="00E178FE">
              <w:rPr>
                <w:rFonts w:eastAsia="Calibri"/>
                <w:sz w:val="18"/>
                <w:szCs w:val="18"/>
                <w:lang w:eastAsia="en-US"/>
              </w:rPr>
              <w:t>124</w:t>
            </w:r>
          </w:p>
        </w:tc>
        <w:tc>
          <w:tcPr>
            <w:tcW w:w="1457" w:type="dxa"/>
            <w:tcBorders>
              <w:top w:val="nil"/>
              <w:left w:val="single" w:sz="4" w:space="0" w:color="auto"/>
              <w:bottom w:val="nil"/>
              <w:right w:val="single" w:sz="4" w:space="0" w:color="auto"/>
            </w:tcBorders>
            <w:vAlign w:val="center"/>
          </w:tcPr>
          <w:p w14:paraId="3F94C105" w14:textId="77777777" w:rsidR="00E178FE" w:rsidRPr="00E178FE" w:rsidRDefault="00E178FE" w:rsidP="00E178FE">
            <w:pPr>
              <w:spacing w:before="20" w:after="20"/>
              <w:ind w:right="340"/>
              <w:jc w:val="right"/>
              <w:rPr>
                <w:rFonts w:eastAsia="Calibri"/>
                <w:sz w:val="18"/>
                <w:szCs w:val="18"/>
                <w:lang w:eastAsia="en-US"/>
              </w:rPr>
            </w:pPr>
            <w:r w:rsidRPr="00E178FE">
              <w:rPr>
                <w:rFonts w:eastAsia="Calibri"/>
                <w:sz w:val="18"/>
                <w:szCs w:val="18"/>
                <w:lang w:eastAsia="en-US"/>
              </w:rPr>
              <w:t>124</w:t>
            </w:r>
          </w:p>
        </w:tc>
        <w:tc>
          <w:tcPr>
            <w:tcW w:w="1796" w:type="dxa"/>
            <w:tcBorders>
              <w:top w:val="nil"/>
              <w:left w:val="single" w:sz="4" w:space="0" w:color="auto"/>
              <w:bottom w:val="nil"/>
              <w:right w:val="single" w:sz="4" w:space="0" w:color="auto"/>
            </w:tcBorders>
            <w:vAlign w:val="center"/>
          </w:tcPr>
          <w:p w14:paraId="48BDC351"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Lima</w:t>
            </w:r>
          </w:p>
        </w:tc>
        <w:tc>
          <w:tcPr>
            <w:tcW w:w="2484" w:type="dxa"/>
            <w:tcBorders>
              <w:top w:val="nil"/>
              <w:left w:val="single" w:sz="4" w:space="0" w:color="auto"/>
              <w:bottom w:val="nil"/>
              <w:right w:val="single" w:sz="4" w:space="0" w:color="auto"/>
            </w:tcBorders>
            <w:vAlign w:val="center"/>
          </w:tcPr>
          <w:p w14:paraId="32FAE6D9"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Perú</w:t>
            </w:r>
          </w:p>
        </w:tc>
        <w:tc>
          <w:tcPr>
            <w:tcW w:w="2551" w:type="dxa"/>
            <w:tcBorders>
              <w:top w:val="nil"/>
              <w:left w:val="single" w:sz="4" w:space="0" w:color="auto"/>
              <w:bottom w:val="nil"/>
              <w:right w:val="single" w:sz="4" w:space="0" w:color="auto"/>
            </w:tcBorders>
            <w:vAlign w:val="center"/>
          </w:tcPr>
          <w:p w14:paraId="5E76E64D"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América del Sur</w:t>
            </w:r>
          </w:p>
        </w:tc>
      </w:tr>
      <w:tr w:rsidR="00E178FE" w:rsidRPr="00E178FE" w14:paraId="428920EC" w14:textId="77777777" w:rsidTr="00E178FE">
        <w:trPr>
          <w:jc w:val="center"/>
        </w:trPr>
        <w:tc>
          <w:tcPr>
            <w:tcW w:w="1351" w:type="dxa"/>
            <w:tcBorders>
              <w:top w:val="nil"/>
              <w:left w:val="single" w:sz="4" w:space="0" w:color="auto"/>
              <w:bottom w:val="nil"/>
              <w:right w:val="single" w:sz="4" w:space="0" w:color="auto"/>
            </w:tcBorders>
            <w:vAlign w:val="center"/>
          </w:tcPr>
          <w:p w14:paraId="20E23337" w14:textId="77777777" w:rsidR="00E178FE" w:rsidRPr="00E178FE" w:rsidRDefault="00E178FE" w:rsidP="00E178FE">
            <w:pPr>
              <w:spacing w:before="20" w:after="20"/>
              <w:ind w:right="340"/>
              <w:jc w:val="right"/>
              <w:rPr>
                <w:rFonts w:eastAsia="Calibri"/>
                <w:sz w:val="18"/>
                <w:szCs w:val="18"/>
                <w:lang w:eastAsia="en-US"/>
              </w:rPr>
            </w:pPr>
            <w:r w:rsidRPr="00E178FE">
              <w:rPr>
                <w:rFonts w:eastAsia="Calibri"/>
                <w:sz w:val="18"/>
                <w:szCs w:val="18"/>
                <w:lang w:eastAsia="en-US"/>
              </w:rPr>
              <w:t>122</w:t>
            </w:r>
          </w:p>
        </w:tc>
        <w:tc>
          <w:tcPr>
            <w:tcW w:w="1457" w:type="dxa"/>
            <w:tcBorders>
              <w:top w:val="nil"/>
              <w:left w:val="single" w:sz="4" w:space="0" w:color="auto"/>
              <w:bottom w:val="nil"/>
              <w:right w:val="single" w:sz="4" w:space="0" w:color="auto"/>
            </w:tcBorders>
            <w:vAlign w:val="center"/>
          </w:tcPr>
          <w:p w14:paraId="20D399BA" w14:textId="77777777" w:rsidR="00E178FE" w:rsidRPr="00E178FE" w:rsidRDefault="00E178FE" w:rsidP="00E178FE">
            <w:pPr>
              <w:spacing w:before="20" w:after="20"/>
              <w:ind w:right="340"/>
              <w:jc w:val="right"/>
              <w:rPr>
                <w:rFonts w:eastAsia="Calibri"/>
                <w:sz w:val="18"/>
                <w:szCs w:val="18"/>
                <w:lang w:eastAsia="en-US"/>
              </w:rPr>
            </w:pPr>
            <w:r w:rsidRPr="00E178FE">
              <w:rPr>
                <w:rFonts w:eastAsia="Calibri"/>
                <w:sz w:val="18"/>
                <w:szCs w:val="18"/>
                <w:lang w:eastAsia="en-US"/>
              </w:rPr>
              <w:t>126</w:t>
            </w:r>
          </w:p>
        </w:tc>
        <w:tc>
          <w:tcPr>
            <w:tcW w:w="1796" w:type="dxa"/>
            <w:tcBorders>
              <w:top w:val="nil"/>
              <w:left w:val="single" w:sz="4" w:space="0" w:color="auto"/>
              <w:bottom w:val="nil"/>
              <w:right w:val="single" w:sz="4" w:space="0" w:color="auto"/>
            </w:tcBorders>
            <w:vAlign w:val="center"/>
          </w:tcPr>
          <w:p w14:paraId="70BD38C1"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Ciudad de México</w:t>
            </w:r>
          </w:p>
        </w:tc>
        <w:tc>
          <w:tcPr>
            <w:tcW w:w="2484" w:type="dxa"/>
            <w:tcBorders>
              <w:top w:val="nil"/>
              <w:left w:val="single" w:sz="4" w:space="0" w:color="auto"/>
              <w:bottom w:val="nil"/>
              <w:right w:val="single" w:sz="4" w:space="0" w:color="auto"/>
            </w:tcBorders>
            <w:vAlign w:val="center"/>
          </w:tcPr>
          <w:p w14:paraId="26372932"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México</w:t>
            </w:r>
          </w:p>
        </w:tc>
        <w:tc>
          <w:tcPr>
            <w:tcW w:w="2551" w:type="dxa"/>
            <w:tcBorders>
              <w:top w:val="nil"/>
              <w:left w:val="single" w:sz="4" w:space="0" w:color="auto"/>
              <w:bottom w:val="nil"/>
              <w:right w:val="single" w:sz="4" w:space="0" w:color="auto"/>
            </w:tcBorders>
            <w:vAlign w:val="center"/>
          </w:tcPr>
          <w:p w14:paraId="2D3417FD"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América del Norte</w:t>
            </w:r>
          </w:p>
        </w:tc>
      </w:tr>
      <w:tr w:rsidR="00E178FE" w:rsidRPr="00E178FE" w14:paraId="6D96173C" w14:textId="77777777" w:rsidTr="00E178FE">
        <w:trPr>
          <w:jc w:val="center"/>
        </w:trPr>
        <w:tc>
          <w:tcPr>
            <w:tcW w:w="1351" w:type="dxa"/>
            <w:tcBorders>
              <w:top w:val="nil"/>
              <w:left w:val="single" w:sz="4" w:space="0" w:color="auto"/>
              <w:bottom w:val="nil"/>
              <w:right w:val="single" w:sz="4" w:space="0" w:color="auto"/>
            </w:tcBorders>
            <w:vAlign w:val="center"/>
          </w:tcPr>
          <w:p w14:paraId="21C0D9AC" w14:textId="77777777" w:rsidR="00E178FE" w:rsidRPr="00E178FE" w:rsidRDefault="00E178FE" w:rsidP="00E178FE">
            <w:pPr>
              <w:spacing w:before="20" w:after="20"/>
              <w:ind w:right="340"/>
              <w:jc w:val="right"/>
              <w:rPr>
                <w:rFonts w:eastAsia="Calibri"/>
                <w:sz w:val="18"/>
                <w:szCs w:val="18"/>
                <w:lang w:eastAsia="en-US"/>
              </w:rPr>
            </w:pPr>
            <w:r w:rsidRPr="00E178FE">
              <w:rPr>
                <w:rFonts w:eastAsia="Calibri"/>
                <w:sz w:val="18"/>
                <w:szCs w:val="18"/>
                <w:lang w:eastAsia="en-US"/>
              </w:rPr>
              <w:t>125</w:t>
            </w:r>
          </w:p>
        </w:tc>
        <w:tc>
          <w:tcPr>
            <w:tcW w:w="1457" w:type="dxa"/>
            <w:tcBorders>
              <w:top w:val="nil"/>
              <w:left w:val="single" w:sz="4" w:space="0" w:color="auto"/>
              <w:bottom w:val="nil"/>
              <w:right w:val="single" w:sz="4" w:space="0" w:color="auto"/>
            </w:tcBorders>
            <w:vAlign w:val="center"/>
          </w:tcPr>
          <w:p w14:paraId="7E6B7073" w14:textId="77777777" w:rsidR="00E178FE" w:rsidRPr="00E178FE" w:rsidRDefault="00E178FE" w:rsidP="00E178FE">
            <w:pPr>
              <w:spacing w:before="20" w:after="20"/>
              <w:ind w:right="340"/>
              <w:jc w:val="right"/>
              <w:rPr>
                <w:rFonts w:eastAsia="Calibri"/>
                <w:sz w:val="18"/>
                <w:szCs w:val="18"/>
                <w:lang w:eastAsia="en-US"/>
              </w:rPr>
            </w:pPr>
            <w:r w:rsidRPr="00E178FE">
              <w:rPr>
                <w:rFonts w:eastAsia="Calibri"/>
                <w:sz w:val="18"/>
                <w:szCs w:val="18"/>
                <w:lang w:eastAsia="en-US"/>
              </w:rPr>
              <w:t>127</w:t>
            </w:r>
          </w:p>
        </w:tc>
        <w:tc>
          <w:tcPr>
            <w:tcW w:w="1796" w:type="dxa"/>
            <w:tcBorders>
              <w:top w:val="nil"/>
              <w:left w:val="single" w:sz="4" w:space="0" w:color="auto"/>
              <w:bottom w:val="nil"/>
              <w:right w:val="single" w:sz="4" w:space="0" w:color="auto"/>
            </w:tcBorders>
            <w:vAlign w:val="center"/>
          </w:tcPr>
          <w:p w14:paraId="7AC5EB3A"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Manaos</w:t>
            </w:r>
          </w:p>
        </w:tc>
        <w:tc>
          <w:tcPr>
            <w:tcW w:w="2484" w:type="dxa"/>
            <w:tcBorders>
              <w:top w:val="nil"/>
              <w:left w:val="single" w:sz="4" w:space="0" w:color="auto"/>
              <w:bottom w:val="nil"/>
              <w:right w:val="single" w:sz="4" w:space="0" w:color="auto"/>
            </w:tcBorders>
            <w:vAlign w:val="center"/>
          </w:tcPr>
          <w:p w14:paraId="15DE0F3A"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Brasil</w:t>
            </w:r>
          </w:p>
        </w:tc>
        <w:tc>
          <w:tcPr>
            <w:tcW w:w="2551" w:type="dxa"/>
            <w:tcBorders>
              <w:top w:val="nil"/>
              <w:left w:val="single" w:sz="4" w:space="0" w:color="auto"/>
              <w:bottom w:val="nil"/>
              <w:right w:val="single" w:sz="4" w:space="0" w:color="auto"/>
            </w:tcBorders>
            <w:vAlign w:val="center"/>
          </w:tcPr>
          <w:p w14:paraId="02FAE0FE"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América del Sur</w:t>
            </w:r>
          </w:p>
        </w:tc>
      </w:tr>
      <w:tr w:rsidR="00E178FE" w:rsidRPr="00E178FE" w14:paraId="17A1727C" w14:textId="77777777" w:rsidTr="00E178FE">
        <w:trPr>
          <w:jc w:val="center"/>
        </w:trPr>
        <w:tc>
          <w:tcPr>
            <w:tcW w:w="1351" w:type="dxa"/>
            <w:tcBorders>
              <w:top w:val="nil"/>
              <w:left w:val="single" w:sz="4" w:space="0" w:color="auto"/>
              <w:bottom w:val="nil"/>
              <w:right w:val="single" w:sz="4" w:space="0" w:color="auto"/>
            </w:tcBorders>
            <w:vAlign w:val="center"/>
          </w:tcPr>
          <w:p w14:paraId="32064406" w14:textId="77777777" w:rsidR="00E178FE" w:rsidRPr="00E178FE" w:rsidRDefault="00E178FE" w:rsidP="00E178FE">
            <w:pPr>
              <w:spacing w:before="20" w:after="20"/>
              <w:ind w:right="340"/>
              <w:jc w:val="right"/>
              <w:rPr>
                <w:rFonts w:eastAsia="Calibri"/>
                <w:sz w:val="18"/>
                <w:szCs w:val="18"/>
                <w:lang w:eastAsia="en-US"/>
              </w:rPr>
            </w:pPr>
            <w:r w:rsidRPr="00E178FE">
              <w:rPr>
                <w:rFonts w:eastAsia="Calibri"/>
                <w:sz w:val="18"/>
                <w:szCs w:val="18"/>
                <w:lang w:eastAsia="en-US"/>
              </w:rPr>
              <w:t>135</w:t>
            </w:r>
          </w:p>
        </w:tc>
        <w:tc>
          <w:tcPr>
            <w:tcW w:w="1457" w:type="dxa"/>
            <w:tcBorders>
              <w:top w:val="nil"/>
              <w:left w:val="single" w:sz="4" w:space="0" w:color="auto"/>
              <w:bottom w:val="nil"/>
              <w:right w:val="single" w:sz="4" w:space="0" w:color="auto"/>
            </w:tcBorders>
            <w:vAlign w:val="center"/>
          </w:tcPr>
          <w:p w14:paraId="356C61E3" w14:textId="77777777" w:rsidR="00E178FE" w:rsidRPr="00E178FE" w:rsidRDefault="00E178FE" w:rsidP="00E178FE">
            <w:pPr>
              <w:spacing w:before="20" w:after="20"/>
              <w:ind w:right="340"/>
              <w:jc w:val="right"/>
              <w:rPr>
                <w:rFonts w:eastAsia="Calibri"/>
                <w:sz w:val="18"/>
                <w:szCs w:val="18"/>
                <w:lang w:eastAsia="en-US"/>
              </w:rPr>
            </w:pPr>
            <w:r w:rsidRPr="00E178FE">
              <w:rPr>
                <w:rFonts w:eastAsia="Calibri"/>
                <w:sz w:val="18"/>
                <w:szCs w:val="18"/>
                <w:lang w:eastAsia="en-US"/>
              </w:rPr>
              <w:t>131</w:t>
            </w:r>
          </w:p>
        </w:tc>
        <w:tc>
          <w:tcPr>
            <w:tcW w:w="1796" w:type="dxa"/>
            <w:tcBorders>
              <w:top w:val="nil"/>
              <w:left w:val="single" w:sz="4" w:space="0" w:color="auto"/>
              <w:bottom w:val="nil"/>
              <w:right w:val="single" w:sz="4" w:space="0" w:color="auto"/>
            </w:tcBorders>
            <w:vAlign w:val="center"/>
          </w:tcPr>
          <w:p w14:paraId="19F414CA"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Bogotá</w:t>
            </w:r>
          </w:p>
        </w:tc>
        <w:tc>
          <w:tcPr>
            <w:tcW w:w="2484" w:type="dxa"/>
            <w:tcBorders>
              <w:top w:val="nil"/>
              <w:left w:val="single" w:sz="4" w:space="0" w:color="auto"/>
              <w:bottom w:val="nil"/>
              <w:right w:val="single" w:sz="4" w:space="0" w:color="auto"/>
            </w:tcBorders>
            <w:vAlign w:val="center"/>
          </w:tcPr>
          <w:p w14:paraId="43CE3C42"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Colombia</w:t>
            </w:r>
          </w:p>
        </w:tc>
        <w:tc>
          <w:tcPr>
            <w:tcW w:w="2551" w:type="dxa"/>
            <w:tcBorders>
              <w:top w:val="nil"/>
              <w:left w:val="single" w:sz="4" w:space="0" w:color="auto"/>
              <w:bottom w:val="nil"/>
              <w:right w:val="single" w:sz="4" w:space="0" w:color="auto"/>
            </w:tcBorders>
            <w:vAlign w:val="center"/>
          </w:tcPr>
          <w:p w14:paraId="59EA96A1"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América del Sur</w:t>
            </w:r>
          </w:p>
        </w:tc>
      </w:tr>
      <w:tr w:rsidR="00E178FE" w:rsidRPr="00E178FE" w14:paraId="1FAD7C67" w14:textId="77777777" w:rsidTr="00E178FE">
        <w:trPr>
          <w:jc w:val="center"/>
        </w:trPr>
        <w:tc>
          <w:tcPr>
            <w:tcW w:w="1351" w:type="dxa"/>
            <w:tcBorders>
              <w:top w:val="nil"/>
              <w:left w:val="single" w:sz="4" w:space="0" w:color="auto"/>
              <w:bottom w:val="nil"/>
              <w:right w:val="single" w:sz="4" w:space="0" w:color="auto"/>
            </w:tcBorders>
            <w:vAlign w:val="center"/>
          </w:tcPr>
          <w:p w14:paraId="27B1CA47" w14:textId="77777777" w:rsidR="00E178FE" w:rsidRPr="00E178FE" w:rsidRDefault="00E178FE" w:rsidP="00E178FE">
            <w:pPr>
              <w:spacing w:before="20" w:after="20"/>
              <w:ind w:right="340"/>
              <w:jc w:val="right"/>
              <w:rPr>
                <w:rFonts w:eastAsia="Calibri"/>
                <w:sz w:val="18"/>
                <w:szCs w:val="18"/>
                <w:lang w:eastAsia="en-US"/>
              </w:rPr>
            </w:pPr>
            <w:r w:rsidRPr="00E178FE">
              <w:rPr>
                <w:rFonts w:eastAsia="Calibri"/>
                <w:sz w:val="18"/>
                <w:szCs w:val="18"/>
                <w:lang w:eastAsia="en-US"/>
              </w:rPr>
              <w:t>176</w:t>
            </w:r>
          </w:p>
        </w:tc>
        <w:tc>
          <w:tcPr>
            <w:tcW w:w="1457" w:type="dxa"/>
            <w:tcBorders>
              <w:top w:val="nil"/>
              <w:left w:val="single" w:sz="4" w:space="0" w:color="auto"/>
              <w:bottom w:val="nil"/>
              <w:right w:val="single" w:sz="4" w:space="0" w:color="auto"/>
            </w:tcBorders>
            <w:vAlign w:val="center"/>
          </w:tcPr>
          <w:p w14:paraId="6AA9C75A" w14:textId="77777777" w:rsidR="00E178FE" w:rsidRPr="00E178FE" w:rsidRDefault="00E178FE" w:rsidP="00E178FE">
            <w:pPr>
              <w:spacing w:before="20" w:after="20"/>
              <w:ind w:right="340"/>
              <w:jc w:val="right"/>
              <w:rPr>
                <w:rFonts w:eastAsia="Calibri"/>
                <w:sz w:val="18"/>
                <w:szCs w:val="18"/>
                <w:lang w:eastAsia="en-US"/>
              </w:rPr>
            </w:pPr>
            <w:r w:rsidRPr="00E178FE">
              <w:rPr>
                <w:rFonts w:eastAsia="Calibri"/>
                <w:sz w:val="18"/>
                <w:szCs w:val="18"/>
                <w:lang w:eastAsia="en-US"/>
              </w:rPr>
              <w:t>179</w:t>
            </w:r>
          </w:p>
        </w:tc>
        <w:tc>
          <w:tcPr>
            <w:tcW w:w="1796" w:type="dxa"/>
            <w:tcBorders>
              <w:top w:val="nil"/>
              <w:left w:val="single" w:sz="4" w:space="0" w:color="auto"/>
              <w:bottom w:val="nil"/>
              <w:right w:val="single" w:sz="4" w:space="0" w:color="auto"/>
            </w:tcBorders>
            <w:vAlign w:val="center"/>
          </w:tcPr>
          <w:p w14:paraId="0E51C56E"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Caracas</w:t>
            </w:r>
          </w:p>
        </w:tc>
        <w:tc>
          <w:tcPr>
            <w:tcW w:w="2484" w:type="dxa"/>
            <w:tcBorders>
              <w:top w:val="nil"/>
              <w:left w:val="single" w:sz="4" w:space="0" w:color="auto"/>
              <w:bottom w:val="nil"/>
              <w:right w:val="single" w:sz="4" w:space="0" w:color="auto"/>
            </w:tcBorders>
            <w:vAlign w:val="center"/>
          </w:tcPr>
          <w:p w14:paraId="720FB87E"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Venezuela</w:t>
            </w:r>
          </w:p>
        </w:tc>
        <w:tc>
          <w:tcPr>
            <w:tcW w:w="2551" w:type="dxa"/>
            <w:tcBorders>
              <w:top w:val="nil"/>
              <w:left w:val="single" w:sz="4" w:space="0" w:color="auto"/>
              <w:bottom w:val="nil"/>
              <w:right w:val="single" w:sz="4" w:space="0" w:color="auto"/>
            </w:tcBorders>
            <w:vAlign w:val="center"/>
          </w:tcPr>
          <w:p w14:paraId="6025A811"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América del Sur</w:t>
            </w:r>
          </w:p>
        </w:tc>
      </w:tr>
      <w:tr w:rsidR="00E178FE" w:rsidRPr="00E178FE" w14:paraId="54CA244A" w14:textId="77777777" w:rsidTr="00E178FE">
        <w:trPr>
          <w:jc w:val="center"/>
        </w:trPr>
        <w:tc>
          <w:tcPr>
            <w:tcW w:w="1351" w:type="dxa"/>
            <w:tcBorders>
              <w:top w:val="nil"/>
              <w:left w:val="single" w:sz="4" w:space="0" w:color="auto"/>
              <w:bottom w:val="nil"/>
              <w:right w:val="single" w:sz="4" w:space="0" w:color="auto"/>
            </w:tcBorders>
            <w:vAlign w:val="center"/>
          </w:tcPr>
          <w:p w14:paraId="5D8A484B" w14:textId="77777777" w:rsidR="00E178FE" w:rsidRPr="00E178FE" w:rsidRDefault="00E178FE" w:rsidP="00E178FE">
            <w:pPr>
              <w:spacing w:before="20" w:after="20"/>
              <w:ind w:right="340"/>
              <w:jc w:val="right"/>
              <w:rPr>
                <w:rFonts w:eastAsia="Calibri"/>
                <w:sz w:val="18"/>
                <w:szCs w:val="18"/>
                <w:lang w:eastAsia="en-US"/>
              </w:rPr>
            </w:pPr>
            <w:r w:rsidRPr="00E178FE">
              <w:rPr>
                <w:rFonts w:eastAsia="Calibri"/>
                <w:sz w:val="18"/>
                <w:szCs w:val="18"/>
                <w:lang w:eastAsia="en-US"/>
              </w:rPr>
              <w:t>N/A</w:t>
            </w:r>
          </w:p>
        </w:tc>
        <w:tc>
          <w:tcPr>
            <w:tcW w:w="1457" w:type="dxa"/>
            <w:tcBorders>
              <w:top w:val="nil"/>
              <w:left w:val="single" w:sz="4" w:space="0" w:color="auto"/>
              <w:bottom w:val="nil"/>
              <w:right w:val="single" w:sz="4" w:space="0" w:color="auto"/>
            </w:tcBorders>
            <w:vAlign w:val="center"/>
          </w:tcPr>
          <w:p w14:paraId="1D044D06" w14:textId="77777777" w:rsidR="00E178FE" w:rsidRPr="00E178FE" w:rsidRDefault="00E178FE" w:rsidP="00E178FE">
            <w:pPr>
              <w:spacing w:before="20" w:after="20"/>
              <w:ind w:right="340"/>
              <w:jc w:val="right"/>
              <w:rPr>
                <w:rFonts w:eastAsia="Calibri"/>
                <w:sz w:val="18"/>
                <w:szCs w:val="18"/>
                <w:lang w:eastAsia="en-US"/>
              </w:rPr>
            </w:pPr>
            <w:r w:rsidRPr="00E178FE">
              <w:rPr>
                <w:rFonts w:eastAsia="Calibri"/>
                <w:sz w:val="18"/>
                <w:szCs w:val="18"/>
                <w:lang w:eastAsia="en-US"/>
              </w:rPr>
              <w:t>193</w:t>
            </w:r>
          </w:p>
        </w:tc>
        <w:tc>
          <w:tcPr>
            <w:tcW w:w="1796" w:type="dxa"/>
            <w:tcBorders>
              <w:top w:val="nil"/>
              <w:left w:val="single" w:sz="4" w:space="0" w:color="auto"/>
              <w:bottom w:val="nil"/>
              <w:right w:val="single" w:sz="4" w:space="0" w:color="auto"/>
            </w:tcBorders>
            <w:vAlign w:val="center"/>
          </w:tcPr>
          <w:p w14:paraId="490BA89C"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Habana</w:t>
            </w:r>
          </w:p>
        </w:tc>
        <w:tc>
          <w:tcPr>
            <w:tcW w:w="2484" w:type="dxa"/>
            <w:tcBorders>
              <w:top w:val="nil"/>
              <w:left w:val="single" w:sz="4" w:space="0" w:color="auto"/>
              <w:bottom w:val="nil"/>
              <w:right w:val="single" w:sz="4" w:space="0" w:color="auto"/>
            </w:tcBorders>
            <w:vAlign w:val="center"/>
          </w:tcPr>
          <w:p w14:paraId="5F5042CF"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Cuba</w:t>
            </w:r>
          </w:p>
        </w:tc>
        <w:tc>
          <w:tcPr>
            <w:tcW w:w="2551" w:type="dxa"/>
            <w:tcBorders>
              <w:top w:val="nil"/>
              <w:left w:val="single" w:sz="4" w:space="0" w:color="auto"/>
              <w:bottom w:val="nil"/>
              <w:right w:val="single" w:sz="4" w:space="0" w:color="auto"/>
            </w:tcBorders>
            <w:vAlign w:val="center"/>
          </w:tcPr>
          <w:p w14:paraId="251FECBF"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América del Norte</w:t>
            </w:r>
          </w:p>
        </w:tc>
      </w:tr>
      <w:tr w:rsidR="00E178FE" w:rsidRPr="00E178FE" w14:paraId="75A1B800" w14:textId="77777777" w:rsidTr="00E178FE">
        <w:trPr>
          <w:jc w:val="center"/>
        </w:trPr>
        <w:tc>
          <w:tcPr>
            <w:tcW w:w="1351" w:type="dxa"/>
            <w:tcBorders>
              <w:top w:val="nil"/>
              <w:left w:val="single" w:sz="4" w:space="0" w:color="auto"/>
              <w:bottom w:val="nil"/>
              <w:right w:val="single" w:sz="4" w:space="0" w:color="auto"/>
            </w:tcBorders>
            <w:vAlign w:val="center"/>
          </w:tcPr>
          <w:p w14:paraId="69DF20F8" w14:textId="77777777" w:rsidR="00E178FE" w:rsidRPr="00E178FE" w:rsidRDefault="00E178FE" w:rsidP="00E178FE">
            <w:pPr>
              <w:spacing w:before="20" w:after="20"/>
              <w:ind w:right="340"/>
              <w:jc w:val="right"/>
              <w:rPr>
                <w:rFonts w:eastAsia="Calibri"/>
                <w:sz w:val="18"/>
                <w:szCs w:val="18"/>
                <w:lang w:eastAsia="en-US"/>
              </w:rPr>
            </w:pPr>
            <w:r w:rsidRPr="00E178FE">
              <w:rPr>
                <w:rFonts w:eastAsia="Calibri"/>
                <w:sz w:val="18"/>
                <w:szCs w:val="18"/>
                <w:lang w:eastAsia="en-US"/>
              </w:rPr>
              <w:t>220</w:t>
            </w:r>
          </w:p>
        </w:tc>
        <w:tc>
          <w:tcPr>
            <w:tcW w:w="1457" w:type="dxa"/>
            <w:tcBorders>
              <w:top w:val="nil"/>
              <w:left w:val="single" w:sz="4" w:space="0" w:color="auto"/>
              <w:bottom w:val="nil"/>
              <w:right w:val="single" w:sz="4" w:space="0" w:color="auto"/>
            </w:tcBorders>
            <w:vAlign w:val="center"/>
          </w:tcPr>
          <w:p w14:paraId="3000AE20" w14:textId="77777777" w:rsidR="00E178FE" w:rsidRPr="00E178FE" w:rsidRDefault="00E178FE" w:rsidP="00E178FE">
            <w:pPr>
              <w:spacing w:before="20" w:after="20"/>
              <w:ind w:right="340"/>
              <w:jc w:val="right"/>
              <w:rPr>
                <w:rFonts w:eastAsia="Calibri"/>
                <w:sz w:val="18"/>
                <w:szCs w:val="18"/>
                <w:lang w:eastAsia="en-US"/>
              </w:rPr>
            </w:pPr>
            <w:r w:rsidRPr="00E178FE">
              <w:rPr>
                <w:rFonts w:eastAsia="Calibri"/>
                <w:sz w:val="18"/>
                <w:szCs w:val="18"/>
                <w:lang w:eastAsia="en-US"/>
              </w:rPr>
              <w:t>226</w:t>
            </w:r>
          </w:p>
        </w:tc>
        <w:tc>
          <w:tcPr>
            <w:tcW w:w="1796" w:type="dxa"/>
            <w:tcBorders>
              <w:top w:val="nil"/>
              <w:left w:val="single" w:sz="4" w:space="0" w:color="auto"/>
              <w:bottom w:val="nil"/>
              <w:right w:val="single" w:sz="4" w:space="0" w:color="auto"/>
            </w:tcBorders>
            <w:vAlign w:val="center"/>
          </w:tcPr>
          <w:p w14:paraId="2524C7E9"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N’Djamena</w:t>
            </w:r>
          </w:p>
        </w:tc>
        <w:tc>
          <w:tcPr>
            <w:tcW w:w="2484" w:type="dxa"/>
            <w:tcBorders>
              <w:top w:val="nil"/>
              <w:left w:val="single" w:sz="4" w:space="0" w:color="auto"/>
              <w:bottom w:val="nil"/>
              <w:right w:val="single" w:sz="4" w:space="0" w:color="auto"/>
            </w:tcBorders>
            <w:vAlign w:val="center"/>
          </w:tcPr>
          <w:p w14:paraId="0F15F7A9"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Chad</w:t>
            </w:r>
          </w:p>
        </w:tc>
        <w:tc>
          <w:tcPr>
            <w:tcW w:w="2551" w:type="dxa"/>
            <w:tcBorders>
              <w:top w:val="nil"/>
              <w:left w:val="single" w:sz="4" w:space="0" w:color="auto"/>
              <w:bottom w:val="nil"/>
              <w:right w:val="single" w:sz="4" w:space="0" w:color="auto"/>
            </w:tcBorders>
            <w:vAlign w:val="center"/>
          </w:tcPr>
          <w:p w14:paraId="58CAC2D8"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África</w:t>
            </w:r>
          </w:p>
        </w:tc>
      </w:tr>
      <w:tr w:rsidR="00E178FE" w:rsidRPr="00E178FE" w14:paraId="37F35C70" w14:textId="77777777" w:rsidTr="00E178FE">
        <w:trPr>
          <w:jc w:val="center"/>
        </w:trPr>
        <w:tc>
          <w:tcPr>
            <w:tcW w:w="1351" w:type="dxa"/>
            <w:tcBorders>
              <w:top w:val="nil"/>
              <w:left w:val="single" w:sz="4" w:space="0" w:color="auto"/>
              <w:bottom w:val="nil"/>
              <w:right w:val="single" w:sz="4" w:space="0" w:color="auto"/>
            </w:tcBorders>
            <w:vAlign w:val="center"/>
          </w:tcPr>
          <w:p w14:paraId="581CC88B" w14:textId="77777777" w:rsidR="00E178FE" w:rsidRPr="00E178FE" w:rsidRDefault="00E178FE" w:rsidP="00E178FE">
            <w:pPr>
              <w:spacing w:before="20" w:after="20"/>
              <w:ind w:right="340"/>
              <w:jc w:val="right"/>
              <w:rPr>
                <w:rFonts w:eastAsia="Calibri"/>
                <w:sz w:val="18"/>
                <w:szCs w:val="18"/>
                <w:lang w:eastAsia="en-US"/>
              </w:rPr>
            </w:pPr>
            <w:r w:rsidRPr="00E178FE">
              <w:rPr>
                <w:rFonts w:eastAsia="Calibri"/>
                <w:sz w:val="18"/>
                <w:szCs w:val="18"/>
                <w:lang w:eastAsia="en-US"/>
              </w:rPr>
              <w:t>N/A</w:t>
            </w:r>
          </w:p>
        </w:tc>
        <w:tc>
          <w:tcPr>
            <w:tcW w:w="1457" w:type="dxa"/>
            <w:tcBorders>
              <w:top w:val="nil"/>
              <w:left w:val="single" w:sz="4" w:space="0" w:color="auto"/>
              <w:bottom w:val="nil"/>
              <w:right w:val="single" w:sz="4" w:space="0" w:color="auto"/>
            </w:tcBorders>
            <w:vAlign w:val="center"/>
          </w:tcPr>
          <w:p w14:paraId="63464FBD" w14:textId="77777777" w:rsidR="00E178FE" w:rsidRPr="00E178FE" w:rsidRDefault="00E178FE" w:rsidP="00E178FE">
            <w:pPr>
              <w:spacing w:before="20" w:after="20"/>
              <w:ind w:right="340"/>
              <w:jc w:val="right"/>
              <w:rPr>
                <w:rFonts w:eastAsia="Calibri"/>
                <w:sz w:val="18"/>
                <w:szCs w:val="18"/>
                <w:lang w:eastAsia="en-US"/>
              </w:rPr>
            </w:pPr>
            <w:r w:rsidRPr="00E178FE">
              <w:rPr>
                <w:rFonts w:eastAsia="Calibri"/>
                <w:sz w:val="18"/>
                <w:szCs w:val="18"/>
                <w:lang w:eastAsia="en-US"/>
              </w:rPr>
              <w:t>227</w:t>
            </w:r>
          </w:p>
        </w:tc>
        <w:tc>
          <w:tcPr>
            <w:tcW w:w="1796" w:type="dxa"/>
            <w:tcBorders>
              <w:top w:val="nil"/>
              <w:left w:val="single" w:sz="4" w:space="0" w:color="auto"/>
              <w:bottom w:val="nil"/>
              <w:right w:val="single" w:sz="4" w:space="0" w:color="auto"/>
            </w:tcBorders>
            <w:vAlign w:val="center"/>
          </w:tcPr>
          <w:p w14:paraId="1B6DFE4C"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Jartum</w:t>
            </w:r>
          </w:p>
        </w:tc>
        <w:tc>
          <w:tcPr>
            <w:tcW w:w="2484" w:type="dxa"/>
            <w:tcBorders>
              <w:top w:val="nil"/>
              <w:left w:val="single" w:sz="4" w:space="0" w:color="auto"/>
              <w:bottom w:val="nil"/>
              <w:right w:val="single" w:sz="4" w:space="0" w:color="auto"/>
            </w:tcBorders>
            <w:vAlign w:val="center"/>
          </w:tcPr>
          <w:p w14:paraId="65C16E04"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 xml:space="preserve">Sudán </w:t>
            </w:r>
          </w:p>
        </w:tc>
        <w:tc>
          <w:tcPr>
            <w:tcW w:w="2551" w:type="dxa"/>
            <w:tcBorders>
              <w:top w:val="nil"/>
              <w:left w:val="single" w:sz="4" w:space="0" w:color="auto"/>
              <w:bottom w:val="nil"/>
              <w:right w:val="single" w:sz="4" w:space="0" w:color="auto"/>
            </w:tcBorders>
            <w:vAlign w:val="center"/>
          </w:tcPr>
          <w:p w14:paraId="48A68970"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África</w:t>
            </w:r>
          </w:p>
        </w:tc>
      </w:tr>
      <w:tr w:rsidR="00E178FE" w:rsidRPr="00E178FE" w14:paraId="1BD9BD92" w14:textId="77777777" w:rsidTr="00E178FE">
        <w:trPr>
          <w:jc w:val="center"/>
        </w:trPr>
        <w:tc>
          <w:tcPr>
            <w:tcW w:w="1351" w:type="dxa"/>
            <w:tcBorders>
              <w:top w:val="nil"/>
              <w:left w:val="single" w:sz="4" w:space="0" w:color="auto"/>
              <w:bottom w:val="nil"/>
              <w:right w:val="single" w:sz="4" w:space="0" w:color="auto"/>
            </w:tcBorders>
            <w:vAlign w:val="center"/>
          </w:tcPr>
          <w:p w14:paraId="0E2E0ADC" w14:textId="77777777" w:rsidR="00E178FE" w:rsidRPr="00E178FE" w:rsidRDefault="00E178FE" w:rsidP="00E178FE">
            <w:pPr>
              <w:spacing w:before="20" w:after="20"/>
              <w:ind w:right="340"/>
              <w:jc w:val="right"/>
              <w:rPr>
                <w:rFonts w:eastAsia="Calibri"/>
                <w:sz w:val="18"/>
                <w:szCs w:val="18"/>
                <w:lang w:eastAsia="en-US"/>
              </w:rPr>
            </w:pPr>
            <w:r w:rsidRPr="00E178FE">
              <w:rPr>
                <w:rFonts w:eastAsia="Calibri"/>
                <w:sz w:val="18"/>
                <w:szCs w:val="18"/>
                <w:lang w:eastAsia="en-US"/>
              </w:rPr>
              <w:t>221</w:t>
            </w:r>
          </w:p>
        </w:tc>
        <w:tc>
          <w:tcPr>
            <w:tcW w:w="1457" w:type="dxa"/>
            <w:tcBorders>
              <w:top w:val="nil"/>
              <w:left w:val="single" w:sz="4" w:space="0" w:color="auto"/>
              <w:bottom w:val="nil"/>
              <w:right w:val="single" w:sz="4" w:space="0" w:color="auto"/>
            </w:tcBorders>
            <w:vAlign w:val="center"/>
          </w:tcPr>
          <w:p w14:paraId="1763490E" w14:textId="77777777" w:rsidR="00E178FE" w:rsidRPr="00E178FE" w:rsidRDefault="00E178FE" w:rsidP="00E178FE">
            <w:pPr>
              <w:spacing w:before="20" w:after="20"/>
              <w:ind w:right="340"/>
              <w:jc w:val="right"/>
              <w:rPr>
                <w:rFonts w:eastAsia="Calibri"/>
                <w:sz w:val="18"/>
                <w:szCs w:val="18"/>
                <w:lang w:eastAsia="en-US"/>
              </w:rPr>
            </w:pPr>
            <w:r w:rsidRPr="00E178FE">
              <w:rPr>
                <w:rFonts w:eastAsia="Calibri"/>
                <w:sz w:val="18"/>
                <w:szCs w:val="18"/>
                <w:lang w:eastAsia="en-US"/>
              </w:rPr>
              <w:t>228</w:t>
            </w:r>
          </w:p>
        </w:tc>
        <w:tc>
          <w:tcPr>
            <w:tcW w:w="1796" w:type="dxa"/>
            <w:tcBorders>
              <w:top w:val="nil"/>
              <w:left w:val="single" w:sz="4" w:space="0" w:color="auto"/>
              <w:bottom w:val="nil"/>
              <w:right w:val="single" w:sz="4" w:space="0" w:color="auto"/>
            </w:tcBorders>
            <w:vAlign w:val="center"/>
          </w:tcPr>
          <w:p w14:paraId="56F65B3A"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Puerto Príncipe</w:t>
            </w:r>
          </w:p>
        </w:tc>
        <w:tc>
          <w:tcPr>
            <w:tcW w:w="2484" w:type="dxa"/>
            <w:tcBorders>
              <w:top w:val="nil"/>
              <w:left w:val="single" w:sz="4" w:space="0" w:color="auto"/>
              <w:bottom w:val="nil"/>
              <w:right w:val="single" w:sz="4" w:space="0" w:color="auto"/>
            </w:tcBorders>
            <w:vAlign w:val="center"/>
          </w:tcPr>
          <w:p w14:paraId="4416A24D"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Haití</w:t>
            </w:r>
          </w:p>
        </w:tc>
        <w:tc>
          <w:tcPr>
            <w:tcW w:w="2551" w:type="dxa"/>
            <w:tcBorders>
              <w:top w:val="nil"/>
              <w:left w:val="single" w:sz="4" w:space="0" w:color="auto"/>
              <w:bottom w:val="nil"/>
              <w:right w:val="single" w:sz="4" w:space="0" w:color="auto"/>
            </w:tcBorders>
            <w:vAlign w:val="center"/>
          </w:tcPr>
          <w:p w14:paraId="335D42D5"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América del Norte</w:t>
            </w:r>
          </w:p>
        </w:tc>
      </w:tr>
      <w:tr w:rsidR="00E178FE" w:rsidRPr="00E178FE" w14:paraId="33C69130" w14:textId="77777777" w:rsidTr="00E178FE">
        <w:trPr>
          <w:jc w:val="center"/>
        </w:trPr>
        <w:tc>
          <w:tcPr>
            <w:tcW w:w="1351" w:type="dxa"/>
            <w:tcBorders>
              <w:top w:val="nil"/>
              <w:left w:val="single" w:sz="4" w:space="0" w:color="auto"/>
              <w:bottom w:val="nil"/>
              <w:right w:val="single" w:sz="4" w:space="0" w:color="auto"/>
            </w:tcBorders>
            <w:vAlign w:val="center"/>
          </w:tcPr>
          <w:p w14:paraId="0B4A5BDD" w14:textId="77777777" w:rsidR="00E178FE" w:rsidRPr="00E178FE" w:rsidRDefault="00E178FE" w:rsidP="00E178FE">
            <w:pPr>
              <w:spacing w:before="20" w:after="20"/>
              <w:ind w:right="340"/>
              <w:jc w:val="right"/>
              <w:rPr>
                <w:rFonts w:eastAsia="Calibri"/>
                <w:sz w:val="18"/>
                <w:szCs w:val="18"/>
                <w:lang w:eastAsia="en-US"/>
              </w:rPr>
            </w:pPr>
            <w:r w:rsidRPr="00E178FE">
              <w:rPr>
                <w:rFonts w:eastAsia="Calibri"/>
                <w:sz w:val="18"/>
                <w:szCs w:val="18"/>
                <w:lang w:eastAsia="en-US"/>
              </w:rPr>
              <w:t>222</w:t>
            </w:r>
          </w:p>
        </w:tc>
        <w:tc>
          <w:tcPr>
            <w:tcW w:w="1457" w:type="dxa"/>
            <w:tcBorders>
              <w:top w:val="nil"/>
              <w:left w:val="single" w:sz="4" w:space="0" w:color="auto"/>
              <w:bottom w:val="nil"/>
              <w:right w:val="single" w:sz="4" w:space="0" w:color="auto"/>
            </w:tcBorders>
            <w:vAlign w:val="center"/>
          </w:tcPr>
          <w:p w14:paraId="3EB2EE40" w14:textId="77777777" w:rsidR="00E178FE" w:rsidRPr="00E178FE" w:rsidRDefault="00E178FE" w:rsidP="00E178FE">
            <w:pPr>
              <w:spacing w:before="20" w:after="20"/>
              <w:ind w:right="340"/>
              <w:jc w:val="right"/>
              <w:rPr>
                <w:rFonts w:eastAsia="Calibri"/>
                <w:sz w:val="18"/>
                <w:szCs w:val="18"/>
                <w:lang w:eastAsia="en-US"/>
              </w:rPr>
            </w:pPr>
            <w:r w:rsidRPr="00E178FE">
              <w:rPr>
                <w:rFonts w:eastAsia="Calibri"/>
                <w:sz w:val="18"/>
                <w:szCs w:val="18"/>
                <w:lang w:eastAsia="en-US"/>
              </w:rPr>
              <w:t>229</w:t>
            </w:r>
          </w:p>
        </w:tc>
        <w:tc>
          <w:tcPr>
            <w:tcW w:w="1796" w:type="dxa"/>
            <w:tcBorders>
              <w:top w:val="nil"/>
              <w:left w:val="single" w:sz="4" w:space="0" w:color="auto"/>
              <w:bottom w:val="nil"/>
              <w:right w:val="single" w:sz="4" w:space="0" w:color="auto"/>
            </w:tcBorders>
            <w:vAlign w:val="center"/>
          </w:tcPr>
          <w:p w14:paraId="716AD33B"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Bangui</w:t>
            </w:r>
          </w:p>
        </w:tc>
        <w:tc>
          <w:tcPr>
            <w:tcW w:w="2484" w:type="dxa"/>
            <w:tcBorders>
              <w:top w:val="nil"/>
              <w:left w:val="single" w:sz="4" w:space="0" w:color="auto"/>
              <w:bottom w:val="nil"/>
              <w:right w:val="single" w:sz="4" w:space="0" w:color="auto"/>
            </w:tcBorders>
            <w:vAlign w:val="center"/>
          </w:tcPr>
          <w:p w14:paraId="2A36714D"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República de África Central</w:t>
            </w:r>
          </w:p>
        </w:tc>
        <w:tc>
          <w:tcPr>
            <w:tcW w:w="2551" w:type="dxa"/>
            <w:tcBorders>
              <w:top w:val="nil"/>
              <w:left w:val="single" w:sz="4" w:space="0" w:color="auto"/>
              <w:bottom w:val="nil"/>
              <w:right w:val="single" w:sz="4" w:space="0" w:color="auto"/>
            </w:tcBorders>
            <w:vAlign w:val="center"/>
          </w:tcPr>
          <w:p w14:paraId="05A55BFC"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África</w:t>
            </w:r>
          </w:p>
        </w:tc>
      </w:tr>
      <w:tr w:rsidR="00E178FE" w:rsidRPr="00E178FE" w14:paraId="134CD5EC" w14:textId="77777777" w:rsidTr="00E178FE">
        <w:trPr>
          <w:jc w:val="center"/>
        </w:trPr>
        <w:tc>
          <w:tcPr>
            <w:tcW w:w="1351" w:type="dxa"/>
            <w:tcBorders>
              <w:top w:val="nil"/>
              <w:left w:val="single" w:sz="4" w:space="0" w:color="auto"/>
              <w:bottom w:val="single" w:sz="4" w:space="0" w:color="auto"/>
              <w:right w:val="single" w:sz="4" w:space="0" w:color="auto"/>
            </w:tcBorders>
            <w:vAlign w:val="center"/>
          </w:tcPr>
          <w:p w14:paraId="63BCB295" w14:textId="77777777" w:rsidR="00E178FE" w:rsidRPr="00E178FE" w:rsidRDefault="00E178FE" w:rsidP="00E178FE">
            <w:pPr>
              <w:spacing w:before="20" w:after="20"/>
              <w:ind w:right="340"/>
              <w:jc w:val="right"/>
              <w:rPr>
                <w:rFonts w:eastAsia="Calibri"/>
                <w:sz w:val="18"/>
                <w:szCs w:val="18"/>
                <w:lang w:eastAsia="en-US"/>
              </w:rPr>
            </w:pPr>
            <w:r w:rsidRPr="00E178FE">
              <w:rPr>
                <w:rFonts w:eastAsia="Calibri"/>
                <w:sz w:val="18"/>
                <w:szCs w:val="18"/>
                <w:lang w:eastAsia="en-US"/>
              </w:rPr>
              <w:t>223</w:t>
            </w:r>
          </w:p>
        </w:tc>
        <w:tc>
          <w:tcPr>
            <w:tcW w:w="1457" w:type="dxa"/>
            <w:tcBorders>
              <w:top w:val="nil"/>
              <w:left w:val="single" w:sz="4" w:space="0" w:color="auto"/>
              <w:bottom w:val="single" w:sz="4" w:space="0" w:color="auto"/>
              <w:right w:val="single" w:sz="4" w:space="0" w:color="auto"/>
            </w:tcBorders>
            <w:vAlign w:val="center"/>
          </w:tcPr>
          <w:p w14:paraId="591BD74B" w14:textId="77777777" w:rsidR="00E178FE" w:rsidRPr="00E178FE" w:rsidRDefault="00E178FE" w:rsidP="00E178FE">
            <w:pPr>
              <w:spacing w:before="20" w:after="20"/>
              <w:ind w:right="340"/>
              <w:jc w:val="right"/>
              <w:rPr>
                <w:rFonts w:eastAsia="Calibri"/>
                <w:sz w:val="18"/>
                <w:szCs w:val="18"/>
                <w:lang w:eastAsia="en-US"/>
              </w:rPr>
            </w:pPr>
            <w:r w:rsidRPr="00E178FE">
              <w:rPr>
                <w:rFonts w:eastAsia="Calibri"/>
                <w:sz w:val="18"/>
                <w:szCs w:val="18"/>
                <w:lang w:eastAsia="en-US"/>
              </w:rPr>
              <w:t>230</w:t>
            </w:r>
          </w:p>
        </w:tc>
        <w:tc>
          <w:tcPr>
            <w:tcW w:w="1796" w:type="dxa"/>
            <w:tcBorders>
              <w:top w:val="nil"/>
              <w:left w:val="single" w:sz="4" w:space="0" w:color="auto"/>
              <w:bottom w:val="single" w:sz="4" w:space="0" w:color="auto"/>
              <w:right w:val="single" w:sz="4" w:space="0" w:color="auto"/>
            </w:tcBorders>
            <w:vAlign w:val="center"/>
          </w:tcPr>
          <w:p w14:paraId="1C1F37EF"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Bagdad</w:t>
            </w:r>
          </w:p>
        </w:tc>
        <w:tc>
          <w:tcPr>
            <w:tcW w:w="2484" w:type="dxa"/>
            <w:tcBorders>
              <w:top w:val="nil"/>
              <w:left w:val="single" w:sz="4" w:space="0" w:color="auto"/>
              <w:bottom w:val="single" w:sz="4" w:space="0" w:color="auto"/>
              <w:right w:val="single" w:sz="4" w:space="0" w:color="auto"/>
            </w:tcBorders>
            <w:vAlign w:val="center"/>
          </w:tcPr>
          <w:p w14:paraId="74B17D93"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Irak</w:t>
            </w:r>
          </w:p>
        </w:tc>
        <w:tc>
          <w:tcPr>
            <w:tcW w:w="2551" w:type="dxa"/>
            <w:tcBorders>
              <w:top w:val="nil"/>
              <w:left w:val="single" w:sz="4" w:space="0" w:color="auto"/>
              <w:bottom w:val="single" w:sz="4" w:space="0" w:color="auto"/>
              <w:right w:val="single" w:sz="4" w:space="0" w:color="auto"/>
            </w:tcBorders>
            <w:vAlign w:val="center"/>
          </w:tcPr>
          <w:p w14:paraId="582B619E" w14:textId="77777777" w:rsidR="00E178FE" w:rsidRPr="00E178FE" w:rsidRDefault="00E178FE" w:rsidP="00E178FE">
            <w:pPr>
              <w:spacing w:before="20" w:after="20"/>
              <w:jc w:val="both"/>
              <w:rPr>
                <w:rFonts w:eastAsia="Calibri"/>
                <w:sz w:val="18"/>
                <w:szCs w:val="18"/>
                <w:lang w:eastAsia="en-US"/>
              </w:rPr>
            </w:pPr>
            <w:r w:rsidRPr="00E178FE">
              <w:rPr>
                <w:rFonts w:eastAsia="Calibri"/>
                <w:sz w:val="18"/>
                <w:szCs w:val="18"/>
                <w:lang w:eastAsia="en-US"/>
              </w:rPr>
              <w:t>Asia Occidental/Oriente Medio</w:t>
            </w:r>
          </w:p>
        </w:tc>
      </w:tr>
      <w:tr w:rsidR="00E178FE" w:rsidRPr="00E178FE" w14:paraId="6D6847F6" w14:textId="77777777" w:rsidTr="00F443FB">
        <w:trPr>
          <w:jc w:val="center"/>
        </w:trPr>
        <w:tc>
          <w:tcPr>
            <w:tcW w:w="9639" w:type="dxa"/>
            <w:gridSpan w:val="5"/>
            <w:tcBorders>
              <w:top w:val="single" w:sz="4" w:space="0" w:color="auto"/>
              <w:left w:val="nil"/>
              <w:bottom w:val="nil"/>
              <w:right w:val="nil"/>
            </w:tcBorders>
            <w:vAlign w:val="center"/>
          </w:tcPr>
          <w:p w14:paraId="05B78B51" w14:textId="77777777" w:rsidR="00E178FE" w:rsidRPr="00E178FE" w:rsidRDefault="00E178FE" w:rsidP="00E178FE">
            <w:pPr>
              <w:spacing w:before="20" w:after="20"/>
              <w:jc w:val="both"/>
              <w:rPr>
                <w:rFonts w:eastAsia="Calibri"/>
                <w:sz w:val="18"/>
                <w:szCs w:val="18"/>
                <w:lang w:eastAsia="en-US"/>
              </w:rPr>
            </w:pPr>
            <w:r w:rsidRPr="00E178FE">
              <w:rPr>
                <w:rFonts w:eastAsia="Calibri"/>
                <w:sz w:val="20"/>
                <w:szCs w:val="20"/>
                <w:lang w:eastAsia="en-US"/>
              </w:rPr>
              <w:t>FUENTE: Mercer.</w:t>
            </w:r>
          </w:p>
        </w:tc>
      </w:tr>
    </w:tbl>
    <w:p w14:paraId="549DA8A5" w14:textId="77777777" w:rsidR="00E178FE" w:rsidRPr="00E178FE" w:rsidRDefault="00E178FE" w:rsidP="00E178FE">
      <w:pPr>
        <w:spacing w:after="360" w:line="360" w:lineRule="auto"/>
        <w:ind w:right="-159"/>
        <w:jc w:val="both"/>
        <w:rPr>
          <w:rFonts w:eastAsia="Calibri"/>
          <w:sz w:val="26"/>
          <w:szCs w:val="26"/>
          <w:lang w:eastAsia="en-US"/>
        </w:rPr>
      </w:pPr>
    </w:p>
    <w:p w14:paraId="3F5B9A95" w14:textId="77777777" w:rsidR="00E178FE" w:rsidRPr="00E178FE" w:rsidRDefault="00E178FE" w:rsidP="00E178FE">
      <w:pPr>
        <w:ind w:right="-159"/>
        <w:jc w:val="both"/>
        <w:rPr>
          <w:rFonts w:eastAsia="Calibri"/>
          <w:b/>
          <w:sz w:val="20"/>
          <w:szCs w:val="20"/>
          <w:lang w:eastAsia="en-US"/>
        </w:rPr>
      </w:pPr>
      <w:r w:rsidRPr="00E178FE">
        <w:rPr>
          <w:rFonts w:eastAsia="Calibri"/>
          <w:b/>
          <w:sz w:val="20"/>
          <w:szCs w:val="20"/>
          <w:lang w:eastAsia="en-US"/>
        </w:rPr>
        <w:t>Fuente de información:</w:t>
      </w:r>
    </w:p>
    <w:p w14:paraId="38461B66" w14:textId="77777777" w:rsidR="00E178FE" w:rsidRPr="00B7463A" w:rsidRDefault="0093224F" w:rsidP="00E178FE">
      <w:pPr>
        <w:ind w:right="-159"/>
        <w:jc w:val="both"/>
        <w:rPr>
          <w:rFonts w:eastAsia="Calibri"/>
          <w:b/>
          <w:color w:val="0000FF"/>
          <w:sz w:val="20"/>
          <w:szCs w:val="20"/>
          <w:lang w:eastAsia="en-US"/>
        </w:rPr>
      </w:pPr>
      <w:hyperlink r:id="rId372" w:history="1">
        <w:r w:rsidR="00E178FE" w:rsidRPr="00B7463A">
          <w:rPr>
            <w:rFonts w:eastAsia="Calibri"/>
            <w:color w:val="0000FF"/>
            <w:sz w:val="20"/>
            <w:szCs w:val="20"/>
            <w:u w:val="single"/>
            <w:lang w:eastAsia="en-US"/>
          </w:rPr>
          <w:t>http://www.latam.mercer.com/content/mercer/latin-america-and-caribbean/mx/es/newsroom/mercer-calidad-de-vida-internacional-2015.html</w:t>
        </w:r>
      </w:hyperlink>
    </w:p>
    <w:p w14:paraId="0728AFBB" w14:textId="77777777" w:rsidR="00E178FE" w:rsidRDefault="00E178FE" w:rsidP="00C31451">
      <w:pPr>
        <w:spacing w:after="360" w:line="360" w:lineRule="auto"/>
        <w:ind w:right="-159"/>
        <w:jc w:val="both"/>
        <w:rPr>
          <w:rFonts w:eastAsia="Calibri"/>
          <w:sz w:val="26"/>
          <w:szCs w:val="26"/>
          <w:lang w:val="es-ES" w:eastAsia="en-US"/>
        </w:rPr>
      </w:pPr>
    </w:p>
    <w:p w14:paraId="3EEA4DC2" w14:textId="77777777" w:rsidR="00E178FE" w:rsidRDefault="00E178FE" w:rsidP="00C31451">
      <w:pPr>
        <w:spacing w:after="360" w:line="360" w:lineRule="auto"/>
        <w:ind w:right="-159"/>
        <w:jc w:val="both"/>
        <w:rPr>
          <w:rFonts w:eastAsia="Calibri"/>
          <w:sz w:val="26"/>
          <w:szCs w:val="26"/>
          <w:lang w:val="es-ES" w:eastAsia="en-US"/>
        </w:rPr>
      </w:pPr>
    </w:p>
    <w:p w14:paraId="28ED9249" w14:textId="4E6C51CF" w:rsidR="00890883" w:rsidRDefault="0054746B" w:rsidP="00C23BDC">
      <w:pPr>
        <w:spacing w:after="360" w:line="360" w:lineRule="auto"/>
        <w:ind w:right="-159"/>
        <w:jc w:val="both"/>
        <w:rPr>
          <w:rFonts w:eastAsia="Times New Roman"/>
          <w:b/>
          <w:sz w:val="28"/>
          <w:szCs w:val="28"/>
          <w:lang w:val="es-ES"/>
        </w:rPr>
      </w:pPr>
      <w:r w:rsidRPr="000E3A45">
        <w:rPr>
          <w:rFonts w:eastAsia="Times New Roman"/>
          <w:b/>
          <w:sz w:val="28"/>
          <w:szCs w:val="28"/>
          <w:lang w:val="es-ES"/>
        </w:rPr>
        <w:lastRenderedPageBreak/>
        <w:t>SISTEMA DE AHORRO PARA EL RETIRO (SAR)</w:t>
      </w:r>
    </w:p>
    <w:p w14:paraId="6E45E46F" w14:textId="77777777" w:rsidR="00034E69" w:rsidRPr="00034E69" w:rsidRDefault="00034E69" w:rsidP="00034E69">
      <w:pPr>
        <w:ind w:right="-159"/>
        <w:jc w:val="both"/>
        <w:rPr>
          <w:rFonts w:eastAsia="Calibri"/>
          <w:b/>
          <w:sz w:val="26"/>
          <w:szCs w:val="26"/>
          <w:lang w:eastAsia="en-US"/>
        </w:rPr>
      </w:pPr>
      <w:r w:rsidRPr="00034E69">
        <w:rPr>
          <w:rFonts w:eastAsia="Calibri"/>
          <w:b/>
          <w:sz w:val="26"/>
          <w:szCs w:val="26"/>
          <w:lang w:eastAsia="en-US"/>
        </w:rPr>
        <w:t>Presentan nueva sección “Cómo elegir la mejor Afore”</w:t>
      </w:r>
    </w:p>
    <w:p w14:paraId="0A59557D" w14:textId="77777777" w:rsidR="00034E69" w:rsidRPr="00034E69" w:rsidRDefault="00034E69" w:rsidP="00034E69">
      <w:pPr>
        <w:ind w:right="-159"/>
        <w:jc w:val="both"/>
        <w:rPr>
          <w:rFonts w:eastAsia="Calibri"/>
          <w:b/>
          <w:sz w:val="26"/>
          <w:szCs w:val="26"/>
          <w:lang w:eastAsia="en-US"/>
        </w:rPr>
      </w:pPr>
      <w:r w:rsidRPr="00034E69">
        <w:rPr>
          <w:rFonts w:eastAsia="Calibri"/>
          <w:b/>
          <w:sz w:val="26"/>
          <w:szCs w:val="26"/>
          <w:lang w:eastAsia="en-US"/>
        </w:rPr>
        <w:t xml:space="preserve">para facilitar  toma de  decisiones a los  53 millones  de </w:t>
      </w:r>
    </w:p>
    <w:p w14:paraId="203143E6" w14:textId="77777777" w:rsidR="00034E69" w:rsidRPr="00034E69" w:rsidRDefault="00034E69" w:rsidP="00034E69">
      <w:pPr>
        <w:spacing w:after="360" w:line="360" w:lineRule="auto"/>
        <w:ind w:right="-159"/>
        <w:jc w:val="both"/>
        <w:rPr>
          <w:rFonts w:eastAsia="Calibri"/>
          <w:b/>
          <w:sz w:val="26"/>
          <w:szCs w:val="26"/>
          <w:lang w:eastAsia="en-US"/>
        </w:rPr>
      </w:pPr>
      <w:r w:rsidRPr="00034E69">
        <w:rPr>
          <w:rFonts w:eastAsia="Calibri"/>
          <w:b/>
          <w:sz w:val="26"/>
          <w:szCs w:val="26"/>
          <w:lang w:eastAsia="en-US"/>
        </w:rPr>
        <w:t>ahorradores del SAR (Consar)</w:t>
      </w:r>
    </w:p>
    <w:p w14:paraId="1D069DD5" w14:textId="77777777" w:rsidR="00034E69" w:rsidRPr="00034E69" w:rsidRDefault="00034E69" w:rsidP="00034E69">
      <w:pPr>
        <w:spacing w:after="360" w:line="360" w:lineRule="auto"/>
        <w:ind w:right="-159"/>
        <w:jc w:val="both"/>
        <w:rPr>
          <w:rFonts w:eastAsia="Calibri"/>
          <w:sz w:val="26"/>
          <w:szCs w:val="26"/>
          <w:lang w:eastAsia="en-US"/>
        </w:rPr>
      </w:pPr>
      <w:r w:rsidRPr="00034E69">
        <w:rPr>
          <w:rFonts w:eastAsia="Calibri"/>
          <w:sz w:val="26"/>
          <w:szCs w:val="26"/>
          <w:lang w:eastAsia="en-US"/>
        </w:rPr>
        <w:t>El 24 de febrero de 2015, la Comisión Nacional del Sistema de Ahorro para el Retiro (Consar) dio a conocer el documento “Consar presenta una nueva sección ‘Cómo elegir la mejor Administradora de Fondos para el Retiro (Afore)’ para facilitar toma de decisiones a los 53 millones de ahorradores del Sistema de Ahorro para el Retiro (SAR)”, el cual se presenta a continuación.</w:t>
      </w:r>
    </w:p>
    <w:p w14:paraId="21E1AE9A" w14:textId="77777777" w:rsidR="00034E69" w:rsidRPr="00034E69" w:rsidRDefault="00034E69" w:rsidP="00034E69">
      <w:pPr>
        <w:spacing w:after="360" w:line="360" w:lineRule="auto"/>
        <w:ind w:right="-159"/>
        <w:jc w:val="both"/>
        <w:rPr>
          <w:rFonts w:eastAsia="Calibri"/>
          <w:sz w:val="26"/>
          <w:szCs w:val="26"/>
          <w:lang w:eastAsia="en-US"/>
        </w:rPr>
      </w:pPr>
      <w:r w:rsidRPr="00034E69">
        <w:rPr>
          <w:rFonts w:eastAsia="Calibri"/>
          <w:sz w:val="26"/>
          <w:szCs w:val="26"/>
          <w:lang w:eastAsia="en-US"/>
        </w:rPr>
        <w:t>Como parte del programa de Educación Financiera que Consar impulsa desde 2013, se presenta la nueva sección “Cómo elegir la mejor Afore” en la página de internet (http://www.consar.gob.mx/principal/como_elegir_afore/como_elegir_afore.aspx).</w:t>
      </w:r>
    </w:p>
    <w:p w14:paraId="69F40297" w14:textId="77777777" w:rsidR="00034E69" w:rsidRPr="00034E69" w:rsidRDefault="00034E69" w:rsidP="00034E69">
      <w:pPr>
        <w:spacing w:after="360" w:line="360" w:lineRule="auto"/>
        <w:ind w:right="-159"/>
        <w:jc w:val="both"/>
        <w:rPr>
          <w:rFonts w:eastAsia="Calibri"/>
          <w:sz w:val="26"/>
          <w:szCs w:val="26"/>
          <w:lang w:eastAsia="en-US"/>
        </w:rPr>
      </w:pPr>
      <w:r w:rsidRPr="00034E69">
        <w:rPr>
          <w:rFonts w:eastAsia="Calibri"/>
          <w:sz w:val="26"/>
          <w:szCs w:val="26"/>
          <w:lang w:eastAsia="en-US"/>
        </w:rPr>
        <w:t>A través de la evidencia recabada en diversas encuestas y múltiples reuniones con ahorradores en todo el país, además de los resultados más recientes en materia de traspasos (http://ow.ly/Jd9yA), los cuales relevan que muchos ahorradores están eligiendo Afore sin considerar los factores que más inciden en su pensión, es que se hizo necesario contar con una nueva sección que incorpore en un solo lugar la información que todo ahorrador debe consultar, de manera rápida y sencilla, para conocer qué Afore es la que más le conviene.</w:t>
      </w:r>
    </w:p>
    <w:p w14:paraId="511440FB" w14:textId="77777777" w:rsidR="00034E69" w:rsidRPr="00034E69" w:rsidRDefault="00034E69" w:rsidP="00034E69">
      <w:pPr>
        <w:spacing w:after="360" w:line="360" w:lineRule="auto"/>
        <w:ind w:right="-159"/>
        <w:jc w:val="both"/>
        <w:rPr>
          <w:rFonts w:eastAsia="Calibri"/>
          <w:sz w:val="26"/>
          <w:szCs w:val="26"/>
          <w:lang w:eastAsia="en-US"/>
        </w:rPr>
      </w:pPr>
      <w:r w:rsidRPr="00034E69">
        <w:rPr>
          <w:rFonts w:eastAsia="Calibri"/>
          <w:sz w:val="26"/>
          <w:szCs w:val="26"/>
          <w:lang w:eastAsia="en-US"/>
        </w:rPr>
        <w:t>Elegir Afore correctamente representa una de las decisiones financieras más relevantes en la vida de todos los ahorradores del SAR, dado que dicha elección repercutirá en sus finanzas personales futuras. Se estima que elegir una Afore con altos rendimientos y bajas comisiones en lugar de una Afore con bajos rendimientos y altas comisiones puede suponer, en el largo plazo, una pensión 25 a 30% mayor o menor, respectivamente.</w:t>
      </w:r>
    </w:p>
    <w:p w14:paraId="110DCD21" w14:textId="77777777" w:rsidR="00034E69" w:rsidRPr="00034E69" w:rsidRDefault="00034E69" w:rsidP="00034E69">
      <w:pPr>
        <w:spacing w:after="360" w:line="360" w:lineRule="auto"/>
        <w:ind w:right="-159"/>
        <w:jc w:val="both"/>
        <w:rPr>
          <w:rFonts w:eastAsia="Calibri"/>
          <w:sz w:val="26"/>
          <w:szCs w:val="26"/>
          <w:lang w:eastAsia="en-US"/>
        </w:rPr>
      </w:pPr>
      <w:r w:rsidRPr="00034E69">
        <w:rPr>
          <w:rFonts w:eastAsia="Calibri"/>
          <w:sz w:val="26"/>
          <w:szCs w:val="26"/>
          <w:lang w:eastAsia="en-US"/>
        </w:rPr>
        <w:lastRenderedPageBreak/>
        <w:t>La nueva sección “Cómo elegir la mejor Afore” contiene cinco apartados:</w:t>
      </w:r>
    </w:p>
    <w:p w14:paraId="59832CB3" w14:textId="77777777" w:rsidR="00034E69" w:rsidRPr="00034E69" w:rsidRDefault="00034E69" w:rsidP="00034E69">
      <w:pPr>
        <w:spacing w:after="360" w:line="360" w:lineRule="auto"/>
        <w:ind w:right="-159"/>
        <w:jc w:val="both"/>
        <w:rPr>
          <w:rFonts w:eastAsia="Calibri"/>
          <w:b/>
          <w:sz w:val="26"/>
          <w:szCs w:val="26"/>
          <w:lang w:eastAsia="en-US"/>
        </w:rPr>
      </w:pPr>
      <w:r w:rsidRPr="00034E69">
        <w:rPr>
          <w:rFonts w:eastAsia="Calibri"/>
          <w:b/>
          <w:sz w:val="26"/>
          <w:szCs w:val="26"/>
          <w:lang w:eastAsia="en-US"/>
        </w:rPr>
        <w:t>1. Rendimientos:</w:t>
      </w:r>
    </w:p>
    <w:p w14:paraId="1856B455" w14:textId="77777777" w:rsidR="00034E69" w:rsidRPr="00034E69" w:rsidRDefault="00034E69" w:rsidP="00034E69">
      <w:pPr>
        <w:spacing w:after="360" w:line="360" w:lineRule="auto"/>
        <w:ind w:right="-159"/>
        <w:jc w:val="both"/>
        <w:rPr>
          <w:rFonts w:eastAsia="Calibri"/>
          <w:sz w:val="26"/>
          <w:szCs w:val="26"/>
          <w:lang w:eastAsia="en-US"/>
        </w:rPr>
      </w:pPr>
      <w:r w:rsidRPr="00034E69">
        <w:rPr>
          <w:rFonts w:eastAsia="Calibri"/>
          <w:sz w:val="26"/>
          <w:szCs w:val="26"/>
          <w:lang w:eastAsia="en-US"/>
        </w:rPr>
        <w:t>En este espacio, además del Indicador de Rendimiento Neto (IRN), que es una tabla que ordena a las Afore de mayor a menor rendimiento neto y que aparece en los estados de cuenta que reciben los ahorradores tres veces al año, se incluyen ejercicios prácticos sobre el impacto que tiene elegir una Afore de altos, medianos y bajos rendimientos.</w:t>
      </w:r>
    </w:p>
    <w:p w14:paraId="5150EA88" w14:textId="77777777" w:rsidR="00034E69" w:rsidRPr="00034E69" w:rsidRDefault="00034E69" w:rsidP="00034E69">
      <w:pPr>
        <w:spacing w:after="360" w:line="360" w:lineRule="auto"/>
        <w:ind w:right="-159"/>
        <w:jc w:val="both"/>
        <w:rPr>
          <w:rFonts w:eastAsia="Calibri"/>
          <w:sz w:val="26"/>
          <w:szCs w:val="26"/>
          <w:lang w:eastAsia="en-US"/>
        </w:rPr>
      </w:pPr>
      <w:r w:rsidRPr="00034E69">
        <w:rPr>
          <w:rFonts w:eastAsia="Calibri"/>
          <w:sz w:val="26"/>
          <w:szCs w:val="26"/>
          <w:lang w:eastAsia="en-US"/>
        </w:rPr>
        <w:t>En la sección se incluyen también accesos directos a las nuevas Calculadoras de Pensión que permiten estimar de manera sencilla el monto aproximado de pensión que tendrá un trabajador al final de su vida laboral, además de información relevante en cuanto a los pasos que hay que seguir para realizar aportaciones voluntarias.</w:t>
      </w:r>
    </w:p>
    <w:p w14:paraId="28425274" w14:textId="3428E73F" w:rsidR="00034E69" w:rsidRPr="00034E69" w:rsidRDefault="00034E69" w:rsidP="00034E69">
      <w:pPr>
        <w:spacing w:after="360" w:line="360" w:lineRule="auto"/>
        <w:ind w:right="-159"/>
        <w:jc w:val="both"/>
        <w:rPr>
          <w:rFonts w:eastAsia="Calibri"/>
          <w:sz w:val="26"/>
          <w:szCs w:val="26"/>
          <w:lang w:eastAsia="en-US"/>
        </w:rPr>
      </w:pPr>
      <w:r w:rsidRPr="00034E69">
        <w:rPr>
          <w:rFonts w:eastAsia="Calibri"/>
          <w:sz w:val="26"/>
          <w:szCs w:val="26"/>
          <w:lang w:eastAsia="en-US"/>
        </w:rPr>
        <w:t xml:space="preserve">Aparece, finalmente, información referente a los factores determinantes de la pensión del trabajador </w:t>
      </w:r>
      <w:r w:rsidR="00796174">
        <w:rPr>
          <w:rFonts w:eastAsia="Calibri"/>
          <w:sz w:val="26"/>
          <w:szCs w:val="26"/>
          <w:lang w:eastAsia="en-US"/>
        </w:rPr>
        <w:t>—</w:t>
      </w:r>
      <w:r w:rsidRPr="00034E69">
        <w:rPr>
          <w:rFonts w:eastAsia="Calibri"/>
          <w:sz w:val="26"/>
          <w:szCs w:val="26"/>
          <w:lang w:eastAsia="en-US"/>
        </w:rPr>
        <w:t>además del rendimiento</w:t>
      </w:r>
      <w:r w:rsidR="00796174">
        <w:rPr>
          <w:rFonts w:eastAsia="Calibri"/>
          <w:sz w:val="26"/>
          <w:szCs w:val="26"/>
          <w:lang w:eastAsia="en-US"/>
        </w:rPr>
        <w:t>—</w:t>
      </w:r>
      <w:r w:rsidRPr="00034E69">
        <w:rPr>
          <w:rFonts w:eastAsia="Calibri"/>
          <w:sz w:val="26"/>
          <w:szCs w:val="26"/>
          <w:lang w:eastAsia="en-US"/>
        </w:rPr>
        <w:t>, y qué hacer en caso de no recordar en qué Afore se encuentra el ahorrador.</w:t>
      </w:r>
    </w:p>
    <w:p w14:paraId="1361E6F6" w14:textId="77777777" w:rsidR="00034E69" w:rsidRPr="00034E69" w:rsidRDefault="00034E69" w:rsidP="00034E69">
      <w:pPr>
        <w:spacing w:after="360" w:line="360" w:lineRule="auto"/>
        <w:ind w:right="-159"/>
        <w:jc w:val="both"/>
        <w:rPr>
          <w:rFonts w:eastAsia="Calibri"/>
          <w:b/>
          <w:sz w:val="26"/>
          <w:szCs w:val="26"/>
          <w:lang w:eastAsia="en-US"/>
        </w:rPr>
      </w:pPr>
      <w:r w:rsidRPr="00034E69">
        <w:rPr>
          <w:rFonts w:eastAsia="Calibri"/>
          <w:b/>
          <w:sz w:val="26"/>
          <w:szCs w:val="26"/>
          <w:lang w:eastAsia="en-US"/>
        </w:rPr>
        <w:t>2. Comisiones</w:t>
      </w:r>
    </w:p>
    <w:p w14:paraId="2DE63566" w14:textId="77777777" w:rsidR="00034E69" w:rsidRPr="00034E69" w:rsidRDefault="00034E69" w:rsidP="00034E69">
      <w:pPr>
        <w:spacing w:after="360" w:line="360" w:lineRule="auto"/>
        <w:ind w:right="-159"/>
        <w:jc w:val="both"/>
        <w:rPr>
          <w:rFonts w:eastAsia="Calibri"/>
          <w:sz w:val="26"/>
          <w:szCs w:val="26"/>
          <w:lang w:eastAsia="en-US"/>
        </w:rPr>
      </w:pPr>
      <w:r w:rsidRPr="00034E69">
        <w:rPr>
          <w:rFonts w:eastAsia="Calibri"/>
          <w:sz w:val="26"/>
          <w:szCs w:val="26"/>
          <w:lang w:eastAsia="en-US"/>
        </w:rPr>
        <w:t>En este apartado, además de mostrar la tabla de las comisiones que cobran las Afore, se incluyen ejercicios didácticos que ilustran el impacto de elegir una Afore de bajas comisiones respecto a otra Afore que cobra mayores comisiones.</w:t>
      </w:r>
    </w:p>
    <w:p w14:paraId="739B4F36" w14:textId="77777777" w:rsidR="00034E69" w:rsidRDefault="00034E69" w:rsidP="00034E69">
      <w:pPr>
        <w:spacing w:after="360" w:line="360" w:lineRule="auto"/>
        <w:ind w:right="-159"/>
        <w:jc w:val="both"/>
        <w:rPr>
          <w:rFonts w:eastAsia="Calibri"/>
          <w:sz w:val="26"/>
          <w:szCs w:val="26"/>
          <w:lang w:eastAsia="en-US"/>
        </w:rPr>
      </w:pPr>
      <w:r w:rsidRPr="00034E69">
        <w:rPr>
          <w:rFonts w:eastAsia="Calibri"/>
          <w:sz w:val="26"/>
          <w:szCs w:val="26"/>
          <w:lang w:eastAsia="en-US"/>
        </w:rPr>
        <w:t>A su vez, se incluyen accesos a información relevante respecto a la importancia de las comisiones en el saldo pensionario de los ahorradores y la estructura de gastos de las 11 Afore.</w:t>
      </w:r>
    </w:p>
    <w:p w14:paraId="6F67E777" w14:textId="77777777" w:rsidR="00AA71BA" w:rsidRDefault="00AA71BA" w:rsidP="00034E69">
      <w:pPr>
        <w:spacing w:after="360" w:line="360" w:lineRule="auto"/>
        <w:ind w:right="-159"/>
        <w:jc w:val="both"/>
        <w:rPr>
          <w:rFonts w:eastAsia="Calibri"/>
          <w:sz w:val="26"/>
          <w:szCs w:val="26"/>
          <w:lang w:eastAsia="en-US"/>
        </w:rPr>
      </w:pPr>
    </w:p>
    <w:p w14:paraId="0027A22A" w14:textId="77777777" w:rsidR="00AA71BA" w:rsidRPr="00034E69" w:rsidRDefault="00AA71BA" w:rsidP="00034E69">
      <w:pPr>
        <w:spacing w:after="360" w:line="360" w:lineRule="auto"/>
        <w:ind w:right="-159"/>
        <w:jc w:val="both"/>
        <w:rPr>
          <w:rFonts w:eastAsia="Calibri"/>
          <w:sz w:val="26"/>
          <w:szCs w:val="26"/>
          <w:lang w:eastAsia="en-US"/>
        </w:rPr>
      </w:pPr>
    </w:p>
    <w:p w14:paraId="283ABD8F" w14:textId="77777777" w:rsidR="00034E69" w:rsidRPr="00034E69" w:rsidRDefault="00034E69" w:rsidP="00034E69">
      <w:pPr>
        <w:spacing w:after="360" w:line="360" w:lineRule="auto"/>
        <w:ind w:right="-159"/>
        <w:jc w:val="both"/>
        <w:rPr>
          <w:rFonts w:eastAsia="Calibri"/>
          <w:b/>
          <w:sz w:val="26"/>
          <w:szCs w:val="26"/>
          <w:lang w:eastAsia="en-US"/>
        </w:rPr>
      </w:pPr>
      <w:r w:rsidRPr="00034E69">
        <w:rPr>
          <w:rFonts w:eastAsia="Calibri"/>
          <w:b/>
          <w:sz w:val="26"/>
          <w:szCs w:val="26"/>
          <w:lang w:eastAsia="en-US"/>
        </w:rPr>
        <w:lastRenderedPageBreak/>
        <w:t>3. Servicios</w:t>
      </w:r>
    </w:p>
    <w:p w14:paraId="7086E300" w14:textId="77777777" w:rsidR="00034E69" w:rsidRPr="00034E69" w:rsidRDefault="00034E69" w:rsidP="00034E69">
      <w:pPr>
        <w:spacing w:after="360" w:line="360" w:lineRule="auto"/>
        <w:ind w:right="-159"/>
        <w:jc w:val="both"/>
        <w:rPr>
          <w:rFonts w:eastAsia="Calibri"/>
          <w:sz w:val="26"/>
          <w:szCs w:val="26"/>
          <w:lang w:eastAsia="en-US"/>
        </w:rPr>
      </w:pPr>
      <w:r w:rsidRPr="00034E69">
        <w:rPr>
          <w:rFonts w:eastAsia="Calibri"/>
          <w:sz w:val="26"/>
          <w:szCs w:val="26"/>
          <w:lang w:eastAsia="en-US"/>
        </w:rPr>
        <w:t>En esta sección se presenta el nuevo Comparativo de Afore en Servicios (CAS), que ordena a las Afore de mayor a menor respecto a la calidad y cantidad de servicios que brindan a los ahorradores. Se incluye, a su vez, la descripción de los cuatro componentes del indicador y la nota metodológica correspondiente.</w:t>
      </w:r>
    </w:p>
    <w:p w14:paraId="01BF5EDB" w14:textId="77777777" w:rsidR="00034E69" w:rsidRPr="00034E69" w:rsidRDefault="00034E69" w:rsidP="00034E69">
      <w:pPr>
        <w:spacing w:after="360" w:line="360" w:lineRule="auto"/>
        <w:ind w:right="-159"/>
        <w:jc w:val="both"/>
        <w:rPr>
          <w:rFonts w:eastAsia="Calibri"/>
          <w:sz w:val="26"/>
          <w:szCs w:val="26"/>
          <w:lang w:eastAsia="en-US"/>
        </w:rPr>
      </w:pPr>
      <w:r w:rsidRPr="00034E69">
        <w:rPr>
          <w:rFonts w:eastAsia="Calibri"/>
          <w:sz w:val="26"/>
          <w:szCs w:val="26"/>
          <w:lang w:eastAsia="en-US"/>
        </w:rPr>
        <w:t>Asimismo, se incluye un Mapa con la cobertura que tiene cada Afore por entidad federativa, el cual muestra las sucursales de cada Administradora para facilitar la localización de la oficina más cercana al domicilio del trabajador.</w:t>
      </w:r>
    </w:p>
    <w:p w14:paraId="25A6A1BF" w14:textId="77777777" w:rsidR="00034E69" w:rsidRPr="00034E69" w:rsidRDefault="00034E69" w:rsidP="00034E69">
      <w:pPr>
        <w:spacing w:after="360" w:line="360" w:lineRule="auto"/>
        <w:ind w:right="-159"/>
        <w:jc w:val="both"/>
        <w:rPr>
          <w:rFonts w:eastAsia="Calibri"/>
          <w:b/>
          <w:sz w:val="26"/>
          <w:szCs w:val="26"/>
          <w:lang w:eastAsia="en-US"/>
        </w:rPr>
      </w:pPr>
      <w:r w:rsidRPr="00034E69">
        <w:rPr>
          <w:rFonts w:eastAsia="Calibri"/>
          <w:b/>
          <w:sz w:val="26"/>
          <w:szCs w:val="26"/>
          <w:lang w:eastAsia="en-US"/>
        </w:rPr>
        <w:t>4. Cambiar de Afore</w:t>
      </w:r>
    </w:p>
    <w:p w14:paraId="0497D9FC" w14:textId="77777777" w:rsidR="00034E69" w:rsidRPr="00034E69" w:rsidRDefault="00034E69" w:rsidP="00034E69">
      <w:pPr>
        <w:spacing w:after="360" w:line="360" w:lineRule="auto"/>
        <w:ind w:right="-159"/>
        <w:jc w:val="both"/>
        <w:rPr>
          <w:rFonts w:eastAsia="Calibri"/>
          <w:sz w:val="26"/>
          <w:szCs w:val="26"/>
          <w:lang w:eastAsia="en-US"/>
        </w:rPr>
      </w:pPr>
      <w:r w:rsidRPr="00034E69">
        <w:rPr>
          <w:rFonts w:eastAsia="Calibri"/>
          <w:sz w:val="26"/>
          <w:szCs w:val="26"/>
          <w:lang w:eastAsia="en-US"/>
        </w:rPr>
        <w:t>En esta sección se describe el procedimiento, paso por paso, para cambiar de Afore y se despliega el nuevo formato de Traspaso que todos los ahorradores deben firman al momento de realizar el trámite de traspaso.</w:t>
      </w:r>
    </w:p>
    <w:p w14:paraId="50924880" w14:textId="77777777" w:rsidR="00034E69" w:rsidRPr="00034E69" w:rsidRDefault="00034E69" w:rsidP="00034E69">
      <w:pPr>
        <w:spacing w:after="360" w:line="360" w:lineRule="auto"/>
        <w:ind w:right="-159"/>
        <w:jc w:val="both"/>
        <w:rPr>
          <w:rFonts w:eastAsia="Calibri"/>
          <w:b/>
          <w:sz w:val="26"/>
          <w:szCs w:val="26"/>
          <w:lang w:eastAsia="en-US"/>
        </w:rPr>
      </w:pPr>
      <w:r w:rsidRPr="00034E69">
        <w:rPr>
          <w:rFonts w:eastAsia="Calibri"/>
          <w:b/>
          <w:sz w:val="26"/>
          <w:szCs w:val="26"/>
          <w:lang w:eastAsia="en-US"/>
        </w:rPr>
        <w:t>5. Datos de las Afore</w:t>
      </w:r>
    </w:p>
    <w:p w14:paraId="16F439EF" w14:textId="77777777" w:rsidR="00034E69" w:rsidRDefault="00034E69" w:rsidP="00034E69">
      <w:pPr>
        <w:spacing w:after="360" w:line="360" w:lineRule="auto"/>
        <w:ind w:right="-159"/>
        <w:jc w:val="both"/>
        <w:rPr>
          <w:rFonts w:eastAsia="Calibri"/>
          <w:sz w:val="26"/>
          <w:szCs w:val="26"/>
          <w:lang w:eastAsia="en-US"/>
        </w:rPr>
      </w:pPr>
      <w:r w:rsidRPr="00034E69">
        <w:rPr>
          <w:rFonts w:eastAsia="Calibri"/>
          <w:sz w:val="26"/>
          <w:szCs w:val="26"/>
          <w:lang w:eastAsia="en-US"/>
        </w:rPr>
        <w:t>Esta sección presenta información sobre los números telefónicos y páginas de internet de cada Administradora para facilitar el contacto de los ahorradores con su Afore.</w:t>
      </w:r>
    </w:p>
    <w:p w14:paraId="325F3ABA" w14:textId="77777777" w:rsidR="00034E69" w:rsidRPr="00034E69" w:rsidRDefault="00034E69" w:rsidP="00034E69">
      <w:pPr>
        <w:spacing w:after="360" w:line="360" w:lineRule="auto"/>
        <w:ind w:right="-159"/>
        <w:jc w:val="both"/>
        <w:rPr>
          <w:rFonts w:eastAsia="Calibri"/>
          <w:sz w:val="26"/>
          <w:szCs w:val="26"/>
          <w:lang w:eastAsia="en-US"/>
        </w:rPr>
      </w:pPr>
      <w:r w:rsidRPr="00034E69">
        <w:rPr>
          <w:rFonts w:eastAsia="Calibri"/>
          <w:sz w:val="26"/>
          <w:szCs w:val="26"/>
          <w:lang w:eastAsia="en-US"/>
        </w:rPr>
        <w:t>Consar continuará desarrollando en los próximos meses nuevas medidas en materia de educación financiera para estimular que los trabajadores se involucren más con su cuenta de ahorro para el retiro.</w:t>
      </w:r>
    </w:p>
    <w:p w14:paraId="0A5CAE31" w14:textId="77777777" w:rsidR="00034E69" w:rsidRPr="00034E69" w:rsidRDefault="00034E69" w:rsidP="00034E69">
      <w:pPr>
        <w:ind w:right="-159"/>
        <w:jc w:val="both"/>
        <w:rPr>
          <w:rFonts w:eastAsia="Calibri"/>
          <w:b/>
          <w:sz w:val="20"/>
          <w:szCs w:val="20"/>
          <w:lang w:eastAsia="en-US"/>
        </w:rPr>
      </w:pPr>
      <w:r w:rsidRPr="00034E69">
        <w:rPr>
          <w:rFonts w:eastAsia="Calibri"/>
          <w:b/>
          <w:sz w:val="20"/>
          <w:szCs w:val="20"/>
          <w:lang w:eastAsia="en-US"/>
        </w:rPr>
        <w:t>Fuente de información:</w:t>
      </w:r>
    </w:p>
    <w:p w14:paraId="20933F41" w14:textId="77777777" w:rsidR="00034E69" w:rsidRPr="00B7463A" w:rsidRDefault="0093224F" w:rsidP="00034E69">
      <w:pPr>
        <w:ind w:right="-159"/>
        <w:jc w:val="both"/>
        <w:rPr>
          <w:rFonts w:eastAsia="Calibri"/>
          <w:color w:val="0000FF"/>
          <w:sz w:val="20"/>
          <w:szCs w:val="20"/>
          <w:lang w:eastAsia="en-US"/>
        </w:rPr>
      </w:pPr>
      <w:hyperlink r:id="rId373" w:history="1">
        <w:r w:rsidR="00034E69" w:rsidRPr="00B7463A">
          <w:rPr>
            <w:rFonts w:eastAsia="Calibri"/>
            <w:color w:val="0000FF"/>
            <w:sz w:val="20"/>
            <w:szCs w:val="20"/>
            <w:u w:val="single"/>
            <w:lang w:eastAsia="en-US"/>
          </w:rPr>
          <w:t>http://www.consar.gob.mx/sala_prensa/PDF/boletines/BP-08-2015.pdf</w:t>
        </w:r>
      </w:hyperlink>
    </w:p>
    <w:p w14:paraId="669EFE28" w14:textId="77777777" w:rsidR="00034E69" w:rsidRDefault="00034E69" w:rsidP="004870E6">
      <w:pPr>
        <w:spacing w:after="360" w:line="360" w:lineRule="auto"/>
        <w:ind w:right="-159"/>
        <w:jc w:val="both"/>
        <w:rPr>
          <w:rFonts w:eastAsia="Calibri"/>
          <w:sz w:val="26"/>
          <w:szCs w:val="26"/>
          <w:lang w:eastAsia="en-US"/>
        </w:rPr>
      </w:pPr>
    </w:p>
    <w:p w14:paraId="04D15B13" w14:textId="7215BF8B" w:rsidR="003F6994" w:rsidRDefault="003F6994">
      <w:pPr>
        <w:rPr>
          <w:rFonts w:eastAsia="Calibri"/>
          <w:sz w:val="26"/>
          <w:szCs w:val="26"/>
          <w:lang w:eastAsia="en-US"/>
        </w:rPr>
      </w:pPr>
      <w:r>
        <w:rPr>
          <w:rFonts w:eastAsia="Calibri"/>
          <w:sz w:val="26"/>
          <w:szCs w:val="26"/>
          <w:lang w:eastAsia="en-US"/>
        </w:rPr>
        <w:br w:type="page"/>
      </w:r>
    </w:p>
    <w:p w14:paraId="50317507" w14:textId="77777777" w:rsidR="00F4030A" w:rsidRPr="00F4030A" w:rsidRDefault="00F4030A" w:rsidP="00F4030A">
      <w:pPr>
        <w:spacing w:after="360" w:line="360" w:lineRule="auto"/>
        <w:ind w:right="-159"/>
        <w:jc w:val="both"/>
        <w:rPr>
          <w:rFonts w:eastAsia="Calibri"/>
          <w:b/>
          <w:sz w:val="26"/>
          <w:szCs w:val="26"/>
          <w:lang w:eastAsia="en-US"/>
        </w:rPr>
      </w:pPr>
      <w:r w:rsidRPr="00F4030A">
        <w:rPr>
          <w:rFonts w:eastAsia="Calibri"/>
          <w:b/>
          <w:sz w:val="26"/>
          <w:szCs w:val="26"/>
          <w:lang w:eastAsia="en-US"/>
        </w:rPr>
        <w:lastRenderedPageBreak/>
        <w:t>Diversificación de las carteras de las Siefore (Consar)</w:t>
      </w:r>
    </w:p>
    <w:p w14:paraId="14637F36" w14:textId="77777777" w:rsidR="00F4030A" w:rsidRPr="00F4030A" w:rsidRDefault="00F4030A" w:rsidP="00F4030A">
      <w:pPr>
        <w:spacing w:after="360" w:line="360" w:lineRule="auto"/>
        <w:ind w:right="-159"/>
        <w:jc w:val="both"/>
        <w:rPr>
          <w:rFonts w:eastAsia="Calibri"/>
          <w:sz w:val="26"/>
          <w:szCs w:val="26"/>
          <w:lang w:eastAsia="en-US"/>
        </w:rPr>
      </w:pPr>
      <w:r w:rsidRPr="00F4030A">
        <w:rPr>
          <w:rFonts w:eastAsia="Calibri"/>
          <w:sz w:val="26"/>
          <w:szCs w:val="26"/>
          <w:lang w:eastAsia="en-US"/>
        </w:rPr>
        <w:t>El 3 de marzo de 2015, la Comisión Nacional del Sistema de Ahorro para el Retiro (Consar) informó la diversificación de las carteras de las Sociedades de Inversión de las Administradoras de Fondos para el Retiro (Siefore). A continuación se presenta la información.</w:t>
      </w:r>
    </w:p>
    <w:p w14:paraId="48140326" w14:textId="77777777" w:rsidR="00F4030A" w:rsidRPr="00F4030A" w:rsidRDefault="00F4030A" w:rsidP="00F4030A">
      <w:pPr>
        <w:spacing w:after="360" w:line="360" w:lineRule="auto"/>
        <w:ind w:right="-159"/>
        <w:jc w:val="both"/>
        <w:rPr>
          <w:rFonts w:eastAsia="Calibri"/>
          <w:sz w:val="26"/>
          <w:szCs w:val="26"/>
          <w:lang w:eastAsia="en-US"/>
        </w:rPr>
      </w:pPr>
      <w:r w:rsidRPr="00F4030A">
        <w:rPr>
          <w:rFonts w:eastAsia="Calibri"/>
          <w:sz w:val="26"/>
          <w:szCs w:val="26"/>
          <w:lang w:eastAsia="en-US"/>
        </w:rPr>
        <w:t>Al cierre de enero de 2015, las Siefore administraban una cartera de 2 billones 441 mil 210 millones de pesos. Estos recursos están invertidos en las distintas clases de activos autorizadas por el régimen de inversión vigente.</w:t>
      </w:r>
    </w:p>
    <w:p w14:paraId="42C99C0D" w14:textId="77777777" w:rsidR="00F4030A" w:rsidRDefault="00F4030A" w:rsidP="00F4030A">
      <w:pPr>
        <w:spacing w:after="360" w:line="360" w:lineRule="auto"/>
        <w:ind w:right="-159"/>
        <w:jc w:val="both"/>
        <w:rPr>
          <w:rFonts w:eastAsia="Calibri"/>
          <w:sz w:val="26"/>
          <w:szCs w:val="26"/>
          <w:lang w:eastAsia="en-US"/>
        </w:rPr>
      </w:pPr>
      <w:r w:rsidRPr="00F4030A">
        <w:rPr>
          <w:rFonts w:eastAsia="Calibri"/>
          <w:sz w:val="26"/>
          <w:szCs w:val="26"/>
          <w:lang w:eastAsia="en-US"/>
        </w:rPr>
        <w:t>En general, la cartera de las Siefore ha mostrado una tendencia hacia una mayor diversificación. Destaca, por su peso relativo, el caso de los valores gubernamentales: mientras que en 2008 el 68.3% de los recursos del Sistema de Ahorro para el Retiro (SAR) se invertían en este tipo de instrumentos, el porcentaje comparable en enero de 2015 fue de 50.3 por ciento.</w:t>
      </w:r>
    </w:p>
    <w:p w14:paraId="6E9F9C1E" w14:textId="77777777" w:rsidR="00AA71BA" w:rsidRDefault="00AA71BA" w:rsidP="00F4030A">
      <w:pPr>
        <w:spacing w:after="360" w:line="360" w:lineRule="auto"/>
        <w:ind w:right="-159"/>
        <w:jc w:val="both"/>
        <w:rPr>
          <w:rFonts w:eastAsia="Calibri"/>
          <w:sz w:val="26"/>
          <w:szCs w:val="26"/>
          <w:lang w:eastAsia="en-US"/>
        </w:rPr>
      </w:pPr>
    </w:p>
    <w:p w14:paraId="7C350CA1" w14:textId="77777777" w:rsidR="00AA71BA" w:rsidRDefault="00AA71BA" w:rsidP="00F4030A">
      <w:pPr>
        <w:spacing w:after="360" w:line="360" w:lineRule="auto"/>
        <w:ind w:right="-159"/>
        <w:jc w:val="both"/>
        <w:rPr>
          <w:rFonts w:eastAsia="Calibri"/>
          <w:sz w:val="26"/>
          <w:szCs w:val="26"/>
          <w:lang w:eastAsia="en-US"/>
        </w:rPr>
      </w:pPr>
    </w:p>
    <w:p w14:paraId="1A327ECB" w14:textId="77777777" w:rsidR="00AA71BA" w:rsidRDefault="00AA71BA" w:rsidP="00F4030A">
      <w:pPr>
        <w:spacing w:after="360" w:line="360" w:lineRule="auto"/>
        <w:ind w:right="-159"/>
        <w:jc w:val="both"/>
        <w:rPr>
          <w:rFonts w:eastAsia="Calibri"/>
          <w:sz w:val="26"/>
          <w:szCs w:val="26"/>
          <w:lang w:eastAsia="en-US"/>
        </w:rPr>
      </w:pPr>
    </w:p>
    <w:p w14:paraId="1E36E06E" w14:textId="77777777" w:rsidR="00AA71BA" w:rsidRDefault="00AA71BA" w:rsidP="00F4030A">
      <w:pPr>
        <w:spacing w:after="360" w:line="360" w:lineRule="auto"/>
        <w:ind w:right="-159"/>
        <w:jc w:val="both"/>
        <w:rPr>
          <w:rFonts w:eastAsia="Calibri"/>
          <w:sz w:val="26"/>
          <w:szCs w:val="26"/>
          <w:lang w:eastAsia="en-US"/>
        </w:rPr>
      </w:pPr>
    </w:p>
    <w:p w14:paraId="3A4C95A8" w14:textId="77777777" w:rsidR="00AA71BA" w:rsidRDefault="00AA71BA" w:rsidP="00F4030A">
      <w:pPr>
        <w:spacing w:after="360" w:line="360" w:lineRule="auto"/>
        <w:ind w:right="-159"/>
        <w:jc w:val="both"/>
        <w:rPr>
          <w:rFonts w:eastAsia="Calibri"/>
          <w:sz w:val="26"/>
          <w:szCs w:val="26"/>
          <w:lang w:eastAsia="en-US"/>
        </w:rPr>
      </w:pPr>
    </w:p>
    <w:p w14:paraId="271622A1" w14:textId="77777777" w:rsidR="00AA71BA" w:rsidRDefault="00AA71BA" w:rsidP="00F4030A">
      <w:pPr>
        <w:spacing w:after="360" w:line="360" w:lineRule="auto"/>
        <w:ind w:right="-159"/>
        <w:jc w:val="both"/>
        <w:rPr>
          <w:rFonts w:eastAsia="Calibri"/>
          <w:sz w:val="26"/>
          <w:szCs w:val="26"/>
          <w:lang w:eastAsia="en-US"/>
        </w:rPr>
      </w:pPr>
    </w:p>
    <w:p w14:paraId="173B30BD" w14:textId="77777777" w:rsidR="00AA71BA" w:rsidRPr="00F4030A" w:rsidRDefault="00AA71BA" w:rsidP="00F4030A">
      <w:pPr>
        <w:spacing w:after="360" w:line="360" w:lineRule="auto"/>
        <w:ind w:right="-159"/>
        <w:jc w:val="both"/>
        <w:rPr>
          <w:rFonts w:eastAsia="Calibri"/>
          <w:sz w:val="26"/>
          <w:szCs w:val="26"/>
          <w:lang w:eastAsia="en-US"/>
        </w:rPr>
      </w:pPr>
    </w:p>
    <w:tbl>
      <w:tblPr>
        <w:tblW w:w="0" w:type="auto"/>
        <w:tblBorders>
          <w:insideV w:val="single" w:sz="4" w:space="0" w:color="auto"/>
        </w:tblBorders>
        <w:tblLook w:val="04A0" w:firstRow="1" w:lastRow="0" w:firstColumn="1" w:lastColumn="0" w:noHBand="0" w:noVBand="1"/>
      </w:tblPr>
      <w:tblGrid>
        <w:gridCol w:w="8840"/>
      </w:tblGrid>
      <w:tr w:rsidR="00F4030A" w:rsidRPr="00F4030A" w14:paraId="52F1BEFB" w14:textId="77777777" w:rsidTr="00082E99">
        <w:tc>
          <w:tcPr>
            <w:tcW w:w="8828" w:type="dxa"/>
          </w:tcPr>
          <w:p w14:paraId="4B7470FE" w14:textId="77777777" w:rsidR="00F4030A" w:rsidRPr="00F4030A" w:rsidRDefault="00F4030A" w:rsidP="00F4030A">
            <w:pPr>
              <w:jc w:val="center"/>
              <w:rPr>
                <w:rFonts w:eastAsia="Calibri"/>
                <w:b/>
                <w:sz w:val="22"/>
                <w:szCs w:val="26"/>
                <w:lang w:eastAsia="en-US"/>
              </w:rPr>
            </w:pPr>
            <w:r w:rsidRPr="00F4030A">
              <w:rPr>
                <w:rFonts w:eastAsia="Calibri"/>
                <w:b/>
                <w:sz w:val="22"/>
                <w:szCs w:val="26"/>
                <w:lang w:eastAsia="en-US"/>
              </w:rPr>
              <w:lastRenderedPageBreak/>
              <w:t>EVOLUCIÓN DE LA DIVERSIFICACIÓN DE LA CARTERA</w:t>
            </w:r>
          </w:p>
          <w:p w14:paraId="4D1FAB0C" w14:textId="77777777" w:rsidR="00F4030A" w:rsidRPr="00F4030A" w:rsidRDefault="00F4030A" w:rsidP="00F4030A">
            <w:pPr>
              <w:jc w:val="center"/>
              <w:rPr>
                <w:rFonts w:eastAsia="Calibri"/>
                <w:b/>
                <w:sz w:val="22"/>
                <w:szCs w:val="26"/>
                <w:lang w:eastAsia="en-US"/>
              </w:rPr>
            </w:pPr>
            <w:r w:rsidRPr="00F4030A">
              <w:rPr>
                <w:rFonts w:eastAsia="Calibri"/>
                <w:b/>
                <w:sz w:val="22"/>
                <w:szCs w:val="26"/>
                <w:lang w:eastAsia="en-US"/>
              </w:rPr>
              <w:t>-Estructura porcentual-</w:t>
            </w:r>
          </w:p>
        </w:tc>
      </w:tr>
      <w:tr w:rsidR="00F4030A" w:rsidRPr="00F4030A" w14:paraId="5377B3FE" w14:textId="77777777" w:rsidTr="00082E99">
        <w:tc>
          <w:tcPr>
            <w:tcW w:w="8828" w:type="dxa"/>
          </w:tcPr>
          <w:p w14:paraId="1F3871F0" w14:textId="77777777" w:rsidR="00F4030A" w:rsidRPr="00F4030A" w:rsidRDefault="00F4030A" w:rsidP="00F4030A">
            <w:pPr>
              <w:jc w:val="both"/>
              <w:rPr>
                <w:rFonts w:eastAsia="Calibri"/>
                <w:sz w:val="26"/>
                <w:szCs w:val="26"/>
                <w:lang w:eastAsia="en-US"/>
              </w:rPr>
            </w:pPr>
            <w:r w:rsidRPr="00F4030A">
              <w:rPr>
                <w:rFonts w:ascii="Calibri" w:eastAsia="Calibri" w:hAnsi="Calibri"/>
                <w:noProof/>
                <w:sz w:val="22"/>
                <w:szCs w:val="22"/>
                <w:lang w:eastAsia="es-MX"/>
              </w:rPr>
              <w:drawing>
                <wp:inline distT="0" distB="0" distL="0" distR="0" wp14:anchorId="336810AB" wp14:editId="3A542C24">
                  <wp:extent cx="5584314" cy="2916000"/>
                  <wp:effectExtent l="0" t="0" r="0" b="0"/>
                  <wp:docPr id="168" name="Imagen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4"/>
                          <a:stretch>
                            <a:fillRect/>
                          </a:stretch>
                        </pic:blipFill>
                        <pic:spPr>
                          <a:xfrm>
                            <a:off x="0" y="0"/>
                            <a:ext cx="5584314" cy="2916000"/>
                          </a:xfrm>
                          <a:prstGeom prst="rect">
                            <a:avLst/>
                          </a:prstGeom>
                        </pic:spPr>
                      </pic:pic>
                    </a:graphicData>
                  </a:graphic>
                </wp:inline>
              </w:drawing>
            </w:r>
          </w:p>
        </w:tc>
      </w:tr>
      <w:tr w:rsidR="00F4030A" w:rsidRPr="00F4030A" w14:paraId="656D6D7B" w14:textId="77777777" w:rsidTr="00082E99">
        <w:tc>
          <w:tcPr>
            <w:tcW w:w="8828" w:type="dxa"/>
          </w:tcPr>
          <w:p w14:paraId="3240ECC5" w14:textId="77777777" w:rsidR="00F4030A" w:rsidRPr="00F4030A" w:rsidRDefault="00F4030A" w:rsidP="00F4030A">
            <w:pPr>
              <w:jc w:val="both"/>
              <w:rPr>
                <w:rFonts w:eastAsia="Calibri"/>
                <w:sz w:val="20"/>
                <w:szCs w:val="26"/>
                <w:lang w:eastAsia="en-US"/>
              </w:rPr>
            </w:pPr>
            <w:r w:rsidRPr="00F4030A">
              <w:rPr>
                <w:rFonts w:eastAsia="Calibri"/>
                <w:sz w:val="20"/>
                <w:szCs w:val="26"/>
                <w:lang w:eastAsia="en-US"/>
              </w:rPr>
              <w:t xml:space="preserve">* Los porcentajes de cada tipo de instrumento son con respecto a la cartera. </w:t>
            </w:r>
          </w:p>
          <w:p w14:paraId="7FC7FEB4" w14:textId="77777777" w:rsidR="00F4030A" w:rsidRPr="00F4030A" w:rsidRDefault="00F4030A" w:rsidP="00F4030A">
            <w:pPr>
              <w:ind w:left="142" w:hanging="142"/>
              <w:jc w:val="both"/>
              <w:rPr>
                <w:rFonts w:eastAsia="Calibri"/>
                <w:sz w:val="20"/>
                <w:szCs w:val="26"/>
                <w:lang w:eastAsia="en-US"/>
              </w:rPr>
            </w:pPr>
            <w:r w:rsidRPr="00F4030A">
              <w:rPr>
                <w:rFonts w:eastAsia="Calibri"/>
                <w:sz w:val="20"/>
                <w:szCs w:val="26"/>
                <w:lang w:eastAsia="en-US"/>
              </w:rPr>
              <w:t>* Estas cifras no corresponden a la medición de los niveles de consumo de los límites regulatorios de las Siefores ya que consideran una medición conforme a las metodologías de administración de riesgos empleadas para cuantificar los riesgos financieros.</w:t>
            </w:r>
          </w:p>
          <w:p w14:paraId="368347FC" w14:textId="77777777" w:rsidR="00F4030A" w:rsidRPr="00F4030A" w:rsidRDefault="00F4030A" w:rsidP="00F4030A">
            <w:pPr>
              <w:jc w:val="both"/>
              <w:rPr>
                <w:rFonts w:eastAsia="Calibri"/>
                <w:sz w:val="26"/>
                <w:szCs w:val="26"/>
                <w:lang w:eastAsia="en-US"/>
              </w:rPr>
            </w:pPr>
            <w:r w:rsidRPr="00F4030A">
              <w:rPr>
                <w:rFonts w:eastAsia="Calibri"/>
                <w:sz w:val="20"/>
                <w:szCs w:val="26"/>
                <w:lang w:eastAsia="en-US"/>
              </w:rPr>
              <w:t>FUENTE: Consar. Cifras preliminares sujetas a revisión al cierre de enero 2015.</w:t>
            </w:r>
          </w:p>
        </w:tc>
      </w:tr>
    </w:tbl>
    <w:p w14:paraId="320DE6D8" w14:textId="77777777" w:rsidR="00F4030A" w:rsidRPr="00F4030A" w:rsidRDefault="00F4030A" w:rsidP="00F4030A">
      <w:pPr>
        <w:spacing w:after="360" w:line="360" w:lineRule="auto"/>
        <w:ind w:right="-159"/>
        <w:jc w:val="both"/>
        <w:rPr>
          <w:rFonts w:eastAsia="Calibri"/>
          <w:sz w:val="26"/>
          <w:szCs w:val="26"/>
          <w:lang w:eastAsia="en-US"/>
        </w:rPr>
      </w:pPr>
    </w:p>
    <w:p w14:paraId="5A5DBA2B" w14:textId="77777777" w:rsidR="00F4030A" w:rsidRPr="00F4030A" w:rsidRDefault="00F4030A" w:rsidP="00F4030A">
      <w:pPr>
        <w:spacing w:after="360" w:line="360" w:lineRule="auto"/>
        <w:ind w:right="-159"/>
        <w:jc w:val="both"/>
        <w:rPr>
          <w:rFonts w:eastAsia="Calibri"/>
          <w:sz w:val="26"/>
          <w:szCs w:val="26"/>
          <w:lang w:eastAsia="en-US"/>
        </w:rPr>
      </w:pPr>
      <w:r w:rsidRPr="00F4030A">
        <w:rPr>
          <w:rFonts w:eastAsia="Calibri"/>
          <w:sz w:val="26"/>
          <w:szCs w:val="26"/>
          <w:lang w:eastAsia="en-US"/>
        </w:rPr>
        <w:t xml:space="preserve">Existe clara evidencia de que un portafolio mejor diversificado, con un mayor aprovechamiento del régimen de inversión producirá, en promedio, mayores rendimientos de largo plazo. </w:t>
      </w:r>
    </w:p>
    <w:p w14:paraId="58BBEB52" w14:textId="77777777" w:rsidR="00F4030A" w:rsidRPr="00F4030A" w:rsidRDefault="00F4030A" w:rsidP="00F4030A">
      <w:pPr>
        <w:spacing w:after="360" w:line="360" w:lineRule="auto"/>
        <w:ind w:right="-159"/>
        <w:jc w:val="both"/>
        <w:rPr>
          <w:rFonts w:eastAsia="Calibri"/>
          <w:sz w:val="26"/>
          <w:szCs w:val="26"/>
          <w:lang w:eastAsia="en-US"/>
        </w:rPr>
      </w:pPr>
      <w:r w:rsidRPr="00F4030A">
        <w:rPr>
          <w:rFonts w:eastAsia="Calibri"/>
          <w:sz w:val="26"/>
          <w:szCs w:val="26"/>
          <w:lang w:eastAsia="en-US"/>
        </w:rPr>
        <w:t>En el SAR existen diferencias significativas en el grado de diversificación de las carteras de cada Administradoras de Fondos para el Retiro (Afore), tanto por el grado de aprovechamiento de los distintos tipos de activos autorizados por el régimen de inversión, como por los porcentajes de inversión en cada activo, como por el horizonte de inversión de los distintos tipos de activos.</w:t>
      </w:r>
    </w:p>
    <w:p w14:paraId="3C3F919D" w14:textId="77777777" w:rsidR="00F4030A" w:rsidRDefault="00F4030A" w:rsidP="00F4030A">
      <w:pPr>
        <w:spacing w:after="360" w:line="360" w:lineRule="auto"/>
        <w:ind w:right="-159"/>
        <w:jc w:val="both"/>
        <w:rPr>
          <w:rFonts w:eastAsia="Calibri"/>
          <w:sz w:val="26"/>
          <w:szCs w:val="26"/>
          <w:lang w:eastAsia="en-US"/>
        </w:rPr>
      </w:pPr>
      <w:r w:rsidRPr="00F4030A">
        <w:rPr>
          <w:rFonts w:eastAsia="Calibri"/>
          <w:sz w:val="26"/>
          <w:szCs w:val="26"/>
          <w:lang w:eastAsia="en-US"/>
        </w:rPr>
        <w:t>El siguiente cuadro muestra, por Afore, la inversión por tipo de activo y el porcentaje de inversión en cada uno de éstos.</w:t>
      </w:r>
    </w:p>
    <w:p w14:paraId="4A2E2783" w14:textId="77777777" w:rsidR="00F4030A" w:rsidRPr="00F4030A" w:rsidRDefault="00F4030A" w:rsidP="00F4030A">
      <w:pPr>
        <w:spacing w:after="360" w:line="360" w:lineRule="auto"/>
        <w:ind w:right="-159"/>
        <w:jc w:val="both"/>
        <w:rPr>
          <w:rFonts w:eastAsia="Calibri"/>
          <w:sz w:val="26"/>
          <w:szCs w:val="26"/>
          <w:lang w:eastAsia="en-US"/>
        </w:rPr>
      </w:pPr>
    </w:p>
    <w:tbl>
      <w:tblPr>
        <w:tblW w:w="0" w:type="auto"/>
        <w:tblLayout w:type="fixed"/>
        <w:tblLook w:val="04A0" w:firstRow="1" w:lastRow="0" w:firstColumn="1" w:lastColumn="0" w:noHBand="0" w:noVBand="1"/>
      </w:tblPr>
      <w:tblGrid>
        <w:gridCol w:w="1342"/>
        <w:gridCol w:w="1205"/>
        <w:gridCol w:w="1015"/>
        <w:gridCol w:w="1111"/>
        <w:gridCol w:w="992"/>
        <w:gridCol w:w="1048"/>
        <w:gridCol w:w="1123"/>
        <w:gridCol w:w="992"/>
      </w:tblGrid>
      <w:tr w:rsidR="00F4030A" w:rsidRPr="00F4030A" w14:paraId="6BCA395F" w14:textId="77777777" w:rsidTr="00F4030A">
        <w:tc>
          <w:tcPr>
            <w:tcW w:w="8828" w:type="dxa"/>
            <w:gridSpan w:val="8"/>
            <w:tcBorders>
              <w:top w:val="nil"/>
              <w:left w:val="nil"/>
              <w:bottom w:val="single" w:sz="4" w:space="0" w:color="auto"/>
              <w:right w:val="nil"/>
            </w:tcBorders>
          </w:tcPr>
          <w:p w14:paraId="6DC2124B" w14:textId="77777777" w:rsidR="00F4030A" w:rsidRPr="00F4030A" w:rsidRDefault="00F4030A" w:rsidP="00F4030A">
            <w:pPr>
              <w:jc w:val="center"/>
              <w:rPr>
                <w:rFonts w:eastAsia="Calibri"/>
                <w:b/>
                <w:sz w:val="18"/>
                <w:szCs w:val="26"/>
                <w:lang w:eastAsia="en-US"/>
              </w:rPr>
            </w:pPr>
            <w:r w:rsidRPr="00F4030A">
              <w:rPr>
                <w:rFonts w:eastAsia="Calibri"/>
                <w:b/>
                <w:sz w:val="18"/>
                <w:szCs w:val="26"/>
                <w:lang w:eastAsia="en-US"/>
              </w:rPr>
              <w:lastRenderedPageBreak/>
              <w:t>COMPOSICIÓN DE LA CARTERA POR AFORE</w:t>
            </w:r>
          </w:p>
          <w:p w14:paraId="4944B46B" w14:textId="77777777" w:rsidR="00F4030A" w:rsidRPr="00F4030A" w:rsidRDefault="00F4030A" w:rsidP="00F4030A">
            <w:pPr>
              <w:jc w:val="center"/>
              <w:rPr>
                <w:rFonts w:eastAsia="Calibri"/>
                <w:b/>
                <w:sz w:val="20"/>
                <w:szCs w:val="26"/>
                <w:lang w:eastAsia="en-US"/>
              </w:rPr>
            </w:pPr>
            <w:r w:rsidRPr="00F4030A">
              <w:rPr>
                <w:rFonts w:eastAsia="Calibri"/>
                <w:b/>
                <w:sz w:val="18"/>
                <w:szCs w:val="26"/>
                <w:lang w:eastAsia="en-US"/>
              </w:rPr>
              <w:t>-Estructura porcentual-</w:t>
            </w:r>
          </w:p>
        </w:tc>
      </w:tr>
      <w:tr w:rsidR="00F4030A" w:rsidRPr="00F4030A" w14:paraId="2ACA1C1A" w14:textId="77777777" w:rsidTr="00F4030A">
        <w:tc>
          <w:tcPr>
            <w:tcW w:w="1342" w:type="dxa"/>
            <w:tcBorders>
              <w:top w:val="single" w:sz="4" w:space="0" w:color="auto"/>
              <w:left w:val="single" w:sz="4" w:space="0" w:color="auto"/>
              <w:bottom w:val="single" w:sz="4" w:space="0" w:color="auto"/>
              <w:right w:val="single" w:sz="4" w:space="0" w:color="auto"/>
            </w:tcBorders>
            <w:vAlign w:val="center"/>
          </w:tcPr>
          <w:p w14:paraId="4807DCCF" w14:textId="77777777" w:rsidR="00F4030A" w:rsidRPr="00F4030A" w:rsidRDefault="00F4030A" w:rsidP="00F4030A">
            <w:pPr>
              <w:ind w:left="-57" w:right="-57"/>
              <w:jc w:val="center"/>
              <w:rPr>
                <w:rFonts w:eastAsia="Calibri"/>
                <w:b/>
                <w:sz w:val="14"/>
                <w:szCs w:val="26"/>
                <w:lang w:eastAsia="en-US"/>
              </w:rPr>
            </w:pPr>
            <w:r w:rsidRPr="00F4030A">
              <w:rPr>
                <w:rFonts w:eastAsia="Calibri"/>
                <w:b/>
                <w:sz w:val="14"/>
                <w:szCs w:val="26"/>
                <w:lang w:eastAsia="en-US"/>
              </w:rPr>
              <w:t>Afore</w:t>
            </w:r>
          </w:p>
        </w:tc>
        <w:tc>
          <w:tcPr>
            <w:tcW w:w="1205" w:type="dxa"/>
            <w:tcBorders>
              <w:top w:val="single" w:sz="4" w:space="0" w:color="auto"/>
              <w:left w:val="single" w:sz="4" w:space="0" w:color="auto"/>
              <w:bottom w:val="single" w:sz="4" w:space="0" w:color="auto"/>
              <w:right w:val="single" w:sz="4" w:space="0" w:color="auto"/>
            </w:tcBorders>
            <w:vAlign w:val="center"/>
          </w:tcPr>
          <w:p w14:paraId="70AECF3B" w14:textId="77777777" w:rsidR="00F4030A" w:rsidRPr="00F4030A" w:rsidRDefault="00F4030A" w:rsidP="00F4030A">
            <w:pPr>
              <w:ind w:left="-57" w:right="-57"/>
              <w:jc w:val="center"/>
              <w:rPr>
                <w:rFonts w:eastAsia="Calibri"/>
                <w:b/>
                <w:sz w:val="14"/>
                <w:szCs w:val="26"/>
                <w:lang w:eastAsia="en-US"/>
              </w:rPr>
            </w:pPr>
            <w:r w:rsidRPr="00F4030A">
              <w:rPr>
                <w:rFonts w:eastAsia="Calibri"/>
                <w:b/>
                <w:sz w:val="14"/>
                <w:szCs w:val="26"/>
                <w:lang w:eastAsia="en-US"/>
              </w:rPr>
              <w:t>Inversión en Valores gubernamentales</w:t>
            </w:r>
          </w:p>
        </w:tc>
        <w:tc>
          <w:tcPr>
            <w:tcW w:w="1015" w:type="dxa"/>
            <w:tcBorders>
              <w:top w:val="single" w:sz="4" w:space="0" w:color="auto"/>
              <w:left w:val="single" w:sz="4" w:space="0" w:color="auto"/>
              <w:bottom w:val="single" w:sz="4" w:space="0" w:color="auto"/>
              <w:right w:val="single" w:sz="4" w:space="0" w:color="auto"/>
            </w:tcBorders>
            <w:vAlign w:val="center"/>
          </w:tcPr>
          <w:p w14:paraId="7D51090F" w14:textId="77777777" w:rsidR="00F4030A" w:rsidRPr="00F4030A" w:rsidRDefault="00F4030A" w:rsidP="00F4030A">
            <w:pPr>
              <w:ind w:left="-57" w:right="-57"/>
              <w:jc w:val="center"/>
              <w:rPr>
                <w:rFonts w:eastAsia="Calibri"/>
                <w:b/>
                <w:sz w:val="14"/>
                <w:szCs w:val="26"/>
                <w:lang w:eastAsia="en-US"/>
              </w:rPr>
            </w:pPr>
            <w:r w:rsidRPr="00F4030A">
              <w:rPr>
                <w:rFonts w:eastAsia="Calibri"/>
                <w:b/>
                <w:sz w:val="14"/>
                <w:szCs w:val="26"/>
                <w:lang w:eastAsia="en-US"/>
              </w:rPr>
              <w:t>Inversión en Deuda Privada Nacional</w:t>
            </w:r>
          </w:p>
        </w:tc>
        <w:tc>
          <w:tcPr>
            <w:tcW w:w="1111" w:type="dxa"/>
            <w:tcBorders>
              <w:top w:val="single" w:sz="4" w:space="0" w:color="auto"/>
              <w:left w:val="single" w:sz="4" w:space="0" w:color="auto"/>
              <w:bottom w:val="single" w:sz="4" w:space="0" w:color="auto"/>
              <w:right w:val="single" w:sz="4" w:space="0" w:color="auto"/>
            </w:tcBorders>
            <w:vAlign w:val="center"/>
          </w:tcPr>
          <w:p w14:paraId="28D583C1" w14:textId="77777777" w:rsidR="00F4030A" w:rsidRPr="00F4030A" w:rsidRDefault="00F4030A" w:rsidP="00F4030A">
            <w:pPr>
              <w:ind w:left="-57" w:right="-57"/>
              <w:jc w:val="center"/>
              <w:rPr>
                <w:rFonts w:eastAsia="Calibri"/>
                <w:b/>
                <w:sz w:val="14"/>
                <w:szCs w:val="26"/>
                <w:lang w:eastAsia="en-US"/>
              </w:rPr>
            </w:pPr>
            <w:r w:rsidRPr="00F4030A">
              <w:rPr>
                <w:rFonts w:eastAsia="Calibri"/>
                <w:b/>
                <w:sz w:val="14"/>
                <w:szCs w:val="26"/>
                <w:lang w:eastAsia="en-US"/>
              </w:rPr>
              <w:t>Inversión en Renta Variable Nacional</w:t>
            </w:r>
          </w:p>
        </w:tc>
        <w:tc>
          <w:tcPr>
            <w:tcW w:w="992" w:type="dxa"/>
            <w:tcBorders>
              <w:top w:val="single" w:sz="4" w:space="0" w:color="auto"/>
              <w:left w:val="single" w:sz="4" w:space="0" w:color="auto"/>
              <w:bottom w:val="single" w:sz="4" w:space="0" w:color="auto"/>
              <w:right w:val="single" w:sz="4" w:space="0" w:color="auto"/>
            </w:tcBorders>
            <w:vAlign w:val="center"/>
          </w:tcPr>
          <w:p w14:paraId="222C4DF8" w14:textId="77777777" w:rsidR="00F4030A" w:rsidRPr="00F4030A" w:rsidRDefault="00F4030A" w:rsidP="00F4030A">
            <w:pPr>
              <w:ind w:left="-57" w:right="-57"/>
              <w:jc w:val="center"/>
              <w:rPr>
                <w:rFonts w:eastAsia="Calibri"/>
                <w:b/>
                <w:sz w:val="14"/>
                <w:szCs w:val="26"/>
                <w:lang w:eastAsia="en-US"/>
              </w:rPr>
            </w:pPr>
            <w:r w:rsidRPr="00F4030A">
              <w:rPr>
                <w:rFonts w:eastAsia="Calibri"/>
                <w:b/>
                <w:sz w:val="14"/>
                <w:szCs w:val="26"/>
                <w:lang w:eastAsia="en-US"/>
              </w:rPr>
              <w:t>Inversión en Instrumentos Estructurados</w:t>
            </w:r>
          </w:p>
        </w:tc>
        <w:tc>
          <w:tcPr>
            <w:tcW w:w="1048" w:type="dxa"/>
            <w:tcBorders>
              <w:top w:val="single" w:sz="4" w:space="0" w:color="auto"/>
              <w:left w:val="single" w:sz="4" w:space="0" w:color="auto"/>
              <w:bottom w:val="single" w:sz="4" w:space="0" w:color="auto"/>
              <w:right w:val="single" w:sz="4" w:space="0" w:color="auto"/>
            </w:tcBorders>
            <w:vAlign w:val="center"/>
          </w:tcPr>
          <w:p w14:paraId="18B7E82E" w14:textId="77777777" w:rsidR="00F4030A" w:rsidRPr="00F4030A" w:rsidRDefault="00F4030A" w:rsidP="00F4030A">
            <w:pPr>
              <w:ind w:left="-57" w:right="-57"/>
              <w:jc w:val="center"/>
              <w:rPr>
                <w:rFonts w:eastAsia="Calibri"/>
                <w:b/>
                <w:sz w:val="14"/>
                <w:szCs w:val="26"/>
                <w:lang w:eastAsia="en-US"/>
              </w:rPr>
            </w:pPr>
            <w:r w:rsidRPr="00F4030A">
              <w:rPr>
                <w:rFonts w:eastAsia="Calibri"/>
                <w:b/>
                <w:sz w:val="14"/>
                <w:szCs w:val="26"/>
                <w:lang w:eastAsia="en-US"/>
              </w:rPr>
              <w:t>Inversión en Deuda Internacional</w:t>
            </w:r>
          </w:p>
        </w:tc>
        <w:tc>
          <w:tcPr>
            <w:tcW w:w="1123" w:type="dxa"/>
            <w:tcBorders>
              <w:top w:val="single" w:sz="4" w:space="0" w:color="auto"/>
              <w:left w:val="single" w:sz="4" w:space="0" w:color="auto"/>
              <w:bottom w:val="single" w:sz="4" w:space="0" w:color="auto"/>
              <w:right w:val="single" w:sz="4" w:space="0" w:color="auto"/>
            </w:tcBorders>
            <w:vAlign w:val="center"/>
          </w:tcPr>
          <w:p w14:paraId="6252F251" w14:textId="77777777" w:rsidR="00F4030A" w:rsidRPr="00F4030A" w:rsidRDefault="00F4030A" w:rsidP="00F4030A">
            <w:pPr>
              <w:ind w:left="-57" w:right="-57"/>
              <w:jc w:val="center"/>
              <w:rPr>
                <w:rFonts w:eastAsia="Calibri"/>
                <w:b/>
                <w:sz w:val="14"/>
                <w:szCs w:val="26"/>
                <w:lang w:eastAsia="en-US"/>
              </w:rPr>
            </w:pPr>
            <w:r w:rsidRPr="00F4030A">
              <w:rPr>
                <w:rFonts w:eastAsia="Calibri"/>
                <w:b/>
                <w:sz w:val="14"/>
                <w:szCs w:val="26"/>
                <w:lang w:eastAsia="en-US"/>
              </w:rPr>
              <w:t>Inversión en Renta Variable Internacional</w:t>
            </w:r>
          </w:p>
        </w:tc>
        <w:tc>
          <w:tcPr>
            <w:tcW w:w="992" w:type="dxa"/>
            <w:tcBorders>
              <w:top w:val="single" w:sz="4" w:space="0" w:color="auto"/>
              <w:left w:val="single" w:sz="4" w:space="0" w:color="auto"/>
              <w:bottom w:val="single" w:sz="4" w:space="0" w:color="auto"/>
              <w:right w:val="single" w:sz="4" w:space="0" w:color="auto"/>
            </w:tcBorders>
            <w:vAlign w:val="center"/>
          </w:tcPr>
          <w:p w14:paraId="232703D1" w14:textId="77777777" w:rsidR="00F4030A" w:rsidRPr="00F4030A" w:rsidRDefault="00F4030A" w:rsidP="00F4030A">
            <w:pPr>
              <w:ind w:left="-57" w:right="-57"/>
              <w:jc w:val="center"/>
              <w:rPr>
                <w:rFonts w:eastAsia="Calibri"/>
                <w:b/>
                <w:sz w:val="14"/>
                <w:szCs w:val="26"/>
                <w:lang w:eastAsia="en-US"/>
              </w:rPr>
            </w:pPr>
            <w:r w:rsidRPr="00F4030A">
              <w:rPr>
                <w:rFonts w:eastAsia="Calibri"/>
                <w:b/>
                <w:sz w:val="14"/>
                <w:szCs w:val="26"/>
                <w:lang w:eastAsia="en-US"/>
              </w:rPr>
              <w:t>Inversión en Mercancías</w:t>
            </w:r>
          </w:p>
        </w:tc>
      </w:tr>
      <w:tr w:rsidR="00F4030A" w:rsidRPr="00F4030A" w14:paraId="78E92910" w14:textId="77777777" w:rsidTr="00F4030A">
        <w:tc>
          <w:tcPr>
            <w:tcW w:w="1342" w:type="dxa"/>
            <w:tcBorders>
              <w:top w:val="single" w:sz="4" w:space="0" w:color="auto"/>
              <w:left w:val="single" w:sz="4" w:space="0" w:color="auto"/>
              <w:right w:val="single" w:sz="4" w:space="0" w:color="auto"/>
            </w:tcBorders>
          </w:tcPr>
          <w:p w14:paraId="26A4ED9C" w14:textId="77777777" w:rsidR="00F4030A" w:rsidRPr="00F4030A" w:rsidRDefault="00F4030A" w:rsidP="00F4030A">
            <w:pPr>
              <w:jc w:val="both"/>
              <w:rPr>
                <w:rFonts w:eastAsia="Calibri"/>
                <w:b/>
                <w:sz w:val="14"/>
                <w:szCs w:val="26"/>
                <w:lang w:eastAsia="en-US"/>
              </w:rPr>
            </w:pPr>
            <w:r w:rsidRPr="00F4030A">
              <w:rPr>
                <w:rFonts w:eastAsia="Calibri"/>
                <w:b/>
                <w:sz w:val="14"/>
                <w:szCs w:val="26"/>
                <w:lang w:eastAsia="en-US"/>
              </w:rPr>
              <w:t>Inbursa</w:t>
            </w:r>
          </w:p>
        </w:tc>
        <w:tc>
          <w:tcPr>
            <w:tcW w:w="1205" w:type="dxa"/>
            <w:tcBorders>
              <w:top w:val="single" w:sz="4" w:space="0" w:color="auto"/>
              <w:left w:val="single" w:sz="4" w:space="0" w:color="auto"/>
              <w:right w:val="single" w:sz="4" w:space="0" w:color="auto"/>
            </w:tcBorders>
          </w:tcPr>
          <w:p w14:paraId="203C3D2F" w14:textId="77777777" w:rsidR="00F4030A" w:rsidRPr="00F4030A" w:rsidRDefault="00F4030A" w:rsidP="00F4030A">
            <w:pPr>
              <w:jc w:val="center"/>
              <w:rPr>
                <w:rFonts w:eastAsia="Calibri"/>
                <w:sz w:val="14"/>
                <w:szCs w:val="26"/>
                <w:lang w:eastAsia="en-US"/>
              </w:rPr>
            </w:pPr>
            <w:r w:rsidRPr="00F4030A">
              <w:rPr>
                <w:rFonts w:eastAsia="Calibri"/>
                <w:sz w:val="14"/>
                <w:szCs w:val="26"/>
                <w:lang w:eastAsia="en-US"/>
              </w:rPr>
              <w:t>65.8</w:t>
            </w:r>
          </w:p>
        </w:tc>
        <w:tc>
          <w:tcPr>
            <w:tcW w:w="1015" w:type="dxa"/>
            <w:tcBorders>
              <w:top w:val="single" w:sz="4" w:space="0" w:color="auto"/>
              <w:left w:val="single" w:sz="4" w:space="0" w:color="auto"/>
              <w:right w:val="single" w:sz="4" w:space="0" w:color="auto"/>
            </w:tcBorders>
          </w:tcPr>
          <w:p w14:paraId="420400CD" w14:textId="77777777" w:rsidR="00F4030A" w:rsidRPr="00F4030A" w:rsidRDefault="00F4030A" w:rsidP="00F4030A">
            <w:pPr>
              <w:ind w:right="284"/>
              <w:jc w:val="right"/>
              <w:rPr>
                <w:rFonts w:eastAsia="Calibri"/>
                <w:sz w:val="14"/>
                <w:szCs w:val="26"/>
                <w:lang w:eastAsia="en-US"/>
              </w:rPr>
            </w:pPr>
            <w:r w:rsidRPr="00F4030A">
              <w:rPr>
                <w:rFonts w:eastAsia="Calibri"/>
                <w:sz w:val="14"/>
                <w:szCs w:val="26"/>
                <w:lang w:eastAsia="en-US"/>
              </w:rPr>
              <w:t>18.3</w:t>
            </w:r>
          </w:p>
        </w:tc>
        <w:tc>
          <w:tcPr>
            <w:tcW w:w="1111" w:type="dxa"/>
            <w:tcBorders>
              <w:top w:val="single" w:sz="4" w:space="0" w:color="auto"/>
              <w:left w:val="single" w:sz="4" w:space="0" w:color="auto"/>
              <w:right w:val="single" w:sz="4" w:space="0" w:color="auto"/>
            </w:tcBorders>
          </w:tcPr>
          <w:p w14:paraId="2E9F9250" w14:textId="77777777" w:rsidR="00F4030A" w:rsidRPr="00F4030A" w:rsidRDefault="00F4030A" w:rsidP="00F4030A">
            <w:pPr>
              <w:ind w:right="340"/>
              <w:jc w:val="right"/>
              <w:rPr>
                <w:rFonts w:eastAsia="Calibri"/>
                <w:sz w:val="14"/>
                <w:szCs w:val="26"/>
                <w:lang w:eastAsia="en-US"/>
              </w:rPr>
            </w:pPr>
            <w:r w:rsidRPr="00F4030A">
              <w:rPr>
                <w:rFonts w:eastAsia="Calibri"/>
                <w:sz w:val="14"/>
                <w:szCs w:val="26"/>
                <w:lang w:eastAsia="en-US"/>
              </w:rPr>
              <w:t>6.6</w:t>
            </w:r>
          </w:p>
        </w:tc>
        <w:tc>
          <w:tcPr>
            <w:tcW w:w="992" w:type="dxa"/>
            <w:tcBorders>
              <w:top w:val="single" w:sz="4" w:space="0" w:color="auto"/>
              <w:left w:val="single" w:sz="4" w:space="0" w:color="auto"/>
              <w:right w:val="single" w:sz="4" w:space="0" w:color="auto"/>
            </w:tcBorders>
          </w:tcPr>
          <w:p w14:paraId="3ABCD8BC" w14:textId="77777777" w:rsidR="00F4030A" w:rsidRPr="00F4030A" w:rsidRDefault="00F4030A" w:rsidP="00F4030A">
            <w:pPr>
              <w:jc w:val="center"/>
              <w:rPr>
                <w:rFonts w:eastAsia="Calibri"/>
                <w:sz w:val="14"/>
                <w:szCs w:val="26"/>
                <w:lang w:eastAsia="en-US"/>
              </w:rPr>
            </w:pPr>
            <w:r w:rsidRPr="00F4030A">
              <w:rPr>
                <w:rFonts w:eastAsia="Calibri"/>
                <w:sz w:val="14"/>
                <w:szCs w:val="26"/>
                <w:lang w:eastAsia="en-US"/>
              </w:rPr>
              <w:t>6.0</w:t>
            </w:r>
          </w:p>
        </w:tc>
        <w:tc>
          <w:tcPr>
            <w:tcW w:w="1048" w:type="dxa"/>
            <w:tcBorders>
              <w:top w:val="single" w:sz="4" w:space="0" w:color="auto"/>
              <w:left w:val="single" w:sz="4" w:space="0" w:color="auto"/>
              <w:right w:val="single" w:sz="4" w:space="0" w:color="auto"/>
            </w:tcBorders>
          </w:tcPr>
          <w:p w14:paraId="79D37DAF" w14:textId="77777777" w:rsidR="00F4030A" w:rsidRPr="00F4030A" w:rsidRDefault="00F4030A" w:rsidP="00F4030A">
            <w:pPr>
              <w:jc w:val="center"/>
              <w:rPr>
                <w:rFonts w:eastAsia="Calibri"/>
                <w:sz w:val="14"/>
                <w:szCs w:val="26"/>
                <w:lang w:eastAsia="en-US"/>
              </w:rPr>
            </w:pPr>
            <w:r w:rsidRPr="00F4030A">
              <w:rPr>
                <w:rFonts w:eastAsia="Calibri"/>
                <w:sz w:val="14"/>
                <w:szCs w:val="26"/>
                <w:lang w:eastAsia="en-US"/>
              </w:rPr>
              <w:t>0.5</w:t>
            </w:r>
          </w:p>
        </w:tc>
        <w:tc>
          <w:tcPr>
            <w:tcW w:w="1123" w:type="dxa"/>
            <w:tcBorders>
              <w:top w:val="single" w:sz="4" w:space="0" w:color="auto"/>
              <w:left w:val="single" w:sz="4" w:space="0" w:color="auto"/>
              <w:right w:val="single" w:sz="4" w:space="0" w:color="auto"/>
            </w:tcBorders>
          </w:tcPr>
          <w:p w14:paraId="4189972A" w14:textId="77777777" w:rsidR="00F4030A" w:rsidRPr="00F4030A" w:rsidRDefault="00F4030A" w:rsidP="00F4030A">
            <w:pPr>
              <w:ind w:right="340"/>
              <w:jc w:val="right"/>
              <w:rPr>
                <w:rFonts w:eastAsia="Calibri"/>
                <w:sz w:val="14"/>
                <w:szCs w:val="26"/>
                <w:lang w:eastAsia="en-US"/>
              </w:rPr>
            </w:pPr>
            <w:r w:rsidRPr="00F4030A">
              <w:rPr>
                <w:rFonts w:eastAsia="Calibri"/>
                <w:sz w:val="14"/>
                <w:szCs w:val="26"/>
                <w:lang w:eastAsia="en-US"/>
              </w:rPr>
              <w:t>2.9</w:t>
            </w:r>
          </w:p>
        </w:tc>
        <w:tc>
          <w:tcPr>
            <w:tcW w:w="992" w:type="dxa"/>
            <w:tcBorders>
              <w:top w:val="single" w:sz="4" w:space="0" w:color="auto"/>
              <w:left w:val="single" w:sz="4" w:space="0" w:color="auto"/>
              <w:right w:val="single" w:sz="4" w:space="0" w:color="auto"/>
            </w:tcBorders>
          </w:tcPr>
          <w:p w14:paraId="5678F202" w14:textId="77777777" w:rsidR="00F4030A" w:rsidRPr="00F4030A" w:rsidRDefault="00F4030A" w:rsidP="00F4030A">
            <w:pPr>
              <w:jc w:val="center"/>
              <w:rPr>
                <w:rFonts w:eastAsia="Calibri"/>
                <w:sz w:val="14"/>
                <w:szCs w:val="26"/>
                <w:lang w:eastAsia="en-US"/>
              </w:rPr>
            </w:pPr>
            <w:r w:rsidRPr="00F4030A">
              <w:rPr>
                <w:rFonts w:eastAsia="Calibri"/>
                <w:sz w:val="14"/>
                <w:szCs w:val="26"/>
                <w:lang w:eastAsia="en-US"/>
              </w:rPr>
              <w:t>0.0</w:t>
            </w:r>
          </w:p>
        </w:tc>
      </w:tr>
      <w:tr w:rsidR="00F4030A" w:rsidRPr="00F4030A" w14:paraId="287B876F" w14:textId="77777777" w:rsidTr="00F4030A">
        <w:tc>
          <w:tcPr>
            <w:tcW w:w="1342" w:type="dxa"/>
            <w:tcBorders>
              <w:left w:val="single" w:sz="4" w:space="0" w:color="auto"/>
              <w:right w:val="single" w:sz="4" w:space="0" w:color="auto"/>
            </w:tcBorders>
          </w:tcPr>
          <w:p w14:paraId="23D9520F" w14:textId="2A0685B2" w:rsidR="00F4030A" w:rsidRPr="00F4030A" w:rsidRDefault="00F4030A" w:rsidP="00CF72BB">
            <w:pPr>
              <w:jc w:val="both"/>
              <w:rPr>
                <w:rFonts w:eastAsia="Calibri"/>
                <w:b/>
                <w:sz w:val="14"/>
                <w:szCs w:val="26"/>
                <w:lang w:eastAsia="en-US"/>
              </w:rPr>
            </w:pPr>
            <w:r w:rsidRPr="00F4030A">
              <w:rPr>
                <w:rFonts w:eastAsia="Calibri"/>
                <w:b/>
                <w:sz w:val="14"/>
                <w:szCs w:val="26"/>
                <w:lang w:eastAsia="en-US"/>
              </w:rPr>
              <w:t>PensionISSSTE</w:t>
            </w:r>
          </w:p>
        </w:tc>
        <w:tc>
          <w:tcPr>
            <w:tcW w:w="1205" w:type="dxa"/>
            <w:tcBorders>
              <w:left w:val="single" w:sz="4" w:space="0" w:color="auto"/>
              <w:right w:val="single" w:sz="4" w:space="0" w:color="auto"/>
            </w:tcBorders>
          </w:tcPr>
          <w:p w14:paraId="632DDE0B" w14:textId="77777777" w:rsidR="00F4030A" w:rsidRPr="00F4030A" w:rsidRDefault="00F4030A" w:rsidP="00F4030A">
            <w:pPr>
              <w:jc w:val="center"/>
              <w:rPr>
                <w:rFonts w:eastAsia="Calibri"/>
                <w:sz w:val="14"/>
                <w:szCs w:val="26"/>
                <w:lang w:eastAsia="en-US"/>
              </w:rPr>
            </w:pPr>
            <w:r w:rsidRPr="00F4030A">
              <w:rPr>
                <w:rFonts w:eastAsia="Calibri"/>
                <w:sz w:val="14"/>
                <w:szCs w:val="26"/>
                <w:lang w:eastAsia="en-US"/>
              </w:rPr>
              <w:t>61.8</w:t>
            </w:r>
          </w:p>
        </w:tc>
        <w:tc>
          <w:tcPr>
            <w:tcW w:w="1015" w:type="dxa"/>
            <w:tcBorders>
              <w:left w:val="single" w:sz="4" w:space="0" w:color="auto"/>
              <w:right w:val="single" w:sz="4" w:space="0" w:color="auto"/>
            </w:tcBorders>
          </w:tcPr>
          <w:p w14:paraId="71AC289B" w14:textId="77777777" w:rsidR="00F4030A" w:rsidRPr="00F4030A" w:rsidRDefault="00F4030A" w:rsidP="00F4030A">
            <w:pPr>
              <w:ind w:right="284"/>
              <w:jc w:val="right"/>
              <w:rPr>
                <w:rFonts w:eastAsia="Calibri"/>
                <w:sz w:val="14"/>
                <w:szCs w:val="26"/>
                <w:lang w:eastAsia="en-US"/>
              </w:rPr>
            </w:pPr>
            <w:r w:rsidRPr="00F4030A">
              <w:rPr>
                <w:rFonts w:eastAsia="Calibri"/>
                <w:sz w:val="14"/>
                <w:szCs w:val="26"/>
                <w:lang w:eastAsia="en-US"/>
              </w:rPr>
              <w:t>23.0</w:t>
            </w:r>
          </w:p>
        </w:tc>
        <w:tc>
          <w:tcPr>
            <w:tcW w:w="1111" w:type="dxa"/>
            <w:tcBorders>
              <w:left w:val="single" w:sz="4" w:space="0" w:color="auto"/>
              <w:right w:val="single" w:sz="4" w:space="0" w:color="auto"/>
            </w:tcBorders>
          </w:tcPr>
          <w:p w14:paraId="749EAFA0" w14:textId="77777777" w:rsidR="00F4030A" w:rsidRPr="00F4030A" w:rsidRDefault="00F4030A" w:rsidP="00F4030A">
            <w:pPr>
              <w:ind w:right="340"/>
              <w:jc w:val="right"/>
              <w:rPr>
                <w:rFonts w:eastAsia="Calibri"/>
                <w:sz w:val="14"/>
                <w:szCs w:val="26"/>
                <w:lang w:eastAsia="en-US"/>
              </w:rPr>
            </w:pPr>
            <w:r w:rsidRPr="00F4030A">
              <w:rPr>
                <w:rFonts w:eastAsia="Calibri"/>
                <w:sz w:val="14"/>
                <w:szCs w:val="26"/>
                <w:lang w:eastAsia="en-US"/>
              </w:rPr>
              <w:t>3.6</w:t>
            </w:r>
          </w:p>
        </w:tc>
        <w:tc>
          <w:tcPr>
            <w:tcW w:w="992" w:type="dxa"/>
            <w:tcBorders>
              <w:left w:val="single" w:sz="4" w:space="0" w:color="auto"/>
              <w:right w:val="single" w:sz="4" w:space="0" w:color="auto"/>
            </w:tcBorders>
          </w:tcPr>
          <w:p w14:paraId="06C48DEE" w14:textId="77777777" w:rsidR="00F4030A" w:rsidRPr="00F4030A" w:rsidRDefault="00F4030A" w:rsidP="00F4030A">
            <w:pPr>
              <w:jc w:val="center"/>
              <w:rPr>
                <w:rFonts w:eastAsia="Calibri"/>
                <w:sz w:val="14"/>
                <w:szCs w:val="26"/>
                <w:lang w:eastAsia="en-US"/>
              </w:rPr>
            </w:pPr>
            <w:r w:rsidRPr="00F4030A">
              <w:rPr>
                <w:rFonts w:eastAsia="Calibri"/>
                <w:sz w:val="14"/>
                <w:szCs w:val="26"/>
                <w:lang w:eastAsia="en-US"/>
              </w:rPr>
              <w:t>8.1</w:t>
            </w:r>
          </w:p>
        </w:tc>
        <w:tc>
          <w:tcPr>
            <w:tcW w:w="1048" w:type="dxa"/>
            <w:tcBorders>
              <w:left w:val="single" w:sz="4" w:space="0" w:color="auto"/>
              <w:right w:val="single" w:sz="4" w:space="0" w:color="auto"/>
            </w:tcBorders>
          </w:tcPr>
          <w:p w14:paraId="3D85A03A" w14:textId="77777777" w:rsidR="00F4030A" w:rsidRPr="00F4030A" w:rsidRDefault="00F4030A" w:rsidP="00F4030A">
            <w:pPr>
              <w:jc w:val="center"/>
              <w:rPr>
                <w:rFonts w:eastAsia="Calibri"/>
                <w:sz w:val="14"/>
                <w:szCs w:val="26"/>
                <w:lang w:eastAsia="en-US"/>
              </w:rPr>
            </w:pPr>
            <w:r w:rsidRPr="00F4030A">
              <w:rPr>
                <w:rFonts w:eastAsia="Calibri"/>
                <w:sz w:val="14"/>
                <w:szCs w:val="26"/>
                <w:lang w:eastAsia="en-US"/>
              </w:rPr>
              <w:t>0.4</w:t>
            </w:r>
          </w:p>
        </w:tc>
        <w:tc>
          <w:tcPr>
            <w:tcW w:w="1123" w:type="dxa"/>
            <w:tcBorders>
              <w:left w:val="single" w:sz="4" w:space="0" w:color="auto"/>
              <w:right w:val="single" w:sz="4" w:space="0" w:color="auto"/>
            </w:tcBorders>
          </w:tcPr>
          <w:p w14:paraId="4A60B6D3" w14:textId="77777777" w:rsidR="00F4030A" w:rsidRPr="00F4030A" w:rsidRDefault="00F4030A" w:rsidP="00F4030A">
            <w:pPr>
              <w:ind w:right="340"/>
              <w:jc w:val="right"/>
              <w:rPr>
                <w:rFonts w:eastAsia="Calibri"/>
                <w:sz w:val="14"/>
                <w:szCs w:val="26"/>
                <w:lang w:eastAsia="en-US"/>
              </w:rPr>
            </w:pPr>
            <w:r w:rsidRPr="00F4030A">
              <w:rPr>
                <w:rFonts w:eastAsia="Calibri"/>
                <w:sz w:val="14"/>
                <w:szCs w:val="26"/>
                <w:lang w:eastAsia="en-US"/>
              </w:rPr>
              <w:t>3.2</w:t>
            </w:r>
          </w:p>
        </w:tc>
        <w:tc>
          <w:tcPr>
            <w:tcW w:w="992" w:type="dxa"/>
            <w:tcBorders>
              <w:left w:val="single" w:sz="4" w:space="0" w:color="auto"/>
              <w:right w:val="single" w:sz="4" w:space="0" w:color="auto"/>
            </w:tcBorders>
          </w:tcPr>
          <w:p w14:paraId="7B5289C0" w14:textId="77777777" w:rsidR="00F4030A" w:rsidRPr="00F4030A" w:rsidRDefault="00F4030A" w:rsidP="00F4030A">
            <w:pPr>
              <w:jc w:val="center"/>
              <w:rPr>
                <w:rFonts w:eastAsia="Calibri"/>
                <w:sz w:val="14"/>
                <w:szCs w:val="26"/>
                <w:lang w:eastAsia="en-US"/>
              </w:rPr>
            </w:pPr>
            <w:r w:rsidRPr="00F4030A">
              <w:rPr>
                <w:rFonts w:eastAsia="Calibri"/>
                <w:sz w:val="14"/>
                <w:szCs w:val="26"/>
                <w:lang w:eastAsia="en-US"/>
              </w:rPr>
              <w:t>0.0</w:t>
            </w:r>
          </w:p>
        </w:tc>
      </w:tr>
      <w:tr w:rsidR="00F4030A" w:rsidRPr="00F4030A" w14:paraId="33AF727F" w14:textId="77777777" w:rsidTr="00F4030A">
        <w:tc>
          <w:tcPr>
            <w:tcW w:w="1342" w:type="dxa"/>
            <w:tcBorders>
              <w:left w:val="single" w:sz="4" w:space="0" w:color="auto"/>
              <w:right w:val="single" w:sz="4" w:space="0" w:color="auto"/>
            </w:tcBorders>
          </w:tcPr>
          <w:p w14:paraId="26076A65" w14:textId="77777777" w:rsidR="00F4030A" w:rsidRPr="00F4030A" w:rsidRDefault="00F4030A" w:rsidP="00F4030A">
            <w:pPr>
              <w:jc w:val="both"/>
              <w:rPr>
                <w:rFonts w:eastAsia="Calibri"/>
                <w:b/>
                <w:sz w:val="14"/>
                <w:szCs w:val="26"/>
                <w:lang w:eastAsia="en-US"/>
              </w:rPr>
            </w:pPr>
            <w:r w:rsidRPr="00F4030A">
              <w:rPr>
                <w:rFonts w:eastAsia="Calibri"/>
                <w:b/>
                <w:sz w:val="14"/>
                <w:szCs w:val="26"/>
                <w:lang w:eastAsia="en-US"/>
              </w:rPr>
              <w:t>Invercap</w:t>
            </w:r>
          </w:p>
        </w:tc>
        <w:tc>
          <w:tcPr>
            <w:tcW w:w="1205" w:type="dxa"/>
            <w:tcBorders>
              <w:left w:val="single" w:sz="4" w:space="0" w:color="auto"/>
              <w:right w:val="single" w:sz="4" w:space="0" w:color="auto"/>
            </w:tcBorders>
          </w:tcPr>
          <w:p w14:paraId="05895998" w14:textId="77777777" w:rsidR="00F4030A" w:rsidRPr="00F4030A" w:rsidRDefault="00F4030A" w:rsidP="00F4030A">
            <w:pPr>
              <w:jc w:val="center"/>
              <w:rPr>
                <w:rFonts w:eastAsia="Calibri"/>
                <w:sz w:val="14"/>
                <w:szCs w:val="26"/>
                <w:lang w:eastAsia="en-US"/>
              </w:rPr>
            </w:pPr>
            <w:r w:rsidRPr="00F4030A">
              <w:rPr>
                <w:rFonts w:eastAsia="Calibri"/>
                <w:sz w:val="14"/>
                <w:szCs w:val="26"/>
                <w:lang w:eastAsia="en-US"/>
              </w:rPr>
              <w:t>56.5</w:t>
            </w:r>
          </w:p>
        </w:tc>
        <w:tc>
          <w:tcPr>
            <w:tcW w:w="1015" w:type="dxa"/>
            <w:tcBorders>
              <w:left w:val="single" w:sz="4" w:space="0" w:color="auto"/>
              <w:right w:val="single" w:sz="4" w:space="0" w:color="auto"/>
            </w:tcBorders>
          </w:tcPr>
          <w:p w14:paraId="013ED8D7" w14:textId="77777777" w:rsidR="00F4030A" w:rsidRPr="00F4030A" w:rsidRDefault="00F4030A" w:rsidP="00F4030A">
            <w:pPr>
              <w:ind w:right="284"/>
              <w:jc w:val="right"/>
              <w:rPr>
                <w:rFonts w:eastAsia="Calibri"/>
                <w:sz w:val="14"/>
                <w:szCs w:val="26"/>
                <w:lang w:eastAsia="en-US"/>
              </w:rPr>
            </w:pPr>
            <w:r w:rsidRPr="00F4030A">
              <w:rPr>
                <w:rFonts w:eastAsia="Calibri"/>
                <w:sz w:val="14"/>
                <w:szCs w:val="26"/>
                <w:lang w:eastAsia="en-US"/>
              </w:rPr>
              <w:t>9.3</w:t>
            </w:r>
          </w:p>
        </w:tc>
        <w:tc>
          <w:tcPr>
            <w:tcW w:w="1111" w:type="dxa"/>
            <w:tcBorders>
              <w:left w:val="single" w:sz="4" w:space="0" w:color="auto"/>
              <w:right w:val="single" w:sz="4" w:space="0" w:color="auto"/>
            </w:tcBorders>
          </w:tcPr>
          <w:p w14:paraId="6311618E" w14:textId="77777777" w:rsidR="00F4030A" w:rsidRPr="00F4030A" w:rsidRDefault="00F4030A" w:rsidP="00F4030A">
            <w:pPr>
              <w:ind w:right="340"/>
              <w:jc w:val="right"/>
              <w:rPr>
                <w:rFonts w:eastAsia="Calibri"/>
                <w:sz w:val="14"/>
                <w:szCs w:val="26"/>
                <w:lang w:eastAsia="en-US"/>
              </w:rPr>
            </w:pPr>
            <w:r w:rsidRPr="00F4030A">
              <w:rPr>
                <w:rFonts w:eastAsia="Calibri"/>
                <w:sz w:val="14"/>
                <w:szCs w:val="26"/>
                <w:lang w:eastAsia="en-US"/>
              </w:rPr>
              <w:t>13.1</w:t>
            </w:r>
          </w:p>
        </w:tc>
        <w:tc>
          <w:tcPr>
            <w:tcW w:w="992" w:type="dxa"/>
            <w:tcBorders>
              <w:left w:val="single" w:sz="4" w:space="0" w:color="auto"/>
              <w:right w:val="single" w:sz="4" w:space="0" w:color="auto"/>
            </w:tcBorders>
          </w:tcPr>
          <w:p w14:paraId="2CD8804C" w14:textId="77777777" w:rsidR="00F4030A" w:rsidRPr="00F4030A" w:rsidRDefault="00F4030A" w:rsidP="00F4030A">
            <w:pPr>
              <w:jc w:val="center"/>
              <w:rPr>
                <w:rFonts w:eastAsia="Calibri"/>
                <w:sz w:val="14"/>
                <w:szCs w:val="26"/>
                <w:lang w:eastAsia="en-US"/>
              </w:rPr>
            </w:pPr>
            <w:r w:rsidRPr="00F4030A">
              <w:rPr>
                <w:rFonts w:eastAsia="Calibri"/>
                <w:sz w:val="14"/>
                <w:szCs w:val="26"/>
                <w:lang w:eastAsia="en-US"/>
              </w:rPr>
              <w:t>4.4</w:t>
            </w:r>
          </w:p>
        </w:tc>
        <w:tc>
          <w:tcPr>
            <w:tcW w:w="1048" w:type="dxa"/>
            <w:tcBorders>
              <w:left w:val="single" w:sz="4" w:space="0" w:color="auto"/>
              <w:right w:val="single" w:sz="4" w:space="0" w:color="auto"/>
            </w:tcBorders>
          </w:tcPr>
          <w:p w14:paraId="08BE9E48" w14:textId="77777777" w:rsidR="00F4030A" w:rsidRPr="00F4030A" w:rsidRDefault="00F4030A" w:rsidP="00F4030A">
            <w:pPr>
              <w:jc w:val="center"/>
              <w:rPr>
                <w:rFonts w:eastAsia="Calibri"/>
                <w:sz w:val="14"/>
                <w:szCs w:val="26"/>
                <w:lang w:eastAsia="en-US"/>
              </w:rPr>
            </w:pPr>
            <w:r w:rsidRPr="00F4030A">
              <w:rPr>
                <w:rFonts w:eastAsia="Calibri"/>
                <w:sz w:val="14"/>
                <w:szCs w:val="26"/>
                <w:lang w:eastAsia="en-US"/>
              </w:rPr>
              <w:t>0.7</w:t>
            </w:r>
          </w:p>
        </w:tc>
        <w:tc>
          <w:tcPr>
            <w:tcW w:w="1123" w:type="dxa"/>
            <w:tcBorders>
              <w:left w:val="single" w:sz="4" w:space="0" w:color="auto"/>
              <w:right w:val="single" w:sz="4" w:space="0" w:color="auto"/>
            </w:tcBorders>
          </w:tcPr>
          <w:p w14:paraId="13CAEC40" w14:textId="77777777" w:rsidR="00F4030A" w:rsidRPr="00F4030A" w:rsidRDefault="00F4030A" w:rsidP="00F4030A">
            <w:pPr>
              <w:ind w:right="340"/>
              <w:jc w:val="right"/>
              <w:rPr>
                <w:rFonts w:eastAsia="Calibri"/>
                <w:sz w:val="14"/>
                <w:szCs w:val="26"/>
                <w:lang w:eastAsia="en-US"/>
              </w:rPr>
            </w:pPr>
            <w:r w:rsidRPr="00F4030A">
              <w:rPr>
                <w:rFonts w:eastAsia="Calibri"/>
                <w:sz w:val="14"/>
                <w:szCs w:val="26"/>
                <w:lang w:eastAsia="en-US"/>
              </w:rPr>
              <w:t>16.0</w:t>
            </w:r>
          </w:p>
        </w:tc>
        <w:tc>
          <w:tcPr>
            <w:tcW w:w="992" w:type="dxa"/>
            <w:tcBorders>
              <w:left w:val="single" w:sz="4" w:space="0" w:color="auto"/>
              <w:right w:val="single" w:sz="4" w:space="0" w:color="auto"/>
            </w:tcBorders>
          </w:tcPr>
          <w:p w14:paraId="6AD620A6" w14:textId="77777777" w:rsidR="00F4030A" w:rsidRPr="00F4030A" w:rsidRDefault="00F4030A" w:rsidP="00F4030A">
            <w:pPr>
              <w:jc w:val="center"/>
              <w:rPr>
                <w:rFonts w:eastAsia="Calibri"/>
                <w:sz w:val="14"/>
                <w:szCs w:val="26"/>
                <w:lang w:eastAsia="en-US"/>
              </w:rPr>
            </w:pPr>
            <w:r w:rsidRPr="00F4030A">
              <w:rPr>
                <w:rFonts w:eastAsia="Calibri"/>
                <w:sz w:val="14"/>
                <w:szCs w:val="26"/>
                <w:lang w:eastAsia="en-US"/>
              </w:rPr>
              <w:t>0.0</w:t>
            </w:r>
          </w:p>
        </w:tc>
      </w:tr>
      <w:tr w:rsidR="00F4030A" w:rsidRPr="00F4030A" w14:paraId="3CCE678F" w14:textId="77777777" w:rsidTr="00F4030A">
        <w:tc>
          <w:tcPr>
            <w:tcW w:w="1342" w:type="dxa"/>
            <w:tcBorders>
              <w:left w:val="single" w:sz="4" w:space="0" w:color="auto"/>
              <w:right w:val="single" w:sz="4" w:space="0" w:color="auto"/>
            </w:tcBorders>
          </w:tcPr>
          <w:p w14:paraId="6CC84514" w14:textId="77777777" w:rsidR="00F4030A" w:rsidRPr="00F4030A" w:rsidRDefault="00F4030A" w:rsidP="00F4030A">
            <w:pPr>
              <w:jc w:val="both"/>
              <w:rPr>
                <w:rFonts w:eastAsia="Calibri"/>
                <w:b/>
                <w:sz w:val="14"/>
                <w:szCs w:val="26"/>
                <w:lang w:eastAsia="en-US"/>
              </w:rPr>
            </w:pPr>
            <w:r w:rsidRPr="00F4030A">
              <w:rPr>
                <w:rFonts w:eastAsia="Calibri"/>
                <w:b/>
                <w:sz w:val="14"/>
                <w:szCs w:val="26"/>
                <w:lang w:eastAsia="en-US"/>
              </w:rPr>
              <w:t>Principal</w:t>
            </w:r>
          </w:p>
        </w:tc>
        <w:tc>
          <w:tcPr>
            <w:tcW w:w="1205" w:type="dxa"/>
            <w:tcBorders>
              <w:left w:val="single" w:sz="4" w:space="0" w:color="auto"/>
              <w:right w:val="single" w:sz="4" w:space="0" w:color="auto"/>
            </w:tcBorders>
          </w:tcPr>
          <w:p w14:paraId="5A0F1364" w14:textId="77777777" w:rsidR="00F4030A" w:rsidRPr="00F4030A" w:rsidRDefault="00F4030A" w:rsidP="00F4030A">
            <w:pPr>
              <w:jc w:val="center"/>
              <w:rPr>
                <w:rFonts w:eastAsia="Calibri"/>
                <w:sz w:val="14"/>
                <w:szCs w:val="26"/>
                <w:lang w:eastAsia="en-US"/>
              </w:rPr>
            </w:pPr>
            <w:r w:rsidRPr="00F4030A">
              <w:rPr>
                <w:rFonts w:eastAsia="Calibri"/>
                <w:sz w:val="14"/>
                <w:szCs w:val="26"/>
                <w:lang w:eastAsia="en-US"/>
              </w:rPr>
              <w:t>53.7</w:t>
            </w:r>
          </w:p>
        </w:tc>
        <w:tc>
          <w:tcPr>
            <w:tcW w:w="1015" w:type="dxa"/>
            <w:tcBorders>
              <w:left w:val="single" w:sz="4" w:space="0" w:color="auto"/>
              <w:right w:val="single" w:sz="4" w:space="0" w:color="auto"/>
            </w:tcBorders>
          </w:tcPr>
          <w:p w14:paraId="0F67B860" w14:textId="77777777" w:rsidR="00F4030A" w:rsidRPr="00F4030A" w:rsidRDefault="00F4030A" w:rsidP="00F4030A">
            <w:pPr>
              <w:ind w:right="284"/>
              <w:jc w:val="right"/>
              <w:rPr>
                <w:rFonts w:eastAsia="Calibri"/>
                <w:sz w:val="14"/>
                <w:szCs w:val="26"/>
                <w:lang w:eastAsia="en-US"/>
              </w:rPr>
            </w:pPr>
            <w:r w:rsidRPr="00F4030A">
              <w:rPr>
                <w:rFonts w:eastAsia="Calibri"/>
                <w:sz w:val="14"/>
                <w:szCs w:val="26"/>
                <w:lang w:eastAsia="en-US"/>
              </w:rPr>
              <w:t>18.1</w:t>
            </w:r>
          </w:p>
        </w:tc>
        <w:tc>
          <w:tcPr>
            <w:tcW w:w="1111" w:type="dxa"/>
            <w:tcBorders>
              <w:left w:val="single" w:sz="4" w:space="0" w:color="auto"/>
              <w:right w:val="single" w:sz="4" w:space="0" w:color="auto"/>
            </w:tcBorders>
          </w:tcPr>
          <w:p w14:paraId="1918F493" w14:textId="77777777" w:rsidR="00F4030A" w:rsidRPr="00F4030A" w:rsidRDefault="00F4030A" w:rsidP="00F4030A">
            <w:pPr>
              <w:ind w:right="340"/>
              <w:jc w:val="right"/>
              <w:rPr>
                <w:rFonts w:eastAsia="Calibri"/>
                <w:sz w:val="14"/>
                <w:szCs w:val="26"/>
                <w:lang w:eastAsia="en-US"/>
              </w:rPr>
            </w:pPr>
            <w:r w:rsidRPr="00F4030A">
              <w:rPr>
                <w:rFonts w:eastAsia="Calibri"/>
                <w:sz w:val="14"/>
                <w:szCs w:val="26"/>
                <w:lang w:eastAsia="en-US"/>
              </w:rPr>
              <w:t>8.3</w:t>
            </w:r>
          </w:p>
        </w:tc>
        <w:tc>
          <w:tcPr>
            <w:tcW w:w="992" w:type="dxa"/>
            <w:tcBorders>
              <w:left w:val="single" w:sz="4" w:space="0" w:color="auto"/>
              <w:right w:val="single" w:sz="4" w:space="0" w:color="auto"/>
            </w:tcBorders>
          </w:tcPr>
          <w:p w14:paraId="6D6B59A1" w14:textId="77777777" w:rsidR="00F4030A" w:rsidRPr="00F4030A" w:rsidRDefault="00F4030A" w:rsidP="00F4030A">
            <w:pPr>
              <w:jc w:val="center"/>
              <w:rPr>
                <w:rFonts w:eastAsia="Calibri"/>
                <w:sz w:val="14"/>
                <w:szCs w:val="26"/>
                <w:lang w:eastAsia="en-US"/>
              </w:rPr>
            </w:pPr>
            <w:r w:rsidRPr="00F4030A">
              <w:rPr>
                <w:rFonts w:eastAsia="Calibri"/>
                <w:sz w:val="14"/>
                <w:szCs w:val="26"/>
                <w:lang w:eastAsia="en-US"/>
              </w:rPr>
              <w:t>3.2</w:t>
            </w:r>
          </w:p>
        </w:tc>
        <w:tc>
          <w:tcPr>
            <w:tcW w:w="1048" w:type="dxa"/>
            <w:tcBorders>
              <w:left w:val="single" w:sz="4" w:space="0" w:color="auto"/>
              <w:right w:val="single" w:sz="4" w:space="0" w:color="auto"/>
            </w:tcBorders>
          </w:tcPr>
          <w:p w14:paraId="4A5A7876" w14:textId="77777777" w:rsidR="00F4030A" w:rsidRPr="00F4030A" w:rsidRDefault="00F4030A" w:rsidP="00F4030A">
            <w:pPr>
              <w:jc w:val="center"/>
              <w:rPr>
                <w:rFonts w:eastAsia="Calibri"/>
                <w:sz w:val="14"/>
                <w:szCs w:val="26"/>
                <w:lang w:eastAsia="en-US"/>
              </w:rPr>
            </w:pPr>
            <w:r w:rsidRPr="00F4030A">
              <w:rPr>
                <w:rFonts w:eastAsia="Calibri"/>
                <w:sz w:val="14"/>
                <w:szCs w:val="26"/>
                <w:lang w:eastAsia="en-US"/>
              </w:rPr>
              <w:t>0.3</w:t>
            </w:r>
          </w:p>
        </w:tc>
        <w:tc>
          <w:tcPr>
            <w:tcW w:w="1123" w:type="dxa"/>
            <w:tcBorders>
              <w:left w:val="single" w:sz="4" w:space="0" w:color="auto"/>
              <w:right w:val="single" w:sz="4" w:space="0" w:color="auto"/>
            </w:tcBorders>
          </w:tcPr>
          <w:p w14:paraId="0BCC3431" w14:textId="77777777" w:rsidR="00F4030A" w:rsidRPr="00F4030A" w:rsidRDefault="00F4030A" w:rsidP="00F4030A">
            <w:pPr>
              <w:ind w:right="340"/>
              <w:jc w:val="right"/>
              <w:rPr>
                <w:rFonts w:eastAsia="Calibri"/>
                <w:sz w:val="14"/>
                <w:szCs w:val="26"/>
                <w:lang w:eastAsia="en-US"/>
              </w:rPr>
            </w:pPr>
            <w:r w:rsidRPr="00F4030A">
              <w:rPr>
                <w:rFonts w:eastAsia="Calibri"/>
                <w:sz w:val="14"/>
                <w:szCs w:val="26"/>
                <w:lang w:eastAsia="en-US"/>
              </w:rPr>
              <w:t>16.4</w:t>
            </w:r>
          </w:p>
        </w:tc>
        <w:tc>
          <w:tcPr>
            <w:tcW w:w="992" w:type="dxa"/>
            <w:tcBorders>
              <w:left w:val="single" w:sz="4" w:space="0" w:color="auto"/>
              <w:right w:val="single" w:sz="4" w:space="0" w:color="auto"/>
            </w:tcBorders>
          </w:tcPr>
          <w:p w14:paraId="33FAEFCD" w14:textId="77777777" w:rsidR="00F4030A" w:rsidRPr="00F4030A" w:rsidRDefault="00F4030A" w:rsidP="00F4030A">
            <w:pPr>
              <w:jc w:val="center"/>
              <w:rPr>
                <w:rFonts w:eastAsia="Calibri"/>
                <w:sz w:val="14"/>
                <w:szCs w:val="26"/>
                <w:lang w:eastAsia="en-US"/>
              </w:rPr>
            </w:pPr>
            <w:r w:rsidRPr="00F4030A">
              <w:rPr>
                <w:rFonts w:eastAsia="Calibri"/>
                <w:sz w:val="14"/>
                <w:szCs w:val="26"/>
                <w:lang w:eastAsia="en-US"/>
              </w:rPr>
              <w:t>0.0</w:t>
            </w:r>
          </w:p>
        </w:tc>
      </w:tr>
      <w:tr w:rsidR="00F4030A" w:rsidRPr="00F4030A" w14:paraId="453F4300" w14:textId="77777777" w:rsidTr="00F4030A">
        <w:tc>
          <w:tcPr>
            <w:tcW w:w="1342" w:type="dxa"/>
            <w:tcBorders>
              <w:left w:val="single" w:sz="4" w:space="0" w:color="auto"/>
              <w:right w:val="single" w:sz="4" w:space="0" w:color="auto"/>
            </w:tcBorders>
          </w:tcPr>
          <w:p w14:paraId="5567BBDB" w14:textId="77777777" w:rsidR="00F4030A" w:rsidRPr="00F4030A" w:rsidRDefault="00F4030A" w:rsidP="00F4030A">
            <w:pPr>
              <w:jc w:val="both"/>
              <w:rPr>
                <w:rFonts w:eastAsia="Calibri"/>
                <w:b/>
                <w:sz w:val="14"/>
                <w:szCs w:val="26"/>
                <w:lang w:eastAsia="en-US"/>
              </w:rPr>
            </w:pPr>
            <w:r w:rsidRPr="00F4030A">
              <w:rPr>
                <w:rFonts w:eastAsia="Calibri"/>
                <w:b/>
                <w:sz w:val="14"/>
                <w:szCs w:val="26"/>
                <w:lang w:eastAsia="en-US"/>
              </w:rPr>
              <w:t>Azteca</w:t>
            </w:r>
          </w:p>
        </w:tc>
        <w:tc>
          <w:tcPr>
            <w:tcW w:w="1205" w:type="dxa"/>
            <w:tcBorders>
              <w:left w:val="single" w:sz="4" w:space="0" w:color="auto"/>
              <w:right w:val="single" w:sz="4" w:space="0" w:color="auto"/>
            </w:tcBorders>
          </w:tcPr>
          <w:p w14:paraId="079E9169" w14:textId="77777777" w:rsidR="00F4030A" w:rsidRPr="00F4030A" w:rsidRDefault="00F4030A" w:rsidP="00F4030A">
            <w:pPr>
              <w:jc w:val="center"/>
              <w:rPr>
                <w:rFonts w:eastAsia="Calibri"/>
                <w:sz w:val="14"/>
                <w:szCs w:val="26"/>
                <w:lang w:eastAsia="en-US"/>
              </w:rPr>
            </w:pPr>
            <w:r w:rsidRPr="00F4030A">
              <w:rPr>
                <w:rFonts w:eastAsia="Calibri"/>
                <w:sz w:val="14"/>
                <w:szCs w:val="26"/>
                <w:lang w:eastAsia="en-US"/>
              </w:rPr>
              <w:t>52.4</w:t>
            </w:r>
          </w:p>
        </w:tc>
        <w:tc>
          <w:tcPr>
            <w:tcW w:w="1015" w:type="dxa"/>
            <w:tcBorders>
              <w:left w:val="single" w:sz="4" w:space="0" w:color="auto"/>
              <w:right w:val="single" w:sz="4" w:space="0" w:color="auto"/>
            </w:tcBorders>
          </w:tcPr>
          <w:p w14:paraId="693D1C3E" w14:textId="77777777" w:rsidR="00F4030A" w:rsidRPr="00F4030A" w:rsidRDefault="00F4030A" w:rsidP="00F4030A">
            <w:pPr>
              <w:ind w:right="284"/>
              <w:jc w:val="right"/>
              <w:rPr>
                <w:rFonts w:eastAsia="Calibri"/>
                <w:sz w:val="14"/>
                <w:szCs w:val="26"/>
                <w:lang w:eastAsia="en-US"/>
              </w:rPr>
            </w:pPr>
            <w:r w:rsidRPr="00F4030A">
              <w:rPr>
                <w:rFonts w:eastAsia="Calibri"/>
                <w:sz w:val="14"/>
                <w:szCs w:val="26"/>
                <w:lang w:eastAsia="en-US"/>
              </w:rPr>
              <w:t>18.2</w:t>
            </w:r>
          </w:p>
        </w:tc>
        <w:tc>
          <w:tcPr>
            <w:tcW w:w="1111" w:type="dxa"/>
            <w:tcBorders>
              <w:left w:val="single" w:sz="4" w:space="0" w:color="auto"/>
              <w:right w:val="single" w:sz="4" w:space="0" w:color="auto"/>
            </w:tcBorders>
          </w:tcPr>
          <w:p w14:paraId="68717214" w14:textId="77777777" w:rsidR="00F4030A" w:rsidRPr="00F4030A" w:rsidRDefault="00F4030A" w:rsidP="00F4030A">
            <w:pPr>
              <w:ind w:right="340"/>
              <w:jc w:val="right"/>
              <w:rPr>
                <w:rFonts w:eastAsia="Calibri"/>
                <w:sz w:val="14"/>
                <w:szCs w:val="26"/>
                <w:lang w:eastAsia="en-US"/>
              </w:rPr>
            </w:pPr>
            <w:r w:rsidRPr="00F4030A">
              <w:rPr>
                <w:rFonts w:eastAsia="Calibri"/>
                <w:sz w:val="14"/>
                <w:szCs w:val="26"/>
                <w:lang w:eastAsia="en-US"/>
              </w:rPr>
              <w:t>12.3</w:t>
            </w:r>
          </w:p>
        </w:tc>
        <w:tc>
          <w:tcPr>
            <w:tcW w:w="992" w:type="dxa"/>
            <w:tcBorders>
              <w:left w:val="single" w:sz="4" w:space="0" w:color="auto"/>
              <w:right w:val="single" w:sz="4" w:space="0" w:color="auto"/>
            </w:tcBorders>
          </w:tcPr>
          <w:p w14:paraId="63325742" w14:textId="77777777" w:rsidR="00F4030A" w:rsidRPr="00F4030A" w:rsidRDefault="00F4030A" w:rsidP="00F4030A">
            <w:pPr>
              <w:jc w:val="center"/>
              <w:rPr>
                <w:rFonts w:eastAsia="Calibri"/>
                <w:sz w:val="14"/>
                <w:szCs w:val="26"/>
                <w:lang w:eastAsia="en-US"/>
              </w:rPr>
            </w:pPr>
            <w:r w:rsidRPr="00F4030A">
              <w:rPr>
                <w:rFonts w:eastAsia="Calibri"/>
                <w:sz w:val="14"/>
                <w:szCs w:val="26"/>
                <w:lang w:eastAsia="en-US"/>
              </w:rPr>
              <w:t>2.8</w:t>
            </w:r>
          </w:p>
        </w:tc>
        <w:tc>
          <w:tcPr>
            <w:tcW w:w="1048" w:type="dxa"/>
            <w:tcBorders>
              <w:left w:val="single" w:sz="4" w:space="0" w:color="auto"/>
              <w:right w:val="single" w:sz="4" w:space="0" w:color="auto"/>
            </w:tcBorders>
          </w:tcPr>
          <w:p w14:paraId="1D4A71B2" w14:textId="77777777" w:rsidR="00F4030A" w:rsidRPr="00F4030A" w:rsidRDefault="00F4030A" w:rsidP="00F4030A">
            <w:pPr>
              <w:jc w:val="center"/>
              <w:rPr>
                <w:rFonts w:eastAsia="Calibri"/>
                <w:sz w:val="14"/>
                <w:szCs w:val="26"/>
                <w:lang w:eastAsia="en-US"/>
              </w:rPr>
            </w:pPr>
            <w:r w:rsidRPr="00F4030A">
              <w:rPr>
                <w:rFonts w:eastAsia="Calibri"/>
                <w:sz w:val="14"/>
                <w:szCs w:val="26"/>
                <w:lang w:eastAsia="en-US"/>
              </w:rPr>
              <w:t>0.2</w:t>
            </w:r>
          </w:p>
        </w:tc>
        <w:tc>
          <w:tcPr>
            <w:tcW w:w="1123" w:type="dxa"/>
            <w:tcBorders>
              <w:left w:val="single" w:sz="4" w:space="0" w:color="auto"/>
              <w:right w:val="single" w:sz="4" w:space="0" w:color="auto"/>
            </w:tcBorders>
          </w:tcPr>
          <w:p w14:paraId="4BF870A9" w14:textId="77777777" w:rsidR="00F4030A" w:rsidRPr="00F4030A" w:rsidRDefault="00F4030A" w:rsidP="00F4030A">
            <w:pPr>
              <w:ind w:right="340"/>
              <w:jc w:val="right"/>
              <w:rPr>
                <w:rFonts w:eastAsia="Calibri"/>
                <w:sz w:val="14"/>
                <w:szCs w:val="26"/>
                <w:lang w:eastAsia="en-US"/>
              </w:rPr>
            </w:pPr>
            <w:r w:rsidRPr="00F4030A">
              <w:rPr>
                <w:rFonts w:eastAsia="Calibri"/>
                <w:sz w:val="14"/>
                <w:szCs w:val="26"/>
                <w:lang w:eastAsia="en-US"/>
              </w:rPr>
              <w:t>14.1</w:t>
            </w:r>
          </w:p>
        </w:tc>
        <w:tc>
          <w:tcPr>
            <w:tcW w:w="992" w:type="dxa"/>
            <w:tcBorders>
              <w:left w:val="single" w:sz="4" w:space="0" w:color="auto"/>
              <w:right w:val="single" w:sz="4" w:space="0" w:color="auto"/>
            </w:tcBorders>
          </w:tcPr>
          <w:p w14:paraId="1506E9AD" w14:textId="77777777" w:rsidR="00F4030A" w:rsidRPr="00F4030A" w:rsidRDefault="00F4030A" w:rsidP="00F4030A">
            <w:pPr>
              <w:jc w:val="center"/>
              <w:rPr>
                <w:rFonts w:eastAsia="Calibri"/>
                <w:sz w:val="14"/>
                <w:szCs w:val="26"/>
                <w:lang w:eastAsia="en-US"/>
              </w:rPr>
            </w:pPr>
            <w:r w:rsidRPr="00F4030A">
              <w:rPr>
                <w:rFonts w:eastAsia="Calibri"/>
                <w:sz w:val="14"/>
                <w:szCs w:val="26"/>
                <w:lang w:eastAsia="en-US"/>
              </w:rPr>
              <w:t>0.0</w:t>
            </w:r>
          </w:p>
        </w:tc>
      </w:tr>
      <w:tr w:rsidR="00F4030A" w:rsidRPr="00F4030A" w14:paraId="2EAC03BF" w14:textId="77777777" w:rsidTr="00F4030A">
        <w:tc>
          <w:tcPr>
            <w:tcW w:w="1342" w:type="dxa"/>
            <w:tcBorders>
              <w:left w:val="single" w:sz="4" w:space="0" w:color="auto"/>
              <w:right w:val="single" w:sz="4" w:space="0" w:color="auto"/>
            </w:tcBorders>
          </w:tcPr>
          <w:p w14:paraId="26FA36D6" w14:textId="77777777" w:rsidR="00F4030A" w:rsidRPr="00F4030A" w:rsidRDefault="00F4030A" w:rsidP="00F4030A">
            <w:pPr>
              <w:jc w:val="both"/>
              <w:rPr>
                <w:rFonts w:eastAsia="Calibri"/>
                <w:b/>
                <w:sz w:val="14"/>
                <w:szCs w:val="26"/>
                <w:lang w:eastAsia="en-US"/>
              </w:rPr>
            </w:pPr>
            <w:r w:rsidRPr="00F4030A">
              <w:rPr>
                <w:rFonts w:eastAsia="Calibri"/>
                <w:b/>
                <w:sz w:val="14"/>
                <w:szCs w:val="26"/>
                <w:lang w:eastAsia="en-US"/>
              </w:rPr>
              <w:t>SURA</w:t>
            </w:r>
          </w:p>
        </w:tc>
        <w:tc>
          <w:tcPr>
            <w:tcW w:w="1205" w:type="dxa"/>
            <w:tcBorders>
              <w:left w:val="single" w:sz="4" w:space="0" w:color="auto"/>
              <w:right w:val="single" w:sz="4" w:space="0" w:color="auto"/>
            </w:tcBorders>
          </w:tcPr>
          <w:p w14:paraId="68166F6E" w14:textId="77777777" w:rsidR="00F4030A" w:rsidRPr="00F4030A" w:rsidRDefault="00F4030A" w:rsidP="00F4030A">
            <w:pPr>
              <w:jc w:val="center"/>
              <w:rPr>
                <w:rFonts w:eastAsia="Calibri"/>
                <w:sz w:val="14"/>
                <w:szCs w:val="26"/>
                <w:lang w:eastAsia="en-US"/>
              </w:rPr>
            </w:pPr>
            <w:r w:rsidRPr="00F4030A">
              <w:rPr>
                <w:rFonts w:eastAsia="Calibri"/>
                <w:sz w:val="14"/>
                <w:szCs w:val="26"/>
                <w:lang w:eastAsia="en-US"/>
              </w:rPr>
              <w:t>52.2</w:t>
            </w:r>
          </w:p>
        </w:tc>
        <w:tc>
          <w:tcPr>
            <w:tcW w:w="1015" w:type="dxa"/>
            <w:tcBorders>
              <w:left w:val="single" w:sz="4" w:space="0" w:color="auto"/>
              <w:right w:val="single" w:sz="4" w:space="0" w:color="auto"/>
            </w:tcBorders>
          </w:tcPr>
          <w:p w14:paraId="3FBDB7F0" w14:textId="77777777" w:rsidR="00F4030A" w:rsidRPr="00F4030A" w:rsidRDefault="00F4030A" w:rsidP="00F4030A">
            <w:pPr>
              <w:ind w:right="284"/>
              <w:jc w:val="right"/>
              <w:rPr>
                <w:rFonts w:eastAsia="Calibri"/>
                <w:sz w:val="14"/>
                <w:szCs w:val="26"/>
                <w:lang w:eastAsia="en-US"/>
              </w:rPr>
            </w:pPr>
            <w:r w:rsidRPr="00F4030A">
              <w:rPr>
                <w:rFonts w:eastAsia="Calibri"/>
                <w:sz w:val="14"/>
                <w:szCs w:val="26"/>
                <w:lang w:eastAsia="en-US"/>
              </w:rPr>
              <w:t>17.7</w:t>
            </w:r>
          </w:p>
        </w:tc>
        <w:tc>
          <w:tcPr>
            <w:tcW w:w="1111" w:type="dxa"/>
            <w:tcBorders>
              <w:left w:val="single" w:sz="4" w:space="0" w:color="auto"/>
              <w:right w:val="single" w:sz="4" w:space="0" w:color="auto"/>
            </w:tcBorders>
          </w:tcPr>
          <w:p w14:paraId="6C463805" w14:textId="77777777" w:rsidR="00F4030A" w:rsidRPr="00F4030A" w:rsidRDefault="00F4030A" w:rsidP="00F4030A">
            <w:pPr>
              <w:ind w:right="340"/>
              <w:jc w:val="right"/>
              <w:rPr>
                <w:rFonts w:eastAsia="Calibri"/>
                <w:sz w:val="14"/>
                <w:szCs w:val="26"/>
                <w:lang w:eastAsia="en-US"/>
              </w:rPr>
            </w:pPr>
            <w:r w:rsidRPr="00F4030A">
              <w:rPr>
                <w:rFonts w:eastAsia="Calibri"/>
                <w:sz w:val="14"/>
                <w:szCs w:val="26"/>
                <w:lang w:eastAsia="en-US"/>
              </w:rPr>
              <w:t>4.7</w:t>
            </w:r>
          </w:p>
        </w:tc>
        <w:tc>
          <w:tcPr>
            <w:tcW w:w="992" w:type="dxa"/>
            <w:tcBorders>
              <w:left w:val="single" w:sz="4" w:space="0" w:color="auto"/>
              <w:right w:val="single" w:sz="4" w:space="0" w:color="auto"/>
            </w:tcBorders>
          </w:tcPr>
          <w:p w14:paraId="5CDFFCBE" w14:textId="77777777" w:rsidR="00F4030A" w:rsidRPr="00F4030A" w:rsidRDefault="00F4030A" w:rsidP="00F4030A">
            <w:pPr>
              <w:jc w:val="center"/>
              <w:rPr>
                <w:rFonts w:eastAsia="Calibri"/>
                <w:sz w:val="14"/>
                <w:szCs w:val="26"/>
                <w:lang w:eastAsia="en-US"/>
              </w:rPr>
            </w:pPr>
            <w:r w:rsidRPr="00F4030A">
              <w:rPr>
                <w:rFonts w:eastAsia="Calibri"/>
                <w:sz w:val="14"/>
                <w:szCs w:val="26"/>
                <w:lang w:eastAsia="en-US"/>
              </w:rPr>
              <w:t>6.9</w:t>
            </w:r>
          </w:p>
        </w:tc>
        <w:tc>
          <w:tcPr>
            <w:tcW w:w="1048" w:type="dxa"/>
            <w:tcBorders>
              <w:left w:val="single" w:sz="4" w:space="0" w:color="auto"/>
              <w:right w:val="single" w:sz="4" w:space="0" w:color="auto"/>
            </w:tcBorders>
          </w:tcPr>
          <w:p w14:paraId="17EFF8A4" w14:textId="77777777" w:rsidR="00F4030A" w:rsidRPr="00F4030A" w:rsidRDefault="00F4030A" w:rsidP="00F4030A">
            <w:pPr>
              <w:jc w:val="center"/>
              <w:rPr>
                <w:rFonts w:eastAsia="Calibri"/>
                <w:sz w:val="14"/>
                <w:szCs w:val="26"/>
                <w:lang w:eastAsia="en-US"/>
              </w:rPr>
            </w:pPr>
            <w:r w:rsidRPr="00F4030A">
              <w:rPr>
                <w:rFonts w:eastAsia="Calibri"/>
                <w:sz w:val="14"/>
                <w:szCs w:val="26"/>
                <w:lang w:eastAsia="en-US"/>
              </w:rPr>
              <w:t>1.5</w:t>
            </w:r>
          </w:p>
        </w:tc>
        <w:tc>
          <w:tcPr>
            <w:tcW w:w="1123" w:type="dxa"/>
            <w:tcBorders>
              <w:left w:val="single" w:sz="4" w:space="0" w:color="auto"/>
              <w:right w:val="single" w:sz="4" w:space="0" w:color="auto"/>
            </w:tcBorders>
          </w:tcPr>
          <w:p w14:paraId="6C226977" w14:textId="77777777" w:rsidR="00F4030A" w:rsidRPr="00F4030A" w:rsidRDefault="00F4030A" w:rsidP="00F4030A">
            <w:pPr>
              <w:ind w:right="340"/>
              <w:jc w:val="right"/>
              <w:rPr>
                <w:rFonts w:eastAsia="Calibri"/>
                <w:sz w:val="14"/>
                <w:szCs w:val="26"/>
                <w:lang w:eastAsia="en-US"/>
              </w:rPr>
            </w:pPr>
            <w:r w:rsidRPr="00F4030A">
              <w:rPr>
                <w:rFonts w:eastAsia="Calibri"/>
                <w:sz w:val="14"/>
                <w:szCs w:val="26"/>
                <w:lang w:eastAsia="en-US"/>
              </w:rPr>
              <w:t>16.9</w:t>
            </w:r>
          </w:p>
        </w:tc>
        <w:tc>
          <w:tcPr>
            <w:tcW w:w="992" w:type="dxa"/>
            <w:tcBorders>
              <w:left w:val="single" w:sz="4" w:space="0" w:color="auto"/>
              <w:right w:val="single" w:sz="4" w:space="0" w:color="auto"/>
            </w:tcBorders>
          </w:tcPr>
          <w:p w14:paraId="7F34FBC7" w14:textId="77777777" w:rsidR="00F4030A" w:rsidRPr="00F4030A" w:rsidRDefault="00F4030A" w:rsidP="00F4030A">
            <w:pPr>
              <w:jc w:val="center"/>
              <w:rPr>
                <w:rFonts w:eastAsia="Calibri"/>
                <w:sz w:val="14"/>
                <w:szCs w:val="26"/>
                <w:lang w:eastAsia="en-US"/>
              </w:rPr>
            </w:pPr>
            <w:r w:rsidRPr="00F4030A">
              <w:rPr>
                <w:rFonts w:eastAsia="Calibri"/>
                <w:sz w:val="14"/>
                <w:szCs w:val="26"/>
                <w:lang w:eastAsia="en-US"/>
              </w:rPr>
              <w:t>0.0</w:t>
            </w:r>
          </w:p>
        </w:tc>
      </w:tr>
      <w:tr w:rsidR="00F4030A" w:rsidRPr="00F4030A" w14:paraId="243896A8" w14:textId="77777777" w:rsidTr="00F4030A">
        <w:tc>
          <w:tcPr>
            <w:tcW w:w="1342" w:type="dxa"/>
            <w:tcBorders>
              <w:left w:val="single" w:sz="4" w:space="0" w:color="auto"/>
              <w:right w:val="single" w:sz="4" w:space="0" w:color="auto"/>
            </w:tcBorders>
          </w:tcPr>
          <w:p w14:paraId="18187302" w14:textId="77777777" w:rsidR="00F4030A" w:rsidRPr="00F4030A" w:rsidRDefault="00F4030A" w:rsidP="00F4030A">
            <w:pPr>
              <w:jc w:val="both"/>
              <w:rPr>
                <w:rFonts w:eastAsia="Calibri"/>
                <w:b/>
                <w:sz w:val="14"/>
                <w:szCs w:val="26"/>
                <w:lang w:eastAsia="en-US"/>
              </w:rPr>
            </w:pPr>
            <w:r w:rsidRPr="00F4030A">
              <w:rPr>
                <w:rFonts w:eastAsia="Calibri"/>
                <w:b/>
                <w:sz w:val="14"/>
                <w:szCs w:val="26"/>
                <w:lang w:eastAsia="en-US"/>
              </w:rPr>
              <w:t>XXI-Banorte</w:t>
            </w:r>
          </w:p>
        </w:tc>
        <w:tc>
          <w:tcPr>
            <w:tcW w:w="1205" w:type="dxa"/>
            <w:tcBorders>
              <w:left w:val="single" w:sz="4" w:space="0" w:color="auto"/>
              <w:right w:val="single" w:sz="4" w:space="0" w:color="auto"/>
            </w:tcBorders>
          </w:tcPr>
          <w:p w14:paraId="7D00C52D" w14:textId="77777777" w:rsidR="00F4030A" w:rsidRPr="00F4030A" w:rsidRDefault="00F4030A" w:rsidP="00F4030A">
            <w:pPr>
              <w:jc w:val="center"/>
              <w:rPr>
                <w:rFonts w:eastAsia="Calibri"/>
                <w:sz w:val="14"/>
                <w:szCs w:val="26"/>
                <w:lang w:eastAsia="en-US"/>
              </w:rPr>
            </w:pPr>
            <w:r w:rsidRPr="00F4030A">
              <w:rPr>
                <w:rFonts w:eastAsia="Calibri"/>
                <w:sz w:val="14"/>
                <w:szCs w:val="26"/>
                <w:lang w:eastAsia="en-US"/>
              </w:rPr>
              <w:t>49.8</w:t>
            </w:r>
          </w:p>
        </w:tc>
        <w:tc>
          <w:tcPr>
            <w:tcW w:w="1015" w:type="dxa"/>
            <w:tcBorders>
              <w:left w:val="single" w:sz="4" w:space="0" w:color="auto"/>
              <w:right w:val="single" w:sz="4" w:space="0" w:color="auto"/>
            </w:tcBorders>
          </w:tcPr>
          <w:p w14:paraId="21994B0E" w14:textId="77777777" w:rsidR="00F4030A" w:rsidRPr="00F4030A" w:rsidRDefault="00F4030A" w:rsidP="00F4030A">
            <w:pPr>
              <w:ind w:right="284"/>
              <w:jc w:val="right"/>
              <w:rPr>
                <w:rFonts w:eastAsia="Calibri"/>
                <w:sz w:val="14"/>
                <w:szCs w:val="26"/>
                <w:lang w:eastAsia="en-US"/>
              </w:rPr>
            </w:pPr>
            <w:r w:rsidRPr="00F4030A">
              <w:rPr>
                <w:rFonts w:eastAsia="Calibri"/>
                <w:sz w:val="14"/>
                <w:szCs w:val="26"/>
                <w:lang w:eastAsia="en-US"/>
              </w:rPr>
              <w:t>20.7</w:t>
            </w:r>
          </w:p>
        </w:tc>
        <w:tc>
          <w:tcPr>
            <w:tcW w:w="1111" w:type="dxa"/>
            <w:tcBorders>
              <w:left w:val="single" w:sz="4" w:space="0" w:color="auto"/>
              <w:right w:val="single" w:sz="4" w:space="0" w:color="auto"/>
            </w:tcBorders>
          </w:tcPr>
          <w:p w14:paraId="10E12DBB" w14:textId="77777777" w:rsidR="00F4030A" w:rsidRPr="00F4030A" w:rsidRDefault="00F4030A" w:rsidP="00F4030A">
            <w:pPr>
              <w:ind w:right="340"/>
              <w:jc w:val="right"/>
              <w:rPr>
                <w:rFonts w:eastAsia="Calibri"/>
                <w:sz w:val="14"/>
                <w:szCs w:val="26"/>
                <w:lang w:eastAsia="en-US"/>
              </w:rPr>
            </w:pPr>
            <w:r w:rsidRPr="00F4030A">
              <w:rPr>
                <w:rFonts w:eastAsia="Calibri"/>
                <w:sz w:val="14"/>
                <w:szCs w:val="26"/>
                <w:lang w:eastAsia="en-US"/>
              </w:rPr>
              <w:t>7.7</w:t>
            </w:r>
          </w:p>
        </w:tc>
        <w:tc>
          <w:tcPr>
            <w:tcW w:w="992" w:type="dxa"/>
            <w:tcBorders>
              <w:left w:val="single" w:sz="4" w:space="0" w:color="auto"/>
              <w:right w:val="single" w:sz="4" w:space="0" w:color="auto"/>
            </w:tcBorders>
          </w:tcPr>
          <w:p w14:paraId="29A42A03" w14:textId="77777777" w:rsidR="00F4030A" w:rsidRPr="00F4030A" w:rsidRDefault="00F4030A" w:rsidP="00F4030A">
            <w:pPr>
              <w:jc w:val="center"/>
              <w:rPr>
                <w:rFonts w:eastAsia="Calibri"/>
                <w:sz w:val="14"/>
                <w:szCs w:val="26"/>
                <w:lang w:eastAsia="en-US"/>
              </w:rPr>
            </w:pPr>
            <w:r w:rsidRPr="00F4030A">
              <w:rPr>
                <w:rFonts w:eastAsia="Calibri"/>
                <w:sz w:val="14"/>
                <w:szCs w:val="26"/>
                <w:lang w:eastAsia="en-US"/>
              </w:rPr>
              <w:t>3.2</w:t>
            </w:r>
          </w:p>
        </w:tc>
        <w:tc>
          <w:tcPr>
            <w:tcW w:w="1048" w:type="dxa"/>
            <w:tcBorders>
              <w:left w:val="single" w:sz="4" w:space="0" w:color="auto"/>
              <w:right w:val="single" w:sz="4" w:space="0" w:color="auto"/>
            </w:tcBorders>
          </w:tcPr>
          <w:p w14:paraId="19EC8F15" w14:textId="77777777" w:rsidR="00F4030A" w:rsidRPr="00F4030A" w:rsidRDefault="00F4030A" w:rsidP="00F4030A">
            <w:pPr>
              <w:jc w:val="center"/>
              <w:rPr>
                <w:rFonts w:eastAsia="Calibri"/>
                <w:sz w:val="14"/>
                <w:szCs w:val="26"/>
                <w:lang w:eastAsia="en-US"/>
              </w:rPr>
            </w:pPr>
            <w:r w:rsidRPr="00F4030A">
              <w:rPr>
                <w:rFonts w:eastAsia="Calibri"/>
                <w:sz w:val="14"/>
                <w:szCs w:val="26"/>
                <w:lang w:eastAsia="en-US"/>
              </w:rPr>
              <w:t>1.2</w:t>
            </w:r>
          </w:p>
        </w:tc>
        <w:tc>
          <w:tcPr>
            <w:tcW w:w="1123" w:type="dxa"/>
            <w:tcBorders>
              <w:left w:val="single" w:sz="4" w:space="0" w:color="auto"/>
              <w:right w:val="single" w:sz="4" w:space="0" w:color="auto"/>
            </w:tcBorders>
          </w:tcPr>
          <w:p w14:paraId="2339D1E0" w14:textId="77777777" w:rsidR="00F4030A" w:rsidRPr="00F4030A" w:rsidRDefault="00F4030A" w:rsidP="00F4030A">
            <w:pPr>
              <w:ind w:right="340"/>
              <w:jc w:val="right"/>
              <w:rPr>
                <w:rFonts w:eastAsia="Calibri"/>
                <w:sz w:val="14"/>
                <w:szCs w:val="26"/>
                <w:lang w:eastAsia="en-US"/>
              </w:rPr>
            </w:pPr>
            <w:r w:rsidRPr="00F4030A">
              <w:rPr>
                <w:rFonts w:eastAsia="Calibri"/>
                <w:sz w:val="14"/>
                <w:szCs w:val="26"/>
                <w:lang w:eastAsia="en-US"/>
              </w:rPr>
              <w:t>17.5</w:t>
            </w:r>
          </w:p>
        </w:tc>
        <w:tc>
          <w:tcPr>
            <w:tcW w:w="992" w:type="dxa"/>
            <w:tcBorders>
              <w:left w:val="single" w:sz="4" w:space="0" w:color="auto"/>
              <w:right w:val="single" w:sz="4" w:space="0" w:color="auto"/>
            </w:tcBorders>
          </w:tcPr>
          <w:p w14:paraId="7C354F85" w14:textId="77777777" w:rsidR="00F4030A" w:rsidRPr="00F4030A" w:rsidRDefault="00F4030A" w:rsidP="00F4030A">
            <w:pPr>
              <w:jc w:val="center"/>
              <w:rPr>
                <w:rFonts w:eastAsia="Calibri"/>
                <w:sz w:val="14"/>
                <w:szCs w:val="26"/>
                <w:lang w:eastAsia="en-US"/>
              </w:rPr>
            </w:pPr>
            <w:r w:rsidRPr="00F4030A">
              <w:rPr>
                <w:rFonts w:eastAsia="Calibri"/>
                <w:sz w:val="14"/>
                <w:szCs w:val="26"/>
                <w:lang w:eastAsia="en-US"/>
              </w:rPr>
              <w:t>0.0</w:t>
            </w:r>
          </w:p>
        </w:tc>
      </w:tr>
      <w:tr w:rsidR="00F4030A" w:rsidRPr="00F4030A" w14:paraId="10610527" w14:textId="77777777" w:rsidTr="00F4030A">
        <w:tc>
          <w:tcPr>
            <w:tcW w:w="1342" w:type="dxa"/>
            <w:tcBorders>
              <w:left w:val="single" w:sz="4" w:space="0" w:color="auto"/>
              <w:right w:val="single" w:sz="4" w:space="0" w:color="auto"/>
            </w:tcBorders>
          </w:tcPr>
          <w:p w14:paraId="29F86FE4" w14:textId="77777777" w:rsidR="00F4030A" w:rsidRPr="00F4030A" w:rsidRDefault="00F4030A" w:rsidP="00F4030A">
            <w:pPr>
              <w:jc w:val="both"/>
              <w:rPr>
                <w:rFonts w:eastAsia="Calibri"/>
                <w:b/>
                <w:sz w:val="14"/>
                <w:szCs w:val="26"/>
                <w:lang w:eastAsia="en-US"/>
              </w:rPr>
            </w:pPr>
            <w:r w:rsidRPr="00F4030A">
              <w:rPr>
                <w:rFonts w:eastAsia="Calibri"/>
                <w:b/>
                <w:sz w:val="14"/>
                <w:szCs w:val="26"/>
                <w:lang w:eastAsia="en-US"/>
              </w:rPr>
              <w:t>Metlife</w:t>
            </w:r>
          </w:p>
        </w:tc>
        <w:tc>
          <w:tcPr>
            <w:tcW w:w="1205" w:type="dxa"/>
            <w:tcBorders>
              <w:left w:val="single" w:sz="4" w:space="0" w:color="auto"/>
              <w:right w:val="single" w:sz="4" w:space="0" w:color="auto"/>
            </w:tcBorders>
          </w:tcPr>
          <w:p w14:paraId="3AE954E5" w14:textId="77777777" w:rsidR="00F4030A" w:rsidRPr="00F4030A" w:rsidRDefault="00F4030A" w:rsidP="00F4030A">
            <w:pPr>
              <w:jc w:val="center"/>
              <w:rPr>
                <w:rFonts w:eastAsia="Calibri"/>
                <w:sz w:val="14"/>
                <w:szCs w:val="26"/>
                <w:lang w:eastAsia="en-US"/>
              </w:rPr>
            </w:pPr>
            <w:r w:rsidRPr="00F4030A">
              <w:rPr>
                <w:rFonts w:eastAsia="Calibri"/>
                <w:sz w:val="14"/>
                <w:szCs w:val="26"/>
                <w:lang w:eastAsia="en-US"/>
              </w:rPr>
              <w:t>49.6</w:t>
            </w:r>
          </w:p>
        </w:tc>
        <w:tc>
          <w:tcPr>
            <w:tcW w:w="1015" w:type="dxa"/>
            <w:tcBorders>
              <w:left w:val="single" w:sz="4" w:space="0" w:color="auto"/>
              <w:right w:val="single" w:sz="4" w:space="0" w:color="auto"/>
            </w:tcBorders>
          </w:tcPr>
          <w:p w14:paraId="246AB194" w14:textId="77777777" w:rsidR="00F4030A" w:rsidRPr="00F4030A" w:rsidRDefault="00F4030A" w:rsidP="00F4030A">
            <w:pPr>
              <w:ind w:right="284"/>
              <w:jc w:val="right"/>
              <w:rPr>
                <w:rFonts w:eastAsia="Calibri"/>
                <w:sz w:val="14"/>
                <w:szCs w:val="26"/>
                <w:lang w:eastAsia="en-US"/>
              </w:rPr>
            </w:pPr>
            <w:r w:rsidRPr="00F4030A">
              <w:rPr>
                <w:rFonts w:eastAsia="Calibri"/>
                <w:sz w:val="14"/>
                <w:szCs w:val="26"/>
                <w:lang w:eastAsia="en-US"/>
              </w:rPr>
              <w:t>20.6</w:t>
            </w:r>
          </w:p>
        </w:tc>
        <w:tc>
          <w:tcPr>
            <w:tcW w:w="1111" w:type="dxa"/>
            <w:tcBorders>
              <w:left w:val="single" w:sz="4" w:space="0" w:color="auto"/>
              <w:right w:val="single" w:sz="4" w:space="0" w:color="auto"/>
            </w:tcBorders>
          </w:tcPr>
          <w:p w14:paraId="2C2B532F" w14:textId="77777777" w:rsidR="00F4030A" w:rsidRPr="00F4030A" w:rsidRDefault="00F4030A" w:rsidP="00F4030A">
            <w:pPr>
              <w:ind w:right="340"/>
              <w:jc w:val="right"/>
              <w:rPr>
                <w:rFonts w:eastAsia="Calibri"/>
                <w:sz w:val="14"/>
                <w:szCs w:val="26"/>
                <w:lang w:eastAsia="en-US"/>
              </w:rPr>
            </w:pPr>
            <w:r w:rsidRPr="00F4030A">
              <w:rPr>
                <w:rFonts w:eastAsia="Calibri"/>
                <w:sz w:val="14"/>
                <w:szCs w:val="26"/>
                <w:lang w:eastAsia="en-US"/>
              </w:rPr>
              <w:t>5.6</w:t>
            </w:r>
          </w:p>
        </w:tc>
        <w:tc>
          <w:tcPr>
            <w:tcW w:w="992" w:type="dxa"/>
            <w:tcBorders>
              <w:left w:val="single" w:sz="4" w:space="0" w:color="auto"/>
              <w:right w:val="single" w:sz="4" w:space="0" w:color="auto"/>
            </w:tcBorders>
          </w:tcPr>
          <w:p w14:paraId="1522F271" w14:textId="77777777" w:rsidR="00F4030A" w:rsidRPr="00F4030A" w:rsidRDefault="00F4030A" w:rsidP="00F4030A">
            <w:pPr>
              <w:jc w:val="center"/>
              <w:rPr>
                <w:rFonts w:eastAsia="Calibri"/>
                <w:sz w:val="14"/>
                <w:szCs w:val="26"/>
                <w:lang w:eastAsia="en-US"/>
              </w:rPr>
            </w:pPr>
            <w:r w:rsidRPr="00F4030A">
              <w:rPr>
                <w:rFonts w:eastAsia="Calibri"/>
                <w:sz w:val="14"/>
                <w:szCs w:val="26"/>
                <w:lang w:eastAsia="en-US"/>
              </w:rPr>
              <w:t>4.6</w:t>
            </w:r>
          </w:p>
        </w:tc>
        <w:tc>
          <w:tcPr>
            <w:tcW w:w="1048" w:type="dxa"/>
            <w:tcBorders>
              <w:left w:val="single" w:sz="4" w:space="0" w:color="auto"/>
              <w:right w:val="single" w:sz="4" w:space="0" w:color="auto"/>
            </w:tcBorders>
          </w:tcPr>
          <w:p w14:paraId="78BB8DA6" w14:textId="77777777" w:rsidR="00F4030A" w:rsidRPr="00F4030A" w:rsidRDefault="00F4030A" w:rsidP="00F4030A">
            <w:pPr>
              <w:jc w:val="center"/>
              <w:rPr>
                <w:rFonts w:eastAsia="Calibri"/>
                <w:sz w:val="14"/>
                <w:szCs w:val="26"/>
                <w:lang w:eastAsia="en-US"/>
              </w:rPr>
            </w:pPr>
            <w:r w:rsidRPr="00F4030A">
              <w:rPr>
                <w:rFonts w:eastAsia="Calibri"/>
                <w:sz w:val="14"/>
                <w:szCs w:val="26"/>
                <w:lang w:eastAsia="en-US"/>
              </w:rPr>
              <w:t>2.0</w:t>
            </w:r>
          </w:p>
        </w:tc>
        <w:tc>
          <w:tcPr>
            <w:tcW w:w="1123" w:type="dxa"/>
            <w:tcBorders>
              <w:left w:val="single" w:sz="4" w:space="0" w:color="auto"/>
              <w:right w:val="single" w:sz="4" w:space="0" w:color="auto"/>
            </w:tcBorders>
          </w:tcPr>
          <w:p w14:paraId="4E3606C6" w14:textId="77777777" w:rsidR="00F4030A" w:rsidRPr="00F4030A" w:rsidRDefault="00F4030A" w:rsidP="00F4030A">
            <w:pPr>
              <w:ind w:right="340"/>
              <w:jc w:val="right"/>
              <w:rPr>
                <w:rFonts w:eastAsia="Calibri"/>
                <w:sz w:val="14"/>
                <w:szCs w:val="26"/>
                <w:lang w:eastAsia="en-US"/>
              </w:rPr>
            </w:pPr>
            <w:r w:rsidRPr="00F4030A">
              <w:rPr>
                <w:rFonts w:eastAsia="Calibri"/>
                <w:sz w:val="14"/>
                <w:szCs w:val="26"/>
                <w:lang w:eastAsia="en-US"/>
              </w:rPr>
              <w:t>17.7</w:t>
            </w:r>
          </w:p>
        </w:tc>
        <w:tc>
          <w:tcPr>
            <w:tcW w:w="992" w:type="dxa"/>
            <w:tcBorders>
              <w:left w:val="single" w:sz="4" w:space="0" w:color="auto"/>
              <w:right w:val="single" w:sz="4" w:space="0" w:color="auto"/>
            </w:tcBorders>
          </w:tcPr>
          <w:p w14:paraId="09AEC24F" w14:textId="77777777" w:rsidR="00F4030A" w:rsidRPr="00F4030A" w:rsidRDefault="00F4030A" w:rsidP="00F4030A">
            <w:pPr>
              <w:jc w:val="center"/>
              <w:rPr>
                <w:rFonts w:eastAsia="Calibri"/>
                <w:sz w:val="14"/>
                <w:szCs w:val="26"/>
                <w:lang w:eastAsia="en-US"/>
              </w:rPr>
            </w:pPr>
            <w:r w:rsidRPr="00F4030A">
              <w:rPr>
                <w:rFonts w:eastAsia="Calibri"/>
                <w:sz w:val="14"/>
                <w:szCs w:val="26"/>
                <w:lang w:eastAsia="en-US"/>
              </w:rPr>
              <w:t>0.0</w:t>
            </w:r>
          </w:p>
        </w:tc>
      </w:tr>
      <w:tr w:rsidR="00F4030A" w:rsidRPr="00F4030A" w14:paraId="64F9F923" w14:textId="77777777" w:rsidTr="00F4030A">
        <w:tc>
          <w:tcPr>
            <w:tcW w:w="1342" w:type="dxa"/>
            <w:tcBorders>
              <w:left w:val="single" w:sz="4" w:space="0" w:color="auto"/>
              <w:right w:val="single" w:sz="4" w:space="0" w:color="auto"/>
            </w:tcBorders>
          </w:tcPr>
          <w:p w14:paraId="750F6256" w14:textId="77777777" w:rsidR="00F4030A" w:rsidRPr="00F4030A" w:rsidRDefault="00F4030A" w:rsidP="00F4030A">
            <w:pPr>
              <w:jc w:val="both"/>
              <w:rPr>
                <w:rFonts w:eastAsia="Calibri"/>
                <w:b/>
                <w:sz w:val="14"/>
                <w:szCs w:val="26"/>
                <w:lang w:eastAsia="en-US"/>
              </w:rPr>
            </w:pPr>
            <w:r w:rsidRPr="00F4030A">
              <w:rPr>
                <w:rFonts w:eastAsia="Calibri"/>
                <w:b/>
                <w:sz w:val="14"/>
                <w:szCs w:val="26"/>
                <w:lang w:eastAsia="en-US"/>
              </w:rPr>
              <w:t>Coppel</w:t>
            </w:r>
          </w:p>
        </w:tc>
        <w:tc>
          <w:tcPr>
            <w:tcW w:w="1205" w:type="dxa"/>
            <w:tcBorders>
              <w:left w:val="single" w:sz="4" w:space="0" w:color="auto"/>
              <w:right w:val="single" w:sz="4" w:space="0" w:color="auto"/>
            </w:tcBorders>
          </w:tcPr>
          <w:p w14:paraId="6A3C6DC8" w14:textId="77777777" w:rsidR="00F4030A" w:rsidRPr="00F4030A" w:rsidRDefault="00F4030A" w:rsidP="00F4030A">
            <w:pPr>
              <w:jc w:val="center"/>
              <w:rPr>
                <w:rFonts w:eastAsia="Calibri"/>
                <w:sz w:val="14"/>
                <w:szCs w:val="26"/>
                <w:lang w:eastAsia="en-US"/>
              </w:rPr>
            </w:pPr>
            <w:r w:rsidRPr="00F4030A">
              <w:rPr>
                <w:rFonts w:eastAsia="Calibri"/>
                <w:sz w:val="14"/>
                <w:szCs w:val="26"/>
                <w:lang w:eastAsia="en-US"/>
              </w:rPr>
              <w:t>48.9</w:t>
            </w:r>
          </w:p>
        </w:tc>
        <w:tc>
          <w:tcPr>
            <w:tcW w:w="1015" w:type="dxa"/>
            <w:tcBorders>
              <w:left w:val="single" w:sz="4" w:space="0" w:color="auto"/>
              <w:right w:val="single" w:sz="4" w:space="0" w:color="auto"/>
            </w:tcBorders>
          </w:tcPr>
          <w:p w14:paraId="2B4C8B44" w14:textId="77777777" w:rsidR="00F4030A" w:rsidRPr="00F4030A" w:rsidRDefault="00F4030A" w:rsidP="00F4030A">
            <w:pPr>
              <w:ind w:right="284"/>
              <w:jc w:val="right"/>
              <w:rPr>
                <w:rFonts w:eastAsia="Calibri"/>
                <w:sz w:val="14"/>
                <w:szCs w:val="26"/>
                <w:lang w:eastAsia="en-US"/>
              </w:rPr>
            </w:pPr>
            <w:r w:rsidRPr="00F4030A">
              <w:rPr>
                <w:rFonts w:eastAsia="Calibri"/>
                <w:sz w:val="14"/>
                <w:szCs w:val="26"/>
                <w:lang w:eastAsia="en-US"/>
              </w:rPr>
              <w:t>21.1</w:t>
            </w:r>
          </w:p>
        </w:tc>
        <w:tc>
          <w:tcPr>
            <w:tcW w:w="1111" w:type="dxa"/>
            <w:tcBorders>
              <w:left w:val="single" w:sz="4" w:space="0" w:color="auto"/>
              <w:right w:val="single" w:sz="4" w:space="0" w:color="auto"/>
            </w:tcBorders>
          </w:tcPr>
          <w:p w14:paraId="328781FA" w14:textId="77777777" w:rsidR="00F4030A" w:rsidRPr="00F4030A" w:rsidRDefault="00F4030A" w:rsidP="00F4030A">
            <w:pPr>
              <w:ind w:right="340"/>
              <w:jc w:val="right"/>
              <w:rPr>
                <w:rFonts w:eastAsia="Calibri"/>
                <w:sz w:val="14"/>
                <w:szCs w:val="26"/>
                <w:lang w:eastAsia="en-US"/>
              </w:rPr>
            </w:pPr>
            <w:r w:rsidRPr="00F4030A">
              <w:rPr>
                <w:rFonts w:eastAsia="Calibri"/>
                <w:sz w:val="14"/>
                <w:szCs w:val="26"/>
                <w:lang w:eastAsia="en-US"/>
              </w:rPr>
              <w:t>12.5</w:t>
            </w:r>
          </w:p>
        </w:tc>
        <w:tc>
          <w:tcPr>
            <w:tcW w:w="992" w:type="dxa"/>
            <w:tcBorders>
              <w:left w:val="single" w:sz="4" w:space="0" w:color="auto"/>
              <w:right w:val="single" w:sz="4" w:space="0" w:color="auto"/>
            </w:tcBorders>
          </w:tcPr>
          <w:p w14:paraId="1392183C" w14:textId="77777777" w:rsidR="00F4030A" w:rsidRPr="00F4030A" w:rsidRDefault="00F4030A" w:rsidP="00F4030A">
            <w:pPr>
              <w:jc w:val="center"/>
              <w:rPr>
                <w:rFonts w:eastAsia="Calibri"/>
                <w:sz w:val="14"/>
                <w:szCs w:val="26"/>
                <w:lang w:eastAsia="en-US"/>
              </w:rPr>
            </w:pPr>
            <w:r w:rsidRPr="00F4030A">
              <w:rPr>
                <w:rFonts w:eastAsia="Calibri"/>
                <w:sz w:val="14"/>
                <w:szCs w:val="26"/>
                <w:lang w:eastAsia="en-US"/>
              </w:rPr>
              <w:t>2.6</w:t>
            </w:r>
          </w:p>
        </w:tc>
        <w:tc>
          <w:tcPr>
            <w:tcW w:w="1048" w:type="dxa"/>
            <w:tcBorders>
              <w:left w:val="single" w:sz="4" w:space="0" w:color="auto"/>
              <w:right w:val="single" w:sz="4" w:space="0" w:color="auto"/>
            </w:tcBorders>
          </w:tcPr>
          <w:p w14:paraId="66B8630D" w14:textId="77777777" w:rsidR="00F4030A" w:rsidRPr="00F4030A" w:rsidRDefault="00F4030A" w:rsidP="00F4030A">
            <w:pPr>
              <w:jc w:val="center"/>
              <w:rPr>
                <w:rFonts w:eastAsia="Calibri"/>
                <w:sz w:val="14"/>
                <w:szCs w:val="26"/>
                <w:lang w:eastAsia="en-US"/>
              </w:rPr>
            </w:pPr>
            <w:r w:rsidRPr="00F4030A">
              <w:rPr>
                <w:rFonts w:eastAsia="Calibri"/>
                <w:sz w:val="14"/>
                <w:szCs w:val="26"/>
                <w:lang w:eastAsia="en-US"/>
              </w:rPr>
              <w:t>0.0</w:t>
            </w:r>
          </w:p>
        </w:tc>
        <w:tc>
          <w:tcPr>
            <w:tcW w:w="1123" w:type="dxa"/>
            <w:tcBorders>
              <w:left w:val="single" w:sz="4" w:space="0" w:color="auto"/>
              <w:right w:val="single" w:sz="4" w:space="0" w:color="auto"/>
            </w:tcBorders>
          </w:tcPr>
          <w:p w14:paraId="4ABCDED6" w14:textId="77777777" w:rsidR="00F4030A" w:rsidRPr="00F4030A" w:rsidRDefault="00F4030A" w:rsidP="00F4030A">
            <w:pPr>
              <w:ind w:right="340"/>
              <w:jc w:val="right"/>
              <w:rPr>
                <w:rFonts w:eastAsia="Calibri"/>
                <w:sz w:val="14"/>
                <w:szCs w:val="26"/>
                <w:lang w:eastAsia="en-US"/>
              </w:rPr>
            </w:pPr>
            <w:r w:rsidRPr="00F4030A">
              <w:rPr>
                <w:rFonts w:eastAsia="Calibri"/>
                <w:sz w:val="14"/>
                <w:szCs w:val="26"/>
                <w:lang w:eastAsia="en-US"/>
              </w:rPr>
              <w:t>14.9</w:t>
            </w:r>
          </w:p>
        </w:tc>
        <w:tc>
          <w:tcPr>
            <w:tcW w:w="992" w:type="dxa"/>
            <w:tcBorders>
              <w:left w:val="single" w:sz="4" w:space="0" w:color="auto"/>
              <w:right w:val="single" w:sz="4" w:space="0" w:color="auto"/>
            </w:tcBorders>
          </w:tcPr>
          <w:p w14:paraId="4ABD8DE9" w14:textId="77777777" w:rsidR="00F4030A" w:rsidRPr="00F4030A" w:rsidRDefault="00F4030A" w:rsidP="00F4030A">
            <w:pPr>
              <w:jc w:val="center"/>
              <w:rPr>
                <w:rFonts w:eastAsia="Calibri"/>
                <w:sz w:val="14"/>
                <w:szCs w:val="26"/>
                <w:lang w:eastAsia="en-US"/>
              </w:rPr>
            </w:pPr>
            <w:r w:rsidRPr="00F4030A">
              <w:rPr>
                <w:rFonts w:eastAsia="Calibri"/>
                <w:sz w:val="14"/>
                <w:szCs w:val="26"/>
                <w:lang w:eastAsia="en-US"/>
              </w:rPr>
              <w:t>0.0</w:t>
            </w:r>
          </w:p>
        </w:tc>
      </w:tr>
      <w:tr w:rsidR="00F4030A" w:rsidRPr="00F4030A" w14:paraId="683866A6" w14:textId="77777777" w:rsidTr="00F4030A">
        <w:tc>
          <w:tcPr>
            <w:tcW w:w="1342" w:type="dxa"/>
            <w:tcBorders>
              <w:left w:val="single" w:sz="4" w:space="0" w:color="auto"/>
              <w:right w:val="single" w:sz="4" w:space="0" w:color="auto"/>
            </w:tcBorders>
          </w:tcPr>
          <w:p w14:paraId="64D79738" w14:textId="77777777" w:rsidR="00F4030A" w:rsidRPr="00F4030A" w:rsidRDefault="00F4030A" w:rsidP="00F4030A">
            <w:pPr>
              <w:jc w:val="both"/>
              <w:rPr>
                <w:rFonts w:eastAsia="Calibri"/>
                <w:b/>
                <w:sz w:val="14"/>
                <w:szCs w:val="26"/>
                <w:lang w:eastAsia="en-US"/>
              </w:rPr>
            </w:pPr>
            <w:r w:rsidRPr="00F4030A">
              <w:rPr>
                <w:rFonts w:eastAsia="Calibri"/>
                <w:b/>
                <w:sz w:val="14"/>
                <w:szCs w:val="26"/>
                <w:lang w:eastAsia="en-US"/>
              </w:rPr>
              <w:t>Banamex</w:t>
            </w:r>
          </w:p>
        </w:tc>
        <w:tc>
          <w:tcPr>
            <w:tcW w:w="1205" w:type="dxa"/>
            <w:tcBorders>
              <w:left w:val="single" w:sz="4" w:space="0" w:color="auto"/>
              <w:right w:val="single" w:sz="4" w:space="0" w:color="auto"/>
            </w:tcBorders>
          </w:tcPr>
          <w:p w14:paraId="3DD12193" w14:textId="77777777" w:rsidR="00F4030A" w:rsidRPr="00F4030A" w:rsidRDefault="00F4030A" w:rsidP="00F4030A">
            <w:pPr>
              <w:jc w:val="center"/>
              <w:rPr>
                <w:rFonts w:eastAsia="Calibri"/>
                <w:sz w:val="14"/>
                <w:szCs w:val="26"/>
                <w:lang w:eastAsia="en-US"/>
              </w:rPr>
            </w:pPr>
            <w:r w:rsidRPr="00F4030A">
              <w:rPr>
                <w:rFonts w:eastAsia="Calibri"/>
                <w:sz w:val="14"/>
                <w:szCs w:val="26"/>
                <w:lang w:eastAsia="en-US"/>
              </w:rPr>
              <w:t>44.8</w:t>
            </w:r>
          </w:p>
        </w:tc>
        <w:tc>
          <w:tcPr>
            <w:tcW w:w="1015" w:type="dxa"/>
            <w:tcBorders>
              <w:left w:val="single" w:sz="4" w:space="0" w:color="auto"/>
              <w:right w:val="single" w:sz="4" w:space="0" w:color="auto"/>
            </w:tcBorders>
          </w:tcPr>
          <w:p w14:paraId="1B01E344" w14:textId="77777777" w:rsidR="00F4030A" w:rsidRPr="00F4030A" w:rsidRDefault="00F4030A" w:rsidP="00F4030A">
            <w:pPr>
              <w:ind w:right="284"/>
              <w:jc w:val="right"/>
              <w:rPr>
                <w:rFonts w:eastAsia="Calibri"/>
                <w:sz w:val="14"/>
                <w:szCs w:val="26"/>
                <w:lang w:eastAsia="en-US"/>
              </w:rPr>
            </w:pPr>
            <w:r w:rsidRPr="00F4030A">
              <w:rPr>
                <w:rFonts w:eastAsia="Calibri"/>
                <w:sz w:val="14"/>
                <w:szCs w:val="26"/>
                <w:lang w:eastAsia="en-US"/>
              </w:rPr>
              <w:t>18.5</w:t>
            </w:r>
          </w:p>
        </w:tc>
        <w:tc>
          <w:tcPr>
            <w:tcW w:w="1111" w:type="dxa"/>
            <w:tcBorders>
              <w:left w:val="single" w:sz="4" w:space="0" w:color="auto"/>
              <w:right w:val="single" w:sz="4" w:space="0" w:color="auto"/>
            </w:tcBorders>
          </w:tcPr>
          <w:p w14:paraId="32785988" w14:textId="77777777" w:rsidR="00F4030A" w:rsidRPr="00F4030A" w:rsidRDefault="00F4030A" w:rsidP="00F4030A">
            <w:pPr>
              <w:ind w:right="340"/>
              <w:jc w:val="right"/>
              <w:rPr>
                <w:rFonts w:eastAsia="Calibri"/>
                <w:sz w:val="14"/>
                <w:szCs w:val="26"/>
                <w:lang w:eastAsia="en-US"/>
              </w:rPr>
            </w:pPr>
            <w:r w:rsidRPr="00F4030A">
              <w:rPr>
                <w:rFonts w:eastAsia="Calibri"/>
                <w:sz w:val="14"/>
                <w:szCs w:val="26"/>
                <w:lang w:eastAsia="en-US"/>
              </w:rPr>
              <w:t>6.0</w:t>
            </w:r>
          </w:p>
        </w:tc>
        <w:tc>
          <w:tcPr>
            <w:tcW w:w="992" w:type="dxa"/>
            <w:tcBorders>
              <w:left w:val="single" w:sz="4" w:space="0" w:color="auto"/>
              <w:right w:val="single" w:sz="4" w:space="0" w:color="auto"/>
            </w:tcBorders>
          </w:tcPr>
          <w:p w14:paraId="4E0F883A" w14:textId="77777777" w:rsidR="00F4030A" w:rsidRPr="00F4030A" w:rsidRDefault="00F4030A" w:rsidP="00F4030A">
            <w:pPr>
              <w:jc w:val="center"/>
              <w:rPr>
                <w:rFonts w:eastAsia="Calibri"/>
                <w:sz w:val="14"/>
                <w:szCs w:val="26"/>
                <w:lang w:eastAsia="en-US"/>
              </w:rPr>
            </w:pPr>
            <w:r w:rsidRPr="00F4030A">
              <w:rPr>
                <w:rFonts w:eastAsia="Calibri"/>
                <w:sz w:val="14"/>
                <w:szCs w:val="26"/>
                <w:lang w:eastAsia="en-US"/>
              </w:rPr>
              <w:t>8.3</w:t>
            </w:r>
          </w:p>
        </w:tc>
        <w:tc>
          <w:tcPr>
            <w:tcW w:w="1048" w:type="dxa"/>
            <w:tcBorders>
              <w:left w:val="single" w:sz="4" w:space="0" w:color="auto"/>
              <w:right w:val="single" w:sz="4" w:space="0" w:color="auto"/>
            </w:tcBorders>
          </w:tcPr>
          <w:p w14:paraId="44EA0065" w14:textId="77777777" w:rsidR="00F4030A" w:rsidRPr="00F4030A" w:rsidRDefault="00F4030A" w:rsidP="00F4030A">
            <w:pPr>
              <w:jc w:val="center"/>
              <w:rPr>
                <w:rFonts w:eastAsia="Calibri"/>
                <w:sz w:val="14"/>
                <w:szCs w:val="26"/>
                <w:lang w:eastAsia="en-US"/>
              </w:rPr>
            </w:pPr>
            <w:r w:rsidRPr="00F4030A">
              <w:rPr>
                <w:rFonts w:eastAsia="Calibri"/>
                <w:sz w:val="14"/>
                <w:szCs w:val="26"/>
                <w:lang w:eastAsia="en-US"/>
              </w:rPr>
              <w:t>0.6</w:t>
            </w:r>
          </w:p>
        </w:tc>
        <w:tc>
          <w:tcPr>
            <w:tcW w:w="1123" w:type="dxa"/>
            <w:tcBorders>
              <w:left w:val="single" w:sz="4" w:space="0" w:color="auto"/>
              <w:right w:val="single" w:sz="4" w:space="0" w:color="auto"/>
            </w:tcBorders>
          </w:tcPr>
          <w:p w14:paraId="601E0F09" w14:textId="77777777" w:rsidR="00F4030A" w:rsidRPr="00F4030A" w:rsidRDefault="00F4030A" w:rsidP="00F4030A">
            <w:pPr>
              <w:ind w:right="340"/>
              <w:jc w:val="right"/>
              <w:rPr>
                <w:rFonts w:eastAsia="Calibri"/>
                <w:sz w:val="14"/>
                <w:szCs w:val="26"/>
                <w:lang w:eastAsia="en-US"/>
              </w:rPr>
            </w:pPr>
            <w:r w:rsidRPr="00F4030A">
              <w:rPr>
                <w:rFonts w:eastAsia="Calibri"/>
                <w:sz w:val="14"/>
                <w:szCs w:val="26"/>
                <w:lang w:eastAsia="en-US"/>
              </w:rPr>
              <w:t>21.5</w:t>
            </w:r>
          </w:p>
        </w:tc>
        <w:tc>
          <w:tcPr>
            <w:tcW w:w="992" w:type="dxa"/>
            <w:tcBorders>
              <w:left w:val="single" w:sz="4" w:space="0" w:color="auto"/>
              <w:right w:val="single" w:sz="4" w:space="0" w:color="auto"/>
            </w:tcBorders>
          </w:tcPr>
          <w:p w14:paraId="7C33BF22" w14:textId="77777777" w:rsidR="00F4030A" w:rsidRPr="00F4030A" w:rsidRDefault="00F4030A" w:rsidP="00F4030A">
            <w:pPr>
              <w:jc w:val="center"/>
              <w:rPr>
                <w:rFonts w:eastAsia="Calibri"/>
                <w:sz w:val="14"/>
                <w:szCs w:val="26"/>
                <w:lang w:eastAsia="en-US"/>
              </w:rPr>
            </w:pPr>
            <w:r w:rsidRPr="00F4030A">
              <w:rPr>
                <w:rFonts w:eastAsia="Calibri"/>
                <w:sz w:val="14"/>
                <w:szCs w:val="26"/>
                <w:lang w:eastAsia="en-US"/>
              </w:rPr>
              <w:t>0.3</w:t>
            </w:r>
          </w:p>
        </w:tc>
      </w:tr>
      <w:tr w:rsidR="00F4030A" w:rsidRPr="00F4030A" w14:paraId="7AACD405" w14:textId="77777777" w:rsidTr="00F4030A">
        <w:tc>
          <w:tcPr>
            <w:tcW w:w="1342" w:type="dxa"/>
            <w:tcBorders>
              <w:left w:val="single" w:sz="4" w:space="0" w:color="auto"/>
              <w:right w:val="single" w:sz="4" w:space="0" w:color="auto"/>
            </w:tcBorders>
          </w:tcPr>
          <w:p w14:paraId="56C6CC57" w14:textId="77777777" w:rsidR="00F4030A" w:rsidRPr="00F4030A" w:rsidRDefault="00F4030A" w:rsidP="00F4030A">
            <w:pPr>
              <w:jc w:val="both"/>
              <w:rPr>
                <w:rFonts w:eastAsia="Calibri"/>
                <w:b/>
                <w:sz w:val="14"/>
                <w:szCs w:val="26"/>
                <w:lang w:eastAsia="en-US"/>
              </w:rPr>
            </w:pPr>
            <w:r w:rsidRPr="00F4030A">
              <w:rPr>
                <w:rFonts w:eastAsia="Calibri"/>
                <w:b/>
                <w:sz w:val="14"/>
                <w:szCs w:val="26"/>
                <w:lang w:eastAsia="en-US"/>
              </w:rPr>
              <w:t>Profuturo</w:t>
            </w:r>
          </w:p>
        </w:tc>
        <w:tc>
          <w:tcPr>
            <w:tcW w:w="1205" w:type="dxa"/>
            <w:tcBorders>
              <w:left w:val="single" w:sz="4" w:space="0" w:color="auto"/>
              <w:right w:val="single" w:sz="4" w:space="0" w:color="auto"/>
            </w:tcBorders>
          </w:tcPr>
          <w:p w14:paraId="2399FDE0" w14:textId="77777777" w:rsidR="00F4030A" w:rsidRPr="00F4030A" w:rsidRDefault="00F4030A" w:rsidP="00F4030A">
            <w:pPr>
              <w:jc w:val="center"/>
              <w:rPr>
                <w:rFonts w:eastAsia="Calibri"/>
                <w:sz w:val="14"/>
                <w:szCs w:val="26"/>
                <w:lang w:eastAsia="en-US"/>
              </w:rPr>
            </w:pPr>
            <w:r w:rsidRPr="00F4030A">
              <w:rPr>
                <w:rFonts w:eastAsia="Calibri"/>
                <w:sz w:val="14"/>
                <w:szCs w:val="26"/>
                <w:lang w:eastAsia="en-US"/>
              </w:rPr>
              <w:t>42.8</w:t>
            </w:r>
          </w:p>
        </w:tc>
        <w:tc>
          <w:tcPr>
            <w:tcW w:w="1015" w:type="dxa"/>
            <w:tcBorders>
              <w:left w:val="single" w:sz="4" w:space="0" w:color="auto"/>
              <w:right w:val="single" w:sz="4" w:space="0" w:color="auto"/>
            </w:tcBorders>
          </w:tcPr>
          <w:p w14:paraId="65AD2CCD" w14:textId="77777777" w:rsidR="00F4030A" w:rsidRPr="00F4030A" w:rsidRDefault="00F4030A" w:rsidP="00F4030A">
            <w:pPr>
              <w:ind w:right="284"/>
              <w:jc w:val="right"/>
              <w:rPr>
                <w:rFonts w:eastAsia="Calibri"/>
                <w:sz w:val="14"/>
                <w:szCs w:val="26"/>
                <w:lang w:eastAsia="en-US"/>
              </w:rPr>
            </w:pPr>
            <w:r w:rsidRPr="00F4030A">
              <w:rPr>
                <w:rFonts w:eastAsia="Calibri"/>
                <w:sz w:val="14"/>
                <w:szCs w:val="26"/>
                <w:lang w:eastAsia="en-US"/>
              </w:rPr>
              <w:t>25.5</w:t>
            </w:r>
          </w:p>
        </w:tc>
        <w:tc>
          <w:tcPr>
            <w:tcW w:w="1111" w:type="dxa"/>
            <w:tcBorders>
              <w:left w:val="single" w:sz="4" w:space="0" w:color="auto"/>
              <w:right w:val="single" w:sz="4" w:space="0" w:color="auto"/>
            </w:tcBorders>
          </w:tcPr>
          <w:p w14:paraId="3F9C97AE" w14:textId="77777777" w:rsidR="00F4030A" w:rsidRPr="00F4030A" w:rsidRDefault="00F4030A" w:rsidP="00F4030A">
            <w:pPr>
              <w:ind w:right="340"/>
              <w:jc w:val="right"/>
              <w:rPr>
                <w:rFonts w:eastAsia="Calibri"/>
                <w:sz w:val="14"/>
                <w:szCs w:val="26"/>
                <w:lang w:eastAsia="en-US"/>
              </w:rPr>
            </w:pPr>
            <w:r w:rsidRPr="00F4030A">
              <w:rPr>
                <w:rFonts w:eastAsia="Calibri"/>
                <w:sz w:val="14"/>
                <w:szCs w:val="26"/>
                <w:lang w:eastAsia="en-US"/>
              </w:rPr>
              <w:t>5.9</w:t>
            </w:r>
          </w:p>
        </w:tc>
        <w:tc>
          <w:tcPr>
            <w:tcW w:w="992" w:type="dxa"/>
            <w:tcBorders>
              <w:left w:val="single" w:sz="4" w:space="0" w:color="auto"/>
              <w:right w:val="single" w:sz="4" w:space="0" w:color="auto"/>
            </w:tcBorders>
          </w:tcPr>
          <w:p w14:paraId="7573B491" w14:textId="77777777" w:rsidR="00F4030A" w:rsidRPr="00F4030A" w:rsidRDefault="00F4030A" w:rsidP="00F4030A">
            <w:pPr>
              <w:jc w:val="center"/>
              <w:rPr>
                <w:rFonts w:eastAsia="Calibri"/>
                <w:sz w:val="14"/>
                <w:szCs w:val="26"/>
                <w:lang w:eastAsia="en-US"/>
              </w:rPr>
            </w:pPr>
            <w:r w:rsidRPr="00F4030A">
              <w:rPr>
                <w:rFonts w:eastAsia="Calibri"/>
                <w:sz w:val="14"/>
                <w:szCs w:val="26"/>
                <w:lang w:eastAsia="en-US"/>
              </w:rPr>
              <w:t>4.1</w:t>
            </w:r>
          </w:p>
        </w:tc>
        <w:tc>
          <w:tcPr>
            <w:tcW w:w="1048" w:type="dxa"/>
            <w:tcBorders>
              <w:left w:val="single" w:sz="4" w:space="0" w:color="auto"/>
              <w:right w:val="single" w:sz="4" w:space="0" w:color="auto"/>
            </w:tcBorders>
          </w:tcPr>
          <w:p w14:paraId="72E30E04" w14:textId="77777777" w:rsidR="00F4030A" w:rsidRPr="00F4030A" w:rsidRDefault="00F4030A" w:rsidP="00F4030A">
            <w:pPr>
              <w:jc w:val="center"/>
              <w:rPr>
                <w:rFonts w:eastAsia="Calibri"/>
                <w:sz w:val="14"/>
                <w:szCs w:val="26"/>
                <w:lang w:eastAsia="en-US"/>
              </w:rPr>
            </w:pPr>
            <w:r w:rsidRPr="00F4030A">
              <w:rPr>
                <w:rFonts w:eastAsia="Calibri"/>
                <w:sz w:val="14"/>
                <w:szCs w:val="26"/>
                <w:lang w:eastAsia="en-US"/>
              </w:rPr>
              <w:t>2.5</w:t>
            </w:r>
          </w:p>
        </w:tc>
        <w:tc>
          <w:tcPr>
            <w:tcW w:w="1123" w:type="dxa"/>
            <w:tcBorders>
              <w:left w:val="single" w:sz="4" w:space="0" w:color="auto"/>
              <w:right w:val="single" w:sz="4" w:space="0" w:color="auto"/>
            </w:tcBorders>
          </w:tcPr>
          <w:p w14:paraId="0B9DACA9" w14:textId="77777777" w:rsidR="00F4030A" w:rsidRPr="00F4030A" w:rsidRDefault="00F4030A" w:rsidP="00F4030A">
            <w:pPr>
              <w:ind w:right="340"/>
              <w:jc w:val="right"/>
              <w:rPr>
                <w:rFonts w:eastAsia="Calibri"/>
                <w:sz w:val="14"/>
                <w:szCs w:val="26"/>
                <w:lang w:eastAsia="en-US"/>
              </w:rPr>
            </w:pPr>
            <w:r w:rsidRPr="00F4030A">
              <w:rPr>
                <w:rFonts w:eastAsia="Calibri"/>
                <w:sz w:val="14"/>
                <w:szCs w:val="26"/>
                <w:lang w:eastAsia="en-US"/>
              </w:rPr>
              <w:t>19.2</w:t>
            </w:r>
          </w:p>
        </w:tc>
        <w:tc>
          <w:tcPr>
            <w:tcW w:w="992" w:type="dxa"/>
            <w:tcBorders>
              <w:left w:val="single" w:sz="4" w:space="0" w:color="auto"/>
              <w:right w:val="single" w:sz="4" w:space="0" w:color="auto"/>
            </w:tcBorders>
          </w:tcPr>
          <w:p w14:paraId="3AF596F4" w14:textId="77777777" w:rsidR="00F4030A" w:rsidRPr="00F4030A" w:rsidRDefault="00F4030A" w:rsidP="00F4030A">
            <w:pPr>
              <w:jc w:val="center"/>
              <w:rPr>
                <w:rFonts w:eastAsia="Calibri"/>
                <w:sz w:val="14"/>
                <w:szCs w:val="26"/>
                <w:lang w:eastAsia="en-US"/>
              </w:rPr>
            </w:pPr>
            <w:r w:rsidRPr="00F4030A">
              <w:rPr>
                <w:rFonts w:eastAsia="Calibri"/>
                <w:sz w:val="14"/>
                <w:szCs w:val="26"/>
                <w:lang w:eastAsia="en-US"/>
              </w:rPr>
              <w:t>0.0</w:t>
            </w:r>
          </w:p>
        </w:tc>
      </w:tr>
      <w:tr w:rsidR="00F4030A" w:rsidRPr="00F4030A" w14:paraId="770EE9C2" w14:textId="77777777" w:rsidTr="00F4030A">
        <w:tc>
          <w:tcPr>
            <w:tcW w:w="1342" w:type="dxa"/>
            <w:tcBorders>
              <w:left w:val="single" w:sz="4" w:space="0" w:color="auto"/>
              <w:bottom w:val="single" w:sz="4" w:space="0" w:color="auto"/>
              <w:right w:val="single" w:sz="4" w:space="0" w:color="auto"/>
            </w:tcBorders>
          </w:tcPr>
          <w:p w14:paraId="534ECBA9" w14:textId="77777777" w:rsidR="00F4030A" w:rsidRPr="00F4030A" w:rsidRDefault="00F4030A" w:rsidP="00F4030A">
            <w:pPr>
              <w:jc w:val="both"/>
              <w:rPr>
                <w:rFonts w:eastAsia="Calibri"/>
                <w:b/>
                <w:sz w:val="14"/>
                <w:szCs w:val="26"/>
                <w:lang w:eastAsia="en-US"/>
              </w:rPr>
            </w:pPr>
            <w:r w:rsidRPr="00F4030A">
              <w:rPr>
                <w:rFonts w:eastAsia="Calibri"/>
                <w:b/>
                <w:sz w:val="14"/>
                <w:szCs w:val="26"/>
                <w:lang w:eastAsia="en-US"/>
              </w:rPr>
              <w:t>Total general</w:t>
            </w:r>
          </w:p>
        </w:tc>
        <w:tc>
          <w:tcPr>
            <w:tcW w:w="1205" w:type="dxa"/>
            <w:tcBorders>
              <w:left w:val="single" w:sz="4" w:space="0" w:color="auto"/>
              <w:bottom w:val="single" w:sz="4" w:space="0" w:color="auto"/>
              <w:right w:val="single" w:sz="4" w:space="0" w:color="auto"/>
            </w:tcBorders>
          </w:tcPr>
          <w:p w14:paraId="10E7F860" w14:textId="77777777" w:rsidR="00F4030A" w:rsidRPr="00F4030A" w:rsidRDefault="00F4030A" w:rsidP="00F4030A">
            <w:pPr>
              <w:jc w:val="center"/>
              <w:rPr>
                <w:rFonts w:eastAsia="Calibri"/>
                <w:sz w:val="14"/>
                <w:szCs w:val="26"/>
                <w:lang w:eastAsia="en-US"/>
              </w:rPr>
            </w:pPr>
            <w:r w:rsidRPr="00F4030A">
              <w:rPr>
                <w:rFonts w:eastAsia="Calibri"/>
                <w:sz w:val="14"/>
                <w:szCs w:val="26"/>
                <w:lang w:eastAsia="en-US"/>
              </w:rPr>
              <w:t>50.3</w:t>
            </w:r>
          </w:p>
        </w:tc>
        <w:tc>
          <w:tcPr>
            <w:tcW w:w="1015" w:type="dxa"/>
            <w:tcBorders>
              <w:left w:val="single" w:sz="4" w:space="0" w:color="auto"/>
              <w:bottom w:val="single" w:sz="4" w:space="0" w:color="auto"/>
              <w:right w:val="single" w:sz="4" w:space="0" w:color="auto"/>
            </w:tcBorders>
          </w:tcPr>
          <w:p w14:paraId="2E303685" w14:textId="77777777" w:rsidR="00F4030A" w:rsidRPr="00F4030A" w:rsidRDefault="00F4030A" w:rsidP="00F4030A">
            <w:pPr>
              <w:ind w:right="284"/>
              <w:jc w:val="right"/>
              <w:rPr>
                <w:rFonts w:eastAsia="Calibri"/>
                <w:sz w:val="14"/>
                <w:szCs w:val="26"/>
                <w:lang w:eastAsia="en-US"/>
              </w:rPr>
            </w:pPr>
            <w:r w:rsidRPr="00F4030A">
              <w:rPr>
                <w:rFonts w:eastAsia="Calibri"/>
                <w:sz w:val="14"/>
                <w:szCs w:val="26"/>
                <w:lang w:eastAsia="en-US"/>
              </w:rPr>
              <w:t>19.6</w:t>
            </w:r>
          </w:p>
        </w:tc>
        <w:tc>
          <w:tcPr>
            <w:tcW w:w="1111" w:type="dxa"/>
            <w:tcBorders>
              <w:left w:val="single" w:sz="4" w:space="0" w:color="auto"/>
              <w:bottom w:val="single" w:sz="4" w:space="0" w:color="auto"/>
              <w:right w:val="single" w:sz="4" w:space="0" w:color="auto"/>
            </w:tcBorders>
          </w:tcPr>
          <w:p w14:paraId="0AA85646" w14:textId="77777777" w:rsidR="00F4030A" w:rsidRPr="00F4030A" w:rsidRDefault="00F4030A" w:rsidP="00F4030A">
            <w:pPr>
              <w:ind w:right="340"/>
              <w:jc w:val="right"/>
              <w:rPr>
                <w:rFonts w:eastAsia="Calibri"/>
                <w:sz w:val="14"/>
                <w:szCs w:val="26"/>
                <w:lang w:eastAsia="en-US"/>
              </w:rPr>
            </w:pPr>
            <w:r w:rsidRPr="00F4030A">
              <w:rPr>
                <w:rFonts w:eastAsia="Calibri"/>
                <w:sz w:val="14"/>
                <w:szCs w:val="26"/>
                <w:lang w:eastAsia="en-US"/>
              </w:rPr>
              <w:t>7.1</w:t>
            </w:r>
          </w:p>
        </w:tc>
        <w:tc>
          <w:tcPr>
            <w:tcW w:w="992" w:type="dxa"/>
            <w:tcBorders>
              <w:left w:val="single" w:sz="4" w:space="0" w:color="auto"/>
              <w:bottom w:val="single" w:sz="4" w:space="0" w:color="auto"/>
              <w:right w:val="single" w:sz="4" w:space="0" w:color="auto"/>
            </w:tcBorders>
          </w:tcPr>
          <w:p w14:paraId="7702799E" w14:textId="77777777" w:rsidR="00F4030A" w:rsidRPr="00F4030A" w:rsidRDefault="00F4030A" w:rsidP="00F4030A">
            <w:pPr>
              <w:jc w:val="center"/>
              <w:rPr>
                <w:rFonts w:eastAsia="Calibri"/>
                <w:sz w:val="14"/>
                <w:szCs w:val="26"/>
                <w:lang w:eastAsia="en-US"/>
              </w:rPr>
            </w:pPr>
            <w:r w:rsidRPr="00F4030A">
              <w:rPr>
                <w:rFonts w:eastAsia="Calibri"/>
                <w:sz w:val="14"/>
                <w:szCs w:val="26"/>
                <w:lang w:eastAsia="en-US"/>
              </w:rPr>
              <w:t>5.2</w:t>
            </w:r>
          </w:p>
        </w:tc>
        <w:tc>
          <w:tcPr>
            <w:tcW w:w="1048" w:type="dxa"/>
            <w:tcBorders>
              <w:left w:val="single" w:sz="4" w:space="0" w:color="auto"/>
              <w:bottom w:val="single" w:sz="4" w:space="0" w:color="auto"/>
              <w:right w:val="single" w:sz="4" w:space="0" w:color="auto"/>
            </w:tcBorders>
          </w:tcPr>
          <w:p w14:paraId="35009976" w14:textId="77777777" w:rsidR="00F4030A" w:rsidRPr="00F4030A" w:rsidRDefault="00F4030A" w:rsidP="00F4030A">
            <w:pPr>
              <w:jc w:val="center"/>
              <w:rPr>
                <w:rFonts w:eastAsia="Calibri"/>
                <w:sz w:val="14"/>
                <w:szCs w:val="26"/>
                <w:lang w:eastAsia="en-US"/>
              </w:rPr>
            </w:pPr>
            <w:r w:rsidRPr="00F4030A">
              <w:rPr>
                <w:rFonts w:eastAsia="Calibri"/>
                <w:sz w:val="14"/>
                <w:szCs w:val="26"/>
                <w:lang w:eastAsia="en-US"/>
              </w:rPr>
              <w:t>1.1</w:t>
            </w:r>
          </w:p>
        </w:tc>
        <w:tc>
          <w:tcPr>
            <w:tcW w:w="1123" w:type="dxa"/>
            <w:tcBorders>
              <w:left w:val="single" w:sz="4" w:space="0" w:color="auto"/>
              <w:bottom w:val="single" w:sz="4" w:space="0" w:color="auto"/>
              <w:right w:val="single" w:sz="4" w:space="0" w:color="auto"/>
            </w:tcBorders>
          </w:tcPr>
          <w:p w14:paraId="730C0F78" w14:textId="77777777" w:rsidR="00F4030A" w:rsidRPr="00F4030A" w:rsidRDefault="00F4030A" w:rsidP="00F4030A">
            <w:pPr>
              <w:ind w:right="340"/>
              <w:jc w:val="right"/>
              <w:rPr>
                <w:rFonts w:eastAsia="Calibri"/>
                <w:sz w:val="14"/>
                <w:szCs w:val="26"/>
                <w:lang w:eastAsia="en-US"/>
              </w:rPr>
            </w:pPr>
            <w:r w:rsidRPr="00F4030A">
              <w:rPr>
                <w:rFonts w:eastAsia="Calibri"/>
                <w:sz w:val="14"/>
                <w:szCs w:val="26"/>
                <w:lang w:eastAsia="en-US"/>
              </w:rPr>
              <w:t>16.7</w:t>
            </w:r>
          </w:p>
        </w:tc>
        <w:tc>
          <w:tcPr>
            <w:tcW w:w="992" w:type="dxa"/>
            <w:tcBorders>
              <w:left w:val="single" w:sz="4" w:space="0" w:color="auto"/>
              <w:bottom w:val="single" w:sz="4" w:space="0" w:color="auto"/>
              <w:right w:val="single" w:sz="4" w:space="0" w:color="auto"/>
            </w:tcBorders>
          </w:tcPr>
          <w:p w14:paraId="30BA5300" w14:textId="77777777" w:rsidR="00F4030A" w:rsidRPr="00F4030A" w:rsidRDefault="00F4030A" w:rsidP="00F4030A">
            <w:pPr>
              <w:jc w:val="center"/>
              <w:rPr>
                <w:rFonts w:eastAsia="Calibri"/>
                <w:sz w:val="14"/>
                <w:szCs w:val="26"/>
                <w:lang w:eastAsia="en-US"/>
              </w:rPr>
            </w:pPr>
            <w:r w:rsidRPr="00F4030A">
              <w:rPr>
                <w:rFonts w:eastAsia="Calibri"/>
                <w:sz w:val="14"/>
                <w:szCs w:val="26"/>
                <w:lang w:eastAsia="en-US"/>
              </w:rPr>
              <w:t>0.1</w:t>
            </w:r>
          </w:p>
        </w:tc>
      </w:tr>
      <w:tr w:rsidR="00F4030A" w:rsidRPr="00F4030A" w14:paraId="2F8FC145" w14:textId="77777777" w:rsidTr="00082E99">
        <w:tc>
          <w:tcPr>
            <w:tcW w:w="8828" w:type="dxa"/>
            <w:gridSpan w:val="8"/>
            <w:tcBorders>
              <w:left w:val="nil"/>
              <w:bottom w:val="nil"/>
              <w:right w:val="nil"/>
            </w:tcBorders>
          </w:tcPr>
          <w:p w14:paraId="122AB19D" w14:textId="77777777" w:rsidR="00F4030A" w:rsidRPr="00F4030A" w:rsidRDefault="00F4030A" w:rsidP="00F4030A">
            <w:pPr>
              <w:jc w:val="both"/>
              <w:rPr>
                <w:rFonts w:eastAsia="Calibri"/>
                <w:sz w:val="14"/>
                <w:szCs w:val="26"/>
                <w:lang w:eastAsia="en-US"/>
              </w:rPr>
            </w:pPr>
            <w:r w:rsidRPr="00F4030A">
              <w:rPr>
                <w:rFonts w:eastAsia="Calibri"/>
                <w:sz w:val="14"/>
                <w:szCs w:val="26"/>
                <w:lang w:eastAsia="en-US"/>
              </w:rPr>
              <w:t>*Mientras más uniforme sea la inversión en los distintos activos, la cartera se encontrará más balanceada.</w:t>
            </w:r>
          </w:p>
          <w:p w14:paraId="0AEC8A83" w14:textId="77777777" w:rsidR="00F4030A" w:rsidRPr="00F4030A" w:rsidRDefault="00F4030A" w:rsidP="00F4030A">
            <w:pPr>
              <w:jc w:val="both"/>
              <w:rPr>
                <w:rFonts w:eastAsia="Calibri"/>
                <w:sz w:val="14"/>
                <w:szCs w:val="26"/>
                <w:lang w:eastAsia="en-US"/>
              </w:rPr>
            </w:pPr>
            <w:r w:rsidRPr="00F4030A">
              <w:rPr>
                <w:rFonts w:eastAsia="Calibri"/>
                <w:sz w:val="14"/>
                <w:szCs w:val="26"/>
                <w:lang w:eastAsia="en-US"/>
              </w:rPr>
              <w:t>**Los valores no reflejan la valuación a mercado, sino la forma en que se controlan los riesgos financieros.</w:t>
            </w:r>
          </w:p>
          <w:p w14:paraId="2F8A7917" w14:textId="77777777" w:rsidR="00F4030A" w:rsidRPr="00F4030A" w:rsidRDefault="00F4030A" w:rsidP="00F4030A">
            <w:pPr>
              <w:ind w:left="255" w:hanging="255"/>
              <w:jc w:val="both"/>
              <w:rPr>
                <w:rFonts w:eastAsia="Calibri"/>
                <w:sz w:val="14"/>
                <w:szCs w:val="26"/>
                <w:lang w:eastAsia="en-US"/>
              </w:rPr>
            </w:pPr>
            <w:r w:rsidRPr="00F4030A">
              <w:rPr>
                <w:rFonts w:eastAsia="Calibri"/>
                <w:sz w:val="14"/>
                <w:szCs w:val="26"/>
                <w:lang w:eastAsia="en-US"/>
              </w:rPr>
              <w:t xml:space="preserve">*** Estas cifras no corresponden a la medición de los niveles de consumo de los límites regulatorios de las Siefore ya que consideran una medición conforme a las metodologías de administración de riesgos empleadas para cuantificar los riesgos financieros. </w:t>
            </w:r>
          </w:p>
          <w:p w14:paraId="6E54355A" w14:textId="77777777" w:rsidR="00F4030A" w:rsidRPr="00F4030A" w:rsidRDefault="00F4030A" w:rsidP="00F4030A">
            <w:pPr>
              <w:jc w:val="both"/>
              <w:rPr>
                <w:rFonts w:eastAsia="Calibri"/>
                <w:sz w:val="14"/>
                <w:szCs w:val="26"/>
                <w:lang w:eastAsia="en-US"/>
              </w:rPr>
            </w:pPr>
            <w:r w:rsidRPr="00F4030A">
              <w:rPr>
                <w:rFonts w:eastAsia="Calibri"/>
                <w:sz w:val="14"/>
                <w:szCs w:val="26"/>
                <w:lang w:eastAsia="en-US"/>
              </w:rPr>
              <w:t>FUENTE: CONSAR. Cifras preliminares sujetas a revisión al cierre de enero 2015.</w:t>
            </w:r>
          </w:p>
        </w:tc>
      </w:tr>
    </w:tbl>
    <w:p w14:paraId="38F64C68" w14:textId="77777777" w:rsidR="00F4030A" w:rsidRPr="00F4030A" w:rsidRDefault="00F4030A" w:rsidP="00F4030A">
      <w:pPr>
        <w:spacing w:after="360" w:line="360" w:lineRule="auto"/>
        <w:ind w:right="-159"/>
        <w:jc w:val="both"/>
        <w:rPr>
          <w:rFonts w:eastAsia="Calibri"/>
          <w:sz w:val="26"/>
          <w:szCs w:val="26"/>
          <w:lang w:eastAsia="en-US"/>
        </w:rPr>
      </w:pPr>
    </w:p>
    <w:p w14:paraId="5BDE118A" w14:textId="77777777" w:rsidR="00F4030A" w:rsidRPr="00F4030A" w:rsidRDefault="00F4030A" w:rsidP="00F4030A">
      <w:pPr>
        <w:spacing w:after="360" w:line="360" w:lineRule="auto"/>
        <w:ind w:right="-159"/>
        <w:jc w:val="both"/>
        <w:rPr>
          <w:rFonts w:eastAsia="Calibri"/>
          <w:sz w:val="26"/>
          <w:szCs w:val="26"/>
          <w:lang w:eastAsia="en-US"/>
        </w:rPr>
      </w:pPr>
      <w:r w:rsidRPr="00F4030A">
        <w:rPr>
          <w:rFonts w:eastAsia="Calibri"/>
          <w:sz w:val="26"/>
          <w:szCs w:val="26"/>
          <w:lang w:eastAsia="en-US"/>
        </w:rPr>
        <w:t>Una mirada a la diversificación de las carteras de las Siefore, pero ahora a través del Plazo Promedio Ponderado y el porcentaje de activos netos con vencimiento de cero a seis meses muestra, igualmente, grandes diferencias entre las 11 Afore.</w:t>
      </w:r>
    </w:p>
    <w:tbl>
      <w:tblPr>
        <w:tblW w:w="0" w:type="auto"/>
        <w:jc w:val="center"/>
        <w:tblLayout w:type="fixed"/>
        <w:tblLook w:val="04A0" w:firstRow="1" w:lastRow="0" w:firstColumn="1" w:lastColumn="0" w:noHBand="0" w:noVBand="1"/>
      </w:tblPr>
      <w:tblGrid>
        <w:gridCol w:w="1701"/>
        <w:gridCol w:w="1207"/>
        <w:gridCol w:w="1628"/>
      </w:tblGrid>
      <w:tr w:rsidR="00F4030A" w:rsidRPr="00F4030A" w14:paraId="341BBD14" w14:textId="77777777" w:rsidTr="00F4030A">
        <w:trPr>
          <w:jc w:val="center"/>
        </w:trPr>
        <w:tc>
          <w:tcPr>
            <w:tcW w:w="4536" w:type="dxa"/>
            <w:gridSpan w:val="3"/>
            <w:tcBorders>
              <w:top w:val="nil"/>
              <w:left w:val="nil"/>
              <w:bottom w:val="single" w:sz="4" w:space="0" w:color="auto"/>
              <w:right w:val="nil"/>
            </w:tcBorders>
          </w:tcPr>
          <w:p w14:paraId="7153BA37" w14:textId="77777777" w:rsidR="00F4030A" w:rsidRPr="00F4030A" w:rsidRDefault="00F4030A" w:rsidP="00F4030A">
            <w:pPr>
              <w:jc w:val="center"/>
              <w:rPr>
                <w:rFonts w:eastAsia="Calibri"/>
                <w:b/>
                <w:sz w:val="22"/>
                <w:szCs w:val="26"/>
                <w:lang w:eastAsia="en-US"/>
              </w:rPr>
            </w:pPr>
            <w:r w:rsidRPr="00F4030A">
              <w:rPr>
                <w:rFonts w:eastAsia="Calibri"/>
                <w:b/>
                <w:sz w:val="22"/>
                <w:szCs w:val="26"/>
                <w:lang w:eastAsia="en-US"/>
              </w:rPr>
              <w:t>PLAZO PROMEDIO PONDERADO (PPP) DE LAS CARTERAS DE LAS SIEFORE Y VENCIMIENTOS DE CERO A SEIS MESES</w:t>
            </w:r>
          </w:p>
        </w:tc>
      </w:tr>
      <w:tr w:rsidR="00F4030A" w:rsidRPr="00F4030A" w14:paraId="46F5A6FA" w14:textId="77777777" w:rsidTr="00AF4ED7">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27316DBA" w14:textId="77777777" w:rsidR="00F4030A" w:rsidRPr="00F4030A" w:rsidRDefault="00F4030A" w:rsidP="00AF4ED7">
            <w:pPr>
              <w:jc w:val="center"/>
              <w:rPr>
                <w:rFonts w:eastAsia="Calibri"/>
                <w:b/>
                <w:sz w:val="20"/>
                <w:szCs w:val="26"/>
                <w:lang w:eastAsia="en-US"/>
              </w:rPr>
            </w:pPr>
            <w:r w:rsidRPr="00F4030A">
              <w:rPr>
                <w:rFonts w:eastAsia="Calibri"/>
                <w:b/>
                <w:sz w:val="20"/>
                <w:szCs w:val="26"/>
                <w:lang w:eastAsia="en-US"/>
              </w:rPr>
              <w:t>Afore</w:t>
            </w:r>
          </w:p>
        </w:tc>
        <w:tc>
          <w:tcPr>
            <w:tcW w:w="1207" w:type="dxa"/>
            <w:tcBorders>
              <w:top w:val="single" w:sz="4" w:space="0" w:color="auto"/>
              <w:left w:val="single" w:sz="4" w:space="0" w:color="auto"/>
              <w:bottom w:val="single" w:sz="4" w:space="0" w:color="auto"/>
              <w:right w:val="single" w:sz="4" w:space="0" w:color="auto"/>
            </w:tcBorders>
            <w:vAlign w:val="center"/>
          </w:tcPr>
          <w:p w14:paraId="2E4B3AA9" w14:textId="77777777" w:rsidR="00F4030A" w:rsidRPr="00F4030A" w:rsidRDefault="00F4030A" w:rsidP="00AF4ED7">
            <w:pPr>
              <w:jc w:val="center"/>
              <w:rPr>
                <w:rFonts w:eastAsia="Calibri"/>
                <w:b/>
                <w:sz w:val="20"/>
                <w:szCs w:val="26"/>
                <w:lang w:eastAsia="en-US"/>
              </w:rPr>
            </w:pPr>
            <w:r w:rsidRPr="00F4030A">
              <w:rPr>
                <w:rFonts w:eastAsia="Calibri"/>
                <w:b/>
                <w:sz w:val="20"/>
                <w:szCs w:val="26"/>
                <w:lang w:eastAsia="en-US"/>
              </w:rPr>
              <w:t>PPP (días)</w:t>
            </w:r>
          </w:p>
        </w:tc>
        <w:tc>
          <w:tcPr>
            <w:tcW w:w="1628" w:type="dxa"/>
            <w:tcBorders>
              <w:top w:val="single" w:sz="4" w:space="0" w:color="auto"/>
              <w:left w:val="single" w:sz="4" w:space="0" w:color="auto"/>
              <w:bottom w:val="single" w:sz="4" w:space="0" w:color="auto"/>
              <w:right w:val="single" w:sz="4" w:space="0" w:color="auto"/>
            </w:tcBorders>
            <w:vAlign w:val="center"/>
          </w:tcPr>
          <w:p w14:paraId="171620D1" w14:textId="77777777" w:rsidR="00F4030A" w:rsidRPr="00F4030A" w:rsidRDefault="00F4030A" w:rsidP="00AF4ED7">
            <w:pPr>
              <w:ind w:left="-57" w:right="-57"/>
              <w:jc w:val="center"/>
              <w:rPr>
                <w:rFonts w:eastAsia="Calibri"/>
                <w:b/>
                <w:sz w:val="20"/>
                <w:szCs w:val="26"/>
                <w:lang w:eastAsia="en-US"/>
              </w:rPr>
            </w:pPr>
            <w:r w:rsidRPr="00F4030A">
              <w:rPr>
                <w:rFonts w:eastAsia="Calibri"/>
                <w:b/>
                <w:sz w:val="20"/>
                <w:szCs w:val="26"/>
                <w:lang w:eastAsia="en-US"/>
              </w:rPr>
              <w:t>% activos con venc. 0 a 6 meses</w:t>
            </w:r>
          </w:p>
        </w:tc>
      </w:tr>
      <w:tr w:rsidR="00F4030A" w:rsidRPr="00F4030A" w14:paraId="77FE7389" w14:textId="77777777" w:rsidTr="00F4030A">
        <w:trPr>
          <w:jc w:val="center"/>
        </w:trPr>
        <w:tc>
          <w:tcPr>
            <w:tcW w:w="1701" w:type="dxa"/>
            <w:tcBorders>
              <w:top w:val="single" w:sz="4" w:space="0" w:color="auto"/>
              <w:left w:val="single" w:sz="4" w:space="0" w:color="auto"/>
              <w:right w:val="single" w:sz="4" w:space="0" w:color="auto"/>
            </w:tcBorders>
          </w:tcPr>
          <w:p w14:paraId="59138F5F" w14:textId="77777777" w:rsidR="00F4030A" w:rsidRPr="00F4030A" w:rsidRDefault="00F4030A" w:rsidP="00F4030A">
            <w:pPr>
              <w:jc w:val="both"/>
              <w:rPr>
                <w:rFonts w:eastAsia="Calibri"/>
                <w:sz w:val="20"/>
                <w:szCs w:val="26"/>
                <w:lang w:eastAsia="en-US"/>
              </w:rPr>
            </w:pPr>
            <w:r w:rsidRPr="00F4030A">
              <w:rPr>
                <w:rFonts w:eastAsia="Calibri"/>
                <w:sz w:val="20"/>
                <w:szCs w:val="26"/>
                <w:lang w:eastAsia="en-US"/>
              </w:rPr>
              <w:t xml:space="preserve">Invercap </w:t>
            </w:r>
          </w:p>
        </w:tc>
        <w:tc>
          <w:tcPr>
            <w:tcW w:w="1207" w:type="dxa"/>
            <w:tcBorders>
              <w:top w:val="single" w:sz="4" w:space="0" w:color="auto"/>
              <w:left w:val="single" w:sz="4" w:space="0" w:color="auto"/>
              <w:right w:val="single" w:sz="4" w:space="0" w:color="auto"/>
            </w:tcBorders>
          </w:tcPr>
          <w:p w14:paraId="5E702573" w14:textId="77777777" w:rsidR="00F4030A" w:rsidRPr="00F4030A" w:rsidRDefault="00F4030A" w:rsidP="00F4030A">
            <w:pPr>
              <w:jc w:val="center"/>
              <w:rPr>
                <w:rFonts w:eastAsia="Calibri"/>
                <w:sz w:val="20"/>
                <w:szCs w:val="26"/>
                <w:lang w:eastAsia="en-US"/>
              </w:rPr>
            </w:pPr>
            <w:r w:rsidRPr="00F4030A">
              <w:rPr>
                <w:rFonts w:eastAsia="Calibri"/>
                <w:sz w:val="20"/>
                <w:szCs w:val="26"/>
                <w:lang w:eastAsia="en-US"/>
              </w:rPr>
              <w:t>6 203</w:t>
            </w:r>
          </w:p>
        </w:tc>
        <w:tc>
          <w:tcPr>
            <w:tcW w:w="1628" w:type="dxa"/>
            <w:tcBorders>
              <w:top w:val="single" w:sz="4" w:space="0" w:color="auto"/>
              <w:left w:val="single" w:sz="4" w:space="0" w:color="auto"/>
              <w:right w:val="single" w:sz="4" w:space="0" w:color="auto"/>
            </w:tcBorders>
          </w:tcPr>
          <w:p w14:paraId="0F5982E0" w14:textId="77777777" w:rsidR="00F4030A" w:rsidRPr="00F4030A" w:rsidRDefault="00F4030A" w:rsidP="00F4030A">
            <w:pPr>
              <w:ind w:right="510"/>
              <w:jc w:val="right"/>
              <w:rPr>
                <w:rFonts w:eastAsia="Calibri"/>
                <w:sz w:val="20"/>
                <w:szCs w:val="26"/>
                <w:lang w:eastAsia="en-US"/>
              </w:rPr>
            </w:pPr>
            <w:r w:rsidRPr="00F4030A">
              <w:rPr>
                <w:rFonts w:eastAsia="Calibri"/>
                <w:sz w:val="20"/>
                <w:szCs w:val="26"/>
                <w:lang w:eastAsia="en-US"/>
              </w:rPr>
              <w:t>0.34</w:t>
            </w:r>
          </w:p>
        </w:tc>
      </w:tr>
      <w:tr w:rsidR="00F4030A" w:rsidRPr="00F4030A" w14:paraId="39CDD5B8" w14:textId="77777777" w:rsidTr="00F4030A">
        <w:trPr>
          <w:jc w:val="center"/>
        </w:trPr>
        <w:tc>
          <w:tcPr>
            <w:tcW w:w="1701" w:type="dxa"/>
            <w:tcBorders>
              <w:left w:val="single" w:sz="4" w:space="0" w:color="auto"/>
              <w:right w:val="single" w:sz="4" w:space="0" w:color="auto"/>
            </w:tcBorders>
          </w:tcPr>
          <w:p w14:paraId="77A33664" w14:textId="5743CA51" w:rsidR="00F4030A" w:rsidRPr="00F4030A" w:rsidRDefault="00F4030A" w:rsidP="00CF72BB">
            <w:pPr>
              <w:jc w:val="both"/>
              <w:rPr>
                <w:rFonts w:eastAsia="Calibri"/>
                <w:sz w:val="20"/>
                <w:szCs w:val="26"/>
                <w:lang w:eastAsia="en-US"/>
              </w:rPr>
            </w:pPr>
            <w:r w:rsidRPr="00F4030A">
              <w:rPr>
                <w:rFonts w:eastAsia="Calibri"/>
                <w:sz w:val="20"/>
                <w:szCs w:val="26"/>
                <w:lang w:eastAsia="en-US"/>
              </w:rPr>
              <w:t>PensionISSSTE</w:t>
            </w:r>
          </w:p>
        </w:tc>
        <w:tc>
          <w:tcPr>
            <w:tcW w:w="1207" w:type="dxa"/>
            <w:tcBorders>
              <w:left w:val="single" w:sz="4" w:space="0" w:color="auto"/>
              <w:right w:val="single" w:sz="4" w:space="0" w:color="auto"/>
            </w:tcBorders>
          </w:tcPr>
          <w:p w14:paraId="4B6AA29F" w14:textId="77777777" w:rsidR="00F4030A" w:rsidRPr="00F4030A" w:rsidRDefault="00F4030A" w:rsidP="00F4030A">
            <w:pPr>
              <w:jc w:val="center"/>
              <w:rPr>
                <w:rFonts w:eastAsia="Calibri"/>
                <w:sz w:val="20"/>
                <w:szCs w:val="26"/>
                <w:lang w:eastAsia="en-US"/>
              </w:rPr>
            </w:pPr>
            <w:r w:rsidRPr="00F4030A">
              <w:rPr>
                <w:rFonts w:eastAsia="Calibri"/>
                <w:sz w:val="20"/>
                <w:szCs w:val="26"/>
                <w:lang w:eastAsia="en-US"/>
              </w:rPr>
              <w:t>5 890</w:t>
            </w:r>
          </w:p>
        </w:tc>
        <w:tc>
          <w:tcPr>
            <w:tcW w:w="1628" w:type="dxa"/>
            <w:tcBorders>
              <w:left w:val="single" w:sz="4" w:space="0" w:color="auto"/>
              <w:right w:val="single" w:sz="4" w:space="0" w:color="auto"/>
            </w:tcBorders>
          </w:tcPr>
          <w:p w14:paraId="54ED972F" w14:textId="77777777" w:rsidR="00F4030A" w:rsidRPr="00F4030A" w:rsidRDefault="00F4030A" w:rsidP="00F4030A">
            <w:pPr>
              <w:ind w:right="510"/>
              <w:jc w:val="right"/>
              <w:rPr>
                <w:rFonts w:eastAsia="Calibri"/>
                <w:sz w:val="20"/>
                <w:szCs w:val="26"/>
                <w:lang w:eastAsia="en-US"/>
              </w:rPr>
            </w:pPr>
            <w:r w:rsidRPr="00F4030A">
              <w:rPr>
                <w:rFonts w:eastAsia="Calibri"/>
                <w:sz w:val="20"/>
                <w:szCs w:val="26"/>
                <w:lang w:eastAsia="en-US"/>
              </w:rPr>
              <w:t>0.00</w:t>
            </w:r>
          </w:p>
        </w:tc>
      </w:tr>
      <w:tr w:rsidR="00F4030A" w:rsidRPr="00F4030A" w14:paraId="0499F31E" w14:textId="77777777" w:rsidTr="00F4030A">
        <w:trPr>
          <w:jc w:val="center"/>
        </w:trPr>
        <w:tc>
          <w:tcPr>
            <w:tcW w:w="1701" w:type="dxa"/>
            <w:tcBorders>
              <w:left w:val="single" w:sz="4" w:space="0" w:color="auto"/>
              <w:right w:val="single" w:sz="4" w:space="0" w:color="auto"/>
            </w:tcBorders>
          </w:tcPr>
          <w:p w14:paraId="288CC00C" w14:textId="77777777" w:rsidR="00F4030A" w:rsidRPr="00F4030A" w:rsidRDefault="00F4030A" w:rsidP="00F4030A">
            <w:pPr>
              <w:jc w:val="both"/>
              <w:rPr>
                <w:rFonts w:eastAsia="Calibri"/>
                <w:sz w:val="20"/>
                <w:szCs w:val="26"/>
                <w:lang w:eastAsia="en-US"/>
              </w:rPr>
            </w:pPr>
            <w:r w:rsidRPr="00F4030A">
              <w:rPr>
                <w:rFonts w:eastAsia="Calibri"/>
                <w:sz w:val="20"/>
                <w:szCs w:val="26"/>
                <w:lang w:eastAsia="en-US"/>
              </w:rPr>
              <w:t>Sura</w:t>
            </w:r>
          </w:p>
        </w:tc>
        <w:tc>
          <w:tcPr>
            <w:tcW w:w="1207" w:type="dxa"/>
            <w:tcBorders>
              <w:left w:val="single" w:sz="4" w:space="0" w:color="auto"/>
              <w:right w:val="single" w:sz="4" w:space="0" w:color="auto"/>
            </w:tcBorders>
          </w:tcPr>
          <w:p w14:paraId="3AB05BC9" w14:textId="77777777" w:rsidR="00F4030A" w:rsidRPr="00F4030A" w:rsidRDefault="00F4030A" w:rsidP="00F4030A">
            <w:pPr>
              <w:jc w:val="center"/>
              <w:rPr>
                <w:rFonts w:eastAsia="Calibri"/>
                <w:sz w:val="20"/>
                <w:szCs w:val="26"/>
                <w:lang w:eastAsia="en-US"/>
              </w:rPr>
            </w:pPr>
            <w:r w:rsidRPr="00F4030A">
              <w:rPr>
                <w:rFonts w:eastAsia="Calibri"/>
                <w:sz w:val="20"/>
                <w:szCs w:val="26"/>
                <w:lang w:eastAsia="en-US"/>
              </w:rPr>
              <w:t>5 512</w:t>
            </w:r>
          </w:p>
        </w:tc>
        <w:tc>
          <w:tcPr>
            <w:tcW w:w="1628" w:type="dxa"/>
            <w:tcBorders>
              <w:left w:val="single" w:sz="4" w:space="0" w:color="auto"/>
              <w:right w:val="single" w:sz="4" w:space="0" w:color="auto"/>
            </w:tcBorders>
          </w:tcPr>
          <w:p w14:paraId="1ABDF62E" w14:textId="77777777" w:rsidR="00F4030A" w:rsidRPr="00F4030A" w:rsidRDefault="00F4030A" w:rsidP="00F4030A">
            <w:pPr>
              <w:ind w:right="510"/>
              <w:jc w:val="right"/>
              <w:rPr>
                <w:rFonts w:eastAsia="Calibri"/>
                <w:sz w:val="20"/>
                <w:szCs w:val="26"/>
                <w:lang w:eastAsia="en-US"/>
              </w:rPr>
            </w:pPr>
            <w:r w:rsidRPr="00F4030A">
              <w:rPr>
                <w:rFonts w:eastAsia="Calibri"/>
                <w:sz w:val="20"/>
                <w:szCs w:val="26"/>
                <w:lang w:eastAsia="en-US"/>
              </w:rPr>
              <w:t>0.14</w:t>
            </w:r>
          </w:p>
        </w:tc>
      </w:tr>
      <w:tr w:rsidR="00F4030A" w:rsidRPr="00F4030A" w14:paraId="22511DC2" w14:textId="77777777" w:rsidTr="00F4030A">
        <w:trPr>
          <w:jc w:val="center"/>
        </w:trPr>
        <w:tc>
          <w:tcPr>
            <w:tcW w:w="1701" w:type="dxa"/>
            <w:tcBorders>
              <w:left w:val="single" w:sz="4" w:space="0" w:color="auto"/>
              <w:right w:val="single" w:sz="4" w:space="0" w:color="auto"/>
            </w:tcBorders>
          </w:tcPr>
          <w:p w14:paraId="2110866A" w14:textId="77777777" w:rsidR="00F4030A" w:rsidRPr="00F4030A" w:rsidRDefault="00F4030A" w:rsidP="00F4030A">
            <w:pPr>
              <w:jc w:val="both"/>
              <w:rPr>
                <w:rFonts w:eastAsia="Calibri"/>
                <w:sz w:val="20"/>
                <w:szCs w:val="26"/>
                <w:lang w:eastAsia="en-US"/>
              </w:rPr>
            </w:pPr>
            <w:r w:rsidRPr="00F4030A">
              <w:rPr>
                <w:rFonts w:eastAsia="Calibri"/>
                <w:sz w:val="20"/>
                <w:szCs w:val="26"/>
                <w:lang w:eastAsia="en-US"/>
              </w:rPr>
              <w:t>Principal</w:t>
            </w:r>
          </w:p>
        </w:tc>
        <w:tc>
          <w:tcPr>
            <w:tcW w:w="1207" w:type="dxa"/>
            <w:tcBorders>
              <w:left w:val="single" w:sz="4" w:space="0" w:color="auto"/>
              <w:right w:val="single" w:sz="4" w:space="0" w:color="auto"/>
            </w:tcBorders>
          </w:tcPr>
          <w:p w14:paraId="1201530C" w14:textId="77777777" w:rsidR="00F4030A" w:rsidRPr="00F4030A" w:rsidRDefault="00F4030A" w:rsidP="00F4030A">
            <w:pPr>
              <w:jc w:val="center"/>
              <w:rPr>
                <w:rFonts w:eastAsia="Calibri"/>
                <w:sz w:val="20"/>
                <w:szCs w:val="26"/>
                <w:lang w:eastAsia="en-US"/>
              </w:rPr>
            </w:pPr>
            <w:r w:rsidRPr="00F4030A">
              <w:rPr>
                <w:rFonts w:eastAsia="Calibri"/>
                <w:sz w:val="20"/>
                <w:szCs w:val="26"/>
                <w:lang w:eastAsia="en-US"/>
              </w:rPr>
              <w:t>4 918</w:t>
            </w:r>
          </w:p>
        </w:tc>
        <w:tc>
          <w:tcPr>
            <w:tcW w:w="1628" w:type="dxa"/>
            <w:tcBorders>
              <w:left w:val="single" w:sz="4" w:space="0" w:color="auto"/>
              <w:right w:val="single" w:sz="4" w:space="0" w:color="auto"/>
            </w:tcBorders>
          </w:tcPr>
          <w:p w14:paraId="57DBB239" w14:textId="77777777" w:rsidR="00F4030A" w:rsidRPr="00F4030A" w:rsidRDefault="00F4030A" w:rsidP="00F4030A">
            <w:pPr>
              <w:ind w:right="510"/>
              <w:jc w:val="right"/>
              <w:rPr>
                <w:rFonts w:eastAsia="Calibri"/>
                <w:sz w:val="20"/>
                <w:szCs w:val="26"/>
                <w:lang w:eastAsia="en-US"/>
              </w:rPr>
            </w:pPr>
            <w:r w:rsidRPr="00F4030A">
              <w:rPr>
                <w:rFonts w:eastAsia="Calibri"/>
                <w:sz w:val="20"/>
                <w:szCs w:val="26"/>
                <w:lang w:eastAsia="en-US"/>
              </w:rPr>
              <w:t>1.32</w:t>
            </w:r>
          </w:p>
        </w:tc>
      </w:tr>
      <w:tr w:rsidR="00F4030A" w:rsidRPr="00F4030A" w14:paraId="3A664AE7" w14:textId="77777777" w:rsidTr="00F4030A">
        <w:trPr>
          <w:jc w:val="center"/>
        </w:trPr>
        <w:tc>
          <w:tcPr>
            <w:tcW w:w="1701" w:type="dxa"/>
            <w:tcBorders>
              <w:left w:val="single" w:sz="4" w:space="0" w:color="auto"/>
              <w:right w:val="single" w:sz="4" w:space="0" w:color="auto"/>
            </w:tcBorders>
          </w:tcPr>
          <w:p w14:paraId="1CEF6848" w14:textId="77777777" w:rsidR="00F4030A" w:rsidRPr="00F4030A" w:rsidRDefault="00F4030A" w:rsidP="00F4030A">
            <w:pPr>
              <w:jc w:val="both"/>
              <w:rPr>
                <w:rFonts w:eastAsia="Calibri"/>
                <w:sz w:val="20"/>
                <w:szCs w:val="26"/>
                <w:lang w:eastAsia="en-US"/>
              </w:rPr>
            </w:pPr>
            <w:r w:rsidRPr="00F4030A">
              <w:rPr>
                <w:rFonts w:eastAsia="Calibri"/>
                <w:sz w:val="20"/>
                <w:szCs w:val="26"/>
                <w:lang w:eastAsia="en-US"/>
              </w:rPr>
              <w:t xml:space="preserve">XXI-Banorte </w:t>
            </w:r>
          </w:p>
        </w:tc>
        <w:tc>
          <w:tcPr>
            <w:tcW w:w="1207" w:type="dxa"/>
            <w:tcBorders>
              <w:left w:val="single" w:sz="4" w:space="0" w:color="auto"/>
              <w:right w:val="single" w:sz="4" w:space="0" w:color="auto"/>
            </w:tcBorders>
          </w:tcPr>
          <w:p w14:paraId="27804C9A" w14:textId="77777777" w:rsidR="00F4030A" w:rsidRPr="00F4030A" w:rsidRDefault="00F4030A" w:rsidP="00F4030A">
            <w:pPr>
              <w:jc w:val="center"/>
              <w:rPr>
                <w:rFonts w:eastAsia="Calibri"/>
                <w:sz w:val="20"/>
                <w:szCs w:val="26"/>
                <w:lang w:eastAsia="en-US"/>
              </w:rPr>
            </w:pPr>
            <w:r w:rsidRPr="00F4030A">
              <w:rPr>
                <w:rFonts w:eastAsia="Calibri"/>
                <w:sz w:val="20"/>
                <w:szCs w:val="26"/>
                <w:lang w:eastAsia="en-US"/>
              </w:rPr>
              <w:t>4 877</w:t>
            </w:r>
          </w:p>
        </w:tc>
        <w:tc>
          <w:tcPr>
            <w:tcW w:w="1628" w:type="dxa"/>
            <w:tcBorders>
              <w:left w:val="single" w:sz="4" w:space="0" w:color="auto"/>
              <w:right w:val="single" w:sz="4" w:space="0" w:color="auto"/>
            </w:tcBorders>
          </w:tcPr>
          <w:p w14:paraId="00077D80" w14:textId="77777777" w:rsidR="00F4030A" w:rsidRPr="00F4030A" w:rsidRDefault="00F4030A" w:rsidP="00F4030A">
            <w:pPr>
              <w:ind w:right="510"/>
              <w:jc w:val="right"/>
              <w:rPr>
                <w:rFonts w:eastAsia="Calibri"/>
                <w:sz w:val="20"/>
                <w:szCs w:val="26"/>
                <w:lang w:eastAsia="en-US"/>
              </w:rPr>
            </w:pPr>
            <w:r w:rsidRPr="00F4030A">
              <w:rPr>
                <w:rFonts w:eastAsia="Calibri"/>
                <w:sz w:val="20"/>
                <w:szCs w:val="26"/>
                <w:lang w:eastAsia="en-US"/>
              </w:rPr>
              <w:t>1.34</w:t>
            </w:r>
          </w:p>
        </w:tc>
      </w:tr>
      <w:tr w:rsidR="00F4030A" w:rsidRPr="00F4030A" w14:paraId="21B09709" w14:textId="77777777" w:rsidTr="00F4030A">
        <w:trPr>
          <w:jc w:val="center"/>
        </w:trPr>
        <w:tc>
          <w:tcPr>
            <w:tcW w:w="1701" w:type="dxa"/>
            <w:tcBorders>
              <w:left w:val="single" w:sz="4" w:space="0" w:color="auto"/>
              <w:right w:val="single" w:sz="4" w:space="0" w:color="auto"/>
            </w:tcBorders>
          </w:tcPr>
          <w:p w14:paraId="01544AA1" w14:textId="77777777" w:rsidR="00F4030A" w:rsidRPr="00F4030A" w:rsidRDefault="00F4030A" w:rsidP="00F4030A">
            <w:pPr>
              <w:jc w:val="both"/>
              <w:rPr>
                <w:rFonts w:eastAsia="Calibri"/>
                <w:sz w:val="20"/>
                <w:szCs w:val="26"/>
                <w:lang w:eastAsia="en-US"/>
              </w:rPr>
            </w:pPr>
            <w:r w:rsidRPr="00F4030A">
              <w:rPr>
                <w:rFonts w:eastAsia="Calibri"/>
                <w:sz w:val="20"/>
                <w:szCs w:val="26"/>
                <w:lang w:eastAsia="en-US"/>
              </w:rPr>
              <w:t>Azteca</w:t>
            </w:r>
          </w:p>
        </w:tc>
        <w:tc>
          <w:tcPr>
            <w:tcW w:w="1207" w:type="dxa"/>
            <w:tcBorders>
              <w:left w:val="single" w:sz="4" w:space="0" w:color="auto"/>
              <w:right w:val="single" w:sz="4" w:space="0" w:color="auto"/>
            </w:tcBorders>
          </w:tcPr>
          <w:p w14:paraId="19BFA0E9" w14:textId="77777777" w:rsidR="00F4030A" w:rsidRPr="00F4030A" w:rsidRDefault="00F4030A" w:rsidP="00F4030A">
            <w:pPr>
              <w:jc w:val="center"/>
              <w:rPr>
                <w:rFonts w:eastAsia="Calibri"/>
                <w:sz w:val="20"/>
                <w:szCs w:val="26"/>
                <w:lang w:eastAsia="en-US"/>
              </w:rPr>
            </w:pPr>
            <w:r w:rsidRPr="00F4030A">
              <w:rPr>
                <w:rFonts w:eastAsia="Calibri"/>
                <w:sz w:val="20"/>
                <w:szCs w:val="26"/>
                <w:lang w:eastAsia="en-US"/>
              </w:rPr>
              <w:t>4 715</w:t>
            </w:r>
          </w:p>
        </w:tc>
        <w:tc>
          <w:tcPr>
            <w:tcW w:w="1628" w:type="dxa"/>
            <w:tcBorders>
              <w:left w:val="single" w:sz="4" w:space="0" w:color="auto"/>
              <w:right w:val="single" w:sz="4" w:space="0" w:color="auto"/>
            </w:tcBorders>
          </w:tcPr>
          <w:p w14:paraId="678CDABE" w14:textId="77777777" w:rsidR="00F4030A" w:rsidRPr="00F4030A" w:rsidRDefault="00F4030A" w:rsidP="00F4030A">
            <w:pPr>
              <w:ind w:right="510"/>
              <w:jc w:val="right"/>
              <w:rPr>
                <w:rFonts w:eastAsia="Calibri"/>
                <w:sz w:val="20"/>
                <w:szCs w:val="26"/>
                <w:lang w:eastAsia="en-US"/>
              </w:rPr>
            </w:pPr>
            <w:r w:rsidRPr="00F4030A">
              <w:rPr>
                <w:rFonts w:eastAsia="Calibri"/>
                <w:sz w:val="20"/>
                <w:szCs w:val="26"/>
                <w:lang w:eastAsia="en-US"/>
              </w:rPr>
              <w:t>1.66</w:t>
            </w:r>
          </w:p>
        </w:tc>
      </w:tr>
      <w:tr w:rsidR="00F4030A" w:rsidRPr="00F4030A" w14:paraId="6EBB8D01" w14:textId="77777777" w:rsidTr="00F4030A">
        <w:trPr>
          <w:jc w:val="center"/>
        </w:trPr>
        <w:tc>
          <w:tcPr>
            <w:tcW w:w="1701" w:type="dxa"/>
            <w:tcBorders>
              <w:left w:val="single" w:sz="4" w:space="0" w:color="auto"/>
              <w:right w:val="single" w:sz="4" w:space="0" w:color="auto"/>
            </w:tcBorders>
          </w:tcPr>
          <w:p w14:paraId="0E9EF490" w14:textId="77777777" w:rsidR="00F4030A" w:rsidRPr="00F4030A" w:rsidRDefault="00F4030A" w:rsidP="00F4030A">
            <w:pPr>
              <w:jc w:val="both"/>
              <w:rPr>
                <w:rFonts w:eastAsia="Calibri"/>
                <w:sz w:val="20"/>
                <w:szCs w:val="26"/>
                <w:lang w:eastAsia="en-US"/>
              </w:rPr>
            </w:pPr>
            <w:r w:rsidRPr="00F4030A">
              <w:rPr>
                <w:rFonts w:eastAsia="Calibri"/>
                <w:sz w:val="20"/>
                <w:szCs w:val="26"/>
                <w:lang w:eastAsia="en-US"/>
              </w:rPr>
              <w:t>Metlife</w:t>
            </w:r>
          </w:p>
        </w:tc>
        <w:tc>
          <w:tcPr>
            <w:tcW w:w="1207" w:type="dxa"/>
            <w:tcBorders>
              <w:left w:val="single" w:sz="4" w:space="0" w:color="auto"/>
              <w:right w:val="single" w:sz="4" w:space="0" w:color="auto"/>
            </w:tcBorders>
          </w:tcPr>
          <w:p w14:paraId="0318E5F3" w14:textId="77777777" w:rsidR="00F4030A" w:rsidRPr="00F4030A" w:rsidRDefault="00F4030A" w:rsidP="00F4030A">
            <w:pPr>
              <w:jc w:val="center"/>
              <w:rPr>
                <w:rFonts w:eastAsia="Calibri"/>
                <w:sz w:val="20"/>
                <w:szCs w:val="26"/>
                <w:lang w:eastAsia="en-US"/>
              </w:rPr>
            </w:pPr>
            <w:r w:rsidRPr="00F4030A">
              <w:rPr>
                <w:rFonts w:eastAsia="Calibri"/>
                <w:sz w:val="20"/>
                <w:szCs w:val="26"/>
                <w:lang w:eastAsia="en-US"/>
              </w:rPr>
              <w:t>4 237</w:t>
            </w:r>
          </w:p>
        </w:tc>
        <w:tc>
          <w:tcPr>
            <w:tcW w:w="1628" w:type="dxa"/>
            <w:tcBorders>
              <w:left w:val="single" w:sz="4" w:space="0" w:color="auto"/>
              <w:right w:val="single" w:sz="4" w:space="0" w:color="auto"/>
            </w:tcBorders>
          </w:tcPr>
          <w:p w14:paraId="6D3A4024" w14:textId="77777777" w:rsidR="00F4030A" w:rsidRPr="00F4030A" w:rsidRDefault="00F4030A" w:rsidP="00F4030A">
            <w:pPr>
              <w:ind w:right="510"/>
              <w:jc w:val="right"/>
              <w:rPr>
                <w:rFonts w:eastAsia="Calibri"/>
                <w:sz w:val="20"/>
                <w:szCs w:val="26"/>
                <w:lang w:eastAsia="en-US"/>
              </w:rPr>
            </w:pPr>
            <w:r w:rsidRPr="00F4030A">
              <w:rPr>
                <w:rFonts w:eastAsia="Calibri"/>
                <w:sz w:val="20"/>
                <w:szCs w:val="26"/>
                <w:lang w:eastAsia="en-US"/>
              </w:rPr>
              <w:t>2.35</w:t>
            </w:r>
          </w:p>
        </w:tc>
      </w:tr>
      <w:tr w:rsidR="00F4030A" w:rsidRPr="00F4030A" w14:paraId="13403B11" w14:textId="77777777" w:rsidTr="00F4030A">
        <w:trPr>
          <w:jc w:val="center"/>
        </w:trPr>
        <w:tc>
          <w:tcPr>
            <w:tcW w:w="1701" w:type="dxa"/>
            <w:tcBorders>
              <w:left w:val="single" w:sz="4" w:space="0" w:color="auto"/>
              <w:right w:val="single" w:sz="4" w:space="0" w:color="auto"/>
            </w:tcBorders>
          </w:tcPr>
          <w:p w14:paraId="2C1D4DBC" w14:textId="77777777" w:rsidR="00F4030A" w:rsidRPr="00F4030A" w:rsidRDefault="00F4030A" w:rsidP="00F4030A">
            <w:pPr>
              <w:jc w:val="both"/>
              <w:rPr>
                <w:rFonts w:eastAsia="Calibri"/>
                <w:sz w:val="20"/>
                <w:szCs w:val="26"/>
                <w:lang w:eastAsia="en-US"/>
              </w:rPr>
            </w:pPr>
            <w:r w:rsidRPr="00F4030A">
              <w:rPr>
                <w:rFonts w:eastAsia="Calibri"/>
                <w:sz w:val="20"/>
                <w:szCs w:val="26"/>
                <w:lang w:eastAsia="en-US"/>
              </w:rPr>
              <w:t>Profuturo</w:t>
            </w:r>
          </w:p>
        </w:tc>
        <w:tc>
          <w:tcPr>
            <w:tcW w:w="1207" w:type="dxa"/>
            <w:tcBorders>
              <w:left w:val="single" w:sz="4" w:space="0" w:color="auto"/>
              <w:right w:val="single" w:sz="4" w:space="0" w:color="auto"/>
            </w:tcBorders>
          </w:tcPr>
          <w:p w14:paraId="7B3BEE33" w14:textId="77777777" w:rsidR="00F4030A" w:rsidRPr="00F4030A" w:rsidRDefault="00F4030A" w:rsidP="00F4030A">
            <w:pPr>
              <w:jc w:val="center"/>
              <w:rPr>
                <w:rFonts w:eastAsia="Calibri"/>
                <w:sz w:val="20"/>
                <w:szCs w:val="26"/>
                <w:lang w:eastAsia="en-US"/>
              </w:rPr>
            </w:pPr>
            <w:r w:rsidRPr="00F4030A">
              <w:rPr>
                <w:rFonts w:eastAsia="Calibri"/>
                <w:sz w:val="20"/>
                <w:szCs w:val="26"/>
                <w:lang w:eastAsia="en-US"/>
              </w:rPr>
              <w:t>4 074</w:t>
            </w:r>
          </w:p>
        </w:tc>
        <w:tc>
          <w:tcPr>
            <w:tcW w:w="1628" w:type="dxa"/>
            <w:tcBorders>
              <w:left w:val="single" w:sz="4" w:space="0" w:color="auto"/>
              <w:right w:val="single" w:sz="4" w:space="0" w:color="auto"/>
            </w:tcBorders>
          </w:tcPr>
          <w:p w14:paraId="452E109D" w14:textId="77777777" w:rsidR="00F4030A" w:rsidRPr="00F4030A" w:rsidRDefault="00F4030A" w:rsidP="00F4030A">
            <w:pPr>
              <w:ind w:right="510"/>
              <w:jc w:val="right"/>
              <w:rPr>
                <w:rFonts w:eastAsia="Calibri"/>
                <w:sz w:val="20"/>
                <w:szCs w:val="26"/>
                <w:lang w:eastAsia="en-US"/>
              </w:rPr>
            </w:pPr>
            <w:r w:rsidRPr="00F4030A">
              <w:rPr>
                <w:rFonts w:eastAsia="Calibri"/>
                <w:sz w:val="20"/>
                <w:szCs w:val="26"/>
                <w:lang w:eastAsia="en-US"/>
              </w:rPr>
              <w:t>0.37</w:t>
            </w:r>
          </w:p>
        </w:tc>
      </w:tr>
      <w:tr w:rsidR="00F4030A" w:rsidRPr="00F4030A" w14:paraId="3CD8BFC2" w14:textId="77777777" w:rsidTr="00F4030A">
        <w:trPr>
          <w:jc w:val="center"/>
        </w:trPr>
        <w:tc>
          <w:tcPr>
            <w:tcW w:w="1701" w:type="dxa"/>
            <w:tcBorders>
              <w:left w:val="single" w:sz="4" w:space="0" w:color="auto"/>
              <w:right w:val="single" w:sz="4" w:space="0" w:color="auto"/>
            </w:tcBorders>
          </w:tcPr>
          <w:p w14:paraId="2226C176" w14:textId="77777777" w:rsidR="00F4030A" w:rsidRPr="00F4030A" w:rsidRDefault="00F4030A" w:rsidP="00F4030A">
            <w:pPr>
              <w:jc w:val="both"/>
              <w:rPr>
                <w:rFonts w:eastAsia="Calibri"/>
                <w:sz w:val="20"/>
                <w:szCs w:val="26"/>
                <w:lang w:eastAsia="en-US"/>
              </w:rPr>
            </w:pPr>
            <w:r w:rsidRPr="00F4030A">
              <w:rPr>
                <w:rFonts w:eastAsia="Calibri"/>
                <w:sz w:val="20"/>
                <w:szCs w:val="26"/>
                <w:lang w:eastAsia="en-US"/>
              </w:rPr>
              <w:t xml:space="preserve">Banamex </w:t>
            </w:r>
          </w:p>
        </w:tc>
        <w:tc>
          <w:tcPr>
            <w:tcW w:w="1207" w:type="dxa"/>
            <w:tcBorders>
              <w:left w:val="single" w:sz="4" w:space="0" w:color="auto"/>
              <w:right w:val="single" w:sz="4" w:space="0" w:color="auto"/>
            </w:tcBorders>
          </w:tcPr>
          <w:p w14:paraId="43D88DE1" w14:textId="77777777" w:rsidR="00F4030A" w:rsidRPr="00F4030A" w:rsidRDefault="00F4030A" w:rsidP="00F4030A">
            <w:pPr>
              <w:jc w:val="center"/>
              <w:rPr>
                <w:rFonts w:eastAsia="Calibri"/>
                <w:sz w:val="20"/>
                <w:szCs w:val="26"/>
                <w:lang w:eastAsia="en-US"/>
              </w:rPr>
            </w:pPr>
            <w:r w:rsidRPr="00F4030A">
              <w:rPr>
                <w:rFonts w:eastAsia="Calibri"/>
                <w:sz w:val="20"/>
                <w:szCs w:val="26"/>
                <w:lang w:eastAsia="en-US"/>
              </w:rPr>
              <w:t>3 975</w:t>
            </w:r>
          </w:p>
        </w:tc>
        <w:tc>
          <w:tcPr>
            <w:tcW w:w="1628" w:type="dxa"/>
            <w:tcBorders>
              <w:left w:val="single" w:sz="4" w:space="0" w:color="auto"/>
              <w:right w:val="single" w:sz="4" w:space="0" w:color="auto"/>
            </w:tcBorders>
          </w:tcPr>
          <w:p w14:paraId="65C7CB8D" w14:textId="77777777" w:rsidR="00F4030A" w:rsidRPr="00F4030A" w:rsidRDefault="00F4030A" w:rsidP="00F4030A">
            <w:pPr>
              <w:ind w:right="510"/>
              <w:jc w:val="right"/>
              <w:rPr>
                <w:rFonts w:eastAsia="Calibri"/>
                <w:sz w:val="20"/>
                <w:szCs w:val="26"/>
                <w:lang w:eastAsia="en-US"/>
              </w:rPr>
            </w:pPr>
            <w:r w:rsidRPr="00F4030A">
              <w:rPr>
                <w:rFonts w:eastAsia="Calibri"/>
                <w:sz w:val="20"/>
                <w:szCs w:val="26"/>
                <w:lang w:eastAsia="en-US"/>
              </w:rPr>
              <w:t>0.04</w:t>
            </w:r>
          </w:p>
        </w:tc>
      </w:tr>
      <w:tr w:rsidR="00F4030A" w:rsidRPr="00F4030A" w14:paraId="41E095CE" w14:textId="77777777" w:rsidTr="00F4030A">
        <w:trPr>
          <w:jc w:val="center"/>
        </w:trPr>
        <w:tc>
          <w:tcPr>
            <w:tcW w:w="1701" w:type="dxa"/>
            <w:tcBorders>
              <w:left w:val="single" w:sz="4" w:space="0" w:color="auto"/>
              <w:right w:val="single" w:sz="4" w:space="0" w:color="auto"/>
            </w:tcBorders>
          </w:tcPr>
          <w:p w14:paraId="62413FA7" w14:textId="77777777" w:rsidR="00F4030A" w:rsidRPr="00F4030A" w:rsidRDefault="00F4030A" w:rsidP="00F4030A">
            <w:pPr>
              <w:jc w:val="both"/>
              <w:rPr>
                <w:rFonts w:eastAsia="Calibri"/>
                <w:sz w:val="20"/>
                <w:szCs w:val="26"/>
                <w:lang w:eastAsia="en-US"/>
              </w:rPr>
            </w:pPr>
            <w:r w:rsidRPr="00F4030A">
              <w:rPr>
                <w:rFonts w:eastAsia="Calibri"/>
                <w:sz w:val="20"/>
                <w:szCs w:val="26"/>
                <w:lang w:eastAsia="en-US"/>
              </w:rPr>
              <w:t>Coppel</w:t>
            </w:r>
          </w:p>
        </w:tc>
        <w:tc>
          <w:tcPr>
            <w:tcW w:w="1207" w:type="dxa"/>
            <w:tcBorders>
              <w:left w:val="single" w:sz="4" w:space="0" w:color="auto"/>
              <w:right w:val="single" w:sz="4" w:space="0" w:color="auto"/>
            </w:tcBorders>
          </w:tcPr>
          <w:p w14:paraId="7C33E320" w14:textId="77777777" w:rsidR="00F4030A" w:rsidRPr="00F4030A" w:rsidRDefault="00F4030A" w:rsidP="00F4030A">
            <w:pPr>
              <w:jc w:val="center"/>
              <w:rPr>
                <w:rFonts w:eastAsia="Calibri"/>
                <w:sz w:val="20"/>
                <w:szCs w:val="26"/>
                <w:lang w:eastAsia="en-US"/>
              </w:rPr>
            </w:pPr>
            <w:r w:rsidRPr="00F4030A">
              <w:rPr>
                <w:rFonts w:eastAsia="Calibri"/>
                <w:sz w:val="20"/>
                <w:szCs w:val="26"/>
                <w:lang w:eastAsia="en-US"/>
              </w:rPr>
              <w:t>3 638</w:t>
            </w:r>
          </w:p>
        </w:tc>
        <w:tc>
          <w:tcPr>
            <w:tcW w:w="1628" w:type="dxa"/>
            <w:tcBorders>
              <w:left w:val="single" w:sz="4" w:space="0" w:color="auto"/>
              <w:right w:val="single" w:sz="4" w:space="0" w:color="auto"/>
            </w:tcBorders>
          </w:tcPr>
          <w:p w14:paraId="6D9D2D52" w14:textId="77777777" w:rsidR="00F4030A" w:rsidRPr="00F4030A" w:rsidRDefault="00F4030A" w:rsidP="00F4030A">
            <w:pPr>
              <w:ind w:right="510"/>
              <w:jc w:val="right"/>
              <w:rPr>
                <w:rFonts w:eastAsia="Calibri"/>
                <w:sz w:val="20"/>
                <w:szCs w:val="26"/>
                <w:lang w:eastAsia="en-US"/>
              </w:rPr>
            </w:pPr>
            <w:r w:rsidRPr="00F4030A">
              <w:rPr>
                <w:rFonts w:eastAsia="Calibri"/>
                <w:sz w:val="20"/>
                <w:szCs w:val="26"/>
                <w:lang w:eastAsia="en-US"/>
              </w:rPr>
              <w:t>0.01</w:t>
            </w:r>
          </w:p>
        </w:tc>
      </w:tr>
      <w:tr w:rsidR="00F4030A" w:rsidRPr="00F4030A" w14:paraId="6DC5D152" w14:textId="77777777" w:rsidTr="00F4030A">
        <w:trPr>
          <w:jc w:val="center"/>
        </w:trPr>
        <w:tc>
          <w:tcPr>
            <w:tcW w:w="1701" w:type="dxa"/>
            <w:tcBorders>
              <w:left w:val="single" w:sz="4" w:space="0" w:color="auto"/>
              <w:right w:val="single" w:sz="4" w:space="0" w:color="auto"/>
            </w:tcBorders>
          </w:tcPr>
          <w:p w14:paraId="5FDFD2C8" w14:textId="77777777" w:rsidR="00F4030A" w:rsidRPr="00F4030A" w:rsidRDefault="00F4030A" w:rsidP="00F4030A">
            <w:pPr>
              <w:jc w:val="both"/>
              <w:rPr>
                <w:rFonts w:eastAsia="Calibri"/>
                <w:sz w:val="20"/>
                <w:szCs w:val="26"/>
                <w:lang w:eastAsia="en-US"/>
              </w:rPr>
            </w:pPr>
            <w:r w:rsidRPr="00F4030A">
              <w:rPr>
                <w:rFonts w:eastAsia="Calibri"/>
                <w:sz w:val="20"/>
                <w:szCs w:val="26"/>
                <w:lang w:eastAsia="en-US"/>
              </w:rPr>
              <w:t>Inbursa</w:t>
            </w:r>
          </w:p>
        </w:tc>
        <w:tc>
          <w:tcPr>
            <w:tcW w:w="1207" w:type="dxa"/>
            <w:tcBorders>
              <w:left w:val="single" w:sz="4" w:space="0" w:color="auto"/>
              <w:right w:val="single" w:sz="4" w:space="0" w:color="auto"/>
            </w:tcBorders>
          </w:tcPr>
          <w:p w14:paraId="28A61F6B" w14:textId="77777777" w:rsidR="00F4030A" w:rsidRPr="00F4030A" w:rsidRDefault="00F4030A" w:rsidP="00F4030A">
            <w:pPr>
              <w:jc w:val="center"/>
              <w:rPr>
                <w:rFonts w:eastAsia="Calibri"/>
                <w:sz w:val="20"/>
                <w:szCs w:val="26"/>
                <w:lang w:eastAsia="en-US"/>
              </w:rPr>
            </w:pPr>
            <w:r w:rsidRPr="00F4030A">
              <w:rPr>
                <w:rFonts w:eastAsia="Calibri"/>
                <w:sz w:val="20"/>
                <w:szCs w:val="26"/>
                <w:lang w:eastAsia="en-US"/>
              </w:rPr>
              <w:t>1 334</w:t>
            </w:r>
          </w:p>
        </w:tc>
        <w:tc>
          <w:tcPr>
            <w:tcW w:w="1628" w:type="dxa"/>
            <w:tcBorders>
              <w:left w:val="single" w:sz="4" w:space="0" w:color="auto"/>
              <w:right w:val="single" w:sz="4" w:space="0" w:color="auto"/>
            </w:tcBorders>
          </w:tcPr>
          <w:p w14:paraId="081020C5" w14:textId="77777777" w:rsidR="00F4030A" w:rsidRPr="00F4030A" w:rsidRDefault="00F4030A" w:rsidP="00F4030A">
            <w:pPr>
              <w:ind w:right="510"/>
              <w:jc w:val="right"/>
              <w:rPr>
                <w:rFonts w:eastAsia="Calibri"/>
                <w:sz w:val="20"/>
                <w:szCs w:val="26"/>
                <w:lang w:eastAsia="en-US"/>
              </w:rPr>
            </w:pPr>
            <w:r w:rsidRPr="00F4030A">
              <w:rPr>
                <w:rFonts w:eastAsia="Calibri"/>
                <w:sz w:val="20"/>
                <w:szCs w:val="26"/>
                <w:lang w:eastAsia="en-US"/>
              </w:rPr>
              <w:t>49.14</w:t>
            </w:r>
          </w:p>
        </w:tc>
      </w:tr>
      <w:tr w:rsidR="00F4030A" w:rsidRPr="00F4030A" w14:paraId="4B9DB090" w14:textId="77777777" w:rsidTr="00F4030A">
        <w:trPr>
          <w:jc w:val="center"/>
        </w:trPr>
        <w:tc>
          <w:tcPr>
            <w:tcW w:w="1701" w:type="dxa"/>
            <w:tcBorders>
              <w:left w:val="single" w:sz="4" w:space="0" w:color="auto"/>
              <w:bottom w:val="single" w:sz="4" w:space="0" w:color="auto"/>
              <w:right w:val="single" w:sz="4" w:space="0" w:color="auto"/>
            </w:tcBorders>
          </w:tcPr>
          <w:p w14:paraId="58FC39FD" w14:textId="77777777" w:rsidR="00F4030A" w:rsidRPr="00F4030A" w:rsidRDefault="00F4030A" w:rsidP="00F4030A">
            <w:pPr>
              <w:jc w:val="both"/>
              <w:rPr>
                <w:rFonts w:eastAsia="Calibri"/>
                <w:sz w:val="20"/>
                <w:szCs w:val="26"/>
                <w:lang w:eastAsia="en-US"/>
              </w:rPr>
            </w:pPr>
            <w:r w:rsidRPr="00F4030A">
              <w:rPr>
                <w:rFonts w:eastAsia="Calibri"/>
                <w:sz w:val="20"/>
                <w:szCs w:val="26"/>
                <w:lang w:eastAsia="en-US"/>
              </w:rPr>
              <w:t>Sistema</w:t>
            </w:r>
          </w:p>
        </w:tc>
        <w:tc>
          <w:tcPr>
            <w:tcW w:w="1207" w:type="dxa"/>
            <w:tcBorders>
              <w:left w:val="single" w:sz="4" w:space="0" w:color="auto"/>
              <w:bottom w:val="single" w:sz="4" w:space="0" w:color="auto"/>
              <w:right w:val="single" w:sz="4" w:space="0" w:color="auto"/>
            </w:tcBorders>
          </w:tcPr>
          <w:p w14:paraId="5F497AD8" w14:textId="77777777" w:rsidR="00F4030A" w:rsidRPr="00F4030A" w:rsidRDefault="00F4030A" w:rsidP="00F4030A">
            <w:pPr>
              <w:jc w:val="center"/>
              <w:rPr>
                <w:rFonts w:eastAsia="Calibri"/>
                <w:sz w:val="20"/>
                <w:szCs w:val="26"/>
                <w:lang w:eastAsia="en-US"/>
              </w:rPr>
            </w:pPr>
            <w:r w:rsidRPr="00F4030A">
              <w:rPr>
                <w:rFonts w:eastAsia="Calibri"/>
                <w:sz w:val="20"/>
                <w:szCs w:val="26"/>
                <w:lang w:eastAsia="en-US"/>
              </w:rPr>
              <w:t>4 615</w:t>
            </w:r>
          </w:p>
        </w:tc>
        <w:tc>
          <w:tcPr>
            <w:tcW w:w="1628" w:type="dxa"/>
            <w:tcBorders>
              <w:left w:val="single" w:sz="4" w:space="0" w:color="auto"/>
              <w:bottom w:val="single" w:sz="4" w:space="0" w:color="auto"/>
              <w:right w:val="single" w:sz="4" w:space="0" w:color="auto"/>
            </w:tcBorders>
          </w:tcPr>
          <w:p w14:paraId="20FAABCE" w14:textId="77777777" w:rsidR="00F4030A" w:rsidRPr="00F4030A" w:rsidRDefault="00F4030A" w:rsidP="00F4030A">
            <w:pPr>
              <w:ind w:right="510"/>
              <w:jc w:val="right"/>
              <w:rPr>
                <w:rFonts w:eastAsia="Calibri"/>
                <w:sz w:val="20"/>
                <w:szCs w:val="26"/>
                <w:lang w:eastAsia="en-US"/>
              </w:rPr>
            </w:pPr>
            <w:r w:rsidRPr="00F4030A">
              <w:rPr>
                <w:rFonts w:eastAsia="Calibri"/>
                <w:sz w:val="20"/>
                <w:szCs w:val="26"/>
                <w:lang w:eastAsia="en-US"/>
              </w:rPr>
              <w:t>2.74</w:t>
            </w:r>
          </w:p>
        </w:tc>
      </w:tr>
      <w:tr w:rsidR="00F4030A" w:rsidRPr="00F4030A" w14:paraId="46BD1036" w14:textId="77777777" w:rsidTr="00082E99">
        <w:trPr>
          <w:jc w:val="center"/>
        </w:trPr>
        <w:tc>
          <w:tcPr>
            <w:tcW w:w="4536" w:type="dxa"/>
            <w:gridSpan w:val="3"/>
            <w:tcBorders>
              <w:left w:val="nil"/>
              <w:bottom w:val="nil"/>
              <w:right w:val="nil"/>
            </w:tcBorders>
          </w:tcPr>
          <w:p w14:paraId="7B8B5D06" w14:textId="77777777" w:rsidR="00F4030A" w:rsidRPr="00F4030A" w:rsidRDefault="00F4030A" w:rsidP="00F4030A">
            <w:pPr>
              <w:jc w:val="both"/>
              <w:rPr>
                <w:rFonts w:eastAsia="Calibri"/>
                <w:sz w:val="20"/>
                <w:szCs w:val="26"/>
                <w:lang w:eastAsia="en-US"/>
              </w:rPr>
            </w:pPr>
            <w:r w:rsidRPr="00F4030A">
              <w:rPr>
                <w:rFonts w:eastAsia="Calibri"/>
                <w:sz w:val="20"/>
                <w:szCs w:val="26"/>
                <w:lang w:eastAsia="en-US"/>
              </w:rPr>
              <w:t xml:space="preserve">Cifras al cierre de enero de 2015. </w:t>
            </w:r>
          </w:p>
          <w:p w14:paraId="2C7CB1C8" w14:textId="77777777" w:rsidR="00F4030A" w:rsidRPr="00F4030A" w:rsidRDefault="00F4030A" w:rsidP="00F4030A">
            <w:pPr>
              <w:jc w:val="both"/>
              <w:rPr>
                <w:rFonts w:eastAsia="Calibri"/>
                <w:sz w:val="20"/>
                <w:szCs w:val="26"/>
                <w:lang w:eastAsia="en-US"/>
              </w:rPr>
            </w:pPr>
            <w:r w:rsidRPr="00F4030A">
              <w:rPr>
                <w:rFonts w:eastAsia="Calibri"/>
                <w:sz w:val="20"/>
                <w:szCs w:val="26"/>
                <w:lang w:eastAsia="en-US"/>
              </w:rPr>
              <w:t>FUENTE: Consar, Vicepresidencia Financiera.</w:t>
            </w:r>
          </w:p>
        </w:tc>
      </w:tr>
    </w:tbl>
    <w:p w14:paraId="5E23B731" w14:textId="77777777" w:rsidR="00F4030A" w:rsidRPr="00F4030A" w:rsidRDefault="00F4030A" w:rsidP="00F4030A">
      <w:pPr>
        <w:spacing w:after="360" w:line="360" w:lineRule="auto"/>
        <w:ind w:right="-159"/>
        <w:jc w:val="both"/>
        <w:rPr>
          <w:rFonts w:eastAsia="Calibri"/>
          <w:sz w:val="26"/>
          <w:szCs w:val="26"/>
          <w:lang w:eastAsia="en-US"/>
        </w:rPr>
      </w:pPr>
    </w:p>
    <w:p w14:paraId="1B37A8E5" w14:textId="77777777" w:rsidR="00F4030A" w:rsidRPr="00F4030A" w:rsidRDefault="00F4030A" w:rsidP="00F4030A">
      <w:pPr>
        <w:spacing w:after="360" w:line="360" w:lineRule="auto"/>
        <w:ind w:right="-159"/>
        <w:jc w:val="both"/>
        <w:rPr>
          <w:rFonts w:eastAsia="Calibri"/>
          <w:sz w:val="26"/>
          <w:szCs w:val="26"/>
          <w:lang w:eastAsia="en-US"/>
        </w:rPr>
      </w:pPr>
      <w:r w:rsidRPr="00F4030A">
        <w:rPr>
          <w:rFonts w:eastAsia="Calibri"/>
          <w:sz w:val="26"/>
          <w:szCs w:val="26"/>
          <w:lang w:eastAsia="en-US"/>
        </w:rPr>
        <w:t xml:space="preserve">Cabe señalar que bajo el marco actual del régimen de inversión vigente, existe todavía espacio para mantener una tendencia de mayor diversificación en los próximos años. No obstante, es importante reconocer que para algunas Afore que presentan mayores </w:t>
      </w:r>
      <w:r w:rsidRPr="00F4030A">
        <w:rPr>
          <w:rFonts w:eastAsia="Calibri"/>
          <w:sz w:val="26"/>
          <w:szCs w:val="26"/>
          <w:lang w:eastAsia="en-US"/>
        </w:rPr>
        <w:lastRenderedPageBreak/>
        <w:t>grados de diversificación, los límites actuales de inversión en valores extranjeros (que requiere cambio de ley) y en renta variable (cambio regulatorio) podrían resultar más adelante en un impedimento hacia una mayor diversificación.</w:t>
      </w:r>
    </w:p>
    <w:p w14:paraId="415727B7" w14:textId="77777777" w:rsidR="00F4030A" w:rsidRPr="00F4030A" w:rsidRDefault="00F4030A" w:rsidP="00F4030A">
      <w:pPr>
        <w:ind w:right="-159"/>
        <w:jc w:val="both"/>
        <w:rPr>
          <w:rFonts w:eastAsia="Calibri"/>
          <w:b/>
          <w:sz w:val="20"/>
          <w:szCs w:val="20"/>
          <w:lang w:eastAsia="en-US"/>
        </w:rPr>
      </w:pPr>
      <w:r w:rsidRPr="00F4030A">
        <w:rPr>
          <w:rFonts w:eastAsia="Calibri"/>
          <w:b/>
          <w:sz w:val="20"/>
          <w:szCs w:val="20"/>
          <w:lang w:eastAsia="en-US"/>
        </w:rPr>
        <w:t>Fuente de información:</w:t>
      </w:r>
    </w:p>
    <w:p w14:paraId="479B7F1B" w14:textId="77777777" w:rsidR="00F4030A" w:rsidRPr="00B7463A" w:rsidRDefault="0093224F" w:rsidP="00B7463A">
      <w:pPr>
        <w:spacing w:after="720"/>
        <w:ind w:right="-159"/>
        <w:jc w:val="both"/>
        <w:rPr>
          <w:rFonts w:eastAsia="Calibri"/>
          <w:color w:val="0000FF"/>
          <w:sz w:val="20"/>
          <w:szCs w:val="20"/>
          <w:lang w:eastAsia="en-US"/>
        </w:rPr>
      </w:pPr>
      <w:hyperlink r:id="rId375" w:history="1">
        <w:r w:rsidR="00F4030A" w:rsidRPr="00B7463A">
          <w:rPr>
            <w:rFonts w:eastAsia="Calibri"/>
            <w:color w:val="0000FF"/>
            <w:sz w:val="20"/>
            <w:szCs w:val="20"/>
            <w:u w:val="single"/>
            <w:lang w:eastAsia="en-US"/>
          </w:rPr>
          <w:t>http://www.consar.gob.mx/sala_prensa/PDF/boletines/BP-09-2015.pdf</w:t>
        </w:r>
      </w:hyperlink>
      <w:r w:rsidR="00F4030A" w:rsidRPr="00B7463A">
        <w:rPr>
          <w:rFonts w:eastAsia="Calibri"/>
          <w:color w:val="0000FF"/>
          <w:sz w:val="20"/>
          <w:szCs w:val="20"/>
          <w:lang w:eastAsia="en-US"/>
        </w:rPr>
        <w:t xml:space="preserve"> </w:t>
      </w:r>
    </w:p>
    <w:p w14:paraId="258C5C92" w14:textId="77777777" w:rsidR="008015AE" w:rsidRPr="008015AE" w:rsidRDefault="008015AE" w:rsidP="008015AE">
      <w:pPr>
        <w:ind w:right="-159"/>
        <w:jc w:val="both"/>
        <w:rPr>
          <w:rFonts w:eastAsia="Calibri"/>
          <w:b/>
          <w:sz w:val="26"/>
          <w:szCs w:val="26"/>
          <w:lang w:eastAsia="en-US"/>
        </w:rPr>
      </w:pPr>
      <w:r w:rsidRPr="008015AE">
        <w:rPr>
          <w:rFonts w:eastAsia="Calibri"/>
          <w:b/>
          <w:sz w:val="26"/>
          <w:szCs w:val="26"/>
          <w:lang w:eastAsia="en-US"/>
        </w:rPr>
        <w:t>8 de marzo, Conmemoración del Día</w:t>
      </w:r>
    </w:p>
    <w:p w14:paraId="14C81E90" w14:textId="77777777" w:rsidR="008015AE" w:rsidRPr="008015AE" w:rsidRDefault="008015AE" w:rsidP="008015AE">
      <w:pPr>
        <w:spacing w:after="360" w:line="360" w:lineRule="auto"/>
        <w:ind w:right="-159"/>
        <w:jc w:val="both"/>
        <w:rPr>
          <w:rFonts w:eastAsia="Calibri"/>
          <w:b/>
          <w:sz w:val="26"/>
          <w:szCs w:val="26"/>
          <w:lang w:eastAsia="en-US"/>
        </w:rPr>
      </w:pPr>
      <w:r w:rsidRPr="008015AE">
        <w:rPr>
          <w:rFonts w:eastAsia="Calibri"/>
          <w:b/>
          <w:sz w:val="26"/>
          <w:szCs w:val="26"/>
          <w:lang w:eastAsia="en-US"/>
        </w:rPr>
        <w:t>Internacional de la Mujer (Amafore)</w:t>
      </w:r>
    </w:p>
    <w:p w14:paraId="5C4945C4" w14:textId="77777777" w:rsidR="008015AE" w:rsidRPr="008015AE" w:rsidRDefault="008015AE" w:rsidP="008015AE">
      <w:pPr>
        <w:spacing w:after="360" w:line="360" w:lineRule="auto"/>
        <w:ind w:right="-159"/>
        <w:jc w:val="both"/>
        <w:rPr>
          <w:rFonts w:eastAsia="Calibri"/>
          <w:sz w:val="26"/>
          <w:szCs w:val="26"/>
          <w:lang w:eastAsia="en-US"/>
        </w:rPr>
      </w:pPr>
      <w:r w:rsidRPr="008015AE">
        <w:rPr>
          <w:rFonts w:eastAsia="Calibri"/>
          <w:sz w:val="26"/>
          <w:szCs w:val="26"/>
          <w:lang w:eastAsia="en-US"/>
        </w:rPr>
        <w:t>El 8 de marzo de 2015, la Asociación Mexicana de Afores (Amafore) dio a conocer el documento “8 de marzo, Conmemoración del Día Internacional de la Mujer”, el cual se presenta a continuación.</w:t>
      </w:r>
    </w:p>
    <w:p w14:paraId="020646AD" w14:textId="77777777" w:rsidR="008015AE" w:rsidRPr="008015AE" w:rsidRDefault="008015AE" w:rsidP="008015AE">
      <w:pPr>
        <w:spacing w:after="360" w:line="360" w:lineRule="auto"/>
        <w:ind w:right="-159"/>
        <w:jc w:val="both"/>
        <w:rPr>
          <w:rFonts w:eastAsia="Calibri"/>
          <w:sz w:val="26"/>
          <w:szCs w:val="26"/>
          <w:lang w:eastAsia="en-US"/>
        </w:rPr>
      </w:pPr>
      <w:r w:rsidRPr="008015AE">
        <w:rPr>
          <w:rFonts w:eastAsia="Calibri"/>
          <w:sz w:val="26"/>
          <w:szCs w:val="26"/>
          <w:lang w:eastAsia="en-US"/>
        </w:rPr>
        <w:t>Hoy se conmemora el Día Internacional de la Mujer. Las Naciones Unidas han declarado como lema para este 2015: “Empoderando a las Mujeres, Empoderando a la Humanidad: ¡Imagínalo!”. El lema es claramente pertinente para el Sistema de Ahorro para el Retiro (SAR) y por ello la Amafore se suma a la conmemoración reforzando las acciones en su ámbito de su competencia para lograr los objetivos que se marcaron hace 20 años en la “Declaración y Plataforma de Acción de Beijing”.</w:t>
      </w:r>
    </w:p>
    <w:p w14:paraId="45D1FF7D" w14:textId="77777777" w:rsidR="008015AE" w:rsidRPr="008015AE" w:rsidRDefault="008015AE" w:rsidP="008015AE">
      <w:pPr>
        <w:spacing w:after="360" w:line="360" w:lineRule="auto"/>
        <w:ind w:right="-159"/>
        <w:jc w:val="both"/>
        <w:rPr>
          <w:rFonts w:eastAsia="Calibri"/>
          <w:sz w:val="26"/>
          <w:szCs w:val="26"/>
          <w:lang w:eastAsia="en-US"/>
        </w:rPr>
      </w:pPr>
      <w:r w:rsidRPr="008015AE">
        <w:rPr>
          <w:rFonts w:eastAsia="Calibri"/>
          <w:sz w:val="26"/>
          <w:szCs w:val="26"/>
          <w:lang w:eastAsia="en-US"/>
        </w:rPr>
        <w:t>El objetivo último de la Declaración es promover los objetivos de igualdad, desarrollo y paz para todas las mujeres del mundo. Por su parte, la plataforma identifica 12 esferas especiales de preocupación y en tres de ellas el Sistema de Ahorro para el Retiro tiene la posibilidad de contribuir al logro de los objetivos. Estas tres esferas son:</w:t>
      </w:r>
    </w:p>
    <w:p w14:paraId="2443316F" w14:textId="77777777" w:rsidR="008015AE" w:rsidRPr="008015AE" w:rsidRDefault="008015AE" w:rsidP="008015AE">
      <w:pPr>
        <w:spacing w:after="360" w:line="360" w:lineRule="auto"/>
        <w:ind w:left="357" w:right="-159"/>
        <w:jc w:val="both"/>
        <w:rPr>
          <w:rFonts w:eastAsia="Calibri"/>
          <w:sz w:val="26"/>
          <w:szCs w:val="26"/>
          <w:lang w:eastAsia="en-US"/>
        </w:rPr>
      </w:pPr>
      <w:r w:rsidRPr="008015AE">
        <w:rPr>
          <w:rFonts w:eastAsia="Calibri"/>
          <w:sz w:val="26"/>
          <w:szCs w:val="26"/>
          <w:lang w:eastAsia="en-US"/>
        </w:rPr>
        <w:t>I.</w:t>
      </w:r>
      <w:r w:rsidRPr="008015AE">
        <w:rPr>
          <w:rFonts w:eastAsia="Calibri"/>
          <w:sz w:val="26"/>
          <w:szCs w:val="26"/>
          <w:lang w:eastAsia="en-US"/>
        </w:rPr>
        <w:tab/>
        <w:t>Pobreza,</w:t>
      </w:r>
    </w:p>
    <w:p w14:paraId="40CC43B2" w14:textId="77777777" w:rsidR="008015AE" w:rsidRPr="008015AE" w:rsidRDefault="008015AE" w:rsidP="008015AE">
      <w:pPr>
        <w:spacing w:after="360" w:line="360" w:lineRule="auto"/>
        <w:ind w:left="357" w:right="-159"/>
        <w:jc w:val="both"/>
        <w:rPr>
          <w:rFonts w:eastAsia="Calibri"/>
          <w:sz w:val="26"/>
          <w:szCs w:val="26"/>
          <w:lang w:eastAsia="en-US"/>
        </w:rPr>
      </w:pPr>
      <w:r w:rsidRPr="008015AE">
        <w:rPr>
          <w:rFonts w:eastAsia="Calibri"/>
          <w:sz w:val="26"/>
          <w:szCs w:val="26"/>
          <w:lang w:eastAsia="en-US"/>
        </w:rPr>
        <w:t>II.</w:t>
      </w:r>
      <w:r w:rsidRPr="008015AE">
        <w:rPr>
          <w:rFonts w:eastAsia="Calibri"/>
          <w:sz w:val="26"/>
          <w:szCs w:val="26"/>
          <w:lang w:eastAsia="en-US"/>
        </w:rPr>
        <w:tab/>
        <w:t>Economía, y</w:t>
      </w:r>
    </w:p>
    <w:p w14:paraId="774DCB5E" w14:textId="77777777" w:rsidR="008015AE" w:rsidRPr="008015AE" w:rsidRDefault="008015AE" w:rsidP="008015AE">
      <w:pPr>
        <w:spacing w:after="360" w:line="360" w:lineRule="auto"/>
        <w:ind w:left="357" w:right="-159"/>
        <w:jc w:val="both"/>
        <w:rPr>
          <w:rFonts w:eastAsia="Calibri"/>
          <w:sz w:val="26"/>
          <w:szCs w:val="26"/>
          <w:lang w:eastAsia="en-US"/>
        </w:rPr>
      </w:pPr>
      <w:r w:rsidRPr="008015AE">
        <w:rPr>
          <w:rFonts w:eastAsia="Calibri"/>
          <w:sz w:val="26"/>
          <w:szCs w:val="26"/>
          <w:lang w:eastAsia="en-US"/>
        </w:rPr>
        <w:t>III.</w:t>
      </w:r>
      <w:r w:rsidRPr="008015AE">
        <w:rPr>
          <w:rFonts w:eastAsia="Calibri"/>
          <w:sz w:val="26"/>
          <w:szCs w:val="26"/>
          <w:lang w:eastAsia="en-US"/>
        </w:rPr>
        <w:tab/>
        <w:t xml:space="preserve">Mecanismos institucionales para el adelanto de la mujer. </w:t>
      </w:r>
    </w:p>
    <w:p w14:paraId="7E7FCED4" w14:textId="77777777" w:rsidR="008015AE" w:rsidRPr="008015AE" w:rsidRDefault="008015AE" w:rsidP="008015AE">
      <w:pPr>
        <w:spacing w:after="360" w:line="360" w:lineRule="auto"/>
        <w:ind w:right="-159"/>
        <w:jc w:val="both"/>
        <w:rPr>
          <w:rFonts w:eastAsia="Calibri"/>
          <w:sz w:val="26"/>
          <w:szCs w:val="26"/>
          <w:lang w:eastAsia="en-US"/>
        </w:rPr>
      </w:pPr>
      <w:r w:rsidRPr="008015AE">
        <w:rPr>
          <w:rFonts w:eastAsia="Calibri"/>
          <w:sz w:val="26"/>
          <w:szCs w:val="26"/>
          <w:lang w:eastAsia="en-US"/>
        </w:rPr>
        <w:lastRenderedPageBreak/>
        <w:t xml:space="preserve">Cabe destacar que la reforma al sistema de pensiones de 1997, que sentó las bases del actual SAR, revirtió una seria discriminación que de facto sufrían las mujeres en el sistema anterior. En aquél sistema la salida del mercado laboral implicaba frecuentemente la pérdida del derecho a recibir una pensión y, en ese caso, la pérdida total de las aportaciones que se hubieren hecho previamente al sistema de pensiones. Esto afectaba particularmente a aquellas mujeres que dejaban el trabajo para atender a sus hijos y que, con frecuencia, no regresaban al mercado formal laboral. Con ello no sólo perdían la oportunidad de alcanzar el derecho a una pensión sino que, también, el derecho a recuperar el valor de las aportaciones al sistema de seguridad social. </w:t>
      </w:r>
    </w:p>
    <w:p w14:paraId="082E9A9F" w14:textId="77777777" w:rsidR="008015AE" w:rsidRPr="008015AE" w:rsidRDefault="008015AE" w:rsidP="008015AE">
      <w:pPr>
        <w:spacing w:after="360" w:line="360" w:lineRule="auto"/>
        <w:ind w:right="-159"/>
        <w:jc w:val="both"/>
        <w:rPr>
          <w:rFonts w:eastAsia="Calibri"/>
          <w:sz w:val="26"/>
          <w:szCs w:val="26"/>
          <w:lang w:eastAsia="en-US"/>
        </w:rPr>
      </w:pPr>
      <w:r w:rsidRPr="008015AE">
        <w:rPr>
          <w:rFonts w:eastAsia="Calibri"/>
          <w:sz w:val="26"/>
          <w:szCs w:val="26"/>
          <w:lang w:eastAsia="en-US"/>
        </w:rPr>
        <w:t xml:space="preserve">La reforma de 1997 vino a atender esta forma de discriminación: en caso de que una mujer no alcance el derecho a recibir una pensión sí recupera el valor de las aportaciones que hubiere realizado más el rendimiento que esas aportaciones hayan obtenido al alanzar los 65 años. </w:t>
      </w:r>
    </w:p>
    <w:p w14:paraId="7EEE861F" w14:textId="77777777" w:rsidR="008015AE" w:rsidRPr="008015AE" w:rsidRDefault="008015AE" w:rsidP="008015AE">
      <w:pPr>
        <w:spacing w:after="360" w:line="360" w:lineRule="auto"/>
        <w:ind w:right="-159"/>
        <w:jc w:val="both"/>
        <w:rPr>
          <w:rFonts w:eastAsia="Calibri"/>
          <w:sz w:val="26"/>
          <w:szCs w:val="26"/>
          <w:lang w:eastAsia="en-US"/>
        </w:rPr>
      </w:pPr>
      <w:r w:rsidRPr="008015AE">
        <w:rPr>
          <w:rFonts w:eastAsia="Calibri"/>
          <w:sz w:val="26"/>
          <w:szCs w:val="26"/>
          <w:lang w:eastAsia="en-US"/>
        </w:rPr>
        <w:t>La formación de un patrimonio propio y con ello la garantía de una autonomía económica es uno de los factores más importantes para el empoderamiento de la mujer. Así, el SAR se constituye en un instrumento central para lograr los objetivos que se destacan en el Día Internacional de la Mujer.</w:t>
      </w:r>
    </w:p>
    <w:p w14:paraId="1F9C5497" w14:textId="77777777" w:rsidR="008015AE" w:rsidRPr="008015AE" w:rsidRDefault="008015AE" w:rsidP="008015AE">
      <w:pPr>
        <w:spacing w:after="360" w:line="360" w:lineRule="auto"/>
        <w:ind w:right="-159"/>
        <w:jc w:val="both"/>
        <w:rPr>
          <w:rFonts w:eastAsia="Calibri"/>
          <w:sz w:val="26"/>
          <w:szCs w:val="26"/>
          <w:lang w:eastAsia="en-US"/>
        </w:rPr>
      </w:pPr>
      <w:r w:rsidRPr="008015AE">
        <w:rPr>
          <w:rFonts w:eastAsia="Calibri"/>
          <w:sz w:val="26"/>
          <w:szCs w:val="26"/>
          <w:lang w:eastAsia="en-US"/>
        </w:rPr>
        <w:t xml:space="preserve">La Amafore, en representación de las Administradoras de Fondos para el Retiro (Afores) que la integran, despliega un esfuerzo importante para la promoción y difusión de la cultura de ahorro para el retiro a través de múltiples actividades en las cuales se hace un marcado énfasis en materia de género. </w:t>
      </w:r>
    </w:p>
    <w:p w14:paraId="4B65EC1D" w14:textId="77777777" w:rsidR="008015AE" w:rsidRPr="008015AE" w:rsidRDefault="008015AE" w:rsidP="008015AE">
      <w:pPr>
        <w:spacing w:after="360" w:line="360" w:lineRule="auto"/>
        <w:ind w:right="-159"/>
        <w:jc w:val="both"/>
        <w:rPr>
          <w:rFonts w:eastAsia="Calibri"/>
          <w:sz w:val="26"/>
          <w:szCs w:val="26"/>
          <w:lang w:eastAsia="en-US"/>
        </w:rPr>
      </w:pPr>
      <w:r w:rsidRPr="008015AE">
        <w:rPr>
          <w:rFonts w:eastAsia="Calibri"/>
          <w:sz w:val="26"/>
          <w:szCs w:val="26"/>
          <w:lang w:eastAsia="en-US"/>
        </w:rPr>
        <w:t xml:space="preserve">Asimismo, las acciones orientadas a la ampliación de la cobertura de la seguridad social al empleo informal, donde las mujeres alcanzan una participación mayoritaria, también contribuye extender los beneficios del sistema de pensiones a las mujeres. Con esto, además, se les abre la oportunidad de depositar su ahorro en la cuenta individual de su </w:t>
      </w:r>
      <w:r w:rsidRPr="008015AE">
        <w:rPr>
          <w:rFonts w:eastAsia="Calibri"/>
          <w:sz w:val="26"/>
          <w:szCs w:val="26"/>
          <w:lang w:eastAsia="en-US"/>
        </w:rPr>
        <w:lastRenderedPageBreak/>
        <w:t xml:space="preserve">Afore y, de esta manera, recibir mejores rendimientos que en otras opciones de ahorro, tanto en el sector financiero como fuera de él. </w:t>
      </w:r>
    </w:p>
    <w:p w14:paraId="201FE469" w14:textId="77777777" w:rsidR="008015AE" w:rsidRPr="008015AE" w:rsidRDefault="008015AE" w:rsidP="008015AE">
      <w:pPr>
        <w:spacing w:after="360" w:line="360" w:lineRule="auto"/>
        <w:ind w:right="-159"/>
        <w:jc w:val="both"/>
        <w:rPr>
          <w:rFonts w:eastAsia="Calibri"/>
          <w:sz w:val="26"/>
          <w:szCs w:val="26"/>
          <w:lang w:eastAsia="en-US"/>
        </w:rPr>
      </w:pPr>
      <w:r w:rsidRPr="008015AE">
        <w:rPr>
          <w:rFonts w:eastAsia="Calibri"/>
          <w:sz w:val="26"/>
          <w:szCs w:val="26"/>
          <w:lang w:eastAsia="en-US"/>
        </w:rPr>
        <w:t xml:space="preserve">Incluso, aquellas mujeres que laboran en el mercado informal pueden abrir una cuenta de manera independiente y realizar aportaciones voluntarias, donde pueden hacer depósitos por montos mínimos y hacer retiros de su cuenta cada dos o seis meses. </w:t>
      </w:r>
    </w:p>
    <w:p w14:paraId="028A5BC0" w14:textId="77777777" w:rsidR="008015AE" w:rsidRPr="008015AE" w:rsidRDefault="008015AE" w:rsidP="008015AE">
      <w:pPr>
        <w:spacing w:after="360" w:line="360" w:lineRule="auto"/>
        <w:ind w:right="-159"/>
        <w:jc w:val="both"/>
        <w:rPr>
          <w:rFonts w:eastAsia="Calibri"/>
          <w:sz w:val="26"/>
          <w:szCs w:val="26"/>
          <w:lang w:eastAsia="en-US"/>
        </w:rPr>
      </w:pPr>
      <w:r w:rsidRPr="008015AE">
        <w:rPr>
          <w:rFonts w:eastAsia="Calibri"/>
          <w:sz w:val="26"/>
          <w:szCs w:val="26"/>
          <w:lang w:eastAsia="en-US"/>
        </w:rPr>
        <w:t>Es importante recordar que los retos para alcanzar la plena igualdad de la mujer son todavía muy grandes, como lo confirman los siguientes elementos:</w:t>
      </w:r>
    </w:p>
    <w:p w14:paraId="10EE92CB" w14:textId="77777777" w:rsidR="008015AE" w:rsidRPr="008015AE" w:rsidRDefault="008015AE" w:rsidP="00276F3E">
      <w:pPr>
        <w:numPr>
          <w:ilvl w:val="0"/>
          <w:numId w:val="126"/>
        </w:numPr>
        <w:spacing w:after="360" w:line="360" w:lineRule="auto"/>
        <w:ind w:left="714" w:right="-159" w:hanging="357"/>
        <w:jc w:val="both"/>
        <w:rPr>
          <w:rFonts w:eastAsia="Calibri"/>
          <w:sz w:val="26"/>
          <w:szCs w:val="26"/>
          <w:lang w:eastAsia="en-US"/>
        </w:rPr>
      </w:pPr>
      <w:r w:rsidRPr="008015AE">
        <w:rPr>
          <w:rFonts w:eastAsia="Calibri"/>
          <w:b/>
          <w:sz w:val="26"/>
          <w:szCs w:val="26"/>
          <w:lang w:eastAsia="en-US"/>
        </w:rPr>
        <w:t>Ingreso laboral:</w:t>
      </w:r>
      <w:r w:rsidRPr="008015AE">
        <w:rPr>
          <w:rFonts w:eastAsia="Calibri"/>
          <w:sz w:val="26"/>
          <w:szCs w:val="26"/>
          <w:lang w:eastAsia="en-US"/>
        </w:rPr>
        <w:t xml:space="preserve"> persisten marcadas desigualdades en el ingreso entre hombres y mujeres. De acuerdo a un estudio reciente del Banco Mundial (BM: “Mujer, Empresa y el Derecho 2014: Eliminando Restricciones para Aumentar la Igualdad de Género”), en materia de remuneraciones para puestos profesionales similares, los hombres ganan más que las mujeres, con diferencias porcentuales en salario hasta de dos dígitos. En el caso de México, la presencia de más mujeres en puestos directivos, por ejemplo, aún es baja. El país ocupa el sitio 15 de 19 países incluidos en ese estudio.</w:t>
      </w:r>
    </w:p>
    <w:p w14:paraId="2B823883" w14:textId="76F15A35" w:rsidR="008015AE" w:rsidRPr="008015AE" w:rsidRDefault="008015AE" w:rsidP="00276F3E">
      <w:pPr>
        <w:numPr>
          <w:ilvl w:val="0"/>
          <w:numId w:val="126"/>
        </w:numPr>
        <w:spacing w:after="360" w:line="360" w:lineRule="auto"/>
        <w:ind w:left="714" w:right="-159" w:hanging="357"/>
        <w:jc w:val="both"/>
        <w:rPr>
          <w:rFonts w:eastAsia="Calibri"/>
          <w:sz w:val="26"/>
          <w:szCs w:val="26"/>
          <w:lang w:eastAsia="en-US"/>
        </w:rPr>
      </w:pPr>
      <w:r w:rsidRPr="008015AE">
        <w:rPr>
          <w:rFonts w:eastAsia="Calibri"/>
          <w:b/>
          <w:sz w:val="26"/>
          <w:szCs w:val="26"/>
          <w:lang w:eastAsia="en-US"/>
        </w:rPr>
        <w:t>Informalidad laboral:</w:t>
      </w:r>
      <w:r w:rsidRPr="008015AE">
        <w:rPr>
          <w:rFonts w:eastAsia="Calibri"/>
          <w:sz w:val="26"/>
          <w:szCs w:val="26"/>
          <w:lang w:eastAsia="en-US"/>
        </w:rPr>
        <w:t xml:space="preserve"> datos de la encuesta “Ahorro y Futuro” (Amafore, 2014), indican que de las mujeres con empleo formal, el 22% cotiza al Instituto Mexicano del Seguro Social (IMSS) y un 21.8% lo ha hecho al menos en alguna ocasión; el 55.1% nunca ha cotizado al IMSS; las afiliadas al Instituto de Seguridad y Servicios Sociales de los Trabajadores del Estado (ISSSTE) son 2.3% y las que alguna vez han cotizado a este instituto suman 4.5%, mientras que un 89.4% nunca ha cotizado a este Instituto.</w:t>
      </w:r>
    </w:p>
    <w:p w14:paraId="3DBEBE00" w14:textId="77777777" w:rsidR="008015AE" w:rsidRPr="008015AE" w:rsidRDefault="008015AE" w:rsidP="00276F3E">
      <w:pPr>
        <w:numPr>
          <w:ilvl w:val="0"/>
          <w:numId w:val="126"/>
        </w:numPr>
        <w:spacing w:after="360" w:line="360" w:lineRule="auto"/>
        <w:ind w:left="714" w:right="-159" w:hanging="357"/>
        <w:jc w:val="both"/>
        <w:rPr>
          <w:rFonts w:eastAsia="Calibri"/>
          <w:sz w:val="26"/>
          <w:szCs w:val="26"/>
          <w:lang w:eastAsia="en-US"/>
        </w:rPr>
      </w:pPr>
      <w:r w:rsidRPr="008015AE">
        <w:rPr>
          <w:rFonts w:eastAsia="Calibri"/>
          <w:b/>
          <w:sz w:val="26"/>
          <w:szCs w:val="26"/>
          <w:lang w:eastAsia="en-US"/>
        </w:rPr>
        <w:t>Trabajo en edad avanzada:</w:t>
      </w:r>
      <w:r w:rsidRPr="008015AE">
        <w:rPr>
          <w:rFonts w:eastAsia="Calibri"/>
          <w:sz w:val="26"/>
          <w:szCs w:val="26"/>
          <w:lang w:eastAsia="en-US"/>
        </w:rPr>
        <w:t xml:space="preserve"> Aun alcanzada la edad de retiro, cuatro de cada diez mujeres continúan trabajando, y siguen ahorrando en 43% de los casos (Amafore, “Ahorro y Futuro”, 2014). Esto revela el grado de conciencia sobre </w:t>
      </w:r>
      <w:r w:rsidRPr="008015AE">
        <w:rPr>
          <w:rFonts w:eastAsia="Calibri"/>
          <w:sz w:val="26"/>
          <w:szCs w:val="26"/>
          <w:lang w:eastAsia="en-US"/>
        </w:rPr>
        <w:lastRenderedPageBreak/>
        <w:t>el papel del ahorro, porque sabe que deberá tener recursos para vivir una vez que deje de laborar. Esto habla también de una mayor visión para preservar los recursos en el largo plazo.</w:t>
      </w:r>
    </w:p>
    <w:p w14:paraId="598BD99E" w14:textId="77777777" w:rsidR="008015AE" w:rsidRPr="008015AE" w:rsidRDefault="008015AE" w:rsidP="00276F3E">
      <w:pPr>
        <w:numPr>
          <w:ilvl w:val="0"/>
          <w:numId w:val="126"/>
        </w:numPr>
        <w:spacing w:after="360" w:line="360" w:lineRule="auto"/>
        <w:ind w:left="714" w:right="-159" w:hanging="357"/>
        <w:jc w:val="both"/>
        <w:rPr>
          <w:rFonts w:eastAsia="Calibri"/>
          <w:sz w:val="26"/>
          <w:szCs w:val="26"/>
          <w:lang w:eastAsia="en-US"/>
        </w:rPr>
      </w:pPr>
      <w:r w:rsidRPr="008015AE">
        <w:rPr>
          <w:rFonts w:eastAsia="Calibri"/>
          <w:b/>
          <w:sz w:val="26"/>
          <w:szCs w:val="26"/>
          <w:lang w:eastAsia="en-US"/>
        </w:rPr>
        <w:t>Economía Familiar:</w:t>
      </w:r>
      <w:r w:rsidRPr="008015AE">
        <w:rPr>
          <w:rFonts w:eastAsia="Calibri"/>
          <w:sz w:val="26"/>
          <w:szCs w:val="26"/>
          <w:lang w:eastAsia="en-US"/>
        </w:rPr>
        <w:t xml:space="preserve"> La mujer juega un papel fundamental en su aporte a la economía familiar toda vez que posee un talento innato para administrar y hacer presupuestos. Frente a decisiones ante contingencias económicas, recortan gastos (59%) antes que empeñar algún objeto de su propiedad (21.8%), o usar tarjeta de crédito porque no les alcanzó para cubrir sus gastos (11.4%). Esto permite inferir que antes que pensar en sí mismas, las mujeres priorizan las necesidades del hogar (Amafore, “Ahorro y Futuro”, 2014).</w:t>
      </w:r>
    </w:p>
    <w:p w14:paraId="65287782" w14:textId="77777777" w:rsidR="008015AE" w:rsidRPr="008015AE" w:rsidRDefault="008015AE" w:rsidP="008015AE">
      <w:pPr>
        <w:spacing w:after="360" w:line="360" w:lineRule="auto"/>
        <w:ind w:right="-159"/>
        <w:jc w:val="both"/>
        <w:rPr>
          <w:rFonts w:eastAsia="Calibri"/>
          <w:sz w:val="26"/>
          <w:szCs w:val="26"/>
          <w:lang w:eastAsia="en-US"/>
        </w:rPr>
      </w:pPr>
      <w:r w:rsidRPr="008015AE">
        <w:rPr>
          <w:rFonts w:eastAsia="Calibri"/>
          <w:sz w:val="26"/>
          <w:szCs w:val="26"/>
          <w:lang w:eastAsia="en-US"/>
        </w:rPr>
        <w:t>Amafore recoge el reto de las Naciones Unidas: “Imagínalo”; reconoce que la mujer ahorra y se prepara para el futuro y ofrece capitalizar con imaginación y entusiasmo esas virtudes para contribuir al logro de una vida plena en igualdad, desarrollo y paz.</w:t>
      </w:r>
    </w:p>
    <w:p w14:paraId="5C7DB2C2" w14:textId="77777777" w:rsidR="008015AE" w:rsidRPr="008015AE" w:rsidRDefault="008015AE" w:rsidP="008015AE">
      <w:pPr>
        <w:ind w:right="-159"/>
        <w:jc w:val="both"/>
        <w:rPr>
          <w:rFonts w:eastAsia="Calibri"/>
          <w:b/>
          <w:sz w:val="20"/>
          <w:szCs w:val="20"/>
          <w:lang w:eastAsia="en-US"/>
        </w:rPr>
      </w:pPr>
      <w:r w:rsidRPr="008015AE">
        <w:rPr>
          <w:rFonts w:eastAsia="Calibri"/>
          <w:b/>
          <w:sz w:val="20"/>
          <w:szCs w:val="20"/>
          <w:lang w:eastAsia="en-US"/>
        </w:rPr>
        <w:t>Fuente de información:</w:t>
      </w:r>
    </w:p>
    <w:p w14:paraId="5D3F91F8" w14:textId="77777777" w:rsidR="008015AE" w:rsidRPr="00B7463A" w:rsidRDefault="0093224F" w:rsidP="00B7463A">
      <w:pPr>
        <w:spacing w:after="720"/>
        <w:ind w:right="-159"/>
        <w:jc w:val="both"/>
        <w:rPr>
          <w:rFonts w:eastAsia="Calibri"/>
          <w:color w:val="0000FF"/>
          <w:sz w:val="20"/>
          <w:szCs w:val="20"/>
          <w:lang w:eastAsia="en-US"/>
        </w:rPr>
      </w:pPr>
      <w:hyperlink r:id="rId376" w:history="1">
        <w:r w:rsidR="008015AE" w:rsidRPr="00B7463A">
          <w:rPr>
            <w:rFonts w:eastAsia="Calibri"/>
            <w:color w:val="0000FF"/>
            <w:sz w:val="20"/>
            <w:szCs w:val="20"/>
            <w:u w:val="single"/>
            <w:lang w:eastAsia="en-US"/>
          </w:rPr>
          <w:t>http://www.amafore.org/sites/default/files/BP%2004-2015%20%288%20marzo%202015%29.pdf</w:t>
        </w:r>
      </w:hyperlink>
    </w:p>
    <w:p w14:paraId="14F9A11F" w14:textId="77777777" w:rsidR="00943CCA" w:rsidRPr="00943CCA" w:rsidRDefault="00943CCA" w:rsidP="00943CCA">
      <w:pPr>
        <w:ind w:right="-159"/>
        <w:jc w:val="both"/>
        <w:rPr>
          <w:rFonts w:eastAsia="Times New Roman"/>
          <w:b/>
          <w:sz w:val="26"/>
          <w:szCs w:val="26"/>
        </w:rPr>
      </w:pPr>
      <w:r w:rsidRPr="00943CCA">
        <w:rPr>
          <w:rFonts w:eastAsia="Times New Roman"/>
          <w:b/>
          <w:sz w:val="26"/>
          <w:szCs w:val="26"/>
        </w:rPr>
        <w:t xml:space="preserve">Actualización mensual de recursos y rendimientos </w:t>
      </w:r>
    </w:p>
    <w:p w14:paraId="47A6DBF5" w14:textId="77777777" w:rsidR="00943CCA" w:rsidRPr="00943CCA" w:rsidRDefault="00943CCA" w:rsidP="00943CCA">
      <w:pPr>
        <w:spacing w:after="360" w:line="360" w:lineRule="auto"/>
        <w:ind w:right="-159"/>
        <w:jc w:val="both"/>
        <w:rPr>
          <w:rFonts w:eastAsia="Times New Roman"/>
          <w:b/>
          <w:sz w:val="26"/>
          <w:szCs w:val="26"/>
        </w:rPr>
      </w:pPr>
      <w:r w:rsidRPr="00943CCA">
        <w:rPr>
          <w:rFonts w:eastAsia="Times New Roman"/>
          <w:b/>
          <w:sz w:val="26"/>
          <w:szCs w:val="26"/>
        </w:rPr>
        <w:t>del SAR al cierre de febrero de 2015 (Consar)</w:t>
      </w:r>
    </w:p>
    <w:p w14:paraId="67511A99" w14:textId="77777777" w:rsidR="00943CCA" w:rsidRPr="00943CCA" w:rsidRDefault="00943CCA" w:rsidP="00943CCA">
      <w:pPr>
        <w:spacing w:after="360" w:line="360" w:lineRule="auto"/>
        <w:ind w:right="-159"/>
        <w:jc w:val="both"/>
        <w:rPr>
          <w:sz w:val="26"/>
          <w:szCs w:val="26"/>
        </w:rPr>
      </w:pPr>
      <w:r w:rsidRPr="00943CCA">
        <w:rPr>
          <w:sz w:val="26"/>
          <w:szCs w:val="26"/>
        </w:rPr>
        <w:t>El 5 de marzo de 2015, la Comisión Nacional del Sistema de Ahorro para el Retiro (Consar) informó que al cierre de febrero de 2015, el Sistema de Ahorro para el Retiro (SAR) acumula recursos por 2 billones 449 mil 516 millones de pesos (mdp). Esta cifra descuenta los flujos de retiros correspondientes al mismo mes que ascienden a                   5 mil 295.83 millones de pesos.</w:t>
      </w:r>
    </w:p>
    <w:p w14:paraId="2D763C32" w14:textId="77777777" w:rsidR="00943CCA" w:rsidRPr="00943CCA" w:rsidRDefault="00943CCA" w:rsidP="00943CCA">
      <w:pPr>
        <w:spacing w:after="360" w:line="360" w:lineRule="auto"/>
        <w:ind w:right="-159"/>
        <w:jc w:val="both"/>
        <w:rPr>
          <w:sz w:val="26"/>
          <w:szCs w:val="26"/>
        </w:rPr>
      </w:pPr>
      <w:r w:rsidRPr="00943CCA">
        <w:rPr>
          <w:sz w:val="26"/>
          <w:szCs w:val="26"/>
        </w:rPr>
        <w:t>El rendimiento del sistema durante el período 1997-febrero 2015 fue de 12.56% nominal anual promedio y 6.27% real anual promedio.</w:t>
      </w:r>
    </w:p>
    <w:p w14:paraId="2BF0111F" w14:textId="77777777" w:rsidR="00943CCA" w:rsidRPr="00943CCA" w:rsidRDefault="00943CCA" w:rsidP="00943CCA">
      <w:pPr>
        <w:spacing w:after="360" w:line="360" w:lineRule="auto"/>
        <w:ind w:right="-159"/>
        <w:jc w:val="both"/>
        <w:rPr>
          <w:sz w:val="26"/>
          <w:szCs w:val="26"/>
        </w:rPr>
      </w:pPr>
      <w:r w:rsidRPr="00943CCA">
        <w:rPr>
          <w:sz w:val="26"/>
          <w:szCs w:val="26"/>
        </w:rPr>
        <w:lastRenderedPageBreak/>
        <w:t>Por su parte, el Indicador de Rendimiento Neto (IRN) por horizonte de inversión de cada una de las Sociedades de Inversión Especializadas en Fondos para el Retiro (Siefore) cerró en:</w:t>
      </w:r>
    </w:p>
    <w:tbl>
      <w:tblPr>
        <w:tblStyle w:val="Tablaconcuadrcula"/>
        <w:tblW w:w="0" w:type="auto"/>
        <w:jc w:val="center"/>
        <w:tblLook w:val="04A0" w:firstRow="1" w:lastRow="0" w:firstColumn="1" w:lastColumn="0" w:noHBand="0" w:noVBand="1"/>
      </w:tblPr>
      <w:tblGrid>
        <w:gridCol w:w="3525"/>
        <w:gridCol w:w="1589"/>
        <w:gridCol w:w="1560"/>
      </w:tblGrid>
      <w:tr w:rsidR="00943CCA" w:rsidRPr="00943CCA" w14:paraId="47B2C486" w14:textId="77777777" w:rsidTr="00082E99">
        <w:trPr>
          <w:jc w:val="center"/>
        </w:trPr>
        <w:tc>
          <w:tcPr>
            <w:tcW w:w="6674" w:type="dxa"/>
            <w:gridSpan w:val="3"/>
            <w:tcBorders>
              <w:top w:val="nil"/>
              <w:left w:val="nil"/>
              <w:bottom w:val="single" w:sz="4" w:space="0" w:color="auto"/>
              <w:right w:val="nil"/>
            </w:tcBorders>
          </w:tcPr>
          <w:p w14:paraId="33CDACA0" w14:textId="5EB5584C" w:rsidR="00943CCA" w:rsidRPr="00943CCA" w:rsidRDefault="00943CCA" w:rsidP="00943CCA">
            <w:pPr>
              <w:jc w:val="center"/>
              <w:rPr>
                <w:b/>
                <w:sz w:val="22"/>
                <w:szCs w:val="22"/>
              </w:rPr>
            </w:pPr>
            <w:r w:rsidRPr="00943CCA">
              <w:rPr>
                <w:b/>
                <w:sz w:val="22"/>
                <w:szCs w:val="22"/>
              </w:rPr>
              <w:t xml:space="preserve">RENDIMIENTO NETO </w:t>
            </w:r>
            <w:r w:rsidR="00CF72BB">
              <w:rPr>
                <w:b/>
                <w:sz w:val="22"/>
                <w:szCs w:val="22"/>
              </w:rPr>
              <w:t xml:space="preserve">PROMEDIO </w:t>
            </w:r>
            <w:r w:rsidRPr="00943CCA">
              <w:rPr>
                <w:b/>
                <w:sz w:val="22"/>
                <w:szCs w:val="22"/>
              </w:rPr>
              <w:t>DEL SISTEMA*</w:t>
            </w:r>
          </w:p>
          <w:p w14:paraId="74645236" w14:textId="77777777" w:rsidR="00943CCA" w:rsidRPr="00943CCA" w:rsidRDefault="00943CCA" w:rsidP="00943CCA">
            <w:pPr>
              <w:jc w:val="center"/>
              <w:rPr>
                <w:b/>
                <w:sz w:val="22"/>
                <w:szCs w:val="22"/>
              </w:rPr>
            </w:pPr>
            <w:r w:rsidRPr="00943CCA">
              <w:rPr>
                <w:b/>
                <w:sz w:val="22"/>
                <w:szCs w:val="22"/>
              </w:rPr>
              <w:t>-Febrero 2015-</w:t>
            </w:r>
          </w:p>
        </w:tc>
      </w:tr>
      <w:tr w:rsidR="00943CCA" w:rsidRPr="00943CCA" w14:paraId="56590C00" w14:textId="77777777" w:rsidTr="00082E99">
        <w:trPr>
          <w:jc w:val="center"/>
        </w:trPr>
        <w:tc>
          <w:tcPr>
            <w:tcW w:w="3525" w:type="dxa"/>
            <w:tcBorders>
              <w:top w:val="single" w:sz="4" w:space="0" w:color="auto"/>
              <w:left w:val="single" w:sz="4" w:space="0" w:color="auto"/>
              <w:bottom w:val="single" w:sz="4" w:space="0" w:color="auto"/>
              <w:right w:val="single" w:sz="4" w:space="0" w:color="auto"/>
            </w:tcBorders>
            <w:vAlign w:val="center"/>
          </w:tcPr>
          <w:p w14:paraId="302A1987" w14:textId="77777777" w:rsidR="00943CCA" w:rsidRPr="00943CCA" w:rsidRDefault="00943CCA" w:rsidP="00943CCA">
            <w:pPr>
              <w:jc w:val="center"/>
              <w:rPr>
                <w:b/>
                <w:sz w:val="20"/>
                <w:szCs w:val="20"/>
              </w:rPr>
            </w:pPr>
            <w:r w:rsidRPr="00943CCA">
              <w:rPr>
                <w:b/>
                <w:sz w:val="20"/>
                <w:szCs w:val="20"/>
              </w:rPr>
              <w:t>Siefore</w:t>
            </w:r>
          </w:p>
        </w:tc>
        <w:tc>
          <w:tcPr>
            <w:tcW w:w="1589" w:type="dxa"/>
            <w:tcBorders>
              <w:top w:val="single" w:sz="4" w:space="0" w:color="auto"/>
              <w:left w:val="single" w:sz="4" w:space="0" w:color="auto"/>
              <w:bottom w:val="single" w:sz="4" w:space="0" w:color="auto"/>
              <w:right w:val="single" w:sz="4" w:space="0" w:color="auto"/>
            </w:tcBorders>
            <w:vAlign w:val="center"/>
          </w:tcPr>
          <w:p w14:paraId="5A222982" w14:textId="77777777" w:rsidR="00943CCA" w:rsidRPr="00943CCA" w:rsidRDefault="00943CCA" w:rsidP="00943CCA">
            <w:pPr>
              <w:jc w:val="center"/>
              <w:rPr>
                <w:b/>
                <w:sz w:val="20"/>
                <w:szCs w:val="20"/>
              </w:rPr>
            </w:pPr>
            <w:r w:rsidRPr="00943CCA">
              <w:rPr>
                <w:b/>
                <w:sz w:val="20"/>
                <w:szCs w:val="20"/>
              </w:rPr>
              <w:t>IRN</w:t>
            </w:r>
          </w:p>
          <w:p w14:paraId="6B9F356B" w14:textId="77777777" w:rsidR="00943CCA" w:rsidRPr="00943CCA" w:rsidRDefault="00943CCA" w:rsidP="00943CCA">
            <w:pPr>
              <w:jc w:val="center"/>
              <w:rPr>
                <w:b/>
                <w:sz w:val="20"/>
                <w:szCs w:val="20"/>
              </w:rPr>
            </w:pPr>
            <w:r w:rsidRPr="00943CCA">
              <w:rPr>
                <w:b/>
                <w:sz w:val="20"/>
                <w:szCs w:val="20"/>
              </w:rPr>
              <w:t>(%)</w:t>
            </w:r>
          </w:p>
        </w:tc>
        <w:tc>
          <w:tcPr>
            <w:tcW w:w="1560" w:type="dxa"/>
            <w:tcBorders>
              <w:top w:val="single" w:sz="4" w:space="0" w:color="auto"/>
              <w:left w:val="single" w:sz="4" w:space="0" w:color="auto"/>
              <w:bottom w:val="single" w:sz="4" w:space="0" w:color="auto"/>
              <w:right w:val="single" w:sz="4" w:space="0" w:color="auto"/>
            </w:tcBorders>
            <w:vAlign w:val="center"/>
          </w:tcPr>
          <w:p w14:paraId="55D137DD" w14:textId="77777777" w:rsidR="00943CCA" w:rsidRPr="00943CCA" w:rsidRDefault="00943CCA" w:rsidP="00943CCA">
            <w:pPr>
              <w:jc w:val="center"/>
              <w:rPr>
                <w:b/>
                <w:sz w:val="20"/>
                <w:szCs w:val="20"/>
              </w:rPr>
            </w:pPr>
            <w:r w:rsidRPr="00943CCA">
              <w:rPr>
                <w:b/>
                <w:sz w:val="20"/>
                <w:szCs w:val="20"/>
              </w:rPr>
              <w:t>Horizonte</w:t>
            </w:r>
          </w:p>
        </w:tc>
      </w:tr>
      <w:tr w:rsidR="00943CCA" w:rsidRPr="00943CCA" w14:paraId="649F4E91" w14:textId="77777777" w:rsidTr="00082E99">
        <w:trPr>
          <w:jc w:val="center"/>
        </w:trPr>
        <w:tc>
          <w:tcPr>
            <w:tcW w:w="3525" w:type="dxa"/>
            <w:tcBorders>
              <w:top w:val="single" w:sz="4" w:space="0" w:color="auto"/>
              <w:left w:val="single" w:sz="4" w:space="0" w:color="auto"/>
              <w:bottom w:val="nil"/>
              <w:right w:val="single" w:sz="4" w:space="0" w:color="auto"/>
            </w:tcBorders>
          </w:tcPr>
          <w:p w14:paraId="312E395D" w14:textId="77777777" w:rsidR="00943CCA" w:rsidRPr="00943CCA" w:rsidRDefault="00943CCA" w:rsidP="00943CCA">
            <w:pPr>
              <w:jc w:val="center"/>
              <w:rPr>
                <w:sz w:val="20"/>
                <w:szCs w:val="20"/>
              </w:rPr>
            </w:pPr>
            <w:r w:rsidRPr="00943CCA">
              <w:rPr>
                <w:sz w:val="20"/>
                <w:szCs w:val="20"/>
              </w:rPr>
              <w:t>Rendimiento Neto de la SB4</w:t>
            </w:r>
          </w:p>
          <w:p w14:paraId="555B64B3" w14:textId="77777777" w:rsidR="00943CCA" w:rsidRPr="00943CCA" w:rsidRDefault="00943CCA" w:rsidP="00943CCA">
            <w:pPr>
              <w:jc w:val="center"/>
              <w:rPr>
                <w:sz w:val="20"/>
                <w:szCs w:val="20"/>
              </w:rPr>
            </w:pPr>
            <w:r w:rsidRPr="00943CCA">
              <w:rPr>
                <w:sz w:val="20"/>
                <w:szCs w:val="20"/>
              </w:rPr>
              <w:t>(36 años y menores)</w:t>
            </w:r>
          </w:p>
        </w:tc>
        <w:tc>
          <w:tcPr>
            <w:tcW w:w="1589" w:type="dxa"/>
            <w:tcBorders>
              <w:top w:val="single" w:sz="4" w:space="0" w:color="auto"/>
              <w:left w:val="single" w:sz="4" w:space="0" w:color="auto"/>
              <w:bottom w:val="nil"/>
              <w:right w:val="single" w:sz="4" w:space="0" w:color="auto"/>
            </w:tcBorders>
            <w:vAlign w:val="center"/>
          </w:tcPr>
          <w:p w14:paraId="2E32FE8C" w14:textId="77777777" w:rsidR="00943CCA" w:rsidRPr="00943CCA" w:rsidRDefault="00943CCA" w:rsidP="00943CCA">
            <w:pPr>
              <w:ind w:right="454"/>
              <w:jc w:val="right"/>
              <w:rPr>
                <w:sz w:val="20"/>
                <w:szCs w:val="20"/>
              </w:rPr>
            </w:pPr>
            <w:r w:rsidRPr="00943CCA">
              <w:rPr>
                <w:sz w:val="20"/>
                <w:szCs w:val="20"/>
              </w:rPr>
              <w:t>10.26</w:t>
            </w:r>
          </w:p>
        </w:tc>
        <w:tc>
          <w:tcPr>
            <w:tcW w:w="1560" w:type="dxa"/>
            <w:tcBorders>
              <w:top w:val="single" w:sz="4" w:space="0" w:color="auto"/>
              <w:left w:val="single" w:sz="4" w:space="0" w:color="auto"/>
              <w:bottom w:val="nil"/>
              <w:right w:val="single" w:sz="4" w:space="0" w:color="auto"/>
            </w:tcBorders>
            <w:vAlign w:val="center"/>
          </w:tcPr>
          <w:p w14:paraId="755BFA54" w14:textId="77777777" w:rsidR="00943CCA" w:rsidRPr="00943CCA" w:rsidRDefault="00943CCA" w:rsidP="00943CCA">
            <w:pPr>
              <w:jc w:val="center"/>
              <w:rPr>
                <w:sz w:val="20"/>
                <w:szCs w:val="20"/>
              </w:rPr>
            </w:pPr>
            <w:r w:rsidRPr="00943CCA">
              <w:rPr>
                <w:sz w:val="20"/>
                <w:szCs w:val="20"/>
              </w:rPr>
              <w:t>66 Meses</w:t>
            </w:r>
          </w:p>
        </w:tc>
      </w:tr>
      <w:tr w:rsidR="00943CCA" w:rsidRPr="00943CCA" w14:paraId="54BF7FBD" w14:textId="77777777" w:rsidTr="00082E99">
        <w:trPr>
          <w:jc w:val="center"/>
        </w:trPr>
        <w:tc>
          <w:tcPr>
            <w:tcW w:w="3525" w:type="dxa"/>
            <w:tcBorders>
              <w:top w:val="nil"/>
              <w:left w:val="single" w:sz="4" w:space="0" w:color="auto"/>
              <w:bottom w:val="nil"/>
              <w:right w:val="single" w:sz="4" w:space="0" w:color="auto"/>
            </w:tcBorders>
          </w:tcPr>
          <w:p w14:paraId="4E95F9CD" w14:textId="77777777" w:rsidR="00943CCA" w:rsidRPr="00943CCA" w:rsidRDefault="00943CCA" w:rsidP="00943CCA">
            <w:pPr>
              <w:jc w:val="center"/>
              <w:rPr>
                <w:sz w:val="20"/>
                <w:szCs w:val="20"/>
              </w:rPr>
            </w:pPr>
            <w:r w:rsidRPr="00943CCA">
              <w:rPr>
                <w:sz w:val="20"/>
                <w:szCs w:val="20"/>
              </w:rPr>
              <w:t>Rendimiento Neto de la SB3</w:t>
            </w:r>
          </w:p>
          <w:p w14:paraId="6A9D013D" w14:textId="77777777" w:rsidR="00943CCA" w:rsidRPr="00943CCA" w:rsidRDefault="00943CCA" w:rsidP="00943CCA">
            <w:pPr>
              <w:jc w:val="center"/>
              <w:rPr>
                <w:sz w:val="20"/>
                <w:szCs w:val="20"/>
              </w:rPr>
            </w:pPr>
            <w:r w:rsidRPr="00943CCA">
              <w:rPr>
                <w:sz w:val="20"/>
                <w:szCs w:val="20"/>
              </w:rPr>
              <w:t>(37a 45 años)</w:t>
            </w:r>
          </w:p>
        </w:tc>
        <w:tc>
          <w:tcPr>
            <w:tcW w:w="1589" w:type="dxa"/>
            <w:tcBorders>
              <w:top w:val="nil"/>
              <w:left w:val="single" w:sz="4" w:space="0" w:color="auto"/>
              <w:bottom w:val="nil"/>
              <w:right w:val="single" w:sz="4" w:space="0" w:color="auto"/>
            </w:tcBorders>
            <w:vAlign w:val="center"/>
          </w:tcPr>
          <w:p w14:paraId="24458436" w14:textId="77777777" w:rsidR="00943CCA" w:rsidRPr="00943CCA" w:rsidRDefault="00943CCA" w:rsidP="00943CCA">
            <w:pPr>
              <w:ind w:right="454"/>
              <w:jc w:val="right"/>
              <w:rPr>
                <w:sz w:val="20"/>
                <w:szCs w:val="20"/>
              </w:rPr>
            </w:pPr>
            <w:r w:rsidRPr="00943CCA">
              <w:rPr>
                <w:sz w:val="20"/>
                <w:szCs w:val="20"/>
              </w:rPr>
              <w:t>9.40</w:t>
            </w:r>
          </w:p>
        </w:tc>
        <w:tc>
          <w:tcPr>
            <w:tcW w:w="1560" w:type="dxa"/>
            <w:tcBorders>
              <w:top w:val="nil"/>
              <w:left w:val="single" w:sz="4" w:space="0" w:color="auto"/>
              <w:bottom w:val="nil"/>
              <w:right w:val="single" w:sz="4" w:space="0" w:color="auto"/>
            </w:tcBorders>
            <w:vAlign w:val="center"/>
          </w:tcPr>
          <w:p w14:paraId="19EDD98C" w14:textId="77777777" w:rsidR="00943CCA" w:rsidRPr="00943CCA" w:rsidRDefault="00943CCA" w:rsidP="00943CCA">
            <w:pPr>
              <w:jc w:val="center"/>
              <w:rPr>
                <w:sz w:val="20"/>
                <w:szCs w:val="20"/>
              </w:rPr>
            </w:pPr>
            <w:r w:rsidRPr="00943CCA">
              <w:rPr>
                <w:sz w:val="20"/>
                <w:szCs w:val="20"/>
              </w:rPr>
              <w:t>66 Meses</w:t>
            </w:r>
          </w:p>
        </w:tc>
      </w:tr>
      <w:tr w:rsidR="00943CCA" w:rsidRPr="00943CCA" w14:paraId="7E63281C" w14:textId="77777777" w:rsidTr="00082E99">
        <w:trPr>
          <w:jc w:val="center"/>
        </w:trPr>
        <w:tc>
          <w:tcPr>
            <w:tcW w:w="3525" w:type="dxa"/>
            <w:tcBorders>
              <w:top w:val="nil"/>
              <w:left w:val="single" w:sz="4" w:space="0" w:color="auto"/>
              <w:bottom w:val="nil"/>
              <w:right w:val="single" w:sz="4" w:space="0" w:color="auto"/>
            </w:tcBorders>
          </w:tcPr>
          <w:p w14:paraId="5194521F" w14:textId="77777777" w:rsidR="00943CCA" w:rsidRPr="00943CCA" w:rsidRDefault="00943CCA" w:rsidP="00943CCA">
            <w:pPr>
              <w:jc w:val="center"/>
              <w:rPr>
                <w:sz w:val="20"/>
                <w:szCs w:val="20"/>
              </w:rPr>
            </w:pPr>
            <w:r w:rsidRPr="00943CCA">
              <w:rPr>
                <w:sz w:val="20"/>
                <w:szCs w:val="20"/>
              </w:rPr>
              <w:t>Rendimiento Neto de la SB2</w:t>
            </w:r>
          </w:p>
          <w:p w14:paraId="421F4EA5" w14:textId="77777777" w:rsidR="00943CCA" w:rsidRPr="00943CCA" w:rsidRDefault="00943CCA" w:rsidP="00943CCA">
            <w:pPr>
              <w:jc w:val="center"/>
              <w:rPr>
                <w:sz w:val="20"/>
                <w:szCs w:val="20"/>
              </w:rPr>
            </w:pPr>
            <w:r w:rsidRPr="00943CCA">
              <w:rPr>
                <w:sz w:val="20"/>
                <w:szCs w:val="20"/>
              </w:rPr>
              <w:t>(46 a 59 años)</w:t>
            </w:r>
          </w:p>
        </w:tc>
        <w:tc>
          <w:tcPr>
            <w:tcW w:w="1589" w:type="dxa"/>
            <w:tcBorders>
              <w:top w:val="nil"/>
              <w:left w:val="single" w:sz="4" w:space="0" w:color="auto"/>
              <w:bottom w:val="nil"/>
              <w:right w:val="single" w:sz="4" w:space="0" w:color="auto"/>
            </w:tcBorders>
            <w:vAlign w:val="center"/>
          </w:tcPr>
          <w:p w14:paraId="4618F28C" w14:textId="77777777" w:rsidR="00943CCA" w:rsidRPr="00943CCA" w:rsidRDefault="00943CCA" w:rsidP="00943CCA">
            <w:pPr>
              <w:ind w:right="454"/>
              <w:jc w:val="right"/>
              <w:rPr>
                <w:sz w:val="20"/>
                <w:szCs w:val="20"/>
              </w:rPr>
            </w:pPr>
            <w:r w:rsidRPr="00943CCA">
              <w:rPr>
                <w:sz w:val="20"/>
                <w:szCs w:val="20"/>
              </w:rPr>
              <w:t>8.25</w:t>
            </w:r>
          </w:p>
        </w:tc>
        <w:tc>
          <w:tcPr>
            <w:tcW w:w="1560" w:type="dxa"/>
            <w:tcBorders>
              <w:top w:val="nil"/>
              <w:left w:val="single" w:sz="4" w:space="0" w:color="auto"/>
              <w:bottom w:val="nil"/>
              <w:right w:val="single" w:sz="4" w:space="0" w:color="auto"/>
            </w:tcBorders>
            <w:vAlign w:val="center"/>
          </w:tcPr>
          <w:p w14:paraId="461DC032" w14:textId="77777777" w:rsidR="00943CCA" w:rsidRPr="00943CCA" w:rsidRDefault="00943CCA" w:rsidP="00943CCA">
            <w:pPr>
              <w:jc w:val="center"/>
              <w:rPr>
                <w:sz w:val="20"/>
                <w:szCs w:val="20"/>
              </w:rPr>
            </w:pPr>
            <w:r w:rsidRPr="00943CCA">
              <w:rPr>
                <w:sz w:val="20"/>
                <w:szCs w:val="20"/>
              </w:rPr>
              <w:t>60 Meses</w:t>
            </w:r>
          </w:p>
        </w:tc>
      </w:tr>
      <w:tr w:rsidR="00943CCA" w:rsidRPr="00943CCA" w14:paraId="07966B06" w14:textId="77777777" w:rsidTr="00082E99">
        <w:trPr>
          <w:jc w:val="center"/>
        </w:trPr>
        <w:tc>
          <w:tcPr>
            <w:tcW w:w="3525" w:type="dxa"/>
            <w:tcBorders>
              <w:top w:val="nil"/>
              <w:left w:val="single" w:sz="4" w:space="0" w:color="auto"/>
              <w:bottom w:val="single" w:sz="4" w:space="0" w:color="auto"/>
              <w:right w:val="single" w:sz="4" w:space="0" w:color="auto"/>
            </w:tcBorders>
          </w:tcPr>
          <w:p w14:paraId="3D06B43B" w14:textId="77777777" w:rsidR="00943CCA" w:rsidRPr="00943CCA" w:rsidRDefault="00943CCA" w:rsidP="00943CCA">
            <w:pPr>
              <w:jc w:val="center"/>
              <w:rPr>
                <w:sz w:val="20"/>
                <w:szCs w:val="20"/>
              </w:rPr>
            </w:pPr>
            <w:r w:rsidRPr="00943CCA">
              <w:rPr>
                <w:sz w:val="20"/>
                <w:szCs w:val="20"/>
              </w:rPr>
              <w:t>Rendimiento Neto de la SB1</w:t>
            </w:r>
          </w:p>
          <w:p w14:paraId="453D113A" w14:textId="77777777" w:rsidR="00943CCA" w:rsidRPr="00943CCA" w:rsidRDefault="00943CCA" w:rsidP="00943CCA">
            <w:pPr>
              <w:jc w:val="center"/>
              <w:rPr>
                <w:sz w:val="20"/>
                <w:szCs w:val="20"/>
              </w:rPr>
            </w:pPr>
            <w:r w:rsidRPr="00943CCA">
              <w:rPr>
                <w:sz w:val="20"/>
                <w:szCs w:val="20"/>
              </w:rPr>
              <w:t>(60 años y mayores)</w:t>
            </w:r>
          </w:p>
        </w:tc>
        <w:tc>
          <w:tcPr>
            <w:tcW w:w="1589" w:type="dxa"/>
            <w:tcBorders>
              <w:top w:val="nil"/>
              <w:left w:val="single" w:sz="4" w:space="0" w:color="auto"/>
              <w:bottom w:val="single" w:sz="4" w:space="0" w:color="auto"/>
              <w:right w:val="single" w:sz="4" w:space="0" w:color="auto"/>
            </w:tcBorders>
            <w:vAlign w:val="center"/>
          </w:tcPr>
          <w:p w14:paraId="52CAB716" w14:textId="77777777" w:rsidR="00943CCA" w:rsidRPr="00943CCA" w:rsidRDefault="00943CCA" w:rsidP="00943CCA">
            <w:pPr>
              <w:ind w:right="454"/>
              <w:jc w:val="right"/>
              <w:rPr>
                <w:sz w:val="20"/>
                <w:szCs w:val="20"/>
              </w:rPr>
            </w:pPr>
            <w:r w:rsidRPr="00943CCA">
              <w:rPr>
                <w:sz w:val="20"/>
                <w:szCs w:val="20"/>
              </w:rPr>
              <w:t>6.55</w:t>
            </w:r>
          </w:p>
        </w:tc>
        <w:tc>
          <w:tcPr>
            <w:tcW w:w="1560" w:type="dxa"/>
            <w:tcBorders>
              <w:top w:val="nil"/>
              <w:left w:val="single" w:sz="4" w:space="0" w:color="auto"/>
              <w:bottom w:val="single" w:sz="4" w:space="0" w:color="auto"/>
              <w:right w:val="single" w:sz="4" w:space="0" w:color="auto"/>
            </w:tcBorders>
            <w:vAlign w:val="center"/>
          </w:tcPr>
          <w:p w14:paraId="45DE98BD" w14:textId="77777777" w:rsidR="00943CCA" w:rsidRPr="00943CCA" w:rsidRDefault="00943CCA" w:rsidP="00943CCA">
            <w:pPr>
              <w:jc w:val="center"/>
              <w:rPr>
                <w:sz w:val="20"/>
                <w:szCs w:val="20"/>
              </w:rPr>
            </w:pPr>
            <w:r w:rsidRPr="00943CCA">
              <w:rPr>
                <w:sz w:val="20"/>
                <w:szCs w:val="20"/>
              </w:rPr>
              <w:t>53 Meses</w:t>
            </w:r>
          </w:p>
        </w:tc>
      </w:tr>
      <w:tr w:rsidR="00943CCA" w:rsidRPr="00943CCA" w14:paraId="6F1073BD" w14:textId="77777777" w:rsidTr="00082E99">
        <w:trPr>
          <w:jc w:val="center"/>
        </w:trPr>
        <w:tc>
          <w:tcPr>
            <w:tcW w:w="6674" w:type="dxa"/>
            <w:gridSpan w:val="3"/>
            <w:tcBorders>
              <w:top w:val="single" w:sz="4" w:space="0" w:color="auto"/>
              <w:left w:val="nil"/>
              <w:bottom w:val="nil"/>
              <w:right w:val="nil"/>
            </w:tcBorders>
          </w:tcPr>
          <w:p w14:paraId="309468EC" w14:textId="77777777" w:rsidR="00943CCA" w:rsidRPr="00943CCA" w:rsidRDefault="00943CCA" w:rsidP="00943CCA">
            <w:pPr>
              <w:ind w:left="113" w:hanging="113"/>
              <w:jc w:val="both"/>
              <w:rPr>
                <w:sz w:val="20"/>
                <w:szCs w:val="20"/>
              </w:rPr>
            </w:pPr>
            <w:r w:rsidRPr="00943CCA">
              <w:rPr>
                <w:sz w:val="20"/>
                <w:szCs w:val="20"/>
              </w:rPr>
              <w:t>*Conforme a la metodología descrita en las DISPOSICIONES de Carácter General que establecen el procedimiento para la construcción de los indicadores de rendimiento neto de las Sociedades de Inversión Especializadas de Fondos para el Retiro publicadas en el DOF el 29 de mayo de 2014.</w:t>
            </w:r>
          </w:p>
          <w:p w14:paraId="4889F1DC" w14:textId="77777777" w:rsidR="00943CCA" w:rsidRPr="00943CCA" w:rsidRDefault="00943CCA" w:rsidP="00943CCA">
            <w:pPr>
              <w:jc w:val="both"/>
              <w:rPr>
                <w:sz w:val="20"/>
                <w:szCs w:val="20"/>
              </w:rPr>
            </w:pPr>
            <w:r w:rsidRPr="00943CCA">
              <w:rPr>
                <w:sz w:val="20"/>
                <w:szCs w:val="20"/>
              </w:rPr>
              <w:t>FUENTE: Consar.</w:t>
            </w:r>
          </w:p>
        </w:tc>
      </w:tr>
    </w:tbl>
    <w:p w14:paraId="65350C4C" w14:textId="77777777" w:rsidR="00943CCA" w:rsidRPr="00943CCA" w:rsidRDefault="00943CCA" w:rsidP="00943CCA">
      <w:pPr>
        <w:spacing w:after="360" w:line="360" w:lineRule="auto"/>
        <w:ind w:right="-159"/>
        <w:jc w:val="both"/>
        <w:rPr>
          <w:sz w:val="26"/>
          <w:szCs w:val="26"/>
        </w:rPr>
      </w:pPr>
    </w:p>
    <w:p w14:paraId="3F25BC84" w14:textId="77777777" w:rsidR="00943CCA" w:rsidRPr="00943CCA" w:rsidRDefault="00943CCA" w:rsidP="00943CCA">
      <w:pPr>
        <w:spacing w:after="360" w:line="360" w:lineRule="auto"/>
        <w:ind w:right="-159"/>
        <w:jc w:val="both"/>
        <w:rPr>
          <w:sz w:val="26"/>
          <w:szCs w:val="26"/>
        </w:rPr>
      </w:pPr>
      <w:r w:rsidRPr="00943CCA">
        <w:rPr>
          <w:sz w:val="26"/>
          <w:szCs w:val="26"/>
        </w:rPr>
        <w:t>El IRN permite conocer el rendimiento que otorgan las Administradoras de Fondos para el Retiro (Afore) ya descontada la comisión. Es una herramienta sencilla y clara que da mayor transparencia al sistema y busca incentivar que las Afore orienten sus esfuerzos a lograr una mejor gestión de los recursos pensionarios con una visión de mediano y largo plazos.</w:t>
      </w:r>
    </w:p>
    <w:p w14:paraId="25BDE5ED" w14:textId="77777777" w:rsidR="00943CCA" w:rsidRDefault="00943CCA" w:rsidP="00943CCA">
      <w:pPr>
        <w:spacing w:after="360" w:line="360" w:lineRule="auto"/>
        <w:ind w:right="-159"/>
        <w:jc w:val="both"/>
        <w:rPr>
          <w:sz w:val="26"/>
          <w:szCs w:val="26"/>
        </w:rPr>
      </w:pPr>
      <w:r w:rsidRPr="00943CCA">
        <w:rPr>
          <w:sz w:val="26"/>
          <w:szCs w:val="26"/>
        </w:rPr>
        <w:t>Por Afore y Siefore, el IRN de febrero cerró en:</w:t>
      </w:r>
    </w:p>
    <w:p w14:paraId="0C244263" w14:textId="77777777" w:rsidR="00871DFE" w:rsidRDefault="00871DFE" w:rsidP="00943CCA">
      <w:pPr>
        <w:spacing w:after="360" w:line="360" w:lineRule="auto"/>
        <w:ind w:right="-159"/>
        <w:jc w:val="both"/>
        <w:rPr>
          <w:sz w:val="26"/>
          <w:szCs w:val="26"/>
        </w:rPr>
      </w:pPr>
    </w:p>
    <w:p w14:paraId="66137859" w14:textId="77777777" w:rsidR="00871DFE" w:rsidRDefault="00871DFE" w:rsidP="00943CCA">
      <w:pPr>
        <w:spacing w:after="360" w:line="360" w:lineRule="auto"/>
        <w:ind w:right="-159"/>
        <w:jc w:val="both"/>
        <w:rPr>
          <w:sz w:val="26"/>
          <w:szCs w:val="26"/>
        </w:rPr>
      </w:pPr>
    </w:p>
    <w:p w14:paraId="13FCEADE" w14:textId="77777777" w:rsidR="00871DFE" w:rsidRDefault="00871DFE" w:rsidP="00943CCA">
      <w:pPr>
        <w:spacing w:after="360" w:line="360" w:lineRule="auto"/>
        <w:ind w:right="-159"/>
        <w:jc w:val="both"/>
        <w:rPr>
          <w:sz w:val="26"/>
          <w:szCs w:val="26"/>
        </w:rPr>
      </w:pPr>
    </w:p>
    <w:p w14:paraId="68CAF5C7" w14:textId="77777777" w:rsidR="00871DFE" w:rsidRPr="00943CCA" w:rsidRDefault="00871DFE" w:rsidP="00943CCA">
      <w:pPr>
        <w:spacing w:after="360" w:line="360" w:lineRule="auto"/>
        <w:ind w:right="-159"/>
        <w:jc w:val="both"/>
        <w:rPr>
          <w:sz w:val="26"/>
          <w:szCs w:val="26"/>
        </w:rPr>
      </w:pPr>
    </w:p>
    <w:tbl>
      <w:tblPr>
        <w:tblStyle w:val="Tablaconcuadrcula"/>
        <w:tblW w:w="0" w:type="auto"/>
        <w:jc w:val="center"/>
        <w:tblLook w:val="04A0" w:firstRow="1" w:lastRow="0" w:firstColumn="1" w:lastColumn="0" w:noHBand="0" w:noVBand="1"/>
      </w:tblPr>
      <w:tblGrid>
        <w:gridCol w:w="2344"/>
        <w:gridCol w:w="1756"/>
        <w:gridCol w:w="222"/>
        <w:gridCol w:w="2341"/>
        <w:gridCol w:w="1701"/>
      </w:tblGrid>
      <w:tr w:rsidR="00943CCA" w:rsidRPr="00943CCA" w14:paraId="23BA0FC7" w14:textId="77777777" w:rsidTr="00082E99">
        <w:trPr>
          <w:jc w:val="center"/>
        </w:trPr>
        <w:tc>
          <w:tcPr>
            <w:tcW w:w="4100" w:type="dxa"/>
            <w:gridSpan w:val="2"/>
            <w:tcBorders>
              <w:right w:val="single" w:sz="4" w:space="0" w:color="auto"/>
            </w:tcBorders>
            <w:vAlign w:val="center"/>
          </w:tcPr>
          <w:p w14:paraId="012A8400" w14:textId="77777777" w:rsidR="00943CCA" w:rsidRPr="00943CCA" w:rsidRDefault="00943CCA" w:rsidP="00943CCA">
            <w:pPr>
              <w:jc w:val="center"/>
              <w:rPr>
                <w:b/>
                <w:sz w:val="20"/>
                <w:szCs w:val="20"/>
              </w:rPr>
            </w:pPr>
            <w:r w:rsidRPr="00943CCA">
              <w:rPr>
                <w:b/>
                <w:sz w:val="20"/>
                <w:szCs w:val="20"/>
              </w:rPr>
              <w:lastRenderedPageBreak/>
              <w:t>RENDIMIENTO NETO DE LA SB1</w:t>
            </w:r>
          </w:p>
          <w:p w14:paraId="5716B1BD" w14:textId="77777777" w:rsidR="00943CCA" w:rsidRPr="00943CCA" w:rsidRDefault="00943CCA" w:rsidP="00943CCA">
            <w:pPr>
              <w:jc w:val="center"/>
              <w:rPr>
                <w:b/>
                <w:sz w:val="20"/>
                <w:szCs w:val="20"/>
              </w:rPr>
            </w:pPr>
            <w:r w:rsidRPr="00943CCA">
              <w:rPr>
                <w:b/>
                <w:sz w:val="20"/>
                <w:szCs w:val="20"/>
              </w:rPr>
              <w:t>60 años y mayores</w:t>
            </w:r>
          </w:p>
          <w:p w14:paraId="1CAD9347" w14:textId="77777777" w:rsidR="00943CCA" w:rsidRPr="00943CCA" w:rsidRDefault="00943CCA" w:rsidP="00943CCA">
            <w:pPr>
              <w:jc w:val="center"/>
              <w:rPr>
                <w:b/>
                <w:sz w:val="20"/>
                <w:szCs w:val="20"/>
              </w:rPr>
            </w:pPr>
            <w:r w:rsidRPr="00943CCA">
              <w:rPr>
                <w:b/>
                <w:sz w:val="20"/>
                <w:szCs w:val="20"/>
              </w:rPr>
              <w:t>-Por ciento-</w:t>
            </w:r>
          </w:p>
        </w:tc>
        <w:tc>
          <w:tcPr>
            <w:tcW w:w="222" w:type="dxa"/>
            <w:tcBorders>
              <w:top w:val="nil"/>
              <w:left w:val="single" w:sz="4" w:space="0" w:color="auto"/>
              <w:bottom w:val="nil"/>
              <w:right w:val="single" w:sz="4" w:space="0" w:color="auto"/>
            </w:tcBorders>
          </w:tcPr>
          <w:p w14:paraId="49F7D426" w14:textId="77777777" w:rsidR="00943CCA" w:rsidRPr="00943CCA" w:rsidRDefault="00943CCA" w:rsidP="00943CCA">
            <w:pPr>
              <w:jc w:val="center"/>
              <w:rPr>
                <w:b/>
                <w:sz w:val="20"/>
                <w:szCs w:val="20"/>
              </w:rPr>
            </w:pPr>
          </w:p>
        </w:tc>
        <w:tc>
          <w:tcPr>
            <w:tcW w:w="4042" w:type="dxa"/>
            <w:gridSpan w:val="2"/>
            <w:tcBorders>
              <w:left w:val="single" w:sz="4" w:space="0" w:color="auto"/>
            </w:tcBorders>
            <w:vAlign w:val="center"/>
          </w:tcPr>
          <w:p w14:paraId="439288FA" w14:textId="77777777" w:rsidR="00943CCA" w:rsidRPr="00943CCA" w:rsidRDefault="00943CCA" w:rsidP="00943CCA">
            <w:pPr>
              <w:jc w:val="center"/>
              <w:rPr>
                <w:b/>
                <w:sz w:val="20"/>
                <w:szCs w:val="20"/>
              </w:rPr>
            </w:pPr>
            <w:r w:rsidRPr="00943CCA">
              <w:rPr>
                <w:b/>
                <w:sz w:val="20"/>
                <w:szCs w:val="20"/>
              </w:rPr>
              <w:t>RENDIMIENTO NETO DE LA SB2</w:t>
            </w:r>
          </w:p>
          <w:p w14:paraId="679DAA1F" w14:textId="77777777" w:rsidR="00943CCA" w:rsidRPr="00943CCA" w:rsidRDefault="00943CCA" w:rsidP="00943CCA">
            <w:pPr>
              <w:jc w:val="center"/>
              <w:rPr>
                <w:b/>
                <w:sz w:val="20"/>
                <w:szCs w:val="20"/>
              </w:rPr>
            </w:pPr>
            <w:r w:rsidRPr="00943CCA">
              <w:rPr>
                <w:b/>
                <w:sz w:val="20"/>
                <w:szCs w:val="20"/>
              </w:rPr>
              <w:t>46 a 59 años</w:t>
            </w:r>
          </w:p>
          <w:p w14:paraId="26945628" w14:textId="77777777" w:rsidR="00943CCA" w:rsidRPr="00943CCA" w:rsidRDefault="00943CCA" w:rsidP="00943CCA">
            <w:pPr>
              <w:jc w:val="center"/>
              <w:rPr>
                <w:b/>
                <w:sz w:val="20"/>
                <w:szCs w:val="20"/>
              </w:rPr>
            </w:pPr>
            <w:r w:rsidRPr="00943CCA">
              <w:rPr>
                <w:b/>
                <w:sz w:val="20"/>
                <w:szCs w:val="20"/>
              </w:rPr>
              <w:t>-Por ciento-</w:t>
            </w:r>
          </w:p>
        </w:tc>
      </w:tr>
      <w:tr w:rsidR="00943CCA" w:rsidRPr="00943CCA" w14:paraId="5F6559EE" w14:textId="77777777" w:rsidTr="00082E99">
        <w:trPr>
          <w:jc w:val="center"/>
        </w:trPr>
        <w:tc>
          <w:tcPr>
            <w:tcW w:w="2344" w:type="dxa"/>
            <w:vAlign w:val="center"/>
          </w:tcPr>
          <w:p w14:paraId="33FC1791" w14:textId="77777777" w:rsidR="00943CCA" w:rsidRPr="00943CCA" w:rsidRDefault="00943CCA" w:rsidP="00943CCA">
            <w:pPr>
              <w:jc w:val="center"/>
              <w:rPr>
                <w:b/>
                <w:sz w:val="20"/>
                <w:szCs w:val="20"/>
              </w:rPr>
            </w:pPr>
            <w:r w:rsidRPr="00943CCA">
              <w:rPr>
                <w:b/>
                <w:sz w:val="20"/>
                <w:szCs w:val="20"/>
              </w:rPr>
              <w:t>Siefore Básica 1</w:t>
            </w:r>
          </w:p>
        </w:tc>
        <w:tc>
          <w:tcPr>
            <w:tcW w:w="1756" w:type="dxa"/>
            <w:tcBorders>
              <w:right w:val="single" w:sz="4" w:space="0" w:color="auto"/>
            </w:tcBorders>
          </w:tcPr>
          <w:p w14:paraId="6920DA15" w14:textId="77777777" w:rsidR="00943CCA" w:rsidRPr="00943CCA" w:rsidRDefault="00943CCA" w:rsidP="00943CCA">
            <w:pPr>
              <w:jc w:val="center"/>
              <w:rPr>
                <w:b/>
                <w:sz w:val="20"/>
                <w:szCs w:val="20"/>
              </w:rPr>
            </w:pPr>
            <w:r w:rsidRPr="00943CCA">
              <w:rPr>
                <w:b/>
                <w:sz w:val="20"/>
                <w:szCs w:val="20"/>
              </w:rPr>
              <w:t>Rendimiento Neto</w:t>
            </w:r>
          </w:p>
        </w:tc>
        <w:tc>
          <w:tcPr>
            <w:tcW w:w="222" w:type="dxa"/>
            <w:tcBorders>
              <w:top w:val="nil"/>
              <w:left w:val="single" w:sz="4" w:space="0" w:color="auto"/>
              <w:bottom w:val="nil"/>
              <w:right w:val="single" w:sz="4" w:space="0" w:color="auto"/>
            </w:tcBorders>
          </w:tcPr>
          <w:p w14:paraId="2C5B519D" w14:textId="77777777" w:rsidR="00943CCA" w:rsidRPr="00943CCA" w:rsidRDefault="00943CCA" w:rsidP="00943CCA">
            <w:pPr>
              <w:jc w:val="center"/>
              <w:rPr>
                <w:b/>
                <w:sz w:val="20"/>
                <w:szCs w:val="20"/>
              </w:rPr>
            </w:pPr>
          </w:p>
        </w:tc>
        <w:tc>
          <w:tcPr>
            <w:tcW w:w="2341" w:type="dxa"/>
            <w:tcBorders>
              <w:left w:val="single" w:sz="4" w:space="0" w:color="auto"/>
            </w:tcBorders>
            <w:vAlign w:val="center"/>
          </w:tcPr>
          <w:p w14:paraId="4656C2C9" w14:textId="77777777" w:rsidR="00943CCA" w:rsidRPr="00943CCA" w:rsidRDefault="00943CCA" w:rsidP="00943CCA">
            <w:pPr>
              <w:jc w:val="center"/>
              <w:rPr>
                <w:b/>
                <w:sz w:val="20"/>
                <w:szCs w:val="20"/>
              </w:rPr>
            </w:pPr>
            <w:r w:rsidRPr="00943CCA">
              <w:rPr>
                <w:b/>
                <w:sz w:val="20"/>
                <w:szCs w:val="20"/>
              </w:rPr>
              <w:t>Siefore Básica 2</w:t>
            </w:r>
          </w:p>
        </w:tc>
        <w:tc>
          <w:tcPr>
            <w:tcW w:w="1701" w:type="dxa"/>
          </w:tcPr>
          <w:p w14:paraId="097B6F31" w14:textId="77777777" w:rsidR="00943CCA" w:rsidRPr="00943CCA" w:rsidRDefault="00943CCA" w:rsidP="00943CCA">
            <w:pPr>
              <w:jc w:val="center"/>
              <w:rPr>
                <w:b/>
                <w:sz w:val="20"/>
                <w:szCs w:val="20"/>
              </w:rPr>
            </w:pPr>
            <w:r w:rsidRPr="00943CCA">
              <w:rPr>
                <w:b/>
                <w:sz w:val="20"/>
                <w:szCs w:val="20"/>
              </w:rPr>
              <w:t>Rendimiento Neto</w:t>
            </w:r>
          </w:p>
        </w:tc>
      </w:tr>
      <w:tr w:rsidR="00943CCA" w:rsidRPr="00943CCA" w14:paraId="05826439" w14:textId="77777777" w:rsidTr="00082E99">
        <w:trPr>
          <w:jc w:val="center"/>
        </w:trPr>
        <w:tc>
          <w:tcPr>
            <w:tcW w:w="2344" w:type="dxa"/>
            <w:tcBorders>
              <w:bottom w:val="nil"/>
            </w:tcBorders>
          </w:tcPr>
          <w:p w14:paraId="4E37E2F7" w14:textId="77777777" w:rsidR="00943CCA" w:rsidRPr="00943CCA" w:rsidRDefault="00943CCA" w:rsidP="00943CCA">
            <w:pPr>
              <w:rPr>
                <w:sz w:val="20"/>
                <w:szCs w:val="20"/>
              </w:rPr>
            </w:pPr>
            <w:r w:rsidRPr="00943CCA">
              <w:rPr>
                <w:sz w:val="20"/>
                <w:szCs w:val="20"/>
              </w:rPr>
              <w:t>PensionISSSTE</w:t>
            </w:r>
          </w:p>
        </w:tc>
        <w:tc>
          <w:tcPr>
            <w:tcW w:w="1756" w:type="dxa"/>
            <w:tcBorders>
              <w:bottom w:val="nil"/>
              <w:right w:val="single" w:sz="4" w:space="0" w:color="auto"/>
            </w:tcBorders>
          </w:tcPr>
          <w:p w14:paraId="510AFFF6" w14:textId="77777777" w:rsidR="00943CCA" w:rsidRPr="00943CCA" w:rsidRDefault="00943CCA" w:rsidP="00943CCA">
            <w:pPr>
              <w:ind w:right="624"/>
              <w:jc w:val="right"/>
              <w:rPr>
                <w:sz w:val="20"/>
                <w:szCs w:val="20"/>
              </w:rPr>
            </w:pPr>
            <w:r w:rsidRPr="00943CCA">
              <w:rPr>
                <w:sz w:val="20"/>
                <w:szCs w:val="20"/>
              </w:rPr>
              <w:t>7.46</w:t>
            </w:r>
          </w:p>
        </w:tc>
        <w:tc>
          <w:tcPr>
            <w:tcW w:w="222" w:type="dxa"/>
            <w:tcBorders>
              <w:top w:val="nil"/>
              <w:left w:val="single" w:sz="4" w:space="0" w:color="auto"/>
              <w:bottom w:val="nil"/>
              <w:right w:val="single" w:sz="4" w:space="0" w:color="auto"/>
            </w:tcBorders>
          </w:tcPr>
          <w:p w14:paraId="2E0A5F3A" w14:textId="77777777" w:rsidR="00943CCA" w:rsidRPr="00943CCA" w:rsidRDefault="00943CCA" w:rsidP="00943CCA">
            <w:pPr>
              <w:ind w:right="624"/>
              <w:jc w:val="right"/>
              <w:rPr>
                <w:sz w:val="20"/>
                <w:szCs w:val="20"/>
              </w:rPr>
            </w:pPr>
          </w:p>
        </w:tc>
        <w:tc>
          <w:tcPr>
            <w:tcW w:w="2341" w:type="dxa"/>
            <w:tcBorders>
              <w:left w:val="single" w:sz="4" w:space="0" w:color="auto"/>
              <w:bottom w:val="nil"/>
            </w:tcBorders>
          </w:tcPr>
          <w:p w14:paraId="5EF40C42" w14:textId="77777777" w:rsidR="00943CCA" w:rsidRPr="00943CCA" w:rsidRDefault="00943CCA" w:rsidP="00943CCA">
            <w:pPr>
              <w:ind w:right="624"/>
              <w:rPr>
                <w:sz w:val="20"/>
                <w:szCs w:val="20"/>
              </w:rPr>
            </w:pPr>
            <w:r w:rsidRPr="00943CCA">
              <w:rPr>
                <w:sz w:val="20"/>
                <w:szCs w:val="20"/>
              </w:rPr>
              <w:t>SURA</w:t>
            </w:r>
          </w:p>
        </w:tc>
        <w:tc>
          <w:tcPr>
            <w:tcW w:w="1701" w:type="dxa"/>
            <w:tcBorders>
              <w:bottom w:val="nil"/>
            </w:tcBorders>
          </w:tcPr>
          <w:p w14:paraId="53873829" w14:textId="77777777" w:rsidR="00943CCA" w:rsidRPr="00943CCA" w:rsidRDefault="00943CCA" w:rsidP="00943CCA">
            <w:pPr>
              <w:ind w:right="624"/>
              <w:jc w:val="right"/>
              <w:rPr>
                <w:sz w:val="20"/>
                <w:szCs w:val="20"/>
              </w:rPr>
            </w:pPr>
            <w:r w:rsidRPr="00943CCA">
              <w:rPr>
                <w:sz w:val="20"/>
                <w:szCs w:val="20"/>
              </w:rPr>
              <w:t>9.36</w:t>
            </w:r>
          </w:p>
        </w:tc>
      </w:tr>
      <w:tr w:rsidR="00943CCA" w:rsidRPr="00943CCA" w14:paraId="0995AC9D" w14:textId="77777777" w:rsidTr="00082E99">
        <w:trPr>
          <w:jc w:val="center"/>
        </w:trPr>
        <w:tc>
          <w:tcPr>
            <w:tcW w:w="2344" w:type="dxa"/>
            <w:tcBorders>
              <w:top w:val="nil"/>
              <w:bottom w:val="nil"/>
            </w:tcBorders>
          </w:tcPr>
          <w:p w14:paraId="764BA4B0" w14:textId="77777777" w:rsidR="00943CCA" w:rsidRPr="00943CCA" w:rsidRDefault="00943CCA" w:rsidP="00943CCA">
            <w:pPr>
              <w:rPr>
                <w:sz w:val="20"/>
                <w:szCs w:val="20"/>
              </w:rPr>
            </w:pPr>
            <w:r w:rsidRPr="00943CCA">
              <w:rPr>
                <w:sz w:val="20"/>
                <w:szCs w:val="20"/>
              </w:rPr>
              <w:t>Invercap</w:t>
            </w:r>
          </w:p>
        </w:tc>
        <w:tc>
          <w:tcPr>
            <w:tcW w:w="1756" w:type="dxa"/>
            <w:tcBorders>
              <w:top w:val="nil"/>
              <w:bottom w:val="nil"/>
              <w:right w:val="single" w:sz="4" w:space="0" w:color="auto"/>
            </w:tcBorders>
          </w:tcPr>
          <w:p w14:paraId="4EF9E6CD" w14:textId="77777777" w:rsidR="00943CCA" w:rsidRPr="00943CCA" w:rsidRDefault="00943CCA" w:rsidP="00943CCA">
            <w:pPr>
              <w:ind w:right="624"/>
              <w:jc w:val="right"/>
              <w:rPr>
                <w:sz w:val="20"/>
                <w:szCs w:val="20"/>
              </w:rPr>
            </w:pPr>
            <w:r w:rsidRPr="00943CCA">
              <w:rPr>
                <w:sz w:val="20"/>
                <w:szCs w:val="20"/>
              </w:rPr>
              <w:t>7.03</w:t>
            </w:r>
          </w:p>
        </w:tc>
        <w:tc>
          <w:tcPr>
            <w:tcW w:w="222" w:type="dxa"/>
            <w:tcBorders>
              <w:top w:val="nil"/>
              <w:left w:val="single" w:sz="4" w:space="0" w:color="auto"/>
              <w:bottom w:val="nil"/>
              <w:right w:val="single" w:sz="4" w:space="0" w:color="auto"/>
            </w:tcBorders>
          </w:tcPr>
          <w:p w14:paraId="641831D8" w14:textId="77777777" w:rsidR="00943CCA" w:rsidRPr="00943CCA" w:rsidRDefault="00943CCA" w:rsidP="00943CCA">
            <w:pPr>
              <w:ind w:right="624"/>
              <w:jc w:val="right"/>
              <w:rPr>
                <w:sz w:val="20"/>
                <w:szCs w:val="20"/>
              </w:rPr>
            </w:pPr>
          </w:p>
        </w:tc>
        <w:tc>
          <w:tcPr>
            <w:tcW w:w="2341" w:type="dxa"/>
            <w:tcBorders>
              <w:top w:val="nil"/>
              <w:left w:val="single" w:sz="4" w:space="0" w:color="auto"/>
              <w:bottom w:val="nil"/>
            </w:tcBorders>
          </w:tcPr>
          <w:p w14:paraId="0F3D107A" w14:textId="77777777" w:rsidR="00943CCA" w:rsidRPr="00943CCA" w:rsidRDefault="00943CCA" w:rsidP="00943CCA">
            <w:pPr>
              <w:ind w:right="624"/>
              <w:rPr>
                <w:sz w:val="20"/>
                <w:szCs w:val="20"/>
              </w:rPr>
            </w:pPr>
            <w:r w:rsidRPr="00943CCA">
              <w:rPr>
                <w:sz w:val="20"/>
                <w:szCs w:val="20"/>
              </w:rPr>
              <w:t>PensionISSSTE</w:t>
            </w:r>
          </w:p>
        </w:tc>
        <w:tc>
          <w:tcPr>
            <w:tcW w:w="1701" w:type="dxa"/>
            <w:tcBorders>
              <w:top w:val="nil"/>
              <w:bottom w:val="nil"/>
            </w:tcBorders>
          </w:tcPr>
          <w:p w14:paraId="34ADC61A" w14:textId="77777777" w:rsidR="00943CCA" w:rsidRPr="00943CCA" w:rsidRDefault="00943CCA" w:rsidP="00943CCA">
            <w:pPr>
              <w:ind w:right="624"/>
              <w:jc w:val="right"/>
              <w:rPr>
                <w:sz w:val="20"/>
                <w:szCs w:val="20"/>
              </w:rPr>
            </w:pPr>
            <w:r w:rsidRPr="00943CCA">
              <w:rPr>
                <w:sz w:val="20"/>
                <w:szCs w:val="20"/>
              </w:rPr>
              <w:t>9.22</w:t>
            </w:r>
          </w:p>
        </w:tc>
      </w:tr>
      <w:tr w:rsidR="00943CCA" w:rsidRPr="00943CCA" w14:paraId="176E82FD" w14:textId="77777777" w:rsidTr="00082E99">
        <w:trPr>
          <w:jc w:val="center"/>
        </w:trPr>
        <w:tc>
          <w:tcPr>
            <w:tcW w:w="2344" w:type="dxa"/>
            <w:tcBorders>
              <w:top w:val="nil"/>
              <w:bottom w:val="nil"/>
            </w:tcBorders>
          </w:tcPr>
          <w:p w14:paraId="4E0BBC5B" w14:textId="77777777" w:rsidR="00943CCA" w:rsidRPr="00943CCA" w:rsidRDefault="00943CCA" w:rsidP="00943CCA">
            <w:pPr>
              <w:rPr>
                <w:sz w:val="20"/>
                <w:szCs w:val="20"/>
              </w:rPr>
            </w:pPr>
            <w:r w:rsidRPr="00943CCA">
              <w:rPr>
                <w:sz w:val="20"/>
                <w:szCs w:val="20"/>
              </w:rPr>
              <w:t>SURA</w:t>
            </w:r>
          </w:p>
        </w:tc>
        <w:tc>
          <w:tcPr>
            <w:tcW w:w="1756" w:type="dxa"/>
            <w:tcBorders>
              <w:top w:val="nil"/>
              <w:bottom w:val="nil"/>
              <w:right w:val="single" w:sz="4" w:space="0" w:color="auto"/>
            </w:tcBorders>
          </w:tcPr>
          <w:p w14:paraId="3345C72D" w14:textId="77777777" w:rsidR="00943CCA" w:rsidRPr="00943CCA" w:rsidRDefault="00943CCA" w:rsidP="00943CCA">
            <w:pPr>
              <w:ind w:right="624"/>
              <w:jc w:val="right"/>
              <w:rPr>
                <w:sz w:val="20"/>
                <w:szCs w:val="20"/>
              </w:rPr>
            </w:pPr>
            <w:r w:rsidRPr="00943CCA">
              <w:rPr>
                <w:sz w:val="20"/>
                <w:szCs w:val="20"/>
              </w:rPr>
              <w:t>6.96</w:t>
            </w:r>
          </w:p>
        </w:tc>
        <w:tc>
          <w:tcPr>
            <w:tcW w:w="222" w:type="dxa"/>
            <w:tcBorders>
              <w:top w:val="nil"/>
              <w:left w:val="single" w:sz="4" w:space="0" w:color="auto"/>
              <w:bottom w:val="nil"/>
              <w:right w:val="single" w:sz="4" w:space="0" w:color="auto"/>
            </w:tcBorders>
          </w:tcPr>
          <w:p w14:paraId="16F6D434" w14:textId="77777777" w:rsidR="00943CCA" w:rsidRPr="00943CCA" w:rsidRDefault="00943CCA" w:rsidP="00943CCA">
            <w:pPr>
              <w:ind w:right="624"/>
              <w:jc w:val="right"/>
              <w:rPr>
                <w:sz w:val="20"/>
                <w:szCs w:val="20"/>
              </w:rPr>
            </w:pPr>
          </w:p>
        </w:tc>
        <w:tc>
          <w:tcPr>
            <w:tcW w:w="2341" w:type="dxa"/>
            <w:tcBorders>
              <w:top w:val="nil"/>
              <w:left w:val="single" w:sz="4" w:space="0" w:color="auto"/>
              <w:bottom w:val="nil"/>
            </w:tcBorders>
          </w:tcPr>
          <w:p w14:paraId="163793FA" w14:textId="77777777" w:rsidR="00943CCA" w:rsidRPr="00943CCA" w:rsidRDefault="00943CCA" w:rsidP="00943CCA">
            <w:pPr>
              <w:ind w:right="624"/>
              <w:rPr>
                <w:sz w:val="20"/>
                <w:szCs w:val="20"/>
              </w:rPr>
            </w:pPr>
            <w:r w:rsidRPr="00943CCA">
              <w:rPr>
                <w:sz w:val="20"/>
                <w:szCs w:val="20"/>
              </w:rPr>
              <w:t xml:space="preserve">Banamex </w:t>
            </w:r>
          </w:p>
        </w:tc>
        <w:tc>
          <w:tcPr>
            <w:tcW w:w="1701" w:type="dxa"/>
            <w:tcBorders>
              <w:top w:val="nil"/>
              <w:bottom w:val="nil"/>
            </w:tcBorders>
          </w:tcPr>
          <w:p w14:paraId="6D34A36D" w14:textId="77777777" w:rsidR="00943CCA" w:rsidRPr="00943CCA" w:rsidRDefault="00943CCA" w:rsidP="00943CCA">
            <w:pPr>
              <w:ind w:right="624"/>
              <w:jc w:val="right"/>
              <w:rPr>
                <w:sz w:val="20"/>
                <w:szCs w:val="20"/>
              </w:rPr>
            </w:pPr>
            <w:r w:rsidRPr="00943CCA">
              <w:rPr>
                <w:sz w:val="20"/>
                <w:szCs w:val="20"/>
              </w:rPr>
              <w:t>8.69</w:t>
            </w:r>
          </w:p>
        </w:tc>
      </w:tr>
      <w:tr w:rsidR="00943CCA" w:rsidRPr="00943CCA" w14:paraId="3D2E6DEC" w14:textId="77777777" w:rsidTr="00082E99">
        <w:trPr>
          <w:jc w:val="center"/>
        </w:trPr>
        <w:tc>
          <w:tcPr>
            <w:tcW w:w="2344" w:type="dxa"/>
            <w:tcBorders>
              <w:top w:val="nil"/>
              <w:bottom w:val="nil"/>
            </w:tcBorders>
          </w:tcPr>
          <w:p w14:paraId="05A3D717" w14:textId="77777777" w:rsidR="00943CCA" w:rsidRPr="00943CCA" w:rsidRDefault="00943CCA" w:rsidP="00943CCA">
            <w:pPr>
              <w:rPr>
                <w:sz w:val="20"/>
                <w:szCs w:val="20"/>
              </w:rPr>
            </w:pPr>
            <w:r w:rsidRPr="00943CCA">
              <w:rPr>
                <w:sz w:val="20"/>
                <w:szCs w:val="20"/>
              </w:rPr>
              <w:t>Profuturo GNP</w:t>
            </w:r>
          </w:p>
        </w:tc>
        <w:tc>
          <w:tcPr>
            <w:tcW w:w="1756" w:type="dxa"/>
            <w:tcBorders>
              <w:top w:val="nil"/>
              <w:bottom w:val="nil"/>
              <w:right w:val="single" w:sz="4" w:space="0" w:color="auto"/>
            </w:tcBorders>
          </w:tcPr>
          <w:p w14:paraId="797F4327" w14:textId="77777777" w:rsidR="00943CCA" w:rsidRPr="00943CCA" w:rsidRDefault="00943CCA" w:rsidP="00943CCA">
            <w:pPr>
              <w:ind w:right="624"/>
              <w:jc w:val="right"/>
              <w:rPr>
                <w:sz w:val="20"/>
                <w:szCs w:val="20"/>
              </w:rPr>
            </w:pPr>
            <w:r w:rsidRPr="00943CCA">
              <w:rPr>
                <w:sz w:val="20"/>
                <w:szCs w:val="20"/>
              </w:rPr>
              <w:t>6.77</w:t>
            </w:r>
          </w:p>
        </w:tc>
        <w:tc>
          <w:tcPr>
            <w:tcW w:w="222" w:type="dxa"/>
            <w:tcBorders>
              <w:top w:val="nil"/>
              <w:left w:val="single" w:sz="4" w:space="0" w:color="auto"/>
              <w:bottom w:val="nil"/>
              <w:right w:val="single" w:sz="4" w:space="0" w:color="auto"/>
            </w:tcBorders>
          </w:tcPr>
          <w:p w14:paraId="2240190B" w14:textId="77777777" w:rsidR="00943CCA" w:rsidRPr="00943CCA" w:rsidRDefault="00943CCA" w:rsidP="00943CCA">
            <w:pPr>
              <w:ind w:right="624"/>
              <w:jc w:val="right"/>
              <w:rPr>
                <w:sz w:val="20"/>
                <w:szCs w:val="20"/>
              </w:rPr>
            </w:pPr>
          </w:p>
        </w:tc>
        <w:tc>
          <w:tcPr>
            <w:tcW w:w="2341" w:type="dxa"/>
            <w:tcBorders>
              <w:top w:val="nil"/>
              <w:left w:val="single" w:sz="4" w:space="0" w:color="auto"/>
              <w:bottom w:val="nil"/>
            </w:tcBorders>
          </w:tcPr>
          <w:p w14:paraId="100D87CD" w14:textId="77777777" w:rsidR="00943CCA" w:rsidRPr="00943CCA" w:rsidRDefault="00943CCA" w:rsidP="00943CCA">
            <w:pPr>
              <w:ind w:right="624"/>
              <w:rPr>
                <w:sz w:val="20"/>
                <w:szCs w:val="20"/>
              </w:rPr>
            </w:pPr>
            <w:r w:rsidRPr="00943CCA">
              <w:rPr>
                <w:sz w:val="20"/>
                <w:szCs w:val="20"/>
              </w:rPr>
              <w:t>Profuturo GNP</w:t>
            </w:r>
          </w:p>
        </w:tc>
        <w:tc>
          <w:tcPr>
            <w:tcW w:w="1701" w:type="dxa"/>
            <w:tcBorders>
              <w:top w:val="nil"/>
              <w:bottom w:val="nil"/>
            </w:tcBorders>
          </w:tcPr>
          <w:p w14:paraId="721F7DEA" w14:textId="77777777" w:rsidR="00943CCA" w:rsidRPr="00943CCA" w:rsidRDefault="00943CCA" w:rsidP="00943CCA">
            <w:pPr>
              <w:ind w:right="624"/>
              <w:jc w:val="right"/>
              <w:rPr>
                <w:sz w:val="20"/>
                <w:szCs w:val="20"/>
              </w:rPr>
            </w:pPr>
            <w:r w:rsidRPr="00943CCA">
              <w:rPr>
                <w:sz w:val="20"/>
                <w:szCs w:val="20"/>
              </w:rPr>
              <w:t>8.54</w:t>
            </w:r>
          </w:p>
        </w:tc>
      </w:tr>
      <w:tr w:rsidR="00943CCA" w:rsidRPr="00943CCA" w14:paraId="5DD2012B" w14:textId="77777777" w:rsidTr="00082E99">
        <w:trPr>
          <w:jc w:val="center"/>
        </w:trPr>
        <w:tc>
          <w:tcPr>
            <w:tcW w:w="2344" w:type="dxa"/>
            <w:tcBorders>
              <w:top w:val="nil"/>
              <w:bottom w:val="nil"/>
            </w:tcBorders>
          </w:tcPr>
          <w:p w14:paraId="393BD093" w14:textId="77777777" w:rsidR="00943CCA" w:rsidRPr="00943CCA" w:rsidRDefault="00943CCA" w:rsidP="00943CCA">
            <w:pPr>
              <w:rPr>
                <w:sz w:val="20"/>
                <w:szCs w:val="20"/>
              </w:rPr>
            </w:pPr>
            <w:r w:rsidRPr="00943CCA">
              <w:rPr>
                <w:sz w:val="20"/>
                <w:szCs w:val="20"/>
              </w:rPr>
              <w:t>Banamex</w:t>
            </w:r>
          </w:p>
        </w:tc>
        <w:tc>
          <w:tcPr>
            <w:tcW w:w="1756" w:type="dxa"/>
            <w:tcBorders>
              <w:top w:val="nil"/>
              <w:bottom w:val="nil"/>
              <w:right w:val="single" w:sz="4" w:space="0" w:color="auto"/>
            </w:tcBorders>
          </w:tcPr>
          <w:p w14:paraId="46BD6913" w14:textId="77777777" w:rsidR="00943CCA" w:rsidRPr="00943CCA" w:rsidRDefault="00943CCA" w:rsidP="00943CCA">
            <w:pPr>
              <w:ind w:right="624"/>
              <w:jc w:val="right"/>
              <w:rPr>
                <w:sz w:val="20"/>
                <w:szCs w:val="20"/>
              </w:rPr>
            </w:pPr>
            <w:r w:rsidRPr="00943CCA">
              <w:rPr>
                <w:sz w:val="20"/>
                <w:szCs w:val="20"/>
              </w:rPr>
              <w:t>6.52</w:t>
            </w:r>
          </w:p>
        </w:tc>
        <w:tc>
          <w:tcPr>
            <w:tcW w:w="222" w:type="dxa"/>
            <w:tcBorders>
              <w:top w:val="nil"/>
              <w:left w:val="single" w:sz="4" w:space="0" w:color="auto"/>
              <w:bottom w:val="nil"/>
              <w:right w:val="single" w:sz="4" w:space="0" w:color="auto"/>
            </w:tcBorders>
          </w:tcPr>
          <w:p w14:paraId="6B74D74A" w14:textId="77777777" w:rsidR="00943CCA" w:rsidRPr="00943CCA" w:rsidRDefault="00943CCA" w:rsidP="00943CCA">
            <w:pPr>
              <w:ind w:right="624"/>
              <w:jc w:val="right"/>
              <w:rPr>
                <w:sz w:val="20"/>
                <w:szCs w:val="20"/>
              </w:rPr>
            </w:pPr>
          </w:p>
        </w:tc>
        <w:tc>
          <w:tcPr>
            <w:tcW w:w="2341" w:type="dxa"/>
            <w:tcBorders>
              <w:top w:val="nil"/>
              <w:left w:val="single" w:sz="4" w:space="0" w:color="auto"/>
              <w:bottom w:val="nil"/>
            </w:tcBorders>
          </w:tcPr>
          <w:p w14:paraId="7C742678" w14:textId="77777777" w:rsidR="00943CCA" w:rsidRPr="00943CCA" w:rsidRDefault="00943CCA" w:rsidP="00943CCA">
            <w:pPr>
              <w:ind w:right="624"/>
              <w:rPr>
                <w:sz w:val="20"/>
                <w:szCs w:val="20"/>
              </w:rPr>
            </w:pPr>
            <w:r w:rsidRPr="00943CCA">
              <w:rPr>
                <w:sz w:val="20"/>
                <w:szCs w:val="20"/>
              </w:rPr>
              <w:t>XXI-Banorte</w:t>
            </w:r>
          </w:p>
        </w:tc>
        <w:tc>
          <w:tcPr>
            <w:tcW w:w="1701" w:type="dxa"/>
            <w:tcBorders>
              <w:top w:val="nil"/>
              <w:bottom w:val="nil"/>
            </w:tcBorders>
          </w:tcPr>
          <w:p w14:paraId="0EF4BBB6" w14:textId="77777777" w:rsidR="00943CCA" w:rsidRPr="00943CCA" w:rsidRDefault="00943CCA" w:rsidP="00943CCA">
            <w:pPr>
              <w:ind w:right="624"/>
              <w:jc w:val="right"/>
              <w:rPr>
                <w:sz w:val="20"/>
                <w:szCs w:val="20"/>
              </w:rPr>
            </w:pPr>
            <w:r w:rsidRPr="00943CCA">
              <w:rPr>
                <w:sz w:val="20"/>
                <w:szCs w:val="20"/>
              </w:rPr>
              <w:t>8.21</w:t>
            </w:r>
          </w:p>
        </w:tc>
      </w:tr>
      <w:tr w:rsidR="00943CCA" w:rsidRPr="00943CCA" w14:paraId="0BDC71C1" w14:textId="77777777" w:rsidTr="00082E99">
        <w:trPr>
          <w:jc w:val="center"/>
        </w:trPr>
        <w:tc>
          <w:tcPr>
            <w:tcW w:w="2344" w:type="dxa"/>
            <w:tcBorders>
              <w:top w:val="nil"/>
              <w:bottom w:val="nil"/>
            </w:tcBorders>
          </w:tcPr>
          <w:p w14:paraId="5C83B678" w14:textId="77777777" w:rsidR="00943CCA" w:rsidRPr="00943CCA" w:rsidRDefault="00943CCA" w:rsidP="00943CCA">
            <w:pPr>
              <w:rPr>
                <w:sz w:val="20"/>
                <w:szCs w:val="20"/>
              </w:rPr>
            </w:pPr>
            <w:r w:rsidRPr="00943CCA">
              <w:rPr>
                <w:sz w:val="20"/>
                <w:szCs w:val="20"/>
              </w:rPr>
              <w:t>XXI-Banorte</w:t>
            </w:r>
          </w:p>
        </w:tc>
        <w:tc>
          <w:tcPr>
            <w:tcW w:w="1756" w:type="dxa"/>
            <w:tcBorders>
              <w:top w:val="nil"/>
              <w:bottom w:val="nil"/>
              <w:right w:val="single" w:sz="4" w:space="0" w:color="auto"/>
            </w:tcBorders>
          </w:tcPr>
          <w:p w14:paraId="43FC105B" w14:textId="77777777" w:rsidR="00943CCA" w:rsidRPr="00943CCA" w:rsidRDefault="00943CCA" w:rsidP="00943CCA">
            <w:pPr>
              <w:ind w:right="624"/>
              <w:jc w:val="right"/>
              <w:rPr>
                <w:sz w:val="20"/>
                <w:szCs w:val="20"/>
              </w:rPr>
            </w:pPr>
            <w:r w:rsidRPr="00943CCA">
              <w:rPr>
                <w:sz w:val="20"/>
                <w:szCs w:val="20"/>
              </w:rPr>
              <w:t>6.24</w:t>
            </w:r>
          </w:p>
        </w:tc>
        <w:tc>
          <w:tcPr>
            <w:tcW w:w="222" w:type="dxa"/>
            <w:tcBorders>
              <w:top w:val="nil"/>
              <w:left w:val="single" w:sz="4" w:space="0" w:color="auto"/>
              <w:bottom w:val="nil"/>
              <w:right w:val="single" w:sz="4" w:space="0" w:color="auto"/>
            </w:tcBorders>
          </w:tcPr>
          <w:p w14:paraId="380C4914" w14:textId="77777777" w:rsidR="00943CCA" w:rsidRPr="00943CCA" w:rsidRDefault="00943CCA" w:rsidP="00943CCA">
            <w:pPr>
              <w:ind w:right="624"/>
              <w:jc w:val="right"/>
              <w:rPr>
                <w:sz w:val="20"/>
                <w:szCs w:val="20"/>
              </w:rPr>
            </w:pPr>
          </w:p>
        </w:tc>
        <w:tc>
          <w:tcPr>
            <w:tcW w:w="2341" w:type="dxa"/>
            <w:tcBorders>
              <w:top w:val="nil"/>
              <w:left w:val="single" w:sz="4" w:space="0" w:color="auto"/>
              <w:bottom w:val="nil"/>
            </w:tcBorders>
          </w:tcPr>
          <w:p w14:paraId="4A5C4BD2" w14:textId="77777777" w:rsidR="00943CCA" w:rsidRPr="00943CCA" w:rsidRDefault="00943CCA" w:rsidP="00943CCA">
            <w:pPr>
              <w:ind w:right="624"/>
              <w:rPr>
                <w:sz w:val="20"/>
                <w:szCs w:val="20"/>
              </w:rPr>
            </w:pPr>
            <w:r w:rsidRPr="00943CCA">
              <w:rPr>
                <w:sz w:val="20"/>
                <w:szCs w:val="20"/>
              </w:rPr>
              <w:t>MetLife</w:t>
            </w:r>
          </w:p>
        </w:tc>
        <w:tc>
          <w:tcPr>
            <w:tcW w:w="1701" w:type="dxa"/>
            <w:tcBorders>
              <w:top w:val="nil"/>
              <w:bottom w:val="nil"/>
            </w:tcBorders>
          </w:tcPr>
          <w:p w14:paraId="51D5A309" w14:textId="77777777" w:rsidR="00943CCA" w:rsidRPr="00943CCA" w:rsidRDefault="00943CCA" w:rsidP="00943CCA">
            <w:pPr>
              <w:ind w:right="624"/>
              <w:jc w:val="right"/>
              <w:rPr>
                <w:sz w:val="20"/>
                <w:szCs w:val="20"/>
              </w:rPr>
            </w:pPr>
            <w:r w:rsidRPr="00943CCA">
              <w:rPr>
                <w:sz w:val="20"/>
                <w:szCs w:val="20"/>
              </w:rPr>
              <w:t>7.97</w:t>
            </w:r>
          </w:p>
        </w:tc>
      </w:tr>
      <w:tr w:rsidR="00943CCA" w:rsidRPr="00943CCA" w14:paraId="6560B4BC" w14:textId="77777777" w:rsidTr="00082E99">
        <w:trPr>
          <w:jc w:val="center"/>
        </w:trPr>
        <w:tc>
          <w:tcPr>
            <w:tcW w:w="2344" w:type="dxa"/>
            <w:tcBorders>
              <w:top w:val="nil"/>
              <w:bottom w:val="nil"/>
            </w:tcBorders>
          </w:tcPr>
          <w:p w14:paraId="2304B8A8" w14:textId="77777777" w:rsidR="00943CCA" w:rsidRPr="00943CCA" w:rsidRDefault="00943CCA" w:rsidP="00943CCA">
            <w:pPr>
              <w:rPr>
                <w:sz w:val="20"/>
                <w:szCs w:val="20"/>
              </w:rPr>
            </w:pPr>
            <w:r w:rsidRPr="00943CCA">
              <w:rPr>
                <w:sz w:val="20"/>
                <w:szCs w:val="20"/>
              </w:rPr>
              <w:t>Metlife</w:t>
            </w:r>
          </w:p>
        </w:tc>
        <w:tc>
          <w:tcPr>
            <w:tcW w:w="1756" w:type="dxa"/>
            <w:tcBorders>
              <w:top w:val="nil"/>
              <w:bottom w:val="nil"/>
              <w:right w:val="single" w:sz="4" w:space="0" w:color="auto"/>
            </w:tcBorders>
          </w:tcPr>
          <w:p w14:paraId="072CB9B6" w14:textId="77777777" w:rsidR="00943CCA" w:rsidRPr="00943CCA" w:rsidRDefault="00943CCA" w:rsidP="00943CCA">
            <w:pPr>
              <w:ind w:right="624"/>
              <w:jc w:val="right"/>
              <w:rPr>
                <w:sz w:val="20"/>
                <w:szCs w:val="20"/>
              </w:rPr>
            </w:pPr>
            <w:r w:rsidRPr="00943CCA">
              <w:rPr>
                <w:sz w:val="20"/>
                <w:szCs w:val="20"/>
              </w:rPr>
              <w:t>6.01</w:t>
            </w:r>
          </w:p>
        </w:tc>
        <w:tc>
          <w:tcPr>
            <w:tcW w:w="222" w:type="dxa"/>
            <w:tcBorders>
              <w:top w:val="nil"/>
              <w:left w:val="single" w:sz="4" w:space="0" w:color="auto"/>
              <w:bottom w:val="nil"/>
              <w:right w:val="single" w:sz="4" w:space="0" w:color="auto"/>
            </w:tcBorders>
          </w:tcPr>
          <w:p w14:paraId="59DD22D4" w14:textId="77777777" w:rsidR="00943CCA" w:rsidRPr="00943CCA" w:rsidRDefault="00943CCA" w:rsidP="00943CCA">
            <w:pPr>
              <w:ind w:right="624"/>
              <w:jc w:val="right"/>
              <w:rPr>
                <w:sz w:val="20"/>
                <w:szCs w:val="20"/>
              </w:rPr>
            </w:pPr>
          </w:p>
        </w:tc>
        <w:tc>
          <w:tcPr>
            <w:tcW w:w="2341" w:type="dxa"/>
            <w:tcBorders>
              <w:top w:val="nil"/>
              <w:left w:val="single" w:sz="4" w:space="0" w:color="auto"/>
              <w:bottom w:val="nil"/>
            </w:tcBorders>
          </w:tcPr>
          <w:p w14:paraId="138E0333" w14:textId="77777777" w:rsidR="00943CCA" w:rsidRPr="00943CCA" w:rsidRDefault="00943CCA" w:rsidP="00943CCA">
            <w:pPr>
              <w:ind w:right="624"/>
              <w:rPr>
                <w:sz w:val="20"/>
                <w:szCs w:val="20"/>
              </w:rPr>
            </w:pPr>
            <w:r w:rsidRPr="00943CCA">
              <w:rPr>
                <w:sz w:val="20"/>
                <w:szCs w:val="20"/>
              </w:rPr>
              <w:t>Invercap</w:t>
            </w:r>
          </w:p>
        </w:tc>
        <w:tc>
          <w:tcPr>
            <w:tcW w:w="1701" w:type="dxa"/>
            <w:tcBorders>
              <w:top w:val="nil"/>
              <w:bottom w:val="nil"/>
            </w:tcBorders>
          </w:tcPr>
          <w:p w14:paraId="4A1D6962" w14:textId="77777777" w:rsidR="00943CCA" w:rsidRPr="00943CCA" w:rsidRDefault="00943CCA" w:rsidP="00943CCA">
            <w:pPr>
              <w:ind w:right="624"/>
              <w:jc w:val="right"/>
              <w:rPr>
                <w:sz w:val="20"/>
                <w:szCs w:val="20"/>
              </w:rPr>
            </w:pPr>
            <w:r w:rsidRPr="00943CCA">
              <w:rPr>
                <w:sz w:val="20"/>
                <w:szCs w:val="20"/>
              </w:rPr>
              <w:t>7.87</w:t>
            </w:r>
          </w:p>
        </w:tc>
      </w:tr>
      <w:tr w:rsidR="00943CCA" w:rsidRPr="00943CCA" w14:paraId="2F83F9C2" w14:textId="77777777" w:rsidTr="00082E99">
        <w:trPr>
          <w:jc w:val="center"/>
        </w:trPr>
        <w:tc>
          <w:tcPr>
            <w:tcW w:w="2344" w:type="dxa"/>
            <w:tcBorders>
              <w:top w:val="nil"/>
              <w:bottom w:val="nil"/>
            </w:tcBorders>
          </w:tcPr>
          <w:p w14:paraId="4A026BDC" w14:textId="77777777" w:rsidR="00943CCA" w:rsidRPr="00943CCA" w:rsidRDefault="00943CCA" w:rsidP="00943CCA">
            <w:pPr>
              <w:rPr>
                <w:sz w:val="20"/>
                <w:szCs w:val="20"/>
              </w:rPr>
            </w:pPr>
            <w:r w:rsidRPr="00943CCA">
              <w:rPr>
                <w:sz w:val="20"/>
                <w:szCs w:val="20"/>
              </w:rPr>
              <w:t>Principal</w:t>
            </w:r>
          </w:p>
        </w:tc>
        <w:tc>
          <w:tcPr>
            <w:tcW w:w="1756" w:type="dxa"/>
            <w:tcBorders>
              <w:top w:val="nil"/>
              <w:bottom w:val="nil"/>
              <w:right w:val="single" w:sz="4" w:space="0" w:color="auto"/>
            </w:tcBorders>
          </w:tcPr>
          <w:p w14:paraId="59F0AF69" w14:textId="77777777" w:rsidR="00943CCA" w:rsidRPr="00943CCA" w:rsidRDefault="00943CCA" w:rsidP="00943CCA">
            <w:pPr>
              <w:ind w:right="624"/>
              <w:jc w:val="right"/>
              <w:rPr>
                <w:sz w:val="20"/>
                <w:szCs w:val="20"/>
              </w:rPr>
            </w:pPr>
            <w:r w:rsidRPr="00943CCA">
              <w:rPr>
                <w:sz w:val="20"/>
                <w:szCs w:val="20"/>
              </w:rPr>
              <w:t>5.89</w:t>
            </w:r>
          </w:p>
        </w:tc>
        <w:tc>
          <w:tcPr>
            <w:tcW w:w="222" w:type="dxa"/>
            <w:tcBorders>
              <w:top w:val="nil"/>
              <w:left w:val="single" w:sz="4" w:space="0" w:color="auto"/>
              <w:bottom w:val="nil"/>
              <w:right w:val="single" w:sz="4" w:space="0" w:color="auto"/>
            </w:tcBorders>
          </w:tcPr>
          <w:p w14:paraId="01863CD8" w14:textId="77777777" w:rsidR="00943CCA" w:rsidRPr="00943CCA" w:rsidRDefault="00943CCA" w:rsidP="00943CCA">
            <w:pPr>
              <w:ind w:right="624"/>
              <w:jc w:val="right"/>
              <w:rPr>
                <w:sz w:val="20"/>
                <w:szCs w:val="20"/>
              </w:rPr>
            </w:pPr>
          </w:p>
        </w:tc>
        <w:tc>
          <w:tcPr>
            <w:tcW w:w="2341" w:type="dxa"/>
            <w:tcBorders>
              <w:top w:val="nil"/>
              <w:left w:val="single" w:sz="4" w:space="0" w:color="auto"/>
              <w:bottom w:val="nil"/>
            </w:tcBorders>
          </w:tcPr>
          <w:p w14:paraId="15D8DAF3" w14:textId="77777777" w:rsidR="00943CCA" w:rsidRPr="00943CCA" w:rsidRDefault="00943CCA" w:rsidP="00943CCA">
            <w:pPr>
              <w:ind w:right="624"/>
              <w:rPr>
                <w:sz w:val="20"/>
                <w:szCs w:val="20"/>
              </w:rPr>
            </w:pPr>
            <w:r w:rsidRPr="00943CCA">
              <w:rPr>
                <w:sz w:val="20"/>
                <w:szCs w:val="20"/>
              </w:rPr>
              <w:t>Principal</w:t>
            </w:r>
          </w:p>
        </w:tc>
        <w:tc>
          <w:tcPr>
            <w:tcW w:w="1701" w:type="dxa"/>
            <w:tcBorders>
              <w:top w:val="nil"/>
              <w:bottom w:val="nil"/>
            </w:tcBorders>
          </w:tcPr>
          <w:p w14:paraId="3B5463C3" w14:textId="77777777" w:rsidR="00943CCA" w:rsidRPr="00943CCA" w:rsidRDefault="00943CCA" w:rsidP="00943CCA">
            <w:pPr>
              <w:ind w:right="624"/>
              <w:jc w:val="right"/>
              <w:rPr>
                <w:sz w:val="20"/>
                <w:szCs w:val="20"/>
              </w:rPr>
            </w:pPr>
            <w:r w:rsidRPr="00943CCA">
              <w:rPr>
                <w:sz w:val="20"/>
                <w:szCs w:val="20"/>
              </w:rPr>
              <w:t>7.51</w:t>
            </w:r>
          </w:p>
        </w:tc>
      </w:tr>
      <w:tr w:rsidR="00943CCA" w:rsidRPr="00943CCA" w14:paraId="43C14B12" w14:textId="77777777" w:rsidTr="00082E99">
        <w:trPr>
          <w:jc w:val="center"/>
        </w:trPr>
        <w:tc>
          <w:tcPr>
            <w:tcW w:w="2344" w:type="dxa"/>
            <w:tcBorders>
              <w:top w:val="nil"/>
              <w:bottom w:val="nil"/>
            </w:tcBorders>
          </w:tcPr>
          <w:p w14:paraId="75115566" w14:textId="77777777" w:rsidR="00943CCA" w:rsidRPr="00943CCA" w:rsidRDefault="00943CCA" w:rsidP="00943CCA">
            <w:pPr>
              <w:rPr>
                <w:sz w:val="20"/>
                <w:szCs w:val="20"/>
              </w:rPr>
            </w:pPr>
            <w:r w:rsidRPr="00943CCA">
              <w:rPr>
                <w:sz w:val="20"/>
                <w:szCs w:val="20"/>
              </w:rPr>
              <w:t>Azteca</w:t>
            </w:r>
          </w:p>
        </w:tc>
        <w:tc>
          <w:tcPr>
            <w:tcW w:w="1756" w:type="dxa"/>
            <w:tcBorders>
              <w:top w:val="nil"/>
              <w:bottom w:val="nil"/>
              <w:right w:val="single" w:sz="4" w:space="0" w:color="auto"/>
            </w:tcBorders>
          </w:tcPr>
          <w:p w14:paraId="350626A9" w14:textId="77777777" w:rsidR="00943CCA" w:rsidRPr="00943CCA" w:rsidRDefault="00943CCA" w:rsidP="00943CCA">
            <w:pPr>
              <w:ind w:right="624"/>
              <w:jc w:val="right"/>
              <w:rPr>
                <w:sz w:val="20"/>
                <w:szCs w:val="20"/>
              </w:rPr>
            </w:pPr>
            <w:r w:rsidRPr="00943CCA">
              <w:rPr>
                <w:sz w:val="20"/>
                <w:szCs w:val="20"/>
              </w:rPr>
              <w:t>5.62</w:t>
            </w:r>
          </w:p>
        </w:tc>
        <w:tc>
          <w:tcPr>
            <w:tcW w:w="222" w:type="dxa"/>
            <w:tcBorders>
              <w:top w:val="nil"/>
              <w:left w:val="single" w:sz="4" w:space="0" w:color="auto"/>
              <w:bottom w:val="nil"/>
              <w:right w:val="single" w:sz="4" w:space="0" w:color="auto"/>
            </w:tcBorders>
          </w:tcPr>
          <w:p w14:paraId="4805FDEE" w14:textId="77777777" w:rsidR="00943CCA" w:rsidRPr="00943CCA" w:rsidRDefault="00943CCA" w:rsidP="00943CCA">
            <w:pPr>
              <w:ind w:right="624"/>
              <w:jc w:val="right"/>
              <w:rPr>
                <w:sz w:val="20"/>
                <w:szCs w:val="20"/>
              </w:rPr>
            </w:pPr>
          </w:p>
        </w:tc>
        <w:tc>
          <w:tcPr>
            <w:tcW w:w="2341" w:type="dxa"/>
            <w:tcBorders>
              <w:top w:val="nil"/>
              <w:left w:val="single" w:sz="4" w:space="0" w:color="auto"/>
              <w:bottom w:val="nil"/>
            </w:tcBorders>
          </w:tcPr>
          <w:p w14:paraId="28EB79D1" w14:textId="77777777" w:rsidR="00943CCA" w:rsidRPr="00943CCA" w:rsidRDefault="00943CCA" w:rsidP="00943CCA">
            <w:pPr>
              <w:ind w:right="624"/>
              <w:rPr>
                <w:sz w:val="20"/>
                <w:szCs w:val="20"/>
              </w:rPr>
            </w:pPr>
            <w:r w:rsidRPr="00943CCA">
              <w:rPr>
                <w:sz w:val="20"/>
                <w:szCs w:val="20"/>
              </w:rPr>
              <w:t>Azteca</w:t>
            </w:r>
          </w:p>
        </w:tc>
        <w:tc>
          <w:tcPr>
            <w:tcW w:w="1701" w:type="dxa"/>
            <w:tcBorders>
              <w:top w:val="nil"/>
              <w:bottom w:val="nil"/>
            </w:tcBorders>
          </w:tcPr>
          <w:p w14:paraId="6CACFF0B" w14:textId="77777777" w:rsidR="00943CCA" w:rsidRPr="00943CCA" w:rsidRDefault="00943CCA" w:rsidP="00943CCA">
            <w:pPr>
              <w:ind w:right="624"/>
              <w:jc w:val="right"/>
              <w:rPr>
                <w:sz w:val="20"/>
                <w:szCs w:val="20"/>
              </w:rPr>
            </w:pPr>
            <w:r w:rsidRPr="00943CCA">
              <w:rPr>
                <w:sz w:val="20"/>
                <w:szCs w:val="20"/>
              </w:rPr>
              <w:t>6.92</w:t>
            </w:r>
          </w:p>
        </w:tc>
      </w:tr>
      <w:tr w:rsidR="00943CCA" w:rsidRPr="00943CCA" w14:paraId="05B26217" w14:textId="77777777" w:rsidTr="00082E99">
        <w:trPr>
          <w:jc w:val="center"/>
        </w:trPr>
        <w:tc>
          <w:tcPr>
            <w:tcW w:w="2344" w:type="dxa"/>
            <w:tcBorders>
              <w:top w:val="nil"/>
              <w:bottom w:val="nil"/>
            </w:tcBorders>
          </w:tcPr>
          <w:p w14:paraId="6969D7F7" w14:textId="77777777" w:rsidR="00943CCA" w:rsidRPr="00943CCA" w:rsidRDefault="00943CCA" w:rsidP="00943CCA">
            <w:pPr>
              <w:rPr>
                <w:sz w:val="20"/>
                <w:szCs w:val="20"/>
              </w:rPr>
            </w:pPr>
            <w:r w:rsidRPr="00943CCA">
              <w:rPr>
                <w:sz w:val="20"/>
                <w:szCs w:val="20"/>
              </w:rPr>
              <w:t>Coppel</w:t>
            </w:r>
          </w:p>
        </w:tc>
        <w:tc>
          <w:tcPr>
            <w:tcW w:w="1756" w:type="dxa"/>
            <w:tcBorders>
              <w:top w:val="nil"/>
              <w:bottom w:val="nil"/>
              <w:right w:val="single" w:sz="4" w:space="0" w:color="auto"/>
            </w:tcBorders>
          </w:tcPr>
          <w:p w14:paraId="1C8F0430" w14:textId="77777777" w:rsidR="00943CCA" w:rsidRPr="00943CCA" w:rsidRDefault="00943CCA" w:rsidP="00943CCA">
            <w:pPr>
              <w:ind w:right="624"/>
              <w:jc w:val="right"/>
              <w:rPr>
                <w:sz w:val="20"/>
                <w:szCs w:val="20"/>
              </w:rPr>
            </w:pPr>
            <w:r w:rsidRPr="00943CCA">
              <w:rPr>
                <w:sz w:val="20"/>
                <w:szCs w:val="20"/>
              </w:rPr>
              <w:t>5.01</w:t>
            </w:r>
          </w:p>
        </w:tc>
        <w:tc>
          <w:tcPr>
            <w:tcW w:w="222" w:type="dxa"/>
            <w:tcBorders>
              <w:top w:val="nil"/>
              <w:left w:val="single" w:sz="4" w:space="0" w:color="auto"/>
              <w:bottom w:val="nil"/>
              <w:right w:val="single" w:sz="4" w:space="0" w:color="auto"/>
            </w:tcBorders>
          </w:tcPr>
          <w:p w14:paraId="35A056AB" w14:textId="77777777" w:rsidR="00943CCA" w:rsidRPr="00943CCA" w:rsidRDefault="00943CCA" w:rsidP="00943CCA">
            <w:pPr>
              <w:ind w:right="624"/>
              <w:jc w:val="right"/>
              <w:rPr>
                <w:sz w:val="20"/>
                <w:szCs w:val="20"/>
              </w:rPr>
            </w:pPr>
          </w:p>
        </w:tc>
        <w:tc>
          <w:tcPr>
            <w:tcW w:w="2341" w:type="dxa"/>
            <w:tcBorders>
              <w:top w:val="nil"/>
              <w:left w:val="single" w:sz="4" w:space="0" w:color="auto"/>
              <w:bottom w:val="nil"/>
            </w:tcBorders>
          </w:tcPr>
          <w:p w14:paraId="63299E8F" w14:textId="77777777" w:rsidR="00943CCA" w:rsidRPr="00943CCA" w:rsidRDefault="00943CCA" w:rsidP="00943CCA">
            <w:pPr>
              <w:ind w:right="624"/>
              <w:rPr>
                <w:sz w:val="20"/>
                <w:szCs w:val="20"/>
              </w:rPr>
            </w:pPr>
            <w:r w:rsidRPr="00943CCA">
              <w:rPr>
                <w:sz w:val="20"/>
                <w:szCs w:val="20"/>
              </w:rPr>
              <w:t>Coppel</w:t>
            </w:r>
          </w:p>
        </w:tc>
        <w:tc>
          <w:tcPr>
            <w:tcW w:w="1701" w:type="dxa"/>
            <w:tcBorders>
              <w:top w:val="nil"/>
              <w:bottom w:val="nil"/>
            </w:tcBorders>
          </w:tcPr>
          <w:p w14:paraId="4EB4B5E1" w14:textId="77777777" w:rsidR="00943CCA" w:rsidRPr="00943CCA" w:rsidRDefault="00943CCA" w:rsidP="00943CCA">
            <w:pPr>
              <w:ind w:right="624"/>
              <w:jc w:val="right"/>
              <w:rPr>
                <w:sz w:val="20"/>
                <w:szCs w:val="20"/>
              </w:rPr>
            </w:pPr>
            <w:r w:rsidRPr="00943CCA">
              <w:rPr>
                <w:sz w:val="20"/>
                <w:szCs w:val="20"/>
              </w:rPr>
              <w:t>6.85</w:t>
            </w:r>
          </w:p>
        </w:tc>
      </w:tr>
      <w:tr w:rsidR="00943CCA" w:rsidRPr="00943CCA" w14:paraId="7A067869" w14:textId="77777777" w:rsidTr="00082E99">
        <w:trPr>
          <w:jc w:val="center"/>
        </w:trPr>
        <w:tc>
          <w:tcPr>
            <w:tcW w:w="2344" w:type="dxa"/>
            <w:tcBorders>
              <w:top w:val="nil"/>
              <w:bottom w:val="nil"/>
            </w:tcBorders>
          </w:tcPr>
          <w:p w14:paraId="2769CEAB" w14:textId="77777777" w:rsidR="00943CCA" w:rsidRPr="00943CCA" w:rsidRDefault="00943CCA" w:rsidP="00943CCA">
            <w:pPr>
              <w:rPr>
                <w:sz w:val="20"/>
                <w:szCs w:val="20"/>
              </w:rPr>
            </w:pPr>
            <w:r w:rsidRPr="00943CCA">
              <w:rPr>
                <w:sz w:val="20"/>
                <w:szCs w:val="20"/>
              </w:rPr>
              <w:t>Inbursa</w:t>
            </w:r>
          </w:p>
        </w:tc>
        <w:tc>
          <w:tcPr>
            <w:tcW w:w="1756" w:type="dxa"/>
            <w:tcBorders>
              <w:top w:val="nil"/>
              <w:bottom w:val="nil"/>
              <w:right w:val="single" w:sz="4" w:space="0" w:color="auto"/>
            </w:tcBorders>
          </w:tcPr>
          <w:p w14:paraId="212A4672" w14:textId="77777777" w:rsidR="00943CCA" w:rsidRPr="00943CCA" w:rsidRDefault="00943CCA" w:rsidP="00943CCA">
            <w:pPr>
              <w:ind w:right="624"/>
              <w:jc w:val="right"/>
              <w:rPr>
                <w:sz w:val="20"/>
                <w:szCs w:val="20"/>
              </w:rPr>
            </w:pPr>
            <w:r w:rsidRPr="00943CCA">
              <w:rPr>
                <w:sz w:val="20"/>
                <w:szCs w:val="20"/>
              </w:rPr>
              <w:t>4.74</w:t>
            </w:r>
          </w:p>
        </w:tc>
        <w:tc>
          <w:tcPr>
            <w:tcW w:w="222" w:type="dxa"/>
            <w:tcBorders>
              <w:top w:val="nil"/>
              <w:left w:val="single" w:sz="4" w:space="0" w:color="auto"/>
              <w:bottom w:val="nil"/>
              <w:right w:val="single" w:sz="4" w:space="0" w:color="auto"/>
            </w:tcBorders>
          </w:tcPr>
          <w:p w14:paraId="6DDD5276" w14:textId="77777777" w:rsidR="00943CCA" w:rsidRPr="00943CCA" w:rsidRDefault="00943CCA" w:rsidP="00943CCA">
            <w:pPr>
              <w:ind w:right="624"/>
              <w:jc w:val="right"/>
              <w:rPr>
                <w:sz w:val="20"/>
                <w:szCs w:val="20"/>
              </w:rPr>
            </w:pPr>
          </w:p>
        </w:tc>
        <w:tc>
          <w:tcPr>
            <w:tcW w:w="2341" w:type="dxa"/>
            <w:tcBorders>
              <w:top w:val="nil"/>
              <w:left w:val="single" w:sz="4" w:space="0" w:color="auto"/>
              <w:bottom w:val="nil"/>
            </w:tcBorders>
          </w:tcPr>
          <w:p w14:paraId="5EB16AE8" w14:textId="77777777" w:rsidR="00943CCA" w:rsidRPr="00943CCA" w:rsidRDefault="00943CCA" w:rsidP="00943CCA">
            <w:pPr>
              <w:ind w:right="624"/>
              <w:rPr>
                <w:sz w:val="20"/>
                <w:szCs w:val="20"/>
              </w:rPr>
            </w:pPr>
            <w:r w:rsidRPr="00943CCA">
              <w:rPr>
                <w:sz w:val="20"/>
                <w:szCs w:val="20"/>
              </w:rPr>
              <w:t>Inbursa</w:t>
            </w:r>
          </w:p>
        </w:tc>
        <w:tc>
          <w:tcPr>
            <w:tcW w:w="1701" w:type="dxa"/>
            <w:tcBorders>
              <w:top w:val="nil"/>
              <w:bottom w:val="nil"/>
            </w:tcBorders>
          </w:tcPr>
          <w:p w14:paraId="575F31CD" w14:textId="77777777" w:rsidR="00943CCA" w:rsidRPr="00943CCA" w:rsidRDefault="00943CCA" w:rsidP="00943CCA">
            <w:pPr>
              <w:ind w:right="624"/>
              <w:jc w:val="right"/>
              <w:rPr>
                <w:sz w:val="20"/>
                <w:szCs w:val="20"/>
              </w:rPr>
            </w:pPr>
            <w:r w:rsidRPr="00943CCA">
              <w:rPr>
                <w:sz w:val="20"/>
                <w:szCs w:val="20"/>
              </w:rPr>
              <w:t>4.93</w:t>
            </w:r>
          </w:p>
        </w:tc>
      </w:tr>
      <w:tr w:rsidR="00943CCA" w:rsidRPr="00943CCA" w14:paraId="1F3BA253" w14:textId="77777777" w:rsidTr="00082E99">
        <w:trPr>
          <w:jc w:val="center"/>
        </w:trPr>
        <w:tc>
          <w:tcPr>
            <w:tcW w:w="2344" w:type="dxa"/>
            <w:tcBorders>
              <w:top w:val="nil"/>
              <w:bottom w:val="nil"/>
            </w:tcBorders>
          </w:tcPr>
          <w:p w14:paraId="65464669" w14:textId="77777777" w:rsidR="00943CCA" w:rsidRPr="00943CCA" w:rsidRDefault="00943CCA" w:rsidP="00943CCA">
            <w:pPr>
              <w:rPr>
                <w:b/>
                <w:sz w:val="20"/>
                <w:szCs w:val="20"/>
              </w:rPr>
            </w:pPr>
            <w:r w:rsidRPr="00943CCA">
              <w:rPr>
                <w:b/>
                <w:sz w:val="20"/>
                <w:szCs w:val="20"/>
              </w:rPr>
              <w:t>Promedio Simple</w:t>
            </w:r>
          </w:p>
        </w:tc>
        <w:tc>
          <w:tcPr>
            <w:tcW w:w="1756" w:type="dxa"/>
            <w:tcBorders>
              <w:top w:val="nil"/>
              <w:bottom w:val="nil"/>
              <w:right w:val="single" w:sz="4" w:space="0" w:color="auto"/>
            </w:tcBorders>
          </w:tcPr>
          <w:p w14:paraId="54080422" w14:textId="77777777" w:rsidR="00943CCA" w:rsidRPr="00943CCA" w:rsidRDefault="00943CCA" w:rsidP="00943CCA">
            <w:pPr>
              <w:ind w:right="624"/>
              <w:jc w:val="right"/>
              <w:rPr>
                <w:b/>
                <w:sz w:val="20"/>
                <w:szCs w:val="20"/>
              </w:rPr>
            </w:pPr>
            <w:r w:rsidRPr="00943CCA">
              <w:rPr>
                <w:b/>
                <w:sz w:val="20"/>
                <w:szCs w:val="20"/>
              </w:rPr>
              <w:t>6.20</w:t>
            </w:r>
          </w:p>
        </w:tc>
        <w:tc>
          <w:tcPr>
            <w:tcW w:w="222" w:type="dxa"/>
            <w:tcBorders>
              <w:top w:val="nil"/>
              <w:left w:val="single" w:sz="4" w:space="0" w:color="auto"/>
              <w:bottom w:val="nil"/>
              <w:right w:val="single" w:sz="4" w:space="0" w:color="auto"/>
            </w:tcBorders>
          </w:tcPr>
          <w:p w14:paraId="52936BF6" w14:textId="77777777" w:rsidR="00943CCA" w:rsidRPr="00943CCA" w:rsidRDefault="00943CCA" w:rsidP="00943CCA">
            <w:pPr>
              <w:ind w:right="624"/>
              <w:jc w:val="right"/>
              <w:rPr>
                <w:b/>
                <w:sz w:val="20"/>
                <w:szCs w:val="20"/>
              </w:rPr>
            </w:pPr>
          </w:p>
        </w:tc>
        <w:tc>
          <w:tcPr>
            <w:tcW w:w="2341" w:type="dxa"/>
            <w:tcBorders>
              <w:top w:val="nil"/>
              <w:left w:val="single" w:sz="4" w:space="0" w:color="auto"/>
              <w:bottom w:val="nil"/>
            </w:tcBorders>
          </w:tcPr>
          <w:p w14:paraId="7CA18D83" w14:textId="77777777" w:rsidR="00943CCA" w:rsidRPr="00943CCA" w:rsidRDefault="00943CCA" w:rsidP="00943CCA">
            <w:pPr>
              <w:ind w:right="624"/>
              <w:rPr>
                <w:b/>
                <w:sz w:val="20"/>
                <w:szCs w:val="20"/>
              </w:rPr>
            </w:pPr>
            <w:r w:rsidRPr="00943CCA">
              <w:rPr>
                <w:b/>
                <w:sz w:val="20"/>
                <w:szCs w:val="20"/>
              </w:rPr>
              <w:t>Promedio Simple</w:t>
            </w:r>
          </w:p>
        </w:tc>
        <w:tc>
          <w:tcPr>
            <w:tcW w:w="1701" w:type="dxa"/>
            <w:tcBorders>
              <w:top w:val="nil"/>
              <w:bottom w:val="nil"/>
            </w:tcBorders>
          </w:tcPr>
          <w:p w14:paraId="5CBECFED" w14:textId="77777777" w:rsidR="00943CCA" w:rsidRPr="00943CCA" w:rsidRDefault="00943CCA" w:rsidP="00943CCA">
            <w:pPr>
              <w:ind w:right="624"/>
              <w:jc w:val="right"/>
              <w:rPr>
                <w:b/>
                <w:sz w:val="20"/>
                <w:szCs w:val="20"/>
              </w:rPr>
            </w:pPr>
            <w:r w:rsidRPr="00943CCA">
              <w:rPr>
                <w:b/>
                <w:sz w:val="20"/>
                <w:szCs w:val="20"/>
              </w:rPr>
              <w:t>7.83</w:t>
            </w:r>
          </w:p>
        </w:tc>
      </w:tr>
      <w:tr w:rsidR="00943CCA" w:rsidRPr="00943CCA" w14:paraId="35E55385" w14:textId="77777777" w:rsidTr="00082E99">
        <w:trPr>
          <w:jc w:val="center"/>
        </w:trPr>
        <w:tc>
          <w:tcPr>
            <w:tcW w:w="2344" w:type="dxa"/>
            <w:tcBorders>
              <w:top w:val="nil"/>
              <w:bottom w:val="single" w:sz="4" w:space="0" w:color="auto"/>
            </w:tcBorders>
          </w:tcPr>
          <w:p w14:paraId="4DCEFADB" w14:textId="77777777" w:rsidR="00943CCA" w:rsidRPr="00943CCA" w:rsidRDefault="00943CCA" w:rsidP="00943CCA">
            <w:pPr>
              <w:rPr>
                <w:b/>
                <w:sz w:val="20"/>
                <w:szCs w:val="20"/>
              </w:rPr>
            </w:pPr>
            <w:r w:rsidRPr="00943CCA">
              <w:rPr>
                <w:b/>
                <w:sz w:val="20"/>
                <w:szCs w:val="20"/>
              </w:rPr>
              <w:t>Promedio Ponderado*</w:t>
            </w:r>
          </w:p>
        </w:tc>
        <w:tc>
          <w:tcPr>
            <w:tcW w:w="1756" w:type="dxa"/>
            <w:tcBorders>
              <w:top w:val="nil"/>
              <w:bottom w:val="single" w:sz="4" w:space="0" w:color="auto"/>
              <w:right w:val="single" w:sz="4" w:space="0" w:color="auto"/>
            </w:tcBorders>
          </w:tcPr>
          <w:p w14:paraId="187A7FF3" w14:textId="77777777" w:rsidR="00943CCA" w:rsidRPr="00943CCA" w:rsidRDefault="00943CCA" w:rsidP="00943CCA">
            <w:pPr>
              <w:ind w:right="624"/>
              <w:jc w:val="right"/>
              <w:rPr>
                <w:b/>
                <w:sz w:val="20"/>
                <w:szCs w:val="20"/>
              </w:rPr>
            </w:pPr>
            <w:r w:rsidRPr="00943CCA">
              <w:rPr>
                <w:b/>
                <w:sz w:val="20"/>
                <w:szCs w:val="20"/>
              </w:rPr>
              <w:t>6.55</w:t>
            </w:r>
          </w:p>
        </w:tc>
        <w:tc>
          <w:tcPr>
            <w:tcW w:w="222" w:type="dxa"/>
            <w:tcBorders>
              <w:top w:val="nil"/>
              <w:left w:val="single" w:sz="4" w:space="0" w:color="auto"/>
              <w:bottom w:val="nil"/>
              <w:right w:val="single" w:sz="4" w:space="0" w:color="auto"/>
            </w:tcBorders>
          </w:tcPr>
          <w:p w14:paraId="2E8B3F55" w14:textId="77777777" w:rsidR="00943CCA" w:rsidRPr="00943CCA" w:rsidRDefault="00943CCA" w:rsidP="00943CCA">
            <w:pPr>
              <w:ind w:right="624"/>
              <w:jc w:val="right"/>
              <w:rPr>
                <w:b/>
                <w:sz w:val="20"/>
                <w:szCs w:val="20"/>
              </w:rPr>
            </w:pPr>
          </w:p>
        </w:tc>
        <w:tc>
          <w:tcPr>
            <w:tcW w:w="2341" w:type="dxa"/>
            <w:tcBorders>
              <w:top w:val="nil"/>
              <w:left w:val="single" w:sz="4" w:space="0" w:color="auto"/>
              <w:bottom w:val="single" w:sz="4" w:space="0" w:color="auto"/>
            </w:tcBorders>
          </w:tcPr>
          <w:p w14:paraId="2F09603E" w14:textId="77777777" w:rsidR="00943CCA" w:rsidRPr="00943CCA" w:rsidRDefault="00943CCA" w:rsidP="00943CCA">
            <w:pPr>
              <w:rPr>
                <w:b/>
                <w:sz w:val="20"/>
                <w:szCs w:val="20"/>
              </w:rPr>
            </w:pPr>
            <w:r w:rsidRPr="00943CCA">
              <w:rPr>
                <w:b/>
                <w:sz w:val="20"/>
                <w:szCs w:val="20"/>
              </w:rPr>
              <w:t>Promedio Ponderado*</w:t>
            </w:r>
          </w:p>
        </w:tc>
        <w:tc>
          <w:tcPr>
            <w:tcW w:w="1701" w:type="dxa"/>
            <w:tcBorders>
              <w:top w:val="nil"/>
              <w:bottom w:val="single" w:sz="4" w:space="0" w:color="auto"/>
            </w:tcBorders>
          </w:tcPr>
          <w:p w14:paraId="15BE057D" w14:textId="77777777" w:rsidR="00943CCA" w:rsidRPr="00943CCA" w:rsidRDefault="00943CCA" w:rsidP="00943CCA">
            <w:pPr>
              <w:ind w:right="624"/>
              <w:jc w:val="right"/>
              <w:rPr>
                <w:b/>
                <w:sz w:val="20"/>
                <w:szCs w:val="20"/>
              </w:rPr>
            </w:pPr>
            <w:r w:rsidRPr="00943CCA">
              <w:rPr>
                <w:b/>
                <w:sz w:val="20"/>
                <w:szCs w:val="20"/>
              </w:rPr>
              <w:t>8.25</w:t>
            </w:r>
          </w:p>
        </w:tc>
      </w:tr>
    </w:tbl>
    <w:p w14:paraId="62574B48" w14:textId="77777777" w:rsidR="00AA71BA" w:rsidRPr="00943CCA" w:rsidRDefault="00AA71BA" w:rsidP="00943CCA">
      <w:pPr>
        <w:spacing w:after="120"/>
        <w:ind w:right="-159"/>
        <w:jc w:val="both"/>
        <w:rPr>
          <w:sz w:val="26"/>
          <w:szCs w:val="26"/>
        </w:rPr>
      </w:pPr>
    </w:p>
    <w:tbl>
      <w:tblPr>
        <w:tblStyle w:val="Tablaconcuadrcula"/>
        <w:tblW w:w="0" w:type="auto"/>
        <w:jc w:val="center"/>
        <w:tblLook w:val="04A0" w:firstRow="1" w:lastRow="0" w:firstColumn="1" w:lastColumn="0" w:noHBand="0" w:noVBand="1"/>
      </w:tblPr>
      <w:tblGrid>
        <w:gridCol w:w="2344"/>
        <w:gridCol w:w="1756"/>
        <w:gridCol w:w="222"/>
        <w:gridCol w:w="2341"/>
        <w:gridCol w:w="1701"/>
      </w:tblGrid>
      <w:tr w:rsidR="00943CCA" w:rsidRPr="00943CCA" w14:paraId="03F19314" w14:textId="77777777" w:rsidTr="00082E99">
        <w:trPr>
          <w:jc w:val="center"/>
        </w:trPr>
        <w:tc>
          <w:tcPr>
            <w:tcW w:w="4100" w:type="dxa"/>
            <w:gridSpan w:val="2"/>
            <w:tcBorders>
              <w:right w:val="single" w:sz="4" w:space="0" w:color="auto"/>
            </w:tcBorders>
            <w:vAlign w:val="center"/>
          </w:tcPr>
          <w:p w14:paraId="5C6BAC75" w14:textId="77777777" w:rsidR="00943CCA" w:rsidRPr="00943CCA" w:rsidRDefault="00943CCA" w:rsidP="00943CCA">
            <w:pPr>
              <w:jc w:val="center"/>
              <w:rPr>
                <w:b/>
                <w:sz w:val="20"/>
                <w:szCs w:val="20"/>
              </w:rPr>
            </w:pPr>
            <w:r w:rsidRPr="00943CCA">
              <w:rPr>
                <w:b/>
                <w:sz w:val="20"/>
                <w:szCs w:val="20"/>
              </w:rPr>
              <w:t>RENDIMIENTO NETO DE LA SB3</w:t>
            </w:r>
          </w:p>
          <w:p w14:paraId="29C3E829" w14:textId="77777777" w:rsidR="00943CCA" w:rsidRPr="00943CCA" w:rsidRDefault="00943CCA" w:rsidP="00943CCA">
            <w:pPr>
              <w:jc w:val="center"/>
              <w:rPr>
                <w:b/>
                <w:sz w:val="20"/>
                <w:szCs w:val="20"/>
              </w:rPr>
            </w:pPr>
            <w:r w:rsidRPr="00943CCA">
              <w:rPr>
                <w:b/>
                <w:sz w:val="20"/>
                <w:szCs w:val="20"/>
              </w:rPr>
              <w:t>37 a 45 años</w:t>
            </w:r>
          </w:p>
          <w:p w14:paraId="5BAE36B3" w14:textId="77777777" w:rsidR="00943CCA" w:rsidRPr="00943CCA" w:rsidRDefault="00943CCA" w:rsidP="00943CCA">
            <w:pPr>
              <w:jc w:val="center"/>
              <w:rPr>
                <w:b/>
                <w:sz w:val="20"/>
                <w:szCs w:val="20"/>
              </w:rPr>
            </w:pPr>
            <w:r w:rsidRPr="00943CCA">
              <w:rPr>
                <w:b/>
                <w:sz w:val="20"/>
                <w:szCs w:val="20"/>
              </w:rPr>
              <w:t>-Por ciento-</w:t>
            </w:r>
          </w:p>
        </w:tc>
        <w:tc>
          <w:tcPr>
            <w:tcW w:w="222" w:type="dxa"/>
            <w:tcBorders>
              <w:top w:val="nil"/>
              <w:left w:val="single" w:sz="4" w:space="0" w:color="auto"/>
              <w:bottom w:val="nil"/>
              <w:right w:val="single" w:sz="4" w:space="0" w:color="auto"/>
            </w:tcBorders>
          </w:tcPr>
          <w:p w14:paraId="457547A5" w14:textId="77777777" w:rsidR="00943CCA" w:rsidRPr="00943CCA" w:rsidRDefault="00943CCA" w:rsidP="00943CCA">
            <w:pPr>
              <w:jc w:val="center"/>
              <w:rPr>
                <w:b/>
                <w:sz w:val="20"/>
                <w:szCs w:val="20"/>
              </w:rPr>
            </w:pPr>
          </w:p>
        </w:tc>
        <w:tc>
          <w:tcPr>
            <w:tcW w:w="4042" w:type="dxa"/>
            <w:gridSpan w:val="2"/>
            <w:tcBorders>
              <w:left w:val="single" w:sz="4" w:space="0" w:color="auto"/>
            </w:tcBorders>
            <w:vAlign w:val="center"/>
          </w:tcPr>
          <w:p w14:paraId="3F4A5DE2" w14:textId="77777777" w:rsidR="00943CCA" w:rsidRPr="00943CCA" w:rsidRDefault="00943CCA" w:rsidP="00943CCA">
            <w:pPr>
              <w:jc w:val="center"/>
              <w:rPr>
                <w:b/>
                <w:sz w:val="20"/>
                <w:szCs w:val="20"/>
              </w:rPr>
            </w:pPr>
            <w:r w:rsidRPr="00943CCA">
              <w:rPr>
                <w:b/>
                <w:sz w:val="20"/>
                <w:szCs w:val="20"/>
              </w:rPr>
              <w:t>RENDIMIENTO NETO DE LA SB4</w:t>
            </w:r>
          </w:p>
          <w:p w14:paraId="230071E2" w14:textId="77777777" w:rsidR="00943CCA" w:rsidRPr="00943CCA" w:rsidRDefault="00943CCA" w:rsidP="00943CCA">
            <w:pPr>
              <w:jc w:val="center"/>
              <w:rPr>
                <w:b/>
                <w:sz w:val="20"/>
                <w:szCs w:val="20"/>
              </w:rPr>
            </w:pPr>
            <w:r w:rsidRPr="00943CCA">
              <w:rPr>
                <w:b/>
                <w:sz w:val="20"/>
                <w:szCs w:val="20"/>
              </w:rPr>
              <w:t>36 años y menores</w:t>
            </w:r>
          </w:p>
          <w:p w14:paraId="631DA937" w14:textId="77777777" w:rsidR="00943CCA" w:rsidRPr="00943CCA" w:rsidRDefault="00943CCA" w:rsidP="00943CCA">
            <w:pPr>
              <w:jc w:val="center"/>
              <w:rPr>
                <w:b/>
                <w:sz w:val="20"/>
                <w:szCs w:val="20"/>
              </w:rPr>
            </w:pPr>
            <w:r w:rsidRPr="00943CCA">
              <w:rPr>
                <w:b/>
                <w:sz w:val="20"/>
                <w:szCs w:val="20"/>
              </w:rPr>
              <w:t>-Por ciento-</w:t>
            </w:r>
          </w:p>
        </w:tc>
      </w:tr>
      <w:tr w:rsidR="00943CCA" w:rsidRPr="00943CCA" w14:paraId="3FFFC6A1" w14:textId="77777777" w:rsidTr="00082E99">
        <w:trPr>
          <w:jc w:val="center"/>
        </w:trPr>
        <w:tc>
          <w:tcPr>
            <w:tcW w:w="2344" w:type="dxa"/>
            <w:vAlign w:val="center"/>
          </w:tcPr>
          <w:p w14:paraId="65A40F8D" w14:textId="77777777" w:rsidR="00943CCA" w:rsidRPr="00943CCA" w:rsidRDefault="00943CCA" w:rsidP="00943CCA">
            <w:pPr>
              <w:jc w:val="center"/>
              <w:rPr>
                <w:b/>
                <w:sz w:val="20"/>
                <w:szCs w:val="20"/>
              </w:rPr>
            </w:pPr>
            <w:r w:rsidRPr="00943CCA">
              <w:rPr>
                <w:b/>
                <w:sz w:val="20"/>
                <w:szCs w:val="20"/>
              </w:rPr>
              <w:t>Siefore Básica 3</w:t>
            </w:r>
          </w:p>
        </w:tc>
        <w:tc>
          <w:tcPr>
            <w:tcW w:w="1756" w:type="dxa"/>
            <w:tcBorders>
              <w:right w:val="single" w:sz="4" w:space="0" w:color="auto"/>
            </w:tcBorders>
          </w:tcPr>
          <w:p w14:paraId="61F57148" w14:textId="77777777" w:rsidR="00943CCA" w:rsidRPr="00943CCA" w:rsidRDefault="00943CCA" w:rsidP="00943CCA">
            <w:pPr>
              <w:jc w:val="center"/>
              <w:rPr>
                <w:b/>
                <w:sz w:val="20"/>
                <w:szCs w:val="20"/>
              </w:rPr>
            </w:pPr>
            <w:r w:rsidRPr="00943CCA">
              <w:rPr>
                <w:b/>
                <w:sz w:val="20"/>
                <w:szCs w:val="20"/>
              </w:rPr>
              <w:t>Rendimiento Neto</w:t>
            </w:r>
          </w:p>
        </w:tc>
        <w:tc>
          <w:tcPr>
            <w:tcW w:w="222" w:type="dxa"/>
            <w:tcBorders>
              <w:top w:val="nil"/>
              <w:left w:val="single" w:sz="4" w:space="0" w:color="auto"/>
              <w:bottom w:val="nil"/>
              <w:right w:val="single" w:sz="4" w:space="0" w:color="auto"/>
            </w:tcBorders>
          </w:tcPr>
          <w:p w14:paraId="2007C7ED" w14:textId="77777777" w:rsidR="00943CCA" w:rsidRPr="00943CCA" w:rsidRDefault="00943CCA" w:rsidP="00943CCA">
            <w:pPr>
              <w:jc w:val="center"/>
              <w:rPr>
                <w:b/>
                <w:sz w:val="20"/>
                <w:szCs w:val="20"/>
              </w:rPr>
            </w:pPr>
          </w:p>
        </w:tc>
        <w:tc>
          <w:tcPr>
            <w:tcW w:w="2341" w:type="dxa"/>
            <w:tcBorders>
              <w:left w:val="single" w:sz="4" w:space="0" w:color="auto"/>
            </w:tcBorders>
            <w:vAlign w:val="center"/>
          </w:tcPr>
          <w:p w14:paraId="658D90BC" w14:textId="77777777" w:rsidR="00943CCA" w:rsidRPr="00943CCA" w:rsidRDefault="00943CCA" w:rsidP="00943CCA">
            <w:pPr>
              <w:jc w:val="center"/>
              <w:rPr>
                <w:b/>
                <w:sz w:val="20"/>
                <w:szCs w:val="20"/>
              </w:rPr>
            </w:pPr>
            <w:r w:rsidRPr="00943CCA">
              <w:rPr>
                <w:b/>
                <w:sz w:val="20"/>
                <w:szCs w:val="20"/>
              </w:rPr>
              <w:t>Siefore Básica 4</w:t>
            </w:r>
          </w:p>
        </w:tc>
        <w:tc>
          <w:tcPr>
            <w:tcW w:w="1701" w:type="dxa"/>
          </w:tcPr>
          <w:p w14:paraId="02F65AA3" w14:textId="77777777" w:rsidR="00943CCA" w:rsidRPr="00943CCA" w:rsidRDefault="00943CCA" w:rsidP="00943CCA">
            <w:pPr>
              <w:jc w:val="center"/>
              <w:rPr>
                <w:b/>
                <w:sz w:val="20"/>
                <w:szCs w:val="20"/>
              </w:rPr>
            </w:pPr>
            <w:r w:rsidRPr="00943CCA">
              <w:rPr>
                <w:b/>
                <w:sz w:val="20"/>
                <w:szCs w:val="20"/>
              </w:rPr>
              <w:t>Rendimiento Neto</w:t>
            </w:r>
          </w:p>
        </w:tc>
      </w:tr>
      <w:tr w:rsidR="00943CCA" w:rsidRPr="00943CCA" w14:paraId="53C8D8F2" w14:textId="77777777" w:rsidTr="00082E99">
        <w:trPr>
          <w:jc w:val="center"/>
        </w:trPr>
        <w:tc>
          <w:tcPr>
            <w:tcW w:w="2344" w:type="dxa"/>
            <w:tcBorders>
              <w:bottom w:val="nil"/>
            </w:tcBorders>
          </w:tcPr>
          <w:p w14:paraId="5273D6CC" w14:textId="77777777" w:rsidR="00943CCA" w:rsidRPr="00943CCA" w:rsidRDefault="00943CCA" w:rsidP="00943CCA">
            <w:pPr>
              <w:rPr>
                <w:sz w:val="20"/>
                <w:szCs w:val="20"/>
              </w:rPr>
            </w:pPr>
            <w:r w:rsidRPr="00943CCA">
              <w:rPr>
                <w:sz w:val="20"/>
                <w:szCs w:val="20"/>
              </w:rPr>
              <w:t>SURA</w:t>
            </w:r>
          </w:p>
        </w:tc>
        <w:tc>
          <w:tcPr>
            <w:tcW w:w="1756" w:type="dxa"/>
            <w:tcBorders>
              <w:bottom w:val="nil"/>
              <w:right w:val="single" w:sz="4" w:space="0" w:color="auto"/>
            </w:tcBorders>
          </w:tcPr>
          <w:p w14:paraId="41042574" w14:textId="77777777" w:rsidR="00943CCA" w:rsidRPr="00943CCA" w:rsidRDefault="00943CCA" w:rsidP="00943CCA">
            <w:pPr>
              <w:ind w:right="624"/>
              <w:jc w:val="right"/>
              <w:rPr>
                <w:sz w:val="20"/>
                <w:szCs w:val="20"/>
              </w:rPr>
            </w:pPr>
            <w:r w:rsidRPr="00943CCA">
              <w:rPr>
                <w:sz w:val="20"/>
                <w:szCs w:val="20"/>
              </w:rPr>
              <w:t>10.84</w:t>
            </w:r>
          </w:p>
        </w:tc>
        <w:tc>
          <w:tcPr>
            <w:tcW w:w="222" w:type="dxa"/>
            <w:tcBorders>
              <w:top w:val="nil"/>
              <w:left w:val="single" w:sz="4" w:space="0" w:color="auto"/>
              <w:bottom w:val="nil"/>
              <w:right w:val="single" w:sz="4" w:space="0" w:color="auto"/>
            </w:tcBorders>
          </w:tcPr>
          <w:p w14:paraId="571DA8B5" w14:textId="77777777" w:rsidR="00943CCA" w:rsidRPr="00943CCA" w:rsidRDefault="00943CCA" w:rsidP="00943CCA">
            <w:pPr>
              <w:ind w:right="624"/>
              <w:jc w:val="right"/>
              <w:rPr>
                <w:sz w:val="20"/>
                <w:szCs w:val="20"/>
              </w:rPr>
            </w:pPr>
          </w:p>
        </w:tc>
        <w:tc>
          <w:tcPr>
            <w:tcW w:w="2341" w:type="dxa"/>
            <w:tcBorders>
              <w:left w:val="single" w:sz="4" w:space="0" w:color="auto"/>
              <w:bottom w:val="nil"/>
            </w:tcBorders>
          </w:tcPr>
          <w:p w14:paraId="27DE123B" w14:textId="77777777" w:rsidR="00943CCA" w:rsidRPr="00943CCA" w:rsidRDefault="00943CCA" w:rsidP="00943CCA">
            <w:pPr>
              <w:ind w:right="624"/>
              <w:rPr>
                <w:sz w:val="20"/>
                <w:szCs w:val="20"/>
              </w:rPr>
            </w:pPr>
            <w:r w:rsidRPr="00943CCA">
              <w:rPr>
                <w:sz w:val="20"/>
                <w:szCs w:val="20"/>
              </w:rPr>
              <w:t>SURA</w:t>
            </w:r>
          </w:p>
        </w:tc>
        <w:tc>
          <w:tcPr>
            <w:tcW w:w="1701" w:type="dxa"/>
            <w:tcBorders>
              <w:bottom w:val="nil"/>
            </w:tcBorders>
          </w:tcPr>
          <w:p w14:paraId="0D6E192F" w14:textId="77777777" w:rsidR="00943CCA" w:rsidRPr="00943CCA" w:rsidRDefault="00943CCA" w:rsidP="00943CCA">
            <w:pPr>
              <w:ind w:right="624"/>
              <w:jc w:val="right"/>
              <w:rPr>
                <w:sz w:val="20"/>
                <w:szCs w:val="20"/>
              </w:rPr>
            </w:pPr>
            <w:r w:rsidRPr="00943CCA">
              <w:rPr>
                <w:sz w:val="20"/>
                <w:szCs w:val="20"/>
              </w:rPr>
              <w:t>12.13</w:t>
            </w:r>
          </w:p>
        </w:tc>
      </w:tr>
      <w:tr w:rsidR="00943CCA" w:rsidRPr="00943CCA" w14:paraId="68694C22" w14:textId="77777777" w:rsidTr="00082E99">
        <w:trPr>
          <w:jc w:val="center"/>
        </w:trPr>
        <w:tc>
          <w:tcPr>
            <w:tcW w:w="2344" w:type="dxa"/>
            <w:tcBorders>
              <w:top w:val="nil"/>
              <w:bottom w:val="nil"/>
            </w:tcBorders>
          </w:tcPr>
          <w:p w14:paraId="5B379095" w14:textId="77777777" w:rsidR="00943CCA" w:rsidRPr="00943CCA" w:rsidRDefault="00943CCA" w:rsidP="00943CCA">
            <w:pPr>
              <w:rPr>
                <w:sz w:val="20"/>
                <w:szCs w:val="20"/>
              </w:rPr>
            </w:pPr>
            <w:r w:rsidRPr="00943CCA">
              <w:rPr>
                <w:sz w:val="20"/>
                <w:szCs w:val="20"/>
              </w:rPr>
              <w:t>PensionISSSTE</w:t>
            </w:r>
          </w:p>
        </w:tc>
        <w:tc>
          <w:tcPr>
            <w:tcW w:w="1756" w:type="dxa"/>
            <w:tcBorders>
              <w:top w:val="nil"/>
              <w:bottom w:val="nil"/>
              <w:right w:val="single" w:sz="4" w:space="0" w:color="auto"/>
            </w:tcBorders>
          </w:tcPr>
          <w:p w14:paraId="7DB287B5" w14:textId="77777777" w:rsidR="00943CCA" w:rsidRPr="00943CCA" w:rsidRDefault="00943CCA" w:rsidP="00943CCA">
            <w:pPr>
              <w:ind w:right="624"/>
              <w:jc w:val="right"/>
              <w:rPr>
                <w:sz w:val="20"/>
                <w:szCs w:val="20"/>
              </w:rPr>
            </w:pPr>
            <w:r w:rsidRPr="00943CCA">
              <w:rPr>
                <w:sz w:val="20"/>
                <w:szCs w:val="20"/>
              </w:rPr>
              <w:t>10.62</w:t>
            </w:r>
          </w:p>
        </w:tc>
        <w:tc>
          <w:tcPr>
            <w:tcW w:w="222" w:type="dxa"/>
            <w:tcBorders>
              <w:top w:val="nil"/>
              <w:left w:val="single" w:sz="4" w:space="0" w:color="auto"/>
              <w:bottom w:val="nil"/>
              <w:right w:val="single" w:sz="4" w:space="0" w:color="auto"/>
            </w:tcBorders>
          </w:tcPr>
          <w:p w14:paraId="450D13F4" w14:textId="77777777" w:rsidR="00943CCA" w:rsidRPr="00943CCA" w:rsidRDefault="00943CCA" w:rsidP="00943CCA">
            <w:pPr>
              <w:ind w:right="624"/>
              <w:jc w:val="right"/>
              <w:rPr>
                <w:sz w:val="20"/>
                <w:szCs w:val="20"/>
              </w:rPr>
            </w:pPr>
          </w:p>
        </w:tc>
        <w:tc>
          <w:tcPr>
            <w:tcW w:w="2341" w:type="dxa"/>
            <w:tcBorders>
              <w:top w:val="nil"/>
              <w:left w:val="single" w:sz="4" w:space="0" w:color="auto"/>
              <w:bottom w:val="nil"/>
            </w:tcBorders>
          </w:tcPr>
          <w:p w14:paraId="21C35262" w14:textId="77777777" w:rsidR="00943CCA" w:rsidRPr="00943CCA" w:rsidRDefault="00943CCA" w:rsidP="00943CCA">
            <w:pPr>
              <w:ind w:right="624"/>
              <w:rPr>
                <w:sz w:val="20"/>
                <w:szCs w:val="20"/>
              </w:rPr>
            </w:pPr>
            <w:r w:rsidRPr="00943CCA">
              <w:rPr>
                <w:sz w:val="20"/>
                <w:szCs w:val="20"/>
              </w:rPr>
              <w:t>Banamex</w:t>
            </w:r>
          </w:p>
        </w:tc>
        <w:tc>
          <w:tcPr>
            <w:tcW w:w="1701" w:type="dxa"/>
            <w:tcBorders>
              <w:top w:val="nil"/>
              <w:bottom w:val="nil"/>
            </w:tcBorders>
          </w:tcPr>
          <w:p w14:paraId="5D3C2BCD" w14:textId="77777777" w:rsidR="00943CCA" w:rsidRPr="00943CCA" w:rsidRDefault="00943CCA" w:rsidP="00943CCA">
            <w:pPr>
              <w:ind w:right="624"/>
              <w:jc w:val="right"/>
              <w:rPr>
                <w:sz w:val="20"/>
                <w:szCs w:val="20"/>
              </w:rPr>
            </w:pPr>
            <w:r w:rsidRPr="00943CCA">
              <w:rPr>
                <w:sz w:val="20"/>
                <w:szCs w:val="20"/>
              </w:rPr>
              <w:t>11.07</w:t>
            </w:r>
          </w:p>
        </w:tc>
      </w:tr>
      <w:tr w:rsidR="00943CCA" w:rsidRPr="00943CCA" w14:paraId="53BE905A" w14:textId="77777777" w:rsidTr="00082E99">
        <w:trPr>
          <w:jc w:val="center"/>
        </w:trPr>
        <w:tc>
          <w:tcPr>
            <w:tcW w:w="2344" w:type="dxa"/>
            <w:tcBorders>
              <w:top w:val="nil"/>
              <w:bottom w:val="nil"/>
            </w:tcBorders>
          </w:tcPr>
          <w:p w14:paraId="2A9AAD70" w14:textId="77777777" w:rsidR="00943CCA" w:rsidRPr="00943CCA" w:rsidRDefault="00943CCA" w:rsidP="00943CCA">
            <w:pPr>
              <w:rPr>
                <w:sz w:val="20"/>
                <w:szCs w:val="20"/>
              </w:rPr>
            </w:pPr>
            <w:r w:rsidRPr="00943CCA">
              <w:rPr>
                <w:sz w:val="20"/>
                <w:szCs w:val="20"/>
              </w:rPr>
              <w:t>Banamex</w:t>
            </w:r>
          </w:p>
        </w:tc>
        <w:tc>
          <w:tcPr>
            <w:tcW w:w="1756" w:type="dxa"/>
            <w:tcBorders>
              <w:top w:val="nil"/>
              <w:bottom w:val="nil"/>
              <w:right w:val="single" w:sz="4" w:space="0" w:color="auto"/>
            </w:tcBorders>
          </w:tcPr>
          <w:p w14:paraId="0AFC698C" w14:textId="77777777" w:rsidR="00943CCA" w:rsidRPr="00943CCA" w:rsidRDefault="00943CCA" w:rsidP="00943CCA">
            <w:pPr>
              <w:ind w:right="624"/>
              <w:jc w:val="right"/>
              <w:rPr>
                <w:sz w:val="20"/>
                <w:szCs w:val="20"/>
              </w:rPr>
            </w:pPr>
            <w:r w:rsidRPr="00943CCA">
              <w:rPr>
                <w:sz w:val="20"/>
                <w:szCs w:val="20"/>
              </w:rPr>
              <w:t>9.78</w:t>
            </w:r>
          </w:p>
        </w:tc>
        <w:tc>
          <w:tcPr>
            <w:tcW w:w="222" w:type="dxa"/>
            <w:tcBorders>
              <w:top w:val="nil"/>
              <w:left w:val="single" w:sz="4" w:space="0" w:color="auto"/>
              <w:bottom w:val="nil"/>
              <w:right w:val="single" w:sz="4" w:space="0" w:color="auto"/>
            </w:tcBorders>
          </w:tcPr>
          <w:p w14:paraId="1069DAC2" w14:textId="77777777" w:rsidR="00943CCA" w:rsidRPr="00943CCA" w:rsidRDefault="00943CCA" w:rsidP="00943CCA">
            <w:pPr>
              <w:ind w:right="624"/>
              <w:jc w:val="right"/>
              <w:rPr>
                <w:sz w:val="20"/>
                <w:szCs w:val="20"/>
              </w:rPr>
            </w:pPr>
          </w:p>
        </w:tc>
        <w:tc>
          <w:tcPr>
            <w:tcW w:w="2341" w:type="dxa"/>
            <w:tcBorders>
              <w:top w:val="nil"/>
              <w:left w:val="single" w:sz="4" w:space="0" w:color="auto"/>
              <w:bottom w:val="nil"/>
            </w:tcBorders>
          </w:tcPr>
          <w:p w14:paraId="47F9EF1C" w14:textId="77777777" w:rsidR="00943CCA" w:rsidRPr="00943CCA" w:rsidRDefault="00943CCA" w:rsidP="00943CCA">
            <w:pPr>
              <w:ind w:right="624"/>
              <w:rPr>
                <w:sz w:val="20"/>
                <w:szCs w:val="20"/>
              </w:rPr>
            </w:pPr>
            <w:r w:rsidRPr="00943CCA">
              <w:rPr>
                <w:sz w:val="20"/>
                <w:szCs w:val="20"/>
              </w:rPr>
              <w:t>Profuturo GNP</w:t>
            </w:r>
          </w:p>
        </w:tc>
        <w:tc>
          <w:tcPr>
            <w:tcW w:w="1701" w:type="dxa"/>
            <w:tcBorders>
              <w:top w:val="nil"/>
              <w:bottom w:val="nil"/>
            </w:tcBorders>
          </w:tcPr>
          <w:p w14:paraId="5A56EC92" w14:textId="77777777" w:rsidR="00943CCA" w:rsidRPr="00943CCA" w:rsidRDefault="00943CCA" w:rsidP="00943CCA">
            <w:pPr>
              <w:ind w:right="624"/>
              <w:jc w:val="right"/>
              <w:rPr>
                <w:sz w:val="20"/>
                <w:szCs w:val="20"/>
              </w:rPr>
            </w:pPr>
            <w:r w:rsidRPr="00943CCA">
              <w:rPr>
                <w:sz w:val="20"/>
                <w:szCs w:val="20"/>
              </w:rPr>
              <w:t>10.98</w:t>
            </w:r>
          </w:p>
        </w:tc>
      </w:tr>
      <w:tr w:rsidR="00943CCA" w:rsidRPr="00943CCA" w14:paraId="2077A8BC" w14:textId="77777777" w:rsidTr="00082E99">
        <w:trPr>
          <w:jc w:val="center"/>
        </w:trPr>
        <w:tc>
          <w:tcPr>
            <w:tcW w:w="2344" w:type="dxa"/>
            <w:tcBorders>
              <w:top w:val="nil"/>
              <w:bottom w:val="nil"/>
            </w:tcBorders>
          </w:tcPr>
          <w:p w14:paraId="50B4BB70" w14:textId="77777777" w:rsidR="00943CCA" w:rsidRPr="00943CCA" w:rsidRDefault="00943CCA" w:rsidP="00943CCA">
            <w:pPr>
              <w:rPr>
                <w:sz w:val="20"/>
                <w:szCs w:val="20"/>
              </w:rPr>
            </w:pPr>
            <w:r w:rsidRPr="00943CCA">
              <w:rPr>
                <w:sz w:val="20"/>
                <w:szCs w:val="20"/>
              </w:rPr>
              <w:t>Profuturo GNP</w:t>
            </w:r>
          </w:p>
        </w:tc>
        <w:tc>
          <w:tcPr>
            <w:tcW w:w="1756" w:type="dxa"/>
            <w:tcBorders>
              <w:top w:val="nil"/>
              <w:bottom w:val="nil"/>
              <w:right w:val="single" w:sz="4" w:space="0" w:color="auto"/>
            </w:tcBorders>
          </w:tcPr>
          <w:p w14:paraId="4087A35C" w14:textId="77777777" w:rsidR="00943CCA" w:rsidRPr="00943CCA" w:rsidRDefault="00943CCA" w:rsidP="00943CCA">
            <w:pPr>
              <w:ind w:right="624"/>
              <w:jc w:val="right"/>
              <w:rPr>
                <w:sz w:val="20"/>
                <w:szCs w:val="20"/>
              </w:rPr>
            </w:pPr>
            <w:r w:rsidRPr="00943CCA">
              <w:rPr>
                <w:sz w:val="20"/>
                <w:szCs w:val="20"/>
              </w:rPr>
              <w:t>9.61</w:t>
            </w:r>
          </w:p>
        </w:tc>
        <w:tc>
          <w:tcPr>
            <w:tcW w:w="222" w:type="dxa"/>
            <w:tcBorders>
              <w:top w:val="nil"/>
              <w:left w:val="single" w:sz="4" w:space="0" w:color="auto"/>
              <w:bottom w:val="nil"/>
              <w:right w:val="single" w:sz="4" w:space="0" w:color="auto"/>
            </w:tcBorders>
          </w:tcPr>
          <w:p w14:paraId="2E92DAF0" w14:textId="77777777" w:rsidR="00943CCA" w:rsidRPr="00943CCA" w:rsidRDefault="00943CCA" w:rsidP="00943CCA">
            <w:pPr>
              <w:ind w:right="624"/>
              <w:jc w:val="right"/>
              <w:rPr>
                <w:sz w:val="20"/>
                <w:szCs w:val="20"/>
              </w:rPr>
            </w:pPr>
          </w:p>
        </w:tc>
        <w:tc>
          <w:tcPr>
            <w:tcW w:w="2341" w:type="dxa"/>
            <w:tcBorders>
              <w:top w:val="nil"/>
              <w:left w:val="single" w:sz="4" w:space="0" w:color="auto"/>
              <w:bottom w:val="nil"/>
            </w:tcBorders>
          </w:tcPr>
          <w:p w14:paraId="52E5ECD9" w14:textId="77777777" w:rsidR="00943CCA" w:rsidRPr="00943CCA" w:rsidRDefault="00943CCA" w:rsidP="00943CCA">
            <w:pPr>
              <w:ind w:right="624"/>
              <w:rPr>
                <w:sz w:val="20"/>
                <w:szCs w:val="20"/>
              </w:rPr>
            </w:pPr>
            <w:r w:rsidRPr="00943CCA">
              <w:rPr>
                <w:sz w:val="20"/>
                <w:szCs w:val="20"/>
              </w:rPr>
              <w:t>PensionISSSTE</w:t>
            </w:r>
          </w:p>
        </w:tc>
        <w:tc>
          <w:tcPr>
            <w:tcW w:w="1701" w:type="dxa"/>
            <w:tcBorders>
              <w:top w:val="nil"/>
              <w:bottom w:val="nil"/>
            </w:tcBorders>
          </w:tcPr>
          <w:p w14:paraId="59BC1B7E" w14:textId="77777777" w:rsidR="00943CCA" w:rsidRPr="00943CCA" w:rsidRDefault="00943CCA" w:rsidP="00943CCA">
            <w:pPr>
              <w:ind w:right="624"/>
              <w:jc w:val="right"/>
              <w:rPr>
                <w:sz w:val="20"/>
                <w:szCs w:val="20"/>
              </w:rPr>
            </w:pPr>
            <w:r w:rsidRPr="00943CCA">
              <w:rPr>
                <w:sz w:val="20"/>
                <w:szCs w:val="20"/>
              </w:rPr>
              <w:t>10.79</w:t>
            </w:r>
          </w:p>
        </w:tc>
      </w:tr>
      <w:tr w:rsidR="00943CCA" w:rsidRPr="00943CCA" w14:paraId="5E45DFAB" w14:textId="77777777" w:rsidTr="00082E99">
        <w:trPr>
          <w:jc w:val="center"/>
        </w:trPr>
        <w:tc>
          <w:tcPr>
            <w:tcW w:w="2344" w:type="dxa"/>
            <w:tcBorders>
              <w:top w:val="nil"/>
              <w:bottom w:val="nil"/>
            </w:tcBorders>
          </w:tcPr>
          <w:p w14:paraId="299106B8" w14:textId="77777777" w:rsidR="00943CCA" w:rsidRPr="00943CCA" w:rsidRDefault="00943CCA" w:rsidP="00943CCA">
            <w:pPr>
              <w:rPr>
                <w:sz w:val="20"/>
                <w:szCs w:val="20"/>
              </w:rPr>
            </w:pPr>
            <w:r w:rsidRPr="00943CCA">
              <w:rPr>
                <w:sz w:val="20"/>
                <w:szCs w:val="20"/>
              </w:rPr>
              <w:t>MetLife</w:t>
            </w:r>
          </w:p>
        </w:tc>
        <w:tc>
          <w:tcPr>
            <w:tcW w:w="1756" w:type="dxa"/>
            <w:tcBorders>
              <w:top w:val="nil"/>
              <w:bottom w:val="nil"/>
              <w:right w:val="single" w:sz="4" w:space="0" w:color="auto"/>
            </w:tcBorders>
          </w:tcPr>
          <w:p w14:paraId="3BBB9331" w14:textId="77777777" w:rsidR="00943CCA" w:rsidRPr="00943CCA" w:rsidRDefault="00943CCA" w:rsidP="00943CCA">
            <w:pPr>
              <w:ind w:right="624"/>
              <w:jc w:val="right"/>
              <w:rPr>
                <w:sz w:val="20"/>
                <w:szCs w:val="20"/>
              </w:rPr>
            </w:pPr>
            <w:r w:rsidRPr="00943CCA">
              <w:rPr>
                <w:sz w:val="20"/>
                <w:szCs w:val="20"/>
              </w:rPr>
              <w:t>9.32</w:t>
            </w:r>
          </w:p>
        </w:tc>
        <w:tc>
          <w:tcPr>
            <w:tcW w:w="222" w:type="dxa"/>
            <w:tcBorders>
              <w:top w:val="nil"/>
              <w:left w:val="single" w:sz="4" w:space="0" w:color="auto"/>
              <w:bottom w:val="nil"/>
              <w:right w:val="single" w:sz="4" w:space="0" w:color="auto"/>
            </w:tcBorders>
          </w:tcPr>
          <w:p w14:paraId="260A8A2E" w14:textId="77777777" w:rsidR="00943CCA" w:rsidRPr="00943CCA" w:rsidRDefault="00943CCA" w:rsidP="00943CCA">
            <w:pPr>
              <w:ind w:right="624"/>
              <w:jc w:val="right"/>
              <w:rPr>
                <w:sz w:val="20"/>
                <w:szCs w:val="20"/>
              </w:rPr>
            </w:pPr>
          </w:p>
        </w:tc>
        <w:tc>
          <w:tcPr>
            <w:tcW w:w="2341" w:type="dxa"/>
            <w:tcBorders>
              <w:top w:val="nil"/>
              <w:left w:val="single" w:sz="4" w:space="0" w:color="auto"/>
              <w:bottom w:val="nil"/>
            </w:tcBorders>
          </w:tcPr>
          <w:p w14:paraId="7D63D635" w14:textId="77777777" w:rsidR="00943CCA" w:rsidRPr="00943CCA" w:rsidRDefault="00943CCA" w:rsidP="00943CCA">
            <w:pPr>
              <w:ind w:right="624"/>
              <w:rPr>
                <w:sz w:val="20"/>
                <w:szCs w:val="20"/>
              </w:rPr>
            </w:pPr>
            <w:r w:rsidRPr="00943CCA">
              <w:rPr>
                <w:sz w:val="20"/>
                <w:szCs w:val="20"/>
              </w:rPr>
              <w:t>MetLife</w:t>
            </w:r>
          </w:p>
        </w:tc>
        <w:tc>
          <w:tcPr>
            <w:tcW w:w="1701" w:type="dxa"/>
            <w:tcBorders>
              <w:top w:val="nil"/>
              <w:bottom w:val="nil"/>
            </w:tcBorders>
          </w:tcPr>
          <w:p w14:paraId="7A1DA4BD" w14:textId="77777777" w:rsidR="00943CCA" w:rsidRPr="00943CCA" w:rsidRDefault="00943CCA" w:rsidP="00943CCA">
            <w:pPr>
              <w:ind w:right="624"/>
              <w:jc w:val="right"/>
              <w:rPr>
                <w:sz w:val="20"/>
                <w:szCs w:val="20"/>
              </w:rPr>
            </w:pPr>
            <w:r w:rsidRPr="00943CCA">
              <w:rPr>
                <w:sz w:val="20"/>
                <w:szCs w:val="20"/>
              </w:rPr>
              <w:t>10.33</w:t>
            </w:r>
          </w:p>
        </w:tc>
      </w:tr>
      <w:tr w:rsidR="00943CCA" w:rsidRPr="00943CCA" w14:paraId="59A957E8" w14:textId="77777777" w:rsidTr="00082E99">
        <w:trPr>
          <w:jc w:val="center"/>
        </w:trPr>
        <w:tc>
          <w:tcPr>
            <w:tcW w:w="2344" w:type="dxa"/>
            <w:tcBorders>
              <w:top w:val="nil"/>
              <w:bottom w:val="nil"/>
            </w:tcBorders>
          </w:tcPr>
          <w:p w14:paraId="39A28A73" w14:textId="77777777" w:rsidR="00943CCA" w:rsidRPr="00943CCA" w:rsidRDefault="00943CCA" w:rsidP="00943CCA">
            <w:pPr>
              <w:rPr>
                <w:sz w:val="20"/>
                <w:szCs w:val="20"/>
              </w:rPr>
            </w:pPr>
            <w:r w:rsidRPr="00943CCA">
              <w:rPr>
                <w:sz w:val="20"/>
                <w:szCs w:val="20"/>
              </w:rPr>
              <w:t>Invercap</w:t>
            </w:r>
          </w:p>
        </w:tc>
        <w:tc>
          <w:tcPr>
            <w:tcW w:w="1756" w:type="dxa"/>
            <w:tcBorders>
              <w:top w:val="nil"/>
              <w:bottom w:val="nil"/>
              <w:right w:val="single" w:sz="4" w:space="0" w:color="auto"/>
            </w:tcBorders>
          </w:tcPr>
          <w:p w14:paraId="2BA623C3" w14:textId="77777777" w:rsidR="00943CCA" w:rsidRPr="00943CCA" w:rsidRDefault="00943CCA" w:rsidP="00943CCA">
            <w:pPr>
              <w:ind w:right="624"/>
              <w:jc w:val="right"/>
              <w:rPr>
                <w:sz w:val="20"/>
                <w:szCs w:val="20"/>
              </w:rPr>
            </w:pPr>
            <w:r w:rsidRPr="00943CCA">
              <w:rPr>
                <w:sz w:val="20"/>
                <w:szCs w:val="20"/>
              </w:rPr>
              <w:t>9.25</w:t>
            </w:r>
          </w:p>
        </w:tc>
        <w:tc>
          <w:tcPr>
            <w:tcW w:w="222" w:type="dxa"/>
            <w:tcBorders>
              <w:top w:val="nil"/>
              <w:left w:val="single" w:sz="4" w:space="0" w:color="auto"/>
              <w:bottom w:val="nil"/>
              <w:right w:val="single" w:sz="4" w:space="0" w:color="auto"/>
            </w:tcBorders>
          </w:tcPr>
          <w:p w14:paraId="1FB6BC58" w14:textId="77777777" w:rsidR="00943CCA" w:rsidRPr="00943CCA" w:rsidRDefault="00943CCA" w:rsidP="00943CCA">
            <w:pPr>
              <w:ind w:right="624"/>
              <w:jc w:val="right"/>
              <w:rPr>
                <w:sz w:val="20"/>
                <w:szCs w:val="20"/>
              </w:rPr>
            </w:pPr>
          </w:p>
        </w:tc>
        <w:tc>
          <w:tcPr>
            <w:tcW w:w="2341" w:type="dxa"/>
            <w:tcBorders>
              <w:top w:val="nil"/>
              <w:left w:val="single" w:sz="4" w:space="0" w:color="auto"/>
              <w:bottom w:val="nil"/>
            </w:tcBorders>
          </w:tcPr>
          <w:p w14:paraId="406440E7" w14:textId="77777777" w:rsidR="00943CCA" w:rsidRPr="00943CCA" w:rsidRDefault="00943CCA" w:rsidP="00943CCA">
            <w:pPr>
              <w:ind w:right="624"/>
              <w:rPr>
                <w:sz w:val="20"/>
                <w:szCs w:val="20"/>
              </w:rPr>
            </w:pPr>
            <w:r w:rsidRPr="00943CCA">
              <w:rPr>
                <w:sz w:val="20"/>
                <w:szCs w:val="20"/>
              </w:rPr>
              <w:t>Invercap</w:t>
            </w:r>
          </w:p>
        </w:tc>
        <w:tc>
          <w:tcPr>
            <w:tcW w:w="1701" w:type="dxa"/>
            <w:tcBorders>
              <w:top w:val="nil"/>
              <w:bottom w:val="nil"/>
            </w:tcBorders>
          </w:tcPr>
          <w:p w14:paraId="611ABBF4" w14:textId="77777777" w:rsidR="00943CCA" w:rsidRPr="00943CCA" w:rsidRDefault="00943CCA" w:rsidP="00943CCA">
            <w:pPr>
              <w:ind w:right="624"/>
              <w:jc w:val="right"/>
              <w:rPr>
                <w:sz w:val="20"/>
                <w:szCs w:val="20"/>
              </w:rPr>
            </w:pPr>
            <w:r w:rsidRPr="00943CCA">
              <w:rPr>
                <w:sz w:val="20"/>
                <w:szCs w:val="20"/>
              </w:rPr>
              <w:t>10.12</w:t>
            </w:r>
          </w:p>
        </w:tc>
      </w:tr>
      <w:tr w:rsidR="00943CCA" w:rsidRPr="00943CCA" w14:paraId="6E43F203" w14:textId="77777777" w:rsidTr="00082E99">
        <w:trPr>
          <w:jc w:val="center"/>
        </w:trPr>
        <w:tc>
          <w:tcPr>
            <w:tcW w:w="2344" w:type="dxa"/>
            <w:tcBorders>
              <w:top w:val="nil"/>
              <w:bottom w:val="nil"/>
            </w:tcBorders>
          </w:tcPr>
          <w:p w14:paraId="509E3812" w14:textId="77777777" w:rsidR="00943CCA" w:rsidRPr="00943CCA" w:rsidRDefault="00943CCA" w:rsidP="00943CCA">
            <w:pPr>
              <w:rPr>
                <w:sz w:val="20"/>
                <w:szCs w:val="20"/>
              </w:rPr>
            </w:pPr>
            <w:r w:rsidRPr="00943CCA">
              <w:rPr>
                <w:sz w:val="20"/>
                <w:szCs w:val="20"/>
              </w:rPr>
              <w:t>XXI-Banorte</w:t>
            </w:r>
          </w:p>
        </w:tc>
        <w:tc>
          <w:tcPr>
            <w:tcW w:w="1756" w:type="dxa"/>
            <w:tcBorders>
              <w:top w:val="nil"/>
              <w:bottom w:val="nil"/>
              <w:right w:val="single" w:sz="4" w:space="0" w:color="auto"/>
            </w:tcBorders>
          </w:tcPr>
          <w:p w14:paraId="60D9EDBE" w14:textId="77777777" w:rsidR="00943CCA" w:rsidRPr="00943CCA" w:rsidRDefault="00943CCA" w:rsidP="00943CCA">
            <w:pPr>
              <w:ind w:right="624"/>
              <w:jc w:val="right"/>
              <w:rPr>
                <w:sz w:val="20"/>
                <w:szCs w:val="20"/>
              </w:rPr>
            </w:pPr>
            <w:r w:rsidRPr="00943CCA">
              <w:rPr>
                <w:sz w:val="20"/>
                <w:szCs w:val="20"/>
              </w:rPr>
              <w:t>9.13</w:t>
            </w:r>
          </w:p>
        </w:tc>
        <w:tc>
          <w:tcPr>
            <w:tcW w:w="222" w:type="dxa"/>
            <w:tcBorders>
              <w:top w:val="nil"/>
              <w:left w:val="single" w:sz="4" w:space="0" w:color="auto"/>
              <w:bottom w:val="nil"/>
              <w:right w:val="single" w:sz="4" w:space="0" w:color="auto"/>
            </w:tcBorders>
          </w:tcPr>
          <w:p w14:paraId="23827EBF" w14:textId="77777777" w:rsidR="00943CCA" w:rsidRPr="00943CCA" w:rsidRDefault="00943CCA" w:rsidP="00943CCA">
            <w:pPr>
              <w:ind w:right="624"/>
              <w:jc w:val="right"/>
              <w:rPr>
                <w:sz w:val="20"/>
                <w:szCs w:val="20"/>
              </w:rPr>
            </w:pPr>
          </w:p>
        </w:tc>
        <w:tc>
          <w:tcPr>
            <w:tcW w:w="2341" w:type="dxa"/>
            <w:tcBorders>
              <w:top w:val="nil"/>
              <w:left w:val="single" w:sz="4" w:space="0" w:color="auto"/>
              <w:bottom w:val="nil"/>
            </w:tcBorders>
          </w:tcPr>
          <w:p w14:paraId="60452E5D" w14:textId="77777777" w:rsidR="00943CCA" w:rsidRPr="00943CCA" w:rsidRDefault="00943CCA" w:rsidP="00943CCA">
            <w:pPr>
              <w:ind w:right="624"/>
              <w:rPr>
                <w:sz w:val="20"/>
                <w:szCs w:val="20"/>
              </w:rPr>
            </w:pPr>
            <w:r w:rsidRPr="00943CCA">
              <w:rPr>
                <w:sz w:val="20"/>
                <w:szCs w:val="20"/>
              </w:rPr>
              <w:t>XXI-Banorte</w:t>
            </w:r>
          </w:p>
        </w:tc>
        <w:tc>
          <w:tcPr>
            <w:tcW w:w="1701" w:type="dxa"/>
            <w:tcBorders>
              <w:top w:val="nil"/>
              <w:bottom w:val="nil"/>
            </w:tcBorders>
          </w:tcPr>
          <w:p w14:paraId="5910A2D7" w14:textId="77777777" w:rsidR="00943CCA" w:rsidRPr="00943CCA" w:rsidRDefault="00943CCA" w:rsidP="00943CCA">
            <w:pPr>
              <w:ind w:right="624"/>
              <w:jc w:val="right"/>
              <w:rPr>
                <w:sz w:val="20"/>
                <w:szCs w:val="20"/>
              </w:rPr>
            </w:pPr>
            <w:r w:rsidRPr="00943CCA">
              <w:rPr>
                <w:sz w:val="20"/>
                <w:szCs w:val="20"/>
              </w:rPr>
              <w:t>9.95</w:t>
            </w:r>
          </w:p>
        </w:tc>
      </w:tr>
      <w:tr w:rsidR="00943CCA" w:rsidRPr="00943CCA" w14:paraId="051556C3" w14:textId="77777777" w:rsidTr="00082E99">
        <w:trPr>
          <w:jc w:val="center"/>
        </w:trPr>
        <w:tc>
          <w:tcPr>
            <w:tcW w:w="2344" w:type="dxa"/>
            <w:tcBorders>
              <w:top w:val="nil"/>
              <w:bottom w:val="nil"/>
            </w:tcBorders>
          </w:tcPr>
          <w:p w14:paraId="3FA84A1C" w14:textId="77777777" w:rsidR="00943CCA" w:rsidRPr="00943CCA" w:rsidRDefault="00943CCA" w:rsidP="00943CCA">
            <w:pPr>
              <w:rPr>
                <w:sz w:val="20"/>
                <w:szCs w:val="20"/>
              </w:rPr>
            </w:pPr>
            <w:r w:rsidRPr="00943CCA">
              <w:rPr>
                <w:sz w:val="20"/>
                <w:szCs w:val="20"/>
              </w:rPr>
              <w:t>Principal</w:t>
            </w:r>
          </w:p>
        </w:tc>
        <w:tc>
          <w:tcPr>
            <w:tcW w:w="1756" w:type="dxa"/>
            <w:tcBorders>
              <w:top w:val="nil"/>
              <w:bottom w:val="nil"/>
              <w:right w:val="single" w:sz="4" w:space="0" w:color="auto"/>
            </w:tcBorders>
          </w:tcPr>
          <w:p w14:paraId="362FF91A" w14:textId="77777777" w:rsidR="00943CCA" w:rsidRPr="00943CCA" w:rsidRDefault="00943CCA" w:rsidP="00943CCA">
            <w:pPr>
              <w:ind w:right="624"/>
              <w:jc w:val="right"/>
              <w:rPr>
                <w:sz w:val="20"/>
                <w:szCs w:val="20"/>
              </w:rPr>
            </w:pPr>
            <w:r w:rsidRPr="00943CCA">
              <w:rPr>
                <w:sz w:val="20"/>
                <w:szCs w:val="20"/>
              </w:rPr>
              <w:t>8.65</w:t>
            </w:r>
          </w:p>
        </w:tc>
        <w:tc>
          <w:tcPr>
            <w:tcW w:w="222" w:type="dxa"/>
            <w:tcBorders>
              <w:top w:val="nil"/>
              <w:left w:val="single" w:sz="4" w:space="0" w:color="auto"/>
              <w:bottom w:val="nil"/>
              <w:right w:val="single" w:sz="4" w:space="0" w:color="auto"/>
            </w:tcBorders>
          </w:tcPr>
          <w:p w14:paraId="6974279F" w14:textId="77777777" w:rsidR="00943CCA" w:rsidRPr="00943CCA" w:rsidRDefault="00943CCA" w:rsidP="00943CCA">
            <w:pPr>
              <w:ind w:right="624"/>
              <w:jc w:val="right"/>
              <w:rPr>
                <w:sz w:val="20"/>
                <w:szCs w:val="20"/>
              </w:rPr>
            </w:pPr>
          </w:p>
        </w:tc>
        <w:tc>
          <w:tcPr>
            <w:tcW w:w="2341" w:type="dxa"/>
            <w:tcBorders>
              <w:top w:val="nil"/>
              <w:left w:val="single" w:sz="4" w:space="0" w:color="auto"/>
              <w:bottom w:val="nil"/>
            </w:tcBorders>
          </w:tcPr>
          <w:p w14:paraId="2820DC0D" w14:textId="77777777" w:rsidR="00943CCA" w:rsidRPr="00943CCA" w:rsidRDefault="00943CCA" w:rsidP="00943CCA">
            <w:pPr>
              <w:ind w:right="624"/>
              <w:rPr>
                <w:sz w:val="20"/>
                <w:szCs w:val="20"/>
              </w:rPr>
            </w:pPr>
            <w:r w:rsidRPr="00943CCA">
              <w:rPr>
                <w:sz w:val="20"/>
                <w:szCs w:val="20"/>
              </w:rPr>
              <w:t>Principal</w:t>
            </w:r>
          </w:p>
        </w:tc>
        <w:tc>
          <w:tcPr>
            <w:tcW w:w="1701" w:type="dxa"/>
            <w:tcBorders>
              <w:top w:val="nil"/>
              <w:bottom w:val="nil"/>
            </w:tcBorders>
          </w:tcPr>
          <w:p w14:paraId="0FA697AC" w14:textId="77777777" w:rsidR="00943CCA" w:rsidRPr="00943CCA" w:rsidRDefault="00943CCA" w:rsidP="00943CCA">
            <w:pPr>
              <w:ind w:right="624"/>
              <w:jc w:val="right"/>
              <w:rPr>
                <w:sz w:val="20"/>
                <w:szCs w:val="20"/>
              </w:rPr>
            </w:pPr>
            <w:r w:rsidRPr="00943CCA">
              <w:rPr>
                <w:sz w:val="20"/>
                <w:szCs w:val="20"/>
              </w:rPr>
              <w:t>9.57</w:t>
            </w:r>
          </w:p>
        </w:tc>
      </w:tr>
      <w:tr w:rsidR="00943CCA" w:rsidRPr="00943CCA" w14:paraId="35B317D9" w14:textId="77777777" w:rsidTr="00082E99">
        <w:trPr>
          <w:jc w:val="center"/>
        </w:trPr>
        <w:tc>
          <w:tcPr>
            <w:tcW w:w="2344" w:type="dxa"/>
            <w:tcBorders>
              <w:top w:val="nil"/>
              <w:bottom w:val="nil"/>
            </w:tcBorders>
          </w:tcPr>
          <w:p w14:paraId="1EAE2FF0" w14:textId="77777777" w:rsidR="00943CCA" w:rsidRPr="00943CCA" w:rsidRDefault="00943CCA" w:rsidP="00943CCA">
            <w:pPr>
              <w:rPr>
                <w:sz w:val="20"/>
                <w:szCs w:val="20"/>
              </w:rPr>
            </w:pPr>
            <w:r w:rsidRPr="00943CCA">
              <w:rPr>
                <w:sz w:val="20"/>
                <w:szCs w:val="20"/>
              </w:rPr>
              <w:t>Azteca</w:t>
            </w:r>
          </w:p>
        </w:tc>
        <w:tc>
          <w:tcPr>
            <w:tcW w:w="1756" w:type="dxa"/>
            <w:tcBorders>
              <w:top w:val="nil"/>
              <w:bottom w:val="nil"/>
              <w:right w:val="single" w:sz="4" w:space="0" w:color="auto"/>
            </w:tcBorders>
          </w:tcPr>
          <w:p w14:paraId="1B71CD67" w14:textId="77777777" w:rsidR="00943CCA" w:rsidRPr="00943CCA" w:rsidRDefault="00943CCA" w:rsidP="00943CCA">
            <w:pPr>
              <w:ind w:right="624"/>
              <w:jc w:val="right"/>
              <w:rPr>
                <w:sz w:val="20"/>
                <w:szCs w:val="20"/>
              </w:rPr>
            </w:pPr>
            <w:r w:rsidRPr="00943CCA">
              <w:rPr>
                <w:sz w:val="20"/>
                <w:szCs w:val="20"/>
              </w:rPr>
              <w:t>8.08</w:t>
            </w:r>
          </w:p>
        </w:tc>
        <w:tc>
          <w:tcPr>
            <w:tcW w:w="222" w:type="dxa"/>
            <w:tcBorders>
              <w:top w:val="nil"/>
              <w:left w:val="single" w:sz="4" w:space="0" w:color="auto"/>
              <w:bottom w:val="nil"/>
              <w:right w:val="single" w:sz="4" w:space="0" w:color="auto"/>
            </w:tcBorders>
          </w:tcPr>
          <w:p w14:paraId="77E19945" w14:textId="77777777" w:rsidR="00943CCA" w:rsidRPr="00943CCA" w:rsidRDefault="00943CCA" w:rsidP="00943CCA">
            <w:pPr>
              <w:ind w:right="624"/>
              <w:jc w:val="right"/>
              <w:rPr>
                <w:sz w:val="20"/>
                <w:szCs w:val="20"/>
              </w:rPr>
            </w:pPr>
          </w:p>
        </w:tc>
        <w:tc>
          <w:tcPr>
            <w:tcW w:w="2341" w:type="dxa"/>
            <w:tcBorders>
              <w:top w:val="nil"/>
              <w:left w:val="single" w:sz="4" w:space="0" w:color="auto"/>
              <w:bottom w:val="nil"/>
            </w:tcBorders>
          </w:tcPr>
          <w:p w14:paraId="24C1D664" w14:textId="77777777" w:rsidR="00943CCA" w:rsidRPr="00943CCA" w:rsidRDefault="00943CCA" w:rsidP="00943CCA">
            <w:pPr>
              <w:ind w:right="624"/>
              <w:rPr>
                <w:sz w:val="20"/>
                <w:szCs w:val="20"/>
              </w:rPr>
            </w:pPr>
            <w:r w:rsidRPr="00943CCA">
              <w:rPr>
                <w:sz w:val="20"/>
                <w:szCs w:val="20"/>
              </w:rPr>
              <w:t>Azteca</w:t>
            </w:r>
          </w:p>
        </w:tc>
        <w:tc>
          <w:tcPr>
            <w:tcW w:w="1701" w:type="dxa"/>
            <w:tcBorders>
              <w:top w:val="nil"/>
              <w:bottom w:val="nil"/>
            </w:tcBorders>
          </w:tcPr>
          <w:p w14:paraId="3B4A8A94" w14:textId="77777777" w:rsidR="00943CCA" w:rsidRPr="00943CCA" w:rsidRDefault="00943CCA" w:rsidP="00943CCA">
            <w:pPr>
              <w:ind w:right="624"/>
              <w:jc w:val="right"/>
              <w:rPr>
                <w:sz w:val="20"/>
                <w:szCs w:val="20"/>
              </w:rPr>
            </w:pPr>
            <w:r w:rsidRPr="00943CCA">
              <w:rPr>
                <w:sz w:val="20"/>
                <w:szCs w:val="20"/>
              </w:rPr>
              <w:t>8.45</w:t>
            </w:r>
          </w:p>
        </w:tc>
      </w:tr>
      <w:tr w:rsidR="00943CCA" w:rsidRPr="00943CCA" w14:paraId="2B7123DA" w14:textId="77777777" w:rsidTr="00082E99">
        <w:trPr>
          <w:jc w:val="center"/>
        </w:trPr>
        <w:tc>
          <w:tcPr>
            <w:tcW w:w="2344" w:type="dxa"/>
            <w:tcBorders>
              <w:top w:val="nil"/>
              <w:bottom w:val="nil"/>
            </w:tcBorders>
          </w:tcPr>
          <w:p w14:paraId="32A6AFA2" w14:textId="77777777" w:rsidR="00943CCA" w:rsidRPr="00943CCA" w:rsidRDefault="00943CCA" w:rsidP="00943CCA">
            <w:pPr>
              <w:rPr>
                <w:sz w:val="20"/>
                <w:szCs w:val="20"/>
              </w:rPr>
            </w:pPr>
            <w:r w:rsidRPr="00943CCA">
              <w:rPr>
                <w:sz w:val="20"/>
                <w:szCs w:val="20"/>
              </w:rPr>
              <w:t>Coppel</w:t>
            </w:r>
          </w:p>
        </w:tc>
        <w:tc>
          <w:tcPr>
            <w:tcW w:w="1756" w:type="dxa"/>
            <w:tcBorders>
              <w:top w:val="nil"/>
              <w:bottom w:val="nil"/>
              <w:right w:val="single" w:sz="4" w:space="0" w:color="auto"/>
            </w:tcBorders>
          </w:tcPr>
          <w:p w14:paraId="3FAC9E7C" w14:textId="77777777" w:rsidR="00943CCA" w:rsidRPr="00943CCA" w:rsidRDefault="00943CCA" w:rsidP="00943CCA">
            <w:pPr>
              <w:ind w:right="624"/>
              <w:jc w:val="right"/>
              <w:rPr>
                <w:sz w:val="20"/>
                <w:szCs w:val="20"/>
              </w:rPr>
            </w:pPr>
            <w:r w:rsidRPr="00943CCA">
              <w:rPr>
                <w:sz w:val="20"/>
                <w:szCs w:val="20"/>
              </w:rPr>
              <w:t>7.55</w:t>
            </w:r>
          </w:p>
        </w:tc>
        <w:tc>
          <w:tcPr>
            <w:tcW w:w="222" w:type="dxa"/>
            <w:tcBorders>
              <w:top w:val="nil"/>
              <w:left w:val="single" w:sz="4" w:space="0" w:color="auto"/>
              <w:bottom w:val="nil"/>
              <w:right w:val="single" w:sz="4" w:space="0" w:color="auto"/>
            </w:tcBorders>
          </w:tcPr>
          <w:p w14:paraId="5C48E392" w14:textId="77777777" w:rsidR="00943CCA" w:rsidRPr="00943CCA" w:rsidRDefault="00943CCA" w:rsidP="00943CCA">
            <w:pPr>
              <w:ind w:right="624"/>
              <w:jc w:val="right"/>
              <w:rPr>
                <w:sz w:val="20"/>
                <w:szCs w:val="20"/>
              </w:rPr>
            </w:pPr>
          </w:p>
        </w:tc>
        <w:tc>
          <w:tcPr>
            <w:tcW w:w="2341" w:type="dxa"/>
            <w:tcBorders>
              <w:top w:val="nil"/>
              <w:left w:val="single" w:sz="4" w:space="0" w:color="auto"/>
              <w:bottom w:val="nil"/>
            </w:tcBorders>
          </w:tcPr>
          <w:p w14:paraId="734F40C9" w14:textId="77777777" w:rsidR="00943CCA" w:rsidRPr="00943CCA" w:rsidRDefault="00943CCA" w:rsidP="00943CCA">
            <w:pPr>
              <w:ind w:right="624"/>
              <w:rPr>
                <w:sz w:val="20"/>
                <w:szCs w:val="20"/>
              </w:rPr>
            </w:pPr>
            <w:r w:rsidRPr="00943CCA">
              <w:rPr>
                <w:sz w:val="20"/>
                <w:szCs w:val="20"/>
              </w:rPr>
              <w:t>Coppel</w:t>
            </w:r>
          </w:p>
        </w:tc>
        <w:tc>
          <w:tcPr>
            <w:tcW w:w="1701" w:type="dxa"/>
            <w:tcBorders>
              <w:top w:val="nil"/>
              <w:bottom w:val="nil"/>
            </w:tcBorders>
          </w:tcPr>
          <w:p w14:paraId="42755CAD" w14:textId="77777777" w:rsidR="00943CCA" w:rsidRPr="00943CCA" w:rsidRDefault="00943CCA" w:rsidP="00943CCA">
            <w:pPr>
              <w:ind w:right="624"/>
              <w:jc w:val="right"/>
              <w:rPr>
                <w:sz w:val="20"/>
                <w:szCs w:val="20"/>
              </w:rPr>
            </w:pPr>
            <w:r w:rsidRPr="00943CCA">
              <w:rPr>
                <w:sz w:val="20"/>
                <w:szCs w:val="20"/>
              </w:rPr>
              <w:t>7.82</w:t>
            </w:r>
          </w:p>
        </w:tc>
      </w:tr>
      <w:tr w:rsidR="00943CCA" w:rsidRPr="00943CCA" w14:paraId="230030A2" w14:textId="77777777" w:rsidTr="00082E99">
        <w:trPr>
          <w:jc w:val="center"/>
        </w:trPr>
        <w:tc>
          <w:tcPr>
            <w:tcW w:w="2344" w:type="dxa"/>
            <w:tcBorders>
              <w:top w:val="nil"/>
              <w:bottom w:val="nil"/>
            </w:tcBorders>
          </w:tcPr>
          <w:p w14:paraId="2E793538" w14:textId="77777777" w:rsidR="00943CCA" w:rsidRPr="00943CCA" w:rsidRDefault="00943CCA" w:rsidP="00943CCA">
            <w:pPr>
              <w:rPr>
                <w:sz w:val="20"/>
                <w:szCs w:val="20"/>
              </w:rPr>
            </w:pPr>
            <w:r w:rsidRPr="00943CCA">
              <w:rPr>
                <w:sz w:val="20"/>
                <w:szCs w:val="20"/>
              </w:rPr>
              <w:t>Inbursa</w:t>
            </w:r>
          </w:p>
        </w:tc>
        <w:tc>
          <w:tcPr>
            <w:tcW w:w="1756" w:type="dxa"/>
            <w:tcBorders>
              <w:top w:val="nil"/>
              <w:bottom w:val="nil"/>
              <w:right w:val="single" w:sz="4" w:space="0" w:color="auto"/>
            </w:tcBorders>
          </w:tcPr>
          <w:p w14:paraId="7AFB62B5" w14:textId="77777777" w:rsidR="00943CCA" w:rsidRPr="00943CCA" w:rsidRDefault="00943CCA" w:rsidP="00943CCA">
            <w:pPr>
              <w:ind w:right="624"/>
              <w:jc w:val="right"/>
              <w:rPr>
                <w:sz w:val="20"/>
                <w:szCs w:val="20"/>
              </w:rPr>
            </w:pPr>
            <w:r w:rsidRPr="00943CCA">
              <w:rPr>
                <w:sz w:val="20"/>
                <w:szCs w:val="20"/>
              </w:rPr>
              <w:t>5.65</w:t>
            </w:r>
          </w:p>
        </w:tc>
        <w:tc>
          <w:tcPr>
            <w:tcW w:w="222" w:type="dxa"/>
            <w:tcBorders>
              <w:top w:val="nil"/>
              <w:left w:val="single" w:sz="4" w:space="0" w:color="auto"/>
              <w:bottom w:val="nil"/>
              <w:right w:val="single" w:sz="4" w:space="0" w:color="auto"/>
            </w:tcBorders>
          </w:tcPr>
          <w:p w14:paraId="1906B0E5" w14:textId="77777777" w:rsidR="00943CCA" w:rsidRPr="00943CCA" w:rsidRDefault="00943CCA" w:rsidP="00943CCA">
            <w:pPr>
              <w:ind w:right="624"/>
              <w:jc w:val="right"/>
              <w:rPr>
                <w:sz w:val="20"/>
                <w:szCs w:val="20"/>
              </w:rPr>
            </w:pPr>
          </w:p>
        </w:tc>
        <w:tc>
          <w:tcPr>
            <w:tcW w:w="2341" w:type="dxa"/>
            <w:tcBorders>
              <w:top w:val="nil"/>
              <w:left w:val="single" w:sz="4" w:space="0" w:color="auto"/>
              <w:bottom w:val="nil"/>
            </w:tcBorders>
          </w:tcPr>
          <w:p w14:paraId="30BCED7A" w14:textId="77777777" w:rsidR="00943CCA" w:rsidRPr="00943CCA" w:rsidRDefault="00943CCA" w:rsidP="00943CCA">
            <w:pPr>
              <w:ind w:right="624"/>
              <w:rPr>
                <w:sz w:val="20"/>
                <w:szCs w:val="20"/>
              </w:rPr>
            </w:pPr>
            <w:r w:rsidRPr="00943CCA">
              <w:rPr>
                <w:sz w:val="20"/>
                <w:szCs w:val="20"/>
              </w:rPr>
              <w:t>Inbursa</w:t>
            </w:r>
          </w:p>
        </w:tc>
        <w:tc>
          <w:tcPr>
            <w:tcW w:w="1701" w:type="dxa"/>
            <w:tcBorders>
              <w:top w:val="nil"/>
              <w:bottom w:val="nil"/>
            </w:tcBorders>
          </w:tcPr>
          <w:p w14:paraId="5AEF2235" w14:textId="77777777" w:rsidR="00943CCA" w:rsidRPr="00943CCA" w:rsidRDefault="00943CCA" w:rsidP="00943CCA">
            <w:pPr>
              <w:ind w:right="624"/>
              <w:jc w:val="right"/>
              <w:rPr>
                <w:sz w:val="20"/>
                <w:szCs w:val="20"/>
              </w:rPr>
            </w:pPr>
            <w:r w:rsidRPr="00943CCA">
              <w:rPr>
                <w:sz w:val="20"/>
                <w:szCs w:val="20"/>
              </w:rPr>
              <w:t>6.14</w:t>
            </w:r>
          </w:p>
        </w:tc>
      </w:tr>
      <w:tr w:rsidR="00943CCA" w:rsidRPr="00943CCA" w14:paraId="24EDBF61" w14:textId="77777777" w:rsidTr="00082E99">
        <w:trPr>
          <w:jc w:val="center"/>
        </w:trPr>
        <w:tc>
          <w:tcPr>
            <w:tcW w:w="2344" w:type="dxa"/>
            <w:tcBorders>
              <w:top w:val="nil"/>
              <w:bottom w:val="nil"/>
            </w:tcBorders>
          </w:tcPr>
          <w:p w14:paraId="59568779" w14:textId="77777777" w:rsidR="00943CCA" w:rsidRPr="00943CCA" w:rsidRDefault="00943CCA" w:rsidP="00943CCA">
            <w:pPr>
              <w:rPr>
                <w:b/>
                <w:sz w:val="20"/>
                <w:szCs w:val="20"/>
              </w:rPr>
            </w:pPr>
            <w:r w:rsidRPr="00943CCA">
              <w:rPr>
                <w:b/>
                <w:sz w:val="20"/>
                <w:szCs w:val="20"/>
              </w:rPr>
              <w:t>Promedio Simple</w:t>
            </w:r>
          </w:p>
        </w:tc>
        <w:tc>
          <w:tcPr>
            <w:tcW w:w="1756" w:type="dxa"/>
            <w:tcBorders>
              <w:top w:val="nil"/>
              <w:bottom w:val="nil"/>
              <w:right w:val="single" w:sz="4" w:space="0" w:color="auto"/>
            </w:tcBorders>
          </w:tcPr>
          <w:p w14:paraId="679817E1" w14:textId="77777777" w:rsidR="00943CCA" w:rsidRPr="00943CCA" w:rsidRDefault="00943CCA" w:rsidP="00943CCA">
            <w:pPr>
              <w:ind w:right="624"/>
              <w:jc w:val="right"/>
              <w:rPr>
                <w:b/>
                <w:sz w:val="20"/>
                <w:szCs w:val="20"/>
              </w:rPr>
            </w:pPr>
            <w:r w:rsidRPr="00943CCA">
              <w:rPr>
                <w:b/>
                <w:sz w:val="20"/>
                <w:szCs w:val="20"/>
              </w:rPr>
              <w:t>8.95</w:t>
            </w:r>
          </w:p>
        </w:tc>
        <w:tc>
          <w:tcPr>
            <w:tcW w:w="222" w:type="dxa"/>
            <w:tcBorders>
              <w:top w:val="nil"/>
              <w:left w:val="single" w:sz="4" w:space="0" w:color="auto"/>
              <w:bottom w:val="nil"/>
              <w:right w:val="single" w:sz="4" w:space="0" w:color="auto"/>
            </w:tcBorders>
          </w:tcPr>
          <w:p w14:paraId="50D8F44B" w14:textId="77777777" w:rsidR="00943CCA" w:rsidRPr="00943CCA" w:rsidRDefault="00943CCA" w:rsidP="00943CCA">
            <w:pPr>
              <w:ind w:right="624"/>
              <w:jc w:val="right"/>
              <w:rPr>
                <w:b/>
                <w:sz w:val="20"/>
                <w:szCs w:val="20"/>
              </w:rPr>
            </w:pPr>
          </w:p>
        </w:tc>
        <w:tc>
          <w:tcPr>
            <w:tcW w:w="2341" w:type="dxa"/>
            <w:tcBorders>
              <w:top w:val="nil"/>
              <w:left w:val="single" w:sz="4" w:space="0" w:color="auto"/>
              <w:bottom w:val="nil"/>
            </w:tcBorders>
          </w:tcPr>
          <w:p w14:paraId="2E20CE1E" w14:textId="77777777" w:rsidR="00943CCA" w:rsidRPr="00943CCA" w:rsidRDefault="00943CCA" w:rsidP="00943CCA">
            <w:pPr>
              <w:ind w:right="624"/>
              <w:rPr>
                <w:b/>
                <w:sz w:val="20"/>
                <w:szCs w:val="20"/>
              </w:rPr>
            </w:pPr>
            <w:r w:rsidRPr="00943CCA">
              <w:rPr>
                <w:b/>
                <w:sz w:val="20"/>
                <w:szCs w:val="20"/>
              </w:rPr>
              <w:t>Promedio Simple</w:t>
            </w:r>
          </w:p>
        </w:tc>
        <w:tc>
          <w:tcPr>
            <w:tcW w:w="1701" w:type="dxa"/>
            <w:tcBorders>
              <w:top w:val="nil"/>
              <w:bottom w:val="nil"/>
            </w:tcBorders>
          </w:tcPr>
          <w:p w14:paraId="3B902BD1" w14:textId="77777777" w:rsidR="00943CCA" w:rsidRPr="00943CCA" w:rsidRDefault="00943CCA" w:rsidP="00943CCA">
            <w:pPr>
              <w:ind w:right="624"/>
              <w:jc w:val="right"/>
              <w:rPr>
                <w:b/>
                <w:sz w:val="20"/>
                <w:szCs w:val="20"/>
              </w:rPr>
            </w:pPr>
            <w:r w:rsidRPr="00943CCA">
              <w:rPr>
                <w:b/>
                <w:sz w:val="20"/>
                <w:szCs w:val="20"/>
              </w:rPr>
              <w:t>9.76</w:t>
            </w:r>
          </w:p>
        </w:tc>
      </w:tr>
      <w:tr w:rsidR="00943CCA" w:rsidRPr="00943CCA" w14:paraId="6F4CFDE8" w14:textId="77777777" w:rsidTr="00082E99">
        <w:trPr>
          <w:jc w:val="center"/>
        </w:trPr>
        <w:tc>
          <w:tcPr>
            <w:tcW w:w="2344" w:type="dxa"/>
            <w:tcBorders>
              <w:top w:val="nil"/>
              <w:bottom w:val="single" w:sz="4" w:space="0" w:color="auto"/>
            </w:tcBorders>
          </w:tcPr>
          <w:p w14:paraId="4FD3A688" w14:textId="77777777" w:rsidR="00943CCA" w:rsidRPr="00943CCA" w:rsidRDefault="00943CCA" w:rsidP="00943CCA">
            <w:pPr>
              <w:rPr>
                <w:b/>
                <w:sz w:val="20"/>
                <w:szCs w:val="20"/>
              </w:rPr>
            </w:pPr>
            <w:r w:rsidRPr="00943CCA">
              <w:rPr>
                <w:b/>
                <w:sz w:val="20"/>
                <w:szCs w:val="20"/>
              </w:rPr>
              <w:t>Promedio Ponderado</w:t>
            </w:r>
          </w:p>
        </w:tc>
        <w:tc>
          <w:tcPr>
            <w:tcW w:w="1756" w:type="dxa"/>
            <w:tcBorders>
              <w:top w:val="nil"/>
              <w:bottom w:val="single" w:sz="4" w:space="0" w:color="auto"/>
              <w:right w:val="single" w:sz="4" w:space="0" w:color="auto"/>
            </w:tcBorders>
          </w:tcPr>
          <w:p w14:paraId="05A89563" w14:textId="77777777" w:rsidR="00943CCA" w:rsidRPr="00943CCA" w:rsidRDefault="00943CCA" w:rsidP="00943CCA">
            <w:pPr>
              <w:ind w:right="624"/>
              <w:jc w:val="right"/>
              <w:rPr>
                <w:b/>
                <w:sz w:val="20"/>
                <w:szCs w:val="20"/>
              </w:rPr>
            </w:pPr>
            <w:r w:rsidRPr="00943CCA">
              <w:rPr>
                <w:b/>
                <w:sz w:val="20"/>
                <w:szCs w:val="20"/>
              </w:rPr>
              <w:t>9.40</w:t>
            </w:r>
          </w:p>
        </w:tc>
        <w:tc>
          <w:tcPr>
            <w:tcW w:w="222" w:type="dxa"/>
            <w:tcBorders>
              <w:top w:val="nil"/>
              <w:left w:val="single" w:sz="4" w:space="0" w:color="auto"/>
              <w:bottom w:val="nil"/>
              <w:right w:val="single" w:sz="4" w:space="0" w:color="auto"/>
            </w:tcBorders>
          </w:tcPr>
          <w:p w14:paraId="2F77B29C" w14:textId="77777777" w:rsidR="00943CCA" w:rsidRPr="00943CCA" w:rsidRDefault="00943CCA" w:rsidP="00943CCA">
            <w:pPr>
              <w:ind w:right="624"/>
              <w:jc w:val="right"/>
              <w:rPr>
                <w:b/>
                <w:sz w:val="20"/>
                <w:szCs w:val="20"/>
              </w:rPr>
            </w:pPr>
          </w:p>
        </w:tc>
        <w:tc>
          <w:tcPr>
            <w:tcW w:w="2341" w:type="dxa"/>
            <w:tcBorders>
              <w:top w:val="nil"/>
              <w:left w:val="single" w:sz="4" w:space="0" w:color="auto"/>
              <w:bottom w:val="single" w:sz="4" w:space="0" w:color="auto"/>
            </w:tcBorders>
          </w:tcPr>
          <w:p w14:paraId="1E0BD4A1" w14:textId="77777777" w:rsidR="00943CCA" w:rsidRPr="00943CCA" w:rsidRDefault="00943CCA" w:rsidP="00943CCA">
            <w:pPr>
              <w:rPr>
                <w:b/>
                <w:sz w:val="20"/>
                <w:szCs w:val="20"/>
              </w:rPr>
            </w:pPr>
            <w:r w:rsidRPr="00943CCA">
              <w:rPr>
                <w:b/>
                <w:sz w:val="20"/>
                <w:szCs w:val="20"/>
              </w:rPr>
              <w:t>Promedio Ponderado</w:t>
            </w:r>
          </w:p>
        </w:tc>
        <w:tc>
          <w:tcPr>
            <w:tcW w:w="1701" w:type="dxa"/>
            <w:tcBorders>
              <w:top w:val="nil"/>
              <w:bottom w:val="single" w:sz="4" w:space="0" w:color="auto"/>
            </w:tcBorders>
          </w:tcPr>
          <w:p w14:paraId="46E8E2AE" w14:textId="77777777" w:rsidR="00943CCA" w:rsidRPr="00943CCA" w:rsidRDefault="00943CCA" w:rsidP="00943CCA">
            <w:pPr>
              <w:ind w:right="624"/>
              <w:jc w:val="right"/>
              <w:rPr>
                <w:b/>
                <w:sz w:val="20"/>
                <w:szCs w:val="20"/>
              </w:rPr>
            </w:pPr>
            <w:r w:rsidRPr="00943CCA">
              <w:rPr>
                <w:b/>
                <w:sz w:val="20"/>
                <w:szCs w:val="20"/>
              </w:rPr>
              <w:t>10.26</w:t>
            </w:r>
          </w:p>
        </w:tc>
      </w:tr>
      <w:tr w:rsidR="00943CCA" w:rsidRPr="00943CCA" w14:paraId="09894E32" w14:textId="77777777" w:rsidTr="00082E99">
        <w:trPr>
          <w:jc w:val="center"/>
        </w:trPr>
        <w:tc>
          <w:tcPr>
            <w:tcW w:w="8364" w:type="dxa"/>
            <w:gridSpan w:val="5"/>
            <w:tcBorders>
              <w:top w:val="nil"/>
              <w:left w:val="nil"/>
              <w:bottom w:val="nil"/>
              <w:right w:val="nil"/>
            </w:tcBorders>
          </w:tcPr>
          <w:p w14:paraId="77B59F2B" w14:textId="77777777" w:rsidR="00943CCA" w:rsidRPr="00943CCA" w:rsidRDefault="00943CCA" w:rsidP="00943CCA">
            <w:pPr>
              <w:rPr>
                <w:sz w:val="20"/>
                <w:szCs w:val="20"/>
              </w:rPr>
            </w:pPr>
            <w:r w:rsidRPr="00943CCA">
              <w:rPr>
                <w:sz w:val="20"/>
                <w:szCs w:val="20"/>
              </w:rPr>
              <w:t>*Cifras al 27 de febrero de 2015.</w:t>
            </w:r>
          </w:p>
          <w:p w14:paraId="0DA8386C" w14:textId="77777777" w:rsidR="00943CCA" w:rsidRPr="00943CCA" w:rsidRDefault="00943CCA" w:rsidP="00943CCA">
            <w:pPr>
              <w:rPr>
                <w:sz w:val="20"/>
                <w:szCs w:val="20"/>
              </w:rPr>
            </w:pPr>
            <w:r w:rsidRPr="00943CCA">
              <w:rPr>
                <w:sz w:val="20"/>
                <w:szCs w:val="20"/>
              </w:rPr>
              <w:t>FUENTE: Consar.</w:t>
            </w:r>
          </w:p>
        </w:tc>
      </w:tr>
    </w:tbl>
    <w:p w14:paraId="73898829" w14:textId="77777777" w:rsidR="00943CCA" w:rsidRPr="00943CCA" w:rsidRDefault="00943CCA" w:rsidP="00943CCA">
      <w:pPr>
        <w:ind w:right="-159"/>
        <w:jc w:val="both"/>
        <w:rPr>
          <w:rFonts w:eastAsia="Calibri"/>
          <w:b/>
          <w:sz w:val="20"/>
          <w:szCs w:val="20"/>
          <w:lang w:eastAsia="en-US"/>
        </w:rPr>
      </w:pPr>
    </w:p>
    <w:p w14:paraId="7E398F57" w14:textId="77777777" w:rsidR="00943CCA" w:rsidRPr="00943CCA" w:rsidRDefault="00943CCA" w:rsidP="00943CCA">
      <w:pPr>
        <w:ind w:right="-159"/>
        <w:jc w:val="both"/>
        <w:rPr>
          <w:rFonts w:eastAsia="Calibri"/>
          <w:b/>
          <w:sz w:val="20"/>
          <w:szCs w:val="20"/>
          <w:lang w:eastAsia="en-US"/>
        </w:rPr>
      </w:pPr>
      <w:r w:rsidRPr="00943CCA">
        <w:rPr>
          <w:rFonts w:eastAsia="Calibri"/>
          <w:b/>
          <w:sz w:val="20"/>
          <w:szCs w:val="20"/>
          <w:lang w:eastAsia="en-US"/>
        </w:rPr>
        <w:t>Fuente de información:</w:t>
      </w:r>
    </w:p>
    <w:p w14:paraId="013D05F4" w14:textId="77777777" w:rsidR="00943CCA" w:rsidRPr="00CB56E5" w:rsidRDefault="0093224F" w:rsidP="00943CCA">
      <w:pPr>
        <w:tabs>
          <w:tab w:val="left" w:pos="7297"/>
        </w:tabs>
        <w:rPr>
          <w:color w:val="0000FF"/>
          <w:sz w:val="20"/>
          <w:szCs w:val="20"/>
        </w:rPr>
      </w:pPr>
      <w:hyperlink r:id="rId377" w:history="1">
        <w:r w:rsidR="00943CCA" w:rsidRPr="00CB56E5">
          <w:rPr>
            <w:color w:val="0000FF"/>
            <w:sz w:val="20"/>
            <w:szCs w:val="20"/>
            <w:u w:val="single"/>
          </w:rPr>
          <w:t>http://www.consar.gob.mx/sala_prensa/PDF/boletines/BP-10-2015.pdf</w:t>
        </w:r>
      </w:hyperlink>
      <w:r w:rsidR="00943CCA" w:rsidRPr="00CB56E5">
        <w:rPr>
          <w:color w:val="0000FF"/>
          <w:sz w:val="20"/>
          <w:szCs w:val="20"/>
        </w:rPr>
        <w:t xml:space="preserve"> </w:t>
      </w:r>
    </w:p>
    <w:p w14:paraId="329DDADE" w14:textId="77777777" w:rsidR="0059734F" w:rsidRDefault="0059734F" w:rsidP="00E07C06">
      <w:pPr>
        <w:spacing w:after="360" w:line="360" w:lineRule="auto"/>
        <w:ind w:right="-159"/>
        <w:jc w:val="both"/>
        <w:rPr>
          <w:sz w:val="26"/>
          <w:szCs w:val="26"/>
        </w:rPr>
      </w:pPr>
    </w:p>
    <w:p w14:paraId="3D1BF983" w14:textId="77777777" w:rsidR="00081999" w:rsidRDefault="00081999" w:rsidP="00081999">
      <w:pPr>
        <w:spacing w:after="240"/>
        <w:rPr>
          <w:rFonts w:eastAsia="Times New Roman"/>
          <w:sz w:val="26"/>
          <w:szCs w:val="26"/>
        </w:rPr>
      </w:pPr>
    </w:p>
    <w:p w14:paraId="4D43B6CC" w14:textId="77777777" w:rsidR="00871DFE" w:rsidRDefault="00871DFE" w:rsidP="00081999">
      <w:pPr>
        <w:spacing w:after="240"/>
        <w:rPr>
          <w:rFonts w:eastAsia="Times New Roman"/>
          <w:sz w:val="26"/>
          <w:szCs w:val="26"/>
        </w:rPr>
      </w:pPr>
    </w:p>
    <w:p w14:paraId="39C89257" w14:textId="77777777" w:rsidR="00871DFE" w:rsidRDefault="00871DFE" w:rsidP="00081999">
      <w:pPr>
        <w:spacing w:after="240"/>
        <w:rPr>
          <w:rFonts w:eastAsia="Times New Roman"/>
          <w:sz w:val="26"/>
          <w:szCs w:val="26"/>
        </w:rPr>
      </w:pPr>
    </w:p>
    <w:p w14:paraId="5EA2F277" w14:textId="77777777" w:rsidR="00871DFE" w:rsidRDefault="00871DFE" w:rsidP="00081999">
      <w:pPr>
        <w:spacing w:after="240"/>
        <w:rPr>
          <w:rFonts w:eastAsia="Times New Roman"/>
          <w:sz w:val="26"/>
          <w:szCs w:val="26"/>
        </w:rPr>
      </w:pPr>
    </w:p>
    <w:p w14:paraId="2B89DC0F" w14:textId="77777777" w:rsidR="00871DFE" w:rsidRDefault="00871DFE" w:rsidP="00081999">
      <w:pPr>
        <w:spacing w:after="240"/>
        <w:rPr>
          <w:rFonts w:eastAsia="Times New Roman"/>
          <w:sz w:val="26"/>
          <w:szCs w:val="26"/>
        </w:rPr>
      </w:pPr>
    </w:p>
    <w:p w14:paraId="62CBEC69" w14:textId="77777777" w:rsidR="00871DFE" w:rsidRPr="00081999" w:rsidRDefault="00871DFE" w:rsidP="00081999">
      <w:pPr>
        <w:spacing w:after="240"/>
        <w:rPr>
          <w:rFonts w:eastAsia="Times New Roman"/>
          <w:sz w:val="26"/>
          <w:szCs w:val="2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733"/>
        <w:gridCol w:w="2236"/>
      </w:tblGrid>
      <w:tr w:rsidR="00081999" w:rsidRPr="00081999" w14:paraId="0AE6AFA6" w14:textId="77777777" w:rsidTr="00BB7F01">
        <w:trPr>
          <w:jc w:val="center"/>
        </w:trPr>
        <w:tc>
          <w:tcPr>
            <w:tcW w:w="4969" w:type="dxa"/>
            <w:gridSpan w:val="2"/>
            <w:tcBorders>
              <w:top w:val="nil"/>
              <w:left w:val="nil"/>
              <w:right w:val="nil"/>
            </w:tcBorders>
            <w:vAlign w:val="center"/>
          </w:tcPr>
          <w:p w14:paraId="753FF12D" w14:textId="77777777" w:rsidR="00081999" w:rsidRPr="00081999" w:rsidRDefault="00081999" w:rsidP="00081999">
            <w:pPr>
              <w:jc w:val="center"/>
              <w:rPr>
                <w:rFonts w:eastAsia="Times New Roman"/>
                <w:b/>
              </w:rPr>
            </w:pPr>
            <w:r w:rsidRPr="00081999">
              <w:rPr>
                <w:rFonts w:eastAsia="Times New Roman"/>
                <w:b/>
                <w:sz w:val="22"/>
                <w:szCs w:val="22"/>
              </w:rPr>
              <w:t>A MAYOR RENDIMIENTO NETO, MAYOR PENSIÓN</w:t>
            </w:r>
          </w:p>
          <w:p w14:paraId="31143C57" w14:textId="77777777" w:rsidR="00081999" w:rsidRPr="00081999" w:rsidRDefault="00081999" w:rsidP="00081999">
            <w:pPr>
              <w:jc w:val="center"/>
              <w:rPr>
                <w:rFonts w:eastAsia="Times New Roman"/>
                <w:b/>
              </w:rPr>
            </w:pPr>
            <w:r w:rsidRPr="00081999">
              <w:rPr>
                <w:rFonts w:eastAsia="Times New Roman"/>
                <w:b/>
                <w:sz w:val="22"/>
                <w:szCs w:val="22"/>
              </w:rPr>
              <w:t xml:space="preserve">Siefore Básica 4 </w:t>
            </w:r>
          </w:p>
          <w:p w14:paraId="705BAC25" w14:textId="77777777" w:rsidR="00081999" w:rsidRPr="00081999" w:rsidRDefault="00081999" w:rsidP="00081999">
            <w:pPr>
              <w:jc w:val="center"/>
              <w:rPr>
                <w:rFonts w:eastAsia="Times New Roman"/>
                <w:b/>
              </w:rPr>
            </w:pPr>
            <w:r w:rsidRPr="00081999">
              <w:rPr>
                <w:rFonts w:eastAsia="Times New Roman"/>
                <w:b/>
                <w:sz w:val="22"/>
                <w:szCs w:val="22"/>
              </w:rPr>
              <w:t>(Para personas de 36 años y menores)</w:t>
            </w:r>
          </w:p>
          <w:p w14:paraId="07E7FFC8" w14:textId="77777777" w:rsidR="00081999" w:rsidRPr="00081999" w:rsidRDefault="00081999" w:rsidP="00081999">
            <w:pPr>
              <w:jc w:val="center"/>
              <w:rPr>
                <w:rFonts w:eastAsia="Times New Roman"/>
                <w:b/>
                <w:sz w:val="22"/>
                <w:szCs w:val="22"/>
              </w:rPr>
            </w:pPr>
            <w:r w:rsidRPr="00081999">
              <w:rPr>
                <w:rFonts w:eastAsia="Times New Roman"/>
                <w:b/>
                <w:sz w:val="22"/>
                <w:szCs w:val="22"/>
              </w:rPr>
              <w:t xml:space="preserve">-Cifras porcentuales al cierre de </w:t>
            </w:r>
          </w:p>
          <w:p w14:paraId="6A4C4457" w14:textId="77777777" w:rsidR="00081999" w:rsidRPr="00081999" w:rsidRDefault="00081999" w:rsidP="00081999">
            <w:pPr>
              <w:jc w:val="center"/>
              <w:rPr>
                <w:rFonts w:eastAsia="Times New Roman"/>
                <w:b/>
              </w:rPr>
            </w:pPr>
            <w:r w:rsidRPr="00081999">
              <w:rPr>
                <w:rFonts w:eastAsia="Times New Roman"/>
                <w:b/>
                <w:sz w:val="22"/>
                <w:szCs w:val="22"/>
              </w:rPr>
              <w:t>febrero de 2015-</w:t>
            </w:r>
          </w:p>
        </w:tc>
      </w:tr>
      <w:tr w:rsidR="00081999" w:rsidRPr="00081999" w14:paraId="073E7253" w14:textId="77777777" w:rsidTr="00BB7F01">
        <w:trPr>
          <w:jc w:val="center"/>
        </w:trPr>
        <w:tc>
          <w:tcPr>
            <w:tcW w:w="4969" w:type="dxa"/>
            <w:gridSpan w:val="2"/>
            <w:vAlign w:val="center"/>
          </w:tcPr>
          <w:p w14:paraId="4EED3850" w14:textId="77777777" w:rsidR="00081999" w:rsidRPr="00081999" w:rsidRDefault="00081999" w:rsidP="00081999">
            <w:pPr>
              <w:jc w:val="center"/>
              <w:rPr>
                <w:rFonts w:eastAsia="Times New Roman"/>
                <w:b/>
                <w:sz w:val="20"/>
                <w:szCs w:val="20"/>
              </w:rPr>
            </w:pPr>
            <w:r w:rsidRPr="00081999">
              <w:rPr>
                <w:rFonts w:eastAsia="Times New Roman"/>
                <w:b/>
                <w:sz w:val="20"/>
                <w:szCs w:val="20"/>
              </w:rPr>
              <w:t>INDICADOR DE RENDIMIENTO NETO</w:t>
            </w:r>
          </w:p>
          <w:p w14:paraId="7D963A10" w14:textId="77777777" w:rsidR="00081999" w:rsidRPr="00081999" w:rsidRDefault="00081999" w:rsidP="00081999">
            <w:pPr>
              <w:jc w:val="center"/>
              <w:rPr>
                <w:rFonts w:eastAsia="Times New Roman"/>
                <w:b/>
                <w:sz w:val="20"/>
                <w:szCs w:val="20"/>
              </w:rPr>
            </w:pPr>
            <w:r w:rsidRPr="00081999">
              <w:rPr>
                <w:rFonts w:eastAsia="Times New Roman"/>
                <w:b/>
                <w:sz w:val="20"/>
                <w:szCs w:val="20"/>
              </w:rPr>
              <w:t>(66 MESES)</w:t>
            </w:r>
          </w:p>
        </w:tc>
      </w:tr>
      <w:tr w:rsidR="00081999" w:rsidRPr="00081999" w14:paraId="1AAA5D1E" w14:textId="77777777" w:rsidTr="00BB7F01">
        <w:trPr>
          <w:jc w:val="center"/>
        </w:trPr>
        <w:tc>
          <w:tcPr>
            <w:tcW w:w="2733" w:type="dxa"/>
            <w:vAlign w:val="center"/>
          </w:tcPr>
          <w:p w14:paraId="01B48D08" w14:textId="77777777" w:rsidR="00081999" w:rsidRPr="00081999" w:rsidRDefault="00081999" w:rsidP="00081999">
            <w:pPr>
              <w:jc w:val="center"/>
              <w:rPr>
                <w:rFonts w:eastAsia="Times New Roman"/>
                <w:b/>
                <w:sz w:val="20"/>
                <w:szCs w:val="20"/>
              </w:rPr>
            </w:pPr>
            <w:r w:rsidRPr="00081999">
              <w:rPr>
                <w:rFonts w:eastAsia="Times New Roman"/>
                <w:b/>
                <w:sz w:val="20"/>
                <w:szCs w:val="20"/>
              </w:rPr>
              <w:t>Afores</w:t>
            </w:r>
          </w:p>
        </w:tc>
        <w:tc>
          <w:tcPr>
            <w:tcW w:w="2236" w:type="dxa"/>
            <w:vAlign w:val="center"/>
          </w:tcPr>
          <w:p w14:paraId="06932C33" w14:textId="77777777" w:rsidR="00081999" w:rsidRPr="00081999" w:rsidRDefault="00081999" w:rsidP="00081999">
            <w:pPr>
              <w:jc w:val="center"/>
              <w:rPr>
                <w:rFonts w:eastAsia="Times New Roman"/>
                <w:b/>
                <w:sz w:val="20"/>
                <w:szCs w:val="20"/>
              </w:rPr>
            </w:pPr>
            <w:r w:rsidRPr="00081999">
              <w:rPr>
                <w:rFonts w:eastAsia="Times New Roman"/>
                <w:b/>
                <w:sz w:val="20"/>
                <w:szCs w:val="20"/>
              </w:rPr>
              <w:t>Rendimiento</w:t>
            </w:r>
          </w:p>
          <w:p w14:paraId="57134E29" w14:textId="77777777" w:rsidR="00081999" w:rsidRPr="00081999" w:rsidRDefault="00081999" w:rsidP="00081999">
            <w:pPr>
              <w:jc w:val="center"/>
              <w:rPr>
                <w:rFonts w:eastAsia="Times New Roman"/>
                <w:b/>
                <w:sz w:val="20"/>
                <w:szCs w:val="20"/>
              </w:rPr>
            </w:pPr>
            <w:r w:rsidRPr="00081999">
              <w:rPr>
                <w:rFonts w:eastAsia="Times New Roman"/>
                <w:b/>
                <w:sz w:val="20"/>
                <w:szCs w:val="20"/>
              </w:rPr>
              <w:t>Neto</w:t>
            </w:r>
          </w:p>
        </w:tc>
      </w:tr>
      <w:tr w:rsidR="00081999" w:rsidRPr="00081999" w14:paraId="0C46E840" w14:textId="77777777" w:rsidTr="00BB7F01">
        <w:trPr>
          <w:jc w:val="center"/>
        </w:trPr>
        <w:tc>
          <w:tcPr>
            <w:tcW w:w="2733" w:type="dxa"/>
          </w:tcPr>
          <w:p w14:paraId="14C3177A" w14:textId="77777777" w:rsidR="00081999" w:rsidRPr="00081999" w:rsidRDefault="00081999" w:rsidP="00081999">
            <w:pPr>
              <w:rPr>
                <w:rFonts w:eastAsia="Calibri"/>
                <w:sz w:val="20"/>
                <w:szCs w:val="20"/>
                <w:lang w:eastAsia="en-US"/>
              </w:rPr>
            </w:pPr>
            <w:r w:rsidRPr="00081999">
              <w:rPr>
                <w:rFonts w:eastAsia="Calibri"/>
                <w:sz w:val="20"/>
                <w:szCs w:val="20"/>
                <w:lang w:eastAsia="en-US"/>
              </w:rPr>
              <w:t>SURA</w:t>
            </w:r>
          </w:p>
        </w:tc>
        <w:tc>
          <w:tcPr>
            <w:tcW w:w="2236" w:type="dxa"/>
          </w:tcPr>
          <w:p w14:paraId="1B68530D" w14:textId="77777777" w:rsidR="00081999" w:rsidRPr="00081999" w:rsidRDefault="00081999" w:rsidP="00081999">
            <w:pPr>
              <w:ind w:right="794"/>
              <w:jc w:val="right"/>
              <w:rPr>
                <w:rFonts w:eastAsia="Calibri"/>
                <w:sz w:val="20"/>
                <w:szCs w:val="20"/>
                <w:lang w:eastAsia="en-US"/>
              </w:rPr>
            </w:pPr>
            <w:r w:rsidRPr="00081999">
              <w:rPr>
                <w:rFonts w:eastAsia="Calibri"/>
                <w:sz w:val="20"/>
                <w:szCs w:val="20"/>
                <w:lang w:eastAsia="en-US"/>
              </w:rPr>
              <w:t>12.13</w:t>
            </w:r>
          </w:p>
        </w:tc>
      </w:tr>
      <w:tr w:rsidR="00081999" w:rsidRPr="00081999" w14:paraId="0F852ECC" w14:textId="77777777" w:rsidTr="00BB7F01">
        <w:trPr>
          <w:jc w:val="center"/>
        </w:trPr>
        <w:tc>
          <w:tcPr>
            <w:tcW w:w="2733" w:type="dxa"/>
            <w:tcBorders>
              <w:top w:val="single" w:sz="4" w:space="0" w:color="auto"/>
              <w:left w:val="single" w:sz="4" w:space="0" w:color="auto"/>
              <w:bottom w:val="single" w:sz="4" w:space="0" w:color="auto"/>
              <w:right w:val="single" w:sz="4" w:space="0" w:color="auto"/>
            </w:tcBorders>
          </w:tcPr>
          <w:p w14:paraId="1748A084" w14:textId="77777777" w:rsidR="00081999" w:rsidRPr="00081999" w:rsidRDefault="00081999" w:rsidP="00081999">
            <w:pPr>
              <w:rPr>
                <w:rFonts w:eastAsia="Calibri"/>
                <w:sz w:val="20"/>
                <w:szCs w:val="20"/>
                <w:lang w:eastAsia="en-US"/>
              </w:rPr>
            </w:pPr>
            <w:r w:rsidRPr="00081999">
              <w:rPr>
                <w:rFonts w:eastAsia="Calibri"/>
                <w:sz w:val="20"/>
                <w:szCs w:val="20"/>
                <w:lang w:eastAsia="en-US"/>
              </w:rPr>
              <w:t>Banamex</w:t>
            </w:r>
          </w:p>
        </w:tc>
        <w:tc>
          <w:tcPr>
            <w:tcW w:w="2236" w:type="dxa"/>
            <w:tcBorders>
              <w:top w:val="single" w:sz="4" w:space="0" w:color="auto"/>
              <w:left w:val="single" w:sz="4" w:space="0" w:color="auto"/>
              <w:bottom w:val="single" w:sz="4" w:space="0" w:color="auto"/>
              <w:right w:val="single" w:sz="4" w:space="0" w:color="auto"/>
            </w:tcBorders>
          </w:tcPr>
          <w:p w14:paraId="5842A372" w14:textId="77777777" w:rsidR="00081999" w:rsidRPr="00081999" w:rsidRDefault="00081999" w:rsidP="00081999">
            <w:pPr>
              <w:ind w:right="794"/>
              <w:jc w:val="right"/>
              <w:rPr>
                <w:rFonts w:eastAsia="Calibri"/>
                <w:sz w:val="20"/>
                <w:szCs w:val="20"/>
                <w:lang w:eastAsia="en-US"/>
              </w:rPr>
            </w:pPr>
            <w:r w:rsidRPr="00081999">
              <w:rPr>
                <w:rFonts w:eastAsia="Calibri"/>
                <w:sz w:val="20"/>
                <w:szCs w:val="20"/>
                <w:lang w:eastAsia="en-US"/>
              </w:rPr>
              <w:t>11.07</w:t>
            </w:r>
          </w:p>
        </w:tc>
      </w:tr>
      <w:tr w:rsidR="00081999" w:rsidRPr="00081999" w14:paraId="353879FC" w14:textId="77777777" w:rsidTr="00BB7F01">
        <w:trPr>
          <w:jc w:val="center"/>
        </w:trPr>
        <w:tc>
          <w:tcPr>
            <w:tcW w:w="2733" w:type="dxa"/>
          </w:tcPr>
          <w:p w14:paraId="03610E8C" w14:textId="77777777" w:rsidR="00081999" w:rsidRPr="00081999" w:rsidRDefault="00081999" w:rsidP="00081999">
            <w:pPr>
              <w:rPr>
                <w:rFonts w:eastAsia="Calibri"/>
                <w:sz w:val="20"/>
                <w:szCs w:val="20"/>
                <w:lang w:eastAsia="en-US"/>
              </w:rPr>
            </w:pPr>
            <w:r w:rsidRPr="00081999">
              <w:rPr>
                <w:rFonts w:eastAsia="Calibri"/>
                <w:sz w:val="20"/>
                <w:szCs w:val="20"/>
                <w:lang w:eastAsia="en-US"/>
              </w:rPr>
              <w:t>Profuturo GNP</w:t>
            </w:r>
          </w:p>
        </w:tc>
        <w:tc>
          <w:tcPr>
            <w:tcW w:w="2236" w:type="dxa"/>
          </w:tcPr>
          <w:p w14:paraId="3D77BA72" w14:textId="77777777" w:rsidR="00081999" w:rsidRPr="00081999" w:rsidRDefault="00081999" w:rsidP="00081999">
            <w:pPr>
              <w:ind w:right="794"/>
              <w:jc w:val="right"/>
              <w:rPr>
                <w:rFonts w:eastAsia="Calibri"/>
                <w:sz w:val="20"/>
                <w:szCs w:val="20"/>
                <w:lang w:eastAsia="en-US"/>
              </w:rPr>
            </w:pPr>
            <w:r w:rsidRPr="00081999">
              <w:rPr>
                <w:rFonts w:eastAsia="Calibri"/>
                <w:sz w:val="20"/>
                <w:szCs w:val="20"/>
                <w:lang w:eastAsia="en-US"/>
              </w:rPr>
              <w:t>10.98</w:t>
            </w:r>
          </w:p>
        </w:tc>
      </w:tr>
      <w:tr w:rsidR="00081999" w:rsidRPr="00081999" w14:paraId="59EB2633" w14:textId="77777777" w:rsidTr="00BB7F01">
        <w:trPr>
          <w:jc w:val="center"/>
        </w:trPr>
        <w:tc>
          <w:tcPr>
            <w:tcW w:w="2733" w:type="dxa"/>
          </w:tcPr>
          <w:p w14:paraId="52AC98D4" w14:textId="77777777" w:rsidR="00081999" w:rsidRPr="00081999" w:rsidRDefault="00081999" w:rsidP="00081999">
            <w:pPr>
              <w:rPr>
                <w:rFonts w:eastAsia="Calibri"/>
                <w:sz w:val="20"/>
                <w:szCs w:val="20"/>
                <w:lang w:eastAsia="en-US"/>
              </w:rPr>
            </w:pPr>
            <w:r w:rsidRPr="00081999">
              <w:rPr>
                <w:rFonts w:eastAsia="Calibri"/>
                <w:sz w:val="20"/>
                <w:szCs w:val="20"/>
                <w:lang w:eastAsia="en-US"/>
              </w:rPr>
              <w:t>PensionISSSTE</w:t>
            </w:r>
          </w:p>
        </w:tc>
        <w:tc>
          <w:tcPr>
            <w:tcW w:w="2236" w:type="dxa"/>
          </w:tcPr>
          <w:p w14:paraId="426FE684" w14:textId="77777777" w:rsidR="00081999" w:rsidRPr="00081999" w:rsidRDefault="00081999" w:rsidP="00081999">
            <w:pPr>
              <w:ind w:right="794"/>
              <w:jc w:val="right"/>
              <w:rPr>
                <w:rFonts w:eastAsia="Calibri"/>
                <w:sz w:val="20"/>
                <w:szCs w:val="20"/>
                <w:lang w:eastAsia="en-US"/>
              </w:rPr>
            </w:pPr>
            <w:r w:rsidRPr="00081999">
              <w:rPr>
                <w:rFonts w:eastAsia="Calibri"/>
                <w:sz w:val="20"/>
                <w:szCs w:val="20"/>
                <w:lang w:eastAsia="en-US"/>
              </w:rPr>
              <w:t>10.79</w:t>
            </w:r>
          </w:p>
        </w:tc>
      </w:tr>
      <w:tr w:rsidR="00081999" w:rsidRPr="00081999" w14:paraId="1744A89D" w14:textId="77777777" w:rsidTr="00BB7F01">
        <w:trPr>
          <w:jc w:val="center"/>
        </w:trPr>
        <w:tc>
          <w:tcPr>
            <w:tcW w:w="2733" w:type="dxa"/>
          </w:tcPr>
          <w:p w14:paraId="2D2560F9" w14:textId="77777777" w:rsidR="00081999" w:rsidRPr="00081999" w:rsidRDefault="00081999" w:rsidP="00081999">
            <w:pPr>
              <w:rPr>
                <w:rFonts w:eastAsia="Calibri"/>
                <w:sz w:val="20"/>
                <w:szCs w:val="20"/>
                <w:lang w:eastAsia="en-US"/>
              </w:rPr>
            </w:pPr>
            <w:r w:rsidRPr="00081999">
              <w:rPr>
                <w:rFonts w:eastAsia="Calibri"/>
                <w:sz w:val="20"/>
                <w:szCs w:val="20"/>
                <w:lang w:eastAsia="en-US"/>
              </w:rPr>
              <w:t>MetLife</w:t>
            </w:r>
          </w:p>
        </w:tc>
        <w:tc>
          <w:tcPr>
            <w:tcW w:w="2236" w:type="dxa"/>
          </w:tcPr>
          <w:p w14:paraId="0E060042" w14:textId="77777777" w:rsidR="00081999" w:rsidRPr="00081999" w:rsidRDefault="00081999" w:rsidP="00081999">
            <w:pPr>
              <w:ind w:right="794"/>
              <w:jc w:val="right"/>
              <w:rPr>
                <w:rFonts w:eastAsia="Calibri"/>
                <w:sz w:val="20"/>
                <w:szCs w:val="20"/>
                <w:lang w:eastAsia="en-US"/>
              </w:rPr>
            </w:pPr>
            <w:r w:rsidRPr="00081999">
              <w:rPr>
                <w:rFonts w:eastAsia="Calibri"/>
                <w:sz w:val="20"/>
                <w:szCs w:val="20"/>
                <w:lang w:eastAsia="en-US"/>
              </w:rPr>
              <w:t>10.33</w:t>
            </w:r>
          </w:p>
        </w:tc>
      </w:tr>
      <w:tr w:rsidR="00081999" w:rsidRPr="00081999" w14:paraId="18B68F4D" w14:textId="77777777" w:rsidTr="00BB7F01">
        <w:trPr>
          <w:jc w:val="center"/>
        </w:trPr>
        <w:tc>
          <w:tcPr>
            <w:tcW w:w="2733" w:type="dxa"/>
          </w:tcPr>
          <w:p w14:paraId="40055132" w14:textId="77777777" w:rsidR="00081999" w:rsidRPr="00081999" w:rsidRDefault="00081999" w:rsidP="00081999">
            <w:pPr>
              <w:rPr>
                <w:rFonts w:eastAsia="Calibri"/>
                <w:sz w:val="20"/>
                <w:szCs w:val="20"/>
                <w:lang w:eastAsia="en-US"/>
              </w:rPr>
            </w:pPr>
            <w:r w:rsidRPr="00081999">
              <w:rPr>
                <w:rFonts w:eastAsia="Calibri"/>
                <w:sz w:val="20"/>
                <w:szCs w:val="20"/>
                <w:lang w:eastAsia="en-US"/>
              </w:rPr>
              <w:t>Invercap</w:t>
            </w:r>
          </w:p>
        </w:tc>
        <w:tc>
          <w:tcPr>
            <w:tcW w:w="2236" w:type="dxa"/>
          </w:tcPr>
          <w:p w14:paraId="2708D3EA" w14:textId="77777777" w:rsidR="00081999" w:rsidRPr="00081999" w:rsidRDefault="00081999" w:rsidP="00081999">
            <w:pPr>
              <w:ind w:right="794"/>
              <w:jc w:val="right"/>
              <w:rPr>
                <w:rFonts w:eastAsia="Calibri"/>
                <w:sz w:val="20"/>
                <w:szCs w:val="20"/>
                <w:lang w:eastAsia="en-US"/>
              </w:rPr>
            </w:pPr>
            <w:r w:rsidRPr="00081999">
              <w:rPr>
                <w:rFonts w:eastAsia="Calibri"/>
                <w:sz w:val="20"/>
                <w:szCs w:val="20"/>
                <w:lang w:eastAsia="en-US"/>
              </w:rPr>
              <w:t>10.12</w:t>
            </w:r>
          </w:p>
        </w:tc>
      </w:tr>
      <w:tr w:rsidR="00081999" w:rsidRPr="00081999" w14:paraId="6567F5F1" w14:textId="77777777" w:rsidTr="00BB7F01">
        <w:trPr>
          <w:jc w:val="center"/>
        </w:trPr>
        <w:tc>
          <w:tcPr>
            <w:tcW w:w="2733" w:type="dxa"/>
          </w:tcPr>
          <w:p w14:paraId="2EA447E7" w14:textId="77777777" w:rsidR="00081999" w:rsidRPr="00081999" w:rsidRDefault="00081999" w:rsidP="00081999">
            <w:pPr>
              <w:rPr>
                <w:rFonts w:eastAsia="Calibri"/>
                <w:sz w:val="20"/>
                <w:szCs w:val="20"/>
                <w:lang w:eastAsia="en-US"/>
              </w:rPr>
            </w:pPr>
            <w:r w:rsidRPr="00081999">
              <w:rPr>
                <w:rFonts w:eastAsia="Calibri"/>
                <w:sz w:val="20"/>
                <w:szCs w:val="20"/>
                <w:lang w:eastAsia="en-US"/>
              </w:rPr>
              <w:t>XXI-Banorte</w:t>
            </w:r>
          </w:p>
        </w:tc>
        <w:tc>
          <w:tcPr>
            <w:tcW w:w="2236" w:type="dxa"/>
          </w:tcPr>
          <w:p w14:paraId="6F6734F8" w14:textId="77777777" w:rsidR="00081999" w:rsidRPr="00081999" w:rsidRDefault="00081999" w:rsidP="00081999">
            <w:pPr>
              <w:ind w:right="794"/>
              <w:jc w:val="right"/>
              <w:rPr>
                <w:rFonts w:eastAsia="Calibri"/>
                <w:sz w:val="20"/>
                <w:szCs w:val="20"/>
                <w:lang w:eastAsia="en-US"/>
              </w:rPr>
            </w:pPr>
            <w:r w:rsidRPr="00081999">
              <w:rPr>
                <w:rFonts w:eastAsia="Calibri"/>
                <w:sz w:val="20"/>
                <w:szCs w:val="20"/>
                <w:lang w:eastAsia="en-US"/>
              </w:rPr>
              <w:t>9.95</w:t>
            </w:r>
          </w:p>
        </w:tc>
      </w:tr>
      <w:tr w:rsidR="00081999" w:rsidRPr="00081999" w14:paraId="21AFE4F8" w14:textId="77777777" w:rsidTr="00BB7F01">
        <w:trPr>
          <w:jc w:val="center"/>
        </w:trPr>
        <w:tc>
          <w:tcPr>
            <w:tcW w:w="2733" w:type="dxa"/>
          </w:tcPr>
          <w:p w14:paraId="60531576" w14:textId="77777777" w:rsidR="00081999" w:rsidRPr="00081999" w:rsidRDefault="00081999" w:rsidP="00081999">
            <w:pPr>
              <w:rPr>
                <w:rFonts w:eastAsia="Calibri"/>
                <w:sz w:val="20"/>
                <w:szCs w:val="20"/>
                <w:lang w:eastAsia="en-US"/>
              </w:rPr>
            </w:pPr>
            <w:r w:rsidRPr="00081999">
              <w:rPr>
                <w:rFonts w:eastAsia="Calibri"/>
                <w:sz w:val="20"/>
                <w:szCs w:val="20"/>
                <w:lang w:eastAsia="en-US"/>
              </w:rPr>
              <w:t>Principal</w:t>
            </w:r>
          </w:p>
        </w:tc>
        <w:tc>
          <w:tcPr>
            <w:tcW w:w="2236" w:type="dxa"/>
          </w:tcPr>
          <w:p w14:paraId="6E6B33D2" w14:textId="77777777" w:rsidR="00081999" w:rsidRPr="00081999" w:rsidRDefault="00081999" w:rsidP="00081999">
            <w:pPr>
              <w:ind w:right="794"/>
              <w:jc w:val="right"/>
              <w:rPr>
                <w:rFonts w:eastAsia="Calibri"/>
                <w:sz w:val="20"/>
                <w:szCs w:val="20"/>
                <w:lang w:eastAsia="en-US"/>
              </w:rPr>
            </w:pPr>
            <w:r w:rsidRPr="00081999">
              <w:rPr>
                <w:rFonts w:eastAsia="Calibri"/>
                <w:sz w:val="20"/>
                <w:szCs w:val="20"/>
                <w:lang w:eastAsia="en-US"/>
              </w:rPr>
              <w:t>9.57</w:t>
            </w:r>
          </w:p>
        </w:tc>
      </w:tr>
      <w:tr w:rsidR="00081999" w:rsidRPr="00081999" w14:paraId="59D12B2C" w14:textId="77777777" w:rsidTr="00BB7F01">
        <w:trPr>
          <w:jc w:val="center"/>
        </w:trPr>
        <w:tc>
          <w:tcPr>
            <w:tcW w:w="2733" w:type="dxa"/>
          </w:tcPr>
          <w:p w14:paraId="73EFC44C" w14:textId="77777777" w:rsidR="00081999" w:rsidRPr="00081999" w:rsidRDefault="00081999" w:rsidP="00081999">
            <w:pPr>
              <w:rPr>
                <w:rFonts w:eastAsia="Calibri"/>
                <w:sz w:val="20"/>
                <w:szCs w:val="20"/>
                <w:lang w:eastAsia="en-US"/>
              </w:rPr>
            </w:pPr>
            <w:r w:rsidRPr="00081999">
              <w:rPr>
                <w:rFonts w:eastAsia="Calibri"/>
                <w:sz w:val="20"/>
                <w:szCs w:val="20"/>
                <w:lang w:eastAsia="en-US"/>
              </w:rPr>
              <w:t>Azteca</w:t>
            </w:r>
          </w:p>
        </w:tc>
        <w:tc>
          <w:tcPr>
            <w:tcW w:w="2236" w:type="dxa"/>
          </w:tcPr>
          <w:p w14:paraId="504A9F61" w14:textId="77777777" w:rsidR="00081999" w:rsidRPr="00081999" w:rsidRDefault="00081999" w:rsidP="00081999">
            <w:pPr>
              <w:ind w:right="794"/>
              <w:jc w:val="right"/>
              <w:rPr>
                <w:rFonts w:eastAsia="Calibri"/>
                <w:sz w:val="20"/>
                <w:szCs w:val="20"/>
                <w:lang w:eastAsia="en-US"/>
              </w:rPr>
            </w:pPr>
            <w:r w:rsidRPr="00081999">
              <w:rPr>
                <w:rFonts w:eastAsia="Calibri"/>
                <w:sz w:val="20"/>
                <w:szCs w:val="20"/>
                <w:lang w:eastAsia="en-US"/>
              </w:rPr>
              <w:t>8.45</w:t>
            </w:r>
          </w:p>
        </w:tc>
      </w:tr>
      <w:tr w:rsidR="00081999" w:rsidRPr="00081999" w14:paraId="2FC3E7C8" w14:textId="77777777" w:rsidTr="00BB7F01">
        <w:trPr>
          <w:jc w:val="center"/>
        </w:trPr>
        <w:tc>
          <w:tcPr>
            <w:tcW w:w="2733" w:type="dxa"/>
          </w:tcPr>
          <w:p w14:paraId="48721625" w14:textId="77777777" w:rsidR="00081999" w:rsidRPr="00081999" w:rsidRDefault="00081999" w:rsidP="00081999">
            <w:pPr>
              <w:rPr>
                <w:rFonts w:eastAsia="Calibri"/>
                <w:sz w:val="20"/>
                <w:szCs w:val="20"/>
                <w:lang w:eastAsia="en-US"/>
              </w:rPr>
            </w:pPr>
            <w:r w:rsidRPr="00081999">
              <w:rPr>
                <w:rFonts w:eastAsia="Calibri"/>
                <w:sz w:val="20"/>
                <w:szCs w:val="20"/>
                <w:lang w:eastAsia="en-US"/>
              </w:rPr>
              <w:t>Coppel</w:t>
            </w:r>
          </w:p>
        </w:tc>
        <w:tc>
          <w:tcPr>
            <w:tcW w:w="2236" w:type="dxa"/>
          </w:tcPr>
          <w:p w14:paraId="5BC85724" w14:textId="77777777" w:rsidR="00081999" w:rsidRPr="00081999" w:rsidRDefault="00081999" w:rsidP="00081999">
            <w:pPr>
              <w:ind w:right="794"/>
              <w:jc w:val="right"/>
              <w:rPr>
                <w:rFonts w:eastAsia="Calibri"/>
                <w:sz w:val="20"/>
                <w:szCs w:val="20"/>
                <w:lang w:eastAsia="en-US"/>
              </w:rPr>
            </w:pPr>
            <w:r w:rsidRPr="00081999">
              <w:rPr>
                <w:rFonts w:eastAsia="Calibri"/>
                <w:sz w:val="20"/>
                <w:szCs w:val="20"/>
                <w:lang w:eastAsia="en-US"/>
              </w:rPr>
              <w:t>7.82</w:t>
            </w:r>
          </w:p>
        </w:tc>
      </w:tr>
      <w:tr w:rsidR="00081999" w:rsidRPr="00081999" w14:paraId="4A170AB4" w14:textId="77777777" w:rsidTr="00BB7F01">
        <w:trPr>
          <w:jc w:val="center"/>
        </w:trPr>
        <w:tc>
          <w:tcPr>
            <w:tcW w:w="2733" w:type="dxa"/>
          </w:tcPr>
          <w:p w14:paraId="099FA61F" w14:textId="77777777" w:rsidR="00081999" w:rsidRPr="00081999" w:rsidRDefault="00081999" w:rsidP="00081999">
            <w:pPr>
              <w:rPr>
                <w:rFonts w:eastAsia="Calibri"/>
                <w:sz w:val="20"/>
                <w:szCs w:val="20"/>
                <w:lang w:eastAsia="en-US"/>
              </w:rPr>
            </w:pPr>
            <w:r w:rsidRPr="00081999">
              <w:rPr>
                <w:rFonts w:eastAsia="Calibri"/>
                <w:sz w:val="20"/>
                <w:szCs w:val="20"/>
                <w:lang w:eastAsia="en-US"/>
              </w:rPr>
              <w:t>Inbursa</w:t>
            </w:r>
          </w:p>
        </w:tc>
        <w:tc>
          <w:tcPr>
            <w:tcW w:w="2236" w:type="dxa"/>
          </w:tcPr>
          <w:p w14:paraId="4CB4AB28" w14:textId="77777777" w:rsidR="00081999" w:rsidRPr="00081999" w:rsidRDefault="00081999" w:rsidP="00081999">
            <w:pPr>
              <w:ind w:right="794"/>
              <w:jc w:val="right"/>
              <w:rPr>
                <w:rFonts w:eastAsia="Calibri"/>
                <w:sz w:val="20"/>
                <w:szCs w:val="20"/>
                <w:lang w:eastAsia="en-US"/>
              </w:rPr>
            </w:pPr>
            <w:r w:rsidRPr="00081999">
              <w:rPr>
                <w:rFonts w:eastAsia="Calibri"/>
                <w:sz w:val="20"/>
                <w:szCs w:val="20"/>
                <w:lang w:eastAsia="en-US"/>
              </w:rPr>
              <w:t>6.14</w:t>
            </w:r>
          </w:p>
        </w:tc>
      </w:tr>
      <w:tr w:rsidR="00081999" w:rsidRPr="00081999" w14:paraId="64181CD8" w14:textId="77777777" w:rsidTr="00BB7F01">
        <w:trPr>
          <w:jc w:val="center"/>
        </w:trPr>
        <w:tc>
          <w:tcPr>
            <w:tcW w:w="2733" w:type="dxa"/>
          </w:tcPr>
          <w:p w14:paraId="710267D1" w14:textId="77777777" w:rsidR="00081999" w:rsidRPr="00081999" w:rsidRDefault="00081999" w:rsidP="00081999">
            <w:pPr>
              <w:rPr>
                <w:rFonts w:eastAsia="Calibri"/>
                <w:b/>
                <w:sz w:val="20"/>
                <w:szCs w:val="20"/>
                <w:lang w:eastAsia="en-US"/>
              </w:rPr>
            </w:pPr>
            <w:r w:rsidRPr="00081999">
              <w:rPr>
                <w:rFonts w:eastAsia="Calibri"/>
                <w:b/>
                <w:sz w:val="20"/>
                <w:szCs w:val="20"/>
                <w:lang w:eastAsia="en-US"/>
              </w:rPr>
              <w:t>Promedio Simple</w:t>
            </w:r>
          </w:p>
        </w:tc>
        <w:tc>
          <w:tcPr>
            <w:tcW w:w="2236" w:type="dxa"/>
          </w:tcPr>
          <w:p w14:paraId="0455A142" w14:textId="77777777" w:rsidR="00081999" w:rsidRPr="00081999" w:rsidRDefault="00081999" w:rsidP="00081999">
            <w:pPr>
              <w:ind w:right="794"/>
              <w:jc w:val="right"/>
              <w:rPr>
                <w:rFonts w:eastAsia="Calibri"/>
                <w:b/>
                <w:sz w:val="20"/>
                <w:szCs w:val="20"/>
                <w:lang w:eastAsia="en-US"/>
              </w:rPr>
            </w:pPr>
            <w:r w:rsidRPr="00081999">
              <w:rPr>
                <w:rFonts w:eastAsia="Calibri"/>
                <w:b/>
                <w:sz w:val="20"/>
                <w:szCs w:val="20"/>
                <w:lang w:eastAsia="en-US"/>
              </w:rPr>
              <w:t>9.76</w:t>
            </w:r>
          </w:p>
        </w:tc>
      </w:tr>
      <w:tr w:rsidR="00081999" w:rsidRPr="00081999" w14:paraId="579F5893" w14:textId="77777777" w:rsidTr="00BB7F01">
        <w:trPr>
          <w:jc w:val="center"/>
        </w:trPr>
        <w:tc>
          <w:tcPr>
            <w:tcW w:w="2733" w:type="dxa"/>
            <w:tcBorders>
              <w:bottom w:val="single" w:sz="4" w:space="0" w:color="auto"/>
            </w:tcBorders>
          </w:tcPr>
          <w:p w14:paraId="0C176955" w14:textId="77777777" w:rsidR="00081999" w:rsidRPr="00081999" w:rsidRDefault="00081999" w:rsidP="00081999">
            <w:pPr>
              <w:rPr>
                <w:rFonts w:eastAsia="Calibri"/>
                <w:b/>
                <w:sz w:val="20"/>
                <w:szCs w:val="20"/>
                <w:lang w:eastAsia="en-US"/>
              </w:rPr>
            </w:pPr>
            <w:r w:rsidRPr="00081999">
              <w:rPr>
                <w:rFonts w:eastAsia="Calibri"/>
                <w:b/>
                <w:sz w:val="20"/>
                <w:szCs w:val="20"/>
                <w:lang w:eastAsia="en-US"/>
              </w:rPr>
              <w:t>Promedio Ponderado</w:t>
            </w:r>
          </w:p>
        </w:tc>
        <w:tc>
          <w:tcPr>
            <w:tcW w:w="2236" w:type="dxa"/>
            <w:tcBorders>
              <w:bottom w:val="single" w:sz="4" w:space="0" w:color="auto"/>
            </w:tcBorders>
          </w:tcPr>
          <w:p w14:paraId="793093B4" w14:textId="77777777" w:rsidR="00081999" w:rsidRPr="00081999" w:rsidRDefault="00081999" w:rsidP="00081999">
            <w:pPr>
              <w:ind w:right="794"/>
              <w:jc w:val="right"/>
              <w:rPr>
                <w:rFonts w:eastAsia="Calibri"/>
                <w:b/>
                <w:sz w:val="20"/>
                <w:szCs w:val="20"/>
                <w:lang w:eastAsia="en-US"/>
              </w:rPr>
            </w:pPr>
            <w:r w:rsidRPr="00081999">
              <w:rPr>
                <w:rFonts w:eastAsia="Calibri"/>
                <w:b/>
                <w:sz w:val="20"/>
                <w:szCs w:val="20"/>
                <w:lang w:eastAsia="en-US"/>
              </w:rPr>
              <w:t>10.26</w:t>
            </w:r>
          </w:p>
        </w:tc>
      </w:tr>
      <w:tr w:rsidR="00081999" w:rsidRPr="00081999" w14:paraId="036A0ABD" w14:textId="77777777" w:rsidTr="00BB7F01">
        <w:trPr>
          <w:jc w:val="center"/>
        </w:trPr>
        <w:tc>
          <w:tcPr>
            <w:tcW w:w="4969" w:type="dxa"/>
            <w:gridSpan w:val="2"/>
            <w:tcBorders>
              <w:left w:val="nil"/>
              <w:bottom w:val="nil"/>
              <w:right w:val="nil"/>
            </w:tcBorders>
          </w:tcPr>
          <w:p w14:paraId="1715E6BB" w14:textId="77777777" w:rsidR="00081999" w:rsidRPr="00081999" w:rsidRDefault="00081999" w:rsidP="00081999">
            <w:pPr>
              <w:ind w:left="170" w:hanging="170"/>
              <w:jc w:val="both"/>
              <w:rPr>
                <w:rFonts w:eastAsia="Times New Roman"/>
                <w:sz w:val="20"/>
                <w:szCs w:val="20"/>
              </w:rPr>
            </w:pPr>
            <w:r w:rsidRPr="00081999">
              <w:rPr>
                <w:rFonts w:eastAsia="Times New Roman"/>
                <w:sz w:val="20"/>
                <w:szCs w:val="20"/>
              </w:rPr>
              <w:t>* Es el promedio ponderado, por los activos administrados, de los rendimientos netos de las Siefores Básicas.</w:t>
            </w:r>
          </w:p>
          <w:p w14:paraId="3E4159EB" w14:textId="77777777" w:rsidR="00081999" w:rsidRPr="00081999" w:rsidRDefault="00081999" w:rsidP="00081999">
            <w:pPr>
              <w:ind w:left="539" w:hanging="539"/>
              <w:jc w:val="both"/>
              <w:rPr>
                <w:rFonts w:eastAsia="Times New Roman"/>
                <w:sz w:val="20"/>
                <w:szCs w:val="20"/>
              </w:rPr>
            </w:pPr>
            <w:r w:rsidRPr="00081999">
              <w:rPr>
                <w:rFonts w:eastAsia="Times New Roman"/>
                <w:sz w:val="20"/>
                <w:szCs w:val="20"/>
              </w:rPr>
              <w:t>Nota: Los Indicadores de Rendimiento Neto incluyen la deducción de las Comisiones aplicables.</w:t>
            </w:r>
          </w:p>
          <w:p w14:paraId="6C2358DF" w14:textId="77777777" w:rsidR="00081999" w:rsidRPr="00081999" w:rsidRDefault="00081999" w:rsidP="00081999">
            <w:pPr>
              <w:ind w:left="539"/>
              <w:jc w:val="both"/>
              <w:rPr>
                <w:rFonts w:eastAsia="Times New Roman"/>
                <w:sz w:val="20"/>
                <w:szCs w:val="20"/>
              </w:rPr>
            </w:pPr>
            <w:r w:rsidRPr="00081999">
              <w:rPr>
                <w:rFonts w:eastAsia="Times New Roman"/>
                <w:sz w:val="20"/>
                <w:szCs w:val="20"/>
              </w:rPr>
              <w:t>Este indicador refleja el desempeño obtenido consistentemente por las inversiones en cada Siefore e indica que las decisiones de traspaso pueden resultar convenientes para los trabajadores.</w:t>
            </w:r>
          </w:p>
          <w:p w14:paraId="23154E50" w14:textId="77777777" w:rsidR="00081999" w:rsidRPr="00081999" w:rsidRDefault="00081999" w:rsidP="00081999">
            <w:pPr>
              <w:jc w:val="both"/>
              <w:rPr>
                <w:rFonts w:eastAsia="Times New Roman"/>
                <w:sz w:val="20"/>
                <w:szCs w:val="20"/>
              </w:rPr>
            </w:pPr>
            <w:r w:rsidRPr="00081999">
              <w:rPr>
                <w:rFonts w:eastAsia="Times New Roman"/>
                <w:sz w:val="20"/>
                <w:szCs w:val="20"/>
              </w:rPr>
              <w:t>FUENTE: Consar.</w:t>
            </w:r>
          </w:p>
        </w:tc>
      </w:tr>
    </w:tbl>
    <w:p w14:paraId="162AA691" w14:textId="77777777" w:rsidR="00081999" w:rsidRPr="00081999" w:rsidRDefault="00081999" w:rsidP="00081999"/>
    <w:p w14:paraId="7D44BB19" w14:textId="77777777" w:rsidR="00081999" w:rsidRPr="00081999" w:rsidRDefault="00081999" w:rsidP="00081999"/>
    <w:p w14:paraId="50CAB7A6" w14:textId="77777777" w:rsidR="00081999" w:rsidRPr="00081999" w:rsidRDefault="00081999" w:rsidP="00081999"/>
    <w:p w14:paraId="0BF44807" w14:textId="77777777" w:rsidR="00081999" w:rsidRPr="00081999" w:rsidRDefault="00081999" w:rsidP="00081999"/>
    <w:p w14:paraId="357BFD86" w14:textId="77777777" w:rsidR="00081999" w:rsidRPr="00081999" w:rsidRDefault="00081999" w:rsidP="00081999"/>
    <w:p w14:paraId="70B9D45E" w14:textId="77777777" w:rsidR="00081999" w:rsidRPr="00081999" w:rsidRDefault="00081999" w:rsidP="00081999"/>
    <w:p w14:paraId="2415206C" w14:textId="77777777" w:rsidR="00081999" w:rsidRPr="00081999" w:rsidRDefault="00081999" w:rsidP="00081999"/>
    <w:p w14:paraId="598995E4" w14:textId="77777777" w:rsidR="00081999" w:rsidRPr="00081999" w:rsidRDefault="00081999" w:rsidP="00081999"/>
    <w:p w14:paraId="0E4830AF" w14:textId="77777777" w:rsidR="00081999" w:rsidRPr="00081999" w:rsidRDefault="00081999" w:rsidP="00081999"/>
    <w:p w14:paraId="02806FC9" w14:textId="77777777" w:rsidR="00081999" w:rsidRPr="00081999" w:rsidRDefault="00081999" w:rsidP="00081999"/>
    <w:p w14:paraId="144D2D11" w14:textId="77777777" w:rsidR="00081999" w:rsidRPr="00081999" w:rsidRDefault="00081999" w:rsidP="00081999"/>
    <w:p w14:paraId="6FC69DBF" w14:textId="77777777" w:rsidR="00081999" w:rsidRPr="00081999" w:rsidRDefault="00081999" w:rsidP="00081999"/>
    <w:p w14:paraId="319E9E8D" w14:textId="77777777" w:rsidR="00081999" w:rsidRPr="00081999" w:rsidRDefault="00081999" w:rsidP="00081999"/>
    <w:p w14:paraId="2D354BEF" w14:textId="77777777" w:rsidR="00081999" w:rsidRPr="00081999" w:rsidRDefault="00081999" w:rsidP="00081999"/>
    <w:p w14:paraId="0A2C47D0" w14:textId="77777777" w:rsidR="00081999" w:rsidRDefault="00081999" w:rsidP="00081999"/>
    <w:p w14:paraId="4439647E" w14:textId="77777777" w:rsidR="00871DFE" w:rsidRDefault="00871DFE" w:rsidP="00081999"/>
    <w:p w14:paraId="68D10246" w14:textId="77777777" w:rsidR="00871DFE" w:rsidRDefault="00871DFE" w:rsidP="00081999"/>
    <w:p w14:paraId="355122BA" w14:textId="77777777" w:rsidR="00871DFE" w:rsidRDefault="00871DFE" w:rsidP="00081999"/>
    <w:p w14:paraId="04AE179C" w14:textId="77777777" w:rsidR="00871DFE" w:rsidRPr="00081999" w:rsidRDefault="00871DFE" w:rsidP="0008199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733"/>
        <w:gridCol w:w="2236"/>
      </w:tblGrid>
      <w:tr w:rsidR="00081999" w:rsidRPr="00081999" w14:paraId="3DDBFE8F" w14:textId="77777777" w:rsidTr="00BB7F01">
        <w:trPr>
          <w:jc w:val="center"/>
        </w:trPr>
        <w:tc>
          <w:tcPr>
            <w:tcW w:w="4969" w:type="dxa"/>
            <w:gridSpan w:val="2"/>
            <w:tcBorders>
              <w:top w:val="nil"/>
              <w:left w:val="nil"/>
              <w:right w:val="nil"/>
            </w:tcBorders>
            <w:vAlign w:val="center"/>
          </w:tcPr>
          <w:p w14:paraId="5FCB9EA6" w14:textId="77777777" w:rsidR="00081999" w:rsidRPr="00081999" w:rsidRDefault="00081999" w:rsidP="00081999">
            <w:pPr>
              <w:jc w:val="center"/>
              <w:rPr>
                <w:rFonts w:eastAsia="Times New Roman"/>
                <w:b/>
              </w:rPr>
            </w:pPr>
            <w:r w:rsidRPr="00081999">
              <w:rPr>
                <w:rFonts w:eastAsia="Times New Roman"/>
                <w:b/>
                <w:sz w:val="22"/>
                <w:szCs w:val="22"/>
              </w:rPr>
              <w:t>A MAYOR RENDIMIENTO NETO, MAYOR PENSIÓN</w:t>
            </w:r>
          </w:p>
          <w:p w14:paraId="219226F7" w14:textId="77777777" w:rsidR="00081999" w:rsidRPr="00081999" w:rsidRDefault="00081999" w:rsidP="00081999">
            <w:pPr>
              <w:jc w:val="center"/>
              <w:rPr>
                <w:rFonts w:eastAsia="Times New Roman"/>
                <w:b/>
              </w:rPr>
            </w:pPr>
            <w:r w:rsidRPr="00081999">
              <w:rPr>
                <w:rFonts w:eastAsia="Times New Roman"/>
                <w:b/>
                <w:sz w:val="22"/>
                <w:szCs w:val="22"/>
              </w:rPr>
              <w:t xml:space="preserve">Siefore Básica 3 </w:t>
            </w:r>
          </w:p>
          <w:p w14:paraId="7EED9157" w14:textId="77777777" w:rsidR="00081999" w:rsidRPr="00081999" w:rsidRDefault="00081999" w:rsidP="00081999">
            <w:pPr>
              <w:jc w:val="center"/>
              <w:rPr>
                <w:rFonts w:eastAsia="Times New Roman"/>
                <w:b/>
              </w:rPr>
            </w:pPr>
            <w:r w:rsidRPr="00081999">
              <w:rPr>
                <w:rFonts w:eastAsia="Times New Roman"/>
                <w:b/>
                <w:sz w:val="22"/>
                <w:szCs w:val="22"/>
              </w:rPr>
              <w:t>(Para personas entre 37 y 45 años)</w:t>
            </w:r>
          </w:p>
          <w:p w14:paraId="7AEDBEF9" w14:textId="77777777" w:rsidR="00081999" w:rsidRPr="00081999" w:rsidRDefault="00081999" w:rsidP="00081999">
            <w:pPr>
              <w:jc w:val="center"/>
              <w:rPr>
                <w:rFonts w:eastAsia="Times New Roman"/>
                <w:b/>
                <w:sz w:val="22"/>
                <w:szCs w:val="22"/>
              </w:rPr>
            </w:pPr>
            <w:r w:rsidRPr="00081999">
              <w:rPr>
                <w:rFonts w:eastAsia="Times New Roman"/>
                <w:b/>
                <w:sz w:val="22"/>
                <w:szCs w:val="22"/>
              </w:rPr>
              <w:t>-Cifras porcentuales al cierre de</w:t>
            </w:r>
          </w:p>
          <w:p w14:paraId="0DC446C7" w14:textId="77777777" w:rsidR="00081999" w:rsidRPr="00081999" w:rsidRDefault="00081999" w:rsidP="00081999">
            <w:pPr>
              <w:jc w:val="center"/>
              <w:rPr>
                <w:rFonts w:eastAsia="Times New Roman"/>
                <w:b/>
              </w:rPr>
            </w:pPr>
            <w:r w:rsidRPr="00081999">
              <w:rPr>
                <w:rFonts w:eastAsia="Times New Roman"/>
                <w:b/>
                <w:sz w:val="22"/>
                <w:szCs w:val="22"/>
              </w:rPr>
              <w:t>febrero de 2015-</w:t>
            </w:r>
          </w:p>
        </w:tc>
      </w:tr>
      <w:tr w:rsidR="00081999" w:rsidRPr="00081999" w14:paraId="643703A5" w14:textId="77777777" w:rsidTr="00BB7F01">
        <w:trPr>
          <w:jc w:val="center"/>
        </w:trPr>
        <w:tc>
          <w:tcPr>
            <w:tcW w:w="4969" w:type="dxa"/>
            <w:gridSpan w:val="2"/>
            <w:vAlign w:val="center"/>
          </w:tcPr>
          <w:p w14:paraId="3BC18B9E" w14:textId="77777777" w:rsidR="00081999" w:rsidRPr="00081999" w:rsidRDefault="00081999" w:rsidP="00081999">
            <w:pPr>
              <w:jc w:val="center"/>
              <w:rPr>
                <w:rFonts w:eastAsia="Times New Roman"/>
                <w:b/>
                <w:sz w:val="20"/>
                <w:szCs w:val="20"/>
              </w:rPr>
            </w:pPr>
            <w:r w:rsidRPr="00081999">
              <w:rPr>
                <w:rFonts w:eastAsia="Times New Roman"/>
                <w:b/>
                <w:sz w:val="20"/>
                <w:szCs w:val="20"/>
              </w:rPr>
              <w:t>INDICADOR DE RENDIMIENTO NETO</w:t>
            </w:r>
          </w:p>
          <w:p w14:paraId="0B15F3CF" w14:textId="77777777" w:rsidR="00081999" w:rsidRPr="00081999" w:rsidRDefault="00081999" w:rsidP="00081999">
            <w:pPr>
              <w:jc w:val="center"/>
              <w:rPr>
                <w:rFonts w:eastAsia="Times New Roman"/>
                <w:b/>
                <w:sz w:val="20"/>
                <w:szCs w:val="20"/>
              </w:rPr>
            </w:pPr>
            <w:r w:rsidRPr="00081999">
              <w:rPr>
                <w:rFonts w:eastAsia="Times New Roman"/>
                <w:b/>
                <w:sz w:val="20"/>
                <w:szCs w:val="20"/>
              </w:rPr>
              <w:t>(66 MESES)</w:t>
            </w:r>
          </w:p>
        </w:tc>
      </w:tr>
      <w:tr w:rsidR="00081999" w:rsidRPr="00081999" w14:paraId="75863C7D" w14:textId="77777777" w:rsidTr="00BB7F01">
        <w:trPr>
          <w:jc w:val="center"/>
        </w:trPr>
        <w:tc>
          <w:tcPr>
            <w:tcW w:w="2733" w:type="dxa"/>
            <w:vAlign w:val="center"/>
          </w:tcPr>
          <w:p w14:paraId="2D93BAAB" w14:textId="77777777" w:rsidR="00081999" w:rsidRPr="00081999" w:rsidRDefault="00081999" w:rsidP="00081999">
            <w:pPr>
              <w:jc w:val="center"/>
              <w:rPr>
                <w:rFonts w:eastAsia="Times New Roman"/>
                <w:b/>
                <w:sz w:val="20"/>
                <w:szCs w:val="20"/>
              </w:rPr>
            </w:pPr>
            <w:r w:rsidRPr="00081999">
              <w:rPr>
                <w:rFonts w:eastAsia="Times New Roman"/>
                <w:b/>
                <w:sz w:val="20"/>
                <w:szCs w:val="20"/>
              </w:rPr>
              <w:t>Afores</w:t>
            </w:r>
          </w:p>
        </w:tc>
        <w:tc>
          <w:tcPr>
            <w:tcW w:w="2236" w:type="dxa"/>
            <w:vAlign w:val="center"/>
          </w:tcPr>
          <w:p w14:paraId="176CF0EA" w14:textId="77777777" w:rsidR="00081999" w:rsidRPr="00081999" w:rsidRDefault="00081999" w:rsidP="00081999">
            <w:pPr>
              <w:jc w:val="center"/>
              <w:rPr>
                <w:rFonts w:eastAsia="Times New Roman"/>
                <w:b/>
                <w:sz w:val="20"/>
                <w:szCs w:val="20"/>
              </w:rPr>
            </w:pPr>
            <w:r w:rsidRPr="00081999">
              <w:rPr>
                <w:rFonts w:eastAsia="Times New Roman"/>
                <w:b/>
                <w:sz w:val="20"/>
                <w:szCs w:val="20"/>
              </w:rPr>
              <w:t>Rendimiento</w:t>
            </w:r>
          </w:p>
          <w:p w14:paraId="4962FCBA" w14:textId="77777777" w:rsidR="00081999" w:rsidRPr="00081999" w:rsidRDefault="00081999" w:rsidP="00081999">
            <w:pPr>
              <w:jc w:val="center"/>
              <w:rPr>
                <w:rFonts w:eastAsia="Times New Roman"/>
                <w:b/>
                <w:sz w:val="20"/>
                <w:szCs w:val="20"/>
              </w:rPr>
            </w:pPr>
            <w:r w:rsidRPr="00081999">
              <w:rPr>
                <w:rFonts w:eastAsia="Times New Roman"/>
                <w:b/>
                <w:sz w:val="20"/>
                <w:szCs w:val="20"/>
              </w:rPr>
              <w:t>Neto</w:t>
            </w:r>
          </w:p>
        </w:tc>
      </w:tr>
      <w:tr w:rsidR="00081999" w:rsidRPr="00081999" w14:paraId="211B3665" w14:textId="77777777" w:rsidTr="00BB7F01">
        <w:trPr>
          <w:jc w:val="center"/>
        </w:trPr>
        <w:tc>
          <w:tcPr>
            <w:tcW w:w="2733" w:type="dxa"/>
          </w:tcPr>
          <w:p w14:paraId="39CB8E35" w14:textId="77777777" w:rsidR="00081999" w:rsidRPr="00081999" w:rsidRDefault="00081999" w:rsidP="00081999">
            <w:pPr>
              <w:rPr>
                <w:rFonts w:eastAsia="Calibri"/>
                <w:sz w:val="20"/>
                <w:szCs w:val="20"/>
                <w:lang w:eastAsia="en-US"/>
              </w:rPr>
            </w:pPr>
            <w:r w:rsidRPr="00081999">
              <w:rPr>
                <w:rFonts w:eastAsia="Calibri"/>
                <w:sz w:val="20"/>
                <w:szCs w:val="20"/>
                <w:lang w:eastAsia="en-US"/>
              </w:rPr>
              <w:t>SURA</w:t>
            </w:r>
          </w:p>
        </w:tc>
        <w:tc>
          <w:tcPr>
            <w:tcW w:w="2236" w:type="dxa"/>
            <w:tcBorders>
              <w:right w:val="single" w:sz="4" w:space="0" w:color="auto"/>
            </w:tcBorders>
          </w:tcPr>
          <w:p w14:paraId="511B5867" w14:textId="77777777" w:rsidR="00081999" w:rsidRPr="00081999" w:rsidRDefault="00081999" w:rsidP="00081999">
            <w:pPr>
              <w:ind w:right="794"/>
              <w:jc w:val="right"/>
              <w:rPr>
                <w:rFonts w:eastAsia="Calibri"/>
                <w:sz w:val="20"/>
                <w:szCs w:val="20"/>
                <w:lang w:eastAsia="en-US"/>
              </w:rPr>
            </w:pPr>
            <w:r w:rsidRPr="00081999">
              <w:rPr>
                <w:rFonts w:eastAsia="Calibri"/>
                <w:sz w:val="20"/>
                <w:szCs w:val="20"/>
                <w:lang w:eastAsia="en-US"/>
              </w:rPr>
              <w:t>10.84</w:t>
            </w:r>
          </w:p>
        </w:tc>
      </w:tr>
      <w:tr w:rsidR="00081999" w:rsidRPr="00081999" w14:paraId="49DDA47D" w14:textId="77777777" w:rsidTr="00BB7F01">
        <w:trPr>
          <w:jc w:val="center"/>
        </w:trPr>
        <w:tc>
          <w:tcPr>
            <w:tcW w:w="2733" w:type="dxa"/>
          </w:tcPr>
          <w:p w14:paraId="2C028567" w14:textId="77777777" w:rsidR="00081999" w:rsidRPr="00081999" w:rsidRDefault="00081999" w:rsidP="00081999">
            <w:pPr>
              <w:rPr>
                <w:rFonts w:eastAsia="Calibri"/>
                <w:sz w:val="20"/>
                <w:szCs w:val="20"/>
                <w:lang w:eastAsia="en-US"/>
              </w:rPr>
            </w:pPr>
            <w:r w:rsidRPr="00081999">
              <w:rPr>
                <w:rFonts w:eastAsia="Calibri"/>
                <w:sz w:val="20"/>
                <w:szCs w:val="20"/>
                <w:lang w:eastAsia="en-US"/>
              </w:rPr>
              <w:t>PensionISSSTE</w:t>
            </w:r>
          </w:p>
        </w:tc>
        <w:tc>
          <w:tcPr>
            <w:tcW w:w="2236" w:type="dxa"/>
            <w:tcBorders>
              <w:right w:val="single" w:sz="4" w:space="0" w:color="auto"/>
            </w:tcBorders>
          </w:tcPr>
          <w:p w14:paraId="77C4898B" w14:textId="77777777" w:rsidR="00081999" w:rsidRPr="00081999" w:rsidRDefault="00081999" w:rsidP="00081999">
            <w:pPr>
              <w:ind w:right="794"/>
              <w:jc w:val="right"/>
              <w:rPr>
                <w:rFonts w:eastAsia="Calibri"/>
                <w:sz w:val="20"/>
                <w:szCs w:val="20"/>
                <w:lang w:eastAsia="en-US"/>
              </w:rPr>
            </w:pPr>
            <w:r w:rsidRPr="00081999">
              <w:rPr>
                <w:rFonts w:eastAsia="Calibri"/>
                <w:sz w:val="20"/>
                <w:szCs w:val="20"/>
                <w:lang w:eastAsia="en-US"/>
              </w:rPr>
              <w:t>10.62</w:t>
            </w:r>
          </w:p>
        </w:tc>
      </w:tr>
      <w:tr w:rsidR="00081999" w:rsidRPr="00081999" w14:paraId="43519B2F" w14:textId="77777777" w:rsidTr="00BB7F01">
        <w:trPr>
          <w:jc w:val="center"/>
        </w:trPr>
        <w:tc>
          <w:tcPr>
            <w:tcW w:w="2733" w:type="dxa"/>
          </w:tcPr>
          <w:p w14:paraId="56FC2726" w14:textId="77777777" w:rsidR="00081999" w:rsidRPr="00081999" w:rsidRDefault="00081999" w:rsidP="00081999">
            <w:pPr>
              <w:rPr>
                <w:rFonts w:eastAsia="Calibri"/>
                <w:sz w:val="20"/>
                <w:szCs w:val="20"/>
                <w:lang w:eastAsia="en-US"/>
              </w:rPr>
            </w:pPr>
            <w:r w:rsidRPr="00081999">
              <w:rPr>
                <w:rFonts w:eastAsia="Calibri"/>
                <w:sz w:val="20"/>
                <w:szCs w:val="20"/>
                <w:lang w:eastAsia="en-US"/>
              </w:rPr>
              <w:t>Banamex</w:t>
            </w:r>
          </w:p>
        </w:tc>
        <w:tc>
          <w:tcPr>
            <w:tcW w:w="2236" w:type="dxa"/>
            <w:tcBorders>
              <w:right w:val="single" w:sz="4" w:space="0" w:color="auto"/>
            </w:tcBorders>
          </w:tcPr>
          <w:p w14:paraId="2276D18C" w14:textId="77777777" w:rsidR="00081999" w:rsidRPr="00081999" w:rsidRDefault="00081999" w:rsidP="00081999">
            <w:pPr>
              <w:ind w:right="794"/>
              <w:jc w:val="right"/>
              <w:rPr>
                <w:rFonts w:eastAsia="Calibri"/>
                <w:sz w:val="20"/>
                <w:szCs w:val="20"/>
                <w:lang w:eastAsia="en-US"/>
              </w:rPr>
            </w:pPr>
            <w:r w:rsidRPr="00081999">
              <w:rPr>
                <w:rFonts w:eastAsia="Calibri"/>
                <w:sz w:val="20"/>
                <w:szCs w:val="20"/>
                <w:lang w:eastAsia="en-US"/>
              </w:rPr>
              <w:t>9.78</w:t>
            </w:r>
          </w:p>
        </w:tc>
      </w:tr>
      <w:tr w:rsidR="00081999" w:rsidRPr="00081999" w14:paraId="7169D3DF" w14:textId="77777777" w:rsidTr="00BB7F01">
        <w:trPr>
          <w:jc w:val="center"/>
        </w:trPr>
        <w:tc>
          <w:tcPr>
            <w:tcW w:w="2733" w:type="dxa"/>
          </w:tcPr>
          <w:p w14:paraId="2CBB442D" w14:textId="77777777" w:rsidR="00081999" w:rsidRPr="00081999" w:rsidRDefault="00081999" w:rsidP="00081999">
            <w:pPr>
              <w:rPr>
                <w:rFonts w:eastAsia="Calibri"/>
                <w:sz w:val="20"/>
                <w:szCs w:val="20"/>
                <w:lang w:eastAsia="en-US"/>
              </w:rPr>
            </w:pPr>
            <w:r w:rsidRPr="00081999">
              <w:rPr>
                <w:rFonts w:eastAsia="Calibri"/>
                <w:sz w:val="20"/>
                <w:szCs w:val="20"/>
                <w:lang w:eastAsia="en-US"/>
              </w:rPr>
              <w:t>Profuturo GNP</w:t>
            </w:r>
          </w:p>
        </w:tc>
        <w:tc>
          <w:tcPr>
            <w:tcW w:w="2236" w:type="dxa"/>
            <w:tcBorders>
              <w:right w:val="single" w:sz="4" w:space="0" w:color="auto"/>
            </w:tcBorders>
          </w:tcPr>
          <w:p w14:paraId="27332D9E" w14:textId="77777777" w:rsidR="00081999" w:rsidRPr="00081999" w:rsidRDefault="00081999" w:rsidP="00081999">
            <w:pPr>
              <w:ind w:right="794"/>
              <w:jc w:val="right"/>
              <w:rPr>
                <w:rFonts w:eastAsia="Calibri"/>
                <w:sz w:val="20"/>
                <w:szCs w:val="20"/>
                <w:lang w:eastAsia="en-US"/>
              </w:rPr>
            </w:pPr>
            <w:r w:rsidRPr="00081999">
              <w:rPr>
                <w:rFonts w:eastAsia="Calibri"/>
                <w:sz w:val="20"/>
                <w:szCs w:val="20"/>
                <w:lang w:eastAsia="en-US"/>
              </w:rPr>
              <w:t>9.61</w:t>
            </w:r>
          </w:p>
        </w:tc>
      </w:tr>
      <w:tr w:rsidR="00081999" w:rsidRPr="00081999" w14:paraId="52887334" w14:textId="77777777" w:rsidTr="00BB7F01">
        <w:trPr>
          <w:jc w:val="center"/>
        </w:trPr>
        <w:tc>
          <w:tcPr>
            <w:tcW w:w="2733" w:type="dxa"/>
          </w:tcPr>
          <w:p w14:paraId="03F20B2D" w14:textId="77777777" w:rsidR="00081999" w:rsidRPr="00081999" w:rsidRDefault="00081999" w:rsidP="00081999">
            <w:pPr>
              <w:rPr>
                <w:rFonts w:eastAsia="Calibri"/>
                <w:sz w:val="20"/>
                <w:szCs w:val="20"/>
                <w:lang w:eastAsia="en-US"/>
              </w:rPr>
            </w:pPr>
            <w:r w:rsidRPr="00081999">
              <w:rPr>
                <w:rFonts w:eastAsia="Calibri"/>
                <w:sz w:val="20"/>
                <w:szCs w:val="20"/>
                <w:lang w:eastAsia="en-US"/>
              </w:rPr>
              <w:t>MetLife</w:t>
            </w:r>
          </w:p>
        </w:tc>
        <w:tc>
          <w:tcPr>
            <w:tcW w:w="2236" w:type="dxa"/>
            <w:tcBorders>
              <w:right w:val="single" w:sz="4" w:space="0" w:color="auto"/>
            </w:tcBorders>
          </w:tcPr>
          <w:p w14:paraId="77A365E1" w14:textId="77777777" w:rsidR="00081999" w:rsidRPr="00081999" w:rsidRDefault="00081999" w:rsidP="00081999">
            <w:pPr>
              <w:ind w:right="794"/>
              <w:jc w:val="right"/>
              <w:rPr>
                <w:rFonts w:eastAsia="Calibri"/>
                <w:sz w:val="20"/>
                <w:szCs w:val="20"/>
                <w:lang w:eastAsia="en-US"/>
              </w:rPr>
            </w:pPr>
            <w:r w:rsidRPr="00081999">
              <w:rPr>
                <w:rFonts w:eastAsia="Calibri"/>
                <w:sz w:val="20"/>
                <w:szCs w:val="20"/>
                <w:lang w:eastAsia="en-US"/>
              </w:rPr>
              <w:t>9.32</w:t>
            </w:r>
          </w:p>
        </w:tc>
      </w:tr>
      <w:tr w:rsidR="00081999" w:rsidRPr="00081999" w14:paraId="134D7C17" w14:textId="77777777" w:rsidTr="00BB7F01">
        <w:trPr>
          <w:jc w:val="center"/>
        </w:trPr>
        <w:tc>
          <w:tcPr>
            <w:tcW w:w="2733" w:type="dxa"/>
          </w:tcPr>
          <w:p w14:paraId="57B88581" w14:textId="77777777" w:rsidR="00081999" w:rsidRPr="00081999" w:rsidRDefault="00081999" w:rsidP="00081999">
            <w:pPr>
              <w:rPr>
                <w:rFonts w:eastAsia="Calibri"/>
                <w:sz w:val="20"/>
                <w:szCs w:val="20"/>
                <w:lang w:eastAsia="en-US"/>
              </w:rPr>
            </w:pPr>
            <w:r w:rsidRPr="00081999">
              <w:rPr>
                <w:rFonts w:eastAsia="Calibri"/>
                <w:sz w:val="20"/>
                <w:szCs w:val="20"/>
                <w:lang w:eastAsia="en-US"/>
              </w:rPr>
              <w:t>Invercap</w:t>
            </w:r>
          </w:p>
        </w:tc>
        <w:tc>
          <w:tcPr>
            <w:tcW w:w="2236" w:type="dxa"/>
            <w:tcBorders>
              <w:right w:val="single" w:sz="4" w:space="0" w:color="auto"/>
            </w:tcBorders>
          </w:tcPr>
          <w:p w14:paraId="5CE68A1E" w14:textId="77777777" w:rsidR="00081999" w:rsidRPr="00081999" w:rsidRDefault="00081999" w:rsidP="00081999">
            <w:pPr>
              <w:ind w:right="794"/>
              <w:jc w:val="right"/>
              <w:rPr>
                <w:rFonts w:eastAsia="Calibri"/>
                <w:sz w:val="20"/>
                <w:szCs w:val="20"/>
                <w:lang w:eastAsia="en-US"/>
              </w:rPr>
            </w:pPr>
            <w:r w:rsidRPr="00081999">
              <w:rPr>
                <w:rFonts w:eastAsia="Calibri"/>
                <w:sz w:val="20"/>
                <w:szCs w:val="20"/>
                <w:lang w:eastAsia="en-US"/>
              </w:rPr>
              <w:t>9.25</w:t>
            </w:r>
          </w:p>
        </w:tc>
      </w:tr>
      <w:tr w:rsidR="00081999" w:rsidRPr="00081999" w14:paraId="7FB8ECF0" w14:textId="77777777" w:rsidTr="00BB7F01">
        <w:trPr>
          <w:jc w:val="center"/>
        </w:trPr>
        <w:tc>
          <w:tcPr>
            <w:tcW w:w="2733" w:type="dxa"/>
          </w:tcPr>
          <w:p w14:paraId="1E9E3402" w14:textId="77777777" w:rsidR="00081999" w:rsidRPr="00081999" w:rsidRDefault="00081999" w:rsidP="00081999">
            <w:pPr>
              <w:rPr>
                <w:rFonts w:eastAsia="Calibri"/>
                <w:sz w:val="20"/>
                <w:szCs w:val="20"/>
                <w:lang w:eastAsia="en-US"/>
              </w:rPr>
            </w:pPr>
            <w:r w:rsidRPr="00081999">
              <w:rPr>
                <w:rFonts w:eastAsia="Calibri"/>
                <w:sz w:val="20"/>
                <w:szCs w:val="20"/>
                <w:lang w:eastAsia="en-US"/>
              </w:rPr>
              <w:t>XXI-Banorte</w:t>
            </w:r>
          </w:p>
        </w:tc>
        <w:tc>
          <w:tcPr>
            <w:tcW w:w="2236" w:type="dxa"/>
            <w:tcBorders>
              <w:right w:val="single" w:sz="4" w:space="0" w:color="auto"/>
            </w:tcBorders>
          </w:tcPr>
          <w:p w14:paraId="363DE64D" w14:textId="77777777" w:rsidR="00081999" w:rsidRPr="00081999" w:rsidRDefault="00081999" w:rsidP="00081999">
            <w:pPr>
              <w:ind w:right="794"/>
              <w:jc w:val="right"/>
              <w:rPr>
                <w:rFonts w:eastAsia="Calibri"/>
                <w:sz w:val="20"/>
                <w:szCs w:val="20"/>
                <w:lang w:eastAsia="en-US"/>
              </w:rPr>
            </w:pPr>
            <w:r w:rsidRPr="00081999">
              <w:rPr>
                <w:rFonts w:eastAsia="Calibri"/>
                <w:sz w:val="20"/>
                <w:szCs w:val="20"/>
                <w:lang w:eastAsia="en-US"/>
              </w:rPr>
              <w:t>9.13</w:t>
            </w:r>
          </w:p>
        </w:tc>
      </w:tr>
      <w:tr w:rsidR="00081999" w:rsidRPr="00081999" w14:paraId="09C6F76F" w14:textId="77777777" w:rsidTr="00BB7F01">
        <w:trPr>
          <w:jc w:val="center"/>
        </w:trPr>
        <w:tc>
          <w:tcPr>
            <w:tcW w:w="2733" w:type="dxa"/>
          </w:tcPr>
          <w:p w14:paraId="7466B2A3" w14:textId="77777777" w:rsidR="00081999" w:rsidRPr="00081999" w:rsidRDefault="00081999" w:rsidP="00081999">
            <w:pPr>
              <w:rPr>
                <w:rFonts w:eastAsia="Calibri"/>
                <w:sz w:val="20"/>
                <w:szCs w:val="20"/>
                <w:lang w:eastAsia="en-US"/>
              </w:rPr>
            </w:pPr>
            <w:r w:rsidRPr="00081999">
              <w:rPr>
                <w:rFonts w:eastAsia="Calibri"/>
                <w:sz w:val="20"/>
                <w:szCs w:val="20"/>
                <w:lang w:eastAsia="en-US"/>
              </w:rPr>
              <w:t>Principal</w:t>
            </w:r>
          </w:p>
        </w:tc>
        <w:tc>
          <w:tcPr>
            <w:tcW w:w="2236" w:type="dxa"/>
            <w:tcBorders>
              <w:right w:val="single" w:sz="4" w:space="0" w:color="auto"/>
            </w:tcBorders>
          </w:tcPr>
          <w:p w14:paraId="22E0165F" w14:textId="77777777" w:rsidR="00081999" w:rsidRPr="00081999" w:rsidRDefault="00081999" w:rsidP="00081999">
            <w:pPr>
              <w:ind w:right="794"/>
              <w:jc w:val="right"/>
              <w:rPr>
                <w:rFonts w:eastAsia="Calibri"/>
                <w:sz w:val="20"/>
                <w:szCs w:val="20"/>
                <w:lang w:eastAsia="en-US"/>
              </w:rPr>
            </w:pPr>
            <w:r w:rsidRPr="00081999">
              <w:rPr>
                <w:rFonts w:eastAsia="Calibri"/>
                <w:sz w:val="20"/>
                <w:szCs w:val="20"/>
                <w:lang w:eastAsia="en-US"/>
              </w:rPr>
              <w:t>8.65</w:t>
            </w:r>
          </w:p>
        </w:tc>
      </w:tr>
      <w:tr w:rsidR="00081999" w:rsidRPr="00081999" w14:paraId="14140318" w14:textId="77777777" w:rsidTr="00BB7F01">
        <w:trPr>
          <w:jc w:val="center"/>
        </w:trPr>
        <w:tc>
          <w:tcPr>
            <w:tcW w:w="2733" w:type="dxa"/>
          </w:tcPr>
          <w:p w14:paraId="310F044A" w14:textId="77777777" w:rsidR="00081999" w:rsidRPr="00081999" w:rsidRDefault="00081999" w:rsidP="00081999">
            <w:pPr>
              <w:rPr>
                <w:rFonts w:eastAsia="Calibri"/>
                <w:sz w:val="20"/>
                <w:szCs w:val="20"/>
                <w:lang w:eastAsia="en-US"/>
              </w:rPr>
            </w:pPr>
            <w:r w:rsidRPr="00081999">
              <w:rPr>
                <w:rFonts w:eastAsia="Calibri"/>
                <w:sz w:val="20"/>
                <w:szCs w:val="20"/>
                <w:lang w:eastAsia="en-US"/>
              </w:rPr>
              <w:t>Azteca</w:t>
            </w:r>
          </w:p>
        </w:tc>
        <w:tc>
          <w:tcPr>
            <w:tcW w:w="2236" w:type="dxa"/>
            <w:tcBorders>
              <w:right w:val="single" w:sz="4" w:space="0" w:color="auto"/>
            </w:tcBorders>
          </w:tcPr>
          <w:p w14:paraId="28244FBE" w14:textId="77777777" w:rsidR="00081999" w:rsidRPr="00081999" w:rsidRDefault="00081999" w:rsidP="00081999">
            <w:pPr>
              <w:ind w:right="794"/>
              <w:jc w:val="right"/>
              <w:rPr>
                <w:rFonts w:eastAsia="Calibri"/>
                <w:sz w:val="20"/>
                <w:szCs w:val="20"/>
                <w:lang w:eastAsia="en-US"/>
              </w:rPr>
            </w:pPr>
            <w:r w:rsidRPr="00081999">
              <w:rPr>
                <w:rFonts w:eastAsia="Calibri"/>
                <w:sz w:val="20"/>
                <w:szCs w:val="20"/>
                <w:lang w:eastAsia="en-US"/>
              </w:rPr>
              <w:t>8.08</w:t>
            </w:r>
          </w:p>
        </w:tc>
      </w:tr>
      <w:tr w:rsidR="00081999" w:rsidRPr="00081999" w14:paraId="1645696B" w14:textId="77777777" w:rsidTr="00BB7F01">
        <w:trPr>
          <w:jc w:val="center"/>
        </w:trPr>
        <w:tc>
          <w:tcPr>
            <w:tcW w:w="2733" w:type="dxa"/>
          </w:tcPr>
          <w:p w14:paraId="5EC765BE" w14:textId="77777777" w:rsidR="00081999" w:rsidRPr="00081999" w:rsidRDefault="00081999" w:rsidP="00081999">
            <w:pPr>
              <w:rPr>
                <w:rFonts w:eastAsia="Calibri"/>
                <w:sz w:val="20"/>
                <w:szCs w:val="20"/>
                <w:lang w:eastAsia="en-US"/>
              </w:rPr>
            </w:pPr>
            <w:r w:rsidRPr="00081999">
              <w:rPr>
                <w:rFonts w:eastAsia="Calibri"/>
                <w:sz w:val="20"/>
                <w:szCs w:val="20"/>
                <w:lang w:eastAsia="en-US"/>
              </w:rPr>
              <w:t>Coppel</w:t>
            </w:r>
          </w:p>
        </w:tc>
        <w:tc>
          <w:tcPr>
            <w:tcW w:w="2236" w:type="dxa"/>
            <w:tcBorders>
              <w:right w:val="single" w:sz="4" w:space="0" w:color="auto"/>
            </w:tcBorders>
          </w:tcPr>
          <w:p w14:paraId="22970271" w14:textId="77777777" w:rsidR="00081999" w:rsidRPr="00081999" w:rsidRDefault="00081999" w:rsidP="00081999">
            <w:pPr>
              <w:ind w:right="794"/>
              <w:jc w:val="right"/>
              <w:rPr>
                <w:rFonts w:eastAsia="Calibri"/>
                <w:sz w:val="20"/>
                <w:szCs w:val="20"/>
                <w:lang w:eastAsia="en-US"/>
              </w:rPr>
            </w:pPr>
            <w:r w:rsidRPr="00081999">
              <w:rPr>
                <w:rFonts w:eastAsia="Calibri"/>
                <w:sz w:val="20"/>
                <w:szCs w:val="20"/>
                <w:lang w:eastAsia="en-US"/>
              </w:rPr>
              <w:t>7.55</w:t>
            </w:r>
          </w:p>
        </w:tc>
      </w:tr>
      <w:tr w:rsidR="00081999" w:rsidRPr="00081999" w14:paraId="445C6530" w14:textId="77777777" w:rsidTr="00BB7F01">
        <w:trPr>
          <w:jc w:val="center"/>
        </w:trPr>
        <w:tc>
          <w:tcPr>
            <w:tcW w:w="2733" w:type="dxa"/>
          </w:tcPr>
          <w:p w14:paraId="7FE9E278" w14:textId="77777777" w:rsidR="00081999" w:rsidRPr="00081999" w:rsidRDefault="00081999" w:rsidP="00081999">
            <w:pPr>
              <w:rPr>
                <w:rFonts w:eastAsia="Calibri"/>
                <w:sz w:val="20"/>
                <w:szCs w:val="20"/>
                <w:lang w:eastAsia="en-US"/>
              </w:rPr>
            </w:pPr>
            <w:r w:rsidRPr="00081999">
              <w:rPr>
                <w:rFonts w:eastAsia="Calibri"/>
                <w:sz w:val="20"/>
                <w:szCs w:val="20"/>
                <w:lang w:eastAsia="en-US"/>
              </w:rPr>
              <w:t>Inbursa</w:t>
            </w:r>
          </w:p>
        </w:tc>
        <w:tc>
          <w:tcPr>
            <w:tcW w:w="2236" w:type="dxa"/>
            <w:tcBorders>
              <w:right w:val="single" w:sz="4" w:space="0" w:color="auto"/>
            </w:tcBorders>
          </w:tcPr>
          <w:p w14:paraId="4AA20310" w14:textId="77777777" w:rsidR="00081999" w:rsidRPr="00081999" w:rsidRDefault="00081999" w:rsidP="00081999">
            <w:pPr>
              <w:ind w:right="794"/>
              <w:jc w:val="right"/>
              <w:rPr>
                <w:rFonts w:eastAsia="Calibri"/>
                <w:sz w:val="20"/>
                <w:szCs w:val="20"/>
                <w:lang w:eastAsia="en-US"/>
              </w:rPr>
            </w:pPr>
            <w:r w:rsidRPr="00081999">
              <w:rPr>
                <w:rFonts w:eastAsia="Calibri"/>
                <w:sz w:val="20"/>
                <w:szCs w:val="20"/>
                <w:lang w:eastAsia="en-US"/>
              </w:rPr>
              <w:t>5.65</w:t>
            </w:r>
          </w:p>
        </w:tc>
      </w:tr>
      <w:tr w:rsidR="00081999" w:rsidRPr="00081999" w14:paraId="0F272C34" w14:textId="77777777" w:rsidTr="00BB7F01">
        <w:trPr>
          <w:jc w:val="center"/>
        </w:trPr>
        <w:tc>
          <w:tcPr>
            <w:tcW w:w="2733" w:type="dxa"/>
            <w:tcBorders>
              <w:bottom w:val="single" w:sz="4" w:space="0" w:color="auto"/>
            </w:tcBorders>
          </w:tcPr>
          <w:p w14:paraId="27A2BD41" w14:textId="77777777" w:rsidR="00081999" w:rsidRPr="00081999" w:rsidRDefault="00081999" w:rsidP="00081999">
            <w:pPr>
              <w:rPr>
                <w:rFonts w:eastAsia="Calibri"/>
                <w:b/>
                <w:sz w:val="20"/>
                <w:szCs w:val="20"/>
                <w:lang w:eastAsia="en-US"/>
              </w:rPr>
            </w:pPr>
            <w:r w:rsidRPr="00081999">
              <w:rPr>
                <w:rFonts w:eastAsia="Calibri"/>
                <w:b/>
                <w:sz w:val="20"/>
                <w:szCs w:val="20"/>
                <w:lang w:eastAsia="en-US"/>
              </w:rPr>
              <w:t>Promedio Simple</w:t>
            </w:r>
          </w:p>
        </w:tc>
        <w:tc>
          <w:tcPr>
            <w:tcW w:w="2236" w:type="dxa"/>
            <w:tcBorders>
              <w:bottom w:val="single" w:sz="4" w:space="0" w:color="auto"/>
              <w:right w:val="single" w:sz="4" w:space="0" w:color="auto"/>
            </w:tcBorders>
          </w:tcPr>
          <w:p w14:paraId="29431FC9" w14:textId="77777777" w:rsidR="00081999" w:rsidRPr="00081999" w:rsidRDefault="00081999" w:rsidP="00081999">
            <w:pPr>
              <w:ind w:right="794"/>
              <w:jc w:val="right"/>
              <w:rPr>
                <w:rFonts w:eastAsia="Calibri"/>
                <w:b/>
                <w:sz w:val="20"/>
                <w:szCs w:val="20"/>
                <w:lang w:eastAsia="en-US"/>
              </w:rPr>
            </w:pPr>
            <w:r w:rsidRPr="00081999">
              <w:rPr>
                <w:rFonts w:eastAsia="Calibri"/>
                <w:b/>
                <w:sz w:val="20"/>
                <w:szCs w:val="20"/>
                <w:lang w:eastAsia="en-US"/>
              </w:rPr>
              <w:t>8.95</w:t>
            </w:r>
          </w:p>
        </w:tc>
      </w:tr>
      <w:tr w:rsidR="00081999" w:rsidRPr="00081999" w14:paraId="3DBBCC85" w14:textId="77777777" w:rsidTr="00BB7F01">
        <w:trPr>
          <w:jc w:val="center"/>
        </w:trPr>
        <w:tc>
          <w:tcPr>
            <w:tcW w:w="2733" w:type="dxa"/>
            <w:tcBorders>
              <w:bottom w:val="nil"/>
            </w:tcBorders>
          </w:tcPr>
          <w:p w14:paraId="6CD7739F" w14:textId="77777777" w:rsidR="00081999" w:rsidRPr="00081999" w:rsidRDefault="00081999" w:rsidP="00081999">
            <w:pPr>
              <w:rPr>
                <w:rFonts w:eastAsia="Calibri"/>
                <w:b/>
                <w:sz w:val="20"/>
                <w:szCs w:val="20"/>
                <w:lang w:eastAsia="en-US"/>
              </w:rPr>
            </w:pPr>
            <w:r w:rsidRPr="00081999">
              <w:rPr>
                <w:rFonts w:eastAsia="Calibri"/>
                <w:b/>
                <w:sz w:val="20"/>
                <w:szCs w:val="20"/>
                <w:lang w:eastAsia="en-US"/>
              </w:rPr>
              <w:t>Promedio Ponderado</w:t>
            </w:r>
          </w:p>
        </w:tc>
        <w:tc>
          <w:tcPr>
            <w:tcW w:w="2236" w:type="dxa"/>
            <w:tcBorders>
              <w:bottom w:val="nil"/>
              <w:right w:val="single" w:sz="4" w:space="0" w:color="auto"/>
            </w:tcBorders>
          </w:tcPr>
          <w:p w14:paraId="207B8576" w14:textId="77777777" w:rsidR="00081999" w:rsidRPr="00081999" w:rsidRDefault="00081999" w:rsidP="00081999">
            <w:pPr>
              <w:ind w:right="794"/>
              <w:jc w:val="right"/>
              <w:rPr>
                <w:rFonts w:eastAsia="Calibri"/>
                <w:b/>
                <w:sz w:val="20"/>
                <w:szCs w:val="20"/>
                <w:lang w:eastAsia="en-US"/>
              </w:rPr>
            </w:pPr>
            <w:r w:rsidRPr="00081999">
              <w:rPr>
                <w:rFonts w:eastAsia="Calibri"/>
                <w:b/>
                <w:sz w:val="20"/>
                <w:szCs w:val="20"/>
                <w:lang w:eastAsia="en-US"/>
              </w:rPr>
              <w:t>9.40</w:t>
            </w:r>
          </w:p>
        </w:tc>
      </w:tr>
      <w:tr w:rsidR="00081999" w:rsidRPr="00081999" w14:paraId="1FDD6E1D" w14:textId="77777777" w:rsidTr="00BB7F01">
        <w:trPr>
          <w:jc w:val="center"/>
        </w:trPr>
        <w:tc>
          <w:tcPr>
            <w:tcW w:w="4969" w:type="dxa"/>
            <w:gridSpan w:val="2"/>
            <w:tcBorders>
              <w:left w:val="nil"/>
              <w:bottom w:val="nil"/>
              <w:right w:val="nil"/>
            </w:tcBorders>
          </w:tcPr>
          <w:p w14:paraId="68A1DD2F" w14:textId="77777777" w:rsidR="00081999" w:rsidRPr="00081999" w:rsidRDefault="00081999" w:rsidP="00081999">
            <w:pPr>
              <w:ind w:left="170" w:hanging="170"/>
              <w:jc w:val="both"/>
              <w:rPr>
                <w:rFonts w:eastAsia="Times New Roman"/>
                <w:sz w:val="20"/>
                <w:szCs w:val="20"/>
              </w:rPr>
            </w:pPr>
            <w:r w:rsidRPr="00081999">
              <w:rPr>
                <w:rFonts w:eastAsia="Times New Roman"/>
                <w:sz w:val="20"/>
                <w:szCs w:val="20"/>
              </w:rPr>
              <w:t>* Es el promedio ponderado, por los activos administrados, de los rendimientos netos de las Siefores Básicas.</w:t>
            </w:r>
          </w:p>
          <w:p w14:paraId="24AF503B" w14:textId="77777777" w:rsidR="00081999" w:rsidRPr="00081999" w:rsidRDefault="00081999" w:rsidP="00081999">
            <w:pPr>
              <w:ind w:left="539" w:hanging="539"/>
              <w:jc w:val="both"/>
              <w:rPr>
                <w:rFonts w:eastAsia="Times New Roman"/>
                <w:sz w:val="20"/>
                <w:szCs w:val="20"/>
              </w:rPr>
            </w:pPr>
            <w:r w:rsidRPr="00081999">
              <w:rPr>
                <w:rFonts w:eastAsia="Times New Roman"/>
                <w:sz w:val="20"/>
                <w:szCs w:val="20"/>
              </w:rPr>
              <w:t>Nota: Los Indicadores de Rendimiento Neto incluyen la deducción de las Comisiones aplicables.</w:t>
            </w:r>
          </w:p>
          <w:p w14:paraId="74A5C072" w14:textId="77777777" w:rsidR="00081999" w:rsidRPr="00081999" w:rsidRDefault="00081999" w:rsidP="00081999">
            <w:pPr>
              <w:ind w:left="539"/>
              <w:jc w:val="both"/>
              <w:rPr>
                <w:rFonts w:eastAsia="Times New Roman"/>
                <w:sz w:val="20"/>
                <w:szCs w:val="20"/>
              </w:rPr>
            </w:pPr>
            <w:r w:rsidRPr="00081999">
              <w:rPr>
                <w:rFonts w:eastAsia="Times New Roman"/>
                <w:sz w:val="20"/>
                <w:szCs w:val="20"/>
              </w:rPr>
              <w:t>Este indicador refleja el desempeño obtenido consistentemente por las inversiones en cada Siefore e indica que las decisiones de traspaso pueden resultar convenientes para los trabajadores.</w:t>
            </w:r>
          </w:p>
          <w:p w14:paraId="15D4CD87" w14:textId="77777777" w:rsidR="00081999" w:rsidRPr="00081999" w:rsidRDefault="00081999" w:rsidP="00081999">
            <w:pPr>
              <w:jc w:val="both"/>
              <w:rPr>
                <w:rFonts w:eastAsia="Times New Roman"/>
                <w:sz w:val="20"/>
                <w:szCs w:val="20"/>
              </w:rPr>
            </w:pPr>
            <w:r w:rsidRPr="00081999">
              <w:rPr>
                <w:rFonts w:eastAsia="Times New Roman"/>
                <w:sz w:val="20"/>
                <w:szCs w:val="20"/>
              </w:rPr>
              <w:t>FUENTE: Consar.</w:t>
            </w:r>
          </w:p>
        </w:tc>
      </w:tr>
    </w:tbl>
    <w:p w14:paraId="0CD61F9C" w14:textId="77777777" w:rsidR="00081999" w:rsidRPr="00081999" w:rsidRDefault="00081999" w:rsidP="00081999"/>
    <w:p w14:paraId="0D876BAE" w14:textId="77777777" w:rsidR="00081999" w:rsidRPr="00081999" w:rsidRDefault="00081999" w:rsidP="00081999"/>
    <w:p w14:paraId="1F3ABB0B" w14:textId="77777777" w:rsidR="00081999" w:rsidRPr="00081999" w:rsidRDefault="00081999" w:rsidP="00081999"/>
    <w:p w14:paraId="2B265DC1" w14:textId="77777777" w:rsidR="00081999" w:rsidRPr="00081999" w:rsidRDefault="00081999" w:rsidP="00081999"/>
    <w:p w14:paraId="79E776E6" w14:textId="77777777" w:rsidR="00081999" w:rsidRPr="00081999" w:rsidRDefault="00081999" w:rsidP="00081999"/>
    <w:p w14:paraId="3FC941D4" w14:textId="77777777" w:rsidR="00081999" w:rsidRPr="00081999" w:rsidRDefault="00081999" w:rsidP="00081999"/>
    <w:p w14:paraId="26EF27A0" w14:textId="77777777" w:rsidR="00081999" w:rsidRPr="00081999" w:rsidRDefault="00081999" w:rsidP="00081999"/>
    <w:p w14:paraId="3FCFF526" w14:textId="77777777" w:rsidR="00081999" w:rsidRPr="00081999" w:rsidRDefault="00081999" w:rsidP="00081999"/>
    <w:p w14:paraId="27FC8C59" w14:textId="77777777" w:rsidR="00081999" w:rsidRPr="00081999" w:rsidRDefault="00081999" w:rsidP="00081999"/>
    <w:p w14:paraId="1EA0E822" w14:textId="77777777" w:rsidR="00081999" w:rsidRPr="00081999" w:rsidRDefault="00081999" w:rsidP="00081999"/>
    <w:p w14:paraId="1DF623DD" w14:textId="77777777" w:rsidR="00081999" w:rsidRPr="00081999" w:rsidRDefault="00081999" w:rsidP="00081999"/>
    <w:p w14:paraId="06CAA204" w14:textId="77777777" w:rsidR="00081999" w:rsidRPr="00081999" w:rsidRDefault="00081999" w:rsidP="00081999"/>
    <w:p w14:paraId="26B626EE" w14:textId="77777777" w:rsidR="00081999" w:rsidRPr="00081999" w:rsidRDefault="00081999" w:rsidP="00081999"/>
    <w:p w14:paraId="35004A22" w14:textId="77777777" w:rsidR="00081999" w:rsidRPr="00081999" w:rsidRDefault="00081999" w:rsidP="00081999"/>
    <w:p w14:paraId="6728D3BD" w14:textId="77777777" w:rsidR="00081999" w:rsidRPr="00081999" w:rsidRDefault="00081999" w:rsidP="00081999"/>
    <w:p w14:paraId="244FEE40" w14:textId="77777777" w:rsidR="00081999" w:rsidRPr="00081999" w:rsidRDefault="00081999" w:rsidP="00081999"/>
    <w:p w14:paraId="2973D901" w14:textId="77777777" w:rsidR="00081999" w:rsidRPr="00081999" w:rsidRDefault="00081999" w:rsidP="00081999"/>
    <w:p w14:paraId="5C58C757" w14:textId="77777777" w:rsidR="00081999" w:rsidRPr="00081999" w:rsidRDefault="00081999" w:rsidP="0008199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733"/>
        <w:gridCol w:w="2236"/>
      </w:tblGrid>
      <w:tr w:rsidR="00081999" w:rsidRPr="00081999" w14:paraId="1FBF3DC0" w14:textId="77777777" w:rsidTr="00BB7F01">
        <w:trPr>
          <w:jc w:val="center"/>
        </w:trPr>
        <w:tc>
          <w:tcPr>
            <w:tcW w:w="4969" w:type="dxa"/>
            <w:gridSpan w:val="2"/>
            <w:tcBorders>
              <w:top w:val="nil"/>
              <w:left w:val="nil"/>
              <w:right w:val="nil"/>
            </w:tcBorders>
            <w:vAlign w:val="center"/>
          </w:tcPr>
          <w:p w14:paraId="54E4357D" w14:textId="77777777" w:rsidR="00081999" w:rsidRPr="00081999" w:rsidRDefault="00081999" w:rsidP="00081999">
            <w:pPr>
              <w:jc w:val="center"/>
              <w:rPr>
                <w:rFonts w:eastAsia="Times New Roman"/>
                <w:b/>
              </w:rPr>
            </w:pPr>
            <w:r w:rsidRPr="00081999">
              <w:rPr>
                <w:rFonts w:eastAsia="Times New Roman"/>
                <w:b/>
                <w:sz w:val="22"/>
                <w:szCs w:val="22"/>
              </w:rPr>
              <w:t>A MAYOR RENDIMIENTO NETO, MAYOR PENSIÓN</w:t>
            </w:r>
          </w:p>
          <w:p w14:paraId="51E4D0EE" w14:textId="77777777" w:rsidR="00081999" w:rsidRPr="00081999" w:rsidRDefault="00081999" w:rsidP="00081999">
            <w:pPr>
              <w:jc w:val="center"/>
              <w:rPr>
                <w:rFonts w:eastAsia="Times New Roman"/>
                <w:b/>
              </w:rPr>
            </w:pPr>
            <w:r w:rsidRPr="00081999">
              <w:rPr>
                <w:rFonts w:eastAsia="Times New Roman"/>
                <w:b/>
                <w:sz w:val="22"/>
                <w:szCs w:val="22"/>
              </w:rPr>
              <w:t xml:space="preserve">Siefore Básica 2 </w:t>
            </w:r>
          </w:p>
          <w:p w14:paraId="5230101A" w14:textId="77777777" w:rsidR="00081999" w:rsidRPr="00081999" w:rsidRDefault="00081999" w:rsidP="00081999">
            <w:pPr>
              <w:jc w:val="center"/>
              <w:rPr>
                <w:rFonts w:eastAsia="Times New Roman"/>
                <w:b/>
              </w:rPr>
            </w:pPr>
            <w:r w:rsidRPr="00081999">
              <w:rPr>
                <w:rFonts w:eastAsia="Times New Roman"/>
                <w:b/>
                <w:sz w:val="22"/>
                <w:szCs w:val="22"/>
              </w:rPr>
              <w:t>(Para personas entre 46 y 59 años)</w:t>
            </w:r>
          </w:p>
          <w:p w14:paraId="18E6A6E4" w14:textId="77777777" w:rsidR="00081999" w:rsidRPr="00081999" w:rsidRDefault="00081999" w:rsidP="00081999">
            <w:pPr>
              <w:jc w:val="center"/>
              <w:rPr>
                <w:rFonts w:eastAsia="Times New Roman"/>
                <w:b/>
                <w:sz w:val="22"/>
                <w:szCs w:val="22"/>
              </w:rPr>
            </w:pPr>
            <w:r w:rsidRPr="00081999">
              <w:rPr>
                <w:rFonts w:eastAsia="Times New Roman"/>
                <w:b/>
                <w:sz w:val="22"/>
                <w:szCs w:val="22"/>
              </w:rPr>
              <w:t xml:space="preserve">-Cifras porcentuales al cierre de </w:t>
            </w:r>
          </w:p>
          <w:p w14:paraId="639D2C74" w14:textId="77777777" w:rsidR="00081999" w:rsidRPr="00081999" w:rsidRDefault="00081999" w:rsidP="00081999">
            <w:pPr>
              <w:jc w:val="center"/>
              <w:rPr>
                <w:rFonts w:eastAsia="Times New Roman"/>
                <w:b/>
              </w:rPr>
            </w:pPr>
            <w:r w:rsidRPr="00081999">
              <w:rPr>
                <w:rFonts w:eastAsia="Times New Roman"/>
                <w:b/>
                <w:sz w:val="22"/>
                <w:szCs w:val="22"/>
              </w:rPr>
              <w:t>febrero de 2015-</w:t>
            </w:r>
          </w:p>
        </w:tc>
      </w:tr>
      <w:tr w:rsidR="00081999" w:rsidRPr="00081999" w14:paraId="3E7A8B1E" w14:textId="77777777" w:rsidTr="00BB7F01">
        <w:trPr>
          <w:jc w:val="center"/>
        </w:trPr>
        <w:tc>
          <w:tcPr>
            <w:tcW w:w="4969" w:type="dxa"/>
            <w:gridSpan w:val="2"/>
            <w:vAlign w:val="center"/>
          </w:tcPr>
          <w:p w14:paraId="06B0BFE7" w14:textId="77777777" w:rsidR="00081999" w:rsidRPr="00081999" w:rsidRDefault="00081999" w:rsidP="00081999">
            <w:pPr>
              <w:jc w:val="center"/>
              <w:rPr>
                <w:rFonts w:eastAsia="Times New Roman"/>
                <w:b/>
                <w:sz w:val="20"/>
                <w:szCs w:val="20"/>
              </w:rPr>
            </w:pPr>
            <w:r w:rsidRPr="00081999">
              <w:rPr>
                <w:rFonts w:eastAsia="Times New Roman"/>
                <w:b/>
                <w:sz w:val="20"/>
                <w:szCs w:val="20"/>
              </w:rPr>
              <w:t>INDICADOR DE RENDIMIENTO NETO</w:t>
            </w:r>
          </w:p>
          <w:p w14:paraId="45BEA987" w14:textId="77777777" w:rsidR="00081999" w:rsidRPr="00081999" w:rsidRDefault="00081999" w:rsidP="00081999">
            <w:pPr>
              <w:jc w:val="center"/>
              <w:rPr>
                <w:rFonts w:eastAsia="Times New Roman"/>
                <w:b/>
                <w:sz w:val="20"/>
                <w:szCs w:val="20"/>
              </w:rPr>
            </w:pPr>
            <w:r w:rsidRPr="00081999">
              <w:rPr>
                <w:rFonts w:eastAsia="Times New Roman"/>
                <w:b/>
                <w:sz w:val="20"/>
                <w:szCs w:val="20"/>
              </w:rPr>
              <w:t>(60 MESES)</w:t>
            </w:r>
          </w:p>
        </w:tc>
      </w:tr>
      <w:tr w:rsidR="00081999" w:rsidRPr="00081999" w14:paraId="3B201CF2" w14:textId="77777777" w:rsidTr="00BB7F01">
        <w:trPr>
          <w:jc w:val="center"/>
        </w:trPr>
        <w:tc>
          <w:tcPr>
            <w:tcW w:w="2733" w:type="dxa"/>
            <w:vAlign w:val="center"/>
          </w:tcPr>
          <w:p w14:paraId="7E37C706" w14:textId="77777777" w:rsidR="00081999" w:rsidRPr="00081999" w:rsidRDefault="00081999" w:rsidP="00081999">
            <w:pPr>
              <w:jc w:val="center"/>
              <w:rPr>
                <w:rFonts w:eastAsia="Times New Roman"/>
                <w:b/>
                <w:sz w:val="20"/>
                <w:szCs w:val="20"/>
              </w:rPr>
            </w:pPr>
            <w:r w:rsidRPr="00081999">
              <w:rPr>
                <w:rFonts w:eastAsia="Times New Roman"/>
                <w:b/>
                <w:sz w:val="20"/>
                <w:szCs w:val="20"/>
              </w:rPr>
              <w:t>Afores</w:t>
            </w:r>
          </w:p>
        </w:tc>
        <w:tc>
          <w:tcPr>
            <w:tcW w:w="2236" w:type="dxa"/>
            <w:vAlign w:val="center"/>
          </w:tcPr>
          <w:p w14:paraId="3CDB3C2C" w14:textId="77777777" w:rsidR="00081999" w:rsidRPr="00081999" w:rsidRDefault="00081999" w:rsidP="00081999">
            <w:pPr>
              <w:jc w:val="center"/>
              <w:rPr>
                <w:rFonts w:eastAsia="Times New Roman"/>
                <w:b/>
                <w:sz w:val="20"/>
                <w:szCs w:val="20"/>
              </w:rPr>
            </w:pPr>
            <w:r w:rsidRPr="00081999">
              <w:rPr>
                <w:rFonts w:eastAsia="Times New Roman"/>
                <w:b/>
                <w:sz w:val="20"/>
                <w:szCs w:val="20"/>
              </w:rPr>
              <w:t>Rendimiento</w:t>
            </w:r>
          </w:p>
          <w:p w14:paraId="41A03BBA" w14:textId="77777777" w:rsidR="00081999" w:rsidRPr="00081999" w:rsidRDefault="00081999" w:rsidP="00081999">
            <w:pPr>
              <w:jc w:val="center"/>
              <w:rPr>
                <w:rFonts w:eastAsia="Times New Roman"/>
                <w:b/>
                <w:sz w:val="20"/>
                <w:szCs w:val="20"/>
              </w:rPr>
            </w:pPr>
            <w:r w:rsidRPr="00081999">
              <w:rPr>
                <w:rFonts w:eastAsia="Times New Roman"/>
                <w:b/>
                <w:sz w:val="20"/>
                <w:szCs w:val="20"/>
              </w:rPr>
              <w:t>Neto</w:t>
            </w:r>
          </w:p>
        </w:tc>
      </w:tr>
      <w:tr w:rsidR="00081999" w:rsidRPr="00081999" w14:paraId="5F4F1EA0" w14:textId="77777777" w:rsidTr="00BB7F01">
        <w:trPr>
          <w:jc w:val="center"/>
        </w:trPr>
        <w:tc>
          <w:tcPr>
            <w:tcW w:w="2733" w:type="dxa"/>
          </w:tcPr>
          <w:p w14:paraId="5A03499A" w14:textId="77777777" w:rsidR="00081999" w:rsidRPr="00081999" w:rsidRDefault="00081999" w:rsidP="00081999">
            <w:pPr>
              <w:rPr>
                <w:rFonts w:eastAsia="Calibri"/>
                <w:sz w:val="20"/>
                <w:szCs w:val="20"/>
                <w:lang w:eastAsia="en-US"/>
              </w:rPr>
            </w:pPr>
            <w:r w:rsidRPr="00081999">
              <w:rPr>
                <w:rFonts w:eastAsia="Calibri"/>
                <w:sz w:val="20"/>
                <w:szCs w:val="20"/>
                <w:lang w:eastAsia="en-US"/>
              </w:rPr>
              <w:t>SURA</w:t>
            </w:r>
          </w:p>
        </w:tc>
        <w:tc>
          <w:tcPr>
            <w:tcW w:w="2236" w:type="dxa"/>
          </w:tcPr>
          <w:p w14:paraId="4B2B830B" w14:textId="77777777" w:rsidR="00081999" w:rsidRPr="00081999" w:rsidRDefault="00081999" w:rsidP="00081999">
            <w:pPr>
              <w:ind w:right="794"/>
              <w:jc w:val="right"/>
              <w:rPr>
                <w:rFonts w:eastAsia="Calibri"/>
                <w:sz w:val="20"/>
                <w:szCs w:val="20"/>
                <w:lang w:eastAsia="en-US"/>
              </w:rPr>
            </w:pPr>
            <w:r w:rsidRPr="00081999">
              <w:rPr>
                <w:rFonts w:eastAsia="Calibri"/>
                <w:sz w:val="20"/>
                <w:szCs w:val="20"/>
                <w:lang w:eastAsia="en-US"/>
              </w:rPr>
              <w:t>9.36</w:t>
            </w:r>
          </w:p>
        </w:tc>
      </w:tr>
      <w:tr w:rsidR="00081999" w:rsidRPr="00081999" w14:paraId="2DF272F2" w14:textId="77777777" w:rsidTr="00BB7F01">
        <w:trPr>
          <w:jc w:val="center"/>
        </w:trPr>
        <w:tc>
          <w:tcPr>
            <w:tcW w:w="2733" w:type="dxa"/>
          </w:tcPr>
          <w:p w14:paraId="7956D3F6" w14:textId="77777777" w:rsidR="00081999" w:rsidRPr="00081999" w:rsidRDefault="00081999" w:rsidP="00081999">
            <w:pPr>
              <w:rPr>
                <w:rFonts w:eastAsia="Calibri"/>
                <w:sz w:val="20"/>
                <w:szCs w:val="20"/>
                <w:lang w:eastAsia="en-US"/>
              </w:rPr>
            </w:pPr>
            <w:r w:rsidRPr="00081999">
              <w:rPr>
                <w:rFonts w:eastAsia="Calibri"/>
                <w:sz w:val="20"/>
                <w:szCs w:val="20"/>
                <w:lang w:eastAsia="en-US"/>
              </w:rPr>
              <w:t>PensionISSSTE</w:t>
            </w:r>
          </w:p>
        </w:tc>
        <w:tc>
          <w:tcPr>
            <w:tcW w:w="2236" w:type="dxa"/>
          </w:tcPr>
          <w:p w14:paraId="130E7D88" w14:textId="77777777" w:rsidR="00081999" w:rsidRPr="00081999" w:rsidRDefault="00081999" w:rsidP="00081999">
            <w:pPr>
              <w:ind w:right="794"/>
              <w:jc w:val="right"/>
              <w:rPr>
                <w:rFonts w:eastAsia="Calibri"/>
                <w:sz w:val="20"/>
                <w:szCs w:val="20"/>
                <w:lang w:eastAsia="en-US"/>
              </w:rPr>
            </w:pPr>
            <w:r w:rsidRPr="00081999">
              <w:rPr>
                <w:rFonts w:eastAsia="Calibri"/>
                <w:sz w:val="20"/>
                <w:szCs w:val="20"/>
                <w:lang w:eastAsia="en-US"/>
              </w:rPr>
              <w:t>9.22</w:t>
            </w:r>
          </w:p>
        </w:tc>
      </w:tr>
      <w:tr w:rsidR="00081999" w:rsidRPr="00081999" w14:paraId="2602836A" w14:textId="77777777" w:rsidTr="00BB7F01">
        <w:trPr>
          <w:jc w:val="center"/>
        </w:trPr>
        <w:tc>
          <w:tcPr>
            <w:tcW w:w="2733" w:type="dxa"/>
          </w:tcPr>
          <w:p w14:paraId="49306BA8" w14:textId="77777777" w:rsidR="00081999" w:rsidRPr="00081999" w:rsidRDefault="00081999" w:rsidP="00081999">
            <w:pPr>
              <w:rPr>
                <w:rFonts w:eastAsia="Calibri"/>
                <w:sz w:val="20"/>
                <w:szCs w:val="20"/>
                <w:lang w:eastAsia="en-US"/>
              </w:rPr>
            </w:pPr>
            <w:r w:rsidRPr="00081999">
              <w:rPr>
                <w:rFonts w:eastAsia="Calibri"/>
                <w:sz w:val="20"/>
                <w:szCs w:val="20"/>
                <w:lang w:eastAsia="en-US"/>
              </w:rPr>
              <w:t>Banamex</w:t>
            </w:r>
          </w:p>
        </w:tc>
        <w:tc>
          <w:tcPr>
            <w:tcW w:w="2236" w:type="dxa"/>
          </w:tcPr>
          <w:p w14:paraId="619ED948" w14:textId="77777777" w:rsidR="00081999" w:rsidRPr="00081999" w:rsidRDefault="00081999" w:rsidP="00081999">
            <w:pPr>
              <w:ind w:right="794"/>
              <w:jc w:val="right"/>
              <w:rPr>
                <w:rFonts w:eastAsia="Calibri"/>
                <w:sz w:val="20"/>
                <w:szCs w:val="20"/>
                <w:lang w:eastAsia="en-US"/>
              </w:rPr>
            </w:pPr>
            <w:r w:rsidRPr="00081999">
              <w:rPr>
                <w:rFonts w:eastAsia="Calibri"/>
                <w:sz w:val="20"/>
                <w:szCs w:val="20"/>
                <w:lang w:eastAsia="en-US"/>
              </w:rPr>
              <w:t>8.69</w:t>
            </w:r>
          </w:p>
        </w:tc>
      </w:tr>
      <w:tr w:rsidR="00081999" w:rsidRPr="00081999" w14:paraId="7B5D5CC3" w14:textId="77777777" w:rsidTr="00BB7F01">
        <w:trPr>
          <w:jc w:val="center"/>
        </w:trPr>
        <w:tc>
          <w:tcPr>
            <w:tcW w:w="2733" w:type="dxa"/>
            <w:tcBorders>
              <w:top w:val="single" w:sz="4" w:space="0" w:color="auto"/>
              <w:left w:val="single" w:sz="4" w:space="0" w:color="auto"/>
              <w:bottom w:val="single" w:sz="4" w:space="0" w:color="auto"/>
              <w:right w:val="single" w:sz="4" w:space="0" w:color="auto"/>
            </w:tcBorders>
          </w:tcPr>
          <w:p w14:paraId="49782E55" w14:textId="77777777" w:rsidR="00081999" w:rsidRPr="00081999" w:rsidRDefault="00081999" w:rsidP="00081999">
            <w:pPr>
              <w:rPr>
                <w:rFonts w:eastAsia="Calibri"/>
                <w:sz w:val="20"/>
                <w:szCs w:val="20"/>
                <w:lang w:eastAsia="en-US"/>
              </w:rPr>
            </w:pPr>
            <w:r w:rsidRPr="00081999">
              <w:rPr>
                <w:rFonts w:eastAsia="Calibri"/>
                <w:sz w:val="20"/>
                <w:szCs w:val="20"/>
                <w:lang w:eastAsia="en-US"/>
              </w:rPr>
              <w:t>Profuturo GNP</w:t>
            </w:r>
          </w:p>
        </w:tc>
        <w:tc>
          <w:tcPr>
            <w:tcW w:w="2236" w:type="dxa"/>
            <w:tcBorders>
              <w:top w:val="single" w:sz="4" w:space="0" w:color="auto"/>
              <w:left w:val="single" w:sz="4" w:space="0" w:color="auto"/>
              <w:bottom w:val="single" w:sz="4" w:space="0" w:color="auto"/>
              <w:right w:val="single" w:sz="4" w:space="0" w:color="auto"/>
            </w:tcBorders>
          </w:tcPr>
          <w:p w14:paraId="22964EE5" w14:textId="77777777" w:rsidR="00081999" w:rsidRPr="00081999" w:rsidRDefault="00081999" w:rsidP="00081999">
            <w:pPr>
              <w:ind w:right="794"/>
              <w:jc w:val="right"/>
              <w:rPr>
                <w:rFonts w:eastAsia="Calibri"/>
                <w:sz w:val="20"/>
                <w:szCs w:val="20"/>
                <w:lang w:eastAsia="en-US"/>
              </w:rPr>
            </w:pPr>
            <w:r w:rsidRPr="00081999">
              <w:rPr>
                <w:rFonts w:eastAsia="Calibri"/>
                <w:sz w:val="20"/>
                <w:szCs w:val="20"/>
                <w:lang w:eastAsia="en-US"/>
              </w:rPr>
              <w:t>8.54</w:t>
            </w:r>
          </w:p>
        </w:tc>
      </w:tr>
      <w:tr w:rsidR="00081999" w:rsidRPr="00081999" w14:paraId="49251E5C" w14:textId="77777777" w:rsidTr="00BB7F01">
        <w:trPr>
          <w:jc w:val="center"/>
        </w:trPr>
        <w:tc>
          <w:tcPr>
            <w:tcW w:w="2733" w:type="dxa"/>
            <w:tcBorders>
              <w:top w:val="single" w:sz="4" w:space="0" w:color="auto"/>
              <w:left w:val="single" w:sz="4" w:space="0" w:color="auto"/>
              <w:bottom w:val="single" w:sz="4" w:space="0" w:color="auto"/>
              <w:right w:val="single" w:sz="4" w:space="0" w:color="auto"/>
            </w:tcBorders>
          </w:tcPr>
          <w:p w14:paraId="47BCA02C" w14:textId="77777777" w:rsidR="00081999" w:rsidRPr="00081999" w:rsidRDefault="00081999" w:rsidP="00081999">
            <w:pPr>
              <w:rPr>
                <w:rFonts w:eastAsia="Calibri"/>
                <w:sz w:val="20"/>
                <w:szCs w:val="20"/>
                <w:lang w:eastAsia="en-US"/>
              </w:rPr>
            </w:pPr>
            <w:r w:rsidRPr="00081999">
              <w:rPr>
                <w:rFonts w:eastAsia="Calibri"/>
                <w:sz w:val="20"/>
                <w:szCs w:val="20"/>
                <w:lang w:eastAsia="en-US"/>
              </w:rPr>
              <w:t>XXI-Banorte</w:t>
            </w:r>
          </w:p>
        </w:tc>
        <w:tc>
          <w:tcPr>
            <w:tcW w:w="2236" w:type="dxa"/>
            <w:tcBorders>
              <w:top w:val="single" w:sz="4" w:space="0" w:color="auto"/>
              <w:left w:val="single" w:sz="4" w:space="0" w:color="auto"/>
              <w:bottom w:val="single" w:sz="4" w:space="0" w:color="auto"/>
              <w:right w:val="single" w:sz="4" w:space="0" w:color="auto"/>
            </w:tcBorders>
          </w:tcPr>
          <w:p w14:paraId="2A59913A" w14:textId="77777777" w:rsidR="00081999" w:rsidRPr="00081999" w:rsidRDefault="00081999" w:rsidP="00081999">
            <w:pPr>
              <w:ind w:right="794"/>
              <w:jc w:val="right"/>
              <w:rPr>
                <w:rFonts w:eastAsia="Calibri"/>
                <w:sz w:val="20"/>
                <w:szCs w:val="20"/>
                <w:lang w:eastAsia="en-US"/>
              </w:rPr>
            </w:pPr>
            <w:r w:rsidRPr="00081999">
              <w:rPr>
                <w:rFonts w:eastAsia="Calibri"/>
                <w:sz w:val="20"/>
                <w:szCs w:val="20"/>
                <w:lang w:eastAsia="en-US"/>
              </w:rPr>
              <w:t>8.21</w:t>
            </w:r>
          </w:p>
        </w:tc>
      </w:tr>
      <w:tr w:rsidR="00081999" w:rsidRPr="00081999" w14:paraId="73F98601" w14:textId="77777777" w:rsidTr="00BB7F01">
        <w:trPr>
          <w:jc w:val="center"/>
        </w:trPr>
        <w:tc>
          <w:tcPr>
            <w:tcW w:w="2733" w:type="dxa"/>
            <w:tcBorders>
              <w:top w:val="single" w:sz="4" w:space="0" w:color="auto"/>
              <w:left w:val="single" w:sz="4" w:space="0" w:color="auto"/>
              <w:bottom w:val="single" w:sz="4" w:space="0" w:color="auto"/>
              <w:right w:val="single" w:sz="4" w:space="0" w:color="auto"/>
            </w:tcBorders>
          </w:tcPr>
          <w:p w14:paraId="300A836B" w14:textId="77777777" w:rsidR="00081999" w:rsidRPr="00081999" w:rsidRDefault="00081999" w:rsidP="00081999">
            <w:pPr>
              <w:rPr>
                <w:rFonts w:eastAsia="Calibri"/>
                <w:sz w:val="20"/>
                <w:szCs w:val="20"/>
                <w:lang w:eastAsia="en-US"/>
              </w:rPr>
            </w:pPr>
            <w:r w:rsidRPr="00081999">
              <w:rPr>
                <w:rFonts w:eastAsia="Calibri"/>
                <w:sz w:val="20"/>
                <w:szCs w:val="20"/>
                <w:lang w:eastAsia="en-US"/>
              </w:rPr>
              <w:t>MetLife</w:t>
            </w:r>
          </w:p>
        </w:tc>
        <w:tc>
          <w:tcPr>
            <w:tcW w:w="2236" w:type="dxa"/>
            <w:tcBorders>
              <w:top w:val="single" w:sz="4" w:space="0" w:color="auto"/>
              <w:left w:val="single" w:sz="4" w:space="0" w:color="auto"/>
              <w:bottom w:val="single" w:sz="4" w:space="0" w:color="auto"/>
              <w:right w:val="single" w:sz="4" w:space="0" w:color="auto"/>
            </w:tcBorders>
          </w:tcPr>
          <w:p w14:paraId="1E606B1A" w14:textId="77777777" w:rsidR="00081999" w:rsidRPr="00081999" w:rsidRDefault="00081999" w:rsidP="00081999">
            <w:pPr>
              <w:ind w:right="794"/>
              <w:jc w:val="right"/>
              <w:rPr>
                <w:rFonts w:eastAsia="Calibri"/>
                <w:sz w:val="20"/>
                <w:szCs w:val="20"/>
                <w:lang w:eastAsia="en-US"/>
              </w:rPr>
            </w:pPr>
            <w:r w:rsidRPr="00081999">
              <w:rPr>
                <w:rFonts w:eastAsia="Calibri"/>
                <w:sz w:val="20"/>
                <w:szCs w:val="20"/>
                <w:lang w:eastAsia="en-US"/>
              </w:rPr>
              <w:t>7.97</w:t>
            </w:r>
          </w:p>
        </w:tc>
      </w:tr>
      <w:tr w:rsidR="00081999" w:rsidRPr="00081999" w14:paraId="53519912" w14:textId="77777777" w:rsidTr="00BB7F01">
        <w:trPr>
          <w:jc w:val="center"/>
        </w:trPr>
        <w:tc>
          <w:tcPr>
            <w:tcW w:w="2733" w:type="dxa"/>
          </w:tcPr>
          <w:p w14:paraId="4696D218" w14:textId="77777777" w:rsidR="00081999" w:rsidRPr="00081999" w:rsidRDefault="00081999" w:rsidP="00081999">
            <w:pPr>
              <w:rPr>
                <w:rFonts w:eastAsia="Calibri"/>
                <w:sz w:val="20"/>
                <w:szCs w:val="20"/>
                <w:lang w:eastAsia="en-US"/>
              </w:rPr>
            </w:pPr>
            <w:r w:rsidRPr="00081999">
              <w:rPr>
                <w:rFonts w:eastAsia="Calibri"/>
                <w:sz w:val="20"/>
                <w:szCs w:val="20"/>
                <w:lang w:eastAsia="en-US"/>
              </w:rPr>
              <w:t>Invercap</w:t>
            </w:r>
          </w:p>
        </w:tc>
        <w:tc>
          <w:tcPr>
            <w:tcW w:w="2236" w:type="dxa"/>
          </w:tcPr>
          <w:p w14:paraId="2306B4C4" w14:textId="77777777" w:rsidR="00081999" w:rsidRPr="00081999" w:rsidRDefault="00081999" w:rsidP="00081999">
            <w:pPr>
              <w:ind w:right="794"/>
              <w:jc w:val="right"/>
              <w:rPr>
                <w:rFonts w:eastAsia="Calibri"/>
                <w:sz w:val="20"/>
                <w:szCs w:val="20"/>
                <w:lang w:eastAsia="en-US"/>
              </w:rPr>
            </w:pPr>
            <w:r w:rsidRPr="00081999">
              <w:rPr>
                <w:rFonts w:eastAsia="Calibri"/>
                <w:sz w:val="20"/>
                <w:szCs w:val="20"/>
                <w:lang w:eastAsia="en-US"/>
              </w:rPr>
              <w:t>7.87</w:t>
            </w:r>
          </w:p>
        </w:tc>
      </w:tr>
      <w:tr w:rsidR="00081999" w:rsidRPr="00081999" w14:paraId="7EBA4A11" w14:textId="77777777" w:rsidTr="00BB7F01">
        <w:trPr>
          <w:jc w:val="center"/>
        </w:trPr>
        <w:tc>
          <w:tcPr>
            <w:tcW w:w="2733" w:type="dxa"/>
          </w:tcPr>
          <w:p w14:paraId="7C6A2785" w14:textId="77777777" w:rsidR="00081999" w:rsidRPr="00081999" w:rsidRDefault="00081999" w:rsidP="00081999">
            <w:pPr>
              <w:rPr>
                <w:rFonts w:eastAsia="Calibri"/>
                <w:sz w:val="20"/>
                <w:szCs w:val="20"/>
                <w:lang w:eastAsia="en-US"/>
              </w:rPr>
            </w:pPr>
            <w:r w:rsidRPr="00081999">
              <w:rPr>
                <w:rFonts w:eastAsia="Calibri"/>
                <w:sz w:val="20"/>
                <w:szCs w:val="20"/>
                <w:lang w:eastAsia="en-US"/>
              </w:rPr>
              <w:t>Principal</w:t>
            </w:r>
          </w:p>
        </w:tc>
        <w:tc>
          <w:tcPr>
            <w:tcW w:w="2236" w:type="dxa"/>
          </w:tcPr>
          <w:p w14:paraId="0F7B0D4F" w14:textId="77777777" w:rsidR="00081999" w:rsidRPr="00081999" w:rsidRDefault="00081999" w:rsidP="00081999">
            <w:pPr>
              <w:ind w:right="794"/>
              <w:jc w:val="right"/>
              <w:rPr>
                <w:rFonts w:eastAsia="Calibri"/>
                <w:sz w:val="20"/>
                <w:szCs w:val="20"/>
                <w:lang w:eastAsia="en-US"/>
              </w:rPr>
            </w:pPr>
            <w:r w:rsidRPr="00081999">
              <w:rPr>
                <w:rFonts w:eastAsia="Calibri"/>
                <w:sz w:val="20"/>
                <w:szCs w:val="20"/>
                <w:lang w:eastAsia="en-US"/>
              </w:rPr>
              <w:t>7.51</w:t>
            </w:r>
          </w:p>
        </w:tc>
      </w:tr>
      <w:tr w:rsidR="00081999" w:rsidRPr="00081999" w14:paraId="7DD545DF" w14:textId="77777777" w:rsidTr="00BB7F01">
        <w:trPr>
          <w:jc w:val="center"/>
        </w:trPr>
        <w:tc>
          <w:tcPr>
            <w:tcW w:w="2733" w:type="dxa"/>
          </w:tcPr>
          <w:p w14:paraId="4BB85B1F" w14:textId="77777777" w:rsidR="00081999" w:rsidRPr="00081999" w:rsidRDefault="00081999" w:rsidP="00081999">
            <w:pPr>
              <w:rPr>
                <w:rFonts w:eastAsia="Calibri"/>
                <w:sz w:val="20"/>
                <w:szCs w:val="20"/>
                <w:lang w:eastAsia="en-US"/>
              </w:rPr>
            </w:pPr>
            <w:r w:rsidRPr="00081999">
              <w:rPr>
                <w:rFonts w:eastAsia="Calibri"/>
                <w:sz w:val="20"/>
                <w:szCs w:val="20"/>
                <w:lang w:eastAsia="en-US"/>
              </w:rPr>
              <w:t>Azteca</w:t>
            </w:r>
          </w:p>
        </w:tc>
        <w:tc>
          <w:tcPr>
            <w:tcW w:w="2236" w:type="dxa"/>
          </w:tcPr>
          <w:p w14:paraId="7A8C924B" w14:textId="77777777" w:rsidR="00081999" w:rsidRPr="00081999" w:rsidRDefault="00081999" w:rsidP="00081999">
            <w:pPr>
              <w:ind w:right="794"/>
              <w:jc w:val="right"/>
              <w:rPr>
                <w:rFonts w:eastAsia="Calibri"/>
                <w:sz w:val="20"/>
                <w:szCs w:val="20"/>
                <w:lang w:eastAsia="en-US"/>
              </w:rPr>
            </w:pPr>
            <w:r w:rsidRPr="00081999">
              <w:rPr>
                <w:rFonts w:eastAsia="Calibri"/>
                <w:sz w:val="20"/>
                <w:szCs w:val="20"/>
                <w:lang w:eastAsia="en-US"/>
              </w:rPr>
              <w:t>6.92</w:t>
            </w:r>
          </w:p>
        </w:tc>
      </w:tr>
      <w:tr w:rsidR="00081999" w:rsidRPr="00081999" w14:paraId="4A3F9851" w14:textId="77777777" w:rsidTr="00BB7F01">
        <w:trPr>
          <w:jc w:val="center"/>
        </w:trPr>
        <w:tc>
          <w:tcPr>
            <w:tcW w:w="2733" w:type="dxa"/>
          </w:tcPr>
          <w:p w14:paraId="79E67B50" w14:textId="77777777" w:rsidR="00081999" w:rsidRPr="00081999" w:rsidRDefault="00081999" w:rsidP="00081999">
            <w:pPr>
              <w:rPr>
                <w:rFonts w:eastAsia="Calibri"/>
                <w:sz w:val="20"/>
                <w:szCs w:val="20"/>
                <w:lang w:eastAsia="en-US"/>
              </w:rPr>
            </w:pPr>
            <w:r w:rsidRPr="00081999">
              <w:rPr>
                <w:rFonts w:eastAsia="Calibri"/>
                <w:sz w:val="20"/>
                <w:szCs w:val="20"/>
                <w:lang w:eastAsia="en-US"/>
              </w:rPr>
              <w:t>Coppel</w:t>
            </w:r>
          </w:p>
        </w:tc>
        <w:tc>
          <w:tcPr>
            <w:tcW w:w="2236" w:type="dxa"/>
          </w:tcPr>
          <w:p w14:paraId="1A159D48" w14:textId="77777777" w:rsidR="00081999" w:rsidRPr="00081999" w:rsidRDefault="00081999" w:rsidP="00081999">
            <w:pPr>
              <w:ind w:right="794"/>
              <w:jc w:val="right"/>
              <w:rPr>
                <w:rFonts w:eastAsia="Calibri"/>
                <w:sz w:val="20"/>
                <w:szCs w:val="20"/>
                <w:lang w:eastAsia="en-US"/>
              </w:rPr>
            </w:pPr>
            <w:r w:rsidRPr="00081999">
              <w:rPr>
                <w:rFonts w:eastAsia="Calibri"/>
                <w:sz w:val="20"/>
                <w:szCs w:val="20"/>
                <w:lang w:eastAsia="en-US"/>
              </w:rPr>
              <w:t>6.85</w:t>
            </w:r>
          </w:p>
        </w:tc>
      </w:tr>
      <w:tr w:rsidR="00081999" w:rsidRPr="00081999" w14:paraId="04795C9F" w14:textId="77777777" w:rsidTr="00BB7F01">
        <w:trPr>
          <w:jc w:val="center"/>
        </w:trPr>
        <w:tc>
          <w:tcPr>
            <w:tcW w:w="2733" w:type="dxa"/>
          </w:tcPr>
          <w:p w14:paraId="04C32802" w14:textId="77777777" w:rsidR="00081999" w:rsidRPr="00081999" w:rsidRDefault="00081999" w:rsidP="00081999">
            <w:pPr>
              <w:rPr>
                <w:rFonts w:eastAsia="Calibri"/>
                <w:sz w:val="20"/>
                <w:szCs w:val="20"/>
                <w:lang w:eastAsia="en-US"/>
              </w:rPr>
            </w:pPr>
            <w:r w:rsidRPr="00081999">
              <w:rPr>
                <w:rFonts w:eastAsia="Calibri"/>
                <w:sz w:val="20"/>
                <w:szCs w:val="20"/>
                <w:lang w:eastAsia="en-US"/>
              </w:rPr>
              <w:t>Inbursa</w:t>
            </w:r>
          </w:p>
        </w:tc>
        <w:tc>
          <w:tcPr>
            <w:tcW w:w="2236" w:type="dxa"/>
          </w:tcPr>
          <w:p w14:paraId="4DE27A44" w14:textId="77777777" w:rsidR="00081999" w:rsidRPr="00081999" w:rsidRDefault="00081999" w:rsidP="00081999">
            <w:pPr>
              <w:ind w:right="794"/>
              <w:jc w:val="right"/>
              <w:rPr>
                <w:rFonts w:eastAsia="Calibri"/>
                <w:sz w:val="20"/>
                <w:szCs w:val="20"/>
                <w:lang w:eastAsia="en-US"/>
              </w:rPr>
            </w:pPr>
            <w:r w:rsidRPr="00081999">
              <w:rPr>
                <w:rFonts w:eastAsia="Calibri"/>
                <w:sz w:val="20"/>
                <w:szCs w:val="20"/>
                <w:lang w:eastAsia="en-US"/>
              </w:rPr>
              <w:t>4.93</w:t>
            </w:r>
          </w:p>
        </w:tc>
      </w:tr>
      <w:tr w:rsidR="00081999" w:rsidRPr="00081999" w14:paraId="0AB5F285" w14:textId="77777777" w:rsidTr="00BB7F01">
        <w:trPr>
          <w:jc w:val="center"/>
        </w:trPr>
        <w:tc>
          <w:tcPr>
            <w:tcW w:w="2733" w:type="dxa"/>
          </w:tcPr>
          <w:p w14:paraId="3EE2F20A" w14:textId="77777777" w:rsidR="00081999" w:rsidRPr="00081999" w:rsidRDefault="00081999" w:rsidP="00081999">
            <w:pPr>
              <w:rPr>
                <w:rFonts w:eastAsia="Calibri"/>
                <w:b/>
                <w:sz w:val="20"/>
                <w:szCs w:val="20"/>
                <w:lang w:eastAsia="en-US"/>
              </w:rPr>
            </w:pPr>
            <w:r w:rsidRPr="00081999">
              <w:rPr>
                <w:rFonts w:eastAsia="Calibri"/>
                <w:b/>
                <w:sz w:val="20"/>
                <w:szCs w:val="20"/>
                <w:lang w:eastAsia="en-US"/>
              </w:rPr>
              <w:t>Promedio Simple</w:t>
            </w:r>
          </w:p>
        </w:tc>
        <w:tc>
          <w:tcPr>
            <w:tcW w:w="2236" w:type="dxa"/>
          </w:tcPr>
          <w:p w14:paraId="236C3EE7" w14:textId="77777777" w:rsidR="00081999" w:rsidRPr="00081999" w:rsidRDefault="00081999" w:rsidP="00081999">
            <w:pPr>
              <w:ind w:right="794"/>
              <w:jc w:val="right"/>
              <w:rPr>
                <w:rFonts w:eastAsia="Calibri"/>
                <w:b/>
                <w:sz w:val="20"/>
                <w:szCs w:val="20"/>
                <w:lang w:eastAsia="en-US"/>
              </w:rPr>
            </w:pPr>
            <w:r w:rsidRPr="00081999">
              <w:rPr>
                <w:rFonts w:eastAsia="Calibri"/>
                <w:b/>
                <w:sz w:val="20"/>
                <w:szCs w:val="20"/>
                <w:lang w:eastAsia="en-US"/>
              </w:rPr>
              <w:t>7.83</w:t>
            </w:r>
          </w:p>
        </w:tc>
      </w:tr>
      <w:tr w:rsidR="00081999" w:rsidRPr="00081999" w14:paraId="0A29C1FB" w14:textId="77777777" w:rsidTr="00BB7F01">
        <w:trPr>
          <w:jc w:val="center"/>
        </w:trPr>
        <w:tc>
          <w:tcPr>
            <w:tcW w:w="2733" w:type="dxa"/>
            <w:tcBorders>
              <w:bottom w:val="single" w:sz="4" w:space="0" w:color="auto"/>
            </w:tcBorders>
          </w:tcPr>
          <w:p w14:paraId="0125A08D" w14:textId="77777777" w:rsidR="00081999" w:rsidRPr="00081999" w:rsidRDefault="00081999" w:rsidP="00081999">
            <w:pPr>
              <w:rPr>
                <w:rFonts w:eastAsia="Calibri"/>
                <w:b/>
                <w:sz w:val="20"/>
                <w:szCs w:val="20"/>
                <w:lang w:eastAsia="en-US"/>
              </w:rPr>
            </w:pPr>
            <w:r w:rsidRPr="00081999">
              <w:rPr>
                <w:rFonts w:eastAsia="Calibri"/>
                <w:b/>
                <w:sz w:val="20"/>
                <w:szCs w:val="20"/>
                <w:lang w:eastAsia="en-US"/>
              </w:rPr>
              <w:t>Promedio Ponderado</w:t>
            </w:r>
          </w:p>
        </w:tc>
        <w:tc>
          <w:tcPr>
            <w:tcW w:w="2236" w:type="dxa"/>
            <w:tcBorders>
              <w:bottom w:val="single" w:sz="4" w:space="0" w:color="auto"/>
            </w:tcBorders>
          </w:tcPr>
          <w:p w14:paraId="1B8CF899" w14:textId="77777777" w:rsidR="00081999" w:rsidRPr="00081999" w:rsidRDefault="00081999" w:rsidP="00081999">
            <w:pPr>
              <w:ind w:right="794"/>
              <w:jc w:val="right"/>
              <w:rPr>
                <w:rFonts w:eastAsia="Calibri"/>
                <w:b/>
                <w:sz w:val="20"/>
                <w:szCs w:val="20"/>
                <w:lang w:eastAsia="en-US"/>
              </w:rPr>
            </w:pPr>
            <w:r w:rsidRPr="00081999">
              <w:rPr>
                <w:rFonts w:eastAsia="Calibri"/>
                <w:b/>
                <w:sz w:val="20"/>
                <w:szCs w:val="20"/>
                <w:lang w:eastAsia="en-US"/>
              </w:rPr>
              <w:t>8.25</w:t>
            </w:r>
          </w:p>
        </w:tc>
      </w:tr>
      <w:tr w:rsidR="00081999" w:rsidRPr="00081999" w14:paraId="5932BDD8" w14:textId="77777777" w:rsidTr="00BB7F01">
        <w:trPr>
          <w:jc w:val="center"/>
        </w:trPr>
        <w:tc>
          <w:tcPr>
            <w:tcW w:w="4969" w:type="dxa"/>
            <w:gridSpan w:val="2"/>
            <w:tcBorders>
              <w:left w:val="nil"/>
              <w:bottom w:val="nil"/>
              <w:right w:val="nil"/>
            </w:tcBorders>
          </w:tcPr>
          <w:p w14:paraId="7F03623B" w14:textId="77777777" w:rsidR="00081999" w:rsidRPr="00081999" w:rsidRDefault="00081999" w:rsidP="00081999">
            <w:pPr>
              <w:ind w:left="170" w:hanging="170"/>
              <w:jc w:val="both"/>
              <w:rPr>
                <w:rFonts w:eastAsia="Times New Roman"/>
                <w:sz w:val="20"/>
                <w:szCs w:val="20"/>
              </w:rPr>
            </w:pPr>
            <w:r w:rsidRPr="00081999">
              <w:rPr>
                <w:rFonts w:eastAsia="Times New Roman"/>
                <w:sz w:val="20"/>
                <w:szCs w:val="20"/>
              </w:rPr>
              <w:t>* Es el promedio ponderado, por los activos administrados, de los rendimientos netos de las Siefores Básicas.</w:t>
            </w:r>
          </w:p>
          <w:p w14:paraId="3FDC61CA" w14:textId="77777777" w:rsidR="00081999" w:rsidRPr="00081999" w:rsidRDefault="00081999" w:rsidP="00081999">
            <w:pPr>
              <w:ind w:left="539" w:hanging="539"/>
              <w:jc w:val="both"/>
              <w:rPr>
                <w:rFonts w:eastAsia="Times New Roman"/>
                <w:sz w:val="20"/>
                <w:szCs w:val="20"/>
              </w:rPr>
            </w:pPr>
            <w:r w:rsidRPr="00081999">
              <w:rPr>
                <w:rFonts w:eastAsia="Times New Roman"/>
                <w:sz w:val="20"/>
                <w:szCs w:val="20"/>
              </w:rPr>
              <w:t>Nota: Los Indicadores de Rendimiento Neto incluyen la deducción de las Comisiones aplicables.</w:t>
            </w:r>
          </w:p>
          <w:p w14:paraId="04A05748" w14:textId="77777777" w:rsidR="00081999" w:rsidRPr="00081999" w:rsidRDefault="00081999" w:rsidP="00081999">
            <w:pPr>
              <w:ind w:left="539"/>
              <w:jc w:val="both"/>
              <w:rPr>
                <w:rFonts w:eastAsia="Times New Roman"/>
                <w:sz w:val="20"/>
                <w:szCs w:val="20"/>
              </w:rPr>
            </w:pPr>
            <w:r w:rsidRPr="00081999">
              <w:rPr>
                <w:rFonts w:eastAsia="Times New Roman"/>
                <w:sz w:val="20"/>
                <w:szCs w:val="20"/>
              </w:rPr>
              <w:t>Este indicador refleja el desempeño obtenido consistentemente por las inversiones en cada Siefore e indica que las decisiones de traspaso pueden resultar convenientes para los trabajadores.</w:t>
            </w:r>
          </w:p>
          <w:p w14:paraId="164110EB" w14:textId="77777777" w:rsidR="00081999" w:rsidRPr="00081999" w:rsidRDefault="00081999" w:rsidP="00081999">
            <w:pPr>
              <w:jc w:val="both"/>
              <w:rPr>
                <w:rFonts w:eastAsia="Times New Roman"/>
                <w:sz w:val="20"/>
                <w:szCs w:val="20"/>
              </w:rPr>
            </w:pPr>
            <w:r w:rsidRPr="00081999">
              <w:rPr>
                <w:rFonts w:eastAsia="Times New Roman"/>
                <w:sz w:val="20"/>
                <w:szCs w:val="20"/>
              </w:rPr>
              <w:t>FUENTE: Consar.</w:t>
            </w:r>
          </w:p>
        </w:tc>
      </w:tr>
    </w:tbl>
    <w:p w14:paraId="0AA9E356" w14:textId="77777777" w:rsidR="00081999" w:rsidRPr="00081999" w:rsidRDefault="00081999" w:rsidP="00081999">
      <w:pPr>
        <w:rPr>
          <w:sz w:val="20"/>
          <w:szCs w:val="20"/>
        </w:rPr>
      </w:pPr>
    </w:p>
    <w:p w14:paraId="328301E1" w14:textId="77777777" w:rsidR="00081999" w:rsidRPr="00081999" w:rsidRDefault="00081999" w:rsidP="00081999">
      <w:pPr>
        <w:rPr>
          <w:sz w:val="20"/>
          <w:szCs w:val="20"/>
        </w:rPr>
      </w:pPr>
    </w:p>
    <w:p w14:paraId="66EBF1F2" w14:textId="77777777" w:rsidR="00081999" w:rsidRPr="00081999" w:rsidRDefault="00081999" w:rsidP="00081999"/>
    <w:p w14:paraId="04ADCF9F" w14:textId="77777777" w:rsidR="00081999" w:rsidRPr="00081999" w:rsidRDefault="00081999" w:rsidP="00081999"/>
    <w:p w14:paraId="1B02C029" w14:textId="77777777" w:rsidR="00081999" w:rsidRPr="00081999" w:rsidRDefault="00081999" w:rsidP="00081999"/>
    <w:p w14:paraId="53929D9D" w14:textId="77777777" w:rsidR="00081999" w:rsidRPr="00081999" w:rsidRDefault="00081999" w:rsidP="00081999"/>
    <w:p w14:paraId="3AB57D22" w14:textId="77777777" w:rsidR="00081999" w:rsidRPr="00081999" w:rsidRDefault="00081999" w:rsidP="00081999"/>
    <w:p w14:paraId="5F8E46CF" w14:textId="77777777" w:rsidR="00081999" w:rsidRPr="00081999" w:rsidRDefault="00081999" w:rsidP="00081999"/>
    <w:p w14:paraId="703F5BA6" w14:textId="77777777" w:rsidR="00081999" w:rsidRPr="00081999" w:rsidRDefault="00081999" w:rsidP="00081999"/>
    <w:p w14:paraId="49ABD116" w14:textId="77777777" w:rsidR="00081999" w:rsidRPr="00081999" w:rsidRDefault="00081999" w:rsidP="00081999"/>
    <w:p w14:paraId="5F81147A" w14:textId="77777777" w:rsidR="00081999" w:rsidRPr="00081999" w:rsidRDefault="00081999" w:rsidP="00081999"/>
    <w:p w14:paraId="75FB8434" w14:textId="77777777" w:rsidR="00081999" w:rsidRPr="00081999" w:rsidRDefault="00081999" w:rsidP="00081999"/>
    <w:p w14:paraId="4D0BB0B5" w14:textId="77777777" w:rsidR="00081999" w:rsidRPr="00081999" w:rsidRDefault="00081999" w:rsidP="00081999"/>
    <w:p w14:paraId="5486E64C" w14:textId="77777777" w:rsidR="00081999" w:rsidRPr="00081999" w:rsidRDefault="00081999" w:rsidP="00081999"/>
    <w:p w14:paraId="563DC394" w14:textId="77777777" w:rsidR="00081999" w:rsidRPr="00081999" w:rsidRDefault="00081999" w:rsidP="00081999"/>
    <w:p w14:paraId="1A84FA08" w14:textId="77777777" w:rsidR="00081999" w:rsidRDefault="00081999" w:rsidP="00081999"/>
    <w:p w14:paraId="25CC6D93" w14:textId="77777777" w:rsidR="00871DFE" w:rsidRPr="00081999" w:rsidRDefault="00871DFE" w:rsidP="00081999"/>
    <w:p w14:paraId="7A78C2A5" w14:textId="77777777" w:rsidR="00081999" w:rsidRPr="00081999" w:rsidRDefault="00081999" w:rsidP="00081999"/>
    <w:p w14:paraId="05D0278F" w14:textId="77777777" w:rsidR="00081999" w:rsidRPr="00081999" w:rsidRDefault="00081999" w:rsidP="0008199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733"/>
        <w:gridCol w:w="2236"/>
      </w:tblGrid>
      <w:tr w:rsidR="00081999" w:rsidRPr="00081999" w14:paraId="7D8758D0" w14:textId="77777777" w:rsidTr="00BB7F01">
        <w:trPr>
          <w:jc w:val="center"/>
        </w:trPr>
        <w:tc>
          <w:tcPr>
            <w:tcW w:w="4969" w:type="dxa"/>
            <w:gridSpan w:val="2"/>
            <w:tcBorders>
              <w:top w:val="nil"/>
              <w:left w:val="nil"/>
              <w:right w:val="nil"/>
            </w:tcBorders>
            <w:vAlign w:val="center"/>
          </w:tcPr>
          <w:p w14:paraId="1D8A56EB" w14:textId="77777777" w:rsidR="00081999" w:rsidRPr="00081999" w:rsidRDefault="00081999" w:rsidP="00081999">
            <w:pPr>
              <w:jc w:val="center"/>
              <w:rPr>
                <w:rFonts w:eastAsia="Times New Roman"/>
                <w:b/>
              </w:rPr>
            </w:pPr>
            <w:r w:rsidRPr="00081999">
              <w:rPr>
                <w:rFonts w:eastAsia="Times New Roman"/>
                <w:b/>
                <w:sz w:val="22"/>
                <w:szCs w:val="22"/>
              </w:rPr>
              <w:t>A MAYOR RENDIMIENTO NETO, MAYOR PENSIÓN</w:t>
            </w:r>
          </w:p>
          <w:p w14:paraId="5F35312A" w14:textId="77777777" w:rsidR="00081999" w:rsidRPr="00081999" w:rsidRDefault="00081999" w:rsidP="00081999">
            <w:pPr>
              <w:jc w:val="center"/>
              <w:rPr>
                <w:rFonts w:eastAsia="Times New Roman"/>
                <w:b/>
              </w:rPr>
            </w:pPr>
            <w:r w:rsidRPr="00081999">
              <w:rPr>
                <w:rFonts w:eastAsia="Times New Roman"/>
                <w:b/>
                <w:sz w:val="22"/>
                <w:szCs w:val="22"/>
              </w:rPr>
              <w:t xml:space="preserve">Siefore Básica 1 </w:t>
            </w:r>
          </w:p>
          <w:p w14:paraId="16ABF027" w14:textId="77777777" w:rsidR="00081999" w:rsidRPr="00081999" w:rsidRDefault="00081999" w:rsidP="00081999">
            <w:pPr>
              <w:jc w:val="center"/>
              <w:rPr>
                <w:rFonts w:eastAsia="Times New Roman"/>
                <w:b/>
              </w:rPr>
            </w:pPr>
            <w:r w:rsidRPr="00081999">
              <w:rPr>
                <w:rFonts w:eastAsia="Times New Roman"/>
                <w:b/>
                <w:sz w:val="22"/>
                <w:szCs w:val="22"/>
              </w:rPr>
              <w:t>(Para personas de 60 años y mayores)</w:t>
            </w:r>
          </w:p>
          <w:p w14:paraId="5D28BE1D" w14:textId="77777777" w:rsidR="00081999" w:rsidRPr="00081999" w:rsidRDefault="00081999" w:rsidP="00081999">
            <w:pPr>
              <w:jc w:val="center"/>
              <w:rPr>
                <w:rFonts w:eastAsia="Times New Roman"/>
                <w:b/>
                <w:sz w:val="22"/>
                <w:szCs w:val="22"/>
              </w:rPr>
            </w:pPr>
            <w:r w:rsidRPr="00081999">
              <w:rPr>
                <w:rFonts w:eastAsia="Times New Roman"/>
                <w:b/>
                <w:sz w:val="22"/>
                <w:szCs w:val="22"/>
              </w:rPr>
              <w:t>-Cifras porcentuales al cierre de</w:t>
            </w:r>
          </w:p>
          <w:p w14:paraId="7F125658" w14:textId="77777777" w:rsidR="00081999" w:rsidRPr="00081999" w:rsidRDefault="00081999" w:rsidP="00081999">
            <w:pPr>
              <w:jc w:val="center"/>
              <w:rPr>
                <w:rFonts w:eastAsia="Times New Roman"/>
                <w:b/>
              </w:rPr>
            </w:pPr>
            <w:r w:rsidRPr="00081999">
              <w:rPr>
                <w:rFonts w:eastAsia="Times New Roman"/>
                <w:b/>
                <w:sz w:val="22"/>
                <w:szCs w:val="22"/>
              </w:rPr>
              <w:t>febrero de 2015-</w:t>
            </w:r>
          </w:p>
        </w:tc>
      </w:tr>
      <w:tr w:rsidR="00081999" w:rsidRPr="00081999" w14:paraId="26C32C53" w14:textId="77777777" w:rsidTr="00BB7F01">
        <w:trPr>
          <w:jc w:val="center"/>
        </w:trPr>
        <w:tc>
          <w:tcPr>
            <w:tcW w:w="4969" w:type="dxa"/>
            <w:gridSpan w:val="2"/>
            <w:vAlign w:val="center"/>
          </w:tcPr>
          <w:p w14:paraId="4C6724AA" w14:textId="77777777" w:rsidR="00081999" w:rsidRPr="00081999" w:rsidRDefault="00081999" w:rsidP="00081999">
            <w:pPr>
              <w:jc w:val="center"/>
              <w:rPr>
                <w:rFonts w:eastAsia="Times New Roman"/>
                <w:b/>
                <w:sz w:val="20"/>
                <w:szCs w:val="20"/>
              </w:rPr>
            </w:pPr>
            <w:r w:rsidRPr="00081999">
              <w:rPr>
                <w:rFonts w:eastAsia="Times New Roman"/>
                <w:b/>
                <w:sz w:val="20"/>
                <w:szCs w:val="20"/>
              </w:rPr>
              <w:t>INDICADOR DE RENDIMIENTO NETO</w:t>
            </w:r>
          </w:p>
          <w:p w14:paraId="2BF66666" w14:textId="77777777" w:rsidR="00081999" w:rsidRPr="00081999" w:rsidRDefault="00081999" w:rsidP="00081999">
            <w:pPr>
              <w:jc w:val="center"/>
              <w:rPr>
                <w:rFonts w:eastAsia="Times New Roman"/>
                <w:b/>
                <w:sz w:val="20"/>
                <w:szCs w:val="20"/>
              </w:rPr>
            </w:pPr>
            <w:r w:rsidRPr="00081999">
              <w:rPr>
                <w:rFonts w:eastAsia="Times New Roman"/>
                <w:b/>
                <w:sz w:val="20"/>
                <w:szCs w:val="20"/>
              </w:rPr>
              <w:t>(53 MESES)</w:t>
            </w:r>
          </w:p>
        </w:tc>
      </w:tr>
      <w:tr w:rsidR="00081999" w:rsidRPr="00081999" w14:paraId="41280B25" w14:textId="77777777" w:rsidTr="00BB7F01">
        <w:trPr>
          <w:jc w:val="center"/>
        </w:trPr>
        <w:tc>
          <w:tcPr>
            <w:tcW w:w="2733" w:type="dxa"/>
            <w:vAlign w:val="center"/>
          </w:tcPr>
          <w:p w14:paraId="28883AC1" w14:textId="77777777" w:rsidR="00081999" w:rsidRPr="00081999" w:rsidRDefault="00081999" w:rsidP="00081999">
            <w:pPr>
              <w:jc w:val="center"/>
              <w:rPr>
                <w:rFonts w:eastAsia="Times New Roman"/>
                <w:b/>
                <w:sz w:val="20"/>
                <w:szCs w:val="20"/>
              </w:rPr>
            </w:pPr>
            <w:r w:rsidRPr="00081999">
              <w:rPr>
                <w:rFonts w:eastAsia="Times New Roman"/>
                <w:b/>
                <w:sz w:val="20"/>
                <w:szCs w:val="20"/>
              </w:rPr>
              <w:t>Afores</w:t>
            </w:r>
          </w:p>
        </w:tc>
        <w:tc>
          <w:tcPr>
            <w:tcW w:w="2236" w:type="dxa"/>
            <w:vAlign w:val="center"/>
          </w:tcPr>
          <w:p w14:paraId="0D42C659" w14:textId="77777777" w:rsidR="00081999" w:rsidRPr="00081999" w:rsidRDefault="00081999" w:rsidP="00081999">
            <w:pPr>
              <w:jc w:val="center"/>
              <w:rPr>
                <w:rFonts w:eastAsia="Times New Roman"/>
                <w:b/>
                <w:sz w:val="20"/>
                <w:szCs w:val="20"/>
              </w:rPr>
            </w:pPr>
            <w:r w:rsidRPr="00081999">
              <w:rPr>
                <w:rFonts w:eastAsia="Times New Roman"/>
                <w:b/>
                <w:sz w:val="20"/>
                <w:szCs w:val="20"/>
              </w:rPr>
              <w:t>Rendimiento</w:t>
            </w:r>
          </w:p>
          <w:p w14:paraId="55BFFBB4" w14:textId="77777777" w:rsidR="00081999" w:rsidRPr="00081999" w:rsidRDefault="00081999" w:rsidP="00081999">
            <w:pPr>
              <w:jc w:val="center"/>
              <w:rPr>
                <w:rFonts w:eastAsia="Times New Roman"/>
                <w:b/>
                <w:sz w:val="20"/>
                <w:szCs w:val="20"/>
              </w:rPr>
            </w:pPr>
            <w:r w:rsidRPr="00081999">
              <w:rPr>
                <w:rFonts w:eastAsia="Times New Roman"/>
                <w:b/>
                <w:sz w:val="20"/>
                <w:szCs w:val="20"/>
              </w:rPr>
              <w:t>Neto</w:t>
            </w:r>
          </w:p>
        </w:tc>
      </w:tr>
      <w:tr w:rsidR="00081999" w:rsidRPr="00081999" w14:paraId="00CDA6E3" w14:textId="77777777" w:rsidTr="00BB7F01">
        <w:trPr>
          <w:jc w:val="center"/>
        </w:trPr>
        <w:tc>
          <w:tcPr>
            <w:tcW w:w="2733" w:type="dxa"/>
          </w:tcPr>
          <w:p w14:paraId="384073B7" w14:textId="77777777" w:rsidR="00081999" w:rsidRPr="00081999" w:rsidRDefault="00081999" w:rsidP="00081999">
            <w:pPr>
              <w:jc w:val="both"/>
              <w:rPr>
                <w:rFonts w:eastAsia="Times New Roman"/>
                <w:sz w:val="20"/>
                <w:szCs w:val="20"/>
              </w:rPr>
            </w:pPr>
            <w:r w:rsidRPr="00081999">
              <w:rPr>
                <w:rFonts w:eastAsia="Times New Roman"/>
                <w:sz w:val="20"/>
                <w:szCs w:val="20"/>
              </w:rPr>
              <w:t>PensionISSSTE</w:t>
            </w:r>
          </w:p>
        </w:tc>
        <w:tc>
          <w:tcPr>
            <w:tcW w:w="2236" w:type="dxa"/>
          </w:tcPr>
          <w:p w14:paraId="1BA41531" w14:textId="77777777" w:rsidR="00081999" w:rsidRPr="00081999" w:rsidRDefault="00081999" w:rsidP="00081999">
            <w:pPr>
              <w:jc w:val="center"/>
              <w:rPr>
                <w:rFonts w:eastAsia="Times New Roman"/>
                <w:sz w:val="20"/>
                <w:szCs w:val="20"/>
              </w:rPr>
            </w:pPr>
            <w:r w:rsidRPr="00081999">
              <w:rPr>
                <w:rFonts w:eastAsia="Times New Roman"/>
                <w:sz w:val="20"/>
                <w:szCs w:val="20"/>
              </w:rPr>
              <w:t>7.46</w:t>
            </w:r>
          </w:p>
        </w:tc>
      </w:tr>
      <w:tr w:rsidR="00081999" w:rsidRPr="00081999" w14:paraId="6DD78E00" w14:textId="77777777" w:rsidTr="00BB7F01">
        <w:trPr>
          <w:jc w:val="center"/>
        </w:trPr>
        <w:tc>
          <w:tcPr>
            <w:tcW w:w="2733" w:type="dxa"/>
          </w:tcPr>
          <w:p w14:paraId="6C87FAC6" w14:textId="77777777" w:rsidR="00081999" w:rsidRPr="00081999" w:rsidRDefault="00081999" w:rsidP="00081999">
            <w:pPr>
              <w:rPr>
                <w:rFonts w:eastAsia="Times New Roman"/>
                <w:sz w:val="20"/>
                <w:szCs w:val="20"/>
              </w:rPr>
            </w:pPr>
            <w:r w:rsidRPr="00081999">
              <w:rPr>
                <w:rFonts w:eastAsia="Times New Roman"/>
                <w:sz w:val="20"/>
                <w:szCs w:val="20"/>
              </w:rPr>
              <w:t>Invercap</w:t>
            </w:r>
          </w:p>
        </w:tc>
        <w:tc>
          <w:tcPr>
            <w:tcW w:w="2236" w:type="dxa"/>
          </w:tcPr>
          <w:p w14:paraId="37AC737F" w14:textId="77777777" w:rsidR="00081999" w:rsidRPr="00081999" w:rsidRDefault="00081999" w:rsidP="00081999">
            <w:pPr>
              <w:jc w:val="center"/>
              <w:rPr>
                <w:rFonts w:eastAsia="Times New Roman"/>
                <w:sz w:val="20"/>
                <w:szCs w:val="20"/>
              </w:rPr>
            </w:pPr>
            <w:r w:rsidRPr="00081999">
              <w:rPr>
                <w:rFonts w:eastAsia="Times New Roman"/>
                <w:sz w:val="20"/>
                <w:szCs w:val="20"/>
              </w:rPr>
              <w:t>7.03</w:t>
            </w:r>
          </w:p>
        </w:tc>
      </w:tr>
      <w:tr w:rsidR="00081999" w:rsidRPr="00081999" w14:paraId="5229CF3B" w14:textId="77777777" w:rsidTr="00BB7F01">
        <w:trPr>
          <w:jc w:val="center"/>
        </w:trPr>
        <w:tc>
          <w:tcPr>
            <w:tcW w:w="2733" w:type="dxa"/>
          </w:tcPr>
          <w:p w14:paraId="016F7F0E" w14:textId="77777777" w:rsidR="00081999" w:rsidRPr="00081999" w:rsidRDefault="00081999" w:rsidP="00081999">
            <w:pPr>
              <w:rPr>
                <w:rFonts w:eastAsia="Times New Roman"/>
                <w:sz w:val="20"/>
                <w:szCs w:val="20"/>
              </w:rPr>
            </w:pPr>
            <w:r w:rsidRPr="00081999">
              <w:rPr>
                <w:rFonts w:eastAsia="Times New Roman"/>
                <w:sz w:val="20"/>
                <w:szCs w:val="20"/>
              </w:rPr>
              <w:t>SURA</w:t>
            </w:r>
          </w:p>
        </w:tc>
        <w:tc>
          <w:tcPr>
            <w:tcW w:w="2236" w:type="dxa"/>
          </w:tcPr>
          <w:p w14:paraId="2D69E2AD" w14:textId="77777777" w:rsidR="00081999" w:rsidRPr="00081999" w:rsidRDefault="00081999" w:rsidP="00081999">
            <w:pPr>
              <w:jc w:val="center"/>
              <w:rPr>
                <w:rFonts w:eastAsia="Times New Roman"/>
                <w:sz w:val="20"/>
                <w:szCs w:val="20"/>
              </w:rPr>
            </w:pPr>
            <w:r w:rsidRPr="00081999">
              <w:rPr>
                <w:rFonts w:eastAsia="Times New Roman"/>
                <w:sz w:val="20"/>
                <w:szCs w:val="20"/>
              </w:rPr>
              <w:t>6.96</w:t>
            </w:r>
          </w:p>
        </w:tc>
      </w:tr>
      <w:tr w:rsidR="00081999" w:rsidRPr="00081999" w14:paraId="385D0DF2" w14:textId="77777777" w:rsidTr="00BB7F01">
        <w:trPr>
          <w:jc w:val="center"/>
        </w:trPr>
        <w:tc>
          <w:tcPr>
            <w:tcW w:w="2733" w:type="dxa"/>
          </w:tcPr>
          <w:p w14:paraId="28FFDB3F" w14:textId="77777777" w:rsidR="00081999" w:rsidRPr="00081999" w:rsidRDefault="00081999" w:rsidP="00081999">
            <w:pPr>
              <w:rPr>
                <w:rFonts w:eastAsia="Times New Roman"/>
                <w:sz w:val="20"/>
                <w:szCs w:val="20"/>
              </w:rPr>
            </w:pPr>
            <w:r w:rsidRPr="00081999">
              <w:rPr>
                <w:rFonts w:eastAsia="Times New Roman"/>
                <w:sz w:val="20"/>
                <w:szCs w:val="20"/>
              </w:rPr>
              <w:t>Profuturo GNP</w:t>
            </w:r>
          </w:p>
        </w:tc>
        <w:tc>
          <w:tcPr>
            <w:tcW w:w="2236" w:type="dxa"/>
          </w:tcPr>
          <w:p w14:paraId="7A8AC2B8" w14:textId="77777777" w:rsidR="00081999" w:rsidRPr="00081999" w:rsidRDefault="00081999" w:rsidP="00081999">
            <w:pPr>
              <w:jc w:val="center"/>
              <w:rPr>
                <w:rFonts w:eastAsia="Times New Roman"/>
                <w:sz w:val="20"/>
                <w:szCs w:val="20"/>
              </w:rPr>
            </w:pPr>
            <w:r w:rsidRPr="00081999">
              <w:rPr>
                <w:rFonts w:eastAsia="Times New Roman"/>
                <w:sz w:val="20"/>
                <w:szCs w:val="20"/>
              </w:rPr>
              <w:t>6.77</w:t>
            </w:r>
          </w:p>
        </w:tc>
      </w:tr>
      <w:tr w:rsidR="00081999" w:rsidRPr="00081999" w14:paraId="08EE0929" w14:textId="77777777" w:rsidTr="00BB7F01">
        <w:trPr>
          <w:jc w:val="center"/>
        </w:trPr>
        <w:tc>
          <w:tcPr>
            <w:tcW w:w="2733" w:type="dxa"/>
          </w:tcPr>
          <w:p w14:paraId="64ECD58D" w14:textId="77777777" w:rsidR="00081999" w:rsidRPr="00081999" w:rsidRDefault="00081999" w:rsidP="00081999">
            <w:pPr>
              <w:rPr>
                <w:rFonts w:eastAsia="Times New Roman"/>
                <w:sz w:val="20"/>
                <w:szCs w:val="20"/>
              </w:rPr>
            </w:pPr>
            <w:r w:rsidRPr="00081999">
              <w:rPr>
                <w:rFonts w:eastAsia="Times New Roman"/>
                <w:sz w:val="20"/>
                <w:szCs w:val="20"/>
              </w:rPr>
              <w:t>Banamex</w:t>
            </w:r>
          </w:p>
        </w:tc>
        <w:tc>
          <w:tcPr>
            <w:tcW w:w="2236" w:type="dxa"/>
          </w:tcPr>
          <w:p w14:paraId="6CC97DDA" w14:textId="77777777" w:rsidR="00081999" w:rsidRPr="00081999" w:rsidRDefault="00081999" w:rsidP="00081999">
            <w:pPr>
              <w:jc w:val="center"/>
              <w:rPr>
                <w:rFonts w:eastAsia="Times New Roman"/>
                <w:sz w:val="20"/>
                <w:szCs w:val="20"/>
                <w:lang w:val="en-US"/>
              </w:rPr>
            </w:pPr>
            <w:r w:rsidRPr="00081999">
              <w:rPr>
                <w:rFonts w:eastAsia="Times New Roman"/>
                <w:sz w:val="20"/>
                <w:szCs w:val="20"/>
                <w:lang w:val="en-US"/>
              </w:rPr>
              <w:t>6.52</w:t>
            </w:r>
          </w:p>
        </w:tc>
      </w:tr>
      <w:tr w:rsidR="00081999" w:rsidRPr="00081999" w14:paraId="1A64BD12" w14:textId="77777777" w:rsidTr="00BB7F01">
        <w:trPr>
          <w:jc w:val="center"/>
        </w:trPr>
        <w:tc>
          <w:tcPr>
            <w:tcW w:w="2733" w:type="dxa"/>
          </w:tcPr>
          <w:p w14:paraId="2EE23234" w14:textId="77777777" w:rsidR="00081999" w:rsidRPr="00081999" w:rsidRDefault="00081999" w:rsidP="00081999">
            <w:pPr>
              <w:rPr>
                <w:rFonts w:eastAsia="Times New Roman"/>
                <w:sz w:val="20"/>
                <w:szCs w:val="20"/>
              </w:rPr>
            </w:pPr>
            <w:r w:rsidRPr="00081999">
              <w:rPr>
                <w:rFonts w:eastAsia="Times New Roman"/>
                <w:sz w:val="20"/>
                <w:szCs w:val="20"/>
              </w:rPr>
              <w:t>XXI Banorte</w:t>
            </w:r>
          </w:p>
        </w:tc>
        <w:tc>
          <w:tcPr>
            <w:tcW w:w="2236" w:type="dxa"/>
          </w:tcPr>
          <w:p w14:paraId="36ACB33B" w14:textId="77777777" w:rsidR="00081999" w:rsidRPr="00081999" w:rsidRDefault="00081999" w:rsidP="00081999">
            <w:pPr>
              <w:jc w:val="center"/>
              <w:rPr>
                <w:rFonts w:eastAsia="Times New Roman"/>
                <w:sz w:val="20"/>
                <w:szCs w:val="20"/>
                <w:lang w:val="en-US"/>
              </w:rPr>
            </w:pPr>
            <w:r w:rsidRPr="00081999">
              <w:rPr>
                <w:rFonts w:eastAsia="Times New Roman"/>
                <w:sz w:val="20"/>
                <w:szCs w:val="20"/>
                <w:lang w:val="en-US"/>
              </w:rPr>
              <w:t>6.24</w:t>
            </w:r>
          </w:p>
        </w:tc>
      </w:tr>
      <w:tr w:rsidR="00081999" w:rsidRPr="00081999" w14:paraId="06E191F3" w14:textId="77777777" w:rsidTr="00BB7F01">
        <w:trPr>
          <w:jc w:val="center"/>
        </w:trPr>
        <w:tc>
          <w:tcPr>
            <w:tcW w:w="2733" w:type="dxa"/>
          </w:tcPr>
          <w:p w14:paraId="25B61ED4" w14:textId="77777777" w:rsidR="00081999" w:rsidRPr="00081999" w:rsidRDefault="00081999" w:rsidP="00081999">
            <w:pPr>
              <w:rPr>
                <w:rFonts w:eastAsia="Times New Roman"/>
                <w:sz w:val="20"/>
                <w:szCs w:val="20"/>
              </w:rPr>
            </w:pPr>
            <w:r w:rsidRPr="00081999">
              <w:rPr>
                <w:rFonts w:eastAsia="Times New Roman"/>
                <w:sz w:val="20"/>
                <w:szCs w:val="20"/>
              </w:rPr>
              <w:t>MetLife</w:t>
            </w:r>
          </w:p>
        </w:tc>
        <w:tc>
          <w:tcPr>
            <w:tcW w:w="2236" w:type="dxa"/>
          </w:tcPr>
          <w:p w14:paraId="56C962D6" w14:textId="77777777" w:rsidR="00081999" w:rsidRPr="00081999" w:rsidRDefault="00081999" w:rsidP="00081999">
            <w:pPr>
              <w:jc w:val="center"/>
              <w:rPr>
                <w:rFonts w:eastAsia="Times New Roman"/>
                <w:sz w:val="20"/>
                <w:szCs w:val="20"/>
              </w:rPr>
            </w:pPr>
            <w:r w:rsidRPr="00081999">
              <w:rPr>
                <w:rFonts w:eastAsia="Times New Roman"/>
                <w:sz w:val="20"/>
                <w:szCs w:val="20"/>
              </w:rPr>
              <w:t>6.01</w:t>
            </w:r>
          </w:p>
        </w:tc>
      </w:tr>
      <w:tr w:rsidR="00081999" w:rsidRPr="00081999" w14:paraId="5EEFF0F7" w14:textId="77777777" w:rsidTr="00BB7F01">
        <w:trPr>
          <w:jc w:val="center"/>
        </w:trPr>
        <w:tc>
          <w:tcPr>
            <w:tcW w:w="2733" w:type="dxa"/>
          </w:tcPr>
          <w:p w14:paraId="16A8C177" w14:textId="77777777" w:rsidR="00081999" w:rsidRPr="00081999" w:rsidRDefault="00081999" w:rsidP="00081999">
            <w:pPr>
              <w:jc w:val="both"/>
              <w:rPr>
                <w:rFonts w:eastAsia="Times New Roman"/>
                <w:sz w:val="20"/>
                <w:szCs w:val="20"/>
              </w:rPr>
            </w:pPr>
            <w:r w:rsidRPr="00081999">
              <w:rPr>
                <w:rFonts w:eastAsia="Times New Roman"/>
                <w:sz w:val="20"/>
                <w:szCs w:val="20"/>
              </w:rPr>
              <w:t>Principal</w:t>
            </w:r>
          </w:p>
        </w:tc>
        <w:tc>
          <w:tcPr>
            <w:tcW w:w="2236" w:type="dxa"/>
          </w:tcPr>
          <w:p w14:paraId="6312AFD2" w14:textId="77777777" w:rsidR="00081999" w:rsidRPr="00081999" w:rsidRDefault="00081999" w:rsidP="00081999">
            <w:pPr>
              <w:jc w:val="center"/>
              <w:rPr>
                <w:rFonts w:eastAsia="Times New Roman"/>
                <w:sz w:val="20"/>
                <w:szCs w:val="20"/>
              </w:rPr>
            </w:pPr>
            <w:r w:rsidRPr="00081999">
              <w:rPr>
                <w:rFonts w:eastAsia="Times New Roman"/>
                <w:sz w:val="20"/>
                <w:szCs w:val="20"/>
              </w:rPr>
              <w:t>5.89</w:t>
            </w:r>
          </w:p>
        </w:tc>
      </w:tr>
      <w:tr w:rsidR="00081999" w:rsidRPr="00081999" w14:paraId="0B2AFD49" w14:textId="77777777" w:rsidTr="00BB7F01">
        <w:trPr>
          <w:jc w:val="center"/>
        </w:trPr>
        <w:tc>
          <w:tcPr>
            <w:tcW w:w="2733" w:type="dxa"/>
          </w:tcPr>
          <w:p w14:paraId="35FC203A" w14:textId="77777777" w:rsidR="00081999" w:rsidRPr="00081999" w:rsidRDefault="00081999" w:rsidP="00081999">
            <w:pPr>
              <w:rPr>
                <w:rFonts w:eastAsia="Times New Roman"/>
                <w:sz w:val="20"/>
                <w:szCs w:val="20"/>
              </w:rPr>
            </w:pPr>
            <w:r w:rsidRPr="00081999">
              <w:rPr>
                <w:rFonts w:eastAsia="Times New Roman"/>
                <w:sz w:val="20"/>
                <w:szCs w:val="20"/>
              </w:rPr>
              <w:t>Azteca</w:t>
            </w:r>
          </w:p>
        </w:tc>
        <w:tc>
          <w:tcPr>
            <w:tcW w:w="2236" w:type="dxa"/>
          </w:tcPr>
          <w:p w14:paraId="246D2B83" w14:textId="77777777" w:rsidR="00081999" w:rsidRPr="00081999" w:rsidRDefault="00081999" w:rsidP="00081999">
            <w:pPr>
              <w:jc w:val="center"/>
              <w:rPr>
                <w:rFonts w:eastAsia="Times New Roman"/>
                <w:sz w:val="20"/>
                <w:szCs w:val="20"/>
                <w:lang w:val="en-US"/>
              </w:rPr>
            </w:pPr>
            <w:r w:rsidRPr="00081999">
              <w:rPr>
                <w:rFonts w:eastAsia="Times New Roman"/>
                <w:sz w:val="20"/>
                <w:szCs w:val="20"/>
                <w:lang w:val="en-US"/>
              </w:rPr>
              <w:t>5.62</w:t>
            </w:r>
          </w:p>
        </w:tc>
      </w:tr>
      <w:tr w:rsidR="00081999" w:rsidRPr="00081999" w14:paraId="285ED0E0" w14:textId="77777777" w:rsidTr="00BB7F01">
        <w:trPr>
          <w:jc w:val="center"/>
        </w:trPr>
        <w:tc>
          <w:tcPr>
            <w:tcW w:w="2733" w:type="dxa"/>
          </w:tcPr>
          <w:p w14:paraId="0B4391F2" w14:textId="77777777" w:rsidR="00081999" w:rsidRPr="00081999" w:rsidRDefault="00081999" w:rsidP="00081999">
            <w:pPr>
              <w:rPr>
                <w:rFonts w:eastAsia="Times New Roman"/>
                <w:sz w:val="20"/>
                <w:szCs w:val="20"/>
                <w:lang w:val="es-ES"/>
              </w:rPr>
            </w:pPr>
            <w:r w:rsidRPr="00081999">
              <w:rPr>
                <w:rFonts w:eastAsia="Times New Roman"/>
                <w:sz w:val="20"/>
                <w:szCs w:val="20"/>
                <w:lang w:val="es-ES"/>
              </w:rPr>
              <w:t>Coppel</w:t>
            </w:r>
          </w:p>
        </w:tc>
        <w:tc>
          <w:tcPr>
            <w:tcW w:w="2236" w:type="dxa"/>
          </w:tcPr>
          <w:p w14:paraId="3A429BC6" w14:textId="77777777" w:rsidR="00081999" w:rsidRPr="00081999" w:rsidRDefault="00081999" w:rsidP="00081999">
            <w:pPr>
              <w:jc w:val="center"/>
              <w:rPr>
                <w:rFonts w:eastAsia="Times New Roman"/>
                <w:sz w:val="20"/>
                <w:szCs w:val="20"/>
                <w:lang w:val="es-ES"/>
              </w:rPr>
            </w:pPr>
            <w:r w:rsidRPr="00081999">
              <w:rPr>
                <w:rFonts w:eastAsia="Times New Roman"/>
                <w:sz w:val="20"/>
                <w:szCs w:val="20"/>
                <w:lang w:val="es-ES"/>
              </w:rPr>
              <w:t>5.01</w:t>
            </w:r>
          </w:p>
        </w:tc>
      </w:tr>
      <w:tr w:rsidR="00081999" w:rsidRPr="00081999" w14:paraId="252000E8" w14:textId="77777777" w:rsidTr="00BB7F01">
        <w:trPr>
          <w:jc w:val="center"/>
        </w:trPr>
        <w:tc>
          <w:tcPr>
            <w:tcW w:w="2733" w:type="dxa"/>
          </w:tcPr>
          <w:p w14:paraId="587FE1F6" w14:textId="77777777" w:rsidR="00081999" w:rsidRPr="00081999" w:rsidRDefault="00081999" w:rsidP="00081999">
            <w:pPr>
              <w:rPr>
                <w:rFonts w:eastAsia="Times New Roman"/>
                <w:sz w:val="20"/>
                <w:szCs w:val="20"/>
                <w:lang w:val="es-ES"/>
              </w:rPr>
            </w:pPr>
            <w:r w:rsidRPr="00081999">
              <w:rPr>
                <w:rFonts w:eastAsia="Times New Roman"/>
                <w:sz w:val="20"/>
                <w:szCs w:val="20"/>
                <w:lang w:val="es-ES"/>
              </w:rPr>
              <w:t>Inbursa</w:t>
            </w:r>
          </w:p>
        </w:tc>
        <w:tc>
          <w:tcPr>
            <w:tcW w:w="2236" w:type="dxa"/>
          </w:tcPr>
          <w:p w14:paraId="3D0C8A3C" w14:textId="77777777" w:rsidR="00081999" w:rsidRPr="00081999" w:rsidRDefault="00081999" w:rsidP="00081999">
            <w:pPr>
              <w:jc w:val="center"/>
              <w:rPr>
                <w:rFonts w:eastAsia="Times New Roman"/>
                <w:sz w:val="20"/>
                <w:szCs w:val="20"/>
              </w:rPr>
            </w:pPr>
            <w:r w:rsidRPr="00081999">
              <w:rPr>
                <w:rFonts w:eastAsia="Times New Roman"/>
                <w:sz w:val="20"/>
                <w:szCs w:val="20"/>
              </w:rPr>
              <w:t>4.74</w:t>
            </w:r>
          </w:p>
        </w:tc>
      </w:tr>
      <w:tr w:rsidR="00081999" w:rsidRPr="00081999" w14:paraId="3017D774" w14:textId="77777777" w:rsidTr="00BB7F01">
        <w:trPr>
          <w:jc w:val="center"/>
        </w:trPr>
        <w:tc>
          <w:tcPr>
            <w:tcW w:w="2733" w:type="dxa"/>
          </w:tcPr>
          <w:p w14:paraId="57CF8757" w14:textId="77777777" w:rsidR="00081999" w:rsidRPr="00081999" w:rsidRDefault="00081999" w:rsidP="00081999">
            <w:pPr>
              <w:rPr>
                <w:rFonts w:eastAsia="Times New Roman"/>
                <w:b/>
                <w:sz w:val="20"/>
                <w:szCs w:val="20"/>
                <w:lang w:val="es-ES"/>
              </w:rPr>
            </w:pPr>
            <w:r w:rsidRPr="00081999">
              <w:rPr>
                <w:rFonts w:eastAsia="Times New Roman"/>
                <w:b/>
                <w:sz w:val="20"/>
                <w:szCs w:val="20"/>
                <w:lang w:val="es-ES"/>
              </w:rPr>
              <w:t>Promedio Simple</w:t>
            </w:r>
          </w:p>
        </w:tc>
        <w:tc>
          <w:tcPr>
            <w:tcW w:w="2236" w:type="dxa"/>
          </w:tcPr>
          <w:p w14:paraId="4F88043F" w14:textId="77777777" w:rsidR="00081999" w:rsidRPr="00081999" w:rsidRDefault="00081999" w:rsidP="00081999">
            <w:pPr>
              <w:jc w:val="center"/>
              <w:rPr>
                <w:rFonts w:eastAsia="Times New Roman"/>
                <w:b/>
                <w:sz w:val="20"/>
                <w:szCs w:val="20"/>
              </w:rPr>
            </w:pPr>
            <w:r w:rsidRPr="00081999">
              <w:rPr>
                <w:rFonts w:eastAsia="Times New Roman"/>
                <w:b/>
                <w:sz w:val="20"/>
                <w:szCs w:val="20"/>
              </w:rPr>
              <w:t>6.20</w:t>
            </w:r>
          </w:p>
        </w:tc>
      </w:tr>
      <w:tr w:rsidR="00081999" w:rsidRPr="00081999" w14:paraId="7F52A824" w14:textId="77777777" w:rsidTr="00BB7F01">
        <w:trPr>
          <w:jc w:val="center"/>
        </w:trPr>
        <w:tc>
          <w:tcPr>
            <w:tcW w:w="2733" w:type="dxa"/>
            <w:tcBorders>
              <w:bottom w:val="single" w:sz="4" w:space="0" w:color="auto"/>
            </w:tcBorders>
          </w:tcPr>
          <w:p w14:paraId="1DB14C91" w14:textId="77777777" w:rsidR="00081999" w:rsidRPr="00081999" w:rsidRDefault="00081999" w:rsidP="00081999">
            <w:pPr>
              <w:rPr>
                <w:rFonts w:eastAsia="Times New Roman"/>
                <w:b/>
                <w:sz w:val="20"/>
                <w:szCs w:val="20"/>
                <w:lang w:val="es-ES"/>
              </w:rPr>
            </w:pPr>
            <w:r w:rsidRPr="00081999">
              <w:rPr>
                <w:rFonts w:eastAsia="Times New Roman"/>
                <w:b/>
                <w:sz w:val="20"/>
                <w:szCs w:val="20"/>
                <w:lang w:val="es-ES"/>
              </w:rPr>
              <w:t>Promedio ponderado*</w:t>
            </w:r>
          </w:p>
        </w:tc>
        <w:tc>
          <w:tcPr>
            <w:tcW w:w="2236" w:type="dxa"/>
            <w:tcBorders>
              <w:bottom w:val="single" w:sz="4" w:space="0" w:color="auto"/>
            </w:tcBorders>
          </w:tcPr>
          <w:p w14:paraId="35D31ED5" w14:textId="77777777" w:rsidR="00081999" w:rsidRPr="00081999" w:rsidRDefault="00081999" w:rsidP="00081999">
            <w:pPr>
              <w:jc w:val="center"/>
              <w:rPr>
                <w:rFonts w:eastAsia="Times New Roman"/>
                <w:b/>
                <w:sz w:val="20"/>
                <w:szCs w:val="20"/>
              </w:rPr>
            </w:pPr>
            <w:r w:rsidRPr="00081999">
              <w:rPr>
                <w:rFonts w:eastAsia="Times New Roman"/>
                <w:b/>
                <w:sz w:val="20"/>
                <w:szCs w:val="20"/>
              </w:rPr>
              <w:t>6.55</w:t>
            </w:r>
          </w:p>
        </w:tc>
      </w:tr>
      <w:tr w:rsidR="00081999" w:rsidRPr="00081999" w14:paraId="759D30E2" w14:textId="77777777" w:rsidTr="00BB7F01">
        <w:trPr>
          <w:jc w:val="center"/>
        </w:trPr>
        <w:tc>
          <w:tcPr>
            <w:tcW w:w="4969" w:type="dxa"/>
            <w:gridSpan w:val="2"/>
            <w:tcBorders>
              <w:left w:val="nil"/>
              <w:bottom w:val="nil"/>
              <w:right w:val="nil"/>
            </w:tcBorders>
          </w:tcPr>
          <w:p w14:paraId="21097A52" w14:textId="77777777" w:rsidR="00081999" w:rsidRPr="00081999" w:rsidRDefault="00081999" w:rsidP="00081999">
            <w:pPr>
              <w:ind w:left="170" w:hanging="170"/>
              <w:jc w:val="both"/>
              <w:rPr>
                <w:rFonts w:eastAsia="Times New Roman"/>
                <w:sz w:val="20"/>
                <w:szCs w:val="20"/>
              </w:rPr>
            </w:pPr>
            <w:r w:rsidRPr="00081999">
              <w:rPr>
                <w:rFonts w:eastAsia="Times New Roman"/>
                <w:sz w:val="20"/>
                <w:szCs w:val="20"/>
              </w:rPr>
              <w:t>* Es el promedio ponderado, por los activos administrados, de los rendimientos netos de las Siefores Básicas.</w:t>
            </w:r>
          </w:p>
          <w:p w14:paraId="03A65E68" w14:textId="77777777" w:rsidR="00081999" w:rsidRPr="00081999" w:rsidRDefault="00081999" w:rsidP="00081999">
            <w:pPr>
              <w:ind w:left="539" w:hanging="539"/>
              <w:jc w:val="both"/>
              <w:rPr>
                <w:rFonts w:eastAsia="Times New Roman"/>
                <w:sz w:val="20"/>
                <w:szCs w:val="20"/>
              </w:rPr>
            </w:pPr>
            <w:r w:rsidRPr="00081999">
              <w:rPr>
                <w:rFonts w:eastAsia="Times New Roman"/>
                <w:sz w:val="20"/>
                <w:szCs w:val="20"/>
              </w:rPr>
              <w:t>Nota: Los Indicadores de Rendimiento Neto incluyen la deducción de las Comisiones aplicables.</w:t>
            </w:r>
          </w:p>
          <w:p w14:paraId="20805B41" w14:textId="77777777" w:rsidR="00081999" w:rsidRPr="00081999" w:rsidRDefault="00081999" w:rsidP="00081999">
            <w:pPr>
              <w:ind w:left="539"/>
              <w:jc w:val="both"/>
              <w:rPr>
                <w:rFonts w:eastAsia="Times New Roman"/>
                <w:sz w:val="20"/>
                <w:szCs w:val="20"/>
              </w:rPr>
            </w:pPr>
            <w:r w:rsidRPr="00081999">
              <w:rPr>
                <w:rFonts w:eastAsia="Times New Roman"/>
                <w:sz w:val="20"/>
                <w:szCs w:val="20"/>
              </w:rPr>
              <w:t>Este indicador refleja el desempeño obtenido consistentemente por las inversiones en cada Siefore e indica que las decisiones de traspaso pueden resultar convenientes para los trabajadores.</w:t>
            </w:r>
          </w:p>
          <w:p w14:paraId="77398B2D" w14:textId="77777777" w:rsidR="00081999" w:rsidRPr="00081999" w:rsidRDefault="00081999" w:rsidP="00081999">
            <w:pPr>
              <w:jc w:val="both"/>
              <w:rPr>
                <w:rFonts w:eastAsia="Times New Roman"/>
                <w:sz w:val="20"/>
                <w:szCs w:val="20"/>
              </w:rPr>
            </w:pPr>
            <w:r w:rsidRPr="00081999">
              <w:rPr>
                <w:rFonts w:eastAsia="Times New Roman"/>
                <w:sz w:val="20"/>
                <w:szCs w:val="20"/>
              </w:rPr>
              <w:t>FUENTE: Consar.</w:t>
            </w:r>
          </w:p>
        </w:tc>
      </w:tr>
    </w:tbl>
    <w:p w14:paraId="2A6951E7" w14:textId="77777777" w:rsidR="00081999" w:rsidRPr="00081999" w:rsidRDefault="00081999" w:rsidP="00081999">
      <w:pPr>
        <w:spacing w:after="240"/>
        <w:rPr>
          <w:rFonts w:eastAsia="Times New Roman"/>
          <w:sz w:val="26"/>
          <w:szCs w:val="26"/>
        </w:rPr>
      </w:pPr>
    </w:p>
    <w:p w14:paraId="2577D1E1" w14:textId="77777777" w:rsidR="00081999" w:rsidRPr="00081999" w:rsidRDefault="00081999" w:rsidP="00081999"/>
    <w:p w14:paraId="00BB58BE" w14:textId="77777777" w:rsidR="00081999" w:rsidRPr="00081999" w:rsidRDefault="00081999" w:rsidP="00081999">
      <w:pPr>
        <w:rPr>
          <w:b/>
          <w:sz w:val="20"/>
          <w:szCs w:val="20"/>
        </w:rPr>
      </w:pPr>
      <w:r w:rsidRPr="00081999">
        <w:rPr>
          <w:b/>
          <w:sz w:val="20"/>
          <w:szCs w:val="20"/>
        </w:rPr>
        <w:t>Fuente de información:</w:t>
      </w:r>
    </w:p>
    <w:p w14:paraId="2E4826C0" w14:textId="77777777" w:rsidR="00081999" w:rsidRPr="00CB56E5" w:rsidRDefault="0093224F" w:rsidP="00CB56E5">
      <w:pPr>
        <w:spacing w:after="720" w:line="276" w:lineRule="auto"/>
        <w:rPr>
          <w:color w:val="0000FF"/>
          <w:sz w:val="20"/>
          <w:szCs w:val="20"/>
        </w:rPr>
      </w:pPr>
      <w:hyperlink r:id="rId378" w:history="1">
        <w:r w:rsidR="00081999" w:rsidRPr="00CB56E5">
          <w:rPr>
            <w:color w:val="0000FF"/>
            <w:sz w:val="20"/>
            <w:szCs w:val="20"/>
            <w:u w:val="single"/>
          </w:rPr>
          <w:t>http://www.consar.gob.mx/rendimiento_neto/rendimiento_neto_promedio.aspx</w:t>
        </w:r>
      </w:hyperlink>
    </w:p>
    <w:p w14:paraId="2103504C" w14:textId="77777777" w:rsidR="00081999" w:rsidRPr="00081999" w:rsidRDefault="00081999" w:rsidP="00081999">
      <w:pPr>
        <w:spacing w:after="200" w:line="276" w:lineRule="auto"/>
        <w:rPr>
          <w:sz w:val="20"/>
          <w:szCs w:val="20"/>
        </w:rPr>
      </w:pPr>
    </w:p>
    <w:p w14:paraId="172C2999" w14:textId="77777777" w:rsidR="00081999" w:rsidRPr="00081999" w:rsidRDefault="00081999" w:rsidP="00081999">
      <w:pPr>
        <w:spacing w:after="200" w:line="276" w:lineRule="auto"/>
        <w:rPr>
          <w:sz w:val="20"/>
          <w:szCs w:val="20"/>
        </w:rPr>
      </w:pPr>
    </w:p>
    <w:p w14:paraId="508C493C" w14:textId="77777777" w:rsidR="00081999" w:rsidRDefault="00081999" w:rsidP="00E07C06">
      <w:pPr>
        <w:spacing w:after="360" w:line="360" w:lineRule="auto"/>
        <w:ind w:right="-159"/>
        <w:jc w:val="both"/>
        <w:rPr>
          <w:sz w:val="26"/>
          <w:szCs w:val="26"/>
        </w:rPr>
      </w:pPr>
    </w:p>
    <w:p w14:paraId="30E26CD3" w14:textId="77777777" w:rsidR="00081999" w:rsidRDefault="00081999" w:rsidP="00E07C06">
      <w:pPr>
        <w:spacing w:after="360" w:line="360" w:lineRule="auto"/>
        <w:ind w:right="-159"/>
        <w:jc w:val="both"/>
        <w:rPr>
          <w:sz w:val="26"/>
          <w:szCs w:val="26"/>
        </w:rPr>
      </w:pPr>
    </w:p>
    <w:p w14:paraId="6501AA9A" w14:textId="77777777" w:rsidR="00081999" w:rsidRPr="00081999" w:rsidRDefault="00081999" w:rsidP="00081999">
      <w:pPr>
        <w:spacing w:after="360" w:line="360" w:lineRule="auto"/>
        <w:ind w:right="-159"/>
        <w:jc w:val="both"/>
        <w:rPr>
          <w:b/>
          <w:sz w:val="26"/>
          <w:szCs w:val="26"/>
        </w:rPr>
      </w:pPr>
      <w:r w:rsidRPr="00081999">
        <w:rPr>
          <w:b/>
          <w:sz w:val="26"/>
          <w:szCs w:val="26"/>
        </w:rPr>
        <w:lastRenderedPageBreak/>
        <w:t>Cuentas Administradas por las Afores (Consar)</w:t>
      </w:r>
    </w:p>
    <w:p w14:paraId="0BFAB9FA" w14:textId="77777777" w:rsidR="00081999" w:rsidRPr="00081999" w:rsidRDefault="00081999" w:rsidP="00081999">
      <w:pPr>
        <w:spacing w:after="360" w:line="360" w:lineRule="auto"/>
        <w:ind w:right="-159"/>
        <w:jc w:val="both"/>
        <w:rPr>
          <w:sz w:val="26"/>
          <w:szCs w:val="26"/>
        </w:rPr>
      </w:pPr>
      <w:bookmarkStart w:id="11" w:name="OLE_LINK12"/>
      <w:bookmarkStart w:id="12" w:name="OLE_LINK13"/>
      <w:r w:rsidRPr="00081999">
        <w:rPr>
          <w:sz w:val="26"/>
          <w:szCs w:val="26"/>
        </w:rPr>
        <w:t xml:space="preserve">Al cierre de febrero de 2015, </w:t>
      </w:r>
      <w:bookmarkStart w:id="13" w:name="OLE_LINK53"/>
      <w:bookmarkStart w:id="14" w:name="OLE_LINK54"/>
      <w:r w:rsidRPr="00081999">
        <w:rPr>
          <w:sz w:val="26"/>
          <w:szCs w:val="26"/>
        </w:rPr>
        <w:t>el total de las cuentas individuales que administran las Administradoras de Fondos para el Retiro (Afores) sumaron 52 millones 937 mil 698. Cabe destacar que a partir de 2012, las cuentas se integran por cuentas de trabajadores registrados y las cuentas de trabajadores asignados que a su vez se subdividen en cuentas con recursos depositados en las Sociedades de Inversión de las Administradoras de Fondos para el Retiro (Siefores) y en cuentas con recursos depositados en el Banco de México</w:t>
      </w:r>
      <w:bookmarkEnd w:id="11"/>
      <w:bookmarkEnd w:id="12"/>
      <w:r w:rsidRPr="00081999">
        <w:rPr>
          <w:sz w:val="26"/>
          <w:szCs w:val="26"/>
        </w:rPr>
        <w:t xml:space="preserve"> (Banxico).</w:t>
      </w:r>
      <w:bookmarkEnd w:id="13"/>
      <w:bookmarkEnd w:id="14"/>
    </w:p>
    <w:tbl>
      <w:tblPr>
        <w:tblW w:w="8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7"/>
        <w:gridCol w:w="1469"/>
        <w:gridCol w:w="1921"/>
        <w:gridCol w:w="1492"/>
        <w:gridCol w:w="1619"/>
      </w:tblGrid>
      <w:tr w:rsidR="00081999" w:rsidRPr="00081999" w14:paraId="7A9D4E19" w14:textId="77777777" w:rsidTr="00BB7F01">
        <w:trPr>
          <w:jc w:val="center"/>
        </w:trPr>
        <w:tc>
          <w:tcPr>
            <w:tcW w:w="8928" w:type="dxa"/>
            <w:gridSpan w:val="5"/>
            <w:tcBorders>
              <w:top w:val="nil"/>
              <w:left w:val="nil"/>
              <w:bottom w:val="single" w:sz="4" w:space="0" w:color="auto"/>
              <w:right w:val="nil"/>
            </w:tcBorders>
            <w:vAlign w:val="center"/>
          </w:tcPr>
          <w:p w14:paraId="2CBD721B" w14:textId="77777777" w:rsidR="00081999" w:rsidRPr="00081999" w:rsidRDefault="00081999" w:rsidP="00081999">
            <w:pPr>
              <w:jc w:val="center"/>
              <w:rPr>
                <w:b/>
              </w:rPr>
            </w:pPr>
            <w:r w:rsidRPr="00081999">
              <w:rPr>
                <w:b/>
                <w:sz w:val="22"/>
                <w:szCs w:val="22"/>
              </w:rPr>
              <w:t>CUENTAS ADMINISTRADAS POR LAS AFORES</w:t>
            </w:r>
          </w:p>
          <w:p w14:paraId="7ACF37D1" w14:textId="77777777" w:rsidR="00081999" w:rsidRPr="00081999" w:rsidRDefault="00081999" w:rsidP="00081999">
            <w:pPr>
              <w:jc w:val="center"/>
              <w:rPr>
                <w:b/>
              </w:rPr>
            </w:pPr>
            <w:r w:rsidRPr="00081999">
              <w:rPr>
                <w:b/>
                <w:sz w:val="22"/>
                <w:szCs w:val="22"/>
              </w:rPr>
              <w:t>-Cifras al cierre de febrero de 2015-</w:t>
            </w:r>
          </w:p>
        </w:tc>
      </w:tr>
      <w:tr w:rsidR="00081999" w:rsidRPr="00081999" w14:paraId="6BF79263" w14:textId="77777777" w:rsidTr="00BB7F01">
        <w:trPr>
          <w:jc w:val="center"/>
        </w:trPr>
        <w:tc>
          <w:tcPr>
            <w:tcW w:w="2427" w:type="dxa"/>
            <w:vMerge w:val="restart"/>
            <w:vAlign w:val="center"/>
          </w:tcPr>
          <w:p w14:paraId="7FCA1AFA" w14:textId="77777777" w:rsidR="00081999" w:rsidRPr="00081999" w:rsidRDefault="00081999" w:rsidP="00081999">
            <w:pPr>
              <w:jc w:val="center"/>
              <w:rPr>
                <w:b/>
                <w:sz w:val="20"/>
                <w:szCs w:val="20"/>
              </w:rPr>
            </w:pPr>
            <w:r w:rsidRPr="00081999">
              <w:rPr>
                <w:b/>
                <w:sz w:val="20"/>
                <w:szCs w:val="20"/>
              </w:rPr>
              <w:t>Afore</w:t>
            </w:r>
          </w:p>
        </w:tc>
        <w:tc>
          <w:tcPr>
            <w:tcW w:w="1469" w:type="dxa"/>
            <w:vMerge w:val="restart"/>
            <w:vAlign w:val="center"/>
          </w:tcPr>
          <w:p w14:paraId="0779D971" w14:textId="77777777" w:rsidR="00081999" w:rsidRPr="00081999" w:rsidRDefault="00081999" w:rsidP="00081999">
            <w:pPr>
              <w:jc w:val="center"/>
              <w:rPr>
                <w:b/>
                <w:sz w:val="20"/>
                <w:szCs w:val="20"/>
              </w:rPr>
            </w:pPr>
            <w:r w:rsidRPr="00081999">
              <w:rPr>
                <w:b/>
                <w:sz w:val="20"/>
                <w:szCs w:val="20"/>
              </w:rPr>
              <w:t>Cuentas de</w:t>
            </w:r>
          </w:p>
          <w:p w14:paraId="689777D3" w14:textId="77777777" w:rsidR="00081999" w:rsidRPr="00081999" w:rsidRDefault="00081999" w:rsidP="00081999">
            <w:pPr>
              <w:jc w:val="center"/>
              <w:rPr>
                <w:b/>
                <w:sz w:val="20"/>
                <w:szCs w:val="20"/>
              </w:rPr>
            </w:pPr>
            <w:r w:rsidRPr="00081999">
              <w:rPr>
                <w:b/>
                <w:sz w:val="20"/>
                <w:szCs w:val="20"/>
              </w:rPr>
              <w:t>Trabajadores</w:t>
            </w:r>
          </w:p>
          <w:p w14:paraId="15DCC733" w14:textId="77777777" w:rsidR="00081999" w:rsidRPr="00081999" w:rsidRDefault="00081999" w:rsidP="00081999">
            <w:pPr>
              <w:jc w:val="center"/>
              <w:rPr>
                <w:b/>
                <w:sz w:val="20"/>
                <w:szCs w:val="20"/>
              </w:rPr>
            </w:pPr>
            <w:r w:rsidRPr="00081999">
              <w:rPr>
                <w:b/>
                <w:sz w:val="20"/>
                <w:szCs w:val="20"/>
              </w:rPr>
              <w:t>Registrados</w:t>
            </w:r>
            <w:r w:rsidRPr="00081999">
              <w:rPr>
                <w:b/>
                <w:sz w:val="20"/>
                <w:szCs w:val="20"/>
                <w:u w:val="single"/>
                <w:vertAlign w:val="superscript"/>
              </w:rPr>
              <w:t>1</w:t>
            </w:r>
            <w:r w:rsidRPr="00081999">
              <w:rPr>
                <w:b/>
                <w:sz w:val="20"/>
                <w:szCs w:val="20"/>
                <w:vertAlign w:val="superscript"/>
              </w:rPr>
              <w:t>/</w:t>
            </w:r>
          </w:p>
        </w:tc>
        <w:tc>
          <w:tcPr>
            <w:tcW w:w="3413" w:type="dxa"/>
            <w:gridSpan w:val="2"/>
            <w:tcBorders>
              <w:bottom w:val="nil"/>
            </w:tcBorders>
            <w:vAlign w:val="center"/>
          </w:tcPr>
          <w:p w14:paraId="51D2B86F" w14:textId="77777777" w:rsidR="00081999" w:rsidRPr="00081999" w:rsidRDefault="00081999" w:rsidP="00081999">
            <w:pPr>
              <w:jc w:val="center"/>
              <w:rPr>
                <w:b/>
                <w:sz w:val="20"/>
                <w:szCs w:val="20"/>
              </w:rPr>
            </w:pPr>
            <w:r w:rsidRPr="00081999">
              <w:rPr>
                <w:b/>
                <w:sz w:val="20"/>
                <w:szCs w:val="20"/>
              </w:rPr>
              <w:t>Cuentas de Trabajadores Asignados</w:t>
            </w:r>
            <w:r w:rsidRPr="00081999">
              <w:rPr>
                <w:b/>
                <w:sz w:val="20"/>
                <w:szCs w:val="20"/>
                <w:u w:val="single"/>
                <w:vertAlign w:val="superscript"/>
              </w:rPr>
              <w:t>2</w:t>
            </w:r>
            <w:r w:rsidRPr="00081999">
              <w:rPr>
                <w:b/>
                <w:sz w:val="20"/>
                <w:szCs w:val="20"/>
                <w:vertAlign w:val="superscript"/>
              </w:rPr>
              <w:t>/</w:t>
            </w:r>
          </w:p>
        </w:tc>
        <w:tc>
          <w:tcPr>
            <w:tcW w:w="1619" w:type="dxa"/>
            <w:vMerge w:val="restart"/>
            <w:tcBorders>
              <w:right w:val="single" w:sz="4" w:space="0" w:color="auto"/>
            </w:tcBorders>
            <w:vAlign w:val="center"/>
          </w:tcPr>
          <w:p w14:paraId="1BFA4A0D" w14:textId="77777777" w:rsidR="00081999" w:rsidRPr="00081999" w:rsidRDefault="00081999" w:rsidP="00081999">
            <w:pPr>
              <w:jc w:val="center"/>
              <w:rPr>
                <w:b/>
                <w:sz w:val="20"/>
                <w:szCs w:val="20"/>
              </w:rPr>
            </w:pPr>
            <w:r w:rsidRPr="00081999">
              <w:rPr>
                <w:b/>
                <w:sz w:val="20"/>
                <w:szCs w:val="20"/>
              </w:rPr>
              <w:t>Total de Cuentas Administradas por las Afores</w:t>
            </w:r>
            <w:r w:rsidRPr="00081999">
              <w:rPr>
                <w:b/>
                <w:sz w:val="20"/>
                <w:szCs w:val="20"/>
                <w:u w:val="single"/>
                <w:vertAlign w:val="superscript"/>
              </w:rPr>
              <w:t>5</w:t>
            </w:r>
            <w:r w:rsidRPr="00081999">
              <w:rPr>
                <w:b/>
                <w:sz w:val="20"/>
                <w:szCs w:val="20"/>
                <w:vertAlign w:val="superscript"/>
              </w:rPr>
              <w:t>/</w:t>
            </w:r>
          </w:p>
        </w:tc>
      </w:tr>
      <w:tr w:rsidR="00081999" w:rsidRPr="00081999" w14:paraId="5D2F1814" w14:textId="77777777" w:rsidTr="00BB7F01">
        <w:trPr>
          <w:jc w:val="center"/>
        </w:trPr>
        <w:tc>
          <w:tcPr>
            <w:tcW w:w="2427" w:type="dxa"/>
            <w:vMerge/>
            <w:tcBorders>
              <w:bottom w:val="single" w:sz="4" w:space="0" w:color="auto"/>
            </w:tcBorders>
            <w:vAlign w:val="center"/>
          </w:tcPr>
          <w:p w14:paraId="13B7CC9D" w14:textId="77777777" w:rsidR="00081999" w:rsidRPr="00081999" w:rsidRDefault="00081999" w:rsidP="00081999">
            <w:pPr>
              <w:rPr>
                <w:b/>
                <w:sz w:val="20"/>
                <w:szCs w:val="20"/>
              </w:rPr>
            </w:pPr>
          </w:p>
        </w:tc>
        <w:tc>
          <w:tcPr>
            <w:tcW w:w="1469" w:type="dxa"/>
            <w:vMerge/>
            <w:tcBorders>
              <w:bottom w:val="single" w:sz="4" w:space="0" w:color="auto"/>
            </w:tcBorders>
            <w:vAlign w:val="center"/>
          </w:tcPr>
          <w:p w14:paraId="0D316533" w14:textId="77777777" w:rsidR="00081999" w:rsidRPr="00081999" w:rsidRDefault="00081999" w:rsidP="00081999">
            <w:pPr>
              <w:jc w:val="center"/>
              <w:rPr>
                <w:b/>
                <w:sz w:val="20"/>
                <w:szCs w:val="20"/>
              </w:rPr>
            </w:pPr>
          </w:p>
        </w:tc>
        <w:tc>
          <w:tcPr>
            <w:tcW w:w="1921" w:type="dxa"/>
            <w:tcBorders>
              <w:bottom w:val="single" w:sz="4" w:space="0" w:color="auto"/>
            </w:tcBorders>
            <w:vAlign w:val="center"/>
          </w:tcPr>
          <w:p w14:paraId="3B0417EA" w14:textId="77777777" w:rsidR="00081999" w:rsidRPr="00081999" w:rsidRDefault="00081999" w:rsidP="00081999">
            <w:pPr>
              <w:jc w:val="center"/>
              <w:rPr>
                <w:b/>
                <w:sz w:val="20"/>
                <w:szCs w:val="20"/>
              </w:rPr>
            </w:pPr>
            <w:r w:rsidRPr="00081999">
              <w:rPr>
                <w:b/>
                <w:sz w:val="20"/>
                <w:szCs w:val="20"/>
              </w:rPr>
              <w:t>Con Recursos</w:t>
            </w:r>
          </w:p>
          <w:p w14:paraId="2716434D" w14:textId="77777777" w:rsidR="00081999" w:rsidRPr="00081999" w:rsidRDefault="00081999" w:rsidP="00081999">
            <w:pPr>
              <w:jc w:val="center"/>
              <w:rPr>
                <w:b/>
                <w:sz w:val="20"/>
                <w:szCs w:val="20"/>
              </w:rPr>
            </w:pPr>
            <w:r w:rsidRPr="00081999">
              <w:rPr>
                <w:b/>
                <w:sz w:val="20"/>
                <w:szCs w:val="20"/>
              </w:rPr>
              <w:t>Depositados en</w:t>
            </w:r>
          </w:p>
          <w:p w14:paraId="1C20ABE7" w14:textId="77777777" w:rsidR="00081999" w:rsidRPr="00081999" w:rsidRDefault="00081999" w:rsidP="00081999">
            <w:pPr>
              <w:jc w:val="center"/>
              <w:rPr>
                <w:b/>
                <w:sz w:val="20"/>
                <w:szCs w:val="20"/>
              </w:rPr>
            </w:pPr>
            <w:r w:rsidRPr="00081999">
              <w:rPr>
                <w:b/>
                <w:sz w:val="20"/>
                <w:szCs w:val="20"/>
              </w:rPr>
              <w:t>Siefores</w:t>
            </w:r>
            <w:r w:rsidRPr="00081999">
              <w:rPr>
                <w:b/>
                <w:sz w:val="20"/>
                <w:szCs w:val="20"/>
                <w:u w:val="single"/>
                <w:vertAlign w:val="superscript"/>
              </w:rPr>
              <w:t>3</w:t>
            </w:r>
            <w:r w:rsidRPr="00081999">
              <w:rPr>
                <w:b/>
                <w:sz w:val="20"/>
                <w:szCs w:val="20"/>
                <w:vertAlign w:val="superscript"/>
              </w:rPr>
              <w:t>/</w:t>
            </w:r>
          </w:p>
        </w:tc>
        <w:tc>
          <w:tcPr>
            <w:tcW w:w="1492" w:type="dxa"/>
            <w:tcBorders>
              <w:bottom w:val="single" w:sz="4" w:space="0" w:color="auto"/>
            </w:tcBorders>
            <w:vAlign w:val="center"/>
          </w:tcPr>
          <w:p w14:paraId="2C6F88F9" w14:textId="77777777" w:rsidR="00081999" w:rsidRPr="00081999" w:rsidRDefault="00081999" w:rsidP="00081999">
            <w:pPr>
              <w:jc w:val="center"/>
              <w:rPr>
                <w:b/>
                <w:sz w:val="20"/>
                <w:szCs w:val="20"/>
              </w:rPr>
            </w:pPr>
            <w:r w:rsidRPr="00081999">
              <w:rPr>
                <w:b/>
                <w:sz w:val="20"/>
                <w:szCs w:val="20"/>
              </w:rPr>
              <w:t>Con Recursos</w:t>
            </w:r>
          </w:p>
          <w:p w14:paraId="4DE679F2" w14:textId="77777777" w:rsidR="00081999" w:rsidRPr="00081999" w:rsidRDefault="00081999" w:rsidP="00081999">
            <w:pPr>
              <w:jc w:val="center"/>
              <w:rPr>
                <w:b/>
                <w:sz w:val="20"/>
                <w:szCs w:val="20"/>
              </w:rPr>
            </w:pPr>
            <w:r w:rsidRPr="00081999">
              <w:rPr>
                <w:b/>
                <w:sz w:val="20"/>
                <w:szCs w:val="20"/>
              </w:rPr>
              <w:t>Depositados en Banco de México</w:t>
            </w:r>
            <w:r w:rsidRPr="00081999">
              <w:rPr>
                <w:b/>
                <w:sz w:val="20"/>
                <w:szCs w:val="20"/>
                <w:u w:val="single"/>
                <w:vertAlign w:val="superscript"/>
              </w:rPr>
              <w:t>4</w:t>
            </w:r>
            <w:r w:rsidRPr="00081999">
              <w:rPr>
                <w:b/>
                <w:sz w:val="20"/>
                <w:szCs w:val="20"/>
                <w:vertAlign w:val="superscript"/>
              </w:rPr>
              <w:t>/</w:t>
            </w:r>
          </w:p>
        </w:tc>
        <w:tc>
          <w:tcPr>
            <w:tcW w:w="1619" w:type="dxa"/>
            <w:vMerge/>
            <w:tcBorders>
              <w:bottom w:val="single" w:sz="4" w:space="0" w:color="auto"/>
              <w:right w:val="single" w:sz="4" w:space="0" w:color="auto"/>
            </w:tcBorders>
          </w:tcPr>
          <w:p w14:paraId="1DE10951" w14:textId="77777777" w:rsidR="00081999" w:rsidRPr="00081999" w:rsidRDefault="00081999" w:rsidP="00081999">
            <w:pPr>
              <w:rPr>
                <w:sz w:val="20"/>
                <w:szCs w:val="20"/>
              </w:rPr>
            </w:pPr>
          </w:p>
        </w:tc>
      </w:tr>
      <w:tr w:rsidR="00081999" w:rsidRPr="00081999" w14:paraId="2091CA69" w14:textId="77777777" w:rsidTr="00BB7F01">
        <w:trPr>
          <w:jc w:val="center"/>
        </w:trPr>
        <w:tc>
          <w:tcPr>
            <w:tcW w:w="2427" w:type="dxa"/>
            <w:tcBorders>
              <w:top w:val="single" w:sz="4" w:space="0" w:color="auto"/>
              <w:bottom w:val="nil"/>
            </w:tcBorders>
          </w:tcPr>
          <w:p w14:paraId="72BBA52F" w14:textId="77777777" w:rsidR="00081999" w:rsidRPr="00081999" w:rsidRDefault="00081999" w:rsidP="00081999">
            <w:pPr>
              <w:rPr>
                <w:sz w:val="20"/>
                <w:szCs w:val="20"/>
              </w:rPr>
            </w:pPr>
            <w:r w:rsidRPr="00081999">
              <w:rPr>
                <w:sz w:val="20"/>
                <w:szCs w:val="20"/>
              </w:rPr>
              <w:t>XXI Banorte</w:t>
            </w:r>
          </w:p>
        </w:tc>
        <w:tc>
          <w:tcPr>
            <w:tcW w:w="1469" w:type="dxa"/>
            <w:tcBorders>
              <w:top w:val="single" w:sz="4" w:space="0" w:color="auto"/>
              <w:bottom w:val="nil"/>
            </w:tcBorders>
          </w:tcPr>
          <w:p w14:paraId="23BCE7D3" w14:textId="77777777" w:rsidR="00081999" w:rsidRPr="00081999" w:rsidRDefault="00081999" w:rsidP="00081999">
            <w:pPr>
              <w:ind w:right="227"/>
              <w:jc w:val="right"/>
              <w:rPr>
                <w:sz w:val="20"/>
                <w:szCs w:val="20"/>
              </w:rPr>
            </w:pPr>
            <w:r w:rsidRPr="00081999">
              <w:rPr>
                <w:sz w:val="20"/>
                <w:szCs w:val="20"/>
              </w:rPr>
              <w:t>8 383 445</w:t>
            </w:r>
          </w:p>
        </w:tc>
        <w:tc>
          <w:tcPr>
            <w:tcW w:w="1921" w:type="dxa"/>
            <w:tcBorders>
              <w:top w:val="single" w:sz="4" w:space="0" w:color="auto"/>
              <w:bottom w:val="nil"/>
            </w:tcBorders>
          </w:tcPr>
          <w:p w14:paraId="211644EC" w14:textId="77777777" w:rsidR="00081999" w:rsidRPr="00081999" w:rsidRDefault="00081999" w:rsidP="00081999">
            <w:pPr>
              <w:ind w:right="397"/>
              <w:jc w:val="right"/>
              <w:rPr>
                <w:sz w:val="20"/>
                <w:szCs w:val="20"/>
              </w:rPr>
            </w:pPr>
            <w:r w:rsidRPr="00081999">
              <w:rPr>
                <w:sz w:val="20"/>
                <w:szCs w:val="20"/>
              </w:rPr>
              <w:t>2 895 843</w:t>
            </w:r>
          </w:p>
        </w:tc>
        <w:tc>
          <w:tcPr>
            <w:tcW w:w="1492" w:type="dxa"/>
            <w:tcBorders>
              <w:top w:val="single" w:sz="4" w:space="0" w:color="auto"/>
              <w:bottom w:val="nil"/>
            </w:tcBorders>
          </w:tcPr>
          <w:p w14:paraId="6E5EDF35" w14:textId="77777777" w:rsidR="00081999" w:rsidRPr="00081999" w:rsidRDefault="00081999" w:rsidP="00081999">
            <w:pPr>
              <w:ind w:right="284"/>
              <w:jc w:val="right"/>
              <w:rPr>
                <w:sz w:val="20"/>
                <w:szCs w:val="20"/>
              </w:rPr>
            </w:pPr>
            <w:r w:rsidRPr="00081999">
              <w:rPr>
                <w:sz w:val="20"/>
                <w:szCs w:val="20"/>
              </w:rPr>
              <w:t>6 307 780</w:t>
            </w:r>
          </w:p>
        </w:tc>
        <w:tc>
          <w:tcPr>
            <w:tcW w:w="1619" w:type="dxa"/>
            <w:tcBorders>
              <w:top w:val="single" w:sz="4" w:space="0" w:color="auto"/>
              <w:bottom w:val="nil"/>
              <w:right w:val="single" w:sz="4" w:space="0" w:color="auto"/>
            </w:tcBorders>
          </w:tcPr>
          <w:p w14:paraId="48A5ED6A" w14:textId="77777777" w:rsidR="00081999" w:rsidRPr="00081999" w:rsidRDefault="00081999" w:rsidP="00081999">
            <w:pPr>
              <w:ind w:right="340"/>
              <w:jc w:val="right"/>
              <w:rPr>
                <w:sz w:val="20"/>
                <w:szCs w:val="20"/>
              </w:rPr>
            </w:pPr>
            <w:r w:rsidRPr="00081999">
              <w:rPr>
                <w:sz w:val="20"/>
                <w:szCs w:val="20"/>
              </w:rPr>
              <w:t>17 587 068</w:t>
            </w:r>
          </w:p>
        </w:tc>
      </w:tr>
      <w:tr w:rsidR="00081999" w:rsidRPr="00081999" w14:paraId="68D09762" w14:textId="77777777" w:rsidTr="00BB7F01">
        <w:trPr>
          <w:jc w:val="center"/>
        </w:trPr>
        <w:tc>
          <w:tcPr>
            <w:tcW w:w="2427" w:type="dxa"/>
            <w:tcBorders>
              <w:top w:val="nil"/>
              <w:bottom w:val="nil"/>
            </w:tcBorders>
          </w:tcPr>
          <w:p w14:paraId="140EDBE3" w14:textId="77777777" w:rsidR="00081999" w:rsidRPr="00081999" w:rsidRDefault="00081999" w:rsidP="00081999">
            <w:pPr>
              <w:rPr>
                <w:sz w:val="20"/>
                <w:szCs w:val="20"/>
              </w:rPr>
            </w:pPr>
            <w:r w:rsidRPr="00081999">
              <w:rPr>
                <w:sz w:val="20"/>
                <w:szCs w:val="20"/>
              </w:rPr>
              <w:t>Banamex</w:t>
            </w:r>
          </w:p>
        </w:tc>
        <w:tc>
          <w:tcPr>
            <w:tcW w:w="1469" w:type="dxa"/>
            <w:tcBorders>
              <w:top w:val="nil"/>
              <w:bottom w:val="nil"/>
            </w:tcBorders>
          </w:tcPr>
          <w:p w14:paraId="191660B8" w14:textId="77777777" w:rsidR="00081999" w:rsidRPr="00081999" w:rsidRDefault="00081999" w:rsidP="00081999">
            <w:pPr>
              <w:ind w:right="227"/>
              <w:jc w:val="right"/>
              <w:rPr>
                <w:sz w:val="20"/>
                <w:szCs w:val="20"/>
              </w:rPr>
            </w:pPr>
            <w:r w:rsidRPr="00081999">
              <w:rPr>
                <w:sz w:val="20"/>
                <w:szCs w:val="20"/>
              </w:rPr>
              <w:t>6 307 266</w:t>
            </w:r>
          </w:p>
        </w:tc>
        <w:tc>
          <w:tcPr>
            <w:tcW w:w="1921" w:type="dxa"/>
            <w:tcBorders>
              <w:top w:val="nil"/>
              <w:bottom w:val="nil"/>
            </w:tcBorders>
          </w:tcPr>
          <w:p w14:paraId="0A8930BD" w14:textId="77777777" w:rsidR="00081999" w:rsidRPr="00081999" w:rsidRDefault="00081999" w:rsidP="00081999">
            <w:pPr>
              <w:ind w:right="397"/>
              <w:jc w:val="right"/>
              <w:rPr>
                <w:sz w:val="20"/>
                <w:szCs w:val="20"/>
              </w:rPr>
            </w:pPr>
            <w:r w:rsidRPr="00081999">
              <w:rPr>
                <w:sz w:val="20"/>
                <w:szCs w:val="20"/>
              </w:rPr>
              <w:t>1 441 507</w:t>
            </w:r>
          </w:p>
        </w:tc>
        <w:tc>
          <w:tcPr>
            <w:tcW w:w="1492" w:type="dxa"/>
            <w:tcBorders>
              <w:top w:val="nil"/>
              <w:bottom w:val="nil"/>
            </w:tcBorders>
          </w:tcPr>
          <w:p w14:paraId="4C1F777C" w14:textId="77777777" w:rsidR="00081999" w:rsidRPr="00081999" w:rsidRDefault="00081999" w:rsidP="00081999">
            <w:pPr>
              <w:ind w:right="284"/>
              <w:jc w:val="right"/>
              <w:rPr>
                <w:sz w:val="20"/>
                <w:szCs w:val="20"/>
              </w:rPr>
            </w:pPr>
            <w:r w:rsidRPr="00081999">
              <w:rPr>
                <w:sz w:val="20"/>
                <w:szCs w:val="20"/>
              </w:rPr>
              <w:t>-</w:t>
            </w:r>
          </w:p>
        </w:tc>
        <w:tc>
          <w:tcPr>
            <w:tcW w:w="1619" w:type="dxa"/>
            <w:tcBorders>
              <w:top w:val="nil"/>
              <w:bottom w:val="nil"/>
              <w:right w:val="single" w:sz="4" w:space="0" w:color="auto"/>
            </w:tcBorders>
          </w:tcPr>
          <w:p w14:paraId="6E37AC0E" w14:textId="77777777" w:rsidR="00081999" w:rsidRPr="00081999" w:rsidRDefault="00081999" w:rsidP="00081999">
            <w:pPr>
              <w:ind w:right="340"/>
              <w:jc w:val="right"/>
              <w:rPr>
                <w:sz w:val="20"/>
                <w:szCs w:val="20"/>
              </w:rPr>
            </w:pPr>
            <w:r w:rsidRPr="00081999">
              <w:rPr>
                <w:sz w:val="20"/>
                <w:szCs w:val="20"/>
              </w:rPr>
              <w:t>7 748 773</w:t>
            </w:r>
          </w:p>
        </w:tc>
      </w:tr>
      <w:tr w:rsidR="00081999" w:rsidRPr="00081999" w14:paraId="279B03B5" w14:textId="77777777" w:rsidTr="00BB7F01">
        <w:trPr>
          <w:jc w:val="center"/>
        </w:trPr>
        <w:tc>
          <w:tcPr>
            <w:tcW w:w="2427" w:type="dxa"/>
            <w:tcBorders>
              <w:top w:val="nil"/>
              <w:bottom w:val="nil"/>
            </w:tcBorders>
          </w:tcPr>
          <w:p w14:paraId="254C8603" w14:textId="77777777" w:rsidR="00081999" w:rsidRPr="00081999" w:rsidRDefault="00081999" w:rsidP="00081999">
            <w:pPr>
              <w:rPr>
                <w:sz w:val="20"/>
                <w:szCs w:val="20"/>
              </w:rPr>
            </w:pPr>
            <w:r w:rsidRPr="00081999">
              <w:rPr>
                <w:sz w:val="20"/>
                <w:szCs w:val="20"/>
              </w:rPr>
              <w:t>Coppel</w:t>
            </w:r>
          </w:p>
        </w:tc>
        <w:tc>
          <w:tcPr>
            <w:tcW w:w="1469" w:type="dxa"/>
            <w:tcBorders>
              <w:top w:val="nil"/>
              <w:bottom w:val="nil"/>
            </w:tcBorders>
          </w:tcPr>
          <w:p w14:paraId="03BDDACA" w14:textId="77777777" w:rsidR="00081999" w:rsidRPr="00081999" w:rsidRDefault="00081999" w:rsidP="00081999">
            <w:pPr>
              <w:ind w:right="227"/>
              <w:jc w:val="right"/>
              <w:rPr>
                <w:sz w:val="20"/>
                <w:szCs w:val="20"/>
              </w:rPr>
            </w:pPr>
            <w:r w:rsidRPr="00081999">
              <w:rPr>
                <w:sz w:val="20"/>
                <w:szCs w:val="20"/>
              </w:rPr>
              <w:t>6 787 981</w:t>
            </w:r>
          </w:p>
        </w:tc>
        <w:tc>
          <w:tcPr>
            <w:tcW w:w="1921" w:type="dxa"/>
            <w:tcBorders>
              <w:top w:val="nil"/>
              <w:bottom w:val="nil"/>
            </w:tcBorders>
          </w:tcPr>
          <w:p w14:paraId="257F259E" w14:textId="77777777" w:rsidR="00081999" w:rsidRPr="00081999" w:rsidRDefault="00081999" w:rsidP="00081999">
            <w:pPr>
              <w:ind w:right="397"/>
              <w:jc w:val="right"/>
              <w:rPr>
                <w:sz w:val="20"/>
                <w:szCs w:val="20"/>
              </w:rPr>
            </w:pPr>
            <w:r w:rsidRPr="00081999">
              <w:rPr>
                <w:sz w:val="20"/>
                <w:szCs w:val="20"/>
              </w:rPr>
              <w:t>83</w:t>
            </w:r>
          </w:p>
        </w:tc>
        <w:tc>
          <w:tcPr>
            <w:tcW w:w="1492" w:type="dxa"/>
            <w:tcBorders>
              <w:top w:val="nil"/>
              <w:bottom w:val="nil"/>
            </w:tcBorders>
          </w:tcPr>
          <w:p w14:paraId="19D2D4A6" w14:textId="77777777" w:rsidR="00081999" w:rsidRPr="00081999" w:rsidRDefault="00081999" w:rsidP="00081999">
            <w:pPr>
              <w:ind w:right="284"/>
              <w:jc w:val="right"/>
              <w:rPr>
                <w:sz w:val="20"/>
                <w:szCs w:val="20"/>
              </w:rPr>
            </w:pPr>
            <w:r w:rsidRPr="00081999">
              <w:rPr>
                <w:sz w:val="20"/>
                <w:szCs w:val="20"/>
              </w:rPr>
              <w:t>-</w:t>
            </w:r>
          </w:p>
        </w:tc>
        <w:tc>
          <w:tcPr>
            <w:tcW w:w="1619" w:type="dxa"/>
            <w:tcBorders>
              <w:top w:val="nil"/>
              <w:bottom w:val="nil"/>
              <w:right w:val="single" w:sz="4" w:space="0" w:color="auto"/>
            </w:tcBorders>
          </w:tcPr>
          <w:p w14:paraId="4834AB43" w14:textId="77777777" w:rsidR="00081999" w:rsidRPr="00081999" w:rsidRDefault="00081999" w:rsidP="00081999">
            <w:pPr>
              <w:ind w:right="340"/>
              <w:jc w:val="right"/>
              <w:rPr>
                <w:sz w:val="20"/>
                <w:szCs w:val="20"/>
              </w:rPr>
            </w:pPr>
            <w:r w:rsidRPr="00081999">
              <w:rPr>
                <w:sz w:val="20"/>
                <w:szCs w:val="20"/>
              </w:rPr>
              <w:t>6 788 064</w:t>
            </w:r>
          </w:p>
        </w:tc>
      </w:tr>
      <w:tr w:rsidR="00081999" w:rsidRPr="00081999" w14:paraId="483B7713" w14:textId="77777777" w:rsidTr="00BB7F01">
        <w:trPr>
          <w:jc w:val="center"/>
        </w:trPr>
        <w:tc>
          <w:tcPr>
            <w:tcW w:w="2427" w:type="dxa"/>
            <w:tcBorders>
              <w:top w:val="nil"/>
              <w:bottom w:val="nil"/>
            </w:tcBorders>
          </w:tcPr>
          <w:p w14:paraId="00E9EC7B" w14:textId="77777777" w:rsidR="00081999" w:rsidRPr="00081999" w:rsidRDefault="00081999" w:rsidP="00081999">
            <w:pPr>
              <w:rPr>
                <w:sz w:val="20"/>
                <w:szCs w:val="20"/>
              </w:rPr>
            </w:pPr>
            <w:r w:rsidRPr="00081999">
              <w:rPr>
                <w:sz w:val="20"/>
                <w:szCs w:val="20"/>
              </w:rPr>
              <w:t>SURA</w:t>
            </w:r>
          </w:p>
        </w:tc>
        <w:tc>
          <w:tcPr>
            <w:tcW w:w="1469" w:type="dxa"/>
            <w:tcBorders>
              <w:top w:val="nil"/>
              <w:bottom w:val="nil"/>
            </w:tcBorders>
          </w:tcPr>
          <w:p w14:paraId="2921E73A" w14:textId="77777777" w:rsidR="00081999" w:rsidRPr="00081999" w:rsidRDefault="00081999" w:rsidP="00081999">
            <w:pPr>
              <w:ind w:right="227"/>
              <w:jc w:val="right"/>
              <w:rPr>
                <w:sz w:val="20"/>
                <w:szCs w:val="20"/>
              </w:rPr>
            </w:pPr>
            <w:r w:rsidRPr="00081999">
              <w:rPr>
                <w:sz w:val="20"/>
                <w:szCs w:val="20"/>
              </w:rPr>
              <w:t>3 990 692</w:t>
            </w:r>
          </w:p>
        </w:tc>
        <w:tc>
          <w:tcPr>
            <w:tcW w:w="1921" w:type="dxa"/>
            <w:tcBorders>
              <w:top w:val="nil"/>
              <w:bottom w:val="nil"/>
            </w:tcBorders>
          </w:tcPr>
          <w:p w14:paraId="14B06CEC" w14:textId="77777777" w:rsidR="00081999" w:rsidRPr="00081999" w:rsidRDefault="00081999" w:rsidP="00081999">
            <w:pPr>
              <w:ind w:right="397"/>
              <w:jc w:val="right"/>
              <w:rPr>
                <w:sz w:val="20"/>
                <w:szCs w:val="20"/>
              </w:rPr>
            </w:pPr>
            <w:r w:rsidRPr="00081999">
              <w:rPr>
                <w:sz w:val="20"/>
                <w:szCs w:val="20"/>
              </w:rPr>
              <w:t>2 063 416</w:t>
            </w:r>
          </w:p>
        </w:tc>
        <w:tc>
          <w:tcPr>
            <w:tcW w:w="1492" w:type="dxa"/>
            <w:tcBorders>
              <w:top w:val="nil"/>
              <w:bottom w:val="nil"/>
            </w:tcBorders>
          </w:tcPr>
          <w:p w14:paraId="4F4F5856" w14:textId="77777777" w:rsidR="00081999" w:rsidRPr="00081999" w:rsidRDefault="00081999" w:rsidP="00081999">
            <w:pPr>
              <w:ind w:right="284"/>
              <w:jc w:val="right"/>
              <w:rPr>
                <w:sz w:val="20"/>
                <w:szCs w:val="20"/>
              </w:rPr>
            </w:pPr>
            <w:r w:rsidRPr="00081999">
              <w:rPr>
                <w:sz w:val="20"/>
                <w:szCs w:val="20"/>
              </w:rPr>
              <w:t>-</w:t>
            </w:r>
          </w:p>
        </w:tc>
        <w:tc>
          <w:tcPr>
            <w:tcW w:w="1619" w:type="dxa"/>
            <w:tcBorders>
              <w:top w:val="nil"/>
              <w:bottom w:val="nil"/>
              <w:right w:val="single" w:sz="4" w:space="0" w:color="auto"/>
            </w:tcBorders>
          </w:tcPr>
          <w:p w14:paraId="31FCBF16" w14:textId="77777777" w:rsidR="00081999" w:rsidRPr="00081999" w:rsidRDefault="00081999" w:rsidP="00081999">
            <w:pPr>
              <w:ind w:right="340"/>
              <w:jc w:val="right"/>
              <w:rPr>
                <w:sz w:val="20"/>
                <w:szCs w:val="20"/>
              </w:rPr>
            </w:pPr>
            <w:r w:rsidRPr="00081999">
              <w:rPr>
                <w:sz w:val="20"/>
                <w:szCs w:val="20"/>
              </w:rPr>
              <w:t>6 054 108</w:t>
            </w:r>
          </w:p>
        </w:tc>
      </w:tr>
      <w:tr w:rsidR="00081999" w:rsidRPr="00081999" w14:paraId="7949502E" w14:textId="77777777" w:rsidTr="00BB7F01">
        <w:trPr>
          <w:jc w:val="center"/>
        </w:trPr>
        <w:tc>
          <w:tcPr>
            <w:tcW w:w="2427" w:type="dxa"/>
            <w:tcBorders>
              <w:top w:val="nil"/>
              <w:bottom w:val="nil"/>
            </w:tcBorders>
          </w:tcPr>
          <w:p w14:paraId="2C53E3B4" w14:textId="77777777" w:rsidR="00081999" w:rsidRPr="00081999" w:rsidRDefault="00081999" w:rsidP="00081999">
            <w:pPr>
              <w:jc w:val="both"/>
              <w:rPr>
                <w:sz w:val="20"/>
                <w:szCs w:val="20"/>
              </w:rPr>
            </w:pPr>
            <w:r w:rsidRPr="00081999">
              <w:rPr>
                <w:sz w:val="20"/>
                <w:szCs w:val="20"/>
              </w:rPr>
              <w:t>Principal</w:t>
            </w:r>
          </w:p>
        </w:tc>
        <w:tc>
          <w:tcPr>
            <w:tcW w:w="1469" w:type="dxa"/>
            <w:tcBorders>
              <w:top w:val="nil"/>
              <w:bottom w:val="nil"/>
            </w:tcBorders>
          </w:tcPr>
          <w:p w14:paraId="29533507" w14:textId="77777777" w:rsidR="00081999" w:rsidRPr="00081999" w:rsidRDefault="00081999" w:rsidP="00081999">
            <w:pPr>
              <w:ind w:right="227"/>
              <w:jc w:val="right"/>
              <w:rPr>
                <w:sz w:val="20"/>
                <w:szCs w:val="20"/>
              </w:rPr>
            </w:pPr>
            <w:r w:rsidRPr="00081999">
              <w:rPr>
                <w:sz w:val="20"/>
                <w:szCs w:val="20"/>
              </w:rPr>
              <w:t>2 316 026</w:t>
            </w:r>
          </w:p>
        </w:tc>
        <w:tc>
          <w:tcPr>
            <w:tcW w:w="1921" w:type="dxa"/>
            <w:tcBorders>
              <w:top w:val="nil"/>
              <w:bottom w:val="nil"/>
            </w:tcBorders>
          </w:tcPr>
          <w:p w14:paraId="78260FB4" w14:textId="77777777" w:rsidR="00081999" w:rsidRPr="00081999" w:rsidRDefault="00081999" w:rsidP="00081999">
            <w:pPr>
              <w:ind w:right="397"/>
              <w:jc w:val="right"/>
              <w:rPr>
                <w:sz w:val="20"/>
                <w:szCs w:val="20"/>
              </w:rPr>
            </w:pPr>
            <w:r w:rsidRPr="00081999">
              <w:rPr>
                <w:sz w:val="20"/>
                <w:szCs w:val="20"/>
              </w:rPr>
              <w:t>1 344 128</w:t>
            </w:r>
          </w:p>
        </w:tc>
        <w:tc>
          <w:tcPr>
            <w:tcW w:w="1492" w:type="dxa"/>
            <w:tcBorders>
              <w:top w:val="nil"/>
              <w:bottom w:val="nil"/>
            </w:tcBorders>
          </w:tcPr>
          <w:p w14:paraId="67355523" w14:textId="77777777" w:rsidR="00081999" w:rsidRPr="00081999" w:rsidRDefault="00081999" w:rsidP="00081999">
            <w:pPr>
              <w:ind w:right="284"/>
              <w:jc w:val="right"/>
              <w:rPr>
                <w:sz w:val="20"/>
                <w:szCs w:val="20"/>
              </w:rPr>
            </w:pPr>
            <w:r w:rsidRPr="00081999">
              <w:rPr>
                <w:sz w:val="20"/>
                <w:szCs w:val="20"/>
              </w:rPr>
              <w:t>-</w:t>
            </w:r>
          </w:p>
        </w:tc>
        <w:tc>
          <w:tcPr>
            <w:tcW w:w="1619" w:type="dxa"/>
            <w:tcBorders>
              <w:top w:val="nil"/>
              <w:bottom w:val="nil"/>
              <w:right w:val="single" w:sz="4" w:space="0" w:color="auto"/>
            </w:tcBorders>
          </w:tcPr>
          <w:p w14:paraId="04101D86" w14:textId="77777777" w:rsidR="00081999" w:rsidRPr="00081999" w:rsidRDefault="00081999" w:rsidP="00081999">
            <w:pPr>
              <w:ind w:right="340"/>
              <w:jc w:val="right"/>
              <w:rPr>
                <w:sz w:val="20"/>
                <w:szCs w:val="20"/>
              </w:rPr>
            </w:pPr>
            <w:r w:rsidRPr="00081999">
              <w:rPr>
                <w:sz w:val="20"/>
                <w:szCs w:val="20"/>
              </w:rPr>
              <w:t>3 660 154</w:t>
            </w:r>
          </w:p>
        </w:tc>
      </w:tr>
      <w:tr w:rsidR="00081999" w:rsidRPr="00081999" w14:paraId="66478A83" w14:textId="77777777" w:rsidTr="00BB7F01">
        <w:trPr>
          <w:jc w:val="center"/>
        </w:trPr>
        <w:tc>
          <w:tcPr>
            <w:tcW w:w="2427" w:type="dxa"/>
            <w:tcBorders>
              <w:top w:val="nil"/>
              <w:bottom w:val="nil"/>
            </w:tcBorders>
          </w:tcPr>
          <w:p w14:paraId="0C95DEE3" w14:textId="77777777" w:rsidR="00081999" w:rsidRPr="00081999" w:rsidRDefault="00081999" w:rsidP="00081999">
            <w:pPr>
              <w:rPr>
                <w:sz w:val="20"/>
                <w:szCs w:val="20"/>
              </w:rPr>
            </w:pPr>
            <w:r w:rsidRPr="00081999">
              <w:rPr>
                <w:sz w:val="20"/>
                <w:szCs w:val="20"/>
              </w:rPr>
              <w:t>Profuturo GNP</w:t>
            </w:r>
          </w:p>
        </w:tc>
        <w:tc>
          <w:tcPr>
            <w:tcW w:w="1469" w:type="dxa"/>
            <w:tcBorders>
              <w:top w:val="nil"/>
              <w:bottom w:val="nil"/>
            </w:tcBorders>
          </w:tcPr>
          <w:p w14:paraId="6C946CC6" w14:textId="77777777" w:rsidR="00081999" w:rsidRPr="00081999" w:rsidRDefault="00081999" w:rsidP="00081999">
            <w:pPr>
              <w:ind w:right="227"/>
              <w:jc w:val="right"/>
              <w:rPr>
                <w:sz w:val="20"/>
                <w:szCs w:val="20"/>
              </w:rPr>
            </w:pPr>
            <w:r w:rsidRPr="00081999">
              <w:rPr>
                <w:sz w:val="20"/>
                <w:szCs w:val="20"/>
              </w:rPr>
              <w:t>2 709 810</w:t>
            </w:r>
          </w:p>
        </w:tc>
        <w:tc>
          <w:tcPr>
            <w:tcW w:w="1921" w:type="dxa"/>
            <w:tcBorders>
              <w:top w:val="nil"/>
              <w:bottom w:val="nil"/>
            </w:tcBorders>
          </w:tcPr>
          <w:p w14:paraId="151DDE9E" w14:textId="77777777" w:rsidR="00081999" w:rsidRPr="00081999" w:rsidRDefault="00081999" w:rsidP="00081999">
            <w:pPr>
              <w:ind w:right="397"/>
              <w:jc w:val="right"/>
              <w:rPr>
                <w:sz w:val="20"/>
                <w:szCs w:val="20"/>
              </w:rPr>
            </w:pPr>
            <w:r w:rsidRPr="00081999">
              <w:rPr>
                <w:sz w:val="20"/>
                <w:szCs w:val="20"/>
              </w:rPr>
              <w:t>535 289</w:t>
            </w:r>
          </w:p>
        </w:tc>
        <w:tc>
          <w:tcPr>
            <w:tcW w:w="1492" w:type="dxa"/>
            <w:tcBorders>
              <w:top w:val="nil"/>
              <w:bottom w:val="nil"/>
            </w:tcBorders>
          </w:tcPr>
          <w:p w14:paraId="35F22273" w14:textId="77777777" w:rsidR="00081999" w:rsidRPr="00081999" w:rsidRDefault="00081999" w:rsidP="00081999">
            <w:pPr>
              <w:ind w:right="284"/>
              <w:jc w:val="right"/>
              <w:rPr>
                <w:sz w:val="20"/>
                <w:szCs w:val="20"/>
              </w:rPr>
            </w:pPr>
            <w:r w:rsidRPr="00081999">
              <w:rPr>
                <w:sz w:val="20"/>
                <w:szCs w:val="20"/>
              </w:rPr>
              <w:t>-</w:t>
            </w:r>
          </w:p>
        </w:tc>
        <w:tc>
          <w:tcPr>
            <w:tcW w:w="1619" w:type="dxa"/>
            <w:tcBorders>
              <w:top w:val="nil"/>
              <w:bottom w:val="nil"/>
              <w:right w:val="single" w:sz="4" w:space="0" w:color="auto"/>
            </w:tcBorders>
          </w:tcPr>
          <w:p w14:paraId="25206175" w14:textId="77777777" w:rsidR="00081999" w:rsidRPr="00081999" w:rsidRDefault="00081999" w:rsidP="00081999">
            <w:pPr>
              <w:ind w:right="340"/>
              <w:jc w:val="right"/>
              <w:rPr>
                <w:sz w:val="20"/>
                <w:szCs w:val="20"/>
              </w:rPr>
            </w:pPr>
            <w:r w:rsidRPr="00081999">
              <w:rPr>
                <w:sz w:val="20"/>
                <w:szCs w:val="20"/>
              </w:rPr>
              <w:t>3 245 099</w:t>
            </w:r>
          </w:p>
        </w:tc>
      </w:tr>
      <w:tr w:rsidR="00081999" w:rsidRPr="00081999" w14:paraId="1A786CE7" w14:textId="77777777" w:rsidTr="00BB7F01">
        <w:trPr>
          <w:jc w:val="center"/>
        </w:trPr>
        <w:tc>
          <w:tcPr>
            <w:tcW w:w="2427" w:type="dxa"/>
            <w:tcBorders>
              <w:top w:val="nil"/>
              <w:bottom w:val="nil"/>
            </w:tcBorders>
          </w:tcPr>
          <w:p w14:paraId="6199A897" w14:textId="77777777" w:rsidR="00081999" w:rsidRPr="00081999" w:rsidRDefault="00081999" w:rsidP="00081999">
            <w:pPr>
              <w:rPr>
                <w:sz w:val="20"/>
                <w:szCs w:val="20"/>
              </w:rPr>
            </w:pPr>
            <w:r w:rsidRPr="00081999">
              <w:rPr>
                <w:sz w:val="20"/>
                <w:szCs w:val="20"/>
              </w:rPr>
              <w:t xml:space="preserve">Invercap </w:t>
            </w:r>
          </w:p>
        </w:tc>
        <w:tc>
          <w:tcPr>
            <w:tcW w:w="1469" w:type="dxa"/>
            <w:tcBorders>
              <w:top w:val="nil"/>
              <w:bottom w:val="nil"/>
            </w:tcBorders>
          </w:tcPr>
          <w:p w14:paraId="5EE5A35D" w14:textId="77777777" w:rsidR="00081999" w:rsidRPr="00081999" w:rsidRDefault="00081999" w:rsidP="00081999">
            <w:pPr>
              <w:ind w:right="227"/>
              <w:jc w:val="right"/>
              <w:rPr>
                <w:sz w:val="20"/>
                <w:szCs w:val="20"/>
              </w:rPr>
            </w:pPr>
            <w:r w:rsidRPr="00081999">
              <w:rPr>
                <w:sz w:val="20"/>
                <w:szCs w:val="20"/>
              </w:rPr>
              <w:t>1 732 254</w:t>
            </w:r>
          </w:p>
        </w:tc>
        <w:tc>
          <w:tcPr>
            <w:tcW w:w="1921" w:type="dxa"/>
            <w:tcBorders>
              <w:top w:val="nil"/>
              <w:bottom w:val="nil"/>
            </w:tcBorders>
          </w:tcPr>
          <w:p w14:paraId="2AB8FFF4" w14:textId="77777777" w:rsidR="00081999" w:rsidRPr="00081999" w:rsidRDefault="00081999" w:rsidP="00081999">
            <w:pPr>
              <w:ind w:right="397"/>
              <w:jc w:val="right"/>
              <w:rPr>
                <w:sz w:val="20"/>
                <w:szCs w:val="20"/>
              </w:rPr>
            </w:pPr>
            <w:r w:rsidRPr="00081999">
              <w:rPr>
                <w:sz w:val="20"/>
                <w:szCs w:val="20"/>
              </w:rPr>
              <w:t>1 388 580</w:t>
            </w:r>
          </w:p>
        </w:tc>
        <w:tc>
          <w:tcPr>
            <w:tcW w:w="1492" w:type="dxa"/>
            <w:tcBorders>
              <w:top w:val="nil"/>
              <w:bottom w:val="nil"/>
            </w:tcBorders>
          </w:tcPr>
          <w:p w14:paraId="163FECF7" w14:textId="77777777" w:rsidR="00081999" w:rsidRPr="00081999" w:rsidRDefault="00081999" w:rsidP="00081999">
            <w:pPr>
              <w:ind w:right="284"/>
              <w:jc w:val="right"/>
              <w:rPr>
                <w:sz w:val="20"/>
                <w:szCs w:val="20"/>
              </w:rPr>
            </w:pPr>
            <w:r w:rsidRPr="00081999">
              <w:rPr>
                <w:sz w:val="20"/>
                <w:szCs w:val="20"/>
              </w:rPr>
              <w:t>-</w:t>
            </w:r>
          </w:p>
        </w:tc>
        <w:tc>
          <w:tcPr>
            <w:tcW w:w="1619" w:type="dxa"/>
            <w:tcBorders>
              <w:top w:val="nil"/>
              <w:bottom w:val="nil"/>
              <w:right w:val="single" w:sz="4" w:space="0" w:color="auto"/>
            </w:tcBorders>
          </w:tcPr>
          <w:p w14:paraId="2D72717C" w14:textId="77777777" w:rsidR="00081999" w:rsidRPr="00081999" w:rsidRDefault="00081999" w:rsidP="00081999">
            <w:pPr>
              <w:ind w:right="340"/>
              <w:jc w:val="right"/>
              <w:rPr>
                <w:sz w:val="20"/>
                <w:szCs w:val="20"/>
              </w:rPr>
            </w:pPr>
            <w:r w:rsidRPr="00081999">
              <w:rPr>
                <w:sz w:val="20"/>
                <w:szCs w:val="20"/>
              </w:rPr>
              <w:t>3 120 834</w:t>
            </w:r>
          </w:p>
        </w:tc>
      </w:tr>
      <w:tr w:rsidR="00081999" w:rsidRPr="00081999" w14:paraId="3EF87286" w14:textId="77777777" w:rsidTr="00BB7F01">
        <w:trPr>
          <w:jc w:val="center"/>
        </w:trPr>
        <w:tc>
          <w:tcPr>
            <w:tcW w:w="2427" w:type="dxa"/>
            <w:tcBorders>
              <w:top w:val="nil"/>
              <w:bottom w:val="nil"/>
            </w:tcBorders>
          </w:tcPr>
          <w:p w14:paraId="18F69F01" w14:textId="77777777" w:rsidR="00081999" w:rsidRPr="00081999" w:rsidRDefault="00081999" w:rsidP="00081999">
            <w:pPr>
              <w:rPr>
                <w:sz w:val="20"/>
                <w:szCs w:val="20"/>
              </w:rPr>
            </w:pPr>
            <w:r w:rsidRPr="00081999">
              <w:rPr>
                <w:sz w:val="20"/>
                <w:szCs w:val="20"/>
              </w:rPr>
              <w:t>Azteca</w:t>
            </w:r>
          </w:p>
        </w:tc>
        <w:tc>
          <w:tcPr>
            <w:tcW w:w="1469" w:type="dxa"/>
            <w:tcBorders>
              <w:top w:val="nil"/>
              <w:bottom w:val="nil"/>
            </w:tcBorders>
          </w:tcPr>
          <w:p w14:paraId="483EAEF9" w14:textId="77777777" w:rsidR="00081999" w:rsidRPr="00081999" w:rsidRDefault="00081999" w:rsidP="00081999">
            <w:pPr>
              <w:ind w:right="227"/>
              <w:jc w:val="right"/>
              <w:rPr>
                <w:sz w:val="20"/>
                <w:szCs w:val="20"/>
              </w:rPr>
            </w:pPr>
            <w:r w:rsidRPr="00081999">
              <w:rPr>
                <w:sz w:val="20"/>
                <w:szCs w:val="20"/>
              </w:rPr>
              <w:t>1 314 560</w:t>
            </w:r>
          </w:p>
        </w:tc>
        <w:tc>
          <w:tcPr>
            <w:tcW w:w="1921" w:type="dxa"/>
            <w:tcBorders>
              <w:top w:val="nil"/>
              <w:bottom w:val="nil"/>
            </w:tcBorders>
          </w:tcPr>
          <w:p w14:paraId="27CB567B" w14:textId="77777777" w:rsidR="00081999" w:rsidRPr="00081999" w:rsidRDefault="00081999" w:rsidP="00081999">
            <w:pPr>
              <w:ind w:right="397"/>
              <w:jc w:val="right"/>
              <w:rPr>
                <w:sz w:val="20"/>
                <w:szCs w:val="20"/>
              </w:rPr>
            </w:pPr>
            <w:r w:rsidRPr="00081999">
              <w:rPr>
                <w:sz w:val="20"/>
                <w:szCs w:val="20"/>
              </w:rPr>
              <w:t>448</w:t>
            </w:r>
          </w:p>
        </w:tc>
        <w:tc>
          <w:tcPr>
            <w:tcW w:w="1492" w:type="dxa"/>
            <w:tcBorders>
              <w:top w:val="nil"/>
              <w:bottom w:val="nil"/>
            </w:tcBorders>
          </w:tcPr>
          <w:p w14:paraId="3EC18639" w14:textId="77777777" w:rsidR="00081999" w:rsidRPr="00081999" w:rsidRDefault="00081999" w:rsidP="00081999">
            <w:pPr>
              <w:ind w:right="284"/>
              <w:jc w:val="right"/>
              <w:rPr>
                <w:sz w:val="20"/>
                <w:szCs w:val="20"/>
              </w:rPr>
            </w:pPr>
            <w:r w:rsidRPr="00081999">
              <w:rPr>
                <w:sz w:val="20"/>
                <w:szCs w:val="20"/>
              </w:rPr>
              <w:t>-</w:t>
            </w:r>
          </w:p>
        </w:tc>
        <w:tc>
          <w:tcPr>
            <w:tcW w:w="1619" w:type="dxa"/>
            <w:tcBorders>
              <w:top w:val="nil"/>
              <w:bottom w:val="nil"/>
              <w:right w:val="single" w:sz="4" w:space="0" w:color="auto"/>
            </w:tcBorders>
          </w:tcPr>
          <w:p w14:paraId="214714DF" w14:textId="77777777" w:rsidR="00081999" w:rsidRPr="00081999" w:rsidRDefault="00081999" w:rsidP="00081999">
            <w:pPr>
              <w:ind w:right="340"/>
              <w:jc w:val="right"/>
              <w:rPr>
                <w:sz w:val="20"/>
                <w:szCs w:val="20"/>
              </w:rPr>
            </w:pPr>
            <w:r w:rsidRPr="00081999">
              <w:rPr>
                <w:sz w:val="20"/>
                <w:szCs w:val="20"/>
              </w:rPr>
              <w:t>1 315 008</w:t>
            </w:r>
          </w:p>
        </w:tc>
      </w:tr>
      <w:tr w:rsidR="00081999" w:rsidRPr="00081999" w14:paraId="4C63D782" w14:textId="77777777" w:rsidTr="00BB7F01">
        <w:trPr>
          <w:jc w:val="center"/>
        </w:trPr>
        <w:tc>
          <w:tcPr>
            <w:tcW w:w="2427" w:type="dxa"/>
            <w:tcBorders>
              <w:top w:val="nil"/>
              <w:bottom w:val="nil"/>
            </w:tcBorders>
          </w:tcPr>
          <w:p w14:paraId="5C4E4B68" w14:textId="77777777" w:rsidR="00081999" w:rsidRPr="00081999" w:rsidRDefault="00081999" w:rsidP="00081999">
            <w:pPr>
              <w:rPr>
                <w:sz w:val="20"/>
                <w:szCs w:val="20"/>
              </w:rPr>
            </w:pPr>
            <w:r w:rsidRPr="00081999">
              <w:rPr>
                <w:sz w:val="20"/>
                <w:szCs w:val="20"/>
              </w:rPr>
              <w:t>PensionISSSTE</w:t>
            </w:r>
          </w:p>
        </w:tc>
        <w:tc>
          <w:tcPr>
            <w:tcW w:w="1469" w:type="dxa"/>
            <w:tcBorders>
              <w:top w:val="nil"/>
              <w:left w:val="single" w:sz="4" w:space="0" w:color="auto"/>
              <w:bottom w:val="nil"/>
              <w:right w:val="single" w:sz="4" w:space="0" w:color="auto"/>
            </w:tcBorders>
          </w:tcPr>
          <w:p w14:paraId="42AFAE9F" w14:textId="77777777" w:rsidR="00081999" w:rsidRPr="00081999" w:rsidRDefault="00081999" w:rsidP="00081999">
            <w:pPr>
              <w:ind w:right="227"/>
              <w:jc w:val="right"/>
              <w:rPr>
                <w:sz w:val="20"/>
                <w:szCs w:val="20"/>
              </w:rPr>
            </w:pPr>
            <w:r w:rsidRPr="00081999">
              <w:rPr>
                <w:sz w:val="20"/>
                <w:szCs w:val="20"/>
              </w:rPr>
              <w:t>1 196 651</w:t>
            </w:r>
          </w:p>
        </w:tc>
        <w:tc>
          <w:tcPr>
            <w:tcW w:w="1921" w:type="dxa"/>
            <w:tcBorders>
              <w:top w:val="nil"/>
              <w:left w:val="single" w:sz="4" w:space="0" w:color="auto"/>
              <w:bottom w:val="nil"/>
              <w:right w:val="single" w:sz="4" w:space="0" w:color="auto"/>
            </w:tcBorders>
          </w:tcPr>
          <w:p w14:paraId="68CADB6E" w14:textId="77777777" w:rsidR="00081999" w:rsidRPr="00081999" w:rsidRDefault="00081999" w:rsidP="00081999">
            <w:pPr>
              <w:ind w:right="397"/>
              <w:jc w:val="right"/>
              <w:rPr>
                <w:sz w:val="20"/>
                <w:szCs w:val="20"/>
              </w:rPr>
            </w:pPr>
            <w:r w:rsidRPr="00081999">
              <w:rPr>
                <w:sz w:val="20"/>
                <w:szCs w:val="20"/>
              </w:rPr>
              <w:t>84 994</w:t>
            </w:r>
          </w:p>
        </w:tc>
        <w:tc>
          <w:tcPr>
            <w:tcW w:w="1492" w:type="dxa"/>
            <w:tcBorders>
              <w:top w:val="nil"/>
              <w:bottom w:val="nil"/>
            </w:tcBorders>
          </w:tcPr>
          <w:p w14:paraId="49510AB7" w14:textId="77777777" w:rsidR="00081999" w:rsidRPr="00081999" w:rsidRDefault="00081999" w:rsidP="00081999">
            <w:pPr>
              <w:ind w:right="284"/>
              <w:jc w:val="right"/>
              <w:rPr>
                <w:sz w:val="20"/>
                <w:szCs w:val="20"/>
              </w:rPr>
            </w:pPr>
            <w:r w:rsidRPr="00081999">
              <w:rPr>
                <w:sz w:val="20"/>
                <w:szCs w:val="20"/>
              </w:rPr>
              <w:t>-</w:t>
            </w:r>
          </w:p>
        </w:tc>
        <w:tc>
          <w:tcPr>
            <w:tcW w:w="1619" w:type="dxa"/>
            <w:tcBorders>
              <w:top w:val="nil"/>
              <w:bottom w:val="nil"/>
              <w:right w:val="single" w:sz="4" w:space="0" w:color="auto"/>
            </w:tcBorders>
          </w:tcPr>
          <w:p w14:paraId="4514DCB5" w14:textId="77777777" w:rsidR="00081999" w:rsidRPr="00081999" w:rsidRDefault="00081999" w:rsidP="00081999">
            <w:pPr>
              <w:ind w:right="340"/>
              <w:jc w:val="right"/>
              <w:rPr>
                <w:sz w:val="20"/>
                <w:szCs w:val="20"/>
              </w:rPr>
            </w:pPr>
            <w:r w:rsidRPr="00081999">
              <w:rPr>
                <w:sz w:val="20"/>
                <w:szCs w:val="20"/>
              </w:rPr>
              <w:t>1 281 645</w:t>
            </w:r>
          </w:p>
        </w:tc>
      </w:tr>
      <w:tr w:rsidR="00081999" w:rsidRPr="00081999" w14:paraId="50DAD70D" w14:textId="77777777" w:rsidTr="00BB7F01">
        <w:trPr>
          <w:jc w:val="center"/>
        </w:trPr>
        <w:tc>
          <w:tcPr>
            <w:tcW w:w="2427" w:type="dxa"/>
            <w:tcBorders>
              <w:top w:val="nil"/>
              <w:left w:val="single" w:sz="4" w:space="0" w:color="auto"/>
              <w:bottom w:val="nil"/>
              <w:right w:val="single" w:sz="4" w:space="0" w:color="auto"/>
            </w:tcBorders>
          </w:tcPr>
          <w:p w14:paraId="2D4F6235" w14:textId="77777777" w:rsidR="00081999" w:rsidRPr="00081999" w:rsidRDefault="00081999" w:rsidP="00081999">
            <w:pPr>
              <w:rPr>
                <w:sz w:val="20"/>
                <w:szCs w:val="20"/>
              </w:rPr>
            </w:pPr>
            <w:r w:rsidRPr="00081999">
              <w:rPr>
                <w:sz w:val="20"/>
                <w:szCs w:val="20"/>
              </w:rPr>
              <w:t>Inbursa</w:t>
            </w:r>
          </w:p>
        </w:tc>
        <w:tc>
          <w:tcPr>
            <w:tcW w:w="1469" w:type="dxa"/>
            <w:tcBorders>
              <w:top w:val="nil"/>
              <w:bottom w:val="nil"/>
            </w:tcBorders>
          </w:tcPr>
          <w:p w14:paraId="597745C6" w14:textId="77777777" w:rsidR="00081999" w:rsidRPr="00081999" w:rsidRDefault="00081999" w:rsidP="00081999">
            <w:pPr>
              <w:ind w:right="227"/>
              <w:jc w:val="right"/>
              <w:rPr>
                <w:sz w:val="20"/>
                <w:szCs w:val="20"/>
              </w:rPr>
            </w:pPr>
            <w:r w:rsidRPr="00081999">
              <w:rPr>
                <w:sz w:val="20"/>
                <w:szCs w:val="20"/>
              </w:rPr>
              <w:t>1 145 624</w:t>
            </w:r>
          </w:p>
        </w:tc>
        <w:tc>
          <w:tcPr>
            <w:tcW w:w="1921" w:type="dxa"/>
            <w:tcBorders>
              <w:top w:val="nil"/>
              <w:bottom w:val="nil"/>
            </w:tcBorders>
          </w:tcPr>
          <w:p w14:paraId="4FBC9173" w14:textId="77777777" w:rsidR="00081999" w:rsidRPr="00081999" w:rsidRDefault="00081999" w:rsidP="00081999">
            <w:pPr>
              <w:ind w:right="397"/>
              <w:jc w:val="right"/>
              <w:rPr>
                <w:sz w:val="20"/>
                <w:szCs w:val="20"/>
              </w:rPr>
            </w:pPr>
            <w:r w:rsidRPr="00081999">
              <w:rPr>
                <w:sz w:val="20"/>
                <w:szCs w:val="20"/>
              </w:rPr>
              <w:t>646</w:t>
            </w:r>
          </w:p>
        </w:tc>
        <w:tc>
          <w:tcPr>
            <w:tcW w:w="1492" w:type="dxa"/>
            <w:tcBorders>
              <w:top w:val="nil"/>
              <w:left w:val="single" w:sz="4" w:space="0" w:color="auto"/>
              <w:bottom w:val="nil"/>
              <w:right w:val="single" w:sz="4" w:space="0" w:color="auto"/>
            </w:tcBorders>
          </w:tcPr>
          <w:p w14:paraId="1024BE6C" w14:textId="77777777" w:rsidR="00081999" w:rsidRPr="00081999" w:rsidRDefault="00081999" w:rsidP="00081999">
            <w:pPr>
              <w:ind w:right="284"/>
              <w:jc w:val="right"/>
              <w:rPr>
                <w:sz w:val="20"/>
                <w:szCs w:val="20"/>
              </w:rPr>
            </w:pPr>
            <w:r w:rsidRPr="00081999">
              <w:rPr>
                <w:sz w:val="20"/>
                <w:szCs w:val="20"/>
              </w:rPr>
              <w:t>-</w:t>
            </w:r>
          </w:p>
        </w:tc>
        <w:tc>
          <w:tcPr>
            <w:tcW w:w="1619" w:type="dxa"/>
            <w:tcBorders>
              <w:top w:val="nil"/>
              <w:left w:val="single" w:sz="4" w:space="0" w:color="auto"/>
              <w:bottom w:val="nil"/>
              <w:right w:val="single" w:sz="4" w:space="0" w:color="auto"/>
            </w:tcBorders>
          </w:tcPr>
          <w:p w14:paraId="6CAA004F" w14:textId="77777777" w:rsidR="00081999" w:rsidRPr="00081999" w:rsidRDefault="00081999" w:rsidP="00081999">
            <w:pPr>
              <w:ind w:right="340"/>
              <w:jc w:val="right"/>
              <w:rPr>
                <w:sz w:val="20"/>
                <w:szCs w:val="20"/>
              </w:rPr>
            </w:pPr>
            <w:r w:rsidRPr="00081999">
              <w:rPr>
                <w:sz w:val="20"/>
                <w:szCs w:val="20"/>
              </w:rPr>
              <w:t>1 146 270</w:t>
            </w:r>
          </w:p>
        </w:tc>
      </w:tr>
      <w:tr w:rsidR="00081999" w:rsidRPr="00081999" w14:paraId="58607805" w14:textId="77777777" w:rsidTr="00BB7F01">
        <w:trPr>
          <w:jc w:val="center"/>
        </w:trPr>
        <w:tc>
          <w:tcPr>
            <w:tcW w:w="2427" w:type="dxa"/>
            <w:tcBorders>
              <w:top w:val="nil"/>
              <w:bottom w:val="nil"/>
            </w:tcBorders>
          </w:tcPr>
          <w:p w14:paraId="7678ED67" w14:textId="77777777" w:rsidR="00081999" w:rsidRPr="00081999" w:rsidRDefault="00081999" w:rsidP="00081999">
            <w:pPr>
              <w:rPr>
                <w:sz w:val="20"/>
                <w:szCs w:val="20"/>
              </w:rPr>
            </w:pPr>
            <w:r w:rsidRPr="00081999">
              <w:rPr>
                <w:sz w:val="20"/>
                <w:szCs w:val="20"/>
              </w:rPr>
              <w:t>Metlife</w:t>
            </w:r>
          </w:p>
        </w:tc>
        <w:tc>
          <w:tcPr>
            <w:tcW w:w="1469" w:type="dxa"/>
            <w:tcBorders>
              <w:top w:val="nil"/>
              <w:bottom w:val="nil"/>
            </w:tcBorders>
          </w:tcPr>
          <w:p w14:paraId="183886E6" w14:textId="77777777" w:rsidR="00081999" w:rsidRPr="00081999" w:rsidRDefault="00081999" w:rsidP="00081999">
            <w:pPr>
              <w:ind w:right="227"/>
              <w:jc w:val="right"/>
              <w:rPr>
                <w:sz w:val="20"/>
                <w:szCs w:val="20"/>
              </w:rPr>
            </w:pPr>
            <w:r w:rsidRPr="00081999">
              <w:rPr>
                <w:sz w:val="20"/>
                <w:szCs w:val="20"/>
              </w:rPr>
              <w:t>410 440</w:t>
            </w:r>
          </w:p>
        </w:tc>
        <w:tc>
          <w:tcPr>
            <w:tcW w:w="1921" w:type="dxa"/>
            <w:tcBorders>
              <w:top w:val="nil"/>
              <w:bottom w:val="nil"/>
            </w:tcBorders>
          </w:tcPr>
          <w:p w14:paraId="4B9BF068" w14:textId="77777777" w:rsidR="00081999" w:rsidRPr="00081999" w:rsidRDefault="00081999" w:rsidP="00081999">
            <w:pPr>
              <w:ind w:right="397"/>
              <w:jc w:val="right"/>
              <w:rPr>
                <w:sz w:val="20"/>
                <w:szCs w:val="20"/>
              </w:rPr>
            </w:pPr>
            <w:r w:rsidRPr="00081999">
              <w:rPr>
                <w:sz w:val="20"/>
                <w:szCs w:val="20"/>
              </w:rPr>
              <w:t>580 235</w:t>
            </w:r>
          </w:p>
        </w:tc>
        <w:tc>
          <w:tcPr>
            <w:tcW w:w="1492" w:type="dxa"/>
            <w:tcBorders>
              <w:top w:val="nil"/>
              <w:bottom w:val="nil"/>
            </w:tcBorders>
          </w:tcPr>
          <w:p w14:paraId="3862B13B" w14:textId="77777777" w:rsidR="00081999" w:rsidRPr="00081999" w:rsidRDefault="00081999" w:rsidP="00081999">
            <w:pPr>
              <w:ind w:right="284"/>
              <w:jc w:val="right"/>
              <w:rPr>
                <w:sz w:val="20"/>
                <w:szCs w:val="20"/>
              </w:rPr>
            </w:pPr>
            <w:r w:rsidRPr="00081999">
              <w:rPr>
                <w:sz w:val="20"/>
                <w:szCs w:val="20"/>
              </w:rPr>
              <w:t>-</w:t>
            </w:r>
          </w:p>
        </w:tc>
        <w:tc>
          <w:tcPr>
            <w:tcW w:w="1619" w:type="dxa"/>
            <w:tcBorders>
              <w:top w:val="nil"/>
              <w:bottom w:val="nil"/>
              <w:right w:val="single" w:sz="4" w:space="0" w:color="auto"/>
            </w:tcBorders>
          </w:tcPr>
          <w:p w14:paraId="3D35EA0B" w14:textId="77777777" w:rsidR="00081999" w:rsidRPr="00081999" w:rsidRDefault="00081999" w:rsidP="00081999">
            <w:pPr>
              <w:ind w:right="340"/>
              <w:jc w:val="right"/>
              <w:rPr>
                <w:sz w:val="20"/>
                <w:szCs w:val="20"/>
              </w:rPr>
            </w:pPr>
            <w:r w:rsidRPr="00081999">
              <w:rPr>
                <w:sz w:val="20"/>
                <w:szCs w:val="20"/>
              </w:rPr>
              <w:t>990 675</w:t>
            </w:r>
          </w:p>
        </w:tc>
      </w:tr>
      <w:tr w:rsidR="00081999" w:rsidRPr="00081999" w14:paraId="374D41FC" w14:textId="77777777" w:rsidTr="00BB7F01">
        <w:trPr>
          <w:jc w:val="center"/>
        </w:trPr>
        <w:tc>
          <w:tcPr>
            <w:tcW w:w="2427" w:type="dxa"/>
            <w:tcBorders>
              <w:top w:val="nil"/>
              <w:bottom w:val="single" w:sz="4" w:space="0" w:color="auto"/>
            </w:tcBorders>
          </w:tcPr>
          <w:p w14:paraId="07E9315C" w14:textId="77777777" w:rsidR="00081999" w:rsidRPr="00081999" w:rsidRDefault="00081999" w:rsidP="00081999">
            <w:pPr>
              <w:rPr>
                <w:b/>
                <w:sz w:val="20"/>
                <w:szCs w:val="20"/>
              </w:rPr>
            </w:pPr>
            <w:r w:rsidRPr="00081999">
              <w:rPr>
                <w:b/>
                <w:sz w:val="20"/>
                <w:szCs w:val="20"/>
              </w:rPr>
              <w:t>Total</w:t>
            </w:r>
          </w:p>
        </w:tc>
        <w:tc>
          <w:tcPr>
            <w:tcW w:w="1469" w:type="dxa"/>
            <w:tcBorders>
              <w:top w:val="nil"/>
              <w:bottom w:val="single" w:sz="4" w:space="0" w:color="auto"/>
            </w:tcBorders>
          </w:tcPr>
          <w:p w14:paraId="18174C39" w14:textId="77777777" w:rsidR="00081999" w:rsidRPr="00081999" w:rsidRDefault="00081999" w:rsidP="00081999">
            <w:pPr>
              <w:ind w:right="227"/>
              <w:jc w:val="right"/>
              <w:rPr>
                <w:b/>
                <w:sz w:val="20"/>
                <w:szCs w:val="20"/>
              </w:rPr>
            </w:pPr>
            <w:r w:rsidRPr="00081999">
              <w:rPr>
                <w:b/>
                <w:sz w:val="20"/>
                <w:szCs w:val="20"/>
              </w:rPr>
              <w:t>36 294 749</w:t>
            </w:r>
          </w:p>
        </w:tc>
        <w:tc>
          <w:tcPr>
            <w:tcW w:w="1921" w:type="dxa"/>
            <w:tcBorders>
              <w:top w:val="nil"/>
              <w:bottom w:val="single" w:sz="4" w:space="0" w:color="auto"/>
            </w:tcBorders>
          </w:tcPr>
          <w:p w14:paraId="50D3EA37" w14:textId="77777777" w:rsidR="00081999" w:rsidRPr="00081999" w:rsidRDefault="00081999" w:rsidP="00081999">
            <w:pPr>
              <w:ind w:right="397"/>
              <w:jc w:val="right"/>
              <w:rPr>
                <w:b/>
                <w:sz w:val="20"/>
                <w:szCs w:val="20"/>
              </w:rPr>
            </w:pPr>
            <w:r w:rsidRPr="00081999">
              <w:rPr>
                <w:b/>
                <w:sz w:val="20"/>
                <w:szCs w:val="20"/>
              </w:rPr>
              <w:t>10 335 169</w:t>
            </w:r>
          </w:p>
        </w:tc>
        <w:tc>
          <w:tcPr>
            <w:tcW w:w="1492" w:type="dxa"/>
            <w:tcBorders>
              <w:top w:val="nil"/>
              <w:bottom w:val="single" w:sz="4" w:space="0" w:color="auto"/>
            </w:tcBorders>
          </w:tcPr>
          <w:p w14:paraId="6CCD3311" w14:textId="77777777" w:rsidR="00081999" w:rsidRPr="00081999" w:rsidRDefault="00081999" w:rsidP="00081999">
            <w:pPr>
              <w:ind w:right="284"/>
              <w:jc w:val="right"/>
              <w:rPr>
                <w:b/>
                <w:sz w:val="20"/>
                <w:szCs w:val="20"/>
              </w:rPr>
            </w:pPr>
            <w:r w:rsidRPr="00081999">
              <w:rPr>
                <w:b/>
                <w:sz w:val="20"/>
                <w:szCs w:val="20"/>
              </w:rPr>
              <w:t>6 307 780</w:t>
            </w:r>
          </w:p>
        </w:tc>
        <w:tc>
          <w:tcPr>
            <w:tcW w:w="1619" w:type="dxa"/>
            <w:tcBorders>
              <w:top w:val="nil"/>
              <w:bottom w:val="single" w:sz="4" w:space="0" w:color="auto"/>
              <w:right w:val="single" w:sz="4" w:space="0" w:color="auto"/>
            </w:tcBorders>
          </w:tcPr>
          <w:p w14:paraId="172D1362" w14:textId="77777777" w:rsidR="00081999" w:rsidRPr="00081999" w:rsidRDefault="00081999" w:rsidP="00081999">
            <w:pPr>
              <w:ind w:right="340"/>
              <w:jc w:val="right"/>
              <w:rPr>
                <w:b/>
                <w:sz w:val="20"/>
                <w:szCs w:val="20"/>
              </w:rPr>
            </w:pPr>
            <w:r w:rsidRPr="00081999">
              <w:rPr>
                <w:b/>
                <w:sz w:val="20"/>
                <w:szCs w:val="20"/>
              </w:rPr>
              <w:t>52 937 698</w:t>
            </w:r>
          </w:p>
        </w:tc>
      </w:tr>
      <w:tr w:rsidR="00081999" w:rsidRPr="00081999" w14:paraId="5086795A" w14:textId="77777777" w:rsidTr="00BB7F01">
        <w:trPr>
          <w:jc w:val="center"/>
        </w:trPr>
        <w:tc>
          <w:tcPr>
            <w:tcW w:w="8928" w:type="dxa"/>
            <w:gridSpan w:val="5"/>
            <w:tcBorders>
              <w:top w:val="single" w:sz="4" w:space="0" w:color="auto"/>
              <w:left w:val="nil"/>
              <w:bottom w:val="nil"/>
              <w:right w:val="nil"/>
            </w:tcBorders>
          </w:tcPr>
          <w:p w14:paraId="29E940E8" w14:textId="77777777" w:rsidR="00081999" w:rsidRPr="00081999" w:rsidRDefault="00081999" w:rsidP="00081999">
            <w:pPr>
              <w:ind w:left="227" w:hanging="227"/>
              <w:jc w:val="both"/>
              <w:rPr>
                <w:sz w:val="20"/>
                <w:szCs w:val="20"/>
              </w:rPr>
            </w:pPr>
            <w:r w:rsidRPr="00081999">
              <w:rPr>
                <w:sz w:val="20"/>
                <w:szCs w:val="20"/>
                <w:u w:val="single"/>
              </w:rPr>
              <w:t>1</w:t>
            </w:r>
            <w:r w:rsidRPr="00081999">
              <w:rPr>
                <w:sz w:val="20"/>
                <w:szCs w:val="20"/>
              </w:rPr>
              <w:t>/ Trabajadores que se registraron en alguna Afore. Incluye trabajadores independientes y cotizantes al ISSSTE.</w:t>
            </w:r>
          </w:p>
          <w:p w14:paraId="746BCE62" w14:textId="77777777" w:rsidR="00081999" w:rsidRPr="00081999" w:rsidRDefault="00081999" w:rsidP="00081999">
            <w:pPr>
              <w:ind w:left="215" w:hanging="215"/>
              <w:jc w:val="both"/>
              <w:rPr>
                <w:sz w:val="20"/>
                <w:szCs w:val="20"/>
              </w:rPr>
            </w:pPr>
            <w:r w:rsidRPr="00081999">
              <w:rPr>
                <w:sz w:val="20"/>
                <w:szCs w:val="20"/>
                <w:u w:val="single"/>
              </w:rPr>
              <w:t>2</w:t>
            </w:r>
            <w:r w:rsidRPr="00081999">
              <w:rPr>
                <w:sz w:val="20"/>
                <w:szCs w:val="20"/>
              </w:rPr>
              <w:t>/ Trabajadores que no se registraron en alguna Afore y la Consar los asignó a una de acuerdo con las reglas vigentes.</w:t>
            </w:r>
          </w:p>
          <w:p w14:paraId="66D97817" w14:textId="77777777" w:rsidR="00081999" w:rsidRPr="00081999" w:rsidRDefault="00081999" w:rsidP="00081999">
            <w:pPr>
              <w:ind w:left="244" w:hanging="244"/>
              <w:jc w:val="both"/>
              <w:rPr>
                <w:sz w:val="20"/>
                <w:szCs w:val="20"/>
              </w:rPr>
            </w:pPr>
            <w:r w:rsidRPr="00081999">
              <w:rPr>
                <w:sz w:val="20"/>
                <w:szCs w:val="20"/>
                <w:u w:val="single"/>
              </w:rPr>
              <w:t>3</w:t>
            </w:r>
            <w:r w:rsidRPr="00081999">
              <w:rPr>
                <w:sz w:val="20"/>
                <w:szCs w:val="20"/>
              </w:rPr>
              <w:t>/ Trabajadores que tienen una cuenta individual en Afore y que sus recursos están depositados en Siefores.</w:t>
            </w:r>
          </w:p>
          <w:p w14:paraId="3FE0F92D" w14:textId="77777777" w:rsidR="00081999" w:rsidRPr="00081999" w:rsidRDefault="00081999" w:rsidP="00081999">
            <w:pPr>
              <w:ind w:left="227" w:hanging="227"/>
              <w:jc w:val="both"/>
              <w:rPr>
                <w:sz w:val="20"/>
                <w:szCs w:val="20"/>
              </w:rPr>
            </w:pPr>
            <w:r w:rsidRPr="00081999">
              <w:rPr>
                <w:sz w:val="20"/>
                <w:szCs w:val="20"/>
                <w:u w:val="single"/>
              </w:rPr>
              <w:t>4</w:t>
            </w:r>
            <w:r w:rsidRPr="00081999">
              <w:rPr>
                <w:sz w:val="20"/>
                <w:szCs w:val="20"/>
              </w:rPr>
              <w:t>/ Trabajadores que tienen una cuenta individual en Afore y que sus recursos están depositados en el Banxico. Incluye cuentas pendientes de ser asignadas.</w:t>
            </w:r>
          </w:p>
          <w:p w14:paraId="34C3FFA0" w14:textId="77777777" w:rsidR="00081999" w:rsidRPr="00081999" w:rsidRDefault="00081999" w:rsidP="00081999">
            <w:pPr>
              <w:jc w:val="both"/>
              <w:rPr>
                <w:sz w:val="20"/>
                <w:szCs w:val="20"/>
              </w:rPr>
            </w:pPr>
            <w:r w:rsidRPr="00081999">
              <w:rPr>
                <w:sz w:val="20"/>
                <w:szCs w:val="20"/>
                <w:u w:val="single"/>
              </w:rPr>
              <w:t>5</w:t>
            </w:r>
            <w:r w:rsidRPr="00081999">
              <w:rPr>
                <w:sz w:val="20"/>
                <w:szCs w:val="20"/>
              </w:rPr>
              <w:t>/ Incluye cuentas pendientes de ser asignadas.</w:t>
            </w:r>
          </w:p>
          <w:p w14:paraId="5E327384" w14:textId="77777777" w:rsidR="00081999" w:rsidRPr="00081999" w:rsidRDefault="00081999" w:rsidP="00081999">
            <w:pPr>
              <w:jc w:val="both"/>
              <w:rPr>
                <w:sz w:val="20"/>
                <w:szCs w:val="20"/>
              </w:rPr>
            </w:pPr>
            <w:r w:rsidRPr="00081999">
              <w:rPr>
                <w:sz w:val="20"/>
                <w:szCs w:val="20"/>
              </w:rPr>
              <w:t>FUENTE: Consar.</w:t>
            </w:r>
          </w:p>
        </w:tc>
      </w:tr>
    </w:tbl>
    <w:p w14:paraId="51EA48D6" w14:textId="77777777" w:rsidR="00081999" w:rsidRPr="00081999" w:rsidRDefault="00081999" w:rsidP="00081999">
      <w:pPr>
        <w:jc w:val="both"/>
      </w:pPr>
    </w:p>
    <w:p w14:paraId="23F91D19" w14:textId="77777777" w:rsidR="00081999" w:rsidRPr="00081999" w:rsidRDefault="00081999" w:rsidP="00081999">
      <w:pPr>
        <w:ind w:right="-159"/>
        <w:jc w:val="both"/>
        <w:rPr>
          <w:b/>
          <w:sz w:val="20"/>
          <w:szCs w:val="20"/>
        </w:rPr>
      </w:pPr>
      <w:r w:rsidRPr="00081999">
        <w:rPr>
          <w:b/>
          <w:sz w:val="20"/>
          <w:szCs w:val="20"/>
        </w:rPr>
        <w:t>Fuente de información:</w:t>
      </w:r>
    </w:p>
    <w:p w14:paraId="26DE1C61" w14:textId="77777777" w:rsidR="00081999" w:rsidRPr="00AF10C7" w:rsidRDefault="0093224F" w:rsidP="00081999">
      <w:pPr>
        <w:ind w:right="-159"/>
        <w:jc w:val="both"/>
        <w:rPr>
          <w:color w:val="0000FF"/>
          <w:sz w:val="20"/>
          <w:szCs w:val="20"/>
        </w:rPr>
      </w:pPr>
      <w:hyperlink r:id="rId379" w:history="1">
        <w:r w:rsidR="00081999" w:rsidRPr="00AF10C7">
          <w:rPr>
            <w:color w:val="0000FF"/>
            <w:sz w:val="20"/>
            <w:szCs w:val="20"/>
            <w:u w:val="single"/>
          </w:rPr>
          <w:t>http://www.consar.gob.mx/panorama_sar/cuentas_administrados.aspx</w:t>
        </w:r>
      </w:hyperlink>
    </w:p>
    <w:p w14:paraId="6401CF42" w14:textId="77777777" w:rsidR="00081999" w:rsidRPr="00081999" w:rsidRDefault="00081999" w:rsidP="00081999">
      <w:pPr>
        <w:spacing w:after="360" w:line="360" w:lineRule="auto"/>
        <w:ind w:right="-159"/>
        <w:jc w:val="both"/>
        <w:rPr>
          <w:b/>
          <w:sz w:val="26"/>
          <w:szCs w:val="26"/>
        </w:rPr>
      </w:pPr>
    </w:p>
    <w:p w14:paraId="34791635" w14:textId="77777777" w:rsidR="00081999" w:rsidRPr="00081999" w:rsidRDefault="00081999" w:rsidP="00081999">
      <w:pPr>
        <w:spacing w:after="360" w:line="360" w:lineRule="auto"/>
        <w:ind w:right="-159"/>
        <w:jc w:val="both"/>
        <w:rPr>
          <w:b/>
          <w:sz w:val="26"/>
          <w:szCs w:val="26"/>
        </w:rPr>
      </w:pPr>
    </w:p>
    <w:p w14:paraId="2455B311" w14:textId="77777777" w:rsidR="00081999" w:rsidRPr="00081999" w:rsidRDefault="00081999" w:rsidP="00081999">
      <w:pPr>
        <w:spacing w:after="360" w:line="360" w:lineRule="auto"/>
        <w:ind w:right="-159"/>
        <w:jc w:val="both"/>
        <w:rPr>
          <w:b/>
          <w:sz w:val="26"/>
          <w:szCs w:val="26"/>
        </w:rPr>
      </w:pPr>
      <w:r w:rsidRPr="00081999">
        <w:rPr>
          <w:b/>
          <w:sz w:val="26"/>
          <w:szCs w:val="26"/>
        </w:rPr>
        <w:lastRenderedPageBreak/>
        <w:t>R</w:t>
      </w:r>
      <w:bookmarkStart w:id="15" w:name="OLE_LINK91"/>
      <w:r w:rsidRPr="00081999">
        <w:rPr>
          <w:b/>
          <w:sz w:val="26"/>
          <w:szCs w:val="26"/>
        </w:rPr>
        <w:t>ecursos Administrados por las Afores (Consar)</w:t>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6"/>
        <w:gridCol w:w="1275"/>
        <w:gridCol w:w="1147"/>
        <w:gridCol w:w="1200"/>
        <w:gridCol w:w="1195"/>
        <w:gridCol w:w="1372"/>
      </w:tblGrid>
      <w:tr w:rsidR="00081999" w:rsidRPr="00081999" w14:paraId="2618CD75" w14:textId="77777777" w:rsidTr="00BB7F01">
        <w:trPr>
          <w:jc w:val="center"/>
        </w:trPr>
        <w:tc>
          <w:tcPr>
            <w:tcW w:w="7795" w:type="dxa"/>
            <w:gridSpan w:val="6"/>
            <w:tcBorders>
              <w:top w:val="nil"/>
              <w:left w:val="nil"/>
              <w:bottom w:val="single" w:sz="4" w:space="0" w:color="auto"/>
              <w:right w:val="nil"/>
            </w:tcBorders>
            <w:vAlign w:val="center"/>
          </w:tcPr>
          <w:p w14:paraId="06C3556B" w14:textId="77777777" w:rsidR="00081999" w:rsidRPr="00081999" w:rsidRDefault="00081999" w:rsidP="00081999">
            <w:pPr>
              <w:jc w:val="center"/>
              <w:rPr>
                <w:rFonts w:eastAsia="Times New Roman"/>
                <w:b/>
                <w:sz w:val="20"/>
                <w:szCs w:val="20"/>
                <w:lang w:val="es-ES"/>
              </w:rPr>
            </w:pPr>
            <w:r w:rsidRPr="00081999">
              <w:rPr>
                <w:rFonts w:eastAsia="Times New Roman"/>
                <w:b/>
                <w:sz w:val="20"/>
                <w:szCs w:val="20"/>
                <w:lang w:val="es-ES"/>
              </w:rPr>
              <w:t>RECURSOS ADMINISTRADOS POR LAS AFORES</w:t>
            </w:r>
          </w:p>
          <w:p w14:paraId="0EB08CDE" w14:textId="77777777" w:rsidR="00081999" w:rsidRPr="00081999" w:rsidRDefault="00081999" w:rsidP="00081999">
            <w:pPr>
              <w:jc w:val="center"/>
              <w:rPr>
                <w:rFonts w:eastAsia="Times New Roman"/>
                <w:b/>
                <w:sz w:val="20"/>
                <w:szCs w:val="20"/>
                <w:lang w:val="es-ES"/>
              </w:rPr>
            </w:pPr>
            <w:r w:rsidRPr="00081999">
              <w:rPr>
                <w:rFonts w:eastAsia="Times New Roman"/>
                <w:b/>
                <w:sz w:val="20"/>
                <w:szCs w:val="20"/>
                <w:lang w:val="es-ES"/>
              </w:rPr>
              <w:t>-Cifras en millones de pesos al cierre de febrero de 2015-</w:t>
            </w:r>
          </w:p>
        </w:tc>
      </w:tr>
      <w:tr w:rsidR="00081999" w:rsidRPr="00081999" w14:paraId="7B02F1B2" w14:textId="77777777" w:rsidTr="00BB7F01">
        <w:trPr>
          <w:jc w:val="center"/>
        </w:trPr>
        <w:tc>
          <w:tcPr>
            <w:tcW w:w="1606" w:type="dxa"/>
            <w:vMerge w:val="restart"/>
            <w:tcBorders>
              <w:top w:val="single" w:sz="4" w:space="0" w:color="auto"/>
            </w:tcBorders>
            <w:vAlign w:val="center"/>
          </w:tcPr>
          <w:p w14:paraId="208ECCCF" w14:textId="77777777" w:rsidR="00081999" w:rsidRPr="00081999" w:rsidRDefault="00081999" w:rsidP="00081999">
            <w:pPr>
              <w:jc w:val="center"/>
              <w:rPr>
                <w:rFonts w:eastAsia="Times New Roman"/>
                <w:b/>
                <w:sz w:val="18"/>
                <w:szCs w:val="18"/>
                <w:lang w:val="es-ES"/>
              </w:rPr>
            </w:pPr>
            <w:r w:rsidRPr="00081999">
              <w:rPr>
                <w:rFonts w:eastAsia="Times New Roman"/>
                <w:b/>
                <w:sz w:val="18"/>
                <w:szCs w:val="18"/>
                <w:lang w:val="es-ES"/>
              </w:rPr>
              <w:t>Afore</w:t>
            </w:r>
          </w:p>
        </w:tc>
        <w:tc>
          <w:tcPr>
            <w:tcW w:w="3622" w:type="dxa"/>
            <w:gridSpan w:val="3"/>
            <w:tcBorders>
              <w:top w:val="single" w:sz="4" w:space="0" w:color="auto"/>
              <w:bottom w:val="single" w:sz="4" w:space="0" w:color="auto"/>
            </w:tcBorders>
            <w:vAlign w:val="center"/>
          </w:tcPr>
          <w:p w14:paraId="2153E9BB" w14:textId="77777777" w:rsidR="00081999" w:rsidRPr="00081999" w:rsidRDefault="00081999" w:rsidP="00081999">
            <w:pPr>
              <w:ind w:left="-57" w:right="-57"/>
              <w:jc w:val="center"/>
              <w:rPr>
                <w:rFonts w:eastAsia="Times New Roman"/>
                <w:b/>
                <w:sz w:val="18"/>
                <w:szCs w:val="18"/>
                <w:lang w:val="es-ES"/>
              </w:rPr>
            </w:pPr>
            <w:r w:rsidRPr="00081999">
              <w:rPr>
                <w:rFonts w:eastAsia="Times New Roman"/>
                <w:b/>
                <w:sz w:val="18"/>
                <w:szCs w:val="18"/>
                <w:lang w:val="es-ES"/>
              </w:rPr>
              <w:t>Recursos de los Trabajadores</w:t>
            </w:r>
          </w:p>
        </w:tc>
        <w:tc>
          <w:tcPr>
            <w:tcW w:w="1195" w:type="dxa"/>
            <w:vMerge w:val="restart"/>
            <w:tcBorders>
              <w:top w:val="single" w:sz="4" w:space="0" w:color="auto"/>
            </w:tcBorders>
            <w:vAlign w:val="center"/>
          </w:tcPr>
          <w:p w14:paraId="2B3A7E2E" w14:textId="77777777" w:rsidR="00081999" w:rsidRPr="00081999" w:rsidRDefault="00081999" w:rsidP="00081999">
            <w:pPr>
              <w:jc w:val="center"/>
              <w:rPr>
                <w:rFonts w:eastAsia="Times New Roman"/>
                <w:b/>
                <w:sz w:val="18"/>
                <w:szCs w:val="18"/>
                <w:lang w:val="es-ES"/>
              </w:rPr>
            </w:pPr>
            <w:r w:rsidRPr="00081999">
              <w:rPr>
                <w:rFonts w:eastAsia="Times New Roman"/>
                <w:b/>
                <w:sz w:val="18"/>
                <w:szCs w:val="18"/>
                <w:lang w:val="es-ES"/>
              </w:rPr>
              <w:t>Capital de las AFORE</w:t>
            </w:r>
            <w:r w:rsidRPr="00081999">
              <w:rPr>
                <w:b/>
                <w:sz w:val="18"/>
                <w:szCs w:val="18"/>
                <w:u w:val="single"/>
                <w:vertAlign w:val="superscript"/>
              </w:rPr>
              <w:t>4</w:t>
            </w:r>
            <w:r w:rsidRPr="00081999">
              <w:rPr>
                <w:b/>
                <w:sz w:val="18"/>
                <w:szCs w:val="18"/>
                <w:vertAlign w:val="superscript"/>
              </w:rPr>
              <w:t>/</w:t>
            </w:r>
          </w:p>
        </w:tc>
        <w:tc>
          <w:tcPr>
            <w:tcW w:w="1372" w:type="dxa"/>
            <w:vMerge w:val="restart"/>
            <w:tcBorders>
              <w:top w:val="single" w:sz="4" w:space="0" w:color="auto"/>
              <w:right w:val="single" w:sz="4" w:space="0" w:color="auto"/>
            </w:tcBorders>
            <w:vAlign w:val="center"/>
          </w:tcPr>
          <w:p w14:paraId="7E077CFB" w14:textId="77777777" w:rsidR="00081999" w:rsidRPr="00081999" w:rsidRDefault="00081999" w:rsidP="00081999">
            <w:pPr>
              <w:jc w:val="center"/>
              <w:rPr>
                <w:rFonts w:eastAsia="Times New Roman"/>
                <w:b/>
                <w:sz w:val="18"/>
                <w:szCs w:val="18"/>
                <w:lang w:val="es-ES"/>
              </w:rPr>
            </w:pPr>
            <w:r w:rsidRPr="00081999">
              <w:rPr>
                <w:rFonts w:eastAsia="Times New Roman"/>
                <w:b/>
                <w:sz w:val="18"/>
                <w:szCs w:val="18"/>
                <w:lang w:val="es-ES"/>
              </w:rPr>
              <w:t>Recursos</w:t>
            </w:r>
          </w:p>
          <w:p w14:paraId="005293F6" w14:textId="77777777" w:rsidR="00081999" w:rsidRPr="00081999" w:rsidRDefault="00081999" w:rsidP="00081999">
            <w:pPr>
              <w:jc w:val="center"/>
              <w:rPr>
                <w:rFonts w:eastAsia="Times New Roman"/>
                <w:b/>
                <w:sz w:val="18"/>
                <w:szCs w:val="18"/>
                <w:lang w:val="es-ES"/>
              </w:rPr>
            </w:pPr>
            <w:r w:rsidRPr="00081999">
              <w:rPr>
                <w:rFonts w:eastAsia="Times New Roman"/>
                <w:b/>
                <w:sz w:val="18"/>
                <w:szCs w:val="18"/>
                <w:lang w:val="es-ES"/>
              </w:rPr>
              <w:t>Administrados por las AFORE</w:t>
            </w:r>
          </w:p>
        </w:tc>
      </w:tr>
      <w:tr w:rsidR="00081999" w:rsidRPr="00081999" w14:paraId="27F5549E" w14:textId="77777777" w:rsidTr="00BB7F01">
        <w:trPr>
          <w:jc w:val="center"/>
        </w:trPr>
        <w:tc>
          <w:tcPr>
            <w:tcW w:w="1606" w:type="dxa"/>
            <w:vMerge/>
            <w:tcBorders>
              <w:bottom w:val="single" w:sz="4" w:space="0" w:color="auto"/>
            </w:tcBorders>
            <w:vAlign w:val="center"/>
          </w:tcPr>
          <w:p w14:paraId="3AFF35BF" w14:textId="77777777" w:rsidR="00081999" w:rsidRPr="00081999" w:rsidRDefault="00081999" w:rsidP="00081999">
            <w:pPr>
              <w:jc w:val="center"/>
              <w:rPr>
                <w:rFonts w:eastAsia="Times New Roman"/>
                <w:b/>
                <w:sz w:val="18"/>
                <w:szCs w:val="18"/>
                <w:lang w:val="es-ES"/>
              </w:rPr>
            </w:pPr>
          </w:p>
        </w:tc>
        <w:tc>
          <w:tcPr>
            <w:tcW w:w="1275" w:type="dxa"/>
            <w:tcBorders>
              <w:top w:val="single" w:sz="4" w:space="0" w:color="auto"/>
              <w:bottom w:val="single" w:sz="4" w:space="0" w:color="auto"/>
            </w:tcBorders>
            <w:vAlign w:val="center"/>
          </w:tcPr>
          <w:p w14:paraId="6BBDC0D1" w14:textId="77777777" w:rsidR="00081999" w:rsidRPr="00081999" w:rsidRDefault="00081999" w:rsidP="00081999">
            <w:pPr>
              <w:jc w:val="center"/>
              <w:rPr>
                <w:rFonts w:eastAsia="Times New Roman"/>
                <w:b/>
                <w:sz w:val="18"/>
                <w:szCs w:val="18"/>
                <w:lang w:val="es-ES"/>
              </w:rPr>
            </w:pPr>
            <w:r w:rsidRPr="00081999">
              <w:rPr>
                <w:rFonts w:eastAsia="Times New Roman"/>
                <w:b/>
                <w:sz w:val="18"/>
                <w:szCs w:val="18"/>
                <w:lang w:val="es-ES"/>
              </w:rPr>
              <w:t>RCV</w:t>
            </w:r>
            <w:r w:rsidRPr="00081999">
              <w:rPr>
                <w:b/>
                <w:sz w:val="18"/>
                <w:szCs w:val="18"/>
                <w:u w:val="single"/>
                <w:vertAlign w:val="superscript"/>
              </w:rPr>
              <w:t>1</w:t>
            </w:r>
            <w:r w:rsidRPr="00081999">
              <w:rPr>
                <w:b/>
                <w:sz w:val="18"/>
                <w:szCs w:val="18"/>
                <w:vertAlign w:val="superscript"/>
              </w:rPr>
              <w:t>/</w:t>
            </w:r>
          </w:p>
        </w:tc>
        <w:tc>
          <w:tcPr>
            <w:tcW w:w="1147" w:type="dxa"/>
            <w:tcBorders>
              <w:top w:val="single" w:sz="4" w:space="0" w:color="auto"/>
              <w:bottom w:val="single" w:sz="4" w:space="0" w:color="auto"/>
            </w:tcBorders>
            <w:vAlign w:val="center"/>
          </w:tcPr>
          <w:p w14:paraId="699B095C" w14:textId="77777777" w:rsidR="00081999" w:rsidRPr="00081999" w:rsidRDefault="00081999" w:rsidP="00081999">
            <w:pPr>
              <w:ind w:left="-57" w:right="-57"/>
              <w:jc w:val="center"/>
              <w:rPr>
                <w:rFonts w:eastAsia="Times New Roman"/>
                <w:b/>
                <w:sz w:val="18"/>
                <w:szCs w:val="18"/>
                <w:lang w:val="es-ES"/>
              </w:rPr>
            </w:pPr>
            <w:r w:rsidRPr="00081999">
              <w:rPr>
                <w:rFonts w:eastAsia="Times New Roman"/>
                <w:b/>
                <w:sz w:val="18"/>
                <w:szCs w:val="18"/>
                <w:lang w:val="es-ES"/>
              </w:rPr>
              <w:t>Ahorro Voluntario Solidario</w:t>
            </w:r>
            <w:r w:rsidRPr="00081999">
              <w:rPr>
                <w:b/>
                <w:sz w:val="18"/>
                <w:szCs w:val="18"/>
                <w:u w:val="single"/>
                <w:vertAlign w:val="superscript"/>
              </w:rPr>
              <w:t>2</w:t>
            </w:r>
            <w:r w:rsidRPr="00081999">
              <w:rPr>
                <w:b/>
                <w:sz w:val="18"/>
                <w:szCs w:val="18"/>
                <w:vertAlign w:val="superscript"/>
              </w:rPr>
              <w:t>/</w:t>
            </w:r>
          </w:p>
        </w:tc>
        <w:tc>
          <w:tcPr>
            <w:tcW w:w="1200" w:type="dxa"/>
            <w:tcBorders>
              <w:top w:val="single" w:sz="4" w:space="0" w:color="auto"/>
              <w:bottom w:val="single" w:sz="4" w:space="0" w:color="auto"/>
            </w:tcBorders>
            <w:vAlign w:val="center"/>
          </w:tcPr>
          <w:p w14:paraId="7BC2FCF0" w14:textId="77777777" w:rsidR="00081999" w:rsidRPr="00081999" w:rsidRDefault="00081999" w:rsidP="00081999">
            <w:pPr>
              <w:ind w:left="-57" w:right="-57"/>
              <w:jc w:val="center"/>
              <w:rPr>
                <w:rFonts w:eastAsia="Times New Roman"/>
                <w:b/>
                <w:sz w:val="18"/>
                <w:szCs w:val="18"/>
                <w:lang w:val="es-ES"/>
              </w:rPr>
            </w:pPr>
            <w:r w:rsidRPr="00081999">
              <w:rPr>
                <w:rFonts w:eastAsia="Times New Roman"/>
                <w:b/>
                <w:sz w:val="18"/>
                <w:szCs w:val="18"/>
                <w:lang w:val="es-ES"/>
              </w:rPr>
              <w:t>Fondo de Previsión Social</w:t>
            </w:r>
            <w:r w:rsidRPr="00081999">
              <w:rPr>
                <w:b/>
                <w:sz w:val="18"/>
                <w:szCs w:val="18"/>
                <w:u w:val="single"/>
                <w:vertAlign w:val="superscript"/>
              </w:rPr>
              <w:t>3</w:t>
            </w:r>
            <w:r w:rsidRPr="00081999">
              <w:rPr>
                <w:b/>
                <w:sz w:val="18"/>
                <w:szCs w:val="18"/>
                <w:vertAlign w:val="superscript"/>
              </w:rPr>
              <w:t>/</w:t>
            </w:r>
          </w:p>
        </w:tc>
        <w:tc>
          <w:tcPr>
            <w:tcW w:w="1195" w:type="dxa"/>
            <w:vMerge/>
            <w:tcBorders>
              <w:bottom w:val="single" w:sz="4" w:space="0" w:color="auto"/>
            </w:tcBorders>
            <w:vAlign w:val="center"/>
          </w:tcPr>
          <w:p w14:paraId="026E8052" w14:textId="77777777" w:rsidR="00081999" w:rsidRPr="00081999" w:rsidRDefault="00081999" w:rsidP="00081999">
            <w:pPr>
              <w:jc w:val="center"/>
              <w:rPr>
                <w:rFonts w:eastAsia="Times New Roman"/>
                <w:b/>
                <w:sz w:val="18"/>
                <w:szCs w:val="18"/>
                <w:lang w:val="es-ES"/>
              </w:rPr>
            </w:pPr>
          </w:p>
        </w:tc>
        <w:tc>
          <w:tcPr>
            <w:tcW w:w="1372" w:type="dxa"/>
            <w:vMerge/>
            <w:tcBorders>
              <w:bottom w:val="single" w:sz="4" w:space="0" w:color="auto"/>
              <w:right w:val="single" w:sz="4" w:space="0" w:color="auto"/>
            </w:tcBorders>
            <w:vAlign w:val="center"/>
          </w:tcPr>
          <w:p w14:paraId="643D8A73" w14:textId="77777777" w:rsidR="00081999" w:rsidRPr="00081999" w:rsidRDefault="00081999" w:rsidP="00081999">
            <w:pPr>
              <w:jc w:val="center"/>
              <w:rPr>
                <w:rFonts w:eastAsia="Times New Roman"/>
                <w:b/>
                <w:sz w:val="18"/>
                <w:szCs w:val="18"/>
                <w:lang w:val="es-ES"/>
              </w:rPr>
            </w:pPr>
          </w:p>
        </w:tc>
      </w:tr>
      <w:tr w:rsidR="00081999" w:rsidRPr="00081999" w14:paraId="7CCC5806" w14:textId="77777777" w:rsidTr="00BB7F01">
        <w:trPr>
          <w:jc w:val="center"/>
        </w:trPr>
        <w:tc>
          <w:tcPr>
            <w:tcW w:w="1606" w:type="dxa"/>
            <w:tcBorders>
              <w:top w:val="single" w:sz="4" w:space="0" w:color="auto"/>
              <w:bottom w:val="nil"/>
            </w:tcBorders>
          </w:tcPr>
          <w:p w14:paraId="09BBFF07" w14:textId="77777777" w:rsidR="00081999" w:rsidRPr="00081999" w:rsidRDefault="00081999" w:rsidP="00081999">
            <w:pPr>
              <w:rPr>
                <w:rFonts w:eastAsia="Times New Roman"/>
                <w:sz w:val="18"/>
                <w:szCs w:val="18"/>
                <w:lang w:val="es-ES"/>
              </w:rPr>
            </w:pPr>
            <w:r w:rsidRPr="00081999">
              <w:rPr>
                <w:rFonts w:eastAsia="Times New Roman"/>
                <w:sz w:val="18"/>
                <w:szCs w:val="18"/>
                <w:lang w:val="es-ES"/>
              </w:rPr>
              <w:t>XXI Banorte</w:t>
            </w:r>
          </w:p>
        </w:tc>
        <w:tc>
          <w:tcPr>
            <w:tcW w:w="1275" w:type="dxa"/>
            <w:tcBorders>
              <w:top w:val="single" w:sz="4" w:space="0" w:color="auto"/>
              <w:bottom w:val="nil"/>
            </w:tcBorders>
          </w:tcPr>
          <w:p w14:paraId="0C3369EA" w14:textId="77777777" w:rsidR="00081999" w:rsidRPr="00081999" w:rsidRDefault="00081999" w:rsidP="00081999">
            <w:pPr>
              <w:ind w:right="170"/>
              <w:jc w:val="right"/>
              <w:rPr>
                <w:rFonts w:eastAsia="Times New Roman"/>
                <w:sz w:val="18"/>
                <w:szCs w:val="18"/>
                <w:lang w:val="es-ES"/>
              </w:rPr>
            </w:pPr>
            <w:r w:rsidRPr="00081999">
              <w:rPr>
                <w:rFonts w:eastAsia="Times New Roman"/>
                <w:sz w:val="18"/>
                <w:szCs w:val="18"/>
                <w:lang w:val="es-ES"/>
              </w:rPr>
              <w:t>573 982.3</w:t>
            </w:r>
          </w:p>
        </w:tc>
        <w:tc>
          <w:tcPr>
            <w:tcW w:w="1147" w:type="dxa"/>
            <w:tcBorders>
              <w:top w:val="single" w:sz="4" w:space="0" w:color="auto"/>
              <w:bottom w:val="nil"/>
            </w:tcBorders>
          </w:tcPr>
          <w:p w14:paraId="2B72FC98" w14:textId="77777777" w:rsidR="00081999" w:rsidRPr="00081999" w:rsidRDefault="00081999" w:rsidP="00081999">
            <w:pPr>
              <w:ind w:right="113"/>
              <w:jc w:val="right"/>
              <w:rPr>
                <w:rFonts w:eastAsia="Times New Roman"/>
                <w:sz w:val="18"/>
                <w:szCs w:val="18"/>
                <w:lang w:val="es-ES"/>
              </w:rPr>
            </w:pPr>
            <w:r w:rsidRPr="00081999">
              <w:rPr>
                <w:rFonts w:eastAsia="Times New Roman"/>
                <w:sz w:val="18"/>
                <w:szCs w:val="18"/>
                <w:lang w:val="es-ES"/>
              </w:rPr>
              <w:t>9 970.2</w:t>
            </w:r>
          </w:p>
        </w:tc>
        <w:tc>
          <w:tcPr>
            <w:tcW w:w="1200" w:type="dxa"/>
            <w:tcBorders>
              <w:top w:val="single" w:sz="4" w:space="0" w:color="auto"/>
              <w:bottom w:val="nil"/>
            </w:tcBorders>
          </w:tcPr>
          <w:p w14:paraId="75510ABD" w14:textId="77777777" w:rsidR="00081999" w:rsidRPr="00081999" w:rsidRDefault="00081999" w:rsidP="00081999">
            <w:pPr>
              <w:ind w:right="113"/>
              <w:jc w:val="right"/>
              <w:rPr>
                <w:rFonts w:eastAsia="Times New Roman"/>
                <w:sz w:val="18"/>
                <w:szCs w:val="18"/>
                <w:lang w:val="es-ES"/>
              </w:rPr>
            </w:pPr>
            <w:r w:rsidRPr="00081999">
              <w:rPr>
                <w:rFonts w:eastAsia="Times New Roman"/>
                <w:sz w:val="18"/>
                <w:szCs w:val="18"/>
                <w:lang w:val="es-ES"/>
              </w:rPr>
              <w:t>32 108.7</w:t>
            </w:r>
          </w:p>
        </w:tc>
        <w:tc>
          <w:tcPr>
            <w:tcW w:w="1195" w:type="dxa"/>
            <w:tcBorders>
              <w:top w:val="single" w:sz="4" w:space="0" w:color="auto"/>
              <w:bottom w:val="nil"/>
            </w:tcBorders>
          </w:tcPr>
          <w:p w14:paraId="4115E55A" w14:textId="77777777" w:rsidR="00081999" w:rsidRPr="00081999" w:rsidRDefault="00081999" w:rsidP="00081999">
            <w:pPr>
              <w:ind w:right="170"/>
              <w:jc w:val="right"/>
              <w:rPr>
                <w:rFonts w:eastAsia="Times New Roman"/>
                <w:sz w:val="18"/>
                <w:szCs w:val="18"/>
                <w:lang w:val="es-ES"/>
              </w:rPr>
            </w:pPr>
            <w:r w:rsidRPr="00081999">
              <w:rPr>
                <w:rFonts w:eastAsia="Times New Roman"/>
                <w:sz w:val="18"/>
                <w:szCs w:val="18"/>
                <w:lang w:val="es-ES"/>
              </w:rPr>
              <w:t>4 254.7</w:t>
            </w:r>
          </w:p>
        </w:tc>
        <w:tc>
          <w:tcPr>
            <w:tcW w:w="1372" w:type="dxa"/>
            <w:tcBorders>
              <w:top w:val="single" w:sz="4" w:space="0" w:color="auto"/>
              <w:bottom w:val="nil"/>
              <w:right w:val="single" w:sz="4" w:space="0" w:color="auto"/>
            </w:tcBorders>
          </w:tcPr>
          <w:p w14:paraId="000C8EBB" w14:textId="77777777" w:rsidR="00081999" w:rsidRPr="00081999" w:rsidRDefault="00081999" w:rsidP="00081999">
            <w:pPr>
              <w:ind w:right="113"/>
              <w:jc w:val="right"/>
              <w:rPr>
                <w:rFonts w:eastAsia="Times New Roman"/>
                <w:sz w:val="18"/>
                <w:szCs w:val="18"/>
                <w:lang w:val="es-ES"/>
              </w:rPr>
            </w:pPr>
            <w:r w:rsidRPr="00081999">
              <w:rPr>
                <w:rFonts w:eastAsia="Times New Roman"/>
                <w:sz w:val="18"/>
                <w:szCs w:val="18"/>
                <w:lang w:val="es-ES"/>
              </w:rPr>
              <w:t>620 316.0</w:t>
            </w:r>
          </w:p>
        </w:tc>
      </w:tr>
      <w:tr w:rsidR="00081999" w:rsidRPr="00081999" w14:paraId="2876FA47" w14:textId="77777777" w:rsidTr="00BB7F01">
        <w:trPr>
          <w:jc w:val="center"/>
        </w:trPr>
        <w:tc>
          <w:tcPr>
            <w:tcW w:w="1606" w:type="dxa"/>
            <w:tcBorders>
              <w:top w:val="nil"/>
              <w:bottom w:val="nil"/>
            </w:tcBorders>
          </w:tcPr>
          <w:p w14:paraId="4659D1F2" w14:textId="77777777" w:rsidR="00081999" w:rsidRPr="00081999" w:rsidRDefault="00081999" w:rsidP="00081999">
            <w:pPr>
              <w:rPr>
                <w:rFonts w:eastAsia="Times New Roman"/>
                <w:sz w:val="18"/>
                <w:szCs w:val="18"/>
                <w:lang w:val="es-ES"/>
              </w:rPr>
            </w:pPr>
            <w:r w:rsidRPr="00081999">
              <w:rPr>
                <w:rFonts w:eastAsia="Times New Roman"/>
                <w:sz w:val="18"/>
                <w:szCs w:val="18"/>
                <w:lang w:val="es-ES"/>
              </w:rPr>
              <w:t>Banamex</w:t>
            </w:r>
          </w:p>
        </w:tc>
        <w:tc>
          <w:tcPr>
            <w:tcW w:w="1275" w:type="dxa"/>
            <w:tcBorders>
              <w:top w:val="nil"/>
              <w:bottom w:val="nil"/>
            </w:tcBorders>
          </w:tcPr>
          <w:p w14:paraId="7ED80A73" w14:textId="77777777" w:rsidR="00081999" w:rsidRPr="00081999" w:rsidRDefault="00081999" w:rsidP="00081999">
            <w:pPr>
              <w:ind w:right="170"/>
              <w:jc w:val="right"/>
              <w:rPr>
                <w:rFonts w:eastAsia="Times New Roman"/>
                <w:sz w:val="18"/>
                <w:szCs w:val="18"/>
                <w:lang w:val="es-ES"/>
              </w:rPr>
            </w:pPr>
            <w:r w:rsidRPr="00081999">
              <w:rPr>
                <w:rFonts w:eastAsia="Times New Roman"/>
                <w:sz w:val="18"/>
                <w:szCs w:val="18"/>
                <w:lang w:val="es-ES"/>
              </w:rPr>
              <w:t>401 143.0</w:t>
            </w:r>
          </w:p>
        </w:tc>
        <w:tc>
          <w:tcPr>
            <w:tcW w:w="1147" w:type="dxa"/>
            <w:tcBorders>
              <w:top w:val="nil"/>
              <w:bottom w:val="nil"/>
            </w:tcBorders>
          </w:tcPr>
          <w:p w14:paraId="4115E04D" w14:textId="77777777" w:rsidR="00081999" w:rsidRPr="00081999" w:rsidRDefault="00081999" w:rsidP="00081999">
            <w:pPr>
              <w:ind w:right="113"/>
              <w:jc w:val="right"/>
              <w:rPr>
                <w:rFonts w:eastAsia="Times New Roman"/>
                <w:sz w:val="18"/>
                <w:szCs w:val="18"/>
                <w:lang w:val="es-ES"/>
              </w:rPr>
            </w:pPr>
            <w:r w:rsidRPr="00081999">
              <w:rPr>
                <w:rFonts w:eastAsia="Times New Roman"/>
                <w:sz w:val="18"/>
                <w:szCs w:val="18"/>
                <w:lang w:val="es-ES"/>
              </w:rPr>
              <w:t>3 650.1</w:t>
            </w:r>
          </w:p>
        </w:tc>
        <w:tc>
          <w:tcPr>
            <w:tcW w:w="1200" w:type="dxa"/>
            <w:tcBorders>
              <w:top w:val="nil"/>
              <w:bottom w:val="nil"/>
            </w:tcBorders>
          </w:tcPr>
          <w:p w14:paraId="7F4AD3FE" w14:textId="77777777" w:rsidR="00081999" w:rsidRPr="00081999" w:rsidRDefault="00081999" w:rsidP="00081999">
            <w:pPr>
              <w:ind w:right="113"/>
              <w:jc w:val="right"/>
              <w:rPr>
                <w:rFonts w:eastAsia="Times New Roman"/>
                <w:sz w:val="18"/>
                <w:szCs w:val="18"/>
                <w:lang w:val="es-ES"/>
              </w:rPr>
            </w:pPr>
            <w:r w:rsidRPr="00081999">
              <w:rPr>
                <w:rFonts w:eastAsia="Times New Roman"/>
                <w:sz w:val="18"/>
                <w:szCs w:val="18"/>
                <w:lang w:val="es-ES"/>
              </w:rPr>
              <w:t>-</w:t>
            </w:r>
          </w:p>
        </w:tc>
        <w:tc>
          <w:tcPr>
            <w:tcW w:w="1195" w:type="dxa"/>
            <w:tcBorders>
              <w:top w:val="nil"/>
              <w:bottom w:val="nil"/>
            </w:tcBorders>
          </w:tcPr>
          <w:p w14:paraId="74B3B84C" w14:textId="77777777" w:rsidR="00081999" w:rsidRPr="00081999" w:rsidRDefault="00081999" w:rsidP="00081999">
            <w:pPr>
              <w:ind w:right="170"/>
              <w:jc w:val="right"/>
              <w:rPr>
                <w:rFonts w:eastAsia="Times New Roman"/>
                <w:sz w:val="18"/>
                <w:szCs w:val="18"/>
                <w:lang w:val="es-ES"/>
              </w:rPr>
            </w:pPr>
            <w:r w:rsidRPr="00081999">
              <w:rPr>
                <w:rFonts w:eastAsia="Times New Roman"/>
                <w:sz w:val="18"/>
                <w:szCs w:val="18"/>
                <w:lang w:val="es-ES"/>
              </w:rPr>
              <w:t>2 958.9</w:t>
            </w:r>
          </w:p>
        </w:tc>
        <w:tc>
          <w:tcPr>
            <w:tcW w:w="1372" w:type="dxa"/>
            <w:tcBorders>
              <w:top w:val="nil"/>
              <w:bottom w:val="nil"/>
              <w:right w:val="single" w:sz="4" w:space="0" w:color="auto"/>
            </w:tcBorders>
          </w:tcPr>
          <w:p w14:paraId="2DB233B9" w14:textId="77777777" w:rsidR="00081999" w:rsidRPr="00081999" w:rsidRDefault="00081999" w:rsidP="00081999">
            <w:pPr>
              <w:ind w:right="113"/>
              <w:jc w:val="right"/>
              <w:rPr>
                <w:rFonts w:eastAsia="Times New Roman"/>
                <w:sz w:val="18"/>
                <w:szCs w:val="18"/>
                <w:lang w:val="es-ES"/>
              </w:rPr>
            </w:pPr>
            <w:r w:rsidRPr="00081999">
              <w:rPr>
                <w:rFonts w:eastAsia="Times New Roman"/>
                <w:sz w:val="18"/>
                <w:szCs w:val="18"/>
                <w:lang w:val="es-ES"/>
              </w:rPr>
              <w:t>407 752.0</w:t>
            </w:r>
          </w:p>
        </w:tc>
      </w:tr>
      <w:tr w:rsidR="00081999" w:rsidRPr="00081999" w14:paraId="13698B5F" w14:textId="77777777" w:rsidTr="00BB7F01">
        <w:trPr>
          <w:jc w:val="center"/>
        </w:trPr>
        <w:tc>
          <w:tcPr>
            <w:tcW w:w="1606" w:type="dxa"/>
            <w:tcBorders>
              <w:top w:val="nil"/>
              <w:bottom w:val="nil"/>
            </w:tcBorders>
          </w:tcPr>
          <w:p w14:paraId="776C46DD" w14:textId="77777777" w:rsidR="00081999" w:rsidRPr="00081999" w:rsidRDefault="00081999" w:rsidP="00081999">
            <w:pPr>
              <w:rPr>
                <w:rFonts w:eastAsia="Times New Roman"/>
                <w:sz w:val="18"/>
                <w:szCs w:val="18"/>
                <w:lang w:val="es-ES"/>
              </w:rPr>
            </w:pPr>
            <w:r w:rsidRPr="00081999">
              <w:rPr>
                <w:rFonts w:eastAsia="Times New Roman"/>
                <w:sz w:val="18"/>
                <w:szCs w:val="18"/>
                <w:lang w:val="es-ES"/>
              </w:rPr>
              <w:t>SURA</w:t>
            </w:r>
          </w:p>
        </w:tc>
        <w:tc>
          <w:tcPr>
            <w:tcW w:w="1275" w:type="dxa"/>
            <w:tcBorders>
              <w:top w:val="nil"/>
              <w:bottom w:val="nil"/>
            </w:tcBorders>
          </w:tcPr>
          <w:p w14:paraId="0FE77AA8" w14:textId="77777777" w:rsidR="00081999" w:rsidRPr="00081999" w:rsidRDefault="00081999" w:rsidP="00081999">
            <w:pPr>
              <w:ind w:right="170"/>
              <w:jc w:val="right"/>
              <w:rPr>
                <w:rFonts w:eastAsia="Times New Roman"/>
                <w:sz w:val="18"/>
                <w:szCs w:val="18"/>
                <w:lang w:val="es-ES"/>
              </w:rPr>
            </w:pPr>
            <w:r w:rsidRPr="00081999">
              <w:rPr>
                <w:rFonts w:eastAsia="Times New Roman"/>
                <w:sz w:val="18"/>
                <w:szCs w:val="18"/>
                <w:lang w:val="es-ES"/>
              </w:rPr>
              <w:t>357 519.7</w:t>
            </w:r>
          </w:p>
        </w:tc>
        <w:tc>
          <w:tcPr>
            <w:tcW w:w="1147" w:type="dxa"/>
            <w:tcBorders>
              <w:top w:val="nil"/>
              <w:bottom w:val="nil"/>
            </w:tcBorders>
          </w:tcPr>
          <w:p w14:paraId="3E5947F0" w14:textId="77777777" w:rsidR="00081999" w:rsidRPr="00081999" w:rsidRDefault="00081999" w:rsidP="00081999">
            <w:pPr>
              <w:ind w:right="113"/>
              <w:jc w:val="right"/>
              <w:rPr>
                <w:rFonts w:eastAsia="Times New Roman"/>
                <w:sz w:val="18"/>
                <w:szCs w:val="18"/>
                <w:lang w:val="es-ES"/>
              </w:rPr>
            </w:pPr>
            <w:r w:rsidRPr="00081999">
              <w:rPr>
                <w:rFonts w:eastAsia="Times New Roman"/>
                <w:sz w:val="18"/>
                <w:szCs w:val="18"/>
                <w:lang w:val="es-ES"/>
              </w:rPr>
              <w:t>2 752.6</w:t>
            </w:r>
          </w:p>
        </w:tc>
        <w:tc>
          <w:tcPr>
            <w:tcW w:w="1200" w:type="dxa"/>
            <w:tcBorders>
              <w:top w:val="nil"/>
              <w:bottom w:val="nil"/>
            </w:tcBorders>
          </w:tcPr>
          <w:p w14:paraId="022991EA" w14:textId="77777777" w:rsidR="00081999" w:rsidRPr="00081999" w:rsidRDefault="00081999" w:rsidP="00081999">
            <w:pPr>
              <w:ind w:right="113"/>
              <w:jc w:val="right"/>
              <w:rPr>
                <w:rFonts w:eastAsia="Times New Roman"/>
                <w:sz w:val="18"/>
                <w:szCs w:val="18"/>
                <w:lang w:val="es-ES"/>
              </w:rPr>
            </w:pPr>
            <w:r w:rsidRPr="00081999">
              <w:rPr>
                <w:rFonts w:eastAsia="Times New Roman"/>
                <w:sz w:val="18"/>
                <w:szCs w:val="18"/>
                <w:lang w:val="es-ES"/>
              </w:rPr>
              <w:t>-</w:t>
            </w:r>
          </w:p>
        </w:tc>
        <w:tc>
          <w:tcPr>
            <w:tcW w:w="1195" w:type="dxa"/>
            <w:tcBorders>
              <w:top w:val="nil"/>
              <w:bottom w:val="nil"/>
            </w:tcBorders>
          </w:tcPr>
          <w:p w14:paraId="0FCF7BAD" w14:textId="77777777" w:rsidR="00081999" w:rsidRPr="00081999" w:rsidRDefault="00081999" w:rsidP="00081999">
            <w:pPr>
              <w:ind w:right="170"/>
              <w:jc w:val="right"/>
              <w:rPr>
                <w:rFonts w:eastAsia="Times New Roman"/>
                <w:sz w:val="18"/>
                <w:szCs w:val="18"/>
                <w:lang w:val="es-ES"/>
              </w:rPr>
            </w:pPr>
            <w:r w:rsidRPr="00081999">
              <w:rPr>
                <w:rFonts w:eastAsia="Times New Roman"/>
                <w:sz w:val="18"/>
                <w:szCs w:val="18"/>
                <w:lang w:val="es-ES"/>
              </w:rPr>
              <w:t>2 889.9</w:t>
            </w:r>
          </w:p>
        </w:tc>
        <w:tc>
          <w:tcPr>
            <w:tcW w:w="1372" w:type="dxa"/>
            <w:tcBorders>
              <w:top w:val="nil"/>
              <w:bottom w:val="nil"/>
              <w:right w:val="single" w:sz="4" w:space="0" w:color="auto"/>
            </w:tcBorders>
          </w:tcPr>
          <w:p w14:paraId="25C86222" w14:textId="77777777" w:rsidR="00081999" w:rsidRPr="00081999" w:rsidRDefault="00081999" w:rsidP="00081999">
            <w:pPr>
              <w:ind w:right="113"/>
              <w:jc w:val="right"/>
              <w:rPr>
                <w:rFonts w:eastAsia="Times New Roman"/>
                <w:sz w:val="18"/>
                <w:szCs w:val="18"/>
                <w:lang w:val="es-ES"/>
              </w:rPr>
            </w:pPr>
            <w:r w:rsidRPr="00081999">
              <w:rPr>
                <w:rFonts w:eastAsia="Times New Roman"/>
                <w:sz w:val="18"/>
                <w:szCs w:val="18"/>
                <w:lang w:val="es-ES"/>
              </w:rPr>
              <w:t>363 162.2</w:t>
            </w:r>
          </w:p>
        </w:tc>
      </w:tr>
      <w:tr w:rsidR="00081999" w:rsidRPr="00081999" w14:paraId="3BAF5E6C" w14:textId="77777777" w:rsidTr="00BB7F01">
        <w:trPr>
          <w:jc w:val="center"/>
        </w:trPr>
        <w:tc>
          <w:tcPr>
            <w:tcW w:w="1606" w:type="dxa"/>
            <w:tcBorders>
              <w:top w:val="nil"/>
              <w:bottom w:val="nil"/>
            </w:tcBorders>
          </w:tcPr>
          <w:p w14:paraId="531466E5" w14:textId="77777777" w:rsidR="00081999" w:rsidRPr="00081999" w:rsidRDefault="00081999" w:rsidP="00081999">
            <w:pPr>
              <w:jc w:val="both"/>
              <w:rPr>
                <w:rFonts w:eastAsia="Times New Roman"/>
                <w:sz w:val="18"/>
                <w:szCs w:val="18"/>
                <w:lang w:val="es-ES"/>
              </w:rPr>
            </w:pPr>
            <w:r w:rsidRPr="00081999">
              <w:rPr>
                <w:rFonts w:eastAsia="Times New Roman"/>
                <w:sz w:val="18"/>
                <w:szCs w:val="18"/>
                <w:lang w:val="es-ES"/>
              </w:rPr>
              <w:t>Profuturo GNP</w:t>
            </w:r>
          </w:p>
        </w:tc>
        <w:tc>
          <w:tcPr>
            <w:tcW w:w="1275" w:type="dxa"/>
            <w:tcBorders>
              <w:top w:val="nil"/>
              <w:bottom w:val="nil"/>
            </w:tcBorders>
          </w:tcPr>
          <w:p w14:paraId="50BC3F8C" w14:textId="77777777" w:rsidR="00081999" w:rsidRPr="00081999" w:rsidRDefault="00081999" w:rsidP="00081999">
            <w:pPr>
              <w:ind w:right="170"/>
              <w:jc w:val="right"/>
              <w:rPr>
                <w:rFonts w:eastAsia="Times New Roman"/>
                <w:sz w:val="18"/>
                <w:szCs w:val="18"/>
                <w:lang w:val="es-ES"/>
              </w:rPr>
            </w:pPr>
            <w:r w:rsidRPr="00081999">
              <w:rPr>
                <w:rFonts w:eastAsia="Times New Roman"/>
                <w:sz w:val="18"/>
                <w:szCs w:val="18"/>
                <w:lang w:val="es-ES"/>
              </w:rPr>
              <w:t>300 434.1</w:t>
            </w:r>
          </w:p>
        </w:tc>
        <w:tc>
          <w:tcPr>
            <w:tcW w:w="1147" w:type="dxa"/>
            <w:tcBorders>
              <w:top w:val="nil"/>
              <w:bottom w:val="nil"/>
            </w:tcBorders>
          </w:tcPr>
          <w:p w14:paraId="60DECE53" w14:textId="77777777" w:rsidR="00081999" w:rsidRPr="00081999" w:rsidRDefault="00081999" w:rsidP="00081999">
            <w:pPr>
              <w:ind w:right="113"/>
              <w:jc w:val="right"/>
              <w:rPr>
                <w:rFonts w:eastAsia="Times New Roman"/>
                <w:sz w:val="18"/>
                <w:szCs w:val="18"/>
                <w:lang w:val="es-ES"/>
              </w:rPr>
            </w:pPr>
            <w:r w:rsidRPr="00081999">
              <w:rPr>
                <w:rFonts w:eastAsia="Times New Roman"/>
                <w:sz w:val="18"/>
                <w:szCs w:val="18"/>
                <w:lang w:val="es-ES"/>
              </w:rPr>
              <w:t>2 053.9</w:t>
            </w:r>
          </w:p>
        </w:tc>
        <w:tc>
          <w:tcPr>
            <w:tcW w:w="1200" w:type="dxa"/>
            <w:tcBorders>
              <w:top w:val="nil"/>
              <w:bottom w:val="nil"/>
            </w:tcBorders>
          </w:tcPr>
          <w:p w14:paraId="5E9E38A4" w14:textId="77777777" w:rsidR="00081999" w:rsidRPr="00081999" w:rsidRDefault="00081999" w:rsidP="00081999">
            <w:pPr>
              <w:ind w:right="113"/>
              <w:jc w:val="right"/>
              <w:rPr>
                <w:rFonts w:eastAsia="Times New Roman"/>
                <w:sz w:val="18"/>
                <w:szCs w:val="18"/>
                <w:lang w:val="es-ES"/>
              </w:rPr>
            </w:pPr>
            <w:r w:rsidRPr="00081999">
              <w:rPr>
                <w:rFonts w:eastAsia="Times New Roman"/>
                <w:sz w:val="18"/>
                <w:szCs w:val="18"/>
                <w:lang w:val="es-ES"/>
              </w:rPr>
              <w:t>-</w:t>
            </w:r>
          </w:p>
        </w:tc>
        <w:tc>
          <w:tcPr>
            <w:tcW w:w="1195" w:type="dxa"/>
            <w:tcBorders>
              <w:top w:val="nil"/>
              <w:bottom w:val="nil"/>
            </w:tcBorders>
          </w:tcPr>
          <w:p w14:paraId="76EFDA65" w14:textId="77777777" w:rsidR="00081999" w:rsidRPr="00081999" w:rsidRDefault="00081999" w:rsidP="00081999">
            <w:pPr>
              <w:ind w:right="170"/>
              <w:jc w:val="right"/>
              <w:rPr>
                <w:rFonts w:eastAsia="Times New Roman"/>
                <w:sz w:val="18"/>
                <w:szCs w:val="18"/>
                <w:lang w:val="es-ES"/>
              </w:rPr>
            </w:pPr>
            <w:r w:rsidRPr="00081999">
              <w:rPr>
                <w:rFonts w:eastAsia="Times New Roman"/>
                <w:sz w:val="18"/>
                <w:szCs w:val="18"/>
                <w:lang w:val="es-ES"/>
              </w:rPr>
              <w:t>2 226.3</w:t>
            </w:r>
          </w:p>
        </w:tc>
        <w:tc>
          <w:tcPr>
            <w:tcW w:w="1372" w:type="dxa"/>
            <w:tcBorders>
              <w:top w:val="nil"/>
              <w:bottom w:val="nil"/>
              <w:right w:val="single" w:sz="4" w:space="0" w:color="auto"/>
            </w:tcBorders>
          </w:tcPr>
          <w:p w14:paraId="6A9A4754" w14:textId="77777777" w:rsidR="00081999" w:rsidRPr="00081999" w:rsidRDefault="00081999" w:rsidP="00081999">
            <w:pPr>
              <w:ind w:right="113"/>
              <w:jc w:val="right"/>
              <w:rPr>
                <w:rFonts w:eastAsia="Times New Roman"/>
                <w:sz w:val="18"/>
                <w:szCs w:val="18"/>
                <w:lang w:val="es-ES"/>
              </w:rPr>
            </w:pPr>
            <w:r w:rsidRPr="00081999">
              <w:rPr>
                <w:rFonts w:eastAsia="Times New Roman"/>
                <w:sz w:val="18"/>
                <w:szCs w:val="18"/>
                <w:lang w:val="es-ES"/>
              </w:rPr>
              <w:t>304 714.3</w:t>
            </w:r>
          </w:p>
        </w:tc>
      </w:tr>
      <w:tr w:rsidR="00081999" w:rsidRPr="00081999" w14:paraId="4BC940E2" w14:textId="77777777" w:rsidTr="00BB7F01">
        <w:trPr>
          <w:jc w:val="center"/>
        </w:trPr>
        <w:tc>
          <w:tcPr>
            <w:tcW w:w="1606" w:type="dxa"/>
            <w:tcBorders>
              <w:top w:val="nil"/>
              <w:bottom w:val="nil"/>
            </w:tcBorders>
          </w:tcPr>
          <w:p w14:paraId="51C62735" w14:textId="77777777" w:rsidR="00081999" w:rsidRPr="00081999" w:rsidRDefault="00081999" w:rsidP="00081999">
            <w:pPr>
              <w:rPr>
                <w:rFonts w:eastAsia="Times New Roman"/>
                <w:sz w:val="18"/>
                <w:szCs w:val="18"/>
                <w:lang w:val="es-ES"/>
              </w:rPr>
            </w:pPr>
            <w:r w:rsidRPr="00081999">
              <w:rPr>
                <w:rFonts w:eastAsia="Times New Roman"/>
                <w:sz w:val="18"/>
                <w:szCs w:val="18"/>
                <w:lang w:val="es-ES"/>
              </w:rPr>
              <w:t>Invercap</w:t>
            </w:r>
          </w:p>
        </w:tc>
        <w:tc>
          <w:tcPr>
            <w:tcW w:w="1275" w:type="dxa"/>
            <w:tcBorders>
              <w:top w:val="nil"/>
              <w:bottom w:val="nil"/>
            </w:tcBorders>
          </w:tcPr>
          <w:p w14:paraId="39DAEB27" w14:textId="77777777" w:rsidR="00081999" w:rsidRPr="00081999" w:rsidRDefault="00081999" w:rsidP="00081999">
            <w:pPr>
              <w:ind w:right="170"/>
              <w:jc w:val="right"/>
              <w:rPr>
                <w:rFonts w:eastAsia="Times New Roman"/>
                <w:sz w:val="18"/>
                <w:szCs w:val="18"/>
                <w:lang w:val="es-ES"/>
              </w:rPr>
            </w:pPr>
            <w:r w:rsidRPr="00081999">
              <w:rPr>
                <w:rFonts w:eastAsia="Times New Roman"/>
                <w:sz w:val="18"/>
                <w:szCs w:val="18"/>
                <w:lang w:val="es-ES"/>
              </w:rPr>
              <w:t>157 237.4</w:t>
            </w:r>
          </w:p>
        </w:tc>
        <w:tc>
          <w:tcPr>
            <w:tcW w:w="1147" w:type="dxa"/>
            <w:tcBorders>
              <w:top w:val="nil"/>
              <w:bottom w:val="nil"/>
            </w:tcBorders>
          </w:tcPr>
          <w:p w14:paraId="1E7C1B46" w14:textId="77777777" w:rsidR="00081999" w:rsidRPr="00081999" w:rsidRDefault="00081999" w:rsidP="00081999">
            <w:pPr>
              <w:ind w:right="113"/>
              <w:jc w:val="right"/>
              <w:rPr>
                <w:rFonts w:eastAsia="Times New Roman"/>
                <w:sz w:val="18"/>
                <w:szCs w:val="18"/>
                <w:lang w:val="es-ES"/>
              </w:rPr>
            </w:pPr>
            <w:r w:rsidRPr="00081999">
              <w:rPr>
                <w:rFonts w:eastAsia="Times New Roman"/>
                <w:sz w:val="18"/>
                <w:szCs w:val="18"/>
                <w:lang w:val="es-ES"/>
              </w:rPr>
              <w:t>548.7</w:t>
            </w:r>
          </w:p>
        </w:tc>
        <w:tc>
          <w:tcPr>
            <w:tcW w:w="1200" w:type="dxa"/>
            <w:tcBorders>
              <w:top w:val="nil"/>
              <w:bottom w:val="nil"/>
            </w:tcBorders>
          </w:tcPr>
          <w:p w14:paraId="1A2F19AF" w14:textId="77777777" w:rsidR="00081999" w:rsidRPr="00081999" w:rsidRDefault="00081999" w:rsidP="00081999">
            <w:pPr>
              <w:ind w:right="113"/>
              <w:jc w:val="right"/>
              <w:rPr>
                <w:rFonts w:eastAsia="Times New Roman"/>
                <w:sz w:val="18"/>
                <w:szCs w:val="18"/>
                <w:lang w:val="es-ES"/>
              </w:rPr>
            </w:pPr>
            <w:r w:rsidRPr="00081999">
              <w:rPr>
                <w:rFonts w:eastAsia="Times New Roman"/>
                <w:sz w:val="18"/>
                <w:szCs w:val="18"/>
                <w:lang w:val="es-ES"/>
              </w:rPr>
              <w:t>-</w:t>
            </w:r>
          </w:p>
        </w:tc>
        <w:tc>
          <w:tcPr>
            <w:tcW w:w="1195" w:type="dxa"/>
            <w:tcBorders>
              <w:top w:val="nil"/>
              <w:bottom w:val="nil"/>
            </w:tcBorders>
          </w:tcPr>
          <w:p w14:paraId="1BF90C78" w14:textId="77777777" w:rsidR="00081999" w:rsidRPr="00081999" w:rsidRDefault="00081999" w:rsidP="00081999">
            <w:pPr>
              <w:ind w:right="170"/>
              <w:jc w:val="right"/>
              <w:rPr>
                <w:rFonts w:eastAsia="Times New Roman"/>
                <w:sz w:val="18"/>
                <w:szCs w:val="18"/>
                <w:lang w:val="es-ES"/>
              </w:rPr>
            </w:pPr>
            <w:r w:rsidRPr="00081999">
              <w:rPr>
                <w:rFonts w:eastAsia="Times New Roman"/>
                <w:sz w:val="18"/>
                <w:szCs w:val="18"/>
                <w:lang w:val="es-ES"/>
              </w:rPr>
              <w:t>1 153.8</w:t>
            </w:r>
          </w:p>
        </w:tc>
        <w:tc>
          <w:tcPr>
            <w:tcW w:w="1372" w:type="dxa"/>
            <w:tcBorders>
              <w:top w:val="nil"/>
              <w:bottom w:val="nil"/>
              <w:right w:val="single" w:sz="4" w:space="0" w:color="auto"/>
            </w:tcBorders>
          </w:tcPr>
          <w:p w14:paraId="3C600C6B" w14:textId="77777777" w:rsidR="00081999" w:rsidRPr="00081999" w:rsidRDefault="00081999" w:rsidP="00081999">
            <w:pPr>
              <w:ind w:right="113"/>
              <w:jc w:val="right"/>
              <w:rPr>
                <w:rFonts w:eastAsia="Times New Roman"/>
                <w:sz w:val="18"/>
                <w:szCs w:val="18"/>
                <w:lang w:val="es-ES"/>
              </w:rPr>
            </w:pPr>
            <w:r w:rsidRPr="00081999">
              <w:rPr>
                <w:rFonts w:eastAsia="Times New Roman"/>
                <w:sz w:val="18"/>
                <w:szCs w:val="18"/>
                <w:lang w:val="es-ES"/>
              </w:rPr>
              <w:t>158 939.9</w:t>
            </w:r>
          </w:p>
        </w:tc>
      </w:tr>
      <w:tr w:rsidR="00081999" w:rsidRPr="00081999" w14:paraId="221D0119" w14:textId="77777777" w:rsidTr="00BB7F01">
        <w:trPr>
          <w:jc w:val="center"/>
        </w:trPr>
        <w:tc>
          <w:tcPr>
            <w:tcW w:w="1606" w:type="dxa"/>
            <w:tcBorders>
              <w:top w:val="nil"/>
              <w:bottom w:val="nil"/>
            </w:tcBorders>
          </w:tcPr>
          <w:p w14:paraId="02CAFA0B" w14:textId="77777777" w:rsidR="00081999" w:rsidRPr="00081999" w:rsidRDefault="00081999" w:rsidP="00081999">
            <w:pPr>
              <w:rPr>
                <w:rFonts w:eastAsia="Times New Roman"/>
                <w:sz w:val="18"/>
                <w:szCs w:val="18"/>
                <w:lang w:val="es-ES"/>
              </w:rPr>
            </w:pPr>
            <w:r w:rsidRPr="00081999">
              <w:rPr>
                <w:rFonts w:eastAsia="Times New Roman"/>
                <w:sz w:val="18"/>
                <w:szCs w:val="18"/>
                <w:lang w:val="es-ES"/>
              </w:rPr>
              <w:t>Principal</w:t>
            </w:r>
          </w:p>
        </w:tc>
        <w:tc>
          <w:tcPr>
            <w:tcW w:w="1275" w:type="dxa"/>
            <w:tcBorders>
              <w:top w:val="nil"/>
              <w:bottom w:val="nil"/>
            </w:tcBorders>
          </w:tcPr>
          <w:p w14:paraId="3FE7269A" w14:textId="77777777" w:rsidR="00081999" w:rsidRPr="00081999" w:rsidRDefault="00081999" w:rsidP="00081999">
            <w:pPr>
              <w:ind w:right="170"/>
              <w:jc w:val="right"/>
              <w:rPr>
                <w:rFonts w:eastAsia="Times New Roman"/>
                <w:sz w:val="18"/>
                <w:szCs w:val="18"/>
                <w:lang w:val="es-ES"/>
              </w:rPr>
            </w:pPr>
            <w:r w:rsidRPr="00081999">
              <w:rPr>
                <w:rFonts w:eastAsia="Times New Roman"/>
                <w:sz w:val="18"/>
                <w:szCs w:val="18"/>
                <w:lang w:val="es-ES"/>
              </w:rPr>
              <w:t>151 580.8</w:t>
            </w:r>
          </w:p>
        </w:tc>
        <w:tc>
          <w:tcPr>
            <w:tcW w:w="1147" w:type="dxa"/>
            <w:tcBorders>
              <w:top w:val="nil"/>
              <w:bottom w:val="nil"/>
            </w:tcBorders>
          </w:tcPr>
          <w:p w14:paraId="21C0BB0A" w14:textId="77777777" w:rsidR="00081999" w:rsidRPr="00081999" w:rsidRDefault="00081999" w:rsidP="00081999">
            <w:pPr>
              <w:ind w:right="113"/>
              <w:jc w:val="right"/>
              <w:rPr>
                <w:rFonts w:eastAsia="Times New Roman"/>
                <w:sz w:val="18"/>
                <w:szCs w:val="18"/>
                <w:lang w:val="es-ES"/>
              </w:rPr>
            </w:pPr>
            <w:r w:rsidRPr="00081999">
              <w:rPr>
                <w:rFonts w:eastAsia="Times New Roman"/>
                <w:sz w:val="18"/>
                <w:szCs w:val="18"/>
                <w:lang w:val="es-ES"/>
              </w:rPr>
              <w:t>581.4</w:t>
            </w:r>
          </w:p>
        </w:tc>
        <w:tc>
          <w:tcPr>
            <w:tcW w:w="1200" w:type="dxa"/>
            <w:tcBorders>
              <w:top w:val="nil"/>
              <w:bottom w:val="nil"/>
            </w:tcBorders>
          </w:tcPr>
          <w:p w14:paraId="79D437FC" w14:textId="77777777" w:rsidR="00081999" w:rsidRPr="00081999" w:rsidRDefault="00081999" w:rsidP="00081999">
            <w:pPr>
              <w:ind w:right="113"/>
              <w:jc w:val="right"/>
              <w:rPr>
                <w:rFonts w:eastAsia="Times New Roman"/>
                <w:sz w:val="18"/>
                <w:szCs w:val="18"/>
                <w:lang w:val="es-ES"/>
              </w:rPr>
            </w:pPr>
            <w:r w:rsidRPr="00081999">
              <w:rPr>
                <w:rFonts w:eastAsia="Times New Roman"/>
                <w:sz w:val="18"/>
                <w:szCs w:val="18"/>
                <w:lang w:val="es-ES"/>
              </w:rPr>
              <w:t>-</w:t>
            </w:r>
          </w:p>
        </w:tc>
        <w:tc>
          <w:tcPr>
            <w:tcW w:w="1195" w:type="dxa"/>
            <w:tcBorders>
              <w:top w:val="nil"/>
              <w:bottom w:val="nil"/>
            </w:tcBorders>
          </w:tcPr>
          <w:p w14:paraId="5D74B814" w14:textId="77777777" w:rsidR="00081999" w:rsidRPr="00081999" w:rsidRDefault="00081999" w:rsidP="00081999">
            <w:pPr>
              <w:ind w:right="170"/>
              <w:jc w:val="right"/>
              <w:rPr>
                <w:rFonts w:eastAsia="Times New Roman"/>
                <w:sz w:val="18"/>
                <w:szCs w:val="18"/>
                <w:lang w:val="es-ES"/>
              </w:rPr>
            </w:pPr>
            <w:r w:rsidRPr="00081999">
              <w:rPr>
                <w:rFonts w:eastAsia="Times New Roman"/>
                <w:sz w:val="18"/>
                <w:szCs w:val="18"/>
                <w:lang w:val="es-ES"/>
              </w:rPr>
              <w:t>1 342.8</w:t>
            </w:r>
          </w:p>
        </w:tc>
        <w:tc>
          <w:tcPr>
            <w:tcW w:w="1372" w:type="dxa"/>
            <w:tcBorders>
              <w:top w:val="nil"/>
              <w:bottom w:val="nil"/>
              <w:right w:val="single" w:sz="4" w:space="0" w:color="auto"/>
            </w:tcBorders>
          </w:tcPr>
          <w:p w14:paraId="61C6C914" w14:textId="77777777" w:rsidR="00081999" w:rsidRPr="00081999" w:rsidRDefault="00081999" w:rsidP="00081999">
            <w:pPr>
              <w:ind w:right="113"/>
              <w:jc w:val="right"/>
              <w:rPr>
                <w:rFonts w:eastAsia="Times New Roman"/>
                <w:sz w:val="18"/>
                <w:szCs w:val="18"/>
                <w:lang w:val="es-ES"/>
              </w:rPr>
            </w:pPr>
            <w:r w:rsidRPr="00081999">
              <w:rPr>
                <w:rFonts w:eastAsia="Times New Roman"/>
                <w:sz w:val="18"/>
                <w:szCs w:val="18"/>
                <w:lang w:val="es-ES"/>
              </w:rPr>
              <w:t>153 505.0</w:t>
            </w:r>
          </w:p>
        </w:tc>
      </w:tr>
      <w:tr w:rsidR="00081999" w:rsidRPr="00081999" w14:paraId="5CF12DB5" w14:textId="77777777" w:rsidTr="00BB7F01">
        <w:trPr>
          <w:jc w:val="center"/>
        </w:trPr>
        <w:tc>
          <w:tcPr>
            <w:tcW w:w="1606" w:type="dxa"/>
            <w:tcBorders>
              <w:top w:val="nil"/>
              <w:bottom w:val="nil"/>
            </w:tcBorders>
          </w:tcPr>
          <w:p w14:paraId="4DBFE716" w14:textId="77777777" w:rsidR="00081999" w:rsidRPr="00081999" w:rsidRDefault="00081999" w:rsidP="00081999">
            <w:pPr>
              <w:rPr>
                <w:rFonts w:eastAsia="Times New Roman"/>
                <w:sz w:val="18"/>
                <w:szCs w:val="18"/>
                <w:lang w:val="es-ES"/>
              </w:rPr>
            </w:pPr>
            <w:r w:rsidRPr="00081999">
              <w:rPr>
                <w:rFonts w:eastAsia="Times New Roman"/>
                <w:sz w:val="18"/>
                <w:szCs w:val="18"/>
                <w:lang w:val="es-ES"/>
              </w:rPr>
              <w:t>PensionISSSTE</w:t>
            </w:r>
          </w:p>
        </w:tc>
        <w:tc>
          <w:tcPr>
            <w:tcW w:w="1275" w:type="dxa"/>
            <w:tcBorders>
              <w:top w:val="nil"/>
              <w:bottom w:val="nil"/>
            </w:tcBorders>
          </w:tcPr>
          <w:p w14:paraId="56110A03" w14:textId="77777777" w:rsidR="00081999" w:rsidRPr="00081999" w:rsidRDefault="00081999" w:rsidP="00081999">
            <w:pPr>
              <w:ind w:right="170"/>
              <w:jc w:val="right"/>
              <w:rPr>
                <w:rFonts w:eastAsia="Times New Roman"/>
                <w:sz w:val="18"/>
                <w:szCs w:val="18"/>
                <w:lang w:val="es-ES"/>
              </w:rPr>
            </w:pPr>
            <w:r w:rsidRPr="00081999">
              <w:rPr>
                <w:rFonts w:eastAsia="Times New Roman"/>
                <w:sz w:val="18"/>
                <w:szCs w:val="18"/>
                <w:lang w:val="es-ES"/>
              </w:rPr>
              <w:t>106 609.7</w:t>
            </w:r>
          </w:p>
        </w:tc>
        <w:tc>
          <w:tcPr>
            <w:tcW w:w="1147" w:type="dxa"/>
            <w:tcBorders>
              <w:top w:val="nil"/>
              <w:bottom w:val="nil"/>
            </w:tcBorders>
          </w:tcPr>
          <w:p w14:paraId="66B9F8D1" w14:textId="77777777" w:rsidR="00081999" w:rsidRPr="00081999" w:rsidRDefault="00081999" w:rsidP="00081999">
            <w:pPr>
              <w:ind w:right="113"/>
              <w:jc w:val="right"/>
              <w:rPr>
                <w:rFonts w:eastAsia="Times New Roman"/>
                <w:sz w:val="18"/>
                <w:szCs w:val="18"/>
                <w:lang w:val="es-ES"/>
              </w:rPr>
            </w:pPr>
            <w:r w:rsidRPr="00081999">
              <w:rPr>
                <w:rFonts w:eastAsia="Times New Roman"/>
                <w:sz w:val="18"/>
                <w:szCs w:val="18"/>
                <w:lang w:val="es-ES"/>
              </w:rPr>
              <w:t>7 035.7</w:t>
            </w:r>
          </w:p>
        </w:tc>
        <w:tc>
          <w:tcPr>
            <w:tcW w:w="1200" w:type="dxa"/>
            <w:tcBorders>
              <w:top w:val="nil"/>
              <w:bottom w:val="nil"/>
            </w:tcBorders>
          </w:tcPr>
          <w:p w14:paraId="078B6111" w14:textId="77777777" w:rsidR="00081999" w:rsidRPr="00081999" w:rsidRDefault="00081999" w:rsidP="00081999">
            <w:pPr>
              <w:ind w:right="113"/>
              <w:jc w:val="right"/>
              <w:rPr>
                <w:rFonts w:eastAsia="Times New Roman"/>
                <w:sz w:val="18"/>
                <w:szCs w:val="18"/>
                <w:lang w:val="es-ES"/>
              </w:rPr>
            </w:pPr>
            <w:r w:rsidRPr="00081999">
              <w:rPr>
                <w:rFonts w:eastAsia="Times New Roman"/>
                <w:sz w:val="18"/>
                <w:szCs w:val="18"/>
                <w:lang w:val="es-ES"/>
              </w:rPr>
              <w:t>-</w:t>
            </w:r>
          </w:p>
        </w:tc>
        <w:tc>
          <w:tcPr>
            <w:tcW w:w="1195" w:type="dxa"/>
            <w:tcBorders>
              <w:top w:val="nil"/>
              <w:bottom w:val="nil"/>
            </w:tcBorders>
          </w:tcPr>
          <w:p w14:paraId="09177550" w14:textId="77777777" w:rsidR="00081999" w:rsidRPr="00081999" w:rsidRDefault="00081999" w:rsidP="00081999">
            <w:pPr>
              <w:ind w:right="170"/>
              <w:jc w:val="right"/>
              <w:rPr>
                <w:rFonts w:eastAsia="Times New Roman"/>
                <w:sz w:val="18"/>
                <w:szCs w:val="18"/>
                <w:lang w:val="es-ES"/>
              </w:rPr>
            </w:pPr>
            <w:r w:rsidRPr="00081999">
              <w:rPr>
                <w:rFonts w:eastAsia="Times New Roman"/>
                <w:sz w:val="18"/>
                <w:szCs w:val="18"/>
                <w:lang w:val="es-ES"/>
              </w:rPr>
              <w:t>988.1</w:t>
            </w:r>
          </w:p>
        </w:tc>
        <w:tc>
          <w:tcPr>
            <w:tcW w:w="1372" w:type="dxa"/>
            <w:tcBorders>
              <w:top w:val="nil"/>
              <w:bottom w:val="nil"/>
              <w:right w:val="single" w:sz="4" w:space="0" w:color="auto"/>
            </w:tcBorders>
          </w:tcPr>
          <w:p w14:paraId="63FC3103" w14:textId="77777777" w:rsidR="00081999" w:rsidRPr="00081999" w:rsidRDefault="00081999" w:rsidP="00081999">
            <w:pPr>
              <w:ind w:right="113"/>
              <w:jc w:val="right"/>
              <w:rPr>
                <w:rFonts w:eastAsia="Times New Roman"/>
                <w:sz w:val="18"/>
                <w:szCs w:val="18"/>
                <w:lang w:val="es-ES"/>
              </w:rPr>
            </w:pPr>
            <w:r w:rsidRPr="00081999">
              <w:rPr>
                <w:rFonts w:eastAsia="Times New Roman"/>
                <w:sz w:val="18"/>
                <w:szCs w:val="18"/>
                <w:lang w:val="es-ES"/>
              </w:rPr>
              <w:t>114 633.5</w:t>
            </w:r>
          </w:p>
        </w:tc>
      </w:tr>
      <w:tr w:rsidR="00081999" w:rsidRPr="00081999" w14:paraId="4C287D85" w14:textId="77777777" w:rsidTr="00BB7F01">
        <w:trPr>
          <w:jc w:val="center"/>
        </w:trPr>
        <w:tc>
          <w:tcPr>
            <w:tcW w:w="1606" w:type="dxa"/>
            <w:tcBorders>
              <w:top w:val="nil"/>
              <w:bottom w:val="nil"/>
            </w:tcBorders>
          </w:tcPr>
          <w:p w14:paraId="2B736EFE" w14:textId="77777777" w:rsidR="00081999" w:rsidRPr="00081999" w:rsidRDefault="00081999" w:rsidP="00081999">
            <w:pPr>
              <w:rPr>
                <w:rFonts w:eastAsia="Times New Roman"/>
                <w:sz w:val="18"/>
                <w:szCs w:val="18"/>
                <w:lang w:val="es-ES"/>
              </w:rPr>
            </w:pPr>
            <w:r w:rsidRPr="00081999">
              <w:rPr>
                <w:rFonts w:eastAsia="Times New Roman"/>
                <w:sz w:val="18"/>
                <w:szCs w:val="18"/>
                <w:lang w:val="es-ES"/>
              </w:rPr>
              <w:t>Coppel</w:t>
            </w:r>
          </w:p>
        </w:tc>
        <w:tc>
          <w:tcPr>
            <w:tcW w:w="1275" w:type="dxa"/>
            <w:tcBorders>
              <w:top w:val="nil"/>
              <w:bottom w:val="nil"/>
            </w:tcBorders>
          </w:tcPr>
          <w:p w14:paraId="0675D1E1" w14:textId="77777777" w:rsidR="00081999" w:rsidRPr="00081999" w:rsidRDefault="00081999" w:rsidP="00081999">
            <w:pPr>
              <w:ind w:right="170"/>
              <w:jc w:val="right"/>
              <w:rPr>
                <w:rFonts w:eastAsia="Times New Roman"/>
                <w:sz w:val="18"/>
                <w:szCs w:val="18"/>
                <w:lang w:val="es-ES"/>
              </w:rPr>
            </w:pPr>
            <w:r w:rsidRPr="00081999">
              <w:rPr>
                <w:rFonts w:eastAsia="Times New Roman"/>
                <w:sz w:val="18"/>
                <w:szCs w:val="18"/>
                <w:lang w:val="es-ES"/>
              </w:rPr>
              <w:t>113 310.3</w:t>
            </w:r>
          </w:p>
        </w:tc>
        <w:tc>
          <w:tcPr>
            <w:tcW w:w="1147" w:type="dxa"/>
            <w:tcBorders>
              <w:top w:val="nil"/>
              <w:bottom w:val="nil"/>
            </w:tcBorders>
          </w:tcPr>
          <w:p w14:paraId="710162C7" w14:textId="77777777" w:rsidR="00081999" w:rsidRPr="00081999" w:rsidRDefault="00081999" w:rsidP="00081999">
            <w:pPr>
              <w:ind w:right="113"/>
              <w:jc w:val="right"/>
              <w:rPr>
                <w:rFonts w:eastAsia="Times New Roman"/>
                <w:sz w:val="18"/>
                <w:szCs w:val="18"/>
                <w:lang w:val="es-ES"/>
              </w:rPr>
            </w:pPr>
            <w:r w:rsidRPr="00081999">
              <w:rPr>
                <w:rFonts w:eastAsia="Times New Roman"/>
                <w:sz w:val="18"/>
                <w:szCs w:val="18"/>
                <w:lang w:val="es-ES"/>
              </w:rPr>
              <w:t>296.4</w:t>
            </w:r>
          </w:p>
        </w:tc>
        <w:tc>
          <w:tcPr>
            <w:tcW w:w="1200" w:type="dxa"/>
            <w:tcBorders>
              <w:top w:val="nil"/>
              <w:bottom w:val="nil"/>
            </w:tcBorders>
          </w:tcPr>
          <w:p w14:paraId="5D37556A" w14:textId="77777777" w:rsidR="00081999" w:rsidRPr="00081999" w:rsidRDefault="00081999" w:rsidP="00081999">
            <w:pPr>
              <w:ind w:right="113"/>
              <w:jc w:val="right"/>
              <w:rPr>
                <w:rFonts w:eastAsia="Times New Roman"/>
                <w:sz w:val="18"/>
                <w:szCs w:val="18"/>
                <w:lang w:val="es-ES"/>
              </w:rPr>
            </w:pPr>
            <w:r w:rsidRPr="00081999">
              <w:rPr>
                <w:rFonts w:eastAsia="Times New Roman"/>
                <w:sz w:val="18"/>
                <w:szCs w:val="18"/>
                <w:lang w:val="es-ES"/>
              </w:rPr>
              <w:t>-</w:t>
            </w:r>
          </w:p>
        </w:tc>
        <w:tc>
          <w:tcPr>
            <w:tcW w:w="1195" w:type="dxa"/>
            <w:tcBorders>
              <w:top w:val="nil"/>
              <w:bottom w:val="nil"/>
            </w:tcBorders>
          </w:tcPr>
          <w:p w14:paraId="2ED4BDB8" w14:textId="77777777" w:rsidR="00081999" w:rsidRPr="00081999" w:rsidRDefault="00081999" w:rsidP="00081999">
            <w:pPr>
              <w:ind w:right="170"/>
              <w:jc w:val="right"/>
              <w:rPr>
                <w:rFonts w:eastAsia="Times New Roman"/>
                <w:sz w:val="18"/>
                <w:szCs w:val="18"/>
                <w:lang w:val="es-ES"/>
              </w:rPr>
            </w:pPr>
            <w:r w:rsidRPr="00081999">
              <w:rPr>
                <w:rFonts w:eastAsia="Times New Roman"/>
                <w:sz w:val="18"/>
                <w:szCs w:val="18"/>
                <w:lang w:val="es-ES"/>
              </w:rPr>
              <w:t>883.5</w:t>
            </w:r>
          </w:p>
        </w:tc>
        <w:tc>
          <w:tcPr>
            <w:tcW w:w="1372" w:type="dxa"/>
            <w:tcBorders>
              <w:top w:val="nil"/>
              <w:bottom w:val="nil"/>
              <w:right w:val="single" w:sz="4" w:space="0" w:color="auto"/>
            </w:tcBorders>
          </w:tcPr>
          <w:p w14:paraId="327EF923" w14:textId="77777777" w:rsidR="00081999" w:rsidRPr="00081999" w:rsidRDefault="00081999" w:rsidP="00081999">
            <w:pPr>
              <w:ind w:right="113"/>
              <w:jc w:val="right"/>
              <w:rPr>
                <w:rFonts w:eastAsia="Times New Roman"/>
                <w:sz w:val="18"/>
                <w:szCs w:val="18"/>
                <w:lang w:val="es-ES"/>
              </w:rPr>
            </w:pPr>
            <w:r w:rsidRPr="00081999">
              <w:rPr>
                <w:rFonts w:eastAsia="Times New Roman"/>
                <w:sz w:val="18"/>
                <w:szCs w:val="18"/>
                <w:lang w:val="es-ES"/>
              </w:rPr>
              <w:t>114 490.2</w:t>
            </w:r>
          </w:p>
        </w:tc>
      </w:tr>
      <w:tr w:rsidR="00081999" w:rsidRPr="00081999" w14:paraId="62D80E82" w14:textId="77777777" w:rsidTr="00BB7F01">
        <w:trPr>
          <w:jc w:val="center"/>
        </w:trPr>
        <w:tc>
          <w:tcPr>
            <w:tcW w:w="1606" w:type="dxa"/>
            <w:tcBorders>
              <w:top w:val="nil"/>
              <w:bottom w:val="nil"/>
            </w:tcBorders>
          </w:tcPr>
          <w:p w14:paraId="48642DEF" w14:textId="77777777" w:rsidR="00081999" w:rsidRPr="00081999" w:rsidRDefault="00081999" w:rsidP="00081999">
            <w:pPr>
              <w:rPr>
                <w:rFonts w:eastAsia="Times New Roman"/>
                <w:sz w:val="18"/>
                <w:szCs w:val="18"/>
                <w:lang w:val="es-ES"/>
              </w:rPr>
            </w:pPr>
            <w:r w:rsidRPr="00081999">
              <w:rPr>
                <w:rFonts w:eastAsia="Times New Roman"/>
                <w:sz w:val="18"/>
                <w:szCs w:val="18"/>
                <w:lang w:val="es-ES"/>
              </w:rPr>
              <w:t>Inbursa</w:t>
            </w:r>
          </w:p>
        </w:tc>
        <w:tc>
          <w:tcPr>
            <w:tcW w:w="1275" w:type="dxa"/>
            <w:tcBorders>
              <w:top w:val="nil"/>
              <w:bottom w:val="nil"/>
            </w:tcBorders>
          </w:tcPr>
          <w:p w14:paraId="464302C4" w14:textId="77777777" w:rsidR="00081999" w:rsidRPr="00081999" w:rsidRDefault="00081999" w:rsidP="00081999">
            <w:pPr>
              <w:ind w:right="170"/>
              <w:jc w:val="right"/>
              <w:rPr>
                <w:rFonts w:eastAsia="Times New Roman"/>
                <w:sz w:val="18"/>
                <w:szCs w:val="18"/>
                <w:lang w:val="es-ES"/>
              </w:rPr>
            </w:pPr>
            <w:r w:rsidRPr="00081999">
              <w:rPr>
                <w:rFonts w:eastAsia="Times New Roman"/>
                <w:sz w:val="18"/>
                <w:szCs w:val="18"/>
                <w:lang w:val="es-ES"/>
              </w:rPr>
              <w:t>104 229.1</w:t>
            </w:r>
          </w:p>
        </w:tc>
        <w:tc>
          <w:tcPr>
            <w:tcW w:w="1147" w:type="dxa"/>
            <w:tcBorders>
              <w:top w:val="nil"/>
              <w:bottom w:val="nil"/>
            </w:tcBorders>
          </w:tcPr>
          <w:p w14:paraId="13CDE3FC" w14:textId="77777777" w:rsidR="00081999" w:rsidRPr="00081999" w:rsidRDefault="00081999" w:rsidP="00081999">
            <w:pPr>
              <w:ind w:right="113"/>
              <w:jc w:val="right"/>
              <w:rPr>
                <w:rFonts w:eastAsia="Times New Roman"/>
                <w:sz w:val="18"/>
                <w:szCs w:val="18"/>
                <w:lang w:val="es-ES"/>
              </w:rPr>
            </w:pPr>
            <w:r w:rsidRPr="00081999">
              <w:rPr>
                <w:rFonts w:eastAsia="Times New Roman"/>
                <w:sz w:val="18"/>
                <w:szCs w:val="18"/>
                <w:lang w:val="es-ES"/>
              </w:rPr>
              <w:t>613.1</w:t>
            </w:r>
          </w:p>
        </w:tc>
        <w:tc>
          <w:tcPr>
            <w:tcW w:w="1200" w:type="dxa"/>
            <w:tcBorders>
              <w:top w:val="nil"/>
              <w:bottom w:val="nil"/>
            </w:tcBorders>
          </w:tcPr>
          <w:p w14:paraId="5CAFF8A9" w14:textId="77777777" w:rsidR="00081999" w:rsidRPr="00081999" w:rsidRDefault="00081999" w:rsidP="00081999">
            <w:pPr>
              <w:ind w:right="113"/>
              <w:jc w:val="right"/>
              <w:rPr>
                <w:rFonts w:eastAsia="Times New Roman"/>
                <w:sz w:val="18"/>
                <w:szCs w:val="18"/>
                <w:lang w:val="es-ES"/>
              </w:rPr>
            </w:pPr>
            <w:r w:rsidRPr="00081999">
              <w:rPr>
                <w:rFonts w:eastAsia="Times New Roman"/>
                <w:sz w:val="18"/>
                <w:szCs w:val="18"/>
                <w:lang w:val="es-ES"/>
              </w:rPr>
              <w:t>-</w:t>
            </w:r>
          </w:p>
        </w:tc>
        <w:tc>
          <w:tcPr>
            <w:tcW w:w="1195" w:type="dxa"/>
            <w:tcBorders>
              <w:top w:val="nil"/>
              <w:bottom w:val="nil"/>
            </w:tcBorders>
          </w:tcPr>
          <w:p w14:paraId="65E35B7C" w14:textId="77777777" w:rsidR="00081999" w:rsidRPr="00081999" w:rsidRDefault="00081999" w:rsidP="00081999">
            <w:pPr>
              <w:ind w:right="170"/>
              <w:jc w:val="right"/>
              <w:rPr>
                <w:rFonts w:eastAsia="Times New Roman"/>
                <w:sz w:val="18"/>
                <w:szCs w:val="18"/>
                <w:lang w:val="es-ES"/>
              </w:rPr>
            </w:pPr>
            <w:r w:rsidRPr="00081999">
              <w:rPr>
                <w:rFonts w:eastAsia="Times New Roman"/>
                <w:sz w:val="18"/>
                <w:szCs w:val="18"/>
                <w:lang w:val="es-ES"/>
              </w:rPr>
              <w:t>1 339.5</w:t>
            </w:r>
          </w:p>
        </w:tc>
        <w:tc>
          <w:tcPr>
            <w:tcW w:w="1372" w:type="dxa"/>
            <w:tcBorders>
              <w:top w:val="nil"/>
              <w:bottom w:val="nil"/>
              <w:right w:val="single" w:sz="4" w:space="0" w:color="auto"/>
            </w:tcBorders>
          </w:tcPr>
          <w:p w14:paraId="5E399A0F" w14:textId="77777777" w:rsidR="00081999" w:rsidRPr="00081999" w:rsidRDefault="00081999" w:rsidP="00081999">
            <w:pPr>
              <w:ind w:right="113"/>
              <w:jc w:val="right"/>
              <w:rPr>
                <w:rFonts w:eastAsia="Times New Roman"/>
                <w:sz w:val="18"/>
                <w:szCs w:val="18"/>
                <w:lang w:val="es-ES"/>
              </w:rPr>
            </w:pPr>
            <w:r w:rsidRPr="00081999">
              <w:rPr>
                <w:rFonts w:eastAsia="Times New Roman"/>
                <w:sz w:val="18"/>
                <w:szCs w:val="18"/>
                <w:lang w:val="es-ES"/>
              </w:rPr>
              <w:t>106 181.7</w:t>
            </w:r>
          </w:p>
        </w:tc>
      </w:tr>
      <w:tr w:rsidR="00081999" w:rsidRPr="00081999" w14:paraId="3BC6FC2C" w14:textId="77777777" w:rsidTr="00BB7F01">
        <w:trPr>
          <w:jc w:val="center"/>
        </w:trPr>
        <w:tc>
          <w:tcPr>
            <w:tcW w:w="1606" w:type="dxa"/>
            <w:tcBorders>
              <w:top w:val="nil"/>
              <w:bottom w:val="nil"/>
            </w:tcBorders>
          </w:tcPr>
          <w:p w14:paraId="15B181FF" w14:textId="77777777" w:rsidR="00081999" w:rsidRPr="00081999" w:rsidRDefault="00081999" w:rsidP="00081999">
            <w:pPr>
              <w:rPr>
                <w:rFonts w:eastAsia="Times New Roman"/>
                <w:sz w:val="18"/>
                <w:szCs w:val="18"/>
                <w:lang w:val="es-ES"/>
              </w:rPr>
            </w:pPr>
            <w:r w:rsidRPr="00081999">
              <w:rPr>
                <w:rFonts w:eastAsia="Times New Roman"/>
                <w:sz w:val="18"/>
                <w:szCs w:val="18"/>
                <w:lang w:val="es-ES"/>
              </w:rPr>
              <w:t>Metlife</w:t>
            </w:r>
          </w:p>
        </w:tc>
        <w:tc>
          <w:tcPr>
            <w:tcW w:w="1275" w:type="dxa"/>
            <w:tcBorders>
              <w:top w:val="nil"/>
              <w:bottom w:val="nil"/>
            </w:tcBorders>
          </w:tcPr>
          <w:p w14:paraId="55D4D546" w14:textId="77777777" w:rsidR="00081999" w:rsidRPr="00081999" w:rsidRDefault="00081999" w:rsidP="00081999">
            <w:pPr>
              <w:ind w:right="170"/>
              <w:jc w:val="right"/>
              <w:rPr>
                <w:rFonts w:eastAsia="Times New Roman"/>
                <w:sz w:val="18"/>
                <w:szCs w:val="18"/>
                <w:lang w:val="es-ES"/>
              </w:rPr>
            </w:pPr>
            <w:r w:rsidRPr="00081999">
              <w:rPr>
                <w:rFonts w:eastAsia="Times New Roman"/>
                <w:sz w:val="18"/>
                <w:szCs w:val="18"/>
                <w:lang w:val="es-ES"/>
              </w:rPr>
              <w:t>69 802.7</w:t>
            </w:r>
          </w:p>
        </w:tc>
        <w:tc>
          <w:tcPr>
            <w:tcW w:w="1147" w:type="dxa"/>
            <w:tcBorders>
              <w:top w:val="nil"/>
              <w:bottom w:val="nil"/>
            </w:tcBorders>
          </w:tcPr>
          <w:p w14:paraId="6106BCC3" w14:textId="77777777" w:rsidR="00081999" w:rsidRPr="00081999" w:rsidRDefault="00081999" w:rsidP="00081999">
            <w:pPr>
              <w:ind w:right="113"/>
              <w:jc w:val="right"/>
              <w:rPr>
                <w:rFonts w:eastAsia="Times New Roman"/>
                <w:sz w:val="18"/>
                <w:szCs w:val="18"/>
                <w:lang w:val="es-ES"/>
              </w:rPr>
            </w:pPr>
            <w:r w:rsidRPr="00081999">
              <w:rPr>
                <w:rFonts w:eastAsia="Times New Roman"/>
                <w:sz w:val="18"/>
                <w:szCs w:val="18"/>
                <w:lang w:val="es-ES"/>
              </w:rPr>
              <w:t>579.5</w:t>
            </w:r>
          </w:p>
        </w:tc>
        <w:tc>
          <w:tcPr>
            <w:tcW w:w="1200" w:type="dxa"/>
            <w:tcBorders>
              <w:top w:val="nil"/>
              <w:bottom w:val="nil"/>
            </w:tcBorders>
          </w:tcPr>
          <w:p w14:paraId="5A8478FA" w14:textId="77777777" w:rsidR="00081999" w:rsidRPr="00081999" w:rsidRDefault="00081999" w:rsidP="00081999">
            <w:pPr>
              <w:ind w:right="113"/>
              <w:jc w:val="right"/>
              <w:rPr>
                <w:rFonts w:eastAsia="Times New Roman"/>
                <w:sz w:val="18"/>
                <w:szCs w:val="18"/>
                <w:lang w:val="es-ES"/>
              </w:rPr>
            </w:pPr>
            <w:r w:rsidRPr="00081999">
              <w:rPr>
                <w:rFonts w:eastAsia="Times New Roman"/>
                <w:sz w:val="18"/>
                <w:szCs w:val="18"/>
                <w:lang w:val="es-ES"/>
              </w:rPr>
              <w:t>-</w:t>
            </w:r>
          </w:p>
        </w:tc>
        <w:tc>
          <w:tcPr>
            <w:tcW w:w="1195" w:type="dxa"/>
            <w:tcBorders>
              <w:top w:val="nil"/>
              <w:bottom w:val="nil"/>
            </w:tcBorders>
          </w:tcPr>
          <w:p w14:paraId="2721FD7E" w14:textId="77777777" w:rsidR="00081999" w:rsidRPr="00081999" w:rsidRDefault="00081999" w:rsidP="00081999">
            <w:pPr>
              <w:ind w:right="170"/>
              <w:jc w:val="right"/>
              <w:rPr>
                <w:rFonts w:eastAsia="Times New Roman"/>
                <w:sz w:val="18"/>
                <w:szCs w:val="18"/>
                <w:lang w:val="es-ES"/>
              </w:rPr>
            </w:pPr>
            <w:r w:rsidRPr="00081999">
              <w:rPr>
                <w:rFonts w:eastAsia="Times New Roman"/>
                <w:sz w:val="18"/>
                <w:szCs w:val="18"/>
                <w:lang w:val="es-ES"/>
              </w:rPr>
              <w:t>542.2</w:t>
            </w:r>
          </w:p>
        </w:tc>
        <w:tc>
          <w:tcPr>
            <w:tcW w:w="1372" w:type="dxa"/>
            <w:tcBorders>
              <w:top w:val="nil"/>
              <w:bottom w:val="nil"/>
              <w:right w:val="single" w:sz="4" w:space="0" w:color="auto"/>
            </w:tcBorders>
          </w:tcPr>
          <w:p w14:paraId="5E06891D" w14:textId="77777777" w:rsidR="00081999" w:rsidRPr="00081999" w:rsidRDefault="00081999" w:rsidP="00081999">
            <w:pPr>
              <w:ind w:right="113"/>
              <w:jc w:val="right"/>
              <w:rPr>
                <w:rFonts w:eastAsia="Times New Roman"/>
                <w:sz w:val="18"/>
                <w:szCs w:val="18"/>
                <w:lang w:val="es-ES"/>
              </w:rPr>
            </w:pPr>
            <w:r w:rsidRPr="00081999">
              <w:rPr>
                <w:rFonts w:eastAsia="Times New Roman"/>
                <w:sz w:val="18"/>
                <w:szCs w:val="18"/>
                <w:lang w:val="es-ES"/>
              </w:rPr>
              <w:t>70 924.3</w:t>
            </w:r>
          </w:p>
        </w:tc>
      </w:tr>
      <w:tr w:rsidR="00081999" w:rsidRPr="00081999" w14:paraId="7B84536E" w14:textId="77777777" w:rsidTr="00BB7F01">
        <w:trPr>
          <w:jc w:val="center"/>
        </w:trPr>
        <w:tc>
          <w:tcPr>
            <w:tcW w:w="1606" w:type="dxa"/>
            <w:tcBorders>
              <w:top w:val="nil"/>
              <w:bottom w:val="nil"/>
            </w:tcBorders>
          </w:tcPr>
          <w:p w14:paraId="5BC4E745" w14:textId="77777777" w:rsidR="00081999" w:rsidRPr="00081999" w:rsidRDefault="00081999" w:rsidP="00081999">
            <w:pPr>
              <w:rPr>
                <w:rFonts w:eastAsia="Times New Roman"/>
                <w:sz w:val="18"/>
                <w:szCs w:val="18"/>
                <w:lang w:val="es-ES"/>
              </w:rPr>
            </w:pPr>
            <w:r w:rsidRPr="00081999">
              <w:rPr>
                <w:rFonts w:eastAsia="Times New Roman"/>
                <w:sz w:val="18"/>
                <w:szCs w:val="18"/>
                <w:lang w:val="es-ES"/>
              </w:rPr>
              <w:t>Azteca</w:t>
            </w:r>
          </w:p>
        </w:tc>
        <w:tc>
          <w:tcPr>
            <w:tcW w:w="1275" w:type="dxa"/>
            <w:tcBorders>
              <w:top w:val="nil"/>
              <w:bottom w:val="nil"/>
            </w:tcBorders>
          </w:tcPr>
          <w:p w14:paraId="2BE92041" w14:textId="77777777" w:rsidR="00081999" w:rsidRPr="00081999" w:rsidRDefault="00081999" w:rsidP="00081999">
            <w:pPr>
              <w:ind w:right="170"/>
              <w:jc w:val="right"/>
              <w:rPr>
                <w:rFonts w:eastAsia="Times New Roman"/>
                <w:sz w:val="18"/>
                <w:szCs w:val="18"/>
                <w:lang w:val="es-ES"/>
              </w:rPr>
            </w:pPr>
            <w:r w:rsidRPr="00081999">
              <w:rPr>
                <w:rFonts w:eastAsia="Times New Roman"/>
                <w:sz w:val="18"/>
                <w:szCs w:val="18"/>
                <w:lang w:val="es-ES"/>
              </w:rPr>
              <w:t>34 435.8</w:t>
            </w:r>
          </w:p>
        </w:tc>
        <w:tc>
          <w:tcPr>
            <w:tcW w:w="1147" w:type="dxa"/>
            <w:tcBorders>
              <w:top w:val="nil"/>
              <w:bottom w:val="nil"/>
            </w:tcBorders>
          </w:tcPr>
          <w:p w14:paraId="29871D74" w14:textId="77777777" w:rsidR="00081999" w:rsidRPr="00081999" w:rsidRDefault="00081999" w:rsidP="00081999">
            <w:pPr>
              <w:ind w:right="113"/>
              <w:jc w:val="right"/>
              <w:rPr>
                <w:rFonts w:eastAsia="Times New Roman"/>
                <w:sz w:val="18"/>
                <w:szCs w:val="18"/>
                <w:lang w:val="es-ES"/>
              </w:rPr>
            </w:pPr>
            <w:r w:rsidRPr="00081999">
              <w:rPr>
                <w:rFonts w:eastAsia="Times New Roman"/>
                <w:sz w:val="18"/>
                <w:szCs w:val="18"/>
                <w:lang w:val="es-ES"/>
              </w:rPr>
              <w:t>49.3</w:t>
            </w:r>
          </w:p>
        </w:tc>
        <w:tc>
          <w:tcPr>
            <w:tcW w:w="1200" w:type="dxa"/>
            <w:tcBorders>
              <w:top w:val="nil"/>
              <w:bottom w:val="nil"/>
            </w:tcBorders>
          </w:tcPr>
          <w:p w14:paraId="3F81BBB0" w14:textId="77777777" w:rsidR="00081999" w:rsidRPr="00081999" w:rsidRDefault="00081999" w:rsidP="00081999">
            <w:pPr>
              <w:ind w:right="113"/>
              <w:jc w:val="right"/>
              <w:rPr>
                <w:rFonts w:eastAsia="Times New Roman"/>
                <w:sz w:val="18"/>
                <w:szCs w:val="18"/>
                <w:lang w:val="es-ES"/>
              </w:rPr>
            </w:pPr>
            <w:r w:rsidRPr="00081999">
              <w:rPr>
                <w:rFonts w:eastAsia="Times New Roman"/>
                <w:sz w:val="18"/>
                <w:szCs w:val="18"/>
                <w:lang w:val="es-ES"/>
              </w:rPr>
              <w:t>-</w:t>
            </w:r>
          </w:p>
        </w:tc>
        <w:tc>
          <w:tcPr>
            <w:tcW w:w="1195" w:type="dxa"/>
            <w:tcBorders>
              <w:top w:val="nil"/>
              <w:bottom w:val="nil"/>
            </w:tcBorders>
          </w:tcPr>
          <w:p w14:paraId="6F0A32E4" w14:textId="77777777" w:rsidR="00081999" w:rsidRPr="00081999" w:rsidRDefault="00081999" w:rsidP="00081999">
            <w:pPr>
              <w:ind w:right="170"/>
              <w:jc w:val="right"/>
              <w:rPr>
                <w:rFonts w:eastAsia="Times New Roman"/>
                <w:sz w:val="18"/>
                <w:szCs w:val="18"/>
                <w:lang w:val="es-ES"/>
              </w:rPr>
            </w:pPr>
            <w:r w:rsidRPr="00081999">
              <w:rPr>
                <w:rFonts w:eastAsia="Times New Roman"/>
                <w:sz w:val="18"/>
                <w:szCs w:val="18"/>
                <w:lang w:val="es-ES"/>
              </w:rPr>
              <w:t>411.9</w:t>
            </w:r>
          </w:p>
        </w:tc>
        <w:tc>
          <w:tcPr>
            <w:tcW w:w="1372" w:type="dxa"/>
            <w:tcBorders>
              <w:top w:val="nil"/>
              <w:bottom w:val="nil"/>
              <w:right w:val="single" w:sz="4" w:space="0" w:color="auto"/>
            </w:tcBorders>
          </w:tcPr>
          <w:p w14:paraId="754F3A81" w14:textId="77777777" w:rsidR="00081999" w:rsidRPr="00081999" w:rsidRDefault="00081999" w:rsidP="00081999">
            <w:pPr>
              <w:ind w:right="113"/>
              <w:jc w:val="right"/>
              <w:rPr>
                <w:rFonts w:eastAsia="Times New Roman"/>
                <w:sz w:val="18"/>
                <w:szCs w:val="18"/>
                <w:lang w:val="es-ES"/>
              </w:rPr>
            </w:pPr>
            <w:r w:rsidRPr="00081999">
              <w:rPr>
                <w:rFonts w:eastAsia="Times New Roman"/>
                <w:sz w:val="18"/>
                <w:szCs w:val="18"/>
                <w:lang w:val="es-ES"/>
              </w:rPr>
              <w:t>34 897.0</w:t>
            </w:r>
          </w:p>
        </w:tc>
      </w:tr>
      <w:tr w:rsidR="00081999" w:rsidRPr="00081999" w14:paraId="78D153E5" w14:textId="77777777" w:rsidTr="00BB7F01">
        <w:trPr>
          <w:jc w:val="center"/>
        </w:trPr>
        <w:tc>
          <w:tcPr>
            <w:tcW w:w="1606" w:type="dxa"/>
            <w:tcBorders>
              <w:top w:val="nil"/>
              <w:bottom w:val="single" w:sz="4" w:space="0" w:color="auto"/>
            </w:tcBorders>
          </w:tcPr>
          <w:p w14:paraId="1E81AACF" w14:textId="77777777" w:rsidR="00081999" w:rsidRPr="00081999" w:rsidRDefault="00081999" w:rsidP="00081999">
            <w:pPr>
              <w:rPr>
                <w:rFonts w:eastAsia="Times New Roman"/>
                <w:b/>
                <w:sz w:val="18"/>
                <w:szCs w:val="18"/>
                <w:lang w:val="es-ES"/>
              </w:rPr>
            </w:pPr>
            <w:r w:rsidRPr="00081999">
              <w:rPr>
                <w:rFonts w:eastAsia="Times New Roman"/>
                <w:b/>
                <w:sz w:val="18"/>
                <w:szCs w:val="18"/>
                <w:lang w:val="es-ES"/>
              </w:rPr>
              <w:t>Total</w:t>
            </w:r>
          </w:p>
        </w:tc>
        <w:tc>
          <w:tcPr>
            <w:tcW w:w="1275" w:type="dxa"/>
            <w:tcBorders>
              <w:top w:val="nil"/>
              <w:bottom w:val="single" w:sz="4" w:space="0" w:color="auto"/>
            </w:tcBorders>
          </w:tcPr>
          <w:p w14:paraId="6F8286D0" w14:textId="77777777" w:rsidR="00081999" w:rsidRPr="00081999" w:rsidRDefault="00081999" w:rsidP="00081999">
            <w:pPr>
              <w:ind w:right="170"/>
              <w:jc w:val="right"/>
              <w:rPr>
                <w:rFonts w:eastAsia="Times New Roman"/>
                <w:b/>
                <w:sz w:val="18"/>
                <w:szCs w:val="18"/>
                <w:lang w:val="es-ES"/>
              </w:rPr>
            </w:pPr>
            <w:r w:rsidRPr="00081999">
              <w:rPr>
                <w:rFonts w:eastAsia="Times New Roman"/>
                <w:b/>
                <w:sz w:val="18"/>
                <w:szCs w:val="18"/>
                <w:lang w:val="es-ES"/>
              </w:rPr>
              <w:t>2 370 284.9</w:t>
            </w:r>
          </w:p>
        </w:tc>
        <w:tc>
          <w:tcPr>
            <w:tcW w:w="1147" w:type="dxa"/>
            <w:tcBorders>
              <w:top w:val="nil"/>
              <w:bottom w:val="single" w:sz="4" w:space="0" w:color="auto"/>
            </w:tcBorders>
          </w:tcPr>
          <w:p w14:paraId="7D7ABB91" w14:textId="77777777" w:rsidR="00081999" w:rsidRPr="00081999" w:rsidRDefault="00081999" w:rsidP="00081999">
            <w:pPr>
              <w:ind w:right="113"/>
              <w:jc w:val="right"/>
              <w:rPr>
                <w:rFonts w:eastAsia="Times New Roman"/>
                <w:b/>
                <w:sz w:val="18"/>
                <w:szCs w:val="18"/>
                <w:lang w:val="es-ES"/>
              </w:rPr>
            </w:pPr>
            <w:r w:rsidRPr="00081999">
              <w:rPr>
                <w:rFonts w:eastAsia="Times New Roman"/>
                <w:b/>
                <w:sz w:val="18"/>
                <w:szCs w:val="18"/>
                <w:lang w:val="es-ES"/>
              </w:rPr>
              <w:t>28 130.9</w:t>
            </w:r>
          </w:p>
        </w:tc>
        <w:tc>
          <w:tcPr>
            <w:tcW w:w="1200" w:type="dxa"/>
            <w:tcBorders>
              <w:top w:val="nil"/>
              <w:bottom w:val="single" w:sz="4" w:space="0" w:color="auto"/>
            </w:tcBorders>
          </w:tcPr>
          <w:p w14:paraId="687A99FE" w14:textId="77777777" w:rsidR="00081999" w:rsidRPr="00081999" w:rsidRDefault="00081999" w:rsidP="00081999">
            <w:pPr>
              <w:ind w:right="113"/>
              <w:jc w:val="right"/>
              <w:rPr>
                <w:rFonts w:eastAsia="Times New Roman"/>
                <w:b/>
                <w:sz w:val="18"/>
                <w:szCs w:val="18"/>
                <w:lang w:val="es-ES"/>
              </w:rPr>
            </w:pPr>
            <w:r w:rsidRPr="00081999">
              <w:rPr>
                <w:rFonts w:eastAsia="Times New Roman"/>
                <w:b/>
                <w:sz w:val="18"/>
                <w:szCs w:val="18"/>
                <w:lang w:val="es-ES"/>
              </w:rPr>
              <w:t>32 108.7</w:t>
            </w:r>
          </w:p>
        </w:tc>
        <w:tc>
          <w:tcPr>
            <w:tcW w:w="1195" w:type="dxa"/>
            <w:tcBorders>
              <w:top w:val="nil"/>
              <w:bottom w:val="single" w:sz="4" w:space="0" w:color="auto"/>
            </w:tcBorders>
          </w:tcPr>
          <w:p w14:paraId="427289E7" w14:textId="77777777" w:rsidR="00081999" w:rsidRPr="00081999" w:rsidRDefault="00081999" w:rsidP="00081999">
            <w:pPr>
              <w:ind w:right="170"/>
              <w:jc w:val="right"/>
              <w:rPr>
                <w:rFonts w:eastAsia="Times New Roman"/>
                <w:b/>
                <w:sz w:val="18"/>
                <w:szCs w:val="18"/>
                <w:lang w:val="es-ES"/>
              </w:rPr>
            </w:pPr>
            <w:r w:rsidRPr="00081999">
              <w:rPr>
                <w:rFonts w:eastAsia="Times New Roman"/>
                <w:b/>
                <w:sz w:val="18"/>
                <w:szCs w:val="18"/>
                <w:lang w:val="es-ES"/>
              </w:rPr>
              <w:t>18 991.6</w:t>
            </w:r>
          </w:p>
        </w:tc>
        <w:tc>
          <w:tcPr>
            <w:tcW w:w="1372" w:type="dxa"/>
            <w:tcBorders>
              <w:top w:val="nil"/>
              <w:bottom w:val="single" w:sz="4" w:space="0" w:color="auto"/>
              <w:right w:val="single" w:sz="4" w:space="0" w:color="auto"/>
            </w:tcBorders>
          </w:tcPr>
          <w:p w14:paraId="3F213A96" w14:textId="77777777" w:rsidR="00081999" w:rsidRPr="00081999" w:rsidRDefault="00081999" w:rsidP="00081999">
            <w:pPr>
              <w:ind w:right="113"/>
              <w:jc w:val="right"/>
              <w:rPr>
                <w:rFonts w:eastAsia="Times New Roman"/>
                <w:b/>
                <w:sz w:val="18"/>
                <w:szCs w:val="18"/>
                <w:lang w:val="es-ES"/>
              </w:rPr>
            </w:pPr>
            <w:r w:rsidRPr="00081999">
              <w:rPr>
                <w:rFonts w:eastAsia="Times New Roman"/>
                <w:b/>
                <w:sz w:val="18"/>
                <w:szCs w:val="18"/>
                <w:lang w:val="es-ES"/>
              </w:rPr>
              <w:t>2 449 516.1</w:t>
            </w:r>
          </w:p>
        </w:tc>
      </w:tr>
      <w:tr w:rsidR="00081999" w:rsidRPr="00081999" w14:paraId="3BA6506C" w14:textId="77777777" w:rsidTr="00BB7F01">
        <w:trPr>
          <w:jc w:val="center"/>
        </w:trPr>
        <w:tc>
          <w:tcPr>
            <w:tcW w:w="7795" w:type="dxa"/>
            <w:gridSpan w:val="6"/>
            <w:tcBorders>
              <w:top w:val="single" w:sz="4" w:space="0" w:color="auto"/>
              <w:left w:val="nil"/>
              <w:bottom w:val="nil"/>
              <w:right w:val="nil"/>
            </w:tcBorders>
          </w:tcPr>
          <w:p w14:paraId="118C7C5E" w14:textId="77777777" w:rsidR="00081999" w:rsidRPr="00081999" w:rsidRDefault="00081999" w:rsidP="00081999">
            <w:pPr>
              <w:ind w:right="113"/>
              <w:jc w:val="both"/>
              <w:rPr>
                <w:rFonts w:eastAsia="Times New Roman"/>
                <w:sz w:val="18"/>
                <w:szCs w:val="18"/>
                <w:lang w:val="es-ES"/>
              </w:rPr>
            </w:pPr>
            <w:r w:rsidRPr="00081999">
              <w:rPr>
                <w:rFonts w:eastAsia="Times New Roman"/>
                <w:sz w:val="18"/>
                <w:szCs w:val="18"/>
                <w:lang w:val="es-ES"/>
              </w:rPr>
              <w:t>Montos calculados con la in formación contable del último día hábil del mes y que corresponde a los precios de las acciones de las Siefores registrados en la Bolsa Mexicana de Valores el primer día hábil del siguiente mes.</w:t>
            </w:r>
          </w:p>
          <w:p w14:paraId="558BE582" w14:textId="77777777" w:rsidR="00081999" w:rsidRPr="00081999" w:rsidRDefault="00081999" w:rsidP="00081999">
            <w:pPr>
              <w:ind w:left="170" w:right="113" w:hanging="170"/>
              <w:jc w:val="both"/>
              <w:rPr>
                <w:rFonts w:eastAsia="Times New Roman"/>
                <w:sz w:val="18"/>
                <w:szCs w:val="18"/>
                <w:lang w:val="es-ES"/>
              </w:rPr>
            </w:pPr>
            <w:r w:rsidRPr="00081999">
              <w:rPr>
                <w:rFonts w:eastAsia="Times New Roman"/>
                <w:sz w:val="18"/>
                <w:szCs w:val="18"/>
                <w:u w:val="single"/>
                <w:lang w:val="es-ES"/>
              </w:rPr>
              <w:t>1</w:t>
            </w:r>
            <w:r w:rsidRPr="00081999">
              <w:rPr>
                <w:rFonts w:eastAsia="Times New Roman"/>
                <w:sz w:val="18"/>
                <w:szCs w:val="18"/>
                <w:lang w:val="es-ES"/>
              </w:rPr>
              <w:t>/ Retiro, Cesantía en Edad Avanzada y Vejez de trabajadores cotizantes al IMSS y al ISSSTE. Incluye los fondos de Retiro del SAR 92 de los trabajadores cotizantes al IMSS y los recursos del SAR ISSSTE.</w:t>
            </w:r>
          </w:p>
          <w:p w14:paraId="72F09161" w14:textId="77777777" w:rsidR="00081999" w:rsidRPr="00081999" w:rsidRDefault="00081999" w:rsidP="00081999">
            <w:pPr>
              <w:ind w:left="170" w:right="113" w:hanging="170"/>
              <w:jc w:val="both"/>
              <w:rPr>
                <w:rFonts w:eastAsia="Times New Roman"/>
                <w:sz w:val="18"/>
                <w:szCs w:val="18"/>
                <w:lang w:val="es-ES"/>
              </w:rPr>
            </w:pPr>
            <w:r w:rsidRPr="00081999">
              <w:rPr>
                <w:rFonts w:eastAsia="Times New Roman"/>
                <w:sz w:val="18"/>
                <w:szCs w:val="18"/>
                <w:u w:val="single"/>
                <w:lang w:val="es-ES"/>
              </w:rPr>
              <w:t>2</w:t>
            </w:r>
            <w:r w:rsidRPr="00081999">
              <w:rPr>
                <w:rFonts w:eastAsia="Times New Roman"/>
                <w:sz w:val="18"/>
                <w:szCs w:val="18"/>
                <w:lang w:val="es-ES"/>
              </w:rPr>
              <w:t>/ Incluye Aportaciones Voluntarias, Aportaciones Complementarias de Retiro, Ahorro a Largo Plazo y Ahorro Solidario.</w:t>
            </w:r>
          </w:p>
          <w:p w14:paraId="12061853" w14:textId="77777777" w:rsidR="00081999" w:rsidRPr="00081999" w:rsidRDefault="00081999" w:rsidP="00081999">
            <w:pPr>
              <w:ind w:left="170" w:right="113" w:hanging="170"/>
              <w:jc w:val="both"/>
              <w:rPr>
                <w:rFonts w:eastAsia="Times New Roman"/>
                <w:sz w:val="18"/>
                <w:szCs w:val="18"/>
                <w:lang w:val="es-ES"/>
              </w:rPr>
            </w:pPr>
            <w:r w:rsidRPr="00081999">
              <w:rPr>
                <w:rFonts w:eastAsia="Times New Roman"/>
                <w:sz w:val="18"/>
                <w:szCs w:val="18"/>
                <w:u w:val="single"/>
                <w:lang w:val="es-ES"/>
              </w:rPr>
              <w:t>3</w:t>
            </w:r>
            <w:r w:rsidRPr="00081999">
              <w:rPr>
                <w:rFonts w:eastAsia="Times New Roman"/>
                <w:sz w:val="18"/>
                <w:szCs w:val="18"/>
                <w:lang w:val="es-ES"/>
              </w:rPr>
              <w:t>/ Recursos de Previsión Social de entidades públicas y privadas administrados por las Afore.</w:t>
            </w:r>
          </w:p>
          <w:p w14:paraId="0EDFD2CA" w14:textId="77777777" w:rsidR="00081999" w:rsidRPr="00081999" w:rsidRDefault="00081999" w:rsidP="00081999">
            <w:pPr>
              <w:ind w:left="170" w:right="113" w:hanging="170"/>
              <w:jc w:val="both"/>
              <w:rPr>
                <w:rFonts w:eastAsia="Times New Roman"/>
                <w:sz w:val="18"/>
                <w:szCs w:val="18"/>
                <w:lang w:val="es-ES"/>
              </w:rPr>
            </w:pPr>
            <w:r w:rsidRPr="00081999">
              <w:rPr>
                <w:rFonts w:eastAsia="Times New Roman"/>
                <w:sz w:val="18"/>
                <w:szCs w:val="18"/>
                <w:u w:val="single"/>
                <w:lang w:val="es-ES"/>
              </w:rPr>
              <w:t>4</w:t>
            </w:r>
            <w:r w:rsidRPr="00081999">
              <w:rPr>
                <w:rFonts w:eastAsia="Times New Roman"/>
                <w:sz w:val="18"/>
                <w:szCs w:val="18"/>
                <w:lang w:val="es-ES"/>
              </w:rPr>
              <w:t>/ Recursos de las Afore que, conforme a las normas de capitalización, deben mantener invertidos en las Siefore.</w:t>
            </w:r>
          </w:p>
        </w:tc>
      </w:tr>
    </w:tbl>
    <w:p w14:paraId="76680C2F" w14:textId="77777777" w:rsidR="00081999" w:rsidRPr="00081999" w:rsidRDefault="00081999" w:rsidP="00081999">
      <w:pPr>
        <w:spacing w:after="720"/>
        <w:ind w:right="-159"/>
        <w:jc w:val="both"/>
        <w:rPr>
          <w:sz w:val="20"/>
          <w:szCs w:val="20"/>
        </w:rPr>
      </w:pPr>
    </w:p>
    <w:p w14:paraId="10A855D2" w14:textId="77777777" w:rsidR="00081999" w:rsidRPr="00081999" w:rsidRDefault="00081999" w:rsidP="00081999">
      <w:pPr>
        <w:ind w:right="-159"/>
        <w:jc w:val="both"/>
        <w:rPr>
          <w:b/>
          <w:sz w:val="20"/>
          <w:szCs w:val="20"/>
        </w:rPr>
      </w:pPr>
      <w:r w:rsidRPr="00081999">
        <w:rPr>
          <w:b/>
          <w:sz w:val="20"/>
          <w:szCs w:val="20"/>
        </w:rPr>
        <w:t>Fuente de información:</w:t>
      </w:r>
    </w:p>
    <w:bookmarkEnd w:id="15"/>
    <w:p w14:paraId="24F11EC0" w14:textId="77777777" w:rsidR="00081999" w:rsidRPr="00AF4DFC" w:rsidRDefault="00081999" w:rsidP="00081999">
      <w:pPr>
        <w:spacing w:after="200" w:line="276" w:lineRule="auto"/>
        <w:rPr>
          <w:color w:val="0000FF"/>
          <w:sz w:val="20"/>
          <w:szCs w:val="20"/>
        </w:rPr>
      </w:pPr>
      <w:r w:rsidRPr="00AF4DFC">
        <w:rPr>
          <w:color w:val="0000FF"/>
          <w:sz w:val="20"/>
          <w:szCs w:val="20"/>
        </w:rPr>
        <w:fldChar w:fldCharType="begin"/>
      </w:r>
      <w:r w:rsidRPr="00AF4DFC">
        <w:rPr>
          <w:color w:val="0000FF"/>
          <w:sz w:val="20"/>
          <w:szCs w:val="20"/>
        </w:rPr>
        <w:instrText xml:space="preserve"> HYPERLINK "http://www.consar.gob.mx/panorama_sar/recursos_administrados.aspx" </w:instrText>
      </w:r>
      <w:r w:rsidRPr="00AF4DFC">
        <w:rPr>
          <w:color w:val="0000FF"/>
          <w:sz w:val="20"/>
          <w:szCs w:val="20"/>
        </w:rPr>
        <w:fldChar w:fldCharType="separate"/>
      </w:r>
      <w:r w:rsidRPr="00AF4DFC">
        <w:rPr>
          <w:color w:val="0000FF"/>
          <w:sz w:val="20"/>
          <w:szCs w:val="20"/>
          <w:u w:val="single"/>
        </w:rPr>
        <w:t>http://www.consar.gob.mx/panorama_sar/recursos_administrados.aspx</w:t>
      </w:r>
      <w:r w:rsidRPr="00AF4DFC">
        <w:rPr>
          <w:color w:val="0000FF"/>
          <w:sz w:val="20"/>
          <w:szCs w:val="20"/>
        </w:rPr>
        <w:fldChar w:fldCharType="end"/>
      </w:r>
    </w:p>
    <w:p w14:paraId="51356DD6" w14:textId="77777777" w:rsidR="00081999" w:rsidRPr="00081999" w:rsidRDefault="00081999" w:rsidP="00081999">
      <w:pPr>
        <w:spacing w:after="200" w:line="276" w:lineRule="auto"/>
        <w:rPr>
          <w:sz w:val="20"/>
          <w:szCs w:val="20"/>
        </w:rPr>
      </w:pPr>
    </w:p>
    <w:p w14:paraId="09C38C87" w14:textId="77777777" w:rsidR="00081999" w:rsidRPr="00081999" w:rsidRDefault="00081999" w:rsidP="00081999">
      <w:pPr>
        <w:spacing w:after="200" w:line="276" w:lineRule="auto"/>
        <w:rPr>
          <w:sz w:val="20"/>
          <w:szCs w:val="20"/>
        </w:rPr>
      </w:pPr>
    </w:p>
    <w:p w14:paraId="2DF2CC18" w14:textId="77777777" w:rsidR="00081999" w:rsidRPr="00081999" w:rsidRDefault="00081999" w:rsidP="00081999">
      <w:pPr>
        <w:spacing w:after="200" w:line="276" w:lineRule="auto"/>
        <w:rPr>
          <w:sz w:val="20"/>
          <w:szCs w:val="20"/>
        </w:rPr>
      </w:pPr>
    </w:p>
    <w:p w14:paraId="568C7F45" w14:textId="77777777" w:rsidR="00081999" w:rsidRPr="00081999" w:rsidRDefault="00081999" w:rsidP="00081999">
      <w:pPr>
        <w:spacing w:after="200" w:line="276" w:lineRule="auto"/>
        <w:rPr>
          <w:sz w:val="20"/>
          <w:szCs w:val="20"/>
        </w:rPr>
      </w:pPr>
    </w:p>
    <w:p w14:paraId="66FB7000" w14:textId="77777777" w:rsidR="00081999" w:rsidRPr="00081999" w:rsidRDefault="00081999" w:rsidP="00081999">
      <w:pPr>
        <w:spacing w:after="200" w:line="276" w:lineRule="auto"/>
        <w:rPr>
          <w:sz w:val="20"/>
          <w:szCs w:val="20"/>
        </w:rPr>
      </w:pPr>
    </w:p>
    <w:p w14:paraId="5704AC74" w14:textId="77777777" w:rsidR="00081999" w:rsidRPr="00081999" w:rsidRDefault="00081999" w:rsidP="00081999">
      <w:pPr>
        <w:spacing w:after="200" w:line="276" w:lineRule="auto"/>
        <w:rPr>
          <w:sz w:val="20"/>
          <w:szCs w:val="20"/>
        </w:rPr>
      </w:pPr>
    </w:p>
    <w:p w14:paraId="6958D307" w14:textId="77777777" w:rsidR="00081999" w:rsidRPr="00081999" w:rsidRDefault="00081999" w:rsidP="00081999">
      <w:pPr>
        <w:spacing w:after="200" w:line="276" w:lineRule="auto"/>
        <w:rPr>
          <w:sz w:val="20"/>
          <w:szCs w:val="20"/>
        </w:rPr>
      </w:pPr>
    </w:p>
    <w:p w14:paraId="0FA49B2C" w14:textId="77777777" w:rsidR="00081999" w:rsidRPr="00081999" w:rsidRDefault="00081999" w:rsidP="00081999">
      <w:pPr>
        <w:spacing w:after="200" w:line="276" w:lineRule="auto"/>
        <w:rPr>
          <w:sz w:val="20"/>
          <w:szCs w:val="20"/>
        </w:rPr>
      </w:pPr>
    </w:p>
    <w:p w14:paraId="38E1A27A" w14:textId="77777777" w:rsidR="00081999" w:rsidRPr="00081999" w:rsidRDefault="00081999" w:rsidP="00081999">
      <w:pPr>
        <w:spacing w:after="200" w:line="276" w:lineRule="auto"/>
        <w:rPr>
          <w:sz w:val="20"/>
          <w:szCs w:val="20"/>
        </w:rPr>
      </w:pPr>
    </w:p>
    <w:p w14:paraId="432304B4" w14:textId="77777777" w:rsidR="00081999" w:rsidRPr="00081999" w:rsidRDefault="00081999" w:rsidP="00081999">
      <w:pPr>
        <w:spacing w:after="200" w:line="276" w:lineRule="auto"/>
        <w:rPr>
          <w:sz w:val="20"/>
          <w:szCs w:val="20"/>
        </w:rPr>
      </w:pPr>
    </w:p>
    <w:p w14:paraId="317833D3" w14:textId="77777777" w:rsidR="00081999" w:rsidRPr="00081999" w:rsidRDefault="00081999" w:rsidP="00081999">
      <w:pPr>
        <w:rPr>
          <w:sz w:val="20"/>
          <w:szCs w:val="20"/>
        </w:rPr>
      </w:pPr>
    </w:p>
    <w:tbl>
      <w:tblPr>
        <w:tblStyle w:val="Tablaconcuadrcula"/>
        <w:tblW w:w="9356" w:type="dxa"/>
        <w:tblInd w:w="-459" w:type="dxa"/>
        <w:tblLayout w:type="fixed"/>
        <w:tblLook w:val="04A0" w:firstRow="1" w:lastRow="0" w:firstColumn="1" w:lastColumn="0" w:noHBand="0" w:noVBand="1"/>
      </w:tblPr>
      <w:tblGrid>
        <w:gridCol w:w="1276"/>
        <w:gridCol w:w="992"/>
        <w:gridCol w:w="851"/>
        <w:gridCol w:w="850"/>
        <w:gridCol w:w="851"/>
        <w:gridCol w:w="984"/>
        <w:gridCol w:w="859"/>
        <w:gridCol w:w="842"/>
        <w:gridCol w:w="859"/>
        <w:gridCol w:w="992"/>
      </w:tblGrid>
      <w:tr w:rsidR="00081999" w:rsidRPr="00081999" w14:paraId="68989362" w14:textId="77777777" w:rsidTr="00BB7F01">
        <w:tc>
          <w:tcPr>
            <w:tcW w:w="9356" w:type="dxa"/>
            <w:gridSpan w:val="10"/>
            <w:tcBorders>
              <w:top w:val="nil"/>
              <w:left w:val="nil"/>
              <w:right w:val="nil"/>
            </w:tcBorders>
          </w:tcPr>
          <w:p w14:paraId="6B68F599" w14:textId="77777777" w:rsidR="00081999" w:rsidRPr="00081999" w:rsidRDefault="00081999" w:rsidP="00081999">
            <w:pPr>
              <w:jc w:val="center"/>
              <w:rPr>
                <w:b/>
                <w:sz w:val="18"/>
                <w:szCs w:val="18"/>
              </w:rPr>
            </w:pPr>
            <w:r w:rsidRPr="00081999">
              <w:rPr>
                <w:b/>
                <w:sz w:val="18"/>
                <w:szCs w:val="18"/>
              </w:rPr>
              <w:t>RECURSOS REGISTRADOS EN LAS AFORES</w:t>
            </w:r>
          </w:p>
          <w:p w14:paraId="34A2E784" w14:textId="77777777" w:rsidR="00081999" w:rsidRPr="00081999" w:rsidRDefault="00081999" w:rsidP="00081999">
            <w:pPr>
              <w:jc w:val="center"/>
              <w:rPr>
                <w:b/>
                <w:sz w:val="18"/>
                <w:szCs w:val="18"/>
              </w:rPr>
            </w:pPr>
            <w:r w:rsidRPr="00081999">
              <w:rPr>
                <w:b/>
                <w:sz w:val="18"/>
                <w:szCs w:val="18"/>
              </w:rPr>
              <w:t>-Cifras en millones de pesos al cierre de febrero de 2015-</w:t>
            </w:r>
          </w:p>
        </w:tc>
      </w:tr>
      <w:tr w:rsidR="00081999" w:rsidRPr="00081999" w14:paraId="5A1C6F17" w14:textId="77777777" w:rsidTr="00BB7F01">
        <w:tc>
          <w:tcPr>
            <w:tcW w:w="1276" w:type="dxa"/>
            <w:vMerge w:val="restart"/>
            <w:vAlign w:val="center"/>
          </w:tcPr>
          <w:p w14:paraId="405B0E0A" w14:textId="77777777" w:rsidR="00081999" w:rsidRPr="00081999" w:rsidRDefault="00081999" w:rsidP="00081999">
            <w:pPr>
              <w:jc w:val="center"/>
              <w:rPr>
                <w:b/>
                <w:sz w:val="16"/>
                <w:szCs w:val="16"/>
              </w:rPr>
            </w:pPr>
            <w:r w:rsidRPr="00081999">
              <w:rPr>
                <w:b/>
                <w:sz w:val="16"/>
                <w:szCs w:val="16"/>
              </w:rPr>
              <w:t>Afore</w:t>
            </w:r>
          </w:p>
        </w:tc>
        <w:tc>
          <w:tcPr>
            <w:tcW w:w="4528" w:type="dxa"/>
            <w:gridSpan w:val="5"/>
            <w:vAlign w:val="center"/>
          </w:tcPr>
          <w:p w14:paraId="00365DA5" w14:textId="77777777" w:rsidR="00081999" w:rsidRPr="00081999" w:rsidRDefault="00081999" w:rsidP="00081999">
            <w:pPr>
              <w:jc w:val="center"/>
              <w:rPr>
                <w:b/>
                <w:sz w:val="16"/>
                <w:szCs w:val="16"/>
              </w:rPr>
            </w:pPr>
            <w:r w:rsidRPr="00081999">
              <w:rPr>
                <w:b/>
                <w:sz w:val="16"/>
                <w:szCs w:val="16"/>
              </w:rPr>
              <w:t>Recursos Administrados por las Afores</w:t>
            </w:r>
          </w:p>
        </w:tc>
        <w:tc>
          <w:tcPr>
            <w:tcW w:w="2560" w:type="dxa"/>
            <w:gridSpan w:val="3"/>
            <w:vAlign w:val="center"/>
          </w:tcPr>
          <w:p w14:paraId="40B32569" w14:textId="77777777" w:rsidR="00081999" w:rsidRPr="00081999" w:rsidRDefault="00081999" w:rsidP="00081999">
            <w:pPr>
              <w:jc w:val="center"/>
              <w:rPr>
                <w:b/>
                <w:sz w:val="16"/>
                <w:szCs w:val="16"/>
              </w:rPr>
            </w:pPr>
            <w:r w:rsidRPr="00081999">
              <w:rPr>
                <w:b/>
                <w:sz w:val="16"/>
                <w:szCs w:val="16"/>
              </w:rPr>
              <w:t>Recursos Administrados por Otras Instituciones</w:t>
            </w:r>
          </w:p>
        </w:tc>
        <w:tc>
          <w:tcPr>
            <w:tcW w:w="992" w:type="dxa"/>
            <w:vMerge w:val="restart"/>
            <w:vAlign w:val="center"/>
          </w:tcPr>
          <w:p w14:paraId="33AEF5E7" w14:textId="77777777" w:rsidR="00081999" w:rsidRPr="00081999" w:rsidRDefault="00081999" w:rsidP="00081999">
            <w:pPr>
              <w:ind w:left="-57" w:right="-57"/>
              <w:jc w:val="center"/>
              <w:rPr>
                <w:b/>
                <w:sz w:val="16"/>
                <w:szCs w:val="16"/>
              </w:rPr>
            </w:pPr>
            <w:r w:rsidRPr="00081999">
              <w:rPr>
                <w:b/>
                <w:sz w:val="16"/>
                <w:szCs w:val="16"/>
              </w:rPr>
              <w:t>Total de Recursos  Registrados en las Afores</w:t>
            </w:r>
            <w:r w:rsidRPr="00081999">
              <w:rPr>
                <w:b/>
                <w:sz w:val="16"/>
                <w:szCs w:val="16"/>
                <w:u w:val="single"/>
                <w:vertAlign w:val="superscript"/>
              </w:rPr>
              <w:t>8</w:t>
            </w:r>
            <w:r w:rsidRPr="00081999">
              <w:rPr>
                <w:b/>
                <w:sz w:val="16"/>
                <w:szCs w:val="16"/>
                <w:vertAlign w:val="superscript"/>
              </w:rPr>
              <w:t>/</w:t>
            </w:r>
          </w:p>
        </w:tc>
      </w:tr>
      <w:tr w:rsidR="00081999" w:rsidRPr="00081999" w14:paraId="46CB5563" w14:textId="77777777" w:rsidTr="00BB7F01">
        <w:tc>
          <w:tcPr>
            <w:tcW w:w="1276" w:type="dxa"/>
            <w:vMerge/>
            <w:vAlign w:val="center"/>
          </w:tcPr>
          <w:p w14:paraId="0FDEACD6" w14:textId="77777777" w:rsidR="00081999" w:rsidRPr="00081999" w:rsidRDefault="00081999" w:rsidP="00081999">
            <w:pPr>
              <w:jc w:val="center"/>
              <w:rPr>
                <w:b/>
                <w:sz w:val="16"/>
                <w:szCs w:val="16"/>
              </w:rPr>
            </w:pPr>
          </w:p>
        </w:tc>
        <w:tc>
          <w:tcPr>
            <w:tcW w:w="2693" w:type="dxa"/>
            <w:gridSpan w:val="3"/>
            <w:vAlign w:val="center"/>
          </w:tcPr>
          <w:p w14:paraId="6C993B4C" w14:textId="77777777" w:rsidR="00081999" w:rsidRPr="00081999" w:rsidRDefault="00081999" w:rsidP="00081999">
            <w:pPr>
              <w:jc w:val="center"/>
              <w:rPr>
                <w:b/>
                <w:sz w:val="16"/>
                <w:szCs w:val="16"/>
              </w:rPr>
            </w:pPr>
            <w:r w:rsidRPr="00081999">
              <w:rPr>
                <w:b/>
                <w:sz w:val="16"/>
                <w:szCs w:val="16"/>
              </w:rPr>
              <w:t>Recursos de los trabajadores</w:t>
            </w:r>
          </w:p>
        </w:tc>
        <w:tc>
          <w:tcPr>
            <w:tcW w:w="851" w:type="dxa"/>
            <w:vMerge w:val="restart"/>
            <w:vAlign w:val="center"/>
          </w:tcPr>
          <w:p w14:paraId="4D84BD3B" w14:textId="77777777" w:rsidR="00081999" w:rsidRPr="00081999" w:rsidRDefault="00081999" w:rsidP="00081999">
            <w:pPr>
              <w:jc w:val="center"/>
              <w:rPr>
                <w:b/>
                <w:sz w:val="16"/>
                <w:szCs w:val="16"/>
              </w:rPr>
            </w:pPr>
            <w:r w:rsidRPr="00081999">
              <w:rPr>
                <w:b/>
                <w:sz w:val="16"/>
                <w:szCs w:val="16"/>
              </w:rPr>
              <w:t>Capital de las Afores</w:t>
            </w:r>
            <w:r w:rsidRPr="00081999">
              <w:rPr>
                <w:b/>
                <w:sz w:val="16"/>
                <w:szCs w:val="16"/>
                <w:u w:val="single"/>
                <w:vertAlign w:val="superscript"/>
              </w:rPr>
              <w:t>4</w:t>
            </w:r>
            <w:r w:rsidRPr="00081999">
              <w:rPr>
                <w:b/>
                <w:sz w:val="16"/>
                <w:szCs w:val="16"/>
                <w:vertAlign w:val="superscript"/>
              </w:rPr>
              <w:t>/</w:t>
            </w:r>
          </w:p>
        </w:tc>
        <w:tc>
          <w:tcPr>
            <w:tcW w:w="984" w:type="dxa"/>
            <w:vMerge w:val="restart"/>
            <w:vAlign w:val="center"/>
          </w:tcPr>
          <w:p w14:paraId="785C6C8D" w14:textId="77777777" w:rsidR="00081999" w:rsidRPr="00081999" w:rsidRDefault="00081999" w:rsidP="00081999">
            <w:pPr>
              <w:ind w:left="-57" w:right="-57"/>
              <w:jc w:val="center"/>
              <w:rPr>
                <w:b/>
                <w:sz w:val="16"/>
                <w:szCs w:val="16"/>
              </w:rPr>
            </w:pPr>
            <w:r w:rsidRPr="00081999">
              <w:rPr>
                <w:b/>
                <w:sz w:val="16"/>
                <w:szCs w:val="16"/>
              </w:rPr>
              <w:t>Total de Recursos Administra-dos por las Afores</w:t>
            </w:r>
          </w:p>
        </w:tc>
        <w:tc>
          <w:tcPr>
            <w:tcW w:w="859" w:type="dxa"/>
            <w:vMerge w:val="restart"/>
            <w:vAlign w:val="center"/>
          </w:tcPr>
          <w:p w14:paraId="0CBD618D" w14:textId="77777777" w:rsidR="00081999" w:rsidRPr="00081999" w:rsidRDefault="00081999" w:rsidP="00081999">
            <w:pPr>
              <w:jc w:val="center"/>
              <w:rPr>
                <w:b/>
                <w:sz w:val="16"/>
                <w:szCs w:val="16"/>
              </w:rPr>
            </w:pPr>
            <w:r w:rsidRPr="00081999">
              <w:rPr>
                <w:b/>
                <w:sz w:val="16"/>
                <w:szCs w:val="16"/>
              </w:rPr>
              <w:t>Bono de Pensión ISSSTE</w:t>
            </w:r>
            <w:r w:rsidRPr="00081999">
              <w:rPr>
                <w:b/>
                <w:sz w:val="16"/>
                <w:szCs w:val="16"/>
                <w:u w:val="single"/>
                <w:vertAlign w:val="superscript"/>
              </w:rPr>
              <w:t>5</w:t>
            </w:r>
            <w:r w:rsidRPr="00081999">
              <w:rPr>
                <w:b/>
                <w:sz w:val="16"/>
                <w:szCs w:val="16"/>
                <w:vertAlign w:val="superscript"/>
              </w:rPr>
              <w:t>/</w:t>
            </w:r>
          </w:p>
        </w:tc>
        <w:tc>
          <w:tcPr>
            <w:tcW w:w="842" w:type="dxa"/>
            <w:vMerge w:val="restart"/>
            <w:vAlign w:val="center"/>
          </w:tcPr>
          <w:p w14:paraId="5854094E" w14:textId="77777777" w:rsidR="00081999" w:rsidRPr="00081999" w:rsidRDefault="00081999" w:rsidP="00081999">
            <w:pPr>
              <w:ind w:left="-57" w:right="-57"/>
              <w:jc w:val="center"/>
              <w:rPr>
                <w:b/>
                <w:sz w:val="16"/>
                <w:szCs w:val="16"/>
              </w:rPr>
            </w:pPr>
            <w:r w:rsidRPr="00081999">
              <w:rPr>
                <w:b/>
                <w:sz w:val="16"/>
                <w:szCs w:val="16"/>
              </w:rPr>
              <w:t>Vivienda</w:t>
            </w:r>
            <w:r w:rsidRPr="00081999">
              <w:rPr>
                <w:b/>
                <w:sz w:val="16"/>
                <w:szCs w:val="16"/>
                <w:u w:val="single"/>
                <w:vertAlign w:val="superscript"/>
              </w:rPr>
              <w:t>6</w:t>
            </w:r>
            <w:r w:rsidRPr="00081999">
              <w:rPr>
                <w:b/>
                <w:sz w:val="16"/>
                <w:szCs w:val="16"/>
                <w:vertAlign w:val="superscript"/>
              </w:rPr>
              <w:t>/</w:t>
            </w:r>
          </w:p>
        </w:tc>
        <w:tc>
          <w:tcPr>
            <w:tcW w:w="859" w:type="dxa"/>
            <w:vMerge w:val="restart"/>
            <w:vAlign w:val="center"/>
          </w:tcPr>
          <w:p w14:paraId="2AF5E02F" w14:textId="77777777" w:rsidR="00081999" w:rsidRPr="00081999" w:rsidRDefault="00081999" w:rsidP="00081999">
            <w:pPr>
              <w:ind w:left="-57" w:right="-57"/>
              <w:jc w:val="center"/>
              <w:rPr>
                <w:b/>
                <w:sz w:val="16"/>
                <w:szCs w:val="16"/>
              </w:rPr>
            </w:pPr>
            <w:r w:rsidRPr="00081999">
              <w:rPr>
                <w:b/>
                <w:sz w:val="16"/>
                <w:szCs w:val="16"/>
              </w:rPr>
              <w:t>Recursos Deposita-dos en Banco de México</w:t>
            </w:r>
            <w:r w:rsidRPr="00081999">
              <w:rPr>
                <w:b/>
                <w:sz w:val="16"/>
                <w:szCs w:val="16"/>
                <w:u w:val="single"/>
                <w:vertAlign w:val="superscript"/>
              </w:rPr>
              <w:t>7</w:t>
            </w:r>
            <w:r w:rsidRPr="00081999">
              <w:rPr>
                <w:b/>
                <w:sz w:val="16"/>
                <w:szCs w:val="16"/>
                <w:vertAlign w:val="superscript"/>
              </w:rPr>
              <w:t>/</w:t>
            </w:r>
          </w:p>
        </w:tc>
        <w:tc>
          <w:tcPr>
            <w:tcW w:w="992" w:type="dxa"/>
            <w:vMerge/>
            <w:vAlign w:val="center"/>
          </w:tcPr>
          <w:p w14:paraId="35A645AA" w14:textId="77777777" w:rsidR="00081999" w:rsidRPr="00081999" w:rsidRDefault="00081999" w:rsidP="00081999">
            <w:pPr>
              <w:ind w:left="-57" w:right="-57"/>
              <w:jc w:val="center"/>
              <w:rPr>
                <w:b/>
                <w:sz w:val="16"/>
                <w:szCs w:val="16"/>
              </w:rPr>
            </w:pPr>
          </w:p>
        </w:tc>
      </w:tr>
      <w:tr w:rsidR="00081999" w:rsidRPr="00081999" w14:paraId="2466F1DD" w14:textId="77777777" w:rsidTr="00BB7F01">
        <w:tc>
          <w:tcPr>
            <w:tcW w:w="1276" w:type="dxa"/>
            <w:vMerge/>
            <w:vAlign w:val="center"/>
          </w:tcPr>
          <w:p w14:paraId="01978D83" w14:textId="77777777" w:rsidR="00081999" w:rsidRPr="00081999" w:rsidRDefault="00081999" w:rsidP="00081999">
            <w:pPr>
              <w:jc w:val="center"/>
              <w:rPr>
                <w:b/>
                <w:sz w:val="16"/>
                <w:szCs w:val="16"/>
              </w:rPr>
            </w:pPr>
          </w:p>
        </w:tc>
        <w:tc>
          <w:tcPr>
            <w:tcW w:w="992" w:type="dxa"/>
            <w:vAlign w:val="center"/>
          </w:tcPr>
          <w:p w14:paraId="2E1C8633" w14:textId="77777777" w:rsidR="00081999" w:rsidRPr="00081999" w:rsidRDefault="00081999" w:rsidP="00081999">
            <w:pPr>
              <w:jc w:val="center"/>
              <w:rPr>
                <w:b/>
                <w:sz w:val="16"/>
                <w:szCs w:val="16"/>
              </w:rPr>
            </w:pPr>
            <w:r w:rsidRPr="00081999">
              <w:rPr>
                <w:b/>
                <w:sz w:val="16"/>
                <w:szCs w:val="16"/>
              </w:rPr>
              <w:t>RCV</w:t>
            </w:r>
            <w:r w:rsidRPr="00081999">
              <w:rPr>
                <w:b/>
                <w:sz w:val="16"/>
                <w:szCs w:val="16"/>
                <w:u w:val="single"/>
                <w:vertAlign w:val="superscript"/>
              </w:rPr>
              <w:t>1</w:t>
            </w:r>
            <w:r w:rsidRPr="00081999">
              <w:rPr>
                <w:b/>
                <w:sz w:val="16"/>
                <w:szCs w:val="16"/>
                <w:vertAlign w:val="superscript"/>
              </w:rPr>
              <w:t>/</w:t>
            </w:r>
          </w:p>
        </w:tc>
        <w:tc>
          <w:tcPr>
            <w:tcW w:w="851" w:type="dxa"/>
            <w:vAlign w:val="center"/>
          </w:tcPr>
          <w:p w14:paraId="1755216E" w14:textId="77777777" w:rsidR="00081999" w:rsidRPr="00081999" w:rsidRDefault="00081999" w:rsidP="00081999">
            <w:pPr>
              <w:ind w:left="-57" w:right="-57"/>
              <w:jc w:val="center"/>
              <w:rPr>
                <w:b/>
                <w:sz w:val="16"/>
                <w:szCs w:val="16"/>
              </w:rPr>
            </w:pPr>
            <w:r w:rsidRPr="00081999">
              <w:rPr>
                <w:b/>
                <w:sz w:val="16"/>
                <w:szCs w:val="16"/>
              </w:rPr>
              <w:t>Ahorro Volunta-rio y Solidario</w:t>
            </w:r>
            <w:r w:rsidRPr="00081999">
              <w:rPr>
                <w:b/>
                <w:sz w:val="16"/>
                <w:szCs w:val="16"/>
                <w:u w:val="single"/>
                <w:vertAlign w:val="superscript"/>
              </w:rPr>
              <w:t>2</w:t>
            </w:r>
            <w:r w:rsidRPr="00081999">
              <w:rPr>
                <w:b/>
                <w:sz w:val="16"/>
                <w:szCs w:val="16"/>
                <w:vertAlign w:val="superscript"/>
              </w:rPr>
              <w:t>/</w:t>
            </w:r>
          </w:p>
        </w:tc>
        <w:tc>
          <w:tcPr>
            <w:tcW w:w="850" w:type="dxa"/>
            <w:vAlign w:val="center"/>
          </w:tcPr>
          <w:p w14:paraId="37F04234" w14:textId="77777777" w:rsidR="00081999" w:rsidRPr="00081999" w:rsidRDefault="00081999" w:rsidP="00081999">
            <w:pPr>
              <w:ind w:left="-57" w:right="-57"/>
              <w:jc w:val="center"/>
              <w:rPr>
                <w:b/>
                <w:sz w:val="16"/>
                <w:szCs w:val="16"/>
              </w:rPr>
            </w:pPr>
            <w:r w:rsidRPr="00081999">
              <w:rPr>
                <w:b/>
                <w:sz w:val="16"/>
                <w:szCs w:val="16"/>
              </w:rPr>
              <w:t>Fondos de Previsión Social</w:t>
            </w:r>
            <w:r w:rsidRPr="00081999">
              <w:rPr>
                <w:b/>
                <w:sz w:val="16"/>
                <w:szCs w:val="16"/>
                <w:u w:val="single"/>
                <w:vertAlign w:val="superscript"/>
              </w:rPr>
              <w:t>3</w:t>
            </w:r>
            <w:r w:rsidRPr="00081999">
              <w:rPr>
                <w:b/>
                <w:sz w:val="16"/>
                <w:szCs w:val="16"/>
                <w:vertAlign w:val="superscript"/>
              </w:rPr>
              <w:t>/</w:t>
            </w:r>
          </w:p>
        </w:tc>
        <w:tc>
          <w:tcPr>
            <w:tcW w:w="851" w:type="dxa"/>
            <w:vMerge/>
            <w:vAlign w:val="center"/>
          </w:tcPr>
          <w:p w14:paraId="1728A0CB" w14:textId="77777777" w:rsidR="00081999" w:rsidRPr="00081999" w:rsidRDefault="00081999" w:rsidP="00081999">
            <w:pPr>
              <w:jc w:val="center"/>
              <w:rPr>
                <w:b/>
                <w:sz w:val="16"/>
                <w:szCs w:val="16"/>
              </w:rPr>
            </w:pPr>
          </w:p>
        </w:tc>
        <w:tc>
          <w:tcPr>
            <w:tcW w:w="984" w:type="dxa"/>
            <w:vMerge/>
            <w:vAlign w:val="center"/>
          </w:tcPr>
          <w:p w14:paraId="0CAD4A17" w14:textId="77777777" w:rsidR="00081999" w:rsidRPr="00081999" w:rsidRDefault="00081999" w:rsidP="00081999">
            <w:pPr>
              <w:ind w:left="-57" w:right="-57"/>
              <w:jc w:val="center"/>
              <w:rPr>
                <w:b/>
                <w:sz w:val="16"/>
                <w:szCs w:val="16"/>
              </w:rPr>
            </w:pPr>
          </w:p>
        </w:tc>
        <w:tc>
          <w:tcPr>
            <w:tcW w:w="859" w:type="dxa"/>
            <w:vMerge/>
            <w:vAlign w:val="center"/>
          </w:tcPr>
          <w:p w14:paraId="6F000CA0" w14:textId="77777777" w:rsidR="00081999" w:rsidRPr="00081999" w:rsidRDefault="00081999" w:rsidP="00081999">
            <w:pPr>
              <w:jc w:val="center"/>
              <w:rPr>
                <w:b/>
                <w:sz w:val="16"/>
                <w:szCs w:val="16"/>
              </w:rPr>
            </w:pPr>
          </w:p>
        </w:tc>
        <w:tc>
          <w:tcPr>
            <w:tcW w:w="842" w:type="dxa"/>
            <w:vMerge/>
            <w:vAlign w:val="center"/>
          </w:tcPr>
          <w:p w14:paraId="6FF13FC5" w14:textId="77777777" w:rsidR="00081999" w:rsidRPr="00081999" w:rsidRDefault="00081999" w:rsidP="00081999">
            <w:pPr>
              <w:ind w:left="-57" w:right="-57"/>
              <w:jc w:val="center"/>
              <w:rPr>
                <w:b/>
                <w:sz w:val="16"/>
                <w:szCs w:val="16"/>
              </w:rPr>
            </w:pPr>
          </w:p>
        </w:tc>
        <w:tc>
          <w:tcPr>
            <w:tcW w:w="859" w:type="dxa"/>
            <w:vMerge/>
            <w:vAlign w:val="center"/>
          </w:tcPr>
          <w:p w14:paraId="15286D44" w14:textId="77777777" w:rsidR="00081999" w:rsidRPr="00081999" w:rsidRDefault="00081999" w:rsidP="00081999">
            <w:pPr>
              <w:ind w:left="-57" w:right="-57"/>
              <w:jc w:val="center"/>
              <w:rPr>
                <w:b/>
                <w:sz w:val="16"/>
                <w:szCs w:val="16"/>
              </w:rPr>
            </w:pPr>
          </w:p>
        </w:tc>
        <w:tc>
          <w:tcPr>
            <w:tcW w:w="992" w:type="dxa"/>
            <w:vMerge/>
            <w:vAlign w:val="center"/>
          </w:tcPr>
          <w:p w14:paraId="4AF4978E" w14:textId="77777777" w:rsidR="00081999" w:rsidRPr="00081999" w:rsidRDefault="00081999" w:rsidP="00081999">
            <w:pPr>
              <w:ind w:left="-57" w:right="-57"/>
              <w:jc w:val="center"/>
              <w:rPr>
                <w:b/>
                <w:sz w:val="16"/>
                <w:szCs w:val="16"/>
              </w:rPr>
            </w:pPr>
          </w:p>
        </w:tc>
      </w:tr>
      <w:tr w:rsidR="00081999" w:rsidRPr="00081999" w14:paraId="1FA06027" w14:textId="77777777" w:rsidTr="00BB7F01">
        <w:tc>
          <w:tcPr>
            <w:tcW w:w="1276" w:type="dxa"/>
          </w:tcPr>
          <w:p w14:paraId="1C596582" w14:textId="77777777" w:rsidR="00081999" w:rsidRPr="00081999" w:rsidRDefault="00081999" w:rsidP="00081999">
            <w:pPr>
              <w:rPr>
                <w:sz w:val="16"/>
                <w:szCs w:val="16"/>
              </w:rPr>
            </w:pPr>
            <w:r w:rsidRPr="00081999">
              <w:rPr>
                <w:sz w:val="16"/>
                <w:szCs w:val="16"/>
              </w:rPr>
              <w:t>Azteca</w:t>
            </w:r>
          </w:p>
        </w:tc>
        <w:tc>
          <w:tcPr>
            <w:tcW w:w="992" w:type="dxa"/>
          </w:tcPr>
          <w:p w14:paraId="2C97E4E0" w14:textId="77777777" w:rsidR="00081999" w:rsidRPr="00081999" w:rsidRDefault="00081999" w:rsidP="00081999">
            <w:pPr>
              <w:ind w:right="-57"/>
              <w:jc w:val="right"/>
              <w:rPr>
                <w:sz w:val="16"/>
                <w:szCs w:val="16"/>
              </w:rPr>
            </w:pPr>
            <w:r w:rsidRPr="00081999">
              <w:rPr>
                <w:sz w:val="16"/>
                <w:szCs w:val="16"/>
              </w:rPr>
              <w:t>34 435.8</w:t>
            </w:r>
          </w:p>
        </w:tc>
        <w:tc>
          <w:tcPr>
            <w:tcW w:w="851" w:type="dxa"/>
          </w:tcPr>
          <w:p w14:paraId="5A342523" w14:textId="77777777" w:rsidR="00081999" w:rsidRPr="00081999" w:rsidRDefault="00081999" w:rsidP="00081999">
            <w:pPr>
              <w:ind w:right="-57"/>
              <w:jc w:val="right"/>
              <w:rPr>
                <w:sz w:val="16"/>
                <w:szCs w:val="16"/>
              </w:rPr>
            </w:pPr>
            <w:r w:rsidRPr="00081999">
              <w:rPr>
                <w:sz w:val="16"/>
                <w:szCs w:val="16"/>
              </w:rPr>
              <w:t>49.3</w:t>
            </w:r>
          </w:p>
        </w:tc>
        <w:tc>
          <w:tcPr>
            <w:tcW w:w="850" w:type="dxa"/>
          </w:tcPr>
          <w:p w14:paraId="1D819FA9" w14:textId="77777777" w:rsidR="00081999" w:rsidRPr="00081999" w:rsidRDefault="00081999" w:rsidP="00081999">
            <w:pPr>
              <w:ind w:right="-57"/>
              <w:jc w:val="right"/>
              <w:rPr>
                <w:sz w:val="16"/>
                <w:szCs w:val="16"/>
              </w:rPr>
            </w:pPr>
            <w:r w:rsidRPr="00081999">
              <w:rPr>
                <w:sz w:val="16"/>
                <w:szCs w:val="16"/>
              </w:rPr>
              <w:t>0</w:t>
            </w:r>
          </w:p>
        </w:tc>
        <w:tc>
          <w:tcPr>
            <w:tcW w:w="851" w:type="dxa"/>
          </w:tcPr>
          <w:p w14:paraId="10D6D81C" w14:textId="77777777" w:rsidR="00081999" w:rsidRPr="00081999" w:rsidRDefault="00081999" w:rsidP="00081999">
            <w:pPr>
              <w:ind w:right="-57"/>
              <w:jc w:val="right"/>
              <w:rPr>
                <w:sz w:val="16"/>
                <w:szCs w:val="16"/>
              </w:rPr>
            </w:pPr>
            <w:r w:rsidRPr="00081999">
              <w:rPr>
                <w:sz w:val="16"/>
                <w:szCs w:val="16"/>
              </w:rPr>
              <w:t>411.9</w:t>
            </w:r>
          </w:p>
        </w:tc>
        <w:tc>
          <w:tcPr>
            <w:tcW w:w="984" w:type="dxa"/>
          </w:tcPr>
          <w:p w14:paraId="1D2D691D" w14:textId="77777777" w:rsidR="00081999" w:rsidRPr="00081999" w:rsidRDefault="00081999" w:rsidP="00081999">
            <w:pPr>
              <w:ind w:right="-57"/>
              <w:jc w:val="right"/>
              <w:rPr>
                <w:sz w:val="16"/>
                <w:szCs w:val="16"/>
              </w:rPr>
            </w:pPr>
            <w:r w:rsidRPr="00081999">
              <w:rPr>
                <w:sz w:val="16"/>
                <w:szCs w:val="16"/>
              </w:rPr>
              <w:t>34 897.0</w:t>
            </w:r>
          </w:p>
        </w:tc>
        <w:tc>
          <w:tcPr>
            <w:tcW w:w="859" w:type="dxa"/>
          </w:tcPr>
          <w:p w14:paraId="72264730" w14:textId="77777777" w:rsidR="00081999" w:rsidRPr="00081999" w:rsidRDefault="00081999" w:rsidP="00081999">
            <w:pPr>
              <w:ind w:right="-57"/>
              <w:jc w:val="right"/>
              <w:rPr>
                <w:sz w:val="16"/>
                <w:szCs w:val="16"/>
              </w:rPr>
            </w:pPr>
            <w:r w:rsidRPr="00081999">
              <w:rPr>
                <w:sz w:val="16"/>
                <w:szCs w:val="16"/>
              </w:rPr>
              <w:t>98.0</w:t>
            </w:r>
          </w:p>
        </w:tc>
        <w:tc>
          <w:tcPr>
            <w:tcW w:w="842" w:type="dxa"/>
          </w:tcPr>
          <w:p w14:paraId="4185EB7B" w14:textId="77777777" w:rsidR="00081999" w:rsidRPr="00081999" w:rsidRDefault="00081999" w:rsidP="00081999">
            <w:pPr>
              <w:ind w:right="-57"/>
              <w:jc w:val="right"/>
              <w:rPr>
                <w:sz w:val="16"/>
                <w:szCs w:val="16"/>
              </w:rPr>
            </w:pPr>
            <w:r w:rsidRPr="00081999">
              <w:rPr>
                <w:sz w:val="16"/>
                <w:szCs w:val="16"/>
              </w:rPr>
              <w:t>13 686.6</w:t>
            </w:r>
          </w:p>
        </w:tc>
        <w:tc>
          <w:tcPr>
            <w:tcW w:w="859" w:type="dxa"/>
          </w:tcPr>
          <w:p w14:paraId="49A7AF04" w14:textId="77777777" w:rsidR="00081999" w:rsidRPr="00081999" w:rsidRDefault="00081999" w:rsidP="00081999">
            <w:pPr>
              <w:ind w:right="-57"/>
              <w:jc w:val="right"/>
              <w:rPr>
                <w:sz w:val="16"/>
                <w:szCs w:val="16"/>
              </w:rPr>
            </w:pPr>
            <w:r w:rsidRPr="00081999">
              <w:rPr>
                <w:sz w:val="16"/>
                <w:szCs w:val="16"/>
              </w:rPr>
              <w:t>0.0</w:t>
            </w:r>
          </w:p>
        </w:tc>
        <w:tc>
          <w:tcPr>
            <w:tcW w:w="992" w:type="dxa"/>
          </w:tcPr>
          <w:p w14:paraId="40F2046B" w14:textId="77777777" w:rsidR="00081999" w:rsidRPr="00081999" w:rsidRDefault="00081999" w:rsidP="00081999">
            <w:pPr>
              <w:jc w:val="right"/>
              <w:rPr>
                <w:sz w:val="16"/>
                <w:szCs w:val="16"/>
              </w:rPr>
            </w:pPr>
            <w:r w:rsidRPr="00081999">
              <w:rPr>
                <w:sz w:val="16"/>
                <w:szCs w:val="16"/>
              </w:rPr>
              <w:t>48 681.6</w:t>
            </w:r>
          </w:p>
        </w:tc>
      </w:tr>
      <w:tr w:rsidR="00081999" w:rsidRPr="00081999" w14:paraId="764503A1" w14:textId="77777777" w:rsidTr="00BB7F01">
        <w:tc>
          <w:tcPr>
            <w:tcW w:w="1276" w:type="dxa"/>
          </w:tcPr>
          <w:p w14:paraId="6695857E" w14:textId="77777777" w:rsidR="00081999" w:rsidRPr="00081999" w:rsidRDefault="00081999" w:rsidP="00081999">
            <w:pPr>
              <w:rPr>
                <w:sz w:val="16"/>
                <w:szCs w:val="16"/>
              </w:rPr>
            </w:pPr>
            <w:r w:rsidRPr="00081999">
              <w:rPr>
                <w:sz w:val="16"/>
                <w:szCs w:val="16"/>
              </w:rPr>
              <w:t>Banamex</w:t>
            </w:r>
          </w:p>
        </w:tc>
        <w:tc>
          <w:tcPr>
            <w:tcW w:w="992" w:type="dxa"/>
          </w:tcPr>
          <w:p w14:paraId="112F1E00" w14:textId="77777777" w:rsidR="00081999" w:rsidRPr="00081999" w:rsidRDefault="00081999" w:rsidP="00081999">
            <w:pPr>
              <w:ind w:right="-57"/>
              <w:jc w:val="right"/>
              <w:rPr>
                <w:sz w:val="16"/>
                <w:szCs w:val="16"/>
              </w:rPr>
            </w:pPr>
            <w:r w:rsidRPr="00081999">
              <w:rPr>
                <w:sz w:val="16"/>
                <w:szCs w:val="16"/>
              </w:rPr>
              <w:t>401 143.0</w:t>
            </w:r>
          </w:p>
        </w:tc>
        <w:tc>
          <w:tcPr>
            <w:tcW w:w="851" w:type="dxa"/>
          </w:tcPr>
          <w:p w14:paraId="579E96B4" w14:textId="77777777" w:rsidR="00081999" w:rsidRPr="00081999" w:rsidRDefault="00081999" w:rsidP="00081999">
            <w:pPr>
              <w:ind w:right="-57"/>
              <w:jc w:val="right"/>
              <w:rPr>
                <w:sz w:val="16"/>
                <w:szCs w:val="16"/>
              </w:rPr>
            </w:pPr>
            <w:r w:rsidRPr="00081999">
              <w:rPr>
                <w:sz w:val="16"/>
                <w:szCs w:val="16"/>
              </w:rPr>
              <w:t>3 650.1</w:t>
            </w:r>
          </w:p>
        </w:tc>
        <w:tc>
          <w:tcPr>
            <w:tcW w:w="850" w:type="dxa"/>
          </w:tcPr>
          <w:p w14:paraId="7A0853C6" w14:textId="77777777" w:rsidR="00081999" w:rsidRPr="00081999" w:rsidRDefault="00081999" w:rsidP="00081999">
            <w:pPr>
              <w:ind w:right="-57"/>
              <w:jc w:val="right"/>
              <w:rPr>
                <w:sz w:val="16"/>
                <w:szCs w:val="16"/>
              </w:rPr>
            </w:pPr>
            <w:r w:rsidRPr="00081999">
              <w:rPr>
                <w:sz w:val="16"/>
                <w:szCs w:val="16"/>
              </w:rPr>
              <w:t>0</w:t>
            </w:r>
          </w:p>
        </w:tc>
        <w:tc>
          <w:tcPr>
            <w:tcW w:w="851" w:type="dxa"/>
          </w:tcPr>
          <w:p w14:paraId="2C82D1B6" w14:textId="77777777" w:rsidR="00081999" w:rsidRPr="00081999" w:rsidRDefault="00081999" w:rsidP="00081999">
            <w:pPr>
              <w:ind w:right="-57"/>
              <w:jc w:val="right"/>
              <w:rPr>
                <w:sz w:val="16"/>
                <w:szCs w:val="16"/>
              </w:rPr>
            </w:pPr>
            <w:r w:rsidRPr="00081999">
              <w:rPr>
                <w:sz w:val="16"/>
                <w:szCs w:val="16"/>
              </w:rPr>
              <w:t>2 958.9</w:t>
            </w:r>
          </w:p>
        </w:tc>
        <w:tc>
          <w:tcPr>
            <w:tcW w:w="984" w:type="dxa"/>
          </w:tcPr>
          <w:p w14:paraId="31B3F37B" w14:textId="77777777" w:rsidR="00081999" w:rsidRPr="00081999" w:rsidRDefault="00081999" w:rsidP="00081999">
            <w:pPr>
              <w:ind w:right="-57"/>
              <w:jc w:val="right"/>
              <w:rPr>
                <w:sz w:val="16"/>
                <w:szCs w:val="16"/>
              </w:rPr>
            </w:pPr>
            <w:r w:rsidRPr="00081999">
              <w:rPr>
                <w:sz w:val="16"/>
                <w:szCs w:val="16"/>
              </w:rPr>
              <w:t>407 752.0</w:t>
            </w:r>
          </w:p>
        </w:tc>
        <w:tc>
          <w:tcPr>
            <w:tcW w:w="859" w:type="dxa"/>
          </w:tcPr>
          <w:p w14:paraId="5F9090A5" w14:textId="77777777" w:rsidR="00081999" w:rsidRPr="00081999" w:rsidRDefault="00081999" w:rsidP="00081999">
            <w:pPr>
              <w:ind w:right="-57"/>
              <w:jc w:val="right"/>
              <w:rPr>
                <w:sz w:val="16"/>
                <w:szCs w:val="16"/>
              </w:rPr>
            </w:pPr>
            <w:r w:rsidRPr="00081999">
              <w:rPr>
                <w:sz w:val="16"/>
                <w:szCs w:val="16"/>
              </w:rPr>
              <w:t>7 881.1</w:t>
            </w:r>
          </w:p>
        </w:tc>
        <w:tc>
          <w:tcPr>
            <w:tcW w:w="842" w:type="dxa"/>
          </w:tcPr>
          <w:p w14:paraId="4809F769" w14:textId="77777777" w:rsidR="00081999" w:rsidRPr="00081999" w:rsidRDefault="00081999" w:rsidP="00081999">
            <w:pPr>
              <w:ind w:right="-57"/>
              <w:jc w:val="right"/>
              <w:rPr>
                <w:sz w:val="16"/>
                <w:szCs w:val="16"/>
              </w:rPr>
            </w:pPr>
            <w:r w:rsidRPr="00081999">
              <w:rPr>
                <w:sz w:val="16"/>
                <w:szCs w:val="16"/>
              </w:rPr>
              <w:t>135 066.8</w:t>
            </w:r>
          </w:p>
        </w:tc>
        <w:tc>
          <w:tcPr>
            <w:tcW w:w="859" w:type="dxa"/>
          </w:tcPr>
          <w:p w14:paraId="41655F72" w14:textId="77777777" w:rsidR="00081999" w:rsidRPr="00081999" w:rsidRDefault="00081999" w:rsidP="00081999">
            <w:pPr>
              <w:ind w:right="-57"/>
              <w:jc w:val="right"/>
              <w:rPr>
                <w:sz w:val="16"/>
                <w:szCs w:val="16"/>
              </w:rPr>
            </w:pPr>
            <w:r w:rsidRPr="00081999">
              <w:rPr>
                <w:sz w:val="16"/>
                <w:szCs w:val="16"/>
              </w:rPr>
              <w:t>0.0</w:t>
            </w:r>
          </w:p>
        </w:tc>
        <w:tc>
          <w:tcPr>
            <w:tcW w:w="992" w:type="dxa"/>
          </w:tcPr>
          <w:p w14:paraId="690B6C42" w14:textId="77777777" w:rsidR="00081999" w:rsidRPr="00081999" w:rsidRDefault="00081999" w:rsidP="00081999">
            <w:pPr>
              <w:jc w:val="right"/>
              <w:rPr>
                <w:sz w:val="16"/>
                <w:szCs w:val="16"/>
              </w:rPr>
            </w:pPr>
            <w:r w:rsidRPr="00081999">
              <w:rPr>
                <w:sz w:val="16"/>
                <w:szCs w:val="16"/>
              </w:rPr>
              <w:t>550 700.0</w:t>
            </w:r>
          </w:p>
        </w:tc>
      </w:tr>
      <w:tr w:rsidR="00081999" w:rsidRPr="00081999" w14:paraId="530B6506" w14:textId="77777777" w:rsidTr="00BB7F01">
        <w:tc>
          <w:tcPr>
            <w:tcW w:w="1276" w:type="dxa"/>
          </w:tcPr>
          <w:p w14:paraId="50A927A8" w14:textId="77777777" w:rsidR="00081999" w:rsidRPr="00081999" w:rsidRDefault="00081999" w:rsidP="00081999">
            <w:pPr>
              <w:rPr>
                <w:sz w:val="16"/>
                <w:szCs w:val="16"/>
              </w:rPr>
            </w:pPr>
            <w:r w:rsidRPr="00081999">
              <w:rPr>
                <w:sz w:val="16"/>
                <w:szCs w:val="16"/>
              </w:rPr>
              <w:t>Coppel</w:t>
            </w:r>
          </w:p>
        </w:tc>
        <w:tc>
          <w:tcPr>
            <w:tcW w:w="992" w:type="dxa"/>
          </w:tcPr>
          <w:p w14:paraId="04632EBA" w14:textId="77777777" w:rsidR="00081999" w:rsidRPr="00081999" w:rsidRDefault="00081999" w:rsidP="00081999">
            <w:pPr>
              <w:ind w:right="-57"/>
              <w:jc w:val="right"/>
              <w:rPr>
                <w:sz w:val="16"/>
                <w:szCs w:val="16"/>
              </w:rPr>
            </w:pPr>
            <w:r w:rsidRPr="00081999">
              <w:rPr>
                <w:sz w:val="16"/>
                <w:szCs w:val="16"/>
              </w:rPr>
              <w:t>113 310.3</w:t>
            </w:r>
          </w:p>
        </w:tc>
        <w:tc>
          <w:tcPr>
            <w:tcW w:w="851" w:type="dxa"/>
          </w:tcPr>
          <w:p w14:paraId="6C044F1D" w14:textId="77777777" w:rsidR="00081999" w:rsidRPr="00081999" w:rsidRDefault="00081999" w:rsidP="00081999">
            <w:pPr>
              <w:ind w:right="-57"/>
              <w:jc w:val="right"/>
              <w:rPr>
                <w:sz w:val="16"/>
                <w:szCs w:val="16"/>
              </w:rPr>
            </w:pPr>
            <w:r w:rsidRPr="00081999">
              <w:rPr>
                <w:sz w:val="16"/>
                <w:szCs w:val="16"/>
              </w:rPr>
              <w:t>296.4</w:t>
            </w:r>
          </w:p>
        </w:tc>
        <w:tc>
          <w:tcPr>
            <w:tcW w:w="850" w:type="dxa"/>
          </w:tcPr>
          <w:p w14:paraId="7C5BF88D" w14:textId="77777777" w:rsidR="00081999" w:rsidRPr="00081999" w:rsidRDefault="00081999" w:rsidP="00081999">
            <w:pPr>
              <w:ind w:right="-57"/>
              <w:jc w:val="right"/>
              <w:rPr>
                <w:sz w:val="16"/>
                <w:szCs w:val="16"/>
              </w:rPr>
            </w:pPr>
            <w:r w:rsidRPr="00081999">
              <w:rPr>
                <w:sz w:val="16"/>
                <w:szCs w:val="16"/>
              </w:rPr>
              <w:t>0</w:t>
            </w:r>
          </w:p>
        </w:tc>
        <w:tc>
          <w:tcPr>
            <w:tcW w:w="851" w:type="dxa"/>
          </w:tcPr>
          <w:p w14:paraId="6F5B4483" w14:textId="77777777" w:rsidR="00081999" w:rsidRPr="00081999" w:rsidRDefault="00081999" w:rsidP="00081999">
            <w:pPr>
              <w:ind w:right="-57"/>
              <w:jc w:val="right"/>
              <w:rPr>
                <w:sz w:val="16"/>
                <w:szCs w:val="16"/>
              </w:rPr>
            </w:pPr>
            <w:r w:rsidRPr="00081999">
              <w:rPr>
                <w:sz w:val="16"/>
                <w:szCs w:val="16"/>
              </w:rPr>
              <w:t>883.5</w:t>
            </w:r>
          </w:p>
        </w:tc>
        <w:tc>
          <w:tcPr>
            <w:tcW w:w="984" w:type="dxa"/>
          </w:tcPr>
          <w:p w14:paraId="1B604935" w14:textId="77777777" w:rsidR="00081999" w:rsidRPr="00081999" w:rsidRDefault="00081999" w:rsidP="00081999">
            <w:pPr>
              <w:ind w:right="-57"/>
              <w:jc w:val="right"/>
              <w:rPr>
                <w:sz w:val="16"/>
                <w:szCs w:val="16"/>
              </w:rPr>
            </w:pPr>
            <w:r w:rsidRPr="00081999">
              <w:rPr>
                <w:sz w:val="16"/>
                <w:szCs w:val="16"/>
              </w:rPr>
              <w:t>114 490.2</w:t>
            </w:r>
          </w:p>
        </w:tc>
        <w:tc>
          <w:tcPr>
            <w:tcW w:w="859" w:type="dxa"/>
          </w:tcPr>
          <w:p w14:paraId="57E53438" w14:textId="77777777" w:rsidR="00081999" w:rsidRPr="00081999" w:rsidRDefault="00081999" w:rsidP="00081999">
            <w:pPr>
              <w:ind w:right="-57"/>
              <w:jc w:val="right"/>
              <w:rPr>
                <w:sz w:val="16"/>
                <w:szCs w:val="16"/>
              </w:rPr>
            </w:pPr>
            <w:r w:rsidRPr="00081999">
              <w:rPr>
                <w:sz w:val="16"/>
                <w:szCs w:val="16"/>
              </w:rPr>
              <w:t>428.7</w:t>
            </w:r>
          </w:p>
        </w:tc>
        <w:tc>
          <w:tcPr>
            <w:tcW w:w="842" w:type="dxa"/>
          </w:tcPr>
          <w:p w14:paraId="0F112A81" w14:textId="77777777" w:rsidR="00081999" w:rsidRPr="00081999" w:rsidRDefault="00081999" w:rsidP="00081999">
            <w:pPr>
              <w:ind w:right="-57"/>
              <w:jc w:val="right"/>
              <w:rPr>
                <w:sz w:val="16"/>
                <w:szCs w:val="16"/>
              </w:rPr>
            </w:pPr>
            <w:r w:rsidRPr="00081999">
              <w:rPr>
                <w:sz w:val="16"/>
                <w:szCs w:val="16"/>
              </w:rPr>
              <w:t>47 133.0</w:t>
            </w:r>
          </w:p>
        </w:tc>
        <w:tc>
          <w:tcPr>
            <w:tcW w:w="859" w:type="dxa"/>
          </w:tcPr>
          <w:p w14:paraId="20984865" w14:textId="77777777" w:rsidR="00081999" w:rsidRPr="00081999" w:rsidRDefault="00081999" w:rsidP="00081999">
            <w:pPr>
              <w:ind w:right="-57"/>
              <w:jc w:val="right"/>
              <w:rPr>
                <w:sz w:val="16"/>
                <w:szCs w:val="16"/>
              </w:rPr>
            </w:pPr>
            <w:r w:rsidRPr="00081999">
              <w:rPr>
                <w:sz w:val="16"/>
                <w:szCs w:val="16"/>
              </w:rPr>
              <w:t>0.0</w:t>
            </w:r>
          </w:p>
        </w:tc>
        <w:tc>
          <w:tcPr>
            <w:tcW w:w="992" w:type="dxa"/>
          </w:tcPr>
          <w:p w14:paraId="0D1E00A5" w14:textId="77777777" w:rsidR="00081999" w:rsidRPr="00081999" w:rsidRDefault="00081999" w:rsidP="00081999">
            <w:pPr>
              <w:jc w:val="right"/>
              <w:rPr>
                <w:sz w:val="16"/>
                <w:szCs w:val="16"/>
              </w:rPr>
            </w:pPr>
            <w:r w:rsidRPr="00081999">
              <w:rPr>
                <w:sz w:val="16"/>
                <w:szCs w:val="16"/>
              </w:rPr>
              <w:t>162 051.9</w:t>
            </w:r>
          </w:p>
        </w:tc>
      </w:tr>
      <w:tr w:rsidR="00081999" w:rsidRPr="00081999" w14:paraId="21F09B3F" w14:textId="77777777" w:rsidTr="00BB7F01">
        <w:tc>
          <w:tcPr>
            <w:tcW w:w="1276" w:type="dxa"/>
          </w:tcPr>
          <w:p w14:paraId="772F8206" w14:textId="77777777" w:rsidR="00081999" w:rsidRPr="00081999" w:rsidRDefault="00081999" w:rsidP="00081999">
            <w:pPr>
              <w:rPr>
                <w:sz w:val="16"/>
                <w:szCs w:val="16"/>
              </w:rPr>
            </w:pPr>
            <w:r w:rsidRPr="00081999">
              <w:rPr>
                <w:sz w:val="16"/>
                <w:szCs w:val="16"/>
              </w:rPr>
              <w:t>Inbursa</w:t>
            </w:r>
          </w:p>
        </w:tc>
        <w:tc>
          <w:tcPr>
            <w:tcW w:w="992" w:type="dxa"/>
          </w:tcPr>
          <w:p w14:paraId="749C2121" w14:textId="77777777" w:rsidR="00081999" w:rsidRPr="00081999" w:rsidRDefault="00081999" w:rsidP="00081999">
            <w:pPr>
              <w:ind w:right="-57"/>
              <w:jc w:val="right"/>
              <w:rPr>
                <w:sz w:val="16"/>
                <w:szCs w:val="16"/>
              </w:rPr>
            </w:pPr>
            <w:r w:rsidRPr="00081999">
              <w:rPr>
                <w:sz w:val="16"/>
                <w:szCs w:val="16"/>
              </w:rPr>
              <w:t>104 229.1</w:t>
            </w:r>
          </w:p>
        </w:tc>
        <w:tc>
          <w:tcPr>
            <w:tcW w:w="851" w:type="dxa"/>
          </w:tcPr>
          <w:p w14:paraId="24AFE00F" w14:textId="77777777" w:rsidR="00081999" w:rsidRPr="00081999" w:rsidRDefault="00081999" w:rsidP="00081999">
            <w:pPr>
              <w:ind w:right="-57"/>
              <w:jc w:val="right"/>
              <w:rPr>
                <w:sz w:val="16"/>
                <w:szCs w:val="16"/>
              </w:rPr>
            </w:pPr>
            <w:r w:rsidRPr="00081999">
              <w:rPr>
                <w:sz w:val="16"/>
                <w:szCs w:val="16"/>
              </w:rPr>
              <w:t>613.1</w:t>
            </w:r>
          </w:p>
        </w:tc>
        <w:tc>
          <w:tcPr>
            <w:tcW w:w="850" w:type="dxa"/>
          </w:tcPr>
          <w:p w14:paraId="0A3356AD" w14:textId="77777777" w:rsidR="00081999" w:rsidRPr="00081999" w:rsidRDefault="00081999" w:rsidP="00081999">
            <w:pPr>
              <w:ind w:right="-57"/>
              <w:jc w:val="right"/>
              <w:rPr>
                <w:sz w:val="16"/>
                <w:szCs w:val="16"/>
              </w:rPr>
            </w:pPr>
            <w:r w:rsidRPr="00081999">
              <w:rPr>
                <w:sz w:val="16"/>
                <w:szCs w:val="16"/>
              </w:rPr>
              <w:t>0</w:t>
            </w:r>
          </w:p>
        </w:tc>
        <w:tc>
          <w:tcPr>
            <w:tcW w:w="851" w:type="dxa"/>
          </w:tcPr>
          <w:p w14:paraId="6E90D94D" w14:textId="77777777" w:rsidR="00081999" w:rsidRPr="00081999" w:rsidRDefault="00081999" w:rsidP="00081999">
            <w:pPr>
              <w:ind w:right="-57"/>
              <w:jc w:val="right"/>
              <w:rPr>
                <w:sz w:val="16"/>
                <w:szCs w:val="16"/>
              </w:rPr>
            </w:pPr>
            <w:r w:rsidRPr="00081999">
              <w:rPr>
                <w:sz w:val="16"/>
                <w:szCs w:val="16"/>
              </w:rPr>
              <w:t>1 339.5</w:t>
            </w:r>
          </w:p>
        </w:tc>
        <w:tc>
          <w:tcPr>
            <w:tcW w:w="984" w:type="dxa"/>
          </w:tcPr>
          <w:p w14:paraId="45ED507D" w14:textId="77777777" w:rsidR="00081999" w:rsidRPr="00081999" w:rsidRDefault="00081999" w:rsidP="00081999">
            <w:pPr>
              <w:ind w:right="-57"/>
              <w:jc w:val="right"/>
              <w:rPr>
                <w:sz w:val="16"/>
                <w:szCs w:val="16"/>
              </w:rPr>
            </w:pPr>
            <w:r w:rsidRPr="00081999">
              <w:rPr>
                <w:sz w:val="16"/>
                <w:szCs w:val="16"/>
              </w:rPr>
              <w:t>106 181.7</w:t>
            </w:r>
          </w:p>
        </w:tc>
        <w:tc>
          <w:tcPr>
            <w:tcW w:w="859" w:type="dxa"/>
          </w:tcPr>
          <w:p w14:paraId="3C35AC71" w14:textId="77777777" w:rsidR="00081999" w:rsidRPr="00081999" w:rsidRDefault="00081999" w:rsidP="00081999">
            <w:pPr>
              <w:ind w:right="-57"/>
              <w:jc w:val="right"/>
              <w:rPr>
                <w:sz w:val="16"/>
                <w:szCs w:val="16"/>
              </w:rPr>
            </w:pPr>
            <w:r w:rsidRPr="00081999">
              <w:rPr>
                <w:sz w:val="16"/>
                <w:szCs w:val="16"/>
              </w:rPr>
              <w:t>2 188.4</w:t>
            </w:r>
          </w:p>
        </w:tc>
        <w:tc>
          <w:tcPr>
            <w:tcW w:w="842" w:type="dxa"/>
          </w:tcPr>
          <w:p w14:paraId="72254D81" w14:textId="77777777" w:rsidR="00081999" w:rsidRPr="00081999" w:rsidRDefault="00081999" w:rsidP="00081999">
            <w:pPr>
              <w:ind w:right="-57"/>
              <w:jc w:val="right"/>
              <w:rPr>
                <w:sz w:val="16"/>
                <w:szCs w:val="16"/>
              </w:rPr>
            </w:pPr>
            <w:r w:rsidRPr="00081999">
              <w:rPr>
                <w:sz w:val="16"/>
                <w:szCs w:val="16"/>
              </w:rPr>
              <w:t>36 932.7</w:t>
            </w:r>
          </w:p>
        </w:tc>
        <w:tc>
          <w:tcPr>
            <w:tcW w:w="859" w:type="dxa"/>
          </w:tcPr>
          <w:p w14:paraId="1C1B41A1" w14:textId="77777777" w:rsidR="00081999" w:rsidRPr="00081999" w:rsidRDefault="00081999" w:rsidP="00081999">
            <w:pPr>
              <w:ind w:right="-57"/>
              <w:jc w:val="right"/>
              <w:rPr>
                <w:sz w:val="16"/>
                <w:szCs w:val="16"/>
              </w:rPr>
            </w:pPr>
            <w:r w:rsidRPr="00081999">
              <w:rPr>
                <w:sz w:val="16"/>
                <w:szCs w:val="16"/>
              </w:rPr>
              <w:t>0.0</w:t>
            </w:r>
          </w:p>
        </w:tc>
        <w:tc>
          <w:tcPr>
            <w:tcW w:w="992" w:type="dxa"/>
          </w:tcPr>
          <w:p w14:paraId="5CB18964" w14:textId="77777777" w:rsidR="00081999" w:rsidRPr="00081999" w:rsidRDefault="00081999" w:rsidP="00081999">
            <w:pPr>
              <w:jc w:val="right"/>
              <w:rPr>
                <w:sz w:val="16"/>
                <w:szCs w:val="16"/>
              </w:rPr>
            </w:pPr>
            <w:r w:rsidRPr="00081999">
              <w:rPr>
                <w:sz w:val="16"/>
                <w:szCs w:val="16"/>
              </w:rPr>
              <w:t>145 302.8</w:t>
            </w:r>
          </w:p>
        </w:tc>
      </w:tr>
      <w:tr w:rsidR="00081999" w:rsidRPr="00081999" w14:paraId="1BD652E3" w14:textId="77777777" w:rsidTr="00BB7F01">
        <w:tc>
          <w:tcPr>
            <w:tcW w:w="1276" w:type="dxa"/>
          </w:tcPr>
          <w:p w14:paraId="2680722A" w14:textId="77777777" w:rsidR="00081999" w:rsidRPr="00081999" w:rsidRDefault="00081999" w:rsidP="00081999">
            <w:pPr>
              <w:rPr>
                <w:sz w:val="16"/>
                <w:szCs w:val="16"/>
              </w:rPr>
            </w:pPr>
            <w:r w:rsidRPr="00081999">
              <w:rPr>
                <w:sz w:val="16"/>
                <w:szCs w:val="16"/>
              </w:rPr>
              <w:t>Invercap</w:t>
            </w:r>
          </w:p>
        </w:tc>
        <w:tc>
          <w:tcPr>
            <w:tcW w:w="992" w:type="dxa"/>
          </w:tcPr>
          <w:p w14:paraId="28A88A87" w14:textId="77777777" w:rsidR="00081999" w:rsidRPr="00081999" w:rsidRDefault="00081999" w:rsidP="00081999">
            <w:pPr>
              <w:ind w:right="-57"/>
              <w:jc w:val="right"/>
              <w:rPr>
                <w:sz w:val="16"/>
                <w:szCs w:val="16"/>
              </w:rPr>
            </w:pPr>
            <w:r w:rsidRPr="00081999">
              <w:rPr>
                <w:sz w:val="16"/>
                <w:szCs w:val="16"/>
              </w:rPr>
              <w:t>157 237.4</w:t>
            </w:r>
          </w:p>
        </w:tc>
        <w:tc>
          <w:tcPr>
            <w:tcW w:w="851" w:type="dxa"/>
          </w:tcPr>
          <w:p w14:paraId="64D72BA4" w14:textId="77777777" w:rsidR="00081999" w:rsidRPr="00081999" w:rsidRDefault="00081999" w:rsidP="00081999">
            <w:pPr>
              <w:ind w:right="-57"/>
              <w:jc w:val="right"/>
              <w:rPr>
                <w:sz w:val="16"/>
                <w:szCs w:val="16"/>
              </w:rPr>
            </w:pPr>
            <w:r w:rsidRPr="00081999">
              <w:rPr>
                <w:sz w:val="16"/>
                <w:szCs w:val="16"/>
              </w:rPr>
              <w:t>548.7</w:t>
            </w:r>
          </w:p>
        </w:tc>
        <w:tc>
          <w:tcPr>
            <w:tcW w:w="850" w:type="dxa"/>
          </w:tcPr>
          <w:p w14:paraId="2DB2212C" w14:textId="77777777" w:rsidR="00081999" w:rsidRPr="00081999" w:rsidRDefault="00081999" w:rsidP="00081999">
            <w:pPr>
              <w:ind w:right="-57"/>
              <w:jc w:val="right"/>
              <w:rPr>
                <w:sz w:val="16"/>
                <w:szCs w:val="16"/>
              </w:rPr>
            </w:pPr>
            <w:r w:rsidRPr="00081999">
              <w:rPr>
                <w:sz w:val="16"/>
                <w:szCs w:val="16"/>
              </w:rPr>
              <w:t>0</w:t>
            </w:r>
          </w:p>
        </w:tc>
        <w:tc>
          <w:tcPr>
            <w:tcW w:w="851" w:type="dxa"/>
          </w:tcPr>
          <w:p w14:paraId="25AF72B9" w14:textId="77777777" w:rsidR="00081999" w:rsidRPr="00081999" w:rsidRDefault="00081999" w:rsidP="00081999">
            <w:pPr>
              <w:ind w:right="-57"/>
              <w:jc w:val="right"/>
              <w:rPr>
                <w:sz w:val="16"/>
                <w:szCs w:val="16"/>
              </w:rPr>
            </w:pPr>
            <w:r w:rsidRPr="00081999">
              <w:rPr>
                <w:sz w:val="16"/>
                <w:szCs w:val="16"/>
              </w:rPr>
              <w:t>1 153.8</w:t>
            </w:r>
          </w:p>
        </w:tc>
        <w:tc>
          <w:tcPr>
            <w:tcW w:w="984" w:type="dxa"/>
          </w:tcPr>
          <w:p w14:paraId="56D0DF99" w14:textId="77777777" w:rsidR="00081999" w:rsidRPr="00081999" w:rsidRDefault="00081999" w:rsidP="00081999">
            <w:pPr>
              <w:ind w:right="-57"/>
              <w:jc w:val="right"/>
              <w:rPr>
                <w:sz w:val="16"/>
                <w:szCs w:val="16"/>
              </w:rPr>
            </w:pPr>
            <w:r w:rsidRPr="00081999">
              <w:rPr>
                <w:sz w:val="16"/>
                <w:szCs w:val="16"/>
              </w:rPr>
              <w:t>158 939.9</w:t>
            </w:r>
          </w:p>
        </w:tc>
        <w:tc>
          <w:tcPr>
            <w:tcW w:w="859" w:type="dxa"/>
          </w:tcPr>
          <w:p w14:paraId="261ED9DC" w14:textId="77777777" w:rsidR="00081999" w:rsidRPr="00081999" w:rsidRDefault="00081999" w:rsidP="00081999">
            <w:pPr>
              <w:ind w:right="-57"/>
              <w:jc w:val="right"/>
              <w:rPr>
                <w:sz w:val="16"/>
                <w:szCs w:val="16"/>
              </w:rPr>
            </w:pPr>
            <w:r w:rsidRPr="00081999">
              <w:rPr>
                <w:sz w:val="16"/>
                <w:szCs w:val="16"/>
              </w:rPr>
              <w:t>920.8</w:t>
            </w:r>
          </w:p>
        </w:tc>
        <w:tc>
          <w:tcPr>
            <w:tcW w:w="842" w:type="dxa"/>
          </w:tcPr>
          <w:p w14:paraId="08988845" w14:textId="77777777" w:rsidR="00081999" w:rsidRPr="00081999" w:rsidRDefault="00081999" w:rsidP="00081999">
            <w:pPr>
              <w:ind w:right="-57"/>
              <w:jc w:val="right"/>
              <w:rPr>
                <w:sz w:val="16"/>
                <w:szCs w:val="16"/>
              </w:rPr>
            </w:pPr>
            <w:r w:rsidRPr="00081999">
              <w:rPr>
                <w:sz w:val="16"/>
                <w:szCs w:val="16"/>
              </w:rPr>
              <w:t>45 295.7</w:t>
            </w:r>
          </w:p>
        </w:tc>
        <w:tc>
          <w:tcPr>
            <w:tcW w:w="859" w:type="dxa"/>
          </w:tcPr>
          <w:p w14:paraId="5EB06D25" w14:textId="77777777" w:rsidR="00081999" w:rsidRPr="00081999" w:rsidRDefault="00081999" w:rsidP="00081999">
            <w:pPr>
              <w:ind w:right="-57"/>
              <w:jc w:val="right"/>
              <w:rPr>
                <w:sz w:val="16"/>
                <w:szCs w:val="16"/>
              </w:rPr>
            </w:pPr>
            <w:r w:rsidRPr="00081999">
              <w:rPr>
                <w:sz w:val="16"/>
                <w:szCs w:val="16"/>
              </w:rPr>
              <w:t>0.0</w:t>
            </w:r>
          </w:p>
        </w:tc>
        <w:tc>
          <w:tcPr>
            <w:tcW w:w="992" w:type="dxa"/>
          </w:tcPr>
          <w:p w14:paraId="3158197B" w14:textId="77777777" w:rsidR="00081999" w:rsidRPr="00081999" w:rsidRDefault="00081999" w:rsidP="00081999">
            <w:pPr>
              <w:jc w:val="right"/>
              <w:rPr>
                <w:sz w:val="16"/>
                <w:szCs w:val="16"/>
              </w:rPr>
            </w:pPr>
            <w:r w:rsidRPr="00081999">
              <w:rPr>
                <w:sz w:val="16"/>
                <w:szCs w:val="16"/>
              </w:rPr>
              <w:t>205 156.4</w:t>
            </w:r>
          </w:p>
        </w:tc>
      </w:tr>
      <w:tr w:rsidR="00081999" w:rsidRPr="00081999" w14:paraId="77752608" w14:textId="77777777" w:rsidTr="00BB7F01">
        <w:tc>
          <w:tcPr>
            <w:tcW w:w="1276" w:type="dxa"/>
          </w:tcPr>
          <w:p w14:paraId="083681B8" w14:textId="77777777" w:rsidR="00081999" w:rsidRPr="00081999" w:rsidRDefault="00081999" w:rsidP="00081999">
            <w:pPr>
              <w:rPr>
                <w:sz w:val="16"/>
                <w:szCs w:val="16"/>
              </w:rPr>
            </w:pPr>
            <w:r w:rsidRPr="00081999">
              <w:rPr>
                <w:sz w:val="16"/>
                <w:szCs w:val="16"/>
              </w:rPr>
              <w:t>Metlife</w:t>
            </w:r>
          </w:p>
        </w:tc>
        <w:tc>
          <w:tcPr>
            <w:tcW w:w="992" w:type="dxa"/>
          </w:tcPr>
          <w:p w14:paraId="2E1B2C9D" w14:textId="77777777" w:rsidR="00081999" w:rsidRPr="00081999" w:rsidRDefault="00081999" w:rsidP="00081999">
            <w:pPr>
              <w:ind w:right="-57"/>
              <w:jc w:val="right"/>
              <w:rPr>
                <w:sz w:val="16"/>
                <w:szCs w:val="16"/>
              </w:rPr>
            </w:pPr>
            <w:r w:rsidRPr="00081999">
              <w:rPr>
                <w:sz w:val="16"/>
                <w:szCs w:val="16"/>
              </w:rPr>
              <w:t>69 802.7</w:t>
            </w:r>
          </w:p>
        </w:tc>
        <w:tc>
          <w:tcPr>
            <w:tcW w:w="851" w:type="dxa"/>
          </w:tcPr>
          <w:p w14:paraId="638B426C" w14:textId="77777777" w:rsidR="00081999" w:rsidRPr="00081999" w:rsidRDefault="00081999" w:rsidP="00081999">
            <w:pPr>
              <w:ind w:right="-57"/>
              <w:jc w:val="right"/>
              <w:rPr>
                <w:sz w:val="16"/>
                <w:szCs w:val="16"/>
              </w:rPr>
            </w:pPr>
            <w:r w:rsidRPr="00081999">
              <w:rPr>
                <w:sz w:val="16"/>
                <w:szCs w:val="16"/>
              </w:rPr>
              <w:t>579.5</w:t>
            </w:r>
          </w:p>
        </w:tc>
        <w:tc>
          <w:tcPr>
            <w:tcW w:w="850" w:type="dxa"/>
          </w:tcPr>
          <w:p w14:paraId="70801CB2" w14:textId="77777777" w:rsidR="00081999" w:rsidRPr="00081999" w:rsidRDefault="00081999" w:rsidP="00081999">
            <w:pPr>
              <w:ind w:right="-57"/>
              <w:jc w:val="right"/>
              <w:rPr>
                <w:sz w:val="16"/>
                <w:szCs w:val="16"/>
              </w:rPr>
            </w:pPr>
            <w:r w:rsidRPr="00081999">
              <w:rPr>
                <w:sz w:val="16"/>
                <w:szCs w:val="16"/>
              </w:rPr>
              <w:t>0</w:t>
            </w:r>
          </w:p>
        </w:tc>
        <w:tc>
          <w:tcPr>
            <w:tcW w:w="851" w:type="dxa"/>
          </w:tcPr>
          <w:p w14:paraId="7DD9D557" w14:textId="77777777" w:rsidR="00081999" w:rsidRPr="00081999" w:rsidRDefault="00081999" w:rsidP="00081999">
            <w:pPr>
              <w:ind w:right="-57"/>
              <w:jc w:val="right"/>
              <w:rPr>
                <w:sz w:val="16"/>
                <w:szCs w:val="16"/>
              </w:rPr>
            </w:pPr>
            <w:r w:rsidRPr="00081999">
              <w:rPr>
                <w:sz w:val="16"/>
                <w:szCs w:val="16"/>
              </w:rPr>
              <w:t>542.2</w:t>
            </w:r>
          </w:p>
        </w:tc>
        <w:tc>
          <w:tcPr>
            <w:tcW w:w="984" w:type="dxa"/>
          </w:tcPr>
          <w:p w14:paraId="28DA7466" w14:textId="77777777" w:rsidR="00081999" w:rsidRPr="00081999" w:rsidRDefault="00081999" w:rsidP="00081999">
            <w:pPr>
              <w:ind w:right="-57"/>
              <w:jc w:val="right"/>
              <w:rPr>
                <w:sz w:val="16"/>
                <w:szCs w:val="16"/>
              </w:rPr>
            </w:pPr>
            <w:r w:rsidRPr="00081999">
              <w:rPr>
                <w:sz w:val="16"/>
                <w:szCs w:val="16"/>
              </w:rPr>
              <w:t>70 924.3</w:t>
            </w:r>
          </w:p>
        </w:tc>
        <w:tc>
          <w:tcPr>
            <w:tcW w:w="859" w:type="dxa"/>
          </w:tcPr>
          <w:p w14:paraId="5FB04864" w14:textId="77777777" w:rsidR="00081999" w:rsidRPr="00081999" w:rsidRDefault="00081999" w:rsidP="00081999">
            <w:pPr>
              <w:ind w:right="-57"/>
              <w:jc w:val="right"/>
              <w:rPr>
                <w:sz w:val="16"/>
                <w:szCs w:val="16"/>
              </w:rPr>
            </w:pPr>
            <w:r w:rsidRPr="00081999">
              <w:rPr>
                <w:sz w:val="16"/>
                <w:szCs w:val="16"/>
              </w:rPr>
              <w:t>4 139.8</w:t>
            </w:r>
          </w:p>
        </w:tc>
        <w:tc>
          <w:tcPr>
            <w:tcW w:w="842" w:type="dxa"/>
          </w:tcPr>
          <w:p w14:paraId="08D60E48" w14:textId="77777777" w:rsidR="00081999" w:rsidRPr="00081999" w:rsidRDefault="00081999" w:rsidP="00081999">
            <w:pPr>
              <w:ind w:right="-57"/>
              <w:jc w:val="right"/>
              <w:rPr>
                <w:sz w:val="16"/>
                <w:szCs w:val="16"/>
              </w:rPr>
            </w:pPr>
            <w:r w:rsidRPr="00081999">
              <w:rPr>
                <w:sz w:val="16"/>
                <w:szCs w:val="16"/>
              </w:rPr>
              <w:t>21 638.5</w:t>
            </w:r>
          </w:p>
        </w:tc>
        <w:tc>
          <w:tcPr>
            <w:tcW w:w="859" w:type="dxa"/>
          </w:tcPr>
          <w:p w14:paraId="16EE8D7E" w14:textId="77777777" w:rsidR="00081999" w:rsidRPr="00081999" w:rsidRDefault="00081999" w:rsidP="00081999">
            <w:pPr>
              <w:ind w:right="-57"/>
              <w:jc w:val="right"/>
              <w:rPr>
                <w:sz w:val="16"/>
                <w:szCs w:val="16"/>
              </w:rPr>
            </w:pPr>
            <w:r w:rsidRPr="00081999">
              <w:rPr>
                <w:sz w:val="16"/>
                <w:szCs w:val="16"/>
              </w:rPr>
              <w:t>0.0</w:t>
            </w:r>
          </w:p>
        </w:tc>
        <w:tc>
          <w:tcPr>
            <w:tcW w:w="992" w:type="dxa"/>
          </w:tcPr>
          <w:p w14:paraId="58B6CA20" w14:textId="77777777" w:rsidR="00081999" w:rsidRPr="00081999" w:rsidRDefault="00081999" w:rsidP="00081999">
            <w:pPr>
              <w:jc w:val="right"/>
              <w:rPr>
                <w:sz w:val="16"/>
                <w:szCs w:val="16"/>
              </w:rPr>
            </w:pPr>
            <w:r w:rsidRPr="00081999">
              <w:rPr>
                <w:sz w:val="16"/>
                <w:szCs w:val="16"/>
              </w:rPr>
              <w:t>96 702.7</w:t>
            </w:r>
          </w:p>
        </w:tc>
      </w:tr>
      <w:tr w:rsidR="00081999" w:rsidRPr="00081999" w14:paraId="06107EF3" w14:textId="77777777" w:rsidTr="00BB7F01">
        <w:tc>
          <w:tcPr>
            <w:tcW w:w="1276" w:type="dxa"/>
          </w:tcPr>
          <w:p w14:paraId="6440FD23" w14:textId="77777777" w:rsidR="00081999" w:rsidRPr="00081999" w:rsidRDefault="00081999" w:rsidP="00081999">
            <w:pPr>
              <w:rPr>
                <w:sz w:val="16"/>
                <w:szCs w:val="16"/>
              </w:rPr>
            </w:pPr>
            <w:r w:rsidRPr="00081999">
              <w:rPr>
                <w:sz w:val="16"/>
                <w:szCs w:val="16"/>
              </w:rPr>
              <w:t>PensionISSSTE</w:t>
            </w:r>
          </w:p>
        </w:tc>
        <w:tc>
          <w:tcPr>
            <w:tcW w:w="992" w:type="dxa"/>
          </w:tcPr>
          <w:p w14:paraId="2C3C07D9" w14:textId="77777777" w:rsidR="00081999" w:rsidRPr="00081999" w:rsidRDefault="00081999" w:rsidP="00081999">
            <w:pPr>
              <w:ind w:right="-57"/>
              <w:jc w:val="right"/>
              <w:rPr>
                <w:sz w:val="16"/>
                <w:szCs w:val="16"/>
              </w:rPr>
            </w:pPr>
            <w:r w:rsidRPr="00081999">
              <w:rPr>
                <w:sz w:val="16"/>
                <w:szCs w:val="16"/>
              </w:rPr>
              <w:t>106 609.7</w:t>
            </w:r>
          </w:p>
        </w:tc>
        <w:tc>
          <w:tcPr>
            <w:tcW w:w="851" w:type="dxa"/>
          </w:tcPr>
          <w:p w14:paraId="1605EB66" w14:textId="77777777" w:rsidR="00081999" w:rsidRPr="00081999" w:rsidRDefault="00081999" w:rsidP="00081999">
            <w:pPr>
              <w:ind w:right="-57"/>
              <w:jc w:val="right"/>
              <w:rPr>
                <w:sz w:val="16"/>
                <w:szCs w:val="16"/>
              </w:rPr>
            </w:pPr>
            <w:r w:rsidRPr="00081999">
              <w:rPr>
                <w:sz w:val="16"/>
                <w:szCs w:val="16"/>
              </w:rPr>
              <w:t>7 035.7</w:t>
            </w:r>
          </w:p>
        </w:tc>
        <w:tc>
          <w:tcPr>
            <w:tcW w:w="850" w:type="dxa"/>
          </w:tcPr>
          <w:p w14:paraId="7C245A2E" w14:textId="77777777" w:rsidR="00081999" w:rsidRPr="00081999" w:rsidRDefault="00081999" w:rsidP="00081999">
            <w:pPr>
              <w:ind w:right="-57"/>
              <w:jc w:val="right"/>
              <w:rPr>
                <w:sz w:val="16"/>
                <w:szCs w:val="16"/>
              </w:rPr>
            </w:pPr>
            <w:r w:rsidRPr="00081999">
              <w:rPr>
                <w:sz w:val="16"/>
                <w:szCs w:val="16"/>
              </w:rPr>
              <w:t>0</w:t>
            </w:r>
          </w:p>
        </w:tc>
        <w:tc>
          <w:tcPr>
            <w:tcW w:w="851" w:type="dxa"/>
          </w:tcPr>
          <w:p w14:paraId="19A48469" w14:textId="77777777" w:rsidR="00081999" w:rsidRPr="00081999" w:rsidRDefault="00081999" w:rsidP="00081999">
            <w:pPr>
              <w:ind w:right="-57"/>
              <w:jc w:val="right"/>
              <w:rPr>
                <w:sz w:val="16"/>
                <w:szCs w:val="16"/>
              </w:rPr>
            </w:pPr>
            <w:r w:rsidRPr="00081999">
              <w:rPr>
                <w:sz w:val="16"/>
                <w:szCs w:val="16"/>
              </w:rPr>
              <w:t>988.1</w:t>
            </w:r>
          </w:p>
        </w:tc>
        <w:tc>
          <w:tcPr>
            <w:tcW w:w="984" w:type="dxa"/>
          </w:tcPr>
          <w:p w14:paraId="5778609F" w14:textId="77777777" w:rsidR="00081999" w:rsidRPr="00081999" w:rsidRDefault="00081999" w:rsidP="00081999">
            <w:pPr>
              <w:ind w:right="-57"/>
              <w:jc w:val="right"/>
              <w:rPr>
                <w:sz w:val="16"/>
                <w:szCs w:val="16"/>
              </w:rPr>
            </w:pPr>
            <w:r w:rsidRPr="00081999">
              <w:rPr>
                <w:sz w:val="16"/>
                <w:szCs w:val="16"/>
              </w:rPr>
              <w:t>114 633.5</w:t>
            </w:r>
          </w:p>
        </w:tc>
        <w:tc>
          <w:tcPr>
            <w:tcW w:w="859" w:type="dxa"/>
          </w:tcPr>
          <w:p w14:paraId="401FA19B" w14:textId="77777777" w:rsidR="00081999" w:rsidRPr="00081999" w:rsidRDefault="00081999" w:rsidP="00081999">
            <w:pPr>
              <w:ind w:right="-57"/>
              <w:jc w:val="right"/>
              <w:rPr>
                <w:sz w:val="16"/>
                <w:szCs w:val="16"/>
              </w:rPr>
            </w:pPr>
            <w:r w:rsidRPr="00081999">
              <w:rPr>
                <w:sz w:val="16"/>
                <w:szCs w:val="16"/>
              </w:rPr>
              <w:t>101 333.9</w:t>
            </w:r>
          </w:p>
        </w:tc>
        <w:tc>
          <w:tcPr>
            <w:tcW w:w="842" w:type="dxa"/>
          </w:tcPr>
          <w:p w14:paraId="18879C17" w14:textId="77777777" w:rsidR="00081999" w:rsidRPr="00081999" w:rsidRDefault="00081999" w:rsidP="00081999">
            <w:pPr>
              <w:ind w:right="-57"/>
              <w:jc w:val="right"/>
              <w:rPr>
                <w:sz w:val="16"/>
                <w:szCs w:val="16"/>
              </w:rPr>
            </w:pPr>
            <w:r w:rsidRPr="00081999">
              <w:rPr>
                <w:sz w:val="16"/>
                <w:szCs w:val="16"/>
              </w:rPr>
              <w:t>111 039.9</w:t>
            </w:r>
          </w:p>
        </w:tc>
        <w:tc>
          <w:tcPr>
            <w:tcW w:w="859" w:type="dxa"/>
          </w:tcPr>
          <w:p w14:paraId="257BDD99" w14:textId="77777777" w:rsidR="00081999" w:rsidRPr="00081999" w:rsidRDefault="00081999" w:rsidP="00081999">
            <w:pPr>
              <w:ind w:right="-57"/>
              <w:jc w:val="right"/>
              <w:rPr>
                <w:sz w:val="16"/>
                <w:szCs w:val="16"/>
              </w:rPr>
            </w:pPr>
            <w:r w:rsidRPr="00081999">
              <w:rPr>
                <w:sz w:val="16"/>
                <w:szCs w:val="16"/>
              </w:rPr>
              <w:t>0.0</w:t>
            </w:r>
          </w:p>
        </w:tc>
        <w:tc>
          <w:tcPr>
            <w:tcW w:w="992" w:type="dxa"/>
          </w:tcPr>
          <w:p w14:paraId="1BF0F5C0" w14:textId="77777777" w:rsidR="00081999" w:rsidRPr="00081999" w:rsidRDefault="00081999" w:rsidP="00081999">
            <w:pPr>
              <w:jc w:val="right"/>
              <w:rPr>
                <w:sz w:val="16"/>
                <w:szCs w:val="16"/>
              </w:rPr>
            </w:pPr>
            <w:r w:rsidRPr="00081999">
              <w:rPr>
                <w:sz w:val="16"/>
                <w:szCs w:val="16"/>
              </w:rPr>
              <w:t>327 007.3</w:t>
            </w:r>
          </w:p>
        </w:tc>
      </w:tr>
      <w:tr w:rsidR="00081999" w:rsidRPr="00081999" w14:paraId="0425EEBA" w14:textId="77777777" w:rsidTr="00BB7F01">
        <w:tc>
          <w:tcPr>
            <w:tcW w:w="1276" w:type="dxa"/>
          </w:tcPr>
          <w:p w14:paraId="41E2EC98" w14:textId="77777777" w:rsidR="00081999" w:rsidRPr="00081999" w:rsidRDefault="00081999" w:rsidP="00081999">
            <w:pPr>
              <w:rPr>
                <w:sz w:val="16"/>
                <w:szCs w:val="16"/>
              </w:rPr>
            </w:pPr>
            <w:r w:rsidRPr="00081999">
              <w:rPr>
                <w:sz w:val="16"/>
                <w:szCs w:val="16"/>
              </w:rPr>
              <w:t>Principal</w:t>
            </w:r>
          </w:p>
        </w:tc>
        <w:tc>
          <w:tcPr>
            <w:tcW w:w="992" w:type="dxa"/>
          </w:tcPr>
          <w:p w14:paraId="399B6586" w14:textId="77777777" w:rsidR="00081999" w:rsidRPr="00081999" w:rsidRDefault="00081999" w:rsidP="00081999">
            <w:pPr>
              <w:ind w:right="-57"/>
              <w:jc w:val="right"/>
              <w:rPr>
                <w:sz w:val="16"/>
                <w:szCs w:val="16"/>
              </w:rPr>
            </w:pPr>
            <w:r w:rsidRPr="00081999">
              <w:rPr>
                <w:sz w:val="16"/>
                <w:szCs w:val="16"/>
              </w:rPr>
              <w:t>151 580.8</w:t>
            </w:r>
          </w:p>
        </w:tc>
        <w:tc>
          <w:tcPr>
            <w:tcW w:w="851" w:type="dxa"/>
          </w:tcPr>
          <w:p w14:paraId="1992AB83" w14:textId="77777777" w:rsidR="00081999" w:rsidRPr="00081999" w:rsidRDefault="00081999" w:rsidP="00081999">
            <w:pPr>
              <w:ind w:right="-57"/>
              <w:jc w:val="right"/>
              <w:rPr>
                <w:sz w:val="16"/>
                <w:szCs w:val="16"/>
              </w:rPr>
            </w:pPr>
            <w:r w:rsidRPr="00081999">
              <w:rPr>
                <w:sz w:val="16"/>
                <w:szCs w:val="16"/>
              </w:rPr>
              <w:t>581.4</w:t>
            </w:r>
          </w:p>
        </w:tc>
        <w:tc>
          <w:tcPr>
            <w:tcW w:w="850" w:type="dxa"/>
          </w:tcPr>
          <w:p w14:paraId="2ACA6E4C" w14:textId="77777777" w:rsidR="00081999" w:rsidRPr="00081999" w:rsidRDefault="00081999" w:rsidP="00081999">
            <w:pPr>
              <w:ind w:right="-57"/>
              <w:jc w:val="right"/>
              <w:rPr>
                <w:sz w:val="16"/>
                <w:szCs w:val="16"/>
              </w:rPr>
            </w:pPr>
            <w:r w:rsidRPr="00081999">
              <w:rPr>
                <w:sz w:val="16"/>
                <w:szCs w:val="16"/>
              </w:rPr>
              <w:t>0</w:t>
            </w:r>
          </w:p>
        </w:tc>
        <w:tc>
          <w:tcPr>
            <w:tcW w:w="851" w:type="dxa"/>
          </w:tcPr>
          <w:p w14:paraId="32F62BCF" w14:textId="77777777" w:rsidR="00081999" w:rsidRPr="00081999" w:rsidRDefault="00081999" w:rsidP="00081999">
            <w:pPr>
              <w:ind w:right="-57"/>
              <w:jc w:val="right"/>
              <w:rPr>
                <w:sz w:val="16"/>
                <w:szCs w:val="16"/>
              </w:rPr>
            </w:pPr>
            <w:r w:rsidRPr="00081999">
              <w:rPr>
                <w:sz w:val="16"/>
                <w:szCs w:val="16"/>
              </w:rPr>
              <w:t>1 342.8</w:t>
            </w:r>
          </w:p>
        </w:tc>
        <w:tc>
          <w:tcPr>
            <w:tcW w:w="984" w:type="dxa"/>
          </w:tcPr>
          <w:p w14:paraId="28FB61A4" w14:textId="77777777" w:rsidR="00081999" w:rsidRPr="00081999" w:rsidRDefault="00081999" w:rsidP="00081999">
            <w:pPr>
              <w:ind w:right="-57"/>
              <w:jc w:val="right"/>
              <w:rPr>
                <w:sz w:val="16"/>
                <w:szCs w:val="16"/>
              </w:rPr>
            </w:pPr>
            <w:r w:rsidRPr="00081999">
              <w:rPr>
                <w:sz w:val="16"/>
                <w:szCs w:val="16"/>
              </w:rPr>
              <w:t>153 505.0</w:t>
            </w:r>
          </w:p>
        </w:tc>
        <w:tc>
          <w:tcPr>
            <w:tcW w:w="859" w:type="dxa"/>
          </w:tcPr>
          <w:p w14:paraId="4EDDA852" w14:textId="77777777" w:rsidR="00081999" w:rsidRPr="00081999" w:rsidRDefault="00081999" w:rsidP="00081999">
            <w:pPr>
              <w:ind w:right="-57"/>
              <w:jc w:val="right"/>
              <w:rPr>
                <w:sz w:val="16"/>
                <w:szCs w:val="16"/>
              </w:rPr>
            </w:pPr>
            <w:r w:rsidRPr="00081999">
              <w:rPr>
                <w:sz w:val="16"/>
                <w:szCs w:val="16"/>
              </w:rPr>
              <w:t>2 914.2</w:t>
            </w:r>
          </w:p>
        </w:tc>
        <w:tc>
          <w:tcPr>
            <w:tcW w:w="842" w:type="dxa"/>
          </w:tcPr>
          <w:p w14:paraId="288F202A" w14:textId="77777777" w:rsidR="00081999" w:rsidRPr="00081999" w:rsidRDefault="00081999" w:rsidP="00081999">
            <w:pPr>
              <w:ind w:right="-57"/>
              <w:jc w:val="right"/>
              <w:rPr>
                <w:sz w:val="16"/>
                <w:szCs w:val="16"/>
              </w:rPr>
            </w:pPr>
            <w:r w:rsidRPr="00081999">
              <w:rPr>
                <w:sz w:val="16"/>
                <w:szCs w:val="16"/>
              </w:rPr>
              <w:t>53 414.4</w:t>
            </w:r>
          </w:p>
        </w:tc>
        <w:tc>
          <w:tcPr>
            <w:tcW w:w="859" w:type="dxa"/>
          </w:tcPr>
          <w:p w14:paraId="15D1C4F3" w14:textId="77777777" w:rsidR="00081999" w:rsidRPr="00081999" w:rsidRDefault="00081999" w:rsidP="00081999">
            <w:pPr>
              <w:ind w:right="-57"/>
              <w:jc w:val="right"/>
              <w:rPr>
                <w:sz w:val="16"/>
                <w:szCs w:val="16"/>
              </w:rPr>
            </w:pPr>
            <w:r w:rsidRPr="00081999">
              <w:rPr>
                <w:sz w:val="16"/>
                <w:szCs w:val="16"/>
              </w:rPr>
              <w:t>0.0</w:t>
            </w:r>
          </w:p>
        </w:tc>
        <w:tc>
          <w:tcPr>
            <w:tcW w:w="992" w:type="dxa"/>
          </w:tcPr>
          <w:p w14:paraId="2B7D6204" w14:textId="77777777" w:rsidR="00081999" w:rsidRPr="00081999" w:rsidRDefault="00081999" w:rsidP="00081999">
            <w:pPr>
              <w:jc w:val="right"/>
              <w:rPr>
                <w:sz w:val="16"/>
                <w:szCs w:val="16"/>
              </w:rPr>
            </w:pPr>
            <w:r w:rsidRPr="00081999">
              <w:rPr>
                <w:sz w:val="16"/>
                <w:szCs w:val="16"/>
              </w:rPr>
              <w:t>209 833.6</w:t>
            </w:r>
          </w:p>
        </w:tc>
      </w:tr>
      <w:tr w:rsidR="00081999" w:rsidRPr="00081999" w14:paraId="6ECB23CC" w14:textId="77777777" w:rsidTr="00BB7F01">
        <w:tc>
          <w:tcPr>
            <w:tcW w:w="1276" w:type="dxa"/>
          </w:tcPr>
          <w:p w14:paraId="3E43FCAF" w14:textId="77777777" w:rsidR="00081999" w:rsidRPr="00081999" w:rsidRDefault="00081999" w:rsidP="00081999">
            <w:pPr>
              <w:rPr>
                <w:sz w:val="16"/>
                <w:szCs w:val="16"/>
              </w:rPr>
            </w:pPr>
            <w:r w:rsidRPr="00081999">
              <w:rPr>
                <w:sz w:val="16"/>
                <w:szCs w:val="16"/>
              </w:rPr>
              <w:t>Profuturo GNP</w:t>
            </w:r>
          </w:p>
        </w:tc>
        <w:tc>
          <w:tcPr>
            <w:tcW w:w="992" w:type="dxa"/>
          </w:tcPr>
          <w:p w14:paraId="5141985F" w14:textId="77777777" w:rsidR="00081999" w:rsidRPr="00081999" w:rsidRDefault="00081999" w:rsidP="00081999">
            <w:pPr>
              <w:ind w:right="-57"/>
              <w:jc w:val="right"/>
              <w:rPr>
                <w:sz w:val="16"/>
                <w:szCs w:val="16"/>
              </w:rPr>
            </w:pPr>
            <w:r w:rsidRPr="00081999">
              <w:rPr>
                <w:sz w:val="16"/>
                <w:szCs w:val="16"/>
              </w:rPr>
              <w:t>300 434.1</w:t>
            </w:r>
          </w:p>
        </w:tc>
        <w:tc>
          <w:tcPr>
            <w:tcW w:w="851" w:type="dxa"/>
          </w:tcPr>
          <w:p w14:paraId="5C7F4356" w14:textId="77777777" w:rsidR="00081999" w:rsidRPr="00081999" w:rsidRDefault="00081999" w:rsidP="00081999">
            <w:pPr>
              <w:ind w:right="-57"/>
              <w:jc w:val="right"/>
              <w:rPr>
                <w:sz w:val="16"/>
                <w:szCs w:val="16"/>
              </w:rPr>
            </w:pPr>
            <w:r w:rsidRPr="00081999">
              <w:rPr>
                <w:sz w:val="16"/>
                <w:szCs w:val="16"/>
              </w:rPr>
              <w:t>2 053.9</w:t>
            </w:r>
          </w:p>
        </w:tc>
        <w:tc>
          <w:tcPr>
            <w:tcW w:w="850" w:type="dxa"/>
          </w:tcPr>
          <w:p w14:paraId="19471761" w14:textId="77777777" w:rsidR="00081999" w:rsidRPr="00081999" w:rsidRDefault="00081999" w:rsidP="00081999">
            <w:pPr>
              <w:ind w:right="-57"/>
              <w:jc w:val="right"/>
              <w:rPr>
                <w:sz w:val="16"/>
                <w:szCs w:val="16"/>
              </w:rPr>
            </w:pPr>
            <w:r w:rsidRPr="00081999">
              <w:rPr>
                <w:sz w:val="16"/>
                <w:szCs w:val="16"/>
              </w:rPr>
              <w:t>0</w:t>
            </w:r>
          </w:p>
        </w:tc>
        <w:tc>
          <w:tcPr>
            <w:tcW w:w="851" w:type="dxa"/>
          </w:tcPr>
          <w:p w14:paraId="5758B59C" w14:textId="77777777" w:rsidR="00081999" w:rsidRPr="00081999" w:rsidRDefault="00081999" w:rsidP="00081999">
            <w:pPr>
              <w:ind w:right="-57"/>
              <w:jc w:val="right"/>
              <w:rPr>
                <w:sz w:val="16"/>
                <w:szCs w:val="16"/>
              </w:rPr>
            </w:pPr>
            <w:r w:rsidRPr="00081999">
              <w:rPr>
                <w:sz w:val="16"/>
                <w:szCs w:val="16"/>
              </w:rPr>
              <w:t>2 226.3</w:t>
            </w:r>
          </w:p>
        </w:tc>
        <w:tc>
          <w:tcPr>
            <w:tcW w:w="984" w:type="dxa"/>
          </w:tcPr>
          <w:p w14:paraId="013C058E" w14:textId="77777777" w:rsidR="00081999" w:rsidRPr="00081999" w:rsidRDefault="00081999" w:rsidP="00081999">
            <w:pPr>
              <w:ind w:right="-57"/>
              <w:jc w:val="right"/>
              <w:rPr>
                <w:sz w:val="16"/>
                <w:szCs w:val="16"/>
              </w:rPr>
            </w:pPr>
            <w:r w:rsidRPr="00081999">
              <w:rPr>
                <w:sz w:val="16"/>
                <w:szCs w:val="16"/>
              </w:rPr>
              <w:t>304 714.3</w:t>
            </w:r>
          </w:p>
        </w:tc>
        <w:tc>
          <w:tcPr>
            <w:tcW w:w="859" w:type="dxa"/>
          </w:tcPr>
          <w:p w14:paraId="76ADD0EE" w14:textId="77777777" w:rsidR="00081999" w:rsidRPr="00081999" w:rsidRDefault="00081999" w:rsidP="00081999">
            <w:pPr>
              <w:ind w:right="-57"/>
              <w:jc w:val="right"/>
              <w:rPr>
                <w:sz w:val="16"/>
                <w:szCs w:val="16"/>
              </w:rPr>
            </w:pPr>
            <w:r w:rsidRPr="00081999">
              <w:rPr>
                <w:sz w:val="16"/>
                <w:szCs w:val="16"/>
              </w:rPr>
              <w:t>6 495.4</w:t>
            </w:r>
          </w:p>
        </w:tc>
        <w:tc>
          <w:tcPr>
            <w:tcW w:w="842" w:type="dxa"/>
          </w:tcPr>
          <w:p w14:paraId="05352B15" w14:textId="77777777" w:rsidR="00081999" w:rsidRPr="00081999" w:rsidRDefault="00081999" w:rsidP="00081999">
            <w:pPr>
              <w:ind w:right="-57"/>
              <w:jc w:val="right"/>
              <w:rPr>
                <w:sz w:val="16"/>
                <w:szCs w:val="16"/>
              </w:rPr>
            </w:pPr>
            <w:r w:rsidRPr="00081999">
              <w:rPr>
                <w:sz w:val="16"/>
                <w:szCs w:val="16"/>
              </w:rPr>
              <w:t>83 355.1</w:t>
            </w:r>
          </w:p>
        </w:tc>
        <w:tc>
          <w:tcPr>
            <w:tcW w:w="859" w:type="dxa"/>
          </w:tcPr>
          <w:p w14:paraId="63C283F1" w14:textId="77777777" w:rsidR="00081999" w:rsidRPr="00081999" w:rsidRDefault="00081999" w:rsidP="00081999">
            <w:pPr>
              <w:ind w:right="-57"/>
              <w:jc w:val="right"/>
              <w:rPr>
                <w:sz w:val="16"/>
                <w:szCs w:val="16"/>
              </w:rPr>
            </w:pPr>
            <w:r w:rsidRPr="00081999">
              <w:rPr>
                <w:sz w:val="16"/>
                <w:szCs w:val="16"/>
              </w:rPr>
              <w:t>0.0</w:t>
            </w:r>
          </w:p>
        </w:tc>
        <w:tc>
          <w:tcPr>
            <w:tcW w:w="992" w:type="dxa"/>
          </w:tcPr>
          <w:p w14:paraId="384CA10C" w14:textId="77777777" w:rsidR="00081999" w:rsidRPr="00081999" w:rsidRDefault="00081999" w:rsidP="00081999">
            <w:pPr>
              <w:jc w:val="right"/>
              <w:rPr>
                <w:sz w:val="16"/>
                <w:szCs w:val="16"/>
              </w:rPr>
            </w:pPr>
            <w:r w:rsidRPr="00081999">
              <w:rPr>
                <w:sz w:val="16"/>
                <w:szCs w:val="16"/>
              </w:rPr>
              <w:t>394 564.8</w:t>
            </w:r>
          </w:p>
        </w:tc>
      </w:tr>
      <w:tr w:rsidR="00081999" w:rsidRPr="00081999" w14:paraId="64C15ABD" w14:textId="77777777" w:rsidTr="00BB7F01">
        <w:tc>
          <w:tcPr>
            <w:tcW w:w="1276" w:type="dxa"/>
          </w:tcPr>
          <w:p w14:paraId="02292C2B" w14:textId="77777777" w:rsidR="00081999" w:rsidRPr="00081999" w:rsidRDefault="00081999" w:rsidP="00081999">
            <w:pPr>
              <w:rPr>
                <w:sz w:val="16"/>
                <w:szCs w:val="16"/>
              </w:rPr>
            </w:pPr>
            <w:r w:rsidRPr="00081999">
              <w:rPr>
                <w:sz w:val="16"/>
                <w:szCs w:val="16"/>
              </w:rPr>
              <w:t>SURA</w:t>
            </w:r>
          </w:p>
        </w:tc>
        <w:tc>
          <w:tcPr>
            <w:tcW w:w="992" w:type="dxa"/>
          </w:tcPr>
          <w:p w14:paraId="00902632" w14:textId="77777777" w:rsidR="00081999" w:rsidRPr="00081999" w:rsidRDefault="00081999" w:rsidP="00081999">
            <w:pPr>
              <w:ind w:right="-57"/>
              <w:jc w:val="right"/>
              <w:rPr>
                <w:sz w:val="16"/>
                <w:szCs w:val="16"/>
              </w:rPr>
            </w:pPr>
            <w:r w:rsidRPr="00081999">
              <w:rPr>
                <w:sz w:val="16"/>
                <w:szCs w:val="16"/>
              </w:rPr>
              <w:t>357 519.7</w:t>
            </w:r>
          </w:p>
        </w:tc>
        <w:tc>
          <w:tcPr>
            <w:tcW w:w="851" w:type="dxa"/>
          </w:tcPr>
          <w:p w14:paraId="351604F7" w14:textId="77777777" w:rsidR="00081999" w:rsidRPr="00081999" w:rsidRDefault="00081999" w:rsidP="00081999">
            <w:pPr>
              <w:ind w:right="-57"/>
              <w:jc w:val="right"/>
              <w:rPr>
                <w:sz w:val="16"/>
                <w:szCs w:val="16"/>
              </w:rPr>
            </w:pPr>
            <w:r w:rsidRPr="00081999">
              <w:rPr>
                <w:sz w:val="16"/>
                <w:szCs w:val="16"/>
              </w:rPr>
              <w:t>2 752.6</w:t>
            </w:r>
          </w:p>
        </w:tc>
        <w:tc>
          <w:tcPr>
            <w:tcW w:w="850" w:type="dxa"/>
          </w:tcPr>
          <w:p w14:paraId="28C93611" w14:textId="77777777" w:rsidR="00081999" w:rsidRPr="00081999" w:rsidRDefault="00081999" w:rsidP="00081999">
            <w:pPr>
              <w:ind w:right="-57"/>
              <w:jc w:val="right"/>
              <w:rPr>
                <w:sz w:val="16"/>
                <w:szCs w:val="16"/>
              </w:rPr>
            </w:pPr>
            <w:r w:rsidRPr="00081999">
              <w:rPr>
                <w:sz w:val="16"/>
                <w:szCs w:val="16"/>
              </w:rPr>
              <w:t>0</w:t>
            </w:r>
          </w:p>
        </w:tc>
        <w:tc>
          <w:tcPr>
            <w:tcW w:w="851" w:type="dxa"/>
          </w:tcPr>
          <w:p w14:paraId="4A2BF5AA" w14:textId="77777777" w:rsidR="00081999" w:rsidRPr="00081999" w:rsidRDefault="00081999" w:rsidP="00081999">
            <w:pPr>
              <w:ind w:right="-57"/>
              <w:jc w:val="right"/>
              <w:rPr>
                <w:sz w:val="16"/>
                <w:szCs w:val="16"/>
              </w:rPr>
            </w:pPr>
            <w:r w:rsidRPr="00081999">
              <w:rPr>
                <w:sz w:val="16"/>
                <w:szCs w:val="16"/>
              </w:rPr>
              <w:t>2 889.9</w:t>
            </w:r>
          </w:p>
        </w:tc>
        <w:tc>
          <w:tcPr>
            <w:tcW w:w="984" w:type="dxa"/>
          </w:tcPr>
          <w:p w14:paraId="137C67E5" w14:textId="77777777" w:rsidR="00081999" w:rsidRPr="00081999" w:rsidRDefault="00081999" w:rsidP="00081999">
            <w:pPr>
              <w:ind w:right="-57"/>
              <w:jc w:val="right"/>
              <w:rPr>
                <w:sz w:val="16"/>
                <w:szCs w:val="16"/>
              </w:rPr>
            </w:pPr>
            <w:r w:rsidRPr="00081999">
              <w:rPr>
                <w:sz w:val="16"/>
                <w:szCs w:val="16"/>
              </w:rPr>
              <w:t>363 162.2</w:t>
            </w:r>
          </w:p>
        </w:tc>
        <w:tc>
          <w:tcPr>
            <w:tcW w:w="859" w:type="dxa"/>
          </w:tcPr>
          <w:p w14:paraId="26AA71FE" w14:textId="77777777" w:rsidR="00081999" w:rsidRPr="00081999" w:rsidRDefault="00081999" w:rsidP="00081999">
            <w:pPr>
              <w:ind w:right="-57"/>
              <w:jc w:val="right"/>
              <w:rPr>
                <w:sz w:val="16"/>
                <w:szCs w:val="16"/>
              </w:rPr>
            </w:pPr>
            <w:r w:rsidRPr="00081999">
              <w:rPr>
                <w:sz w:val="16"/>
                <w:szCs w:val="16"/>
              </w:rPr>
              <w:t>4 930.1</w:t>
            </w:r>
          </w:p>
        </w:tc>
        <w:tc>
          <w:tcPr>
            <w:tcW w:w="842" w:type="dxa"/>
          </w:tcPr>
          <w:p w14:paraId="73E3E0C8" w14:textId="77777777" w:rsidR="00081999" w:rsidRPr="00081999" w:rsidRDefault="00081999" w:rsidP="00081999">
            <w:pPr>
              <w:ind w:right="-57"/>
              <w:jc w:val="right"/>
              <w:rPr>
                <w:sz w:val="16"/>
                <w:szCs w:val="16"/>
              </w:rPr>
            </w:pPr>
            <w:r w:rsidRPr="00081999">
              <w:rPr>
                <w:sz w:val="16"/>
                <w:szCs w:val="16"/>
              </w:rPr>
              <w:t>111 306.0</w:t>
            </w:r>
          </w:p>
        </w:tc>
        <w:tc>
          <w:tcPr>
            <w:tcW w:w="859" w:type="dxa"/>
          </w:tcPr>
          <w:p w14:paraId="08334BC0" w14:textId="77777777" w:rsidR="00081999" w:rsidRPr="00081999" w:rsidRDefault="00081999" w:rsidP="00081999">
            <w:pPr>
              <w:ind w:right="-57"/>
              <w:jc w:val="right"/>
              <w:rPr>
                <w:sz w:val="16"/>
                <w:szCs w:val="16"/>
              </w:rPr>
            </w:pPr>
            <w:r w:rsidRPr="00081999">
              <w:rPr>
                <w:sz w:val="16"/>
                <w:szCs w:val="16"/>
              </w:rPr>
              <w:t>0.0</w:t>
            </w:r>
          </w:p>
        </w:tc>
        <w:tc>
          <w:tcPr>
            <w:tcW w:w="992" w:type="dxa"/>
          </w:tcPr>
          <w:p w14:paraId="32EDB83A" w14:textId="77777777" w:rsidR="00081999" w:rsidRPr="00081999" w:rsidRDefault="00081999" w:rsidP="00081999">
            <w:pPr>
              <w:jc w:val="right"/>
              <w:rPr>
                <w:sz w:val="16"/>
                <w:szCs w:val="16"/>
              </w:rPr>
            </w:pPr>
            <w:r w:rsidRPr="00081999">
              <w:rPr>
                <w:sz w:val="16"/>
                <w:szCs w:val="16"/>
              </w:rPr>
              <w:t>479 398.3</w:t>
            </w:r>
          </w:p>
        </w:tc>
      </w:tr>
      <w:tr w:rsidR="00081999" w:rsidRPr="00081999" w14:paraId="5B6B7AC0" w14:textId="77777777" w:rsidTr="00BB7F01">
        <w:tc>
          <w:tcPr>
            <w:tcW w:w="1276" w:type="dxa"/>
          </w:tcPr>
          <w:p w14:paraId="68C30469" w14:textId="77777777" w:rsidR="00081999" w:rsidRPr="00081999" w:rsidRDefault="00081999" w:rsidP="00081999">
            <w:pPr>
              <w:rPr>
                <w:sz w:val="16"/>
                <w:szCs w:val="16"/>
              </w:rPr>
            </w:pPr>
            <w:r w:rsidRPr="00081999">
              <w:rPr>
                <w:sz w:val="16"/>
                <w:szCs w:val="16"/>
              </w:rPr>
              <w:t>XXI Banorte</w:t>
            </w:r>
          </w:p>
        </w:tc>
        <w:tc>
          <w:tcPr>
            <w:tcW w:w="992" w:type="dxa"/>
          </w:tcPr>
          <w:p w14:paraId="1C8D24BC" w14:textId="77777777" w:rsidR="00081999" w:rsidRPr="00081999" w:rsidRDefault="00081999" w:rsidP="00081999">
            <w:pPr>
              <w:ind w:right="-57"/>
              <w:jc w:val="right"/>
              <w:rPr>
                <w:sz w:val="16"/>
                <w:szCs w:val="16"/>
              </w:rPr>
            </w:pPr>
            <w:r w:rsidRPr="00081999">
              <w:rPr>
                <w:sz w:val="16"/>
                <w:szCs w:val="16"/>
              </w:rPr>
              <w:t>573 982.3</w:t>
            </w:r>
          </w:p>
        </w:tc>
        <w:tc>
          <w:tcPr>
            <w:tcW w:w="851" w:type="dxa"/>
          </w:tcPr>
          <w:p w14:paraId="6DC70C0C" w14:textId="77777777" w:rsidR="00081999" w:rsidRPr="00081999" w:rsidRDefault="00081999" w:rsidP="00081999">
            <w:pPr>
              <w:ind w:right="-57"/>
              <w:jc w:val="right"/>
              <w:rPr>
                <w:sz w:val="16"/>
                <w:szCs w:val="16"/>
              </w:rPr>
            </w:pPr>
            <w:r w:rsidRPr="00081999">
              <w:rPr>
                <w:sz w:val="16"/>
                <w:szCs w:val="16"/>
              </w:rPr>
              <w:t>9 970.2</w:t>
            </w:r>
          </w:p>
        </w:tc>
        <w:tc>
          <w:tcPr>
            <w:tcW w:w="850" w:type="dxa"/>
          </w:tcPr>
          <w:p w14:paraId="08261AB4" w14:textId="77777777" w:rsidR="00081999" w:rsidRPr="00081999" w:rsidRDefault="00081999" w:rsidP="00081999">
            <w:pPr>
              <w:ind w:right="-57"/>
              <w:jc w:val="right"/>
              <w:rPr>
                <w:sz w:val="16"/>
                <w:szCs w:val="16"/>
              </w:rPr>
            </w:pPr>
            <w:r w:rsidRPr="00081999">
              <w:rPr>
                <w:sz w:val="16"/>
                <w:szCs w:val="16"/>
              </w:rPr>
              <w:t>32 108.7</w:t>
            </w:r>
          </w:p>
        </w:tc>
        <w:tc>
          <w:tcPr>
            <w:tcW w:w="851" w:type="dxa"/>
          </w:tcPr>
          <w:p w14:paraId="38DB260F" w14:textId="77777777" w:rsidR="00081999" w:rsidRPr="00081999" w:rsidRDefault="00081999" w:rsidP="00081999">
            <w:pPr>
              <w:ind w:right="-57"/>
              <w:jc w:val="right"/>
              <w:rPr>
                <w:sz w:val="16"/>
                <w:szCs w:val="16"/>
              </w:rPr>
            </w:pPr>
            <w:r w:rsidRPr="00081999">
              <w:rPr>
                <w:sz w:val="16"/>
                <w:szCs w:val="16"/>
              </w:rPr>
              <w:t>4 254.7</w:t>
            </w:r>
          </w:p>
        </w:tc>
        <w:tc>
          <w:tcPr>
            <w:tcW w:w="984" w:type="dxa"/>
          </w:tcPr>
          <w:p w14:paraId="4A4FEFE8" w14:textId="77777777" w:rsidR="00081999" w:rsidRPr="00081999" w:rsidRDefault="00081999" w:rsidP="00081999">
            <w:pPr>
              <w:ind w:right="-57"/>
              <w:jc w:val="right"/>
              <w:rPr>
                <w:sz w:val="16"/>
                <w:szCs w:val="16"/>
              </w:rPr>
            </w:pPr>
            <w:r w:rsidRPr="00081999">
              <w:rPr>
                <w:sz w:val="16"/>
                <w:szCs w:val="16"/>
              </w:rPr>
              <w:t>620 316.0</w:t>
            </w:r>
          </w:p>
        </w:tc>
        <w:tc>
          <w:tcPr>
            <w:tcW w:w="859" w:type="dxa"/>
          </w:tcPr>
          <w:p w14:paraId="77B364AE" w14:textId="77777777" w:rsidR="00081999" w:rsidRPr="00081999" w:rsidRDefault="00081999" w:rsidP="00081999">
            <w:pPr>
              <w:ind w:right="-57"/>
              <w:jc w:val="right"/>
              <w:rPr>
                <w:sz w:val="16"/>
                <w:szCs w:val="16"/>
              </w:rPr>
            </w:pPr>
            <w:r w:rsidRPr="00081999">
              <w:rPr>
                <w:sz w:val="16"/>
                <w:szCs w:val="16"/>
              </w:rPr>
              <w:t>9 756.7</w:t>
            </w:r>
          </w:p>
        </w:tc>
        <w:tc>
          <w:tcPr>
            <w:tcW w:w="842" w:type="dxa"/>
          </w:tcPr>
          <w:p w14:paraId="382A5967" w14:textId="77777777" w:rsidR="00081999" w:rsidRPr="00081999" w:rsidRDefault="00081999" w:rsidP="00081999">
            <w:pPr>
              <w:ind w:right="-57"/>
              <w:jc w:val="right"/>
              <w:rPr>
                <w:sz w:val="16"/>
                <w:szCs w:val="16"/>
              </w:rPr>
            </w:pPr>
            <w:r w:rsidRPr="00081999">
              <w:rPr>
                <w:sz w:val="16"/>
                <w:szCs w:val="16"/>
              </w:rPr>
              <w:t>195 424.3</w:t>
            </w:r>
          </w:p>
        </w:tc>
        <w:tc>
          <w:tcPr>
            <w:tcW w:w="859" w:type="dxa"/>
          </w:tcPr>
          <w:p w14:paraId="4BB4975D" w14:textId="77777777" w:rsidR="00081999" w:rsidRPr="00081999" w:rsidRDefault="00081999" w:rsidP="00081999">
            <w:pPr>
              <w:ind w:right="-57"/>
              <w:jc w:val="right"/>
              <w:rPr>
                <w:sz w:val="16"/>
                <w:szCs w:val="16"/>
              </w:rPr>
            </w:pPr>
            <w:r w:rsidRPr="00081999">
              <w:rPr>
                <w:sz w:val="16"/>
                <w:szCs w:val="16"/>
              </w:rPr>
              <w:t>23 309.1</w:t>
            </w:r>
          </w:p>
        </w:tc>
        <w:tc>
          <w:tcPr>
            <w:tcW w:w="992" w:type="dxa"/>
          </w:tcPr>
          <w:p w14:paraId="6A1FA78B" w14:textId="77777777" w:rsidR="00081999" w:rsidRPr="00081999" w:rsidRDefault="00081999" w:rsidP="00081999">
            <w:pPr>
              <w:jc w:val="right"/>
              <w:rPr>
                <w:sz w:val="16"/>
                <w:szCs w:val="16"/>
              </w:rPr>
            </w:pPr>
            <w:r w:rsidRPr="00081999">
              <w:rPr>
                <w:sz w:val="16"/>
                <w:szCs w:val="16"/>
              </w:rPr>
              <w:t>848 806.1</w:t>
            </w:r>
          </w:p>
        </w:tc>
      </w:tr>
      <w:tr w:rsidR="00081999" w:rsidRPr="00081999" w14:paraId="23D9EA49" w14:textId="77777777" w:rsidTr="00BB7F01">
        <w:tc>
          <w:tcPr>
            <w:tcW w:w="1276" w:type="dxa"/>
            <w:tcBorders>
              <w:bottom w:val="single" w:sz="4" w:space="0" w:color="auto"/>
            </w:tcBorders>
          </w:tcPr>
          <w:p w14:paraId="4551103C" w14:textId="77777777" w:rsidR="00081999" w:rsidRPr="00081999" w:rsidRDefault="00081999" w:rsidP="00081999">
            <w:pPr>
              <w:rPr>
                <w:b/>
                <w:sz w:val="16"/>
                <w:szCs w:val="16"/>
              </w:rPr>
            </w:pPr>
            <w:r w:rsidRPr="00081999">
              <w:rPr>
                <w:b/>
                <w:sz w:val="16"/>
                <w:szCs w:val="16"/>
              </w:rPr>
              <w:t>Total</w:t>
            </w:r>
          </w:p>
        </w:tc>
        <w:tc>
          <w:tcPr>
            <w:tcW w:w="992" w:type="dxa"/>
          </w:tcPr>
          <w:p w14:paraId="51E8AAA2" w14:textId="77777777" w:rsidR="00081999" w:rsidRPr="00081999" w:rsidRDefault="00081999" w:rsidP="00081999">
            <w:pPr>
              <w:ind w:right="-57"/>
              <w:jc w:val="right"/>
              <w:rPr>
                <w:b/>
                <w:sz w:val="16"/>
                <w:szCs w:val="16"/>
              </w:rPr>
            </w:pPr>
            <w:r w:rsidRPr="00081999">
              <w:rPr>
                <w:b/>
                <w:sz w:val="16"/>
                <w:szCs w:val="16"/>
              </w:rPr>
              <w:t>2 370 284.9</w:t>
            </w:r>
          </w:p>
        </w:tc>
        <w:tc>
          <w:tcPr>
            <w:tcW w:w="851" w:type="dxa"/>
          </w:tcPr>
          <w:p w14:paraId="65E6E4B6" w14:textId="77777777" w:rsidR="00081999" w:rsidRPr="00081999" w:rsidRDefault="00081999" w:rsidP="00081999">
            <w:pPr>
              <w:ind w:right="-57"/>
              <w:jc w:val="right"/>
              <w:rPr>
                <w:b/>
                <w:sz w:val="16"/>
                <w:szCs w:val="16"/>
              </w:rPr>
            </w:pPr>
            <w:r w:rsidRPr="00081999">
              <w:rPr>
                <w:b/>
                <w:sz w:val="16"/>
                <w:szCs w:val="16"/>
              </w:rPr>
              <w:t>28 130.9</w:t>
            </w:r>
          </w:p>
        </w:tc>
        <w:tc>
          <w:tcPr>
            <w:tcW w:w="850" w:type="dxa"/>
          </w:tcPr>
          <w:p w14:paraId="65E10E7B" w14:textId="77777777" w:rsidR="00081999" w:rsidRPr="00081999" w:rsidRDefault="00081999" w:rsidP="00081999">
            <w:pPr>
              <w:ind w:right="-57"/>
              <w:jc w:val="right"/>
              <w:rPr>
                <w:b/>
                <w:sz w:val="16"/>
                <w:szCs w:val="16"/>
              </w:rPr>
            </w:pPr>
            <w:r w:rsidRPr="00081999">
              <w:rPr>
                <w:b/>
                <w:sz w:val="16"/>
                <w:szCs w:val="16"/>
              </w:rPr>
              <w:t>32 108.7</w:t>
            </w:r>
          </w:p>
        </w:tc>
        <w:tc>
          <w:tcPr>
            <w:tcW w:w="851" w:type="dxa"/>
          </w:tcPr>
          <w:p w14:paraId="05F561E6" w14:textId="77777777" w:rsidR="00081999" w:rsidRPr="00081999" w:rsidRDefault="00081999" w:rsidP="00081999">
            <w:pPr>
              <w:ind w:right="-57"/>
              <w:jc w:val="right"/>
              <w:rPr>
                <w:b/>
                <w:sz w:val="16"/>
                <w:szCs w:val="16"/>
              </w:rPr>
            </w:pPr>
            <w:r w:rsidRPr="00081999">
              <w:rPr>
                <w:b/>
                <w:sz w:val="16"/>
                <w:szCs w:val="16"/>
              </w:rPr>
              <w:t>18 991.6</w:t>
            </w:r>
          </w:p>
        </w:tc>
        <w:tc>
          <w:tcPr>
            <w:tcW w:w="984" w:type="dxa"/>
          </w:tcPr>
          <w:p w14:paraId="31B96688" w14:textId="77777777" w:rsidR="00081999" w:rsidRPr="00081999" w:rsidRDefault="00081999" w:rsidP="00081999">
            <w:pPr>
              <w:ind w:right="-57"/>
              <w:jc w:val="right"/>
              <w:rPr>
                <w:b/>
                <w:sz w:val="16"/>
                <w:szCs w:val="16"/>
              </w:rPr>
            </w:pPr>
            <w:r w:rsidRPr="00081999">
              <w:rPr>
                <w:b/>
                <w:sz w:val="16"/>
                <w:szCs w:val="16"/>
              </w:rPr>
              <w:t>2 449 516.1</w:t>
            </w:r>
          </w:p>
        </w:tc>
        <w:tc>
          <w:tcPr>
            <w:tcW w:w="859" w:type="dxa"/>
          </w:tcPr>
          <w:p w14:paraId="309F4F2A" w14:textId="77777777" w:rsidR="00081999" w:rsidRPr="00081999" w:rsidRDefault="00081999" w:rsidP="00081999">
            <w:pPr>
              <w:ind w:left="-57" w:right="-57"/>
              <w:jc w:val="right"/>
              <w:rPr>
                <w:b/>
                <w:sz w:val="16"/>
                <w:szCs w:val="16"/>
              </w:rPr>
            </w:pPr>
            <w:r w:rsidRPr="00081999">
              <w:rPr>
                <w:b/>
                <w:sz w:val="16"/>
                <w:szCs w:val="16"/>
              </w:rPr>
              <w:t>141 087.1</w:t>
            </w:r>
          </w:p>
        </w:tc>
        <w:tc>
          <w:tcPr>
            <w:tcW w:w="842" w:type="dxa"/>
          </w:tcPr>
          <w:p w14:paraId="6AACDD57" w14:textId="77777777" w:rsidR="00081999" w:rsidRPr="00081999" w:rsidRDefault="00081999" w:rsidP="00081999">
            <w:pPr>
              <w:ind w:right="-57"/>
              <w:jc w:val="right"/>
              <w:rPr>
                <w:b/>
                <w:sz w:val="16"/>
                <w:szCs w:val="16"/>
              </w:rPr>
            </w:pPr>
            <w:r w:rsidRPr="00081999">
              <w:rPr>
                <w:b/>
                <w:sz w:val="16"/>
                <w:szCs w:val="16"/>
              </w:rPr>
              <w:t>854 293.0</w:t>
            </w:r>
          </w:p>
        </w:tc>
        <w:tc>
          <w:tcPr>
            <w:tcW w:w="859" w:type="dxa"/>
          </w:tcPr>
          <w:p w14:paraId="04B43FB4" w14:textId="77777777" w:rsidR="00081999" w:rsidRPr="00081999" w:rsidRDefault="00081999" w:rsidP="00081999">
            <w:pPr>
              <w:ind w:right="-57"/>
              <w:jc w:val="right"/>
              <w:rPr>
                <w:b/>
                <w:sz w:val="16"/>
                <w:szCs w:val="16"/>
              </w:rPr>
            </w:pPr>
            <w:r w:rsidRPr="00081999">
              <w:rPr>
                <w:b/>
                <w:sz w:val="16"/>
                <w:szCs w:val="16"/>
              </w:rPr>
              <w:t>23 309.1</w:t>
            </w:r>
          </w:p>
        </w:tc>
        <w:tc>
          <w:tcPr>
            <w:tcW w:w="992" w:type="dxa"/>
          </w:tcPr>
          <w:p w14:paraId="11FCA1DA" w14:textId="77777777" w:rsidR="00081999" w:rsidRPr="00081999" w:rsidRDefault="00081999" w:rsidP="00081999">
            <w:pPr>
              <w:jc w:val="right"/>
              <w:rPr>
                <w:sz w:val="16"/>
                <w:szCs w:val="16"/>
              </w:rPr>
            </w:pPr>
            <w:r w:rsidRPr="00081999">
              <w:rPr>
                <w:sz w:val="16"/>
                <w:szCs w:val="16"/>
              </w:rPr>
              <w:t>3 468 205.4</w:t>
            </w:r>
          </w:p>
        </w:tc>
      </w:tr>
      <w:tr w:rsidR="00081999" w:rsidRPr="00081999" w14:paraId="197A6707" w14:textId="77777777" w:rsidTr="00BB7F01">
        <w:tc>
          <w:tcPr>
            <w:tcW w:w="9356" w:type="dxa"/>
            <w:gridSpan w:val="10"/>
            <w:tcBorders>
              <w:left w:val="nil"/>
              <w:bottom w:val="nil"/>
              <w:right w:val="nil"/>
            </w:tcBorders>
          </w:tcPr>
          <w:p w14:paraId="79FDADEF" w14:textId="77777777" w:rsidR="00081999" w:rsidRPr="00081999" w:rsidRDefault="00081999" w:rsidP="00081999">
            <w:pPr>
              <w:rPr>
                <w:sz w:val="16"/>
                <w:szCs w:val="16"/>
              </w:rPr>
            </w:pPr>
            <w:r w:rsidRPr="00081999">
              <w:rPr>
                <w:sz w:val="16"/>
                <w:szCs w:val="16"/>
              </w:rPr>
              <w:t>La suma de las cifras parciales puede no coincidir con el total por redondeo.</w:t>
            </w:r>
          </w:p>
          <w:p w14:paraId="1406AB9A" w14:textId="77777777" w:rsidR="00081999" w:rsidRPr="00081999" w:rsidRDefault="00081999" w:rsidP="00081999">
            <w:pPr>
              <w:rPr>
                <w:sz w:val="16"/>
                <w:szCs w:val="16"/>
              </w:rPr>
            </w:pPr>
            <w:r w:rsidRPr="00081999">
              <w:rPr>
                <w:sz w:val="16"/>
                <w:szCs w:val="16"/>
              </w:rPr>
              <w:t xml:space="preserve">Cifras preliminares. </w:t>
            </w:r>
          </w:p>
          <w:p w14:paraId="5EF1FD7F" w14:textId="77777777" w:rsidR="00081999" w:rsidRPr="00081999" w:rsidRDefault="00081999" w:rsidP="00081999">
            <w:pPr>
              <w:rPr>
                <w:sz w:val="16"/>
                <w:szCs w:val="16"/>
              </w:rPr>
            </w:pPr>
            <w:r w:rsidRPr="00081999">
              <w:rPr>
                <w:sz w:val="16"/>
                <w:szCs w:val="16"/>
              </w:rPr>
              <w:t xml:space="preserve">Montos calculados con la información contable del último día hábil del mes y que corresponde a los precios de las acciones de las Siefores registrados en la Bolsa Mexicana de Valores (BMV) el primer día hábil del siguiente mes. </w:t>
            </w:r>
          </w:p>
          <w:p w14:paraId="0496E714" w14:textId="77777777" w:rsidR="00081999" w:rsidRPr="00081999" w:rsidRDefault="00081999" w:rsidP="00081999">
            <w:pPr>
              <w:ind w:left="170" w:hanging="170"/>
              <w:rPr>
                <w:sz w:val="16"/>
                <w:szCs w:val="16"/>
              </w:rPr>
            </w:pPr>
            <w:r w:rsidRPr="00081999">
              <w:rPr>
                <w:sz w:val="16"/>
                <w:szCs w:val="16"/>
                <w:u w:val="single"/>
              </w:rPr>
              <w:t>1</w:t>
            </w:r>
            <w:r w:rsidRPr="00081999">
              <w:rPr>
                <w:sz w:val="16"/>
                <w:szCs w:val="16"/>
              </w:rPr>
              <w:t xml:space="preserve">/ Retiro, Cesantía en Edad Avanzada y Vejez de trabajadores cotizantes al IMSS y al ISSSTE. Incluye los fondos de Retiro del SAR 92 de los trabajadores cotizantes al IMSS y los recursos del SAR ISSSTE. </w:t>
            </w:r>
          </w:p>
          <w:p w14:paraId="2C2B99FF" w14:textId="77777777" w:rsidR="00081999" w:rsidRPr="00081999" w:rsidRDefault="00081999" w:rsidP="00081999">
            <w:pPr>
              <w:rPr>
                <w:sz w:val="16"/>
                <w:szCs w:val="16"/>
              </w:rPr>
            </w:pPr>
            <w:r w:rsidRPr="00081999">
              <w:rPr>
                <w:sz w:val="16"/>
                <w:szCs w:val="16"/>
                <w:u w:val="single"/>
              </w:rPr>
              <w:t>2</w:t>
            </w:r>
            <w:r w:rsidRPr="00081999">
              <w:rPr>
                <w:sz w:val="16"/>
                <w:szCs w:val="16"/>
              </w:rPr>
              <w:t xml:space="preserve">/ Incluye Aportaciones Voluntarias, Aportaciones Complementarias de Retiro, Ahorro a Largo Plazo y Ahorro Solidario.  </w:t>
            </w:r>
          </w:p>
          <w:p w14:paraId="1FBF9A2A" w14:textId="77777777" w:rsidR="00081999" w:rsidRPr="00081999" w:rsidRDefault="00081999" w:rsidP="00081999">
            <w:pPr>
              <w:rPr>
                <w:sz w:val="16"/>
                <w:szCs w:val="16"/>
              </w:rPr>
            </w:pPr>
            <w:r w:rsidRPr="00081999">
              <w:rPr>
                <w:sz w:val="16"/>
                <w:szCs w:val="16"/>
                <w:u w:val="single"/>
              </w:rPr>
              <w:t>3</w:t>
            </w:r>
            <w:r w:rsidRPr="00081999">
              <w:rPr>
                <w:sz w:val="16"/>
                <w:szCs w:val="16"/>
              </w:rPr>
              <w:t xml:space="preserve">/ Recursos de Previsión Social de entidades públicas y privadas administrados por las Afores. </w:t>
            </w:r>
          </w:p>
          <w:p w14:paraId="1489FE86" w14:textId="77777777" w:rsidR="00081999" w:rsidRPr="00081999" w:rsidRDefault="00081999" w:rsidP="00081999">
            <w:pPr>
              <w:rPr>
                <w:sz w:val="16"/>
                <w:szCs w:val="16"/>
              </w:rPr>
            </w:pPr>
            <w:r w:rsidRPr="00081999">
              <w:rPr>
                <w:sz w:val="16"/>
                <w:szCs w:val="16"/>
                <w:u w:val="single"/>
              </w:rPr>
              <w:t>4</w:t>
            </w:r>
            <w:r w:rsidRPr="00081999">
              <w:rPr>
                <w:sz w:val="16"/>
                <w:szCs w:val="16"/>
              </w:rPr>
              <w:t xml:space="preserve">/ Recursos de las Afores que, conforme a las normas de capitalización, deben mantener invertidos en las Siefores. </w:t>
            </w:r>
          </w:p>
          <w:p w14:paraId="0CF6162D" w14:textId="77777777" w:rsidR="00081999" w:rsidRPr="00081999" w:rsidRDefault="00081999" w:rsidP="00081999">
            <w:pPr>
              <w:ind w:left="170" w:hanging="170"/>
              <w:rPr>
                <w:sz w:val="16"/>
                <w:szCs w:val="16"/>
              </w:rPr>
            </w:pPr>
            <w:r w:rsidRPr="00081999">
              <w:rPr>
                <w:sz w:val="16"/>
                <w:szCs w:val="16"/>
                <w:u w:val="single"/>
              </w:rPr>
              <w:t>5</w:t>
            </w:r>
            <w:r w:rsidRPr="00081999">
              <w:rPr>
                <w:sz w:val="16"/>
                <w:szCs w:val="16"/>
              </w:rPr>
              <w:t xml:space="preserve">/ Conforme a la Ley del ISSSTE, las Afores llevan el registro del valor actualizado del Bono de Pensión ISSSTE en las cuentas individuales de los trabajadores. </w:t>
            </w:r>
          </w:p>
          <w:p w14:paraId="57BD785D" w14:textId="77777777" w:rsidR="00081999" w:rsidRPr="00081999" w:rsidRDefault="00081999" w:rsidP="00081999">
            <w:pPr>
              <w:rPr>
                <w:sz w:val="16"/>
                <w:szCs w:val="16"/>
              </w:rPr>
            </w:pPr>
            <w:r w:rsidRPr="00081999">
              <w:rPr>
                <w:sz w:val="16"/>
                <w:szCs w:val="16"/>
                <w:u w:val="single"/>
              </w:rPr>
              <w:t>6</w:t>
            </w:r>
            <w:r w:rsidRPr="00081999">
              <w:rPr>
                <w:sz w:val="16"/>
                <w:szCs w:val="16"/>
              </w:rPr>
              <w:t xml:space="preserve">/ Los recursos de Vivienda son registrados por las Afores y administrados por el INFONAVIT y por el FOVISSSTE. </w:t>
            </w:r>
          </w:p>
          <w:p w14:paraId="1ABF7495" w14:textId="77777777" w:rsidR="00081999" w:rsidRPr="00081999" w:rsidRDefault="00081999" w:rsidP="00081999">
            <w:pPr>
              <w:ind w:left="170" w:hanging="170"/>
              <w:rPr>
                <w:sz w:val="16"/>
                <w:szCs w:val="16"/>
              </w:rPr>
            </w:pPr>
            <w:r w:rsidRPr="00081999">
              <w:rPr>
                <w:sz w:val="16"/>
                <w:szCs w:val="16"/>
                <w:u w:val="single"/>
              </w:rPr>
              <w:t>7</w:t>
            </w:r>
            <w:r w:rsidRPr="00081999">
              <w:rPr>
                <w:sz w:val="16"/>
                <w:szCs w:val="16"/>
              </w:rPr>
              <w:t xml:space="preserve">/ Corresponde a los recursos de cuentas administradas por Prestadoras de Servicios, que son registrados por las Afores e invertidos en el Banco de México (Banxico), de acuerdo a las reglas vigentes. </w:t>
            </w:r>
          </w:p>
          <w:p w14:paraId="3DE84814" w14:textId="77777777" w:rsidR="00081999" w:rsidRPr="00081999" w:rsidRDefault="00081999" w:rsidP="00081999">
            <w:pPr>
              <w:rPr>
                <w:sz w:val="16"/>
                <w:szCs w:val="16"/>
              </w:rPr>
            </w:pPr>
            <w:r w:rsidRPr="00081999">
              <w:rPr>
                <w:sz w:val="16"/>
                <w:szCs w:val="16"/>
                <w:u w:val="single"/>
              </w:rPr>
              <w:t>8</w:t>
            </w:r>
            <w:r w:rsidRPr="00081999">
              <w:rPr>
                <w:sz w:val="16"/>
                <w:szCs w:val="16"/>
              </w:rPr>
              <w:t xml:space="preserve">/ A partir de enero de 2012 incluye los recursos de trabajadores pendientes de asignar, que son administrados por el Banco de México. </w:t>
            </w:r>
          </w:p>
          <w:p w14:paraId="1321F9D7" w14:textId="77777777" w:rsidR="00081999" w:rsidRPr="00081999" w:rsidRDefault="00081999" w:rsidP="00081999">
            <w:pPr>
              <w:rPr>
                <w:sz w:val="16"/>
                <w:szCs w:val="16"/>
              </w:rPr>
            </w:pPr>
            <w:r w:rsidRPr="00081999">
              <w:rPr>
                <w:sz w:val="16"/>
                <w:szCs w:val="16"/>
              </w:rPr>
              <w:t>FUENTE: Consar.</w:t>
            </w:r>
          </w:p>
        </w:tc>
      </w:tr>
    </w:tbl>
    <w:p w14:paraId="07CF3AAF" w14:textId="77777777" w:rsidR="00081999" w:rsidRPr="00081999" w:rsidRDefault="00081999" w:rsidP="00081999">
      <w:pPr>
        <w:rPr>
          <w:sz w:val="20"/>
          <w:szCs w:val="20"/>
        </w:rPr>
      </w:pPr>
    </w:p>
    <w:p w14:paraId="340AF576" w14:textId="77777777" w:rsidR="00081999" w:rsidRPr="00081999" w:rsidRDefault="00081999" w:rsidP="00081999">
      <w:pPr>
        <w:spacing w:after="360" w:line="360" w:lineRule="auto"/>
        <w:ind w:right="-159"/>
        <w:jc w:val="center"/>
        <w:rPr>
          <w:sz w:val="26"/>
          <w:szCs w:val="26"/>
        </w:rPr>
      </w:pPr>
    </w:p>
    <w:p w14:paraId="237777F3" w14:textId="77777777" w:rsidR="00081999" w:rsidRPr="00081999" w:rsidRDefault="00081999" w:rsidP="00081999">
      <w:pPr>
        <w:rPr>
          <w:b/>
          <w:sz w:val="20"/>
          <w:szCs w:val="20"/>
        </w:rPr>
      </w:pPr>
      <w:r w:rsidRPr="00081999">
        <w:rPr>
          <w:b/>
          <w:sz w:val="20"/>
          <w:szCs w:val="20"/>
        </w:rPr>
        <w:t>Fuente de información:</w:t>
      </w:r>
    </w:p>
    <w:p w14:paraId="39417514" w14:textId="77777777" w:rsidR="00081999" w:rsidRPr="00AF4DFC" w:rsidRDefault="0093224F" w:rsidP="00AF4DFC">
      <w:pPr>
        <w:spacing w:after="720"/>
        <w:rPr>
          <w:color w:val="0000FF"/>
          <w:sz w:val="20"/>
          <w:szCs w:val="20"/>
        </w:rPr>
      </w:pPr>
      <w:hyperlink r:id="rId380" w:history="1">
        <w:r w:rsidR="00081999" w:rsidRPr="00AF4DFC">
          <w:rPr>
            <w:color w:val="0000FF"/>
            <w:sz w:val="20"/>
            <w:szCs w:val="20"/>
            <w:u w:val="single"/>
          </w:rPr>
          <w:t>http://www.consar.gob.mx/SeriesTiempo/CuadroInicial.aspx?md=2</w:t>
        </w:r>
      </w:hyperlink>
    </w:p>
    <w:p w14:paraId="1D0E6E58" w14:textId="77777777" w:rsidR="003D77EA" w:rsidRPr="003D77EA" w:rsidRDefault="003D77EA" w:rsidP="003D77EA">
      <w:pPr>
        <w:spacing w:after="360" w:line="360" w:lineRule="auto"/>
        <w:ind w:right="-159"/>
        <w:jc w:val="both"/>
        <w:rPr>
          <w:rFonts w:eastAsia="Times New Roman"/>
          <w:b/>
          <w:bCs/>
          <w:sz w:val="26"/>
          <w:szCs w:val="26"/>
          <w:lang w:val="es-ES"/>
        </w:rPr>
      </w:pPr>
      <w:r w:rsidRPr="003D77EA">
        <w:rPr>
          <w:rFonts w:eastAsia="Times New Roman"/>
          <w:b/>
          <w:bCs/>
          <w:sz w:val="26"/>
          <w:szCs w:val="26"/>
          <w:lang w:val="es-ES"/>
        </w:rPr>
        <w:t>Califican a Pensiones Banamex (Fitch)</w:t>
      </w:r>
    </w:p>
    <w:p w14:paraId="4DABE4D5" w14:textId="77777777" w:rsidR="003D77EA" w:rsidRDefault="003D77EA" w:rsidP="003D77EA">
      <w:pPr>
        <w:spacing w:after="360" w:line="360" w:lineRule="auto"/>
        <w:ind w:right="-159"/>
        <w:jc w:val="both"/>
        <w:rPr>
          <w:rFonts w:eastAsia="Times New Roman"/>
          <w:bCs/>
          <w:sz w:val="26"/>
          <w:szCs w:val="26"/>
          <w:lang w:val="es-ES"/>
        </w:rPr>
      </w:pPr>
      <w:r w:rsidRPr="003D77EA">
        <w:rPr>
          <w:rFonts w:eastAsia="Times New Roman"/>
          <w:bCs/>
          <w:sz w:val="26"/>
          <w:szCs w:val="26"/>
          <w:lang w:val="es-ES"/>
        </w:rPr>
        <w:t>El 3 de marzo de 2015, la casa calificadora Fitch Ratings asignó la calificación en escala nacional a Pensiones Banamex S.A. de C.V. (Pensiones Banamex) en “AAA(mex)” con perspectiva “estable”.</w:t>
      </w:r>
    </w:p>
    <w:p w14:paraId="2E947932" w14:textId="77777777" w:rsidR="00871DFE" w:rsidRPr="003D77EA" w:rsidRDefault="00871DFE" w:rsidP="003D77EA">
      <w:pPr>
        <w:spacing w:after="360" w:line="360" w:lineRule="auto"/>
        <w:ind w:right="-159"/>
        <w:jc w:val="both"/>
        <w:rPr>
          <w:rFonts w:eastAsia="Times New Roman"/>
          <w:bCs/>
          <w:sz w:val="26"/>
          <w:szCs w:val="26"/>
          <w:lang w:val="es-ES"/>
        </w:rPr>
      </w:pPr>
    </w:p>
    <w:p w14:paraId="5676A86D" w14:textId="77777777" w:rsidR="003D77EA" w:rsidRPr="003D77EA" w:rsidRDefault="003D77EA" w:rsidP="003D77EA">
      <w:pPr>
        <w:spacing w:after="360" w:line="360" w:lineRule="auto"/>
        <w:ind w:right="-159"/>
        <w:jc w:val="both"/>
        <w:rPr>
          <w:rFonts w:eastAsia="Times New Roman"/>
          <w:b/>
          <w:bCs/>
          <w:sz w:val="26"/>
          <w:szCs w:val="26"/>
          <w:lang w:val="es-ES"/>
        </w:rPr>
      </w:pPr>
      <w:r w:rsidRPr="003D77EA">
        <w:rPr>
          <w:rFonts w:eastAsia="Times New Roman"/>
          <w:b/>
          <w:bCs/>
          <w:sz w:val="26"/>
          <w:szCs w:val="26"/>
          <w:lang w:val="es-ES"/>
        </w:rPr>
        <w:lastRenderedPageBreak/>
        <w:t>Factores clave de la calificación</w:t>
      </w:r>
    </w:p>
    <w:p w14:paraId="212850C4" w14:textId="77777777" w:rsidR="003D77EA" w:rsidRPr="003D77EA" w:rsidRDefault="003D77EA" w:rsidP="003D77EA">
      <w:pPr>
        <w:spacing w:after="360" w:line="360" w:lineRule="auto"/>
        <w:ind w:right="-159"/>
        <w:jc w:val="both"/>
        <w:rPr>
          <w:rFonts w:eastAsia="Times New Roman"/>
          <w:bCs/>
          <w:sz w:val="26"/>
          <w:szCs w:val="26"/>
          <w:lang w:val="es-ES"/>
        </w:rPr>
      </w:pPr>
      <w:r w:rsidRPr="003D77EA">
        <w:rPr>
          <w:rFonts w:eastAsia="Times New Roman"/>
          <w:bCs/>
          <w:sz w:val="26"/>
          <w:szCs w:val="26"/>
          <w:lang w:val="es-ES"/>
        </w:rPr>
        <w:t>La calificación asignada a Pensiones Banamex considera un beneficio de soporte explícito de su grupo controlador Grupo Financiero Banamex, cuya principal filial operativa es el Banco Nacional de México (Banamex), calificado por Fitch en “AAA(mex)”. Fitch considera, de acuerdo a la Ley de Grupos Financieros en México, un soporte ilimitado por pérdidas y obligaciones a cargo de la empresa de pensiones, en caso de requerirlo. Además contempla la robusta integración e identificación de la marca que ostenta. Cabe señalar que las reservas mantenidas por la compañía de seguros representan 0.9% de los activos del banco.</w:t>
      </w:r>
    </w:p>
    <w:p w14:paraId="22AF29A6" w14:textId="77777777" w:rsidR="003D77EA" w:rsidRPr="003D77EA" w:rsidRDefault="003D77EA" w:rsidP="003D77EA">
      <w:pPr>
        <w:spacing w:after="360" w:line="360" w:lineRule="auto"/>
        <w:ind w:right="-159"/>
        <w:jc w:val="both"/>
        <w:rPr>
          <w:rFonts w:eastAsia="Times New Roman"/>
          <w:bCs/>
          <w:sz w:val="26"/>
          <w:szCs w:val="26"/>
          <w:lang w:val="es-ES"/>
        </w:rPr>
      </w:pPr>
      <w:r w:rsidRPr="003D77EA">
        <w:rPr>
          <w:rFonts w:eastAsia="Times New Roman"/>
          <w:bCs/>
          <w:sz w:val="26"/>
          <w:szCs w:val="26"/>
          <w:lang w:val="es-ES"/>
        </w:rPr>
        <w:t>La perspectiva es “estable” y considera el soporte entregado por el grupo controlador a la operación de la compañía.</w:t>
      </w:r>
    </w:p>
    <w:p w14:paraId="34DD92DB" w14:textId="77777777" w:rsidR="003D77EA" w:rsidRPr="003D77EA" w:rsidRDefault="003D77EA" w:rsidP="003D77EA">
      <w:pPr>
        <w:spacing w:after="360" w:line="360" w:lineRule="auto"/>
        <w:ind w:right="-159"/>
        <w:jc w:val="both"/>
        <w:rPr>
          <w:rFonts w:eastAsia="Times New Roman"/>
          <w:bCs/>
          <w:sz w:val="26"/>
          <w:szCs w:val="26"/>
          <w:lang w:val="es-ES"/>
        </w:rPr>
      </w:pPr>
      <w:r w:rsidRPr="003D77EA">
        <w:rPr>
          <w:rFonts w:eastAsia="Times New Roman"/>
          <w:bCs/>
          <w:sz w:val="26"/>
          <w:szCs w:val="26"/>
          <w:lang w:val="es-ES"/>
        </w:rPr>
        <w:t>Acerca de la estructura de subastas aplicada durante los últimos años, Pensiones Banamex ha limitado su participación en el mercado, en línea con la estrategia del grupo. A la fecha administra una masa de negocios representativa de 0.1% de la prima emitida en el sector, sobre lo cual no se esperan incrementos sustanciales en el corto plazo.</w:t>
      </w:r>
    </w:p>
    <w:p w14:paraId="3357B553" w14:textId="77777777" w:rsidR="003D77EA" w:rsidRPr="003D77EA" w:rsidRDefault="003D77EA" w:rsidP="003D77EA">
      <w:pPr>
        <w:spacing w:after="360" w:line="360" w:lineRule="auto"/>
        <w:ind w:right="-159"/>
        <w:jc w:val="both"/>
        <w:rPr>
          <w:rFonts w:eastAsia="Times New Roman"/>
          <w:bCs/>
          <w:sz w:val="26"/>
          <w:szCs w:val="26"/>
          <w:lang w:val="es-ES"/>
        </w:rPr>
      </w:pPr>
      <w:r w:rsidRPr="003D77EA">
        <w:rPr>
          <w:rFonts w:eastAsia="Times New Roman"/>
          <w:bCs/>
          <w:sz w:val="26"/>
          <w:szCs w:val="26"/>
          <w:lang w:val="es-ES"/>
        </w:rPr>
        <w:t>El indicador de pasivos exigibles a patrimonio (5.7 veces a septiembre de 2014), se incorpora como bajo en relación al comportamiento de la industria local (9.5 veces). Lo anterior se sustenta en el mantenimiento de una baja masa de negocios (es decir, un bajo nivel de reservas), y un nivel patrimonial creciente, repercutiendo en un índice de endeudamiento decreciente en el tiempo.</w:t>
      </w:r>
    </w:p>
    <w:p w14:paraId="46D3FBDB" w14:textId="77777777" w:rsidR="003D77EA" w:rsidRPr="003D77EA" w:rsidRDefault="003D77EA" w:rsidP="003D77EA">
      <w:pPr>
        <w:spacing w:after="360" w:line="360" w:lineRule="auto"/>
        <w:ind w:right="-159"/>
        <w:jc w:val="both"/>
        <w:rPr>
          <w:rFonts w:eastAsia="Times New Roman"/>
          <w:bCs/>
          <w:sz w:val="26"/>
          <w:szCs w:val="26"/>
          <w:lang w:val="es-ES"/>
        </w:rPr>
      </w:pPr>
      <w:r w:rsidRPr="003D77EA">
        <w:rPr>
          <w:rFonts w:eastAsia="Times New Roman"/>
          <w:bCs/>
          <w:sz w:val="26"/>
          <w:szCs w:val="26"/>
          <w:lang w:val="es-ES"/>
        </w:rPr>
        <w:t>Si bien la compañía ha logrado un crecimiento orgánico importante, la política de dividendos se ha mantenido conservadora y alineada a los requerimientos nuevos de capital emanados de los ejercicios de aplicación de la “Ley de Instituciones de Seguros y Fianzas (LISF)”.</w:t>
      </w:r>
    </w:p>
    <w:p w14:paraId="4D71DE12" w14:textId="77777777" w:rsidR="003D77EA" w:rsidRPr="003D77EA" w:rsidRDefault="003D77EA" w:rsidP="003D77EA">
      <w:pPr>
        <w:spacing w:after="360" w:line="360" w:lineRule="auto"/>
        <w:ind w:right="-159"/>
        <w:jc w:val="both"/>
        <w:rPr>
          <w:rFonts w:eastAsia="Times New Roman"/>
          <w:bCs/>
          <w:sz w:val="26"/>
          <w:szCs w:val="26"/>
          <w:lang w:val="es-ES"/>
        </w:rPr>
      </w:pPr>
      <w:r w:rsidRPr="003D77EA">
        <w:rPr>
          <w:rFonts w:eastAsia="Times New Roman"/>
          <w:bCs/>
          <w:sz w:val="26"/>
          <w:szCs w:val="26"/>
          <w:lang w:val="es-ES"/>
        </w:rPr>
        <w:lastRenderedPageBreak/>
        <w:t>El nivel bajo de operaciones afecta los indicadores operativos exhibidos por Pensiones Banamex. Con indicadores altos de siniestralidad, la compañía muestra índices combinado y operacional muy por encima de 100%; siendo ampliamente dispares en el tiempo y en relación con otras compañías del sistema.</w:t>
      </w:r>
    </w:p>
    <w:p w14:paraId="24612664" w14:textId="35516453" w:rsidR="003D77EA" w:rsidRPr="003D77EA" w:rsidRDefault="003D77EA" w:rsidP="003D77EA">
      <w:pPr>
        <w:spacing w:after="360" w:line="360" w:lineRule="auto"/>
        <w:ind w:right="-159"/>
        <w:jc w:val="both"/>
        <w:rPr>
          <w:rFonts w:eastAsia="Times New Roman"/>
          <w:bCs/>
          <w:sz w:val="26"/>
          <w:szCs w:val="26"/>
          <w:lang w:val="es-ES"/>
        </w:rPr>
      </w:pPr>
      <w:r w:rsidRPr="003D77EA">
        <w:rPr>
          <w:rFonts w:eastAsia="Times New Roman"/>
          <w:bCs/>
          <w:sz w:val="26"/>
          <w:szCs w:val="26"/>
          <w:lang w:val="es-ES"/>
        </w:rPr>
        <w:t xml:space="preserve">Pensiones Banamex muestra resultados técnicos negativos durante los últimos </w:t>
      </w:r>
      <w:r w:rsidR="00796174">
        <w:rPr>
          <w:rFonts w:eastAsia="Times New Roman"/>
          <w:bCs/>
          <w:sz w:val="26"/>
          <w:szCs w:val="26"/>
          <w:lang w:val="es-ES"/>
        </w:rPr>
        <w:t>ocho</w:t>
      </w:r>
      <w:r w:rsidRPr="003D77EA">
        <w:rPr>
          <w:rFonts w:eastAsia="Times New Roman"/>
          <w:bCs/>
          <w:sz w:val="26"/>
          <w:szCs w:val="26"/>
          <w:lang w:val="es-ES"/>
        </w:rPr>
        <w:t xml:space="preserve"> años de análisis, coherente con el foco de negocio orientado a un segmento intensivo en uso de capital. Pese a ello, los resultados netos se presentan positivos y alineados al promedio de la industria. Esto se explica principalmente por resultados de inversiones positivos y crecientes, consistente con el foco de administración de activos asociado al tipo de negocios.</w:t>
      </w:r>
    </w:p>
    <w:p w14:paraId="3E0A999A" w14:textId="77777777" w:rsidR="003D77EA" w:rsidRPr="003D77EA" w:rsidRDefault="003D77EA" w:rsidP="003D77EA">
      <w:pPr>
        <w:spacing w:after="360" w:line="360" w:lineRule="auto"/>
        <w:ind w:right="-159"/>
        <w:jc w:val="both"/>
        <w:rPr>
          <w:rFonts w:eastAsia="Times New Roman"/>
          <w:b/>
          <w:bCs/>
          <w:sz w:val="26"/>
          <w:szCs w:val="26"/>
          <w:lang w:val="es-ES"/>
        </w:rPr>
      </w:pPr>
      <w:r w:rsidRPr="003D77EA">
        <w:rPr>
          <w:rFonts w:eastAsia="Times New Roman"/>
          <w:b/>
          <w:bCs/>
          <w:sz w:val="26"/>
          <w:szCs w:val="26"/>
          <w:lang w:val="es-ES"/>
        </w:rPr>
        <w:t>Sensibilidad de la calificación</w:t>
      </w:r>
    </w:p>
    <w:p w14:paraId="37B38987" w14:textId="77777777" w:rsidR="003D77EA" w:rsidRPr="003D77EA" w:rsidRDefault="003D77EA" w:rsidP="003D77EA">
      <w:pPr>
        <w:spacing w:after="360" w:line="360" w:lineRule="auto"/>
        <w:ind w:right="-159"/>
        <w:jc w:val="both"/>
        <w:rPr>
          <w:rFonts w:eastAsia="Times New Roman"/>
          <w:bCs/>
          <w:sz w:val="26"/>
          <w:szCs w:val="26"/>
          <w:lang w:val="es-ES"/>
        </w:rPr>
      </w:pPr>
      <w:r w:rsidRPr="003D77EA">
        <w:rPr>
          <w:rFonts w:eastAsia="Times New Roman"/>
          <w:bCs/>
          <w:sz w:val="26"/>
          <w:szCs w:val="26"/>
          <w:lang w:val="es-ES"/>
        </w:rPr>
        <w:t>Dada la consideración de soporte, la calificación podría modificarse frente a cambios en la solvencia del grupo financiero o modificaciones en el soporte explícito entregado por éste. Aunado a ello, la calificación podría ser revisada ante cambios sustanciales en las políticas de crecimiento, en consideración al efecto que ello pudiese significar sobre los indicadores principales de la compañía.</w:t>
      </w:r>
    </w:p>
    <w:p w14:paraId="7DAFDF0C" w14:textId="77777777" w:rsidR="003D77EA" w:rsidRPr="003D77EA" w:rsidRDefault="003D77EA" w:rsidP="003D77EA">
      <w:pPr>
        <w:ind w:right="-159"/>
        <w:jc w:val="both"/>
        <w:rPr>
          <w:rFonts w:eastAsia="Calibri"/>
          <w:b/>
          <w:sz w:val="20"/>
          <w:szCs w:val="20"/>
          <w:lang w:val="es-ES" w:eastAsia="en-US"/>
        </w:rPr>
      </w:pPr>
      <w:r w:rsidRPr="003D77EA">
        <w:rPr>
          <w:rFonts w:eastAsia="Calibri"/>
          <w:b/>
          <w:sz w:val="20"/>
          <w:szCs w:val="20"/>
          <w:lang w:val="es-ES" w:eastAsia="en-US"/>
        </w:rPr>
        <w:t>Fuente de información:</w:t>
      </w:r>
    </w:p>
    <w:p w14:paraId="5F0CDBD9" w14:textId="77777777" w:rsidR="003D77EA" w:rsidRPr="00AF4DFC" w:rsidRDefault="0093224F" w:rsidP="003D77EA">
      <w:pPr>
        <w:ind w:right="-159"/>
        <w:jc w:val="both"/>
        <w:rPr>
          <w:rFonts w:eastAsia="Calibri"/>
          <w:color w:val="0000FF"/>
          <w:sz w:val="20"/>
          <w:szCs w:val="20"/>
          <w:lang w:eastAsia="en-US"/>
        </w:rPr>
      </w:pPr>
      <w:hyperlink r:id="rId381" w:history="1">
        <w:r w:rsidR="003D77EA" w:rsidRPr="00AF4DFC">
          <w:rPr>
            <w:rFonts w:eastAsia="Calibri"/>
            <w:color w:val="0000FF"/>
            <w:sz w:val="20"/>
            <w:szCs w:val="20"/>
            <w:u w:val="single"/>
            <w:lang w:eastAsia="en-US"/>
          </w:rPr>
          <w:t>http://www.fitchratings.mx/ArchivosHTML/Com_13843.html</w:t>
        </w:r>
      </w:hyperlink>
      <w:r w:rsidR="003D77EA" w:rsidRPr="00AF4DFC">
        <w:rPr>
          <w:rFonts w:eastAsia="Calibri"/>
          <w:color w:val="0000FF"/>
          <w:sz w:val="20"/>
          <w:szCs w:val="20"/>
          <w:lang w:eastAsia="en-US"/>
        </w:rPr>
        <w:t xml:space="preserve"> </w:t>
      </w:r>
    </w:p>
    <w:p w14:paraId="0B5B03DA" w14:textId="77777777" w:rsidR="003D77EA" w:rsidRPr="00AF4DFC" w:rsidRDefault="0093224F" w:rsidP="00AF4DFC">
      <w:pPr>
        <w:spacing w:after="720"/>
        <w:ind w:right="-159"/>
        <w:jc w:val="both"/>
        <w:rPr>
          <w:rFonts w:eastAsia="Calibri"/>
          <w:color w:val="0000FF"/>
          <w:sz w:val="20"/>
          <w:szCs w:val="20"/>
          <w:lang w:eastAsia="en-US"/>
        </w:rPr>
      </w:pPr>
      <w:hyperlink r:id="rId382" w:history="1">
        <w:r w:rsidR="003D77EA" w:rsidRPr="00AF4DFC">
          <w:rPr>
            <w:rFonts w:eastAsia="Calibri"/>
            <w:color w:val="0000FF"/>
            <w:sz w:val="20"/>
            <w:szCs w:val="20"/>
            <w:u w:val="single"/>
            <w:lang w:eastAsia="en-US"/>
          </w:rPr>
          <w:t>http://www.fitchratings.mx/ArchivosHTML/Com_13843.pdf</w:t>
        </w:r>
      </w:hyperlink>
      <w:r w:rsidR="003D77EA" w:rsidRPr="00AF4DFC">
        <w:rPr>
          <w:rFonts w:eastAsia="Calibri"/>
          <w:color w:val="0000FF"/>
          <w:sz w:val="20"/>
          <w:szCs w:val="20"/>
          <w:lang w:eastAsia="en-US"/>
        </w:rPr>
        <w:t xml:space="preserve"> </w:t>
      </w:r>
    </w:p>
    <w:p w14:paraId="6207FA2C" w14:textId="77777777" w:rsidR="007322C3" w:rsidRPr="007322C3" w:rsidRDefault="007322C3" w:rsidP="007322C3">
      <w:pPr>
        <w:rPr>
          <w:rFonts w:eastAsia="Calibri"/>
          <w:b/>
          <w:sz w:val="26"/>
          <w:szCs w:val="26"/>
          <w:lang w:eastAsia="en-US"/>
        </w:rPr>
      </w:pPr>
      <w:r w:rsidRPr="007322C3">
        <w:rPr>
          <w:rFonts w:eastAsia="Calibri"/>
          <w:b/>
          <w:sz w:val="26"/>
          <w:szCs w:val="26"/>
          <w:lang w:eastAsia="en-US"/>
        </w:rPr>
        <w:t>Asignan calificación a Pensiones</w:t>
      </w:r>
    </w:p>
    <w:p w14:paraId="67155B59" w14:textId="77777777" w:rsidR="007322C3" w:rsidRPr="007322C3" w:rsidRDefault="007322C3" w:rsidP="007322C3">
      <w:pPr>
        <w:spacing w:after="360" w:line="360" w:lineRule="auto"/>
        <w:ind w:right="-159"/>
        <w:jc w:val="both"/>
        <w:rPr>
          <w:rFonts w:eastAsia="Calibri"/>
          <w:b/>
          <w:sz w:val="26"/>
          <w:szCs w:val="26"/>
          <w:lang w:eastAsia="en-US"/>
        </w:rPr>
      </w:pPr>
      <w:r w:rsidRPr="007322C3">
        <w:rPr>
          <w:rFonts w:eastAsia="Calibri"/>
          <w:b/>
          <w:sz w:val="26"/>
          <w:szCs w:val="26"/>
          <w:lang w:eastAsia="en-US"/>
        </w:rPr>
        <w:t>Banorte (Fitch)</w:t>
      </w:r>
    </w:p>
    <w:p w14:paraId="395E5EB7" w14:textId="77777777" w:rsidR="007322C3" w:rsidRPr="007322C3" w:rsidRDefault="007322C3" w:rsidP="007322C3">
      <w:pPr>
        <w:spacing w:after="360" w:line="360" w:lineRule="auto"/>
        <w:ind w:right="-159"/>
        <w:jc w:val="both"/>
        <w:rPr>
          <w:rFonts w:eastAsia="Calibri"/>
          <w:sz w:val="26"/>
          <w:szCs w:val="26"/>
          <w:lang w:eastAsia="en-US"/>
        </w:rPr>
      </w:pPr>
      <w:r w:rsidRPr="007322C3">
        <w:rPr>
          <w:rFonts w:eastAsia="Calibri"/>
          <w:sz w:val="26"/>
          <w:szCs w:val="26"/>
          <w:lang w:eastAsia="en-US"/>
        </w:rPr>
        <w:t xml:space="preserve">El </w:t>
      </w:r>
      <w:r w:rsidRPr="007322C3">
        <w:rPr>
          <w:rFonts w:eastAsia="Calibri"/>
          <w:bCs/>
          <w:sz w:val="26"/>
          <w:szCs w:val="26"/>
          <w:lang w:eastAsia="en-US"/>
        </w:rPr>
        <w:t>9</w:t>
      </w:r>
      <w:r w:rsidRPr="007322C3">
        <w:rPr>
          <w:rFonts w:eastAsia="Calibri"/>
          <w:sz w:val="26"/>
          <w:szCs w:val="26"/>
          <w:lang w:eastAsia="en-US"/>
        </w:rPr>
        <w:t xml:space="preserve"> de </w:t>
      </w:r>
      <w:r w:rsidRPr="007322C3">
        <w:rPr>
          <w:rFonts w:eastAsia="Calibri"/>
          <w:bCs/>
          <w:sz w:val="26"/>
          <w:szCs w:val="26"/>
          <w:lang w:eastAsia="en-US"/>
        </w:rPr>
        <w:t xml:space="preserve">marzo de 2015, la casa calificadora </w:t>
      </w:r>
      <w:r w:rsidRPr="007322C3">
        <w:rPr>
          <w:rFonts w:eastAsia="Calibri"/>
          <w:sz w:val="26"/>
          <w:szCs w:val="26"/>
          <w:lang w:eastAsia="en-US"/>
        </w:rPr>
        <w:t>Fitch Ratings asignó “AAA(mex)” la calificación en escala nacional de Pensiones Banorte, S.A. de C.V., Grupo Financiero Banorte (Pensiones Banorte); la perspectiva de la calificación se ubica en “estable”.</w:t>
      </w:r>
    </w:p>
    <w:p w14:paraId="74647635" w14:textId="77777777" w:rsidR="007322C3" w:rsidRPr="007322C3" w:rsidRDefault="007322C3" w:rsidP="007322C3">
      <w:pPr>
        <w:spacing w:after="360" w:line="360" w:lineRule="auto"/>
        <w:ind w:right="-159"/>
        <w:jc w:val="both"/>
        <w:rPr>
          <w:rFonts w:eastAsia="Calibri"/>
          <w:sz w:val="26"/>
          <w:szCs w:val="26"/>
          <w:lang w:eastAsia="en-US"/>
        </w:rPr>
      </w:pPr>
      <w:r w:rsidRPr="007322C3">
        <w:rPr>
          <w:rFonts w:eastAsia="Calibri"/>
          <w:b/>
          <w:sz w:val="26"/>
          <w:szCs w:val="26"/>
          <w:lang w:eastAsia="en-US"/>
        </w:rPr>
        <w:lastRenderedPageBreak/>
        <w:t>Factores clave de la calificación</w:t>
      </w:r>
    </w:p>
    <w:p w14:paraId="4D17C664" w14:textId="77777777" w:rsidR="007322C3" w:rsidRPr="007322C3" w:rsidRDefault="007322C3" w:rsidP="007322C3">
      <w:pPr>
        <w:spacing w:after="360" w:line="360" w:lineRule="auto"/>
        <w:ind w:right="-159"/>
        <w:jc w:val="both"/>
        <w:rPr>
          <w:rFonts w:eastAsia="Calibri"/>
          <w:sz w:val="26"/>
          <w:szCs w:val="26"/>
          <w:lang w:eastAsia="en-US"/>
        </w:rPr>
      </w:pPr>
      <w:r w:rsidRPr="007322C3">
        <w:rPr>
          <w:rFonts w:eastAsia="Calibri"/>
          <w:sz w:val="26"/>
          <w:szCs w:val="26"/>
          <w:lang w:eastAsia="en-US"/>
        </w:rPr>
        <w:t>La calificación de Pensiones Banorte se basa en el soporte explícito otorgado por su grupo controlador Grupo Financiero Banorte (GFNorte) que cuenta actualmente con una calificación internacional de “BBB+” por Fitch. Considera, de acuerdo a la Ley de Grupos Financieros en México, un soporte ilimitado por pérdidas y obligaciones a cargo de la empresa de pensiones, en caso de requerirlo, así como la integración robusta e identificación de la marca que ostenta. Las reservas de Pensiones Banorte representan 5% del activo del grupo financiero.</w:t>
      </w:r>
    </w:p>
    <w:p w14:paraId="2422BCFA" w14:textId="78C6D256" w:rsidR="007322C3" w:rsidRPr="007322C3" w:rsidRDefault="007322C3" w:rsidP="007322C3">
      <w:pPr>
        <w:spacing w:after="360" w:line="360" w:lineRule="auto"/>
        <w:ind w:right="-159"/>
        <w:jc w:val="both"/>
        <w:rPr>
          <w:rFonts w:eastAsia="Calibri"/>
          <w:sz w:val="26"/>
          <w:szCs w:val="26"/>
          <w:lang w:eastAsia="en-US"/>
        </w:rPr>
      </w:pPr>
      <w:r w:rsidRPr="007322C3">
        <w:rPr>
          <w:rFonts w:eastAsia="Calibri"/>
          <w:sz w:val="26"/>
          <w:szCs w:val="26"/>
          <w:lang w:eastAsia="en-US"/>
        </w:rPr>
        <w:t xml:space="preserve">En los últimos </w:t>
      </w:r>
      <w:r w:rsidR="00CB7B3D">
        <w:rPr>
          <w:rFonts w:eastAsia="Calibri"/>
          <w:sz w:val="26"/>
          <w:szCs w:val="26"/>
          <w:lang w:eastAsia="en-US"/>
        </w:rPr>
        <w:t>cinco</w:t>
      </w:r>
      <w:r w:rsidRPr="007322C3">
        <w:rPr>
          <w:rFonts w:eastAsia="Calibri"/>
          <w:sz w:val="26"/>
          <w:szCs w:val="26"/>
          <w:lang w:eastAsia="en-US"/>
        </w:rPr>
        <w:t xml:space="preserve"> años (2010-2014), Pensiones Banorte se ha establecido entre las dos compañías más grandes de seguros de pensiones del mercado mexicano. El posicionamiento de marca, la cobertura geográfica y la experiencia de la aseguradora en el segmento de pensiones, son elementos que han contribuido positivamente a sostener la participación de mercado alcanzada.</w:t>
      </w:r>
    </w:p>
    <w:p w14:paraId="63B883B5" w14:textId="1778D36F" w:rsidR="007322C3" w:rsidRPr="007322C3" w:rsidRDefault="007322C3" w:rsidP="007322C3">
      <w:pPr>
        <w:spacing w:after="360" w:line="360" w:lineRule="auto"/>
        <w:ind w:right="-159"/>
        <w:jc w:val="both"/>
        <w:rPr>
          <w:rFonts w:eastAsia="Calibri"/>
          <w:sz w:val="26"/>
          <w:szCs w:val="26"/>
          <w:lang w:eastAsia="en-US"/>
        </w:rPr>
      </w:pPr>
      <w:r w:rsidRPr="007322C3">
        <w:rPr>
          <w:rFonts w:eastAsia="Calibri"/>
          <w:sz w:val="26"/>
          <w:szCs w:val="26"/>
          <w:lang w:eastAsia="en-US"/>
        </w:rPr>
        <w:t xml:space="preserve">El indicador de utilidad neta sobre primas emitidas en los últimos </w:t>
      </w:r>
      <w:r w:rsidR="00CB7B3D">
        <w:rPr>
          <w:rFonts w:eastAsia="Calibri"/>
          <w:sz w:val="26"/>
          <w:szCs w:val="26"/>
          <w:lang w:eastAsia="en-US"/>
        </w:rPr>
        <w:t>cinco</w:t>
      </w:r>
      <w:r w:rsidRPr="007322C3">
        <w:rPr>
          <w:rFonts w:eastAsia="Calibri"/>
          <w:sz w:val="26"/>
          <w:szCs w:val="26"/>
          <w:lang w:eastAsia="en-US"/>
        </w:rPr>
        <w:t xml:space="preserve"> años muestra un crecimiento constante. Esto, gracias al comportamiento bueno de los ingresos del portafolio de inversiones y al manejo controlado de gastos de operación. No obstante, debido a una generación menor de ingresos financieros frente al mercado, el margen neto es inferior al promedio de la industria de seguros de pensiones en México (3.3% vs 15%).</w:t>
      </w:r>
    </w:p>
    <w:p w14:paraId="38A19C22" w14:textId="6237E68D" w:rsidR="007322C3" w:rsidRPr="007322C3" w:rsidRDefault="007322C3" w:rsidP="007322C3">
      <w:pPr>
        <w:spacing w:after="360" w:line="360" w:lineRule="auto"/>
        <w:ind w:right="-159"/>
        <w:jc w:val="both"/>
        <w:rPr>
          <w:rFonts w:eastAsia="Calibri"/>
          <w:sz w:val="26"/>
          <w:szCs w:val="26"/>
          <w:lang w:eastAsia="en-US"/>
        </w:rPr>
      </w:pPr>
      <w:r w:rsidRPr="007322C3">
        <w:rPr>
          <w:rFonts w:eastAsia="Calibri"/>
          <w:sz w:val="26"/>
          <w:szCs w:val="26"/>
          <w:lang w:eastAsia="en-US"/>
        </w:rPr>
        <w:t xml:space="preserve">Seguros Banorte registra razones de apalancamiento muy superiores al promedio del sector de seguros de pensiones en México y de pares regionales. La razón de apalancamiento medida como prima emitida más pasivos a capital contable ha sido de 45 veces a septiembre de 2014; está por encima del promedio de sus pares locales en 10 veces. Igualmente, el indicador de pasivo a patrimonio que se sitúa en 40 veces frente a </w:t>
      </w:r>
      <w:r w:rsidR="00CB7B3D">
        <w:rPr>
          <w:rFonts w:eastAsia="Calibri"/>
          <w:sz w:val="26"/>
          <w:szCs w:val="26"/>
          <w:lang w:eastAsia="en-US"/>
        </w:rPr>
        <w:t>nueve</w:t>
      </w:r>
      <w:r w:rsidRPr="007322C3">
        <w:rPr>
          <w:rFonts w:eastAsia="Calibri"/>
          <w:sz w:val="26"/>
          <w:szCs w:val="26"/>
          <w:lang w:eastAsia="en-US"/>
        </w:rPr>
        <w:t xml:space="preserve"> veces de la industria. Fitch considera que dicho indicador no condiciona </w:t>
      </w:r>
      <w:r w:rsidRPr="007322C3">
        <w:rPr>
          <w:rFonts w:eastAsia="Calibri"/>
          <w:sz w:val="26"/>
          <w:szCs w:val="26"/>
          <w:lang w:eastAsia="en-US"/>
        </w:rPr>
        <w:lastRenderedPageBreak/>
        <w:t>el desempeño de la compañía pero si limita su capacidad para crecer y reduce su flexibilidad para enfrentar eventos inesperados.</w:t>
      </w:r>
    </w:p>
    <w:p w14:paraId="2AEF94FA" w14:textId="71B9156E" w:rsidR="007322C3" w:rsidRPr="007322C3" w:rsidRDefault="007322C3" w:rsidP="007322C3">
      <w:pPr>
        <w:spacing w:after="360" w:line="360" w:lineRule="auto"/>
        <w:ind w:right="-159"/>
        <w:jc w:val="both"/>
        <w:rPr>
          <w:rFonts w:eastAsia="Calibri"/>
          <w:sz w:val="26"/>
          <w:szCs w:val="26"/>
          <w:lang w:eastAsia="en-US"/>
        </w:rPr>
      </w:pPr>
      <w:r w:rsidRPr="007322C3">
        <w:rPr>
          <w:rFonts w:eastAsia="Calibri"/>
          <w:sz w:val="26"/>
          <w:szCs w:val="26"/>
          <w:lang w:eastAsia="en-US"/>
        </w:rPr>
        <w:t xml:space="preserve">Las políticas de inversión son conservadoras y están de acuerdo </w:t>
      </w:r>
      <w:r w:rsidR="00CF72BB">
        <w:rPr>
          <w:rFonts w:eastAsia="Calibri"/>
          <w:sz w:val="26"/>
          <w:szCs w:val="26"/>
          <w:lang w:eastAsia="en-US"/>
        </w:rPr>
        <w:t>con</w:t>
      </w:r>
      <w:r w:rsidRPr="007322C3">
        <w:rPr>
          <w:rFonts w:eastAsia="Calibri"/>
          <w:sz w:val="26"/>
          <w:szCs w:val="26"/>
          <w:lang w:eastAsia="en-US"/>
        </w:rPr>
        <w:t xml:space="preserve"> la regulación mexicana. El portafolio se concentra 87% en títulos de deuda emitidos por el gobierno federal y no posee inmuebles ni instrumentos de renta variable.</w:t>
      </w:r>
    </w:p>
    <w:p w14:paraId="4432FF61" w14:textId="77777777" w:rsidR="007322C3" w:rsidRPr="007322C3" w:rsidRDefault="007322C3" w:rsidP="007322C3">
      <w:pPr>
        <w:spacing w:after="360" w:line="360" w:lineRule="auto"/>
        <w:ind w:right="-159"/>
        <w:jc w:val="both"/>
        <w:rPr>
          <w:rFonts w:eastAsia="Calibri"/>
          <w:b/>
          <w:sz w:val="26"/>
          <w:szCs w:val="26"/>
          <w:lang w:eastAsia="en-US"/>
        </w:rPr>
      </w:pPr>
      <w:r w:rsidRPr="007322C3">
        <w:rPr>
          <w:rFonts w:eastAsia="Calibri"/>
          <w:b/>
          <w:sz w:val="26"/>
          <w:szCs w:val="26"/>
          <w:lang w:eastAsia="en-US"/>
        </w:rPr>
        <w:t>Sensibilidad de la calificación</w:t>
      </w:r>
    </w:p>
    <w:p w14:paraId="737C0DCB" w14:textId="77777777" w:rsidR="007322C3" w:rsidRPr="007322C3" w:rsidRDefault="007322C3" w:rsidP="007322C3">
      <w:pPr>
        <w:spacing w:after="360" w:line="360" w:lineRule="auto"/>
        <w:ind w:right="-159"/>
        <w:jc w:val="both"/>
        <w:rPr>
          <w:rFonts w:eastAsia="Calibri"/>
          <w:sz w:val="26"/>
          <w:szCs w:val="26"/>
          <w:lang w:eastAsia="en-US"/>
        </w:rPr>
      </w:pPr>
      <w:r w:rsidRPr="007322C3">
        <w:rPr>
          <w:rFonts w:eastAsia="Calibri"/>
          <w:sz w:val="26"/>
          <w:szCs w:val="26"/>
          <w:lang w:eastAsia="en-US"/>
        </w:rPr>
        <w:t>La perspectiva de la calificación es “estable”. La calificación podría verse afectada negativamente ante cambios posibles en la capacidad y disposición de soporte por parte del Grupo Financiero Banorte, aunados a cambios en el marco legal que pudieran alterar la propensión de GFB de apoyar a la aseguradora, un escenario que en la actualidad se aprecia poco probable.</w:t>
      </w:r>
    </w:p>
    <w:p w14:paraId="792A119D" w14:textId="77777777" w:rsidR="007322C3" w:rsidRPr="007322C3" w:rsidRDefault="007322C3" w:rsidP="007322C3">
      <w:pPr>
        <w:ind w:right="-159"/>
        <w:jc w:val="both"/>
        <w:rPr>
          <w:rFonts w:eastAsia="Calibri"/>
          <w:sz w:val="20"/>
          <w:szCs w:val="20"/>
          <w:lang w:eastAsia="en-US"/>
        </w:rPr>
      </w:pPr>
      <w:r w:rsidRPr="007322C3">
        <w:rPr>
          <w:rFonts w:eastAsia="Calibri"/>
          <w:b/>
          <w:sz w:val="20"/>
          <w:szCs w:val="20"/>
          <w:lang w:eastAsia="en-US"/>
        </w:rPr>
        <w:t>Fuente de información</w:t>
      </w:r>
      <w:r w:rsidRPr="007322C3">
        <w:rPr>
          <w:rFonts w:eastAsia="Calibri"/>
          <w:sz w:val="20"/>
          <w:szCs w:val="20"/>
          <w:lang w:eastAsia="en-US"/>
        </w:rPr>
        <w:t>:</w:t>
      </w:r>
    </w:p>
    <w:p w14:paraId="5DF2B164" w14:textId="77777777" w:rsidR="007322C3" w:rsidRPr="00AF4DFC" w:rsidRDefault="0093224F" w:rsidP="007322C3">
      <w:pPr>
        <w:rPr>
          <w:rFonts w:eastAsia="Calibri"/>
          <w:color w:val="0000FF"/>
          <w:sz w:val="20"/>
          <w:szCs w:val="20"/>
          <w:lang w:eastAsia="en-US"/>
        </w:rPr>
      </w:pPr>
      <w:hyperlink r:id="rId383" w:history="1">
        <w:r w:rsidR="007322C3" w:rsidRPr="00AF4DFC">
          <w:rPr>
            <w:rFonts w:eastAsia="Calibri"/>
            <w:color w:val="0000FF"/>
            <w:sz w:val="20"/>
            <w:szCs w:val="20"/>
            <w:u w:val="single"/>
            <w:lang w:eastAsia="en-US"/>
          </w:rPr>
          <w:t>http://www.fitchratings.mx/ArchivosHTML/Com_13869.pdf</w:t>
        </w:r>
      </w:hyperlink>
    </w:p>
    <w:p w14:paraId="428C1ED2" w14:textId="77777777" w:rsidR="007322C3" w:rsidRPr="00AF4DFC" w:rsidRDefault="0093224F" w:rsidP="007322C3">
      <w:pPr>
        <w:rPr>
          <w:rFonts w:eastAsia="Calibri"/>
          <w:color w:val="0000FF"/>
          <w:sz w:val="20"/>
          <w:szCs w:val="20"/>
          <w:lang w:eastAsia="en-US"/>
        </w:rPr>
      </w:pPr>
      <w:hyperlink r:id="rId384" w:history="1">
        <w:r w:rsidR="007322C3" w:rsidRPr="00AF4DFC">
          <w:rPr>
            <w:rFonts w:eastAsia="Calibri"/>
            <w:color w:val="0000FF"/>
            <w:sz w:val="20"/>
            <w:szCs w:val="20"/>
            <w:u w:val="single"/>
            <w:lang w:eastAsia="en-US"/>
          </w:rPr>
          <w:t>http://www.fitchratings.mx/ArchivosHTML/Com_13869.html</w:t>
        </w:r>
      </w:hyperlink>
    </w:p>
    <w:p w14:paraId="37B84077" w14:textId="77777777" w:rsidR="0059734F" w:rsidRDefault="0059734F" w:rsidP="00E07C06">
      <w:pPr>
        <w:spacing w:after="360" w:line="360" w:lineRule="auto"/>
        <w:ind w:right="-159"/>
        <w:jc w:val="both"/>
        <w:rPr>
          <w:sz w:val="26"/>
          <w:szCs w:val="26"/>
        </w:rPr>
      </w:pPr>
    </w:p>
    <w:p w14:paraId="35C5BBDE" w14:textId="77777777" w:rsidR="007322C3" w:rsidRDefault="007322C3" w:rsidP="00E07C06">
      <w:pPr>
        <w:spacing w:after="360" w:line="360" w:lineRule="auto"/>
        <w:ind w:right="-159"/>
        <w:jc w:val="both"/>
        <w:rPr>
          <w:sz w:val="26"/>
          <w:szCs w:val="26"/>
        </w:rPr>
      </w:pPr>
    </w:p>
    <w:p w14:paraId="7DC4FD00" w14:textId="77777777" w:rsidR="007322C3" w:rsidRDefault="007322C3" w:rsidP="00E07C06">
      <w:pPr>
        <w:spacing w:after="360" w:line="360" w:lineRule="auto"/>
        <w:ind w:right="-159"/>
        <w:jc w:val="both"/>
        <w:rPr>
          <w:sz w:val="26"/>
          <w:szCs w:val="26"/>
        </w:rPr>
      </w:pPr>
    </w:p>
    <w:p w14:paraId="0CA59998" w14:textId="77777777" w:rsidR="00BD1C56" w:rsidRDefault="00BD1C56">
      <w:pPr>
        <w:rPr>
          <w:rFonts w:eastAsia="Times New Roman"/>
          <w:b/>
          <w:sz w:val="28"/>
          <w:szCs w:val="28"/>
        </w:rPr>
      </w:pPr>
      <w:r>
        <w:rPr>
          <w:rFonts w:eastAsia="Times New Roman"/>
          <w:b/>
          <w:sz w:val="28"/>
          <w:szCs w:val="28"/>
        </w:rPr>
        <w:br w:type="page"/>
      </w:r>
    </w:p>
    <w:p w14:paraId="709713CF" w14:textId="3E8B9A27" w:rsidR="0087762B" w:rsidRPr="00510A2F" w:rsidRDefault="00BC5048" w:rsidP="00532686">
      <w:pPr>
        <w:spacing w:after="360" w:line="360" w:lineRule="auto"/>
        <w:ind w:right="-159"/>
        <w:jc w:val="both"/>
        <w:rPr>
          <w:rFonts w:eastAsia="Times New Roman"/>
          <w:b/>
          <w:color w:val="0000FF"/>
          <w:sz w:val="28"/>
          <w:szCs w:val="28"/>
        </w:rPr>
      </w:pPr>
      <w:r w:rsidRPr="00510A2F">
        <w:rPr>
          <w:rFonts w:eastAsia="Times New Roman"/>
          <w:b/>
          <w:color w:val="0000FF"/>
          <w:sz w:val="28"/>
          <w:szCs w:val="28"/>
        </w:rPr>
        <w:lastRenderedPageBreak/>
        <w:t>POLÍTICA MONETARIA Y CAMBIARIA</w:t>
      </w:r>
    </w:p>
    <w:p w14:paraId="2F56F0AF" w14:textId="77777777" w:rsidR="0071728B" w:rsidRPr="0071728B" w:rsidRDefault="0071728B" w:rsidP="0071728B">
      <w:pPr>
        <w:ind w:right="-159"/>
        <w:jc w:val="both"/>
        <w:rPr>
          <w:rFonts w:eastAsia="Calibri"/>
          <w:b/>
          <w:sz w:val="26"/>
          <w:szCs w:val="26"/>
          <w:lang w:eastAsia="en-US"/>
        </w:rPr>
      </w:pPr>
      <w:r w:rsidRPr="0071728B">
        <w:rPr>
          <w:rFonts w:eastAsia="Calibri"/>
          <w:b/>
          <w:sz w:val="26"/>
          <w:szCs w:val="26"/>
          <w:lang w:eastAsia="en-US"/>
        </w:rPr>
        <w:t>La   Junta   de   Gobierno  del  Banco  de</w:t>
      </w:r>
    </w:p>
    <w:p w14:paraId="355C2C30" w14:textId="77777777" w:rsidR="0071728B" w:rsidRPr="0071728B" w:rsidRDefault="0071728B" w:rsidP="0071728B">
      <w:pPr>
        <w:ind w:right="-159"/>
        <w:jc w:val="both"/>
        <w:rPr>
          <w:rFonts w:eastAsia="Calibri"/>
          <w:b/>
          <w:sz w:val="26"/>
          <w:szCs w:val="26"/>
          <w:lang w:eastAsia="en-US"/>
        </w:rPr>
      </w:pPr>
      <w:r w:rsidRPr="0071728B">
        <w:rPr>
          <w:rFonts w:eastAsia="Calibri"/>
          <w:b/>
          <w:sz w:val="26"/>
          <w:szCs w:val="26"/>
          <w:lang w:eastAsia="en-US"/>
        </w:rPr>
        <w:t>México  recorta el gasto de la Institución</w:t>
      </w:r>
    </w:p>
    <w:p w14:paraId="2C17F346" w14:textId="77777777" w:rsidR="0071728B" w:rsidRPr="0071728B" w:rsidRDefault="0071728B" w:rsidP="0071728B">
      <w:pPr>
        <w:ind w:right="-159"/>
        <w:jc w:val="both"/>
        <w:rPr>
          <w:rFonts w:eastAsia="Calibri"/>
          <w:b/>
          <w:sz w:val="26"/>
          <w:szCs w:val="26"/>
          <w:lang w:eastAsia="en-US"/>
        </w:rPr>
      </w:pPr>
      <w:r w:rsidRPr="0071728B">
        <w:rPr>
          <w:rFonts w:eastAsia="Calibri"/>
          <w:b/>
          <w:sz w:val="26"/>
          <w:szCs w:val="26"/>
          <w:lang w:eastAsia="en-US"/>
        </w:rPr>
        <w:t>durante 2015 en la misma proporción de</w:t>
      </w:r>
    </w:p>
    <w:p w14:paraId="2DDC82FF" w14:textId="77777777" w:rsidR="0071728B" w:rsidRPr="0071728B" w:rsidRDefault="0071728B" w:rsidP="0071728B">
      <w:pPr>
        <w:ind w:right="-159"/>
        <w:jc w:val="both"/>
        <w:rPr>
          <w:rFonts w:eastAsia="Calibri"/>
          <w:b/>
          <w:sz w:val="26"/>
          <w:szCs w:val="26"/>
          <w:lang w:eastAsia="en-US"/>
        </w:rPr>
      </w:pPr>
      <w:r w:rsidRPr="0071728B">
        <w:rPr>
          <w:rFonts w:eastAsia="Calibri"/>
          <w:b/>
          <w:sz w:val="26"/>
          <w:szCs w:val="26"/>
          <w:lang w:eastAsia="en-US"/>
        </w:rPr>
        <w:t>la reducción del gasto público anunciada</w:t>
      </w:r>
    </w:p>
    <w:p w14:paraId="7F9A3DCF" w14:textId="77777777" w:rsidR="0071728B" w:rsidRPr="0071728B" w:rsidRDefault="0071728B" w:rsidP="0071728B">
      <w:pPr>
        <w:spacing w:after="360" w:line="360" w:lineRule="auto"/>
        <w:ind w:right="-159"/>
        <w:jc w:val="both"/>
        <w:rPr>
          <w:rFonts w:eastAsia="Calibri"/>
          <w:b/>
          <w:sz w:val="26"/>
          <w:szCs w:val="26"/>
          <w:lang w:eastAsia="en-US"/>
        </w:rPr>
      </w:pPr>
      <w:r w:rsidRPr="0071728B">
        <w:rPr>
          <w:rFonts w:eastAsia="Calibri"/>
          <w:b/>
          <w:sz w:val="26"/>
          <w:szCs w:val="26"/>
          <w:lang w:eastAsia="en-US"/>
        </w:rPr>
        <w:t>por el Gobierno Federal (Banxico)</w:t>
      </w:r>
    </w:p>
    <w:p w14:paraId="5B4231D9" w14:textId="77777777" w:rsidR="0071728B" w:rsidRPr="0071728B" w:rsidRDefault="0071728B" w:rsidP="0071728B">
      <w:pPr>
        <w:spacing w:after="360" w:line="360" w:lineRule="auto"/>
        <w:ind w:right="-159"/>
        <w:jc w:val="both"/>
        <w:rPr>
          <w:rFonts w:eastAsia="Calibri"/>
          <w:sz w:val="26"/>
          <w:szCs w:val="26"/>
          <w:lang w:eastAsia="en-US"/>
        </w:rPr>
      </w:pPr>
      <w:r w:rsidRPr="0071728B">
        <w:rPr>
          <w:rFonts w:eastAsia="Calibri"/>
          <w:sz w:val="26"/>
          <w:szCs w:val="26"/>
          <w:lang w:eastAsia="en-US"/>
        </w:rPr>
        <w:t xml:space="preserve">El 26 de febrero de 2015, el Banco de México (Banxico) informó que la Junta de Gobierno de Banxico determinó reducir en 80.9 millones de pesos el presupuesto del Instituto Central para 2015 destinado a gasto corriente e inversión física no relacionados con la función de proveer billetes y monedas a la economía. </w:t>
      </w:r>
    </w:p>
    <w:p w14:paraId="157F3138" w14:textId="77777777" w:rsidR="0071728B" w:rsidRPr="0071728B" w:rsidRDefault="0071728B" w:rsidP="0071728B">
      <w:pPr>
        <w:spacing w:after="360" w:line="360" w:lineRule="auto"/>
        <w:ind w:right="-159"/>
        <w:jc w:val="both"/>
        <w:rPr>
          <w:rFonts w:eastAsia="Calibri"/>
          <w:sz w:val="26"/>
          <w:szCs w:val="26"/>
          <w:lang w:eastAsia="en-US"/>
        </w:rPr>
      </w:pPr>
      <w:r w:rsidRPr="0071728B">
        <w:rPr>
          <w:rFonts w:eastAsia="Calibri"/>
          <w:sz w:val="26"/>
          <w:szCs w:val="26"/>
          <w:lang w:eastAsia="en-US"/>
        </w:rPr>
        <w:t xml:space="preserve">Esta disminución equivale al 2.7% del presupuesto aprobado por la propia Junta de Gobierno para 2015 en gasto corriente e inversión física no relacionados con la función de proveer billetes y monedas a la economía, la cual es complementaria a las diversas medidas que Banxico ha venido instrumentando en materia de austeridad, ahorro y disciplina del gasto.  </w:t>
      </w:r>
    </w:p>
    <w:p w14:paraId="4B8FED96" w14:textId="77777777" w:rsidR="0071728B" w:rsidRDefault="0071728B" w:rsidP="0071728B">
      <w:pPr>
        <w:spacing w:after="360" w:line="360" w:lineRule="auto"/>
        <w:ind w:right="-159"/>
        <w:jc w:val="both"/>
        <w:rPr>
          <w:rFonts w:eastAsia="Calibri"/>
          <w:sz w:val="26"/>
          <w:szCs w:val="26"/>
          <w:lang w:eastAsia="en-US"/>
        </w:rPr>
      </w:pPr>
      <w:r w:rsidRPr="0071728B">
        <w:rPr>
          <w:rFonts w:eastAsia="Calibri"/>
          <w:sz w:val="26"/>
          <w:szCs w:val="26"/>
          <w:lang w:eastAsia="en-US"/>
        </w:rPr>
        <w:t xml:space="preserve">Esa proporción, 2.7%, es la misma que tendrá el ajuste de 124.3 miles de millones de pesos en el gasto público, anunciado el pasado 30 de enero por la Secretaría de Hacienda y Crédito (SHCP), respecto del Presupuesto de Egresos de la Federación aprobado por la H. Cámara de Diputados. </w:t>
      </w:r>
    </w:p>
    <w:p w14:paraId="1C33E67B" w14:textId="77777777" w:rsidR="001D7965" w:rsidRDefault="001D7965" w:rsidP="0071728B">
      <w:pPr>
        <w:spacing w:after="360" w:line="360" w:lineRule="auto"/>
        <w:ind w:right="-159"/>
        <w:jc w:val="both"/>
        <w:rPr>
          <w:rFonts w:eastAsia="Calibri"/>
          <w:sz w:val="26"/>
          <w:szCs w:val="26"/>
          <w:lang w:eastAsia="en-US"/>
        </w:rPr>
      </w:pPr>
    </w:p>
    <w:p w14:paraId="0E1DB722" w14:textId="77777777" w:rsidR="001D7965" w:rsidRDefault="001D7965" w:rsidP="0071728B">
      <w:pPr>
        <w:spacing w:after="360" w:line="360" w:lineRule="auto"/>
        <w:ind w:right="-159"/>
        <w:jc w:val="both"/>
        <w:rPr>
          <w:rFonts w:eastAsia="Calibri"/>
          <w:sz w:val="26"/>
          <w:szCs w:val="26"/>
          <w:lang w:eastAsia="en-US"/>
        </w:rPr>
      </w:pPr>
    </w:p>
    <w:p w14:paraId="25073A8B" w14:textId="77777777" w:rsidR="001D7965" w:rsidRDefault="001D7965" w:rsidP="0071728B">
      <w:pPr>
        <w:spacing w:after="360" w:line="360" w:lineRule="auto"/>
        <w:ind w:right="-159"/>
        <w:jc w:val="both"/>
        <w:rPr>
          <w:rFonts w:eastAsia="Calibri"/>
          <w:sz w:val="26"/>
          <w:szCs w:val="26"/>
          <w:lang w:eastAsia="en-US"/>
        </w:rPr>
      </w:pPr>
    </w:p>
    <w:p w14:paraId="215D99E6" w14:textId="77777777" w:rsidR="001D7965" w:rsidRPr="0071728B" w:rsidRDefault="001D7965" w:rsidP="0071728B">
      <w:pPr>
        <w:spacing w:after="360" w:line="360" w:lineRule="auto"/>
        <w:ind w:right="-159"/>
        <w:jc w:val="both"/>
        <w:rPr>
          <w:rFonts w:eastAsia="Calibri"/>
          <w:sz w:val="26"/>
          <w:szCs w:val="26"/>
          <w:lang w:eastAsia="en-US"/>
        </w:rPr>
      </w:pPr>
    </w:p>
    <w:p w14:paraId="6B9A6ED4" w14:textId="4AE023E3" w:rsidR="0071728B" w:rsidRPr="0071728B" w:rsidRDefault="0071728B" w:rsidP="0071728B">
      <w:pPr>
        <w:spacing w:after="360" w:line="360" w:lineRule="auto"/>
        <w:ind w:right="-159"/>
        <w:jc w:val="both"/>
        <w:rPr>
          <w:rFonts w:eastAsia="Calibri"/>
          <w:sz w:val="26"/>
          <w:szCs w:val="26"/>
          <w:lang w:eastAsia="en-US"/>
        </w:rPr>
      </w:pPr>
      <w:r w:rsidRPr="0071728B">
        <w:rPr>
          <w:rFonts w:eastAsia="Calibri"/>
          <w:sz w:val="26"/>
          <w:szCs w:val="26"/>
          <w:lang w:eastAsia="en-US"/>
        </w:rPr>
        <w:lastRenderedPageBreak/>
        <w:t xml:space="preserve">El Gobernador del Banco informó sobre esta decisión de la Junta de Gobierno al Presidente de los Estados Unidos Mexicanos, y a las Cámaras de Senadores y de Diputados del Honorable Congreso de la Unión, en complemento a la información que se les envió el pasado 29 de enero donde se dio cuenta del Presupuesto del Instituto Central aprobado por su Junta de Gobierno para el ejercicio 2015, de acuerdo </w:t>
      </w:r>
      <w:r w:rsidR="008957E5">
        <w:rPr>
          <w:rFonts w:eastAsia="Calibri"/>
          <w:sz w:val="26"/>
          <w:szCs w:val="26"/>
          <w:lang w:eastAsia="en-US"/>
        </w:rPr>
        <w:t>con</w:t>
      </w:r>
      <w:r w:rsidRPr="0071728B">
        <w:rPr>
          <w:rFonts w:eastAsia="Calibri"/>
          <w:sz w:val="26"/>
          <w:szCs w:val="26"/>
          <w:lang w:eastAsia="en-US"/>
        </w:rPr>
        <w:t xml:space="preserve"> lo dispuesto por el artículo 51, fracción I de la Ley del Banco de México.</w:t>
      </w:r>
    </w:p>
    <w:p w14:paraId="1E9AA4F7" w14:textId="77777777" w:rsidR="0071728B" w:rsidRPr="0071728B" w:rsidRDefault="0071728B" w:rsidP="0071728B">
      <w:pPr>
        <w:ind w:right="-159"/>
        <w:jc w:val="both"/>
        <w:rPr>
          <w:rFonts w:eastAsia="Calibri"/>
          <w:b/>
          <w:sz w:val="20"/>
          <w:szCs w:val="20"/>
          <w:lang w:eastAsia="en-US"/>
        </w:rPr>
      </w:pPr>
      <w:r w:rsidRPr="0071728B">
        <w:rPr>
          <w:rFonts w:eastAsia="Calibri"/>
          <w:b/>
          <w:sz w:val="20"/>
          <w:szCs w:val="20"/>
          <w:lang w:eastAsia="en-US"/>
        </w:rPr>
        <w:t>Fuente de información:</w:t>
      </w:r>
    </w:p>
    <w:p w14:paraId="2DB76B94" w14:textId="77777777" w:rsidR="0071728B" w:rsidRPr="00AF4DFC" w:rsidRDefault="0093224F" w:rsidP="00AF4DFC">
      <w:pPr>
        <w:spacing w:after="720"/>
        <w:ind w:right="-159"/>
        <w:jc w:val="both"/>
        <w:rPr>
          <w:rFonts w:eastAsia="Calibri"/>
          <w:color w:val="0000FF"/>
          <w:sz w:val="20"/>
          <w:szCs w:val="20"/>
          <w:lang w:eastAsia="en-US"/>
        </w:rPr>
      </w:pPr>
      <w:hyperlink r:id="rId385" w:history="1">
        <w:r w:rsidR="0071728B" w:rsidRPr="00AF4DFC">
          <w:rPr>
            <w:rFonts w:eastAsia="Calibri"/>
            <w:color w:val="0000FF"/>
            <w:sz w:val="20"/>
            <w:szCs w:val="20"/>
            <w:u w:val="single"/>
            <w:lang w:eastAsia="en-US"/>
          </w:rPr>
          <w:t>http://www.banxico.org.mx/informacion-para-la-prensa/comunicados/miscelaneos/boletines/%7B790B9FB1-76A1-1AF0-90A4-492CDB063DE2%7D.pdf</w:t>
        </w:r>
      </w:hyperlink>
      <w:r w:rsidR="0071728B" w:rsidRPr="00AF4DFC">
        <w:rPr>
          <w:rFonts w:eastAsia="Calibri"/>
          <w:color w:val="0000FF"/>
          <w:sz w:val="20"/>
          <w:szCs w:val="20"/>
          <w:lang w:eastAsia="en-US"/>
        </w:rPr>
        <w:t xml:space="preserve"> </w:t>
      </w:r>
    </w:p>
    <w:p w14:paraId="5F415272" w14:textId="77777777" w:rsidR="00CE481A" w:rsidRPr="00CE481A" w:rsidRDefault="00CE481A" w:rsidP="00CE481A">
      <w:pPr>
        <w:ind w:right="-159"/>
        <w:jc w:val="both"/>
        <w:rPr>
          <w:rFonts w:eastAsia="Calibri"/>
          <w:b/>
          <w:sz w:val="26"/>
          <w:szCs w:val="26"/>
          <w:lang w:eastAsia="en-US"/>
        </w:rPr>
      </w:pPr>
      <w:r w:rsidRPr="00CE481A">
        <w:rPr>
          <w:rFonts w:eastAsia="Calibri"/>
          <w:b/>
          <w:sz w:val="26"/>
          <w:szCs w:val="26"/>
          <w:lang w:eastAsia="en-US"/>
        </w:rPr>
        <w:t>El Gobierno Federal emitió bonos a</w:t>
      </w:r>
    </w:p>
    <w:p w14:paraId="6804D7AC" w14:textId="7EE81870" w:rsidR="00CE481A" w:rsidRPr="00CE481A" w:rsidRDefault="00CE481A" w:rsidP="00CE481A">
      <w:pPr>
        <w:ind w:right="-159"/>
        <w:jc w:val="both"/>
        <w:rPr>
          <w:rFonts w:eastAsia="Calibri"/>
          <w:b/>
          <w:sz w:val="26"/>
          <w:szCs w:val="26"/>
          <w:lang w:eastAsia="en-US"/>
        </w:rPr>
      </w:pPr>
      <w:r w:rsidRPr="00CE481A">
        <w:rPr>
          <w:rFonts w:eastAsia="Calibri"/>
          <w:b/>
          <w:sz w:val="26"/>
          <w:szCs w:val="26"/>
          <w:lang w:eastAsia="en-US"/>
        </w:rPr>
        <w:t xml:space="preserve">9  y  30  años  en  euros  a  un  </w:t>
      </w:r>
      <w:r>
        <w:rPr>
          <w:rFonts w:eastAsia="Calibri"/>
          <w:b/>
          <w:sz w:val="26"/>
          <w:szCs w:val="26"/>
          <w:lang w:eastAsia="en-US"/>
        </w:rPr>
        <w:t xml:space="preserve"> </w:t>
      </w:r>
      <w:r w:rsidRPr="00CE481A">
        <w:rPr>
          <w:rFonts w:eastAsia="Calibri"/>
          <w:b/>
          <w:sz w:val="26"/>
          <w:szCs w:val="26"/>
          <w:lang w:eastAsia="en-US"/>
        </w:rPr>
        <w:t>costo</w:t>
      </w:r>
    </w:p>
    <w:p w14:paraId="1CD2CFC8" w14:textId="1CF20F55" w:rsidR="00CE481A" w:rsidRPr="00CE481A" w:rsidRDefault="00CE481A" w:rsidP="00CE481A">
      <w:pPr>
        <w:spacing w:after="360" w:line="360" w:lineRule="auto"/>
        <w:ind w:right="-159"/>
        <w:jc w:val="both"/>
        <w:rPr>
          <w:rFonts w:eastAsia="Calibri"/>
          <w:b/>
          <w:sz w:val="26"/>
          <w:szCs w:val="26"/>
          <w:lang w:eastAsia="en-US"/>
        </w:rPr>
      </w:pPr>
      <w:r w:rsidRPr="00CE481A">
        <w:rPr>
          <w:rFonts w:eastAsia="Calibri"/>
          <w:b/>
          <w:sz w:val="26"/>
          <w:szCs w:val="26"/>
          <w:lang w:eastAsia="en-US"/>
        </w:rPr>
        <w:t>históricamente   bajo  (SHCP)</w:t>
      </w:r>
    </w:p>
    <w:p w14:paraId="5E79ED84" w14:textId="77777777" w:rsidR="00CE481A" w:rsidRPr="00CE481A" w:rsidRDefault="00CE481A" w:rsidP="00CE481A">
      <w:pPr>
        <w:spacing w:after="360" w:line="360" w:lineRule="auto"/>
        <w:ind w:right="-159"/>
        <w:jc w:val="both"/>
        <w:rPr>
          <w:rFonts w:eastAsia="Calibri"/>
          <w:sz w:val="26"/>
          <w:szCs w:val="26"/>
          <w:lang w:eastAsia="en-US"/>
        </w:rPr>
      </w:pPr>
      <w:r w:rsidRPr="00CE481A">
        <w:rPr>
          <w:rFonts w:eastAsia="Calibri"/>
          <w:sz w:val="26"/>
          <w:szCs w:val="26"/>
          <w:lang w:eastAsia="en-US"/>
        </w:rPr>
        <w:t>El 26 de febrero de 2015, la Secretaría de Hacienda y Crédito Público (SHCP) informó que el Gobierno Federal emitió bonos a 9 y 30 años en euros a un costo históricamente bajo. A continuación se presenta la información.</w:t>
      </w:r>
    </w:p>
    <w:p w14:paraId="0699D432" w14:textId="77777777" w:rsidR="00CE481A" w:rsidRPr="00CE481A" w:rsidRDefault="00CE481A" w:rsidP="00CE481A">
      <w:pPr>
        <w:spacing w:after="360" w:line="360" w:lineRule="auto"/>
        <w:ind w:right="-159"/>
        <w:jc w:val="both"/>
        <w:rPr>
          <w:rFonts w:eastAsia="Calibri"/>
          <w:sz w:val="26"/>
          <w:szCs w:val="26"/>
          <w:lang w:eastAsia="en-US"/>
        </w:rPr>
      </w:pPr>
      <w:r w:rsidRPr="00CE481A">
        <w:rPr>
          <w:rFonts w:eastAsia="Calibri"/>
          <w:sz w:val="26"/>
          <w:szCs w:val="26"/>
          <w:lang w:eastAsia="en-US"/>
        </w:rPr>
        <w:t>La SHCP realizó una emisión de dos nuevos bonos de referencia en euros a 9 y 30 años, por un total de 2 mil 500 millones de euros, aproximadamente 2 mil 800 millones de dólares. Esta transacción cumple con los siguientes objetivos:</w:t>
      </w:r>
    </w:p>
    <w:p w14:paraId="566E4393" w14:textId="77777777" w:rsidR="00CE481A" w:rsidRPr="00CE481A" w:rsidRDefault="00CE481A" w:rsidP="00276F3E">
      <w:pPr>
        <w:numPr>
          <w:ilvl w:val="0"/>
          <w:numId w:val="26"/>
        </w:numPr>
        <w:spacing w:after="360" w:line="360" w:lineRule="auto"/>
        <w:ind w:left="714" w:right="-159" w:hanging="357"/>
        <w:jc w:val="both"/>
        <w:rPr>
          <w:rFonts w:eastAsia="Calibri"/>
          <w:sz w:val="26"/>
          <w:szCs w:val="26"/>
          <w:lang w:eastAsia="en-US"/>
        </w:rPr>
      </w:pPr>
      <w:r w:rsidRPr="00CE481A">
        <w:rPr>
          <w:rFonts w:eastAsia="Calibri"/>
          <w:sz w:val="26"/>
          <w:szCs w:val="26"/>
          <w:lang w:eastAsia="en-US"/>
        </w:rPr>
        <w:t>Cubrir las necesidades de financiamiento del Gobierno Federal a un costo históricamente bajo;</w:t>
      </w:r>
    </w:p>
    <w:p w14:paraId="5F234E32" w14:textId="77777777" w:rsidR="00CE481A" w:rsidRPr="00CE481A" w:rsidRDefault="00CE481A" w:rsidP="00276F3E">
      <w:pPr>
        <w:numPr>
          <w:ilvl w:val="0"/>
          <w:numId w:val="26"/>
        </w:numPr>
        <w:spacing w:after="360" w:line="360" w:lineRule="auto"/>
        <w:ind w:left="714" w:right="-159" w:hanging="357"/>
        <w:jc w:val="both"/>
        <w:rPr>
          <w:rFonts w:eastAsia="Calibri"/>
          <w:sz w:val="26"/>
          <w:szCs w:val="26"/>
          <w:lang w:eastAsia="en-US"/>
        </w:rPr>
      </w:pPr>
      <w:r w:rsidRPr="00CE481A">
        <w:rPr>
          <w:rFonts w:eastAsia="Calibri"/>
          <w:sz w:val="26"/>
          <w:szCs w:val="26"/>
          <w:lang w:eastAsia="en-US"/>
        </w:rPr>
        <w:t>Extender el perfil de amortizaciones de los bonos de referencia en moneda extranjera;</w:t>
      </w:r>
    </w:p>
    <w:p w14:paraId="687BAE4D" w14:textId="77777777" w:rsidR="00CE481A" w:rsidRPr="00CE481A" w:rsidRDefault="00CE481A" w:rsidP="00276F3E">
      <w:pPr>
        <w:numPr>
          <w:ilvl w:val="0"/>
          <w:numId w:val="26"/>
        </w:numPr>
        <w:spacing w:after="360" w:line="360" w:lineRule="auto"/>
        <w:ind w:right="-159"/>
        <w:jc w:val="both"/>
        <w:rPr>
          <w:rFonts w:eastAsia="Calibri"/>
          <w:sz w:val="26"/>
          <w:szCs w:val="26"/>
          <w:lang w:eastAsia="en-US"/>
        </w:rPr>
      </w:pPr>
      <w:r w:rsidRPr="00CE481A">
        <w:rPr>
          <w:rFonts w:eastAsia="Calibri"/>
          <w:sz w:val="26"/>
          <w:szCs w:val="26"/>
          <w:lang w:eastAsia="en-US"/>
        </w:rPr>
        <w:t>Establecer nuevos bonos de referencia para desarrollar la curva de rendimientos del Gobierno de la República en los mercados internacionales, que a su vez son de utilidad para otros emisores públicos y privados; e</w:t>
      </w:r>
    </w:p>
    <w:p w14:paraId="6BDAAD84" w14:textId="77777777" w:rsidR="00CE481A" w:rsidRPr="00CE481A" w:rsidRDefault="00CE481A" w:rsidP="00276F3E">
      <w:pPr>
        <w:numPr>
          <w:ilvl w:val="0"/>
          <w:numId w:val="26"/>
        </w:numPr>
        <w:spacing w:after="360" w:line="360" w:lineRule="auto"/>
        <w:ind w:left="714" w:right="-159" w:hanging="357"/>
        <w:jc w:val="both"/>
        <w:rPr>
          <w:rFonts w:eastAsia="Calibri"/>
          <w:sz w:val="26"/>
          <w:szCs w:val="26"/>
          <w:lang w:eastAsia="en-US"/>
        </w:rPr>
      </w:pPr>
      <w:r w:rsidRPr="00CE481A">
        <w:rPr>
          <w:rFonts w:eastAsia="Calibri"/>
          <w:sz w:val="26"/>
          <w:szCs w:val="26"/>
          <w:lang w:eastAsia="en-US"/>
        </w:rPr>
        <w:lastRenderedPageBreak/>
        <w:t xml:space="preserve">Introducir en los bonos en euros del Gobierno Federal las nuevas Cláusulas de Acción Colectiva y </w:t>
      </w:r>
      <w:r w:rsidRPr="00CE481A">
        <w:rPr>
          <w:rFonts w:eastAsia="Calibri"/>
          <w:i/>
          <w:sz w:val="26"/>
          <w:szCs w:val="26"/>
          <w:lang w:eastAsia="en-US"/>
        </w:rPr>
        <w:t xml:space="preserve">Pari Passu </w:t>
      </w:r>
      <w:r w:rsidRPr="00CE481A">
        <w:rPr>
          <w:rFonts w:eastAsia="Calibri"/>
          <w:sz w:val="26"/>
          <w:szCs w:val="26"/>
          <w:lang w:eastAsia="en-US"/>
        </w:rPr>
        <w:t>utilizadas en los contratos de deuda externa a partir de noviembre 2014.</w:t>
      </w:r>
    </w:p>
    <w:p w14:paraId="3F3F9039" w14:textId="77777777" w:rsidR="00CE481A" w:rsidRPr="00CE481A" w:rsidRDefault="00CE481A" w:rsidP="00CE481A">
      <w:pPr>
        <w:spacing w:after="360" w:line="360" w:lineRule="auto"/>
        <w:ind w:right="-159"/>
        <w:jc w:val="both"/>
        <w:rPr>
          <w:rFonts w:eastAsia="Calibri"/>
          <w:sz w:val="26"/>
          <w:szCs w:val="26"/>
          <w:lang w:eastAsia="en-US"/>
        </w:rPr>
      </w:pPr>
      <w:r w:rsidRPr="00CE481A">
        <w:rPr>
          <w:rFonts w:eastAsia="Calibri"/>
          <w:sz w:val="26"/>
          <w:szCs w:val="26"/>
          <w:lang w:eastAsia="en-US"/>
        </w:rPr>
        <w:t xml:space="preserve">El bono con vencimiento en marzo de 2024 contará con un monto total en circulación de 1 mil 250 millones de euros, pagará un cupón de 1.625% y otorgará al inversionista un rendimiento al vencimiento de 1.687%, con un diferencial de 110 puntos base respecto a la tasa de interés interbancaria para operaciones tipo </w:t>
      </w:r>
      <w:r w:rsidRPr="00CE481A">
        <w:rPr>
          <w:rFonts w:eastAsia="Calibri"/>
          <w:i/>
          <w:sz w:val="26"/>
          <w:szCs w:val="26"/>
          <w:lang w:eastAsia="en-US"/>
        </w:rPr>
        <w:t>swap</w:t>
      </w:r>
      <w:r w:rsidRPr="00CE481A">
        <w:rPr>
          <w:rFonts w:eastAsia="Calibri"/>
          <w:sz w:val="26"/>
          <w:szCs w:val="26"/>
          <w:lang w:eastAsia="en-US"/>
        </w:rPr>
        <w:t>.</w:t>
      </w:r>
    </w:p>
    <w:p w14:paraId="048CAA82" w14:textId="3292A229" w:rsidR="00CE481A" w:rsidRPr="00CE481A" w:rsidRDefault="00CE481A" w:rsidP="00CE481A">
      <w:pPr>
        <w:spacing w:after="360" w:line="360" w:lineRule="auto"/>
        <w:ind w:right="-159"/>
        <w:jc w:val="both"/>
        <w:rPr>
          <w:rFonts w:eastAsia="Calibri"/>
          <w:sz w:val="26"/>
          <w:szCs w:val="26"/>
          <w:lang w:eastAsia="en-US"/>
        </w:rPr>
      </w:pPr>
      <w:r w:rsidRPr="00CE481A">
        <w:rPr>
          <w:rFonts w:eastAsia="Calibri"/>
          <w:sz w:val="26"/>
          <w:szCs w:val="26"/>
          <w:lang w:eastAsia="en-US"/>
        </w:rPr>
        <w:t xml:space="preserve">El nuevo bono a 30 años, con vencimiento en marzo de 2045, contará con un monto en circulación de 1 mil 250 millones de euros, pagará un cupón de 3.0% y otorgará al inversionista un rendimiento al vencimiento de 3.093%, con un diferencial de               190 puntos base respecto a la tasa de interés interbancaria para operaciones tipo </w:t>
      </w:r>
      <w:r w:rsidRPr="00CE481A">
        <w:rPr>
          <w:rFonts w:eastAsia="Calibri"/>
          <w:i/>
          <w:sz w:val="26"/>
          <w:szCs w:val="26"/>
          <w:lang w:eastAsia="en-US"/>
        </w:rPr>
        <w:t>swap</w:t>
      </w:r>
      <w:r w:rsidRPr="00CE481A">
        <w:rPr>
          <w:rFonts w:eastAsia="Calibri"/>
          <w:sz w:val="26"/>
          <w:szCs w:val="26"/>
          <w:lang w:eastAsia="en-US"/>
        </w:rPr>
        <w:t>. México es el primer país no europeo en emitir un bono de referencia a 30 años en el mercado de euros.</w:t>
      </w:r>
    </w:p>
    <w:p w14:paraId="237601DD" w14:textId="03A62907" w:rsidR="00CE481A" w:rsidRPr="00CE481A" w:rsidRDefault="00CE481A" w:rsidP="00CE481A">
      <w:pPr>
        <w:spacing w:after="360" w:line="360" w:lineRule="auto"/>
        <w:ind w:right="-159"/>
        <w:jc w:val="both"/>
        <w:rPr>
          <w:rFonts w:eastAsia="Calibri"/>
          <w:sz w:val="26"/>
          <w:szCs w:val="26"/>
          <w:lang w:eastAsia="en-US"/>
        </w:rPr>
      </w:pPr>
      <w:r w:rsidRPr="00CE481A">
        <w:rPr>
          <w:rFonts w:eastAsia="Calibri"/>
          <w:sz w:val="26"/>
          <w:szCs w:val="26"/>
          <w:lang w:eastAsia="en-US"/>
        </w:rPr>
        <w:t xml:space="preserve">La operación tuvo una demanda total de más de 8 mil 700 millones de euros (aproximadamente 9 mil 800 millones de dólares), 3.5 veces el monto emitido, con más de 5 mil millones de euros en el tramo de </w:t>
      </w:r>
      <w:r w:rsidR="00A8424C">
        <w:rPr>
          <w:rFonts w:eastAsia="Calibri"/>
          <w:sz w:val="26"/>
          <w:szCs w:val="26"/>
          <w:lang w:eastAsia="en-US"/>
        </w:rPr>
        <w:t>nueve</w:t>
      </w:r>
      <w:r w:rsidRPr="00CE481A">
        <w:rPr>
          <w:rFonts w:eastAsia="Calibri"/>
          <w:sz w:val="26"/>
          <w:szCs w:val="26"/>
          <w:lang w:eastAsia="en-US"/>
        </w:rPr>
        <w:t xml:space="preserve"> años y más de 3 mil 700 millones de euros en el tramo de 30 años. Se recibieron más de 600 órdenes por parte de </w:t>
      </w:r>
      <w:r w:rsidR="00A8424C">
        <w:rPr>
          <w:rFonts w:eastAsia="Calibri"/>
          <w:sz w:val="26"/>
          <w:szCs w:val="26"/>
          <w:lang w:eastAsia="en-US"/>
        </w:rPr>
        <w:t xml:space="preserve">                   </w:t>
      </w:r>
      <w:r w:rsidRPr="00CE481A">
        <w:rPr>
          <w:rFonts w:eastAsia="Calibri"/>
          <w:sz w:val="26"/>
          <w:szCs w:val="26"/>
          <w:lang w:eastAsia="en-US"/>
        </w:rPr>
        <w:t>400 inversionistas institucionales de Europa, América, Asia y Medio Oriente, lo que refleja el amplio interés de los inversionistas internacionales por instrumentos de deuda emitidos por el Gobierno Federal.</w:t>
      </w:r>
    </w:p>
    <w:p w14:paraId="01323D73" w14:textId="3E63CC72" w:rsidR="00CE481A" w:rsidRPr="00CE481A" w:rsidRDefault="00CE481A" w:rsidP="00CE481A">
      <w:pPr>
        <w:spacing w:after="360" w:line="360" w:lineRule="auto"/>
        <w:ind w:right="-159"/>
        <w:jc w:val="both"/>
        <w:rPr>
          <w:rFonts w:eastAsia="Calibri"/>
          <w:sz w:val="26"/>
          <w:szCs w:val="26"/>
          <w:lang w:eastAsia="en-US"/>
        </w:rPr>
      </w:pPr>
      <w:r w:rsidRPr="00CE481A">
        <w:rPr>
          <w:rFonts w:eastAsia="Calibri"/>
          <w:sz w:val="26"/>
          <w:szCs w:val="26"/>
          <w:lang w:eastAsia="en-US"/>
        </w:rPr>
        <w:t>El Secretario de Hacienda y Crédito Público destacó que: “la extensión de plazo y el menor costo en la historia alcanzado en la emisión en euros el día de hoy refleja la amplia aceptación de los instrumentos de deuda emitidos por el Gobierno Federal y la confianza de los inversionistas internacionales en el manejo de las finanzas públicas y en las perspectivas de crecimiento del país”.</w:t>
      </w:r>
    </w:p>
    <w:p w14:paraId="7F6C2729" w14:textId="77777777" w:rsidR="00CE481A" w:rsidRPr="00CE481A" w:rsidRDefault="00CE481A" w:rsidP="00CE481A">
      <w:pPr>
        <w:spacing w:after="360" w:line="360" w:lineRule="auto"/>
        <w:ind w:right="-159"/>
        <w:jc w:val="both"/>
        <w:rPr>
          <w:rFonts w:eastAsia="Calibri"/>
          <w:sz w:val="26"/>
          <w:szCs w:val="26"/>
          <w:lang w:eastAsia="en-US"/>
        </w:rPr>
      </w:pPr>
      <w:r w:rsidRPr="00CE481A">
        <w:rPr>
          <w:rFonts w:eastAsia="Calibri"/>
          <w:sz w:val="26"/>
          <w:szCs w:val="26"/>
          <w:lang w:eastAsia="en-US"/>
        </w:rPr>
        <w:lastRenderedPageBreak/>
        <w:t>La Administración del Presidente de la República, reitera su compromiso de utilizar el endeudamiento público de manera responsable y en congruencia con los objetivos de política pública necesarios para contar con finanzas públicas sanas, elemento indispensable para el crecimiento económico.</w:t>
      </w:r>
    </w:p>
    <w:p w14:paraId="73274D8C" w14:textId="77777777" w:rsidR="00CE481A" w:rsidRPr="00CE481A" w:rsidRDefault="00CE481A" w:rsidP="00CE481A">
      <w:pPr>
        <w:ind w:right="-159"/>
        <w:jc w:val="both"/>
        <w:rPr>
          <w:rFonts w:eastAsia="Calibri"/>
          <w:b/>
          <w:sz w:val="20"/>
          <w:szCs w:val="20"/>
          <w:lang w:eastAsia="en-US"/>
        </w:rPr>
      </w:pPr>
      <w:r w:rsidRPr="00CE481A">
        <w:rPr>
          <w:rFonts w:eastAsia="Calibri"/>
          <w:b/>
          <w:sz w:val="20"/>
          <w:szCs w:val="20"/>
          <w:lang w:eastAsia="en-US"/>
        </w:rPr>
        <w:t>Fuente de información:</w:t>
      </w:r>
    </w:p>
    <w:p w14:paraId="45D6F0C4" w14:textId="77777777" w:rsidR="00CE481A" w:rsidRPr="00AF4DFC" w:rsidRDefault="0093224F" w:rsidP="00AF4DFC">
      <w:pPr>
        <w:spacing w:after="720"/>
        <w:ind w:right="-159"/>
        <w:jc w:val="both"/>
        <w:rPr>
          <w:rFonts w:eastAsia="Calibri"/>
          <w:color w:val="0000FF"/>
          <w:sz w:val="20"/>
          <w:szCs w:val="20"/>
          <w:lang w:eastAsia="en-US"/>
        </w:rPr>
      </w:pPr>
      <w:hyperlink r:id="rId386" w:history="1">
        <w:r w:rsidR="00CE481A" w:rsidRPr="00AF4DFC">
          <w:rPr>
            <w:rFonts w:eastAsia="Calibri"/>
            <w:color w:val="0000FF"/>
            <w:sz w:val="20"/>
            <w:szCs w:val="20"/>
            <w:u w:val="single"/>
            <w:lang w:eastAsia="en-US"/>
          </w:rPr>
          <w:t>http://www.shcp.gob.mx/Biblioteca_noticias_home/comunicado_014_2015.pdf</w:t>
        </w:r>
      </w:hyperlink>
      <w:r w:rsidR="00CE481A" w:rsidRPr="00AF4DFC">
        <w:rPr>
          <w:rFonts w:eastAsia="Calibri"/>
          <w:color w:val="0000FF"/>
          <w:sz w:val="20"/>
          <w:szCs w:val="20"/>
          <w:lang w:eastAsia="en-US"/>
        </w:rPr>
        <w:t xml:space="preserve"> </w:t>
      </w:r>
    </w:p>
    <w:p w14:paraId="1867127E" w14:textId="77777777" w:rsidR="00400A79" w:rsidRPr="00400A79" w:rsidRDefault="00400A79" w:rsidP="00400A79">
      <w:pPr>
        <w:spacing w:after="360" w:line="360" w:lineRule="auto"/>
        <w:ind w:right="-159"/>
        <w:jc w:val="both"/>
        <w:rPr>
          <w:rFonts w:eastAsia="Calibri"/>
          <w:b/>
          <w:sz w:val="26"/>
          <w:szCs w:val="26"/>
          <w:lang w:eastAsia="en-US"/>
        </w:rPr>
      </w:pPr>
      <w:r w:rsidRPr="00400A79">
        <w:rPr>
          <w:rFonts w:eastAsia="Calibri"/>
          <w:b/>
          <w:sz w:val="26"/>
          <w:szCs w:val="26"/>
          <w:lang w:eastAsia="en-US"/>
        </w:rPr>
        <w:t>México y los desafíos monetarios mundiales (Banxico)</w:t>
      </w:r>
    </w:p>
    <w:p w14:paraId="453D3D72" w14:textId="77777777" w:rsidR="00400A79" w:rsidRPr="00400A79" w:rsidRDefault="00400A79" w:rsidP="00400A79">
      <w:pPr>
        <w:spacing w:after="360" w:line="360" w:lineRule="auto"/>
        <w:ind w:right="-159"/>
        <w:jc w:val="both"/>
        <w:rPr>
          <w:rFonts w:eastAsia="Calibri"/>
          <w:sz w:val="26"/>
          <w:szCs w:val="26"/>
          <w:lang w:eastAsia="en-US"/>
        </w:rPr>
      </w:pPr>
      <w:r w:rsidRPr="00400A79">
        <w:rPr>
          <w:rFonts w:eastAsia="Calibri"/>
          <w:sz w:val="26"/>
          <w:szCs w:val="26"/>
          <w:lang w:eastAsia="en-US"/>
        </w:rPr>
        <w:t>El 6 de marzo de 2015, el Banco de México (Banxico) presentó el documento México y los desafíos monetarios mundiales. A continuación se presenta la información.</w:t>
      </w:r>
    </w:p>
    <w:p w14:paraId="596B17CD" w14:textId="77777777" w:rsidR="00400A79" w:rsidRPr="00400A79" w:rsidRDefault="00400A79" w:rsidP="00400A79">
      <w:pPr>
        <w:spacing w:after="360" w:line="360" w:lineRule="auto"/>
        <w:ind w:right="-159"/>
        <w:jc w:val="both"/>
        <w:rPr>
          <w:rFonts w:eastAsia="Calibri"/>
          <w:b/>
          <w:sz w:val="26"/>
          <w:szCs w:val="26"/>
          <w:lang w:eastAsia="en-US"/>
        </w:rPr>
      </w:pPr>
      <w:r w:rsidRPr="00400A79">
        <w:rPr>
          <w:rFonts w:eastAsia="Calibri"/>
          <w:b/>
          <w:sz w:val="26"/>
          <w:szCs w:val="26"/>
          <w:lang w:eastAsia="en-US"/>
        </w:rPr>
        <w:t>Política monetaria de los países avanzados</w:t>
      </w:r>
    </w:p>
    <w:p w14:paraId="7C7D080F" w14:textId="77777777" w:rsidR="00400A79" w:rsidRPr="00400A79" w:rsidRDefault="00400A79" w:rsidP="00400A79">
      <w:pPr>
        <w:spacing w:after="360" w:line="360" w:lineRule="auto"/>
        <w:ind w:right="-159"/>
        <w:jc w:val="both"/>
        <w:rPr>
          <w:rFonts w:eastAsia="Calibri"/>
          <w:sz w:val="26"/>
          <w:szCs w:val="26"/>
          <w:lang w:eastAsia="en-US"/>
        </w:rPr>
      </w:pPr>
      <w:r w:rsidRPr="00400A79">
        <w:rPr>
          <w:rFonts w:eastAsia="Calibri"/>
          <w:sz w:val="26"/>
          <w:szCs w:val="26"/>
          <w:lang w:eastAsia="en-US"/>
        </w:rPr>
        <w:t>El punto de partida de la política monetaria de los países avanzados es la crisis financiera de 2008</w:t>
      </w:r>
      <w:r w:rsidRPr="00400A79">
        <w:rPr>
          <w:rFonts w:ascii="Cambria Math" w:eastAsia="Calibri" w:hAnsi="Cambria Math" w:cs="Cambria Math"/>
          <w:sz w:val="26"/>
          <w:szCs w:val="26"/>
          <w:lang w:eastAsia="en-US"/>
        </w:rPr>
        <w:t>‐20</w:t>
      </w:r>
      <w:r w:rsidRPr="00400A79">
        <w:rPr>
          <w:rFonts w:eastAsia="Calibri"/>
          <w:sz w:val="26"/>
          <w:szCs w:val="26"/>
          <w:lang w:eastAsia="en-US"/>
        </w:rPr>
        <w:t>09.</w:t>
      </w:r>
    </w:p>
    <w:p w14:paraId="63AB1990" w14:textId="77777777" w:rsidR="00400A79" w:rsidRPr="00400A79" w:rsidRDefault="00400A79" w:rsidP="00276F3E">
      <w:pPr>
        <w:numPr>
          <w:ilvl w:val="0"/>
          <w:numId w:val="82"/>
        </w:numPr>
        <w:spacing w:after="360" w:line="360" w:lineRule="auto"/>
        <w:ind w:left="714" w:right="-159" w:hanging="357"/>
        <w:jc w:val="both"/>
        <w:rPr>
          <w:rFonts w:eastAsia="Calibri"/>
          <w:sz w:val="26"/>
          <w:szCs w:val="26"/>
          <w:lang w:eastAsia="en-US"/>
        </w:rPr>
      </w:pPr>
      <w:r w:rsidRPr="00400A79">
        <w:rPr>
          <w:rFonts w:eastAsia="Calibri"/>
          <w:sz w:val="26"/>
          <w:szCs w:val="26"/>
          <w:lang w:eastAsia="en-US"/>
        </w:rPr>
        <w:t>El epicentro de la crisis fue Estados Unidos de Norteamérica.</w:t>
      </w:r>
    </w:p>
    <w:p w14:paraId="36009BBB" w14:textId="77777777" w:rsidR="00400A79" w:rsidRPr="00400A79" w:rsidRDefault="00400A79" w:rsidP="00276F3E">
      <w:pPr>
        <w:numPr>
          <w:ilvl w:val="0"/>
          <w:numId w:val="82"/>
        </w:numPr>
        <w:spacing w:after="360" w:line="360" w:lineRule="auto"/>
        <w:ind w:left="714" w:right="-159" w:hanging="357"/>
        <w:jc w:val="both"/>
        <w:rPr>
          <w:rFonts w:eastAsia="Calibri"/>
          <w:sz w:val="26"/>
          <w:szCs w:val="26"/>
          <w:lang w:eastAsia="en-US"/>
        </w:rPr>
      </w:pPr>
      <w:r w:rsidRPr="00400A79">
        <w:rPr>
          <w:rFonts w:eastAsia="Calibri"/>
          <w:sz w:val="26"/>
          <w:szCs w:val="26"/>
          <w:lang w:eastAsia="en-US"/>
        </w:rPr>
        <w:t>La causa próxima fue el excesivo endeudamiento del sector privado acompañado de una burbuja de precios en el mercado inmobiliario.</w:t>
      </w:r>
    </w:p>
    <w:p w14:paraId="5063166C" w14:textId="77777777" w:rsidR="00400A79" w:rsidRPr="00400A79" w:rsidRDefault="00400A79" w:rsidP="00276F3E">
      <w:pPr>
        <w:numPr>
          <w:ilvl w:val="0"/>
          <w:numId w:val="82"/>
        </w:numPr>
        <w:spacing w:after="360" w:line="360" w:lineRule="auto"/>
        <w:ind w:left="714" w:right="-159" w:hanging="357"/>
        <w:jc w:val="both"/>
        <w:rPr>
          <w:rFonts w:eastAsia="Calibri"/>
          <w:sz w:val="26"/>
          <w:szCs w:val="26"/>
          <w:lang w:eastAsia="en-US"/>
        </w:rPr>
      </w:pPr>
      <w:r w:rsidRPr="00400A79">
        <w:rPr>
          <w:rFonts w:eastAsia="Calibri"/>
          <w:sz w:val="26"/>
          <w:szCs w:val="26"/>
          <w:lang w:eastAsia="en-US"/>
        </w:rPr>
        <w:t>La expansión del crédito fue insostenible y respondió, en buena medida, a políticas económicas inadecuadas.</w:t>
      </w:r>
    </w:p>
    <w:p w14:paraId="045FFDA3" w14:textId="77777777" w:rsidR="00400A79" w:rsidRPr="00400A79" w:rsidRDefault="00400A79" w:rsidP="00276F3E">
      <w:pPr>
        <w:numPr>
          <w:ilvl w:val="0"/>
          <w:numId w:val="82"/>
        </w:numPr>
        <w:spacing w:after="360" w:line="360" w:lineRule="auto"/>
        <w:ind w:left="714" w:right="-159" w:hanging="357"/>
        <w:jc w:val="both"/>
        <w:rPr>
          <w:rFonts w:eastAsia="Calibri"/>
          <w:sz w:val="26"/>
          <w:szCs w:val="26"/>
          <w:lang w:eastAsia="en-US"/>
        </w:rPr>
      </w:pPr>
      <w:r w:rsidRPr="00400A79">
        <w:rPr>
          <w:rFonts w:eastAsia="Calibri"/>
          <w:sz w:val="26"/>
          <w:szCs w:val="26"/>
          <w:lang w:eastAsia="en-US"/>
        </w:rPr>
        <w:t>La crisis se manifestó en una corrida generalizada hacia activos financieros líquidos percibidos como seguros.</w:t>
      </w:r>
    </w:p>
    <w:p w14:paraId="719205DE" w14:textId="77777777" w:rsidR="00400A79" w:rsidRPr="00400A79" w:rsidRDefault="00400A79" w:rsidP="00276F3E">
      <w:pPr>
        <w:numPr>
          <w:ilvl w:val="0"/>
          <w:numId w:val="82"/>
        </w:numPr>
        <w:spacing w:after="360" w:line="360" w:lineRule="auto"/>
        <w:ind w:left="714" w:right="-159" w:hanging="357"/>
        <w:jc w:val="both"/>
        <w:rPr>
          <w:rFonts w:eastAsia="Calibri"/>
          <w:sz w:val="26"/>
          <w:szCs w:val="26"/>
          <w:lang w:eastAsia="en-US"/>
        </w:rPr>
      </w:pPr>
      <w:r w:rsidRPr="00400A79">
        <w:rPr>
          <w:rFonts w:eastAsia="Calibri"/>
          <w:sz w:val="26"/>
          <w:szCs w:val="26"/>
          <w:lang w:eastAsia="en-US"/>
        </w:rPr>
        <w:lastRenderedPageBreak/>
        <w:t>El contagio de la crisis a otros países fue inmediato y significativo</w:t>
      </w:r>
      <w:r w:rsidRPr="00400A79">
        <w:rPr>
          <w:rFonts w:eastAsia="Calibri"/>
          <w:sz w:val="26"/>
          <w:szCs w:val="26"/>
          <w:vertAlign w:val="superscript"/>
          <w:lang w:eastAsia="en-US"/>
        </w:rPr>
        <w:footnoteReference w:id="107"/>
      </w:r>
      <w:r w:rsidRPr="00400A79">
        <w:rPr>
          <w:rFonts w:eastAsia="Calibri"/>
          <w:sz w:val="26"/>
          <w:szCs w:val="26"/>
          <w:lang w:eastAsia="en-US"/>
        </w:rPr>
        <w:t>.</w:t>
      </w:r>
    </w:p>
    <w:p w14:paraId="09F80392" w14:textId="77777777" w:rsidR="00400A79" w:rsidRPr="00400A79" w:rsidRDefault="00400A79" w:rsidP="00400A79">
      <w:pPr>
        <w:spacing w:after="360" w:line="360" w:lineRule="auto"/>
        <w:ind w:right="-159"/>
        <w:jc w:val="both"/>
        <w:rPr>
          <w:rFonts w:eastAsia="Calibri"/>
          <w:sz w:val="26"/>
          <w:szCs w:val="26"/>
          <w:lang w:eastAsia="en-US"/>
        </w:rPr>
      </w:pPr>
      <w:r w:rsidRPr="00400A79">
        <w:rPr>
          <w:rFonts w:eastAsia="Calibri"/>
          <w:sz w:val="26"/>
          <w:szCs w:val="26"/>
          <w:lang w:eastAsia="en-US"/>
        </w:rPr>
        <w:t>El Banco de la Reserva Federal de Estados Unidos de Norteamérica reaccionó de forma decidida adoptando políticas monetarias no convencionales.</w:t>
      </w:r>
    </w:p>
    <w:p w14:paraId="0AADBD80" w14:textId="77777777" w:rsidR="00400A79" w:rsidRPr="00400A79" w:rsidRDefault="00400A79" w:rsidP="00276F3E">
      <w:pPr>
        <w:numPr>
          <w:ilvl w:val="0"/>
          <w:numId w:val="83"/>
        </w:numPr>
        <w:spacing w:after="360" w:line="360" w:lineRule="auto"/>
        <w:ind w:left="714" w:right="-159" w:hanging="357"/>
        <w:jc w:val="both"/>
        <w:rPr>
          <w:rFonts w:eastAsia="Calibri"/>
          <w:sz w:val="26"/>
          <w:szCs w:val="26"/>
          <w:lang w:eastAsia="en-US"/>
        </w:rPr>
      </w:pPr>
      <w:r w:rsidRPr="00400A79">
        <w:rPr>
          <w:rFonts w:eastAsia="Calibri"/>
          <w:sz w:val="26"/>
          <w:szCs w:val="26"/>
          <w:lang w:eastAsia="en-US"/>
        </w:rPr>
        <w:t>Líneas especiales de crédito para proporcionar liquidez a instituciones financieras.</w:t>
      </w:r>
    </w:p>
    <w:p w14:paraId="464B9996" w14:textId="77777777" w:rsidR="00400A79" w:rsidRPr="00400A79" w:rsidRDefault="00400A79" w:rsidP="00276F3E">
      <w:pPr>
        <w:numPr>
          <w:ilvl w:val="0"/>
          <w:numId w:val="83"/>
        </w:numPr>
        <w:spacing w:after="360" w:line="360" w:lineRule="auto"/>
        <w:ind w:left="714" w:right="-159" w:hanging="357"/>
        <w:jc w:val="both"/>
        <w:rPr>
          <w:rFonts w:eastAsia="Calibri"/>
          <w:sz w:val="26"/>
          <w:szCs w:val="26"/>
          <w:lang w:eastAsia="en-US"/>
        </w:rPr>
      </w:pPr>
      <w:r w:rsidRPr="00400A79">
        <w:rPr>
          <w:rFonts w:eastAsia="Calibri"/>
          <w:sz w:val="26"/>
          <w:szCs w:val="26"/>
          <w:lang w:eastAsia="en-US"/>
        </w:rPr>
        <w:t>Reducción de la tasa de interés de política monetaria hasta niveles cercanos a cero a finales de 2008.</w:t>
      </w:r>
    </w:p>
    <w:p w14:paraId="5D4FF146" w14:textId="77777777" w:rsidR="00400A79" w:rsidRPr="00400A79" w:rsidRDefault="00400A79" w:rsidP="00276F3E">
      <w:pPr>
        <w:numPr>
          <w:ilvl w:val="0"/>
          <w:numId w:val="83"/>
        </w:numPr>
        <w:spacing w:after="360" w:line="360" w:lineRule="auto"/>
        <w:ind w:left="714" w:right="-159" w:hanging="357"/>
        <w:jc w:val="both"/>
        <w:rPr>
          <w:rFonts w:eastAsia="Calibri"/>
          <w:sz w:val="26"/>
          <w:szCs w:val="26"/>
          <w:lang w:eastAsia="en-US"/>
        </w:rPr>
      </w:pPr>
      <w:r w:rsidRPr="00400A79">
        <w:rPr>
          <w:rFonts w:eastAsia="Calibri"/>
          <w:sz w:val="26"/>
          <w:szCs w:val="26"/>
          <w:lang w:eastAsia="en-US"/>
        </w:rPr>
        <w:t>Expansión monetaria cuantitativa.</w:t>
      </w:r>
    </w:p>
    <w:p w14:paraId="5EE7E5D7" w14:textId="77777777" w:rsidR="00400A79" w:rsidRPr="00400A79" w:rsidRDefault="00400A79" w:rsidP="00276F3E">
      <w:pPr>
        <w:numPr>
          <w:ilvl w:val="0"/>
          <w:numId w:val="83"/>
        </w:numPr>
        <w:spacing w:after="360" w:line="360" w:lineRule="auto"/>
        <w:ind w:left="1094" w:right="-159" w:hanging="357"/>
        <w:jc w:val="both"/>
        <w:rPr>
          <w:rFonts w:eastAsia="Calibri"/>
          <w:sz w:val="26"/>
          <w:szCs w:val="26"/>
          <w:lang w:eastAsia="en-US"/>
        </w:rPr>
      </w:pPr>
      <w:r w:rsidRPr="00400A79">
        <w:rPr>
          <w:rFonts w:eastAsia="Calibri"/>
          <w:sz w:val="26"/>
          <w:szCs w:val="26"/>
          <w:lang w:eastAsia="en-US"/>
        </w:rPr>
        <w:t>Compra de activos financieros a los bancos, en particular bonos del Tesoro, títulos de agencias hipotecarias y valores respaldados por hipotecas, a cambio de reservas líquidas.</w:t>
      </w:r>
    </w:p>
    <w:p w14:paraId="01695A07" w14:textId="64781512" w:rsidR="00400A79" w:rsidRPr="00400A79" w:rsidRDefault="00400A79" w:rsidP="00276F3E">
      <w:pPr>
        <w:numPr>
          <w:ilvl w:val="0"/>
          <w:numId w:val="83"/>
        </w:numPr>
        <w:spacing w:after="360" w:line="360" w:lineRule="auto"/>
        <w:ind w:left="1094" w:right="-159" w:hanging="357"/>
        <w:jc w:val="both"/>
        <w:rPr>
          <w:rFonts w:eastAsia="Calibri"/>
          <w:sz w:val="26"/>
          <w:szCs w:val="26"/>
          <w:lang w:eastAsia="en-US"/>
        </w:rPr>
      </w:pPr>
      <w:r w:rsidRPr="00400A79">
        <w:rPr>
          <w:rFonts w:eastAsia="Calibri"/>
          <w:sz w:val="26"/>
          <w:szCs w:val="26"/>
          <w:lang w:eastAsia="en-US"/>
        </w:rPr>
        <w:t>Ampliación en varias etapa</w:t>
      </w:r>
      <w:r w:rsidR="00CF72BB">
        <w:rPr>
          <w:rFonts w:eastAsia="Calibri"/>
          <w:sz w:val="26"/>
          <w:szCs w:val="26"/>
          <w:lang w:eastAsia="en-US"/>
        </w:rPr>
        <w:t>s</w:t>
      </w:r>
      <w:r w:rsidRPr="00400A79">
        <w:rPr>
          <w:rFonts w:eastAsia="Calibri"/>
          <w:sz w:val="26"/>
          <w:szCs w:val="26"/>
          <w:lang w:eastAsia="en-US"/>
        </w:rPr>
        <w:t>, después de resuelta la crisis de liquidez</w:t>
      </w:r>
      <w:r w:rsidRPr="00400A79">
        <w:rPr>
          <w:rFonts w:eastAsia="Calibri"/>
          <w:sz w:val="26"/>
          <w:szCs w:val="26"/>
          <w:vertAlign w:val="superscript"/>
          <w:lang w:eastAsia="en-US"/>
        </w:rPr>
        <w:footnoteReference w:id="108"/>
      </w:r>
      <w:r w:rsidRPr="00400A79">
        <w:rPr>
          <w:rFonts w:eastAsia="Calibri"/>
          <w:sz w:val="26"/>
          <w:szCs w:val="26"/>
          <w:lang w:eastAsia="en-US"/>
        </w:rPr>
        <w:t>.</w:t>
      </w:r>
    </w:p>
    <w:p w14:paraId="41AF67C1" w14:textId="77777777" w:rsidR="00400A79" w:rsidRPr="00400A79" w:rsidRDefault="00400A79" w:rsidP="00400A79">
      <w:pPr>
        <w:spacing w:after="360" w:line="360" w:lineRule="auto"/>
        <w:ind w:right="-159"/>
        <w:jc w:val="both"/>
        <w:rPr>
          <w:rFonts w:eastAsia="Calibri"/>
          <w:sz w:val="26"/>
          <w:szCs w:val="26"/>
          <w:lang w:eastAsia="en-US"/>
        </w:rPr>
      </w:pPr>
      <w:r w:rsidRPr="00400A79">
        <w:rPr>
          <w:rFonts w:eastAsia="Calibri"/>
          <w:sz w:val="26"/>
          <w:szCs w:val="26"/>
          <w:lang w:eastAsia="en-US"/>
        </w:rPr>
        <w:t>Otros bancos centrales de economías avanzadas han seguido, con algunas variantes, la estrategia del FED.</w:t>
      </w:r>
    </w:p>
    <w:p w14:paraId="012C2D36" w14:textId="77777777" w:rsidR="00400A79" w:rsidRPr="00400A79" w:rsidRDefault="00400A79" w:rsidP="00276F3E">
      <w:pPr>
        <w:numPr>
          <w:ilvl w:val="0"/>
          <w:numId w:val="84"/>
        </w:numPr>
        <w:spacing w:after="360" w:line="360" w:lineRule="auto"/>
        <w:ind w:left="714" w:right="-159" w:hanging="357"/>
        <w:jc w:val="both"/>
        <w:rPr>
          <w:rFonts w:eastAsia="Calibri"/>
          <w:sz w:val="26"/>
          <w:szCs w:val="26"/>
          <w:lang w:eastAsia="en-US"/>
        </w:rPr>
      </w:pPr>
      <w:r w:rsidRPr="00400A79">
        <w:rPr>
          <w:rFonts w:eastAsia="Calibri"/>
          <w:sz w:val="26"/>
          <w:szCs w:val="26"/>
          <w:lang w:eastAsia="en-US"/>
        </w:rPr>
        <w:t>El Banco Central Europeo (BCE) inició con operaciones e refinanciamiento y continuó con un programa de expansión cuantitativa, que ahora incluye bonos soberanos.</w:t>
      </w:r>
    </w:p>
    <w:p w14:paraId="16CF243F" w14:textId="77777777" w:rsidR="00400A79" w:rsidRPr="00400A79" w:rsidRDefault="00400A79" w:rsidP="00276F3E">
      <w:pPr>
        <w:numPr>
          <w:ilvl w:val="0"/>
          <w:numId w:val="84"/>
        </w:numPr>
        <w:spacing w:after="360" w:line="360" w:lineRule="auto"/>
        <w:ind w:left="714" w:right="-159" w:hanging="357"/>
        <w:jc w:val="both"/>
        <w:rPr>
          <w:rFonts w:eastAsia="Calibri"/>
          <w:sz w:val="26"/>
          <w:szCs w:val="26"/>
          <w:lang w:eastAsia="en-US"/>
        </w:rPr>
      </w:pPr>
      <w:r w:rsidRPr="00400A79">
        <w:rPr>
          <w:rFonts w:eastAsia="Calibri"/>
          <w:sz w:val="26"/>
          <w:szCs w:val="26"/>
          <w:lang w:eastAsia="en-US"/>
        </w:rPr>
        <w:lastRenderedPageBreak/>
        <w:t>El Banco de Inglaterra ha expandido su balance principalmente con bonos gubernamentales de mediano y largo plazo.</w:t>
      </w:r>
    </w:p>
    <w:p w14:paraId="23AE3E23" w14:textId="77777777" w:rsidR="00400A79" w:rsidRPr="00400A79" w:rsidRDefault="00400A79" w:rsidP="00276F3E">
      <w:pPr>
        <w:numPr>
          <w:ilvl w:val="0"/>
          <w:numId w:val="84"/>
        </w:numPr>
        <w:spacing w:after="360" w:line="360" w:lineRule="auto"/>
        <w:ind w:left="714" w:right="-159" w:hanging="357"/>
        <w:jc w:val="both"/>
        <w:rPr>
          <w:rFonts w:eastAsia="Calibri"/>
          <w:sz w:val="26"/>
          <w:szCs w:val="26"/>
          <w:lang w:eastAsia="en-US"/>
        </w:rPr>
      </w:pPr>
      <w:r w:rsidRPr="00400A79">
        <w:rPr>
          <w:rFonts w:eastAsia="Calibri"/>
          <w:sz w:val="26"/>
          <w:szCs w:val="26"/>
          <w:lang w:eastAsia="en-US"/>
        </w:rPr>
        <w:t>El Banco de Japón ha aumentado su compra de bonos gubernamentales, y añadió un programa de bonos corporativos y papel comercial</w:t>
      </w:r>
      <w:r w:rsidRPr="00400A79">
        <w:rPr>
          <w:rFonts w:eastAsia="Calibri"/>
          <w:sz w:val="26"/>
          <w:szCs w:val="26"/>
          <w:vertAlign w:val="superscript"/>
          <w:lang w:eastAsia="en-US"/>
        </w:rPr>
        <w:footnoteReference w:id="109"/>
      </w:r>
      <w:r w:rsidRPr="00400A79">
        <w:rPr>
          <w:rFonts w:eastAsia="Calibri"/>
          <w:sz w:val="26"/>
          <w:szCs w:val="26"/>
          <w:lang w:eastAsia="en-US"/>
        </w:rPr>
        <w:t>.</w:t>
      </w:r>
    </w:p>
    <w:p w14:paraId="6E927AFF" w14:textId="1B5EF12D" w:rsidR="00400A79" w:rsidRPr="00400A79" w:rsidRDefault="00400A79" w:rsidP="00400A79">
      <w:pPr>
        <w:spacing w:after="360" w:line="360" w:lineRule="auto"/>
        <w:ind w:right="-159"/>
        <w:jc w:val="both"/>
        <w:rPr>
          <w:rFonts w:eastAsia="Calibri"/>
          <w:sz w:val="26"/>
          <w:szCs w:val="26"/>
          <w:lang w:eastAsia="en-US"/>
        </w:rPr>
      </w:pPr>
      <w:r w:rsidRPr="00400A79">
        <w:rPr>
          <w:rFonts w:eastAsia="Calibri"/>
          <w:sz w:val="26"/>
          <w:szCs w:val="26"/>
          <w:lang w:eastAsia="en-US"/>
        </w:rPr>
        <w:t xml:space="preserve">El aumento de los activos en los balances de los </w:t>
      </w:r>
      <w:r w:rsidR="00CF72BB">
        <w:rPr>
          <w:rFonts w:eastAsia="Calibri"/>
          <w:sz w:val="26"/>
          <w:szCs w:val="26"/>
          <w:lang w:eastAsia="en-US"/>
        </w:rPr>
        <w:t xml:space="preserve">bancos </w:t>
      </w:r>
      <w:r w:rsidRPr="00400A79">
        <w:rPr>
          <w:rFonts w:eastAsia="Calibri"/>
          <w:sz w:val="26"/>
          <w:szCs w:val="26"/>
          <w:lang w:eastAsia="en-US"/>
        </w:rPr>
        <w:t>centrales de los países avanzados ha sido considerable.</w:t>
      </w:r>
    </w:p>
    <w:tbl>
      <w:tblPr>
        <w:tblW w:w="0" w:type="auto"/>
        <w:tblBorders>
          <w:insideV w:val="single" w:sz="4" w:space="0" w:color="auto"/>
        </w:tblBorders>
        <w:tblLook w:val="04A0" w:firstRow="1" w:lastRow="0" w:firstColumn="1" w:lastColumn="0" w:noHBand="0" w:noVBand="1"/>
      </w:tblPr>
      <w:tblGrid>
        <w:gridCol w:w="8840"/>
      </w:tblGrid>
      <w:tr w:rsidR="00400A79" w:rsidRPr="00400A79" w14:paraId="3A96E6FC" w14:textId="77777777" w:rsidTr="00AA71BA">
        <w:tc>
          <w:tcPr>
            <w:tcW w:w="8840" w:type="dxa"/>
          </w:tcPr>
          <w:p w14:paraId="12709B49" w14:textId="77777777" w:rsidR="00400A79" w:rsidRPr="00400A79" w:rsidRDefault="00400A79" w:rsidP="00400A79">
            <w:pPr>
              <w:jc w:val="center"/>
              <w:rPr>
                <w:rFonts w:eastAsia="Calibri"/>
                <w:b/>
                <w:sz w:val="22"/>
                <w:szCs w:val="26"/>
                <w:lang w:eastAsia="en-US"/>
              </w:rPr>
            </w:pPr>
            <w:r w:rsidRPr="00400A79">
              <w:rPr>
                <w:rFonts w:eastAsia="Calibri"/>
                <w:b/>
                <w:sz w:val="22"/>
                <w:szCs w:val="26"/>
                <w:lang w:eastAsia="en-US"/>
              </w:rPr>
              <w:t>ECONOMÍAS AVANZADAS: ACTIVOS DE BANCOS CENTRALES</w:t>
            </w:r>
          </w:p>
          <w:p w14:paraId="05020C1A" w14:textId="77777777" w:rsidR="00400A79" w:rsidRPr="00400A79" w:rsidRDefault="00400A79" w:rsidP="00400A79">
            <w:pPr>
              <w:jc w:val="center"/>
              <w:rPr>
                <w:rFonts w:eastAsia="Calibri"/>
                <w:b/>
                <w:sz w:val="22"/>
                <w:szCs w:val="26"/>
                <w:lang w:eastAsia="en-US"/>
              </w:rPr>
            </w:pPr>
            <w:r w:rsidRPr="00400A79">
              <w:rPr>
                <w:rFonts w:eastAsia="Calibri"/>
                <w:b/>
                <w:sz w:val="22"/>
                <w:szCs w:val="26"/>
                <w:lang w:eastAsia="en-US"/>
              </w:rPr>
              <w:t>-Porcentaje del PIB-</w:t>
            </w:r>
          </w:p>
        </w:tc>
      </w:tr>
      <w:tr w:rsidR="00400A79" w:rsidRPr="00400A79" w14:paraId="02182683" w14:textId="77777777" w:rsidTr="00AA71BA">
        <w:tc>
          <w:tcPr>
            <w:tcW w:w="8840" w:type="dxa"/>
          </w:tcPr>
          <w:p w14:paraId="4A282B76" w14:textId="77777777" w:rsidR="00400A79" w:rsidRPr="00400A79" w:rsidRDefault="00400A79" w:rsidP="00400A79">
            <w:pPr>
              <w:jc w:val="both"/>
              <w:rPr>
                <w:rFonts w:eastAsia="Calibri"/>
                <w:sz w:val="20"/>
                <w:szCs w:val="26"/>
                <w:lang w:eastAsia="en-US"/>
              </w:rPr>
            </w:pPr>
            <w:r w:rsidRPr="00400A79">
              <w:rPr>
                <w:rFonts w:ascii="Calibri" w:eastAsia="Calibri" w:hAnsi="Calibri"/>
                <w:noProof/>
                <w:sz w:val="22"/>
                <w:szCs w:val="22"/>
                <w:lang w:eastAsia="es-MX"/>
              </w:rPr>
              <w:drawing>
                <wp:inline distT="0" distB="0" distL="0" distR="0" wp14:anchorId="59FB8248" wp14:editId="20C1E830">
                  <wp:extent cx="5555423" cy="2916000"/>
                  <wp:effectExtent l="0" t="0" r="7620" b="0"/>
                  <wp:docPr id="1497" name="Imagen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7"/>
                          <a:stretch>
                            <a:fillRect/>
                          </a:stretch>
                        </pic:blipFill>
                        <pic:spPr>
                          <a:xfrm>
                            <a:off x="0" y="0"/>
                            <a:ext cx="5555423" cy="2916000"/>
                          </a:xfrm>
                          <a:prstGeom prst="rect">
                            <a:avLst/>
                          </a:prstGeom>
                        </pic:spPr>
                      </pic:pic>
                    </a:graphicData>
                  </a:graphic>
                </wp:inline>
              </w:drawing>
            </w:r>
          </w:p>
        </w:tc>
      </w:tr>
      <w:tr w:rsidR="00400A79" w:rsidRPr="00400A79" w14:paraId="14C0BCBE" w14:textId="77777777" w:rsidTr="00AA71BA">
        <w:tc>
          <w:tcPr>
            <w:tcW w:w="8840" w:type="dxa"/>
          </w:tcPr>
          <w:p w14:paraId="738A1E7E" w14:textId="77777777" w:rsidR="00400A79" w:rsidRPr="00400A79" w:rsidRDefault="00400A79" w:rsidP="00400A79">
            <w:pPr>
              <w:jc w:val="both"/>
              <w:rPr>
                <w:rFonts w:eastAsia="Calibri"/>
                <w:sz w:val="20"/>
                <w:szCs w:val="26"/>
                <w:lang w:eastAsia="en-US"/>
              </w:rPr>
            </w:pPr>
            <w:r w:rsidRPr="00400A79">
              <w:rPr>
                <w:rFonts w:eastAsia="Calibri"/>
                <w:sz w:val="20"/>
                <w:szCs w:val="26"/>
                <w:lang w:eastAsia="en-US"/>
              </w:rPr>
              <w:t xml:space="preserve">FUENTE: </w:t>
            </w:r>
            <w:r w:rsidRPr="00400A79">
              <w:rPr>
                <w:rFonts w:eastAsia="Calibri"/>
                <w:i/>
                <w:sz w:val="20"/>
                <w:szCs w:val="26"/>
                <w:lang w:eastAsia="en-US"/>
              </w:rPr>
              <w:t>Haver Analytics</w:t>
            </w:r>
            <w:r w:rsidRPr="00400A79">
              <w:rPr>
                <w:rFonts w:eastAsia="Calibri"/>
                <w:sz w:val="20"/>
                <w:szCs w:val="26"/>
                <w:lang w:eastAsia="en-US"/>
              </w:rPr>
              <w:t>.</w:t>
            </w:r>
          </w:p>
        </w:tc>
      </w:tr>
    </w:tbl>
    <w:p w14:paraId="41157DE5" w14:textId="77777777" w:rsidR="00400A79" w:rsidRPr="00400A79" w:rsidRDefault="00400A79" w:rsidP="00400A79">
      <w:pPr>
        <w:spacing w:after="360" w:line="360" w:lineRule="auto"/>
        <w:ind w:right="-159"/>
        <w:jc w:val="both"/>
        <w:rPr>
          <w:rFonts w:eastAsia="Calibri"/>
          <w:sz w:val="26"/>
          <w:szCs w:val="26"/>
          <w:lang w:eastAsia="en-US"/>
        </w:rPr>
      </w:pPr>
    </w:p>
    <w:p w14:paraId="708B8EDC" w14:textId="77777777" w:rsidR="00400A79" w:rsidRDefault="00400A79" w:rsidP="00400A79">
      <w:pPr>
        <w:spacing w:after="360" w:line="360" w:lineRule="auto"/>
        <w:ind w:right="-159"/>
        <w:jc w:val="both"/>
        <w:rPr>
          <w:rFonts w:eastAsia="Calibri"/>
          <w:sz w:val="26"/>
          <w:szCs w:val="26"/>
          <w:lang w:eastAsia="en-US"/>
        </w:rPr>
      </w:pPr>
      <w:r w:rsidRPr="00400A79">
        <w:rPr>
          <w:rFonts w:eastAsia="Calibri"/>
          <w:sz w:val="26"/>
          <w:szCs w:val="26"/>
          <w:lang w:eastAsia="en-US"/>
        </w:rPr>
        <w:t>Con la expansión monetaria se ha buscado impulsar la actividad económica sin sacrificar el objetivo de inflación.</w:t>
      </w:r>
    </w:p>
    <w:p w14:paraId="522D1427" w14:textId="77777777" w:rsidR="00AF4DFC" w:rsidRDefault="00AF4DFC" w:rsidP="00400A79">
      <w:pPr>
        <w:spacing w:after="360" w:line="360" w:lineRule="auto"/>
        <w:ind w:right="-159"/>
        <w:jc w:val="both"/>
        <w:rPr>
          <w:rFonts w:eastAsia="Calibri"/>
          <w:sz w:val="26"/>
          <w:szCs w:val="26"/>
          <w:lang w:eastAsia="en-US"/>
        </w:rPr>
      </w:pPr>
    </w:p>
    <w:p w14:paraId="266AECF1" w14:textId="77777777" w:rsidR="00AF4DFC" w:rsidRPr="00400A79" w:rsidRDefault="00AF4DFC" w:rsidP="00400A79">
      <w:pPr>
        <w:spacing w:after="360" w:line="360" w:lineRule="auto"/>
        <w:ind w:right="-159"/>
        <w:jc w:val="both"/>
        <w:rPr>
          <w:rFonts w:eastAsia="Calibri"/>
          <w:sz w:val="26"/>
          <w:szCs w:val="26"/>
          <w:lang w:eastAsia="en-US"/>
        </w:rPr>
      </w:pPr>
    </w:p>
    <w:tbl>
      <w:tblPr>
        <w:tblW w:w="0" w:type="auto"/>
        <w:tblBorders>
          <w:insideV w:val="single" w:sz="4" w:space="0" w:color="auto"/>
        </w:tblBorders>
        <w:tblLook w:val="04A0" w:firstRow="1" w:lastRow="0" w:firstColumn="1" w:lastColumn="0" w:noHBand="0" w:noVBand="1"/>
      </w:tblPr>
      <w:tblGrid>
        <w:gridCol w:w="8840"/>
      </w:tblGrid>
      <w:tr w:rsidR="00400A79" w:rsidRPr="00400A79" w14:paraId="20B324C7" w14:textId="77777777" w:rsidTr="004F1C40">
        <w:tc>
          <w:tcPr>
            <w:tcW w:w="8828" w:type="dxa"/>
          </w:tcPr>
          <w:p w14:paraId="34F47181" w14:textId="77777777" w:rsidR="00400A79" w:rsidRPr="00400A79" w:rsidRDefault="00400A79" w:rsidP="00400A79">
            <w:pPr>
              <w:jc w:val="center"/>
              <w:rPr>
                <w:rFonts w:eastAsia="Calibri"/>
                <w:b/>
                <w:sz w:val="22"/>
                <w:szCs w:val="26"/>
                <w:lang w:eastAsia="en-US"/>
              </w:rPr>
            </w:pPr>
            <w:r w:rsidRPr="00400A79">
              <w:rPr>
                <w:rFonts w:eastAsia="Calibri"/>
                <w:b/>
                <w:sz w:val="22"/>
                <w:szCs w:val="26"/>
                <w:lang w:eastAsia="en-US"/>
              </w:rPr>
              <w:t>CANALES DE TRANSMISIÓN DE LA EXPANSIÓN MONETARIA CUANTITATIVA</w:t>
            </w:r>
          </w:p>
        </w:tc>
      </w:tr>
      <w:tr w:rsidR="00400A79" w:rsidRPr="00400A79" w14:paraId="14C3BEA9" w14:textId="77777777" w:rsidTr="004F1C40">
        <w:tc>
          <w:tcPr>
            <w:tcW w:w="8828" w:type="dxa"/>
          </w:tcPr>
          <w:p w14:paraId="1396A1A4" w14:textId="77777777" w:rsidR="00400A79" w:rsidRPr="00400A79" w:rsidRDefault="00400A79" w:rsidP="00400A79">
            <w:pPr>
              <w:jc w:val="both"/>
              <w:rPr>
                <w:rFonts w:eastAsia="Calibri"/>
                <w:sz w:val="20"/>
                <w:szCs w:val="26"/>
                <w:lang w:eastAsia="en-US"/>
              </w:rPr>
            </w:pPr>
            <w:r w:rsidRPr="00400A79">
              <w:rPr>
                <w:rFonts w:ascii="Calibri" w:eastAsia="Calibri" w:hAnsi="Calibri"/>
                <w:noProof/>
                <w:sz w:val="22"/>
                <w:szCs w:val="22"/>
                <w:lang w:eastAsia="es-MX"/>
              </w:rPr>
              <w:drawing>
                <wp:inline distT="0" distB="0" distL="0" distR="0" wp14:anchorId="49F53FB8" wp14:editId="609A5E38">
                  <wp:extent cx="5519727" cy="2916000"/>
                  <wp:effectExtent l="0" t="0" r="5080" b="0"/>
                  <wp:docPr id="1509" name="Imagen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8"/>
                          <a:stretch>
                            <a:fillRect/>
                          </a:stretch>
                        </pic:blipFill>
                        <pic:spPr>
                          <a:xfrm>
                            <a:off x="0" y="0"/>
                            <a:ext cx="5519727" cy="2916000"/>
                          </a:xfrm>
                          <a:prstGeom prst="rect">
                            <a:avLst/>
                          </a:prstGeom>
                        </pic:spPr>
                      </pic:pic>
                    </a:graphicData>
                  </a:graphic>
                </wp:inline>
              </w:drawing>
            </w:r>
          </w:p>
        </w:tc>
      </w:tr>
      <w:tr w:rsidR="00400A79" w:rsidRPr="00400A79" w14:paraId="33EC09BD" w14:textId="77777777" w:rsidTr="004F1C40">
        <w:tc>
          <w:tcPr>
            <w:tcW w:w="8828" w:type="dxa"/>
          </w:tcPr>
          <w:p w14:paraId="34762812" w14:textId="77777777" w:rsidR="00400A79" w:rsidRPr="00400A79" w:rsidRDefault="00400A79" w:rsidP="00400A79">
            <w:pPr>
              <w:ind w:left="907" w:hanging="907"/>
              <w:jc w:val="both"/>
              <w:rPr>
                <w:rFonts w:eastAsia="Calibri"/>
                <w:sz w:val="20"/>
                <w:szCs w:val="26"/>
                <w:lang w:eastAsia="en-US"/>
              </w:rPr>
            </w:pPr>
            <w:r w:rsidRPr="00400A79">
              <w:rPr>
                <w:rFonts w:eastAsia="Calibri"/>
                <w:sz w:val="20"/>
                <w:szCs w:val="26"/>
                <w:lang w:eastAsia="en-US"/>
              </w:rPr>
              <w:t xml:space="preserve">FUENTE: Adaptado de Joyce, et al. (2011), </w:t>
            </w:r>
            <w:r w:rsidRPr="00400A79">
              <w:rPr>
                <w:rFonts w:eastAsia="Calibri"/>
                <w:i/>
                <w:sz w:val="20"/>
                <w:szCs w:val="26"/>
                <w:lang w:eastAsia="en-US"/>
              </w:rPr>
              <w:t>The United Kingdom’s Quantitative Easing Policy: Design, Operation and Impact. Quarterly Bulletin</w:t>
            </w:r>
            <w:r w:rsidRPr="00400A79">
              <w:rPr>
                <w:rFonts w:eastAsia="Calibri"/>
                <w:sz w:val="20"/>
                <w:szCs w:val="26"/>
                <w:lang w:eastAsia="en-US"/>
              </w:rPr>
              <w:t xml:space="preserve"> Q3.</w:t>
            </w:r>
          </w:p>
        </w:tc>
      </w:tr>
    </w:tbl>
    <w:p w14:paraId="013E7147" w14:textId="77777777" w:rsidR="00400A79" w:rsidRPr="00400A79" w:rsidRDefault="00400A79" w:rsidP="00400A79">
      <w:pPr>
        <w:spacing w:after="360" w:line="360" w:lineRule="auto"/>
        <w:ind w:right="-159"/>
        <w:jc w:val="both"/>
        <w:rPr>
          <w:rFonts w:eastAsia="Calibri"/>
          <w:sz w:val="26"/>
          <w:szCs w:val="26"/>
          <w:lang w:eastAsia="en-US"/>
        </w:rPr>
      </w:pPr>
    </w:p>
    <w:p w14:paraId="538C6D8F" w14:textId="77777777" w:rsidR="00400A79" w:rsidRDefault="00400A79" w:rsidP="00400A79">
      <w:pPr>
        <w:spacing w:after="360" w:line="360" w:lineRule="auto"/>
        <w:ind w:right="-159"/>
        <w:jc w:val="both"/>
        <w:rPr>
          <w:rFonts w:eastAsia="Calibri"/>
          <w:sz w:val="26"/>
          <w:szCs w:val="26"/>
          <w:lang w:eastAsia="en-US"/>
        </w:rPr>
      </w:pPr>
      <w:r w:rsidRPr="00400A79">
        <w:rPr>
          <w:rFonts w:eastAsia="Calibri"/>
          <w:sz w:val="26"/>
          <w:szCs w:val="26"/>
          <w:lang w:eastAsia="en-US"/>
        </w:rPr>
        <w:t>La expansión monetaria se ha observado principalmente en el agregado más estrecho, lo que no ha generado inflación.</w:t>
      </w:r>
    </w:p>
    <w:p w14:paraId="169E7760" w14:textId="77777777" w:rsidR="00AA71BA" w:rsidRDefault="00AA71BA" w:rsidP="00400A79">
      <w:pPr>
        <w:spacing w:after="360" w:line="360" w:lineRule="auto"/>
        <w:ind w:right="-159"/>
        <w:jc w:val="both"/>
        <w:rPr>
          <w:rFonts w:eastAsia="Calibri"/>
          <w:sz w:val="26"/>
          <w:szCs w:val="26"/>
          <w:lang w:eastAsia="en-US"/>
        </w:rPr>
      </w:pPr>
    </w:p>
    <w:p w14:paraId="58565DCA" w14:textId="77777777" w:rsidR="00AA71BA" w:rsidRDefault="00AA71BA" w:rsidP="00400A79">
      <w:pPr>
        <w:spacing w:after="360" w:line="360" w:lineRule="auto"/>
        <w:ind w:right="-159"/>
        <w:jc w:val="both"/>
        <w:rPr>
          <w:rFonts w:eastAsia="Calibri"/>
          <w:sz w:val="26"/>
          <w:szCs w:val="26"/>
          <w:lang w:eastAsia="en-US"/>
        </w:rPr>
      </w:pPr>
    </w:p>
    <w:p w14:paraId="0458E5E7" w14:textId="77777777" w:rsidR="00AA71BA" w:rsidRDefault="00AA71BA" w:rsidP="00400A79">
      <w:pPr>
        <w:spacing w:after="360" w:line="360" w:lineRule="auto"/>
        <w:ind w:right="-159"/>
        <w:jc w:val="both"/>
        <w:rPr>
          <w:rFonts w:eastAsia="Calibri"/>
          <w:sz w:val="26"/>
          <w:szCs w:val="26"/>
          <w:lang w:eastAsia="en-US"/>
        </w:rPr>
      </w:pPr>
    </w:p>
    <w:p w14:paraId="61788863" w14:textId="77777777" w:rsidR="00AA71BA" w:rsidRDefault="00AA71BA" w:rsidP="00400A79">
      <w:pPr>
        <w:spacing w:after="360" w:line="360" w:lineRule="auto"/>
        <w:ind w:right="-159"/>
        <w:jc w:val="both"/>
        <w:rPr>
          <w:rFonts w:eastAsia="Calibri"/>
          <w:sz w:val="26"/>
          <w:szCs w:val="26"/>
          <w:lang w:eastAsia="en-US"/>
        </w:rPr>
      </w:pPr>
    </w:p>
    <w:p w14:paraId="68152404" w14:textId="77777777" w:rsidR="00AA71BA" w:rsidRDefault="00AA71BA" w:rsidP="00400A79">
      <w:pPr>
        <w:spacing w:after="360" w:line="360" w:lineRule="auto"/>
        <w:ind w:right="-159"/>
        <w:jc w:val="both"/>
        <w:rPr>
          <w:rFonts w:eastAsia="Calibri"/>
          <w:sz w:val="26"/>
          <w:szCs w:val="26"/>
          <w:lang w:eastAsia="en-US"/>
        </w:rPr>
      </w:pPr>
    </w:p>
    <w:p w14:paraId="0E13966E" w14:textId="77777777" w:rsidR="00AA71BA" w:rsidRPr="00400A79" w:rsidRDefault="00AA71BA" w:rsidP="00400A79">
      <w:pPr>
        <w:spacing w:after="360" w:line="360" w:lineRule="auto"/>
        <w:ind w:right="-159"/>
        <w:jc w:val="both"/>
        <w:rPr>
          <w:rFonts w:eastAsia="Calibri"/>
          <w:sz w:val="26"/>
          <w:szCs w:val="26"/>
          <w:lang w:eastAsia="en-US"/>
        </w:rPr>
      </w:pPr>
    </w:p>
    <w:tbl>
      <w:tblPr>
        <w:tblW w:w="0" w:type="auto"/>
        <w:tblBorders>
          <w:insideV w:val="single" w:sz="4" w:space="0" w:color="auto"/>
        </w:tblBorders>
        <w:tblLook w:val="04A0" w:firstRow="1" w:lastRow="0" w:firstColumn="1" w:lastColumn="0" w:noHBand="0" w:noVBand="1"/>
      </w:tblPr>
      <w:tblGrid>
        <w:gridCol w:w="8840"/>
      </w:tblGrid>
      <w:tr w:rsidR="00400A79" w:rsidRPr="00400A79" w14:paraId="21CEBE4E" w14:textId="77777777" w:rsidTr="004F1C40">
        <w:tc>
          <w:tcPr>
            <w:tcW w:w="8828" w:type="dxa"/>
          </w:tcPr>
          <w:p w14:paraId="4D53ECB4" w14:textId="77777777" w:rsidR="00400A79" w:rsidRPr="00400A79" w:rsidRDefault="00400A79" w:rsidP="00400A79">
            <w:pPr>
              <w:jc w:val="center"/>
              <w:rPr>
                <w:rFonts w:eastAsia="Calibri"/>
                <w:b/>
                <w:sz w:val="22"/>
                <w:szCs w:val="26"/>
                <w:vertAlign w:val="superscript"/>
                <w:lang w:eastAsia="en-US"/>
              </w:rPr>
            </w:pPr>
            <w:r w:rsidRPr="00400A79">
              <w:rPr>
                <w:rFonts w:eastAsia="Calibri"/>
                <w:b/>
                <w:sz w:val="22"/>
                <w:szCs w:val="26"/>
                <w:lang w:eastAsia="en-US"/>
              </w:rPr>
              <w:lastRenderedPageBreak/>
              <w:t>RESERVA FEDERAL: AGREGADOS MONETARIOS E IPC</w:t>
            </w:r>
            <w:r w:rsidRPr="00400A79">
              <w:rPr>
                <w:rFonts w:eastAsia="Calibri"/>
                <w:b/>
                <w:sz w:val="22"/>
                <w:szCs w:val="26"/>
                <w:u w:val="single"/>
                <w:vertAlign w:val="superscript"/>
                <w:lang w:eastAsia="en-US"/>
              </w:rPr>
              <w:t>1</w:t>
            </w:r>
            <w:r w:rsidRPr="00400A79">
              <w:rPr>
                <w:rFonts w:eastAsia="Calibri"/>
                <w:b/>
                <w:sz w:val="22"/>
                <w:szCs w:val="26"/>
                <w:vertAlign w:val="superscript"/>
                <w:lang w:eastAsia="en-US"/>
              </w:rPr>
              <w:t>/</w:t>
            </w:r>
          </w:p>
          <w:p w14:paraId="27AC8DF5" w14:textId="77777777" w:rsidR="00400A79" w:rsidRPr="00400A79" w:rsidRDefault="00400A79" w:rsidP="00400A79">
            <w:pPr>
              <w:jc w:val="center"/>
              <w:rPr>
                <w:rFonts w:eastAsia="Calibri"/>
                <w:b/>
                <w:sz w:val="22"/>
                <w:szCs w:val="26"/>
                <w:lang w:eastAsia="en-US"/>
              </w:rPr>
            </w:pPr>
            <w:r w:rsidRPr="00400A79">
              <w:rPr>
                <w:rFonts w:eastAsia="Calibri"/>
                <w:b/>
                <w:sz w:val="22"/>
                <w:szCs w:val="26"/>
                <w:lang w:eastAsia="en-US"/>
              </w:rPr>
              <w:t>-Variación anual, porcentajes-</w:t>
            </w:r>
          </w:p>
        </w:tc>
      </w:tr>
      <w:tr w:rsidR="00400A79" w:rsidRPr="00400A79" w14:paraId="0601CC4F" w14:textId="77777777" w:rsidTr="004F1C40">
        <w:tc>
          <w:tcPr>
            <w:tcW w:w="8828" w:type="dxa"/>
          </w:tcPr>
          <w:p w14:paraId="1367890F" w14:textId="77777777" w:rsidR="00400A79" w:rsidRPr="00400A79" w:rsidRDefault="00400A79" w:rsidP="00400A79">
            <w:pPr>
              <w:jc w:val="both"/>
              <w:rPr>
                <w:rFonts w:eastAsia="Calibri"/>
                <w:sz w:val="20"/>
                <w:szCs w:val="26"/>
                <w:lang w:eastAsia="en-US"/>
              </w:rPr>
            </w:pPr>
            <w:r w:rsidRPr="00400A79">
              <w:rPr>
                <w:rFonts w:ascii="Calibri" w:eastAsia="Calibri" w:hAnsi="Calibri"/>
                <w:noProof/>
                <w:sz w:val="22"/>
                <w:szCs w:val="22"/>
                <w:lang w:eastAsia="es-MX"/>
              </w:rPr>
              <w:drawing>
                <wp:inline distT="0" distB="0" distL="0" distR="0" wp14:anchorId="1D1D6529" wp14:editId="0BBE8F11">
                  <wp:extent cx="5612130" cy="3093720"/>
                  <wp:effectExtent l="0" t="0" r="7620" b="0"/>
                  <wp:docPr id="1536" name="Imagen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9"/>
                          <a:stretch>
                            <a:fillRect/>
                          </a:stretch>
                        </pic:blipFill>
                        <pic:spPr>
                          <a:xfrm>
                            <a:off x="0" y="0"/>
                            <a:ext cx="5612130" cy="3093720"/>
                          </a:xfrm>
                          <a:prstGeom prst="rect">
                            <a:avLst/>
                          </a:prstGeom>
                        </pic:spPr>
                      </pic:pic>
                    </a:graphicData>
                  </a:graphic>
                </wp:inline>
              </w:drawing>
            </w:r>
          </w:p>
        </w:tc>
      </w:tr>
      <w:tr w:rsidR="00400A79" w:rsidRPr="00400A79" w14:paraId="01533263" w14:textId="77777777" w:rsidTr="004F1C40">
        <w:tc>
          <w:tcPr>
            <w:tcW w:w="8828" w:type="dxa"/>
          </w:tcPr>
          <w:p w14:paraId="0E07AD99" w14:textId="77777777" w:rsidR="00400A79" w:rsidRPr="00400A79" w:rsidRDefault="00400A79" w:rsidP="00400A79">
            <w:pPr>
              <w:ind w:left="227" w:hanging="227"/>
              <w:jc w:val="both"/>
              <w:rPr>
                <w:rFonts w:eastAsia="Calibri"/>
                <w:sz w:val="20"/>
                <w:szCs w:val="26"/>
                <w:lang w:eastAsia="en-US"/>
              </w:rPr>
            </w:pPr>
            <w:r w:rsidRPr="00400A79">
              <w:rPr>
                <w:rFonts w:eastAsia="Calibri"/>
                <w:sz w:val="20"/>
                <w:szCs w:val="26"/>
                <w:u w:val="single"/>
                <w:lang w:eastAsia="en-US"/>
              </w:rPr>
              <w:t>1</w:t>
            </w:r>
            <w:r w:rsidRPr="00400A79">
              <w:rPr>
                <w:rFonts w:eastAsia="Calibri"/>
                <w:sz w:val="20"/>
                <w:szCs w:val="26"/>
                <w:lang w:eastAsia="en-US"/>
              </w:rPr>
              <w:t>/ La base monetaria es el efectivo en manos del público más la reserva de los bancos en el Fed. M2 es el efectivo, los cheques de viajero, las cuentas de depósito (en el caso del plazo, menores a 100 mil dólares; excluye las cuentas individuales de retiro) y los títulos de sociedades de inversión al menudeo (excluye los saldos de planes de retino en estos fondos).</w:t>
            </w:r>
          </w:p>
          <w:p w14:paraId="579B7137" w14:textId="77777777" w:rsidR="00400A79" w:rsidRPr="00400A79" w:rsidRDefault="00400A79" w:rsidP="00400A79">
            <w:pPr>
              <w:jc w:val="both"/>
              <w:rPr>
                <w:rFonts w:eastAsia="Calibri"/>
                <w:sz w:val="20"/>
                <w:szCs w:val="26"/>
                <w:lang w:eastAsia="en-US"/>
              </w:rPr>
            </w:pPr>
            <w:r w:rsidRPr="00400A79">
              <w:rPr>
                <w:rFonts w:eastAsia="Calibri"/>
                <w:sz w:val="20"/>
                <w:szCs w:val="26"/>
                <w:lang w:eastAsia="en-US"/>
              </w:rPr>
              <w:t xml:space="preserve">FUENTE: Reserva Federal y </w:t>
            </w:r>
            <w:r w:rsidRPr="00400A79">
              <w:rPr>
                <w:rFonts w:eastAsia="Calibri"/>
                <w:i/>
                <w:sz w:val="20"/>
                <w:szCs w:val="26"/>
                <w:lang w:eastAsia="en-US"/>
              </w:rPr>
              <w:t>Bureau of Labor Statistics</w:t>
            </w:r>
            <w:r w:rsidRPr="00400A79">
              <w:rPr>
                <w:rFonts w:eastAsia="Calibri"/>
                <w:sz w:val="20"/>
                <w:szCs w:val="26"/>
                <w:lang w:eastAsia="en-US"/>
              </w:rPr>
              <w:t>.</w:t>
            </w:r>
          </w:p>
        </w:tc>
      </w:tr>
    </w:tbl>
    <w:p w14:paraId="6FC0A68D" w14:textId="77777777" w:rsidR="00400A79" w:rsidRPr="00400A79" w:rsidRDefault="00400A79" w:rsidP="00400A79">
      <w:pPr>
        <w:spacing w:after="360" w:line="360" w:lineRule="auto"/>
        <w:ind w:right="-159"/>
        <w:jc w:val="both"/>
        <w:rPr>
          <w:rFonts w:eastAsia="Calibri"/>
          <w:sz w:val="26"/>
          <w:szCs w:val="26"/>
          <w:lang w:eastAsia="en-US"/>
        </w:rPr>
      </w:pPr>
    </w:p>
    <w:p w14:paraId="4CC25DF8" w14:textId="77777777" w:rsidR="00400A79" w:rsidRPr="00400A79" w:rsidRDefault="00400A79" w:rsidP="00400A79">
      <w:pPr>
        <w:spacing w:after="360" w:line="360" w:lineRule="auto"/>
        <w:ind w:right="-159"/>
        <w:jc w:val="both"/>
        <w:rPr>
          <w:rFonts w:eastAsia="Calibri"/>
          <w:sz w:val="26"/>
          <w:szCs w:val="26"/>
          <w:lang w:eastAsia="en-US"/>
        </w:rPr>
      </w:pPr>
      <w:r w:rsidRPr="00400A79">
        <w:rPr>
          <w:rFonts w:eastAsia="Calibri"/>
          <w:sz w:val="26"/>
          <w:szCs w:val="26"/>
          <w:lang w:eastAsia="en-US"/>
        </w:rPr>
        <w:t>No obstante, los resultados de la extraordinaria expansión monetaria están sujetos a debate.</w:t>
      </w:r>
    </w:p>
    <w:p w14:paraId="579BC3F1" w14:textId="77777777" w:rsidR="00400A79" w:rsidRPr="00400A79" w:rsidRDefault="00400A79" w:rsidP="00276F3E">
      <w:pPr>
        <w:numPr>
          <w:ilvl w:val="0"/>
          <w:numId w:val="85"/>
        </w:numPr>
        <w:spacing w:after="360" w:line="360" w:lineRule="auto"/>
        <w:ind w:left="714" w:right="-159" w:hanging="357"/>
        <w:jc w:val="both"/>
        <w:rPr>
          <w:rFonts w:eastAsia="Calibri"/>
          <w:sz w:val="26"/>
          <w:szCs w:val="26"/>
          <w:lang w:eastAsia="en-US"/>
        </w:rPr>
      </w:pPr>
      <w:r w:rsidRPr="00400A79">
        <w:rPr>
          <w:rFonts w:eastAsia="Calibri"/>
          <w:sz w:val="26"/>
          <w:szCs w:val="26"/>
          <w:lang w:eastAsia="en-US"/>
        </w:rPr>
        <w:t>Se han reducido las tasas de interés de largo plazo, pero la respuesta del crédito ha sido muy moderada.</w:t>
      </w:r>
    </w:p>
    <w:p w14:paraId="0DB8CE05" w14:textId="77777777" w:rsidR="00400A79" w:rsidRPr="00400A79" w:rsidRDefault="00400A79" w:rsidP="00276F3E">
      <w:pPr>
        <w:numPr>
          <w:ilvl w:val="0"/>
          <w:numId w:val="85"/>
        </w:numPr>
        <w:spacing w:after="360" w:line="360" w:lineRule="auto"/>
        <w:ind w:left="714" w:right="-159" w:hanging="357"/>
        <w:jc w:val="both"/>
        <w:rPr>
          <w:rFonts w:eastAsia="Calibri"/>
          <w:sz w:val="26"/>
          <w:szCs w:val="26"/>
          <w:lang w:eastAsia="en-US"/>
        </w:rPr>
      </w:pPr>
      <w:r w:rsidRPr="00400A79">
        <w:rPr>
          <w:rFonts w:eastAsia="Calibri"/>
          <w:sz w:val="26"/>
          <w:szCs w:val="26"/>
          <w:lang w:eastAsia="en-US"/>
        </w:rPr>
        <w:t>La recuperación económica ha sido la más lenta de la posguerra.</w:t>
      </w:r>
    </w:p>
    <w:p w14:paraId="05C444A7" w14:textId="2457081E" w:rsidR="00400A79" w:rsidRPr="00400A79" w:rsidRDefault="00400A79" w:rsidP="00276F3E">
      <w:pPr>
        <w:numPr>
          <w:ilvl w:val="0"/>
          <w:numId w:val="85"/>
        </w:numPr>
        <w:spacing w:after="360" w:line="360" w:lineRule="auto"/>
        <w:ind w:left="714" w:right="-159" w:hanging="357"/>
        <w:jc w:val="both"/>
        <w:rPr>
          <w:rFonts w:eastAsia="Calibri"/>
          <w:sz w:val="26"/>
          <w:szCs w:val="26"/>
          <w:lang w:eastAsia="en-US"/>
        </w:rPr>
      </w:pPr>
      <w:r w:rsidRPr="00400A79">
        <w:rPr>
          <w:rFonts w:eastAsia="Calibri"/>
          <w:sz w:val="26"/>
          <w:szCs w:val="26"/>
          <w:lang w:eastAsia="en-US"/>
        </w:rPr>
        <w:t xml:space="preserve">La </w:t>
      </w:r>
      <w:r w:rsidR="00CF72BB">
        <w:rPr>
          <w:rFonts w:eastAsia="Calibri"/>
          <w:sz w:val="26"/>
          <w:szCs w:val="26"/>
          <w:lang w:eastAsia="en-US"/>
        </w:rPr>
        <w:t>a</w:t>
      </w:r>
      <w:r w:rsidRPr="00400A79">
        <w:rPr>
          <w:rFonts w:eastAsia="Calibri"/>
          <w:sz w:val="26"/>
          <w:szCs w:val="26"/>
          <w:lang w:eastAsia="en-US"/>
        </w:rPr>
        <w:t>usencia de presiones inflacionarias ha dependido de la baja efectividad sobre la demanda agregada.</w:t>
      </w:r>
    </w:p>
    <w:p w14:paraId="558A5BEF" w14:textId="13126B53" w:rsidR="00400A79" w:rsidRPr="00400A79" w:rsidRDefault="00400A79" w:rsidP="00276F3E">
      <w:pPr>
        <w:numPr>
          <w:ilvl w:val="0"/>
          <w:numId w:val="85"/>
        </w:numPr>
        <w:spacing w:after="360" w:line="360" w:lineRule="auto"/>
        <w:ind w:left="714" w:right="-159" w:hanging="357"/>
        <w:jc w:val="both"/>
        <w:rPr>
          <w:rFonts w:eastAsia="Calibri"/>
          <w:sz w:val="26"/>
          <w:szCs w:val="26"/>
          <w:lang w:eastAsia="en-US"/>
        </w:rPr>
      </w:pPr>
      <w:r w:rsidRPr="00400A79">
        <w:rPr>
          <w:rFonts w:eastAsia="Calibri"/>
          <w:sz w:val="26"/>
          <w:szCs w:val="26"/>
          <w:lang w:eastAsia="en-US"/>
        </w:rPr>
        <w:lastRenderedPageBreak/>
        <w:t>Existe efectos no deseados como la posposición de reformas económicas, así como riesgos de ineficiencia, inestabilidad financiera e inflación</w:t>
      </w:r>
      <w:r w:rsidRPr="00400A79">
        <w:rPr>
          <w:rFonts w:eastAsia="Calibri"/>
          <w:sz w:val="26"/>
          <w:szCs w:val="26"/>
          <w:vertAlign w:val="superscript"/>
          <w:lang w:eastAsia="en-US"/>
        </w:rPr>
        <w:footnoteReference w:id="110"/>
      </w:r>
      <w:r w:rsidR="003757CD">
        <w:rPr>
          <w:rFonts w:eastAsia="Calibri"/>
          <w:sz w:val="26"/>
          <w:szCs w:val="26"/>
          <w:lang w:eastAsia="en-US"/>
        </w:rPr>
        <w:t>.</w:t>
      </w:r>
    </w:p>
    <w:p w14:paraId="37F5D28A" w14:textId="77777777" w:rsidR="00400A79" w:rsidRPr="00400A79" w:rsidRDefault="00400A79" w:rsidP="00400A79">
      <w:pPr>
        <w:spacing w:after="360" w:line="360" w:lineRule="auto"/>
        <w:ind w:right="-159"/>
        <w:jc w:val="both"/>
        <w:rPr>
          <w:rFonts w:eastAsia="Calibri"/>
          <w:sz w:val="26"/>
          <w:szCs w:val="26"/>
          <w:lang w:eastAsia="en-US"/>
        </w:rPr>
      </w:pPr>
      <w:r w:rsidRPr="00400A79">
        <w:rPr>
          <w:rFonts w:eastAsia="Calibri"/>
          <w:sz w:val="26"/>
          <w:szCs w:val="26"/>
          <w:lang w:eastAsia="en-US"/>
        </w:rPr>
        <w:t>La recuperación económica de Estados Unidos de Norteamérica hace más cercano el inicio de un ciclo alcista en la tasa de interés de referencia.</w:t>
      </w:r>
    </w:p>
    <w:tbl>
      <w:tblPr>
        <w:tblW w:w="0" w:type="auto"/>
        <w:tblBorders>
          <w:insideV w:val="single" w:sz="4" w:space="0" w:color="auto"/>
        </w:tblBorders>
        <w:tblLook w:val="04A0" w:firstRow="1" w:lastRow="0" w:firstColumn="1" w:lastColumn="0" w:noHBand="0" w:noVBand="1"/>
      </w:tblPr>
      <w:tblGrid>
        <w:gridCol w:w="8840"/>
      </w:tblGrid>
      <w:tr w:rsidR="00400A79" w:rsidRPr="00400A79" w14:paraId="2D1CAF51" w14:textId="77777777" w:rsidTr="004F1C40">
        <w:tc>
          <w:tcPr>
            <w:tcW w:w="8828" w:type="dxa"/>
          </w:tcPr>
          <w:p w14:paraId="6C9AD57E" w14:textId="77777777" w:rsidR="00400A79" w:rsidRPr="00400A79" w:rsidRDefault="00400A79" w:rsidP="00400A79">
            <w:pPr>
              <w:jc w:val="center"/>
              <w:rPr>
                <w:rFonts w:eastAsia="Calibri"/>
                <w:b/>
                <w:sz w:val="22"/>
                <w:szCs w:val="26"/>
                <w:lang w:eastAsia="en-US"/>
              </w:rPr>
            </w:pPr>
            <w:r w:rsidRPr="00400A79">
              <w:rPr>
                <w:rFonts w:eastAsia="Calibri"/>
                <w:b/>
                <w:sz w:val="22"/>
                <w:szCs w:val="26"/>
                <w:lang w:eastAsia="en-US"/>
              </w:rPr>
              <w:t>ESTADOS UNIDOS DE NORTEAMÉRICA: PIB Y TASA DE DESEMPLEO</w:t>
            </w:r>
          </w:p>
          <w:p w14:paraId="0AFD290E" w14:textId="77777777" w:rsidR="00400A79" w:rsidRPr="00400A79" w:rsidRDefault="00400A79" w:rsidP="00400A79">
            <w:pPr>
              <w:jc w:val="center"/>
              <w:rPr>
                <w:rFonts w:eastAsia="Calibri"/>
                <w:b/>
                <w:sz w:val="22"/>
                <w:szCs w:val="26"/>
                <w:lang w:eastAsia="en-US"/>
              </w:rPr>
            </w:pPr>
            <w:r w:rsidRPr="00400A79">
              <w:rPr>
                <w:rFonts w:eastAsia="Calibri"/>
                <w:b/>
                <w:sz w:val="22"/>
                <w:szCs w:val="26"/>
                <w:lang w:eastAsia="en-US"/>
              </w:rPr>
              <w:t>-2008=100 y porcentaje: a.e.-</w:t>
            </w:r>
          </w:p>
        </w:tc>
      </w:tr>
      <w:tr w:rsidR="00400A79" w:rsidRPr="00400A79" w14:paraId="4EA2DE37" w14:textId="77777777" w:rsidTr="004F1C40">
        <w:tc>
          <w:tcPr>
            <w:tcW w:w="8828" w:type="dxa"/>
          </w:tcPr>
          <w:p w14:paraId="407E76DD" w14:textId="77777777" w:rsidR="00400A79" w:rsidRPr="00400A79" w:rsidRDefault="00400A79" w:rsidP="00400A79">
            <w:pPr>
              <w:jc w:val="both"/>
              <w:rPr>
                <w:rFonts w:eastAsia="Calibri"/>
                <w:sz w:val="20"/>
                <w:szCs w:val="26"/>
                <w:lang w:eastAsia="en-US"/>
              </w:rPr>
            </w:pPr>
            <w:r w:rsidRPr="00400A79">
              <w:rPr>
                <w:rFonts w:ascii="Calibri" w:eastAsia="Calibri" w:hAnsi="Calibri"/>
                <w:noProof/>
                <w:sz w:val="22"/>
                <w:szCs w:val="22"/>
                <w:lang w:eastAsia="es-MX"/>
              </w:rPr>
              <w:drawing>
                <wp:inline distT="0" distB="0" distL="0" distR="0" wp14:anchorId="2883495B" wp14:editId="4FA1FB27">
                  <wp:extent cx="5508848" cy="3096000"/>
                  <wp:effectExtent l="0" t="0" r="0" b="9525"/>
                  <wp:docPr id="1537" name="Imagen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0"/>
                          <a:stretch>
                            <a:fillRect/>
                          </a:stretch>
                        </pic:blipFill>
                        <pic:spPr>
                          <a:xfrm>
                            <a:off x="0" y="0"/>
                            <a:ext cx="5508848" cy="3096000"/>
                          </a:xfrm>
                          <a:prstGeom prst="rect">
                            <a:avLst/>
                          </a:prstGeom>
                        </pic:spPr>
                      </pic:pic>
                    </a:graphicData>
                  </a:graphic>
                </wp:inline>
              </w:drawing>
            </w:r>
          </w:p>
        </w:tc>
      </w:tr>
      <w:tr w:rsidR="00400A79" w:rsidRPr="00400A79" w14:paraId="7736401F" w14:textId="77777777" w:rsidTr="004F1C40">
        <w:tc>
          <w:tcPr>
            <w:tcW w:w="8828" w:type="dxa"/>
          </w:tcPr>
          <w:p w14:paraId="5933CD54" w14:textId="77777777" w:rsidR="00400A79" w:rsidRPr="00400A79" w:rsidRDefault="00400A79" w:rsidP="00400A79">
            <w:pPr>
              <w:jc w:val="both"/>
              <w:rPr>
                <w:rFonts w:eastAsia="Calibri"/>
                <w:sz w:val="20"/>
                <w:szCs w:val="26"/>
                <w:lang w:eastAsia="en-US"/>
              </w:rPr>
            </w:pPr>
            <w:r w:rsidRPr="00400A79">
              <w:rPr>
                <w:rFonts w:eastAsia="Calibri"/>
                <w:sz w:val="20"/>
                <w:szCs w:val="26"/>
                <w:lang w:eastAsia="en-US"/>
              </w:rPr>
              <w:t>a. e. Ajuste Estacional.</w:t>
            </w:r>
          </w:p>
          <w:p w14:paraId="3358F831" w14:textId="77777777" w:rsidR="00400A79" w:rsidRPr="00400A79" w:rsidRDefault="00400A79" w:rsidP="00400A79">
            <w:pPr>
              <w:jc w:val="both"/>
              <w:rPr>
                <w:rFonts w:eastAsia="Calibri"/>
                <w:sz w:val="20"/>
                <w:szCs w:val="26"/>
                <w:lang w:eastAsia="en-US"/>
              </w:rPr>
            </w:pPr>
            <w:r w:rsidRPr="00400A79">
              <w:rPr>
                <w:rFonts w:eastAsia="Calibri"/>
                <w:sz w:val="20"/>
                <w:szCs w:val="26"/>
                <w:lang w:eastAsia="en-US"/>
              </w:rPr>
              <w:t xml:space="preserve">FUENTE: </w:t>
            </w:r>
            <w:r w:rsidRPr="00400A79">
              <w:rPr>
                <w:rFonts w:eastAsia="Calibri"/>
                <w:i/>
                <w:sz w:val="20"/>
                <w:szCs w:val="26"/>
                <w:lang w:eastAsia="en-US"/>
              </w:rPr>
              <w:t>U.S. Bureau of Economic Analysis</w:t>
            </w:r>
            <w:r w:rsidRPr="00400A79">
              <w:rPr>
                <w:rFonts w:eastAsia="Calibri"/>
                <w:sz w:val="20"/>
                <w:szCs w:val="26"/>
                <w:lang w:eastAsia="en-US"/>
              </w:rPr>
              <w:t xml:space="preserve"> y </w:t>
            </w:r>
            <w:r w:rsidRPr="00400A79">
              <w:rPr>
                <w:rFonts w:eastAsia="Calibri"/>
                <w:i/>
                <w:sz w:val="20"/>
                <w:szCs w:val="26"/>
                <w:lang w:eastAsia="en-US"/>
              </w:rPr>
              <w:t>U.S.</w:t>
            </w:r>
            <w:r w:rsidRPr="00400A79">
              <w:rPr>
                <w:rFonts w:eastAsia="Calibri"/>
                <w:sz w:val="20"/>
                <w:szCs w:val="26"/>
                <w:lang w:eastAsia="en-US"/>
              </w:rPr>
              <w:t xml:space="preserve"> </w:t>
            </w:r>
            <w:r w:rsidRPr="00400A79">
              <w:rPr>
                <w:rFonts w:eastAsia="Calibri"/>
                <w:i/>
                <w:sz w:val="20"/>
                <w:szCs w:val="26"/>
                <w:lang w:eastAsia="en-US"/>
              </w:rPr>
              <w:t>Bureau of Labor Statistics</w:t>
            </w:r>
            <w:r w:rsidRPr="00400A79">
              <w:rPr>
                <w:rFonts w:eastAsia="Calibri"/>
                <w:sz w:val="20"/>
                <w:szCs w:val="26"/>
                <w:lang w:eastAsia="en-US"/>
              </w:rPr>
              <w:t>.</w:t>
            </w:r>
          </w:p>
        </w:tc>
      </w:tr>
    </w:tbl>
    <w:p w14:paraId="7746DAAC" w14:textId="77777777" w:rsidR="00400A79" w:rsidRPr="00400A79" w:rsidRDefault="00400A79" w:rsidP="00400A79">
      <w:pPr>
        <w:spacing w:after="360" w:line="360" w:lineRule="auto"/>
        <w:ind w:right="-159"/>
        <w:jc w:val="both"/>
        <w:rPr>
          <w:rFonts w:eastAsia="Calibri"/>
          <w:sz w:val="26"/>
          <w:szCs w:val="26"/>
          <w:lang w:eastAsia="en-US"/>
        </w:rPr>
      </w:pPr>
    </w:p>
    <w:p w14:paraId="5645DB90" w14:textId="77777777" w:rsidR="00400A79" w:rsidRDefault="00400A79" w:rsidP="00400A79">
      <w:pPr>
        <w:spacing w:after="360" w:line="360" w:lineRule="auto"/>
        <w:ind w:right="-159"/>
        <w:jc w:val="both"/>
        <w:rPr>
          <w:rFonts w:eastAsia="Calibri"/>
          <w:sz w:val="26"/>
          <w:szCs w:val="26"/>
          <w:lang w:eastAsia="en-US"/>
        </w:rPr>
      </w:pPr>
      <w:r w:rsidRPr="00400A79">
        <w:rPr>
          <w:rFonts w:eastAsia="Calibri"/>
          <w:sz w:val="26"/>
          <w:szCs w:val="26"/>
          <w:lang w:eastAsia="en-US"/>
        </w:rPr>
        <w:t>Se espera que las políticas monetarias de los países avanzados registren una trayectoria divergente.</w:t>
      </w:r>
    </w:p>
    <w:p w14:paraId="0AB8D624" w14:textId="77777777" w:rsidR="00871DFE" w:rsidRDefault="00871DFE" w:rsidP="00400A79">
      <w:pPr>
        <w:spacing w:after="360" w:line="360" w:lineRule="auto"/>
        <w:ind w:right="-159"/>
        <w:jc w:val="both"/>
        <w:rPr>
          <w:rFonts w:eastAsia="Calibri"/>
          <w:sz w:val="26"/>
          <w:szCs w:val="26"/>
          <w:lang w:eastAsia="en-US"/>
        </w:rPr>
      </w:pPr>
    </w:p>
    <w:p w14:paraId="6FFBE191" w14:textId="77777777" w:rsidR="00871DFE" w:rsidRPr="00400A79" w:rsidRDefault="00871DFE" w:rsidP="00871DFE">
      <w:pPr>
        <w:spacing w:after="120" w:line="360" w:lineRule="auto"/>
        <w:ind w:right="-159"/>
        <w:jc w:val="both"/>
        <w:rPr>
          <w:rFonts w:eastAsia="Calibri"/>
          <w:sz w:val="26"/>
          <w:szCs w:val="26"/>
          <w:lang w:eastAsia="en-US"/>
        </w:rPr>
      </w:pPr>
    </w:p>
    <w:tbl>
      <w:tblPr>
        <w:tblW w:w="0" w:type="auto"/>
        <w:tblBorders>
          <w:insideV w:val="single" w:sz="4" w:space="0" w:color="auto"/>
        </w:tblBorders>
        <w:tblLook w:val="04A0" w:firstRow="1" w:lastRow="0" w:firstColumn="1" w:lastColumn="0" w:noHBand="0" w:noVBand="1"/>
      </w:tblPr>
      <w:tblGrid>
        <w:gridCol w:w="8840"/>
      </w:tblGrid>
      <w:tr w:rsidR="00400A79" w:rsidRPr="00400A79" w14:paraId="4711B71C" w14:textId="77777777" w:rsidTr="004F1C40">
        <w:tc>
          <w:tcPr>
            <w:tcW w:w="8838" w:type="dxa"/>
          </w:tcPr>
          <w:p w14:paraId="5104FAAE" w14:textId="77777777" w:rsidR="00400A79" w:rsidRPr="00400A79" w:rsidRDefault="00400A79" w:rsidP="00400A79">
            <w:pPr>
              <w:jc w:val="center"/>
              <w:rPr>
                <w:rFonts w:eastAsia="Calibri"/>
                <w:b/>
                <w:sz w:val="22"/>
                <w:szCs w:val="26"/>
                <w:lang w:eastAsia="en-US"/>
              </w:rPr>
            </w:pPr>
            <w:r w:rsidRPr="00400A79">
              <w:rPr>
                <w:rFonts w:eastAsia="Calibri"/>
                <w:b/>
                <w:sz w:val="22"/>
                <w:szCs w:val="26"/>
                <w:lang w:eastAsia="en-US"/>
              </w:rPr>
              <w:lastRenderedPageBreak/>
              <w:t xml:space="preserve">TASA DE REFERENCIA IMPLÍCITA EN LA CURVA DE </w:t>
            </w:r>
            <w:r w:rsidRPr="00400A79">
              <w:rPr>
                <w:rFonts w:eastAsia="Calibri"/>
                <w:b/>
                <w:i/>
                <w:sz w:val="22"/>
                <w:szCs w:val="26"/>
                <w:lang w:eastAsia="en-US"/>
              </w:rPr>
              <w:t>SWAPS</w:t>
            </w:r>
            <w:r w:rsidRPr="00400A79">
              <w:rPr>
                <w:rFonts w:eastAsia="Calibri"/>
                <w:b/>
                <w:sz w:val="22"/>
                <w:szCs w:val="26"/>
                <w:lang w:eastAsia="en-US"/>
              </w:rPr>
              <w:t xml:space="preserve"> DE TASA FIJA POR FLOTANTE</w:t>
            </w:r>
            <w:r w:rsidRPr="00400A79">
              <w:rPr>
                <w:rFonts w:eastAsia="Calibri"/>
                <w:b/>
                <w:sz w:val="22"/>
                <w:szCs w:val="26"/>
                <w:u w:val="single"/>
                <w:vertAlign w:val="superscript"/>
                <w:lang w:eastAsia="en-US"/>
              </w:rPr>
              <w:t>1</w:t>
            </w:r>
            <w:r w:rsidRPr="00400A79">
              <w:rPr>
                <w:rFonts w:eastAsia="Calibri"/>
                <w:b/>
                <w:sz w:val="22"/>
                <w:szCs w:val="26"/>
                <w:vertAlign w:val="superscript"/>
                <w:lang w:eastAsia="en-US"/>
              </w:rPr>
              <w:t>/</w:t>
            </w:r>
          </w:p>
        </w:tc>
      </w:tr>
      <w:tr w:rsidR="00400A79" w:rsidRPr="00400A79" w14:paraId="5F5B4EAB" w14:textId="77777777" w:rsidTr="004F1C40">
        <w:tc>
          <w:tcPr>
            <w:tcW w:w="8838" w:type="dxa"/>
          </w:tcPr>
          <w:p w14:paraId="0DAA751B" w14:textId="77777777" w:rsidR="00400A79" w:rsidRPr="00400A79" w:rsidRDefault="00400A79" w:rsidP="00400A79">
            <w:pPr>
              <w:jc w:val="both"/>
              <w:rPr>
                <w:rFonts w:eastAsia="Calibri"/>
                <w:sz w:val="20"/>
                <w:szCs w:val="26"/>
                <w:lang w:eastAsia="en-US"/>
              </w:rPr>
            </w:pPr>
            <w:r w:rsidRPr="00400A79">
              <w:rPr>
                <w:rFonts w:ascii="Calibri" w:eastAsia="Calibri" w:hAnsi="Calibri"/>
                <w:noProof/>
                <w:sz w:val="22"/>
                <w:szCs w:val="22"/>
                <w:lang w:eastAsia="es-MX"/>
              </w:rPr>
              <w:drawing>
                <wp:inline distT="0" distB="0" distL="0" distR="0" wp14:anchorId="142CF1DE" wp14:editId="1B479E4D">
                  <wp:extent cx="5612130" cy="3551555"/>
                  <wp:effectExtent l="0" t="0" r="7620" b="0"/>
                  <wp:docPr id="1538" name="Imagen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1"/>
                          <a:stretch>
                            <a:fillRect/>
                          </a:stretch>
                        </pic:blipFill>
                        <pic:spPr>
                          <a:xfrm>
                            <a:off x="0" y="0"/>
                            <a:ext cx="5612130" cy="3551555"/>
                          </a:xfrm>
                          <a:prstGeom prst="rect">
                            <a:avLst/>
                          </a:prstGeom>
                        </pic:spPr>
                      </pic:pic>
                    </a:graphicData>
                  </a:graphic>
                </wp:inline>
              </w:drawing>
            </w:r>
          </w:p>
        </w:tc>
      </w:tr>
      <w:tr w:rsidR="00400A79" w:rsidRPr="00400A79" w14:paraId="5E95ABF5" w14:textId="77777777" w:rsidTr="004F1C40">
        <w:tc>
          <w:tcPr>
            <w:tcW w:w="8838" w:type="dxa"/>
          </w:tcPr>
          <w:p w14:paraId="4CE5E95C" w14:textId="77777777" w:rsidR="00400A79" w:rsidRPr="00400A79" w:rsidRDefault="00400A79" w:rsidP="00400A79">
            <w:pPr>
              <w:jc w:val="both"/>
              <w:rPr>
                <w:rFonts w:eastAsia="Calibri"/>
                <w:sz w:val="20"/>
                <w:szCs w:val="26"/>
                <w:lang w:eastAsia="en-US"/>
              </w:rPr>
            </w:pPr>
            <w:r w:rsidRPr="00400A79">
              <w:rPr>
                <w:rFonts w:eastAsia="Calibri"/>
                <w:sz w:val="20"/>
                <w:szCs w:val="26"/>
                <w:u w:val="single"/>
                <w:lang w:eastAsia="en-US"/>
              </w:rPr>
              <w:t>1</w:t>
            </w:r>
            <w:r w:rsidRPr="00400A79">
              <w:rPr>
                <w:rFonts w:eastAsia="Calibri"/>
                <w:sz w:val="20"/>
                <w:szCs w:val="26"/>
                <w:lang w:eastAsia="en-US"/>
              </w:rPr>
              <w:t xml:space="preserve">/ Las líneas discontinuas se refieren a la tasa implícita en la curva </w:t>
            </w:r>
            <w:r w:rsidRPr="00400A79">
              <w:rPr>
                <w:rFonts w:eastAsia="Calibri"/>
                <w:i/>
                <w:sz w:val="20"/>
                <w:szCs w:val="26"/>
                <w:lang w:eastAsia="en-US"/>
              </w:rPr>
              <w:t>Overnight Index Swap</w:t>
            </w:r>
            <w:r w:rsidRPr="00400A79">
              <w:rPr>
                <w:rFonts w:eastAsia="Calibri"/>
                <w:sz w:val="20"/>
                <w:szCs w:val="26"/>
                <w:lang w:eastAsia="en-US"/>
              </w:rPr>
              <w:t xml:space="preserve"> (OIS).</w:t>
            </w:r>
          </w:p>
          <w:p w14:paraId="2B365633" w14:textId="77777777" w:rsidR="00400A79" w:rsidRPr="00400A79" w:rsidRDefault="00400A79" w:rsidP="00400A79">
            <w:pPr>
              <w:jc w:val="both"/>
              <w:rPr>
                <w:rFonts w:eastAsia="Calibri"/>
                <w:sz w:val="20"/>
                <w:szCs w:val="26"/>
                <w:lang w:eastAsia="en-US"/>
              </w:rPr>
            </w:pPr>
            <w:r w:rsidRPr="00400A79">
              <w:rPr>
                <w:rFonts w:eastAsia="Calibri"/>
                <w:sz w:val="20"/>
                <w:szCs w:val="26"/>
                <w:lang w:eastAsia="en-US"/>
              </w:rPr>
              <w:t>FUENTE: Bloomberg con cálculos de Banco de México.</w:t>
            </w:r>
          </w:p>
        </w:tc>
      </w:tr>
    </w:tbl>
    <w:p w14:paraId="2EF2B025" w14:textId="77777777" w:rsidR="00400A79" w:rsidRPr="00400A79" w:rsidRDefault="00400A79" w:rsidP="00400A79">
      <w:pPr>
        <w:spacing w:after="360" w:line="360" w:lineRule="auto"/>
        <w:ind w:right="-159"/>
        <w:jc w:val="both"/>
        <w:rPr>
          <w:rFonts w:eastAsia="Calibri"/>
          <w:sz w:val="26"/>
          <w:szCs w:val="26"/>
          <w:lang w:eastAsia="en-US"/>
        </w:rPr>
      </w:pPr>
    </w:p>
    <w:p w14:paraId="2F5C42A0" w14:textId="77777777" w:rsidR="00400A79" w:rsidRPr="00400A79" w:rsidRDefault="00400A79" w:rsidP="00400A79">
      <w:pPr>
        <w:spacing w:after="360" w:line="360" w:lineRule="auto"/>
        <w:ind w:right="-159"/>
        <w:jc w:val="both"/>
        <w:rPr>
          <w:rFonts w:eastAsia="Calibri"/>
          <w:sz w:val="26"/>
          <w:szCs w:val="26"/>
          <w:lang w:eastAsia="en-US"/>
        </w:rPr>
      </w:pPr>
      <w:r w:rsidRPr="00400A79">
        <w:rPr>
          <w:rFonts w:eastAsia="Calibri"/>
          <w:sz w:val="26"/>
          <w:szCs w:val="26"/>
          <w:lang w:eastAsia="en-US"/>
        </w:rPr>
        <w:t>La cercanía del inicio del proceso de la normalización monetaria en Estados Unidos de Norteamérica plantea desafíos.</w:t>
      </w:r>
    </w:p>
    <w:p w14:paraId="0174BD09" w14:textId="77777777" w:rsidR="00400A79" w:rsidRPr="00400A79" w:rsidRDefault="00400A79" w:rsidP="00276F3E">
      <w:pPr>
        <w:numPr>
          <w:ilvl w:val="0"/>
          <w:numId w:val="86"/>
        </w:numPr>
        <w:spacing w:after="360" w:line="360" w:lineRule="auto"/>
        <w:ind w:left="714" w:right="-159" w:hanging="357"/>
        <w:jc w:val="both"/>
        <w:rPr>
          <w:rFonts w:eastAsia="Calibri"/>
          <w:sz w:val="26"/>
          <w:szCs w:val="26"/>
          <w:lang w:eastAsia="en-US"/>
        </w:rPr>
      </w:pPr>
      <w:r w:rsidRPr="00400A79">
        <w:rPr>
          <w:rFonts w:eastAsia="Calibri"/>
          <w:sz w:val="26"/>
          <w:szCs w:val="26"/>
          <w:lang w:eastAsia="en-US"/>
        </w:rPr>
        <w:t>Los bancos centrales de los países avanzados se encuentran en un territorio no explorado.</w:t>
      </w:r>
    </w:p>
    <w:p w14:paraId="7684ABA0" w14:textId="77777777" w:rsidR="00400A79" w:rsidRPr="00400A79" w:rsidRDefault="00400A79" w:rsidP="00276F3E">
      <w:pPr>
        <w:numPr>
          <w:ilvl w:val="0"/>
          <w:numId w:val="86"/>
        </w:numPr>
        <w:spacing w:after="360" w:line="360" w:lineRule="auto"/>
        <w:ind w:left="714" w:right="-159" w:hanging="357"/>
        <w:jc w:val="both"/>
        <w:rPr>
          <w:rFonts w:eastAsia="Calibri"/>
          <w:sz w:val="26"/>
          <w:szCs w:val="26"/>
          <w:lang w:eastAsia="en-US"/>
        </w:rPr>
      </w:pPr>
      <w:r w:rsidRPr="00400A79">
        <w:rPr>
          <w:rFonts w:eastAsia="Calibri"/>
          <w:sz w:val="26"/>
          <w:szCs w:val="26"/>
          <w:lang w:eastAsia="en-US"/>
        </w:rPr>
        <w:t>La estrategia de salida puede ser compleja.</w:t>
      </w:r>
    </w:p>
    <w:p w14:paraId="5AB92384" w14:textId="77777777" w:rsidR="00400A79" w:rsidRPr="00400A79" w:rsidRDefault="00400A79" w:rsidP="00276F3E">
      <w:pPr>
        <w:numPr>
          <w:ilvl w:val="0"/>
          <w:numId w:val="86"/>
        </w:numPr>
        <w:spacing w:after="360" w:line="360" w:lineRule="auto"/>
        <w:ind w:left="714" w:right="-159" w:hanging="357"/>
        <w:jc w:val="both"/>
        <w:rPr>
          <w:rFonts w:eastAsia="Calibri"/>
          <w:sz w:val="26"/>
          <w:szCs w:val="26"/>
          <w:lang w:eastAsia="en-US"/>
        </w:rPr>
      </w:pPr>
      <w:r w:rsidRPr="00400A79">
        <w:rPr>
          <w:rFonts w:eastAsia="Calibri"/>
          <w:sz w:val="26"/>
          <w:szCs w:val="26"/>
          <w:lang w:eastAsia="en-US"/>
        </w:rPr>
        <w:t>La incertidumbre abarca el ritmo y la intensidad del proceso.</w:t>
      </w:r>
    </w:p>
    <w:p w14:paraId="0B947737" w14:textId="77777777" w:rsidR="00400A79" w:rsidRPr="00400A79" w:rsidRDefault="00400A79" w:rsidP="00276F3E">
      <w:pPr>
        <w:numPr>
          <w:ilvl w:val="0"/>
          <w:numId w:val="86"/>
        </w:numPr>
        <w:spacing w:after="360" w:line="360" w:lineRule="auto"/>
        <w:ind w:left="714" w:right="-159" w:hanging="357"/>
        <w:jc w:val="both"/>
        <w:rPr>
          <w:rFonts w:eastAsia="Calibri"/>
          <w:sz w:val="26"/>
          <w:szCs w:val="26"/>
          <w:lang w:eastAsia="en-US"/>
        </w:rPr>
      </w:pPr>
      <w:r w:rsidRPr="00400A79">
        <w:rPr>
          <w:rFonts w:eastAsia="Calibri"/>
          <w:sz w:val="26"/>
          <w:szCs w:val="26"/>
          <w:lang w:eastAsia="en-US"/>
        </w:rPr>
        <w:t>El entorno mundial se complica con la divergencia de las trayectorias de los bancos centrales de economías avanzadas.</w:t>
      </w:r>
    </w:p>
    <w:p w14:paraId="59AE40E9" w14:textId="77777777" w:rsidR="00400A79" w:rsidRPr="00400A79" w:rsidRDefault="00400A79" w:rsidP="00276F3E">
      <w:pPr>
        <w:numPr>
          <w:ilvl w:val="0"/>
          <w:numId w:val="86"/>
        </w:numPr>
        <w:spacing w:after="360" w:line="360" w:lineRule="auto"/>
        <w:ind w:left="714" w:right="-159" w:hanging="357"/>
        <w:jc w:val="both"/>
        <w:rPr>
          <w:rFonts w:eastAsia="Calibri"/>
          <w:sz w:val="26"/>
          <w:szCs w:val="26"/>
          <w:lang w:eastAsia="en-US"/>
        </w:rPr>
      </w:pPr>
      <w:r w:rsidRPr="00400A79">
        <w:rPr>
          <w:rFonts w:eastAsia="Calibri"/>
          <w:sz w:val="26"/>
          <w:szCs w:val="26"/>
          <w:lang w:eastAsia="en-US"/>
        </w:rPr>
        <w:lastRenderedPageBreak/>
        <w:t>La reacción de los mercados es impredecible.</w:t>
      </w:r>
    </w:p>
    <w:p w14:paraId="0CFD12E0" w14:textId="77777777" w:rsidR="00400A79" w:rsidRPr="00400A79" w:rsidRDefault="00400A79" w:rsidP="00400A79">
      <w:pPr>
        <w:spacing w:after="360" w:line="360" w:lineRule="auto"/>
        <w:ind w:right="-159"/>
        <w:jc w:val="both"/>
        <w:rPr>
          <w:rFonts w:eastAsia="Calibri"/>
          <w:sz w:val="26"/>
          <w:szCs w:val="26"/>
          <w:lang w:eastAsia="en-US"/>
        </w:rPr>
      </w:pPr>
      <w:r w:rsidRPr="00400A79">
        <w:rPr>
          <w:rFonts w:eastAsia="Calibri"/>
          <w:sz w:val="26"/>
          <w:szCs w:val="26"/>
          <w:lang w:eastAsia="en-US"/>
        </w:rPr>
        <w:t>Las implicaciones de la normalización monetaria para las economías emergentes pueden ser significativas.</w:t>
      </w:r>
    </w:p>
    <w:p w14:paraId="63C9C1E3" w14:textId="77777777" w:rsidR="00400A79" w:rsidRPr="00400A79" w:rsidRDefault="00400A79" w:rsidP="00276F3E">
      <w:pPr>
        <w:numPr>
          <w:ilvl w:val="0"/>
          <w:numId w:val="87"/>
        </w:numPr>
        <w:spacing w:after="360" w:line="360" w:lineRule="auto"/>
        <w:ind w:left="714" w:right="-159" w:hanging="357"/>
        <w:jc w:val="both"/>
        <w:rPr>
          <w:rFonts w:eastAsia="Calibri"/>
          <w:sz w:val="26"/>
          <w:szCs w:val="26"/>
          <w:lang w:eastAsia="en-US"/>
        </w:rPr>
      </w:pPr>
      <w:r w:rsidRPr="00400A79">
        <w:rPr>
          <w:rFonts w:eastAsia="Calibri"/>
          <w:sz w:val="26"/>
          <w:szCs w:val="26"/>
          <w:lang w:eastAsia="en-US"/>
        </w:rPr>
        <w:t>La recuperación económica de Estados Unidos de Norteamérica es favorable, especialmente para las economías más asociadas a ese país.</w:t>
      </w:r>
    </w:p>
    <w:p w14:paraId="4E20093D" w14:textId="77777777" w:rsidR="00400A79" w:rsidRPr="00400A79" w:rsidRDefault="00400A79" w:rsidP="00276F3E">
      <w:pPr>
        <w:numPr>
          <w:ilvl w:val="0"/>
          <w:numId w:val="87"/>
        </w:numPr>
        <w:spacing w:after="360" w:line="360" w:lineRule="auto"/>
        <w:ind w:left="714" w:right="-159" w:hanging="357"/>
        <w:jc w:val="both"/>
        <w:rPr>
          <w:rFonts w:eastAsia="Calibri"/>
          <w:sz w:val="26"/>
          <w:szCs w:val="26"/>
          <w:lang w:eastAsia="en-US"/>
        </w:rPr>
      </w:pPr>
      <w:r w:rsidRPr="00400A79">
        <w:rPr>
          <w:rFonts w:eastAsia="Calibri"/>
          <w:sz w:val="26"/>
          <w:szCs w:val="26"/>
          <w:lang w:eastAsia="en-US"/>
        </w:rPr>
        <w:t>Sin embargo, no pueden excluirse ajustes de carteras internacionales que detengan e incluso reviertan las entradas de capital.</w:t>
      </w:r>
    </w:p>
    <w:p w14:paraId="3E0F58F4" w14:textId="77777777" w:rsidR="00400A79" w:rsidRPr="00400A79" w:rsidRDefault="00400A79" w:rsidP="00276F3E">
      <w:pPr>
        <w:numPr>
          <w:ilvl w:val="0"/>
          <w:numId w:val="87"/>
        </w:numPr>
        <w:spacing w:after="360" w:line="360" w:lineRule="auto"/>
        <w:ind w:left="714" w:right="-159" w:hanging="357"/>
        <w:jc w:val="both"/>
        <w:rPr>
          <w:rFonts w:eastAsia="Calibri"/>
          <w:sz w:val="26"/>
          <w:szCs w:val="26"/>
          <w:lang w:eastAsia="en-US"/>
        </w:rPr>
      </w:pPr>
      <w:r w:rsidRPr="00400A79">
        <w:rPr>
          <w:rFonts w:eastAsia="Calibri"/>
          <w:sz w:val="26"/>
          <w:szCs w:val="26"/>
          <w:lang w:eastAsia="en-US"/>
        </w:rPr>
        <w:t>La política económica pueden ayudar a hacer frente al entorno incierto.</w:t>
      </w:r>
    </w:p>
    <w:p w14:paraId="6DD462C7" w14:textId="77777777" w:rsidR="00400A79" w:rsidRPr="00400A79" w:rsidRDefault="00400A79" w:rsidP="00276F3E">
      <w:pPr>
        <w:numPr>
          <w:ilvl w:val="0"/>
          <w:numId w:val="87"/>
        </w:numPr>
        <w:spacing w:after="360" w:line="360" w:lineRule="auto"/>
        <w:ind w:left="1094" w:right="-159" w:hanging="357"/>
        <w:jc w:val="both"/>
        <w:rPr>
          <w:rFonts w:eastAsia="Calibri"/>
          <w:sz w:val="26"/>
          <w:szCs w:val="26"/>
          <w:lang w:eastAsia="en-US"/>
        </w:rPr>
      </w:pPr>
      <w:r w:rsidRPr="00400A79">
        <w:rPr>
          <w:rFonts w:eastAsia="Calibri"/>
          <w:sz w:val="26"/>
          <w:szCs w:val="26"/>
          <w:lang w:eastAsia="en-US"/>
        </w:rPr>
        <w:t>Fortalecimiento de los fundamentos macroeconómicos.</w:t>
      </w:r>
    </w:p>
    <w:p w14:paraId="07DE59D8" w14:textId="77777777" w:rsidR="00400A79" w:rsidRPr="00400A79" w:rsidRDefault="00400A79" w:rsidP="00276F3E">
      <w:pPr>
        <w:numPr>
          <w:ilvl w:val="0"/>
          <w:numId w:val="87"/>
        </w:numPr>
        <w:spacing w:after="360" w:line="360" w:lineRule="auto"/>
        <w:ind w:left="1094" w:right="-159" w:hanging="357"/>
        <w:jc w:val="both"/>
        <w:rPr>
          <w:rFonts w:eastAsia="Calibri"/>
          <w:sz w:val="26"/>
          <w:szCs w:val="26"/>
          <w:lang w:eastAsia="en-US"/>
        </w:rPr>
      </w:pPr>
      <w:r w:rsidRPr="00400A79">
        <w:rPr>
          <w:rFonts w:eastAsia="Calibri"/>
          <w:sz w:val="26"/>
          <w:szCs w:val="26"/>
          <w:lang w:eastAsia="en-US"/>
        </w:rPr>
        <w:t>Vigilancia de posibles riesgos financieros sistémicos y, en su caso, medidas oportunas.</w:t>
      </w:r>
    </w:p>
    <w:p w14:paraId="78295628" w14:textId="77777777" w:rsidR="00400A79" w:rsidRPr="00400A79" w:rsidRDefault="00400A79" w:rsidP="00400A79">
      <w:pPr>
        <w:spacing w:after="360" w:line="360" w:lineRule="auto"/>
        <w:ind w:right="-159"/>
        <w:jc w:val="both"/>
        <w:rPr>
          <w:rFonts w:eastAsia="Calibri"/>
          <w:b/>
          <w:sz w:val="26"/>
          <w:szCs w:val="26"/>
          <w:lang w:eastAsia="en-US"/>
        </w:rPr>
      </w:pPr>
      <w:r w:rsidRPr="00400A79">
        <w:rPr>
          <w:rFonts w:eastAsia="Calibri"/>
          <w:b/>
          <w:sz w:val="26"/>
          <w:szCs w:val="26"/>
          <w:lang w:eastAsia="en-US"/>
        </w:rPr>
        <w:t>Política Monetaria en México</w:t>
      </w:r>
    </w:p>
    <w:p w14:paraId="64DB408E" w14:textId="77777777" w:rsidR="00400A79" w:rsidRPr="00400A79" w:rsidRDefault="00400A79" w:rsidP="00400A79">
      <w:pPr>
        <w:spacing w:after="360" w:line="360" w:lineRule="auto"/>
        <w:ind w:right="-159"/>
        <w:jc w:val="both"/>
        <w:rPr>
          <w:rFonts w:eastAsia="Calibri"/>
          <w:sz w:val="26"/>
          <w:szCs w:val="26"/>
          <w:lang w:eastAsia="en-US"/>
        </w:rPr>
      </w:pPr>
      <w:r w:rsidRPr="00400A79">
        <w:rPr>
          <w:rFonts w:eastAsia="Calibri"/>
          <w:sz w:val="26"/>
          <w:szCs w:val="26"/>
          <w:lang w:eastAsia="en-US"/>
        </w:rPr>
        <w:t>El severo impacto de la crisis financiera en México hizo  necesaria la adopción temporal de medidas de emergencia.</w:t>
      </w:r>
    </w:p>
    <w:p w14:paraId="4A486386" w14:textId="77777777" w:rsidR="00400A79" w:rsidRPr="00400A79" w:rsidRDefault="00400A79" w:rsidP="00276F3E">
      <w:pPr>
        <w:numPr>
          <w:ilvl w:val="0"/>
          <w:numId w:val="88"/>
        </w:numPr>
        <w:spacing w:after="360" w:line="360" w:lineRule="auto"/>
        <w:ind w:left="714" w:right="-159" w:hanging="357"/>
        <w:jc w:val="both"/>
        <w:rPr>
          <w:rFonts w:eastAsia="Calibri"/>
          <w:sz w:val="26"/>
          <w:szCs w:val="26"/>
          <w:lang w:eastAsia="en-US"/>
        </w:rPr>
      </w:pPr>
      <w:r w:rsidRPr="00400A79">
        <w:rPr>
          <w:rFonts w:eastAsia="Calibri"/>
          <w:sz w:val="26"/>
          <w:szCs w:val="26"/>
          <w:lang w:eastAsia="en-US"/>
        </w:rPr>
        <w:t>Entre las acciones adoptadas destacan.</w:t>
      </w:r>
    </w:p>
    <w:p w14:paraId="561EE0A6" w14:textId="77777777" w:rsidR="00400A79" w:rsidRPr="00400A79" w:rsidRDefault="00400A79" w:rsidP="00276F3E">
      <w:pPr>
        <w:numPr>
          <w:ilvl w:val="0"/>
          <w:numId w:val="88"/>
        </w:numPr>
        <w:spacing w:after="360" w:line="360" w:lineRule="auto"/>
        <w:ind w:left="1094" w:right="-159" w:hanging="357"/>
        <w:jc w:val="both"/>
        <w:rPr>
          <w:rFonts w:eastAsia="Calibri"/>
          <w:sz w:val="26"/>
          <w:szCs w:val="26"/>
          <w:lang w:eastAsia="en-US"/>
        </w:rPr>
      </w:pPr>
      <w:r w:rsidRPr="00400A79">
        <w:rPr>
          <w:rFonts w:eastAsia="Calibri"/>
          <w:sz w:val="26"/>
          <w:szCs w:val="26"/>
          <w:lang w:eastAsia="en-US"/>
        </w:rPr>
        <w:t>Facilidad de liquidez a los bancos.</w:t>
      </w:r>
    </w:p>
    <w:p w14:paraId="799D1964" w14:textId="77777777" w:rsidR="00400A79" w:rsidRPr="00400A79" w:rsidRDefault="00400A79" w:rsidP="00276F3E">
      <w:pPr>
        <w:numPr>
          <w:ilvl w:val="0"/>
          <w:numId w:val="88"/>
        </w:numPr>
        <w:spacing w:after="360" w:line="360" w:lineRule="auto"/>
        <w:ind w:left="1094" w:right="-159" w:hanging="357"/>
        <w:jc w:val="both"/>
        <w:rPr>
          <w:rFonts w:eastAsia="Calibri"/>
          <w:sz w:val="26"/>
          <w:szCs w:val="26"/>
          <w:lang w:eastAsia="en-US"/>
        </w:rPr>
      </w:pPr>
      <w:r w:rsidRPr="00400A79">
        <w:rPr>
          <w:rFonts w:eastAsia="Calibri"/>
          <w:sz w:val="26"/>
          <w:szCs w:val="26"/>
          <w:lang w:eastAsia="en-US"/>
        </w:rPr>
        <w:t>Subastas y ventas en directo de dólares, así como subastas de crédito en dólares.</w:t>
      </w:r>
    </w:p>
    <w:p w14:paraId="1AE41069" w14:textId="77777777" w:rsidR="00400A79" w:rsidRPr="00400A79" w:rsidRDefault="00400A79" w:rsidP="00276F3E">
      <w:pPr>
        <w:numPr>
          <w:ilvl w:val="0"/>
          <w:numId w:val="88"/>
        </w:numPr>
        <w:spacing w:after="360" w:line="360" w:lineRule="auto"/>
        <w:ind w:left="1094" w:right="-159" w:hanging="357"/>
        <w:jc w:val="both"/>
        <w:rPr>
          <w:rFonts w:eastAsia="Calibri"/>
          <w:sz w:val="26"/>
          <w:szCs w:val="26"/>
          <w:lang w:eastAsia="en-US"/>
        </w:rPr>
      </w:pPr>
      <w:r w:rsidRPr="00400A79">
        <w:rPr>
          <w:rFonts w:eastAsia="Calibri"/>
          <w:sz w:val="26"/>
          <w:szCs w:val="26"/>
          <w:lang w:eastAsia="en-US"/>
        </w:rPr>
        <w:t>Reorientación de colocación de deuda pública hacia títulos de corto plazo.</w:t>
      </w:r>
    </w:p>
    <w:p w14:paraId="3A564205" w14:textId="77777777" w:rsidR="00400A79" w:rsidRPr="00400A79" w:rsidRDefault="00400A79" w:rsidP="00276F3E">
      <w:pPr>
        <w:numPr>
          <w:ilvl w:val="0"/>
          <w:numId w:val="88"/>
        </w:numPr>
        <w:spacing w:after="360" w:line="360" w:lineRule="auto"/>
        <w:ind w:left="1094" w:right="-159" w:hanging="357"/>
        <w:jc w:val="both"/>
        <w:rPr>
          <w:rFonts w:eastAsia="Calibri"/>
          <w:sz w:val="26"/>
          <w:szCs w:val="26"/>
          <w:lang w:eastAsia="en-US"/>
        </w:rPr>
      </w:pPr>
      <w:r w:rsidRPr="00400A79">
        <w:rPr>
          <w:rFonts w:eastAsia="Calibri"/>
          <w:sz w:val="26"/>
          <w:szCs w:val="26"/>
          <w:lang w:eastAsia="en-US"/>
        </w:rPr>
        <w:lastRenderedPageBreak/>
        <w:t>Recompra de valores emitidos por el IPAB.</w:t>
      </w:r>
    </w:p>
    <w:p w14:paraId="1A2F844C" w14:textId="77777777" w:rsidR="00400A79" w:rsidRPr="00400A79" w:rsidRDefault="00400A79" w:rsidP="00276F3E">
      <w:pPr>
        <w:numPr>
          <w:ilvl w:val="0"/>
          <w:numId w:val="88"/>
        </w:numPr>
        <w:spacing w:after="360" w:line="360" w:lineRule="auto"/>
        <w:ind w:left="1094" w:right="-159" w:hanging="357"/>
        <w:jc w:val="both"/>
        <w:rPr>
          <w:rFonts w:eastAsia="Calibri"/>
          <w:sz w:val="26"/>
          <w:szCs w:val="26"/>
          <w:lang w:eastAsia="en-US"/>
        </w:rPr>
      </w:pPr>
      <w:r w:rsidRPr="00400A79">
        <w:rPr>
          <w:rFonts w:eastAsia="Calibri"/>
          <w:sz w:val="26"/>
          <w:szCs w:val="26"/>
          <w:lang w:eastAsia="en-US"/>
        </w:rPr>
        <w:t>Intercambio de tasas de interés fijas de largo plazo por tasas variables de corto plazo.</w:t>
      </w:r>
    </w:p>
    <w:p w14:paraId="2BF32037" w14:textId="77777777" w:rsidR="00400A79" w:rsidRPr="00400A79" w:rsidRDefault="00400A79" w:rsidP="00276F3E">
      <w:pPr>
        <w:numPr>
          <w:ilvl w:val="0"/>
          <w:numId w:val="88"/>
        </w:numPr>
        <w:spacing w:after="360" w:line="360" w:lineRule="auto"/>
        <w:ind w:left="714" w:right="-159" w:hanging="357"/>
        <w:jc w:val="both"/>
        <w:rPr>
          <w:rFonts w:eastAsia="Calibri"/>
          <w:sz w:val="26"/>
          <w:szCs w:val="26"/>
          <w:lang w:eastAsia="en-US"/>
        </w:rPr>
      </w:pPr>
      <w:r w:rsidRPr="00400A79">
        <w:rPr>
          <w:rFonts w:eastAsia="Calibri"/>
          <w:sz w:val="26"/>
          <w:szCs w:val="26"/>
          <w:lang w:eastAsia="en-US"/>
        </w:rPr>
        <w:t>Hacia finales de 2009 la mayoría de estas medidas había concluido.</w:t>
      </w:r>
    </w:p>
    <w:p w14:paraId="2927B832" w14:textId="77777777" w:rsidR="00400A79" w:rsidRPr="00400A79" w:rsidRDefault="00400A79" w:rsidP="00400A79">
      <w:pPr>
        <w:spacing w:after="360" w:line="360" w:lineRule="auto"/>
        <w:ind w:right="-159"/>
        <w:jc w:val="both"/>
        <w:rPr>
          <w:rFonts w:eastAsia="Calibri"/>
          <w:sz w:val="26"/>
          <w:szCs w:val="26"/>
          <w:lang w:eastAsia="en-US"/>
        </w:rPr>
      </w:pPr>
      <w:r w:rsidRPr="00400A79">
        <w:rPr>
          <w:rFonts w:eastAsia="Calibri"/>
          <w:sz w:val="26"/>
          <w:szCs w:val="26"/>
          <w:lang w:eastAsia="en-US"/>
        </w:rPr>
        <w:t>México ha aplicado una política monetaria basada en un objetivo para la tasa de interés de referencia.</w:t>
      </w:r>
    </w:p>
    <w:tbl>
      <w:tblPr>
        <w:tblW w:w="0" w:type="auto"/>
        <w:tblBorders>
          <w:insideV w:val="single" w:sz="4" w:space="0" w:color="auto"/>
        </w:tblBorders>
        <w:tblLook w:val="04A0" w:firstRow="1" w:lastRow="0" w:firstColumn="1" w:lastColumn="0" w:noHBand="0" w:noVBand="1"/>
      </w:tblPr>
      <w:tblGrid>
        <w:gridCol w:w="8840"/>
      </w:tblGrid>
      <w:tr w:rsidR="00400A79" w:rsidRPr="00400A79" w14:paraId="162373DE" w14:textId="77777777" w:rsidTr="004F1C40">
        <w:tc>
          <w:tcPr>
            <w:tcW w:w="8828" w:type="dxa"/>
          </w:tcPr>
          <w:p w14:paraId="73D22450" w14:textId="77777777" w:rsidR="00400A79" w:rsidRPr="00400A79" w:rsidRDefault="00400A79" w:rsidP="00400A79">
            <w:pPr>
              <w:jc w:val="center"/>
              <w:rPr>
                <w:rFonts w:eastAsia="Calibri"/>
                <w:b/>
                <w:sz w:val="22"/>
                <w:szCs w:val="26"/>
                <w:lang w:eastAsia="en-US"/>
              </w:rPr>
            </w:pPr>
            <w:r w:rsidRPr="00400A79">
              <w:rPr>
                <w:rFonts w:eastAsia="Calibri"/>
                <w:b/>
                <w:sz w:val="22"/>
                <w:szCs w:val="26"/>
                <w:lang w:eastAsia="en-US"/>
              </w:rPr>
              <w:t>MÉXICO: TASA DE POLÍTICA MONETARIA</w:t>
            </w:r>
          </w:p>
          <w:p w14:paraId="5FC7FC35" w14:textId="77777777" w:rsidR="00400A79" w:rsidRPr="00400A79" w:rsidRDefault="00400A79" w:rsidP="00400A79">
            <w:pPr>
              <w:jc w:val="center"/>
              <w:rPr>
                <w:rFonts w:eastAsia="Calibri"/>
                <w:b/>
                <w:sz w:val="22"/>
                <w:szCs w:val="26"/>
                <w:lang w:eastAsia="en-US"/>
              </w:rPr>
            </w:pPr>
            <w:r w:rsidRPr="00400A79">
              <w:rPr>
                <w:rFonts w:eastAsia="Calibri"/>
                <w:b/>
                <w:sz w:val="22"/>
                <w:szCs w:val="26"/>
                <w:lang w:eastAsia="en-US"/>
              </w:rPr>
              <w:t>-Porcentajes-</w:t>
            </w:r>
          </w:p>
        </w:tc>
      </w:tr>
      <w:tr w:rsidR="00400A79" w:rsidRPr="00400A79" w14:paraId="2B677CBC" w14:textId="77777777" w:rsidTr="004F1C40">
        <w:tc>
          <w:tcPr>
            <w:tcW w:w="8828" w:type="dxa"/>
          </w:tcPr>
          <w:p w14:paraId="6920D3BA" w14:textId="77777777" w:rsidR="00400A79" w:rsidRPr="00400A79" w:rsidRDefault="00400A79" w:rsidP="00400A79">
            <w:pPr>
              <w:jc w:val="both"/>
              <w:rPr>
                <w:rFonts w:eastAsia="Calibri"/>
                <w:sz w:val="20"/>
                <w:szCs w:val="26"/>
                <w:lang w:eastAsia="en-US"/>
              </w:rPr>
            </w:pPr>
            <w:r w:rsidRPr="00400A79">
              <w:rPr>
                <w:rFonts w:ascii="Calibri" w:eastAsia="Calibri" w:hAnsi="Calibri"/>
                <w:noProof/>
                <w:sz w:val="22"/>
                <w:szCs w:val="22"/>
                <w:lang w:eastAsia="es-MX"/>
              </w:rPr>
              <w:drawing>
                <wp:inline distT="0" distB="0" distL="0" distR="0" wp14:anchorId="2590C2D8" wp14:editId="3D8FAE43">
                  <wp:extent cx="5574534" cy="3348000"/>
                  <wp:effectExtent l="0" t="0" r="7620" b="5080"/>
                  <wp:docPr id="1539" name="Imagen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2"/>
                          <a:stretch>
                            <a:fillRect/>
                          </a:stretch>
                        </pic:blipFill>
                        <pic:spPr>
                          <a:xfrm>
                            <a:off x="0" y="0"/>
                            <a:ext cx="5574534" cy="3348000"/>
                          </a:xfrm>
                          <a:prstGeom prst="rect">
                            <a:avLst/>
                          </a:prstGeom>
                        </pic:spPr>
                      </pic:pic>
                    </a:graphicData>
                  </a:graphic>
                </wp:inline>
              </w:drawing>
            </w:r>
          </w:p>
        </w:tc>
      </w:tr>
      <w:tr w:rsidR="00400A79" w:rsidRPr="00400A79" w14:paraId="0B7C1EFD" w14:textId="77777777" w:rsidTr="004F1C40">
        <w:tc>
          <w:tcPr>
            <w:tcW w:w="8828" w:type="dxa"/>
          </w:tcPr>
          <w:p w14:paraId="3C28FCEF" w14:textId="77777777" w:rsidR="00400A79" w:rsidRPr="00400A79" w:rsidRDefault="00400A79" w:rsidP="00400A79">
            <w:pPr>
              <w:jc w:val="both"/>
              <w:rPr>
                <w:rFonts w:eastAsia="Calibri"/>
                <w:sz w:val="20"/>
                <w:szCs w:val="26"/>
                <w:lang w:eastAsia="en-US"/>
              </w:rPr>
            </w:pPr>
            <w:r w:rsidRPr="00400A79">
              <w:rPr>
                <w:rFonts w:eastAsia="Calibri"/>
                <w:sz w:val="20"/>
                <w:szCs w:val="26"/>
                <w:lang w:eastAsia="en-US"/>
              </w:rPr>
              <w:t>FUENTE: Banco de México.</w:t>
            </w:r>
          </w:p>
        </w:tc>
      </w:tr>
    </w:tbl>
    <w:p w14:paraId="33BD924C" w14:textId="77777777" w:rsidR="00400A79" w:rsidRPr="00400A79" w:rsidRDefault="00400A79" w:rsidP="00400A79">
      <w:pPr>
        <w:spacing w:after="360" w:line="360" w:lineRule="auto"/>
        <w:ind w:right="-159"/>
        <w:jc w:val="both"/>
        <w:rPr>
          <w:rFonts w:eastAsia="Calibri"/>
          <w:sz w:val="26"/>
          <w:szCs w:val="26"/>
          <w:lang w:eastAsia="en-US"/>
        </w:rPr>
      </w:pPr>
    </w:p>
    <w:p w14:paraId="0AA244E8" w14:textId="77777777" w:rsidR="00400A79" w:rsidRDefault="00400A79" w:rsidP="00400A79">
      <w:pPr>
        <w:spacing w:after="360" w:line="360" w:lineRule="auto"/>
        <w:ind w:right="-159"/>
        <w:jc w:val="both"/>
        <w:rPr>
          <w:rFonts w:eastAsia="Calibri"/>
          <w:sz w:val="26"/>
          <w:szCs w:val="26"/>
          <w:lang w:eastAsia="en-US"/>
        </w:rPr>
      </w:pPr>
      <w:r w:rsidRPr="00400A79">
        <w:rPr>
          <w:rFonts w:eastAsia="Calibri"/>
          <w:sz w:val="26"/>
          <w:szCs w:val="26"/>
          <w:lang w:eastAsia="en-US"/>
        </w:rPr>
        <w:t>La inflación en México se encuentra en proceso de convergir hacia el objetivo permanente de 3 por ciento.</w:t>
      </w:r>
    </w:p>
    <w:p w14:paraId="739A99EA" w14:textId="77777777" w:rsidR="00871DFE" w:rsidRPr="00400A79" w:rsidRDefault="00871DFE" w:rsidP="00400A79">
      <w:pPr>
        <w:spacing w:after="360" w:line="360" w:lineRule="auto"/>
        <w:ind w:right="-159"/>
        <w:jc w:val="both"/>
        <w:rPr>
          <w:rFonts w:eastAsia="Calibri"/>
          <w:sz w:val="26"/>
          <w:szCs w:val="26"/>
          <w:lang w:eastAsia="en-US"/>
        </w:rPr>
      </w:pPr>
    </w:p>
    <w:tbl>
      <w:tblPr>
        <w:tblW w:w="0" w:type="auto"/>
        <w:tblBorders>
          <w:insideV w:val="single" w:sz="4" w:space="0" w:color="auto"/>
        </w:tblBorders>
        <w:tblLook w:val="04A0" w:firstRow="1" w:lastRow="0" w:firstColumn="1" w:lastColumn="0" w:noHBand="0" w:noVBand="1"/>
      </w:tblPr>
      <w:tblGrid>
        <w:gridCol w:w="8828"/>
      </w:tblGrid>
      <w:tr w:rsidR="00400A79" w:rsidRPr="00400A79" w14:paraId="2AD0D1F4" w14:textId="77777777" w:rsidTr="004F1C40">
        <w:tc>
          <w:tcPr>
            <w:tcW w:w="8828" w:type="dxa"/>
          </w:tcPr>
          <w:p w14:paraId="0E3A1CDA" w14:textId="77777777" w:rsidR="00400A79" w:rsidRPr="00400A79" w:rsidRDefault="00400A79" w:rsidP="00400A79">
            <w:pPr>
              <w:jc w:val="center"/>
              <w:rPr>
                <w:rFonts w:eastAsia="Calibri"/>
                <w:b/>
                <w:sz w:val="22"/>
                <w:szCs w:val="26"/>
                <w:lang w:eastAsia="en-US"/>
              </w:rPr>
            </w:pPr>
            <w:r w:rsidRPr="00400A79">
              <w:rPr>
                <w:rFonts w:eastAsia="Calibri"/>
                <w:b/>
                <w:sz w:val="22"/>
                <w:szCs w:val="26"/>
                <w:lang w:eastAsia="en-US"/>
              </w:rPr>
              <w:lastRenderedPageBreak/>
              <w:t>INFLACIÓN ANUAL</w:t>
            </w:r>
          </w:p>
          <w:p w14:paraId="66717CE2" w14:textId="77777777" w:rsidR="00400A79" w:rsidRPr="00400A79" w:rsidRDefault="00400A79" w:rsidP="00400A79">
            <w:pPr>
              <w:jc w:val="center"/>
              <w:rPr>
                <w:rFonts w:eastAsia="Calibri"/>
                <w:b/>
                <w:sz w:val="22"/>
                <w:szCs w:val="26"/>
                <w:lang w:eastAsia="en-US"/>
              </w:rPr>
            </w:pPr>
            <w:r w:rsidRPr="00400A79">
              <w:rPr>
                <w:rFonts w:eastAsia="Calibri"/>
                <w:b/>
                <w:sz w:val="22"/>
                <w:szCs w:val="26"/>
                <w:lang w:eastAsia="en-US"/>
              </w:rPr>
              <w:t>-Porcentajes-</w:t>
            </w:r>
          </w:p>
        </w:tc>
      </w:tr>
      <w:tr w:rsidR="00400A79" w:rsidRPr="00400A79" w14:paraId="07A5ABA7" w14:textId="77777777" w:rsidTr="004F1C40">
        <w:tc>
          <w:tcPr>
            <w:tcW w:w="8828" w:type="dxa"/>
          </w:tcPr>
          <w:p w14:paraId="28134E0A" w14:textId="77777777" w:rsidR="00400A79" w:rsidRPr="00400A79" w:rsidRDefault="00400A79" w:rsidP="00400A79">
            <w:pPr>
              <w:jc w:val="both"/>
              <w:rPr>
                <w:rFonts w:eastAsia="Calibri"/>
                <w:sz w:val="20"/>
                <w:szCs w:val="26"/>
                <w:lang w:eastAsia="en-US"/>
              </w:rPr>
            </w:pPr>
            <w:r w:rsidRPr="00400A79">
              <w:rPr>
                <w:rFonts w:ascii="Calibri" w:eastAsia="Calibri" w:hAnsi="Calibri"/>
                <w:noProof/>
                <w:sz w:val="22"/>
                <w:szCs w:val="22"/>
                <w:lang w:eastAsia="es-MX"/>
              </w:rPr>
              <w:drawing>
                <wp:inline distT="0" distB="0" distL="0" distR="0" wp14:anchorId="4C1D195B" wp14:editId="136289CF">
                  <wp:extent cx="5191848" cy="3060000"/>
                  <wp:effectExtent l="0" t="0" r="0" b="7620"/>
                  <wp:docPr id="1540" name="Imagen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3"/>
                          <a:stretch>
                            <a:fillRect/>
                          </a:stretch>
                        </pic:blipFill>
                        <pic:spPr>
                          <a:xfrm>
                            <a:off x="0" y="0"/>
                            <a:ext cx="5191848" cy="3060000"/>
                          </a:xfrm>
                          <a:prstGeom prst="rect">
                            <a:avLst/>
                          </a:prstGeom>
                        </pic:spPr>
                      </pic:pic>
                    </a:graphicData>
                  </a:graphic>
                </wp:inline>
              </w:drawing>
            </w:r>
          </w:p>
        </w:tc>
      </w:tr>
      <w:tr w:rsidR="00400A79" w:rsidRPr="00400A79" w14:paraId="79B78F73" w14:textId="77777777" w:rsidTr="004F1C40">
        <w:tc>
          <w:tcPr>
            <w:tcW w:w="8828" w:type="dxa"/>
          </w:tcPr>
          <w:p w14:paraId="79B6ED39" w14:textId="77777777" w:rsidR="00400A79" w:rsidRPr="00400A79" w:rsidRDefault="00400A79" w:rsidP="00400A79">
            <w:pPr>
              <w:jc w:val="both"/>
              <w:rPr>
                <w:rFonts w:eastAsia="Calibri"/>
                <w:sz w:val="20"/>
                <w:szCs w:val="26"/>
                <w:lang w:eastAsia="en-US"/>
              </w:rPr>
            </w:pPr>
            <w:r w:rsidRPr="00400A79">
              <w:rPr>
                <w:rFonts w:eastAsia="Calibri"/>
                <w:sz w:val="20"/>
                <w:szCs w:val="26"/>
                <w:lang w:eastAsia="en-US"/>
              </w:rPr>
              <w:t>FUENTE: INEGI.</w:t>
            </w:r>
          </w:p>
        </w:tc>
      </w:tr>
    </w:tbl>
    <w:p w14:paraId="120736C6" w14:textId="77777777" w:rsidR="00400A79" w:rsidRPr="00400A79" w:rsidRDefault="00400A79" w:rsidP="00400A79">
      <w:pPr>
        <w:spacing w:after="360" w:line="360" w:lineRule="auto"/>
        <w:ind w:right="-159"/>
        <w:jc w:val="both"/>
        <w:rPr>
          <w:rFonts w:eastAsia="Calibri"/>
          <w:sz w:val="26"/>
          <w:szCs w:val="26"/>
          <w:lang w:eastAsia="en-US"/>
        </w:rPr>
      </w:pPr>
    </w:p>
    <w:p w14:paraId="35F97D4E" w14:textId="77777777" w:rsidR="00400A79" w:rsidRDefault="00400A79" w:rsidP="00400A79">
      <w:pPr>
        <w:spacing w:after="360" w:line="360" w:lineRule="auto"/>
        <w:ind w:right="-159"/>
        <w:jc w:val="both"/>
        <w:rPr>
          <w:rFonts w:eastAsia="Calibri"/>
          <w:sz w:val="26"/>
          <w:szCs w:val="26"/>
          <w:lang w:eastAsia="en-US"/>
        </w:rPr>
      </w:pPr>
      <w:r w:rsidRPr="00400A79">
        <w:rPr>
          <w:rFonts w:eastAsia="Calibri"/>
          <w:sz w:val="26"/>
          <w:szCs w:val="26"/>
          <w:lang w:eastAsia="en-US"/>
        </w:rPr>
        <w:t>Las expectativas de inflación de corto plazo por parte de los analistas han empezado a mejorar.</w:t>
      </w:r>
    </w:p>
    <w:p w14:paraId="0D0F8A31" w14:textId="77777777" w:rsidR="00871DFE" w:rsidRDefault="00871DFE" w:rsidP="00400A79">
      <w:pPr>
        <w:spacing w:after="360" w:line="360" w:lineRule="auto"/>
        <w:ind w:right="-159"/>
        <w:jc w:val="both"/>
        <w:rPr>
          <w:rFonts w:eastAsia="Calibri"/>
          <w:sz w:val="26"/>
          <w:szCs w:val="26"/>
          <w:lang w:eastAsia="en-US"/>
        </w:rPr>
      </w:pPr>
    </w:p>
    <w:p w14:paraId="283527BC" w14:textId="77777777" w:rsidR="00871DFE" w:rsidRDefault="00871DFE" w:rsidP="00400A79">
      <w:pPr>
        <w:spacing w:after="360" w:line="360" w:lineRule="auto"/>
        <w:ind w:right="-159"/>
        <w:jc w:val="both"/>
        <w:rPr>
          <w:rFonts w:eastAsia="Calibri"/>
          <w:sz w:val="26"/>
          <w:szCs w:val="26"/>
          <w:lang w:eastAsia="en-US"/>
        </w:rPr>
      </w:pPr>
    </w:p>
    <w:p w14:paraId="1A42180A" w14:textId="77777777" w:rsidR="00871DFE" w:rsidRDefault="00871DFE" w:rsidP="00400A79">
      <w:pPr>
        <w:spacing w:after="360" w:line="360" w:lineRule="auto"/>
        <w:ind w:right="-159"/>
        <w:jc w:val="both"/>
        <w:rPr>
          <w:rFonts w:eastAsia="Calibri"/>
          <w:sz w:val="26"/>
          <w:szCs w:val="26"/>
          <w:lang w:eastAsia="en-US"/>
        </w:rPr>
      </w:pPr>
    </w:p>
    <w:p w14:paraId="74A0E8B5" w14:textId="77777777" w:rsidR="00871DFE" w:rsidRDefault="00871DFE" w:rsidP="00400A79">
      <w:pPr>
        <w:spacing w:after="360" w:line="360" w:lineRule="auto"/>
        <w:ind w:right="-159"/>
        <w:jc w:val="both"/>
        <w:rPr>
          <w:rFonts w:eastAsia="Calibri"/>
          <w:sz w:val="26"/>
          <w:szCs w:val="26"/>
          <w:lang w:eastAsia="en-US"/>
        </w:rPr>
      </w:pPr>
    </w:p>
    <w:p w14:paraId="5C0C66FB" w14:textId="77777777" w:rsidR="00871DFE" w:rsidRDefault="00871DFE" w:rsidP="00400A79">
      <w:pPr>
        <w:spacing w:after="360" w:line="360" w:lineRule="auto"/>
        <w:ind w:right="-159"/>
        <w:jc w:val="both"/>
        <w:rPr>
          <w:rFonts w:eastAsia="Calibri"/>
          <w:sz w:val="26"/>
          <w:szCs w:val="26"/>
          <w:lang w:eastAsia="en-US"/>
        </w:rPr>
      </w:pPr>
    </w:p>
    <w:p w14:paraId="62D79581" w14:textId="77777777" w:rsidR="00871DFE" w:rsidRDefault="00871DFE" w:rsidP="00400A79">
      <w:pPr>
        <w:spacing w:after="360" w:line="360" w:lineRule="auto"/>
        <w:ind w:right="-159"/>
        <w:jc w:val="both"/>
        <w:rPr>
          <w:rFonts w:eastAsia="Calibri"/>
          <w:sz w:val="26"/>
          <w:szCs w:val="26"/>
          <w:lang w:eastAsia="en-US"/>
        </w:rPr>
      </w:pPr>
    </w:p>
    <w:p w14:paraId="038F6C67" w14:textId="77777777" w:rsidR="00871DFE" w:rsidRPr="00400A79" w:rsidRDefault="00871DFE" w:rsidP="00400A79">
      <w:pPr>
        <w:spacing w:after="360" w:line="360" w:lineRule="auto"/>
        <w:ind w:right="-159"/>
        <w:jc w:val="both"/>
        <w:rPr>
          <w:rFonts w:eastAsia="Calibri"/>
          <w:sz w:val="26"/>
          <w:szCs w:val="26"/>
          <w:lang w:eastAsia="en-US"/>
        </w:rPr>
      </w:pPr>
    </w:p>
    <w:tbl>
      <w:tblPr>
        <w:tblW w:w="0" w:type="auto"/>
        <w:tblBorders>
          <w:insideV w:val="single" w:sz="4" w:space="0" w:color="auto"/>
        </w:tblBorders>
        <w:tblLook w:val="04A0" w:firstRow="1" w:lastRow="0" w:firstColumn="1" w:lastColumn="0" w:noHBand="0" w:noVBand="1"/>
      </w:tblPr>
      <w:tblGrid>
        <w:gridCol w:w="8840"/>
      </w:tblGrid>
      <w:tr w:rsidR="00400A79" w:rsidRPr="00400A79" w14:paraId="6ACCD032" w14:textId="77777777" w:rsidTr="004F1C40">
        <w:tc>
          <w:tcPr>
            <w:tcW w:w="8828" w:type="dxa"/>
          </w:tcPr>
          <w:p w14:paraId="3F48DFFE" w14:textId="77777777" w:rsidR="00400A79" w:rsidRPr="00400A79" w:rsidRDefault="00400A79" w:rsidP="00400A79">
            <w:pPr>
              <w:jc w:val="center"/>
              <w:rPr>
                <w:rFonts w:eastAsia="Calibri"/>
                <w:b/>
                <w:sz w:val="22"/>
                <w:szCs w:val="26"/>
                <w:lang w:eastAsia="en-US"/>
              </w:rPr>
            </w:pPr>
            <w:r w:rsidRPr="00400A79">
              <w:rPr>
                <w:rFonts w:eastAsia="Calibri"/>
                <w:b/>
                <w:sz w:val="22"/>
                <w:szCs w:val="26"/>
                <w:lang w:eastAsia="en-US"/>
              </w:rPr>
              <w:lastRenderedPageBreak/>
              <w:t>EXPECTATIVAS DE INFLACIÓN</w:t>
            </w:r>
          </w:p>
          <w:p w14:paraId="69C5F820" w14:textId="77777777" w:rsidR="00400A79" w:rsidRPr="00400A79" w:rsidRDefault="00400A79" w:rsidP="00400A79">
            <w:pPr>
              <w:jc w:val="center"/>
              <w:rPr>
                <w:rFonts w:eastAsia="Calibri"/>
                <w:b/>
                <w:sz w:val="22"/>
                <w:szCs w:val="26"/>
                <w:lang w:eastAsia="en-US"/>
              </w:rPr>
            </w:pPr>
            <w:r w:rsidRPr="00400A79">
              <w:rPr>
                <w:rFonts w:eastAsia="Calibri"/>
                <w:b/>
                <w:sz w:val="22"/>
                <w:szCs w:val="26"/>
                <w:lang w:eastAsia="en-US"/>
              </w:rPr>
              <w:t>-Porcentajes-</w:t>
            </w:r>
          </w:p>
        </w:tc>
      </w:tr>
      <w:tr w:rsidR="00400A79" w:rsidRPr="00400A79" w14:paraId="380292F9" w14:textId="77777777" w:rsidTr="004F1C40">
        <w:tc>
          <w:tcPr>
            <w:tcW w:w="8828" w:type="dxa"/>
          </w:tcPr>
          <w:p w14:paraId="4E5BEF92" w14:textId="77777777" w:rsidR="00400A79" w:rsidRPr="00400A79" w:rsidRDefault="00400A79" w:rsidP="00400A79">
            <w:pPr>
              <w:jc w:val="both"/>
              <w:rPr>
                <w:rFonts w:eastAsia="Calibri"/>
                <w:sz w:val="20"/>
                <w:szCs w:val="26"/>
                <w:lang w:eastAsia="en-US"/>
              </w:rPr>
            </w:pPr>
            <w:r w:rsidRPr="00400A79">
              <w:rPr>
                <w:rFonts w:ascii="Calibri" w:eastAsia="Calibri" w:hAnsi="Calibri"/>
                <w:noProof/>
                <w:sz w:val="22"/>
                <w:szCs w:val="22"/>
                <w:lang w:eastAsia="es-MX"/>
              </w:rPr>
              <w:drawing>
                <wp:inline distT="0" distB="0" distL="0" distR="0" wp14:anchorId="464D8432" wp14:editId="26D53C45">
                  <wp:extent cx="5483431" cy="3060000"/>
                  <wp:effectExtent l="0" t="0" r="3175" b="7620"/>
                  <wp:docPr id="1541" name="Imagen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4"/>
                          <a:stretch>
                            <a:fillRect/>
                          </a:stretch>
                        </pic:blipFill>
                        <pic:spPr>
                          <a:xfrm>
                            <a:off x="0" y="0"/>
                            <a:ext cx="5483431" cy="3060000"/>
                          </a:xfrm>
                          <a:prstGeom prst="rect">
                            <a:avLst/>
                          </a:prstGeom>
                        </pic:spPr>
                      </pic:pic>
                    </a:graphicData>
                  </a:graphic>
                </wp:inline>
              </w:drawing>
            </w:r>
          </w:p>
        </w:tc>
      </w:tr>
      <w:tr w:rsidR="00400A79" w:rsidRPr="00400A79" w14:paraId="3D283019" w14:textId="77777777" w:rsidTr="004F1C40">
        <w:tc>
          <w:tcPr>
            <w:tcW w:w="8828" w:type="dxa"/>
          </w:tcPr>
          <w:p w14:paraId="55CD399D" w14:textId="77777777" w:rsidR="00400A79" w:rsidRPr="00400A79" w:rsidRDefault="00400A79" w:rsidP="00400A79">
            <w:pPr>
              <w:jc w:val="both"/>
              <w:rPr>
                <w:rFonts w:eastAsia="Calibri"/>
                <w:sz w:val="20"/>
                <w:szCs w:val="26"/>
                <w:lang w:eastAsia="en-US"/>
              </w:rPr>
            </w:pPr>
            <w:r w:rsidRPr="00400A79">
              <w:rPr>
                <w:rFonts w:eastAsia="Calibri"/>
                <w:sz w:val="20"/>
                <w:szCs w:val="26"/>
                <w:lang w:eastAsia="en-US"/>
              </w:rPr>
              <w:t>FUENTE: Banco de México.</w:t>
            </w:r>
          </w:p>
        </w:tc>
      </w:tr>
    </w:tbl>
    <w:p w14:paraId="49CA16C8" w14:textId="77777777" w:rsidR="00400A79" w:rsidRPr="00400A79" w:rsidRDefault="00400A79" w:rsidP="00400A79">
      <w:pPr>
        <w:spacing w:after="360" w:line="360" w:lineRule="auto"/>
        <w:ind w:right="-159"/>
        <w:jc w:val="both"/>
        <w:rPr>
          <w:rFonts w:eastAsia="Calibri"/>
          <w:sz w:val="26"/>
          <w:szCs w:val="26"/>
          <w:lang w:eastAsia="en-US"/>
        </w:rPr>
      </w:pPr>
    </w:p>
    <w:p w14:paraId="68D8DF7B" w14:textId="77777777" w:rsidR="00400A79" w:rsidRPr="00400A79" w:rsidRDefault="00400A79" w:rsidP="00400A79">
      <w:pPr>
        <w:spacing w:after="360" w:line="360" w:lineRule="auto"/>
        <w:ind w:right="-159"/>
        <w:jc w:val="both"/>
        <w:rPr>
          <w:rFonts w:eastAsia="Calibri"/>
          <w:sz w:val="26"/>
          <w:szCs w:val="26"/>
          <w:lang w:eastAsia="en-US"/>
        </w:rPr>
      </w:pPr>
      <w:r w:rsidRPr="00400A79">
        <w:rPr>
          <w:rFonts w:eastAsia="Calibri"/>
          <w:sz w:val="26"/>
          <w:szCs w:val="26"/>
          <w:lang w:eastAsia="en-US"/>
        </w:rPr>
        <w:t>Banxico espera que la inflación se mantenga alrededor del objetivo.</w:t>
      </w:r>
    </w:p>
    <w:p w14:paraId="63024FF1" w14:textId="77777777" w:rsidR="00400A79" w:rsidRPr="00400A79" w:rsidRDefault="00400A79" w:rsidP="00276F3E">
      <w:pPr>
        <w:numPr>
          <w:ilvl w:val="0"/>
          <w:numId w:val="89"/>
        </w:numPr>
        <w:spacing w:after="360" w:line="360" w:lineRule="auto"/>
        <w:ind w:left="714" w:right="-159" w:hanging="357"/>
        <w:jc w:val="both"/>
        <w:rPr>
          <w:rFonts w:eastAsia="Calibri"/>
          <w:sz w:val="26"/>
          <w:szCs w:val="26"/>
          <w:lang w:eastAsia="en-US"/>
        </w:rPr>
      </w:pPr>
      <w:r w:rsidRPr="00400A79">
        <w:rPr>
          <w:rFonts w:eastAsia="Calibri"/>
          <w:sz w:val="26"/>
          <w:szCs w:val="26"/>
          <w:lang w:eastAsia="en-US"/>
        </w:rPr>
        <w:t>Deben vigilarse algunos riesgos.</w:t>
      </w:r>
    </w:p>
    <w:p w14:paraId="6AC1BDB8" w14:textId="77777777" w:rsidR="00400A79" w:rsidRPr="00400A79" w:rsidRDefault="00400A79" w:rsidP="00276F3E">
      <w:pPr>
        <w:numPr>
          <w:ilvl w:val="0"/>
          <w:numId w:val="89"/>
        </w:numPr>
        <w:spacing w:after="360" w:line="360" w:lineRule="auto"/>
        <w:ind w:left="1094" w:right="-159" w:hanging="357"/>
        <w:jc w:val="both"/>
        <w:rPr>
          <w:rFonts w:eastAsia="Calibri"/>
          <w:sz w:val="26"/>
          <w:szCs w:val="26"/>
          <w:lang w:eastAsia="en-US"/>
        </w:rPr>
      </w:pPr>
      <w:r w:rsidRPr="00400A79">
        <w:rPr>
          <w:rFonts w:eastAsia="Calibri"/>
          <w:sz w:val="26"/>
          <w:szCs w:val="26"/>
          <w:lang w:eastAsia="en-US"/>
        </w:rPr>
        <w:t>Probabilidad de incrementos sustanciales del salario mínimo no asociados a la productividad.</w:t>
      </w:r>
    </w:p>
    <w:p w14:paraId="25982EA3" w14:textId="77777777" w:rsidR="00400A79" w:rsidRPr="00400A79" w:rsidRDefault="00400A79" w:rsidP="00276F3E">
      <w:pPr>
        <w:numPr>
          <w:ilvl w:val="0"/>
          <w:numId w:val="89"/>
        </w:numPr>
        <w:spacing w:after="360" w:line="360" w:lineRule="auto"/>
        <w:ind w:left="1094" w:right="-159" w:hanging="357"/>
        <w:jc w:val="both"/>
        <w:rPr>
          <w:rFonts w:eastAsia="Calibri"/>
          <w:sz w:val="26"/>
          <w:szCs w:val="26"/>
          <w:lang w:eastAsia="en-US"/>
        </w:rPr>
      </w:pPr>
      <w:r w:rsidRPr="00400A79">
        <w:rPr>
          <w:rFonts w:eastAsia="Calibri"/>
          <w:sz w:val="26"/>
          <w:szCs w:val="26"/>
          <w:lang w:eastAsia="en-US"/>
        </w:rPr>
        <w:t>Resurgimiento de aumentos significativos del componente de precios no subyacente.</w:t>
      </w:r>
    </w:p>
    <w:p w14:paraId="5A41E12E" w14:textId="77777777" w:rsidR="00400A79" w:rsidRPr="00400A79" w:rsidRDefault="00400A79" w:rsidP="00276F3E">
      <w:pPr>
        <w:numPr>
          <w:ilvl w:val="0"/>
          <w:numId w:val="89"/>
        </w:numPr>
        <w:spacing w:after="360" w:line="360" w:lineRule="auto"/>
        <w:ind w:left="1094" w:right="-159" w:hanging="357"/>
        <w:jc w:val="both"/>
        <w:rPr>
          <w:rFonts w:eastAsia="Calibri"/>
          <w:sz w:val="26"/>
          <w:szCs w:val="26"/>
          <w:lang w:eastAsia="en-US"/>
        </w:rPr>
      </w:pPr>
      <w:r w:rsidRPr="00400A79">
        <w:rPr>
          <w:rFonts w:eastAsia="Calibri"/>
          <w:sz w:val="26"/>
          <w:szCs w:val="26"/>
          <w:lang w:eastAsia="en-US"/>
        </w:rPr>
        <w:t>Posibles presiones de demanda agregada</w:t>
      </w:r>
    </w:p>
    <w:p w14:paraId="2C6883DE" w14:textId="77777777" w:rsidR="00400A79" w:rsidRPr="00400A79" w:rsidRDefault="00400A79" w:rsidP="00276F3E">
      <w:pPr>
        <w:numPr>
          <w:ilvl w:val="0"/>
          <w:numId w:val="89"/>
        </w:numPr>
        <w:spacing w:after="360" w:line="360" w:lineRule="auto"/>
        <w:ind w:left="714" w:right="-159" w:hanging="357"/>
        <w:jc w:val="both"/>
        <w:rPr>
          <w:rFonts w:eastAsia="Calibri"/>
          <w:sz w:val="26"/>
          <w:szCs w:val="26"/>
          <w:lang w:eastAsia="en-US"/>
        </w:rPr>
      </w:pPr>
      <w:r w:rsidRPr="00400A79">
        <w:rPr>
          <w:rFonts w:eastAsia="Calibri"/>
          <w:sz w:val="26"/>
          <w:szCs w:val="26"/>
          <w:lang w:eastAsia="en-US"/>
        </w:rPr>
        <w:t>Es esencial consolidar la convergencia de la inflación al objetivo.</w:t>
      </w:r>
    </w:p>
    <w:p w14:paraId="303E6C88" w14:textId="77777777" w:rsidR="00871DFE" w:rsidRDefault="00871DFE" w:rsidP="00400A79">
      <w:pPr>
        <w:spacing w:after="360" w:line="360" w:lineRule="auto"/>
        <w:ind w:right="-159"/>
        <w:jc w:val="both"/>
        <w:rPr>
          <w:rFonts w:eastAsia="Calibri"/>
          <w:b/>
          <w:sz w:val="26"/>
          <w:szCs w:val="26"/>
          <w:lang w:eastAsia="en-US"/>
        </w:rPr>
      </w:pPr>
    </w:p>
    <w:p w14:paraId="4097B38A" w14:textId="77777777" w:rsidR="00400A79" w:rsidRPr="00400A79" w:rsidRDefault="00400A79" w:rsidP="00400A79">
      <w:pPr>
        <w:spacing w:after="360" w:line="360" w:lineRule="auto"/>
        <w:ind w:right="-159"/>
        <w:jc w:val="both"/>
        <w:rPr>
          <w:rFonts w:eastAsia="Calibri"/>
          <w:b/>
          <w:sz w:val="26"/>
          <w:szCs w:val="26"/>
          <w:lang w:eastAsia="en-US"/>
        </w:rPr>
      </w:pPr>
      <w:r w:rsidRPr="00400A79">
        <w:rPr>
          <w:rFonts w:eastAsia="Calibri"/>
          <w:b/>
          <w:sz w:val="26"/>
          <w:szCs w:val="26"/>
          <w:lang w:eastAsia="en-US"/>
        </w:rPr>
        <w:lastRenderedPageBreak/>
        <w:t>Perspectivas de la economía mexicana</w:t>
      </w:r>
    </w:p>
    <w:p w14:paraId="16CF9173" w14:textId="77777777" w:rsidR="00400A79" w:rsidRPr="00400A79" w:rsidRDefault="00400A79" w:rsidP="00400A79">
      <w:pPr>
        <w:spacing w:after="360" w:line="360" w:lineRule="auto"/>
        <w:ind w:right="-159"/>
        <w:jc w:val="both"/>
        <w:rPr>
          <w:rFonts w:eastAsia="Calibri"/>
          <w:sz w:val="26"/>
          <w:szCs w:val="26"/>
          <w:lang w:eastAsia="en-US"/>
        </w:rPr>
      </w:pPr>
      <w:r w:rsidRPr="00400A79">
        <w:rPr>
          <w:rFonts w:eastAsia="Calibri"/>
          <w:sz w:val="26"/>
          <w:szCs w:val="26"/>
          <w:lang w:eastAsia="en-US"/>
        </w:rPr>
        <w:t>En México, la recuperación económica no se ha consolidado.</w:t>
      </w:r>
    </w:p>
    <w:tbl>
      <w:tblPr>
        <w:tblW w:w="0" w:type="auto"/>
        <w:jc w:val="center"/>
        <w:tblBorders>
          <w:insideV w:val="single" w:sz="4" w:space="0" w:color="auto"/>
        </w:tblBorders>
        <w:tblLook w:val="04A0" w:firstRow="1" w:lastRow="0" w:firstColumn="1" w:lastColumn="0" w:noHBand="0" w:noVBand="1"/>
      </w:tblPr>
      <w:tblGrid>
        <w:gridCol w:w="8840"/>
      </w:tblGrid>
      <w:tr w:rsidR="00400A79" w:rsidRPr="00400A79" w14:paraId="5FFEE527" w14:textId="77777777" w:rsidTr="004F1C40">
        <w:trPr>
          <w:jc w:val="center"/>
        </w:trPr>
        <w:tc>
          <w:tcPr>
            <w:tcW w:w="8828" w:type="dxa"/>
          </w:tcPr>
          <w:p w14:paraId="340B93DD" w14:textId="77777777" w:rsidR="00400A79" w:rsidRPr="00400A79" w:rsidRDefault="00400A79" w:rsidP="00400A79">
            <w:pPr>
              <w:jc w:val="center"/>
              <w:rPr>
                <w:rFonts w:eastAsia="Calibri"/>
                <w:b/>
                <w:sz w:val="22"/>
                <w:szCs w:val="26"/>
                <w:lang w:eastAsia="en-US"/>
              </w:rPr>
            </w:pPr>
            <w:r w:rsidRPr="00400A79">
              <w:rPr>
                <w:rFonts w:eastAsia="Calibri"/>
                <w:b/>
                <w:sz w:val="22"/>
                <w:szCs w:val="26"/>
                <w:lang w:eastAsia="en-US"/>
              </w:rPr>
              <w:t>MÉXICO: CRECIMIENTO ANUAL DEL PIB</w:t>
            </w:r>
          </w:p>
          <w:p w14:paraId="3B3449C5" w14:textId="77777777" w:rsidR="00400A79" w:rsidRPr="00400A79" w:rsidRDefault="00400A79" w:rsidP="00400A79">
            <w:pPr>
              <w:jc w:val="center"/>
              <w:rPr>
                <w:rFonts w:eastAsia="Calibri"/>
                <w:b/>
                <w:sz w:val="22"/>
                <w:szCs w:val="26"/>
                <w:lang w:eastAsia="en-US"/>
              </w:rPr>
            </w:pPr>
            <w:r w:rsidRPr="00400A79">
              <w:rPr>
                <w:rFonts w:eastAsia="Calibri"/>
                <w:b/>
                <w:sz w:val="22"/>
                <w:szCs w:val="26"/>
                <w:lang w:eastAsia="en-US"/>
              </w:rPr>
              <w:t>-Variación anual, porcentajes-</w:t>
            </w:r>
          </w:p>
        </w:tc>
      </w:tr>
      <w:tr w:rsidR="00400A79" w:rsidRPr="00400A79" w14:paraId="23EECD70" w14:textId="77777777" w:rsidTr="004F1C40">
        <w:trPr>
          <w:jc w:val="center"/>
        </w:trPr>
        <w:tc>
          <w:tcPr>
            <w:tcW w:w="8828" w:type="dxa"/>
          </w:tcPr>
          <w:p w14:paraId="50A9FA29" w14:textId="77777777" w:rsidR="00400A79" w:rsidRPr="00400A79" w:rsidRDefault="00400A79" w:rsidP="00400A79">
            <w:pPr>
              <w:jc w:val="both"/>
              <w:rPr>
                <w:rFonts w:eastAsia="Calibri"/>
                <w:sz w:val="20"/>
                <w:szCs w:val="26"/>
                <w:lang w:eastAsia="en-US"/>
              </w:rPr>
            </w:pPr>
            <w:r w:rsidRPr="00400A79">
              <w:rPr>
                <w:rFonts w:ascii="Calibri" w:eastAsia="Calibri" w:hAnsi="Calibri"/>
                <w:noProof/>
                <w:sz w:val="22"/>
                <w:szCs w:val="22"/>
                <w:lang w:eastAsia="es-MX"/>
              </w:rPr>
              <w:drawing>
                <wp:inline distT="0" distB="0" distL="0" distR="0" wp14:anchorId="5D75EF31" wp14:editId="1066199F">
                  <wp:extent cx="5612130" cy="3622040"/>
                  <wp:effectExtent l="0" t="0" r="7620" b="0"/>
                  <wp:docPr id="1542" name="Imagen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5"/>
                          <a:stretch>
                            <a:fillRect/>
                          </a:stretch>
                        </pic:blipFill>
                        <pic:spPr>
                          <a:xfrm>
                            <a:off x="0" y="0"/>
                            <a:ext cx="5612130" cy="3622040"/>
                          </a:xfrm>
                          <a:prstGeom prst="rect">
                            <a:avLst/>
                          </a:prstGeom>
                        </pic:spPr>
                      </pic:pic>
                    </a:graphicData>
                  </a:graphic>
                </wp:inline>
              </w:drawing>
            </w:r>
          </w:p>
        </w:tc>
      </w:tr>
      <w:tr w:rsidR="00400A79" w:rsidRPr="00400A79" w14:paraId="509B094B" w14:textId="77777777" w:rsidTr="004F1C40">
        <w:trPr>
          <w:jc w:val="center"/>
        </w:trPr>
        <w:tc>
          <w:tcPr>
            <w:tcW w:w="8828" w:type="dxa"/>
          </w:tcPr>
          <w:p w14:paraId="1B4C13A9" w14:textId="77777777" w:rsidR="00400A79" w:rsidRPr="00400A79" w:rsidRDefault="00400A79" w:rsidP="00400A79">
            <w:pPr>
              <w:jc w:val="both"/>
              <w:rPr>
                <w:rFonts w:eastAsia="Calibri"/>
                <w:sz w:val="20"/>
                <w:szCs w:val="26"/>
                <w:lang w:eastAsia="en-US"/>
              </w:rPr>
            </w:pPr>
            <w:r w:rsidRPr="00400A79">
              <w:rPr>
                <w:rFonts w:eastAsia="Calibri"/>
                <w:sz w:val="20"/>
                <w:szCs w:val="26"/>
                <w:lang w:eastAsia="en-US"/>
              </w:rPr>
              <w:t>FUENTE: INEGI.</w:t>
            </w:r>
          </w:p>
        </w:tc>
      </w:tr>
    </w:tbl>
    <w:p w14:paraId="66C06659" w14:textId="77777777" w:rsidR="00400A79" w:rsidRPr="00400A79" w:rsidRDefault="00400A79" w:rsidP="00400A79">
      <w:pPr>
        <w:spacing w:after="360" w:line="360" w:lineRule="auto"/>
        <w:ind w:right="-159"/>
        <w:jc w:val="both"/>
        <w:rPr>
          <w:rFonts w:eastAsia="Calibri"/>
          <w:sz w:val="26"/>
          <w:szCs w:val="26"/>
          <w:lang w:eastAsia="en-US"/>
        </w:rPr>
      </w:pPr>
    </w:p>
    <w:p w14:paraId="0FBC413A" w14:textId="77777777" w:rsidR="008E27D4" w:rsidRDefault="008E27D4" w:rsidP="00400A79">
      <w:pPr>
        <w:spacing w:after="360" w:line="360" w:lineRule="auto"/>
        <w:ind w:right="-159"/>
        <w:jc w:val="both"/>
        <w:rPr>
          <w:rFonts w:eastAsia="Calibri"/>
          <w:sz w:val="26"/>
          <w:szCs w:val="26"/>
          <w:lang w:eastAsia="en-US"/>
        </w:rPr>
      </w:pPr>
    </w:p>
    <w:p w14:paraId="441EFA6E" w14:textId="77777777" w:rsidR="008E27D4" w:rsidRDefault="008E27D4" w:rsidP="00400A79">
      <w:pPr>
        <w:spacing w:after="360" w:line="360" w:lineRule="auto"/>
        <w:ind w:right="-159"/>
        <w:jc w:val="both"/>
        <w:rPr>
          <w:rFonts w:eastAsia="Calibri"/>
          <w:sz w:val="26"/>
          <w:szCs w:val="26"/>
          <w:lang w:eastAsia="en-US"/>
        </w:rPr>
      </w:pPr>
    </w:p>
    <w:p w14:paraId="737A15D0" w14:textId="77777777" w:rsidR="008E27D4" w:rsidRDefault="008E27D4" w:rsidP="00400A79">
      <w:pPr>
        <w:spacing w:after="360" w:line="360" w:lineRule="auto"/>
        <w:ind w:right="-159"/>
        <w:jc w:val="both"/>
        <w:rPr>
          <w:rFonts w:eastAsia="Calibri"/>
          <w:sz w:val="26"/>
          <w:szCs w:val="26"/>
          <w:lang w:eastAsia="en-US"/>
        </w:rPr>
      </w:pPr>
    </w:p>
    <w:p w14:paraId="2DA3D42F" w14:textId="77777777" w:rsidR="008E27D4" w:rsidRDefault="008E27D4" w:rsidP="00400A79">
      <w:pPr>
        <w:spacing w:after="360" w:line="360" w:lineRule="auto"/>
        <w:ind w:right="-159"/>
        <w:jc w:val="both"/>
        <w:rPr>
          <w:rFonts w:eastAsia="Calibri"/>
          <w:sz w:val="26"/>
          <w:szCs w:val="26"/>
          <w:lang w:eastAsia="en-US"/>
        </w:rPr>
      </w:pPr>
    </w:p>
    <w:p w14:paraId="010FE03A" w14:textId="77777777" w:rsidR="008E27D4" w:rsidRDefault="008E27D4" w:rsidP="00400A79">
      <w:pPr>
        <w:spacing w:after="360" w:line="360" w:lineRule="auto"/>
        <w:ind w:right="-159"/>
        <w:jc w:val="both"/>
        <w:rPr>
          <w:rFonts w:eastAsia="Calibri"/>
          <w:sz w:val="26"/>
          <w:szCs w:val="26"/>
          <w:lang w:eastAsia="en-US"/>
        </w:rPr>
      </w:pPr>
    </w:p>
    <w:p w14:paraId="438F5BF6" w14:textId="77777777" w:rsidR="00400A79" w:rsidRDefault="00400A79" w:rsidP="00400A79">
      <w:pPr>
        <w:spacing w:after="360" w:line="360" w:lineRule="auto"/>
        <w:ind w:right="-159"/>
        <w:jc w:val="both"/>
        <w:rPr>
          <w:rFonts w:eastAsia="Calibri"/>
          <w:sz w:val="26"/>
          <w:szCs w:val="26"/>
          <w:lang w:eastAsia="en-US"/>
        </w:rPr>
      </w:pPr>
      <w:r w:rsidRPr="00400A79">
        <w:rPr>
          <w:rFonts w:eastAsia="Calibri"/>
          <w:sz w:val="26"/>
          <w:szCs w:val="26"/>
          <w:lang w:eastAsia="en-US"/>
        </w:rPr>
        <w:lastRenderedPageBreak/>
        <w:t>Recientemente, los sectores industriales han dado señales de reanimación, con la notable excepción de la minería.</w:t>
      </w:r>
    </w:p>
    <w:tbl>
      <w:tblPr>
        <w:tblW w:w="0" w:type="auto"/>
        <w:jc w:val="center"/>
        <w:tblBorders>
          <w:insideV w:val="single" w:sz="4" w:space="0" w:color="auto"/>
        </w:tblBorders>
        <w:tblLook w:val="04A0" w:firstRow="1" w:lastRow="0" w:firstColumn="1" w:lastColumn="0" w:noHBand="0" w:noVBand="1"/>
      </w:tblPr>
      <w:tblGrid>
        <w:gridCol w:w="6440"/>
      </w:tblGrid>
      <w:tr w:rsidR="00400A79" w:rsidRPr="00400A79" w14:paraId="22F44903" w14:textId="77777777" w:rsidTr="008E27D4">
        <w:trPr>
          <w:jc w:val="center"/>
        </w:trPr>
        <w:tc>
          <w:tcPr>
            <w:tcW w:w="6440" w:type="dxa"/>
          </w:tcPr>
          <w:p w14:paraId="6DC7BE69" w14:textId="77777777" w:rsidR="00400A79" w:rsidRPr="00400A79" w:rsidRDefault="00400A79" w:rsidP="00400A79">
            <w:pPr>
              <w:jc w:val="center"/>
              <w:rPr>
                <w:rFonts w:eastAsia="Calibri"/>
                <w:b/>
                <w:sz w:val="22"/>
                <w:szCs w:val="26"/>
                <w:lang w:eastAsia="en-US"/>
              </w:rPr>
            </w:pPr>
            <w:r w:rsidRPr="00400A79">
              <w:rPr>
                <w:rFonts w:eastAsia="Calibri"/>
                <w:b/>
                <w:sz w:val="22"/>
                <w:szCs w:val="26"/>
                <w:lang w:eastAsia="en-US"/>
              </w:rPr>
              <w:t>PIB INDUSTRIAL</w:t>
            </w:r>
          </w:p>
          <w:p w14:paraId="22E0BE61" w14:textId="77777777" w:rsidR="00400A79" w:rsidRPr="00400A79" w:rsidRDefault="00400A79" w:rsidP="00400A79">
            <w:pPr>
              <w:jc w:val="center"/>
              <w:rPr>
                <w:rFonts w:eastAsia="Calibri"/>
                <w:b/>
                <w:sz w:val="22"/>
                <w:szCs w:val="26"/>
                <w:lang w:eastAsia="en-US"/>
              </w:rPr>
            </w:pPr>
            <w:r w:rsidRPr="00400A79">
              <w:rPr>
                <w:rFonts w:eastAsia="Calibri"/>
                <w:b/>
                <w:sz w:val="22"/>
                <w:szCs w:val="26"/>
                <w:lang w:eastAsia="en-US"/>
              </w:rPr>
              <w:t>-Variación anual, porcentajes-</w:t>
            </w:r>
          </w:p>
        </w:tc>
      </w:tr>
      <w:tr w:rsidR="00400A79" w:rsidRPr="00400A79" w14:paraId="2581C860" w14:textId="77777777" w:rsidTr="008E27D4">
        <w:trPr>
          <w:jc w:val="center"/>
        </w:trPr>
        <w:tc>
          <w:tcPr>
            <w:tcW w:w="6440" w:type="dxa"/>
          </w:tcPr>
          <w:p w14:paraId="10A1AD4B" w14:textId="77777777" w:rsidR="00400A79" w:rsidRPr="00400A79" w:rsidRDefault="00400A79" w:rsidP="00400A79">
            <w:pPr>
              <w:jc w:val="center"/>
              <w:rPr>
                <w:rFonts w:eastAsia="Calibri"/>
                <w:sz w:val="20"/>
                <w:szCs w:val="26"/>
                <w:lang w:eastAsia="en-US"/>
              </w:rPr>
            </w:pPr>
            <w:r w:rsidRPr="00400A79">
              <w:rPr>
                <w:rFonts w:ascii="Calibri" w:eastAsia="Calibri" w:hAnsi="Calibri"/>
                <w:noProof/>
                <w:sz w:val="22"/>
                <w:szCs w:val="22"/>
                <w:lang w:eastAsia="es-MX"/>
              </w:rPr>
              <w:drawing>
                <wp:inline distT="0" distB="0" distL="0" distR="0" wp14:anchorId="37F1B50A" wp14:editId="4EBB1706">
                  <wp:extent cx="3952404" cy="2592000"/>
                  <wp:effectExtent l="0" t="0" r="0" b="0"/>
                  <wp:docPr id="1543" name="Imagen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6"/>
                          <a:stretch>
                            <a:fillRect/>
                          </a:stretch>
                        </pic:blipFill>
                        <pic:spPr>
                          <a:xfrm>
                            <a:off x="0" y="0"/>
                            <a:ext cx="3952404" cy="2592000"/>
                          </a:xfrm>
                          <a:prstGeom prst="rect">
                            <a:avLst/>
                          </a:prstGeom>
                        </pic:spPr>
                      </pic:pic>
                    </a:graphicData>
                  </a:graphic>
                </wp:inline>
              </w:drawing>
            </w:r>
          </w:p>
        </w:tc>
      </w:tr>
      <w:tr w:rsidR="00400A79" w:rsidRPr="00400A79" w14:paraId="77BD1218" w14:textId="77777777" w:rsidTr="008E27D4">
        <w:trPr>
          <w:jc w:val="center"/>
        </w:trPr>
        <w:tc>
          <w:tcPr>
            <w:tcW w:w="6440" w:type="dxa"/>
          </w:tcPr>
          <w:p w14:paraId="7EF0D234" w14:textId="77777777" w:rsidR="00400A79" w:rsidRPr="00400A79" w:rsidRDefault="00400A79" w:rsidP="00400A79">
            <w:pPr>
              <w:jc w:val="both"/>
              <w:rPr>
                <w:rFonts w:eastAsia="Calibri"/>
                <w:sz w:val="20"/>
                <w:szCs w:val="26"/>
                <w:lang w:eastAsia="en-US"/>
              </w:rPr>
            </w:pPr>
            <w:r w:rsidRPr="00400A79">
              <w:rPr>
                <w:rFonts w:eastAsia="Calibri"/>
                <w:sz w:val="20"/>
                <w:szCs w:val="26"/>
                <w:lang w:eastAsia="en-US"/>
              </w:rPr>
              <w:t>FUENTE: INEGI.</w:t>
            </w:r>
          </w:p>
        </w:tc>
      </w:tr>
    </w:tbl>
    <w:p w14:paraId="2B6C10A4" w14:textId="77777777" w:rsidR="00400A79" w:rsidRPr="00400A79" w:rsidRDefault="00400A79" w:rsidP="00400A79">
      <w:pPr>
        <w:spacing w:after="360" w:line="360" w:lineRule="auto"/>
        <w:ind w:right="-159"/>
        <w:jc w:val="both"/>
        <w:rPr>
          <w:rFonts w:eastAsia="Calibri"/>
          <w:sz w:val="26"/>
          <w:szCs w:val="26"/>
          <w:lang w:eastAsia="en-US"/>
        </w:rPr>
      </w:pPr>
    </w:p>
    <w:p w14:paraId="6BC72909" w14:textId="77777777" w:rsidR="00400A79" w:rsidRPr="00400A79" w:rsidRDefault="00400A79" w:rsidP="00400A79">
      <w:pPr>
        <w:spacing w:after="360" w:line="360" w:lineRule="auto"/>
        <w:ind w:right="-159"/>
        <w:jc w:val="both"/>
        <w:rPr>
          <w:rFonts w:eastAsia="Calibri"/>
          <w:sz w:val="26"/>
          <w:szCs w:val="26"/>
          <w:lang w:eastAsia="en-US"/>
        </w:rPr>
      </w:pPr>
      <w:r w:rsidRPr="00400A79">
        <w:rPr>
          <w:rFonts w:eastAsia="Calibri"/>
          <w:sz w:val="26"/>
          <w:szCs w:val="26"/>
          <w:lang w:eastAsia="en-US"/>
        </w:rPr>
        <w:t>La demanda externa, principalmente de Estados Unidos de Norteamérica, ha continuado apoyando las exportaciones manufactureras.</w:t>
      </w:r>
    </w:p>
    <w:tbl>
      <w:tblPr>
        <w:tblW w:w="0" w:type="auto"/>
        <w:jc w:val="center"/>
        <w:tblBorders>
          <w:insideV w:val="single" w:sz="4" w:space="0" w:color="auto"/>
        </w:tblBorders>
        <w:tblLook w:val="04A0" w:firstRow="1" w:lastRow="0" w:firstColumn="1" w:lastColumn="0" w:noHBand="0" w:noVBand="1"/>
      </w:tblPr>
      <w:tblGrid>
        <w:gridCol w:w="6697"/>
      </w:tblGrid>
      <w:tr w:rsidR="00400A79" w:rsidRPr="00400A79" w14:paraId="3B2E8F48" w14:textId="77777777" w:rsidTr="004F1C40">
        <w:trPr>
          <w:jc w:val="center"/>
        </w:trPr>
        <w:tc>
          <w:tcPr>
            <w:tcW w:w="6276" w:type="dxa"/>
          </w:tcPr>
          <w:p w14:paraId="527E26B8" w14:textId="77777777" w:rsidR="00400A79" w:rsidRPr="00400A79" w:rsidRDefault="00400A79" w:rsidP="00400A79">
            <w:pPr>
              <w:jc w:val="center"/>
              <w:rPr>
                <w:rFonts w:eastAsia="Calibri"/>
                <w:b/>
                <w:sz w:val="22"/>
                <w:szCs w:val="26"/>
                <w:lang w:eastAsia="en-US"/>
              </w:rPr>
            </w:pPr>
            <w:r w:rsidRPr="00400A79">
              <w:rPr>
                <w:rFonts w:eastAsia="Calibri"/>
                <w:b/>
                <w:sz w:val="22"/>
                <w:szCs w:val="26"/>
                <w:lang w:eastAsia="en-US"/>
              </w:rPr>
              <w:t>EXPORTACIONES</w:t>
            </w:r>
          </w:p>
          <w:p w14:paraId="4CA042C6" w14:textId="77777777" w:rsidR="00400A79" w:rsidRPr="00400A79" w:rsidRDefault="00400A79" w:rsidP="00400A79">
            <w:pPr>
              <w:jc w:val="center"/>
              <w:rPr>
                <w:rFonts w:eastAsia="Calibri"/>
                <w:b/>
                <w:sz w:val="22"/>
                <w:szCs w:val="26"/>
                <w:lang w:eastAsia="en-US"/>
              </w:rPr>
            </w:pPr>
            <w:r w:rsidRPr="00400A79">
              <w:rPr>
                <w:rFonts w:eastAsia="Calibri"/>
                <w:b/>
                <w:sz w:val="22"/>
                <w:szCs w:val="26"/>
                <w:lang w:eastAsia="en-US"/>
              </w:rPr>
              <w:t>-Variación anual en porcentajes, ajuste de tendencia-</w:t>
            </w:r>
          </w:p>
        </w:tc>
      </w:tr>
      <w:tr w:rsidR="00400A79" w:rsidRPr="00400A79" w14:paraId="7995EEEA" w14:textId="77777777" w:rsidTr="004F1C40">
        <w:trPr>
          <w:jc w:val="center"/>
        </w:trPr>
        <w:tc>
          <w:tcPr>
            <w:tcW w:w="6276" w:type="dxa"/>
          </w:tcPr>
          <w:p w14:paraId="043B7F79" w14:textId="77777777" w:rsidR="00400A79" w:rsidRPr="00400A79" w:rsidRDefault="00400A79" w:rsidP="00400A79">
            <w:pPr>
              <w:jc w:val="center"/>
              <w:rPr>
                <w:rFonts w:eastAsia="Calibri"/>
                <w:sz w:val="20"/>
                <w:szCs w:val="26"/>
                <w:lang w:eastAsia="en-US"/>
              </w:rPr>
            </w:pPr>
            <w:r w:rsidRPr="00400A79">
              <w:rPr>
                <w:rFonts w:ascii="Calibri" w:eastAsia="Calibri" w:hAnsi="Calibri"/>
                <w:noProof/>
                <w:sz w:val="22"/>
                <w:szCs w:val="22"/>
                <w:lang w:eastAsia="es-MX"/>
              </w:rPr>
              <w:drawing>
                <wp:inline distT="0" distB="0" distL="0" distR="0" wp14:anchorId="7A6F2B93" wp14:editId="15E7A3E9">
                  <wp:extent cx="4115714" cy="2592000"/>
                  <wp:effectExtent l="0" t="0" r="0" b="0"/>
                  <wp:docPr id="1544" name="Imagen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7"/>
                          <a:stretch>
                            <a:fillRect/>
                          </a:stretch>
                        </pic:blipFill>
                        <pic:spPr>
                          <a:xfrm>
                            <a:off x="0" y="0"/>
                            <a:ext cx="4115714" cy="2592000"/>
                          </a:xfrm>
                          <a:prstGeom prst="rect">
                            <a:avLst/>
                          </a:prstGeom>
                        </pic:spPr>
                      </pic:pic>
                    </a:graphicData>
                  </a:graphic>
                </wp:inline>
              </w:drawing>
            </w:r>
          </w:p>
        </w:tc>
      </w:tr>
      <w:tr w:rsidR="00400A79" w:rsidRPr="00400A79" w14:paraId="55E106FC" w14:textId="77777777" w:rsidTr="004F1C40">
        <w:trPr>
          <w:jc w:val="center"/>
        </w:trPr>
        <w:tc>
          <w:tcPr>
            <w:tcW w:w="6276" w:type="dxa"/>
          </w:tcPr>
          <w:p w14:paraId="07FB7C6D" w14:textId="77777777" w:rsidR="00400A79" w:rsidRPr="00400A79" w:rsidRDefault="00400A79" w:rsidP="00400A79">
            <w:pPr>
              <w:jc w:val="both"/>
              <w:rPr>
                <w:rFonts w:eastAsia="Calibri"/>
                <w:sz w:val="20"/>
                <w:szCs w:val="26"/>
                <w:lang w:eastAsia="en-US"/>
              </w:rPr>
            </w:pPr>
            <w:r w:rsidRPr="00400A79">
              <w:rPr>
                <w:rFonts w:eastAsia="Calibri"/>
                <w:sz w:val="20"/>
                <w:szCs w:val="26"/>
                <w:lang w:eastAsia="en-US"/>
              </w:rPr>
              <w:t>FUENTE: Banco de México.</w:t>
            </w:r>
          </w:p>
        </w:tc>
      </w:tr>
    </w:tbl>
    <w:p w14:paraId="34D5E3E3" w14:textId="77777777" w:rsidR="00400A79" w:rsidRPr="00400A79" w:rsidRDefault="00400A79" w:rsidP="00400A79">
      <w:pPr>
        <w:spacing w:after="360" w:line="360" w:lineRule="auto"/>
        <w:ind w:right="-159"/>
        <w:jc w:val="both"/>
        <w:rPr>
          <w:rFonts w:eastAsia="Calibri"/>
          <w:sz w:val="26"/>
          <w:szCs w:val="26"/>
          <w:lang w:eastAsia="en-US"/>
        </w:rPr>
      </w:pPr>
      <w:r w:rsidRPr="00400A79">
        <w:rPr>
          <w:rFonts w:eastAsia="Calibri"/>
          <w:sz w:val="26"/>
          <w:szCs w:val="26"/>
          <w:lang w:eastAsia="en-US"/>
        </w:rPr>
        <w:lastRenderedPageBreak/>
        <w:t>El dinamismo del consumo ha aumentado, si bien la confianza del consumidor aún se mantiene relativamente baja.</w:t>
      </w:r>
    </w:p>
    <w:tbl>
      <w:tblPr>
        <w:tblW w:w="0" w:type="auto"/>
        <w:jc w:val="center"/>
        <w:tblBorders>
          <w:insideV w:val="single" w:sz="4" w:space="0" w:color="auto"/>
        </w:tblBorders>
        <w:tblLook w:val="04A0" w:firstRow="1" w:lastRow="0" w:firstColumn="1" w:lastColumn="0" w:noHBand="0" w:noVBand="1"/>
      </w:tblPr>
      <w:tblGrid>
        <w:gridCol w:w="8046"/>
      </w:tblGrid>
      <w:tr w:rsidR="00400A79" w:rsidRPr="00400A79" w14:paraId="6252FED6" w14:textId="77777777" w:rsidTr="004F1C40">
        <w:trPr>
          <w:jc w:val="center"/>
        </w:trPr>
        <w:tc>
          <w:tcPr>
            <w:tcW w:w="7836" w:type="dxa"/>
          </w:tcPr>
          <w:p w14:paraId="0C945C5A" w14:textId="0DA98FB8" w:rsidR="00400A79" w:rsidRPr="00400A79" w:rsidRDefault="00400A79" w:rsidP="00400A79">
            <w:pPr>
              <w:jc w:val="center"/>
              <w:rPr>
                <w:rFonts w:eastAsia="Calibri"/>
                <w:b/>
                <w:sz w:val="22"/>
                <w:szCs w:val="26"/>
                <w:lang w:eastAsia="en-US"/>
              </w:rPr>
            </w:pPr>
            <w:r w:rsidRPr="00400A79">
              <w:rPr>
                <w:rFonts w:eastAsia="Calibri"/>
                <w:b/>
                <w:sz w:val="22"/>
                <w:szCs w:val="26"/>
                <w:lang w:eastAsia="en-US"/>
              </w:rPr>
              <w:t>CONSUMO PRI</w:t>
            </w:r>
            <w:r w:rsidR="00CF72BB">
              <w:rPr>
                <w:rFonts w:eastAsia="Calibri"/>
                <w:b/>
                <w:sz w:val="22"/>
                <w:szCs w:val="26"/>
                <w:lang w:eastAsia="en-US"/>
              </w:rPr>
              <w:t>V</w:t>
            </w:r>
            <w:r w:rsidRPr="00400A79">
              <w:rPr>
                <w:rFonts w:eastAsia="Calibri"/>
                <w:b/>
                <w:sz w:val="22"/>
                <w:szCs w:val="26"/>
                <w:lang w:eastAsia="en-US"/>
              </w:rPr>
              <w:t>ADO Y CONFIANZA DEL CONSUMIDOR</w:t>
            </w:r>
          </w:p>
          <w:p w14:paraId="32A796DA" w14:textId="77777777" w:rsidR="00400A79" w:rsidRPr="00400A79" w:rsidRDefault="00400A79" w:rsidP="00400A79">
            <w:pPr>
              <w:jc w:val="center"/>
              <w:rPr>
                <w:rFonts w:eastAsia="Calibri"/>
                <w:b/>
                <w:sz w:val="22"/>
                <w:szCs w:val="26"/>
                <w:lang w:eastAsia="en-US"/>
              </w:rPr>
            </w:pPr>
            <w:r w:rsidRPr="00400A79">
              <w:rPr>
                <w:rFonts w:eastAsia="Calibri"/>
                <w:b/>
                <w:sz w:val="22"/>
                <w:szCs w:val="26"/>
                <w:lang w:eastAsia="en-US"/>
              </w:rPr>
              <w:t>-Variación anual en porcentajes y 2008=100, ajuste de tendencia-</w:t>
            </w:r>
          </w:p>
        </w:tc>
      </w:tr>
      <w:tr w:rsidR="00400A79" w:rsidRPr="00400A79" w14:paraId="238F6A11" w14:textId="77777777" w:rsidTr="004F1C40">
        <w:trPr>
          <w:jc w:val="center"/>
        </w:trPr>
        <w:tc>
          <w:tcPr>
            <w:tcW w:w="7836" w:type="dxa"/>
          </w:tcPr>
          <w:p w14:paraId="25074930" w14:textId="77777777" w:rsidR="00400A79" w:rsidRPr="00400A79" w:rsidRDefault="00400A79" w:rsidP="00400A79">
            <w:pPr>
              <w:jc w:val="center"/>
              <w:rPr>
                <w:rFonts w:eastAsia="Calibri"/>
                <w:sz w:val="20"/>
                <w:szCs w:val="26"/>
                <w:lang w:eastAsia="en-US"/>
              </w:rPr>
            </w:pPr>
            <w:r w:rsidRPr="00400A79">
              <w:rPr>
                <w:rFonts w:ascii="Calibri" w:eastAsia="Calibri" w:hAnsi="Calibri"/>
                <w:noProof/>
                <w:sz w:val="22"/>
                <w:szCs w:val="22"/>
                <w:lang w:eastAsia="es-MX"/>
              </w:rPr>
              <w:drawing>
                <wp:inline distT="0" distB="0" distL="0" distR="0" wp14:anchorId="7287DEB5" wp14:editId="6177C761">
                  <wp:extent cx="4968640" cy="3060000"/>
                  <wp:effectExtent l="0" t="0" r="3810" b="7620"/>
                  <wp:docPr id="1545" name="Imagen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8"/>
                          <a:stretch>
                            <a:fillRect/>
                          </a:stretch>
                        </pic:blipFill>
                        <pic:spPr>
                          <a:xfrm>
                            <a:off x="0" y="0"/>
                            <a:ext cx="4968640" cy="3060000"/>
                          </a:xfrm>
                          <a:prstGeom prst="rect">
                            <a:avLst/>
                          </a:prstGeom>
                        </pic:spPr>
                      </pic:pic>
                    </a:graphicData>
                  </a:graphic>
                </wp:inline>
              </w:drawing>
            </w:r>
          </w:p>
        </w:tc>
      </w:tr>
      <w:tr w:rsidR="00400A79" w:rsidRPr="00400A79" w14:paraId="16C34B62" w14:textId="77777777" w:rsidTr="004F1C40">
        <w:trPr>
          <w:jc w:val="center"/>
        </w:trPr>
        <w:tc>
          <w:tcPr>
            <w:tcW w:w="7836" w:type="dxa"/>
          </w:tcPr>
          <w:p w14:paraId="4FE4C76C" w14:textId="77777777" w:rsidR="00400A79" w:rsidRPr="00400A79" w:rsidRDefault="00400A79" w:rsidP="00400A79">
            <w:pPr>
              <w:jc w:val="both"/>
              <w:rPr>
                <w:rFonts w:eastAsia="Calibri"/>
                <w:sz w:val="20"/>
                <w:szCs w:val="26"/>
                <w:lang w:eastAsia="en-US"/>
              </w:rPr>
            </w:pPr>
            <w:r w:rsidRPr="00400A79">
              <w:rPr>
                <w:rFonts w:eastAsia="Calibri"/>
                <w:sz w:val="20"/>
                <w:szCs w:val="26"/>
                <w:lang w:eastAsia="en-US"/>
              </w:rPr>
              <w:t>FUENTE: INEGI y Banco de México.</w:t>
            </w:r>
          </w:p>
        </w:tc>
      </w:tr>
    </w:tbl>
    <w:p w14:paraId="5D2FBD93" w14:textId="77777777" w:rsidR="00400A79" w:rsidRPr="00400A79" w:rsidRDefault="00400A79" w:rsidP="00400A79">
      <w:pPr>
        <w:spacing w:after="360" w:line="360" w:lineRule="auto"/>
        <w:ind w:right="-159"/>
        <w:jc w:val="both"/>
        <w:rPr>
          <w:rFonts w:eastAsia="Calibri"/>
          <w:sz w:val="26"/>
          <w:szCs w:val="26"/>
          <w:lang w:eastAsia="en-US"/>
        </w:rPr>
      </w:pPr>
    </w:p>
    <w:p w14:paraId="5D555F9F" w14:textId="77777777" w:rsidR="008E27D4" w:rsidRDefault="008E27D4" w:rsidP="00400A79">
      <w:pPr>
        <w:spacing w:after="360" w:line="360" w:lineRule="auto"/>
        <w:ind w:right="-159"/>
        <w:jc w:val="both"/>
        <w:rPr>
          <w:rFonts w:eastAsia="Calibri"/>
          <w:sz w:val="26"/>
          <w:szCs w:val="26"/>
          <w:lang w:eastAsia="en-US"/>
        </w:rPr>
      </w:pPr>
    </w:p>
    <w:p w14:paraId="2F422D88" w14:textId="77777777" w:rsidR="008E27D4" w:rsidRDefault="008E27D4" w:rsidP="00400A79">
      <w:pPr>
        <w:spacing w:after="360" w:line="360" w:lineRule="auto"/>
        <w:ind w:right="-159"/>
        <w:jc w:val="both"/>
        <w:rPr>
          <w:rFonts w:eastAsia="Calibri"/>
          <w:sz w:val="26"/>
          <w:szCs w:val="26"/>
          <w:lang w:eastAsia="en-US"/>
        </w:rPr>
      </w:pPr>
    </w:p>
    <w:p w14:paraId="18D97AEC" w14:textId="77777777" w:rsidR="008E27D4" w:rsidRDefault="008E27D4" w:rsidP="00400A79">
      <w:pPr>
        <w:spacing w:after="360" w:line="360" w:lineRule="auto"/>
        <w:ind w:right="-159"/>
        <w:jc w:val="both"/>
        <w:rPr>
          <w:rFonts w:eastAsia="Calibri"/>
          <w:sz w:val="26"/>
          <w:szCs w:val="26"/>
          <w:lang w:eastAsia="en-US"/>
        </w:rPr>
      </w:pPr>
    </w:p>
    <w:p w14:paraId="6A4D7245" w14:textId="77777777" w:rsidR="008E27D4" w:rsidRDefault="008E27D4" w:rsidP="00400A79">
      <w:pPr>
        <w:spacing w:after="360" w:line="360" w:lineRule="auto"/>
        <w:ind w:right="-159"/>
        <w:jc w:val="both"/>
        <w:rPr>
          <w:rFonts w:eastAsia="Calibri"/>
          <w:sz w:val="26"/>
          <w:szCs w:val="26"/>
          <w:lang w:eastAsia="en-US"/>
        </w:rPr>
      </w:pPr>
    </w:p>
    <w:p w14:paraId="3825A64C" w14:textId="77777777" w:rsidR="008E27D4" w:rsidRDefault="008E27D4" w:rsidP="00400A79">
      <w:pPr>
        <w:spacing w:after="360" w:line="360" w:lineRule="auto"/>
        <w:ind w:right="-159"/>
        <w:jc w:val="both"/>
        <w:rPr>
          <w:rFonts w:eastAsia="Calibri"/>
          <w:sz w:val="26"/>
          <w:szCs w:val="26"/>
          <w:lang w:eastAsia="en-US"/>
        </w:rPr>
      </w:pPr>
    </w:p>
    <w:p w14:paraId="1769744C" w14:textId="77777777" w:rsidR="008E27D4" w:rsidRDefault="008E27D4" w:rsidP="00400A79">
      <w:pPr>
        <w:spacing w:after="360" w:line="360" w:lineRule="auto"/>
        <w:ind w:right="-159"/>
        <w:jc w:val="both"/>
        <w:rPr>
          <w:rFonts w:eastAsia="Calibri"/>
          <w:sz w:val="26"/>
          <w:szCs w:val="26"/>
          <w:lang w:eastAsia="en-US"/>
        </w:rPr>
      </w:pPr>
    </w:p>
    <w:p w14:paraId="0B558BD4" w14:textId="77777777" w:rsidR="00400A79" w:rsidRDefault="00400A79" w:rsidP="00400A79">
      <w:pPr>
        <w:spacing w:after="360" w:line="360" w:lineRule="auto"/>
        <w:ind w:right="-159"/>
        <w:jc w:val="both"/>
        <w:rPr>
          <w:rFonts w:eastAsia="Calibri"/>
          <w:sz w:val="26"/>
          <w:szCs w:val="26"/>
          <w:lang w:eastAsia="en-US"/>
        </w:rPr>
      </w:pPr>
      <w:r w:rsidRPr="00400A79">
        <w:rPr>
          <w:rFonts w:eastAsia="Calibri"/>
          <w:sz w:val="26"/>
          <w:szCs w:val="26"/>
          <w:lang w:eastAsia="en-US"/>
        </w:rPr>
        <w:lastRenderedPageBreak/>
        <w:t>Las perspectivas de los gerentes de compra sugieren que la recuperación de la inversión podría continuar.</w:t>
      </w:r>
    </w:p>
    <w:tbl>
      <w:tblPr>
        <w:tblW w:w="0" w:type="auto"/>
        <w:jc w:val="center"/>
        <w:tblBorders>
          <w:insideV w:val="single" w:sz="4" w:space="0" w:color="auto"/>
        </w:tblBorders>
        <w:tblLook w:val="04A0" w:firstRow="1" w:lastRow="0" w:firstColumn="1" w:lastColumn="0" w:noHBand="0" w:noVBand="1"/>
      </w:tblPr>
      <w:tblGrid>
        <w:gridCol w:w="8507"/>
      </w:tblGrid>
      <w:tr w:rsidR="00400A79" w:rsidRPr="00400A79" w14:paraId="06825A5F" w14:textId="77777777" w:rsidTr="008E27D4">
        <w:trPr>
          <w:jc w:val="center"/>
        </w:trPr>
        <w:tc>
          <w:tcPr>
            <w:tcW w:w="8507" w:type="dxa"/>
          </w:tcPr>
          <w:p w14:paraId="6BE202CE" w14:textId="77777777" w:rsidR="00400A79" w:rsidRPr="00400A79" w:rsidRDefault="00400A79" w:rsidP="00400A79">
            <w:pPr>
              <w:jc w:val="center"/>
              <w:rPr>
                <w:rFonts w:eastAsia="Calibri"/>
                <w:b/>
                <w:sz w:val="22"/>
                <w:szCs w:val="26"/>
                <w:lang w:eastAsia="en-US"/>
              </w:rPr>
            </w:pPr>
            <w:r w:rsidRPr="00400A79">
              <w:rPr>
                <w:rFonts w:eastAsia="Calibri"/>
                <w:b/>
                <w:sz w:val="22"/>
                <w:szCs w:val="26"/>
                <w:lang w:eastAsia="en-US"/>
              </w:rPr>
              <w:t>INVERSIÓN FIJA FRUTA E ÍNDICE DE PEDIDOS MANUFACTUREROS</w:t>
            </w:r>
          </w:p>
          <w:p w14:paraId="58927AEA" w14:textId="77777777" w:rsidR="00400A79" w:rsidRPr="00400A79" w:rsidRDefault="00400A79" w:rsidP="00400A79">
            <w:pPr>
              <w:jc w:val="center"/>
              <w:rPr>
                <w:rFonts w:eastAsia="Calibri"/>
                <w:b/>
                <w:sz w:val="22"/>
                <w:szCs w:val="26"/>
                <w:lang w:eastAsia="en-US"/>
              </w:rPr>
            </w:pPr>
            <w:r w:rsidRPr="00400A79">
              <w:rPr>
                <w:rFonts w:eastAsia="Calibri"/>
                <w:b/>
                <w:sz w:val="22"/>
                <w:szCs w:val="26"/>
                <w:lang w:eastAsia="en-US"/>
              </w:rPr>
              <w:t>-Variación anual en porcentajes e índice de referencia a 50 puntos, ajuste de tendencia-</w:t>
            </w:r>
          </w:p>
        </w:tc>
      </w:tr>
      <w:tr w:rsidR="00400A79" w:rsidRPr="00400A79" w14:paraId="7448812C" w14:textId="77777777" w:rsidTr="008E27D4">
        <w:trPr>
          <w:jc w:val="center"/>
        </w:trPr>
        <w:tc>
          <w:tcPr>
            <w:tcW w:w="8507" w:type="dxa"/>
          </w:tcPr>
          <w:p w14:paraId="51D1AF8C" w14:textId="77777777" w:rsidR="00400A79" w:rsidRPr="00400A79" w:rsidRDefault="00400A79" w:rsidP="00400A79">
            <w:pPr>
              <w:jc w:val="center"/>
              <w:rPr>
                <w:rFonts w:eastAsia="Calibri"/>
                <w:sz w:val="20"/>
                <w:szCs w:val="26"/>
                <w:lang w:eastAsia="en-US"/>
              </w:rPr>
            </w:pPr>
            <w:r w:rsidRPr="00400A79">
              <w:rPr>
                <w:rFonts w:ascii="Calibri" w:eastAsia="Calibri" w:hAnsi="Calibri"/>
                <w:noProof/>
                <w:sz w:val="22"/>
                <w:szCs w:val="22"/>
                <w:lang w:eastAsia="es-MX"/>
              </w:rPr>
              <w:drawing>
                <wp:inline distT="0" distB="0" distL="0" distR="0" wp14:anchorId="4B28B75E" wp14:editId="4974DB24">
                  <wp:extent cx="5264786" cy="3240000"/>
                  <wp:effectExtent l="0" t="0" r="0" b="0"/>
                  <wp:docPr id="1546" name="Imagen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9"/>
                          <a:stretch>
                            <a:fillRect/>
                          </a:stretch>
                        </pic:blipFill>
                        <pic:spPr>
                          <a:xfrm>
                            <a:off x="0" y="0"/>
                            <a:ext cx="5264786" cy="3240000"/>
                          </a:xfrm>
                          <a:prstGeom prst="rect">
                            <a:avLst/>
                          </a:prstGeom>
                        </pic:spPr>
                      </pic:pic>
                    </a:graphicData>
                  </a:graphic>
                </wp:inline>
              </w:drawing>
            </w:r>
          </w:p>
        </w:tc>
      </w:tr>
      <w:tr w:rsidR="00400A79" w:rsidRPr="00400A79" w14:paraId="6A4EC264" w14:textId="77777777" w:rsidTr="008E27D4">
        <w:trPr>
          <w:jc w:val="center"/>
        </w:trPr>
        <w:tc>
          <w:tcPr>
            <w:tcW w:w="8507" w:type="dxa"/>
          </w:tcPr>
          <w:p w14:paraId="1C9063BB" w14:textId="77777777" w:rsidR="00400A79" w:rsidRPr="00400A79" w:rsidRDefault="00400A79" w:rsidP="00400A79">
            <w:pPr>
              <w:jc w:val="both"/>
              <w:rPr>
                <w:rFonts w:eastAsia="Calibri"/>
                <w:sz w:val="20"/>
                <w:szCs w:val="26"/>
                <w:lang w:eastAsia="en-US"/>
              </w:rPr>
            </w:pPr>
            <w:r w:rsidRPr="00400A79">
              <w:rPr>
                <w:rFonts w:eastAsia="Calibri"/>
                <w:sz w:val="20"/>
                <w:szCs w:val="26"/>
                <w:lang w:eastAsia="en-US"/>
              </w:rPr>
              <w:t xml:space="preserve">FUENTE: INEGI y </w:t>
            </w:r>
            <w:r w:rsidRPr="00400A79">
              <w:rPr>
                <w:rFonts w:eastAsia="Calibri"/>
                <w:i/>
                <w:sz w:val="20"/>
                <w:szCs w:val="26"/>
                <w:lang w:eastAsia="en-US"/>
              </w:rPr>
              <w:t>Haver Analytics</w:t>
            </w:r>
            <w:r w:rsidRPr="00400A79">
              <w:rPr>
                <w:rFonts w:eastAsia="Calibri"/>
                <w:sz w:val="20"/>
                <w:szCs w:val="26"/>
                <w:lang w:eastAsia="en-US"/>
              </w:rPr>
              <w:t>.</w:t>
            </w:r>
          </w:p>
        </w:tc>
      </w:tr>
    </w:tbl>
    <w:p w14:paraId="6A845EC7" w14:textId="77777777" w:rsidR="00400A79" w:rsidRPr="00400A79" w:rsidRDefault="00400A79" w:rsidP="00400A79">
      <w:pPr>
        <w:spacing w:after="360" w:line="360" w:lineRule="auto"/>
        <w:ind w:right="-159"/>
        <w:jc w:val="both"/>
        <w:rPr>
          <w:rFonts w:eastAsia="Calibri"/>
          <w:sz w:val="26"/>
          <w:szCs w:val="26"/>
          <w:lang w:eastAsia="en-US"/>
        </w:rPr>
      </w:pPr>
    </w:p>
    <w:p w14:paraId="439F5469" w14:textId="77777777" w:rsidR="008E27D4" w:rsidRDefault="008E27D4" w:rsidP="00400A79">
      <w:pPr>
        <w:spacing w:after="360" w:line="360" w:lineRule="auto"/>
        <w:ind w:right="-159"/>
        <w:jc w:val="both"/>
        <w:rPr>
          <w:rFonts w:eastAsia="Calibri"/>
          <w:sz w:val="26"/>
          <w:szCs w:val="26"/>
          <w:lang w:eastAsia="en-US"/>
        </w:rPr>
      </w:pPr>
    </w:p>
    <w:p w14:paraId="527620F3" w14:textId="77777777" w:rsidR="008E27D4" w:rsidRDefault="008E27D4" w:rsidP="00400A79">
      <w:pPr>
        <w:spacing w:after="360" w:line="360" w:lineRule="auto"/>
        <w:ind w:right="-159"/>
        <w:jc w:val="both"/>
        <w:rPr>
          <w:rFonts w:eastAsia="Calibri"/>
          <w:sz w:val="26"/>
          <w:szCs w:val="26"/>
          <w:lang w:eastAsia="en-US"/>
        </w:rPr>
      </w:pPr>
    </w:p>
    <w:p w14:paraId="18DAFE32" w14:textId="77777777" w:rsidR="008E27D4" w:rsidRDefault="008E27D4" w:rsidP="00400A79">
      <w:pPr>
        <w:spacing w:after="360" w:line="360" w:lineRule="auto"/>
        <w:ind w:right="-159"/>
        <w:jc w:val="both"/>
        <w:rPr>
          <w:rFonts w:eastAsia="Calibri"/>
          <w:sz w:val="26"/>
          <w:szCs w:val="26"/>
          <w:lang w:eastAsia="en-US"/>
        </w:rPr>
      </w:pPr>
    </w:p>
    <w:p w14:paraId="24567791" w14:textId="77777777" w:rsidR="008E27D4" w:rsidRDefault="008E27D4" w:rsidP="00400A79">
      <w:pPr>
        <w:spacing w:after="360" w:line="360" w:lineRule="auto"/>
        <w:ind w:right="-159"/>
        <w:jc w:val="both"/>
        <w:rPr>
          <w:rFonts w:eastAsia="Calibri"/>
          <w:sz w:val="26"/>
          <w:szCs w:val="26"/>
          <w:lang w:eastAsia="en-US"/>
        </w:rPr>
      </w:pPr>
    </w:p>
    <w:p w14:paraId="2435C062" w14:textId="77777777" w:rsidR="008E27D4" w:rsidRDefault="008E27D4" w:rsidP="00400A79">
      <w:pPr>
        <w:spacing w:after="360" w:line="360" w:lineRule="auto"/>
        <w:ind w:right="-159"/>
        <w:jc w:val="both"/>
        <w:rPr>
          <w:rFonts w:eastAsia="Calibri"/>
          <w:sz w:val="26"/>
          <w:szCs w:val="26"/>
          <w:lang w:eastAsia="en-US"/>
        </w:rPr>
      </w:pPr>
    </w:p>
    <w:p w14:paraId="3D2226C0" w14:textId="77777777" w:rsidR="008E27D4" w:rsidRDefault="008E27D4" w:rsidP="00400A79">
      <w:pPr>
        <w:spacing w:after="360" w:line="360" w:lineRule="auto"/>
        <w:ind w:right="-159"/>
        <w:jc w:val="both"/>
        <w:rPr>
          <w:rFonts w:eastAsia="Calibri"/>
          <w:sz w:val="26"/>
          <w:szCs w:val="26"/>
          <w:lang w:eastAsia="en-US"/>
        </w:rPr>
      </w:pPr>
    </w:p>
    <w:p w14:paraId="10F8D4F2" w14:textId="77777777" w:rsidR="00400A79" w:rsidRDefault="00400A79" w:rsidP="00400A79">
      <w:pPr>
        <w:spacing w:after="360" w:line="360" w:lineRule="auto"/>
        <w:ind w:right="-159"/>
        <w:jc w:val="both"/>
        <w:rPr>
          <w:rFonts w:eastAsia="Calibri"/>
          <w:sz w:val="26"/>
          <w:szCs w:val="26"/>
          <w:lang w:eastAsia="en-US"/>
        </w:rPr>
      </w:pPr>
      <w:r w:rsidRPr="00400A79">
        <w:rPr>
          <w:rFonts w:eastAsia="Calibri"/>
          <w:sz w:val="26"/>
          <w:szCs w:val="26"/>
          <w:lang w:eastAsia="en-US"/>
        </w:rPr>
        <w:lastRenderedPageBreak/>
        <w:t>La reacción de los mercados financieros en México a las expectativas de la normalización monetaria de Estados Unidos de Norteamérica ha sido ordenada.</w:t>
      </w:r>
    </w:p>
    <w:tbl>
      <w:tblPr>
        <w:tblW w:w="0" w:type="auto"/>
        <w:jc w:val="center"/>
        <w:tblBorders>
          <w:insideV w:val="single" w:sz="4" w:space="0" w:color="auto"/>
        </w:tblBorders>
        <w:tblLook w:val="04A0" w:firstRow="1" w:lastRow="0" w:firstColumn="1" w:lastColumn="0" w:noHBand="0" w:noVBand="1"/>
      </w:tblPr>
      <w:tblGrid>
        <w:gridCol w:w="8840"/>
      </w:tblGrid>
      <w:tr w:rsidR="00400A79" w:rsidRPr="00400A79" w14:paraId="4C29F7EB" w14:textId="77777777" w:rsidTr="008E27D4">
        <w:trPr>
          <w:jc w:val="center"/>
        </w:trPr>
        <w:tc>
          <w:tcPr>
            <w:tcW w:w="8840" w:type="dxa"/>
          </w:tcPr>
          <w:p w14:paraId="350DFA58" w14:textId="77777777" w:rsidR="00400A79" w:rsidRPr="00400A79" w:rsidRDefault="00400A79" w:rsidP="00400A79">
            <w:pPr>
              <w:jc w:val="center"/>
              <w:rPr>
                <w:rFonts w:eastAsia="Calibri"/>
                <w:b/>
                <w:sz w:val="22"/>
                <w:szCs w:val="26"/>
                <w:vertAlign w:val="superscript"/>
                <w:lang w:eastAsia="en-US"/>
              </w:rPr>
            </w:pPr>
            <w:r w:rsidRPr="00400A79">
              <w:rPr>
                <w:rFonts w:eastAsia="Calibri"/>
                <w:b/>
                <w:sz w:val="22"/>
                <w:szCs w:val="26"/>
                <w:lang w:eastAsia="en-US"/>
              </w:rPr>
              <w:t>POSICIÓN DE NO RESIDENTES EN TÍTULOS GUBERNAMENTALES</w:t>
            </w:r>
            <w:r w:rsidRPr="00400A79">
              <w:rPr>
                <w:rFonts w:eastAsia="Calibri"/>
                <w:b/>
                <w:sz w:val="22"/>
                <w:szCs w:val="26"/>
                <w:u w:val="single"/>
                <w:vertAlign w:val="superscript"/>
                <w:lang w:eastAsia="en-US"/>
              </w:rPr>
              <w:t>1</w:t>
            </w:r>
            <w:r w:rsidRPr="00400A79">
              <w:rPr>
                <w:rFonts w:eastAsia="Calibri"/>
                <w:b/>
                <w:sz w:val="22"/>
                <w:szCs w:val="26"/>
                <w:vertAlign w:val="superscript"/>
                <w:lang w:eastAsia="en-US"/>
              </w:rPr>
              <w:t>/</w:t>
            </w:r>
          </w:p>
          <w:p w14:paraId="7449BECF" w14:textId="77777777" w:rsidR="00400A79" w:rsidRPr="00400A79" w:rsidRDefault="00400A79" w:rsidP="00400A79">
            <w:pPr>
              <w:jc w:val="center"/>
              <w:rPr>
                <w:rFonts w:eastAsia="Calibri"/>
                <w:b/>
                <w:sz w:val="22"/>
                <w:szCs w:val="26"/>
                <w:lang w:eastAsia="en-US"/>
              </w:rPr>
            </w:pPr>
            <w:r w:rsidRPr="00400A79">
              <w:rPr>
                <w:rFonts w:eastAsia="Calibri"/>
                <w:b/>
                <w:sz w:val="22"/>
                <w:szCs w:val="26"/>
                <w:lang w:eastAsia="en-US"/>
              </w:rPr>
              <w:t>-Miles de millones de pesos-</w:t>
            </w:r>
          </w:p>
        </w:tc>
      </w:tr>
      <w:tr w:rsidR="00400A79" w:rsidRPr="00400A79" w14:paraId="329AE00B" w14:textId="77777777" w:rsidTr="008E27D4">
        <w:trPr>
          <w:jc w:val="center"/>
        </w:trPr>
        <w:tc>
          <w:tcPr>
            <w:tcW w:w="8840" w:type="dxa"/>
          </w:tcPr>
          <w:p w14:paraId="0118E1CB" w14:textId="77777777" w:rsidR="00400A79" w:rsidRPr="00400A79" w:rsidRDefault="00400A79" w:rsidP="00400A79">
            <w:pPr>
              <w:jc w:val="center"/>
              <w:rPr>
                <w:rFonts w:eastAsia="Calibri"/>
                <w:sz w:val="20"/>
                <w:szCs w:val="26"/>
                <w:lang w:eastAsia="en-US"/>
              </w:rPr>
            </w:pPr>
            <w:r w:rsidRPr="00400A79">
              <w:rPr>
                <w:rFonts w:ascii="Calibri" w:eastAsia="Calibri" w:hAnsi="Calibri"/>
                <w:noProof/>
                <w:sz w:val="22"/>
                <w:szCs w:val="22"/>
                <w:lang w:eastAsia="es-MX"/>
              </w:rPr>
              <w:drawing>
                <wp:inline distT="0" distB="0" distL="0" distR="0" wp14:anchorId="10514906" wp14:editId="196B1B36">
                  <wp:extent cx="5630160" cy="3168000"/>
                  <wp:effectExtent l="0" t="0" r="0" b="0"/>
                  <wp:docPr id="1547" name="Imagen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0"/>
                          <a:stretch>
                            <a:fillRect/>
                          </a:stretch>
                        </pic:blipFill>
                        <pic:spPr>
                          <a:xfrm>
                            <a:off x="0" y="0"/>
                            <a:ext cx="5630160" cy="3168000"/>
                          </a:xfrm>
                          <a:prstGeom prst="rect">
                            <a:avLst/>
                          </a:prstGeom>
                        </pic:spPr>
                      </pic:pic>
                    </a:graphicData>
                  </a:graphic>
                </wp:inline>
              </w:drawing>
            </w:r>
          </w:p>
        </w:tc>
      </w:tr>
      <w:tr w:rsidR="00400A79" w:rsidRPr="00400A79" w14:paraId="2828473E" w14:textId="77777777" w:rsidTr="008E27D4">
        <w:trPr>
          <w:jc w:val="center"/>
        </w:trPr>
        <w:tc>
          <w:tcPr>
            <w:tcW w:w="8840" w:type="dxa"/>
          </w:tcPr>
          <w:p w14:paraId="7A91E1C8" w14:textId="77777777" w:rsidR="00400A79" w:rsidRPr="00400A79" w:rsidRDefault="00400A79" w:rsidP="00400A79">
            <w:pPr>
              <w:jc w:val="both"/>
              <w:rPr>
                <w:rFonts w:eastAsia="Calibri"/>
                <w:sz w:val="20"/>
                <w:szCs w:val="26"/>
                <w:lang w:eastAsia="en-US"/>
              </w:rPr>
            </w:pPr>
            <w:r w:rsidRPr="00400A79">
              <w:rPr>
                <w:rFonts w:eastAsia="Calibri"/>
                <w:sz w:val="20"/>
                <w:szCs w:val="26"/>
                <w:u w:val="single"/>
                <w:lang w:eastAsia="en-US"/>
              </w:rPr>
              <w:t>1</w:t>
            </w:r>
            <w:r w:rsidRPr="00400A79">
              <w:rPr>
                <w:rFonts w:eastAsia="Calibri"/>
                <w:sz w:val="20"/>
                <w:szCs w:val="26"/>
                <w:lang w:eastAsia="en-US"/>
              </w:rPr>
              <w:t>/ Cetes, bondes D, bonos y udibonos.</w:t>
            </w:r>
          </w:p>
          <w:p w14:paraId="498FAE8E" w14:textId="77777777" w:rsidR="00400A79" w:rsidRPr="00400A79" w:rsidRDefault="00400A79" w:rsidP="00400A79">
            <w:pPr>
              <w:jc w:val="both"/>
              <w:rPr>
                <w:rFonts w:eastAsia="Calibri"/>
                <w:sz w:val="20"/>
                <w:szCs w:val="26"/>
                <w:lang w:eastAsia="en-US"/>
              </w:rPr>
            </w:pPr>
            <w:r w:rsidRPr="00400A79">
              <w:rPr>
                <w:rFonts w:eastAsia="Calibri"/>
                <w:sz w:val="20"/>
                <w:szCs w:val="26"/>
                <w:lang w:eastAsia="en-US"/>
              </w:rPr>
              <w:t>FUENTE: Banco de México.</w:t>
            </w:r>
          </w:p>
        </w:tc>
      </w:tr>
    </w:tbl>
    <w:p w14:paraId="2C41DE35" w14:textId="77777777" w:rsidR="00400A79" w:rsidRPr="00400A79" w:rsidRDefault="00400A79" w:rsidP="00400A79">
      <w:pPr>
        <w:spacing w:after="360" w:line="360" w:lineRule="auto"/>
        <w:ind w:right="-159"/>
        <w:jc w:val="both"/>
        <w:rPr>
          <w:rFonts w:eastAsia="Calibri"/>
          <w:sz w:val="26"/>
          <w:szCs w:val="26"/>
          <w:lang w:eastAsia="en-US"/>
        </w:rPr>
      </w:pPr>
    </w:p>
    <w:p w14:paraId="62356199" w14:textId="77777777" w:rsidR="008E27D4" w:rsidRDefault="008E27D4" w:rsidP="00400A79">
      <w:pPr>
        <w:spacing w:after="360" w:line="360" w:lineRule="auto"/>
        <w:ind w:right="-159"/>
        <w:jc w:val="both"/>
        <w:rPr>
          <w:rFonts w:eastAsia="Calibri"/>
          <w:sz w:val="26"/>
          <w:szCs w:val="26"/>
          <w:lang w:eastAsia="en-US"/>
        </w:rPr>
      </w:pPr>
    </w:p>
    <w:p w14:paraId="34EE2038" w14:textId="77777777" w:rsidR="008E27D4" w:rsidRDefault="008E27D4" w:rsidP="00400A79">
      <w:pPr>
        <w:spacing w:after="360" w:line="360" w:lineRule="auto"/>
        <w:ind w:right="-159"/>
        <w:jc w:val="both"/>
        <w:rPr>
          <w:rFonts w:eastAsia="Calibri"/>
          <w:sz w:val="26"/>
          <w:szCs w:val="26"/>
          <w:lang w:eastAsia="en-US"/>
        </w:rPr>
      </w:pPr>
    </w:p>
    <w:p w14:paraId="2E56E4ED" w14:textId="77777777" w:rsidR="008E27D4" w:rsidRDefault="008E27D4" w:rsidP="00400A79">
      <w:pPr>
        <w:spacing w:after="360" w:line="360" w:lineRule="auto"/>
        <w:ind w:right="-159"/>
        <w:jc w:val="both"/>
        <w:rPr>
          <w:rFonts w:eastAsia="Calibri"/>
          <w:sz w:val="26"/>
          <w:szCs w:val="26"/>
          <w:lang w:eastAsia="en-US"/>
        </w:rPr>
      </w:pPr>
    </w:p>
    <w:p w14:paraId="5699371B" w14:textId="77777777" w:rsidR="008E27D4" w:rsidRDefault="008E27D4" w:rsidP="00400A79">
      <w:pPr>
        <w:spacing w:after="360" w:line="360" w:lineRule="auto"/>
        <w:ind w:right="-159"/>
        <w:jc w:val="both"/>
        <w:rPr>
          <w:rFonts w:eastAsia="Calibri"/>
          <w:sz w:val="26"/>
          <w:szCs w:val="26"/>
          <w:lang w:eastAsia="en-US"/>
        </w:rPr>
      </w:pPr>
    </w:p>
    <w:p w14:paraId="4EE3ECEF" w14:textId="77777777" w:rsidR="008E27D4" w:rsidRDefault="008E27D4" w:rsidP="00400A79">
      <w:pPr>
        <w:spacing w:after="360" w:line="360" w:lineRule="auto"/>
        <w:ind w:right="-159"/>
        <w:jc w:val="both"/>
        <w:rPr>
          <w:rFonts w:eastAsia="Calibri"/>
          <w:sz w:val="26"/>
          <w:szCs w:val="26"/>
          <w:lang w:eastAsia="en-US"/>
        </w:rPr>
      </w:pPr>
    </w:p>
    <w:p w14:paraId="19057CC5" w14:textId="77777777" w:rsidR="008E27D4" w:rsidRDefault="008E27D4" w:rsidP="00400A79">
      <w:pPr>
        <w:spacing w:after="360" w:line="360" w:lineRule="auto"/>
        <w:ind w:right="-159"/>
        <w:jc w:val="both"/>
        <w:rPr>
          <w:rFonts w:eastAsia="Calibri"/>
          <w:sz w:val="26"/>
          <w:szCs w:val="26"/>
          <w:lang w:eastAsia="en-US"/>
        </w:rPr>
      </w:pPr>
    </w:p>
    <w:p w14:paraId="42B0D3A5" w14:textId="77777777" w:rsidR="00400A79" w:rsidRDefault="00400A79" w:rsidP="00400A79">
      <w:pPr>
        <w:spacing w:after="360" w:line="360" w:lineRule="auto"/>
        <w:ind w:right="-159"/>
        <w:jc w:val="both"/>
        <w:rPr>
          <w:rFonts w:eastAsia="Calibri"/>
          <w:sz w:val="26"/>
          <w:szCs w:val="26"/>
          <w:lang w:eastAsia="en-US"/>
        </w:rPr>
      </w:pPr>
      <w:r w:rsidRPr="00400A79">
        <w:rPr>
          <w:rFonts w:eastAsia="Calibri"/>
          <w:sz w:val="26"/>
          <w:szCs w:val="26"/>
          <w:lang w:eastAsia="en-US"/>
        </w:rPr>
        <w:lastRenderedPageBreak/>
        <w:t>El debilitamiento del peso refleja, en gran medida, el fortalecimiento generalizado del dólar y los menores precios del petróleo.</w:t>
      </w:r>
    </w:p>
    <w:tbl>
      <w:tblPr>
        <w:tblW w:w="9072" w:type="dxa"/>
        <w:jc w:val="center"/>
        <w:tblBorders>
          <w:insideV w:val="single" w:sz="4" w:space="0" w:color="auto"/>
        </w:tblBorders>
        <w:tblLook w:val="04A0" w:firstRow="1" w:lastRow="0" w:firstColumn="1" w:lastColumn="0" w:noHBand="0" w:noVBand="1"/>
      </w:tblPr>
      <w:tblGrid>
        <w:gridCol w:w="9072"/>
      </w:tblGrid>
      <w:tr w:rsidR="00400A79" w:rsidRPr="00400A79" w14:paraId="11738A78" w14:textId="77777777" w:rsidTr="004F1C40">
        <w:trPr>
          <w:jc w:val="center"/>
        </w:trPr>
        <w:tc>
          <w:tcPr>
            <w:tcW w:w="9072" w:type="dxa"/>
          </w:tcPr>
          <w:p w14:paraId="14B4364A" w14:textId="77777777" w:rsidR="00400A79" w:rsidRPr="00400A79" w:rsidRDefault="00400A79" w:rsidP="00400A79">
            <w:pPr>
              <w:jc w:val="center"/>
              <w:rPr>
                <w:rFonts w:eastAsia="Calibri"/>
                <w:b/>
                <w:sz w:val="22"/>
                <w:szCs w:val="26"/>
                <w:lang w:eastAsia="en-US"/>
              </w:rPr>
            </w:pPr>
            <w:r w:rsidRPr="00400A79">
              <w:rPr>
                <w:rFonts w:eastAsia="Calibri"/>
                <w:b/>
                <w:sz w:val="22"/>
                <w:szCs w:val="26"/>
                <w:lang w:eastAsia="en-US"/>
              </w:rPr>
              <w:t>TIPO DE CAMBIO</w:t>
            </w:r>
          </w:p>
          <w:p w14:paraId="60936416" w14:textId="0D096E02" w:rsidR="00400A79" w:rsidRPr="00400A79" w:rsidRDefault="00400A79" w:rsidP="00CF72BB">
            <w:pPr>
              <w:jc w:val="center"/>
              <w:rPr>
                <w:rFonts w:eastAsia="Calibri"/>
                <w:b/>
                <w:sz w:val="22"/>
                <w:szCs w:val="26"/>
                <w:lang w:eastAsia="en-US"/>
              </w:rPr>
            </w:pPr>
            <w:r w:rsidRPr="00400A79">
              <w:rPr>
                <w:rFonts w:eastAsia="Calibri"/>
                <w:b/>
                <w:sz w:val="22"/>
                <w:szCs w:val="26"/>
                <w:lang w:eastAsia="en-US"/>
              </w:rPr>
              <w:t>-2 de enero de 201</w:t>
            </w:r>
            <w:r w:rsidR="00CF72BB">
              <w:rPr>
                <w:rFonts w:eastAsia="Calibri"/>
                <w:b/>
                <w:sz w:val="22"/>
                <w:szCs w:val="26"/>
                <w:lang w:eastAsia="en-US"/>
              </w:rPr>
              <w:t>3</w:t>
            </w:r>
            <w:r w:rsidRPr="00400A79">
              <w:rPr>
                <w:rFonts w:eastAsia="Calibri"/>
                <w:b/>
                <w:sz w:val="22"/>
                <w:szCs w:val="26"/>
                <w:lang w:eastAsia="en-US"/>
              </w:rPr>
              <w:t>=100-</w:t>
            </w:r>
          </w:p>
        </w:tc>
      </w:tr>
      <w:tr w:rsidR="00400A79" w:rsidRPr="00400A79" w14:paraId="7A6C49D6" w14:textId="77777777" w:rsidTr="004F1C40">
        <w:trPr>
          <w:jc w:val="center"/>
        </w:trPr>
        <w:tc>
          <w:tcPr>
            <w:tcW w:w="9072" w:type="dxa"/>
          </w:tcPr>
          <w:p w14:paraId="1893D558" w14:textId="77777777" w:rsidR="00400A79" w:rsidRPr="00400A79" w:rsidRDefault="00400A79" w:rsidP="00400A79">
            <w:pPr>
              <w:jc w:val="center"/>
              <w:rPr>
                <w:rFonts w:eastAsia="Calibri"/>
                <w:sz w:val="20"/>
                <w:szCs w:val="26"/>
                <w:lang w:eastAsia="en-US"/>
              </w:rPr>
            </w:pPr>
            <w:r w:rsidRPr="00400A79">
              <w:rPr>
                <w:rFonts w:eastAsia="Calibri"/>
                <w:noProof/>
                <w:sz w:val="20"/>
                <w:szCs w:val="26"/>
                <w:lang w:eastAsia="es-MX"/>
              </w:rPr>
              <w:drawing>
                <wp:inline distT="0" distB="0" distL="0" distR="0" wp14:anchorId="3CFFAAA7" wp14:editId="37429FCF">
                  <wp:extent cx="5602605" cy="3404870"/>
                  <wp:effectExtent l="0" t="0" r="0" b="5080"/>
                  <wp:docPr id="1548" name="Imagen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5602605" cy="3404870"/>
                          </a:xfrm>
                          <a:prstGeom prst="rect">
                            <a:avLst/>
                          </a:prstGeom>
                          <a:noFill/>
                          <a:ln>
                            <a:noFill/>
                          </a:ln>
                        </pic:spPr>
                      </pic:pic>
                    </a:graphicData>
                  </a:graphic>
                </wp:inline>
              </w:drawing>
            </w:r>
          </w:p>
        </w:tc>
      </w:tr>
      <w:tr w:rsidR="00400A79" w:rsidRPr="00400A79" w14:paraId="7F35F02A" w14:textId="77777777" w:rsidTr="004F1C40">
        <w:trPr>
          <w:jc w:val="center"/>
        </w:trPr>
        <w:tc>
          <w:tcPr>
            <w:tcW w:w="9072" w:type="dxa"/>
          </w:tcPr>
          <w:p w14:paraId="275991C7" w14:textId="77777777" w:rsidR="00400A79" w:rsidRPr="00400A79" w:rsidRDefault="00400A79" w:rsidP="00400A79">
            <w:pPr>
              <w:ind w:left="227" w:hanging="227"/>
              <w:jc w:val="both"/>
              <w:rPr>
                <w:rFonts w:eastAsia="Calibri"/>
                <w:sz w:val="20"/>
                <w:szCs w:val="26"/>
                <w:lang w:eastAsia="en-US"/>
              </w:rPr>
            </w:pPr>
            <w:r w:rsidRPr="00400A79">
              <w:rPr>
                <w:rFonts w:eastAsia="Calibri"/>
                <w:sz w:val="20"/>
                <w:szCs w:val="26"/>
                <w:u w:val="single"/>
                <w:lang w:eastAsia="en-US"/>
              </w:rPr>
              <w:t>1</w:t>
            </w:r>
            <w:r w:rsidRPr="00400A79">
              <w:rPr>
                <w:rFonts w:eastAsia="Calibri"/>
                <w:sz w:val="20"/>
                <w:szCs w:val="26"/>
                <w:lang w:eastAsia="en-US"/>
              </w:rPr>
              <w:t>/ DXY es un promedio ponderado del valor del dólar respecto al euro (57.6%), yen japonés (13.6%), libra esterlina (11.9%), dólar canadiense (9.1%), corono sueca (4.2%) y franco suizo (3.6%).</w:t>
            </w:r>
          </w:p>
          <w:p w14:paraId="323A3CA9" w14:textId="77777777" w:rsidR="00400A79" w:rsidRPr="00400A79" w:rsidRDefault="00400A79" w:rsidP="00400A79">
            <w:pPr>
              <w:jc w:val="both"/>
              <w:rPr>
                <w:rFonts w:eastAsia="Calibri"/>
                <w:sz w:val="20"/>
                <w:szCs w:val="26"/>
                <w:lang w:eastAsia="en-US"/>
              </w:rPr>
            </w:pPr>
            <w:r w:rsidRPr="00400A79">
              <w:rPr>
                <w:rFonts w:eastAsia="Calibri"/>
                <w:sz w:val="20"/>
                <w:szCs w:val="26"/>
                <w:lang w:eastAsia="en-US"/>
              </w:rPr>
              <w:t>FUENTE: Bloomberg y Banco de México.</w:t>
            </w:r>
          </w:p>
        </w:tc>
      </w:tr>
    </w:tbl>
    <w:p w14:paraId="534B741E" w14:textId="77777777" w:rsidR="00400A79" w:rsidRPr="00400A79" w:rsidRDefault="00400A79" w:rsidP="00400A79">
      <w:pPr>
        <w:spacing w:after="360" w:line="360" w:lineRule="auto"/>
        <w:ind w:right="-159"/>
        <w:jc w:val="both"/>
        <w:rPr>
          <w:rFonts w:eastAsia="Calibri"/>
          <w:sz w:val="26"/>
          <w:szCs w:val="26"/>
          <w:lang w:eastAsia="en-US"/>
        </w:rPr>
      </w:pPr>
    </w:p>
    <w:p w14:paraId="10B27C4B" w14:textId="77777777" w:rsidR="00400A79" w:rsidRPr="00400A79" w:rsidRDefault="00400A79" w:rsidP="00400A79">
      <w:pPr>
        <w:spacing w:after="360" w:line="360" w:lineRule="auto"/>
        <w:ind w:right="-159"/>
        <w:jc w:val="both"/>
        <w:rPr>
          <w:rFonts w:eastAsia="Calibri"/>
          <w:sz w:val="26"/>
          <w:szCs w:val="26"/>
          <w:lang w:eastAsia="en-US"/>
        </w:rPr>
      </w:pPr>
    </w:p>
    <w:p w14:paraId="2A56F11C" w14:textId="77777777" w:rsidR="00400A79" w:rsidRPr="00400A79" w:rsidRDefault="00400A79" w:rsidP="00400A79">
      <w:pPr>
        <w:spacing w:after="360" w:line="360" w:lineRule="auto"/>
        <w:ind w:right="-159"/>
        <w:jc w:val="both"/>
        <w:rPr>
          <w:rFonts w:eastAsia="Calibri"/>
          <w:sz w:val="26"/>
          <w:szCs w:val="26"/>
          <w:lang w:eastAsia="en-US"/>
        </w:rPr>
      </w:pPr>
    </w:p>
    <w:p w14:paraId="646C8AEC" w14:textId="77777777" w:rsidR="00400A79" w:rsidRPr="00400A79" w:rsidRDefault="00400A79" w:rsidP="00400A79">
      <w:pPr>
        <w:spacing w:after="360" w:line="360" w:lineRule="auto"/>
        <w:ind w:right="-159"/>
        <w:jc w:val="both"/>
        <w:rPr>
          <w:rFonts w:eastAsia="Calibri"/>
          <w:sz w:val="26"/>
          <w:szCs w:val="26"/>
          <w:lang w:eastAsia="en-US"/>
        </w:rPr>
      </w:pPr>
    </w:p>
    <w:p w14:paraId="331A7213" w14:textId="77777777" w:rsidR="00400A79" w:rsidRPr="00400A79" w:rsidRDefault="00400A79" w:rsidP="00400A79">
      <w:pPr>
        <w:spacing w:after="360" w:line="360" w:lineRule="auto"/>
        <w:ind w:right="-159"/>
        <w:jc w:val="both"/>
        <w:rPr>
          <w:rFonts w:eastAsia="Calibri"/>
          <w:sz w:val="26"/>
          <w:szCs w:val="26"/>
          <w:lang w:eastAsia="en-US"/>
        </w:rPr>
      </w:pPr>
    </w:p>
    <w:p w14:paraId="189723CA" w14:textId="77777777" w:rsidR="00400A79" w:rsidRPr="00400A79" w:rsidRDefault="00400A79" w:rsidP="00400A79">
      <w:pPr>
        <w:spacing w:after="360" w:line="360" w:lineRule="auto"/>
        <w:ind w:right="-159"/>
        <w:jc w:val="both"/>
        <w:rPr>
          <w:rFonts w:eastAsia="Calibri"/>
          <w:sz w:val="26"/>
          <w:szCs w:val="26"/>
          <w:lang w:eastAsia="en-US"/>
        </w:rPr>
      </w:pPr>
    </w:p>
    <w:p w14:paraId="7944AA89" w14:textId="77777777" w:rsidR="00400A79" w:rsidRPr="00400A79" w:rsidRDefault="00400A79" w:rsidP="00400A79">
      <w:pPr>
        <w:spacing w:after="360" w:line="360" w:lineRule="auto"/>
        <w:ind w:right="-159"/>
        <w:jc w:val="both"/>
        <w:rPr>
          <w:rFonts w:eastAsia="Calibri"/>
          <w:sz w:val="26"/>
          <w:szCs w:val="26"/>
          <w:lang w:eastAsia="en-US"/>
        </w:rPr>
      </w:pPr>
    </w:p>
    <w:p w14:paraId="5A4F45C6" w14:textId="77777777" w:rsidR="00400A79" w:rsidRPr="00400A79" w:rsidRDefault="00400A79" w:rsidP="00400A79">
      <w:pPr>
        <w:spacing w:after="360" w:line="360" w:lineRule="auto"/>
        <w:ind w:right="-159"/>
        <w:jc w:val="both"/>
        <w:rPr>
          <w:rFonts w:eastAsia="Calibri"/>
          <w:sz w:val="26"/>
          <w:szCs w:val="26"/>
          <w:lang w:eastAsia="en-US"/>
        </w:rPr>
      </w:pPr>
      <w:r w:rsidRPr="00400A79">
        <w:rPr>
          <w:rFonts w:eastAsia="Calibri"/>
          <w:sz w:val="26"/>
          <w:szCs w:val="26"/>
          <w:lang w:eastAsia="en-US"/>
        </w:rPr>
        <w:lastRenderedPageBreak/>
        <w:t>Las tasas de interés de mercado en México continuarán respondiendo a las variaciones de las de Estados Unidos de Norteamérica.</w:t>
      </w:r>
    </w:p>
    <w:tbl>
      <w:tblPr>
        <w:tblW w:w="9072" w:type="dxa"/>
        <w:jc w:val="center"/>
        <w:tblBorders>
          <w:insideV w:val="single" w:sz="4" w:space="0" w:color="auto"/>
        </w:tblBorders>
        <w:tblLook w:val="04A0" w:firstRow="1" w:lastRow="0" w:firstColumn="1" w:lastColumn="0" w:noHBand="0" w:noVBand="1"/>
      </w:tblPr>
      <w:tblGrid>
        <w:gridCol w:w="9072"/>
      </w:tblGrid>
      <w:tr w:rsidR="00400A79" w:rsidRPr="00400A79" w14:paraId="655413FF" w14:textId="77777777" w:rsidTr="004F1C40">
        <w:trPr>
          <w:jc w:val="center"/>
        </w:trPr>
        <w:tc>
          <w:tcPr>
            <w:tcW w:w="9072" w:type="dxa"/>
          </w:tcPr>
          <w:p w14:paraId="2E34AE73" w14:textId="77777777" w:rsidR="00400A79" w:rsidRPr="00400A79" w:rsidRDefault="00400A79" w:rsidP="00400A79">
            <w:pPr>
              <w:jc w:val="center"/>
              <w:rPr>
                <w:rFonts w:eastAsia="Calibri"/>
                <w:b/>
                <w:sz w:val="22"/>
                <w:szCs w:val="26"/>
                <w:vertAlign w:val="superscript"/>
                <w:lang w:eastAsia="en-US"/>
              </w:rPr>
            </w:pPr>
            <w:r w:rsidRPr="00400A79">
              <w:rPr>
                <w:rFonts w:eastAsia="Calibri"/>
                <w:b/>
                <w:sz w:val="22"/>
                <w:szCs w:val="26"/>
                <w:lang w:eastAsia="en-US"/>
              </w:rPr>
              <w:t>CORRELACIÓN DE TASAS DE INTERÉS DE BONOS GUBERNAMENTALES A 10 AÑOS</w:t>
            </w:r>
            <w:r w:rsidRPr="00400A79">
              <w:rPr>
                <w:rFonts w:eastAsia="Calibri"/>
                <w:b/>
                <w:sz w:val="22"/>
                <w:szCs w:val="26"/>
                <w:u w:val="single"/>
                <w:vertAlign w:val="superscript"/>
                <w:lang w:eastAsia="en-US"/>
              </w:rPr>
              <w:t>1</w:t>
            </w:r>
            <w:r w:rsidRPr="00400A79">
              <w:rPr>
                <w:rFonts w:eastAsia="Calibri"/>
                <w:b/>
                <w:sz w:val="22"/>
                <w:szCs w:val="26"/>
                <w:vertAlign w:val="superscript"/>
                <w:lang w:eastAsia="en-US"/>
              </w:rPr>
              <w:t>/</w:t>
            </w:r>
          </w:p>
          <w:p w14:paraId="36152C5F" w14:textId="77777777" w:rsidR="00400A79" w:rsidRPr="00400A79" w:rsidRDefault="00400A79" w:rsidP="00400A79">
            <w:pPr>
              <w:jc w:val="center"/>
              <w:rPr>
                <w:rFonts w:eastAsia="Calibri"/>
                <w:b/>
                <w:sz w:val="22"/>
                <w:szCs w:val="26"/>
                <w:lang w:eastAsia="en-US"/>
              </w:rPr>
            </w:pPr>
            <w:r w:rsidRPr="00400A79">
              <w:rPr>
                <w:rFonts w:eastAsia="Calibri"/>
                <w:b/>
                <w:sz w:val="22"/>
                <w:szCs w:val="26"/>
                <w:lang w:eastAsia="en-US"/>
              </w:rPr>
              <w:t>-Porcentajes-</w:t>
            </w:r>
          </w:p>
        </w:tc>
      </w:tr>
      <w:tr w:rsidR="00400A79" w:rsidRPr="00400A79" w14:paraId="63968121" w14:textId="77777777" w:rsidTr="004F1C40">
        <w:trPr>
          <w:jc w:val="center"/>
        </w:trPr>
        <w:tc>
          <w:tcPr>
            <w:tcW w:w="9072" w:type="dxa"/>
          </w:tcPr>
          <w:p w14:paraId="65901585" w14:textId="63EABAAC" w:rsidR="00400A79" w:rsidRPr="00400A79" w:rsidRDefault="00B96E1F" w:rsidP="00400A79">
            <w:pPr>
              <w:jc w:val="center"/>
              <w:rPr>
                <w:rFonts w:eastAsia="Calibri"/>
                <w:sz w:val="20"/>
                <w:szCs w:val="26"/>
                <w:lang w:eastAsia="en-US"/>
              </w:rPr>
            </w:pPr>
            <w:r w:rsidRPr="00B96E1F">
              <w:rPr>
                <w:rFonts w:eastAsia="Calibri"/>
                <w:noProof/>
                <w:sz w:val="20"/>
                <w:szCs w:val="26"/>
                <w:lang w:eastAsia="es-MX"/>
              </w:rPr>
              <w:drawing>
                <wp:inline distT="0" distB="0" distL="0" distR="0" wp14:anchorId="3F0842A8" wp14:editId="3AF20FA2">
                  <wp:extent cx="5608955" cy="3766820"/>
                  <wp:effectExtent l="0" t="0" r="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2" cstate="print">
                            <a:extLst>
                              <a:ext uri="{28A0092B-C50C-407E-A947-70E740481C1C}">
                                <a14:useLocalDpi xmlns:a14="http://schemas.microsoft.com/office/drawing/2010/main" val="0"/>
                              </a:ext>
                            </a:extLst>
                          </a:blip>
                          <a:srcRect/>
                          <a:stretch>
                            <a:fillRect/>
                          </a:stretch>
                        </pic:blipFill>
                        <pic:spPr bwMode="auto">
                          <a:xfrm>
                            <a:off x="0" y="0"/>
                            <a:ext cx="5608955" cy="3766820"/>
                          </a:xfrm>
                          <a:prstGeom prst="rect">
                            <a:avLst/>
                          </a:prstGeom>
                          <a:noFill/>
                          <a:ln>
                            <a:noFill/>
                          </a:ln>
                        </pic:spPr>
                      </pic:pic>
                    </a:graphicData>
                  </a:graphic>
                </wp:inline>
              </w:drawing>
            </w:r>
          </w:p>
        </w:tc>
      </w:tr>
      <w:tr w:rsidR="00400A79" w:rsidRPr="00400A79" w14:paraId="347C766F" w14:textId="77777777" w:rsidTr="004F1C40">
        <w:trPr>
          <w:jc w:val="center"/>
        </w:trPr>
        <w:tc>
          <w:tcPr>
            <w:tcW w:w="9072" w:type="dxa"/>
          </w:tcPr>
          <w:p w14:paraId="276C024B" w14:textId="77777777" w:rsidR="00400A79" w:rsidRPr="00400A79" w:rsidRDefault="00400A79" w:rsidP="00400A79">
            <w:pPr>
              <w:ind w:left="227" w:hanging="227"/>
              <w:jc w:val="both"/>
              <w:rPr>
                <w:rFonts w:eastAsia="Calibri"/>
                <w:sz w:val="20"/>
                <w:szCs w:val="26"/>
                <w:lang w:eastAsia="en-US"/>
              </w:rPr>
            </w:pPr>
            <w:r w:rsidRPr="00400A79">
              <w:rPr>
                <w:rFonts w:eastAsia="Calibri"/>
                <w:sz w:val="20"/>
                <w:szCs w:val="26"/>
                <w:u w:val="single"/>
                <w:lang w:eastAsia="en-US"/>
              </w:rPr>
              <w:t>1</w:t>
            </w:r>
            <w:r w:rsidRPr="00400A79">
              <w:rPr>
                <w:rFonts w:eastAsia="Calibri"/>
                <w:sz w:val="20"/>
                <w:szCs w:val="26"/>
                <w:lang w:eastAsia="en-US"/>
              </w:rPr>
              <w:t>/ Cálculos propios con información de enero de 2008 a febrero de 2015.</w:t>
            </w:r>
          </w:p>
          <w:p w14:paraId="75A0CA44" w14:textId="77777777" w:rsidR="00400A79" w:rsidRPr="00400A79" w:rsidRDefault="00400A79" w:rsidP="00400A79">
            <w:pPr>
              <w:jc w:val="both"/>
              <w:rPr>
                <w:rFonts w:eastAsia="Calibri"/>
                <w:sz w:val="20"/>
                <w:szCs w:val="26"/>
                <w:lang w:eastAsia="en-US"/>
              </w:rPr>
            </w:pPr>
            <w:r w:rsidRPr="00400A79">
              <w:rPr>
                <w:rFonts w:eastAsia="Calibri"/>
                <w:sz w:val="20"/>
                <w:szCs w:val="26"/>
                <w:lang w:eastAsia="en-US"/>
              </w:rPr>
              <w:t>FUENTE: Banco de México y la Reserva Federal.</w:t>
            </w:r>
          </w:p>
        </w:tc>
      </w:tr>
    </w:tbl>
    <w:p w14:paraId="25D8512C" w14:textId="77777777" w:rsidR="00400A79" w:rsidRPr="00400A79" w:rsidRDefault="00400A79" w:rsidP="00400A79">
      <w:pPr>
        <w:spacing w:after="360" w:line="360" w:lineRule="auto"/>
        <w:ind w:right="-159"/>
        <w:jc w:val="both"/>
        <w:rPr>
          <w:rFonts w:eastAsia="Calibri"/>
          <w:sz w:val="26"/>
          <w:szCs w:val="26"/>
          <w:lang w:eastAsia="en-US"/>
        </w:rPr>
      </w:pPr>
    </w:p>
    <w:p w14:paraId="76AEDE72" w14:textId="77777777" w:rsidR="00400A79" w:rsidRPr="00400A79" w:rsidRDefault="00400A79" w:rsidP="00400A79">
      <w:pPr>
        <w:spacing w:after="360" w:line="360" w:lineRule="auto"/>
        <w:ind w:right="-159"/>
        <w:jc w:val="both"/>
        <w:rPr>
          <w:rFonts w:eastAsia="Calibri"/>
          <w:sz w:val="26"/>
          <w:szCs w:val="26"/>
          <w:lang w:eastAsia="en-US"/>
        </w:rPr>
      </w:pPr>
    </w:p>
    <w:p w14:paraId="2D98B6F9" w14:textId="77777777" w:rsidR="00400A79" w:rsidRPr="00400A79" w:rsidRDefault="00400A79" w:rsidP="00400A79">
      <w:pPr>
        <w:spacing w:after="360" w:line="360" w:lineRule="auto"/>
        <w:ind w:right="-159"/>
        <w:jc w:val="both"/>
        <w:rPr>
          <w:rFonts w:eastAsia="Calibri"/>
          <w:sz w:val="26"/>
          <w:szCs w:val="26"/>
          <w:lang w:eastAsia="en-US"/>
        </w:rPr>
      </w:pPr>
    </w:p>
    <w:p w14:paraId="56B0362A" w14:textId="77777777" w:rsidR="00400A79" w:rsidRPr="00400A79" w:rsidRDefault="00400A79" w:rsidP="00400A79">
      <w:pPr>
        <w:spacing w:after="360" w:line="360" w:lineRule="auto"/>
        <w:ind w:right="-159"/>
        <w:jc w:val="both"/>
        <w:rPr>
          <w:rFonts w:eastAsia="Calibri"/>
          <w:sz w:val="26"/>
          <w:szCs w:val="26"/>
          <w:lang w:eastAsia="en-US"/>
        </w:rPr>
      </w:pPr>
    </w:p>
    <w:p w14:paraId="411ABC94" w14:textId="77777777" w:rsidR="00400A79" w:rsidRPr="00400A79" w:rsidRDefault="00400A79" w:rsidP="00400A79">
      <w:pPr>
        <w:spacing w:after="360" w:line="360" w:lineRule="auto"/>
        <w:ind w:right="-159"/>
        <w:jc w:val="both"/>
        <w:rPr>
          <w:rFonts w:eastAsia="Calibri"/>
          <w:sz w:val="26"/>
          <w:szCs w:val="26"/>
          <w:lang w:eastAsia="en-US"/>
        </w:rPr>
      </w:pPr>
    </w:p>
    <w:p w14:paraId="39C15302" w14:textId="77777777" w:rsidR="00400A79" w:rsidRPr="00400A79" w:rsidRDefault="00400A79" w:rsidP="00400A79">
      <w:pPr>
        <w:spacing w:after="360" w:line="360" w:lineRule="auto"/>
        <w:ind w:right="-159"/>
        <w:jc w:val="both"/>
        <w:rPr>
          <w:rFonts w:eastAsia="Calibri"/>
          <w:sz w:val="26"/>
          <w:szCs w:val="26"/>
          <w:lang w:eastAsia="en-US"/>
        </w:rPr>
      </w:pPr>
    </w:p>
    <w:p w14:paraId="489A3404" w14:textId="77777777" w:rsidR="00400A79" w:rsidRPr="00400A79" w:rsidRDefault="00400A79" w:rsidP="00400A79">
      <w:pPr>
        <w:spacing w:after="360" w:line="360" w:lineRule="auto"/>
        <w:ind w:right="-159"/>
        <w:jc w:val="both"/>
        <w:rPr>
          <w:rFonts w:eastAsia="Calibri"/>
          <w:sz w:val="26"/>
          <w:szCs w:val="26"/>
          <w:lang w:eastAsia="en-US"/>
        </w:rPr>
      </w:pPr>
      <w:r w:rsidRPr="00400A79">
        <w:rPr>
          <w:rFonts w:eastAsia="Calibri"/>
          <w:sz w:val="26"/>
          <w:szCs w:val="26"/>
          <w:lang w:eastAsia="en-US"/>
        </w:rPr>
        <w:lastRenderedPageBreak/>
        <w:t>Se espera que, junto con Estados Unidos de Norteamérica, México registre una recuperación económica gradual este y el próximo año.</w:t>
      </w:r>
    </w:p>
    <w:tbl>
      <w:tblPr>
        <w:tblW w:w="9072" w:type="dxa"/>
        <w:jc w:val="center"/>
        <w:tblBorders>
          <w:insideV w:val="single" w:sz="4" w:space="0" w:color="auto"/>
        </w:tblBorders>
        <w:tblLook w:val="04A0" w:firstRow="1" w:lastRow="0" w:firstColumn="1" w:lastColumn="0" w:noHBand="0" w:noVBand="1"/>
      </w:tblPr>
      <w:tblGrid>
        <w:gridCol w:w="9072"/>
      </w:tblGrid>
      <w:tr w:rsidR="00400A79" w:rsidRPr="00400A79" w14:paraId="23A6324A" w14:textId="77777777" w:rsidTr="004F1C40">
        <w:trPr>
          <w:jc w:val="center"/>
        </w:trPr>
        <w:tc>
          <w:tcPr>
            <w:tcW w:w="9072" w:type="dxa"/>
          </w:tcPr>
          <w:p w14:paraId="5ECA5172" w14:textId="77777777" w:rsidR="00400A79" w:rsidRPr="00400A79" w:rsidRDefault="00400A79" w:rsidP="00400A79">
            <w:pPr>
              <w:jc w:val="center"/>
              <w:rPr>
                <w:rFonts w:eastAsia="Calibri"/>
                <w:b/>
                <w:sz w:val="22"/>
                <w:szCs w:val="26"/>
                <w:vertAlign w:val="superscript"/>
                <w:lang w:eastAsia="en-US"/>
              </w:rPr>
            </w:pPr>
            <w:r w:rsidRPr="00400A79">
              <w:rPr>
                <w:rFonts w:eastAsia="Calibri"/>
                <w:b/>
                <w:sz w:val="22"/>
                <w:szCs w:val="26"/>
                <w:lang w:eastAsia="en-US"/>
              </w:rPr>
              <w:t>PRONÓSTICO DE CRECIMIENTO DEL PIB</w:t>
            </w:r>
            <w:r w:rsidRPr="00400A79">
              <w:rPr>
                <w:rFonts w:eastAsia="Calibri"/>
                <w:b/>
                <w:sz w:val="22"/>
                <w:szCs w:val="26"/>
                <w:u w:val="single"/>
                <w:vertAlign w:val="superscript"/>
                <w:lang w:eastAsia="en-US"/>
              </w:rPr>
              <w:t>1</w:t>
            </w:r>
            <w:r w:rsidRPr="00400A79">
              <w:rPr>
                <w:rFonts w:eastAsia="Calibri"/>
                <w:b/>
                <w:sz w:val="22"/>
                <w:szCs w:val="26"/>
                <w:vertAlign w:val="superscript"/>
                <w:lang w:eastAsia="en-US"/>
              </w:rPr>
              <w:t>/</w:t>
            </w:r>
          </w:p>
          <w:p w14:paraId="12A37402" w14:textId="77777777" w:rsidR="00400A79" w:rsidRPr="00400A79" w:rsidRDefault="00400A79" w:rsidP="00400A79">
            <w:pPr>
              <w:jc w:val="center"/>
              <w:rPr>
                <w:rFonts w:eastAsia="Calibri"/>
                <w:b/>
                <w:sz w:val="22"/>
                <w:szCs w:val="26"/>
                <w:lang w:eastAsia="en-US"/>
              </w:rPr>
            </w:pPr>
            <w:r w:rsidRPr="00400A79">
              <w:rPr>
                <w:rFonts w:eastAsia="Calibri"/>
                <w:b/>
                <w:sz w:val="22"/>
                <w:szCs w:val="26"/>
                <w:lang w:eastAsia="en-US"/>
              </w:rPr>
              <w:t>-Variación anual, porcentajes-</w:t>
            </w:r>
          </w:p>
        </w:tc>
      </w:tr>
      <w:tr w:rsidR="00400A79" w:rsidRPr="00400A79" w14:paraId="7E832125" w14:textId="77777777" w:rsidTr="004F1C40">
        <w:trPr>
          <w:jc w:val="center"/>
        </w:trPr>
        <w:tc>
          <w:tcPr>
            <w:tcW w:w="9072" w:type="dxa"/>
          </w:tcPr>
          <w:p w14:paraId="39E41840" w14:textId="77777777" w:rsidR="00400A79" w:rsidRPr="00400A79" w:rsidRDefault="00400A79" w:rsidP="00400A79">
            <w:pPr>
              <w:jc w:val="center"/>
              <w:rPr>
                <w:rFonts w:eastAsia="Calibri"/>
                <w:sz w:val="20"/>
                <w:szCs w:val="26"/>
                <w:lang w:eastAsia="en-US"/>
              </w:rPr>
            </w:pPr>
            <w:r w:rsidRPr="00400A79">
              <w:rPr>
                <w:rFonts w:eastAsia="Calibri"/>
                <w:noProof/>
                <w:sz w:val="20"/>
                <w:szCs w:val="26"/>
                <w:lang w:eastAsia="es-MX"/>
              </w:rPr>
              <w:drawing>
                <wp:inline distT="0" distB="0" distL="0" distR="0" wp14:anchorId="0BDAB0D8" wp14:editId="5FBEFF8C">
                  <wp:extent cx="5608955" cy="2914015"/>
                  <wp:effectExtent l="0" t="0" r="0" b="635"/>
                  <wp:docPr id="1550" name="Imagen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5608955" cy="2914015"/>
                          </a:xfrm>
                          <a:prstGeom prst="rect">
                            <a:avLst/>
                          </a:prstGeom>
                          <a:noFill/>
                          <a:ln>
                            <a:noFill/>
                          </a:ln>
                        </pic:spPr>
                      </pic:pic>
                    </a:graphicData>
                  </a:graphic>
                </wp:inline>
              </w:drawing>
            </w:r>
          </w:p>
        </w:tc>
      </w:tr>
      <w:tr w:rsidR="00400A79" w:rsidRPr="00400A79" w14:paraId="46B7EE83" w14:textId="77777777" w:rsidTr="004F1C40">
        <w:trPr>
          <w:jc w:val="center"/>
        </w:trPr>
        <w:tc>
          <w:tcPr>
            <w:tcW w:w="9072" w:type="dxa"/>
          </w:tcPr>
          <w:p w14:paraId="079B76BD" w14:textId="77777777" w:rsidR="00400A79" w:rsidRPr="00400A79" w:rsidRDefault="00400A79" w:rsidP="00400A79">
            <w:pPr>
              <w:ind w:left="227" w:hanging="227"/>
              <w:jc w:val="both"/>
              <w:rPr>
                <w:rFonts w:eastAsia="Calibri"/>
                <w:sz w:val="20"/>
                <w:szCs w:val="26"/>
                <w:lang w:eastAsia="en-US"/>
              </w:rPr>
            </w:pPr>
            <w:r w:rsidRPr="00400A79">
              <w:rPr>
                <w:rFonts w:eastAsia="Calibri"/>
                <w:sz w:val="20"/>
                <w:szCs w:val="26"/>
                <w:lang w:eastAsia="en-US"/>
              </w:rPr>
              <w:t>* EEUU = Estados Unidos de Norteamérica.</w:t>
            </w:r>
          </w:p>
          <w:p w14:paraId="7226F285" w14:textId="77777777" w:rsidR="00400A79" w:rsidRPr="00400A79" w:rsidRDefault="00400A79" w:rsidP="00400A79">
            <w:pPr>
              <w:ind w:left="227" w:hanging="227"/>
              <w:jc w:val="both"/>
              <w:rPr>
                <w:rFonts w:eastAsia="Calibri"/>
                <w:sz w:val="20"/>
                <w:szCs w:val="26"/>
                <w:lang w:eastAsia="en-US"/>
              </w:rPr>
            </w:pPr>
            <w:r w:rsidRPr="00400A79">
              <w:rPr>
                <w:rFonts w:eastAsia="Calibri"/>
                <w:sz w:val="20"/>
                <w:szCs w:val="26"/>
                <w:u w:val="single"/>
                <w:lang w:eastAsia="en-US"/>
              </w:rPr>
              <w:t>1</w:t>
            </w:r>
            <w:r w:rsidRPr="00400A79">
              <w:rPr>
                <w:rFonts w:eastAsia="Calibri"/>
                <w:sz w:val="20"/>
                <w:szCs w:val="26"/>
                <w:lang w:eastAsia="en-US"/>
              </w:rPr>
              <w:t xml:space="preserve">/ Las barras se refieren a pronósticos de </w:t>
            </w:r>
            <w:r w:rsidRPr="00400A79">
              <w:rPr>
                <w:rFonts w:eastAsia="Calibri"/>
                <w:i/>
                <w:sz w:val="20"/>
                <w:szCs w:val="26"/>
                <w:lang w:eastAsia="en-US"/>
              </w:rPr>
              <w:t>Consensus Forecast</w:t>
            </w:r>
            <w:r w:rsidRPr="00400A79">
              <w:rPr>
                <w:rFonts w:eastAsia="Calibri"/>
                <w:sz w:val="20"/>
                <w:szCs w:val="26"/>
                <w:lang w:eastAsia="en-US"/>
              </w:rPr>
              <w:t xml:space="preserve"> y los corchetes son pronósticos de Banco de México.</w:t>
            </w:r>
          </w:p>
          <w:p w14:paraId="5B32CB8E" w14:textId="7EAE14A7" w:rsidR="00400A79" w:rsidRPr="00400A79" w:rsidRDefault="00400A79" w:rsidP="00CF72BB">
            <w:pPr>
              <w:ind w:left="964" w:hanging="964"/>
              <w:jc w:val="both"/>
              <w:rPr>
                <w:rFonts w:eastAsia="Calibri"/>
                <w:sz w:val="20"/>
                <w:szCs w:val="26"/>
                <w:lang w:eastAsia="en-US"/>
              </w:rPr>
            </w:pPr>
            <w:r w:rsidRPr="00400A79">
              <w:rPr>
                <w:rFonts w:eastAsia="Calibri"/>
                <w:sz w:val="20"/>
                <w:szCs w:val="26"/>
                <w:lang w:eastAsia="en-US"/>
              </w:rPr>
              <w:t xml:space="preserve">FUENTE: </w:t>
            </w:r>
            <w:r w:rsidRPr="00400A79">
              <w:rPr>
                <w:rFonts w:eastAsia="Calibri"/>
                <w:i/>
                <w:sz w:val="20"/>
                <w:szCs w:val="26"/>
                <w:lang w:eastAsia="en-US"/>
              </w:rPr>
              <w:t>Consensus Forecast</w:t>
            </w:r>
            <w:r w:rsidRPr="00400A79">
              <w:rPr>
                <w:rFonts w:eastAsia="Calibri"/>
                <w:sz w:val="20"/>
                <w:szCs w:val="26"/>
                <w:lang w:eastAsia="en-US"/>
              </w:rPr>
              <w:t>, febrero 2015</w:t>
            </w:r>
            <w:r w:rsidR="00CF72BB">
              <w:rPr>
                <w:rFonts w:eastAsia="Calibri"/>
                <w:sz w:val="20"/>
                <w:szCs w:val="26"/>
                <w:lang w:eastAsia="en-US"/>
              </w:rPr>
              <w:t>;</w:t>
            </w:r>
            <w:r w:rsidRPr="00400A79">
              <w:rPr>
                <w:rFonts w:eastAsia="Calibri"/>
                <w:sz w:val="20"/>
                <w:szCs w:val="26"/>
                <w:lang w:eastAsia="en-US"/>
              </w:rPr>
              <w:t xml:space="preserve"> y Banco de México (2015</w:t>
            </w:r>
            <w:r w:rsidR="00CF72BB">
              <w:rPr>
                <w:rFonts w:eastAsia="Calibri"/>
                <w:sz w:val="20"/>
                <w:szCs w:val="26"/>
                <w:lang w:eastAsia="en-US"/>
              </w:rPr>
              <w:t>)</w:t>
            </w:r>
            <w:r w:rsidRPr="00400A79">
              <w:rPr>
                <w:rFonts w:eastAsia="Calibri"/>
                <w:sz w:val="20"/>
                <w:szCs w:val="26"/>
                <w:lang w:eastAsia="en-US"/>
              </w:rPr>
              <w:t xml:space="preserve">, </w:t>
            </w:r>
            <w:r w:rsidRPr="00CF72BB">
              <w:rPr>
                <w:rFonts w:eastAsia="Calibri"/>
                <w:sz w:val="20"/>
                <w:szCs w:val="26"/>
                <w:lang w:eastAsia="en-US"/>
              </w:rPr>
              <w:t>Informe Trimestral,                       Octubre-Diciembre 2014 febrero.</w:t>
            </w:r>
          </w:p>
        </w:tc>
      </w:tr>
    </w:tbl>
    <w:p w14:paraId="1945EEF5" w14:textId="77777777" w:rsidR="00400A79" w:rsidRPr="00400A79" w:rsidRDefault="00400A79" w:rsidP="00400A79">
      <w:pPr>
        <w:spacing w:after="360" w:line="360" w:lineRule="auto"/>
        <w:ind w:right="-159"/>
        <w:jc w:val="both"/>
        <w:rPr>
          <w:rFonts w:eastAsia="Calibri"/>
          <w:sz w:val="26"/>
          <w:szCs w:val="26"/>
          <w:lang w:eastAsia="en-US"/>
        </w:rPr>
      </w:pPr>
    </w:p>
    <w:p w14:paraId="2AECFEE7" w14:textId="77777777" w:rsidR="00400A79" w:rsidRPr="00400A79" w:rsidRDefault="00400A79" w:rsidP="00400A79">
      <w:pPr>
        <w:spacing w:after="360" w:line="360" w:lineRule="auto"/>
        <w:ind w:right="-159"/>
        <w:jc w:val="both"/>
        <w:rPr>
          <w:rFonts w:eastAsia="Calibri"/>
          <w:sz w:val="26"/>
          <w:szCs w:val="26"/>
          <w:lang w:eastAsia="en-US"/>
        </w:rPr>
      </w:pPr>
      <w:r w:rsidRPr="00400A79">
        <w:rPr>
          <w:rFonts w:eastAsia="Calibri"/>
          <w:sz w:val="26"/>
          <w:szCs w:val="26"/>
          <w:lang w:eastAsia="en-US"/>
        </w:rPr>
        <w:t>Existen riesgos para este escenario de crecimiento.</w:t>
      </w:r>
    </w:p>
    <w:p w14:paraId="60FBABD9" w14:textId="77777777" w:rsidR="00400A79" w:rsidRPr="00400A79" w:rsidRDefault="00400A79" w:rsidP="00276F3E">
      <w:pPr>
        <w:numPr>
          <w:ilvl w:val="0"/>
          <w:numId w:val="90"/>
        </w:numPr>
        <w:spacing w:after="360" w:line="360" w:lineRule="auto"/>
        <w:ind w:left="714" w:right="-159" w:hanging="357"/>
        <w:jc w:val="both"/>
        <w:rPr>
          <w:rFonts w:eastAsia="Calibri"/>
          <w:sz w:val="26"/>
          <w:szCs w:val="26"/>
          <w:lang w:eastAsia="en-US"/>
        </w:rPr>
      </w:pPr>
      <w:r w:rsidRPr="00400A79">
        <w:rPr>
          <w:rFonts w:eastAsia="Calibri"/>
          <w:sz w:val="26"/>
          <w:szCs w:val="26"/>
          <w:lang w:eastAsia="en-US"/>
        </w:rPr>
        <w:t>A la baja</w:t>
      </w:r>
    </w:p>
    <w:p w14:paraId="31FC8C0F" w14:textId="77777777" w:rsidR="00400A79" w:rsidRPr="00400A79" w:rsidRDefault="00400A79" w:rsidP="00276F3E">
      <w:pPr>
        <w:numPr>
          <w:ilvl w:val="0"/>
          <w:numId w:val="90"/>
        </w:numPr>
        <w:spacing w:after="360" w:line="360" w:lineRule="auto"/>
        <w:ind w:left="1094" w:right="-159" w:hanging="357"/>
        <w:jc w:val="both"/>
        <w:rPr>
          <w:rFonts w:eastAsia="Calibri"/>
          <w:sz w:val="26"/>
          <w:szCs w:val="26"/>
          <w:lang w:eastAsia="en-US"/>
        </w:rPr>
      </w:pPr>
      <w:r w:rsidRPr="00400A79">
        <w:rPr>
          <w:rFonts w:eastAsia="Calibri"/>
          <w:sz w:val="26"/>
          <w:szCs w:val="26"/>
          <w:lang w:eastAsia="en-US"/>
        </w:rPr>
        <w:t>Estancamiento de niveles de confianza del consumidor y del productor.</w:t>
      </w:r>
    </w:p>
    <w:p w14:paraId="4095E853" w14:textId="77777777" w:rsidR="00400A79" w:rsidRPr="00400A79" w:rsidRDefault="00400A79" w:rsidP="00276F3E">
      <w:pPr>
        <w:numPr>
          <w:ilvl w:val="0"/>
          <w:numId w:val="90"/>
        </w:numPr>
        <w:spacing w:after="360" w:line="360" w:lineRule="auto"/>
        <w:ind w:left="1094" w:right="-159" w:hanging="357"/>
        <w:jc w:val="both"/>
        <w:rPr>
          <w:rFonts w:eastAsia="Calibri"/>
          <w:sz w:val="26"/>
          <w:szCs w:val="26"/>
          <w:lang w:eastAsia="en-US"/>
        </w:rPr>
      </w:pPr>
      <w:r w:rsidRPr="00400A79">
        <w:rPr>
          <w:rFonts w:eastAsia="Calibri"/>
          <w:sz w:val="26"/>
          <w:szCs w:val="26"/>
          <w:lang w:eastAsia="en-US"/>
        </w:rPr>
        <w:t>Posible impacto negativo de eventos sociales sobre actividad económica.</w:t>
      </w:r>
    </w:p>
    <w:p w14:paraId="51FE9FED" w14:textId="77777777" w:rsidR="00400A79" w:rsidRDefault="00400A79" w:rsidP="00276F3E">
      <w:pPr>
        <w:numPr>
          <w:ilvl w:val="0"/>
          <w:numId w:val="90"/>
        </w:numPr>
        <w:spacing w:after="360" w:line="360" w:lineRule="auto"/>
        <w:ind w:left="1094" w:right="-159" w:hanging="357"/>
        <w:jc w:val="both"/>
        <w:rPr>
          <w:rFonts w:eastAsia="Calibri"/>
          <w:sz w:val="26"/>
          <w:szCs w:val="26"/>
          <w:lang w:eastAsia="en-US"/>
        </w:rPr>
      </w:pPr>
      <w:r w:rsidRPr="00400A79">
        <w:rPr>
          <w:rFonts w:eastAsia="Calibri"/>
          <w:sz w:val="26"/>
          <w:szCs w:val="26"/>
          <w:lang w:eastAsia="en-US"/>
        </w:rPr>
        <w:t>Reducciones adicionales de la producción y de los precios del petróleo.</w:t>
      </w:r>
    </w:p>
    <w:p w14:paraId="65D67153" w14:textId="77777777" w:rsidR="00871DFE" w:rsidRPr="00400A79" w:rsidRDefault="00871DFE" w:rsidP="00871DFE">
      <w:pPr>
        <w:spacing w:after="360" w:line="360" w:lineRule="auto"/>
        <w:ind w:right="-159"/>
        <w:jc w:val="both"/>
        <w:rPr>
          <w:rFonts w:eastAsia="Calibri"/>
          <w:sz w:val="26"/>
          <w:szCs w:val="26"/>
          <w:lang w:eastAsia="en-US"/>
        </w:rPr>
      </w:pPr>
    </w:p>
    <w:p w14:paraId="304A36E4" w14:textId="77777777" w:rsidR="00400A79" w:rsidRPr="00400A79" w:rsidRDefault="00400A79" w:rsidP="00276F3E">
      <w:pPr>
        <w:numPr>
          <w:ilvl w:val="0"/>
          <w:numId w:val="90"/>
        </w:numPr>
        <w:spacing w:after="360" w:line="360" w:lineRule="auto"/>
        <w:ind w:left="714" w:right="-159" w:hanging="357"/>
        <w:jc w:val="both"/>
        <w:rPr>
          <w:rFonts w:eastAsia="Calibri"/>
          <w:sz w:val="26"/>
          <w:szCs w:val="26"/>
          <w:lang w:eastAsia="en-US"/>
        </w:rPr>
      </w:pPr>
      <w:r w:rsidRPr="00400A79">
        <w:rPr>
          <w:rFonts w:eastAsia="Calibri"/>
          <w:sz w:val="26"/>
          <w:szCs w:val="26"/>
          <w:lang w:eastAsia="en-US"/>
        </w:rPr>
        <w:lastRenderedPageBreak/>
        <w:t>Al alza</w:t>
      </w:r>
    </w:p>
    <w:p w14:paraId="2A28A2F8" w14:textId="77777777" w:rsidR="00400A79" w:rsidRPr="00400A79" w:rsidRDefault="00400A79" w:rsidP="00276F3E">
      <w:pPr>
        <w:numPr>
          <w:ilvl w:val="0"/>
          <w:numId w:val="90"/>
        </w:numPr>
        <w:spacing w:after="360" w:line="360" w:lineRule="auto"/>
        <w:ind w:left="1094" w:right="-159" w:hanging="357"/>
        <w:jc w:val="both"/>
        <w:rPr>
          <w:rFonts w:eastAsia="Calibri"/>
          <w:sz w:val="26"/>
          <w:szCs w:val="26"/>
          <w:lang w:eastAsia="en-US"/>
        </w:rPr>
      </w:pPr>
      <w:r w:rsidRPr="00400A79">
        <w:rPr>
          <w:rFonts w:eastAsia="Calibri"/>
          <w:sz w:val="26"/>
          <w:szCs w:val="26"/>
          <w:lang w:eastAsia="en-US"/>
        </w:rPr>
        <w:t>Mayor dinamismo de la economía de Estados Unidos de Norteamérica.</w:t>
      </w:r>
    </w:p>
    <w:p w14:paraId="7400CB46" w14:textId="77777777" w:rsidR="00400A79" w:rsidRPr="00400A79" w:rsidRDefault="00400A79" w:rsidP="00276F3E">
      <w:pPr>
        <w:numPr>
          <w:ilvl w:val="0"/>
          <w:numId w:val="90"/>
        </w:numPr>
        <w:spacing w:after="360" w:line="360" w:lineRule="auto"/>
        <w:ind w:left="1094" w:right="-159" w:hanging="357"/>
        <w:jc w:val="both"/>
        <w:rPr>
          <w:rFonts w:eastAsia="Calibri"/>
          <w:sz w:val="26"/>
          <w:szCs w:val="26"/>
          <w:lang w:eastAsia="en-US"/>
        </w:rPr>
      </w:pPr>
      <w:r w:rsidRPr="00400A79">
        <w:rPr>
          <w:rFonts w:eastAsia="Calibri"/>
          <w:sz w:val="26"/>
          <w:szCs w:val="26"/>
          <w:lang w:eastAsia="en-US"/>
        </w:rPr>
        <w:t>Resultados de las reformas estructurales mejores que los esperados.</w:t>
      </w:r>
    </w:p>
    <w:p w14:paraId="5D832BB2" w14:textId="77777777" w:rsidR="00400A79" w:rsidRPr="00400A79" w:rsidRDefault="00400A79" w:rsidP="00400A79">
      <w:pPr>
        <w:spacing w:after="360" w:line="360" w:lineRule="auto"/>
        <w:ind w:right="-159"/>
        <w:jc w:val="both"/>
        <w:rPr>
          <w:rFonts w:eastAsia="Calibri"/>
          <w:b/>
          <w:sz w:val="26"/>
          <w:szCs w:val="26"/>
          <w:lang w:eastAsia="en-US"/>
        </w:rPr>
      </w:pPr>
      <w:r w:rsidRPr="00400A79">
        <w:rPr>
          <w:rFonts w:eastAsia="Calibri"/>
          <w:b/>
          <w:sz w:val="26"/>
          <w:szCs w:val="26"/>
          <w:lang w:eastAsia="en-US"/>
        </w:rPr>
        <w:t>Conclusiones</w:t>
      </w:r>
    </w:p>
    <w:p w14:paraId="0C3041D4" w14:textId="77777777" w:rsidR="00400A79" w:rsidRPr="00400A79" w:rsidRDefault="00400A79" w:rsidP="00276F3E">
      <w:pPr>
        <w:numPr>
          <w:ilvl w:val="0"/>
          <w:numId w:val="91"/>
        </w:numPr>
        <w:spacing w:after="360" w:line="360" w:lineRule="auto"/>
        <w:ind w:left="714" w:right="-159" w:hanging="357"/>
        <w:jc w:val="both"/>
        <w:rPr>
          <w:rFonts w:eastAsia="Calibri"/>
          <w:sz w:val="26"/>
          <w:szCs w:val="26"/>
          <w:lang w:eastAsia="en-US"/>
        </w:rPr>
      </w:pPr>
      <w:r w:rsidRPr="00400A79">
        <w:rPr>
          <w:rFonts w:eastAsia="Calibri"/>
          <w:sz w:val="26"/>
          <w:szCs w:val="26"/>
          <w:lang w:eastAsia="en-US"/>
        </w:rPr>
        <w:t>La salida de la política monetaria no convencional de los países avanzados plantea un entorno de incertidumbre.</w:t>
      </w:r>
    </w:p>
    <w:p w14:paraId="325A26A7" w14:textId="77777777" w:rsidR="00400A79" w:rsidRPr="00400A79" w:rsidRDefault="00400A79" w:rsidP="00276F3E">
      <w:pPr>
        <w:numPr>
          <w:ilvl w:val="0"/>
          <w:numId w:val="91"/>
        </w:numPr>
        <w:spacing w:after="360" w:line="360" w:lineRule="auto"/>
        <w:ind w:left="714" w:right="-159" w:hanging="357"/>
        <w:jc w:val="both"/>
        <w:rPr>
          <w:rFonts w:eastAsia="Calibri"/>
          <w:sz w:val="26"/>
          <w:szCs w:val="26"/>
          <w:lang w:eastAsia="en-US"/>
        </w:rPr>
      </w:pPr>
      <w:r w:rsidRPr="00400A79">
        <w:rPr>
          <w:rFonts w:eastAsia="Calibri"/>
          <w:sz w:val="26"/>
          <w:szCs w:val="26"/>
          <w:lang w:eastAsia="en-US"/>
        </w:rPr>
        <w:t>La política económica en las economías emergentes debe ayuda a enfrentar este entorno.</w:t>
      </w:r>
    </w:p>
    <w:p w14:paraId="478996D4" w14:textId="775B3523" w:rsidR="00400A79" w:rsidRPr="00400A79" w:rsidRDefault="00400A79" w:rsidP="00276F3E">
      <w:pPr>
        <w:numPr>
          <w:ilvl w:val="0"/>
          <w:numId w:val="91"/>
        </w:numPr>
        <w:spacing w:after="360" w:line="360" w:lineRule="auto"/>
        <w:ind w:left="714" w:right="-159" w:hanging="357"/>
        <w:jc w:val="both"/>
        <w:rPr>
          <w:rFonts w:eastAsia="Calibri"/>
          <w:sz w:val="26"/>
          <w:szCs w:val="26"/>
          <w:lang w:eastAsia="en-US"/>
        </w:rPr>
      </w:pPr>
      <w:r w:rsidRPr="00400A79">
        <w:rPr>
          <w:rFonts w:eastAsia="Calibri"/>
          <w:sz w:val="26"/>
          <w:szCs w:val="26"/>
          <w:lang w:eastAsia="en-US"/>
        </w:rPr>
        <w:t>México ha seguido una política monetaria basada en una tasa de interés objetivo</w:t>
      </w:r>
      <w:r w:rsidR="00CF72BB">
        <w:rPr>
          <w:rFonts w:eastAsia="Calibri"/>
          <w:sz w:val="26"/>
          <w:szCs w:val="26"/>
          <w:lang w:eastAsia="en-US"/>
        </w:rPr>
        <w:t>.</w:t>
      </w:r>
    </w:p>
    <w:p w14:paraId="046C2BC5" w14:textId="77777777" w:rsidR="00400A79" w:rsidRPr="00400A79" w:rsidRDefault="00400A79" w:rsidP="00276F3E">
      <w:pPr>
        <w:numPr>
          <w:ilvl w:val="0"/>
          <w:numId w:val="91"/>
        </w:numPr>
        <w:spacing w:after="360" w:line="360" w:lineRule="auto"/>
        <w:ind w:left="714" w:right="-159" w:hanging="357"/>
        <w:jc w:val="both"/>
        <w:rPr>
          <w:rFonts w:eastAsia="Calibri"/>
          <w:sz w:val="26"/>
          <w:szCs w:val="26"/>
          <w:lang w:eastAsia="en-US"/>
        </w:rPr>
      </w:pPr>
      <w:r w:rsidRPr="00400A79">
        <w:rPr>
          <w:rFonts w:eastAsia="Calibri"/>
          <w:sz w:val="26"/>
          <w:szCs w:val="26"/>
          <w:lang w:eastAsia="en-US"/>
        </w:rPr>
        <w:t>Es esencial consolidar la convergencia de la inflación a la meta.</w:t>
      </w:r>
    </w:p>
    <w:p w14:paraId="44D7D57F" w14:textId="77777777" w:rsidR="00400A79" w:rsidRPr="00400A79" w:rsidRDefault="00400A79" w:rsidP="00276F3E">
      <w:pPr>
        <w:numPr>
          <w:ilvl w:val="0"/>
          <w:numId w:val="91"/>
        </w:numPr>
        <w:spacing w:after="360" w:line="360" w:lineRule="auto"/>
        <w:ind w:left="714" w:right="-159" w:hanging="357"/>
        <w:jc w:val="both"/>
        <w:rPr>
          <w:rFonts w:eastAsia="Calibri"/>
          <w:sz w:val="26"/>
          <w:szCs w:val="26"/>
          <w:lang w:eastAsia="en-US"/>
        </w:rPr>
      </w:pPr>
      <w:r w:rsidRPr="00400A79">
        <w:rPr>
          <w:rFonts w:eastAsia="Calibri"/>
          <w:sz w:val="26"/>
          <w:szCs w:val="26"/>
          <w:lang w:eastAsia="en-US"/>
        </w:rPr>
        <w:t>Se espera una recuperación gradual de la economía mexicana este y el próximo año.</w:t>
      </w:r>
    </w:p>
    <w:p w14:paraId="27263411" w14:textId="77777777" w:rsidR="00400A79" w:rsidRPr="00400A79" w:rsidRDefault="00400A79" w:rsidP="00276F3E">
      <w:pPr>
        <w:numPr>
          <w:ilvl w:val="0"/>
          <w:numId w:val="91"/>
        </w:numPr>
        <w:spacing w:after="360" w:line="360" w:lineRule="auto"/>
        <w:ind w:left="714" w:right="-159" w:hanging="357"/>
        <w:jc w:val="both"/>
        <w:rPr>
          <w:rFonts w:eastAsia="Calibri"/>
          <w:sz w:val="26"/>
          <w:szCs w:val="26"/>
          <w:lang w:eastAsia="en-US"/>
        </w:rPr>
      </w:pPr>
      <w:r w:rsidRPr="00400A79">
        <w:rPr>
          <w:rFonts w:eastAsia="Calibri"/>
          <w:sz w:val="26"/>
          <w:szCs w:val="26"/>
          <w:lang w:eastAsia="en-US"/>
        </w:rPr>
        <w:t>Las reformas estructurales pueden impulsar notablemente el crecimiento económico de largo plazo.</w:t>
      </w:r>
    </w:p>
    <w:p w14:paraId="7FA83C39" w14:textId="77777777" w:rsidR="00400A79" w:rsidRPr="00400A79" w:rsidRDefault="00400A79" w:rsidP="00400A79">
      <w:pPr>
        <w:ind w:right="-159"/>
        <w:jc w:val="both"/>
        <w:rPr>
          <w:rFonts w:eastAsia="Calibri"/>
          <w:b/>
          <w:sz w:val="20"/>
          <w:szCs w:val="20"/>
          <w:lang w:eastAsia="en-US"/>
        </w:rPr>
      </w:pPr>
      <w:r w:rsidRPr="00400A79">
        <w:rPr>
          <w:rFonts w:eastAsia="Calibri"/>
          <w:b/>
          <w:sz w:val="20"/>
          <w:szCs w:val="20"/>
          <w:lang w:eastAsia="en-US"/>
        </w:rPr>
        <w:t>Fuente de información:</w:t>
      </w:r>
    </w:p>
    <w:p w14:paraId="741B64EB" w14:textId="77777777" w:rsidR="00400A79" w:rsidRPr="00AF4DFC" w:rsidRDefault="0093224F" w:rsidP="00400A79">
      <w:pPr>
        <w:ind w:right="-159"/>
        <w:jc w:val="both"/>
        <w:rPr>
          <w:rFonts w:eastAsia="Calibri"/>
          <w:color w:val="0000FF"/>
          <w:sz w:val="20"/>
          <w:szCs w:val="20"/>
          <w:lang w:eastAsia="en-US"/>
        </w:rPr>
      </w:pPr>
      <w:hyperlink r:id="rId404" w:history="1">
        <w:r w:rsidR="00400A79" w:rsidRPr="00AF4DFC">
          <w:rPr>
            <w:rFonts w:eastAsia="Calibri"/>
            <w:color w:val="0000FF"/>
            <w:sz w:val="20"/>
            <w:szCs w:val="20"/>
            <w:u w:val="single"/>
            <w:lang w:eastAsia="en-US"/>
          </w:rPr>
          <w:t>http://www.banxico.org.mx/publicaciones-y-discursos/discursos-y-presentaciones/presentaciones/%7BBD7FAA33-1F8F-00AF-C0C8-C6EAAC2E3B34%7D.pdf</w:t>
        </w:r>
      </w:hyperlink>
      <w:r w:rsidR="00400A79" w:rsidRPr="00AF4DFC">
        <w:rPr>
          <w:rFonts w:eastAsia="Calibri"/>
          <w:color w:val="0000FF"/>
          <w:sz w:val="20"/>
          <w:szCs w:val="20"/>
          <w:lang w:eastAsia="en-US"/>
        </w:rPr>
        <w:t xml:space="preserve"> </w:t>
      </w:r>
    </w:p>
    <w:p w14:paraId="381232E8" w14:textId="77777777" w:rsidR="00400A79" w:rsidRDefault="00400A79" w:rsidP="009E07C3">
      <w:pPr>
        <w:spacing w:after="360" w:line="360" w:lineRule="auto"/>
        <w:ind w:right="-159"/>
        <w:jc w:val="both"/>
        <w:rPr>
          <w:rFonts w:eastAsia="Times New Roman"/>
          <w:bCs/>
          <w:sz w:val="26"/>
          <w:szCs w:val="26"/>
          <w:lang w:val="es-ES"/>
        </w:rPr>
      </w:pPr>
    </w:p>
    <w:p w14:paraId="02905348" w14:textId="77777777" w:rsidR="008E27D4" w:rsidRDefault="008E27D4" w:rsidP="008007D2">
      <w:pPr>
        <w:ind w:right="-159"/>
        <w:jc w:val="both"/>
        <w:rPr>
          <w:rFonts w:eastAsia="Calibri"/>
          <w:b/>
          <w:sz w:val="26"/>
          <w:szCs w:val="26"/>
          <w:lang w:eastAsia="en-US"/>
        </w:rPr>
      </w:pPr>
    </w:p>
    <w:p w14:paraId="75D7B018" w14:textId="77777777" w:rsidR="008E27D4" w:rsidRDefault="008E27D4" w:rsidP="008007D2">
      <w:pPr>
        <w:ind w:right="-159"/>
        <w:jc w:val="both"/>
        <w:rPr>
          <w:rFonts w:eastAsia="Calibri"/>
          <w:b/>
          <w:sz w:val="26"/>
          <w:szCs w:val="26"/>
          <w:lang w:eastAsia="en-US"/>
        </w:rPr>
      </w:pPr>
    </w:p>
    <w:p w14:paraId="6E8B78BD" w14:textId="77777777" w:rsidR="008E27D4" w:rsidRDefault="008E27D4" w:rsidP="008007D2">
      <w:pPr>
        <w:ind w:right="-159"/>
        <w:jc w:val="both"/>
        <w:rPr>
          <w:rFonts w:eastAsia="Calibri"/>
          <w:b/>
          <w:sz w:val="26"/>
          <w:szCs w:val="26"/>
          <w:lang w:eastAsia="en-US"/>
        </w:rPr>
      </w:pPr>
    </w:p>
    <w:p w14:paraId="77A3CA57" w14:textId="77777777" w:rsidR="008E27D4" w:rsidRDefault="008E27D4" w:rsidP="008007D2">
      <w:pPr>
        <w:ind w:right="-159"/>
        <w:jc w:val="both"/>
        <w:rPr>
          <w:rFonts w:eastAsia="Calibri"/>
          <w:b/>
          <w:sz w:val="26"/>
          <w:szCs w:val="26"/>
          <w:lang w:eastAsia="en-US"/>
        </w:rPr>
      </w:pPr>
    </w:p>
    <w:p w14:paraId="07FB8717" w14:textId="77777777" w:rsidR="008007D2" w:rsidRPr="008007D2" w:rsidRDefault="008007D2" w:rsidP="008007D2">
      <w:pPr>
        <w:ind w:right="-159"/>
        <w:jc w:val="both"/>
        <w:rPr>
          <w:rFonts w:eastAsia="Calibri"/>
          <w:b/>
          <w:sz w:val="26"/>
          <w:szCs w:val="26"/>
          <w:lang w:eastAsia="en-US"/>
        </w:rPr>
      </w:pPr>
      <w:r w:rsidRPr="008007D2">
        <w:rPr>
          <w:rFonts w:eastAsia="Calibri"/>
          <w:b/>
          <w:sz w:val="26"/>
          <w:szCs w:val="26"/>
          <w:lang w:eastAsia="en-US"/>
        </w:rPr>
        <w:lastRenderedPageBreak/>
        <w:t>Monto de los pagos  efectuados  por  las</w:t>
      </w:r>
    </w:p>
    <w:p w14:paraId="577A2BBC" w14:textId="77777777" w:rsidR="008007D2" w:rsidRPr="008007D2" w:rsidRDefault="008007D2" w:rsidP="008007D2">
      <w:pPr>
        <w:spacing w:after="360" w:line="360" w:lineRule="auto"/>
        <w:ind w:right="-159"/>
        <w:jc w:val="both"/>
        <w:rPr>
          <w:rFonts w:eastAsia="Calibri"/>
          <w:b/>
          <w:sz w:val="26"/>
          <w:szCs w:val="26"/>
          <w:lang w:eastAsia="en-US"/>
        </w:rPr>
      </w:pPr>
      <w:r w:rsidRPr="008007D2">
        <w:rPr>
          <w:rFonts w:eastAsia="Calibri"/>
          <w:b/>
          <w:sz w:val="26"/>
          <w:szCs w:val="26"/>
          <w:lang w:eastAsia="en-US"/>
        </w:rPr>
        <w:t>instituciones de banca múltiple (IPAB)</w:t>
      </w:r>
    </w:p>
    <w:p w14:paraId="04ECB5D9" w14:textId="7CC26958" w:rsidR="008007D2" w:rsidRPr="008007D2" w:rsidRDefault="008007D2" w:rsidP="008007D2">
      <w:pPr>
        <w:spacing w:after="360" w:line="360" w:lineRule="auto"/>
        <w:ind w:right="-159"/>
        <w:jc w:val="both"/>
        <w:rPr>
          <w:rFonts w:eastAsia="Calibri"/>
          <w:sz w:val="26"/>
          <w:szCs w:val="26"/>
          <w:lang w:eastAsia="en-US"/>
        </w:rPr>
      </w:pPr>
      <w:r w:rsidRPr="008007D2">
        <w:rPr>
          <w:rFonts w:eastAsia="Calibri"/>
          <w:sz w:val="26"/>
          <w:szCs w:val="26"/>
          <w:lang w:eastAsia="en-US"/>
        </w:rPr>
        <w:t>El 2 de marzo de 2015, Instituto para la Protección al Ahorro Bancario (IPAB) publicó en el Diario Oficial de la Federación (DOF) el “Monto de los pagos efectuados por las instituciones de banca múltiple por concepto de cuotas ordinarias correspondientes al per</w:t>
      </w:r>
      <w:r w:rsidR="00781FF6">
        <w:rPr>
          <w:rFonts w:eastAsia="Calibri"/>
          <w:sz w:val="26"/>
          <w:szCs w:val="26"/>
          <w:lang w:eastAsia="en-US"/>
        </w:rPr>
        <w:t>í</w:t>
      </w:r>
      <w:r w:rsidRPr="008007D2">
        <w:rPr>
          <w:rFonts w:eastAsia="Calibri"/>
          <w:sz w:val="26"/>
          <w:szCs w:val="26"/>
          <w:lang w:eastAsia="en-US"/>
        </w:rPr>
        <w:t>odo comprendido entre el 1</w:t>
      </w:r>
      <w:r w:rsidR="003757CD">
        <w:rPr>
          <w:rFonts w:eastAsia="Calibri"/>
          <w:sz w:val="26"/>
          <w:szCs w:val="26"/>
          <w:lang w:eastAsia="en-US"/>
        </w:rPr>
        <w:t xml:space="preserve">º </w:t>
      </w:r>
      <w:r w:rsidRPr="008007D2">
        <w:rPr>
          <w:rFonts w:eastAsia="Calibri"/>
          <w:sz w:val="26"/>
          <w:szCs w:val="26"/>
          <w:lang w:eastAsia="en-US"/>
        </w:rPr>
        <w:t>de octubre y el 31 de diciembre de 2014”. A continuación se presenta la información.</w:t>
      </w:r>
    </w:p>
    <w:p w14:paraId="0809048D" w14:textId="064F2F5E" w:rsidR="008007D2" w:rsidRDefault="008007D2" w:rsidP="008007D2">
      <w:pPr>
        <w:spacing w:after="360" w:line="360" w:lineRule="auto"/>
        <w:ind w:right="-159"/>
        <w:jc w:val="both"/>
        <w:rPr>
          <w:rFonts w:eastAsia="Calibri"/>
          <w:sz w:val="26"/>
          <w:szCs w:val="26"/>
          <w:lang w:eastAsia="en-US"/>
        </w:rPr>
      </w:pPr>
      <w:r w:rsidRPr="008007D2">
        <w:rPr>
          <w:rFonts w:eastAsia="Calibri"/>
          <w:sz w:val="26"/>
          <w:szCs w:val="26"/>
          <w:lang w:eastAsia="en-US"/>
        </w:rPr>
        <w:t>El Instituto para la Protección al Ahorro Bancario, con fundamento en los artículos 4 y 26 de la “Ley de Protección al Ahorro Bancario”, de conformidad con lo establecido en el acuerdo número IPAB/JG/07/68.9, emitido por su Junta de Gobierno en su Sexagésima Octava Sesión Ordinaria, publica el monto de los pagos efectuados por las instituciones de banca múltiple por concepto de cuotas ordinarias correspondientes al período comprendido entre el 1</w:t>
      </w:r>
      <w:r w:rsidR="003757CD">
        <w:rPr>
          <w:rFonts w:eastAsia="Calibri"/>
          <w:sz w:val="26"/>
          <w:szCs w:val="26"/>
          <w:lang w:eastAsia="en-US"/>
        </w:rPr>
        <w:t xml:space="preserve">º </w:t>
      </w:r>
      <w:r w:rsidRPr="008007D2">
        <w:rPr>
          <w:rFonts w:eastAsia="Calibri"/>
          <w:sz w:val="26"/>
          <w:szCs w:val="26"/>
          <w:lang w:eastAsia="en-US"/>
        </w:rPr>
        <w:t>de octubre de 2014 y el 31 de diciembre de 2014.</w:t>
      </w:r>
    </w:p>
    <w:tbl>
      <w:tblPr>
        <w:tblW w:w="9744" w:type="dxa"/>
        <w:tblInd w:w="14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000" w:firstRow="0" w:lastRow="0" w:firstColumn="0" w:lastColumn="0" w:noHBand="0" w:noVBand="0"/>
      </w:tblPr>
      <w:tblGrid>
        <w:gridCol w:w="3784"/>
        <w:gridCol w:w="1490"/>
        <w:gridCol w:w="1490"/>
        <w:gridCol w:w="1490"/>
        <w:gridCol w:w="1490"/>
      </w:tblGrid>
      <w:tr w:rsidR="008007D2" w:rsidRPr="008007D2" w14:paraId="6794D2B1" w14:textId="77777777" w:rsidTr="00736C45">
        <w:trPr>
          <w:trHeight w:val="144"/>
        </w:trPr>
        <w:tc>
          <w:tcPr>
            <w:tcW w:w="9744" w:type="dxa"/>
            <w:gridSpan w:val="5"/>
            <w:tcBorders>
              <w:top w:val="nil"/>
              <w:left w:val="nil"/>
              <w:right w:val="nil"/>
            </w:tcBorders>
            <w:shd w:val="clear" w:color="auto" w:fill="auto"/>
            <w:noWrap/>
          </w:tcPr>
          <w:p w14:paraId="5D0049F9" w14:textId="77777777" w:rsidR="008007D2" w:rsidRPr="008007D2" w:rsidRDefault="008007D2" w:rsidP="008007D2">
            <w:pPr>
              <w:spacing w:line="230" w:lineRule="exact"/>
              <w:jc w:val="center"/>
              <w:rPr>
                <w:rFonts w:eastAsia="Times New Roman"/>
                <w:b/>
                <w:sz w:val="22"/>
                <w:szCs w:val="22"/>
                <w:lang w:val="es-ES"/>
              </w:rPr>
            </w:pPr>
            <w:r w:rsidRPr="008007D2">
              <w:rPr>
                <w:rFonts w:eastAsia="Times New Roman"/>
                <w:b/>
                <w:sz w:val="22"/>
                <w:szCs w:val="22"/>
                <w:lang w:val="es-ES"/>
              </w:rPr>
              <w:t xml:space="preserve">MONTO DE LOS PAGOS EFECTUADOS POR LAS INSTITUCIONES DE </w:t>
            </w:r>
          </w:p>
          <w:p w14:paraId="6F22AA80" w14:textId="77777777" w:rsidR="008007D2" w:rsidRPr="008007D2" w:rsidRDefault="008007D2" w:rsidP="008007D2">
            <w:pPr>
              <w:spacing w:line="230" w:lineRule="exact"/>
              <w:jc w:val="center"/>
              <w:rPr>
                <w:rFonts w:eastAsia="Times New Roman"/>
                <w:b/>
                <w:sz w:val="22"/>
                <w:szCs w:val="22"/>
                <w:lang w:val="es-ES"/>
              </w:rPr>
            </w:pPr>
            <w:r w:rsidRPr="008007D2">
              <w:rPr>
                <w:rFonts w:eastAsia="Times New Roman"/>
                <w:b/>
                <w:sz w:val="22"/>
                <w:szCs w:val="22"/>
                <w:lang w:val="es-ES"/>
              </w:rPr>
              <w:t>BANCA MÚLTIPLE POR CONCEPTO DE CUOTAS ORDINARIAS</w:t>
            </w:r>
          </w:p>
          <w:p w14:paraId="1FF3D08F" w14:textId="77777777" w:rsidR="008007D2" w:rsidRPr="008007D2" w:rsidRDefault="008007D2" w:rsidP="008007D2">
            <w:pPr>
              <w:spacing w:after="120" w:line="230" w:lineRule="exact"/>
              <w:jc w:val="center"/>
              <w:rPr>
                <w:rFonts w:eastAsia="Times New Roman"/>
                <w:b/>
                <w:sz w:val="22"/>
                <w:szCs w:val="22"/>
                <w:lang w:val="es-ES"/>
              </w:rPr>
            </w:pPr>
            <w:r w:rsidRPr="008007D2">
              <w:rPr>
                <w:rFonts w:eastAsia="Times New Roman"/>
                <w:b/>
                <w:sz w:val="22"/>
                <w:szCs w:val="22"/>
                <w:lang w:val="es-ES"/>
              </w:rPr>
              <w:t>-Del 1 de octubre al 31 de diciembre de 2014, cifras en pesos-</w:t>
            </w:r>
          </w:p>
        </w:tc>
      </w:tr>
      <w:tr w:rsidR="008007D2" w:rsidRPr="008007D2" w14:paraId="1F318B86" w14:textId="77777777" w:rsidTr="00736C45">
        <w:trPr>
          <w:trHeight w:val="130"/>
        </w:trPr>
        <w:tc>
          <w:tcPr>
            <w:tcW w:w="3784" w:type="dxa"/>
            <w:vMerge w:val="restart"/>
            <w:shd w:val="clear" w:color="auto" w:fill="auto"/>
            <w:noWrap/>
            <w:vAlign w:val="center"/>
          </w:tcPr>
          <w:p w14:paraId="5363BAD9" w14:textId="77777777" w:rsidR="008007D2" w:rsidRPr="008007D2" w:rsidRDefault="008007D2" w:rsidP="008007D2">
            <w:pPr>
              <w:spacing w:after="60" w:line="230" w:lineRule="exact"/>
              <w:jc w:val="center"/>
              <w:rPr>
                <w:rFonts w:eastAsia="Times New Roman"/>
                <w:b/>
                <w:sz w:val="18"/>
                <w:szCs w:val="18"/>
                <w:lang w:val="es-ES"/>
              </w:rPr>
            </w:pPr>
            <w:r w:rsidRPr="008007D2">
              <w:rPr>
                <w:rFonts w:eastAsia="Times New Roman"/>
                <w:b/>
                <w:sz w:val="18"/>
                <w:szCs w:val="18"/>
                <w:lang w:val="es-ES"/>
              </w:rPr>
              <w:t>Institución</w:t>
            </w:r>
          </w:p>
        </w:tc>
        <w:tc>
          <w:tcPr>
            <w:tcW w:w="4470" w:type="dxa"/>
            <w:gridSpan w:val="3"/>
            <w:shd w:val="clear" w:color="auto" w:fill="auto"/>
            <w:vAlign w:val="center"/>
          </w:tcPr>
          <w:p w14:paraId="3403FBE9" w14:textId="77777777" w:rsidR="008007D2" w:rsidRPr="008007D2" w:rsidRDefault="008007D2" w:rsidP="008007D2">
            <w:pPr>
              <w:spacing w:after="60" w:line="230" w:lineRule="exact"/>
              <w:jc w:val="center"/>
              <w:rPr>
                <w:rFonts w:eastAsia="Times New Roman"/>
                <w:b/>
                <w:sz w:val="18"/>
                <w:szCs w:val="18"/>
                <w:lang w:val="es-ES"/>
              </w:rPr>
            </w:pPr>
            <w:r w:rsidRPr="008007D2">
              <w:rPr>
                <w:rFonts w:eastAsia="Times New Roman"/>
                <w:b/>
                <w:sz w:val="18"/>
                <w:szCs w:val="18"/>
                <w:lang w:val="es-ES"/>
              </w:rPr>
              <w:t>2014</w:t>
            </w:r>
          </w:p>
        </w:tc>
        <w:tc>
          <w:tcPr>
            <w:tcW w:w="1490" w:type="dxa"/>
            <w:vMerge w:val="restart"/>
            <w:shd w:val="clear" w:color="auto" w:fill="auto"/>
            <w:vAlign w:val="center"/>
          </w:tcPr>
          <w:p w14:paraId="17E3F4C3" w14:textId="77777777" w:rsidR="008007D2" w:rsidRPr="008007D2" w:rsidRDefault="008007D2" w:rsidP="008007D2">
            <w:pPr>
              <w:spacing w:after="60" w:line="230" w:lineRule="exact"/>
              <w:jc w:val="center"/>
              <w:rPr>
                <w:rFonts w:eastAsia="Times New Roman"/>
                <w:b/>
                <w:sz w:val="18"/>
                <w:szCs w:val="18"/>
                <w:lang w:val="es-ES"/>
              </w:rPr>
            </w:pPr>
            <w:r w:rsidRPr="008007D2">
              <w:rPr>
                <w:rFonts w:eastAsia="Times New Roman"/>
                <w:b/>
                <w:sz w:val="18"/>
                <w:szCs w:val="18"/>
                <w:lang w:val="es-ES"/>
              </w:rPr>
              <w:t>Total</w:t>
            </w:r>
          </w:p>
        </w:tc>
      </w:tr>
      <w:tr w:rsidR="008007D2" w:rsidRPr="008007D2" w14:paraId="3DD0E645" w14:textId="77777777" w:rsidTr="00736C45">
        <w:trPr>
          <w:trHeight w:val="129"/>
        </w:trPr>
        <w:tc>
          <w:tcPr>
            <w:tcW w:w="3784" w:type="dxa"/>
            <w:vMerge/>
            <w:shd w:val="clear" w:color="auto" w:fill="auto"/>
            <w:noWrap/>
          </w:tcPr>
          <w:p w14:paraId="4AC24D60" w14:textId="77777777" w:rsidR="008007D2" w:rsidRPr="008007D2" w:rsidRDefault="008007D2" w:rsidP="008007D2">
            <w:pPr>
              <w:spacing w:after="60" w:line="230" w:lineRule="exact"/>
              <w:jc w:val="center"/>
              <w:rPr>
                <w:rFonts w:eastAsia="Times New Roman"/>
                <w:b/>
                <w:sz w:val="18"/>
                <w:szCs w:val="18"/>
                <w:lang w:val="es-ES"/>
              </w:rPr>
            </w:pPr>
          </w:p>
        </w:tc>
        <w:tc>
          <w:tcPr>
            <w:tcW w:w="1490" w:type="dxa"/>
            <w:shd w:val="clear" w:color="auto" w:fill="auto"/>
            <w:vAlign w:val="center"/>
          </w:tcPr>
          <w:p w14:paraId="1B1F3079" w14:textId="77777777" w:rsidR="008007D2" w:rsidRPr="008007D2" w:rsidRDefault="008007D2" w:rsidP="008007D2">
            <w:pPr>
              <w:spacing w:after="60" w:line="230" w:lineRule="exact"/>
              <w:jc w:val="center"/>
              <w:rPr>
                <w:rFonts w:eastAsia="Times New Roman"/>
                <w:b/>
                <w:sz w:val="18"/>
                <w:szCs w:val="18"/>
                <w:lang w:val="es-ES"/>
              </w:rPr>
            </w:pPr>
            <w:r w:rsidRPr="008007D2">
              <w:rPr>
                <w:rFonts w:eastAsia="Times New Roman"/>
                <w:b/>
                <w:sz w:val="18"/>
                <w:szCs w:val="18"/>
                <w:lang w:val="es-ES"/>
              </w:rPr>
              <w:t>Octubre</w:t>
            </w:r>
          </w:p>
        </w:tc>
        <w:tc>
          <w:tcPr>
            <w:tcW w:w="1490" w:type="dxa"/>
            <w:shd w:val="clear" w:color="auto" w:fill="auto"/>
            <w:vAlign w:val="center"/>
          </w:tcPr>
          <w:p w14:paraId="16934835" w14:textId="77777777" w:rsidR="008007D2" w:rsidRPr="008007D2" w:rsidRDefault="008007D2" w:rsidP="008007D2">
            <w:pPr>
              <w:spacing w:after="60" w:line="230" w:lineRule="exact"/>
              <w:jc w:val="center"/>
              <w:rPr>
                <w:rFonts w:eastAsia="Times New Roman"/>
                <w:b/>
                <w:sz w:val="18"/>
                <w:szCs w:val="18"/>
                <w:lang w:val="es-ES"/>
              </w:rPr>
            </w:pPr>
            <w:r w:rsidRPr="008007D2">
              <w:rPr>
                <w:rFonts w:eastAsia="Times New Roman"/>
                <w:b/>
                <w:sz w:val="18"/>
                <w:szCs w:val="18"/>
                <w:lang w:val="es-ES"/>
              </w:rPr>
              <w:t>Noviembre</w:t>
            </w:r>
          </w:p>
        </w:tc>
        <w:tc>
          <w:tcPr>
            <w:tcW w:w="1490" w:type="dxa"/>
            <w:shd w:val="clear" w:color="auto" w:fill="auto"/>
            <w:vAlign w:val="center"/>
          </w:tcPr>
          <w:p w14:paraId="2B45E036" w14:textId="77777777" w:rsidR="008007D2" w:rsidRPr="008007D2" w:rsidRDefault="008007D2" w:rsidP="008007D2">
            <w:pPr>
              <w:spacing w:after="60" w:line="230" w:lineRule="exact"/>
              <w:jc w:val="center"/>
              <w:rPr>
                <w:rFonts w:eastAsia="Times New Roman"/>
                <w:b/>
                <w:sz w:val="18"/>
                <w:szCs w:val="18"/>
                <w:lang w:val="es-ES"/>
              </w:rPr>
            </w:pPr>
            <w:r w:rsidRPr="008007D2">
              <w:rPr>
                <w:rFonts w:eastAsia="Times New Roman"/>
                <w:b/>
                <w:sz w:val="18"/>
                <w:szCs w:val="18"/>
                <w:lang w:val="es-ES"/>
              </w:rPr>
              <w:t>Diciembre</w:t>
            </w:r>
          </w:p>
        </w:tc>
        <w:tc>
          <w:tcPr>
            <w:tcW w:w="1490" w:type="dxa"/>
            <w:vMerge/>
            <w:shd w:val="clear" w:color="auto" w:fill="auto"/>
          </w:tcPr>
          <w:p w14:paraId="32B751FB" w14:textId="77777777" w:rsidR="008007D2" w:rsidRPr="008007D2" w:rsidRDefault="008007D2" w:rsidP="008007D2">
            <w:pPr>
              <w:spacing w:after="60" w:line="230" w:lineRule="exact"/>
              <w:jc w:val="center"/>
              <w:rPr>
                <w:rFonts w:eastAsia="Times New Roman"/>
                <w:b/>
                <w:sz w:val="18"/>
                <w:szCs w:val="18"/>
                <w:lang w:val="es-ES"/>
              </w:rPr>
            </w:pPr>
          </w:p>
        </w:tc>
      </w:tr>
      <w:tr w:rsidR="008007D2" w:rsidRPr="008007D2" w14:paraId="1A0AB178" w14:textId="77777777" w:rsidTr="00736C45">
        <w:trPr>
          <w:trHeight w:val="144"/>
        </w:trPr>
        <w:tc>
          <w:tcPr>
            <w:tcW w:w="3784" w:type="dxa"/>
            <w:shd w:val="clear" w:color="auto" w:fill="auto"/>
          </w:tcPr>
          <w:p w14:paraId="121EC7FA" w14:textId="77777777" w:rsidR="008007D2" w:rsidRPr="008007D2" w:rsidRDefault="008007D2" w:rsidP="008007D2">
            <w:pPr>
              <w:spacing w:after="60" w:line="230" w:lineRule="exact"/>
              <w:jc w:val="both"/>
              <w:rPr>
                <w:rFonts w:eastAsia="Times New Roman"/>
                <w:sz w:val="18"/>
                <w:szCs w:val="18"/>
                <w:lang w:val="es-ES"/>
              </w:rPr>
            </w:pPr>
            <w:r w:rsidRPr="008007D2">
              <w:rPr>
                <w:rFonts w:eastAsia="Times New Roman"/>
                <w:sz w:val="18"/>
                <w:szCs w:val="18"/>
                <w:lang w:val="es-ES"/>
              </w:rPr>
              <w:t>ABC CAPITAL, S.A.</w:t>
            </w:r>
          </w:p>
        </w:tc>
        <w:tc>
          <w:tcPr>
            <w:tcW w:w="1490" w:type="dxa"/>
            <w:shd w:val="clear" w:color="auto" w:fill="auto"/>
          </w:tcPr>
          <w:p w14:paraId="41EA6C4E"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882 828.35</w:t>
            </w:r>
          </w:p>
        </w:tc>
        <w:tc>
          <w:tcPr>
            <w:tcW w:w="1490" w:type="dxa"/>
            <w:shd w:val="clear" w:color="auto" w:fill="auto"/>
          </w:tcPr>
          <w:p w14:paraId="5949C5CD"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890 953.15</w:t>
            </w:r>
          </w:p>
        </w:tc>
        <w:tc>
          <w:tcPr>
            <w:tcW w:w="1490" w:type="dxa"/>
            <w:shd w:val="clear" w:color="auto" w:fill="auto"/>
          </w:tcPr>
          <w:p w14:paraId="7E361EAA"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900 432.83</w:t>
            </w:r>
          </w:p>
        </w:tc>
        <w:tc>
          <w:tcPr>
            <w:tcW w:w="1490" w:type="dxa"/>
            <w:shd w:val="clear" w:color="auto" w:fill="auto"/>
          </w:tcPr>
          <w:p w14:paraId="7D434DC0" w14:textId="77777777" w:rsidR="008007D2" w:rsidRPr="008007D2" w:rsidRDefault="008007D2" w:rsidP="008007D2">
            <w:pPr>
              <w:spacing w:after="60" w:line="230" w:lineRule="exact"/>
              <w:jc w:val="right"/>
              <w:rPr>
                <w:rFonts w:eastAsia="Times New Roman"/>
                <w:b/>
                <w:sz w:val="18"/>
                <w:szCs w:val="18"/>
                <w:lang w:val="es-ES"/>
              </w:rPr>
            </w:pPr>
            <w:r w:rsidRPr="008007D2">
              <w:rPr>
                <w:rFonts w:eastAsia="Times New Roman"/>
                <w:b/>
                <w:sz w:val="18"/>
                <w:szCs w:val="18"/>
                <w:lang w:val="es-ES"/>
              </w:rPr>
              <w:t>2 674 214.33</w:t>
            </w:r>
          </w:p>
        </w:tc>
      </w:tr>
      <w:tr w:rsidR="008007D2" w:rsidRPr="008007D2" w14:paraId="5499152D" w14:textId="77777777" w:rsidTr="00736C45">
        <w:trPr>
          <w:trHeight w:val="144"/>
        </w:trPr>
        <w:tc>
          <w:tcPr>
            <w:tcW w:w="3784" w:type="dxa"/>
            <w:shd w:val="clear" w:color="auto" w:fill="auto"/>
          </w:tcPr>
          <w:p w14:paraId="2746FFAB" w14:textId="77777777" w:rsidR="008007D2" w:rsidRPr="008007D2" w:rsidRDefault="008007D2" w:rsidP="008007D2">
            <w:pPr>
              <w:spacing w:after="60" w:line="230" w:lineRule="exact"/>
              <w:jc w:val="both"/>
              <w:rPr>
                <w:rFonts w:eastAsia="Times New Roman"/>
                <w:sz w:val="18"/>
                <w:szCs w:val="18"/>
                <w:lang w:val="es-ES"/>
              </w:rPr>
            </w:pPr>
            <w:r w:rsidRPr="008007D2">
              <w:rPr>
                <w:rFonts w:eastAsia="Times New Roman"/>
                <w:sz w:val="18"/>
                <w:szCs w:val="18"/>
                <w:lang w:val="es-ES"/>
              </w:rPr>
              <w:t>AMERICAN EXPRESS BANK (MEXICO), S.A.</w:t>
            </w:r>
          </w:p>
        </w:tc>
        <w:tc>
          <w:tcPr>
            <w:tcW w:w="1490" w:type="dxa"/>
            <w:shd w:val="clear" w:color="auto" w:fill="auto"/>
          </w:tcPr>
          <w:p w14:paraId="69CB0A00"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2 727 479.54</w:t>
            </w:r>
          </w:p>
        </w:tc>
        <w:tc>
          <w:tcPr>
            <w:tcW w:w="1490" w:type="dxa"/>
            <w:shd w:val="clear" w:color="auto" w:fill="auto"/>
          </w:tcPr>
          <w:p w14:paraId="2D4B9BC3"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2 582 518.03</w:t>
            </w:r>
          </w:p>
        </w:tc>
        <w:tc>
          <w:tcPr>
            <w:tcW w:w="1490" w:type="dxa"/>
            <w:shd w:val="clear" w:color="auto" w:fill="auto"/>
          </w:tcPr>
          <w:p w14:paraId="48A341AF"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2 647 462.44</w:t>
            </w:r>
          </w:p>
        </w:tc>
        <w:tc>
          <w:tcPr>
            <w:tcW w:w="1490" w:type="dxa"/>
            <w:shd w:val="clear" w:color="auto" w:fill="auto"/>
          </w:tcPr>
          <w:p w14:paraId="3A1BB91B" w14:textId="77777777" w:rsidR="008007D2" w:rsidRPr="008007D2" w:rsidRDefault="008007D2" w:rsidP="008007D2">
            <w:pPr>
              <w:spacing w:after="60" w:line="230" w:lineRule="exact"/>
              <w:jc w:val="right"/>
              <w:rPr>
                <w:rFonts w:eastAsia="Times New Roman"/>
                <w:b/>
                <w:sz w:val="18"/>
                <w:szCs w:val="18"/>
                <w:lang w:val="es-ES"/>
              </w:rPr>
            </w:pPr>
            <w:r w:rsidRPr="008007D2">
              <w:rPr>
                <w:rFonts w:eastAsia="Times New Roman"/>
                <w:b/>
                <w:sz w:val="18"/>
                <w:szCs w:val="18"/>
                <w:lang w:val="es-ES"/>
              </w:rPr>
              <w:t>7 957 460.01</w:t>
            </w:r>
          </w:p>
        </w:tc>
      </w:tr>
      <w:tr w:rsidR="008007D2" w:rsidRPr="008007D2" w14:paraId="4A072112" w14:textId="77777777" w:rsidTr="00736C45">
        <w:trPr>
          <w:trHeight w:val="144"/>
        </w:trPr>
        <w:tc>
          <w:tcPr>
            <w:tcW w:w="3784" w:type="dxa"/>
            <w:shd w:val="clear" w:color="auto" w:fill="auto"/>
          </w:tcPr>
          <w:p w14:paraId="0FCE4D6C" w14:textId="77777777" w:rsidR="008007D2" w:rsidRPr="008007D2" w:rsidRDefault="008007D2" w:rsidP="008007D2">
            <w:pPr>
              <w:spacing w:after="60" w:line="230" w:lineRule="exact"/>
              <w:jc w:val="both"/>
              <w:rPr>
                <w:rFonts w:eastAsia="Times New Roman"/>
                <w:sz w:val="18"/>
                <w:szCs w:val="18"/>
                <w:lang w:val="es-ES"/>
              </w:rPr>
            </w:pPr>
            <w:r w:rsidRPr="008007D2">
              <w:rPr>
                <w:rFonts w:eastAsia="Times New Roman"/>
                <w:sz w:val="18"/>
                <w:szCs w:val="18"/>
                <w:lang w:val="es-ES"/>
              </w:rPr>
              <w:t>BANCA AFIRME, S.A.</w:t>
            </w:r>
          </w:p>
        </w:tc>
        <w:tc>
          <w:tcPr>
            <w:tcW w:w="1490" w:type="dxa"/>
            <w:shd w:val="clear" w:color="auto" w:fill="auto"/>
          </w:tcPr>
          <w:p w14:paraId="787CD530"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6 303 848.83</w:t>
            </w:r>
          </w:p>
        </w:tc>
        <w:tc>
          <w:tcPr>
            <w:tcW w:w="1490" w:type="dxa"/>
            <w:shd w:val="clear" w:color="auto" w:fill="auto"/>
          </w:tcPr>
          <w:p w14:paraId="680B920A"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6 568 674.57</w:t>
            </w:r>
          </w:p>
        </w:tc>
        <w:tc>
          <w:tcPr>
            <w:tcW w:w="1490" w:type="dxa"/>
            <w:shd w:val="clear" w:color="auto" w:fill="auto"/>
          </w:tcPr>
          <w:p w14:paraId="1EEE705D"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6 748 663.12</w:t>
            </w:r>
          </w:p>
        </w:tc>
        <w:tc>
          <w:tcPr>
            <w:tcW w:w="1490" w:type="dxa"/>
            <w:shd w:val="clear" w:color="auto" w:fill="auto"/>
          </w:tcPr>
          <w:p w14:paraId="3C595463" w14:textId="77777777" w:rsidR="008007D2" w:rsidRPr="008007D2" w:rsidRDefault="008007D2" w:rsidP="008007D2">
            <w:pPr>
              <w:spacing w:after="60" w:line="230" w:lineRule="exact"/>
              <w:jc w:val="right"/>
              <w:rPr>
                <w:rFonts w:eastAsia="Times New Roman"/>
                <w:b/>
                <w:sz w:val="18"/>
                <w:szCs w:val="18"/>
                <w:lang w:val="es-ES"/>
              </w:rPr>
            </w:pPr>
            <w:r w:rsidRPr="008007D2">
              <w:rPr>
                <w:rFonts w:eastAsia="Times New Roman"/>
                <w:b/>
                <w:sz w:val="18"/>
                <w:szCs w:val="18"/>
                <w:lang w:val="es-ES"/>
              </w:rPr>
              <w:t>19 621 186.52</w:t>
            </w:r>
          </w:p>
        </w:tc>
      </w:tr>
      <w:tr w:rsidR="008007D2" w:rsidRPr="008007D2" w14:paraId="2060D0C0" w14:textId="77777777" w:rsidTr="00736C45">
        <w:trPr>
          <w:trHeight w:val="144"/>
        </w:trPr>
        <w:tc>
          <w:tcPr>
            <w:tcW w:w="3784" w:type="dxa"/>
            <w:shd w:val="clear" w:color="auto" w:fill="auto"/>
          </w:tcPr>
          <w:p w14:paraId="0E8C97D8" w14:textId="77777777" w:rsidR="008007D2" w:rsidRPr="008007D2" w:rsidRDefault="008007D2" w:rsidP="008007D2">
            <w:pPr>
              <w:spacing w:after="60" w:line="230" w:lineRule="exact"/>
              <w:jc w:val="both"/>
              <w:rPr>
                <w:rFonts w:eastAsia="Times New Roman"/>
                <w:sz w:val="18"/>
                <w:szCs w:val="18"/>
                <w:lang w:val="es-ES"/>
              </w:rPr>
            </w:pPr>
            <w:r w:rsidRPr="008007D2">
              <w:rPr>
                <w:rFonts w:eastAsia="Times New Roman"/>
                <w:sz w:val="18"/>
                <w:szCs w:val="18"/>
                <w:lang w:val="es-ES"/>
              </w:rPr>
              <w:t>BANCA MIFEL, S.A.</w:t>
            </w:r>
          </w:p>
        </w:tc>
        <w:tc>
          <w:tcPr>
            <w:tcW w:w="1490" w:type="dxa"/>
            <w:shd w:val="clear" w:color="auto" w:fill="auto"/>
          </w:tcPr>
          <w:p w14:paraId="42A9E6F3"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9 479 421.81</w:t>
            </w:r>
          </w:p>
        </w:tc>
        <w:tc>
          <w:tcPr>
            <w:tcW w:w="1490" w:type="dxa"/>
            <w:shd w:val="clear" w:color="auto" w:fill="auto"/>
          </w:tcPr>
          <w:p w14:paraId="0B0DDBEF"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9 306 509.25</w:t>
            </w:r>
          </w:p>
        </w:tc>
        <w:tc>
          <w:tcPr>
            <w:tcW w:w="1490" w:type="dxa"/>
            <w:shd w:val="clear" w:color="auto" w:fill="auto"/>
          </w:tcPr>
          <w:p w14:paraId="2DBB29A1"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9 657 691.52</w:t>
            </w:r>
          </w:p>
        </w:tc>
        <w:tc>
          <w:tcPr>
            <w:tcW w:w="1490" w:type="dxa"/>
            <w:shd w:val="clear" w:color="auto" w:fill="auto"/>
          </w:tcPr>
          <w:p w14:paraId="0038DC1C" w14:textId="77777777" w:rsidR="008007D2" w:rsidRPr="008007D2" w:rsidRDefault="008007D2" w:rsidP="008007D2">
            <w:pPr>
              <w:spacing w:after="60" w:line="230" w:lineRule="exact"/>
              <w:jc w:val="right"/>
              <w:rPr>
                <w:rFonts w:eastAsia="Times New Roman"/>
                <w:b/>
                <w:sz w:val="18"/>
                <w:szCs w:val="18"/>
                <w:lang w:val="es-ES"/>
              </w:rPr>
            </w:pPr>
            <w:r w:rsidRPr="008007D2">
              <w:rPr>
                <w:rFonts w:eastAsia="Times New Roman"/>
                <w:b/>
                <w:sz w:val="18"/>
                <w:szCs w:val="18"/>
                <w:lang w:val="es-ES"/>
              </w:rPr>
              <w:t>28 443 622.58</w:t>
            </w:r>
          </w:p>
        </w:tc>
      </w:tr>
      <w:tr w:rsidR="008007D2" w:rsidRPr="008007D2" w14:paraId="6684E673" w14:textId="77777777" w:rsidTr="00736C45">
        <w:trPr>
          <w:trHeight w:val="144"/>
        </w:trPr>
        <w:tc>
          <w:tcPr>
            <w:tcW w:w="3784" w:type="dxa"/>
            <w:shd w:val="clear" w:color="auto" w:fill="auto"/>
          </w:tcPr>
          <w:p w14:paraId="3D352088" w14:textId="77777777" w:rsidR="008007D2" w:rsidRPr="008007D2" w:rsidRDefault="008007D2" w:rsidP="008007D2">
            <w:pPr>
              <w:spacing w:after="60" w:line="230" w:lineRule="exact"/>
              <w:jc w:val="both"/>
              <w:rPr>
                <w:rFonts w:eastAsia="Times New Roman"/>
                <w:sz w:val="18"/>
                <w:szCs w:val="18"/>
                <w:lang w:val="es-ES"/>
              </w:rPr>
            </w:pPr>
            <w:r w:rsidRPr="008007D2">
              <w:rPr>
                <w:rFonts w:eastAsia="Times New Roman"/>
                <w:sz w:val="18"/>
                <w:szCs w:val="18"/>
                <w:lang w:val="es-ES"/>
              </w:rPr>
              <w:t>BANCO ACTINVER, S.A.</w:t>
            </w:r>
          </w:p>
        </w:tc>
        <w:tc>
          <w:tcPr>
            <w:tcW w:w="1490" w:type="dxa"/>
            <w:shd w:val="clear" w:color="auto" w:fill="auto"/>
          </w:tcPr>
          <w:p w14:paraId="3A2DCDE9"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2 186 202.44</w:t>
            </w:r>
          </w:p>
        </w:tc>
        <w:tc>
          <w:tcPr>
            <w:tcW w:w="1490" w:type="dxa"/>
            <w:shd w:val="clear" w:color="auto" w:fill="auto"/>
          </w:tcPr>
          <w:p w14:paraId="0A412895"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2 166 538.49</w:t>
            </w:r>
          </w:p>
        </w:tc>
        <w:tc>
          <w:tcPr>
            <w:tcW w:w="1490" w:type="dxa"/>
            <w:shd w:val="clear" w:color="auto" w:fill="auto"/>
          </w:tcPr>
          <w:p w14:paraId="00BE93CE"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2 462,798.31</w:t>
            </w:r>
          </w:p>
        </w:tc>
        <w:tc>
          <w:tcPr>
            <w:tcW w:w="1490" w:type="dxa"/>
            <w:shd w:val="clear" w:color="auto" w:fill="auto"/>
          </w:tcPr>
          <w:p w14:paraId="2A38F7BD" w14:textId="77777777" w:rsidR="008007D2" w:rsidRPr="008007D2" w:rsidRDefault="008007D2" w:rsidP="008007D2">
            <w:pPr>
              <w:spacing w:after="60" w:line="230" w:lineRule="exact"/>
              <w:jc w:val="right"/>
              <w:rPr>
                <w:rFonts w:eastAsia="Times New Roman"/>
                <w:b/>
                <w:sz w:val="18"/>
                <w:szCs w:val="18"/>
                <w:lang w:val="es-ES"/>
              </w:rPr>
            </w:pPr>
            <w:r w:rsidRPr="008007D2">
              <w:rPr>
                <w:rFonts w:eastAsia="Times New Roman"/>
                <w:b/>
                <w:sz w:val="18"/>
                <w:szCs w:val="18"/>
                <w:lang w:val="es-ES"/>
              </w:rPr>
              <w:t>6 815 539.24</w:t>
            </w:r>
          </w:p>
        </w:tc>
      </w:tr>
      <w:tr w:rsidR="008007D2" w:rsidRPr="008007D2" w14:paraId="1B43D40A" w14:textId="77777777" w:rsidTr="00736C45">
        <w:trPr>
          <w:trHeight w:val="144"/>
        </w:trPr>
        <w:tc>
          <w:tcPr>
            <w:tcW w:w="3784" w:type="dxa"/>
            <w:shd w:val="clear" w:color="auto" w:fill="auto"/>
          </w:tcPr>
          <w:p w14:paraId="1389B87D" w14:textId="77777777" w:rsidR="008007D2" w:rsidRPr="008007D2" w:rsidRDefault="008007D2" w:rsidP="008007D2">
            <w:pPr>
              <w:spacing w:after="60" w:line="230" w:lineRule="exact"/>
              <w:jc w:val="both"/>
              <w:rPr>
                <w:rFonts w:eastAsia="Times New Roman"/>
                <w:sz w:val="18"/>
                <w:szCs w:val="18"/>
                <w:lang w:val="es-ES"/>
              </w:rPr>
            </w:pPr>
            <w:r w:rsidRPr="008007D2">
              <w:rPr>
                <w:rFonts w:eastAsia="Times New Roman"/>
                <w:sz w:val="18"/>
                <w:szCs w:val="18"/>
                <w:lang w:val="es-ES"/>
              </w:rPr>
              <w:t>BANCO AHORRO FAMSA, S.A.</w:t>
            </w:r>
          </w:p>
        </w:tc>
        <w:tc>
          <w:tcPr>
            <w:tcW w:w="1490" w:type="dxa"/>
            <w:shd w:val="clear" w:color="auto" w:fill="auto"/>
          </w:tcPr>
          <w:p w14:paraId="25774204"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4 679 887.64</w:t>
            </w:r>
          </w:p>
        </w:tc>
        <w:tc>
          <w:tcPr>
            <w:tcW w:w="1490" w:type="dxa"/>
            <w:shd w:val="clear" w:color="auto" w:fill="auto"/>
          </w:tcPr>
          <w:p w14:paraId="6B2C6C8A"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4 818 487.52</w:t>
            </w:r>
          </w:p>
        </w:tc>
        <w:tc>
          <w:tcPr>
            <w:tcW w:w="1490" w:type="dxa"/>
            <w:shd w:val="clear" w:color="auto" w:fill="auto"/>
          </w:tcPr>
          <w:p w14:paraId="224CE937"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4 795 860.22</w:t>
            </w:r>
          </w:p>
        </w:tc>
        <w:tc>
          <w:tcPr>
            <w:tcW w:w="1490" w:type="dxa"/>
            <w:shd w:val="clear" w:color="auto" w:fill="auto"/>
          </w:tcPr>
          <w:p w14:paraId="7B9B98DA" w14:textId="77777777" w:rsidR="008007D2" w:rsidRPr="008007D2" w:rsidRDefault="008007D2" w:rsidP="008007D2">
            <w:pPr>
              <w:spacing w:after="60" w:line="230" w:lineRule="exact"/>
              <w:jc w:val="right"/>
              <w:rPr>
                <w:rFonts w:eastAsia="Times New Roman"/>
                <w:b/>
                <w:sz w:val="18"/>
                <w:szCs w:val="18"/>
                <w:lang w:val="es-ES"/>
              </w:rPr>
            </w:pPr>
            <w:r w:rsidRPr="008007D2">
              <w:rPr>
                <w:rFonts w:eastAsia="Times New Roman"/>
                <w:b/>
                <w:sz w:val="18"/>
                <w:szCs w:val="18"/>
                <w:lang w:val="es-ES"/>
              </w:rPr>
              <w:t>14 294 235.38</w:t>
            </w:r>
          </w:p>
        </w:tc>
      </w:tr>
      <w:tr w:rsidR="008007D2" w:rsidRPr="008007D2" w14:paraId="6B63C35A" w14:textId="77777777" w:rsidTr="00736C45">
        <w:trPr>
          <w:trHeight w:val="144"/>
        </w:trPr>
        <w:tc>
          <w:tcPr>
            <w:tcW w:w="3784" w:type="dxa"/>
            <w:shd w:val="clear" w:color="auto" w:fill="auto"/>
          </w:tcPr>
          <w:p w14:paraId="142A4C64" w14:textId="77777777" w:rsidR="008007D2" w:rsidRPr="008007D2" w:rsidRDefault="008007D2" w:rsidP="008007D2">
            <w:pPr>
              <w:spacing w:after="60" w:line="230" w:lineRule="exact"/>
              <w:jc w:val="both"/>
              <w:rPr>
                <w:rFonts w:eastAsia="Times New Roman"/>
                <w:sz w:val="18"/>
                <w:szCs w:val="18"/>
                <w:lang w:val="es-ES"/>
              </w:rPr>
            </w:pPr>
            <w:r w:rsidRPr="008007D2">
              <w:rPr>
                <w:rFonts w:eastAsia="Times New Roman"/>
                <w:sz w:val="18"/>
                <w:szCs w:val="18"/>
                <w:lang w:val="es-ES"/>
              </w:rPr>
              <w:t>BANCO AUTOFIN MEXICO, S.A.</w:t>
            </w:r>
          </w:p>
        </w:tc>
        <w:tc>
          <w:tcPr>
            <w:tcW w:w="1490" w:type="dxa"/>
            <w:shd w:val="clear" w:color="auto" w:fill="auto"/>
          </w:tcPr>
          <w:p w14:paraId="35C15A1E"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841 573.50</w:t>
            </w:r>
          </w:p>
        </w:tc>
        <w:tc>
          <w:tcPr>
            <w:tcW w:w="1490" w:type="dxa"/>
            <w:shd w:val="clear" w:color="auto" w:fill="auto"/>
          </w:tcPr>
          <w:p w14:paraId="55AAF6CE"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770 791.65</w:t>
            </w:r>
          </w:p>
        </w:tc>
        <w:tc>
          <w:tcPr>
            <w:tcW w:w="1490" w:type="dxa"/>
            <w:shd w:val="clear" w:color="auto" w:fill="auto"/>
          </w:tcPr>
          <w:p w14:paraId="1ACB28BC"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780 980.92</w:t>
            </w:r>
          </w:p>
        </w:tc>
        <w:tc>
          <w:tcPr>
            <w:tcW w:w="1490" w:type="dxa"/>
            <w:shd w:val="clear" w:color="auto" w:fill="auto"/>
          </w:tcPr>
          <w:p w14:paraId="7EE67D59" w14:textId="77777777" w:rsidR="008007D2" w:rsidRPr="008007D2" w:rsidRDefault="008007D2" w:rsidP="008007D2">
            <w:pPr>
              <w:spacing w:after="60" w:line="230" w:lineRule="exact"/>
              <w:jc w:val="right"/>
              <w:rPr>
                <w:rFonts w:eastAsia="Times New Roman"/>
                <w:b/>
                <w:sz w:val="18"/>
                <w:szCs w:val="18"/>
                <w:lang w:val="es-ES"/>
              </w:rPr>
            </w:pPr>
            <w:r w:rsidRPr="008007D2">
              <w:rPr>
                <w:rFonts w:eastAsia="Times New Roman"/>
                <w:b/>
                <w:sz w:val="18"/>
                <w:szCs w:val="18"/>
                <w:lang w:val="es-ES"/>
              </w:rPr>
              <w:t>2 393 346.07</w:t>
            </w:r>
          </w:p>
        </w:tc>
      </w:tr>
      <w:tr w:rsidR="008007D2" w:rsidRPr="008007D2" w14:paraId="023901E4" w14:textId="77777777" w:rsidTr="00736C45">
        <w:trPr>
          <w:trHeight w:val="144"/>
        </w:trPr>
        <w:tc>
          <w:tcPr>
            <w:tcW w:w="3784" w:type="dxa"/>
            <w:shd w:val="clear" w:color="auto" w:fill="auto"/>
          </w:tcPr>
          <w:p w14:paraId="6D4A55FE" w14:textId="77777777" w:rsidR="008007D2" w:rsidRPr="008007D2" w:rsidRDefault="008007D2" w:rsidP="008007D2">
            <w:pPr>
              <w:spacing w:after="60" w:line="230" w:lineRule="exact"/>
              <w:jc w:val="both"/>
              <w:rPr>
                <w:rFonts w:eastAsia="Times New Roman"/>
                <w:sz w:val="18"/>
                <w:szCs w:val="18"/>
                <w:lang w:val="es-ES"/>
              </w:rPr>
            </w:pPr>
            <w:r w:rsidRPr="008007D2">
              <w:rPr>
                <w:rFonts w:eastAsia="Times New Roman"/>
                <w:sz w:val="18"/>
                <w:szCs w:val="18"/>
                <w:lang w:val="es-ES"/>
              </w:rPr>
              <w:t>BANCO AZTECA, S.A.</w:t>
            </w:r>
          </w:p>
        </w:tc>
        <w:tc>
          <w:tcPr>
            <w:tcW w:w="1490" w:type="dxa"/>
            <w:shd w:val="clear" w:color="auto" w:fill="auto"/>
          </w:tcPr>
          <w:p w14:paraId="57D1ECAE"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35 058 906.05</w:t>
            </w:r>
          </w:p>
        </w:tc>
        <w:tc>
          <w:tcPr>
            <w:tcW w:w="1490" w:type="dxa"/>
            <w:shd w:val="clear" w:color="auto" w:fill="auto"/>
          </w:tcPr>
          <w:p w14:paraId="2B71AF58"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35 025 007.97</w:t>
            </w:r>
          </w:p>
        </w:tc>
        <w:tc>
          <w:tcPr>
            <w:tcW w:w="1490" w:type="dxa"/>
            <w:shd w:val="clear" w:color="auto" w:fill="auto"/>
          </w:tcPr>
          <w:p w14:paraId="43609E88"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35 650 385.22</w:t>
            </w:r>
          </w:p>
        </w:tc>
        <w:tc>
          <w:tcPr>
            <w:tcW w:w="1490" w:type="dxa"/>
            <w:shd w:val="clear" w:color="auto" w:fill="auto"/>
          </w:tcPr>
          <w:p w14:paraId="6CAE9FE5" w14:textId="77777777" w:rsidR="008007D2" w:rsidRPr="008007D2" w:rsidRDefault="008007D2" w:rsidP="008007D2">
            <w:pPr>
              <w:spacing w:after="60" w:line="230" w:lineRule="exact"/>
              <w:jc w:val="right"/>
              <w:rPr>
                <w:rFonts w:eastAsia="Times New Roman"/>
                <w:b/>
                <w:sz w:val="18"/>
                <w:szCs w:val="18"/>
                <w:lang w:val="es-ES"/>
              </w:rPr>
            </w:pPr>
            <w:r w:rsidRPr="008007D2">
              <w:rPr>
                <w:rFonts w:eastAsia="Times New Roman"/>
                <w:b/>
                <w:sz w:val="18"/>
                <w:szCs w:val="18"/>
                <w:lang w:val="es-ES"/>
              </w:rPr>
              <w:t>105 734 299.24</w:t>
            </w:r>
          </w:p>
        </w:tc>
      </w:tr>
      <w:tr w:rsidR="008007D2" w:rsidRPr="008007D2" w14:paraId="0F625682" w14:textId="77777777" w:rsidTr="00736C45">
        <w:trPr>
          <w:trHeight w:val="144"/>
        </w:trPr>
        <w:tc>
          <w:tcPr>
            <w:tcW w:w="3784" w:type="dxa"/>
            <w:shd w:val="clear" w:color="auto" w:fill="auto"/>
          </w:tcPr>
          <w:p w14:paraId="600A384E" w14:textId="77777777" w:rsidR="008007D2" w:rsidRPr="008007D2" w:rsidRDefault="008007D2" w:rsidP="008007D2">
            <w:pPr>
              <w:spacing w:after="60" w:line="230" w:lineRule="exact"/>
              <w:jc w:val="both"/>
              <w:rPr>
                <w:rFonts w:eastAsia="Times New Roman"/>
                <w:sz w:val="18"/>
                <w:szCs w:val="18"/>
                <w:lang w:val="es-ES"/>
              </w:rPr>
            </w:pPr>
            <w:r w:rsidRPr="008007D2">
              <w:rPr>
                <w:rFonts w:eastAsia="Times New Roman"/>
                <w:sz w:val="18"/>
                <w:szCs w:val="18"/>
                <w:lang w:val="es-ES"/>
              </w:rPr>
              <w:t>BANCO BASE, S.A.</w:t>
            </w:r>
          </w:p>
        </w:tc>
        <w:tc>
          <w:tcPr>
            <w:tcW w:w="1490" w:type="dxa"/>
            <w:shd w:val="clear" w:color="auto" w:fill="auto"/>
          </w:tcPr>
          <w:p w14:paraId="031EF630"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603 807.86</w:t>
            </w:r>
          </w:p>
        </w:tc>
        <w:tc>
          <w:tcPr>
            <w:tcW w:w="1490" w:type="dxa"/>
            <w:shd w:val="clear" w:color="auto" w:fill="auto"/>
          </w:tcPr>
          <w:p w14:paraId="55D73E7E"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736 527.78</w:t>
            </w:r>
          </w:p>
        </w:tc>
        <w:tc>
          <w:tcPr>
            <w:tcW w:w="1490" w:type="dxa"/>
            <w:shd w:val="clear" w:color="auto" w:fill="auto"/>
          </w:tcPr>
          <w:p w14:paraId="3D854450"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915 062.62</w:t>
            </w:r>
          </w:p>
        </w:tc>
        <w:tc>
          <w:tcPr>
            <w:tcW w:w="1490" w:type="dxa"/>
            <w:shd w:val="clear" w:color="auto" w:fill="auto"/>
          </w:tcPr>
          <w:p w14:paraId="3C9A880E" w14:textId="77777777" w:rsidR="008007D2" w:rsidRPr="008007D2" w:rsidRDefault="008007D2" w:rsidP="008007D2">
            <w:pPr>
              <w:spacing w:after="60" w:line="230" w:lineRule="exact"/>
              <w:jc w:val="right"/>
              <w:rPr>
                <w:rFonts w:eastAsia="Times New Roman"/>
                <w:b/>
                <w:sz w:val="18"/>
                <w:szCs w:val="18"/>
                <w:lang w:val="es-ES"/>
              </w:rPr>
            </w:pPr>
            <w:r w:rsidRPr="008007D2">
              <w:rPr>
                <w:rFonts w:eastAsia="Times New Roman"/>
                <w:b/>
                <w:sz w:val="18"/>
                <w:szCs w:val="18"/>
                <w:lang w:val="es-ES"/>
              </w:rPr>
              <w:t>2 255 398.26</w:t>
            </w:r>
          </w:p>
        </w:tc>
      </w:tr>
      <w:tr w:rsidR="008007D2" w:rsidRPr="008007D2" w14:paraId="51A73047" w14:textId="77777777" w:rsidTr="00736C45">
        <w:trPr>
          <w:trHeight w:val="144"/>
        </w:trPr>
        <w:tc>
          <w:tcPr>
            <w:tcW w:w="3784" w:type="dxa"/>
            <w:shd w:val="clear" w:color="auto" w:fill="auto"/>
          </w:tcPr>
          <w:p w14:paraId="4A9D6F66" w14:textId="77777777" w:rsidR="008007D2" w:rsidRPr="008007D2" w:rsidRDefault="008007D2" w:rsidP="008007D2">
            <w:pPr>
              <w:spacing w:after="60" w:line="230" w:lineRule="exact"/>
              <w:jc w:val="both"/>
              <w:rPr>
                <w:rFonts w:eastAsia="Times New Roman"/>
                <w:sz w:val="18"/>
                <w:szCs w:val="18"/>
                <w:lang w:val="es-ES"/>
              </w:rPr>
            </w:pPr>
            <w:r w:rsidRPr="008007D2">
              <w:rPr>
                <w:rFonts w:eastAsia="Times New Roman"/>
                <w:sz w:val="18"/>
                <w:szCs w:val="18"/>
                <w:lang w:val="es-ES"/>
              </w:rPr>
              <w:t>BANCO COMPARTAMOS, S.A.</w:t>
            </w:r>
          </w:p>
        </w:tc>
        <w:tc>
          <w:tcPr>
            <w:tcW w:w="1490" w:type="dxa"/>
            <w:shd w:val="clear" w:color="auto" w:fill="auto"/>
          </w:tcPr>
          <w:p w14:paraId="14C78269"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3 572 142.37</w:t>
            </w:r>
          </w:p>
        </w:tc>
        <w:tc>
          <w:tcPr>
            <w:tcW w:w="1490" w:type="dxa"/>
            <w:shd w:val="clear" w:color="auto" w:fill="auto"/>
          </w:tcPr>
          <w:p w14:paraId="44E2AE44"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3 408 746.78</w:t>
            </w:r>
          </w:p>
        </w:tc>
        <w:tc>
          <w:tcPr>
            <w:tcW w:w="1490" w:type="dxa"/>
            <w:shd w:val="clear" w:color="auto" w:fill="auto"/>
          </w:tcPr>
          <w:p w14:paraId="4744426A"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3 372 314.68</w:t>
            </w:r>
          </w:p>
        </w:tc>
        <w:tc>
          <w:tcPr>
            <w:tcW w:w="1490" w:type="dxa"/>
            <w:shd w:val="clear" w:color="auto" w:fill="auto"/>
          </w:tcPr>
          <w:p w14:paraId="20B4C2F0" w14:textId="77777777" w:rsidR="008007D2" w:rsidRPr="008007D2" w:rsidRDefault="008007D2" w:rsidP="008007D2">
            <w:pPr>
              <w:spacing w:after="60" w:line="230" w:lineRule="exact"/>
              <w:jc w:val="right"/>
              <w:rPr>
                <w:rFonts w:eastAsia="Times New Roman"/>
                <w:b/>
                <w:sz w:val="18"/>
                <w:szCs w:val="18"/>
                <w:lang w:val="es-ES"/>
              </w:rPr>
            </w:pPr>
            <w:r w:rsidRPr="008007D2">
              <w:rPr>
                <w:rFonts w:eastAsia="Times New Roman"/>
                <w:b/>
                <w:sz w:val="18"/>
                <w:szCs w:val="18"/>
                <w:lang w:val="es-ES"/>
              </w:rPr>
              <w:t>10 353 203.83</w:t>
            </w:r>
          </w:p>
        </w:tc>
      </w:tr>
      <w:tr w:rsidR="008007D2" w:rsidRPr="008007D2" w14:paraId="7CD214C9" w14:textId="77777777" w:rsidTr="00736C45">
        <w:trPr>
          <w:trHeight w:val="144"/>
        </w:trPr>
        <w:tc>
          <w:tcPr>
            <w:tcW w:w="3784" w:type="dxa"/>
            <w:shd w:val="clear" w:color="auto" w:fill="auto"/>
          </w:tcPr>
          <w:p w14:paraId="15F3EB63" w14:textId="77777777" w:rsidR="008007D2" w:rsidRPr="008007D2" w:rsidRDefault="008007D2" w:rsidP="008007D2">
            <w:pPr>
              <w:spacing w:after="60" w:line="230" w:lineRule="exact"/>
              <w:jc w:val="both"/>
              <w:rPr>
                <w:rFonts w:eastAsia="Times New Roman"/>
                <w:sz w:val="18"/>
                <w:szCs w:val="18"/>
                <w:lang w:val="es-ES"/>
              </w:rPr>
            </w:pPr>
            <w:r w:rsidRPr="008007D2">
              <w:rPr>
                <w:rFonts w:eastAsia="Times New Roman"/>
                <w:sz w:val="18"/>
                <w:szCs w:val="18"/>
                <w:lang w:val="es-ES"/>
              </w:rPr>
              <w:t>BANCO CREDIT SUISSE (MEXICO), S.A.</w:t>
            </w:r>
          </w:p>
        </w:tc>
        <w:tc>
          <w:tcPr>
            <w:tcW w:w="1490" w:type="dxa"/>
            <w:shd w:val="clear" w:color="auto" w:fill="auto"/>
          </w:tcPr>
          <w:p w14:paraId="4999F567"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2 612 351.21</w:t>
            </w:r>
          </w:p>
        </w:tc>
        <w:tc>
          <w:tcPr>
            <w:tcW w:w="1490" w:type="dxa"/>
            <w:shd w:val="clear" w:color="auto" w:fill="auto"/>
          </w:tcPr>
          <w:p w14:paraId="3268525A"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1 116 105.14</w:t>
            </w:r>
          </w:p>
        </w:tc>
        <w:tc>
          <w:tcPr>
            <w:tcW w:w="1490" w:type="dxa"/>
            <w:shd w:val="clear" w:color="auto" w:fill="auto"/>
          </w:tcPr>
          <w:p w14:paraId="672C09AE"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2 121 638.71</w:t>
            </w:r>
          </w:p>
        </w:tc>
        <w:tc>
          <w:tcPr>
            <w:tcW w:w="1490" w:type="dxa"/>
            <w:shd w:val="clear" w:color="auto" w:fill="auto"/>
          </w:tcPr>
          <w:p w14:paraId="1F7C40E3" w14:textId="77777777" w:rsidR="008007D2" w:rsidRPr="008007D2" w:rsidRDefault="008007D2" w:rsidP="008007D2">
            <w:pPr>
              <w:spacing w:after="60" w:line="230" w:lineRule="exact"/>
              <w:jc w:val="right"/>
              <w:rPr>
                <w:rFonts w:eastAsia="Times New Roman"/>
                <w:b/>
                <w:sz w:val="18"/>
                <w:szCs w:val="18"/>
                <w:lang w:val="es-ES"/>
              </w:rPr>
            </w:pPr>
            <w:r w:rsidRPr="008007D2">
              <w:rPr>
                <w:rFonts w:eastAsia="Times New Roman"/>
                <w:b/>
                <w:sz w:val="18"/>
                <w:szCs w:val="18"/>
                <w:lang w:val="es-ES"/>
              </w:rPr>
              <w:t>5 850 095.06</w:t>
            </w:r>
          </w:p>
        </w:tc>
      </w:tr>
      <w:tr w:rsidR="008007D2" w:rsidRPr="008007D2" w14:paraId="72D5C18F" w14:textId="77777777" w:rsidTr="00736C45">
        <w:trPr>
          <w:trHeight w:val="144"/>
        </w:trPr>
        <w:tc>
          <w:tcPr>
            <w:tcW w:w="3784" w:type="dxa"/>
            <w:shd w:val="clear" w:color="auto" w:fill="auto"/>
          </w:tcPr>
          <w:p w14:paraId="2274586F" w14:textId="77777777" w:rsidR="008007D2" w:rsidRPr="008007D2" w:rsidRDefault="008007D2" w:rsidP="008007D2">
            <w:pPr>
              <w:spacing w:after="60" w:line="230" w:lineRule="exact"/>
              <w:jc w:val="both"/>
              <w:rPr>
                <w:rFonts w:eastAsia="Times New Roman"/>
                <w:sz w:val="18"/>
                <w:szCs w:val="18"/>
                <w:lang w:val="es-ES"/>
              </w:rPr>
            </w:pPr>
            <w:r w:rsidRPr="008007D2">
              <w:rPr>
                <w:rFonts w:eastAsia="Times New Roman"/>
                <w:sz w:val="18"/>
                <w:szCs w:val="18"/>
                <w:lang w:val="es-ES"/>
              </w:rPr>
              <w:t>BANCO DEL BAJIO, S.A.</w:t>
            </w:r>
          </w:p>
        </w:tc>
        <w:tc>
          <w:tcPr>
            <w:tcW w:w="1490" w:type="dxa"/>
            <w:shd w:val="clear" w:color="auto" w:fill="auto"/>
          </w:tcPr>
          <w:p w14:paraId="64716613"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33 123 627.16</w:t>
            </w:r>
          </w:p>
        </w:tc>
        <w:tc>
          <w:tcPr>
            <w:tcW w:w="1490" w:type="dxa"/>
            <w:shd w:val="clear" w:color="auto" w:fill="auto"/>
          </w:tcPr>
          <w:p w14:paraId="6D65D93E"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33 574 197.24</w:t>
            </w:r>
          </w:p>
        </w:tc>
        <w:tc>
          <w:tcPr>
            <w:tcW w:w="1490" w:type="dxa"/>
            <w:shd w:val="clear" w:color="auto" w:fill="auto"/>
          </w:tcPr>
          <w:p w14:paraId="774C0067"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34 092 928.66</w:t>
            </w:r>
          </w:p>
        </w:tc>
        <w:tc>
          <w:tcPr>
            <w:tcW w:w="1490" w:type="dxa"/>
            <w:shd w:val="clear" w:color="auto" w:fill="auto"/>
          </w:tcPr>
          <w:p w14:paraId="39B86A60" w14:textId="77777777" w:rsidR="008007D2" w:rsidRPr="008007D2" w:rsidRDefault="008007D2" w:rsidP="008007D2">
            <w:pPr>
              <w:spacing w:after="60" w:line="230" w:lineRule="exact"/>
              <w:jc w:val="right"/>
              <w:rPr>
                <w:rFonts w:eastAsia="Times New Roman"/>
                <w:b/>
                <w:sz w:val="18"/>
                <w:szCs w:val="18"/>
                <w:lang w:val="es-ES"/>
              </w:rPr>
            </w:pPr>
            <w:r w:rsidRPr="008007D2">
              <w:rPr>
                <w:rFonts w:eastAsia="Times New Roman"/>
                <w:b/>
                <w:sz w:val="18"/>
                <w:szCs w:val="18"/>
                <w:lang w:val="es-ES"/>
              </w:rPr>
              <w:t>100 790 753.06</w:t>
            </w:r>
          </w:p>
        </w:tc>
      </w:tr>
      <w:tr w:rsidR="008007D2" w:rsidRPr="008007D2" w14:paraId="3BCEDDFD" w14:textId="77777777" w:rsidTr="00736C45">
        <w:trPr>
          <w:trHeight w:val="144"/>
        </w:trPr>
        <w:tc>
          <w:tcPr>
            <w:tcW w:w="3784" w:type="dxa"/>
            <w:shd w:val="clear" w:color="auto" w:fill="auto"/>
          </w:tcPr>
          <w:p w14:paraId="0D6F7F3E" w14:textId="77777777" w:rsidR="008007D2" w:rsidRPr="008007D2" w:rsidRDefault="008007D2" w:rsidP="008007D2">
            <w:pPr>
              <w:spacing w:after="60" w:line="230" w:lineRule="exact"/>
              <w:jc w:val="both"/>
              <w:rPr>
                <w:rFonts w:eastAsia="Times New Roman"/>
                <w:sz w:val="18"/>
                <w:szCs w:val="18"/>
                <w:lang w:val="es-ES"/>
              </w:rPr>
            </w:pPr>
            <w:r w:rsidRPr="008007D2">
              <w:rPr>
                <w:rFonts w:eastAsia="Times New Roman"/>
                <w:sz w:val="18"/>
                <w:szCs w:val="18"/>
                <w:lang w:val="es-ES"/>
              </w:rPr>
              <w:t>BANCO FORJADORES, S.A.</w:t>
            </w:r>
          </w:p>
        </w:tc>
        <w:tc>
          <w:tcPr>
            <w:tcW w:w="1490" w:type="dxa"/>
            <w:shd w:val="clear" w:color="auto" w:fill="auto"/>
          </w:tcPr>
          <w:p w14:paraId="09711D68"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83 696.64</w:t>
            </w:r>
          </w:p>
        </w:tc>
        <w:tc>
          <w:tcPr>
            <w:tcW w:w="1490" w:type="dxa"/>
            <w:shd w:val="clear" w:color="auto" w:fill="auto"/>
          </w:tcPr>
          <w:p w14:paraId="5381D4E1"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85 298.21</w:t>
            </w:r>
          </w:p>
        </w:tc>
        <w:tc>
          <w:tcPr>
            <w:tcW w:w="1490" w:type="dxa"/>
            <w:shd w:val="clear" w:color="auto" w:fill="auto"/>
          </w:tcPr>
          <w:p w14:paraId="36D09B1F"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82 964.28</w:t>
            </w:r>
          </w:p>
        </w:tc>
        <w:tc>
          <w:tcPr>
            <w:tcW w:w="1490" w:type="dxa"/>
            <w:shd w:val="clear" w:color="auto" w:fill="auto"/>
          </w:tcPr>
          <w:p w14:paraId="7BDBD6DD" w14:textId="77777777" w:rsidR="008007D2" w:rsidRPr="008007D2" w:rsidRDefault="008007D2" w:rsidP="008007D2">
            <w:pPr>
              <w:spacing w:after="60" w:line="230" w:lineRule="exact"/>
              <w:jc w:val="right"/>
              <w:rPr>
                <w:rFonts w:eastAsia="Times New Roman"/>
                <w:b/>
                <w:sz w:val="18"/>
                <w:szCs w:val="18"/>
                <w:lang w:val="es-ES"/>
              </w:rPr>
            </w:pPr>
            <w:r w:rsidRPr="008007D2">
              <w:rPr>
                <w:rFonts w:eastAsia="Times New Roman"/>
                <w:b/>
                <w:sz w:val="18"/>
                <w:szCs w:val="18"/>
                <w:lang w:val="es-ES"/>
              </w:rPr>
              <w:t>251 959.13</w:t>
            </w:r>
          </w:p>
        </w:tc>
      </w:tr>
      <w:tr w:rsidR="008007D2" w:rsidRPr="008007D2" w14:paraId="25226673" w14:textId="77777777" w:rsidTr="00736C45">
        <w:trPr>
          <w:trHeight w:val="144"/>
        </w:trPr>
        <w:tc>
          <w:tcPr>
            <w:tcW w:w="3784" w:type="dxa"/>
            <w:shd w:val="clear" w:color="auto" w:fill="auto"/>
          </w:tcPr>
          <w:p w14:paraId="0A26F693" w14:textId="77777777" w:rsidR="008007D2" w:rsidRPr="008007D2" w:rsidRDefault="008007D2" w:rsidP="008007D2">
            <w:pPr>
              <w:spacing w:after="60" w:line="230" w:lineRule="exact"/>
              <w:jc w:val="both"/>
              <w:rPr>
                <w:rFonts w:eastAsia="Times New Roman"/>
                <w:sz w:val="18"/>
                <w:szCs w:val="18"/>
                <w:lang w:val="es-ES"/>
              </w:rPr>
            </w:pPr>
            <w:r w:rsidRPr="008007D2">
              <w:rPr>
                <w:rFonts w:eastAsia="Times New Roman"/>
                <w:sz w:val="18"/>
                <w:szCs w:val="18"/>
                <w:lang w:val="es-ES"/>
              </w:rPr>
              <w:t>BANCO INBURSA, S.A.</w:t>
            </w:r>
          </w:p>
        </w:tc>
        <w:tc>
          <w:tcPr>
            <w:tcW w:w="1490" w:type="dxa"/>
            <w:shd w:val="clear" w:color="auto" w:fill="auto"/>
          </w:tcPr>
          <w:p w14:paraId="13CE19B5"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75 262 006.03</w:t>
            </w:r>
          </w:p>
        </w:tc>
        <w:tc>
          <w:tcPr>
            <w:tcW w:w="1490" w:type="dxa"/>
            <w:shd w:val="clear" w:color="auto" w:fill="auto"/>
          </w:tcPr>
          <w:p w14:paraId="64BCDFFC"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73 958 548.66</w:t>
            </w:r>
          </w:p>
        </w:tc>
        <w:tc>
          <w:tcPr>
            <w:tcW w:w="1490" w:type="dxa"/>
            <w:shd w:val="clear" w:color="auto" w:fill="auto"/>
          </w:tcPr>
          <w:p w14:paraId="3CE9BF55"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76 260 069.61</w:t>
            </w:r>
          </w:p>
        </w:tc>
        <w:tc>
          <w:tcPr>
            <w:tcW w:w="1490" w:type="dxa"/>
            <w:shd w:val="clear" w:color="auto" w:fill="auto"/>
          </w:tcPr>
          <w:p w14:paraId="6E5DF239" w14:textId="77777777" w:rsidR="008007D2" w:rsidRPr="008007D2" w:rsidRDefault="008007D2" w:rsidP="008007D2">
            <w:pPr>
              <w:spacing w:after="60" w:line="230" w:lineRule="exact"/>
              <w:jc w:val="right"/>
              <w:rPr>
                <w:rFonts w:eastAsia="Times New Roman"/>
                <w:b/>
                <w:sz w:val="18"/>
                <w:szCs w:val="18"/>
                <w:lang w:val="es-ES"/>
              </w:rPr>
            </w:pPr>
            <w:r w:rsidRPr="008007D2">
              <w:rPr>
                <w:rFonts w:eastAsia="Times New Roman"/>
                <w:b/>
                <w:sz w:val="18"/>
                <w:szCs w:val="18"/>
                <w:lang w:val="es-ES"/>
              </w:rPr>
              <w:t>225 480 624.30</w:t>
            </w:r>
          </w:p>
        </w:tc>
      </w:tr>
      <w:tr w:rsidR="008007D2" w:rsidRPr="008007D2" w14:paraId="7A626B00" w14:textId="77777777" w:rsidTr="00736C45">
        <w:trPr>
          <w:trHeight w:val="144"/>
        </w:trPr>
        <w:tc>
          <w:tcPr>
            <w:tcW w:w="3784" w:type="dxa"/>
            <w:shd w:val="clear" w:color="auto" w:fill="auto"/>
          </w:tcPr>
          <w:p w14:paraId="33C1196D" w14:textId="77777777" w:rsidR="008007D2" w:rsidRPr="008007D2" w:rsidRDefault="008007D2" w:rsidP="008007D2">
            <w:pPr>
              <w:spacing w:after="60" w:line="230" w:lineRule="exact"/>
              <w:jc w:val="both"/>
              <w:rPr>
                <w:rFonts w:eastAsia="Times New Roman"/>
                <w:sz w:val="18"/>
                <w:szCs w:val="18"/>
                <w:lang w:val="es-ES"/>
              </w:rPr>
            </w:pPr>
            <w:r w:rsidRPr="008007D2">
              <w:rPr>
                <w:rFonts w:eastAsia="Times New Roman"/>
                <w:sz w:val="18"/>
                <w:szCs w:val="18"/>
                <w:lang w:val="es-ES"/>
              </w:rPr>
              <w:t>BANCO INMOBILIARIO MEXICANO, S.A.</w:t>
            </w:r>
          </w:p>
        </w:tc>
        <w:tc>
          <w:tcPr>
            <w:tcW w:w="1490" w:type="dxa"/>
            <w:shd w:val="clear" w:color="auto" w:fill="auto"/>
          </w:tcPr>
          <w:p w14:paraId="11F947A9"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1 285 791.60</w:t>
            </w:r>
          </w:p>
        </w:tc>
        <w:tc>
          <w:tcPr>
            <w:tcW w:w="1490" w:type="dxa"/>
            <w:shd w:val="clear" w:color="auto" w:fill="auto"/>
          </w:tcPr>
          <w:p w14:paraId="233EE8CD"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1 248 749.24</w:t>
            </w:r>
          </w:p>
        </w:tc>
        <w:tc>
          <w:tcPr>
            <w:tcW w:w="1490" w:type="dxa"/>
            <w:shd w:val="clear" w:color="auto" w:fill="auto"/>
          </w:tcPr>
          <w:p w14:paraId="3F75C21C"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1 217 971.70</w:t>
            </w:r>
          </w:p>
        </w:tc>
        <w:tc>
          <w:tcPr>
            <w:tcW w:w="1490" w:type="dxa"/>
            <w:shd w:val="clear" w:color="auto" w:fill="auto"/>
          </w:tcPr>
          <w:p w14:paraId="23A48A82" w14:textId="77777777" w:rsidR="008007D2" w:rsidRPr="008007D2" w:rsidRDefault="008007D2" w:rsidP="008007D2">
            <w:pPr>
              <w:spacing w:after="60" w:line="230" w:lineRule="exact"/>
              <w:jc w:val="right"/>
              <w:rPr>
                <w:rFonts w:eastAsia="Times New Roman"/>
                <w:b/>
                <w:sz w:val="18"/>
                <w:szCs w:val="18"/>
                <w:lang w:val="es-ES"/>
              </w:rPr>
            </w:pPr>
            <w:r w:rsidRPr="008007D2">
              <w:rPr>
                <w:rFonts w:eastAsia="Times New Roman"/>
                <w:b/>
                <w:sz w:val="18"/>
                <w:szCs w:val="18"/>
                <w:lang w:val="es-ES"/>
              </w:rPr>
              <w:t>3 752 512.54</w:t>
            </w:r>
          </w:p>
        </w:tc>
      </w:tr>
      <w:tr w:rsidR="008007D2" w:rsidRPr="008007D2" w14:paraId="26978E7D" w14:textId="77777777" w:rsidTr="00736C45">
        <w:trPr>
          <w:trHeight w:val="144"/>
        </w:trPr>
        <w:tc>
          <w:tcPr>
            <w:tcW w:w="3784" w:type="dxa"/>
            <w:shd w:val="clear" w:color="auto" w:fill="auto"/>
          </w:tcPr>
          <w:p w14:paraId="2CAFCDAC" w14:textId="77777777" w:rsidR="008007D2" w:rsidRPr="008007D2" w:rsidRDefault="008007D2" w:rsidP="008007D2">
            <w:pPr>
              <w:spacing w:after="60" w:line="230" w:lineRule="exact"/>
              <w:jc w:val="both"/>
              <w:rPr>
                <w:rFonts w:eastAsia="Times New Roman"/>
                <w:sz w:val="18"/>
                <w:szCs w:val="18"/>
                <w:lang w:val="es-ES"/>
              </w:rPr>
            </w:pPr>
            <w:r w:rsidRPr="008007D2">
              <w:rPr>
                <w:rFonts w:eastAsia="Times New Roman"/>
                <w:sz w:val="18"/>
                <w:szCs w:val="18"/>
                <w:lang w:val="es-ES"/>
              </w:rPr>
              <w:t>BANCO INTERACCIONES, S.A.</w:t>
            </w:r>
          </w:p>
        </w:tc>
        <w:tc>
          <w:tcPr>
            <w:tcW w:w="1490" w:type="dxa"/>
            <w:shd w:val="clear" w:color="auto" w:fill="auto"/>
          </w:tcPr>
          <w:p w14:paraId="6F71FDE6"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24 658 715.63</w:t>
            </w:r>
          </w:p>
        </w:tc>
        <w:tc>
          <w:tcPr>
            <w:tcW w:w="1490" w:type="dxa"/>
            <w:shd w:val="clear" w:color="auto" w:fill="auto"/>
          </w:tcPr>
          <w:p w14:paraId="03264629"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26 899 365.92</w:t>
            </w:r>
          </w:p>
        </w:tc>
        <w:tc>
          <w:tcPr>
            <w:tcW w:w="1490" w:type="dxa"/>
            <w:shd w:val="clear" w:color="auto" w:fill="auto"/>
          </w:tcPr>
          <w:p w14:paraId="6E5E520E"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28 294 142.17</w:t>
            </w:r>
          </w:p>
        </w:tc>
        <w:tc>
          <w:tcPr>
            <w:tcW w:w="1490" w:type="dxa"/>
            <w:shd w:val="clear" w:color="auto" w:fill="auto"/>
          </w:tcPr>
          <w:p w14:paraId="337EE803" w14:textId="77777777" w:rsidR="008007D2" w:rsidRPr="008007D2" w:rsidRDefault="008007D2" w:rsidP="008007D2">
            <w:pPr>
              <w:spacing w:after="60" w:line="230" w:lineRule="exact"/>
              <w:jc w:val="right"/>
              <w:rPr>
                <w:rFonts w:eastAsia="Times New Roman"/>
                <w:b/>
                <w:sz w:val="18"/>
                <w:szCs w:val="18"/>
                <w:lang w:val="es-ES"/>
              </w:rPr>
            </w:pPr>
            <w:r w:rsidRPr="008007D2">
              <w:rPr>
                <w:rFonts w:eastAsia="Times New Roman"/>
                <w:b/>
                <w:sz w:val="18"/>
                <w:szCs w:val="18"/>
                <w:lang w:val="es-ES"/>
              </w:rPr>
              <w:t>79 852 223.72</w:t>
            </w:r>
          </w:p>
        </w:tc>
      </w:tr>
      <w:tr w:rsidR="008007D2" w:rsidRPr="008007D2" w14:paraId="484F6634" w14:textId="77777777" w:rsidTr="00736C45">
        <w:trPr>
          <w:trHeight w:val="144"/>
        </w:trPr>
        <w:tc>
          <w:tcPr>
            <w:tcW w:w="3784" w:type="dxa"/>
            <w:shd w:val="clear" w:color="auto" w:fill="auto"/>
          </w:tcPr>
          <w:p w14:paraId="1F420B42" w14:textId="77777777" w:rsidR="008007D2" w:rsidRPr="008007D2" w:rsidRDefault="008007D2" w:rsidP="008007D2">
            <w:pPr>
              <w:spacing w:after="60" w:line="230" w:lineRule="exact"/>
              <w:jc w:val="both"/>
              <w:rPr>
                <w:rFonts w:eastAsia="Times New Roman"/>
                <w:sz w:val="18"/>
                <w:szCs w:val="18"/>
                <w:lang w:val="es-ES"/>
              </w:rPr>
            </w:pPr>
            <w:r w:rsidRPr="008007D2">
              <w:rPr>
                <w:rFonts w:eastAsia="Times New Roman"/>
                <w:sz w:val="18"/>
                <w:szCs w:val="18"/>
                <w:lang w:val="es-ES"/>
              </w:rPr>
              <w:lastRenderedPageBreak/>
              <w:t>BANCO INVEX, S.A.</w:t>
            </w:r>
          </w:p>
        </w:tc>
        <w:tc>
          <w:tcPr>
            <w:tcW w:w="1490" w:type="dxa"/>
            <w:shd w:val="clear" w:color="auto" w:fill="auto"/>
          </w:tcPr>
          <w:p w14:paraId="43B69F25"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3 720 993.08</w:t>
            </w:r>
          </w:p>
        </w:tc>
        <w:tc>
          <w:tcPr>
            <w:tcW w:w="1490" w:type="dxa"/>
            <w:shd w:val="clear" w:color="auto" w:fill="auto"/>
          </w:tcPr>
          <w:p w14:paraId="500422CF"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3 843 402.77</w:t>
            </w:r>
          </w:p>
        </w:tc>
        <w:tc>
          <w:tcPr>
            <w:tcW w:w="1490" w:type="dxa"/>
            <w:shd w:val="clear" w:color="auto" w:fill="auto"/>
          </w:tcPr>
          <w:p w14:paraId="49B84D45"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3 957 092.59</w:t>
            </w:r>
          </w:p>
        </w:tc>
        <w:tc>
          <w:tcPr>
            <w:tcW w:w="1490" w:type="dxa"/>
            <w:shd w:val="clear" w:color="auto" w:fill="auto"/>
          </w:tcPr>
          <w:p w14:paraId="3E792363" w14:textId="77777777" w:rsidR="008007D2" w:rsidRPr="008007D2" w:rsidRDefault="008007D2" w:rsidP="008007D2">
            <w:pPr>
              <w:spacing w:after="60" w:line="230" w:lineRule="exact"/>
              <w:jc w:val="right"/>
              <w:rPr>
                <w:rFonts w:eastAsia="Times New Roman"/>
                <w:b/>
                <w:sz w:val="18"/>
                <w:szCs w:val="18"/>
                <w:lang w:val="es-ES"/>
              </w:rPr>
            </w:pPr>
            <w:r w:rsidRPr="008007D2">
              <w:rPr>
                <w:rFonts w:eastAsia="Times New Roman"/>
                <w:b/>
                <w:sz w:val="18"/>
                <w:szCs w:val="18"/>
                <w:lang w:val="es-ES"/>
              </w:rPr>
              <w:t>11 521 488.44</w:t>
            </w:r>
          </w:p>
        </w:tc>
      </w:tr>
      <w:tr w:rsidR="008007D2" w:rsidRPr="008007D2" w14:paraId="7AEDE97F" w14:textId="77777777" w:rsidTr="00736C45">
        <w:trPr>
          <w:trHeight w:val="144"/>
        </w:trPr>
        <w:tc>
          <w:tcPr>
            <w:tcW w:w="3784" w:type="dxa"/>
            <w:shd w:val="clear" w:color="auto" w:fill="auto"/>
          </w:tcPr>
          <w:p w14:paraId="2910BF8B" w14:textId="77777777" w:rsidR="008007D2" w:rsidRPr="008007D2" w:rsidRDefault="008007D2" w:rsidP="008007D2">
            <w:pPr>
              <w:spacing w:after="60" w:line="230" w:lineRule="exact"/>
              <w:jc w:val="both"/>
              <w:rPr>
                <w:rFonts w:eastAsia="Times New Roman"/>
                <w:sz w:val="18"/>
                <w:szCs w:val="18"/>
                <w:lang w:val="es-ES"/>
              </w:rPr>
            </w:pPr>
            <w:r w:rsidRPr="008007D2">
              <w:rPr>
                <w:rFonts w:eastAsia="Times New Roman"/>
                <w:sz w:val="18"/>
                <w:szCs w:val="18"/>
                <w:lang w:val="es-ES"/>
              </w:rPr>
              <w:t>BANCO J.P. MORGAN, S.A.</w:t>
            </w:r>
          </w:p>
        </w:tc>
        <w:tc>
          <w:tcPr>
            <w:tcW w:w="1490" w:type="dxa"/>
            <w:shd w:val="clear" w:color="auto" w:fill="auto"/>
          </w:tcPr>
          <w:p w14:paraId="02910B7F"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2 632 642.22</w:t>
            </w:r>
          </w:p>
        </w:tc>
        <w:tc>
          <w:tcPr>
            <w:tcW w:w="1490" w:type="dxa"/>
            <w:shd w:val="clear" w:color="auto" w:fill="auto"/>
          </w:tcPr>
          <w:p w14:paraId="1172AC01"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2 910,521.77</w:t>
            </w:r>
          </w:p>
        </w:tc>
        <w:tc>
          <w:tcPr>
            <w:tcW w:w="1490" w:type="dxa"/>
            <w:shd w:val="clear" w:color="auto" w:fill="auto"/>
          </w:tcPr>
          <w:p w14:paraId="773D63ED"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3 712 177.97</w:t>
            </w:r>
          </w:p>
        </w:tc>
        <w:tc>
          <w:tcPr>
            <w:tcW w:w="1490" w:type="dxa"/>
            <w:shd w:val="clear" w:color="auto" w:fill="auto"/>
          </w:tcPr>
          <w:p w14:paraId="092F6979" w14:textId="77777777" w:rsidR="008007D2" w:rsidRPr="008007D2" w:rsidRDefault="008007D2" w:rsidP="008007D2">
            <w:pPr>
              <w:spacing w:after="60" w:line="230" w:lineRule="exact"/>
              <w:jc w:val="right"/>
              <w:rPr>
                <w:rFonts w:eastAsia="Times New Roman"/>
                <w:b/>
                <w:sz w:val="18"/>
                <w:szCs w:val="18"/>
                <w:lang w:val="es-ES"/>
              </w:rPr>
            </w:pPr>
            <w:r w:rsidRPr="008007D2">
              <w:rPr>
                <w:rFonts w:eastAsia="Times New Roman"/>
                <w:b/>
                <w:sz w:val="18"/>
                <w:szCs w:val="18"/>
                <w:lang w:val="es-ES"/>
              </w:rPr>
              <w:t>9 255 341.96</w:t>
            </w:r>
          </w:p>
        </w:tc>
      </w:tr>
      <w:tr w:rsidR="008007D2" w:rsidRPr="008007D2" w14:paraId="6FE40A2D" w14:textId="77777777" w:rsidTr="00736C45">
        <w:trPr>
          <w:trHeight w:val="144"/>
        </w:trPr>
        <w:tc>
          <w:tcPr>
            <w:tcW w:w="3784" w:type="dxa"/>
            <w:shd w:val="clear" w:color="auto" w:fill="auto"/>
          </w:tcPr>
          <w:p w14:paraId="1423A33A" w14:textId="77777777" w:rsidR="008007D2" w:rsidRPr="008007D2" w:rsidRDefault="008007D2" w:rsidP="008007D2">
            <w:pPr>
              <w:spacing w:after="60" w:line="230" w:lineRule="exact"/>
              <w:jc w:val="both"/>
              <w:rPr>
                <w:rFonts w:eastAsia="Times New Roman"/>
                <w:sz w:val="18"/>
                <w:szCs w:val="18"/>
                <w:lang w:val="es-ES"/>
              </w:rPr>
            </w:pPr>
            <w:r w:rsidRPr="008007D2">
              <w:rPr>
                <w:rFonts w:eastAsia="Times New Roman"/>
                <w:sz w:val="18"/>
                <w:szCs w:val="18"/>
                <w:lang w:val="es-ES"/>
              </w:rPr>
              <w:t>BANCO MERCANTIL DEL NORTE, S.A.</w:t>
            </w:r>
          </w:p>
        </w:tc>
        <w:tc>
          <w:tcPr>
            <w:tcW w:w="1490" w:type="dxa"/>
            <w:shd w:val="clear" w:color="auto" w:fill="auto"/>
          </w:tcPr>
          <w:p w14:paraId="3639A5BD"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156 723 476.70</w:t>
            </w:r>
          </w:p>
        </w:tc>
        <w:tc>
          <w:tcPr>
            <w:tcW w:w="1490" w:type="dxa"/>
            <w:shd w:val="clear" w:color="auto" w:fill="auto"/>
          </w:tcPr>
          <w:p w14:paraId="5C9809F1"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161 410 488.73</w:t>
            </w:r>
          </w:p>
        </w:tc>
        <w:tc>
          <w:tcPr>
            <w:tcW w:w="1490" w:type="dxa"/>
            <w:shd w:val="clear" w:color="auto" w:fill="auto"/>
          </w:tcPr>
          <w:p w14:paraId="4FC24AED"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167 991 321.40</w:t>
            </w:r>
          </w:p>
        </w:tc>
        <w:tc>
          <w:tcPr>
            <w:tcW w:w="1490" w:type="dxa"/>
            <w:shd w:val="clear" w:color="auto" w:fill="auto"/>
          </w:tcPr>
          <w:p w14:paraId="6BC140E9" w14:textId="77777777" w:rsidR="008007D2" w:rsidRPr="008007D2" w:rsidRDefault="008007D2" w:rsidP="008007D2">
            <w:pPr>
              <w:spacing w:after="60" w:line="230" w:lineRule="exact"/>
              <w:jc w:val="right"/>
              <w:rPr>
                <w:rFonts w:eastAsia="Times New Roman"/>
                <w:b/>
                <w:sz w:val="18"/>
                <w:szCs w:val="18"/>
                <w:lang w:val="es-ES"/>
              </w:rPr>
            </w:pPr>
            <w:r w:rsidRPr="008007D2">
              <w:rPr>
                <w:rFonts w:eastAsia="Times New Roman"/>
                <w:b/>
                <w:sz w:val="18"/>
                <w:szCs w:val="18"/>
                <w:lang w:val="es-ES"/>
              </w:rPr>
              <w:t>486 125 286.83</w:t>
            </w:r>
          </w:p>
        </w:tc>
      </w:tr>
      <w:tr w:rsidR="008007D2" w:rsidRPr="008007D2" w14:paraId="5A585E5E" w14:textId="77777777" w:rsidTr="00736C45">
        <w:trPr>
          <w:trHeight w:val="144"/>
        </w:trPr>
        <w:tc>
          <w:tcPr>
            <w:tcW w:w="3784" w:type="dxa"/>
            <w:shd w:val="clear" w:color="auto" w:fill="auto"/>
          </w:tcPr>
          <w:p w14:paraId="1A6750F8" w14:textId="77777777" w:rsidR="008007D2" w:rsidRPr="008007D2" w:rsidRDefault="008007D2" w:rsidP="008007D2">
            <w:pPr>
              <w:spacing w:after="60" w:line="230" w:lineRule="exact"/>
              <w:jc w:val="both"/>
              <w:rPr>
                <w:rFonts w:eastAsia="Times New Roman"/>
                <w:sz w:val="18"/>
                <w:szCs w:val="18"/>
                <w:lang w:val="es-ES"/>
              </w:rPr>
            </w:pPr>
            <w:r w:rsidRPr="008007D2">
              <w:rPr>
                <w:rFonts w:eastAsia="Times New Roman"/>
                <w:sz w:val="18"/>
                <w:szCs w:val="18"/>
                <w:lang w:val="es-ES"/>
              </w:rPr>
              <w:t>BANCO MONEX, S.A.</w:t>
            </w:r>
          </w:p>
        </w:tc>
        <w:tc>
          <w:tcPr>
            <w:tcW w:w="1490" w:type="dxa"/>
            <w:shd w:val="clear" w:color="auto" w:fill="auto"/>
          </w:tcPr>
          <w:p w14:paraId="0899EDDF"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4 384 803.31</w:t>
            </w:r>
          </w:p>
        </w:tc>
        <w:tc>
          <w:tcPr>
            <w:tcW w:w="1490" w:type="dxa"/>
            <w:shd w:val="clear" w:color="auto" w:fill="auto"/>
          </w:tcPr>
          <w:p w14:paraId="14474B32"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5,140 524.23</w:t>
            </w:r>
          </w:p>
        </w:tc>
        <w:tc>
          <w:tcPr>
            <w:tcW w:w="1490" w:type="dxa"/>
            <w:shd w:val="clear" w:color="auto" w:fill="auto"/>
          </w:tcPr>
          <w:p w14:paraId="0E1C8613"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5 122 407.47</w:t>
            </w:r>
          </w:p>
        </w:tc>
        <w:tc>
          <w:tcPr>
            <w:tcW w:w="1490" w:type="dxa"/>
            <w:shd w:val="clear" w:color="auto" w:fill="auto"/>
          </w:tcPr>
          <w:p w14:paraId="77503042" w14:textId="77777777" w:rsidR="008007D2" w:rsidRPr="008007D2" w:rsidRDefault="008007D2" w:rsidP="008007D2">
            <w:pPr>
              <w:spacing w:after="60" w:line="230" w:lineRule="exact"/>
              <w:jc w:val="right"/>
              <w:rPr>
                <w:rFonts w:eastAsia="Times New Roman"/>
                <w:b/>
                <w:sz w:val="18"/>
                <w:szCs w:val="18"/>
                <w:lang w:val="es-ES"/>
              </w:rPr>
            </w:pPr>
            <w:r w:rsidRPr="008007D2">
              <w:rPr>
                <w:rFonts w:eastAsia="Times New Roman"/>
                <w:b/>
                <w:sz w:val="18"/>
                <w:szCs w:val="18"/>
                <w:lang w:val="es-ES"/>
              </w:rPr>
              <w:t>14 647 735.01</w:t>
            </w:r>
          </w:p>
        </w:tc>
      </w:tr>
      <w:tr w:rsidR="008007D2" w:rsidRPr="008007D2" w14:paraId="522AF8A6" w14:textId="77777777" w:rsidTr="00736C45">
        <w:trPr>
          <w:trHeight w:val="144"/>
        </w:trPr>
        <w:tc>
          <w:tcPr>
            <w:tcW w:w="3784" w:type="dxa"/>
            <w:shd w:val="clear" w:color="auto" w:fill="auto"/>
          </w:tcPr>
          <w:p w14:paraId="0B2928DF" w14:textId="77777777" w:rsidR="008007D2" w:rsidRPr="008007D2" w:rsidRDefault="008007D2" w:rsidP="008007D2">
            <w:pPr>
              <w:spacing w:after="60" w:line="230" w:lineRule="exact"/>
              <w:jc w:val="both"/>
              <w:rPr>
                <w:rFonts w:eastAsia="Times New Roman"/>
                <w:sz w:val="18"/>
                <w:szCs w:val="18"/>
                <w:lang w:val="es-ES"/>
              </w:rPr>
            </w:pPr>
            <w:r w:rsidRPr="008007D2">
              <w:rPr>
                <w:rFonts w:eastAsia="Times New Roman"/>
                <w:sz w:val="18"/>
                <w:szCs w:val="18"/>
                <w:lang w:val="es-ES"/>
              </w:rPr>
              <w:t>BANCO MULTIVA, S.A.</w:t>
            </w:r>
          </w:p>
        </w:tc>
        <w:tc>
          <w:tcPr>
            <w:tcW w:w="1490" w:type="dxa"/>
            <w:shd w:val="clear" w:color="auto" w:fill="auto"/>
          </w:tcPr>
          <w:p w14:paraId="4511BBFE"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13 886 291.33</w:t>
            </w:r>
          </w:p>
        </w:tc>
        <w:tc>
          <w:tcPr>
            <w:tcW w:w="1490" w:type="dxa"/>
            <w:shd w:val="clear" w:color="auto" w:fill="auto"/>
          </w:tcPr>
          <w:p w14:paraId="5465D5F7"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13 407 326.82</w:t>
            </w:r>
          </w:p>
        </w:tc>
        <w:tc>
          <w:tcPr>
            <w:tcW w:w="1490" w:type="dxa"/>
            <w:shd w:val="clear" w:color="auto" w:fill="auto"/>
          </w:tcPr>
          <w:p w14:paraId="61CE44A3"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13 998 776.49</w:t>
            </w:r>
          </w:p>
        </w:tc>
        <w:tc>
          <w:tcPr>
            <w:tcW w:w="1490" w:type="dxa"/>
            <w:shd w:val="clear" w:color="auto" w:fill="auto"/>
          </w:tcPr>
          <w:p w14:paraId="412C0E3C" w14:textId="77777777" w:rsidR="008007D2" w:rsidRPr="008007D2" w:rsidRDefault="008007D2" w:rsidP="008007D2">
            <w:pPr>
              <w:spacing w:after="60" w:line="230" w:lineRule="exact"/>
              <w:jc w:val="right"/>
              <w:rPr>
                <w:rFonts w:eastAsia="Times New Roman"/>
                <w:b/>
                <w:sz w:val="18"/>
                <w:szCs w:val="18"/>
                <w:lang w:val="es-ES"/>
              </w:rPr>
            </w:pPr>
            <w:r w:rsidRPr="008007D2">
              <w:rPr>
                <w:rFonts w:eastAsia="Times New Roman"/>
                <w:b/>
                <w:sz w:val="18"/>
                <w:szCs w:val="18"/>
                <w:lang w:val="es-ES"/>
              </w:rPr>
              <w:t>41 292 394.64</w:t>
            </w:r>
          </w:p>
        </w:tc>
      </w:tr>
      <w:tr w:rsidR="008007D2" w:rsidRPr="008007D2" w14:paraId="19B203DF" w14:textId="77777777" w:rsidTr="00736C45">
        <w:trPr>
          <w:trHeight w:val="144"/>
        </w:trPr>
        <w:tc>
          <w:tcPr>
            <w:tcW w:w="3784" w:type="dxa"/>
            <w:shd w:val="clear" w:color="auto" w:fill="auto"/>
          </w:tcPr>
          <w:p w14:paraId="5591E4E0" w14:textId="77777777" w:rsidR="008007D2" w:rsidRPr="008007D2" w:rsidRDefault="008007D2" w:rsidP="008007D2">
            <w:pPr>
              <w:spacing w:after="60" w:line="230" w:lineRule="exact"/>
              <w:jc w:val="both"/>
              <w:rPr>
                <w:rFonts w:eastAsia="Times New Roman"/>
                <w:sz w:val="18"/>
                <w:szCs w:val="18"/>
                <w:lang w:val="es-ES"/>
              </w:rPr>
            </w:pPr>
            <w:r w:rsidRPr="008007D2">
              <w:rPr>
                <w:rFonts w:eastAsia="Times New Roman"/>
                <w:sz w:val="18"/>
                <w:szCs w:val="18"/>
                <w:lang w:val="es-ES"/>
              </w:rPr>
              <w:t>BANCO NACIONAL DE MEXICO, S.A.</w:t>
            </w:r>
          </w:p>
        </w:tc>
        <w:tc>
          <w:tcPr>
            <w:tcW w:w="1490" w:type="dxa"/>
            <w:shd w:val="clear" w:color="auto" w:fill="auto"/>
          </w:tcPr>
          <w:p w14:paraId="590646C8"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193 064 129.58</w:t>
            </w:r>
          </w:p>
        </w:tc>
        <w:tc>
          <w:tcPr>
            <w:tcW w:w="1490" w:type="dxa"/>
            <w:shd w:val="clear" w:color="auto" w:fill="auto"/>
          </w:tcPr>
          <w:p w14:paraId="60D64597"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198 868 291.82</w:t>
            </w:r>
          </w:p>
        </w:tc>
        <w:tc>
          <w:tcPr>
            <w:tcW w:w="1490" w:type="dxa"/>
            <w:shd w:val="clear" w:color="auto" w:fill="auto"/>
          </w:tcPr>
          <w:p w14:paraId="17389104"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206 908 556.90</w:t>
            </w:r>
          </w:p>
        </w:tc>
        <w:tc>
          <w:tcPr>
            <w:tcW w:w="1490" w:type="dxa"/>
            <w:shd w:val="clear" w:color="auto" w:fill="auto"/>
          </w:tcPr>
          <w:p w14:paraId="70201427" w14:textId="77777777" w:rsidR="008007D2" w:rsidRPr="008007D2" w:rsidRDefault="008007D2" w:rsidP="008007D2">
            <w:pPr>
              <w:spacing w:after="60" w:line="230" w:lineRule="exact"/>
              <w:jc w:val="right"/>
              <w:rPr>
                <w:rFonts w:eastAsia="Times New Roman"/>
                <w:b/>
                <w:sz w:val="18"/>
                <w:szCs w:val="18"/>
                <w:lang w:val="es-ES"/>
              </w:rPr>
            </w:pPr>
            <w:r w:rsidRPr="008007D2">
              <w:rPr>
                <w:rFonts w:eastAsia="Times New Roman"/>
                <w:b/>
                <w:sz w:val="18"/>
                <w:szCs w:val="18"/>
                <w:lang w:val="es-ES"/>
              </w:rPr>
              <w:t>598 840 978.30</w:t>
            </w:r>
          </w:p>
        </w:tc>
      </w:tr>
      <w:tr w:rsidR="008007D2" w:rsidRPr="008007D2" w14:paraId="1F1E8B18" w14:textId="77777777" w:rsidTr="00736C45">
        <w:trPr>
          <w:trHeight w:val="144"/>
        </w:trPr>
        <w:tc>
          <w:tcPr>
            <w:tcW w:w="3784" w:type="dxa"/>
            <w:shd w:val="clear" w:color="auto" w:fill="auto"/>
          </w:tcPr>
          <w:p w14:paraId="5D4B4479" w14:textId="77777777" w:rsidR="008007D2" w:rsidRPr="008007D2" w:rsidRDefault="008007D2" w:rsidP="008007D2">
            <w:pPr>
              <w:spacing w:after="60" w:line="230" w:lineRule="exact"/>
              <w:jc w:val="both"/>
              <w:rPr>
                <w:rFonts w:eastAsia="Times New Roman"/>
                <w:sz w:val="18"/>
                <w:szCs w:val="18"/>
                <w:lang w:val="es-ES"/>
              </w:rPr>
            </w:pPr>
            <w:r w:rsidRPr="008007D2">
              <w:rPr>
                <w:rFonts w:eastAsia="Times New Roman"/>
                <w:sz w:val="18"/>
                <w:szCs w:val="18"/>
                <w:lang w:val="es-ES"/>
              </w:rPr>
              <w:t>BANCO PAGATODO, S.A.</w:t>
            </w:r>
          </w:p>
        </w:tc>
        <w:tc>
          <w:tcPr>
            <w:tcW w:w="1490" w:type="dxa"/>
            <w:shd w:val="clear" w:color="auto" w:fill="auto"/>
          </w:tcPr>
          <w:p w14:paraId="2B8EB438"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243.53</w:t>
            </w:r>
          </w:p>
        </w:tc>
        <w:tc>
          <w:tcPr>
            <w:tcW w:w="1490" w:type="dxa"/>
            <w:shd w:val="clear" w:color="auto" w:fill="auto"/>
          </w:tcPr>
          <w:p w14:paraId="1CA48F27"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41.31</w:t>
            </w:r>
          </w:p>
        </w:tc>
        <w:tc>
          <w:tcPr>
            <w:tcW w:w="1490" w:type="dxa"/>
            <w:shd w:val="clear" w:color="auto" w:fill="auto"/>
          </w:tcPr>
          <w:p w14:paraId="70149798"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3.59</w:t>
            </w:r>
          </w:p>
        </w:tc>
        <w:tc>
          <w:tcPr>
            <w:tcW w:w="1490" w:type="dxa"/>
            <w:shd w:val="clear" w:color="auto" w:fill="auto"/>
          </w:tcPr>
          <w:p w14:paraId="6108868C" w14:textId="77777777" w:rsidR="008007D2" w:rsidRPr="008007D2" w:rsidRDefault="008007D2" w:rsidP="008007D2">
            <w:pPr>
              <w:spacing w:after="60" w:line="230" w:lineRule="exact"/>
              <w:jc w:val="right"/>
              <w:rPr>
                <w:rFonts w:eastAsia="Times New Roman"/>
                <w:b/>
                <w:sz w:val="18"/>
                <w:szCs w:val="18"/>
                <w:lang w:val="es-ES"/>
              </w:rPr>
            </w:pPr>
            <w:r w:rsidRPr="008007D2">
              <w:rPr>
                <w:rFonts w:eastAsia="Times New Roman"/>
                <w:b/>
                <w:sz w:val="18"/>
                <w:szCs w:val="18"/>
                <w:lang w:val="es-ES"/>
              </w:rPr>
              <w:t>288.43</w:t>
            </w:r>
          </w:p>
        </w:tc>
      </w:tr>
      <w:tr w:rsidR="008007D2" w:rsidRPr="008007D2" w14:paraId="675E9D3A" w14:textId="77777777" w:rsidTr="00736C45">
        <w:trPr>
          <w:trHeight w:val="144"/>
        </w:trPr>
        <w:tc>
          <w:tcPr>
            <w:tcW w:w="3784" w:type="dxa"/>
            <w:shd w:val="clear" w:color="auto" w:fill="auto"/>
          </w:tcPr>
          <w:p w14:paraId="71CAD036" w14:textId="77777777" w:rsidR="008007D2" w:rsidRPr="008007D2" w:rsidRDefault="008007D2" w:rsidP="008007D2">
            <w:pPr>
              <w:spacing w:after="60" w:line="230" w:lineRule="exact"/>
              <w:jc w:val="both"/>
              <w:rPr>
                <w:rFonts w:eastAsia="Times New Roman"/>
                <w:sz w:val="18"/>
                <w:szCs w:val="18"/>
                <w:lang w:val="es-ES"/>
              </w:rPr>
            </w:pPr>
            <w:r w:rsidRPr="008007D2">
              <w:rPr>
                <w:rFonts w:eastAsia="Times New Roman"/>
                <w:sz w:val="18"/>
                <w:szCs w:val="18"/>
                <w:lang w:val="es-ES"/>
              </w:rPr>
              <w:t>BANCO REGIONAL DE MONTERREY, S.A.</w:t>
            </w:r>
          </w:p>
        </w:tc>
        <w:tc>
          <w:tcPr>
            <w:tcW w:w="1490" w:type="dxa"/>
            <w:shd w:val="clear" w:color="auto" w:fill="auto"/>
          </w:tcPr>
          <w:p w14:paraId="0CA2A62D"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13 727 244.59</w:t>
            </w:r>
          </w:p>
        </w:tc>
        <w:tc>
          <w:tcPr>
            <w:tcW w:w="1490" w:type="dxa"/>
            <w:shd w:val="clear" w:color="auto" w:fill="auto"/>
          </w:tcPr>
          <w:p w14:paraId="56CDB7E1"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13 958 025.41</w:t>
            </w:r>
          </w:p>
        </w:tc>
        <w:tc>
          <w:tcPr>
            <w:tcW w:w="1490" w:type="dxa"/>
            <w:shd w:val="clear" w:color="auto" w:fill="auto"/>
          </w:tcPr>
          <w:p w14:paraId="2D142109"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14 742 413.91</w:t>
            </w:r>
          </w:p>
        </w:tc>
        <w:tc>
          <w:tcPr>
            <w:tcW w:w="1490" w:type="dxa"/>
            <w:shd w:val="clear" w:color="auto" w:fill="auto"/>
          </w:tcPr>
          <w:p w14:paraId="78441821" w14:textId="77777777" w:rsidR="008007D2" w:rsidRPr="008007D2" w:rsidRDefault="008007D2" w:rsidP="008007D2">
            <w:pPr>
              <w:spacing w:after="60" w:line="230" w:lineRule="exact"/>
              <w:jc w:val="right"/>
              <w:rPr>
                <w:rFonts w:eastAsia="Times New Roman"/>
                <w:b/>
                <w:sz w:val="18"/>
                <w:szCs w:val="18"/>
                <w:lang w:val="es-ES"/>
              </w:rPr>
            </w:pPr>
            <w:r w:rsidRPr="008007D2">
              <w:rPr>
                <w:rFonts w:eastAsia="Times New Roman"/>
                <w:b/>
                <w:sz w:val="18"/>
                <w:szCs w:val="18"/>
                <w:lang w:val="es-ES"/>
              </w:rPr>
              <w:t>42 427 683.91</w:t>
            </w:r>
          </w:p>
        </w:tc>
      </w:tr>
      <w:tr w:rsidR="008007D2" w:rsidRPr="008007D2" w14:paraId="09952220" w14:textId="77777777" w:rsidTr="00736C45">
        <w:trPr>
          <w:trHeight w:val="144"/>
        </w:trPr>
        <w:tc>
          <w:tcPr>
            <w:tcW w:w="3784" w:type="dxa"/>
            <w:shd w:val="clear" w:color="auto" w:fill="auto"/>
          </w:tcPr>
          <w:p w14:paraId="33C2A1FF" w14:textId="77777777" w:rsidR="008007D2" w:rsidRPr="008007D2" w:rsidRDefault="008007D2" w:rsidP="008007D2">
            <w:pPr>
              <w:spacing w:after="60" w:line="230" w:lineRule="exact"/>
              <w:jc w:val="both"/>
              <w:rPr>
                <w:rFonts w:eastAsia="Times New Roman"/>
                <w:sz w:val="18"/>
                <w:szCs w:val="18"/>
                <w:lang w:val="es-ES"/>
              </w:rPr>
            </w:pPr>
            <w:r w:rsidRPr="008007D2">
              <w:rPr>
                <w:rFonts w:eastAsia="Times New Roman"/>
                <w:sz w:val="18"/>
                <w:szCs w:val="18"/>
                <w:lang w:val="es-ES"/>
              </w:rPr>
              <w:t>BANCO SANTANDER (MEXICO), S.A.</w:t>
            </w:r>
          </w:p>
        </w:tc>
        <w:tc>
          <w:tcPr>
            <w:tcW w:w="1490" w:type="dxa"/>
            <w:shd w:val="clear" w:color="auto" w:fill="auto"/>
          </w:tcPr>
          <w:p w14:paraId="4CCD8B01"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165 619 246.20</w:t>
            </w:r>
          </w:p>
        </w:tc>
        <w:tc>
          <w:tcPr>
            <w:tcW w:w="1490" w:type="dxa"/>
            <w:shd w:val="clear" w:color="auto" w:fill="auto"/>
          </w:tcPr>
          <w:p w14:paraId="045A7744"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168 977 509.83</w:t>
            </w:r>
          </w:p>
        </w:tc>
        <w:tc>
          <w:tcPr>
            <w:tcW w:w="1490" w:type="dxa"/>
            <w:shd w:val="clear" w:color="auto" w:fill="auto"/>
          </w:tcPr>
          <w:p w14:paraId="1D9E0D46"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177 155 630.93</w:t>
            </w:r>
          </w:p>
        </w:tc>
        <w:tc>
          <w:tcPr>
            <w:tcW w:w="1490" w:type="dxa"/>
            <w:shd w:val="clear" w:color="auto" w:fill="auto"/>
          </w:tcPr>
          <w:p w14:paraId="536FF84A" w14:textId="77777777" w:rsidR="008007D2" w:rsidRPr="008007D2" w:rsidRDefault="008007D2" w:rsidP="008007D2">
            <w:pPr>
              <w:spacing w:after="60" w:line="230" w:lineRule="exact"/>
              <w:jc w:val="right"/>
              <w:rPr>
                <w:rFonts w:eastAsia="Times New Roman"/>
                <w:b/>
                <w:sz w:val="18"/>
                <w:szCs w:val="18"/>
                <w:lang w:val="es-ES"/>
              </w:rPr>
            </w:pPr>
            <w:r w:rsidRPr="008007D2">
              <w:rPr>
                <w:rFonts w:eastAsia="Times New Roman"/>
                <w:b/>
                <w:sz w:val="18"/>
                <w:szCs w:val="18"/>
                <w:lang w:val="es-ES"/>
              </w:rPr>
              <w:t>511 752 386.96</w:t>
            </w:r>
          </w:p>
        </w:tc>
      </w:tr>
      <w:tr w:rsidR="008007D2" w:rsidRPr="008007D2" w14:paraId="230EA6C0" w14:textId="77777777" w:rsidTr="00736C45">
        <w:trPr>
          <w:trHeight w:val="144"/>
        </w:trPr>
        <w:tc>
          <w:tcPr>
            <w:tcW w:w="3784" w:type="dxa"/>
            <w:shd w:val="clear" w:color="auto" w:fill="auto"/>
          </w:tcPr>
          <w:p w14:paraId="394AE70A" w14:textId="77777777" w:rsidR="008007D2" w:rsidRPr="008007D2" w:rsidRDefault="008007D2" w:rsidP="008007D2">
            <w:pPr>
              <w:spacing w:after="60" w:line="230" w:lineRule="exact"/>
              <w:jc w:val="both"/>
              <w:rPr>
                <w:rFonts w:eastAsia="Times New Roman"/>
                <w:sz w:val="18"/>
                <w:szCs w:val="18"/>
                <w:lang w:val="es-ES"/>
              </w:rPr>
            </w:pPr>
            <w:r w:rsidRPr="008007D2">
              <w:rPr>
                <w:rFonts w:eastAsia="Times New Roman"/>
                <w:sz w:val="18"/>
                <w:szCs w:val="18"/>
                <w:lang w:val="es-ES"/>
              </w:rPr>
              <w:t>BANCO VE POR MAS, S.A.</w:t>
            </w:r>
          </w:p>
        </w:tc>
        <w:tc>
          <w:tcPr>
            <w:tcW w:w="1490" w:type="dxa"/>
            <w:shd w:val="clear" w:color="auto" w:fill="auto"/>
          </w:tcPr>
          <w:p w14:paraId="098E3411"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4 792 897.86</w:t>
            </w:r>
          </w:p>
        </w:tc>
        <w:tc>
          <w:tcPr>
            <w:tcW w:w="1490" w:type="dxa"/>
            <w:shd w:val="clear" w:color="auto" w:fill="auto"/>
          </w:tcPr>
          <w:p w14:paraId="2F7023F4"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4 797 738.70</w:t>
            </w:r>
          </w:p>
        </w:tc>
        <w:tc>
          <w:tcPr>
            <w:tcW w:w="1490" w:type="dxa"/>
            <w:shd w:val="clear" w:color="auto" w:fill="auto"/>
          </w:tcPr>
          <w:p w14:paraId="7C200ED2"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5 131 491.29</w:t>
            </w:r>
          </w:p>
        </w:tc>
        <w:tc>
          <w:tcPr>
            <w:tcW w:w="1490" w:type="dxa"/>
            <w:shd w:val="clear" w:color="auto" w:fill="auto"/>
          </w:tcPr>
          <w:p w14:paraId="74E57D8E" w14:textId="77777777" w:rsidR="008007D2" w:rsidRPr="008007D2" w:rsidRDefault="008007D2" w:rsidP="008007D2">
            <w:pPr>
              <w:spacing w:after="60" w:line="230" w:lineRule="exact"/>
              <w:jc w:val="right"/>
              <w:rPr>
                <w:rFonts w:eastAsia="Times New Roman"/>
                <w:b/>
                <w:sz w:val="18"/>
                <w:szCs w:val="18"/>
                <w:lang w:val="es-ES"/>
              </w:rPr>
            </w:pPr>
            <w:r w:rsidRPr="008007D2">
              <w:rPr>
                <w:rFonts w:eastAsia="Times New Roman"/>
                <w:b/>
                <w:sz w:val="18"/>
                <w:szCs w:val="18"/>
                <w:lang w:val="es-ES"/>
              </w:rPr>
              <w:t>14 722 127.85</w:t>
            </w:r>
          </w:p>
        </w:tc>
      </w:tr>
      <w:tr w:rsidR="008007D2" w:rsidRPr="008007D2" w14:paraId="34621A2F" w14:textId="77777777" w:rsidTr="00736C45">
        <w:trPr>
          <w:trHeight w:val="144"/>
        </w:trPr>
        <w:tc>
          <w:tcPr>
            <w:tcW w:w="3784" w:type="dxa"/>
            <w:shd w:val="clear" w:color="auto" w:fill="auto"/>
          </w:tcPr>
          <w:p w14:paraId="041FD877" w14:textId="77777777" w:rsidR="008007D2" w:rsidRPr="008007D2" w:rsidRDefault="008007D2" w:rsidP="008007D2">
            <w:pPr>
              <w:spacing w:after="60" w:line="230" w:lineRule="exact"/>
              <w:jc w:val="both"/>
              <w:rPr>
                <w:rFonts w:eastAsia="Times New Roman"/>
                <w:sz w:val="18"/>
                <w:szCs w:val="18"/>
                <w:lang w:val="es-ES"/>
              </w:rPr>
            </w:pPr>
            <w:r w:rsidRPr="008007D2">
              <w:rPr>
                <w:rFonts w:eastAsia="Times New Roman"/>
                <w:sz w:val="18"/>
                <w:szCs w:val="18"/>
                <w:lang w:val="es-ES"/>
              </w:rPr>
              <w:t>BANCO WAL-MART DE MEXICO ADELANTE, S.A.</w:t>
            </w:r>
          </w:p>
        </w:tc>
        <w:tc>
          <w:tcPr>
            <w:tcW w:w="1490" w:type="dxa"/>
            <w:shd w:val="clear" w:color="auto" w:fill="auto"/>
          </w:tcPr>
          <w:p w14:paraId="54BFEFFF"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1 877 384.00</w:t>
            </w:r>
          </w:p>
        </w:tc>
        <w:tc>
          <w:tcPr>
            <w:tcW w:w="1490" w:type="dxa"/>
            <w:shd w:val="clear" w:color="auto" w:fill="auto"/>
          </w:tcPr>
          <w:p w14:paraId="6266EE43"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1 833 928.18</w:t>
            </w:r>
          </w:p>
        </w:tc>
        <w:tc>
          <w:tcPr>
            <w:tcW w:w="1490" w:type="dxa"/>
            <w:shd w:val="clear" w:color="auto" w:fill="auto"/>
          </w:tcPr>
          <w:p w14:paraId="21CF7E5F"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1 870 651.64</w:t>
            </w:r>
          </w:p>
        </w:tc>
        <w:tc>
          <w:tcPr>
            <w:tcW w:w="1490" w:type="dxa"/>
            <w:shd w:val="clear" w:color="auto" w:fill="auto"/>
          </w:tcPr>
          <w:p w14:paraId="302FC9EB" w14:textId="77777777" w:rsidR="008007D2" w:rsidRPr="008007D2" w:rsidRDefault="008007D2" w:rsidP="008007D2">
            <w:pPr>
              <w:spacing w:after="60" w:line="230" w:lineRule="exact"/>
              <w:jc w:val="right"/>
              <w:rPr>
                <w:rFonts w:eastAsia="Times New Roman"/>
                <w:b/>
                <w:sz w:val="18"/>
                <w:szCs w:val="18"/>
                <w:lang w:val="es-ES"/>
              </w:rPr>
            </w:pPr>
            <w:r w:rsidRPr="008007D2">
              <w:rPr>
                <w:rFonts w:eastAsia="Times New Roman"/>
                <w:b/>
                <w:sz w:val="18"/>
                <w:szCs w:val="18"/>
                <w:lang w:val="es-ES"/>
              </w:rPr>
              <w:t>5 581 963.82</w:t>
            </w:r>
          </w:p>
        </w:tc>
      </w:tr>
      <w:tr w:rsidR="008007D2" w:rsidRPr="008007D2" w14:paraId="08CCF2B6" w14:textId="77777777" w:rsidTr="00736C45">
        <w:trPr>
          <w:trHeight w:val="144"/>
        </w:trPr>
        <w:tc>
          <w:tcPr>
            <w:tcW w:w="3784" w:type="dxa"/>
            <w:shd w:val="clear" w:color="auto" w:fill="auto"/>
          </w:tcPr>
          <w:p w14:paraId="32934070" w14:textId="77777777" w:rsidR="008007D2" w:rsidRPr="008007D2" w:rsidRDefault="008007D2" w:rsidP="008007D2">
            <w:pPr>
              <w:spacing w:after="60" w:line="230" w:lineRule="exact"/>
              <w:jc w:val="both"/>
              <w:rPr>
                <w:rFonts w:eastAsia="Times New Roman"/>
                <w:sz w:val="18"/>
                <w:szCs w:val="18"/>
                <w:lang w:val="es-ES"/>
              </w:rPr>
            </w:pPr>
            <w:r w:rsidRPr="008007D2">
              <w:rPr>
                <w:rFonts w:eastAsia="Times New Roman"/>
                <w:sz w:val="18"/>
                <w:szCs w:val="18"/>
                <w:lang w:val="es-ES"/>
              </w:rPr>
              <w:t>BANCOPPEL, S.A.</w:t>
            </w:r>
          </w:p>
        </w:tc>
        <w:tc>
          <w:tcPr>
            <w:tcW w:w="1490" w:type="dxa"/>
            <w:shd w:val="clear" w:color="auto" w:fill="auto"/>
          </w:tcPr>
          <w:p w14:paraId="561BC77A"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6 983 334.45</w:t>
            </w:r>
          </w:p>
        </w:tc>
        <w:tc>
          <w:tcPr>
            <w:tcW w:w="1490" w:type="dxa"/>
            <w:shd w:val="clear" w:color="auto" w:fill="auto"/>
          </w:tcPr>
          <w:p w14:paraId="02C07568"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7 133 878.82</w:t>
            </w:r>
          </w:p>
        </w:tc>
        <w:tc>
          <w:tcPr>
            <w:tcW w:w="1490" w:type="dxa"/>
            <w:shd w:val="clear" w:color="auto" w:fill="auto"/>
          </w:tcPr>
          <w:p w14:paraId="2C64C158"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7 558 467.72</w:t>
            </w:r>
          </w:p>
        </w:tc>
        <w:tc>
          <w:tcPr>
            <w:tcW w:w="1490" w:type="dxa"/>
            <w:shd w:val="clear" w:color="auto" w:fill="auto"/>
          </w:tcPr>
          <w:p w14:paraId="305A070B" w14:textId="77777777" w:rsidR="008007D2" w:rsidRPr="008007D2" w:rsidRDefault="008007D2" w:rsidP="008007D2">
            <w:pPr>
              <w:spacing w:after="60" w:line="230" w:lineRule="exact"/>
              <w:jc w:val="right"/>
              <w:rPr>
                <w:rFonts w:eastAsia="Times New Roman"/>
                <w:b/>
                <w:sz w:val="18"/>
                <w:szCs w:val="18"/>
                <w:lang w:val="es-ES"/>
              </w:rPr>
            </w:pPr>
            <w:r w:rsidRPr="008007D2">
              <w:rPr>
                <w:rFonts w:eastAsia="Times New Roman"/>
                <w:b/>
                <w:sz w:val="18"/>
                <w:szCs w:val="18"/>
                <w:lang w:val="es-ES"/>
              </w:rPr>
              <w:t>21 675 680.99</w:t>
            </w:r>
          </w:p>
        </w:tc>
      </w:tr>
      <w:tr w:rsidR="008007D2" w:rsidRPr="008007D2" w14:paraId="79BB5C69" w14:textId="77777777" w:rsidTr="00736C45">
        <w:trPr>
          <w:trHeight w:val="144"/>
        </w:trPr>
        <w:tc>
          <w:tcPr>
            <w:tcW w:w="3784" w:type="dxa"/>
            <w:shd w:val="clear" w:color="auto" w:fill="auto"/>
          </w:tcPr>
          <w:p w14:paraId="3987EF0F" w14:textId="77777777" w:rsidR="008007D2" w:rsidRPr="008007D2" w:rsidRDefault="008007D2" w:rsidP="008007D2">
            <w:pPr>
              <w:spacing w:after="60" w:line="230" w:lineRule="exact"/>
              <w:jc w:val="both"/>
              <w:rPr>
                <w:rFonts w:eastAsia="Times New Roman"/>
                <w:sz w:val="18"/>
                <w:szCs w:val="18"/>
                <w:lang w:val="es-ES"/>
              </w:rPr>
            </w:pPr>
            <w:r w:rsidRPr="008007D2">
              <w:rPr>
                <w:rFonts w:eastAsia="Times New Roman"/>
                <w:sz w:val="18"/>
                <w:szCs w:val="18"/>
                <w:lang w:val="es-ES"/>
              </w:rPr>
              <w:t>BANCREA, S.A.</w:t>
            </w:r>
          </w:p>
        </w:tc>
        <w:tc>
          <w:tcPr>
            <w:tcW w:w="1490" w:type="dxa"/>
            <w:shd w:val="clear" w:color="auto" w:fill="auto"/>
          </w:tcPr>
          <w:p w14:paraId="2EEADC1B"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577 876.16</w:t>
            </w:r>
          </w:p>
        </w:tc>
        <w:tc>
          <w:tcPr>
            <w:tcW w:w="1490" w:type="dxa"/>
            <w:shd w:val="clear" w:color="auto" w:fill="auto"/>
          </w:tcPr>
          <w:p w14:paraId="030AC07E"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666 689.48</w:t>
            </w:r>
          </w:p>
        </w:tc>
        <w:tc>
          <w:tcPr>
            <w:tcW w:w="1490" w:type="dxa"/>
            <w:shd w:val="clear" w:color="auto" w:fill="auto"/>
          </w:tcPr>
          <w:p w14:paraId="4E875C97"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766 046.82</w:t>
            </w:r>
          </w:p>
        </w:tc>
        <w:tc>
          <w:tcPr>
            <w:tcW w:w="1490" w:type="dxa"/>
            <w:shd w:val="clear" w:color="auto" w:fill="auto"/>
          </w:tcPr>
          <w:p w14:paraId="39F7FD40" w14:textId="77777777" w:rsidR="008007D2" w:rsidRPr="008007D2" w:rsidRDefault="008007D2" w:rsidP="008007D2">
            <w:pPr>
              <w:spacing w:after="60" w:line="230" w:lineRule="exact"/>
              <w:jc w:val="right"/>
              <w:rPr>
                <w:rFonts w:eastAsia="Times New Roman"/>
                <w:b/>
                <w:sz w:val="18"/>
                <w:szCs w:val="18"/>
                <w:lang w:val="es-ES"/>
              </w:rPr>
            </w:pPr>
            <w:r w:rsidRPr="008007D2">
              <w:rPr>
                <w:rFonts w:eastAsia="Times New Roman"/>
                <w:b/>
                <w:sz w:val="18"/>
                <w:szCs w:val="18"/>
                <w:lang w:val="es-ES"/>
              </w:rPr>
              <w:t>2 010 612.46</w:t>
            </w:r>
          </w:p>
        </w:tc>
      </w:tr>
      <w:tr w:rsidR="008007D2" w:rsidRPr="008007D2" w14:paraId="5868A0A6" w14:textId="77777777" w:rsidTr="00736C45">
        <w:trPr>
          <w:trHeight w:val="144"/>
        </w:trPr>
        <w:tc>
          <w:tcPr>
            <w:tcW w:w="3784" w:type="dxa"/>
            <w:shd w:val="clear" w:color="auto" w:fill="auto"/>
          </w:tcPr>
          <w:p w14:paraId="23D51205" w14:textId="77777777" w:rsidR="008007D2" w:rsidRPr="008007D2" w:rsidRDefault="008007D2" w:rsidP="008007D2">
            <w:pPr>
              <w:spacing w:after="60" w:line="230" w:lineRule="exact"/>
              <w:jc w:val="both"/>
              <w:rPr>
                <w:rFonts w:eastAsia="Times New Roman"/>
                <w:sz w:val="18"/>
                <w:szCs w:val="18"/>
                <w:lang w:val="es-ES"/>
              </w:rPr>
            </w:pPr>
            <w:r w:rsidRPr="008007D2">
              <w:rPr>
                <w:rFonts w:eastAsia="Times New Roman"/>
                <w:sz w:val="18"/>
                <w:szCs w:val="18"/>
                <w:lang w:val="es-ES"/>
              </w:rPr>
              <w:t>BANK OF AMERICA MEXICO, S.A.</w:t>
            </w:r>
          </w:p>
        </w:tc>
        <w:tc>
          <w:tcPr>
            <w:tcW w:w="1490" w:type="dxa"/>
            <w:shd w:val="clear" w:color="auto" w:fill="auto"/>
          </w:tcPr>
          <w:p w14:paraId="4021169E"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3 165 310.53</w:t>
            </w:r>
          </w:p>
        </w:tc>
        <w:tc>
          <w:tcPr>
            <w:tcW w:w="1490" w:type="dxa"/>
            <w:shd w:val="clear" w:color="auto" w:fill="auto"/>
          </w:tcPr>
          <w:p w14:paraId="506D8C35"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3 997 063.37</w:t>
            </w:r>
          </w:p>
        </w:tc>
        <w:tc>
          <w:tcPr>
            <w:tcW w:w="1490" w:type="dxa"/>
            <w:shd w:val="clear" w:color="auto" w:fill="auto"/>
          </w:tcPr>
          <w:p w14:paraId="15A89ACF"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4 717 499.35</w:t>
            </w:r>
          </w:p>
        </w:tc>
        <w:tc>
          <w:tcPr>
            <w:tcW w:w="1490" w:type="dxa"/>
            <w:shd w:val="clear" w:color="auto" w:fill="auto"/>
          </w:tcPr>
          <w:p w14:paraId="0047AA9B" w14:textId="77777777" w:rsidR="008007D2" w:rsidRPr="008007D2" w:rsidRDefault="008007D2" w:rsidP="008007D2">
            <w:pPr>
              <w:spacing w:after="60" w:line="230" w:lineRule="exact"/>
              <w:jc w:val="right"/>
              <w:rPr>
                <w:rFonts w:eastAsia="Times New Roman"/>
                <w:b/>
                <w:sz w:val="18"/>
                <w:szCs w:val="18"/>
                <w:lang w:val="es-ES"/>
              </w:rPr>
            </w:pPr>
            <w:r w:rsidRPr="008007D2">
              <w:rPr>
                <w:rFonts w:eastAsia="Times New Roman"/>
                <w:b/>
                <w:sz w:val="18"/>
                <w:szCs w:val="18"/>
                <w:lang w:val="es-ES"/>
              </w:rPr>
              <w:t>11 879 873.25</w:t>
            </w:r>
          </w:p>
        </w:tc>
      </w:tr>
      <w:tr w:rsidR="008007D2" w:rsidRPr="008007D2" w14:paraId="368E6A86" w14:textId="77777777" w:rsidTr="00736C45">
        <w:trPr>
          <w:trHeight w:val="144"/>
        </w:trPr>
        <w:tc>
          <w:tcPr>
            <w:tcW w:w="3784" w:type="dxa"/>
            <w:shd w:val="clear" w:color="auto" w:fill="auto"/>
          </w:tcPr>
          <w:p w14:paraId="40E7DDD1" w14:textId="77777777" w:rsidR="008007D2" w:rsidRPr="008007D2" w:rsidRDefault="008007D2" w:rsidP="008007D2">
            <w:pPr>
              <w:spacing w:after="60" w:line="230" w:lineRule="exact"/>
              <w:jc w:val="both"/>
              <w:rPr>
                <w:rFonts w:eastAsia="Times New Roman"/>
                <w:sz w:val="18"/>
                <w:szCs w:val="18"/>
                <w:lang w:val="en-US"/>
              </w:rPr>
            </w:pPr>
            <w:r w:rsidRPr="008007D2">
              <w:rPr>
                <w:rFonts w:eastAsia="Times New Roman"/>
                <w:sz w:val="18"/>
                <w:szCs w:val="18"/>
                <w:lang w:val="en-US"/>
              </w:rPr>
              <w:t>BANK OF TOKYO-MITSUBISHI UFJ (MEXICO), S.A.</w:t>
            </w:r>
          </w:p>
        </w:tc>
        <w:tc>
          <w:tcPr>
            <w:tcW w:w="1490" w:type="dxa"/>
            <w:shd w:val="clear" w:color="auto" w:fill="auto"/>
          </w:tcPr>
          <w:p w14:paraId="1A35772A"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1 924 143.53</w:t>
            </w:r>
          </w:p>
        </w:tc>
        <w:tc>
          <w:tcPr>
            <w:tcW w:w="1490" w:type="dxa"/>
            <w:shd w:val="clear" w:color="auto" w:fill="auto"/>
          </w:tcPr>
          <w:p w14:paraId="102950BD"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2 593 172.14</w:t>
            </w:r>
          </w:p>
        </w:tc>
        <w:tc>
          <w:tcPr>
            <w:tcW w:w="1490" w:type="dxa"/>
            <w:shd w:val="clear" w:color="auto" w:fill="auto"/>
          </w:tcPr>
          <w:p w14:paraId="1C0B2B45"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3 143 872.43</w:t>
            </w:r>
          </w:p>
        </w:tc>
        <w:tc>
          <w:tcPr>
            <w:tcW w:w="1490" w:type="dxa"/>
            <w:shd w:val="clear" w:color="auto" w:fill="auto"/>
          </w:tcPr>
          <w:p w14:paraId="7387A9EA" w14:textId="77777777" w:rsidR="008007D2" w:rsidRPr="008007D2" w:rsidRDefault="008007D2" w:rsidP="008007D2">
            <w:pPr>
              <w:spacing w:after="60" w:line="230" w:lineRule="exact"/>
              <w:jc w:val="right"/>
              <w:rPr>
                <w:rFonts w:eastAsia="Times New Roman"/>
                <w:b/>
                <w:sz w:val="18"/>
                <w:szCs w:val="18"/>
                <w:lang w:val="es-ES"/>
              </w:rPr>
            </w:pPr>
            <w:r w:rsidRPr="008007D2">
              <w:rPr>
                <w:rFonts w:eastAsia="Times New Roman"/>
                <w:b/>
                <w:sz w:val="18"/>
                <w:szCs w:val="18"/>
                <w:lang w:val="es-ES"/>
              </w:rPr>
              <w:t>7 661 188.10</w:t>
            </w:r>
          </w:p>
        </w:tc>
      </w:tr>
      <w:tr w:rsidR="008007D2" w:rsidRPr="008007D2" w14:paraId="79979E54" w14:textId="77777777" w:rsidTr="00736C45">
        <w:trPr>
          <w:trHeight w:val="144"/>
        </w:trPr>
        <w:tc>
          <w:tcPr>
            <w:tcW w:w="3784" w:type="dxa"/>
            <w:shd w:val="clear" w:color="auto" w:fill="auto"/>
          </w:tcPr>
          <w:p w14:paraId="10995B8B" w14:textId="77777777" w:rsidR="008007D2" w:rsidRPr="008007D2" w:rsidRDefault="008007D2" w:rsidP="008007D2">
            <w:pPr>
              <w:spacing w:after="60" w:line="230" w:lineRule="exact"/>
              <w:jc w:val="both"/>
              <w:rPr>
                <w:rFonts w:eastAsia="Times New Roman"/>
                <w:sz w:val="18"/>
                <w:szCs w:val="18"/>
                <w:lang w:val="es-ES"/>
              </w:rPr>
            </w:pPr>
            <w:r w:rsidRPr="008007D2">
              <w:rPr>
                <w:rFonts w:eastAsia="Times New Roman"/>
                <w:sz w:val="18"/>
                <w:szCs w:val="18"/>
                <w:lang w:val="es-ES"/>
              </w:rPr>
              <w:t>BANKAOOL, S.A.</w:t>
            </w:r>
          </w:p>
        </w:tc>
        <w:tc>
          <w:tcPr>
            <w:tcW w:w="1490" w:type="dxa"/>
            <w:shd w:val="clear" w:color="auto" w:fill="auto"/>
          </w:tcPr>
          <w:p w14:paraId="66599433"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533 814.94</w:t>
            </w:r>
          </w:p>
        </w:tc>
        <w:tc>
          <w:tcPr>
            <w:tcW w:w="1490" w:type="dxa"/>
            <w:shd w:val="clear" w:color="auto" w:fill="auto"/>
          </w:tcPr>
          <w:p w14:paraId="159744EB"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526 097.87</w:t>
            </w:r>
          </w:p>
        </w:tc>
        <w:tc>
          <w:tcPr>
            <w:tcW w:w="1490" w:type="dxa"/>
            <w:shd w:val="clear" w:color="auto" w:fill="auto"/>
          </w:tcPr>
          <w:p w14:paraId="673B9D6C"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548 993.71</w:t>
            </w:r>
          </w:p>
        </w:tc>
        <w:tc>
          <w:tcPr>
            <w:tcW w:w="1490" w:type="dxa"/>
            <w:shd w:val="clear" w:color="auto" w:fill="auto"/>
          </w:tcPr>
          <w:p w14:paraId="75131EF5" w14:textId="77777777" w:rsidR="008007D2" w:rsidRPr="008007D2" w:rsidRDefault="008007D2" w:rsidP="008007D2">
            <w:pPr>
              <w:spacing w:after="60" w:line="230" w:lineRule="exact"/>
              <w:jc w:val="right"/>
              <w:rPr>
                <w:rFonts w:eastAsia="Times New Roman"/>
                <w:b/>
                <w:sz w:val="18"/>
                <w:szCs w:val="18"/>
                <w:lang w:val="es-ES"/>
              </w:rPr>
            </w:pPr>
            <w:r w:rsidRPr="008007D2">
              <w:rPr>
                <w:rFonts w:eastAsia="Times New Roman"/>
                <w:b/>
                <w:sz w:val="18"/>
                <w:szCs w:val="18"/>
                <w:lang w:val="es-ES"/>
              </w:rPr>
              <w:t>1 608 906.52</w:t>
            </w:r>
          </w:p>
        </w:tc>
      </w:tr>
      <w:tr w:rsidR="008007D2" w:rsidRPr="008007D2" w14:paraId="718A11EB" w14:textId="77777777" w:rsidTr="00736C45">
        <w:trPr>
          <w:trHeight w:val="144"/>
        </w:trPr>
        <w:tc>
          <w:tcPr>
            <w:tcW w:w="3784" w:type="dxa"/>
            <w:shd w:val="clear" w:color="auto" w:fill="auto"/>
          </w:tcPr>
          <w:p w14:paraId="48A1EA23" w14:textId="77777777" w:rsidR="008007D2" w:rsidRPr="008007D2" w:rsidRDefault="008007D2" w:rsidP="008007D2">
            <w:pPr>
              <w:spacing w:after="60" w:line="230" w:lineRule="exact"/>
              <w:jc w:val="both"/>
              <w:rPr>
                <w:rFonts w:eastAsia="Times New Roman"/>
                <w:sz w:val="18"/>
                <w:szCs w:val="18"/>
                <w:lang w:val="es-ES"/>
              </w:rPr>
            </w:pPr>
            <w:r w:rsidRPr="008007D2">
              <w:rPr>
                <w:rFonts w:eastAsia="Times New Roman"/>
                <w:sz w:val="18"/>
                <w:szCs w:val="18"/>
                <w:lang w:val="es-ES"/>
              </w:rPr>
              <w:t>BANSI, S.A.</w:t>
            </w:r>
          </w:p>
        </w:tc>
        <w:tc>
          <w:tcPr>
            <w:tcW w:w="1490" w:type="dxa"/>
            <w:shd w:val="clear" w:color="auto" w:fill="auto"/>
          </w:tcPr>
          <w:p w14:paraId="06A010AB"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2 518 132.83</w:t>
            </w:r>
          </w:p>
        </w:tc>
        <w:tc>
          <w:tcPr>
            <w:tcW w:w="1490" w:type="dxa"/>
            <w:shd w:val="clear" w:color="auto" w:fill="auto"/>
          </w:tcPr>
          <w:p w14:paraId="45AC1C54"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2 501 242.85</w:t>
            </w:r>
          </w:p>
        </w:tc>
        <w:tc>
          <w:tcPr>
            <w:tcW w:w="1490" w:type="dxa"/>
            <w:shd w:val="clear" w:color="auto" w:fill="auto"/>
          </w:tcPr>
          <w:p w14:paraId="76C7A2CC" w14:textId="77777777" w:rsidR="008007D2" w:rsidRPr="008007D2" w:rsidRDefault="008007D2" w:rsidP="008007D2">
            <w:pPr>
              <w:spacing w:after="60" w:line="230" w:lineRule="exact"/>
              <w:jc w:val="right"/>
              <w:rPr>
                <w:rFonts w:eastAsia="Times New Roman"/>
                <w:sz w:val="18"/>
                <w:szCs w:val="18"/>
                <w:lang w:val="es-ES"/>
              </w:rPr>
            </w:pPr>
            <w:r w:rsidRPr="008007D2">
              <w:rPr>
                <w:rFonts w:eastAsia="Times New Roman"/>
                <w:sz w:val="18"/>
                <w:szCs w:val="18"/>
                <w:lang w:val="es-ES"/>
              </w:rPr>
              <w:t>2 680 333.74</w:t>
            </w:r>
          </w:p>
        </w:tc>
        <w:tc>
          <w:tcPr>
            <w:tcW w:w="1490" w:type="dxa"/>
            <w:shd w:val="clear" w:color="auto" w:fill="auto"/>
          </w:tcPr>
          <w:p w14:paraId="63BD559B" w14:textId="77777777" w:rsidR="008007D2" w:rsidRPr="008007D2" w:rsidRDefault="008007D2" w:rsidP="008007D2">
            <w:pPr>
              <w:spacing w:after="60" w:line="230" w:lineRule="exact"/>
              <w:jc w:val="right"/>
              <w:rPr>
                <w:rFonts w:eastAsia="Times New Roman"/>
                <w:b/>
                <w:sz w:val="18"/>
                <w:szCs w:val="18"/>
                <w:lang w:val="es-ES"/>
              </w:rPr>
            </w:pPr>
            <w:r w:rsidRPr="008007D2">
              <w:rPr>
                <w:rFonts w:eastAsia="Times New Roman"/>
                <w:b/>
                <w:sz w:val="18"/>
                <w:szCs w:val="18"/>
                <w:lang w:val="es-ES"/>
              </w:rPr>
              <w:t>7 699 709.42</w:t>
            </w:r>
          </w:p>
        </w:tc>
      </w:tr>
      <w:tr w:rsidR="008007D2" w:rsidRPr="008007D2" w14:paraId="2A9AC302" w14:textId="77777777" w:rsidTr="00736C45">
        <w:trPr>
          <w:trHeight w:val="144"/>
        </w:trPr>
        <w:tc>
          <w:tcPr>
            <w:tcW w:w="3784" w:type="dxa"/>
            <w:shd w:val="clear" w:color="auto" w:fill="auto"/>
          </w:tcPr>
          <w:p w14:paraId="58DE52D0" w14:textId="77777777" w:rsidR="008007D2" w:rsidRPr="008007D2" w:rsidRDefault="008007D2" w:rsidP="008007D2">
            <w:pPr>
              <w:spacing w:after="60" w:line="216" w:lineRule="exact"/>
              <w:jc w:val="both"/>
              <w:rPr>
                <w:rFonts w:eastAsia="Times New Roman"/>
                <w:sz w:val="18"/>
                <w:szCs w:val="18"/>
                <w:lang w:val="es-ES"/>
              </w:rPr>
            </w:pPr>
            <w:r w:rsidRPr="008007D2">
              <w:rPr>
                <w:rFonts w:eastAsia="Times New Roman"/>
                <w:sz w:val="18"/>
                <w:szCs w:val="18"/>
                <w:lang w:val="es-ES"/>
              </w:rPr>
              <w:t>BARCLAYS BANK MEXICO, S.A.</w:t>
            </w:r>
          </w:p>
        </w:tc>
        <w:tc>
          <w:tcPr>
            <w:tcW w:w="1490" w:type="dxa"/>
            <w:shd w:val="clear" w:color="auto" w:fill="auto"/>
          </w:tcPr>
          <w:p w14:paraId="641BEBDF" w14:textId="77777777" w:rsidR="008007D2" w:rsidRPr="008007D2" w:rsidRDefault="008007D2" w:rsidP="008007D2">
            <w:pPr>
              <w:spacing w:after="60" w:line="216" w:lineRule="exact"/>
              <w:jc w:val="right"/>
              <w:rPr>
                <w:rFonts w:eastAsia="Times New Roman"/>
                <w:sz w:val="18"/>
                <w:szCs w:val="18"/>
                <w:lang w:val="es-ES"/>
              </w:rPr>
            </w:pPr>
            <w:r w:rsidRPr="008007D2">
              <w:rPr>
                <w:rFonts w:eastAsia="Times New Roman"/>
                <w:sz w:val="18"/>
                <w:szCs w:val="18"/>
                <w:lang w:val="es-ES"/>
              </w:rPr>
              <w:t>825 109.84</w:t>
            </w:r>
          </w:p>
        </w:tc>
        <w:tc>
          <w:tcPr>
            <w:tcW w:w="1490" w:type="dxa"/>
            <w:shd w:val="clear" w:color="auto" w:fill="auto"/>
          </w:tcPr>
          <w:p w14:paraId="1E34C2F3" w14:textId="77777777" w:rsidR="008007D2" w:rsidRPr="008007D2" w:rsidRDefault="008007D2" w:rsidP="008007D2">
            <w:pPr>
              <w:spacing w:after="60" w:line="216" w:lineRule="exact"/>
              <w:jc w:val="right"/>
              <w:rPr>
                <w:rFonts w:eastAsia="Times New Roman"/>
                <w:sz w:val="18"/>
                <w:szCs w:val="18"/>
                <w:lang w:val="es-ES"/>
              </w:rPr>
            </w:pPr>
            <w:r w:rsidRPr="008007D2">
              <w:rPr>
                <w:rFonts w:eastAsia="Times New Roman"/>
                <w:sz w:val="18"/>
                <w:szCs w:val="18"/>
                <w:lang w:val="es-ES"/>
              </w:rPr>
              <w:t>974 617.83</w:t>
            </w:r>
          </w:p>
        </w:tc>
        <w:tc>
          <w:tcPr>
            <w:tcW w:w="1490" w:type="dxa"/>
            <w:shd w:val="clear" w:color="auto" w:fill="auto"/>
          </w:tcPr>
          <w:p w14:paraId="69279E32" w14:textId="77777777" w:rsidR="008007D2" w:rsidRPr="008007D2" w:rsidRDefault="008007D2" w:rsidP="008007D2">
            <w:pPr>
              <w:spacing w:after="60" w:line="216" w:lineRule="exact"/>
              <w:jc w:val="right"/>
              <w:rPr>
                <w:rFonts w:eastAsia="Times New Roman"/>
                <w:sz w:val="18"/>
                <w:szCs w:val="18"/>
                <w:lang w:val="es-ES"/>
              </w:rPr>
            </w:pPr>
            <w:r w:rsidRPr="008007D2">
              <w:rPr>
                <w:rFonts w:eastAsia="Times New Roman"/>
                <w:sz w:val="18"/>
                <w:szCs w:val="18"/>
                <w:lang w:val="es-ES"/>
              </w:rPr>
              <w:t>1 714 347.60</w:t>
            </w:r>
          </w:p>
        </w:tc>
        <w:tc>
          <w:tcPr>
            <w:tcW w:w="1490" w:type="dxa"/>
            <w:shd w:val="clear" w:color="auto" w:fill="auto"/>
          </w:tcPr>
          <w:p w14:paraId="2FECCDAA" w14:textId="77777777" w:rsidR="008007D2" w:rsidRPr="008007D2" w:rsidRDefault="008007D2" w:rsidP="008007D2">
            <w:pPr>
              <w:spacing w:after="60" w:line="216" w:lineRule="exact"/>
              <w:jc w:val="right"/>
              <w:rPr>
                <w:rFonts w:eastAsia="Times New Roman"/>
                <w:b/>
                <w:sz w:val="18"/>
                <w:szCs w:val="18"/>
                <w:lang w:val="es-ES"/>
              </w:rPr>
            </w:pPr>
            <w:r w:rsidRPr="008007D2">
              <w:rPr>
                <w:rFonts w:eastAsia="Times New Roman"/>
                <w:b/>
                <w:sz w:val="18"/>
                <w:szCs w:val="18"/>
                <w:lang w:val="es-ES"/>
              </w:rPr>
              <w:t>3 514 075.27</w:t>
            </w:r>
          </w:p>
        </w:tc>
      </w:tr>
      <w:tr w:rsidR="008007D2" w:rsidRPr="008007D2" w14:paraId="484A3F6B" w14:textId="77777777" w:rsidTr="00736C45">
        <w:trPr>
          <w:trHeight w:val="144"/>
        </w:trPr>
        <w:tc>
          <w:tcPr>
            <w:tcW w:w="3784" w:type="dxa"/>
            <w:shd w:val="clear" w:color="auto" w:fill="auto"/>
          </w:tcPr>
          <w:p w14:paraId="0E37EBD0" w14:textId="77777777" w:rsidR="008007D2" w:rsidRPr="008007D2" w:rsidRDefault="008007D2" w:rsidP="008007D2">
            <w:pPr>
              <w:spacing w:after="60" w:line="216" w:lineRule="exact"/>
              <w:jc w:val="both"/>
              <w:rPr>
                <w:rFonts w:eastAsia="Times New Roman"/>
                <w:sz w:val="18"/>
                <w:szCs w:val="18"/>
                <w:lang w:val="es-ES"/>
              </w:rPr>
            </w:pPr>
            <w:r w:rsidRPr="008007D2">
              <w:rPr>
                <w:rFonts w:eastAsia="Times New Roman"/>
                <w:sz w:val="18"/>
                <w:szCs w:val="18"/>
                <w:lang w:val="es-ES"/>
              </w:rPr>
              <w:t>BBVA BANCOMER, S.A.</w:t>
            </w:r>
          </w:p>
        </w:tc>
        <w:tc>
          <w:tcPr>
            <w:tcW w:w="1490" w:type="dxa"/>
            <w:shd w:val="clear" w:color="auto" w:fill="auto"/>
          </w:tcPr>
          <w:p w14:paraId="125E3400" w14:textId="77777777" w:rsidR="008007D2" w:rsidRPr="008007D2" w:rsidRDefault="008007D2" w:rsidP="008007D2">
            <w:pPr>
              <w:spacing w:after="60" w:line="216" w:lineRule="exact"/>
              <w:jc w:val="right"/>
              <w:rPr>
                <w:rFonts w:eastAsia="Times New Roman"/>
                <w:sz w:val="18"/>
                <w:szCs w:val="18"/>
                <w:lang w:val="es-ES"/>
              </w:rPr>
            </w:pPr>
            <w:r w:rsidRPr="008007D2">
              <w:rPr>
                <w:rFonts w:eastAsia="Times New Roman"/>
                <w:sz w:val="18"/>
                <w:szCs w:val="18"/>
                <w:lang w:val="es-ES"/>
              </w:rPr>
              <w:t>283 238 660.54</w:t>
            </w:r>
          </w:p>
        </w:tc>
        <w:tc>
          <w:tcPr>
            <w:tcW w:w="1490" w:type="dxa"/>
            <w:shd w:val="clear" w:color="auto" w:fill="auto"/>
          </w:tcPr>
          <w:p w14:paraId="42FDA8A2" w14:textId="77777777" w:rsidR="008007D2" w:rsidRPr="008007D2" w:rsidRDefault="008007D2" w:rsidP="008007D2">
            <w:pPr>
              <w:spacing w:after="60" w:line="216" w:lineRule="exact"/>
              <w:jc w:val="right"/>
              <w:rPr>
                <w:rFonts w:eastAsia="Times New Roman"/>
                <w:sz w:val="18"/>
                <w:szCs w:val="18"/>
                <w:lang w:val="es-ES"/>
              </w:rPr>
            </w:pPr>
            <w:r w:rsidRPr="008007D2">
              <w:rPr>
                <w:rFonts w:eastAsia="Times New Roman"/>
                <w:sz w:val="18"/>
                <w:szCs w:val="18"/>
                <w:lang w:val="es-ES"/>
              </w:rPr>
              <w:t>296 297 399.20</w:t>
            </w:r>
          </w:p>
        </w:tc>
        <w:tc>
          <w:tcPr>
            <w:tcW w:w="1490" w:type="dxa"/>
            <w:shd w:val="clear" w:color="auto" w:fill="auto"/>
          </w:tcPr>
          <w:p w14:paraId="183B3761" w14:textId="77777777" w:rsidR="008007D2" w:rsidRPr="008007D2" w:rsidRDefault="008007D2" w:rsidP="008007D2">
            <w:pPr>
              <w:spacing w:after="60" w:line="216" w:lineRule="exact"/>
              <w:jc w:val="right"/>
              <w:rPr>
                <w:rFonts w:eastAsia="Times New Roman"/>
                <w:sz w:val="18"/>
                <w:szCs w:val="18"/>
                <w:lang w:val="es-ES"/>
              </w:rPr>
            </w:pPr>
            <w:r w:rsidRPr="008007D2">
              <w:rPr>
                <w:rFonts w:eastAsia="Times New Roman"/>
                <w:sz w:val="18"/>
                <w:szCs w:val="18"/>
                <w:lang w:val="es-ES"/>
              </w:rPr>
              <w:t>317 490 647.08</w:t>
            </w:r>
          </w:p>
        </w:tc>
        <w:tc>
          <w:tcPr>
            <w:tcW w:w="1490" w:type="dxa"/>
            <w:shd w:val="clear" w:color="auto" w:fill="auto"/>
          </w:tcPr>
          <w:p w14:paraId="32C846A0" w14:textId="77777777" w:rsidR="008007D2" w:rsidRPr="008007D2" w:rsidRDefault="008007D2" w:rsidP="008007D2">
            <w:pPr>
              <w:spacing w:after="60" w:line="216" w:lineRule="exact"/>
              <w:jc w:val="right"/>
              <w:rPr>
                <w:rFonts w:eastAsia="Times New Roman"/>
                <w:b/>
                <w:sz w:val="18"/>
                <w:szCs w:val="18"/>
                <w:lang w:val="es-ES"/>
              </w:rPr>
            </w:pPr>
            <w:r w:rsidRPr="008007D2">
              <w:rPr>
                <w:rFonts w:eastAsia="Times New Roman"/>
                <w:b/>
                <w:sz w:val="18"/>
                <w:szCs w:val="18"/>
                <w:lang w:val="es-ES"/>
              </w:rPr>
              <w:t>897 026 706.82</w:t>
            </w:r>
          </w:p>
        </w:tc>
      </w:tr>
      <w:tr w:rsidR="008007D2" w:rsidRPr="008007D2" w14:paraId="513DA41D" w14:textId="77777777" w:rsidTr="00736C45">
        <w:trPr>
          <w:trHeight w:val="144"/>
        </w:trPr>
        <w:tc>
          <w:tcPr>
            <w:tcW w:w="3784" w:type="dxa"/>
            <w:shd w:val="clear" w:color="auto" w:fill="auto"/>
          </w:tcPr>
          <w:p w14:paraId="636FB6CC" w14:textId="77777777" w:rsidR="008007D2" w:rsidRPr="008007D2" w:rsidRDefault="008007D2" w:rsidP="008007D2">
            <w:pPr>
              <w:spacing w:after="60" w:line="216" w:lineRule="exact"/>
              <w:jc w:val="both"/>
              <w:rPr>
                <w:rFonts w:eastAsia="Times New Roman"/>
                <w:sz w:val="18"/>
                <w:szCs w:val="18"/>
                <w:lang w:val="es-ES"/>
              </w:rPr>
            </w:pPr>
            <w:r w:rsidRPr="008007D2">
              <w:rPr>
                <w:rFonts w:eastAsia="Times New Roman"/>
                <w:sz w:val="18"/>
                <w:szCs w:val="18"/>
                <w:lang w:val="es-ES"/>
              </w:rPr>
              <w:t>CIBANCO, S.A.</w:t>
            </w:r>
          </w:p>
        </w:tc>
        <w:tc>
          <w:tcPr>
            <w:tcW w:w="1490" w:type="dxa"/>
            <w:shd w:val="clear" w:color="auto" w:fill="auto"/>
          </w:tcPr>
          <w:p w14:paraId="4FC4A286" w14:textId="77777777" w:rsidR="008007D2" w:rsidRPr="008007D2" w:rsidRDefault="008007D2" w:rsidP="008007D2">
            <w:pPr>
              <w:spacing w:after="60" w:line="216" w:lineRule="exact"/>
              <w:jc w:val="right"/>
              <w:rPr>
                <w:rFonts w:eastAsia="Times New Roman"/>
                <w:sz w:val="18"/>
                <w:szCs w:val="18"/>
                <w:lang w:val="es-ES"/>
              </w:rPr>
            </w:pPr>
            <w:r w:rsidRPr="008007D2">
              <w:rPr>
                <w:rFonts w:eastAsia="Times New Roman"/>
                <w:sz w:val="18"/>
                <w:szCs w:val="18"/>
                <w:lang w:val="es-ES"/>
              </w:rPr>
              <w:t>4 895 090.92</w:t>
            </w:r>
          </w:p>
        </w:tc>
        <w:tc>
          <w:tcPr>
            <w:tcW w:w="1490" w:type="dxa"/>
            <w:shd w:val="clear" w:color="auto" w:fill="auto"/>
          </w:tcPr>
          <w:p w14:paraId="459BD688" w14:textId="77777777" w:rsidR="008007D2" w:rsidRPr="008007D2" w:rsidRDefault="008007D2" w:rsidP="008007D2">
            <w:pPr>
              <w:spacing w:after="60" w:line="216" w:lineRule="exact"/>
              <w:jc w:val="right"/>
              <w:rPr>
                <w:rFonts w:eastAsia="Times New Roman"/>
                <w:sz w:val="18"/>
                <w:szCs w:val="18"/>
                <w:lang w:val="es-ES"/>
              </w:rPr>
            </w:pPr>
            <w:r w:rsidRPr="008007D2">
              <w:rPr>
                <w:rFonts w:eastAsia="Times New Roman"/>
                <w:sz w:val="18"/>
                <w:szCs w:val="18"/>
                <w:lang w:val="es-ES"/>
              </w:rPr>
              <w:t>4 856 479.88</w:t>
            </w:r>
          </w:p>
        </w:tc>
        <w:tc>
          <w:tcPr>
            <w:tcW w:w="1490" w:type="dxa"/>
            <w:shd w:val="clear" w:color="auto" w:fill="auto"/>
          </w:tcPr>
          <w:p w14:paraId="0681EFCF" w14:textId="77777777" w:rsidR="008007D2" w:rsidRPr="008007D2" w:rsidRDefault="008007D2" w:rsidP="008007D2">
            <w:pPr>
              <w:spacing w:after="60" w:line="216" w:lineRule="exact"/>
              <w:jc w:val="right"/>
              <w:rPr>
                <w:rFonts w:eastAsia="Times New Roman"/>
                <w:sz w:val="18"/>
                <w:szCs w:val="18"/>
                <w:lang w:val="es-ES"/>
              </w:rPr>
            </w:pPr>
            <w:r w:rsidRPr="008007D2">
              <w:rPr>
                <w:rFonts w:eastAsia="Times New Roman"/>
                <w:sz w:val="18"/>
                <w:szCs w:val="18"/>
                <w:lang w:val="es-ES"/>
              </w:rPr>
              <w:t>5 088 928.19</w:t>
            </w:r>
          </w:p>
        </w:tc>
        <w:tc>
          <w:tcPr>
            <w:tcW w:w="1490" w:type="dxa"/>
            <w:shd w:val="clear" w:color="auto" w:fill="auto"/>
          </w:tcPr>
          <w:p w14:paraId="41D987DB" w14:textId="77777777" w:rsidR="008007D2" w:rsidRPr="008007D2" w:rsidRDefault="008007D2" w:rsidP="008007D2">
            <w:pPr>
              <w:spacing w:after="60" w:line="216" w:lineRule="exact"/>
              <w:jc w:val="right"/>
              <w:rPr>
                <w:rFonts w:eastAsia="Times New Roman"/>
                <w:b/>
                <w:sz w:val="18"/>
                <w:szCs w:val="18"/>
                <w:lang w:val="es-ES"/>
              </w:rPr>
            </w:pPr>
            <w:r w:rsidRPr="008007D2">
              <w:rPr>
                <w:rFonts w:eastAsia="Times New Roman"/>
                <w:b/>
                <w:sz w:val="18"/>
                <w:szCs w:val="18"/>
                <w:lang w:val="es-ES"/>
              </w:rPr>
              <w:t>14 840 498.99</w:t>
            </w:r>
          </w:p>
        </w:tc>
      </w:tr>
      <w:tr w:rsidR="008007D2" w:rsidRPr="008007D2" w14:paraId="7A439284" w14:textId="77777777" w:rsidTr="00736C45">
        <w:trPr>
          <w:trHeight w:val="144"/>
        </w:trPr>
        <w:tc>
          <w:tcPr>
            <w:tcW w:w="3784" w:type="dxa"/>
            <w:shd w:val="clear" w:color="auto" w:fill="auto"/>
          </w:tcPr>
          <w:p w14:paraId="44CDD848" w14:textId="77777777" w:rsidR="008007D2" w:rsidRPr="008007D2" w:rsidRDefault="008007D2" w:rsidP="008007D2">
            <w:pPr>
              <w:spacing w:after="60" w:line="216" w:lineRule="exact"/>
              <w:jc w:val="both"/>
              <w:rPr>
                <w:rFonts w:eastAsia="Times New Roman"/>
                <w:sz w:val="18"/>
                <w:szCs w:val="18"/>
                <w:lang w:val="es-ES"/>
              </w:rPr>
            </w:pPr>
            <w:r w:rsidRPr="008007D2">
              <w:rPr>
                <w:rFonts w:eastAsia="Times New Roman"/>
                <w:sz w:val="18"/>
                <w:szCs w:val="18"/>
                <w:lang w:val="es-ES"/>
              </w:rPr>
              <w:t>CONSUBANCO, S.A.</w:t>
            </w:r>
          </w:p>
        </w:tc>
        <w:tc>
          <w:tcPr>
            <w:tcW w:w="1490" w:type="dxa"/>
            <w:shd w:val="clear" w:color="auto" w:fill="auto"/>
          </w:tcPr>
          <w:p w14:paraId="27EF23A4" w14:textId="77777777" w:rsidR="008007D2" w:rsidRPr="008007D2" w:rsidRDefault="008007D2" w:rsidP="008007D2">
            <w:pPr>
              <w:spacing w:after="60" w:line="216" w:lineRule="exact"/>
              <w:jc w:val="right"/>
              <w:rPr>
                <w:rFonts w:eastAsia="Times New Roman"/>
                <w:sz w:val="18"/>
                <w:szCs w:val="18"/>
                <w:lang w:val="es-ES"/>
              </w:rPr>
            </w:pPr>
            <w:r w:rsidRPr="008007D2">
              <w:rPr>
                <w:rFonts w:eastAsia="Times New Roman"/>
                <w:sz w:val="18"/>
                <w:szCs w:val="18"/>
                <w:lang w:val="es-ES"/>
              </w:rPr>
              <w:t>1 975 037.19</w:t>
            </w:r>
          </w:p>
        </w:tc>
        <w:tc>
          <w:tcPr>
            <w:tcW w:w="1490" w:type="dxa"/>
            <w:shd w:val="clear" w:color="auto" w:fill="auto"/>
          </w:tcPr>
          <w:p w14:paraId="1C370A1F" w14:textId="77777777" w:rsidR="008007D2" w:rsidRPr="008007D2" w:rsidRDefault="008007D2" w:rsidP="008007D2">
            <w:pPr>
              <w:spacing w:after="60" w:line="216" w:lineRule="exact"/>
              <w:jc w:val="right"/>
              <w:rPr>
                <w:rFonts w:eastAsia="Times New Roman"/>
                <w:sz w:val="18"/>
                <w:szCs w:val="18"/>
                <w:lang w:val="es-ES"/>
              </w:rPr>
            </w:pPr>
            <w:r w:rsidRPr="008007D2">
              <w:rPr>
                <w:rFonts w:eastAsia="Times New Roman"/>
                <w:sz w:val="18"/>
                <w:szCs w:val="18"/>
                <w:lang w:val="es-ES"/>
              </w:rPr>
              <w:t>1 893 611.86</w:t>
            </w:r>
          </w:p>
        </w:tc>
        <w:tc>
          <w:tcPr>
            <w:tcW w:w="1490" w:type="dxa"/>
            <w:shd w:val="clear" w:color="auto" w:fill="auto"/>
          </w:tcPr>
          <w:p w14:paraId="068BFBF1" w14:textId="77777777" w:rsidR="008007D2" w:rsidRPr="008007D2" w:rsidRDefault="008007D2" w:rsidP="008007D2">
            <w:pPr>
              <w:spacing w:after="60" w:line="216" w:lineRule="exact"/>
              <w:jc w:val="right"/>
              <w:rPr>
                <w:rFonts w:eastAsia="Times New Roman"/>
                <w:sz w:val="18"/>
                <w:szCs w:val="18"/>
                <w:lang w:val="es-ES"/>
              </w:rPr>
            </w:pPr>
            <w:r w:rsidRPr="008007D2">
              <w:rPr>
                <w:rFonts w:eastAsia="Times New Roman"/>
                <w:sz w:val="18"/>
                <w:szCs w:val="18"/>
                <w:lang w:val="es-ES"/>
              </w:rPr>
              <w:t>1 590 439.66</w:t>
            </w:r>
          </w:p>
        </w:tc>
        <w:tc>
          <w:tcPr>
            <w:tcW w:w="1490" w:type="dxa"/>
            <w:shd w:val="clear" w:color="auto" w:fill="auto"/>
          </w:tcPr>
          <w:p w14:paraId="434CF443" w14:textId="77777777" w:rsidR="008007D2" w:rsidRPr="008007D2" w:rsidRDefault="008007D2" w:rsidP="008007D2">
            <w:pPr>
              <w:spacing w:after="60" w:line="216" w:lineRule="exact"/>
              <w:jc w:val="right"/>
              <w:rPr>
                <w:rFonts w:eastAsia="Times New Roman"/>
                <w:b/>
                <w:sz w:val="18"/>
                <w:szCs w:val="18"/>
                <w:lang w:val="es-ES"/>
              </w:rPr>
            </w:pPr>
            <w:r w:rsidRPr="008007D2">
              <w:rPr>
                <w:rFonts w:eastAsia="Times New Roman"/>
                <w:b/>
                <w:sz w:val="18"/>
                <w:szCs w:val="18"/>
                <w:lang w:val="es-ES"/>
              </w:rPr>
              <w:t>5 459 088.71</w:t>
            </w:r>
          </w:p>
        </w:tc>
      </w:tr>
      <w:tr w:rsidR="008007D2" w:rsidRPr="008007D2" w14:paraId="3C264A0E" w14:textId="77777777" w:rsidTr="00736C45">
        <w:trPr>
          <w:trHeight w:val="144"/>
        </w:trPr>
        <w:tc>
          <w:tcPr>
            <w:tcW w:w="3784" w:type="dxa"/>
            <w:shd w:val="clear" w:color="auto" w:fill="auto"/>
          </w:tcPr>
          <w:p w14:paraId="0D58CC8A" w14:textId="77777777" w:rsidR="008007D2" w:rsidRPr="008007D2" w:rsidRDefault="008007D2" w:rsidP="008007D2">
            <w:pPr>
              <w:spacing w:after="60" w:line="216" w:lineRule="exact"/>
              <w:jc w:val="both"/>
              <w:rPr>
                <w:rFonts w:eastAsia="Times New Roman"/>
                <w:sz w:val="18"/>
                <w:szCs w:val="18"/>
                <w:lang w:val="es-ES"/>
              </w:rPr>
            </w:pPr>
            <w:r w:rsidRPr="008007D2">
              <w:rPr>
                <w:rFonts w:eastAsia="Times New Roman"/>
                <w:sz w:val="18"/>
                <w:szCs w:val="18"/>
                <w:lang w:val="es-ES"/>
              </w:rPr>
              <w:t>DEUTSCHE BANK MEXICO, S.A.</w:t>
            </w:r>
          </w:p>
        </w:tc>
        <w:tc>
          <w:tcPr>
            <w:tcW w:w="1490" w:type="dxa"/>
            <w:shd w:val="clear" w:color="auto" w:fill="auto"/>
          </w:tcPr>
          <w:p w14:paraId="22AB83E8" w14:textId="77777777" w:rsidR="008007D2" w:rsidRPr="008007D2" w:rsidRDefault="008007D2" w:rsidP="008007D2">
            <w:pPr>
              <w:spacing w:after="60" w:line="216" w:lineRule="exact"/>
              <w:jc w:val="right"/>
              <w:rPr>
                <w:rFonts w:eastAsia="Times New Roman"/>
                <w:sz w:val="18"/>
                <w:szCs w:val="18"/>
                <w:lang w:val="es-ES"/>
              </w:rPr>
            </w:pPr>
            <w:r w:rsidRPr="008007D2">
              <w:rPr>
                <w:rFonts w:eastAsia="Times New Roman"/>
                <w:sz w:val="18"/>
                <w:szCs w:val="18"/>
                <w:lang w:val="es-ES"/>
              </w:rPr>
              <w:t>2 032 713.56</w:t>
            </w:r>
          </w:p>
        </w:tc>
        <w:tc>
          <w:tcPr>
            <w:tcW w:w="1490" w:type="dxa"/>
            <w:shd w:val="clear" w:color="auto" w:fill="auto"/>
          </w:tcPr>
          <w:p w14:paraId="28F0107B" w14:textId="77777777" w:rsidR="008007D2" w:rsidRPr="008007D2" w:rsidRDefault="008007D2" w:rsidP="008007D2">
            <w:pPr>
              <w:spacing w:after="60" w:line="216" w:lineRule="exact"/>
              <w:jc w:val="right"/>
              <w:rPr>
                <w:rFonts w:eastAsia="Times New Roman"/>
                <w:sz w:val="18"/>
                <w:szCs w:val="18"/>
                <w:lang w:val="es-ES"/>
              </w:rPr>
            </w:pPr>
            <w:r w:rsidRPr="008007D2">
              <w:rPr>
                <w:rFonts w:eastAsia="Times New Roman"/>
                <w:sz w:val="18"/>
                <w:szCs w:val="18"/>
                <w:lang w:val="es-ES"/>
              </w:rPr>
              <w:t>1 958 999.12</w:t>
            </w:r>
          </w:p>
        </w:tc>
        <w:tc>
          <w:tcPr>
            <w:tcW w:w="1490" w:type="dxa"/>
            <w:shd w:val="clear" w:color="auto" w:fill="auto"/>
          </w:tcPr>
          <w:p w14:paraId="1CB5172D" w14:textId="77777777" w:rsidR="008007D2" w:rsidRPr="008007D2" w:rsidRDefault="008007D2" w:rsidP="008007D2">
            <w:pPr>
              <w:spacing w:after="60" w:line="216" w:lineRule="exact"/>
              <w:jc w:val="right"/>
              <w:rPr>
                <w:rFonts w:eastAsia="Times New Roman"/>
                <w:sz w:val="18"/>
                <w:szCs w:val="18"/>
                <w:lang w:val="es-ES"/>
              </w:rPr>
            </w:pPr>
            <w:r w:rsidRPr="008007D2">
              <w:rPr>
                <w:rFonts w:eastAsia="Times New Roman"/>
                <w:sz w:val="18"/>
                <w:szCs w:val="18"/>
                <w:lang w:val="es-ES"/>
              </w:rPr>
              <w:t>2 677 790.26</w:t>
            </w:r>
          </w:p>
        </w:tc>
        <w:tc>
          <w:tcPr>
            <w:tcW w:w="1490" w:type="dxa"/>
            <w:shd w:val="clear" w:color="auto" w:fill="auto"/>
          </w:tcPr>
          <w:p w14:paraId="6A46E0AD" w14:textId="77777777" w:rsidR="008007D2" w:rsidRPr="008007D2" w:rsidRDefault="008007D2" w:rsidP="008007D2">
            <w:pPr>
              <w:spacing w:after="60" w:line="216" w:lineRule="exact"/>
              <w:jc w:val="right"/>
              <w:rPr>
                <w:rFonts w:eastAsia="Times New Roman"/>
                <w:b/>
                <w:sz w:val="18"/>
                <w:szCs w:val="18"/>
                <w:lang w:val="es-ES"/>
              </w:rPr>
            </w:pPr>
            <w:r w:rsidRPr="008007D2">
              <w:rPr>
                <w:rFonts w:eastAsia="Times New Roman"/>
                <w:b/>
                <w:sz w:val="18"/>
                <w:szCs w:val="18"/>
                <w:lang w:val="es-ES"/>
              </w:rPr>
              <w:t>6 669 502.94</w:t>
            </w:r>
          </w:p>
        </w:tc>
      </w:tr>
      <w:tr w:rsidR="008007D2" w:rsidRPr="008007D2" w14:paraId="52AE187C" w14:textId="77777777" w:rsidTr="00736C45">
        <w:trPr>
          <w:trHeight w:val="144"/>
        </w:trPr>
        <w:tc>
          <w:tcPr>
            <w:tcW w:w="3784" w:type="dxa"/>
            <w:shd w:val="clear" w:color="auto" w:fill="auto"/>
          </w:tcPr>
          <w:p w14:paraId="23F3C292" w14:textId="77777777" w:rsidR="008007D2" w:rsidRPr="008007D2" w:rsidRDefault="008007D2" w:rsidP="008007D2">
            <w:pPr>
              <w:spacing w:after="60" w:line="216" w:lineRule="exact"/>
              <w:jc w:val="both"/>
              <w:rPr>
                <w:rFonts w:eastAsia="Times New Roman"/>
                <w:sz w:val="18"/>
                <w:szCs w:val="18"/>
                <w:lang w:val="es-ES"/>
              </w:rPr>
            </w:pPr>
            <w:r w:rsidRPr="008007D2">
              <w:rPr>
                <w:rFonts w:eastAsia="Times New Roman"/>
                <w:sz w:val="18"/>
                <w:szCs w:val="18"/>
                <w:lang w:val="es-ES"/>
              </w:rPr>
              <w:t>FUNDACION DONDE BANCO, S.A.</w:t>
            </w:r>
          </w:p>
        </w:tc>
        <w:tc>
          <w:tcPr>
            <w:tcW w:w="1490" w:type="dxa"/>
            <w:shd w:val="clear" w:color="auto" w:fill="auto"/>
          </w:tcPr>
          <w:p w14:paraId="597C1974" w14:textId="77777777" w:rsidR="008007D2" w:rsidRPr="008007D2" w:rsidRDefault="008007D2" w:rsidP="008007D2">
            <w:pPr>
              <w:spacing w:after="60" w:line="216" w:lineRule="exact"/>
              <w:jc w:val="right"/>
              <w:rPr>
                <w:rFonts w:eastAsia="Times New Roman"/>
                <w:sz w:val="18"/>
                <w:szCs w:val="18"/>
                <w:lang w:val="es-ES"/>
              </w:rPr>
            </w:pPr>
            <w:r w:rsidRPr="008007D2">
              <w:rPr>
                <w:rFonts w:eastAsia="Times New Roman"/>
                <w:sz w:val="18"/>
                <w:szCs w:val="18"/>
                <w:lang w:val="es-ES"/>
              </w:rPr>
              <w:t>1 584.06</w:t>
            </w:r>
          </w:p>
        </w:tc>
        <w:tc>
          <w:tcPr>
            <w:tcW w:w="1490" w:type="dxa"/>
            <w:shd w:val="clear" w:color="auto" w:fill="auto"/>
          </w:tcPr>
          <w:p w14:paraId="08E95CBF" w14:textId="77777777" w:rsidR="008007D2" w:rsidRPr="008007D2" w:rsidRDefault="008007D2" w:rsidP="008007D2">
            <w:pPr>
              <w:spacing w:after="60" w:line="216" w:lineRule="exact"/>
              <w:jc w:val="right"/>
              <w:rPr>
                <w:rFonts w:eastAsia="Times New Roman"/>
                <w:sz w:val="18"/>
                <w:szCs w:val="18"/>
                <w:lang w:val="es-ES"/>
              </w:rPr>
            </w:pPr>
            <w:r w:rsidRPr="008007D2">
              <w:rPr>
                <w:rFonts w:eastAsia="Times New Roman"/>
                <w:sz w:val="18"/>
                <w:szCs w:val="18"/>
                <w:lang w:val="es-ES"/>
              </w:rPr>
              <w:t>1 291.85</w:t>
            </w:r>
          </w:p>
        </w:tc>
        <w:tc>
          <w:tcPr>
            <w:tcW w:w="1490" w:type="dxa"/>
            <w:shd w:val="clear" w:color="auto" w:fill="auto"/>
          </w:tcPr>
          <w:p w14:paraId="7B97CA8C" w14:textId="77777777" w:rsidR="008007D2" w:rsidRPr="008007D2" w:rsidRDefault="008007D2" w:rsidP="008007D2">
            <w:pPr>
              <w:spacing w:after="60" w:line="216" w:lineRule="exact"/>
              <w:jc w:val="right"/>
              <w:rPr>
                <w:rFonts w:eastAsia="Times New Roman"/>
                <w:sz w:val="18"/>
                <w:szCs w:val="18"/>
                <w:lang w:val="es-ES"/>
              </w:rPr>
            </w:pPr>
            <w:r w:rsidRPr="008007D2">
              <w:rPr>
                <w:rFonts w:eastAsia="Times New Roman"/>
                <w:sz w:val="18"/>
                <w:szCs w:val="18"/>
                <w:lang w:val="es-ES"/>
              </w:rPr>
              <w:t>1 367.56</w:t>
            </w:r>
          </w:p>
        </w:tc>
        <w:tc>
          <w:tcPr>
            <w:tcW w:w="1490" w:type="dxa"/>
            <w:shd w:val="clear" w:color="auto" w:fill="auto"/>
          </w:tcPr>
          <w:p w14:paraId="094261C9" w14:textId="77777777" w:rsidR="008007D2" w:rsidRPr="008007D2" w:rsidRDefault="008007D2" w:rsidP="008007D2">
            <w:pPr>
              <w:spacing w:after="60" w:line="216" w:lineRule="exact"/>
              <w:jc w:val="right"/>
              <w:rPr>
                <w:rFonts w:eastAsia="Times New Roman"/>
                <w:b/>
                <w:sz w:val="18"/>
                <w:szCs w:val="18"/>
                <w:lang w:val="es-ES"/>
              </w:rPr>
            </w:pPr>
            <w:r w:rsidRPr="008007D2">
              <w:rPr>
                <w:rFonts w:eastAsia="Times New Roman"/>
                <w:b/>
                <w:sz w:val="18"/>
                <w:szCs w:val="18"/>
                <w:lang w:val="es-ES"/>
              </w:rPr>
              <w:t>4 243.47</w:t>
            </w:r>
          </w:p>
        </w:tc>
      </w:tr>
      <w:tr w:rsidR="008007D2" w:rsidRPr="008007D2" w14:paraId="0FB18848" w14:textId="77777777" w:rsidTr="00736C45">
        <w:trPr>
          <w:trHeight w:val="144"/>
        </w:trPr>
        <w:tc>
          <w:tcPr>
            <w:tcW w:w="3784" w:type="dxa"/>
            <w:shd w:val="clear" w:color="auto" w:fill="auto"/>
          </w:tcPr>
          <w:p w14:paraId="7BEE3D49" w14:textId="77777777" w:rsidR="008007D2" w:rsidRPr="008007D2" w:rsidRDefault="008007D2" w:rsidP="008007D2">
            <w:pPr>
              <w:spacing w:after="60" w:line="216" w:lineRule="exact"/>
              <w:jc w:val="both"/>
              <w:rPr>
                <w:rFonts w:eastAsia="Times New Roman"/>
                <w:sz w:val="18"/>
                <w:szCs w:val="18"/>
                <w:lang w:val="es-ES"/>
              </w:rPr>
            </w:pPr>
            <w:r w:rsidRPr="008007D2">
              <w:rPr>
                <w:rFonts w:eastAsia="Times New Roman"/>
                <w:sz w:val="18"/>
                <w:szCs w:val="18"/>
                <w:lang w:val="es-ES"/>
              </w:rPr>
              <w:t>HSBC MEXICO, S.A.</w:t>
            </w:r>
          </w:p>
        </w:tc>
        <w:tc>
          <w:tcPr>
            <w:tcW w:w="1490" w:type="dxa"/>
            <w:shd w:val="clear" w:color="auto" w:fill="auto"/>
          </w:tcPr>
          <w:p w14:paraId="7DB21D77" w14:textId="77777777" w:rsidR="008007D2" w:rsidRPr="008007D2" w:rsidRDefault="008007D2" w:rsidP="008007D2">
            <w:pPr>
              <w:spacing w:after="60" w:line="216" w:lineRule="exact"/>
              <w:jc w:val="right"/>
              <w:rPr>
                <w:rFonts w:eastAsia="Times New Roman"/>
                <w:sz w:val="18"/>
                <w:szCs w:val="18"/>
                <w:lang w:val="es-ES"/>
              </w:rPr>
            </w:pPr>
            <w:r w:rsidRPr="008007D2">
              <w:rPr>
                <w:rFonts w:eastAsia="Times New Roman"/>
                <w:sz w:val="18"/>
                <w:szCs w:val="18"/>
                <w:lang w:val="es-ES"/>
              </w:rPr>
              <w:t>107 897 685.54</w:t>
            </w:r>
          </w:p>
        </w:tc>
        <w:tc>
          <w:tcPr>
            <w:tcW w:w="1490" w:type="dxa"/>
            <w:shd w:val="clear" w:color="auto" w:fill="auto"/>
          </w:tcPr>
          <w:p w14:paraId="3521597D" w14:textId="77777777" w:rsidR="008007D2" w:rsidRPr="008007D2" w:rsidRDefault="008007D2" w:rsidP="008007D2">
            <w:pPr>
              <w:spacing w:after="60" w:line="216" w:lineRule="exact"/>
              <w:jc w:val="right"/>
              <w:rPr>
                <w:rFonts w:eastAsia="Times New Roman"/>
                <w:sz w:val="18"/>
                <w:szCs w:val="18"/>
                <w:lang w:val="es-ES"/>
              </w:rPr>
            </w:pPr>
            <w:r w:rsidRPr="008007D2">
              <w:rPr>
                <w:rFonts w:eastAsia="Times New Roman"/>
                <w:sz w:val="18"/>
                <w:szCs w:val="18"/>
                <w:lang w:val="es-ES"/>
              </w:rPr>
              <w:t>110 165 930.47</w:t>
            </w:r>
          </w:p>
        </w:tc>
        <w:tc>
          <w:tcPr>
            <w:tcW w:w="1490" w:type="dxa"/>
            <w:shd w:val="clear" w:color="auto" w:fill="auto"/>
          </w:tcPr>
          <w:p w14:paraId="5B72E29B" w14:textId="77777777" w:rsidR="008007D2" w:rsidRPr="008007D2" w:rsidRDefault="008007D2" w:rsidP="008007D2">
            <w:pPr>
              <w:spacing w:after="60" w:line="216" w:lineRule="exact"/>
              <w:jc w:val="right"/>
              <w:rPr>
                <w:rFonts w:eastAsia="Times New Roman"/>
                <w:sz w:val="18"/>
                <w:szCs w:val="18"/>
                <w:lang w:val="es-ES"/>
              </w:rPr>
            </w:pPr>
            <w:r w:rsidRPr="008007D2">
              <w:rPr>
                <w:rFonts w:eastAsia="Times New Roman"/>
                <w:sz w:val="18"/>
                <w:szCs w:val="18"/>
                <w:lang w:val="es-ES"/>
              </w:rPr>
              <w:t>120 784 260.02</w:t>
            </w:r>
          </w:p>
        </w:tc>
        <w:tc>
          <w:tcPr>
            <w:tcW w:w="1490" w:type="dxa"/>
            <w:shd w:val="clear" w:color="auto" w:fill="auto"/>
          </w:tcPr>
          <w:p w14:paraId="616C381D" w14:textId="77777777" w:rsidR="008007D2" w:rsidRPr="008007D2" w:rsidRDefault="008007D2" w:rsidP="008007D2">
            <w:pPr>
              <w:spacing w:after="60" w:line="216" w:lineRule="exact"/>
              <w:jc w:val="right"/>
              <w:rPr>
                <w:rFonts w:eastAsia="Times New Roman"/>
                <w:b/>
                <w:sz w:val="18"/>
                <w:szCs w:val="18"/>
                <w:lang w:val="es-ES"/>
              </w:rPr>
            </w:pPr>
            <w:r w:rsidRPr="008007D2">
              <w:rPr>
                <w:rFonts w:eastAsia="Times New Roman"/>
                <w:b/>
                <w:sz w:val="18"/>
                <w:szCs w:val="18"/>
                <w:lang w:val="es-ES"/>
              </w:rPr>
              <w:t>338 847 876.03</w:t>
            </w:r>
          </w:p>
        </w:tc>
      </w:tr>
      <w:tr w:rsidR="008007D2" w:rsidRPr="008007D2" w14:paraId="6232874B" w14:textId="77777777" w:rsidTr="00736C45">
        <w:trPr>
          <w:trHeight w:val="144"/>
        </w:trPr>
        <w:tc>
          <w:tcPr>
            <w:tcW w:w="3784" w:type="dxa"/>
            <w:shd w:val="clear" w:color="auto" w:fill="auto"/>
          </w:tcPr>
          <w:p w14:paraId="28C5DA2B" w14:textId="77777777" w:rsidR="008007D2" w:rsidRPr="008007D2" w:rsidRDefault="008007D2" w:rsidP="008007D2">
            <w:pPr>
              <w:spacing w:after="60" w:line="216" w:lineRule="exact"/>
              <w:jc w:val="both"/>
              <w:rPr>
                <w:rFonts w:eastAsia="Times New Roman"/>
                <w:sz w:val="18"/>
                <w:szCs w:val="18"/>
                <w:lang w:val="es-ES"/>
              </w:rPr>
            </w:pPr>
            <w:r w:rsidRPr="008007D2">
              <w:rPr>
                <w:rFonts w:eastAsia="Times New Roman"/>
                <w:sz w:val="18"/>
                <w:szCs w:val="18"/>
                <w:lang w:val="es-ES"/>
              </w:rPr>
              <w:t>INTER BANCO, S.A.</w:t>
            </w:r>
          </w:p>
        </w:tc>
        <w:tc>
          <w:tcPr>
            <w:tcW w:w="1490" w:type="dxa"/>
            <w:shd w:val="clear" w:color="auto" w:fill="auto"/>
          </w:tcPr>
          <w:p w14:paraId="494F7D4F" w14:textId="77777777" w:rsidR="008007D2" w:rsidRPr="008007D2" w:rsidRDefault="008007D2" w:rsidP="008007D2">
            <w:pPr>
              <w:spacing w:after="60" w:line="216" w:lineRule="exact"/>
              <w:jc w:val="right"/>
              <w:rPr>
                <w:rFonts w:eastAsia="Times New Roman"/>
                <w:sz w:val="18"/>
                <w:szCs w:val="18"/>
                <w:lang w:val="es-ES"/>
              </w:rPr>
            </w:pPr>
            <w:r w:rsidRPr="008007D2">
              <w:rPr>
                <w:rFonts w:eastAsia="Times New Roman"/>
                <w:sz w:val="18"/>
                <w:szCs w:val="18"/>
                <w:lang w:val="es-ES"/>
              </w:rPr>
              <w:t>994 870.99</w:t>
            </w:r>
          </w:p>
        </w:tc>
        <w:tc>
          <w:tcPr>
            <w:tcW w:w="1490" w:type="dxa"/>
            <w:shd w:val="clear" w:color="auto" w:fill="auto"/>
          </w:tcPr>
          <w:p w14:paraId="098729CD" w14:textId="77777777" w:rsidR="008007D2" w:rsidRPr="008007D2" w:rsidRDefault="008007D2" w:rsidP="008007D2">
            <w:pPr>
              <w:spacing w:after="60" w:line="216" w:lineRule="exact"/>
              <w:jc w:val="right"/>
              <w:rPr>
                <w:rFonts w:eastAsia="Times New Roman"/>
                <w:sz w:val="18"/>
                <w:szCs w:val="18"/>
                <w:lang w:val="es-ES"/>
              </w:rPr>
            </w:pPr>
            <w:r w:rsidRPr="008007D2">
              <w:rPr>
                <w:rFonts w:eastAsia="Times New Roman"/>
                <w:sz w:val="18"/>
                <w:szCs w:val="18"/>
                <w:lang w:val="es-ES"/>
              </w:rPr>
              <w:t>1 107 957.02</w:t>
            </w:r>
          </w:p>
        </w:tc>
        <w:tc>
          <w:tcPr>
            <w:tcW w:w="1490" w:type="dxa"/>
            <w:shd w:val="clear" w:color="auto" w:fill="auto"/>
          </w:tcPr>
          <w:p w14:paraId="215B58BE" w14:textId="77777777" w:rsidR="008007D2" w:rsidRPr="008007D2" w:rsidRDefault="008007D2" w:rsidP="008007D2">
            <w:pPr>
              <w:spacing w:after="60" w:line="216" w:lineRule="exact"/>
              <w:jc w:val="right"/>
              <w:rPr>
                <w:rFonts w:eastAsia="Times New Roman"/>
                <w:sz w:val="18"/>
                <w:szCs w:val="18"/>
                <w:lang w:val="es-ES"/>
              </w:rPr>
            </w:pPr>
            <w:r w:rsidRPr="008007D2">
              <w:rPr>
                <w:rFonts w:eastAsia="Times New Roman"/>
                <w:sz w:val="18"/>
                <w:szCs w:val="18"/>
                <w:lang w:val="es-ES"/>
              </w:rPr>
              <w:t>1 177 824.53</w:t>
            </w:r>
          </w:p>
        </w:tc>
        <w:tc>
          <w:tcPr>
            <w:tcW w:w="1490" w:type="dxa"/>
            <w:shd w:val="clear" w:color="auto" w:fill="auto"/>
          </w:tcPr>
          <w:p w14:paraId="48683E80" w14:textId="77777777" w:rsidR="008007D2" w:rsidRPr="008007D2" w:rsidRDefault="008007D2" w:rsidP="008007D2">
            <w:pPr>
              <w:spacing w:after="60" w:line="216" w:lineRule="exact"/>
              <w:jc w:val="right"/>
              <w:rPr>
                <w:rFonts w:eastAsia="Times New Roman"/>
                <w:b/>
                <w:sz w:val="18"/>
                <w:szCs w:val="18"/>
                <w:lang w:val="es-ES"/>
              </w:rPr>
            </w:pPr>
            <w:r w:rsidRPr="008007D2">
              <w:rPr>
                <w:rFonts w:eastAsia="Times New Roman"/>
                <w:b/>
                <w:sz w:val="18"/>
                <w:szCs w:val="18"/>
                <w:lang w:val="es-ES"/>
              </w:rPr>
              <w:t>3 280 652.54</w:t>
            </w:r>
          </w:p>
        </w:tc>
      </w:tr>
      <w:tr w:rsidR="008007D2" w:rsidRPr="008007D2" w14:paraId="6C00F017" w14:textId="77777777" w:rsidTr="00736C45">
        <w:trPr>
          <w:trHeight w:val="144"/>
        </w:trPr>
        <w:tc>
          <w:tcPr>
            <w:tcW w:w="3784" w:type="dxa"/>
            <w:shd w:val="clear" w:color="auto" w:fill="auto"/>
          </w:tcPr>
          <w:p w14:paraId="477D3D6F" w14:textId="77777777" w:rsidR="008007D2" w:rsidRPr="008007D2" w:rsidRDefault="008007D2" w:rsidP="008007D2">
            <w:pPr>
              <w:spacing w:after="60" w:line="216" w:lineRule="exact"/>
              <w:jc w:val="both"/>
              <w:rPr>
                <w:rFonts w:eastAsia="Times New Roman"/>
                <w:sz w:val="18"/>
                <w:szCs w:val="18"/>
                <w:lang w:val="es-ES"/>
              </w:rPr>
            </w:pPr>
            <w:r w:rsidRPr="008007D2">
              <w:rPr>
                <w:rFonts w:eastAsia="Times New Roman"/>
                <w:sz w:val="18"/>
                <w:szCs w:val="18"/>
                <w:lang w:val="es-ES"/>
              </w:rPr>
              <w:t>INVESTA BANK, S.A.</w:t>
            </w:r>
          </w:p>
        </w:tc>
        <w:tc>
          <w:tcPr>
            <w:tcW w:w="1490" w:type="dxa"/>
            <w:shd w:val="clear" w:color="auto" w:fill="auto"/>
          </w:tcPr>
          <w:p w14:paraId="2AAAA876" w14:textId="77777777" w:rsidR="008007D2" w:rsidRPr="008007D2" w:rsidRDefault="008007D2" w:rsidP="008007D2">
            <w:pPr>
              <w:spacing w:after="60" w:line="216" w:lineRule="exact"/>
              <w:jc w:val="right"/>
              <w:rPr>
                <w:rFonts w:eastAsia="Times New Roman"/>
                <w:sz w:val="18"/>
                <w:szCs w:val="18"/>
                <w:lang w:val="es-ES"/>
              </w:rPr>
            </w:pPr>
            <w:r w:rsidRPr="008007D2">
              <w:rPr>
                <w:rFonts w:eastAsia="Times New Roman"/>
                <w:sz w:val="18"/>
                <w:szCs w:val="18"/>
                <w:lang w:val="es-ES"/>
              </w:rPr>
              <w:t>415 891.47</w:t>
            </w:r>
          </w:p>
        </w:tc>
        <w:tc>
          <w:tcPr>
            <w:tcW w:w="1490" w:type="dxa"/>
            <w:shd w:val="clear" w:color="auto" w:fill="auto"/>
          </w:tcPr>
          <w:p w14:paraId="700D883D" w14:textId="77777777" w:rsidR="008007D2" w:rsidRPr="008007D2" w:rsidRDefault="008007D2" w:rsidP="008007D2">
            <w:pPr>
              <w:spacing w:after="60" w:line="216" w:lineRule="exact"/>
              <w:jc w:val="right"/>
              <w:rPr>
                <w:rFonts w:eastAsia="Times New Roman"/>
                <w:sz w:val="18"/>
                <w:szCs w:val="18"/>
                <w:lang w:val="es-ES"/>
              </w:rPr>
            </w:pPr>
            <w:r w:rsidRPr="008007D2">
              <w:rPr>
                <w:rFonts w:eastAsia="Times New Roman"/>
                <w:sz w:val="18"/>
                <w:szCs w:val="18"/>
                <w:lang w:val="es-ES"/>
              </w:rPr>
              <w:t>402 203.44</w:t>
            </w:r>
          </w:p>
        </w:tc>
        <w:tc>
          <w:tcPr>
            <w:tcW w:w="1490" w:type="dxa"/>
            <w:shd w:val="clear" w:color="auto" w:fill="auto"/>
          </w:tcPr>
          <w:p w14:paraId="5230700A" w14:textId="77777777" w:rsidR="008007D2" w:rsidRPr="008007D2" w:rsidRDefault="008007D2" w:rsidP="008007D2">
            <w:pPr>
              <w:spacing w:after="60" w:line="216" w:lineRule="exact"/>
              <w:jc w:val="right"/>
              <w:rPr>
                <w:rFonts w:eastAsia="Times New Roman"/>
                <w:sz w:val="18"/>
                <w:szCs w:val="18"/>
                <w:lang w:val="es-ES"/>
              </w:rPr>
            </w:pPr>
            <w:r w:rsidRPr="008007D2">
              <w:rPr>
                <w:rFonts w:eastAsia="Times New Roman"/>
                <w:sz w:val="18"/>
                <w:szCs w:val="18"/>
                <w:lang w:val="es-ES"/>
              </w:rPr>
              <w:t>452 762.25</w:t>
            </w:r>
          </w:p>
        </w:tc>
        <w:tc>
          <w:tcPr>
            <w:tcW w:w="1490" w:type="dxa"/>
            <w:shd w:val="clear" w:color="auto" w:fill="auto"/>
          </w:tcPr>
          <w:p w14:paraId="27470E6B" w14:textId="77777777" w:rsidR="008007D2" w:rsidRPr="008007D2" w:rsidRDefault="008007D2" w:rsidP="008007D2">
            <w:pPr>
              <w:spacing w:after="60" w:line="216" w:lineRule="exact"/>
              <w:jc w:val="right"/>
              <w:rPr>
                <w:rFonts w:eastAsia="Times New Roman"/>
                <w:b/>
                <w:sz w:val="18"/>
                <w:szCs w:val="18"/>
                <w:lang w:val="es-ES"/>
              </w:rPr>
            </w:pPr>
            <w:r w:rsidRPr="008007D2">
              <w:rPr>
                <w:rFonts w:eastAsia="Times New Roman"/>
                <w:b/>
                <w:sz w:val="18"/>
                <w:szCs w:val="18"/>
                <w:lang w:val="es-ES"/>
              </w:rPr>
              <w:t>1 270 857.16</w:t>
            </w:r>
          </w:p>
        </w:tc>
      </w:tr>
      <w:tr w:rsidR="008007D2" w:rsidRPr="008007D2" w14:paraId="6E6E71B7" w14:textId="77777777" w:rsidTr="00736C45">
        <w:trPr>
          <w:trHeight w:val="144"/>
        </w:trPr>
        <w:tc>
          <w:tcPr>
            <w:tcW w:w="3784" w:type="dxa"/>
            <w:shd w:val="clear" w:color="auto" w:fill="auto"/>
          </w:tcPr>
          <w:p w14:paraId="7B079EA9" w14:textId="77777777" w:rsidR="008007D2" w:rsidRPr="008007D2" w:rsidRDefault="008007D2" w:rsidP="008007D2">
            <w:pPr>
              <w:spacing w:after="60" w:line="216" w:lineRule="exact"/>
              <w:jc w:val="both"/>
              <w:rPr>
                <w:rFonts w:eastAsia="Times New Roman"/>
                <w:sz w:val="18"/>
                <w:szCs w:val="18"/>
                <w:lang w:val="es-ES"/>
              </w:rPr>
            </w:pPr>
            <w:r w:rsidRPr="008007D2">
              <w:rPr>
                <w:rFonts w:eastAsia="Times New Roman"/>
                <w:sz w:val="18"/>
                <w:szCs w:val="18"/>
                <w:lang w:val="es-ES"/>
              </w:rPr>
              <w:t>SCOTIABANK INVERLAT, S.A.</w:t>
            </w:r>
          </w:p>
        </w:tc>
        <w:tc>
          <w:tcPr>
            <w:tcW w:w="1490" w:type="dxa"/>
            <w:shd w:val="clear" w:color="auto" w:fill="auto"/>
          </w:tcPr>
          <w:p w14:paraId="6E5EA06B" w14:textId="77777777" w:rsidR="008007D2" w:rsidRPr="008007D2" w:rsidRDefault="008007D2" w:rsidP="008007D2">
            <w:pPr>
              <w:spacing w:after="60" w:line="216" w:lineRule="exact"/>
              <w:jc w:val="right"/>
              <w:rPr>
                <w:rFonts w:eastAsia="Times New Roman"/>
                <w:sz w:val="18"/>
                <w:szCs w:val="18"/>
                <w:lang w:val="es-ES"/>
              </w:rPr>
            </w:pPr>
            <w:r w:rsidRPr="008007D2">
              <w:rPr>
                <w:rFonts w:eastAsia="Times New Roman"/>
                <w:sz w:val="18"/>
                <w:szCs w:val="18"/>
                <w:lang w:val="es-ES"/>
              </w:rPr>
              <w:t>59 399 835.82</w:t>
            </w:r>
          </w:p>
        </w:tc>
        <w:tc>
          <w:tcPr>
            <w:tcW w:w="1490" w:type="dxa"/>
            <w:shd w:val="clear" w:color="auto" w:fill="auto"/>
          </w:tcPr>
          <w:p w14:paraId="3F3D1FC8" w14:textId="77777777" w:rsidR="008007D2" w:rsidRPr="008007D2" w:rsidRDefault="008007D2" w:rsidP="008007D2">
            <w:pPr>
              <w:spacing w:after="60" w:line="216" w:lineRule="exact"/>
              <w:jc w:val="right"/>
              <w:rPr>
                <w:rFonts w:eastAsia="Times New Roman"/>
                <w:sz w:val="18"/>
                <w:szCs w:val="18"/>
                <w:lang w:val="es-ES"/>
              </w:rPr>
            </w:pPr>
            <w:r w:rsidRPr="008007D2">
              <w:rPr>
                <w:rFonts w:eastAsia="Times New Roman"/>
                <w:sz w:val="18"/>
                <w:szCs w:val="18"/>
                <w:lang w:val="es-ES"/>
              </w:rPr>
              <w:t>60 069 133.49</w:t>
            </w:r>
          </w:p>
        </w:tc>
        <w:tc>
          <w:tcPr>
            <w:tcW w:w="1490" w:type="dxa"/>
            <w:shd w:val="clear" w:color="auto" w:fill="auto"/>
          </w:tcPr>
          <w:p w14:paraId="26F91FB0" w14:textId="77777777" w:rsidR="008007D2" w:rsidRPr="008007D2" w:rsidRDefault="008007D2" w:rsidP="008007D2">
            <w:pPr>
              <w:spacing w:after="60" w:line="216" w:lineRule="exact"/>
              <w:jc w:val="right"/>
              <w:rPr>
                <w:rFonts w:eastAsia="Times New Roman"/>
                <w:sz w:val="18"/>
                <w:szCs w:val="18"/>
                <w:lang w:val="es-ES"/>
              </w:rPr>
            </w:pPr>
            <w:r w:rsidRPr="008007D2">
              <w:rPr>
                <w:rFonts w:eastAsia="Times New Roman"/>
                <w:sz w:val="18"/>
                <w:szCs w:val="18"/>
                <w:lang w:val="es-ES"/>
              </w:rPr>
              <w:t>63 367 498.77</w:t>
            </w:r>
          </w:p>
        </w:tc>
        <w:tc>
          <w:tcPr>
            <w:tcW w:w="1490" w:type="dxa"/>
            <w:shd w:val="clear" w:color="auto" w:fill="auto"/>
          </w:tcPr>
          <w:p w14:paraId="3E416938" w14:textId="77777777" w:rsidR="008007D2" w:rsidRPr="008007D2" w:rsidRDefault="008007D2" w:rsidP="008007D2">
            <w:pPr>
              <w:spacing w:after="60" w:line="216" w:lineRule="exact"/>
              <w:jc w:val="right"/>
              <w:rPr>
                <w:rFonts w:eastAsia="Times New Roman"/>
                <w:b/>
                <w:sz w:val="18"/>
                <w:szCs w:val="18"/>
                <w:lang w:val="es-ES"/>
              </w:rPr>
            </w:pPr>
            <w:r w:rsidRPr="008007D2">
              <w:rPr>
                <w:rFonts w:eastAsia="Times New Roman"/>
                <w:b/>
                <w:sz w:val="18"/>
                <w:szCs w:val="18"/>
                <w:lang w:val="es-ES"/>
              </w:rPr>
              <w:t>182 836 468.08</w:t>
            </w:r>
          </w:p>
        </w:tc>
      </w:tr>
      <w:tr w:rsidR="008007D2" w:rsidRPr="008007D2" w14:paraId="665585CC" w14:textId="77777777" w:rsidTr="00736C45">
        <w:trPr>
          <w:trHeight w:val="144"/>
        </w:trPr>
        <w:tc>
          <w:tcPr>
            <w:tcW w:w="3784" w:type="dxa"/>
            <w:shd w:val="clear" w:color="auto" w:fill="auto"/>
          </w:tcPr>
          <w:p w14:paraId="1E0D7AA9" w14:textId="77777777" w:rsidR="008007D2" w:rsidRPr="008007D2" w:rsidRDefault="008007D2" w:rsidP="008007D2">
            <w:pPr>
              <w:spacing w:after="60" w:line="216" w:lineRule="exact"/>
              <w:jc w:val="both"/>
              <w:rPr>
                <w:rFonts w:eastAsia="Times New Roman"/>
                <w:sz w:val="18"/>
                <w:szCs w:val="18"/>
                <w:lang w:val="es-ES"/>
              </w:rPr>
            </w:pPr>
            <w:r w:rsidRPr="008007D2">
              <w:rPr>
                <w:rFonts w:eastAsia="Times New Roman"/>
                <w:sz w:val="18"/>
                <w:szCs w:val="18"/>
                <w:lang w:val="es-ES"/>
              </w:rPr>
              <w:t>UBS BANK MEXICO, S.A.</w:t>
            </w:r>
          </w:p>
        </w:tc>
        <w:tc>
          <w:tcPr>
            <w:tcW w:w="1490" w:type="dxa"/>
            <w:shd w:val="clear" w:color="auto" w:fill="auto"/>
          </w:tcPr>
          <w:p w14:paraId="06275E92" w14:textId="77777777" w:rsidR="008007D2" w:rsidRPr="008007D2" w:rsidRDefault="008007D2" w:rsidP="008007D2">
            <w:pPr>
              <w:spacing w:after="60" w:line="216" w:lineRule="exact"/>
              <w:jc w:val="right"/>
              <w:rPr>
                <w:rFonts w:eastAsia="Times New Roman"/>
                <w:sz w:val="18"/>
                <w:szCs w:val="18"/>
                <w:lang w:val="es-ES"/>
              </w:rPr>
            </w:pPr>
            <w:r w:rsidRPr="008007D2">
              <w:rPr>
                <w:rFonts w:eastAsia="Times New Roman"/>
                <w:sz w:val="18"/>
                <w:szCs w:val="18"/>
                <w:lang w:val="es-ES"/>
              </w:rPr>
              <w:t>19 965.62</w:t>
            </w:r>
          </w:p>
        </w:tc>
        <w:tc>
          <w:tcPr>
            <w:tcW w:w="1490" w:type="dxa"/>
            <w:shd w:val="clear" w:color="auto" w:fill="auto"/>
          </w:tcPr>
          <w:p w14:paraId="2F63AADB" w14:textId="77777777" w:rsidR="008007D2" w:rsidRPr="008007D2" w:rsidRDefault="008007D2" w:rsidP="008007D2">
            <w:pPr>
              <w:spacing w:after="60" w:line="216" w:lineRule="exact"/>
              <w:jc w:val="right"/>
              <w:rPr>
                <w:rFonts w:eastAsia="Times New Roman"/>
                <w:sz w:val="18"/>
                <w:szCs w:val="18"/>
                <w:lang w:val="es-ES"/>
              </w:rPr>
            </w:pPr>
            <w:r w:rsidRPr="008007D2">
              <w:rPr>
                <w:rFonts w:eastAsia="Times New Roman"/>
                <w:sz w:val="18"/>
                <w:szCs w:val="18"/>
                <w:lang w:val="es-ES"/>
              </w:rPr>
              <w:t>27 681.36</w:t>
            </w:r>
          </w:p>
        </w:tc>
        <w:tc>
          <w:tcPr>
            <w:tcW w:w="1490" w:type="dxa"/>
            <w:shd w:val="clear" w:color="auto" w:fill="auto"/>
          </w:tcPr>
          <w:p w14:paraId="1D9E66A8" w14:textId="77777777" w:rsidR="008007D2" w:rsidRPr="008007D2" w:rsidRDefault="008007D2" w:rsidP="008007D2">
            <w:pPr>
              <w:spacing w:after="60" w:line="216" w:lineRule="exact"/>
              <w:jc w:val="right"/>
              <w:rPr>
                <w:rFonts w:eastAsia="Times New Roman"/>
                <w:sz w:val="18"/>
                <w:szCs w:val="18"/>
                <w:lang w:val="es-ES"/>
              </w:rPr>
            </w:pPr>
            <w:r w:rsidRPr="008007D2">
              <w:rPr>
                <w:rFonts w:eastAsia="Times New Roman"/>
                <w:sz w:val="18"/>
                <w:szCs w:val="18"/>
                <w:lang w:val="es-ES"/>
              </w:rPr>
              <w:t>55 450.89</w:t>
            </w:r>
          </w:p>
        </w:tc>
        <w:tc>
          <w:tcPr>
            <w:tcW w:w="1490" w:type="dxa"/>
            <w:shd w:val="clear" w:color="auto" w:fill="auto"/>
          </w:tcPr>
          <w:p w14:paraId="60D4FF5D" w14:textId="77777777" w:rsidR="008007D2" w:rsidRPr="008007D2" w:rsidRDefault="008007D2" w:rsidP="008007D2">
            <w:pPr>
              <w:spacing w:after="60" w:line="216" w:lineRule="exact"/>
              <w:jc w:val="right"/>
              <w:rPr>
                <w:rFonts w:eastAsia="Times New Roman"/>
                <w:b/>
                <w:sz w:val="18"/>
                <w:szCs w:val="18"/>
                <w:lang w:val="es-ES"/>
              </w:rPr>
            </w:pPr>
            <w:r w:rsidRPr="008007D2">
              <w:rPr>
                <w:rFonts w:eastAsia="Times New Roman"/>
                <w:b/>
                <w:sz w:val="18"/>
                <w:szCs w:val="18"/>
                <w:lang w:val="es-ES"/>
              </w:rPr>
              <w:t>103 097.87</w:t>
            </w:r>
          </w:p>
        </w:tc>
      </w:tr>
      <w:tr w:rsidR="008007D2" w:rsidRPr="008007D2" w14:paraId="101527F9" w14:textId="77777777" w:rsidTr="00736C45">
        <w:trPr>
          <w:trHeight w:val="144"/>
        </w:trPr>
        <w:tc>
          <w:tcPr>
            <w:tcW w:w="3784" w:type="dxa"/>
            <w:shd w:val="clear" w:color="auto" w:fill="auto"/>
          </w:tcPr>
          <w:p w14:paraId="79FADC57" w14:textId="77777777" w:rsidR="008007D2" w:rsidRPr="008007D2" w:rsidRDefault="008007D2" w:rsidP="008007D2">
            <w:pPr>
              <w:spacing w:after="60" w:line="216" w:lineRule="exact"/>
              <w:jc w:val="both"/>
              <w:rPr>
                <w:rFonts w:eastAsia="Times New Roman"/>
                <w:sz w:val="18"/>
                <w:szCs w:val="18"/>
                <w:lang w:val="es-ES"/>
              </w:rPr>
            </w:pPr>
            <w:r w:rsidRPr="008007D2">
              <w:rPr>
                <w:rFonts w:eastAsia="Times New Roman"/>
                <w:sz w:val="18"/>
                <w:szCs w:val="18"/>
                <w:lang w:val="es-ES"/>
              </w:rPr>
              <w:t>VOLKSWAGEN BANK, S.A.</w:t>
            </w:r>
          </w:p>
        </w:tc>
        <w:tc>
          <w:tcPr>
            <w:tcW w:w="1490" w:type="dxa"/>
            <w:shd w:val="clear" w:color="auto" w:fill="auto"/>
          </w:tcPr>
          <w:p w14:paraId="27E3F1C3" w14:textId="77777777" w:rsidR="008007D2" w:rsidRPr="008007D2" w:rsidRDefault="008007D2" w:rsidP="008007D2">
            <w:pPr>
              <w:spacing w:after="60" w:line="216" w:lineRule="exact"/>
              <w:jc w:val="right"/>
              <w:rPr>
                <w:rFonts w:eastAsia="Times New Roman"/>
                <w:sz w:val="18"/>
                <w:szCs w:val="18"/>
                <w:lang w:val="es-ES"/>
              </w:rPr>
            </w:pPr>
            <w:r w:rsidRPr="008007D2">
              <w:rPr>
                <w:rFonts w:eastAsia="Times New Roman"/>
                <w:sz w:val="18"/>
                <w:szCs w:val="18"/>
                <w:lang w:val="es-ES"/>
              </w:rPr>
              <w:t>1 054 791.58</w:t>
            </w:r>
          </w:p>
        </w:tc>
        <w:tc>
          <w:tcPr>
            <w:tcW w:w="1490" w:type="dxa"/>
            <w:shd w:val="clear" w:color="auto" w:fill="auto"/>
          </w:tcPr>
          <w:p w14:paraId="6EBE9EED" w14:textId="77777777" w:rsidR="008007D2" w:rsidRPr="008007D2" w:rsidRDefault="008007D2" w:rsidP="008007D2">
            <w:pPr>
              <w:spacing w:after="60" w:line="216" w:lineRule="exact"/>
              <w:jc w:val="right"/>
              <w:rPr>
                <w:rFonts w:eastAsia="Times New Roman"/>
                <w:sz w:val="18"/>
                <w:szCs w:val="18"/>
                <w:lang w:val="es-ES"/>
              </w:rPr>
            </w:pPr>
            <w:r w:rsidRPr="008007D2">
              <w:rPr>
                <w:rFonts w:eastAsia="Times New Roman"/>
                <w:sz w:val="18"/>
                <w:szCs w:val="18"/>
                <w:lang w:val="es-ES"/>
              </w:rPr>
              <w:t>1 041 123.03</w:t>
            </w:r>
          </w:p>
        </w:tc>
        <w:tc>
          <w:tcPr>
            <w:tcW w:w="1490" w:type="dxa"/>
            <w:shd w:val="clear" w:color="auto" w:fill="auto"/>
          </w:tcPr>
          <w:p w14:paraId="21E3E92E" w14:textId="77777777" w:rsidR="008007D2" w:rsidRPr="008007D2" w:rsidRDefault="008007D2" w:rsidP="008007D2">
            <w:pPr>
              <w:spacing w:after="60" w:line="216" w:lineRule="exact"/>
              <w:jc w:val="right"/>
              <w:rPr>
                <w:rFonts w:eastAsia="Times New Roman"/>
                <w:sz w:val="18"/>
                <w:szCs w:val="18"/>
                <w:lang w:val="es-ES"/>
              </w:rPr>
            </w:pPr>
            <w:r w:rsidRPr="008007D2">
              <w:rPr>
                <w:rFonts w:eastAsia="Times New Roman"/>
                <w:sz w:val="18"/>
                <w:szCs w:val="18"/>
                <w:lang w:val="es-ES"/>
              </w:rPr>
              <w:t>1 014 025.82</w:t>
            </w:r>
          </w:p>
        </w:tc>
        <w:tc>
          <w:tcPr>
            <w:tcW w:w="1490" w:type="dxa"/>
            <w:shd w:val="clear" w:color="auto" w:fill="auto"/>
          </w:tcPr>
          <w:p w14:paraId="3F753F96" w14:textId="77777777" w:rsidR="008007D2" w:rsidRPr="008007D2" w:rsidRDefault="008007D2" w:rsidP="008007D2">
            <w:pPr>
              <w:spacing w:after="60" w:line="216" w:lineRule="exact"/>
              <w:jc w:val="right"/>
              <w:rPr>
                <w:rFonts w:eastAsia="Times New Roman"/>
                <w:b/>
                <w:sz w:val="18"/>
                <w:szCs w:val="18"/>
                <w:lang w:val="es-ES"/>
              </w:rPr>
            </w:pPr>
            <w:r w:rsidRPr="008007D2">
              <w:rPr>
                <w:rFonts w:eastAsia="Times New Roman"/>
                <w:b/>
                <w:sz w:val="18"/>
                <w:szCs w:val="18"/>
                <w:lang w:val="es-ES"/>
              </w:rPr>
              <w:t>3 109 940.43</w:t>
            </w:r>
          </w:p>
        </w:tc>
      </w:tr>
      <w:tr w:rsidR="008007D2" w:rsidRPr="008007D2" w14:paraId="66659FE1" w14:textId="77777777" w:rsidTr="00AA71BA">
        <w:trPr>
          <w:trHeight w:val="144"/>
        </w:trPr>
        <w:tc>
          <w:tcPr>
            <w:tcW w:w="3784" w:type="dxa"/>
            <w:tcBorders>
              <w:bottom w:val="single" w:sz="2" w:space="0" w:color="auto"/>
            </w:tcBorders>
            <w:shd w:val="clear" w:color="auto" w:fill="auto"/>
          </w:tcPr>
          <w:p w14:paraId="16AB4411" w14:textId="77777777" w:rsidR="008007D2" w:rsidRPr="008007D2" w:rsidRDefault="008007D2" w:rsidP="008007D2">
            <w:pPr>
              <w:spacing w:after="60" w:line="216" w:lineRule="exact"/>
              <w:jc w:val="both"/>
              <w:rPr>
                <w:rFonts w:eastAsia="Times New Roman"/>
                <w:b/>
                <w:sz w:val="18"/>
                <w:szCs w:val="18"/>
                <w:lang w:val="es-ES"/>
              </w:rPr>
            </w:pPr>
            <w:r w:rsidRPr="008007D2">
              <w:rPr>
                <w:rFonts w:eastAsia="Times New Roman"/>
                <w:b/>
                <w:sz w:val="18"/>
                <w:szCs w:val="18"/>
                <w:lang w:val="es-ES"/>
              </w:rPr>
              <w:t>Total</w:t>
            </w:r>
          </w:p>
        </w:tc>
        <w:tc>
          <w:tcPr>
            <w:tcW w:w="1490" w:type="dxa"/>
            <w:tcBorders>
              <w:bottom w:val="single" w:sz="2" w:space="0" w:color="auto"/>
            </w:tcBorders>
            <w:shd w:val="clear" w:color="auto" w:fill="auto"/>
          </w:tcPr>
          <w:p w14:paraId="435EF407" w14:textId="77777777" w:rsidR="008007D2" w:rsidRPr="008007D2" w:rsidRDefault="008007D2" w:rsidP="008007D2">
            <w:pPr>
              <w:spacing w:after="60" w:line="216" w:lineRule="exact"/>
              <w:jc w:val="right"/>
              <w:rPr>
                <w:rFonts w:eastAsia="Times New Roman"/>
                <w:b/>
                <w:sz w:val="18"/>
                <w:szCs w:val="18"/>
                <w:lang w:val="es-ES"/>
              </w:rPr>
            </w:pPr>
            <w:r w:rsidRPr="008007D2">
              <w:rPr>
                <w:rFonts w:eastAsia="Times New Roman"/>
                <w:b/>
                <w:sz w:val="18"/>
                <w:szCs w:val="18"/>
                <w:lang w:val="es-ES"/>
              </w:rPr>
              <w:t>1 242 245 488.63</w:t>
            </w:r>
          </w:p>
        </w:tc>
        <w:tc>
          <w:tcPr>
            <w:tcW w:w="1490" w:type="dxa"/>
            <w:tcBorders>
              <w:bottom w:val="single" w:sz="2" w:space="0" w:color="auto"/>
            </w:tcBorders>
            <w:shd w:val="clear" w:color="auto" w:fill="auto"/>
          </w:tcPr>
          <w:p w14:paraId="2CC47EB2" w14:textId="77777777" w:rsidR="008007D2" w:rsidRPr="008007D2" w:rsidRDefault="008007D2" w:rsidP="008007D2">
            <w:pPr>
              <w:spacing w:after="60" w:line="216" w:lineRule="exact"/>
              <w:jc w:val="right"/>
              <w:rPr>
                <w:rFonts w:eastAsia="Times New Roman"/>
                <w:b/>
                <w:sz w:val="18"/>
                <w:szCs w:val="18"/>
                <w:lang w:val="es-ES"/>
              </w:rPr>
            </w:pPr>
            <w:r w:rsidRPr="008007D2">
              <w:rPr>
                <w:rFonts w:eastAsia="Times New Roman"/>
                <w:b/>
                <w:sz w:val="18"/>
                <w:szCs w:val="18"/>
                <w:lang w:val="es-ES"/>
              </w:rPr>
              <w:t>1 274 519 392.25</w:t>
            </w:r>
          </w:p>
        </w:tc>
        <w:tc>
          <w:tcPr>
            <w:tcW w:w="1490" w:type="dxa"/>
            <w:tcBorders>
              <w:bottom w:val="single" w:sz="2" w:space="0" w:color="auto"/>
            </w:tcBorders>
            <w:shd w:val="clear" w:color="auto" w:fill="auto"/>
          </w:tcPr>
          <w:p w14:paraId="093D3774" w14:textId="77777777" w:rsidR="008007D2" w:rsidRPr="008007D2" w:rsidRDefault="008007D2" w:rsidP="008007D2">
            <w:pPr>
              <w:spacing w:after="60" w:line="216" w:lineRule="exact"/>
              <w:jc w:val="right"/>
              <w:rPr>
                <w:rFonts w:eastAsia="Times New Roman"/>
                <w:b/>
                <w:sz w:val="18"/>
                <w:szCs w:val="18"/>
                <w:lang w:val="es-ES"/>
              </w:rPr>
            </w:pPr>
            <w:r w:rsidRPr="008007D2">
              <w:rPr>
                <w:rFonts w:eastAsia="Times New Roman"/>
                <w:b/>
                <w:sz w:val="18"/>
                <w:szCs w:val="18"/>
                <w:lang w:val="es-ES"/>
              </w:rPr>
              <w:t>1 345 422 447.59</w:t>
            </w:r>
          </w:p>
        </w:tc>
        <w:tc>
          <w:tcPr>
            <w:tcW w:w="1490" w:type="dxa"/>
            <w:tcBorders>
              <w:bottom w:val="single" w:sz="2" w:space="0" w:color="auto"/>
            </w:tcBorders>
            <w:shd w:val="clear" w:color="auto" w:fill="auto"/>
          </w:tcPr>
          <w:p w14:paraId="0C8506E1" w14:textId="77777777" w:rsidR="008007D2" w:rsidRPr="008007D2" w:rsidRDefault="008007D2" w:rsidP="008007D2">
            <w:pPr>
              <w:spacing w:after="60" w:line="216" w:lineRule="exact"/>
              <w:jc w:val="right"/>
              <w:rPr>
                <w:rFonts w:eastAsia="Times New Roman"/>
                <w:b/>
                <w:sz w:val="18"/>
                <w:szCs w:val="18"/>
                <w:lang w:val="es-ES"/>
              </w:rPr>
            </w:pPr>
            <w:r w:rsidRPr="008007D2">
              <w:rPr>
                <w:rFonts w:eastAsia="Times New Roman"/>
                <w:b/>
                <w:sz w:val="18"/>
                <w:szCs w:val="18"/>
                <w:lang w:val="es-ES"/>
              </w:rPr>
              <w:t>3 862 187 328.47</w:t>
            </w:r>
          </w:p>
        </w:tc>
      </w:tr>
      <w:tr w:rsidR="00AA71BA" w:rsidRPr="008007D2" w14:paraId="0717D7F2" w14:textId="77777777" w:rsidTr="00AA71BA">
        <w:trPr>
          <w:trHeight w:val="144"/>
        </w:trPr>
        <w:tc>
          <w:tcPr>
            <w:tcW w:w="9744" w:type="dxa"/>
            <w:gridSpan w:val="5"/>
            <w:tcBorders>
              <w:left w:val="nil"/>
              <w:bottom w:val="nil"/>
              <w:right w:val="nil"/>
            </w:tcBorders>
            <w:shd w:val="clear" w:color="auto" w:fill="auto"/>
          </w:tcPr>
          <w:p w14:paraId="33DA630B" w14:textId="77777777" w:rsidR="00AA71BA" w:rsidRDefault="00AA71BA" w:rsidP="00AA71BA">
            <w:pPr>
              <w:ind w:left="510" w:hanging="510"/>
              <w:jc w:val="both"/>
              <w:rPr>
                <w:rFonts w:eastAsia="Calibri"/>
                <w:sz w:val="20"/>
                <w:szCs w:val="20"/>
                <w:lang w:eastAsia="en-US"/>
              </w:rPr>
            </w:pPr>
            <w:r w:rsidRPr="00AA71BA">
              <w:rPr>
                <w:rFonts w:eastAsia="Calibri"/>
                <w:sz w:val="20"/>
                <w:szCs w:val="20"/>
                <w:lang w:eastAsia="en-US"/>
              </w:rPr>
              <w:t>Nota: Los importes de las cuotas cubiertas por las instituciones de banca múltiple fueron calculados por la Comisión Nacional Bancaria y de Valores de conformidad con lo previsto en las “Disposiciones relativas a las cuotas ordinarias que las instituciones de banca múltiple están obligadas a cubrir al Instituto para la Protección al Ahorro Bancario”, publicadas en el Diario Oficial de la Federación el 31 de mayo de 1999 y modificadas mediante resolución publicada en el mismo Diario Oficial de la Federación el 14 de octubre de 2008.</w:t>
            </w:r>
          </w:p>
          <w:p w14:paraId="68A117B8" w14:textId="77777777" w:rsidR="00AA71BA" w:rsidRPr="008007D2" w:rsidRDefault="00AA71BA" w:rsidP="00AA71BA">
            <w:pPr>
              <w:spacing w:after="60" w:line="216" w:lineRule="exact"/>
              <w:jc w:val="both"/>
              <w:rPr>
                <w:rFonts w:eastAsia="Times New Roman"/>
                <w:b/>
                <w:sz w:val="18"/>
                <w:szCs w:val="18"/>
                <w:lang w:val="es-ES"/>
              </w:rPr>
            </w:pPr>
          </w:p>
        </w:tc>
      </w:tr>
    </w:tbl>
    <w:p w14:paraId="158FE796" w14:textId="77777777" w:rsidR="00AA71BA" w:rsidRPr="00AA71BA" w:rsidRDefault="00AA71BA" w:rsidP="00AA71BA">
      <w:pPr>
        <w:ind w:left="510" w:right="-159" w:hanging="510"/>
        <w:jc w:val="both"/>
        <w:rPr>
          <w:rFonts w:eastAsia="Calibri"/>
          <w:sz w:val="20"/>
          <w:szCs w:val="20"/>
          <w:lang w:eastAsia="en-US"/>
        </w:rPr>
      </w:pPr>
    </w:p>
    <w:p w14:paraId="37B913B9" w14:textId="77777777" w:rsidR="008007D2" w:rsidRPr="008007D2" w:rsidRDefault="008007D2" w:rsidP="008007D2">
      <w:pPr>
        <w:ind w:right="-159"/>
        <w:jc w:val="both"/>
        <w:rPr>
          <w:rFonts w:eastAsia="Calibri"/>
          <w:b/>
          <w:sz w:val="20"/>
          <w:szCs w:val="20"/>
          <w:lang w:eastAsia="en-US"/>
        </w:rPr>
      </w:pPr>
      <w:r w:rsidRPr="008007D2">
        <w:rPr>
          <w:rFonts w:eastAsia="Calibri"/>
          <w:b/>
          <w:sz w:val="20"/>
          <w:szCs w:val="20"/>
          <w:lang w:eastAsia="en-US"/>
        </w:rPr>
        <w:t>Fuente de información:</w:t>
      </w:r>
    </w:p>
    <w:p w14:paraId="52366584" w14:textId="77777777" w:rsidR="008007D2" w:rsidRPr="00AF4DFC" w:rsidRDefault="0093224F" w:rsidP="008007D2">
      <w:pPr>
        <w:ind w:right="-159"/>
        <w:jc w:val="both"/>
        <w:rPr>
          <w:rFonts w:eastAsia="Calibri"/>
          <w:color w:val="0000FF"/>
          <w:sz w:val="20"/>
          <w:szCs w:val="20"/>
          <w:lang w:eastAsia="en-US"/>
        </w:rPr>
      </w:pPr>
      <w:hyperlink r:id="rId405" w:history="1">
        <w:r w:rsidR="008007D2" w:rsidRPr="00AF4DFC">
          <w:rPr>
            <w:rFonts w:eastAsia="Calibri"/>
            <w:color w:val="0000FF"/>
            <w:sz w:val="20"/>
            <w:szCs w:val="20"/>
            <w:u w:val="single"/>
            <w:lang w:eastAsia="en-US"/>
          </w:rPr>
          <w:t>http://dof.gob.mx/nota_detalle.php?codigo=5383916&amp;fecha=02/03/2015</w:t>
        </w:r>
      </w:hyperlink>
      <w:r w:rsidR="008007D2" w:rsidRPr="00AF4DFC">
        <w:rPr>
          <w:rFonts w:eastAsia="Calibri"/>
          <w:color w:val="0000FF"/>
          <w:sz w:val="20"/>
          <w:szCs w:val="20"/>
          <w:lang w:eastAsia="en-US"/>
        </w:rPr>
        <w:t xml:space="preserve"> </w:t>
      </w:r>
    </w:p>
    <w:p w14:paraId="2D37CA72" w14:textId="77777777" w:rsidR="00400A79" w:rsidRDefault="00400A79" w:rsidP="009E07C3">
      <w:pPr>
        <w:spacing w:after="360" w:line="360" w:lineRule="auto"/>
        <w:ind w:right="-159"/>
        <w:jc w:val="both"/>
        <w:rPr>
          <w:rFonts w:eastAsia="Times New Roman"/>
          <w:bCs/>
          <w:sz w:val="26"/>
          <w:szCs w:val="26"/>
          <w:lang w:val="es-ES"/>
        </w:rPr>
      </w:pPr>
    </w:p>
    <w:p w14:paraId="0C556D40" w14:textId="77777777" w:rsidR="00BF0D64" w:rsidRDefault="00BF0D64" w:rsidP="009E07C3">
      <w:pPr>
        <w:spacing w:after="360" w:line="360" w:lineRule="auto"/>
        <w:ind w:right="-159"/>
        <w:jc w:val="both"/>
        <w:rPr>
          <w:rFonts w:eastAsia="Times New Roman"/>
          <w:bCs/>
          <w:sz w:val="26"/>
          <w:szCs w:val="26"/>
          <w:lang w:val="es-ES"/>
        </w:rPr>
      </w:pPr>
    </w:p>
    <w:p w14:paraId="5FCD2ACA" w14:textId="77777777" w:rsidR="004A017C" w:rsidRPr="004A017C" w:rsidRDefault="004A017C" w:rsidP="004A017C">
      <w:pPr>
        <w:ind w:right="-159"/>
        <w:jc w:val="both"/>
        <w:rPr>
          <w:rFonts w:eastAsia="Calibri"/>
          <w:b/>
          <w:sz w:val="26"/>
          <w:szCs w:val="26"/>
          <w:lang w:eastAsia="en-US"/>
        </w:rPr>
      </w:pPr>
      <w:r w:rsidRPr="004A017C">
        <w:rPr>
          <w:rFonts w:eastAsia="Calibri"/>
          <w:b/>
          <w:sz w:val="26"/>
          <w:szCs w:val="26"/>
          <w:lang w:eastAsia="en-US"/>
        </w:rPr>
        <w:lastRenderedPageBreak/>
        <w:t>La  Reserva  Federal  da  paso  a  nueva era de</w:t>
      </w:r>
    </w:p>
    <w:p w14:paraId="5CEF7AEC" w14:textId="77777777" w:rsidR="004A017C" w:rsidRPr="004A017C" w:rsidRDefault="004A017C" w:rsidP="004A017C">
      <w:pPr>
        <w:spacing w:after="360" w:line="360" w:lineRule="auto"/>
        <w:ind w:right="-159"/>
        <w:jc w:val="both"/>
        <w:rPr>
          <w:rFonts w:eastAsia="Calibri"/>
          <w:b/>
          <w:sz w:val="26"/>
          <w:szCs w:val="26"/>
          <w:lang w:eastAsia="en-US"/>
        </w:rPr>
      </w:pPr>
      <w:r w:rsidRPr="004A017C">
        <w:rPr>
          <w:rFonts w:eastAsia="Calibri"/>
          <w:b/>
          <w:sz w:val="26"/>
          <w:szCs w:val="26"/>
          <w:lang w:eastAsia="en-US"/>
        </w:rPr>
        <w:t>incertidumbre sobre las tasas (Sentido Común)</w:t>
      </w:r>
    </w:p>
    <w:p w14:paraId="6A4B8D05" w14:textId="306CE914" w:rsidR="004A017C" w:rsidRPr="004A017C" w:rsidRDefault="004A017C" w:rsidP="004A017C">
      <w:pPr>
        <w:spacing w:after="360" w:line="360" w:lineRule="auto"/>
        <w:ind w:right="-159"/>
        <w:jc w:val="both"/>
        <w:rPr>
          <w:rFonts w:eastAsia="Calibri"/>
          <w:sz w:val="26"/>
          <w:szCs w:val="26"/>
          <w:lang w:eastAsia="en-US"/>
        </w:rPr>
      </w:pPr>
      <w:r w:rsidRPr="004A017C">
        <w:rPr>
          <w:rFonts w:eastAsia="Calibri"/>
          <w:sz w:val="26"/>
          <w:szCs w:val="26"/>
          <w:lang w:eastAsia="en-US"/>
        </w:rPr>
        <w:t>El 3 de marzo de 2015, la revista electrónica Sentido Común informó que en la actualidad, los inversionistas están obsesionados por saber cuándo comenzará la Reserva Federal (Fed) a subir las tasas de interés a corto plazo</w:t>
      </w:r>
      <w:r w:rsidR="0051422E">
        <w:rPr>
          <w:rFonts w:eastAsia="Calibri"/>
          <w:sz w:val="26"/>
          <w:szCs w:val="26"/>
          <w:lang w:eastAsia="en-US"/>
        </w:rPr>
        <w:t>; mientras que l</w:t>
      </w:r>
      <w:r w:rsidRPr="004A017C">
        <w:rPr>
          <w:rFonts w:eastAsia="Calibri"/>
          <w:sz w:val="26"/>
          <w:szCs w:val="26"/>
          <w:lang w:eastAsia="en-US"/>
        </w:rPr>
        <w:t>o que atrae menos escrutinio es dónde van a terminar las tasas en el largo plazo y cómo van a llegar ahí. Sin embargo ya es hora de empezar a prestarle atención al asunto.</w:t>
      </w:r>
    </w:p>
    <w:p w14:paraId="6F6DD81F" w14:textId="77777777" w:rsidR="004A017C" w:rsidRPr="004A017C" w:rsidRDefault="004A017C" w:rsidP="004A017C">
      <w:pPr>
        <w:spacing w:after="360" w:line="360" w:lineRule="auto"/>
        <w:ind w:right="-159"/>
        <w:jc w:val="both"/>
        <w:rPr>
          <w:rFonts w:eastAsia="Calibri"/>
          <w:sz w:val="26"/>
          <w:szCs w:val="26"/>
          <w:lang w:eastAsia="en-US"/>
        </w:rPr>
      </w:pPr>
      <w:r w:rsidRPr="004A017C">
        <w:rPr>
          <w:rFonts w:eastAsia="Calibri"/>
          <w:sz w:val="26"/>
          <w:szCs w:val="26"/>
          <w:lang w:eastAsia="en-US"/>
        </w:rPr>
        <w:t>Funcionarios de la Fed han dejado en claro que esperan comenzar a subir las tasas de interés a corto plazo este año, actualmente se encuentran en casi cero, aunque no antes de mediados de año. Después de eso, en el banco central y los mercados hay una gran incertidumbre sobre la trayectoria futura de las tasas de interés.</w:t>
      </w:r>
    </w:p>
    <w:p w14:paraId="64091F43" w14:textId="77777777" w:rsidR="004A017C" w:rsidRPr="004A017C" w:rsidRDefault="004A017C" w:rsidP="004A017C">
      <w:pPr>
        <w:spacing w:after="360" w:line="360" w:lineRule="auto"/>
        <w:ind w:right="-159"/>
        <w:jc w:val="both"/>
        <w:rPr>
          <w:rFonts w:eastAsia="Calibri"/>
          <w:sz w:val="26"/>
          <w:szCs w:val="26"/>
          <w:lang w:eastAsia="en-US"/>
        </w:rPr>
      </w:pPr>
      <w:r w:rsidRPr="004A017C">
        <w:rPr>
          <w:rFonts w:eastAsia="Calibri"/>
          <w:sz w:val="26"/>
          <w:szCs w:val="26"/>
          <w:lang w:eastAsia="en-US"/>
        </w:rPr>
        <w:t>Las perspectivas a largo plazo sobre las tasas tienen consecuencias para todos. Para los hogares, determinará los pagos de las hipotecas y los préstamos automotrices; para las empresas, de los bonos corporativos; y para el gobierno, de los 13 billones de dólares en deuda en poder del público. La desconexión entre la Fed y el mercado en relación al panorama de las tasas a largo plazo también podría ser fuente de turbulencias en los mercados en los próximos meses.</w:t>
      </w:r>
    </w:p>
    <w:p w14:paraId="4D012CDF" w14:textId="77777777" w:rsidR="004A017C" w:rsidRPr="004A017C" w:rsidRDefault="004A017C" w:rsidP="004A017C">
      <w:pPr>
        <w:spacing w:after="360" w:line="360" w:lineRule="auto"/>
        <w:ind w:right="-159"/>
        <w:jc w:val="both"/>
        <w:rPr>
          <w:rFonts w:eastAsia="Calibri"/>
          <w:sz w:val="26"/>
          <w:szCs w:val="26"/>
          <w:lang w:eastAsia="en-US"/>
        </w:rPr>
      </w:pPr>
      <w:r w:rsidRPr="004A017C">
        <w:rPr>
          <w:rFonts w:eastAsia="Calibri"/>
          <w:sz w:val="26"/>
          <w:szCs w:val="26"/>
          <w:lang w:eastAsia="en-US"/>
        </w:rPr>
        <w:t>En promedio, los responsables políticos del banco central consideran que las tasas casi se duplicarán, comparado con lo que los mercados de futuros indican en los próximos años, por una variedad de razones.</w:t>
      </w:r>
    </w:p>
    <w:p w14:paraId="4123578E" w14:textId="77777777" w:rsidR="004A017C" w:rsidRPr="004A017C" w:rsidRDefault="004A017C" w:rsidP="004A017C">
      <w:pPr>
        <w:spacing w:after="360" w:line="360" w:lineRule="auto"/>
        <w:ind w:right="-159"/>
        <w:jc w:val="both"/>
        <w:rPr>
          <w:rFonts w:eastAsia="Calibri"/>
          <w:sz w:val="26"/>
          <w:szCs w:val="26"/>
          <w:lang w:eastAsia="en-US"/>
        </w:rPr>
      </w:pPr>
      <w:r w:rsidRPr="004A017C">
        <w:rPr>
          <w:rFonts w:eastAsia="Calibri"/>
          <w:sz w:val="26"/>
          <w:szCs w:val="26"/>
          <w:lang w:eastAsia="en-US"/>
        </w:rPr>
        <w:t>Si la Fed está errada, ésta podría cometer un error con las tasas de interés que repercuta en la economía. Si el mercado está equivocado, éste podría estarse predisponiendo a sufrir una caída, si las tasas suben más arriba de lo esperado.</w:t>
      </w:r>
    </w:p>
    <w:p w14:paraId="03E2B5AF" w14:textId="77777777" w:rsidR="004A017C" w:rsidRPr="004A017C" w:rsidRDefault="004A017C" w:rsidP="004A017C">
      <w:pPr>
        <w:spacing w:after="360" w:line="360" w:lineRule="auto"/>
        <w:ind w:right="-159"/>
        <w:jc w:val="both"/>
        <w:rPr>
          <w:rFonts w:eastAsia="Calibri"/>
          <w:sz w:val="26"/>
          <w:szCs w:val="26"/>
          <w:lang w:eastAsia="en-US"/>
        </w:rPr>
      </w:pPr>
      <w:r w:rsidRPr="004A017C">
        <w:rPr>
          <w:rFonts w:eastAsia="Calibri"/>
          <w:sz w:val="26"/>
          <w:szCs w:val="26"/>
          <w:lang w:eastAsia="en-US"/>
        </w:rPr>
        <w:lastRenderedPageBreak/>
        <w:t xml:space="preserve">Las últimas previsiones de la Fed muestran que nueve de los 17 responsables de la política monetaria ven la tasa de interés de referencia del banco central —la tasa de los fondos federales— en 1.13% o más para el fin de año. La mediana de las estimaciones —es decir, el punto en el que la mitad está por arriba y la otra mitad por abajo— indica que llegará a 2.5% para finales de 2016 y a 3.63% para finales de 2017. </w:t>
      </w:r>
    </w:p>
    <w:p w14:paraId="2B60BEE9" w14:textId="77777777" w:rsidR="004A017C" w:rsidRPr="004A017C" w:rsidRDefault="004A017C" w:rsidP="004A017C">
      <w:pPr>
        <w:spacing w:after="360" w:line="360" w:lineRule="auto"/>
        <w:ind w:right="-159"/>
        <w:jc w:val="both"/>
        <w:rPr>
          <w:rFonts w:eastAsia="Calibri"/>
          <w:sz w:val="26"/>
          <w:szCs w:val="26"/>
          <w:lang w:eastAsia="en-US"/>
        </w:rPr>
      </w:pPr>
      <w:r w:rsidRPr="004A017C">
        <w:rPr>
          <w:rFonts w:eastAsia="Calibri"/>
          <w:sz w:val="26"/>
          <w:szCs w:val="26"/>
          <w:lang w:eastAsia="en-US"/>
        </w:rPr>
        <w:t>Por otra parte, en los mercados de futuros de los fondos federales, donde los corredores compran y venden contratos basados en las tasas esperadas, la tasa esperada de los fondos federales es en promedio de 0.50% para diciembre de 2015, de 1.35% para diciembre de 2016 y 1.84% para diciembre de 2017.</w:t>
      </w:r>
    </w:p>
    <w:p w14:paraId="3988BD4C" w14:textId="77777777" w:rsidR="004A017C" w:rsidRPr="004A017C" w:rsidRDefault="004A017C" w:rsidP="004A017C">
      <w:pPr>
        <w:spacing w:after="360" w:line="360" w:lineRule="auto"/>
        <w:ind w:right="-159"/>
        <w:jc w:val="both"/>
        <w:rPr>
          <w:rFonts w:eastAsia="Calibri"/>
          <w:sz w:val="26"/>
          <w:szCs w:val="26"/>
          <w:lang w:eastAsia="en-US"/>
        </w:rPr>
      </w:pPr>
      <w:r w:rsidRPr="004A017C">
        <w:rPr>
          <w:rFonts w:eastAsia="Calibri"/>
          <w:sz w:val="26"/>
          <w:szCs w:val="26"/>
          <w:lang w:eastAsia="en-US"/>
        </w:rPr>
        <w:t>La razón de esta disparidad: los precios de los futuros reflejan los cálculos de los inversionistas de que existe la probabilidad de algunas tasas vuelvan a un nivel cercano a cero después de registrar algunas alzas y que permanezcan ahí.</w:t>
      </w:r>
    </w:p>
    <w:p w14:paraId="4DD2DF7B" w14:textId="77777777" w:rsidR="004A017C" w:rsidRPr="004A017C" w:rsidRDefault="004A017C" w:rsidP="004A017C">
      <w:pPr>
        <w:spacing w:after="360" w:line="360" w:lineRule="auto"/>
        <w:ind w:right="-159"/>
        <w:jc w:val="both"/>
        <w:rPr>
          <w:rFonts w:eastAsia="Calibri"/>
          <w:sz w:val="26"/>
          <w:szCs w:val="26"/>
          <w:lang w:eastAsia="en-US"/>
        </w:rPr>
      </w:pPr>
      <w:r w:rsidRPr="004A017C">
        <w:rPr>
          <w:rFonts w:eastAsia="Calibri"/>
          <w:sz w:val="26"/>
          <w:szCs w:val="26"/>
          <w:lang w:eastAsia="en-US"/>
        </w:rPr>
        <w:t>Esto sucedió en Suecia después que su banco central elevó las tasas en 2010 y en Japón a partir de 2006. En ambos casos, los bancos centrales tuvieron que revertir el rumbo y reducir las tasas, después que las crisis económicas y las presiones deflacionistas dañaron sus economías.</w:t>
      </w:r>
    </w:p>
    <w:p w14:paraId="2DD4477A" w14:textId="4464AE6A" w:rsidR="004A017C" w:rsidRPr="004A017C" w:rsidRDefault="004A017C" w:rsidP="004A017C">
      <w:pPr>
        <w:spacing w:after="360" w:line="360" w:lineRule="auto"/>
        <w:ind w:right="-159"/>
        <w:jc w:val="both"/>
        <w:rPr>
          <w:rFonts w:eastAsia="Calibri"/>
          <w:sz w:val="26"/>
          <w:szCs w:val="26"/>
          <w:lang w:eastAsia="en-US"/>
        </w:rPr>
      </w:pPr>
      <w:r w:rsidRPr="004A017C">
        <w:rPr>
          <w:rFonts w:eastAsia="Calibri"/>
          <w:sz w:val="26"/>
          <w:szCs w:val="26"/>
          <w:lang w:eastAsia="en-US"/>
        </w:rPr>
        <w:t xml:space="preserve">En enero, una encuesta realizada en </w:t>
      </w:r>
      <w:r w:rsidRPr="003757CD">
        <w:rPr>
          <w:rFonts w:eastAsia="Calibri"/>
          <w:i/>
          <w:sz w:val="26"/>
          <w:szCs w:val="26"/>
          <w:lang w:eastAsia="en-US"/>
        </w:rPr>
        <w:t>Wall Street</w:t>
      </w:r>
      <w:r w:rsidRPr="004A017C">
        <w:rPr>
          <w:rFonts w:eastAsia="Calibri"/>
          <w:sz w:val="26"/>
          <w:szCs w:val="26"/>
          <w:lang w:eastAsia="en-US"/>
        </w:rPr>
        <w:t xml:space="preserve"> por la Fed de Nueva York entre los corredores de bonos mostró que </w:t>
      </w:r>
      <w:r w:rsidR="000D254C">
        <w:rPr>
          <w:rFonts w:eastAsia="Calibri"/>
          <w:sz w:val="26"/>
          <w:szCs w:val="26"/>
          <w:lang w:eastAsia="en-US"/>
        </w:rPr>
        <w:t>é</w:t>
      </w:r>
      <w:r w:rsidRPr="004A017C">
        <w:rPr>
          <w:rFonts w:eastAsia="Calibri"/>
          <w:sz w:val="26"/>
          <w:szCs w:val="26"/>
          <w:lang w:eastAsia="en-US"/>
        </w:rPr>
        <w:t>stos le atribuían 20% de probabilidad a que las tasas de corto plazo de Estados Unidos de Norteamérica regresaran a cero en los dos años después del despegue.</w:t>
      </w:r>
    </w:p>
    <w:p w14:paraId="43C6EC56" w14:textId="77777777" w:rsidR="004A017C" w:rsidRPr="004A017C" w:rsidRDefault="004A017C" w:rsidP="004A017C">
      <w:pPr>
        <w:spacing w:after="360" w:line="360" w:lineRule="auto"/>
        <w:ind w:right="-159"/>
        <w:jc w:val="both"/>
        <w:rPr>
          <w:rFonts w:eastAsia="Calibri"/>
          <w:sz w:val="26"/>
          <w:szCs w:val="26"/>
          <w:lang w:eastAsia="en-US"/>
        </w:rPr>
      </w:pPr>
      <w:r w:rsidRPr="004A017C">
        <w:rPr>
          <w:rFonts w:eastAsia="Calibri"/>
          <w:sz w:val="26"/>
          <w:szCs w:val="26"/>
          <w:lang w:eastAsia="en-US"/>
        </w:rPr>
        <w:t>Un retorno a cero no es el resultado esperado por la Fed, por lo que eso no se detecta en sus previsiones sobre las tasas.</w:t>
      </w:r>
    </w:p>
    <w:p w14:paraId="6BAC7A44" w14:textId="77777777" w:rsidR="004A017C" w:rsidRPr="004A017C" w:rsidRDefault="004A017C" w:rsidP="004A017C">
      <w:pPr>
        <w:spacing w:after="360" w:line="360" w:lineRule="auto"/>
        <w:ind w:right="-159"/>
        <w:jc w:val="both"/>
        <w:rPr>
          <w:rFonts w:eastAsia="Calibri"/>
          <w:sz w:val="26"/>
          <w:szCs w:val="26"/>
          <w:lang w:eastAsia="en-US"/>
        </w:rPr>
      </w:pPr>
      <w:r w:rsidRPr="004A017C">
        <w:rPr>
          <w:rFonts w:eastAsia="Calibri"/>
          <w:sz w:val="26"/>
          <w:szCs w:val="26"/>
          <w:lang w:eastAsia="en-US"/>
        </w:rPr>
        <w:t xml:space="preserve">Los inversionistas podrían tener otras dudas acerca de la Fed que no va a lograr llegar a su objetivo de inflación de 2% y que por lo tanto deberá verse obligada a mantener </w:t>
      </w:r>
      <w:r w:rsidRPr="004A017C">
        <w:rPr>
          <w:rFonts w:eastAsia="Calibri"/>
          <w:sz w:val="26"/>
          <w:szCs w:val="26"/>
          <w:lang w:eastAsia="en-US"/>
        </w:rPr>
        <w:lastRenderedPageBreak/>
        <w:t>las tasas bajas, o que no va a tener la voluntad de realizar los aumentos en las tasas que ha telegrafiado.</w:t>
      </w:r>
    </w:p>
    <w:p w14:paraId="52DB732B" w14:textId="77777777" w:rsidR="004A017C" w:rsidRPr="004A017C" w:rsidRDefault="004A017C" w:rsidP="004A017C">
      <w:pPr>
        <w:spacing w:after="360" w:line="360" w:lineRule="auto"/>
        <w:ind w:right="-159"/>
        <w:jc w:val="both"/>
        <w:rPr>
          <w:rFonts w:eastAsia="Calibri"/>
          <w:sz w:val="26"/>
          <w:szCs w:val="26"/>
          <w:lang w:eastAsia="en-US"/>
        </w:rPr>
      </w:pPr>
      <w:r w:rsidRPr="004A017C">
        <w:rPr>
          <w:rFonts w:eastAsia="Calibri"/>
          <w:sz w:val="26"/>
          <w:szCs w:val="26"/>
          <w:lang w:eastAsia="en-US"/>
        </w:rPr>
        <w:t xml:space="preserve">El panorama de las tasas a más largo plazo fue el centro de la discusión recurrente en una conferencia de política monetaria, patrocinada por </w:t>
      </w:r>
      <w:r w:rsidRPr="004A017C">
        <w:rPr>
          <w:rFonts w:eastAsia="Calibri"/>
          <w:i/>
          <w:sz w:val="26"/>
          <w:szCs w:val="26"/>
          <w:lang w:eastAsia="en-US"/>
        </w:rPr>
        <w:t>Booth School of Business</w:t>
      </w:r>
      <w:r w:rsidRPr="004A017C">
        <w:rPr>
          <w:rFonts w:eastAsia="Calibri"/>
          <w:sz w:val="26"/>
          <w:szCs w:val="26"/>
          <w:lang w:eastAsia="en-US"/>
        </w:rPr>
        <w:t xml:space="preserve"> de Chicago University. Stanley Fischer, el Vicepresidente de la Fed, dijo ahí que las expectativas del mercado podrían aproximarse —quizás abruptamente— más a las de la Fed sobre cuándo el banco central comenzará a elevar las tasas. Un primer incremento “sumará a la credibilidad de lo que estamos diciendo”, dijo en una advertencia no tan sutil a los inversionistas que dudan de los planes de la Fed.</w:t>
      </w:r>
    </w:p>
    <w:p w14:paraId="47DE2B30" w14:textId="77777777" w:rsidR="004A017C" w:rsidRPr="004A017C" w:rsidRDefault="004A017C" w:rsidP="004A017C">
      <w:pPr>
        <w:spacing w:after="360" w:line="360" w:lineRule="auto"/>
        <w:ind w:right="-159"/>
        <w:jc w:val="both"/>
        <w:rPr>
          <w:rFonts w:eastAsia="Calibri"/>
          <w:sz w:val="26"/>
          <w:szCs w:val="26"/>
          <w:lang w:eastAsia="en-US"/>
        </w:rPr>
      </w:pPr>
      <w:r w:rsidRPr="004A017C">
        <w:rPr>
          <w:rFonts w:eastAsia="Calibri"/>
          <w:sz w:val="26"/>
          <w:szCs w:val="26"/>
          <w:lang w:eastAsia="en-US"/>
        </w:rPr>
        <w:t>En teoría, hay una tasa de interés de equilibrio a largo plazo hacia la que se dirige la Reserva Federal y la cual, al igual que lo sucedido con Ricitos de Oro y su famosa sopa, dejaría a la economía en un estado ni demasiado caliente ni demasiado frío. Es decir, esta tasa no es tan baja que provoque el aumento de la inflación y no tan alta que frene el crecimiento.</w:t>
      </w:r>
    </w:p>
    <w:p w14:paraId="312B9FDD" w14:textId="77777777" w:rsidR="004A017C" w:rsidRPr="004A017C" w:rsidRDefault="004A017C" w:rsidP="004A017C">
      <w:pPr>
        <w:spacing w:after="360" w:line="360" w:lineRule="auto"/>
        <w:ind w:right="-159"/>
        <w:jc w:val="both"/>
        <w:rPr>
          <w:rFonts w:eastAsia="Calibri"/>
          <w:sz w:val="26"/>
          <w:szCs w:val="26"/>
          <w:lang w:eastAsia="en-US"/>
        </w:rPr>
      </w:pPr>
      <w:r w:rsidRPr="004A017C">
        <w:rPr>
          <w:rFonts w:eastAsia="Calibri"/>
          <w:sz w:val="26"/>
          <w:szCs w:val="26"/>
          <w:lang w:eastAsia="en-US"/>
        </w:rPr>
        <w:t>Esta también es la tasa que equilibra la inversión y el ahorro. En un período en el que las empresas se resisten a invertir, o cuando los ahorradores están acumulando dinero en el colchón, la tasa probablemente sea baja.</w:t>
      </w:r>
    </w:p>
    <w:p w14:paraId="71A0A970" w14:textId="77777777" w:rsidR="004A017C" w:rsidRPr="004A017C" w:rsidRDefault="004A017C" w:rsidP="004A017C">
      <w:pPr>
        <w:spacing w:after="360" w:line="360" w:lineRule="auto"/>
        <w:ind w:right="-159"/>
        <w:jc w:val="both"/>
        <w:rPr>
          <w:rFonts w:eastAsia="Calibri"/>
          <w:sz w:val="26"/>
          <w:szCs w:val="26"/>
          <w:lang w:eastAsia="en-US"/>
        </w:rPr>
      </w:pPr>
      <w:r w:rsidRPr="004A017C">
        <w:rPr>
          <w:rFonts w:eastAsia="Calibri"/>
          <w:sz w:val="26"/>
          <w:szCs w:val="26"/>
          <w:lang w:eastAsia="en-US"/>
        </w:rPr>
        <w:t>Los economistas han estado intrigados con esta tasa, también llamada tasa natural, durante más de un siglo. “La tasa natural no es fija o inalterable”, postuló el economista sueco Knut Wicksell en un famoso libro de 1898 sobre los intereses. El problema, señaló, era que ésta dependía de "las mil y una cosas que determinan la posición económica actual de una comunidad; y con éstas, fluctúa constantemente".</w:t>
      </w:r>
    </w:p>
    <w:p w14:paraId="4B247AF4" w14:textId="77777777" w:rsidR="004A017C" w:rsidRPr="004A017C" w:rsidRDefault="004A017C" w:rsidP="004A017C">
      <w:pPr>
        <w:spacing w:after="360" w:line="360" w:lineRule="auto"/>
        <w:ind w:right="-159"/>
        <w:jc w:val="both"/>
        <w:rPr>
          <w:rFonts w:eastAsia="Calibri"/>
          <w:sz w:val="26"/>
          <w:szCs w:val="26"/>
          <w:lang w:eastAsia="en-US"/>
        </w:rPr>
      </w:pPr>
      <w:r w:rsidRPr="004A017C">
        <w:rPr>
          <w:rFonts w:eastAsia="Calibri"/>
          <w:sz w:val="26"/>
          <w:szCs w:val="26"/>
          <w:lang w:eastAsia="en-US"/>
        </w:rPr>
        <w:t xml:space="preserve">Funcionarios de la Fed estiman que esta tasa a largo plazo está ahora en alrededor de 3.75%, que representa dos puntos porcentuales de compensación por la inflación y un rendimiento real de 1.75 puntos porcentuales de la inversión. Sus previsiones apuntan </w:t>
      </w:r>
      <w:r w:rsidRPr="004A017C">
        <w:rPr>
          <w:rFonts w:eastAsia="Calibri"/>
          <w:sz w:val="26"/>
          <w:szCs w:val="26"/>
          <w:lang w:eastAsia="en-US"/>
        </w:rPr>
        <w:lastRenderedPageBreak/>
        <w:t>a que ellos efectivamente se estarán acercando a este tipo de equilibrio a finales de 2017.</w:t>
      </w:r>
    </w:p>
    <w:p w14:paraId="518DB31D" w14:textId="77777777" w:rsidR="004A017C" w:rsidRPr="004A017C" w:rsidRDefault="004A017C" w:rsidP="004A017C">
      <w:pPr>
        <w:spacing w:after="360" w:line="360" w:lineRule="auto"/>
        <w:ind w:right="-159"/>
        <w:jc w:val="both"/>
        <w:rPr>
          <w:rFonts w:eastAsia="Calibri"/>
          <w:sz w:val="26"/>
          <w:szCs w:val="26"/>
          <w:lang w:eastAsia="en-US"/>
        </w:rPr>
      </w:pPr>
      <w:r w:rsidRPr="004A017C">
        <w:rPr>
          <w:rFonts w:eastAsia="Calibri"/>
          <w:sz w:val="26"/>
          <w:szCs w:val="26"/>
          <w:lang w:eastAsia="en-US"/>
        </w:rPr>
        <w:t>Lawrence Summers, profesor de economía de Harvard University, ha planteado que la tasa de equilibrio es menor ahora que en el pasado ya que la economía está creciendo demasiado lento y que los rendimientos reales han caído. Funcionarios de la Fed redujeron ligeramente su estimación por debajo del 4.25% en 2012.</w:t>
      </w:r>
    </w:p>
    <w:p w14:paraId="441D3C85" w14:textId="77777777" w:rsidR="004A017C" w:rsidRPr="004A017C" w:rsidRDefault="004A017C" w:rsidP="004A017C">
      <w:pPr>
        <w:spacing w:after="360" w:line="360" w:lineRule="auto"/>
        <w:ind w:right="-159"/>
        <w:jc w:val="both"/>
        <w:rPr>
          <w:rFonts w:eastAsia="Calibri"/>
          <w:sz w:val="26"/>
          <w:szCs w:val="26"/>
          <w:lang w:eastAsia="en-US"/>
        </w:rPr>
      </w:pPr>
      <w:r w:rsidRPr="004A017C">
        <w:rPr>
          <w:rFonts w:eastAsia="Calibri"/>
          <w:sz w:val="26"/>
          <w:szCs w:val="26"/>
          <w:lang w:eastAsia="en-US"/>
        </w:rPr>
        <w:t>Muchos inversionistas tienen dudas sobre las previsiones de la Fed. Mientras tanto, muchos economistas y funcionarios de la Fed no concuerdan con Summers en su teoría de que una nueva era de "estancamiento secular" en la economía haya bajado sustancialmente la tasa de interés de equilibrio.</w:t>
      </w:r>
    </w:p>
    <w:p w14:paraId="30A7A41E" w14:textId="77777777" w:rsidR="004A017C" w:rsidRPr="004A017C" w:rsidRDefault="004A017C" w:rsidP="004A017C">
      <w:pPr>
        <w:spacing w:after="360" w:line="360" w:lineRule="auto"/>
        <w:ind w:right="-159"/>
        <w:jc w:val="both"/>
        <w:rPr>
          <w:rFonts w:eastAsia="Calibri"/>
          <w:sz w:val="26"/>
          <w:szCs w:val="26"/>
          <w:lang w:eastAsia="en-US"/>
        </w:rPr>
      </w:pPr>
      <w:r w:rsidRPr="004A017C">
        <w:rPr>
          <w:rFonts w:eastAsia="Calibri"/>
          <w:sz w:val="26"/>
          <w:szCs w:val="26"/>
          <w:lang w:eastAsia="en-US"/>
        </w:rPr>
        <w:t xml:space="preserve">“Estamos escépticos acerca de la opinión del estancamiento secular”, concluyó un artículo presentado en la conferencia Booth. Al igual que muchos funcionarios de la Fed, los autores —James Hamilton de California University en San Diego; Ethan Harris, de </w:t>
      </w:r>
      <w:r w:rsidRPr="003757CD">
        <w:rPr>
          <w:rFonts w:eastAsia="Calibri"/>
          <w:i/>
          <w:sz w:val="26"/>
          <w:szCs w:val="26"/>
          <w:lang w:eastAsia="en-US"/>
        </w:rPr>
        <w:t>Bank of America</w:t>
      </w:r>
      <w:r w:rsidRPr="004A017C">
        <w:rPr>
          <w:rFonts w:eastAsia="Calibri"/>
          <w:sz w:val="26"/>
          <w:szCs w:val="26"/>
          <w:lang w:eastAsia="en-US"/>
        </w:rPr>
        <w:t xml:space="preserve">; Jan Hatzius de </w:t>
      </w:r>
      <w:r w:rsidRPr="003757CD">
        <w:rPr>
          <w:rFonts w:eastAsia="Calibri"/>
          <w:i/>
          <w:sz w:val="26"/>
          <w:szCs w:val="26"/>
          <w:lang w:eastAsia="en-US"/>
        </w:rPr>
        <w:t>Goldman Sachs</w:t>
      </w:r>
      <w:r w:rsidRPr="004A017C">
        <w:rPr>
          <w:rFonts w:eastAsia="Calibri"/>
          <w:sz w:val="26"/>
          <w:szCs w:val="26"/>
          <w:lang w:eastAsia="en-US"/>
        </w:rPr>
        <w:t xml:space="preserve"> y </w:t>
      </w:r>
      <w:r w:rsidRPr="003757CD">
        <w:rPr>
          <w:rFonts w:eastAsia="Calibri"/>
          <w:i/>
          <w:sz w:val="26"/>
          <w:szCs w:val="26"/>
          <w:lang w:eastAsia="en-US"/>
        </w:rPr>
        <w:t xml:space="preserve">Kenneth West </w:t>
      </w:r>
      <w:r w:rsidRPr="004A017C">
        <w:rPr>
          <w:rFonts w:eastAsia="Calibri"/>
          <w:sz w:val="26"/>
          <w:szCs w:val="26"/>
          <w:lang w:eastAsia="en-US"/>
        </w:rPr>
        <w:t xml:space="preserve">de </w:t>
      </w:r>
      <w:r w:rsidRPr="003757CD">
        <w:rPr>
          <w:rFonts w:eastAsia="Calibri"/>
          <w:i/>
          <w:sz w:val="26"/>
          <w:szCs w:val="26"/>
          <w:lang w:eastAsia="en-US"/>
        </w:rPr>
        <w:t>Wisconsin University</w:t>
      </w:r>
      <w:r w:rsidRPr="004A017C">
        <w:rPr>
          <w:rFonts w:eastAsia="Calibri"/>
          <w:sz w:val="26"/>
          <w:szCs w:val="26"/>
          <w:lang w:eastAsia="en-US"/>
        </w:rPr>
        <w:t>— concluyeron que la economía se ha visto frenado por vientos en contra temporales y no por una permanente reducción en su potencial tasa de crecimiento.</w:t>
      </w:r>
    </w:p>
    <w:p w14:paraId="2A4FD8A9" w14:textId="77777777" w:rsidR="004A017C" w:rsidRPr="004A017C" w:rsidRDefault="004A017C" w:rsidP="004A017C">
      <w:pPr>
        <w:spacing w:after="360" w:line="360" w:lineRule="auto"/>
        <w:ind w:right="-159"/>
        <w:jc w:val="both"/>
        <w:rPr>
          <w:rFonts w:eastAsia="Calibri"/>
          <w:sz w:val="26"/>
          <w:szCs w:val="26"/>
          <w:lang w:eastAsia="en-US"/>
        </w:rPr>
      </w:pPr>
      <w:r w:rsidRPr="004A017C">
        <w:rPr>
          <w:rFonts w:eastAsia="Calibri"/>
          <w:sz w:val="26"/>
          <w:szCs w:val="26"/>
          <w:lang w:eastAsia="en-US"/>
        </w:rPr>
        <w:t>Dadas todas las incertidumbres que hay sobre el crecimiento y la inflación, los funcionarios de la Fed tendrán que determinar la adecuada tasa de interés a largo plazo tal y como lo haría una persona en la oscuridad.</w:t>
      </w:r>
    </w:p>
    <w:p w14:paraId="543782FE" w14:textId="77777777" w:rsidR="004A017C" w:rsidRPr="004A017C" w:rsidRDefault="004A017C" w:rsidP="004A017C">
      <w:pPr>
        <w:spacing w:after="360" w:line="360" w:lineRule="auto"/>
        <w:ind w:right="-159"/>
        <w:jc w:val="both"/>
        <w:rPr>
          <w:rFonts w:eastAsia="Calibri"/>
          <w:sz w:val="26"/>
          <w:szCs w:val="26"/>
          <w:lang w:eastAsia="en-US"/>
        </w:rPr>
      </w:pPr>
      <w:r w:rsidRPr="004A017C">
        <w:rPr>
          <w:rFonts w:eastAsia="Calibri"/>
          <w:sz w:val="26"/>
          <w:szCs w:val="26"/>
          <w:lang w:eastAsia="en-US"/>
        </w:rPr>
        <w:t>“No creo que esa sea una pregunta que podamos contestar en este momento”, dijo Fischer acerca de la tasa a largo plazo.</w:t>
      </w:r>
    </w:p>
    <w:p w14:paraId="70A91B91" w14:textId="77777777" w:rsidR="004A017C" w:rsidRPr="004A017C" w:rsidRDefault="004A017C" w:rsidP="004A017C">
      <w:pPr>
        <w:spacing w:after="360" w:line="360" w:lineRule="auto"/>
        <w:ind w:right="-159"/>
        <w:jc w:val="both"/>
        <w:rPr>
          <w:rFonts w:eastAsia="Calibri"/>
          <w:sz w:val="26"/>
          <w:szCs w:val="26"/>
          <w:lang w:eastAsia="en-US"/>
        </w:rPr>
      </w:pPr>
      <w:r w:rsidRPr="004A017C">
        <w:rPr>
          <w:rFonts w:eastAsia="Calibri"/>
          <w:sz w:val="26"/>
          <w:szCs w:val="26"/>
          <w:lang w:eastAsia="en-US"/>
        </w:rPr>
        <w:t xml:space="preserve">La incertidumbre significa que se aproxima un importante cambio futuro en las tácticas de los bancos centrales. Desde hace una década, los funcionarios de la Fed han usado </w:t>
      </w:r>
      <w:r w:rsidRPr="004A017C">
        <w:rPr>
          <w:rFonts w:eastAsia="Calibri"/>
          <w:sz w:val="26"/>
          <w:szCs w:val="26"/>
          <w:lang w:eastAsia="en-US"/>
        </w:rPr>
        <w:lastRenderedPageBreak/>
        <w:t>diversas maneras de darles a los inversionistas una “orientación para el futuro”, sobre hacia donde se dirigen las tasas de interés.</w:t>
      </w:r>
    </w:p>
    <w:p w14:paraId="22938CF4" w14:textId="77777777" w:rsidR="004A017C" w:rsidRPr="004A017C" w:rsidRDefault="004A017C" w:rsidP="004A017C">
      <w:pPr>
        <w:spacing w:after="360" w:line="360" w:lineRule="auto"/>
        <w:ind w:right="-159"/>
        <w:jc w:val="both"/>
        <w:rPr>
          <w:rFonts w:eastAsia="Calibri"/>
          <w:sz w:val="26"/>
          <w:szCs w:val="26"/>
          <w:lang w:eastAsia="en-US"/>
        </w:rPr>
      </w:pPr>
      <w:r w:rsidRPr="004A017C">
        <w:rPr>
          <w:rFonts w:eastAsia="Calibri"/>
          <w:sz w:val="26"/>
          <w:szCs w:val="26"/>
          <w:lang w:eastAsia="en-US"/>
        </w:rPr>
        <w:t>En su última orientación, los funcionarios de la Fed dijeron que iban a ser “pacientes” antes de empezar a subir las tasas, queriendo decir con ello que no es probable que haya algún aumento en las tasas en sus próximas dos reuniones de política monetaria. Ellos ahora se están alejando de esta guía.</w:t>
      </w:r>
    </w:p>
    <w:p w14:paraId="1193291C" w14:textId="77777777" w:rsidR="004A017C" w:rsidRPr="004A017C" w:rsidRDefault="004A017C" w:rsidP="004A017C">
      <w:pPr>
        <w:spacing w:after="360" w:line="360" w:lineRule="auto"/>
        <w:ind w:right="-159"/>
        <w:jc w:val="both"/>
        <w:rPr>
          <w:rFonts w:eastAsia="Calibri"/>
          <w:sz w:val="26"/>
          <w:szCs w:val="26"/>
          <w:lang w:eastAsia="en-US"/>
        </w:rPr>
      </w:pPr>
      <w:r w:rsidRPr="004A017C">
        <w:rPr>
          <w:rFonts w:eastAsia="Calibri"/>
          <w:sz w:val="26"/>
          <w:szCs w:val="26"/>
          <w:lang w:eastAsia="en-US"/>
        </w:rPr>
        <w:t>Al parecer los inversionistas se van a encontrar a sí mismos haciendo muchas conjeturas acerca de la trayectoria de las tasas después que éstas empiecen a subir este año, junto con la propia Fed.</w:t>
      </w:r>
    </w:p>
    <w:p w14:paraId="559CE10D" w14:textId="77777777" w:rsidR="004A017C" w:rsidRPr="004A017C" w:rsidRDefault="004A017C" w:rsidP="004A017C">
      <w:pPr>
        <w:ind w:right="-159"/>
        <w:jc w:val="both"/>
        <w:rPr>
          <w:rFonts w:eastAsia="Calibri"/>
          <w:b/>
          <w:sz w:val="20"/>
          <w:szCs w:val="20"/>
          <w:lang w:eastAsia="en-US"/>
        </w:rPr>
      </w:pPr>
      <w:r w:rsidRPr="004A017C">
        <w:rPr>
          <w:rFonts w:eastAsia="Calibri"/>
          <w:b/>
          <w:sz w:val="20"/>
          <w:szCs w:val="20"/>
          <w:lang w:eastAsia="en-US"/>
        </w:rPr>
        <w:t>Fuente de información:</w:t>
      </w:r>
    </w:p>
    <w:p w14:paraId="7E728D4E" w14:textId="77777777" w:rsidR="004A017C" w:rsidRPr="00AF4DFC" w:rsidRDefault="0093224F" w:rsidP="00AF4DFC">
      <w:pPr>
        <w:spacing w:after="720"/>
        <w:ind w:right="-159"/>
        <w:jc w:val="both"/>
        <w:rPr>
          <w:rFonts w:eastAsia="Calibri"/>
          <w:color w:val="0000FF"/>
          <w:sz w:val="20"/>
          <w:szCs w:val="20"/>
          <w:lang w:eastAsia="en-US"/>
        </w:rPr>
      </w:pPr>
      <w:hyperlink r:id="rId406" w:history="1">
        <w:r w:rsidR="004A017C" w:rsidRPr="00AF4DFC">
          <w:rPr>
            <w:rFonts w:eastAsia="Calibri"/>
            <w:color w:val="0000FF"/>
            <w:sz w:val="20"/>
            <w:szCs w:val="20"/>
            <w:u w:val="single"/>
            <w:lang w:eastAsia="en-US"/>
          </w:rPr>
          <w:t>http://www.sentidocomun.com.mx/articulo.phtml?id=18110</w:t>
        </w:r>
      </w:hyperlink>
    </w:p>
    <w:p w14:paraId="39F2E299" w14:textId="77777777" w:rsidR="008533F0" w:rsidRPr="008533F0" w:rsidRDefault="008533F0" w:rsidP="008533F0">
      <w:pPr>
        <w:ind w:right="-159"/>
        <w:jc w:val="both"/>
        <w:rPr>
          <w:rFonts w:eastAsia="Calibri"/>
          <w:b/>
          <w:sz w:val="26"/>
          <w:szCs w:val="26"/>
          <w:lang w:eastAsia="en-US"/>
        </w:rPr>
      </w:pPr>
      <w:r w:rsidRPr="008533F0">
        <w:rPr>
          <w:rFonts w:eastAsia="Calibri"/>
          <w:b/>
          <w:sz w:val="26"/>
          <w:szCs w:val="26"/>
          <w:lang w:eastAsia="en-US"/>
        </w:rPr>
        <w:t>Decisiones de política monetaria</w:t>
      </w:r>
    </w:p>
    <w:p w14:paraId="35EBE0D3" w14:textId="77777777" w:rsidR="008533F0" w:rsidRPr="008533F0" w:rsidRDefault="008533F0" w:rsidP="008533F0">
      <w:pPr>
        <w:spacing w:after="360" w:line="360" w:lineRule="auto"/>
        <w:ind w:right="-159"/>
        <w:jc w:val="both"/>
        <w:rPr>
          <w:rFonts w:eastAsia="Calibri"/>
          <w:b/>
          <w:sz w:val="26"/>
          <w:szCs w:val="26"/>
          <w:lang w:eastAsia="en-US"/>
        </w:rPr>
      </w:pPr>
      <w:r w:rsidRPr="008533F0">
        <w:rPr>
          <w:rFonts w:eastAsia="Calibri"/>
          <w:b/>
          <w:sz w:val="26"/>
          <w:szCs w:val="26"/>
          <w:lang w:eastAsia="en-US"/>
        </w:rPr>
        <w:t>de   la   zona   del   euro    (BCE)</w:t>
      </w:r>
    </w:p>
    <w:p w14:paraId="351CBEF1" w14:textId="77777777" w:rsidR="008533F0" w:rsidRPr="008533F0" w:rsidRDefault="008533F0" w:rsidP="008533F0">
      <w:pPr>
        <w:spacing w:after="360" w:line="360" w:lineRule="auto"/>
        <w:ind w:right="-159"/>
        <w:jc w:val="both"/>
        <w:rPr>
          <w:rFonts w:eastAsia="Calibri"/>
          <w:b/>
          <w:sz w:val="26"/>
          <w:szCs w:val="26"/>
          <w:lang w:eastAsia="en-US"/>
        </w:rPr>
      </w:pPr>
      <w:r w:rsidRPr="008533F0">
        <w:rPr>
          <w:rFonts w:eastAsia="Calibri"/>
          <w:sz w:val="26"/>
          <w:szCs w:val="26"/>
          <w:lang w:eastAsia="en-US"/>
        </w:rPr>
        <w:t>El 5 de marzo de 2015, el Banco Central Europeo (BCE) dio a conocer en Nicosia, Chipre, “las decisiones de política monetaria de la zona del euro” tomadas por el Presidente del BCE, Mario Draghi, en su reunión con el Consejo de Gobierno. A continuación se presentan los detalles.</w:t>
      </w:r>
    </w:p>
    <w:p w14:paraId="2AD5F78C" w14:textId="77777777" w:rsidR="008533F0" w:rsidRPr="008533F0" w:rsidRDefault="008533F0" w:rsidP="008533F0">
      <w:pPr>
        <w:spacing w:after="360" w:line="360" w:lineRule="auto"/>
        <w:ind w:right="-159"/>
        <w:jc w:val="both"/>
        <w:rPr>
          <w:rFonts w:eastAsia="Calibri"/>
          <w:sz w:val="26"/>
          <w:szCs w:val="26"/>
          <w:lang w:eastAsia="en-US"/>
        </w:rPr>
      </w:pPr>
      <w:r w:rsidRPr="008533F0">
        <w:rPr>
          <w:rFonts w:eastAsia="Calibri"/>
          <w:sz w:val="26"/>
          <w:szCs w:val="26"/>
          <w:lang w:eastAsia="en-US"/>
        </w:rPr>
        <w:t xml:space="preserve">Señoras y señores, al Vicepresidente y a mí nos complace darles la bienvenida a la conferencia de prensa de hoy, en Nicosia. Deseo expresar mi agradecimiento a la Gobernadora Georghadji por su hospitalidad y en especial, al personal encargado de organizar la reunión del Consejo de Gobierno de hoy por su excelente trabajo. </w:t>
      </w:r>
    </w:p>
    <w:p w14:paraId="6D868116" w14:textId="77777777" w:rsidR="008533F0" w:rsidRPr="008533F0" w:rsidRDefault="008533F0" w:rsidP="008533F0">
      <w:pPr>
        <w:autoSpaceDE w:val="0"/>
        <w:autoSpaceDN w:val="0"/>
        <w:adjustRightInd w:val="0"/>
        <w:spacing w:after="360" w:line="360" w:lineRule="auto"/>
        <w:ind w:right="-159"/>
        <w:jc w:val="both"/>
        <w:rPr>
          <w:rFonts w:eastAsia="Calibri"/>
          <w:sz w:val="26"/>
          <w:szCs w:val="26"/>
          <w:lang w:eastAsia="en-US"/>
        </w:rPr>
      </w:pPr>
      <w:r w:rsidRPr="008533F0">
        <w:rPr>
          <w:rFonts w:eastAsia="Calibri"/>
          <w:sz w:val="26"/>
          <w:szCs w:val="26"/>
          <w:lang w:eastAsia="en-US"/>
        </w:rPr>
        <w:t>Sobre la base de nuestro análisis económico y monetario periódico, y en consonancia con nuestras indicaciones sobre la orientación futura de la política monetaria (</w:t>
      </w:r>
      <w:r w:rsidRPr="008533F0">
        <w:rPr>
          <w:rFonts w:eastAsia="Calibri"/>
          <w:i/>
          <w:sz w:val="26"/>
          <w:szCs w:val="26"/>
          <w:lang w:eastAsia="en-US"/>
        </w:rPr>
        <w:t>forward guidance</w:t>
      </w:r>
      <w:r w:rsidRPr="008533F0">
        <w:rPr>
          <w:rFonts w:eastAsia="Calibri"/>
          <w:sz w:val="26"/>
          <w:szCs w:val="26"/>
          <w:lang w:eastAsia="en-US"/>
        </w:rPr>
        <w:t xml:space="preserve">), hemos decidido mantener sin variación </w:t>
      </w:r>
      <w:r w:rsidRPr="008533F0">
        <w:rPr>
          <w:rFonts w:eastAsia="Calibri"/>
          <w:bCs/>
          <w:sz w:val="26"/>
          <w:szCs w:val="26"/>
          <w:lang w:eastAsia="en-US"/>
        </w:rPr>
        <w:t xml:space="preserve">las tasas de interés oficiales del </w:t>
      </w:r>
      <w:r w:rsidRPr="008533F0">
        <w:rPr>
          <w:rFonts w:eastAsia="Calibri"/>
          <w:bCs/>
          <w:sz w:val="26"/>
          <w:szCs w:val="26"/>
          <w:lang w:eastAsia="en-US"/>
        </w:rPr>
        <w:lastRenderedPageBreak/>
        <w:t>BCE</w:t>
      </w:r>
      <w:r w:rsidRPr="008533F0">
        <w:rPr>
          <w:rFonts w:eastAsia="Calibri"/>
          <w:sz w:val="26"/>
          <w:szCs w:val="26"/>
          <w:lang w:eastAsia="en-US"/>
        </w:rPr>
        <w:t xml:space="preserve">. Por lo que se refiere a las </w:t>
      </w:r>
      <w:r w:rsidRPr="008533F0">
        <w:rPr>
          <w:rFonts w:eastAsia="Calibri"/>
          <w:bCs/>
          <w:sz w:val="26"/>
          <w:szCs w:val="26"/>
          <w:lang w:eastAsia="en-US"/>
        </w:rPr>
        <w:t>medidas de política monetaria no convencionales</w:t>
      </w:r>
      <w:r w:rsidRPr="008533F0">
        <w:rPr>
          <w:rFonts w:eastAsia="Calibri"/>
          <w:sz w:val="26"/>
          <w:szCs w:val="26"/>
          <w:lang w:eastAsia="en-US"/>
        </w:rPr>
        <w:t xml:space="preserve">, lo importante ahora es su aplicación. </w:t>
      </w:r>
    </w:p>
    <w:p w14:paraId="5C1310EB" w14:textId="526CC20A" w:rsidR="008533F0" w:rsidRPr="008533F0" w:rsidRDefault="008533F0" w:rsidP="008533F0">
      <w:pPr>
        <w:autoSpaceDE w:val="0"/>
        <w:autoSpaceDN w:val="0"/>
        <w:adjustRightInd w:val="0"/>
        <w:spacing w:after="360" w:line="360" w:lineRule="auto"/>
        <w:ind w:right="-159"/>
        <w:jc w:val="both"/>
        <w:rPr>
          <w:rFonts w:eastAsia="Calibri"/>
          <w:sz w:val="26"/>
          <w:szCs w:val="26"/>
          <w:lang w:eastAsia="en-US"/>
        </w:rPr>
      </w:pPr>
      <w:r w:rsidRPr="008533F0">
        <w:rPr>
          <w:rFonts w:eastAsia="Calibri"/>
          <w:sz w:val="26"/>
          <w:szCs w:val="26"/>
          <w:lang w:eastAsia="en-US"/>
        </w:rPr>
        <w:t xml:space="preserve">Conforme a nuestras decisiones de 22 de enero de 2015, comenzaremos a adquirir valores del sector público denominados en euros en el mercado secundario el 9 de marzo de 2015. También continuaremos con las compras de bonos de titulización de activos y de bonos garantizados que iniciamos el año pasado. Como ya se señaló anteriormente, las compras mensuales de valores de los sectores público y privado ascenderán a un total de 60 mil millones de euros. Se prevé que estas compras continúen hasta final de septiembre de 2016 y en todo caso, hasta que observemos un ajuste sostenido de la senda de inflación que sea compatible con nuestro objetivo de lograr que las tasas de inflación se sitúen en niveles inferiores, aunque próximos al 2% a mediano plazo. Se publicará más información sobre algunos aspectos operativos del programa de compras de valores del sector público a las 15.30 (hora central europea) en el sitio web del BCE. </w:t>
      </w:r>
    </w:p>
    <w:p w14:paraId="627CDED0" w14:textId="77777777" w:rsidR="008533F0" w:rsidRPr="008533F0" w:rsidRDefault="008533F0" w:rsidP="008533F0">
      <w:pPr>
        <w:autoSpaceDE w:val="0"/>
        <w:autoSpaceDN w:val="0"/>
        <w:adjustRightInd w:val="0"/>
        <w:spacing w:after="360" w:line="360" w:lineRule="auto"/>
        <w:ind w:right="-159"/>
        <w:jc w:val="both"/>
        <w:rPr>
          <w:rFonts w:eastAsia="Calibri"/>
          <w:sz w:val="26"/>
          <w:szCs w:val="26"/>
          <w:lang w:eastAsia="en-US"/>
        </w:rPr>
      </w:pPr>
      <w:r w:rsidRPr="008533F0">
        <w:rPr>
          <w:rFonts w:eastAsia="Calibri"/>
          <w:sz w:val="26"/>
          <w:szCs w:val="26"/>
          <w:lang w:eastAsia="en-US"/>
        </w:rPr>
        <w:t xml:space="preserve">Ya hemos observado un importante número de efectos positivos derivados de estas decisiones de política monetaria. La situación de los mercados financieros ha seguido mejorando y el costo del financiamiento externo de la economía privada ha seguido disminuyendo, también como resultado de nuestras anteriores medidas de política monetaria. En particular, las condiciones de concesión de crédito a empresas y a hogares han mejorado considerablemente. Asimismo, se ha consolidado la expansión monetaria y crediticia. </w:t>
      </w:r>
    </w:p>
    <w:p w14:paraId="6B7CAA6D" w14:textId="327DAF02" w:rsidR="008533F0" w:rsidRPr="008533F0" w:rsidRDefault="008533F0" w:rsidP="008533F0">
      <w:pPr>
        <w:spacing w:after="360" w:line="360" w:lineRule="auto"/>
        <w:ind w:right="-159"/>
        <w:jc w:val="both"/>
        <w:rPr>
          <w:rFonts w:eastAsia="Calibri"/>
          <w:sz w:val="26"/>
          <w:szCs w:val="26"/>
          <w:lang w:eastAsia="en-US"/>
        </w:rPr>
      </w:pPr>
      <w:r w:rsidRPr="008533F0">
        <w:rPr>
          <w:rFonts w:eastAsia="Calibri"/>
          <w:sz w:val="26"/>
          <w:szCs w:val="26"/>
          <w:lang w:eastAsia="en-US"/>
        </w:rPr>
        <w:t xml:space="preserve">La orientación considerablemente más acomodaticia de nuestra política monetaria apoya y refuerza la aparición de efectos más favorables para la economía de la zona del euro. En un entorno de aumento de la confianza de las empresas y de los consumidores, la transmisión de nuestras medidas a la economía real se verá reforzada, lo que contribuirá a una mejora adicional de las perspectivas de crecimiento económico y a </w:t>
      </w:r>
      <w:r w:rsidRPr="008533F0">
        <w:rPr>
          <w:rFonts w:eastAsia="Calibri"/>
          <w:sz w:val="26"/>
          <w:szCs w:val="26"/>
          <w:lang w:eastAsia="en-US"/>
        </w:rPr>
        <w:lastRenderedPageBreak/>
        <w:t>una reducción de la holgura de la economía. Por tanto, nuestras medidas contribuirán a un retorno sostenido de la inflación hacia niveles inferiores, aunque próximos al 2% a mediano plazo y respaldarán el firme anclaje de las expectativas de inflación a mediano y a largo plazo.</w:t>
      </w:r>
    </w:p>
    <w:p w14:paraId="28A301C6" w14:textId="77777777" w:rsidR="008533F0" w:rsidRPr="008533F0" w:rsidRDefault="008533F0" w:rsidP="008533F0">
      <w:pPr>
        <w:autoSpaceDE w:val="0"/>
        <w:autoSpaceDN w:val="0"/>
        <w:adjustRightInd w:val="0"/>
        <w:spacing w:after="360" w:line="360" w:lineRule="auto"/>
        <w:ind w:right="-159"/>
        <w:jc w:val="both"/>
        <w:rPr>
          <w:rFonts w:eastAsia="Calibri"/>
          <w:sz w:val="26"/>
          <w:szCs w:val="26"/>
          <w:lang w:eastAsia="en-US"/>
        </w:rPr>
      </w:pPr>
      <w:r w:rsidRPr="008533F0">
        <w:rPr>
          <w:rFonts w:eastAsia="Calibri"/>
          <w:sz w:val="26"/>
          <w:szCs w:val="26"/>
          <w:lang w:eastAsia="en-US"/>
        </w:rPr>
        <w:t xml:space="preserve">Permítanme explicar más detalladamente nuestra valoración, comenzando con el </w:t>
      </w:r>
      <w:r w:rsidRPr="008533F0">
        <w:rPr>
          <w:rFonts w:eastAsia="Calibri"/>
          <w:bCs/>
          <w:sz w:val="26"/>
          <w:szCs w:val="26"/>
          <w:lang w:eastAsia="en-US"/>
        </w:rPr>
        <w:t>análisis económico</w:t>
      </w:r>
      <w:r w:rsidRPr="008533F0">
        <w:rPr>
          <w:rFonts w:eastAsia="Calibri"/>
          <w:sz w:val="26"/>
          <w:szCs w:val="26"/>
          <w:lang w:eastAsia="en-US"/>
        </w:rPr>
        <w:t xml:space="preserve">. Según la estimación preliminar de Eurostat, el PIB real de la zona del euro registró un crecimiento trimestral del 0.3% en el último trimestre de 2014, algo superior a lo esperado. Los datos económicos más recientes y, en particular, los resultados de las encuestas disponibles hasta febrero sugieren que la actividad económica continuó experimentando cierta mejora a comienzos de este año. De cara al futuro, esperamos que la recuperación de la economía se amplíe y fortalezca gradualmente. El bajo nivel de los precios del petróleo debería seguir apoyando la renta real disponible de los hogares y los beneficios empresariales. La demanda interna también debería verse respaldada por nuestras medidas de política monetaria, que están dando lugar a una mejora de las condiciones de financiamiento, así como por los progresos logrados en la consolidación fiscal y en las reformas estructurales. Asimismo, la demanda de exportaciones de la zona del euro debería beneficiarse de las mejoras de la competitividad en términos de precios y de la recuperación mundial. No obstante, es probable que los necesarios ajustes de los balances en distintos sectores y la aplicación relativamente lenta de reformas estructurales sigan frenando la recuperación en la zona del euro. </w:t>
      </w:r>
    </w:p>
    <w:p w14:paraId="1087CB3F" w14:textId="77777777" w:rsidR="008533F0" w:rsidRPr="008533F0" w:rsidRDefault="008533F0" w:rsidP="008533F0">
      <w:pPr>
        <w:autoSpaceDE w:val="0"/>
        <w:autoSpaceDN w:val="0"/>
        <w:adjustRightInd w:val="0"/>
        <w:spacing w:after="360" w:line="360" w:lineRule="auto"/>
        <w:ind w:right="-159"/>
        <w:jc w:val="both"/>
        <w:rPr>
          <w:rFonts w:eastAsia="Calibri"/>
          <w:sz w:val="26"/>
          <w:szCs w:val="26"/>
          <w:lang w:eastAsia="en-US"/>
        </w:rPr>
      </w:pPr>
      <w:r w:rsidRPr="008533F0">
        <w:rPr>
          <w:rFonts w:eastAsia="Calibri"/>
          <w:sz w:val="26"/>
          <w:szCs w:val="26"/>
          <w:lang w:eastAsia="en-US"/>
        </w:rPr>
        <w:t xml:space="preserve">En general, esta valoración también se refleja en las proyecciones macroeconómicas elaboradas por los expertos del BCE para la zona del euro de marzo de 2015, que prevén que el PIB real se incremente 1.5% en 2015, un 1.9% en 2016 y 2.1% en 2017. En comparación con las proyecciones macroeconómicas elaboradas por los expertos del Eurosistema de diciembre de 2014, las previsiones de crecimiento del PIB real para 2015 y 2016 se han revisado al alza, como reflejo del impacto favorable del descenso </w:t>
      </w:r>
      <w:r w:rsidRPr="008533F0">
        <w:rPr>
          <w:rFonts w:eastAsia="Calibri"/>
          <w:sz w:val="26"/>
          <w:szCs w:val="26"/>
          <w:lang w:eastAsia="en-US"/>
        </w:rPr>
        <w:lastRenderedPageBreak/>
        <w:t xml:space="preserve">de los precios del petróleo, del debilitamiento del tipo de cambio efectivo del euro y de los efectos de las medidas de política monetaria adoptadas recientemente por el BCE. </w:t>
      </w:r>
    </w:p>
    <w:p w14:paraId="448CD9D9" w14:textId="77777777" w:rsidR="008533F0" w:rsidRPr="008533F0" w:rsidRDefault="008533F0" w:rsidP="008533F0">
      <w:pPr>
        <w:autoSpaceDE w:val="0"/>
        <w:autoSpaceDN w:val="0"/>
        <w:adjustRightInd w:val="0"/>
        <w:spacing w:after="360" w:line="360" w:lineRule="auto"/>
        <w:ind w:right="-159"/>
        <w:jc w:val="both"/>
        <w:rPr>
          <w:rFonts w:eastAsia="Calibri"/>
          <w:sz w:val="26"/>
          <w:szCs w:val="26"/>
          <w:lang w:eastAsia="en-US"/>
        </w:rPr>
      </w:pPr>
      <w:r w:rsidRPr="008533F0">
        <w:rPr>
          <w:rFonts w:eastAsia="Calibri"/>
          <w:sz w:val="26"/>
          <w:szCs w:val="26"/>
          <w:lang w:eastAsia="en-US"/>
        </w:rPr>
        <w:t xml:space="preserve">Los riesgos en torno a las perspectivas económicas de la zona del euro siguen siendo a la baja, aunque han disminuido tras las recientes decisiones de política monetaria y la caída de los precios del petróleo. </w:t>
      </w:r>
    </w:p>
    <w:p w14:paraId="6A8E28E1" w14:textId="77777777" w:rsidR="008533F0" w:rsidRPr="008533F0" w:rsidRDefault="008533F0" w:rsidP="008533F0">
      <w:pPr>
        <w:autoSpaceDE w:val="0"/>
        <w:autoSpaceDN w:val="0"/>
        <w:adjustRightInd w:val="0"/>
        <w:spacing w:after="360" w:line="360" w:lineRule="auto"/>
        <w:ind w:right="-159"/>
        <w:jc w:val="both"/>
        <w:rPr>
          <w:rFonts w:eastAsia="Calibri"/>
          <w:sz w:val="26"/>
          <w:szCs w:val="26"/>
          <w:lang w:eastAsia="en-US"/>
        </w:rPr>
      </w:pPr>
      <w:r w:rsidRPr="008533F0">
        <w:rPr>
          <w:rFonts w:eastAsia="Calibri"/>
          <w:sz w:val="26"/>
          <w:szCs w:val="26"/>
          <w:lang w:eastAsia="en-US"/>
        </w:rPr>
        <w:t xml:space="preserve">Según la estimación preliminar de Eurostat, la inflación anual medida por el Índice Armonizado de Precios al Consumidor (IAPC) de la zona del euro se situó en -0.3% en febrero de 2015, frente al -0.6% de enero. Estos valores negativos reflejan en gran medida el impacto de la notable caída de los precios del petróleo desde julio de 2014. Teniendo en cuenta la información disponible y los precios actuales de los futuros sobre el petróleo, se prevé que la inflación anual medida por el IAPC se mantenga en niveles muy bajos, o en niveles negativos, durante los próximos meses. Respaldadas por los efectos favorables de nuestras recientes medidas de política monetaria sobre la demanda agregada y por el impacto de la depreciación del euro, y en el supuesto de que los precios del petróleo aumenten ligeramente en los próximos años, se prevé que las tasas de inflación comiencen a incrementarse de forma gradual más adelante en 2015. </w:t>
      </w:r>
    </w:p>
    <w:p w14:paraId="6AC331C7" w14:textId="77777777" w:rsidR="008533F0" w:rsidRPr="008533F0" w:rsidRDefault="008533F0" w:rsidP="008533F0">
      <w:pPr>
        <w:autoSpaceDE w:val="0"/>
        <w:autoSpaceDN w:val="0"/>
        <w:adjustRightInd w:val="0"/>
        <w:spacing w:after="360" w:line="360" w:lineRule="auto"/>
        <w:ind w:right="-159"/>
        <w:jc w:val="both"/>
        <w:rPr>
          <w:rFonts w:eastAsia="Calibri"/>
          <w:sz w:val="26"/>
          <w:szCs w:val="26"/>
          <w:lang w:eastAsia="en-US"/>
        </w:rPr>
      </w:pPr>
      <w:r w:rsidRPr="008533F0">
        <w:rPr>
          <w:rFonts w:eastAsia="Calibri"/>
          <w:sz w:val="26"/>
          <w:szCs w:val="26"/>
          <w:lang w:eastAsia="en-US"/>
        </w:rPr>
        <w:t xml:space="preserve">Esta valoración también se refleja en términos generales en las proyecciones macroeconómicas elaboradas por los expertos del BCE para la zona del euro de marzo de 2015, que sitúan la inflación anual medida por el IAPC en 0.0% en 2015, un 1.5% en 2016 y 1.8% en 2017. En comparación con las proyecciones macroeconómicas de los expertos del Eurosistema de diciembre de 2014, la previsión de la tasa de inflación en 2015 se ha revisado ligeramente a la baja, principalmente como consecuencia de la caída de los precios del petróleo. En contraste, la proyección de la inflación para 2016 se ha revisado ligeramente al alza, como reflejo asimismo del impacto esperado de las medidas de política monetaria que hemos adoptado recientemente. </w:t>
      </w:r>
    </w:p>
    <w:p w14:paraId="5D598AAA" w14:textId="77777777" w:rsidR="008533F0" w:rsidRPr="008533F0" w:rsidRDefault="008533F0" w:rsidP="008533F0">
      <w:pPr>
        <w:autoSpaceDE w:val="0"/>
        <w:autoSpaceDN w:val="0"/>
        <w:adjustRightInd w:val="0"/>
        <w:spacing w:after="360" w:line="360" w:lineRule="auto"/>
        <w:ind w:right="-159"/>
        <w:jc w:val="both"/>
        <w:rPr>
          <w:rFonts w:eastAsia="Calibri"/>
          <w:sz w:val="26"/>
          <w:szCs w:val="26"/>
          <w:lang w:eastAsia="en-US"/>
        </w:rPr>
      </w:pPr>
      <w:r w:rsidRPr="008533F0">
        <w:rPr>
          <w:rFonts w:eastAsia="Calibri"/>
          <w:sz w:val="26"/>
          <w:szCs w:val="26"/>
          <w:lang w:eastAsia="en-US"/>
        </w:rPr>
        <w:lastRenderedPageBreak/>
        <w:t xml:space="preserve">El Consejo de Gobierno seguirá realizando un atento seguimiento de los riesgos para las perspectivas de evolución de los precios a mediano plazo. En este contexto, prestaremos especial atención a la transmisión de nuestras medidas de política monetaria, a la situación geopolítica y a la evolución del tipo de cambio y de los precios de la energía. </w:t>
      </w:r>
    </w:p>
    <w:p w14:paraId="4F2980C3" w14:textId="77777777" w:rsidR="008533F0" w:rsidRPr="008533F0" w:rsidRDefault="008533F0" w:rsidP="008533F0">
      <w:pPr>
        <w:autoSpaceDE w:val="0"/>
        <w:autoSpaceDN w:val="0"/>
        <w:adjustRightInd w:val="0"/>
        <w:spacing w:after="360" w:line="360" w:lineRule="auto"/>
        <w:ind w:right="-159"/>
        <w:jc w:val="both"/>
        <w:rPr>
          <w:rFonts w:eastAsia="Calibri"/>
          <w:sz w:val="26"/>
          <w:szCs w:val="26"/>
          <w:lang w:eastAsia="en-US"/>
        </w:rPr>
      </w:pPr>
      <w:r w:rsidRPr="008533F0">
        <w:rPr>
          <w:rFonts w:eastAsia="Calibri"/>
          <w:sz w:val="26"/>
          <w:szCs w:val="26"/>
          <w:lang w:eastAsia="en-US"/>
        </w:rPr>
        <w:t xml:space="preserve">En las discusiones sobre las perspectivas económicas y las nuevas proyecciones, el Consejo de Gobierno reconoció que las proyecciones elaboradas por los expertos dependen de la aplicación plena de todas nuestras medidas de política monetaria. Por otra parte, el horizonte temporal de las proyecciones de marzo abarca 2017. En este contexto, el Consejo de Gobierno ha reiterado que el grado de incertidumbre de las previsiones tiende a incrementarse con la amplitud del horizonte temporal considerado. </w:t>
      </w:r>
    </w:p>
    <w:p w14:paraId="063D8CFD" w14:textId="77777777" w:rsidR="008533F0" w:rsidRPr="008533F0" w:rsidRDefault="008533F0" w:rsidP="008533F0">
      <w:pPr>
        <w:autoSpaceDE w:val="0"/>
        <w:autoSpaceDN w:val="0"/>
        <w:adjustRightInd w:val="0"/>
        <w:spacing w:after="360" w:line="360" w:lineRule="auto"/>
        <w:ind w:right="-159"/>
        <w:jc w:val="both"/>
        <w:rPr>
          <w:rFonts w:eastAsia="Calibri"/>
          <w:sz w:val="26"/>
          <w:szCs w:val="26"/>
          <w:lang w:eastAsia="en-US"/>
        </w:rPr>
      </w:pPr>
      <w:r w:rsidRPr="008533F0">
        <w:rPr>
          <w:rFonts w:eastAsia="Calibri"/>
          <w:sz w:val="26"/>
          <w:szCs w:val="26"/>
          <w:lang w:eastAsia="en-US"/>
        </w:rPr>
        <w:t xml:space="preserve">En lo que respecta al </w:t>
      </w:r>
      <w:r w:rsidRPr="008533F0">
        <w:rPr>
          <w:rFonts w:eastAsia="Calibri"/>
          <w:bCs/>
          <w:sz w:val="26"/>
          <w:szCs w:val="26"/>
          <w:lang w:eastAsia="en-US"/>
        </w:rPr>
        <w:t>análisis monetario</w:t>
      </w:r>
      <w:r w:rsidRPr="008533F0">
        <w:rPr>
          <w:rFonts w:eastAsia="Calibri"/>
          <w:sz w:val="26"/>
          <w:szCs w:val="26"/>
          <w:lang w:eastAsia="en-US"/>
        </w:rPr>
        <w:t xml:space="preserve">, los datos recientes confirman el incremento gradual del crecimiento subyacente del agregado monetario amplio (M3). La tasa de crecimiento anual de M3 se situó en 4.1% en enero de 2015, tras el 3.8% registrado en diciembre de 2014. El crecimiento anual de M3 sigue apoyándose en sus componentes más líquidos, con un crecimiento anual del agregado monetario estrecho (M1) del 9% en enero. </w:t>
      </w:r>
    </w:p>
    <w:p w14:paraId="025678B7" w14:textId="77777777" w:rsidR="008533F0" w:rsidRPr="008533F0" w:rsidRDefault="008533F0" w:rsidP="008533F0">
      <w:pPr>
        <w:autoSpaceDE w:val="0"/>
        <w:autoSpaceDN w:val="0"/>
        <w:adjustRightInd w:val="0"/>
        <w:spacing w:after="360" w:line="360" w:lineRule="auto"/>
        <w:ind w:right="-159"/>
        <w:jc w:val="both"/>
        <w:rPr>
          <w:rFonts w:eastAsia="Calibri"/>
          <w:sz w:val="26"/>
          <w:szCs w:val="26"/>
          <w:lang w:eastAsia="en-US"/>
        </w:rPr>
      </w:pPr>
      <w:r w:rsidRPr="008533F0">
        <w:rPr>
          <w:rFonts w:eastAsia="Calibri"/>
          <w:sz w:val="26"/>
          <w:szCs w:val="26"/>
          <w:lang w:eastAsia="en-US"/>
        </w:rPr>
        <w:t xml:space="preserve">La tasa de variación anual de los préstamos a las sociedades no financieras (ajustados de ventas y titulizaciones) se situó en -0.9% en enero de 2015, tras el -1.1% registrado en diciembre de 2014, continuando su recuperación gradual desde el mínimo del -3.2% observado en febrero de 2014. Los préstamos netos, en términos de flujos acumulados de tres meses, fueron positivos en enero por segundo mes consecutivo, frente a las considerables amortizaciones netas que aún se registraban hace un año. Pese a estas mejoras, la concesión de préstamos a las sociedades no financieras sigue siendo débil y continúa reflejando su retraso respecto al ciclo económico, el riesgo crediticio, factores de oferta de crédito y el ajuste en curso de los balances de los sectores </w:t>
      </w:r>
      <w:r w:rsidRPr="008533F0">
        <w:rPr>
          <w:rFonts w:eastAsia="Calibri"/>
          <w:sz w:val="26"/>
          <w:szCs w:val="26"/>
          <w:lang w:eastAsia="en-US"/>
        </w:rPr>
        <w:lastRenderedPageBreak/>
        <w:t xml:space="preserve">financiero y no financiero. La tasa de crecimiento anual de los préstamos a los hogares (ajustados de ventas y titulizaciones) volvió a incrementarse hasta el 0.9% en enero de 2015, tras el 0.8% registrado en diciembre de 2014. Nuestras recientes medidas de política monetaria deberían apoyar una mejora adicional de los flujos de crédito. </w:t>
      </w:r>
    </w:p>
    <w:p w14:paraId="4A61BDCD" w14:textId="77777777" w:rsidR="008533F0" w:rsidRPr="008533F0" w:rsidRDefault="008533F0" w:rsidP="008533F0">
      <w:pPr>
        <w:autoSpaceDE w:val="0"/>
        <w:autoSpaceDN w:val="0"/>
        <w:adjustRightInd w:val="0"/>
        <w:spacing w:after="360" w:line="360" w:lineRule="auto"/>
        <w:ind w:right="-159"/>
        <w:jc w:val="both"/>
        <w:rPr>
          <w:rFonts w:eastAsia="Calibri"/>
          <w:sz w:val="26"/>
          <w:szCs w:val="26"/>
          <w:lang w:eastAsia="en-US"/>
        </w:rPr>
      </w:pPr>
      <w:r w:rsidRPr="008533F0">
        <w:rPr>
          <w:rFonts w:eastAsia="Calibri"/>
          <w:sz w:val="26"/>
          <w:szCs w:val="26"/>
          <w:lang w:eastAsia="en-US"/>
        </w:rPr>
        <w:t xml:space="preserve">En síntesis, el </w:t>
      </w:r>
      <w:r w:rsidRPr="008533F0">
        <w:rPr>
          <w:rFonts w:eastAsia="Calibri"/>
          <w:bCs/>
          <w:sz w:val="26"/>
          <w:szCs w:val="26"/>
          <w:lang w:eastAsia="en-US"/>
        </w:rPr>
        <w:t>contraste</w:t>
      </w:r>
      <w:r w:rsidRPr="008533F0">
        <w:rPr>
          <w:rFonts w:eastAsia="Calibri"/>
          <w:b/>
          <w:bCs/>
          <w:sz w:val="26"/>
          <w:szCs w:val="26"/>
          <w:lang w:eastAsia="en-US"/>
        </w:rPr>
        <w:t xml:space="preserve"> </w:t>
      </w:r>
      <w:r w:rsidRPr="008533F0">
        <w:rPr>
          <w:rFonts w:eastAsia="Calibri"/>
          <w:sz w:val="26"/>
          <w:szCs w:val="26"/>
          <w:lang w:eastAsia="en-US"/>
        </w:rPr>
        <w:t xml:space="preserve">de los resultados del análisis económico con las señales procedentes del análisis monetario confirma la idoneidad de las decisiones adoptadas recientemente por el Consejo de Gobierno. La aplicación decidida de todas las medidas de política monetaria que hemos adoptado respaldará la recuperación de la zona del euro y acercará las tasas de inflación a niveles inferiores, aunque próximos, al 2% a mediano plazo. </w:t>
      </w:r>
    </w:p>
    <w:p w14:paraId="22BB3998" w14:textId="77777777" w:rsidR="008533F0" w:rsidRPr="008533F0" w:rsidRDefault="008533F0" w:rsidP="008533F0">
      <w:pPr>
        <w:spacing w:after="360" w:line="360" w:lineRule="auto"/>
        <w:ind w:right="-159"/>
        <w:jc w:val="both"/>
        <w:rPr>
          <w:rFonts w:eastAsia="Calibri"/>
          <w:sz w:val="26"/>
          <w:szCs w:val="26"/>
          <w:lang w:eastAsia="en-US"/>
        </w:rPr>
      </w:pPr>
      <w:r w:rsidRPr="008533F0">
        <w:rPr>
          <w:rFonts w:eastAsia="Calibri"/>
          <w:sz w:val="26"/>
          <w:szCs w:val="26"/>
          <w:lang w:eastAsia="en-US"/>
        </w:rPr>
        <w:t xml:space="preserve">El objetivo de la política monetaria es el mantenimiento de la estabilidad de precios a mediano plazo, y su orientación acomodaticia contribuye a apoyar la actividad económica. No obstante, a fin de obtener todos los beneficios de nuestras medidas de política monetaria, es necesaria la contribución decisiva de otras políticas. Teniendo en cuenta el alto desempleo estructural y el bajo crecimiento potencial del producto de la zona del euro, una recuperación cíclica como la descrita en las proyecciones de los expertos del BCE publicadas en marzo no constituye un motivo de complacencia. En particular, a fin de incrementar la inversión, impulsar la creación de empleo y aumentar la productividad, tanto la aplicación decidida de </w:t>
      </w:r>
      <w:r w:rsidRPr="008533F0">
        <w:rPr>
          <w:rFonts w:eastAsia="Calibri"/>
          <w:bCs/>
          <w:sz w:val="26"/>
          <w:szCs w:val="26"/>
          <w:lang w:eastAsia="en-US"/>
        </w:rPr>
        <w:t xml:space="preserve">reformas en los mercados de productos y de trabajo </w:t>
      </w:r>
      <w:r w:rsidRPr="008533F0">
        <w:rPr>
          <w:rFonts w:eastAsia="Calibri"/>
          <w:sz w:val="26"/>
          <w:szCs w:val="26"/>
          <w:lang w:eastAsia="en-US"/>
        </w:rPr>
        <w:t xml:space="preserve">como la adopción de medidas para mejorar el entorno empresarial, deben cobrar impulso en varios países. Es fundamental que las reformas estructurales se apliquen de manera ágil, creíble y efectiva, pues ello no solo aumentará el crecimiento sostenible futuro de la zona del euro, sino que también mejorará las expectativas de aumento de los ingresos y estimulará a las empresas a invertir, lo que adelantará la recuperación económica. Las </w:t>
      </w:r>
      <w:r w:rsidRPr="008533F0">
        <w:rPr>
          <w:rFonts w:eastAsia="Calibri"/>
          <w:bCs/>
          <w:sz w:val="26"/>
          <w:szCs w:val="26"/>
          <w:lang w:eastAsia="en-US"/>
        </w:rPr>
        <w:t>políticas fiscales</w:t>
      </w:r>
      <w:r w:rsidRPr="008533F0">
        <w:rPr>
          <w:rFonts w:eastAsia="Calibri"/>
          <w:b/>
          <w:bCs/>
          <w:sz w:val="26"/>
          <w:szCs w:val="26"/>
          <w:lang w:eastAsia="en-US"/>
        </w:rPr>
        <w:t xml:space="preserve"> </w:t>
      </w:r>
      <w:r w:rsidRPr="008533F0">
        <w:rPr>
          <w:rFonts w:eastAsia="Calibri"/>
          <w:sz w:val="26"/>
          <w:szCs w:val="26"/>
          <w:lang w:eastAsia="en-US"/>
        </w:rPr>
        <w:t xml:space="preserve">deberían apoyar la recuperación económica, manteniendo la observancia del Pacto de Estabilidad y Crecimiento. La aplicación plena y coherente del Pacto de Estabilidad y Crecimiento es indispensable </w:t>
      </w:r>
      <w:r w:rsidRPr="008533F0">
        <w:rPr>
          <w:rFonts w:eastAsia="Calibri"/>
          <w:sz w:val="26"/>
          <w:szCs w:val="26"/>
          <w:lang w:eastAsia="en-US"/>
        </w:rPr>
        <w:lastRenderedPageBreak/>
        <w:t>para la confianza en nuestro marco fiscal. Teniendo en cuenta la necesidad de intensificar los esfuerzos de reformas estructurales en algunos países, también es importante que el procedimiento de desequilibrio macroeconómico se aplique de forma efectiva a fin de afrontar los desequilibrios excesivos identificados en algunos Estados miembros.</w:t>
      </w:r>
    </w:p>
    <w:p w14:paraId="039D37B7" w14:textId="77777777" w:rsidR="008533F0" w:rsidRPr="008533F0" w:rsidRDefault="008533F0" w:rsidP="008533F0">
      <w:pPr>
        <w:jc w:val="both"/>
        <w:rPr>
          <w:rFonts w:eastAsia="Calibri"/>
          <w:b/>
          <w:sz w:val="20"/>
          <w:szCs w:val="20"/>
          <w:lang w:eastAsia="en-US"/>
        </w:rPr>
      </w:pPr>
      <w:r w:rsidRPr="008533F0">
        <w:rPr>
          <w:rFonts w:eastAsia="Calibri"/>
          <w:b/>
          <w:sz w:val="20"/>
          <w:szCs w:val="20"/>
          <w:lang w:eastAsia="en-US"/>
        </w:rPr>
        <w:t>Fuente de información:</w:t>
      </w:r>
    </w:p>
    <w:p w14:paraId="416F2380" w14:textId="77777777" w:rsidR="008533F0" w:rsidRPr="00AF4DFC" w:rsidRDefault="0093224F" w:rsidP="00AF4DFC">
      <w:pPr>
        <w:spacing w:after="720"/>
        <w:jc w:val="both"/>
        <w:rPr>
          <w:rFonts w:eastAsia="Calibri"/>
          <w:color w:val="0000FF"/>
          <w:sz w:val="20"/>
          <w:szCs w:val="20"/>
          <w:lang w:eastAsia="en-US"/>
        </w:rPr>
      </w:pPr>
      <w:hyperlink r:id="rId407" w:history="1">
        <w:r w:rsidR="008533F0" w:rsidRPr="00AF4DFC">
          <w:rPr>
            <w:rFonts w:eastAsia="Calibri"/>
            <w:color w:val="0000FF"/>
            <w:sz w:val="20"/>
            <w:szCs w:val="20"/>
            <w:u w:val="single"/>
            <w:lang w:eastAsia="en-US"/>
          </w:rPr>
          <w:t>http://www.bde.es/f/webbde/GAP/Secciones/SalaPrensa/ComunicadosBCE/DecisionesPoliticaMonetaria/15/Arc/Fic/is150305es.pdf</w:t>
        </w:r>
      </w:hyperlink>
    </w:p>
    <w:p w14:paraId="708E8B8A" w14:textId="77777777" w:rsidR="00E448A0" w:rsidRPr="00E448A0" w:rsidRDefault="00E448A0" w:rsidP="00E448A0">
      <w:pPr>
        <w:ind w:right="-159"/>
        <w:jc w:val="both"/>
        <w:rPr>
          <w:rFonts w:eastAsia="Calibri"/>
          <w:b/>
          <w:sz w:val="26"/>
          <w:szCs w:val="26"/>
          <w:lang w:eastAsia="en-US"/>
        </w:rPr>
      </w:pPr>
      <w:r w:rsidRPr="00E448A0">
        <w:rPr>
          <w:rFonts w:eastAsia="Calibri"/>
          <w:b/>
          <w:sz w:val="26"/>
          <w:szCs w:val="26"/>
          <w:lang w:eastAsia="en-US"/>
        </w:rPr>
        <w:t>El principal índice de referencia de los préstamos</w:t>
      </w:r>
    </w:p>
    <w:p w14:paraId="278C2672" w14:textId="77777777" w:rsidR="00E448A0" w:rsidRPr="00E448A0" w:rsidRDefault="00E448A0" w:rsidP="00E448A0">
      <w:pPr>
        <w:spacing w:after="360" w:line="360" w:lineRule="auto"/>
        <w:ind w:right="-159"/>
        <w:jc w:val="both"/>
        <w:rPr>
          <w:rFonts w:eastAsia="Calibri"/>
          <w:b/>
          <w:sz w:val="26"/>
          <w:szCs w:val="26"/>
          <w:lang w:eastAsia="en-US"/>
        </w:rPr>
      </w:pPr>
      <w:r w:rsidRPr="00E448A0">
        <w:rPr>
          <w:rFonts w:eastAsia="Calibri"/>
          <w:b/>
          <w:sz w:val="26"/>
          <w:szCs w:val="26"/>
          <w:lang w:eastAsia="en-US"/>
        </w:rPr>
        <w:t>hipotecarios disminuye (Banco de España)</w:t>
      </w:r>
    </w:p>
    <w:p w14:paraId="46AB99E3" w14:textId="315CE083" w:rsidR="00E448A0" w:rsidRPr="00E448A0" w:rsidRDefault="00E448A0" w:rsidP="00E448A0">
      <w:pPr>
        <w:spacing w:after="360" w:line="360" w:lineRule="auto"/>
        <w:ind w:right="-159"/>
        <w:jc w:val="both"/>
        <w:rPr>
          <w:rFonts w:eastAsia="Calibri"/>
          <w:sz w:val="26"/>
          <w:szCs w:val="26"/>
          <w:lang w:eastAsia="en-US"/>
        </w:rPr>
      </w:pPr>
      <w:r w:rsidRPr="00E448A0">
        <w:rPr>
          <w:rFonts w:eastAsia="Calibri"/>
          <w:sz w:val="26"/>
          <w:szCs w:val="26"/>
          <w:lang w:eastAsia="en-US"/>
        </w:rPr>
        <w:t xml:space="preserve">El 2 de marzo de 2015, el Banco de España comunicó que el principal índice de referencia de los préstamos hipotecarios (euríbor) bajó hasta situarse en 0.255% en febrero de 2015. A continuación </w:t>
      </w:r>
      <w:r w:rsidR="00781FF6">
        <w:rPr>
          <w:rFonts w:eastAsia="Calibri"/>
          <w:sz w:val="26"/>
          <w:szCs w:val="26"/>
          <w:lang w:eastAsia="en-US"/>
        </w:rPr>
        <w:t xml:space="preserve">se presentan </w:t>
      </w:r>
      <w:r w:rsidRPr="00E448A0">
        <w:rPr>
          <w:rFonts w:eastAsia="Calibri"/>
          <w:sz w:val="26"/>
          <w:szCs w:val="26"/>
          <w:lang w:eastAsia="en-US"/>
        </w:rPr>
        <w:t>los detalles.</w:t>
      </w:r>
    </w:p>
    <w:p w14:paraId="403B7554" w14:textId="531DC420" w:rsidR="00E448A0" w:rsidRPr="00E448A0" w:rsidRDefault="00E448A0" w:rsidP="00E448A0">
      <w:pPr>
        <w:spacing w:after="360" w:line="360" w:lineRule="auto"/>
        <w:ind w:right="-159"/>
        <w:jc w:val="both"/>
        <w:rPr>
          <w:rFonts w:eastAsia="Calibri"/>
          <w:sz w:val="26"/>
          <w:szCs w:val="26"/>
          <w:lang w:eastAsia="en-US"/>
        </w:rPr>
      </w:pPr>
      <w:r w:rsidRPr="00E448A0">
        <w:rPr>
          <w:rFonts w:eastAsia="Calibri"/>
          <w:sz w:val="26"/>
          <w:szCs w:val="26"/>
          <w:lang w:eastAsia="en-US"/>
        </w:rPr>
        <w:t>El índice euríbor, que es utilizado como principal referencia para fijar el tipo de interés de los préstamos hipotecarios concedidos por las entidades de crédito españolas, bajó en febrero hasta situarse en 0.255% desde el 0.298% del mes anterior. Tomando como referencia los últimos 12 meses, el índice registra un descenso de 0.294 puntos.</w:t>
      </w:r>
    </w:p>
    <w:p w14:paraId="4410E584" w14:textId="77777777" w:rsidR="00E448A0" w:rsidRPr="00E448A0" w:rsidRDefault="00E448A0" w:rsidP="00E448A0">
      <w:pPr>
        <w:spacing w:after="360" w:line="360" w:lineRule="auto"/>
        <w:ind w:right="-159"/>
        <w:jc w:val="both"/>
        <w:rPr>
          <w:rFonts w:eastAsia="Calibri"/>
          <w:sz w:val="26"/>
          <w:szCs w:val="26"/>
          <w:lang w:eastAsia="en-US"/>
        </w:rPr>
      </w:pPr>
      <w:r w:rsidRPr="00E448A0">
        <w:rPr>
          <w:rFonts w:eastAsia="Calibri"/>
          <w:sz w:val="26"/>
          <w:szCs w:val="26"/>
          <w:lang w:eastAsia="en-US"/>
        </w:rPr>
        <w:t>El euríbor se calcula con los datos de las principales entidades de la zona del euro y consiste en el tipo de interés medio de contado para las operaciones de depósito de euros a plazo de un año.</w:t>
      </w:r>
    </w:p>
    <w:p w14:paraId="5741D62A" w14:textId="77777777" w:rsidR="00E448A0" w:rsidRPr="00E448A0" w:rsidRDefault="00E448A0" w:rsidP="00E448A0">
      <w:pPr>
        <w:spacing w:after="360" w:line="360" w:lineRule="auto"/>
        <w:ind w:right="-159"/>
        <w:jc w:val="center"/>
        <w:rPr>
          <w:rFonts w:eastAsia="Calibri"/>
          <w:sz w:val="26"/>
          <w:szCs w:val="26"/>
          <w:lang w:eastAsia="en-US"/>
        </w:rPr>
      </w:pPr>
      <w:r w:rsidRPr="00E448A0">
        <w:rPr>
          <w:rFonts w:ascii="Calibri" w:eastAsia="Calibri" w:hAnsi="Calibri"/>
          <w:noProof/>
          <w:sz w:val="22"/>
          <w:szCs w:val="22"/>
          <w:lang w:eastAsia="es-MX"/>
        </w:rPr>
        <w:lastRenderedPageBreak/>
        <w:drawing>
          <wp:inline distT="0" distB="0" distL="0" distR="0" wp14:anchorId="2D0CF3B6" wp14:editId="64EE671B">
            <wp:extent cx="4559300" cy="2309176"/>
            <wp:effectExtent l="0" t="0" r="0" b="0"/>
            <wp:docPr id="167" name="Imagen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08" cstate="print">
                      <a:extLst>
                        <a:ext uri="{28A0092B-C50C-407E-A947-70E740481C1C}">
                          <a14:useLocalDpi xmlns:a14="http://schemas.microsoft.com/office/drawing/2010/main" val="0"/>
                        </a:ext>
                      </a:extLst>
                    </a:blip>
                    <a:srcRect b="32683"/>
                    <a:stretch/>
                  </pic:blipFill>
                  <pic:spPr bwMode="auto">
                    <a:xfrm>
                      <a:off x="0" y="0"/>
                      <a:ext cx="4559300" cy="2309176"/>
                    </a:xfrm>
                    <a:prstGeom prst="rect">
                      <a:avLst/>
                    </a:prstGeom>
                    <a:noFill/>
                    <a:ln>
                      <a:noFill/>
                    </a:ln>
                    <a:extLst>
                      <a:ext uri="{53640926-AAD7-44D8-BBD7-CCE9431645EC}">
                        <a14:shadowObscured xmlns:a14="http://schemas.microsoft.com/office/drawing/2010/main"/>
                      </a:ext>
                    </a:extLst>
                  </pic:spPr>
                </pic:pic>
              </a:graphicData>
            </a:graphic>
          </wp:inline>
        </w:drawing>
      </w:r>
    </w:p>
    <w:p w14:paraId="13C1E19A" w14:textId="4BFBEF01" w:rsidR="00E448A0" w:rsidRPr="00E448A0" w:rsidRDefault="00E448A0" w:rsidP="00E448A0">
      <w:pPr>
        <w:spacing w:after="360" w:line="360" w:lineRule="auto"/>
        <w:ind w:right="-159"/>
        <w:jc w:val="both"/>
        <w:rPr>
          <w:rFonts w:eastAsia="Calibri"/>
          <w:sz w:val="26"/>
          <w:szCs w:val="26"/>
          <w:lang w:eastAsia="en-US"/>
        </w:rPr>
      </w:pPr>
      <w:r w:rsidRPr="00E448A0">
        <w:rPr>
          <w:rFonts w:eastAsia="Calibri"/>
          <w:sz w:val="26"/>
          <w:szCs w:val="26"/>
          <w:lang w:eastAsia="en-US"/>
        </w:rPr>
        <w:t>Los datos correspondientes a febrero muestran también un descenso, hasta el 0.255%, del míbor, el tipo interbancario a un año que servía de referencia oficial del mercado hipotecario para las operaciones realizadas con anterioridad al 1</w:t>
      </w:r>
      <w:r w:rsidR="009A0DF3">
        <w:rPr>
          <w:rFonts w:eastAsia="Calibri"/>
          <w:sz w:val="26"/>
          <w:szCs w:val="26"/>
          <w:lang w:eastAsia="en-US"/>
        </w:rPr>
        <w:t xml:space="preserve">º </w:t>
      </w:r>
      <w:r w:rsidRPr="00E448A0">
        <w:rPr>
          <w:rFonts w:eastAsia="Calibri"/>
          <w:sz w:val="26"/>
          <w:szCs w:val="26"/>
          <w:lang w:eastAsia="en-US"/>
        </w:rPr>
        <w:t>de enero de 2000.</w:t>
      </w:r>
    </w:p>
    <w:p w14:paraId="0FF88A58" w14:textId="77777777" w:rsidR="00E448A0" w:rsidRPr="00E448A0" w:rsidRDefault="00E448A0" w:rsidP="00E448A0">
      <w:pPr>
        <w:spacing w:after="360" w:line="360" w:lineRule="auto"/>
        <w:ind w:right="-159"/>
        <w:jc w:val="both"/>
        <w:rPr>
          <w:rFonts w:eastAsia="Calibri"/>
          <w:sz w:val="26"/>
          <w:szCs w:val="26"/>
          <w:lang w:eastAsia="en-US"/>
        </w:rPr>
      </w:pPr>
      <w:r w:rsidRPr="00E448A0">
        <w:rPr>
          <w:rFonts w:eastAsia="Calibri"/>
          <w:sz w:val="26"/>
          <w:szCs w:val="26"/>
          <w:lang w:eastAsia="en-US"/>
        </w:rPr>
        <w:t>Estos índices de referencia para el mercado hipotecario son válidos a partir de su publicación en el Boletín Oficial del Estado (BOE), lo que normalmente se produce unos días después de su difusión por el Banco de España.</w:t>
      </w:r>
    </w:p>
    <w:tbl>
      <w:tblPr>
        <w:tblStyle w:val="Tablaconcuadrcula"/>
        <w:tblW w:w="801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6945"/>
        <w:gridCol w:w="1071"/>
      </w:tblGrid>
      <w:tr w:rsidR="00E448A0" w:rsidRPr="00E448A0" w14:paraId="6CA48298" w14:textId="77777777" w:rsidTr="00082E99">
        <w:trPr>
          <w:jc w:val="center"/>
        </w:trPr>
        <w:tc>
          <w:tcPr>
            <w:tcW w:w="8016" w:type="dxa"/>
            <w:gridSpan w:val="2"/>
            <w:tcBorders>
              <w:top w:val="nil"/>
              <w:left w:val="nil"/>
              <w:right w:val="nil"/>
            </w:tcBorders>
          </w:tcPr>
          <w:p w14:paraId="4CE00AB0" w14:textId="77777777" w:rsidR="00E448A0" w:rsidRPr="00E448A0" w:rsidRDefault="00E448A0" w:rsidP="00E448A0">
            <w:pPr>
              <w:jc w:val="center"/>
              <w:rPr>
                <w:rFonts w:eastAsia="Calibri"/>
                <w:b/>
                <w:sz w:val="22"/>
                <w:szCs w:val="22"/>
                <w:lang w:eastAsia="en-US"/>
              </w:rPr>
            </w:pPr>
            <w:r w:rsidRPr="00E448A0">
              <w:rPr>
                <w:rFonts w:eastAsia="Calibri"/>
                <w:b/>
                <w:sz w:val="22"/>
                <w:szCs w:val="22"/>
                <w:lang w:eastAsia="en-US"/>
              </w:rPr>
              <w:t>ÍNDICES DE REFERENCIA OFICIALES PARA LOS PRÉSTAMOS HIPOTECARIOS A TIPO VARIABLE DESTINADOS A LA</w:t>
            </w:r>
          </w:p>
          <w:p w14:paraId="4A06EF08" w14:textId="77777777" w:rsidR="00E448A0" w:rsidRPr="00E448A0" w:rsidRDefault="00E448A0" w:rsidP="00E448A0">
            <w:pPr>
              <w:jc w:val="center"/>
              <w:rPr>
                <w:rFonts w:eastAsia="Calibri"/>
                <w:b/>
                <w:sz w:val="22"/>
                <w:szCs w:val="22"/>
                <w:lang w:eastAsia="en-US"/>
              </w:rPr>
            </w:pPr>
            <w:r w:rsidRPr="00E448A0">
              <w:rPr>
                <w:rFonts w:eastAsia="Calibri"/>
                <w:b/>
                <w:sz w:val="22"/>
                <w:szCs w:val="22"/>
                <w:lang w:eastAsia="en-US"/>
              </w:rPr>
              <w:t>ADQUISICIÓN DE VIVIENDA, FEBRERO DE 2015</w:t>
            </w:r>
          </w:p>
          <w:p w14:paraId="070CF1BB" w14:textId="77777777" w:rsidR="00E448A0" w:rsidRPr="00E448A0" w:rsidRDefault="00E448A0" w:rsidP="00E448A0">
            <w:pPr>
              <w:jc w:val="center"/>
              <w:rPr>
                <w:rFonts w:eastAsia="Calibri"/>
                <w:b/>
                <w:sz w:val="22"/>
                <w:szCs w:val="22"/>
                <w:lang w:eastAsia="en-US"/>
              </w:rPr>
            </w:pPr>
            <w:r w:rsidRPr="00E448A0">
              <w:rPr>
                <w:rFonts w:eastAsia="Calibri"/>
                <w:b/>
                <w:sz w:val="22"/>
                <w:szCs w:val="22"/>
                <w:lang w:eastAsia="en-US"/>
              </w:rPr>
              <w:t>-Cifras en porcentajes-</w:t>
            </w:r>
          </w:p>
          <w:p w14:paraId="16A25506" w14:textId="77777777" w:rsidR="00E448A0" w:rsidRPr="00E448A0" w:rsidRDefault="00E448A0" w:rsidP="00E448A0">
            <w:pPr>
              <w:jc w:val="center"/>
              <w:rPr>
                <w:rFonts w:eastAsia="Calibri"/>
                <w:sz w:val="22"/>
                <w:szCs w:val="22"/>
                <w:lang w:eastAsia="en-US"/>
              </w:rPr>
            </w:pPr>
          </w:p>
        </w:tc>
      </w:tr>
      <w:tr w:rsidR="00E448A0" w:rsidRPr="00E448A0" w14:paraId="4B481673" w14:textId="77777777" w:rsidTr="00082E99">
        <w:trPr>
          <w:jc w:val="center"/>
        </w:trPr>
        <w:tc>
          <w:tcPr>
            <w:tcW w:w="6945" w:type="dxa"/>
          </w:tcPr>
          <w:p w14:paraId="7E3302FE" w14:textId="77777777" w:rsidR="00E448A0" w:rsidRPr="00E448A0" w:rsidRDefault="00E448A0" w:rsidP="00E448A0">
            <w:pPr>
              <w:jc w:val="both"/>
              <w:rPr>
                <w:rFonts w:eastAsia="Calibri"/>
                <w:sz w:val="22"/>
                <w:szCs w:val="22"/>
                <w:lang w:eastAsia="en-US"/>
              </w:rPr>
            </w:pPr>
            <w:r w:rsidRPr="00E448A0">
              <w:rPr>
                <w:rFonts w:eastAsia="Calibri"/>
                <w:sz w:val="22"/>
                <w:szCs w:val="22"/>
                <w:lang w:eastAsia="en-US"/>
              </w:rPr>
              <w:t>Rendimiento interno en el mercado secundario de la deuda pública de plazo entre 2 y 6 años</w:t>
            </w:r>
          </w:p>
        </w:tc>
        <w:tc>
          <w:tcPr>
            <w:tcW w:w="1071" w:type="dxa"/>
          </w:tcPr>
          <w:p w14:paraId="0606BB32" w14:textId="77777777" w:rsidR="00E448A0" w:rsidRPr="00E448A0" w:rsidRDefault="00E448A0" w:rsidP="009A0DF3">
            <w:pPr>
              <w:ind w:right="170"/>
              <w:jc w:val="right"/>
              <w:rPr>
                <w:rFonts w:eastAsia="Calibri"/>
                <w:sz w:val="22"/>
                <w:szCs w:val="22"/>
                <w:lang w:eastAsia="en-US"/>
              </w:rPr>
            </w:pPr>
            <w:r w:rsidRPr="00E448A0">
              <w:rPr>
                <w:rFonts w:eastAsia="Calibri"/>
                <w:sz w:val="22"/>
                <w:szCs w:val="22"/>
                <w:lang w:eastAsia="en-US"/>
              </w:rPr>
              <w:t>0.712</w:t>
            </w:r>
          </w:p>
        </w:tc>
      </w:tr>
      <w:tr w:rsidR="00E448A0" w:rsidRPr="00E448A0" w14:paraId="7EB76339" w14:textId="77777777" w:rsidTr="00082E99">
        <w:trPr>
          <w:jc w:val="center"/>
        </w:trPr>
        <w:tc>
          <w:tcPr>
            <w:tcW w:w="6945" w:type="dxa"/>
          </w:tcPr>
          <w:p w14:paraId="279216D7" w14:textId="77777777" w:rsidR="00E448A0" w:rsidRPr="00E448A0" w:rsidRDefault="00E448A0" w:rsidP="00E448A0">
            <w:pPr>
              <w:jc w:val="both"/>
              <w:rPr>
                <w:rFonts w:eastAsia="Calibri"/>
                <w:sz w:val="22"/>
                <w:szCs w:val="22"/>
                <w:lang w:eastAsia="en-US"/>
              </w:rPr>
            </w:pPr>
            <w:r w:rsidRPr="00E448A0">
              <w:rPr>
                <w:rFonts w:eastAsia="Calibri"/>
                <w:sz w:val="22"/>
                <w:szCs w:val="22"/>
                <w:lang w:eastAsia="en-US"/>
              </w:rPr>
              <w:t>Referencia interbancaria a 1 año (euríbor)</w:t>
            </w:r>
          </w:p>
        </w:tc>
        <w:tc>
          <w:tcPr>
            <w:tcW w:w="1071" w:type="dxa"/>
          </w:tcPr>
          <w:p w14:paraId="2A830083" w14:textId="77777777" w:rsidR="00E448A0" w:rsidRPr="00E448A0" w:rsidRDefault="00E448A0" w:rsidP="009A0DF3">
            <w:pPr>
              <w:ind w:right="170"/>
              <w:jc w:val="right"/>
              <w:rPr>
                <w:rFonts w:eastAsia="Calibri"/>
                <w:sz w:val="22"/>
                <w:szCs w:val="22"/>
                <w:lang w:eastAsia="en-US"/>
              </w:rPr>
            </w:pPr>
            <w:r w:rsidRPr="00E448A0">
              <w:rPr>
                <w:rFonts w:eastAsia="Calibri"/>
                <w:sz w:val="22"/>
                <w:szCs w:val="22"/>
                <w:lang w:eastAsia="en-US"/>
              </w:rPr>
              <w:t>0.255</w:t>
            </w:r>
          </w:p>
        </w:tc>
      </w:tr>
      <w:tr w:rsidR="00E448A0" w:rsidRPr="00E448A0" w14:paraId="62944320" w14:textId="77777777" w:rsidTr="00082E99">
        <w:trPr>
          <w:jc w:val="center"/>
        </w:trPr>
        <w:tc>
          <w:tcPr>
            <w:tcW w:w="6945" w:type="dxa"/>
          </w:tcPr>
          <w:p w14:paraId="5C668667" w14:textId="5F27FAC9" w:rsidR="00E448A0" w:rsidRPr="00E448A0" w:rsidRDefault="00E448A0" w:rsidP="009A0DF3">
            <w:pPr>
              <w:jc w:val="both"/>
              <w:rPr>
                <w:rFonts w:eastAsia="Calibri"/>
                <w:sz w:val="22"/>
                <w:szCs w:val="22"/>
                <w:lang w:eastAsia="en-US"/>
              </w:rPr>
            </w:pPr>
            <w:r w:rsidRPr="00E448A0">
              <w:rPr>
                <w:rFonts w:eastAsia="Calibri"/>
                <w:sz w:val="22"/>
                <w:szCs w:val="22"/>
                <w:lang w:eastAsia="en-US"/>
              </w:rPr>
              <w:t xml:space="preserve">Permuta de intereses/Interest Rate Swap (IRS) al plazo de </w:t>
            </w:r>
            <w:r w:rsidR="009A0DF3">
              <w:rPr>
                <w:rFonts w:eastAsia="Calibri"/>
                <w:sz w:val="22"/>
                <w:szCs w:val="22"/>
                <w:lang w:eastAsia="en-US"/>
              </w:rPr>
              <w:t>cinco</w:t>
            </w:r>
            <w:r w:rsidRPr="00E448A0">
              <w:rPr>
                <w:rFonts w:eastAsia="Calibri"/>
                <w:sz w:val="22"/>
                <w:szCs w:val="22"/>
                <w:lang w:eastAsia="en-US"/>
              </w:rPr>
              <w:t xml:space="preserve"> años*</w:t>
            </w:r>
          </w:p>
        </w:tc>
        <w:tc>
          <w:tcPr>
            <w:tcW w:w="1071" w:type="dxa"/>
          </w:tcPr>
          <w:p w14:paraId="643F11A1" w14:textId="77777777" w:rsidR="00E448A0" w:rsidRPr="00E448A0" w:rsidRDefault="00E448A0" w:rsidP="009A0DF3">
            <w:pPr>
              <w:ind w:right="170"/>
              <w:jc w:val="right"/>
              <w:rPr>
                <w:rFonts w:eastAsia="Calibri"/>
                <w:sz w:val="22"/>
                <w:szCs w:val="22"/>
                <w:lang w:eastAsia="en-US"/>
              </w:rPr>
            </w:pPr>
            <w:r w:rsidRPr="00E448A0">
              <w:rPr>
                <w:rFonts w:eastAsia="Calibri"/>
                <w:sz w:val="22"/>
                <w:szCs w:val="22"/>
                <w:lang w:eastAsia="en-US"/>
              </w:rPr>
              <w:t>0.302</w:t>
            </w:r>
          </w:p>
        </w:tc>
      </w:tr>
      <w:tr w:rsidR="00E448A0" w:rsidRPr="00E448A0" w14:paraId="239FDB78" w14:textId="77777777" w:rsidTr="00082E99">
        <w:trPr>
          <w:jc w:val="center"/>
        </w:trPr>
        <w:tc>
          <w:tcPr>
            <w:tcW w:w="6945" w:type="dxa"/>
            <w:tcBorders>
              <w:bottom w:val="single" w:sz="2" w:space="0" w:color="auto"/>
            </w:tcBorders>
          </w:tcPr>
          <w:p w14:paraId="6CE00335" w14:textId="77777777" w:rsidR="00E448A0" w:rsidRPr="00E448A0" w:rsidRDefault="00E448A0" w:rsidP="00E448A0">
            <w:pPr>
              <w:jc w:val="both"/>
              <w:rPr>
                <w:rFonts w:eastAsia="Calibri"/>
                <w:sz w:val="22"/>
                <w:szCs w:val="22"/>
                <w:lang w:eastAsia="en-US"/>
              </w:rPr>
            </w:pPr>
            <w:r w:rsidRPr="00E448A0">
              <w:rPr>
                <w:rFonts w:eastAsia="Calibri"/>
                <w:sz w:val="22"/>
                <w:szCs w:val="22"/>
                <w:lang w:eastAsia="en-US"/>
              </w:rPr>
              <w:t>Tipo interbancario a 1 año (míbor)</w:t>
            </w:r>
          </w:p>
        </w:tc>
        <w:tc>
          <w:tcPr>
            <w:tcW w:w="1071" w:type="dxa"/>
            <w:tcBorders>
              <w:bottom w:val="single" w:sz="2" w:space="0" w:color="auto"/>
            </w:tcBorders>
          </w:tcPr>
          <w:p w14:paraId="68E7E743" w14:textId="77777777" w:rsidR="00E448A0" w:rsidRPr="00E448A0" w:rsidRDefault="00E448A0" w:rsidP="009A0DF3">
            <w:pPr>
              <w:ind w:right="170"/>
              <w:jc w:val="right"/>
              <w:rPr>
                <w:rFonts w:eastAsia="Calibri"/>
                <w:sz w:val="22"/>
                <w:szCs w:val="22"/>
                <w:lang w:eastAsia="en-US"/>
              </w:rPr>
            </w:pPr>
            <w:r w:rsidRPr="00E448A0">
              <w:rPr>
                <w:rFonts w:eastAsia="Calibri"/>
                <w:sz w:val="22"/>
                <w:szCs w:val="22"/>
                <w:lang w:eastAsia="en-US"/>
              </w:rPr>
              <w:t>0.255</w:t>
            </w:r>
          </w:p>
        </w:tc>
      </w:tr>
      <w:tr w:rsidR="00E448A0" w:rsidRPr="00E448A0" w14:paraId="69F598C0" w14:textId="77777777" w:rsidTr="00082E99">
        <w:trPr>
          <w:jc w:val="center"/>
        </w:trPr>
        <w:tc>
          <w:tcPr>
            <w:tcW w:w="8016" w:type="dxa"/>
            <w:gridSpan w:val="2"/>
            <w:tcBorders>
              <w:left w:val="nil"/>
              <w:bottom w:val="nil"/>
              <w:right w:val="nil"/>
            </w:tcBorders>
          </w:tcPr>
          <w:p w14:paraId="46B3542C" w14:textId="77777777" w:rsidR="00E448A0" w:rsidRPr="00E448A0" w:rsidRDefault="00E448A0" w:rsidP="00E448A0">
            <w:pPr>
              <w:spacing w:before="120"/>
              <w:ind w:left="227" w:hanging="227"/>
              <w:jc w:val="both"/>
              <w:rPr>
                <w:rFonts w:eastAsia="Calibri"/>
                <w:sz w:val="22"/>
                <w:szCs w:val="22"/>
                <w:lang w:eastAsia="en-US"/>
              </w:rPr>
            </w:pPr>
            <w:r w:rsidRPr="00E448A0">
              <w:rPr>
                <w:rFonts w:eastAsia="Calibri"/>
                <w:sz w:val="22"/>
                <w:szCs w:val="22"/>
                <w:lang w:eastAsia="en-US"/>
              </w:rPr>
              <w:t>* Calculados según la definición de la Circular 5/2012, de 27 de junio, del Banco de España, a entidades de crédito y proveedores de servicios de pago, sobre transparencia de los servicios bancarios y responsabilidad en la concesión de préstamos, en desarrollo de lo dispuesto en la Orden EHA/2899/2011, de 28 de octubre, de transparencia y protección del cliente de servicios bancarios.</w:t>
            </w:r>
          </w:p>
          <w:p w14:paraId="68B1040F" w14:textId="77777777" w:rsidR="00E448A0" w:rsidRPr="00E448A0" w:rsidRDefault="00E448A0" w:rsidP="00E448A0">
            <w:pPr>
              <w:jc w:val="both"/>
              <w:rPr>
                <w:rFonts w:eastAsia="Calibri"/>
                <w:sz w:val="22"/>
                <w:szCs w:val="22"/>
                <w:lang w:eastAsia="en-US"/>
              </w:rPr>
            </w:pPr>
            <w:r w:rsidRPr="00E448A0">
              <w:rPr>
                <w:rFonts w:eastAsia="Calibri"/>
                <w:sz w:val="22"/>
                <w:szCs w:val="22"/>
                <w:lang w:eastAsia="en-US"/>
              </w:rPr>
              <w:t>FUENTE: Banco de España.</w:t>
            </w:r>
          </w:p>
        </w:tc>
      </w:tr>
    </w:tbl>
    <w:p w14:paraId="0DF1EDC5" w14:textId="79C15AC9" w:rsidR="00E448A0" w:rsidRPr="00E448A0" w:rsidRDefault="00E448A0" w:rsidP="00E448A0">
      <w:pPr>
        <w:spacing w:before="360" w:after="360" w:line="360" w:lineRule="auto"/>
        <w:ind w:right="-159"/>
        <w:jc w:val="both"/>
        <w:rPr>
          <w:rFonts w:eastAsia="Calibri"/>
          <w:sz w:val="26"/>
          <w:szCs w:val="26"/>
          <w:lang w:eastAsia="en-US"/>
        </w:rPr>
      </w:pPr>
      <w:r w:rsidRPr="00E448A0">
        <w:rPr>
          <w:rFonts w:eastAsia="Calibri"/>
          <w:sz w:val="26"/>
          <w:szCs w:val="26"/>
          <w:lang w:eastAsia="en-US"/>
        </w:rPr>
        <w:t xml:space="preserve">El resto de los tipos de referencia oficiales para el mercado hipotecario (tipo medio de los préstamos hipotecarios a más de tres años, para adquisición de vivienda libre, </w:t>
      </w:r>
      <w:r w:rsidRPr="00E448A0">
        <w:rPr>
          <w:rFonts w:eastAsia="Calibri"/>
          <w:sz w:val="26"/>
          <w:szCs w:val="26"/>
          <w:lang w:eastAsia="en-US"/>
        </w:rPr>
        <w:lastRenderedPageBreak/>
        <w:t xml:space="preserve">concedidos por las entidades de crédito en España y tipo medio de los préstamos hipotecarios entre </w:t>
      </w:r>
      <w:r w:rsidR="009A0DF3">
        <w:rPr>
          <w:rFonts w:eastAsia="Calibri"/>
          <w:sz w:val="26"/>
          <w:szCs w:val="26"/>
          <w:lang w:eastAsia="en-US"/>
        </w:rPr>
        <w:t>uno</w:t>
      </w:r>
      <w:r w:rsidRPr="00E448A0">
        <w:rPr>
          <w:rFonts w:eastAsia="Calibri"/>
          <w:sz w:val="26"/>
          <w:szCs w:val="26"/>
          <w:lang w:eastAsia="en-US"/>
        </w:rPr>
        <w:t xml:space="preserve"> y </w:t>
      </w:r>
      <w:r w:rsidR="009A0DF3">
        <w:rPr>
          <w:rFonts w:eastAsia="Calibri"/>
          <w:sz w:val="26"/>
          <w:szCs w:val="26"/>
          <w:lang w:eastAsia="en-US"/>
        </w:rPr>
        <w:t>cinco</w:t>
      </w:r>
      <w:r w:rsidRPr="00E448A0">
        <w:rPr>
          <w:rFonts w:eastAsia="Calibri"/>
          <w:sz w:val="26"/>
          <w:szCs w:val="26"/>
          <w:lang w:eastAsia="en-US"/>
        </w:rPr>
        <w:t xml:space="preserve"> años, para adquisición de vivienda libre, concedidos por las entidades de crédito en la zona del euro)</w:t>
      </w:r>
      <w:r w:rsidRPr="00E448A0">
        <w:rPr>
          <w:rFonts w:eastAsia="Calibri"/>
          <w:sz w:val="26"/>
          <w:szCs w:val="26"/>
          <w:vertAlign w:val="superscript"/>
          <w:lang w:eastAsia="en-US"/>
        </w:rPr>
        <w:footnoteReference w:id="111"/>
      </w:r>
      <w:r w:rsidRPr="00E448A0">
        <w:rPr>
          <w:rFonts w:eastAsia="Calibri"/>
          <w:sz w:val="26"/>
          <w:szCs w:val="26"/>
          <w:lang w:eastAsia="en-US"/>
        </w:rPr>
        <w:t xml:space="preserve"> se actualizarán, en torno al día 20 de este mes</w:t>
      </w:r>
      <w:r w:rsidRPr="00E448A0">
        <w:rPr>
          <w:rFonts w:eastAsia="Calibri"/>
          <w:sz w:val="26"/>
          <w:szCs w:val="26"/>
          <w:vertAlign w:val="superscript"/>
          <w:lang w:eastAsia="en-US"/>
        </w:rPr>
        <w:footnoteReference w:id="112"/>
      </w:r>
      <w:r w:rsidR="00781FF6">
        <w:rPr>
          <w:rFonts w:eastAsia="Calibri"/>
          <w:sz w:val="26"/>
          <w:szCs w:val="26"/>
          <w:lang w:eastAsia="en-US"/>
        </w:rPr>
        <w:t>.</w:t>
      </w:r>
    </w:p>
    <w:p w14:paraId="153B6740" w14:textId="71AE4ABA" w:rsidR="00E448A0" w:rsidRPr="00E448A0" w:rsidRDefault="00E448A0" w:rsidP="00E448A0">
      <w:pPr>
        <w:spacing w:after="360" w:line="360" w:lineRule="auto"/>
        <w:ind w:right="-159"/>
        <w:jc w:val="both"/>
        <w:rPr>
          <w:rFonts w:eastAsia="Calibri"/>
          <w:sz w:val="26"/>
          <w:szCs w:val="26"/>
          <w:lang w:eastAsia="en-US"/>
        </w:rPr>
      </w:pPr>
      <w:r w:rsidRPr="00E448A0">
        <w:rPr>
          <w:rFonts w:eastAsia="Calibri"/>
          <w:bCs/>
          <w:sz w:val="26"/>
          <w:szCs w:val="26"/>
          <w:lang w:eastAsia="en-US"/>
        </w:rPr>
        <w:t>Desde el 1</w:t>
      </w:r>
      <w:r w:rsidR="00781FF6">
        <w:rPr>
          <w:rFonts w:eastAsia="Calibri"/>
          <w:bCs/>
          <w:sz w:val="26"/>
          <w:szCs w:val="26"/>
          <w:lang w:eastAsia="en-US"/>
        </w:rPr>
        <w:t xml:space="preserve">º </w:t>
      </w:r>
      <w:r w:rsidRPr="00E448A0">
        <w:rPr>
          <w:rFonts w:eastAsia="Calibri"/>
          <w:bCs/>
          <w:sz w:val="26"/>
          <w:szCs w:val="26"/>
          <w:lang w:eastAsia="en-US"/>
        </w:rPr>
        <w:t>de noviembre de 2013, el Banco de España ha dejado de publicar el Tipo activo de</w:t>
      </w:r>
      <w:r w:rsidRPr="00E448A0">
        <w:rPr>
          <w:rFonts w:eastAsia="Calibri"/>
          <w:b/>
          <w:bCs/>
          <w:sz w:val="26"/>
          <w:szCs w:val="26"/>
          <w:lang w:eastAsia="en-US"/>
        </w:rPr>
        <w:t xml:space="preserve"> </w:t>
      </w:r>
      <w:r w:rsidRPr="00E448A0">
        <w:rPr>
          <w:rFonts w:eastAsia="Calibri"/>
          <w:sz w:val="26"/>
          <w:szCs w:val="26"/>
          <w:lang w:eastAsia="en-US"/>
        </w:rPr>
        <w:t>referencia de cajas de ahorros —Indicador CECA— y los tipos medios de préstamos hipotecarios a más de tres años para adquisición de vivienda libre de bancos y cajas de ahorros de conformidad con la legislación vigente</w:t>
      </w:r>
      <w:r w:rsidRPr="00E448A0">
        <w:rPr>
          <w:rFonts w:eastAsia="Calibri"/>
          <w:sz w:val="26"/>
          <w:szCs w:val="26"/>
          <w:vertAlign w:val="superscript"/>
          <w:lang w:eastAsia="en-US"/>
        </w:rPr>
        <w:footnoteReference w:id="113"/>
      </w:r>
      <w:r w:rsidR="00781FF6">
        <w:rPr>
          <w:rFonts w:eastAsia="Calibri"/>
          <w:sz w:val="26"/>
          <w:szCs w:val="26"/>
          <w:lang w:eastAsia="en-US"/>
        </w:rPr>
        <w:t>.</w:t>
      </w:r>
      <w:r w:rsidRPr="00E448A0">
        <w:rPr>
          <w:rFonts w:eastAsia="Calibri"/>
          <w:sz w:val="26"/>
          <w:szCs w:val="26"/>
          <w:lang w:eastAsia="en-US"/>
        </w:rPr>
        <w:t xml:space="preserve"> Las referencias a estos tipos serán sustituidas</w:t>
      </w:r>
      <w:r w:rsidRPr="00E448A0">
        <w:rPr>
          <w:rFonts w:eastAsia="Calibri"/>
          <w:sz w:val="26"/>
          <w:szCs w:val="26"/>
          <w:vertAlign w:val="superscript"/>
          <w:lang w:eastAsia="en-US"/>
        </w:rPr>
        <w:footnoteReference w:id="114"/>
      </w:r>
      <w:r w:rsidR="00781FF6">
        <w:rPr>
          <w:rFonts w:eastAsia="Calibri"/>
          <w:sz w:val="26"/>
          <w:szCs w:val="26"/>
          <w:lang w:eastAsia="en-US"/>
        </w:rPr>
        <w:t>,</w:t>
      </w:r>
      <w:r w:rsidRPr="00E448A0">
        <w:rPr>
          <w:rFonts w:eastAsia="Calibri"/>
          <w:sz w:val="26"/>
          <w:szCs w:val="26"/>
          <w:lang w:eastAsia="en-US"/>
        </w:rPr>
        <w:t xml:space="preserve"> con efectos desde la siguiente revisión de los tipos aplicables, por el tipo o índice de referencia sustitutivo previsto en el contrato.</w:t>
      </w:r>
    </w:p>
    <w:p w14:paraId="6092FBA7" w14:textId="77777777" w:rsidR="00571CBB" w:rsidRDefault="00E448A0" w:rsidP="00E448A0">
      <w:pPr>
        <w:spacing w:after="360" w:line="360" w:lineRule="auto"/>
        <w:ind w:right="-159"/>
        <w:jc w:val="both"/>
        <w:rPr>
          <w:rFonts w:eastAsia="Calibri"/>
          <w:sz w:val="26"/>
          <w:szCs w:val="26"/>
          <w:lang w:eastAsia="en-US"/>
        </w:rPr>
      </w:pPr>
      <w:r w:rsidRPr="00E448A0">
        <w:rPr>
          <w:rFonts w:eastAsia="Calibri"/>
          <w:sz w:val="26"/>
          <w:szCs w:val="26"/>
          <w:lang w:eastAsia="en-US"/>
        </w:rPr>
        <w:t xml:space="preserve">En el caso de que no exista un tipo sustitutivo en el contrato, o en caso de que este fuera alguno de los índices o tipos que desaparecen, la sustitución se realizará por el tipo de interés oficial denominado “tipo medio de los préstamos hipotecarios a más de tres años, para adquisición de vivienda libre, concedidos por las entidades de crédito en España”, aplicándole un diferencial equivalente a la media aritmética de las diferencias entre el tipo que desaparece y el citado anteriormente, calculadas con los datos disponibles entre la fecha de otorgamiento del contrato y la fecha en la que efectivamente se produce la sustitución del tipo. </w:t>
      </w:r>
    </w:p>
    <w:p w14:paraId="22F4BD12" w14:textId="70392378" w:rsidR="00E448A0" w:rsidRPr="00E448A0" w:rsidRDefault="00E448A0" w:rsidP="00E448A0">
      <w:pPr>
        <w:spacing w:after="360" w:line="360" w:lineRule="auto"/>
        <w:ind w:right="-159"/>
        <w:jc w:val="both"/>
        <w:rPr>
          <w:rFonts w:eastAsia="Calibri"/>
          <w:sz w:val="26"/>
          <w:szCs w:val="26"/>
          <w:lang w:eastAsia="en-US"/>
        </w:rPr>
      </w:pPr>
      <w:r w:rsidRPr="00E448A0">
        <w:rPr>
          <w:rFonts w:eastAsia="Calibri"/>
          <w:sz w:val="26"/>
          <w:szCs w:val="26"/>
          <w:lang w:eastAsia="en-US"/>
        </w:rPr>
        <w:lastRenderedPageBreak/>
        <w:t>El diferencial aplicable en cada caso puede calcularse utilizando el simulador publicado a tal efecto en el Portal del Cliente Bancario</w:t>
      </w:r>
      <w:r w:rsidRPr="00E448A0">
        <w:rPr>
          <w:rFonts w:eastAsia="Calibri"/>
          <w:sz w:val="26"/>
          <w:szCs w:val="26"/>
          <w:vertAlign w:val="superscript"/>
          <w:lang w:eastAsia="en-US"/>
        </w:rPr>
        <w:footnoteReference w:id="115"/>
      </w:r>
      <w:r w:rsidRPr="00E448A0">
        <w:rPr>
          <w:rFonts w:eastAsia="Calibri"/>
          <w:sz w:val="26"/>
          <w:szCs w:val="26"/>
          <w:lang w:eastAsia="en-US"/>
        </w:rPr>
        <w:t>.</w:t>
      </w:r>
    </w:p>
    <w:p w14:paraId="22062592" w14:textId="77777777" w:rsidR="00E448A0" w:rsidRPr="00E448A0" w:rsidRDefault="00E448A0" w:rsidP="00E448A0">
      <w:pPr>
        <w:ind w:right="-159"/>
        <w:jc w:val="both"/>
        <w:rPr>
          <w:rFonts w:eastAsia="Calibri"/>
          <w:b/>
          <w:sz w:val="20"/>
          <w:szCs w:val="20"/>
          <w:lang w:eastAsia="en-US"/>
        </w:rPr>
      </w:pPr>
      <w:r w:rsidRPr="00E448A0">
        <w:rPr>
          <w:rFonts w:eastAsia="Calibri"/>
          <w:b/>
          <w:sz w:val="20"/>
          <w:szCs w:val="20"/>
          <w:lang w:eastAsia="en-US"/>
        </w:rPr>
        <w:t>Fuente de información:</w:t>
      </w:r>
    </w:p>
    <w:p w14:paraId="60DC1732" w14:textId="77777777" w:rsidR="00E448A0" w:rsidRPr="00AF4DFC" w:rsidRDefault="0093224F" w:rsidP="00AF4DFC">
      <w:pPr>
        <w:spacing w:after="720"/>
        <w:ind w:right="-159"/>
        <w:jc w:val="both"/>
        <w:rPr>
          <w:rFonts w:eastAsia="Calibri"/>
          <w:color w:val="0000FF"/>
          <w:sz w:val="20"/>
          <w:szCs w:val="20"/>
          <w:lang w:eastAsia="en-US"/>
        </w:rPr>
      </w:pPr>
      <w:hyperlink r:id="rId409" w:history="1">
        <w:r w:rsidR="00E448A0" w:rsidRPr="00AF4DFC">
          <w:rPr>
            <w:rFonts w:eastAsia="Calibri"/>
            <w:color w:val="0000FF"/>
            <w:sz w:val="20"/>
            <w:szCs w:val="20"/>
            <w:u w:val="single"/>
            <w:lang w:eastAsia="en-US"/>
          </w:rPr>
          <w:t>http://www.bde.es/f/webbde/GAP/Secciones/SalaPrensa/NotasInformativas/15/Arc/Fic/presbe2015_08.pdf</w:t>
        </w:r>
      </w:hyperlink>
      <w:r w:rsidR="00E448A0" w:rsidRPr="00AF4DFC">
        <w:rPr>
          <w:rFonts w:eastAsia="Calibri"/>
          <w:color w:val="0000FF"/>
          <w:sz w:val="20"/>
          <w:szCs w:val="20"/>
          <w:lang w:eastAsia="en-US"/>
        </w:rPr>
        <w:t xml:space="preserve"> </w:t>
      </w:r>
    </w:p>
    <w:p w14:paraId="3314E681" w14:textId="77777777" w:rsidR="00D00515" w:rsidRPr="00D00515" w:rsidRDefault="00D00515" w:rsidP="00D00515">
      <w:pPr>
        <w:spacing w:after="360" w:line="360" w:lineRule="auto"/>
        <w:ind w:right="-159"/>
        <w:jc w:val="both"/>
        <w:rPr>
          <w:rFonts w:eastAsia="Calibri"/>
          <w:b/>
          <w:sz w:val="26"/>
          <w:szCs w:val="26"/>
          <w:lang w:eastAsia="en-US"/>
        </w:rPr>
      </w:pPr>
      <w:r w:rsidRPr="00D00515">
        <w:rPr>
          <w:rFonts w:eastAsia="Calibri"/>
          <w:b/>
          <w:sz w:val="26"/>
          <w:szCs w:val="26"/>
          <w:lang w:eastAsia="en-US"/>
        </w:rPr>
        <w:t>El capital global hacia las economías frontera (Project Syndicate)</w:t>
      </w:r>
    </w:p>
    <w:p w14:paraId="43DB9FDB" w14:textId="77777777" w:rsidR="00D00515" w:rsidRPr="00D00515" w:rsidRDefault="00D00515" w:rsidP="00D00515">
      <w:pPr>
        <w:spacing w:after="360" w:line="360" w:lineRule="auto"/>
        <w:ind w:right="-159"/>
        <w:jc w:val="both"/>
        <w:rPr>
          <w:rFonts w:eastAsia="Calibri"/>
          <w:sz w:val="26"/>
          <w:szCs w:val="26"/>
          <w:lang w:val="es-ES" w:eastAsia="en-US"/>
        </w:rPr>
      </w:pPr>
      <w:r w:rsidRPr="00D00515">
        <w:rPr>
          <w:rFonts w:eastAsia="Calibri"/>
          <w:sz w:val="26"/>
          <w:szCs w:val="26"/>
          <w:lang w:val="es-ES" w:eastAsia="en-US"/>
        </w:rPr>
        <w:t>El 10 de marzo de 2015, la organización Project Syndicate (</w:t>
      </w:r>
      <w:r w:rsidRPr="00D00515">
        <w:rPr>
          <w:rFonts w:eastAsia="Calibri"/>
          <w:i/>
          <w:sz w:val="26"/>
          <w:szCs w:val="26"/>
          <w:lang w:val="es-ES" w:eastAsia="en-US"/>
        </w:rPr>
        <w:t>PS</w:t>
      </w:r>
      <w:r w:rsidRPr="00D00515">
        <w:rPr>
          <w:rFonts w:eastAsia="Calibri"/>
          <w:sz w:val="26"/>
          <w:szCs w:val="26"/>
          <w:lang w:val="es-ES" w:eastAsia="en-US"/>
        </w:rPr>
        <w:t>) publicó los comentarios de Dani Rodrik</w:t>
      </w:r>
      <w:r w:rsidRPr="00D00515">
        <w:rPr>
          <w:rFonts w:eastAsia="Calibri"/>
          <w:sz w:val="26"/>
          <w:szCs w:val="26"/>
          <w:vertAlign w:val="superscript"/>
          <w:lang w:val="es-ES" w:eastAsia="en-US"/>
        </w:rPr>
        <w:footnoteReference w:id="116"/>
      </w:r>
      <w:r w:rsidRPr="00D00515">
        <w:rPr>
          <w:rFonts w:eastAsia="Calibri"/>
          <w:sz w:val="26"/>
          <w:szCs w:val="26"/>
          <w:lang w:val="es-ES" w:eastAsia="en-US"/>
        </w:rPr>
        <w:t xml:space="preserve"> en torno a la entrada de capital en economías frontera. A continuación se presenta el contenido.</w:t>
      </w:r>
    </w:p>
    <w:p w14:paraId="5B9068DA" w14:textId="77777777" w:rsidR="00D00515" w:rsidRPr="00D00515" w:rsidRDefault="00D00515" w:rsidP="00D00515">
      <w:pPr>
        <w:spacing w:after="360" w:line="360" w:lineRule="auto"/>
        <w:ind w:right="-159"/>
        <w:jc w:val="both"/>
        <w:rPr>
          <w:rFonts w:eastAsia="Calibri"/>
          <w:sz w:val="26"/>
          <w:szCs w:val="26"/>
          <w:lang w:val="es-ES" w:eastAsia="en-US"/>
        </w:rPr>
      </w:pPr>
      <w:r w:rsidRPr="00D00515">
        <w:rPr>
          <w:rFonts w:eastAsia="Calibri"/>
          <w:sz w:val="26"/>
          <w:szCs w:val="26"/>
          <w:lang w:val="es-ES" w:eastAsia="en-US"/>
        </w:rPr>
        <w:t>Las llamadas “economías frontera” son la última moda en los círculos de inversión. Aunque estos países de bajos ingresos —por ejemplo, Bangladesh y Vietnam en Asia; Honduras y Bolivia en América Latina; y Kenia y Ghana en África— tienen mercados financieros pequeños y en desarrollo, están creciendo rápidamente y se prevé que se conviertan en las economías emergentes del futuro. En los últimos cuatro años, las entradas de capital privado en economías frontera han sido de casi el doble (en términos del Producto Interno Bruto (PIB)) respecto de las entradas de capital en los mercados de las economías emergentes. Dicho fenómeno se puede celebrar o lamentar, es un asunto que se ha convertido en un tipo de test Rorschach para analistas económicos y responsables del diseño de políticas.</w:t>
      </w:r>
    </w:p>
    <w:p w14:paraId="4E135A4C" w14:textId="77777777" w:rsidR="00D00515" w:rsidRPr="00D00515" w:rsidRDefault="00D00515" w:rsidP="00D00515">
      <w:pPr>
        <w:spacing w:after="360" w:line="360" w:lineRule="auto"/>
        <w:ind w:right="-159"/>
        <w:jc w:val="both"/>
        <w:rPr>
          <w:rFonts w:eastAsia="Calibri"/>
          <w:sz w:val="26"/>
          <w:szCs w:val="26"/>
          <w:lang w:val="es-ES" w:eastAsia="en-US"/>
        </w:rPr>
      </w:pPr>
      <w:r w:rsidRPr="00D00515">
        <w:rPr>
          <w:rFonts w:eastAsia="Calibri"/>
          <w:sz w:val="26"/>
          <w:szCs w:val="26"/>
          <w:lang w:val="es-ES" w:eastAsia="en-US"/>
        </w:rPr>
        <w:t xml:space="preserve">Sabemos ahora que la promesa de la libre movilidad de capital no ha sido cumplida. En gran medida, el aumento de las entradas de capitales ha estimulado el consumo en lugar de las inversiones en los países receptores, lo que ha exacerbado la volatilidad económica y aumentado la frecuencia y daños de las crisis financieras. En lugar de </w:t>
      </w:r>
      <w:r w:rsidRPr="00D00515">
        <w:rPr>
          <w:rFonts w:eastAsia="Calibri"/>
          <w:sz w:val="26"/>
          <w:szCs w:val="26"/>
          <w:lang w:val="es-ES" w:eastAsia="en-US"/>
        </w:rPr>
        <w:lastRenderedPageBreak/>
        <w:t>ejercer disciplina, los mercados financieros globales han incrementado la disponibilidad de deuda, por ende, han flexibilizado las restricciones de presupuestos de los gobiernos derrochadores y abultado las hojas de balance bancarias.</w:t>
      </w:r>
    </w:p>
    <w:p w14:paraId="577BED0D" w14:textId="77777777" w:rsidR="00D00515" w:rsidRPr="00D00515" w:rsidRDefault="00D00515" w:rsidP="00D00515">
      <w:pPr>
        <w:spacing w:after="360" w:line="360" w:lineRule="auto"/>
        <w:ind w:right="-159"/>
        <w:jc w:val="both"/>
        <w:rPr>
          <w:rFonts w:eastAsia="Calibri"/>
          <w:sz w:val="26"/>
          <w:szCs w:val="26"/>
          <w:lang w:val="es-ES" w:eastAsia="en-US"/>
        </w:rPr>
      </w:pPr>
      <w:r w:rsidRPr="00D00515">
        <w:rPr>
          <w:rFonts w:eastAsia="Calibri"/>
          <w:sz w:val="26"/>
          <w:szCs w:val="26"/>
          <w:lang w:val="es-ES" w:eastAsia="en-US"/>
        </w:rPr>
        <w:t>El mejor argumento a favor de la libre movilidad de capital sigue siendo el que hiciera hace casi dos décadas Stanley Fischer, el segundo funcionario más importante en ese entonces del Fondo Monetario Internacional (FMI), que ahora es vicepresidente de la Reserva Federal estadounidense. Aunque Fischer reconoció los riesgos de la libre circulación de capitales, señalaba que la solución no era mantener controles de capital, sino emprender las reformas necesarias para mitigar los peligros.</w:t>
      </w:r>
    </w:p>
    <w:p w14:paraId="4841E496" w14:textId="77777777" w:rsidR="00D00515" w:rsidRPr="00D00515" w:rsidRDefault="00D00515" w:rsidP="00D00515">
      <w:pPr>
        <w:spacing w:after="360" w:line="360" w:lineRule="auto"/>
        <w:ind w:right="-159"/>
        <w:jc w:val="both"/>
        <w:rPr>
          <w:rFonts w:eastAsia="Calibri"/>
          <w:sz w:val="26"/>
          <w:szCs w:val="26"/>
          <w:lang w:val="es-ES" w:eastAsia="en-US"/>
        </w:rPr>
      </w:pPr>
      <w:r w:rsidRPr="00D00515">
        <w:rPr>
          <w:rFonts w:eastAsia="Calibri"/>
          <w:sz w:val="26"/>
          <w:szCs w:val="26"/>
          <w:lang w:val="es-ES" w:eastAsia="en-US"/>
        </w:rPr>
        <w:t>Los comentarios de Fischer se produjeron en un momento en el que el FMI estaba tratando activamente de integrar en su convenio constitutivo la liberalización de cuenta de capitales. Sin embargo, después se produjeron crisis financieras en Asia, Brasil, Argentina, Rusia, Turquía, y en última instancia Europa y los Estados Unidos de Norteamérica. En su defensa, desde entonces el Fondo ha flexibilizado su postura en cuanto a los controles de capital. En 2010, emitió una nota en la que reconocía los controles de capitales como parte de la amplia oferta de herramientas de política para combatir la inestabilidad financiera.</w:t>
      </w:r>
    </w:p>
    <w:p w14:paraId="22EB38AB" w14:textId="77777777" w:rsidR="00D00515" w:rsidRPr="00D00515" w:rsidRDefault="00D00515" w:rsidP="00D00515">
      <w:pPr>
        <w:spacing w:after="360" w:line="360" w:lineRule="auto"/>
        <w:ind w:right="-159"/>
        <w:jc w:val="both"/>
        <w:rPr>
          <w:rFonts w:eastAsia="Calibri"/>
          <w:sz w:val="26"/>
          <w:szCs w:val="26"/>
          <w:lang w:val="es-ES" w:eastAsia="en-US"/>
        </w:rPr>
      </w:pPr>
      <w:r w:rsidRPr="00D00515">
        <w:rPr>
          <w:rFonts w:eastAsia="Calibri"/>
          <w:sz w:val="26"/>
          <w:szCs w:val="26"/>
          <w:lang w:val="es-ES" w:eastAsia="en-US"/>
        </w:rPr>
        <w:t>No obstante, en el FMI y en países avanzados, la postura que prevalece es la de que los controles de capital son el último recurso —solo cuando las políticas financieras y macroeconómicas convencionales se han agotado—. La libre circulación de capital sigue siendo el objetivo final, incluso cuando a algunos países les lleve tiempo conseguirlo.</w:t>
      </w:r>
    </w:p>
    <w:p w14:paraId="34E9BA5C" w14:textId="77777777" w:rsidR="00D00515" w:rsidRPr="00D00515" w:rsidRDefault="00D00515" w:rsidP="00D00515">
      <w:pPr>
        <w:spacing w:after="360" w:line="360" w:lineRule="auto"/>
        <w:ind w:right="-159"/>
        <w:jc w:val="both"/>
        <w:rPr>
          <w:rFonts w:eastAsia="Calibri"/>
          <w:sz w:val="26"/>
          <w:szCs w:val="26"/>
          <w:lang w:val="es-ES" w:eastAsia="en-US"/>
        </w:rPr>
      </w:pPr>
      <w:r w:rsidRPr="00D00515">
        <w:rPr>
          <w:rFonts w:eastAsia="Calibri"/>
          <w:sz w:val="26"/>
          <w:szCs w:val="26"/>
          <w:lang w:val="es-ES" w:eastAsia="en-US"/>
        </w:rPr>
        <w:t xml:space="preserve">Este punto de vista tiene dos problemas. En primer lugar, como señalan incansablemente quienes defienden la movilidad del capital, los países deben cumplir una larga lista de requisitos previos antes de que puedan beneficiarse de la globalización financiera. Entre ellos están la protección de los derechos de propiedad, un </w:t>
      </w:r>
      <w:r w:rsidRPr="00D00515">
        <w:rPr>
          <w:rFonts w:eastAsia="Calibri"/>
          <w:sz w:val="26"/>
          <w:szCs w:val="26"/>
          <w:lang w:val="es-ES" w:eastAsia="en-US"/>
        </w:rPr>
        <w:lastRenderedPageBreak/>
        <w:t>cumplimiento efectivo de los contratos, la erradicación de la corrupción, más transparencia y mejor información financiera, una gobernanza corporativa sólida, estabilidad monetaria y fiscal, sostenibilidad de la deuda, tipos de cambio determinados por el mercado, una reglamentación financiera de alta calidad y supervisión cautelar. En otras palabras, una política destinada a impulsar el crecimiento en países en desarrollo necesita instituciones de primer mundo para funcionar.</w:t>
      </w:r>
    </w:p>
    <w:p w14:paraId="059F24C8" w14:textId="77777777" w:rsidR="00D00515" w:rsidRPr="00D00515" w:rsidRDefault="00D00515" w:rsidP="00D00515">
      <w:pPr>
        <w:spacing w:after="360" w:line="360" w:lineRule="auto"/>
        <w:ind w:right="-159"/>
        <w:jc w:val="both"/>
        <w:rPr>
          <w:rFonts w:eastAsia="Calibri"/>
          <w:sz w:val="26"/>
          <w:szCs w:val="26"/>
          <w:lang w:val="es-ES" w:eastAsia="en-US"/>
        </w:rPr>
      </w:pPr>
      <w:r w:rsidRPr="00D00515">
        <w:rPr>
          <w:rFonts w:eastAsia="Calibri"/>
          <w:sz w:val="26"/>
          <w:szCs w:val="26"/>
          <w:lang w:val="es-ES" w:eastAsia="en-US"/>
        </w:rPr>
        <w:t>Lo peor es que la lista no solo es larga; también es abierta. Como han demostrado las experiencias de los países avanzados en la crisis financiera global, ni siquiera los sistemas de reglamentación y supervisión más sofisticados son infalibles. Así pues, exigir que los países en desarrollo establezcan el tipo de instituciones que hagan que los flujos de capital sean seguros no solo invierte las prioridades sino que es imposible. La prudencia exige un enfoque más pragmático que reconozca que los controles de capital tienen una función permanente junto con otras herramientas reglamentarias y cautelares.</w:t>
      </w:r>
    </w:p>
    <w:p w14:paraId="4552B977" w14:textId="77777777" w:rsidR="00D00515" w:rsidRPr="00D00515" w:rsidRDefault="00D00515" w:rsidP="00D00515">
      <w:pPr>
        <w:spacing w:after="360" w:line="360" w:lineRule="auto"/>
        <w:ind w:right="-159"/>
        <w:jc w:val="both"/>
        <w:rPr>
          <w:rFonts w:eastAsia="Calibri"/>
          <w:sz w:val="26"/>
          <w:szCs w:val="26"/>
          <w:lang w:val="es-ES" w:eastAsia="en-US"/>
        </w:rPr>
      </w:pPr>
      <w:r w:rsidRPr="00D00515">
        <w:rPr>
          <w:rFonts w:eastAsia="Calibri"/>
          <w:sz w:val="26"/>
          <w:szCs w:val="26"/>
          <w:lang w:val="es-ES" w:eastAsia="en-US"/>
        </w:rPr>
        <w:t>El segundo problema tiene que ver con la posibilidad de que las entradas de capital sean perjudiciales para el crecimiento incluso si no se toman en cuenta las inquietudes sobre la fragilidad financiera. Quienes defienden la movilidad del capital suponen que en las economías pobres hay muchas oportunidades de inversión rentable que no se explotan por falta de fondos para invertir. Sostienen que si se permite que el capital entre, comenzarán las inversiones y el crecimiento.</w:t>
      </w:r>
    </w:p>
    <w:p w14:paraId="11A1D589" w14:textId="77777777" w:rsidR="00D00515" w:rsidRPr="00D00515" w:rsidRDefault="00D00515" w:rsidP="00D00515">
      <w:pPr>
        <w:spacing w:after="360" w:line="360" w:lineRule="auto"/>
        <w:ind w:right="-159"/>
        <w:jc w:val="both"/>
        <w:rPr>
          <w:rFonts w:eastAsia="Calibri"/>
          <w:sz w:val="26"/>
          <w:szCs w:val="26"/>
          <w:lang w:val="es-ES" w:eastAsia="en-US"/>
        </w:rPr>
      </w:pPr>
      <w:r w:rsidRPr="00D00515">
        <w:rPr>
          <w:rFonts w:eastAsia="Calibri"/>
          <w:sz w:val="26"/>
          <w:szCs w:val="26"/>
          <w:lang w:val="es-ES" w:eastAsia="en-US"/>
        </w:rPr>
        <w:t>Sin embargo, en muchos países en desarrollo las limitaciones se deben a la falta de demanda de inversiones, no a la carencia de ahorro interno. Los rendimientos sociales de las inversiones pueden ser elevados, pero los rendimientos privados son bajos debido a las externalidades, los altos impuestos, la pobreza de las instituciones o cualquiera de una amplia gama de factores adicionales.</w:t>
      </w:r>
    </w:p>
    <w:p w14:paraId="0889B14E" w14:textId="77777777" w:rsidR="00D00515" w:rsidRPr="00D00515" w:rsidRDefault="00D00515" w:rsidP="00D00515">
      <w:pPr>
        <w:spacing w:after="360" w:line="360" w:lineRule="auto"/>
        <w:ind w:right="-159"/>
        <w:jc w:val="both"/>
        <w:rPr>
          <w:rFonts w:eastAsia="Calibri"/>
          <w:sz w:val="26"/>
          <w:szCs w:val="26"/>
          <w:lang w:val="es-ES" w:eastAsia="en-US"/>
        </w:rPr>
      </w:pPr>
      <w:r w:rsidRPr="00D00515">
        <w:rPr>
          <w:rFonts w:eastAsia="Calibri"/>
          <w:sz w:val="26"/>
          <w:szCs w:val="26"/>
          <w:lang w:val="es-ES" w:eastAsia="en-US"/>
        </w:rPr>
        <w:lastRenderedPageBreak/>
        <w:t>Las entradas de capital en las economías con baja demanda de inversiones generan consumo, no acumulación de capital. También favorecen la apreciación del tipo de cambio, lo que agrava la falta de inversiones. La rentabilidad de las industrias comercializables —las más propensas a padecer problemas de reconocimiento de propiedad— resulta perjudicada y la demanda de inversiones cae aún más. En estas economías, las entradas de capital bien pueden retrasar el crecimiento en lugar de estimularlo.</w:t>
      </w:r>
    </w:p>
    <w:p w14:paraId="2563AA38" w14:textId="77777777" w:rsidR="00D00515" w:rsidRPr="00D00515" w:rsidRDefault="00D00515" w:rsidP="00D00515">
      <w:pPr>
        <w:spacing w:after="360" w:line="360" w:lineRule="auto"/>
        <w:ind w:right="-159"/>
        <w:jc w:val="both"/>
        <w:rPr>
          <w:rFonts w:eastAsia="Calibri"/>
          <w:sz w:val="26"/>
          <w:szCs w:val="26"/>
          <w:lang w:val="es-ES" w:eastAsia="en-US"/>
        </w:rPr>
      </w:pPr>
      <w:r w:rsidRPr="00D00515">
        <w:rPr>
          <w:rFonts w:eastAsia="Calibri"/>
          <w:sz w:val="26"/>
          <w:szCs w:val="26"/>
          <w:lang w:val="es-ES" w:eastAsia="en-US"/>
        </w:rPr>
        <w:t>Esas inquietudes han llevado a las economías emergentes a experimentar con una serie de controles de capital. En principio, las economías de mercado frontera pueden aprender mucho de estas experiencias. Como señaló un economista de la Universidad Johns Hopkins, en una conferencia del FMI organizada recientemente para promover ese aprendizaje, las medidas de flujo de capital que se han puesto de moda últimamente no funcionan muy bien.</w:t>
      </w:r>
    </w:p>
    <w:p w14:paraId="7B85F89D" w14:textId="77777777" w:rsidR="00D00515" w:rsidRPr="00D00515" w:rsidRDefault="00D00515" w:rsidP="00D00515">
      <w:pPr>
        <w:spacing w:after="360" w:line="360" w:lineRule="auto"/>
        <w:ind w:right="-159"/>
        <w:jc w:val="both"/>
        <w:rPr>
          <w:rFonts w:eastAsia="Calibri"/>
          <w:sz w:val="26"/>
          <w:szCs w:val="26"/>
          <w:lang w:val="es-ES" w:eastAsia="en-US"/>
        </w:rPr>
      </w:pPr>
      <w:r w:rsidRPr="00D00515">
        <w:rPr>
          <w:rFonts w:eastAsia="Calibri"/>
          <w:sz w:val="26"/>
          <w:szCs w:val="26"/>
          <w:lang w:val="es-ES" w:eastAsia="en-US"/>
        </w:rPr>
        <w:t>Eso no se debe a que no afecten la cantidad o la composición de los flujos, sino a que los efectos son muy pequeños. Como han aprendido Brasil, Colombia, Corea del Sur y otros, los controles limitados que se centran en mercados específicos como los bonos o los préstamos bancarios a corto plazo no tienen un impacto significativo sobre los resultados fundamentales, como el tipo de cambio, la independencia monetaria o la estabilidad financiera interna. De ahí se deduce que, para ser realmente eficaces, los controles de capital tal vez deban ser contundentes y amplios y no limitados y concentrados.</w:t>
      </w:r>
    </w:p>
    <w:p w14:paraId="5D9F89CE" w14:textId="2D831667" w:rsidR="00D00515" w:rsidRPr="00D00515" w:rsidRDefault="00D00515" w:rsidP="00D00515">
      <w:pPr>
        <w:spacing w:after="360" w:line="360" w:lineRule="auto"/>
        <w:ind w:right="-159"/>
        <w:jc w:val="both"/>
        <w:rPr>
          <w:rFonts w:eastAsia="Calibri"/>
          <w:sz w:val="26"/>
          <w:szCs w:val="26"/>
          <w:lang w:val="es-ES" w:eastAsia="en-US"/>
        </w:rPr>
      </w:pPr>
      <w:r w:rsidRPr="00D00515">
        <w:rPr>
          <w:rFonts w:eastAsia="Calibri"/>
          <w:sz w:val="26"/>
          <w:szCs w:val="26"/>
          <w:lang w:val="es-ES" w:eastAsia="en-US"/>
        </w:rPr>
        <w:t>Los controles de capital no son una panacea en sí mismos y frecuentemente causan problemas más graves, como la corrupción o el retraso de reformas necesarias, que los que resuelven. No obstante, esto no es distinto en ninguna otra esfera de la acción gubernamental. Vivimos en un mundo de segundas alternativas en el que las acciones de política son casi siempre parciales (y parcialmente eficaces) y las reformas bien</w:t>
      </w:r>
      <w:r w:rsidR="00AF4DFC">
        <w:rPr>
          <w:rFonts w:eastAsia="Calibri"/>
          <w:sz w:val="26"/>
          <w:szCs w:val="26"/>
          <w:lang w:val="es-ES" w:eastAsia="en-US"/>
        </w:rPr>
        <w:t xml:space="preserve"> </w:t>
      </w:r>
      <w:r w:rsidRPr="00D00515">
        <w:rPr>
          <w:rFonts w:eastAsia="Calibri"/>
          <w:sz w:val="26"/>
          <w:szCs w:val="26"/>
          <w:lang w:val="es-ES" w:eastAsia="en-US"/>
        </w:rPr>
        <w:lastRenderedPageBreak/>
        <w:t>intencionadas en una esfera pueden ser contraproducentes cuando hay distorsiones en otras partes del sistema.</w:t>
      </w:r>
    </w:p>
    <w:p w14:paraId="4C769DE5" w14:textId="77777777" w:rsidR="00D00515" w:rsidRPr="00D00515" w:rsidRDefault="00D00515" w:rsidP="00D00515">
      <w:pPr>
        <w:spacing w:after="360" w:line="360" w:lineRule="auto"/>
        <w:ind w:right="-159"/>
        <w:jc w:val="both"/>
        <w:rPr>
          <w:rFonts w:eastAsia="Calibri"/>
          <w:sz w:val="26"/>
          <w:szCs w:val="26"/>
          <w:lang w:val="es-ES" w:eastAsia="en-US"/>
        </w:rPr>
      </w:pPr>
      <w:r w:rsidRPr="00D00515">
        <w:rPr>
          <w:rFonts w:eastAsia="Calibri"/>
          <w:sz w:val="26"/>
          <w:szCs w:val="26"/>
          <w:lang w:val="es-ES" w:eastAsia="en-US"/>
        </w:rPr>
        <w:t>En un mundo así, no tiene mucho sentido utilizar los controles de capital como último recurso, siempre y en todas partes. En efecto, eso solo convierte a la globalización financiera en un fetiche. El mundo necesita un pragmatismo obstinado, caso por caso, en el que se reconozca que los controles de capital en ocasiones merecen un lugar destacado.</w:t>
      </w:r>
    </w:p>
    <w:p w14:paraId="7D942FE8" w14:textId="77777777" w:rsidR="00D00515" w:rsidRPr="00D00515" w:rsidRDefault="00D00515" w:rsidP="00D00515">
      <w:pPr>
        <w:ind w:right="-159"/>
        <w:jc w:val="both"/>
        <w:rPr>
          <w:rFonts w:eastAsia="Calibri"/>
          <w:b/>
          <w:sz w:val="20"/>
          <w:szCs w:val="20"/>
          <w:lang w:eastAsia="en-US"/>
        </w:rPr>
      </w:pPr>
      <w:r w:rsidRPr="00D00515">
        <w:rPr>
          <w:rFonts w:eastAsia="Calibri"/>
          <w:b/>
          <w:sz w:val="20"/>
          <w:szCs w:val="20"/>
          <w:lang w:eastAsia="en-US"/>
        </w:rPr>
        <w:t>Fuente de información:</w:t>
      </w:r>
    </w:p>
    <w:p w14:paraId="38FECFB1" w14:textId="77777777" w:rsidR="00D00515" w:rsidRPr="00AF4DFC" w:rsidRDefault="0093224F" w:rsidP="00AF4DFC">
      <w:pPr>
        <w:spacing w:after="720"/>
        <w:ind w:right="-159"/>
        <w:jc w:val="both"/>
        <w:rPr>
          <w:rFonts w:eastAsia="Calibri"/>
          <w:color w:val="0000FF"/>
          <w:sz w:val="20"/>
          <w:szCs w:val="20"/>
          <w:lang w:val="es-ES" w:eastAsia="en-US"/>
        </w:rPr>
      </w:pPr>
      <w:hyperlink r:id="rId410" w:history="1">
        <w:r w:rsidR="00D00515" w:rsidRPr="00AF4DFC">
          <w:rPr>
            <w:rFonts w:eastAsia="Calibri"/>
            <w:color w:val="0000FF"/>
            <w:sz w:val="20"/>
            <w:szCs w:val="20"/>
            <w:u w:val="single"/>
            <w:lang w:val="es-ES" w:eastAsia="en-US"/>
          </w:rPr>
          <w:t>http://www.project-syndicate.org/commentary/frontier-market-economy-fad-by-dani-rodrik-2015-03/spanish</w:t>
        </w:r>
      </w:hyperlink>
    </w:p>
    <w:p w14:paraId="1B163B67" w14:textId="20E2018D" w:rsidR="00B26EC9" w:rsidRPr="000E3A45" w:rsidRDefault="000B0616" w:rsidP="00B26EC9">
      <w:pPr>
        <w:tabs>
          <w:tab w:val="left" w:pos="9072"/>
        </w:tabs>
        <w:spacing w:after="360" w:line="360" w:lineRule="auto"/>
        <w:ind w:right="-159"/>
        <w:jc w:val="both"/>
        <w:rPr>
          <w:b/>
          <w:sz w:val="26"/>
          <w:szCs w:val="26"/>
          <w:lang w:val="es-ES"/>
        </w:rPr>
      </w:pPr>
      <w:r>
        <w:rPr>
          <w:b/>
          <w:sz w:val="26"/>
          <w:szCs w:val="26"/>
          <w:lang w:val="es-ES"/>
        </w:rPr>
        <w:t>R</w:t>
      </w:r>
      <w:r w:rsidR="00B26EC9" w:rsidRPr="000E3A45">
        <w:rPr>
          <w:b/>
          <w:sz w:val="26"/>
          <w:szCs w:val="26"/>
          <w:lang w:val="es-ES"/>
        </w:rPr>
        <w:t>eserva internacional (Banxico)</w:t>
      </w:r>
    </w:p>
    <w:p w14:paraId="3EF19BA3" w14:textId="3858C57B" w:rsidR="00B26EC9" w:rsidRPr="000E3A45" w:rsidRDefault="00B26EC9" w:rsidP="00B26EC9">
      <w:pPr>
        <w:tabs>
          <w:tab w:val="left" w:pos="9072"/>
        </w:tabs>
        <w:spacing w:after="360" w:line="360" w:lineRule="auto"/>
        <w:ind w:right="-159"/>
        <w:jc w:val="both"/>
        <w:rPr>
          <w:sz w:val="26"/>
          <w:szCs w:val="20"/>
          <w:lang w:val="es-ES"/>
        </w:rPr>
      </w:pPr>
      <w:r w:rsidRPr="000E3A45">
        <w:rPr>
          <w:sz w:val="26"/>
          <w:szCs w:val="20"/>
        </w:rPr>
        <w:t xml:space="preserve">El </w:t>
      </w:r>
      <w:r w:rsidR="00D445C9">
        <w:rPr>
          <w:sz w:val="26"/>
          <w:szCs w:val="20"/>
        </w:rPr>
        <w:t>1</w:t>
      </w:r>
      <w:r w:rsidR="00F73247">
        <w:rPr>
          <w:sz w:val="26"/>
          <w:szCs w:val="20"/>
        </w:rPr>
        <w:t>8</w:t>
      </w:r>
      <w:r w:rsidRPr="000E3A45">
        <w:rPr>
          <w:sz w:val="26"/>
          <w:szCs w:val="20"/>
        </w:rPr>
        <w:t xml:space="preserve"> de </w:t>
      </w:r>
      <w:r w:rsidR="00F73247">
        <w:rPr>
          <w:sz w:val="26"/>
          <w:szCs w:val="20"/>
        </w:rPr>
        <w:t>marzo</w:t>
      </w:r>
      <w:r w:rsidRPr="000E3A45">
        <w:rPr>
          <w:sz w:val="26"/>
          <w:szCs w:val="20"/>
        </w:rPr>
        <w:t xml:space="preserve"> de 201</w:t>
      </w:r>
      <w:r w:rsidR="00ED39CD">
        <w:rPr>
          <w:sz w:val="26"/>
          <w:szCs w:val="20"/>
        </w:rPr>
        <w:t>5</w:t>
      </w:r>
      <w:r w:rsidRPr="000E3A45">
        <w:rPr>
          <w:sz w:val="26"/>
          <w:szCs w:val="20"/>
        </w:rPr>
        <w:t>, el Banco de México (Banxico) publicó en su “</w:t>
      </w:r>
      <w:r w:rsidRPr="000E3A45">
        <w:rPr>
          <w:sz w:val="26"/>
          <w:szCs w:val="20"/>
          <w:lang w:val="es-ES"/>
        </w:rPr>
        <w:t>Boletín Semanal sobre el Estado de Cuenta”</w:t>
      </w:r>
      <w:r w:rsidRPr="000E3A45">
        <w:rPr>
          <w:sz w:val="26"/>
          <w:szCs w:val="20"/>
        </w:rPr>
        <w:t xml:space="preserve">, que el saldo de la reserva </w:t>
      </w:r>
      <w:r w:rsidRPr="000E3A45">
        <w:rPr>
          <w:sz w:val="26"/>
          <w:szCs w:val="20"/>
          <w:lang w:val="es-ES"/>
        </w:rPr>
        <w:t xml:space="preserve">internacional </w:t>
      </w:r>
      <w:r w:rsidRPr="000E3A45">
        <w:rPr>
          <w:sz w:val="26"/>
          <w:szCs w:val="20"/>
        </w:rPr>
        <w:t>al 1</w:t>
      </w:r>
      <w:r w:rsidR="00D445C9">
        <w:rPr>
          <w:sz w:val="26"/>
          <w:szCs w:val="20"/>
        </w:rPr>
        <w:t>3</w:t>
      </w:r>
      <w:r w:rsidRPr="000E3A45">
        <w:rPr>
          <w:sz w:val="26"/>
          <w:szCs w:val="20"/>
        </w:rPr>
        <w:t xml:space="preserve"> de </w:t>
      </w:r>
      <w:r w:rsidR="00F73247">
        <w:rPr>
          <w:sz w:val="26"/>
          <w:szCs w:val="20"/>
        </w:rPr>
        <w:t>marzo</w:t>
      </w:r>
      <w:r w:rsidR="002F6284">
        <w:rPr>
          <w:sz w:val="26"/>
          <w:szCs w:val="20"/>
        </w:rPr>
        <w:t xml:space="preserve"> </w:t>
      </w:r>
      <w:r w:rsidRPr="000E3A45">
        <w:rPr>
          <w:sz w:val="26"/>
          <w:szCs w:val="20"/>
        </w:rPr>
        <w:t>de 201</w:t>
      </w:r>
      <w:r w:rsidR="002F6284">
        <w:rPr>
          <w:sz w:val="26"/>
          <w:szCs w:val="20"/>
        </w:rPr>
        <w:t>5</w:t>
      </w:r>
      <w:r w:rsidRPr="000E3A45">
        <w:rPr>
          <w:sz w:val="26"/>
          <w:szCs w:val="20"/>
        </w:rPr>
        <w:t xml:space="preserve"> fue de 1</w:t>
      </w:r>
      <w:r w:rsidR="00E83CD9" w:rsidRPr="000E3A45">
        <w:rPr>
          <w:sz w:val="26"/>
          <w:szCs w:val="20"/>
        </w:rPr>
        <w:t>9</w:t>
      </w:r>
      <w:r w:rsidR="00D445C9">
        <w:rPr>
          <w:sz w:val="26"/>
          <w:szCs w:val="20"/>
        </w:rPr>
        <w:t>5</w:t>
      </w:r>
      <w:r w:rsidRPr="000E3A45">
        <w:rPr>
          <w:sz w:val="26"/>
          <w:szCs w:val="20"/>
          <w:lang w:val="es-ES"/>
        </w:rPr>
        <w:t xml:space="preserve"> mil </w:t>
      </w:r>
      <w:r w:rsidR="00F73247">
        <w:rPr>
          <w:sz w:val="26"/>
          <w:szCs w:val="20"/>
          <w:lang w:val="es-ES"/>
        </w:rPr>
        <w:t>425</w:t>
      </w:r>
      <w:r w:rsidRPr="000E3A45">
        <w:rPr>
          <w:sz w:val="26"/>
          <w:szCs w:val="20"/>
          <w:lang w:val="es-ES"/>
        </w:rPr>
        <w:t xml:space="preserve"> millones de dólares, lo que </w:t>
      </w:r>
      <w:r w:rsidR="002F6284">
        <w:rPr>
          <w:sz w:val="26"/>
          <w:szCs w:val="20"/>
          <w:lang w:val="es-ES"/>
        </w:rPr>
        <w:t>representó</w:t>
      </w:r>
      <w:r w:rsidRPr="000E3A45">
        <w:rPr>
          <w:sz w:val="26"/>
          <w:szCs w:val="20"/>
          <w:lang w:val="es-ES"/>
        </w:rPr>
        <w:t xml:space="preserve"> un</w:t>
      </w:r>
      <w:r w:rsidR="00E83CD9" w:rsidRPr="000E3A45">
        <w:rPr>
          <w:sz w:val="26"/>
          <w:szCs w:val="20"/>
          <w:lang w:val="es-ES"/>
        </w:rPr>
        <w:t xml:space="preserve"> </w:t>
      </w:r>
      <w:r w:rsidR="002F6284">
        <w:rPr>
          <w:sz w:val="26"/>
          <w:szCs w:val="20"/>
          <w:lang w:val="es-ES"/>
        </w:rPr>
        <w:t>aumento</w:t>
      </w:r>
      <w:r w:rsidRPr="000E3A45">
        <w:rPr>
          <w:sz w:val="26"/>
          <w:szCs w:val="20"/>
          <w:lang w:val="es-ES"/>
        </w:rPr>
        <w:t xml:space="preserve"> semanal de </w:t>
      </w:r>
      <w:r w:rsidR="00F73247">
        <w:rPr>
          <w:sz w:val="26"/>
          <w:szCs w:val="20"/>
          <w:lang w:val="es-ES"/>
        </w:rPr>
        <w:t>487</w:t>
      </w:r>
      <w:r w:rsidRPr="000E3A45">
        <w:rPr>
          <w:sz w:val="26"/>
          <w:szCs w:val="20"/>
          <w:lang w:val="es-ES"/>
        </w:rPr>
        <w:t xml:space="preserve"> millones de dólares y un crecimiento acumulado, respecto al cierre de 201</w:t>
      </w:r>
      <w:r w:rsidR="002F6284">
        <w:rPr>
          <w:sz w:val="26"/>
          <w:szCs w:val="20"/>
          <w:lang w:val="es-ES"/>
        </w:rPr>
        <w:t>4</w:t>
      </w:r>
      <w:r w:rsidRPr="000E3A45">
        <w:rPr>
          <w:sz w:val="26"/>
          <w:szCs w:val="20"/>
          <w:lang w:val="es-ES"/>
        </w:rPr>
        <w:t xml:space="preserve">, de  </w:t>
      </w:r>
      <w:r w:rsidR="00F73247">
        <w:rPr>
          <w:sz w:val="26"/>
          <w:szCs w:val="20"/>
          <w:lang w:val="es-ES"/>
        </w:rPr>
        <w:t xml:space="preserve">      </w:t>
      </w:r>
      <w:r w:rsidR="002F6284">
        <w:rPr>
          <w:sz w:val="26"/>
          <w:szCs w:val="20"/>
          <w:lang w:val="es-ES"/>
        </w:rPr>
        <w:t>2</w:t>
      </w:r>
      <w:r w:rsidRPr="000E3A45">
        <w:rPr>
          <w:sz w:val="26"/>
          <w:szCs w:val="20"/>
          <w:lang w:val="es-ES"/>
        </w:rPr>
        <w:t xml:space="preserve"> </w:t>
      </w:r>
      <w:r w:rsidR="00D445C9">
        <w:rPr>
          <w:sz w:val="26"/>
          <w:szCs w:val="20"/>
          <w:lang w:val="es-ES"/>
        </w:rPr>
        <w:t xml:space="preserve">mil </w:t>
      </w:r>
      <w:r w:rsidR="00F73247">
        <w:rPr>
          <w:sz w:val="26"/>
          <w:szCs w:val="20"/>
          <w:lang w:val="es-ES"/>
        </w:rPr>
        <w:t>1</w:t>
      </w:r>
      <w:r w:rsidR="00D445C9">
        <w:rPr>
          <w:sz w:val="26"/>
          <w:szCs w:val="20"/>
          <w:lang w:val="es-ES"/>
        </w:rPr>
        <w:t>8</w:t>
      </w:r>
      <w:r w:rsidR="00F73247">
        <w:rPr>
          <w:sz w:val="26"/>
          <w:szCs w:val="20"/>
          <w:lang w:val="es-ES"/>
        </w:rPr>
        <w:t>6</w:t>
      </w:r>
      <w:r w:rsidR="00D445C9">
        <w:rPr>
          <w:sz w:val="26"/>
          <w:szCs w:val="20"/>
          <w:lang w:val="es-ES"/>
        </w:rPr>
        <w:t xml:space="preserve"> </w:t>
      </w:r>
      <w:r w:rsidRPr="000E3A45">
        <w:rPr>
          <w:sz w:val="26"/>
          <w:szCs w:val="20"/>
          <w:lang w:val="es-ES"/>
        </w:rPr>
        <w:t>millones de dólares (1</w:t>
      </w:r>
      <w:r w:rsidR="002F6284">
        <w:rPr>
          <w:sz w:val="26"/>
          <w:szCs w:val="20"/>
          <w:lang w:val="es-ES"/>
        </w:rPr>
        <w:t>93</w:t>
      </w:r>
      <w:r w:rsidRPr="000E3A45">
        <w:rPr>
          <w:sz w:val="26"/>
          <w:szCs w:val="20"/>
          <w:lang w:val="es-ES"/>
        </w:rPr>
        <w:t xml:space="preserve"> mil 2</w:t>
      </w:r>
      <w:r w:rsidR="002F6284">
        <w:rPr>
          <w:sz w:val="26"/>
          <w:szCs w:val="20"/>
          <w:lang w:val="es-ES"/>
        </w:rPr>
        <w:t>39</w:t>
      </w:r>
      <w:r w:rsidRPr="000E3A45">
        <w:rPr>
          <w:sz w:val="26"/>
          <w:szCs w:val="20"/>
          <w:lang w:val="es-ES"/>
        </w:rPr>
        <w:t xml:space="preserve"> millones de dólares).</w:t>
      </w:r>
    </w:p>
    <w:p w14:paraId="4BA69C0C" w14:textId="334C712B" w:rsidR="00C90872" w:rsidRDefault="00B26EC9" w:rsidP="00B26EC9">
      <w:pPr>
        <w:tabs>
          <w:tab w:val="left" w:pos="9072"/>
        </w:tabs>
        <w:spacing w:after="360" w:line="360" w:lineRule="auto"/>
        <w:ind w:right="-159"/>
        <w:jc w:val="both"/>
        <w:rPr>
          <w:sz w:val="26"/>
          <w:lang w:val="es-ES"/>
        </w:rPr>
      </w:pPr>
      <w:r w:rsidRPr="000E3A45">
        <w:rPr>
          <w:sz w:val="26"/>
          <w:lang w:val="es-ES"/>
        </w:rPr>
        <w:t>La variación semanal en la reserva internacional de</w:t>
      </w:r>
      <w:r w:rsidR="00C90872" w:rsidRPr="000E3A45">
        <w:rPr>
          <w:sz w:val="26"/>
          <w:lang w:val="es-ES"/>
        </w:rPr>
        <w:t xml:space="preserve"> </w:t>
      </w:r>
      <w:r w:rsidR="00F73247">
        <w:rPr>
          <w:sz w:val="26"/>
          <w:lang w:val="es-ES"/>
        </w:rPr>
        <w:t>487</w:t>
      </w:r>
      <w:r w:rsidRPr="000E3A45">
        <w:rPr>
          <w:sz w:val="26"/>
          <w:lang w:val="es-ES"/>
        </w:rPr>
        <w:t xml:space="preserve"> millones de dólares fue resultado principalmente de</w:t>
      </w:r>
      <w:r w:rsidR="00F73247">
        <w:rPr>
          <w:sz w:val="26"/>
          <w:lang w:val="es-ES"/>
        </w:rPr>
        <w:t>:</w:t>
      </w:r>
    </w:p>
    <w:p w14:paraId="71E65B95" w14:textId="71E35E4D" w:rsidR="00F73247" w:rsidRPr="00F73247" w:rsidRDefault="00F73247" w:rsidP="00276F3E">
      <w:pPr>
        <w:pStyle w:val="Prrafodelista"/>
        <w:numPr>
          <w:ilvl w:val="0"/>
          <w:numId w:val="129"/>
        </w:numPr>
        <w:tabs>
          <w:tab w:val="left" w:pos="9072"/>
        </w:tabs>
        <w:spacing w:after="360" w:line="360" w:lineRule="auto"/>
        <w:ind w:left="714" w:right="-159" w:hanging="357"/>
        <w:jc w:val="both"/>
        <w:rPr>
          <w:rFonts w:ascii="Times New Roman" w:hAnsi="Times New Roman" w:cs="Times New Roman"/>
          <w:sz w:val="26"/>
          <w:lang w:val="es-ES"/>
        </w:rPr>
      </w:pPr>
      <w:r w:rsidRPr="00F73247">
        <w:rPr>
          <w:rFonts w:ascii="Times New Roman" w:hAnsi="Times New Roman" w:cs="Times New Roman"/>
          <w:sz w:val="26"/>
          <w:lang w:val="es-ES"/>
        </w:rPr>
        <w:t>La venta de dólares del Gobierno Federal al Banco de México por 785 millones de dóalres.</w:t>
      </w:r>
    </w:p>
    <w:p w14:paraId="1A81B979" w14:textId="70B34DD7" w:rsidR="00F73247" w:rsidRPr="00F73247" w:rsidRDefault="00F73247" w:rsidP="00276F3E">
      <w:pPr>
        <w:pStyle w:val="Prrafodelista"/>
        <w:numPr>
          <w:ilvl w:val="0"/>
          <w:numId w:val="129"/>
        </w:numPr>
        <w:tabs>
          <w:tab w:val="left" w:pos="9072"/>
        </w:tabs>
        <w:spacing w:after="360" w:line="360" w:lineRule="auto"/>
        <w:ind w:left="714" w:right="-159" w:hanging="357"/>
        <w:jc w:val="both"/>
        <w:rPr>
          <w:rFonts w:ascii="Times New Roman" w:hAnsi="Times New Roman" w:cs="Times New Roman"/>
          <w:sz w:val="26"/>
          <w:lang w:val="es-ES"/>
        </w:rPr>
      </w:pPr>
      <w:r w:rsidRPr="00F73247">
        <w:rPr>
          <w:rFonts w:ascii="Times New Roman" w:hAnsi="Times New Roman" w:cs="Times New Roman"/>
          <w:sz w:val="26"/>
          <w:lang w:val="es-ES"/>
        </w:rPr>
        <w:lastRenderedPageBreak/>
        <w:t>Una reducción de 156 millones de d</w:t>
      </w:r>
      <w:r w:rsidR="00AF4DFC">
        <w:rPr>
          <w:rFonts w:ascii="Times New Roman" w:hAnsi="Times New Roman" w:cs="Times New Roman"/>
          <w:sz w:val="26"/>
          <w:lang w:val="es-ES"/>
        </w:rPr>
        <w:t>ólares</w:t>
      </w:r>
      <w:r w:rsidRPr="00F73247">
        <w:rPr>
          <w:rFonts w:ascii="Times New Roman" w:hAnsi="Times New Roman" w:cs="Times New Roman"/>
          <w:sz w:val="26"/>
          <w:lang w:val="es-ES"/>
        </w:rPr>
        <w:t xml:space="preserve"> resultado de la asignación en las subastas diarias de dólares sin precio mínimo, conforme al mecanismo autorizado por la Comisión de Cambios</w:t>
      </w:r>
      <w:r w:rsidRPr="00F73247">
        <w:rPr>
          <w:rStyle w:val="Refdenotaalpie"/>
          <w:rFonts w:ascii="Times New Roman" w:hAnsi="Times New Roman" w:cs="Times New Roman"/>
          <w:sz w:val="26"/>
          <w:lang w:val="es-ES"/>
        </w:rPr>
        <w:footnoteReference w:id="117"/>
      </w:r>
      <w:r w:rsidRPr="00F73247">
        <w:rPr>
          <w:rFonts w:ascii="Times New Roman" w:hAnsi="Times New Roman" w:cs="Times New Roman"/>
          <w:sz w:val="26"/>
          <w:lang w:val="es-ES"/>
        </w:rPr>
        <w:t>.</w:t>
      </w:r>
    </w:p>
    <w:p w14:paraId="169E3DCA" w14:textId="5FC7DD1F" w:rsidR="00F73247" w:rsidRPr="00F73247" w:rsidRDefault="00F73247" w:rsidP="00276F3E">
      <w:pPr>
        <w:pStyle w:val="Prrafodelista"/>
        <w:numPr>
          <w:ilvl w:val="0"/>
          <w:numId w:val="129"/>
        </w:numPr>
        <w:tabs>
          <w:tab w:val="left" w:pos="9072"/>
        </w:tabs>
        <w:spacing w:after="360" w:line="360" w:lineRule="auto"/>
        <w:ind w:left="714" w:right="-159" w:hanging="357"/>
        <w:jc w:val="both"/>
        <w:rPr>
          <w:rFonts w:ascii="Times New Roman" w:hAnsi="Times New Roman" w:cs="Times New Roman"/>
          <w:sz w:val="26"/>
          <w:lang w:val="es-ES"/>
        </w:rPr>
      </w:pPr>
      <w:r w:rsidRPr="00F73247">
        <w:rPr>
          <w:rFonts w:ascii="Times New Roman" w:hAnsi="Times New Roman" w:cs="Times New Roman"/>
          <w:sz w:val="26"/>
          <w:lang w:val="es-ES"/>
        </w:rPr>
        <w:t>Una reducción de 142 millones de dólares resultado principalmente, del cambio en la valuación de los activos internacionales del Instituto Central.</w:t>
      </w:r>
    </w:p>
    <w:p w14:paraId="6CD2F075" w14:textId="560CE6E2" w:rsidR="00B26EC9" w:rsidRPr="000E3A45" w:rsidRDefault="00B26EC9" w:rsidP="00B26EC9">
      <w:pPr>
        <w:tabs>
          <w:tab w:val="left" w:pos="9072"/>
        </w:tabs>
        <w:spacing w:after="360" w:line="360" w:lineRule="auto"/>
        <w:ind w:right="-159"/>
        <w:jc w:val="both"/>
        <w:rPr>
          <w:sz w:val="26"/>
          <w:szCs w:val="20"/>
        </w:rPr>
      </w:pPr>
      <w:bookmarkStart w:id="16" w:name="OLE_LINK55"/>
      <w:bookmarkStart w:id="17" w:name="OLE_LINK56"/>
      <w:r w:rsidRPr="000E3A45">
        <w:rPr>
          <w:sz w:val="26"/>
          <w:szCs w:val="20"/>
          <w:lang w:val="es-ES"/>
        </w:rPr>
        <w:t xml:space="preserve">Asimismo, el aumento </w:t>
      </w:r>
      <w:r w:rsidRPr="000E3A45">
        <w:rPr>
          <w:sz w:val="26"/>
          <w:szCs w:val="20"/>
        </w:rPr>
        <w:t>en la reserva internacional del 31 de diciembre de 201</w:t>
      </w:r>
      <w:r w:rsidR="002F6284">
        <w:rPr>
          <w:sz w:val="26"/>
          <w:szCs w:val="20"/>
        </w:rPr>
        <w:t>4</w:t>
      </w:r>
      <w:r w:rsidRPr="000E3A45">
        <w:rPr>
          <w:sz w:val="26"/>
          <w:szCs w:val="20"/>
        </w:rPr>
        <w:t xml:space="preserve"> al 1</w:t>
      </w:r>
      <w:r w:rsidR="00D445C9">
        <w:rPr>
          <w:sz w:val="26"/>
          <w:szCs w:val="20"/>
        </w:rPr>
        <w:t>3</w:t>
      </w:r>
      <w:r w:rsidRPr="000E3A45">
        <w:rPr>
          <w:sz w:val="26"/>
          <w:szCs w:val="20"/>
        </w:rPr>
        <w:t xml:space="preserve"> de </w:t>
      </w:r>
      <w:r w:rsidR="00F73247">
        <w:rPr>
          <w:sz w:val="26"/>
          <w:szCs w:val="20"/>
        </w:rPr>
        <w:t>marzo</w:t>
      </w:r>
      <w:r w:rsidRPr="000E3A45">
        <w:rPr>
          <w:sz w:val="26"/>
          <w:szCs w:val="20"/>
        </w:rPr>
        <w:t xml:space="preserve"> de 201</w:t>
      </w:r>
      <w:r w:rsidR="002F6284">
        <w:rPr>
          <w:sz w:val="26"/>
          <w:szCs w:val="20"/>
        </w:rPr>
        <w:t>5</w:t>
      </w:r>
      <w:r w:rsidRPr="000E3A45">
        <w:rPr>
          <w:sz w:val="26"/>
          <w:szCs w:val="20"/>
        </w:rPr>
        <w:t xml:space="preserve"> (reserva bruta menos pasivos a menos de seis meses), se explicó por los siguientes factores:</w:t>
      </w:r>
    </w:p>
    <w:p w14:paraId="735FB76E" w14:textId="46605993" w:rsidR="00B26EC9" w:rsidRDefault="00B26EC9" w:rsidP="00B26EC9">
      <w:pPr>
        <w:pStyle w:val="Prrafodelista"/>
        <w:numPr>
          <w:ilvl w:val="0"/>
          <w:numId w:val="12"/>
        </w:numPr>
        <w:tabs>
          <w:tab w:val="left" w:pos="9072"/>
        </w:tabs>
        <w:spacing w:after="360" w:line="360" w:lineRule="auto"/>
        <w:ind w:right="-159"/>
        <w:jc w:val="both"/>
        <w:rPr>
          <w:rFonts w:ascii="Times New Roman" w:hAnsi="Times New Roman" w:cs="Times New Roman"/>
          <w:sz w:val="26"/>
          <w:lang w:val="es-ES"/>
        </w:rPr>
      </w:pPr>
      <w:r w:rsidRPr="000E3A45">
        <w:rPr>
          <w:rFonts w:ascii="Times New Roman" w:hAnsi="Times New Roman" w:cs="Times New Roman"/>
          <w:sz w:val="26"/>
          <w:lang w:val="es-ES"/>
        </w:rPr>
        <w:t xml:space="preserve">Ingresos por operaciones con Pemex por </w:t>
      </w:r>
      <w:r w:rsidR="00F73247">
        <w:rPr>
          <w:rFonts w:ascii="Times New Roman" w:hAnsi="Times New Roman" w:cs="Times New Roman"/>
          <w:sz w:val="26"/>
          <w:lang w:val="es-ES"/>
        </w:rPr>
        <w:t>3</w:t>
      </w:r>
      <w:r w:rsidR="00D445C9">
        <w:rPr>
          <w:rFonts w:ascii="Times New Roman" w:hAnsi="Times New Roman" w:cs="Times New Roman"/>
          <w:sz w:val="26"/>
          <w:lang w:val="es-ES"/>
        </w:rPr>
        <w:t xml:space="preserve"> mil </w:t>
      </w:r>
      <w:r w:rsidR="00F73247">
        <w:rPr>
          <w:rFonts w:ascii="Times New Roman" w:hAnsi="Times New Roman" w:cs="Times New Roman"/>
          <w:sz w:val="26"/>
          <w:lang w:val="es-ES"/>
        </w:rPr>
        <w:t>625</w:t>
      </w:r>
      <w:r w:rsidRPr="000E3A45">
        <w:rPr>
          <w:rFonts w:ascii="Times New Roman" w:hAnsi="Times New Roman" w:cs="Times New Roman"/>
          <w:sz w:val="26"/>
          <w:lang w:val="es-ES"/>
        </w:rPr>
        <w:t xml:space="preserve"> millones de dólares.</w:t>
      </w:r>
    </w:p>
    <w:p w14:paraId="6390E0BA" w14:textId="29BE29BE" w:rsidR="00D445C9" w:rsidRPr="000E3A45" w:rsidRDefault="00D445C9" w:rsidP="00D445C9">
      <w:pPr>
        <w:pStyle w:val="Prrafodelista"/>
        <w:numPr>
          <w:ilvl w:val="0"/>
          <w:numId w:val="12"/>
        </w:numPr>
        <w:tabs>
          <w:tab w:val="left" w:pos="9072"/>
        </w:tabs>
        <w:spacing w:after="360" w:line="360" w:lineRule="auto"/>
        <w:ind w:right="-159"/>
        <w:jc w:val="both"/>
        <w:rPr>
          <w:rFonts w:ascii="Times New Roman" w:hAnsi="Times New Roman" w:cs="Times New Roman"/>
          <w:sz w:val="26"/>
          <w:lang w:val="es-ES"/>
        </w:rPr>
      </w:pPr>
      <w:r w:rsidRPr="000E3A45">
        <w:rPr>
          <w:rFonts w:ascii="Times New Roman" w:hAnsi="Times New Roman" w:cs="Times New Roman"/>
          <w:sz w:val="26"/>
          <w:lang w:val="es-ES"/>
        </w:rPr>
        <w:t xml:space="preserve">Egresos por operaciones del Gobierno Federal por </w:t>
      </w:r>
      <w:r w:rsidR="00F73247">
        <w:rPr>
          <w:rFonts w:ascii="Times New Roman" w:hAnsi="Times New Roman" w:cs="Times New Roman"/>
          <w:sz w:val="26"/>
          <w:lang w:val="es-ES"/>
        </w:rPr>
        <w:t>166</w:t>
      </w:r>
      <w:r w:rsidRPr="000E3A45">
        <w:rPr>
          <w:rFonts w:ascii="Times New Roman" w:hAnsi="Times New Roman" w:cs="Times New Roman"/>
          <w:sz w:val="26"/>
          <w:lang w:val="es-ES"/>
        </w:rPr>
        <w:t xml:space="preserve"> millones de dólares.</w:t>
      </w:r>
    </w:p>
    <w:p w14:paraId="117AB9C5" w14:textId="302A114D" w:rsidR="00273DF3" w:rsidRDefault="00273DF3" w:rsidP="00273DF3">
      <w:pPr>
        <w:pStyle w:val="Prrafodelista"/>
        <w:numPr>
          <w:ilvl w:val="0"/>
          <w:numId w:val="12"/>
        </w:numPr>
        <w:tabs>
          <w:tab w:val="left" w:pos="9072"/>
        </w:tabs>
        <w:spacing w:after="360" w:line="360" w:lineRule="auto"/>
        <w:ind w:right="-159"/>
        <w:jc w:val="both"/>
        <w:rPr>
          <w:rFonts w:ascii="Times New Roman" w:hAnsi="Times New Roman" w:cs="Times New Roman"/>
          <w:sz w:val="26"/>
          <w:lang w:val="es-ES"/>
        </w:rPr>
      </w:pPr>
      <w:r w:rsidRPr="000E3A45">
        <w:rPr>
          <w:rFonts w:ascii="Times New Roman" w:hAnsi="Times New Roman" w:cs="Times New Roman"/>
          <w:sz w:val="26"/>
          <w:lang w:val="es-ES"/>
        </w:rPr>
        <w:t xml:space="preserve">Otros </w:t>
      </w:r>
      <w:r w:rsidR="00D445C9">
        <w:rPr>
          <w:rFonts w:ascii="Times New Roman" w:hAnsi="Times New Roman" w:cs="Times New Roman"/>
          <w:sz w:val="26"/>
          <w:lang w:val="es-ES"/>
        </w:rPr>
        <w:t>egresos</w:t>
      </w:r>
      <w:r w:rsidRPr="000E3A45">
        <w:rPr>
          <w:rFonts w:ascii="Times New Roman" w:hAnsi="Times New Roman" w:cs="Times New Roman"/>
          <w:sz w:val="26"/>
          <w:lang w:val="es-ES"/>
        </w:rPr>
        <w:t xml:space="preserve"> por </w:t>
      </w:r>
      <w:r w:rsidR="00F73247">
        <w:rPr>
          <w:rFonts w:ascii="Times New Roman" w:hAnsi="Times New Roman" w:cs="Times New Roman"/>
          <w:sz w:val="26"/>
          <w:lang w:val="es-ES"/>
        </w:rPr>
        <w:t>1 mil 206</w:t>
      </w:r>
      <w:r w:rsidRPr="000E3A45">
        <w:rPr>
          <w:rFonts w:ascii="Times New Roman" w:hAnsi="Times New Roman" w:cs="Times New Roman"/>
          <w:sz w:val="26"/>
          <w:lang w:val="es-ES"/>
        </w:rPr>
        <w:t xml:space="preserve"> millones de dólares.</w:t>
      </w:r>
    </w:p>
    <w:p w14:paraId="5712E7F6" w14:textId="4A5E50F0" w:rsidR="00F73247" w:rsidRPr="000E3A45" w:rsidRDefault="00F73247" w:rsidP="00273DF3">
      <w:pPr>
        <w:pStyle w:val="Prrafodelista"/>
        <w:numPr>
          <w:ilvl w:val="0"/>
          <w:numId w:val="12"/>
        </w:numPr>
        <w:tabs>
          <w:tab w:val="left" w:pos="9072"/>
        </w:tabs>
        <w:spacing w:after="360" w:line="360" w:lineRule="auto"/>
        <w:ind w:right="-159"/>
        <w:jc w:val="both"/>
        <w:rPr>
          <w:rFonts w:ascii="Times New Roman" w:hAnsi="Times New Roman" w:cs="Times New Roman"/>
          <w:sz w:val="26"/>
          <w:lang w:val="es-ES"/>
        </w:rPr>
      </w:pPr>
      <w:r>
        <w:rPr>
          <w:rFonts w:ascii="Times New Roman" w:hAnsi="Times New Roman" w:cs="Times New Roman"/>
          <w:sz w:val="26"/>
          <w:lang w:val="es-ES"/>
        </w:rPr>
        <w:t>Operaciones de Mercado por 252 millones de dólares</w:t>
      </w:r>
      <w:r>
        <w:rPr>
          <w:rStyle w:val="Refdenotaalpie"/>
          <w:rFonts w:ascii="Times New Roman" w:hAnsi="Times New Roman" w:cs="Times New Roman"/>
          <w:sz w:val="26"/>
          <w:lang w:val="es-ES"/>
        </w:rPr>
        <w:footnoteReference w:id="118"/>
      </w:r>
      <w:r>
        <w:rPr>
          <w:rFonts w:ascii="Times New Roman" w:hAnsi="Times New Roman" w:cs="Times New Roman"/>
          <w:sz w:val="26"/>
          <w:lang w:val="es-ES"/>
        </w:rPr>
        <w:t>.</w:t>
      </w:r>
    </w:p>
    <w:p w14:paraId="3D069F57" w14:textId="76D45218" w:rsidR="00B26EC9" w:rsidRPr="007F48C4" w:rsidRDefault="00273DF3" w:rsidP="00B26EC9">
      <w:pPr>
        <w:pStyle w:val="Prrafodelista"/>
        <w:numPr>
          <w:ilvl w:val="0"/>
          <w:numId w:val="12"/>
        </w:numPr>
        <w:tabs>
          <w:tab w:val="left" w:pos="9072"/>
        </w:tabs>
        <w:spacing w:after="360" w:line="360" w:lineRule="auto"/>
        <w:ind w:right="-159"/>
        <w:jc w:val="both"/>
        <w:rPr>
          <w:rFonts w:ascii="Times New Roman" w:hAnsi="Times New Roman" w:cs="Times New Roman"/>
          <w:sz w:val="26"/>
          <w:lang w:val="es-ES"/>
        </w:rPr>
      </w:pPr>
      <w:r w:rsidRPr="000E3A45">
        <w:rPr>
          <w:rFonts w:ascii="Times New Roman" w:hAnsi="Times New Roman" w:cs="Times New Roman"/>
          <w:sz w:val="26"/>
          <w:lang w:val="es-ES"/>
        </w:rPr>
        <w:t>E</w:t>
      </w:r>
      <w:r w:rsidR="00E83CD9" w:rsidRPr="000E3A45">
        <w:rPr>
          <w:rFonts w:ascii="Times New Roman" w:hAnsi="Times New Roman" w:cs="Times New Roman"/>
          <w:sz w:val="26"/>
          <w:lang w:val="es-ES"/>
        </w:rPr>
        <w:t>gresos</w:t>
      </w:r>
      <w:r w:rsidR="00B26EC9" w:rsidRPr="000E3A45">
        <w:rPr>
          <w:rFonts w:ascii="Times New Roman" w:hAnsi="Times New Roman" w:cs="Times New Roman"/>
          <w:sz w:val="26"/>
          <w:lang w:val="es-ES"/>
        </w:rPr>
        <w:t xml:space="preserve"> por pasivos a menos de seis meses que se componen principalmente por las cuentas corrientes en moneda extranjera del Gobierno Federal y Pemex p</w:t>
      </w:r>
      <w:r w:rsidR="00B26EC9" w:rsidRPr="000E3A45">
        <w:rPr>
          <w:rFonts w:ascii="Times New Roman" w:hAnsi="Times New Roman" w:cs="Times New Roman"/>
          <w:sz w:val="26"/>
          <w:szCs w:val="26"/>
          <w:lang w:val="es-ES"/>
        </w:rPr>
        <w:t xml:space="preserve">or </w:t>
      </w:r>
      <w:r w:rsidR="00F73247">
        <w:rPr>
          <w:rFonts w:ascii="Times New Roman" w:hAnsi="Times New Roman" w:cs="Times New Roman"/>
          <w:sz w:val="26"/>
          <w:szCs w:val="26"/>
          <w:lang w:val="es-ES"/>
        </w:rPr>
        <w:t>186</w:t>
      </w:r>
      <w:r w:rsidR="00B26EC9" w:rsidRPr="000E3A45">
        <w:rPr>
          <w:rFonts w:ascii="Times New Roman" w:hAnsi="Times New Roman" w:cs="Times New Roman"/>
          <w:sz w:val="26"/>
          <w:szCs w:val="26"/>
          <w:lang w:val="es-ES"/>
        </w:rPr>
        <w:t xml:space="preserve"> millones de dólares.</w:t>
      </w:r>
    </w:p>
    <w:tbl>
      <w:tblPr>
        <w:tblW w:w="8215" w:type="dxa"/>
        <w:jc w:val="center"/>
        <w:tblLook w:val="0000" w:firstRow="0" w:lastRow="0" w:firstColumn="0" w:lastColumn="0" w:noHBand="0" w:noVBand="0"/>
      </w:tblPr>
      <w:tblGrid>
        <w:gridCol w:w="1510"/>
        <w:gridCol w:w="1266"/>
        <w:gridCol w:w="1004"/>
        <w:gridCol w:w="1004"/>
        <w:gridCol w:w="1010"/>
        <w:gridCol w:w="1107"/>
        <w:gridCol w:w="1314"/>
      </w:tblGrid>
      <w:tr w:rsidR="00B26EC9" w:rsidRPr="000E3A45" w14:paraId="5354BC7A" w14:textId="77777777" w:rsidTr="00E329D8">
        <w:trPr>
          <w:jc w:val="center"/>
        </w:trPr>
        <w:tc>
          <w:tcPr>
            <w:tcW w:w="8215" w:type="dxa"/>
            <w:gridSpan w:val="7"/>
          </w:tcPr>
          <w:bookmarkEnd w:id="16"/>
          <w:bookmarkEnd w:id="17"/>
          <w:p w14:paraId="421BAA7E" w14:textId="77777777" w:rsidR="00B26EC9" w:rsidRPr="000E3A45" w:rsidRDefault="00B26EC9" w:rsidP="00611131">
            <w:pPr>
              <w:jc w:val="center"/>
              <w:rPr>
                <w:b/>
                <w:sz w:val="22"/>
                <w:szCs w:val="22"/>
                <w:lang w:val="es-ES"/>
              </w:rPr>
            </w:pPr>
            <w:r w:rsidRPr="000E3A45">
              <w:rPr>
                <w:b/>
                <w:sz w:val="22"/>
                <w:szCs w:val="22"/>
                <w:lang w:val="es-ES"/>
              </w:rPr>
              <w:lastRenderedPageBreak/>
              <w:t>RESERVA INTERNACIONAL</w:t>
            </w:r>
            <w:r w:rsidRPr="000E3A45">
              <w:rPr>
                <w:sz w:val="18"/>
                <w:szCs w:val="18"/>
                <w:u w:val="single"/>
                <w:vertAlign w:val="superscript"/>
              </w:rPr>
              <w:t>1</w:t>
            </w:r>
            <w:r w:rsidRPr="000E3A45">
              <w:rPr>
                <w:sz w:val="18"/>
                <w:szCs w:val="18"/>
                <w:vertAlign w:val="superscript"/>
              </w:rPr>
              <w:t>/</w:t>
            </w:r>
          </w:p>
          <w:p w14:paraId="3A686E1A" w14:textId="77777777" w:rsidR="00B26EC9" w:rsidRPr="000E3A45" w:rsidRDefault="00B26EC9" w:rsidP="00611131">
            <w:pPr>
              <w:spacing w:after="60"/>
              <w:jc w:val="center"/>
              <w:rPr>
                <w:b/>
                <w:sz w:val="18"/>
                <w:szCs w:val="18"/>
              </w:rPr>
            </w:pPr>
            <w:r w:rsidRPr="000E3A45">
              <w:rPr>
                <w:b/>
                <w:sz w:val="22"/>
                <w:szCs w:val="22"/>
                <w:lang w:val="es-ES"/>
              </w:rPr>
              <w:t>- Cifras en millones de dólares -</w:t>
            </w:r>
          </w:p>
        </w:tc>
      </w:tr>
      <w:tr w:rsidR="00BB6CBD" w:rsidRPr="000E3A45" w14:paraId="0D26E680" w14:textId="77777777" w:rsidTr="00BB6CBD">
        <w:trPr>
          <w:jc w:val="center"/>
        </w:trPr>
        <w:tc>
          <w:tcPr>
            <w:tcW w:w="1510" w:type="dxa"/>
            <w:vMerge w:val="restart"/>
            <w:tcBorders>
              <w:top w:val="single" w:sz="4" w:space="0" w:color="auto"/>
              <w:left w:val="single" w:sz="4" w:space="0" w:color="auto"/>
              <w:right w:val="single" w:sz="4" w:space="0" w:color="auto"/>
            </w:tcBorders>
            <w:vAlign w:val="center"/>
          </w:tcPr>
          <w:p w14:paraId="74CF76C6" w14:textId="77777777" w:rsidR="00BB6CBD" w:rsidRPr="000E3A45" w:rsidRDefault="00BB6CBD" w:rsidP="00611131">
            <w:pPr>
              <w:spacing w:before="240"/>
              <w:jc w:val="center"/>
              <w:rPr>
                <w:b/>
                <w:sz w:val="18"/>
                <w:szCs w:val="18"/>
              </w:rPr>
            </w:pPr>
            <w:r w:rsidRPr="000E3A45">
              <w:rPr>
                <w:b/>
                <w:sz w:val="18"/>
                <w:szCs w:val="18"/>
              </w:rPr>
              <w:t>Concepto</w:t>
            </w:r>
          </w:p>
        </w:tc>
        <w:tc>
          <w:tcPr>
            <w:tcW w:w="1266" w:type="dxa"/>
            <w:tcBorders>
              <w:top w:val="single" w:sz="4" w:space="0" w:color="auto"/>
              <w:left w:val="single" w:sz="4" w:space="0" w:color="auto"/>
              <w:bottom w:val="single" w:sz="4" w:space="0" w:color="auto"/>
              <w:right w:val="single" w:sz="4" w:space="0" w:color="auto"/>
            </w:tcBorders>
          </w:tcPr>
          <w:p w14:paraId="09801036" w14:textId="77777777" w:rsidR="00BB6CBD" w:rsidRPr="000E3A45" w:rsidRDefault="00BB6CBD" w:rsidP="00611131">
            <w:pPr>
              <w:jc w:val="center"/>
              <w:rPr>
                <w:b/>
                <w:sz w:val="18"/>
                <w:szCs w:val="18"/>
              </w:rPr>
            </w:pPr>
            <w:r w:rsidRPr="000E3A45">
              <w:rPr>
                <w:b/>
                <w:sz w:val="18"/>
                <w:szCs w:val="18"/>
              </w:rPr>
              <w:t>2013</w:t>
            </w:r>
          </w:p>
        </w:tc>
        <w:tc>
          <w:tcPr>
            <w:tcW w:w="2008" w:type="dxa"/>
            <w:gridSpan w:val="2"/>
            <w:tcBorders>
              <w:top w:val="single" w:sz="4" w:space="0" w:color="auto"/>
              <w:left w:val="single" w:sz="4" w:space="0" w:color="auto"/>
              <w:bottom w:val="single" w:sz="4" w:space="0" w:color="auto"/>
              <w:right w:val="single" w:sz="4" w:space="0" w:color="auto"/>
            </w:tcBorders>
          </w:tcPr>
          <w:p w14:paraId="4A4955EE" w14:textId="0A864856" w:rsidR="00BB6CBD" w:rsidRPr="000E3A45" w:rsidRDefault="00BB6CBD" w:rsidP="00611131">
            <w:pPr>
              <w:jc w:val="center"/>
              <w:rPr>
                <w:b/>
                <w:sz w:val="18"/>
                <w:szCs w:val="18"/>
              </w:rPr>
            </w:pPr>
            <w:r w:rsidRPr="000E3A45">
              <w:rPr>
                <w:b/>
                <w:sz w:val="18"/>
                <w:szCs w:val="18"/>
              </w:rPr>
              <w:t>2014</w:t>
            </w:r>
          </w:p>
        </w:tc>
        <w:tc>
          <w:tcPr>
            <w:tcW w:w="2117" w:type="dxa"/>
            <w:gridSpan w:val="2"/>
            <w:tcBorders>
              <w:top w:val="single" w:sz="4" w:space="0" w:color="auto"/>
              <w:left w:val="single" w:sz="4" w:space="0" w:color="auto"/>
              <w:bottom w:val="single" w:sz="4" w:space="0" w:color="auto"/>
              <w:right w:val="single" w:sz="4" w:space="0" w:color="auto"/>
            </w:tcBorders>
          </w:tcPr>
          <w:p w14:paraId="383EE191" w14:textId="0F61A781" w:rsidR="00BB6CBD" w:rsidRPr="000E3A45" w:rsidRDefault="00BB6CBD" w:rsidP="00611131">
            <w:pPr>
              <w:jc w:val="center"/>
              <w:rPr>
                <w:b/>
                <w:sz w:val="18"/>
                <w:szCs w:val="18"/>
              </w:rPr>
            </w:pPr>
            <w:r>
              <w:rPr>
                <w:b/>
                <w:sz w:val="18"/>
                <w:szCs w:val="18"/>
              </w:rPr>
              <w:t>2015</w:t>
            </w:r>
          </w:p>
        </w:tc>
        <w:tc>
          <w:tcPr>
            <w:tcW w:w="1314" w:type="dxa"/>
            <w:tcBorders>
              <w:top w:val="single" w:sz="4" w:space="0" w:color="auto"/>
              <w:left w:val="single" w:sz="4" w:space="0" w:color="auto"/>
              <w:right w:val="single" w:sz="4" w:space="0" w:color="auto"/>
            </w:tcBorders>
          </w:tcPr>
          <w:p w14:paraId="5F605197" w14:textId="77777777" w:rsidR="00BB6CBD" w:rsidRPr="000E3A45" w:rsidRDefault="00BB6CBD" w:rsidP="00611131">
            <w:pPr>
              <w:jc w:val="center"/>
              <w:rPr>
                <w:b/>
                <w:sz w:val="18"/>
                <w:szCs w:val="18"/>
              </w:rPr>
            </w:pPr>
            <w:r w:rsidRPr="000E3A45">
              <w:rPr>
                <w:b/>
                <w:sz w:val="18"/>
                <w:szCs w:val="18"/>
              </w:rPr>
              <w:t>Variación</w:t>
            </w:r>
          </w:p>
        </w:tc>
      </w:tr>
      <w:tr w:rsidR="00F603D9" w:rsidRPr="000E3A45" w14:paraId="0C00B8C0" w14:textId="77777777" w:rsidTr="00E329D8">
        <w:trPr>
          <w:jc w:val="center"/>
        </w:trPr>
        <w:tc>
          <w:tcPr>
            <w:tcW w:w="1510" w:type="dxa"/>
            <w:vMerge/>
            <w:tcBorders>
              <w:left w:val="single" w:sz="4" w:space="0" w:color="auto"/>
              <w:bottom w:val="single" w:sz="4" w:space="0" w:color="auto"/>
              <w:right w:val="single" w:sz="4" w:space="0" w:color="auto"/>
            </w:tcBorders>
          </w:tcPr>
          <w:p w14:paraId="28656B68" w14:textId="77777777" w:rsidR="00F603D9" w:rsidRPr="000E3A45" w:rsidRDefault="00F603D9" w:rsidP="00F603D9">
            <w:pPr>
              <w:spacing w:before="240"/>
              <w:jc w:val="center"/>
              <w:rPr>
                <w:b/>
                <w:sz w:val="18"/>
                <w:szCs w:val="18"/>
              </w:rPr>
            </w:pPr>
          </w:p>
        </w:tc>
        <w:tc>
          <w:tcPr>
            <w:tcW w:w="1266" w:type="dxa"/>
            <w:tcBorders>
              <w:left w:val="single" w:sz="4" w:space="0" w:color="auto"/>
              <w:bottom w:val="single" w:sz="4" w:space="0" w:color="auto"/>
              <w:right w:val="single" w:sz="4" w:space="0" w:color="auto"/>
            </w:tcBorders>
          </w:tcPr>
          <w:p w14:paraId="55D64361" w14:textId="77777777" w:rsidR="00F603D9" w:rsidRPr="000E3A45" w:rsidRDefault="00F603D9" w:rsidP="00F603D9">
            <w:pPr>
              <w:spacing w:before="240"/>
              <w:jc w:val="center"/>
              <w:rPr>
                <w:b/>
                <w:sz w:val="18"/>
                <w:szCs w:val="18"/>
              </w:rPr>
            </w:pPr>
            <w:r w:rsidRPr="000E3A45">
              <w:rPr>
                <w:b/>
                <w:sz w:val="18"/>
                <w:szCs w:val="18"/>
              </w:rPr>
              <w:t>31/Dic.</w:t>
            </w:r>
          </w:p>
        </w:tc>
        <w:tc>
          <w:tcPr>
            <w:tcW w:w="1004" w:type="dxa"/>
            <w:tcBorders>
              <w:left w:val="single" w:sz="4" w:space="0" w:color="auto"/>
              <w:bottom w:val="single" w:sz="4" w:space="0" w:color="auto"/>
              <w:right w:val="single" w:sz="4" w:space="0" w:color="auto"/>
            </w:tcBorders>
          </w:tcPr>
          <w:p w14:paraId="17E3CED6" w14:textId="0679678F" w:rsidR="00F603D9" w:rsidRPr="000E3A45" w:rsidRDefault="00F603D9" w:rsidP="00F603D9">
            <w:pPr>
              <w:spacing w:before="240"/>
              <w:jc w:val="center"/>
              <w:rPr>
                <w:b/>
                <w:sz w:val="18"/>
                <w:szCs w:val="18"/>
              </w:rPr>
            </w:pPr>
            <w:r w:rsidRPr="000E3A45">
              <w:rPr>
                <w:b/>
                <w:sz w:val="18"/>
                <w:szCs w:val="18"/>
              </w:rPr>
              <w:t>31/Dic.</w:t>
            </w:r>
          </w:p>
        </w:tc>
        <w:tc>
          <w:tcPr>
            <w:tcW w:w="1004" w:type="dxa"/>
            <w:tcBorders>
              <w:left w:val="single" w:sz="4" w:space="0" w:color="auto"/>
              <w:bottom w:val="single" w:sz="4" w:space="0" w:color="auto"/>
              <w:right w:val="single" w:sz="4" w:space="0" w:color="auto"/>
            </w:tcBorders>
          </w:tcPr>
          <w:p w14:paraId="19829F1E" w14:textId="7A868408" w:rsidR="00F603D9" w:rsidRPr="000E3A45" w:rsidRDefault="00F603D9" w:rsidP="00F603D9">
            <w:pPr>
              <w:spacing w:before="240"/>
              <w:jc w:val="center"/>
              <w:rPr>
                <w:b/>
                <w:sz w:val="18"/>
                <w:szCs w:val="18"/>
              </w:rPr>
            </w:pPr>
            <w:r>
              <w:rPr>
                <w:b/>
                <w:sz w:val="18"/>
                <w:szCs w:val="18"/>
              </w:rPr>
              <w:t>30</w:t>
            </w:r>
            <w:r w:rsidRPr="000E3A45">
              <w:rPr>
                <w:b/>
                <w:sz w:val="18"/>
                <w:szCs w:val="18"/>
              </w:rPr>
              <w:t>/Ene.</w:t>
            </w:r>
          </w:p>
        </w:tc>
        <w:tc>
          <w:tcPr>
            <w:tcW w:w="1010" w:type="dxa"/>
            <w:tcBorders>
              <w:left w:val="single" w:sz="4" w:space="0" w:color="auto"/>
              <w:bottom w:val="single" w:sz="4" w:space="0" w:color="auto"/>
              <w:right w:val="single" w:sz="4" w:space="0" w:color="auto"/>
            </w:tcBorders>
          </w:tcPr>
          <w:p w14:paraId="431EFE4A" w14:textId="7008693A" w:rsidR="00F603D9" w:rsidRPr="000E3A45" w:rsidRDefault="00F603D9" w:rsidP="00F603D9">
            <w:pPr>
              <w:spacing w:before="240"/>
              <w:jc w:val="center"/>
              <w:rPr>
                <w:b/>
                <w:sz w:val="18"/>
                <w:szCs w:val="18"/>
              </w:rPr>
            </w:pPr>
            <w:r>
              <w:rPr>
                <w:b/>
                <w:sz w:val="18"/>
                <w:szCs w:val="18"/>
              </w:rPr>
              <w:t>27/Feb.</w:t>
            </w:r>
          </w:p>
        </w:tc>
        <w:tc>
          <w:tcPr>
            <w:tcW w:w="1107" w:type="dxa"/>
            <w:tcBorders>
              <w:left w:val="single" w:sz="4" w:space="0" w:color="auto"/>
              <w:bottom w:val="single" w:sz="4" w:space="0" w:color="auto"/>
              <w:right w:val="single" w:sz="4" w:space="0" w:color="auto"/>
            </w:tcBorders>
          </w:tcPr>
          <w:p w14:paraId="170E4629" w14:textId="0E4B9337" w:rsidR="00F603D9" w:rsidRPr="000E3A45" w:rsidRDefault="00F603D9" w:rsidP="00B75DE2">
            <w:pPr>
              <w:spacing w:before="240"/>
              <w:jc w:val="center"/>
              <w:rPr>
                <w:b/>
                <w:sz w:val="18"/>
                <w:szCs w:val="18"/>
              </w:rPr>
            </w:pPr>
            <w:r>
              <w:rPr>
                <w:b/>
                <w:sz w:val="18"/>
                <w:szCs w:val="18"/>
              </w:rPr>
              <w:t>1</w:t>
            </w:r>
            <w:r w:rsidR="00B75DE2">
              <w:rPr>
                <w:b/>
                <w:sz w:val="18"/>
                <w:szCs w:val="18"/>
              </w:rPr>
              <w:t>3</w:t>
            </w:r>
            <w:r>
              <w:rPr>
                <w:b/>
                <w:sz w:val="18"/>
                <w:szCs w:val="18"/>
              </w:rPr>
              <w:t>/Mar.</w:t>
            </w:r>
          </w:p>
        </w:tc>
        <w:tc>
          <w:tcPr>
            <w:tcW w:w="1314" w:type="dxa"/>
            <w:tcBorders>
              <w:left w:val="single" w:sz="4" w:space="0" w:color="auto"/>
              <w:bottom w:val="single" w:sz="4" w:space="0" w:color="auto"/>
              <w:right w:val="single" w:sz="4" w:space="0" w:color="auto"/>
            </w:tcBorders>
          </w:tcPr>
          <w:p w14:paraId="19A64E3E" w14:textId="77777777" w:rsidR="00F603D9" w:rsidRPr="000E3A45" w:rsidRDefault="00F603D9" w:rsidP="00F603D9">
            <w:pPr>
              <w:jc w:val="center"/>
              <w:rPr>
                <w:b/>
                <w:sz w:val="18"/>
                <w:szCs w:val="18"/>
              </w:rPr>
            </w:pPr>
            <w:r w:rsidRPr="000E3A45">
              <w:rPr>
                <w:b/>
                <w:sz w:val="18"/>
                <w:szCs w:val="18"/>
              </w:rPr>
              <w:t>%</w:t>
            </w:r>
          </w:p>
          <w:p w14:paraId="1C144E9B" w14:textId="3F6311EB" w:rsidR="00F603D9" w:rsidRPr="000E3A45" w:rsidRDefault="00F603D9" w:rsidP="00F603D9">
            <w:pPr>
              <w:jc w:val="center"/>
              <w:rPr>
                <w:b/>
                <w:sz w:val="18"/>
                <w:szCs w:val="18"/>
              </w:rPr>
            </w:pPr>
            <w:r w:rsidRPr="000E3A45">
              <w:rPr>
                <w:b/>
                <w:sz w:val="18"/>
                <w:szCs w:val="18"/>
              </w:rPr>
              <w:t>1</w:t>
            </w:r>
            <w:r w:rsidR="00B75DE2">
              <w:rPr>
                <w:b/>
                <w:sz w:val="18"/>
                <w:szCs w:val="18"/>
              </w:rPr>
              <w:t>3</w:t>
            </w:r>
            <w:r w:rsidRPr="000E3A45">
              <w:rPr>
                <w:b/>
                <w:sz w:val="18"/>
                <w:szCs w:val="18"/>
              </w:rPr>
              <w:t>/</w:t>
            </w:r>
            <w:r>
              <w:rPr>
                <w:b/>
                <w:sz w:val="18"/>
                <w:szCs w:val="18"/>
              </w:rPr>
              <w:t>Mar</w:t>
            </w:r>
            <w:r w:rsidRPr="000E3A45">
              <w:rPr>
                <w:b/>
                <w:sz w:val="18"/>
                <w:szCs w:val="18"/>
              </w:rPr>
              <w:t>./2015</w:t>
            </w:r>
          </w:p>
          <w:p w14:paraId="52185EFC" w14:textId="428AED98" w:rsidR="00F603D9" w:rsidRPr="000E3A45" w:rsidRDefault="00F603D9" w:rsidP="00F603D9">
            <w:pPr>
              <w:jc w:val="center"/>
              <w:rPr>
                <w:b/>
                <w:sz w:val="18"/>
                <w:szCs w:val="18"/>
              </w:rPr>
            </w:pPr>
            <w:r w:rsidRPr="000E3A45">
              <w:rPr>
                <w:b/>
                <w:sz w:val="18"/>
                <w:szCs w:val="18"/>
              </w:rPr>
              <w:t>31/Dic./2014</w:t>
            </w:r>
          </w:p>
        </w:tc>
      </w:tr>
      <w:tr w:rsidR="00F603D9" w:rsidRPr="000E3A45" w14:paraId="0644B666" w14:textId="77777777" w:rsidTr="00E329D8">
        <w:trPr>
          <w:jc w:val="center"/>
        </w:trPr>
        <w:tc>
          <w:tcPr>
            <w:tcW w:w="1510" w:type="dxa"/>
            <w:tcBorders>
              <w:left w:val="single" w:sz="4" w:space="0" w:color="auto"/>
              <w:right w:val="single" w:sz="4" w:space="0" w:color="auto"/>
            </w:tcBorders>
          </w:tcPr>
          <w:p w14:paraId="12BC5101" w14:textId="77777777" w:rsidR="00F603D9" w:rsidRPr="000E3A45" w:rsidRDefault="00F603D9" w:rsidP="00F603D9">
            <w:pPr>
              <w:rPr>
                <w:sz w:val="18"/>
                <w:szCs w:val="18"/>
              </w:rPr>
            </w:pPr>
            <w:bookmarkStart w:id="18" w:name="_Hlk52092346"/>
            <w:bookmarkStart w:id="19" w:name="_Hlk38791944"/>
            <w:r w:rsidRPr="000E3A45">
              <w:rPr>
                <w:sz w:val="18"/>
                <w:szCs w:val="18"/>
              </w:rPr>
              <w:t>(A) Reserva internacional (dólares)</w:t>
            </w:r>
            <w:r w:rsidRPr="000E3A45">
              <w:rPr>
                <w:sz w:val="18"/>
                <w:szCs w:val="18"/>
                <w:u w:val="single"/>
                <w:vertAlign w:val="superscript"/>
              </w:rPr>
              <w:t>2</w:t>
            </w:r>
            <w:r w:rsidRPr="000E3A45">
              <w:rPr>
                <w:sz w:val="18"/>
                <w:szCs w:val="18"/>
                <w:vertAlign w:val="superscript"/>
              </w:rPr>
              <w:t>/</w:t>
            </w:r>
          </w:p>
        </w:tc>
        <w:tc>
          <w:tcPr>
            <w:tcW w:w="1266" w:type="dxa"/>
            <w:tcBorders>
              <w:left w:val="single" w:sz="4" w:space="0" w:color="auto"/>
              <w:right w:val="single" w:sz="4" w:space="0" w:color="auto"/>
            </w:tcBorders>
            <w:vAlign w:val="center"/>
          </w:tcPr>
          <w:p w14:paraId="5D7C5021" w14:textId="77777777" w:rsidR="00F603D9" w:rsidRPr="000E3A45" w:rsidRDefault="00F603D9" w:rsidP="00F603D9">
            <w:pPr>
              <w:ind w:right="227"/>
              <w:jc w:val="right"/>
              <w:rPr>
                <w:sz w:val="18"/>
                <w:szCs w:val="18"/>
              </w:rPr>
            </w:pPr>
            <w:r w:rsidRPr="000E3A45">
              <w:rPr>
                <w:sz w:val="18"/>
                <w:szCs w:val="18"/>
              </w:rPr>
              <w:t>176 522</w:t>
            </w:r>
          </w:p>
        </w:tc>
        <w:tc>
          <w:tcPr>
            <w:tcW w:w="1004" w:type="dxa"/>
            <w:tcBorders>
              <w:left w:val="single" w:sz="4" w:space="0" w:color="auto"/>
              <w:right w:val="single" w:sz="4" w:space="0" w:color="auto"/>
            </w:tcBorders>
            <w:vAlign w:val="center"/>
          </w:tcPr>
          <w:p w14:paraId="051AE7BF" w14:textId="06A9F3DB" w:rsidR="00F603D9" w:rsidRPr="000E3A45" w:rsidRDefault="00F603D9" w:rsidP="00F603D9">
            <w:pPr>
              <w:ind w:right="113"/>
              <w:jc w:val="right"/>
              <w:rPr>
                <w:sz w:val="18"/>
                <w:szCs w:val="18"/>
              </w:rPr>
            </w:pPr>
            <w:r w:rsidRPr="000E3A45">
              <w:rPr>
                <w:sz w:val="18"/>
                <w:szCs w:val="18"/>
              </w:rPr>
              <w:t>193 239</w:t>
            </w:r>
          </w:p>
        </w:tc>
        <w:tc>
          <w:tcPr>
            <w:tcW w:w="1004" w:type="dxa"/>
            <w:tcBorders>
              <w:left w:val="single" w:sz="4" w:space="0" w:color="auto"/>
              <w:right w:val="single" w:sz="4" w:space="0" w:color="auto"/>
            </w:tcBorders>
            <w:vAlign w:val="center"/>
          </w:tcPr>
          <w:p w14:paraId="7439311F" w14:textId="40FCCAC3" w:rsidR="00F603D9" w:rsidRPr="000E3A45" w:rsidRDefault="00F603D9" w:rsidP="00F603D9">
            <w:pPr>
              <w:ind w:right="113"/>
              <w:jc w:val="right"/>
              <w:rPr>
                <w:sz w:val="18"/>
                <w:szCs w:val="18"/>
              </w:rPr>
            </w:pPr>
            <w:r>
              <w:rPr>
                <w:sz w:val="18"/>
                <w:szCs w:val="18"/>
              </w:rPr>
              <w:t>196 010</w:t>
            </w:r>
          </w:p>
        </w:tc>
        <w:tc>
          <w:tcPr>
            <w:tcW w:w="1010" w:type="dxa"/>
            <w:tcBorders>
              <w:left w:val="single" w:sz="4" w:space="0" w:color="auto"/>
              <w:right w:val="single" w:sz="4" w:space="0" w:color="auto"/>
            </w:tcBorders>
            <w:vAlign w:val="center"/>
          </w:tcPr>
          <w:p w14:paraId="511E6EF1" w14:textId="79569546" w:rsidR="00F603D9" w:rsidRPr="000E3A45" w:rsidRDefault="00F603D9" w:rsidP="000A45AF">
            <w:pPr>
              <w:ind w:right="113"/>
              <w:jc w:val="right"/>
              <w:rPr>
                <w:sz w:val="18"/>
                <w:szCs w:val="18"/>
              </w:rPr>
            </w:pPr>
            <w:r>
              <w:rPr>
                <w:sz w:val="18"/>
                <w:szCs w:val="18"/>
              </w:rPr>
              <w:t xml:space="preserve">195 </w:t>
            </w:r>
            <w:r w:rsidR="000A45AF">
              <w:rPr>
                <w:sz w:val="18"/>
                <w:szCs w:val="18"/>
              </w:rPr>
              <w:t>739</w:t>
            </w:r>
          </w:p>
        </w:tc>
        <w:tc>
          <w:tcPr>
            <w:tcW w:w="1107" w:type="dxa"/>
            <w:tcBorders>
              <w:left w:val="single" w:sz="4" w:space="0" w:color="auto"/>
              <w:right w:val="single" w:sz="4" w:space="0" w:color="auto"/>
            </w:tcBorders>
            <w:vAlign w:val="center"/>
          </w:tcPr>
          <w:p w14:paraId="1792F6FC" w14:textId="56B33584" w:rsidR="00F603D9" w:rsidRPr="000E3A45" w:rsidRDefault="00B75DE2" w:rsidP="00F603D9">
            <w:pPr>
              <w:ind w:right="113"/>
              <w:jc w:val="right"/>
              <w:rPr>
                <w:sz w:val="18"/>
                <w:szCs w:val="18"/>
              </w:rPr>
            </w:pPr>
            <w:r>
              <w:rPr>
                <w:sz w:val="18"/>
                <w:szCs w:val="18"/>
              </w:rPr>
              <w:t>195 425</w:t>
            </w:r>
          </w:p>
        </w:tc>
        <w:tc>
          <w:tcPr>
            <w:tcW w:w="1314" w:type="dxa"/>
            <w:tcBorders>
              <w:left w:val="single" w:sz="4" w:space="0" w:color="auto"/>
              <w:right w:val="single" w:sz="4" w:space="0" w:color="auto"/>
            </w:tcBorders>
            <w:vAlign w:val="center"/>
          </w:tcPr>
          <w:p w14:paraId="7C19D671" w14:textId="1A1B71C1" w:rsidR="00F603D9" w:rsidRPr="000E3A45" w:rsidRDefault="00F603D9" w:rsidP="005F4641">
            <w:pPr>
              <w:ind w:right="284"/>
              <w:jc w:val="right"/>
              <w:rPr>
                <w:sz w:val="18"/>
                <w:szCs w:val="18"/>
              </w:rPr>
            </w:pPr>
            <w:r>
              <w:rPr>
                <w:sz w:val="18"/>
                <w:szCs w:val="18"/>
              </w:rPr>
              <w:t>1.</w:t>
            </w:r>
            <w:r w:rsidR="005F4641">
              <w:rPr>
                <w:sz w:val="18"/>
                <w:szCs w:val="18"/>
              </w:rPr>
              <w:t>1</w:t>
            </w:r>
            <w:r>
              <w:rPr>
                <w:sz w:val="18"/>
                <w:szCs w:val="18"/>
              </w:rPr>
              <w:t>3</w:t>
            </w:r>
          </w:p>
        </w:tc>
      </w:tr>
      <w:tr w:rsidR="00F603D9" w:rsidRPr="000E3A45" w14:paraId="4837CCDB" w14:textId="77777777" w:rsidTr="00E329D8">
        <w:trPr>
          <w:jc w:val="center"/>
        </w:trPr>
        <w:tc>
          <w:tcPr>
            <w:tcW w:w="1510" w:type="dxa"/>
            <w:tcBorders>
              <w:left w:val="single" w:sz="4" w:space="0" w:color="auto"/>
              <w:right w:val="single" w:sz="4" w:space="0" w:color="auto"/>
            </w:tcBorders>
          </w:tcPr>
          <w:p w14:paraId="15161896" w14:textId="77777777" w:rsidR="00F603D9" w:rsidRPr="000E3A45" w:rsidRDefault="00F603D9" w:rsidP="00F603D9">
            <w:pPr>
              <w:rPr>
                <w:sz w:val="18"/>
                <w:szCs w:val="18"/>
              </w:rPr>
            </w:pPr>
            <w:r w:rsidRPr="000E3A45">
              <w:rPr>
                <w:sz w:val="18"/>
                <w:szCs w:val="18"/>
              </w:rPr>
              <w:t>(B) Reserva Bruta</w:t>
            </w:r>
          </w:p>
        </w:tc>
        <w:tc>
          <w:tcPr>
            <w:tcW w:w="1266" w:type="dxa"/>
            <w:tcBorders>
              <w:left w:val="single" w:sz="4" w:space="0" w:color="auto"/>
              <w:right w:val="single" w:sz="4" w:space="0" w:color="auto"/>
            </w:tcBorders>
            <w:vAlign w:val="center"/>
          </w:tcPr>
          <w:p w14:paraId="0BB9E872" w14:textId="77777777" w:rsidR="00F603D9" w:rsidRPr="000E3A45" w:rsidRDefault="00F603D9" w:rsidP="00F603D9">
            <w:pPr>
              <w:ind w:right="227"/>
              <w:jc w:val="right"/>
              <w:rPr>
                <w:sz w:val="18"/>
                <w:szCs w:val="18"/>
              </w:rPr>
            </w:pPr>
            <w:r w:rsidRPr="000E3A45">
              <w:rPr>
                <w:sz w:val="18"/>
                <w:szCs w:val="18"/>
              </w:rPr>
              <w:t>180 200</w:t>
            </w:r>
          </w:p>
        </w:tc>
        <w:tc>
          <w:tcPr>
            <w:tcW w:w="1004" w:type="dxa"/>
            <w:tcBorders>
              <w:left w:val="single" w:sz="4" w:space="0" w:color="auto"/>
              <w:right w:val="single" w:sz="4" w:space="0" w:color="auto"/>
            </w:tcBorders>
            <w:vAlign w:val="center"/>
          </w:tcPr>
          <w:p w14:paraId="7617087F" w14:textId="13FD5CCD" w:rsidR="00F603D9" w:rsidRPr="000E3A45" w:rsidRDefault="00F603D9" w:rsidP="00F603D9">
            <w:pPr>
              <w:ind w:right="113"/>
              <w:jc w:val="right"/>
              <w:rPr>
                <w:sz w:val="18"/>
                <w:szCs w:val="18"/>
              </w:rPr>
            </w:pPr>
            <w:r w:rsidRPr="000E3A45">
              <w:rPr>
                <w:sz w:val="18"/>
                <w:szCs w:val="18"/>
              </w:rPr>
              <w:t>195 682</w:t>
            </w:r>
          </w:p>
        </w:tc>
        <w:tc>
          <w:tcPr>
            <w:tcW w:w="1004" w:type="dxa"/>
            <w:tcBorders>
              <w:left w:val="single" w:sz="4" w:space="0" w:color="auto"/>
              <w:right w:val="single" w:sz="4" w:space="0" w:color="auto"/>
            </w:tcBorders>
            <w:vAlign w:val="center"/>
          </w:tcPr>
          <w:p w14:paraId="6CADDAFB" w14:textId="79DDEC53" w:rsidR="00F603D9" w:rsidRPr="000E3A45" w:rsidRDefault="00F603D9" w:rsidP="00F603D9">
            <w:pPr>
              <w:ind w:right="113"/>
              <w:jc w:val="right"/>
              <w:rPr>
                <w:sz w:val="18"/>
                <w:szCs w:val="18"/>
              </w:rPr>
            </w:pPr>
            <w:r>
              <w:rPr>
                <w:sz w:val="18"/>
                <w:szCs w:val="18"/>
              </w:rPr>
              <w:t>199 161</w:t>
            </w:r>
          </w:p>
        </w:tc>
        <w:tc>
          <w:tcPr>
            <w:tcW w:w="1010" w:type="dxa"/>
            <w:tcBorders>
              <w:left w:val="single" w:sz="4" w:space="0" w:color="auto"/>
              <w:right w:val="single" w:sz="4" w:space="0" w:color="auto"/>
            </w:tcBorders>
            <w:vAlign w:val="center"/>
          </w:tcPr>
          <w:p w14:paraId="64B6D048" w14:textId="11389869" w:rsidR="00F603D9" w:rsidRPr="000E3A45" w:rsidRDefault="00F603D9" w:rsidP="000A45AF">
            <w:pPr>
              <w:ind w:right="113"/>
              <w:jc w:val="right"/>
              <w:rPr>
                <w:sz w:val="18"/>
                <w:szCs w:val="18"/>
              </w:rPr>
            </w:pPr>
            <w:r>
              <w:rPr>
                <w:sz w:val="18"/>
                <w:szCs w:val="18"/>
              </w:rPr>
              <w:t>19</w:t>
            </w:r>
            <w:r w:rsidR="000A45AF">
              <w:rPr>
                <w:sz w:val="18"/>
                <w:szCs w:val="18"/>
              </w:rPr>
              <w:t>8</w:t>
            </w:r>
            <w:r>
              <w:rPr>
                <w:sz w:val="18"/>
                <w:szCs w:val="18"/>
              </w:rPr>
              <w:t xml:space="preserve"> </w:t>
            </w:r>
            <w:r w:rsidR="000A45AF">
              <w:rPr>
                <w:sz w:val="18"/>
                <w:szCs w:val="18"/>
              </w:rPr>
              <w:t>2</w:t>
            </w:r>
            <w:r>
              <w:rPr>
                <w:sz w:val="18"/>
                <w:szCs w:val="18"/>
              </w:rPr>
              <w:t>2</w:t>
            </w:r>
            <w:r w:rsidR="000A45AF">
              <w:rPr>
                <w:sz w:val="18"/>
                <w:szCs w:val="18"/>
              </w:rPr>
              <w:t>2</w:t>
            </w:r>
          </w:p>
        </w:tc>
        <w:tc>
          <w:tcPr>
            <w:tcW w:w="1107" w:type="dxa"/>
            <w:tcBorders>
              <w:left w:val="single" w:sz="4" w:space="0" w:color="auto"/>
              <w:right w:val="single" w:sz="4" w:space="0" w:color="auto"/>
            </w:tcBorders>
            <w:vAlign w:val="center"/>
          </w:tcPr>
          <w:p w14:paraId="54615929" w14:textId="29E7B6C8" w:rsidR="00F603D9" w:rsidRPr="000E3A45" w:rsidRDefault="00B75DE2" w:rsidP="005F4641">
            <w:pPr>
              <w:ind w:right="113"/>
              <w:jc w:val="right"/>
              <w:rPr>
                <w:sz w:val="18"/>
                <w:szCs w:val="18"/>
              </w:rPr>
            </w:pPr>
            <w:r>
              <w:rPr>
                <w:sz w:val="18"/>
                <w:szCs w:val="18"/>
              </w:rPr>
              <w:t>197 682</w:t>
            </w:r>
          </w:p>
        </w:tc>
        <w:tc>
          <w:tcPr>
            <w:tcW w:w="1314" w:type="dxa"/>
            <w:tcBorders>
              <w:left w:val="single" w:sz="4" w:space="0" w:color="auto"/>
              <w:right w:val="single" w:sz="4" w:space="0" w:color="auto"/>
            </w:tcBorders>
            <w:vAlign w:val="center"/>
          </w:tcPr>
          <w:p w14:paraId="35A64F2A" w14:textId="678B2C12" w:rsidR="00F603D9" w:rsidRPr="000E3A45" w:rsidRDefault="005F4641" w:rsidP="005F4641">
            <w:pPr>
              <w:ind w:right="284"/>
              <w:jc w:val="right"/>
              <w:rPr>
                <w:sz w:val="18"/>
                <w:szCs w:val="18"/>
              </w:rPr>
            </w:pPr>
            <w:r>
              <w:rPr>
                <w:sz w:val="18"/>
                <w:szCs w:val="18"/>
              </w:rPr>
              <w:t>1.02</w:t>
            </w:r>
          </w:p>
        </w:tc>
      </w:tr>
      <w:tr w:rsidR="00F603D9" w:rsidRPr="000E3A45" w14:paraId="58C11E79" w14:textId="77777777" w:rsidTr="00E329D8">
        <w:trPr>
          <w:jc w:val="center"/>
        </w:trPr>
        <w:tc>
          <w:tcPr>
            <w:tcW w:w="1510" w:type="dxa"/>
            <w:tcBorders>
              <w:left w:val="single" w:sz="4" w:space="0" w:color="auto"/>
              <w:bottom w:val="single" w:sz="4" w:space="0" w:color="auto"/>
              <w:right w:val="single" w:sz="4" w:space="0" w:color="auto"/>
            </w:tcBorders>
          </w:tcPr>
          <w:p w14:paraId="1FBADC28" w14:textId="77777777" w:rsidR="00F603D9" w:rsidRPr="000E3A45" w:rsidRDefault="00F603D9" w:rsidP="00F603D9">
            <w:pPr>
              <w:rPr>
                <w:sz w:val="18"/>
                <w:szCs w:val="18"/>
              </w:rPr>
            </w:pPr>
            <w:r w:rsidRPr="000E3A45">
              <w:rPr>
                <w:sz w:val="18"/>
                <w:szCs w:val="18"/>
              </w:rPr>
              <w:t>(C) Pasivos a menos de seis meses</w:t>
            </w:r>
            <w:r w:rsidRPr="000E3A45">
              <w:rPr>
                <w:sz w:val="18"/>
                <w:szCs w:val="18"/>
                <w:u w:val="single"/>
                <w:vertAlign w:val="superscript"/>
              </w:rPr>
              <w:t>3</w:t>
            </w:r>
            <w:r w:rsidRPr="000E3A45">
              <w:rPr>
                <w:sz w:val="18"/>
                <w:szCs w:val="18"/>
                <w:vertAlign w:val="superscript"/>
              </w:rPr>
              <w:t>/</w:t>
            </w:r>
          </w:p>
        </w:tc>
        <w:tc>
          <w:tcPr>
            <w:tcW w:w="1266" w:type="dxa"/>
            <w:tcBorders>
              <w:left w:val="single" w:sz="4" w:space="0" w:color="auto"/>
              <w:bottom w:val="single" w:sz="4" w:space="0" w:color="auto"/>
              <w:right w:val="single" w:sz="4" w:space="0" w:color="auto"/>
            </w:tcBorders>
            <w:vAlign w:val="center"/>
          </w:tcPr>
          <w:p w14:paraId="5E9CA1E7" w14:textId="77777777" w:rsidR="00F603D9" w:rsidRPr="000E3A45" w:rsidRDefault="00F603D9" w:rsidP="00F603D9">
            <w:pPr>
              <w:ind w:right="227"/>
              <w:jc w:val="right"/>
              <w:rPr>
                <w:sz w:val="18"/>
                <w:szCs w:val="18"/>
              </w:rPr>
            </w:pPr>
            <w:r w:rsidRPr="000E3A45">
              <w:rPr>
                <w:sz w:val="18"/>
                <w:szCs w:val="18"/>
              </w:rPr>
              <w:t>3 679</w:t>
            </w:r>
          </w:p>
        </w:tc>
        <w:tc>
          <w:tcPr>
            <w:tcW w:w="1004" w:type="dxa"/>
            <w:tcBorders>
              <w:left w:val="single" w:sz="4" w:space="0" w:color="auto"/>
              <w:bottom w:val="single" w:sz="4" w:space="0" w:color="auto"/>
              <w:right w:val="single" w:sz="4" w:space="0" w:color="auto"/>
            </w:tcBorders>
            <w:vAlign w:val="center"/>
          </w:tcPr>
          <w:p w14:paraId="39FBFDAD" w14:textId="558F0413" w:rsidR="00F603D9" w:rsidRPr="000E3A45" w:rsidRDefault="00F603D9" w:rsidP="00F603D9">
            <w:pPr>
              <w:ind w:right="113"/>
              <w:jc w:val="right"/>
              <w:rPr>
                <w:sz w:val="18"/>
                <w:szCs w:val="18"/>
              </w:rPr>
            </w:pPr>
            <w:r w:rsidRPr="000E3A45">
              <w:rPr>
                <w:sz w:val="18"/>
                <w:szCs w:val="18"/>
              </w:rPr>
              <w:t>2 443</w:t>
            </w:r>
          </w:p>
        </w:tc>
        <w:tc>
          <w:tcPr>
            <w:tcW w:w="1004" w:type="dxa"/>
            <w:tcBorders>
              <w:left w:val="single" w:sz="4" w:space="0" w:color="auto"/>
              <w:bottom w:val="single" w:sz="4" w:space="0" w:color="auto"/>
              <w:right w:val="single" w:sz="4" w:space="0" w:color="auto"/>
            </w:tcBorders>
            <w:vAlign w:val="center"/>
          </w:tcPr>
          <w:p w14:paraId="133F98C3" w14:textId="6A9C423D" w:rsidR="00F603D9" w:rsidRPr="000E3A45" w:rsidRDefault="00F603D9" w:rsidP="00F603D9">
            <w:pPr>
              <w:ind w:right="113"/>
              <w:jc w:val="right"/>
              <w:rPr>
                <w:sz w:val="18"/>
                <w:szCs w:val="18"/>
              </w:rPr>
            </w:pPr>
            <w:r>
              <w:rPr>
                <w:sz w:val="18"/>
                <w:szCs w:val="18"/>
              </w:rPr>
              <w:t>3 151</w:t>
            </w:r>
          </w:p>
        </w:tc>
        <w:tc>
          <w:tcPr>
            <w:tcW w:w="1010" w:type="dxa"/>
            <w:tcBorders>
              <w:left w:val="single" w:sz="4" w:space="0" w:color="auto"/>
              <w:bottom w:val="single" w:sz="4" w:space="0" w:color="auto"/>
              <w:right w:val="single" w:sz="4" w:space="0" w:color="auto"/>
            </w:tcBorders>
            <w:vAlign w:val="center"/>
          </w:tcPr>
          <w:p w14:paraId="09D42C30" w14:textId="44EA13CD" w:rsidR="00F603D9" w:rsidRPr="000E3A45" w:rsidRDefault="000A45AF" w:rsidP="000A45AF">
            <w:pPr>
              <w:ind w:right="113"/>
              <w:jc w:val="right"/>
              <w:rPr>
                <w:sz w:val="18"/>
                <w:szCs w:val="18"/>
              </w:rPr>
            </w:pPr>
            <w:r>
              <w:rPr>
                <w:sz w:val="18"/>
                <w:szCs w:val="18"/>
              </w:rPr>
              <w:t>2</w:t>
            </w:r>
            <w:r w:rsidR="00F603D9">
              <w:rPr>
                <w:sz w:val="18"/>
                <w:szCs w:val="18"/>
              </w:rPr>
              <w:t xml:space="preserve"> 4</w:t>
            </w:r>
            <w:r>
              <w:rPr>
                <w:sz w:val="18"/>
                <w:szCs w:val="18"/>
              </w:rPr>
              <w:t>83</w:t>
            </w:r>
          </w:p>
        </w:tc>
        <w:tc>
          <w:tcPr>
            <w:tcW w:w="1107" w:type="dxa"/>
            <w:tcBorders>
              <w:left w:val="single" w:sz="4" w:space="0" w:color="auto"/>
              <w:bottom w:val="single" w:sz="4" w:space="0" w:color="auto"/>
              <w:right w:val="single" w:sz="4" w:space="0" w:color="auto"/>
            </w:tcBorders>
            <w:vAlign w:val="center"/>
          </w:tcPr>
          <w:p w14:paraId="2BAFDB85" w14:textId="3DE047F5" w:rsidR="00F603D9" w:rsidRPr="000E3A45" w:rsidRDefault="00B75DE2" w:rsidP="00F603D9">
            <w:pPr>
              <w:ind w:right="113"/>
              <w:jc w:val="right"/>
              <w:rPr>
                <w:sz w:val="18"/>
                <w:szCs w:val="18"/>
              </w:rPr>
            </w:pPr>
            <w:r>
              <w:rPr>
                <w:sz w:val="18"/>
                <w:szCs w:val="18"/>
              </w:rPr>
              <w:t>2 257</w:t>
            </w:r>
          </w:p>
        </w:tc>
        <w:tc>
          <w:tcPr>
            <w:tcW w:w="1314" w:type="dxa"/>
            <w:tcBorders>
              <w:left w:val="single" w:sz="4" w:space="0" w:color="auto"/>
              <w:bottom w:val="single" w:sz="4" w:space="0" w:color="auto"/>
              <w:right w:val="single" w:sz="4" w:space="0" w:color="auto"/>
            </w:tcBorders>
            <w:vAlign w:val="center"/>
          </w:tcPr>
          <w:p w14:paraId="14854BFE" w14:textId="45B57D11" w:rsidR="00F603D9" w:rsidRPr="000E3A45" w:rsidRDefault="00F603D9" w:rsidP="005F4641">
            <w:pPr>
              <w:ind w:right="284"/>
              <w:jc w:val="right"/>
              <w:rPr>
                <w:sz w:val="18"/>
                <w:szCs w:val="18"/>
              </w:rPr>
            </w:pPr>
            <w:r>
              <w:rPr>
                <w:sz w:val="18"/>
                <w:szCs w:val="18"/>
              </w:rPr>
              <w:t>-</w:t>
            </w:r>
            <w:r w:rsidR="005F4641">
              <w:rPr>
                <w:sz w:val="18"/>
                <w:szCs w:val="18"/>
              </w:rPr>
              <w:t>7.61</w:t>
            </w:r>
          </w:p>
        </w:tc>
      </w:tr>
      <w:tr w:rsidR="00F603D9" w:rsidRPr="000E3A45" w14:paraId="085D3424" w14:textId="77777777" w:rsidTr="00E329D8">
        <w:trPr>
          <w:jc w:val="center"/>
        </w:trPr>
        <w:tc>
          <w:tcPr>
            <w:tcW w:w="8215" w:type="dxa"/>
            <w:gridSpan w:val="7"/>
            <w:tcBorders>
              <w:top w:val="single" w:sz="4" w:space="0" w:color="auto"/>
            </w:tcBorders>
          </w:tcPr>
          <w:p w14:paraId="03BAE193" w14:textId="68D5B025" w:rsidR="00F603D9" w:rsidRPr="000E3A45" w:rsidRDefault="00F603D9" w:rsidP="00F603D9">
            <w:pPr>
              <w:jc w:val="both"/>
              <w:rPr>
                <w:sz w:val="18"/>
              </w:rPr>
            </w:pPr>
            <w:r w:rsidRPr="000E3A45">
              <w:rPr>
                <w:sz w:val="18"/>
                <w:u w:val="single"/>
              </w:rPr>
              <w:t>1</w:t>
            </w:r>
            <w:r w:rsidRPr="000E3A45">
              <w:rPr>
                <w:sz w:val="18"/>
              </w:rPr>
              <w:t>/  Cifras preliminares. La suma de las partes puede no coincidir con el total debido al redondeo.</w:t>
            </w:r>
          </w:p>
          <w:p w14:paraId="336C812C" w14:textId="52AD45A3" w:rsidR="00F603D9" w:rsidRPr="000E3A45" w:rsidRDefault="00F603D9" w:rsidP="00F603D9">
            <w:pPr>
              <w:ind w:left="244" w:hanging="244"/>
              <w:jc w:val="both"/>
              <w:rPr>
                <w:sz w:val="18"/>
              </w:rPr>
            </w:pPr>
            <w:r w:rsidRPr="000E3A45">
              <w:rPr>
                <w:sz w:val="18"/>
                <w:u w:val="single"/>
              </w:rPr>
              <w:t>2</w:t>
            </w:r>
            <w:r w:rsidRPr="000E3A45">
              <w:rPr>
                <w:sz w:val="18"/>
              </w:rPr>
              <w:t>/  Según se define en el artículo 19 de la Ley del Banco de México. La reserva internacional se obtiene como la diferencia entre la reserva bruta y los pasivos a menos de seis meses.</w:t>
            </w:r>
          </w:p>
          <w:p w14:paraId="64A4345F" w14:textId="77777777" w:rsidR="00F603D9" w:rsidRPr="000E3A45" w:rsidRDefault="00F603D9" w:rsidP="00F603D9">
            <w:pPr>
              <w:ind w:left="198" w:hanging="198"/>
              <w:jc w:val="both"/>
              <w:rPr>
                <w:sz w:val="18"/>
              </w:rPr>
            </w:pPr>
            <w:r w:rsidRPr="000E3A45">
              <w:rPr>
                <w:sz w:val="18"/>
                <w:u w:val="single"/>
              </w:rPr>
              <w:t>3</w:t>
            </w:r>
            <w:r w:rsidRPr="000E3A45">
              <w:rPr>
                <w:sz w:val="18"/>
              </w:rPr>
              <w:t>/ Se refiere a los pasivos en moneda extranjera a un plazo menor a seis meses y se componen principalmente por las cuentas corrientes en moneda extranjera del Gobierno Federal y Pemex.</w:t>
            </w:r>
          </w:p>
          <w:p w14:paraId="0A7A13FB" w14:textId="77777777" w:rsidR="00F603D9" w:rsidRPr="000E3A45" w:rsidRDefault="00F603D9" w:rsidP="00F603D9">
            <w:pPr>
              <w:ind w:left="828" w:hanging="828"/>
              <w:jc w:val="both"/>
              <w:rPr>
                <w:sz w:val="18"/>
                <w:szCs w:val="18"/>
              </w:rPr>
            </w:pPr>
            <w:r w:rsidRPr="000E3A45">
              <w:rPr>
                <w:sz w:val="18"/>
              </w:rPr>
              <w:t>FUENTE: Banco de México.</w:t>
            </w:r>
          </w:p>
        </w:tc>
      </w:tr>
      <w:bookmarkEnd w:id="18"/>
      <w:bookmarkEnd w:id="19"/>
    </w:tbl>
    <w:p w14:paraId="7AA60624" w14:textId="77777777" w:rsidR="00B26EC9" w:rsidRPr="000E3A45" w:rsidRDefault="00B26EC9" w:rsidP="00B26EC9">
      <w:pPr>
        <w:autoSpaceDE w:val="0"/>
        <w:autoSpaceDN w:val="0"/>
        <w:adjustRightInd w:val="0"/>
        <w:spacing w:line="360" w:lineRule="auto"/>
        <w:ind w:right="170"/>
        <w:jc w:val="both"/>
        <w:rPr>
          <w:sz w:val="26"/>
          <w:szCs w:val="26"/>
          <w:lang w:val="es-ES"/>
        </w:rPr>
      </w:pPr>
    </w:p>
    <w:p w14:paraId="4E4694B4" w14:textId="77777777" w:rsidR="00B26EC9" w:rsidRPr="000E3A45" w:rsidRDefault="00B26EC9" w:rsidP="00B26EC9">
      <w:pPr>
        <w:ind w:right="-159"/>
        <w:jc w:val="both"/>
        <w:rPr>
          <w:b/>
          <w:sz w:val="20"/>
          <w:szCs w:val="20"/>
        </w:rPr>
      </w:pPr>
    </w:p>
    <w:p w14:paraId="04C3A086" w14:textId="77777777" w:rsidR="00B26EC9" w:rsidRPr="000E3A45" w:rsidRDefault="00B26EC9" w:rsidP="00B26EC9">
      <w:pPr>
        <w:ind w:right="-159"/>
        <w:jc w:val="both"/>
        <w:rPr>
          <w:b/>
          <w:sz w:val="20"/>
          <w:szCs w:val="20"/>
        </w:rPr>
      </w:pPr>
      <w:r w:rsidRPr="000E3A45">
        <w:rPr>
          <w:b/>
          <w:sz w:val="20"/>
          <w:szCs w:val="20"/>
        </w:rPr>
        <w:t>Fuente de información:</w:t>
      </w:r>
    </w:p>
    <w:p w14:paraId="1172C982" w14:textId="545AC183" w:rsidR="00ED39CD" w:rsidRPr="00DF60F6" w:rsidRDefault="0093224F" w:rsidP="00DF60F6">
      <w:pPr>
        <w:spacing w:after="720"/>
        <w:ind w:right="-159"/>
        <w:rPr>
          <w:sz w:val="20"/>
          <w:szCs w:val="20"/>
        </w:rPr>
      </w:pPr>
      <w:hyperlink r:id="rId411" w:history="1">
        <w:r w:rsidR="00DF60F6" w:rsidRPr="00DF60F6">
          <w:rPr>
            <w:rStyle w:val="Hipervnculo"/>
            <w:sz w:val="20"/>
            <w:szCs w:val="20"/>
          </w:rPr>
          <w:t>http://www.banxico.org.mx/informacion-para-la-prensa/comunicados/banco-de-mexico/edo-cuenta-semanal/%7B734B0101-FOEO-2475-81AO-C7372OACD828%70.pdf</w:t>
        </w:r>
      </w:hyperlink>
      <w:r w:rsidR="00DF60F6" w:rsidRPr="00DF60F6">
        <w:rPr>
          <w:sz w:val="20"/>
          <w:szCs w:val="20"/>
        </w:rPr>
        <w:t xml:space="preserve"> </w:t>
      </w:r>
    </w:p>
    <w:p w14:paraId="1742DFD8" w14:textId="2E92CBC9" w:rsidR="009F4E3E" w:rsidRPr="000E3A45" w:rsidRDefault="009F4E3E" w:rsidP="009F4E3E">
      <w:pPr>
        <w:spacing w:after="360" w:line="360" w:lineRule="auto"/>
        <w:ind w:right="-159"/>
        <w:jc w:val="both"/>
        <w:rPr>
          <w:b/>
          <w:bCs/>
          <w:sz w:val="26"/>
        </w:rPr>
      </w:pPr>
      <w:r w:rsidRPr="000E3A45">
        <w:rPr>
          <w:b/>
          <w:bCs/>
          <w:sz w:val="26"/>
        </w:rPr>
        <w:t>Reservas internacionales (Banxico)</w:t>
      </w:r>
    </w:p>
    <w:p w14:paraId="7B921E88" w14:textId="63D61AD4" w:rsidR="009F4E3E" w:rsidRPr="000E3A45" w:rsidRDefault="009F4E3E" w:rsidP="009F4E3E">
      <w:pPr>
        <w:spacing w:after="360" w:line="360" w:lineRule="auto"/>
        <w:ind w:right="-159"/>
        <w:jc w:val="both"/>
        <w:rPr>
          <w:sz w:val="26"/>
          <w:szCs w:val="26"/>
          <w:lang w:val="es-ES"/>
        </w:rPr>
      </w:pPr>
      <w:r w:rsidRPr="000E3A45">
        <w:rPr>
          <w:sz w:val="26"/>
          <w:szCs w:val="26"/>
        </w:rPr>
        <w:t xml:space="preserve">De </w:t>
      </w:r>
      <w:r w:rsidR="007D6E43" w:rsidRPr="000E3A45">
        <w:rPr>
          <w:sz w:val="26"/>
          <w:szCs w:val="26"/>
        </w:rPr>
        <w:t>acuerdo</w:t>
      </w:r>
      <w:r w:rsidRPr="000E3A45">
        <w:rPr>
          <w:sz w:val="26"/>
          <w:szCs w:val="26"/>
        </w:rPr>
        <w:t xml:space="preserve"> con información del </w:t>
      </w:r>
      <w:r w:rsidRPr="000E3A45">
        <w:rPr>
          <w:sz w:val="26"/>
          <w:szCs w:val="26"/>
          <w:lang w:val="es-ES"/>
        </w:rPr>
        <w:t xml:space="preserve">Banco de México (Banxico), las reservas internacionales están integradas por las divisas y el oro propiedad del Banco Central que se hallan libres de todo gravamen y cuya disponibilidad no está sujeta a restricción alguna; la posición a favor de México con el Fondo Monetario Internacional (FMI) derivada de las aportaciones efectuadas a dicho organismo; las divisas provenientes de financiamientos obtenidos con propósito de regulación cambiaria del FMI y otros organismos de cooperación financiera internacional o que agrupen a bancos centrales, de bancos centrales y de otras personas morales extranjeras que ejerzan funciones de autoridad en materia financiera. </w:t>
      </w:r>
    </w:p>
    <w:p w14:paraId="3EF1D6C8" w14:textId="79548288" w:rsidR="00B548C6" w:rsidRDefault="00F909B5" w:rsidP="009F4E3E">
      <w:pPr>
        <w:spacing w:after="360" w:line="360" w:lineRule="auto"/>
        <w:ind w:right="-159"/>
        <w:jc w:val="both"/>
        <w:rPr>
          <w:sz w:val="26"/>
          <w:szCs w:val="26"/>
        </w:rPr>
      </w:pPr>
      <w:r>
        <w:rPr>
          <w:sz w:val="26"/>
          <w:szCs w:val="26"/>
        </w:rPr>
        <w:t>En este contexto, a</w:t>
      </w:r>
      <w:r w:rsidR="00B548C6" w:rsidRPr="000E3A45">
        <w:rPr>
          <w:sz w:val="26"/>
          <w:szCs w:val="26"/>
        </w:rPr>
        <w:t>l 1</w:t>
      </w:r>
      <w:r w:rsidR="005F4641">
        <w:rPr>
          <w:sz w:val="26"/>
          <w:szCs w:val="26"/>
        </w:rPr>
        <w:t>3</w:t>
      </w:r>
      <w:r w:rsidR="00ED39CD">
        <w:rPr>
          <w:sz w:val="26"/>
          <w:szCs w:val="26"/>
        </w:rPr>
        <w:t xml:space="preserve"> de </w:t>
      </w:r>
      <w:r w:rsidR="005F4641">
        <w:rPr>
          <w:sz w:val="26"/>
          <w:szCs w:val="26"/>
        </w:rPr>
        <w:t>marzo</w:t>
      </w:r>
      <w:r w:rsidR="00ED39CD">
        <w:rPr>
          <w:sz w:val="26"/>
          <w:szCs w:val="26"/>
        </w:rPr>
        <w:t xml:space="preserve"> de 2015, las reservas internacionales se ubicaron en 19</w:t>
      </w:r>
      <w:r w:rsidR="00BB6CBD">
        <w:rPr>
          <w:sz w:val="26"/>
          <w:szCs w:val="26"/>
        </w:rPr>
        <w:t>5</w:t>
      </w:r>
      <w:r w:rsidR="00ED39CD">
        <w:rPr>
          <w:sz w:val="26"/>
          <w:szCs w:val="26"/>
        </w:rPr>
        <w:t xml:space="preserve"> mil </w:t>
      </w:r>
      <w:r w:rsidR="005F4641">
        <w:rPr>
          <w:sz w:val="26"/>
          <w:szCs w:val="26"/>
        </w:rPr>
        <w:t>425</w:t>
      </w:r>
      <w:r w:rsidR="00ED39CD">
        <w:rPr>
          <w:sz w:val="26"/>
          <w:szCs w:val="26"/>
        </w:rPr>
        <w:t xml:space="preserve"> millones de dólares, lo que significó un</w:t>
      </w:r>
      <w:r>
        <w:rPr>
          <w:sz w:val="26"/>
          <w:szCs w:val="26"/>
        </w:rPr>
        <w:t xml:space="preserve">a reducción de </w:t>
      </w:r>
      <w:r w:rsidR="00ED39CD">
        <w:rPr>
          <w:sz w:val="26"/>
          <w:szCs w:val="26"/>
        </w:rPr>
        <w:t>0.1</w:t>
      </w:r>
      <w:r w:rsidR="005F4641">
        <w:rPr>
          <w:sz w:val="26"/>
          <w:szCs w:val="26"/>
        </w:rPr>
        <w:t>6</w:t>
      </w:r>
      <w:r w:rsidR="00ED39CD">
        <w:rPr>
          <w:sz w:val="26"/>
          <w:szCs w:val="26"/>
        </w:rPr>
        <w:t xml:space="preserve">% con respecto </w:t>
      </w:r>
      <w:r w:rsidR="00ED39CD">
        <w:rPr>
          <w:sz w:val="26"/>
          <w:szCs w:val="26"/>
        </w:rPr>
        <w:lastRenderedPageBreak/>
        <w:t>al cierre de</w:t>
      </w:r>
      <w:r>
        <w:rPr>
          <w:sz w:val="26"/>
          <w:szCs w:val="26"/>
        </w:rPr>
        <w:t>l mes inmediato anterior y superior en 1.</w:t>
      </w:r>
      <w:r w:rsidR="005F4641">
        <w:rPr>
          <w:sz w:val="26"/>
          <w:szCs w:val="26"/>
        </w:rPr>
        <w:t>1</w:t>
      </w:r>
      <w:r>
        <w:rPr>
          <w:sz w:val="26"/>
          <w:szCs w:val="26"/>
        </w:rPr>
        <w:t>3% con relación a</w:t>
      </w:r>
      <w:r w:rsidR="00ED39CD">
        <w:rPr>
          <w:sz w:val="26"/>
          <w:szCs w:val="26"/>
        </w:rPr>
        <w:t xml:space="preserve"> diciembre de 2014.</w:t>
      </w:r>
    </w:p>
    <w:p w14:paraId="32C09B0A" w14:textId="15F45D52" w:rsidR="009F4E3E" w:rsidRPr="000E3A45" w:rsidRDefault="00F73247" w:rsidP="009F4E3E">
      <w:pPr>
        <w:spacing w:after="360" w:line="360" w:lineRule="auto"/>
        <w:ind w:right="-159"/>
        <w:jc w:val="center"/>
        <w:rPr>
          <w:sz w:val="26"/>
          <w:szCs w:val="26"/>
        </w:rPr>
      </w:pPr>
      <w:r w:rsidRPr="00F73247">
        <w:rPr>
          <w:rFonts w:ascii="Calibri" w:eastAsia="Calibri" w:hAnsi="Calibri"/>
          <w:sz w:val="22"/>
          <w:szCs w:val="22"/>
          <w:lang w:eastAsia="en-US"/>
        </w:rPr>
        <w:fldChar w:fldCharType="begin"/>
      </w:r>
      <w:r w:rsidRPr="00F73247">
        <w:rPr>
          <w:rFonts w:ascii="Calibri" w:eastAsia="Calibri" w:hAnsi="Calibri"/>
          <w:sz w:val="22"/>
          <w:szCs w:val="22"/>
          <w:lang w:eastAsia="en-US"/>
        </w:rPr>
        <w:instrText xml:space="preserve"> LINK PowerPoint.Slide.8 "D:\\2015\\MARZO 2014\\GRÁFICAS EN POWER POINT\\28.-GRÁFICA DE RESERVAS.pptx!259" "" \a \p </w:instrText>
      </w:r>
      <w:r w:rsidRPr="00F73247">
        <w:rPr>
          <w:rFonts w:ascii="Calibri" w:eastAsia="Calibri" w:hAnsi="Calibri"/>
          <w:sz w:val="22"/>
          <w:szCs w:val="22"/>
          <w:lang w:eastAsia="en-US"/>
        </w:rPr>
        <w:fldChar w:fldCharType="separate"/>
      </w:r>
      <w:r w:rsidRPr="00F73247">
        <w:rPr>
          <w:rFonts w:ascii="Calibri" w:eastAsia="Calibri" w:hAnsi="Calibri"/>
          <w:noProof/>
          <w:sz w:val="22"/>
          <w:szCs w:val="22"/>
          <w:lang w:eastAsia="es-MX"/>
        </w:rPr>
        <w:drawing>
          <wp:inline distT="0" distB="0" distL="0" distR="0" wp14:anchorId="599613C4" wp14:editId="711E77E5">
            <wp:extent cx="3830320" cy="310769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ChangeAspect="1" noChangeArrowheads="1"/>
                    </pic:cNvPicPr>
                  </pic:nvPicPr>
                  <pic:blipFill>
                    <a:blip r:embed="rId412" cstate="print">
                      <a:extLst>
                        <a:ext uri="{28A0092B-C50C-407E-A947-70E740481C1C}">
                          <a14:useLocalDpi xmlns:a14="http://schemas.microsoft.com/office/drawing/2010/main" val="0"/>
                        </a:ext>
                      </a:extLst>
                    </a:blip>
                    <a:srcRect l="5833" t="3343" r="10417" b="5850"/>
                    <a:stretch>
                      <a:fillRect/>
                    </a:stretch>
                  </pic:blipFill>
                  <pic:spPr bwMode="auto">
                    <a:xfrm>
                      <a:off x="0" y="0"/>
                      <a:ext cx="3830320" cy="3107690"/>
                    </a:xfrm>
                    <a:prstGeom prst="rect">
                      <a:avLst/>
                    </a:prstGeom>
                    <a:noFill/>
                    <a:ln>
                      <a:noFill/>
                    </a:ln>
                  </pic:spPr>
                </pic:pic>
              </a:graphicData>
            </a:graphic>
          </wp:inline>
        </w:drawing>
      </w:r>
      <w:r w:rsidRPr="00F73247">
        <w:rPr>
          <w:rFonts w:ascii="Calibri" w:eastAsia="Calibri" w:hAnsi="Calibri"/>
          <w:sz w:val="22"/>
          <w:szCs w:val="22"/>
          <w:lang w:eastAsia="en-US"/>
        </w:rPr>
        <w:fldChar w:fldCharType="end"/>
      </w:r>
    </w:p>
    <w:p w14:paraId="22088E06" w14:textId="77777777" w:rsidR="009F4E3E" w:rsidRPr="000E3A45" w:rsidRDefault="009F4E3E" w:rsidP="009F4E3E">
      <w:pPr>
        <w:ind w:right="-159"/>
        <w:jc w:val="both"/>
        <w:rPr>
          <w:rFonts w:eastAsia="Times New Roman"/>
          <w:b/>
          <w:sz w:val="20"/>
          <w:szCs w:val="20"/>
        </w:rPr>
      </w:pPr>
      <w:r w:rsidRPr="000E3A45">
        <w:rPr>
          <w:rFonts w:eastAsia="Times New Roman"/>
          <w:b/>
          <w:sz w:val="20"/>
          <w:szCs w:val="20"/>
        </w:rPr>
        <w:t>Fuente de información:</w:t>
      </w:r>
    </w:p>
    <w:p w14:paraId="575ECBA0" w14:textId="77777777" w:rsidR="00DF60F6" w:rsidRPr="00DF60F6" w:rsidRDefault="0093224F" w:rsidP="00DF60F6">
      <w:pPr>
        <w:spacing w:after="720"/>
        <w:ind w:right="-159"/>
        <w:rPr>
          <w:sz w:val="20"/>
          <w:szCs w:val="20"/>
        </w:rPr>
      </w:pPr>
      <w:hyperlink r:id="rId413" w:history="1">
        <w:r w:rsidR="00DF60F6" w:rsidRPr="00DF60F6">
          <w:rPr>
            <w:rStyle w:val="Hipervnculo"/>
            <w:sz w:val="20"/>
            <w:szCs w:val="20"/>
          </w:rPr>
          <w:t>http://www.banxico.org.mx/informacion-para-la-prensa/comunicados/banco-de-mexico/edo-cuenta-semanal/%7B734B0101-FOEO-2475-81AO-C7372OACD828%70.pdf</w:t>
        </w:r>
      </w:hyperlink>
      <w:r w:rsidR="00DF60F6" w:rsidRPr="00DF60F6">
        <w:rPr>
          <w:sz w:val="20"/>
          <w:szCs w:val="20"/>
        </w:rPr>
        <w:t xml:space="preserve"> </w:t>
      </w:r>
    </w:p>
    <w:p w14:paraId="7344FE89" w14:textId="77777777" w:rsidR="0014764A" w:rsidRPr="0014764A" w:rsidRDefault="0014764A" w:rsidP="0014764A">
      <w:pPr>
        <w:spacing w:after="360" w:line="360" w:lineRule="auto"/>
        <w:ind w:right="-159"/>
        <w:jc w:val="both"/>
        <w:rPr>
          <w:rFonts w:eastAsia="Times New Roman"/>
          <w:b/>
          <w:sz w:val="26"/>
          <w:szCs w:val="26"/>
          <w:lang w:eastAsia="es-MX"/>
        </w:rPr>
      </w:pPr>
      <w:r w:rsidRPr="0014764A">
        <w:rPr>
          <w:rFonts w:eastAsia="Times New Roman"/>
          <w:b/>
          <w:sz w:val="26"/>
          <w:szCs w:val="26"/>
          <w:lang w:eastAsia="es-MX"/>
        </w:rPr>
        <w:t>Base Monetaria (Banxico)</w:t>
      </w:r>
    </w:p>
    <w:p w14:paraId="38E5BAB7" w14:textId="2FB4E90A" w:rsidR="0014764A" w:rsidRPr="0014764A" w:rsidRDefault="00E327DB" w:rsidP="0014764A">
      <w:pPr>
        <w:spacing w:after="360" w:line="360" w:lineRule="auto"/>
        <w:ind w:right="-159"/>
        <w:jc w:val="both"/>
        <w:rPr>
          <w:rFonts w:eastAsia="Times New Roman"/>
          <w:sz w:val="26"/>
          <w:szCs w:val="26"/>
          <w:lang w:eastAsia="es-MX"/>
        </w:rPr>
      </w:pPr>
      <w:r w:rsidRPr="00E327DB">
        <w:rPr>
          <w:rFonts w:eastAsia="Times New Roman"/>
          <w:sz w:val="26"/>
          <w:szCs w:val="26"/>
          <w:lang w:eastAsia="es-MX"/>
        </w:rPr>
        <w:t>El 27 de febrero de 2015, el Banco de México (Banxico) informó en su publicación mensual: “Agregados Monetarios y Actividad Financiera”, que la base monetaria, que por el lado de sus usos se define como la suma de billetes y monedas en circulación más el saldo neto acreedor de las cuentas corrientes que Banxico lleva a las instituciones de crédito, en tanto que por el lado de sus fuentes se define como la suma de los activos internacionales netos en moneda nacional y el crédito interno neto, registró al cierre de enero de 2015 un saldo nominal de 1 billón 24 mil 700 millones de pesos, cantidad 3.59% menor con relación al mes inmediato anterior, superior en 17.90% respecto a enero de 2014 (869 mil 100 millones de pesos).</w:t>
      </w:r>
    </w:p>
    <w:p w14:paraId="6038DC84" w14:textId="5646B7FE" w:rsidR="0014764A" w:rsidRPr="0014764A" w:rsidRDefault="007C5023" w:rsidP="0014764A">
      <w:pPr>
        <w:spacing w:after="360" w:line="360" w:lineRule="auto"/>
        <w:ind w:right="-159"/>
        <w:jc w:val="center"/>
        <w:rPr>
          <w:rFonts w:eastAsia="Times New Roman"/>
          <w:sz w:val="26"/>
          <w:szCs w:val="26"/>
          <w:lang w:eastAsia="es-MX"/>
        </w:rPr>
      </w:pPr>
      <w:r w:rsidRPr="007C5023">
        <w:rPr>
          <w:rFonts w:ascii="Calibri" w:eastAsia="Calibri" w:hAnsi="Calibri"/>
          <w:sz w:val="22"/>
          <w:szCs w:val="22"/>
          <w:lang w:eastAsia="en-US"/>
        </w:rPr>
        <w:lastRenderedPageBreak/>
        <w:fldChar w:fldCharType="begin"/>
      </w:r>
      <w:r w:rsidRPr="007C5023">
        <w:rPr>
          <w:rFonts w:ascii="Calibri" w:eastAsia="Calibri" w:hAnsi="Calibri"/>
          <w:sz w:val="22"/>
          <w:szCs w:val="22"/>
          <w:lang w:eastAsia="en-US"/>
        </w:rPr>
        <w:instrText xml:space="preserve"> LINK PowerPoint.Slide.8 "D:\\2015\\MARZO 2014\\GRÁFICAS EN POWER POINT\\4.- GRÁFICAS DE BASE MONETARIA.pptx!261" "" \a \p </w:instrText>
      </w:r>
      <w:r w:rsidRPr="007C5023">
        <w:rPr>
          <w:rFonts w:ascii="Calibri" w:eastAsia="Calibri" w:hAnsi="Calibri"/>
          <w:sz w:val="22"/>
          <w:szCs w:val="22"/>
          <w:lang w:eastAsia="en-US"/>
        </w:rPr>
        <w:fldChar w:fldCharType="separate"/>
      </w:r>
      <w:r w:rsidRPr="007C5023">
        <w:rPr>
          <w:rFonts w:ascii="Calibri" w:eastAsia="Calibri" w:hAnsi="Calibri"/>
          <w:noProof/>
          <w:sz w:val="22"/>
          <w:szCs w:val="22"/>
          <w:lang w:eastAsia="es-MX"/>
        </w:rPr>
        <w:drawing>
          <wp:inline distT="0" distB="0" distL="0" distR="0" wp14:anchorId="5F051195" wp14:editId="77140668">
            <wp:extent cx="4472940" cy="3212465"/>
            <wp:effectExtent l="0" t="0" r="3810" b="6985"/>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7"/>
                    <pic:cNvPicPr>
                      <a:picLocks noChangeAspect="1" noChangeArrowheads="1"/>
                    </pic:cNvPicPr>
                  </pic:nvPicPr>
                  <pic:blipFill>
                    <a:blip r:embed="rId414" cstate="print">
                      <a:extLst>
                        <a:ext uri="{28A0092B-C50C-407E-A947-70E740481C1C}">
                          <a14:useLocalDpi xmlns:a14="http://schemas.microsoft.com/office/drawing/2010/main" val="0"/>
                        </a:ext>
                      </a:extLst>
                    </a:blip>
                    <a:srcRect t="2985" r="1797" b="3188"/>
                    <a:stretch>
                      <a:fillRect/>
                    </a:stretch>
                  </pic:blipFill>
                  <pic:spPr bwMode="auto">
                    <a:xfrm>
                      <a:off x="0" y="0"/>
                      <a:ext cx="4472940" cy="3212465"/>
                    </a:xfrm>
                    <a:prstGeom prst="rect">
                      <a:avLst/>
                    </a:prstGeom>
                    <a:noFill/>
                    <a:ln>
                      <a:noFill/>
                    </a:ln>
                  </pic:spPr>
                </pic:pic>
              </a:graphicData>
            </a:graphic>
          </wp:inline>
        </w:drawing>
      </w:r>
      <w:r w:rsidRPr="007C5023">
        <w:rPr>
          <w:rFonts w:ascii="Calibri" w:eastAsia="Calibri" w:hAnsi="Calibri"/>
          <w:sz w:val="22"/>
          <w:szCs w:val="22"/>
          <w:lang w:eastAsia="en-US"/>
        </w:rPr>
        <w:fldChar w:fldCharType="end"/>
      </w:r>
    </w:p>
    <w:p w14:paraId="00708C39" w14:textId="77777777" w:rsidR="0014764A" w:rsidRPr="0014764A" w:rsidRDefault="0014764A" w:rsidP="0014764A">
      <w:pPr>
        <w:ind w:right="-159"/>
        <w:jc w:val="both"/>
        <w:rPr>
          <w:rFonts w:eastAsia="Times New Roman"/>
          <w:b/>
          <w:sz w:val="20"/>
          <w:szCs w:val="20"/>
          <w:lang w:eastAsia="es-MX"/>
        </w:rPr>
      </w:pPr>
      <w:r w:rsidRPr="0014764A">
        <w:rPr>
          <w:rFonts w:eastAsia="Times New Roman"/>
          <w:b/>
          <w:sz w:val="20"/>
          <w:szCs w:val="20"/>
          <w:lang w:eastAsia="es-MX"/>
        </w:rPr>
        <w:t>Fuente de información:</w:t>
      </w:r>
    </w:p>
    <w:p w14:paraId="78C01921" w14:textId="0B5191E5" w:rsidR="0014764A" w:rsidRPr="00DF60F6" w:rsidRDefault="0093224F" w:rsidP="00DF60F6">
      <w:pPr>
        <w:spacing w:after="720"/>
        <w:ind w:right="-159"/>
        <w:rPr>
          <w:color w:val="0000FF"/>
          <w:sz w:val="20"/>
          <w:szCs w:val="20"/>
        </w:rPr>
      </w:pPr>
      <w:hyperlink r:id="rId415" w:history="1">
        <w:r w:rsidR="007C5023" w:rsidRPr="00DF60F6">
          <w:rPr>
            <w:rStyle w:val="Hipervnculo"/>
            <w:sz w:val="20"/>
            <w:szCs w:val="20"/>
          </w:rPr>
          <w:t>http://www.banxico.org.mx/informacion-para-la-prensa/comunicados/sector-financiero/agregados-monetarios/%7BD8BAB71F-BE7D-7BF1-0608-2DFC39011CD7%7D.pdf</w:t>
        </w:r>
      </w:hyperlink>
    </w:p>
    <w:p w14:paraId="64350FD8" w14:textId="77777777" w:rsidR="0014764A" w:rsidRPr="0014764A" w:rsidRDefault="0014764A" w:rsidP="0014764A">
      <w:pPr>
        <w:spacing w:after="360" w:line="360" w:lineRule="auto"/>
        <w:ind w:right="-159"/>
        <w:jc w:val="both"/>
        <w:rPr>
          <w:rFonts w:eastAsia="Times New Roman"/>
          <w:b/>
          <w:sz w:val="26"/>
          <w:szCs w:val="26"/>
          <w:lang w:eastAsia="es-MX"/>
        </w:rPr>
      </w:pPr>
      <w:r w:rsidRPr="0014764A">
        <w:rPr>
          <w:rFonts w:eastAsia="Times New Roman"/>
          <w:b/>
          <w:sz w:val="26"/>
          <w:szCs w:val="26"/>
          <w:lang w:eastAsia="es-MX"/>
        </w:rPr>
        <w:t>Medio circulante (Banxico)</w:t>
      </w:r>
    </w:p>
    <w:p w14:paraId="06BD08A5" w14:textId="5E10F6B4" w:rsidR="00E327DB" w:rsidRPr="00E327DB" w:rsidRDefault="00E327DB" w:rsidP="00E327DB">
      <w:pPr>
        <w:spacing w:after="360" w:line="360" w:lineRule="auto"/>
        <w:ind w:right="-159"/>
        <w:jc w:val="both"/>
        <w:rPr>
          <w:rFonts w:eastAsia="Times New Roman"/>
          <w:sz w:val="26"/>
          <w:szCs w:val="26"/>
          <w:lang w:eastAsia="es-MX"/>
        </w:rPr>
      </w:pPr>
      <w:r w:rsidRPr="00E327DB">
        <w:rPr>
          <w:rFonts w:eastAsia="Times New Roman"/>
          <w:sz w:val="26"/>
          <w:szCs w:val="26"/>
          <w:lang w:eastAsia="es-MX"/>
        </w:rPr>
        <w:t xml:space="preserve">El saldo nominal del medio circulante que se reportó en los </w:t>
      </w:r>
      <w:r>
        <w:rPr>
          <w:rFonts w:eastAsia="Times New Roman"/>
          <w:sz w:val="26"/>
          <w:szCs w:val="26"/>
          <w:lang w:eastAsia="es-MX"/>
        </w:rPr>
        <w:t>“</w:t>
      </w:r>
      <w:r w:rsidRPr="00E327DB">
        <w:rPr>
          <w:rFonts w:eastAsia="Times New Roman"/>
          <w:sz w:val="26"/>
          <w:szCs w:val="26"/>
          <w:lang w:eastAsia="es-MX"/>
        </w:rPr>
        <w:t>Agregados Monetarios</w:t>
      </w:r>
      <w:r>
        <w:rPr>
          <w:rFonts w:eastAsia="Times New Roman"/>
          <w:sz w:val="26"/>
          <w:szCs w:val="26"/>
          <w:lang w:eastAsia="es-MX"/>
        </w:rPr>
        <w:t>”</w:t>
      </w:r>
      <w:r w:rsidRPr="00E327DB">
        <w:rPr>
          <w:rFonts w:eastAsia="Times New Roman"/>
          <w:sz w:val="26"/>
          <w:szCs w:val="26"/>
          <w:lang w:eastAsia="es-MX"/>
        </w:rPr>
        <w:t xml:space="preserve"> del Banco de México, en enero de 2015, fue de 2 billones 889 mil 400 millones de pesos, cantidad en términos nominales, 0.36% mayor respecto al mes inmediato anterior y mayor en 17.65% con relación a enero de 2014. </w:t>
      </w:r>
    </w:p>
    <w:p w14:paraId="1D015186" w14:textId="77777777" w:rsidR="00E327DB" w:rsidRPr="00E327DB" w:rsidRDefault="00E327DB" w:rsidP="00E327DB">
      <w:pPr>
        <w:spacing w:after="360" w:line="360" w:lineRule="auto"/>
        <w:ind w:right="-159"/>
        <w:jc w:val="both"/>
        <w:rPr>
          <w:rFonts w:eastAsia="Times New Roman"/>
          <w:sz w:val="26"/>
          <w:szCs w:val="26"/>
          <w:lang w:eastAsia="es-MX"/>
        </w:rPr>
      </w:pPr>
      <w:r w:rsidRPr="00E327DB">
        <w:rPr>
          <w:rFonts w:eastAsia="Times New Roman"/>
          <w:sz w:val="26"/>
          <w:szCs w:val="26"/>
          <w:lang w:eastAsia="es-MX"/>
        </w:rPr>
        <w:t xml:space="preserve">En términos reales, en el período de enero de 2014 a enero de 2015, el medio circulante creció 14.2%. Así, en el primer mes de 2015, la suma de billetes y monedas (esta suma se obtiene excluyendo de los billetes y monedas en circulación, la caja de los bancos) observó un aumento de 14.7%, al registrar un saldo de 910 mil 500 millones de pesos; las cuentas de cheques en poder del público en moneda nacional aumentó 14.8%, al alcanzar la cifra de 1 billón 212 mil 800 millones de pesos, y en moneda extranjera aumentaron 24.8%, para totalizar 247 mil 500 millones de pesos. Por su parte, los </w:t>
      </w:r>
      <w:r w:rsidRPr="00E327DB">
        <w:rPr>
          <w:rFonts w:eastAsia="Times New Roman"/>
          <w:sz w:val="26"/>
          <w:szCs w:val="26"/>
          <w:lang w:eastAsia="es-MX"/>
        </w:rPr>
        <w:lastRenderedPageBreak/>
        <w:t xml:space="preserve">depósitos en cuenta corriente, que incluyen las tarjetas de débito, aumentaron 7.4%, para llegar a un saldo de 506 mil 100 millones de pesos y los depósitos a la vista en Entidades de Ahorro y Crédito Popular se incrementaron 8.9%, y reportaron un saldo de 12 mil 500 millones de pesos. </w:t>
      </w:r>
    </w:p>
    <w:p w14:paraId="56A14244" w14:textId="77777777" w:rsidR="00E327DB" w:rsidRPr="00E327DB" w:rsidRDefault="00E327DB" w:rsidP="00E327DB">
      <w:pPr>
        <w:spacing w:after="360" w:line="360" w:lineRule="auto"/>
        <w:ind w:right="-159"/>
        <w:jc w:val="both"/>
        <w:rPr>
          <w:rFonts w:eastAsia="Times New Roman"/>
          <w:sz w:val="26"/>
          <w:szCs w:val="26"/>
          <w:lang w:eastAsia="es-MX"/>
        </w:rPr>
      </w:pPr>
      <w:r w:rsidRPr="00E327DB">
        <w:rPr>
          <w:rFonts w:eastAsia="Times New Roman"/>
          <w:sz w:val="26"/>
          <w:szCs w:val="26"/>
          <w:lang w:eastAsia="es-MX"/>
        </w:rPr>
        <w:t>Hasta junio de 2009, este último rubro presentaba únicamente las cifras de Sociedades de Ahorro y Préstamo (SAP’s); a partir de septiembre de 2009, se le incorporan las cifras de las Sociedades Financieras Populares (Sofipos) y Sociedades Cooperativas de Ahorro y Préstamo (SCAP).</w:t>
      </w:r>
    </w:p>
    <w:p w14:paraId="5F3223B3" w14:textId="54963271" w:rsidR="0014764A" w:rsidRPr="0014764A" w:rsidRDefault="007C5023" w:rsidP="0014764A">
      <w:pPr>
        <w:spacing w:after="360" w:line="360" w:lineRule="auto"/>
        <w:ind w:right="-159"/>
        <w:jc w:val="center"/>
        <w:rPr>
          <w:rFonts w:eastAsia="Times New Roman"/>
          <w:sz w:val="26"/>
          <w:szCs w:val="26"/>
          <w:lang w:eastAsia="es-MX"/>
        </w:rPr>
      </w:pPr>
      <w:r w:rsidRPr="007C5023">
        <w:rPr>
          <w:rFonts w:ascii="Calibri" w:eastAsia="Calibri" w:hAnsi="Calibri"/>
          <w:sz w:val="22"/>
          <w:szCs w:val="22"/>
          <w:lang w:eastAsia="en-US"/>
        </w:rPr>
        <w:fldChar w:fldCharType="begin"/>
      </w:r>
      <w:r w:rsidRPr="007C5023">
        <w:rPr>
          <w:rFonts w:ascii="Calibri" w:eastAsia="Calibri" w:hAnsi="Calibri"/>
          <w:sz w:val="22"/>
          <w:szCs w:val="22"/>
          <w:lang w:eastAsia="en-US"/>
        </w:rPr>
        <w:instrText xml:space="preserve"> LINK PowerPoint.Slide.8 "D:\\2015\\MARZO 2014\\GRÁFICAS EN POWER POINT\\4.- GRÁFICAS DE BASE MONETARIA.pptx!260" "" \a \p </w:instrText>
      </w:r>
      <w:r w:rsidRPr="007C5023">
        <w:rPr>
          <w:rFonts w:ascii="Calibri" w:eastAsia="Calibri" w:hAnsi="Calibri"/>
          <w:sz w:val="22"/>
          <w:szCs w:val="22"/>
          <w:lang w:eastAsia="en-US"/>
        </w:rPr>
        <w:fldChar w:fldCharType="separate"/>
      </w:r>
      <w:r w:rsidRPr="007C5023">
        <w:rPr>
          <w:rFonts w:ascii="Calibri" w:eastAsia="Calibri" w:hAnsi="Calibri"/>
          <w:noProof/>
          <w:sz w:val="22"/>
          <w:szCs w:val="22"/>
          <w:lang w:eastAsia="es-MX"/>
        </w:rPr>
        <w:drawing>
          <wp:inline distT="0" distB="0" distL="0" distR="0" wp14:anchorId="6A086BA2" wp14:editId="2E1AC8CD">
            <wp:extent cx="4559935" cy="2891790"/>
            <wp:effectExtent l="0" t="0" r="0" b="381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9"/>
                    <pic:cNvPicPr>
                      <a:picLocks noChangeAspect="1" noChangeArrowheads="1"/>
                    </pic:cNvPicPr>
                  </pic:nvPicPr>
                  <pic:blipFill>
                    <a:blip r:embed="rId416" cstate="print">
                      <a:extLst>
                        <a:ext uri="{28A0092B-C50C-407E-A947-70E740481C1C}">
                          <a14:useLocalDpi xmlns:a14="http://schemas.microsoft.com/office/drawing/2010/main" val="0"/>
                        </a:ext>
                      </a:extLst>
                    </a:blip>
                    <a:srcRect t="12344" b="3189"/>
                    <a:stretch>
                      <a:fillRect/>
                    </a:stretch>
                  </pic:blipFill>
                  <pic:spPr bwMode="auto">
                    <a:xfrm>
                      <a:off x="0" y="0"/>
                      <a:ext cx="4559935" cy="2891790"/>
                    </a:xfrm>
                    <a:prstGeom prst="rect">
                      <a:avLst/>
                    </a:prstGeom>
                    <a:noFill/>
                    <a:ln>
                      <a:noFill/>
                    </a:ln>
                  </pic:spPr>
                </pic:pic>
              </a:graphicData>
            </a:graphic>
          </wp:inline>
        </w:drawing>
      </w:r>
      <w:r w:rsidRPr="007C5023">
        <w:rPr>
          <w:rFonts w:ascii="Calibri" w:eastAsia="Calibri" w:hAnsi="Calibri"/>
          <w:sz w:val="22"/>
          <w:szCs w:val="22"/>
          <w:lang w:eastAsia="en-US"/>
        </w:rPr>
        <w:fldChar w:fldCharType="end"/>
      </w:r>
    </w:p>
    <w:p w14:paraId="2190764D" w14:textId="77777777" w:rsidR="0014764A" w:rsidRPr="0014764A" w:rsidRDefault="0014764A" w:rsidP="0014764A">
      <w:pPr>
        <w:spacing w:after="360" w:line="360" w:lineRule="auto"/>
        <w:ind w:right="-159"/>
        <w:jc w:val="center"/>
        <w:rPr>
          <w:rFonts w:eastAsia="Times New Roman"/>
          <w:sz w:val="26"/>
          <w:szCs w:val="26"/>
          <w:lang w:eastAsia="es-MX"/>
        </w:rPr>
      </w:pPr>
    </w:p>
    <w:p w14:paraId="3E172D82" w14:textId="77777777" w:rsidR="0014764A" w:rsidRPr="0014764A" w:rsidRDefault="0014764A" w:rsidP="0014764A">
      <w:pPr>
        <w:ind w:right="-159"/>
        <w:jc w:val="both"/>
        <w:rPr>
          <w:rFonts w:eastAsia="Times New Roman"/>
          <w:b/>
          <w:sz w:val="20"/>
          <w:szCs w:val="20"/>
          <w:lang w:eastAsia="es-MX"/>
        </w:rPr>
      </w:pPr>
      <w:r w:rsidRPr="0014764A">
        <w:rPr>
          <w:rFonts w:eastAsia="Times New Roman"/>
          <w:b/>
          <w:sz w:val="20"/>
          <w:szCs w:val="20"/>
          <w:lang w:eastAsia="es-MX"/>
        </w:rPr>
        <w:t>Fuente de información:</w:t>
      </w:r>
    </w:p>
    <w:p w14:paraId="1A399D49" w14:textId="0BDEFE58" w:rsidR="0014764A" w:rsidRPr="00DF60F6" w:rsidRDefault="0093224F" w:rsidP="0014764A">
      <w:pPr>
        <w:rPr>
          <w:color w:val="0000FF"/>
          <w:sz w:val="20"/>
          <w:szCs w:val="20"/>
        </w:rPr>
      </w:pPr>
      <w:hyperlink r:id="rId417" w:history="1">
        <w:r w:rsidR="007C5023" w:rsidRPr="00DF60F6">
          <w:rPr>
            <w:rStyle w:val="Hipervnculo"/>
            <w:sz w:val="20"/>
            <w:szCs w:val="20"/>
          </w:rPr>
          <w:t>http://www.banxico.org.mx/informacion-para-la-prensa/comunicados/sector-financiero/agregados-monetarios/%7BD8BAB71F-BE7D-7BF1-0608-2DFC39011CD7%7D.pdf</w:t>
        </w:r>
      </w:hyperlink>
    </w:p>
    <w:p w14:paraId="76B3EC3E" w14:textId="77777777" w:rsidR="001C3145" w:rsidRDefault="001C3145" w:rsidP="009F3400">
      <w:pPr>
        <w:spacing w:after="360"/>
        <w:ind w:right="-159"/>
        <w:jc w:val="both"/>
        <w:rPr>
          <w:b/>
          <w:sz w:val="26"/>
          <w:szCs w:val="26"/>
        </w:rPr>
      </w:pPr>
    </w:p>
    <w:p w14:paraId="00A7A399" w14:textId="77777777" w:rsidR="001D7965" w:rsidRDefault="001D7965" w:rsidP="009F3400">
      <w:pPr>
        <w:spacing w:after="360"/>
        <w:ind w:right="-159"/>
        <w:jc w:val="both"/>
        <w:rPr>
          <w:b/>
          <w:sz w:val="26"/>
          <w:szCs w:val="26"/>
        </w:rPr>
      </w:pPr>
    </w:p>
    <w:p w14:paraId="3A3BD1B1" w14:textId="23E8341E" w:rsidR="001D7965" w:rsidRDefault="001D7965">
      <w:pPr>
        <w:rPr>
          <w:b/>
          <w:sz w:val="26"/>
          <w:szCs w:val="26"/>
        </w:rPr>
      </w:pPr>
      <w:r>
        <w:rPr>
          <w:b/>
          <w:sz w:val="26"/>
          <w:szCs w:val="26"/>
        </w:rPr>
        <w:br w:type="page"/>
      </w:r>
    </w:p>
    <w:p w14:paraId="1FB4145D" w14:textId="18F13844" w:rsidR="0039467A" w:rsidRPr="000E3A45" w:rsidRDefault="00AE40CF" w:rsidP="009F3400">
      <w:pPr>
        <w:spacing w:after="360"/>
        <w:ind w:right="-159"/>
        <w:jc w:val="both"/>
        <w:rPr>
          <w:b/>
          <w:sz w:val="26"/>
          <w:szCs w:val="26"/>
        </w:rPr>
      </w:pPr>
      <w:r>
        <w:rPr>
          <w:b/>
          <w:sz w:val="26"/>
          <w:szCs w:val="26"/>
        </w:rPr>
        <w:lastRenderedPageBreak/>
        <w:t>T</w:t>
      </w:r>
      <w:r w:rsidR="0039467A" w:rsidRPr="000E3A45">
        <w:rPr>
          <w:b/>
          <w:sz w:val="26"/>
          <w:szCs w:val="26"/>
        </w:rPr>
        <w:t>asas de interés de referencia</w:t>
      </w:r>
    </w:p>
    <w:p w14:paraId="5D2FFA14" w14:textId="1925B9B4" w:rsidR="0039467A" w:rsidRPr="000E3A45" w:rsidRDefault="0039467A" w:rsidP="009E223C">
      <w:pPr>
        <w:ind w:right="-159"/>
        <w:jc w:val="both"/>
        <w:rPr>
          <w:b/>
          <w:sz w:val="26"/>
          <w:szCs w:val="26"/>
        </w:rPr>
      </w:pPr>
      <w:r w:rsidRPr="000E3A45">
        <w:rPr>
          <w:b/>
          <w:sz w:val="26"/>
          <w:szCs w:val="26"/>
        </w:rPr>
        <w:t xml:space="preserve">Tasas de Rendimiento </w:t>
      </w:r>
      <w:r w:rsidR="00132F94" w:rsidRPr="000E3A45">
        <w:rPr>
          <w:b/>
          <w:sz w:val="26"/>
          <w:szCs w:val="26"/>
        </w:rPr>
        <w:t xml:space="preserve"> </w:t>
      </w:r>
      <w:r w:rsidRPr="000E3A45">
        <w:rPr>
          <w:b/>
          <w:sz w:val="26"/>
          <w:szCs w:val="26"/>
        </w:rPr>
        <w:t xml:space="preserve">de </w:t>
      </w:r>
      <w:r w:rsidR="00132F94" w:rsidRPr="000E3A45">
        <w:rPr>
          <w:b/>
          <w:sz w:val="26"/>
          <w:szCs w:val="26"/>
        </w:rPr>
        <w:t xml:space="preserve"> </w:t>
      </w:r>
      <w:r w:rsidRPr="000E3A45">
        <w:rPr>
          <w:b/>
          <w:sz w:val="26"/>
          <w:szCs w:val="26"/>
        </w:rPr>
        <w:t>los Certificados</w:t>
      </w:r>
    </w:p>
    <w:p w14:paraId="1499BC91" w14:textId="30FA3B93" w:rsidR="0039467A" w:rsidRPr="000E3A45" w:rsidRDefault="00132F94" w:rsidP="0039467A">
      <w:pPr>
        <w:spacing w:after="360" w:line="360" w:lineRule="auto"/>
        <w:ind w:right="-159"/>
        <w:jc w:val="both"/>
        <w:rPr>
          <w:b/>
          <w:sz w:val="26"/>
          <w:szCs w:val="26"/>
        </w:rPr>
      </w:pPr>
      <w:r w:rsidRPr="000E3A45">
        <w:rPr>
          <w:b/>
          <w:sz w:val="26"/>
          <w:szCs w:val="26"/>
        </w:rPr>
        <w:t xml:space="preserve">de </w:t>
      </w:r>
      <w:r w:rsidR="0039467A" w:rsidRPr="000E3A45">
        <w:rPr>
          <w:b/>
          <w:sz w:val="26"/>
          <w:szCs w:val="26"/>
        </w:rPr>
        <w:t>la Tesorería de la Federación</w:t>
      </w:r>
      <w:r w:rsidRPr="000E3A45">
        <w:rPr>
          <w:b/>
          <w:sz w:val="26"/>
          <w:szCs w:val="26"/>
        </w:rPr>
        <w:t xml:space="preserve"> </w:t>
      </w:r>
      <w:r w:rsidR="0039467A" w:rsidRPr="000E3A45">
        <w:rPr>
          <w:b/>
          <w:sz w:val="26"/>
          <w:szCs w:val="26"/>
        </w:rPr>
        <w:t>(Banxico)</w:t>
      </w:r>
    </w:p>
    <w:p w14:paraId="7F325E92" w14:textId="2D6261FE" w:rsidR="005D132B" w:rsidRDefault="0049793C" w:rsidP="00B67C40">
      <w:pPr>
        <w:spacing w:after="360" w:line="360" w:lineRule="auto"/>
        <w:ind w:right="-159"/>
        <w:jc w:val="both"/>
        <w:rPr>
          <w:rFonts w:eastAsia="Times New Roman"/>
          <w:sz w:val="26"/>
          <w:szCs w:val="26"/>
          <w:lang w:val="es-ES"/>
        </w:rPr>
      </w:pPr>
      <w:r w:rsidRPr="000E3A45">
        <w:rPr>
          <w:rFonts w:eastAsia="Times New Roman"/>
          <w:sz w:val="26"/>
          <w:szCs w:val="26"/>
          <w:lang w:val="es-ES"/>
        </w:rPr>
        <w:t>D</w:t>
      </w:r>
      <w:r w:rsidR="005B224D" w:rsidRPr="000E3A45">
        <w:rPr>
          <w:rFonts w:eastAsia="Times New Roman"/>
          <w:sz w:val="26"/>
          <w:szCs w:val="26"/>
          <w:lang w:val="es-ES"/>
        </w:rPr>
        <w:t xml:space="preserve">e </w:t>
      </w:r>
      <w:r w:rsidR="005D132B">
        <w:rPr>
          <w:rFonts w:eastAsia="Times New Roman"/>
          <w:sz w:val="26"/>
          <w:szCs w:val="26"/>
          <w:lang w:val="es-ES"/>
        </w:rPr>
        <w:t>acuerdo con el Anuncio de Política Monetaria del 29 de enero de 2015, la Junta de Gobierno del Banco de México decidió mantener el objetivo de la Tasa de Interés Interbancaria a un día en 3.0%, lo cual ocurre desde el 11 de julio de 2014.</w:t>
      </w:r>
    </w:p>
    <w:p w14:paraId="32560CBD" w14:textId="0F0B5099" w:rsidR="005239AE" w:rsidRDefault="005239AE" w:rsidP="00B67C40">
      <w:pPr>
        <w:spacing w:after="360" w:line="360" w:lineRule="auto"/>
        <w:ind w:right="-159"/>
        <w:jc w:val="both"/>
        <w:rPr>
          <w:rFonts w:eastAsia="Times New Roman"/>
          <w:sz w:val="26"/>
          <w:szCs w:val="26"/>
          <w:lang w:val="es-ES"/>
        </w:rPr>
      </w:pPr>
      <w:r>
        <w:rPr>
          <w:rFonts w:eastAsia="Times New Roman"/>
          <w:sz w:val="26"/>
          <w:szCs w:val="26"/>
          <w:lang w:val="es-ES"/>
        </w:rPr>
        <w:t>En congruencia con el Programa Monetario para 2015, e</w:t>
      </w:r>
      <w:r w:rsidRPr="00C7548D">
        <w:rPr>
          <w:rFonts w:eastAsia="Calibri"/>
          <w:sz w:val="26"/>
          <w:szCs w:val="26"/>
          <w:lang w:eastAsia="en-US"/>
        </w:rPr>
        <w:t>l Banco de México, como muchos bancos centrales, utiliza la tasa de interés interbancaria a un día como el principal instrumento de política monetaria. Para ello, el Instituto Central establece un objetivo para dicha tasa de interés, que se conoce como tasa de referencia de política monetaria, y modifica las condiciones bajo las que proporciona liquidez al mercado de dinero buscando que la tasa de interés en el mercado interbancario se ubique en el nivel que se ha planteado como objetivo. A su vez, lo anterior incide sobre la economía a través de diferentes canales</w:t>
      </w:r>
      <w:r w:rsidRPr="00C7548D">
        <w:rPr>
          <w:rFonts w:eastAsia="Calibri"/>
          <w:sz w:val="26"/>
          <w:szCs w:val="26"/>
          <w:vertAlign w:val="superscript"/>
          <w:lang w:eastAsia="en-US"/>
        </w:rPr>
        <w:footnoteReference w:id="119"/>
      </w:r>
      <w:r>
        <w:rPr>
          <w:rFonts w:eastAsia="Calibri"/>
          <w:sz w:val="26"/>
          <w:szCs w:val="26"/>
          <w:lang w:eastAsia="en-US"/>
        </w:rPr>
        <w:t>.</w:t>
      </w:r>
      <w:r w:rsidRPr="00C7548D">
        <w:rPr>
          <w:rFonts w:eastAsia="Calibri"/>
          <w:sz w:val="26"/>
          <w:szCs w:val="26"/>
          <w:lang w:eastAsia="en-US"/>
        </w:rPr>
        <w:t xml:space="preserve"> En primer término, ajustes en la tasa de referencia afectan variables como las expectativas de los agentes económicos, las tasas de interés a diferentes plazos, el crédito, los precios de los activos y la cotización de la divisa nacional frente a otras divisas. Posteriormente, los cambios en estas variables inciden, primordialmente, sobre la demanda agregada y, en última instancia, sobre la inflación.</w:t>
      </w:r>
    </w:p>
    <w:p w14:paraId="1404CBDF" w14:textId="2E21DDBD" w:rsidR="00BD4438" w:rsidRPr="000E3A45" w:rsidRDefault="00BD4438" w:rsidP="00BD4438">
      <w:pPr>
        <w:spacing w:after="360" w:line="360" w:lineRule="auto"/>
        <w:ind w:right="-159"/>
        <w:jc w:val="both"/>
        <w:rPr>
          <w:rFonts w:eastAsia="Calibri"/>
          <w:sz w:val="26"/>
          <w:szCs w:val="26"/>
          <w:lang w:eastAsia="en-US"/>
        </w:rPr>
      </w:pPr>
      <w:r w:rsidRPr="000E3A45">
        <w:rPr>
          <w:rFonts w:eastAsia="Calibri"/>
          <w:sz w:val="26"/>
          <w:szCs w:val="26"/>
          <w:lang w:eastAsia="en-US"/>
        </w:rPr>
        <w:t xml:space="preserve">En </w:t>
      </w:r>
      <w:r w:rsidR="005239AE">
        <w:rPr>
          <w:rFonts w:eastAsia="Calibri"/>
          <w:sz w:val="26"/>
          <w:szCs w:val="26"/>
          <w:lang w:eastAsia="en-US"/>
        </w:rPr>
        <w:t xml:space="preserve">este sentido, </w:t>
      </w:r>
      <w:r w:rsidRPr="000E3A45">
        <w:rPr>
          <w:rFonts w:eastAsia="Calibri"/>
          <w:sz w:val="26"/>
          <w:szCs w:val="26"/>
          <w:lang w:eastAsia="en-US"/>
        </w:rPr>
        <w:t>hasta el momento la volatilidad cambiaria se ha dado de manera ordenada, con niveles de operación y liquidez adecuados. La depreciación de la mayoría de las divisas de países emergentes aún no se ha reflejado en mayores niveles de sus tasas de interés de mercado</w:t>
      </w:r>
      <w:r w:rsidR="0079581F">
        <w:rPr>
          <w:rFonts w:eastAsia="Calibri"/>
          <w:sz w:val="26"/>
          <w:szCs w:val="26"/>
          <w:lang w:eastAsia="en-US"/>
        </w:rPr>
        <w:t>, lo cual ha hecho proponer a los analistas del mercado de dinero que es un momento adecuado para elevar la tasa interbancaria.</w:t>
      </w:r>
      <w:r w:rsidRPr="000E3A45">
        <w:rPr>
          <w:rFonts w:eastAsia="Calibri"/>
          <w:sz w:val="26"/>
          <w:szCs w:val="26"/>
          <w:lang w:eastAsia="en-US"/>
        </w:rPr>
        <w:t xml:space="preserve"> Sin embargo, </w:t>
      </w:r>
      <w:r w:rsidR="0079581F">
        <w:rPr>
          <w:rFonts w:eastAsia="Calibri"/>
          <w:sz w:val="26"/>
          <w:szCs w:val="26"/>
          <w:lang w:eastAsia="en-US"/>
        </w:rPr>
        <w:t xml:space="preserve">el banco central ha comenzado a </w:t>
      </w:r>
      <w:r w:rsidR="00DF60F6">
        <w:rPr>
          <w:rFonts w:eastAsia="Calibri"/>
          <w:sz w:val="26"/>
          <w:szCs w:val="26"/>
          <w:lang w:eastAsia="en-US"/>
        </w:rPr>
        <w:t>l</w:t>
      </w:r>
      <w:r w:rsidR="0079581F">
        <w:rPr>
          <w:rFonts w:eastAsia="Calibri"/>
          <w:sz w:val="26"/>
          <w:szCs w:val="26"/>
          <w:lang w:eastAsia="en-US"/>
        </w:rPr>
        <w:t xml:space="preserve">levar las tasas de referencia de corto plazo para mantener </w:t>
      </w:r>
      <w:r w:rsidR="0079581F">
        <w:rPr>
          <w:rFonts w:eastAsia="Calibri"/>
          <w:sz w:val="26"/>
          <w:szCs w:val="26"/>
          <w:lang w:eastAsia="en-US"/>
        </w:rPr>
        <w:lastRenderedPageBreak/>
        <w:t>tasas de interés reales positivas en el mercado de bonos gubernamentales con una a</w:t>
      </w:r>
      <w:r w:rsidR="00DF60F6">
        <w:rPr>
          <w:rFonts w:eastAsia="Calibri"/>
          <w:sz w:val="26"/>
          <w:szCs w:val="26"/>
          <w:lang w:eastAsia="en-US"/>
        </w:rPr>
        <w:t>d</w:t>
      </w:r>
      <w:r w:rsidR="0079581F">
        <w:rPr>
          <w:rFonts w:eastAsia="Calibri"/>
          <w:sz w:val="26"/>
          <w:szCs w:val="26"/>
          <w:lang w:eastAsia="en-US"/>
        </w:rPr>
        <w:t xml:space="preserve">ecuada liquidez y evitar una intensificación de la </w:t>
      </w:r>
      <w:r w:rsidRPr="000E3A45">
        <w:rPr>
          <w:rFonts w:eastAsia="Calibri"/>
          <w:sz w:val="26"/>
          <w:szCs w:val="26"/>
          <w:lang w:eastAsia="en-US"/>
        </w:rPr>
        <w:t xml:space="preserve">volatilidad en </w:t>
      </w:r>
      <w:r w:rsidR="0079581F">
        <w:rPr>
          <w:rFonts w:eastAsia="Calibri"/>
          <w:sz w:val="26"/>
          <w:szCs w:val="26"/>
          <w:lang w:eastAsia="en-US"/>
        </w:rPr>
        <w:t>el</w:t>
      </w:r>
      <w:r w:rsidRPr="000E3A45">
        <w:rPr>
          <w:rFonts w:eastAsia="Calibri"/>
          <w:sz w:val="26"/>
          <w:szCs w:val="26"/>
          <w:lang w:eastAsia="en-US"/>
        </w:rPr>
        <w:t xml:space="preserve"> mercado </w:t>
      </w:r>
      <w:r w:rsidR="0079581F">
        <w:rPr>
          <w:rFonts w:eastAsia="Calibri"/>
          <w:sz w:val="26"/>
          <w:szCs w:val="26"/>
          <w:lang w:eastAsia="en-US"/>
        </w:rPr>
        <w:t>local.</w:t>
      </w:r>
    </w:p>
    <w:p w14:paraId="68E3BE58" w14:textId="3B71E9A6" w:rsidR="002B7508" w:rsidRPr="000E3A45" w:rsidRDefault="001F4034" w:rsidP="00B41064">
      <w:pPr>
        <w:spacing w:after="360" w:line="360" w:lineRule="auto"/>
        <w:ind w:right="-159"/>
        <w:jc w:val="both"/>
        <w:rPr>
          <w:rFonts w:eastAsia="Calibri"/>
          <w:sz w:val="26"/>
          <w:szCs w:val="26"/>
          <w:lang w:eastAsia="en-US"/>
        </w:rPr>
      </w:pPr>
      <w:r w:rsidRPr="000E3A45">
        <w:rPr>
          <w:rFonts w:eastAsia="Times New Roman"/>
          <w:sz w:val="26"/>
          <w:szCs w:val="26"/>
          <w:lang w:val="es-ES"/>
        </w:rPr>
        <w:t xml:space="preserve">En este contexto, durante </w:t>
      </w:r>
      <w:r w:rsidR="00BD4438" w:rsidRPr="000E3A45">
        <w:rPr>
          <w:rFonts w:eastAsia="Times New Roman"/>
          <w:sz w:val="26"/>
          <w:szCs w:val="26"/>
          <w:lang w:val="es-ES"/>
        </w:rPr>
        <w:t>201</w:t>
      </w:r>
      <w:r w:rsidR="00E069AC">
        <w:rPr>
          <w:rFonts w:eastAsia="Times New Roman"/>
          <w:sz w:val="26"/>
          <w:szCs w:val="26"/>
          <w:lang w:val="es-ES"/>
        </w:rPr>
        <w:t>5</w:t>
      </w:r>
      <w:r w:rsidRPr="000E3A45">
        <w:rPr>
          <w:rFonts w:eastAsia="Times New Roman"/>
          <w:sz w:val="26"/>
          <w:szCs w:val="26"/>
          <w:lang w:val="es-ES"/>
        </w:rPr>
        <w:t xml:space="preserve"> se mant</w:t>
      </w:r>
      <w:r w:rsidR="00E069AC">
        <w:rPr>
          <w:rFonts w:eastAsia="Times New Roman"/>
          <w:sz w:val="26"/>
          <w:szCs w:val="26"/>
          <w:lang w:val="es-ES"/>
        </w:rPr>
        <w:t>endrá</w:t>
      </w:r>
      <w:r w:rsidRPr="000E3A45">
        <w:rPr>
          <w:rFonts w:eastAsia="Times New Roman"/>
          <w:sz w:val="26"/>
          <w:szCs w:val="26"/>
          <w:lang w:val="es-ES"/>
        </w:rPr>
        <w:t xml:space="preserve"> una </w:t>
      </w:r>
      <w:r w:rsidR="0039069C" w:rsidRPr="000E3A45">
        <w:rPr>
          <w:rFonts w:eastAsia="Times New Roman"/>
          <w:sz w:val="26"/>
          <w:szCs w:val="26"/>
          <w:lang w:val="es-ES"/>
        </w:rPr>
        <w:t>postura monetaria acomodaticia</w:t>
      </w:r>
      <w:r w:rsidR="0049793C" w:rsidRPr="000E3A45">
        <w:rPr>
          <w:rFonts w:eastAsia="Calibri"/>
          <w:sz w:val="26"/>
          <w:szCs w:val="26"/>
          <w:lang w:eastAsia="en-US"/>
        </w:rPr>
        <w:t xml:space="preserve"> </w:t>
      </w:r>
      <w:r w:rsidR="0039069C" w:rsidRPr="000E3A45">
        <w:rPr>
          <w:rFonts w:eastAsia="Calibri"/>
          <w:sz w:val="26"/>
          <w:szCs w:val="26"/>
          <w:lang w:eastAsia="en-US"/>
        </w:rPr>
        <w:t xml:space="preserve">y </w:t>
      </w:r>
      <w:r w:rsidR="0049793C" w:rsidRPr="000E3A45">
        <w:rPr>
          <w:rFonts w:eastAsia="Calibri"/>
          <w:sz w:val="26"/>
          <w:szCs w:val="26"/>
          <w:lang w:eastAsia="en-US"/>
        </w:rPr>
        <w:t>congruente con la convergencia eficiente de la inflación a la meta de 3.0%</w:t>
      </w:r>
      <w:r w:rsidR="00576BA0" w:rsidRPr="000E3A45">
        <w:rPr>
          <w:rFonts w:eastAsia="Calibri"/>
          <w:sz w:val="26"/>
          <w:szCs w:val="26"/>
          <w:lang w:eastAsia="en-US"/>
        </w:rPr>
        <w:t xml:space="preserve"> para 2015</w:t>
      </w:r>
      <w:r w:rsidR="00CE58E9" w:rsidRPr="000E3A45">
        <w:rPr>
          <w:rFonts w:eastAsia="Calibri"/>
          <w:sz w:val="26"/>
          <w:szCs w:val="26"/>
          <w:lang w:eastAsia="en-US"/>
        </w:rPr>
        <w:t xml:space="preserve">. Además es consistente con la </w:t>
      </w:r>
      <w:r w:rsidR="00B31630" w:rsidRPr="000E3A45">
        <w:rPr>
          <w:rFonts w:eastAsia="Calibri"/>
          <w:sz w:val="26"/>
          <w:szCs w:val="26"/>
          <w:lang w:eastAsia="en-US"/>
        </w:rPr>
        <w:t xml:space="preserve">recuperación prevista de la economía y la postura monetaria relativa de México con </w:t>
      </w:r>
      <w:r w:rsidR="0079581F">
        <w:rPr>
          <w:rFonts w:eastAsia="Calibri"/>
          <w:sz w:val="26"/>
          <w:szCs w:val="26"/>
          <w:lang w:eastAsia="en-US"/>
        </w:rPr>
        <w:t xml:space="preserve">la Reserva Federal de los </w:t>
      </w:r>
      <w:r w:rsidR="00B31630" w:rsidRPr="000E3A45">
        <w:rPr>
          <w:rFonts w:eastAsia="Calibri"/>
          <w:sz w:val="26"/>
          <w:szCs w:val="26"/>
          <w:lang w:eastAsia="en-US"/>
        </w:rPr>
        <w:t>Estados Unidos de Norteamérica</w:t>
      </w:r>
      <w:r w:rsidR="00CE58E9" w:rsidRPr="000E3A45">
        <w:rPr>
          <w:rFonts w:eastAsia="Calibri"/>
          <w:sz w:val="26"/>
          <w:szCs w:val="26"/>
          <w:lang w:eastAsia="en-US"/>
        </w:rPr>
        <w:t>.</w:t>
      </w:r>
    </w:p>
    <w:p w14:paraId="77933576" w14:textId="2C93F844" w:rsidR="00782691" w:rsidRPr="000E3A45" w:rsidRDefault="00E069AC" w:rsidP="00782691">
      <w:pPr>
        <w:spacing w:after="360" w:line="360" w:lineRule="auto"/>
        <w:ind w:right="-159"/>
        <w:jc w:val="both"/>
        <w:rPr>
          <w:sz w:val="26"/>
          <w:szCs w:val="26"/>
        </w:rPr>
      </w:pPr>
      <w:r>
        <w:rPr>
          <w:sz w:val="26"/>
          <w:szCs w:val="26"/>
        </w:rPr>
        <w:t xml:space="preserve">Así, en </w:t>
      </w:r>
      <w:r w:rsidR="0079581F">
        <w:rPr>
          <w:sz w:val="26"/>
          <w:szCs w:val="26"/>
        </w:rPr>
        <w:t>febrero</w:t>
      </w:r>
      <w:r w:rsidR="00782691">
        <w:rPr>
          <w:sz w:val="26"/>
          <w:szCs w:val="26"/>
        </w:rPr>
        <w:t xml:space="preserve"> de 201</w:t>
      </w:r>
      <w:r>
        <w:rPr>
          <w:sz w:val="26"/>
          <w:szCs w:val="26"/>
        </w:rPr>
        <w:t>5</w:t>
      </w:r>
      <w:r w:rsidR="00782691">
        <w:rPr>
          <w:sz w:val="26"/>
          <w:szCs w:val="26"/>
        </w:rPr>
        <w:t>, el promedio de rendimiento de los Cetes a 28 días fue de 2.</w:t>
      </w:r>
      <w:r w:rsidR="0079581F">
        <w:rPr>
          <w:sz w:val="26"/>
          <w:szCs w:val="26"/>
        </w:rPr>
        <w:t>81</w:t>
      </w:r>
      <w:r w:rsidR="00782691">
        <w:rPr>
          <w:sz w:val="26"/>
          <w:szCs w:val="26"/>
        </w:rPr>
        <w:t xml:space="preserve">%, porcentaje inferior en </w:t>
      </w:r>
      <w:r>
        <w:rPr>
          <w:sz w:val="26"/>
          <w:szCs w:val="26"/>
        </w:rPr>
        <w:t>14</w:t>
      </w:r>
      <w:r w:rsidR="00782691">
        <w:rPr>
          <w:sz w:val="26"/>
          <w:szCs w:val="26"/>
        </w:rPr>
        <w:t xml:space="preserve"> centésimas de punto porcentual respecto a </w:t>
      </w:r>
      <w:r w:rsidR="0079581F">
        <w:rPr>
          <w:sz w:val="26"/>
          <w:szCs w:val="26"/>
        </w:rPr>
        <w:t xml:space="preserve">enero pasado (2.67%) e idéntica a la observada en </w:t>
      </w:r>
      <w:r>
        <w:rPr>
          <w:sz w:val="26"/>
          <w:szCs w:val="26"/>
        </w:rPr>
        <w:t>diciembre</w:t>
      </w:r>
      <w:r w:rsidR="00782691">
        <w:rPr>
          <w:sz w:val="26"/>
          <w:szCs w:val="26"/>
        </w:rPr>
        <w:t xml:space="preserve"> </w:t>
      </w:r>
      <w:r w:rsidR="00782691" w:rsidRPr="000E3A45">
        <w:rPr>
          <w:sz w:val="26"/>
          <w:szCs w:val="26"/>
        </w:rPr>
        <w:t>pasado (2.</w:t>
      </w:r>
      <w:r w:rsidR="00782691">
        <w:rPr>
          <w:sz w:val="26"/>
          <w:szCs w:val="26"/>
        </w:rPr>
        <w:t>8</w:t>
      </w:r>
      <w:r>
        <w:rPr>
          <w:sz w:val="26"/>
          <w:szCs w:val="26"/>
        </w:rPr>
        <w:t>1</w:t>
      </w:r>
      <w:r w:rsidR="00782691" w:rsidRPr="000E3A45">
        <w:rPr>
          <w:sz w:val="26"/>
          <w:szCs w:val="26"/>
        </w:rPr>
        <w:t>%)</w:t>
      </w:r>
      <w:r>
        <w:rPr>
          <w:sz w:val="26"/>
          <w:szCs w:val="26"/>
        </w:rPr>
        <w:t>,</w:t>
      </w:r>
      <w:r w:rsidR="00782691" w:rsidRPr="000E3A45">
        <w:rPr>
          <w:sz w:val="26"/>
          <w:szCs w:val="26"/>
        </w:rPr>
        <w:t xml:space="preserve"> en tanto que en el plazo a 91 días el promedio fue de 2.9</w:t>
      </w:r>
      <w:r w:rsidR="0079581F">
        <w:rPr>
          <w:sz w:val="26"/>
          <w:szCs w:val="26"/>
        </w:rPr>
        <w:t>4</w:t>
      </w:r>
      <w:r w:rsidR="00782691" w:rsidRPr="000E3A45">
        <w:rPr>
          <w:sz w:val="26"/>
          <w:szCs w:val="26"/>
        </w:rPr>
        <w:t xml:space="preserve">%, cifra </w:t>
      </w:r>
      <w:r w:rsidR="0079581F">
        <w:rPr>
          <w:sz w:val="26"/>
          <w:szCs w:val="26"/>
        </w:rPr>
        <w:t>mayor</w:t>
      </w:r>
      <w:r>
        <w:rPr>
          <w:sz w:val="26"/>
          <w:szCs w:val="26"/>
        </w:rPr>
        <w:t xml:space="preserve"> en </w:t>
      </w:r>
      <w:r w:rsidR="0079581F">
        <w:rPr>
          <w:sz w:val="26"/>
          <w:szCs w:val="26"/>
        </w:rPr>
        <w:t>tres</w:t>
      </w:r>
      <w:r>
        <w:rPr>
          <w:sz w:val="26"/>
          <w:szCs w:val="26"/>
        </w:rPr>
        <w:t xml:space="preserve"> décima</w:t>
      </w:r>
      <w:r w:rsidR="00DF60F6">
        <w:rPr>
          <w:sz w:val="26"/>
          <w:szCs w:val="26"/>
        </w:rPr>
        <w:t>s</w:t>
      </w:r>
      <w:r>
        <w:rPr>
          <w:sz w:val="26"/>
          <w:szCs w:val="26"/>
        </w:rPr>
        <w:t xml:space="preserve"> de punto respecto a la </w:t>
      </w:r>
      <w:r w:rsidR="00782691">
        <w:rPr>
          <w:sz w:val="26"/>
          <w:szCs w:val="26"/>
        </w:rPr>
        <w:t>observada en el mes inmediato anterior</w:t>
      </w:r>
      <w:r w:rsidR="00782691" w:rsidRPr="000E3A45">
        <w:rPr>
          <w:sz w:val="26"/>
          <w:szCs w:val="26"/>
        </w:rPr>
        <w:t xml:space="preserve"> (2.9</w:t>
      </w:r>
      <w:r w:rsidR="0079581F">
        <w:rPr>
          <w:sz w:val="26"/>
          <w:szCs w:val="26"/>
        </w:rPr>
        <w:t>1</w:t>
      </w:r>
      <w:r w:rsidR="00782691" w:rsidRPr="000E3A45">
        <w:rPr>
          <w:sz w:val="26"/>
          <w:szCs w:val="26"/>
        </w:rPr>
        <w:t>%)</w:t>
      </w:r>
      <w:r w:rsidR="0079581F">
        <w:rPr>
          <w:sz w:val="26"/>
          <w:szCs w:val="26"/>
        </w:rPr>
        <w:t xml:space="preserve"> y mayor en dos centésimas de punto con relación a diciembre anterior (2.92%)</w:t>
      </w:r>
      <w:r>
        <w:rPr>
          <w:sz w:val="26"/>
          <w:szCs w:val="26"/>
        </w:rPr>
        <w:t>.</w:t>
      </w:r>
    </w:p>
    <w:p w14:paraId="133D2E90" w14:textId="652085C6" w:rsidR="00FE7E49" w:rsidRDefault="00782691" w:rsidP="00B41064">
      <w:pPr>
        <w:spacing w:after="360" w:line="360" w:lineRule="auto"/>
        <w:ind w:right="-159"/>
        <w:jc w:val="both"/>
        <w:rPr>
          <w:sz w:val="26"/>
          <w:szCs w:val="26"/>
        </w:rPr>
      </w:pPr>
      <w:r>
        <w:rPr>
          <w:sz w:val="26"/>
          <w:szCs w:val="26"/>
        </w:rPr>
        <w:t>Finalmente, d</w:t>
      </w:r>
      <w:r w:rsidR="00A91897" w:rsidRPr="000E3A45">
        <w:rPr>
          <w:sz w:val="26"/>
          <w:szCs w:val="26"/>
        </w:rPr>
        <w:t xml:space="preserve">urante las </w:t>
      </w:r>
      <w:r w:rsidR="00062BB6" w:rsidRPr="000E3A45">
        <w:rPr>
          <w:sz w:val="26"/>
          <w:szCs w:val="26"/>
        </w:rPr>
        <w:t>tres</w:t>
      </w:r>
      <w:r w:rsidR="00A91897" w:rsidRPr="000E3A45">
        <w:rPr>
          <w:sz w:val="26"/>
          <w:szCs w:val="26"/>
        </w:rPr>
        <w:t xml:space="preserve"> primeras subastas de </w:t>
      </w:r>
      <w:r w:rsidR="0079581F">
        <w:rPr>
          <w:sz w:val="26"/>
          <w:szCs w:val="26"/>
        </w:rPr>
        <w:t>marzo</w:t>
      </w:r>
      <w:r w:rsidR="0018124A" w:rsidRPr="000E3A45">
        <w:rPr>
          <w:sz w:val="26"/>
          <w:szCs w:val="26"/>
        </w:rPr>
        <w:t xml:space="preserve"> de 2015, </w:t>
      </w:r>
      <w:r w:rsidR="00A91897" w:rsidRPr="000E3A45">
        <w:rPr>
          <w:sz w:val="26"/>
          <w:szCs w:val="26"/>
        </w:rPr>
        <w:t>los Cetes a 28 días re</w:t>
      </w:r>
      <w:r w:rsidR="005B224D" w:rsidRPr="000E3A45">
        <w:rPr>
          <w:sz w:val="26"/>
          <w:szCs w:val="26"/>
        </w:rPr>
        <w:t>gistraron</w:t>
      </w:r>
      <w:r w:rsidR="00A91897" w:rsidRPr="000E3A45">
        <w:rPr>
          <w:sz w:val="26"/>
          <w:szCs w:val="26"/>
        </w:rPr>
        <w:t xml:space="preserve"> una tasa de rendimiento </w:t>
      </w:r>
      <w:r w:rsidR="00312914" w:rsidRPr="000E3A45">
        <w:rPr>
          <w:sz w:val="26"/>
          <w:szCs w:val="26"/>
        </w:rPr>
        <w:t xml:space="preserve">de </w:t>
      </w:r>
      <w:r w:rsidR="0079581F">
        <w:rPr>
          <w:sz w:val="26"/>
          <w:szCs w:val="26"/>
        </w:rPr>
        <w:t>3.03</w:t>
      </w:r>
      <w:r w:rsidR="00A91897" w:rsidRPr="000E3A45">
        <w:rPr>
          <w:sz w:val="26"/>
          <w:szCs w:val="26"/>
        </w:rPr>
        <w:t xml:space="preserve">%, </w:t>
      </w:r>
      <w:r w:rsidR="005B224D" w:rsidRPr="000E3A45">
        <w:rPr>
          <w:sz w:val="26"/>
          <w:szCs w:val="26"/>
        </w:rPr>
        <w:t xml:space="preserve">porcentaje </w:t>
      </w:r>
      <w:r w:rsidR="008F1125">
        <w:rPr>
          <w:sz w:val="26"/>
          <w:szCs w:val="26"/>
        </w:rPr>
        <w:t>superior</w:t>
      </w:r>
      <w:r w:rsidR="00312914" w:rsidRPr="000E3A45">
        <w:rPr>
          <w:sz w:val="26"/>
          <w:szCs w:val="26"/>
        </w:rPr>
        <w:t xml:space="preserve"> en </w:t>
      </w:r>
      <w:r w:rsidR="0079581F">
        <w:rPr>
          <w:sz w:val="26"/>
          <w:szCs w:val="26"/>
        </w:rPr>
        <w:t>22</w:t>
      </w:r>
      <w:r w:rsidR="00312914" w:rsidRPr="000E3A45">
        <w:rPr>
          <w:sz w:val="26"/>
          <w:szCs w:val="26"/>
        </w:rPr>
        <w:t xml:space="preserve"> c</w:t>
      </w:r>
      <w:r w:rsidR="00132F94" w:rsidRPr="000E3A45">
        <w:rPr>
          <w:sz w:val="26"/>
          <w:szCs w:val="26"/>
        </w:rPr>
        <w:t>e</w:t>
      </w:r>
      <w:r w:rsidR="00312914" w:rsidRPr="000E3A45">
        <w:rPr>
          <w:sz w:val="26"/>
          <w:szCs w:val="26"/>
        </w:rPr>
        <w:t>nt</w:t>
      </w:r>
      <w:r w:rsidR="00132F94" w:rsidRPr="000E3A45">
        <w:rPr>
          <w:sz w:val="26"/>
          <w:szCs w:val="26"/>
        </w:rPr>
        <w:t>é</w:t>
      </w:r>
      <w:r w:rsidR="00312914" w:rsidRPr="000E3A45">
        <w:rPr>
          <w:sz w:val="26"/>
          <w:szCs w:val="26"/>
        </w:rPr>
        <w:t xml:space="preserve">simas de punto porcentual respecto a </w:t>
      </w:r>
      <w:r w:rsidR="0079581F">
        <w:rPr>
          <w:sz w:val="26"/>
          <w:szCs w:val="26"/>
        </w:rPr>
        <w:t>febrero</w:t>
      </w:r>
      <w:r w:rsidR="00B05AA1">
        <w:rPr>
          <w:sz w:val="26"/>
          <w:szCs w:val="26"/>
        </w:rPr>
        <w:t xml:space="preserve"> anterior (2.</w:t>
      </w:r>
      <w:r w:rsidR="0079581F">
        <w:rPr>
          <w:sz w:val="26"/>
          <w:szCs w:val="26"/>
        </w:rPr>
        <w:t>81</w:t>
      </w:r>
      <w:r w:rsidR="00B05AA1">
        <w:rPr>
          <w:sz w:val="26"/>
          <w:szCs w:val="26"/>
        </w:rPr>
        <w:t>%)</w:t>
      </w:r>
      <w:r w:rsidR="00FE7E49">
        <w:rPr>
          <w:sz w:val="26"/>
          <w:szCs w:val="26"/>
        </w:rPr>
        <w:t>;</w:t>
      </w:r>
      <w:r w:rsidR="00B05AA1">
        <w:rPr>
          <w:sz w:val="26"/>
          <w:szCs w:val="26"/>
        </w:rPr>
        <w:t xml:space="preserve"> </w:t>
      </w:r>
      <w:r w:rsidR="0079581F">
        <w:rPr>
          <w:sz w:val="26"/>
          <w:szCs w:val="26"/>
        </w:rPr>
        <w:t xml:space="preserve">e idéntica a la tasa de rédito observada en </w:t>
      </w:r>
      <w:r w:rsidR="00B05AA1">
        <w:rPr>
          <w:sz w:val="26"/>
          <w:szCs w:val="26"/>
        </w:rPr>
        <w:t>diciembre pasado (2.81%);</w:t>
      </w:r>
      <w:r w:rsidR="00FE7E49">
        <w:rPr>
          <w:sz w:val="26"/>
          <w:szCs w:val="26"/>
        </w:rPr>
        <w:t xml:space="preserve"> mientras que en el plazo a 91 días, el promedio de </w:t>
      </w:r>
      <w:r w:rsidR="00B05AA1">
        <w:rPr>
          <w:sz w:val="26"/>
          <w:szCs w:val="26"/>
        </w:rPr>
        <w:t xml:space="preserve">rendimiento </w:t>
      </w:r>
      <w:r w:rsidR="00FE7E49">
        <w:rPr>
          <w:sz w:val="26"/>
          <w:szCs w:val="26"/>
        </w:rPr>
        <w:t xml:space="preserve">fue </w:t>
      </w:r>
      <w:r w:rsidR="00B05AA1">
        <w:rPr>
          <w:sz w:val="26"/>
          <w:szCs w:val="26"/>
        </w:rPr>
        <w:t xml:space="preserve">de </w:t>
      </w:r>
      <w:r w:rsidR="0079581F">
        <w:rPr>
          <w:sz w:val="26"/>
          <w:szCs w:val="26"/>
        </w:rPr>
        <w:t>3.12</w:t>
      </w:r>
      <w:r>
        <w:rPr>
          <w:sz w:val="26"/>
          <w:szCs w:val="26"/>
        </w:rPr>
        <w:t>%, cifra m</w:t>
      </w:r>
      <w:r w:rsidR="00B05AA1">
        <w:rPr>
          <w:sz w:val="26"/>
          <w:szCs w:val="26"/>
        </w:rPr>
        <w:t>ayor</w:t>
      </w:r>
      <w:r>
        <w:rPr>
          <w:sz w:val="26"/>
          <w:szCs w:val="26"/>
        </w:rPr>
        <w:t xml:space="preserve"> en </w:t>
      </w:r>
      <w:r w:rsidR="0079581F">
        <w:rPr>
          <w:sz w:val="26"/>
          <w:szCs w:val="26"/>
        </w:rPr>
        <w:t>18</w:t>
      </w:r>
      <w:r>
        <w:rPr>
          <w:sz w:val="26"/>
          <w:szCs w:val="26"/>
        </w:rPr>
        <w:t xml:space="preserve"> centésima de punto con relación al mes inmediato anterior</w:t>
      </w:r>
      <w:r w:rsidR="00B05AA1">
        <w:rPr>
          <w:sz w:val="26"/>
          <w:szCs w:val="26"/>
        </w:rPr>
        <w:t xml:space="preserve"> (2.9</w:t>
      </w:r>
      <w:r w:rsidR="0079581F">
        <w:rPr>
          <w:sz w:val="26"/>
          <w:szCs w:val="26"/>
        </w:rPr>
        <w:t>4</w:t>
      </w:r>
      <w:r w:rsidR="00B05AA1">
        <w:rPr>
          <w:sz w:val="26"/>
          <w:szCs w:val="26"/>
        </w:rPr>
        <w:t xml:space="preserve">%), </w:t>
      </w:r>
      <w:r w:rsidR="0079581F">
        <w:rPr>
          <w:sz w:val="26"/>
          <w:szCs w:val="26"/>
        </w:rPr>
        <w:t xml:space="preserve">y superior en 20 centésimas de punto con relación a </w:t>
      </w:r>
      <w:r w:rsidR="00B05AA1">
        <w:rPr>
          <w:sz w:val="26"/>
          <w:szCs w:val="26"/>
        </w:rPr>
        <w:t>diciembre de 2014 (2.92%)</w:t>
      </w:r>
      <w:r>
        <w:rPr>
          <w:sz w:val="26"/>
          <w:szCs w:val="26"/>
        </w:rPr>
        <w:t>.</w:t>
      </w:r>
    </w:p>
    <w:tbl>
      <w:tblPr>
        <w:tblW w:w="51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4"/>
        <w:gridCol w:w="644"/>
        <w:gridCol w:w="611"/>
        <w:gridCol w:w="655"/>
        <w:gridCol w:w="610"/>
        <w:gridCol w:w="566"/>
        <w:gridCol w:w="611"/>
        <w:gridCol w:w="578"/>
        <w:gridCol w:w="577"/>
        <w:gridCol w:w="611"/>
        <w:gridCol w:w="672"/>
        <w:gridCol w:w="600"/>
        <w:gridCol w:w="589"/>
        <w:gridCol w:w="749"/>
      </w:tblGrid>
      <w:tr w:rsidR="00B41064" w:rsidRPr="000E3A45" w14:paraId="55B41633" w14:textId="77777777" w:rsidTr="00F603D9">
        <w:trPr>
          <w:jc w:val="center"/>
        </w:trPr>
        <w:tc>
          <w:tcPr>
            <w:tcW w:w="5000" w:type="pct"/>
            <w:gridSpan w:val="14"/>
            <w:tcBorders>
              <w:top w:val="nil"/>
              <w:left w:val="nil"/>
              <w:right w:val="nil"/>
            </w:tcBorders>
          </w:tcPr>
          <w:p w14:paraId="1690AA60" w14:textId="77777777" w:rsidR="00B41064" w:rsidRPr="000E3A45" w:rsidRDefault="00B41064" w:rsidP="00621AF5">
            <w:pPr>
              <w:jc w:val="center"/>
              <w:rPr>
                <w:b/>
                <w:sz w:val="20"/>
                <w:szCs w:val="20"/>
              </w:rPr>
            </w:pPr>
            <w:r w:rsidRPr="000E3A45">
              <w:rPr>
                <w:b/>
                <w:sz w:val="20"/>
                <w:szCs w:val="20"/>
              </w:rPr>
              <w:t>PROMEDIO DE LAS TASAS DE RENDIMIENTO MENSUALES DE LOS CERTIFICADOS</w:t>
            </w:r>
          </w:p>
          <w:p w14:paraId="46E4E1B7" w14:textId="77777777" w:rsidR="00B41064" w:rsidRPr="000E3A45" w:rsidRDefault="00B41064" w:rsidP="00161606">
            <w:pPr>
              <w:jc w:val="center"/>
              <w:rPr>
                <w:sz w:val="20"/>
                <w:szCs w:val="20"/>
              </w:rPr>
            </w:pPr>
            <w:r w:rsidRPr="000E3A45">
              <w:rPr>
                <w:b/>
                <w:sz w:val="20"/>
                <w:szCs w:val="20"/>
              </w:rPr>
              <w:t>DE LA TESORERÍA DE LA FEDERACIÓN</w:t>
            </w:r>
          </w:p>
        </w:tc>
      </w:tr>
      <w:tr w:rsidR="00F603D9" w:rsidRPr="000E3A45" w14:paraId="4F37E380" w14:textId="77777777" w:rsidTr="00F603D9">
        <w:trPr>
          <w:jc w:val="center"/>
        </w:trPr>
        <w:tc>
          <w:tcPr>
            <w:tcW w:w="597" w:type="pct"/>
            <w:vAlign w:val="center"/>
          </w:tcPr>
          <w:p w14:paraId="78C491DE" w14:textId="77777777" w:rsidR="00F603D9" w:rsidRPr="000E3A45" w:rsidRDefault="00F603D9" w:rsidP="00161606">
            <w:pPr>
              <w:jc w:val="center"/>
              <w:rPr>
                <w:b/>
                <w:sz w:val="20"/>
                <w:szCs w:val="20"/>
              </w:rPr>
            </w:pPr>
            <w:r w:rsidRPr="000E3A45">
              <w:rPr>
                <w:b/>
                <w:sz w:val="20"/>
                <w:szCs w:val="20"/>
              </w:rPr>
              <w:t>Año</w:t>
            </w:r>
          </w:p>
        </w:tc>
        <w:tc>
          <w:tcPr>
            <w:tcW w:w="3346" w:type="pct"/>
            <w:gridSpan w:val="10"/>
            <w:vAlign w:val="center"/>
          </w:tcPr>
          <w:p w14:paraId="59D84876" w14:textId="7FC607AE" w:rsidR="00F603D9" w:rsidRPr="000E3A45" w:rsidRDefault="00F603D9" w:rsidP="00464243">
            <w:pPr>
              <w:jc w:val="center"/>
              <w:rPr>
                <w:b/>
                <w:sz w:val="20"/>
                <w:szCs w:val="20"/>
              </w:rPr>
            </w:pPr>
            <w:r w:rsidRPr="000E3A45">
              <w:rPr>
                <w:b/>
                <w:sz w:val="20"/>
                <w:szCs w:val="20"/>
              </w:rPr>
              <w:t>2014</w:t>
            </w:r>
          </w:p>
        </w:tc>
        <w:tc>
          <w:tcPr>
            <w:tcW w:w="1058" w:type="pct"/>
            <w:gridSpan w:val="3"/>
            <w:vAlign w:val="center"/>
          </w:tcPr>
          <w:p w14:paraId="78FE4F5F" w14:textId="3B0BBA51" w:rsidR="00F603D9" w:rsidRPr="000E3A45" w:rsidRDefault="00F603D9" w:rsidP="00464243">
            <w:pPr>
              <w:jc w:val="center"/>
              <w:rPr>
                <w:b/>
                <w:sz w:val="20"/>
                <w:szCs w:val="20"/>
              </w:rPr>
            </w:pPr>
            <w:r w:rsidRPr="000E3A45">
              <w:rPr>
                <w:b/>
                <w:sz w:val="20"/>
                <w:szCs w:val="20"/>
              </w:rPr>
              <w:t>2015</w:t>
            </w:r>
          </w:p>
        </w:tc>
      </w:tr>
      <w:tr w:rsidR="00F603D9" w:rsidRPr="000E3A45" w14:paraId="0A4B25DC" w14:textId="77777777" w:rsidTr="002B4CC6">
        <w:trPr>
          <w:trHeight w:val="356"/>
          <w:jc w:val="center"/>
        </w:trPr>
        <w:tc>
          <w:tcPr>
            <w:tcW w:w="597" w:type="pct"/>
            <w:vAlign w:val="center"/>
          </w:tcPr>
          <w:p w14:paraId="2E1F863C" w14:textId="77777777" w:rsidR="00F603D9" w:rsidRPr="000E3A45" w:rsidRDefault="00F603D9" w:rsidP="00F603D9">
            <w:pPr>
              <w:jc w:val="center"/>
              <w:rPr>
                <w:b/>
                <w:sz w:val="20"/>
                <w:szCs w:val="20"/>
              </w:rPr>
            </w:pPr>
            <w:r w:rsidRPr="000E3A45">
              <w:rPr>
                <w:b/>
                <w:sz w:val="20"/>
                <w:szCs w:val="20"/>
              </w:rPr>
              <w:t>Mes/Plazo</w:t>
            </w:r>
          </w:p>
        </w:tc>
        <w:tc>
          <w:tcPr>
            <w:tcW w:w="351" w:type="pct"/>
            <w:vAlign w:val="center"/>
          </w:tcPr>
          <w:p w14:paraId="0A6D7262" w14:textId="52AF1F94" w:rsidR="00F603D9" w:rsidRPr="000E3A45" w:rsidRDefault="00F603D9" w:rsidP="00F603D9">
            <w:pPr>
              <w:rPr>
                <w:b/>
                <w:sz w:val="20"/>
                <w:szCs w:val="20"/>
              </w:rPr>
            </w:pPr>
            <w:r w:rsidRPr="000E3A45">
              <w:rPr>
                <w:b/>
                <w:sz w:val="20"/>
                <w:szCs w:val="20"/>
              </w:rPr>
              <w:t>Mar.</w:t>
            </w:r>
          </w:p>
        </w:tc>
        <w:tc>
          <w:tcPr>
            <w:tcW w:w="333" w:type="pct"/>
            <w:vAlign w:val="center"/>
          </w:tcPr>
          <w:p w14:paraId="23C9D120" w14:textId="235B546C" w:rsidR="00F603D9" w:rsidRPr="000E3A45" w:rsidRDefault="00F603D9" w:rsidP="00F603D9">
            <w:pPr>
              <w:rPr>
                <w:b/>
                <w:sz w:val="20"/>
                <w:szCs w:val="20"/>
              </w:rPr>
            </w:pPr>
            <w:r w:rsidRPr="000E3A45">
              <w:rPr>
                <w:b/>
                <w:sz w:val="20"/>
                <w:szCs w:val="20"/>
              </w:rPr>
              <w:t>Abr.</w:t>
            </w:r>
          </w:p>
        </w:tc>
        <w:tc>
          <w:tcPr>
            <w:tcW w:w="357" w:type="pct"/>
            <w:vAlign w:val="center"/>
          </w:tcPr>
          <w:p w14:paraId="106882F5" w14:textId="01C27D0B" w:rsidR="00F603D9" w:rsidRPr="000E3A45" w:rsidRDefault="00F603D9" w:rsidP="00F603D9">
            <w:pPr>
              <w:rPr>
                <w:b/>
                <w:sz w:val="20"/>
                <w:szCs w:val="20"/>
              </w:rPr>
            </w:pPr>
            <w:r w:rsidRPr="000E3A45">
              <w:rPr>
                <w:b/>
                <w:sz w:val="20"/>
                <w:szCs w:val="20"/>
              </w:rPr>
              <w:t>May.</w:t>
            </w:r>
          </w:p>
        </w:tc>
        <w:tc>
          <w:tcPr>
            <w:tcW w:w="333" w:type="pct"/>
            <w:vAlign w:val="center"/>
          </w:tcPr>
          <w:p w14:paraId="1474ABAD" w14:textId="1D43BF41" w:rsidR="00F603D9" w:rsidRPr="000E3A45" w:rsidRDefault="00F603D9" w:rsidP="00F603D9">
            <w:pPr>
              <w:rPr>
                <w:b/>
                <w:sz w:val="20"/>
                <w:szCs w:val="20"/>
              </w:rPr>
            </w:pPr>
            <w:r w:rsidRPr="000E3A45">
              <w:rPr>
                <w:b/>
                <w:sz w:val="20"/>
                <w:szCs w:val="20"/>
              </w:rPr>
              <w:t>Jun.</w:t>
            </w:r>
          </w:p>
        </w:tc>
        <w:tc>
          <w:tcPr>
            <w:tcW w:w="309" w:type="pct"/>
            <w:vAlign w:val="center"/>
          </w:tcPr>
          <w:p w14:paraId="5AEAC7F0" w14:textId="4B0CD331" w:rsidR="00F603D9" w:rsidRPr="000E3A45" w:rsidRDefault="00F603D9" w:rsidP="00F603D9">
            <w:pPr>
              <w:rPr>
                <w:b/>
                <w:sz w:val="20"/>
                <w:szCs w:val="20"/>
              </w:rPr>
            </w:pPr>
            <w:r w:rsidRPr="000E3A45">
              <w:rPr>
                <w:b/>
                <w:sz w:val="20"/>
                <w:szCs w:val="20"/>
              </w:rPr>
              <w:t>Jul.</w:t>
            </w:r>
          </w:p>
        </w:tc>
        <w:tc>
          <w:tcPr>
            <w:tcW w:w="333" w:type="pct"/>
            <w:vAlign w:val="center"/>
          </w:tcPr>
          <w:p w14:paraId="7C0535F3" w14:textId="460EE095" w:rsidR="00F603D9" w:rsidRPr="000E3A45" w:rsidRDefault="00F603D9" w:rsidP="00F603D9">
            <w:pPr>
              <w:rPr>
                <w:b/>
                <w:sz w:val="20"/>
                <w:szCs w:val="20"/>
              </w:rPr>
            </w:pPr>
            <w:r w:rsidRPr="000E3A45">
              <w:rPr>
                <w:b/>
                <w:sz w:val="20"/>
                <w:szCs w:val="20"/>
              </w:rPr>
              <w:t>Ago.</w:t>
            </w:r>
          </w:p>
        </w:tc>
        <w:tc>
          <w:tcPr>
            <w:tcW w:w="315" w:type="pct"/>
            <w:vAlign w:val="center"/>
          </w:tcPr>
          <w:p w14:paraId="6EF39D77" w14:textId="43CA8F8B" w:rsidR="00F603D9" w:rsidRPr="000E3A45" w:rsidRDefault="00F603D9" w:rsidP="00F603D9">
            <w:pPr>
              <w:rPr>
                <w:b/>
                <w:sz w:val="20"/>
                <w:szCs w:val="20"/>
              </w:rPr>
            </w:pPr>
            <w:r w:rsidRPr="000E3A45">
              <w:rPr>
                <w:b/>
                <w:sz w:val="20"/>
                <w:szCs w:val="20"/>
              </w:rPr>
              <w:t>Sep.</w:t>
            </w:r>
          </w:p>
        </w:tc>
        <w:tc>
          <w:tcPr>
            <w:tcW w:w="315" w:type="pct"/>
            <w:vAlign w:val="center"/>
          </w:tcPr>
          <w:p w14:paraId="12ECD78B" w14:textId="4CF1920D" w:rsidR="00F603D9" w:rsidRPr="000E3A45" w:rsidRDefault="00F603D9" w:rsidP="00F603D9">
            <w:pPr>
              <w:rPr>
                <w:b/>
                <w:sz w:val="20"/>
                <w:szCs w:val="20"/>
              </w:rPr>
            </w:pPr>
            <w:r w:rsidRPr="000E3A45">
              <w:rPr>
                <w:b/>
                <w:sz w:val="20"/>
                <w:szCs w:val="20"/>
              </w:rPr>
              <w:t>Oct.</w:t>
            </w:r>
          </w:p>
        </w:tc>
        <w:tc>
          <w:tcPr>
            <w:tcW w:w="333" w:type="pct"/>
            <w:vAlign w:val="center"/>
          </w:tcPr>
          <w:p w14:paraId="2315A5F9" w14:textId="6A7CCC4B" w:rsidR="00F603D9" w:rsidRPr="000E3A45" w:rsidRDefault="00F603D9" w:rsidP="00F603D9">
            <w:pPr>
              <w:rPr>
                <w:b/>
                <w:sz w:val="20"/>
                <w:szCs w:val="20"/>
              </w:rPr>
            </w:pPr>
            <w:r w:rsidRPr="000E3A45">
              <w:rPr>
                <w:b/>
                <w:sz w:val="20"/>
                <w:szCs w:val="20"/>
              </w:rPr>
              <w:t>Nov.</w:t>
            </w:r>
          </w:p>
        </w:tc>
        <w:tc>
          <w:tcPr>
            <w:tcW w:w="365" w:type="pct"/>
            <w:vAlign w:val="center"/>
          </w:tcPr>
          <w:p w14:paraId="108CF6F6" w14:textId="50B655B4" w:rsidR="00F603D9" w:rsidRPr="000E3A45" w:rsidRDefault="00F603D9" w:rsidP="00F603D9">
            <w:pPr>
              <w:rPr>
                <w:b/>
                <w:sz w:val="20"/>
                <w:szCs w:val="20"/>
              </w:rPr>
            </w:pPr>
            <w:r w:rsidRPr="000E3A45">
              <w:rPr>
                <w:b/>
                <w:sz w:val="20"/>
                <w:szCs w:val="20"/>
              </w:rPr>
              <w:t>Dic.</w:t>
            </w:r>
          </w:p>
        </w:tc>
        <w:tc>
          <w:tcPr>
            <w:tcW w:w="327" w:type="pct"/>
            <w:vAlign w:val="center"/>
          </w:tcPr>
          <w:p w14:paraId="0AEAE302" w14:textId="7E02A8E9" w:rsidR="00F603D9" w:rsidRPr="000E3A45" w:rsidRDefault="00F603D9" w:rsidP="00F603D9">
            <w:pPr>
              <w:rPr>
                <w:b/>
                <w:sz w:val="20"/>
                <w:szCs w:val="20"/>
              </w:rPr>
            </w:pPr>
            <w:r w:rsidRPr="000E3A45">
              <w:rPr>
                <w:b/>
                <w:sz w:val="20"/>
                <w:szCs w:val="20"/>
              </w:rPr>
              <w:t>Ene.</w:t>
            </w:r>
          </w:p>
        </w:tc>
        <w:tc>
          <w:tcPr>
            <w:tcW w:w="321" w:type="pct"/>
            <w:vAlign w:val="center"/>
          </w:tcPr>
          <w:p w14:paraId="70137A92" w14:textId="462595F5" w:rsidR="00F603D9" w:rsidRPr="000E3A45" w:rsidRDefault="00F603D9" w:rsidP="00F603D9">
            <w:pPr>
              <w:rPr>
                <w:b/>
                <w:sz w:val="20"/>
                <w:szCs w:val="20"/>
              </w:rPr>
            </w:pPr>
            <w:r>
              <w:rPr>
                <w:b/>
                <w:sz w:val="20"/>
                <w:szCs w:val="20"/>
              </w:rPr>
              <w:t>Feb.</w:t>
            </w:r>
          </w:p>
        </w:tc>
        <w:tc>
          <w:tcPr>
            <w:tcW w:w="409" w:type="pct"/>
            <w:vAlign w:val="center"/>
          </w:tcPr>
          <w:p w14:paraId="365231BE" w14:textId="5AA21034" w:rsidR="00F603D9" w:rsidRPr="000E3A45" w:rsidRDefault="00F603D9" w:rsidP="00F603D9">
            <w:pPr>
              <w:rPr>
                <w:b/>
                <w:sz w:val="20"/>
                <w:szCs w:val="20"/>
              </w:rPr>
            </w:pPr>
            <w:r>
              <w:rPr>
                <w:b/>
                <w:sz w:val="20"/>
                <w:szCs w:val="20"/>
              </w:rPr>
              <w:t>Mar.*</w:t>
            </w:r>
          </w:p>
        </w:tc>
      </w:tr>
      <w:tr w:rsidR="00F603D9" w:rsidRPr="000E3A45" w14:paraId="0429C3EF" w14:textId="77777777" w:rsidTr="002B4CC6">
        <w:trPr>
          <w:trHeight w:val="356"/>
          <w:jc w:val="center"/>
        </w:trPr>
        <w:tc>
          <w:tcPr>
            <w:tcW w:w="597" w:type="pct"/>
            <w:vAlign w:val="center"/>
          </w:tcPr>
          <w:p w14:paraId="7FF8289B" w14:textId="77777777" w:rsidR="00F603D9" w:rsidRPr="000E3A45" w:rsidRDefault="00F603D9" w:rsidP="00F603D9">
            <w:pPr>
              <w:jc w:val="center"/>
              <w:rPr>
                <w:sz w:val="20"/>
                <w:szCs w:val="20"/>
              </w:rPr>
            </w:pPr>
            <w:r w:rsidRPr="000E3A45">
              <w:rPr>
                <w:sz w:val="20"/>
                <w:szCs w:val="20"/>
              </w:rPr>
              <w:t>28 días</w:t>
            </w:r>
          </w:p>
        </w:tc>
        <w:tc>
          <w:tcPr>
            <w:tcW w:w="351" w:type="pct"/>
            <w:vAlign w:val="center"/>
          </w:tcPr>
          <w:p w14:paraId="6E3AD1A5" w14:textId="588028C8" w:rsidR="00F603D9" w:rsidRPr="000E3A45" w:rsidRDefault="00F603D9" w:rsidP="00F603D9">
            <w:pPr>
              <w:jc w:val="center"/>
              <w:rPr>
                <w:bCs/>
                <w:sz w:val="20"/>
                <w:szCs w:val="20"/>
              </w:rPr>
            </w:pPr>
            <w:r w:rsidRPr="000E3A45">
              <w:rPr>
                <w:bCs/>
                <w:sz w:val="20"/>
                <w:szCs w:val="20"/>
              </w:rPr>
              <w:t>3.17</w:t>
            </w:r>
          </w:p>
        </w:tc>
        <w:tc>
          <w:tcPr>
            <w:tcW w:w="333" w:type="pct"/>
            <w:vAlign w:val="center"/>
          </w:tcPr>
          <w:p w14:paraId="61899336" w14:textId="47A96A01" w:rsidR="00F603D9" w:rsidRPr="000E3A45" w:rsidRDefault="00F603D9" w:rsidP="00F603D9">
            <w:pPr>
              <w:jc w:val="center"/>
              <w:rPr>
                <w:bCs/>
                <w:sz w:val="20"/>
                <w:szCs w:val="20"/>
              </w:rPr>
            </w:pPr>
            <w:r w:rsidRPr="000E3A45">
              <w:rPr>
                <w:bCs/>
                <w:sz w:val="20"/>
                <w:szCs w:val="20"/>
              </w:rPr>
              <w:t>3.23</w:t>
            </w:r>
          </w:p>
        </w:tc>
        <w:tc>
          <w:tcPr>
            <w:tcW w:w="357" w:type="pct"/>
            <w:vAlign w:val="center"/>
          </w:tcPr>
          <w:p w14:paraId="75E16A96" w14:textId="4954910A" w:rsidR="00F603D9" w:rsidRPr="000E3A45" w:rsidRDefault="00F603D9" w:rsidP="00F603D9">
            <w:pPr>
              <w:jc w:val="center"/>
              <w:rPr>
                <w:bCs/>
                <w:sz w:val="20"/>
                <w:szCs w:val="20"/>
              </w:rPr>
            </w:pPr>
            <w:r w:rsidRPr="000E3A45">
              <w:rPr>
                <w:bCs/>
                <w:sz w:val="20"/>
                <w:szCs w:val="20"/>
              </w:rPr>
              <w:t>3.28</w:t>
            </w:r>
          </w:p>
        </w:tc>
        <w:tc>
          <w:tcPr>
            <w:tcW w:w="333" w:type="pct"/>
            <w:vAlign w:val="center"/>
          </w:tcPr>
          <w:p w14:paraId="63C2F2E1" w14:textId="4C4CFCF5" w:rsidR="00F603D9" w:rsidRPr="000E3A45" w:rsidRDefault="00F603D9" w:rsidP="00F603D9">
            <w:pPr>
              <w:jc w:val="center"/>
              <w:rPr>
                <w:bCs/>
                <w:sz w:val="20"/>
                <w:szCs w:val="20"/>
              </w:rPr>
            </w:pPr>
            <w:r w:rsidRPr="000E3A45">
              <w:rPr>
                <w:bCs/>
                <w:sz w:val="20"/>
                <w:szCs w:val="20"/>
              </w:rPr>
              <w:t>3.02</w:t>
            </w:r>
          </w:p>
        </w:tc>
        <w:tc>
          <w:tcPr>
            <w:tcW w:w="309" w:type="pct"/>
            <w:vAlign w:val="center"/>
          </w:tcPr>
          <w:p w14:paraId="48EC7B47" w14:textId="4091120E" w:rsidR="00F603D9" w:rsidRPr="000E3A45" w:rsidRDefault="00F603D9" w:rsidP="00F603D9">
            <w:pPr>
              <w:jc w:val="center"/>
              <w:rPr>
                <w:bCs/>
                <w:sz w:val="20"/>
                <w:szCs w:val="20"/>
              </w:rPr>
            </w:pPr>
            <w:r w:rsidRPr="000E3A45">
              <w:rPr>
                <w:bCs/>
                <w:sz w:val="20"/>
                <w:szCs w:val="20"/>
              </w:rPr>
              <w:t>2.83</w:t>
            </w:r>
          </w:p>
        </w:tc>
        <w:tc>
          <w:tcPr>
            <w:tcW w:w="333" w:type="pct"/>
            <w:vAlign w:val="center"/>
          </w:tcPr>
          <w:p w14:paraId="33422EF5" w14:textId="186E6EC4" w:rsidR="00F603D9" w:rsidRPr="000E3A45" w:rsidRDefault="00F603D9" w:rsidP="00F603D9">
            <w:pPr>
              <w:jc w:val="center"/>
              <w:rPr>
                <w:bCs/>
                <w:sz w:val="20"/>
                <w:szCs w:val="20"/>
              </w:rPr>
            </w:pPr>
            <w:r w:rsidRPr="000E3A45">
              <w:rPr>
                <w:bCs/>
                <w:sz w:val="20"/>
                <w:szCs w:val="20"/>
              </w:rPr>
              <w:t>2.77</w:t>
            </w:r>
          </w:p>
        </w:tc>
        <w:tc>
          <w:tcPr>
            <w:tcW w:w="315" w:type="pct"/>
            <w:vAlign w:val="center"/>
          </w:tcPr>
          <w:p w14:paraId="0D103085" w14:textId="5F9C1A36" w:rsidR="00F603D9" w:rsidRPr="000E3A45" w:rsidRDefault="00F603D9" w:rsidP="00F603D9">
            <w:pPr>
              <w:jc w:val="center"/>
              <w:rPr>
                <w:bCs/>
                <w:sz w:val="20"/>
                <w:szCs w:val="20"/>
              </w:rPr>
            </w:pPr>
            <w:r w:rsidRPr="000E3A45">
              <w:rPr>
                <w:bCs/>
                <w:sz w:val="20"/>
                <w:szCs w:val="20"/>
              </w:rPr>
              <w:t>2.83</w:t>
            </w:r>
          </w:p>
        </w:tc>
        <w:tc>
          <w:tcPr>
            <w:tcW w:w="315" w:type="pct"/>
            <w:vAlign w:val="center"/>
          </w:tcPr>
          <w:p w14:paraId="412204AE" w14:textId="02A66EA0" w:rsidR="00F603D9" w:rsidRPr="000E3A45" w:rsidRDefault="00F603D9" w:rsidP="00F603D9">
            <w:pPr>
              <w:jc w:val="center"/>
              <w:rPr>
                <w:bCs/>
                <w:sz w:val="20"/>
                <w:szCs w:val="20"/>
              </w:rPr>
            </w:pPr>
            <w:r w:rsidRPr="000E3A45">
              <w:rPr>
                <w:bCs/>
                <w:sz w:val="20"/>
                <w:szCs w:val="20"/>
              </w:rPr>
              <w:t>2.91</w:t>
            </w:r>
          </w:p>
        </w:tc>
        <w:tc>
          <w:tcPr>
            <w:tcW w:w="333" w:type="pct"/>
            <w:vAlign w:val="center"/>
          </w:tcPr>
          <w:p w14:paraId="511A610D" w14:textId="45EE9DE8" w:rsidR="00F603D9" w:rsidRPr="000E3A45" w:rsidRDefault="00F603D9" w:rsidP="00F603D9">
            <w:pPr>
              <w:jc w:val="center"/>
              <w:rPr>
                <w:bCs/>
                <w:sz w:val="20"/>
                <w:szCs w:val="20"/>
              </w:rPr>
            </w:pPr>
            <w:r>
              <w:rPr>
                <w:bCs/>
                <w:sz w:val="20"/>
                <w:szCs w:val="20"/>
              </w:rPr>
              <w:t>2.85</w:t>
            </w:r>
          </w:p>
        </w:tc>
        <w:tc>
          <w:tcPr>
            <w:tcW w:w="365" w:type="pct"/>
            <w:vAlign w:val="center"/>
          </w:tcPr>
          <w:p w14:paraId="7C0A0164" w14:textId="6E2CA672" w:rsidR="00F603D9" w:rsidRPr="000E3A45" w:rsidRDefault="00F603D9" w:rsidP="00F603D9">
            <w:pPr>
              <w:jc w:val="center"/>
              <w:rPr>
                <w:bCs/>
                <w:sz w:val="20"/>
                <w:szCs w:val="20"/>
              </w:rPr>
            </w:pPr>
            <w:r>
              <w:rPr>
                <w:bCs/>
                <w:sz w:val="20"/>
                <w:szCs w:val="20"/>
              </w:rPr>
              <w:t>2.81</w:t>
            </w:r>
          </w:p>
        </w:tc>
        <w:tc>
          <w:tcPr>
            <w:tcW w:w="327" w:type="pct"/>
            <w:vAlign w:val="center"/>
          </w:tcPr>
          <w:p w14:paraId="26E45915" w14:textId="41FA5A1A" w:rsidR="00F603D9" w:rsidRPr="000E3A45" w:rsidRDefault="00F603D9" w:rsidP="00F603D9">
            <w:pPr>
              <w:jc w:val="center"/>
              <w:rPr>
                <w:bCs/>
                <w:sz w:val="20"/>
                <w:szCs w:val="20"/>
              </w:rPr>
            </w:pPr>
            <w:r>
              <w:rPr>
                <w:bCs/>
                <w:sz w:val="20"/>
                <w:szCs w:val="20"/>
              </w:rPr>
              <w:t>2.67</w:t>
            </w:r>
          </w:p>
        </w:tc>
        <w:tc>
          <w:tcPr>
            <w:tcW w:w="321" w:type="pct"/>
            <w:vAlign w:val="center"/>
          </w:tcPr>
          <w:p w14:paraId="213A48EE" w14:textId="6370F262" w:rsidR="00F603D9" w:rsidRPr="000E3A45" w:rsidRDefault="0079581F" w:rsidP="00F603D9">
            <w:pPr>
              <w:jc w:val="center"/>
              <w:rPr>
                <w:bCs/>
                <w:sz w:val="20"/>
                <w:szCs w:val="20"/>
              </w:rPr>
            </w:pPr>
            <w:r>
              <w:rPr>
                <w:bCs/>
                <w:sz w:val="20"/>
                <w:szCs w:val="20"/>
              </w:rPr>
              <w:t>2.81</w:t>
            </w:r>
          </w:p>
        </w:tc>
        <w:tc>
          <w:tcPr>
            <w:tcW w:w="409" w:type="pct"/>
            <w:vAlign w:val="center"/>
          </w:tcPr>
          <w:p w14:paraId="540CA52E" w14:textId="7F0F7D8D" w:rsidR="00F603D9" w:rsidRPr="000E3A45" w:rsidRDefault="0079581F" w:rsidP="00F603D9">
            <w:pPr>
              <w:jc w:val="center"/>
              <w:rPr>
                <w:bCs/>
                <w:sz w:val="20"/>
                <w:szCs w:val="20"/>
              </w:rPr>
            </w:pPr>
            <w:r>
              <w:rPr>
                <w:bCs/>
                <w:sz w:val="20"/>
                <w:szCs w:val="20"/>
              </w:rPr>
              <w:t>3.03</w:t>
            </w:r>
          </w:p>
        </w:tc>
      </w:tr>
      <w:tr w:rsidR="00F603D9" w:rsidRPr="000E3A45" w14:paraId="25B1FF50" w14:textId="77777777" w:rsidTr="002B4CC6">
        <w:trPr>
          <w:trHeight w:val="356"/>
          <w:jc w:val="center"/>
        </w:trPr>
        <w:tc>
          <w:tcPr>
            <w:tcW w:w="597" w:type="pct"/>
            <w:shd w:val="clear" w:color="auto" w:fill="auto"/>
            <w:vAlign w:val="center"/>
          </w:tcPr>
          <w:p w14:paraId="514E62B8" w14:textId="77777777" w:rsidR="00F603D9" w:rsidRPr="000E3A45" w:rsidRDefault="00F603D9" w:rsidP="00F603D9">
            <w:pPr>
              <w:jc w:val="center"/>
              <w:rPr>
                <w:sz w:val="20"/>
                <w:szCs w:val="20"/>
              </w:rPr>
            </w:pPr>
            <w:r w:rsidRPr="000E3A45">
              <w:rPr>
                <w:sz w:val="20"/>
                <w:szCs w:val="20"/>
              </w:rPr>
              <w:t>91 días</w:t>
            </w:r>
          </w:p>
        </w:tc>
        <w:tc>
          <w:tcPr>
            <w:tcW w:w="351" w:type="pct"/>
            <w:vAlign w:val="center"/>
          </w:tcPr>
          <w:p w14:paraId="472DFDD7" w14:textId="32EBE1D1" w:rsidR="00F603D9" w:rsidRPr="000E3A45" w:rsidRDefault="00F603D9" w:rsidP="00F603D9">
            <w:pPr>
              <w:jc w:val="center"/>
              <w:rPr>
                <w:bCs/>
                <w:sz w:val="20"/>
                <w:szCs w:val="20"/>
              </w:rPr>
            </w:pPr>
            <w:r w:rsidRPr="000E3A45">
              <w:rPr>
                <w:bCs/>
                <w:sz w:val="20"/>
                <w:szCs w:val="20"/>
              </w:rPr>
              <w:t>3.29</w:t>
            </w:r>
          </w:p>
        </w:tc>
        <w:tc>
          <w:tcPr>
            <w:tcW w:w="333" w:type="pct"/>
            <w:vAlign w:val="center"/>
          </w:tcPr>
          <w:p w14:paraId="4A700882" w14:textId="1E42D3F0" w:rsidR="00F603D9" w:rsidRPr="000E3A45" w:rsidRDefault="00F603D9" w:rsidP="00F603D9">
            <w:pPr>
              <w:jc w:val="center"/>
              <w:rPr>
                <w:bCs/>
                <w:sz w:val="20"/>
                <w:szCs w:val="20"/>
              </w:rPr>
            </w:pPr>
            <w:r w:rsidRPr="000E3A45">
              <w:rPr>
                <w:bCs/>
                <w:sz w:val="20"/>
                <w:szCs w:val="20"/>
              </w:rPr>
              <w:t>3.37</w:t>
            </w:r>
          </w:p>
        </w:tc>
        <w:tc>
          <w:tcPr>
            <w:tcW w:w="357" w:type="pct"/>
            <w:vAlign w:val="center"/>
          </w:tcPr>
          <w:p w14:paraId="4703302E" w14:textId="04C95CD5" w:rsidR="00F603D9" w:rsidRPr="000E3A45" w:rsidRDefault="00F603D9" w:rsidP="00F603D9">
            <w:pPr>
              <w:jc w:val="center"/>
              <w:rPr>
                <w:bCs/>
                <w:sz w:val="20"/>
                <w:szCs w:val="20"/>
              </w:rPr>
            </w:pPr>
            <w:r w:rsidRPr="000E3A45">
              <w:rPr>
                <w:bCs/>
                <w:sz w:val="20"/>
                <w:szCs w:val="20"/>
              </w:rPr>
              <w:t>3.42</w:t>
            </w:r>
          </w:p>
        </w:tc>
        <w:tc>
          <w:tcPr>
            <w:tcW w:w="333" w:type="pct"/>
            <w:vAlign w:val="center"/>
          </w:tcPr>
          <w:p w14:paraId="605C1D17" w14:textId="3BFB0529" w:rsidR="00F603D9" w:rsidRPr="000E3A45" w:rsidRDefault="00F603D9" w:rsidP="00F603D9">
            <w:pPr>
              <w:jc w:val="center"/>
              <w:rPr>
                <w:bCs/>
                <w:sz w:val="20"/>
                <w:szCs w:val="20"/>
              </w:rPr>
            </w:pPr>
            <w:r w:rsidRPr="000E3A45">
              <w:rPr>
                <w:bCs/>
                <w:sz w:val="20"/>
                <w:szCs w:val="20"/>
              </w:rPr>
              <w:t>3.08</w:t>
            </w:r>
          </w:p>
        </w:tc>
        <w:tc>
          <w:tcPr>
            <w:tcW w:w="309" w:type="pct"/>
            <w:vAlign w:val="center"/>
          </w:tcPr>
          <w:p w14:paraId="48D4E707" w14:textId="2801CF10" w:rsidR="00F603D9" w:rsidRPr="000E3A45" w:rsidRDefault="00F603D9" w:rsidP="00F603D9">
            <w:pPr>
              <w:jc w:val="center"/>
              <w:rPr>
                <w:bCs/>
                <w:sz w:val="20"/>
                <w:szCs w:val="20"/>
              </w:rPr>
            </w:pPr>
            <w:r w:rsidRPr="000E3A45">
              <w:rPr>
                <w:bCs/>
                <w:sz w:val="20"/>
                <w:szCs w:val="20"/>
              </w:rPr>
              <w:t>2.90</w:t>
            </w:r>
          </w:p>
        </w:tc>
        <w:tc>
          <w:tcPr>
            <w:tcW w:w="333" w:type="pct"/>
            <w:vAlign w:val="center"/>
          </w:tcPr>
          <w:p w14:paraId="2AAFD20F" w14:textId="68715221" w:rsidR="00F603D9" w:rsidRPr="000E3A45" w:rsidRDefault="00F603D9" w:rsidP="00F603D9">
            <w:pPr>
              <w:jc w:val="center"/>
              <w:rPr>
                <w:bCs/>
                <w:sz w:val="20"/>
                <w:szCs w:val="20"/>
              </w:rPr>
            </w:pPr>
            <w:r w:rsidRPr="000E3A45">
              <w:rPr>
                <w:bCs/>
                <w:sz w:val="20"/>
                <w:szCs w:val="20"/>
              </w:rPr>
              <w:t>2.89</w:t>
            </w:r>
          </w:p>
        </w:tc>
        <w:tc>
          <w:tcPr>
            <w:tcW w:w="315" w:type="pct"/>
            <w:vAlign w:val="center"/>
          </w:tcPr>
          <w:p w14:paraId="361A4D1C" w14:textId="5E68BA77" w:rsidR="00F603D9" w:rsidRPr="000E3A45" w:rsidRDefault="00F603D9" w:rsidP="00F603D9">
            <w:pPr>
              <w:jc w:val="center"/>
              <w:rPr>
                <w:bCs/>
                <w:sz w:val="20"/>
                <w:szCs w:val="20"/>
              </w:rPr>
            </w:pPr>
            <w:r w:rsidRPr="000E3A45">
              <w:rPr>
                <w:bCs/>
                <w:sz w:val="20"/>
                <w:szCs w:val="20"/>
              </w:rPr>
              <w:t>2.88</w:t>
            </w:r>
          </w:p>
        </w:tc>
        <w:tc>
          <w:tcPr>
            <w:tcW w:w="315" w:type="pct"/>
            <w:vAlign w:val="center"/>
          </w:tcPr>
          <w:p w14:paraId="2A0D05D6" w14:textId="72C65872" w:rsidR="00F603D9" w:rsidRPr="000E3A45" w:rsidRDefault="00F603D9" w:rsidP="00F603D9">
            <w:pPr>
              <w:jc w:val="center"/>
              <w:rPr>
                <w:bCs/>
                <w:sz w:val="20"/>
                <w:szCs w:val="20"/>
              </w:rPr>
            </w:pPr>
            <w:r w:rsidRPr="000E3A45">
              <w:rPr>
                <w:bCs/>
                <w:sz w:val="20"/>
                <w:szCs w:val="20"/>
              </w:rPr>
              <w:t>2.96</w:t>
            </w:r>
          </w:p>
        </w:tc>
        <w:tc>
          <w:tcPr>
            <w:tcW w:w="333" w:type="pct"/>
            <w:vAlign w:val="center"/>
          </w:tcPr>
          <w:p w14:paraId="50A5B457" w14:textId="3E3BF8DD" w:rsidR="00F603D9" w:rsidRPr="000E3A45" w:rsidRDefault="00F603D9" w:rsidP="00F603D9">
            <w:pPr>
              <w:jc w:val="center"/>
              <w:rPr>
                <w:bCs/>
                <w:sz w:val="20"/>
                <w:szCs w:val="20"/>
              </w:rPr>
            </w:pPr>
            <w:r>
              <w:rPr>
                <w:bCs/>
                <w:sz w:val="20"/>
                <w:szCs w:val="20"/>
              </w:rPr>
              <w:t>2.92</w:t>
            </w:r>
          </w:p>
        </w:tc>
        <w:tc>
          <w:tcPr>
            <w:tcW w:w="365" w:type="pct"/>
            <w:vAlign w:val="center"/>
          </w:tcPr>
          <w:p w14:paraId="00044008" w14:textId="1DC6FC0C" w:rsidR="00F603D9" w:rsidRPr="000E3A45" w:rsidRDefault="00F603D9" w:rsidP="00F603D9">
            <w:pPr>
              <w:jc w:val="center"/>
              <w:rPr>
                <w:bCs/>
                <w:sz w:val="20"/>
                <w:szCs w:val="20"/>
              </w:rPr>
            </w:pPr>
            <w:r>
              <w:rPr>
                <w:bCs/>
                <w:sz w:val="20"/>
                <w:szCs w:val="20"/>
              </w:rPr>
              <w:t>2.92</w:t>
            </w:r>
          </w:p>
        </w:tc>
        <w:tc>
          <w:tcPr>
            <w:tcW w:w="327" w:type="pct"/>
            <w:vAlign w:val="center"/>
          </w:tcPr>
          <w:p w14:paraId="3E191EE4" w14:textId="75C00FF4" w:rsidR="00F603D9" w:rsidRPr="000E3A45" w:rsidRDefault="00F603D9" w:rsidP="00F603D9">
            <w:pPr>
              <w:jc w:val="center"/>
              <w:rPr>
                <w:bCs/>
                <w:sz w:val="20"/>
                <w:szCs w:val="20"/>
              </w:rPr>
            </w:pPr>
            <w:r>
              <w:rPr>
                <w:bCs/>
                <w:sz w:val="20"/>
                <w:szCs w:val="20"/>
              </w:rPr>
              <w:t>2.91</w:t>
            </w:r>
          </w:p>
        </w:tc>
        <w:tc>
          <w:tcPr>
            <w:tcW w:w="321" w:type="pct"/>
            <w:vAlign w:val="center"/>
          </w:tcPr>
          <w:p w14:paraId="64C2DC35" w14:textId="10509644" w:rsidR="00F603D9" w:rsidRPr="000E3A45" w:rsidRDefault="0079581F" w:rsidP="00F603D9">
            <w:pPr>
              <w:jc w:val="center"/>
              <w:rPr>
                <w:bCs/>
                <w:sz w:val="20"/>
                <w:szCs w:val="20"/>
              </w:rPr>
            </w:pPr>
            <w:r>
              <w:rPr>
                <w:bCs/>
                <w:sz w:val="20"/>
                <w:szCs w:val="20"/>
              </w:rPr>
              <w:t>2.94</w:t>
            </w:r>
          </w:p>
        </w:tc>
        <w:tc>
          <w:tcPr>
            <w:tcW w:w="409" w:type="pct"/>
            <w:vAlign w:val="center"/>
          </w:tcPr>
          <w:p w14:paraId="2286BA9E" w14:textId="7EA174E8" w:rsidR="00F603D9" w:rsidRPr="000E3A45" w:rsidRDefault="0079581F" w:rsidP="00F603D9">
            <w:pPr>
              <w:jc w:val="center"/>
              <w:rPr>
                <w:bCs/>
                <w:sz w:val="20"/>
                <w:szCs w:val="20"/>
              </w:rPr>
            </w:pPr>
            <w:r>
              <w:rPr>
                <w:bCs/>
                <w:sz w:val="20"/>
                <w:szCs w:val="20"/>
              </w:rPr>
              <w:t>3.12</w:t>
            </w:r>
          </w:p>
        </w:tc>
      </w:tr>
    </w:tbl>
    <w:p w14:paraId="389C7794" w14:textId="05C2DC93" w:rsidR="00DC56DB" w:rsidRPr="000E3A45" w:rsidRDefault="00DC56DB" w:rsidP="009568DD">
      <w:pPr>
        <w:ind w:left="-113" w:right="-159"/>
        <w:jc w:val="both"/>
        <w:rPr>
          <w:sz w:val="20"/>
          <w:szCs w:val="20"/>
        </w:rPr>
      </w:pPr>
      <w:r w:rsidRPr="000E3A45">
        <w:rPr>
          <w:sz w:val="20"/>
          <w:szCs w:val="20"/>
        </w:rPr>
        <w:t xml:space="preserve">* Promedio a la </w:t>
      </w:r>
      <w:r w:rsidR="00646957" w:rsidRPr="000E3A45">
        <w:rPr>
          <w:sz w:val="20"/>
          <w:szCs w:val="20"/>
        </w:rPr>
        <w:t>tercera</w:t>
      </w:r>
      <w:r w:rsidRPr="000E3A45">
        <w:rPr>
          <w:sz w:val="20"/>
          <w:szCs w:val="20"/>
        </w:rPr>
        <w:t xml:space="preserve"> subasta.</w:t>
      </w:r>
    </w:p>
    <w:p w14:paraId="65A44899" w14:textId="77777777" w:rsidR="00B41064" w:rsidRPr="000E3A45" w:rsidRDefault="00B41064" w:rsidP="009568DD">
      <w:pPr>
        <w:ind w:left="-113" w:right="-159"/>
        <w:jc w:val="both"/>
        <w:rPr>
          <w:sz w:val="20"/>
          <w:szCs w:val="20"/>
        </w:rPr>
      </w:pPr>
      <w:r w:rsidRPr="000E3A45">
        <w:rPr>
          <w:sz w:val="20"/>
          <w:szCs w:val="20"/>
        </w:rPr>
        <w:t>FUENTE: Banco de México.</w:t>
      </w:r>
    </w:p>
    <w:p w14:paraId="7761237B" w14:textId="77777777" w:rsidR="00F93947" w:rsidRDefault="00F93947" w:rsidP="00DC56DB">
      <w:pPr>
        <w:spacing w:after="360" w:line="360" w:lineRule="auto"/>
        <w:ind w:right="-159"/>
        <w:jc w:val="center"/>
      </w:pPr>
    </w:p>
    <w:p w14:paraId="304A6916" w14:textId="0F683250" w:rsidR="00716B48" w:rsidRPr="000E3A45" w:rsidRDefault="0079581F" w:rsidP="00DC56DB">
      <w:pPr>
        <w:spacing w:after="360" w:line="360" w:lineRule="auto"/>
        <w:ind w:right="-159"/>
        <w:jc w:val="center"/>
      </w:pPr>
      <w:r w:rsidRPr="0079581F">
        <w:rPr>
          <w:rFonts w:ascii="Calibri" w:eastAsia="Calibri" w:hAnsi="Calibri"/>
          <w:sz w:val="22"/>
          <w:szCs w:val="22"/>
          <w:lang w:eastAsia="en-US"/>
        </w:rPr>
        <w:lastRenderedPageBreak/>
        <w:fldChar w:fldCharType="begin"/>
      </w:r>
      <w:r w:rsidRPr="0079581F">
        <w:rPr>
          <w:rFonts w:ascii="Calibri" w:eastAsia="Calibri" w:hAnsi="Calibri"/>
          <w:sz w:val="22"/>
          <w:szCs w:val="22"/>
          <w:lang w:eastAsia="en-US"/>
        </w:rPr>
        <w:instrText xml:space="preserve"> LINK PowerPoint.Slide.8 "D:\\2015\\MARZO 2014\\GRÁFICAS EN POWER POINT\\29.- GRÁFICA DE CETES.pptx!265" "" \a \p </w:instrText>
      </w:r>
      <w:r w:rsidRPr="0079581F">
        <w:rPr>
          <w:rFonts w:ascii="Calibri" w:eastAsia="Calibri" w:hAnsi="Calibri"/>
          <w:sz w:val="22"/>
          <w:szCs w:val="22"/>
          <w:lang w:eastAsia="en-US"/>
        </w:rPr>
        <w:fldChar w:fldCharType="separate"/>
      </w:r>
      <w:r w:rsidRPr="0079581F">
        <w:rPr>
          <w:rFonts w:ascii="Calibri" w:eastAsia="Calibri" w:hAnsi="Calibri"/>
          <w:noProof/>
          <w:sz w:val="22"/>
          <w:szCs w:val="22"/>
          <w:lang w:eastAsia="es-MX"/>
        </w:rPr>
        <w:drawing>
          <wp:inline distT="0" distB="0" distL="0" distR="0" wp14:anchorId="1429ECD8" wp14:editId="0355D8BB">
            <wp:extent cx="5220970" cy="2971800"/>
            <wp:effectExtent l="0" t="0" r="0" b="0"/>
            <wp:docPr id="1602" name="Imagen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3"/>
                    <pic:cNvPicPr>
                      <a:picLocks noChangeAspect="1" noChangeArrowheads="1"/>
                    </pic:cNvPicPr>
                  </pic:nvPicPr>
                  <pic:blipFill>
                    <a:blip r:embed="rId418" cstate="print">
                      <a:extLst>
                        <a:ext uri="{28A0092B-C50C-407E-A947-70E740481C1C}">
                          <a14:useLocalDpi xmlns:a14="http://schemas.microsoft.com/office/drawing/2010/main" val="0"/>
                        </a:ext>
                      </a:extLst>
                    </a:blip>
                    <a:srcRect l="6416" t="8333" r="7825" b="5000"/>
                    <a:stretch>
                      <a:fillRect/>
                    </a:stretch>
                  </pic:blipFill>
                  <pic:spPr bwMode="auto">
                    <a:xfrm>
                      <a:off x="0" y="0"/>
                      <a:ext cx="5220970" cy="2971800"/>
                    </a:xfrm>
                    <a:prstGeom prst="rect">
                      <a:avLst/>
                    </a:prstGeom>
                    <a:noFill/>
                    <a:ln>
                      <a:noFill/>
                    </a:ln>
                  </pic:spPr>
                </pic:pic>
              </a:graphicData>
            </a:graphic>
          </wp:inline>
        </w:drawing>
      </w:r>
      <w:r w:rsidRPr="0079581F">
        <w:rPr>
          <w:rFonts w:ascii="Calibri" w:eastAsia="Calibri" w:hAnsi="Calibri"/>
          <w:sz w:val="22"/>
          <w:szCs w:val="22"/>
          <w:lang w:eastAsia="en-US"/>
        </w:rPr>
        <w:fldChar w:fldCharType="end"/>
      </w:r>
    </w:p>
    <w:p w14:paraId="179F5ED4" w14:textId="77777777" w:rsidR="00A1402D" w:rsidRPr="000E3A45" w:rsidRDefault="00A1402D" w:rsidP="00B813D4">
      <w:pPr>
        <w:ind w:right="-159"/>
        <w:jc w:val="both"/>
        <w:rPr>
          <w:b/>
          <w:sz w:val="20"/>
          <w:szCs w:val="20"/>
        </w:rPr>
      </w:pPr>
      <w:r w:rsidRPr="000E3A45">
        <w:rPr>
          <w:b/>
          <w:sz w:val="20"/>
          <w:szCs w:val="20"/>
        </w:rPr>
        <w:t>Fuente de información:</w:t>
      </w:r>
    </w:p>
    <w:p w14:paraId="76756B01" w14:textId="26DD48F6" w:rsidR="0079581F" w:rsidRPr="00DF60F6" w:rsidRDefault="0093224F" w:rsidP="00DF60F6">
      <w:pPr>
        <w:spacing w:after="720"/>
        <w:ind w:right="-159"/>
        <w:jc w:val="both"/>
        <w:rPr>
          <w:color w:val="0000FF"/>
          <w:sz w:val="20"/>
          <w:szCs w:val="20"/>
        </w:rPr>
      </w:pPr>
      <w:hyperlink r:id="rId419" w:history="1">
        <w:r w:rsidR="0079581F" w:rsidRPr="00DF60F6">
          <w:rPr>
            <w:rStyle w:val="Hipervnculo"/>
            <w:sz w:val="20"/>
            <w:szCs w:val="20"/>
          </w:rPr>
          <w:t>http://www.banxico.org.mx/stdview.html?url=/portal-mercado-valores/informacion-oportuna/subasta-y-colocacion-de-valores/resultados/primarias-de-valores-gubernamentales/ResuSubaPrimaNew-1.html</w:t>
        </w:r>
      </w:hyperlink>
    </w:p>
    <w:p w14:paraId="59031383" w14:textId="2CF616EA" w:rsidR="007E25B7" w:rsidRPr="000E3A45" w:rsidRDefault="007E25B7" w:rsidP="007E25B7">
      <w:pPr>
        <w:spacing w:after="360" w:line="360" w:lineRule="auto"/>
        <w:ind w:right="-159"/>
        <w:jc w:val="both"/>
        <w:rPr>
          <w:b/>
          <w:sz w:val="26"/>
          <w:szCs w:val="26"/>
        </w:rPr>
      </w:pPr>
      <w:r w:rsidRPr="000E3A45">
        <w:rPr>
          <w:b/>
          <w:sz w:val="26"/>
          <w:szCs w:val="26"/>
        </w:rPr>
        <w:t>Tasa de Interés Interbancaria de Equilibrio (Banxico)</w:t>
      </w:r>
    </w:p>
    <w:p w14:paraId="661068DF" w14:textId="77777777" w:rsidR="007E25B7" w:rsidRPr="000E3A45" w:rsidRDefault="007E25B7" w:rsidP="007E25B7">
      <w:pPr>
        <w:spacing w:after="360" w:line="360" w:lineRule="auto"/>
        <w:ind w:right="-159"/>
        <w:jc w:val="both"/>
        <w:rPr>
          <w:sz w:val="26"/>
          <w:szCs w:val="26"/>
        </w:rPr>
      </w:pPr>
      <w:r w:rsidRPr="000E3A45">
        <w:rPr>
          <w:sz w:val="26"/>
          <w:szCs w:val="26"/>
        </w:rPr>
        <w:t>La Tasa de Interés Interbancaria de Equilibrio (TIIE) se utiliza por el mercado bancario nacional como referencia para el otorgamiento de créditos hipotecarios, de consumo y de otras inversiones en el aparato productivo nacional.</w:t>
      </w:r>
    </w:p>
    <w:p w14:paraId="1E941C83" w14:textId="30FE5073" w:rsidR="00C2512B" w:rsidRPr="000E3A45" w:rsidRDefault="002338FA" w:rsidP="007E25B7">
      <w:pPr>
        <w:spacing w:after="360" w:line="360" w:lineRule="auto"/>
        <w:ind w:right="-159"/>
        <w:jc w:val="both"/>
        <w:rPr>
          <w:sz w:val="26"/>
          <w:szCs w:val="26"/>
        </w:rPr>
      </w:pPr>
      <w:r w:rsidRPr="000E3A45">
        <w:rPr>
          <w:sz w:val="26"/>
          <w:szCs w:val="26"/>
        </w:rPr>
        <w:t xml:space="preserve">A consecuencia de la </w:t>
      </w:r>
      <w:r w:rsidR="00353E1A">
        <w:rPr>
          <w:sz w:val="26"/>
          <w:szCs w:val="26"/>
        </w:rPr>
        <w:t xml:space="preserve">estabilidad </w:t>
      </w:r>
      <w:r w:rsidRPr="000E3A45">
        <w:rPr>
          <w:sz w:val="26"/>
          <w:szCs w:val="26"/>
        </w:rPr>
        <w:t>de la tasa de interés interbancaria a un día</w:t>
      </w:r>
      <w:r w:rsidR="00CC4B15" w:rsidRPr="000E3A45">
        <w:rPr>
          <w:sz w:val="26"/>
          <w:szCs w:val="26"/>
        </w:rPr>
        <w:t xml:space="preserve"> </w:t>
      </w:r>
      <w:r w:rsidR="00353E1A">
        <w:rPr>
          <w:sz w:val="26"/>
          <w:szCs w:val="26"/>
        </w:rPr>
        <w:t xml:space="preserve">en 3.0%, la volatilidad en los mercados financieros y cambiarios ha propiciado un </w:t>
      </w:r>
      <w:r w:rsidR="009B14E1">
        <w:rPr>
          <w:sz w:val="26"/>
          <w:szCs w:val="26"/>
        </w:rPr>
        <w:t xml:space="preserve">aumento moderado </w:t>
      </w:r>
      <w:r w:rsidR="00353E1A">
        <w:rPr>
          <w:sz w:val="26"/>
          <w:szCs w:val="26"/>
        </w:rPr>
        <w:t>en las</w:t>
      </w:r>
      <w:r w:rsidR="00CC4B15" w:rsidRPr="000E3A45">
        <w:rPr>
          <w:sz w:val="26"/>
          <w:szCs w:val="26"/>
        </w:rPr>
        <w:t xml:space="preserve"> tasas de interés de referencia del mercado financiero</w:t>
      </w:r>
      <w:r w:rsidR="00031D8E" w:rsidRPr="000E3A45">
        <w:rPr>
          <w:sz w:val="26"/>
          <w:szCs w:val="26"/>
        </w:rPr>
        <w:t xml:space="preserve"> durante el presente año</w:t>
      </w:r>
      <w:r w:rsidRPr="000E3A45">
        <w:rPr>
          <w:sz w:val="26"/>
          <w:szCs w:val="26"/>
        </w:rPr>
        <w:t xml:space="preserve">, </w:t>
      </w:r>
      <w:r w:rsidR="008B3D0A" w:rsidRPr="000E3A45">
        <w:rPr>
          <w:sz w:val="26"/>
          <w:szCs w:val="26"/>
        </w:rPr>
        <w:t xml:space="preserve">la </w:t>
      </w:r>
      <w:r w:rsidR="00821EAC" w:rsidRPr="000E3A45">
        <w:rPr>
          <w:sz w:val="26"/>
          <w:szCs w:val="26"/>
        </w:rPr>
        <w:t xml:space="preserve">TIIE </w:t>
      </w:r>
      <w:r w:rsidR="00CC4B15" w:rsidRPr="000E3A45">
        <w:rPr>
          <w:sz w:val="26"/>
          <w:szCs w:val="26"/>
        </w:rPr>
        <w:t xml:space="preserve">también ha registrado un comportamiento al </w:t>
      </w:r>
      <w:r w:rsidR="00353E1A">
        <w:rPr>
          <w:sz w:val="26"/>
          <w:szCs w:val="26"/>
        </w:rPr>
        <w:t>alza</w:t>
      </w:r>
      <w:r w:rsidR="00CC4B15" w:rsidRPr="000E3A45">
        <w:rPr>
          <w:sz w:val="26"/>
          <w:szCs w:val="26"/>
        </w:rPr>
        <w:t xml:space="preserve"> aunque </w:t>
      </w:r>
      <w:r w:rsidR="00353E1A">
        <w:rPr>
          <w:sz w:val="26"/>
          <w:szCs w:val="26"/>
        </w:rPr>
        <w:t>con</w:t>
      </w:r>
      <w:r w:rsidR="00CC4B15" w:rsidRPr="000E3A45">
        <w:rPr>
          <w:sz w:val="26"/>
          <w:szCs w:val="26"/>
        </w:rPr>
        <w:t xml:space="preserve"> una trayectoria </w:t>
      </w:r>
      <w:r w:rsidR="009B14E1">
        <w:rPr>
          <w:sz w:val="26"/>
          <w:szCs w:val="26"/>
        </w:rPr>
        <w:t>tenue</w:t>
      </w:r>
      <w:r w:rsidRPr="000E3A45">
        <w:rPr>
          <w:sz w:val="26"/>
          <w:szCs w:val="26"/>
        </w:rPr>
        <w:t>.</w:t>
      </w:r>
      <w:r w:rsidR="00DF38F2" w:rsidRPr="000E3A45">
        <w:rPr>
          <w:sz w:val="26"/>
          <w:szCs w:val="26"/>
        </w:rPr>
        <w:t xml:space="preserve"> </w:t>
      </w:r>
      <w:r w:rsidRPr="000E3A45">
        <w:rPr>
          <w:sz w:val="26"/>
          <w:szCs w:val="26"/>
        </w:rPr>
        <w:t xml:space="preserve">Así, el </w:t>
      </w:r>
      <w:r w:rsidR="00DF38F2" w:rsidRPr="000E3A45">
        <w:rPr>
          <w:sz w:val="26"/>
          <w:szCs w:val="26"/>
        </w:rPr>
        <w:t>promedio</w:t>
      </w:r>
      <w:r w:rsidRPr="000E3A45">
        <w:rPr>
          <w:sz w:val="26"/>
          <w:szCs w:val="26"/>
        </w:rPr>
        <w:t xml:space="preserve"> de la TIIE</w:t>
      </w:r>
      <w:r w:rsidR="00DF38F2" w:rsidRPr="000E3A45">
        <w:rPr>
          <w:sz w:val="26"/>
          <w:szCs w:val="26"/>
        </w:rPr>
        <w:t xml:space="preserve">, en las </w:t>
      </w:r>
      <w:r w:rsidR="00A8478F" w:rsidRPr="000E3A45">
        <w:rPr>
          <w:sz w:val="26"/>
          <w:szCs w:val="26"/>
        </w:rPr>
        <w:t>tres</w:t>
      </w:r>
      <w:r w:rsidR="00DF38F2" w:rsidRPr="000E3A45">
        <w:rPr>
          <w:sz w:val="26"/>
          <w:szCs w:val="26"/>
        </w:rPr>
        <w:t xml:space="preserve"> primeras </w:t>
      </w:r>
      <w:r w:rsidR="005E38D8" w:rsidRPr="000E3A45">
        <w:rPr>
          <w:sz w:val="26"/>
          <w:szCs w:val="26"/>
        </w:rPr>
        <w:t xml:space="preserve">semanas </w:t>
      </w:r>
      <w:r w:rsidR="00DF38F2" w:rsidRPr="000E3A45">
        <w:rPr>
          <w:sz w:val="26"/>
          <w:szCs w:val="26"/>
        </w:rPr>
        <w:t xml:space="preserve">de </w:t>
      </w:r>
      <w:r w:rsidR="009B14E1">
        <w:rPr>
          <w:sz w:val="26"/>
          <w:szCs w:val="26"/>
        </w:rPr>
        <w:t>marzo</w:t>
      </w:r>
      <w:r w:rsidR="00CC4B15" w:rsidRPr="000E3A45">
        <w:rPr>
          <w:sz w:val="26"/>
          <w:szCs w:val="26"/>
        </w:rPr>
        <w:t xml:space="preserve"> </w:t>
      </w:r>
      <w:r w:rsidR="004B4F25" w:rsidRPr="000E3A45">
        <w:rPr>
          <w:sz w:val="26"/>
          <w:szCs w:val="26"/>
        </w:rPr>
        <w:t>de 201</w:t>
      </w:r>
      <w:r w:rsidR="004503DA">
        <w:rPr>
          <w:sz w:val="26"/>
          <w:szCs w:val="26"/>
        </w:rPr>
        <w:t>5</w:t>
      </w:r>
      <w:r w:rsidR="00DF38F2" w:rsidRPr="000E3A45">
        <w:rPr>
          <w:sz w:val="26"/>
          <w:szCs w:val="26"/>
        </w:rPr>
        <w:t>,</w:t>
      </w:r>
      <w:r w:rsidR="00821EAC" w:rsidRPr="000E3A45">
        <w:rPr>
          <w:sz w:val="26"/>
          <w:szCs w:val="26"/>
        </w:rPr>
        <w:t xml:space="preserve"> </w:t>
      </w:r>
      <w:r w:rsidR="00F341DE" w:rsidRPr="000E3A45">
        <w:rPr>
          <w:sz w:val="26"/>
          <w:szCs w:val="26"/>
        </w:rPr>
        <w:t xml:space="preserve">registró </w:t>
      </w:r>
      <w:r w:rsidR="00821EAC" w:rsidRPr="000E3A45">
        <w:rPr>
          <w:sz w:val="26"/>
          <w:szCs w:val="26"/>
        </w:rPr>
        <w:t xml:space="preserve">una tasa de interés anual promedio de </w:t>
      </w:r>
      <w:r w:rsidR="00CD23EE" w:rsidRPr="000E3A45">
        <w:rPr>
          <w:sz w:val="26"/>
          <w:szCs w:val="26"/>
        </w:rPr>
        <w:t>3</w:t>
      </w:r>
      <w:r w:rsidR="00E14A9F" w:rsidRPr="000E3A45">
        <w:rPr>
          <w:sz w:val="26"/>
          <w:szCs w:val="26"/>
        </w:rPr>
        <w:t>.</w:t>
      </w:r>
      <w:r w:rsidR="009B14E1">
        <w:rPr>
          <w:sz w:val="26"/>
          <w:szCs w:val="26"/>
        </w:rPr>
        <w:t>3038</w:t>
      </w:r>
      <w:r w:rsidR="00821EAC" w:rsidRPr="000E3A45">
        <w:rPr>
          <w:sz w:val="26"/>
          <w:szCs w:val="26"/>
        </w:rPr>
        <w:t xml:space="preserve">%, </w:t>
      </w:r>
      <w:r w:rsidR="00DE7F1B" w:rsidRPr="000E3A45">
        <w:rPr>
          <w:sz w:val="26"/>
          <w:szCs w:val="26"/>
        </w:rPr>
        <w:t xml:space="preserve">cifra </w:t>
      </w:r>
      <w:r w:rsidR="009B14E1">
        <w:rPr>
          <w:sz w:val="26"/>
          <w:szCs w:val="26"/>
        </w:rPr>
        <w:t>67</w:t>
      </w:r>
      <w:r w:rsidR="00830B8E" w:rsidRPr="000E3A45">
        <w:rPr>
          <w:sz w:val="26"/>
          <w:szCs w:val="26"/>
        </w:rPr>
        <w:t xml:space="preserve"> diezmilésimas de punto porcentual m</w:t>
      </w:r>
      <w:r w:rsidR="009B14E1">
        <w:rPr>
          <w:sz w:val="26"/>
          <w:szCs w:val="26"/>
        </w:rPr>
        <w:t>ás</w:t>
      </w:r>
      <w:r w:rsidR="00830B8E" w:rsidRPr="000E3A45">
        <w:rPr>
          <w:sz w:val="26"/>
          <w:szCs w:val="26"/>
        </w:rPr>
        <w:t xml:space="preserve"> a la observada</w:t>
      </w:r>
      <w:r w:rsidR="00672845" w:rsidRPr="000E3A45">
        <w:rPr>
          <w:sz w:val="26"/>
          <w:szCs w:val="26"/>
        </w:rPr>
        <w:t xml:space="preserve"> </w:t>
      </w:r>
      <w:r w:rsidR="00830B8E" w:rsidRPr="000E3A45">
        <w:rPr>
          <w:sz w:val="26"/>
          <w:szCs w:val="26"/>
        </w:rPr>
        <w:t xml:space="preserve">en </w:t>
      </w:r>
      <w:r w:rsidR="00353E1A">
        <w:rPr>
          <w:sz w:val="26"/>
          <w:szCs w:val="26"/>
        </w:rPr>
        <w:t>el mes inmediato anterior (3.</w:t>
      </w:r>
      <w:r w:rsidR="009B14E1">
        <w:rPr>
          <w:sz w:val="26"/>
          <w:szCs w:val="26"/>
        </w:rPr>
        <w:t>2971</w:t>
      </w:r>
      <w:r w:rsidR="00353E1A">
        <w:rPr>
          <w:sz w:val="26"/>
          <w:szCs w:val="26"/>
        </w:rPr>
        <w:t xml:space="preserve">%), </w:t>
      </w:r>
      <w:r w:rsidR="009B14E1">
        <w:rPr>
          <w:sz w:val="26"/>
          <w:szCs w:val="26"/>
        </w:rPr>
        <w:t>superior</w:t>
      </w:r>
      <w:r w:rsidR="00353E1A">
        <w:rPr>
          <w:sz w:val="26"/>
          <w:szCs w:val="26"/>
        </w:rPr>
        <w:t xml:space="preserve"> en </w:t>
      </w:r>
      <w:r w:rsidR="009B14E1">
        <w:rPr>
          <w:sz w:val="26"/>
          <w:szCs w:val="26"/>
        </w:rPr>
        <w:t>27</w:t>
      </w:r>
      <w:r w:rsidR="00353E1A">
        <w:rPr>
          <w:sz w:val="26"/>
          <w:szCs w:val="26"/>
        </w:rPr>
        <w:t xml:space="preserve"> diezmilésimas con relación a </w:t>
      </w:r>
      <w:r w:rsidR="00F83B40">
        <w:rPr>
          <w:sz w:val="26"/>
          <w:szCs w:val="26"/>
        </w:rPr>
        <w:t xml:space="preserve">diciembre </w:t>
      </w:r>
      <w:r w:rsidR="00672845" w:rsidRPr="000E3A45">
        <w:rPr>
          <w:sz w:val="26"/>
          <w:szCs w:val="26"/>
        </w:rPr>
        <w:t>anterior</w:t>
      </w:r>
      <w:r w:rsidR="00830B8E" w:rsidRPr="000E3A45">
        <w:rPr>
          <w:sz w:val="26"/>
          <w:szCs w:val="26"/>
        </w:rPr>
        <w:t xml:space="preserve"> (3.</w:t>
      </w:r>
      <w:r w:rsidR="004503DA">
        <w:rPr>
          <w:sz w:val="26"/>
          <w:szCs w:val="26"/>
        </w:rPr>
        <w:t>3011</w:t>
      </w:r>
      <w:r w:rsidR="00830B8E" w:rsidRPr="000E3A45">
        <w:rPr>
          <w:sz w:val="26"/>
          <w:szCs w:val="26"/>
        </w:rPr>
        <w:t>%)</w:t>
      </w:r>
      <w:r w:rsidR="00353E1A">
        <w:rPr>
          <w:sz w:val="26"/>
          <w:szCs w:val="26"/>
        </w:rPr>
        <w:t xml:space="preserve"> </w:t>
      </w:r>
      <w:r w:rsidR="00353E1A">
        <w:rPr>
          <w:sz w:val="26"/>
          <w:szCs w:val="26"/>
        </w:rPr>
        <w:lastRenderedPageBreak/>
        <w:t xml:space="preserve">y </w:t>
      </w:r>
      <w:r w:rsidR="007C20DC">
        <w:rPr>
          <w:sz w:val="26"/>
          <w:szCs w:val="26"/>
        </w:rPr>
        <w:t>menor en 49</w:t>
      </w:r>
      <w:r w:rsidR="009B14E1">
        <w:rPr>
          <w:sz w:val="26"/>
          <w:szCs w:val="26"/>
        </w:rPr>
        <w:t>69</w:t>
      </w:r>
      <w:r w:rsidR="007C20DC">
        <w:rPr>
          <w:sz w:val="26"/>
          <w:szCs w:val="26"/>
        </w:rPr>
        <w:t xml:space="preserve"> diezmilésimas  si se le compara con el promedio de </w:t>
      </w:r>
      <w:r w:rsidR="009B14E1">
        <w:rPr>
          <w:sz w:val="26"/>
          <w:szCs w:val="26"/>
        </w:rPr>
        <w:t>marzo</w:t>
      </w:r>
      <w:r w:rsidR="007C20DC">
        <w:rPr>
          <w:sz w:val="26"/>
          <w:szCs w:val="26"/>
        </w:rPr>
        <w:t xml:space="preserve"> de 2014 (3.8</w:t>
      </w:r>
      <w:r w:rsidR="009B14E1">
        <w:rPr>
          <w:sz w:val="26"/>
          <w:szCs w:val="26"/>
        </w:rPr>
        <w:t>007</w:t>
      </w:r>
      <w:r w:rsidR="007C20DC">
        <w:rPr>
          <w:sz w:val="26"/>
          <w:szCs w:val="26"/>
        </w:rPr>
        <w:t>%)</w:t>
      </w:r>
      <w:r w:rsidR="00F83B40">
        <w:rPr>
          <w:sz w:val="26"/>
          <w:szCs w:val="26"/>
        </w:rPr>
        <w:t>.</w:t>
      </w:r>
    </w:p>
    <w:p w14:paraId="33169DD7" w14:textId="4DECCFF0" w:rsidR="00266AB1" w:rsidRPr="000E3A45" w:rsidRDefault="009B14E1" w:rsidP="00266AB1">
      <w:pPr>
        <w:spacing w:after="360" w:line="360" w:lineRule="auto"/>
        <w:ind w:right="-159"/>
        <w:jc w:val="center"/>
        <w:rPr>
          <w:sz w:val="26"/>
          <w:szCs w:val="26"/>
        </w:rPr>
      </w:pPr>
      <w:r w:rsidRPr="009B14E1">
        <w:rPr>
          <w:rFonts w:ascii="Calibri" w:eastAsia="Calibri" w:hAnsi="Calibri"/>
          <w:sz w:val="22"/>
          <w:szCs w:val="22"/>
          <w:lang w:eastAsia="en-US"/>
        </w:rPr>
        <w:fldChar w:fldCharType="begin"/>
      </w:r>
      <w:r w:rsidRPr="009B14E1">
        <w:rPr>
          <w:rFonts w:ascii="Calibri" w:eastAsia="Calibri" w:hAnsi="Calibri"/>
          <w:sz w:val="22"/>
          <w:szCs w:val="22"/>
          <w:lang w:eastAsia="en-US"/>
        </w:rPr>
        <w:instrText xml:space="preserve"> LINK PowerPoint.Slide.8 "D:\\2015\\MARZO 2014\\GRÁFICAS EN POWER POINT\\30.- GRÁFICA DE LATIEE.pptx!264" "" \a \p </w:instrText>
      </w:r>
      <w:r w:rsidRPr="009B14E1">
        <w:rPr>
          <w:rFonts w:ascii="Calibri" w:eastAsia="Calibri" w:hAnsi="Calibri"/>
          <w:sz w:val="22"/>
          <w:szCs w:val="22"/>
          <w:lang w:eastAsia="en-US"/>
        </w:rPr>
        <w:fldChar w:fldCharType="separate"/>
      </w:r>
      <w:r w:rsidRPr="009B14E1">
        <w:rPr>
          <w:rFonts w:ascii="Calibri" w:eastAsia="Calibri" w:hAnsi="Calibri"/>
          <w:noProof/>
          <w:sz w:val="22"/>
          <w:szCs w:val="22"/>
          <w:lang w:eastAsia="es-MX"/>
        </w:rPr>
        <w:drawing>
          <wp:inline distT="0" distB="0" distL="0" distR="0" wp14:anchorId="1B9B0CC2" wp14:editId="021A81A9">
            <wp:extent cx="5214620" cy="3429000"/>
            <wp:effectExtent l="0" t="0" r="5080" b="0"/>
            <wp:docPr id="1603" name="Imagen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6"/>
                    <pic:cNvPicPr>
                      <a:picLocks noChangeAspect="1" noChangeArrowheads="1"/>
                    </pic:cNvPicPr>
                  </pic:nvPicPr>
                  <pic:blipFill>
                    <a:blip r:embed="rId420" cstate="print">
                      <a:extLst>
                        <a:ext uri="{28A0092B-C50C-407E-A947-70E740481C1C}">
                          <a14:useLocalDpi xmlns:a14="http://schemas.microsoft.com/office/drawing/2010/main" val="0"/>
                        </a:ext>
                      </a:extLst>
                    </a:blip>
                    <a:srcRect l="7042" r="7355"/>
                    <a:stretch>
                      <a:fillRect/>
                    </a:stretch>
                  </pic:blipFill>
                  <pic:spPr bwMode="auto">
                    <a:xfrm>
                      <a:off x="0" y="0"/>
                      <a:ext cx="5214620" cy="3429000"/>
                    </a:xfrm>
                    <a:prstGeom prst="rect">
                      <a:avLst/>
                    </a:prstGeom>
                    <a:noFill/>
                    <a:ln>
                      <a:noFill/>
                    </a:ln>
                  </pic:spPr>
                </pic:pic>
              </a:graphicData>
            </a:graphic>
          </wp:inline>
        </w:drawing>
      </w:r>
      <w:r w:rsidRPr="009B14E1">
        <w:rPr>
          <w:rFonts w:ascii="Calibri" w:eastAsia="Calibri" w:hAnsi="Calibri"/>
          <w:sz w:val="22"/>
          <w:szCs w:val="22"/>
          <w:lang w:eastAsia="en-US"/>
        </w:rPr>
        <w:fldChar w:fldCharType="end"/>
      </w:r>
    </w:p>
    <w:p w14:paraId="05B20931" w14:textId="77777777" w:rsidR="00CF72DA" w:rsidRPr="000E3A45" w:rsidRDefault="007E25B7" w:rsidP="0059482D">
      <w:pPr>
        <w:ind w:right="-159"/>
        <w:jc w:val="both"/>
        <w:rPr>
          <w:b/>
          <w:sz w:val="20"/>
          <w:szCs w:val="20"/>
        </w:rPr>
      </w:pPr>
      <w:r w:rsidRPr="000E3A45">
        <w:rPr>
          <w:b/>
          <w:sz w:val="20"/>
          <w:szCs w:val="20"/>
        </w:rPr>
        <w:t>Fuente de información:</w:t>
      </w:r>
    </w:p>
    <w:p w14:paraId="1A17463D" w14:textId="77777777" w:rsidR="00426A55" w:rsidRPr="00DF60F6" w:rsidRDefault="0093224F" w:rsidP="00DF60F6">
      <w:pPr>
        <w:spacing w:after="720"/>
        <w:jc w:val="both"/>
        <w:rPr>
          <w:rFonts w:ascii="Calibri" w:eastAsia="Times New Roman" w:hAnsi="Calibri" w:cs="Calibri"/>
          <w:color w:val="0000FF"/>
          <w:sz w:val="20"/>
          <w:szCs w:val="20"/>
          <w:u w:val="single"/>
          <w:lang w:eastAsia="es-MX"/>
        </w:rPr>
      </w:pPr>
      <w:hyperlink r:id="rId421" w:history="1">
        <w:r w:rsidR="00426A55" w:rsidRPr="00DF60F6">
          <w:rPr>
            <w:rFonts w:eastAsia="Times New Roman"/>
            <w:color w:val="0000FF"/>
            <w:sz w:val="20"/>
            <w:szCs w:val="20"/>
            <w:u w:val="single"/>
            <w:lang w:eastAsia="es-MX"/>
          </w:rPr>
          <w:t>http://www.banxico.org.mx/SieInternet/consultarDirectorioInternetAction.do?accion=consultarCuadro&amp;idCuadro=CF101&amp;sector=18&amp;locale=es</w:t>
        </w:r>
      </w:hyperlink>
    </w:p>
    <w:p w14:paraId="17849246" w14:textId="14EF80B9" w:rsidR="00833432" w:rsidRPr="000E3A45" w:rsidRDefault="00833432" w:rsidP="00833432">
      <w:pPr>
        <w:spacing w:after="360" w:line="360" w:lineRule="auto"/>
        <w:ind w:right="-159"/>
        <w:rPr>
          <w:b/>
          <w:sz w:val="26"/>
          <w:szCs w:val="26"/>
        </w:rPr>
      </w:pPr>
      <w:r w:rsidRPr="000E3A45">
        <w:rPr>
          <w:b/>
          <w:sz w:val="26"/>
          <w:szCs w:val="26"/>
        </w:rPr>
        <w:t>Costo Porcentual Promedio (CPP)</w:t>
      </w:r>
    </w:p>
    <w:p w14:paraId="53EC49D1" w14:textId="51CA2443" w:rsidR="00833432" w:rsidRDefault="009273D9" w:rsidP="00833432">
      <w:pPr>
        <w:spacing w:after="360" w:line="360" w:lineRule="auto"/>
        <w:ind w:right="-159"/>
        <w:jc w:val="both"/>
        <w:rPr>
          <w:sz w:val="26"/>
          <w:szCs w:val="26"/>
          <w:lang w:val="es-ES"/>
        </w:rPr>
      </w:pPr>
      <w:r w:rsidRPr="000E3A45">
        <w:rPr>
          <w:sz w:val="26"/>
          <w:szCs w:val="26"/>
          <w:lang w:val="es-ES"/>
        </w:rPr>
        <w:t>E</w:t>
      </w:r>
      <w:r w:rsidR="00833432" w:rsidRPr="000E3A45">
        <w:rPr>
          <w:sz w:val="26"/>
          <w:szCs w:val="26"/>
          <w:lang w:val="es-ES"/>
        </w:rPr>
        <w:t xml:space="preserve">l Banco de México informó que el Costo Porcentual Promedio (CPP), que incluye depósitos bancarios a plazo, pagarés con rendimiento liquidable al vencimiento, otros depósitos (excepto vista y ahorro), aceptaciones bancarias y papel comercial con aval bancario, y que se considera un parámetro del mercado que representa el costo porcentual promedio de captación, reportó en </w:t>
      </w:r>
      <w:r w:rsidR="00445B89">
        <w:rPr>
          <w:sz w:val="26"/>
          <w:szCs w:val="26"/>
          <w:lang w:val="es-ES"/>
        </w:rPr>
        <w:t>febrero</w:t>
      </w:r>
      <w:r w:rsidR="00833432" w:rsidRPr="000E3A45">
        <w:rPr>
          <w:sz w:val="26"/>
          <w:szCs w:val="26"/>
          <w:lang w:val="es-ES"/>
        </w:rPr>
        <w:t xml:space="preserve"> de 201</w:t>
      </w:r>
      <w:r w:rsidR="00372AC7">
        <w:rPr>
          <w:sz w:val="26"/>
          <w:szCs w:val="26"/>
          <w:lang w:val="es-ES"/>
        </w:rPr>
        <w:t>5</w:t>
      </w:r>
      <w:r w:rsidR="00833432" w:rsidRPr="000E3A45">
        <w:rPr>
          <w:sz w:val="26"/>
          <w:szCs w:val="26"/>
          <w:lang w:val="es-ES"/>
        </w:rPr>
        <w:t>, una tasa de interés anual de 2.</w:t>
      </w:r>
      <w:r w:rsidR="00372AC7">
        <w:rPr>
          <w:sz w:val="26"/>
          <w:szCs w:val="26"/>
          <w:lang w:val="es-ES"/>
        </w:rPr>
        <w:t>2</w:t>
      </w:r>
      <w:r w:rsidR="00445B89">
        <w:rPr>
          <w:sz w:val="26"/>
          <w:szCs w:val="26"/>
          <w:lang w:val="es-ES"/>
        </w:rPr>
        <w:t>4</w:t>
      </w:r>
      <w:r w:rsidR="00833432" w:rsidRPr="000E3A45">
        <w:rPr>
          <w:sz w:val="26"/>
          <w:szCs w:val="26"/>
          <w:lang w:val="es-ES"/>
        </w:rPr>
        <w:t xml:space="preserve">%, cifra </w:t>
      </w:r>
      <w:r w:rsidR="00BF4AFC" w:rsidRPr="000E3A45">
        <w:rPr>
          <w:sz w:val="26"/>
          <w:szCs w:val="26"/>
          <w:lang w:val="es-ES"/>
        </w:rPr>
        <w:t>m</w:t>
      </w:r>
      <w:r w:rsidR="00372AC7">
        <w:rPr>
          <w:sz w:val="26"/>
          <w:szCs w:val="26"/>
          <w:lang w:val="es-ES"/>
        </w:rPr>
        <w:t>ayor</w:t>
      </w:r>
      <w:r w:rsidR="00833432" w:rsidRPr="000E3A45">
        <w:rPr>
          <w:sz w:val="26"/>
          <w:szCs w:val="26"/>
          <w:lang w:val="es-ES"/>
        </w:rPr>
        <w:t xml:space="preserve"> en </w:t>
      </w:r>
      <w:r w:rsidR="00372AC7">
        <w:rPr>
          <w:sz w:val="26"/>
          <w:szCs w:val="26"/>
          <w:lang w:val="es-ES"/>
        </w:rPr>
        <w:t>c</w:t>
      </w:r>
      <w:r w:rsidR="00445B89">
        <w:rPr>
          <w:sz w:val="26"/>
          <w:szCs w:val="26"/>
          <w:lang w:val="es-ES"/>
        </w:rPr>
        <w:t>uatro</w:t>
      </w:r>
      <w:r w:rsidR="00833432" w:rsidRPr="000E3A45">
        <w:rPr>
          <w:sz w:val="26"/>
          <w:szCs w:val="26"/>
          <w:lang w:val="es-ES"/>
        </w:rPr>
        <w:t xml:space="preserve"> centésimas de punto porcentual a la observada en el mes inmediato anterior (2</w:t>
      </w:r>
      <w:r w:rsidR="00372AC7">
        <w:rPr>
          <w:sz w:val="26"/>
          <w:szCs w:val="26"/>
          <w:lang w:val="es-ES"/>
        </w:rPr>
        <w:t>.</w:t>
      </w:r>
      <w:r w:rsidR="00445B89">
        <w:rPr>
          <w:sz w:val="26"/>
          <w:szCs w:val="26"/>
          <w:lang w:val="es-ES"/>
        </w:rPr>
        <w:t>20</w:t>
      </w:r>
      <w:r w:rsidR="00833432" w:rsidRPr="000E3A45">
        <w:rPr>
          <w:sz w:val="26"/>
          <w:szCs w:val="26"/>
          <w:lang w:val="es-ES"/>
        </w:rPr>
        <w:t xml:space="preserve">%), </w:t>
      </w:r>
      <w:r w:rsidR="00445B89">
        <w:rPr>
          <w:sz w:val="26"/>
          <w:szCs w:val="26"/>
          <w:lang w:val="es-ES"/>
        </w:rPr>
        <w:t>y</w:t>
      </w:r>
      <w:r w:rsidR="00DB2A13" w:rsidRPr="000E3A45">
        <w:rPr>
          <w:sz w:val="26"/>
          <w:szCs w:val="26"/>
          <w:lang w:val="es-ES"/>
        </w:rPr>
        <w:t xml:space="preserve"> </w:t>
      </w:r>
      <w:r w:rsidR="00445B89">
        <w:rPr>
          <w:sz w:val="26"/>
          <w:szCs w:val="26"/>
          <w:lang w:val="es-ES"/>
        </w:rPr>
        <w:t>superior</w:t>
      </w:r>
      <w:r w:rsidR="00833432" w:rsidRPr="000E3A45">
        <w:rPr>
          <w:sz w:val="26"/>
          <w:szCs w:val="26"/>
          <w:lang w:val="es-ES"/>
        </w:rPr>
        <w:t xml:space="preserve"> en </w:t>
      </w:r>
      <w:r w:rsidR="00445B89">
        <w:rPr>
          <w:sz w:val="26"/>
          <w:szCs w:val="26"/>
          <w:lang w:val="es-ES"/>
        </w:rPr>
        <w:t xml:space="preserve">nueve </w:t>
      </w:r>
      <w:r w:rsidR="00833432" w:rsidRPr="000E3A45">
        <w:rPr>
          <w:sz w:val="26"/>
          <w:szCs w:val="26"/>
          <w:lang w:val="es-ES"/>
        </w:rPr>
        <w:t xml:space="preserve">centésimas de punto con relación </w:t>
      </w:r>
      <w:r w:rsidR="00833432" w:rsidRPr="000E3A45">
        <w:rPr>
          <w:sz w:val="26"/>
          <w:szCs w:val="26"/>
          <w:lang w:val="es-ES"/>
        </w:rPr>
        <w:lastRenderedPageBreak/>
        <w:t xml:space="preserve">a </w:t>
      </w:r>
      <w:r w:rsidR="00445B89">
        <w:rPr>
          <w:sz w:val="26"/>
          <w:szCs w:val="26"/>
          <w:lang w:val="es-ES"/>
        </w:rPr>
        <w:t>diciembre pasado (2.15%), y 37 centésimas menos si se le compara con</w:t>
      </w:r>
      <w:r w:rsidR="00833432" w:rsidRPr="000E3A45">
        <w:rPr>
          <w:sz w:val="26"/>
          <w:szCs w:val="26"/>
          <w:lang w:val="es-ES"/>
        </w:rPr>
        <w:t xml:space="preserve"> la de </w:t>
      </w:r>
      <w:r w:rsidR="00445B89">
        <w:rPr>
          <w:sz w:val="26"/>
          <w:szCs w:val="26"/>
          <w:lang w:val="es-ES"/>
        </w:rPr>
        <w:t>febrer</w:t>
      </w:r>
      <w:r w:rsidR="00372AC7">
        <w:rPr>
          <w:sz w:val="26"/>
          <w:szCs w:val="26"/>
          <w:lang w:val="es-ES"/>
        </w:rPr>
        <w:t>o</w:t>
      </w:r>
      <w:r w:rsidR="00833432" w:rsidRPr="000E3A45">
        <w:rPr>
          <w:sz w:val="26"/>
          <w:szCs w:val="26"/>
          <w:lang w:val="es-ES"/>
        </w:rPr>
        <w:t xml:space="preserve"> de 201</w:t>
      </w:r>
      <w:r w:rsidR="00372AC7">
        <w:rPr>
          <w:sz w:val="26"/>
          <w:szCs w:val="26"/>
          <w:lang w:val="es-ES"/>
        </w:rPr>
        <w:t>4</w:t>
      </w:r>
      <w:r w:rsidR="00833432" w:rsidRPr="000E3A45">
        <w:rPr>
          <w:sz w:val="26"/>
          <w:szCs w:val="26"/>
          <w:lang w:val="es-ES"/>
        </w:rPr>
        <w:t xml:space="preserve"> (</w:t>
      </w:r>
      <w:r w:rsidR="00702EB8" w:rsidRPr="000E3A45">
        <w:rPr>
          <w:sz w:val="26"/>
          <w:szCs w:val="26"/>
          <w:lang w:val="es-ES"/>
        </w:rPr>
        <w:t>2.</w:t>
      </w:r>
      <w:r w:rsidR="00445B89">
        <w:rPr>
          <w:sz w:val="26"/>
          <w:szCs w:val="26"/>
          <w:lang w:val="es-ES"/>
        </w:rPr>
        <w:t>61</w:t>
      </w:r>
      <w:r w:rsidR="00833432" w:rsidRPr="000E3A45">
        <w:rPr>
          <w:sz w:val="26"/>
          <w:szCs w:val="26"/>
          <w:lang w:val="es-ES"/>
        </w:rPr>
        <w:t>%)</w:t>
      </w:r>
      <w:r w:rsidR="00DB2A13" w:rsidRPr="000E3A45">
        <w:rPr>
          <w:sz w:val="26"/>
          <w:szCs w:val="26"/>
          <w:lang w:val="es-ES"/>
        </w:rPr>
        <w:t>.</w:t>
      </w:r>
    </w:p>
    <w:p w14:paraId="52DDF987" w14:textId="0B2E01D1" w:rsidR="00445B89" w:rsidRPr="000E3A45" w:rsidRDefault="00445B89" w:rsidP="00833432">
      <w:pPr>
        <w:spacing w:after="360" w:line="360" w:lineRule="auto"/>
        <w:ind w:right="-159"/>
        <w:jc w:val="both"/>
        <w:rPr>
          <w:sz w:val="26"/>
          <w:szCs w:val="26"/>
          <w:lang w:val="es-ES"/>
        </w:rPr>
      </w:pPr>
      <w:r>
        <w:rPr>
          <w:sz w:val="26"/>
          <w:szCs w:val="26"/>
          <w:lang w:val="es-ES"/>
        </w:rPr>
        <w:t>Cabe destacar que durante el primer bimestre de 2015, el CPP registró una tasa de interés promedio de 2.22%, lo que significó una disminución de 37 centésimas de punto porcentual respecto al mismo período de 2014 (2.59%).</w:t>
      </w:r>
    </w:p>
    <w:p w14:paraId="05E5E54B" w14:textId="45E47B67" w:rsidR="009C7184" w:rsidRPr="000E3A45" w:rsidRDefault="00616F7A" w:rsidP="009C7184">
      <w:pPr>
        <w:spacing w:after="360" w:line="360" w:lineRule="auto"/>
        <w:ind w:right="-159"/>
        <w:jc w:val="center"/>
        <w:rPr>
          <w:sz w:val="26"/>
          <w:szCs w:val="26"/>
          <w:lang w:val="es-ES"/>
        </w:rPr>
      </w:pPr>
      <w:r w:rsidRPr="00616F7A">
        <w:rPr>
          <w:rFonts w:ascii="Calibri" w:eastAsia="Calibri" w:hAnsi="Calibri"/>
          <w:sz w:val="22"/>
          <w:szCs w:val="22"/>
          <w:lang w:eastAsia="en-US"/>
        </w:rPr>
        <w:fldChar w:fldCharType="begin"/>
      </w:r>
      <w:r w:rsidRPr="00616F7A">
        <w:rPr>
          <w:rFonts w:ascii="Calibri" w:eastAsia="Calibri" w:hAnsi="Calibri"/>
          <w:sz w:val="22"/>
          <w:szCs w:val="22"/>
          <w:lang w:eastAsia="en-US"/>
        </w:rPr>
        <w:instrText xml:space="preserve"> LINK PowerPoint.Slide.8 "D:\\2015\\MARZO 2014\\GRÁFICAS EN POWER POINT\\5.- GRÁFICAS DE COSTOS PORCENTUALES.pptx!264" "" \a \p </w:instrText>
      </w:r>
      <w:r w:rsidRPr="00616F7A">
        <w:rPr>
          <w:rFonts w:ascii="Calibri" w:eastAsia="Calibri" w:hAnsi="Calibri"/>
          <w:sz w:val="22"/>
          <w:szCs w:val="22"/>
          <w:lang w:eastAsia="en-US"/>
        </w:rPr>
        <w:fldChar w:fldCharType="separate"/>
      </w:r>
      <w:r w:rsidRPr="00616F7A">
        <w:rPr>
          <w:rFonts w:ascii="Calibri" w:eastAsia="Calibri" w:hAnsi="Calibri"/>
          <w:noProof/>
          <w:sz w:val="22"/>
          <w:szCs w:val="22"/>
          <w:lang w:eastAsia="es-MX"/>
        </w:rPr>
        <w:drawing>
          <wp:inline distT="0" distB="0" distL="0" distR="0" wp14:anchorId="4F110100" wp14:editId="767D7453">
            <wp:extent cx="4331335" cy="3095625"/>
            <wp:effectExtent l="0" t="0" r="0" b="9525"/>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9"/>
                    <pic:cNvPicPr>
                      <a:picLocks noChangeAspect="1" noChangeArrowheads="1"/>
                    </pic:cNvPicPr>
                  </pic:nvPicPr>
                  <pic:blipFill>
                    <a:blip r:embed="rId422" cstate="print">
                      <a:extLst>
                        <a:ext uri="{28A0092B-C50C-407E-A947-70E740481C1C}">
                          <a14:useLocalDpi xmlns:a14="http://schemas.microsoft.com/office/drawing/2010/main" val="0"/>
                        </a:ext>
                      </a:extLst>
                    </a:blip>
                    <a:srcRect l="1169" t="4044" r="3967" b="5582"/>
                    <a:stretch>
                      <a:fillRect/>
                    </a:stretch>
                  </pic:blipFill>
                  <pic:spPr bwMode="auto">
                    <a:xfrm>
                      <a:off x="0" y="0"/>
                      <a:ext cx="4331335" cy="3095625"/>
                    </a:xfrm>
                    <a:prstGeom prst="rect">
                      <a:avLst/>
                    </a:prstGeom>
                    <a:noFill/>
                    <a:ln>
                      <a:noFill/>
                    </a:ln>
                  </pic:spPr>
                </pic:pic>
              </a:graphicData>
            </a:graphic>
          </wp:inline>
        </w:drawing>
      </w:r>
      <w:r w:rsidRPr="00616F7A">
        <w:rPr>
          <w:rFonts w:ascii="Calibri" w:eastAsia="Calibri" w:hAnsi="Calibri"/>
          <w:sz w:val="22"/>
          <w:szCs w:val="22"/>
          <w:lang w:eastAsia="en-US"/>
        </w:rPr>
        <w:fldChar w:fldCharType="end"/>
      </w:r>
    </w:p>
    <w:p w14:paraId="0559FA7C" w14:textId="77777777" w:rsidR="00093FAF" w:rsidRPr="000E3A45" w:rsidRDefault="00093FAF" w:rsidP="00334723">
      <w:pPr>
        <w:tabs>
          <w:tab w:val="left" w:pos="1800"/>
        </w:tabs>
        <w:ind w:right="-159"/>
        <w:jc w:val="both"/>
        <w:rPr>
          <w:b/>
          <w:sz w:val="20"/>
          <w:szCs w:val="20"/>
        </w:rPr>
      </w:pPr>
      <w:r w:rsidRPr="000E3A45">
        <w:rPr>
          <w:b/>
          <w:sz w:val="20"/>
          <w:szCs w:val="20"/>
        </w:rPr>
        <w:t xml:space="preserve">Fuente de información: </w:t>
      </w:r>
    </w:p>
    <w:p w14:paraId="67EB2888" w14:textId="77777777" w:rsidR="004A1C13" w:rsidRPr="00DF60F6" w:rsidRDefault="0093224F" w:rsidP="00242D0E">
      <w:pPr>
        <w:spacing w:after="720"/>
        <w:ind w:right="-159"/>
        <w:jc w:val="both"/>
        <w:rPr>
          <w:rStyle w:val="Hipervnculo"/>
          <w:sz w:val="20"/>
          <w:szCs w:val="20"/>
        </w:rPr>
      </w:pPr>
      <w:hyperlink r:id="rId423" w:history="1">
        <w:r w:rsidR="008D67E2" w:rsidRPr="00DF60F6">
          <w:rPr>
            <w:rStyle w:val="Hipervnculo"/>
            <w:sz w:val="20"/>
            <w:szCs w:val="20"/>
          </w:rPr>
          <w:t>http://www.banxico.org.mx/SieInternet/consultarDirectorioInternetAction.do?accion=consultarCuadro&amp;idCuadro=CF112&amp;sector=18&amp;locale=es</w:t>
        </w:r>
      </w:hyperlink>
    </w:p>
    <w:p w14:paraId="2947AA70" w14:textId="2C4E860A" w:rsidR="00D31904" w:rsidRPr="000E3A45" w:rsidRDefault="00D31904" w:rsidP="00D31904">
      <w:pPr>
        <w:ind w:right="-159"/>
        <w:jc w:val="both"/>
        <w:rPr>
          <w:b/>
          <w:sz w:val="26"/>
          <w:szCs w:val="26"/>
        </w:rPr>
      </w:pPr>
      <w:r w:rsidRPr="000E3A45">
        <w:rPr>
          <w:b/>
          <w:sz w:val="26"/>
          <w:szCs w:val="26"/>
        </w:rPr>
        <w:t xml:space="preserve">Costo </w:t>
      </w:r>
      <w:r w:rsidR="00372AC7">
        <w:rPr>
          <w:b/>
          <w:sz w:val="26"/>
          <w:szCs w:val="26"/>
        </w:rPr>
        <w:t xml:space="preserve">  </w:t>
      </w:r>
      <w:r w:rsidRPr="000E3A45">
        <w:rPr>
          <w:b/>
          <w:sz w:val="26"/>
          <w:szCs w:val="26"/>
        </w:rPr>
        <w:t xml:space="preserve">de </w:t>
      </w:r>
      <w:r w:rsidR="00372AC7">
        <w:rPr>
          <w:b/>
          <w:sz w:val="26"/>
          <w:szCs w:val="26"/>
        </w:rPr>
        <w:t xml:space="preserve">  </w:t>
      </w:r>
      <w:r w:rsidRPr="000E3A45">
        <w:rPr>
          <w:b/>
          <w:sz w:val="26"/>
          <w:szCs w:val="26"/>
        </w:rPr>
        <w:t xml:space="preserve">Captación </w:t>
      </w:r>
      <w:r w:rsidR="00372AC7">
        <w:rPr>
          <w:b/>
          <w:sz w:val="26"/>
          <w:szCs w:val="26"/>
        </w:rPr>
        <w:t xml:space="preserve">  </w:t>
      </w:r>
      <w:r w:rsidRPr="000E3A45">
        <w:rPr>
          <w:b/>
          <w:sz w:val="26"/>
          <w:szCs w:val="26"/>
        </w:rPr>
        <w:t>a</w:t>
      </w:r>
      <w:r w:rsidR="00372AC7">
        <w:rPr>
          <w:b/>
          <w:sz w:val="26"/>
          <w:szCs w:val="26"/>
        </w:rPr>
        <w:t xml:space="preserve">  </w:t>
      </w:r>
      <w:r w:rsidRPr="000E3A45">
        <w:rPr>
          <w:b/>
          <w:sz w:val="26"/>
          <w:szCs w:val="26"/>
        </w:rPr>
        <w:t xml:space="preserve"> Plazo </w:t>
      </w:r>
      <w:r w:rsidR="00372AC7">
        <w:rPr>
          <w:b/>
          <w:sz w:val="26"/>
          <w:szCs w:val="26"/>
        </w:rPr>
        <w:t xml:space="preserve">   </w:t>
      </w:r>
      <w:r w:rsidRPr="000E3A45">
        <w:rPr>
          <w:b/>
          <w:sz w:val="26"/>
          <w:szCs w:val="26"/>
        </w:rPr>
        <w:t xml:space="preserve">de </w:t>
      </w:r>
      <w:r w:rsidR="00372AC7">
        <w:rPr>
          <w:b/>
          <w:sz w:val="26"/>
          <w:szCs w:val="26"/>
        </w:rPr>
        <w:t xml:space="preserve">   </w:t>
      </w:r>
      <w:r w:rsidRPr="000E3A45">
        <w:rPr>
          <w:b/>
          <w:sz w:val="26"/>
          <w:szCs w:val="26"/>
        </w:rPr>
        <w:t>Pasivos</w:t>
      </w:r>
    </w:p>
    <w:p w14:paraId="3D62461B" w14:textId="25113126" w:rsidR="00D31904" w:rsidRPr="000E3A45" w:rsidRDefault="00372AC7" w:rsidP="00D31904">
      <w:pPr>
        <w:spacing w:after="360" w:line="360" w:lineRule="auto"/>
        <w:ind w:right="-159"/>
        <w:jc w:val="both"/>
        <w:rPr>
          <w:sz w:val="26"/>
          <w:szCs w:val="26"/>
        </w:rPr>
      </w:pPr>
      <w:r>
        <w:rPr>
          <w:b/>
          <w:sz w:val="26"/>
          <w:szCs w:val="26"/>
        </w:rPr>
        <w:t xml:space="preserve">denominados </w:t>
      </w:r>
      <w:r w:rsidR="00D31904" w:rsidRPr="000E3A45">
        <w:rPr>
          <w:b/>
          <w:sz w:val="26"/>
          <w:szCs w:val="26"/>
        </w:rPr>
        <w:t>en moneda nacional (CCP-pesos)</w:t>
      </w:r>
    </w:p>
    <w:p w14:paraId="7E285538" w14:textId="77777777" w:rsidR="00D31904" w:rsidRPr="000E3A45" w:rsidRDefault="00D31904" w:rsidP="00D31904">
      <w:pPr>
        <w:spacing w:after="360" w:line="420" w:lineRule="exact"/>
        <w:ind w:right="-159"/>
        <w:jc w:val="both"/>
        <w:rPr>
          <w:sz w:val="26"/>
          <w:szCs w:val="26"/>
          <w:lang w:val="es-ES"/>
        </w:rPr>
      </w:pPr>
      <w:r w:rsidRPr="000E3A45">
        <w:rPr>
          <w:sz w:val="26"/>
          <w:szCs w:val="26"/>
        </w:rPr>
        <w:t>El CCP-pesos</w:t>
      </w:r>
      <w:r w:rsidRPr="000E3A45">
        <w:rPr>
          <w:sz w:val="26"/>
          <w:szCs w:val="26"/>
          <w:lang w:val="es-ES"/>
        </w:rPr>
        <w:t xml:space="preserve"> incluye las tasas de interés de los pasivos a plazo en moneda nacional a cargo de la banca múltiple, excepto los pasivos que se derivan de obligaciones subordinadas susceptibles de conversión a capital, del otorgamiento de avales y de la celebración de operaciones entre instituciones de crédito.</w:t>
      </w:r>
    </w:p>
    <w:p w14:paraId="6C5A3642" w14:textId="67BCC64A" w:rsidR="00833432" w:rsidRDefault="00D31904" w:rsidP="00D31904">
      <w:pPr>
        <w:spacing w:after="360" w:line="360" w:lineRule="auto"/>
        <w:ind w:right="-159"/>
        <w:jc w:val="both"/>
        <w:rPr>
          <w:sz w:val="26"/>
          <w:szCs w:val="26"/>
          <w:lang w:val="es-ES"/>
        </w:rPr>
      </w:pPr>
      <w:r w:rsidRPr="000E3A45">
        <w:rPr>
          <w:sz w:val="26"/>
          <w:szCs w:val="26"/>
          <w:lang w:val="es-ES"/>
        </w:rPr>
        <w:lastRenderedPageBreak/>
        <w:t xml:space="preserve">El CCP denominado en pesos registró en </w:t>
      </w:r>
      <w:r w:rsidR="00445B89">
        <w:rPr>
          <w:sz w:val="26"/>
          <w:szCs w:val="26"/>
          <w:lang w:val="es-ES"/>
        </w:rPr>
        <w:t>febrero</w:t>
      </w:r>
      <w:r w:rsidRPr="000E3A45">
        <w:rPr>
          <w:sz w:val="26"/>
          <w:szCs w:val="26"/>
          <w:lang w:val="es-ES"/>
        </w:rPr>
        <w:t xml:space="preserve"> de 201</w:t>
      </w:r>
      <w:r w:rsidR="00372AC7">
        <w:rPr>
          <w:sz w:val="26"/>
          <w:szCs w:val="26"/>
          <w:lang w:val="es-ES"/>
        </w:rPr>
        <w:t>5</w:t>
      </w:r>
      <w:r w:rsidRPr="000E3A45">
        <w:rPr>
          <w:sz w:val="26"/>
          <w:szCs w:val="26"/>
          <w:lang w:val="es-ES"/>
        </w:rPr>
        <w:t>, una tasa de rendimiento anual de 3.</w:t>
      </w:r>
      <w:r w:rsidR="005C7727" w:rsidRPr="000E3A45">
        <w:rPr>
          <w:sz w:val="26"/>
          <w:szCs w:val="26"/>
          <w:lang w:val="es-ES"/>
        </w:rPr>
        <w:t>0</w:t>
      </w:r>
      <w:r w:rsidR="00372AC7">
        <w:rPr>
          <w:sz w:val="26"/>
          <w:szCs w:val="26"/>
          <w:lang w:val="es-ES"/>
        </w:rPr>
        <w:t>1</w:t>
      </w:r>
      <w:r w:rsidRPr="000E3A45">
        <w:rPr>
          <w:sz w:val="26"/>
          <w:szCs w:val="26"/>
          <w:lang w:val="es-ES"/>
        </w:rPr>
        <w:t xml:space="preserve">%, porcentaje </w:t>
      </w:r>
      <w:r w:rsidR="00B84E29">
        <w:rPr>
          <w:sz w:val="26"/>
          <w:szCs w:val="26"/>
          <w:lang w:val="es-ES"/>
        </w:rPr>
        <w:t xml:space="preserve">idéntico al observado en enero pasado (3.01%), inferior en dos centésimas de punto porcentual </w:t>
      </w:r>
      <w:r w:rsidRPr="000E3A45">
        <w:rPr>
          <w:sz w:val="26"/>
          <w:szCs w:val="26"/>
          <w:lang w:val="es-ES"/>
        </w:rPr>
        <w:t xml:space="preserve">con respecto a </w:t>
      </w:r>
      <w:r w:rsidR="00372AC7">
        <w:rPr>
          <w:sz w:val="26"/>
          <w:szCs w:val="26"/>
          <w:lang w:val="es-ES"/>
        </w:rPr>
        <w:t>diciembre</w:t>
      </w:r>
      <w:r w:rsidR="00E85466" w:rsidRPr="000E3A45">
        <w:rPr>
          <w:sz w:val="26"/>
          <w:szCs w:val="26"/>
          <w:lang w:val="es-ES"/>
        </w:rPr>
        <w:t xml:space="preserve"> </w:t>
      </w:r>
      <w:r w:rsidRPr="000E3A45">
        <w:rPr>
          <w:sz w:val="26"/>
          <w:szCs w:val="26"/>
          <w:lang w:val="es-ES"/>
        </w:rPr>
        <w:t>anterior (3.</w:t>
      </w:r>
      <w:r w:rsidR="00886682" w:rsidRPr="000E3A45">
        <w:rPr>
          <w:sz w:val="26"/>
          <w:szCs w:val="26"/>
          <w:lang w:val="es-ES"/>
        </w:rPr>
        <w:t>0</w:t>
      </w:r>
      <w:r w:rsidR="00372AC7">
        <w:rPr>
          <w:sz w:val="26"/>
          <w:szCs w:val="26"/>
          <w:lang w:val="es-ES"/>
        </w:rPr>
        <w:t>3</w:t>
      </w:r>
      <w:r w:rsidRPr="000E3A45">
        <w:rPr>
          <w:sz w:val="26"/>
          <w:szCs w:val="26"/>
          <w:lang w:val="es-ES"/>
        </w:rPr>
        <w:t xml:space="preserve">%), </w:t>
      </w:r>
      <w:r w:rsidR="00B84E29">
        <w:rPr>
          <w:sz w:val="26"/>
          <w:szCs w:val="26"/>
          <w:lang w:val="es-ES"/>
        </w:rPr>
        <w:t xml:space="preserve">y menor en </w:t>
      </w:r>
      <w:r w:rsidRPr="000E3A45">
        <w:rPr>
          <w:sz w:val="26"/>
          <w:szCs w:val="26"/>
          <w:lang w:val="es-ES"/>
        </w:rPr>
        <w:t xml:space="preserve"> en </w:t>
      </w:r>
      <w:r w:rsidR="005C7727" w:rsidRPr="000E3A45">
        <w:rPr>
          <w:sz w:val="26"/>
          <w:szCs w:val="26"/>
          <w:lang w:val="es-ES"/>
        </w:rPr>
        <w:t>4</w:t>
      </w:r>
      <w:r w:rsidR="00B84E29">
        <w:rPr>
          <w:sz w:val="26"/>
          <w:szCs w:val="26"/>
          <w:lang w:val="es-ES"/>
        </w:rPr>
        <w:t>5</w:t>
      </w:r>
      <w:r w:rsidR="00F04532" w:rsidRPr="000E3A45">
        <w:rPr>
          <w:sz w:val="26"/>
          <w:szCs w:val="26"/>
          <w:lang w:val="es-ES"/>
        </w:rPr>
        <w:t xml:space="preserve"> </w:t>
      </w:r>
      <w:r w:rsidR="00445159" w:rsidRPr="000E3A45">
        <w:rPr>
          <w:sz w:val="26"/>
          <w:szCs w:val="26"/>
          <w:lang w:val="es-ES"/>
        </w:rPr>
        <w:t xml:space="preserve">centésimas de punto con relación a </w:t>
      </w:r>
      <w:r w:rsidR="00B84E29">
        <w:rPr>
          <w:sz w:val="26"/>
          <w:szCs w:val="26"/>
          <w:lang w:val="es-ES"/>
        </w:rPr>
        <w:t>febrero</w:t>
      </w:r>
      <w:r w:rsidR="00372AC7">
        <w:rPr>
          <w:sz w:val="26"/>
          <w:szCs w:val="26"/>
          <w:lang w:val="es-ES"/>
        </w:rPr>
        <w:t xml:space="preserve"> de 2014</w:t>
      </w:r>
      <w:r w:rsidR="00445159" w:rsidRPr="000E3A45">
        <w:rPr>
          <w:sz w:val="26"/>
          <w:szCs w:val="26"/>
          <w:lang w:val="es-ES"/>
        </w:rPr>
        <w:t xml:space="preserve"> (3.</w:t>
      </w:r>
      <w:r w:rsidR="00372AC7">
        <w:rPr>
          <w:sz w:val="26"/>
          <w:szCs w:val="26"/>
          <w:lang w:val="es-ES"/>
        </w:rPr>
        <w:t>4</w:t>
      </w:r>
      <w:r w:rsidR="00B84E29">
        <w:rPr>
          <w:sz w:val="26"/>
          <w:szCs w:val="26"/>
          <w:lang w:val="es-ES"/>
        </w:rPr>
        <w:t>6</w:t>
      </w:r>
      <w:r w:rsidR="00445159" w:rsidRPr="000E3A45">
        <w:rPr>
          <w:sz w:val="26"/>
          <w:szCs w:val="26"/>
          <w:lang w:val="es-ES"/>
        </w:rPr>
        <w:t>%)</w:t>
      </w:r>
      <w:r w:rsidR="0089684C" w:rsidRPr="000E3A45">
        <w:rPr>
          <w:sz w:val="26"/>
          <w:szCs w:val="26"/>
          <w:lang w:val="es-ES"/>
        </w:rPr>
        <w:t>.</w:t>
      </w:r>
    </w:p>
    <w:p w14:paraId="500FF666" w14:textId="44A73E70" w:rsidR="00B84E29" w:rsidRPr="000E3A45" w:rsidRDefault="00B84E29" w:rsidP="00D31904">
      <w:pPr>
        <w:spacing w:after="360" w:line="360" w:lineRule="auto"/>
        <w:ind w:right="-159"/>
        <w:jc w:val="both"/>
        <w:rPr>
          <w:sz w:val="26"/>
          <w:szCs w:val="26"/>
          <w:lang w:val="es-ES"/>
        </w:rPr>
      </w:pPr>
      <w:r>
        <w:rPr>
          <w:sz w:val="26"/>
          <w:szCs w:val="26"/>
          <w:lang w:val="es-ES"/>
        </w:rPr>
        <w:t>Asimismo, durante el período enero-febrero de 2015, el CPP denominado en pesos registró una tasa de rédito anual promedio de 3.01%, lo que representó una reducción de 46 centésimas de puntos con respecto al mismo lapso del año anterior.</w:t>
      </w:r>
    </w:p>
    <w:p w14:paraId="2A2357BC" w14:textId="0843B22E" w:rsidR="00833432" w:rsidRPr="000E3A45" w:rsidRDefault="00616F7A" w:rsidP="009273D9">
      <w:pPr>
        <w:spacing w:after="360"/>
        <w:ind w:right="-159"/>
        <w:jc w:val="center"/>
        <w:rPr>
          <w:sz w:val="26"/>
          <w:szCs w:val="26"/>
        </w:rPr>
      </w:pPr>
      <w:r w:rsidRPr="00616F7A">
        <w:rPr>
          <w:rFonts w:ascii="Calibri" w:eastAsia="Calibri" w:hAnsi="Calibri"/>
          <w:sz w:val="22"/>
          <w:szCs w:val="22"/>
          <w:lang w:eastAsia="en-US"/>
        </w:rPr>
        <w:fldChar w:fldCharType="begin"/>
      </w:r>
      <w:r w:rsidRPr="00616F7A">
        <w:rPr>
          <w:rFonts w:ascii="Calibri" w:eastAsia="Calibri" w:hAnsi="Calibri"/>
          <w:sz w:val="22"/>
          <w:szCs w:val="22"/>
          <w:lang w:eastAsia="en-US"/>
        </w:rPr>
        <w:instrText xml:space="preserve"> LINK PowerPoint.Slide.8 "D:\\2015\\MARZO 2014\\GRÁFICAS EN POWER POINT\\5.- GRÁFICAS DE COSTOS PORCENTUALES.pptx!273" "" \a \p </w:instrText>
      </w:r>
      <w:r w:rsidRPr="00616F7A">
        <w:rPr>
          <w:rFonts w:ascii="Calibri" w:eastAsia="Calibri" w:hAnsi="Calibri"/>
          <w:sz w:val="22"/>
          <w:szCs w:val="22"/>
          <w:lang w:eastAsia="en-US"/>
        </w:rPr>
        <w:fldChar w:fldCharType="separate"/>
      </w:r>
      <w:r w:rsidRPr="00616F7A">
        <w:rPr>
          <w:rFonts w:ascii="Calibri" w:eastAsia="Calibri" w:hAnsi="Calibri"/>
          <w:noProof/>
          <w:sz w:val="22"/>
          <w:szCs w:val="22"/>
          <w:lang w:eastAsia="es-MX"/>
        </w:rPr>
        <w:drawing>
          <wp:inline distT="0" distB="0" distL="0" distR="0" wp14:anchorId="4240FF68" wp14:editId="1A3EF57B">
            <wp:extent cx="4148666" cy="3020451"/>
            <wp:effectExtent l="0" t="0" r="4445" b="889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1"/>
                    <pic:cNvPicPr>
                      <a:picLocks noChangeAspect="1" noChangeArrowheads="1"/>
                    </pic:cNvPicPr>
                  </pic:nvPicPr>
                  <pic:blipFill>
                    <a:blip r:embed="rId424" cstate="print">
                      <a:extLst>
                        <a:ext uri="{28A0092B-C50C-407E-A947-70E740481C1C}">
                          <a14:useLocalDpi xmlns:a14="http://schemas.microsoft.com/office/drawing/2010/main" val="0"/>
                        </a:ext>
                      </a:extLst>
                    </a:blip>
                    <a:srcRect l="1630" t="3728" r="2785" b="3412"/>
                    <a:stretch>
                      <a:fillRect/>
                    </a:stretch>
                  </pic:blipFill>
                  <pic:spPr bwMode="auto">
                    <a:xfrm>
                      <a:off x="0" y="0"/>
                      <a:ext cx="4150312" cy="3021649"/>
                    </a:xfrm>
                    <a:prstGeom prst="rect">
                      <a:avLst/>
                    </a:prstGeom>
                    <a:noFill/>
                    <a:ln>
                      <a:noFill/>
                    </a:ln>
                  </pic:spPr>
                </pic:pic>
              </a:graphicData>
            </a:graphic>
          </wp:inline>
        </w:drawing>
      </w:r>
      <w:r w:rsidRPr="00616F7A">
        <w:rPr>
          <w:rFonts w:ascii="Calibri" w:eastAsia="Calibri" w:hAnsi="Calibri"/>
          <w:sz w:val="22"/>
          <w:szCs w:val="22"/>
          <w:lang w:eastAsia="en-US"/>
        </w:rPr>
        <w:fldChar w:fldCharType="end"/>
      </w:r>
    </w:p>
    <w:p w14:paraId="28E984D1" w14:textId="77777777" w:rsidR="00093FAF" w:rsidRPr="000E3A45" w:rsidRDefault="00093FAF" w:rsidP="00093FAF">
      <w:pPr>
        <w:ind w:right="-159"/>
        <w:jc w:val="both"/>
        <w:rPr>
          <w:b/>
          <w:sz w:val="20"/>
          <w:szCs w:val="20"/>
        </w:rPr>
      </w:pPr>
      <w:r w:rsidRPr="000E3A45">
        <w:rPr>
          <w:b/>
          <w:sz w:val="20"/>
          <w:szCs w:val="20"/>
        </w:rPr>
        <w:t xml:space="preserve">Fuente de información: </w:t>
      </w:r>
    </w:p>
    <w:p w14:paraId="2198FE46" w14:textId="77777777" w:rsidR="007E68AF" w:rsidRPr="00DF60F6" w:rsidRDefault="0093224F" w:rsidP="00242D0E">
      <w:pPr>
        <w:spacing w:after="720"/>
        <w:ind w:right="-159"/>
        <w:jc w:val="both"/>
        <w:rPr>
          <w:color w:val="0000FF"/>
          <w:sz w:val="20"/>
          <w:szCs w:val="20"/>
        </w:rPr>
      </w:pPr>
      <w:hyperlink r:id="rId425" w:history="1">
        <w:r w:rsidR="008D67E2" w:rsidRPr="00DF60F6">
          <w:rPr>
            <w:rStyle w:val="Hipervnculo"/>
            <w:sz w:val="20"/>
            <w:szCs w:val="20"/>
          </w:rPr>
          <w:t>http://www.banxico.org.mx/SieInternet/consultarDirectorioInternetAction.do?accion=consultarCuadro&amp;idCuadro=CF112&amp;sector=18&amp;locale=es</w:t>
        </w:r>
      </w:hyperlink>
    </w:p>
    <w:p w14:paraId="055F8DB0" w14:textId="3DAED579" w:rsidR="00905A4D" w:rsidRPr="000E3A45" w:rsidRDefault="007836E1" w:rsidP="00747268">
      <w:pPr>
        <w:ind w:right="-159"/>
        <w:jc w:val="both"/>
        <w:rPr>
          <w:b/>
          <w:sz w:val="26"/>
          <w:szCs w:val="26"/>
        </w:rPr>
      </w:pPr>
      <w:r w:rsidRPr="000E3A45">
        <w:rPr>
          <w:b/>
          <w:sz w:val="26"/>
          <w:szCs w:val="26"/>
        </w:rPr>
        <w:t xml:space="preserve">Costo </w:t>
      </w:r>
      <w:r w:rsidR="00372AC7">
        <w:rPr>
          <w:b/>
          <w:sz w:val="26"/>
          <w:szCs w:val="26"/>
        </w:rPr>
        <w:t xml:space="preserve">   </w:t>
      </w:r>
      <w:r w:rsidRPr="000E3A45">
        <w:rPr>
          <w:b/>
          <w:sz w:val="26"/>
          <w:szCs w:val="26"/>
        </w:rPr>
        <w:t xml:space="preserve">de </w:t>
      </w:r>
      <w:r w:rsidR="00372AC7">
        <w:rPr>
          <w:b/>
          <w:sz w:val="26"/>
          <w:szCs w:val="26"/>
        </w:rPr>
        <w:t xml:space="preserve">   </w:t>
      </w:r>
      <w:r w:rsidRPr="000E3A45">
        <w:rPr>
          <w:b/>
          <w:sz w:val="26"/>
          <w:szCs w:val="26"/>
        </w:rPr>
        <w:t xml:space="preserve">Captación </w:t>
      </w:r>
      <w:r w:rsidR="00372AC7">
        <w:rPr>
          <w:b/>
          <w:sz w:val="26"/>
          <w:szCs w:val="26"/>
        </w:rPr>
        <w:t xml:space="preserve">    </w:t>
      </w:r>
      <w:r w:rsidRPr="000E3A45">
        <w:rPr>
          <w:b/>
          <w:sz w:val="26"/>
          <w:szCs w:val="26"/>
        </w:rPr>
        <w:t xml:space="preserve">a </w:t>
      </w:r>
      <w:r w:rsidR="00372AC7">
        <w:rPr>
          <w:b/>
          <w:sz w:val="26"/>
          <w:szCs w:val="26"/>
        </w:rPr>
        <w:t xml:space="preserve">    </w:t>
      </w:r>
      <w:r w:rsidRPr="000E3A45">
        <w:rPr>
          <w:b/>
          <w:sz w:val="26"/>
          <w:szCs w:val="26"/>
        </w:rPr>
        <w:t xml:space="preserve">Plazo </w:t>
      </w:r>
      <w:r w:rsidR="00372AC7">
        <w:rPr>
          <w:b/>
          <w:sz w:val="26"/>
          <w:szCs w:val="26"/>
        </w:rPr>
        <w:t xml:space="preserve">    </w:t>
      </w:r>
      <w:r w:rsidRPr="000E3A45">
        <w:rPr>
          <w:b/>
          <w:sz w:val="26"/>
          <w:szCs w:val="26"/>
        </w:rPr>
        <w:t xml:space="preserve">de </w:t>
      </w:r>
      <w:r w:rsidR="00372AC7">
        <w:rPr>
          <w:b/>
          <w:sz w:val="26"/>
          <w:szCs w:val="26"/>
        </w:rPr>
        <w:t xml:space="preserve">    </w:t>
      </w:r>
      <w:r w:rsidRPr="000E3A45">
        <w:rPr>
          <w:b/>
          <w:sz w:val="26"/>
          <w:szCs w:val="26"/>
        </w:rPr>
        <w:t>Pasivos</w:t>
      </w:r>
    </w:p>
    <w:p w14:paraId="3DCB4CA3" w14:textId="2C1282CE" w:rsidR="007836E1" w:rsidRPr="000E3A45" w:rsidRDefault="00372AC7" w:rsidP="00905A4D">
      <w:pPr>
        <w:spacing w:after="360" w:line="360" w:lineRule="auto"/>
        <w:ind w:right="-159"/>
        <w:jc w:val="both"/>
        <w:rPr>
          <w:b/>
          <w:sz w:val="26"/>
          <w:szCs w:val="26"/>
        </w:rPr>
      </w:pPr>
      <w:r>
        <w:rPr>
          <w:b/>
          <w:sz w:val="26"/>
          <w:szCs w:val="26"/>
        </w:rPr>
        <w:t xml:space="preserve">denominados </w:t>
      </w:r>
      <w:r w:rsidR="00747268" w:rsidRPr="000E3A45">
        <w:rPr>
          <w:b/>
          <w:sz w:val="26"/>
          <w:szCs w:val="26"/>
        </w:rPr>
        <w:t>en Unidades de Inversión (C</w:t>
      </w:r>
      <w:r w:rsidR="004C320F" w:rsidRPr="000E3A45">
        <w:rPr>
          <w:b/>
          <w:sz w:val="26"/>
          <w:szCs w:val="26"/>
        </w:rPr>
        <w:t>C</w:t>
      </w:r>
      <w:r w:rsidR="00747268" w:rsidRPr="000E3A45">
        <w:rPr>
          <w:b/>
          <w:sz w:val="26"/>
          <w:szCs w:val="26"/>
        </w:rPr>
        <w:t>P-Udis)</w:t>
      </w:r>
    </w:p>
    <w:p w14:paraId="3B47EFCB" w14:textId="77777777" w:rsidR="00747268" w:rsidRPr="000E3A45" w:rsidRDefault="00263ECA" w:rsidP="00747268">
      <w:pPr>
        <w:spacing w:after="360" w:line="360" w:lineRule="auto"/>
        <w:ind w:right="-159"/>
        <w:jc w:val="both"/>
        <w:rPr>
          <w:sz w:val="26"/>
          <w:szCs w:val="26"/>
        </w:rPr>
      </w:pPr>
      <w:r w:rsidRPr="000E3A45">
        <w:rPr>
          <w:sz w:val="26"/>
          <w:szCs w:val="26"/>
        </w:rPr>
        <w:t>E</w:t>
      </w:r>
      <w:r w:rsidR="00747268" w:rsidRPr="000E3A45">
        <w:rPr>
          <w:sz w:val="26"/>
          <w:szCs w:val="26"/>
        </w:rPr>
        <w:t xml:space="preserve">n el CCP-Udis se toma en cuenta el mismo tipo de instrumentos que se incluyen en el CCP, pero que están denominados en Udis; esto es, incluye los pasivos a plazo en moneda nacional a cargo de la banca múltiple, excepto los pasivos que se derivan de </w:t>
      </w:r>
      <w:r w:rsidR="00747268" w:rsidRPr="000E3A45">
        <w:rPr>
          <w:sz w:val="26"/>
          <w:szCs w:val="26"/>
        </w:rPr>
        <w:lastRenderedPageBreak/>
        <w:t>obligaciones subordinadas susceptibles de conversión a capital, del otorgamiento de avales y de la celebración de operaciones entre instituciones de crédito, pero que están denominados en Unidades de Inversión (Udis).</w:t>
      </w:r>
    </w:p>
    <w:p w14:paraId="51C70BC6" w14:textId="310C9F17" w:rsidR="00D31904" w:rsidRDefault="00D31904" w:rsidP="00747268">
      <w:pPr>
        <w:spacing w:after="360" w:line="360" w:lineRule="auto"/>
        <w:ind w:right="-159"/>
        <w:jc w:val="both"/>
        <w:rPr>
          <w:sz w:val="26"/>
          <w:szCs w:val="26"/>
        </w:rPr>
      </w:pPr>
      <w:r w:rsidRPr="000E3A45">
        <w:rPr>
          <w:sz w:val="26"/>
          <w:szCs w:val="26"/>
        </w:rPr>
        <w:t xml:space="preserve">En </w:t>
      </w:r>
      <w:r w:rsidR="00E36015" w:rsidRPr="000E3A45">
        <w:rPr>
          <w:sz w:val="26"/>
          <w:szCs w:val="26"/>
        </w:rPr>
        <w:t xml:space="preserve">el </w:t>
      </w:r>
      <w:r w:rsidR="00B84E29">
        <w:rPr>
          <w:sz w:val="26"/>
          <w:szCs w:val="26"/>
        </w:rPr>
        <w:t>segundo</w:t>
      </w:r>
      <w:r w:rsidR="0089684C" w:rsidRPr="000E3A45">
        <w:rPr>
          <w:sz w:val="26"/>
          <w:szCs w:val="26"/>
        </w:rPr>
        <w:t xml:space="preserve"> </w:t>
      </w:r>
      <w:r w:rsidR="00E36015" w:rsidRPr="000E3A45">
        <w:rPr>
          <w:sz w:val="26"/>
          <w:szCs w:val="26"/>
        </w:rPr>
        <w:t xml:space="preserve">mes de </w:t>
      </w:r>
      <w:r w:rsidRPr="000E3A45">
        <w:rPr>
          <w:sz w:val="26"/>
          <w:szCs w:val="26"/>
        </w:rPr>
        <w:t>201</w:t>
      </w:r>
      <w:r w:rsidR="00372AC7">
        <w:rPr>
          <w:sz w:val="26"/>
          <w:szCs w:val="26"/>
        </w:rPr>
        <w:t>5</w:t>
      </w:r>
      <w:r w:rsidRPr="000E3A45">
        <w:rPr>
          <w:sz w:val="26"/>
          <w:szCs w:val="26"/>
        </w:rPr>
        <w:t>, de acuerdo con información del Banco de México (Banxico), el CCP-Udis se ubicó en una tasa de interés anual de 4.</w:t>
      </w:r>
      <w:r w:rsidR="00E85466" w:rsidRPr="000E3A45">
        <w:rPr>
          <w:sz w:val="26"/>
          <w:szCs w:val="26"/>
        </w:rPr>
        <w:t>3</w:t>
      </w:r>
      <w:r w:rsidR="00E36015" w:rsidRPr="000E3A45">
        <w:rPr>
          <w:sz w:val="26"/>
          <w:szCs w:val="26"/>
        </w:rPr>
        <w:t>2</w:t>
      </w:r>
      <w:r w:rsidRPr="000E3A45">
        <w:rPr>
          <w:sz w:val="26"/>
          <w:szCs w:val="26"/>
        </w:rPr>
        <w:t xml:space="preserve">%, cifra </w:t>
      </w:r>
      <w:r w:rsidR="00764E1A" w:rsidRPr="000E3A45">
        <w:rPr>
          <w:sz w:val="26"/>
          <w:szCs w:val="26"/>
        </w:rPr>
        <w:t>idéntica</w:t>
      </w:r>
      <w:r w:rsidR="00905F1B" w:rsidRPr="000E3A45">
        <w:rPr>
          <w:sz w:val="26"/>
          <w:szCs w:val="26"/>
        </w:rPr>
        <w:t xml:space="preserve"> </w:t>
      </w:r>
      <w:r w:rsidR="00764E1A" w:rsidRPr="000E3A45">
        <w:rPr>
          <w:sz w:val="26"/>
          <w:szCs w:val="26"/>
        </w:rPr>
        <w:t xml:space="preserve">a </w:t>
      </w:r>
      <w:r w:rsidR="00905F1B" w:rsidRPr="000E3A45">
        <w:rPr>
          <w:sz w:val="26"/>
          <w:szCs w:val="26"/>
        </w:rPr>
        <w:t xml:space="preserve">la observada en </w:t>
      </w:r>
      <w:r w:rsidR="00B84E29">
        <w:rPr>
          <w:sz w:val="26"/>
          <w:szCs w:val="26"/>
        </w:rPr>
        <w:t>febrero y diciembre</w:t>
      </w:r>
      <w:r w:rsidR="000D254C">
        <w:rPr>
          <w:sz w:val="26"/>
          <w:szCs w:val="26"/>
        </w:rPr>
        <w:t xml:space="preserve"> pasado</w:t>
      </w:r>
      <w:r w:rsidR="0011560C">
        <w:rPr>
          <w:sz w:val="26"/>
          <w:szCs w:val="26"/>
        </w:rPr>
        <w:t xml:space="preserve"> </w:t>
      </w:r>
      <w:r w:rsidR="00B84E29">
        <w:rPr>
          <w:sz w:val="26"/>
          <w:szCs w:val="26"/>
        </w:rPr>
        <w:t xml:space="preserve">(4.32%), </w:t>
      </w:r>
      <w:r w:rsidR="00F04532" w:rsidRPr="000E3A45">
        <w:rPr>
          <w:sz w:val="26"/>
          <w:szCs w:val="26"/>
        </w:rPr>
        <w:t xml:space="preserve"> </w:t>
      </w:r>
      <w:r w:rsidR="0089684C" w:rsidRPr="000E3A45">
        <w:rPr>
          <w:sz w:val="26"/>
          <w:szCs w:val="26"/>
        </w:rPr>
        <w:t xml:space="preserve">y </w:t>
      </w:r>
      <w:r w:rsidR="00E85466" w:rsidRPr="000E3A45">
        <w:rPr>
          <w:sz w:val="26"/>
          <w:szCs w:val="26"/>
        </w:rPr>
        <w:t>s</w:t>
      </w:r>
      <w:r w:rsidR="00E36015" w:rsidRPr="000E3A45">
        <w:rPr>
          <w:sz w:val="26"/>
          <w:szCs w:val="26"/>
        </w:rPr>
        <w:t xml:space="preserve">iete </w:t>
      </w:r>
      <w:r w:rsidR="00F04532" w:rsidRPr="000E3A45">
        <w:rPr>
          <w:sz w:val="26"/>
          <w:szCs w:val="26"/>
        </w:rPr>
        <w:t>centésimas de punto m</w:t>
      </w:r>
      <w:r w:rsidR="00E85466" w:rsidRPr="000E3A45">
        <w:rPr>
          <w:sz w:val="26"/>
          <w:szCs w:val="26"/>
        </w:rPr>
        <w:t>ás</w:t>
      </w:r>
      <w:r w:rsidR="00F04532" w:rsidRPr="000E3A45">
        <w:rPr>
          <w:sz w:val="26"/>
          <w:szCs w:val="26"/>
        </w:rPr>
        <w:t xml:space="preserve"> a la registrada en </w:t>
      </w:r>
      <w:r w:rsidR="00B84E29">
        <w:rPr>
          <w:sz w:val="26"/>
          <w:szCs w:val="26"/>
        </w:rPr>
        <w:t>febrer</w:t>
      </w:r>
      <w:r w:rsidR="00372AC7">
        <w:rPr>
          <w:sz w:val="26"/>
          <w:szCs w:val="26"/>
        </w:rPr>
        <w:t>o</w:t>
      </w:r>
      <w:r w:rsidRPr="000E3A45">
        <w:rPr>
          <w:sz w:val="26"/>
          <w:szCs w:val="26"/>
        </w:rPr>
        <w:t xml:space="preserve"> </w:t>
      </w:r>
      <w:r w:rsidR="0089684C" w:rsidRPr="000E3A45">
        <w:rPr>
          <w:sz w:val="26"/>
          <w:szCs w:val="26"/>
        </w:rPr>
        <w:t>de 201</w:t>
      </w:r>
      <w:r w:rsidR="00372AC7">
        <w:rPr>
          <w:sz w:val="26"/>
          <w:szCs w:val="26"/>
        </w:rPr>
        <w:t>4</w:t>
      </w:r>
      <w:r w:rsidRPr="000E3A45">
        <w:rPr>
          <w:sz w:val="26"/>
          <w:szCs w:val="26"/>
        </w:rPr>
        <w:t xml:space="preserve"> (4.25%)</w:t>
      </w:r>
      <w:r w:rsidR="0089684C" w:rsidRPr="000E3A45">
        <w:rPr>
          <w:sz w:val="26"/>
          <w:szCs w:val="26"/>
        </w:rPr>
        <w:t>.</w:t>
      </w:r>
    </w:p>
    <w:p w14:paraId="5F133556" w14:textId="5B927E34" w:rsidR="00B84E29" w:rsidRPr="000E3A45" w:rsidRDefault="00B84E29" w:rsidP="00747268">
      <w:pPr>
        <w:spacing w:after="360" w:line="360" w:lineRule="auto"/>
        <w:ind w:right="-159"/>
        <w:jc w:val="both"/>
        <w:rPr>
          <w:sz w:val="26"/>
          <w:szCs w:val="26"/>
        </w:rPr>
      </w:pPr>
      <w:r>
        <w:rPr>
          <w:sz w:val="26"/>
          <w:szCs w:val="26"/>
        </w:rPr>
        <w:t>En el primer bimestre de 2015, el CPP denominado en Udis reportó una tasa de int</w:t>
      </w:r>
      <w:r w:rsidR="0011560C">
        <w:rPr>
          <w:sz w:val="26"/>
          <w:szCs w:val="26"/>
        </w:rPr>
        <w:t>erés</w:t>
      </w:r>
      <w:r>
        <w:rPr>
          <w:sz w:val="26"/>
          <w:szCs w:val="26"/>
        </w:rPr>
        <w:t xml:space="preserve"> anual </w:t>
      </w:r>
      <w:r w:rsidR="0011560C">
        <w:rPr>
          <w:sz w:val="26"/>
          <w:szCs w:val="26"/>
        </w:rPr>
        <w:t>promedio de 4.32%, porcentaje superior en siete centésimas de punto porcentual respecto a la observada en el mismo período del año anterior (4.25%).</w:t>
      </w:r>
    </w:p>
    <w:p w14:paraId="252EDD59" w14:textId="30E4CCBC" w:rsidR="00D31904" w:rsidRPr="000E3A45" w:rsidRDefault="00616F7A" w:rsidP="00D31904">
      <w:pPr>
        <w:spacing w:after="360" w:line="360" w:lineRule="auto"/>
        <w:ind w:right="-159"/>
        <w:jc w:val="center"/>
        <w:rPr>
          <w:sz w:val="26"/>
          <w:szCs w:val="26"/>
        </w:rPr>
      </w:pPr>
      <w:r w:rsidRPr="00616F7A">
        <w:rPr>
          <w:rFonts w:ascii="Calibri" w:eastAsia="Calibri" w:hAnsi="Calibri"/>
          <w:sz w:val="22"/>
          <w:szCs w:val="22"/>
          <w:lang w:eastAsia="en-US"/>
        </w:rPr>
        <w:fldChar w:fldCharType="begin"/>
      </w:r>
      <w:r w:rsidRPr="00616F7A">
        <w:rPr>
          <w:rFonts w:ascii="Calibri" w:eastAsia="Calibri" w:hAnsi="Calibri"/>
          <w:sz w:val="22"/>
          <w:szCs w:val="22"/>
          <w:lang w:eastAsia="en-US"/>
        </w:rPr>
        <w:instrText xml:space="preserve"> LINK PowerPoint.Slide.8 "D:\\2015\\MARZO 2014\\GRÁFICAS EN POWER POINT\\5.- GRÁFICAS DE COSTOS PORCENTUALES.pptx!266" "" \a \p </w:instrText>
      </w:r>
      <w:r w:rsidRPr="00616F7A">
        <w:rPr>
          <w:rFonts w:ascii="Calibri" w:eastAsia="Calibri" w:hAnsi="Calibri"/>
          <w:sz w:val="22"/>
          <w:szCs w:val="22"/>
          <w:lang w:eastAsia="en-US"/>
        </w:rPr>
        <w:fldChar w:fldCharType="separate"/>
      </w:r>
      <w:r w:rsidRPr="00616F7A">
        <w:rPr>
          <w:rFonts w:ascii="Calibri" w:eastAsia="Calibri" w:hAnsi="Calibri"/>
          <w:noProof/>
          <w:sz w:val="22"/>
          <w:szCs w:val="22"/>
          <w:lang w:eastAsia="es-MX"/>
        </w:rPr>
        <w:drawing>
          <wp:inline distT="0" distB="0" distL="0" distR="0" wp14:anchorId="5998E0A1" wp14:editId="7156FAEA">
            <wp:extent cx="4337050" cy="3261995"/>
            <wp:effectExtent l="0" t="0" r="6350" b="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3"/>
                    <pic:cNvPicPr>
                      <a:picLocks noChangeAspect="1" noChangeArrowheads="1"/>
                    </pic:cNvPicPr>
                  </pic:nvPicPr>
                  <pic:blipFill>
                    <a:blip r:embed="rId426" cstate="print">
                      <a:extLst>
                        <a:ext uri="{28A0092B-C50C-407E-A947-70E740481C1C}">
                          <a14:useLocalDpi xmlns:a14="http://schemas.microsoft.com/office/drawing/2010/main" val="0"/>
                        </a:ext>
                      </a:extLst>
                    </a:blip>
                    <a:srcRect l="3271" t="4674" r="1628"/>
                    <a:stretch>
                      <a:fillRect/>
                    </a:stretch>
                  </pic:blipFill>
                  <pic:spPr bwMode="auto">
                    <a:xfrm>
                      <a:off x="0" y="0"/>
                      <a:ext cx="4337050" cy="3261995"/>
                    </a:xfrm>
                    <a:prstGeom prst="rect">
                      <a:avLst/>
                    </a:prstGeom>
                    <a:noFill/>
                    <a:ln>
                      <a:noFill/>
                    </a:ln>
                  </pic:spPr>
                </pic:pic>
              </a:graphicData>
            </a:graphic>
          </wp:inline>
        </w:drawing>
      </w:r>
      <w:r w:rsidRPr="00616F7A">
        <w:rPr>
          <w:rFonts w:ascii="Calibri" w:eastAsia="Calibri" w:hAnsi="Calibri"/>
          <w:sz w:val="22"/>
          <w:szCs w:val="22"/>
          <w:lang w:eastAsia="en-US"/>
        </w:rPr>
        <w:fldChar w:fldCharType="end"/>
      </w:r>
    </w:p>
    <w:p w14:paraId="11EE53DC" w14:textId="77777777" w:rsidR="00093FAF" w:rsidRPr="000E3A45" w:rsidRDefault="00093FAF" w:rsidP="00093FAF">
      <w:pPr>
        <w:ind w:right="-159"/>
        <w:jc w:val="both"/>
        <w:rPr>
          <w:b/>
          <w:sz w:val="20"/>
          <w:szCs w:val="20"/>
        </w:rPr>
      </w:pPr>
      <w:r w:rsidRPr="000E3A45">
        <w:rPr>
          <w:b/>
          <w:sz w:val="20"/>
          <w:szCs w:val="20"/>
        </w:rPr>
        <w:t xml:space="preserve">Fuente de información: </w:t>
      </w:r>
    </w:p>
    <w:p w14:paraId="7F13DF0F" w14:textId="77777777" w:rsidR="00EA6210" w:rsidRPr="00DF60F6" w:rsidRDefault="0093224F" w:rsidP="00242D0E">
      <w:pPr>
        <w:spacing w:after="720"/>
        <w:ind w:right="-159"/>
        <w:jc w:val="both"/>
        <w:rPr>
          <w:rStyle w:val="Hipervnculo"/>
          <w:sz w:val="20"/>
          <w:szCs w:val="20"/>
        </w:rPr>
      </w:pPr>
      <w:hyperlink r:id="rId427" w:history="1">
        <w:r w:rsidR="00F9772A" w:rsidRPr="00DF60F6">
          <w:rPr>
            <w:rStyle w:val="Hipervnculo"/>
            <w:sz w:val="20"/>
            <w:szCs w:val="20"/>
          </w:rPr>
          <w:t>http://www.banxico.org.mx/SieInternet/consultarDirectorioInternetAction.do?accion=consultarCuadro&amp;idCuadro=CF112&amp;sector=18&amp;locale=es</w:t>
        </w:r>
      </w:hyperlink>
    </w:p>
    <w:p w14:paraId="5CBACE36" w14:textId="77777777" w:rsidR="00CB7B3D" w:rsidRDefault="00CB7B3D" w:rsidP="0031713A">
      <w:pPr>
        <w:ind w:right="-159"/>
        <w:jc w:val="both"/>
        <w:rPr>
          <w:b/>
          <w:sz w:val="26"/>
          <w:szCs w:val="26"/>
        </w:rPr>
      </w:pPr>
    </w:p>
    <w:p w14:paraId="16F43205" w14:textId="34109A5B" w:rsidR="0031713A" w:rsidRPr="000E3A45" w:rsidRDefault="0031713A" w:rsidP="0031713A">
      <w:pPr>
        <w:ind w:right="-159"/>
        <w:jc w:val="both"/>
        <w:rPr>
          <w:b/>
          <w:sz w:val="26"/>
          <w:szCs w:val="26"/>
        </w:rPr>
      </w:pPr>
      <w:r w:rsidRPr="000E3A45">
        <w:rPr>
          <w:b/>
          <w:sz w:val="26"/>
          <w:szCs w:val="26"/>
        </w:rPr>
        <w:lastRenderedPageBreak/>
        <w:t xml:space="preserve">Costo </w:t>
      </w:r>
      <w:r w:rsidR="00372AC7">
        <w:rPr>
          <w:b/>
          <w:sz w:val="26"/>
          <w:szCs w:val="26"/>
        </w:rPr>
        <w:t xml:space="preserve"> </w:t>
      </w:r>
      <w:r w:rsidRPr="000E3A45">
        <w:rPr>
          <w:b/>
          <w:sz w:val="26"/>
          <w:szCs w:val="26"/>
        </w:rPr>
        <w:t>de Captación a Plazo de Pasivos</w:t>
      </w:r>
    </w:p>
    <w:p w14:paraId="312FB9B1" w14:textId="3F71E8EF" w:rsidR="0031713A" w:rsidRPr="000E3A45" w:rsidRDefault="00372AC7" w:rsidP="0031713A">
      <w:pPr>
        <w:spacing w:after="360" w:line="360" w:lineRule="auto"/>
        <w:ind w:right="-159"/>
        <w:jc w:val="both"/>
        <w:rPr>
          <w:sz w:val="26"/>
          <w:szCs w:val="26"/>
        </w:rPr>
      </w:pPr>
      <w:r>
        <w:rPr>
          <w:b/>
          <w:sz w:val="26"/>
          <w:szCs w:val="26"/>
        </w:rPr>
        <w:t xml:space="preserve">denominados </w:t>
      </w:r>
      <w:r w:rsidR="0031713A" w:rsidRPr="000E3A45">
        <w:rPr>
          <w:b/>
          <w:sz w:val="26"/>
          <w:szCs w:val="26"/>
        </w:rPr>
        <w:t>en dólares (CCP-dólares)</w:t>
      </w:r>
    </w:p>
    <w:p w14:paraId="0EF386E8" w14:textId="77DFF1D7" w:rsidR="0031713A" w:rsidRPr="000E3A45" w:rsidRDefault="0031713A" w:rsidP="0031713A">
      <w:pPr>
        <w:spacing w:after="360" w:line="360" w:lineRule="auto"/>
        <w:ind w:right="-159"/>
        <w:jc w:val="both"/>
        <w:rPr>
          <w:sz w:val="26"/>
          <w:szCs w:val="26"/>
        </w:rPr>
      </w:pPr>
      <w:r w:rsidRPr="000E3A45">
        <w:rPr>
          <w:sz w:val="26"/>
          <w:szCs w:val="26"/>
        </w:rPr>
        <w:t>De acuerdo con información del Banco de México (Banxico)</w:t>
      </w:r>
      <w:r w:rsidR="00DF60F6">
        <w:rPr>
          <w:sz w:val="26"/>
          <w:szCs w:val="26"/>
        </w:rPr>
        <w:t>,</w:t>
      </w:r>
      <w:r w:rsidRPr="000E3A45">
        <w:rPr>
          <w:sz w:val="26"/>
          <w:szCs w:val="26"/>
        </w:rPr>
        <w:t xml:space="preserve"> el CPP-dólares incluye, además de los pasivos a plazo, los préstamos de bancos del extranjero a cargo de instituciones de la banca múltiple, excepto aquellos que se derivan de las obligaciones subordinadas susceptibles de convertirse en títulos representativos del capital social de instituciones de crédito, del otorgamiento de avales, de la celebración de operaciones entre instituciones de crédito, así como de los financiamientos recibidos del Export-Import Bank, de la Commodity Credit Corporation y de otros organismos similares. </w:t>
      </w:r>
    </w:p>
    <w:p w14:paraId="2F8B3053" w14:textId="46070602" w:rsidR="0031713A" w:rsidRDefault="0031713A" w:rsidP="0031713A">
      <w:pPr>
        <w:spacing w:after="360" w:line="360" w:lineRule="auto"/>
        <w:ind w:right="-159"/>
        <w:jc w:val="both"/>
        <w:rPr>
          <w:sz w:val="26"/>
          <w:szCs w:val="26"/>
        </w:rPr>
      </w:pPr>
      <w:r w:rsidRPr="000E3A45">
        <w:rPr>
          <w:sz w:val="26"/>
          <w:szCs w:val="26"/>
        </w:rPr>
        <w:t xml:space="preserve">En </w:t>
      </w:r>
      <w:r w:rsidR="000E3478">
        <w:rPr>
          <w:sz w:val="26"/>
          <w:szCs w:val="26"/>
        </w:rPr>
        <w:t>febrero</w:t>
      </w:r>
      <w:r w:rsidRPr="000E3A45">
        <w:rPr>
          <w:sz w:val="26"/>
          <w:szCs w:val="26"/>
        </w:rPr>
        <w:t xml:space="preserve"> de 201</w:t>
      </w:r>
      <w:r w:rsidR="00C31451">
        <w:rPr>
          <w:sz w:val="26"/>
          <w:szCs w:val="26"/>
        </w:rPr>
        <w:t>5</w:t>
      </w:r>
      <w:r w:rsidRPr="000E3A45">
        <w:rPr>
          <w:sz w:val="26"/>
          <w:szCs w:val="26"/>
        </w:rPr>
        <w:t>, el CCP en dólares registró una tasa de rendimiento anual de 3.</w:t>
      </w:r>
      <w:r w:rsidR="000E3478">
        <w:rPr>
          <w:sz w:val="26"/>
          <w:szCs w:val="26"/>
        </w:rPr>
        <w:t>77</w:t>
      </w:r>
      <w:r w:rsidRPr="000E3A45">
        <w:rPr>
          <w:sz w:val="26"/>
          <w:szCs w:val="26"/>
        </w:rPr>
        <w:t>%, cifra m</w:t>
      </w:r>
      <w:r w:rsidR="000E3478">
        <w:rPr>
          <w:sz w:val="26"/>
          <w:szCs w:val="26"/>
        </w:rPr>
        <w:t>ayor</w:t>
      </w:r>
      <w:r w:rsidRPr="000E3A45">
        <w:rPr>
          <w:sz w:val="26"/>
          <w:szCs w:val="26"/>
        </w:rPr>
        <w:t xml:space="preserve"> en </w:t>
      </w:r>
      <w:r w:rsidR="000E3478">
        <w:rPr>
          <w:sz w:val="26"/>
          <w:szCs w:val="26"/>
        </w:rPr>
        <w:t>35</w:t>
      </w:r>
      <w:r w:rsidRPr="000E3A45">
        <w:rPr>
          <w:sz w:val="26"/>
          <w:szCs w:val="26"/>
        </w:rPr>
        <w:t xml:space="preserve"> centésima</w:t>
      </w:r>
      <w:r w:rsidR="00C66788" w:rsidRPr="000E3A45">
        <w:rPr>
          <w:sz w:val="26"/>
          <w:szCs w:val="26"/>
        </w:rPr>
        <w:t>s</w:t>
      </w:r>
      <w:r w:rsidRPr="000E3A45">
        <w:rPr>
          <w:sz w:val="26"/>
          <w:szCs w:val="26"/>
        </w:rPr>
        <w:t xml:space="preserve"> de punto porcentual con relación al mes inmediato anterior (3.</w:t>
      </w:r>
      <w:r w:rsidR="000E3478">
        <w:rPr>
          <w:sz w:val="26"/>
          <w:szCs w:val="26"/>
        </w:rPr>
        <w:t>42</w:t>
      </w:r>
      <w:r w:rsidRPr="000E3A45">
        <w:rPr>
          <w:sz w:val="26"/>
          <w:szCs w:val="26"/>
        </w:rPr>
        <w:t xml:space="preserve">%), </w:t>
      </w:r>
      <w:r w:rsidR="000E3478">
        <w:rPr>
          <w:sz w:val="26"/>
          <w:szCs w:val="26"/>
        </w:rPr>
        <w:t>superior</w:t>
      </w:r>
      <w:r w:rsidRPr="000E3A45">
        <w:rPr>
          <w:sz w:val="26"/>
          <w:szCs w:val="26"/>
        </w:rPr>
        <w:t xml:space="preserve"> en </w:t>
      </w:r>
      <w:r w:rsidR="00C31451">
        <w:rPr>
          <w:sz w:val="26"/>
          <w:szCs w:val="26"/>
        </w:rPr>
        <w:t>1</w:t>
      </w:r>
      <w:r w:rsidR="000E3478">
        <w:rPr>
          <w:sz w:val="26"/>
          <w:szCs w:val="26"/>
        </w:rPr>
        <w:t>6</w:t>
      </w:r>
      <w:r w:rsidRPr="000E3A45">
        <w:rPr>
          <w:sz w:val="26"/>
          <w:szCs w:val="26"/>
        </w:rPr>
        <w:t xml:space="preserve"> centésimas de punto respecto a </w:t>
      </w:r>
      <w:r w:rsidR="000E3478">
        <w:rPr>
          <w:sz w:val="26"/>
          <w:szCs w:val="26"/>
        </w:rPr>
        <w:t xml:space="preserve">diciembre </w:t>
      </w:r>
      <w:r w:rsidR="004503DA">
        <w:rPr>
          <w:sz w:val="26"/>
          <w:szCs w:val="26"/>
        </w:rPr>
        <w:t xml:space="preserve">de </w:t>
      </w:r>
      <w:r w:rsidRPr="000E3A45">
        <w:rPr>
          <w:sz w:val="26"/>
          <w:szCs w:val="26"/>
        </w:rPr>
        <w:t>201</w:t>
      </w:r>
      <w:r w:rsidR="00C31451">
        <w:rPr>
          <w:sz w:val="26"/>
          <w:szCs w:val="26"/>
        </w:rPr>
        <w:t>4</w:t>
      </w:r>
      <w:r w:rsidRPr="000E3A45">
        <w:rPr>
          <w:sz w:val="26"/>
          <w:szCs w:val="26"/>
        </w:rPr>
        <w:t xml:space="preserve"> (3.</w:t>
      </w:r>
      <w:r w:rsidR="000E3478">
        <w:rPr>
          <w:sz w:val="26"/>
          <w:szCs w:val="26"/>
        </w:rPr>
        <w:t>61</w:t>
      </w:r>
      <w:r w:rsidRPr="000E3A45">
        <w:rPr>
          <w:sz w:val="26"/>
          <w:szCs w:val="26"/>
        </w:rPr>
        <w:t>%)</w:t>
      </w:r>
      <w:r w:rsidR="000E3478">
        <w:rPr>
          <w:sz w:val="26"/>
          <w:szCs w:val="26"/>
        </w:rPr>
        <w:t xml:space="preserve"> y menor en 19 centésimas de punto si se le compara con febrero del año anterior (3.96%)</w:t>
      </w:r>
      <w:r w:rsidRPr="000E3A45">
        <w:rPr>
          <w:sz w:val="26"/>
          <w:szCs w:val="26"/>
        </w:rPr>
        <w:t>.</w:t>
      </w:r>
    </w:p>
    <w:p w14:paraId="167E4C07" w14:textId="4DC302E1" w:rsidR="000E3478" w:rsidRPr="000E3A45" w:rsidRDefault="000E3478" w:rsidP="0031713A">
      <w:pPr>
        <w:spacing w:after="360" w:line="360" w:lineRule="auto"/>
        <w:ind w:right="-159"/>
        <w:jc w:val="both"/>
        <w:rPr>
          <w:sz w:val="26"/>
          <w:szCs w:val="26"/>
        </w:rPr>
      </w:pPr>
      <w:r>
        <w:rPr>
          <w:sz w:val="26"/>
          <w:szCs w:val="26"/>
        </w:rPr>
        <w:t>Cabe destacar que  durante el primer bimestre de 2015, el CCP denominado en dólares registró un promdio de 3.60%, porcentaje inferior en 16 centésimas de punto porcentual respecto al mismo período del año anterior (3.75%).</w:t>
      </w:r>
    </w:p>
    <w:p w14:paraId="240BE97B" w14:textId="0C1EC623" w:rsidR="0031713A" w:rsidRPr="000E3A45" w:rsidRDefault="000E3478" w:rsidP="0031713A">
      <w:pPr>
        <w:spacing w:after="360" w:line="360" w:lineRule="auto"/>
        <w:ind w:right="-159"/>
        <w:jc w:val="center"/>
        <w:rPr>
          <w:rFonts w:eastAsia="Calibri"/>
          <w:sz w:val="26"/>
          <w:szCs w:val="26"/>
          <w:lang w:eastAsia="en-US"/>
        </w:rPr>
      </w:pPr>
      <w:r w:rsidRPr="000E3478">
        <w:rPr>
          <w:rFonts w:ascii="Calibri" w:eastAsia="Calibri" w:hAnsi="Calibri"/>
          <w:sz w:val="22"/>
          <w:szCs w:val="22"/>
          <w:lang w:eastAsia="en-US"/>
        </w:rPr>
        <w:lastRenderedPageBreak/>
        <w:fldChar w:fldCharType="begin"/>
      </w:r>
      <w:r w:rsidRPr="000E3478">
        <w:rPr>
          <w:rFonts w:ascii="Calibri" w:eastAsia="Calibri" w:hAnsi="Calibri"/>
          <w:sz w:val="22"/>
          <w:szCs w:val="22"/>
          <w:lang w:eastAsia="en-US"/>
        </w:rPr>
        <w:instrText xml:space="preserve"> LINK PowerPoint.Slide.8 "D:\\2015\\MARZO 2014\\GRÁFICAS EN POWER POINT\\5.- GRÁFICAS DE COSTOS PORCENTUALES.pptx!263" "" \a \p </w:instrText>
      </w:r>
      <w:r w:rsidRPr="000E3478">
        <w:rPr>
          <w:rFonts w:ascii="Calibri" w:eastAsia="Calibri" w:hAnsi="Calibri"/>
          <w:sz w:val="22"/>
          <w:szCs w:val="22"/>
          <w:lang w:eastAsia="en-US"/>
        </w:rPr>
        <w:fldChar w:fldCharType="separate"/>
      </w:r>
      <w:r w:rsidRPr="000E3478">
        <w:rPr>
          <w:rFonts w:ascii="Calibri" w:eastAsia="Calibri" w:hAnsi="Calibri"/>
          <w:noProof/>
          <w:sz w:val="22"/>
          <w:szCs w:val="22"/>
          <w:lang w:eastAsia="es-MX"/>
        </w:rPr>
        <w:drawing>
          <wp:inline distT="0" distB="0" distL="0" distR="0" wp14:anchorId="03861B3A" wp14:editId="678C4ACF">
            <wp:extent cx="4312285" cy="3107690"/>
            <wp:effectExtent l="0" t="0" r="0" b="0"/>
            <wp:docPr id="1582" name="Imagen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3"/>
                    <pic:cNvPicPr>
                      <a:picLocks noChangeAspect="1" noChangeArrowheads="1"/>
                    </pic:cNvPicPr>
                  </pic:nvPicPr>
                  <pic:blipFill>
                    <a:blip r:embed="rId428" cstate="print">
                      <a:extLst>
                        <a:ext uri="{28A0092B-C50C-407E-A947-70E740481C1C}">
                          <a14:useLocalDpi xmlns:a14="http://schemas.microsoft.com/office/drawing/2010/main" val="0"/>
                        </a:ext>
                      </a:extLst>
                    </a:blip>
                    <a:srcRect l="2505" t="7222" r="2922" b="2222"/>
                    <a:stretch>
                      <a:fillRect/>
                    </a:stretch>
                  </pic:blipFill>
                  <pic:spPr bwMode="auto">
                    <a:xfrm>
                      <a:off x="0" y="0"/>
                      <a:ext cx="4312285" cy="3107690"/>
                    </a:xfrm>
                    <a:prstGeom prst="rect">
                      <a:avLst/>
                    </a:prstGeom>
                    <a:noFill/>
                    <a:ln>
                      <a:noFill/>
                    </a:ln>
                  </pic:spPr>
                </pic:pic>
              </a:graphicData>
            </a:graphic>
          </wp:inline>
        </w:drawing>
      </w:r>
      <w:r w:rsidRPr="000E3478">
        <w:rPr>
          <w:rFonts w:ascii="Calibri" w:eastAsia="Calibri" w:hAnsi="Calibri"/>
          <w:sz w:val="22"/>
          <w:szCs w:val="22"/>
          <w:lang w:eastAsia="en-US"/>
        </w:rPr>
        <w:fldChar w:fldCharType="end"/>
      </w:r>
    </w:p>
    <w:p w14:paraId="31C12AD1" w14:textId="77777777" w:rsidR="00E70C0A" w:rsidRPr="000E3A45" w:rsidRDefault="00E70C0A" w:rsidP="00E70C0A">
      <w:pPr>
        <w:ind w:right="-159"/>
        <w:jc w:val="both"/>
        <w:rPr>
          <w:b/>
          <w:sz w:val="20"/>
          <w:szCs w:val="20"/>
        </w:rPr>
      </w:pPr>
      <w:r w:rsidRPr="000E3A45">
        <w:rPr>
          <w:b/>
          <w:sz w:val="20"/>
          <w:szCs w:val="20"/>
        </w:rPr>
        <w:t xml:space="preserve">Fuente de información: </w:t>
      </w:r>
    </w:p>
    <w:p w14:paraId="46A17B78" w14:textId="5A946A51" w:rsidR="00E8321B" w:rsidRPr="00DF60F6" w:rsidRDefault="0093224F" w:rsidP="00DF60F6">
      <w:pPr>
        <w:spacing w:after="720"/>
        <w:ind w:right="-159"/>
        <w:jc w:val="both"/>
        <w:rPr>
          <w:rFonts w:eastAsia="Calibri"/>
          <w:color w:val="0000FF"/>
          <w:sz w:val="20"/>
          <w:szCs w:val="20"/>
          <w:lang w:val="es-ES" w:eastAsia="en-US"/>
        </w:rPr>
      </w:pPr>
      <w:hyperlink r:id="rId429" w:history="1">
        <w:r w:rsidR="00E70C0A" w:rsidRPr="00DF60F6">
          <w:rPr>
            <w:rStyle w:val="Hipervnculo"/>
            <w:sz w:val="20"/>
            <w:szCs w:val="20"/>
          </w:rPr>
          <w:t>http://www.banxico.org.mx/SieInternet/consultarDirectorioInternetAction.do?accion=consultarCuadro&amp;idCuadro=CF112&amp;sector=18&amp;locale=es</w:t>
        </w:r>
      </w:hyperlink>
    </w:p>
    <w:p w14:paraId="1347EFAE" w14:textId="77777777" w:rsidR="00803FC6" w:rsidRPr="00803FC6" w:rsidRDefault="00803FC6" w:rsidP="00803FC6">
      <w:pPr>
        <w:spacing w:after="360"/>
        <w:ind w:right="-159"/>
        <w:jc w:val="both"/>
        <w:rPr>
          <w:rFonts w:eastAsia="Calibri"/>
          <w:b/>
          <w:sz w:val="26"/>
          <w:szCs w:val="26"/>
          <w:lang w:eastAsia="en-US"/>
        </w:rPr>
      </w:pPr>
      <w:r w:rsidRPr="00803FC6">
        <w:rPr>
          <w:rFonts w:eastAsia="Calibri"/>
          <w:b/>
          <w:sz w:val="26"/>
          <w:szCs w:val="26"/>
          <w:lang w:eastAsia="en-US"/>
        </w:rPr>
        <w:t>Observatorio Económico Latinoamérica (BBVA Research)</w:t>
      </w:r>
    </w:p>
    <w:p w14:paraId="49C28F0C" w14:textId="05A95976" w:rsidR="00803FC6" w:rsidRPr="00803FC6" w:rsidRDefault="00803FC6" w:rsidP="00803FC6">
      <w:pPr>
        <w:spacing w:after="360" w:line="360" w:lineRule="auto"/>
        <w:ind w:right="-159"/>
        <w:jc w:val="both"/>
        <w:rPr>
          <w:rFonts w:eastAsia="Calibri"/>
          <w:sz w:val="26"/>
          <w:szCs w:val="26"/>
          <w:lang w:val="es-ES" w:eastAsia="en-US"/>
        </w:rPr>
      </w:pPr>
      <w:r w:rsidRPr="00803FC6">
        <w:rPr>
          <w:rFonts w:eastAsia="Calibri"/>
          <w:sz w:val="26"/>
          <w:szCs w:val="26"/>
          <w:lang w:val="es-ES" w:eastAsia="en-US"/>
        </w:rPr>
        <w:t xml:space="preserve">El 9 de marzo de 2015, la sección de estudios económicos de BBVA Research dio a conocer el Observatorio Económico Latinoamérica “El impacto del alza de tipos de interés por parte de la Reserva Federal sobre los flujos de capitales a América Latina”. </w:t>
      </w:r>
      <w:r>
        <w:rPr>
          <w:rFonts w:eastAsia="Calibri"/>
          <w:sz w:val="26"/>
          <w:szCs w:val="26"/>
          <w:lang w:val="es-ES" w:eastAsia="en-US"/>
        </w:rPr>
        <w:t>A</w:t>
      </w:r>
      <w:r w:rsidRPr="00803FC6">
        <w:rPr>
          <w:rFonts w:eastAsia="Calibri"/>
          <w:sz w:val="26"/>
          <w:szCs w:val="26"/>
          <w:lang w:val="es-ES" w:eastAsia="en-US"/>
        </w:rPr>
        <w:t xml:space="preserve"> continuación se </w:t>
      </w:r>
      <w:r>
        <w:rPr>
          <w:rFonts w:eastAsia="Calibri"/>
          <w:sz w:val="26"/>
          <w:szCs w:val="26"/>
          <w:lang w:val="es-ES" w:eastAsia="en-US"/>
        </w:rPr>
        <w:t xml:space="preserve">prsenta </w:t>
      </w:r>
      <w:r w:rsidRPr="00803FC6">
        <w:rPr>
          <w:rFonts w:eastAsia="Calibri"/>
          <w:sz w:val="26"/>
          <w:szCs w:val="26"/>
          <w:lang w:val="es-ES" w:eastAsia="en-US"/>
        </w:rPr>
        <w:t>el contenido.</w:t>
      </w:r>
    </w:p>
    <w:p w14:paraId="47F698F9" w14:textId="77777777" w:rsidR="00803FC6" w:rsidRPr="00803FC6" w:rsidRDefault="00803FC6" w:rsidP="00803FC6">
      <w:pPr>
        <w:spacing w:after="360" w:line="360" w:lineRule="auto"/>
        <w:ind w:right="-159"/>
        <w:jc w:val="both"/>
        <w:rPr>
          <w:rFonts w:eastAsia="Calibri"/>
          <w:sz w:val="26"/>
          <w:szCs w:val="26"/>
          <w:lang w:val="es-ES" w:eastAsia="en-US"/>
        </w:rPr>
      </w:pPr>
      <w:r w:rsidRPr="00803FC6">
        <w:rPr>
          <w:rFonts w:eastAsia="Calibri"/>
          <w:sz w:val="26"/>
          <w:szCs w:val="26"/>
          <w:lang w:val="es-ES" w:eastAsia="en-US"/>
        </w:rPr>
        <w:t xml:space="preserve">La retirada de estímulos monetarios por parte de la Reserva Federal tendrá implicaciones importantes en los flujos de capitales a la región, dada su relevancia en la determinación de las condiciones financieras globales. La normalización monetaria de la Reserva Federal aumentará el atractivo relativo de los activos estadounidenses frente a los latinoamericanos, moderando las entradas de flujos en los siguientes años. Esta dinámica se podría traducir también en ajustes en las cuentas corrientes de los </w:t>
      </w:r>
      <w:r w:rsidRPr="00803FC6">
        <w:rPr>
          <w:rFonts w:eastAsia="Calibri"/>
          <w:sz w:val="26"/>
          <w:szCs w:val="26"/>
          <w:lang w:val="es-ES" w:eastAsia="en-US"/>
        </w:rPr>
        <w:lastRenderedPageBreak/>
        <w:t>países de la región y volatilidad cambiaria, con implicaciones también sobre crecimiento e inflación.</w:t>
      </w:r>
    </w:p>
    <w:p w14:paraId="5A576B96" w14:textId="77777777" w:rsidR="00803FC6" w:rsidRPr="00803FC6" w:rsidRDefault="00803FC6" w:rsidP="00803FC6">
      <w:pPr>
        <w:spacing w:after="360" w:line="360" w:lineRule="auto"/>
        <w:ind w:right="-159"/>
        <w:jc w:val="both"/>
        <w:rPr>
          <w:rFonts w:eastAsia="Calibri"/>
          <w:sz w:val="26"/>
          <w:szCs w:val="26"/>
          <w:lang w:val="es-ES" w:eastAsia="en-US"/>
        </w:rPr>
      </w:pPr>
      <w:r w:rsidRPr="00803FC6">
        <w:rPr>
          <w:rFonts w:eastAsia="Calibri"/>
          <w:sz w:val="26"/>
          <w:szCs w:val="26"/>
          <w:lang w:val="es-ES" w:eastAsia="en-US"/>
        </w:rPr>
        <w:t>Para estimar el posible impacto sobre los flujos a la región resulta de poca utilidad recurrir a la historia de episodios recientes de alza en las tasas de interés en Estados Unidos de Norteamérica, en 1994 y 2004. Ambos episodios encontraron a América Latina con unos fundamentales y vulnerabilidad financiera muy diferentes. Al inicio de los años noventa persistían importantes desequilibrios que, por ejemplo, desembocaron en la crisis financiera en Argentina y la de balanza de pagos en México. A inicios de los 2000, sin embargo, la región gozaba ya de mucha mayor estabilidad, con esquemas de objetivos de inflación, política cambiaria flexible y políticas fiscales más prudentes, que permitieron soportar mejor el alza de tipos de interés en 2004.</w:t>
      </w:r>
    </w:p>
    <w:p w14:paraId="66C73F3E" w14:textId="77777777" w:rsidR="00803FC6" w:rsidRPr="00803FC6" w:rsidRDefault="00803FC6" w:rsidP="00803FC6">
      <w:pPr>
        <w:spacing w:after="360" w:line="360" w:lineRule="auto"/>
        <w:ind w:right="-159"/>
        <w:jc w:val="both"/>
        <w:rPr>
          <w:rFonts w:eastAsia="Calibri"/>
          <w:sz w:val="26"/>
          <w:szCs w:val="26"/>
          <w:lang w:val="es-ES" w:eastAsia="en-US"/>
        </w:rPr>
      </w:pPr>
      <w:r w:rsidRPr="00803FC6">
        <w:rPr>
          <w:rFonts w:eastAsia="Calibri"/>
          <w:sz w:val="26"/>
          <w:szCs w:val="26"/>
          <w:lang w:val="es-ES" w:eastAsia="en-US"/>
        </w:rPr>
        <w:t>En un entorno donde la creciente integración y profundidad financiera hace necesario el análisis global, más que regional, BBVA modelizó los efectos que la política monetaria en Estados Unidos de Norteamérica y la zona del Euro tendría en los flujos de capitales en economías emergentes</w:t>
      </w:r>
      <w:r w:rsidRPr="00803FC6">
        <w:rPr>
          <w:rFonts w:eastAsia="Calibri"/>
          <w:sz w:val="26"/>
          <w:szCs w:val="26"/>
          <w:vertAlign w:val="superscript"/>
          <w:lang w:val="es-ES" w:eastAsia="en-US"/>
        </w:rPr>
        <w:footnoteReference w:id="120"/>
      </w:r>
      <w:r w:rsidRPr="00803FC6">
        <w:rPr>
          <w:rFonts w:eastAsia="Calibri"/>
          <w:sz w:val="26"/>
          <w:szCs w:val="26"/>
          <w:lang w:val="es-ES" w:eastAsia="en-US"/>
        </w:rPr>
        <w:t>. Además, es necesario tener en cuenta la divergencia esperada entre las políticas monetarias de la Reserva Federal, —que prepara el inicio de la retirada de estímulos monetarios hacia mediados de este año— y el Banco Central Europeo (BCE) —que ha anunciado un ambicioso plan de estímulo incluyendo la compra de bonos soberanos—.</w:t>
      </w:r>
    </w:p>
    <w:p w14:paraId="04D220FE" w14:textId="2565D16B" w:rsidR="00803FC6" w:rsidRPr="00803FC6" w:rsidRDefault="00803FC6" w:rsidP="00803FC6">
      <w:pPr>
        <w:spacing w:after="360" w:line="360" w:lineRule="auto"/>
        <w:ind w:right="-159"/>
        <w:jc w:val="both"/>
        <w:rPr>
          <w:rFonts w:eastAsia="Calibri"/>
          <w:sz w:val="26"/>
          <w:szCs w:val="26"/>
          <w:lang w:val="es-ES" w:eastAsia="en-US"/>
        </w:rPr>
      </w:pPr>
      <w:r w:rsidRPr="00803FC6">
        <w:rPr>
          <w:rFonts w:eastAsia="Calibri"/>
          <w:sz w:val="26"/>
          <w:szCs w:val="26"/>
          <w:lang w:val="es-ES" w:eastAsia="en-US"/>
        </w:rPr>
        <w:t xml:space="preserve">Los resultados del análisis apuntan a que la retirada de estímulos monetarios se traducirá casi con seguridad en una reducción de los flujos de capital hacia las economías emergentes, entre de las cuales </w:t>
      </w:r>
      <w:r w:rsidR="00DF60F6">
        <w:rPr>
          <w:rFonts w:eastAsia="Calibri"/>
          <w:sz w:val="26"/>
          <w:szCs w:val="26"/>
          <w:lang w:val="es-ES" w:eastAsia="en-US"/>
        </w:rPr>
        <w:t xml:space="preserve">Latinoamérica </w:t>
      </w:r>
      <w:r w:rsidRPr="00803FC6">
        <w:rPr>
          <w:rFonts w:eastAsia="Calibri"/>
          <w:sz w:val="26"/>
          <w:szCs w:val="26"/>
          <w:lang w:val="es-ES" w:eastAsia="en-US"/>
        </w:rPr>
        <w:t xml:space="preserve">será la más afectada. La magnitud dependerá de la anticipación de los mercados y del aumento de la aversión al riesgo. A pesar del histórico anuncio del BCE, a nivel global predominaría el efecto de </w:t>
      </w:r>
      <w:r w:rsidRPr="00803FC6">
        <w:rPr>
          <w:rFonts w:eastAsia="Calibri"/>
          <w:sz w:val="26"/>
          <w:szCs w:val="26"/>
          <w:lang w:val="es-ES" w:eastAsia="en-US"/>
        </w:rPr>
        <w:lastRenderedPageBreak/>
        <w:t xml:space="preserve">la retirada de estímulos por parte de la Fed. La respuesta del BCE tendrá efectos positivos en los países de Europa emergente, en los que podría contrarrestar en alguna medida el impacto de las acciones de la Reserva Federal, pero no tanto en otras regiones como América Latina. La salida de flujos de capital en los escenarios en los que la Reserva Federal aumenta sus tipos de interés de acuerdo </w:t>
      </w:r>
      <w:r w:rsidR="00DF60F6">
        <w:rPr>
          <w:rFonts w:eastAsia="Calibri"/>
          <w:sz w:val="26"/>
          <w:szCs w:val="26"/>
          <w:lang w:val="es-ES" w:eastAsia="en-US"/>
        </w:rPr>
        <w:t>con</w:t>
      </w:r>
      <w:r w:rsidRPr="00803FC6">
        <w:rPr>
          <w:rFonts w:eastAsia="Calibri"/>
          <w:sz w:val="26"/>
          <w:szCs w:val="26"/>
          <w:lang w:val="es-ES" w:eastAsia="en-US"/>
        </w:rPr>
        <w:t xml:space="preserve"> lo esperado o incluso más agresivamente sería de entre 3.0 y 3.7% del PIB acumulado en tres años, hasta 2017.</w:t>
      </w:r>
    </w:p>
    <w:p w14:paraId="0C48603B" w14:textId="77777777" w:rsidR="00803FC6" w:rsidRPr="00803FC6" w:rsidRDefault="00803FC6" w:rsidP="00803FC6">
      <w:pPr>
        <w:spacing w:after="360" w:line="360" w:lineRule="auto"/>
        <w:ind w:right="-159"/>
        <w:jc w:val="both"/>
        <w:rPr>
          <w:rFonts w:eastAsia="Calibri"/>
          <w:b/>
          <w:sz w:val="26"/>
          <w:szCs w:val="26"/>
          <w:lang w:val="es-ES" w:eastAsia="en-US"/>
        </w:rPr>
      </w:pPr>
      <w:r w:rsidRPr="00803FC6">
        <w:rPr>
          <w:rFonts w:eastAsia="Calibri"/>
          <w:b/>
          <w:sz w:val="26"/>
          <w:szCs w:val="26"/>
          <w:lang w:val="es-ES" w:eastAsia="en-US"/>
        </w:rPr>
        <w:t>Estrategia de modelización</w:t>
      </w:r>
    </w:p>
    <w:p w14:paraId="4FA07480" w14:textId="77777777" w:rsidR="00803FC6" w:rsidRPr="00803FC6" w:rsidRDefault="00803FC6" w:rsidP="00803FC6">
      <w:pPr>
        <w:spacing w:after="360" w:line="360" w:lineRule="auto"/>
        <w:ind w:right="-159"/>
        <w:jc w:val="both"/>
        <w:rPr>
          <w:rFonts w:eastAsia="Calibri"/>
          <w:sz w:val="26"/>
          <w:szCs w:val="26"/>
          <w:lang w:val="es-ES" w:eastAsia="en-US"/>
        </w:rPr>
      </w:pPr>
      <w:r w:rsidRPr="00803FC6">
        <w:rPr>
          <w:rFonts w:eastAsia="Calibri"/>
          <w:sz w:val="26"/>
          <w:szCs w:val="26"/>
          <w:lang w:val="es-ES" w:eastAsia="en-US"/>
        </w:rPr>
        <w:t>En el modelo se usa una muestra desde el primer trimestre de 2005 hasta el tercer trimestre de 2014 para 40 países, con igual representación de desarrollados y emergentes, y se mide el efecto sobre flujos de cartera acumulados como proporción de los activos totales bajo gestión. El modelo combina factores dinámicos (MFD) con la metodología VAR aumentada (FAVAR) para relacionar canales de transmisión de flujos (global, por regiones e idiosincráticos) con variables macroeconómicas.</w:t>
      </w:r>
    </w:p>
    <w:p w14:paraId="59A22DC3" w14:textId="77777777" w:rsidR="00803FC6" w:rsidRPr="00803FC6" w:rsidRDefault="00803FC6" w:rsidP="00803FC6">
      <w:pPr>
        <w:spacing w:after="360" w:line="360" w:lineRule="auto"/>
        <w:ind w:right="-159"/>
        <w:jc w:val="both"/>
        <w:rPr>
          <w:rFonts w:eastAsia="Calibri"/>
          <w:sz w:val="26"/>
          <w:szCs w:val="26"/>
          <w:lang w:val="es-ES" w:eastAsia="en-US"/>
        </w:rPr>
      </w:pPr>
      <w:r w:rsidRPr="00803FC6">
        <w:rPr>
          <w:rFonts w:eastAsia="Calibri"/>
          <w:sz w:val="26"/>
          <w:szCs w:val="26"/>
          <w:lang w:val="es-ES" w:eastAsia="en-US"/>
        </w:rPr>
        <w:t>El modelo consta de dos etapas: la primera etapa —la del Modelo Factorial Dinámico (MFD)— se basa en la hipótesis de que los flujos de cartera obedecen a una estructura no observable de cinco factores dinámicos latentes: factor global, emergente, desarrollado, activo refugio e idiosincrático. En una segunda etapa de la estimación se relacionan estos factores latentes por medio de un FAVAR con variables macroeconómicas permitiendo así dinámicas temporales entre flujos y entorno macro. En la estimación se encuentra una relación significativa entre factores y medidas de aversión al riesgo global y de mercados emergentes (VIX y EMBI), además de relación de estas variables y variables macro.</w:t>
      </w:r>
    </w:p>
    <w:p w14:paraId="3DC274D2" w14:textId="77777777" w:rsidR="00803FC6" w:rsidRPr="00803FC6" w:rsidRDefault="00803FC6" w:rsidP="00803FC6">
      <w:pPr>
        <w:spacing w:after="360" w:line="360" w:lineRule="auto"/>
        <w:ind w:right="-159"/>
        <w:jc w:val="both"/>
        <w:rPr>
          <w:rFonts w:eastAsia="Calibri"/>
          <w:sz w:val="26"/>
          <w:szCs w:val="26"/>
          <w:lang w:val="es-ES" w:eastAsia="en-US"/>
        </w:rPr>
      </w:pPr>
      <w:r w:rsidRPr="00803FC6">
        <w:rPr>
          <w:rFonts w:eastAsia="Calibri"/>
          <w:sz w:val="26"/>
          <w:szCs w:val="26"/>
          <w:lang w:val="es-ES" w:eastAsia="en-US"/>
        </w:rPr>
        <w:lastRenderedPageBreak/>
        <w:t>Con este modelo, se analizan escenarios que plantean las combinaciones más probables de actuación de la Reserva Federal y el BCE</w:t>
      </w:r>
      <w:r w:rsidRPr="00803FC6">
        <w:rPr>
          <w:rFonts w:eastAsia="Calibri"/>
          <w:sz w:val="26"/>
          <w:szCs w:val="26"/>
          <w:vertAlign w:val="superscript"/>
          <w:lang w:val="es-ES" w:eastAsia="en-US"/>
        </w:rPr>
        <w:footnoteReference w:id="121"/>
      </w:r>
      <w:r w:rsidRPr="00803FC6">
        <w:rPr>
          <w:rFonts w:eastAsia="Calibri"/>
          <w:sz w:val="26"/>
          <w:szCs w:val="26"/>
          <w:lang w:val="es-ES" w:eastAsia="en-US"/>
        </w:rPr>
        <w:t>. Los escenarios considerados son combinaciones de políticas de la Reserva Federal, el BCE y medidas de aversión al riesgo; desde una retirada gradual de estímulos en Estados Unidos de Norteamérica que implicaría aumento en la tasa de referencia a partir de mediados de 2015 hasta un escenario en el cual la Reserva Federal decide aplazar y limitar la normalización. En el siguiente cuadro se plantean los supuestos de los escenarios; destaca como el escenario más probable (escenario central) el escenario 1, donde la Reserva Federal mantiene una salida que implicará llevar la tasa de Fondos Federales a un nivel de 2% a finales de 2016 y el BCE mantiene una política de expansión cuantitativa activa.</w:t>
      </w:r>
    </w:p>
    <w:tbl>
      <w:tblPr>
        <w:tblW w:w="10209" w:type="dxa"/>
        <w:jc w:val="center"/>
        <w:tblLook w:val="04A0" w:firstRow="1" w:lastRow="0" w:firstColumn="1" w:lastColumn="0" w:noHBand="0" w:noVBand="1"/>
      </w:tblPr>
      <w:tblGrid>
        <w:gridCol w:w="569"/>
        <w:gridCol w:w="2694"/>
        <w:gridCol w:w="2551"/>
        <w:gridCol w:w="2268"/>
        <w:gridCol w:w="2127"/>
      </w:tblGrid>
      <w:tr w:rsidR="00803FC6" w:rsidRPr="00803FC6" w14:paraId="6C967F14" w14:textId="77777777" w:rsidTr="00803FC6">
        <w:trPr>
          <w:jc w:val="center"/>
        </w:trPr>
        <w:tc>
          <w:tcPr>
            <w:tcW w:w="10209" w:type="dxa"/>
            <w:gridSpan w:val="5"/>
            <w:tcBorders>
              <w:top w:val="nil"/>
              <w:left w:val="nil"/>
              <w:bottom w:val="single" w:sz="4" w:space="0" w:color="auto"/>
              <w:right w:val="nil"/>
            </w:tcBorders>
            <w:vAlign w:val="center"/>
          </w:tcPr>
          <w:p w14:paraId="306D4FAD" w14:textId="77777777" w:rsidR="00803FC6" w:rsidRPr="00803FC6" w:rsidRDefault="00803FC6" w:rsidP="00803FC6">
            <w:pPr>
              <w:jc w:val="center"/>
              <w:rPr>
                <w:rFonts w:eastAsia="Calibri"/>
                <w:b/>
                <w:sz w:val="22"/>
                <w:szCs w:val="22"/>
                <w:lang w:eastAsia="en-US"/>
              </w:rPr>
            </w:pPr>
            <w:r w:rsidRPr="00803FC6">
              <w:rPr>
                <w:rFonts w:eastAsia="Calibri"/>
                <w:b/>
                <w:sz w:val="22"/>
                <w:szCs w:val="22"/>
                <w:lang w:eastAsia="en-US"/>
              </w:rPr>
              <w:t>DESCRIPCIÓN DE LOS ESCENARIOS PARA EL EJERCICIO DE SIMULACIÓN</w:t>
            </w:r>
          </w:p>
        </w:tc>
      </w:tr>
      <w:tr w:rsidR="00803FC6" w:rsidRPr="00803FC6" w14:paraId="097B57F3" w14:textId="77777777" w:rsidTr="00803FC6">
        <w:trPr>
          <w:jc w:val="center"/>
        </w:trPr>
        <w:tc>
          <w:tcPr>
            <w:tcW w:w="569" w:type="dxa"/>
            <w:tcBorders>
              <w:top w:val="single" w:sz="4" w:space="0" w:color="auto"/>
              <w:left w:val="single" w:sz="4" w:space="0" w:color="auto"/>
              <w:bottom w:val="single" w:sz="4" w:space="0" w:color="auto"/>
              <w:right w:val="single" w:sz="4" w:space="0" w:color="auto"/>
            </w:tcBorders>
            <w:vAlign w:val="center"/>
          </w:tcPr>
          <w:p w14:paraId="64961D4C" w14:textId="77777777" w:rsidR="00803FC6" w:rsidRPr="00803FC6" w:rsidRDefault="00803FC6" w:rsidP="00803FC6">
            <w:pPr>
              <w:jc w:val="center"/>
              <w:rPr>
                <w:rFonts w:eastAsia="Calibri"/>
                <w:b/>
                <w:sz w:val="18"/>
                <w:szCs w:val="18"/>
                <w:lang w:eastAsia="en-US"/>
              </w:rPr>
            </w:pPr>
          </w:p>
        </w:tc>
        <w:tc>
          <w:tcPr>
            <w:tcW w:w="2694" w:type="dxa"/>
            <w:tcBorders>
              <w:top w:val="single" w:sz="4" w:space="0" w:color="auto"/>
              <w:left w:val="single" w:sz="4" w:space="0" w:color="auto"/>
              <w:bottom w:val="single" w:sz="4" w:space="0" w:color="auto"/>
              <w:right w:val="single" w:sz="4" w:space="0" w:color="auto"/>
            </w:tcBorders>
            <w:vAlign w:val="center"/>
          </w:tcPr>
          <w:p w14:paraId="6DEED056" w14:textId="77777777" w:rsidR="00803FC6" w:rsidRPr="00803FC6" w:rsidRDefault="00803FC6" w:rsidP="00803FC6">
            <w:pPr>
              <w:jc w:val="center"/>
              <w:rPr>
                <w:rFonts w:eastAsia="Calibri"/>
                <w:b/>
                <w:sz w:val="18"/>
                <w:szCs w:val="18"/>
                <w:lang w:eastAsia="en-US"/>
              </w:rPr>
            </w:pPr>
            <w:r w:rsidRPr="00803FC6">
              <w:rPr>
                <w:rFonts w:eastAsia="Calibri"/>
                <w:b/>
                <w:sz w:val="18"/>
                <w:szCs w:val="18"/>
                <w:lang w:eastAsia="en-US"/>
              </w:rPr>
              <w:t>Escenario</w:t>
            </w:r>
          </w:p>
        </w:tc>
        <w:tc>
          <w:tcPr>
            <w:tcW w:w="2551" w:type="dxa"/>
            <w:tcBorders>
              <w:top w:val="single" w:sz="4" w:space="0" w:color="auto"/>
              <w:left w:val="single" w:sz="4" w:space="0" w:color="auto"/>
              <w:bottom w:val="single" w:sz="4" w:space="0" w:color="auto"/>
              <w:right w:val="single" w:sz="4" w:space="0" w:color="auto"/>
            </w:tcBorders>
            <w:vAlign w:val="center"/>
          </w:tcPr>
          <w:p w14:paraId="7DBB6A60" w14:textId="77777777" w:rsidR="00803FC6" w:rsidRPr="00803FC6" w:rsidRDefault="00803FC6" w:rsidP="00803FC6">
            <w:pPr>
              <w:jc w:val="center"/>
              <w:rPr>
                <w:rFonts w:eastAsia="Calibri"/>
                <w:b/>
                <w:sz w:val="18"/>
                <w:szCs w:val="18"/>
                <w:lang w:eastAsia="en-US"/>
              </w:rPr>
            </w:pPr>
            <w:r w:rsidRPr="00803FC6">
              <w:rPr>
                <w:rFonts w:eastAsia="Calibri"/>
                <w:b/>
                <w:sz w:val="18"/>
                <w:szCs w:val="18"/>
                <w:lang w:eastAsia="en-US"/>
              </w:rPr>
              <w:t>Reserva Federal</w:t>
            </w:r>
          </w:p>
        </w:tc>
        <w:tc>
          <w:tcPr>
            <w:tcW w:w="2268" w:type="dxa"/>
            <w:tcBorders>
              <w:top w:val="single" w:sz="4" w:space="0" w:color="auto"/>
              <w:left w:val="single" w:sz="4" w:space="0" w:color="auto"/>
              <w:bottom w:val="single" w:sz="4" w:space="0" w:color="auto"/>
              <w:right w:val="single" w:sz="4" w:space="0" w:color="auto"/>
            </w:tcBorders>
            <w:vAlign w:val="center"/>
          </w:tcPr>
          <w:p w14:paraId="19ECDDE3" w14:textId="77777777" w:rsidR="00803FC6" w:rsidRPr="00803FC6" w:rsidRDefault="00803FC6" w:rsidP="00803FC6">
            <w:pPr>
              <w:jc w:val="center"/>
              <w:rPr>
                <w:rFonts w:eastAsia="Calibri"/>
                <w:b/>
                <w:sz w:val="18"/>
                <w:szCs w:val="18"/>
                <w:lang w:eastAsia="en-US"/>
              </w:rPr>
            </w:pPr>
            <w:r w:rsidRPr="00803FC6">
              <w:rPr>
                <w:rFonts w:eastAsia="Calibri"/>
                <w:b/>
                <w:sz w:val="18"/>
                <w:szCs w:val="18"/>
                <w:lang w:eastAsia="en-US"/>
              </w:rPr>
              <w:t>BCE</w:t>
            </w:r>
          </w:p>
        </w:tc>
        <w:tc>
          <w:tcPr>
            <w:tcW w:w="2127" w:type="dxa"/>
            <w:tcBorders>
              <w:top w:val="single" w:sz="4" w:space="0" w:color="auto"/>
              <w:left w:val="single" w:sz="4" w:space="0" w:color="auto"/>
              <w:bottom w:val="single" w:sz="4" w:space="0" w:color="auto"/>
              <w:right w:val="single" w:sz="4" w:space="0" w:color="auto"/>
            </w:tcBorders>
            <w:vAlign w:val="center"/>
          </w:tcPr>
          <w:p w14:paraId="2F090E6E" w14:textId="77777777" w:rsidR="00803FC6" w:rsidRPr="00803FC6" w:rsidRDefault="00803FC6" w:rsidP="00803FC6">
            <w:pPr>
              <w:jc w:val="center"/>
              <w:rPr>
                <w:rFonts w:eastAsia="Calibri"/>
                <w:b/>
                <w:sz w:val="18"/>
                <w:szCs w:val="18"/>
                <w:lang w:eastAsia="en-US"/>
              </w:rPr>
            </w:pPr>
            <w:r w:rsidRPr="00803FC6">
              <w:rPr>
                <w:rFonts w:eastAsia="Calibri"/>
                <w:b/>
                <w:sz w:val="18"/>
                <w:szCs w:val="18"/>
                <w:lang w:eastAsia="en-US"/>
              </w:rPr>
              <w:t>Aversión Global                                    al Riesgo</w:t>
            </w:r>
          </w:p>
        </w:tc>
      </w:tr>
      <w:tr w:rsidR="00803FC6" w:rsidRPr="00803FC6" w14:paraId="5582F613" w14:textId="77777777" w:rsidTr="00803FC6">
        <w:trPr>
          <w:jc w:val="center"/>
        </w:trPr>
        <w:tc>
          <w:tcPr>
            <w:tcW w:w="569" w:type="dxa"/>
            <w:tcBorders>
              <w:top w:val="single" w:sz="4" w:space="0" w:color="auto"/>
              <w:left w:val="single" w:sz="4" w:space="0" w:color="auto"/>
              <w:right w:val="single" w:sz="4" w:space="0" w:color="auto"/>
            </w:tcBorders>
            <w:vAlign w:val="center"/>
          </w:tcPr>
          <w:p w14:paraId="5BE9AB6A" w14:textId="77777777" w:rsidR="00803FC6" w:rsidRPr="00803FC6" w:rsidRDefault="00803FC6" w:rsidP="00803FC6">
            <w:pPr>
              <w:jc w:val="center"/>
              <w:rPr>
                <w:rFonts w:eastAsia="Calibri"/>
                <w:sz w:val="18"/>
                <w:szCs w:val="18"/>
                <w:lang w:eastAsia="en-US"/>
              </w:rPr>
            </w:pPr>
            <w:r w:rsidRPr="00803FC6">
              <w:rPr>
                <w:rFonts w:eastAsia="Calibri"/>
                <w:sz w:val="18"/>
                <w:szCs w:val="18"/>
                <w:lang w:eastAsia="en-US"/>
              </w:rPr>
              <w:t>1</w:t>
            </w:r>
          </w:p>
        </w:tc>
        <w:tc>
          <w:tcPr>
            <w:tcW w:w="2694" w:type="dxa"/>
            <w:tcBorders>
              <w:top w:val="single" w:sz="4" w:space="0" w:color="auto"/>
              <w:left w:val="single" w:sz="4" w:space="0" w:color="auto"/>
              <w:right w:val="single" w:sz="4" w:space="0" w:color="auto"/>
            </w:tcBorders>
            <w:vAlign w:val="center"/>
          </w:tcPr>
          <w:p w14:paraId="2E61ECCE" w14:textId="77777777" w:rsidR="00803FC6" w:rsidRPr="00803FC6" w:rsidRDefault="00803FC6" w:rsidP="00803FC6">
            <w:pPr>
              <w:jc w:val="both"/>
              <w:rPr>
                <w:rFonts w:eastAsia="Calibri"/>
                <w:sz w:val="18"/>
                <w:szCs w:val="18"/>
                <w:lang w:eastAsia="en-US"/>
              </w:rPr>
            </w:pPr>
            <w:r w:rsidRPr="00803FC6">
              <w:rPr>
                <w:rFonts w:eastAsia="Calibri"/>
                <w:sz w:val="18"/>
                <w:szCs w:val="18"/>
                <w:lang w:eastAsia="en-US"/>
              </w:rPr>
              <w:t>Salida de la Reserva Federal y Expansión cuantitativa del BCE</w:t>
            </w:r>
          </w:p>
        </w:tc>
        <w:tc>
          <w:tcPr>
            <w:tcW w:w="2551" w:type="dxa"/>
            <w:tcBorders>
              <w:top w:val="single" w:sz="4" w:space="0" w:color="auto"/>
              <w:left w:val="single" w:sz="4" w:space="0" w:color="auto"/>
              <w:right w:val="single" w:sz="4" w:space="0" w:color="auto"/>
            </w:tcBorders>
            <w:vAlign w:val="center"/>
          </w:tcPr>
          <w:p w14:paraId="7DC678DE" w14:textId="77777777" w:rsidR="00803FC6" w:rsidRPr="00803FC6" w:rsidRDefault="00803FC6" w:rsidP="00803FC6">
            <w:pPr>
              <w:jc w:val="both"/>
              <w:rPr>
                <w:rFonts w:eastAsia="Calibri"/>
                <w:sz w:val="18"/>
                <w:szCs w:val="18"/>
                <w:lang w:eastAsia="en-US"/>
              </w:rPr>
            </w:pPr>
            <w:r w:rsidRPr="00803FC6">
              <w:rPr>
                <w:rFonts w:eastAsia="Calibri"/>
                <w:sz w:val="18"/>
                <w:szCs w:val="18"/>
                <w:lang w:eastAsia="en-US"/>
              </w:rPr>
              <w:t>10y + 50 puntos base en 2014 + 50 puntos base en 2015</w:t>
            </w:r>
          </w:p>
        </w:tc>
        <w:tc>
          <w:tcPr>
            <w:tcW w:w="2268" w:type="dxa"/>
            <w:tcBorders>
              <w:top w:val="single" w:sz="4" w:space="0" w:color="auto"/>
              <w:left w:val="single" w:sz="4" w:space="0" w:color="auto"/>
              <w:right w:val="single" w:sz="4" w:space="0" w:color="auto"/>
            </w:tcBorders>
            <w:vAlign w:val="center"/>
          </w:tcPr>
          <w:p w14:paraId="4217DB47" w14:textId="77777777" w:rsidR="00803FC6" w:rsidRPr="00803FC6" w:rsidRDefault="00803FC6" w:rsidP="00803FC6">
            <w:pPr>
              <w:jc w:val="both"/>
              <w:rPr>
                <w:rFonts w:eastAsia="Calibri"/>
                <w:sz w:val="18"/>
                <w:szCs w:val="18"/>
                <w:lang w:eastAsia="en-US"/>
              </w:rPr>
            </w:pPr>
            <w:r w:rsidRPr="00803FC6">
              <w:rPr>
                <w:rFonts w:eastAsia="Calibri"/>
                <w:sz w:val="18"/>
                <w:szCs w:val="18"/>
                <w:lang w:eastAsia="en-US"/>
              </w:rPr>
              <w:t>10Y -20 puntos base por trimestre entre el 4T14 y el 2T15</w:t>
            </w:r>
          </w:p>
        </w:tc>
        <w:tc>
          <w:tcPr>
            <w:tcW w:w="2127" w:type="dxa"/>
            <w:tcBorders>
              <w:top w:val="single" w:sz="4" w:space="0" w:color="auto"/>
              <w:left w:val="single" w:sz="4" w:space="0" w:color="auto"/>
              <w:right w:val="single" w:sz="4" w:space="0" w:color="auto"/>
            </w:tcBorders>
            <w:vAlign w:val="center"/>
          </w:tcPr>
          <w:p w14:paraId="28440BBC" w14:textId="77777777" w:rsidR="00803FC6" w:rsidRPr="00803FC6" w:rsidRDefault="00803FC6" w:rsidP="00803FC6">
            <w:pPr>
              <w:jc w:val="both"/>
              <w:rPr>
                <w:rFonts w:eastAsia="Calibri"/>
                <w:sz w:val="18"/>
                <w:szCs w:val="18"/>
                <w:lang w:eastAsia="en-US"/>
              </w:rPr>
            </w:pPr>
            <w:r w:rsidRPr="00803FC6">
              <w:rPr>
                <w:rFonts w:eastAsia="Calibri"/>
                <w:sz w:val="18"/>
                <w:szCs w:val="18"/>
                <w:lang w:eastAsia="en-US"/>
              </w:rPr>
              <w:t>Vuelven al promedio de largo plazo</w:t>
            </w:r>
          </w:p>
        </w:tc>
      </w:tr>
      <w:tr w:rsidR="00803FC6" w:rsidRPr="00803FC6" w14:paraId="65AF19B1" w14:textId="77777777" w:rsidTr="00803FC6">
        <w:trPr>
          <w:jc w:val="center"/>
        </w:trPr>
        <w:tc>
          <w:tcPr>
            <w:tcW w:w="569" w:type="dxa"/>
            <w:tcBorders>
              <w:left w:val="single" w:sz="4" w:space="0" w:color="auto"/>
              <w:right w:val="single" w:sz="4" w:space="0" w:color="auto"/>
            </w:tcBorders>
            <w:vAlign w:val="center"/>
          </w:tcPr>
          <w:p w14:paraId="1C271B62" w14:textId="77777777" w:rsidR="00803FC6" w:rsidRPr="00803FC6" w:rsidRDefault="00803FC6" w:rsidP="00803FC6">
            <w:pPr>
              <w:jc w:val="center"/>
              <w:rPr>
                <w:rFonts w:eastAsia="Calibri"/>
                <w:sz w:val="18"/>
                <w:szCs w:val="18"/>
                <w:lang w:eastAsia="en-US"/>
              </w:rPr>
            </w:pPr>
            <w:r w:rsidRPr="00803FC6">
              <w:rPr>
                <w:rFonts w:eastAsia="Calibri"/>
                <w:sz w:val="18"/>
                <w:szCs w:val="18"/>
                <w:lang w:eastAsia="en-US"/>
              </w:rPr>
              <w:t>2</w:t>
            </w:r>
          </w:p>
        </w:tc>
        <w:tc>
          <w:tcPr>
            <w:tcW w:w="2694" w:type="dxa"/>
            <w:tcBorders>
              <w:left w:val="single" w:sz="4" w:space="0" w:color="auto"/>
              <w:right w:val="single" w:sz="4" w:space="0" w:color="auto"/>
            </w:tcBorders>
            <w:vAlign w:val="center"/>
          </w:tcPr>
          <w:p w14:paraId="23524855" w14:textId="77777777" w:rsidR="00803FC6" w:rsidRPr="00803FC6" w:rsidRDefault="00803FC6" w:rsidP="00803FC6">
            <w:pPr>
              <w:jc w:val="both"/>
              <w:rPr>
                <w:rFonts w:eastAsia="Calibri"/>
                <w:sz w:val="18"/>
                <w:szCs w:val="18"/>
                <w:lang w:eastAsia="en-US"/>
              </w:rPr>
            </w:pPr>
            <w:r w:rsidRPr="00803FC6">
              <w:rPr>
                <w:rFonts w:eastAsia="Calibri"/>
                <w:sz w:val="18"/>
                <w:szCs w:val="18"/>
                <w:lang w:eastAsia="en-US"/>
              </w:rPr>
              <w:t>Sobrerreacción por salida de la Reserva Federal y Expansión cuantitativa del BCE</w:t>
            </w:r>
          </w:p>
        </w:tc>
        <w:tc>
          <w:tcPr>
            <w:tcW w:w="2551" w:type="dxa"/>
            <w:tcBorders>
              <w:left w:val="single" w:sz="4" w:space="0" w:color="auto"/>
              <w:right w:val="single" w:sz="4" w:space="0" w:color="auto"/>
            </w:tcBorders>
            <w:vAlign w:val="center"/>
          </w:tcPr>
          <w:p w14:paraId="26ADB488" w14:textId="77777777" w:rsidR="00803FC6" w:rsidRPr="00803FC6" w:rsidRDefault="00803FC6" w:rsidP="00803FC6">
            <w:pPr>
              <w:jc w:val="both"/>
              <w:rPr>
                <w:rFonts w:eastAsia="Calibri"/>
                <w:sz w:val="18"/>
                <w:szCs w:val="18"/>
                <w:lang w:eastAsia="en-US"/>
              </w:rPr>
            </w:pPr>
            <w:r w:rsidRPr="00803FC6">
              <w:rPr>
                <w:rFonts w:eastAsia="Calibri"/>
                <w:sz w:val="18"/>
                <w:szCs w:val="18"/>
                <w:lang w:eastAsia="en-US"/>
              </w:rPr>
              <w:t>10y + 150 puntos base en 2 trimestres</w:t>
            </w:r>
          </w:p>
        </w:tc>
        <w:tc>
          <w:tcPr>
            <w:tcW w:w="2268" w:type="dxa"/>
            <w:tcBorders>
              <w:left w:val="single" w:sz="4" w:space="0" w:color="auto"/>
              <w:right w:val="single" w:sz="4" w:space="0" w:color="auto"/>
            </w:tcBorders>
            <w:vAlign w:val="center"/>
          </w:tcPr>
          <w:p w14:paraId="70F37C1A" w14:textId="77777777" w:rsidR="00803FC6" w:rsidRPr="00803FC6" w:rsidRDefault="00803FC6" w:rsidP="00803FC6">
            <w:pPr>
              <w:jc w:val="both"/>
              <w:rPr>
                <w:rFonts w:eastAsia="Calibri"/>
                <w:sz w:val="18"/>
                <w:szCs w:val="18"/>
                <w:lang w:eastAsia="en-US"/>
              </w:rPr>
            </w:pPr>
            <w:r w:rsidRPr="00803FC6">
              <w:rPr>
                <w:rFonts w:eastAsia="Calibri"/>
                <w:sz w:val="18"/>
                <w:szCs w:val="18"/>
                <w:lang w:eastAsia="en-US"/>
              </w:rPr>
              <w:t>10Y -20 puntos base por trimestre entre el 4T14 y el 2T15</w:t>
            </w:r>
          </w:p>
        </w:tc>
        <w:tc>
          <w:tcPr>
            <w:tcW w:w="2127" w:type="dxa"/>
            <w:tcBorders>
              <w:left w:val="single" w:sz="4" w:space="0" w:color="auto"/>
              <w:right w:val="single" w:sz="4" w:space="0" w:color="auto"/>
            </w:tcBorders>
            <w:vAlign w:val="center"/>
          </w:tcPr>
          <w:p w14:paraId="47ECE236" w14:textId="77777777" w:rsidR="00803FC6" w:rsidRPr="00803FC6" w:rsidRDefault="00803FC6" w:rsidP="00803FC6">
            <w:pPr>
              <w:jc w:val="both"/>
              <w:rPr>
                <w:rFonts w:eastAsia="Calibri"/>
                <w:sz w:val="18"/>
                <w:szCs w:val="18"/>
                <w:lang w:eastAsia="en-US"/>
              </w:rPr>
            </w:pPr>
            <w:r w:rsidRPr="00803FC6">
              <w:rPr>
                <w:rFonts w:eastAsia="Calibri"/>
                <w:sz w:val="18"/>
                <w:szCs w:val="18"/>
                <w:lang w:eastAsia="en-US"/>
              </w:rPr>
              <w:t>Pico como en la crisis del Euro que se desvanece un trimestre después</w:t>
            </w:r>
          </w:p>
        </w:tc>
      </w:tr>
      <w:tr w:rsidR="00803FC6" w:rsidRPr="00803FC6" w14:paraId="5C6CB3E3" w14:textId="77777777" w:rsidTr="00803FC6">
        <w:trPr>
          <w:jc w:val="center"/>
        </w:trPr>
        <w:tc>
          <w:tcPr>
            <w:tcW w:w="569" w:type="dxa"/>
            <w:tcBorders>
              <w:left w:val="single" w:sz="4" w:space="0" w:color="auto"/>
              <w:right w:val="single" w:sz="4" w:space="0" w:color="auto"/>
            </w:tcBorders>
            <w:vAlign w:val="center"/>
          </w:tcPr>
          <w:p w14:paraId="0979809C" w14:textId="77777777" w:rsidR="00803FC6" w:rsidRPr="00803FC6" w:rsidRDefault="00803FC6" w:rsidP="00803FC6">
            <w:pPr>
              <w:jc w:val="center"/>
              <w:rPr>
                <w:rFonts w:eastAsia="Calibri"/>
                <w:sz w:val="18"/>
                <w:szCs w:val="18"/>
                <w:lang w:eastAsia="en-US"/>
              </w:rPr>
            </w:pPr>
            <w:r w:rsidRPr="00803FC6">
              <w:rPr>
                <w:rFonts w:eastAsia="Calibri"/>
                <w:sz w:val="18"/>
                <w:szCs w:val="18"/>
                <w:lang w:eastAsia="en-US"/>
              </w:rPr>
              <w:t>3</w:t>
            </w:r>
          </w:p>
        </w:tc>
        <w:tc>
          <w:tcPr>
            <w:tcW w:w="2694" w:type="dxa"/>
            <w:tcBorders>
              <w:left w:val="single" w:sz="4" w:space="0" w:color="auto"/>
              <w:right w:val="single" w:sz="4" w:space="0" w:color="auto"/>
            </w:tcBorders>
            <w:vAlign w:val="center"/>
          </w:tcPr>
          <w:p w14:paraId="154783F7" w14:textId="77777777" w:rsidR="00803FC6" w:rsidRPr="00803FC6" w:rsidRDefault="00803FC6" w:rsidP="00803FC6">
            <w:pPr>
              <w:jc w:val="both"/>
              <w:rPr>
                <w:rFonts w:eastAsia="Calibri"/>
                <w:sz w:val="18"/>
                <w:szCs w:val="18"/>
                <w:lang w:eastAsia="en-US"/>
              </w:rPr>
            </w:pPr>
            <w:r w:rsidRPr="00803FC6">
              <w:rPr>
                <w:rFonts w:eastAsia="Calibri"/>
                <w:sz w:val="18"/>
                <w:szCs w:val="18"/>
                <w:lang w:eastAsia="en-US"/>
              </w:rPr>
              <w:t>Sobrerreacción por salida de la Reserva Federal y BCE con mayor Exp. Cuantitativa</w:t>
            </w:r>
          </w:p>
        </w:tc>
        <w:tc>
          <w:tcPr>
            <w:tcW w:w="2551" w:type="dxa"/>
            <w:tcBorders>
              <w:left w:val="single" w:sz="4" w:space="0" w:color="auto"/>
              <w:right w:val="single" w:sz="4" w:space="0" w:color="auto"/>
            </w:tcBorders>
            <w:vAlign w:val="center"/>
          </w:tcPr>
          <w:p w14:paraId="739E6368" w14:textId="77777777" w:rsidR="00803FC6" w:rsidRPr="00803FC6" w:rsidRDefault="00803FC6" w:rsidP="00803FC6">
            <w:pPr>
              <w:jc w:val="both"/>
              <w:rPr>
                <w:rFonts w:eastAsia="Calibri"/>
                <w:sz w:val="18"/>
                <w:szCs w:val="18"/>
                <w:lang w:eastAsia="en-US"/>
              </w:rPr>
            </w:pPr>
            <w:r w:rsidRPr="00803FC6">
              <w:rPr>
                <w:rFonts w:eastAsia="Calibri"/>
                <w:sz w:val="18"/>
                <w:szCs w:val="18"/>
                <w:lang w:eastAsia="en-US"/>
              </w:rPr>
              <w:t>10y + 150 puntos base en 2 trimestres</w:t>
            </w:r>
          </w:p>
        </w:tc>
        <w:tc>
          <w:tcPr>
            <w:tcW w:w="2268" w:type="dxa"/>
            <w:tcBorders>
              <w:left w:val="single" w:sz="4" w:space="0" w:color="auto"/>
              <w:right w:val="single" w:sz="4" w:space="0" w:color="auto"/>
            </w:tcBorders>
            <w:vAlign w:val="center"/>
          </w:tcPr>
          <w:p w14:paraId="1E589454" w14:textId="77777777" w:rsidR="00803FC6" w:rsidRPr="00803FC6" w:rsidRDefault="00803FC6" w:rsidP="00803FC6">
            <w:pPr>
              <w:jc w:val="both"/>
              <w:rPr>
                <w:rFonts w:eastAsia="Calibri"/>
                <w:sz w:val="18"/>
                <w:szCs w:val="18"/>
                <w:lang w:eastAsia="en-US"/>
              </w:rPr>
            </w:pPr>
            <w:r w:rsidRPr="00803FC6">
              <w:rPr>
                <w:rFonts w:eastAsia="Calibri"/>
                <w:sz w:val="18"/>
                <w:szCs w:val="18"/>
                <w:lang w:eastAsia="en-US"/>
              </w:rPr>
              <w:t>10Y -50 puntos base en 2 trimestres</w:t>
            </w:r>
          </w:p>
        </w:tc>
        <w:tc>
          <w:tcPr>
            <w:tcW w:w="2127" w:type="dxa"/>
            <w:tcBorders>
              <w:left w:val="single" w:sz="4" w:space="0" w:color="auto"/>
              <w:right w:val="single" w:sz="4" w:space="0" w:color="auto"/>
            </w:tcBorders>
            <w:vAlign w:val="center"/>
          </w:tcPr>
          <w:p w14:paraId="473F249F" w14:textId="77777777" w:rsidR="00803FC6" w:rsidRPr="00803FC6" w:rsidRDefault="00803FC6" w:rsidP="00803FC6">
            <w:pPr>
              <w:jc w:val="both"/>
              <w:rPr>
                <w:rFonts w:eastAsia="Calibri"/>
                <w:sz w:val="18"/>
                <w:szCs w:val="18"/>
                <w:lang w:eastAsia="en-US"/>
              </w:rPr>
            </w:pPr>
            <w:r w:rsidRPr="00803FC6">
              <w:rPr>
                <w:rFonts w:eastAsia="Calibri"/>
                <w:sz w:val="18"/>
                <w:szCs w:val="18"/>
                <w:lang w:eastAsia="en-US"/>
              </w:rPr>
              <w:t>Pico como en la crisis del Euro que se desvanece un trimestre después</w:t>
            </w:r>
          </w:p>
        </w:tc>
      </w:tr>
      <w:tr w:rsidR="00803FC6" w:rsidRPr="00803FC6" w14:paraId="60EBB404" w14:textId="77777777" w:rsidTr="00803FC6">
        <w:trPr>
          <w:jc w:val="center"/>
        </w:trPr>
        <w:tc>
          <w:tcPr>
            <w:tcW w:w="569" w:type="dxa"/>
            <w:tcBorders>
              <w:left w:val="single" w:sz="4" w:space="0" w:color="auto"/>
              <w:bottom w:val="single" w:sz="4" w:space="0" w:color="auto"/>
              <w:right w:val="single" w:sz="4" w:space="0" w:color="auto"/>
            </w:tcBorders>
            <w:vAlign w:val="center"/>
          </w:tcPr>
          <w:p w14:paraId="513DFA48" w14:textId="77777777" w:rsidR="00803FC6" w:rsidRPr="00803FC6" w:rsidRDefault="00803FC6" w:rsidP="00803FC6">
            <w:pPr>
              <w:jc w:val="center"/>
              <w:rPr>
                <w:rFonts w:eastAsia="Calibri"/>
                <w:sz w:val="18"/>
                <w:szCs w:val="18"/>
                <w:lang w:eastAsia="en-US"/>
              </w:rPr>
            </w:pPr>
            <w:r w:rsidRPr="00803FC6">
              <w:rPr>
                <w:rFonts w:eastAsia="Calibri"/>
                <w:sz w:val="18"/>
                <w:szCs w:val="18"/>
                <w:lang w:eastAsia="en-US"/>
              </w:rPr>
              <w:t>4</w:t>
            </w:r>
          </w:p>
        </w:tc>
        <w:tc>
          <w:tcPr>
            <w:tcW w:w="2694" w:type="dxa"/>
            <w:tcBorders>
              <w:left w:val="single" w:sz="4" w:space="0" w:color="auto"/>
              <w:bottom w:val="single" w:sz="4" w:space="0" w:color="auto"/>
              <w:right w:val="single" w:sz="4" w:space="0" w:color="auto"/>
            </w:tcBorders>
            <w:vAlign w:val="center"/>
          </w:tcPr>
          <w:p w14:paraId="51B78ECC" w14:textId="77777777" w:rsidR="00803FC6" w:rsidRPr="00803FC6" w:rsidRDefault="00803FC6" w:rsidP="00803FC6">
            <w:pPr>
              <w:jc w:val="both"/>
              <w:rPr>
                <w:rFonts w:eastAsia="Calibri"/>
                <w:sz w:val="18"/>
                <w:szCs w:val="18"/>
                <w:lang w:eastAsia="en-US"/>
              </w:rPr>
            </w:pPr>
            <w:r w:rsidRPr="00803FC6">
              <w:rPr>
                <w:rFonts w:eastAsia="Calibri"/>
                <w:sz w:val="18"/>
                <w:szCs w:val="18"/>
                <w:lang w:eastAsia="en-US"/>
              </w:rPr>
              <w:t>Retraso en salida de la Reserva Federal y BCE con Exp. Cuantitativa</w:t>
            </w:r>
          </w:p>
        </w:tc>
        <w:tc>
          <w:tcPr>
            <w:tcW w:w="2551" w:type="dxa"/>
            <w:tcBorders>
              <w:left w:val="single" w:sz="4" w:space="0" w:color="auto"/>
              <w:bottom w:val="single" w:sz="4" w:space="0" w:color="auto"/>
              <w:right w:val="single" w:sz="4" w:space="0" w:color="auto"/>
            </w:tcBorders>
            <w:vAlign w:val="center"/>
          </w:tcPr>
          <w:p w14:paraId="09EDFE81" w14:textId="77777777" w:rsidR="00803FC6" w:rsidRPr="00803FC6" w:rsidRDefault="00803FC6" w:rsidP="00803FC6">
            <w:pPr>
              <w:jc w:val="both"/>
              <w:rPr>
                <w:rFonts w:eastAsia="Calibri"/>
                <w:sz w:val="18"/>
                <w:szCs w:val="18"/>
                <w:lang w:eastAsia="en-US"/>
              </w:rPr>
            </w:pPr>
            <w:r w:rsidRPr="00803FC6">
              <w:rPr>
                <w:rFonts w:eastAsia="Calibri"/>
                <w:sz w:val="18"/>
                <w:szCs w:val="18"/>
                <w:lang w:eastAsia="en-US"/>
              </w:rPr>
              <w:t>La mitad del escenario (1)</w:t>
            </w:r>
          </w:p>
        </w:tc>
        <w:tc>
          <w:tcPr>
            <w:tcW w:w="2268" w:type="dxa"/>
            <w:tcBorders>
              <w:left w:val="single" w:sz="4" w:space="0" w:color="auto"/>
              <w:bottom w:val="single" w:sz="4" w:space="0" w:color="auto"/>
              <w:right w:val="single" w:sz="4" w:space="0" w:color="auto"/>
            </w:tcBorders>
            <w:vAlign w:val="center"/>
          </w:tcPr>
          <w:p w14:paraId="0A495EE7" w14:textId="77777777" w:rsidR="00803FC6" w:rsidRPr="00803FC6" w:rsidRDefault="00803FC6" w:rsidP="00803FC6">
            <w:pPr>
              <w:jc w:val="both"/>
              <w:rPr>
                <w:rFonts w:eastAsia="Calibri"/>
                <w:sz w:val="18"/>
                <w:szCs w:val="18"/>
                <w:lang w:eastAsia="en-US"/>
              </w:rPr>
            </w:pPr>
            <w:r w:rsidRPr="00803FC6">
              <w:rPr>
                <w:rFonts w:eastAsia="Calibri"/>
                <w:sz w:val="18"/>
                <w:szCs w:val="18"/>
                <w:lang w:eastAsia="en-US"/>
              </w:rPr>
              <w:t>10Y -50 puntos base en 2 trimestres</w:t>
            </w:r>
          </w:p>
        </w:tc>
        <w:tc>
          <w:tcPr>
            <w:tcW w:w="2127" w:type="dxa"/>
            <w:tcBorders>
              <w:left w:val="single" w:sz="4" w:space="0" w:color="auto"/>
              <w:bottom w:val="single" w:sz="4" w:space="0" w:color="auto"/>
              <w:right w:val="single" w:sz="4" w:space="0" w:color="auto"/>
            </w:tcBorders>
            <w:vAlign w:val="center"/>
          </w:tcPr>
          <w:p w14:paraId="3BCA74B2" w14:textId="77777777" w:rsidR="00803FC6" w:rsidRPr="00803FC6" w:rsidRDefault="00803FC6" w:rsidP="00803FC6">
            <w:pPr>
              <w:jc w:val="both"/>
              <w:rPr>
                <w:rFonts w:eastAsia="Calibri"/>
                <w:sz w:val="18"/>
                <w:szCs w:val="18"/>
                <w:lang w:eastAsia="en-US"/>
              </w:rPr>
            </w:pPr>
            <w:r w:rsidRPr="00803FC6">
              <w:rPr>
                <w:rFonts w:eastAsia="Calibri"/>
                <w:sz w:val="18"/>
                <w:szCs w:val="18"/>
                <w:lang w:eastAsia="en-US"/>
              </w:rPr>
              <w:t>No aumenta el apetito por riesgo</w:t>
            </w:r>
          </w:p>
        </w:tc>
      </w:tr>
      <w:tr w:rsidR="00803FC6" w:rsidRPr="00803FC6" w14:paraId="5BEC3146" w14:textId="77777777" w:rsidTr="00CB7B3D">
        <w:trPr>
          <w:jc w:val="center"/>
        </w:trPr>
        <w:tc>
          <w:tcPr>
            <w:tcW w:w="10209" w:type="dxa"/>
            <w:gridSpan w:val="5"/>
            <w:tcBorders>
              <w:top w:val="single" w:sz="4" w:space="0" w:color="auto"/>
              <w:left w:val="nil"/>
              <w:bottom w:val="nil"/>
              <w:right w:val="nil"/>
            </w:tcBorders>
            <w:vAlign w:val="center"/>
          </w:tcPr>
          <w:p w14:paraId="4D65F81C" w14:textId="77777777" w:rsidR="00803FC6" w:rsidRPr="00803FC6" w:rsidRDefault="00803FC6" w:rsidP="00803FC6">
            <w:pPr>
              <w:jc w:val="both"/>
              <w:rPr>
                <w:rFonts w:eastAsia="Calibri"/>
                <w:sz w:val="20"/>
                <w:szCs w:val="20"/>
                <w:lang w:eastAsia="en-US"/>
              </w:rPr>
            </w:pPr>
            <w:r w:rsidRPr="00803FC6">
              <w:rPr>
                <w:rFonts w:eastAsia="Calibri"/>
                <w:sz w:val="20"/>
                <w:szCs w:val="20"/>
                <w:lang w:eastAsia="en-US"/>
              </w:rPr>
              <w:t>FUENTE: BBVA Research.</w:t>
            </w:r>
          </w:p>
        </w:tc>
      </w:tr>
    </w:tbl>
    <w:p w14:paraId="0F2B21E0" w14:textId="77777777" w:rsidR="00803FC6" w:rsidRPr="00803FC6" w:rsidRDefault="00803FC6" w:rsidP="00803FC6">
      <w:pPr>
        <w:spacing w:after="360" w:line="360" w:lineRule="auto"/>
        <w:ind w:right="-159"/>
        <w:jc w:val="both"/>
        <w:rPr>
          <w:rFonts w:eastAsia="Calibri"/>
          <w:sz w:val="26"/>
          <w:szCs w:val="26"/>
          <w:lang w:val="es-ES" w:eastAsia="en-US"/>
        </w:rPr>
      </w:pPr>
    </w:p>
    <w:p w14:paraId="04BF40E1" w14:textId="77777777" w:rsidR="00803FC6" w:rsidRPr="00803FC6" w:rsidRDefault="00803FC6" w:rsidP="00803FC6">
      <w:pPr>
        <w:spacing w:after="360" w:line="360" w:lineRule="auto"/>
        <w:ind w:right="-159"/>
        <w:jc w:val="both"/>
        <w:rPr>
          <w:rFonts w:eastAsia="Calibri"/>
          <w:b/>
          <w:sz w:val="26"/>
          <w:szCs w:val="26"/>
          <w:lang w:val="es-ES" w:eastAsia="en-US"/>
        </w:rPr>
      </w:pPr>
      <w:r w:rsidRPr="00803FC6">
        <w:rPr>
          <w:rFonts w:eastAsia="Calibri"/>
          <w:b/>
          <w:sz w:val="26"/>
          <w:szCs w:val="26"/>
          <w:lang w:val="es-ES" w:eastAsia="en-US"/>
        </w:rPr>
        <w:t>Los resultados</w:t>
      </w:r>
    </w:p>
    <w:p w14:paraId="3828BB8D" w14:textId="147B44AA" w:rsidR="00803FC6" w:rsidRPr="00803FC6" w:rsidRDefault="00803FC6" w:rsidP="00803FC6">
      <w:pPr>
        <w:spacing w:after="360" w:line="360" w:lineRule="auto"/>
        <w:ind w:right="-159"/>
        <w:jc w:val="both"/>
        <w:rPr>
          <w:rFonts w:eastAsia="Calibri"/>
          <w:sz w:val="26"/>
          <w:szCs w:val="26"/>
          <w:lang w:val="es-ES" w:eastAsia="en-US"/>
        </w:rPr>
      </w:pPr>
      <w:r w:rsidRPr="00803FC6">
        <w:rPr>
          <w:rFonts w:eastAsia="Calibri"/>
          <w:sz w:val="26"/>
          <w:szCs w:val="26"/>
          <w:lang w:val="es-ES" w:eastAsia="en-US"/>
        </w:rPr>
        <w:t xml:space="preserve">Salvo en el escenario en el que la Reserva Federal actúa con rezago (escenario 4), en el resto de escenarios los resultados apuntan a la retirada de flujos en emergentes que irían desde 1.9% del PIB acumulado en tres años, hasta 2017, hasta 2.3% del PIB en el peor caso. En los escenarios donde el BCE toma un papel activo con una política de </w:t>
      </w:r>
      <w:r w:rsidRPr="00803FC6">
        <w:rPr>
          <w:rFonts w:eastAsia="Calibri"/>
          <w:sz w:val="26"/>
          <w:szCs w:val="26"/>
          <w:lang w:val="es-ES" w:eastAsia="en-US"/>
        </w:rPr>
        <w:lastRenderedPageBreak/>
        <w:t>expansión cuantitativa, los efectos negativos sobre los flujos son parcialmente compensados aunque estos efectos son perceptibles únicamente en Europa emergente. A nivel regional</w:t>
      </w:r>
      <w:r w:rsidR="00DF60F6">
        <w:rPr>
          <w:rFonts w:eastAsia="Calibri"/>
          <w:sz w:val="26"/>
          <w:szCs w:val="26"/>
          <w:lang w:val="es-ES" w:eastAsia="en-US"/>
        </w:rPr>
        <w:t>,</w:t>
      </w:r>
      <w:r w:rsidRPr="00803FC6">
        <w:rPr>
          <w:rFonts w:eastAsia="Calibri"/>
          <w:sz w:val="26"/>
          <w:szCs w:val="26"/>
          <w:lang w:val="es-ES" w:eastAsia="en-US"/>
        </w:rPr>
        <w:t xml:space="preserve"> Lat</w:t>
      </w:r>
      <w:r w:rsidR="00DF60F6">
        <w:rPr>
          <w:rFonts w:eastAsia="Calibri"/>
          <w:sz w:val="26"/>
          <w:szCs w:val="26"/>
          <w:lang w:val="es-ES" w:eastAsia="en-US"/>
        </w:rPr>
        <w:t xml:space="preserve">inoamérica </w:t>
      </w:r>
      <w:r w:rsidRPr="00803FC6">
        <w:rPr>
          <w:rFonts w:eastAsia="Calibri"/>
          <w:sz w:val="26"/>
          <w:szCs w:val="26"/>
          <w:lang w:val="es-ES" w:eastAsia="en-US"/>
        </w:rPr>
        <w:t>es la región más afectada: en el escenario central los flujos se contraerían cerca de 3.0% del PIB en el acumulado hasta 2017 (gráfica siguiente).</w:t>
      </w:r>
    </w:p>
    <w:tbl>
      <w:tblPr>
        <w:tblW w:w="9322" w:type="dxa"/>
        <w:tblLook w:val="04A0" w:firstRow="1" w:lastRow="0" w:firstColumn="1" w:lastColumn="0" w:noHBand="0" w:noVBand="1"/>
      </w:tblPr>
      <w:tblGrid>
        <w:gridCol w:w="9322"/>
      </w:tblGrid>
      <w:tr w:rsidR="00803FC6" w:rsidRPr="00803FC6" w14:paraId="7E4F89F0" w14:textId="77777777" w:rsidTr="00CB7B3D">
        <w:tc>
          <w:tcPr>
            <w:tcW w:w="9322" w:type="dxa"/>
          </w:tcPr>
          <w:p w14:paraId="4A27124A" w14:textId="77777777" w:rsidR="00803FC6" w:rsidRPr="00803FC6" w:rsidRDefault="00803FC6" w:rsidP="00803FC6">
            <w:pPr>
              <w:jc w:val="center"/>
              <w:rPr>
                <w:rFonts w:eastAsia="Calibri"/>
                <w:b/>
                <w:sz w:val="22"/>
                <w:szCs w:val="26"/>
                <w:lang w:eastAsia="en-US"/>
              </w:rPr>
            </w:pPr>
            <w:r w:rsidRPr="00803FC6">
              <w:rPr>
                <w:rFonts w:eastAsia="Calibri"/>
                <w:b/>
                <w:sz w:val="22"/>
                <w:szCs w:val="26"/>
                <w:lang w:eastAsia="en-US"/>
              </w:rPr>
              <w:t>EFECTO ACUMULADO EN FLUJOS 2015-2017</w:t>
            </w:r>
          </w:p>
          <w:p w14:paraId="57F57327" w14:textId="77777777" w:rsidR="00803FC6" w:rsidRPr="00803FC6" w:rsidRDefault="00803FC6" w:rsidP="00803FC6">
            <w:pPr>
              <w:jc w:val="center"/>
              <w:rPr>
                <w:rFonts w:eastAsia="Calibri"/>
                <w:b/>
                <w:sz w:val="22"/>
                <w:szCs w:val="26"/>
                <w:lang w:eastAsia="en-US"/>
              </w:rPr>
            </w:pPr>
            <w:r w:rsidRPr="00803FC6">
              <w:rPr>
                <w:rFonts w:eastAsia="Calibri"/>
                <w:b/>
                <w:sz w:val="22"/>
                <w:szCs w:val="26"/>
                <w:lang w:eastAsia="en-US"/>
              </w:rPr>
              <w:t xml:space="preserve"> -Porcentaje del PIB-</w:t>
            </w:r>
          </w:p>
        </w:tc>
      </w:tr>
      <w:tr w:rsidR="00803FC6" w:rsidRPr="00803FC6" w14:paraId="5B3884BC" w14:textId="77777777" w:rsidTr="00CB7B3D">
        <w:tc>
          <w:tcPr>
            <w:tcW w:w="9322" w:type="dxa"/>
          </w:tcPr>
          <w:p w14:paraId="4C6BB62C" w14:textId="77777777" w:rsidR="00803FC6" w:rsidRPr="00803FC6" w:rsidRDefault="00803FC6" w:rsidP="00803FC6">
            <w:pPr>
              <w:jc w:val="center"/>
              <w:rPr>
                <w:rFonts w:eastAsia="Calibri"/>
                <w:sz w:val="22"/>
                <w:szCs w:val="26"/>
                <w:lang w:eastAsia="en-US"/>
              </w:rPr>
            </w:pPr>
            <w:r w:rsidRPr="00803FC6">
              <w:rPr>
                <w:rFonts w:eastAsia="Calibri"/>
                <w:noProof/>
                <w:sz w:val="22"/>
                <w:szCs w:val="26"/>
                <w:lang w:eastAsia="es-MX"/>
              </w:rPr>
              <w:drawing>
                <wp:inline distT="0" distB="0" distL="0" distR="0" wp14:anchorId="09A0EB43" wp14:editId="7D6E2368">
                  <wp:extent cx="4562391" cy="3060000"/>
                  <wp:effectExtent l="0" t="0" r="0" b="7620"/>
                  <wp:docPr id="1654" name="Imagen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30" cstate="print">
                            <a:extLst>
                              <a:ext uri="{28A0092B-C50C-407E-A947-70E740481C1C}">
                                <a14:useLocalDpi xmlns:a14="http://schemas.microsoft.com/office/drawing/2010/main" val="0"/>
                              </a:ext>
                            </a:extLst>
                          </a:blip>
                          <a:srcRect t="5756" b="1142"/>
                          <a:stretch/>
                        </pic:blipFill>
                        <pic:spPr bwMode="auto">
                          <a:xfrm>
                            <a:off x="0" y="0"/>
                            <a:ext cx="4562391" cy="30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03FC6" w:rsidRPr="00803FC6" w14:paraId="642408B9" w14:textId="77777777" w:rsidTr="00CB7B3D">
        <w:tc>
          <w:tcPr>
            <w:tcW w:w="9322" w:type="dxa"/>
          </w:tcPr>
          <w:p w14:paraId="2248F677" w14:textId="77777777" w:rsidR="00803FC6" w:rsidRPr="00803FC6" w:rsidRDefault="00803FC6" w:rsidP="00803FC6">
            <w:pPr>
              <w:ind w:firstLine="993"/>
              <w:jc w:val="both"/>
              <w:rPr>
                <w:rFonts w:eastAsia="Calibri"/>
                <w:sz w:val="20"/>
                <w:szCs w:val="26"/>
                <w:lang w:eastAsia="en-US"/>
              </w:rPr>
            </w:pPr>
            <w:r w:rsidRPr="00803FC6">
              <w:rPr>
                <w:rFonts w:eastAsia="Calibri"/>
                <w:sz w:val="20"/>
                <w:szCs w:val="26"/>
                <w:lang w:eastAsia="en-US"/>
              </w:rPr>
              <w:t>FUENTE: BBVA Research.</w:t>
            </w:r>
          </w:p>
        </w:tc>
      </w:tr>
    </w:tbl>
    <w:p w14:paraId="556F84B6" w14:textId="77777777" w:rsidR="00803FC6" w:rsidRPr="00803FC6" w:rsidRDefault="00803FC6" w:rsidP="00803FC6">
      <w:pPr>
        <w:spacing w:after="360" w:line="360" w:lineRule="auto"/>
        <w:ind w:right="-159"/>
        <w:jc w:val="both"/>
        <w:rPr>
          <w:rFonts w:eastAsia="Calibri"/>
          <w:sz w:val="26"/>
          <w:szCs w:val="26"/>
          <w:lang w:val="es-ES" w:eastAsia="en-US"/>
        </w:rPr>
      </w:pPr>
    </w:p>
    <w:tbl>
      <w:tblPr>
        <w:tblW w:w="0" w:type="auto"/>
        <w:jc w:val="center"/>
        <w:tblLook w:val="04A0" w:firstRow="1" w:lastRow="0" w:firstColumn="1" w:lastColumn="0" w:noHBand="0" w:noVBand="1"/>
      </w:tblPr>
      <w:tblGrid>
        <w:gridCol w:w="1063"/>
        <w:gridCol w:w="1842"/>
        <w:gridCol w:w="1842"/>
        <w:gridCol w:w="1843"/>
        <w:gridCol w:w="1843"/>
      </w:tblGrid>
      <w:tr w:rsidR="00803FC6" w:rsidRPr="00803FC6" w14:paraId="19661E19" w14:textId="77777777" w:rsidTr="00803FC6">
        <w:trPr>
          <w:jc w:val="center"/>
        </w:trPr>
        <w:tc>
          <w:tcPr>
            <w:tcW w:w="8433" w:type="dxa"/>
            <w:gridSpan w:val="5"/>
            <w:tcBorders>
              <w:top w:val="nil"/>
              <w:left w:val="nil"/>
              <w:bottom w:val="single" w:sz="4" w:space="0" w:color="auto"/>
              <w:right w:val="nil"/>
            </w:tcBorders>
            <w:vAlign w:val="center"/>
          </w:tcPr>
          <w:p w14:paraId="32431C59" w14:textId="77777777" w:rsidR="00803FC6" w:rsidRPr="00803FC6" w:rsidRDefault="00803FC6" w:rsidP="00803FC6">
            <w:pPr>
              <w:jc w:val="center"/>
              <w:rPr>
                <w:rFonts w:eastAsia="Calibri"/>
                <w:b/>
                <w:sz w:val="22"/>
                <w:szCs w:val="22"/>
                <w:lang w:eastAsia="en-US"/>
              </w:rPr>
            </w:pPr>
            <w:r w:rsidRPr="00803FC6">
              <w:rPr>
                <w:rFonts w:eastAsia="Calibri"/>
                <w:b/>
                <w:sz w:val="22"/>
                <w:szCs w:val="22"/>
                <w:lang w:eastAsia="en-US"/>
              </w:rPr>
              <w:t>FLUJOS DE CAPITALES A ECONOMÍAS EMERGENTES,</w:t>
            </w:r>
          </w:p>
          <w:p w14:paraId="53A36131" w14:textId="77777777" w:rsidR="00803FC6" w:rsidRPr="00803FC6" w:rsidRDefault="00803FC6" w:rsidP="00803FC6">
            <w:pPr>
              <w:jc w:val="center"/>
              <w:rPr>
                <w:rFonts w:eastAsia="Calibri"/>
                <w:b/>
                <w:sz w:val="22"/>
                <w:szCs w:val="22"/>
                <w:lang w:eastAsia="en-US"/>
              </w:rPr>
            </w:pPr>
            <w:r w:rsidRPr="00803FC6">
              <w:rPr>
                <w:rFonts w:eastAsia="Calibri"/>
                <w:b/>
                <w:sz w:val="22"/>
                <w:szCs w:val="22"/>
                <w:lang w:eastAsia="en-US"/>
              </w:rPr>
              <w:t>SIMULACIÓN DE ESCENARIOS</w:t>
            </w:r>
          </w:p>
          <w:p w14:paraId="3DD46CFE" w14:textId="77777777" w:rsidR="00803FC6" w:rsidRPr="00803FC6" w:rsidRDefault="00803FC6" w:rsidP="00803FC6">
            <w:pPr>
              <w:jc w:val="center"/>
              <w:rPr>
                <w:rFonts w:eastAsia="Calibri"/>
                <w:b/>
                <w:sz w:val="22"/>
                <w:szCs w:val="22"/>
                <w:lang w:eastAsia="en-US"/>
              </w:rPr>
            </w:pPr>
            <w:r w:rsidRPr="00803FC6">
              <w:rPr>
                <w:rFonts w:eastAsia="Calibri"/>
                <w:b/>
                <w:sz w:val="22"/>
                <w:szCs w:val="22"/>
                <w:lang w:eastAsia="en-US"/>
              </w:rPr>
              <w:t>-Respuesta acumulada como porcentaje del PIB-</w:t>
            </w:r>
          </w:p>
        </w:tc>
      </w:tr>
      <w:tr w:rsidR="00803FC6" w:rsidRPr="00803FC6" w14:paraId="23C1A0F5" w14:textId="77777777" w:rsidTr="00803FC6">
        <w:trPr>
          <w:jc w:val="center"/>
        </w:trPr>
        <w:tc>
          <w:tcPr>
            <w:tcW w:w="1063" w:type="dxa"/>
            <w:tcBorders>
              <w:top w:val="single" w:sz="4" w:space="0" w:color="auto"/>
              <w:left w:val="single" w:sz="4" w:space="0" w:color="auto"/>
              <w:bottom w:val="single" w:sz="4" w:space="0" w:color="auto"/>
              <w:right w:val="single" w:sz="4" w:space="0" w:color="auto"/>
            </w:tcBorders>
            <w:vAlign w:val="center"/>
          </w:tcPr>
          <w:p w14:paraId="7D9D660B" w14:textId="77777777" w:rsidR="00803FC6" w:rsidRPr="00803FC6" w:rsidRDefault="00803FC6" w:rsidP="00803FC6">
            <w:pPr>
              <w:jc w:val="both"/>
              <w:rPr>
                <w:rFonts w:eastAsia="Calibri"/>
                <w:sz w:val="18"/>
                <w:szCs w:val="18"/>
                <w:lang w:eastAsia="en-US"/>
              </w:rPr>
            </w:pPr>
          </w:p>
        </w:tc>
        <w:tc>
          <w:tcPr>
            <w:tcW w:w="1842" w:type="dxa"/>
            <w:tcBorders>
              <w:top w:val="single" w:sz="4" w:space="0" w:color="auto"/>
              <w:left w:val="single" w:sz="4" w:space="0" w:color="auto"/>
              <w:bottom w:val="single" w:sz="4" w:space="0" w:color="auto"/>
              <w:right w:val="single" w:sz="4" w:space="0" w:color="auto"/>
            </w:tcBorders>
            <w:vAlign w:val="center"/>
          </w:tcPr>
          <w:p w14:paraId="1A60A058" w14:textId="77777777" w:rsidR="00803FC6" w:rsidRPr="00803FC6" w:rsidRDefault="00803FC6" w:rsidP="00803FC6">
            <w:pPr>
              <w:jc w:val="center"/>
              <w:rPr>
                <w:rFonts w:eastAsia="Calibri"/>
                <w:b/>
                <w:sz w:val="18"/>
                <w:szCs w:val="18"/>
                <w:lang w:eastAsia="en-US"/>
              </w:rPr>
            </w:pPr>
            <w:r w:rsidRPr="00803FC6">
              <w:rPr>
                <w:rFonts w:eastAsia="Calibri"/>
                <w:b/>
                <w:sz w:val="18"/>
                <w:szCs w:val="18"/>
                <w:lang w:eastAsia="en-US"/>
              </w:rPr>
              <w:t>EME</w:t>
            </w:r>
          </w:p>
        </w:tc>
        <w:tc>
          <w:tcPr>
            <w:tcW w:w="1842" w:type="dxa"/>
            <w:tcBorders>
              <w:top w:val="single" w:sz="4" w:space="0" w:color="auto"/>
              <w:left w:val="single" w:sz="4" w:space="0" w:color="auto"/>
              <w:bottom w:val="single" w:sz="4" w:space="0" w:color="auto"/>
              <w:right w:val="single" w:sz="4" w:space="0" w:color="auto"/>
            </w:tcBorders>
            <w:vAlign w:val="center"/>
          </w:tcPr>
          <w:p w14:paraId="07F41CA0" w14:textId="77777777" w:rsidR="00803FC6" w:rsidRPr="00803FC6" w:rsidRDefault="00803FC6" w:rsidP="00803FC6">
            <w:pPr>
              <w:jc w:val="center"/>
              <w:rPr>
                <w:rFonts w:eastAsia="Calibri"/>
                <w:b/>
                <w:sz w:val="18"/>
                <w:szCs w:val="18"/>
                <w:lang w:eastAsia="en-US"/>
              </w:rPr>
            </w:pPr>
            <w:r w:rsidRPr="00803FC6">
              <w:rPr>
                <w:rFonts w:eastAsia="Calibri"/>
                <w:b/>
                <w:sz w:val="18"/>
                <w:szCs w:val="18"/>
                <w:lang w:eastAsia="en-US"/>
              </w:rPr>
              <w:t>Latinoamérica</w:t>
            </w:r>
          </w:p>
        </w:tc>
        <w:tc>
          <w:tcPr>
            <w:tcW w:w="1843" w:type="dxa"/>
            <w:tcBorders>
              <w:top w:val="single" w:sz="4" w:space="0" w:color="auto"/>
              <w:left w:val="single" w:sz="4" w:space="0" w:color="auto"/>
              <w:bottom w:val="single" w:sz="4" w:space="0" w:color="auto"/>
              <w:right w:val="single" w:sz="4" w:space="0" w:color="auto"/>
            </w:tcBorders>
            <w:vAlign w:val="center"/>
          </w:tcPr>
          <w:p w14:paraId="3AFAD2A2" w14:textId="77777777" w:rsidR="00803FC6" w:rsidRPr="00803FC6" w:rsidRDefault="00803FC6" w:rsidP="00803FC6">
            <w:pPr>
              <w:jc w:val="center"/>
              <w:rPr>
                <w:rFonts w:eastAsia="Calibri"/>
                <w:b/>
                <w:sz w:val="18"/>
                <w:szCs w:val="18"/>
                <w:lang w:eastAsia="en-US"/>
              </w:rPr>
            </w:pPr>
            <w:r w:rsidRPr="00803FC6">
              <w:rPr>
                <w:rFonts w:eastAsia="Calibri"/>
                <w:b/>
                <w:sz w:val="18"/>
                <w:szCs w:val="18"/>
                <w:lang w:eastAsia="en-US"/>
              </w:rPr>
              <w:t>Asia Emergente</w:t>
            </w:r>
          </w:p>
        </w:tc>
        <w:tc>
          <w:tcPr>
            <w:tcW w:w="1843" w:type="dxa"/>
            <w:tcBorders>
              <w:top w:val="single" w:sz="4" w:space="0" w:color="auto"/>
              <w:left w:val="single" w:sz="4" w:space="0" w:color="auto"/>
              <w:bottom w:val="single" w:sz="4" w:space="0" w:color="auto"/>
              <w:right w:val="single" w:sz="4" w:space="0" w:color="auto"/>
            </w:tcBorders>
            <w:vAlign w:val="center"/>
          </w:tcPr>
          <w:p w14:paraId="436F66A5" w14:textId="77777777" w:rsidR="00803FC6" w:rsidRPr="00803FC6" w:rsidRDefault="00803FC6" w:rsidP="00803FC6">
            <w:pPr>
              <w:jc w:val="center"/>
              <w:rPr>
                <w:rFonts w:eastAsia="Calibri"/>
                <w:b/>
                <w:sz w:val="18"/>
                <w:szCs w:val="18"/>
                <w:lang w:eastAsia="en-US"/>
              </w:rPr>
            </w:pPr>
            <w:r w:rsidRPr="00803FC6">
              <w:rPr>
                <w:rFonts w:eastAsia="Calibri"/>
                <w:b/>
                <w:sz w:val="18"/>
                <w:szCs w:val="18"/>
                <w:lang w:eastAsia="en-US"/>
              </w:rPr>
              <w:t>Europa Emergente</w:t>
            </w:r>
          </w:p>
        </w:tc>
      </w:tr>
      <w:tr w:rsidR="00803FC6" w:rsidRPr="00803FC6" w14:paraId="20321314" w14:textId="77777777" w:rsidTr="00803FC6">
        <w:trPr>
          <w:jc w:val="center"/>
        </w:trPr>
        <w:tc>
          <w:tcPr>
            <w:tcW w:w="1063" w:type="dxa"/>
            <w:tcBorders>
              <w:left w:val="single" w:sz="4" w:space="0" w:color="auto"/>
              <w:bottom w:val="nil"/>
              <w:right w:val="single" w:sz="4" w:space="0" w:color="auto"/>
            </w:tcBorders>
            <w:vAlign w:val="center"/>
          </w:tcPr>
          <w:p w14:paraId="5648A8C0" w14:textId="77777777" w:rsidR="00803FC6" w:rsidRPr="00803FC6" w:rsidRDefault="00803FC6" w:rsidP="00803FC6">
            <w:pPr>
              <w:jc w:val="center"/>
              <w:rPr>
                <w:rFonts w:eastAsia="Calibri"/>
                <w:sz w:val="18"/>
                <w:szCs w:val="18"/>
                <w:lang w:eastAsia="en-US"/>
              </w:rPr>
            </w:pPr>
            <w:r w:rsidRPr="00803FC6">
              <w:rPr>
                <w:rFonts w:eastAsia="Calibri"/>
                <w:sz w:val="18"/>
                <w:szCs w:val="18"/>
                <w:lang w:eastAsia="en-US"/>
              </w:rPr>
              <w:t>1</w:t>
            </w:r>
          </w:p>
        </w:tc>
        <w:tc>
          <w:tcPr>
            <w:tcW w:w="1842" w:type="dxa"/>
            <w:tcBorders>
              <w:left w:val="single" w:sz="4" w:space="0" w:color="auto"/>
              <w:bottom w:val="nil"/>
              <w:right w:val="single" w:sz="4" w:space="0" w:color="auto"/>
            </w:tcBorders>
            <w:vAlign w:val="center"/>
          </w:tcPr>
          <w:p w14:paraId="3C7EAE1C" w14:textId="77777777" w:rsidR="00803FC6" w:rsidRPr="00803FC6" w:rsidRDefault="00803FC6" w:rsidP="00803FC6">
            <w:pPr>
              <w:ind w:right="706"/>
              <w:jc w:val="right"/>
              <w:rPr>
                <w:rFonts w:eastAsia="Calibri"/>
                <w:sz w:val="18"/>
                <w:szCs w:val="18"/>
                <w:lang w:eastAsia="en-US"/>
              </w:rPr>
            </w:pPr>
            <w:r w:rsidRPr="00803FC6">
              <w:rPr>
                <w:rFonts w:eastAsia="Calibri"/>
                <w:sz w:val="18"/>
                <w:szCs w:val="18"/>
                <w:lang w:eastAsia="en-US"/>
              </w:rPr>
              <w:t>-1.9</w:t>
            </w:r>
          </w:p>
        </w:tc>
        <w:tc>
          <w:tcPr>
            <w:tcW w:w="1842" w:type="dxa"/>
            <w:tcBorders>
              <w:left w:val="single" w:sz="4" w:space="0" w:color="auto"/>
              <w:bottom w:val="nil"/>
              <w:right w:val="single" w:sz="4" w:space="0" w:color="auto"/>
            </w:tcBorders>
            <w:vAlign w:val="center"/>
          </w:tcPr>
          <w:p w14:paraId="62EA3246" w14:textId="77777777" w:rsidR="00803FC6" w:rsidRPr="00803FC6" w:rsidRDefault="00803FC6" w:rsidP="00803FC6">
            <w:pPr>
              <w:ind w:right="705"/>
              <w:jc w:val="right"/>
              <w:rPr>
                <w:rFonts w:eastAsia="Calibri"/>
                <w:sz w:val="18"/>
                <w:szCs w:val="18"/>
                <w:lang w:eastAsia="en-US"/>
              </w:rPr>
            </w:pPr>
            <w:r w:rsidRPr="00803FC6">
              <w:rPr>
                <w:rFonts w:eastAsia="Calibri"/>
                <w:sz w:val="18"/>
                <w:szCs w:val="18"/>
                <w:lang w:eastAsia="en-US"/>
              </w:rPr>
              <w:t>-3.0</w:t>
            </w:r>
          </w:p>
        </w:tc>
        <w:tc>
          <w:tcPr>
            <w:tcW w:w="1843" w:type="dxa"/>
            <w:tcBorders>
              <w:left w:val="single" w:sz="4" w:space="0" w:color="auto"/>
              <w:bottom w:val="nil"/>
              <w:right w:val="single" w:sz="4" w:space="0" w:color="auto"/>
            </w:tcBorders>
            <w:vAlign w:val="center"/>
          </w:tcPr>
          <w:p w14:paraId="4D9799EB" w14:textId="77777777" w:rsidR="00803FC6" w:rsidRPr="00803FC6" w:rsidRDefault="00803FC6" w:rsidP="00803FC6">
            <w:pPr>
              <w:ind w:right="705"/>
              <w:jc w:val="right"/>
              <w:rPr>
                <w:rFonts w:eastAsia="Calibri"/>
                <w:sz w:val="18"/>
                <w:szCs w:val="18"/>
                <w:lang w:eastAsia="en-US"/>
              </w:rPr>
            </w:pPr>
            <w:r w:rsidRPr="00803FC6">
              <w:rPr>
                <w:rFonts w:eastAsia="Calibri"/>
                <w:sz w:val="18"/>
                <w:szCs w:val="18"/>
                <w:lang w:eastAsia="en-US"/>
              </w:rPr>
              <w:t>-1.9</w:t>
            </w:r>
          </w:p>
        </w:tc>
        <w:tc>
          <w:tcPr>
            <w:tcW w:w="1843" w:type="dxa"/>
            <w:tcBorders>
              <w:left w:val="single" w:sz="4" w:space="0" w:color="auto"/>
              <w:bottom w:val="nil"/>
              <w:right w:val="single" w:sz="4" w:space="0" w:color="auto"/>
            </w:tcBorders>
            <w:vAlign w:val="center"/>
          </w:tcPr>
          <w:p w14:paraId="4BF8BB31" w14:textId="77777777" w:rsidR="00803FC6" w:rsidRPr="00803FC6" w:rsidRDefault="00803FC6" w:rsidP="00803FC6">
            <w:pPr>
              <w:ind w:right="706"/>
              <w:jc w:val="right"/>
              <w:rPr>
                <w:rFonts w:eastAsia="Calibri"/>
                <w:sz w:val="18"/>
                <w:szCs w:val="18"/>
                <w:lang w:eastAsia="en-US"/>
              </w:rPr>
            </w:pPr>
            <w:r w:rsidRPr="00803FC6">
              <w:rPr>
                <w:rFonts w:eastAsia="Calibri"/>
                <w:sz w:val="18"/>
                <w:szCs w:val="18"/>
                <w:lang w:eastAsia="en-US"/>
              </w:rPr>
              <w:t>4.3</w:t>
            </w:r>
          </w:p>
        </w:tc>
      </w:tr>
      <w:tr w:rsidR="00803FC6" w:rsidRPr="00803FC6" w14:paraId="2AC59C4E" w14:textId="77777777" w:rsidTr="00803FC6">
        <w:trPr>
          <w:jc w:val="center"/>
        </w:trPr>
        <w:tc>
          <w:tcPr>
            <w:tcW w:w="1063" w:type="dxa"/>
            <w:tcBorders>
              <w:top w:val="nil"/>
              <w:left w:val="single" w:sz="4" w:space="0" w:color="auto"/>
              <w:bottom w:val="nil"/>
              <w:right w:val="single" w:sz="4" w:space="0" w:color="auto"/>
            </w:tcBorders>
            <w:vAlign w:val="center"/>
          </w:tcPr>
          <w:p w14:paraId="3C12BCA9" w14:textId="77777777" w:rsidR="00803FC6" w:rsidRPr="00803FC6" w:rsidRDefault="00803FC6" w:rsidP="00803FC6">
            <w:pPr>
              <w:jc w:val="center"/>
              <w:rPr>
                <w:rFonts w:eastAsia="Calibri"/>
                <w:sz w:val="18"/>
                <w:szCs w:val="18"/>
                <w:lang w:eastAsia="en-US"/>
              </w:rPr>
            </w:pPr>
            <w:r w:rsidRPr="00803FC6">
              <w:rPr>
                <w:rFonts w:eastAsia="Calibri"/>
                <w:sz w:val="18"/>
                <w:szCs w:val="18"/>
                <w:lang w:eastAsia="en-US"/>
              </w:rPr>
              <w:t>2</w:t>
            </w:r>
          </w:p>
        </w:tc>
        <w:tc>
          <w:tcPr>
            <w:tcW w:w="1842" w:type="dxa"/>
            <w:tcBorders>
              <w:top w:val="nil"/>
              <w:left w:val="single" w:sz="4" w:space="0" w:color="auto"/>
              <w:bottom w:val="nil"/>
              <w:right w:val="single" w:sz="4" w:space="0" w:color="auto"/>
            </w:tcBorders>
            <w:vAlign w:val="center"/>
          </w:tcPr>
          <w:p w14:paraId="35DC636E" w14:textId="77777777" w:rsidR="00803FC6" w:rsidRPr="00803FC6" w:rsidRDefault="00803FC6" w:rsidP="00803FC6">
            <w:pPr>
              <w:ind w:right="706"/>
              <w:jc w:val="right"/>
              <w:rPr>
                <w:rFonts w:eastAsia="Calibri"/>
                <w:sz w:val="18"/>
                <w:szCs w:val="18"/>
                <w:lang w:eastAsia="en-US"/>
              </w:rPr>
            </w:pPr>
            <w:r w:rsidRPr="00803FC6">
              <w:rPr>
                <w:rFonts w:eastAsia="Calibri"/>
                <w:sz w:val="18"/>
                <w:szCs w:val="18"/>
                <w:lang w:eastAsia="en-US"/>
              </w:rPr>
              <w:t>-2.3</w:t>
            </w:r>
          </w:p>
        </w:tc>
        <w:tc>
          <w:tcPr>
            <w:tcW w:w="1842" w:type="dxa"/>
            <w:tcBorders>
              <w:top w:val="nil"/>
              <w:left w:val="single" w:sz="4" w:space="0" w:color="auto"/>
              <w:bottom w:val="nil"/>
              <w:right w:val="single" w:sz="4" w:space="0" w:color="auto"/>
            </w:tcBorders>
            <w:vAlign w:val="center"/>
          </w:tcPr>
          <w:p w14:paraId="62DF4A1A" w14:textId="77777777" w:rsidR="00803FC6" w:rsidRPr="00803FC6" w:rsidRDefault="00803FC6" w:rsidP="00803FC6">
            <w:pPr>
              <w:ind w:right="705"/>
              <w:jc w:val="right"/>
              <w:rPr>
                <w:rFonts w:eastAsia="Calibri"/>
                <w:sz w:val="18"/>
                <w:szCs w:val="18"/>
                <w:lang w:eastAsia="en-US"/>
              </w:rPr>
            </w:pPr>
            <w:r w:rsidRPr="00803FC6">
              <w:rPr>
                <w:rFonts w:eastAsia="Calibri"/>
                <w:sz w:val="18"/>
                <w:szCs w:val="18"/>
                <w:lang w:eastAsia="en-US"/>
              </w:rPr>
              <w:t>-3.7</w:t>
            </w:r>
          </w:p>
        </w:tc>
        <w:tc>
          <w:tcPr>
            <w:tcW w:w="1843" w:type="dxa"/>
            <w:tcBorders>
              <w:top w:val="nil"/>
              <w:left w:val="single" w:sz="4" w:space="0" w:color="auto"/>
              <w:bottom w:val="nil"/>
              <w:right w:val="single" w:sz="4" w:space="0" w:color="auto"/>
            </w:tcBorders>
            <w:vAlign w:val="center"/>
          </w:tcPr>
          <w:p w14:paraId="2B2AAACD" w14:textId="77777777" w:rsidR="00803FC6" w:rsidRPr="00803FC6" w:rsidRDefault="00803FC6" w:rsidP="00803FC6">
            <w:pPr>
              <w:ind w:right="705"/>
              <w:jc w:val="right"/>
              <w:rPr>
                <w:rFonts w:eastAsia="Calibri"/>
                <w:sz w:val="18"/>
                <w:szCs w:val="18"/>
                <w:lang w:eastAsia="en-US"/>
              </w:rPr>
            </w:pPr>
            <w:r w:rsidRPr="00803FC6">
              <w:rPr>
                <w:rFonts w:eastAsia="Calibri"/>
                <w:sz w:val="18"/>
                <w:szCs w:val="18"/>
                <w:lang w:eastAsia="en-US"/>
              </w:rPr>
              <w:t>-2.3</w:t>
            </w:r>
          </w:p>
        </w:tc>
        <w:tc>
          <w:tcPr>
            <w:tcW w:w="1843" w:type="dxa"/>
            <w:tcBorders>
              <w:top w:val="nil"/>
              <w:left w:val="single" w:sz="4" w:space="0" w:color="auto"/>
              <w:bottom w:val="nil"/>
              <w:right w:val="single" w:sz="4" w:space="0" w:color="auto"/>
            </w:tcBorders>
            <w:vAlign w:val="center"/>
          </w:tcPr>
          <w:p w14:paraId="1EE74EC5" w14:textId="77777777" w:rsidR="00803FC6" w:rsidRPr="00803FC6" w:rsidRDefault="00803FC6" w:rsidP="00803FC6">
            <w:pPr>
              <w:ind w:right="706"/>
              <w:jc w:val="right"/>
              <w:rPr>
                <w:rFonts w:eastAsia="Calibri"/>
                <w:sz w:val="18"/>
                <w:szCs w:val="18"/>
                <w:lang w:eastAsia="en-US"/>
              </w:rPr>
            </w:pPr>
            <w:r w:rsidRPr="00803FC6">
              <w:rPr>
                <w:rFonts w:eastAsia="Calibri"/>
                <w:sz w:val="18"/>
                <w:szCs w:val="18"/>
                <w:lang w:eastAsia="en-US"/>
              </w:rPr>
              <w:t>3.5</w:t>
            </w:r>
          </w:p>
        </w:tc>
      </w:tr>
      <w:tr w:rsidR="00803FC6" w:rsidRPr="00803FC6" w14:paraId="0045D5F6" w14:textId="77777777" w:rsidTr="00803FC6">
        <w:trPr>
          <w:jc w:val="center"/>
        </w:trPr>
        <w:tc>
          <w:tcPr>
            <w:tcW w:w="1063" w:type="dxa"/>
            <w:tcBorders>
              <w:top w:val="nil"/>
              <w:left w:val="single" w:sz="4" w:space="0" w:color="auto"/>
              <w:bottom w:val="nil"/>
              <w:right w:val="single" w:sz="4" w:space="0" w:color="auto"/>
            </w:tcBorders>
            <w:vAlign w:val="center"/>
          </w:tcPr>
          <w:p w14:paraId="7A0A33C6" w14:textId="77777777" w:rsidR="00803FC6" w:rsidRPr="00803FC6" w:rsidRDefault="00803FC6" w:rsidP="00803FC6">
            <w:pPr>
              <w:jc w:val="center"/>
              <w:rPr>
                <w:rFonts w:eastAsia="Calibri"/>
                <w:sz w:val="18"/>
                <w:szCs w:val="18"/>
                <w:lang w:eastAsia="en-US"/>
              </w:rPr>
            </w:pPr>
            <w:r w:rsidRPr="00803FC6">
              <w:rPr>
                <w:rFonts w:eastAsia="Calibri"/>
                <w:sz w:val="18"/>
                <w:szCs w:val="18"/>
                <w:lang w:eastAsia="en-US"/>
              </w:rPr>
              <w:t>3</w:t>
            </w:r>
          </w:p>
        </w:tc>
        <w:tc>
          <w:tcPr>
            <w:tcW w:w="1842" w:type="dxa"/>
            <w:tcBorders>
              <w:top w:val="nil"/>
              <w:left w:val="single" w:sz="4" w:space="0" w:color="auto"/>
              <w:bottom w:val="nil"/>
              <w:right w:val="single" w:sz="4" w:space="0" w:color="auto"/>
            </w:tcBorders>
            <w:vAlign w:val="center"/>
          </w:tcPr>
          <w:p w14:paraId="74713228" w14:textId="77777777" w:rsidR="00803FC6" w:rsidRPr="00803FC6" w:rsidRDefault="00803FC6" w:rsidP="00803FC6">
            <w:pPr>
              <w:ind w:right="706"/>
              <w:jc w:val="right"/>
              <w:rPr>
                <w:rFonts w:eastAsia="Calibri"/>
                <w:sz w:val="18"/>
                <w:szCs w:val="18"/>
                <w:lang w:eastAsia="en-US"/>
              </w:rPr>
            </w:pPr>
            <w:r w:rsidRPr="00803FC6">
              <w:rPr>
                <w:rFonts w:eastAsia="Calibri"/>
                <w:sz w:val="18"/>
                <w:szCs w:val="18"/>
                <w:lang w:eastAsia="en-US"/>
              </w:rPr>
              <w:t>-2.1</w:t>
            </w:r>
          </w:p>
        </w:tc>
        <w:tc>
          <w:tcPr>
            <w:tcW w:w="1842" w:type="dxa"/>
            <w:tcBorders>
              <w:top w:val="nil"/>
              <w:left w:val="single" w:sz="4" w:space="0" w:color="auto"/>
              <w:bottom w:val="nil"/>
              <w:right w:val="single" w:sz="4" w:space="0" w:color="auto"/>
            </w:tcBorders>
            <w:vAlign w:val="center"/>
          </w:tcPr>
          <w:p w14:paraId="359E12DB" w14:textId="77777777" w:rsidR="00803FC6" w:rsidRPr="00803FC6" w:rsidRDefault="00803FC6" w:rsidP="00803FC6">
            <w:pPr>
              <w:ind w:right="705"/>
              <w:jc w:val="right"/>
              <w:rPr>
                <w:rFonts w:eastAsia="Calibri"/>
                <w:sz w:val="18"/>
                <w:szCs w:val="18"/>
                <w:lang w:eastAsia="en-US"/>
              </w:rPr>
            </w:pPr>
            <w:r w:rsidRPr="00803FC6">
              <w:rPr>
                <w:rFonts w:eastAsia="Calibri"/>
                <w:sz w:val="18"/>
                <w:szCs w:val="18"/>
                <w:lang w:eastAsia="en-US"/>
              </w:rPr>
              <w:t>-3.4</w:t>
            </w:r>
          </w:p>
        </w:tc>
        <w:tc>
          <w:tcPr>
            <w:tcW w:w="1843" w:type="dxa"/>
            <w:tcBorders>
              <w:top w:val="nil"/>
              <w:left w:val="single" w:sz="4" w:space="0" w:color="auto"/>
              <w:bottom w:val="nil"/>
              <w:right w:val="single" w:sz="4" w:space="0" w:color="auto"/>
            </w:tcBorders>
            <w:vAlign w:val="center"/>
          </w:tcPr>
          <w:p w14:paraId="0C462BCF" w14:textId="77777777" w:rsidR="00803FC6" w:rsidRPr="00803FC6" w:rsidRDefault="00803FC6" w:rsidP="00803FC6">
            <w:pPr>
              <w:ind w:right="705"/>
              <w:jc w:val="right"/>
              <w:rPr>
                <w:rFonts w:eastAsia="Calibri"/>
                <w:sz w:val="18"/>
                <w:szCs w:val="18"/>
                <w:lang w:eastAsia="en-US"/>
              </w:rPr>
            </w:pPr>
            <w:r w:rsidRPr="00803FC6">
              <w:rPr>
                <w:rFonts w:eastAsia="Calibri"/>
                <w:sz w:val="18"/>
                <w:szCs w:val="18"/>
                <w:lang w:eastAsia="en-US"/>
              </w:rPr>
              <w:t>-2.1</w:t>
            </w:r>
          </w:p>
        </w:tc>
        <w:tc>
          <w:tcPr>
            <w:tcW w:w="1843" w:type="dxa"/>
            <w:tcBorders>
              <w:top w:val="nil"/>
              <w:left w:val="single" w:sz="4" w:space="0" w:color="auto"/>
              <w:bottom w:val="nil"/>
              <w:right w:val="single" w:sz="4" w:space="0" w:color="auto"/>
            </w:tcBorders>
            <w:vAlign w:val="center"/>
          </w:tcPr>
          <w:p w14:paraId="7B0B6C47" w14:textId="77777777" w:rsidR="00803FC6" w:rsidRPr="00803FC6" w:rsidRDefault="00803FC6" w:rsidP="00803FC6">
            <w:pPr>
              <w:ind w:right="706"/>
              <w:jc w:val="right"/>
              <w:rPr>
                <w:rFonts w:eastAsia="Calibri"/>
                <w:sz w:val="18"/>
                <w:szCs w:val="18"/>
                <w:lang w:eastAsia="en-US"/>
              </w:rPr>
            </w:pPr>
            <w:r w:rsidRPr="00803FC6">
              <w:rPr>
                <w:rFonts w:eastAsia="Calibri"/>
                <w:sz w:val="18"/>
                <w:szCs w:val="18"/>
                <w:lang w:eastAsia="en-US"/>
              </w:rPr>
              <w:t>5.9</w:t>
            </w:r>
          </w:p>
        </w:tc>
      </w:tr>
      <w:tr w:rsidR="00803FC6" w:rsidRPr="00803FC6" w14:paraId="40139148" w14:textId="77777777" w:rsidTr="00803FC6">
        <w:trPr>
          <w:jc w:val="center"/>
        </w:trPr>
        <w:tc>
          <w:tcPr>
            <w:tcW w:w="1063" w:type="dxa"/>
            <w:tcBorders>
              <w:top w:val="nil"/>
              <w:left w:val="single" w:sz="4" w:space="0" w:color="auto"/>
              <w:bottom w:val="single" w:sz="4" w:space="0" w:color="auto"/>
              <w:right w:val="single" w:sz="4" w:space="0" w:color="auto"/>
            </w:tcBorders>
            <w:vAlign w:val="center"/>
          </w:tcPr>
          <w:p w14:paraId="122DDCB7" w14:textId="77777777" w:rsidR="00803FC6" w:rsidRPr="00803FC6" w:rsidRDefault="00803FC6" w:rsidP="00803FC6">
            <w:pPr>
              <w:jc w:val="center"/>
              <w:rPr>
                <w:rFonts w:eastAsia="Calibri"/>
                <w:sz w:val="18"/>
                <w:szCs w:val="18"/>
                <w:lang w:eastAsia="en-US"/>
              </w:rPr>
            </w:pPr>
            <w:r w:rsidRPr="00803FC6">
              <w:rPr>
                <w:rFonts w:eastAsia="Calibri"/>
                <w:sz w:val="18"/>
                <w:szCs w:val="18"/>
                <w:lang w:eastAsia="en-US"/>
              </w:rPr>
              <w:t>4</w:t>
            </w:r>
          </w:p>
        </w:tc>
        <w:tc>
          <w:tcPr>
            <w:tcW w:w="1842" w:type="dxa"/>
            <w:tcBorders>
              <w:top w:val="nil"/>
              <w:left w:val="single" w:sz="4" w:space="0" w:color="auto"/>
              <w:bottom w:val="single" w:sz="4" w:space="0" w:color="auto"/>
              <w:right w:val="single" w:sz="4" w:space="0" w:color="auto"/>
            </w:tcBorders>
            <w:vAlign w:val="center"/>
          </w:tcPr>
          <w:p w14:paraId="0479219E" w14:textId="77777777" w:rsidR="00803FC6" w:rsidRPr="00803FC6" w:rsidRDefault="00803FC6" w:rsidP="00803FC6">
            <w:pPr>
              <w:ind w:right="706"/>
              <w:jc w:val="right"/>
              <w:rPr>
                <w:rFonts w:eastAsia="Calibri"/>
                <w:sz w:val="18"/>
                <w:szCs w:val="18"/>
                <w:lang w:eastAsia="en-US"/>
              </w:rPr>
            </w:pPr>
            <w:r w:rsidRPr="00803FC6">
              <w:rPr>
                <w:rFonts w:eastAsia="Calibri"/>
                <w:sz w:val="18"/>
                <w:szCs w:val="18"/>
                <w:lang w:eastAsia="en-US"/>
              </w:rPr>
              <w:t>1.1</w:t>
            </w:r>
          </w:p>
        </w:tc>
        <w:tc>
          <w:tcPr>
            <w:tcW w:w="1842" w:type="dxa"/>
            <w:tcBorders>
              <w:top w:val="nil"/>
              <w:left w:val="single" w:sz="4" w:space="0" w:color="auto"/>
              <w:bottom w:val="single" w:sz="4" w:space="0" w:color="auto"/>
              <w:right w:val="single" w:sz="4" w:space="0" w:color="auto"/>
            </w:tcBorders>
            <w:vAlign w:val="center"/>
          </w:tcPr>
          <w:p w14:paraId="360B50AB" w14:textId="77777777" w:rsidR="00803FC6" w:rsidRPr="00803FC6" w:rsidRDefault="00803FC6" w:rsidP="00803FC6">
            <w:pPr>
              <w:ind w:right="705"/>
              <w:jc w:val="right"/>
              <w:rPr>
                <w:rFonts w:eastAsia="Calibri"/>
                <w:sz w:val="18"/>
                <w:szCs w:val="18"/>
                <w:lang w:eastAsia="en-US"/>
              </w:rPr>
            </w:pPr>
            <w:r w:rsidRPr="00803FC6">
              <w:rPr>
                <w:rFonts w:eastAsia="Calibri"/>
                <w:sz w:val="18"/>
                <w:szCs w:val="18"/>
                <w:lang w:eastAsia="en-US"/>
              </w:rPr>
              <w:t>1.1</w:t>
            </w:r>
          </w:p>
        </w:tc>
        <w:tc>
          <w:tcPr>
            <w:tcW w:w="1843" w:type="dxa"/>
            <w:tcBorders>
              <w:top w:val="nil"/>
              <w:left w:val="single" w:sz="4" w:space="0" w:color="auto"/>
              <w:bottom w:val="single" w:sz="4" w:space="0" w:color="auto"/>
              <w:right w:val="single" w:sz="4" w:space="0" w:color="auto"/>
            </w:tcBorders>
            <w:vAlign w:val="center"/>
          </w:tcPr>
          <w:p w14:paraId="6B228AD7" w14:textId="77777777" w:rsidR="00803FC6" w:rsidRPr="00803FC6" w:rsidRDefault="00803FC6" w:rsidP="00803FC6">
            <w:pPr>
              <w:ind w:right="705"/>
              <w:jc w:val="right"/>
              <w:rPr>
                <w:rFonts w:eastAsia="Calibri"/>
                <w:sz w:val="18"/>
                <w:szCs w:val="18"/>
                <w:lang w:eastAsia="en-US"/>
              </w:rPr>
            </w:pPr>
            <w:r w:rsidRPr="00803FC6">
              <w:rPr>
                <w:rFonts w:eastAsia="Calibri"/>
                <w:sz w:val="18"/>
                <w:szCs w:val="18"/>
                <w:lang w:eastAsia="en-US"/>
              </w:rPr>
              <w:t>0.1</w:t>
            </w:r>
          </w:p>
        </w:tc>
        <w:tc>
          <w:tcPr>
            <w:tcW w:w="1843" w:type="dxa"/>
            <w:tcBorders>
              <w:top w:val="nil"/>
              <w:left w:val="single" w:sz="4" w:space="0" w:color="auto"/>
              <w:bottom w:val="single" w:sz="4" w:space="0" w:color="auto"/>
              <w:right w:val="single" w:sz="4" w:space="0" w:color="auto"/>
            </w:tcBorders>
            <w:vAlign w:val="center"/>
          </w:tcPr>
          <w:p w14:paraId="27353A8A" w14:textId="77777777" w:rsidR="00803FC6" w:rsidRPr="00803FC6" w:rsidRDefault="00803FC6" w:rsidP="00803FC6">
            <w:pPr>
              <w:ind w:right="706"/>
              <w:jc w:val="right"/>
              <w:rPr>
                <w:rFonts w:eastAsia="Calibri"/>
                <w:sz w:val="18"/>
                <w:szCs w:val="18"/>
                <w:lang w:eastAsia="en-US"/>
              </w:rPr>
            </w:pPr>
            <w:r w:rsidRPr="00803FC6">
              <w:rPr>
                <w:rFonts w:eastAsia="Calibri"/>
                <w:sz w:val="18"/>
                <w:szCs w:val="18"/>
                <w:lang w:eastAsia="en-US"/>
              </w:rPr>
              <w:t>6.9</w:t>
            </w:r>
          </w:p>
        </w:tc>
      </w:tr>
      <w:tr w:rsidR="00803FC6" w:rsidRPr="00803FC6" w14:paraId="63C44B0F" w14:textId="77777777" w:rsidTr="00803FC6">
        <w:trPr>
          <w:jc w:val="center"/>
        </w:trPr>
        <w:tc>
          <w:tcPr>
            <w:tcW w:w="8433" w:type="dxa"/>
            <w:gridSpan w:val="5"/>
            <w:tcBorders>
              <w:top w:val="single" w:sz="4" w:space="0" w:color="auto"/>
              <w:left w:val="nil"/>
              <w:bottom w:val="nil"/>
              <w:right w:val="nil"/>
            </w:tcBorders>
            <w:vAlign w:val="center"/>
          </w:tcPr>
          <w:p w14:paraId="49B94621" w14:textId="77777777" w:rsidR="00803FC6" w:rsidRPr="00803FC6" w:rsidRDefault="00803FC6" w:rsidP="00803FC6">
            <w:pPr>
              <w:jc w:val="both"/>
              <w:rPr>
                <w:rFonts w:eastAsia="Calibri"/>
                <w:sz w:val="20"/>
                <w:szCs w:val="20"/>
                <w:lang w:eastAsia="en-US"/>
              </w:rPr>
            </w:pPr>
            <w:r w:rsidRPr="00803FC6">
              <w:rPr>
                <w:rFonts w:eastAsia="Calibri"/>
                <w:sz w:val="20"/>
                <w:szCs w:val="20"/>
                <w:lang w:eastAsia="en-US"/>
              </w:rPr>
              <w:t>FUENTE: BBVA Research.</w:t>
            </w:r>
          </w:p>
        </w:tc>
      </w:tr>
    </w:tbl>
    <w:p w14:paraId="7C806DF0" w14:textId="77777777" w:rsidR="00803FC6" w:rsidRPr="00803FC6" w:rsidRDefault="00803FC6" w:rsidP="00803FC6">
      <w:pPr>
        <w:spacing w:after="360" w:line="360" w:lineRule="auto"/>
        <w:ind w:right="-159"/>
        <w:jc w:val="both"/>
        <w:rPr>
          <w:rFonts w:eastAsia="Calibri"/>
          <w:sz w:val="26"/>
          <w:szCs w:val="26"/>
          <w:lang w:val="es-ES" w:eastAsia="en-US"/>
        </w:rPr>
      </w:pPr>
    </w:p>
    <w:p w14:paraId="66069B2D" w14:textId="20A8A0A6" w:rsidR="00803FC6" w:rsidRPr="00803FC6" w:rsidRDefault="00803FC6" w:rsidP="00803FC6">
      <w:pPr>
        <w:spacing w:after="360" w:line="360" w:lineRule="auto"/>
        <w:ind w:right="-159"/>
        <w:jc w:val="both"/>
        <w:rPr>
          <w:rFonts w:eastAsia="Calibri"/>
          <w:sz w:val="26"/>
          <w:szCs w:val="26"/>
          <w:lang w:val="es-ES" w:eastAsia="en-US"/>
        </w:rPr>
      </w:pPr>
      <w:r w:rsidRPr="00803FC6">
        <w:rPr>
          <w:rFonts w:eastAsia="Calibri"/>
          <w:sz w:val="26"/>
          <w:szCs w:val="26"/>
          <w:lang w:val="es-ES" w:eastAsia="en-US"/>
        </w:rPr>
        <w:t xml:space="preserve">Destaca la importante heterogeneidad en la región, donde algunos países como Brasil y México gozan de una importante integración de carteras; Brasil además depende </w:t>
      </w:r>
      <w:r w:rsidRPr="00803FC6">
        <w:rPr>
          <w:rFonts w:eastAsia="Calibri"/>
          <w:sz w:val="26"/>
          <w:szCs w:val="26"/>
          <w:lang w:val="es-ES" w:eastAsia="en-US"/>
        </w:rPr>
        <w:lastRenderedPageBreak/>
        <w:t xml:space="preserve">altamente de fondos indizados lo que añade volatilidad e importante prociclicidad. Con todo, la salida acumulada de flujos en </w:t>
      </w:r>
      <w:r w:rsidR="00DF60F6">
        <w:rPr>
          <w:rFonts w:eastAsia="Calibri"/>
          <w:sz w:val="26"/>
          <w:szCs w:val="26"/>
          <w:lang w:val="es-ES" w:eastAsia="en-US"/>
        </w:rPr>
        <w:t xml:space="preserve">Latinoamérica </w:t>
      </w:r>
      <w:r w:rsidRPr="00803FC6">
        <w:rPr>
          <w:rFonts w:eastAsia="Calibri"/>
          <w:sz w:val="26"/>
          <w:szCs w:val="26"/>
          <w:lang w:val="es-ES" w:eastAsia="en-US"/>
        </w:rPr>
        <w:t>podría estar entre 3.0 y 37% negativos del PIB, si bien en el escenario en el que la Reserva Federal retrasara el alza de tipos de interés seguiría produciéndose una entrada de flujos acumulada equivalente al 1.1% del PIB a lo largo de los siguientes dos años. La salida de flujos se traduciría en depreciaciones en las monedas de la región que a su vez presionará la conducción de la política cambiaria. Los países con mayor integración con el mercado norteamericano y con frágil estructura de financiamiento serán los más afectados.</w:t>
      </w:r>
    </w:p>
    <w:tbl>
      <w:tblPr>
        <w:tblW w:w="9322" w:type="dxa"/>
        <w:tblLook w:val="04A0" w:firstRow="1" w:lastRow="0" w:firstColumn="1" w:lastColumn="0" w:noHBand="0" w:noVBand="1"/>
      </w:tblPr>
      <w:tblGrid>
        <w:gridCol w:w="10146"/>
      </w:tblGrid>
      <w:tr w:rsidR="00803FC6" w:rsidRPr="00803FC6" w14:paraId="70BBB4A4" w14:textId="77777777" w:rsidTr="00CB7B3D">
        <w:tc>
          <w:tcPr>
            <w:tcW w:w="9322" w:type="dxa"/>
          </w:tcPr>
          <w:p w14:paraId="267C0B74" w14:textId="77777777" w:rsidR="00803FC6" w:rsidRPr="00803FC6" w:rsidRDefault="00803FC6" w:rsidP="00803FC6">
            <w:pPr>
              <w:jc w:val="center"/>
              <w:rPr>
                <w:rFonts w:eastAsia="Calibri"/>
                <w:b/>
                <w:sz w:val="22"/>
                <w:szCs w:val="26"/>
                <w:lang w:eastAsia="en-US"/>
              </w:rPr>
            </w:pPr>
            <w:r w:rsidRPr="00803FC6">
              <w:rPr>
                <w:rFonts w:eastAsia="Calibri"/>
                <w:b/>
                <w:sz w:val="22"/>
                <w:szCs w:val="26"/>
                <w:lang w:eastAsia="en-US"/>
              </w:rPr>
              <w:t>ESCENARIOS DE FLUJOS DE CAPITAL A LATINOAMÉRICA</w:t>
            </w:r>
          </w:p>
          <w:p w14:paraId="7FD02F83" w14:textId="77777777" w:rsidR="00803FC6" w:rsidRPr="00803FC6" w:rsidRDefault="00803FC6" w:rsidP="00803FC6">
            <w:pPr>
              <w:jc w:val="center"/>
              <w:rPr>
                <w:rFonts w:eastAsia="Calibri"/>
                <w:b/>
                <w:sz w:val="22"/>
                <w:szCs w:val="26"/>
                <w:lang w:eastAsia="en-US"/>
              </w:rPr>
            </w:pPr>
            <w:r w:rsidRPr="00803FC6">
              <w:rPr>
                <w:rFonts w:eastAsia="Calibri"/>
                <w:b/>
                <w:sz w:val="22"/>
                <w:szCs w:val="26"/>
                <w:lang w:eastAsia="en-US"/>
              </w:rPr>
              <w:t xml:space="preserve"> -Flujos acumulados a Latinoamérica desde 2005, miles de millones dólares-</w:t>
            </w:r>
          </w:p>
        </w:tc>
      </w:tr>
      <w:tr w:rsidR="00803FC6" w:rsidRPr="00803FC6" w14:paraId="6B9A6B6C" w14:textId="77777777" w:rsidTr="00CB7B3D">
        <w:tc>
          <w:tcPr>
            <w:tcW w:w="9322" w:type="dxa"/>
          </w:tcPr>
          <w:p w14:paraId="6C0DE1C0" w14:textId="77777777" w:rsidR="00803FC6" w:rsidRPr="00803FC6" w:rsidRDefault="00803FC6" w:rsidP="00803FC6">
            <w:pPr>
              <w:jc w:val="center"/>
              <w:rPr>
                <w:rFonts w:eastAsia="Calibri"/>
                <w:sz w:val="22"/>
                <w:szCs w:val="26"/>
                <w:lang w:eastAsia="en-US"/>
              </w:rPr>
            </w:pPr>
            <w:r w:rsidRPr="00803FC6">
              <w:rPr>
                <w:rFonts w:eastAsia="Calibri"/>
                <w:noProof/>
                <w:sz w:val="22"/>
                <w:szCs w:val="26"/>
                <w:lang w:eastAsia="es-MX"/>
              </w:rPr>
              <w:drawing>
                <wp:inline distT="0" distB="0" distL="0" distR="0" wp14:anchorId="05514439" wp14:editId="19B2E081">
                  <wp:extent cx="6304156" cy="2160000"/>
                  <wp:effectExtent l="0" t="0" r="1905" b="0"/>
                  <wp:docPr id="1655" name="Imagen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31" cstate="print">
                            <a:extLst>
                              <a:ext uri="{28A0092B-C50C-407E-A947-70E740481C1C}">
                                <a14:useLocalDpi xmlns:a14="http://schemas.microsoft.com/office/drawing/2010/main" val="0"/>
                              </a:ext>
                            </a:extLst>
                          </a:blip>
                          <a:srcRect t="5844" r="1997" b="2256"/>
                          <a:stretch/>
                        </pic:blipFill>
                        <pic:spPr bwMode="auto">
                          <a:xfrm>
                            <a:off x="0" y="0"/>
                            <a:ext cx="6304156" cy="21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03FC6" w:rsidRPr="00803FC6" w14:paraId="1A8480BB" w14:textId="77777777" w:rsidTr="00CB7B3D">
        <w:tc>
          <w:tcPr>
            <w:tcW w:w="9322" w:type="dxa"/>
          </w:tcPr>
          <w:p w14:paraId="1E180500" w14:textId="77777777" w:rsidR="00803FC6" w:rsidRPr="00803FC6" w:rsidRDefault="00803FC6" w:rsidP="00803FC6">
            <w:pPr>
              <w:ind w:firstLine="993"/>
              <w:jc w:val="both"/>
              <w:rPr>
                <w:rFonts w:eastAsia="Calibri"/>
                <w:sz w:val="20"/>
                <w:szCs w:val="26"/>
                <w:lang w:eastAsia="en-US"/>
              </w:rPr>
            </w:pPr>
            <w:r w:rsidRPr="00803FC6">
              <w:rPr>
                <w:rFonts w:eastAsia="Calibri"/>
                <w:sz w:val="20"/>
                <w:szCs w:val="26"/>
                <w:lang w:eastAsia="en-US"/>
              </w:rPr>
              <w:t>FUENTE: BBVA Research.</w:t>
            </w:r>
          </w:p>
        </w:tc>
      </w:tr>
    </w:tbl>
    <w:p w14:paraId="684B5475" w14:textId="77777777" w:rsidR="00803FC6" w:rsidRPr="00803FC6" w:rsidRDefault="00803FC6" w:rsidP="00803FC6">
      <w:pPr>
        <w:spacing w:after="360" w:line="360" w:lineRule="auto"/>
        <w:ind w:right="-159"/>
        <w:jc w:val="both"/>
        <w:rPr>
          <w:rFonts w:eastAsia="Calibri"/>
          <w:sz w:val="26"/>
          <w:szCs w:val="26"/>
          <w:lang w:val="es-ES" w:eastAsia="en-US"/>
        </w:rPr>
      </w:pPr>
    </w:p>
    <w:p w14:paraId="2CF3F422" w14:textId="77777777" w:rsidR="00803FC6" w:rsidRPr="00803FC6" w:rsidRDefault="00803FC6" w:rsidP="00803FC6">
      <w:pPr>
        <w:spacing w:after="360" w:line="360" w:lineRule="auto"/>
        <w:ind w:right="-159"/>
        <w:jc w:val="both"/>
        <w:rPr>
          <w:rFonts w:eastAsia="Calibri"/>
          <w:b/>
          <w:sz w:val="26"/>
          <w:szCs w:val="26"/>
          <w:lang w:val="es-ES" w:eastAsia="en-US"/>
        </w:rPr>
      </w:pPr>
      <w:r w:rsidRPr="00803FC6">
        <w:rPr>
          <w:rFonts w:eastAsia="Calibri"/>
          <w:b/>
          <w:sz w:val="26"/>
          <w:szCs w:val="26"/>
          <w:lang w:val="es-ES" w:eastAsia="en-US"/>
        </w:rPr>
        <w:t>Conclusiones</w:t>
      </w:r>
    </w:p>
    <w:p w14:paraId="25E977D9" w14:textId="77777777" w:rsidR="00803FC6" w:rsidRPr="00803FC6" w:rsidRDefault="00803FC6" w:rsidP="00803FC6">
      <w:pPr>
        <w:spacing w:after="360" w:line="360" w:lineRule="auto"/>
        <w:ind w:right="-159"/>
        <w:jc w:val="both"/>
        <w:rPr>
          <w:rFonts w:eastAsia="Calibri"/>
          <w:sz w:val="26"/>
          <w:szCs w:val="26"/>
          <w:lang w:val="es-ES" w:eastAsia="en-US"/>
        </w:rPr>
      </w:pPr>
      <w:r w:rsidRPr="00803FC6">
        <w:rPr>
          <w:rFonts w:eastAsia="Calibri"/>
          <w:sz w:val="26"/>
          <w:szCs w:val="26"/>
          <w:lang w:val="es-ES" w:eastAsia="en-US"/>
        </w:rPr>
        <w:t>La normalización monetaria por parte de la Reserva Federal implicará importantes efectos en América Latina, que experimentaría salidas de flujos de capital por cerca de 3.0% del PIB en los próximos dos años.</w:t>
      </w:r>
    </w:p>
    <w:p w14:paraId="08A77BDA" w14:textId="77777777" w:rsidR="00803FC6" w:rsidRPr="00803FC6" w:rsidRDefault="00803FC6" w:rsidP="00803FC6">
      <w:pPr>
        <w:spacing w:after="360" w:line="360" w:lineRule="auto"/>
        <w:ind w:right="-159"/>
        <w:jc w:val="both"/>
        <w:rPr>
          <w:rFonts w:eastAsia="Calibri"/>
          <w:sz w:val="26"/>
          <w:szCs w:val="26"/>
          <w:lang w:val="es-ES" w:eastAsia="en-US"/>
        </w:rPr>
      </w:pPr>
      <w:r w:rsidRPr="00803FC6">
        <w:rPr>
          <w:rFonts w:eastAsia="Calibri"/>
          <w:sz w:val="26"/>
          <w:szCs w:val="26"/>
          <w:lang w:val="es-ES" w:eastAsia="en-US"/>
        </w:rPr>
        <w:t xml:space="preserve">A pesar de la salida de flujos esperada para la región, cabe recordar que si bien con importante heterogeneidad, la mayor parte de países gozan de fundamentales mucho más sólidos que en el pasado para enfrentar estas salidas. La región acumula reservas </w:t>
      </w:r>
      <w:r w:rsidRPr="00803FC6">
        <w:rPr>
          <w:rFonts w:eastAsia="Calibri"/>
          <w:sz w:val="26"/>
          <w:szCs w:val="26"/>
          <w:lang w:val="es-ES" w:eastAsia="en-US"/>
        </w:rPr>
        <w:lastRenderedPageBreak/>
        <w:t>internacionales que han permitido enfrentar los choques externos adecuadamente, al tiempo que el esquema de objetivos de inflación y la flexibilidad cambiaria ayudará a amortiguar los efectos sobre el crecimiento. Con todo, este ejercicio muestra hasta qué punto la región perderá uno de los vientos de popa que la acompañaron en los últimos años, resaltando la necesidad de relanzar las fuentes internas de crecimiento a través de las reformas estructurales.</w:t>
      </w:r>
    </w:p>
    <w:p w14:paraId="1C4720A1" w14:textId="77777777" w:rsidR="00803FC6" w:rsidRPr="00803FC6" w:rsidRDefault="00803FC6" w:rsidP="00803FC6">
      <w:pPr>
        <w:spacing w:before="360"/>
        <w:ind w:right="-159"/>
        <w:jc w:val="both"/>
        <w:rPr>
          <w:rFonts w:eastAsia="Calibri"/>
          <w:b/>
          <w:sz w:val="20"/>
          <w:szCs w:val="20"/>
          <w:lang w:val="es-ES" w:eastAsia="en-US"/>
        </w:rPr>
      </w:pPr>
      <w:r w:rsidRPr="00803FC6">
        <w:rPr>
          <w:rFonts w:eastAsia="Calibri"/>
          <w:b/>
          <w:sz w:val="20"/>
          <w:szCs w:val="20"/>
          <w:lang w:val="es-ES" w:eastAsia="en-US"/>
        </w:rPr>
        <w:t>Fuente de información:</w:t>
      </w:r>
    </w:p>
    <w:p w14:paraId="6FBB906F" w14:textId="77777777" w:rsidR="00803FC6" w:rsidRPr="00DF60F6" w:rsidRDefault="0093224F" w:rsidP="00DF60F6">
      <w:pPr>
        <w:spacing w:after="720"/>
        <w:ind w:right="-159"/>
        <w:jc w:val="both"/>
        <w:rPr>
          <w:rFonts w:eastAsia="Calibri"/>
          <w:color w:val="0000FF"/>
          <w:sz w:val="20"/>
          <w:szCs w:val="20"/>
          <w:lang w:eastAsia="en-US"/>
        </w:rPr>
      </w:pPr>
      <w:hyperlink r:id="rId432" w:history="1">
        <w:r w:rsidR="00803FC6" w:rsidRPr="00DF60F6">
          <w:rPr>
            <w:rFonts w:eastAsia="Calibri"/>
            <w:color w:val="0000FF"/>
            <w:sz w:val="20"/>
            <w:szCs w:val="20"/>
            <w:u w:val="single"/>
            <w:lang w:eastAsia="en-US"/>
          </w:rPr>
          <w:t>https://www.bbvaresearch.com/wp-content/uploads/2015/03/subida_interes_flujos_capitales_Fed_america_latina1.pdf</w:t>
        </w:r>
      </w:hyperlink>
    </w:p>
    <w:p w14:paraId="47D40D72" w14:textId="0DDDA7E6" w:rsidR="00803FC6" w:rsidRPr="00803FC6" w:rsidRDefault="00803FC6" w:rsidP="00F0285F">
      <w:pPr>
        <w:spacing w:after="360" w:line="360" w:lineRule="auto"/>
        <w:ind w:right="-159"/>
        <w:jc w:val="both"/>
        <w:rPr>
          <w:b/>
          <w:sz w:val="26"/>
          <w:szCs w:val="26"/>
        </w:rPr>
      </w:pPr>
      <w:r w:rsidRPr="00803FC6">
        <w:rPr>
          <w:b/>
          <w:sz w:val="26"/>
          <w:szCs w:val="26"/>
        </w:rPr>
        <w:t>Mercado bursátil</w:t>
      </w:r>
    </w:p>
    <w:p w14:paraId="50652382" w14:textId="4663CA73" w:rsidR="00B9039C" w:rsidRPr="000E3A45" w:rsidRDefault="001360C4" w:rsidP="00F0285F">
      <w:pPr>
        <w:spacing w:after="360" w:line="360" w:lineRule="auto"/>
        <w:ind w:right="-159"/>
        <w:jc w:val="both"/>
        <w:rPr>
          <w:b/>
          <w:sz w:val="26"/>
          <w:szCs w:val="26"/>
        </w:rPr>
      </w:pPr>
      <w:r w:rsidRPr="000E3A45">
        <w:rPr>
          <w:b/>
          <w:sz w:val="26"/>
          <w:szCs w:val="26"/>
        </w:rPr>
        <w:t>Evolución de la Bolsa Mexicana de Valores (BMV)</w:t>
      </w:r>
    </w:p>
    <w:p w14:paraId="53100027" w14:textId="29F412A9" w:rsidR="0019257D" w:rsidRDefault="002C377C" w:rsidP="00F0285F">
      <w:pPr>
        <w:spacing w:after="360" w:line="360" w:lineRule="auto"/>
        <w:ind w:right="-159"/>
        <w:jc w:val="both"/>
        <w:rPr>
          <w:sz w:val="26"/>
          <w:szCs w:val="26"/>
        </w:rPr>
      </w:pPr>
      <w:r>
        <w:rPr>
          <w:sz w:val="26"/>
          <w:szCs w:val="26"/>
        </w:rPr>
        <w:t>Al cierre de la jornada de</w:t>
      </w:r>
      <w:r w:rsidR="007B4FC9">
        <w:rPr>
          <w:sz w:val="26"/>
          <w:szCs w:val="26"/>
        </w:rPr>
        <w:t>l</w:t>
      </w:r>
      <w:r w:rsidR="00C86A64" w:rsidRPr="000E3A45">
        <w:rPr>
          <w:sz w:val="26"/>
          <w:szCs w:val="26"/>
        </w:rPr>
        <w:t xml:space="preserve"> </w:t>
      </w:r>
      <w:r w:rsidR="00EA7FDB" w:rsidRPr="000E3A45">
        <w:rPr>
          <w:sz w:val="26"/>
          <w:szCs w:val="26"/>
        </w:rPr>
        <w:t>1</w:t>
      </w:r>
      <w:r>
        <w:rPr>
          <w:sz w:val="26"/>
          <w:szCs w:val="26"/>
        </w:rPr>
        <w:t>7</w:t>
      </w:r>
      <w:r w:rsidR="00C86A64" w:rsidRPr="000E3A45">
        <w:rPr>
          <w:sz w:val="26"/>
          <w:szCs w:val="26"/>
        </w:rPr>
        <w:t xml:space="preserve"> de </w:t>
      </w:r>
      <w:r>
        <w:rPr>
          <w:sz w:val="26"/>
          <w:szCs w:val="26"/>
        </w:rPr>
        <w:t>marzo</w:t>
      </w:r>
      <w:r w:rsidR="00331E16" w:rsidRPr="000E3A45">
        <w:rPr>
          <w:sz w:val="26"/>
          <w:szCs w:val="26"/>
        </w:rPr>
        <w:t xml:space="preserve"> </w:t>
      </w:r>
      <w:r w:rsidR="00C86A64" w:rsidRPr="000E3A45">
        <w:rPr>
          <w:sz w:val="26"/>
          <w:szCs w:val="26"/>
        </w:rPr>
        <w:t xml:space="preserve">de </w:t>
      </w:r>
      <w:r w:rsidR="00CD2BE2" w:rsidRPr="000E3A45">
        <w:rPr>
          <w:sz w:val="26"/>
          <w:szCs w:val="26"/>
        </w:rPr>
        <w:t>201</w:t>
      </w:r>
      <w:r w:rsidR="007B4FC9">
        <w:rPr>
          <w:sz w:val="26"/>
          <w:szCs w:val="26"/>
        </w:rPr>
        <w:t>5</w:t>
      </w:r>
      <w:r w:rsidR="00890372" w:rsidRPr="000E3A45">
        <w:rPr>
          <w:sz w:val="26"/>
          <w:szCs w:val="26"/>
        </w:rPr>
        <w:t xml:space="preserve">, el Índice de Precios y Cotizaciones (IPyC) de la Bolsa Mexicana de Valores (BMV) de ubicó en </w:t>
      </w:r>
      <w:r w:rsidR="00A90DAD" w:rsidRPr="000E3A45">
        <w:rPr>
          <w:sz w:val="26"/>
          <w:szCs w:val="26"/>
        </w:rPr>
        <w:t>4</w:t>
      </w:r>
      <w:r>
        <w:rPr>
          <w:sz w:val="26"/>
          <w:szCs w:val="26"/>
        </w:rPr>
        <w:t>3</w:t>
      </w:r>
      <w:r w:rsidR="00890372" w:rsidRPr="000E3A45">
        <w:rPr>
          <w:sz w:val="26"/>
          <w:szCs w:val="26"/>
        </w:rPr>
        <w:t xml:space="preserve"> mil </w:t>
      </w:r>
      <w:r>
        <w:rPr>
          <w:sz w:val="26"/>
          <w:szCs w:val="26"/>
        </w:rPr>
        <w:t>761</w:t>
      </w:r>
      <w:r w:rsidR="000472DC">
        <w:rPr>
          <w:sz w:val="26"/>
          <w:szCs w:val="26"/>
        </w:rPr>
        <w:t>.</w:t>
      </w:r>
      <w:r>
        <w:rPr>
          <w:sz w:val="26"/>
          <w:szCs w:val="26"/>
        </w:rPr>
        <w:t>3</w:t>
      </w:r>
      <w:r w:rsidR="000472DC">
        <w:rPr>
          <w:sz w:val="26"/>
          <w:szCs w:val="26"/>
        </w:rPr>
        <w:t>6</w:t>
      </w:r>
      <w:r w:rsidR="00890372" w:rsidRPr="000E3A45">
        <w:rPr>
          <w:sz w:val="26"/>
          <w:szCs w:val="26"/>
        </w:rPr>
        <w:t xml:space="preserve"> unidades lo que significó una </w:t>
      </w:r>
      <w:r>
        <w:rPr>
          <w:sz w:val="26"/>
          <w:szCs w:val="26"/>
        </w:rPr>
        <w:t>ganancia</w:t>
      </w:r>
      <w:r w:rsidR="00890372" w:rsidRPr="000E3A45">
        <w:rPr>
          <w:sz w:val="26"/>
          <w:szCs w:val="26"/>
        </w:rPr>
        <w:t xml:space="preserve"> </w:t>
      </w:r>
      <w:r w:rsidR="000A5B57" w:rsidRPr="000E3A45">
        <w:rPr>
          <w:sz w:val="26"/>
          <w:szCs w:val="26"/>
        </w:rPr>
        <w:t xml:space="preserve">nominal </w:t>
      </w:r>
      <w:r w:rsidR="00890372" w:rsidRPr="000E3A45">
        <w:rPr>
          <w:sz w:val="26"/>
          <w:szCs w:val="26"/>
        </w:rPr>
        <w:t xml:space="preserve">acumulada en el año de </w:t>
      </w:r>
      <w:r>
        <w:rPr>
          <w:sz w:val="26"/>
          <w:szCs w:val="26"/>
        </w:rPr>
        <w:t>1</w:t>
      </w:r>
      <w:r w:rsidR="000472DC">
        <w:rPr>
          <w:sz w:val="26"/>
          <w:szCs w:val="26"/>
        </w:rPr>
        <w:t>.43</w:t>
      </w:r>
      <w:r w:rsidR="007B4FC9">
        <w:rPr>
          <w:sz w:val="26"/>
          <w:szCs w:val="26"/>
        </w:rPr>
        <w:t xml:space="preserve"> por ciento.</w:t>
      </w:r>
    </w:p>
    <w:p w14:paraId="27E2AE6A" w14:textId="0C8BDDB4" w:rsidR="007B498C" w:rsidRDefault="00770ED0" w:rsidP="007B498C">
      <w:pPr>
        <w:spacing w:after="360" w:line="360" w:lineRule="auto"/>
        <w:ind w:right="-159"/>
        <w:jc w:val="center"/>
        <w:rPr>
          <w:sz w:val="26"/>
          <w:szCs w:val="26"/>
        </w:rPr>
      </w:pPr>
      <w:r w:rsidRPr="00770ED0">
        <w:rPr>
          <w:rFonts w:ascii="Calibri" w:eastAsia="Calibri" w:hAnsi="Calibri"/>
          <w:sz w:val="22"/>
          <w:szCs w:val="22"/>
          <w:lang w:eastAsia="en-US"/>
        </w:rPr>
        <w:fldChar w:fldCharType="begin"/>
      </w:r>
      <w:r w:rsidRPr="00770ED0">
        <w:rPr>
          <w:rFonts w:ascii="Calibri" w:eastAsia="Calibri" w:hAnsi="Calibri"/>
          <w:sz w:val="22"/>
          <w:szCs w:val="22"/>
          <w:lang w:eastAsia="en-US"/>
        </w:rPr>
        <w:instrText xml:space="preserve"> LINK PowerPoint.Slide.8 "D:\\2015\\MARZO 2014\\GRÁFICAS EN POWER POINT\\26.-GRÁFICAS DE BOLSAS.pptx!291" "" \a \p </w:instrText>
      </w:r>
      <w:r w:rsidRPr="00770ED0">
        <w:rPr>
          <w:rFonts w:ascii="Calibri" w:eastAsia="Calibri" w:hAnsi="Calibri"/>
          <w:sz w:val="22"/>
          <w:szCs w:val="22"/>
          <w:lang w:eastAsia="en-US"/>
        </w:rPr>
        <w:fldChar w:fldCharType="separate"/>
      </w:r>
      <w:r w:rsidRPr="00770ED0">
        <w:rPr>
          <w:rFonts w:ascii="Calibri" w:eastAsia="Calibri" w:hAnsi="Calibri"/>
          <w:noProof/>
          <w:sz w:val="22"/>
          <w:szCs w:val="22"/>
          <w:lang w:eastAsia="es-MX"/>
        </w:rPr>
        <w:drawing>
          <wp:inline distT="0" distB="0" distL="0" distR="0" wp14:anchorId="3D7938A9" wp14:editId="0DC9AA03">
            <wp:extent cx="4559935" cy="2780030"/>
            <wp:effectExtent l="0" t="0" r="0" b="1270"/>
            <wp:docPr id="1609" name="Imagen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
                    <pic:cNvPicPr>
                      <a:picLocks noChangeAspect="1" noChangeArrowheads="1"/>
                    </pic:cNvPicPr>
                  </pic:nvPicPr>
                  <pic:blipFill>
                    <a:blip r:embed="rId433" cstate="print">
                      <a:extLst>
                        <a:ext uri="{28A0092B-C50C-407E-A947-70E740481C1C}">
                          <a14:useLocalDpi xmlns:a14="http://schemas.microsoft.com/office/drawing/2010/main" val="0"/>
                        </a:ext>
                      </a:extLst>
                    </a:blip>
                    <a:srcRect b="18889"/>
                    <a:stretch>
                      <a:fillRect/>
                    </a:stretch>
                  </pic:blipFill>
                  <pic:spPr bwMode="auto">
                    <a:xfrm>
                      <a:off x="0" y="0"/>
                      <a:ext cx="4559935" cy="2780030"/>
                    </a:xfrm>
                    <a:prstGeom prst="rect">
                      <a:avLst/>
                    </a:prstGeom>
                    <a:noFill/>
                    <a:ln>
                      <a:noFill/>
                    </a:ln>
                  </pic:spPr>
                </pic:pic>
              </a:graphicData>
            </a:graphic>
          </wp:inline>
        </w:drawing>
      </w:r>
      <w:r w:rsidRPr="00770ED0">
        <w:rPr>
          <w:rFonts w:ascii="Calibri" w:eastAsia="Calibri" w:hAnsi="Calibri"/>
          <w:sz w:val="22"/>
          <w:szCs w:val="22"/>
          <w:lang w:eastAsia="en-US"/>
        </w:rPr>
        <w:fldChar w:fldCharType="end"/>
      </w:r>
    </w:p>
    <w:p w14:paraId="64170490" w14:textId="77777777" w:rsidR="000D697D" w:rsidRDefault="000D697D" w:rsidP="007B498C">
      <w:pPr>
        <w:spacing w:after="360" w:line="360" w:lineRule="auto"/>
        <w:ind w:right="-159"/>
        <w:jc w:val="center"/>
        <w:rPr>
          <w:sz w:val="26"/>
          <w:szCs w:val="2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0"/>
        <w:gridCol w:w="1800"/>
        <w:gridCol w:w="1800"/>
        <w:gridCol w:w="1568"/>
      </w:tblGrid>
      <w:tr w:rsidR="00ED553C" w:rsidRPr="000E3A45" w14:paraId="5486F943" w14:textId="77777777" w:rsidTr="00846735">
        <w:trPr>
          <w:cantSplit/>
          <w:jc w:val="center"/>
        </w:trPr>
        <w:tc>
          <w:tcPr>
            <w:tcW w:w="6968" w:type="dxa"/>
            <w:gridSpan w:val="4"/>
            <w:tcBorders>
              <w:top w:val="nil"/>
              <w:left w:val="nil"/>
              <w:bottom w:val="single" w:sz="4" w:space="0" w:color="auto"/>
              <w:right w:val="nil"/>
            </w:tcBorders>
          </w:tcPr>
          <w:p w14:paraId="191E0E9F" w14:textId="77777777" w:rsidR="00ED553C" w:rsidRPr="000E3A45" w:rsidRDefault="00ED553C" w:rsidP="0069057C">
            <w:pPr>
              <w:widowControl w:val="0"/>
              <w:adjustRightInd w:val="0"/>
              <w:jc w:val="center"/>
              <w:textAlignment w:val="baseline"/>
              <w:rPr>
                <w:b/>
                <w:bCs/>
                <w:sz w:val="22"/>
                <w:lang w:eastAsia="en-US"/>
              </w:rPr>
            </w:pPr>
            <w:r w:rsidRPr="000E3A45">
              <w:rPr>
                <w:b/>
                <w:bCs/>
                <w:sz w:val="22"/>
                <w:lang w:eastAsia="en-US"/>
              </w:rPr>
              <w:lastRenderedPageBreak/>
              <w:t xml:space="preserve">RENDIMIENTO DEL </w:t>
            </w:r>
            <w:r w:rsidR="00023871" w:rsidRPr="000E3A45">
              <w:rPr>
                <w:b/>
                <w:bCs/>
                <w:sz w:val="22"/>
                <w:lang w:eastAsia="en-US"/>
              </w:rPr>
              <w:t>Í</w:t>
            </w:r>
            <w:r w:rsidR="008B6ECA" w:rsidRPr="000E3A45">
              <w:rPr>
                <w:b/>
                <w:bCs/>
                <w:sz w:val="22"/>
                <w:lang w:eastAsia="en-US"/>
              </w:rPr>
              <w:t>NDICE</w:t>
            </w:r>
            <w:r w:rsidRPr="000E3A45">
              <w:rPr>
                <w:b/>
                <w:bCs/>
                <w:sz w:val="22"/>
                <w:lang w:eastAsia="en-US"/>
              </w:rPr>
              <w:t xml:space="preserve"> DE PRECIOS Y COTIZACIONES</w:t>
            </w:r>
          </w:p>
          <w:p w14:paraId="3123AD59" w14:textId="77777777" w:rsidR="00ED553C" w:rsidRPr="000E3A45" w:rsidRDefault="00ED553C" w:rsidP="0069057C">
            <w:pPr>
              <w:widowControl w:val="0"/>
              <w:adjustRightInd w:val="0"/>
              <w:jc w:val="center"/>
              <w:textAlignment w:val="baseline"/>
              <w:rPr>
                <w:b/>
                <w:bCs/>
                <w:sz w:val="22"/>
                <w:lang w:eastAsia="en-US"/>
              </w:rPr>
            </w:pPr>
            <w:r w:rsidRPr="000E3A45">
              <w:rPr>
                <w:b/>
                <w:bCs/>
                <w:sz w:val="22"/>
                <w:lang w:eastAsia="en-US"/>
              </w:rPr>
              <w:t>DE LA BOLSA MEXICANA DE VALORES</w:t>
            </w:r>
          </w:p>
          <w:p w14:paraId="40BE0307" w14:textId="77777777" w:rsidR="00ED553C" w:rsidRPr="000E3A45" w:rsidRDefault="00ED553C" w:rsidP="0069057C">
            <w:pPr>
              <w:widowControl w:val="0"/>
              <w:adjustRightInd w:val="0"/>
              <w:spacing w:after="60"/>
              <w:jc w:val="center"/>
              <w:textAlignment w:val="baseline"/>
              <w:rPr>
                <w:b/>
                <w:bCs/>
                <w:sz w:val="22"/>
              </w:rPr>
            </w:pPr>
            <w:r w:rsidRPr="000E3A45">
              <w:rPr>
                <w:b/>
                <w:bCs/>
                <w:sz w:val="22"/>
              </w:rPr>
              <w:t>- Por ciento -</w:t>
            </w:r>
          </w:p>
        </w:tc>
      </w:tr>
      <w:tr w:rsidR="00ED553C" w:rsidRPr="000E3A45" w14:paraId="4D0C20E0" w14:textId="77777777" w:rsidTr="00846735">
        <w:trPr>
          <w:jc w:val="center"/>
        </w:trPr>
        <w:tc>
          <w:tcPr>
            <w:tcW w:w="1800" w:type="dxa"/>
            <w:tcBorders>
              <w:bottom w:val="single" w:sz="4" w:space="0" w:color="auto"/>
            </w:tcBorders>
          </w:tcPr>
          <w:p w14:paraId="59155163" w14:textId="77777777" w:rsidR="00ED553C" w:rsidRPr="000E3A45" w:rsidRDefault="00ED553C" w:rsidP="00773E01">
            <w:pPr>
              <w:widowControl w:val="0"/>
              <w:adjustRightInd w:val="0"/>
              <w:jc w:val="center"/>
              <w:textAlignment w:val="baseline"/>
              <w:rPr>
                <w:b/>
                <w:sz w:val="20"/>
              </w:rPr>
            </w:pPr>
            <w:r w:rsidRPr="000E3A45">
              <w:rPr>
                <w:b/>
                <w:sz w:val="20"/>
              </w:rPr>
              <w:t>Diciembre de cada año</w:t>
            </w:r>
          </w:p>
        </w:tc>
        <w:tc>
          <w:tcPr>
            <w:tcW w:w="1800" w:type="dxa"/>
            <w:tcBorders>
              <w:bottom w:val="single" w:sz="4" w:space="0" w:color="auto"/>
            </w:tcBorders>
          </w:tcPr>
          <w:p w14:paraId="21E018D6" w14:textId="77777777" w:rsidR="00ED553C" w:rsidRPr="000E3A45" w:rsidRDefault="00ED553C" w:rsidP="00773E01">
            <w:pPr>
              <w:widowControl w:val="0"/>
              <w:adjustRightInd w:val="0"/>
              <w:jc w:val="center"/>
              <w:textAlignment w:val="baseline"/>
              <w:rPr>
                <w:b/>
                <w:sz w:val="20"/>
              </w:rPr>
            </w:pPr>
            <w:r w:rsidRPr="000E3A45">
              <w:rPr>
                <w:b/>
                <w:sz w:val="20"/>
              </w:rPr>
              <w:t>Rendimiento nominal anual</w:t>
            </w:r>
          </w:p>
        </w:tc>
        <w:tc>
          <w:tcPr>
            <w:tcW w:w="1800" w:type="dxa"/>
            <w:tcBorders>
              <w:bottom w:val="single" w:sz="4" w:space="0" w:color="auto"/>
            </w:tcBorders>
            <w:vAlign w:val="center"/>
          </w:tcPr>
          <w:p w14:paraId="2D25835D" w14:textId="77777777" w:rsidR="00ED553C" w:rsidRPr="000E3A45" w:rsidRDefault="00ED553C" w:rsidP="00773E01">
            <w:pPr>
              <w:widowControl w:val="0"/>
              <w:adjustRightInd w:val="0"/>
              <w:jc w:val="center"/>
              <w:textAlignment w:val="baseline"/>
              <w:rPr>
                <w:b/>
                <w:sz w:val="20"/>
              </w:rPr>
            </w:pPr>
            <w:r w:rsidRPr="000E3A45">
              <w:rPr>
                <w:b/>
                <w:sz w:val="20"/>
              </w:rPr>
              <w:t xml:space="preserve">Inflación anual </w:t>
            </w:r>
          </w:p>
        </w:tc>
        <w:tc>
          <w:tcPr>
            <w:tcW w:w="1568" w:type="dxa"/>
            <w:tcBorders>
              <w:bottom w:val="single" w:sz="4" w:space="0" w:color="auto"/>
            </w:tcBorders>
          </w:tcPr>
          <w:p w14:paraId="132D546A" w14:textId="77777777" w:rsidR="00ED553C" w:rsidRPr="000E3A45" w:rsidRDefault="00ED553C" w:rsidP="00773E01">
            <w:pPr>
              <w:widowControl w:val="0"/>
              <w:adjustRightInd w:val="0"/>
              <w:jc w:val="center"/>
              <w:textAlignment w:val="baseline"/>
              <w:rPr>
                <w:b/>
                <w:sz w:val="20"/>
              </w:rPr>
            </w:pPr>
            <w:r w:rsidRPr="000E3A45">
              <w:rPr>
                <w:b/>
                <w:sz w:val="20"/>
              </w:rPr>
              <w:t>Rendimiento real</w:t>
            </w:r>
          </w:p>
        </w:tc>
      </w:tr>
      <w:tr w:rsidR="00ED553C" w:rsidRPr="000E3A45" w14:paraId="3EAD1EB2" w14:textId="77777777" w:rsidTr="00846735">
        <w:trPr>
          <w:jc w:val="center"/>
        </w:trPr>
        <w:tc>
          <w:tcPr>
            <w:tcW w:w="1800" w:type="dxa"/>
            <w:tcBorders>
              <w:top w:val="nil"/>
              <w:bottom w:val="nil"/>
              <w:right w:val="single" w:sz="4" w:space="0" w:color="auto"/>
            </w:tcBorders>
          </w:tcPr>
          <w:p w14:paraId="65561E52" w14:textId="77777777" w:rsidR="00ED553C" w:rsidRPr="000E3A45" w:rsidRDefault="00ED553C" w:rsidP="00773E01">
            <w:pPr>
              <w:widowControl w:val="0"/>
              <w:adjustRightInd w:val="0"/>
              <w:jc w:val="center"/>
              <w:textAlignment w:val="baseline"/>
              <w:rPr>
                <w:bCs/>
                <w:sz w:val="20"/>
              </w:rPr>
            </w:pPr>
            <w:r w:rsidRPr="000E3A45">
              <w:rPr>
                <w:bCs/>
                <w:sz w:val="20"/>
              </w:rPr>
              <w:t>2006</w:t>
            </w:r>
          </w:p>
        </w:tc>
        <w:tc>
          <w:tcPr>
            <w:tcW w:w="1800" w:type="dxa"/>
            <w:tcBorders>
              <w:top w:val="nil"/>
              <w:left w:val="single" w:sz="4" w:space="0" w:color="auto"/>
              <w:bottom w:val="nil"/>
              <w:right w:val="single" w:sz="4" w:space="0" w:color="auto"/>
            </w:tcBorders>
          </w:tcPr>
          <w:p w14:paraId="33D60DAD" w14:textId="77777777" w:rsidR="00ED553C" w:rsidRPr="000E3A45" w:rsidRDefault="00ED553C" w:rsidP="00773E01">
            <w:pPr>
              <w:widowControl w:val="0"/>
              <w:adjustRightInd w:val="0"/>
              <w:ind w:right="510"/>
              <w:jc w:val="right"/>
              <w:textAlignment w:val="baseline"/>
              <w:rPr>
                <w:sz w:val="20"/>
              </w:rPr>
            </w:pPr>
            <w:r w:rsidRPr="000E3A45">
              <w:rPr>
                <w:sz w:val="20"/>
              </w:rPr>
              <w:t>48.56</w:t>
            </w:r>
          </w:p>
        </w:tc>
        <w:tc>
          <w:tcPr>
            <w:tcW w:w="1800" w:type="dxa"/>
            <w:tcBorders>
              <w:top w:val="nil"/>
              <w:left w:val="single" w:sz="4" w:space="0" w:color="auto"/>
              <w:bottom w:val="nil"/>
              <w:right w:val="single" w:sz="4" w:space="0" w:color="auto"/>
            </w:tcBorders>
          </w:tcPr>
          <w:p w14:paraId="35D7702D" w14:textId="77777777" w:rsidR="00ED553C" w:rsidRPr="000E3A45" w:rsidRDefault="00ED553C" w:rsidP="00773E01">
            <w:pPr>
              <w:widowControl w:val="0"/>
              <w:adjustRightInd w:val="0"/>
              <w:ind w:right="510"/>
              <w:jc w:val="right"/>
              <w:textAlignment w:val="baseline"/>
              <w:rPr>
                <w:sz w:val="20"/>
              </w:rPr>
            </w:pPr>
            <w:r w:rsidRPr="000E3A45">
              <w:rPr>
                <w:sz w:val="20"/>
              </w:rPr>
              <w:t>4.05</w:t>
            </w:r>
          </w:p>
        </w:tc>
        <w:tc>
          <w:tcPr>
            <w:tcW w:w="1568" w:type="dxa"/>
            <w:tcBorders>
              <w:top w:val="nil"/>
              <w:left w:val="single" w:sz="4" w:space="0" w:color="auto"/>
              <w:bottom w:val="nil"/>
            </w:tcBorders>
          </w:tcPr>
          <w:p w14:paraId="24F74F62" w14:textId="77777777" w:rsidR="00ED553C" w:rsidRPr="000E3A45" w:rsidRDefault="00ED553C" w:rsidP="00773E01">
            <w:pPr>
              <w:widowControl w:val="0"/>
              <w:adjustRightInd w:val="0"/>
              <w:ind w:right="510"/>
              <w:jc w:val="right"/>
              <w:textAlignment w:val="baseline"/>
              <w:rPr>
                <w:sz w:val="20"/>
                <w:szCs w:val="20"/>
              </w:rPr>
            </w:pPr>
            <w:r w:rsidRPr="000E3A45">
              <w:rPr>
                <w:sz w:val="20"/>
                <w:szCs w:val="20"/>
              </w:rPr>
              <w:t>42.78</w:t>
            </w:r>
          </w:p>
        </w:tc>
      </w:tr>
      <w:tr w:rsidR="0082781C" w:rsidRPr="000E3A45" w14:paraId="1B5823C3" w14:textId="77777777" w:rsidTr="00846735">
        <w:trPr>
          <w:jc w:val="center"/>
        </w:trPr>
        <w:tc>
          <w:tcPr>
            <w:tcW w:w="1800" w:type="dxa"/>
            <w:tcBorders>
              <w:top w:val="nil"/>
              <w:bottom w:val="nil"/>
              <w:right w:val="single" w:sz="4" w:space="0" w:color="auto"/>
            </w:tcBorders>
          </w:tcPr>
          <w:p w14:paraId="127F6011" w14:textId="77777777" w:rsidR="0082781C" w:rsidRPr="000E3A45" w:rsidRDefault="0082781C" w:rsidP="00773E01">
            <w:pPr>
              <w:widowControl w:val="0"/>
              <w:adjustRightInd w:val="0"/>
              <w:jc w:val="center"/>
              <w:textAlignment w:val="baseline"/>
              <w:rPr>
                <w:bCs/>
                <w:sz w:val="20"/>
              </w:rPr>
            </w:pPr>
            <w:r w:rsidRPr="000E3A45">
              <w:rPr>
                <w:bCs/>
                <w:sz w:val="20"/>
              </w:rPr>
              <w:t>2007</w:t>
            </w:r>
          </w:p>
        </w:tc>
        <w:tc>
          <w:tcPr>
            <w:tcW w:w="1800" w:type="dxa"/>
            <w:tcBorders>
              <w:top w:val="nil"/>
              <w:left w:val="single" w:sz="4" w:space="0" w:color="auto"/>
              <w:bottom w:val="nil"/>
              <w:right w:val="single" w:sz="4" w:space="0" w:color="auto"/>
            </w:tcBorders>
          </w:tcPr>
          <w:p w14:paraId="3B953801" w14:textId="77777777" w:rsidR="0082781C" w:rsidRPr="000E3A45" w:rsidRDefault="0082781C" w:rsidP="00773E01">
            <w:pPr>
              <w:widowControl w:val="0"/>
              <w:adjustRightInd w:val="0"/>
              <w:ind w:right="510"/>
              <w:jc w:val="right"/>
              <w:textAlignment w:val="baseline"/>
              <w:rPr>
                <w:sz w:val="20"/>
              </w:rPr>
            </w:pPr>
            <w:r w:rsidRPr="000E3A45">
              <w:rPr>
                <w:sz w:val="20"/>
              </w:rPr>
              <w:t>11.68</w:t>
            </w:r>
          </w:p>
        </w:tc>
        <w:tc>
          <w:tcPr>
            <w:tcW w:w="1800" w:type="dxa"/>
            <w:tcBorders>
              <w:top w:val="nil"/>
              <w:left w:val="single" w:sz="4" w:space="0" w:color="auto"/>
              <w:bottom w:val="nil"/>
              <w:right w:val="single" w:sz="4" w:space="0" w:color="auto"/>
            </w:tcBorders>
          </w:tcPr>
          <w:p w14:paraId="6692514F" w14:textId="77777777" w:rsidR="0082781C" w:rsidRPr="000E3A45" w:rsidRDefault="0082781C" w:rsidP="00773E01">
            <w:pPr>
              <w:widowControl w:val="0"/>
              <w:adjustRightInd w:val="0"/>
              <w:ind w:right="510"/>
              <w:jc w:val="right"/>
              <w:textAlignment w:val="baseline"/>
              <w:rPr>
                <w:sz w:val="20"/>
              </w:rPr>
            </w:pPr>
            <w:r w:rsidRPr="000E3A45">
              <w:rPr>
                <w:sz w:val="20"/>
              </w:rPr>
              <w:t>3.79</w:t>
            </w:r>
          </w:p>
        </w:tc>
        <w:tc>
          <w:tcPr>
            <w:tcW w:w="1568" w:type="dxa"/>
            <w:tcBorders>
              <w:top w:val="nil"/>
              <w:left w:val="single" w:sz="4" w:space="0" w:color="auto"/>
              <w:bottom w:val="nil"/>
            </w:tcBorders>
          </w:tcPr>
          <w:p w14:paraId="16462077" w14:textId="77777777" w:rsidR="0082781C" w:rsidRPr="000E3A45" w:rsidRDefault="0082781C" w:rsidP="00773E01">
            <w:pPr>
              <w:widowControl w:val="0"/>
              <w:adjustRightInd w:val="0"/>
              <w:ind w:right="510"/>
              <w:jc w:val="right"/>
              <w:textAlignment w:val="baseline"/>
              <w:rPr>
                <w:sz w:val="20"/>
                <w:szCs w:val="20"/>
              </w:rPr>
            </w:pPr>
            <w:r w:rsidRPr="000E3A45">
              <w:rPr>
                <w:sz w:val="20"/>
                <w:szCs w:val="20"/>
              </w:rPr>
              <w:t>7.64</w:t>
            </w:r>
          </w:p>
        </w:tc>
      </w:tr>
      <w:tr w:rsidR="000C3610" w:rsidRPr="000E3A45" w14:paraId="618750D2" w14:textId="77777777" w:rsidTr="00846735">
        <w:trPr>
          <w:jc w:val="center"/>
        </w:trPr>
        <w:tc>
          <w:tcPr>
            <w:tcW w:w="1800" w:type="dxa"/>
            <w:tcBorders>
              <w:top w:val="nil"/>
              <w:bottom w:val="nil"/>
              <w:right w:val="single" w:sz="4" w:space="0" w:color="auto"/>
            </w:tcBorders>
          </w:tcPr>
          <w:p w14:paraId="1F60C1F7" w14:textId="77777777" w:rsidR="000C3610" w:rsidRPr="000E3A45" w:rsidRDefault="000C3610" w:rsidP="002635A8">
            <w:pPr>
              <w:widowControl w:val="0"/>
              <w:adjustRightInd w:val="0"/>
              <w:jc w:val="center"/>
              <w:textAlignment w:val="baseline"/>
              <w:rPr>
                <w:bCs/>
                <w:sz w:val="20"/>
              </w:rPr>
            </w:pPr>
            <w:r w:rsidRPr="000E3A45">
              <w:rPr>
                <w:bCs/>
                <w:sz w:val="20"/>
              </w:rPr>
              <w:t>2008</w:t>
            </w:r>
          </w:p>
        </w:tc>
        <w:tc>
          <w:tcPr>
            <w:tcW w:w="1800" w:type="dxa"/>
            <w:tcBorders>
              <w:top w:val="nil"/>
              <w:left w:val="single" w:sz="4" w:space="0" w:color="auto"/>
              <w:bottom w:val="nil"/>
              <w:right w:val="single" w:sz="4" w:space="0" w:color="auto"/>
            </w:tcBorders>
          </w:tcPr>
          <w:p w14:paraId="5DFDD734" w14:textId="77777777" w:rsidR="000C3610" w:rsidRPr="000E3A45" w:rsidRDefault="000C3610" w:rsidP="008C5352">
            <w:pPr>
              <w:widowControl w:val="0"/>
              <w:adjustRightInd w:val="0"/>
              <w:ind w:right="510"/>
              <w:jc w:val="right"/>
              <w:textAlignment w:val="baseline"/>
              <w:rPr>
                <w:sz w:val="20"/>
              </w:rPr>
            </w:pPr>
            <w:r w:rsidRPr="000E3A45">
              <w:rPr>
                <w:sz w:val="20"/>
              </w:rPr>
              <w:t>-24.23</w:t>
            </w:r>
          </w:p>
        </w:tc>
        <w:tc>
          <w:tcPr>
            <w:tcW w:w="1800" w:type="dxa"/>
            <w:tcBorders>
              <w:top w:val="nil"/>
              <w:left w:val="single" w:sz="4" w:space="0" w:color="auto"/>
              <w:bottom w:val="nil"/>
              <w:right w:val="single" w:sz="4" w:space="0" w:color="auto"/>
            </w:tcBorders>
          </w:tcPr>
          <w:p w14:paraId="6E35C1C0" w14:textId="77777777" w:rsidR="000C3610" w:rsidRPr="000E3A45" w:rsidRDefault="000C3610" w:rsidP="008C5352">
            <w:pPr>
              <w:widowControl w:val="0"/>
              <w:adjustRightInd w:val="0"/>
              <w:ind w:right="510"/>
              <w:jc w:val="right"/>
              <w:textAlignment w:val="baseline"/>
              <w:rPr>
                <w:sz w:val="20"/>
              </w:rPr>
            </w:pPr>
            <w:r w:rsidRPr="000E3A45">
              <w:rPr>
                <w:sz w:val="20"/>
              </w:rPr>
              <w:t>6.53</w:t>
            </w:r>
          </w:p>
        </w:tc>
        <w:tc>
          <w:tcPr>
            <w:tcW w:w="1568" w:type="dxa"/>
            <w:tcBorders>
              <w:top w:val="nil"/>
              <w:left w:val="single" w:sz="4" w:space="0" w:color="auto"/>
              <w:bottom w:val="nil"/>
            </w:tcBorders>
          </w:tcPr>
          <w:p w14:paraId="1F56D71E" w14:textId="77777777" w:rsidR="000C3610" w:rsidRPr="000E3A45" w:rsidRDefault="000C3610" w:rsidP="008C5352">
            <w:pPr>
              <w:widowControl w:val="0"/>
              <w:adjustRightInd w:val="0"/>
              <w:ind w:right="510"/>
              <w:jc w:val="right"/>
              <w:textAlignment w:val="baseline"/>
              <w:rPr>
                <w:sz w:val="20"/>
                <w:szCs w:val="20"/>
              </w:rPr>
            </w:pPr>
            <w:r w:rsidRPr="000E3A45">
              <w:rPr>
                <w:sz w:val="20"/>
                <w:szCs w:val="20"/>
              </w:rPr>
              <w:t>-32.24</w:t>
            </w:r>
          </w:p>
        </w:tc>
      </w:tr>
      <w:tr w:rsidR="000C3610" w:rsidRPr="000E3A45" w14:paraId="7E111C93" w14:textId="77777777" w:rsidTr="00846735">
        <w:trPr>
          <w:jc w:val="center"/>
        </w:trPr>
        <w:tc>
          <w:tcPr>
            <w:tcW w:w="1800" w:type="dxa"/>
            <w:tcBorders>
              <w:top w:val="nil"/>
              <w:bottom w:val="nil"/>
              <w:right w:val="single" w:sz="4" w:space="0" w:color="auto"/>
            </w:tcBorders>
          </w:tcPr>
          <w:p w14:paraId="1F34679A" w14:textId="77777777" w:rsidR="000C3610" w:rsidRPr="000E3A45" w:rsidRDefault="000C3610" w:rsidP="008C5352">
            <w:pPr>
              <w:widowControl w:val="0"/>
              <w:adjustRightInd w:val="0"/>
              <w:jc w:val="center"/>
              <w:textAlignment w:val="baseline"/>
              <w:rPr>
                <w:bCs/>
                <w:sz w:val="20"/>
              </w:rPr>
            </w:pPr>
            <w:r w:rsidRPr="000E3A45">
              <w:rPr>
                <w:bCs/>
                <w:sz w:val="20"/>
              </w:rPr>
              <w:t>2009</w:t>
            </w:r>
          </w:p>
        </w:tc>
        <w:tc>
          <w:tcPr>
            <w:tcW w:w="1800" w:type="dxa"/>
            <w:tcBorders>
              <w:top w:val="nil"/>
              <w:left w:val="single" w:sz="4" w:space="0" w:color="auto"/>
              <w:bottom w:val="nil"/>
              <w:right w:val="single" w:sz="4" w:space="0" w:color="auto"/>
            </w:tcBorders>
          </w:tcPr>
          <w:p w14:paraId="38773438" w14:textId="77777777" w:rsidR="000C3610" w:rsidRPr="000E3A45" w:rsidRDefault="000C3610" w:rsidP="00F542BF">
            <w:pPr>
              <w:widowControl w:val="0"/>
              <w:adjustRightInd w:val="0"/>
              <w:ind w:right="510"/>
              <w:jc w:val="right"/>
              <w:textAlignment w:val="baseline"/>
              <w:rPr>
                <w:sz w:val="20"/>
              </w:rPr>
            </w:pPr>
            <w:r w:rsidRPr="000E3A45">
              <w:rPr>
                <w:sz w:val="20"/>
              </w:rPr>
              <w:t>43.52</w:t>
            </w:r>
          </w:p>
        </w:tc>
        <w:tc>
          <w:tcPr>
            <w:tcW w:w="1800" w:type="dxa"/>
            <w:tcBorders>
              <w:top w:val="nil"/>
              <w:left w:val="single" w:sz="4" w:space="0" w:color="auto"/>
              <w:bottom w:val="nil"/>
              <w:right w:val="single" w:sz="4" w:space="0" w:color="auto"/>
            </w:tcBorders>
          </w:tcPr>
          <w:p w14:paraId="501B27CD" w14:textId="77777777" w:rsidR="000C3610" w:rsidRPr="000E3A45" w:rsidRDefault="000C3610" w:rsidP="00801DCF">
            <w:pPr>
              <w:widowControl w:val="0"/>
              <w:adjustRightInd w:val="0"/>
              <w:ind w:right="510"/>
              <w:jc w:val="right"/>
              <w:textAlignment w:val="baseline"/>
              <w:rPr>
                <w:sz w:val="20"/>
              </w:rPr>
            </w:pPr>
            <w:r w:rsidRPr="000E3A45">
              <w:rPr>
                <w:sz w:val="20"/>
              </w:rPr>
              <w:t>3.57</w:t>
            </w:r>
          </w:p>
        </w:tc>
        <w:tc>
          <w:tcPr>
            <w:tcW w:w="1568" w:type="dxa"/>
            <w:tcBorders>
              <w:top w:val="nil"/>
              <w:left w:val="single" w:sz="4" w:space="0" w:color="auto"/>
              <w:bottom w:val="nil"/>
            </w:tcBorders>
          </w:tcPr>
          <w:p w14:paraId="3CD2CD0C" w14:textId="77777777" w:rsidR="000C3610" w:rsidRPr="000E3A45" w:rsidRDefault="000C3610" w:rsidP="00801DCF">
            <w:pPr>
              <w:widowControl w:val="0"/>
              <w:adjustRightInd w:val="0"/>
              <w:ind w:right="510"/>
              <w:jc w:val="right"/>
              <w:textAlignment w:val="baseline"/>
              <w:rPr>
                <w:sz w:val="20"/>
                <w:szCs w:val="20"/>
              </w:rPr>
            </w:pPr>
            <w:r w:rsidRPr="000E3A45">
              <w:rPr>
                <w:sz w:val="20"/>
                <w:szCs w:val="20"/>
              </w:rPr>
              <w:t>38.57</w:t>
            </w:r>
          </w:p>
        </w:tc>
      </w:tr>
      <w:tr w:rsidR="00D67994" w:rsidRPr="000E3A45" w14:paraId="5960DF96" w14:textId="77777777" w:rsidTr="00846735">
        <w:trPr>
          <w:jc w:val="center"/>
        </w:trPr>
        <w:tc>
          <w:tcPr>
            <w:tcW w:w="1800" w:type="dxa"/>
            <w:tcBorders>
              <w:top w:val="nil"/>
              <w:bottom w:val="nil"/>
              <w:right w:val="single" w:sz="4" w:space="0" w:color="auto"/>
            </w:tcBorders>
          </w:tcPr>
          <w:p w14:paraId="71821DB9" w14:textId="77777777" w:rsidR="00D67994" w:rsidRPr="000E3A45" w:rsidRDefault="00D67994" w:rsidP="008C5352">
            <w:pPr>
              <w:widowControl w:val="0"/>
              <w:adjustRightInd w:val="0"/>
              <w:jc w:val="center"/>
              <w:textAlignment w:val="baseline"/>
              <w:rPr>
                <w:bCs/>
                <w:sz w:val="20"/>
              </w:rPr>
            </w:pPr>
            <w:r w:rsidRPr="000E3A45">
              <w:rPr>
                <w:bCs/>
                <w:sz w:val="20"/>
              </w:rPr>
              <w:t>2010</w:t>
            </w:r>
          </w:p>
        </w:tc>
        <w:tc>
          <w:tcPr>
            <w:tcW w:w="1800" w:type="dxa"/>
            <w:tcBorders>
              <w:top w:val="nil"/>
              <w:left w:val="single" w:sz="4" w:space="0" w:color="auto"/>
              <w:bottom w:val="nil"/>
              <w:right w:val="single" w:sz="4" w:space="0" w:color="auto"/>
            </w:tcBorders>
          </w:tcPr>
          <w:p w14:paraId="27BB38D2" w14:textId="77777777" w:rsidR="00D67994" w:rsidRPr="000E3A45" w:rsidRDefault="00D67994" w:rsidP="00F542BF">
            <w:pPr>
              <w:widowControl w:val="0"/>
              <w:adjustRightInd w:val="0"/>
              <w:ind w:right="510"/>
              <w:jc w:val="right"/>
              <w:textAlignment w:val="baseline"/>
              <w:rPr>
                <w:sz w:val="20"/>
              </w:rPr>
            </w:pPr>
            <w:r w:rsidRPr="000E3A45">
              <w:rPr>
                <w:sz w:val="20"/>
              </w:rPr>
              <w:t>20.02</w:t>
            </w:r>
          </w:p>
        </w:tc>
        <w:tc>
          <w:tcPr>
            <w:tcW w:w="1800" w:type="dxa"/>
            <w:tcBorders>
              <w:top w:val="nil"/>
              <w:left w:val="single" w:sz="4" w:space="0" w:color="auto"/>
              <w:bottom w:val="nil"/>
              <w:right w:val="single" w:sz="4" w:space="0" w:color="auto"/>
            </w:tcBorders>
          </w:tcPr>
          <w:p w14:paraId="547F9872" w14:textId="77777777" w:rsidR="00D67994" w:rsidRPr="000E3A45" w:rsidRDefault="00D67994" w:rsidP="00801DCF">
            <w:pPr>
              <w:widowControl w:val="0"/>
              <w:adjustRightInd w:val="0"/>
              <w:ind w:right="510"/>
              <w:jc w:val="right"/>
              <w:textAlignment w:val="baseline"/>
              <w:rPr>
                <w:sz w:val="20"/>
              </w:rPr>
            </w:pPr>
            <w:r w:rsidRPr="000E3A45">
              <w:rPr>
                <w:sz w:val="20"/>
              </w:rPr>
              <w:t>4.40</w:t>
            </w:r>
          </w:p>
        </w:tc>
        <w:tc>
          <w:tcPr>
            <w:tcW w:w="1568" w:type="dxa"/>
            <w:tcBorders>
              <w:top w:val="nil"/>
              <w:left w:val="single" w:sz="4" w:space="0" w:color="auto"/>
              <w:bottom w:val="nil"/>
            </w:tcBorders>
          </w:tcPr>
          <w:p w14:paraId="3E08242E" w14:textId="77777777" w:rsidR="00D67994" w:rsidRPr="000E3A45" w:rsidRDefault="00D67994" w:rsidP="00801DCF">
            <w:pPr>
              <w:widowControl w:val="0"/>
              <w:adjustRightInd w:val="0"/>
              <w:ind w:right="510"/>
              <w:jc w:val="right"/>
              <w:textAlignment w:val="baseline"/>
              <w:rPr>
                <w:sz w:val="20"/>
                <w:szCs w:val="20"/>
              </w:rPr>
            </w:pPr>
            <w:r w:rsidRPr="000E3A45">
              <w:rPr>
                <w:sz w:val="20"/>
                <w:szCs w:val="20"/>
              </w:rPr>
              <w:t>14.96</w:t>
            </w:r>
          </w:p>
        </w:tc>
      </w:tr>
      <w:tr w:rsidR="009E0298" w:rsidRPr="000E3A45" w14:paraId="433C5127" w14:textId="77777777" w:rsidTr="002E524C">
        <w:trPr>
          <w:jc w:val="center"/>
        </w:trPr>
        <w:tc>
          <w:tcPr>
            <w:tcW w:w="1800" w:type="dxa"/>
            <w:tcBorders>
              <w:top w:val="nil"/>
              <w:bottom w:val="nil"/>
              <w:right w:val="single" w:sz="4" w:space="0" w:color="auto"/>
            </w:tcBorders>
          </w:tcPr>
          <w:p w14:paraId="746E6664" w14:textId="77777777" w:rsidR="009E0298" w:rsidRPr="000E3A45" w:rsidRDefault="009E0298" w:rsidP="008C5352">
            <w:pPr>
              <w:widowControl w:val="0"/>
              <w:adjustRightInd w:val="0"/>
              <w:jc w:val="center"/>
              <w:textAlignment w:val="baseline"/>
              <w:rPr>
                <w:bCs/>
                <w:sz w:val="20"/>
              </w:rPr>
            </w:pPr>
            <w:r w:rsidRPr="000E3A45">
              <w:rPr>
                <w:bCs/>
                <w:sz w:val="20"/>
              </w:rPr>
              <w:t>2011</w:t>
            </w:r>
          </w:p>
        </w:tc>
        <w:tc>
          <w:tcPr>
            <w:tcW w:w="1800" w:type="dxa"/>
            <w:tcBorders>
              <w:top w:val="nil"/>
              <w:left w:val="single" w:sz="4" w:space="0" w:color="auto"/>
              <w:bottom w:val="nil"/>
              <w:right w:val="single" w:sz="4" w:space="0" w:color="auto"/>
            </w:tcBorders>
          </w:tcPr>
          <w:p w14:paraId="4A5AEF8E" w14:textId="77777777" w:rsidR="009E0298" w:rsidRPr="000E3A45" w:rsidRDefault="009E0298" w:rsidP="00F542BF">
            <w:pPr>
              <w:widowControl w:val="0"/>
              <w:adjustRightInd w:val="0"/>
              <w:ind w:right="510"/>
              <w:jc w:val="right"/>
              <w:textAlignment w:val="baseline"/>
              <w:rPr>
                <w:sz w:val="20"/>
              </w:rPr>
            </w:pPr>
            <w:r w:rsidRPr="000E3A45">
              <w:rPr>
                <w:sz w:val="20"/>
              </w:rPr>
              <w:t>-3.82</w:t>
            </w:r>
          </w:p>
        </w:tc>
        <w:tc>
          <w:tcPr>
            <w:tcW w:w="1800" w:type="dxa"/>
            <w:tcBorders>
              <w:top w:val="nil"/>
              <w:left w:val="single" w:sz="4" w:space="0" w:color="auto"/>
              <w:bottom w:val="nil"/>
              <w:right w:val="single" w:sz="4" w:space="0" w:color="auto"/>
            </w:tcBorders>
          </w:tcPr>
          <w:p w14:paraId="1DA503B6" w14:textId="77777777" w:rsidR="009E0298" w:rsidRPr="000E3A45" w:rsidRDefault="009E0298" w:rsidP="00801DCF">
            <w:pPr>
              <w:widowControl w:val="0"/>
              <w:adjustRightInd w:val="0"/>
              <w:ind w:right="510"/>
              <w:jc w:val="right"/>
              <w:textAlignment w:val="baseline"/>
              <w:rPr>
                <w:sz w:val="20"/>
              </w:rPr>
            </w:pPr>
            <w:r w:rsidRPr="000E3A45">
              <w:rPr>
                <w:sz w:val="20"/>
              </w:rPr>
              <w:t>3.82</w:t>
            </w:r>
          </w:p>
        </w:tc>
        <w:tc>
          <w:tcPr>
            <w:tcW w:w="1568" w:type="dxa"/>
            <w:tcBorders>
              <w:top w:val="nil"/>
              <w:left w:val="single" w:sz="4" w:space="0" w:color="auto"/>
              <w:bottom w:val="nil"/>
            </w:tcBorders>
          </w:tcPr>
          <w:p w14:paraId="5E8C30E3" w14:textId="77777777" w:rsidR="009E0298" w:rsidRPr="000E3A45" w:rsidRDefault="009E0298" w:rsidP="00801DCF">
            <w:pPr>
              <w:widowControl w:val="0"/>
              <w:adjustRightInd w:val="0"/>
              <w:ind w:right="510"/>
              <w:jc w:val="right"/>
              <w:textAlignment w:val="baseline"/>
              <w:rPr>
                <w:sz w:val="20"/>
                <w:szCs w:val="20"/>
              </w:rPr>
            </w:pPr>
            <w:r w:rsidRPr="000E3A45">
              <w:rPr>
                <w:sz w:val="20"/>
                <w:szCs w:val="20"/>
              </w:rPr>
              <w:t>-7.79</w:t>
            </w:r>
          </w:p>
        </w:tc>
      </w:tr>
      <w:tr w:rsidR="00233C7A" w:rsidRPr="000E3A45" w14:paraId="1A2CF380" w14:textId="77777777" w:rsidTr="00846735">
        <w:trPr>
          <w:jc w:val="center"/>
        </w:trPr>
        <w:tc>
          <w:tcPr>
            <w:tcW w:w="1800" w:type="dxa"/>
            <w:tcBorders>
              <w:top w:val="nil"/>
              <w:bottom w:val="single" w:sz="4" w:space="0" w:color="auto"/>
              <w:right w:val="single" w:sz="4" w:space="0" w:color="auto"/>
            </w:tcBorders>
          </w:tcPr>
          <w:p w14:paraId="7C021317" w14:textId="77777777" w:rsidR="00233C7A" w:rsidRPr="000E3A45" w:rsidRDefault="00233C7A" w:rsidP="00233C7A">
            <w:pPr>
              <w:widowControl w:val="0"/>
              <w:adjustRightInd w:val="0"/>
              <w:jc w:val="center"/>
              <w:textAlignment w:val="baseline"/>
              <w:rPr>
                <w:bCs/>
                <w:sz w:val="20"/>
              </w:rPr>
            </w:pPr>
            <w:r w:rsidRPr="000E3A45">
              <w:rPr>
                <w:bCs/>
                <w:sz w:val="20"/>
              </w:rPr>
              <w:t>2012</w:t>
            </w:r>
          </w:p>
        </w:tc>
        <w:tc>
          <w:tcPr>
            <w:tcW w:w="1800" w:type="dxa"/>
            <w:tcBorders>
              <w:top w:val="nil"/>
              <w:left w:val="single" w:sz="4" w:space="0" w:color="auto"/>
              <w:bottom w:val="single" w:sz="4" w:space="0" w:color="auto"/>
              <w:right w:val="single" w:sz="4" w:space="0" w:color="auto"/>
            </w:tcBorders>
          </w:tcPr>
          <w:p w14:paraId="76A355F5" w14:textId="77777777" w:rsidR="00233C7A" w:rsidRPr="000E3A45" w:rsidRDefault="00233C7A" w:rsidP="00233C7A">
            <w:pPr>
              <w:widowControl w:val="0"/>
              <w:adjustRightInd w:val="0"/>
              <w:ind w:right="510"/>
              <w:jc w:val="right"/>
              <w:textAlignment w:val="baseline"/>
              <w:rPr>
                <w:sz w:val="20"/>
              </w:rPr>
            </w:pPr>
            <w:r w:rsidRPr="000E3A45">
              <w:rPr>
                <w:sz w:val="20"/>
              </w:rPr>
              <w:t>17.88</w:t>
            </w:r>
          </w:p>
        </w:tc>
        <w:tc>
          <w:tcPr>
            <w:tcW w:w="1800" w:type="dxa"/>
            <w:tcBorders>
              <w:top w:val="nil"/>
              <w:left w:val="single" w:sz="4" w:space="0" w:color="auto"/>
              <w:bottom w:val="single" w:sz="4" w:space="0" w:color="auto"/>
              <w:right w:val="single" w:sz="4" w:space="0" w:color="auto"/>
            </w:tcBorders>
          </w:tcPr>
          <w:p w14:paraId="73259AE7" w14:textId="77777777" w:rsidR="00233C7A" w:rsidRPr="000E3A45" w:rsidRDefault="00233C7A" w:rsidP="00233C7A">
            <w:pPr>
              <w:widowControl w:val="0"/>
              <w:adjustRightInd w:val="0"/>
              <w:ind w:right="510"/>
              <w:jc w:val="right"/>
              <w:textAlignment w:val="baseline"/>
              <w:rPr>
                <w:sz w:val="20"/>
              </w:rPr>
            </w:pPr>
            <w:r w:rsidRPr="000E3A45">
              <w:rPr>
                <w:sz w:val="20"/>
              </w:rPr>
              <w:t>3.57</w:t>
            </w:r>
          </w:p>
        </w:tc>
        <w:tc>
          <w:tcPr>
            <w:tcW w:w="1568" w:type="dxa"/>
            <w:tcBorders>
              <w:top w:val="nil"/>
              <w:left w:val="single" w:sz="4" w:space="0" w:color="auto"/>
              <w:bottom w:val="single" w:sz="4" w:space="0" w:color="auto"/>
            </w:tcBorders>
          </w:tcPr>
          <w:p w14:paraId="04B47659" w14:textId="77777777" w:rsidR="00233C7A" w:rsidRPr="000E3A45" w:rsidRDefault="00233C7A" w:rsidP="00233C7A">
            <w:pPr>
              <w:widowControl w:val="0"/>
              <w:adjustRightInd w:val="0"/>
              <w:ind w:right="510"/>
              <w:jc w:val="right"/>
              <w:textAlignment w:val="baseline"/>
              <w:rPr>
                <w:sz w:val="20"/>
              </w:rPr>
            </w:pPr>
            <w:r w:rsidRPr="000E3A45">
              <w:rPr>
                <w:sz w:val="20"/>
              </w:rPr>
              <w:t>13.82</w:t>
            </w:r>
          </w:p>
        </w:tc>
      </w:tr>
      <w:tr w:rsidR="00233C7A" w:rsidRPr="000E3A45" w14:paraId="3B93E858" w14:textId="77777777" w:rsidTr="00846735">
        <w:trPr>
          <w:jc w:val="center"/>
        </w:trPr>
        <w:tc>
          <w:tcPr>
            <w:tcW w:w="6968" w:type="dxa"/>
            <w:gridSpan w:val="4"/>
            <w:tcBorders>
              <w:top w:val="single" w:sz="4" w:space="0" w:color="auto"/>
              <w:bottom w:val="single" w:sz="4" w:space="0" w:color="auto"/>
            </w:tcBorders>
          </w:tcPr>
          <w:p w14:paraId="49862DB2" w14:textId="77777777" w:rsidR="00233C7A" w:rsidRPr="000E3A45" w:rsidRDefault="00233C7A" w:rsidP="00233C7A">
            <w:pPr>
              <w:widowControl w:val="0"/>
              <w:tabs>
                <w:tab w:val="left" w:pos="1057"/>
              </w:tabs>
              <w:adjustRightInd w:val="0"/>
              <w:ind w:right="414"/>
              <w:jc w:val="center"/>
              <w:textAlignment w:val="baseline"/>
              <w:rPr>
                <w:sz w:val="20"/>
              </w:rPr>
            </w:pPr>
            <w:r w:rsidRPr="000E3A45">
              <w:rPr>
                <w:sz w:val="20"/>
              </w:rPr>
              <w:t>2013</w:t>
            </w:r>
          </w:p>
        </w:tc>
      </w:tr>
      <w:tr w:rsidR="00233C7A" w:rsidRPr="000E3A45" w14:paraId="27357264" w14:textId="77777777" w:rsidTr="00846735">
        <w:trPr>
          <w:jc w:val="center"/>
        </w:trPr>
        <w:tc>
          <w:tcPr>
            <w:tcW w:w="1800" w:type="dxa"/>
            <w:tcBorders>
              <w:top w:val="single" w:sz="4" w:space="0" w:color="auto"/>
              <w:bottom w:val="nil"/>
              <w:right w:val="single" w:sz="4" w:space="0" w:color="auto"/>
            </w:tcBorders>
          </w:tcPr>
          <w:p w14:paraId="34455A47" w14:textId="77777777" w:rsidR="00233C7A" w:rsidRPr="000E3A45" w:rsidRDefault="00233C7A" w:rsidP="00233C7A">
            <w:pPr>
              <w:widowControl w:val="0"/>
              <w:adjustRightInd w:val="0"/>
              <w:ind w:right="-159"/>
              <w:jc w:val="both"/>
              <w:textAlignment w:val="baseline"/>
              <w:rPr>
                <w:bCs/>
                <w:sz w:val="20"/>
              </w:rPr>
            </w:pPr>
            <w:r w:rsidRPr="000E3A45">
              <w:rPr>
                <w:bCs/>
                <w:sz w:val="20"/>
              </w:rPr>
              <w:t>Enero</w:t>
            </w:r>
          </w:p>
        </w:tc>
        <w:tc>
          <w:tcPr>
            <w:tcW w:w="1800" w:type="dxa"/>
            <w:tcBorders>
              <w:top w:val="single" w:sz="4" w:space="0" w:color="auto"/>
              <w:left w:val="single" w:sz="4" w:space="0" w:color="auto"/>
              <w:bottom w:val="nil"/>
              <w:right w:val="single" w:sz="4" w:space="0" w:color="auto"/>
            </w:tcBorders>
          </w:tcPr>
          <w:p w14:paraId="63A51541"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3.60</w:t>
            </w:r>
          </w:p>
        </w:tc>
        <w:tc>
          <w:tcPr>
            <w:tcW w:w="1800" w:type="dxa"/>
            <w:tcBorders>
              <w:top w:val="single" w:sz="4" w:space="0" w:color="auto"/>
              <w:left w:val="single" w:sz="4" w:space="0" w:color="auto"/>
              <w:bottom w:val="nil"/>
              <w:right w:val="single" w:sz="4" w:space="0" w:color="auto"/>
            </w:tcBorders>
          </w:tcPr>
          <w:p w14:paraId="4F2D590C"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0.40</w:t>
            </w:r>
          </w:p>
        </w:tc>
        <w:tc>
          <w:tcPr>
            <w:tcW w:w="1568" w:type="dxa"/>
            <w:tcBorders>
              <w:top w:val="single" w:sz="4" w:space="0" w:color="auto"/>
              <w:left w:val="single" w:sz="4" w:space="0" w:color="auto"/>
              <w:bottom w:val="nil"/>
            </w:tcBorders>
          </w:tcPr>
          <w:p w14:paraId="19BDF38F"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3.19</w:t>
            </w:r>
          </w:p>
        </w:tc>
      </w:tr>
      <w:tr w:rsidR="00233C7A" w:rsidRPr="000E3A45" w14:paraId="26B47079" w14:textId="77777777" w:rsidTr="00846735">
        <w:trPr>
          <w:jc w:val="center"/>
        </w:trPr>
        <w:tc>
          <w:tcPr>
            <w:tcW w:w="1800" w:type="dxa"/>
            <w:tcBorders>
              <w:top w:val="nil"/>
              <w:bottom w:val="nil"/>
              <w:right w:val="single" w:sz="4" w:space="0" w:color="auto"/>
            </w:tcBorders>
          </w:tcPr>
          <w:p w14:paraId="48723E12" w14:textId="77777777" w:rsidR="00233C7A" w:rsidRPr="000E3A45" w:rsidRDefault="00233C7A" w:rsidP="00233C7A">
            <w:pPr>
              <w:widowControl w:val="0"/>
              <w:adjustRightInd w:val="0"/>
              <w:ind w:right="-159"/>
              <w:jc w:val="both"/>
              <w:textAlignment w:val="baseline"/>
              <w:rPr>
                <w:bCs/>
                <w:sz w:val="20"/>
              </w:rPr>
            </w:pPr>
            <w:r w:rsidRPr="000E3A45">
              <w:rPr>
                <w:bCs/>
                <w:sz w:val="20"/>
              </w:rPr>
              <w:t>Febrero</w:t>
            </w:r>
            <w:r w:rsidRPr="000E3A45">
              <w:rPr>
                <w:sz w:val="20"/>
                <w:szCs w:val="20"/>
                <w:u w:val="single"/>
                <w:vertAlign w:val="superscript"/>
              </w:rPr>
              <w:t>2</w:t>
            </w:r>
            <w:r w:rsidRPr="000E3A45">
              <w:rPr>
                <w:sz w:val="20"/>
                <w:szCs w:val="20"/>
                <w:vertAlign w:val="superscript"/>
              </w:rPr>
              <w:t>/</w:t>
            </w:r>
          </w:p>
        </w:tc>
        <w:tc>
          <w:tcPr>
            <w:tcW w:w="1800" w:type="dxa"/>
            <w:tcBorders>
              <w:top w:val="nil"/>
              <w:left w:val="single" w:sz="4" w:space="0" w:color="auto"/>
              <w:bottom w:val="nil"/>
              <w:right w:val="single" w:sz="4" w:space="0" w:color="auto"/>
            </w:tcBorders>
          </w:tcPr>
          <w:p w14:paraId="61C406EA"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0.95</w:t>
            </w:r>
          </w:p>
        </w:tc>
        <w:tc>
          <w:tcPr>
            <w:tcW w:w="1800" w:type="dxa"/>
            <w:tcBorders>
              <w:top w:val="nil"/>
              <w:left w:val="single" w:sz="4" w:space="0" w:color="auto"/>
              <w:bottom w:val="nil"/>
              <w:right w:val="single" w:sz="4" w:space="0" w:color="auto"/>
            </w:tcBorders>
          </w:tcPr>
          <w:p w14:paraId="384A18B3"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0.90</w:t>
            </w:r>
          </w:p>
        </w:tc>
        <w:tc>
          <w:tcPr>
            <w:tcW w:w="1568" w:type="dxa"/>
            <w:tcBorders>
              <w:top w:val="nil"/>
              <w:left w:val="single" w:sz="4" w:space="0" w:color="auto"/>
              <w:bottom w:val="nil"/>
            </w:tcBorders>
          </w:tcPr>
          <w:p w14:paraId="0DA24EC4"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0.05</w:t>
            </w:r>
          </w:p>
        </w:tc>
      </w:tr>
      <w:tr w:rsidR="00233C7A" w:rsidRPr="000E3A45" w14:paraId="5B563E40" w14:textId="77777777" w:rsidTr="00846735">
        <w:trPr>
          <w:jc w:val="center"/>
        </w:trPr>
        <w:tc>
          <w:tcPr>
            <w:tcW w:w="1800" w:type="dxa"/>
            <w:tcBorders>
              <w:top w:val="nil"/>
              <w:bottom w:val="nil"/>
              <w:right w:val="single" w:sz="4" w:space="0" w:color="auto"/>
            </w:tcBorders>
          </w:tcPr>
          <w:p w14:paraId="734B9F6E" w14:textId="77777777" w:rsidR="00233C7A" w:rsidRPr="000E3A45" w:rsidRDefault="00233C7A" w:rsidP="00233C7A">
            <w:pPr>
              <w:widowControl w:val="0"/>
              <w:adjustRightInd w:val="0"/>
              <w:ind w:right="-159"/>
              <w:jc w:val="both"/>
              <w:textAlignment w:val="baseline"/>
              <w:rPr>
                <w:bCs/>
                <w:sz w:val="20"/>
              </w:rPr>
            </w:pPr>
            <w:r w:rsidRPr="000E3A45">
              <w:rPr>
                <w:bCs/>
                <w:sz w:val="20"/>
              </w:rPr>
              <w:t>Marzo</w:t>
            </w:r>
          </w:p>
        </w:tc>
        <w:tc>
          <w:tcPr>
            <w:tcW w:w="1800" w:type="dxa"/>
            <w:tcBorders>
              <w:top w:val="nil"/>
              <w:left w:val="single" w:sz="4" w:space="0" w:color="auto"/>
              <w:bottom w:val="nil"/>
              <w:right w:val="single" w:sz="4" w:space="0" w:color="auto"/>
            </w:tcBorders>
          </w:tcPr>
          <w:p w14:paraId="3730381F"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0.85</w:t>
            </w:r>
          </w:p>
        </w:tc>
        <w:tc>
          <w:tcPr>
            <w:tcW w:w="1800" w:type="dxa"/>
            <w:tcBorders>
              <w:top w:val="nil"/>
              <w:left w:val="single" w:sz="4" w:space="0" w:color="auto"/>
              <w:bottom w:val="nil"/>
              <w:right w:val="single" w:sz="4" w:space="0" w:color="auto"/>
            </w:tcBorders>
          </w:tcPr>
          <w:p w14:paraId="4FE5CC29"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1.64</w:t>
            </w:r>
          </w:p>
        </w:tc>
        <w:tc>
          <w:tcPr>
            <w:tcW w:w="1568" w:type="dxa"/>
            <w:tcBorders>
              <w:top w:val="nil"/>
              <w:left w:val="single" w:sz="4" w:space="0" w:color="auto"/>
              <w:bottom w:val="nil"/>
            </w:tcBorders>
          </w:tcPr>
          <w:p w14:paraId="3DD62500"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-0.78</w:t>
            </w:r>
          </w:p>
        </w:tc>
      </w:tr>
      <w:tr w:rsidR="00233C7A" w:rsidRPr="000E3A45" w14:paraId="3D3B39C4" w14:textId="77777777" w:rsidTr="00846735">
        <w:trPr>
          <w:jc w:val="center"/>
        </w:trPr>
        <w:tc>
          <w:tcPr>
            <w:tcW w:w="1800" w:type="dxa"/>
            <w:tcBorders>
              <w:top w:val="nil"/>
              <w:bottom w:val="nil"/>
              <w:right w:val="single" w:sz="4" w:space="0" w:color="auto"/>
            </w:tcBorders>
          </w:tcPr>
          <w:p w14:paraId="169F0182" w14:textId="77777777" w:rsidR="00233C7A" w:rsidRPr="000E3A45" w:rsidRDefault="00233C7A" w:rsidP="00233C7A">
            <w:pPr>
              <w:widowControl w:val="0"/>
              <w:adjustRightInd w:val="0"/>
              <w:ind w:right="-159"/>
              <w:jc w:val="both"/>
              <w:textAlignment w:val="baseline"/>
              <w:rPr>
                <w:bCs/>
                <w:sz w:val="20"/>
              </w:rPr>
            </w:pPr>
            <w:r w:rsidRPr="000E3A45">
              <w:rPr>
                <w:bCs/>
                <w:sz w:val="20"/>
              </w:rPr>
              <w:t>Abril</w:t>
            </w:r>
          </w:p>
        </w:tc>
        <w:tc>
          <w:tcPr>
            <w:tcW w:w="1800" w:type="dxa"/>
            <w:tcBorders>
              <w:top w:val="nil"/>
              <w:left w:val="single" w:sz="4" w:space="0" w:color="auto"/>
              <w:bottom w:val="nil"/>
              <w:right w:val="single" w:sz="4" w:space="0" w:color="auto"/>
            </w:tcBorders>
          </w:tcPr>
          <w:p w14:paraId="6D098D0C"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-3.30</w:t>
            </w:r>
          </w:p>
        </w:tc>
        <w:tc>
          <w:tcPr>
            <w:tcW w:w="1800" w:type="dxa"/>
            <w:tcBorders>
              <w:top w:val="nil"/>
              <w:left w:val="single" w:sz="4" w:space="0" w:color="auto"/>
              <w:bottom w:val="nil"/>
              <w:right w:val="single" w:sz="4" w:space="0" w:color="auto"/>
            </w:tcBorders>
          </w:tcPr>
          <w:p w14:paraId="227507BD"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1.70</w:t>
            </w:r>
          </w:p>
        </w:tc>
        <w:tc>
          <w:tcPr>
            <w:tcW w:w="1568" w:type="dxa"/>
            <w:tcBorders>
              <w:top w:val="nil"/>
              <w:left w:val="single" w:sz="4" w:space="0" w:color="auto"/>
              <w:bottom w:val="nil"/>
            </w:tcBorders>
          </w:tcPr>
          <w:p w14:paraId="7EB6933B"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-5.06</w:t>
            </w:r>
          </w:p>
        </w:tc>
      </w:tr>
      <w:tr w:rsidR="00233C7A" w:rsidRPr="000E3A45" w14:paraId="304957BA" w14:textId="77777777" w:rsidTr="00846735">
        <w:trPr>
          <w:jc w:val="center"/>
        </w:trPr>
        <w:tc>
          <w:tcPr>
            <w:tcW w:w="1800" w:type="dxa"/>
            <w:tcBorders>
              <w:top w:val="nil"/>
              <w:bottom w:val="nil"/>
              <w:right w:val="single" w:sz="4" w:space="0" w:color="auto"/>
            </w:tcBorders>
          </w:tcPr>
          <w:p w14:paraId="2423ED72" w14:textId="77777777" w:rsidR="00233C7A" w:rsidRPr="000E3A45" w:rsidRDefault="00233C7A" w:rsidP="00233C7A">
            <w:pPr>
              <w:widowControl w:val="0"/>
              <w:adjustRightInd w:val="0"/>
              <w:ind w:right="-159"/>
              <w:jc w:val="both"/>
              <w:textAlignment w:val="baseline"/>
              <w:rPr>
                <w:bCs/>
                <w:sz w:val="20"/>
              </w:rPr>
            </w:pPr>
            <w:r w:rsidRPr="000E3A45">
              <w:rPr>
                <w:bCs/>
                <w:sz w:val="20"/>
              </w:rPr>
              <w:t>Mayo</w:t>
            </w:r>
          </w:p>
        </w:tc>
        <w:tc>
          <w:tcPr>
            <w:tcW w:w="1800" w:type="dxa"/>
            <w:tcBorders>
              <w:top w:val="nil"/>
              <w:left w:val="single" w:sz="4" w:space="0" w:color="auto"/>
              <w:bottom w:val="nil"/>
              <w:right w:val="single" w:sz="4" w:space="0" w:color="auto"/>
            </w:tcBorders>
          </w:tcPr>
          <w:p w14:paraId="1158EEB5"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-4.84</w:t>
            </w:r>
          </w:p>
        </w:tc>
        <w:tc>
          <w:tcPr>
            <w:tcW w:w="1800" w:type="dxa"/>
            <w:tcBorders>
              <w:top w:val="nil"/>
              <w:left w:val="single" w:sz="4" w:space="0" w:color="auto"/>
              <w:bottom w:val="nil"/>
              <w:right w:val="single" w:sz="4" w:space="0" w:color="auto"/>
            </w:tcBorders>
          </w:tcPr>
          <w:p w14:paraId="1BCA4363"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1.37</w:t>
            </w:r>
          </w:p>
        </w:tc>
        <w:tc>
          <w:tcPr>
            <w:tcW w:w="1568" w:type="dxa"/>
            <w:tcBorders>
              <w:top w:val="nil"/>
              <w:left w:val="single" w:sz="4" w:space="0" w:color="auto"/>
              <w:bottom w:val="nil"/>
            </w:tcBorders>
          </w:tcPr>
          <w:p w14:paraId="3987F832"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-6.28</w:t>
            </w:r>
          </w:p>
        </w:tc>
      </w:tr>
      <w:tr w:rsidR="00233C7A" w:rsidRPr="000E3A45" w14:paraId="3FDAB43E" w14:textId="77777777" w:rsidTr="002E524C">
        <w:trPr>
          <w:jc w:val="center"/>
        </w:trPr>
        <w:tc>
          <w:tcPr>
            <w:tcW w:w="1800" w:type="dxa"/>
            <w:tcBorders>
              <w:top w:val="nil"/>
              <w:bottom w:val="nil"/>
              <w:right w:val="single" w:sz="4" w:space="0" w:color="auto"/>
            </w:tcBorders>
          </w:tcPr>
          <w:p w14:paraId="08B751F1" w14:textId="77777777" w:rsidR="00233C7A" w:rsidRPr="000E3A45" w:rsidRDefault="00233C7A" w:rsidP="00233C7A">
            <w:pPr>
              <w:widowControl w:val="0"/>
              <w:adjustRightInd w:val="0"/>
              <w:ind w:right="-159"/>
              <w:jc w:val="both"/>
              <w:textAlignment w:val="baseline"/>
              <w:rPr>
                <w:bCs/>
                <w:sz w:val="20"/>
              </w:rPr>
            </w:pPr>
            <w:r w:rsidRPr="000E3A45">
              <w:rPr>
                <w:bCs/>
                <w:sz w:val="20"/>
              </w:rPr>
              <w:t>Junio</w:t>
            </w:r>
          </w:p>
        </w:tc>
        <w:tc>
          <w:tcPr>
            <w:tcW w:w="1800" w:type="dxa"/>
            <w:tcBorders>
              <w:top w:val="nil"/>
              <w:left w:val="single" w:sz="4" w:space="0" w:color="auto"/>
              <w:bottom w:val="nil"/>
              <w:right w:val="single" w:sz="4" w:space="0" w:color="auto"/>
            </w:tcBorders>
          </w:tcPr>
          <w:p w14:paraId="7BCF3615"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-7.05</w:t>
            </w:r>
          </w:p>
        </w:tc>
        <w:tc>
          <w:tcPr>
            <w:tcW w:w="1800" w:type="dxa"/>
            <w:tcBorders>
              <w:top w:val="nil"/>
              <w:left w:val="single" w:sz="4" w:space="0" w:color="auto"/>
              <w:bottom w:val="nil"/>
              <w:right w:val="single" w:sz="4" w:space="0" w:color="auto"/>
            </w:tcBorders>
          </w:tcPr>
          <w:p w14:paraId="575AB1EC"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1.30</w:t>
            </w:r>
          </w:p>
        </w:tc>
        <w:tc>
          <w:tcPr>
            <w:tcW w:w="1568" w:type="dxa"/>
            <w:tcBorders>
              <w:top w:val="nil"/>
              <w:left w:val="single" w:sz="4" w:space="0" w:color="auto"/>
              <w:bottom w:val="nil"/>
            </w:tcBorders>
          </w:tcPr>
          <w:p w14:paraId="4D6892F6"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-8.44</w:t>
            </w:r>
          </w:p>
        </w:tc>
      </w:tr>
      <w:tr w:rsidR="00233C7A" w:rsidRPr="000E3A45" w14:paraId="7AAE8867" w14:textId="77777777" w:rsidTr="002E524C">
        <w:trPr>
          <w:jc w:val="center"/>
        </w:trPr>
        <w:tc>
          <w:tcPr>
            <w:tcW w:w="1800" w:type="dxa"/>
            <w:tcBorders>
              <w:top w:val="nil"/>
              <w:bottom w:val="nil"/>
              <w:right w:val="single" w:sz="4" w:space="0" w:color="auto"/>
            </w:tcBorders>
          </w:tcPr>
          <w:p w14:paraId="4441964D" w14:textId="77777777" w:rsidR="00233C7A" w:rsidRPr="000E3A45" w:rsidRDefault="00233C7A" w:rsidP="00233C7A">
            <w:pPr>
              <w:widowControl w:val="0"/>
              <w:adjustRightInd w:val="0"/>
              <w:ind w:right="-159"/>
              <w:jc w:val="both"/>
              <w:textAlignment w:val="baseline"/>
              <w:rPr>
                <w:bCs/>
                <w:sz w:val="20"/>
              </w:rPr>
            </w:pPr>
            <w:r w:rsidRPr="000E3A45">
              <w:rPr>
                <w:bCs/>
                <w:sz w:val="20"/>
              </w:rPr>
              <w:t>Julio</w:t>
            </w:r>
          </w:p>
        </w:tc>
        <w:tc>
          <w:tcPr>
            <w:tcW w:w="1800" w:type="dxa"/>
            <w:tcBorders>
              <w:top w:val="nil"/>
              <w:left w:val="single" w:sz="4" w:space="0" w:color="auto"/>
              <w:bottom w:val="nil"/>
              <w:right w:val="single" w:sz="4" w:space="0" w:color="auto"/>
            </w:tcBorders>
          </w:tcPr>
          <w:p w14:paraId="232FD168"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-6.56</w:t>
            </w:r>
          </w:p>
        </w:tc>
        <w:tc>
          <w:tcPr>
            <w:tcW w:w="1800" w:type="dxa"/>
            <w:tcBorders>
              <w:top w:val="nil"/>
              <w:left w:val="single" w:sz="4" w:space="0" w:color="auto"/>
              <w:bottom w:val="nil"/>
              <w:right w:val="single" w:sz="4" w:space="0" w:color="auto"/>
            </w:tcBorders>
          </w:tcPr>
          <w:p w14:paraId="7C81368E"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1.27</w:t>
            </w:r>
          </w:p>
        </w:tc>
        <w:tc>
          <w:tcPr>
            <w:tcW w:w="1568" w:type="dxa"/>
            <w:tcBorders>
              <w:top w:val="nil"/>
              <w:left w:val="single" w:sz="4" w:space="0" w:color="auto"/>
              <w:bottom w:val="nil"/>
            </w:tcBorders>
          </w:tcPr>
          <w:p w14:paraId="0416D323"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-7.91</w:t>
            </w:r>
          </w:p>
        </w:tc>
      </w:tr>
      <w:tr w:rsidR="00233C7A" w:rsidRPr="000E3A45" w14:paraId="66EBD8BB" w14:textId="77777777" w:rsidTr="005D1442">
        <w:trPr>
          <w:jc w:val="center"/>
        </w:trPr>
        <w:tc>
          <w:tcPr>
            <w:tcW w:w="1800" w:type="dxa"/>
            <w:tcBorders>
              <w:top w:val="nil"/>
              <w:bottom w:val="nil"/>
              <w:right w:val="single" w:sz="4" w:space="0" w:color="auto"/>
            </w:tcBorders>
          </w:tcPr>
          <w:p w14:paraId="14B3DB72" w14:textId="77777777" w:rsidR="00233C7A" w:rsidRPr="000E3A45" w:rsidRDefault="00233C7A" w:rsidP="00233C7A">
            <w:pPr>
              <w:widowControl w:val="0"/>
              <w:adjustRightInd w:val="0"/>
              <w:ind w:right="-159"/>
              <w:jc w:val="both"/>
              <w:textAlignment w:val="baseline"/>
              <w:rPr>
                <w:bCs/>
                <w:sz w:val="20"/>
              </w:rPr>
            </w:pPr>
            <w:r w:rsidRPr="000E3A45">
              <w:rPr>
                <w:bCs/>
                <w:sz w:val="20"/>
              </w:rPr>
              <w:t>Agosto</w:t>
            </w:r>
          </w:p>
        </w:tc>
        <w:tc>
          <w:tcPr>
            <w:tcW w:w="1800" w:type="dxa"/>
            <w:tcBorders>
              <w:top w:val="nil"/>
              <w:left w:val="single" w:sz="4" w:space="0" w:color="auto"/>
              <w:bottom w:val="nil"/>
              <w:right w:val="single" w:sz="4" w:space="0" w:color="auto"/>
            </w:tcBorders>
          </w:tcPr>
          <w:p w14:paraId="52F659FD"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-9.64</w:t>
            </w:r>
          </w:p>
        </w:tc>
        <w:tc>
          <w:tcPr>
            <w:tcW w:w="1800" w:type="dxa"/>
            <w:tcBorders>
              <w:top w:val="nil"/>
              <w:left w:val="single" w:sz="4" w:space="0" w:color="auto"/>
              <w:bottom w:val="nil"/>
              <w:right w:val="single" w:sz="4" w:space="0" w:color="auto"/>
            </w:tcBorders>
          </w:tcPr>
          <w:p w14:paraId="4FE713E1"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1.56</w:t>
            </w:r>
          </w:p>
        </w:tc>
        <w:tc>
          <w:tcPr>
            <w:tcW w:w="1568" w:type="dxa"/>
            <w:tcBorders>
              <w:top w:val="nil"/>
              <w:left w:val="single" w:sz="4" w:space="0" w:color="auto"/>
              <w:bottom w:val="nil"/>
            </w:tcBorders>
          </w:tcPr>
          <w:p w14:paraId="6EF277D3"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-11.35</w:t>
            </w:r>
          </w:p>
        </w:tc>
      </w:tr>
      <w:tr w:rsidR="00233C7A" w:rsidRPr="000E3A45" w14:paraId="4B46C944" w14:textId="77777777" w:rsidTr="005D1442">
        <w:trPr>
          <w:jc w:val="center"/>
        </w:trPr>
        <w:tc>
          <w:tcPr>
            <w:tcW w:w="1800" w:type="dxa"/>
            <w:tcBorders>
              <w:top w:val="nil"/>
              <w:bottom w:val="nil"/>
              <w:right w:val="single" w:sz="4" w:space="0" w:color="auto"/>
            </w:tcBorders>
          </w:tcPr>
          <w:p w14:paraId="00E65A2D" w14:textId="77777777" w:rsidR="00233C7A" w:rsidRPr="000E3A45" w:rsidRDefault="00233C7A" w:rsidP="00233C7A">
            <w:pPr>
              <w:widowControl w:val="0"/>
              <w:adjustRightInd w:val="0"/>
              <w:ind w:right="-159"/>
              <w:jc w:val="both"/>
              <w:textAlignment w:val="baseline"/>
              <w:rPr>
                <w:bCs/>
                <w:sz w:val="20"/>
              </w:rPr>
            </w:pPr>
            <w:r w:rsidRPr="000E3A45">
              <w:rPr>
                <w:bCs/>
                <w:sz w:val="20"/>
              </w:rPr>
              <w:t>Septiembre</w:t>
            </w:r>
          </w:p>
        </w:tc>
        <w:tc>
          <w:tcPr>
            <w:tcW w:w="1800" w:type="dxa"/>
            <w:tcBorders>
              <w:top w:val="nil"/>
              <w:left w:val="single" w:sz="4" w:space="0" w:color="auto"/>
              <w:bottom w:val="nil"/>
              <w:right w:val="single" w:sz="4" w:space="0" w:color="auto"/>
            </w:tcBorders>
          </w:tcPr>
          <w:p w14:paraId="201E1477"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-8.06</w:t>
            </w:r>
          </w:p>
        </w:tc>
        <w:tc>
          <w:tcPr>
            <w:tcW w:w="1800" w:type="dxa"/>
            <w:tcBorders>
              <w:top w:val="nil"/>
              <w:left w:val="single" w:sz="4" w:space="0" w:color="auto"/>
              <w:bottom w:val="nil"/>
              <w:right w:val="single" w:sz="4" w:space="0" w:color="auto"/>
            </w:tcBorders>
          </w:tcPr>
          <w:p w14:paraId="3D03E1D6"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1.94</w:t>
            </w:r>
          </w:p>
        </w:tc>
        <w:tc>
          <w:tcPr>
            <w:tcW w:w="1568" w:type="dxa"/>
            <w:tcBorders>
              <w:top w:val="nil"/>
              <w:left w:val="single" w:sz="4" w:space="0" w:color="auto"/>
              <w:bottom w:val="nil"/>
            </w:tcBorders>
          </w:tcPr>
          <w:p w14:paraId="58FBB475"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-10.16</w:t>
            </w:r>
          </w:p>
        </w:tc>
      </w:tr>
      <w:tr w:rsidR="00233C7A" w:rsidRPr="000E3A45" w14:paraId="36EE65D3" w14:textId="77777777" w:rsidTr="005D1442">
        <w:trPr>
          <w:jc w:val="center"/>
        </w:trPr>
        <w:tc>
          <w:tcPr>
            <w:tcW w:w="1800" w:type="dxa"/>
            <w:tcBorders>
              <w:top w:val="nil"/>
              <w:bottom w:val="nil"/>
              <w:right w:val="single" w:sz="4" w:space="0" w:color="auto"/>
            </w:tcBorders>
          </w:tcPr>
          <w:p w14:paraId="75A40A98" w14:textId="77777777" w:rsidR="00233C7A" w:rsidRPr="000E3A45" w:rsidRDefault="00233C7A" w:rsidP="00233C7A">
            <w:pPr>
              <w:widowControl w:val="0"/>
              <w:adjustRightInd w:val="0"/>
              <w:ind w:right="-159"/>
              <w:jc w:val="both"/>
              <w:textAlignment w:val="baseline"/>
              <w:rPr>
                <w:bCs/>
                <w:sz w:val="20"/>
              </w:rPr>
            </w:pPr>
            <w:r w:rsidRPr="000E3A45">
              <w:rPr>
                <w:bCs/>
                <w:sz w:val="20"/>
              </w:rPr>
              <w:t>Octubre</w:t>
            </w:r>
          </w:p>
        </w:tc>
        <w:tc>
          <w:tcPr>
            <w:tcW w:w="1800" w:type="dxa"/>
            <w:tcBorders>
              <w:top w:val="nil"/>
              <w:left w:val="single" w:sz="4" w:space="0" w:color="auto"/>
              <w:bottom w:val="nil"/>
              <w:right w:val="single" w:sz="4" w:space="0" w:color="auto"/>
            </w:tcBorders>
          </w:tcPr>
          <w:p w14:paraId="313761B4"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-6.10</w:t>
            </w:r>
          </w:p>
        </w:tc>
        <w:tc>
          <w:tcPr>
            <w:tcW w:w="1800" w:type="dxa"/>
            <w:tcBorders>
              <w:top w:val="nil"/>
              <w:left w:val="single" w:sz="4" w:space="0" w:color="auto"/>
              <w:bottom w:val="nil"/>
              <w:right w:val="single" w:sz="4" w:space="0" w:color="auto"/>
            </w:tcBorders>
          </w:tcPr>
          <w:p w14:paraId="34AC133A"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2.43</w:t>
            </w:r>
          </w:p>
        </w:tc>
        <w:tc>
          <w:tcPr>
            <w:tcW w:w="1568" w:type="dxa"/>
            <w:tcBorders>
              <w:top w:val="nil"/>
              <w:left w:val="single" w:sz="4" w:space="0" w:color="auto"/>
              <w:bottom w:val="nil"/>
            </w:tcBorders>
          </w:tcPr>
          <w:p w14:paraId="486A73EF"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-8.68</w:t>
            </w:r>
          </w:p>
        </w:tc>
      </w:tr>
      <w:tr w:rsidR="00233C7A" w:rsidRPr="000E3A45" w14:paraId="7E49260F" w14:textId="77777777" w:rsidTr="000F3535">
        <w:trPr>
          <w:jc w:val="center"/>
        </w:trPr>
        <w:tc>
          <w:tcPr>
            <w:tcW w:w="1800" w:type="dxa"/>
            <w:tcBorders>
              <w:top w:val="nil"/>
              <w:bottom w:val="nil"/>
              <w:right w:val="single" w:sz="4" w:space="0" w:color="auto"/>
            </w:tcBorders>
          </w:tcPr>
          <w:p w14:paraId="72C52CDC" w14:textId="77777777" w:rsidR="00233C7A" w:rsidRPr="000E3A45" w:rsidRDefault="00233C7A" w:rsidP="00233C7A">
            <w:pPr>
              <w:widowControl w:val="0"/>
              <w:adjustRightInd w:val="0"/>
              <w:ind w:right="-159"/>
              <w:jc w:val="both"/>
              <w:textAlignment w:val="baseline"/>
              <w:rPr>
                <w:bCs/>
                <w:sz w:val="20"/>
              </w:rPr>
            </w:pPr>
            <w:r w:rsidRPr="000E3A45">
              <w:rPr>
                <w:bCs/>
                <w:sz w:val="20"/>
              </w:rPr>
              <w:t>Noviembre</w:t>
            </w:r>
          </w:p>
        </w:tc>
        <w:tc>
          <w:tcPr>
            <w:tcW w:w="1800" w:type="dxa"/>
            <w:tcBorders>
              <w:top w:val="nil"/>
              <w:left w:val="single" w:sz="4" w:space="0" w:color="auto"/>
              <w:bottom w:val="nil"/>
              <w:right w:val="single" w:sz="4" w:space="0" w:color="auto"/>
            </w:tcBorders>
          </w:tcPr>
          <w:p w14:paraId="1156F2A1"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-2.76</w:t>
            </w:r>
          </w:p>
        </w:tc>
        <w:tc>
          <w:tcPr>
            <w:tcW w:w="1800" w:type="dxa"/>
            <w:tcBorders>
              <w:top w:val="nil"/>
              <w:left w:val="single" w:sz="4" w:space="0" w:color="auto"/>
              <w:bottom w:val="nil"/>
              <w:right w:val="single" w:sz="4" w:space="0" w:color="auto"/>
            </w:tcBorders>
          </w:tcPr>
          <w:p w14:paraId="4FA6C3F5"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3.38</w:t>
            </w:r>
          </w:p>
        </w:tc>
        <w:tc>
          <w:tcPr>
            <w:tcW w:w="1568" w:type="dxa"/>
            <w:tcBorders>
              <w:top w:val="nil"/>
              <w:left w:val="single" w:sz="4" w:space="0" w:color="auto"/>
              <w:bottom w:val="nil"/>
            </w:tcBorders>
          </w:tcPr>
          <w:p w14:paraId="4BB8740E"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-6.23</w:t>
            </w:r>
          </w:p>
        </w:tc>
      </w:tr>
      <w:tr w:rsidR="00233C7A" w:rsidRPr="000E3A45" w14:paraId="56A30584" w14:textId="77777777" w:rsidTr="00846735">
        <w:trPr>
          <w:jc w:val="center"/>
        </w:trPr>
        <w:tc>
          <w:tcPr>
            <w:tcW w:w="1800" w:type="dxa"/>
            <w:tcBorders>
              <w:top w:val="nil"/>
              <w:bottom w:val="single" w:sz="4" w:space="0" w:color="auto"/>
              <w:right w:val="single" w:sz="4" w:space="0" w:color="auto"/>
            </w:tcBorders>
          </w:tcPr>
          <w:p w14:paraId="5745F9A5" w14:textId="77777777" w:rsidR="00233C7A" w:rsidRPr="000E3A45" w:rsidRDefault="00233C7A" w:rsidP="00233C7A">
            <w:pPr>
              <w:widowControl w:val="0"/>
              <w:adjustRightInd w:val="0"/>
              <w:ind w:right="-159"/>
              <w:jc w:val="both"/>
              <w:textAlignment w:val="baseline"/>
              <w:rPr>
                <w:bCs/>
                <w:sz w:val="20"/>
              </w:rPr>
            </w:pPr>
            <w:r w:rsidRPr="000E3A45">
              <w:rPr>
                <w:bCs/>
                <w:sz w:val="20"/>
              </w:rPr>
              <w:t>Diciembre</w:t>
            </w:r>
          </w:p>
        </w:tc>
        <w:tc>
          <w:tcPr>
            <w:tcW w:w="1800" w:type="dxa"/>
            <w:tcBorders>
              <w:top w:val="nil"/>
              <w:left w:val="single" w:sz="4" w:space="0" w:color="auto"/>
              <w:bottom w:val="single" w:sz="4" w:space="0" w:color="auto"/>
              <w:right w:val="single" w:sz="4" w:space="0" w:color="auto"/>
            </w:tcBorders>
          </w:tcPr>
          <w:p w14:paraId="328713DF"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-2.24</w:t>
            </w:r>
          </w:p>
        </w:tc>
        <w:tc>
          <w:tcPr>
            <w:tcW w:w="1800" w:type="dxa"/>
            <w:tcBorders>
              <w:top w:val="nil"/>
              <w:left w:val="single" w:sz="4" w:space="0" w:color="auto"/>
              <w:bottom w:val="single" w:sz="4" w:space="0" w:color="auto"/>
              <w:right w:val="single" w:sz="4" w:space="0" w:color="auto"/>
            </w:tcBorders>
          </w:tcPr>
          <w:p w14:paraId="03121F31"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3.97</w:t>
            </w:r>
          </w:p>
        </w:tc>
        <w:tc>
          <w:tcPr>
            <w:tcW w:w="1568" w:type="dxa"/>
            <w:tcBorders>
              <w:top w:val="nil"/>
              <w:left w:val="single" w:sz="4" w:space="0" w:color="auto"/>
              <w:bottom w:val="single" w:sz="4" w:space="0" w:color="auto"/>
            </w:tcBorders>
          </w:tcPr>
          <w:p w14:paraId="694351B9"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-6.30</w:t>
            </w:r>
          </w:p>
        </w:tc>
      </w:tr>
      <w:tr w:rsidR="00233C7A" w:rsidRPr="000E3A45" w14:paraId="6D531C9C" w14:textId="77777777" w:rsidTr="0042319C">
        <w:trPr>
          <w:jc w:val="center"/>
        </w:trPr>
        <w:tc>
          <w:tcPr>
            <w:tcW w:w="6968" w:type="dxa"/>
            <w:gridSpan w:val="4"/>
            <w:tcBorders>
              <w:top w:val="nil"/>
              <w:bottom w:val="single" w:sz="4" w:space="0" w:color="auto"/>
            </w:tcBorders>
          </w:tcPr>
          <w:p w14:paraId="47178B98" w14:textId="77777777" w:rsidR="00233C7A" w:rsidRPr="000E3A45" w:rsidRDefault="00233C7A" w:rsidP="00233C7A">
            <w:pPr>
              <w:widowControl w:val="0"/>
              <w:tabs>
                <w:tab w:val="left" w:pos="1057"/>
              </w:tabs>
              <w:adjustRightInd w:val="0"/>
              <w:ind w:right="414"/>
              <w:jc w:val="center"/>
              <w:textAlignment w:val="baseline"/>
              <w:rPr>
                <w:sz w:val="20"/>
              </w:rPr>
            </w:pPr>
            <w:r w:rsidRPr="000E3A45">
              <w:rPr>
                <w:sz w:val="20"/>
              </w:rPr>
              <w:t>2014</w:t>
            </w:r>
            <w:r w:rsidRPr="000E3A45">
              <w:rPr>
                <w:sz w:val="20"/>
                <w:szCs w:val="20"/>
                <w:u w:val="single"/>
                <w:vertAlign w:val="superscript"/>
              </w:rPr>
              <w:t>1</w:t>
            </w:r>
            <w:r w:rsidRPr="000E3A45">
              <w:rPr>
                <w:sz w:val="20"/>
                <w:szCs w:val="20"/>
                <w:vertAlign w:val="superscript"/>
              </w:rPr>
              <w:t>/</w:t>
            </w:r>
          </w:p>
        </w:tc>
      </w:tr>
      <w:tr w:rsidR="00233C7A" w:rsidRPr="000E3A45" w14:paraId="35B36103" w14:textId="77777777" w:rsidTr="002E524C">
        <w:trPr>
          <w:jc w:val="center"/>
        </w:trPr>
        <w:tc>
          <w:tcPr>
            <w:tcW w:w="1800" w:type="dxa"/>
            <w:tcBorders>
              <w:top w:val="nil"/>
              <w:bottom w:val="nil"/>
              <w:right w:val="single" w:sz="4" w:space="0" w:color="auto"/>
            </w:tcBorders>
          </w:tcPr>
          <w:p w14:paraId="287D7712" w14:textId="77777777" w:rsidR="00233C7A" w:rsidRPr="000E3A45" w:rsidRDefault="00233C7A" w:rsidP="00233C7A">
            <w:pPr>
              <w:widowControl w:val="0"/>
              <w:adjustRightInd w:val="0"/>
              <w:ind w:right="-159"/>
              <w:jc w:val="both"/>
              <w:textAlignment w:val="baseline"/>
              <w:rPr>
                <w:bCs/>
                <w:sz w:val="20"/>
              </w:rPr>
            </w:pPr>
            <w:r w:rsidRPr="000E3A45">
              <w:rPr>
                <w:bCs/>
                <w:sz w:val="20"/>
              </w:rPr>
              <w:t>Enero</w:t>
            </w:r>
          </w:p>
        </w:tc>
        <w:tc>
          <w:tcPr>
            <w:tcW w:w="1800" w:type="dxa"/>
            <w:tcBorders>
              <w:top w:val="nil"/>
              <w:left w:val="single" w:sz="4" w:space="0" w:color="auto"/>
              <w:bottom w:val="nil"/>
              <w:right w:val="single" w:sz="4" w:space="0" w:color="auto"/>
            </w:tcBorders>
          </w:tcPr>
          <w:p w14:paraId="704DC4AE"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-4.32</w:t>
            </w:r>
          </w:p>
        </w:tc>
        <w:tc>
          <w:tcPr>
            <w:tcW w:w="1800" w:type="dxa"/>
            <w:tcBorders>
              <w:top w:val="nil"/>
              <w:left w:val="single" w:sz="4" w:space="0" w:color="auto"/>
              <w:bottom w:val="nil"/>
              <w:right w:val="single" w:sz="4" w:space="0" w:color="auto"/>
            </w:tcBorders>
          </w:tcPr>
          <w:p w14:paraId="727F2A90"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0.89</w:t>
            </w:r>
          </w:p>
        </w:tc>
        <w:tc>
          <w:tcPr>
            <w:tcW w:w="1568" w:type="dxa"/>
            <w:tcBorders>
              <w:top w:val="nil"/>
              <w:left w:val="single" w:sz="4" w:space="0" w:color="auto"/>
              <w:bottom w:val="nil"/>
            </w:tcBorders>
          </w:tcPr>
          <w:p w14:paraId="1390D11F"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-5.25</w:t>
            </w:r>
          </w:p>
        </w:tc>
      </w:tr>
      <w:tr w:rsidR="00233C7A" w:rsidRPr="000E3A45" w14:paraId="10677300" w14:textId="77777777" w:rsidTr="002E524C">
        <w:trPr>
          <w:jc w:val="center"/>
        </w:trPr>
        <w:tc>
          <w:tcPr>
            <w:tcW w:w="1800" w:type="dxa"/>
            <w:tcBorders>
              <w:top w:val="nil"/>
              <w:bottom w:val="nil"/>
              <w:right w:val="single" w:sz="4" w:space="0" w:color="auto"/>
            </w:tcBorders>
          </w:tcPr>
          <w:p w14:paraId="3D9D8642" w14:textId="77777777" w:rsidR="00233C7A" w:rsidRPr="000E3A45" w:rsidRDefault="00233C7A" w:rsidP="00233C7A">
            <w:pPr>
              <w:widowControl w:val="0"/>
              <w:adjustRightInd w:val="0"/>
              <w:ind w:right="-159"/>
              <w:jc w:val="both"/>
              <w:textAlignment w:val="baseline"/>
              <w:rPr>
                <w:bCs/>
                <w:sz w:val="20"/>
              </w:rPr>
            </w:pPr>
            <w:r w:rsidRPr="000E3A45">
              <w:rPr>
                <w:bCs/>
                <w:sz w:val="20"/>
              </w:rPr>
              <w:t>Febrero</w:t>
            </w:r>
          </w:p>
        </w:tc>
        <w:tc>
          <w:tcPr>
            <w:tcW w:w="1800" w:type="dxa"/>
            <w:tcBorders>
              <w:top w:val="nil"/>
              <w:left w:val="single" w:sz="4" w:space="0" w:color="auto"/>
              <w:bottom w:val="nil"/>
              <w:right w:val="single" w:sz="4" w:space="0" w:color="auto"/>
            </w:tcBorders>
          </w:tcPr>
          <w:p w14:paraId="5F346778"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-9.23</w:t>
            </w:r>
          </w:p>
        </w:tc>
        <w:tc>
          <w:tcPr>
            <w:tcW w:w="1800" w:type="dxa"/>
            <w:tcBorders>
              <w:top w:val="nil"/>
              <w:left w:val="single" w:sz="4" w:space="0" w:color="auto"/>
              <w:bottom w:val="nil"/>
              <w:right w:val="single" w:sz="4" w:space="0" w:color="auto"/>
            </w:tcBorders>
          </w:tcPr>
          <w:p w14:paraId="78724A18"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1.15</w:t>
            </w:r>
          </w:p>
        </w:tc>
        <w:tc>
          <w:tcPr>
            <w:tcW w:w="1568" w:type="dxa"/>
            <w:tcBorders>
              <w:top w:val="nil"/>
              <w:left w:val="single" w:sz="4" w:space="0" w:color="auto"/>
              <w:bottom w:val="nil"/>
            </w:tcBorders>
          </w:tcPr>
          <w:p w14:paraId="53918350" w14:textId="77777777" w:rsidR="00233C7A" w:rsidRPr="000E3A45" w:rsidRDefault="0024055A" w:rsidP="00233C7A">
            <w:pPr>
              <w:widowControl w:val="0"/>
              <w:tabs>
                <w:tab w:val="left" w:pos="1057"/>
              </w:tabs>
              <w:adjustRightInd w:val="0"/>
              <w:ind w:right="510"/>
              <w:jc w:val="right"/>
              <w:textAlignment w:val="baseline"/>
              <w:rPr>
                <w:sz w:val="20"/>
              </w:rPr>
            </w:pPr>
            <w:r w:rsidRPr="000E3A45">
              <w:rPr>
                <w:sz w:val="20"/>
              </w:rPr>
              <w:t>-10.49</w:t>
            </w:r>
          </w:p>
        </w:tc>
      </w:tr>
      <w:tr w:rsidR="008A1F79" w:rsidRPr="000E3A45" w14:paraId="05448765" w14:textId="77777777" w:rsidTr="002E524C">
        <w:trPr>
          <w:jc w:val="center"/>
        </w:trPr>
        <w:tc>
          <w:tcPr>
            <w:tcW w:w="1800" w:type="dxa"/>
            <w:tcBorders>
              <w:top w:val="nil"/>
              <w:bottom w:val="nil"/>
              <w:right w:val="single" w:sz="4" w:space="0" w:color="auto"/>
            </w:tcBorders>
          </w:tcPr>
          <w:p w14:paraId="6BB37FCB" w14:textId="77777777" w:rsidR="008A1F79" w:rsidRPr="000E3A45" w:rsidRDefault="008A1F79" w:rsidP="008A1F79">
            <w:pPr>
              <w:widowControl w:val="0"/>
              <w:adjustRightInd w:val="0"/>
              <w:ind w:right="-159"/>
              <w:jc w:val="both"/>
              <w:textAlignment w:val="baseline"/>
              <w:rPr>
                <w:bCs/>
                <w:sz w:val="20"/>
              </w:rPr>
            </w:pPr>
            <w:r w:rsidRPr="000E3A45">
              <w:rPr>
                <w:bCs/>
                <w:sz w:val="20"/>
              </w:rPr>
              <w:t>Marzo</w:t>
            </w:r>
          </w:p>
        </w:tc>
        <w:tc>
          <w:tcPr>
            <w:tcW w:w="1800" w:type="dxa"/>
            <w:tcBorders>
              <w:top w:val="nil"/>
              <w:left w:val="single" w:sz="4" w:space="0" w:color="auto"/>
              <w:bottom w:val="nil"/>
              <w:right w:val="single" w:sz="4" w:space="0" w:color="auto"/>
            </w:tcBorders>
          </w:tcPr>
          <w:p w14:paraId="603A82CF" w14:textId="77777777" w:rsidR="008A1F79" w:rsidRPr="000E3A45" w:rsidRDefault="008A1F79" w:rsidP="005540CD">
            <w:pPr>
              <w:widowControl w:val="0"/>
              <w:tabs>
                <w:tab w:val="left" w:pos="1057"/>
              </w:tabs>
              <w:adjustRightInd w:val="0"/>
              <w:ind w:right="510"/>
              <w:jc w:val="right"/>
              <w:textAlignment w:val="baseline"/>
              <w:rPr>
                <w:sz w:val="20"/>
              </w:rPr>
            </w:pPr>
            <w:r w:rsidRPr="000E3A45">
              <w:rPr>
                <w:sz w:val="20"/>
              </w:rPr>
              <w:t>-</w:t>
            </w:r>
            <w:r w:rsidR="005540CD" w:rsidRPr="000E3A45">
              <w:rPr>
                <w:sz w:val="20"/>
              </w:rPr>
              <w:t>5.30</w:t>
            </w:r>
          </w:p>
        </w:tc>
        <w:tc>
          <w:tcPr>
            <w:tcW w:w="1800" w:type="dxa"/>
            <w:tcBorders>
              <w:top w:val="nil"/>
              <w:left w:val="single" w:sz="4" w:space="0" w:color="auto"/>
              <w:bottom w:val="nil"/>
              <w:right w:val="single" w:sz="4" w:space="0" w:color="auto"/>
            </w:tcBorders>
          </w:tcPr>
          <w:p w14:paraId="3FB926FA" w14:textId="77777777" w:rsidR="008A1F79" w:rsidRPr="000E3A45" w:rsidRDefault="008A1F79" w:rsidP="008A1F79">
            <w:pPr>
              <w:widowControl w:val="0"/>
              <w:tabs>
                <w:tab w:val="left" w:pos="1057"/>
              </w:tabs>
              <w:adjustRightInd w:val="0"/>
              <w:ind w:right="510"/>
              <w:jc w:val="right"/>
              <w:textAlignment w:val="baseline"/>
              <w:rPr>
                <w:sz w:val="20"/>
              </w:rPr>
            </w:pPr>
            <w:r w:rsidRPr="000E3A45">
              <w:rPr>
                <w:sz w:val="20"/>
              </w:rPr>
              <w:t>1.</w:t>
            </w:r>
            <w:r w:rsidR="0011762B" w:rsidRPr="000E3A45">
              <w:rPr>
                <w:sz w:val="20"/>
              </w:rPr>
              <w:t>43</w:t>
            </w:r>
          </w:p>
        </w:tc>
        <w:tc>
          <w:tcPr>
            <w:tcW w:w="1568" w:type="dxa"/>
            <w:tcBorders>
              <w:top w:val="nil"/>
              <w:left w:val="single" w:sz="4" w:space="0" w:color="auto"/>
              <w:bottom w:val="nil"/>
            </w:tcBorders>
          </w:tcPr>
          <w:p w14:paraId="3D190E40" w14:textId="77777777" w:rsidR="008A1F79" w:rsidRPr="000E3A45" w:rsidRDefault="009A4175" w:rsidP="0011762B">
            <w:pPr>
              <w:widowControl w:val="0"/>
              <w:tabs>
                <w:tab w:val="left" w:pos="1057"/>
              </w:tabs>
              <w:adjustRightInd w:val="0"/>
              <w:ind w:right="510"/>
              <w:jc w:val="right"/>
              <w:textAlignment w:val="baseline"/>
              <w:rPr>
                <w:sz w:val="20"/>
              </w:rPr>
            </w:pPr>
            <w:r w:rsidRPr="000E3A45">
              <w:rPr>
                <w:sz w:val="20"/>
              </w:rPr>
              <w:t>-</w:t>
            </w:r>
            <w:r w:rsidR="0011762B" w:rsidRPr="000E3A45">
              <w:rPr>
                <w:sz w:val="20"/>
              </w:rPr>
              <w:t>6.81</w:t>
            </w:r>
          </w:p>
        </w:tc>
      </w:tr>
      <w:tr w:rsidR="009F525E" w:rsidRPr="000E3A45" w14:paraId="5B3CF4FF" w14:textId="77777777" w:rsidTr="002E524C">
        <w:trPr>
          <w:jc w:val="center"/>
        </w:trPr>
        <w:tc>
          <w:tcPr>
            <w:tcW w:w="1800" w:type="dxa"/>
            <w:tcBorders>
              <w:top w:val="nil"/>
              <w:bottom w:val="nil"/>
              <w:right w:val="single" w:sz="4" w:space="0" w:color="auto"/>
            </w:tcBorders>
          </w:tcPr>
          <w:p w14:paraId="310ACE83" w14:textId="77777777" w:rsidR="009F525E" w:rsidRPr="000E3A45" w:rsidRDefault="009F525E" w:rsidP="009F525E">
            <w:pPr>
              <w:widowControl w:val="0"/>
              <w:adjustRightInd w:val="0"/>
              <w:ind w:right="-159"/>
              <w:jc w:val="both"/>
              <w:textAlignment w:val="baseline"/>
              <w:rPr>
                <w:bCs/>
                <w:sz w:val="20"/>
              </w:rPr>
            </w:pPr>
            <w:r w:rsidRPr="000E3A45">
              <w:rPr>
                <w:bCs/>
                <w:sz w:val="20"/>
              </w:rPr>
              <w:t>Abril</w:t>
            </w:r>
          </w:p>
        </w:tc>
        <w:tc>
          <w:tcPr>
            <w:tcW w:w="1800" w:type="dxa"/>
            <w:tcBorders>
              <w:top w:val="nil"/>
              <w:left w:val="single" w:sz="4" w:space="0" w:color="auto"/>
              <w:bottom w:val="nil"/>
              <w:right w:val="single" w:sz="4" w:space="0" w:color="auto"/>
            </w:tcBorders>
          </w:tcPr>
          <w:p w14:paraId="06A14080" w14:textId="77777777" w:rsidR="009F525E" w:rsidRPr="000E3A45" w:rsidRDefault="009F525E" w:rsidP="009F525E">
            <w:pPr>
              <w:widowControl w:val="0"/>
              <w:tabs>
                <w:tab w:val="left" w:pos="1057"/>
              </w:tabs>
              <w:adjustRightInd w:val="0"/>
              <w:ind w:right="510"/>
              <w:jc w:val="right"/>
              <w:textAlignment w:val="baseline"/>
              <w:rPr>
                <w:sz w:val="20"/>
              </w:rPr>
            </w:pPr>
            <w:r w:rsidRPr="000E3A45">
              <w:rPr>
                <w:sz w:val="20"/>
              </w:rPr>
              <w:t>-4.72</w:t>
            </w:r>
          </w:p>
        </w:tc>
        <w:tc>
          <w:tcPr>
            <w:tcW w:w="1800" w:type="dxa"/>
            <w:tcBorders>
              <w:top w:val="nil"/>
              <w:left w:val="single" w:sz="4" w:space="0" w:color="auto"/>
              <w:bottom w:val="nil"/>
              <w:right w:val="single" w:sz="4" w:space="0" w:color="auto"/>
            </w:tcBorders>
          </w:tcPr>
          <w:p w14:paraId="733417DC" w14:textId="77777777" w:rsidR="009F525E" w:rsidRPr="000E3A45" w:rsidRDefault="009F525E" w:rsidP="009F525E">
            <w:pPr>
              <w:widowControl w:val="0"/>
              <w:tabs>
                <w:tab w:val="left" w:pos="1057"/>
              </w:tabs>
              <w:adjustRightInd w:val="0"/>
              <w:ind w:right="510"/>
              <w:jc w:val="right"/>
              <w:textAlignment w:val="baseline"/>
              <w:rPr>
                <w:sz w:val="20"/>
              </w:rPr>
            </w:pPr>
            <w:r w:rsidRPr="000E3A45">
              <w:rPr>
                <w:sz w:val="20"/>
              </w:rPr>
              <w:t>1.24</w:t>
            </w:r>
          </w:p>
        </w:tc>
        <w:tc>
          <w:tcPr>
            <w:tcW w:w="1568" w:type="dxa"/>
            <w:tcBorders>
              <w:top w:val="nil"/>
              <w:left w:val="single" w:sz="4" w:space="0" w:color="auto"/>
              <w:bottom w:val="nil"/>
            </w:tcBorders>
          </w:tcPr>
          <w:p w14:paraId="308436F4" w14:textId="77777777" w:rsidR="009F525E" w:rsidRPr="000E3A45" w:rsidRDefault="009F525E" w:rsidP="009F525E">
            <w:pPr>
              <w:widowControl w:val="0"/>
              <w:tabs>
                <w:tab w:val="left" w:pos="1057"/>
              </w:tabs>
              <w:adjustRightInd w:val="0"/>
              <w:ind w:right="510"/>
              <w:jc w:val="right"/>
              <w:textAlignment w:val="baseline"/>
              <w:rPr>
                <w:sz w:val="20"/>
              </w:rPr>
            </w:pPr>
            <w:r w:rsidRPr="000E3A45">
              <w:rPr>
                <w:sz w:val="20"/>
              </w:rPr>
              <w:t>-6.02</w:t>
            </w:r>
          </w:p>
        </w:tc>
      </w:tr>
      <w:tr w:rsidR="00E238B1" w:rsidRPr="000E3A45" w14:paraId="1DD52F34" w14:textId="77777777" w:rsidTr="002E524C">
        <w:trPr>
          <w:jc w:val="center"/>
        </w:trPr>
        <w:tc>
          <w:tcPr>
            <w:tcW w:w="1800" w:type="dxa"/>
            <w:tcBorders>
              <w:top w:val="nil"/>
              <w:bottom w:val="nil"/>
              <w:right w:val="single" w:sz="4" w:space="0" w:color="auto"/>
            </w:tcBorders>
          </w:tcPr>
          <w:p w14:paraId="4C8FC9FB" w14:textId="77777777" w:rsidR="00E238B1" w:rsidRPr="000E3A45" w:rsidRDefault="00E238B1" w:rsidP="00E238B1">
            <w:pPr>
              <w:widowControl w:val="0"/>
              <w:adjustRightInd w:val="0"/>
              <w:ind w:right="-159"/>
              <w:jc w:val="both"/>
              <w:textAlignment w:val="baseline"/>
              <w:rPr>
                <w:bCs/>
                <w:sz w:val="20"/>
              </w:rPr>
            </w:pPr>
            <w:r w:rsidRPr="000E3A45">
              <w:rPr>
                <w:bCs/>
                <w:sz w:val="20"/>
              </w:rPr>
              <w:t>Mayo</w:t>
            </w:r>
          </w:p>
        </w:tc>
        <w:tc>
          <w:tcPr>
            <w:tcW w:w="1800" w:type="dxa"/>
            <w:tcBorders>
              <w:top w:val="nil"/>
              <w:left w:val="single" w:sz="4" w:space="0" w:color="auto"/>
              <w:bottom w:val="nil"/>
              <w:right w:val="single" w:sz="4" w:space="0" w:color="auto"/>
            </w:tcBorders>
          </w:tcPr>
          <w:p w14:paraId="434478E0" w14:textId="77777777" w:rsidR="00E238B1" w:rsidRPr="000E3A45" w:rsidRDefault="00E238B1" w:rsidP="00665639">
            <w:pPr>
              <w:widowControl w:val="0"/>
              <w:tabs>
                <w:tab w:val="left" w:pos="1057"/>
              </w:tabs>
              <w:adjustRightInd w:val="0"/>
              <w:ind w:right="510"/>
              <w:jc w:val="right"/>
              <w:textAlignment w:val="baseline"/>
              <w:rPr>
                <w:sz w:val="20"/>
              </w:rPr>
            </w:pPr>
            <w:r w:rsidRPr="000E3A45">
              <w:rPr>
                <w:sz w:val="20"/>
              </w:rPr>
              <w:t>-</w:t>
            </w:r>
            <w:r w:rsidR="00665639" w:rsidRPr="000E3A45">
              <w:rPr>
                <w:sz w:val="20"/>
              </w:rPr>
              <w:t>3.19</w:t>
            </w:r>
          </w:p>
        </w:tc>
        <w:tc>
          <w:tcPr>
            <w:tcW w:w="1800" w:type="dxa"/>
            <w:tcBorders>
              <w:top w:val="nil"/>
              <w:left w:val="single" w:sz="4" w:space="0" w:color="auto"/>
              <w:bottom w:val="nil"/>
              <w:right w:val="single" w:sz="4" w:space="0" w:color="auto"/>
            </w:tcBorders>
          </w:tcPr>
          <w:p w14:paraId="34DE0949" w14:textId="77777777" w:rsidR="00E238B1" w:rsidRPr="000E3A45" w:rsidRDefault="00665639" w:rsidP="00665639">
            <w:pPr>
              <w:widowControl w:val="0"/>
              <w:tabs>
                <w:tab w:val="left" w:pos="1057"/>
              </w:tabs>
              <w:adjustRightInd w:val="0"/>
              <w:ind w:right="510"/>
              <w:jc w:val="right"/>
              <w:textAlignment w:val="baseline"/>
              <w:rPr>
                <w:sz w:val="20"/>
              </w:rPr>
            </w:pPr>
            <w:r w:rsidRPr="000E3A45">
              <w:rPr>
                <w:sz w:val="20"/>
              </w:rPr>
              <w:t>0.91</w:t>
            </w:r>
          </w:p>
        </w:tc>
        <w:tc>
          <w:tcPr>
            <w:tcW w:w="1568" w:type="dxa"/>
            <w:tcBorders>
              <w:top w:val="nil"/>
              <w:left w:val="single" w:sz="4" w:space="0" w:color="auto"/>
              <w:bottom w:val="nil"/>
            </w:tcBorders>
          </w:tcPr>
          <w:p w14:paraId="4516FC2D" w14:textId="77777777" w:rsidR="00E238B1" w:rsidRPr="000E3A45" w:rsidRDefault="00E238B1" w:rsidP="00665639">
            <w:pPr>
              <w:widowControl w:val="0"/>
              <w:tabs>
                <w:tab w:val="left" w:pos="1057"/>
              </w:tabs>
              <w:adjustRightInd w:val="0"/>
              <w:ind w:right="510"/>
              <w:jc w:val="right"/>
              <w:textAlignment w:val="baseline"/>
              <w:rPr>
                <w:sz w:val="20"/>
              </w:rPr>
            </w:pPr>
            <w:r w:rsidRPr="000E3A45">
              <w:rPr>
                <w:sz w:val="20"/>
              </w:rPr>
              <w:t>-</w:t>
            </w:r>
            <w:r w:rsidR="00665639" w:rsidRPr="000E3A45">
              <w:rPr>
                <w:sz w:val="20"/>
              </w:rPr>
              <w:t>4.13</w:t>
            </w:r>
          </w:p>
        </w:tc>
      </w:tr>
      <w:tr w:rsidR="00EC5744" w:rsidRPr="000E3A45" w14:paraId="5D9A20B0" w14:textId="77777777" w:rsidTr="002E524C">
        <w:trPr>
          <w:jc w:val="center"/>
        </w:trPr>
        <w:tc>
          <w:tcPr>
            <w:tcW w:w="1800" w:type="dxa"/>
            <w:tcBorders>
              <w:top w:val="nil"/>
              <w:bottom w:val="nil"/>
              <w:right w:val="single" w:sz="4" w:space="0" w:color="auto"/>
            </w:tcBorders>
          </w:tcPr>
          <w:p w14:paraId="1680A41A" w14:textId="26016EB8" w:rsidR="00EC5744" w:rsidRPr="000E3A45" w:rsidRDefault="00EC5744" w:rsidP="00EC5744">
            <w:pPr>
              <w:widowControl w:val="0"/>
              <w:adjustRightInd w:val="0"/>
              <w:ind w:right="-159"/>
              <w:jc w:val="both"/>
              <w:textAlignment w:val="baseline"/>
              <w:rPr>
                <w:bCs/>
                <w:sz w:val="20"/>
              </w:rPr>
            </w:pPr>
            <w:r w:rsidRPr="000E3A45">
              <w:rPr>
                <w:bCs/>
                <w:sz w:val="20"/>
              </w:rPr>
              <w:t>Junio</w:t>
            </w:r>
          </w:p>
        </w:tc>
        <w:tc>
          <w:tcPr>
            <w:tcW w:w="1800" w:type="dxa"/>
            <w:tcBorders>
              <w:top w:val="nil"/>
              <w:left w:val="single" w:sz="4" w:space="0" w:color="auto"/>
              <w:bottom w:val="nil"/>
              <w:right w:val="single" w:sz="4" w:space="0" w:color="auto"/>
            </w:tcBorders>
          </w:tcPr>
          <w:p w14:paraId="6024347D" w14:textId="1EDBDD7D" w:rsidR="00EC5744" w:rsidRPr="000E3A45" w:rsidRDefault="00EC5744" w:rsidP="00EC5744">
            <w:pPr>
              <w:widowControl w:val="0"/>
              <w:tabs>
                <w:tab w:val="left" w:pos="1057"/>
              </w:tabs>
              <w:adjustRightInd w:val="0"/>
              <w:ind w:right="510"/>
              <w:jc w:val="right"/>
              <w:textAlignment w:val="baseline"/>
              <w:rPr>
                <w:sz w:val="20"/>
              </w:rPr>
            </w:pPr>
            <w:r w:rsidRPr="000E3A45">
              <w:rPr>
                <w:sz w:val="20"/>
              </w:rPr>
              <w:t>0.02</w:t>
            </w:r>
          </w:p>
        </w:tc>
        <w:tc>
          <w:tcPr>
            <w:tcW w:w="1800" w:type="dxa"/>
            <w:tcBorders>
              <w:top w:val="nil"/>
              <w:left w:val="single" w:sz="4" w:space="0" w:color="auto"/>
              <w:bottom w:val="nil"/>
              <w:right w:val="single" w:sz="4" w:space="0" w:color="auto"/>
            </w:tcBorders>
          </w:tcPr>
          <w:p w14:paraId="67FE7E58" w14:textId="5BE2C336" w:rsidR="00EC5744" w:rsidRPr="000E3A45" w:rsidRDefault="00EC5744" w:rsidP="00EC5744">
            <w:pPr>
              <w:widowControl w:val="0"/>
              <w:tabs>
                <w:tab w:val="left" w:pos="1057"/>
              </w:tabs>
              <w:adjustRightInd w:val="0"/>
              <w:ind w:right="510"/>
              <w:jc w:val="right"/>
              <w:textAlignment w:val="baseline"/>
              <w:rPr>
                <w:sz w:val="20"/>
              </w:rPr>
            </w:pPr>
            <w:r w:rsidRPr="000E3A45">
              <w:rPr>
                <w:sz w:val="20"/>
              </w:rPr>
              <w:t>1.09</w:t>
            </w:r>
          </w:p>
        </w:tc>
        <w:tc>
          <w:tcPr>
            <w:tcW w:w="1568" w:type="dxa"/>
            <w:tcBorders>
              <w:top w:val="nil"/>
              <w:left w:val="single" w:sz="4" w:space="0" w:color="auto"/>
              <w:bottom w:val="nil"/>
            </w:tcBorders>
          </w:tcPr>
          <w:p w14:paraId="2941D521" w14:textId="745E682E" w:rsidR="00EC5744" w:rsidRPr="000E3A45" w:rsidRDefault="00EC5744" w:rsidP="00EC5744">
            <w:pPr>
              <w:widowControl w:val="0"/>
              <w:tabs>
                <w:tab w:val="left" w:pos="1057"/>
              </w:tabs>
              <w:adjustRightInd w:val="0"/>
              <w:ind w:right="510"/>
              <w:jc w:val="right"/>
              <w:textAlignment w:val="baseline"/>
              <w:rPr>
                <w:sz w:val="20"/>
              </w:rPr>
            </w:pPr>
            <w:r w:rsidRPr="000E3A45">
              <w:rPr>
                <w:sz w:val="20"/>
              </w:rPr>
              <w:t>-0.88</w:t>
            </w:r>
          </w:p>
        </w:tc>
      </w:tr>
      <w:tr w:rsidR="002F4497" w:rsidRPr="000E3A45" w14:paraId="1CB51F07" w14:textId="77777777" w:rsidTr="002E524C">
        <w:trPr>
          <w:jc w:val="center"/>
        </w:trPr>
        <w:tc>
          <w:tcPr>
            <w:tcW w:w="1800" w:type="dxa"/>
            <w:tcBorders>
              <w:top w:val="nil"/>
              <w:bottom w:val="nil"/>
              <w:right w:val="single" w:sz="4" w:space="0" w:color="auto"/>
            </w:tcBorders>
          </w:tcPr>
          <w:p w14:paraId="4ECBBC5C" w14:textId="6B740F88" w:rsidR="002F4497" w:rsidRPr="000E3A45" w:rsidRDefault="002F4497" w:rsidP="00EC5744">
            <w:pPr>
              <w:widowControl w:val="0"/>
              <w:adjustRightInd w:val="0"/>
              <w:ind w:right="-159"/>
              <w:jc w:val="both"/>
              <w:textAlignment w:val="baseline"/>
              <w:rPr>
                <w:bCs/>
                <w:sz w:val="20"/>
              </w:rPr>
            </w:pPr>
            <w:r w:rsidRPr="000E3A45">
              <w:rPr>
                <w:bCs/>
                <w:sz w:val="20"/>
              </w:rPr>
              <w:t>Julio</w:t>
            </w:r>
          </w:p>
        </w:tc>
        <w:tc>
          <w:tcPr>
            <w:tcW w:w="1800" w:type="dxa"/>
            <w:tcBorders>
              <w:top w:val="nil"/>
              <w:left w:val="single" w:sz="4" w:space="0" w:color="auto"/>
              <w:bottom w:val="nil"/>
              <w:right w:val="single" w:sz="4" w:space="0" w:color="auto"/>
            </w:tcBorders>
          </w:tcPr>
          <w:p w14:paraId="7905E90A" w14:textId="3F98ADCE" w:rsidR="002F4497" w:rsidRPr="000E3A45" w:rsidRDefault="002F4497" w:rsidP="00EC5744">
            <w:pPr>
              <w:widowControl w:val="0"/>
              <w:tabs>
                <w:tab w:val="left" w:pos="1057"/>
              </w:tabs>
              <w:adjustRightInd w:val="0"/>
              <w:ind w:right="510"/>
              <w:jc w:val="right"/>
              <w:textAlignment w:val="baseline"/>
              <w:rPr>
                <w:sz w:val="20"/>
              </w:rPr>
            </w:pPr>
            <w:r w:rsidRPr="000E3A45">
              <w:rPr>
                <w:sz w:val="20"/>
              </w:rPr>
              <w:t>2.55</w:t>
            </w:r>
          </w:p>
        </w:tc>
        <w:tc>
          <w:tcPr>
            <w:tcW w:w="1800" w:type="dxa"/>
            <w:tcBorders>
              <w:top w:val="nil"/>
              <w:left w:val="single" w:sz="4" w:space="0" w:color="auto"/>
              <w:bottom w:val="nil"/>
              <w:right w:val="single" w:sz="4" w:space="0" w:color="auto"/>
            </w:tcBorders>
          </w:tcPr>
          <w:p w14:paraId="72CA19BE" w14:textId="218E0B88" w:rsidR="002F4497" w:rsidRPr="000E3A45" w:rsidRDefault="00712034" w:rsidP="00EC5744">
            <w:pPr>
              <w:widowControl w:val="0"/>
              <w:tabs>
                <w:tab w:val="left" w:pos="1057"/>
              </w:tabs>
              <w:adjustRightInd w:val="0"/>
              <w:ind w:right="510"/>
              <w:jc w:val="right"/>
              <w:textAlignment w:val="baseline"/>
              <w:rPr>
                <w:sz w:val="20"/>
              </w:rPr>
            </w:pPr>
            <w:r w:rsidRPr="000E3A45">
              <w:rPr>
                <w:sz w:val="20"/>
              </w:rPr>
              <w:t>1.37</w:t>
            </w:r>
          </w:p>
        </w:tc>
        <w:tc>
          <w:tcPr>
            <w:tcW w:w="1568" w:type="dxa"/>
            <w:tcBorders>
              <w:top w:val="nil"/>
              <w:left w:val="single" w:sz="4" w:space="0" w:color="auto"/>
              <w:bottom w:val="nil"/>
            </w:tcBorders>
          </w:tcPr>
          <w:p w14:paraId="4E4A8AA1" w14:textId="180FB984" w:rsidR="002F4497" w:rsidRPr="000E3A45" w:rsidRDefault="00712034" w:rsidP="00EC5744">
            <w:pPr>
              <w:widowControl w:val="0"/>
              <w:tabs>
                <w:tab w:val="left" w:pos="1057"/>
              </w:tabs>
              <w:adjustRightInd w:val="0"/>
              <w:ind w:right="510"/>
              <w:jc w:val="right"/>
              <w:textAlignment w:val="baseline"/>
              <w:rPr>
                <w:sz w:val="20"/>
              </w:rPr>
            </w:pPr>
            <w:r w:rsidRPr="000E3A45">
              <w:rPr>
                <w:sz w:val="20"/>
              </w:rPr>
              <w:t>1.16</w:t>
            </w:r>
          </w:p>
        </w:tc>
      </w:tr>
      <w:tr w:rsidR="005B4C2A" w:rsidRPr="000E3A45" w14:paraId="457B0432" w14:textId="77777777" w:rsidTr="002E524C">
        <w:trPr>
          <w:jc w:val="center"/>
        </w:trPr>
        <w:tc>
          <w:tcPr>
            <w:tcW w:w="1800" w:type="dxa"/>
            <w:tcBorders>
              <w:top w:val="nil"/>
              <w:bottom w:val="nil"/>
              <w:right w:val="single" w:sz="4" w:space="0" w:color="auto"/>
            </w:tcBorders>
          </w:tcPr>
          <w:p w14:paraId="411CA759" w14:textId="1B5CCBA2" w:rsidR="005B4C2A" w:rsidRPr="000E3A45" w:rsidRDefault="005B4C2A" w:rsidP="00EC5744">
            <w:pPr>
              <w:widowControl w:val="0"/>
              <w:adjustRightInd w:val="0"/>
              <w:ind w:right="-159"/>
              <w:jc w:val="both"/>
              <w:textAlignment w:val="baseline"/>
              <w:rPr>
                <w:bCs/>
                <w:sz w:val="20"/>
              </w:rPr>
            </w:pPr>
            <w:r w:rsidRPr="000E3A45">
              <w:rPr>
                <w:bCs/>
                <w:sz w:val="20"/>
              </w:rPr>
              <w:t>Agosto</w:t>
            </w:r>
          </w:p>
        </w:tc>
        <w:tc>
          <w:tcPr>
            <w:tcW w:w="1800" w:type="dxa"/>
            <w:tcBorders>
              <w:top w:val="nil"/>
              <w:left w:val="single" w:sz="4" w:space="0" w:color="auto"/>
              <w:bottom w:val="nil"/>
              <w:right w:val="single" w:sz="4" w:space="0" w:color="auto"/>
            </w:tcBorders>
          </w:tcPr>
          <w:p w14:paraId="034CDEC6" w14:textId="6ECFFC5D" w:rsidR="005B4C2A" w:rsidRPr="000E3A45" w:rsidRDefault="005B4C2A" w:rsidP="00EC5744">
            <w:pPr>
              <w:widowControl w:val="0"/>
              <w:tabs>
                <w:tab w:val="left" w:pos="1057"/>
              </w:tabs>
              <w:adjustRightInd w:val="0"/>
              <w:ind w:right="510"/>
              <w:jc w:val="right"/>
              <w:textAlignment w:val="baseline"/>
              <w:rPr>
                <w:sz w:val="20"/>
              </w:rPr>
            </w:pPr>
            <w:r w:rsidRPr="000E3A45">
              <w:rPr>
                <w:sz w:val="20"/>
              </w:rPr>
              <w:t>6.79</w:t>
            </w:r>
          </w:p>
        </w:tc>
        <w:tc>
          <w:tcPr>
            <w:tcW w:w="1800" w:type="dxa"/>
            <w:tcBorders>
              <w:top w:val="nil"/>
              <w:left w:val="single" w:sz="4" w:space="0" w:color="auto"/>
              <w:bottom w:val="nil"/>
              <w:right w:val="single" w:sz="4" w:space="0" w:color="auto"/>
            </w:tcBorders>
          </w:tcPr>
          <w:p w14:paraId="370AF273" w14:textId="4FBBB307" w:rsidR="005B4C2A" w:rsidRPr="000E3A45" w:rsidRDefault="005B4C2A" w:rsidP="00EC5744">
            <w:pPr>
              <w:widowControl w:val="0"/>
              <w:tabs>
                <w:tab w:val="left" w:pos="1057"/>
              </w:tabs>
              <w:adjustRightInd w:val="0"/>
              <w:ind w:right="510"/>
              <w:jc w:val="right"/>
              <w:textAlignment w:val="baseline"/>
              <w:rPr>
                <w:sz w:val="20"/>
              </w:rPr>
            </w:pPr>
            <w:r w:rsidRPr="000E3A45">
              <w:rPr>
                <w:sz w:val="20"/>
              </w:rPr>
              <w:t>1.73</w:t>
            </w:r>
          </w:p>
        </w:tc>
        <w:tc>
          <w:tcPr>
            <w:tcW w:w="1568" w:type="dxa"/>
            <w:tcBorders>
              <w:top w:val="nil"/>
              <w:left w:val="single" w:sz="4" w:space="0" w:color="auto"/>
              <w:bottom w:val="nil"/>
            </w:tcBorders>
          </w:tcPr>
          <w:p w14:paraId="3A03F92D" w14:textId="0D43D075" w:rsidR="005B4C2A" w:rsidRPr="000E3A45" w:rsidRDefault="005B4C2A" w:rsidP="00EC5744">
            <w:pPr>
              <w:widowControl w:val="0"/>
              <w:tabs>
                <w:tab w:val="left" w:pos="1057"/>
              </w:tabs>
              <w:adjustRightInd w:val="0"/>
              <w:ind w:right="510"/>
              <w:jc w:val="right"/>
              <w:textAlignment w:val="baseline"/>
              <w:rPr>
                <w:sz w:val="20"/>
              </w:rPr>
            </w:pPr>
            <w:r w:rsidRPr="000E3A45">
              <w:rPr>
                <w:sz w:val="20"/>
              </w:rPr>
              <w:t>4.97</w:t>
            </w:r>
          </w:p>
        </w:tc>
      </w:tr>
      <w:tr w:rsidR="005C03F9" w:rsidRPr="000E3A45" w14:paraId="534B3C8D" w14:textId="77777777" w:rsidTr="002E524C">
        <w:trPr>
          <w:jc w:val="center"/>
        </w:trPr>
        <w:tc>
          <w:tcPr>
            <w:tcW w:w="1800" w:type="dxa"/>
            <w:tcBorders>
              <w:top w:val="nil"/>
              <w:bottom w:val="nil"/>
              <w:right w:val="single" w:sz="4" w:space="0" w:color="auto"/>
            </w:tcBorders>
          </w:tcPr>
          <w:p w14:paraId="3C39FEC7" w14:textId="085EBEF9" w:rsidR="005C03F9" w:rsidRPr="000E3A45" w:rsidRDefault="005C03F9" w:rsidP="00EC5744">
            <w:pPr>
              <w:widowControl w:val="0"/>
              <w:adjustRightInd w:val="0"/>
              <w:ind w:right="-159"/>
              <w:jc w:val="both"/>
              <w:textAlignment w:val="baseline"/>
              <w:rPr>
                <w:bCs/>
                <w:sz w:val="20"/>
              </w:rPr>
            </w:pPr>
            <w:r w:rsidRPr="000E3A45">
              <w:rPr>
                <w:bCs/>
                <w:sz w:val="20"/>
              </w:rPr>
              <w:t>Septiembre</w:t>
            </w:r>
          </w:p>
        </w:tc>
        <w:tc>
          <w:tcPr>
            <w:tcW w:w="1800" w:type="dxa"/>
            <w:tcBorders>
              <w:top w:val="nil"/>
              <w:left w:val="single" w:sz="4" w:space="0" w:color="auto"/>
              <w:bottom w:val="nil"/>
              <w:right w:val="single" w:sz="4" w:space="0" w:color="auto"/>
            </w:tcBorders>
          </w:tcPr>
          <w:p w14:paraId="17EFF475" w14:textId="294E34A7" w:rsidR="005C03F9" w:rsidRPr="000E3A45" w:rsidRDefault="005C03F9" w:rsidP="005C03F9">
            <w:pPr>
              <w:widowControl w:val="0"/>
              <w:tabs>
                <w:tab w:val="left" w:pos="1057"/>
              </w:tabs>
              <w:adjustRightInd w:val="0"/>
              <w:ind w:right="510"/>
              <w:jc w:val="right"/>
              <w:textAlignment w:val="baseline"/>
              <w:rPr>
                <w:sz w:val="20"/>
              </w:rPr>
            </w:pPr>
            <w:r w:rsidRPr="000E3A45">
              <w:rPr>
                <w:sz w:val="20"/>
              </w:rPr>
              <w:t>5.29</w:t>
            </w:r>
          </w:p>
        </w:tc>
        <w:tc>
          <w:tcPr>
            <w:tcW w:w="1800" w:type="dxa"/>
            <w:tcBorders>
              <w:top w:val="nil"/>
              <w:left w:val="single" w:sz="4" w:space="0" w:color="auto"/>
              <w:bottom w:val="nil"/>
              <w:right w:val="single" w:sz="4" w:space="0" w:color="auto"/>
            </w:tcBorders>
          </w:tcPr>
          <w:p w14:paraId="6B81F003" w14:textId="253F159E" w:rsidR="005C03F9" w:rsidRPr="000E3A45" w:rsidRDefault="005C03F9" w:rsidP="00EC5744">
            <w:pPr>
              <w:widowControl w:val="0"/>
              <w:tabs>
                <w:tab w:val="left" w:pos="1057"/>
              </w:tabs>
              <w:adjustRightInd w:val="0"/>
              <w:ind w:right="510"/>
              <w:jc w:val="right"/>
              <w:textAlignment w:val="baseline"/>
              <w:rPr>
                <w:sz w:val="20"/>
              </w:rPr>
            </w:pPr>
            <w:r w:rsidRPr="000E3A45">
              <w:rPr>
                <w:sz w:val="20"/>
              </w:rPr>
              <w:t>2.18</w:t>
            </w:r>
          </w:p>
        </w:tc>
        <w:tc>
          <w:tcPr>
            <w:tcW w:w="1568" w:type="dxa"/>
            <w:tcBorders>
              <w:top w:val="nil"/>
              <w:left w:val="single" w:sz="4" w:space="0" w:color="auto"/>
              <w:bottom w:val="nil"/>
            </w:tcBorders>
          </w:tcPr>
          <w:p w14:paraId="72E1962D" w14:textId="52081F87" w:rsidR="005C03F9" w:rsidRPr="000E3A45" w:rsidRDefault="005C03F9" w:rsidP="00EC5744">
            <w:pPr>
              <w:widowControl w:val="0"/>
              <w:tabs>
                <w:tab w:val="left" w:pos="1057"/>
              </w:tabs>
              <w:adjustRightInd w:val="0"/>
              <w:ind w:right="510"/>
              <w:jc w:val="right"/>
              <w:textAlignment w:val="baseline"/>
              <w:rPr>
                <w:sz w:val="20"/>
              </w:rPr>
            </w:pPr>
            <w:r w:rsidRPr="000E3A45">
              <w:rPr>
                <w:sz w:val="20"/>
              </w:rPr>
              <w:t>3.04</w:t>
            </w:r>
          </w:p>
        </w:tc>
      </w:tr>
      <w:tr w:rsidR="00085854" w:rsidRPr="000E3A45" w14:paraId="00B2680F" w14:textId="77777777" w:rsidTr="000F3535">
        <w:trPr>
          <w:jc w:val="center"/>
        </w:trPr>
        <w:tc>
          <w:tcPr>
            <w:tcW w:w="1800" w:type="dxa"/>
            <w:tcBorders>
              <w:top w:val="nil"/>
              <w:bottom w:val="nil"/>
              <w:right w:val="single" w:sz="4" w:space="0" w:color="auto"/>
            </w:tcBorders>
          </w:tcPr>
          <w:p w14:paraId="5D070D1D" w14:textId="6F1F0202" w:rsidR="00085854" w:rsidRPr="000E3A45" w:rsidRDefault="00085854" w:rsidP="00085854">
            <w:pPr>
              <w:widowControl w:val="0"/>
              <w:adjustRightInd w:val="0"/>
              <w:ind w:right="-159"/>
              <w:jc w:val="both"/>
              <w:textAlignment w:val="baseline"/>
              <w:rPr>
                <w:bCs/>
                <w:sz w:val="20"/>
              </w:rPr>
            </w:pPr>
            <w:r w:rsidRPr="000E3A45">
              <w:rPr>
                <w:bCs/>
                <w:sz w:val="20"/>
              </w:rPr>
              <w:t>Octubre</w:t>
            </w:r>
          </w:p>
        </w:tc>
        <w:tc>
          <w:tcPr>
            <w:tcW w:w="1800" w:type="dxa"/>
            <w:tcBorders>
              <w:top w:val="nil"/>
              <w:left w:val="single" w:sz="4" w:space="0" w:color="auto"/>
              <w:bottom w:val="nil"/>
              <w:right w:val="single" w:sz="4" w:space="0" w:color="auto"/>
            </w:tcBorders>
          </w:tcPr>
          <w:p w14:paraId="728EFE67" w14:textId="6D0C16AD" w:rsidR="00085854" w:rsidRPr="000E3A45" w:rsidRDefault="00F2019A" w:rsidP="00F2019A">
            <w:pPr>
              <w:widowControl w:val="0"/>
              <w:tabs>
                <w:tab w:val="left" w:pos="1057"/>
              </w:tabs>
              <w:adjustRightInd w:val="0"/>
              <w:ind w:right="510"/>
              <w:jc w:val="right"/>
              <w:textAlignment w:val="baseline"/>
              <w:rPr>
                <w:sz w:val="20"/>
              </w:rPr>
            </w:pPr>
            <w:r w:rsidRPr="000E3A45">
              <w:rPr>
                <w:sz w:val="20"/>
              </w:rPr>
              <w:t>5.38</w:t>
            </w:r>
          </w:p>
        </w:tc>
        <w:tc>
          <w:tcPr>
            <w:tcW w:w="1800" w:type="dxa"/>
            <w:tcBorders>
              <w:top w:val="nil"/>
              <w:left w:val="single" w:sz="4" w:space="0" w:color="auto"/>
              <w:bottom w:val="nil"/>
              <w:right w:val="single" w:sz="4" w:space="0" w:color="auto"/>
            </w:tcBorders>
          </w:tcPr>
          <w:p w14:paraId="72C2B2B2" w14:textId="65EEFE0C" w:rsidR="00085854" w:rsidRPr="000E3A45" w:rsidRDefault="00EA7FDB" w:rsidP="00EA7FDB">
            <w:pPr>
              <w:widowControl w:val="0"/>
              <w:tabs>
                <w:tab w:val="left" w:pos="1057"/>
              </w:tabs>
              <w:adjustRightInd w:val="0"/>
              <w:ind w:right="510"/>
              <w:jc w:val="right"/>
              <w:textAlignment w:val="baseline"/>
              <w:rPr>
                <w:sz w:val="20"/>
              </w:rPr>
            </w:pPr>
            <w:r w:rsidRPr="000E3A45">
              <w:rPr>
                <w:sz w:val="20"/>
              </w:rPr>
              <w:t>2.75</w:t>
            </w:r>
          </w:p>
        </w:tc>
        <w:tc>
          <w:tcPr>
            <w:tcW w:w="1568" w:type="dxa"/>
            <w:tcBorders>
              <w:top w:val="nil"/>
              <w:left w:val="single" w:sz="4" w:space="0" w:color="auto"/>
              <w:bottom w:val="nil"/>
            </w:tcBorders>
          </w:tcPr>
          <w:p w14:paraId="324E4B7A" w14:textId="26D5FE04" w:rsidR="00085854" w:rsidRPr="000E3A45" w:rsidRDefault="00F2019A" w:rsidP="00F2019A">
            <w:pPr>
              <w:widowControl w:val="0"/>
              <w:tabs>
                <w:tab w:val="left" w:pos="1057"/>
              </w:tabs>
              <w:adjustRightInd w:val="0"/>
              <w:ind w:right="510"/>
              <w:jc w:val="right"/>
              <w:textAlignment w:val="baseline"/>
              <w:rPr>
                <w:sz w:val="20"/>
              </w:rPr>
            </w:pPr>
            <w:r w:rsidRPr="000E3A45">
              <w:rPr>
                <w:sz w:val="20"/>
              </w:rPr>
              <w:t>2.56</w:t>
            </w:r>
          </w:p>
        </w:tc>
      </w:tr>
      <w:tr w:rsidR="006B1925" w:rsidRPr="000E3A45" w14:paraId="6175C869" w14:textId="77777777" w:rsidTr="000F3535">
        <w:trPr>
          <w:jc w:val="center"/>
        </w:trPr>
        <w:tc>
          <w:tcPr>
            <w:tcW w:w="1800" w:type="dxa"/>
            <w:tcBorders>
              <w:top w:val="nil"/>
              <w:bottom w:val="nil"/>
              <w:right w:val="single" w:sz="4" w:space="0" w:color="auto"/>
            </w:tcBorders>
          </w:tcPr>
          <w:p w14:paraId="39BB4002" w14:textId="7C0A548E" w:rsidR="006B1925" w:rsidRPr="000E3A45" w:rsidRDefault="006B1925" w:rsidP="006B1925">
            <w:pPr>
              <w:widowControl w:val="0"/>
              <w:adjustRightInd w:val="0"/>
              <w:ind w:right="-159"/>
              <w:jc w:val="both"/>
              <w:textAlignment w:val="baseline"/>
              <w:rPr>
                <w:bCs/>
                <w:sz w:val="20"/>
              </w:rPr>
            </w:pPr>
            <w:r w:rsidRPr="000E3A45">
              <w:rPr>
                <w:bCs/>
                <w:sz w:val="20"/>
              </w:rPr>
              <w:t>Noviembre</w:t>
            </w:r>
          </w:p>
        </w:tc>
        <w:tc>
          <w:tcPr>
            <w:tcW w:w="1800" w:type="dxa"/>
            <w:tcBorders>
              <w:top w:val="nil"/>
              <w:left w:val="single" w:sz="4" w:space="0" w:color="auto"/>
              <w:bottom w:val="nil"/>
              <w:right w:val="single" w:sz="4" w:space="0" w:color="auto"/>
            </w:tcBorders>
          </w:tcPr>
          <w:p w14:paraId="5F935063" w14:textId="194B3B37" w:rsidR="006B1925" w:rsidRPr="000E3A45" w:rsidRDefault="00442302" w:rsidP="00442302">
            <w:pPr>
              <w:widowControl w:val="0"/>
              <w:tabs>
                <w:tab w:val="left" w:pos="1057"/>
              </w:tabs>
              <w:adjustRightInd w:val="0"/>
              <w:ind w:right="510"/>
              <w:jc w:val="right"/>
              <w:textAlignment w:val="baseline"/>
              <w:rPr>
                <w:sz w:val="20"/>
              </w:rPr>
            </w:pPr>
            <w:r>
              <w:rPr>
                <w:sz w:val="20"/>
              </w:rPr>
              <w:t>3.42</w:t>
            </w:r>
          </w:p>
        </w:tc>
        <w:tc>
          <w:tcPr>
            <w:tcW w:w="1800" w:type="dxa"/>
            <w:tcBorders>
              <w:top w:val="nil"/>
              <w:left w:val="single" w:sz="4" w:space="0" w:color="auto"/>
              <w:bottom w:val="nil"/>
              <w:right w:val="single" w:sz="4" w:space="0" w:color="auto"/>
            </w:tcBorders>
          </w:tcPr>
          <w:p w14:paraId="317FC0A1" w14:textId="1EA6CEEF" w:rsidR="006B1925" w:rsidRPr="000E3A45" w:rsidRDefault="00442302" w:rsidP="00442302">
            <w:pPr>
              <w:widowControl w:val="0"/>
              <w:tabs>
                <w:tab w:val="left" w:pos="1057"/>
              </w:tabs>
              <w:adjustRightInd w:val="0"/>
              <w:ind w:right="510"/>
              <w:jc w:val="right"/>
              <w:textAlignment w:val="baseline"/>
              <w:rPr>
                <w:sz w:val="20"/>
              </w:rPr>
            </w:pPr>
            <w:r>
              <w:rPr>
                <w:sz w:val="20"/>
              </w:rPr>
              <w:t>3</w:t>
            </w:r>
            <w:r w:rsidR="006B1925" w:rsidRPr="000E3A45">
              <w:rPr>
                <w:sz w:val="20"/>
              </w:rPr>
              <w:t>.</w:t>
            </w:r>
            <w:r>
              <w:rPr>
                <w:sz w:val="20"/>
              </w:rPr>
              <w:t>5</w:t>
            </w:r>
            <w:r w:rsidR="006B1925" w:rsidRPr="000E3A45">
              <w:rPr>
                <w:sz w:val="20"/>
              </w:rPr>
              <w:t>7</w:t>
            </w:r>
          </w:p>
        </w:tc>
        <w:tc>
          <w:tcPr>
            <w:tcW w:w="1568" w:type="dxa"/>
            <w:tcBorders>
              <w:top w:val="nil"/>
              <w:left w:val="single" w:sz="4" w:space="0" w:color="auto"/>
              <w:bottom w:val="nil"/>
            </w:tcBorders>
          </w:tcPr>
          <w:p w14:paraId="0D0DB217" w14:textId="216C4B40" w:rsidR="006B1925" w:rsidRPr="000E3A45" w:rsidRDefault="00442302" w:rsidP="00442302">
            <w:pPr>
              <w:widowControl w:val="0"/>
              <w:tabs>
                <w:tab w:val="left" w:pos="1057"/>
              </w:tabs>
              <w:adjustRightInd w:val="0"/>
              <w:ind w:right="510"/>
              <w:jc w:val="right"/>
              <w:textAlignment w:val="baseline"/>
              <w:rPr>
                <w:sz w:val="20"/>
              </w:rPr>
            </w:pPr>
            <w:r>
              <w:rPr>
                <w:sz w:val="20"/>
              </w:rPr>
              <w:t>-0</w:t>
            </w:r>
            <w:r w:rsidR="006B1925" w:rsidRPr="000E3A45">
              <w:rPr>
                <w:sz w:val="20"/>
              </w:rPr>
              <w:t>.</w:t>
            </w:r>
            <w:r>
              <w:rPr>
                <w:sz w:val="20"/>
              </w:rPr>
              <w:t>14</w:t>
            </w:r>
          </w:p>
        </w:tc>
      </w:tr>
      <w:tr w:rsidR="006B1925" w:rsidRPr="000E3A45" w14:paraId="78408AC7" w14:textId="77777777" w:rsidTr="000F3535">
        <w:trPr>
          <w:jc w:val="center"/>
        </w:trPr>
        <w:tc>
          <w:tcPr>
            <w:tcW w:w="1800" w:type="dxa"/>
            <w:tcBorders>
              <w:top w:val="nil"/>
              <w:bottom w:val="single" w:sz="4" w:space="0" w:color="auto"/>
              <w:right w:val="single" w:sz="4" w:space="0" w:color="auto"/>
            </w:tcBorders>
          </w:tcPr>
          <w:p w14:paraId="4810F2F9" w14:textId="335ACDAA" w:rsidR="006B1925" w:rsidRPr="000E3A45" w:rsidRDefault="006B1925" w:rsidP="00085854">
            <w:pPr>
              <w:widowControl w:val="0"/>
              <w:adjustRightInd w:val="0"/>
              <w:ind w:right="-159"/>
              <w:jc w:val="both"/>
              <w:textAlignment w:val="baseline"/>
              <w:rPr>
                <w:bCs/>
                <w:sz w:val="20"/>
              </w:rPr>
            </w:pPr>
            <w:r>
              <w:rPr>
                <w:bCs/>
                <w:sz w:val="20"/>
              </w:rPr>
              <w:t>Diciembre</w:t>
            </w:r>
          </w:p>
        </w:tc>
        <w:tc>
          <w:tcPr>
            <w:tcW w:w="1800" w:type="dxa"/>
            <w:tcBorders>
              <w:top w:val="nil"/>
              <w:left w:val="single" w:sz="4" w:space="0" w:color="auto"/>
              <w:bottom w:val="single" w:sz="4" w:space="0" w:color="auto"/>
              <w:right w:val="single" w:sz="4" w:space="0" w:color="auto"/>
            </w:tcBorders>
          </w:tcPr>
          <w:p w14:paraId="4D460C0E" w14:textId="3C9E8B96" w:rsidR="006B1925" w:rsidRPr="000E3A45" w:rsidRDefault="00442302" w:rsidP="00442302">
            <w:pPr>
              <w:widowControl w:val="0"/>
              <w:tabs>
                <w:tab w:val="left" w:pos="1057"/>
              </w:tabs>
              <w:adjustRightInd w:val="0"/>
              <w:ind w:right="510"/>
              <w:jc w:val="right"/>
              <w:textAlignment w:val="baseline"/>
              <w:rPr>
                <w:sz w:val="20"/>
              </w:rPr>
            </w:pPr>
            <w:r>
              <w:rPr>
                <w:sz w:val="20"/>
              </w:rPr>
              <w:t>0.98</w:t>
            </w:r>
          </w:p>
        </w:tc>
        <w:tc>
          <w:tcPr>
            <w:tcW w:w="1800" w:type="dxa"/>
            <w:tcBorders>
              <w:top w:val="nil"/>
              <w:left w:val="single" w:sz="4" w:space="0" w:color="auto"/>
              <w:bottom w:val="single" w:sz="4" w:space="0" w:color="auto"/>
              <w:right w:val="single" w:sz="4" w:space="0" w:color="auto"/>
            </w:tcBorders>
          </w:tcPr>
          <w:p w14:paraId="13494783" w14:textId="281F924E" w:rsidR="006B1925" w:rsidRPr="000E3A45" w:rsidRDefault="00442302" w:rsidP="00442302">
            <w:pPr>
              <w:widowControl w:val="0"/>
              <w:tabs>
                <w:tab w:val="left" w:pos="1057"/>
              </w:tabs>
              <w:adjustRightInd w:val="0"/>
              <w:ind w:right="510"/>
              <w:jc w:val="right"/>
              <w:textAlignment w:val="baseline"/>
              <w:rPr>
                <w:sz w:val="20"/>
              </w:rPr>
            </w:pPr>
            <w:r>
              <w:rPr>
                <w:sz w:val="20"/>
              </w:rPr>
              <w:t>4.08</w:t>
            </w:r>
          </w:p>
        </w:tc>
        <w:tc>
          <w:tcPr>
            <w:tcW w:w="1568" w:type="dxa"/>
            <w:tcBorders>
              <w:top w:val="nil"/>
              <w:left w:val="single" w:sz="4" w:space="0" w:color="auto"/>
              <w:bottom w:val="single" w:sz="4" w:space="0" w:color="auto"/>
            </w:tcBorders>
          </w:tcPr>
          <w:p w14:paraId="7D491892" w14:textId="7BC222C5" w:rsidR="006B1925" w:rsidRPr="000E3A45" w:rsidRDefault="00E54669" w:rsidP="00442302">
            <w:pPr>
              <w:widowControl w:val="0"/>
              <w:tabs>
                <w:tab w:val="left" w:pos="1057"/>
              </w:tabs>
              <w:adjustRightInd w:val="0"/>
              <w:ind w:right="510"/>
              <w:jc w:val="right"/>
              <w:textAlignment w:val="baseline"/>
              <w:rPr>
                <w:sz w:val="20"/>
              </w:rPr>
            </w:pPr>
            <w:r>
              <w:rPr>
                <w:sz w:val="20"/>
              </w:rPr>
              <w:t>-2.99</w:t>
            </w:r>
          </w:p>
        </w:tc>
      </w:tr>
      <w:tr w:rsidR="006B1925" w:rsidRPr="000E3A45" w14:paraId="0956C104" w14:textId="77777777" w:rsidTr="000F3535">
        <w:trPr>
          <w:jc w:val="center"/>
        </w:trPr>
        <w:tc>
          <w:tcPr>
            <w:tcW w:w="6968" w:type="dxa"/>
            <w:gridSpan w:val="4"/>
            <w:tcBorders>
              <w:top w:val="nil"/>
              <w:bottom w:val="single" w:sz="4" w:space="0" w:color="auto"/>
            </w:tcBorders>
          </w:tcPr>
          <w:p w14:paraId="0BB06671" w14:textId="28E3E63E" w:rsidR="006B1925" w:rsidRPr="000E3A45" w:rsidRDefault="006B1925" w:rsidP="006B1925">
            <w:pPr>
              <w:widowControl w:val="0"/>
              <w:tabs>
                <w:tab w:val="left" w:pos="1057"/>
              </w:tabs>
              <w:adjustRightInd w:val="0"/>
              <w:ind w:right="397"/>
              <w:jc w:val="center"/>
              <w:textAlignment w:val="baseline"/>
              <w:rPr>
                <w:sz w:val="20"/>
              </w:rPr>
            </w:pPr>
            <w:r w:rsidRPr="000E3A45">
              <w:rPr>
                <w:sz w:val="20"/>
              </w:rPr>
              <w:t>201</w:t>
            </w:r>
            <w:r>
              <w:rPr>
                <w:sz w:val="20"/>
              </w:rPr>
              <w:t>5</w:t>
            </w:r>
            <w:r w:rsidRPr="000E3A45">
              <w:rPr>
                <w:sz w:val="20"/>
                <w:szCs w:val="20"/>
                <w:u w:val="single"/>
                <w:vertAlign w:val="superscript"/>
              </w:rPr>
              <w:t>1</w:t>
            </w:r>
            <w:r w:rsidRPr="000E3A45">
              <w:rPr>
                <w:sz w:val="20"/>
                <w:szCs w:val="20"/>
                <w:vertAlign w:val="superscript"/>
              </w:rPr>
              <w:t>/</w:t>
            </w:r>
          </w:p>
        </w:tc>
      </w:tr>
      <w:tr w:rsidR="00AB7F1E" w:rsidRPr="000E3A45" w14:paraId="11336730" w14:textId="77777777" w:rsidTr="000F3535">
        <w:trPr>
          <w:jc w:val="center"/>
        </w:trPr>
        <w:tc>
          <w:tcPr>
            <w:tcW w:w="1800" w:type="dxa"/>
            <w:tcBorders>
              <w:top w:val="single" w:sz="4" w:space="0" w:color="auto"/>
              <w:bottom w:val="nil"/>
              <w:right w:val="single" w:sz="4" w:space="0" w:color="auto"/>
            </w:tcBorders>
          </w:tcPr>
          <w:p w14:paraId="26E40567" w14:textId="042FDBAB" w:rsidR="00AB7F1E" w:rsidRPr="000E3A45" w:rsidRDefault="00AB7F1E" w:rsidP="004046E8">
            <w:pPr>
              <w:widowControl w:val="0"/>
              <w:adjustRightInd w:val="0"/>
              <w:ind w:right="-159"/>
              <w:jc w:val="both"/>
              <w:textAlignment w:val="baseline"/>
              <w:rPr>
                <w:bCs/>
                <w:sz w:val="20"/>
              </w:rPr>
            </w:pPr>
            <w:r>
              <w:rPr>
                <w:bCs/>
                <w:sz w:val="20"/>
              </w:rPr>
              <w:t>Enero</w:t>
            </w:r>
          </w:p>
        </w:tc>
        <w:tc>
          <w:tcPr>
            <w:tcW w:w="1800" w:type="dxa"/>
            <w:tcBorders>
              <w:top w:val="single" w:sz="4" w:space="0" w:color="auto"/>
              <w:left w:val="single" w:sz="4" w:space="0" w:color="auto"/>
              <w:bottom w:val="nil"/>
              <w:right w:val="single" w:sz="4" w:space="0" w:color="auto"/>
            </w:tcBorders>
          </w:tcPr>
          <w:p w14:paraId="14B0176A" w14:textId="5C2661F9" w:rsidR="00AB7F1E" w:rsidRPr="000E3A45" w:rsidRDefault="004046E8" w:rsidP="004046E8">
            <w:pPr>
              <w:widowControl w:val="0"/>
              <w:tabs>
                <w:tab w:val="left" w:pos="1057"/>
              </w:tabs>
              <w:adjustRightInd w:val="0"/>
              <w:ind w:right="510"/>
              <w:jc w:val="right"/>
              <w:textAlignment w:val="baseline"/>
              <w:rPr>
                <w:sz w:val="20"/>
              </w:rPr>
            </w:pPr>
            <w:r>
              <w:rPr>
                <w:sz w:val="20"/>
              </w:rPr>
              <w:t>5.09</w:t>
            </w:r>
          </w:p>
        </w:tc>
        <w:tc>
          <w:tcPr>
            <w:tcW w:w="1800" w:type="dxa"/>
            <w:tcBorders>
              <w:top w:val="single" w:sz="4" w:space="0" w:color="auto"/>
              <w:left w:val="single" w:sz="4" w:space="0" w:color="auto"/>
              <w:bottom w:val="nil"/>
              <w:right w:val="single" w:sz="4" w:space="0" w:color="auto"/>
            </w:tcBorders>
          </w:tcPr>
          <w:p w14:paraId="427EEC90" w14:textId="2B9A4F58" w:rsidR="00AB7F1E" w:rsidRPr="000E3A45" w:rsidRDefault="004046E8" w:rsidP="004046E8">
            <w:pPr>
              <w:widowControl w:val="0"/>
              <w:tabs>
                <w:tab w:val="left" w:pos="1057"/>
              </w:tabs>
              <w:adjustRightInd w:val="0"/>
              <w:ind w:right="510"/>
              <w:jc w:val="right"/>
              <w:textAlignment w:val="baseline"/>
              <w:rPr>
                <w:sz w:val="20"/>
              </w:rPr>
            </w:pPr>
            <w:r>
              <w:rPr>
                <w:sz w:val="20"/>
              </w:rPr>
              <w:t>-0.09</w:t>
            </w:r>
          </w:p>
        </w:tc>
        <w:tc>
          <w:tcPr>
            <w:tcW w:w="1568" w:type="dxa"/>
            <w:tcBorders>
              <w:top w:val="single" w:sz="4" w:space="0" w:color="auto"/>
              <w:left w:val="single" w:sz="4" w:space="0" w:color="auto"/>
              <w:bottom w:val="nil"/>
            </w:tcBorders>
          </w:tcPr>
          <w:p w14:paraId="1A462CDA" w14:textId="347BEFE8" w:rsidR="00AB7F1E" w:rsidRPr="000E3A45" w:rsidRDefault="00AB7F1E" w:rsidP="004046E8">
            <w:pPr>
              <w:widowControl w:val="0"/>
              <w:tabs>
                <w:tab w:val="left" w:pos="1057"/>
              </w:tabs>
              <w:adjustRightInd w:val="0"/>
              <w:ind w:right="510"/>
              <w:jc w:val="right"/>
              <w:textAlignment w:val="baseline"/>
              <w:rPr>
                <w:sz w:val="20"/>
              </w:rPr>
            </w:pPr>
            <w:r>
              <w:rPr>
                <w:sz w:val="20"/>
              </w:rPr>
              <w:t>-</w:t>
            </w:r>
            <w:r w:rsidR="004046E8">
              <w:rPr>
                <w:sz w:val="20"/>
              </w:rPr>
              <w:t>5.18</w:t>
            </w:r>
          </w:p>
        </w:tc>
      </w:tr>
      <w:tr w:rsidR="00AB7F1E" w:rsidRPr="000E3A45" w14:paraId="0D5C55A5" w14:textId="77777777" w:rsidTr="000B0616">
        <w:trPr>
          <w:jc w:val="center"/>
        </w:trPr>
        <w:tc>
          <w:tcPr>
            <w:tcW w:w="1800" w:type="dxa"/>
            <w:tcBorders>
              <w:top w:val="nil"/>
              <w:bottom w:val="nil"/>
              <w:right w:val="single" w:sz="4" w:space="0" w:color="auto"/>
            </w:tcBorders>
          </w:tcPr>
          <w:p w14:paraId="43379B79" w14:textId="119A5065" w:rsidR="00AB7F1E" w:rsidRDefault="00AB7F1E" w:rsidP="00DF5D2D">
            <w:pPr>
              <w:widowControl w:val="0"/>
              <w:adjustRightInd w:val="0"/>
              <w:ind w:right="-159"/>
              <w:jc w:val="both"/>
              <w:textAlignment w:val="baseline"/>
              <w:rPr>
                <w:bCs/>
                <w:sz w:val="20"/>
              </w:rPr>
            </w:pPr>
            <w:r>
              <w:rPr>
                <w:bCs/>
                <w:sz w:val="20"/>
              </w:rPr>
              <w:t>Febrero</w:t>
            </w:r>
          </w:p>
        </w:tc>
        <w:tc>
          <w:tcPr>
            <w:tcW w:w="1800" w:type="dxa"/>
            <w:tcBorders>
              <w:top w:val="nil"/>
              <w:left w:val="single" w:sz="4" w:space="0" w:color="auto"/>
              <w:bottom w:val="nil"/>
              <w:right w:val="single" w:sz="4" w:space="0" w:color="auto"/>
            </w:tcBorders>
          </w:tcPr>
          <w:p w14:paraId="47544C4B" w14:textId="287EB2E0" w:rsidR="00AB7F1E" w:rsidRDefault="002C377C" w:rsidP="00DF5D2D">
            <w:pPr>
              <w:widowControl w:val="0"/>
              <w:tabs>
                <w:tab w:val="left" w:pos="1057"/>
              </w:tabs>
              <w:adjustRightInd w:val="0"/>
              <w:ind w:right="510"/>
              <w:jc w:val="right"/>
              <w:textAlignment w:val="baseline"/>
              <w:rPr>
                <w:sz w:val="20"/>
              </w:rPr>
            </w:pPr>
            <w:r>
              <w:rPr>
                <w:sz w:val="20"/>
              </w:rPr>
              <w:t>2.42</w:t>
            </w:r>
          </w:p>
        </w:tc>
        <w:tc>
          <w:tcPr>
            <w:tcW w:w="1800" w:type="dxa"/>
            <w:tcBorders>
              <w:top w:val="nil"/>
              <w:left w:val="single" w:sz="4" w:space="0" w:color="auto"/>
              <w:bottom w:val="nil"/>
              <w:right w:val="single" w:sz="4" w:space="0" w:color="auto"/>
            </w:tcBorders>
          </w:tcPr>
          <w:p w14:paraId="07FFC333" w14:textId="18B34DBF" w:rsidR="00AB7F1E" w:rsidRDefault="002C377C" w:rsidP="002C377C">
            <w:pPr>
              <w:widowControl w:val="0"/>
              <w:tabs>
                <w:tab w:val="left" w:pos="1057"/>
              </w:tabs>
              <w:adjustRightInd w:val="0"/>
              <w:ind w:right="510"/>
              <w:jc w:val="right"/>
              <w:textAlignment w:val="baseline"/>
              <w:rPr>
                <w:sz w:val="20"/>
              </w:rPr>
            </w:pPr>
            <w:r>
              <w:rPr>
                <w:sz w:val="20"/>
              </w:rPr>
              <w:t>0.10</w:t>
            </w:r>
          </w:p>
        </w:tc>
        <w:tc>
          <w:tcPr>
            <w:tcW w:w="1568" w:type="dxa"/>
            <w:tcBorders>
              <w:top w:val="nil"/>
              <w:left w:val="single" w:sz="4" w:space="0" w:color="auto"/>
              <w:bottom w:val="nil"/>
            </w:tcBorders>
          </w:tcPr>
          <w:p w14:paraId="79F028DB" w14:textId="3500C5D9" w:rsidR="00AB7F1E" w:rsidRPr="000E3A45" w:rsidRDefault="002C377C" w:rsidP="00DF5D2D">
            <w:pPr>
              <w:widowControl w:val="0"/>
              <w:tabs>
                <w:tab w:val="left" w:pos="1057"/>
              </w:tabs>
              <w:adjustRightInd w:val="0"/>
              <w:ind w:right="510"/>
              <w:jc w:val="right"/>
              <w:textAlignment w:val="baseline"/>
              <w:rPr>
                <w:sz w:val="20"/>
              </w:rPr>
            </w:pPr>
            <w:r>
              <w:rPr>
                <w:sz w:val="20"/>
              </w:rPr>
              <w:t>2.32</w:t>
            </w:r>
          </w:p>
        </w:tc>
      </w:tr>
      <w:tr w:rsidR="00DF5D2D" w:rsidRPr="000E3A45" w14:paraId="1D746595" w14:textId="77777777" w:rsidTr="000F3535">
        <w:trPr>
          <w:jc w:val="center"/>
        </w:trPr>
        <w:tc>
          <w:tcPr>
            <w:tcW w:w="1800" w:type="dxa"/>
            <w:tcBorders>
              <w:top w:val="nil"/>
              <w:bottom w:val="single" w:sz="4" w:space="0" w:color="auto"/>
              <w:right w:val="single" w:sz="4" w:space="0" w:color="auto"/>
            </w:tcBorders>
          </w:tcPr>
          <w:p w14:paraId="55D7206A" w14:textId="5AB7E43D" w:rsidR="00DF5D2D" w:rsidRDefault="00DF5D2D" w:rsidP="00DF5D2D">
            <w:pPr>
              <w:widowControl w:val="0"/>
              <w:adjustRightInd w:val="0"/>
              <w:ind w:right="-159"/>
              <w:jc w:val="both"/>
              <w:textAlignment w:val="baseline"/>
              <w:rPr>
                <w:bCs/>
                <w:sz w:val="20"/>
              </w:rPr>
            </w:pPr>
            <w:r>
              <w:rPr>
                <w:bCs/>
                <w:sz w:val="20"/>
              </w:rPr>
              <w:t>Marzo*</w:t>
            </w:r>
          </w:p>
        </w:tc>
        <w:tc>
          <w:tcPr>
            <w:tcW w:w="1800" w:type="dxa"/>
            <w:tcBorders>
              <w:top w:val="nil"/>
              <w:left w:val="single" w:sz="4" w:space="0" w:color="auto"/>
              <w:bottom w:val="single" w:sz="4" w:space="0" w:color="auto"/>
              <w:right w:val="single" w:sz="4" w:space="0" w:color="auto"/>
            </w:tcBorders>
          </w:tcPr>
          <w:p w14:paraId="39035800" w14:textId="26911FD3" w:rsidR="00DF5D2D" w:rsidRDefault="002C377C" w:rsidP="002C377C">
            <w:pPr>
              <w:widowControl w:val="0"/>
              <w:tabs>
                <w:tab w:val="left" w:pos="1057"/>
              </w:tabs>
              <w:adjustRightInd w:val="0"/>
              <w:ind w:right="397"/>
              <w:jc w:val="right"/>
              <w:textAlignment w:val="baseline"/>
              <w:rPr>
                <w:sz w:val="20"/>
              </w:rPr>
            </w:pPr>
            <w:r>
              <w:rPr>
                <w:sz w:val="20"/>
              </w:rPr>
              <w:t>1</w:t>
            </w:r>
            <w:r w:rsidR="00DF5D2D">
              <w:rPr>
                <w:sz w:val="20"/>
              </w:rPr>
              <w:t>.43</w:t>
            </w:r>
            <w:r w:rsidR="00DF5D2D" w:rsidRPr="000E3A45">
              <w:rPr>
                <w:sz w:val="20"/>
                <w:szCs w:val="20"/>
                <w:u w:val="single"/>
                <w:vertAlign w:val="superscript"/>
              </w:rPr>
              <w:t>2</w:t>
            </w:r>
            <w:r w:rsidR="00DF5D2D" w:rsidRPr="000E3A45">
              <w:rPr>
                <w:sz w:val="20"/>
                <w:szCs w:val="20"/>
                <w:vertAlign w:val="superscript"/>
              </w:rPr>
              <w:t>/</w:t>
            </w:r>
          </w:p>
        </w:tc>
        <w:tc>
          <w:tcPr>
            <w:tcW w:w="1800" w:type="dxa"/>
            <w:tcBorders>
              <w:top w:val="nil"/>
              <w:left w:val="single" w:sz="4" w:space="0" w:color="auto"/>
              <w:bottom w:val="single" w:sz="4" w:space="0" w:color="auto"/>
              <w:right w:val="single" w:sz="4" w:space="0" w:color="auto"/>
            </w:tcBorders>
          </w:tcPr>
          <w:p w14:paraId="5053DB81" w14:textId="14CDC4BA" w:rsidR="00DF5D2D" w:rsidRDefault="00DF5D2D" w:rsidP="002C377C">
            <w:pPr>
              <w:widowControl w:val="0"/>
              <w:tabs>
                <w:tab w:val="left" w:pos="1057"/>
              </w:tabs>
              <w:adjustRightInd w:val="0"/>
              <w:ind w:right="397"/>
              <w:jc w:val="right"/>
              <w:textAlignment w:val="baseline"/>
              <w:rPr>
                <w:sz w:val="20"/>
              </w:rPr>
            </w:pPr>
            <w:r>
              <w:rPr>
                <w:sz w:val="20"/>
              </w:rPr>
              <w:t>0</w:t>
            </w:r>
            <w:r w:rsidRPr="000E3A45">
              <w:rPr>
                <w:sz w:val="20"/>
              </w:rPr>
              <w:t>.</w:t>
            </w:r>
            <w:r w:rsidR="002C377C">
              <w:rPr>
                <w:sz w:val="20"/>
              </w:rPr>
              <w:t>4</w:t>
            </w:r>
            <w:r w:rsidRPr="000E3A45">
              <w:rPr>
                <w:sz w:val="20"/>
              </w:rPr>
              <w:t>0</w:t>
            </w:r>
            <w:r w:rsidRPr="000E3A45">
              <w:rPr>
                <w:sz w:val="20"/>
                <w:szCs w:val="20"/>
                <w:u w:val="single"/>
                <w:vertAlign w:val="superscript"/>
              </w:rPr>
              <w:t>3</w:t>
            </w:r>
            <w:r w:rsidRPr="000E3A45">
              <w:rPr>
                <w:sz w:val="20"/>
                <w:szCs w:val="20"/>
                <w:vertAlign w:val="superscript"/>
              </w:rPr>
              <w:t>/</w:t>
            </w:r>
          </w:p>
        </w:tc>
        <w:tc>
          <w:tcPr>
            <w:tcW w:w="1568" w:type="dxa"/>
            <w:tcBorders>
              <w:top w:val="nil"/>
              <w:left w:val="single" w:sz="4" w:space="0" w:color="auto"/>
              <w:bottom w:val="single" w:sz="4" w:space="0" w:color="auto"/>
            </w:tcBorders>
          </w:tcPr>
          <w:p w14:paraId="3C18C618" w14:textId="45DC8626" w:rsidR="00DF5D2D" w:rsidRPr="000E3A45" w:rsidRDefault="002C377C" w:rsidP="002C377C">
            <w:pPr>
              <w:widowControl w:val="0"/>
              <w:tabs>
                <w:tab w:val="left" w:pos="1057"/>
              </w:tabs>
              <w:adjustRightInd w:val="0"/>
              <w:ind w:right="397"/>
              <w:jc w:val="right"/>
              <w:textAlignment w:val="baseline"/>
              <w:rPr>
                <w:sz w:val="20"/>
              </w:rPr>
            </w:pPr>
            <w:r>
              <w:rPr>
                <w:sz w:val="20"/>
              </w:rPr>
              <w:t>1.03</w:t>
            </w:r>
            <w:r w:rsidR="00DF5D2D" w:rsidRPr="000E3A45">
              <w:rPr>
                <w:sz w:val="20"/>
                <w:szCs w:val="20"/>
                <w:u w:val="single"/>
                <w:vertAlign w:val="superscript"/>
              </w:rPr>
              <w:t>3</w:t>
            </w:r>
            <w:r w:rsidR="00DF5D2D" w:rsidRPr="000E3A45">
              <w:rPr>
                <w:sz w:val="20"/>
                <w:szCs w:val="20"/>
                <w:vertAlign w:val="superscript"/>
              </w:rPr>
              <w:t>/</w:t>
            </w:r>
          </w:p>
        </w:tc>
      </w:tr>
      <w:tr w:rsidR="00DF5D2D" w:rsidRPr="000E3A45" w14:paraId="27AE1831" w14:textId="77777777" w:rsidTr="0014579A">
        <w:trPr>
          <w:jc w:val="center"/>
        </w:trPr>
        <w:tc>
          <w:tcPr>
            <w:tcW w:w="6968" w:type="dxa"/>
            <w:gridSpan w:val="4"/>
            <w:tcBorders>
              <w:top w:val="single" w:sz="4" w:space="0" w:color="auto"/>
              <w:left w:val="nil"/>
              <w:bottom w:val="nil"/>
              <w:right w:val="nil"/>
            </w:tcBorders>
          </w:tcPr>
          <w:p w14:paraId="7CE4E7A3" w14:textId="77777777" w:rsidR="00DF5D2D" w:rsidRPr="000E3A45" w:rsidRDefault="00DF5D2D" w:rsidP="00DF5D2D">
            <w:pPr>
              <w:widowControl w:val="0"/>
              <w:tabs>
                <w:tab w:val="left" w:pos="1057"/>
              </w:tabs>
              <w:adjustRightInd w:val="0"/>
              <w:ind w:left="227" w:right="386" w:hanging="227"/>
              <w:jc w:val="both"/>
              <w:textAlignment w:val="baseline"/>
              <w:rPr>
                <w:sz w:val="20"/>
              </w:rPr>
            </w:pPr>
            <w:r w:rsidRPr="000E3A45">
              <w:rPr>
                <w:sz w:val="20"/>
                <w:u w:val="single"/>
              </w:rPr>
              <w:t>1</w:t>
            </w:r>
            <w:r w:rsidRPr="000E3A45">
              <w:rPr>
                <w:sz w:val="20"/>
              </w:rPr>
              <w:t>/ A partir de enero de 2014, las cifras que se reportan son con respecto a diciembre del 2013.</w:t>
            </w:r>
          </w:p>
          <w:p w14:paraId="74974109" w14:textId="54140DEA" w:rsidR="00DF5D2D" w:rsidRPr="000E3A45" w:rsidRDefault="00DF5D2D" w:rsidP="00DF5D2D">
            <w:pPr>
              <w:widowControl w:val="0"/>
              <w:tabs>
                <w:tab w:val="left" w:pos="1057"/>
              </w:tabs>
              <w:adjustRightInd w:val="0"/>
              <w:ind w:right="386"/>
              <w:jc w:val="both"/>
              <w:textAlignment w:val="baseline"/>
              <w:rPr>
                <w:sz w:val="20"/>
              </w:rPr>
            </w:pPr>
            <w:r w:rsidRPr="000E3A45">
              <w:rPr>
                <w:sz w:val="20"/>
                <w:u w:val="single"/>
              </w:rPr>
              <w:t>2</w:t>
            </w:r>
            <w:r w:rsidRPr="000E3A45">
              <w:rPr>
                <w:sz w:val="20"/>
              </w:rPr>
              <w:t>/ Al día 1</w:t>
            </w:r>
            <w:r w:rsidR="002C377C">
              <w:rPr>
                <w:sz w:val="20"/>
              </w:rPr>
              <w:t>7</w:t>
            </w:r>
            <w:r w:rsidRPr="000E3A45">
              <w:rPr>
                <w:sz w:val="20"/>
              </w:rPr>
              <w:t>.</w:t>
            </w:r>
          </w:p>
          <w:p w14:paraId="69A6FAF7" w14:textId="77777777" w:rsidR="00DF5D2D" w:rsidRPr="000E3A45" w:rsidRDefault="00DF5D2D" w:rsidP="00DF5D2D">
            <w:pPr>
              <w:widowControl w:val="0"/>
              <w:tabs>
                <w:tab w:val="left" w:pos="1057"/>
              </w:tabs>
              <w:adjustRightInd w:val="0"/>
              <w:ind w:right="386"/>
              <w:jc w:val="both"/>
              <w:textAlignment w:val="baseline"/>
              <w:rPr>
                <w:sz w:val="20"/>
              </w:rPr>
            </w:pPr>
            <w:r w:rsidRPr="000E3A45">
              <w:rPr>
                <w:sz w:val="20"/>
                <w:u w:val="single"/>
              </w:rPr>
              <w:t>3</w:t>
            </w:r>
            <w:r w:rsidRPr="000E3A45">
              <w:rPr>
                <w:sz w:val="20"/>
              </w:rPr>
              <w:t>/ Estimada.</w:t>
            </w:r>
          </w:p>
          <w:p w14:paraId="45F6C9F2" w14:textId="77777777" w:rsidR="00DF5D2D" w:rsidRPr="000E3A45" w:rsidRDefault="00DF5D2D" w:rsidP="00DF5D2D">
            <w:pPr>
              <w:widowControl w:val="0"/>
              <w:tabs>
                <w:tab w:val="left" w:pos="1057"/>
              </w:tabs>
              <w:adjustRightInd w:val="0"/>
              <w:ind w:right="386"/>
              <w:jc w:val="both"/>
              <w:textAlignment w:val="baseline"/>
              <w:rPr>
                <w:sz w:val="20"/>
              </w:rPr>
            </w:pPr>
            <w:r w:rsidRPr="000E3A45">
              <w:rPr>
                <w:sz w:val="20"/>
              </w:rPr>
              <w:t>FUENTE: Bolsa Mexicana de Valores.</w:t>
            </w:r>
          </w:p>
        </w:tc>
      </w:tr>
    </w:tbl>
    <w:p w14:paraId="5CE2CA05" w14:textId="77777777" w:rsidR="00B63DD8" w:rsidRPr="000E3A45" w:rsidRDefault="00B63DD8" w:rsidP="00ED553C">
      <w:pPr>
        <w:spacing w:after="360" w:line="360" w:lineRule="auto"/>
        <w:ind w:right="-159"/>
        <w:jc w:val="both"/>
        <w:rPr>
          <w:sz w:val="26"/>
          <w:szCs w:val="26"/>
        </w:rPr>
      </w:pPr>
    </w:p>
    <w:p w14:paraId="036D00D4" w14:textId="58FB9E0A" w:rsidR="001D3995" w:rsidRPr="000E3A45" w:rsidRDefault="00C71B3C" w:rsidP="001D3995">
      <w:pPr>
        <w:spacing w:after="360" w:line="360" w:lineRule="auto"/>
        <w:ind w:right="-159"/>
        <w:jc w:val="both"/>
        <w:rPr>
          <w:sz w:val="26"/>
          <w:szCs w:val="26"/>
          <w:lang w:val="es-ES"/>
        </w:rPr>
      </w:pPr>
      <w:r w:rsidRPr="000E3A45">
        <w:rPr>
          <w:sz w:val="26"/>
          <w:szCs w:val="26"/>
          <w:lang w:val="es-ES"/>
        </w:rPr>
        <w:t>E</w:t>
      </w:r>
      <w:r w:rsidR="008B4C33" w:rsidRPr="000E3A45">
        <w:rPr>
          <w:sz w:val="26"/>
          <w:szCs w:val="26"/>
          <w:lang w:val="es-ES"/>
        </w:rPr>
        <w:t xml:space="preserve">l IPyC de la </w:t>
      </w:r>
      <w:r w:rsidR="00A22D85" w:rsidRPr="000E3A45">
        <w:rPr>
          <w:sz w:val="26"/>
          <w:szCs w:val="26"/>
          <w:lang w:val="es-ES"/>
        </w:rPr>
        <w:t xml:space="preserve">BMV registró </w:t>
      </w:r>
      <w:r w:rsidR="00CB7CAC" w:rsidRPr="000E3A45">
        <w:rPr>
          <w:sz w:val="26"/>
          <w:szCs w:val="26"/>
          <w:lang w:val="es-ES"/>
        </w:rPr>
        <w:t xml:space="preserve">durante </w:t>
      </w:r>
      <w:r w:rsidR="00191616" w:rsidRPr="000E3A45">
        <w:rPr>
          <w:sz w:val="26"/>
          <w:szCs w:val="26"/>
          <w:lang w:val="es-ES"/>
        </w:rPr>
        <w:t xml:space="preserve">los primeros </w:t>
      </w:r>
      <w:r w:rsidR="008B4C33" w:rsidRPr="000E3A45">
        <w:rPr>
          <w:sz w:val="26"/>
          <w:szCs w:val="26"/>
          <w:lang w:val="es-ES"/>
        </w:rPr>
        <w:t>1</w:t>
      </w:r>
      <w:r w:rsidR="00B941C1">
        <w:rPr>
          <w:sz w:val="26"/>
          <w:szCs w:val="26"/>
          <w:lang w:val="es-ES"/>
        </w:rPr>
        <w:t>7</w:t>
      </w:r>
      <w:r w:rsidR="00191616" w:rsidRPr="000E3A45">
        <w:rPr>
          <w:sz w:val="26"/>
          <w:szCs w:val="26"/>
          <w:lang w:val="es-ES"/>
        </w:rPr>
        <w:t xml:space="preserve"> días de </w:t>
      </w:r>
      <w:r w:rsidR="00B941C1">
        <w:rPr>
          <w:sz w:val="26"/>
          <w:szCs w:val="26"/>
          <w:lang w:val="es-ES"/>
        </w:rPr>
        <w:t xml:space="preserve">marzo </w:t>
      </w:r>
      <w:r w:rsidR="008B4C33" w:rsidRPr="000E3A45">
        <w:rPr>
          <w:sz w:val="26"/>
          <w:szCs w:val="26"/>
          <w:lang w:val="es-ES"/>
        </w:rPr>
        <w:t>de 201</w:t>
      </w:r>
      <w:r w:rsidR="007B4FC9">
        <w:rPr>
          <w:sz w:val="26"/>
          <w:szCs w:val="26"/>
          <w:lang w:val="es-ES"/>
        </w:rPr>
        <w:t>5</w:t>
      </w:r>
      <w:r w:rsidR="006E0561" w:rsidRPr="000E3A45">
        <w:rPr>
          <w:sz w:val="26"/>
          <w:szCs w:val="26"/>
          <w:lang w:val="es-ES"/>
        </w:rPr>
        <w:t>,</w:t>
      </w:r>
      <w:r w:rsidR="00CB7CAC" w:rsidRPr="000E3A45">
        <w:rPr>
          <w:sz w:val="26"/>
          <w:szCs w:val="26"/>
          <w:lang w:val="es-ES"/>
        </w:rPr>
        <w:t xml:space="preserve"> </w:t>
      </w:r>
      <w:r w:rsidR="00A22D85" w:rsidRPr="000E3A45">
        <w:rPr>
          <w:sz w:val="26"/>
          <w:szCs w:val="26"/>
          <w:lang w:val="es-ES"/>
        </w:rPr>
        <w:t xml:space="preserve">una trayectoria </w:t>
      </w:r>
      <w:r w:rsidR="00205410" w:rsidRPr="000E3A45">
        <w:rPr>
          <w:sz w:val="26"/>
          <w:szCs w:val="26"/>
          <w:lang w:val="es-ES"/>
        </w:rPr>
        <w:t>volátil y descendente</w:t>
      </w:r>
      <w:r w:rsidR="00B941C1">
        <w:rPr>
          <w:sz w:val="26"/>
          <w:szCs w:val="26"/>
          <w:lang w:val="es-ES"/>
        </w:rPr>
        <w:t xml:space="preserve"> en línea con los mercados estadounidenses</w:t>
      </w:r>
      <w:r w:rsidR="005D42CC" w:rsidRPr="000E3A45">
        <w:rPr>
          <w:sz w:val="26"/>
          <w:szCs w:val="26"/>
          <w:lang w:val="es-ES"/>
        </w:rPr>
        <w:t xml:space="preserve">. De hecho, </w:t>
      </w:r>
      <w:r w:rsidR="00B941C1">
        <w:rPr>
          <w:sz w:val="26"/>
          <w:szCs w:val="26"/>
          <w:lang w:val="es-ES"/>
        </w:rPr>
        <w:lastRenderedPageBreak/>
        <w:t>el índice cayó hasta 4</w:t>
      </w:r>
      <w:r w:rsidR="00DF60F6">
        <w:rPr>
          <w:sz w:val="26"/>
          <w:szCs w:val="26"/>
          <w:lang w:val="es-ES"/>
        </w:rPr>
        <w:t>2</w:t>
      </w:r>
      <w:r w:rsidR="00B941C1">
        <w:rPr>
          <w:sz w:val="26"/>
          <w:szCs w:val="26"/>
          <w:lang w:val="es-ES"/>
        </w:rPr>
        <w:t xml:space="preserve"> mil 972.15 puntos </w:t>
      </w:r>
      <w:r w:rsidR="00834EED">
        <w:rPr>
          <w:sz w:val="26"/>
          <w:szCs w:val="26"/>
          <w:lang w:val="es-ES"/>
        </w:rPr>
        <w:t>e</w:t>
      </w:r>
      <w:r w:rsidR="00205410" w:rsidRPr="000E3A45">
        <w:rPr>
          <w:sz w:val="26"/>
          <w:szCs w:val="26"/>
          <w:lang w:val="es-ES"/>
        </w:rPr>
        <w:t xml:space="preserve">l día </w:t>
      </w:r>
      <w:r w:rsidR="00B941C1">
        <w:rPr>
          <w:sz w:val="26"/>
          <w:szCs w:val="26"/>
          <w:lang w:val="es-ES"/>
        </w:rPr>
        <w:t>10,</w:t>
      </w:r>
      <w:r w:rsidR="00205410" w:rsidRPr="000E3A45">
        <w:rPr>
          <w:sz w:val="26"/>
          <w:szCs w:val="26"/>
          <w:lang w:val="es-ES"/>
        </w:rPr>
        <w:t xml:space="preserve"> </w:t>
      </w:r>
      <w:r w:rsidR="005D42CC" w:rsidRPr="000E3A45">
        <w:rPr>
          <w:sz w:val="26"/>
          <w:szCs w:val="26"/>
          <w:lang w:val="es-ES"/>
        </w:rPr>
        <w:t xml:space="preserve">para alcanzar el día </w:t>
      </w:r>
      <w:r w:rsidR="00205410" w:rsidRPr="000E3A45">
        <w:rPr>
          <w:sz w:val="26"/>
          <w:szCs w:val="26"/>
          <w:lang w:val="es-ES"/>
        </w:rPr>
        <w:t>1</w:t>
      </w:r>
      <w:r w:rsidR="00B941C1">
        <w:rPr>
          <w:sz w:val="26"/>
          <w:szCs w:val="26"/>
          <w:lang w:val="es-ES"/>
        </w:rPr>
        <w:t>2</w:t>
      </w:r>
      <w:r w:rsidR="00205410" w:rsidRPr="000E3A45">
        <w:rPr>
          <w:sz w:val="26"/>
          <w:szCs w:val="26"/>
          <w:lang w:val="es-ES"/>
        </w:rPr>
        <w:t xml:space="preserve"> del mes </w:t>
      </w:r>
      <w:r w:rsidR="005D42CC" w:rsidRPr="000E3A45">
        <w:rPr>
          <w:sz w:val="26"/>
          <w:szCs w:val="26"/>
          <w:lang w:val="es-ES"/>
        </w:rPr>
        <w:t xml:space="preserve"> </w:t>
      </w:r>
      <w:r w:rsidR="00BB03B9">
        <w:rPr>
          <w:sz w:val="26"/>
          <w:szCs w:val="26"/>
          <w:lang w:val="es-ES"/>
        </w:rPr>
        <w:t>su punto m</w:t>
      </w:r>
      <w:r w:rsidR="004046E8">
        <w:rPr>
          <w:sz w:val="26"/>
          <w:szCs w:val="26"/>
          <w:lang w:val="es-ES"/>
        </w:rPr>
        <w:t>áximo</w:t>
      </w:r>
      <w:r w:rsidR="00BB03B9">
        <w:rPr>
          <w:sz w:val="26"/>
          <w:szCs w:val="26"/>
          <w:lang w:val="es-ES"/>
        </w:rPr>
        <w:t xml:space="preserve"> de</w:t>
      </w:r>
      <w:r w:rsidR="00205410" w:rsidRPr="000E3A45">
        <w:rPr>
          <w:sz w:val="26"/>
          <w:szCs w:val="26"/>
          <w:lang w:val="es-ES"/>
        </w:rPr>
        <w:t xml:space="preserve"> </w:t>
      </w:r>
      <w:r w:rsidR="00630603" w:rsidRPr="000E3A45">
        <w:rPr>
          <w:sz w:val="26"/>
          <w:szCs w:val="26"/>
          <w:lang w:val="es-ES"/>
        </w:rPr>
        <w:t>4</w:t>
      </w:r>
      <w:r w:rsidR="00B941C1">
        <w:rPr>
          <w:sz w:val="26"/>
          <w:szCs w:val="26"/>
          <w:lang w:val="es-ES"/>
        </w:rPr>
        <w:t>4</w:t>
      </w:r>
      <w:r w:rsidR="00320E9A" w:rsidRPr="000E3A45">
        <w:rPr>
          <w:sz w:val="26"/>
          <w:szCs w:val="26"/>
          <w:lang w:val="es-ES"/>
        </w:rPr>
        <w:t xml:space="preserve"> mil </w:t>
      </w:r>
      <w:r w:rsidR="00B941C1">
        <w:rPr>
          <w:sz w:val="26"/>
          <w:szCs w:val="26"/>
          <w:lang w:val="es-ES"/>
        </w:rPr>
        <w:t>55.89</w:t>
      </w:r>
      <w:r w:rsidR="00A51A46" w:rsidRPr="000E3A45">
        <w:rPr>
          <w:sz w:val="26"/>
          <w:szCs w:val="26"/>
          <w:lang w:val="es-ES"/>
        </w:rPr>
        <w:t xml:space="preserve"> puntos</w:t>
      </w:r>
      <w:r w:rsidR="00B941C1">
        <w:rPr>
          <w:sz w:val="26"/>
          <w:szCs w:val="26"/>
          <w:lang w:val="es-ES"/>
        </w:rPr>
        <w:t>.</w:t>
      </w:r>
      <w:r w:rsidR="005D42CC" w:rsidRPr="000E3A45">
        <w:rPr>
          <w:sz w:val="26"/>
          <w:szCs w:val="26"/>
          <w:lang w:val="es-ES"/>
        </w:rPr>
        <w:t xml:space="preserve"> </w:t>
      </w:r>
      <w:r w:rsidR="00B941C1">
        <w:rPr>
          <w:sz w:val="26"/>
          <w:szCs w:val="26"/>
          <w:lang w:val="es-ES"/>
        </w:rPr>
        <w:t xml:space="preserve">En este sentido, se prevé que el mercado bursátil nacional  seguirá siendo afectado por la volatilidad del tipo de cambio y la expectativa de elevación de las tasas de interés por parte de la Reserva Federal de los Estados Unidos de Norteamérica y de una desaceleración de la </w:t>
      </w:r>
      <w:r w:rsidR="00BB03B9">
        <w:rPr>
          <w:sz w:val="26"/>
          <w:szCs w:val="26"/>
          <w:lang w:val="es-ES"/>
        </w:rPr>
        <w:t>economía mexicana</w:t>
      </w:r>
      <w:r w:rsidR="00BB2780" w:rsidRPr="000E3A45">
        <w:rPr>
          <w:sz w:val="26"/>
          <w:szCs w:val="26"/>
          <w:lang w:val="es-ES"/>
        </w:rPr>
        <w:t>.</w:t>
      </w:r>
      <w:r w:rsidR="00A22D85" w:rsidRPr="000E3A45">
        <w:rPr>
          <w:sz w:val="26"/>
          <w:szCs w:val="26"/>
          <w:lang w:val="es-ES"/>
        </w:rPr>
        <w:t xml:space="preserve"> </w:t>
      </w:r>
    </w:p>
    <w:p w14:paraId="07C584C9" w14:textId="4E84C1A5" w:rsidR="00497CA8" w:rsidRPr="000E3A45" w:rsidRDefault="00770ED0" w:rsidP="00497CA8">
      <w:pPr>
        <w:spacing w:after="360" w:line="360" w:lineRule="auto"/>
        <w:ind w:right="-159"/>
        <w:jc w:val="center"/>
        <w:rPr>
          <w:sz w:val="26"/>
          <w:szCs w:val="26"/>
          <w:lang w:val="es-ES"/>
        </w:rPr>
      </w:pPr>
      <w:r w:rsidRPr="00770ED0">
        <w:rPr>
          <w:rFonts w:ascii="Calibri" w:eastAsia="Calibri" w:hAnsi="Calibri"/>
          <w:sz w:val="22"/>
          <w:szCs w:val="22"/>
          <w:lang w:eastAsia="en-US"/>
        </w:rPr>
        <w:fldChar w:fldCharType="begin"/>
      </w:r>
      <w:r w:rsidRPr="00770ED0">
        <w:rPr>
          <w:rFonts w:ascii="Calibri" w:eastAsia="Calibri" w:hAnsi="Calibri"/>
          <w:sz w:val="22"/>
          <w:szCs w:val="22"/>
          <w:lang w:eastAsia="en-US"/>
        </w:rPr>
        <w:instrText xml:space="preserve"> LINK PowerPoint.Slide.8 "D:\\2015\\MARZO 2014\\GRÁFICAS EN POWER POINT\\26.-GRÁFICAS DE BOLSAS.pptx!289" "" \a \p </w:instrText>
      </w:r>
      <w:r w:rsidRPr="00770ED0">
        <w:rPr>
          <w:rFonts w:ascii="Calibri" w:eastAsia="Calibri" w:hAnsi="Calibri"/>
          <w:sz w:val="22"/>
          <w:szCs w:val="22"/>
          <w:lang w:eastAsia="en-US"/>
        </w:rPr>
        <w:fldChar w:fldCharType="separate"/>
      </w:r>
      <w:r w:rsidRPr="00770ED0">
        <w:rPr>
          <w:rFonts w:ascii="Calibri" w:eastAsia="Calibri" w:hAnsi="Calibri"/>
          <w:noProof/>
          <w:sz w:val="22"/>
          <w:szCs w:val="22"/>
          <w:lang w:eastAsia="es-MX"/>
        </w:rPr>
        <w:drawing>
          <wp:inline distT="0" distB="0" distL="0" distR="0" wp14:anchorId="19437A02" wp14:editId="51F8BD58">
            <wp:extent cx="4343400" cy="3144520"/>
            <wp:effectExtent l="0" t="0" r="0" b="0"/>
            <wp:docPr id="1610" name="Imagen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7"/>
                    <pic:cNvPicPr>
                      <a:picLocks noChangeAspect="1" noChangeArrowheads="1"/>
                    </pic:cNvPicPr>
                  </pic:nvPicPr>
                  <pic:blipFill>
                    <a:blip r:embed="rId434" cstate="print">
                      <a:extLst>
                        <a:ext uri="{28A0092B-C50C-407E-A947-70E740481C1C}">
                          <a14:useLocalDpi xmlns:a14="http://schemas.microsoft.com/office/drawing/2010/main" val="0"/>
                        </a:ext>
                      </a:extLst>
                    </a:blip>
                    <a:srcRect t="4723" r="4802" b="3612"/>
                    <a:stretch>
                      <a:fillRect/>
                    </a:stretch>
                  </pic:blipFill>
                  <pic:spPr bwMode="auto">
                    <a:xfrm>
                      <a:off x="0" y="0"/>
                      <a:ext cx="4343400" cy="3144520"/>
                    </a:xfrm>
                    <a:prstGeom prst="rect">
                      <a:avLst/>
                    </a:prstGeom>
                    <a:noFill/>
                    <a:ln>
                      <a:noFill/>
                    </a:ln>
                  </pic:spPr>
                </pic:pic>
              </a:graphicData>
            </a:graphic>
          </wp:inline>
        </w:drawing>
      </w:r>
      <w:r w:rsidRPr="00770ED0">
        <w:rPr>
          <w:rFonts w:ascii="Calibri" w:eastAsia="Calibri" w:hAnsi="Calibri"/>
          <w:sz w:val="22"/>
          <w:szCs w:val="22"/>
          <w:lang w:eastAsia="en-US"/>
        </w:rPr>
        <w:fldChar w:fldCharType="end"/>
      </w:r>
    </w:p>
    <w:p w14:paraId="3F83B63C" w14:textId="77777777" w:rsidR="00367580" w:rsidRPr="000E3A45" w:rsidRDefault="00367580" w:rsidP="00ED553C">
      <w:pPr>
        <w:spacing w:after="360" w:line="360" w:lineRule="auto"/>
        <w:ind w:right="-159"/>
        <w:jc w:val="both"/>
        <w:rPr>
          <w:b/>
          <w:sz w:val="26"/>
          <w:szCs w:val="26"/>
          <w:lang w:val="es-ES"/>
        </w:rPr>
      </w:pPr>
      <w:r w:rsidRPr="000E3A45">
        <w:rPr>
          <w:b/>
          <w:sz w:val="26"/>
          <w:szCs w:val="26"/>
          <w:lang w:val="es-ES"/>
        </w:rPr>
        <w:t>IPyC mensual</w:t>
      </w:r>
    </w:p>
    <w:p w14:paraId="3AF303DF" w14:textId="5D956D97" w:rsidR="00594061" w:rsidRPr="000E3A45" w:rsidRDefault="00DC0B1A" w:rsidP="00367580">
      <w:pPr>
        <w:spacing w:after="360" w:line="360" w:lineRule="auto"/>
        <w:ind w:right="-159"/>
        <w:jc w:val="both"/>
        <w:rPr>
          <w:sz w:val="26"/>
          <w:szCs w:val="26"/>
        </w:rPr>
      </w:pPr>
      <w:r w:rsidRPr="000E3A45">
        <w:rPr>
          <w:sz w:val="26"/>
          <w:szCs w:val="26"/>
        </w:rPr>
        <w:t xml:space="preserve">Durante </w:t>
      </w:r>
      <w:r w:rsidR="00770ED0">
        <w:rPr>
          <w:sz w:val="26"/>
          <w:szCs w:val="26"/>
        </w:rPr>
        <w:t>febrero</w:t>
      </w:r>
      <w:r w:rsidRPr="000E3A45">
        <w:rPr>
          <w:sz w:val="26"/>
          <w:szCs w:val="26"/>
        </w:rPr>
        <w:t xml:space="preserve"> de 201</w:t>
      </w:r>
      <w:r w:rsidR="00ED2813">
        <w:rPr>
          <w:sz w:val="26"/>
          <w:szCs w:val="26"/>
        </w:rPr>
        <w:t>5</w:t>
      </w:r>
      <w:r w:rsidRPr="000E3A45">
        <w:rPr>
          <w:sz w:val="26"/>
          <w:szCs w:val="26"/>
        </w:rPr>
        <w:t xml:space="preserve">, el </w:t>
      </w:r>
      <w:r w:rsidR="00594061" w:rsidRPr="000E3A45">
        <w:rPr>
          <w:sz w:val="26"/>
          <w:szCs w:val="26"/>
        </w:rPr>
        <w:t xml:space="preserve">IPyC registró una </w:t>
      </w:r>
      <w:r w:rsidR="00770ED0">
        <w:rPr>
          <w:sz w:val="26"/>
          <w:szCs w:val="26"/>
        </w:rPr>
        <w:t>ganancia</w:t>
      </w:r>
      <w:r w:rsidR="00BB03B9">
        <w:rPr>
          <w:sz w:val="26"/>
          <w:szCs w:val="26"/>
        </w:rPr>
        <w:t xml:space="preserve"> de capital</w:t>
      </w:r>
      <w:r w:rsidR="00594061" w:rsidRPr="000E3A45">
        <w:rPr>
          <w:sz w:val="26"/>
          <w:szCs w:val="26"/>
        </w:rPr>
        <w:t xml:space="preserve"> de </w:t>
      </w:r>
      <w:r w:rsidR="00770ED0">
        <w:rPr>
          <w:sz w:val="26"/>
          <w:szCs w:val="26"/>
        </w:rPr>
        <w:t>7.91</w:t>
      </w:r>
      <w:r w:rsidR="00D34EAF" w:rsidRPr="000E3A45">
        <w:rPr>
          <w:sz w:val="26"/>
          <w:szCs w:val="26"/>
        </w:rPr>
        <w:t>%</w:t>
      </w:r>
      <w:r w:rsidR="00B65B20" w:rsidRPr="000E3A45">
        <w:rPr>
          <w:sz w:val="26"/>
          <w:szCs w:val="26"/>
        </w:rPr>
        <w:t xml:space="preserve"> con respecto al mes inmediato anterior;</w:t>
      </w:r>
      <w:r w:rsidR="00D34EAF" w:rsidRPr="000E3A45">
        <w:rPr>
          <w:sz w:val="26"/>
          <w:szCs w:val="26"/>
        </w:rPr>
        <w:t xml:space="preserve"> mientras que en los primeros </w:t>
      </w:r>
      <w:r w:rsidR="00B65B20" w:rsidRPr="000E3A45">
        <w:rPr>
          <w:sz w:val="26"/>
          <w:szCs w:val="26"/>
        </w:rPr>
        <w:t>1</w:t>
      </w:r>
      <w:r w:rsidR="00770ED0">
        <w:rPr>
          <w:sz w:val="26"/>
          <w:szCs w:val="26"/>
        </w:rPr>
        <w:t>7</w:t>
      </w:r>
      <w:r w:rsidR="00D34EAF" w:rsidRPr="000E3A45">
        <w:rPr>
          <w:sz w:val="26"/>
          <w:szCs w:val="26"/>
        </w:rPr>
        <w:t xml:space="preserve"> días de </w:t>
      </w:r>
      <w:r w:rsidR="00770ED0">
        <w:rPr>
          <w:sz w:val="26"/>
          <w:szCs w:val="26"/>
        </w:rPr>
        <w:t>marzo</w:t>
      </w:r>
      <w:r w:rsidR="00D34EAF" w:rsidRPr="000E3A45">
        <w:rPr>
          <w:sz w:val="26"/>
          <w:szCs w:val="26"/>
        </w:rPr>
        <w:t xml:space="preserve"> </w:t>
      </w:r>
      <w:r w:rsidR="00BB03B9">
        <w:rPr>
          <w:sz w:val="26"/>
          <w:szCs w:val="26"/>
        </w:rPr>
        <w:t xml:space="preserve">de 2015, </w:t>
      </w:r>
      <w:r w:rsidR="00D34EAF" w:rsidRPr="000E3A45">
        <w:rPr>
          <w:sz w:val="26"/>
          <w:szCs w:val="26"/>
        </w:rPr>
        <w:t xml:space="preserve">reportó una </w:t>
      </w:r>
      <w:r w:rsidR="00770ED0">
        <w:rPr>
          <w:sz w:val="26"/>
          <w:szCs w:val="26"/>
        </w:rPr>
        <w:t>pérdida</w:t>
      </w:r>
      <w:r w:rsidR="00B65B20" w:rsidRPr="000E3A45">
        <w:rPr>
          <w:sz w:val="26"/>
          <w:szCs w:val="26"/>
        </w:rPr>
        <w:t xml:space="preserve"> de </w:t>
      </w:r>
      <w:r w:rsidR="00770ED0">
        <w:rPr>
          <w:sz w:val="26"/>
          <w:szCs w:val="26"/>
        </w:rPr>
        <w:t>0</w:t>
      </w:r>
      <w:r w:rsidR="00BB03B9">
        <w:rPr>
          <w:sz w:val="26"/>
          <w:szCs w:val="26"/>
        </w:rPr>
        <w:t>.</w:t>
      </w:r>
      <w:r w:rsidR="00ED2813">
        <w:rPr>
          <w:sz w:val="26"/>
          <w:szCs w:val="26"/>
        </w:rPr>
        <w:t>9</w:t>
      </w:r>
      <w:r w:rsidR="00770ED0">
        <w:rPr>
          <w:sz w:val="26"/>
          <w:szCs w:val="26"/>
        </w:rPr>
        <w:t>7</w:t>
      </w:r>
      <w:r w:rsidR="00B65B20" w:rsidRPr="000E3A45">
        <w:rPr>
          <w:sz w:val="26"/>
          <w:szCs w:val="26"/>
        </w:rPr>
        <w:t xml:space="preserve">% con relación al cierre de </w:t>
      </w:r>
      <w:r w:rsidR="00BB03B9">
        <w:rPr>
          <w:sz w:val="26"/>
          <w:szCs w:val="26"/>
        </w:rPr>
        <w:t>diciembre</w:t>
      </w:r>
      <w:r w:rsidR="00B65B20" w:rsidRPr="000E3A45">
        <w:rPr>
          <w:sz w:val="26"/>
          <w:szCs w:val="26"/>
        </w:rPr>
        <w:t xml:space="preserve"> </w:t>
      </w:r>
      <w:r w:rsidR="00770ED0">
        <w:rPr>
          <w:sz w:val="26"/>
          <w:szCs w:val="26"/>
        </w:rPr>
        <w:t>de 2014</w:t>
      </w:r>
      <w:r w:rsidR="00594061" w:rsidRPr="000E3A45">
        <w:rPr>
          <w:sz w:val="26"/>
          <w:szCs w:val="26"/>
        </w:rPr>
        <w:t>.</w:t>
      </w:r>
    </w:p>
    <w:p w14:paraId="17E86751" w14:textId="1E468BA7" w:rsidR="00AC53E0" w:rsidRPr="000E3A45" w:rsidRDefault="00770ED0" w:rsidP="00AC53E0">
      <w:pPr>
        <w:spacing w:after="360" w:line="360" w:lineRule="auto"/>
        <w:ind w:right="-159"/>
        <w:jc w:val="center"/>
        <w:rPr>
          <w:sz w:val="26"/>
          <w:szCs w:val="26"/>
        </w:rPr>
      </w:pPr>
      <w:r w:rsidRPr="00770ED0">
        <w:rPr>
          <w:rFonts w:ascii="Calibri" w:eastAsia="Calibri" w:hAnsi="Calibri"/>
          <w:sz w:val="22"/>
          <w:szCs w:val="22"/>
          <w:lang w:eastAsia="en-US"/>
        </w:rPr>
        <w:lastRenderedPageBreak/>
        <w:fldChar w:fldCharType="begin"/>
      </w:r>
      <w:r w:rsidRPr="00770ED0">
        <w:rPr>
          <w:rFonts w:ascii="Calibri" w:eastAsia="Calibri" w:hAnsi="Calibri"/>
          <w:sz w:val="22"/>
          <w:szCs w:val="22"/>
          <w:lang w:eastAsia="en-US"/>
        </w:rPr>
        <w:instrText xml:space="preserve"> LINK PowerPoint.Slide.8 "D:\\2015\\MARZO 2014\\GRÁFICAS EN POWER POINT\\26.-GRÁFICAS DE BOLSAS.pptx!276" "" \a \p </w:instrText>
      </w:r>
      <w:r w:rsidRPr="00770ED0">
        <w:rPr>
          <w:rFonts w:ascii="Calibri" w:eastAsia="Calibri" w:hAnsi="Calibri"/>
          <w:sz w:val="22"/>
          <w:szCs w:val="22"/>
          <w:lang w:eastAsia="en-US"/>
        </w:rPr>
        <w:fldChar w:fldCharType="separate"/>
      </w:r>
      <w:r w:rsidRPr="00770ED0">
        <w:rPr>
          <w:rFonts w:ascii="Calibri" w:eastAsia="Calibri" w:hAnsi="Calibri"/>
          <w:noProof/>
          <w:sz w:val="22"/>
          <w:szCs w:val="22"/>
          <w:lang w:eastAsia="es-MX"/>
        </w:rPr>
        <w:drawing>
          <wp:inline distT="0" distB="0" distL="0" distR="0" wp14:anchorId="03CFDF2A" wp14:editId="5975FBB7">
            <wp:extent cx="4343400" cy="3206750"/>
            <wp:effectExtent l="0" t="0" r="0" b="0"/>
            <wp:docPr id="1611" name="Imagen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9"/>
                    <pic:cNvPicPr>
                      <a:picLocks noChangeAspect="1" noChangeArrowheads="1"/>
                    </pic:cNvPicPr>
                  </pic:nvPicPr>
                  <pic:blipFill>
                    <a:blip r:embed="rId435" cstate="print">
                      <a:extLst>
                        <a:ext uri="{28A0092B-C50C-407E-A947-70E740481C1C}">
                          <a14:useLocalDpi xmlns:a14="http://schemas.microsoft.com/office/drawing/2010/main" val="0"/>
                        </a:ext>
                      </a:extLst>
                    </a:blip>
                    <a:srcRect l="1671" t="6389" r="3131"/>
                    <a:stretch>
                      <a:fillRect/>
                    </a:stretch>
                  </pic:blipFill>
                  <pic:spPr bwMode="auto">
                    <a:xfrm>
                      <a:off x="0" y="0"/>
                      <a:ext cx="4343400" cy="3206750"/>
                    </a:xfrm>
                    <a:prstGeom prst="rect">
                      <a:avLst/>
                    </a:prstGeom>
                    <a:noFill/>
                    <a:ln>
                      <a:noFill/>
                    </a:ln>
                  </pic:spPr>
                </pic:pic>
              </a:graphicData>
            </a:graphic>
          </wp:inline>
        </w:drawing>
      </w:r>
      <w:r w:rsidRPr="00770ED0">
        <w:rPr>
          <w:rFonts w:ascii="Calibri" w:eastAsia="Calibri" w:hAnsi="Calibri"/>
          <w:sz w:val="22"/>
          <w:szCs w:val="22"/>
          <w:lang w:eastAsia="en-US"/>
        </w:rPr>
        <w:fldChar w:fldCharType="end"/>
      </w:r>
    </w:p>
    <w:p w14:paraId="49D05814" w14:textId="77777777" w:rsidR="00ED553C" w:rsidRPr="000E3A45" w:rsidRDefault="00ED553C" w:rsidP="00ED553C">
      <w:pPr>
        <w:spacing w:after="360" w:line="360" w:lineRule="auto"/>
        <w:ind w:right="-159"/>
        <w:rPr>
          <w:b/>
          <w:sz w:val="26"/>
          <w:szCs w:val="26"/>
          <w:lang w:val="es-ES"/>
        </w:rPr>
      </w:pPr>
      <w:bookmarkStart w:id="20" w:name="OLE_LINK40"/>
      <w:bookmarkStart w:id="21" w:name="OLE_LINK42"/>
      <w:r w:rsidRPr="000E3A45">
        <w:rPr>
          <w:b/>
          <w:sz w:val="26"/>
          <w:szCs w:val="26"/>
          <w:lang w:val="es-ES"/>
        </w:rPr>
        <w:t>Índices sectoriales</w:t>
      </w:r>
    </w:p>
    <w:p w14:paraId="58CFE64F" w14:textId="058E35D9" w:rsidR="001C1ED2" w:rsidRPr="000E3A45" w:rsidRDefault="00DC0B1A" w:rsidP="00ED553C">
      <w:pPr>
        <w:spacing w:after="360" w:line="360" w:lineRule="auto"/>
        <w:ind w:right="-159"/>
        <w:jc w:val="both"/>
        <w:rPr>
          <w:sz w:val="26"/>
          <w:szCs w:val="26"/>
        </w:rPr>
      </w:pPr>
      <w:r w:rsidRPr="000E3A45">
        <w:rPr>
          <w:sz w:val="26"/>
          <w:szCs w:val="26"/>
        </w:rPr>
        <w:t>D</w:t>
      </w:r>
      <w:r w:rsidR="001C1ED2" w:rsidRPr="000E3A45">
        <w:rPr>
          <w:sz w:val="26"/>
          <w:szCs w:val="26"/>
        </w:rPr>
        <w:t>el 31 de diciembre de 201</w:t>
      </w:r>
      <w:r w:rsidR="00BB03B9">
        <w:rPr>
          <w:sz w:val="26"/>
          <w:szCs w:val="26"/>
        </w:rPr>
        <w:t>4</w:t>
      </w:r>
      <w:r w:rsidR="001C1ED2" w:rsidRPr="000E3A45">
        <w:rPr>
          <w:sz w:val="26"/>
          <w:szCs w:val="26"/>
        </w:rPr>
        <w:t xml:space="preserve"> al </w:t>
      </w:r>
      <w:r w:rsidR="00EA7FDB" w:rsidRPr="000E3A45">
        <w:rPr>
          <w:sz w:val="26"/>
          <w:szCs w:val="26"/>
        </w:rPr>
        <w:t>1</w:t>
      </w:r>
      <w:r w:rsidR="0034778F">
        <w:rPr>
          <w:sz w:val="26"/>
          <w:szCs w:val="26"/>
        </w:rPr>
        <w:t>7</w:t>
      </w:r>
      <w:r w:rsidR="001C1ED2" w:rsidRPr="000E3A45">
        <w:rPr>
          <w:sz w:val="26"/>
          <w:szCs w:val="26"/>
        </w:rPr>
        <w:t xml:space="preserve"> de </w:t>
      </w:r>
      <w:r w:rsidR="0034778F">
        <w:rPr>
          <w:sz w:val="26"/>
          <w:szCs w:val="26"/>
        </w:rPr>
        <w:t>marzo</w:t>
      </w:r>
      <w:r w:rsidR="00BB03B9">
        <w:rPr>
          <w:sz w:val="26"/>
          <w:szCs w:val="26"/>
        </w:rPr>
        <w:t xml:space="preserve"> de 2015</w:t>
      </w:r>
      <w:r w:rsidR="001C1ED2" w:rsidRPr="000E3A45">
        <w:rPr>
          <w:sz w:val="26"/>
          <w:szCs w:val="26"/>
        </w:rPr>
        <w:t xml:space="preserve">, </w:t>
      </w:r>
      <w:r w:rsidR="00BB03B9">
        <w:rPr>
          <w:sz w:val="26"/>
          <w:szCs w:val="26"/>
        </w:rPr>
        <w:t xml:space="preserve">todos </w:t>
      </w:r>
      <w:r w:rsidR="004E1268" w:rsidRPr="000E3A45">
        <w:rPr>
          <w:sz w:val="26"/>
          <w:szCs w:val="26"/>
        </w:rPr>
        <w:t>los</w:t>
      </w:r>
      <w:r w:rsidR="001C1ED2" w:rsidRPr="000E3A45">
        <w:rPr>
          <w:sz w:val="26"/>
          <w:szCs w:val="26"/>
        </w:rPr>
        <w:t xml:space="preserve"> índice</w:t>
      </w:r>
      <w:r w:rsidR="004E1268" w:rsidRPr="000E3A45">
        <w:rPr>
          <w:sz w:val="26"/>
          <w:szCs w:val="26"/>
        </w:rPr>
        <w:t>s</w:t>
      </w:r>
      <w:r w:rsidR="001C1ED2" w:rsidRPr="000E3A45">
        <w:rPr>
          <w:sz w:val="26"/>
          <w:szCs w:val="26"/>
        </w:rPr>
        <w:t xml:space="preserve"> sectorial</w:t>
      </w:r>
      <w:r w:rsidR="004E1268" w:rsidRPr="000E3A45">
        <w:rPr>
          <w:sz w:val="26"/>
          <w:szCs w:val="26"/>
        </w:rPr>
        <w:t>es</w:t>
      </w:r>
      <w:r w:rsidR="001C1ED2" w:rsidRPr="000E3A45">
        <w:rPr>
          <w:sz w:val="26"/>
          <w:szCs w:val="26"/>
        </w:rPr>
        <w:t xml:space="preserve"> que eport</w:t>
      </w:r>
      <w:r w:rsidR="004E1268" w:rsidRPr="000E3A45">
        <w:rPr>
          <w:sz w:val="26"/>
          <w:szCs w:val="26"/>
        </w:rPr>
        <w:t>aron</w:t>
      </w:r>
      <w:r w:rsidR="001C1ED2" w:rsidRPr="000E3A45">
        <w:rPr>
          <w:sz w:val="26"/>
          <w:szCs w:val="26"/>
        </w:rPr>
        <w:t xml:space="preserve"> </w:t>
      </w:r>
      <w:r w:rsidR="0034778F">
        <w:rPr>
          <w:sz w:val="26"/>
          <w:szCs w:val="26"/>
        </w:rPr>
        <w:t>ganancias fueron los siguientes</w:t>
      </w:r>
      <w:r w:rsidR="004E1268" w:rsidRPr="000E3A45">
        <w:rPr>
          <w:sz w:val="26"/>
          <w:szCs w:val="26"/>
        </w:rPr>
        <w:t>:</w:t>
      </w:r>
      <w:r w:rsidR="001C1ED2" w:rsidRPr="000E3A45">
        <w:rPr>
          <w:sz w:val="26"/>
          <w:szCs w:val="26"/>
        </w:rPr>
        <w:t xml:space="preserve"> </w:t>
      </w:r>
      <w:r w:rsidR="0034778F" w:rsidRPr="000E3A45">
        <w:rPr>
          <w:sz w:val="26"/>
          <w:szCs w:val="26"/>
        </w:rPr>
        <w:t>productos de consumo frecuentes (</w:t>
      </w:r>
      <w:r w:rsidR="0034778F">
        <w:rPr>
          <w:sz w:val="26"/>
          <w:szCs w:val="26"/>
        </w:rPr>
        <w:t>5.55</w:t>
      </w:r>
      <w:r w:rsidR="0034778F" w:rsidRPr="000E3A45">
        <w:rPr>
          <w:sz w:val="26"/>
          <w:szCs w:val="26"/>
        </w:rPr>
        <w:t>%)</w:t>
      </w:r>
      <w:r w:rsidR="0034778F">
        <w:rPr>
          <w:sz w:val="26"/>
          <w:szCs w:val="26"/>
        </w:rPr>
        <w:t xml:space="preserve">,  </w:t>
      </w:r>
      <w:r w:rsidR="0034778F" w:rsidRPr="000E3A45">
        <w:rPr>
          <w:sz w:val="26"/>
          <w:szCs w:val="26"/>
        </w:rPr>
        <w:t xml:space="preserve">servicios </w:t>
      </w:r>
      <w:r w:rsidR="00DF60F6">
        <w:rPr>
          <w:sz w:val="26"/>
          <w:szCs w:val="26"/>
        </w:rPr>
        <w:t>y</w:t>
      </w:r>
      <w:r w:rsidR="0034778F" w:rsidRPr="000E3A45">
        <w:rPr>
          <w:sz w:val="26"/>
          <w:szCs w:val="26"/>
        </w:rPr>
        <w:t xml:space="preserve"> bienes de consumo no básicos (</w:t>
      </w:r>
      <w:r w:rsidR="0034778F">
        <w:rPr>
          <w:sz w:val="26"/>
          <w:szCs w:val="26"/>
        </w:rPr>
        <w:t>4.15</w:t>
      </w:r>
      <w:r w:rsidR="0034778F" w:rsidRPr="000E3A45">
        <w:rPr>
          <w:sz w:val="26"/>
          <w:szCs w:val="26"/>
        </w:rPr>
        <w:t>%),</w:t>
      </w:r>
      <w:r w:rsidR="0034778F">
        <w:rPr>
          <w:sz w:val="26"/>
          <w:szCs w:val="26"/>
        </w:rPr>
        <w:t xml:space="preserve"> servicios financieros (2.34%), </w:t>
      </w:r>
      <w:r w:rsidR="0034778F" w:rsidRPr="000E3A45">
        <w:rPr>
          <w:sz w:val="26"/>
          <w:szCs w:val="26"/>
        </w:rPr>
        <w:t>servicios de telecomunicaciones (</w:t>
      </w:r>
      <w:r w:rsidR="0034778F">
        <w:rPr>
          <w:sz w:val="26"/>
          <w:szCs w:val="26"/>
        </w:rPr>
        <w:t>2.05</w:t>
      </w:r>
      <w:r w:rsidR="0034778F" w:rsidRPr="000E3A45">
        <w:rPr>
          <w:sz w:val="26"/>
          <w:szCs w:val="26"/>
        </w:rPr>
        <w:t>%)</w:t>
      </w:r>
      <w:r w:rsidR="00DF60F6">
        <w:rPr>
          <w:sz w:val="26"/>
          <w:szCs w:val="26"/>
        </w:rPr>
        <w:t>;</w:t>
      </w:r>
      <w:r w:rsidR="0034778F">
        <w:rPr>
          <w:sz w:val="26"/>
          <w:szCs w:val="26"/>
        </w:rPr>
        <w:t xml:space="preserve"> </w:t>
      </w:r>
      <w:r w:rsidR="00DF60F6">
        <w:rPr>
          <w:sz w:val="26"/>
          <w:szCs w:val="26"/>
        </w:rPr>
        <w:t>p</w:t>
      </w:r>
      <w:r w:rsidR="0034778F">
        <w:rPr>
          <w:sz w:val="26"/>
          <w:szCs w:val="26"/>
        </w:rPr>
        <w:t xml:space="preserve">or el contrario registraron pérdidas, </w:t>
      </w:r>
      <w:r w:rsidR="00BB03B9">
        <w:rPr>
          <w:sz w:val="26"/>
          <w:szCs w:val="26"/>
        </w:rPr>
        <w:t>salud (</w:t>
      </w:r>
      <w:r w:rsidR="0034778F">
        <w:rPr>
          <w:sz w:val="26"/>
          <w:szCs w:val="26"/>
        </w:rPr>
        <w:t>2</w:t>
      </w:r>
      <w:r w:rsidR="00BB03B9">
        <w:rPr>
          <w:sz w:val="26"/>
          <w:szCs w:val="26"/>
        </w:rPr>
        <w:t>1.</w:t>
      </w:r>
      <w:r w:rsidR="0034778F">
        <w:rPr>
          <w:sz w:val="26"/>
          <w:szCs w:val="26"/>
        </w:rPr>
        <w:t>8</w:t>
      </w:r>
      <w:r w:rsidR="00ED2813">
        <w:rPr>
          <w:sz w:val="26"/>
          <w:szCs w:val="26"/>
        </w:rPr>
        <w:t>9</w:t>
      </w:r>
      <w:r w:rsidR="00BB03B9">
        <w:rPr>
          <w:sz w:val="26"/>
          <w:szCs w:val="26"/>
        </w:rPr>
        <w:t xml:space="preserve">%), </w:t>
      </w:r>
      <w:r w:rsidR="0034778F">
        <w:rPr>
          <w:sz w:val="26"/>
          <w:szCs w:val="26"/>
        </w:rPr>
        <w:t xml:space="preserve">materiales (5.18%) e </w:t>
      </w:r>
      <w:r w:rsidR="00ED2813">
        <w:rPr>
          <w:sz w:val="26"/>
          <w:szCs w:val="26"/>
        </w:rPr>
        <w:t>industrial (</w:t>
      </w:r>
      <w:r w:rsidR="0034778F">
        <w:rPr>
          <w:sz w:val="26"/>
          <w:szCs w:val="26"/>
        </w:rPr>
        <w:t>3.58</w:t>
      </w:r>
      <w:r w:rsidR="00ED2813">
        <w:rPr>
          <w:sz w:val="26"/>
          <w:szCs w:val="26"/>
        </w:rPr>
        <w:t>%)</w:t>
      </w:r>
      <w:r w:rsidR="0034778F">
        <w:rPr>
          <w:sz w:val="26"/>
          <w:szCs w:val="26"/>
        </w:rPr>
        <w:t>.</w:t>
      </w:r>
    </w:p>
    <w:p w14:paraId="3AC345E2" w14:textId="03C10A4B" w:rsidR="00665639" w:rsidRPr="000E3A45" w:rsidRDefault="00770ED0" w:rsidP="00665639">
      <w:pPr>
        <w:spacing w:after="360" w:line="360" w:lineRule="auto"/>
        <w:ind w:right="-159"/>
        <w:jc w:val="center"/>
        <w:rPr>
          <w:sz w:val="26"/>
          <w:szCs w:val="26"/>
        </w:rPr>
      </w:pPr>
      <w:r w:rsidRPr="00770ED0">
        <w:rPr>
          <w:rFonts w:ascii="Calibri" w:eastAsia="Calibri" w:hAnsi="Calibri"/>
          <w:sz w:val="22"/>
          <w:szCs w:val="22"/>
          <w:lang w:eastAsia="en-US"/>
        </w:rPr>
        <w:lastRenderedPageBreak/>
        <w:fldChar w:fldCharType="begin"/>
      </w:r>
      <w:r w:rsidRPr="00770ED0">
        <w:rPr>
          <w:rFonts w:ascii="Calibri" w:eastAsia="Calibri" w:hAnsi="Calibri"/>
          <w:sz w:val="22"/>
          <w:szCs w:val="22"/>
          <w:lang w:eastAsia="en-US"/>
        </w:rPr>
        <w:instrText xml:space="preserve"> LINK PowerPoint.Slide.8 "D:\\2015\\MARZO 2014\\GRÁFICAS EN POWER POINT\\26.-GRÁFICAS DE BOLSAS.pptx!288" "" \a \p </w:instrText>
      </w:r>
      <w:r w:rsidRPr="00770ED0">
        <w:rPr>
          <w:rFonts w:ascii="Calibri" w:eastAsia="Calibri" w:hAnsi="Calibri"/>
          <w:sz w:val="22"/>
          <w:szCs w:val="22"/>
          <w:lang w:eastAsia="en-US"/>
        </w:rPr>
        <w:fldChar w:fldCharType="separate"/>
      </w:r>
      <w:r w:rsidRPr="00770ED0">
        <w:rPr>
          <w:rFonts w:ascii="Calibri" w:eastAsia="Calibri" w:hAnsi="Calibri"/>
          <w:noProof/>
          <w:sz w:val="22"/>
          <w:szCs w:val="22"/>
          <w:lang w:eastAsia="es-MX"/>
        </w:rPr>
        <w:drawing>
          <wp:inline distT="0" distB="0" distL="0" distR="0" wp14:anchorId="666521D1" wp14:editId="48EE946E">
            <wp:extent cx="4380230" cy="2959735"/>
            <wp:effectExtent l="0" t="0" r="1270" b="0"/>
            <wp:docPr id="1612" name="Imagen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1"/>
                    <pic:cNvPicPr>
                      <a:picLocks noChangeAspect="1" noChangeArrowheads="1"/>
                    </pic:cNvPicPr>
                  </pic:nvPicPr>
                  <pic:blipFill>
                    <a:blip r:embed="rId436" cstate="print">
                      <a:extLst>
                        <a:ext uri="{28A0092B-C50C-407E-A947-70E740481C1C}">
                          <a14:useLocalDpi xmlns:a14="http://schemas.microsoft.com/office/drawing/2010/main" val="0"/>
                        </a:ext>
                      </a:extLst>
                    </a:blip>
                    <a:srcRect l="2296" t="6944" r="1671" b="6667"/>
                    <a:stretch>
                      <a:fillRect/>
                    </a:stretch>
                  </pic:blipFill>
                  <pic:spPr bwMode="auto">
                    <a:xfrm>
                      <a:off x="0" y="0"/>
                      <a:ext cx="4380230" cy="2959735"/>
                    </a:xfrm>
                    <a:prstGeom prst="rect">
                      <a:avLst/>
                    </a:prstGeom>
                    <a:noFill/>
                    <a:ln>
                      <a:noFill/>
                    </a:ln>
                  </pic:spPr>
                </pic:pic>
              </a:graphicData>
            </a:graphic>
          </wp:inline>
        </w:drawing>
      </w:r>
      <w:r w:rsidRPr="00770ED0">
        <w:rPr>
          <w:rFonts w:ascii="Calibri" w:eastAsia="Calibri" w:hAnsi="Calibri"/>
          <w:sz w:val="22"/>
          <w:szCs w:val="22"/>
          <w:lang w:eastAsia="en-US"/>
        </w:rPr>
        <w:fldChar w:fldCharType="end"/>
      </w:r>
    </w:p>
    <w:p w14:paraId="705CB921" w14:textId="77777777" w:rsidR="00ED553C" w:rsidRPr="000E3A45" w:rsidRDefault="00ED553C" w:rsidP="00E062AC">
      <w:pPr>
        <w:ind w:right="-159"/>
        <w:jc w:val="both"/>
        <w:rPr>
          <w:b/>
          <w:sz w:val="20"/>
          <w:szCs w:val="20"/>
          <w:lang w:val="es-ES"/>
        </w:rPr>
      </w:pPr>
      <w:r w:rsidRPr="000E3A45">
        <w:rPr>
          <w:b/>
          <w:sz w:val="20"/>
          <w:szCs w:val="20"/>
          <w:lang w:val="es-ES"/>
        </w:rPr>
        <w:t xml:space="preserve">Fuente de información: </w:t>
      </w:r>
    </w:p>
    <w:p w14:paraId="30371283" w14:textId="77777777" w:rsidR="000A4187" w:rsidRPr="00DF60F6" w:rsidRDefault="0093224F" w:rsidP="00FE6308">
      <w:pPr>
        <w:ind w:right="-159"/>
        <w:jc w:val="both"/>
        <w:rPr>
          <w:rStyle w:val="Hipervnculo"/>
          <w:sz w:val="20"/>
          <w:szCs w:val="20"/>
        </w:rPr>
      </w:pPr>
      <w:hyperlink r:id="rId437" w:history="1">
        <w:r w:rsidR="000A4187" w:rsidRPr="00DF60F6">
          <w:rPr>
            <w:rStyle w:val="Hipervnculo"/>
            <w:sz w:val="20"/>
            <w:szCs w:val="20"/>
          </w:rPr>
          <w:t>http://www.bmv.com.mx/</w:t>
        </w:r>
      </w:hyperlink>
    </w:p>
    <w:p w14:paraId="4BCDF83E" w14:textId="6F158A7F" w:rsidR="00135DE5" w:rsidRPr="00DF60F6" w:rsidRDefault="00921FE8" w:rsidP="00DF60F6">
      <w:pPr>
        <w:spacing w:after="720" w:line="360" w:lineRule="auto"/>
        <w:ind w:right="-159"/>
        <w:jc w:val="both"/>
        <w:rPr>
          <w:rFonts w:eastAsia="Calibri"/>
          <w:sz w:val="20"/>
          <w:szCs w:val="20"/>
          <w:lang w:val="es-ES" w:eastAsia="en-US"/>
        </w:rPr>
      </w:pPr>
      <w:r w:rsidRPr="00DF60F6">
        <w:rPr>
          <w:rFonts w:eastAsia="Calibri"/>
          <w:sz w:val="20"/>
          <w:szCs w:val="20"/>
          <w:lang w:val="es-ES" w:eastAsia="en-US"/>
        </w:rPr>
        <w:t xml:space="preserve">Periódico </w:t>
      </w:r>
      <w:r w:rsidR="00097EFB" w:rsidRPr="00DF60F6">
        <w:rPr>
          <w:rFonts w:eastAsia="Calibri"/>
          <w:sz w:val="20"/>
          <w:szCs w:val="20"/>
          <w:lang w:val="es-ES" w:eastAsia="en-US"/>
        </w:rPr>
        <w:t>Reforma</w:t>
      </w:r>
      <w:r w:rsidRPr="00DF60F6">
        <w:rPr>
          <w:rFonts w:eastAsia="Calibri"/>
          <w:sz w:val="20"/>
          <w:szCs w:val="20"/>
          <w:lang w:val="es-ES" w:eastAsia="en-US"/>
        </w:rPr>
        <w:t xml:space="preserve">, </w:t>
      </w:r>
      <w:r w:rsidR="005B763B" w:rsidRPr="00DF60F6">
        <w:rPr>
          <w:rFonts w:eastAsia="Calibri"/>
          <w:sz w:val="20"/>
          <w:szCs w:val="20"/>
          <w:lang w:val="es-ES" w:eastAsia="en-US"/>
        </w:rPr>
        <w:t>1</w:t>
      </w:r>
      <w:r w:rsidR="00770ED0" w:rsidRPr="00DF60F6">
        <w:rPr>
          <w:rFonts w:eastAsia="Calibri"/>
          <w:sz w:val="20"/>
          <w:szCs w:val="20"/>
          <w:lang w:val="es-ES" w:eastAsia="en-US"/>
        </w:rPr>
        <w:t>8</w:t>
      </w:r>
      <w:r w:rsidRPr="00DF60F6">
        <w:rPr>
          <w:rFonts w:eastAsia="Calibri"/>
          <w:sz w:val="20"/>
          <w:szCs w:val="20"/>
          <w:lang w:val="es-ES" w:eastAsia="en-US"/>
        </w:rPr>
        <w:t xml:space="preserve"> de </w:t>
      </w:r>
      <w:r w:rsidR="00770ED0" w:rsidRPr="00DF60F6">
        <w:rPr>
          <w:rFonts w:eastAsia="Calibri"/>
          <w:sz w:val="20"/>
          <w:szCs w:val="20"/>
          <w:lang w:val="es-ES" w:eastAsia="en-US"/>
        </w:rPr>
        <w:t>marzo</w:t>
      </w:r>
      <w:r w:rsidRPr="00DF60F6">
        <w:rPr>
          <w:rFonts w:eastAsia="Calibri"/>
          <w:sz w:val="20"/>
          <w:szCs w:val="20"/>
          <w:lang w:val="es-ES" w:eastAsia="en-US"/>
        </w:rPr>
        <w:t xml:space="preserve"> de 201</w:t>
      </w:r>
      <w:r w:rsidR="006B0002" w:rsidRPr="00DF60F6">
        <w:rPr>
          <w:rFonts w:eastAsia="Calibri"/>
          <w:sz w:val="20"/>
          <w:szCs w:val="20"/>
          <w:lang w:val="es-ES" w:eastAsia="en-US"/>
        </w:rPr>
        <w:t>5</w:t>
      </w:r>
      <w:r w:rsidRPr="00DF60F6">
        <w:rPr>
          <w:rFonts w:eastAsia="Calibri"/>
          <w:sz w:val="20"/>
          <w:szCs w:val="20"/>
          <w:lang w:val="es-ES" w:eastAsia="en-US"/>
        </w:rPr>
        <w:t xml:space="preserve">, sección </w:t>
      </w:r>
      <w:r w:rsidR="00097EFB" w:rsidRPr="00DF60F6">
        <w:rPr>
          <w:rFonts w:eastAsia="Calibri"/>
          <w:sz w:val="20"/>
          <w:szCs w:val="20"/>
          <w:lang w:val="es-ES" w:eastAsia="en-US"/>
        </w:rPr>
        <w:t>negocios</w:t>
      </w:r>
      <w:r w:rsidRPr="00DF60F6">
        <w:rPr>
          <w:rFonts w:eastAsia="Calibri"/>
          <w:sz w:val="20"/>
          <w:szCs w:val="20"/>
          <w:lang w:val="es-ES" w:eastAsia="en-US"/>
        </w:rPr>
        <w:t>, México.</w:t>
      </w:r>
    </w:p>
    <w:p w14:paraId="2D502481" w14:textId="0B87528B" w:rsidR="00DD3F4A" w:rsidRPr="000E3A45" w:rsidRDefault="00F4765E" w:rsidP="002F2116">
      <w:pPr>
        <w:autoSpaceDE w:val="0"/>
        <w:autoSpaceDN w:val="0"/>
        <w:adjustRightInd w:val="0"/>
        <w:spacing w:after="360" w:line="360" w:lineRule="auto"/>
        <w:ind w:right="-159"/>
        <w:jc w:val="both"/>
        <w:rPr>
          <w:b/>
          <w:sz w:val="26"/>
          <w:szCs w:val="26"/>
        </w:rPr>
      </w:pPr>
      <w:r w:rsidRPr="000E3A45">
        <w:rPr>
          <w:b/>
          <w:sz w:val="26"/>
          <w:szCs w:val="26"/>
        </w:rPr>
        <w:t>Mercados bursátiles internacionales</w:t>
      </w:r>
    </w:p>
    <w:p w14:paraId="28310808" w14:textId="22EDE88E" w:rsidR="00A743B1" w:rsidRPr="000E3A45" w:rsidRDefault="001228D7" w:rsidP="00D90375">
      <w:pPr>
        <w:tabs>
          <w:tab w:val="left" w:pos="154"/>
        </w:tabs>
        <w:autoSpaceDE w:val="0"/>
        <w:autoSpaceDN w:val="0"/>
        <w:adjustRightInd w:val="0"/>
        <w:spacing w:after="360" w:line="360" w:lineRule="auto"/>
        <w:ind w:right="-159"/>
        <w:jc w:val="both"/>
        <w:rPr>
          <w:sz w:val="26"/>
          <w:szCs w:val="26"/>
        </w:rPr>
      </w:pPr>
      <w:r w:rsidRPr="000E3A45">
        <w:rPr>
          <w:sz w:val="26"/>
          <w:szCs w:val="26"/>
        </w:rPr>
        <w:t xml:space="preserve">A consecuencia de </w:t>
      </w:r>
      <w:r w:rsidR="00CE726E">
        <w:rPr>
          <w:sz w:val="26"/>
          <w:szCs w:val="26"/>
        </w:rPr>
        <w:t xml:space="preserve">volatilidad en los mercados financieros internacionales, </w:t>
      </w:r>
      <w:r w:rsidRPr="000E3A45">
        <w:rPr>
          <w:sz w:val="26"/>
          <w:szCs w:val="26"/>
        </w:rPr>
        <w:t xml:space="preserve">la </w:t>
      </w:r>
      <w:r w:rsidR="00CE726E">
        <w:rPr>
          <w:sz w:val="26"/>
          <w:szCs w:val="26"/>
        </w:rPr>
        <w:t>fragilidad</w:t>
      </w:r>
      <w:r w:rsidR="004046E8">
        <w:rPr>
          <w:sz w:val="26"/>
          <w:szCs w:val="26"/>
        </w:rPr>
        <w:t xml:space="preserve"> </w:t>
      </w:r>
      <w:r w:rsidR="00A743B1" w:rsidRPr="000E3A45">
        <w:rPr>
          <w:sz w:val="26"/>
          <w:szCs w:val="26"/>
        </w:rPr>
        <w:t xml:space="preserve">en el crecimiento de la economía mundial, de la </w:t>
      </w:r>
      <w:r w:rsidRPr="000E3A45">
        <w:rPr>
          <w:sz w:val="26"/>
          <w:szCs w:val="26"/>
        </w:rPr>
        <w:t xml:space="preserve">caída del </w:t>
      </w:r>
      <w:r w:rsidR="00A743B1" w:rsidRPr="000E3A45">
        <w:rPr>
          <w:sz w:val="26"/>
          <w:szCs w:val="26"/>
        </w:rPr>
        <w:t xml:space="preserve">precio del </w:t>
      </w:r>
      <w:r w:rsidRPr="000E3A45">
        <w:rPr>
          <w:sz w:val="26"/>
          <w:szCs w:val="26"/>
        </w:rPr>
        <w:t xml:space="preserve">petróleo </w:t>
      </w:r>
      <w:r w:rsidR="00A743B1" w:rsidRPr="000E3A45">
        <w:rPr>
          <w:sz w:val="26"/>
          <w:szCs w:val="26"/>
        </w:rPr>
        <w:t>y de otras materias primas</w:t>
      </w:r>
      <w:r w:rsidR="00CE726E">
        <w:rPr>
          <w:sz w:val="26"/>
          <w:szCs w:val="26"/>
        </w:rPr>
        <w:t xml:space="preserve"> y de la incertidumbre respecto al futuro de las tasas de interés, </w:t>
      </w:r>
      <w:r w:rsidR="00A743B1" w:rsidRPr="000E3A45">
        <w:rPr>
          <w:sz w:val="26"/>
          <w:szCs w:val="26"/>
        </w:rPr>
        <w:t xml:space="preserve">los mercados accionarios </w:t>
      </w:r>
      <w:r w:rsidR="00CE726E">
        <w:rPr>
          <w:sz w:val="26"/>
          <w:szCs w:val="26"/>
        </w:rPr>
        <w:t xml:space="preserve">se han movido en una trayectoria mixta </w:t>
      </w:r>
      <w:r w:rsidR="004046E8">
        <w:rPr>
          <w:sz w:val="26"/>
          <w:szCs w:val="26"/>
        </w:rPr>
        <w:t xml:space="preserve">durante el primer </w:t>
      </w:r>
      <w:r w:rsidR="00CE726E">
        <w:rPr>
          <w:sz w:val="26"/>
          <w:szCs w:val="26"/>
        </w:rPr>
        <w:t>tr</w:t>
      </w:r>
      <w:r w:rsidR="004046E8">
        <w:rPr>
          <w:sz w:val="26"/>
          <w:szCs w:val="26"/>
        </w:rPr>
        <w:t>imestre de 2015</w:t>
      </w:r>
      <w:r w:rsidR="00A743B1" w:rsidRPr="000E3A45">
        <w:rPr>
          <w:sz w:val="26"/>
          <w:szCs w:val="26"/>
        </w:rPr>
        <w:t>.</w:t>
      </w:r>
    </w:p>
    <w:p w14:paraId="370E0F4C" w14:textId="1B707BB8" w:rsidR="00DC0577" w:rsidRPr="000E3A45" w:rsidRDefault="00F1463E" w:rsidP="002F2116">
      <w:pPr>
        <w:autoSpaceDE w:val="0"/>
        <w:autoSpaceDN w:val="0"/>
        <w:adjustRightInd w:val="0"/>
        <w:spacing w:after="360" w:line="360" w:lineRule="auto"/>
        <w:ind w:right="-159"/>
        <w:jc w:val="both"/>
        <w:rPr>
          <w:sz w:val="26"/>
          <w:szCs w:val="26"/>
        </w:rPr>
      </w:pPr>
      <w:r w:rsidRPr="000E3A45">
        <w:rPr>
          <w:sz w:val="26"/>
          <w:szCs w:val="26"/>
        </w:rPr>
        <w:t xml:space="preserve">En este </w:t>
      </w:r>
      <w:r w:rsidR="008C5A67" w:rsidRPr="000E3A45">
        <w:rPr>
          <w:sz w:val="26"/>
          <w:szCs w:val="26"/>
        </w:rPr>
        <w:t>contexto</w:t>
      </w:r>
      <w:r w:rsidRPr="000E3A45">
        <w:rPr>
          <w:sz w:val="26"/>
          <w:szCs w:val="26"/>
        </w:rPr>
        <w:t xml:space="preserve">, </w:t>
      </w:r>
      <w:r w:rsidR="006B0002">
        <w:rPr>
          <w:sz w:val="26"/>
          <w:szCs w:val="26"/>
        </w:rPr>
        <w:t xml:space="preserve">del 31 de diciembre de 2014 </w:t>
      </w:r>
      <w:r w:rsidRPr="000E3A45">
        <w:rPr>
          <w:sz w:val="26"/>
          <w:szCs w:val="26"/>
        </w:rPr>
        <w:t>a</w:t>
      </w:r>
      <w:r w:rsidR="00A20233" w:rsidRPr="000E3A45">
        <w:rPr>
          <w:sz w:val="26"/>
          <w:szCs w:val="26"/>
        </w:rPr>
        <w:t xml:space="preserve">l </w:t>
      </w:r>
      <w:r w:rsidR="004658AB" w:rsidRPr="000E3A45">
        <w:rPr>
          <w:sz w:val="26"/>
          <w:szCs w:val="26"/>
        </w:rPr>
        <w:t>1</w:t>
      </w:r>
      <w:r w:rsidR="00CE726E">
        <w:rPr>
          <w:sz w:val="26"/>
          <w:szCs w:val="26"/>
        </w:rPr>
        <w:t>7</w:t>
      </w:r>
      <w:r w:rsidR="00A20233" w:rsidRPr="000E3A45">
        <w:rPr>
          <w:sz w:val="26"/>
          <w:szCs w:val="26"/>
        </w:rPr>
        <w:t xml:space="preserve"> </w:t>
      </w:r>
      <w:r w:rsidR="00CE726E">
        <w:rPr>
          <w:sz w:val="26"/>
          <w:szCs w:val="26"/>
        </w:rPr>
        <w:t>marzo</w:t>
      </w:r>
      <w:r w:rsidR="00DC0577" w:rsidRPr="000E3A45">
        <w:rPr>
          <w:sz w:val="26"/>
          <w:szCs w:val="26"/>
        </w:rPr>
        <w:t xml:space="preserve"> de 201</w:t>
      </w:r>
      <w:r w:rsidR="006B0002">
        <w:rPr>
          <w:sz w:val="26"/>
          <w:szCs w:val="26"/>
        </w:rPr>
        <w:t>5</w:t>
      </w:r>
      <w:r w:rsidR="00DC0577" w:rsidRPr="000E3A45">
        <w:rPr>
          <w:sz w:val="26"/>
          <w:szCs w:val="26"/>
        </w:rPr>
        <w:t>, el índice Dow Jones reportó un nivel de 1</w:t>
      </w:r>
      <w:r w:rsidR="00CE726E">
        <w:rPr>
          <w:sz w:val="26"/>
          <w:szCs w:val="26"/>
        </w:rPr>
        <w:t>7</w:t>
      </w:r>
      <w:r w:rsidR="00DC0577" w:rsidRPr="000E3A45">
        <w:rPr>
          <w:sz w:val="26"/>
          <w:szCs w:val="26"/>
        </w:rPr>
        <w:t xml:space="preserve"> mil </w:t>
      </w:r>
      <w:r w:rsidR="00CE726E">
        <w:rPr>
          <w:sz w:val="26"/>
          <w:szCs w:val="26"/>
        </w:rPr>
        <w:t>849</w:t>
      </w:r>
      <w:r w:rsidR="00ED2813">
        <w:rPr>
          <w:sz w:val="26"/>
          <w:szCs w:val="26"/>
        </w:rPr>
        <w:t>.</w:t>
      </w:r>
      <w:r w:rsidR="00CE726E">
        <w:rPr>
          <w:sz w:val="26"/>
          <w:szCs w:val="26"/>
        </w:rPr>
        <w:t>08</w:t>
      </w:r>
      <w:r w:rsidR="00DC0577" w:rsidRPr="000E3A45">
        <w:rPr>
          <w:sz w:val="26"/>
          <w:szCs w:val="26"/>
        </w:rPr>
        <w:t xml:space="preserve"> unidades, lo que significó una </w:t>
      </w:r>
      <w:r w:rsidR="00ED2813">
        <w:rPr>
          <w:sz w:val="26"/>
          <w:szCs w:val="26"/>
        </w:rPr>
        <w:t>utilidad de capital d</w:t>
      </w:r>
      <w:r w:rsidR="006B0002">
        <w:rPr>
          <w:sz w:val="26"/>
          <w:szCs w:val="26"/>
        </w:rPr>
        <w:t xml:space="preserve">e </w:t>
      </w:r>
      <w:r w:rsidR="00CE726E">
        <w:rPr>
          <w:sz w:val="26"/>
          <w:szCs w:val="26"/>
        </w:rPr>
        <w:t>0.15% después de haber registrado una ganancia de 1.74% en el primer bimestre del presente año.</w:t>
      </w:r>
      <w:r w:rsidR="00866747" w:rsidRPr="000E3A45">
        <w:rPr>
          <w:sz w:val="26"/>
          <w:szCs w:val="26"/>
        </w:rPr>
        <w:t xml:space="preserve"> </w:t>
      </w:r>
    </w:p>
    <w:p w14:paraId="316DA55C" w14:textId="65D8163F" w:rsidR="00AC53E0" w:rsidRPr="000E3A45" w:rsidRDefault="00770ED0" w:rsidP="00AC53E0">
      <w:pPr>
        <w:autoSpaceDE w:val="0"/>
        <w:autoSpaceDN w:val="0"/>
        <w:adjustRightInd w:val="0"/>
        <w:spacing w:after="360" w:line="360" w:lineRule="auto"/>
        <w:ind w:right="-159"/>
        <w:jc w:val="center"/>
        <w:rPr>
          <w:sz w:val="26"/>
          <w:szCs w:val="26"/>
        </w:rPr>
      </w:pPr>
      <w:r w:rsidRPr="00770ED0">
        <w:rPr>
          <w:rFonts w:ascii="Calibri" w:eastAsia="Calibri" w:hAnsi="Calibri"/>
          <w:sz w:val="22"/>
          <w:szCs w:val="22"/>
          <w:lang w:eastAsia="en-US"/>
        </w:rPr>
        <w:lastRenderedPageBreak/>
        <w:fldChar w:fldCharType="begin"/>
      </w:r>
      <w:r w:rsidRPr="00770ED0">
        <w:rPr>
          <w:rFonts w:ascii="Calibri" w:eastAsia="Calibri" w:hAnsi="Calibri"/>
          <w:sz w:val="22"/>
          <w:szCs w:val="22"/>
          <w:lang w:eastAsia="en-US"/>
        </w:rPr>
        <w:instrText xml:space="preserve"> LINK PowerPoint.Slide.8 "D:\\2015\\MARZO 2014\\GRÁFICAS EN POWER POINT\\26.-GRÁFICAS DE BOLSAS.pptx!268" "" \a \p </w:instrText>
      </w:r>
      <w:r w:rsidRPr="00770ED0">
        <w:rPr>
          <w:rFonts w:ascii="Calibri" w:eastAsia="Calibri" w:hAnsi="Calibri"/>
          <w:sz w:val="22"/>
          <w:szCs w:val="22"/>
          <w:lang w:eastAsia="en-US"/>
        </w:rPr>
        <w:fldChar w:fldCharType="separate"/>
      </w:r>
      <w:r w:rsidRPr="00770ED0">
        <w:rPr>
          <w:rFonts w:ascii="Calibri" w:eastAsia="Calibri" w:hAnsi="Calibri"/>
          <w:noProof/>
          <w:sz w:val="22"/>
          <w:szCs w:val="22"/>
          <w:lang w:eastAsia="es-MX"/>
        </w:rPr>
        <w:drawing>
          <wp:inline distT="0" distB="0" distL="0" distR="0" wp14:anchorId="6DDDF353" wp14:editId="11B84913">
            <wp:extent cx="4559935" cy="2934970"/>
            <wp:effectExtent l="0" t="0" r="0" b="0"/>
            <wp:docPr id="1613" name="Imagen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3"/>
                    <pic:cNvPicPr>
                      <a:picLocks noChangeAspect="1" noChangeArrowheads="1"/>
                    </pic:cNvPicPr>
                  </pic:nvPicPr>
                  <pic:blipFill>
                    <a:blip r:embed="rId438" cstate="print">
                      <a:extLst>
                        <a:ext uri="{28A0092B-C50C-407E-A947-70E740481C1C}">
                          <a14:useLocalDpi xmlns:a14="http://schemas.microsoft.com/office/drawing/2010/main" val="0"/>
                        </a:ext>
                      </a:extLst>
                    </a:blip>
                    <a:srcRect t="7500" b="6944"/>
                    <a:stretch>
                      <a:fillRect/>
                    </a:stretch>
                  </pic:blipFill>
                  <pic:spPr bwMode="auto">
                    <a:xfrm>
                      <a:off x="0" y="0"/>
                      <a:ext cx="4559935" cy="2934970"/>
                    </a:xfrm>
                    <a:prstGeom prst="rect">
                      <a:avLst/>
                    </a:prstGeom>
                    <a:noFill/>
                    <a:ln>
                      <a:noFill/>
                    </a:ln>
                  </pic:spPr>
                </pic:pic>
              </a:graphicData>
            </a:graphic>
          </wp:inline>
        </w:drawing>
      </w:r>
      <w:r w:rsidRPr="00770ED0">
        <w:rPr>
          <w:rFonts w:ascii="Calibri" w:eastAsia="Calibri" w:hAnsi="Calibri"/>
          <w:sz w:val="22"/>
          <w:szCs w:val="22"/>
          <w:lang w:eastAsia="en-US"/>
        </w:rPr>
        <w:fldChar w:fldCharType="end"/>
      </w:r>
    </w:p>
    <w:p w14:paraId="566D9097" w14:textId="5C06353D" w:rsidR="005C1D57" w:rsidRPr="000E3A45" w:rsidRDefault="00545FEF" w:rsidP="007B6CA9">
      <w:pPr>
        <w:spacing w:after="360" w:line="360" w:lineRule="auto"/>
        <w:ind w:right="-159"/>
        <w:jc w:val="both"/>
        <w:rPr>
          <w:sz w:val="26"/>
          <w:szCs w:val="26"/>
        </w:rPr>
      </w:pPr>
      <w:r w:rsidRPr="000E3A45">
        <w:rPr>
          <w:sz w:val="26"/>
          <w:szCs w:val="26"/>
        </w:rPr>
        <w:t xml:space="preserve">Por su parte, al índice tecnológico </w:t>
      </w:r>
      <w:r w:rsidR="005C1D57" w:rsidRPr="000E3A45">
        <w:rPr>
          <w:sz w:val="26"/>
          <w:szCs w:val="26"/>
        </w:rPr>
        <w:t>Nasdaq Com</w:t>
      </w:r>
      <w:r w:rsidR="005D42CC" w:rsidRPr="000E3A45">
        <w:rPr>
          <w:sz w:val="26"/>
          <w:szCs w:val="26"/>
        </w:rPr>
        <w:t>puesto</w:t>
      </w:r>
      <w:r w:rsidR="005C1D57" w:rsidRPr="000E3A45">
        <w:rPr>
          <w:sz w:val="26"/>
          <w:szCs w:val="26"/>
        </w:rPr>
        <w:t xml:space="preserve"> </w:t>
      </w:r>
      <w:r w:rsidR="00CE726E">
        <w:rPr>
          <w:sz w:val="26"/>
          <w:szCs w:val="26"/>
        </w:rPr>
        <w:t>que ganó 4.80% durante el primer bimestre para el cierre de la jornada del</w:t>
      </w:r>
      <w:r w:rsidR="004658AB" w:rsidRPr="000E3A45">
        <w:rPr>
          <w:sz w:val="26"/>
          <w:szCs w:val="26"/>
        </w:rPr>
        <w:t xml:space="preserve"> 1</w:t>
      </w:r>
      <w:r w:rsidR="00CE726E">
        <w:rPr>
          <w:sz w:val="26"/>
          <w:szCs w:val="26"/>
        </w:rPr>
        <w:t>7</w:t>
      </w:r>
      <w:r w:rsidR="004658AB" w:rsidRPr="000E3A45">
        <w:rPr>
          <w:sz w:val="26"/>
          <w:szCs w:val="26"/>
        </w:rPr>
        <w:t xml:space="preserve"> de </w:t>
      </w:r>
      <w:r w:rsidR="00CE726E">
        <w:rPr>
          <w:sz w:val="26"/>
          <w:szCs w:val="26"/>
        </w:rPr>
        <w:t>marzo</w:t>
      </w:r>
      <w:r w:rsidR="004658AB" w:rsidRPr="000E3A45">
        <w:rPr>
          <w:sz w:val="26"/>
          <w:szCs w:val="26"/>
        </w:rPr>
        <w:t xml:space="preserve"> </w:t>
      </w:r>
      <w:r w:rsidR="006B0002">
        <w:rPr>
          <w:sz w:val="26"/>
          <w:szCs w:val="26"/>
        </w:rPr>
        <w:t xml:space="preserve">de 2015 </w:t>
      </w:r>
      <w:r w:rsidR="004658AB" w:rsidRPr="000E3A45">
        <w:rPr>
          <w:sz w:val="26"/>
          <w:szCs w:val="26"/>
        </w:rPr>
        <w:t xml:space="preserve">reportó una </w:t>
      </w:r>
      <w:r w:rsidR="005B763B">
        <w:rPr>
          <w:sz w:val="26"/>
          <w:szCs w:val="26"/>
        </w:rPr>
        <w:t xml:space="preserve">ganancia de capital </w:t>
      </w:r>
      <w:r w:rsidR="004658AB" w:rsidRPr="000E3A45">
        <w:rPr>
          <w:sz w:val="26"/>
          <w:szCs w:val="26"/>
        </w:rPr>
        <w:t xml:space="preserve">de </w:t>
      </w:r>
      <w:r w:rsidR="00CE726E">
        <w:rPr>
          <w:sz w:val="26"/>
          <w:szCs w:val="26"/>
        </w:rPr>
        <w:t>4.25</w:t>
      </w:r>
      <w:r w:rsidR="004658AB" w:rsidRPr="000E3A45">
        <w:rPr>
          <w:sz w:val="26"/>
          <w:szCs w:val="26"/>
        </w:rPr>
        <w:t xml:space="preserve">% </w:t>
      </w:r>
      <w:r w:rsidR="00CE726E">
        <w:rPr>
          <w:sz w:val="26"/>
          <w:szCs w:val="26"/>
        </w:rPr>
        <w:t>con respecto al cierre de diciembre de 2014.</w:t>
      </w:r>
    </w:p>
    <w:p w14:paraId="4450C659" w14:textId="40DA88B7" w:rsidR="00883C19" w:rsidRPr="000E3A45" w:rsidRDefault="00770ED0" w:rsidP="00883C19">
      <w:pPr>
        <w:spacing w:after="360" w:line="360" w:lineRule="auto"/>
        <w:ind w:right="-159"/>
        <w:jc w:val="center"/>
        <w:rPr>
          <w:sz w:val="26"/>
          <w:szCs w:val="26"/>
        </w:rPr>
      </w:pPr>
      <w:r w:rsidRPr="00770ED0">
        <w:rPr>
          <w:rFonts w:ascii="Calibri" w:eastAsia="Calibri" w:hAnsi="Calibri"/>
          <w:sz w:val="22"/>
          <w:szCs w:val="22"/>
          <w:lang w:eastAsia="en-US"/>
        </w:rPr>
        <w:fldChar w:fldCharType="begin"/>
      </w:r>
      <w:r w:rsidRPr="00770ED0">
        <w:rPr>
          <w:rFonts w:ascii="Calibri" w:eastAsia="Calibri" w:hAnsi="Calibri"/>
          <w:sz w:val="22"/>
          <w:szCs w:val="22"/>
          <w:lang w:eastAsia="en-US"/>
        </w:rPr>
        <w:instrText xml:space="preserve"> LINK PowerPoint.Slide.8 "D:\\2015\\MARZO 2014\\GRÁFICAS EN POWER POINT\\26.-GRÁFICAS DE BOLSAS.pptx!271" "" \a \p </w:instrText>
      </w:r>
      <w:r w:rsidRPr="00770ED0">
        <w:rPr>
          <w:rFonts w:ascii="Calibri" w:eastAsia="Calibri" w:hAnsi="Calibri"/>
          <w:sz w:val="22"/>
          <w:szCs w:val="22"/>
          <w:lang w:eastAsia="en-US"/>
        </w:rPr>
        <w:fldChar w:fldCharType="separate"/>
      </w:r>
      <w:r w:rsidRPr="00770ED0">
        <w:rPr>
          <w:rFonts w:ascii="Calibri" w:eastAsia="Calibri" w:hAnsi="Calibri"/>
          <w:noProof/>
          <w:sz w:val="22"/>
          <w:szCs w:val="22"/>
          <w:lang w:eastAsia="es-MX"/>
        </w:rPr>
        <w:drawing>
          <wp:inline distT="0" distB="0" distL="0" distR="0" wp14:anchorId="68673BCF" wp14:editId="1A72CACB">
            <wp:extent cx="4559935" cy="2971800"/>
            <wp:effectExtent l="0" t="0" r="0" b="0"/>
            <wp:docPr id="1614" name="Imagen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5"/>
                    <pic:cNvPicPr>
                      <a:picLocks noChangeAspect="1" noChangeArrowheads="1"/>
                    </pic:cNvPicPr>
                  </pic:nvPicPr>
                  <pic:blipFill>
                    <a:blip r:embed="rId439" cstate="print">
                      <a:extLst>
                        <a:ext uri="{28A0092B-C50C-407E-A947-70E740481C1C}">
                          <a14:useLocalDpi xmlns:a14="http://schemas.microsoft.com/office/drawing/2010/main" val="0"/>
                        </a:ext>
                      </a:extLst>
                    </a:blip>
                    <a:srcRect t="6667" b="6667"/>
                    <a:stretch>
                      <a:fillRect/>
                    </a:stretch>
                  </pic:blipFill>
                  <pic:spPr bwMode="auto">
                    <a:xfrm>
                      <a:off x="0" y="0"/>
                      <a:ext cx="4559935" cy="2971800"/>
                    </a:xfrm>
                    <a:prstGeom prst="rect">
                      <a:avLst/>
                    </a:prstGeom>
                    <a:noFill/>
                    <a:ln>
                      <a:noFill/>
                    </a:ln>
                  </pic:spPr>
                </pic:pic>
              </a:graphicData>
            </a:graphic>
          </wp:inline>
        </w:drawing>
      </w:r>
      <w:r w:rsidRPr="00770ED0">
        <w:rPr>
          <w:rFonts w:ascii="Calibri" w:eastAsia="Calibri" w:hAnsi="Calibri"/>
          <w:sz w:val="22"/>
          <w:szCs w:val="22"/>
          <w:lang w:eastAsia="en-US"/>
        </w:rPr>
        <w:fldChar w:fldCharType="end"/>
      </w:r>
    </w:p>
    <w:p w14:paraId="1947314A" w14:textId="5A552908" w:rsidR="006B0002" w:rsidRDefault="00866747" w:rsidP="006F3718">
      <w:pPr>
        <w:spacing w:after="360" w:line="360" w:lineRule="auto"/>
        <w:ind w:right="-159"/>
        <w:jc w:val="both"/>
        <w:rPr>
          <w:sz w:val="26"/>
          <w:szCs w:val="26"/>
        </w:rPr>
      </w:pPr>
      <w:r w:rsidRPr="000E3A45">
        <w:rPr>
          <w:sz w:val="26"/>
          <w:szCs w:val="26"/>
        </w:rPr>
        <w:t xml:space="preserve">En Europa, </w:t>
      </w:r>
      <w:r w:rsidR="00D752B3">
        <w:rPr>
          <w:sz w:val="26"/>
          <w:szCs w:val="26"/>
        </w:rPr>
        <w:t xml:space="preserve">la evolución de los mercados accionarios </w:t>
      </w:r>
      <w:r w:rsidR="00CE726E">
        <w:rPr>
          <w:sz w:val="26"/>
          <w:szCs w:val="26"/>
        </w:rPr>
        <w:t xml:space="preserve">fue el </w:t>
      </w:r>
      <w:r w:rsidR="00D752B3">
        <w:rPr>
          <w:sz w:val="26"/>
          <w:szCs w:val="26"/>
        </w:rPr>
        <w:t xml:space="preserve">reflejo de la </w:t>
      </w:r>
      <w:r w:rsidR="00CE726E">
        <w:rPr>
          <w:sz w:val="26"/>
          <w:szCs w:val="26"/>
        </w:rPr>
        <w:t>caída de los mercados estadounidenses</w:t>
      </w:r>
      <w:r w:rsidR="00DF60F6">
        <w:rPr>
          <w:sz w:val="26"/>
          <w:szCs w:val="26"/>
        </w:rPr>
        <w:t>,</w:t>
      </w:r>
      <w:r w:rsidR="00CE726E">
        <w:rPr>
          <w:sz w:val="26"/>
          <w:szCs w:val="26"/>
        </w:rPr>
        <w:t xml:space="preserve"> lo cual se sum</w:t>
      </w:r>
      <w:r w:rsidR="00DF60F6">
        <w:rPr>
          <w:sz w:val="26"/>
          <w:szCs w:val="26"/>
        </w:rPr>
        <w:t>ó</w:t>
      </w:r>
      <w:r w:rsidR="00CE726E">
        <w:rPr>
          <w:sz w:val="26"/>
          <w:szCs w:val="26"/>
        </w:rPr>
        <w:t xml:space="preserve"> al pobre desempeño de las </w:t>
      </w:r>
      <w:r w:rsidR="00D752B3">
        <w:rPr>
          <w:sz w:val="26"/>
          <w:szCs w:val="26"/>
        </w:rPr>
        <w:t xml:space="preserve">economías de la </w:t>
      </w:r>
      <w:r w:rsidR="00D752B3">
        <w:rPr>
          <w:sz w:val="26"/>
          <w:szCs w:val="26"/>
        </w:rPr>
        <w:lastRenderedPageBreak/>
        <w:t xml:space="preserve">zona euro </w:t>
      </w:r>
      <w:r w:rsidR="00CE726E">
        <w:rPr>
          <w:sz w:val="26"/>
          <w:szCs w:val="26"/>
        </w:rPr>
        <w:t xml:space="preserve">en la cual se ha profundizado la </w:t>
      </w:r>
      <w:r w:rsidR="00D752B3">
        <w:rPr>
          <w:sz w:val="26"/>
          <w:szCs w:val="26"/>
        </w:rPr>
        <w:t>depreciación del euro, incremento de la deuda, dificultad para alcanzar la consolidación fiscal, tasas de interés cercanas a cero y la amenaza de la deflación ante falta de políticas contracíclicas que superen la insuficiencia de la demanda.</w:t>
      </w:r>
    </w:p>
    <w:p w14:paraId="69D627D6" w14:textId="4F0EC2DD" w:rsidR="006F3718" w:rsidRPr="000E3A45" w:rsidRDefault="009F7F1B" w:rsidP="006F3718">
      <w:pPr>
        <w:spacing w:after="360" w:line="360" w:lineRule="auto"/>
        <w:ind w:right="-159"/>
        <w:jc w:val="both"/>
        <w:rPr>
          <w:sz w:val="26"/>
          <w:szCs w:val="26"/>
        </w:rPr>
      </w:pPr>
      <w:r w:rsidRPr="000E3A45">
        <w:rPr>
          <w:sz w:val="26"/>
          <w:szCs w:val="26"/>
        </w:rPr>
        <w:t xml:space="preserve">Así, </w:t>
      </w:r>
      <w:r w:rsidR="001F1CEA">
        <w:rPr>
          <w:sz w:val="26"/>
          <w:szCs w:val="26"/>
        </w:rPr>
        <w:t>del 31 de diciembre de 2014 al</w:t>
      </w:r>
      <w:r w:rsidR="006F3718" w:rsidRPr="000E3A45">
        <w:rPr>
          <w:sz w:val="26"/>
          <w:szCs w:val="26"/>
        </w:rPr>
        <w:t xml:space="preserve"> </w:t>
      </w:r>
      <w:r w:rsidR="004658AB" w:rsidRPr="000E3A45">
        <w:rPr>
          <w:sz w:val="26"/>
          <w:szCs w:val="26"/>
        </w:rPr>
        <w:t>1</w:t>
      </w:r>
      <w:r w:rsidR="00CE726E">
        <w:rPr>
          <w:sz w:val="26"/>
          <w:szCs w:val="26"/>
        </w:rPr>
        <w:t>7</w:t>
      </w:r>
      <w:r w:rsidR="006F3718" w:rsidRPr="000E3A45">
        <w:rPr>
          <w:sz w:val="26"/>
          <w:szCs w:val="26"/>
        </w:rPr>
        <w:t xml:space="preserve"> días de </w:t>
      </w:r>
      <w:r w:rsidR="00CE726E">
        <w:rPr>
          <w:sz w:val="26"/>
          <w:szCs w:val="26"/>
        </w:rPr>
        <w:t>marzo</w:t>
      </w:r>
      <w:r w:rsidR="006F3718" w:rsidRPr="000E3A45">
        <w:rPr>
          <w:sz w:val="26"/>
          <w:szCs w:val="26"/>
        </w:rPr>
        <w:t xml:space="preserve"> de 201</w:t>
      </w:r>
      <w:r w:rsidR="006B0002">
        <w:rPr>
          <w:sz w:val="26"/>
          <w:szCs w:val="26"/>
        </w:rPr>
        <w:t>5</w:t>
      </w:r>
      <w:r w:rsidR="006F3718" w:rsidRPr="000E3A45">
        <w:rPr>
          <w:sz w:val="26"/>
          <w:szCs w:val="26"/>
        </w:rPr>
        <w:t xml:space="preserve">, </w:t>
      </w:r>
      <w:r w:rsidR="006862EC" w:rsidRPr="000E3A45">
        <w:rPr>
          <w:sz w:val="26"/>
          <w:szCs w:val="26"/>
        </w:rPr>
        <w:t xml:space="preserve">el índice accionario de Alemania  (Dax) </w:t>
      </w:r>
      <w:r w:rsidR="001F1CEA">
        <w:rPr>
          <w:sz w:val="26"/>
          <w:szCs w:val="26"/>
        </w:rPr>
        <w:t>fue la excepción ya que reportó</w:t>
      </w:r>
      <w:r w:rsidR="006862EC" w:rsidRPr="000E3A45">
        <w:rPr>
          <w:sz w:val="26"/>
          <w:szCs w:val="26"/>
        </w:rPr>
        <w:t xml:space="preserve"> una </w:t>
      </w:r>
      <w:r w:rsidR="00A52055">
        <w:rPr>
          <w:sz w:val="26"/>
          <w:szCs w:val="26"/>
        </w:rPr>
        <w:t>ganancia</w:t>
      </w:r>
      <w:r w:rsidR="006862EC" w:rsidRPr="000E3A45">
        <w:rPr>
          <w:sz w:val="26"/>
          <w:szCs w:val="26"/>
        </w:rPr>
        <w:t xml:space="preserve"> de capital de </w:t>
      </w:r>
      <w:r w:rsidR="001F1CEA">
        <w:rPr>
          <w:sz w:val="26"/>
          <w:szCs w:val="26"/>
        </w:rPr>
        <w:t>22.18</w:t>
      </w:r>
      <w:r w:rsidR="006862EC" w:rsidRPr="000E3A45">
        <w:rPr>
          <w:sz w:val="26"/>
          <w:szCs w:val="26"/>
        </w:rPr>
        <w:t>%</w:t>
      </w:r>
      <w:r w:rsidR="001F1CEA">
        <w:rPr>
          <w:sz w:val="26"/>
          <w:szCs w:val="26"/>
        </w:rPr>
        <w:t>;</w:t>
      </w:r>
      <w:r w:rsidR="00A52055">
        <w:rPr>
          <w:sz w:val="26"/>
          <w:szCs w:val="26"/>
        </w:rPr>
        <w:t xml:space="preserve"> </w:t>
      </w:r>
      <w:r w:rsidR="00E62314" w:rsidRPr="000E3A45">
        <w:rPr>
          <w:sz w:val="26"/>
          <w:szCs w:val="26"/>
        </w:rPr>
        <w:t xml:space="preserve">mientras que </w:t>
      </w:r>
      <w:r w:rsidR="009D3D3A" w:rsidRPr="000E3A45">
        <w:rPr>
          <w:sz w:val="26"/>
          <w:szCs w:val="26"/>
        </w:rPr>
        <w:t xml:space="preserve">el </w:t>
      </w:r>
      <w:r w:rsidR="006F3718" w:rsidRPr="000E3A45">
        <w:rPr>
          <w:sz w:val="26"/>
          <w:szCs w:val="26"/>
        </w:rPr>
        <w:t>í</w:t>
      </w:r>
      <w:r w:rsidR="00E62314" w:rsidRPr="000E3A45">
        <w:rPr>
          <w:sz w:val="26"/>
          <w:szCs w:val="26"/>
        </w:rPr>
        <w:t>n</w:t>
      </w:r>
      <w:r w:rsidR="006F3718" w:rsidRPr="000E3A45">
        <w:rPr>
          <w:sz w:val="26"/>
          <w:szCs w:val="26"/>
        </w:rPr>
        <w:t xml:space="preserve">dice bursátil de </w:t>
      </w:r>
      <w:r w:rsidR="00802464" w:rsidRPr="000E3A45">
        <w:rPr>
          <w:sz w:val="26"/>
          <w:szCs w:val="26"/>
        </w:rPr>
        <w:t>Inglaterra (FTSE-100)</w:t>
      </w:r>
      <w:r w:rsidR="009D3D3A" w:rsidRPr="000E3A45">
        <w:rPr>
          <w:sz w:val="26"/>
          <w:szCs w:val="26"/>
        </w:rPr>
        <w:t xml:space="preserve"> </w:t>
      </w:r>
      <w:r w:rsidR="001F1CEA">
        <w:rPr>
          <w:sz w:val="26"/>
          <w:szCs w:val="26"/>
        </w:rPr>
        <w:t xml:space="preserve">registró una utilidad de </w:t>
      </w:r>
      <w:r w:rsidR="00EC2E65">
        <w:rPr>
          <w:sz w:val="26"/>
          <w:szCs w:val="26"/>
        </w:rPr>
        <w:t>4.</w:t>
      </w:r>
      <w:r w:rsidR="001F1CEA">
        <w:rPr>
          <w:sz w:val="26"/>
          <w:szCs w:val="26"/>
        </w:rPr>
        <w:t>1</w:t>
      </w:r>
      <w:r w:rsidR="00EC2E65">
        <w:rPr>
          <w:sz w:val="26"/>
          <w:szCs w:val="26"/>
        </w:rPr>
        <w:t>4</w:t>
      </w:r>
      <w:r w:rsidRPr="000E3A45">
        <w:rPr>
          <w:sz w:val="26"/>
          <w:szCs w:val="26"/>
        </w:rPr>
        <w:t>%.</w:t>
      </w:r>
      <w:r w:rsidR="009D3D3A" w:rsidRPr="000E3A45">
        <w:rPr>
          <w:sz w:val="26"/>
          <w:szCs w:val="26"/>
        </w:rPr>
        <w:t xml:space="preserve"> </w:t>
      </w:r>
      <w:r w:rsidR="001F1CEA">
        <w:rPr>
          <w:sz w:val="26"/>
          <w:szCs w:val="26"/>
        </w:rPr>
        <w:t xml:space="preserve">Asimismo, </w:t>
      </w:r>
      <w:r w:rsidR="008C5A67" w:rsidRPr="000E3A45">
        <w:rPr>
          <w:sz w:val="26"/>
          <w:szCs w:val="26"/>
        </w:rPr>
        <w:t xml:space="preserve">los mercados bursátiles </w:t>
      </w:r>
      <w:r w:rsidR="00E62314" w:rsidRPr="000E3A45">
        <w:rPr>
          <w:sz w:val="26"/>
          <w:szCs w:val="26"/>
        </w:rPr>
        <w:t>en Asia</w:t>
      </w:r>
      <w:r w:rsidR="00A52055">
        <w:rPr>
          <w:sz w:val="26"/>
          <w:szCs w:val="26"/>
        </w:rPr>
        <w:t xml:space="preserve"> registraron </w:t>
      </w:r>
      <w:r w:rsidR="00EC2E65">
        <w:rPr>
          <w:sz w:val="26"/>
          <w:szCs w:val="26"/>
        </w:rPr>
        <w:t>incrementos</w:t>
      </w:r>
      <w:r w:rsidR="00671E53" w:rsidRPr="000E3A45">
        <w:rPr>
          <w:sz w:val="26"/>
          <w:szCs w:val="26"/>
        </w:rPr>
        <w:t>,</w:t>
      </w:r>
      <w:r w:rsidR="00E62314" w:rsidRPr="000E3A45">
        <w:rPr>
          <w:sz w:val="26"/>
          <w:szCs w:val="26"/>
        </w:rPr>
        <w:t xml:space="preserve"> </w:t>
      </w:r>
      <w:r w:rsidR="001F1CEA">
        <w:rPr>
          <w:sz w:val="26"/>
          <w:szCs w:val="26"/>
        </w:rPr>
        <w:t xml:space="preserve">en </w:t>
      </w:r>
      <w:r w:rsidR="001F1CEA" w:rsidRPr="000E3A45">
        <w:rPr>
          <w:sz w:val="26"/>
          <w:szCs w:val="26"/>
        </w:rPr>
        <w:t xml:space="preserve">Japón (Nikkei) </w:t>
      </w:r>
      <w:r w:rsidR="001F1CEA">
        <w:rPr>
          <w:sz w:val="26"/>
          <w:szCs w:val="26"/>
        </w:rPr>
        <w:t xml:space="preserve">se elevó 11.38% y </w:t>
      </w:r>
      <w:r w:rsidRPr="000E3A45">
        <w:rPr>
          <w:sz w:val="26"/>
          <w:szCs w:val="26"/>
        </w:rPr>
        <w:t xml:space="preserve">el índice accionario de </w:t>
      </w:r>
      <w:r w:rsidR="00EC2E65" w:rsidRPr="000E3A45">
        <w:rPr>
          <w:sz w:val="26"/>
          <w:szCs w:val="26"/>
        </w:rPr>
        <w:t xml:space="preserve">China (Hang Seng) </w:t>
      </w:r>
      <w:r w:rsidR="00EC2E65">
        <w:rPr>
          <w:sz w:val="26"/>
          <w:szCs w:val="26"/>
        </w:rPr>
        <w:t xml:space="preserve">obtuvo una ganancia de </w:t>
      </w:r>
      <w:r w:rsidR="001F1CEA">
        <w:rPr>
          <w:sz w:val="26"/>
          <w:szCs w:val="26"/>
        </w:rPr>
        <w:t>1.26 por ciento.</w:t>
      </w:r>
      <w:r w:rsidR="00EC2E65" w:rsidRPr="000E3A45">
        <w:rPr>
          <w:sz w:val="26"/>
          <w:szCs w:val="26"/>
        </w:rPr>
        <w:t xml:space="preserve"> </w:t>
      </w:r>
    </w:p>
    <w:p w14:paraId="57C31EF9" w14:textId="0718F166" w:rsidR="006F3718" w:rsidRPr="000E3A45" w:rsidRDefault="00770ED0" w:rsidP="006F3718">
      <w:pPr>
        <w:spacing w:after="360" w:line="360" w:lineRule="auto"/>
        <w:ind w:right="-159"/>
        <w:jc w:val="center"/>
        <w:rPr>
          <w:sz w:val="26"/>
          <w:szCs w:val="26"/>
        </w:rPr>
      </w:pPr>
      <w:r w:rsidRPr="00770ED0">
        <w:rPr>
          <w:rFonts w:ascii="Calibri" w:eastAsia="Calibri" w:hAnsi="Calibri"/>
          <w:sz w:val="22"/>
          <w:szCs w:val="22"/>
          <w:lang w:eastAsia="en-US"/>
        </w:rPr>
        <w:fldChar w:fldCharType="begin"/>
      </w:r>
      <w:r w:rsidRPr="00770ED0">
        <w:rPr>
          <w:rFonts w:ascii="Calibri" w:eastAsia="Calibri" w:hAnsi="Calibri"/>
          <w:sz w:val="22"/>
          <w:szCs w:val="22"/>
          <w:lang w:eastAsia="en-US"/>
        </w:rPr>
        <w:instrText xml:space="preserve"> LINK PowerPoint.Slide.8 "D:\\2015\\MARZO 2014\\GRÁFICAS EN POWER POINT\\26.-GRÁFICAS DE BOLSAS.pptx!260" "" \a \p </w:instrText>
      </w:r>
      <w:r w:rsidRPr="00770ED0">
        <w:rPr>
          <w:rFonts w:ascii="Calibri" w:eastAsia="Calibri" w:hAnsi="Calibri"/>
          <w:sz w:val="22"/>
          <w:szCs w:val="22"/>
          <w:lang w:eastAsia="en-US"/>
        </w:rPr>
        <w:fldChar w:fldCharType="separate"/>
      </w:r>
      <w:r w:rsidRPr="00770ED0">
        <w:rPr>
          <w:rFonts w:ascii="Calibri" w:eastAsia="Calibri" w:hAnsi="Calibri"/>
          <w:noProof/>
          <w:sz w:val="22"/>
          <w:szCs w:val="22"/>
          <w:lang w:eastAsia="es-MX"/>
        </w:rPr>
        <w:drawing>
          <wp:inline distT="0" distB="0" distL="0" distR="0" wp14:anchorId="476418A6" wp14:editId="115F10EC">
            <wp:extent cx="4559935" cy="3021330"/>
            <wp:effectExtent l="0" t="0" r="0" b="7620"/>
            <wp:docPr id="1615" name="Imagen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7"/>
                    <pic:cNvPicPr>
                      <a:picLocks noChangeAspect="1" noChangeArrowheads="1"/>
                    </pic:cNvPicPr>
                  </pic:nvPicPr>
                  <pic:blipFill>
                    <a:blip r:embed="rId440" cstate="print">
                      <a:extLst>
                        <a:ext uri="{28A0092B-C50C-407E-A947-70E740481C1C}">
                          <a14:useLocalDpi xmlns:a14="http://schemas.microsoft.com/office/drawing/2010/main" val="0"/>
                        </a:ext>
                      </a:extLst>
                    </a:blip>
                    <a:srcRect t="5556" b="6389"/>
                    <a:stretch>
                      <a:fillRect/>
                    </a:stretch>
                  </pic:blipFill>
                  <pic:spPr bwMode="auto">
                    <a:xfrm>
                      <a:off x="0" y="0"/>
                      <a:ext cx="4559935" cy="3021330"/>
                    </a:xfrm>
                    <a:prstGeom prst="rect">
                      <a:avLst/>
                    </a:prstGeom>
                    <a:noFill/>
                    <a:ln>
                      <a:noFill/>
                    </a:ln>
                  </pic:spPr>
                </pic:pic>
              </a:graphicData>
            </a:graphic>
          </wp:inline>
        </w:drawing>
      </w:r>
      <w:r w:rsidRPr="00770ED0">
        <w:rPr>
          <w:rFonts w:ascii="Calibri" w:eastAsia="Calibri" w:hAnsi="Calibri"/>
          <w:sz w:val="22"/>
          <w:szCs w:val="22"/>
          <w:lang w:eastAsia="en-US"/>
        </w:rPr>
        <w:fldChar w:fldCharType="end"/>
      </w:r>
    </w:p>
    <w:p w14:paraId="73881550" w14:textId="77777777" w:rsidR="00890B91" w:rsidRPr="000E3A45" w:rsidRDefault="00890B91" w:rsidP="00890B91">
      <w:pPr>
        <w:ind w:right="-159"/>
        <w:rPr>
          <w:b/>
          <w:sz w:val="20"/>
          <w:szCs w:val="20"/>
        </w:rPr>
      </w:pPr>
      <w:r w:rsidRPr="000E3A45">
        <w:rPr>
          <w:b/>
          <w:sz w:val="20"/>
          <w:szCs w:val="20"/>
        </w:rPr>
        <w:t>Fuente de información:</w:t>
      </w:r>
    </w:p>
    <w:p w14:paraId="00D32B4D" w14:textId="49010550" w:rsidR="006F3718" w:rsidRPr="000E3A45" w:rsidRDefault="00890B91" w:rsidP="00890B91">
      <w:pPr>
        <w:ind w:right="-159"/>
        <w:rPr>
          <w:sz w:val="20"/>
          <w:szCs w:val="20"/>
        </w:rPr>
      </w:pPr>
      <w:r w:rsidRPr="000E3A45">
        <w:rPr>
          <w:sz w:val="20"/>
          <w:szCs w:val="20"/>
        </w:rPr>
        <w:t xml:space="preserve">Periódico </w:t>
      </w:r>
      <w:r w:rsidR="00097EFB" w:rsidRPr="000E3A45">
        <w:rPr>
          <w:sz w:val="20"/>
          <w:szCs w:val="20"/>
        </w:rPr>
        <w:t>Reforma</w:t>
      </w:r>
      <w:r w:rsidRPr="000E3A45">
        <w:rPr>
          <w:sz w:val="20"/>
          <w:szCs w:val="20"/>
        </w:rPr>
        <w:t xml:space="preserve">, </w:t>
      </w:r>
      <w:r w:rsidR="005C03F9" w:rsidRPr="000E3A45">
        <w:rPr>
          <w:sz w:val="20"/>
          <w:szCs w:val="20"/>
        </w:rPr>
        <w:t>1</w:t>
      </w:r>
      <w:r w:rsidR="00770ED0">
        <w:rPr>
          <w:sz w:val="20"/>
          <w:szCs w:val="20"/>
        </w:rPr>
        <w:t>8</w:t>
      </w:r>
      <w:r w:rsidR="00331E16" w:rsidRPr="000E3A45">
        <w:rPr>
          <w:sz w:val="20"/>
          <w:szCs w:val="20"/>
        </w:rPr>
        <w:t xml:space="preserve"> </w:t>
      </w:r>
      <w:r w:rsidRPr="000E3A45">
        <w:rPr>
          <w:sz w:val="20"/>
          <w:szCs w:val="20"/>
        </w:rPr>
        <w:t xml:space="preserve">de </w:t>
      </w:r>
      <w:r w:rsidR="00770ED0">
        <w:rPr>
          <w:sz w:val="20"/>
          <w:szCs w:val="20"/>
        </w:rPr>
        <w:t>marzo</w:t>
      </w:r>
      <w:r w:rsidR="00331E16" w:rsidRPr="000E3A45">
        <w:rPr>
          <w:sz w:val="20"/>
          <w:szCs w:val="20"/>
        </w:rPr>
        <w:t xml:space="preserve"> d</w:t>
      </w:r>
      <w:r w:rsidRPr="000E3A45">
        <w:rPr>
          <w:sz w:val="20"/>
          <w:szCs w:val="20"/>
        </w:rPr>
        <w:t>e 201</w:t>
      </w:r>
      <w:r w:rsidR="005B763B">
        <w:rPr>
          <w:sz w:val="20"/>
          <w:szCs w:val="20"/>
        </w:rPr>
        <w:t>5</w:t>
      </w:r>
      <w:r w:rsidR="00097EFB" w:rsidRPr="000E3A45">
        <w:rPr>
          <w:sz w:val="20"/>
          <w:szCs w:val="20"/>
        </w:rPr>
        <w:t>, sección negocios</w:t>
      </w:r>
      <w:r w:rsidRPr="000E3A45">
        <w:rPr>
          <w:sz w:val="20"/>
          <w:szCs w:val="20"/>
        </w:rPr>
        <w:t>. México.</w:t>
      </w:r>
    </w:p>
    <w:p w14:paraId="4030CA8A" w14:textId="77777777" w:rsidR="006F3718" w:rsidRPr="00DF60F6" w:rsidRDefault="00DD7A09" w:rsidP="000D697D">
      <w:pPr>
        <w:spacing w:after="480" w:line="360" w:lineRule="auto"/>
        <w:ind w:right="-159"/>
        <w:jc w:val="both"/>
        <w:rPr>
          <w:color w:val="0000FF"/>
          <w:sz w:val="20"/>
          <w:szCs w:val="20"/>
          <w:u w:val="single"/>
        </w:rPr>
      </w:pPr>
      <w:r w:rsidRPr="00DF60F6">
        <w:rPr>
          <w:color w:val="0000FF"/>
          <w:sz w:val="20"/>
          <w:szCs w:val="20"/>
          <w:u w:val="single"/>
        </w:rPr>
        <w:t>http://economia.terra.com.mx/mercados/indices/</w:t>
      </w:r>
    </w:p>
    <w:p w14:paraId="79039B1E" w14:textId="77777777" w:rsidR="00F65002" w:rsidRDefault="00F65002" w:rsidP="009D3D3A">
      <w:pPr>
        <w:spacing w:after="360" w:line="360" w:lineRule="auto"/>
        <w:rPr>
          <w:sz w:val="26"/>
          <w:szCs w:val="26"/>
        </w:rPr>
      </w:pPr>
    </w:p>
    <w:p w14:paraId="3E4FDE96" w14:textId="77777777" w:rsidR="008E27D4" w:rsidRPr="00F65002" w:rsidRDefault="008E27D4" w:rsidP="009D3D3A">
      <w:pPr>
        <w:spacing w:after="360" w:line="360" w:lineRule="auto"/>
        <w:rPr>
          <w:sz w:val="26"/>
          <w:szCs w:val="26"/>
        </w:rPr>
      </w:pPr>
    </w:p>
    <w:p w14:paraId="7F670C4E" w14:textId="77777777" w:rsidR="00F65002" w:rsidRPr="00F65002" w:rsidRDefault="00F65002" w:rsidP="00F65002">
      <w:pPr>
        <w:ind w:right="-159"/>
        <w:jc w:val="both"/>
        <w:rPr>
          <w:rFonts w:eastAsia="Calibri"/>
          <w:b/>
          <w:sz w:val="26"/>
          <w:szCs w:val="26"/>
          <w:lang w:eastAsia="en-US"/>
        </w:rPr>
      </w:pPr>
      <w:r w:rsidRPr="00F65002">
        <w:rPr>
          <w:rFonts w:eastAsia="Calibri"/>
          <w:b/>
          <w:sz w:val="26"/>
          <w:szCs w:val="26"/>
          <w:lang w:eastAsia="en-US"/>
        </w:rPr>
        <w:lastRenderedPageBreak/>
        <w:t>Los  mercados  de  Estados Unidos de</w:t>
      </w:r>
    </w:p>
    <w:p w14:paraId="2F5010BC" w14:textId="77777777" w:rsidR="00F65002" w:rsidRPr="00F65002" w:rsidRDefault="00F65002" w:rsidP="00F65002">
      <w:pPr>
        <w:ind w:right="-159"/>
        <w:jc w:val="both"/>
        <w:rPr>
          <w:rFonts w:eastAsia="Calibri"/>
          <w:b/>
          <w:sz w:val="26"/>
          <w:szCs w:val="26"/>
          <w:lang w:eastAsia="en-US"/>
        </w:rPr>
      </w:pPr>
      <w:r w:rsidRPr="00F65002">
        <w:rPr>
          <w:rFonts w:eastAsia="Calibri"/>
          <w:b/>
          <w:sz w:val="26"/>
          <w:szCs w:val="26"/>
          <w:lang w:eastAsia="en-US"/>
        </w:rPr>
        <w:t>Norteamérica caen por la apreciación</w:t>
      </w:r>
    </w:p>
    <w:p w14:paraId="2D9ED4A4" w14:textId="77777777" w:rsidR="00F65002" w:rsidRPr="00F65002" w:rsidRDefault="00F65002" w:rsidP="00F65002">
      <w:pPr>
        <w:spacing w:after="360" w:line="360" w:lineRule="auto"/>
        <w:ind w:right="-159"/>
        <w:jc w:val="both"/>
        <w:rPr>
          <w:rFonts w:eastAsia="Calibri"/>
          <w:b/>
          <w:sz w:val="26"/>
          <w:szCs w:val="26"/>
          <w:lang w:eastAsia="en-US"/>
        </w:rPr>
      </w:pPr>
      <w:r w:rsidRPr="00F65002">
        <w:rPr>
          <w:rFonts w:eastAsia="Calibri"/>
          <w:b/>
          <w:sz w:val="26"/>
          <w:szCs w:val="26"/>
          <w:lang w:eastAsia="en-US"/>
        </w:rPr>
        <w:t>del dólar frente al euro (WSJ)</w:t>
      </w:r>
    </w:p>
    <w:p w14:paraId="415050F9" w14:textId="163FD6D1" w:rsidR="00F65002" w:rsidRPr="00F65002" w:rsidRDefault="00F65002" w:rsidP="00F65002">
      <w:pPr>
        <w:spacing w:after="360" w:line="360" w:lineRule="auto"/>
        <w:ind w:right="-159"/>
        <w:jc w:val="both"/>
        <w:rPr>
          <w:rFonts w:eastAsia="Calibri"/>
          <w:sz w:val="26"/>
          <w:szCs w:val="26"/>
          <w:lang w:eastAsia="en-US"/>
        </w:rPr>
      </w:pPr>
      <w:r w:rsidRPr="00F65002">
        <w:rPr>
          <w:rFonts w:eastAsia="Calibri"/>
          <w:sz w:val="26"/>
          <w:szCs w:val="26"/>
          <w:lang w:eastAsia="en-US"/>
        </w:rPr>
        <w:t xml:space="preserve">El 10 de marzo de 2015, el periódico </w:t>
      </w:r>
      <w:r w:rsidRPr="00F65002">
        <w:rPr>
          <w:rFonts w:eastAsia="Calibri"/>
          <w:i/>
          <w:sz w:val="26"/>
          <w:szCs w:val="26"/>
          <w:lang w:eastAsia="en-US"/>
        </w:rPr>
        <w:t>The Wall Street Journal</w:t>
      </w:r>
      <w:r w:rsidRPr="00F65002">
        <w:rPr>
          <w:rFonts w:eastAsia="Calibri"/>
          <w:sz w:val="26"/>
          <w:szCs w:val="26"/>
          <w:lang w:eastAsia="en-US"/>
        </w:rPr>
        <w:t xml:space="preserve"> (WSJ) informó que los mercados </w:t>
      </w:r>
      <w:r>
        <w:rPr>
          <w:rFonts w:eastAsia="Calibri"/>
          <w:sz w:val="26"/>
          <w:szCs w:val="26"/>
          <w:lang w:eastAsia="en-US"/>
        </w:rPr>
        <w:t xml:space="preserve">bursátiles </w:t>
      </w:r>
      <w:r w:rsidRPr="00F65002">
        <w:rPr>
          <w:rFonts w:eastAsia="Calibri"/>
          <w:sz w:val="26"/>
          <w:szCs w:val="26"/>
          <w:lang w:eastAsia="en-US"/>
        </w:rPr>
        <w:t xml:space="preserve">de Estados Unidos de Norteamérica caen por la apreciación del dólar frente al euro. A continuación </w:t>
      </w:r>
      <w:r>
        <w:rPr>
          <w:rFonts w:eastAsia="Calibri"/>
          <w:sz w:val="26"/>
          <w:szCs w:val="26"/>
          <w:lang w:eastAsia="en-US"/>
        </w:rPr>
        <w:t>se presenta la información</w:t>
      </w:r>
      <w:r w:rsidRPr="00F65002">
        <w:rPr>
          <w:rFonts w:eastAsia="Calibri"/>
          <w:sz w:val="26"/>
          <w:szCs w:val="26"/>
          <w:lang w:eastAsia="en-US"/>
        </w:rPr>
        <w:t>.</w:t>
      </w:r>
    </w:p>
    <w:p w14:paraId="413F3F8B" w14:textId="2632C776" w:rsidR="00F65002" w:rsidRPr="00F65002" w:rsidRDefault="00F65002" w:rsidP="00F65002">
      <w:pPr>
        <w:spacing w:after="360" w:line="360" w:lineRule="auto"/>
        <w:ind w:right="-159"/>
        <w:jc w:val="both"/>
        <w:rPr>
          <w:rFonts w:eastAsia="Calibri"/>
          <w:sz w:val="26"/>
          <w:szCs w:val="26"/>
          <w:lang w:eastAsia="en-US"/>
        </w:rPr>
      </w:pPr>
      <w:r w:rsidRPr="00F65002">
        <w:rPr>
          <w:rFonts w:eastAsia="Calibri"/>
          <w:sz w:val="26"/>
          <w:szCs w:val="26"/>
          <w:lang w:eastAsia="en-US"/>
        </w:rPr>
        <w:t>Las acciones estadounidenses caen tras la apertura por la apreciación del dólar frente al euro y mientras las rentabilidades de la deuda soberana en Europa marcan mínimos históricos.</w:t>
      </w:r>
    </w:p>
    <w:p w14:paraId="32757E3B" w14:textId="77777777" w:rsidR="00F65002" w:rsidRPr="00F65002" w:rsidRDefault="00F65002" w:rsidP="00F65002">
      <w:pPr>
        <w:spacing w:after="360" w:line="360" w:lineRule="auto"/>
        <w:ind w:right="-159"/>
        <w:jc w:val="both"/>
        <w:rPr>
          <w:rFonts w:eastAsia="Calibri"/>
          <w:sz w:val="26"/>
          <w:szCs w:val="26"/>
          <w:lang w:eastAsia="en-US"/>
        </w:rPr>
      </w:pPr>
      <w:r w:rsidRPr="00F65002">
        <w:rPr>
          <w:rFonts w:eastAsia="Calibri"/>
          <w:sz w:val="26"/>
          <w:szCs w:val="26"/>
          <w:lang w:eastAsia="en-US"/>
        </w:rPr>
        <w:t xml:space="preserve">El Promedio Industrial </w:t>
      </w:r>
      <w:r w:rsidRPr="00F65002">
        <w:rPr>
          <w:rFonts w:eastAsia="Calibri"/>
          <w:i/>
          <w:sz w:val="26"/>
          <w:szCs w:val="26"/>
          <w:lang w:eastAsia="en-US"/>
        </w:rPr>
        <w:t>Dow Jones</w:t>
      </w:r>
      <w:r w:rsidRPr="00F65002">
        <w:rPr>
          <w:rFonts w:eastAsia="Calibri"/>
          <w:sz w:val="26"/>
          <w:szCs w:val="26"/>
          <w:lang w:eastAsia="en-US"/>
        </w:rPr>
        <w:t xml:space="preserve"> pierde 252 puntos, o 1.40%, a 17.743 puntos, el S&amp;P 500 cede 28 puntos, o 1.34%, a 2.051 puntos, y el </w:t>
      </w:r>
      <w:r w:rsidRPr="00F65002">
        <w:rPr>
          <w:rFonts w:eastAsia="Calibri"/>
          <w:i/>
          <w:sz w:val="26"/>
          <w:szCs w:val="26"/>
          <w:lang w:eastAsia="en-US"/>
        </w:rPr>
        <w:t>Nasdaq Composite</w:t>
      </w:r>
      <w:r w:rsidRPr="00F65002">
        <w:rPr>
          <w:rFonts w:eastAsia="Calibri"/>
          <w:sz w:val="26"/>
          <w:szCs w:val="26"/>
          <w:lang w:eastAsia="en-US"/>
        </w:rPr>
        <w:t xml:space="preserve"> retrocede               69 puntos, o 1.41%, a 4.872 puntos.</w:t>
      </w:r>
    </w:p>
    <w:p w14:paraId="607862E4" w14:textId="77777777" w:rsidR="00F65002" w:rsidRPr="00F65002" w:rsidRDefault="00F65002" w:rsidP="00F65002">
      <w:pPr>
        <w:spacing w:after="360" w:line="360" w:lineRule="auto"/>
        <w:ind w:right="-159"/>
        <w:jc w:val="both"/>
        <w:rPr>
          <w:rFonts w:eastAsia="Calibri"/>
          <w:sz w:val="26"/>
          <w:szCs w:val="26"/>
          <w:lang w:eastAsia="en-US"/>
        </w:rPr>
      </w:pPr>
      <w:r w:rsidRPr="00F65002">
        <w:rPr>
          <w:rFonts w:eastAsia="Calibri"/>
          <w:sz w:val="26"/>
          <w:szCs w:val="26"/>
          <w:lang w:eastAsia="en-US"/>
        </w:rPr>
        <w:t>Los inversionistas afirman que no hay motivo específico en Estados Unidos de Norteamérica que haya desencadenado las ventas y que las referencias provienen de los mercados europeos.</w:t>
      </w:r>
    </w:p>
    <w:p w14:paraId="0576AD48" w14:textId="77777777" w:rsidR="00F65002" w:rsidRPr="00F65002" w:rsidRDefault="00F65002" w:rsidP="00F65002">
      <w:pPr>
        <w:spacing w:after="360" w:line="360" w:lineRule="auto"/>
        <w:ind w:right="-159"/>
        <w:jc w:val="both"/>
        <w:rPr>
          <w:rFonts w:eastAsia="Calibri"/>
          <w:sz w:val="26"/>
          <w:szCs w:val="26"/>
          <w:lang w:eastAsia="en-US"/>
        </w:rPr>
      </w:pPr>
      <w:r w:rsidRPr="00F65002">
        <w:rPr>
          <w:rFonts w:eastAsia="Calibri"/>
          <w:sz w:val="26"/>
          <w:szCs w:val="26"/>
          <w:lang w:eastAsia="en-US"/>
        </w:rPr>
        <w:t>El euro cede un 0.9% frente al dólar a 1.0757 dólares y las rentabilidades de la deuda soberana de la eurozona marcan mínimos históricos un día después de que el Banco Central Europeo (BCE) iniciase su programa de compra de bonos con el que pretende estimular la economía de la región. La rentabilidad del bono alemán de referencia a 10 años ha caído a 0.20%, su mínimo histórico. Mientras, las acciones europeas ceden terreno, con el CAC-40 parisino y el DAX alemán perdiendo un 1.2 por ciento.</w:t>
      </w:r>
    </w:p>
    <w:p w14:paraId="34E25E93" w14:textId="77777777" w:rsidR="00F65002" w:rsidRPr="00F65002" w:rsidRDefault="00F65002" w:rsidP="00F65002">
      <w:pPr>
        <w:spacing w:after="360" w:line="360" w:lineRule="auto"/>
        <w:ind w:right="-159"/>
        <w:jc w:val="both"/>
        <w:rPr>
          <w:rFonts w:eastAsia="Calibri"/>
          <w:sz w:val="26"/>
          <w:szCs w:val="26"/>
          <w:lang w:eastAsia="en-US"/>
        </w:rPr>
      </w:pPr>
      <w:r w:rsidRPr="00F65002">
        <w:rPr>
          <w:rFonts w:eastAsia="Calibri"/>
          <w:sz w:val="26"/>
          <w:szCs w:val="26"/>
          <w:lang w:eastAsia="en-US"/>
        </w:rPr>
        <w:t xml:space="preserve">Si bien el BCE está relajando de forma agresiva su política monetaria, se prevé que la Reserva Federal comience a subir las tasas de interés este año, posiblemente en junio. La divergencia en las tasas de interés podría seguir generando movimientos en los mercados de divisas. La volatilidad se contagiará a la renta variable estadounidense en </w:t>
      </w:r>
      <w:r w:rsidRPr="00F65002">
        <w:rPr>
          <w:rFonts w:eastAsia="Calibri"/>
          <w:sz w:val="26"/>
          <w:szCs w:val="26"/>
          <w:lang w:eastAsia="en-US"/>
        </w:rPr>
        <w:lastRenderedPageBreak/>
        <w:t>el corto plazo, aseguran los analistas. En el largo plazo, los bajos de tipos de interés deberían seguir alimentando la demanda de activos de riesgo, como la renta variable.</w:t>
      </w:r>
    </w:p>
    <w:p w14:paraId="6B5308D0" w14:textId="77777777" w:rsidR="00F65002" w:rsidRPr="00F65002" w:rsidRDefault="00F65002" w:rsidP="00F65002">
      <w:pPr>
        <w:spacing w:after="360" w:line="360" w:lineRule="auto"/>
        <w:ind w:right="-159"/>
        <w:jc w:val="both"/>
        <w:rPr>
          <w:rFonts w:eastAsia="Calibri"/>
          <w:sz w:val="26"/>
          <w:szCs w:val="26"/>
          <w:lang w:eastAsia="en-US"/>
        </w:rPr>
      </w:pPr>
      <w:r w:rsidRPr="00F65002">
        <w:rPr>
          <w:rFonts w:eastAsia="Calibri"/>
          <w:sz w:val="26"/>
          <w:szCs w:val="26"/>
          <w:lang w:eastAsia="en-US"/>
        </w:rPr>
        <w:t xml:space="preserve">“Hay una liquidez tremenda en los mercados”, señala Michael Arone, de </w:t>
      </w:r>
      <w:r w:rsidRPr="00F65002">
        <w:rPr>
          <w:rFonts w:eastAsia="Calibri"/>
          <w:i/>
          <w:sz w:val="26"/>
          <w:szCs w:val="26"/>
          <w:lang w:eastAsia="en-US"/>
        </w:rPr>
        <w:t>State Street Global Advisors</w:t>
      </w:r>
      <w:r w:rsidRPr="00F65002">
        <w:rPr>
          <w:rFonts w:eastAsia="Calibri"/>
          <w:sz w:val="26"/>
          <w:szCs w:val="26"/>
          <w:lang w:eastAsia="en-US"/>
        </w:rPr>
        <w:t>. “Incluso en Estados Unidos de Norteamérica, la Fed se mantiene en una postura básicamente acomodaticia. En este contexto, es posible que veamos subidas en las acciones”, añade.</w:t>
      </w:r>
    </w:p>
    <w:p w14:paraId="6B86047A" w14:textId="77777777" w:rsidR="00F65002" w:rsidRPr="00F65002" w:rsidRDefault="00F65002" w:rsidP="00F65002">
      <w:pPr>
        <w:ind w:right="-159"/>
        <w:jc w:val="both"/>
        <w:rPr>
          <w:rFonts w:eastAsia="Calibri"/>
          <w:b/>
          <w:sz w:val="20"/>
          <w:szCs w:val="20"/>
          <w:lang w:eastAsia="en-US"/>
        </w:rPr>
      </w:pPr>
      <w:r w:rsidRPr="00F65002">
        <w:rPr>
          <w:rFonts w:eastAsia="Calibri"/>
          <w:b/>
          <w:sz w:val="20"/>
          <w:szCs w:val="20"/>
          <w:lang w:eastAsia="en-US"/>
        </w:rPr>
        <w:t>Fuente de información:</w:t>
      </w:r>
    </w:p>
    <w:p w14:paraId="0F66B256" w14:textId="77777777" w:rsidR="00F65002" w:rsidRPr="00247FB0" w:rsidRDefault="0093224F" w:rsidP="00247FB0">
      <w:pPr>
        <w:spacing w:after="720"/>
        <w:ind w:right="-159"/>
        <w:jc w:val="both"/>
        <w:rPr>
          <w:rFonts w:eastAsia="Calibri"/>
          <w:color w:val="0000FF"/>
          <w:sz w:val="20"/>
          <w:szCs w:val="20"/>
          <w:lang w:eastAsia="en-US"/>
        </w:rPr>
      </w:pPr>
      <w:hyperlink r:id="rId441" w:history="1">
        <w:r w:rsidR="00F65002" w:rsidRPr="00247FB0">
          <w:rPr>
            <w:rFonts w:eastAsia="Calibri"/>
            <w:color w:val="0000FF"/>
            <w:sz w:val="20"/>
            <w:szCs w:val="20"/>
            <w:u w:val="single"/>
            <w:lang w:eastAsia="en-US"/>
          </w:rPr>
          <w:t>http://lat.wsj.com/articles/SB11689363469961823294104580510162055766230?tesla=y</w:t>
        </w:r>
      </w:hyperlink>
      <w:r w:rsidR="00F65002" w:rsidRPr="00247FB0">
        <w:rPr>
          <w:rFonts w:eastAsia="Calibri"/>
          <w:color w:val="0000FF"/>
          <w:sz w:val="20"/>
          <w:szCs w:val="20"/>
          <w:lang w:eastAsia="en-US"/>
        </w:rPr>
        <w:t xml:space="preserve"> </w:t>
      </w:r>
    </w:p>
    <w:p w14:paraId="75395665" w14:textId="77777777" w:rsidR="00D00515" w:rsidRPr="00D00515" w:rsidRDefault="00D00515" w:rsidP="00D00515">
      <w:pPr>
        <w:spacing w:after="360" w:line="360" w:lineRule="auto"/>
        <w:ind w:right="-159"/>
        <w:jc w:val="both"/>
        <w:rPr>
          <w:rFonts w:eastAsia="Calibri"/>
          <w:b/>
          <w:sz w:val="26"/>
          <w:szCs w:val="26"/>
          <w:lang w:eastAsia="en-US"/>
        </w:rPr>
      </w:pPr>
      <w:r w:rsidRPr="00D00515">
        <w:rPr>
          <w:rFonts w:eastAsia="Calibri"/>
          <w:b/>
          <w:sz w:val="26"/>
          <w:szCs w:val="26"/>
          <w:lang w:eastAsia="en-US"/>
        </w:rPr>
        <w:t>¿Por qué divergen las acciones y los bonos?</w:t>
      </w:r>
      <w:r w:rsidRPr="00D00515">
        <w:rPr>
          <w:rFonts w:eastAsia="Calibri"/>
          <w:sz w:val="26"/>
          <w:szCs w:val="26"/>
          <w:lang w:eastAsia="en-US"/>
        </w:rPr>
        <w:t xml:space="preserve"> </w:t>
      </w:r>
      <w:r w:rsidRPr="00D00515">
        <w:rPr>
          <w:rFonts w:eastAsia="Calibri"/>
          <w:b/>
          <w:sz w:val="26"/>
          <w:szCs w:val="26"/>
          <w:lang w:eastAsia="en-US"/>
        </w:rPr>
        <w:t>(Project Syndicate)</w:t>
      </w:r>
    </w:p>
    <w:p w14:paraId="33B46923" w14:textId="77777777" w:rsidR="00D00515" w:rsidRPr="00D00515" w:rsidRDefault="00D00515" w:rsidP="00D00515">
      <w:pPr>
        <w:spacing w:after="360" w:line="360" w:lineRule="auto"/>
        <w:ind w:right="-159"/>
        <w:jc w:val="both"/>
        <w:rPr>
          <w:rFonts w:eastAsia="Calibri"/>
          <w:sz w:val="26"/>
          <w:szCs w:val="26"/>
          <w:lang w:eastAsia="en-US"/>
        </w:rPr>
      </w:pPr>
      <w:r w:rsidRPr="00D00515">
        <w:rPr>
          <w:rFonts w:eastAsia="Calibri"/>
          <w:sz w:val="26"/>
          <w:szCs w:val="26"/>
          <w:lang w:eastAsia="en-US"/>
        </w:rPr>
        <w:t xml:space="preserve">El 9 de marzo de 2015, la organización Project Syndicate publicó el artículo “¿Por qué divergen las acciones y los bonos?”, elaborado por Kenneth Rogoff </w:t>
      </w:r>
      <w:r w:rsidRPr="00D00515">
        <w:rPr>
          <w:rFonts w:eastAsia="Calibri"/>
          <w:sz w:val="26"/>
          <w:szCs w:val="26"/>
          <w:vertAlign w:val="superscript"/>
          <w:lang w:eastAsia="en-US"/>
        </w:rPr>
        <w:footnoteReference w:id="122"/>
      </w:r>
      <w:r w:rsidRPr="00D00515">
        <w:rPr>
          <w:rFonts w:eastAsia="Calibri"/>
          <w:sz w:val="26"/>
          <w:szCs w:val="26"/>
          <w:lang w:eastAsia="en-US"/>
        </w:rPr>
        <w:t>. A continuación se incluye el contenido.</w:t>
      </w:r>
    </w:p>
    <w:p w14:paraId="2B3234B7" w14:textId="77777777" w:rsidR="00D00515" w:rsidRPr="00D00515" w:rsidRDefault="00D00515" w:rsidP="00D00515">
      <w:pPr>
        <w:spacing w:after="360" w:line="360" w:lineRule="auto"/>
        <w:ind w:right="-159"/>
        <w:jc w:val="both"/>
        <w:rPr>
          <w:rFonts w:eastAsia="Calibri"/>
          <w:sz w:val="26"/>
          <w:szCs w:val="26"/>
          <w:lang w:eastAsia="en-US"/>
        </w:rPr>
      </w:pPr>
      <w:r w:rsidRPr="00D00515">
        <w:rPr>
          <w:rFonts w:eastAsia="Calibri"/>
          <w:sz w:val="26"/>
          <w:szCs w:val="26"/>
          <w:lang w:eastAsia="en-US"/>
        </w:rPr>
        <w:t>¿Cómo entender la divergencia entre los nuevos máximos de los índices bursátiles globales y los nuevos mínimos de los tipos de interés reales en todo el mundo? En un intento de reconciliar estas tendencias se han ofrecido diversas explicaciones excluyentes. Encontrar la correcta es esencial para calibrar adecuadamente la política fiscal y monetaria.</w:t>
      </w:r>
    </w:p>
    <w:p w14:paraId="401D1185" w14:textId="77777777" w:rsidR="00D00515" w:rsidRPr="00D00515" w:rsidRDefault="00D00515" w:rsidP="00D00515">
      <w:pPr>
        <w:spacing w:after="360" w:line="360" w:lineRule="auto"/>
        <w:ind w:right="-159"/>
        <w:jc w:val="both"/>
        <w:rPr>
          <w:rFonts w:eastAsia="Calibri"/>
          <w:sz w:val="26"/>
          <w:szCs w:val="26"/>
          <w:lang w:eastAsia="en-US"/>
        </w:rPr>
      </w:pPr>
      <w:r w:rsidRPr="00D00515">
        <w:rPr>
          <w:rFonts w:eastAsia="Calibri"/>
          <w:sz w:val="26"/>
          <w:szCs w:val="26"/>
          <w:lang w:eastAsia="en-US"/>
        </w:rPr>
        <w:t xml:space="preserve">Las explicaciones más comunes pueden ser peligrosamente engañosas, ya que subestiman los factores de riesgo. Por ejemplo, la teoría del “estancamiento secular” asegura que la baja de los tipos de interés es normal, porque la economía global padece </w:t>
      </w:r>
      <w:r w:rsidRPr="00D00515">
        <w:rPr>
          <w:rFonts w:eastAsia="Calibri"/>
          <w:sz w:val="26"/>
          <w:szCs w:val="26"/>
          <w:lang w:eastAsia="en-US"/>
        </w:rPr>
        <w:lastRenderedPageBreak/>
        <w:t>escasez crónica de demanda, y esto puede subsanarse con un crecimiento sostenido del gasto público.</w:t>
      </w:r>
    </w:p>
    <w:p w14:paraId="3635E845" w14:textId="77777777" w:rsidR="00D00515" w:rsidRPr="00D00515" w:rsidRDefault="00D00515" w:rsidP="00D00515">
      <w:pPr>
        <w:spacing w:after="360" w:line="360" w:lineRule="auto"/>
        <w:ind w:right="-159"/>
        <w:jc w:val="both"/>
        <w:rPr>
          <w:rFonts w:eastAsia="Calibri"/>
          <w:sz w:val="26"/>
          <w:szCs w:val="26"/>
          <w:lang w:eastAsia="en-US"/>
        </w:rPr>
      </w:pPr>
      <w:r w:rsidRPr="00D00515">
        <w:rPr>
          <w:rFonts w:eastAsia="Calibri"/>
          <w:sz w:val="26"/>
          <w:szCs w:val="26"/>
          <w:lang w:eastAsia="en-US"/>
        </w:rPr>
        <w:t>Según esta idea, el optimismo de las bolsas sólo refleja una baja tasa de descuento de las ganancias futuras. Además, durante las últimas décadas, la participación de los trabajadores en las ganancias parece haber caído pronunciadamente en las ocho economías más grandes del mundo, con la posible excepción del Reino Unido. A la inversa, la participación del capital viene en aumento, lo que obviamente empuja un alza de las acciones (aunque también siguen subiendo en países como Estados Unidos de Norteamérica y el Reino Unido, donde comienza a verse al menos una recuperación cíclica de la participación de los trabajadores, y donde muy pronto podría haber aumentos del tipo de interés).</w:t>
      </w:r>
    </w:p>
    <w:p w14:paraId="4D1C6772" w14:textId="77777777" w:rsidR="00D00515" w:rsidRPr="00D00515" w:rsidRDefault="00D00515" w:rsidP="00D00515">
      <w:pPr>
        <w:spacing w:after="360" w:line="360" w:lineRule="auto"/>
        <w:ind w:right="-159"/>
        <w:jc w:val="both"/>
        <w:rPr>
          <w:rFonts w:eastAsia="Calibri"/>
          <w:sz w:val="26"/>
          <w:szCs w:val="26"/>
          <w:lang w:eastAsia="en-US"/>
        </w:rPr>
      </w:pPr>
      <w:r w:rsidRPr="00D00515">
        <w:rPr>
          <w:rFonts w:eastAsia="Calibri"/>
          <w:sz w:val="26"/>
          <w:szCs w:val="26"/>
          <w:lang w:eastAsia="en-US"/>
        </w:rPr>
        <w:t>Los proponentes de la teoría del estancamiento secular afirman que todavía se necesita un aumento de la relación gasto público/Producto Interno Bruto (PIB) (que en la mayoría de las economías avanzadas ya es más del doble de lo que era en la década de 1950). Pero aun aceptando que las inversiones públicas en educación e infraestructura hoy son especialmente razonables dado su alto rendimiento, la idea de que la falta de demanda provoque una restricción permanente de la oferta es discutible. Estudios más profundos de la última recesión señalan que los efectos duraderos de la llamada “histéresis” sobre el desempleo han sido limitados, al menos en Estados Unidos de Norteamérica.</w:t>
      </w:r>
    </w:p>
    <w:p w14:paraId="55B96C16" w14:textId="77777777" w:rsidR="00D00515" w:rsidRPr="00D00515" w:rsidRDefault="00D00515" w:rsidP="00D00515">
      <w:pPr>
        <w:spacing w:after="360" w:line="360" w:lineRule="auto"/>
        <w:ind w:right="-159"/>
        <w:jc w:val="both"/>
        <w:rPr>
          <w:rFonts w:eastAsia="Calibri"/>
          <w:sz w:val="26"/>
          <w:szCs w:val="26"/>
          <w:lang w:eastAsia="en-US"/>
        </w:rPr>
      </w:pPr>
      <w:r w:rsidRPr="00D00515">
        <w:rPr>
          <w:rFonts w:eastAsia="Calibri"/>
          <w:sz w:val="26"/>
          <w:szCs w:val="26"/>
          <w:lang w:eastAsia="en-US"/>
        </w:rPr>
        <w:t xml:space="preserve">Otra posible explicación de los bajos tipos de interés es la represión financiera. El Banco Central Europeo (BCE) y el Banco de Japón (lo mismo que la Reserva Federal de Estados Unidos de Norteamérica antes) están comprando bonos a más no poder. Al mismo tiempo, para promover la estabilidad financiera se aprobó un sinfín de normas que obligan a bancos, fondos de pensión y aseguradoras a acumular títulos públicos. </w:t>
      </w:r>
      <w:r w:rsidRPr="00D00515">
        <w:rPr>
          <w:rFonts w:eastAsia="Calibri"/>
          <w:sz w:val="26"/>
          <w:szCs w:val="26"/>
          <w:lang w:eastAsia="en-US"/>
        </w:rPr>
        <w:lastRenderedPageBreak/>
        <w:t>De modo que las tasas actuales tienen que ver más con distorsiones en los mercados financieros que con expectativas de crecimiento lento.</w:t>
      </w:r>
    </w:p>
    <w:p w14:paraId="45746281" w14:textId="77777777" w:rsidR="00D00515" w:rsidRPr="00D00515" w:rsidRDefault="00D00515" w:rsidP="00D00515">
      <w:pPr>
        <w:spacing w:after="360" w:line="360" w:lineRule="auto"/>
        <w:ind w:right="-159"/>
        <w:jc w:val="both"/>
        <w:rPr>
          <w:rFonts w:eastAsia="Calibri"/>
          <w:sz w:val="26"/>
          <w:szCs w:val="26"/>
          <w:lang w:eastAsia="en-US"/>
        </w:rPr>
      </w:pPr>
      <w:r w:rsidRPr="00D00515">
        <w:rPr>
          <w:rFonts w:eastAsia="Calibri"/>
          <w:sz w:val="26"/>
          <w:szCs w:val="26"/>
          <w:lang w:eastAsia="en-US"/>
        </w:rPr>
        <w:t>Los proponentes de la explicación por la represión financiera ven la caída de las tasas como un impuesto implícito a los bonistas que reduce el interés que obtienen. Esto no es necesariamente malo, ya que todos los impuestos son distorsivos y no hay manera de resolver el actual exceso de endeudamiento sin afectar de algún modo al crecimiento.</w:t>
      </w:r>
    </w:p>
    <w:p w14:paraId="1CF3D8E4" w14:textId="77777777" w:rsidR="00D00515" w:rsidRPr="00D00515" w:rsidRDefault="00D00515" w:rsidP="00D00515">
      <w:pPr>
        <w:spacing w:after="360" w:line="360" w:lineRule="auto"/>
        <w:ind w:right="-159"/>
        <w:jc w:val="both"/>
        <w:rPr>
          <w:rFonts w:eastAsia="Calibri"/>
          <w:sz w:val="26"/>
          <w:szCs w:val="26"/>
          <w:lang w:eastAsia="en-US"/>
        </w:rPr>
      </w:pPr>
      <w:r w:rsidRPr="00D00515">
        <w:rPr>
          <w:rFonts w:eastAsia="Calibri"/>
          <w:sz w:val="26"/>
          <w:szCs w:val="26"/>
          <w:lang w:eastAsia="en-US"/>
        </w:rPr>
        <w:t>Pero el impuesto de la represión financiera no es ni remotamente tan progresivo como sería un impuesto a la riqueza más genérico, porque las familias de menores ingresos generalmente no invierten tanto en acciones. En todo caso, no está claro que la represión financiera sea la única explicación. La caída de rendimiento de los bonos no sólo afectó a los títulos públicos sino a muchos otros tipos de deuda.</w:t>
      </w:r>
    </w:p>
    <w:p w14:paraId="51D45721" w14:textId="283F2609" w:rsidR="00D00515" w:rsidRPr="00D00515" w:rsidRDefault="00D00515" w:rsidP="00D00515">
      <w:pPr>
        <w:spacing w:after="360" w:line="360" w:lineRule="auto"/>
        <w:ind w:right="-159"/>
        <w:jc w:val="both"/>
        <w:rPr>
          <w:rFonts w:eastAsia="Calibri"/>
          <w:sz w:val="26"/>
          <w:szCs w:val="26"/>
          <w:lang w:eastAsia="en-US"/>
        </w:rPr>
      </w:pPr>
      <w:r w:rsidRPr="00D00515">
        <w:rPr>
          <w:rFonts w:eastAsia="Calibri"/>
          <w:sz w:val="26"/>
          <w:szCs w:val="26"/>
          <w:lang w:eastAsia="en-US"/>
        </w:rPr>
        <w:t xml:space="preserve">Hay también otros factores que contribuyen a los bajísimos tipos de interés actuales. Uno de ellos es, sin duda, la presencia de una pirámide demográfica adversa y una desaceleración de la oferta de mano de obra en la mayor parte de las economías avanzadas. Pero lo raro es que se trata de una tendencia que se desarrolló en forma muy gradual y predecible, mientras que la caída de los tipos de interés fue mucho más rápida y hasta cierto punto inesperada (al menos, para los bancos centrales). Y no parece que la </w:t>
      </w:r>
      <w:r w:rsidR="00247FB0">
        <w:rPr>
          <w:rFonts w:eastAsia="Calibri"/>
          <w:sz w:val="26"/>
          <w:szCs w:val="26"/>
          <w:lang w:eastAsia="en-US"/>
        </w:rPr>
        <w:t>alza</w:t>
      </w:r>
      <w:r w:rsidRPr="00D00515">
        <w:rPr>
          <w:rFonts w:eastAsia="Calibri"/>
          <w:sz w:val="26"/>
          <w:szCs w:val="26"/>
          <w:lang w:eastAsia="en-US"/>
        </w:rPr>
        <w:t xml:space="preserve"> de las bolsas pueda atribuirse ante todo a cuestiones demográficas (aunque hay quien intentó esa explicación).</w:t>
      </w:r>
    </w:p>
    <w:p w14:paraId="5A1F5E95" w14:textId="77777777" w:rsidR="00D00515" w:rsidRPr="00D00515" w:rsidRDefault="00D00515" w:rsidP="00D00515">
      <w:pPr>
        <w:spacing w:after="360" w:line="360" w:lineRule="auto"/>
        <w:ind w:right="-159"/>
        <w:jc w:val="both"/>
        <w:rPr>
          <w:rFonts w:eastAsia="Calibri"/>
          <w:sz w:val="26"/>
          <w:szCs w:val="26"/>
          <w:lang w:eastAsia="en-US"/>
        </w:rPr>
      </w:pPr>
      <w:r w:rsidRPr="00D00515">
        <w:rPr>
          <w:rFonts w:eastAsia="Calibri"/>
          <w:sz w:val="26"/>
          <w:szCs w:val="26"/>
          <w:lang w:eastAsia="en-US"/>
        </w:rPr>
        <w:t>Extrañamente, factores como el aumento del riesgo y el temor a nuevas perturbaciones (no sólo en la forma de otra crisis financiera, sino también de inestabilidad geopolítica o epidemias) no parecen pesar mucho en el debate político actual, aunque es una idea que ronda.</w:t>
      </w:r>
    </w:p>
    <w:p w14:paraId="007C72EB" w14:textId="77777777" w:rsidR="00D00515" w:rsidRPr="00D00515" w:rsidRDefault="00D00515" w:rsidP="00D00515">
      <w:pPr>
        <w:spacing w:after="360" w:line="360" w:lineRule="auto"/>
        <w:ind w:right="-159"/>
        <w:jc w:val="both"/>
        <w:rPr>
          <w:rFonts w:eastAsia="Calibri"/>
          <w:sz w:val="26"/>
          <w:szCs w:val="26"/>
          <w:lang w:eastAsia="en-US"/>
        </w:rPr>
      </w:pPr>
      <w:r w:rsidRPr="00D00515">
        <w:rPr>
          <w:rFonts w:eastAsia="Calibri"/>
          <w:sz w:val="26"/>
          <w:szCs w:val="26"/>
          <w:lang w:eastAsia="en-US"/>
        </w:rPr>
        <w:t xml:space="preserve">A pesar de que los bonos no son una cobertura perfecta contra esos riesgos, suelen ser mejores que las acciones (excepto en casos de guerra mundial, cuando a ambos puede </w:t>
      </w:r>
      <w:r w:rsidRPr="00D00515">
        <w:rPr>
          <w:rFonts w:eastAsia="Calibri"/>
          <w:sz w:val="26"/>
          <w:szCs w:val="26"/>
          <w:lang w:eastAsia="en-US"/>
        </w:rPr>
        <w:lastRenderedPageBreak/>
        <w:t>irles mal). En un artículo reciente con Carmen y Vincent Reinhart hemos demostrado que incluso un cambio relativamente pequeño del riesgo de desastres (digamos, un aumento de un valor normal de entre 2 y 3% a entre 3 y 4%) puede provocar una caída enorme del tipo de interés real en todo el mundo (hasta valores bien por debajo de cero), incluso con expectativas de crecimiento firmes.</w:t>
      </w:r>
    </w:p>
    <w:p w14:paraId="41514D5B" w14:textId="77777777" w:rsidR="00D00515" w:rsidRPr="00D00515" w:rsidRDefault="00D00515" w:rsidP="00D00515">
      <w:pPr>
        <w:spacing w:after="360" w:line="360" w:lineRule="auto"/>
        <w:ind w:right="-159"/>
        <w:jc w:val="both"/>
        <w:rPr>
          <w:rFonts w:eastAsia="Calibri"/>
          <w:sz w:val="26"/>
          <w:szCs w:val="26"/>
          <w:lang w:eastAsia="en-US"/>
        </w:rPr>
      </w:pPr>
      <w:r w:rsidRPr="00D00515">
        <w:rPr>
          <w:rFonts w:eastAsia="Calibri"/>
          <w:sz w:val="26"/>
          <w:szCs w:val="26"/>
          <w:lang w:eastAsia="en-US"/>
        </w:rPr>
        <w:t>Pero la moraleja para los gobiernos no es sencilla. Si cuentan con información y capacidades analíticas de mejor calidad que los agentes económicos y evalúan correctamente que sus temores son infundados, entonces tiene sentido que aprovechen esa información, por ejemplo, emitiendo más deuda.</w:t>
      </w:r>
    </w:p>
    <w:p w14:paraId="67116770" w14:textId="77777777" w:rsidR="00D00515" w:rsidRPr="00D00515" w:rsidRDefault="00D00515" w:rsidP="00D00515">
      <w:pPr>
        <w:spacing w:after="360" w:line="360" w:lineRule="auto"/>
        <w:ind w:right="-159"/>
        <w:jc w:val="both"/>
        <w:rPr>
          <w:rFonts w:eastAsia="Calibri"/>
          <w:sz w:val="26"/>
          <w:szCs w:val="26"/>
          <w:lang w:eastAsia="en-US"/>
        </w:rPr>
      </w:pPr>
      <w:r w:rsidRPr="00D00515">
        <w:rPr>
          <w:rFonts w:eastAsia="Calibri"/>
          <w:sz w:val="26"/>
          <w:szCs w:val="26"/>
          <w:lang w:eastAsia="en-US"/>
        </w:rPr>
        <w:t>Por otra parte, si ese temor no está errado y realmente hay más riesgo de desastre, entonces las decisiones políticas serán mucho más complejas. El problema es que de producirse el desastre, tendría altos costos para el gobierno, de modo que mantener un margen de maniobra fiscal para dicha eventualidad tiene un alto valor de opción.</w:t>
      </w:r>
    </w:p>
    <w:p w14:paraId="21BA0EA7" w14:textId="77777777" w:rsidR="00D00515" w:rsidRPr="00D00515" w:rsidRDefault="00D00515" w:rsidP="00D00515">
      <w:pPr>
        <w:spacing w:after="360" w:line="360" w:lineRule="auto"/>
        <w:ind w:right="-159"/>
        <w:jc w:val="both"/>
        <w:rPr>
          <w:rFonts w:eastAsia="Calibri"/>
          <w:sz w:val="26"/>
          <w:szCs w:val="26"/>
          <w:lang w:eastAsia="en-US"/>
        </w:rPr>
      </w:pPr>
      <w:r w:rsidRPr="00D00515">
        <w:rPr>
          <w:rFonts w:eastAsia="Calibri"/>
          <w:sz w:val="26"/>
          <w:szCs w:val="26"/>
          <w:lang w:eastAsia="en-US"/>
        </w:rPr>
        <w:t>La idea de que las exiguas tasas actuales no son sino un síntoma de escasez de demanda o de represión financiera es peligrosamente simplista. Es verdad que todavía hay mucho temor a una nueva catástrofe económica tras la crisis financiera (a lo que contribuye la fragilidad irresuelta de la eurozona y la creciente inestabilidad de los mercados emergentes), y es normal que los agentes económicos estén más precavidos. Pero si las tendencias de precios de las acciones y los bonos obedecen aunque sea en parte a riesgos reales, también los gobiernos deberían llamarse a precaución.</w:t>
      </w:r>
    </w:p>
    <w:p w14:paraId="79D0E3C6" w14:textId="77777777" w:rsidR="00D00515" w:rsidRPr="00D00515" w:rsidRDefault="00D00515" w:rsidP="00D00515">
      <w:pPr>
        <w:ind w:right="-159"/>
        <w:jc w:val="both"/>
        <w:rPr>
          <w:rFonts w:eastAsia="Calibri"/>
          <w:b/>
          <w:sz w:val="20"/>
          <w:szCs w:val="26"/>
          <w:lang w:eastAsia="en-US"/>
        </w:rPr>
      </w:pPr>
      <w:r w:rsidRPr="00D00515">
        <w:rPr>
          <w:rFonts w:eastAsia="Calibri"/>
          <w:b/>
          <w:sz w:val="20"/>
          <w:szCs w:val="26"/>
          <w:lang w:eastAsia="en-US"/>
        </w:rPr>
        <w:t>Fuente de información:</w:t>
      </w:r>
    </w:p>
    <w:p w14:paraId="5DBF0B3A" w14:textId="77777777" w:rsidR="00D00515" w:rsidRPr="00247FB0" w:rsidRDefault="0093224F" w:rsidP="00D00515">
      <w:pPr>
        <w:ind w:right="-159"/>
        <w:jc w:val="both"/>
        <w:rPr>
          <w:rFonts w:eastAsia="Calibri"/>
          <w:color w:val="0000FF"/>
          <w:sz w:val="20"/>
          <w:szCs w:val="20"/>
          <w:lang w:eastAsia="en-US"/>
        </w:rPr>
      </w:pPr>
      <w:hyperlink r:id="rId442" w:history="1">
        <w:r w:rsidR="00D00515" w:rsidRPr="00247FB0">
          <w:rPr>
            <w:rFonts w:eastAsia="Calibri"/>
            <w:color w:val="0000FF"/>
            <w:sz w:val="20"/>
            <w:szCs w:val="20"/>
            <w:u w:val="single"/>
            <w:lang w:eastAsia="en-US"/>
          </w:rPr>
          <w:t>http://www.project-syndicate.org/commentary/equity-low-interest-rates-by-kenneth-rogoff-2015-03/spanish</w:t>
        </w:r>
      </w:hyperlink>
      <w:r w:rsidR="00D00515" w:rsidRPr="00247FB0">
        <w:rPr>
          <w:rFonts w:eastAsia="Calibri"/>
          <w:color w:val="0000FF"/>
          <w:sz w:val="20"/>
          <w:szCs w:val="20"/>
          <w:lang w:eastAsia="en-US"/>
        </w:rPr>
        <w:t xml:space="preserve"> </w:t>
      </w:r>
    </w:p>
    <w:p w14:paraId="58030CBA" w14:textId="77777777" w:rsidR="00F65002" w:rsidRPr="00D00515" w:rsidRDefault="00F65002" w:rsidP="009D3D3A">
      <w:pPr>
        <w:spacing w:after="360" w:line="360" w:lineRule="auto"/>
        <w:rPr>
          <w:sz w:val="26"/>
          <w:szCs w:val="26"/>
        </w:rPr>
      </w:pPr>
    </w:p>
    <w:p w14:paraId="6C64BC23" w14:textId="77777777" w:rsidR="00D00515" w:rsidRPr="00D00515" w:rsidRDefault="00D00515" w:rsidP="009D3D3A">
      <w:pPr>
        <w:spacing w:after="360" w:line="360" w:lineRule="auto"/>
        <w:rPr>
          <w:sz w:val="26"/>
          <w:szCs w:val="26"/>
        </w:rPr>
      </w:pPr>
    </w:p>
    <w:p w14:paraId="6F928E36" w14:textId="77777777" w:rsidR="00D00515" w:rsidRPr="00D00515" w:rsidRDefault="00D00515" w:rsidP="009D3D3A">
      <w:pPr>
        <w:spacing w:after="360" w:line="360" w:lineRule="auto"/>
        <w:rPr>
          <w:sz w:val="26"/>
          <w:szCs w:val="26"/>
        </w:rPr>
      </w:pPr>
    </w:p>
    <w:p w14:paraId="2AD6F85C" w14:textId="3BAF335E" w:rsidR="007144B7" w:rsidRPr="000E3A45" w:rsidRDefault="00817D67" w:rsidP="009D3D3A">
      <w:pPr>
        <w:spacing w:after="360" w:line="360" w:lineRule="auto"/>
        <w:rPr>
          <w:b/>
          <w:sz w:val="26"/>
          <w:szCs w:val="26"/>
        </w:rPr>
      </w:pPr>
      <w:r w:rsidRPr="000E3A45">
        <w:rPr>
          <w:b/>
          <w:sz w:val="26"/>
          <w:szCs w:val="26"/>
        </w:rPr>
        <w:lastRenderedPageBreak/>
        <w:t>Mercado</w:t>
      </w:r>
      <w:r w:rsidR="00F72F18" w:rsidRPr="000E3A45">
        <w:rPr>
          <w:b/>
          <w:sz w:val="26"/>
          <w:szCs w:val="26"/>
        </w:rPr>
        <w:t>s</w:t>
      </w:r>
      <w:r w:rsidRPr="000E3A45">
        <w:rPr>
          <w:b/>
          <w:sz w:val="26"/>
          <w:szCs w:val="26"/>
        </w:rPr>
        <w:t xml:space="preserve"> bursátil</w:t>
      </w:r>
      <w:r w:rsidR="00F72F18" w:rsidRPr="000E3A45">
        <w:rPr>
          <w:b/>
          <w:sz w:val="26"/>
          <w:szCs w:val="26"/>
        </w:rPr>
        <w:t>e</w:t>
      </w:r>
      <w:r w:rsidRPr="000E3A45">
        <w:rPr>
          <w:b/>
          <w:sz w:val="26"/>
          <w:szCs w:val="26"/>
        </w:rPr>
        <w:t xml:space="preserve">s de </w:t>
      </w:r>
      <w:r w:rsidR="007144B7" w:rsidRPr="000E3A45">
        <w:rPr>
          <w:b/>
          <w:sz w:val="26"/>
          <w:szCs w:val="26"/>
        </w:rPr>
        <w:t>América Latina</w:t>
      </w:r>
    </w:p>
    <w:p w14:paraId="55C73176" w14:textId="33945157" w:rsidR="00A20233" w:rsidRPr="000E3A45" w:rsidRDefault="00770ED0" w:rsidP="00F22055">
      <w:pPr>
        <w:spacing w:after="360" w:line="360" w:lineRule="auto"/>
        <w:ind w:right="-159"/>
        <w:jc w:val="both"/>
        <w:rPr>
          <w:sz w:val="26"/>
          <w:szCs w:val="26"/>
        </w:rPr>
      </w:pPr>
      <w:r>
        <w:rPr>
          <w:sz w:val="26"/>
          <w:szCs w:val="26"/>
        </w:rPr>
        <w:t xml:space="preserve">A consecuencia de la </w:t>
      </w:r>
      <w:r w:rsidR="00D752B3">
        <w:rPr>
          <w:sz w:val="26"/>
          <w:szCs w:val="26"/>
        </w:rPr>
        <w:t xml:space="preserve">volatilidad en </w:t>
      </w:r>
      <w:r w:rsidR="009F7F1B" w:rsidRPr="000E3A45">
        <w:rPr>
          <w:sz w:val="26"/>
          <w:szCs w:val="26"/>
        </w:rPr>
        <w:t xml:space="preserve">los mercados accionarios </w:t>
      </w:r>
      <w:r>
        <w:rPr>
          <w:sz w:val="26"/>
          <w:szCs w:val="26"/>
        </w:rPr>
        <w:t xml:space="preserve">y cambiarios </w:t>
      </w:r>
      <w:r w:rsidR="009F7F1B" w:rsidRPr="000E3A45">
        <w:rPr>
          <w:sz w:val="26"/>
          <w:szCs w:val="26"/>
        </w:rPr>
        <w:t>internacionales, las bo</w:t>
      </w:r>
      <w:r w:rsidR="008C5A67" w:rsidRPr="000E3A45">
        <w:rPr>
          <w:sz w:val="26"/>
          <w:szCs w:val="26"/>
        </w:rPr>
        <w:t>l</w:t>
      </w:r>
      <w:r w:rsidR="009F7F1B" w:rsidRPr="000E3A45">
        <w:rPr>
          <w:sz w:val="26"/>
          <w:szCs w:val="26"/>
        </w:rPr>
        <w:t xml:space="preserve">sas de </w:t>
      </w:r>
      <w:r w:rsidR="00D55960" w:rsidRPr="000E3A45">
        <w:rPr>
          <w:sz w:val="26"/>
          <w:szCs w:val="26"/>
        </w:rPr>
        <w:t xml:space="preserve">América Latina </w:t>
      </w:r>
      <w:r>
        <w:rPr>
          <w:sz w:val="26"/>
          <w:szCs w:val="26"/>
        </w:rPr>
        <w:t xml:space="preserve">se movieron en línea con los mercados estadounidenses en una trayectoria mixta aunque con </w:t>
      </w:r>
      <w:r w:rsidR="009F7F1B" w:rsidRPr="000E3A45">
        <w:rPr>
          <w:sz w:val="26"/>
          <w:szCs w:val="26"/>
        </w:rPr>
        <w:t>retrocesos.</w:t>
      </w:r>
      <w:r w:rsidR="00D55960" w:rsidRPr="000E3A45">
        <w:rPr>
          <w:sz w:val="26"/>
          <w:szCs w:val="26"/>
        </w:rPr>
        <w:t xml:space="preserve"> De hecho, d</w:t>
      </w:r>
      <w:r w:rsidR="00952450" w:rsidRPr="000E3A45">
        <w:rPr>
          <w:sz w:val="26"/>
          <w:szCs w:val="26"/>
        </w:rPr>
        <w:t>el 31 de diciembre de 201</w:t>
      </w:r>
      <w:r w:rsidR="005B763B">
        <w:rPr>
          <w:sz w:val="26"/>
          <w:szCs w:val="26"/>
        </w:rPr>
        <w:t>4</w:t>
      </w:r>
      <w:r w:rsidR="00952450" w:rsidRPr="000E3A45">
        <w:rPr>
          <w:sz w:val="26"/>
          <w:szCs w:val="26"/>
        </w:rPr>
        <w:t xml:space="preserve"> al </w:t>
      </w:r>
      <w:r w:rsidR="004658AB" w:rsidRPr="000E3A45">
        <w:rPr>
          <w:sz w:val="26"/>
          <w:szCs w:val="26"/>
        </w:rPr>
        <w:t>1</w:t>
      </w:r>
      <w:r>
        <w:rPr>
          <w:sz w:val="26"/>
          <w:szCs w:val="26"/>
        </w:rPr>
        <w:t>7</w:t>
      </w:r>
      <w:r w:rsidR="00952450" w:rsidRPr="000E3A45">
        <w:rPr>
          <w:sz w:val="26"/>
          <w:szCs w:val="26"/>
        </w:rPr>
        <w:t xml:space="preserve"> de </w:t>
      </w:r>
      <w:r>
        <w:rPr>
          <w:sz w:val="26"/>
          <w:szCs w:val="26"/>
        </w:rPr>
        <w:t>marzo</w:t>
      </w:r>
      <w:r w:rsidR="00952450" w:rsidRPr="000E3A45">
        <w:rPr>
          <w:sz w:val="26"/>
          <w:szCs w:val="26"/>
        </w:rPr>
        <w:t xml:space="preserve"> de 201</w:t>
      </w:r>
      <w:r w:rsidR="00A52055">
        <w:rPr>
          <w:sz w:val="26"/>
          <w:szCs w:val="26"/>
        </w:rPr>
        <w:t>5</w:t>
      </w:r>
      <w:r w:rsidR="00952450" w:rsidRPr="000E3A45">
        <w:rPr>
          <w:sz w:val="26"/>
          <w:szCs w:val="26"/>
        </w:rPr>
        <w:t xml:space="preserve">, </w:t>
      </w:r>
      <w:r w:rsidR="00BB2780" w:rsidRPr="000E3A45">
        <w:rPr>
          <w:sz w:val="26"/>
          <w:szCs w:val="26"/>
        </w:rPr>
        <w:t xml:space="preserve">en </w:t>
      </w:r>
      <w:r w:rsidR="00671E53" w:rsidRPr="000E3A45">
        <w:rPr>
          <w:sz w:val="26"/>
          <w:szCs w:val="26"/>
        </w:rPr>
        <w:t xml:space="preserve">Argentina </w:t>
      </w:r>
      <w:r w:rsidR="00952450" w:rsidRPr="000E3A45">
        <w:rPr>
          <w:sz w:val="26"/>
          <w:szCs w:val="26"/>
        </w:rPr>
        <w:t xml:space="preserve">el índice accionario de Merval reportó una utilidad de capital de </w:t>
      </w:r>
      <w:r>
        <w:rPr>
          <w:sz w:val="26"/>
          <w:szCs w:val="26"/>
        </w:rPr>
        <w:t>28.07</w:t>
      </w:r>
      <w:r w:rsidR="005B763B">
        <w:rPr>
          <w:sz w:val="26"/>
          <w:szCs w:val="26"/>
        </w:rPr>
        <w:t xml:space="preserve"> por ciento.</w:t>
      </w:r>
    </w:p>
    <w:p w14:paraId="1402B9C4" w14:textId="16F4520A" w:rsidR="00952450" w:rsidRPr="000E3A45" w:rsidRDefault="00A20233" w:rsidP="00F22055">
      <w:pPr>
        <w:spacing w:after="360" w:line="360" w:lineRule="auto"/>
        <w:ind w:right="-159"/>
        <w:jc w:val="both"/>
        <w:rPr>
          <w:sz w:val="26"/>
          <w:szCs w:val="26"/>
        </w:rPr>
      </w:pPr>
      <w:r w:rsidRPr="000E3A45">
        <w:rPr>
          <w:sz w:val="26"/>
          <w:szCs w:val="26"/>
        </w:rPr>
        <w:t xml:space="preserve">Por su parte, </w:t>
      </w:r>
      <w:r w:rsidR="00770ED0">
        <w:rPr>
          <w:sz w:val="26"/>
          <w:szCs w:val="26"/>
        </w:rPr>
        <w:t>durante el período de referencia</w:t>
      </w:r>
      <w:r w:rsidR="00A52055">
        <w:rPr>
          <w:sz w:val="26"/>
          <w:szCs w:val="26"/>
        </w:rPr>
        <w:t>,</w:t>
      </w:r>
      <w:r w:rsidR="005B763B">
        <w:rPr>
          <w:sz w:val="26"/>
          <w:szCs w:val="26"/>
        </w:rPr>
        <w:t xml:space="preserve"> </w:t>
      </w:r>
      <w:r w:rsidR="00770ED0">
        <w:rPr>
          <w:sz w:val="26"/>
          <w:szCs w:val="26"/>
        </w:rPr>
        <w:t>la bolsa de</w:t>
      </w:r>
      <w:r w:rsidR="005B763B">
        <w:rPr>
          <w:sz w:val="26"/>
          <w:szCs w:val="26"/>
        </w:rPr>
        <w:t xml:space="preserve"> </w:t>
      </w:r>
      <w:r w:rsidR="00A52055" w:rsidRPr="000E3A45">
        <w:rPr>
          <w:sz w:val="26"/>
          <w:szCs w:val="26"/>
        </w:rPr>
        <w:t>Brasil (Bovespa</w:t>
      </w:r>
      <w:r w:rsidR="00E74EB3">
        <w:rPr>
          <w:sz w:val="26"/>
          <w:szCs w:val="26"/>
        </w:rPr>
        <w:t xml:space="preserve">) </w:t>
      </w:r>
      <w:r w:rsidR="00770ED0">
        <w:rPr>
          <w:sz w:val="26"/>
          <w:szCs w:val="26"/>
        </w:rPr>
        <w:t>registró una utilidad de capital de 0.56%, en tanto que el mercado accionario de Chile (IPGA</w:t>
      </w:r>
      <w:r w:rsidR="00CC3DE7" w:rsidRPr="000E3A45">
        <w:rPr>
          <w:sz w:val="26"/>
          <w:szCs w:val="26"/>
        </w:rPr>
        <w:t xml:space="preserve"> </w:t>
      </w:r>
      <w:r w:rsidR="00770ED0">
        <w:rPr>
          <w:sz w:val="26"/>
          <w:szCs w:val="26"/>
        </w:rPr>
        <w:t>reportó una pérdida de 0.40 por ciento</w:t>
      </w:r>
    </w:p>
    <w:p w14:paraId="479D4D99" w14:textId="40FD14F8" w:rsidR="002F01FC" w:rsidRPr="000E3A45" w:rsidRDefault="00770ED0" w:rsidP="002F01FC">
      <w:pPr>
        <w:spacing w:after="360" w:line="360" w:lineRule="auto"/>
        <w:ind w:right="-159"/>
        <w:jc w:val="center"/>
        <w:rPr>
          <w:sz w:val="26"/>
          <w:szCs w:val="26"/>
        </w:rPr>
      </w:pPr>
      <w:r w:rsidRPr="00770ED0">
        <w:rPr>
          <w:rFonts w:ascii="Calibri" w:eastAsia="Calibri" w:hAnsi="Calibri"/>
          <w:sz w:val="22"/>
          <w:szCs w:val="22"/>
          <w:lang w:eastAsia="en-US"/>
        </w:rPr>
        <w:fldChar w:fldCharType="begin"/>
      </w:r>
      <w:r w:rsidRPr="00770ED0">
        <w:rPr>
          <w:rFonts w:ascii="Calibri" w:eastAsia="Calibri" w:hAnsi="Calibri"/>
          <w:sz w:val="22"/>
          <w:szCs w:val="22"/>
          <w:lang w:eastAsia="en-US"/>
        </w:rPr>
        <w:instrText xml:space="preserve"> LINK PowerPoint.Slide.8 "D:\\2015\\MARZO 2014\\GRÁFICAS EN POWER POINT\\26.-GRÁFICAS DE BOLSAS.pptx!265" "" \a \p </w:instrText>
      </w:r>
      <w:r w:rsidRPr="00770ED0">
        <w:rPr>
          <w:rFonts w:ascii="Calibri" w:eastAsia="Calibri" w:hAnsi="Calibri"/>
          <w:sz w:val="22"/>
          <w:szCs w:val="22"/>
          <w:lang w:eastAsia="en-US"/>
        </w:rPr>
        <w:fldChar w:fldCharType="separate"/>
      </w:r>
      <w:r w:rsidRPr="00770ED0">
        <w:rPr>
          <w:rFonts w:ascii="Calibri" w:eastAsia="Calibri" w:hAnsi="Calibri"/>
          <w:noProof/>
          <w:sz w:val="22"/>
          <w:szCs w:val="22"/>
          <w:lang w:eastAsia="es-MX"/>
        </w:rPr>
        <w:drawing>
          <wp:inline distT="0" distB="0" distL="0" distR="0" wp14:anchorId="3F8B9266" wp14:editId="014B4E07">
            <wp:extent cx="3990975" cy="3021330"/>
            <wp:effectExtent l="0" t="0" r="9525" b="7620"/>
            <wp:docPr id="1616" name="Imagen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9"/>
                    <pic:cNvPicPr>
                      <a:picLocks noChangeAspect="1" noChangeArrowheads="1"/>
                    </pic:cNvPicPr>
                  </pic:nvPicPr>
                  <pic:blipFill>
                    <a:blip r:embed="rId443" cstate="print">
                      <a:extLst>
                        <a:ext uri="{28A0092B-C50C-407E-A947-70E740481C1C}">
                          <a14:useLocalDpi xmlns:a14="http://schemas.microsoft.com/office/drawing/2010/main" val="0"/>
                        </a:ext>
                      </a:extLst>
                    </a:blip>
                    <a:srcRect l="7724" r="4802" b="11945"/>
                    <a:stretch>
                      <a:fillRect/>
                    </a:stretch>
                  </pic:blipFill>
                  <pic:spPr bwMode="auto">
                    <a:xfrm>
                      <a:off x="0" y="0"/>
                      <a:ext cx="3990975" cy="3021330"/>
                    </a:xfrm>
                    <a:prstGeom prst="rect">
                      <a:avLst/>
                    </a:prstGeom>
                    <a:noFill/>
                    <a:ln>
                      <a:noFill/>
                    </a:ln>
                  </pic:spPr>
                </pic:pic>
              </a:graphicData>
            </a:graphic>
          </wp:inline>
        </w:drawing>
      </w:r>
      <w:r w:rsidRPr="00770ED0">
        <w:rPr>
          <w:rFonts w:ascii="Calibri" w:eastAsia="Calibri" w:hAnsi="Calibri"/>
          <w:sz w:val="22"/>
          <w:szCs w:val="22"/>
          <w:lang w:eastAsia="en-US"/>
        </w:rPr>
        <w:fldChar w:fldCharType="end"/>
      </w:r>
    </w:p>
    <w:p w14:paraId="78B6C5AA" w14:textId="77777777" w:rsidR="002F01FC" w:rsidRPr="000E3A45" w:rsidRDefault="002F01FC" w:rsidP="002F01FC">
      <w:pPr>
        <w:ind w:right="-159"/>
        <w:rPr>
          <w:b/>
          <w:sz w:val="20"/>
          <w:szCs w:val="20"/>
        </w:rPr>
      </w:pPr>
      <w:r w:rsidRPr="000E3A45">
        <w:rPr>
          <w:b/>
          <w:sz w:val="20"/>
          <w:szCs w:val="20"/>
        </w:rPr>
        <w:t>Fuente de información:</w:t>
      </w:r>
    </w:p>
    <w:p w14:paraId="16C9F7DB" w14:textId="51068ADE" w:rsidR="002F01FC" w:rsidRPr="00247FB0" w:rsidRDefault="00241758" w:rsidP="002F01FC">
      <w:pPr>
        <w:ind w:right="-159"/>
        <w:rPr>
          <w:color w:val="0000FF"/>
          <w:sz w:val="26"/>
          <w:szCs w:val="26"/>
        </w:rPr>
      </w:pPr>
      <w:r w:rsidRPr="00247FB0">
        <w:rPr>
          <w:color w:val="0000FF"/>
          <w:sz w:val="20"/>
          <w:szCs w:val="20"/>
        </w:rPr>
        <w:t xml:space="preserve">Periódico </w:t>
      </w:r>
      <w:r w:rsidR="00097EFB" w:rsidRPr="00247FB0">
        <w:rPr>
          <w:color w:val="0000FF"/>
          <w:sz w:val="20"/>
          <w:szCs w:val="20"/>
        </w:rPr>
        <w:t>Reforma</w:t>
      </w:r>
      <w:r w:rsidR="002F01FC" w:rsidRPr="00247FB0">
        <w:rPr>
          <w:color w:val="0000FF"/>
          <w:sz w:val="20"/>
          <w:szCs w:val="20"/>
        </w:rPr>
        <w:t xml:space="preserve">, </w:t>
      </w:r>
      <w:r w:rsidR="005B763B" w:rsidRPr="00247FB0">
        <w:rPr>
          <w:color w:val="0000FF"/>
          <w:sz w:val="20"/>
          <w:szCs w:val="20"/>
        </w:rPr>
        <w:t>1</w:t>
      </w:r>
      <w:r w:rsidR="00770ED0" w:rsidRPr="00247FB0">
        <w:rPr>
          <w:color w:val="0000FF"/>
          <w:sz w:val="20"/>
          <w:szCs w:val="20"/>
        </w:rPr>
        <w:t>8</w:t>
      </w:r>
      <w:r w:rsidR="002F01FC" w:rsidRPr="00247FB0">
        <w:rPr>
          <w:color w:val="0000FF"/>
          <w:sz w:val="20"/>
          <w:szCs w:val="20"/>
        </w:rPr>
        <w:t xml:space="preserve"> de</w:t>
      </w:r>
      <w:r w:rsidR="00EA7FDB" w:rsidRPr="00247FB0">
        <w:rPr>
          <w:color w:val="0000FF"/>
          <w:sz w:val="20"/>
          <w:szCs w:val="20"/>
        </w:rPr>
        <w:t xml:space="preserve"> </w:t>
      </w:r>
      <w:r w:rsidR="00770ED0" w:rsidRPr="00247FB0">
        <w:rPr>
          <w:color w:val="0000FF"/>
          <w:sz w:val="20"/>
          <w:szCs w:val="20"/>
        </w:rPr>
        <w:t>marzo</w:t>
      </w:r>
      <w:r w:rsidR="002F01FC" w:rsidRPr="00247FB0">
        <w:rPr>
          <w:color w:val="0000FF"/>
          <w:sz w:val="20"/>
          <w:szCs w:val="20"/>
        </w:rPr>
        <w:t xml:space="preserve"> de 201</w:t>
      </w:r>
      <w:r w:rsidR="00E74EB3" w:rsidRPr="00247FB0">
        <w:rPr>
          <w:color w:val="0000FF"/>
          <w:sz w:val="20"/>
          <w:szCs w:val="20"/>
        </w:rPr>
        <w:t>5</w:t>
      </w:r>
      <w:r w:rsidR="002F01FC" w:rsidRPr="00247FB0">
        <w:rPr>
          <w:color w:val="0000FF"/>
          <w:sz w:val="20"/>
          <w:szCs w:val="20"/>
        </w:rPr>
        <w:t xml:space="preserve">. </w:t>
      </w:r>
      <w:r w:rsidR="00097EFB" w:rsidRPr="00247FB0">
        <w:rPr>
          <w:color w:val="0000FF"/>
          <w:sz w:val="20"/>
          <w:szCs w:val="20"/>
        </w:rPr>
        <w:t xml:space="preserve">Sección negocios, </w:t>
      </w:r>
      <w:r w:rsidR="002F01FC" w:rsidRPr="00247FB0">
        <w:rPr>
          <w:color w:val="0000FF"/>
          <w:sz w:val="20"/>
          <w:szCs w:val="20"/>
        </w:rPr>
        <w:t>México.</w:t>
      </w:r>
    </w:p>
    <w:p w14:paraId="7B68B15C" w14:textId="77777777" w:rsidR="00F8504C" w:rsidRDefault="00F8504C" w:rsidP="00C314BD">
      <w:pPr>
        <w:spacing w:after="360" w:line="360" w:lineRule="auto"/>
        <w:ind w:right="-159"/>
        <w:jc w:val="both"/>
        <w:rPr>
          <w:b/>
          <w:sz w:val="26"/>
          <w:szCs w:val="26"/>
        </w:rPr>
      </w:pPr>
    </w:p>
    <w:p w14:paraId="649D57EE" w14:textId="77777777" w:rsidR="000B0616" w:rsidRDefault="000B0616" w:rsidP="00C314BD">
      <w:pPr>
        <w:spacing w:after="360" w:line="360" w:lineRule="auto"/>
        <w:ind w:right="-159"/>
        <w:jc w:val="both"/>
        <w:rPr>
          <w:b/>
          <w:sz w:val="26"/>
          <w:szCs w:val="26"/>
        </w:rPr>
      </w:pPr>
    </w:p>
    <w:p w14:paraId="03433363" w14:textId="77777777" w:rsidR="000B0616" w:rsidRDefault="000B0616" w:rsidP="00C314BD">
      <w:pPr>
        <w:spacing w:after="360" w:line="360" w:lineRule="auto"/>
        <w:ind w:right="-159"/>
        <w:jc w:val="both"/>
        <w:rPr>
          <w:b/>
          <w:sz w:val="26"/>
          <w:szCs w:val="26"/>
        </w:rPr>
      </w:pPr>
    </w:p>
    <w:p w14:paraId="4E5BC228" w14:textId="77777777" w:rsidR="006E0901" w:rsidRPr="006E0901" w:rsidRDefault="006E0901" w:rsidP="006E0901">
      <w:pPr>
        <w:spacing w:after="360" w:line="360" w:lineRule="auto"/>
        <w:ind w:right="-159"/>
        <w:jc w:val="both"/>
        <w:rPr>
          <w:rFonts w:eastAsia="Calibri"/>
          <w:b/>
          <w:sz w:val="26"/>
          <w:szCs w:val="26"/>
          <w:lang w:eastAsia="en-US"/>
        </w:rPr>
      </w:pPr>
      <w:r w:rsidRPr="00CB7B3D">
        <w:rPr>
          <w:rFonts w:eastAsia="Calibri"/>
          <w:b/>
          <w:sz w:val="26"/>
          <w:szCs w:val="26"/>
          <w:lang w:eastAsia="en-US"/>
        </w:rPr>
        <w:lastRenderedPageBreak/>
        <w:t>El T</w:t>
      </w:r>
      <w:r w:rsidRPr="00F8504C">
        <w:rPr>
          <w:rFonts w:eastAsia="Calibri"/>
          <w:b/>
          <w:sz w:val="26"/>
          <w:szCs w:val="26"/>
          <w:lang w:eastAsia="en-US"/>
        </w:rPr>
        <w:t>rimestr</w:t>
      </w:r>
      <w:r w:rsidRPr="006E0901">
        <w:rPr>
          <w:rFonts w:eastAsia="Calibri"/>
          <w:b/>
          <w:i/>
          <w:sz w:val="26"/>
          <w:szCs w:val="26"/>
          <w:lang w:eastAsia="en-US"/>
        </w:rPr>
        <w:t>e</w:t>
      </w:r>
      <w:r w:rsidRPr="006E0901">
        <w:rPr>
          <w:rFonts w:eastAsia="Calibri"/>
          <w:b/>
          <w:sz w:val="26"/>
          <w:szCs w:val="26"/>
          <w:lang w:eastAsia="en-US"/>
        </w:rPr>
        <w:t>, un proyecto en transformación (Banxico)</w:t>
      </w:r>
    </w:p>
    <w:p w14:paraId="3134476F" w14:textId="77777777" w:rsidR="006E0901" w:rsidRPr="006E0901" w:rsidRDefault="006E0901" w:rsidP="006E0901">
      <w:pPr>
        <w:spacing w:after="360" w:line="360" w:lineRule="auto"/>
        <w:ind w:right="-159"/>
        <w:jc w:val="both"/>
        <w:rPr>
          <w:rFonts w:eastAsia="Calibri"/>
          <w:sz w:val="26"/>
          <w:szCs w:val="26"/>
          <w:lang w:eastAsia="en-US"/>
        </w:rPr>
      </w:pPr>
      <w:r w:rsidRPr="006E0901">
        <w:rPr>
          <w:rFonts w:eastAsia="Calibri"/>
          <w:sz w:val="26"/>
          <w:szCs w:val="26"/>
          <w:lang w:eastAsia="en-US"/>
        </w:rPr>
        <w:t>El 10 de marzo de 2015, el Banco de México publicó el discurso que ofreció el Subgobernador del Banco de México, Manuel Sánchez, en la presentación del libro “</w:t>
      </w:r>
      <w:r w:rsidRPr="006E0901">
        <w:rPr>
          <w:rFonts w:eastAsia="Calibri"/>
          <w:iCs/>
          <w:sz w:val="26"/>
          <w:szCs w:val="26"/>
          <w:lang w:eastAsia="en-US"/>
        </w:rPr>
        <w:t>Respuestas propias, 80 años del Trimestre”</w:t>
      </w:r>
      <w:r w:rsidRPr="006E0901">
        <w:rPr>
          <w:rFonts w:eastAsia="Calibri"/>
          <w:i/>
          <w:iCs/>
          <w:sz w:val="26"/>
          <w:szCs w:val="26"/>
          <w:lang w:eastAsia="en-US"/>
        </w:rPr>
        <w:t>.</w:t>
      </w:r>
      <w:r w:rsidRPr="006E0901">
        <w:rPr>
          <w:rFonts w:eastAsia="Calibri"/>
          <w:iCs/>
          <w:sz w:val="26"/>
          <w:szCs w:val="26"/>
          <w:lang w:eastAsia="en-US"/>
        </w:rPr>
        <w:t xml:space="preserve"> A continuación se presenta el discurso.</w:t>
      </w:r>
    </w:p>
    <w:p w14:paraId="3DA52B11" w14:textId="77777777" w:rsidR="006E0901" w:rsidRPr="006E0901" w:rsidRDefault="006E0901" w:rsidP="006E0901">
      <w:pPr>
        <w:spacing w:after="360" w:line="360" w:lineRule="auto"/>
        <w:ind w:right="-159"/>
        <w:jc w:val="both"/>
        <w:rPr>
          <w:rFonts w:eastAsia="Calibri"/>
          <w:sz w:val="26"/>
          <w:szCs w:val="26"/>
          <w:lang w:eastAsia="en-US"/>
        </w:rPr>
      </w:pPr>
      <w:r w:rsidRPr="006E0901">
        <w:rPr>
          <w:rFonts w:eastAsia="Calibri"/>
          <w:sz w:val="26"/>
          <w:szCs w:val="26"/>
          <w:lang w:eastAsia="en-US"/>
        </w:rPr>
        <w:t>El Subgobernador del Banco de México:</w:t>
      </w:r>
    </w:p>
    <w:p w14:paraId="0471F86E" w14:textId="77777777" w:rsidR="006E0901" w:rsidRPr="006E0901" w:rsidRDefault="006E0901" w:rsidP="006E0901">
      <w:pPr>
        <w:spacing w:after="360" w:line="360" w:lineRule="auto"/>
        <w:ind w:right="-159"/>
        <w:jc w:val="both"/>
        <w:rPr>
          <w:rFonts w:eastAsia="Calibri"/>
          <w:sz w:val="26"/>
          <w:szCs w:val="26"/>
          <w:lang w:eastAsia="en-US"/>
        </w:rPr>
      </w:pPr>
      <w:r w:rsidRPr="006E0901">
        <w:rPr>
          <w:rFonts w:eastAsia="Calibri"/>
          <w:sz w:val="26"/>
          <w:szCs w:val="26"/>
          <w:lang w:eastAsia="en-US"/>
        </w:rPr>
        <w:t>“Es un privilegio moderar la presentación de la antología “</w:t>
      </w:r>
      <w:r w:rsidRPr="006E0901">
        <w:rPr>
          <w:rFonts w:eastAsia="Calibri"/>
          <w:iCs/>
          <w:sz w:val="26"/>
          <w:szCs w:val="26"/>
          <w:lang w:eastAsia="en-US"/>
        </w:rPr>
        <w:t>Respuestas propias, 80 años del Trimestre</w:t>
      </w:r>
      <w:r w:rsidRPr="006E0901">
        <w:rPr>
          <w:rFonts w:eastAsia="Calibri"/>
          <w:i/>
          <w:iCs/>
          <w:sz w:val="26"/>
          <w:szCs w:val="26"/>
          <w:lang w:eastAsia="en-US"/>
        </w:rPr>
        <w:t xml:space="preserve">” </w:t>
      </w:r>
      <w:r w:rsidRPr="006E0901">
        <w:rPr>
          <w:rFonts w:eastAsia="Calibri"/>
          <w:sz w:val="26"/>
          <w:szCs w:val="26"/>
          <w:lang w:eastAsia="en-US"/>
        </w:rPr>
        <w:t>de Graciela Márquez y Gustavo Del Angel, pulcramente editada por el Fondo de Cultura Económica. Me complace compartir la mesa con los compiladores, a quienes felicito por su atinada selección e introducción, así como con mis colegas Carlos Bazdresch, Rodolfo de la Torre y Fausto Hernández, quienes en tiempos recientes han dirigido la revista y la han marcado con un perfil más moderno y riguroso.</w:t>
      </w:r>
    </w:p>
    <w:p w14:paraId="235451DB" w14:textId="77777777" w:rsidR="006E0901" w:rsidRPr="006E0901" w:rsidRDefault="006E0901" w:rsidP="006E0901">
      <w:pPr>
        <w:spacing w:after="360" w:line="360" w:lineRule="auto"/>
        <w:ind w:right="-159"/>
        <w:jc w:val="both"/>
        <w:rPr>
          <w:rFonts w:eastAsia="Calibri"/>
          <w:sz w:val="26"/>
          <w:szCs w:val="26"/>
          <w:lang w:eastAsia="en-US"/>
        </w:rPr>
      </w:pPr>
      <w:r w:rsidRPr="006E0901">
        <w:rPr>
          <w:rFonts w:eastAsia="Calibri"/>
          <w:iCs/>
          <w:sz w:val="26"/>
          <w:szCs w:val="26"/>
          <w:lang w:eastAsia="en-US"/>
        </w:rPr>
        <w:t>“El Trimestre Económico”</w:t>
      </w:r>
      <w:r w:rsidRPr="006E0901">
        <w:rPr>
          <w:rFonts w:eastAsia="Calibri"/>
          <w:i/>
          <w:iCs/>
          <w:sz w:val="26"/>
          <w:szCs w:val="26"/>
          <w:lang w:eastAsia="en-US"/>
        </w:rPr>
        <w:t xml:space="preserve"> </w:t>
      </w:r>
      <w:r w:rsidRPr="006E0901">
        <w:rPr>
          <w:rFonts w:eastAsia="Calibri"/>
          <w:sz w:val="26"/>
          <w:szCs w:val="26"/>
          <w:lang w:eastAsia="en-US"/>
        </w:rPr>
        <w:t>se fundó en 1934 y, aunque es una de las revistas científicas más longevas en español, mantiene una gran vigencia. La revista fue concebida para difundir las novedades del conocimiento económico y discutir los principales tópicos de la economía mundial y mexicana.</w:t>
      </w:r>
    </w:p>
    <w:p w14:paraId="74D4F361" w14:textId="77777777" w:rsidR="006E0901" w:rsidRPr="006E0901" w:rsidRDefault="006E0901" w:rsidP="006E0901">
      <w:pPr>
        <w:spacing w:after="360" w:line="360" w:lineRule="auto"/>
        <w:ind w:right="-159"/>
        <w:jc w:val="both"/>
        <w:rPr>
          <w:rFonts w:eastAsia="Calibri"/>
          <w:sz w:val="26"/>
          <w:szCs w:val="26"/>
          <w:lang w:eastAsia="en-US"/>
        </w:rPr>
      </w:pPr>
      <w:r w:rsidRPr="006E0901">
        <w:rPr>
          <w:rFonts w:eastAsia="Calibri"/>
          <w:sz w:val="26"/>
          <w:szCs w:val="26"/>
          <w:lang w:eastAsia="en-US"/>
        </w:rPr>
        <w:t>Esta antología conmemorativa reúne diez textos representativos de la historia de la revista. Desde mi lectura, yo agruparía los artículos en cuatro dimensiones, o etapas, que utilizaré para organizar mis comentarios.</w:t>
      </w:r>
    </w:p>
    <w:p w14:paraId="2889D29E" w14:textId="77777777" w:rsidR="006E0901" w:rsidRPr="006E0901" w:rsidRDefault="006E0901" w:rsidP="006E0901">
      <w:pPr>
        <w:spacing w:after="360" w:line="360" w:lineRule="auto"/>
        <w:ind w:right="-159"/>
        <w:jc w:val="both"/>
        <w:rPr>
          <w:rFonts w:eastAsia="Calibri"/>
          <w:sz w:val="26"/>
          <w:szCs w:val="26"/>
          <w:lang w:eastAsia="en-US"/>
        </w:rPr>
      </w:pPr>
      <w:r w:rsidRPr="006E0901">
        <w:rPr>
          <w:rFonts w:eastAsia="Calibri"/>
          <w:b/>
          <w:bCs/>
          <w:iCs/>
          <w:sz w:val="26"/>
          <w:szCs w:val="26"/>
          <w:lang w:eastAsia="en-US"/>
        </w:rPr>
        <w:t>“El Trimestre Económico”</w:t>
      </w:r>
      <w:r w:rsidRPr="006E0901">
        <w:rPr>
          <w:rFonts w:eastAsia="Calibri"/>
          <w:b/>
          <w:bCs/>
          <w:i/>
          <w:iCs/>
          <w:sz w:val="26"/>
          <w:szCs w:val="26"/>
          <w:lang w:eastAsia="en-US"/>
        </w:rPr>
        <w:t xml:space="preserve"> </w:t>
      </w:r>
      <w:r w:rsidRPr="006E0901">
        <w:rPr>
          <w:rFonts w:eastAsia="Calibri"/>
          <w:b/>
          <w:bCs/>
          <w:sz w:val="26"/>
          <w:szCs w:val="26"/>
          <w:lang w:eastAsia="en-US"/>
        </w:rPr>
        <w:t>sin economistas</w:t>
      </w:r>
    </w:p>
    <w:p w14:paraId="4A61ACF9" w14:textId="77777777" w:rsidR="006E0901" w:rsidRPr="006E0901" w:rsidRDefault="006E0901" w:rsidP="006E0901">
      <w:pPr>
        <w:spacing w:after="360" w:line="360" w:lineRule="auto"/>
        <w:ind w:right="-159"/>
        <w:jc w:val="both"/>
        <w:rPr>
          <w:rFonts w:eastAsia="Calibri"/>
          <w:sz w:val="26"/>
          <w:szCs w:val="26"/>
          <w:lang w:eastAsia="en-US"/>
        </w:rPr>
      </w:pPr>
      <w:r w:rsidRPr="006E0901">
        <w:rPr>
          <w:rFonts w:eastAsia="Calibri"/>
          <w:sz w:val="26"/>
          <w:szCs w:val="26"/>
          <w:lang w:eastAsia="en-US"/>
        </w:rPr>
        <w:t>Permítanme referirme a la primera época como “</w:t>
      </w:r>
      <w:r w:rsidRPr="006E0901">
        <w:rPr>
          <w:rFonts w:eastAsia="Calibri"/>
          <w:iCs/>
          <w:sz w:val="26"/>
          <w:szCs w:val="26"/>
          <w:lang w:eastAsia="en-US"/>
        </w:rPr>
        <w:t>El Trimestre Económico”</w:t>
      </w:r>
      <w:r w:rsidRPr="006E0901">
        <w:rPr>
          <w:rFonts w:eastAsia="Calibri"/>
          <w:i/>
          <w:iCs/>
          <w:sz w:val="26"/>
          <w:szCs w:val="26"/>
          <w:lang w:eastAsia="en-US"/>
        </w:rPr>
        <w:t xml:space="preserve"> </w:t>
      </w:r>
      <w:r w:rsidRPr="006E0901">
        <w:rPr>
          <w:rFonts w:eastAsia="Calibri"/>
          <w:sz w:val="26"/>
          <w:szCs w:val="26"/>
          <w:lang w:eastAsia="en-US"/>
        </w:rPr>
        <w:t xml:space="preserve">sin economistas, ya que entonces pocos autores latinoamericanos contaban con formación académica en economía. De hecho, los fundadores de la revista fueron un abogado, Daniel Cosío Villegas, y un ingeniero, Eduardo Villaseñor. Debo decir, sin embargo, </w:t>
      </w:r>
      <w:r w:rsidRPr="006E0901">
        <w:rPr>
          <w:rFonts w:eastAsia="Calibri"/>
          <w:sz w:val="26"/>
          <w:szCs w:val="26"/>
          <w:lang w:eastAsia="en-US"/>
        </w:rPr>
        <w:lastRenderedPageBreak/>
        <w:t>que esta ausencia de conocimiento económico formal no necesariamente constituía una desventaja, pues los autores suplían su falta de herramientas técnicas con intuición y sentido común.</w:t>
      </w:r>
    </w:p>
    <w:p w14:paraId="2035A16E" w14:textId="77777777" w:rsidR="006E0901" w:rsidRPr="006E0901" w:rsidRDefault="006E0901" w:rsidP="006E0901">
      <w:pPr>
        <w:spacing w:after="360" w:line="360" w:lineRule="auto"/>
        <w:ind w:right="-159"/>
        <w:jc w:val="both"/>
        <w:rPr>
          <w:rFonts w:eastAsia="Calibri"/>
          <w:sz w:val="26"/>
          <w:szCs w:val="26"/>
          <w:lang w:eastAsia="en-US"/>
        </w:rPr>
      </w:pPr>
      <w:r w:rsidRPr="006E0901">
        <w:rPr>
          <w:rFonts w:eastAsia="Calibri"/>
          <w:sz w:val="26"/>
          <w:szCs w:val="26"/>
          <w:lang w:eastAsia="en-US"/>
        </w:rPr>
        <w:t>Por ejemplo, resulta fascinante el ensayo de Cosío Villegas que busca desmitificar la idea de que México es un país opulento en recursos naturales. Si bien su noción de riqueza no corresponde a la postulada casi dos siglos atrás por Adam Smith y mezcla conceptos disímbolos y un tanto anacrónicos aun para su época, el autor acierta en cuestionar un extendido estereotipo. Además, con gracia polémica, presume de no ser economista y bromea sobre algunas actitudes y explicaciones del gremio.</w:t>
      </w:r>
    </w:p>
    <w:p w14:paraId="447EABB0" w14:textId="77777777" w:rsidR="006E0901" w:rsidRPr="006E0901" w:rsidRDefault="006E0901" w:rsidP="006E0901">
      <w:pPr>
        <w:spacing w:after="360" w:line="360" w:lineRule="auto"/>
        <w:ind w:right="-159"/>
        <w:jc w:val="both"/>
        <w:rPr>
          <w:rFonts w:eastAsia="Calibri"/>
          <w:sz w:val="26"/>
          <w:szCs w:val="26"/>
          <w:lang w:eastAsia="en-US"/>
        </w:rPr>
      </w:pPr>
      <w:r w:rsidRPr="006E0901">
        <w:rPr>
          <w:rFonts w:eastAsia="Calibri"/>
          <w:sz w:val="26"/>
          <w:szCs w:val="26"/>
          <w:lang w:eastAsia="en-US"/>
        </w:rPr>
        <w:t>Otro artículo muy constructivo es de Eduardo Villaseñor, quien habla del papel de la banca en la expansión económica, de sus funciones complementarias con el Estado y de la evolución de esta actividad en México hasta la mitad del siglo pasado. Acorde con el clima de las ideas de su época, Villaseñor otorgaba un protagonismo fundamental al Estado, defendía el programa de obras públicas y llamaba a coordinar la inversión pública y privada.</w:t>
      </w:r>
    </w:p>
    <w:p w14:paraId="4A8D57A7" w14:textId="77777777" w:rsidR="006E0901" w:rsidRPr="006E0901" w:rsidRDefault="006E0901" w:rsidP="006E0901">
      <w:pPr>
        <w:spacing w:after="360" w:line="360" w:lineRule="auto"/>
        <w:ind w:right="-159"/>
        <w:jc w:val="both"/>
        <w:rPr>
          <w:rFonts w:eastAsia="Calibri"/>
          <w:sz w:val="26"/>
          <w:szCs w:val="26"/>
          <w:lang w:eastAsia="en-US"/>
        </w:rPr>
      </w:pPr>
      <w:r w:rsidRPr="006E0901">
        <w:rPr>
          <w:rFonts w:eastAsia="Calibri"/>
          <w:sz w:val="26"/>
          <w:szCs w:val="26"/>
          <w:lang w:eastAsia="en-US"/>
        </w:rPr>
        <w:t>Sin embargo, reconocía que la condición fundamental del desarrollo era la estabilidad monetaria y advertía sobre los peligros y, al final, la inviabilidad de un crecimiento inflacionario. El sentido común de Villaseñor es premonitorio y sus afirmaciones sobre la estabilidad han sido corroboradas en la práctica, y son parte de los postulados fundamentales de la banca central moderna.</w:t>
      </w:r>
    </w:p>
    <w:p w14:paraId="2B687DE8" w14:textId="77777777" w:rsidR="006E0901" w:rsidRDefault="006E0901" w:rsidP="006E0901">
      <w:pPr>
        <w:spacing w:after="360" w:line="360" w:lineRule="auto"/>
        <w:ind w:right="-159"/>
        <w:jc w:val="both"/>
        <w:rPr>
          <w:rFonts w:eastAsia="Calibri"/>
          <w:sz w:val="26"/>
          <w:szCs w:val="26"/>
          <w:lang w:eastAsia="en-US"/>
        </w:rPr>
      </w:pPr>
      <w:r w:rsidRPr="006E0901">
        <w:rPr>
          <w:rFonts w:eastAsia="Calibri"/>
          <w:sz w:val="26"/>
          <w:szCs w:val="26"/>
          <w:lang w:eastAsia="en-US"/>
        </w:rPr>
        <w:t>En ambos artículos, no hay una teoría compleja, ni un aparato especializado. Sin embargo, puede apreciarse un prudente y pragmático eclecticismo, característico de aquellas generaciones de autores que se formaron en la economía, más que estudiándola, intuyéndola y ejerciéndola en situaciones prácticas.</w:t>
      </w:r>
    </w:p>
    <w:p w14:paraId="4416FBFC" w14:textId="77777777" w:rsidR="000B0616" w:rsidRPr="006E0901" w:rsidRDefault="000B0616" w:rsidP="006E0901">
      <w:pPr>
        <w:spacing w:after="360" w:line="360" w:lineRule="auto"/>
        <w:ind w:right="-159"/>
        <w:jc w:val="both"/>
        <w:rPr>
          <w:rFonts w:eastAsia="Calibri"/>
          <w:sz w:val="26"/>
          <w:szCs w:val="26"/>
          <w:lang w:eastAsia="en-US"/>
        </w:rPr>
      </w:pPr>
    </w:p>
    <w:p w14:paraId="62B2F7C2" w14:textId="77777777" w:rsidR="006E0901" w:rsidRPr="006E0901" w:rsidRDefault="006E0901" w:rsidP="006E0901">
      <w:pPr>
        <w:spacing w:after="360" w:line="360" w:lineRule="auto"/>
        <w:ind w:right="-159"/>
        <w:jc w:val="both"/>
        <w:rPr>
          <w:rFonts w:eastAsia="Calibri"/>
          <w:sz w:val="26"/>
          <w:szCs w:val="26"/>
          <w:lang w:eastAsia="en-US"/>
        </w:rPr>
      </w:pPr>
      <w:r w:rsidRPr="006E0901">
        <w:rPr>
          <w:rFonts w:eastAsia="Calibri"/>
          <w:b/>
          <w:bCs/>
          <w:sz w:val="26"/>
          <w:szCs w:val="26"/>
          <w:lang w:eastAsia="en-US"/>
        </w:rPr>
        <w:lastRenderedPageBreak/>
        <w:t>Las visiones totalizadoras desde el subdesarrollo</w:t>
      </w:r>
    </w:p>
    <w:p w14:paraId="06D7BC73" w14:textId="77777777" w:rsidR="006E0901" w:rsidRPr="006E0901" w:rsidRDefault="006E0901" w:rsidP="006E0901">
      <w:pPr>
        <w:spacing w:after="360" w:line="360" w:lineRule="auto"/>
        <w:ind w:right="-159"/>
        <w:jc w:val="both"/>
        <w:rPr>
          <w:rFonts w:eastAsia="Calibri"/>
          <w:sz w:val="26"/>
          <w:szCs w:val="26"/>
          <w:lang w:eastAsia="en-US"/>
        </w:rPr>
      </w:pPr>
      <w:r w:rsidRPr="006E0901">
        <w:rPr>
          <w:rFonts w:eastAsia="Calibri"/>
          <w:sz w:val="26"/>
          <w:szCs w:val="26"/>
          <w:lang w:eastAsia="en-US"/>
        </w:rPr>
        <w:t>La segunda clase de textos de la antología es la que yo identifico como las visiones totalizadoras desde el subdesarrollo, las cuales comenzaron a proliferar hacia la década de los (años) cincuenta. El artículo de Raúl Prebisch es un ejemplo de esta tendencia y constituye una pieza germinal del paradigma económico de la CEPAL. Dicho modelo partía de una premisa sencilla: los términos de intercambio entre los productos primarios que exportaban los países en desarrollo, y los bienes industrializados que recibían de los países avanzados, eran invariablemente injustos, por lo que el remedio consistía en promover una industrialización sustitutiva.</w:t>
      </w:r>
    </w:p>
    <w:p w14:paraId="1D653BA1" w14:textId="77777777" w:rsidR="006E0901" w:rsidRPr="006E0901" w:rsidRDefault="006E0901" w:rsidP="006E0901">
      <w:pPr>
        <w:spacing w:after="360" w:line="360" w:lineRule="auto"/>
        <w:ind w:right="-159"/>
        <w:jc w:val="both"/>
        <w:rPr>
          <w:rFonts w:eastAsia="Calibri"/>
          <w:sz w:val="26"/>
          <w:szCs w:val="26"/>
          <w:lang w:eastAsia="en-US"/>
        </w:rPr>
      </w:pPr>
      <w:r w:rsidRPr="006E0901">
        <w:rPr>
          <w:rFonts w:eastAsia="Calibri"/>
          <w:sz w:val="26"/>
          <w:szCs w:val="26"/>
          <w:lang w:eastAsia="en-US"/>
        </w:rPr>
        <w:t>Prebisch consideraba que una de las fallas de la teoría económica general era su “falso sentido de universalidad” y abogaba por hacer una teoría para los países de la periferia, distinta que la aplicable para los del centro. En una visión estática de distribución de las rentas, señalaba que, dados los términos asimétricos de intercambio, los grandes centros industriales eran los ganadores permanentes en perjuicio de los subdesarrollados, en lo que ahora podría llamarse un juego suma cero.</w:t>
      </w:r>
    </w:p>
    <w:p w14:paraId="4FAD5DA3" w14:textId="77777777" w:rsidR="006E0901" w:rsidRPr="006E0901" w:rsidRDefault="006E0901" w:rsidP="006E0901">
      <w:pPr>
        <w:spacing w:after="360" w:line="360" w:lineRule="auto"/>
        <w:ind w:right="-159"/>
        <w:jc w:val="both"/>
        <w:rPr>
          <w:rFonts w:eastAsia="Calibri"/>
          <w:sz w:val="26"/>
          <w:szCs w:val="26"/>
          <w:lang w:eastAsia="en-US"/>
        </w:rPr>
      </w:pPr>
      <w:r w:rsidRPr="006E0901">
        <w:rPr>
          <w:rFonts w:eastAsia="Calibri"/>
          <w:sz w:val="26"/>
          <w:szCs w:val="26"/>
          <w:lang w:eastAsia="en-US"/>
        </w:rPr>
        <w:t>Estas premisas se hicieron sumamente influyentes en las políticas públicas de la época en varios países, que incorporaron tratamientos preferenciales para ciertos segmentos de la población. Si bien puede decirse que estas medidas estimularon una industrialización muy dependiente de la protección y los subsidios, a cambio, introdujeron distorsiones e inhibieron el aprovechamiento del comercio internacional, limitando la productividad y perjudicando a los consumidores.</w:t>
      </w:r>
    </w:p>
    <w:p w14:paraId="48EE215D" w14:textId="77777777" w:rsidR="006E0901" w:rsidRPr="006E0901" w:rsidRDefault="006E0901" w:rsidP="006E0901">
      <w:pPr>
        <w:spacing w:after="360" w:line="360" w:lineRule="auto"/>
        <w:ind w:right="-159"/>
        <w:jc w:val="both"/>
        <w:rPr>
          <w:rFonts w:eastAsia="Calibri"/>
          <w:sz w:val="26"/>
          <w:szCs w:val="26"/>
          <w:lang w:eastAsia="en-US"/>
        </w:rPr>
      </w:pPr>
      <w:r w:rsidRPr="006E0901">
        <w:rPr>
          <w:rFonts w:eastAsia="Calibri"/>
          <w:sz w:val="26"/>
          <w:szCs w:val="26"/>
          <w:lang w:eastAsia="en-US"/>
        </w:rPr>
        <w:t xml:space="preserve">Otro economista influyente dentro de esta tendencia fue W. Arthur Lewis que propuso una teoría del desarrollo económico basado en la oferta ilimitada de la mano de obra. Creía que en los países en desarrollo la productividad marginal del trabajo era despreciable, cero o inclusive negativa. Postulaba que los mercados mejorarían con la </w:t>
      </w:r>
      <w:r w:rsidRPr="006E0901">
        <w:rPr>
          <w:rFonts w:eastAsia="Calibri"/>
          <w:sz w:val="26"/>
          <w:szCs w:val="26"/>
          <w:lang w:eastAsia="en-US"/>
        </w:rPr>
        <w:lastRenderedPageBreak/>
        <w:t>desaparición de puestos o tendajones ya que, según él, los consumidores saldrían ganando al desaparecer los márgenes de este tipo de ventas.</w:t>
      </w:r>
    </w:p>
    <w:p w14:paraId="7282BCE1" w14:textId="77777777" w:rsidR="006E0901" w:rsidRPr="006E0901" w:rsidRDefault="006E0901" w:rsidP="006E0901">
      <w:pPr>
        <w:spacing w:after="360" w:line="360" w:lineRule="auto"/>
        <w:ind w:right="-159"/>
        <w:jc w:val="both"/>
        <w:rPr>
          <w:rFonts w:eastAsia="Calibri"/>
          <w:sz w:val="26"/>
          <w:szCs w:val="26"/>
          <w:lang w:eastAsia="en-US"/>
        </w:rPr>
      </w:pPr>
      <w:r w:rsidRPr="006E0901">
        <w:rPr>
          <w:rFonts w:eastAsia="Calibri"/>
          <w:sz w:val="26"/>
          <w:szCs w:val="26"/>
          <w:lang w:eastAsia="en-US"/>
        </w:rPr>
        <w:t>Este autor pensaba que los países “imperialistas” invertían capital, pero lograban mantener bajos los salarios, gracias a que el excedente de población permitía disponer de mano de obra con un ingreso de subsistencia. En su intento de formalizar su suposición, Lewis llegaba a incurrir en reduccionismos al pensar que intrínsecamente el rico tiene distintos incentivos que el pobre, o al prescribir como receta para el desarrollo, la mera inversión en capital físico, ignorando otras fuentes fundamentales del crecimiento, como la creación del capital humano y el marco institucional.</w:t>
      </w:r>
    </w:p>
    <w:p w14:paraId="1C950A9D" w14:textId="77777777" w:rsidR="006E0901" w:rsidRPr="006E0901" w:rsidRDefault="006E0901" w:rsidP="006E0901">
      <w:pPr>
        <w:spacing w:after="360" w:line="360" w:lineRule="auto"/>
        <w:ind w:right="-159"/>
        <w:jc w:val="both"/>
        <w:rPr>
          <w:rFonts w:eastAsia="Calibri"/>
          <w:sz w:val="26"/>
          <w:szCs w:val="26"/>
          <w:lang w:eastAsia="en-US"/>
        </w:rPr>
      </w:pPr>
      <w:r w:rsidRPr="006E0901">
        <w:rPr>
          <w:rFonts w:eastAsia="Calibri"/>
          <w:sz w:val="26"/>
          <w:szCs w:val="26"/>
          <w:lang w:eastAsia="en-US"/>
        </w:rPr>
        <w:t>Acorde con el prestigio en ese entonces de la planificación y la intervención estatal, estos modelos concebían la economía como una suerte de ingeniería social mediante la cual un planificador clarividente podría tomar las decisiones que corresponden al individuo. Ya con la ventaja de la retrospectiva, es posible afirmar que estos modelos maximalistas, con una noción de excepcionalidad y con un fuerte componente intervencionista, condujeron a errores de diagnóstico económico y de diseño de políticas.</w:t>
      </w:r>
    </w:p>
    <w:p w14:paraId="1CC4DAB7" w14:textId="77777777" w:rsidR="006E0901" w:rsidRPr="006E0901" w:rsidRDefault="006E0901" w:rsidP="006E0901">
      <w:pPr>
        <w:spacing w:after="360" w:line="360" w:lineRule="auto"/>
        <w:ind w:right="-159"/>
        <w:jc w:val="both"/>
        <w:rPr>
          <w:rFonts w:eastAsia="Calibri"/>
          <w:sz w:val="26"/>
          <w:szCs w:val="26"/>
          <w:lang w:eastAsia="en-US"/>
        </w:rPr>
      </w:pPr>
      <w:r w:rsidRPr="006E0901">
        <w:rPr>
          <w:rFonts w:eastAsia="Calibri"/>
          <w:b/>
          <w:bCs/>
          <w:sz w:val="26"/>
          <w:szCs w:val="26"/>
          <w:lang w:eastAsia="en-US"/>
        </w:rPr>
        <w:t>Los anteojos del historiador</w:t>
      </w:r>
    </w:p>
    <w:p w14:paraId="4707625E" w14:textId="77777777" w:rsidR="006E0901" w:rsidRPr="006E0901" w:rsidRDefault="006E0901" w:rsidP="006E0901">
      <w:pPr>
        <w:spacing w:after="360" w:line="360" w:lineRule="auto"/>
        <w:ind w:right="-159"/>
        <w:jc w:val="both"/>
        <w:rPr>
          <w:rFonts w:eastAsia="Calibri"/>
          <w:sz w:val="26"/>
          <w:szCs w:val="26"/>
          <w:lang w:eastAsia="en-US"/>
        </w:rPr>
      </w:pPr>
      <w:r w:rsidRPr="006E0901">
        <w:rPr>
          <w:rFonts w:eastAsia="Calibri"/>
          <w:sz w:val="26"/>
          <w:szCs w:val="26"/>
          <w:lang w:eastAsia="en-US"/>
        </w:rPr>
        <w:t xml:space="preserve">Una tercera dimensión de los textos seleccionados por Graciela y Gustavo la llamo los anteojos del historiador. Fernando Rosenzweig, documenta el crecimiento económico durante el Porfiriato, cuyo promedio anual, si bien claramente superior al de las décadas anteriores, no se antoja tan alto, ni tan milagroso, pues apenas supera el uno por ciento por habitante. El autor señala que, gracias a un clima propicio para la inversión, el capital extranjero y las exportaciones posibilitaron adquirir bienes de capital del exterior, al tiempo que el desarrollo de los ferrocarriles permitió una progresiva extensión de la economía de mercado. Este estudio, además de iluminar una etapa tan </w:t>
      </w:r>
      <w:r w:rsidRPr="006E0901">
        <w:rPr>
          <w:rFonts w:eastAsia="Calibri"/>
          <w:sz w:val="26"/>
          <w:szCs w:val="26"/>
          <w:lang w:eastAsia="en-US"/>
        </w:rPr>
        <w:lastRenderedPageBreak/>
        <w:t>importante como controvertida en el imaginario nacional, permite inferir algunas condiciones generales tendientes al desarrollo.</w:t>
      </w:r>
    </w:p>
    <w:p w14:paraId="0155795C" w14:textId="77777777" w:rsidR="006E0901" w:rsidRPr="006E0901" w:rsidRDefault="006E0901" w:rsidP="006E0901">
      <w:pPr>
        <w:spacing w:after="360" w:line="360" w:lineRule="auto"/>
        <w:ind w:right="-159"/>
        <w:jc w:val="both"/>
        <w:rPr>
          <w:rFonts w:eastAsia="Calibri"/>
          <w:sz w:val="26"/>
          <w:szCs w:val="26"/>
          <w:lang w:eastAsia="en-US"/>
        </w:rPr>
      </w:pPr>
      <w:r w:rsidRPr="006E0901">
        <w:rPr>
          <w:rFonts w:eastAsia="Calibri"/>
          <w:sz w:val="26"/>
          <w:szCs w:val="26"/>
          <w:lang w:eastAsia="en-US"/>
        </w:rPr>
        <w:t>Por su parte, Clark W. Reynolds, en un documento de coyuntura para el Congreso de Estados Unidos de Norteamérica, hace un recuento histórico del “desarrollo estabilizador”, que él califica como desestabilizador. Reynolds clasifica las políticas económicas de esa etapa como conservadoras porque, en su opinión, favorecían principalmente a ciertos segmentos del sector privado.</w:t>
      </w:r>
    </w:p>
    <w:p w14:paraId="471D5D4B" w14:textId="77777777" w:rsidR="006E0901" w:rsidRPr="006E0901" w:rsidRDefault="006E0901" w:rsidP="006E0901">
      <w:pPr>
        <w:spacing w:after="360" w:line="360" w:lineRule="auto"/>
        <w:ind w:right="-159"/>
        <w:jc w:val="both"/>
        <w:rPr>
          <w:rFonts w:eastAsia="Calibri"/>
          <w:sz w:val="26"/>
          <w:szCs w:val="26"/>
          <w:lang w:eastAsia="en-US"/>
        </w:rPr>
      </w:pPr>
      <w:r w:rsidRPr="006E0901">
        <w:rPr>
          <w:rFonts w:eastAsia="Calibri"/>
          <w:sz w:val="26"/>
          <w:szCs w:val="26"/>
          <w:lang w:eastAsia="en-US"/>
        </w:rPr>
        <w:t>Si bien reconoce que durante esa etapa se extendieron los beneficios de la seguridad social y se promocionó el ahorro mediante tasa de interés reales elevadas, se queja de que el país careciera de un marco de planeación de largo plazo y de que la triplicación del ingreso per cápita no se haya distribuido mejor. Además, sugiere que en esa etapa se empezaron a incubar los desequilibrios que precipitaron la crisis de los setenta, al haberse diferido reformas fundamentales como la fiscal y al mantenerse un tipo de cambio fijo.</w:t>
      </w:r>
    </w:p>
    <w:p w14:paraId="4C90D9CB" w14:textId="77777777" w:rsidR="006E0901" w:rsidRPr="006E0901" w:rsidRDefault="006E0901" w:rsidP="006E0901">
      <w:pPr>
        <w:spacing w:after="360" w:line="360" w:lineRule="auto"/>
        <w:ind w:right="-159"/>
        <w:jc w:val="both"/>
        <w:rPr>
          <w:rFonts w:eastAsia="Calibri"/>
          <w:sz w:val="26"/>
          <w:szCs w:val="26"/>
          <w:lang w:eastAsia="en-US"/>
        </w:rPr>
      </w:pPr>
      <w:r w:rsidRPr="006E0901">
        <w:rPr>
          <w:rFonts w:eastAsia="Calibri"/>
          <w:b/>
          <w:bCs/>
          <w:sz w:val="26"/>
          <w:szCs w:val="26"/>
          <w:lang w:eastAsia="en-US"/>
        </w:rPr>
        <w:t>La reconciliación con las corrientes globales</w:t>
      </w:r>
    </w:p>
    <w:p w14:paraId="6C0013FD" w14:textId="77777777" w:rsidR="006E0901" w:rsidRPr="006E0901" w:rsidRDefault="006E0901" w:rsidP="006E0901">
      <w:pPr>
        <w:spacing w:after="360" w:line="360" w:lineRule="auto"/>
        <w:ind w:right="-159"/>
        <w:jc w:val="both"/>
        <w:rPr>
          <w:rFonts w:eastAsia="Calibri"/>
          <w:sz w:val="26"/>
          <w:szCs w:val="26"/>
          <w:lang w:eastAsia="en-US"/>
        </w:rPr>
      </w:pPr>
      <w:r w:rsidRPr="006E0901">
        <w:rPr>
          <w:rFonts w:eastAsia="Calibri"/>
          <w:sz w:val="26"/>
          <w:szCs w:val="26"/>
          <w:lang w:eastAsia="en-US"/>
        </w:rPr>
        <w:t>La cuarta y última dimensión, que denomino la reconciliación con las corrientes globales, comienza desde mediados de los (años) ochenta, con la llegada de Carlos Bazdresch como director, quien impulsa un cambio hacia una actualización profesional y a un mayor rigor académico. Este loable impulso ha sido continuado por Rodolfo de la Torre y Fausto Hernández.</w:t>
      </w:r>
    </w:p>
    <w:p w14:paraId="5A0BC98B" w14:textId="77777777" w:rsidR="006E0901" w:rsidRPr="006E0901" w:rsidRDefault="006E0901" w:rsidP="006E0901">
      <w:pPr>
        <w:spacing w:after="360" w:line="360" w:lineRule="auto"/>
        <w:ind w:right="-159"/>
        <w:jc w:val="both"/>
        <w:rPr>
          <w:rFonts w:eastAsia="Calibri"/>
          <w:sz w:val="26"/>
          <w:szCs w:val="26"/>
          <w:lang w:eastAsia="en-US"/>
        </w:rPr>
      </w:pPr>
      <w:r w:rsidRPr="006E0901">
        <w:rPr>
          <w:rFonts w:eastAsia="Calibri"/>
          <w:sz w:val="26"/>
          <w:szCs w:val="26"/>
          <w:lang w:eastAsia="en-US"/>
        </w:rPr>
        <w:t xml:space="preserve">A esta etapa pertenece el artículo de Santiago Levy, que aborda un tema muy en boga en los años ochenta, cuando las economías latinoamericanas enfrentaban una perentoria y onerosa deuda externa. Rechazando la devaluación como remedio, Levy se pregunta si los subsidios a las exportaciones aumentan la balanza comercial a un menor costo </w:t>
      </w:r>
      <w:r w:rsidRPr="006E0901">
        <w:rPr>
          <w:rFonts w:eastAsia="Calibri"/>
          <w:sz w:val="26"/>
          <w:szCs w:val="26"/>
          <w:lang w:eastAsia="en-US"/>
        </w:rPr>
        <w:lastRenderedPageBreak/>
        <w:t>para el país y concluye que sí, aunque reconoce que deben pagarse con la reducción del gasto público o el incremento de los impuestos, aspectos en los que no profundiza.</w:t>
      </w:r>
    </w:p>
    <w:p w14:paraId="113FC46C" w14:textId="77777777" w:rsidR="006E0901" w:rsidRPr="006E0901" w:rsidRDefault="006E0901" w:rsidP="006E0901">
      <w:pPr>
        <w:spacing w:after="360" w:line="360" w:lineRule="auto"/>
        <w:ind w:right="-159"/>
        <w:jc w:val="both"/>
        <w:rPr>
          <w:rFonts w:eastAsia="Calibri"/>
          <w:sz w:val="26"/>
          <w:szCs w:val="26"/>
          <w:lang w:eastAsia="en-US"/>
        </w:rPr>
      </w:pPr>
      <w:r w:rsidRPr="006E0901">
        <w:rPr>
          <w:rFonts w:eastAsia="Calibri"/>
          <w:sz w:val="26"/>
          <w:szCs w:val="26"/>
          <w:lang w:eastAsia="en-US"/>
        </w:rPr>
        <w:t>Los tres artículos restantes de la colección representan más nítidamente el viraje a la reconciliación con las corrientes globales y son, probablemente, los de mayor nivel técnico y utilidad práctica. La discusión sobre el perfeccionamiento en el diseño de los mercados de Alvin Roth es sumamente interesante. El autor comparte ciertas lecciones sobre transacciones especiales en las cuales puede no haber suficiente densidad o se sufre del problema de congestión.</w:t>
      </w:r>
    </w:p>
    <w:p w14:paraId="565F1E6D" w14:textId="77777777" w:rsidR="006E0901" w:rsidRPr="006E0901" w:rsidRDefault="006E0901" w:rsidP="006E0901">
      <w:pPr>
        <w:spacing w:after="360" w:line="360" w:lineRule="auto"/>
        <w:ind w:right="-159"/>
        <w:jc w:val="both"/>
        <w:rPr>
          <w:rFonts w:eastAsia="Calibri"/>
          <w:sz w:val="26"/>
          <w:szCs w:val="26"/>
          <w:lang w:eastAsia="en-US"/>
        </w:rPr>
      </w:pPr>
      <w:r w:rsidRPr="006E0901">
        <w:rPr>
          <w:rFonts w:eastAsia="Calibri"/>
          <w:sz w:val="26"/>
          <w:szCs w:val="26"/>
          <w:lang w:eastAsia="en-US"/>
        </w:rPr>
        <w:t>En particular, analiza algunos estudios de caso en Estados Unidos de Norteamérica sobre los mercados de los médicos recién egresados, el intercambio de donantes de riñón, la elección de escuela, el mercado de gastroenterólogos, y el de los economistas recién egresados. Es un enfoque propositivo y novedoso de cómo fortalecer determinados mercados que operan en condiciones especiales.</w:t>
      </w:r>
    </w:p>
    <w:p w14:paraId="1A1F2879" w14:textId="77777777" w:rsidR="006E0901" w:rsidRPr="006E0901" w:rsidRDefault="006E0901" w:rsidP="006E0901">
      <w:pPr>
        <w:spacing w:after="360" w:line="360" w:lineRule="auto"/>
        <w:ind w:right="-159"/>
        <w:jc w:val="both"/>
        <w:rPr>
          <w:rFonts w:eastAsia="Calibri"/>
          <w:sz w:val="26"/>
          <w:szCs w:val="26"/>
          <w:lang w:eastAsia="en-US"/>
        </w:rPr>
      </w:pPr>
      <w:r w:rsidRPr="006E0901">
        <w:rPr>
          <w:rFonts w:eastAsia="Calibri"/>
          <w:sz w:val="26"/>
          <w:szCs w:val="26"/>
          <w:lang w:eastAsia="en-US"/>
        </w:rPr>
        <w:t>Por su parte, Aarón Tornell y Andrés Velasco se ocupan de explicar y documentar, desde la teoría de juegos, una aparente paradoja: la salida de capitales de países pobres a países ricos. El modelo que utilizan para explicar las fugas de capital es simple y riguroso y racionaliza una observación empírica. En su modelo el rendimiento privado de la inversión en un país pobre puede reducirse con la expropiación que logran de esas inversiones los grupos de interés. Es un ejemplo de para qué sirven y cómo se aplican los modelos teóricos.</w:t>
      </w:r>
    </w:p>
    <w:p w14:paraId="38605A83" w14:textId="2CE17CAA" w:rsidR="006E0901" w:rsidRPr="006E0901" w:rsidRDefault="006E0901" w:rsidP="006E0901">
      <w:pPr>
        <w:spacing w:after="360" w:line="360" w:lineRule="auto"/>
        <w:ind w:right="-159"/>
        <w:jc w:val="both"/>
        <w:rPr>
          <w:rFonts w:eastAsia="Calibri"/>
          <w:sz w:val="26"/>
          <w:szCs w:val="26"/>
          <w:lang w:eastAsia="en-US"/>
        </w:rPr>
      </w:pPr>
      <w:r w:rsidRPr="006E0901">
        <w:rPr>
          <w:rFonts w:eastAsia="Calibri"/>
          <w:sz w:val="26"/>
          <w:szCs w:val="26"/>
          <w:lang w:eastAsia="en-US"/>
        </w:rPr>
        <w:t xml:space="preserve">Finalmente, en el trabajo empírico sobre la convergencia regional en México, Gerardo Esquivel, aplica un enfoque económico y estadístico utilizado en otros países. El autor encuentra que, durante más de medio siglo, las disparidades regionales se redujeron a un ritmo bajo en el comparativo internacional. Para Esquivel una de las principales causas de este fenómeno, que frena el desarrollo y agudiza la desigualdad del ingreso, podría ser la enorme divergencia regional en la formación de capital humano, lo que, </w:t>
      </w:r>
      <w:r w:rsidRPr="006E0901">
        <w:rPr>
          <w:rFonts w:eastAsia="Calibri"/>
          <w:sz w:val="26"/>
          <w:szCs w:val="26"/>
          <w:lang w:eastAsia="en-US"/>
        </w:rPr>
        <w:lastRenderedPageBreak/>
        <w:t xml:space="preserve">por cierto, llena el vacío que dejaban los supuestos de Lewis. </w:t>
      </w:r>
      <w:r w:rsidR="00F8504C">
        <w:rPr>
          <w:rFonts w:eastAsia="Calibri"/>
          <w:sz w:val="26"/>
          <w:szCs w:val="26"/>
          <w:lang w:eastAsia="en-US"/>
        </w:rPr>
        <w:t>É</w:t>
      </w:r>
      <w:r w:rsidRPr="006E0901">
        <w:rPr>
          <w:rFonts w:eastAsia="Calibri"/>
          <w:sz w:val="26"/>
          <w:szCs w:val="26"/>
          <w:lang w:eastAsia="en-US"/>
        </w:rPr>
        <w:t>ste es un texto de referencia fundamental en el tema de un desarrollo regional más equilibrado y equitativo.</w:t>
      </w:r>
    </w:p>
    <w:p w14:paraId="637D220A" w14:textId="77777777" w:rsidR="006E0901" w:rsidRPr="006E0901" w:rsidRDefault="006E0901" w:rsidP="006E0901">
      <w:pPr>
        <w:spacing w:after="360" w:line="360" w:lineRule="auto"/>
        <w:ind w:right="-159"/>
        <w:jc w:val="both"/>
        <w:rPr>
          <w:rFonts w:eastAsia="Calibri"/>
          <w:b/>
          <w:bCs/>
          <w:sz w:val="26"/>
          <w:szCs w:val="26"/>
          <w:lang w:eastAsia="en-US"/>
        </w:rPr>
      </w:pPr>
      <w:r w:rsidRPr="006E0901">
        <w:rPr>
          <w:rFonts w:eastAsia="Calibri"/>
          <w:b/>
          <w:bCs/>
          <w:sz w:val="26"/>
          <w:szCs w:val="26"/>
          <w:lang w:eastAsia="en-US"/>
        </w:rPr>
        <w:t>El porvenir de las respuestas propias</w:t>
      </w:r>
    </w:p>
    <w:p w14:paraId="528FBA4A" w14:textId="77777777" w:rsidR="006E0901" w:rsidRPr="006E0901" w:rsidRDefault="006E0901" w:rsidP="006E0901">
      <w:pPr>
        <w:spacing w:after="360" w:line="360" w:lineRule="auto"/>
        <w:ind w:right="-159"/>
        <w:jc w:val="both"/>
        <w:rPr>
          <w:rFonts w:eastAsia="Calibri"/>
          <w:sz w:val="26"/>
          <w:szCs w:val="26"/>
          <w:lang w:eastAsia="en-US"/>
        </w:rPr>
      </w:pPr>
      <w:r w:rsidRPr="006E0901">
        <w:rPr>
          <w:rFonts w:eastAsia="Calibri"/>
          <w:bCs/>
          <w:sz w:val="26"/>
          <w:szCs w:val="26"/>
          <w:lang w:eastAsia="en-US"/>
        </w:rPr>
        <w:t>Permítanme concluir señalando que la lectura de esta antología no sólo es instructiva, sino amena y pintoresca. En efecto, dado que el “</w:t>
      </w:r>
      <w:r w:rsidRPr="006E0901">
        <w:rPr>
          <w:rFonts w:eastAsia="Calibri"/>
          <w:bCs/>
          <w:iCs/>
          <w:sz w:val="26"/>
          <w:szCs w:val="26"/>
          <w:lang w:eastAsia="en-US"/>
        </w:rPr>
        <w:t>Trimestre”</w:t>
      </w:r>
      <w:r w:rsidRPr="006E0901">
        <w:rPr>
          <w:rFonts w:eastAsia="Calibri"/>
          <w:bCs/>
          <w:i/>
          <w:iCs/>
          <w:sz w:val="26"/>
          <w:szCs w:val="26"/>
          <w:lang w:eastAsia="en-US"/>
        </w:rPr>
        <w:t xml:space="preserve"> </w:t>
      </w:r>
      <w:r w:rsidRPr="006E0901">
        <w:rPr>
          <w:rFonts w:eastAsia="Calibri"/>
          <w:bCs/>
          <w:sz w:val="26"/>
          <w:szCs w:val="26"/>
          <w:lang w:eastAsia="en-US"/>
        </w:rPr>
        <w:t xml:space="preserve">se creó en los albores de la ciencia económica en México, en su trayectoria se puede rastrear la evolución gradual de esta disciplina en nuestro país, así como la validez u </w:t>
      </w:r>
      <w:r w:rsidRPr="006E0901">
        <w:rPr>
          <w:rFonts w:eastAsia="Calibri"/>
          <w:sz w:val="26"/>
          <w:szCs w:val="26"/>
          <w:lang w:eastAsia="en-US"/>
        </w:rPr>
        <w:t>obsolescencia de diversas herramientas técnicas, enfoques teóricos y visiones institucionales.</w:t>
      </w:r>
    </w:p>
    <w:p w14:paraId="6EEA8EDC" w14:textId="608B32AD" w:rsidR="006E0901" w:rsidRPr="006E0901" w:rsidRDefault="006E0901" w:rsidP="006E0901">
      <w:pPr>
        <w:spacing w:after="360" w:line="360" w:lineRule="auto"/>
        <w:ind w:right="-159"/>
        <w:jc w:val="both"/>
        <w:rPr>
          <w:rFonts w:eastAsia="Calibri"/>
          <w:sz w:val="26"/>
          <w:szCs w:val="26"/>
          <w:lang w:eastAsia="en-US"/>
        </w:rPr>
      </w:pPr>
      <w:r w:rsidRPr="006E0901">
        <w:rPr>
          <w:rFonts w:eastAsia="Calibri"/>
          <w:sz w:val="26"/>
          <w:szCs w:val="26"/>
          <w:lang w:eastAsia="en-US"/>
        </w:rPr>
        <w:t>En particular, el t</w:t>
      </w:r>
      <w:r w:rsidR="00F8504C">
        <w:rPr>
          <w:rFonts w:eastAsia="Calibri"/>
          <w:sz w:val="26"/>
          <w:szCs w:val="26"/>
          <w:lang w:eastAsia="en-US"/>
        </w:rPr>
        <w:t>í</w:t>
      </w:r>
      <w:r w:rsidRPr="006E0901">
        <w:rPr>
          <w:rFonts w:eastAsia="Calibri"/>
          <w:sz w:val="26"/>
          <w:szCs w:val="26"/>
          <w:lang w:eastAsia="en-US"/>
        </w:rPr>
        <w:t>tulo me parece muy sugerente, porque la búsqueda de respuestas propias ha sido una de las motivaciones que llevó a muchos autores a colaborar en este espacio. Ciertamente, cuando esta búsqueda ha conducido a las nociones de excepcionalidad y al aislamiento, los modelos resultantes se han abstraído de las dinámicas reales de la economía y han sido poco útiles y hasta contraproducentes. Por eso, la indagación de respuestas propias debe enmarcarse en un entorno global y en los parámetros normales de la evolución de una ciencia.</w:t>
      </w:r>
    </w:p>
    <w:p w14:paraId="37776FEE" w14:textId="77777777" w:rsidR="006E0901" w:rsidRPr="006E0901" w:rsidRDefault="006E0901" w:rsidP="006E0901">
      <w:pPr>
        <w:spacing w:after="360" w:line="360" w:lineRule="auto"/>
        <w:ind w:right="-159"/>
        <w:jc w:val="both"/>
        <w:rPr>
          <w:rFonts w:eastAsia="Calibri"/>
          <w:sz w:val="26"/>
          <w:szCs w:val="26"/>
          <w:lang w:eastAsia="en-US"/>
        </w:rPr>
      </w:pPr>
      <w:r w:rsidRPr="006E0901">
        <w:rPr>
          <w:rFonts w:eastAsia="Calibri"/>
          <w:sz w:val="26"/>
          <w:szCs w:val="26"/>
          <w:lang w:eastAsia="en-US"/>
        </w:rPr>
        <w:t xml:space="preserve">Sólo me resta felicitar nuevamente a Graciela y a Gustavo por su exhaustiva tarea, que nos resume ocho décadas de producción y debate económico, y desear que </w:t>
      </w:r>
      <w:r w:rsidRPr="00F8504C">
        <w:rPr>
          <w:rFonts w:eastAsia="Calibri"/>
          <w:iCs/>
          <w:sz w:val="26"/>
          <w:szCs w:val="26"/>
          <w:lang w:eastAsia="en-US"/>
        </w:rPr>
        <w:t>El Trimestre</w:t>
      </w:r>
      <w:r w:rsidRPr="006E0901">
        <w:rPr>
          <w:rFonts w:eastAsia="Calibri"/>
          <w:i/>
          <w:iCs/>
          <w:sz w:val="26"/>
          <w:szCs w:val="26"/>
          <w:lang w:eastAsia="en-US"/>
        </w:rPr>
        <w:t xml:space="preserve"> </w:t>
      </w:r>
      <w:r w:rsidRPr="006E0901">
        <w:rPr>
          <w:rFonts w:eastAsia="Calibri"/>
          <w:sz w:val="26"/>
          <w:szCs w:val="26"/>
          <w:lang w:eastAsia="en-US"/>
        </w:rPr>
        <w:t>siga siendo, por mucho tiempo, un espacio fecundo de formación y discusión para economistas y no economistas.”</w:t>
      </w:r>
    </w:p>
    <w:p w14:paraId="7C0DC769" w14:textId="77777777" w:rsidR="006E0901" w:rsidRPr="006E0901" w:rsidRDefault="006E0901" w:rsidP="006E0901">
      <w:pPr>
        <w:ind w:right="-159"/>
        <w:jc w:val="both"/>
        <w:rPr>
          <w:rFonts w:eastAsia="Calibri"/>
          <w:b/>
          <w:sz w:val="20"/>
          <w:szCs w:val="20"/>
          <w:lang w:eastAsia="en-US"/>
        </w:rPr>
      </w:pPr>
      <w:r w:rsidRPr="006E0901">
        <w:rPr>
          <w:rFonts w:eastAsia="Calibri"/>
          <w:b/>
          <w:sz w:val="20"/>
          <w:szCs w:val="20"/>
          <w:lang w:eastAsia="en-US"/>
        </w:rPr>
        <w:t>Fuente de información:</w:t>
      </w:r>
    </w:p>
    <w:p w14:paraId="37A81210" w14:textId="77777777" w:rsidR="006E0901" w:rsidRPr="00247FB0" w:rsidRDefault="0093224F" w:rsidP="006E0901">
      <w:pPr>
        <w:ind w:right="-159"/>
        <w:jc w:val="both"/>
        <w:rPr>
          <w:rFonts w:eastAsia="Calibri"/>
          <w:color w:val="0000FF"/>
          <w:sz w:val="20"/>
          <w:szCs w:val="20"/>
          <w:lang w:eastAsia="en-US"/>
        </w:rPr>
      </w:pPr>
      <w:hyperlink r:id="rId444" w:history="1">
        <w:r w:rsidR="006E0901" w:rsidRPr="00247FB0">
          <w:rPr>
            <w:rFonts w:eastAsia="Calibri"/>
            <w:color w:val="0000FF"/>
            <w:sz w:val="20"/>
            <w:szCs w:val="20"/>
            <w:u w:val="single"/>
            <w:lang w:eastAsia="en-US"/>
          </w:rPr>
          <w:t>http://www.banxico.org.mx/publicaciones-y-discursos/discursos-y-presentaciones/discursos/%7bB11BF5F4-8DE2-DC2D-8FE0-5E787EC54C56%7d.pdf</w:t>
        </w:r>
      </w:hyperlink>
      <w:r w:rsidR="006E0901" w:rsidRPr="00247FB0">
        <w:rPr>
          <w:rFonts w:eastAsia="Calibri"/>
          <w:color w:val="0000FF"/>
          <w:sz w:val="20"/>
          <w:szCs w:val="20"/>
          <w:lang w:eastAsia="en-US"/>
        </w:rPr>
        <w:t xml:space="preserve"> </w:t>
      </w:r>
    </w:p>
    <w:p w14:paraId="6DBF3873" w14:textId="77777777" w:rsidR="006E0901" w:rsidRDefault="006E0901" w:rsidP="00240532">
      <w:pPr>
        <w:spacing w:after="360" w:line="360" w:lineRule="auto"/>
        <w:ind w:right="-159"/>
        <w:rPr>
          <w:sz w:val="26"/>
          <w:szCs w:val="26"/>
        </w:rPr>
      </w:pPr>
    </w:p>
    <w:p w14:paraId="40CDD408" w14:textId="77777777" w:rsidR="000B0616" w:rsidRDefault="000B0616" w:rsidP="00240532">
      <w:pPr>
        <w:spacing w:after="360" w:line="360" w:lineRule="auto"/>
        <w:ind w:right="-159"/>
        <w:rPr>
          <w:b/>
          <w:sz w:val="26"/>
          <w:szCs w:val="26"/>
        </w:rPr>
      </w:pPr>
    </w:p>
    <w:p w14:paraId="1B01ADAB" w14:textId="570287B5" w:rsidR="00770ED0" w:rsidRDefault="00770ED0" w:rsidP="00240532">
      <w:pPr>
        <w:spacing w:after="360" w:line="360" w:lineRule="auto"/>
        <w:ind w:right="-159"/>
        <w:rPr>
          <w:b/>
          <w:sz w:val="26"/>
          <w:szCs w:val="26"/>
        </w:rPr>
      </w:pPr>
      <w:r w:rsidRPr="00770ED0">
        <w:rPr>
          <w:b/>
          <w:sz w:val="26"/>
          <w:szCs w:val="26"/>
        </w:rPr>
        <w:lastRenderedPageBreak/>
        <w:t>Mercado cambiario</w:t>
      </w:r>
    </w:p>
    <w:p w14:paraId="48814ECF" w14:textId="77777777" w:rsidR="00770ED0" w:rsidRPr="00C314BD" w:rsidRDefault="00770ED0" w:rsidP="00770ED0">
      <w:pPr>
        <w:spacing w:after="360" w:line="360" w:lineRule="auto"/>
        <w:ind w:right="-159"/>
        <w:jc w:val="both"/>
        <w:rPr>
          <w:b/>
          <w:sz w:val="26"/>
          <w:szCs w:val="26"/>
        </w:rPr>
      </w:pPr>
      <w:r w:rsidRPr="00C314BD">
        <w:rPr>
          <w:b/>
          <w:sz w:val="26"/>
          <w:szCs w:val="26"/>
        </w:rPr>
        <w:t>Anuncio de la Comisión de Cambios</w:t>
      </w:r>
      <w:r>
        <w:rPr>
          <w:b/>
          <w:sz w:val="26"/>
          <w:szCs w:val="26"/>
        </w:rPr>
        <w:t xml:space="preserve"> (Banxico)</w:t>
      </w:r>
    </w:p>
    <w:p w14:paraId="23B94812" w14:textId="77777777" w:rsidR="00770ED0" w:rsidRPr="00C314BD" w:rsidRDefault="00770ED0" w:rsidP="00770ED0">
      <w:pPr>
        <w:spacing w:after="360" w:line="360" w:lineRule="auto"/>
        <w:ind w:right="-159"/>
        <w:jc w:val="both"/>
        <w:rPr>
          <w:sz w:val="26"/>
          <w:szCs w:val="26"/>
        </w:rPr>
      </w:pPr>
      <w:r>
        <w:rPr>
          <w:sz w:val="26"/>
          <w:szCs w:val="26"/>
        </w:rPr>
        <w:t xml:space="preserve">El 11 de marzo de 2015, el Banco de México (Banxico) informó que la </w:t>
      </w:r>
      <w:r w:rsidRPr="00C314BD">
        <w:rPr>
          <w:sz w:val="26"/>
          <w:szCs w:val="26"/>
        </w:rPr>
        <w:t>Comisión de Cambios adopta medidas preventivas adicionales para proveer liquidez al mercado cambiario</w:t>
      </w:r>
      <w:r>
        <w:rPr>
          <w:sz w:val="26"/>
          <w:szCs w:val="26"/>
        </w:rPr>
        <w:t>.</w:t>
      </w:r>
    </w:p>
    <w:p w14:paraId="160EB175" w14:textId="77777777" w:rsidR="00770ED0" w:rsidRPr="00C314BD" w:rsidRDefault="00770ED0" w:rsidP="00770ED0">
      <w:pPr>
        <w:spacing w:after="360" w:line="360" w:lineRule="auto"/>
        <w:ind w:right="-159"/>
        <w:jc w:val="both"/>
        <w:rPr>
          <w:sz w:val="26"/>
          <w:szCs w:val="26"/>
        </w:rPr>
      </w:pPr>
      <w:r w:rsidRPr="00C314BD">
        <w:rPr>
          <w:sz w:val="26"/>
          <w:szCs w:val="26"/>
        </w:rPr>
        <w:t>En virtud de que continúa la volatilidad en los mercados financieros internacionales, y considerando el nivel actual de las reservas internacionales, a las que se agrega la Línea de Crédito Flexible</w:t>
      </w:r>
      <w:r>
        <w:rPr>
          <w:sz w:val="26"/>
          <w:szCs w:val="26"/>
        </w:rPr>
        <w:t xml:space="preserve"> (LCF)</w:t>
      </w:r>
      <w:r w:rsidRPr="00C314BD">
        <w:rPr>
          <w:sz w:val="26"/>
          <w:szCs w:val="26"/>
        </w:rPr>
        <w:t xml:space="preserve"> contratada con el Fondo Monetario Internacional </w:t>
      </w:r>
      <w:r>
        <w:rPr>
          <w:sz w:val="26"/>
          <w:szCs w:val="26"/>
        </w:rPr>
        <w:t xml:space="preserve">(FMI) </w:t>
      </w:r>
      <w:r w:rsidRPr="00C314BD">
        <w:rPr>
          <w:sz w:val="26"/>
          <w:szCs w:val="26"/>
        </w:rPr>
        <w:t>por cerca de 70</w:t>
      </w:r>
      <w:r>
        <w:rPr>
          <w:sz w:val="26"/>
          <w:szCs w:val="26"/>
        </w:rPr>
        <w:t xml:space="preserve"> mil </w:t>
      </w:r>
      <w:r w:rsidRPr="00C314BD">
        <w:rPr>
          <w:sz w:val="26"/>
          <w:szCs w:val="26"/>
        </w:rPr>
        <w:t>millones de dólares, la Comisión de Cambios ha decidido reducir el ritmo de acumulación de las reservas internacionales del Banco de México durante los siguientes tres meses y, así, proveer de mayor liquidez al mercado cambiario.</w:t>
      </w:r>
    </w:p>
    <w:p w14:paraId="4CBAA3F4" w14:textId="77777777" w:rsidR="00770ED0" w:rsidRPr="00C314BD" w:rsidRDefault="00770ED0" w:rsidP="00770ED0">
      <w:pPr>
        <w:spacing w:after="360" w:line="360" w:lineRule="auto"/>
        <w:ind w:right="-159"/>
        <w:jc w:val="both"/>
        <w:rPr>
          <w:sz w:val="26"/>
          <w:szCs w:val="26"/>
        </w:rPr>
      </w:pPr>
      <w:r w:rsidRPr="00C314BD">
        <w:rPr>
          <w:sz w:val="26"/>
          <w:szCs w:val="26"/>
        </w:rPr>
        <w:t>De esta manera, para prevenir que presiones adicionales pudiesen perturbar el funcionamiento ordenado del mercado cambiario, la Comisión de Cambios determinó que se reduzca el ritmo de acumulación de las reservas internacionales durante los próximos tres meses en una proporción equivalente a una cuarta parte de la acumulación neta esperada para los próximos doce meses.</w:t>
      </w:r>
    </w:p>
    <w:p w14:paraId="2F30A84D" w14:textId="77777777" w:rsidR="00770ED0" w:rsidRPr="00C314BD" w:rsidRDefault="00770ED0" w:rsidP="00770ED0">
      <w:pPr>
        <w:spacing w:after="360" w:line="360" w:lineRule="auto"/>
        <w:ind w:right="-159"/>
        <w:jc w:val="both"/>
        <w:rPr>
          <w:sz w:val="26"/>
          <w:szCs w:val="26"/>
        </w:rPr>
      </w:pPr>
      <w:r w:rsidRPr="00C314BD">
        <w:rPr>
          <w:sz w:val="26"/>
          <w:szCs w:val="26"/>
        </w:rPr>
        <w:t xml:space="preserve">Para este fin se establece un mecanismo similar al utilizado exitosamente en otros </w:t>
      </w:r>
      <w:r>
        <w:rPr>
          <w:sz w:val="26"/>
          <w:szCs w:val="26"/>
        </w:rPr>
        <w:t>período</w:t>
      </w:r>
      <w:r w:rsidRPr="00C314BD">
        <w:rPr>
          <w:sz w:val="26"/>
          <w:szCs w:val="26"/>
        </w:rPr>
        <w:t>s de volatilidad en el mercado cambiario, que consiste en lo siguiente:</w:t>
      </w:r>
    </w:p>
    <w:p w14:paraId="78B55195" w14:textId="77777777" w:rsidR="00770ED0" w:rsidRPr="00FA2B71" w:rsidRDefault="00770ED0" w:rsidP="00276F3E">
      <w:pPr>
        <w:pStyle w:val="Prrafodelista"/>
        <w:numPr>
          <w:ilvl w:val="0"/>
          <w:numId w:val="97"/>
        </w:numPr>
        <w:spacing w:after="360" w:line="360" w:lineRule="auto"/>
        <w:ind w:right="-159"/>
        <w:jc w:val="both"/>
        <w:rPr>
          <w:sz w:val="26"/>
          <w:szCs w:val="26"/>
        </w:rPr>
      </w:pPr>
      <w:r w:rsidRPr="00FA2B71">
        <w:rPr>
          <w:rFonts w:ascii="Times New Roman" w:hAnsi="Times New Roman" w:cs="Times New Roman"/>
          <w:sz w:val="26"/>
          <w:szCs w:val="26"/>
        </w:rPr>
        <w:t>A partir del 11 de marzo y hasta el 8 de junio de 2015</w:t>
      </w:r>
      <w:r>
        <w:rPr>
          <w:rFonts w:ascii="Times New Roman" w:hAnsi="Times New Roman" w:cs="Times New Roman"/>
          <w:sz w:val="26"/>
          <w:szCs w:val="26"/>
        </w:rPr>
        <w:t>,</w:t>
      </w:r>
      <w:r w:rsidRPr="00FA2B71">
        <w:rPr>
          <w:rFonts w:ascii="Times New Roman" w:hAnsi="Times New Roman" w:cs="Times New Roman"/>
          <w:sz w:val="26"/>
          <w:szCs w:val="26"/>
        </w:rPr>
        <w:t xml:space="preserve"> el Banco de México ofrecerá diariamente 52 millones de dólares mediante subastas sin precio mínimo. Al término de este </w:t>
      </w:r>
      <w:r>
        <w:rPr>
          <w:rFonts w:ascii="Times New Roman" w:hAnsi="Times New Roman" w:cs="Times New Roman"/>
          <w:sz w:val="26"/>
          <w:szCs w:val="26"/>
        </w:rPr>
        <w:t>período</w:t>
      </w:r>
      <w:r w:rsidRPr="00FA2B71">
        <w:rPr>
          <w:rFonts w:ascii="Times New Roman" w:hAnsi="Times New Roman" w:cs="Times New Roman"/>
          <w:sz w:val="26"/>
          <w:szCs w:val="26"/>
        </w:rPr>
        <w:t xml:space="preserve"> se evaluará la conveniencia de extender este mecanismo</w:t>
      </w:r>
      <w:r w:rsidRPr="00FA2B71">
        <w:rPr>
          <w:sz w:val="26"/>
          <w:szCs w:val="26"/>
        </w:rPr>
        <w:t>.</w:t>
      </w:r>
    </w:p>
    <w:p w14:paraId="5F07C97F" w14:textId="77777777" w:rsidR="00770ED0" w:rsidRDefault="00770ED0" w:rsidP="00770ED0">
      <w:pPr>
        <w:spacing w:after="360" w:line="360" w:lineRule="auto"/>
        <w:ind w:right="-159"/>
        <w:jc w:val="both"/>
        <w:rPr>
          <w:sz w:val="26"/>
          <w:szCs w:val="26"/>
        </w:rPr>
      </w:pPr>
      <w:r w:rsidRPr="00C314BD">
        <w:rPr>
          <w:sz w:val="26"/>
          <w:szCs w:val="26"/>
        </w:rPr>
        <w:lastRenderedPageBreak/>
        <w:t>Se mantiene, además, el mecanismo de subastas anunciado por la Comisión de Cambios el pasado 8 de diciembre de 2014, el cual consiste en subastas diarias por 200 millones de dólares a un tipo de cambio mínimo equivalente al tipo de cambio FIX determinado el día hábil inmediato anterior, conforme a las disposiciones del Banco de México, más 1.5 por ciento. Cabe recordar que, a partir de esta última fecha, se han vendido dólares en dos ocasiones por medio de estas subastas por un total de 400 millones de dólares.</w:t>
      </w:r>
    </w:p>
    <w:p w14:paraId="48C9FD74" w14:textId="77777777" w:rsidR="00770ED0" w:rsidRPr="00C314BD" w:rsidRDefault="00770ED0" w:rsidP="00770ED0">
      <w:pPr>
        <w:ind w:right="-159"/>
        <w:jc w:val="both"/>
        <w:rPr>
          <w:b/>
          <w:sz w:val="20"/>
          <w:szCs w:val="20"/>
        </w:rPr>
      </w:pPr>
      <w:r w:rsidRPr="00C314BD">
        <w:rPr>
          <w:b/>
          <w:sz w:val="20"/>
          <w:szCs w:val="20"/>
        </w:rPr>
        <w:t>Fuente de información:</w:t>
      </w:r>
    </w:p>
    <w:p w14:paraId="080D2FB3" w14:textId="77777777" w:rsidR="00770ED0" w:rsidRPr="00247FB0" w:rsidRDefault="0093224F" w:rsidP="00247FB0">
      <w:pPr>
        <w:spacing w:after="720"/>
        <w:ind w:right="-159"/>
        <w:jc w:val="both"/>
        <w:rPr>
          <w:color w:val="0000FF"/>
          <w:sz w:val="20"/>
          <w:szCs w:val="20"/>
        </w:rPr>
      </w:pPr>
      <w:hyperlink r:id="rId445" w:history="1">
        <w:r w:rsidR="00770ED0" w:rsidRPr="00247FB0">
          <w:rPr>
            <w:rStyle w:val="Hipervnculo"/>
            <w:sz w:val="20"/>
            <w:szCs w:val="20"/>
          </w:rPr>
          <w:t>http://www.banxico.org.mx/informacion-para-la-prensa/comunicados/politica-cambiaria/comision-de-cambios/%7BF0793066-927C-5B11-5180-E6905D18B4B1%7D.pdf</w:t>
        </w:r>
      </w:hyperlink>
    </w:p>
    <w:p w14:paraId="686DBEB2" w14:textId="38F704CF" w:rsidR="00026736" w:rsidRPr="000E3A45" w:rsidRDefault="001F7E63" w:rsidP="007806DF">
      <w:pPr>
        <w:spacing w:after="360" w:line="360" w:lineRule="auto"/>
        <w:ind w:right="-159"/>
        <w:jc w:val="both"/>
        <w:rPr>
          <w:sz w:val="26"/>
          <w:szCs w:val="26"/>
          <w:lang w:val="es-ES"/>
        </w:rPr>
      </w:pPr>
      <w:bookmarkStart w:id="22" w:name="OLE_LINK50"/>
      <w:bookmarkStart w:id="23" w:name="OLE_LINK51"/>
      <w:bookmarkEnd w:id="20"/>
      <w:bookmarkEnd w:id="21"/>
      <w:r w:rsidRPr="000E3A45">
        <w:rPr>
          <w:b/>
          <w:sz w:val="26"/>
          <w:szCs w:val="26"/>
          <w:lang w:val="es-ES"/>
        </w:rPr>
        <w:t>Paridad cambiaria</w:t>
      </w:r>
      <w:r w:rsidR="007717CE" w:rsidRPr="000E3A45">
        <w:rPr>
          <w:b/>
          <w:sz w:val="26"/>
          <w:szCs w:val="26"/>
          <w:lang w:val="es-ES"/>
        </w:rPr>
        <w:t xml:space="preserve"> (Banxico)</w:t>
      </w:r>
    </w:p>
    <w:p w14:paraId="2428B8D5" w14:textId="1D514111" w:rsidR="00435D91" w:rsidRDefault="00C41EFC" w:rsidP="00C77FA1">
      <w:pPr>
        <w:spacing w:after="360" w:line="360" w:lineRule="auto"/>
        <w:ind w:right="-159"/>
        <w:jc w:val="both"/>
        <w:rPr>
          <w:rFonts w:eastAsia="Times New Roman"/>
          <w:sz w:val="26"/>
          <w:szCs w:val="26"/>
        </w:rPr>
      </w:pPr>
      <w:r w:rsidRPr="000E3A45">
        <w:rPr>
          <w:rFonts w:eastAsia="Times New Roman"/>
          <w:sz w:val="26"/>
          <w:szCs w:val="26"/>
        </w:rPr>
        <w:t xml:space="preserve">Durante </w:t>
      </w:r>
      <w:r w:rsidR="008B574F">
        <w:rPr>
          <w:rFonts w:eastAsia="Times New Roman"/>
          <w:sz w:val="26"/>
          <w:szCs w:val="26"/>
        </w:rPr>
        <w:t xml:space="preserve">el </w:t>
      </w:r>
      <w:r w:rsidR="001346B6">
        <w:rPr>
          <w:rFonts w:eastAsia="Times New Roman"/>
          <w:sz w:val="26"/>
          <w:szCs w:val="26"/>
        </w:rPr>
        <w:t xml:space="preserve">primer </w:t>
      </w:r>
      <w:r w:rsidR="00435D91">
        <w:rPr>
          <w:rFonts w:eastAsia="Times New Roman"/>
          <w:sz w:val="26"/>
          <w:szCs w:val="26"/>
        </w:rPr>
        <w:t>tri</w:t>
      </w:r>
      <w:r w:rsidR="001346B6">
        <w:rPr>
          <w:rFonts w:eastAsia="Times New Roman"/>
          <w:sz w:val="26"/>
          <w:szCs w:val="26"/>
        </w:rPr>
        <w:t>mestre de 2015</w:t>
      </w:r>
      <w:r w:rsidR="00B917D7" w:rsidRPr="000E3A45">
        <w:rPr>
          <w:rFonts w:eastAsia="Times New Roman"/>
          <w:sz w:val="26"/>
          <w:szCs w:val="26"/>
        </w:rPr>
        <w:t xml:space="preserve">, </w:t>
      </w:r>
      <w:r w:rsidR="00F823F1" w:rsidRPr="000E3A45">
        <w:rPr>
          <w:rFonts w:eastAsia="Times New Roman"/>
          <w:sz w:val="26"/>
          <w:szCs w:val="26"/>
        </w:rPr>
        <w:t xml:space="preserve">la paridad del peso frente al dólar estadounidenseen </w:t>
      </w:r>
      <w:r w:rsidR="001346B6">
        <w:rPr>
          <w:rFonts w:eastAsia="Times New Roman"/>
          <w:sz w:val="26"/>
          <w:szCs w:val="26"/>
        </w:rPr>
        <w:t xml:space="preserve">en </w:t>
      </w:r>
      <w:r w:rsidR="00F823F1" w:rsidRPr="000E3A45">
        <w:rPr>
          <w:rFonts w:eastAsia="Times New Roman"/>
          <w:sz w:val="26"/>
          <w:szCs w:val="26"/>
        </w:rPr>
        <w:t xml:space="preserve">el </w:t>
      </w:r>
      <w:r w:rsidR="00391E97" w:rsidRPr="000E3A45">
        <w:rPr>
          <w:rFonts w:eastAsia="Times New Roman"/>
          <w:sz w:val="26"/>
          <w:szCs w:val="26"/>
        </w:rPr>
        <w:t xml:space="preserve">mercado cambiario </w:t>
      </w:r>
      <w:r w:rsidR="007B63A8" w:rsidRPr="000E3A45">
        <w:rPr>
          <w:rFonts w:eastAsia="Times New Roman"/>
          <w:sz w:val="26"/>
          <w:szCs w:val="26"/>
        </w:rPr>
        <w:t xml:space="preserve">se vio afectado por la volatilidad en los mercados financieros y cambiarios del mundo. De hecho, la tendencia de devaluación </w:t>
      </w:r>
      <w:r w:rsidR="00435D91">
        <w:rPr>
          <w:rFonts w:eastAsia="Times New Roman"/>
          <w:sz w:val="26"/>
          <w:szCs w:val="26"/>
        </w:rPr>
        <w:t>de las monedas del mundo se exacerbó debido a la apreciación del dólar estadounidense. Así, durante febrero y marzo</w:t>
      </w:r>
      <w:r w:rsidR="00247FB0">
        <w:rPr>
          <w:rFonts w:eastAsia="Times New Roman"/>
          <w:sz w:val="26"/>
          <w:szCs w:val="26"/>
        </w:rPr>
        <w:t>,</w:t>
      </w:r>
      <w:r w:rsidR="00435D91">
        <w:rPr>
          <w:rFonts w:eastAsia="Times New Roman"/>
          <w:sz w:val="26"/>
          <w:szCs w:val="26"/>
        </w:rPr>
        <w:t xml:space="preserve"> el deslizamiento del tipo de cambio fue mayor, </w:t>
      </w:r>
      <w:r w:rsidR="001346B6">
        <w:rPr>
          <w:rFonts w:eastAsia="Times New Roman"/>
          <w:sz w:val="26"/>
          <w:szCs w:val="26"/>
        </w:rPr>
        <w:t xml:space="preserve">alcanzando una tipo de cambio de 15.98 pesos por dólar en el mercado cambiario </w:t>
      </w:r>
      <w:r w:rsidR="001346B6" w:rsidRPr="00D752B3">
        <w:rPr>
          <w:rFonts w:eastAsia="Times New Roman"/>
          <w:i/>
          <w:sz w:val="26"/>
          <w:szCs w:val="26"/>
        </w:rPr>
        <w:t>spot</w:t>
      </w:r>
      <w:r w:rsidR="001346B6">
        <w:rPr>
          <w:rFonts w:eastAsia="Times New Roman"/>
          <w:sz w:val="26"/>
          <w:szCs w:val="26"/>
        </w:rPr>
        <w:t xml:space="preserve">, </w:t>
      </w:r>
      <w:r w:rsidR="00435D91">
        <w:rPr>
          <w:rFonts w:eastAsia="Times New Roman"/>
          <w:sz w:val="26"/>
          <w:szCs w:val="26"/>
        </w:rPr>
        <w:t>lo cual propició que el 12 de marzo del presente año, la Comisión de Cambios integrada por el Banco de México y la Secretaría de Hacienda y Crédito Público anunciaran la subasta de 52 millones de dólares diarios, la cual se suma a la anterior subasta de 200 millones de dólares diarios que se realizaría cuando el precio del peso frente al dólar superará el 1.5% encima de la cotización FIX, lo cual solamente ha ocurrido el 11 de diciembre de 2014 y el 6 de marzo de 2015.</w:t>
      </w:r>
    </w:p>
    <w:p w14:paraId="56C6F44C" w14:textId="384AD0DE" w:rsidR="00435D91" w:rsidRDefault="00435D91" w:rsidP="00C77FA1">
      <w:pPr>
        <w:spacing w:after="360" w:line="360" w:lineRule="auto"/>
        <w:ind w:right="-159"/>
        <w:jc w:val="both"/>
        <w:rPr>
          <w:rFonts w:eastAsia="Times New Roman"/>
          <w:sz w:val="26"/>
          <w:szCs w:val="26"/>
        </w:rPr>
      </w:pPr>
      <w:r>
        <w:rPr>
          <w:rFonts w:eastAsia="Times New Roman"/>
          <w:sz w:val="26"/>
          <w:szCs w:val="26"/>
        </w:rPr>
        <w:t>Sin embargo, la puesta en marcha del mecanismo de subasta por 52 millones de dólares diarios no ha logrado atenuar la depreciación de manera completa, en virtud de que la volatilidad mundial y los procesos de especulación externa no ha cesado y parecería que continuará por los tres meses próximo</w:t>
      </w:r>
      <w:r w:rsidR="00247FB0">
        <w:rPr>
          <w:rFonts w:eastAsia="Times New Roman"/>
          <w:sz w:val="26"/>
          <w:szCs w:val="26"/>
        </w:rPr>
        <w:t>s</w:t>
      </w:r>
      <w:r>
        <w:rPr>
          <w:rFonts w:eastAsia="Times New Roman"/>
          <w:sz w:val="26"/>
          <w:szCs w:val="26"/>
        </w:rPr>
        <w:t>.</w:t>
      </w:r>
    </w:p>
    <w:p w14:paraId="67E66B2C" w14:textId="77777777" w:rsidR="00433909" w:rsidRDefault="00153BD8" w:rsidP="00C77FA1">
      <w:pPr>
        <w:spacing w:after="360" w:line="360" w:lineRule="auto"/>
        <w:ind w:right="-159"/>
        <w:jc w:val="both"/>
        <w:rPr>
          <w:rFonts w:eastAsia="Calibri"/>
          <w:sz w:val="26"/>
          <w:szCs w:val="26"/>
          <w:lang w:eastAsia="en-US"/>
        </w:rPr>
      </w:pPr>
      <w:r>
        <w:rPr>
          <w:sz w:val="26"/>
          <w:szCs w:val="26"/>
        </w:rPr>
        <w:lastRenderedPageBreak/>
        <w:t xml:space="preserve">Cabe destacar que </w:t>
      </w:r>
      <w:r w:rsidRPr="00C7548D">
        <w:rPr>
          <w:rFonts w:eastAsia="Calibri"/>
          <w:sz w:val="26"/>
          <w:szCs w:val="26"/>
          <w:lang w:eastAsia="en-US"/>
        </w:rPr>
        <w:t>la paridad del peso mexicano frente al dólar estadounidense puede verse afectada por múltiples factores como las perspectivas económicas de México y de Estados Unidos</w:t>
      </w:r>
      <w:r>
        <w:rPr>
          <w:rFonts w:eastAsia="Calibri"/>
          <w:sz w:val="26"/>
          <w:szCs w:val="26"/>
          <w:lang w:eastAsia="en-US"/>
        </w:rPr>
        <w:t xml:space="preserve"> de Norteamérica</w:t>
      </w:r>
      <w:r w:rsidRPr="00C7548D">
        <w:rPr>
          <w:rFonts w:eastAsia="Calibri"/>
          <w:sz w:val="26"/>
          <w:szCs w:val="26"/>
          <w:lang w:eastAsia="en-US"/>
        </w:rPr>
        <w:t xml:space="preserve">, la evolución de los términos de intercambio y el apetito por riesgo de los inversionistas internacionales, entre otros. </w:t>
      </w:r>
    </w:p>
    <w:p w14:paraId="5EE8754A" w14:textId="2027F6CE" w:rsidR="00433909" w:rsidRDefault="00153BD8" w:rsidP="00C77FA1">
      <w:pPr>
        <w:spacing w:after="360" w:line="360" w:lineRule="auto"/>
        <w:ind w:right="-159"/>
        <w:jc w:val="both"/>
        <w:rPr>
          <w:sz w:val="26"/>
          <w:szCs w:val="26"/>
        </w:rPr>
      </w:pPr>
      <w:r w:rsidRPr="00C7548D">
        <w:rPr>
          <w:rFonts w:eastAsia="Calibri"/>
          <w:sz w:val="26"/>
          <w:szCs w:val="26"/>
          <w:lang w:eastAsia="en-US"/>
        </w:rPr>
        <w:t xml:space="preserve">De cara al futuro, </w:t>
      </w:r>
      <w:r w:rsidR="00435D91">
        <w:rPr>
          <w:rFonts w:eastAsia="Calibri"/>
          <w:sz w:val="26"/>
          <w:szCs w:val="26"/>
          <w:lang w:eastAsia="en-US"/>
        </w:rPr>
        <w:t>la aplicación de una política monetaria congruente con el objetivo de inflación y de garantizar el poder de compra de la moneda podrían surtir efecto en la medid</w:t>
      </w:r>
      <w:r w:rsidR="00247FB0">
        <w:rPr>
          <w:rFonts w:eastAsia="Calibri"/>
          <w:sz w:val="26"/>
          <w:szCs w:val="26"/>
          <w:lang w:eastAsia="en-US"/>
        </w:rPr>
        <w:t>a</w:t>
      </w:r>
      <w:r w:rsidR="00435D91">
        <w:rPr>
          <w:rFonts w:eastAsia="Calibri"/>
          <w:sz w:val="26"/>
          <w:szCs w:val="26"/>
          <w:lang w:eastAsia="en-US"/>
        </w:rPr>
        <w:t xml:space="preserve"> que los factores que ocasionan la volatilidad se vean frenados y se reto</w:t>
      </w:r>
      <w:r w:rsidR="00247FB0">
        <w:rPr>
          <w:rFonts w:eastAsia="Calibri"/>
          <w:sz w:val="26"/>
          <w:szCs w:val="26"/>
          <w:lang w:eastAsia="en-US"/>
        </w:rPr>
        <w:t>r</w:t>
      </w:r>
      <w:r w:rsidR="00435D91">
        <w:rPr>
          <w:rFonts w:eastAsia="Calibri"/>
          <w:sz w:val="26"/>
          <w:szCs w:val="26"/>
          <w:lang w:eastAsia="en-US"/>
        </w:rPr>
        <w:t>ne a una tendencia más estable en los mercados cambiarios internacionales y el de México.</w:t>
      </w:r>
      <w:r w:rsidR="00435D91">
        <w:rPr>
          <w:sz w:val="26"/>
          <w:szCs w:val="26"/>
        </w:rPr>
        <w:t xml:space="preserve"> Es probable que los mercados se estabilicen luego del anuncio de política monetaria de la Reserva Federal estadounidense en el sentido de no mover las tasas de interés interbancarias, lo cual frenaría la volatilidad y la especualación en los mercados financieros internacionales</w:t>
      </w:r>
      <w:r w:rsidR="00433909">
        <w:rPr>
          <w:sz w:val="26"/>
          <w:szCs w:val="26"/>
        </w:rPr>
        <w:t>.</w:t>
      </w:r>
    </w:p>
    <w:p w14:paraId="2E47BE32" w14:textId="59F8BA57" w:rsidR="00CD6253" w:rsidRDefault="000F394D" w:rsidP="00C77FA1">
      <w:pPr>
        <w:spacing w:after="360" w:line="360" w:lineRule="auto"/>
        <w:ind w:right="-159"/>
        <w:jc w:val="both"/>
        <w:rPr>
          <w:sz w:val="26"/>
          <w:szCs w:val="26"/>
        </w:rPr>
      </w:pPr>
      <w:r w:rsidRPr="000E3A45">
        <w:rPr>
          <w:sz w:val="26"/>
          <w:szCs w:val="26"/>
        </w:rPr>
        <w:t xml:space="preserve">En este </w:t>
      </w:r>
      <w:r w:rsidR="00167645" w:rsidRPr="000E3A45">
        <w:rPr>
          <w:sz w:val="26"/>
          <w:szCs w:val="26"/>
        </w:rPr>
        <w:t>contexto</w:t>
      </w:r>
      <w:r w:rsidRPr="000E3A45">
        <w:rPr>
          <w:sz w:val="26"/>
          <w:szCs w:val="26"/>
        </w:rPr>
        <w:t xml:space="preserve">, </w:t>
      </w:r>
      <w:r w:rsidR="00D05DEF" w:rsidRPr="000E3A45">
        <w:rPr>
          <w:sz w:val="26"/>
          <w:szCs w:val="26"/>
        </w:rPr>
        <w:t xml:space="preserve">la cotización </w:t>
      </w:r>
      <w:r w:rsidR="00A84F0F" w:rsidRPr="000E3A45">
        <w:rPr>
          <w:sz w:val="26"/>
          <w:szCs w:val="26"/>
        </w:rPr>
        <w:t xml:space="preserve">promedio </w:t>
      </w:r>
      <w:r w:rsidR="00D05DEF" w:rsidRPr="000E3A45">
        <w:rPr>
          <w:sz w:val="26"/>
          <w:szCs w:val="26"/>
        </w:rPr>
        <w:t xml:space="preserve">del peso </w:t>
      </w:r>
      <w:r w:rsidR="00BB5FF6" w:rsidRPr="000E3A45">
        <w:rPr>
          <w:sz w:val="26"/>
          <w:szCs w:val="26"/>
        </w:rPr>
        <w:t>interbancario a 48 horas</w:t>
      </w:r>
      <w:r w:rsidR="00C53C3E" w:rsidRPr="000E3A45">
        <w:rPr>
          <w:rStyle w:val="Refdenotaalpie"/>
          <w:sz w:val="26"/>
          <w:szCs w:val="26"/>
        </w:rPr>
        <w:footnoteReference w:id="123"/>
      </w:r>
      <w:r w:rsidR="00BB5FF6" w:rsidRPr="000E3A45">
        <w:rPr>
          <w:sz w:val="26"/>
          <w:szCs w:val="26"/>
        </w:rPr>
        <w:t xml:space="preserve"> </w:t>
      </w:r>
      <w:r w:rsidR="00D05DEF" w:rsidRPr="000E3A45">
        <w:rPr>
          <w:sz w:val="26"/>
          <w:szCs w:val="26"/>
        </w:rPr>
        <w:t>frente al dólar</w:t>
      </w:r>
      <w:r w:rsidR="008E189D" w:rsidRPr="000E3A45">
        <w:rPr>
          <w:sz w:val="26"/>
          <w:szCs w:val="26"/>
        </w:rPr>
        <w:t xml:space="preserve"> </w:t>
      </w:r>
      <w:r w:rsidR="005A110C">
        <w:rPr>
          <w:sz w:val="26"/>
          <w:szCs w:val="26"/>
        </w:rPr>
        <w:t>e</w:t>
      </w:r>
      <w:r w:rsidR="0075157C">
        <w:rPr>
          <w:sz w:val="26"/>
          <w:szCs w:val="26"/>
        </w:rPr>
        <w:t>n</w:t>
      </w:r>
      <w:r w:rsidR="00291C3D" w:rsidRPr="000E3A45">
        <w:rPr>
          <w:sz w:val="26"/>
          <w:szCs w:val="26"/>
        </w:rPr>
        <w:t xml:space="preserve"> </w:t>
      </w:r>
      <w:r w:rsidR="00433909">
        <w:rPr>
          <w:sz w:val="26"/>
          <w:szCs w:val="26"/>
        </w:rPr>
        <w:t>febrer</w:t>
      </w:r>
      <w:r w:rsidR="005A110C">
        <w:rPr>
          <w:sz w:val="26"/>
          <w:szCs w:val="26"/>
        </w:rPr>
        <w:t>o</w:t>
      </w:r>
      <w:r w:rsidR="00A9248B" w:rsidRPr="000E3A45">
        <w:rPr>
          <w:sz w:val="26"/>
          <w:szCs w:val="26"/>
        </w:rPr>
        <w:t xml:space="preserve"> </w:t>
      </w:r>
      <w:r w:rsidR="004E524C" w:rsidRPr="000E3A45">
        <w:rPr>
          <w:sz w:val="26"/>
          <w:szCs w:val="26"/>
        </w:rPr>
        <w:t>de 201</w:t>
      </w:r>
      <w:r w:rsidR="005A110C">
        <w:rPr>
          <w:sz w:val="26"/>
          <w:szCs w:val="26"/>
        </w:rPr>
        <w:t>5</w:t>
      </w:r>
      <w:r w:rsidR="00E45A4B" w:rsidRPr="000E3A45">
        <w:rPr>
          <w:sz w:val="26"/>
          <w:szCs w:val="26"/>
        </w:rPr>
        <w:t xml:space="preserve">, fue de </w:t>
      </w:r>
      <w:r w:rsidR="00D05DEF" w:rsidRPr="000E3A45">
        <w:rPr>
          <w:sz w:val="26"/>
          <w:szCs w:val="26"/>
        </w:rPr>
        <w:t>1</w:t>
      </w:r>
      <w:r w:rsidR="001835F8" w:rsidRPr="000E3A45">
        <w:rPr>
          <w:sz w:val="26"/>
          <w:szCs w:val="26"/>
        </w:rPr>
        <w:t>4</w:t>
      </w:r>
      <w:r w:rsidR="00CA33ED" w:rsidRPr="000E3A45">
        <w:rPr>
          <w:sz w:val="26"/>
          <w:szCs w:val="26"/>
        </w:rPr>
        <w:t>.</w:t>
      </w:r>
      <w:r w:rsidR="0075157C">
        <w:rPr>
          <w:sz w:val="26"/>
          <w:szCs w:val="26"/>
        </w:rPr>
        <w:t>9184</w:t>
      </w:r>
      <w:r w:rsidR="00D05DEF" w:rsidRPr="000E3A45">
        <w:rPr>
          <w:sz w:val="26"/>
          <w:szCs w:val="26"/>
        </w:rPr>
        <w:t xml:space="preserve"> pesos por dólar,</w:t>
      </w:r>
      <w:r w:rsidR="000F4224" w:rsidRPr="000E3A45">
        <w:rPr>
          <w:sz w:val="26"/>
          <w:szCs w:val="26"/>
        </w:rPr>
        <w:t xml:space="preserve"> lo </w:t>
      </w:r>
      <w:r w:rsidR="00FF5F51" w:rsidRPr="000E3A45">
        <w:rPr>
          <w:sz w:val="26"/>
          <w:szCs w:val="26"/>
        </w:rPr>
        <w:t xml:space="preserve">que </w:t>
      </w:r>
      <w:r w:rsidR="008263E0" w:rsidRPr="000E3A45">
        <w:rPr>
          <w:sz w:val="26"/>
          <w:szCs w:val="26"/>
        </w:rPr>
        <w:t>significó</w:t>
      </w:r>
      <w:r w:rsidR="00291C3D" w:rsidRPr="000E3A45">
        <w:rPr>
          <w:sz w:val="26"/>
          <w:szCs w:val="26"/>
        </w:rPr>
        <w:t xml:space="preserve"> una </w:t>
      </w:r>
      <w:r w:rsidR="00CA33ED" w:rsidRPr="000E3A45">
        <w:rPr>
          <w:sz w:val="26"/>
          <w:szCs w:val="26"/>
        </w:rPr>
        <w:t>de</w:t>
      </w:r>
      <w:r w:rsidR="00A9248B" w:rsidRPr="000E3A45">
        <w:rPr>
          <w:sz w:val="26"/>
          <w:szCs w:val="26"/>
        </w:rPr>
        <w:t>p</w:t>
      </w:r>
      <w:r w:rsidR="008263E0" w:rsidRPr="000E3A45">
        <w:rPr>
          <w:sz w:val="26"/>
          <w:szCs w:val="26"/>
        </w:rPr>
        <w:t>re</w:t>
      </w:r>
      <w:r w:rsidR="005A3BA5">
        <w:rPr>
          <w:sz w:val="26"/>
          <w:szCs w:val="26"/>
        </w:rPr>
        <w:t>c</w:t>
      </w:r>
      <w:r w:rsidR="008263E0" w:rsidRPr="000E3A45">
        <w:rPr>
          <w:sz w:val="26"/>
          <w:szCs w:val="26"/>
        </w:rPr>
        <w:t>iación</w:t>
      </w:r>
      <w:r w:rsidR="00BB5FF6" w:rsidRPr="000E3A45">
        <w:rPr>
          <w:sz w:val="26"/>
          <w:szCs w:val="26"/>
        </w:rPr>
        <w:t xml:space="preserve"> de </w:t>
      </w:r>
      <w:r w:rsidR="005A110C">
        <w:rPr>
          <w:sz w:val="26"/>
          <w:szCs w:val="26"/>
        </w:rPr>
        <w:t>1.</w:t>
      </w:r>
      <w:r w:rsidR="0075157C">
        <w:rPr>
          <w:sz w:val="26"/>
          <w:szCs w:val="26"/>
        </w:rPr>
        <w:t>51</w:t>
      </w:r>
      <w:r w:rsidR="00BB5FF6" w:rsidRPr="000E3A45">
        <w:rPr>
          <w:sz w:val="26"/>
          <w:szCs w:val="26"/>
        </w:rPr>
        <w:t>% respecto a</w:t>
      </w:r>
      <w:r w:rsidR="00167645" w:rsidRPr="000E3A45">
        <w:rPr>
          <w:sz w:val="26"/>
          <w:szCs w:val="26"/>
        </w:rPr>
        <w:t xml:space="preserve">l </w:t>
      </w:r>
      <w:r w:rsidR="00CD6253" w:rsidRPr="000E3A45">
        <w:rPr>
          <w:sz w:val="26"/>
          <w:szCs w:val="26"/>
        </w:rPr>
        <w:t>promedio de</w:t>
      </w:r>
      <w:r w:rsidR="00167645" w:rsidRPr="000E3A45">
        <w:rPr>
          <w:sz w:val="26"/>
          <w:szCs w:val="26"/>
        </w:rPr>
        <w:t>l mes inmediato anterior</w:t>
      </w:r>
      <w:r w:rsidR="008E58BE" w:rsidRPr="000E3A45">
        <w:rPr>
          <w:sz w:val="26"/>
          <w:szCs w:val="26"/>
        </w:rPr>
        <w:t xml:space="preserve"> (1</w:t>
      </w:r>
      <w:r w:rsidR="005A110C">
        <w:rPr>
          <w:sz w:val="26"/>
          <w:szCs w:val="26"/>
        </w:rPr>
        <w:t>4.</w:t>
      </w:r>
      <w:r w:rsidR="00433909">
        <w:rPr>
          <w:sz w:val="26"/>
          <w:szCs w:val="26"/>
        </w:rPr>
        <w:t>6964</w:t>
      </w:r>
      <w:r w:rsidR="008E58BE" w:rsidRPr="000E3A45">
        <w:rPr>
          <w:sz w:val="26"/>
          <w:szCs w:val="26"/>
        </w:rPr>
        <w:t xml:space="preserve"> pesos por dólar)</w:t>
      </w:r>
      <w:r w:rsidR="00167645" w:rsidRPr="000E3A45">
        <w:rPr>
          <w:sz w:val="26"/>
          <w:szCs w:val="26"/>
        </w:rPr>
        <w:t xml:space="preserve">, </w:t>
      </w:r>
      <w:r w:rsidR="0081400D" w:rsidRPr="000E3A45">
        <w:rPr>
          <w:sz w:val="26"/>
          <w:szCs w:val="26"/>
        </w:rPr>
        <w:t xml:space="preserve">una </w:t>
      </w:r>
      <w:r w:rsidR="008E58BE" w:rsidRPr="000E3A45">
        <w:rPr>
          <w:sz w:val="26"/>
          <w:szCs w:val="26"/>
        </w:rPr>
        <w:t>d</w:t>
      </w:r>
      <w:r w:rsidR="006C2FE9" w:rsidRPr="000E3A45">
        <w:rPr>
          <w:sz w:val="26"/>
          <w:szCs w:val="26"/>
        </w:rPr>
        <w:t xml:space="preserve">e </w:t>
      </w:r>
      <w:r w:rsidR="001835F8" w:rsidRPr="000E3A45">
        <w:rPr>
          <w:sz w:val="26"/>
          <w:szCs w:val="26"/>
        </w:rPr>
        <w:t>2</w:t>
      </w:r>
      <w:r w:rsidR="00433909">
        <w:rPr>
          <w:sz w:val="26"/>
          <w:szCs w:val="26"/>
        </w:rPr>
        <w:t>.</w:t>
      </w:r>
      <w:r w:rsidR="0075157C">
        <w:rPr>
          <w:sz w:val="26"/>
          <w:szCs w:val="26"/>
        </w:rPr>
        <w:t>75</w:t>
      </w:r>
      <w:r w:rsidR="00167645" w:rsidRPr="000E3A45">
        <w:rPr>
          <w:sz w:val="26"/>
          <w:szCs w:val="26"/>
        </w:rPr>
        <w:t xml:space="preserve">% </w:t>
      </w:r>
      <w:r w:rsidR="006B3A5F" w:rsidRPr="000E3A45">
        <w:rPr>
          <w:sz w:val="26"/>
          <w:szCs w:val="26"/>
        </w:rPr>
        <w:t xml:space="preserve">con relación a </w:t>
      </w:r>
      <w:r w:rsidR="00433909">
        <w:rPr>
          <w:sz w:val="26"/>
          <w:szCs w:val="26"/>
        </w:rPr>
        <w:t xml:space="preserve">diciembre </w:t>
      </w:r>
      <w:r w:rsidR="00F407BA">
        <w:rPr>
          <w:sz w:val="26"/>
          <w:szCs w:val="26"/>
        </w:rPr>
        <w:t>pasado</w:t>
      </w:r>
      <w:r w:rsidR="008E58BE" w:rsidRPr="000E3A45">
        <w:rPr>
          <w:sz w:val="26"/>
          <w:szCs w:val="26"/>
        </w:rPr>
        <w:t xml:space="preserve"> (1</w:t>
      </w:r>
      <w:r w:rsidR="00433909">
        <w:rPr>
          <w:sz w:val="26"/>
          <w:szCs w:val="26"/>
        </w:rPr>
        <w:t>4</w:t>
      </w:r>
      <w:r w:rsidR="008E58BE" w:rsidRPr="000E3A45">
        <w:rPr>
          <w:sz w:val="26"/>
          <w:szCs w:val="26"/>
        </w:rPr>
        <w:t>.</w:t>
      </w:r>
      <w:r w:rsidR="00433909">
        <w:rPr>
          <w:sz w:val="26"/>
          <w:szCs w:val="26"/>
        </w:rPr>
        <w:t>5198</w:t>
      </w:r>
      <w:r w:rsidR="008E58BE" w:rsidRPr="000E3A45">
        <w:rPr>
          <w:sz w:val="26"/>
          <w:szCs w:val="26"/>
        </w:rPr>
        <w:t xml:space="preserve"> pesos por dólar)</w:t>
      </w:r>
      <w:r w:rsidR="00F407BA">
        <w:rPr>
          <w:sz w:val="26"/>
          <w:szCs w:val="26"/>
        </w:rPr>
        <w:t>, y de 12.</w:t>
      </w:r>
      <w:r w:rsidR="0075157C">
        <w:rPr>
          <w:sz w:val="26"/>
          <w:szCs w:val="26"/>
        </w:rPr>
        <w:t>35</w:t>
      </w:r>
      <w:r w:rsidR="00F407BA">
        <w:rPr>
          <w:sz w:val="26"/>
          <w:szCs w:val="26"/>
        </w:rPr>
        <w:t>% si se le compara con febrero de 2014 (13.2784 pesos por dólar).</w:t>
      </w:r>
    </w:p>
    <w:p w14:paraId="15B0268E" w14:textId="7DFA89D6" w:rsidR="0075157C" w:rsidRPr="000E3A45" w:rsidRDefault="0075157C" w:rsidP="00C77FA1">
      <w:pPr>
        <w:spacing w:after="360" w:line="360" w:lineRule="auto"/>
        <w:ind w:right="-159"/>
        <w:jc w:val="both"/>
        <w:rPr>
          <w:sz w:val="26"/>
          <w:szCs w:val="26"/>
        </w:rPr>
      </w:pPr>
      <w:r>
        <w:rPr>
          <w:sz w:val="26"/>
          <w:szCs w:val="26"/>
        </w:rPr>
        <w:t xml:space="preserve">Asimismo, </w:t>
      </w:r>
      <w:r w:rsidRPr="000E3A45">
        <w:rPr>
          <w:sz w:val="26"/>
          <w:szCs w:val="26"/>
        </w:rPr>
        <w:t xml:space="preserve">la cotización promedio del peso interbancario a 48 horas frente al dólar </w:t>
      </w:r>
      <w:r w:rsidR="00247FB0">
        <w:rPr>
          <w:sz w:val="26"/>
          <w:szCs w:val="26"/>
        </w:rPr>
        <w:t xml:space="preserve">del 2 </w:t>
      </w:r>
      <w:r>
        <w:rPr>
          <w:sz w:val="26"/>
          <w:szCs w:val="26"/>
        </w:rPr>
        <w:t>al 17 de</w:t>
      </w:r>
      <w:r w:rsidRPr="000E3A45">
        <w:rPr>
          <w:sz w:val="26"/>
          <w:szCs w:val="26"/>
        </w:rPr>
        <w:t xml:space="preserve"> </w:t>
      </w:r>
      <w:r>
        <w:rPr>
          <w:sz w:val="26"/>
          <w:szCs w:val="26"/>
        </w:rPr>
        <w:t>marzo</w:t>
      </w:r>
      <w:r w:rsidRPr="000E3A45">
        <w:rPr>
          <w:sz w:val="26"/>
          <w:szCs w:val="26"/>
        </w:rPr>
        <w:t xml:space="preserve"> de 201</w:t>
      </w:r>
      <w:r>
        <w:rPr>
          <w:sz w:val="26"/>
          <w:szCs w:val="26"/>
        </w:rPr>
        <w:t>5</w:t>
      </w:r>
      <w:r w:rsidRPr="000E3A45">
        <w:rPr>
          <w:sz w:val="26"/>
          <w:szCs w:val="26"/>
        </w:rPr>
        <w:t>, fue de 1</w:t>
      </w:r>
      <w:r>
        <w:rPr>
          <w:sz w:val="26"/>
          <w:szCs w:val="26"/>
        </w:rPr>
        <w:t>5</w:t>
      </w:r>
      <w:r w:rsidRPr="000E3A45">
        <w:rPr>
          <w:sz w:val="26"/>
          <w:szCs w:val="26"/>
        </w:rPr>
        <w:t>.</w:t>
      </w:r>
      <w:r>
        <w:rPr>
          <w:sz w:val="26"/>
          <w:szCs w:val="26"/>
        </w:rPr>
        <w:t>3340</w:t>
      </w:r>
      <w:r w:rsidRPr="000E3A45">
        <w:rPr>
          <w:sz w:val="26"/>
          <w:szCs w:val="26"/>
        </w:rPr>
        <w:t xml:space="preserve"> pesos por dólar, lo que </w:t>
      </w:r>
      <w:r>
        <w:rPr>
          <w:sz w:val="26"/>
          <w:szCs w:val="26"/>
        </w:rPr>
        <w:t>representó</w:t>
      </w:r>
      <w:r w:rsidRPr="000E3A45">
        <w:rPr>
          <w:sz w:val="26"/>
          <w:szCs w:val="26"/>
        </w:rPr>
        <w:t xml:space="preserve"> una depre</w:t>
      </w:r>
      <w:r>
        <w:rPr>
          <w:sz w:val="26"/>
          <w:szCs w:val="26"/>
        </w:rPr>
        <w:t>c</w:t>
      </w:r>
      <w:r w:rsidRPr="000E3A45">
        <w:rPr>
          <w:sz w:val="26"/>
          <w:szCs w:val="26"/>
        </w:rPr>
        <w:t xml:space="preserve">iación de </w:t>
      </w:r>
      <w:r>
        <w:rPr>
          <w:sz w:val="26"/>
          <w:szCs w:val="26"/>
        </w:rPr>
        <w:t>2.79</w:t>
      </w:r>
      <w:r w:rsidRPr="000E3A45">
        <w:rPr>
          <w:sz w:val="26"/>
          <w:szCs w:val="26"/>
        </w:rPr>
        <w:t xml:space="preserve">% con respecto al promedio de </w:t>
      </w:r>
      <w:r>
        <w:rPr>
          <w:sz w:val="26"/>
          <w:szCs w:val="26"/>
        </w:rPr>
        <w:t>febrero</w:t>
      </w:r>
      <w:r w:rsidRPr="000E3A45">
        <w:rPr>
          <w:sz w:val="26"/>
          <w:szCs w:val="26"/>
        </w:rPr>
        <w:t xml:space="preserve"> </w:t>
      </w:r>
      <w:r>
        <w:rPr>
          <w:sz w:val="26"/>
          <w:szCs w:val="26"/>
        </w:rPr>
        <w:t>pasado</w:t>
      </w:r>
      <w:r w:rsidRPr="000E3A45">
        <w:rPr>
          <w:sz w:val="26"/>
          <w:szCs w:val="26"/>
        </w:rPr>
        <w:t xml:space="preserve"> (1</w:t>
      </w:r>
      <w:r>
        <w:rPr>
          <w:sz w:val="26"/>
          <w:szCs w:val="26"/>
        </w:rPr>
        <w:t>4.9184</w:t>
      </w:r>
      <w:r w:rsidRPr="000E3A45">
        <w:rPr>
          <w:sz w:val="26"/>
          <w:szCs w:val="26"/>
        </w:rPr>
        <w:t xml:space="preserve"> pesos por dólar), una de </w:t>
      </w:r>
      <w:r>
        <w:rPr>
          <w:sz w:val="26"/>
          <w:szCs w:val="26"/>
        </w:rPr>
        <w:t>5.61</w:t>
      </w:r>
      <w:r w:rsidRPr="000E3A45">
        <w:rPr>
          <w:sz w:val="26"/>
          <w:szCs w:val="26"/>
        </w:rPr>
        <w:t xml:space="preserve">% con relación a </w:t>
      </w:r>
      <w:r>
        <w:rPr>
          <w:sz w:val="26"/>
          <w:szCs w:val="26"/>
        </w:rPr>
        <w:t>diciembre pasado</w:t>
      </w:r>
      <w:r w:rsidRPr="000E3A45">
        <w:rPr>
          <w:sz w:val="26"/>
          <w:szCs w:val="26"/>
        </w:rPr>
        <w:t xml:space="preserve"> (1</w:t>
      </w:r>
      <w:r>
        <w:rPr>
          <w:sz w:val="26"/>
          <w:szCs w:val="26"/>
        </w:rPr>
        <w:t>4</w:t>
      </w:r>
      <w:r w:rsidRPr="000E3A45">
        <w:rPr>
          <w:sz w:val="26"/>
          <w:szCs w:val="26"/>
        </w:rPr>
        <w:t>.</w:t>
      </w:r>
      <w:r>
        <w:rPr>
          <w:sz w:val="26"/>
          <w:szCs w:val="26"/>
        </w:rPr>
        <w:t>5198</w:t>
      </w:r>
      <w:r w:rsidRPr="000E3A45">
        <w:rPr>
          <w:sz w:val="26"/>
          <w:szCs w:val="26"/>
        </w:rPr>
        <w:t xml:space="preserve"> pesos por dólar)</w:t>
      </w:r>
      <w:r>
        <w:rPr>
          <w:sz w:val="26"/>
          <w:szCs w:val="26"/>
        </w:rPr>
        <w:t>, y de 16.13% si se le compara con el promedio de marzo de 2014 (13.2036 pesos por dólar).</w:t>
      </w:r>
    </w:p>
    <w:p w14:paraId="04691191" w14:textId="39D3C890" w:rsidR="00021710" w:rsidRPr="000E3A45" w:rsidRDefault="0075157C" w:rsidP="00021710">
      <w:pPr>
        <w:spacing w:after="360" w:line="360" w:lineRule="auto"/>
        <w:ind w:right="-159"/>
        <w:jc w:val="center"/>
        <w:rPr>
          <w:sz w:val="26"/>
          <w:szCs w:val="26"/>
        </w:rPr>
      </w:pPr>
      <w:r w:rsidRPr="0075157C">
        <w:rPr>
          <w:rFonts w:ascii="Calibri" w:eastAsia="Calibri" w:hAnsi="Calibri"/>
          <w:sz w:val="22"/>
          <w:szCs w:val="22"/>
          <w:lang w:eastAsia="en-US"/>
        </w:rPr>
        <w:lastRenderedPageBreak/>
        <w:fldChar w:fldCharType="begin"/>
      </w:r>
      <w:r w:rsidRPr="0075157C">
        <w:rPr>
          <w:rFonts w:ascii="Calibri" w:eastAsia="Calibri" w:hAnsi="Calibri"/>
          <w:sz w:val="22"/>
          <w:szCs w:val="22"/>
          <w:lang w:eastAsia="en-US"/>
        </w:rPr>
        <w:instrText xml:space="preserve"> LINK PowerPoint.Slide.8 "D:\\2015\\MARZO 2014\\GRÁFICAS EN POWER POINT\\27.-GRÁFICAS DE TIPO DE CAMBIO.pptx!268" "" \a \p </w:instrText>
      </w:r>
      <w:r w:rsidRPr="0075157C">
        <w:rPr>
          <w:rFonts w:ascii="Calibri" w:eastAsia="Calibri" w:hAnsi="Calibri"/>
          <w:sz w:val="22"/>
          <w:szCs w:val="22"/>
          <w:lang w:eastAsia="en-US"/>
        </w:rPr>
        <w:fldChar w:fldCharType="separate"/>
      </w:r>
      <w:r w:rsidRPr="0075157C">
        <w:rPr>
          <w:rFonts w:ascii="Calibri" w:eastAsia="Calibri" w:hAnsi="Calibri"/>
          <w:noProof/>
          <w:sz w:val="22"/>
          <w:szCs w:val="22"/>
          <w:lang w:eastAsia="es-MX"/>
        </w:rPr>
        <w:drawing>
          <wp:inline distT="0" distB="0" distL="0" distR="0" wp14:anchorId="36F3F498" wp14:editId="01ABE098">
            <wp:extent cx="4559935" cy="3305175"/>
            <wp:effectExtent l="0" t="0" r="0" b="9525"/>
            <wp:docPr id="1600" name="Imagen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9"/>
                    <pic:cNvPicPr>
                      <a:picLocks noChangeAspect="1" noChangeArrowheads="1"/>
                    </pic:cNvPicPr>
                  </pic:nvPicPr>
                  <pic:blipFill>
                    <a:blip r:embed="rId446" cstate="print">
                      <a:extLst>
                        <a:ext uri="{28A0092B-C50C-407E-A947-70E740481C1C}">
                          <a14:useLocalDpi xmlns:a14="http://schemas.microsoft.com/office/drawing/2010/main" val="0"/>
                        </a:ext>
                      </a:extLst>
                    </a:blip>
                    <a:srcRect b="3612"/>
                    <a:stretch>
                      <a:fillRect/>
                    </a:stretch>
                  </pic:blipFill>
                  <pic:spPr bwMode="auto">
                    <a:xfrm>
                      <a:off x="0" y="0"/>
                      <a:ext cx="4559935" cy="3305175"/>
                    </a:xfrm>
                    <a:prstGeom prst="rect">
                      <a:avLst/>
                    </a:prstGeom>
                    <a:noFill/>
                    <a:ln>
                      <a:noFill/>
                    </a:ln>
                  </pic:spPr>
                </pic:pic>
              </a:graphicData>
            </a:graphic>
          </wp:inline>
        </w:drawing>
      </w:r>
      <w:r w:rsidRPr="0075157C">
        <w:rPr>
          <w:rFonts w:ascii="Calibri" w:eastAsia="Calibri" w:hAnsi="Calibri"/>
          <w:sz w:val="22"/>
          <w:szCs w:val="22"/>
          <w:lang w:eastAsia="en-US"/>
        </w:rPr>
        <w:fldChar w:fldCharType="end"/>
      </w:r>
    </w:p>
    <w:p w14:paraId="4DD3A32B" w14:textId="233D1D22" w:rsidR="009234DA" w:rsidRPr="000E3A45" w:rsidRDefault="000431E5" w:rsidP="00352D4E">
      <w:pPr>
        <w:spacing w:after="360" w:line="360" w:lineRule="auto"/>
        <w:ind w:right="-159"/>
        <w:jc w:val="both"/>
        <w:rPr>
          <w:sz w:val="26"/>
          <w:szCs w:val="26"/>
        </w:rPr>
      </w:pPr>
      <w:r>
        <w:rPr>
          <w:sz w:val="26"/>
          <w:szCs w:val="26"/>
        </w:rPr>
        <w:t xml:space="preserve">A consecuencia de la persistente </w:t>
      </w:r>
      <w:r w:rsidR="00EB4F55" w:rsidRPr="000E3A45">
        <w:rPr>
          <w:sz w:val="26"/>
          <w:szCs w:val="26"/>
        </w:rPr>
        <w:t xml:space="preserve">volatilidad </w:t>
      </w:r>
      <w:r w:rsidR="0064323D" w:rsidRPr="000E3A45">
        <w:rPr>
          <w:sz w:val="26"/>
          <w:szCs w:val="26"/>
        </w:rPr>
        <w:t>en los mercados cambiarios internacionales, d</w:t>
      </w:r>
      <w:r w:rsidR="00527E00" w:rsidRPr="000E3A45">
        <w:rPr>
          <w:sz w:val="26"/>
          <w:szCs w:val="26"/>
        </w:rPr>
        <w:t>urante</w:t>
      </w:r>
      <w:r w:rsidR="006C2ED6" w:rsidRPr="000E3A45">
        <w:rPr>
          <w:sz w:val="26"/>
          <w:szCs w:val="26"/>
        </w:rPr>
        <w:t xml:space="preserve"> </w:t>
      </w:r>
      <w:r w:rsidR="00BF1DD9" w:rsidRPr="000E3A45">
        <w:rPr>
          <w:sz w:val="26"/>
          <w:szCs w:val="26"/>
        </w:rPr>
        <w:t xml:space="preserve">los primeros </w:t>
      </w:r>
      <w:r w:rsidR="00EB4F55" w:rsidRPr="000E3A45">
        <w:rPr>
          <w:sz w:val="26"/>
          <w:szCs w:val="26"/>
        </w:rPr>
        <w:t>1</w:t>
      </w:r>
      <w:r w:rsidR="00435D91">
        <w:rPr>
          <w:sz w:val="26"/>
          <w:szCs w:val="26"/>
        </w:rPr>
        <w:t>7</w:t>
      </w:r>
      <w:r w:rsidR="00BF1DD9" w:rsidRPr="000E3A45">
        <w:rPr>
          <w:sz w:val="26"/>
          <w:szCs w:val="26"/>
        </w:rPr>
        <w:t xml:space="preserve"> días de </w:t>
      </w:r>
      <w:r w:rsidR="00435D91">
        <w:rPr>
          <w:sz w:val="26"/>
          <w:szCs w:val="26"/>
        </w:rPr>
        <w:t>marzo</w:t>
      </w:r>
      <w:r w:rsidR="00527E00" w:rsidRPr="000E3A45">
        <w:rPr>
          <w:sz w:val="26"/>
          <w:szCs w:val="26"/>
        </w:rPr>
        <w:t xml:space="preserve"> del </w:t>
      </w:r>
      <w:r>
        <w:rPr>
          <w:sz w:val="26"/>
          <w:szCs w:val="26"/>
        </w:rPr>
        <w:t xml:space="preserve">presente </w:t>
      </w:r>
      <w:r w:rsidR="00527E00" w:rsidRPr="000E3A45">
        <w:rPr>
          <w:sz w:val="26"/>
          <w:szCs w:val="26"/>
        </w:rPr>
        <w:t xml:space="preserve">año, </w:t>
      </w:r>
      <w:r w:rsidR="00CD6253" w:rsidRPr="000E3A45">
        <w:rPr>
          <w:sz w:val="26"/>
          <w:szCs w:val="26"/>
        </w:rPr>
        <w:t>la cotización promedio del peso interbancario a 48 horas frente al dólar</w:t>
      </w:r>
      <w:r w:rsidR="00F473CA" w:rsidRPr="000E3A45">
        <w:rPr>
          <w:sz w:val="26"/>
          <w:szCs w:val="26"/>
        </w:rPr>
        <w:t xml:space="preserve"> re</w:t>
      </w:r>
      <w:r w:rsidR="0064323D" w:rsidRPr="000E3A45">
        <w:rPr>
          <w:sz w:val="26"/>
          <w:szCs w:val="26"/>
        </w:rPr>
        <w:t xml:space="preserve">portó una trayectoria de </w:t>
      </w:r>
      <w:r w:rsidR="00EB4F55" w:rsidRPr="000E3A45">
        <w:rPr>
          <w:sz w:val="26"/>
          <w:szCs w:val="26"/>
        </w:rPr>
        <w:t>mixta</w:t>
      </w:r>
      <w:r w:rsidR="00435D91">
        <w:rPr>
          <w:sz w:val="26"/>
          <w:szCs w:val="26"/>
        </w:rPr>
        <w:t xml:space="preserve"> aunque por encima de los 15 pesos por dólar, excepto el día 3 cuando registró una cotización de 14.9800 pesos por dólar</w:t>
      </w:r>
      <w:r w:rsidR="008352F9" w:rsidRPr="000E3A45">
        <w:rPr>
          <w:sz w:val="26"/>
          <w:szCs w:val="26"/>
        </w:rPr>
        <w:t>.</w:t>
      </w:r>
      <w:r w:rsidR="00BF1DD9" w:rsidRPr="000E3A45">
        <w:rPr>
          <w:sz w:val="26"/>
          <w:szCs w:val="26"/>
        </w:rPr>
        <w:t xml:space="preserve"> </w:t>
      </w:r>
      <w:r w:rsidR="0047063F" w:rsidRPr="000E3A45">
        <w:rPr>
          <w:sz w:val="26"/>
          <w:szCs w:val="26"/>
        </w:rPr>
        <w:t xml:space="preserve">Así, </w:t>
      </w:r>
      <w:r w:rsidR="00CD6253" w:rsidRPr="000E3A45">
        <w:rPr>
          <w:sz w:val="26"/>
          <w:szCs w:val="26"/>
        </w:rPr>
        <w:t xml:space="preserve">el </w:t>
      </w:r>
      <w:r w:rsidR="008352F9" w:rsidRPr="000E3A45">
        <w:rPr>
          <w:sz w:val="26"/>
          <w:szCs w:val="26"/>
        </w:rPr>
        <w:t xml:space="preserve">nivel </w:t>
      </w:r>
      <w:r w:rsidR="007B27C0" w:rsidRPr="000E3A45">
        <w:rPr>
          <w:sz w:val="26"/>
          <w:szCs w:val="26"/>
        </w:rPr>
        <w:t xml:space="preserve">máximo de la paridad cambiaria se alcanzó el día </w:t>
      </w:r>
      <w:r w:rsidR="005E48CC">
        <w:rPr>
          <w:sz w:val="26"/>
          <w:szCs w:val="26"/>
        </w:rPr>
        <w:t>1</w:t>
      </w:r>
      <w:r w:rsidR="00435D91">
        <w:rPr>
          <w:sz w:val="26"/>
          <w:szCs w:val="26"/>
        </w:rPr>
        <w:t>0</w:t>
      </w:r>
      <w:r w:rsidR="007B27C0" w:rsidRPr="000E3A45">
        <w:rPr>
          <w:sz w:val="26"/>
          <w:szCs w:val="26"/>
        </w:rPr>
        <w:t xml:space="preserve"> al ubicarse en </w:t>
      </w:r>
      <w:r w:rsidR="001A729C" w:rsidRPr="000E3A45">
        <w:rPr>
          <w:sz w:val="26"/>
          <w:szCs w:val="26"/>
        </w:rPr>
        <w:t>1</w:t>
      </w:r>
      <w:r w:rsidR="005E48CC">
        <w:rPr>
          <w:sz w:val="26"/>
          <w:szCs w:val="26"/>
        </w:rPr>
        <w:t>5</w:t>
      </w:r>
      <w:r w:rsidR="000C43DF" w:rsidRPr="000E3A45">
        <w:rPr>
          <w:sz w:val="26"/>
          <w:szCs w:val="26"/>
        </w:rPr>
        <w:t>.</w:t>
      </w:r>
      <w:r w:rsidR="005E48CC">
        <w:rPr>
          <w:sz w:val="26"/>
          <w:szCs w:val="26"/>
        </w:rPr>
        <w:t>6</w:t>
      </w:r>
      <w:r w:rsidR="00435D91">
        <w:rPr>
          <w:sz w:val="26"/>
          <w:szCs w:val="26"/>
        </w:rPr>
        <w:t>25</w:t>
      </w:r>
      <w:r w:rsidR="005E48CC">
        <w:rPr>
          <w:sz w:val="26"/>
          <w:szCs w:val="26"/>
        </w:rPr>
        <w:t>0</w:t>
      </w:r>
      <w:r w:rsidR="00667320" w:rsidRPr="000E3A45">
        <w:rPr>
          <w:sz w:val="26"/>
          <w:szCs w:val="26"/>
        </w:rPr>
        <w:t xml:space="preserve"> </w:t>
      </w:r>
      <w:r w:rsidR="001A729C" w:rsidRPr="000E3A45">
        <w:rPr>
          <w:sz w:val="26"/>
          <w:szCs w:val="26"/>
        </w:rPr>
        <w:t>pesos por dólar</w:t>
      </w:r>
      <w:r w:rsidR="00435D91">
        <w:rPr>
          <w:sz w:val="26"/>
          <w:szCs w:val="26"/>
        </w:rPr>
        <w:t>, para posterirmente lograr una recuperación mínima en los siguientes días hasta cerrar el día 17 de marzo en 15.3950 pesos por dó</w:t>
      </w:r>
      <w:r w:rsidR="00247FB0">
        <w:rPr>
          <w:sz w:val="26"/>
          <w:szCs w:val="26"/>
        </w:rPr>
        <w:t>lar</w:t>
      </w:r>
      <w:r w:rsidR="008352F9" w:rsidRPr="000E3A45">
        <w:rPr>
          <w:sz w:val="26"/>
          <w:szCs w:val="26"/>
        </w:rPr>
        <w:t>.</w:t>
      </w:r>
      <w:r w:rsidR="005E48CC">
        <w:rPr>
          <w:sz w:val="26"/>
          <w:szCs w:val="26"/>
        </w:rPr>
        <w:t xml:space="preserve"> Se prevé que la volatilidad externa se mantenga en las próximas semanas</w:t>
      </w:r>
      <w:r w:rsidR="007B27C0" w:rsidRPr="000E3A45">
        <w:rPr>
          <w:sz w:val="26"/>
          <w:szCs w:val="26"/>
        </w:rPr>
        <w:t>.</w:t>
      </w:r>
    </w:p>
    <w:p w14:paraId="04B6DA30" w14:textId="3A156C58" w:rsidR="00591AF2" w:rsidRDefault="0075157C" w:rsidP="00591AF2">
      <w:pPr>
        <w:spacing w:after="360" w:line="360" w:lineRule="auto"/>
        <w:ind w:right="-159"/>
        <w:jc w:val="center"/>
        <w:rPr>
          <w:rFonts w:ascii="Calibri" w:eastAsia="Calibri" w:hAnsi="Calibri"/>
          <w:sz w:val="22"/>
          <w:szCs w:val="22"/>
          <w:lang w:eastAsia="en-US"/>
        </w:rPr>
      </w:pPr>
      <w:r w:rsidRPr="0075157C">
        <w:rPr>
          <w:rFonts w:ascii="Calibri" w:eastAsia="Calibri" w:hAnsi="Calibri"/>
          <w:sz w:val="22"/>
          <w:szCs w:val="22"/>
          <w:lang w:eastAsia="en-US"/>
        </w:rPr>
        <w:lastRenderedPageBreak/>
        <w:fldChar w:fldCharType="begin"/>
      </w:r>
      <w:r w:rsidRPr="0075157C">
        <w:rPr>
          <w:rFonts w:ascii="Calibri" w:eastAsia="Calibri" w:hAnsi="Calibri"/>
          <w:sz w:val="22"/>
          <w:szCs w:val="22"/>
          <w:lang w:eastAsia="en-US"/>
        </w:rPr>
        <w:instrText xml:space="preserve"> LINK PowerPoint.Slide.8 "D:\\2015\\MARZO 2014\\GRÁFICAS EN POWER POINT\\27.-GRÁFICAS DE TIPO DE CAMBIO.pptx!271" "" \a \p </w:instrText>
      </w:r>
      <w:r w:rsidRPr="0075157C">
        <w:rPr>
          <w:rFonts w:ascii="Calibri" w:eastAsia="Calibri" w:hAnsi="Calibri"/>
          <w:sz w:val="22"/>
          <w:szCs w:val="22"/>
          <w:lang w:eastAsia="en-US"/>
        </w:rPr>
        <w:fldChar w:fldCharType="separate"/>
      </w:r>
      <w:r w:rsidRPr="0075157C">
        <w:rPr>
          <w:rFonts w:ascii="Calibri" w:eastAsia="Calibri" w:hAnsi="Calibri"/>
          <w:noProof/>
          <w:sz w:val="22"/>
          <w:szCs w:val="22"/>
          <w:lang w:eastAsia="es-MX"/>
        </w:rPr>
        <w:drawing>
          <wp:inline distT="0" distB="0" distL="0" distR="0" wp14:anchorId="26E63A53" wp14:editId="0B89A1EB">
            <wp:extent cx="4275455" cy="3008630"/>
            <wp:effectExtent l="0" t="0" r="0" b="1270"/>
            <wp:docPr id="1601" name="Imagen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1"/>
                    <pic:cNvPicPr>
                      <a:picLocks noChangeAspect="1" noChangeArrowheads="1"/>
                    </pic:cNvPicPr>
                  </pic:nvPicPr>
                  <pic:blipFill>
                    <a:blip r:embed="rId447" cstate="print">
                      <a:extLst>
                        <a:ext uri="{28A0092B-C50C-407E-A947-70E740481C1C}">
                          <a14:useLocalDpi xmlns:a14="http://schemas.microsoft.com/office/drawing/2010/main" val="0"/>
                        </a:ext>
                      </a:extLst>
                    </a:blip>
                    <a:srcRect l="2922" t="8888" r="3340" b="3334"/>
                    <a:stretch>
                      <a:fillRect/>
                    </a:stretch>
                  </pic:blipFill>
                  <pic:spPr bwMode="auto">
                    <a:xfrm>
                      <a:off x="0" y="0"/>
                      <a:ext cx="4275455" cy="3008630"/>
                    </a:xfrm>
                    <a:prstGeom prst="rect">
                      <a:avLst/>
                    </a:prstGeom>
                    <a:noFill/>
                    <a:ln>
                      <a:noFill/>
                    </a:ln>
                  </pic:spPr>
                </pic:pic>
              </a:graphicData>
            </a:graphic>
          </wp:inline>
        </w:drawing>
      </w:r>
      <w:r w:rsidRPr="0075157C">
        <w:rPr>
          <w:rFonts w:ascii="Calibri" w:eastAsia="Calibri" w:hAnsi="Calibri"/>
          <w:sz w:val="22"/>
          <w:szCs w:val="22"/>
          <w:lang w:eastAsia="en-US"/>
        </w:rPr>
        <w:fldChar w:fldCharType="end"/>
      </w:r>
    </w:p>
    <w:p w14:paraId="57E5CF65" w14:textId="77777777" w:rsidR="000B0616" w:rsidRDefault="000B0616" w:rsidP="00591AF2">
      <w:pPr>
        <w:spacing w:after="360" w:line="360" w:lineRule="auto"/>
        <w:ind w:right="-159"/>
        <w:jc w:val="center"/>
        <w:rPr>
          <w:rFonts w:ascii="Calibri" w:eastAsia="Calibri" w:hAnsi="Calibri"/>
          <w:sz w:val="22"/>
          <w:szCs w:val="22"/>
          <w:lang w:eastAsia="en-US"/>
        </w:rPr>
      </w:pPr>
    </w:p>
    <w:p w14:paraId="26523A06" w14:textId="77777777" w:rsidR="000B0616" w:rsidRDefault="000B0616" w:rsidP="00591AF2">
      <w:pPr>
        <w:spacing w:after="360" w:line="360" w:lineRule="auto"/>
        <w:ind w:right="-159"/>
        <w:jc w:val="center"/>
        <w:rPr>
          <w:rFonts w:ascii="Calibri" w:eastAsia="Calibri" w:hAnsi="Calibri"/>
          <w:sz w:val="22"/>
          <w:szCs w:val="22"/>
          <w:lang w:eastAsia="en-US"/>
        </w:rPr>
      </w:pPr>
    </w:p>
    <w:p w14:paraId="3B88B3F9" w14:textId="77777777" w:rsidR="000B0616" w:rsidRDefault="000B0616" w:rsidP="00591AF2">
      <w:pPr>
        <w:spacing w:after="360" w:line="360" w:lineRule="auto"/>
        <w:ind w:right="-159"/>
        <w:jc w:val="center"/>
        <w:rPr>
          <w:rFonts w:ascii="Calibri" w:eastAsia="Calibri" w:hAnsi="Calibri"/>
          <w:sz w:val="22"/>
          <w:szCs w:val="22"/>
          <w:lang w:eastAsia="en-US"/>
        </w:rPr>
      </w:pPr>
    </w:p>
    <w:p w14:paraId="066D2F5A" w14:textId="77777777" w:rsidR="000B0616" w:rsidRDefault="000B0616" w:rsidP="00591AF2">
      <w:pPr>
        <w:spacing w:after="360" w:line="360" w:lineRule="auto"/>
        <w:ind w:right="-159"/>
        <w:jc w:val="center"/>
        <w:rPr>
          <w:rFonts w:ascii="Calibri" w:eastAsia="Calibri" w:hAnsi="Calibri"/>
          <w:sz w:val="22"/>
          <w:szCs w:val="22"/>
          <w:lang w:eastAsia="en-US"/>
        </w:rPr>
      </w:pPr>
    </w:p>
    <w:p w14:paraId="25BE45A5" w14:textId="77777777" w:rsidR="000B0616" w:rsidRDefault="000B0616" w:rsidP="00591AF2">
      <w:pPr>
        <w:spacing w:after="360" w:line="360" w:lineRule="auto"/>
        <w:ind w:right="-159"/>
        <w:jc w:val="center"/>
        <w:rPr>
          <w:rFonts w:ascii="Calibri" w:eastAsia="Calibri" w:hAnsi="Calibri"/>
          <w:sz w:val="22"/>
          <w:szCs w:val="22"/>
          <w:lang w:eastAsia="en-US"/>
        </w:rPr>
      </w:pPr>
    </w:p>
    <w:p w14:paraId="0F829C64" w14:textId="77777777" w:rsidR="000B0616" w:rsidRDefault="000B0616" w:rsidP="00591AF2">
      <w:pPr>
        <w:spacing w:after="360" w:line="360" w:lineRule="auto"/>
        <w:ind w:right="-159"/>
        <w:jc w:val="center"/>
        <w:rPr>
          <w:rFonts w:ascii="Calibri" w:eastAsia="Calibri" w:hAnsi="Calibri"/>
          <w:sz w:val="22"/>
          <w:szCs w:val="22"/>
          <w:lang w:eastAsia="en-US"/>
        </w:rPr>
      </w:pPr>
    </w:p>
    <w:p w14:paraId="20B66CD1" w14:textId="77777777" w:rsidR="000B0616" w:rsidRDefault="000B0616" w:rsidP="00591AF2">
      <w:pPr>
        <w:spacing w:after="360" w:line="360" w:lineRule="auto"/>
        <w:ind w:right="-159"/>
        <w:jc w:val="center"/>
        <w:rPr>
          <w:rFonts w:ascii="Calibri" w:eastAsia="Calibri" w:hAnsi="Calibri"/>
          <w:sz w:val="22"/>
          <w:szCs w:val="22"/>
          <w:lang w:eastAsia="en-US"/>
        </w:rPr>
      </w:pPr>
    </w:p>
    <w:p w14:paraId="11794227" w14:textId="77777777" w:rsidR="000B0616" w:rsidRDefault="000B0616" w:rsidP="00591AF2">
      <w:pPr>
        <w:spacing w:after="360" w:line="360" w:lineRule="auto"/>
        <w:ind w:right="-159"/>
        <w:jc w:val="center"/>
        <w:rPr>
          <w:rFonts w:ascii="Calibri" w:eastAsia="Calibri" w:hAnsi="Calibri"/>
          <w:sz w:val="22"/>
          <w:szCs w:val="22"/>
          <w:lang w:eastAsia="en-US"/>
        </w:rPr>
      </w:pPr>
    </w:p>
    <w:p w14:paraId="73EB9CCB" w14:textId="77777777" w:rsidR="000B0616" w:rsidRDefault="000B0616" w:rsidP="00591AF2">
      <w:pPr>
        <w:spacing w:after="360" w:line="360" w:lineRule="auto"/>
        <w:ind w:right="-159"/>
        <w:jc w:val="center"/>
        <w:rPr>
          <w:rFonts w:ascii="Calibri" w:eastAsia="Calibri" w:hAnsi="Calibri"/>
          <w:sz w:val="22"/>
          <w:szCs w:val="22"/>
          <w:lang w:eastAsia="en-US"/>
        </w:rPr>
      </w:pPr>
    </w:p>
    <w:p w14:paraId="30EB14A7" w14:textId="77777777" w:rsidR="000B0616" w:rsidRPr="000E3A45" w:rsidRDefault="000B0616" w:rsidP="00591AF2">
      <w:pPr>
        <w:spacing w:after="360" w:line="360" w:lineRule="auto"/>
        <w:ind w:right="-159"/>
        <w:jc w:val="center"/>
        <w:rPr>
          <w:sz w:val="26"/>
          <w:szCs w:val="26"/>
        </w:rPr>
      </w:pPr>
    </w:p>
    <w:p w14:paraId="098BA151" w14:textId="77777777" w:rsidR="0029441E" w:rsidRDefault="0029441E" w:rsidP="0029441E">
      <w:pPr>
        <w:ind w:right="-159"/>
        <w:jc w:val="both"/>
        <w:rPr>
          <w:sz w:val="26"/>
          <w:szCs w:val="2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7"/>
        <w:gridCol w:w="2348"/>
        <w:gridCol w:w="2238"/>
        <w:gridCol w:w="2238"/>
      </w:tblGrid>
      <w:tr w:rsidR="004D2A7C" w:rsidRPr="000E3A45" w14:paraId="1FC4CCD9" w14:textId="77777777" w:rsidTr="00772451">
        <w:trPr>
          <w:jc w:val="center"/>
        </w:trPr>
        <w:tc>
          <w:tcPr>
            <w:tcW w:w="8051" w:type="dxa"/>
            <w:gridSpan w:val="4"/>
            <w:tcBorders>
              <w:top w:val="nil"/>
              <w:left w:val="nil"/>
              <w:right w:val="nil"/>
            </w:tcBorders>
            <w:vAlign w:val="center"/>
          </w:tcPr>
          <w:p w14:paraId="759B71EF" w14:textId="77777777" w:rsidR="004D2A7C" w:rsidRPr="000E3A45" w:rsidRDefault="004D2A7C" w:rsidP="00161606">
            <w:pPr>
              <w:widowControl w:val="0"/>
              <w:adjustRightInd w:val="0"/>
              <w:jc w:val="center"/>
              <w:textAlignment w:val="baseline"/>
              <w:rPr>
                <w:b/>
                <w:bCs/>
                <w:sz w:val="22"/>
                <w:szCs w:val="22"/>
                <w:lang w:val="es-ES"/>
              </w:rPr>
            </w:pPr>
            <w:r w:rsidRPr="000E3A45">
              <w:rPr>
                <w:b/>
                <w:bCs/>
                <w:sz w:val="22"/>
                <w:szCs w:val="22"/>
                <w:lang w:val="es-ES"/>
              </w:rPr>
              <w:t>VARIACIONES DEL PESO FRENTE AL DÓLAR ESTADOUNIDENSE</w:t>
            </w:r>
          </w:p>
          <w:p w14:paraId="676EC692" w14:textId="77777777" w:rsidR="004D2A7C" w:rsidRPr="000E3A45" w:rsidRDefault="004D2A7C" w:rsidP="00161606">
            <w:pPr>
              <w:widowControl w:val="0"/>
              <w:adjustRightInd w:val="0"/>
              <w:jc w:val="center"/>
              <w:textAlignment w:val="baseline"/>
              <w:rPr>
                <w:b/>
                <w:bCs/>
                <w:sz w:val="22"/>
                <w:szCs w:val="22"/>
                <w:lang w:val="es-ES"/>
              </w:rPr>
            </w:pPr>
            <w:r w:rsidRPr="000E3A45">
              <w:rPr>
                <w:b/>
                <w:bCs/>
                <w:sz w:val="22"/>
                <w:szCs w:val="22"/>
                <w:lang w:val="es-ES"/>
              </w:rPr>
              <w:t>- Porcentaje -</w:t>
            </w:r>
          </w:p>
        </w:tc>
      </w:tr>
      <w:tr w:rsidR="004D2A7C" w:rsidRPr="000E3A45" w14:paraId="5C1CFC65" w14:textId="77777777" w:rsidTr="00772451">
        <w:trPr>
          <w:jc w:val="center"/>
        </w:trPr>
        <w:tc>
          <w:tcPr>
            <w:tcW w:w="1227" w:type="dxa"/>
            <w:vAlign w:val="center"/>
          </w:tcPr>
          <w:p w14:paraId="5BF35355" w14:textId="77777777" w:rsidR="004D2A7C" w:rsidRPr="000E3A45" w:rsidRDefault="004D2A7C" w:rsidP="00161606">
            <w:pPr>
              <w:widowControl w:val="0"/>
              <w:adjustRightInd w:val="0"/>
              <w:ind w:right="-57"/>
              <w:jc w:val="center"/>
              <w:textAlignment w:val="baseline"/>
              <w:rPr>
                <w:b/>
                <w:bCs/>
                <w:sz w:val="20"/>
                <w:szCs w:val="20"/>
                <w:lang w:val="es-ES"/>
              </w:rPr>
            </w:pPr>
          </w:p>
        </w:tc>
        <w:tc>
          <w:tcPr>
            <w:tcW w:w="2348" w:type="dxa"/>
            <w:vAlign w:val="center"/>
          </w:tcPr>
          <w:p w14:paraId="20D0CE0E" w14:textId="77777777" w:rsidR="004D2A7C" w:rsidRPr="000E3A45" w:rsidRDefault="004D2A7C" w:rsidP="00161606">
            <w:pPr>
              <w:widowControl w:val="0"/>
              <w:adjustRightInd w:val="0"/>
              <w:ind w:right="-57"/>
              <w:jc w:val="center"/>
              <w:textAlignment w:val="baseline"/>
              <w:rPr>
                <w:b/>
                <w:bCs/>
                <w:sz w:val="20"/>
                <w:szCs w:val="20"/>
                <w:lang w:val="es-ES"/>
              </w:rPr>
            </w:pPr>
            <w:r w:rsidRPr="000E3A45">
              <w:rPr>
                <w:b/>
                <w:bCs/>
                <w:sz w:val="20"/>
                <w:szCs w:val="20"/>
                <w:lang w:val="es-ES"/>
              </w:rPr>
              <w:t>Promedio de la cotización del peso frente al dólar estadounidense</w:t>
            </w:r>
          </w:p>
        </w:tc>
        <w:tc>
          <w:tcPr>
            <w:tcW w:w="2238" w:type="dxa"/>
            <w:vAlign w:val="center"/>
          </w:tcPr>
          <w:p w14:paraId="057DB154" w14:textId="77777777" w:rsidR="004D2A7C" w:rsidRPr="000E3A45" w:rsidRDefault="004D2A7C" w:rsidP="00161606">
            <w:pPr>
              <w:widowControl w:val="0"/>
              <w:adjustRightInd w:val="0"/>
              <w:ind w:right="-57"/>
              <w:jc w:val="center"/>
              <w:textAlignment w:val="baseline"/>
              <w:rPr>
                <w:b/>
                <w:bCs/>
                <w:sz w:val="20"/>
                <w:szCs w:val="20"/>
                <w:lang w:val="es-ES"/>
              </w:rPr>
            </w:pPr>
            <w:r w:rsidRPr="000E3A45">
              <w:rPr>
                <w:b/>
                <w:bCs/>
                <w:sz w:val="20"/>
                <w:szCs w:val="20"/>
                <w:lang w:val="es-ES"/>
              </w:rPr>
              <w:t>Variación respecto al mes inmediato anterior</w:t>
            </w:r>
          </w:p>
        </w:tc>
        <w:tc>
          <w:tcPr>
            <w:tcW w:w="2238" w:type="dxa"/>
            <w:vAlign w:val="center"/>
          </w:tcPr>
          <w:p w14:paraId="42088682" w14:textId="77777777" w:rsidR="004D2A7C" w:rsidRPr="000E3A45" w:rsidRDefault="004D2A7C" w:rsidP="00161606">
            <w:pPr>
              <w:widowControl w:val="0"/>
              <w:adjustRightInd w:val="0"/>
              <w:ind w:right="-57"/>
              <w:jc w:val="center"/>
              <w:textAlignment w:val="baseline"/>
              <w:rPr>
                <w:b/>
                <w:bCs/>
                <w:sz w:val="20"/>
                <w:szCs w:val="20"/>
                <w:lang w:val="es-ES"/>
              </w:rPr>
            </w:pPr>
            <w:r w:rsidRPr="000E3A45">
              <w:rPr>
                <w:b/>
                <w:bCs/>
                <w:sz w:val="20"/>
                <w:szCs w:val="20"/>
                <w:lang w:val="es-ES"/>
              </w:rPr>
              <w:t>Variación respecto a diciembre anterior</w:t>
            </w:r>
          </w:p>
        </w:tc>
      </w:tr>
      <w:tr w:rsidR="004D2A7C" w:rsidRPr="000E3A45" w14:paraId="2D790539" w14:textId="77777777" w:rsidTr="000F3535">
        <w:trPr>
          <w:jc w:val="center"/>
        </w:trPr>
        <w:tc>
          <w:tcPr>
            <w:tcW w:w="1227" w:type="dxa"/>
            <w:tcBorders>
              <w:bottom w:val="nil"/>
            </w:tcBorders>
            <w:vAlign w:val="center"/>
          </w:tcPr>
          <w:p w14:paraId="5F0BA05B" w14:textId="77777777" w:rsidR="004D2A7C" w:rsidRPr="000E3A45" w:rsidRDefault="004D2A7C" w:rsidP="00161606">
            <w:pPr>
              <w:widowControl w:val="0"/>
              <w:adjustRightInd w:val="0"/>
              <w:ind w:right="-159"/>
              <w:jc w:val="both"/>
              <w:textAlignment w:val="baseline"/>
              <w:rPr>
                <w:bCs/>
                <w:sz w:val="20"/>
                <w:szCs w:val="20"/>
                <w:lang w:val="es-ES"/>
              </w:rPr>
            </w:pPr>
            <w:r w:rsidRPr="000E3A45">
              <w:rPr>
                <w:bCs/>
                <w:sz w:val="20"/>
                <w:szCs w:val="20"/>
                <w:lang w:val="es-ES"/>
              </w:rPr>
              <w:t>Dic. 2003</w:t>
            </w:r>
          </w:p>
        </w:tc>
        <w:tc>
          <w:tcPr>
            <w:tcW w:w="2348" w:type="dxa"/>
            <w:tcBorders>
              <w:bottom w:val="nil"/>
            </w:tcBorders>
            <w:vAlign w:val="center"/>
          </w:tcPr>
          <w:p w14:paraId="5C13B1F3" w14:textId="77777777" w:rsidR="004D2A7C" w:rsidRPr="000E3A45" w:rsidRDefault="004D2A7C" w:rsidP="00161606">
            <w:pPr>
              <w:widowControl w:val="0"/>
              <w:adjustRightInd w:val="0"/>
              <w:jc w:val="center"/>
              <w:textAlignment w:val="baseline"/>
              <w:rPr>
                <w:bCs/>
                <w:sz w:val="20"/>
                <w:szCs w:val="20"/>
                <w:lang w:val="es-ES"/>
              </w:rPr>
            </w:pPr>
            <w:r w:rsidRPr="000E3A45">
              <w:rPr>
                <w:bCs/>
                <w:sz w:val="20"/>
                <w:szCs w:val="20"/>
                <w:lang w:val="es-ES"/>
              </w:rPr>
              <w:t>11.2527</w:t>
            </w:r>
          </w:p>
        </w:tc>
        <w:tc>
          <w:tcPr>
            <w:tcW w:w="2238" w:type="dxa"/>
            <w:tcBorders>
              <w:bottom w:val="nil"/>
            </w:tcBorders>
            <w:vAlign w:val="center"/>
          </w:tcPr>
          <w:p w14:paraId="7A9EB0E2" w14:textId="77777777" w:rsidR="004D2A7C" w:rsidRPr="000E3A45" w:rsidRDefault="004D2A7C" w:rsidP="00161606">
            <w:pPr>
              <w:widowControl w:val="0"/>
              <w:adjustRightInd w:val="0"/>
              <w:ind w:right="851"/>
              <w:jc w:val="right"/>
              <w:textAlignment w:val="baseline"/>
              <w:rPr>
                <w:bCs/>
                <w:sz w:val="20"/>
                <w:szCs w:val="20"/>
                <w:lang w:val="es-ES"/>
              </w:rPr>
            </w:pPr>
            <w:r w:rsidRPr="000E3A45">
              <w:rPr>
                <w:bCs/>
                <w:sz w:val="20"/>
                <w:szCs w:val="20"/>
                <w:lang w:val="es-ES"/>
              </w:rPr>
              <w:t>0.93</w:t>
            </w:r>
          </w:p>
        </w:tc>
        <w:tc>
          <w:tcPr>
            <w:tcW w:w="2238" w:type="dxa"/>
            <w:tcBorders>
              <w:bottom w:val="nil"/>
            </w:tcBorders>
            <w:vAlign w:val="center"/>
          </w:tcPr>
          <w:p w14:paraId="34F4C6BD" w14:textId="77777777" w:rsidR="004D2A7C" w:rsidRPr="000E3A45" w:rsidRDefault="004D2A7C" w:rsidP="00161606">
            <w:pPr>
              <w:widowControl w:val="0"/>
              <w:adjustRightInd w:val="0"/>
              <w:ind w:right="851"/>
              <w:jc w:val="right"/>
              <w:textAlignment w:val="baseline"/>
              <w:rPr>
                <w:bCs/>
                <w:sz w:val="20"/>
                <w:szCs w:val="20"/>
                <w:lang w:val="es-ES"/>
              </w:rPr>
            </w:pPr>
            <w:r w:rsidRPr="000E3A45">
              <w:rPr>
                <w:bCs/>
                <w:sz w:val="20"/>
                <w:szCs w:val="20"/>
                <w:lang w:val="es-ES"/>
              </w:rPr>
              <w:t>9.93</w:t>
            </w:r>
          </w:p>
        </w:tc>
      </w:tr>
      <w:tr w:rsidR="004D2A7C" w:rsidRPr="000E3A45" w14:paraId="177D4414" w14:textId="77777777" w:rsidTr="000F3535">
        <w:trPr>
          <w:jc w:val="center"/>
        </w:trPr>
        <w:tc>
          <w:tcPr>
            <w:tcW w:w="1227" w:type="dxa"/>
            <w:tcBorders>
              <w:top w:val="nil"/>
              <w:bottom w:val="nil"/>
            </w:tcBorders>
            <w:vAlign w:val="center"/>
          </w:tcPr>
          <w:p w14:paraId="16CA16E7" w14:textId="77777777" w:rsidR="004D2A7C" w:rsidRPr="000E3A45" w:rsidRDefault="004D2A7C" w:rsidP="00161606">
            <w:pPr>
              <w:widowControl w:val="0"/>
              <w:adjustRightInd w:val="0"/>
              <w:ind w:right="-159"/>
              <w:jc w:val="both"/>
              <w:textAlignment w:val="baseline"/>
              <w:rPr>
                <w:bCs/>
                <w:sz w:val="20"/>
                <w:szCs w:val="20"/>
                <w:lang w:val="en-US"/>
              </w:rPr>
            </w:pPr>
            <w:r w:rsidRPr="000E3A45">
              <w:rPr>
                <w:bCs/>
                <w:sz w:val="20"/>
                <w:szCs w:val="20"/>
                <w:lang w:val="en-US"/>
              </w:rPr>
              <w:t>Dic. 2004</w:t>
            </w:r>
          </w:p>
        </w:tc>
        <w:tc>
          <w:tcPr>
            <w:tcW w:w="2348" w:type="dxa"/>
            <w:tcBorders>
              <w:top w:val="nil"/>
              <w:bottom w:val="nil"/>
            </w:tcBorders>
            <w:vAlign w:val="center"/>
          </w:tcPr>
          <w:p w14:paraId="61DD626C" w14:textId="77777777" w:rsidR="004D2A7C" w:rsidRPr="000E3A45" w:rsidRDefault="004D2A7C" w:rsidP="00161606">
            <w:pPr>
              <w:widowControl w:val="0"/>
              <w:adjustRightInd w:val="0"/>
              <w:jc w:val="center"/>
              <w:textAlignment w:val="baseline"/>
              <w:rPr>
                <w:bCs/>
                <w:sz w:val="20"/>
                <w:szCs w:val="20"/>
                <w:lang w:val="es-ES"/>
              </w:rPr>
            </w:pPr>
            <w:r w:rsidRPr="000E3A45">
              <w:rPr>
                <w:bCs/>
                <w:sz w:val="20"/>
                <w:szCs w:val="20"/>
                <w:lang w:val="es-ES"/>
              </w:rPr>
              <w:t>11.2007</w:t>
            </w:r>
          </w:p>
        </w:tc>
        <w:tc>
          <w:tcPr>
            <w:tcW w:w="2238" w:type="dxa"/>
            <w:tcBorders>
              <w:top w:val="nil"/>
              <w:bottom w:val="nil"/>
            </w:tcBorders>
            <w:vAlign w:val="center"/>
          </w:tcPr>
          <w:p w14:paraId="0515C685" w14:textId="77777777" w:rsidR="004D2A7C" w:rsidRPr="000E3A45" w:rsidRDefault="004D2A7C" w:rsidP="00161606">
            <w:pPr>
              <w:widowControl w:val="0"/>
              <w:adjustRightInd w:val="0"/>
              <w:ind w:right="851"/>
              <w:jc w:val="right"/>
              <w:textAlignment w:val="baseline"/>
              <w:rPr>
                <w:bCs/>
                <w:sz w:val="20"/>
                <w:szCs w:val="20"/>
                <w:lang w:val="es-ES"/>
              </w:rPr>
            </w:pPr>
            <w:r w:rsidRPr="000E3A45">
              <w:rPr>
                <w:bCs/>
                <w:sz w:val="20"/>
                <w:szCs w:val="20"/>
                <w:lang w:val="es-ES"/>
              </w:rPr>
              <w:t>-1.47</w:t>
            </w:r>
          </w:p>
        </w:tc>
        <w:tc>
          <w:tcPr>
            <w:tcW w:w="2238" w:type="dxa"/>
            <w:tcBorders>
              <w:top w:val="nil"/>
              <w:bottom w:val="nil"/>
            </w:tcBorders>
            <w:vAlign w:val="center"/>
          </w:tcPr>
          <w:p w14:paraId="2F6D8468" w14:textId="77777777" w:rsidR="004D2A7C" w:rsidRPr="000E3A45" w:rsidRDefault="004D2A7C" w:rsidP="00161606">
            <w:pPr>
              <w:widowControl w:val="0"/>
              <w:adjustRightInd w:val="0"/>
              <w:ind w:right="851"/>
              <w:jc w:val="right"/>
              <w:textAlignment w:val="baseline"/>
              <w:rPr>
                <w:bCs/>
                <w:sz w:val="20"/>
                <w:szCs w:val="20"/>
                <w:lang w:val="es-ES"/>
              </w:rPr>
            </w:pPr>
            <w:r w:rsidRPr="000E3A45">
              <w:rPr>
                <w:bCs/>
                <w:sz w:val="20"/>
                <w:szCs w:val="20"/>
                <w:lang w:val="es-ES"/>
              </w:rPr>
              <w:t>-0.46</w:t>
            </w:r>
          </w:p>
        </w:tc>
      </w:tr>
      <w:tr w:rsidR="004D2A7C" w:rsidRPr="000E3A45" w14:paraId="3682CB77" w14:textId="77777777" w:rsidTr="000F3535">
        <w:trPr>
          <w:jc w:val="center"/>
        </w:trPr>
        <w:tc>
          <w:tcPr>
            <w:tcW w:w="1227" w:type="dxa"/>
            <w:tcBorders>
              <w:top w:val="nil"/>
              <w:bottom w:val="nil"/>
            </w:tcBorders>
            <w:vAlign w:val="center"/>
          </w:tcPr>
          <w:p w14:paraId="3BA972E1" w14:textId="77777777" w:rsidR="004D2A7C" w:rsidRPr="000E3A45" w:rsidRDefault="004D2A7C" w:rsidP="00161606">
            <w:pPr>
              <w:widowControl w:val="0"/>
              <w:adjustRightInd w:val="0"/>
              <w:ind w:right="-159"/>
              <w:jc w:val="both"/>
              <w:textAlignment w:val="baseline"/>
              <w:rPr>
                <w:bCs/>
                <w:sz w:val="20"/>
                <w:szCs w:val="20"/>
                <w:lang w:val="es-ES"/>
              </w:rPr>
            </w:pPr>
            <w:r w:rsidRPr="000E3A45">
              <w:rPr>
                <w:bCs/>
                <w:sz w:val="20"/>
                <w:szCs w:val="20"/>
                <w:lang w:val="es-ES"/>
              </w:rPr>
              <w:t>Dic. 2005</w:t>
            </w:r>
          </w:p>
        </w:tc>
        <w:tc>
          <w:tcPr>
            <w:tcW w:w="2348" w:type="dxa"/>
            <w:tcBorders>
              <w:top w:val="nil"/>
              <w:bottom w:val="nil"/>
            </w:tcBorders>
            <w:vAlign w:val="center"/>
          </w:tcPr>
          <w:p w14:paraId="6EA903BE" w14:textId="77777777" w:rsidR="004D2A7C" w:rsidRPr="000E3A45" w:rsidRDefault="004D2A7C" w:rsidP="00161606">
            <w:pPr>
              <w:widowControl w:val="0"/>
              <w:adjustRightInd w:val="0"/>
              <w:jc w:val="center"/>
              <w:textAlignment w:val="baseline"/>
              <w:rPr>
                <w:bCs/>
                <w:sz w:val="20"/>
                <w:szCs w:val="20"/>
                <w:lang w:val="es-ES"/>
              </w:rPr>
            </w:pPr>
            <w:r w:rsidRPr="000E3A45">
              <w:rPr>
                <w:bCs/>
                <w:sz w:val="20"/>
                <w:szCs w:val="20"/>
                <w:lang w:val="es-ES"/>
              </w:rPr>
              <w:t>10.6303</w:t>
            </w:r>
          </w:p>
        </w:tc>
        <w:tc>
          <w:tcPr>
            <w:tcW w:w="2238" w:type="dxa"/>
            <w:tcBorders>
              <w:top w:val="nil"/>
              <w:bottom w:val="nil"/>
            </w:tcBorders>
            <w:vAlign w:val="center"/>
          </w:tcPr>
          <w:p w14:paraId="65018057" w14:textId="77777777" w:rsidR="004D2A7C" w:rsidRPr="000E3A45" w:rsidRDefault="005F41D2" w:rsidP="00161606">
            <w:pPr>
              <w:widowControl w:val="0"/>
              <w:adjustRightInd w:val="0"/>
              <w:ind w:right="851"/>
              <w:jc w:val="right"/>
              <w:textAlignment w:val="baseline"/>
              <w:rPr>
                <w:bCs/>
                <w:sz w:val="20"/>
                <w:szCs w:val="20"/>
                <w:lang w:val="es-ES"/>
              </w:rPr>
            </w:pPr>
            <w:r w:rsidRPr="000E3A45">
              <w:rPr>
                <w:bCs/>
                <w:sz w:val="20"/>
                <w:szCs w:val="20"/>
                <w:lang w:val="es-ES"/>
              </w:rPr>
              <w:t>-0.33</w:t>
            </w:r>
          </w:p>
        </w:tc>
        <w:tc>
          <w:tcPr>
            <w:tcW w:w="2238" w:type="dxa"/>
            <w:tcBorders>
              <w:top w:val="nil"/>
              <w:bottom w:val="nil"/>
            </w:tcBorders>
            <w:vAlign w:val="center"/>
          </w:tcPr>
          <w:p w14:paraId="05A56E3D" w14:textId="77777777" w:rsidR="004D2A7C" w:rsidRPr="000E3A45" w:rsidRDefault="004D2A7C" w:rsidP="00161606">
            <w:pPr>
              <w:widowControl w:val="0"/>
              <w:adjustRightInd w:val="0"/>
              <w:ind w:right="851"/>
              <w:jc w:val="right"/>
              <w:textAlignment w:val="baseline"/>
              <w:rPr>
                <w:bCs/>
                <w:sz w:val="20"/>
                <w:szCs w:val="20"/>
                <w:lang w:val="es-ES"/>
              </w:rPr>
            </w:pPr>
            <w:r w:rsidRPr="000E3A45">
              <w:rPr>
                <w:bCs/>
                <w:sz w:val="20"/>
                <w:szCs w:val="20"/>
                <w:lang w:val="es-ES"/>
              </w:rPr>
              <w:t>-5.09</w:t>
            </w:r>
          </w:p>
        </w:tc>
      </w:tr>
      <w:tr w:rsidR="004D2A7C" w:rsidRPr="000E3A45" w14:paraId="57AC749E" w14:textId="77777777" w:rsidTr="000F3535">
        <w:trPr>
          <w:jc w:val="center"/>
        </w:trPr>
        <w:tc>
          <w:tcPr>
            <w:tcW w:w="1227" w:type="dxa"/>
            <w:tcBorders>
              <w:top w:val="nil"/>
              <w:bottom w:val="nil"/>
            </w:tcBorders>
            <w:vAlign w:val="center"/>
          </w:tcPr>
          <w:p w14:paraId="52C45BA3" w14:textId="77777777" w:rsidR="004D2A7C" w:rsidRPr="000E3A45" w:rsidRDefault="004D2A7C" w:rsidP="00161606">
            <w:pPr>
              <w:widowControl w:val="0"/>
              <w:adjustRightInd w:val="0"/>
              <w:ind w:right="-159"/>
              <w:jc w:val="both"/>
              <w:textAlignment w:val="baseline"/>
              <w:rPr>
                <w:bCs/>
                <w:sz w:val="20"/>
                <w:szCs w:val="20"/>
                <w:lang w:val="es-ES"/>
              </w:rPr>
            </w:pPr>
            <w:r w:rsidRPr="000E3A45">
              <w:rPr>
                <w:bCs/>
                <w:sz w:val="20"/>
                <w:szCs w:val="20"/>
                <w:lang w:val="es-ES"/>
              </w:rPr>
              <w:t>Dic. 2006</w:t>
            </w:r>
          </w:p>
        </w:tc>
        <w:tc>
          <w:tcPr>
            <w:tcW w:w="2348" w:type="dxa"/>
            <w:tcBorders>
              <w:top w:val="nil"/>
              <w:bottom w:val="nil"/>
            </w:tcBorders>
            <w:vAlign w:val="center"/>
          </w:tcPr>
          <w:p w14:paraId="51FC5A06" w14:textId="77777777" w:rsidR="004D2A7C" w:rsidRPr="000E3A45" w:rsidRDefault="004D2A7C" w:rsidP="00161606">
            <w:pPr>
              <w:widowControl w:val="0"/>
              <w:adjustRightInd w:val="0"/>
              <w:jc w:val="center"/>
              <w:textAlignment w:val="baseline"/>
              <w:rPr>
                <w:bCs/>
                <w:sz w:val="20"/>
                <w:szCs w:val="20"/>
                <w:lang w:val="es-ES"/>
              </w:rPr>
            </w:pPr>
            <w:r w:rsidRPr="000E3A45">
              <w:rPr>
                <w:bCs/>
                <w:sz w:val="20"/>
                <w:szCs w:val="20"/>
                <w:lang w:val="es-ES"/>
              </w:rPr>
              <w:t>10.</w:t>
            </w:r>
            <w:r w:rsidR="005B3EAF" w:rsidRPr="000E3A45">
              <w:rPr>
                <w:bCs/>
                <w:sz w:val="20"/>
                <w:szCs w:val="20"/>
                <w:lang w:val="es-ES"/>
              </w:rPr>
              <w:t>8</w:t>
            </w:r>
            <w:r w:rsidR="005F41D2" w:rsidRPr="000E3A45">
              <w:rPr>
                <w:bCs/>
                <w:sz w:val="20"/>
                <w:szCs w:val="20"/>
                <w:lang w:val="es-ES"/>
              </w:rPr>
              <w:t>4</w:t>
            </w:r>
            <w:r w:rsidR="005B3EAF" w:rsidRPr="000E3A45">
              <w:rPr>
                <w:bCs/>
                <w:sz w:val="20"/>
                <w:szCs w:val="20"/>
                <w:lang w:val="es-ES"/>
              </w:rPr>
              <w:t>81</w:t>
            </w:r>
          </w:p>
        </w:tc>
        <w:tc>
          <w:tcPr>
            <w:tcW w:w="2238" w:type="dxa"/>
            <w:tcBorders>
              <w:top w:val="nil"/>
              <w:bottom w:val="nil"/>
            </w:tcBorders>
            <w:vAlign w:val="center"/>
          </w:tcPr>
          <w:p w14:paraId="591681E7" w14:textId="77777777" w:rsidR="004D2A7C" w:rsidRPr="000E3A45" w:rsidRDefault="004D2A7C" w:rsidP="00161606">
            <w:pPr>
              <w:widowControl w:val="0"/>
              <w:adjustRightInd w:val="0"/>
              <w:ind w:right="851"/>
              <w:jc w:val="right"/>
              <w:textAlignment w:val="baseline"/>
              <w:rPr>
                <w:bCs/>
                <w:sz w:val="20"/>
                <w:szCs w:val="20"/>
                <w:lang w:val="es-ES"/>
              </w:rPr>
            </w:pPr>
            <w:r w:rsidRPr="000E3A45">
              <w:rPr>
                <w:bCs/>
                <w:sz w:val="20"/>
                <w:szCs w:val="20"/>
                <w:lang w:val="es-ES"/>
              </w:rPr>
              <w:t>-0.</w:t>
            </w:r>
            <w:r w:rsidR="005B3EAF" w:rsidRPr="000E3A45">
              <w:rPr>
                <w:bCs/>
                <w:sz w:val="20"/>
                <w:szCs w:val="20"/>
                <w:lang w:val="es-ES"/>
              </w:rPr>
              <w:t>67</w:t>
            </w:r>
          </w:p>
        </w:tc>
        <w:tc>
          <w:tcPr>
            <w:tcW w:w="2238" w:type="dxa"/>
            <w:tcBorders>
              <w:top w:val="nil"/>
              <w:bottom w:val="nil"/>
            </w:tcBorders>
            <w:vAlign w:val="center"/>
          </w:tcPr>
          <w:p w14:paraId="4F826012" w14:textId="77777777" w:rsidR="004D2A7C" w:rsidRPr="000E3A45" w:rsidRDefault="004D2A7C" w:rsidP="00161606">
            <w:pPr>
              <w:widowControl w:val="0"/>
              <w:adjustRightInd w:val="0"/>
              <w:ind w:right="851"/>
              <w:jc w:val="right"/>
              <w:textAlignment w:val="baseline"/>
              <w:rPr>
                <w:bCs/>
                <w:sz w:val="20"/>
                <w:szCs w:val="20"/>
                <w:lang w:val="es-ES"/>
              </w:rPr>
            </w:pPr>
            <w:r w:rsidRPr="000E3A45">
              <w:rPr>
                <w:bCs/>
                <w:sz w:val="20"/>
                <w:szCs w:val="20"/>
                <w:lang w:val="es-ES"/>
              </w:rPr>
              <w:t>-</w:t>
            </w:r>
            <w:r w:rsidR="005B3EAF" w:rsidRPr="000E3A45">
              <w:rPr>
                <w:bCs/>
                <w:sz w:val="20"/>
                <w:szCs w:val="20"/>
                <w:lang w:val="es-ES"/>
              </w:rPr>
              <w:t>2.05</w:t>
            </w:r>
          </w:p>
        </w:tc>
      </w:tr>
      <w:tr w:rsidR="004D2A7C" w:rsidRPr="000E3A45" w14:paraId="0E724684" w14:textId="77777777" w:rsidTr="000F3535">
        <w:trPr>
          <w:jc w:val="center"/>
        </w:trPr>
        <w:tc>
          <w:tcPr>
            <w:tcW w:w="1227" w:type="dxa"/>
            <w:tcBorders>
              <w:top w:val="nil"/>
              <w:bottom w:val="nil"/>
            </w:tcBorders>
            <w:vAlign w:val="center"/>
          </w:tcPr>
          <w:p w14:paraId="0E02C8B0" w14:textId="77777777" w:rsidR="004D2A7C" w:rsidRPr="000E3A45" w:rsidRDefault="004D2A7C" w:rsidP="00161606">
            <w:pPr>
              <w:widowControl w:val="0"/>
              <w:adjustRightInd w:val="0"/>
              <w:ind w:right="-159"/>
              <w:jc w:val="both"/>
              <w:textAlignment w:val="baseline"/>
              <w:rPr>
                <w:bCs/>
                <w:sz w:val="20"/>
                <w:szCs w:val="20"/>
                <w:lang w:val="es-ES"/>
              </w:rPr>
            </w:pPr>
            <w:r w:rsidRPr="000E3A45">
              <w:rPr>
                <w:bCs/>
                <w:sz w:val="20"/>
                <w:szCs w:val="20"/>
                <w:lang w:val="es-ES"/>
              </w:rPr>
              <w:t>Dic</w:t>
            </w:r>
            <w:r w:rsidR="00E75244" w:rsidRPr="000E3A45">
              <w:rPr>
                <w:bCs/>
                <w:sz w:val="20"/>
                <w:szCs w:val="20"/>
                <w:lang w:val="es-ES"/>
              </w:rPr>
              <w:t>. 2007</w:t>
            </w:r>
          </w:p>
        </w:tc>
        <w:tc>
          <w:tcPr>
            <w:tcW w:w="2348" w:type="dxa"/>
            <w:tcBorders>
              <w:top w:val="nil"/>
              <w:bottom w:val="nil"/>
            </w:tcBorders>
            <w:vAlign w:val="center"/>
          </w:tcPr>
          <w:p w14:paraId="1BD9C202" w14:textId="77777777" w:rsidR="004D2A7C" w:rsidRPr="000E3A45" w:rsidRDefault="004D2A7C" w:rsidP="00161606">
            <w:pPr>
              <w:widowControl w:val="0"/>
              <w:adjustRightInd w:val="0"/>
              <w:jc w:val="center"/>
              <w:textAlignment w:val="baseline"/>
              <w:rPr>
                <w:bCs/>
                <w:sz w:val="20"/>
                <w:szCs w:val="20"/>
                <w:lang w:val="es-ES"/>
              </w:rPr>
            </w:pPr>
            <w:r w:rsidRPr="000E3A45">
              <w:rPr>
                <w:bCs/>
                <w:sz w:val="20"/>
                <w:szCs w:val="20"/>
                <w:lang w:val="es-ES"/>
              </w:rPr>
              <w:t>10.8</w:t>
            </w:r>
            <w:r w:rsidR="007B6E99" w:rsidRPr="000E3A45">
              <w:rPr>
                <w:bCs/>
                <w:sz w:val="20"/>
                <w:szCs w:val="20"/>
                <w:lang w:val="es-ES"/>
              </w:rPr>
              <w:t>507</w:t>
            </w:r>
          </w:p>
        </w:tc>
        <w:tc>
          <w:tcPr>
            <w:tcW w:w="2238" w:type="dxa"/>
            <w:tcBorders>
              <w:top w:val="nil"/>
              <w:bottom w:val="nil"/>
            </w:tcBorders>
            <w:vAlign w:val="center"/>
          </w:tcPr>
          <w:p w14:paraId="0BF497CD" w14:textId="77777777" w:rsidR="004D2A7C" w:rsidRPr="000E3A45" w:rsidRDefault="007B6E99" w:rsidP="00161606">
            <w:pPr>
              <w:widowControl w:val="0"/>
              <w:adjustRightInd w:val="0"/>
              <w:ind w:right="851"/>
              <w:jc w:val="right"/>
              <w:textAlignment w:val="baseline"/>
              <w:rPr>
                <w:bCs/>
                <w:sz w:val="20"/>
                <w:szCs w:val="20"/>
                <w:lang w:val="es-ES"/>
              </w:rPr>
            </w:pPr>
            <w:r w:rsidRPr="000E3A45">
              <w:rPr>
                <w:bCs/>
                <w:sz w:val="20"/>
                <w:szCs w:val="20"/>
                <w:lang w:val="es-ES"/>
              </w:rPr>
              <w:t xml:space="preserve">- </w:t>
            </w:r>
            <w:r w:rsidR="004D2A7C" w:rsidRPr="000E3A45">
              <w:rPr>
                <w:bCs/>
                <w:sz w:val="20"/>
                <w:szCs w:val="20"/>
                <w:lang w:val="es-ES"/>
              </w:rPr>
              <w:t>0.</w:t>
            </w:r>
            <w:r w:rsidRPr="000E3A45">
              <w:rPr>
                <w:bCs/>
                <w:sz w:val="20"/>
                <w:szCs w:val="20"/>
                <w:lang w:val="es-ES"/>
              </w:rPr>
              <w:t>35</w:t>
            </w:r>
          </w:p>
        </w:tc>
        <w:tc>
          <w:tcPr>
            <w:tcW w:w="2238" w:type="dxa"/>
            <w:tcBorders>
              <w:top w:val="nil"/>
              <w:bottom w:val="nil"/>
            </w:tcBorders>
            <w:vAlign w:val="center"/>
          </w:tcPr>
          <w:p w14:paraId="41705B7B" w14:textId="77777777" w:rsidR="004D2A7C" w:rsidRPr="000E3A45" w:rsidRDefault="004D2A7C" w:rsidP="00161606">
            <w:pPr>
              <w:widowControl w:val="0"/>
              <w:adjustRightInd w:val="0"/>
              <w:ind w:right="851"/>
              <w:jc w:val="right"/>
              <w:textAlignment w:val="baseline"/>
              <w:rPr>
                <w:bCs/>
                <w:sz w:val="20"/>
                <w:szCs w:val="20"/>
                <w:lang w:val="es-ES"/>
              </w:rPr>
            </w:pPr>
            <w:r w:rsidRPr="000E3A45">
              <w:rPr>
                <w:bCs/>
                <w:sz w:val="20"/>
                <w:szCs w:val="20"/>
                <w:lang w:val="es-ES"/>
              </w:rPr>
              <w:t>0.0</w:t>
            </w:r>
            <w:r w:rsidR="007B6E99" w:rsidRPr="000E3A45">
              <w:rPr>
                <w:bCs/>
                <w:sz w:val="20"/>
                <w:szCs w:val="20"/>
                <w:lang w:val="es-ES"/>
              </w:rPr>
              <w:t>2</w:t>
            </w:r>
          </w:p>
        </w:tc>
      </w:tr>
      <w:tr w:rsidR="00C279E1" w:rsidRPr="000E3A45" w14:paraId="05E4104D" w14:textId="77777777" w:rsidTr="000F3535">
        <w:trPr>
          <w:jc w:val="center"/>
        </w:trPr>
        <w:tc>
          <w:tcPr>
            <w:tcW w:w="1227" w:type="dxa"/>
            <w:tcBorders>
              <w:top w:val="nil"/>
              <w:bottom w:val="nil"/>
            </w:tcBorders>
            <w:vAlign w:val="center"/>
          </w:tcPr>
          <w:p w14:paraId="5107FEB5" w14:textId="77777777" w:rsidR="00C279E1" w:rsidRPr="000E3A45" w:rsidRDefault="00C279E1" w:rsidP="00161606">
            <w:pPr>
              <w:widowControl w:val="0"/>
              <w:adjustRightInd w:val="0"/>
              <w:ind w:right="-159"/>
              <w:jc w:val="both"/>
              <w:textAlignment w:val="baseline"/>
              <w:rPr>
                <w:bCs/>
                <w:sz w:val="20"/>
                <w:szCs w:val="20"/>
                <w:lang w:val="es-ES"/>
              </w:rPr>
            </w:pPr>
            <w:r w:rsidRPr="000E3A45">
              <w:rPr>
                <w:bCs/>
                <w:sz w:val="20"/>
                <w:szCs w:val="20"/>
                <w:lang w:val="es-ES"/>
              </w:rPr>
              <w:t>Dic</w:t>
            </w:r>
            <w:r w:rsidR="00524CFB" w:rsidRPr="000E3A45">
              <w:rPr>
                <w:bCs/>
                <w:sz w:val="20"/>
                <w:szCs w:val="20"/>
                <w:lang w:val="es-ES"/>
              </w:rPr>
              <w:t>. 2008</w:t>
            </w:r>
          </w:p>
        </w:tc>
        <w:tc>
          <w:tcPr>
            <w:tcW w:w="2348" w:type="dxa"/>
            <w:tcBorders>
              <w:top w:val="nil"/>
              <w:bottom w:val="nil"/>
            </w:tcBorders>
            <w:vAlign w:val="center"/>
          </w:tcPr>
          <w:p w14:paraId="3AC34DE8" w14:textId="77777777" w:rsidR="00C279E1" w:rsidRPr="000E3A45" w:rsidRDefault="0056306A" w:rsidP="00161606">
            <w:pPr>
              <w:widowControl w:val="0"/>
              <w:adjustRightInd w:val="0"/>
              <w:jc w:val="center"/>
              <w:textAlignment w:val="baseline"/>
              <w:rPr>
                <w:bCs/>
                <w:sz w:val="20"/>
                <w:szCs w:val="20"/>
                <w:lang w:val="es-ES"/>
              </w:rPr>
            </w:pPr>
            <w:r w:rsidRPr="000E3A45">
              <w:rPr>
                <w:bCs/>
                <w:sz w:val="20"/>
                <w:szCs w:val="20"/>
                <w:lang w:val="es-ES"/>
              </w:rPr>
              <w:t xml:space="preserve">13 </w:t>
            </w:r>
            <w:r w:rsidR="00020FF3" w:rsidRPr="000E3A45">
              <w:rPr>
                <w:bCs/>
                <w:sz w:val="20"/>
                <w:szCs w:val="20"/>
                <w:lang w:val="es-ES"/>
              </w:rPr>
              <w:t>4348</w:t>
            </w:r>
          </w:p>
        </w:tc>
        <w:tc>
          <w:tcPr>
            <w:tcW w:w="2238" w:type="dxa"/>
            <w:tcBorders>
              <w:top w:val="nil"/>
              <w:bottom w:val="nil"/>
            </w:tcBorders>
            <w:vAlign w:val="center"/>
          </w:tcPr>
          <w:p w14:paraId="71908330" w14:textId="77777777" w:rsidR="00C279E1" w:rsidRPr="000E3A45" w:rsidRDefault="0056306A" w:rsidP="00161606">
            <w:pPr>
              <w:widowControl w:val="0"/>
              <w:adjustRightInd w:val="0"/>
              <w:ind w:right="851"/>
              <w:jc w:val="right"/>
              <w:textAlignment w:val="baseline"/>
              <w:rPr>
                <w:bCs/>
                <w:sz w:val="20"/>
                <w:szCs w:val="20"/>
                <w:lang w:val="es-ES"/>
              </w:rPr>
            </w:pPr>
            <w:r w:rsidRPr="000E3A45">
              <w:rPr>
                <w:bCs/>
                <w:sz w:val="20"/>
                <w:szCs w:val="20"/>
                <w:lang w:val="es-ES"/>
              </w:rPr>
              <w:t>2.50</w:t>
            </w:r>
          </w:p>
        </w:tc>
        <w:tc>
          <w:tcPr>
            <w:tcW w:w="2238" w:type="dxa"/>
            <w:tcBorders>
              <w:top w:val="nil"/>
              <w:bottom w:val="nil"/>
            </w:tcBorders>
            <w:vAlign w:val="center"/>
          </w:tcPr>
          <w:p w14:paraId="5005B455" w14:textId="77777777" w:rsidR="00C279E1" w:rsidRPr="000E3A45" w:rsidRDefault="0056306A" w:rsidP="00161606">
            <w:pPr>
              <w:widowControl w:val="0"/>
              <w:adjustRightInd w:val="0"/>
              <w:ind w:right="851"/>
              <w:jc w:val="right"/>
              <w:textAlignment w:val="baseline"/>
              <w:rPr>
                <w:bCs/>
                <w:sz w:val="20"/>
                <w:szCs w:val="20"/>
                <w:lang w:val="es-ES"/>
              </w:rPr>
            </w:pPr>
            <w:r w:rsidRPr="000E3A45">
              <w:rPr>
                <w:bCs/>
                <w:sz w:val="20"/>
                <w:szCs w:val="20"/>
                <w:lang w:val="es-ES"/>
              </w:rPr>
              <w:t>23.82</w:t>
            </w:r>
          </w:p>
        </w:tc>
      </w:tr>
      <w:tr w:rsidR="00505CA4" w:rsidRPr="000E3A45" w14:paraId="51A57667" w14:textId="77777777" w:rsidTr="000F3535">
        <w:trPr>
          <w:jc w:val="center"/>
        </w:trPr>
        <w:tc>
          <w:tcPr>
            <w:tcW w:w="1227" w:type="dxa"/>
            <w:tcBorders>
              <w:top w:val="nil"/>
              <w:bottom w:val="nil"/>
            </w:tcBorders>
            <w:vAlign w:val="center"/>
          </w:tcPr>
          <w:p w14:paraId="19521146" w14:textId="77777777" w:rsidR="00505CA4" w:rsidRPr="000E3A45" w:rsidRDefault="00505CA4" w:rsidP="00161606">
            <w:pPr>
              <w:widowControl w:val="0"/>
              <w:adjustRightInd w:val="0"/>
              <w:ind w:right="-159"/>
              <w:jc w:val="both"/>
              <w:textAlignment w:val="baseline"/>
              <w:rPr>
                <w:bCs/>
                <w:sz w:val="20"/>
                <w:szCs w:val="20"/>
                <w:lang w:val="es-ES"/>
              </w:rPr>
            </w:pPr>
            <w:r w:rsidRPr="000E3A45">
              <w:rPr>
                <w:bCs/>
                <w:sz w:val="20"/>
                <w:szCs w:val="20"/>
                <w:lang w:val="es-ES"/>
              </w:rPr>
              <w:t>Dic</w:t>
            </w:r>
            <w:r w:rsidR="00FC1BF1" w:rsidRPr="000E3A45">
              <w:rPr>
                <w:bCs/>
                <w:sz w:val="20"/>
                <w:szCs w:val="20"/>
                <w:lang w:val="es-ES"/>
              </w:rPr>
              <w:t>. 2009</w:t>
            </w:r>
          </w:p>
        </w:tc>
        <w:tc>
          <w:tcPr>
            <w:tcW w:w="2348" w:type="dxa"/>
            <w:tcBorders>
              <w:top w:val="nil"/>
              <w:bottom w:val="nil"/>
            </w:tcBorders>
            <w:vAlign w:val="center"/>
          </w:tcPr>
          <w:p w14:paraId="7C6D5FDA" w14:textId="77777777" w:rsidR="00505CA4" w:rsidRPr="000E3A45" w:rsidRDefault="0035270A" w:rsidP="00161606">
            <w:pPr>
              <w:widowControl w:val="0"/>
              <w:adjustRightInd w:val="0"/>
              <w:jc w:val="center"/>
              <w:textAlignment w:val="baseline"/>
              <w:rPr>
                <w:bCs/>
                <w:sz w:val="20"/>
                <w:szCs w:val="20"/>
                <w:lang w:val="es-ES"/>
              </w:rPr>
            </w:pPr>
            <w:r w:rsidRPr="000E3A45">
              <w:rPr>
                <w:bCs/>
                <w:sz w:val="20"/>
                <w:szCs w:val="20"/>
                <w:lang w:val="es-ES"/>
              </w:rPr>
              <w:t>12.8570</w:t>
            </w:r>
          </w:p>
        </w:tc>
        <w:tc>
          <w:tcPr>
            <w:tcW w:w="2238" w:type="dxa"/>
            <w:tcBorders>
              <w:top w:val="nil"/>
              <w:bottom w:val="nil"/>
            </w:tcBorders>
            <w:vAlign w:val="center"/>
          </w:tcPr>
          <w:p w14:paraId="0B031B98" w14:textId="77777777" w:rsidR="00505CA4" w:rsidRPr="000E3A45" w:rsidRDefault="0035270A" w:rsidP="00161606">
            <w:pPr>
              <w:widowControl w:val="0"/>
              <w:adjustRightInd w:val="0"/>
              <w:ind w:right="851"/>
              <w:jc w:val="right"/>
              <w:textAlignment w:val="baseline"/>
              <w:rPr>
                <w:bCs/>
                <w:sz w:val="20"/>
                <w:szCs w:val="20"/>
                <w:lang w:val="es-ES"/>
              </w:rPr>
            </w:pPr>
            <w:r w:rsidRPr="000E3A45">
              <w:rPr>
                <w:bCs/>
                <w:sz w:val="20"/>
                <w:szCs w:val="20"/>
                <w:lang w:val="es-ES"/>
              </w:rPr>
              <w:t>-1.89</w:t>
            </w:r>
          </w:p>
        </w:tc>
        <w:tc>
          <w:tcPr>
            <w:tcW w:w="2238" w:type="dxa"/>
            <w:tcBorders>
              <w:top w:val="nil"/>
              <w:bottom w:val="nil"/>
            </w:tcBorders>
            <w:vAlign w:val="center"/>
          </w:tcPr>
          <w:p w14:paraId="11465131" w14:textId="77777777" w:rsidR="00505CA4" w:rsidRPr="000E3A45" w:rsidRDefault="0035270A" w:rsidP="00161606">
            <w:pPr>
              <w:widowControl w:val="0"/>
              <w:adjustRightInd w:val="0"/>
              <w:ind w:right="851"/>
              <w:jc w:val="right"/>
              <w:textAlignment w:val="baseline"/>
              <w:rPr>
                <w:bCs/>
                <w:sz w:val="20"/>
                <w:szCs w:val="20"/>
                <w:lang w:val="es-ES"/>
              </w:rPr>
            </w:pPr>
            <w:r w:rsidRPr="000E3A45">
              <w:rPr>
                <w:bCs/>
                <w:sz w:val="20"/>
                <w:szCs w:val="20"/>
                <w:lang w:val="es-ES"/>
              </w:rPr>
              <w:t>-4.30</w:t>
            </w:r>
          </w:p>
        </w:tc>
      </w:tr>
      <w:tr w:rsidR="00FC1BF1" w:rsidRPr="000E3A45" w14:paraId="2D28C9F2" w14:textId="77777777" w:rsidTr="000F3535">
        <w:trPr>
          <w:jc w:val="center"/>
        </w:trPr>
        <w:tc>
          <w:tcPr>
            <w:tcW w:w="1227" w:type="dxa"/>
            <w:tcBorders>
              <w:top w:val="nil"/>
              <w:bottom w:val="nil"/>
            </w:tcBorders>
            <w:vAlign w:val="center"/>
          </w:tcPr>
          <w:p w14:paraId="53BC30B2" w14:textId="77777777" w:rsidR="00FC1BF1" w:rsidRPr="000E3A45" w:rsidRDefault="00FC1BF1" w:rsidP="00C3769D">
            <w:pPr>
              <w:widowControl w:val="0"/>
              <w:adjustRightInd w:val="0"/>
              <w:ind w:right="-159"/>
              <w:jc w:val="both"/>
              <w:textAlignment w:val="baseline"/>
              <w:rPr>
                <w:bCs/>
                <w:sz w:val="20"/>
                <w:szCs w:val="20"/>
                <w:lang w:val="es-ES"/>
              </w:rPr>
            </w:pPr>
            <w:bookmarkStart w:id="24" w:name="_Hlk285694486"/>
            <w:r w:rsidRPr="000E3A45">
              <w:rPr>
                <w:bCs/>
                <w:sz w:val="20"/>
                <w:szCs w:val="20"/>
                <w:lang w:val="es-ES"/>
              </w:rPr>
              <w:t>Dic</w:t>
            </w:r>
            <w:r w:rsidR="00C3769D" w:rsidRPr="000E3A45">
              <w:rPr>
                <w:bCs/>
                <w:sz w:val="20"/>
                <w:szCs w:val="20"/>
                <w:lang w:val="es-ES"/>
              </w:rPr>
              <w:t>. 2010</w:t>
            </w:r>
          </w:p>
        </w:tc>
        <w:tc>
          <w:tcPr>
            <w:tcW w:w="2348" w:type="dxa"/>
            <w:tcBorders>
              <w:top w:val="nil"/>
              <w:bottom w:val="nil"/>
            </w:tcBorders>
            <w:vAlign w:val="center"/>
          </w:tcPr>
          <w:p w14:paraId="75A5105A" w14:textId="77777777" w:rsidR="00FC1BF1" w:rsidRPr="000E3A45" w:rsidRDefault="00BA69A9" w:rsidP="00161606">
            <w:pPr>
              <w:widowControl w:val="0"/>
              <w:adjustRightInd w:val="0"/>
              <w:jc w:val="center"/>
              <w:textAlignment w:val="baseline"/>
              <w:rPr>
                <w:bCs/>
                <w:sz w:val="20"/>
                <w:szCs w:val="20"/>
                <w:lang w:val="es-ES"/>
              </w:rPr>
            </w:pPr>
            <w:r w:rsidRPr="000E3A45">
              <w:rPr>
                <w:bCs/>
                <w:sz w:val="20"/>
                <w:szCs w:val="20"/>
                <w:lang w:val="es-ES"/>
              </w:rPr>
              <w:t>12.3960</w:t>
            </w:r>
          </w:p>
        </w:tc>
        <w:tc>
          <w:tcPr>
            <w:tcW w:w="2238" w:type="dxa"/>
            <w:tcBorders>
              <w:top w:val="nil"/>
              <w:bottom w:val="nil"/>
            </w:tcBorders>
            <w:vAlign w:val="center"/>
          </w:tcPr>
          <w:p w14:paraId="587137EB" w14:textId="77777777" w:rsidR="00FC1BF1" w:rsidRPr="000E3A45" w:rsidRDefault="00BA69A9" w:rsidP="00161606">
            <w:pPr>
              <w:widowControl w:val="0"/>
              <w:adjustRightInd w:val="0"/>
              <w:ind w:right="851"/>
              <w:jc w:val="right"/>
              <w:textAlignment w:val="baseline"/>
              <w:rPr>
                <w:bCs/>
                <w:sz w:val="20"/>
                <w:szCs w:val="20"/>
                <w:lang w:val="es-ES"/>
              </w:rPr>
            </w:pPr>
            <w:r w:rsidRPr="000E3A45">
              <w:rPr>
                <w:bCs/>
                <w:sz w:val="20"/>
                <w:szCs w:val="20"/>
                <w:lang w:val="es-ES"/>
              </w:rPr>
              <w:t>0.48</w:t>
            </w:r>
          </w:p>
        </w:tc>
        <w:tc>
          <w:tcPr>
            <w:tcW w:w="2238" w:type="dxa"/>
            <w:tcBorders>
              <w:top w:val="nil"/>
              <w:bottom w:val="nil"/>
            </w:tcBorders>
            <w:vAlign w:val="center"/>
          </w:tcPr>
          <w:p w14:paraId="0A7B0984" w14:textId="77777777" w:rsidR="00FC1BF1" w:rsidRPr="000E3A45" w:rsidRDefault="00BA69A9" w:rsidP="00161606">
            <w:pPr>
              <w:widowControl w:val="0"/>
              <w:adjustRightInd w:val="0"/>
              <w:ind w:right="851"/>
              <w:jc w:val="right"/>
              <w:textAlignment w:val="baseline"/>
              <w:rPr>
                <w:bCs/>
                <w:sz w:val="20"/>
                <w:szCs w:val="20"/>
                <w:lang w:val="es-ES"/>
              </w:rPr>
            </w:pPr>
            <w:r w:rsidRPr="000E3A45">
              <w:rPr>
                <w:bCs/>
                <w:sz w:val="20"/>
                <w:szCs w:val="20"/>
                <w:lang w:val="es-ES"/>
              </w:rPr>
              <w:t>-3.59</w:t>
            </w:r>
          </w:p>
        </w:tc>
      </w:tr>
      <w:bookmarkEnd w:id="24"/>
      <w:tr w:rsidR="00CB6A1E" w:rsidRPr="000E3A45" w14:paraId="3CE6141C" w14:textId="77777777" w:rsidTr="000F3535">
        <w:trPr>
          <w:jc w:val="center"/>
        </w:trPr>
        <w:tc>
          <w:tcPr>
            <w:tcW w:w="1227" w:type="dxa"/>
            <w:tcBorders>
              <w:top w:val="nil"/>
              <w:bottom w:val="nil"/>
            </w:tcBorders>
            <w:vAlign w:val="center"/>
          </w:tcPr>
          <w:p w14:paraId="10D81D36" w14:textId="77777777" w:rsidR="00CB6A1E" w:rsidRPr="000E3A45" w:rsidRDefault="00CB6A1E" w:rsidP="002D2405">
            <w:pPr>
              <w:widowControl w:val="0"/>
              <w:adjustRightInd w:val="0"/>
              <w:ind w:right="-159"/>
              <w:jc w:val="both"/>
              <w:textAlignment w:val="baseline"/>
              <w:rPr>
                <w:bCs/>
                <w:sz w:val="20"/>
                <w:szCs w:val="20"/>
                <w:lang w:val="es-ES"/>
              </w:rPr>
            </w:pPr>
            <w:r w:rsidRPr="000E3A45">
              <w:rPr>
                <w:bCs/>
                <w:sz w:val="20"/>
                <w:szCs w:val="20"/>
                <w:lang w:val="es-ES"/>
              </w:rPr>
              <w:t>Dic</w:t>
            </w:r>
            <w:r w:rsidR="002D2405" w:rsidRPr="000E3A45">
              <w:rPr>
                <w:bCs/>
                <w:sz w:val="20"/>
                <w:szCs w:val="20"/>
                <w:lang w:val="es-ES"/>
              </w:rPr>
              <w:t>. 2011</w:t>
            </w:r>
          </w:p>
        </w:tc>
        <w:tc>
          <w:tcPr>
            <w:tcW w:w="2348" w:type="dxa"/>
            <w:tcBorders>
              <w:top w:val="nil"/>
              <w:bottom w:val="nil"/>
            </w:tcBorders>
            <w:vAlign w:val="center"/>
          </w:tcPr>
          <w:p w14:paraId="4DE5615B" w14:textId="77777777" w:rsidR="00CB6A1E" w:rsidRPr="000E3A45" w:rsidRDefault="00C464D1" w:rsidP="00161606">
            <w:pPr>
              <w:widowControl w:val="0"/>
              <w:adjustRightInd w:val="0"/>
              <w:jc w:val="center"/>
              <w:textAlignment w:val="baseline"/>
              <w:rPr>
                <w:bCs/>
                <w:sz w:val="20"/>
                <w:szCs w:val="20"/>
                <w:lang w:val="es-ES"/>
              </w:rPr>
            </w:pPr>
            <w:r w:rsidRPr="000E3A45">
              <w:rPr>
                <w:bCs/>
                <w:sz w:val="20"/>
                <w:szCs w:val="20"/>
                <w:lang w:val="es-ES"/>
              </w:rPr>
              <w:t>13.1577</w:t>
            </w:r>
          </w:p>
        </w:tc>
        <w:tc>
          <w:tcPr>
            <w:tcW w:w="2238" w:type="dxa"/>
            <w:tcBorders>
              <w:top w:val="nil"/>
              <w:bottom w:val="nil"/>
            </w:tcBorders>
            <w:vAlign w:val="center"/>
          </w:tcPr>
          <w:p w14:paraId="73D4B77F" w14:textId="77777777" w:rsidR="00CB6A1E" w:rsidRPr="000E3A45" w:rsidRDefault="00D04FED" w:rsidP="00161606">
            <w:pPr>
              <w:widowControl w:val="0"/>
              <w:adjustRightInd w:val="0"/>
              <w:ind w:right="851"/>
              <w:jc w:val="right"/>
              <w:textAlignment w:val="baseline"/>
              <w:rPr>
                <w:bCs/>
                <w:sz w:val="20"/>
                <w:szCs w:val="20"/>
                <w:lang w:val="es-ES"/>
              </w:rPr>
            </w:pPr>
            <w:r w:rsidRPr="000E3A45">
              <w:rPr>
                <w:bCs/>
                <w:sz w:val="20"/>
                <w:szCs w:val="20"/>
                <w:lang w:val="es-ES"/>
              </w:rPr>
              <w:t>-4.10</w:t>
            </w:r>
          </w:p>
        </w:tc>
        <w:tc>
          <w:tcPr>
            <w:tcW w:w="2238" w:type="dxa"/>
            <w:tcBorders>
              <w:top w:val="nil"/>
              <w:bottom w:val="nil"/>
            </w:tcBorders>
            <w:vAlign w:val="center"/>
          </w:tcPr>
          <w:p w14:paraId="4290825D" w14:textId="77777777" w:rsidR="00CB6A1E" w:rsidRPr="000E3A45" w:rsidRDefault="00D04FED" w:rsidP="00161606">
            <w:pPr>
              <w:widowControl w:val="0"/>
              <w:adjustRightInd w:val="0"/>
              <w:ind w:right="851"/>
              <w:jc w:val="right"/>
              <w:textAlignment w:val="baseline"/>
              <w:rPr>
                <w:bCs/>
                <w:sz w:val="20"/>
                <w:szCs w:val="20"/>
                <w:lang w:val="es-ES"/>
              </w:rPr>
            </w:pPr>
            <w:r w:rsidRPr="000E3A45">
              <w:rPr>
                <w:bCs/>
                <w:sz w:val="20"/>
                <w:szCs w:val="20"/>
                <w:lang w:val="es-ES"/>
              </w:rPr>
              <w:t>6.14</w:t>
            </w:r>
          </w:p>
        </w:tc>
      </w:tr>
      <w:tr w:rsidR="00AF7A61" w:rsidRPr="000E3A45" w14:paraId="5AFE8689" w14:textId="77777777" w:rsidTr="000F3535">
        <w:trPr>
          <w:jc w:val="center"/>
        </w:trPr>
        <w:tc>
          <w:tcPr>
            <w:tcW w:w="1227" w:type="dxa"/>
            <w:tcBorders>
              <w:top w:val="nil"/>
              <w:bottom w:val="nil"/>
            </w:tcBorders>
            <w:vAlign w:val="center"/>
          </w:tcPr>
          <w:p w14:paraId="0569B03B" w14:textId="36436824" w:rsidR="00AF7A61" w:rsidRPr="000E3A45" w:rsidRDefault="00AF7A61" w:rsidP="00BF19E2">
            <w:pPr>
              <w:widowControl w:val="0"/>
              <w:adjustRightInd w:val="0"/>
              <w:ind w:right="-159"/>
              <w:jc w:val="both"/>
              <w:textAlignment w:val="baseline"/>
              <w:rPr>
                <w:bCs/>
                <w:sz w:val="20"/>
                <w:szCs w:val="20"/>
                <w:lang w:val="es-ES"/>
              </w:rPr>
            </w:pPr>
            <w:r w:rsidRPr="000E3A45">
              <w:rPr>
                <w:bCs/>
                <w:sz w:val="20"/>
                <w:szCs w:val="20"/>
                <w:lang w:val="es-ES"/>
              </w:rPr>
              <w:t>Dic</w:t>
            </w:r>
            <w:r w:rsidR="00BF19E2" w:rsidRPr="000E3A45">
              <w:rPr>
                <w:bCs/>
                <w:sz w:val="20"/>
                <w:szCs w:val="20"/>
                <w:lang w:val="es-ES"/>
              </w:rPr>
              <w:t>. 2012</w:t>
            </w:r>
          </w:p>
        </w:tc>
        <w:tc>
          <w:tcPr>
            <w:tcW w:w="2348" w:type="dxa"/>
            <w:tcBorders>
              <w:top w:val="nil"/>
              <w:bottom w:val="nil"/>
            </w:tcBorders>
            <w:vAlign w:val="center"/>
          </w:tcPr>
          <w:p w14:paraId="429A8566" w14:textId="77777777" w:rsidR="00AF7A61" w:rsidRPr="000E3A45" w:rsidRDefault="00AF7A61" w:rsidP="008F2B2E">
            <w:pPr>
              <w:widowControl w:val="0"/>
              <w:adjustRightInd w:val="0"/>
              <w:jc w:val="center"/>
              <w:textAlignment w:val="baseline"/>
              <w:rPr>
                <w:bCs/>
                <w:sz w:val="20"/>
                <w:szCs w:val="20"/>
                <w:lang w:val="es-ES"/>
              </w:rPr>
            </w:pPr>
            <w:r w:rsidRPr="000E3A45">
              <w:rPr>
                <w:bCs/>
                <w:sz w:val="20"/>
                <w:szCs w:val="20"/>
                <w:lang w:val="es-ES"/>
              </w:rPr>
              <w:t>12.8729</w:t>
            </w:r>
          </w:p>
        </w:tc>
        <w:tc>
          <w:tcPr>
            <w:tcW w:w="2238" w:type="dxa"/>
            <w:tcBorders>
              <w:top w:val="nil"/>
              <w:bottom w:val="nil"/>
            </w:tcBorders>
            <w:vAlign w:val="center"/>
          </w:tcPr>
          <w:p w14:paraId="3CFC7C36" w14:textId="77777777" w:rsidR="00AF7A61" w:rsidRPr="000E3A45" w:rsidRDefault="00AF7A61" w:rsidP="008F2B2E">
            <w:pPr>
              <w:widowControl w:val="0"/>
              <w:adjustRightInd w:val="0"/>
              <w:ind w:right="851"/>
              <w:jc w:val="right"/>
              <w:textAlignment w:val="baseline"/>
              <w:rPr>
                <w:bCs/>
                <w:sz w:val="20"/>
                <w:szCs w:val="20"/>
                <w:lang w:val="es-ES"/>
              </w:rPr>
            </w:pPr>
            <w:r w:rsidRPr="000E3A45">
              <w:rPr>
                <w:bCs/>
                <w:sz w:val="20"/>
                <w:szCs w:val="20"/>
                <w:lang w:val="es-ES"/>
              </w:rPr>
              <w:t>-1.52</w:t>
            </w:r>
          </w:p>
        </w:tc>
        <w:tc>
          <w:tcPr>
            <w:tcW w:w="2238" w:type="dxa"/>
            <w:tcBorders>
              <w:top w:val="nil"/>
              <w:bottom w:val="nil"/>
            </w:tcBorders>
            <w:vAlign w:val="center"/>
          </w:tcPr>
          <w:p w14:paraId="3D35FB82" w14:textId="77777777" w:rsidR="00AF7A61" w:rsidRPr="000E3A45" w:rsidRDefault="00AF7A61" w:rsidP="008F2B2E">
            <w:pPr>
              <w:widowControl w:val="0"/>
              <w:adjustRightInd w:val="0"/>
              <w:ind w:right="851"/>
              <w:jc w:val="right"/>
              <w:textAlignment w:val="baseline"/>
              <w:rPr>
                <w:bCs/>
                <w:sz w:val="20"/>
                <w:szCs w:val="20"/>
                <w:lang w:val="es-ES"/>
              </w:rPr>
            </w:pPr>
            <w:r w:rsidRPr="000E3A45">
              <w:rPr>
                <w:bCs/>
                <w:sz w:val="20"/>
                <w:szCs w:val="20"/>
                <w:lang w:val="es-ES"/>
              </w:rPr>
              <w:t>-2.16</w:t>
            </w:r>
          </w:p>
        </w:tc>
      </w:tr>
      <w:tr w:rsidR="007B6FD5" w:rsidRPr="000E3A45" w14:paraId="148B5302" w14:textId="77777777" w:rsidTr="000F3535">
        <w:trPr>
          <w:jc w:val="center"/>
        </w:trPr>
        <w:tc>
          <w:tcPr>
            <w:tcW w:w="1227" w:type="dxa"/>
            <w:tcBorders>
              <w:top w:val="nil"/>
              <w:bottom w:val="single" w:sz="4" w:space="0" w:color="auto"/>
            </w:tcBorders>
            <w:vAlign w:val="center"/>
          </w:tcPr>
          <w:p w14:paraId="3AC9B795" w14:textId="3AC075E4" w:rsidR="007B6FD5" w:rsidRPr="000E3A45" w:rsidRDefault="007B6FD5" w:rsidP="001835F8">
            <w:pPr>
              <w:widowControl w:val="0"/>
              <w:adjustRightInd w:val="0"/>
              <w:ind w:right="-159"/>
              <w:jc w:val="both"/>
              <w:textAlignment w:val="baseline"/>
              <w:rPr>
                <w:bCs/>
                <w:sz w:val="20"/>
                <w:szCs w:val="20"/>
                <w:lang w:val="es-ES"/>
              </w:rPr>
            </w:pPr>
            <w:r w:rsidRPr="000E3A45">
              <w:rPr>
                <w:bCs/>
                <w:sz w:val="20"/>
                <w:szCs w:val="20"/>
                <w:lang w:val="es-ES"/>
              </w:rPr>
              <w:t>Dic</w:t>
            </w:r>
            <w:r w:rsidR="001835F8" w:rsidRPr="000E3A45">
              <w:rPr>
                <w:bCs/>
                <w:sz w:val="20"/>
                <w:szCs w:val="20"/>
                <w:lang w:val="es-ES"/>
              </w:rPr>
              <w:t>. 2013</w:t>
            </w:r>
          </w:p>
        </w:tc>
        <w:tc>
          <w:tcPr>
            <w:tcW w:w="2348" w:type="dxa"/>
            <w:tcBorders>
              <w:top w:val="nil"/>
              <w:bottom w:val="single" w:sz="4" w:space="0" w:color="auto"/>
            </w:tcBorders>
            <w:vAlign w:val="center"/>
          </w:tcPr>
          <w:p w14:paraId="6794B2C8" w14:textId="77777777" w:rsidR="007B6FD5" w:rsidRPr="000E3A45" w:rsidRDefault="0056282C" w:rsidP="007263DA">
            <w:pPr>
              <w:widowControl w:val="0"/>
              <w:adjustRightInd w:val="0"/>
              <w:jc w:val="center"/>
              <w:textAlignment w:val="baseline"/>
              <w:rPr>
                <w:bCs/>
                <w:sz w:val="20"/>
                <w:szCs w:val="20"/>
                <w:lang w:val="es-ES"/>
              </w:rPr>
            </w:pPr>
            <w:r w:rsidRPr="000E3A45">
              <w:rPr>
                <w:bCs/>
                <w:sz w:val="20"/>
                <w:szCs w:val="20"/>
                <w:lang w:val="es-ES"/>
              </w:rPr>
              <w:t>13.0083</w:t>
            </w:r>
          </w:p>
        </w:tc>
        <w:tc>
          <w:tcPr>
            <w:tcW w:w="2238" w:type="dxa"/>
            <w:tcBorders>
              <w:top w:val="nil"/>
              <w:bottom w:val="single" w:sz="4" w:space="0" w:color="auto"/>
            </w:tcBorders>
            <w:vAlign w:val="center"/>
          </w:tcPr>
          <w:p w14:paraId="4E9B92D3" w14:textId="77777777" w:rsidR="007B6FD5" w:rsidRPr="000E3A45" w:rsidRDefault="0056282C" w:rsidP="008F2B2E">
            <w:pPr>
              <w:widowControl w:val="0"/>
              <w:adjustRightInd w:val="0"/>
              <w:ind w:right="851"/>
              <w:jc w:val="right"/>
              <w:textAlignment w:val="baseline"/>
              <w:rPr>
                <w:bCs/>
                <w:sz w:val="20"/>
                <w:szCs w:val="20"/>
                <w:lang w:val="es-ES"/>
              </w:rPr>
            </w:pPr>
            <w:r w:rsidRPr="000E3A45">
              <w:rPr>
                <w:bCs/>
                <w:sz w:val="20"/>
                <w:szCs w:val="20"/>
                <w:lang w:val="es-ES"/>
              </w:rPr>
              <w:t>-0.57</w:t>
            </w:r>
          </w:p>
        </w:tc>
        <w:tc>
          <w:tcPr>
            <w:tcW w:w="2238" w:type="dxa"/>
            <w:tcBorders>
              <w:top w:val="nil"/>
              <w:bottom w:val="single" w:sz="4" w:space="0" w:color="auto"/>
            </w:tcBorders>
            <w:vAlign w:val="center"/>
          </w:tcPr>
          <w:p w14:paraId="415C7F45" w14:textId="77777777" w:rsidR="007B6FD5" w:rsidRPr="000E3A45" w:rsidRDefault="0056282C" w:rsidP="008F2B2E">
            <w:pPr>
              <w:widowControl w:val="0"/>
              <w:adjustRightInd w:val="0"/>
              <w:ind w:right="851"/>
              <w:jc w:val="right"/>
              <w:textAlignment w:val="baseline"/>
              <w:rPr>
                <w:bCs/>
                <w:sz w:val="20"/>
                <w:szCs w:val="20"/>
                <w:lang w:val="es-ES"/>
              </w:rPr>
            </w:pPr>
            <w:r w:rsidRPr="000E3A45">
              <w:rPr>
                <w:bCs/>
                <w:sz w:val="20"/>
                <w:szCs w:val="20"/>
                <w:lang w:val="es-ES"/>
              </w:rPr>
              <w:t>1.05</w:t>
            </w:r>
          </w:p>
        </w:tc>
      </w:tr>
      <w:tr w:rsidR="007B6FD5" w:rsidRPr="000E3A45" w14:paraId="4AF6BF57" w14:textId="77777777" w:rsidTr="00772451">
        <w:trPr>
          <w:jc w:val="center"/>
        </w:trPr>
        <w:tc>
          <w:tcPr>
            <w:tcW w:w="8051" w:type="dxa"/>
            <w:gridSpan w:val="4"/>
            <w:tcBorders>
              <w:bottom w:val="single" w:sz="4" w:space="0" w:color="auto"/>
            </w:tcBorders>
            <w:vAlign w:val="center"/>
          </w:tcPr>
          <w:p w14:paraId="3FFC3E81" w14:textId="77777777" w:rsidR="007B6FD5" w:rsidRPr="000E3A45" w:rsidRDefault="007B6FD5" w:rsidP="007B6FD5">
            <w:pPr>
              <w:widowControl w:val="0"/>
              <w:adjustRightInd w:val="0"/>
              <w:ind w:right="851"/>
              <w:jc w:val="center"/>
              <w:textAlignment w:val="baseline"/>
              <w:rPr>
                <w:b/>
                <w:bCs/>
                <w:sz w:val="20"/>
                <w:szCs w:val="20"/>
                <w:lang w:val="es-ES"/>
              </w:rPr>
            </w:pPr>
            <w:r w:rsidRPr="000E3A45">
              <w:rPr>
                <w:b/>
                <w:bCs/>
                <w:sz w:val="20"/>
                <w:szCs w:val="20"/>
                <w:lang w:val="es-ES"/>
              </w:rPr>
              <w:t>2014</w:t>
            </w:r>
          </w:p>
        </w:tc>
      </w:tr>
      <w:tr w:rsidR="007B6FD5" w:rsidRPr="000E3A45" w14:paraId="0DCCF641" w14:textId="77777777" w:rsidTr="000F3535">
        <w:trPr>
          <w:jc w:val="center"/>
        </w:trPr>
        <w:tc>
          <w:tcPr>
            <w:tcW w:w="1227" w:type="dxa"/>
            <w:tcBorders>
              <w:bottom w:val="nil"/>
            </w:tcBorders>
            <w:vAlign w:val="center"/>
          </w:tcPr>
          <w:p w14:paraId="77175CB2" w14:textId="77777777" w:rsidR="007B6FD5" w:rsidRPr="000E3A45" w:rsidRDefault="007B6FD5" w:rsidP="003C1623">
            <w:pPr>
              <w:widowControl w:val="0"/>
              <w:adjustRightInd w:val="0"/>
              <w:ind w:right="-159"/>
              <w:jc w:val="both"/>
              <w:textAlignment w:val="baseline"/>
              <w:rPr>
                <w:bCs/>
                <w:sz w:val="20"/>
                <w:szCs w:val="20"/>
                <w:lang w:val="es-ES"/>
              </w:rPr>
            </w:pPr>
            <w:r w:rsidRPr="000E3A45">
              <w:rPr>
                <w:bCs/>
                <w:sz w:val="20"/>
                <w:szCs w:val="20"/>
                <w:lang w:val="es-ES"/>
              </w:rPr>
              <w:t>Enero</w:t>
            </w:r>
          </w:p>
        </w:tc>
        <w:tc>
          <w:tcPr>
            <w:tcW w:w="2348" w:type="dxa"/>
            <w:tcBorders>
              <w:bottom w:val="nil"/>
            </w:tcBorders>
            <w:vAlign w:val="center"/>
          </w:tcPr>
          <w:p w14:paraId="564C0EAD" w14:textId="77777777" w:rsidR="007B6FD5" w:rsidRPr="000E3A45" w:rsidRDefault="0056282C" w:rsidP="006D45C3">
            <w:pPr>
              <w:widowControl w:val="0"/>
              <w:adjustRightInd w:val="0"/>
              <w:jc w:val="center"/>
              <w:textAlignment w:val="baseline"/>
              <w:rPr>
                <w:bCs/>
                <w:sz w:val="20"/>
                <w:szCs w:val="20"/>
                <w:lang w:val="es-ES"/>
              </w:rPr>
            </w:pPr>
            <w:r w:rsidRPr="000E3A45">
              <w:rPr>
                <w:bCs/>
                <w:sz w:val="20"/>
                <w:szCs w:val="20"/>
                <w:lang w:val="es-ES"/>
              </w:rPr>
              <w:t>13.</w:t>
            </w:r>
            <w:r w:rsidR="003C1623" w:rsidRPr="000E3A45">
              <w:rPr>
                <w:bCs/>
                <w:sz w:val="20"/>
                <w:szCs w:val="20"/>
                <w:lang w:val="es-ES"/>
              </w:rPr>
              <w:t>2</w:t>
            </w:r>
            <w:r w:rsidR="006D45C3" w:rsidRPr="000E3A45">
              <w:rPr>
                <w:bCs/>
                <w:sz w:val="20"/>
                <w:szCs w:val="20"/>
                <w:lang w:val="es-ES"/>
              </w:rPr>
              <w:t>845</w:t>
            </w:r>
          </w:p>
        </w:tc>
        <w:tc>
          <w:tcPr>
            <w:tcW w:w="2238" w:type="dxa"/>
            <w:tcBorders>
              <w:bottom w:val="nil"/>
            </w:tcBorders>
            <w:vAlign w:val="center"/>
          </w:tcPr>
          <w:p w14:paraId="3EDBDFFC" w14:textId="77777777" w:rsidR="007B6FD5" w:rsidRPr="000E3A45" w:rsidRDefault="000C43DF" w:rsidP="000C43DF">
            <w:pPr>
              <w:widowControl w:val="0"/>
              <w:adjustRightInd w:val="0"/>
              <w:ind w:right="851"/>
              <w:jc w:val="right"/>
              <w:textAlignment w:val="baseline"/>
              <w:rPr>
                <w:bCs/>
                <w:sz w:val="20"/>
                <w:szCs w:val="20"/>
                <w:lang w:val="es-ES"/>
              </w:rPr>
            </w:pPr>
            <w:r w:rsidRPr="000E3A45">
              <w:rPr>
                <w:bCs/>
                <w:sz w:val="20"/>
                <w:szCs w:val="20"/>
                <w:lang w:val="es-ES"/>
              </w:rPr>
              <w:t>1.63</w:t>
            </w:r>
          </w:p>
        </w:tc>
        <w:tc>
          <w:tcPr>
            <w:tcW w:w="2238" w:type="dxa"/>
            <w:tcBorders>
              <w:bottom w:val="nil"/>
            </w:tcBorders>
            <w:vAlign w:val="center"/>
          </w:tcPr>
          <w:p w14:paraId="142C97EC" w14:textId="77777777" w:rsidR="007B6FD5" w:rsidRPr="000E3A45" w:rsidRDefault="000C43DF" w:rsidP="000C43DF">
            <w:pPr>
              <w:widowControl w:val="0"/>
              <w:adjustRightInd w:val="0"/>
              <w:ind w:right="851"/>
              <w:jc w:val="right"/>
              <w:textAlignment w:val="baseline"/>
              <w:rPr>
                <w:bCs/>
                <w:sz w:val="20"/>
                <w:szCs w:val="20"/>
                <w:lang w:val="es-ES"/>
              </w:rPr>
            </w:pPr>
            <w:r w:rsidRPr="000E3A45">
              <w:rPr>
                <w:bCs/>
                <w:sz w:val="20"/>
                <w:szCs w:val="20"/>
                <w:lang w:val="es-ES"/>
              </w:rPr>
              <w:t>1.63</w:t>
            </w:r>
          </w:p>
        </w:tc>
      </w:tr>
      <w:tr w:rsidR="003C1623" w:rsidRPr="000E3A45" w14:paraId="49CB1033" w14:textId="77777777" w:rsidTr="000F3535">
        <w:trPr>
          <w:jc w:val="center"/>
        </w:trPr>
        <w:tc>
          <w:tcPr>
            <w:tcW w:w="1227" w:type="dxa"/>
            <w:tcBorders>
              <w:top w:val="nil"/>
              <w:bottom w:val="nil"/>
            </w:tcBorders>
            <w:vAlign w:val="center"/>
          </w:tcPr>
          <w:p w14:paraId="0B0FD3F7" w14:textId="77777777" w:rsidR="003C1623" w:rsidRPr="000E3A45" w:rsidRDefault="003C1623" w:rsidP="009B77C4">
            <w:pPr>
              <w:widowControl w:val="0"/>
              <w:adjustRightInd w:val="0"/>
              <w:ind w:right="-159"/>
              <w:jc w:val="both"/>
              <w:textAlignment w:val="baseline"/>
              <w:rPr>
                <w:bCs/>
                <w:sz w:val="20"/>
                <w:szCs w:val="20"/>
                <w:lang w:val="es-ES"/>
              </w:rPr>
            </w:pPr>
            <w:r w:rsidRPr="000E3A45">
              <w:rPr>
                <w:bCs/>
                <w:sz w:val="20"/>
                <w:szCs w:val="20"/>
                <w:lang w:val="es-ES"/>
              </w:rPr>
              <w:t>Febrero</w:t>
            </w:r>
          </w:p>
        </w:tc>
        <w:tc>
          <w:tcPr>
            <w:tcW w:w="2348" w:type="dxa"/>
            <w:tcBorders>
              <w:top w:val="nil"/>
              <w:bottom w:val="nil"/>
            </w:tcBorders>
            <w:vAlign w:val="center"/>
          </w:tcPr>
          <w:p w14:paraId="79434E9E" w14:textId="77777777" w:rsidR="003C1623" w:rsidRPr="000E3A45" w:rsidRDefault="003C1623" w:rsidP="009B77C4">
            <w:pPr>
              <w:widowControl w:val="0"/>
              <w:adjustRightInd w:val="0"/>
              <w:jc w:val="center"/>
              <w:textAlignment w:val="baseline"/>
              <w:rPr>
                <w:bCs/>
                <w:sz w:val="20"/>
                <w:szCs w:val="20"/>
                <w:lang w:val="es-ES"/>
              </w:rPr>
            </w:pPr>
            <w:r w:rsidRPr="000E3A45">
              <w:rPr>
                <w:bCs/>
                <w:sz w:val="20"/>
                <w:szCs w:val="20"/>
                <w:lang w:val="es-ES"/>
              </w:rPr>
              <w:t>13.</w:t>
            </w:r>
            <w:r w:rsidR="00D96D2D" w:rsidRPr="000E3A45">
              <w:rPr>
                <w:bCs/>
                <w:sz w:val="20"/>
                <w:szCs w:val="20"/>
                <w:lang w:val="es-ES"/>
              </w:rPr>
              <w:t>2784</w:t>
            </w:r>
          </w:p>
        </w:tc>
        <w:tc>
          <w:tcPr>
            <w:tcW w:w="2238" w:type="dxa"/>
            <w:tcBorders>
              <w:top w:val="nil"/>
              <w:bottom w:val="nil"/>
            </w:tcBorders>
            <w:vAlign w:val="center"/>
          </w:tcPr>
          <w:p w14:paraId="262C03D4" w14:textId="77777777" w:rsidR="003C1623" w:rsidRPr="000E3A45" w:rsidRDefault="00D96D2D" w:rsidP="00D96D2D">
            <w:pPr>
              <w:widowControl w:val="0"/>
              <w:adjustRightInd w:val="0"/>
              <w:ind w:right="851"/>
              <w:jc w:val="right"/>
              <w:textAlignment w:val="baseline"/>
              <w:rPr>
                <w:bCs/>
                <w:sz w:val="20"/>
                <w:szCs w:val="20"/>
                <w:lang w:val="es-ES"/>
              </w:rPr>
            </w:pPr>
            <w:r w:rsidRPr="000E3A45">
              <w:rPr>
                <w:bCs/>
                <w:sz w:val="20"/>
                <w:szCs w:val="20"/>
                <w:lang w:val="es-ES"/>
              </w:rPr>
              <w:t>0.44</w:t>
            </w:r>
          </w:p>
        </w:tc>
        <w:tc>
          <w:tcPr>
            <w:tcW w:w="2238" w:type="dxa"/>
            <w:tcBorders>
              <w:top w:val="nil"/>
              <w:bottom w:val="nil"/>
            </w:tcBorders>
            <w:vAlign w:val="center"/>
          </w:tcPr>
          <w:p w14:paraId="019B9C62" w14:textId="77777777" w:rsidR="003C1623" w:rsidRPr="000E3A45" w:rsidRDefault="000C43DF" w:rsidP="009B77C4">
            <w:pPr>
              <w:widowControl w:val="0"/>
              <w:adjustRightInd w:val="0"/>
              <w:ind w:right="851"/>
              <w:jc w:val="right"/>
              <w:textAlignment w:val="baseline"/>
              <w:rPr>
                <w:bCs/>
                <w:sz w:val="20"/>
                <w:szCs w:val="20"/>
                <w:lang w:val="es-ES"/>
              </w:rPr>
            </w:pPr>
            <w:r w:rsidRPr="000E3A45">
              <w:rPr>
                <w:bCs/>
                <w:sz w:val="20"/>
                <w:szCs w:val="20"/>
                <w:lang w:val="es-ES"/>
              </w:rPr>
              <w:t>2.</w:t>
            </w:r>
            <w:r w:rsidR="00D96D2D" w:rsidRPr="000E3A45">
              <w:rPr>
                <w:bCs/>
                <w:sz w:val="20"/>
                <w:szCs w:val="20"/>
                <w:lang w:val="es-ES"/>
              </w:rPr>
              <w:t>08</w:t>
            </w:r>
          </w:p>
        </w:tc>
      </w:tr>
      <w:tr w:rsidR="009B77C4" w:rsidRPr="000E3A45" w14:paraId="579D7537" w14:textId="77777777" w:rsidTr="000F3535">
        <w:trPr>
          <w:jc w:val="center"/>
        </w:trPr>
        <w:tc>
          <w:tcPr>
            <w:tcW w:w="1227" w:type="dxa"/>
            <w:tcBorders>
              <w:top w:val="nil"/>
              <w:bottom w:val="nil"/>
            </w:tcBorders>
            <w:vAlign w:val="center"/>
          </w:tcPr>
          <w:p w14:paraId="0E396201" w14:textId="77777777" w:rsidR="009B77C4" w:rsidRPr="000E3A45" w:rsidRDefault="009B77C4" w:rsidP="008A1F79">
            <w:pPr>
              <w:widowControl w:val="0"/>
              <w:adjustRightInd w:val="0"/>
              <w:ind w:right="-159"/>
              <w:jc w:val="both"/>
              <w:textAlignment w:val="baseline"/>
              <w:rPr>
                <w:bCs/>
                <w:sz w:val="20"/>
                <w:szCs w:val="20"/>
                <w:lang w:val="es-ES"/>
              </w:rPr>
            </w:pPr>
            <w:r w:rsidRPr="000E3A45">
              <w:rPr>
                <w:bCs/>
                <w:sz w:val="20"/>
                <w:szCs w:val="20"/>
                <w:lang w:val="es-ES"/>
              </w:rPr>
              <w:t>Marzo</w:t>
            </w:r>
          </w:p>
        </w:tc>
        <w:tc>
          <w:tcPr>
            <w:tcW w:w="2348" w:type="dxa"/>
            <w:tcBorders>
              <w:top w:val="nil"/>
              <w:bottom w:val="nil"/>
            </w:tcBorders>
            <w:vAlign w:val="center"/>
          </w:tcPr>
          <w:p w14:paraId="4A716767" w14:textId="77777777" w:rsidR="009B77C4" w:rsidRPr="000E3A45" w:rsidRDefault="00A87336" w:rsidP="007263DA">
            <w:pPr>
              <w:widowControl w:val="0"/>
              <w:adjustRightInd w:val="0"/>
              <w:jc w:val="center"/>
              <w:textAlignment w:val="baseline"/>
              <w:rPr>
                <w:bCs/>
                <w:sz w:val="20"/>
                <w:szCs w:val="20"/>
                <w:lang w:val="es-ES"/>
              </w:rPr>
            </w:pPr>
            <w:r w:rsidRPr="000E3A45">
              <w:rPr>
                <w:bCs/>
                <w:sz w:val="20"/>
                <w:szCs w:val="20"/>
                <w:lang w:val="es-ES"/>
              </w:rPr>
              <w:t>13.2036</w:t>
            </w:r>
          </w:p>
        </w:tc>
        <w:tc>
          <w:tcPr>
            <w:tcW w:w="2238" w:type="dxa"/>
            <w:tcBorders>
              <w:top w:val="nil"/>
              <w:bottom w:val="nil"/>
            </w:tcBorders>
            <w:vAlign w:val="center"/>
          </w:tcPr>
          <w:p w14:paraId="7B98A63E" w14:textId="77777777" w:rsidR="009B77C4" w:rsidRPr="000E3A45" w:rsidRDefault="00BF1DD9" w:rsidP="008F2B2E">
            <w:pPr>
              <w:widowControl w:val="0"/>
              <w:adjustRightInd w:val="0"/>
              <w:ind w:right="851"/>
              <w:jc w:val="right"/>
              <w:textAlignment w:val="baseline"/>
              <w:rPr>
                <w:bCs/>
                <w:sz w:val="20"/>
                <w:szCs w:val="20"/>
                <w:lang w:val="es-ES"/>
              </w:rPr>
            </w:pPr>
            <w:r w:rsidRPr="000E3A45">
              <w:rPr>
                <w:bCs/>
                <w:sz w:val="20"/>
                <w:szCs w:val="20"/>
                <w:lang w:val="es-ES"/>
              </w:rPr>
              <w:t>-0.56</w:t>
            </w:r>
          </w:p>
        </w:tc>
        <w:tc>
          <w:tcPr>
            <w:tcW w:w="2238" w:type="dxa"/>
            <w:tcBorders>
              <w:top w:val="nil"/>
              <w:bottom w:val="nil"/>
            </w:tcBorders>
            <w:vAlign w:val="center"/>
          </w:tcPr>
          <w:p w14:paraId="2A2E91D6" w14:textId="77777777" w:rsidR="009B77C4" w:rsidRPr="000E3A45" w:rsidRDefault="00104B1F" w:rsidP="008F2B2E">
            <w:pPr>
              <w:widowControl w:val="0"/>
              <w:adjustRightInd w:val="0"/>
              <w:ind w:right="851"/>
              <w:jc w:val="right"/>
              <w:textAlignment w:val="baseline"/>
              <w:rPr>
                <w:bCs/>
                <w:sz w:val="20"/>
                <w:szCs w:val="20"/>
                <w:lang w:val="es-ES"/>
              </w:rPr>
            </w:pPr>
            <w:r w:rsidRPr="000E3A45">
              <w:rPr>
                <w:bCs/>
                <w:sz w:val="20"/>
                <w:szCs w:val="20"/>
                <w:lang w:val="es-ES"/>
              </w:rPr>
              <w:t>1.50</w:t>
            </w:r>
          </w:p>
        </w:tc>
      </w:tr>
      <w:tr w:rsidR="008A1F79" w:rsidRPr="000E3A45" w14:paraId="440A471B" w14:textId="77777777" w:rsidTr="000F3535">
        <w:trPr>
          <w:jc w:val="center"/>
        </w:trPr>
        <w:tc>
          <w:tcPr>
            <w:tcW w:w="1227" w:type="dxa"/>
            <w:tcBorders>
              <w:top w:val="nil"/>
              <w:bottom w:val="nil"/>
            </w:tcBorders>
            <w:vAlign w:val="center"/>
          </w:tcPr>
          <w:p w14:paraId="4EA69AD8" w14:textId="77777777" w:rsidR="008A1F79" w:rsidRPr="000E3A45" w:rsidRDefault="008A1F79" w:rsidP="006F23EB">
            <w:pPr>
              <w:widowControl w:val="0"/>
              <w:adjustRightInd w:val="0"/>
              <w:ind w:right="-159"/>
              <w:jc w:val="both"/>
              <w:textAlignment w:val="baseline"/>
              <w:rPr>
                <w:bCs/>
                <w:sz w:val="20"/>
                <w:szCs w:val="20"/>
                <w:lang w:val="es-ES"/>
              </w:rPr>
            </w:pPr>
            <w:r w:rsidRPr="000E3A45">
              <w:rPr>
                <w:bCs/>
                <w:sz w:val="20"/>
                <w:szCs w:val="20"/>
                <w:lang w:val="es-ES"/>
              </w:rPr>
              <w:t>Abril</w:t>
            </w:r>
          </w:p>
        </w:tc>
        <w:tc>
          <w:tcPr>
            <w:tcW w:w="2348" w:type="dxa"/>
            <w:tcBorders>
              <w:top w:val="nil"/>
              <w:bottom w:val="nil"/>
            </w:tcBorders>
            <w:vAlign w:val="center"/>
          </w:tcPr>
          <w:p w14:paraId="688F1E78" w14:textId="77777777" w:rsidR="008A1F79" w:rsidRPr="000E3A45" w:rsidRDefault="00E80AEE" w:rsidP="007263DA">
            <w:pPr>
              <w:widowControl w:val="0"/>
              <w:adjustRightInd w:val="0"/>
              <w:jc w:val="center"/>
              <w:textAlignment w:val="baseline"/>
              <w:rPr>
                <w:bCs/>
                <w:sz w:val="20"/>
                <w:szCs w:val="20"/>
                <w:lang w:val="es-ES"/>
              </w:rPr>
            </w:pPr>
            <w:r w:rsidRPr="000E3A45">
              <w:rPr>
                <w:bCs/>
                <w:sz w:val="20"/>
                <w:szCs w:val="20"/>
                <w:lang w:val="es-ES"/>
              </w:rPr>
              <w:t>13.0650</w:t>
            </w:r>
          </w:p>
        </w:tc>
        <w:tc>
          <w:tcPr>
            <w:tcW w:w="2238" w:type="dxa"/>
            <w:tcBorders>
              <w:top w:val="nil"/>
              <w:bottom w:val="nil"/>
            </w:tcBorders>
            <w:vAlign w:val="center"/>
          </w:tcPr>
          <w:p w14:paraId="5590BECE" w14:textId="77777777" w:rsidR="008A1F79" w:rsidRPr="000E3A45" w:rsidRDefault="00E80AEE" w:rsidP="008F2B2E">
            <w:pPr>
              <w:widowControl w:val="0"/>
              <w:adjustRightInd w:val="0"/>
              <w:ind w:right="851"/>
              <w:jc w:val="right"/>
              <w:textAlignment w:val="baseline"/>
              <w:rPr>
                <w:bCs/>
                <w:sz w:val="20"/>
                <w:szCs w:val="20"/>
                <w:lang w:val="es-ES"/>
              </w:rPr>
            </w:pPr>
            <w:r w:rsidRPr="000E3A45">
              <w:rPr>
                <w:bCs/>
                <w:sz w:val="20"/>
                <w:szCs w:val="20"/>
                <w:lang w:val="es-ES"/>
              </w:rPr>
              <w:t>-1.05</w:t>
            </w:r>
          </w:p>
        </w:tc>
        <w:tc>
          <w:tcPr>
            <w:tcW w:w="2238" w:type="dxa"/>
            <w:tcBorders>
              <w:top w:val="nil"/>
              <w:bottom w:val="nil"/>
            </w:tcBorders>
            <w:vAlign w:val="center"/>
          </w:tcPr>
          <w:p w14:paraId="2CF4BD2E" w14:textId="77777777" w:rsidR="008A1F79" w:rsidRPr="000E3A45" w:rsidRDefault="00E80AEE" w:rsidP="008F2B2E">
            <w:pPr>
              <w:widowControl w:val="0"/>
              <w:adjustRightInd w:val="0"/>
              <w:ind w:right="851"/>
              <w:jc w:val="right"/>
              <w:textAlignment w:val="baseline"/>
              <w:rPr>
                <w:bCs/>
                <w:sz w:val="20"/>
                <w:szCs w:val="20"/>
                <w:lang w:val="es-ES"/>
              </w:rPr>
            </w:pPr>
            <w:r w:rsidRPr="000E3A45">
              <w:rPr>
                <w:bCs/>
                <w:sz w:val="20"/>
                <w:szCs w:val="20"/>
                <w:lang w:val="es-ES"/>
              </w:rPr>
              <w:t>0.44</w:t>
            </w:r>
          </w:p>
        </w:tc>
      </w:tr>
      <w:tr w:rsidR="006F23EB" w:rsidRPr="000E3A45" w14:paraId="38EB13EC" w14:textId="77777777" w:rsidTr="000F3535">
        <w:trPr>
          <w:jc w:val="center"/>
        </w:trPr>
        <w:tc>
          <w:tcPr>
            <w:tcW w:w="1227" w:type="dxa"/>
            <w:tcBorders>
              <w:top w:val="nil"/>
              <w:bottom w:val="nil"/>
            </w:tcBorders>
            <w:vAlign w:val="center"/>
          </w:tcPr>
          <w:p w14:paraId="5956B5E4" w14:textId="77777777" w:rsidR="006F23EB" w:rsidRPr="000E3A45" w:rsidRDefault="006F23EB" w:rsidP="00953D3E">
            <w:pPr>
              <w:widowControl w:val="0"/>
              <w:adjustRightInd w:val="0"/>
              <w:ind w:right="-159"/>
              <w:jc w:val="both"/>
              <w:textAlignment w:val="baseline"/>
              <w:rPr>
                <w:bCs/>
                <w:sz w:val="20"/>
                <w:szCs w:val="20"/>
                <w:lang w:val="es-ES"/>
              </w:rPr>
            </w:pPr>
            <w:r w:rsidRPr="000E3A45">
              <w:rPr>
                <w:bCs/>
                <w:sz w:val="20"/>
                <w:szCs w:val="20"/>
                <w:lang w:val="es-ES"/>
              </w:rPr>
              <w:t>Mayo</w:t>
            </w:r>
          </w:p>
        </w:tc>
        <w:tc>
          <w:tcPr>
            <w:tcW w:w="2348" w:type="dxa"/>
            <w:tcBorders>
              <w:top w:val="nil"/>
              <w:bottom w:val="nil"/>
            </w:tcBorders>
            <w:vAlign w:val="center"/>
          </w:tcPr>
          <w:p w14:paraId="6E8CD8EC" w14:textId="61DF06D8" w:rsidR="006F23EB" w:rsidRPr="000E3A45" w:rsidRDefault="005A10FA" w:rsidP="005A10FA">
            <w:pPr>
              <w:widowControl w:val="0"/>
              <w:adjustRightInd w:val="0"/>
              <w:jc w:val="center"/>
              <w:textAlignment w:val="baseline"/>
              <w:rPr>
                <w:bCs/>
                <w:sz w:val="20"/>
                <w:szCs w:val="20"/>
                <w:lang w:val="es-ES"/>
              </w:rPr>
            </w:pPr>
            <w:r w:rsidRPr="000E3A45">
              <w:rPr>
                <w:bCs/>
                <w:sz w:val="20"/>
                <w:szCs w:val="20"/>
                <w:lang w:val="es-ES"/>
              </w:rPr>
              <w:t>12.9242</w:t>
            </w:r>
          </w:p>
        </w:tc>
        <w:tc>
          <w:tcPr>
            <w:tcW w:w="2238" w:type="dxa"/>
            <w:tcBorders>
              <w:top w:val="nil"/>
              <w:bottom w:val="nil"/>
            </w:tcBorders>
            <w:vAlign w:val="center"/>
          </w:tcPr>
          <w:p w14:paraId="2C6AC18F" w14:textId="0329D9C9" w:rsidR="006F23EB" w:rsidRPr="000E3A45" w:rsidRDefault="005A10FA" w:rsidP="005A10FA">
            <w:pPr>
              <w:widowControl w:val="0"/>
              <w:adjustRightInd w:val="0"/>
              <w:ind w:right="851"/>
              <w:jc w:val="right"/>
              <w:textAlignment w:val="baseline"/>
              <w:rPr>
                <w:bCs/>
                <w:sz w:val="20"/>
                <w:szCs w:val="20"/>
                <w:lang w:val="es-ES"/>
              </w:rPr>
            </w:pPr>
            <w:r w:rsidRPr="000E3A45">
              <w:rPr>
                <w:bCs/>
                <w:sz w:val="20"/>
                <w:szCs w:val="20"/>
                <w:lang w:val="es-ES"/>
              </w:rPr>
              <w:t>-1.08</w:t>
            </w:r>
          </w:p>
        </w:tc>
        <w:tc>
          <w:tcPr>
            <w:tcW w:w="2238" w:type="dxa"/>
            <w:tcBorders>
              <w:top w:val="nil"/>
              <w:bottom w:val="nil"/>
            </w:tcBorders>
            <w:vAlign w:val="center"/>
          </w:tcPr>
          <w:p w14:paraId="16904D1D" w14:textId="1FC3BE2A" w:rsidR="006F23EB" w:rsidRPr="000E3A45" w:rsidRDefault="005A10FA" w:rsidP="005A10FA">
            <w:pPr>
              <w:widowControl w:val="0"/>
              <w:adjustRightInd w:val="0"/>
              <w:ind w:right="851"/>
              <w:jc w:val="right"/>
              <w:textAlignment w:val="baseline"/>
              <w:rPr>
                <w:bCs/>
                <w:sz w:val="20"/>
                <w:szCs w:val="20"/>
                <w:lang w:val="es-ES"/>
              </w:rPr>
            </w:pPr>
            <w:r w:rsidRPr="000E3A45">
              <w:rPr>
                <w:bCs/>
                <w:sz w:val="20"/>
                <w:szCs w:val="20"/>
                <w:lang w:val="es-ES"/>
              </w:rPr>
              <w:t>-0.65</w:t>
            </w:r>
          </w:p>
        </w:tc>
      </w:tr>
      <w:tr w:rsidR="00953D3E" w:rsidRPr="000E3A45" w14:paraId="1925CF2B" w14:textId="77777777" w:rsidTr="000F3535">
        <w:trPr>
          <w:jc w:val="center"/>
        </w:trPr>
        <w:tc>
          <w:tcPr>
            <w:tcW w:w="1227" w:type="dxa"/>
            <w:tcBorders>
              <w:top w:val="nil"/>
              <w:bottom w:val="nil"/>
            </w:tcBorders>
            <w:vAlign w:val="center"/>
          </w:tcPr>
          <w:p w14:paraId="2D681C07" w14:textId="77777777" w:rsidR="00953D3E" w:rsidRPr="000E3A45" w:rsidRDefault="00953D3E" w:rsidP="00AF7A61">
            <w:pPr>
              <w:widowControl w:val="0"/>
              <w:adjustRightInd w:val="0"/>
              <w:ind w:right="-159"/>
              <w:jc w:val="both"/>
              <w:textAlignment w:val="baseline"/>
              <w:rPr>
                <w:bCs/>
                <w:sz w:val="20"/>
                <w:szCs w:val="20"/>
                <w:lang w:val="es-ES"/>
              </w:rPr>
            </w:pPr>
            <w:r w:rsidRPr="000E3A45">
              <w:rPr>
                <w:bCs/>
                <w:sz w:val="20"/>
                <w:szCs w:val="20"/>
                <w:lang w:val="es-ES"/>
              </w:rPr>
              <w:t>Junio</w:t>
            </w:r>
          </w:p>
        </w:tc>
        <w:tc>
          <w:tcPr>
            <w:tcW w:w="2348" w:type="dxa"/>
            <w:tcBorders>
              <w:top w:val="nil"/>
              <w:bottom w:val="nil"/>
            </w:tcBorders>
            <w:vAlign w:val="center"/>
          </w:tcPr>
          <w:p w14:paraId="0E08037A" w14:textId="4416766B" w:rsidR="00953D3E" w:rsidRPr="000E3A45" w:rsidRDefault="005A10FA" w:rsidP="005A10FA">
            <w:pPr>
              <w:widowControl w:val="0"/>
              <w:adjustRightInd w:val="0"/>
              <w:jc w:val="center"/>
              <w:textAlignment w:val="baseline"/>
              <w:rPr>
                <w:bCs/>
                <w:sz w:val="20"/>
                <w:szCs w:val="20"/>
                <w:lang w:val="es-ES"/>
              </w:rPr>
            </w:pPr>
            <w:r w:rsidRPr="000E3A45">
              <w:rPr>
                <w:bCs/>
                <w:sz w:val="20"/>
                <w:szCs w:val="20"/>
                <w:lang w:val="es-ES"/>
              </w:rPr>
              <w:t>12.9945</w:t>
            </w:r>
          </w:p>
        </w:tc>
        <w:tc>
          <w:tcPr>
            <w:tcW w:w="2238" w:type="dxa"/>
            <w:tcBorders>
              <w:top w:val="nil"/>
              <w:bottom w:val="nil"/>
            </w:tcBorders>
            <w:vAlign w:val="center"/>
          </w:tcPr>
          <w:p w14:paraId="647A0502" w14:textId="7794ABFD" w:rsidR="00953D3E" w:rsidRPr="000E3A45" w:rsidRDefault="005A10FA" w:rsidP="005A10FA">
            <w:pPr>
              <w:widowControl w:val="0"/>
              <w:adjustRightInd w:val="0"/>
              <w:ind w:right="851"/>
              <w:jc w:val="right"/>
              <w:textAlignment w:val="baseline"/>
              <w:rPr>
                <w:bCs/>
                <w:sz w:val="20"/>
                <w:szCs w:val="20"/>
                <w:lang w:val="es-ES"/>
              </w:rPr>
            </w:pPr>
            <w:r w:rsidRPr="000E3A45">
              <w:rPr>
                <w:bCs/>
                <w:sz w:val="20"/>
                <w:szCs w:val="20"/>
                <w:lang w:val="es-ES"/>
              </w:rPr>
              <w:t>0.54</w:t>
            </w:r>
          </w:p>
        </w:tc>
        <w:tc>
          <w:tcPr>
            <w:tcW w:w="2238" w:type="dxa"/>
            <w:tcBorders>
              <w:top w:val="nil"/>
              <w:bottom w:val="nil"/>
            </w:tcBorders>
            <w:vAlign w:val="center"/>
          </w:tcPr>
          <w:p w14:paraId="381F0594" w14:textId="336307F5" w:rsidR="00953D3E" w:rsidRPr="000E3A45" w:rsidRDefault="005A10FA" w:rsidP="005A10FA">
            <w:pPr>
              <w:widowControl w:val="0"/>
              <w:adjustRightInd w:val="0"/>
              <w:ind w:right="851"/>
              <w:jc w:val="right"/>
              <w:textAlignment w:val="baseline"/>
              <w:rPr>
                <w:bCs/>
                <w:sz w:val="20"/>
                <w:szCs w:val="20"/>
                <w:lang w:val="es-ES"/>
              </w:rPr>
            </w:pPr>
            <w:r w:rsidRPr="000E3A45">
              <w:rPr>
                <w:bCs/>
                <w:sz w:val="20"/>
                <w:szCs w:val="20"/>
                <w:lang w:val="es-ES"/>
              </w:rPr>
              <w:t>-0.11</w:t>
            </w:r>
          </w:p>
        </w:tc>
      </w:tr>
      <w:tr w:rsidR="005A10FA" w:rsidRPr="000E3A45" w14:paraId="676117C5" w14:textId="77777777" w:rsidTr="000F3535">
        <w:trPr>
          <w:jc w:val="center"/>
        </w:trPr>
        <w:tc>
          <w:tcPr>
            <w:tcW w:w="1227" w:type="dxa"/>
            <w:tcBorders>
              <w:top w:val="nil"/>
              <w:bottom w:val="nil"/>
            </w:tcBorders>
            <w:vAlign w:val="center"/>
          </w:tcPr>
          <w:p w14:paraId="60EFEC68" w14:textId="7334A123" w:rsidR="005A10FA" w:rsidRPr="000E3A45" w:rsidRDefault="005A10FA" w:rsidP="00E556D9">
            <w:pPr>
              <w:widowControl w:val="0"/>
              <w:adjustRightInd w:val="0"/>
              <w:ind w:right="-159"/>
              <w:jc w:val="both"/>
              <w:textAlignment w:val="baseline"/>
              <w:rPr>
                <w:bCs/>
                <w:sz w:val="20"/>
                <w:szCs w:val="20"/>
                <w:lang w:val="es-ES"/>
              </w:rPr>
            </w:pPr>
            <w:r w:rsidRPr="000E3A45">
              <w:rPr>
                <w:bCs/>
                <w:sz w:val="20"/>
                <w:szCs w:val="20"/>
                <w:lang w:val="es-ES"/>
              </w:rPr>
              <w:t>Julio</w:t>
            </w:r>
          </w:p>
        </w:tc>
        <w:tc>
          <w:tcPr>
            <w:tcW w:w="2348" w:type="dxa"/>
            <w:tcBorders>
              <w:top w:val="nil"/>
              <w:bottom w:val="nil"/>
            </w:tcBorders>
            <w:vAlign w:val="center"/>
          </w:tcPr>
          <w:p w14:paraId="6F4D411F" w14:textId="09F12ACC" w:rsidR="005A10FA" w:rsidRPr="000E3A45" w:rsidRDefault="005A10FA" w:rsidP="00F53D5B">
            <w:pPr>
              <w:widowControl w:val="0"/>
              <w:adjustRightInd w:val="0"/>
              <w:jc w:val="center"/>
              <w:textAlignment w:val="baseline"/>
              <w:rPr>
                <w:bCs/>
                <w:sz w:val="20"/>
                <w:szCs w:val="20"/>
                <w:lang w:val="es-ES"/>
              </w:rPr>
            </w:pPr>
            <w:r w:rsidRPr="000E3A45">
              <w:rPr>
                <w:bCs/>
                <w:sz w:val="20"/>
                <w:szCs w:val="20"/>
                <w:lang w:val="es-ES"/>
              </w:rPr>
              <w:t>12.9</w:t>
            </w:r>
            <w:r w:rsidR="00F53D5B" w:rsidRPr="000E3A45">
              <w:rPr>
                <w:bCs/>
                <w:sz w:val="20"/>
                <w:szCs w:val="20"/>
                <w:lang w:val="es-ES"/>
              </w:rPr>
              <w:t>894</w:t>
            </w:r>
          </w:p>
        </w:tc>
        <w:tc>
          <w:tcPr>
            <w:tcW w:w="2238" w:type="dxa"/>
            <w:tcBorders>
              <w:top w:val="nil"/>
              <w:bottom w:val="nil"/>
            </w:tcBorders>
            <w:vAlign w:val="center"/>
          </w:tcPr>
          <w:p w14:paraId="01C83F52" w14:textId="036AFAD3" w:rsidR="005A10FA" w:rsidRPr="000E3A45" w:rsidRDefault="005A10FA" w:rsidP="00F53D5B">
            <w:pPr>
              <w:widowControl w:val="0"/>
              <w:adjustRightInd w:val="0"/>
              <w:ind w:right="851"/>
              <w:jc w:val="right"/>
              <w:textAlignment w:val="baseline"/>
              <w:rPr>
                <w:bCs/>
                <w:sz w:val="20"/>
                <w:szCs w:val="20"/>
                <w:lang w:val="es-ES"/>
              </w:rPr>
            </w:pPr>
            <w:r w:rsidRPr="000E3A45">
              <w:rPr>
                <w:bCs/>
                <w:sz w:val="20"/>
                <w:szCs w:val="20"/>
                <w:lang w:val="es-ES"/>
              </w:rPr>
              <w:t>-0.</w:t>
            </w:r>
            <w:r w:rsidR="00F53D5B" w:rsidRPr="000E3A45">
              <w:rPr>
                <w:bCs/>
                <w:sz w:val="20"/>
                <w:szCs w:val="20"/>
                <w:lang w:val="es-ES"/>
              </w:rPr>
              <w:t>04</w:t>
            </w:r>
          </w:p>
        </w:tc>
        <w:tc>
          <w:tcPr>
            <w:tcW w:w="2238" w:type="dxa"/>
            <w:tcBorders>
              <w:top w:val="nil"/>
              <w:bottom w:val="nil"/>
            </w:tcBorders>
            <w:vAlign w:val="center"/>
          </w:tcPr>
          <w:p w14:paraId="7A31E668" w14:textId="0E2F1499" w:rsidR="005A10FA" w:rsidRPr="000E3A45" w:rsidRDefault="005A10FA" w:rsidP="00F53D5B">
            <w:pPr>
              <w:widowControl w:val="0"/>
              <w:adjustRightInd w:val="0"/>
              <w:ind w:right="851"/>
              <w:jc w:val="right"/>
              <w:textAlignment w:val="baseline"/>
              <w:rPr>
                <w:bCs/>
                <w:sz w:val="20"/>
                <w:szCs w:val="20"/>
                <w:lang w:val="es-ES"/>
              </w:rPr>
            </w:pPr>
            <w:r w:rsidRPr="000E3A45">
              <w:rPr>
                <w:bCs/>
                <w:sz w:val="20"/>
                <w:szCs w:val="20"/>
                <w:lang w:val="es-ES"/>
              </w:rPr>
              <w:t>-0.</w:t>
            </w:r>
            <w:r w:rsidR="00F53D5B" w:rsidRPr="000E3A45">
              <w:rPr>
                <w:bCs/>
                <w:sz w:val="20"/>
                <w:szCs w:val="20"/>
                <w:lang w:val="es-ES"/>
              </w:rPr>
              <w:t>14</w:t>
            </w:r>
          </w:p>
        </w:tc>
      </w:tr>
      <w:tr w:rsidR="00E556D9" w:rsidRPr="000E3A45" w14:paraId="0380AACB" w14:textId="77777777" w:rsidTr="000F3535">
        <w:trPr>
          <w:jc w:val="center"/>
        </w:trPr>
        <w:tc>
          <w:tcPr>
            <w:tcW w:w="1227" w:type="dxa"/>
            <w:tcBorders>
              <w:top w:val="nil"/>
              <w:bottom w:val="nil"/>
            </w:tcBorders>
            <w:vAlign w:val="center"/>
          </w:tcPr>
          <w:p w14:paraId="3E24B511" w14:textId="436FE656" w:rsidR="00E556D9" w:rsidRPr="000E3A45" w:rsidRDefault="00E556D9" w:rsidP="000008FE">
            <w:pPr>
              <w:widowControl w:val="0"/>
              <w:adjustRightInd w:val="0"/>
              <w:ind w:right="-159"/>
              <w:jc w:val="both"/>
              <w:textAlignment w:val="baseline"/>
              <w:rPr>
                <w:bCs/>
                <w:sz w:val="20"/>
                <w:szCs w:val="20"/>
                <w:lang w:val="es-ES"/>
              </w:rPr>
            </w:pPr>
            <w:r w:rsidRPr="000E3A45">
              <w:rPr>
                <w:bCs/>
                <w:sz w:val="20"/>
                <w:szCs w:val="20"/>
                <w:lang w:val="es-ES"/>
              </w:rPr>
              <w:t>Agosto</w:t>
            </w:r>
          </w:p>
        </w:tc>
        <w:tc>
          <w:tcPr>
            <w:tcW w:w="2348" w:type="dxa"/>
            <w:tcBorders>
              <w:top w:val="nil"/>
              <w:bottom w:val="nil"/>
            </w:tcBorders>
            <w:vAlign w:val="center"/>
          </w:tcPr>
          <w:p w14:paraId="214319C1" w14:textId="421BE1FA" w:rsidR="00E556D9" w:rsidRPr="000E3A45" w:rsidRDefault="00CA33ED" w:rsidP="007263DA">
            <w:pPr>
              <w:widowControl w:val="0"/>
              <w:adjustRightInd w:val="0"/>
              <w:jc w:val="center"/>
              <w:textAlignment w:val="baseline"/>
              <w:rPr>
                <w:bCs/>
                <w:sz w:val="20"/>
                <w:szCs w:val="20"/>
                <w:lang w:val="es-ES"/>
              </w:rPr>
            </w:pPr>
            <w:r w:rsidRPr="000E3A45">
              <w:rPr>
                <w:bCs/>
                <w:sz w:val="20"/>
                <w:szCs w:val="20"/>
                <w:lang w:val="es-ES"/>
              </w:rPr>
              <w:t>13.1452</w:t>
            </w:r>
          </w:p>
        </w:tc>
        <w:tc>
          <w:tcPr>
            <w:tcW w:w="2238" w:type="dxa"/>
            <w:tcBorders>
              <w:top w:val="nil"/>
              <w:bottom w:val="nil"/>
            </w:tcBorders>
            <w:vAlign w:val="center"/>
          </w:tcPr>
          <w:p w14:paraId="263FCD04" w14:textId="77F870D3" w:rsidR="00E556D9" w:rsidRPr="000E3A45" w:rsidRDefault="00CA33ED" w:rsidP="005A10FA">
            <w:pPr>
              <w:widowControl w:val="0"/>
              <w:adjustRightInd w:val="0"/>
              <w:ind w:right="851"/>
              <w:jc w:val="right"/>
              <w:textAlignment w:val="baseline"/>
              <w:rPr>
                <w:bCs/>
                <w:sz w:val="20"/>
                <w:szCs w:val="20"/>
                <w:lang w:val="es-ES"/>
              </w:rPr>
            </w:pPr>
            <w:r w:rsidRPr="000E3A45">
              <w:rPr>
                <w:bCs/>
                <w:sz w:val="20"/>
                <w:szCs w:val="20"/>
                <w:lang w:val="es-ES"/>
              </w:rPr>
              <w:t>1.20</w:t>
            </w:r>
          </w:p>
        </w:tc>
        <w:tc>
          <w:tcPr>
            <w:tcW w:w="2238" w:type="dxa"/>
            <w:tcBorders>
              <w:top w:val="nil"/>
              <w:bottom w:val="nil"/>
            </w:tcBorders>
            <w:vAlign w:val="center"/>
          </w:tcPr>
          <w:p w14:paraId="78A8EC5D" w14:textId="44D0CDBD" w:rsidR="00E556D9" w:rsidRPr="000E3A45" w:rsidRDefault="00CA33ED" w:rsidP="008F2B2E">
            <w:pPr>
              <w:widowControl w:val="0"/>
              <w:adjustRightInd w:val="0"/>
              <w:ind w:right="851"/>
              <w:jc w:val="right"/>
              <w:textAlignment w:val="baseline"/>
              <w:rPr>
                <w:bCs/>
                <w:sz w:val="20"/>
                <w:szCs w:val="20"/>
                <w:lang w:val="es-ES"/>
              </w:rPr>
            </w:pPr>
            <w:r w:rsidRPr="000E3A45">
              <w:rPr>
                <w:bCs/>
                <w:sz w:val="20"/>
                <w:szCs w:val="20"/>
                <w:lang w:val="es-ES"/>
              </w:rPr>
              <w:t>1.05</w:t>
            </w:r>
          </w:p>
        </w:tc>
      </w:tr>
      <w:tr w:rsidR="000008FE" w:rsidRPr="000E3A45" w14:paraId="7652BB81" w14:textId="77777777" w:rsidTr="000F3535">
        <w:trPr>
          <w:jc w:val="center"/>
        </w:trPr>
        <w:tc>
          <w:tcPr>
            <w:tcW w:w="1227" w:type="dxa"/>
            <w:tcBorders>
              <w:top w:val="nil"/>
              <w:bottom w:val="nil"/>
            </w:tcBorders>
            <w:vAlign w:val="center"/>
          </w:tcPr>
          <w:p w14:paraId="2D181912" w14:textId="0DA81CFC" w:rsidR="000008FE" w:rsidRPr="000E3A45" w:rsidRDefault="000008FE" w:rsidP="005C0BCB">
            <w:pPr>
              <w:widowControl w:val="0"/>
              <w:adjustRightInd w:val="0"/>
              <w:ind w:right="-159"/>
              <w:jc w:val="both"/>
              <w:textAlignment w:val="baseline"/>
              <w:rPr>
                <w:bCs/>
                <w:sz w:val="20"/>
                <w:szCs w:val="20"/>
                <w:lang w:val="es-ES"/>
              </w:rPr>
            </w:pPr>
            <w:r w:rsidRPr="000E3A45">
              <w:rPr>
                <w:bCs/>
                <w:sz w:val="20"/>
                <w:szCs w:val="20"/>
                <w:lang w:val="es-ES"/>
              </w:rPr>
              <w:t>Septiembre</w:t>
            </w:r>
          </w:p>
        </w:tc>
        <w:tc>
          <w:tcPr>
            <w:tcW w:w="2348" w:type="dxa"/>
            <w:tcBorders>
              <w:top w:val="nil"/>
              <w:bottom w:val="nil"/>
            </w:tcBorders>
            <w:vAlign w:val="center"/>
          </w:tcPr>
          <w:p w14:paraId="1086A1C2" w14:textId="28CEA751" w:rsidR="000008FE" w:rsidRPr="000E3A45" w:rsidRDefault="00CA33ED" w:rsidP="005C0BCB">
            <w:pPr>
              <w:widowControl w:val="0"/>
              <w:adjustRightInd w:val="0"/>
              <w:jc w:val="center"/>
              <w:textAlignment w:val="baseline"/>
              <w:rPr>
                <w:bCs/>
                <w:sz w:val="20"/>
                <w:szCs w:val="20"/>
                <w:lang w:val="es-ES"/>
              </w:rPr>
            </w:pPr>
            <w:r w:rsidRPr="000E3A45">
              <w:rPr>
                <w:bCs/>
                <w:sz w:val="20"/>
                <w:szCs w:val="20"/>
                <w:lang w:val="es-ES"/>
              </w:rPr>
              <w:t>13.</w:t>
            </w:r>
            <w:r w:rsidR="005C0BCB" w:rsidRPr="000E3A45">
              <w:rPr>
                <w:bCs/>
                <w:sz w:val="20"/>
                <w:szCs w:val="20"/>
                <w:lang w:val="es-ES"/>
              </w:rPr>
              <w:t>2398</w:t>
            </w:r>
          </w:p>
        </w:tc>
        <w:tc>
          <w:tcPr>
            <w:tcW w:w="2238" w:type="dxa"/>
            <w:tcBorders>
              <w:top w:val="nil"/>
              <w:bottom w:val="nil"/>
            </w:tcBorders>
            <w:vAlign w:val="center"/>
          </w:tcPr>
          <w:p w14:paraId="17F83744" w14:textId="36F73213" w:rsidR="000008FE" w:rsidRPr="000E3A45" w:rsidRDefault="00CA33ED" w:rsidP="005C0BCB">
            <w:pPr>
              <w:widowControl w:val="0"/>
              <w:adjustRightInd w:val="0"/>
              <w:ind w:right="851"/>
              <w:jc w:val="right"/>
              <w:textAlignment w:val="baseline"/>
              <w:rPr>
                <w:bCs/>
                <w:sz w:val="20"/>
                <w:szCs w:val="20"/>
                <w:lang w:val="es-ES"/>
              </w:rPr>
            </w:pPr>
            <w:r w:rsidRPr="000E3A45">
              <w:rPr>
                <w:bCs/>
                <w:sz w:val="20"/>
                <w:szCs w:val="20"/>
                <w:lang w:val="es-ES"/>
              </w:rPr>
              <w:t>0.</w:t>
            </w:r>
            <w:r w:rsidR="005C0BCB" w:rsidRPr="000E3A45">
              <w:rPr>
                <w:bCs/>
                <w:sz w:val="20"/>
                <w:szCs w:val="20"/>
                <w:lang w:val="es-ES"/>
              </w:rPr>
              <w:t>72</w:t>
            </w:r>
          </w:p>
        </w:tc>
        <w:tc>
          <w:tcPr>
            <w:tcW w:w="2238" w:type="dxa"/>
            <w:tcBorders>
              <w:top w:val="nil"/>
              <w:bottom w:val="nil"/>
            </w:tcBorders>
            <w:vAlign w:val="center"/>
          </w:tcPr>
          <w:p w14:paraId="286CF07D" w14:textId="151AA635" w:rsidR="000008FE" w:rsidRPr="000E3A45" w:rsidRDefault="00CA33ED" w:rsidP="005C0BCB">
            <w:pPr>
              <w:widowControl w:val="0"/>
              <w:adjustRightInd w:val="0"/>
              <w:ind w:right="851"/>
              <w:jc w:val="right"/>
              <w:textAlignment w:val="baseline"/>
              <w:rPr>
                <w:bCs/>
                <w:sz w:val="20"/>
                <w:szCs w:val="20"/>
                <w:lang w:val="es-ES"/>
              </w:rPr>
            </w:pPr>
            <w:r w:rsidRPr="000E3A45">
              <w:rPr>
                <w:bCs/>
                <w:sz w:val="20"/>
                <w:szCs w:val="20"/>
                <w:lang w:val="es-ES"/>
              </w:rPr>
              <w:t>1.</w:t>
            </w:r>
            <w:r w:rsidR="005C0BCB" w:rsidRPr="000E3A45">
              <w:rPr>
                <w:bCs/>
                <w:sz w:val="20"/>
                <w:szCs w:val="20"/>
                <w:lang w:val="es-ES"/>
              </w:rPr>
              <w:t>78</w:t>
            </w:r>
          </w:p>
        </w:tc>
      </w:tr>
      <w:tr w:rsidR="00F4518C" w:rsidRPr="000E3A45" w14:paraId="023E58E9" w14:textId="77777777" w:rsidTr="000F3535">
        <w:trPr>
          <w:jc w:val="center"/>
        </w:trPr>
        <w:tc>
          <w:tcPr>
            <w:tcW w:w="1227" w:type="dxa"/>
            <w:tcBorders>
              <w:top w:val="nil"/>
              <w:bottom w:val="nil"/>
            </w:tcBorders>
            <w:vAlign w:val="center"/>
          </w:tcPr>
          <w:p w14:paraId="058293FC" w14:textId="77777777" w:rsidR="00F4518C" w:rsidRPr="000E3A45" w:rsidRDefault="00F4518C" w:rsidP="009446C6">
            <w:pPr>
              <w:widowControl w:val="0"/>
              <w:adjustRightInd w:val="0"/>
              <w:ind w:right="-159"/>
              <w:jc w:val="both"/>
              <w:textAlignment w:val="baseline"/>
              <w:rPr>
                <w:bCs/>
                <w:sz w:val="20"/>
                <w:szCs w:val="20"/>
                <w:lang w:val="es-ES"/>
              </w:rPr>
            </w:pPr>
            <w:r w:rsidRPr="000E3A45">
              <w:rPr>
                <w:bCs/>
                <w:sz w:val="20"/>
                <w:szCs w:val="20"/>
                <w:lang w:val="es-ES"/>
              </w:rPr>
              <w:t>Octubre</w:t>
            </w:r>
          </w:p>
        </w:tc>
        <w:tc>
          <w:tcPr>
            <w:tcW w:w="2348" w:type="dxa"/>
            <w:tcBorders>
              <w:top w:val="nil"/>
              <w:bottom w:val="nil"/>
            </w:tcBorders>
            <w:vAlign w:val="center"/>
          </w:tcPr>
          <w:p w14:paraId="7D73CF09" w14:textId="40CD893D" w:rsidR="00F4518C" w:rsidRPr="000E3A45" w:rsidRDefault="00F4518C" w:rsidP="007B27C0">
            <w:pPr>
              <w:widowControl w:val="0"/>
              <w:adjustRightInd w:val="0"/>
              <w:jc w:val="center"/>
              <w:textAlignment w:val="baseline"/>
              <w:rPr>
                <w:bCs/>
                <w:sz w:val="20"/>
                <w:szCs w:val="20"/>
                <w:lang w:val="es-ES"/>
              </w:rPr>
            </w:pPr>
            <w:r w:rsidRPr="000E3A45">
              <w:rPr>
                <w:bCs/>
                <w:sz w:val="20"/>
                <w:szCs w:val="20"/>
                <w:lang w:val="es-ES"/>
              </w:rPr>
              <w:t>13.4</w:t>
            </w:r>
            <w:r w:rsidR="007B27C0" w:rsidRPr="000E3A45">
              <w:rPr>
                <w:bCs/>
                <w:sz w:val="20"/>
                <w:szCs w:val="20"/>
                <w:lang w:val="es-ES"/>
              </w:rPr>
              <w:t>807</w:t>
            </w:r>
          </w:p>
        </w:tc>
        <w:tc>
          <w:tcPr>
            <w:tcW w:w="2238" w:type="dxa"/>
            <w:tcBorders>
              <w:top w:val="nil"/>
              <w:bottom w:val="nil"/>
            </w:tcBorders>
            <w:vAlign w:val="center"/>
          </w:tcPr>
          <w:p w14:paraId="5EDA77B7" w14:textId="3AAC66DD" w:rsidR="00F4518C" w:rsidRPr="000E3A45" w:rsidRDefault="00F4518C" w:rsidP="007B27C0">
            <w:pPr>
              <w:widowControl w:val="0"/>
              <w:adjustRightInd w:val="0"/>
              <w:ind w:right="851"/>
              <w:jc w:val="right"/>
              <w:textAlignment w:val="baseline"/>
              <w:rPr>
                <w:bCs/>
                <w:sz w:val="20"/>
                <w:szCs w:val="20"/>
                <w:lang w:val="es-ES"/>
              </w:rPr>
            </w:pPr>
            <w:r w:rsidRPr="000E3A45">
              <w:rPr>
                <w:bCs/>
                <w:sz w:val="20"/>
                <w:szCs w:val="20"/>
                <w:lang w:val="es-ES"/>
              </w:rPr>
              <w:t>1.</w:t>
            </w:r>
            <w:r w:rsidR="007B27C0" w:rsidRPr="000E3A45">
              <w:rPr>
                <w:bCs/>
                <w:sz w:val="20"/>
                <w:szCs w:val="20"/>
                <w:lang w:val="es-ES"/>
              </w:rPr>
              <w:t>82</w:t>
            </w:r>
          </w:p>
        </w:tc>
        <w:tc>
          <w:tcPr>
            <w:tcW w:w="2238" w:type="dxa"/>
            <w:tcBorders>
              <w:top w:val="nil"/>
              <w:bottom w:val="nil"/>
            </w:tcBorders>
            <w:vAlign w:val="center"/>
          </w:tcPr>
          <w:p w14:paraId="7E2F9399" w14:textId="04CA13B2" w:rsidR="00F4518C" w:rsidRPr="000E3A45" w:rsidRDefault="00F4518C" w:rsidP="007B27C0">
            <w:pPr>
              <w:widowControl w:val="0"/>
              <w:adjustRightInd w:val="0"/>
              <w:ind w:right="851"/>
              <w:jc w:val="right"/>
              <w:textAlignment w:val="baseline"/>
              <w:rPr>
                <w:bCs/>
                <w:sz w:val="20"/>
                <w:szCs w:val="20"/>
                <w:lang w:val="es-ES"/>
              </w:rPr>
            </w:pPr>
            <w:r w:rsidRPr="000E3A45">
              <w:rPr>
                <w:bCs/>
                <w:sz w:val="20"/>
                <w:szCs w:val="20"/>
                <w:lang w:val="es-ES"/>
              </w:rPr>
              <w:t>3.</w:t>
            </w:r>
            <w:r w:rsidR="007B27C0" w:rsidRPr="000E3A45">
              <w:rPr>
                <w:bCs/>
                <w:sz w:val="20"/>
                <w:szCs w:val="20"/>
                <w:lang w:val="es-ES"/>
              </w:rPr>
              <w:t>63</w:t>
            </w:r>
          </w:p>
        </w:tc>
      </w:tr>
      <w:tr w:rsidR="005C0BCB" w:rsidRPr="000E3A45" w14:paraId="50E412AE" w14:textId="77777777" w:rsidTr="000F3535">
        <w:trPr>
          <w:jc w:val="center"/>
        </w:trPr>
        <w:tc>
          <w:tcPr>
            <w:tcW w:w="1227" w:type="dxa"/>
            <w:tcBorders>
              <w:top w:val="nil"/>
              <w:bottom w:val="nil"/>
            </w:tcBorders>
            <w:vAlign w:val="center"/>
          </w:tcPr>
          <w:p w14:paraId="211D701F" w14:textId="0399B7B7" w:rsidR="005C0BCB" w:rsidRPr="000E3A45" w:rsidRDefault="00F4518C" w:rsidP="001835F8">
            <w:pPr>
              <w:widowControl w:val="0"/>
              <w:adjustRightInd w:val="0"/>
              <w:ind w:right="-159"/>
              <w:jc w:val="both"/>
              <w:textAlignment w:val="baseline"/>
              <w:rPr>
                <w:bCs/>
                <w:sz w:val="20"/>
                <w:szCs w:val="20"/>
                <w:lang w:val="es-ES"/>
              </w:rPr>
            </w:pPr>
            <w:r w:rsidRPr="000E3A45">
              <w:rPr>
                <w:bCs/>
                <w:sz w:val="20"/>
                <w:szCs w:val="20"/>
                <w:lang w:val="es-ES"/>
              </w:rPr>
              <w:t>Noviembre</w:t>
            </w:r>
          </w:p>
        </w:tc>
        <w:tc>
          <w:tcPr>
            <w:tcW w:w="2348" w:type="dxa"/>
            <w:tcBorders>
              <w:top w:val="nil"/>
              <w:bottom w:val="nil"/>
            </w:tcBorders>
            <w:vAlign w:val="center"/>
          </w:tcPr>
          <w:p w14:paraId="01631195" w14:textId="59234689" w:rsidR="005C0BCB" w:rsidRPr="000E3A45" w:rsidRDefault="005C0BCB" w:rsidP="001835F8">
            <w:pPr>
              <w:widowControl w:val="0"/>
              <w:adjustRightInd w:val="0"/>
              <w:jc w:val="center"/>
              <w:textAlignment w:val="baseline"/>
              <w:rPr>
                <w:bCs/>
                <w:sz w:val="20"/>
                <w:szCs w:val="20"/>
                <w:lang w:val="es-ES"/>
              </w:rPr>
            </w:pPr>
            <w:r w:rsidRPr="000E3A45">
              <w:rPr>
                <w:bCs/>
                <w:sz w:val="20"/>
                <w:szCs w:val="20"/>
                <w:lang w:val="es-ES"/>
              </w:rPr>
              <w:t>13.</w:t>
            </w:r>
            <w:r w:rsidR="001835F8" w:rsidRPr="000E3A45">
              <w:rPr>
                <w:bCs/>
                <w:sz w:val="20"/>
                <w:szCs w:val="20"/>
                <w:lang w:val="es-ES"/>
              </w:rPr>
              <w:t>6284</w:t>
            </w:r>
          </w:p>
        </w:tc>
        <w:tc>
          <w:tcPr>
            <w:tcW w:w="2238" w:type="dxa"/>
            <w:tcBorders>
              <w:top w:val="nil"/>
              <w:bottom w:val="nil"/>
            </w:tcBorders>
            <w:vAlign w:val="center"/>
          </w:tcPr>
          <w:p w14:paraId="50A63D12" w14:textId="50C9B9B0" w:rsidR="005C0BCB" w:rsidRPr="000E3A45" w:rsidRDefault="001835F8" w:rsidP="001835F8">
            <w:pPr>
              <w:widowControl w:val="0"/>
              <w:adjustRightInd w:val="0"/>
              <w:ind w:right="851"/>
              <w:jc w:val="right"/>
              <w:textAlignment w:val="baseline"/>
              <w:rPr>
                <w:bCs/>
                <w:sz w:val="20"/>
                <w:szCs w:val="20"/>
                <w:lang w:val="es-ES"/>
              </w:rPr>
            </w:pPr>
            <w:r w:rsidRPr="000E3A45">
              <w:rPr>
                <w:bCs/>
                <w:sz w:val="20"/>
                <w:szCs w:val="20"/>
                <w:lang w:val="es-ES"/>
              </w:rPr>
              <w:t>1.10</w:t>
            </w:r>
          </w:p>
        </w:tc>
        <w:tc>
          <w:tcPr>
            <w:tcW w:w="2238" w:type="dxa"/>
            <w:tcBorders>
              <w:top w:val="nil"/>
              <w:bottom w:val="nil"/>
            </w:tcBorders>
            <w:vAlign w:val="center"/>
          </w:tcPr>
          <w:p w14:paraId="1481C15F" w14:textId="5921875F" w:rsidR="005C0BCB" w:rsidRPr="000E3A45" w:rsidRDefault="001835F8" w:rsidP="001835F8">
            <w:pPr>
              <w:widowControl w:val="0"/>
              <w:adjustRightInd w:val="0"/>
              <w:ind w:right="851"/>
              <w:jc w:val="right"/>
              <w:textAlignment w:val="baseline"/>
              <w:rPr>
                <w:bCs/>
                <w:sz w:val="20"/>
                <w:szCs w:val="20"/>
                <w:lang w:val="es-ES"/>
              </w:rPr>
            </w:pPr>
            <w:r w:rsidRPr="000E3A45">
              <w:rPr>
                <w:bCs/>
                <w:sz w:val="20"/>
                <w:szCs w:val="20"/>
                <w:lang w:val="es-ES"/>
              </w:rPr>
              <w:t>4.77</w:t>
            </w:r>
          </w:p>
        </w:tc>
      </w:tr>
      <w:tr w:rsidR="001835F8" w:rsidRPr="000E3A45" w14:paraId="1F10696C" w14:textId="77777777" w:rsidTr="000F3535">
        <w:trPr>
          <w:jc w:val="center"/>
        </w:trPr>
        <w:tc>
          <w:tcPr>
            <w:tcW w:w="1227" w:type="dxa"/>
            <w:tcBorders>
              <w:top w:val="nil"/>
              <w:bottom w:val="single" w:sz="4" w:space="0" w:color="auto"/>
            </w:tcBorders>
            <w:vAlign w:val="center"/>
          </w:tcPr>
          <w:p w14:paraId="0969F349" w14:textId="3B299D81" w:rsidR="001835F8" w:rsidRPr="000E3A45" w:rsidRDefault="001835F8" w:rsidP="00F4518C">
            <w:pPr>
              <w:widowControl w:val="0"/>
              <w:adjustRightInd w:val="0"/>
              <w:ind w:right="-159"/>
              <w:jc w:val="both"/>
              <w:textAlignment w:val="baseline"/>
              <w:rPr>
                <w:bCs/>
                <w:sz w:val="20"/>
                <w:szCs w:val="20"/>
                <w:lang w:val="es-ES"/>
              </w:rPr>
            </w:pPr>
            <w:r w:rsidRPr="000E3A45">
              <w:rPr>
                <w:bCs/>
                <w:sz w:val="20"/>
                <w:szCs w:val="20"/>
                <w:lang w:val="es-ES"/>
              </w:rPr>
              <w:t>Diciembre</w:t>
            </w:r>
          </w:p>
        </w:tc>
        <w:tc>
          <w:tcPr>
            <w:tcW w:w="2348" w:type="dxa"/>
            <w:tcBorders>
              <w:top w:val="nil"/>
              <w:bottom w:val="single" w:sz="4" w:space="0" w:color="auto"/>
            </w:tcBorders>
            <w:vAlign w:val="center"/>
          </w:tcPr>
          <w:p w14:paraId="40A6FC4E" w14:textId="1F50AEE2" w:rsidR="001835F8" w:rsidRPr="000E3A45" w:rsidRDefault="003A7692" w:rsidP="007B27C0">
            <w:pPr>
              <w:widowControl w:val="0"/>
              <w:adjustRightInd w:val="0"/>
              <w:jc w:val="center"/>
              <w:textAlignment w:val="baseline"/>
              <w:rPr>
                <w:bCs/>
                <w:sz w:val="20"/>
                <w:szCs w:val="20"/>
                <w:lang w:val="es-ES"/>
              </w:rPr>
            </w:pPr>
            <w:r w:rsidRPr="000E3A45">
              <w:rPr>
                <w:bCs/>
                <w:sz w:val="20"/>
                <w:szCs w:val="20"/>
                <w:lang w:val="es-ES"/>
              </w:rPr>
              <w:t>14.5198</w:t>
            </w:r>
          </w:p>
        </w:tc>
        <w:tc>
          <w:tcPr>
            <w:tcW w:w="2238" w:type="dxa"/>
            <w:tcBorders>
              <w:top w:val="nil"/>
              <w:bottom w:val="single" w:sz="4" w:space="0" w:color="auto"/>
            </w:tcBorders>
            <w:vAlign w:val="center"/>
          </w:tcPr>
          <w:p w14:paraId="612A0C6F" w14:textId="7551D237" w:rsidR="001835F8" w:rsidRPr="000E3A45" w:rsidRDefault="003A7692" w:rsidP="007B27C0">
            <w:pPr>
              <w:widowControl w:val="0"/>
              <w:adjustRightInd w:val="0"/>
              <w:ind w:right="851"/>
              <w:jc w:val="right"/>
              <w:textAlignment w:val="baseline"/>
              <w:rPr>
                <w:bCs/>
                <w:sz w:val="20"/>
                <w:szCs w:val="20"/>
                <w:lang w:val="es-ES"/>
              </w:rPr>
            </w:pPr>
            <w:r w:rsidRPr="000E3A45">
              <w:rPr>
                <w:bCs/>
                <w:sz w:val="20"/>
                <w:szCs w:val="20"/>
                <w:lang w:val="es-ES"/>
              </w:rPr>
              <w:t>6.54</w:t>
            </w:r>
          </w:p>
        </w:tc>
        <w:tc>
          <w:tcPr>
            <w:tcW w:w="2238" w:type="dxa"/>
            <w:tcBorders>
              <w:top w:val="nil"/>
              <w:bottom w:val="single" w:sz="4" w:space="0" w:color="auto"/>
            </w:tcBorders>
            <w:vAlign w:val="center"/>
          </w:tcPr>
          <w:p w14:paraId="252BDED5" w14:textId="5EFA7812" w:rsidR="001835F8" w:rsidRPr="000E3A45" w:rsidRDefault="003A7692" w:rsidP="007B27C0">
            <w:pPr>
              <w:widowControl w:val="0"/>
              <w:adjustRightInd w:val="0"/>
              <w:ind w:right="851"/>
              <w:jc w:val="right"/>
              <w:textAlignment w:val="baseline"/>
              <w:rPr>
                <w:bCs/>
                <w:sz w:val="20"/>
                <w:szCs w:val="20"/>
                <w:lang w:val="es-ES"/>
              </w:rPr>
            </w:pPr>
            <w:r w:rsidRPr="000E3A45">
              <w:rPr>
                <w:bCs/>
                <w:sz w:val="20"/>
                <w:szCs w:val="20"/>
                <w:lang w:val="es-ES"/>
              </w:rPr>
              <w:t>11.62</w:t>
            </w:r>
          </w:p>
        </w:tc>
      </w:tr>
      <w:tr w:rsidR="001835F8" w:rsidRPr="000E3A45" w14:paraId="1CC66EEA" w14:textId="77777777" w:rsidTr="000F3535">
        <w:trPr>
          <w:jc w:val="center"/>
        </w:trPr>
        <w:tc>
          <w:tcPr>
            <w:tcW w:w="8051" w:type="dxa"/>
            <w:gridSpan w:val="4"/>
            <w:tcBorders>
              <w:bottom w:val="single" w:sz="4" w:space="0" w:color="auto"/>
            </w:tcBorders>
            <w:vAlign w:val="center"/>
          </w:tcPr>
          <w:p w14:paraId="1AE9F771" w14:textId="586F1021" w:rsidR="001835F8" w:rsidRPr="000E3A45" w:rsidRDefault="001835F8" w:rsidP="001835F8">
            <w:pPr>
              <w:widowControl w:val="0"/>
              <w:adjustRightInd w:val="0"/>
              <w:ind w:right="851"/>
              <w:jc w:val="center"/>
              <w:textAlignment w:val="baseline"/>
              <w:rPr>
                <w:bCs/>
                <w:sz w:val="20"/>
                <w:szCs w:val="20"/>
                <w:lang w:val="es-ES"/>
              </w:rPr>
            </w:pPr>
            <w:r w:rsidRPr="000E3A45">
              <w:rPr>
                <w:bCs/>
                <w:sz w:val="20"/>
                <w:szCs w:val="20"/>
                <w:lang w:val="es-ES"/>
              </w:rPr>
              <w:t>2015</w:t>
            </w:r>
          </w:p>
        </w:tc>
      </w:tr>
      <w:tr w:rsidR="001835F8" w:rsidRPr="000E3A45" w14:paraId="34D2FE74" w14:textId="77777777" w:rsidTr="000C7043">
        <w:trPr>
          <w:jc w:val="center"/>
        </w:trPr>
        <w:tc>
          <w:tcPr>
            <w:tcW w:w="1227" w:type="dxa"/>
            <w:tcBorders>
              <w:bottom w:val="nil"/>
            </w:tcBorders>
            <w:vAlign w:val="center"/>
          </w:tcPr>
          <w:p w14:paraId="651F1348" w14:textId="4235EA97" w:rsidR="001835F8" w:rsidRPr="000E3A45" w:rsidRDefault="001835F8" w:rsidP="005B763B">
            <w:pPr>
              <w:widowControl w:val="0"/>
              <w:adjustRightInd w:val="0"/>
              <w:ind w:right="-159"/>
              <w:jc w:val="both"/>
              <w:textAlignment w:val="baseline"/>
              <w:rPr>
                <w:bCs/>
                <w:sz w:val="20"/>
                <w:szCs w:val="20"/>
                <w:lang w:val="es-ES"/>
              </w:rPr>
            </w:pPr>
            <w:r w:rsidRPr="000E3A45">
              <w:rPr>
                <w:bCs/>
                <w:sz w:val="20"/>
                <w:szCs w:val="20"/>
                <w:lang w:val="es-ES"/>
              </w:rPr>
              <w:t>Enero</w:t>
            </w:r>
          </w:p>
        </w:tc>
        <w:tc>
          <w:tcPr>
            <w:tcW w:w="2348" w:type="dxa"/>
            <w:tcBorders>
              <w:bottom w:val="nil"/>
            </w:tcBorders>
            <w:vAlign w:val="center"/>
          </w:tcPr>
          <w:p w14:paraId="7433A418" w14:textId="6998FCDA" w:rsidR="001835F8" w:rsidRPr="000E3A45" w:rsidRDefault="000431E5" w:rsidP="005B763B">
            <w:pPr>
              <w:widowControl w:val="0"/>
              <w:adjustRightInd w:val="0"/>
              <w:jc w:val="center"/>
              <w:textAlignment w:val="baseline"/>
              <w:rPr>
                <w:bCs/>
                <w:sz w:val="20"/>
                <w:szCs w:val="20"/>
                <w:lang w:val="es-ES"/>
              </w:rPr>
            </w:pPr>
            <w:r>
              <w:rPr>
                <w:bCs/>
                <w:sz w:val="20"/>
                <w:szCs w:val="20"/>
                <w:lang w:val="es-ES"/>
              </w:rPr>
              <w:t>14.69</w:t>
            </w:r>
            <w:r w:rsidR="005B763B">
              <w:rPr>
                <w:bCs/>
                <w:sz w:val="20"/>
                <w:szCs w:val="20"/>
                <w:lang w:val="es-ES"/>
              </w:rPr>
              <w:t>64</w:t>
            </w:r>
          </w:p>
        </w:tc>
        <w:tc>
          <w:tcPr>
            <w:tcW w:w="2238" w:type="dxa"/>
            <w:tcBorders>
              <w:bottom w:val="nil"/>
            </w:tcBorders>
            <w:vAlign w:val="center"/>
          </w:tcPr>
          <w:p w14:paraId="7C2B1EFB" w14:textId="624D6917" w:rsidR="001835F8" w:rsidRPr="000E3A45" w:rsidRDefault="000431E5" w:rsidP="005B763B">
            <w:pPr>
              <w:widowControl w:val="0"/>
              <w:adjustRightInd w:val="0"/>
              <w:ind w:right="851"/>
              <w:jc w:val="right"/>
              <w:textAlignment w:val="baseline"/>
              <w:rPr>
                <w:bCs/>
                <w:sz w:val="20"/>
                <w:szCs w:val="20"/>
                <w:lang w:val="es-ES"/>
              </w:rPr>
            </w:pPr>
            <w:r>
              <w:rPr>
                <w:bCs/>
                <w:sz w:val="20"/>
                <w:szCs w:val="20"/>
                <w:lang w:val="es-ES"/>
              </w:rPr>
              <w:t>1.</w:t>
            </w:r>
            <w:r w:rsidR="005B763B">
              <w:rPr>
                <w:bCs/>
                <w:sz w:val="20"/>
                <w:szCs w:val="20"/>
                <w:lang w:val="es-ES"/>
              </w:rPr>
              <w:t>22</w:t>
            </w:r>
          </w:p>
        </w:tc>
        <w:tc>
          <w:tcPr>
            <w:tcW w:w="2238" w:type="dxa"/>
            <w:tcBorders>
              <w:bottom w:val="nil"/>
            </w:tcBorders>
            <w:vAlign w:val="center"/>
          </w:tcPr>
          <w:p w14:paraId="1D50838A" w14:textId="7626349D" w:rsidR="001835F8" w:rsidRPr="000E3A45" w:rsidRDefault="000431E5" w:rsidP="005B763B">
            <w:pPr>
              <w:widowControl w:val="0"/>
              <w:adjustRightInd w:val="0"/>
              <w:ind w:right="851"/>
              <w:jc w:val="right"/>
              <w:textAlignment w:val="baseline"/>
              <w:rPr>
                <w:bCs/>
                <w:sz w:val="20"/>
                <w:szCs w:val="20"/>
                <w:lang w:val="es-ES"/>
              </w:rPr>
            </w:pPr>
            <w:r>
              <w:rPr>
                <w:bCs/>
                <w:sz w:val="20"/>
                <w:szCs w:val="20"/>
                <w:lang w:val="es-ES"/>
              </w:rPr>
              <w:t>1.</w:t>
            </w:r>
            <w:r w:rsidR="005B763B">
              <w:rPr>
                <w:bCs/>
                <w:sz w:val="20"/>
                <w:szCs w:val="20"/>
                <w:lang w:val="es-ES"/>
              </w:rPr>
              <w:t>22</w:t>
            </w:r>
          </w:p>
        </w:tc>
      </w:tr>
      <w:tr w:rsidR="002E7AD3" w:rsidRPr="000E3A45" w14:paraId="6F81E53A" w14:textId="77777777" w:rsidTr="000C7043">
        <w:trPr>
          <w:jc w:val="center"/>
        </w:trPr>
        <w:tc>
          <w:tcPr>
            <w:tcW w:w="1227" w:type="dxa"/>
            <w:tcBorders>
              <w:top w:val="nil"/>
              <w:bottom w:val="nil"/>
            </w:tcBorders>
            <w:vAlign w:val="center"/>
          </w:tcPr>
          <w:p w14:paraId="002B5F29" w14:textId="5A04F2E3" w:rsidR="002E7AD3" w:rsidRPr="000E3A45" w:rsidRDefault="002E7AD3" w:rsidP="008D2FBE">
            <w:pPr>
              <w:widowControl w:val="0"/>
              <w:adjustRightInd w:val="0"/>
              <w:ind w:right="-159"/>
              <w:jc w:val="both"/>
              <w:textAlignment w:val="baseline"/>
              <w:rPr>
                <w:bCs/>
                <w:sz w:val="20"/>
                <w:szCs w:val="20"/>
                <w:lang w:val="es-ES"/>
              </w:rPr>
            </w:pPr>
            <w:r>
              <w:rPr>
                <w:bCs/>
                <w:sz w:val="20"/>
                <w:szCs w:val="20"/>
                <w:lang w:val="es-ES"/>
              </w:rPr>
              <w:t>Febrero</w:t>
            </w:r>
          </w:p>
        </w:tc>
        <w:tc>
          <w:tcPr>
            <w:tcW w:w="2348" w:type="dxa"/>
            <w:tcBorders>
              <w:top w:val="nil"/>
              <w:bottom w:val="nil"/>
            </w:tcBorders>
            <w:vAlign w:val="center"/>
          </w:tcPr>
          <w:p w14:paraId="1AEE560E" w14:textId="3B779701" w:rsidR="002E7AD3" w:rsidRDefault="0075157C" w:rsidP="007B27C0">
            <w:pPr>
              <w:widowControl w:val="0"/>
              <w:adjustRightInd w:val="0"/>
              <w:jc w:val="center"/>
              <w:textAlignment w:val="baseline"/>
              <w:rPr>
                <w:bCs/>
                <w:sz w:val="20"/>
                <w:szCs w:val="20"/>
                <w:lang w:val="es-ES"/>
              </w:rPr>
            </w:pPr>
            <w:r>
              <w:rPr>
                <w:bCs/>
                <w:sz w:val="20"/>
                <w:szCs w:val="20"/>
                <w:lang w:val="es-ES"/>
              </w:rPr>
              <w:t>14.9184</w:t>
            </w:r>
          </w:p>
        </w:tc>
        <w:tc>
          <w:tcPr>
            <w:tcW w:w="2238" w:type="dxa"/>
            <w:tcBorders>
              <w:top w:val="nil"/>
              <w:bottom w:val="nil"/>
            </w:tcBorders>
            <w:vAlign w:val="center"/>
          </w:tcPr>
          <w:p w14:paraId="4468065E" w14:textId="5BDFC6CE" w:rsidR="002E7AD3" w:rsidRDefault="0075157C" w:rsidP="0075157C">
            <w:pPr>
              <w:widowControl w:val="0"/>
              <w:adjustRightInd w:val="0"/>
              <w:ind w:right="851"/>
              <w:jc w:val="right"/>
              <w:textAlignment w:val="baseline"/>
              <w:rPr>
                <w:bCs/>
                <w:sz w:val="20"/>
                <w:szCs w:val="20"/>
                <w:lang w:val="es-ES"/>
              </w:rPr>
            </w:pPr>
            <w:r>
              <w:rPr>
                <w:bCs/>
                <w:sz w:val="20"/>
                <w:szCs w:val="20"/>
                <w:lang w:val="es-ES"/>
              </w:rPr>
              <w:t>1.51</w:t>
            </w:r>
          </w:p>
        </w:tc>
        <w:tc>
          <w:tcPr>
            <w:tcW w:w="2238" w:type="dxa"/>
            <w:tcBorders>
              <w:top w:val="nil"/>
              <w:bottom w:val="nil"/>
            </w:tcBorders>
            <w:vAlign w:val="center"/>
          </w:tcPr>
          <w:p w14:paraId="65C91D9C" w14:textId="32DAAF38" w:rsidR="002E7AD3" w:rsidRDefault="0075157C" w:rsidP="007B27C0">
            <w:pPr>
              <w:widowControl w:val="0"/>
              <w:adjustRightInd w:val="0"/>
              <w:ind w:right="851"/>
              <w:jc w:val="right"/>
              <w:textAlignment w:val="baseline"/>
              <w:rPr>
                <w:bCs/>
                <w:sz w:val="20"/>
                <w:szCs w:val="20"/>
                <w:lang w:val="es-ES"/>
              </w:rPr>
            </w:pPr>
            <w:r>
              <w:rPr>
                <w:bCs/>
                <w:sz w:val="20"/>
                <w:szCs w:val="20"/>
                <w:lang w:val="es-ES"/>
              </w:rPr>
              <w:t>2.75</w:t>
            </w:r>
          </w:p>
        </w:tc>
      </w:tr>
      <w:tr w:rsidR="00DF5D2D" w:rsidRPr="000E3A45" w14:paraId="43A9C1D8" w14:textId="77777777" w:rsidTr="000C7043">
        <w:trPr>
          <w:jc w:val="center"/>
        </w:trPr>
        <w:tc>
          <w:tcPr>
            <w:tcW w:w="1227" w:type="dxa"/>
            <w:tcBorders>
              <w:top w:val="nil"/>
              <w:bottom w:val="single" w:sz="4" w:space="0" w:color="auto"/>
            </w:tcBorders>
            <w:vAlign w:val="center"/>
          </w:tcPr>
          <w:p w14:paraId="25D7A442" w14:textId="414F3188" w:rsidR="00DF5D2D" w:rsidRDefault="008D2FBE" w:rsidP="008D2FBE">
            <w:pPr>
              <w:widowControl w:val="0"/>
              <w:adjustRightInd w:val="0"/>
              <w:ind w:right="-159"/>
              <w:jc w:val="both"/>
              <w:textAlignment w:val="baseline"/>
              <w:rPr>
                <w:bCs/>
                <w:sz w:val="20"/>
                <w:szCs w:val="20"/>
                <w:lang w:val="es-ES"/>
              </w:rPr>
            </w:pPr>
            <w:r>
              <w:rPr>
                <w:bCs/>
                <w:sz w:val="20"/>
                <w:szCs w:val="20"/>
                <w:lang w:val="es-ES"/>
              </w:rPr>
              <w:t>Marzo*</w:t>
            </w:r>
          </w:p>
        </w:tc>
        <w:tc>
          <w:tcPr>
            <w:tcW w:w="2348" w:type="dxa"/>
            <w:tcBorders>
              <w:top w:val="nil"/>
              <w:bottom w:val="single" w:sz="4" w:space="0" w:color="auto"/>
            </w:tcBorders>
            <w:vAlign w:val="center"/>
          </w:tcPr>
          <w:p w14:paraId="5CC5303F" w14:textId="0A80BDC8" w:rsidR="00DF5D2D" w:rsidRDefault="0075157C" w:rsidP="007B27C0">
            <w:pPr>
              <w:widowControl w:val="0"/>
              <w:adjustRightInd w:val="0"/>
              <w:jc w:val="center"/>
              <w:textAlignment w:val="baseline"/>
              <w:rPr>
                <w:bCs/>
                <w:sz w:val="20"/>
                <w:szCs w:val="20"/>
                <w:lang w:val="es-ES"/>
              </w:rPr>
            </w:pPr>
            <w:r>
              <w:rPr>
                <w:bCs/>
                <w:sz w:val="20"/>
                <w:szCs w:val="20"/>
                <w:lang w:val="es-ES"/>
              </w:rPr>
              <w:t>15.3340</w:t>
            </w:r>
          </w:p>
        </w:tc>
        <w:tc>
          <w:tcPr>
            <w:tcW w:w="2238" w:type="dxa"/>
            <w:tcBorders>
              <w:top w:val="nil"/>
              <w:bottom w:val="single" w:sz="4" w:space="0" w:color="auto"/>
            </w:tcBorders>
            <w:vAlign w:val="center"/>
          </w:tcPr>
          <w:p w14:paraId="13D8CA8A" w14:textId="07FD4B3F" w:rsidR="00DF5D2D" w:rsidRDefault="0075157C" w:rsidP="007B27C0">
            <w:pPr>
              <w:widowControl w:val="0"/>
              <w:adjustRightInd w:val="0"/>
              <w:ind w:right="851"/>
              <w:jc w:val="right"/>
              <w:textAlignment w:val="baseline"/>
              <w:rPr>
                <w:bCs/>
                <w:sz w:val="20"/>
                <w:szCs w:val="20"/>
                <w:lang w:val="es-ES"/>
              </w:rPr>
            </w:pPr>
            <w:r>
              <w:rPr>
                <w:bCs/>
                <w:sz w:val="20"/>
                <w:szCs w:val="20"/>
                <w:lang w:val="es-ES"/>
              </w:rPr>
              <w:t>2.79</w:t>
            </w:r>
          </w:p>
        </w:tc>
        <w:tc>
          <w:tcPr>
            <w:tcW w:w="2238" w:type="dxa"/>
            <w:tcBorders>
              <w:top w:val="nil"/>
              <w:bottom w:val="single" w:sz="4" w:space="0" w:color="auto"/>
            </w:tcBorders>
            <w:vAlign w:val="center"/>
          </w:tcPr>
          <w:p w14:paraId="7EDEC7F3" w14:textId="1B3C5C19" w:rsidR="00DF5D2D" w:rsidRDefault="0075157C" w:rsidP="007B27C0">
            <w:pPr>
              <w:widowControl w:val="0"/>
              <w:adjustRightInd w:val="0"/>
              <w:ind w:right="851"/>
              <w:jc w:val="right"/>
              <w:textAlignment w:val="baseline"/>
              <w:rPr>
                <w:bCs/>
                <w:sz w:val="20"/>
                <w:szCs w:val="20"/>
                <w:lang w:val="es-ES"/>
              </w:rPr>
            </w:pPr>
            <w:r>
              <w:rPr>
                <w:bCs/>
                <w:sz w:val="20"/>
                <w:szCs w:val="20"/>
                <w:lang w:val="es-ES"/>
              </w:rPr>
              <w:t>5.61</w:t>
            </w:r>
          </w:p>
        </w:tc>
      </w:tr>
      <w:tr w:rsidR="006909C8" w:rsidRPr="000E3A45" w14:paraId="081681C0" w14:textId="77777777" w:rsidTr="00772451">
        <w:trPr>
          <w:jc w:val="center"/>
        </w:trPr>
        <w:tc>
          <w:tcPr>
            <w:tcW w:w="8051" w:type="dxa"/>
            <w:gridSpan w:val="4"/>
            <w:tcBorders>
              <w:left w:val="nil"/>
              <w:bottom w:val="nil"/>
              <w:right w:val="nil"/>
            </w:tcBorders>
            <w:vAlign w:val="center"/>
          </w:tcPr>
          <w:p w14:paraId="5A895446" w14:textId="77777777" w:rsidR="006909C8" w:rsidRPr="000E3A45" w:rsidRDefault="006909C8" w:rsidP="00EC36A9">
            <w:pPr>
              <w:widowControl w:val="0"/>
              <w:adjustRightInd w:val="0"/>
              <w:ind w:left="567" w:hanging="567"/>
              <w:jc w:val="both"/>
              <w:textAlignment w:val="baseline"/>
              <w:rPr>
                <w:bCs/>
                <w:sz w:val="20"/>
                <w:szCs w:val="20"/>
              </w:rPr>
            </w:pPr>
            <w:r w:rsidRPr="000E3A45">
              <w:rPr>
                <w:bCs/>
                <w:sz w:val="20"/>
                <w:szCs w:val="20"/>
              </w:rPr>
              <w:t>Nota: Las variaciones con signo negativo representan apreciación y con signo positivo depreciación.</w:t>
            </w:r>
          </w:p>
          <w:p w14:paraId="6172EF59" w14:textId="4EB61CB1" w:rsidR="006909C8" w:rsidRPr="000E3A45" w:rsidRDefault="006909C8" w:rsidP="00161606">
            <w:pPr>
              <w:widowControl w:val="0"/>
              <w:adjustRightInd w:val="0"/>
              <w:jc w:val="both"/>
              <w:textAlignment w:val="baseline"/>
              <w:rPr>
                <w:bCs/>
                <w:sz w:val="20"/>
                <w:szCs w:val="20"/>
              </w:rPr>
            </w:pPr>
            <w:r w:rsidRPr="000E3A45">
              <w:rPr>
                <w:bCs/>
                <w:sz w:val="20"/>
                <w:szCs w:val="20"/>
              </w:rPr>
              <w:t>* Promedio del 1</w:t>
            </w:r>
            <w:r w:rsidR="007729DD" w:rsidRPr="000E3A45">
              <w:rPr>
                <w:bCs/>
                <w:sz w:val="20"/>
                <w:szCs w:val="20"/>
              </w:rPr>
              <w:t xml:space="preserve">º </w:t>
            </w:r>
            <w:r w:rsidRPr="000E3A45">
              <w:rPr>
                <w:bCs/>
                <w:sz w:val="20"/>
                <w:szCs w:val="20"/>
              </w:rPr>
              <w:t xml:space="preserve">al </w:t>
            </w:r>
            <w:r w:rsidR="00F4518C" w:rsidRPr="000E3A45">
              <w:rPr>
                <w:bCs/>
                <w:sz w:val="20"/>
                <w:szCs w:val="20"/>
              </w:rPr>
              <w:t>1</w:t>
            </w:r>
            <w:r w:rsidR="0075157C">
              <w:rPr>
                <w:bCs/>
                <w:sz w:val="20"/>
                <w:szCs w:val="20"/>
              </w:rPr>
              <w:t>7</w:t>
            </w:r>
            <w:r w:rsidRPr="000E3A45">
              <w:rPr>
                <w:bCs/>
                <w:sz w:val="20"/>
                <w:szCs w:val="20"/>
              </w:rPr>
              <w:t>.</w:t>
            </w:r>
          </w:p>
          <w:p w14:paraId="11551515" w14:textId="77777777" w:rsidR="006909C8" w:rsidRPr="000E3A45" w:rsidRDefault="006909C8" w:rsidP="00161606">
            <w:pPr>
              <w:widowControl w:val="0"/>
              <w:adjustRightInd w:val="0"/>
              <w:jc w:val="both"/>
              <w:textAlignment w:val="baseline"/>
              <w:rPr>
                <w:bCs/>
                <w:sz w:val="20"/>
                <w:szCs w:val="20"/>
                <w:lang w:val="es-ES"/>
              </w:rPr>
            </w:pPr>
            <w:r w:rsidRPr="000E3A45">
              <w:rPr>
                <w:bCs/>
                <w:sz w:val="20"/>
                <w:szCs w:val="20"/>
              </w:rPr>
              <w:t>FUENTE: Banco de México.</w:t>
            </w:r>
          </w:p>
        </w:tc>
      </w:tr>
    </w:tbl>
    <w:p w14:paraId="3E486C02" w14:textId="77777777" w:rsidR="00226516" w:rsidRPr="000E3A45" w:rsidRDefault="00226516" w:rsidP="00597283">
      <w:pPr>
        <w:ind w:right="-159"/>
        <w:jc w:val="both"/>
        <w:rPr>
          <w:b/>
          <w:sz w:val="20"/>
          <w:szCs w:val="20"/>
          <w:lang w:val="es-ES"/>
        </w:rPr>
      </w:pPr>
    </w:p>
    <w:p w14:paraId="7B646D5A" w14:textId="77777777" w:rsidR="00226516" w:rsidRPr="000E3A45" w:rsidRDefault="00226516" w:rsidP="00597283">
      <w:pPr>
        <w:ind w:right="-159"/>
        <w:jc w:val="both"/>
        <w:rPr>
          <w:b/>
          <w:sz w:val="20"/>
          <w:szCs w:val="20"/>
          <w:lang w:val="es-ES"/>
        </w:rPr>
      </w:pPr>
    </w:p>
    <w:p w14:paraId="627C624A" w14:textId="77777777" w:rsidR="008B0DC3" w:rsidRPr="000E3A45" w:rsidRDefault="0097586A" w:rsidP="00597283">
      <w:pPr>
        <w:ind w:right="-159"/>
        <w:jc w:val="both"/>
        <w:rPr>
          <w:b/>
          <w:sz w:val="20"/>
          <w:szCs w:val="20"/>
          <w:lang w:val="es-ES"/>
        </w:rPr>
      </w:pPr>
      <w:r w:rsidRPr="000E3A45">
        <w:rPr>
          <w:b/>
          <w:sz w:val="20"/>
          <w:szCs w:val="20"/>
          <w:lang w:val="es-ES"/>
        </w:rPr>
        <w:t>Fuente de información:</w:t>
      </w:r>
    </w:p>
    <w:p w14:paraId="58D38BEB" w14:textId="77777777" w:rsidR="007137CC" w:rsidRPr="00247FB0" w:rsidRDefault="0093224F" w:rsidP="00247FB0">
      <w:pPr>
        <w:spacing w:after="720"/>
        <w:ind w:right="-159"/>
        <w:jc w:val="both"/>
        <w:rPr>
          <w:color w:val="0000FF"/>
          <w:sz w:val="20"/>
          <w:szCs w:val="20"/>
        </w:rPr>
      </w:pPr>
      <w:hyperlink r:id="rId448" w:history="1">
        <w:r w:rsidR="0095569F" w:rsidRPr="00247FB0">
          <w:rPr>
            <w:rStyle w:val="Hipervnculo"/>
            <w:sz w:val="20"/>
            <w:szCs w:val="20"/>
          </w:rPr>
          <w:t>http://www.banxico.org.mx/SieInternet/consultarDirectorioInternetAction.do?accion=consultarCuadroAnalitico&amp;idCuadro=CA91&amp;sector=6&amp;locale=es</w:t>
        </w:r>
      </w:hyperlink>
    </w:p>
    <w:bookmarkEnd w:id="22"/>
    <w:bookmarkEnd w:id="23"/>
    <w:p w14:paraId="645F6136" w14:textId="77777777" w:rsidR="00627BC6" w:rsidRPr="000E3A45" w:rsidRDefault="00627BC6" w:rsidP="00627BC6">
      <w:pPr>
        <w:spacing w:after="360" w:line="360" w:lineRule="auto"/>
        <w:ind w:right="-159"/>
        <w:jc w:val="both"/>
        <w:rPr>
          <w:b/>
          <w:sz w:val="26"/>
          <w:szCs w:val="26"/>
          <w:lang w:val="es-ES"/>
        </w:rPr>
      </w:pPr>
      <w:r w:rsidRPr="000E3A45">
        <w:rPr>
          <w:b/>
          <w:sz w:val="26"/>
          <w:szCs w:val="26"/>
          <w:lang w:val="es-ES"/>
        </w:rPr>
        <w:t>Mercado de futuros del peso (CME)</w:t>
      </w:r>
    </w:p>
    <w:p w14:paraId="3A215006" w14:textId="0E897130" w:rsidR="00627BC6" w:rsidRPr="000E3A45" w:rsidRDefault="00627BC6" w:rsidP="00627BC6">
      <w:pPr>
        <w:spacing w:after="360" w:line="420" w:lineRule="exact"/>
        <w:ind w:right="-159"/>
        <w:jc w:val="both"/>
        <w:rPr>
          <w:sz w:val="26"/>
          <w:szCs w:val="26"/>
          <w:lang w:val="es-ES"/>
        </w:rPr>
      </w:pPr>
      <w:r w:rsidRPr="000E3A45">
        <w:rPr>
          <w:sz w:val="26"/>
          <w:szCs w:val="26"/>
          <w:lang w:val="es-ES"/>
        </w:rPr>
        <w:t xml:space="preserve">México inició operaciones en el mercado a futuros en abril de 1995, en el Mercantil Exchange de Chicago (CME), a raíz de la devaluación del peso en diciembre de 1994, por lo cual algunos agentes económicos adversos al riesgo y especuladores tendieron a </w:t>
      </w:r>
      <w:r w:rsidRPr="000E3A45">
        <w:rPr>
          <w:sz w:val="26"/>
          <w:szCs w:val="26"/>
          <w:lang w:val="es-ES"/>
        </w:rPr>
        <w:lastRenderedPageBreak/>
        <w:t>protegerse de las fluctuaciones que se presentaban en el mercado cambiario de contado, acudiendo al mercado de futuro</w:t>
      </w:r>
      <w:r w:rsidR="00247FB0">
        <w:rPr>
          <w:sz w:val="26"/>
          <w:szCs w:val="26"/>
          <w:lang w:val="es-ES"/>
        </w:rPr>
        <w:t>s</w:t>
      </w:r>
      <w:r w:rsidRPr="000E3A45">
        <w:rPr>
          <w:sz w:val="26"/>
          <w:szCs w:val="26"/>
          <w:lang w:val="es-ES"/>
        </w:rPr>
        <w:t xml:space="preserve"> del peso, para así garantizar sus transacciones económicas. </w:t>
      </w:r>
    </w:p>
    <w:p w14:paraId="2B07D63D" w14:textId="77777777" w:rsidR="00627BC6" w:rsidRPr="000E3A45" w:rsidRDefault="00627BC6" w:rsidP="00627BC6">
      <w:pPr>
        <w:spacing w:after="360" w:line="420" w:lineRule="exact"/>
        <w:ind w:right="-159"/>
        <w:jc w:val="both"/>
        <w:rPr>
          <w:sz w:val="26"/>
          <w:szCs w:val="26"/>
        </w:rPr>
      </w:pPr>
      <w:r w:rsidRPr="000E3A45">
        <w:rPr>
          <w:sz w:val="26"/>
          <w:szCs w:val="26"/>
        </w:rPr>
        <w:t xml:space="preserve">En este sentido, en el CME se comercian los futuros de divisas y de diversos </w:t>
      </w:r>
      <w:r w:rsidRPr="000E3A45">
        <w:rPr>
          <w:i/>
          <w:sz w:val="26"/>
          <w:szCs w:val="26"/>
        </w:rPr>
        <w:t>commoditie</w:t>
      </w:r>
      <w:r w:rsidRPr="000E3A45">
        <w:rPr>
          <w:sz w:val="26"/>
          <w:szCs w:val="26"/>
        </w:rPr>
        <w:t>s. Un futuro es un derivado que se vende en un mercado estandarizado y que asegura al comprador y al vendedor que una transacción se realizará en una fecha específica, a un determinado precio y sobre una cantidad dada. En el CME se hacen futuros del peso mexicano, en donde cada contrato tiene un valor de 500 mil pesos y vencimientos en los meses de marzo, junio, septiembre y diciembre.</w:t>
      </w:r>
    </w:p>
    <w:p w14:paraId="66B2B6C1" w14:textId="54945BAD" w:rsidR="00627BC6" w:rsidRDefault="00627BC6" w:rsidP="00627BC6">
      <w:pPr>
        <w:spacing w:after="360" w:line="420" w:lineRule="exact"/>
        <w:ind w:right="-159"/>
        <w:jc w:val="both"/>
        <w:rPr>
          <w:sz w:val="26"/>
          <w:szCs w:val="26"/>
        </w:rPr>
      </w:pPr>
      <w:r w:rsidRPr="000E3A45">
        <w:rPr>
          <w:sz w:val="26"/>
          <w:szCs w:val="26"/>
        </w:rPr>
        <w:t>En este contexto, al 1</w:t>
      </w:r>
      <w:r w:rsidR="00770ED0">
        <w:rPr>
          <w:sz w:val="26"/>
          <w:szCs w:val="26"/>
        </w:rPr>
        <w:t>7</w:t>
      </w:r>
      <w:r w:rsidRPr="000E3A45">
        <w:rPr>
          <w:sz w:val="26"/>
          <w:szCs w:val="26"/>
        </w:rPr>
        <w:t xml:space="preserve"> de </w:t>
      </w:r>
      <w:r w:rsidR="00770ED0">
        <w:rPr>
          <w:sz w:val="26"/>
          <w:szCs w:val="26"/>
        </w:rPr>
        <w:t>marzo</w:t>
      </w:r>
      <w:r w:rsidRPr="000E3A45">
        <w:rPr>
          <w:sz w:val="26"/>
          <w:szCs w:val="26"/>
        </w:rPr>
        <w:t xml:space="preserve"> de 201</w:t>
      </w:r>
      <w:r>
        <w:rPr>
          <w:sz w:val="26"/>
          <w:szCs w:val="26"/>
        </w:rPr>
        <w:t>5</w:t>
      </w:r>
      <w:r w:rsidRPr="000E3A45">
        <w:rPr>
          <w:sz w:val="26"/>
          <w:szCs w:val="26"/>
        </w:rPr>
        <w:t xml:space="preserve">, las cotizaciones en los contratos del peso en el CME para </w:t>
      </w:r>
      <w:r w:rsidR="00770ED0">
        <w:rPr>
          <w:sz w:val="26"/>
          <w:szCs w:val="26"/>
        </w:rPr>
        <w:t>junio</w:t>
      </w:r>
      <w:r w:rsidRPr="000E3A45">
        <w:rPr>
          <w:sz w:val="26"/>
          <w:szCs w:val="26"/>
        </w:rPr>
        <w:t xml:space="preserve"> de 201</w:t>
      </w:r>
      <w:r>
        <w:rPr>
          <w:sz w:val="26"/>
          <w:szCs w:val="26"/>
        </w:rPr>
        <w:t>5</w:t>
      </w:r>
      <w:r w:rsidRPr="000E3A45">
        <w:rPr>
          <w:sz w:val="26"/>
          <w:szCs w:val="26"/>
        </w:rPr>
        <w:t>, se ubicaron en 1</w:t>
      </w:r>
      <w:r w:rsidR="00986637">
        <w:rPr>
          <w:sz w:val="26"/>
          <w:szCs w:val="26"/>
        </w:rPr>
        <w:t>5</w:t>
      </w:r>
      <w:r w:rsidRPr="000E3A45">
        <w:rPr>
          <w:sz w:val="26"/>
          <w:szCs w:val="26"/>
        </w:rPr>
        <w:t>.</w:t>
      </w:r>
      <w:r w:rsidR="00770ED0">
        <w:rPr>
          <w:sz w:val="26"/>
          <w:szCs w:val="26"/>
        </w:rPr>
        <w:t>4798</w:t>
      </w:r>
      <w:r w:rsidRPr="000E3A45">
        <w:rPr>
          <w:sz w:val="26"/>
          <w:szCs w:val="26"/>
        </w:rPr>
        <w:t xml:space="preserve"> pesos por dólar, cotización 0.</w:t>
      </w:r>
      <w:r w:rsidR="00986637">
        <w:rPr>
          <w:sz w:val="26"/>
          <w:szCs w:val="26"/>
        </w:rPr>
        <w:t>95</w:t>
      </w:r>
      <w:r w:rsidRPr="000E3A45">
        <w:rPr>
          <w:sz w:val="26"/>
          <w:szCs w:val="26"/>
        </w:rPr>
        <w:t xml:space="preserve">% por </w:t>
      </w:r>
      <w:r w:rsidR="005E48CC">
        <w:rPr>
          <w:sz w:val="26"/>
          <w:szCs w:val="26"/>
        </w:rPr>
        <w:t>arriba</w:t>
      </w:r>
      <w:r w:rsidRPr="000E3A45">
        <w:rPr>
          <w:sz w:val="26"/>
          <w:szCs w:val="26"/>
        </w:rPr>
        <w:t xml:space="preserve"> del promedio del dólar interbancario a 48 horas en los primeros 1</w:t>
      </w:r>
      <w:r w:rsidR="00770ED0">
        <w:rPr>
          <w:sz w:val="26"/>
          <w:szCs w:val="26"/>
        </w:rPr>
        <w:t>7</w:t>
      </w:r>
      <w:r w:rsidRPr="000E3A45">
        <w:rPr>
          <w:sz w:val="26"/>
          <w:szCs w:val="26"/>
        </w:rPr>
        <w:t xml:space="preserve"> días de </w:t>
      </w:r>
      <w:r w:rsidR="00770ED0">
        <w:rPr>
          <w:sz w:val="26"/>
          <w:szCs w:val="26"/>
        </w:rPr>
        <w:t>marzo</w:t>
      </w:r>
      <w:r w:rsidRPr="000E3A45">
        <w:rPr>
          <w:sz w:val="26"/>
          <w:szCs w:val="26"/>
        </w:rPr>
        <w:t xml:space="preserve"> (1</w:t>
      </w:r>
      <w:r w:rsidR="00770ED0">
        <w:rPr>
          <w:sz w:val="26"/>
          <w:szCs w:val="26"/>
        </w:rPr>
        <w:t>5</w:t>
      </w:r>
      <w:r w:rsidRPr="000E3A45">
        <w:rPr>
          <w:sz w:val="26"/>
          <w:szCs w:val="26"/>
        </w:rPr>
        <w:t>.</w:t>
      </w:r>
      <w:r w:rsidR="00986637">
        <w:rPr>
          <w:sz w:val="26"/>
          <w:szCs w:val="26"/>
        </w:rPr>
        <w:t>3340</w:t>
      </w:r>
      <w:r w:rsidRPr="000E3A45">
        <w:rPr>
          <w:sz w:val="26"/>
          <w:szCs w:val="26"/>
        </w:rPr>
        <w:t xml:space="preserve"> pesos por dólar). Con ello, los inversionistas en el mercado de futuros estan tomando posiciones </w:t>
      </w:r>
      <w:r w:rsidR="005E48CC">
        <w:rPr>
          <w:sz w:val="26"/>
          <w:szCs w:val="26"/>
        </w:rPr>
        <w:t>largas</w:t>
      </w:r>
      <w:r w:rsidRPr="000E3A45">
        <w:rPr>
          <w:sz w:val="26"/>
          <w:szCs w:val="26"/>
        </w:rPr>
        <w:t xml:space="preserve"> ante un </w:t>
      </w:r>
      <w:r w:rsidR="005E48CC">
        <w:rPr>
          <w:sz w:val="26"/>
          <w:szCs w:val="26"/>
        </w:rPr>
        <w:t xml:space="preserve">posible </w:t>
      </w:r>
      <w:r w:rsidRPr="000E3A45">
        <w:rPr>
          <w:sz w:val="26"/>
          <w:szCs w:val="26"/>
        </w:rPr>
        <w:t xml:space="preserve">margen mayor de </w:t>
      </w:r>
      <w:r w:rsidR="005E48CC">
        <w:rPr>
          <w:sz w:val="26"/>
          <w:szCs w:val="26"/>
        </w:rPr>
        <w:t>de</w:t>
      </w:r>
      <w:r w:rsidRPr="000E3A45">
        <w:rPr>
          <w:sz w:val="26"/>
          <w:szCs w:val="26"/>
        </w:rPr>
        <w:t xml:space="preserve">preciación del peso mexicano. De hecho, se están adquiriendo contratros a </w:t>
      </w:r>
      <w:r w:rsidR="00986637">
        <w:rPr>
          <w:sz w:val="26"/>
          <w:szCs w:val="26"/>
        </w:rPr>
        <w:t>septiembre</w:t>
      </w:r>
      <w:r w:rsidRPr="000E3A45">
        <w:rPr>
          <w:sz w:val="26"/>
          <w:szCs w:val="26"/>
        </w:rPr>
        <w:t xml:space="preserve"> de 2015, en 1</w:t>
      </w:r>
      <w:r w:rsidR="0086144D">
        <w:rPr>
          <w:sz w:val="26"/>
          <w:szCs w:val="26"/>
        </w:rPr>
        <w:t>5</w:t>
      </w:r>
      <w:r w:rsidRPr="000E3A45">
        <w:rPr>
          <w:sz w:val="26"/>
          <w:szCs w:val="26"/>
        </w:rPr>
        <w:t>.</w:t>
      </w:r>
      <w:r w:rsidR="00986637">
        <w:rPr>
          <w:sz w:val="26"/>
          <w:szCs w:val="26"/>
        </w:rPr>
        <w:t>60</w:t>
      </w:r>
      <w:r>
        <w:rPr>
          <w:sz w:val="26"/>
          <w:szCs w:val="26"/>
        </w:rPr>
        <w:t>0</w:t>
      </w:r>
      <w:r w:rsidR="00986637">
        <w:rPr>
          <w:sz w:val="26"/>
          <w:szCs w:val="26"/>
        </w:rPr>
        <w:t>6</w:t>
      </w:r>
      <w:r w:rsidRPr="000E3A45">
        <w:rPr>
          <w:sz w:val="26"/>
          <w:szCs w:val="26"/>
        </w:rPr>
        <w:t xml:space="preserve"> pesos por dólar </w:t>
      </w:r>
      <w:r w:rsidR="00986637">
        <w:rPr>
          <w:sz w:val="26"/>
          <w:szCs w:val="26"/>
        </w:rPr>
        <w:t>y para diciembre en 15.7232 pesos por dólar, lo cual permite prever que el mercado de futuros esta anticipando que la moneda mexicana seguirá depreciandose</w:t>
      </w:r>
      <w:r w:rsidRPr="000E3A45">
        <w:rPr>
          <w:sz w:val="26"/>
          <w:szCs w:val="26"/>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0"/>
        <w:gridCol w:w="2520"/>
      </w:tblGrid>
      <w:tr w:rsidR="00627BC6" w:rsidRPr="000E3A45" w14:paraId="09B53488" w14:textId="77777777" w:rsidTr="00630566">
        <w:trPr>
          <w:jc w:val="center"/>
        </w:trPr>
        <w:tc>
          <w:tcPr>
            <w:tcW w:w="4470" w:type="dxa"/>
            <w:gridSpan w:val="2"/>
            <w:tcBorders>
              <w:top w:val="nil"/>
              <w:left w:val="nil"/>
              <w:right w:val="nil"/>
            </w:tcBorders>
          </w:tcPr>
          <w:p w14:paraId="7119E6B9" w14:textId="77777777" w:rsidR="00627BC6" w:rsidRPr="000E3A45" w:rsidRDefault="00627BC6" w:rsidP="00630566">
            <w:pPr>
              <w:spacing w:after="120"/>
              <w:ind w:right="-159"/>
              <w:jc w:val="center"/>
              <w:rPr>
                <w:b/>
                <w:sz w:val="22"/>
                <w:szCs w:val="22"/>
                <w:lang w:val="es-ES"/>
              </w:rPr>
            </w:pPr>
            <w:r w:rsidRPr="000E3A45">
              <w:rPr>
                <w:b/>
                <w:sz w:val="22"/>
                <w:szCs w:val="22"/>
                <w:lang w:val="es-ES"/>
              </w:rPr>
              <w:t>COTIZACIONES DE FUTUROS EN EL MERCADO DE CHICAGO (CME)</w:t>
            </w:r>
          </w:p>
        </w:tc>
      </w:tr>
      <w:tr w:rsidR="00627BC6" w:rsidRPr="000E3A45" w14:paraId="1D341F72" w14:textId="77777777" w:rsidTr="00630566">
        <w:trPr>
          <w:jc w:val="center"/>
        </w:trPr>
        <w:tc>
          <w:tcPr>
            <w:tcW w:w="1950" w:type="dxa"/>
          </w:tcPr>
          <w:p w14:paraId="07ACF97C" w14:textId="77777777" w:rsidR="00627BC6" w:rsidRPr="000E3A45" w:rsidRDefault="00627BC6" w:rsidP="00630566">
            <w:pPr>
              <w:ind w:right="-159"/>
              <w:jc w:val="center"/>
              <w:rPr>
                <w:b/>
                <w:sz w:val="20"/>
                <w:szCs w:val="20"/>
                <w:lang w:val="es-ES"/>
              </w:rPr>
            </w:pPr>
            <w:r w:rsidRPr="000E3A45">
              <w:rPr>
                <w:b/>
                <w:sz w:val="20"/>
                <w:szCs w:val="20"/>
                <w:lang w:val="es-ES"/>
              </w:rPr>
              <w:t>201</w:t>
            </w:r>
            <w:r>
              <w:rPr>
                <w:b/>
                <w:sz w:val="20"/>
                <w:szCs w:val="20"/>
                <w:lang w:val="es-ES"/>
              </w:rPr>
              <w:t>5</w:t>
            </w:r>
          </w:p>
        </w:tc>
        <w:tc>
          <w:tcPr>
            <w:tcW w:w="2520" w:type="dxa"/>
          </w:tcPr>
          <w:p w14:paraId="11EBC6BE" w14:textId="77777777" w:rsidR="00627BC6" w:rsidRPr="000E3A45" w:rsidRDefault="00627BC6" w:rsidP="00630566">
            <w:pPr>
              <w:ind w:right="-159"/>
              <w:jc w:val="center"/>
              <w:rPr>
                <w:b/>
                <w:sz w:val="20"/>
                <w:szCs w:val="20"/>
                <w:lang w:val="es-ES"/>
              </w:rPr>
            </w:pPr>
            <w:r w:rsidRPr="000E3A45">
              <w:rPr>
                <w:b/>
                <w:sz w:val="20"/>
                <w:szCs w:val="20"/>
                <w:lang w:val="es-ES"/>
              </w:rPr>
              <w:t>Peso/dólar</w:t>
            </w:r>
          </w:p>
        </w:tc>
      </w:tr>
      <w:tr w:rsidR="00627BC6" w:rsidRPr="000E3A45" w14:paraId="4E126D8F" w14:textId="77777777" w:rsidTr="00630566">
        <w:trPr>
          <w:jc w:val="center"/>
        </w:trPr>
        <w:tc>
          <w:tcPr>
            <w:tcW w:w="1950" w:type="dxa"/>
          </w:tcPr>
          <w:p w14:paraId="73A729A2" w14:textId="53E246C8" w:rsidR="00627BC6" w:rsidRPr="000E3A45" w:rsidRDefault="0099403A" w:rsidP="00630566">
            <w:pPr>
              <w:ind w:right="-159"/>
              <w:jc w:val="both"/>
              <w:rPr>
                <w:sz w:val="20"/>
                <w:szCs w:val="20"/>
                <w:lang w:val="es-ES"/>
              </w:rPr>
            </w:pPr>
            <w:r>
              <w:rPr>
                <w:sz w:val="20"/>
                <w:szCs w:val="20"/>
                <w:lang w:val="es-ES"/>
              </w:rPr>
              <w:t>Junio</w:t>
            </w:r>
          </w:p>
        </w:tc>
        <w:tc>
          <w:tcPr>
            <w:tcW w:w="2520" w:type="dxa"/>
          </w:tcPr>
          <w:p w14:paraId="6EF52828" w14:textId="7F4EE664" w:rsidR="00627BC6" w:rsidRPr="000E3A45" w:rsidRDefault="00627BC6" w:rsidP="0099403A">
            <w:pPr>
              <w:ind w:right="-159"/>
              <w:jc w:val="center"/>
              <w:rPr>
                <w:sz w:val="20"/>
                <w:szCs w:val="20"/>
                <w:lang w:val="es-ES"/>
              </w:rPr>
            </w:pPr>
            <w:r>
              <w:rPr>
                <w:sz w:val="20"/>
                <w:szCs w:val="20"/>
                <w:lang w:val="es-ES"/>
              </w:rPr>
              <w:t>1</w:t>
            </w:r>
            <w:r w:rsidR="0099403A">
              <w:rPr>
                <w:sz w:val="20"/>
                <w:szCs w:val="20"/>
                <w:lang w:val="es-ES"/>
              </w:rPr>
              <w:t>5.4798</w:t>
            </w:r>
          </w:p>
        </w:tc>
      </w:tr>
      <w:tr w:rsidR="00627BC6" w:rsidRPr="000E3A45" w14:paraId="4CDDE308" w14:textId="77777777" w:rsidTr="00630566">
        <w:trPr>
          <w:jc w:val="center"/>
        </w:trPr>
        <w:tc>
          <w:tcPr>
            <w:tcW w:w="1950" w:type="dxa"/>
          </w:tcPr>
          <w:p w14:paraId="3401D780" w14:textId="042A2DD7" w:rsidR="00627BC6" w:rsidRPr="000E3A45" w:rsidRDefault="0099403A" w:rsidP="0099403A">
            <w:pPr>
              <w:ind w:right="-159"/>
              <w:jc w:val="both"/>
              <w:rPr>
                <w:sz w:val="20"/>
                <w:szCs w:val="20"/>
                <w:lang w:val="es-ES"/>
              </w:rPr>
            </w:pPr>
            <w:r>
              <w:rPr>
                <w:sz w:val="20"/>
                <w:szCs w:val="20"/>
                <w:lang w:val="es-ES"/>
              </w:rPr>
              <w:t>Septiembre</w:t>
            </w:r>
          </w:p>
        </w:tc>
        <w:tc>
          <w:tcPr>
            <w:tcW w:w="2520" w:type="dxa"/>
          </w:tcPr>
          <w:p w14:paraId="45B50717" w14:textId="714AFD46" w:rsidR="00627BC6" w:rsidRPr="000E3A45" w:rsidRDefault="00627BC6" w:rsidP="0099403A">
            <w:pPr>
              <w:ind w:right="-159"/>
              <w:jc w:val="center"/>
              <w:rPr>
                <w:sz w:val="20"/>
                <w:szCs w:val="20"/>
                <w:lang w:val="es-ES"/>
              </w:rPr>
            </w:pPr>
            <w:r w:rsidRPr="000E3A45">
              <w:rPr>
                <w:sz w:val="20"/>
                <w:szCs w:val="20"/>
                <w:lang w:val="es-ES"/>
              </w:rPr>
              <w:t>1</w:t>
            </w:r>
            <w:r>
              <w:rPr>
                <w:sz w:val="20"/>
                <w:szCs w:val="20"/>
                <w:lang w:val="es-ES"/>
              </w:rPr>
              <w:t>5.</w:t>
            </w:r>
            <w:r w:rsidR="0099403A">
              <w:rPr>
                <w:sz w:val="20"/>
                <w:szCs w:val="20"/>
                <w:lang w:val="es-ES"/>
              </w:rPr>
              <w:t>6006</w:t>
            </w:r>
          </w:p>
        </w:tc>
      </w:tr>
      <w:tr w:rsidR="00627BC6" w:rsidRPr="000E3A45" w14:paraId="65F0FFB0" w14:textId="77777777" w:rsidTr="00630566">
        <w:trPr>
          <w:jc w:val="center"/>
        </w:trPr>
        <w:tc>
          <w:tcPr>
            <w:tcW w:w="1950" w:type="dxa"/>
            <w:tcBorders>
              <w:bottom w:val="single" w:sz="4" w:space="0" w:color="auto"/>
            </w:tcBorders>
          </w:tcPr>
          <w:p w14:paraId="775B9666" w14:textId="12AD650D" w:rsidR="00627BC6" w:rsidRPr="000E3A45" w:rsidRDefault="0099403A" w:rsidP="0099403A">
            <w:pPr>
              <w:ind w:right="-159"/>
              <w:jc w:val="both"/>
              <w:rPr>
                <w:sz w:val="20"/>
                <w:szCs w:val="20"/>
                <w:lang w:val="es-ES"/>
              </w:rPr>
            </w:pPr>
            <w:r>
              <w:rPr>
                <w:sz w:val="20"/>
                <w:szCs w:val="20"/>
                <w:lang w:val="es-ES"/>
              </w:rPr>
              <w:t>Diciembre</w:t>
            </w:r>
          </w:p>
        </w:tc>
        <w:tc>
          <w:tcPr>
            <w:tcW w:w="2520" w:type="dxa"/>
            <w:tcBorders>
              <w:bottom w:val="single" w:sz="4" w:space="0" w:color="auto"/>
            </w:tcBorders>
          </w:tcPr>
          <w:p w14:paraId="0FA5C7DC" w14:textId="77961B97" w:rsidR="00627BC6" w:rsidRPr="000E3A45" w:rsidRDefault="00627BC6" w:rsidP="0099403A">
            <w:pPr>
              <w:ind w:right="-159"/>
              <w:jc w:val="center"/>
              <w:rPr>
                <w:sz w:val="20"/>
                <w:szCs w:val="20"/>
                <w:lang w:val="es-ES"/>
              </w:rPr>
            </w:pPr>
            <w:r w:rsidRPr="000E3A45">
              <w:rPr>
                <w:sz w:val="20"/>
                <w:szCs w:val="20"/>
                <w:lang w:val="es-ES"/>
              </w:rPr>
              <w:t>1</w:t>
            </w:r>
            <w:r>
              <w:rPr>
                <w:sz w:val="20"/>
                <w:szCs w:val="20"/>
                <w:lang w:val="es-ES"/>
              </w:rPr>
              <w:t>5.</w:t>
            </w:r>
            <w:r w:rsidR="0099403A">
              <w:rPr>
                <w:sz w:val="20"/>
                <w:szCs w:val="20"/>
                <w:lang w:val="es-ES"/>
              </w:rPr>
              <w:t>7232</w:t>
            </w:r>
          </w:p>
        </w:tc>
      </w:tr>
      <w:tr w:rsidR="00627BC6" w:rsidRPr="000E3A45" w14:paraId="04249B68" w14:textId="77777777" w:rsidTr="00630566">
        <w:trPr>
          <w:jc w:val="center"/>
        </w:trPr>
        <w:tc>
          <w:tcPr>
            <w:tcW w:w="4470" w:type="dxa"/>
            <w:gridSpan w:val="2"/>
            <w:tcBorders>
              <w:left w:val="nil"/>
              <w:bottom w:val="nil"/>
              <w:right w:val="nil"/>
            </w:tcBorders>
          </w:tcPr>
          <w:p w14:paraId="698DE8B0" w14:textId="223B8F52" w:rsidR="00627BC6" w:rsidRPr="000E3A45" w:rsidRDefault="00627BC6" w:rsidP="0099403A">
            <w:pPr>
              <w:ind w:left="794" w:hanging="794"/>
              <w:jc w:val="both"/>
              <w:rPr>
                <w:sz w:val="18"/>
                <w:szCs w:val="18"/>
                <w:lang w:val="es-ES"/>
              </w:rPr>
            </w:pPr>
            <w:r w:rsidRPr="000E3A45">
              <w:rPr>
                <w:sz w:val="18"/>
                <w:szCs w:val="18"/>
                <w:lang w:val="es-ES"/>
              </w:rPr>
              <w:t xml:space="preserve">FUENTE: CME-Diario </w:t>
            </w:r>
            <w:r w:rsidRPr="000E3A45">
              <w:rPr>
                <w:i/>
                <w:sz w:val="18"/>
                <w:szCs w:val="18"/>
                <w:lang w:val="es-ES"/>
              </w:rPr>
              <w:t>Reforma</w:t>
            </w:r>
            <w:r w:rsidRPr="000E3A45">
              <w:rPr>
                <w:sz w:val="18"/>
                <w:szCs w:val="18"/>
                <w:lang w:val="es-ES"/>
              </w:rPr>
              <w:t xml:space="preserve">, sección Negocios, pág. 2 del </w:t>
            </w:r>
            <w:r w:rsidR="0086144D">
              <w:rPr>
                <w:sz w:val="18"/>
                <w:szCs w:val="18"/>
                <w:lang w:val="es-ES"/>
              </w:rPr>
              <w:t>1</w:t>
            </w:r>
            <w:r w:rsidR="0099403A">
              <w:rPr>
                <w:sz w:val="18"/>
                <w:szCs w:val="18"/>
                <w:lang w:val="es-ES"/>
              </w:rPr>
              <w:t>8</w:t>
            </w:r>
            <w:r w:rsidRPr="000E3A45">
              <w:rPr>
                <w:sz w:val="18"/>
                <w:szCs w:val="18"/>
                <w:lang w:val="es-ES"/>
              </w:rPr>
              <w:t xml:space="preserve"> de </w:t>
            </w:r>
            <w:r w:rsidR="0099403A">
              <w:rPr>
                <w:sz w:val="18"/>
                <w:szCs w:val="18"/>
                <w:lang w:val="es-ES"/>
              </w:rPr>
              <w:t>marzo</w:t>
            </w:r>
            <w:r w:rsidRPr="000E3A45">
              <w:rPr>
                <w:sz w:val="18"/>
                <w:szCs w:val="18"/>
                <w:lang w:val="es-ES"/>
              </w:rPr>
              <w:t xml:space="preserve"> de 201</w:t>
            </w:r>
            <w:r>
              <w:rPr>
                <w:sz w:val="18"/>
                <w:szCs w:val="18"/>
                <w:lang w:val="es-ES"/>
              </w:rPr>
              <w:t>5</w:t>
            </w:r>
            <w:r w:rsidRPr="000E3A45">
              <w:rPr>
                <w:sz w:val="18"/>
                <w:szCs w:val="18"/>
                <w:lang w:val="es-ES"/>
              </w:rPr>
              <w:t>.</w:t>
            </w:r>
          </w:p>
        </w:tc>
      </w:tr>
    </w:tbl>
    <w:p w14:paraId="0B6A94BD" w14:textId="77777777" w:rsidR="00627BC6" w:rsidRPr="000E3A45" w:rsidRDefault="00627BC6" w:rsidP="00627BC6">
      <w:pPr>
        <w:ind w:right="-159"/>
        <w:jc w:val="both"/>
        <w:rPr>
          <w:b/>
          <w:sz w:val="20"/>
          <w:szCs w:val="20"/>
          <w:lang w:val="es-ES"/>
        </w:rPr>
      </w:pPr>
    </w:p>
    <w:p w14:paraId="12D8D3BB" w14:textId="77777777" w:rsidR="00627BC6" w:rsidRPr="000E3A45" w:rsidRDefault="00627BC6" w:rsidP="00627BC6">
      <w:pPr>
        <w:ind w:right="-159"/>
        <w:jc w:val="both"/>
        <w:rPr>
          <w:b/>
          <w:sz w:val="20"/>
          <w:szCs w:val="20"/>
          <w:lang w:val="es-ES"/>
        </w:rPr>
      </w:pPr>
    </w:p>
    <w:p w14:paraId="233F61D6" w14:textId="77777777" w:rsidR="00627BC6" w:rsidRPr="000E3A45" w:rsidRDefault="00627BC6" w:rsidP="00627BC6">
      <w:pPr>
        <w:ind w:right="-159"/>
        <w:jc w:val="both"/>
        <w:rPr>
          <w:b/>
          <w:sz w:val="20"/>
          <w:szCs w:val="20"/>
          <w:lang w:val="es-ES"/>
        </w:rPr>
      </w:pPr>
      <w:r w:rsidRPr="000E3A45">
        <w:rPr>
          <w:b/>
          <w:sz w:val="20"/>
          <w:szCs w:val="20"/>
          <w:lang w:val="es-ES"/>
        </w:rPr>
        <w:t>Fuente de información:</w:t>
      </w:r>
    </w:p>
    <w:p w14:paraId="51990B5C" w14:textId="352DED89" w:rsidR="00627BC6" w:rsidRPr="00247FB0" w:rsidRDefault="00627BC6" w:rsidP="00627BC6">
      <w:pPr>
        <w:ind w:right="-159"/>
        <w:jc w:val="both"/>
        <w:rPr>
          <w:color w:val="0000FF"/>
          <w:sz w:val="20"/>
          <w:szCs w:val="20"/>
          <w:lang w:val="es-ES"/>
        </w:rPr>
      </w:pPr>
      <w:r w:rsidRPr="00247FB0">
        <w:rPr>
          <w:color w:val="0000FF"/>
          <w:sz w:val="20"/>
          <w:szCs w:val="20"/>
          <w:lang w:val="es-ES"/>
        </w:rPr>
        <w:t>Periódico Reforma, Sección Negocios, pág. 2, 1</w:t>
      </w:r>
      <w:r w:rsidR="0099403A" w:rsidRPr="00247FB0">
        <w:rPr>
          <w:color w:val="0000FF"/>
          <w:sz w:val="20"/>
          <w:szCs w:val="20"/>
          <w:lang w:val="es-ES"/>
        </w:rPr>
        <w:t>8</w:t>
      </w:r>
      <w:r w:rsidRPr="00247FB0">
        <w:rPr>
          <w:color w:val="0000FF"/>
          <w:sz w:val="20"/>
          <w:szCs w:val="20"/>
          <w:lang w:val="es-ES"/>
        </w:rPr>
        <w:t xml:space="preserve"> de </w:t>
      </w:r>
      <w:r w:rsidR="0099403A" w:rsidRPr="00247FB0">
        <w:rPr>
          <w:color w:val="0000FF"/>
          <w:sz w:val="20"/>
          <w:szCs w:val="20"/>
          <w:lang w:val="es-ES"/>
        </w:rPr>
        <w:t>marzo</w:t>
      </w:r>
      <w:r w:rsidRPr="00247FB0">
        <w:rPr>
          <w:color w:val="0000FF"/>
          <w:sz w:val="20"/>
          <w:szCs w:val="20"/>
          <w:lang w:val="es-ES"/>
        </w:rPr>
        <w:t xml:space="preserve"> de 2015.</w:t>
      </w:r>
    </w:p>
    <w:p w14:paraId="7755A03C" w14:textId="77777777" w:rsidR="00627BC6" w:rsidRDefault="00627BC6" w:rsidP="00627BC6">
      <w:pPr>
        <w:spacing w:after="360" w:line="360" w:lineRule="auto"/>
        <w:rPr>
          <w:rFonts w:eastAsia="Calibri"/>
          <w:sz w:val="26"/>
          <w:szCs w:val="26"/>
          <w:lang w:eastAsia="en-US"/>
        </w:rPr>
      </w:pPr>
    </w:p>
    <w:p w14:paraId="784E6E58" w14:textId="77777777" w:rsidR="000B0616" w:rsidRDefault="000B0616" w:rsidP="000D6E80">
      <w:pPr>
        <w:ind w:right="-159"/>
        <w:jc w:val="both"/>
        <w:rPr>
          <w:rFonts w:eastAsia="Calibri"/>
          <w:b/>
          <w:sz w:val="26"/>
          <w:szCs w:val="26"/>
          <w:lang w:eastAsia="en-US"/>
        </w:rPr>
      </w:pPr>
    </w:p>
    <w:p w14:paraId="73EC2C50" w14:textId="77777777" w:rsidR="000B0616" w:rsidRDefault="000B0616" w:rsidP="000D6E80">
      <w:pPr>
        <w:ind w:right="-159"/>
        <w:jc w:val="both"/>
        <w:rPr>
          <w:rFonts w:eastAsia="Calibri"/>
          <w:b/>
          <w:sz w:val="26"/>
          <w:szCs w:val="26"/>
          <w:lang w:eastAsia="en-US"/>
        </w:rPr>
      </w:pPr>
    </w:p>
    <w:p w14:paraId="5BA862E9" w14:textId="77777777" w:rsidR="000D6E80" w:rsidRPr="00F65002" w:rsidRDefault="000D6E80" w:rsidP="000D6E80">
      <w:pPr>
        <w:ind w:right="-159"/>
        <w:jc w:val="both"/>
        <w:rPr>
          <w:rFonts w:eastAsia="Calibri"/>
          <w:b/>
          <w:sz w:val="26"/>
          <w:szCs w:val="26"/>
          <w:lang w:eastAsia="en-US"/>
        </w:rPr>
      </w:pPr>
      <w:r w:rsidRPr="00F65002">
        <w:rPr>
          <w:rFonts w:eastAsia="Calibri"/>
          <w:b/>
          <w:sz w:val="26"/>
          <w:szCs w:val="26"/>
          <w:lang w:eastAsia="en-US"/>
        </w:rPr>
        <w:lastRenderedPageBreak/>
        <w:t>El  euro  cae  a un mínimo de</w:t>
      </w:r>
    </w:p>
    <w:p w14:paraId="65E75929" w14:textId="77777777" w:rsidR="000D6E80" w:rsidRPr="00F65002" w:rsidRDefault="000D6E80" w:rsidP="000D6E80">
      <w:pPr>
        <w:spacing w:after="360" w:line="360" w:lineRule="auto"/>
        <w:ind w:right="-159"/>
        <w:jc w:val="both"/>
        <w:rPr>
          <w:rFonts w:eastAsia="Calibri"/>
          <w:b/>
          <w:sz w:val="26"/>
          <w:szCs w:val="26"/>
          <w:lang w:eastAsia="en-US"/>
        </w:rPr>
      </w:pPr>
      <w:r w:rsidRPr="00F65002">
        <w:rPr>
          <w:rFonts w:eastAsia="Calibri"/>
          <w:b/>
          <w:sz w:val="26"/>
          <w:szCs w:val="26"/>
          <w:lang w:eastAsia="en-US"/>
        </w:rPr>
        <w:t>11 años frente al dólar (WSJ)</w:t>
      </w:r>
    </w:p>
    <w:p w14:paraId="775475E6" w14:textId="77777777" w:rsidR="000D6E80" w:rsidRPr="00F65002" w:rsidRDefault="000D6E80" w:rsidP="000D6E80">
      <w:pPr>
        <w:spacing w:after="360" w:line="360" w:lineRule="auto"/>
        <w:ind w:right="-159"/>
        <w:jc w:val="both"/>
        <w:rPr>
          <w:rFonts w:eastAsia="Calibri"/>
          <w:sz w:val="26"/>
          <w:szCs w:val="26"/>
          <w:lang w:eastAsia="en-US"/>
        </w:rPr>
      </w:pPr>
      <w:r w:rsidRPr="00F65002">
        <w:rPr>
          <w:rFonts w:eastAsia="Calibri"/>
          <w:sz w:val="26"/>
          <w:szCs w:val="26"/>
          <w:lang w:eastAsia="en-US"/>
        </w:rPr>
        <w:t xml:space="preserve">El 10 de marzo de 2015, el periódico </w:t>
      </w:r>
      <w:r w:rsidRPr="00F65002">
        <w:rPr>
          <w:rFonts w:eastAsia="Calibri"/>
          <w:i/>
          <w:sz w:val="26"/>
          <w:szCs w:val="26"/>
          <w:lang w:eastAsia="en-US"/>
        </w:rPr>
        <w:t>The Wall Street Journal</w:t>
      </w:r>
      <w:r w:rsidRPr="00F65002">
        <w:rPr>
          <w:rFonts w:eastAsia="Calibri"/>
          <w:sz w:val="26"/>
          <w:szCs w:val="26"/>
          <w:lang w:eastAsia="en-US"/>
        </w:rPr>
        <w:t xml:space="preserve"> (WSJ) publicó la nota “El euro cae a un mínimo de 11 años frente al dólar”</w:t>
      </w:r>
      <w:r>
        <w:rPr>
          <w:rFonts w:eastAsia="Calibri"/>
          <w:sz w:val="26"/>
          <w:szCs w:val="26"/>
          <w:lang w:eastAsia="en-US"/>
        </w:rPr>
        <w:t>. A continuación se presenta el contenido</w:t>
      </w:r>
      <w:r w:rsidRPr="00F65002">
        <w:rPr>
          <w:rFonts w:eastAsia="Calibri"/>
          <w:sz w:val="26"/>
          <w:szCs w:val="26"/>
          <w:lang w:eastAsia="en-US"/>
        </w:rPr>
        <w:t>.</w:t>
      </w:r>
    </w:p>
    <w:p w14:paraId="7E3BE9FE" w14:textId="77777777" w:rsidR="000D6E80" w:rsidRPr="00F65002" w:rsidRDefault="000D6E80" w:rsidP="000D6E80">
      <w:pPr>
        <w:spacing w:after="360" w:line="360" w:lineRule="auto"/>
        <w:ind w:right="-159"/>
        <w:jc w:val="both"/>
        <w:rPr>
          <w:rFonts w:eastAsia="Calibri"/>
          <w:sz w:val="26"/>
          <w:szCs w:val="26"/>
          <w:lang w:eastAsia="en-US"/>
        </w:rPr>
      </w:pPr>
      <w:r w:rsidRPr="00F65002">
        <w:rPr>
          <w:rFonts w:eastAsia="Calibri"/>
          <w:sz w:val="26"/>
          <w:szCs w:val="26"/>
          <w:lang w:eastAsia="en-US"/>
        </w:rPr>
        <w:t>El euro ha marcado su nivel más bajo frente al dólar en más de 11 años, mientras que las rentabilidades de la renta fija de la eurozona registran también nuevos mínimos porque los efectos del programa de compra de bonos del Banco Central Europeo (BCE) siguen dejándose notar en los mercados de la región.</w:t>
      </w:r>
    </w:p>
    <w:p w14:paraId="5B8CB5C6" w14:textId="77777777" w:rsidR="000D6E80" w:rsidRPr="00F65002" w:rsidRDefault="000D6E80" w:rsidP="000D6E80">
      <w:pPr>
        <w:spacing w:after="360" w:line="360" w:lineRule="auto"/>
        <w:ind w:right="-159"/>
        <w:jc w:val="both"/>
        <w:rPr>
          <w:rFonts w:eastAsia="Calibri"/>
          <w:sz w:val="26"/>
          <w:szCs w:val="26"/>
          <w:lang w:eastAsia="en-US"/>
        </w:rPr>
      </w:pPr>
      <w:r w:rsidRPr="00F65002">
        <w:rPr>
          <w:rFonts w:eastAsia="Calibri"/>
          <w:sz w:val="26"/>
          <w:szCs w:val="26"/>
          <w:lang w:eastAsia="en-US"/>
        </w:rPr>
        <w:t>El euro caía más del 1% a 1.0746 dólares el día después de que el BCE comenzara a comprar deuda soberana para intentar acelerar la inflación e impulsar a la frágil economía.</w:t>
      </w:r>
    </w:p>
    <w:p w14:paraId="40265A8D" w14:textId="77777777" w:rsidR="000D6E80" w:rsidRPr="00F65002" w:rsidRDefault="000D6E80" w:rsidP="000D6E80">
      <w:pPr>
        <w:spacing w:after="360" w:line="360" w:lineRule="auto"/>
        <w:ind w:right="-159"/>
        <w:jc w:val="both"/>
        <w:rPr>
          <w:rFonts w:eastAsia="Calibri"/>
          <w:sz w:val="26"/>
          <w:szCs w:val="26"/>
          <w:lang w:eastAsia="en-US"/>
        </w:rPr>
      </w:pPr>
      <w:r w:rsidRPr="00F65002">
        <w:rPr>
          <w:rFonts w:eastAsia="Calibri"/>
          <w:sz w:val="26"/>
          <w:szCs w:val="26"/>
          <w:lang w:eastAsia="en-US"/>
        </w:rPr>
        <w:t>La moneda única europea ya había caído acusadamente este año cuando los inversionistas decidieron prepararse para la expansión cuantitativa del BCE, que se anunció en enero. Pero el descenso se ha reiniciado porque las primeras compras del BCE han arrastrado a las rentabilidades de los bonos a nuevos mínimos.</w:t>
      </w:r>
    </w:p>
    <w:p w14:paraId="1A6CA319" w14:textId="77777777" w:rsidR="000D6E80" w:rsidRPr="00F65002" w:rsidRDefault="000D6E80" w:rsidP="000D6E80">
      <w:pPr>
        <w:spacing w:after="360" w:line="360" w:lineRule="auto"/>
        <w:ind w:right="-159"/>
        <w:jc w:val="both"/>
        <w:rPr>
          <w:rFonts w:eastAsia="Calibri"/>
          <w:sz w:val="26"/>
          <w:szCs w:val="26"/>
          <w:lang w:eastAsia="en-US"/>
        </w:rPr>
      </w:pPr>
      <w:r w:rsidRPr="00F65002">
        <w:rPr>
          <w:rFonts w:eastAsia="Calibri"/>
          <w:sz w:val="26"/>
          <w:szCs w:val="26"/>
          <w:lang w:eastAsia="en-US"/>
        </w:rPr>
        <w:t>La rentabilidad del bono alemán a 10 años bajó al 0.28%, su mínimo histórico. En España e Italia, las rentabilidades de la deuda a 10 años marcaron mínimos históricos también del 1.17 y el 1.24%, respectivamente.</w:t>
      </w:r>
    </w:p>
    <w:p w14:paraId="54B9C1AF" w14:textId="77777777" w:rsidR="000D6E80" w:rsidRPr="00F65002" w:rsidRDefault="000D6E80" w:rsidP="000D6E80">
      <w:pPr>
        <w:spacing w:after="360" w:line="360" w:lineRule="auto"/>
        <w:ind w:right="-159"/>
        <w:jc w:val="both"/>
        <w:rPr>
          <w:rFonts w:eastAsia="Calibri"/>
          <w:sz w:val="26"/>
          <w:szCs w:val="26"/>
          <w:lang w:eastAsia="en-US"/>
        </w:rPr>
      </w:pPr>
      <w:r w:rsidRPr="00F65002">
        <w:rPr>
          <w:rFonts w:eastAsia="Calibri"/>
          <w:sz w:val="26"/>
          <w:szCs w:val="26"/>
          <w:lang w:eastAsia="en-US"/>
        </w:rPr>
        <w:t>“Al menos en su fase temprana, la QE</w:t>
      </w:r>
      <w:r>
        <w:rPr>
          <w:rFonts w:eastAsia="Calibri"/>
          <w:sz w:val="26"/>
          <w:szCs w:val="26"/>
          <w:lang w:eastAsia="en-US"/>
        </w:rPr>
        <w:t xml:space="preserve"> (flexibilidad cuantitativa)</w:t>
      </w:r>
      <w:r w:rsidRPr="00F65002">
        <w:rPr>
          <w:rFonts w:eastAsia="Calibri"/>
          <w:sz w:val="26"/>
          <w:szCs w:val="26"/>
          <w:lang w:eastAsia="en-US"/>
        </w:rPr>
        <w:t xml:space="preserve"> está arrastrando a la baja a las rentabilidades de forma generalizada”, señala</w:t>
      </w:r>
      <w:r>
        <w:rPr>
          <w:rFonts w:eastAsia="Calibri"/>
          <w:sz w:val="26"/>
          <w:szCs w:val="26"/>
          <w:lang w:eastAsia="en-US"/>
        </w:rPr>
        <w:t>ro</w:t>
      </w:r>
      <w:r w:rsidRPr="00F65002">
        <w:rPr>
          <w:rFonts w:eastAsia="Calibri"/>
          <w:sz w:val="26"/>
          <w:szCs w:val="26"/>
          <w:lang w:eastAsia="en-US"/>
        </w:rPr>
        <w:t xml:space="preserve">n los estrategas de </w:t>
      </w:r>
      <w:r w:rsidRPr="00F65002">
        <w:rPr>
          <w:rFonts w:eastAsia="Calibri"/>
          <w:i/>
          <w:sz w:val="26"/>
          <w:szCs w:val="26"/>
          <w:lang w:eastAsia="en-US"/>
        </w:rPr>
        <w:t>BNP Paribas</w:t>
      </w:r>
      <w:r w:rsidRPr="00F65002">
        <w:rPr>
          <w:rFonts w:eastAsia="Calibri"/>
          <w:sz w:val="26"/>
          <w:szCs w:val="26"/>
          <w:lang w:eastAsia="en-US"/>
        </w:rPr>
        <w:t xml:space="preserve">. </w:t>
      </w:r>
    </w:p>
    <w:p w14:paraId="75483AFA" w14:textId="77777777" w:rsidR="000D6E80" w:rsidRPr="00F65002" w:rsidRDefault="000D6E80" w:rsidP="000D6E80">
      <w:pPr>
        <w:spacing w:after="360" w:line="360" w:lineRule="auto"/>
        <w:ind w:right="-159"/>
        <w:jc w:val="both"/>
        <w:rPr>
          <w:rFonts w:eastAsia="Calibri"/>
          <w:sz w:val="26"/>
          <w:szCs w:val="26"/>
          <w:lang w:eastAsia="en-US"/>
        </w:rPr>
      </w:pPr>
      <w:r w:rsidRPr="00F65002">
        <w:rPr>
          <w:rFonts w:eastAsia="Calibri"/>
          <w:sz w:val="26"/>
          <w:szCs w:val="26"/>
          <w:lang w:eastAsia="en-US"/>
        </w:rPr>
        <w:lastRenderedPageBreak/>
        <w:t>El nuevo enfrentamiento entre Grecia y sus acreedores sobre los términos de un eventual nuevo rescate también han llevado a algunos inversionistas hacia la seguridad de la deuda soberana, agregan.</w:t>
      </w:r>
    </w:p>
    <w:p w14:paraId="6F0B71F1" w14:textId="77777777" w:rsidR="000D6E80" w:rsidRPr="00F65002" w:rsidRDefault="000D6E80" w:rsidP="000D6E80">
      <w:pPr>
        <w:ind w:right="-159"/>
        <w:jc w:val="both"/>
        <w:rPr>
          <w:rFonts w:eastAsia="Calibri"/>
          <w:b/>
          <w:sz w:val="20"/>
          <w:szCs w:val="20"/>
          <w:lang w:eastAsia="en-US"/>
        </w:rPr>
      </w:pPr>
      <w:r w:rsidRPr="00F65002">
        <w:rPr>
          <w:rFonts w:eastAsia="Calibri"/>
          <w:b/>
          <w:sz w:val="20"/>
          <w:szCs w:val="20"/>
          <w:lang w:eastAsia="en-US"/>
        </w:rPr>
        <w:t>Fuente de información:</w:t>
      </w:r>
    </w:p>
    <w:p w14:paraId="251F24C3" w14:textId="77777777" w:rsidR="000D6E80" w:rsidRPr="00247FB0" w:rsidRDefault="0093224F" w:rsidP="00247FB0">
      <w:pPr>
        <w:spacing w:after="720"/>
        <w:ind w:right="-159"/>
        <w:jc w:val="both"/>
        <w:rPr>
          <w:rFonts w:eastAsia="Calibri"/>
          <w:color w:val="0000FF"/>
          <w:sz w:val="20"/>
          <w:szCs w:val="20"/>
          <w:lang w:eastAsia="en-US"/>
        </w:rPr>
      </w:pPr>
      <w:hyperlink r:id="rId449" w:history="1">
        <w:r w:rsidR="000D6E80" w:rsidRPr="00247FB0">
          <w:rPr>
            <w:rFonts w:eastAsia="Calibri"/>
            <w:color w:val="0000FF"/>
            <w:sz w:val="20"/>
            <w:szCs w:val="20"/>
            <w:u w:val="single"/>
            <w:lang w:eastAsia="en-US"/>
          </w:rPr>
          <w:t>http://lat.wsj.com/articles/SB11689363469961823294104580509941661245072?tesla=y</w:t>
        </w:r>
      </w:hyperlink>
      <w:r w:rsidR="000D6E80" w:rsidRPr="00247FB0">
        <w:rPr>
          <w:rFonts w:eastAsia="Calibri"/>
          <w:color w:val="0000FF"/>
          <w:sz w:val="20"/>
          <w:szCs w:val="20"/>
          <w:lang w:eastAsia="en-US"/>
        </w:rPr>
        <w:t xml:space="preserve"> </w:t>
      </w:r>
    </w:p>
    <w:p w14:paraId="5A859835" w14:textId="77777777" w:rsidR="000D6E80" w:rsidRPr="000D6E80" w:rsidRDefault="000D6E80" w:rsidP="000D6E80">
      <w:pPr>
        <w:spacing w:after="360" w:line="360" w:lineRule="auto"/>
        <w:ind w:right="-159"/>
        <w:jc w:val="both"/>
        <w:rPr>
          <w:rFonts w:eastAsia="Calibri"/>
          <w:b/>
          <w:sz w:val="26"/>
          <w:szCs w:val="26"/>
          <w:lang w:eastAsia="en-US"/>
        </w:rPr>
      </w:pPr>
      <w:r w:rsidRPr="000D6E80">
        <w:rPr>
          <w:rFonts w:eastAsia="Calibri"/>
          <w:b/>
          <w:sz w:val="26"/>
          <w:szCs w:val="26"/>
          <w:lang w:eastAsia="en-US"/>
        </w:rPr>
        <w:t>La depreciación del euro anima la economía europea (Economy Weblog)</w:t>
      </w:r>
    </w:p>
    <w:p w14:paraId="522D099C" w14:textId="77777777" w:rsidR="000D6E80" w:rsidRPr="000D6E80" w:rsidRDefault="000D6E80" w:rsidP="000D6E80">
      <w:pPr>
        <w:spacing w:after="360" w:line="360" w:lineRule="auto"/>
        <w:ind w:right="-159"/>
        <w:jc w:val="both"/>
        <w:rPr>
          <w:rFonts w:eastAsia="Calibri"/>
          <w:sz w:val="26"/>
          <w:szCs w:val="26"/>
          <w:lang w:val="es-ES" w:eastAsia="en-US"/>
        </w:rPr>
      </w:pPr>
      <w:r w:rsidRPr="000D6E80">
        <w:rPr>
          <w:rFonts w:eastAsia="Calibri"/>
          <w:sz w:val="26"/>
          <w:szCs w:val="26"/>
          <w:lang w:val="es-ES" w:eastAsia="en-US"/>
        </w:rPr>
        <w:t>El 16 de marzo de 2015, el sitio electrónico Economy Weblog (</w:t>
      </w:r>
      <w:r w:rsidRPr="000D6E80">
        <w:rPr>
          <w:rFonts w:eastAsia="Calibri"/>
          <w:i/>
          <w:sz w:val="26"/>
          <w:szCs w:val="26"/>
          <w:lang w:val="es-ES" w:eastAsia="en-US"/>
        </w:rPr>
        <w:t>EW</w:t>
      </w:r>
      <w:r w:rsidRPr="000D6E80">
        <w:rPr>
          <w:rFonts w:eastAsia="Calibri"/>
          <w:sz w:val="26"/>
          <w:szCs w:val="26"/>
          <w:lang w:val="es-ES" w:eastAsia="en-US"/>
        </w:rPr>
        <w:t>) indicó que se mantiene la tendencia de depreciación del euro. El tipo de cambio cayó hasta 1.06 dólares por euro, la cotización mínima desde el año 2003. Esto supone que en los últimos doce meses se ha producido una depreciación del 30% de la moneda única frente al dólar. Un tipo de cambio que abarata las exportaciones de la zona del euro y encarece las importaciones que recibe del resto del Mundo.</w:t>
      </w:r>
    </w:p>
    <w:p w14:paraId="24D69624" w14:textId="77777777" w:rsidR="000D6E80" w:rsidRDefault="000D6E80" w:rsidP="000D6E80">
      <w:pPr>
        <w:spacing w:after="360" w:line="360" w:lineRule="auto"/>
        <w:ind w:right="-159"/>
        <w:jc w:val="both"/>
        <w:rPr>
          <w:rFonts w:eastAsia="Calibri"/>
          <w:sz w:val="26"/>
          <w:szCs w:val="26"/>
          <w:lang w:val="es-ES" w:eastAsia="en-US"/>
        </w:rPr>
      </w:pPr>
      <w:r w:rsidRPr="000D6E80">
        <w:rPr>
          <w:rFonts w:eastAsia="Calibri"/>
          <w:sz w:val="26"/>
          <w:szCs w:val="26"/>
          <w:lang w:val="es-ES" w:eastAsia="en-US"/>
        </w:rPr>
        <w:t>Esta situación del tipo de cambio tendrá efectos positivos sobre la economía europea y negativos sobre la de Estados Unidos de Norteamérica. Efectivamente, parece que en algún momento Estados Unidos de Norteamérica podría notar cierta fatiga después de estar creciendo y generando mucho empleo desde hace cinco años.  Este cansancio podría comenzar pronto y parece que se está reflejando en el Índice del comercio minorista de Estados Unidos de Norteamérica. Este Índice se contrajo en febrero un 0.6% mensual, la tercera caída consecutiva y el peor comportamiento del consumo en Estados Unidos de Norteamérica desde el año 2009, cuando todavía no había salido de la crisis económica. Se ha reducido incluso la compra de automóviles (2.6% entre enero y febrero), un sector al que se ha dirigido una parte importante de la demanda interna en los últimos años.</w:t>
      </w:r>
    </w:p>
    <w:p w14:paraId="466CED20" w14:textId="77777777" w:rsidR="000B0616" w:rsidRPr="000D6E80" w:rsidRDefault="000B0616" w:rsidP="000D6E80">
      <w:pPr>
        <w:spacing w:after="360" w:line="360" w:lineRule="auto"/>
        <w:ind w:right="-159"/>
        <w:jc w:val="both"/>
        <w:rPr>
          <w:rFonts w:eastAsia="Calibri"/>
          <w:sz w:val="26"/>
          <w:szCs w:val="26"/>
          <w:lang w:val="es-ES" w:eastAsia="en-US"/>
        </w:rPr>
      </w:pPr>
    </w:p>
    <w:p w14:paraId="574AAF34" w14:textId="77777777" w:rsidR="000D6E80" w:rsidRPr="000D6E80" w:rsidRDefault="000D6E80" w:rsidP="000D6E80">
      <w:pPr>
        <w:spacing w:after="360" w:line="360" w:lineRule="auto"/>
        <w:ind w:right="-159"/>
        <w:jc w:val="both"/>
        <w:rPr>
          <w:rFonts w:eastAsia="Calibri"/>
          <w:b/>
          <w:sz w:val="26"/>
          <w:szCs w:val="26"/>
          <w:lang w:val="es-ES" w:eastAsia="en-US"/>
        </w:rPr>
      </w:pPr>
      <w:r w:rsidRPr="000D6E80">
        <w:rPr>
          <w:rFonts w:eastAsia="Calibri"/>
          <w:b/>
          <w:sz w:val="26"/>
          <w:szCs w:val="26"/>
          <w:lang w:val="es-ES" w:eastAsia="en-US"/>
        </w:rPr>
        <w:lastRenderedPageBreak/>
        <w:t>Aumenta el consumo en España</w:t>
      </w:r>
    </w:p>
    <w:p w14:paraId="67304CB5" w14:textId="409870EB" w:rsidR="000D6E80" w:rsidRPr="000D6E80" w:rsidRDefault="000D6E80" w:rsidP="000D6E80">
      <w:pPr>
        <w:spacing w:after="360" w:line="360" w:lineRule="auto"/>
        <w:ind w:right="-159"/>
        <w:jc w:val="both"/>
        <w:rPr>
          <w:rFonts w:eastAsia="Calibri"/>
          <w:sz w:val="26"/>
          <w:szCs w:val="26"/>
          <w:lang w:val="es-ES" w:eastAsia="en-US"/>
        </w:rPr>
      </w:pPr>
      <w:r w:rsidRPr="000D6E80">
        <w:rPr>
          <w:rFonts w:eastAsia="Calibri"/>
          <w:sz w:val="26"/>
          <w:szCs w:val="26"/>
          <w:lang w:val="es-ES" w:eastAsia="en-US"/>
        </w:rPr>
        <w:t>Sin embargo, mientras que los estadounidenses parece que disminuyen sus compras los hogares españoles continúan aumentando el consumo. Así, el Índice de Comercio Minorista de España</w:t>
      </w:r>
      <w:r w:rsidR="00247FB0">
        <w:rPr>
          <w:rFonts w:eastAsia="Calibri"/>
          <w:sz w:val="26"/>
          <w:szCs w:val="26"/>
          <w:lang w:val="es-ES" w:eastAsia="en-US"/>
        </w:rPr>
        <w:t>,</w:t>
      </w:r>
      <w:r w:rsidRPr="000D6E80">
        <w:rPr>
          <w:rFonts w:eastAsia="Calibri"/>
          <w:sz w:val="26"/>
          <w:szCs w:val="26"/>
          <w:lang w:val="es-ES" w:eastAsia="en-US"/>
        </w:rPr>
        <w:t xml:space="preserve"> publicado por el Instituto Nacional de Estadística (INE)</w:t>
      </w:r>
      <w:r w:rsidR="00247FB0">
        <w:rPr>
          <w:rFonts w:eastAsia="Calibri"/>
          <w:sz w:val="26"/>
          <w:szCs w:val="26"/>
          <w:lang w:val="es-ES" w:eastAsia="en-US"/>
        </w:rPr>
        <w:t>,</w:t>
      </w:r>
      <w:r w:rsidRPr="000D6E80">
        <w:rPr>
          <w:rFonts w:eastAsia="Calibri"/>
          <w:sz w:val="26"/>
          <w:szCs w:val="26"/>
          <w:lang w:val="es-ES" w:eastAsia="en-US"/>
        </w:rPr>
        <w:t xml:space="preserve"> del 9 al 15 de marzo de 2015 mostró en el mes de enero un aumento anual del 4.2% corregido de efectos estacionales y de calendario. Incluso si eliminamos las ventas de las estaciones de servicios (que han crecido un 8.6% anual y que se han visto muy favorecidas por la caída de los precios del petróleo) el aumento del consumo ha sido considerable: 3%. Este aumento del consumo es consecuencia del aumento del empleo, de la mejora de las expectativas económicas percibidas por los ciudadanos, de la reducción del Impuesto sobre la Renta de las Personas Físicas (IRPF) y de la mayor renta disponible que les queda a las familias una vez pagados los combustibles.</w:t>
      </w:r>
    </w:p>
    <w:p w14:paraId="42FBAE65" w14:textId="6F4BD37A" w:rsidR="000D6E80" w:rsidRPr="000D6E80" w:rsidRDefault="000D6E80" w:rsidP="000D6E80">
      <w:pPr>
        <w:spacing w:after="360" w:line="360" w:lineRule="auto"/>
        <w:ind w:right="-159"/>
        <w:jc w:val="both"/>
        <w:rPr>
          <w:rFonts w:eastAsia="Calibri"/>
          <w:sz w:val="26"/>
          <w:szCs w:val="26"/>
          <w:lang w:val="es-ES" w:eastAsia="en-US"/>
        </w:rPr>
      </w:pPr>
      <w:r w:rsidRPr="000D6E80">
        <w:rPr>
          <w:rFonts w:eastAsia="Calibri"/>
          <w:sz w:val="26"/>
          <w:szCs w:val="26"/>
          <w:lang w:val="es-ES" w:eastAsia="en-US"/>
        </w:rPr>
        <w:t>Este aumento del consumo viene acompañado de caídas en los precios. El INE publicó el jueves que el Índice de Precios de Consumo cayó en febrero un 1.1% anual</w:t>
      </w:r>
      <w:r w:rsidR="00247FB0">
        <w:rPr>
          <w:rFonts w:eastAsia="Calibri"/>
          <w:sz w:val="26"/>
          <w:szCs w:val="26"/>
          <w:lang w:val="es-ES" w:eastAsia="en-US"/>
        </w:rPr>
        <w:t>,</w:t>
      </w:r>
      <w:r w:rsidRPr="000D6E80">
        <w:rPr>
          <w:rFonts w:eastAsia="Calibri"/>
          <w:sz w:val="26"/>
          <w:szCs w:val="26"/>
          <w:lang w:val="es-ES" w:eastAsia="en-US"/>
        </w:rPr>
        <w:t xml:space="preserve"> que unido a la continua depreciación del euro</w:t>
      </w:r>
      <w:r w:rsidR="00247FB0">
        <w:rPr>
          <w:rFonts w:eastAsia="Calibri"/>
          <w:sz w:val="26"/>
          <w:szCs w:val="26"/>
          <w:lang w:val="es-ES" w:eastAsia="en-US"/>
        </w:rPr>
        <w:t>,</w:t>
      </w:r>
      <w:r w:rsidRPr="000D6E80">
        <w:rPr>
          <w:rFonts w:eastAsia="Calibri"/>
          <w:sz w:val="26"/>
          <w:szCs w:val="26"/>
          <w:lang w:val="es-ES" w:eastAsia="en-US"/>
        </w:rPr>
        <w:t xml:space="preserve"> está favoreciendo la mejora de la competitividad y el mayor crecimiento económico y del empleo de la economía española. La depreciación del euro permite, en primer lugar, que se exporte más; efectivamente, con un euro cada vez más depreciado y con unos precios cada vez más bajos aumentan las exportaciones en los mercados internacionales. Y en segundo lugar a que se importa menos. El que las importaciones sean cada vez más caras contribuye a que la demanda interna tienda a comprar cada vez más productos españoles y menos extranjeros.</w:t>
      </w:r>
    </w:p>
    <w:p w14:paraId="4C5E2F15" w14:textId="77777777" w:rsidR="000D6E80" w:rsidRPr="000D6E80" w:rsidRDefault="000D6E80" w:rsidP="000D6E80">
      <w:pPr>
        <w:spacing w:after="360" w:line="360" w:lineRule="auto"/>
        <w:ind w:right="-159"/>
        <w:jc w:val="both"/>
        <w:rPr>
          <w:rFonts w:eastAsia="Calibri"/>
          <w:sz w:val="26"/>
          <w:szCs w:val="26"/>
          <w:lang w:val="es-ES" w:eastAsia="en-US"/>
        </w:rPr>
      </w:pPr>
      <w:r w:rsidRPr="000D6E80">
        <w:rPr>
          <w:rFonts w:eastAsia="Calibri"/>
          <w:sz w:val="26"/>
          <w:szCs w:val="26"/>
          <w:lang w:val="es-ES" w:eastAsia="en-US"/>
        </w:rPr>
        <w:t xml:space="preserve">Así, un euro más depreciado está permitiendo que gran parte de las empresas de la zona del euro y también las españolas, que tenían mucha capacidad productiva sin utilizar, estén volviendo a poner en marcha parte de ese aparato productivo que estaba sin utilizar. Por ejemplo, en España, en el primer trimestre de este año, la utilización de la </w:t>
      </w:r>
      <w:r w:rsidRPr="000D6E80">
        <w:rPr>
          <w:rFonts w:eastAsia="Calibri"/>
          <w:sz w:val="26"/>
          <w:szCs w:val="26"/>
          <w:lang w:val="es-ES" w:eastAsia="en-US"/>
        </w:rPr>
        <w:lastRenderedPageBreak/>
        <w:t>capacidad productiva existente se ha situado en 78.1% cuando en 2013 estaba en el 68.6%. Ahora se produce más en España porque los costos aquí son más bajos y, como consecuencia, se sustituyen las importaciones por una mayor producción nacional. Es por ese motivo, por el que el espectacular aumento de la demanda interna (un 3.4% en el 2014) no ha venido acompañado de un fuerte crecimiento de las importaciones. Más bien al contrario. Efectivamente, los datos de Contabilidad Nacional señalaron un descenso de las importaciones entre el tercer y el cuarto trimestre del año pasado.</w:t>
      </w:r>
    </w:p>
    <w:p w14:paraId="54412307" w14:textId="77777777" w:rsidR="000D6E80" w:rsidRPr="000D6E80" w:rsidRDefault="000D6E80" w:rsidP="000D6E80">
      <w:pPr>
        <w:spacing w:after="360" w:line="360" w:lineRule="auto"/>
        <w:ind w:right="-159"/>
        <w:jc w:val="both"/>
        <w:rPr>
          <w:rFonts w:eastAsia="Calibri"/>
          <w:b/>
          <w:sz w:val="26"/>
          <w:szCs w:val="26"/>
          <w:lang w:val="es-ES" w:eastAsia="en-US"/>
        </w:rPr>
      </w:pPr>
      <w:r w:rsidRPr="000D6E80">
        <w:rPr>
          <w:rFonts w:eastAsia="Calibri"/>
          <w:b/>
          <w:sz w:val="26"/>
          <w:szCs w:val="26"/>
          <w:lang w:val="es-ES" w:eastAsia="en-US"/>
        </w:rPr>
        <w:t>Más crecimiento</w:t>
      </w:r>
    </w:p>
    <w:p w14:paraId="61E99AAF" w14:textId="77777777" w:rsidR="000D6E80" w:rsidRPr="000D6E80" w:rsidRDefault="000D6E80" w:rsidP="000D6E80">
      <w:pPr>
        <w:spacing w:after="360" w:line="360" w:lineRule="auto"/>
        <w:ind w:right="-159"/>
        <w:jc w:val="both"/>
        <w:rPr>
          <w:rFonts w:eastAsia="Calibri"/>
          <w:sz w:val="26"/>
          <w:szCs w:val="26"/>
          <w:lang w:val="es-ES" w:eastAsia="en-US"/>
        </w:rPr>
      </w:pPr>
      <w:r w:rsidRPr="000D6E80">
        <w:rPr>
          <w:rFonts w:eastAsia="Calibri"/>
          <w:sz w:val="26"/>
          <w:szCs w:val="26"/>
          <w:lang w:val="es-ES" w:eastAsia="en-US"/>
        </w:rPr>
        <w:t>Así las cosas, la depreciación del euro está permitiendo que las empresas de la Eurozona, incluidas las españolas, ganen mucha competitividad mientras que la de Estados Unidos de Norteamérica la estén perdiendo. No es casualidad que en el último año las exportaciones españolas a Estados Unidos de Norteamérica hayan aumentado un 39% y que en cambio las importaciones españolas procedentes de Estados Unidos de Norteamérica se redujeran un 26 por ciento.</w:t>
      </w:r>
    </w:p>
    <w:p w14:paraId="59E00EEE" w14:textId="642D3D0C" w:rsidR="000D6E80" w:rsidRPr="000D6E80" w:rsidRDefault="000D6E80" w:rsidP="000D6E80">
      <w:pPr>
        <w:spacing w:after="360" w:line="360" w:lineRule="auto"/>
        <w:ind w:right="-159"/>
        <w:jc w:val="both"/>
        <w:rPr>
          <w:rFonts w:eastAsia="Calibri"/>
          <w:sz w:val="26"/>
          <w:szCs w:val="26"/>
          <w:lang w:val="es-ES" w:eastAsia="en-US"/>
        </w:rPr>
      </w:pPr>
      <w:r w:rsidRPr="000D6E80">
        <w:rPr>
          <w:rFonts w:eastAsia="Calibri"/>
          <w:sz w:val="26"/>
          <w:szCs w:val="26"/>
          <w:lang w:val="es-ES" w:eastAsia="en-US"/>
        </w:rPr>
        <w:t>Aunque la depreciación del euro está permitiendo que la economía europea se esté recuperando mucho más rápido de lo previsto, el crecimiento podría ser todavía mayor si los problemas de Grecia y Ucrania se resolvieran satisfactoriamente. Por su parte</w:t>
      </w:r>
      <w:r w:rsidR="00247FB0">
        <w:rPr>
          <w:rFonts w:eastAsia="Calibri"/>
          <w:sz w:val="26"/>
          <w:szCs w:val="26"/>
          <w:lang w:val="es-ES" w:eastAsia="en-US"/>
        </w:rPr>
        <w:t>,</w:t>
      </w:r>
      <w:r w:rsidRPr="000D6E80">
        <w:rPr>
          <w:rFonts w:eastAsia="Calibri"/>
          <w:sz w:val="26"/>
          <w:szCs w:val="26"/>
          <w:lang w:val="es-ES" w:eastAsia="en-US"/>
        </w:rPr>
        <w:t xml:space="preserve"> el Banco Central Europeo (BCE) está haciendo lo que por ahora parece que es mejor para la economía de la zona del euro: impulsar la inflación y el crecimiento económico.</w:t>
      </w:r>
    </w:p>
    <w:p w14:paraId="03A994C2" w14:textId="77777777" w:rsidR="000D6E80" w:rsidRPr="000D6E80" w:rsidRDefault="000D6E80" w:rsidP="000D6E80">
      <w:pPr>
        <w:spacing w:after="360" w:line="360" w:lineRule="auto"/>
        <w:ind w:right="-159"/>
        <w:jc w:val="both"/>
        <w:rPr>
          <w:rFonts w:eastAsia="Calibri"/>
          <w:b/>
          <w:sz w:val="26"/>
          <w:szCs w:val="26"/>
          <w:lang w:val="es-ES" w:eastAsia="en-US"/>
        </w:rPr>
      </w:pPr>
      <w:r w:rsidRPr="000D6E80">
        <w:rPr>
          <w:rFonts w:eastAsia="Calibri"/>
          <w:b/>
          <w:sz w:val="26"/>
          <w:szCs w:val="26"/>
          <w:lang w:val="es-ES" w:eastAsia="en-US"/>
        </w:rPr>
        <w:t>Políticas monetarias divergentes</w:t>
      </w:r>
    </w:p>
    <w:p w14:paraId="1BBC9738" w14:textId="77777777" w:rsidR="000D6E80" w:rsidRPr="000D6E80" w:rsidRDefault="000D6E80" w:rsidP="000D6E80">
      <w:pPr>
        <w:spacing w:after="360" w:line="360" w:lineRule="auto"/>
        <w:ind w:right="-159"/>
        <w:jc w:val="both"/>
        <w:rPr>
          <w:rFonts w:eastAsia="Calibri"/>
          <w:sz w:val="26"/>
          <w:szCs w:val="26"/>
          <w:lang w:val="es-ES" w:eastAsia="en-US"/>
        </w:rPr>
      </w:pPr>
      <w:r w:rsidRPr="000D6E80">
        <w:rPr>
          <w:rFonts w:eastAsia="Calibri"/>
          <w:sz w:val="26"/>
          <w:szCs w:val="26"/>
          <w:lang w:val="es-ES" w:eastAsia="en-US"/>
        </w:rPr>
        <w:t xml:space="preserve">La Reserva Federal por su parte ha seguido manteniendo el tipo de interés de referencia en niveles excepcionalmente bajos. Ello se debe a que desde agosto del año pasado los precios de Estados Unidos de Norteamérica mantienen una tendencia negativa como consecuencia de que los precios de sus importaciones especialmente los del petróleo se reducen. Pero aún si se eliminasen los precios de los alimentos y de la energía, la </w:t>
      </w:r>
      <w:r w:rsidRPr="000D6E80">
        <w:rPr>
          <w:rFonts w:eastAsia="Calibri"/>
          <w:sz w:val="26"/>
          <w:szCs w:val="26"/>
          <w:lang w:val="es-ES" w:eastAsia="en-US"/>
        </w:rPr>
        <w:lastRenderedPageBreak/>
        <w:t>inflación sigue estando baja: 1.6% lo que está retrasando aumentar el tipo de interés de intervención. En un futuro no muy lejano la economía estadounidense podría empezar a enfriarse y, al ser los tipos de interés tan reducidos, el arma que le quedaría a la Reserva Federal para luchar contra la deflación y la caída del crecimiento económico sería volver a abrir el programa de compra de deuda pública (QE) que cerró en octubre del año pasado.</w:t>
      </w:r>
    </w:p>
    <w:p w14:paraId="2D01F06C" w14:textId="77777777" w:rsidR="000D6E80" w:rsidRPr="000D6E80" w:rsidRDefault="000D6E80" w:rsidP="000D6E80">
      <w:pPr>
        <w:spacing w:after="360" w:line="360" w:lineRule="auto"/>
        <w:ind w:right="-159"/>
        <w:jc w:val="both"/>
        <w:rPr>
          <w:rFonts w:eastAsia="Calibri"/>
          <w:sz w:val="26"/>
          <w:szCs w:val="26"/>
          <w:lang w:val="es-ES" w:eastAsia="en-US"/>
        </w:rPr>
      </w:pPr>
      <w:r w:rsidRPr="000D6E80">
        <w:rPr>
          <w:rFonts w:eastAsia="Calibri"/>
          <w:sz w:val="26"/>
          <w:szCs w:val="26"/>
          <w:lang w:val="es-ES" w:eastAsia="en-US"/>
        </w:rPr>
        <w:t>Los inversionistas parece que están expectantes sobre lo que pueda suceder en Estados Unidos de Norteamérica. En lo que va del año la bolsa americana se ha mantenido plana (el Dow Jones ha subido un 0.4%) mientras que la bolsa europea ha crecido de forma considerable (el Eurostoxx ha aumentado un 15.7%).</w:t>
      </w:r>
    </w:p>
    <w:p w14:paraId="3E71381A" w14:textId="77777777" w:rsidR="000D6E80" w:rsidRPr="000D6E80" w:rsidRDefault="000D6E80" w:rsidP="000D6E80">
      <w:pPr>
        <w:spacing w:after="360" w:line="360" w:lineRule="auto"/>
        <w:ind w:right="-159"/>
        <w:jc w:val="both"/>
        <w:rPr>
          <w:rFonts w:eastAsia="Calibri"/>
          <w:sz w:val="26"/>
          <w:szCs w:val="26"/>
          <w:lang w:val="es-ES" w:eastAsia="en-US"/>
        </w:rPr>
      </w:pPr>
      <w:r w:rsidRPr="000D6E80">
        <w:rPr>
          <w:rFonts w:eastAsia="Calibri"/>
          <w:sz w:val="26"/>
          <w:szCs w:val="26"/>
          <w:lang w:val="es-ES" w:eastAsia="en-US"/>
        </w:rPr>
        <w:t>En resumen, la situación del tipo de cambio del euro con el dólar es consecuencia de las diferentes políticas monetarias de sus bancos centrales. Mientras el BCE hace una política monetaria expansiva (comprando deuda a todo trapo) la Reserva Federal amenaza con recoger velas y hacer una política monetaria más restrictiva pero sin dejar claro cuándo lo hará en un futuro. Mientras tanto, se podría llegar a la paridad (un dólar igual a un euro). Goldman Sachs redujo el 15 de marzo su pronóstico para el euro, estimando que la moneda europea se depreciará todavía más hasta desplomarse a un mínimo histórico de 0.80 dólares por un euro en 2017. Una aventurada predicción. Parece más probable que la economía de Estados Unidos de Norteamérica con un dólar fuerte poco a poco se irá debilitando y en cambio la economía europea, con un euro débil, crecerá cada vez más. Esta convergencia en el crecimiento entre Estados Unidos de Norteamérica y Europa tenderá a depreciar el dólar y a apreciar el euro. Al final lo probable es que a largo plazo las políticas monetarias de los dos bancos centrales tiendan a acompasarse y que el tipo de cambio se mueva en la zona de 1.20 dólares/euro.</w:t>
      </w:r>
    </w:p>
    <w:p w14:paraId="18820142" w14:textId="77777777" w:rsidR="000D6E80" w:rsidRPr="000D6E80" w:rsidRDefault="000D6E80" w:rsidP="000D6E80">
      <w:pPr>
        <w:ind w:right="-159"/>
        <w:jc w:val="both"/>
        <w:rPr>
          <w:rFonts w:eastAsia="Calibri"/>
          <w:b/>
          <w:sz w:val="20"/>
          <w:szCs w:val="20"/>
          <w:lang w:val="es-ES" w:eastAsia="en-US"/>
        </w:rPr>
      </w:pPr>
      <w:r w:rsidRPr="000D6E80">
        <w:rPr>
          <w:rFonts w:eastAsia="Calibri"/>
          <w:b/>
          <w:sz w:val="20"/>
          <w:szCs w:val="20"/>
          <w:lang w:val="es-ES" w:eastAsia="en-US"/>
        </w:rPr>
        <w:t>Fuente de información:</w:t>
      </w:r>
    </w:p>
    <w:p w14:paraId="4E770336" w14:textId="77777777" w:rsidR="000D6E80" w:rsidRPr="00247FB0" w:rsidRDefault="0093224F" w:rsidP="000D6E80">
      <w:pPr>
        <w:ind w:right="-159"/>
        <w:jc w:val="both"/>
        <w:rPr>
          <w:rFonts w:eastAsia="Calibri"/>
          <w:color w:val="0000FF"/>
          <w:sz w:val="20"/>
          <w:szCs w:val="20"/>
          <w:lang w:val="es-ES" w:eastAsia="en-US"/>
        </w:rPr>
      </w:pPr>
      <w:hyperlink r:id="rId450" w:history="1">
        <w:r w:rsidR="000D6E80" w:rsidRPr="00247FB0">
          <w:rPr>
            <w:rFonts w:eastAsia="Calibri"/>
            <w:color w:val="0000FF"/>
            <w:sz w:val="20"/>
            <w:szCs w:val="20"/>
            <w:u w:val="single"/>
            <w:lang w:val="es-ES" w:eastAsia="en-US"/>
          </w:rPr>
          <w:t>http://economy.blogs.ie.edu/archives/2015/03/la-depreciacion-del-euro-anima-la-economia-europea.php</w:t>
        </w:r>
      </w:hyperlink>
    </w:p>
    <w:p w14:paraId="0D13F1EE" w14:textId="77777777" w:rsidR="003757CD" w:rsidRDefault="003757CD" w:rsidP="00627BC6">
      <w:pPr>
        <w:spacing w:after="360" w:line="360" w:lineRule="auto"/>
        <w:rPr>
          <w:rFonts w:eastAsia="Calibri"/>
          <w:sz w:val="26"/>
          <w:szCs w:val="26"/>
          <w:lang w:eastAsia="en-US"/>
        </w:rPr>
      </w:pPr>
    </w:p>
    <w:p w14:paraId="613390BD" w14:textId="77777777" w:rsidR="000D6E80" w:rsidRPr="00343A56" w:rsidRDefault="000D6E80" w:rsidP="000D6E80">
      <w:pPr>
        <w:spacing w:after="360" w:line="360" w:lineRule="auto"/>
        <w:ind w:right="-159"/>
        <w:jc w:val="both"/>
        <w:rPr>
          <w:rFonts w:eastAsia="Calibri"/>
          <w:b/>
          <w:sz w:val="26"/>
          <w:szCs w:val="26"/>
          <w:lang w:eastAsia="en-US"/>
        </w:rPr>
      </w:pPr>
      <w:r w:rsidRPr="00343A56">
        <w:rPr>
          <w:rFonts w:eastAsia="Calibri"/>
          <w:b/>
          <w:sz w:val="26"/>
          <w:szCs w:val="26"/>
          <w:lang w:eastAsia="en-US"/>
        </w:rPr>
        <w:lastRenderedPageBreak/>
        <w:t>Divisas en el punto de mira (BBVA Research)</w:t>
      </w:r>
    </w:p>
    <w:p w14:paraId="12447E60" w14:textId="77777777" w:rsidR="000D6E80" w:rsidRPr="00343A56" w:rsidRDefault="000D6E80" w:rsidP="000D6E80">
      <w:pPr>
        <w:spacing w:after="360" w:line="360" w:lineRule="auto"/>
        <w:ind w:right="-159"/>
        <w:jc w:val="both"/>
        <w:rPr>
          <w:rFonts w:eastAsia="Calibri"/>
          <w:sz w:val="26"/>
          <w:szCs w:val="26"/>
          <w:lang w:val="es-ES" w:eastAsia="en-US"/>
        </w:rPr>
      </w:pPr>
      <w:r w:rsidRPr="00343A56">
        <w:rPr>
          <w:rFonts w:eastAsia="Calibri"/>
          <w:sz w:val="26"/>
          <w:szCs w:val="26"/>
          <w:lang w:val="es-ES" w:eastAsia="en-US"/>
        </w:rPr>
        <w:t>El 16 de marzo de 2015, la sección de estudios económicos de BBVA Research dio a conocer el artículo de prensa “Divisas en el punto de mira” que se presenta a continuación.</w:t>
      </w:r>
    </w:p>
    <w:p w14:paraId="68B0E8F0" w14:textId="77777777" w:rsidR="000D6E80" w:rsidRPr="00343A56" w:rsidRDefault="000D6E80" w:rsidP="000D6E80">
      <w:pPr>
        <w:spacing w:after="360" w:line="360" w:lineRule="auto"/>
        <w:ind w:right="-159"/>
        <w:jc w:val="both"/>
        <w:rPr>
          <w:rFonts w:eastAsia="Calibri"/>
          <w:sz w:val="26"/>
          <w:szCs w:val="26"/>
          <w:lang w:val="es-ES" w:eastAsia="en-US"/>
        </w:rPr>
      </w:pPr>
      <w:r w:rsidRPr="00343A56">
        <w:rPr>
          <w:rFonts w:eastAsia="Calibri"/>
          <w:sz w:val="26"/>
          <w:szCs w:val="26"/>
          <w:lang w:val="es-ES" w:eastAsia="en-US"/>
        </w:rPr>
        <w:t>Desde el inicio de la crisis financiera, asistimos a movimientos abruptos en los mercados financieros. Con permiso de la atención que lógicamente despierta estos días el mercado de deuda europea, donde se registran caídas récord de los tipos de interés, el foco está puesto en las divisas.</w:t>
      </w:r>
    </w:p>
    <w:p w14:paraId="65E524A3" w14:textId="77777777" w:rsidR="000D6E80" w:rsidRPr="00343A56" w:rsidRDefault="000D6E80" w:rsidP="000D6E80">
      <w:pPr>
        <w:spacing w:after="360" w:line="360" w:lineRule="auto"/>
        <w:ind w:right="-159"/>
        <w:jc w:val="both"/>
        <w:rPr>
          <w:rFonts w:eastAsia="Calibri"/>
          <w:sz w:val="26"/>
          <w:szCs w:val="26"/>
          <w:lang w:val="es-ES" w:eastAsia="en-US"/>
        </w:rPr>
      </w:pPr>
      <w:r w:rsidRPr="00343A56">
        <w:rPr>
          <w:rFonts w:eastAsia="Calibri"/>
          <w:sz w:val="26"/>
          <w:szCs w:val="26"/>
          <w:lang w:val="es-ES" w:eastAsia="en-US"/>
        </w:rPr>
        <w:t>Sólo en lo que va de año, el dólar americano ha subido un 10% frente a las principales divisas, y un 20% acumulado desde el pasado verano. La fortaleza del dólar se justifica por la combinación de una mejora de la economía americana (frente al resto de economías) y por la previsible alza de tipos de la Reserva Federal (frente a la relajación monetaria de muchos bancos centrales), pero reabre debates y plantea incertidumbres.</w:t>
      </w:r>
    </w:p>
    <w:p w14:paraId="22BB7F2C" w14:textId="77777777" w:rsidR="000D6E80" w:rsidRPr="00343A56" w:rsidRDefault="000D6E80" w:rsidP="000D6E80">
      <w:pPr>
        <w:spacing w:after="360" w:line="360" w:lineRule="auto"/>
        <w:ind w:right="-159"/>
        <w:jc w:val="both"/>
        <w:rPr>
          <w:rFonts w:eastAsia="Calibri"/>
          <w:sz w:val="26"/>
          <w:szCs w:val="26"/>
          <w:lang w:val="es-ES" w:eastAsia="en-US"/>
        </w:rPr>
      </w:pPr>
      <w:r w:rsidRPr="00343A56">
        <w:rPr>
          <w:rFonts w:eastAsia="Calibri"/>
          <w:sz w:val="26"/>
          <w:szCs w:val="26"/>
          <w:lang w:val="es-ES" w:eastAsia="en-US"/>
        </w:rPr>
        <w:t>El debate de la “guerra de divisas” (devaluación competitiva del tipo de cambio) puede reaparecer en un entorno en el que muchos bancos centrales siguen flexibilizando la política monetaria y, particularmente, el Banco Central Europeo (BCE) pone en marcha el programa de compra de bonos. Cuando los tipos de intervención han alcanzado el suelo y los tipos de largo plazo agotan su margen de caída, la depreciación del tipo de cambio se convierte en un mecanismo importante de transmisión de la política monetaria. Es evidente que la depreciación del euro ha sido uno de los efectos secundarios más visibles de programa de compras del BCE. De momento, este debate no ha trascendido a la arena pública. No en vano, el BCE no está haciendo nada que la Reserva Federal no hiciera previamente, siempre con el objetivo de reducir las presiones desinflacionistas. No obstante, existe el riesgo de que este tema emerja y, eventualmente, acabe desencadenando la adopción de medidas que pongan freno a los intercambios comerciales.</w:t>
      </w:r>
    </w:p>
    <w:p w14:paraId="0E0A7B6D" w14:textId="77777777" w:rsidR="000D6E80" w:rsidRPr="00343A56" w:rsidRDefault="000D6E80" w:rsidP="000D6E80">
      <w:pPr>
        <w:spacing w:after="360" w:line="360" w:lineRule="auto"/>
        <w:ind w:right="-159"/>
        <w:jc w:val="both"/>
        <w:rPr>
          <w:rFonts w:eastAsia="Calibri"/>
          <w:sz w:val="26"/>
          <w:szCs w:val="26"/>
          <w:lang w:val="es-ES" w:eastAsia="en-US"/>
        </w:rPr>
      </w:pPr>
      <w:r w:rsidRPr="00343A56">
        <w:rPr>
          <w:rFonts w:eastAsia="Calibri"/>
          <w:sz w:val="26"/>
          <w:szCs w:val="26"/>
          <w:lang w:val="es-ES" w:eastAsia="en-US"/>
        </w:rPr>
        <w:lastRenderedPageBreak/>
        <w:t>La preocupación más inmediata está en otros frentes. Desde una perspectiva histórica, los niveles no son tan elevados. El dólar todavía tendría recorrido para alcanzar a su nivel de finales de los noventa, un 20% adicional antes de tocar el nivel previo al pinchazo de las puntocom (y un 60% adicional antes de tocar el nivel de mediados de los ochenta que desencadenó los famosos Acuerdos del Plaza). Sin embargo, aunque los niveles no son extremos, la fortaleza del dólar preocupa por lo rápido y abrupto del movimiento, así como por la incertidumbre (volatilidad) que está generando en el mercado de divisas. Los movimientos desordenados del tipo de cambio complican enormemente las estrategias de cobertura de empresas internacionales. Es más, potencialmente pueden afectar muy negativamente a sus resultados. Igualmente, la apreciación del dólar, unida a la previsible alza de tipos de interés en Estados Unidos de Norteamérica, elevará significativamente el servicio de la deuda de muchos emisores que se han endeudado en dólares en los últimos años aprovechando la elevada liquidez y los bajos tipos de interés. Es más, desde un punto de vista macroeconómico, la apreciación del dólar terminará pasando factura al crecimiento de la economía norteamericana (en mayor o menor medida) y puede dar lugar a presiones inflacionistas en aquellas economías emergentes donde la depreciación cambiaria sea mayor.</w:t>
      </w:r>
    </w:p>
    <w:p w14:paraId="432DC02A" w14:textId="77777777" w:rsidR="000D6E80" w:rsidRPr="00343A56" w:rsidRDefault="000D6E80" w:rsidP="000D6E80">
      <w:pPr>
        <w:spacing w:after="360" w:line="360" w:lineRule="auto"/>
        <w:ind w:right="-159"/>
        <w:jc w:val="both"/>
        <w:rPr>
          <w:rFonts w:eastAsia="Calibri"/>
          <w:sz w:val="26"/>
          <w:szCs w:val="26"/>
          <w:lang w:val="es-ES" w:eastAsia="en-US"/>
        </w:rPr>
      </w:pPr>
      <w:r w:rsidRPr="00343A56">
        <w:rPr>
          <w:rFonts w:eastAsia="Calibri"/>
          <w:sz w:val="26"/>
          <w:szCs w:val="26"/>
          <w:lang w:val="es-ES" w:eastAsia="en-US"/>
        </w:rPr>
        <w:t>El gran interrogante es cuánto recorrido tiene el dólar y cómo afectará a la economía americana y resto de economías. Con decisiones claves por venir (Reserva Federal) y riesgos todavía latentes, la incertidumbre es máxima.</w:t>
      </w:r>
    </w:p>
    <w:p w14:paraId="4D31F49B" w14:textId="77777777" w:rsidR="000D6E80" w:rsidRPr="00343A56" w:rsidRDefault="000D6E80" w:rsidP="000D6E80">
      <w:pPr>
        <w:spacing w:before="360"/>
        <w:ind w:right="-159"/>
        <w:jc w:val="both"/>
        <w:rPr>
          <w:rFonts w:eastAsia="Calibri"/>
          <w:b/>
          <w:sz w:val="20"/>
          <w:szCs w:val="20"/>
          <w:lang w:val="es-ES" w:eastAsia="en-US"/>
        </w:rPr>
      </w:pPr>
      <w:r w:rsidRPr="00343A56">
        <w:rPr>
          <w:rFonts w:eastAsia="Calibri"/>
          <w:b/>
          <w:sz w:val="20"/>
          <w:szCs w:val="20"/>
          <w:lang w:val="es-ES" w:eastAsia="en-US"/>
        </w:rPr>
        <w:t>Fuente de información:</w:t>
      </w:r>
    </w:p>
    <w:p w14:paraId="1081C6FD" w14:textId="77777777" w:rsidR="000D6E80" w:rsidRPr="00247FB0" w:rsidRDefault="0093224F" w:rsidP="00247FB0">
      <w:pPr>
        <w:spacing w:after="720"/>
        <w:ind w:right="-159"/>
        <w:jc w:val="both"/>
        <w:rPr>
          <w:rFonts w:eastAsia="Calibri"/>
          <w:color w:val="0000FF"/>
          <w:sz w:val="20"/>
          <w:szCs w:val="20"/>
          <w:lang w:eastAsia="en-US"/>
        </w:rPr>
      </w:pPr>
      <w:hyperlink r:id="rId451" w:history="1">
        <w:r w:rsidR="000D6E80" w:rsidRPr="00247FB0">
          <w:rPr>
            <w:rFonts w:eastAsia="Calibri"/>
            <w:color w:val="0000FF"/>
            <w:sz w:val="20"/>
            <w:szCs w:val="20"/>
            <w:u w:val="single"/>
            <w:lang w:eastAsia="en-US"/>
          </w:rPr>
          <w:t>https://www.bbvaresearch.com/wp-content/uploads/pdf/67403_68394.pdf</w:t>
        </w:r>
      </w:hyperlink>
    </w:p>
    <w:p w14:paraId="0E2F08AB" w14:textId="77777777" w:rsidR="004A4719" w:rsidRPr="004A4719" w:rsidRDefault="004A4719" w:rsidP="004A4719">
      <w:pPr>
        <w:spacing w:after="360"/>
        <w:ind w:right="-159"/>
        <w:jc w:val="both"/>
        <w:rPr>
          <w:rFonts w:eastAsia="Calibri"/>
          <w:b/>
          <w:sz w:val="26"/>
          <w:szCs w:val="26"/>
          <w:lang w:eastAsia="en-US"/>
        </w:rPr>
      </w:pPr>
      <w:r w:rsidRPr="004A4719">
        <w:rPr>
          <w:rFonts w:eastAsia="Calibri"/>
          <w:b/>
          <w:sz w:val="26"/>
          <w:szCs w:val="26"/>
          <w:lang w:eastAsia="en-US"/>
        </w:rPr>
        <w:t>Observatorio Económico Latinoamérica (BBVA Research)</w:t>
      </w:r>
    </w:p>
    <w:p w14:paraId="3D6C427E" w14:textId="77777777" w:rsidR="004A4719" w:rsidRPr="004A4719" w:rsidRDefault="004A4719" w:rsidP="004A4719">
      <w:pPr>
        <w:spacing w:after="360" w:line="360" w:lineRule="auto"/>
        <w:ind w:right="-159"/>
        <w:jc w:val="both"/>
        <w:rPr>
          <w:rFonts w:eastAsia="Calibri"/>
          <w:sz w:val="26"/>
          <w:szCs w:val="26"/>
          <w:lang w:val="es-ES" w:eastAsia="en-US"/>
        </w:rPr>
      </w:pPr>
      <w:r w:rsidRPr="004A4719">
        <w:rPr>
          <w:rFonts w:eastAsia="Calibri"/>
          <w:sz w:val="26"/>
          <w:szCs w:val="26"/>
          <w:lang w:val="es-ES" w:eastAsia="en-US"/>
        </w:rPr>
        <w:t>El 9 de marzo de 2015, la sección de estudios económicos de BBVA Research dio a conocer la publicación “Riesgo limitado de los descalces cambiarios en el sector corporativo en América Latina”. A continuación se presenta el contenido.</w:t>
      </w:r>
    </w:p>
    <w:p w14:paraId="7D3FA25A" w14:textId="77777777" w:rsidR="004A4719" w:rsidRPr="004A4719" w:rsidRDefault="004A4719" w:rsidP="004A4719">
      <w:pPr>
        <w:spacing w:after="360" w:line="360" w:lineRule="auto"/>
        <w:ind w:right="-159"/>
        <w:jc w:val="both"/>
        <w:rPr>
          <w:rFonts w:eastAsia="Calibri"/>
          <w:sz w:val="26"/>
          <w:szCs w:val="26"/>
          <w:lang w:val="es-ES" w:eastAsia="en-US"/>
        </w:rPr>
      </w:pPr>
      <w:r w:rsidRPr="004A4719">
        <w:rPr>
          <w:rFonts w:eastAsia="Calibri"/>
          <w:sz w:val="26"/>
          <w:szCs w:val="26"/>
          <w:lang w:val="es-ES" w:eastAsia="en-US"/>
        </w:rPr>
        <w:lastRenderedPageBreak/>
        <w:t>En un escenario de tipos de cambio apreciados y abundante liquidez en el mercado internacional después de la crisis financiera de 2008, los países emergentes, incluyendo los latinoamericanos, intensificaron las captaciones de recursos en el mercado externo, especialmente por parte del sector corporativo no financiero</w:t>
      </w:r>
      <w:r w:rsidRPr="004A4719">
        <w:rPr>
          <w:rFonts w:eastAsia="Calibri"/>
          <w:sz w:val="26"/>
          <w:szCs w:val="26"/>
          <w:vertAlign w:val="superscript"/>
          <w:lang w:val="es-ES" w:eastAsia="en-US"/>
        </w:rPr>
        <w:footnoteReference w:id="124"/>
      </w:r>
      <w:r w:rsidRPr="004A4719">
        <w:rPr>
          <w:rFonts w:eastAsia="Calibri"/>
          <w:sz w:val="26"/>
          <w:szCs w:val="26"/>
          <w:lang w:val="es-ES" w:eastAsia="en-US"/>
        </w:rPr>
        <w:t>.</w:t>
      </w:r>
    </w:p>
    <w:p w14:paraId="0D445AF2" w14:textId="77777777" w:rsidR="004A4719" w:rsidRPr="004A4719" w:rsidRDefault="004A4719" w:rsidP="004A4719">
      <w:pPr>
        <w:spacing w:after="360" w:line="360" w:lineRule="auto"/>
        <w:ind w:right="-159"/>
        <w:jc w:val="both"/>
        <w:rPr>
          <w:rFonts w:eastAsia="Calibri"/>
          <w:sz w:val="26"/>
          <w:szCs w:val="26"/>
          <w:lang w:val="es-ES" w:eastAsia="en-US"/>
        </w:rPr>
      </w:pPr>
      <w:r w:rsidRPr="004A4719">
        <w:rPr>
          <w:rFonts w:eastAsia="Calibri"/>
          <w:sz w:val="26"/>
          <w:szCs w:val="26"/>
          <w:lang w:val="es-ES" w:eastAsia="en-US"/>
        </w:rPr>
        <w:t>El riesgo y, en consecuencia, la preocupación con respecto a un posible descalce cambiario del sector corporativo es mayor en momentos como el actual</w:t>
      </w:r>
      <w:r w:rsidRPr="004A4719">
        <w:rPr>
          <w:rFonts w:eastAsia="Calibri"/>
          <w:sz w:val="26"/>
          <w:szCs w:val="26"/>
          <w:vertAlign w:val="superscript"/>
          <w:lang w:val="es-ES" w:eastAsia="en-US"/>
        </w:rPr>
        <w:footnoteReference w:id="125"/>
      </w:r>
      <w:r w:rsidRPr="004A4719">
        <w:rPr>
          <w:rFonts w:eastAsia="Calibri"/>
          <w:sz w:val="26"/>
          <w:szCs w:val="26"/>
          <w:vertAlign w:val="superscript"/>
          <w:lang w:val="es-ES" w:eastAsia="en-US"/>
        </w:rPr>
        <w:t>,</w:t>
      </w:r>
      <w:r w:rsidRPr="004A4719">
        <w:rPr>
          <w:rFonts w:eastAsia="Calibri"/>
          <w:sz w:val="26"/>
          <w:szCs w:val="26"/>
          <w:vertAlign w:val="superscript"/>
          <w:lang w:val="es-ES" w:eastAsia="en-US"/>
        </w:rPr>
        <w:footnoteReference w:id="126"/>
      </w:r>
      <w:r w:rsidRPr="004A4719">
        <w:rPr>
          <w:rFonts w:eastAsia="Calibri"/>
          <w:sz w:val="26"/>
          <w:szCs w:val="26"/>
          <w:lang w:val="es-ES" w:eastAsia="en-US"/>
        </w:rPr>
        <w:t>, en el que el debilitamiento del precio de las materias primas y las perspectivas de normalización de la política monetaria en Estados Unidos de Norteamérica aumentan las presiones sobre los tipos de cambio de los países de América Latina. A esto se une que existe mucho menos información disponible sobre la situación patrimonial y la exposición en moneda extranjera para el sector privado no corporativo que, por ejemplo, para el estado o para el sistema financiero.</w:t>
      </w:r>
    </w:p>
    <w:p w14:paraId="1DD2132C" w14:textId="77777777" w:rsidR="004A4719" w:rsidRDefault="004A4719" w:rsidP="004A4719">
      <w:pPr>
        <w:spacing w:after="360" w:line="360" w:lineRule="auto"/>
        <w:ind w:right="-159"/>
        <w:jc w:val="both"/>
        <w:rPr>
          <w:rFonts w:eastAsia="Calibri"/>
          <w:sz w:val="26"/>
          <w:szCs w:val="26"/>
          <w:lang w:val="es-ES" w:eastAsia="en-US"/>
        </w:rPr>
      </w:pPr>
      <w:r w:rsidRPr="004A4719">
        <w:rPr>
          <w:rFonts w:eastAsia="Calibri"/>
          <w:sz w:val="26"/>
          <w:szCs w:val="26"/>
          <w:lang w:val="es-ES" w:eastAsia="en-US"/>
        </w:rPr>
        <w:t xml:space="preserve">En todo caso, es preciso remarcar que hay cuatro factores que deben atenuar el impacto de una depreciación cambiaria: </w:t>
      </w:r>
    </w:p>
    <w:p w14:paraId="3675CDC6" w14:textId="35847C47" w:rsidR="004A4719" w:rsidRPr="004A4719" w:rsidRDefault="004A4719" w:rsidP="00276F3E">
      <w:pPr>
        <w:pStyle w:val="Prrafodelista"/>
        <w:numPr>
          <w:ilvl w:val="0"/>
          <w:numId w:val="93"/>
        </w:numPr>
        <w:spacing w:after="360" w:line="360" w:lineRule="auto"/>
        <w:ind w:right="-159"/>
        <w:jc w:val="both"/>
        <w:rPr>
          <w:rFonts w:ascii="Times New Roman" w:eastAsia="Calibri" w:hAnsi="Times New Roman" w:cs="Times New Roman"/>
          <w:sz w:val="26"/>
          <w:szCs w:val="26"/>
          <w:lang w:val="es-ES" w:eastAsia="en-US"/>
        </w:rPr>
      </w:pPr>
      <w:r w:rsidRPr="004A4719">
        <w:rPr>
          <w:rFonts w:ascii="Times New Roman" w:eastAsia="Calibri" w:hAnsi="Times New Roman" w:cs="Times New Roman"/>
          <w:sz w:val="26"/>
          <w:szCs w:val="26"/>
          <w:lang w:val="es-ES" w:eastAsia="en-US"/>
        </w:rPr>
        <w:t xml:space="preserve">la depreciación actual, de modo distinto de la observada en 2008, ha sido patente desde hace algún tiempo, permitiendo que las empresas se preparasen para ella; </w:t>
      </w:r>
    </w:p>
    <w:p w14:paraId="2F700866" w14:textId="6843A087" w:rsidR="004A4719" w:rsidRPr="004A4719" w:rsidRDefault="004A4719" w:rsidP="00276F3E">
      <w:pPr>
        <w:pStyle w:val="Prrafodelista"/>
        <w:numPr>
          <w:ilvl w:val="0"/>
          <w:numId w:val="93"/>
        </w:numPr>
        <w:spacing w:after="360" w:line="360" w:lineRule="auto"/>
        <w:ind w:right="-159"/>
        <w:jc w:val="both"/>
        <w:rPr>
          <w:rFonts w:ascii="Times New Roman" w:eastAsia="Calibri" w:hAnsi="Times New Roman" w:cs="Times New Roman"/>
          <w:sz w:val="26"/>
          <w:szCs w:val="26"/>
          <w:lang w:val="es-ES" w:eastAsia="en-US"/>
        </w:rPr>
      </w:pPr>
      <w:r w:rsidRPr="004A4719">
        <w:rPr>
          <w:rFonts w:ascii="Times New Roman" w:eastAsia="Calibri" w:hAnsi="Times New Roman" w:cs="Times New Roman"/>
          <w:sz w:val="26"/>
          <w:szCs w:val="26"/>
          <w:lang w:val="es-ES" w:eastAsia="en-US"/>
        </w:rPr>
        <w:t xml:space="preserve">los países han podido aprender de lo ocurrido de 2008 y en algunos casos —en particular en México y Brasil donde el sector corporativo sintió con más fuerza el impacto de la crisis de Lehman Brothers por su exposición en moneda extranjera— se han hecho cambios regulatorios para reducir el riesgo de un descalce cambiario importante; </w:t>
      </w:r>
    </w:p>
    <w:p w14:paraId="4CDB7EAB" w14:textId="04F5D829" w:rsidR="004A4719" w:rsidRPr="004A4719" w:rsidRDefault="004A4719" w:rsidP="00276F3E">
      <w:pPr>
        <w:pStyle w:val="Prrafodelista"/>
        <w:numPr>
          <w:ilvl w:val="0"/>
          <w:numId w:val="93"/>
        </w:numPr>
        <w:spacing w:after="360" w:line="360" w:lineRule="auto"/>
        <w:ind w:right="-159"/>
        <w:jc w:val="both"/>
        <w:rPr>
          <w:rFonts w:ascii="Times New Roman" w:eastAsia="Calibri" w:hAnsi="Times New Roman" w:cs="Times New Roman"/>
          <w:sz w:val="26"/>
          <w:szCs w:val="26"/>
          <w:lang w:val="es-ES" w:eastAsia="en-US"/>
        </w:rPr>
      </w:pPr>
      <w:r w:rsidRPr="004A4719">
        <w:rPr>
          <w:rFonts w:ascii="Times New Roman" w:eastAsia="Calibri" w:hAnsi="Times New Roman" w:cs="Times New Roman"/>
          <w:sz w:val="26"/>
          <w:szCs w:val="26"/>
          <w:lang w:val="es-ES" w:eastAsia="en-US"/>
        </w:rPr>
        <w:lastRenderedPageBreak/>
        <w:t xml:space="preserve">las economías de la región cuentan con significativa liquidez en moneda extranjera a consecuencia de la acumulación de reservas en los últimos años, que podría ser direccionada para el sector privado en caso de necesidad (así como se hizo en algunos casos en el 2008-2009 e incluso como ya se está haciendo actualmente en algunos países); y </w:t>
      </w:r>
    </w:p>
    <w:p w14:paraId="1261C052" w14:textId="1BA57791" w:rsidR="004A4719" w:rsidRPr="004A4719" w:rsidRDefault="004A4719" w:rsidP="00276F3E">
      <w:pPr>
        <w:pStyle w:val="Prrafodelista"/>
        <w:numPr>
          <w:ilvl w:val="0"/>
          <w:numId w:val="93"/>
        </w:numPr>
        <w:spacing w:after="360" w:line="360" w:lineRule="auto"/>
        <w:ind w:right="-159"/>
        <w:jc w:val="both"/>
        <w:rPr>
          <w:rFonts w:eastAsia="Calibri"/>
          <w:sz w:val="26"/>
          <w:szCs w:val="26"/>
          <w:lang w:val="es-ES" w:eastAsia="en-US"/>
        </w:rPr>
      </w:pPr>
      <w:r w:rsidRPr="004A4719">
        <w:rPr>
          <w:rFonts w:ascii="Times New Roman" w:eastAsia="Calibri" w:hAnsi="Times New Roman" w:cs="Times New Roman"/>
          <w:sz w:val="26"/>
          <w:szCs w:val="26"/>
          <w:lang w:val="es-ES" w:eastAsia="en-US"/>
        </w:rPr>
        <w:t>algunas de las empresas que han emitido obligaciones en moneda extranjera pueden tener una cobertura natural si sus ingresos están relacionados con el tipo de cambio, por ejemplo por ser exportadores o suministradores directos del sector exportador.</w:t>
      </w:r>
    </w:p>
    <w:p w14:paraId="4B1BCB6D" w14:textId="77777777" w:rsidR="004A4719" w:rsidRPr="004A4719" w:rsidRDefault="004A4719" w:rsidP="004A4719">
      <w:pPr>
        <w:spacing w:after="360" w:line="360" w:lineRule="auto"/>
        <w:ind w:right="-159"/>
        <w:jc w:val="both"/>
        <w:rPr>
          <w:rFonts w:eastAsia="Calibri"/>
          <w:sz w:val="26"/>
          <w:szCs w:val="26"/>
          <w:lang w:val="es-ES" w:eastAsia="en-US"/>
        </w:rPr>
      </w:pPr>
      <w:r w:rsidRPr="004A4719">
        <w:rPr>
          <w:rFonts w:eastAsia="Calibri"/>
          <w:sz w:val="26"/>
          <w:szCs w:val="26"/>
          <w:lang w:val="es-ES" w:eastAsia="en-US"/>
        </w:rPr>
        <w:t>¿Cuál es el grado de exposición del sector corporativo no financiero en América Latina a la variación del tipo de cambio? El presente observatorio recoge el resultado de estudios realizados por los bancos centrales de la región que han analizado el grado de descalce monetario de las empresas no financieras, permitiéndonos disponer de una visión general sobre la situación en la región.</w:t>
      </w:r>
    </w:p>
    <w:p w14:paraId="0457F2F0" w14:textId="77777777" w:rsidR="004A4719" w:rsidRPr="004A4719" w:rsidRDefault="004A4719" w:rsidP="004A4719">
      <w:pPr>
        <w:spacing w:after="360" w:line="360" w:lineRule="auto"/>
        <w:ind w:right="-159"/>
        <w:jc w:val="both"/>
        <w:rPr>
          <w:rFonts w:eastAsia="Calibri"/>
          <w:b/>
          <w:sz w:val="26"/>
          <w:szCs w:val="26"/>
          <w:lang w:val="es-ES" w:eastAsia="en-US"/>
        </w:rPr>
      </w:pPr>
      <w:r w:rsidRPr="004A4719">
        <w:rPr>
          <w:rFonts w:eastAsia="Calibri"/>
          <w:b/>
          <w:sz w:val="26"/>
          <w:szCs w:val="26"/>
          <w:lang w:val="es-ES" w:eastAsia="en-US"/>
        </w:rPr>
        <w:t>Argentina</w:t>
      </w:r>
    </w:p>
    <w:p w14:paraId="3D0F889A" w14:textId="33CA1907" w:rsidR="004A4719" w:rsidRPr="004A4719" w:rsidRDefault="004A4719" w:rsidP="004A4719">
      <w:pPr>
        <w:spacing w:after="360" w:line="360" w:lineRule="auto"/>
        <w:ind w:right="-159"/>
        <w:jc w:val="both"/>
        <w:rPr>
          <w:rFonts w:eastAsia="Calibri"/>
          <w:sz w:val="26"/>
          <w:szCs w:val="26"/>
          <w:lang w:val="es-ES" w:eastAsia="en-US"/>
        </w:rPr>
      </w:pPr>
      <w:r w:rsidRPr="004A4719">
        <w:rPr>
          <w:rFonts w:eastAsia="Calibri"/>
          <w:sz w:val="26"/>
          <w:szCs w:val="26"/>
          <w:lang w:val="es-ES" w:eastAsia="en-US"/>
        </w:rPr>
        <w:t xml:space="preserve">Tras el traumático derrumbe del régimen de convertibilidad a fines de 2001 e inicio de 2002 y el consecuente aprendizaje sobre el riesgo de un descalce monetario, la deuda externa del sector privado argentino se fue reduciendo paulatinamente hasta el 12.4% del Producto Interno Bruto (PIB) en el segundo trimestre de 2014, desde el 31% del PIB al cierre de 2001. Este valor no sólo es bajo, sino que además: (i) El 50.3% de esa deuda es de empresas pertenecientes a diversos sectores transables (industria, minería y agricultura, entre otros), que tienen buena parte de sus ingresos en divisas, lo que les otorga una cobertura natural; (ii) El 43% de esa deuda externa del sector privado es con empresas del mismo grupo, que muy probablemente se refinanciarían sin mayores problemas en el caso de un episodio de depreciación cambiaria. Así, sólo una pequeña parte de la de deuda externa privada en divisas está sujeta a un riesgo de descalce de </w:t>
      </w:r>
      <w:r w:rsidRPr="004A4719">
        <w:rPr>
          <w:rFonts w:eastAsia="Calibri"/>
          <w:sz w:val="26"/>
          <w:szCs w:val="26"/>
          <w:lang w:val="es-ES" w:eastAsia="en-US"/>
        </w:rPr>
        <w:lastRenderedPageBreak/>
        <w:t xml:space="preserve">monedas relevante. En cuanto a la deuda en dólares dentro del sistema financiero local, ésta también se redujo desde 13.9% al cierre de 2002 hasta 0.7% del PIB en el segundo trimestre de 2014, con la salvedad adicional de que esos créditos en divisas son otorgados a firmas exportadoras (en un cambio de regulación del Banco Central de la República Argentina </w:t>
      </w:r>
      <w:r w:rsidR="00F8504C">
        <w:rPr>
          <w:rFonts w:eastAsia="Calibri"/>
          <w:sz w:val="26"/>
          <w:szCs w:val="26"/>
          <w:lang w:val="es-ES" w:eastAsia="en-US"/>
        </w:rPr>
        <w:t>(</w:t>
      </w:r>
      <w:r w:rsidRPr="004A4719">
        <w:rPr>
          <w:rFonts w:eastAsia="Calibri"/>
          <w:sz w:val="26"/>
          <w:szCs w:val="26"/>
          <w:lang w:val="es-ES" w:eastAsia="en-US"/>
        </w:rPr>
        <w:t>BCRA) tras la crisis de la convertibilidad), con lo cual el riesgo de descalce de monedas es más bajo.</w:t>
      </w:r>
    </w:p>
    <w:p w14:paraId="17F84441" w14:textId="77777777" w:rsidR="004A4719" w:rsidRPr="004A4719" w:rsidRDefault="004A4719" w:rsidP="004A4719">
      <w:pPr>
        <w:spacing w:after="360" w:line="360" w:lineRule="auto"/>
        <w:ind w:right="-159"/>
        <w:jc w:val="both"/>
        <w:rPr>
          <w:rFonts w:eastAsia="Calibri"/>
          <w:b/>
          <w:sz w:val="26"/>
          <w:szCs w:val="26"/>
          <w:lang w:val="es-ES" w:eastAsia="en-US"/>
        </w:rPr>
      </w:pPr>
      <w:r w:rsidRPr="004A4719">
        <w:rPr>
          <w:rFonts w:eastAsia="Calibri"/>
          <w:b/>
          <w:sz w:val="26"/>
          <w:szCs w:val="26"/>
          <w:lang w:val="es-ES" w:eastAsia="en-US"/>
        </w:rPr>
        <w:t>Brasil</w:t>
      </w:r>
    </w:p>
    <w:p w14:paraId="2A5F2FF5" w14:textId="77777777" w:rsidR="004A4719" w:rsidRPr="004A4719" w:rsidRDefault="004A4719" w:rsidP="004A4719">
      <w:pPr>
        <w:spacing w:after="360" w:line="360" w:lineRule="auto"/>
        <w:ind w:right="-159"/>
        <w:jc w:val="both"/>
        <w:rPr>
          <w:rFonts w:eastAsia="Calibri"/>
          <w:sz w:val="26"/>
          <w:szCs w:val="26"/>
          <w:lang w:val="es-ES" w:eastAsia="en-US"/>
        </w:rPr>
      </w:pPr>
      <w:r w:rsidRPr="004A4719">
        <w:rPr>
          <w:rFonts w:eastAsia="Calibri"/>
          <w:sz w:val="26"/>
          <w:szCs w:val="26"/>
          <w:lang w:val="es-ES" w:eastAsia="en-US"/>
        </w:rPr>
        <w:t>Según un estudio divulgado recientemente por el Banco Central de Brasil (BCB)</w:t>
      </w:r>
      <w:r w:rsidRPr="004A4719">
        <w:rPr>
          <w:rFonts w:eastAsia="Calibri"/>
          <w:sz w:val="26"/>
          <w:szCs w:val="26"/>
          <w:vertAlign w:val="superscript"/>
          <w:lang w:val="es-ES" w:eastAsia="en-US"/>
        </w:rPr>
        <w:footnoteReference w:id="127"/>
      </w:r>
      <w:r w:rsidRPr="004A4719">
        <w:rPr>
          <w:rFonts w:eastAsia="Calibri"/>
          <w:sz w:val="26"/>
          <w:szCs w:val="26"/>
          <w:lang w:val="es-ES" w:eastAsia="en-US"/>
        </w:rPr>
        <w:t>, utilizando datos de acceso al crédito bancario, deuda externa, títulos de crédito y derivados cambiarios, la deuda corporativa total correspondía a 49.2% del PIB en 2014. De este monto, 17.1% del PIB estaba denominada en moneda extranjera, del cual un 6.1% del PIB corresponde a empresas exportadoras (que tienen una protección cambiaria natural, como se mencionó anteriormente), un 3.0% tiene protección cambiaria en los mercados locales, un 5.1% tiene su matriz o parte de sus activos en el exterior y sólo un 2.9% del PIB no tiene ningún tipo de protección cambiaria conocida. El estudio, por tanto, respalda la visión de que el problema de descalce cambiario está limitado en el país. A pesar de que las captaciones hechas por subsidiarias de empresas brasileñas en el exterior no están incluidas en los datos del BCB, la autoridad monetaria argumenta que no se trata de volúmenes significativos. Finalmente, tanto los requerimientos de mayor información sobre la tenencia de derivados cambiarios establecidos después de los problemas ocurridos con la depreciación del tipo de cambio en el 2008, como el programa de venta de swaps cambiarios por parte del Banco Central, iniciado en 2013, entre otras medidas, son factores que atenúan el impacto potencial de la depreciación del tipo de cambio.</w:t>
      </w:r>
    </w:p>
    <w:p w14:paraId="20BF8247" w14:textId="77777777" w:rsidR="004A4719" w:rsidRPr="004A4719" w:rsidRDefault="004A4719" w:rsidP="004A4719">
      <w:pPr>
        <w:spacing w:after="360" w:line="360" w:lineRule="auto"/>
        <w:ind w:right="-159"/>
        <w:jc w:val="both"/>
        <w:rPr>
          <w:rFonts w:eastAsia="Calibri"/>
          <w:b/>
          <w:sz w:val="26"/>
          <w:szCs w:val="26"/>
          <w:lang w:val="es-ES" w:eastAsia="en-US"/>
        </w:rPr>
      </w:pPr>
      <w:r w:rsidRPr="004A4719">
        <w:rPr>
          <w:rFonts w:eastAsia="Calibri"/>
          <w:b/>
          <w:sz w:val="26"/>
          <w:szCs w:val="26"/>
          <w:lang w:val="es-ES" w:eastAsia="en-US"/>
        </w:rPr>
        <w:lastRenderedPageBreak/>
        <w:t>Chile</w:t>
      </w:r>
    </w:p>
    <w:p w14:paraId="6DF5A113" w14:textId="77777777" w:rsidR="004A4719" w:rsidRPr="004A4719" w:rsidRDefault="004A4719" w:rsidP="004A4719">
      <w:pPr>
        <w:spacing w:after="360" w:line="360" w:lineRule="auto"/>
        <w:ind w:right="-159"/>
        <w:jc w:val="both"/>
        <w:rPr>
          <w:rFonts w:eastAsia="Calibri"/>
          <w:sz w:val="26"/>
          <w:szCs w:val="26"/>
          <w:lang w:val="es-ES" w:eastAsia="en-US"/>
        </w:rPr>
      </w:pPr>
      <w:r w:rsidRPr="004A4719">
        <w:rPr>
          <w:rFonts w:eastAsia="Calibri"/>
          <w:sz w:val="26"/>
          <w:szCs w:val="26"/>
          <w:lang w:val="es-ES" w:eastAsia="en-US"/>
        </w:rPr>
        <w:t>En Chile, un estudio del banco central</w:t>
      </w:r>
      <w:r w:rsidRPr="004A4719">
        <w:rPr>
          <w:rFonts w:eastAsia="Calibri"/>
          <w:sz w:val="26"/>
          <w:szCs w:val="26"/>
          <w:vertAlign w:val="superscript"/>
          <w:lang w:val="es-ES" w:eastAsia="en-US"/>
        </w:rPr>
        <w:footnoteReference w:id="128"/>
      </w:r>
      <w:r w:rsidRPr="004A4719">
        <w:rPr>
          <w:rFonts w:eastAsia="Calibri"/>
          <w:sz w:val="26"/>
          <w:szCs w:val="26"/>
          <w:lang w:val="es-ES" w:eastAsia="en-US"/>
        </w:rPr>
        <w:t xml:space="preserve"> pone de manifiesto la solidez de las empresas chilenas ante una posible depreciación. Según los datos proporcionados, el descalce cambiario —medido como los pasivos en dólares menos los activos en dólares, menos posición neta en derivados—, como porcentaje de los activos totales (promedio ponderado por activos) ha disminuido de un 1.8 a un 0.8 desde 2009 hasta 2013. Asimismo, la proporción de activos de las empresas con un porcentaje de descalce superior al 10%, medida como porcentaje de los activos totales, se ha reducido en un 60% en el período 2008-2013. Si bien las empresas han ido aumentando las emisiones de bonos externos en detrimento de los bonos locales desde mediados de 2013, éstos han ido acompañados generalmente por coberturas cambiarias. Así pues, para el caso de Chile el riesgo de descalce cambiario resulta limitado.</w:t>
      </w:r>
    </w:p>
    <w:p w14:paraId="03315A74" w14:textId="77777777" w:rsidR="004A4719" w:rsidRPr="004A4719" w:rsidRDefault="004A4719" w:rsidP="004A4719">
      <w:pPr>
        <w:spacing w:after="360" w:line="360" w:lineRule="auto"/>
        <w:ind w:right="-159"/>
        <w:jc w:val="both"/>
        <w:rPr>
          <w:rFonts w:eastAsia="Calibri"/>
          <w:b/>
          <w:sz w:val="26"/>
          <w:szCs w:val="26"/>
          <w:lang w:val="es-ES" w:eastAsia="en-US"/>
        </w:rPr>
      </w:pPr>
      <w:r w:rsidRPr="004A4719">
        <w:rPr>
          <w:rFonts w:eastAsia="Calibri"/>
          <w:b/>
          <w:sz w:val="26"/>
          <w:szCs w:val="26"/>
          <w:lang w:val="es-ES" w:eastAsia="en-US"/>
        </w:rPr>
        <w:t>Colombia</w:t>
      </w:r>
    </w:p>
    <w:p w14:paraId="1767D40F" w14:textId="77777777" w:rsidR="004A4719" w:rsidRPr="004A4719" w:rsidRDefault="004A4719" w:rsidP="004A4719">
      <w:pPr>
        <w:spacing w:after="360" w:line="360" w:lineRule="auto"/>
        <w:ind w:right="-159"/>
        <w:jc w:val="both"/>
        <w:rPr>
          <w:rFonts w:eastAsia="Calibri"/>
          <w:sz w:val="26"/>
          <w:szCs w:val="26"/>
          <w:lang w:val="es-ES" w:eastAsia="en-US"/>
        </w:rPr>
      </w:pPr>
      <w:r w:rsidRPr="004A4719">
        <w:rPr>
          <w:rFonts w:eastAsia="Calibri"/>
          <w:sz w:val="26"/>
          <w:szCs w:val="26"/>
          <w:lang w:val="es-ES" w:eastAsia="en-US"/>
        </w:rPr>
        <w:t>En el caso de Colombia, un estudio publicado recientemente por el Banco de la República</w:t>
      </w:r>
      <w:r w:rsidRPr="004A4719">
        <w:rPr>
          <w:rFonts w:eastAsia="Calibri"/>
          <w:sz w:val="26"/>
          <w:szCs w:val="26"/>
          <w:vertAlign w:val="superscript"/>
          <w:lang w:val="es-ES" w:eastAsia="en-US"/>
        </w:rPr>
        <w:footnoteReference w:id="129"/>
      </w:r>
      <w:r w:rsidRPr="004A4719">
        <w:rPr>
          <w:rFonts w:eastAsia="Calibri"/>
          <w:sz w:val="26"/>
          <w:szCs w:val="26"/>
          <w:lang w:val="es-ES" w:eastAsia="en-US"/>
        </w:rPr>
        <w:t xml:space="preserve"> apunta que el descalce cambiario ha ido en aumento para el período 2005-2012. El 28% de las obligaciones extranjeras, en promedio en dicho período, tenía coberturas cambiarias, aunque este valor puede estar subestimado ya que no se dispone de información de coberturas realizadas por las empresas colombianas con contrapartes del extranjero. Por otra parte, el 84% de la deuda en moneda extranjera se encuentra en empresas con capital extranjero, por lo que podrían verse menos afectadas por las variaciones en el tipo de cambio. Asimismo, cabe destacar que la información usada en este estudio no presenta el universo de empresas con obligaciones en moneda extranjera </w:t>
      </w:r>
      <w:r w:rsidRPr="004A4719">
        <w:rPr>
          <w:rFonts w:eastAsia="Calibri"/>
          <w:sz w:val="26"/>
          <w:szCs w:val="26"/>
          <w:lang w:val="es-ES" w:eastAsia="en-US"/>
        </w:rPr>
        <w:lastRenderedPageBreak/>
        <w:t>y, principalmente, los datos proporcionados corresponden al promedio del período 2005-2012 y no necesariamente representan la realidad actual.</w:t>
      </w:r>
    </w:p>
    <w:p w14:paraId="053EF49C" w14:textId="77777777" w:rsidR="004A4719" w:rsidRPr="004A4719" w:rsidRDefault="004A4719" w:rsidP="004A4719">
      <w:pPr>
        <w:spacing w:after="360" w:line="360" w:lineRule="auto"/>
        <w:ind w:right="-159"/>
        <w:jc w:val="both"/>
        <w:rPr>
          <w:rFonts w:eastAsia="Calibri"/>
          <w:b/>
          <w:sz w:val="26"/>
          <w:szCs w:val="26"/>
          <w:lang w:val="es-ES" w:eastAsia="en-US"/>
        </w:rPr>
      </w:pPr>
      <w:r w:rsidRPr="004A4719">
        <w:rPr>
          <w:rFonts w:eastAsia="Calibri"/>
          <w:b/>
          <w:sz w:val="26"/>
          <w:szCs w:val="26"/>
          <w:lang w:val="es-ES" w:eastAsia="en-US"/>
        </w:rPr>
        <w:t>México</w:t>
      </w:r>
    </w:p>
    <w:p w14:paraId="5B3AAEC8" w14:textId="77777777" w:rsidR="004A4719" w:rsidRDefault="004A4719" w:rsidP="004A4719">
      <w:pPr>
        <w:spacing w:after="360" w:line="360" w:lineRule="auto"/>
        <w:ind w:right="-159"/>
        <w:jc w:val="both"/>
        <w:rPr>
          <w:rFonts w:eastAsia="Calibri"/>
          <w:sz w:val="26"/>
          <w:szCs w:val="26"/>
          <w:lang w:val="es-ES" w:eastAsia="en-US"/>
        </w:rPr>
      </w:pPr>
      <w:r w:rsidRPr="004A4719">
        <w:rPr>
          <w:rFonts w:eastAsia="Calibri"/>
          <w:sz w:val="26"/>
          <w:szCs w:val="26"/>
          <w:lang w:val="es-ES" w:eastAsia="en-US"/>
        </w:rPr>
        <w:t>El Banco de México cuenta con un estudio</w:t>
      </w:r>
      <w:r w:rsidRPr="004A4719">
        <w:rPr>
          <w:rFonts w:eastAsia="Calibri"/>
          <w:sz w:val="26"/>
          <w:szCs w:val="26"/>
          <w:vertAlign w:val="superscript"/>
          <w:lang w:val="es-ES" w:eastAsia="en-US"/>
        </w:rPr>
        <w:footnoteReference w:id="130"/>
      </w:r>
      <w:r w:rsidRPr="004A4719">
        <w:rPr>
          <w:rFonts w:eastAsia="Calibri"/>
          <w:sz w:val="26"/>
          <w:szCs w:val="26"/>
          <w:lang w:val="es-ES" w:eastAsia="en-US"/>
        </w:rPr>
        <w:t xml:space="preserve"> realizado con información de las empresas que cotizan en la Bolsa Mexicana de Valores y que publican trimestralmente sus estados financieros. Estas empresas han emitido cerca del 88% del monto total de bonos colocados en el extranjero. Representa, por tanto, una parte muy significativa del universo relevante en este caso. El estudio concluye que, a nivel agregado, las pérdidas serían limitadas ante una depreciación cambiaria del 30%, pues equivaldrían a poco más del 15% del capital contable o sólo cerca del 5% teniendo en cuenta las coberturas que poseen las empresas. El impacto relativamente reducido de dicha depreciación tiene que ver con la significativa disminución de la exposición con opciones de tipo de cambio desde 2008. Además, las emisiones se han colocado a largo plazo y a tasa fija, por lo que las empresas no parecen haber incurrido en grandes riesgos de refinanciamiento y de tasa de interés. Resaltan, asimismo, los cambios regulatorios adoptados en los últimos años respecto al mercado de derivados, tanto a nivel nacional como internacional, que han ayudado a limitar los riesgos.</w:t>
      </w:r>
    </w:p>
    <w:p w14:paraId="75500BA4" w14:textId="77777777" w:rsidR="004A4719" w:rsidRPr="004A4719" w:rsidRDefault="004A4719" w:rsidP="004A4719">
      <w:pPr>
        <w:spacing w:after="360" w:line="360" w:lineRule="auto"/>
        <w:ind w:right="-159"/>
        <w:jc w:val="both"/>
        <w:rPr>
          <w:rFonts w:eastAsia="Calibri"/>
          <w:b/>
          <w:sz w:val="26"/>
          <w:szCs w:val="26"/>
          <w:lang w:val="es-ES" w:eastAsia="en-US"/>
        </w:rPr>
      </w:pPr>
      <w:r w:rsidRPr="004A4719">
        <w:rPr>
          <w:rFonts w:eastAsia="Calibri"/>
          <w:b/>
          <w:sz w:val="26"/>
          <w:szCs w:val="26"/>
          <w:lang w:val="es-ES" w:eastAsia="en-US"/>
        </w:rPr>
        <w:t>Perú</w:t>
      </w:r>
    </w:p>
    <w:p w14:paraId="1ADB7C61" w14:textId="4FC06B2E" w:rsidR="004A4719" w:rsidRPr="004A4719" w:rsidRDefault="004A4719" w:rsidP="004A4719">
      <w:pPr>
        <w:spacing w:after="360" w:line="360" w:lineRule="auto"/>
        <w:ind w:right="-159"/>
        <w:jc w:val="both"/>
        <w:rPr>
          <w:rFonts w:eastAsia="Calibri"/>
          <w:sz w:val="26"/>
          <w:szCs w:val="26"/>
          <w:lang w:val="es-ES" w:eastAsia="en-US"/>
        </w:rPr>
      </w:pPr>
      <w:r w:rsidRPr="004A4719">
        <w:rPr>
          <w:rFonts w:eastAsia="Calibri"/>
          <w:sz w:val="26"/>
          <w:szCs w:val="26"/>
          <w:lang w:val="es-ES" w:eastAsia="en-US"/>
        </w:rPr>
        <w:t>En el caso peruano, un estudio</w:t>
      </w:r>
      <w:r w:rsidRPr="004A4719">
        <w:rPr>
          <w:rFonts w:eastAsia="Calibri"/>
          <w:sz w:val="26"/>
          <w:szCs w:val="26"/>
          <w:vertAlign w:val="superscript"/>
          <w:lang w:val="es-ES" w:eastAsia="en-US"/>
        </w:rPr>
        <w:footnoteReference w:id="131"/>
      </w:r>
      <w:r w:rsidRPr="004A4719">
        <w:rPr>
          <w:rFonts w:eastAsia="Calibri"/>
          <w:sz w:val="26"/>
          <w:szCs w:val="26"/>
          <w:lang w:val="es-ES" w:eastAsia="en-US"/>
        </w:rPr>
        <w:t xml:space="preserve"> del Banco Central de Reserva del Perú (BCRP) para las empresas no financieras analiza un grupo de 84 empresas (cotizadas en la bolsa de valores de Lima) entre marzo de 2011 y diciembre de 2013. Para medir el riesgo de descalce utilizan como </w:t>
      </w:r>
      <w:r w:rsidRPr="004A4719">
        <w:rPr>
          <w:rFonts w:eastAsia="Calibri"/>
          <w:i/>
          <w:sz w:val="26"/>
          <w:szCs w:val="26"/>
          <w:lang w:val="es-ES" w:eastAsia="en-US"/>
        </w:rPr>
        <w:t>proxy</w:t>
      </w:r>
      <w:r w:rsidRPr="004A4719">
        <w:rPr>
          <w:rFonts w:eastAsia="Calibri"/>
          <w:sz w:val="26"/>
          <w:szCs w:val="26"/>
          <w:lang w:val="es-ES" w:eastAsia="en-US"/>
        </w:rPr>
        <w:t xml:space="preserve"> las ganancias o pérdidas generadas por las fluctuaciones del tipo de cambio. Los resultados muestran que estas empresas han presentado </w:t>
      </w:r>
      <w:r w:rsidRPr="004A4719">
        <w:rPr>
          <w:rFonts w:eastAsia="Calibri"/>
          <w:sz w:val="26"/>
          <w:szCs w:val="26"/>
          <w:lang w:val="es-ES" w:eastAsia="en-US"/>
        </w:rPr>
        <w:lastRenderedPageBreak/>
        <w:t xml:space="preserve">pérdidas significativas y crecientes en 2013, por un mayor endeudamiento en dólares, que trajo consigo elevadas pérdidas cambiarias. Finalmente, con respecto a los avances en el entorno regulatorio, a fines de 2012, la superintendencia de banca y seguros (SBS) estableció mayores requisitos de capital por exposición a riesgo crediticio cambiario y </w:t>
      </w:r>
      <w:r w:rsidRPr="004A4719">
        <w:rPr>
          <w:rFonts w:eastAsia="Calibri"/>
          <w:i/>
          <w:sz w:val="26"/>
          <w:szCs w:val="26"/>
          <w:lang w:val="es-ES" w:eastAsia="en-US"/>
        </w:rPr>
        <w:t>loan-to-values</w:t>
      </w:r>
      <w:r w:rsidRPr="004A4719">
        <w:rPr>
          <w:rFonts w:eastAsia="Calibri"/>
          <w:sz w:val="26"/>
          <w:szCs w:val="26"/>
          <w:lang w:val="es-ES" w:eastAsia="en-US"/>
        </w:rPr>
        <w:t xml:space="preserve"> referenciales más exigentes (más bajos) para créditos hipotecarios en dólares. Además, en 2013</w:t>
      </w:r>
      <w:r w:rsidR="00F8504C">
        <w:rPr>
          <w:rFonts w:eastAsia="Calibri"/>
          <w:sz w:val="26"/>
          <w:szCs w:val="26"/>
          <w:lang w:val="es-ES" w:eastAsia="en-US"/>
        </w:rPr>
        <w:t>,</w:t>
      </w:r>
      <w:r w:rsidRPr="004A4719">
        <w:rPr>
          <w:rFonts w:eastAsia="Calibri"/>
          <w:sz w:val="26"/>
          <w:szCs w:val="26"/>
          <w:lang w:val="es-ES" w:eastAsia="en-US"/>
        </w:rPr>
        <w:t xml:space="preserve"> el BCRP estableció un encaje adicional para las entidades financieras que excedan un límite fijado para la expansión de los créditos vehiculares e hipotecarios en dólares. Cabe agregar que a inicios de 2015, el BCRP endureció la medida anterior al establecer un requisito de encaje adicional que se aplicará a aquellas entidades financieras que no cumplan con reducir el saldo de sus créditos en dólares (excluyendo los de comercio exterior) en un 5% a junio y en un 10% hacia diciembre de este año.</w:t>
      </w:r>
    </w:p>
    <w:p w14:paraId="713F5AFE" w14:textId="77777777" w:rsidR="004A4719" w:rsidRPr="004A4719" w:rsidRDefault="004A4719" w:rsidP="004A4719">
      <w:pPr>
        <w:spacing w:after="360" w:line="360" w:lineRule="auto"/>
        <w:ind w:right="-159"/>
        <w:jc w:val="both"/>
        <w:rPr>
          <w:rFonts w:eastAsia="Calibri"/>
          <w:b/>
          <w:sz w:val="26"/>
          <w:szCs w:val="26"/>
          <w:lang w:val="es-ES" w:eastAsia="en-US"/>
        </w:rPr>
      </w:pPr>
      <w:r w:rsidRPr="004A4719">
        <w:rPr>
          <w:rFonts w:eastAsia="Calibri"/>
          <w:b/>
          <w:sz w:val="26"/>
          <w:szCs w:val="26"/>
          <w:lang w:val="es-ES" w:eastAsia="en-US"/>
        </w:rPr>
        <w:t>Conclusión</w:t>
      </w:r>
    </w:p>
    <w:p w14:paraId="2692C699" w14:textId="4151B934" w:rsidR="004A4719" w:rsidRPr="004A4719" w:rsidRDefault="004A4719" w:rsidP="004A4719">
      <w:pPr>
        <w:spacing w:after="360" w:line="360" w:lineRule="auto"/>
        <w:ind w:right="-159"/>
        <w:jc w:val="both"/>
        <w:rPr>
          <w:rFonts w:eastAsia="Calibri"/>
          <w:sz w:val="26"/>
          <w:szCs w:val="26"/>
          <w:lang w:val="es-ES" w:eastAsia="en-US"/>
        </w:rPr>
      </w:pPr>
      <w:r w:rsidRPr="004A4719">
        <w:rPr>
          <w:rFonts w:eastAsia="Calibri"/>
          <w:sz w:val="26"/>
          <w:szCs w:val="26"/>
          <w:lang w:val="es-ES" w:eastAsia="en-US"/>
        </w:rPr>
        <w:t xml:space="preserve">La información sobre el grado de exposición al tipo de cambio del sector corporativo no financiero es muy escasa en América Latina, así como en el resto de economías emergentes. Sin embargo, con base en estudios limitados por parte de los bancos centrales de la región se desprendería que los respectivos sectores corporativos están en la mayoría de los casos preparados para afrontar los costos de una fuerte depreciación del </w:t>
      </w:r>
      <w:r w:rsidR="000766AA">
        <w:rPr>
          <w:rFonts w:eastAsia="Calibri"/>
          <w:sz w:val="26"/>
          <w:szCs w:val="26"/>
          <w:lang w:val="es-ES" w:eastAsia="en-US"/>
        </w:rPr>
        <w:t xml:space="preserve">tipo de </w:t>
      </w:r>
      <w:r w:rsidRPr="004A4719">
        <w:rPr>
          <w:rFonts w:eastAsia="Calibri"/>
          <w:sz w:val="26"/>
          <w:szCs w:val="26"/>
          <w:lang w:val="es-ES" w:eastAsia="en-US"/>
        </w:rPr>
        <w:t>cambio ya que el aumento de los pasivos externos en los últimos años estuvo, en general, acompañado por un aumento de los activos externos y de coberturas cambiarias.</w:t>
      </w:r>
    </w:p>
    <w:p w14:paraId="67D9AD07" w14:textId="77777777" w:rsidR="004A4719" w:rsidRPr="004A4719" w:rsidRDefault="004A4719" w:rsidP="004A4719">
      <w:pPr>
        <w:spacing w:after="360" w:line="360" w:lineRule="auto"/>
        <w:ind w:right="-159"/>
        <w:jc w:val="both"/>
        <w:rPr>
          <w:rFonts w:eastAsia="Calibri"/>
          <w:sz w:val="26"/>
          <w:szCs w:val="26"/>
          <w:lang w:val="es-ES" w:eastAsia="en-US"/>
        </w:rPr>
      </w:pPr>
      <w:r w:rsidRPr="004A4719">
        <w:rPr>
          <w:rFonts w:eastAsia="Calibri"/>
          <w:sz w:val="26"/>
          <w:szCs w:val="26"/>
          <w:lang w:val="es-ES" w:eastAsia="en-US"/>
        </w:rPr>
        <w:t xml:space="preserve">Sin embargo, hemos de tener en cuenta que la escasez de información, especialmente en algunos países, como Perú y Colombia, impide una conclusión más categórica y más generalizable. En este sentido, consideramos que los bancos centrales y organismos supervisores deberían continuar los esfuerzos para recabar y divulgar datos que </w:t>
      </w:r>
      <w:r w:rsidRPr="004A4719">
        <w:rPr>
          <w:rFonts w:eastAsia="Calibri"/>
          <w:sz w:val="26"/>
          <w:szCs w:val="26"/>
          <w:lang w:val="es-ES" w:eastAsia="en-US"/>
        </w:rPr>
        <w:lastRenderedPageBreak/>
        <w:t>posibiliten ampliar el análisis, lo que permitiría reducir la incertidumbre sobre los riesgos asociados a una depreciación de las divisas en la región.</w:t>
      </w:r>
    </w:p>
    <w:p w14:paraId="24CFD065" w14:textId="77777777" w:rsidR="004A4719" w:rsidRPr="004A4719" w:rsidRDefault="004A4719" w:rsidP="004A4719">
      <w:pPr>
        <w:spacing w:before="360"/>
        <w:ind w:right="-159"/>
        <w:jc w:val="both"/>
        <w:rPr>
          <w:rFonts w:eastAsia="Calibri"/>
          <w:b/>
          <w:sz w:val="20"/>
          <w:szCs w:val="20"/>
          <w:lang w:val="es-ES" w:eastAsia="en-US"/>
        </w:rPr>
      </w:pPr>
      <w:r w:rsidRPr="004A4719">
        <w:rPr>
          <w:rFonts w:eastAsia="Calibri"/>
          <w:b/>
          <w:sz w:val="20"/>
          <w:szCs w:val="20"/>
          <w:lang w:val="es-ES" w:eastAsia="en-US"/>
        </w:rPr>
        <w:t>Fuente de información:</w:t>
      </w:r>
    </w:p>
    <w:p w14:paraId="537A66EA" w14:textId="77777777" w:rsidR="004A4719" w:rsidRPr="00247FB0" w:rsidRDefault="0093224F" w:rsidP="004A4719">
      <w:pPr>
        <w:ind w:right="-159"/>
        <w:jc w:val="both"/>
        <w:rPr>
          <w:rFonts w:eastAsia="Calibri"/>
          <w:color w:val="0000FF"/>
          <w:sz w:val="20"/>
          <w:szCs w:val="20"/>
          <w:lang w:eastAsia="en-US"/>
        </w:rPr>
      </w:pPr>
      <w:hyperlink r:id="rId452" w:history="1">
        <w:r w:rsidR="004A4719" w:rsidRPr="00247FB0">
          <w:rPr>
            <w:rFonts w:eastAsia="Calibri"/>
            <w:color w:val="0000FF"/>
            <w:sz w:val="20"/>
            <w:szCs w:val="20"/>
            <w:u w:val="single"/>
            <w:lang w:eastAsia="en-US"/>
          </w:rPr>
          <w:t>https://www.bbvaresearch.com/wp-content/uploads/2015/03/descalce_cambiario_america_latina.pdf</w:t>
        </w:r>
      </w:hyperlink>
    </w:p>
    <w:sectPr w:rsidR="004A4719" w:rsidRPr="00247FB0" w:rsidSect="00B87215">
      <w:headerReference w:type="even" r:id="rId453"/>
      <w:headerReference w:type="default" r:id="rId454"/>
      <w:pgSz w:w="12242" w:h="15842" w:code="1"/>
      <w:pgMar w:top="1417" w:right="1701" w:bottom="1417"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B676787" w14:textId="77777777" w:rsidR="0093224F" w:rsidRDefault="0093224F">
      <w:r>
        <w:separator/>
      </w:r>
    </w:p>
  </w:endnote>
  <w:endnote w:type="continuationSeparator" w:id="0">
    <w:p w14:paraId="5390F0D5" w14:textId="77777777" w:rsidR="0093224F" w:rsidRDefault="009322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Vrinda">
    <w:panose1 w:val="020B0502040204020203"/>
    <w:charset w:val="00"/>
    <w:family w:val="swiss"/>
    <w:pitch w:val="variable"/>
    <w:sig w:usb0="00010003" w:usb1="00000000" w:usb2="00000000" w:usb3="00000000" w:csb0="00000001" w:csb1="00000000"/>
  </w:font>
  <w:font w:name="Vladimir Script">
    <w:panose1 w:val="03050402040407070305"/>
    <w:charset w:val="00"/>
    <w:family w:val="script"/>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entury Gothic">
    <w:panose1 w:val="020B0502020202020204"/>
    <w:charset w:val="00"/>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Garamond">
    <w:panose1 w:val="02020404030301010803"/>
    <w:charset w:val="00"/>
    <w:family w:val="roman"/>
    <w:pitch w:val="variable"/>
    <w:sig w:usb0="00000287" w:usb1="00000000" w:usb2="00000000" w:usb3="00000000" w:csb0="0000009F" w:csb1="00000000"/>
  </w:font>
  <w:font w:name="Trebuchet MS">
    <w:panose1 w:val="020B0603020202020204"/>
    <w:charset w:val="00"/>
    <w:family w:val="swiss"/>
    <w:pitch w:val="variable"/>
    <w:sig w:usb0="00000287" w:usb1="00000003"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StarSymbol">
    <w:altName w:val="Arial Unicode MS"/>
    <w:charset w:val="02"/>
    <w:family w:val="auto"/>
    <w:pitch w:val="default"/>
  </w:font>
  <w:font w:name="Helvetica">
    <w:panose1 w:val="020B0604020202020204"/>
    <w:charset w:val="00"/>
    <w:family w:val="swiss"/>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Frutiger LT Std 45 Light">
    <w:altName w:val="Frutiger LT Std 45 Light"/>
    <w:panose1 w:val="00000000000000000000"/>
    <w:charset w:val="00"/>
    <w:family w:val="swiss"/>
    <w:notTrueType/>
    <w:pitch w:val="default"/>
    <w:sig w:usb0="00000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Georgia, Times">
    <w:altName w:val="Times New Roman"/>
    <w:panose1 w:val="00000000000000000000"/>
    <w:charset w:val="00"/>
    <w:family w:val="roman"/>
    <w:notTrueType/>
    <w:pitch w:val="default"/>
  </w:font>
  <w:font w:name="Georgia, Times, serif">
    <w:altName w:val="Times New Roman"/>
    <w:panose1 w:val="00000000000000000000"/>
    <w:charset w:val="00"/>
    <w:family w:val="roman"/>
    <w:notTrueType/>
    <w:pitch w:val="default"/>
  </w:font>
  <w:font w:name="CG Palacio (WN)">
    <w:panose1 w:val="00000000000000000000"/>
    <w:charset w:val="00"/>
    <w:family w:val="roman"/>
    <w:notTrueType/>
    <w:pitch w:val="variable"/>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Frutiger LT Std 55 Roman">
    <w:altName w:val="Frutiger LT Std 55 Roman"/>
    <w:panose1 w:val="00000000000000000000"/>
    <w:charset w:val="00"/>
    <w:family w:val="roman"/>
    <w:notTrueType/>
    <w:pitch w:val="default"/>
    <w:sig w:usb0="00000003" w:usb1="00000000" w:usb2="00000000" w:usb3="00000000" w:csb0="00000001" w:csb1="00000000"/>
  </w:font>
  <w:font w:name="Frutiger LT Std 47 Light Cn">
    <w:altName w:val="Frutiger LT Std 47 Light Cn"/>
    <w:panose1 w:val="00000000000000000000"/>
    <w:charset w:val="00"/>
    <w:family w:val="swiss"/>
    <w:notTrueType/>
    <w:pitch w:val="default"/>
    <w:sig w:usb0="00000003" w:usb1="00000000" w:usb2="00000000" w:usb3="00000000" w:csb0="00000001" w:csb1="00000000"/>
  </w:font>
  <w:font w:name="Frutiger LT Std 57 Cn">
    <w:altName w:val="Frutiger LT Std 57 Cn"/>
    <w:panose1 w:val="00000000000000000000"/>
    <w:charset w:val="00"/>
    <w:family w:val="swiss"/>
    <w:notTrueType/>
    <w:pitch w:val="default"/>
    <w:sig w:usb0="00000003" w:usb1="00000000" w:usb2="00000000" w:usb3="00000000" w:csb0="00000001" w:csb1="00000000"/>
  </w:font>
  <w:font w:name="Arial MT">
    <w:altName w:val="Times New Roman"/>
    <w:panose1 w:val="00000000000000000000"/>
    <w:charset w:val="00"/>
    <w:family w:val="roman"/>
    <w:notTrueType/>
    <w:pitch w:val="default"/>
  </w:font>
  <w:font w:name="Stag Sans Light">
    <w:altName w:val="Stag Sans Light"/>
    <w:panose1 w:val="00000000000000000000"/>
    <w:charset w:val="00"/>
    <w:family w:val="swiss"/>
    <w:notTrueType/>
    <w:pitch w:val="default"/>
    <w:sig w:usb0="00000003" w:usb1="00000000" w:usb2="00000000" w:usb3="00000000" w:csb0="00000001" w:csb1="00000000"/>
  </w:font>
  <w:font w:name="MetroflexUniBold">
    <w:altName w:val="MetroflexUniBold"/>
    <w:panose1 w:val="00000000000000000000"/>
    <w:charset w:val="00"/>
    <w:family w:val="swiss"/>
    <w:notTrueType/>
    <w:pitch w:val="default"/>
    <w:sig w:usb0="00000003" w:usb1="00000000" w:usb2="00000000" w:usb3="00000000" w:csb0="00000001" w:csb1="00000000"/>
  </w:font>
  <w:font w:name="HelveticaNeue Condensed">
    <w:altName w:val="HelveticaNeue Condensed"/>
    <w:panose1 w:val="00000000000000000000"/>
    <w:charset w:val="00"/>
    <w:family w:val="swiss"/>
    <w:notTrueType/>
    <w:pitch w:val="default"/>
    <w:sig w:usb0="00000003" w:usb1="00000000" w:usb2="00000000" w:usb3="00000000" w:csb0="00000001" w:csb1="00000000"/>
  </w:font>
  <w:font w:name="Univers">
    <w:panose1 w:val="020B0603020202030204"/>
    <w:charset w:val="00"/>
    <w:family w:val="swiss"/>
    <w:pitch w:val="variable"/>
    <w:sig w:usb0="00000003" w:usb1="00000000" w:usb2="00000000" w:usb3="00000000" w:csb0="00000001" w:csb1="00000000"/>
  </w:font>
  <w:font w:name="Perpetua-Bold">
    <w:panose1 w:val="00000000000000000000"/>
    <w:charset w:val="00"/>
    <w:family w:val="roman"/>
    <w:notTrueType/>
    <w:pitch w:val="default"/>
    <w:sig w:usb0="00000003" w:usb1="00000000" w:usb2="00000000" w:usb3="00000000" w:csb0="00000001" w:csb1="00000000"/>
  </w:font>
  <w:font w:name="Myriad Pro Light">
    <w:altName w:val="Myriad Pro Light"/>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A33FCA7" w14:textId="77777777" w:rsidR="0093224F" w:rsidRDefault="0093224F">
      <w:r>
        <w:separator/>
      </w:r>
    </w:p>
  </w:footnote>
  <w:footnote w:type="continuationSeparator" w:id="0">
    <w:p w14:paraId="75B95B94" w14:textId="77777777" w:rsidR="0093224F" w:rsidRDefault="0093224F">
      <w:r>
        <w:continuationSeparator/>
      </w:r>
    </w:p>
  </w:footnote>
  <w:footnote w:id="1">
    <w:p w14:paraId="3395A743" w14:textId="77777777" w:rsidR="004E3116" w:rsidRPr="007E150A" w:rsidRDefault="004E3116" w:rsidP="0021273B">
      <w:pPr>
        <w:pStyle w:val="Textonotapie"/>
        <w:ind w:left="113" w:right="-142" w:hanging="113"/>
        <w:jc w:val="both"/>
      </w:pPr>
      <w:r w:rsidRPr="007E150A">
        <w:rPr>
          <w:rStyle w:val="Refdenotaalpie"/>
        </w:rPr>
        <w:footnoteRef/>
      </w:r>
      <w:r w:rsidRPr="007E150A">
        <w:t xml:space="preserve"> Ver el artículo “Se formalizan 40 mil empleos en el</w:t>
      </w:r>
      <w:r>
        <w:t xml:space="preserve"> </w:t>
      </w:r>
      <w:r w:rsidRPr="007E150A">
        <w:t xml:space="preserve">Estado de México”, publicado en </w:t>
      </w:r>
      <w:r>
        <w:t>E</w:t>
      </w:r>
      <w:r w:rsidRPr="007E150A">
        <w:t>l Financiero el 7 de febrero de 2014.</w:t>
      </w:r>
    </w:p>
  </w:footnote>
  <w:footnote w:id="2">
    <w:p w14:paraId="0F3E728F" w14:textId="77777777" w:rsidR="004E3116" w:rsidRDefault="004E3116" w:rsidP="0021273B">
      <w:pPr>
        <w:pStyle w:val="Textonotapie"/>
      </w:pPr>
      <w:r>
        <w:rPr>
          <w:rStyle w:val="Refdenotaalpie"/>
        </w:rPr>
        <w:footnoteRef/>
      </w:r>
      <w:r>
        <w:t xml:space="preserve"> </w:t>
      </w:r>
      <w:r w:rsidRPr="007E150A">
        <w:t xml:space="preserve">Ver el artículo </w:t>
      </w:r>
      <w:r>
        <w:t>“Formalizan 350</w:t>
      </w:r>
      <w:r w:rsidRPr="007E150A">
        <w:t xml:space="preserve"> mil</w:t>
      </w:r>
      <w:r>
        <w:t xml:space="preserve"> trabajos en 2014” publicado en E</w:t>
      </w:r>
      <w:r w:rsidRPr="007E150A">
        <w:t>l Financiero</w:t>
      </w:r>
      <w:r>
        <w:t xml:space="preserve"> el 11 de enero de 2015.</w:t>
      </w:r>
    </w:p>
  </w:footnote>
  <w:footnote w:id="3">
    <w:p w14:paraId="69BD9AC8" w14:textId="66C70B2F" w:rsidR="004E3116" w:rsidRPr="00054458" w:rsidRDefault="004E3116" w:rsidP="0021273B">
      <w:pPr>
        <w:ind w:left="113" w:hanging="113"/>
        <w:jc w:val="both"/>
        <w:rPr>
          <w:sz w:val="20"/>
          <w:szCs w:val="20"/>
        </w:rPr>
      </w:pPr>
      <w:r w:rsidRPr="00054458">
        <w:rPr>
          <w:rStyle w:val="Refdenotaalpie"/>
          <w:sz w:val="20"/>
          <w:szCs w:val="20"/>
        </w:rPr>
        <w:footnoteRef/>
      </w:r>
      <w:r w:rsidRPr="00054458">
        <w:rPr>
          <w:sz w:val="20"/>
          <w:szCs w:val="20"/>
        </w:rPr>
        <w:t xml:space="preserve"> Los RFSP incluyen además del balance tradicional del sector público, que en este caso es de 545 mmp, partidas como: 1) Requerimientos financieros por Pidiregas (5.3 mmp); 2) Requerimientos financieros del IPAB </w:t>
      </w:r>
      <w:r>
        <w:rPr>
          <w:sz w:val="20"/>
          <w:szCs w:val="20"/>
        </w:rPr>
        <w:t xml:space="preserve">           </w:t>
      </w:r>
      <w:r w:rsidRPr="00054458">
        <w:rPr>
          <w:sz w:val="20"/>
          <w:szCs w:val="20"/>
        </w:rPr>
        <w:t>(-13.2 mmp); 3) Adecuaciones a los registros presupuestarios (-124.8 mmp); 4) Requerimientos  financieros del FONANDIN (-1.4 mmp); 5) Programa  de deudores (-13.7 mmp); 6) Banca de desarrollo y fondos de fomento (14.4 mmp).</w:t>
      </w:r>
    </w:p>
    <w:p w14:paraId="29E7EBC2" w14:textId="77777777" w:rsidR="004E3116" w:rsidRDefault="004E3116" w:rsidP="0021273B">
      <w:pPr>
        <w:pStyle w:val="Textonotapie"/>
      </w:pPr>
    </w:p>
  </w:footnote>
  <w:footnote w:id="4">
    <w:p w14:paraId="414C4A0B" w14:textId="77777777" w:rsidR="004E3116" w:rsidRPr="005F729E" w:rsidRDefault="004E3116" w:rsidP="0021273B">
      <w:pPr>
        <w:pStyle w:val="Textonotapie"/>
        <w:ind w:left="113" w:right="-142" w:hanging="113"/>
        <w:jc w:val="both"/>
      </w:pPr>
      <w:r w:rsidRPr="005F729E">
        <w:rPr>
          <w:rStyle w:val="Refdenotaalpie"/>
        </w:rPr>
        <w:footnoteRef/>
      </w:r>
      <w:r w:rsidRPr="005F729E">
        <w:t xml:space="preserve"> Para más detalles sobre la estimación de cambios en los ingresos públicos resultado  de una caída en el precio del petróleo ver la publicación “Se anuncia recorte  al gasto del sector público de 0.7% del PIB” disponible en http://www.bbvaresearch.com/wp-content/uploads/2015/01/150130_FlashMexico_GastoPublico.pdf</w:t>
      </w:r>
    </w:p>
  </w:footnote>
  <w:footnote w:id="5">
    <w:p w14:paraId="549B5CC3" w14:textId="77777777" w:rsidR="004E3116" w:rsidRPr="008A65D4" w:rsidRDefault="004E3116" w:rsidP="00BC6B56">
      <w:pPr>
        <w:pStyle w:val="Textonotapie"/>
        <w:ind w:left="113" w:right="-142" w:hanging="113"/>
        <w:jc w:val="both"/>
      </w:pPr>
      <w:r w:rsidRPr="008A65D4">
        <w:rPr>
          <w:rStyle w:val="Refdenotaalpie"/>
        </w:rPr>
        <w:footnoteRef/>
      </w:r>
      <w:r w:rsidRPr="008A65D4">
        <w:t xml:space="preserve"> Regionalización: el norte incluye Baja California, Sonora, Chihuahua, Coahuila, Nuevo León y Tamaulipas; el centro norte considera a Aguascalientes, Baja California Sur, Colima, Durango, Jalisco, Michoacán, Nayarit, San Luis Potosí, Sinaloa y Zacatecas; el centro lo integran el Distrito Federal, Estado de México, Guanajuato, Hidalgo, Morelos, Puebla, Querétaro y Tlaxcala; y el sur, Campeche, Chiapas, Guerrero, Oaxaca, Quintana Roo, Tabasco, Veracruz y Yucatán.</w:t>
      </w:r>
    </w:p>
  </w:footnote>
  <w:footnote w:id="6">
    <w:p w14:paraId="674299A7" w14:textId="77777777" w:rsidR="004E3116" w:rsidRPr="003A66F2" w:rsidRDefault="004E3116" w:rsidP="00BC6B56">
      <w:pPr>
        <w:pStyle w:val="Textonotapie"/>
        <w:ind w:left="113" w:right="-142" w:hanging="113"/>
        <w:jc w:val="both"/>
      </w:pPr>
      <w:r w:rsidRPr="003A66F2">
        <w:rPr>
          <w:rStyle w:val="Refdenotaalpie"/>
        </w:rPr>
        <w:footnoteRef/>
      </w:r>
      <w:r w:rsidRPr="003A66F2">
        <w:t xml:space="preserve"> El Banco de México entrevista aproximadamente 500 directivos empresariales de diversos sectores en las cuatro regiones del país al inicio de cada trimestre, para conocer su opinión acerca de la evolución reciente de la actividad económica y sus expectativas para los siguientes seis y doce meses (véase el Anexo 1</w:t>
      </w:r>
      <w:r>
        <w:t xml:space="preserve"> del documento original</w:t>
      </w:r>
      <w:r w:rsidRPr="003A66F2">
        <w:t>).</w:t>
      </w:r>
      <w:r>
        <w:t xml:space="preserve"> </w:t>
      </w:r>
    </w:p>
  </w:footnote>
  <w:footnote w:id="7">
    <w:p w14:paraId="010D7C54" w14:textId="77777777" w:rsidR="004E3116" w:rsidRPr="00605696" w:rsidRDefault="004E3116" w:rsidP="00BC6B56">
      <w:pPr>
        <w:pStyle w:val="Textonotapie"/>
        <w:jc w:val="both"/>
      </w:pPr>
      <w:r w:rsidRPr="00605696">
        <w:rPr>
          <w:rStyle w:val="Refdenotaalpie"/>
        </w:rPr>
        <w:footnoteRef/>
      </w:r>
      <w:r w:rsidRPr="00605696">
        <w:t xml:space="preserve"> Ver Recuadro 1, Informe Trimestral Julio-Septiembre 2014</w:t>
      </w:r>
      <w:r>
        <w:t>.</w:t>
      </w:r>
    </w:p>
  </w:footnote>
  <w:footnote w:id="8">
    <w:p w14:paraId="7D676220" w14:textId="77777777" w:rsidR="004E3116" w:rsidRPr="003A1033" w:rsidRDefault="004E3116" w:rsidP="00DF77F2">
      <w:pPr>
        <w:pStyle w:val="Textonotapie"/>
        <w:ind w:left="140" w:right="-142" w:hanging="140"/>
        <w:jc w:val="both"/>
      </w:pPr>
      <w:r w:rsidRPr="003A1033">
        <w:rPr>
          <w:rStyle w:val="Refdenotaalpie"/>
        </w:rPr>
        <w:footnoteRef/>
      </w:r>
      <w:r w:rsidRPr="003A1033">
        <w:t xml:space="preserve"> La muestra de la encuesta de actividad en el sector manufacturero consta de 628 empresas (véase “Índice</w:t>
      </w:r>
      <w:r>
        <w:t xml:space="preserve"> </w:t>
      </w:r>
      <w:r w:rsidRPr="003A1033">
        <w:t>Regional de Pedidos Manufactureros” en el Anexo 1</w:t>
      </w:r>
      <w:r>
        <w:t xml:space="preserve"> del documento original</w:t>
      </w:r>
      <w:r w:rsidRPr="003A1033">
        <w:t>).</w:t>
      </w:r>
    </w:p>
  </w:footnote>
  <w:footnote w:id="9">
    <w:p w14:paraId="022C6E00" w14:textId="77777777" w:rsidR="004E3116" w:rsidRPr="00E22449" w:rsidRDefault="004E3116" w:rsidP="00BC6B56">
      <w:pPr>
        <w:pStyle w:val="Textonotapie"/>
        <w:ind w:left="113" w:right="-142" w:hanging="113"/>
        <w:jc w:val="both"/>
      </w:pPr>
      <w:r w:rsidRPr="00E22449">
        <w:rPr>
          <w:rStyle w:val="Refdenotaalpie"/>
        </w:rPr>
        <w:footnoteRef/>
      </w:r>
      <w:r w:rsidRPr="00E22449">
        <w:t xml:space="preserve"> El estudio de dicha relación es parte de una agenda más amplia</w:t>
      </w:r>
      <w:r>
        <w:t xml:space="preserve"> </w:t>
      </w:r>
      <w:r w:rsidRPr="00E22449">
        <w:t>que se ocupa de analizar los factores que determinan las</w:t>
      </w:r>
      <w:r>
        <w:t xml:space="preserve"> </w:t>
      </w:r>
      <w:r w:rsidRPr="00E22449">
        <w:t>diferencias en desarrollo y crecimiento económicos entre países</w:t>
      </w:r>
    </w:p>
  </w:footnote>
  <w:footnote w:id="10">
    <w:p w14:paraId="7D84A520" w14:textId="77777777" w:rsidR="004E3116" w:rsidRPr="003D0F89" w:rsidRDefault="004E3116" w:rsidP="00DF77F2">
      <w:pPr>
        <w:pStyle w:val="Textonotapie"/>
        <w:ind w:left="182" w:right="-142" w:hanging="182"/>
        <w:jc w:val="both"/>
      </w:pPr>
      <w:r w:rsidRPr="003D0F89">
        <w:rPr>
          <w:rStyle w:val="Refdenotaalpie"/>
        </w:rPr>
        <w:footnoteRef/>
      </w:r>
      <w:r w:rsidRPr="003D0F89">
        <w:t xml:space="preserve"> Esta variable está disponible para todas las entidades federativas</w:t>
      </w:r>
      <w:r>
        <w:t xml:space="preserve"> </w:t>
      </w:r>
      <w:r w:rsidRPr="003D0F89">
        <w:t>del país en los reportes de “Doing Business” del Banco Mundial de</w:t>
      </w:r>
      <w:r>
        <w:t xml:space="preserve"> </w:t>
      </w:r>
      <w:r w:rsidRPr="003D0F89">
        <w:t>los años 2007, 2009, 2012 y 2014. Los datos presentados en los</w:t>
      </w:r>
      <w:r>
        <w:t xml:space="preserve"> </w:t>
      </w:r>
      <w:r w:rsidRPr="003D0F89">
        <w:t>reportes de cada año corresponden a los del año inmediato anterior.</w:t>
      </w:r>
      <w:r>
        <w:t xml:space="preserve"> </w:t>
      </w:r>
      <w:r w:rsidRPr="003D0F89">
        <w:t>Para obtener este indicador sólo se consideran las demandas por</w:t>
      </w:r>
      <w:r>
        <w:t xml:space="preserve"> </w:t>
      </w:r>
      <w:r w:rsidRPr="003D0F89">
        <w:t>un monto superior a 200</w:t>
      </w:r>
      <w:r>
        <w:t>%</w:t>
      </w:r>
      <w:r w:rsidRPr="003D0F89">
        <w:t xml:space="preserve"> el ingreso per cápita del país o</w:t>
      </w:r>
      <w:r>
        <w:t xml:space="preserve"> </w:t>
      </w:r>
      <w:r w:rsidRPr="003D0F89">
        <w:t>5</w:t>
      </w:r>
      <w:r>
        <w:t xml:space="preserve"> mil</w:t>
      </w:r>
      <w:r w:rsidRPr="003D0F89">
        <w:t xml:space="preserve"> dólares, lo que sea mayor.</w:t>
      </w:r>
    </w:p>
  </w:footnote>
  <w:footnote w:id="11">
    <w:p w14:paraId="64BFC67E" w14:textId="3B3F3933" w:rsidR="004E3116" w:rsidRPr="00166D52" w:rsidRDefault="004E3116" w:rsidP="00DF77F2">
      <w:pPr>
        <w:pStyle w:val="Textonotapie"/>
        <w:ind w:left="196" w:right="-142" w:hanging="196"/>
        <w:jc w:val="both"/>
      </w:pPr>
      <w:r w:rsidRPr="00166D52">
        <w:rPr>
          <w:rStyle w:val="Refdenotaalpie"/>
        </w:rPr>
        <w:footnoteRef/>
      </w:r>
      <w:r>
        <w:tab/>
      </w:r>
      <w:r w:rsidRPr="00166D52">
        <w:t>Si bien es posible que también exista una dirección de causalidad</w:t>
      </w:r>
      <w:r>
        <w:t xml:space="preserve"> </w:t>
      </w:r>
      <w:r w:rsidRPr="00166D52">
        <w:t>en el sentido inverso, es decir que un bajo crecimiento económico</w:t>
      </w:r>
      <w:r>
        <w:t xml:space="preserve"> </w:t>
      </w:r>
      <w:r w:rsidRPr="00166D52">
        <w:t>lleva a instituciones menos</w:t>
      </w:r>
      <w:r>
        <w:t xml:space="preserve"> sólidas y consecuentemente perí</w:t>
      </w:r>
      <w:r w:rsidRPr="00166D52">
        <w:t>odos</w:t>
      </w:r>
      <w:r>
        <w:t xml:space="preserve"> </w:t>
      </w:r>
      <w:r w:rsidRPr="00166D52">
        <w:t>más largos para la resolución judicial de disputas comerciales, la</w:t>
      </w:r>
      <w:r>
        <w:t xml:space="preserve"> </w:t>
      </w:r>
      <w:r w:rsidRPr="00166D52">
        <w:t>evidencia internacional ya referida indica que en la mayoría de los</w:t>
      </w:r>
      <w:r>
        <w:t xml:space="preserve"> </w:t>
      </w:r>
      <w:r w:rsidRPr="00166D52">
        <w:t>casos el sentido de la causalidad que predomina es del estado de</w:t>
      </w:r>
      <w:r>
        <w:t xml:space="preserve"> </w:t>
      </w:r>
      <w:r w:rsidRPr="00166D52">
        <w:t>derecho hacia el crecimiento económico.</w:t>
      </w:r>
    </w:p>
  </w:footnote>
  <w:footnote w:id="12">
    <w:p w14:paraId="2C2EC915" w14:textId="3410994C" w:rsidR="004E3116" w:rsidRDefault="004E3116" w:rsidP="00DF77F2">
      <w:pPr>
        <w:pStyle w:val="Textonotapie"/>
        <w:ind w:left="196" w:right="-142" w:hanging="196"/>
        <w:jc w:val="both"/>
      </w:pPr>
      <w:r w:rsidRPr="00166D52">
        <w:rPr>
          <w:rStyle w:val="Refdenotaalpie"/>
        </w:rPr>
        <w:footnoteRef/>
      </w:r>
      <w:r>
        <w:tab/>
      </w:r>
      <w:r w:rsidRPr="00166D52">
        <w:t>Las variables incluidas en el índice de desarrollo que se utilizó como</w:t>
      </w:r>
      <w:r>
        <w:t xml:space="preserve"> </w:t>
      </w:r>
      <w:r w:rsidRPr="00166D52">
        <w:t>control son: proporción de hogares con agua, con drenaje y con</w:t>
      </w:r>
      <w:r>
        <w:t xml:space="preserve"> </w:t>
      </w:r>
      <w:r w:rsidRPr="00166D52">
        <w:t>electricidad; grado promedio de escolaridad y esperanza de vida;</w:t>
      </w:r>
      <w:r>
        <w:t xml:space="preserve"> </w:t>
      </w:r>
      <w:r w:rsidRPr="00166D52">
        <w:t>longitud de carreteras, de vías férreas y de longitud de atraque.</w:t>
      </w:r>
      <w:r>
        <w:t xml:space="preserve"> </w:t>
      </w:r>
      <w:r w:rsidRPr="00166D52">
        <w:t>Para una descripción más detallada, véase el Recuadro</w:t>
      </w:r>
      <w:r>
        <w:t xml:space="preserve"> </w:t>
      </w:r>
      <w:r w:rsidRPr="00166D52">
        <w:t>“Diferencias Regionales en la Productividad del Trabajo de la</w:t>
      </w:r>
      <w:r>
        <w:t xml:space="preserve"> </w:t>
      </w:r>
      <w:r w:rsidRPr="00166D52">
        <w:t>Industria Manufacturera: ¿Cómo se Relacionan con la Provisión de</w:t>
      </w:r>
      <w:r>
        <w:t xml:space="preserve"> </w:t>
      </w:r>
      <w:r w:rsidRPr="00166D52">
        <w:t>Infraestructura?” del Reporte sobre las Economías Regionales,</w:t>
      </w:r>
      <w:r>
        <w:t xml:space="preserve"> </w:t>
      </w:r>
      <w:r w:rsidRPr="00166D52">
        <w:t>Octubre-Diciembre 2012.</w:t>
      </w:r>
    </w:p>
  </w:footnote>
  <w:footnote w:id="13">
    <w:p w14:paraId="08857CE4" w14:textId="4237A452" w:rsidR="004E3116" w:rsidRPr="00CB3A3F" w:rsidRDefault="004E3116" w:rsidP="00CB3A3F">
      <w:pPr>
        <w:pStyle w:val="Textonotapie"/>
      </w:pPr>
      <w:r w:rsidRPr="00CB3A3F">
        <w:rPr>
          <w:rStyle w:val="Refdenotaalpie"/>
        </w:rPr>
        <w:footnoteRef/>
      </w:r>
      <w:r w:rsidRPr="00CB3A3F">
        <w:t xml:space="preserve"> </w:t>
      </w:r>
      <w:hyperlink r:id="rId1" w:history="1">
        <w:r w:rsidRPr="009177B7">
          <w:rPr>
            <w:rStyle w:val="Hipervnculo"/>
          </w:rPr>
          <w:t>http://www.presidencia.gob.mx/gira-de-trabajo-por-el-estado-de-mexico/</w:t>
        </w:r>
      </w:hyperlink>
      <w:r>
        <w:rPr>
          <w:rStyle w:val="Hipervnculo"/>
          <w:color w:val="auto"/>
        </w:rPr>
        <w:t xml:space="preserve"> </w:t>
      </w:r>
      <w:r w:rsidRPr="00CB3A3F">
        <w:t xml:space="preserve"> </w:t>
      </w:r>
    </w:p>
  </w:footnote>
  <w:footnote w:id="14">
    <w:p w14:paraId="0414F8EB" w14:textId="77777777" w:rsidR="004E3116" w:rsidRPr="009177B7" w:rsidRDefault="004E3116" w:rsidP="00CB3A3F">
      <w:pPr>
        <w:pStyle w:val="Textonotapie"/>
        <w:rPr>
          <w:color w:val="0000FF"/>
        </w:rPr>
      </w:pPr>
      <w:r w:rsidRPr="00CB3A3F">
        <w:rPr>
          <w:rStyle w:val="Refdenotaalpie"/>
        </w:rPr>
        <w:footnoteRef/>
      </w:r>
      <w:r w:rsidRPr="00CB3A3F">
        <w:t xml:space="preserve"> </w:t>
      </w:r>
      <w:hyperlink r:id="rId2" w:history="1">
        <w:r w:rsidRPr="009177B7">
          <w:rPr>
            <w:rStyle w:val="Hipervnculo"/>
          </w:rPr>
          <w:t>http://www.sct.gob.mx/despliega-noticias/article/gira-de-trabajo-por-el-estado-de-mexico/</w:t>
        </w:r>
      </w:hyperlink>
      <w:r w:rsidRPr="009177B7">
        <w:rPr>
          <w:color w:val="0000FF"/>
        </w:rPr>
        <w:t xml:space="preserve"> </w:t>
      </w:r>
    </w:p>
  </w:footnote>
  <w:footnote w:id="15">
    <w:p w14:paraId="339E0ACA" w14:textId="77777777" w:rsidR="004E3116" w:rsidRPr="009177B7" w:rsidRDefault="004E3116" w:rsidP="00CB3A3F">
      <w:pPr>
        <w:pStyle w:val="Textonotapie"/>
        <w:rPr>
          <w:color w:val="0000FF"/>
        </w:rPr>
      </w:pPr>
      <w:r w:rsidRPr="00CB3A3F">
        <w:rPr>
          <w:rStyle w:val="Refdenotaalpie"/>
        </w:rPr>
        <w:footnoteRef/>
      </w:r>
      <w:r w:rsidRPr="00CB3A3F">
        <w:t xml:space="preserve"> </w:t>
      </w:r>
      <w:hyperlink r:id="rId3" w:history="1">
        <w:r w:rsidRPr="009177B7">
          <w:rPr>
            <w:rStyle w:val="Hipervnculo"/>
          </w:rPr>
          <w:t>http://www.sagarpa.gob.mx/saladeprensa/2012/Paginas/2015D003.aspx</w:t>
        </w:r>
      </w:hyperlink>
      <w:r w:rsidRPr="009177B7">
        <w:rPr>
          <w:color w:val="0000FF"/>
        </w:rPr>
        <w:t xml:space="preserve"> </w:t>
      </w:r>
    </w:p>
  </w:footnote>
  <w:footnote w:id="16">
    <w:p w14:paraId="1834D7E0" w14:textId="77777777" w:rsidR="004E3116" w:rsidRPr="00B32098" w:rsidRDefault="004E3116" w:rsidP="00B32098">
      <w:pPr>
        <w:pStyle w:val="Textonotapie"/>
        <w:ind w:left="182" w:right="-159" w:hanging="182"/>
        <w:rPr>
          <w:color w:val="0000FF"/>
        </w:rPr>
      </w:pPr>
      <w:r w:rsidRPr="004F1C40">
        <w:rPr>
          <w:rStyle w:val="Refdenotaalpie"/>
        </w:rPr>
        <w:footnoteRef/>
      </w:r>
      <w:r w:rsidRPr="004F1C40">
        <w:t xml:space="preserve"> </w:t>
      </w:r>
      <w:hyperlink r:id="rId4" w:history="1">
        <w:r w:rsidRPr="00B32098">
          <w:rPr>
            <w:rStyle w:val="Hipervnculo"/>
          </w:rPr>
          <w:t>http://www.sct.gob.mx/despliega-noticias/article/logra-sct-inversion-extranjera-directa-por-seis-mil-mdd-producto-de-la-reforma-de-telecomunicacion/</w:t>
        </w:r>
      </w:hyperlink>
      <w:r w:rsidRPr="00B32098">
        <w:rPr>
          <w:rStyle w:val="Hipervnculo"/>
        </w:rPr>
        <w:t xml:space="preserve"> </w:t>
      </w:r>
    </w:p>
  </w:footnote>
  <w:footnote w:id="17">
    <w:p w14:paraId="1461621E" w14:textId="77777777" w:rsidR="004E3116" w:rsidRPr="00660E71" w:rsidRDefault="004E3116" w:rsidP="00CF2E9C">
      <w:pPr>
        <w:pStyle w:val="Textonotapie"/>
        <w:rPr>
          <w:color w:val="0000FF"/>
        </w:rPr>
      </w:pPr>
      <w:r w:rsidRPr="00BB7F01">
        <w:rPr>
          <w:rStyle w:val="Refdenotaalpie"/>
        </w:rPr>
        <w:footnoteRef/>
      </w:r>
      <w:r w:rsidRPr="00BB7F01">
        <w:t xml:space="preserve"> Viste: </w:t>
      </w:r>
      <w:hyperlink r:id="rId5" w:history="1">
        <w:r w:rsidRPr="00660E71">
          <w:rPr>
            <w:rStyle w:val="Hipervnculo"/>
          </w:rPr>
          <w:t>www.promexico.gob.mx</w:t>
        </w:r>
      </w:hyperlink>
      <w:r w:rsidRPr="00660E71">
        <w:rPr>
          <w:rStyle w:val="Hipervnculo"/>
        </w:rPr>
        <w:t xml:space="preserve">. </w:t>
      </w:r>
    </w:p>
  </w:footnote>
  <w:footnote w:id="18">
    <w:p w14:paraId="76FDCD1F" w14:textId="77777777" w:rsidR="004E3116" w:rsidRPr="0095090A" w:rsidRDefault="004E3116" w:rsidP="00BB7F01">
      <w:pPr>
        <w:pStyle w:val="Textonotapie"/>
        <w:ind w:left="215" w:right="-159" w:hanging="215"/>
        <w:jc w:val="both"/>
      </w:pPr>
      <w:r w:rsidRPr="0095090A">
        <w:rPr>
          <w:rStyle w:val="Refdenotaalpie"/>
        </w:rPr>
        <w:footnoteRef/>
      </w:r>
      <w:r w:rsidRPr="0095090A">
        <w:t xml:space="preserve"> Es la institución del Gobierno Mexicano</w:t>
      </w:r>
      <w:r>
        <w:t xml:space="preserve"> </w:t>
      </w:r>
      <w:r w:rsidRPr="0095090A">
        <w:t xml:space="preserve"> que</w:t>
      </w:r>
      <w:r>
        <w:t xml:space="preserve"> </w:t>
      </w:r>
      <w:r w:rsidRPr="0095090A">
        <w:t xml:space="preserve"> impulsa </w:t>
      </w:r>
      <w:r>
        <w:t xml:space="preserve"> </w:t>
      </w:r>
      <w:r w:rsidRPr="0095090A">
        <w:t>el comercio de México en el exterior, la internacionalización de empresas mexicanas y la atracción de inversión extranjera al país. Para lograrlo, los empresarios mexicanos tienen a su alcance una oficina de ProMéxico que les permite desde su lugar de origen, estar más cerca de sus compradores potenciales, con oficinas dentro y fuera de México. También, los inversionistas extranjeros pueden llegar a todas las regiones del país acercándose a las oficinas estratégicamente colocadas en puntos clave para el comercio en el mundo.</w:t>
      </w:r>
    </w:p>
  </w:footnote>
  <w:footnote w:id="19">
    <w:p w14:paraId="2CE43800" w14:textId="64F1E07A" w:rsidR="004E3116" w:rsidRPr="001A2A6B" w:rsidRDefault="004E3116" w:rsidP="00BB7F01">
      <w:pPr>
        <w:pStyle w:val="Textonotapie"/>
        <w:ind w:left="170" w:right="-159" w:hanging="170"/>
        <w:jc w:val="both"/>
        <w:rPr>
          <w:i/>
        </w:rPr>
      </w:pPr>
      <w:r w:rsidRPr="001A2A6B">
        <w:rPr>
          <w:rStyle w:val="Refdenotaalpie"/>
        </w:rPr>
        <w:footnoteRef/>
      </w:r>
      <w:r w:rsidRPr="001A2A6B">
        <w:t xml:space="preserve"> Michael Spence, premio Nobel de Economía, es </w:t>
      </w:r>
      <w:r>
        <w:t>P</w:t>
      </w:r>
      <w:r w:rsidRPr="001A2A6B">
        <w:t xml:space="preserve">rofesor de Economía en la </w:t>
      </w:r>
      <w:r w:rsidRPr="00996F8A">
        <w:rPr>
          <w:i/>
        </w:rPr>
        <w:t>Stern School of Busines</w:t>
      </w:r>
      <w:r w:rsidRPr="001A2A6B">
        <w:t>s de</w:t>
      </w:r>
      <w:r>
        <w:t xml:space="preserve"> la Universidad de Nueva York, d</w:t>
      </w:r>
      <w:r w:rsidRPr="001A2A6B">
        <w:t xml:space="preserve">istinguido </w:t>
      </w:r>
      <w:r>
        <w:t>p</w:t>
      </w:r>
      <w:r w:rsidRPr="001A2A6B">
        <w:t>rofesor invitado en el Consejo de Relaciones Exteriores, Senior Fellow en la Hoover Institution de la Universidad de Stanford, académico, presidente del Consejo del Institu</w:t>
      </w:r>
      <w:r>
        <w:t xml:space="preserve">to </w:t>
      </w:r>
      <w:r w:rsidRPr="00996F8A">
        <w:rPr>
          <w:i/>
        </w:rPr>
        <w:t xml:space="preserve">Fung Global </w:t>
      </w:r>
      <w:r w:rsidRPr="00996F8A">
        <w:t>en Hong Kong</w:t>
      </w:r>
      <w:r>
        <w:t>, y P</w:t>
      </w:r>
      <w:r w:rsidRPr="001A2A6B">
        <w:t xml:space="preserve">residente del Consejo de la Agenda Global del Foro Económico Mundial sobre nuevos modelos de crecimiento. </w:t>
      </w:r>
      <w:r>
        <w:t xml:space="preserve">Fue </w:t>
      </w:r>
      <w:r w:rsidRPr="001A2A6B">
        <w:t xml:space="preserve">presidente de la Comisión Independiente de Crecimiento y Desarrollo, un organismo internacional que desde 2006-2010 analiza oportunidades de crecimiento económico mundial, y es el autor de </w:t>
      </w:r>
      <w:r w:rsidRPr="001A2A6B">
        <w:rPr>
          <w:i/>
        </w:rPr>
        <w:t>The Next Convergence – The Future of Economi</w:t>
      </w:r>
      <w:r>
        <w:rPr>
          <w:i/>
        </w:rPr>
        <w:t>c Growth in a Multispeed World.</w:t>
      </w:r>
    </w:p>
  </w:footnote>
  <w:footnote w:id="20">
    <w:p w14:paraId="3BA1E841" w14:textId="1F47C0A8" w:rsidR="004E3116" w:rsidRPr="00471B7E" w:rsidRDefault="004E3116" w:rsidP="00660E71">
      <w:pPr>
        <w:pStyle w:val="Textonotapie"/>
        <w:ind w:left="252" w:right="-159" w:hanging="252"/>
        <w:jc w:val="both"/>
      </w:pPr>
      <w:r w:rsidRPr="00471B7E">
        <w:rPr>
          <w:rStyle w:val="Refdenotaalpie"/>
        </w:rPr>
        <w:footnoteRef/>
      </w:r>
      <w:r>
        <w:tab/>
      </w:r>
      <w:r w:rsidRPr="00471B7E">
        <w:t>Mide el comportamiento del gasto realizado por los hogares residentes del país en bienes y servicios de consumo, tanto de origen nacional como importado; quedan excluidas las compras de viviendas u objetos valiosos.</w:t>
      </w:r>
    </w:p>
  </w:footnote>
  <w:footnote w:id="21">
    <w:p w14:paraId="4D57CAC6" w14:textId="6029E209" w:rsidR="004E3116" w:rsidRPr="00471B7E" w:rsidRDefault="004E3116" w:rsidP="00660E71">
      <w:pPr>
        <w:pStyle w:val="Textonotapie"/>
        <w:ind w:left="252" w:right="-159" w:hanging="252"/>
        <w:jc w:val="both"/>
      </w:pPr>
      <w:r w:rsidRPr="00471B7E">
        <w:rPr>
          <w:rStyle w:val="Refdenotaalpie"/>
        </w:rPr>
        <w:footnoteRef/>
      </w:r>
      <w:r>
        <w:tab/>
      </w:r>
      <w:r w:rsidRPr="00471B7E">
        <w:t>La gran mayoría de las series económicas se ven afectadas por factores estacionales y de calendario. El ajuste de las cifras por dichos factores permite obtener las cifras desestacionalizadas, cuyo análisis ayuda a realizar un mejor diagnóstico de la evolución de las variables.</w:t>
      </w:r>
    </w:p>
  </w:footnote>
  <w:footnote w:id="22">
    <w:p w14:paraId="3C0ADA82" w14:textId="15543F2D" w:rsidR="004E3116" w:rsidRPr="00471B7E" w:rsidRDefault="004E3116" w:rsidP="00660E71">
      <w:pPr>
        <w:pStyle w:val="Textonotapie"/>
        <w:ind w:left="252" w:right="-159" w:hanging="252"/>
        <w:jc w:val="both"/>
      </w:pPr>
      <w:r w:rsidRPr="00471B7E">
        <w:rPr>
          <w:rStyle w:val="Refdenotaalpie"/>
        </w:rPr>
        <w:footnoteRef/>
      </w:r>
      <w:r>
        <w:tab/>
      </w:r>
      <w:r w:rsidRPr="00471B7E">
        <w:t>Variación anual de las cifras desestacionalizadas.</w:t>
      </w:r>
    </w:p>
  </w:footnote>
  <w:footnote w:id="23">
    <w:p w14:paraId="27C46C47" w14:textId="77777777" w:rsidR="004E3116" w:rsidRPr="0047597A" w:rsidRDefault="004E3116" w:rsidP="00BB7F01">
      <w:pPr>
        <w:ind w:left="187" w:right="-159" w:hanging="187"/>
        <w:jc w:val="both"/>
        <w:rPr>
          <w:sz w:val="20"/>
          <w:szCs w:val="20"/>
        </w:rPr>
      </w:pPr>
      <w:r w:rsidRPr="0047597A">
        <w:rPr>
          <w:rStyle w:val="Refdenotaalpie"/>
          <w:sz w:val="20"/>
          <w:szCs w:val="20"/>
        </w:rPr>
        <w:footnoteRef/>
      </w:r>
      <w:r w:rsidRPr="0047597A">
        <w:rPr>
          <w:sz w:val="20"/>
          <w:szCs w:val="20"/>
        </w:rPr>
        <w:t xml:space="preserve"> </w:t>
      </w:r>
      <w:r w:rsidRPr="0047597A">
        <w:rPr>
          <w:rFonts w:eastAsia="Calibri"/>
          <w:sz w:val="20"/>
          <w:szCs w:val="20"/>
          <w:lang w:eastAsia="en-US"/>
        </w:rPr>
        <w:t>Por el número de eventos disponibles a la fecha, aún no es posible la desestacionalización de las Expectativas Empresariales de los sectores de la Construcción y del Comercio. En cuanto se tenga la longitud necesaria de las series se realizará el ajuste estacional.</w:t>
      </w:r>
    </w:p>
  </w:footnote>
  <w:footnote w:id="24">
    <w:p w14:paraId="43092FBB" w14:textId="39C65F94" w:rsidR="004E3116" w:rsidRPr="00C676DA" w:rsidRDefault="004E3116" w:rsidP="004F1C40">
      <w:pPr>
        <w:pStyle w:val="Textonotapie"/>
        <w:ind w:left="198" w:right="-142" w:hanging="198"/>
        <w:jc w:val="both"/>
      </w:pPr>
      <w:r w:rsidRPr="00426CFE">
        <w:rPr>
          <w:rStyle w:val="Refdenotaalpie"/>
        </w:rPr>
        <w:footnoteRef/>
      </w:r>
      <w:r w:rsidRPr="00426CFE">
        <w:t xml:space="preserve"> Stern, N. 2009. </w:t>
      </w:r>
      <w:r w:rsidRPr="00C676DA">
        <w:rPr>
          <w:i/>
        </w:rPr>
        <w:t>Low-carbon growth: the only sustainable way to overcome world poverty. Development in a Changing Climat</w:t>
      </w:r>
      <w:r w:rsidRPr="00C676DA">
        <w:t xml:space="preserve">e </w:t>
      </w:r>
      <w:hyperlink r:id="rId6" w:history="1">
        <w:r w:rsidRPr="00B35BB9">
          <w:rPr>
            <w:rStyle w:val="Hipervnculo"/>
          </w:rPr>
          <w:t>http://blogs.worldbank.org/climatechange/low-carbon-growth-only-sustainable-way-overcome-world-poverty</w:t>
        </w:r>
      </w:hyperlink>
      <w:r w:rsidRPr="00B35BB9">
        <w:rPr>
          <w:color w:val="0000FF"/>
        </w:rPr>
        <w:t xml:space="preserve">  </w:t>
      </w:r>
    </w:p>
  </w:footnote>
  <w:footnote w:id="25">
    <w:p w14:paraId="5278F804" w14:textId="77777777" w:rsidR="004E3116" w:rsidRPr="00B35BB9" w:rsidRDefault="004E3116" w:rsidP="004F1C40">
      <w:pPr>
        <w:pStyle w:val="Textonotapie"/>
        <w:ind w:left="198" w:right="-142" w:hanging="198"/>
        <w:jc w:val="both"/>
        <w:rPr>
          <w:color w:val="0000FF"/>
          <w:u w:val="single"/>
        </w:rPr>
      </w:pPr>
      <w:r w:rsidRPr="00C676DA">
        <w:rPr>
          <w:rStyle w:val="Refdenotaalpie"/>
        </w:rPr>
        <w:footnoteRef/>
      </w:r>
      <w:r w:rsidRPr="00C676DA">
        <w:t xml:space="preserve"> Comisión Global sobre Economía y Clima, 2014, Mejor Crecimiento, Mejor Clima: Síntesis del Informe, </w:t>
      </w:r>
      <w:r w:rsidRPr="00C676DA">
        <w:rPr>
          <w:i/>
        </w:rPr>
        <w:t>New</w:t>
      </w:r>
      <w:r w:rsidRPr="00C676DA">
        <w:t xml:space="preserve"> </w:t>
      </w:r>
      <w:r w:rsidRPr="00C676DA">
        <w:rPr>
          <w:i/>
        </w:rPr>
        <w:t>Climate Economy.</w:t>
      </w:r>
      <w:r w:rsidRPr="00426CFE">
        <w:t xml:space="preserve"> Washington DC. Disponible en: </w:t>
      </w:r>
      <w:r w:rsidRPr="00B35BB9">
        <w:rPr>
          <w:color w:val="0000FF"/>
          <w:u w:val="single"/>
        </w:rPr>
        <w:t xml:space="preserve">http://static.newclimateeconomy.report/wp-content/ uploads/2014/08/NCE-Synthesis-Report-ES.pdf  </w:t>
      </w:r>
    </w:p>
  </w:footnote>
  <w:footnote w:id="26">
    <w:p w14:paraId="05CF9E8D" w14:textId="77777777" w:rsidR="004E3116" w:rsidRPr="00503846" w:rsidRDefault="004E3116" w:rsidP="000677B6">
      <w:pPr>
        <w:pStyle w:val="Textonotapie"/>
        <w:jc w:val="both"/>
        <w:rPr>
          <w:color w:val="0000FF"/>
        </w:rPr>
      </w:pPr>
      <w:r w:rsidRPr="0071438E">
        <w:rPr>
          <w:rStyle w:val="Refdenotaalpie"/>
        </w:rPr>
        <w:footnoteRef/>
      </w:r>
      <w:r w:rsidRPr="0071438E">
        <w:t xml:space="preserve"> </w:t>
      </w:r>
      <w:hyperlink r:id="rId7" w:history="1">
        <w:r w:rsidRPr="00503846">
          <w:rPr>
            <w:rStyle w:val="Hipervnculo"/>
          </w:rPr>
          <w:t>http://awsassets.wwf.org.za/downloads/wwf_reportglobal_cleantech_innovation_index_2014final_.pdf</w:t>
        </w:r>
      </w:hyperlink>
      <w:r w:rsidRPr="00503846">
        <w:rPr>
          <w:color w:val="0000FF"/>
        </w:rPr>
        <w:t xml:space="preserve">   </w:t>
      </w:r>
    </w:p>
  </w:footnote>
  <w:footnote w:id="27">
    <w:p w14:paraId="09024CAF" w14:textId="77777777" w:rsidR="004E3116" w:rsidRPr="00503846" w:rsidRDefault="004E3116" w:rsidP="004F1C40">
      <w:pPr>
        <w:pStyle w:val="Textonotapie"/>
        <w:ind w:left="198" w:right="-142" w:hanging="198"/>
        <w:jc w:val="both"/>
        <w:rPr>
          <w:color w:val="0000FF"/>
        </w:rPr>
      </w:pPr>
      <w:r w:rsidRPr="0071438E">
        <w:rPr>
          <w:rStyle w:val="Refdenotaalpie"/>
        </w:rPr>
        <w:footnoteRef/>
      </w:r>
      <w:r w:rsidRPr="0071438E">
        <w:t xml:space="preserve"> </w:t>
      </w:r>
      <w:r w:rsidRPr="00C676DA">
        <w:rPr>
          <w:i/>
        </w:rPr>
        <w:t>WWF y Roland Berger Strategy Consultants. 2012. Clean Economy, Living Planet: The Race to the Top of Global Clean Technology Manufacturing</w:t>
      </w:r>
      <w:r w:rsidRPr="0071438E">
        <w:t xml:space="preserve">. </w:t>
      </w:r>
      <w:hyperlink r:id="rId8" w:history="1">
        <w:r w:rsidRPr="00503846">
          <w:rPr>
            <w:rStyle w:val="Hipervnculo"/>
          </w:rPr>
          <w:t>http://www.wwfchina.org/content/press/publication/clean-economy-living- planet.pdf</w:t>
        </w:r>
      </w:hyperlink>
      <w:r w:rsidRPr="00503846">
        <w:rPr>
          <w:color w:val="0000FF"/>
        </w:rPr>
        <w:t xml:space="preserve"> </w:t>
      </w:r>
    </w:p>
  </w:footnote>
  <w:footnote w:id="28">
    <w:p w14:paraId="384497A9" w14:textId="77777777" w:rsidR="004E3116" w:rsidRPr="0071438E" w:rsidRDefault="004E3116" w:rsidP="000677B6">
      <w:pPr>
        <w:pStyle w:val="Textonotapie"/>
        <w:jc w:val="both"/>
      </w:pPr>
      <w:r w:rsidRPr="0071438E">
        <w:rPr>
          <w:rStyle w:val="Refdenotaalpie"/>
        </w:rPr>
        <w:footnoteRef/>
      </w:r>
      <w:r w:rsidRPr="0071438E">
        <w:t xml:space="preserve"> </w:t>
      </w:r>
      <w:r w:rsidRPr="00C676DA">
        <w:rPr>
          <w:i/>
        </w:rPr>
        <w:t>Building Competitive Green Industries</w:t>
      </w:r>
      <w:r w:rsidRPr="0071438E">
        <w:t xml:space="preserve">. </w:t>
      </w:r>
      <w:hyperlink r:id="rId9" w:history="1">
        <w:r w:rsidRPr="00503846">
          <w:rPr>
            <w:rStyle w:val="Hipervnculo"/>
          </w:rPr>
          <w:t>http://www.infodev.org/infodev-files/green-industries.pdf</w:t>
        </w:r>
      </w:hyperlink>
      <w:r w:rsidRPr="00503846">
        <w:rPr>
          <w:color w:val="0000FF"/>
        </w:rPr>
        <w:t xml:space="preserve"> </w:t>
      </w:r>
    </w:p>
  </w:footnote>
  <w:footnote w:id="29">
    <w:p w14:paraId="3A7B102D" w14:textId="77777777" w:rsidR="004E3116" w:rsidRPr="00503846" w:rsidRDefault="004E3116" w:rsidP="000677B6">
      <w:pPr>
        <w:pStyle w:val="Textonotapie"/>
        <w:rPr>
          <w:color w:val="0000FF"/>
        </w:rPr>
      </w:pPr>
      <w:r w:rsidRPr="0071438E">
        <w:rPr>
          <w:rStyle w:val="Refdenotaalpie"/>
        </w:rPr>
        <w:footnoteRef/>
      </w:r>
      <w:r w:rsidRPr="0071438E">
        <w:t xml:space="preserve"> </w:t>
      </w:r>
      <w:hyperlink r:id="rId10" w:history="1">
        <w:r w:rsidRPr="00503846">
          <w:rPr>
            <w:rStyle w:val="Hipervnculo"/>
          </w:rPr>
          <w:t>http://www.infodev.org/infodev-files/green-industries.pdf</w:t>
        </w:r>
      </w:hyperlink>
      <w:r w:rsidRPr="00503846">
        <w:rPr>
          <w:color w:val="0000FF"/>
        </w:rPr>
        <w:t xml:space="preserve"> </w:t>
      </w:r>
    </w:p>
  </w:footnote>
  <w:footnote w:id="30">
    <w:p w14:paraId="1E2869C3" w14:textId="77777777" w:rsidR="004E3116" w:rsidRPr="00081771" w:rsidRDefault="004E3116" w:rsidP="004F1C40">
      <w:pPr>
        <w:pStyle w:val="Textonotapie"/>
        <w:ind w:left="198" w:right="-142" w:hanging="198"/>
        <w:jc w:val="both"/>
      </w:pPr>
      <w:r w:rsidRPr="0071438E">
        <w:rPr>
          <w:rStyle w:val="Refdenotaalpie"/>
        </w:rPr>
        <w:footnoteRef/>
      </w:r>
      <w:r w:rsidRPr="0071438E">
        <w:t xml:space="preserve"> INECC / MLED. 2013. “Análisis actualizado de la línea base de emisiones de GEI de México, curva de costo </w:t>
      </w:r>
      <w:r w:rsidRPr="00081771">
        <w:t>marginal de reducción y cartera de proyectos”</w:t>
      </w:r>
    </w:p>
    <w:p w14:paraId="0F6E2866" w14:textId="77777777" w:rsidR="004E3116" w:rsidRPr="001C5989" w:rsidRDefault="004E3116" w:rsidP="009D6EC3">
      <w:pPr>
        <w:pStyle w:val="Textonotapie"/>
        <w:ind w:left="198" w:right="-142"/>
        <w:jc w:val="both"/>
      </w:pPr>
      <w:r w:rsidRPr="00081771">
        <w:t>Nota: Las actividades de reducción consideradas como cleantech incluyen: metano  evitado en agricultura y ganadería, eficiencia energética en edificación, biocombustibles y bioplásticos, eficiencia energética en sector petrolero y gas, energía renovable y reducción de pérdidas de transmisión, transporte, y manejo de residuos sólidos y aguas residuales.</w:t>
      </w:r>
    </w:p>
  </w:footnote>
  <w:footnote w:id="31">
    <w:p w14:paraId="10107A45" w14:textId="17238833" w:rsidR="004E3116" w:rsidRPr="00503846" w:rsidRDefault="004E3116" w:rsidP="00503846">
      <w:pPr>
        <w:pStyle w:val="Textonotapie"/>
        <w:ind w:left="224" w:right="-142" w:hanging="238"/>
        <w:jc w:val="both"/>
        <w:rPr>
          <w:b/>
          <w:color w:val="0000FF"/>
        </w:rPr>
      </w:pPr>
      <w:r w:rsidRPr="001C5989">
        <w:rPr>
          <w:rStyle w:val="Refdenotaalpie"/>
        </w:rPr>
        <w:footnoteRef/>
      </w:r>
      <w:r>
        <w:tab/>
      </w:r>
      <w:r w:rsidRPr="001C5989">
        <w:t xml:space="preserve">Kuznetsov, Y.N. y Dahlman C.J. 2008. </w:t>
      </w:r>
      <w:r w:rsidRPr="00C676DA">
        <w:rPr>
          <w:i/>
        </w:rPr>
        <w:t>Mexico’s Transition to a Knowledge-based Economy: Challenges and Opportunities. The World Bank. Washington DC</w:t>
      </w:r>
      <w:r w:rsidRPr="001C5989">
        <w:t xml:space="preserve">. </w:t>
      </w:r>
      <w:r w:rsidRPr="00503846">
        <w:rPr>
          <w:color w:val="0000FF"/>
          <w:u w:val="single"/>
        </w:rPr>
        <w:t>https://books.google.com.mx/books?id=Gq3pw2fE-vkC&amp;dq=- mexico+transition+economy&amp;source=gbs_navlinks_s</w:t>
      </w:r>
      <w:r w:rsidRPr="00503846">
        <w:rPr>
          <w:b/>
          <w:color w:val="0000FF"/>
        </w:rPr>
        <w:t xml:space="preserve"> </w:t>
      </w:r>
    </w:p>
  </w:footnote>
  <w:footnote w:id="32">
    <w:p w14:paraId="2A6E58A3" w14:textId="556CD0EC" w:rsidR="004E3116" w:rsidRPr="00503846" w:rsidRDefault="004E3116" w:rsidP="00503846">
      <w:pPr>
        <w:pStyle w:val="Textonotapie"/>
        <w:ind w:left="224" w:right="-142" w:hanging="238"/>
        <w:jc w:val="both"/>
        <w:rPr>
          <w:color w:val="0000FF"/>
        </w:rPr>
      </w:pPr>
      <w:r w:rsidRPr="001C5989">
        <w:rPr>
          <w:rStyle w:val="Refdenotaalpie"/>
        </w:rPr>
        <w:footnoteRef/>
      </w:r>
      <w:r>
        <w:tab/>
      </w:r>
      <w:r w:rsidRPr="001C5989">
        <w:t>Fuji, G. y Cervantes, R. 2013. “México: Valor agregado en las exportaciones</w:t>
      </w:r>
      <w:r>
        <w:t xml:space="preserve"> </w:t>
      </w:r>
      <w:r w:rsidRPr="001C5989">
        <w:t xml:space="preserve">manufactureras”, Revista CEPAL. </w:t>
      </w:r>
      <w:hyperlink r:id="rId11" w:history="1">
        <w:r w:rsidRPr="00503846">
          <w:rPr>
            <w:rStyle w:val="Hipervnculo"/>
          </w:rPr>
          <w:t>http://www.cepal.org/publicaciones/xml/4/49524/RVE109FujiiCervantes.pdf</w:t>
        </w:r>
      </w:hyperlink>
      <w:r w:rsidRPr="00503846">
        <w:rPr>
          <w:color w:val="0000FF"/>
        </w:rPr>
        <w:t xml:space="preserve"> </w:t>
      </w:r>
    </w:p>
  </w:footnote>
  <w:footnote w:id="33">
    <w:p w14:paraId="664B267A" w14:textId="5D1891EA" w:rsidR="004E3116" w:rsidRPr="00906E66" w:rsidRDefault="004E3116" w:rsidP="009D6EC3">
      <w:pPr>
        <w:pStyle w:val="Textonotapie"/>
        <w:ind w:left="187" w:right="-142" w:hanging="187"/>
        <w:jc w:val="both"/>
      </w:pPr>
      <w:r w:rsidRPr="00906E66">
        <w:rPr>
          <w:rStyle w:val="Refdenotaalpie"/>
        </w:rPr>
        <w:footnoteRef/>
      </w:r>
      <w:r w:rsidRPr="00906E66">
        <w:t xml:space="preserve"> De acuerdo </w:t>
      </w:r>
      <w:r>
        <w:t>con</w:t>
      </w:r>
      <w:r w:rsidRPr="00906E66">
        <w:t xml:space="preserve"> algunos expertos entrevistados y al perfil de empresas que han participado en el </w:t>
      </w:r>
      <w:r w:rsidRPr="00C676DA">
        <w:rPr>
          <w:i/>
        </w:rPr>
        <w:t xml:space="preserve">Cleantech </w:t>
      </w:r>
      <w:r w:rsidRPr="00906E66">
        <w:t>Challenge México”, principal concurso de emprendedores en este sector.</w:t>
      </w:r>
    </w:p>
  </w:footnote>
  <w:footnote w:id="34">
    <w:p w14:paraId="1D51C88B" w14:textId="77777777" w:rsidR="004E3116" w:rsidRDefault="004E3116" w:rsidP="004E5485">
      <w:pPr>
        <w:pStyle w:val="Textonotapie"/>
        <w:ind w:left="227" w:right="-142" w:hanging="227"/>
        <w:jc w:val="both"/>
      </w:pPr>
      <w:r w:rsidRPr="00906E66">
        <w:rPr>
          <w:rStyle w:val="Refdenotaalpie"/>
        </w:rPr>
        <w:footnoteRef/>
      </w:r>
      <w:r w:rsidRPr="00906E66">
        <w:t xml:space="preserve"> </w:t>
      </w:r>
      <w:r w:rsidRPr="00C676DA">
        <w:rPr>
          <w:i/>
        </w:rPr>
        <w:t>GreenMomentum.</w:t>
      </w:r>
      <w:r w:rsidRPr="00906E66">
        <w:t xml:space="preserve"> 2013. </w:t>
      </w:r>
      <w:r w:rsidRPr="00C676DA">
        <w:rPr>
          <w:i/>
        </w:rPr>
        <w:t>Cleantech Challenge</w:t>
      </w:r>
      <w:r w:rsidRPr="00906E66">
        <w:t xml:space="preserve"> México 2010-2012: Innovación Sustentable.</w:t>
      </w:r>
    </w:p>
    <w:p w14:paraId="6C0FF82D" w14:textId="65E51402" w:rsidR="004E3116" w:rsidRPr="00906E66" w:rsidRDefault="004E3116" w:rsidP="004E5485">
      <w:pPr>
        <w:pStyle w:val="Textonotapie"/>
        <w:ind w:left="227" w:right="-142" w:hanging="227"/>
        <w:jc w:val="both"/>
      </w:pPr>
      <w:r>
        <w:t xml:space="preserve">    </w:t>
      </w:r>
      <w:r w:rsidRPr="00C676DA">
        <w:rPr>
          <w:i/>
        </w:rPr>
        <w:t>USAID- GreenMomentum</w:t>
      </w:r>
      <w:r w:rsidRPr="00906E66">
        <w:t>. México DF.</w:t>
      </w:r>
    </w:p>
  </w:footnote>
  <w:footnote w:id="35">
    <w:p w14:paraId="3BB0B8BB" w14:textId="77777777" w:rsidR="004E3116" w:rsidRPr="00503846" w:rsidRDefault="004E3116" w:rsidP="000677B6">
      <w:pPr>
        <w:pStyle w:val="Textonotapie"/>
        <w:jc w:val="both"/>
        <w:rPr>
          <w:color w:val="0000FF"/>
        </w:rPr>
      </w:pPr>
      <w:r w:rsidRPr="0071438E">
        <w:rPr>
          <w:rStyle w:val="Refdenotaalpie"/>
        </w:rPr>
        <w:footnoteRef/>
      </w:r>
      <w:r w:rsidRPr="0071438E">
        <w:t xml:space="preserve"> </w:t>
      </w:r>
      <w:hyperlink r:id="rId12" w:history="1">
        <w:r w:rsidRPr="00503846">
          <w:rPr>
            <w:rStyle w:val="Hipervnculo"/>
          </w:rPr>
          <w:t>http://www.thegedi.org/global-entrepreneurship-and-development-index-2014-report/</w:t>
        </w:r>
      </w:hyperlink>
      <w:r w:rsidRPr="00503846">
        <w:rPr>
          <w:color w:val="0000FF"/>
        </w:rPr>
        <w:t xml:space="preserve"> </w:t>
      </w:r>
    </w:p>
  </w:footnote>
  <w:footnote w:id="36">
    <w:p w14:paraId="24D059F8" w14:textId="73332B83" w:rsidR="004E3116" w:rsidRPr="00503846" w:rsidRDefault="004E3116" w:rsidP="009D6EC3">
      <w:pPr>
        <w:jc w:val="both"/>
        <w:rPr>
          <w:color w:val="0000FF"/>
        </w:rPr>
      </w:pPr>
      <w:r w:rsidRPr="0071438E">
        <w:rPr>
          <w:rStyle w:val="Refdenotaalpie"/>
          <w:sz w:val="20"/>
          <w:szCs w:val="20"/>
        </w:rPr>
        <w:footnoteRef/>
      </w:r>
      <w:r w:rsidRPr="0071438E">
        <w:rPr>
          <w:sz w:val="20"/>
          <w:szCs w:val="20"/>
        </w:rPr>
        <w:t xml:space="preserve"> </w:t>
      </w:r>
      <w:hyperlink r:id="rId13" w:history="1">
        <w:r w:rsidRPr="00503846">
          <w:rPr>
            <w:rStyle w:val="Hipervnculo"/>
            <w:sz w:val="20"/>
            <w:szCs w:val="20"/>
          </w:rPr>
          <w:t>https://www.globalinnovationindex.org/content.aspx?page=GII-Home</w:t>
        </w:r>
      </w:hyperlink>
      <w:r w:rsidRPr="00503846">
        <w:rPr>
          <w:color w:val="0000FF"/>
          <w:sz w:val="20"/>
          <w:szCs w:val="20"/>
        </w:rPr>
        <w:t xml:space="preserve"> </w:t>
      </w:r>
    </w:p>
  </w:footnote>
  <w:footnote w:id="37">
    <w:p w14:paraId="68184D8B" w14:textId="77777777" w:rsidR="004E3116" w:rsidRPr="00F65EAA" w:rsidRDefault="004E3116" w:rsidP="000677B6">
      <w:pPr>
        <w:pStyle w:val="Textonotapie"/>
        <w:jc w:val="both"/>
      </w:pPr>
      <w:r w:rsidRPr="00F65EAA">
        <w:rPr>
          <w:rStyle w:val="Refdenotaalpie"/>
        </w:rPr>
        <w:footnoteRef/>
      </w:r>
      <w:r w:rsidRPr="00F65EAA">
        <w:t xml:space="preserve"> Fostering Innovation in Mexico, Mexico Institute, Wilson Center -Fundación Idea, 2014.</w:t>
      </w:r>
    </w:p>
  </w:footnote>
  <w:footnote w:id="38">
    <w:p w14:paraId="0763AE28" w14:textId="2377BF09" w:rsidR="004E3116" w:rsidRPr="00AD6275" w:rsidRDefault="004E3116" w:rsidP="000677B6">
      <w:pPr>
        <w:pStyle w:val="Textonotapie"/>
        <w:jc w:val="both"/>
      </w:pPr>
      <w:r w:rsidRPr="00AD6275">
        <w:rPr>
          <w:rStyle w:val="Refdenotaalpie"/>
        </w:rPr>
        <w:footnoteRef/>
      </w:r>
      <w:r w:rsidRPr="00AD6275">
        <w:t xml:space="preserve"> </w:t>
      </w:r>
      <w:hyperlink r:id="rId14" w:history="1">
        <w:r w:rsidRPr="00137135">
          <w:rPr>
            <w:rStyle w:val="Hipervnculo"/>
          </w:rPr>
          <w:t>http://www.oecd.org/sti/inno/Note_MSTI2013_2.pdf</w:t>
        </w:r>
      </w:hyperlink>
      <w:r>
        <w:t xml:space="preserve"> </w:t>
      </w:r>
    </w:p>
  </w:footnote>
  <w:footnote w:id="39">
    <w:p w14:paraId="161CF426" w14:textId="6841CDDB" w:rsidR="004E3116" w:rsidRPr="00DB040E" w:rsidRDefault="004E3116" w:rsidP="000677B6">
      <w:pPr>
        <w:pStyle w:val="Textonotapie"/>
        <w:jc w:val="both"/>
      </w:pPr>
      <w:r w:rsidRPr="00DB040E">
        <w:rPr>
          <w:rStyle w:val="Refdenotaalpie"/>
        </w:rPr>
        <w:footnoteRef/>
      </w:r>
      <w:r w:rsidRPr="00DB040E">
        <w:t xml:space="preserve"> </w:t>
      </w:r>
      <w:hyperlink r:id="rId15" w:history="1">
        <w:r w:rsidRPr="00137135">
          <w:rPr>
            <w:rStyle w:val="Hipervnculo"/>
          </w:rPr>
          <w:t>http://www.dof.gob.mx/nota_detalle.php?codigo=5354626&amp;fecha=30/07/2014</w:t>
        </w:r>
      </w:hyperlink>
      <w:r>
        <w:t xml:space="preserve"> </w:t>
      </w:r>
    </w:p>
  </w:footnote>
  <w:footnote w:id="40">
    <w:p w14:paraId="6FCF1172" w14:textId="72392846" w:rsidR="004E3116" w:rsidRPr="00635AA3" w:rsidRDefault="004E3116" w:rsidP="000677B6">
      <w:pPr>
        <w:pStyle w:val="Textonotapie"/>
        <w:jc w:val="both"/>
      </w:pPr>
      <w:r w:rsidRPr="00635AA3">
        <w:rPr>
          <w:rStyle w:val="Refdenotaalpie"/>
        </w:rPr>
        <w:footnoteRef/>
      </w:r>
      <w:r w:rsidRPr="00635AA3">
        <w:t xml:space="preserve"> </w:t>
      </w:r>
      <w:hyperlink r:id="rId16" w:history="1">
        <w:r w:rsidRPr="00137135">
          <w:rPr>
            <w:rStyle w:val="Hipervnculo"/>
          </w:rPr>
          <w:t>http://www.inegi.org.mx/est/contenidos/proyectos/accesomicrodatos/esidet/default.aspx</w:t>
        </w:r>
      </w:hyperlink>
      <w:r>
        <w:t xml:space="preserve"> </w:t>
      </w:r>
    </w:p>
  </w:footnote>
  <w:footnote w:id="41">
    <w:p w14:paraId="75DD32BB" w14:textId="473429EF" w:rsidR="004E3116" w:rsidRPr="0034379F" w:rsidRDefault="004E3116" w:rsidP="000677B6">
      <w:pPr>
        <w:pStyle w:val="Textonotapie"/>
        <w:jc w:val="both"/>
      </w:pPr>
      <w:r w:rsidRPr="0034379F">
        <w:rPr>
          <w:rStyle w:val="Refdenotaalpie"/>
        </w:rPr>
        <w:footnoteRef/>
      </w:r>
      <w:r w:rsidRPr="0034379F">
        <w:t xml:space="preserve"> </w:t>
      </w:r>
      <w:hyperlink r:id="rId17" w:history="1">
        <w:r w:rsidRPr="00137135">
          <w:rPr>
            <w:rStyle w:val="Hipervnculo"/>
          </w:rPr>
          <w:t>http://stats.oecd.org</w:t>
        </w:r>
      </w:hyperlink>
      <w:r>
        <w:t xml:space="preserve"> </w:t>
      </w:r>
    </w:p>
  </w:footnote>
  <w:footnote w:id="42">
    <w:p w14:paraId="41F01490" w14:textId="77777777" w:rsidR="004E3116" w:rsidRPr="00DD4B7F" w:rsidRDefault="004E3116" w:rsidP="000677B6">
      <w:pPr>
        <w:pStyle w:val="Textonotapie"/>
        <w:jc w:val="both"/>
      </w:pPr>
      <w:r w:rsidRPr="00DD4B7F">
        <w:rPr>
          <w:rStyle w:val="Refdenotaalpie"/>
        </w:rPr>
        <w:footnoteRef/>
      </w:r>
      <w:r w:rsidRPr="00DD4B7F">
        <w:t xml:space="preserve"> Debido a que la vigencia de una patente es de 20 años a partir de la solicitud.</w:t>
      </w:r>
    </w:p>
  </w:footnote>
  <w:footnote w:id="43">
    <w:p w14:paraId="3251B00E" w14:textId="391DFA78" w:rsidR="004E3116" w:rsidRPr="00D061C9" w:rsidRDefault="004E3116" w:rsidP="000677B6">
      <w:pPr>
        <w:pStyle w:val="Textonotapie"/>
        <w:jc w:val="both"/>
      </w:pPr>
      <w:r w:rsidRPr="00D061C9">
        <w:rPr>
          <w:rStyle w:val="Refdenotaalpie"/>
        </w:rPr>
        <w:footnoteRef/>
      </w:r>
      <w:r w:rsidRPr="00D061C9">
        <w:t xml:space="preserve"> IPC Green Inventory. </w:t>
      </w:r>
      <w:hyperlink r:id="rId18" w:history="1">
        <w:r w:rsidRPr="00137135">
          <w:rPr>
            <w:rStyle w:val="Hipervnculo"/>
          </w:rPr>
          <w:t>http://www.wipo.int/classifications/ipc/en/est/index.html</w:t>
        </w:r>
      </w:hyperlink>
      <w:r>
        <w:t xml:space="preserve"> </w:t>
      </w:r>
    </w:p>
  </w:footnote>
  <w:footnote w:id="44">
    <w:p w14:paraId="02DBD777" w14:textId="77777777" w:rsidR="004E3116" w:rsidRDefault="004E3116" w:rsidP="009D6EC3">
      <w:pPr>
        <w:pStyle w:val="Textonotapie"/>
        <w:ind w:left="170" w:right="-142" w:hanging="170"/>
        <w:jc w:val="both"/>
      </w:pPr>
      <w:r w:rsidRPr="00E33D53">
        <w:rPr>
          <w:rStyle w:val="Refdenotaalpie"/>
        </w:rPr>
        <w:footnoteRef/>
      </w:r>
      <w:r w:rsidRPr="00E33D53">
        <w:t xml:space="preserve"> Las siete áreas que se incluyen en el inventario de la OMPI son: producción de energía alternativa, transporte, conservación de la energía, gestión de residuos, agricultura/forestal, administrativo y energía nuclear.</w:t>
      </w:r>
    </w:p>
  </w:footnote>
  <w:footnote w:id="45">
    <w:p w14:paraId="46E5A38E" w14:textId="77777777" w:rsidR="004E3116" w:rsidRPr="004F1C40" w:rsidRDefault="004E3116" w:rsidP="004F1C40">
      <w:pPr>
        <w:pStyle w:val="Textonotapie"/>
        <w:ind w:left="198" w:right="-142" w:hanging="198"/>
        <w:jc w:val="both"/>
      </w:pPr>
      <w:r w:rsidRPr="004F1C40">
        <w:rPr>
          <w:rStyle w:val="Refdenotaalpie"/>
        </w:rPr>
        <w:footnoteRef/>
      </w:r>
      <w:r w:rsidRPr="004F1C40">
        <w:t xml:space="preserve"> OCDE, 2012. Evaluación de la OCDE del sector de las nuevas empresas basadas en el conocimiento: México, p. 75</w:t>
      </w:r>
    </w:p>
  </w:footnote>
  <w:footnote w:id="46">
    <w:p w14:paraId="72C068AF" w14:textId="4E1E91B4" w:rsidR="004E3116" w:rsidRPr="00503846" w:rsidRDefault="004E3116" w:rsidP="000677B6">
      <w:pPr>
        <w:pStyle w:val="Textonotapie"/>
        <w:jc w:val="both"/>
        <w:rPr>
          <w:color w:val="0000FF"/>
        </w:rPr>
      </w:pPr>
      <w:r w:rsidRPr="004F1C40">
        <w:rPr>
          <w:rStyle w:val="Refdenotaalpie"/>
        </w:rPr>
        <w:footnoteRef/>
      </w:r>
      <w:r w:rsidRPr="004F1C40">
        <w:t xml:space="preserve"> </w:t>
      </w:r>
      <w:hyperlink r:id="rId19" w:history="1">
        <w:r w:rsidRPr="00503846">
          <w:rPr>
            <w:rStyle w:val="Hipervnculo"/>
          </w:rPr>
          <w:t>http://web.mit.edu/tlo/www/index.html</w:t>
        </w:r>
      </w:hyperlink>
      <w:r w:rsidRPr="00503846">
        <w:rPr>
          <w:rStyle w:val="Hipervnculo"/>
        </w:rPr>
        <w:t xml:space="preserve"> </w:t>
      </w:r>
      <w:r w:rsidRPr="00503846">
        <w:rPr>
          <w:color w:val="0000FF"/>
        </w:rPr>
        <w:t xml:space="preserve"> </w:t>
      </w:r>
    </w:p>
  </w:footnote>
  <w:footnote w:id="47">
    <w:p w14:paraId="5A7CFA35" w14:textId="77777777" w:rsidR="004E3116" w:rsidRPr="00503846" w:rsidRDefault="004E3116" w:rsidP="000677B6">
      <w:pPr>
        <w:pStyle w:val="Textonotapie"/>
        <w:jc w:val="both"/>
        <w:rPr>
          <w:color w:val="0000FF"/>
        </w:rPr>
      </w:pPr>
      <w:r w:rsidRPr="004F1C40">
        <w:rPr>
          <w:rStyle w:val="Refdenotaalpie"/>
        </w:rPr>
        <w:footnoteRef/>
      </w:r>
      <w:r w:rsidRPr="004F1C40">
        <w:t xml:space="preserve"> </w:t>
      </w:r>
      <w:hyperlink r:id="rId20" w:history="1">
        <w:r w:rsidRPr="00503846">
          <w:rPr>
            <w:rStyle w:val="Hipervnculo"/>
          </w:rPr>
          <w:t>http://www.impi.gob.mx/wb/IMPI/impi_en_cifras2</w:t>
        </w:r>
      </w:hyperlink>
      <w:r w:rsidRPr="00503846">
        <w:rPr>
          <w:color w:val="0000FF"/>
        </w:rPr>
        <w:t xml:space="preserve"> </w:t>
      </w:r>
    </w:p>
  </w:footnote>
  <w:footnote w:id="48">
    <w:p w14:paraId="0797AE2E" w14:textId="77777777" w:rsidR="004E3116" w:rsidRPr="0065533C" w:rsidRDefault="004E3116" w:rsidP="000677B6">
      <w:pPr>
        <w:pStyle w:val="Textonotapie"/>
        <w:jc w:val="both"/>
      </w:pPr>
      <w:r w:rsidRPr="0065533C">
        <w:rPr>
          <w:rStyle w:val="Refdenotaalpie"/>
        </w:rPr>
        <w:footnoteRef/>
      </w:r>
      <w:r w:rsidRPr="0065533C">
        <w:t xml:space="preserve"> IMPI, 2014, IMPI en Cifras Enero 1993 – Enero/Junio 2014,</w:t>
      </w:r>
    </w:p>
  </w:footnote>
  <w:footnote w:id="49">
    <w:p w14:paraId="6101D5E7" w14:textId="77777777" w:rsidR="004E3116" w:rsidRPr="00A47D56" w:rsidRDefault="004E3116" w:rsidP="000677B6">
      <w:pPr>
        <w:pStyle w:val="Textonotapie"/>
        <w:jc w:val="both"/>
      </w:pPr>
      <w:r w:rsidRPr="00A47D56">
        <w:rPr>
          <w:rStyle w:val="Refdenotaalpie"/>
        </w:rPr>
        <w:footnoteRef/>
      </w:r>
      <w:r w:rsidRPr="00A47D56">
        <w:t xml:space="preserve"> Ibid</w:t>
      </w:r>
    </w:p>
  </w:footnote>
  <w:footnote w:id="50">
    <w:p w14:paraId="1E77EBCB" w14:textId="05C88481" w:rsidR="004E3116" w:rsidRPr="00503846" w:rsidRDefault="004E3116" w:rsidP="004F1C40">
      <w:pPr>
        <w:pStyle w:val="Textonotapie"/>
        <w:ind w:left="198" w:right="-142" w:hanging="198"/>
        <w:jc w:val="both"/>
        <w:rPr>
          <w:color w:val="0000FF"/>
          <w:u w:val="single"/>
        </w:rPr>
      </w:pPr>
      <w:r w:rsidRPr="0041300C">
        <w:rPr>
          <w:rStyle w:val="Refdenotaalpie"/>
        </w:rPr>
        <w:footnoteRef/>
      </w:r>
      <w:r w:rsidRPr="0041300C">
        <w:t xml:space="preserve"> OCDE, 2012, Evaluación de la OCDE del Sector de las Nuevas Empresas Basadas en el Conocimiento: México, p. 55. </w:t>
      </w:r>
      <w:r w:rsidRPr="00503846">
        <w:rPr>
          <w:color w:val="0000FF"/>
          <w:u w:val="single"/>
        </w:rPr>
        <w:t xml:space="preserve">http://www.oecd.org/centrodemexico/Evaluaci%C3%B3n_de_la_OCDE_del_sector_de_las_ nuevas_empresas_%20IMPRENTA-1.pdf </w:t>
      </w:r>
    </w:p>
  </w:footnote>
  <w:footnote w:id="51">
    <w:p w14:paraId="799D7B4C" w14:textId="77777777" w:rsidR="004E3116" w:rsidRPr="0041300C" w:rsidRDefault="004E3116" w:rsidP="000677B6">
      <w:pPr>
        <w:pStyle w:val="Textonotapie"/>
        <w:jc w:val="both"/>
      </w:pPr>
      <w:r w:rsidRPr="0041300C">
        <w:rPr>
          <w:rStyle w:val="Refdenotaalpie"/>
        </w:rPr>
        <w:footnoteRef/>
      </w:r>
      <w:r w:rsidRPr="0041300C">
        <w:t xml:space="preserve"> Bloomberg New Energy Finance http://about.bnef.com/</w:t>
      </w:r>
    </w:p>
  </w:footnote>
  <w:footnote w:id="52">
    <w:p w14:paraId="2990076D" w14:textId="77777777" w:rsidR="004E3116" w:rsidRPr="0041300C" w:rsidRDefault="004E3116" w:rsidP="000677B6">
      <w:pPr>
        <w:pStyle w:val="Textonotapie"/>
        <w:jc w:val="both"/>
      </w:pPr>
      <w:r w:rsidRPr="0041300C">
        <w:rPr>
          <w:rStyle w:val="Refdenotaalpie"/>
        </w:rPr>
        <w:footnoteRef/>
      </w:r>
      <w:r w:rsidRPr="0041300C">
        <w:t xml:space="preserve"> EY Cleantech industry performance, Global Cleantech Public Pure-Play Company Analysis, Agosto 2013.</w:t>
      </w:r>
    </w:p>
  </w:footnote>
  <w:footnote w:id="53">
    <w:p w14:paraId="15799AF8" w14:textId="77777777" w:rsidR="004E3116" w:rsidRPr="0041300C" w:rsidRDefault="004E3116" w:rsidP="000677B6">
      <w:pPr>
        <w:pStyle w:val="Textonotapie"/>
        <w:jc w:val="both"/>
      </w:pPr>
      <w:r w:rsidRPr="0041300C">
        <w:rPr>
          <w:rStyle w:val="Refdenotaalpie"/>
        </w:rPr>
        <w:footnoteRef/>
      </w:r>
      <w:r w:rsidRPr="0041300C">
        <w:t xml:space="preserve"> EY Cleantech industry performance, Global Cleantech Public Pure-Play Company Analysis, Agosto 2013.</w:t>
      </w:r>
    </w:p>
  </w:footnote>
  <w:footnote w:id="54">
    <w:p w14:paraId="753AE2AC" w14:textId="77777777" w:rsidR="004E3116" w:rsidRPr="00CD4039" w:rsidRDefault="004E3116" w:rsidP="000677B6">
      <w:pPr>
        <w:pStyle w:val="Textonotapie"/>
        <w:jc w:val="both"/>
      </w:pPr>
      <w:r w:rsidRPr="00CD4039">
        <w:rPr>
          <w:rStyle w:val="Refdenotaalpie"/>
        </w:rPr>
        <w:footnoteRef/>
      </w:r>
      <w:r w:rsidRPr="00CD4039">
        <w:t xml:space="preserve"> EY Cleantech Matters, Global Competitiveness, Global Cleantech Insights and Trends Report, 2013.</w:t>
      </w:r>
    </w:p>
  </w:footnote>
  <w:footnote w:id="55">
    <w:p w14:paraId="6F16E4BB" w14:textId="77777777" w:rsidR="004E3116" w:rsidRPr="00B553E9" w:rsidRDefault="004E3116" w:rsidP="000677B6">
      <w:pPr>
        <w:pStyle w:val="Textonotapie"/>
        <w:jc w:val="both"/>
      </w:pPr>
      <w:r w:rsidRPr="00B553E9">
        <w:rPr>
          <w:rStyle w:val="Refdenotaalpie"/>
        </w:rPr>
        <w:footnoteRef/>
      </w:r>
      <w:r w:rsidRPr="00B553E9">
        <w:t xml:space="preserve"> Monitor Global de la Actividad Emprendedora México 2013.</w:t>
      </w:r>
    </w:p>
  </w:footnote>
  <w:footnote w:id="56">
    <w:p w14:paraId="5C51CAB3" w14:textId="77777777" w:rsidR="004E3116" w:rsidRPr="00B553E9" w:rsidRDefault="004E3116" w:rsidP="000677B6">
      <w:pPr>
        <w:pStyle w:val="Textonotapie"/>
        <w:jc w:val="both"/>
      </w:pPr>
      <w:r w:rsidRPr="00B553E9">
        <w:rPr>
          <w:rStyle w:val="Refdenotaalpie"/>
        </w:rPr>
        <w:footnoteRef/>
      </w:r>
      <w:r w:rsidRPr="00B553E9">
        <w:t xml:space="preserve"> GEM 2010</w:t>
      </w:r>
      <w:r w:rsidRPr="004F1C40">
        <w:rPr>
          <w:i/>
        </w:rPr>
        <w:t>, Israel</w:t>
      </w:r>
      <w:r w:rsidRPr="00B553E9">
        <w:t xml:space="preserve"> </w:t>
      </w:r>
      <w:r w:rsidRPr="004F1C40">
        <w:rPr>
          <w:i/>
        </w:rPr>
        <w:t>National Entrepreneurship Report</w:t>
      </w:r>
      <w:r w:rsidRPr="00B553E9">
        <w:t>.</w:t>
      </w:r>
    </w:p>
  </w:footnote>
  <w:footnote w:id="57">
    <w:p w14:paraId="48DA1D1A" w14:textId="77777777" w:rsidR="004E3116" w:rsidRPr="00433B49" w:rsidRDefault="004E3116" w:rsidP="000677B6">
      <w:pPr>
        <w:pStyle w:val="Textonotapie"/>
        <w:ind w:left="170" w:right="-142" w:hanging="170"/>
        <w:jc w:val="both"/>
      </w:pPr>
      <w:r w:rsidRPr="00433B49">
        <w:rPr>
          <w:rStyle w:val="Refdenotaalpie"/>
        </w:rPr>
        <w:footnoteRef/>
      </w:r>
      <w:r w:rsidRPr="00433B49">
        <w:t xml:space="preserve"> </w:t>
      </w:r>
      <w:r w:rsidRPr="004F1C40">
        <w:rPr>
          <w:i/>
        </w:rPr>
        <w:t>The Global Innovation Index</w:t>
      </w:r>
      <w:r w:rsidRPr="00433B49">
        <w:t xml:space="preserve"> 2014, </w:t>
      </w:r>
      <w:r w:rsidRPr="004F1C40">
        <w:rPr>
          <w:i/>
        </w:rPr>
        <w:t>The Human Factor Innovation, Cornell University, INSEAD, WIPO,</w:t>
      </w:r>
      <w:r w:rsidRPr="00433B49">
        <w:t xml:space="preserve"> 2014.</w:t>
      </w:r>
    </w:p>
  </w:footnote>
  <w:footnote w:id="58">
    <w:p w14:paraId="729B53BF" w14:textId="77777777" w:rsidR="004E3116" w:rsidRPr="00433B49" w:rsidRDefault="004E3116" w:rsidP="000677B6">
      <w:pPr>
        <w:pStyle w:val="Textonotapie"/>
        <w:jc w:val="both"/>
      </w:pPr>
      <w:r w:rsidRPr="00433B49">
        <w:rPr>
          <w:rStyle w:val="Refdenotaalpie"/>
        </w:rPr>
        <w:footnoteRef/>
      </w:r>
      <w:r w:rsidRPr="00433B49">
        <w:t xml:space="preserve"> </w:t>
      </w:r>
      <w:r w:rsidRPr="004F1C40">
        <w:rPr>
          <w:i/>
        </w:rPr>
        <w:t>Cleantech Energy Patent Growth Index, Cleantech Group- Heslin Rothenberg Farley &amp; Mesiti P.C.,</w:t>
      </w:r>
      <w:r w:rsidRPr="00433B49">
        <w:t xml:space="preserve"> 2014</w:t>
      </w:r>
    </w:p>
  </w:footnote>
  <w:footnote w:id="59">
    <w:p w14:paraId="4BE8B667" w14:textId="77777777" w:rsidR="004E3116" w:rsidRPr="00433B49" w:rsidRDefault="004E3116" w:rsidP="000677B6">
      <w:pPr>
        <w:pStyle w:val="Textonotapie"/>
        <w:jc w:val="both"/>
      </w:pPr>
      <w:r w:rsidRPr="00433B49">
        <w:rPr>
          <w:rStyle w:val="Refdenotaalpie"/>
        </w:rPr>
        <w:footnoteRef/>
      </w:r>
      <w:r w:rsidRPr="00433B49">
        <w:t xml:space="preserve"> </w:t>
      </w:r>
      <w:r w:rsidRPr="004F1C40">
        <w:rPr>
          <w:i/>
        </w:rPr>
        <w:t>California Green Innovation Index, 6th  Edition, NEXT</w:t>
      </w:r>
      <w:r w:rsidRPr="00433B49">
        <w:t xml:space="preserve"> 10, 2014</w:t>
      </w:r>
    </w:p>
  </w:footnote>
  <w:footnote w:id="60">
    <w:p w14:paraId="39AA7C8A" w14:textId="77777777" w:rsidR="004E3116" w:rsidRDefault="004E3116" w:rsidP="000677B6">
      <w:pPr>
        <w:pStyle w:val="Textonotapie"/>
      </w:pPr>
      <w:r>
        <w:rPr>
          <w:rStyle w:val="Refdenotaalpie"/>
        </w:rPr>
        <w:footnoteRef/>
      </w:r>
      <w:r w:rsidRPr="00AA7A20">
        <w:t xml:space="preserve"> Ibid</w:t>
      </w:r>
    </w:p>
  </w:footnote>
  <w:footnote w:id="61">
    <w:p w14:paraId="5E32023D" w14:textId="77777777" w:rsidR="004E3116" w:rsidRDefault="004E3116" w:rsidP="004F1C40">
      <w:pPr>
        <w:pStyle w:val="Textonotapie"/>
        <w:ind w:left="198" w:right="-142" w:hanging="198"/>
        <w:jc w:val="both"/>
      </w:pPr>
      <w:r w:rsidRPr="004F1C40">
        <w:rPr>
          <w:rStyle w:val="Refdenotaalpie"/>
        </w:rPr>
        <w:footnoteRef/>
      </w:r>
      <w:r w:rsidRPr="004F1C40">
        <w:t xml:space="preserve"> </w:t>
      </w:r>
      <w:r w:rsidRPr="004F1C40">
        <w:rPr>
          <w:i/>
        </w:rPr>
        <w:t>EY Cleantech Matters, Global Competitiveness, Global Cleantech Insights and Trends Report</w:t>
      </w:r>
      <w:r w:rsidRPr="004F1C40">
        <w:t xml:space="preserve">, 2013. </w:t>
      </w:r>
    </w:p>
    <w:p w14:paraId="1536D2A5" w14:textId="1C320569" w:rsidR="004E3116" w:rsidRPr="00753258" w:rsidRDefault="004E3116" w:rsidP="009D6EC3">
      <w:pPr>
        <w:pStyle w:val="Textonotapie"/>
        <w:ind w:left="368" w:right="-142" w:hanging="198"/>
        <w:jc w:val="both"/>
        <w:rPr>
          <w:color w:val="0000FF"/>
        </w:rPr>
      </w:pPr>
      <w:r w:rsidRPr="00753258">
        <w:rPr>
          <w:color w:val="0000FF"/>
        </w:rPr>
        <w:t>http://</w:t>
      </w:r>
      <w:hyperlink r:id="rId21" w:history="1">
        <w:r w:rsidRPr="00753258">
          <w:rPr>
            <w:rStyle w:val="Hipervnculo"/>
          </w:rPr>
          <w:t>www.ey.com/GL/en/Services/Strategic-Growth-Markets/Global-VC-insights-and-trends-report-2013</w:t>
        </w:r>
      </w:hyperlink>
      <w:r w:rsidRPr="00753258">
        <w:rPr>
          <w:color w:val="0000FF"/>
        </w:rPr>
        <w:t xml:space="preserve"> </w:t>
      </w:r>
    </w:p>
  </w:footnote>
  <w:footnote w:id="62">
    <w:p w14:paraId="733BC979" w14:textId="77777777" w:rsidR="004E3116" w:rsidRPr="00753258" w:rsidRDefault="004E3116" w:rsidP="000677B6">
      <w:pPr>
        <w:pStyle w:val="Textonotapie"/>
        <w:jc w:val="both"/>
        <w:rPr>
          <w:color w:val="0000FF"/>
        </w:rPr>
      </w:pPr>
      <w:r w:rsidRPr="004F1C40">
        <w:rPr>
          <w:rStyle w:val="Refdenotaalpie"/>
        </w:rPr>
        <w:footnoteRef/>
      </w:r>
      <w:r w:rsidRPr="004F1C40">
        <w:t xml:space="preserve"> </w:t>
      </w:r>
      <w:hyperlink r:id="rId22" w:history="1">
        <w:r w:rsidRPr="00753258">
          <w:rPr>
            <w:rStyle w:val="Hipervnculo"/>
          </w:rPr>
          <w:t>http://www.cleantechcluster.fi</w:t>
        </w:r>
      </w:hyperlink>
      <w:r w:rsidRPr="00753258">
        <w:rPr>
          <w:color w:val="0000FF"/>
        </w:rPr>
        <w:t xml:space="preserve"> </w:t>
      </w:r>
    </w:p>
  </w:footnote>
  <w:footnote w:id="63">
    <w:p w14:paraId="57AD1660" w14:textId="77777777" w:rsidR="004E3116" w:rsidRPr="004F1C40" w:rsidRDefault="004E3116" w:rsidP="000677B6">
      <w:pPr>
        <w:pStyle w:val="Textonotapie"/>
        <w:ind w:left="170" w:hanging="170"/>
        <w:jc w:val="both"/>
      </w:pPr>
      <w:r w:rsidRPr="004F1C40">
        <w:rPr>
          <w:rStyle w:val="Refdenotaalpie"/>
        </w:rPr>
        <w:footnoteRef/>
      </w:r>
      <w:r w:rsidRPr="004F1C40">
        <w:t xml:space="preserve"> </w:t>
      </w:r>
      <w:r w:rsidRPr="004F1C40">
        <w:rPr>
          <w:i/>
        </w:rPr>
        <w:t>Strategic global marketing of Nordic cleantech clusters and competencies, Lighthouse Project, Nordic Innovation</w:t>
      </w:r>
      <w:r w:rsidRPr="004F1C40">
        <w:t>, 2012</w:t>
      </w:r>
    </w:p>
  </w:footnote>
  <w:footnote w:id="64">
    <w:p w14:paraId="26403E9D" w14:textId="77777777" w:rsidR="004E3116" w:rsidRPr="00753258" w:rsidRDefault="004E3116" w:rsidP="000677B6">
      <w:pPr>
        <w:pStyle w:val="Textonotapie"/>
        <w:jc w:val="both"/>
        <w:rPr>
          <w:color w:val="0000FF"/>
        </w:rPr>
      </w:pPr>
      <w:r w:rsidRPr="00F95D26">
        <w:rPr>
          <w:rStyle w:val="Refdenotaalpie"/>
        </w:rPr>
        <w:footnoteRef/>
      </w:r>
      <w:r w:rsidRPr="00F95D26">
        <w:t xml:space="preserve"> </w:t>
      </w:r>
      <w:hyperlink r:id="rId23" w:history="1">
        <w:r w:rsidRPr="00753258">
          <w:rPr>
            <w:rStyle w:val="Hipervnculo"/>
          </w:rPr>
          <w:t>http://mim.promexico.gob.mx/wb/mim/cluster_mapping</w:t>
        </w:r>
      </w:hyperlink>
      <w:r w:rsidRPr="00753258">
        <w:rPr>
          <w:color w:val="0000FF"/>
        </w:rPr>
        <w:t xml:space="preserve"> </w:t>
      </w:r>
    </w:p>
  </w:footnote>
  <w:footnote w:id="65">
    <w:p w14:paraId="09AEC96E" w14:textId="77777777" w:rsidR="004E3116" w:rsidRPr="00753258" w:rsidRDefault="004E3116" w:rsidP="000677B6">
      <w:pPr>
        <w:pStyle w:val="Textonotapie"/>
        <w:jc w:val="both"/>
        <w:rPr>
          <w:color w:val="0000FF"/>
        </w:rPr>
      </w:pPr>
      <w:r w:rsidRPr="00F95D26">
        <w:rPr>
          <w:rStyle w:val="Refdenotaalpie"/>
        </w:rPr>
        <w:footnoteRef/>
      </w:r>
      <w:r w:rsidRPr="00F95D26">
        <w:t xml:space="preserve"> </w:t>
      </w:r>
      <w:hyperlink r:id="rId24" w:history="1">
        <w:r w:rsidRPr="00753258">
          <w:rPr>
            <w:rStyle w:val="Hipervnculo"/>
          </w:rPr>
          <w:t>http://www.state.gov/e/eb/cba/entrepreneurship/museic/</w:t>
        </w:r>
      </w:hyperlink>
      <w:r w:rsidRPr="00753258">
        <w:rPr>
          <w:color w:val="0000FF"/>
        </w:rPr>
        <w:t xml:space="preserve"> </w:t>
      </w:r>
    </w:p>
  </w:footnote>
  <w:footnote w:id="66">
    <w:p w14:paraId="117243E0" w14:textId="77777777" w:rsidR="004E3116" w:rsidRPr="00753258" w:rsidRDefault="004E3116" w:rsidP="000677B6">
      <w:pPr>
        <w:pStyle w:val="Textonotapie"/>
        <w:jc w:val="both"/>
        <w:rPr>
          <w:color w:val="0000FF"/>
        </w:rPr>
      </w:pPr>
      <w:r w:rsidRPr="00F95D26">
        <w:rPr>
          <w:rStyle w:val="Refdenotaalpie"/>
        </w:rPr>
        <w:footnoteRef/>
      </w:r>
      <w:r w:rsidRPr="00F95D26">
        <w:t xml:space="preserve"> </w:t>
      </w:r>
      <w:hyperlink r:id="rId25" w:history="1">
        <w:r w:rsidRPr="00753258">
          <w:rPr>
            <w:rStyle w:val="Hipervnculo"/>
          </w:rPr>
          <w:t>http://www.mexican-tp.org/</w:t>
        </w:r>
      </w:hyperlink>
      <w:r w:rsidRPr="00753258">
        <w:rPr>
          <w:color w:val="0000FF"/>
        </w:rPr>
        <w:t xml:space="preserve"> </w:t>
      </w:r>
    </w:p>
  </w:footnote>
  <w:footnote w:id="67">
    <w:p w14:paraId="67A2A3B7" w14:textId="77777777" w:rsidR="004E3116" w:rsidRPr="00B35BB9" w:rsidRDefault="004E3116" w:rsidP="009D6EC3">
      <w:pPr>
        <w:pStyle w:val="Textonotapie"/>
        <w:ind w:left="170" w:hanging="170"/>
        <w:jc w:val="both"/>
        <w:rPr>
          <w:color w:val="0000FF"/>
          <w:u w:val="single"/>
        </w:rPr>
      </w:pPr>
      <w:r w:rsidRPr="00F95D26">
        <w:rPr>
          <w:rStyle w:val="Refdenotaalpie"/>
        </w:rPr>
        <w:footnoteRef/>
      </w:r>
      <w:r w:rsidRPr="00F95D26">
        <w:t xml:space="preserve"> Rodríguez, I. 2011. Exportación: sólo para grandes empresas. CNNExpansión</w:t>
      </w:r>
      <w:r w:rsidRPr="00B35BB9">
        <w:rPr>
          <w:color w:val="0000FF"/>
          <w:u w:val="single"/>
        </w:rPr>
        <w:t>. http://www.cnnexpansion. com/manufactura/2011/10/12/exportacion-solo-para-grandes-empresas</w:t>
      </w:r>
    </w:p>
  </w:footnote>
  <w:footnote w:id="68">
    <w:p w14:paraId="06184B90" w14:textId="45B46D52" w:rsidR="004E3116" w:rsidRDefault="004E3116" w:rsidP="00753258">
      <w:pPr>
        <w:pStyle w:val="Textonotapie"/>
        <w:ind w:left="168" w:hanging="184"/>
        <w:jc w:val="both"/>
      </w:pPr>
      <w:r w:rsidRPr="000B2DD8">
        <w:rPr>
          <w:rStyle w:val="Refdenotaalpie"/>
        </w:rPr>
        <w:footnoteRef/>
      </w:r>
      <w:r w:rsidRPr="000B2DD8">
        <w:t xml:space="preserve"> Iniciativa de la Ley Orgánica de la Procuraduría Federal de Protección al Ambiente, Gaceta</w:t>
      </w:r>
      <w:r>
        <w:t xml:space="preserve"> </w:t>
      </w:r>
      <w:r w:rsidRPr="000B2DD8">
        <w:t>Parlamentaria, Número 3703-II, 2013.</w:t>
      </w:r>
    </w:p>
  </w:footnote>
  <w:footnote w:id="69">
    <w:p w14:paraId="6D177C25" w14:textId="77777777" w:rsidR="004E3116" w:rsidRPr="00FE1C03" w:rsidRDefault="004E3116" w:rsidP="00DF71BD">
      <w:pPr>
        <w:pStyle w:val="Textonotapie"/>
        <w:ind w:left="181" w:right="-142" w:hanging="181"/>
        <w:jc w:val="both"/>
      </w:pPr>
      <w:r w:rsidRPr="00FE1C03">
        <w:rPr>
          <w:rStyle w:val="Refdenotaalpie"/>
        </w:rPr>
        <w:footnoteRef/>
      </w:r>
      <w:r w:rsidRPr="00FE1C03">
        <w:t xml:space="preserve"> Por ejemplo, en México crear una nueva Norma Oficial Mexicana tarda e</w:t>
      </w:r>
      <w:r>
        <w:t>n promedio 408 días de acuerdo con</w:t>
      </w:r>
      <w:r w:rsidRPr="00FE1C03">
        <w:t xml:space="preserve"> un análisis de IMCO, mientras que la revisión y actualización pueden demorar varios años.</w:t>
      </w:r>
    </w:p>
  </w:footnote>
  <w:footnote w:id="70">
    <w:p w14:paraId="3902976B" w14:textId="77777777" w:rsidR="004E3116" w:rsidRPr="00835BFF" w:rsidRDefault="004E3116" w:rsidP="000677B6">
      <w:pPr>
        <w:pStyle w:val="Textonotapie"/>
        <w:jc w:val="both"/>
      </w:pPr>
      <w:r w:rsidRPr="00835BFF">
        <w:rPr>
          <w:rStyle w:val="Refdenotaalpie"/>
        </w:rPr>
        <w:footnoteRef/>
      </w:r>
      <w:r w:rsidRPr="00835BFF">
        <w:t xml:space="preserve"> Rivero y García 2011</w:t>
      </w:r>
    </w:p>
  </w:footnote>
  <w:footnote w:id="71">
    <w:p w14:paraId="3377C701" w14:textId="77777777" w:rsidR="004E3116" w:rsidRPr="006B65BD" w:rsidRDefault="004E3116" w:rsidP="000677B6">
      <w:pPr>
        <w:pStyle w:val="Textonotapie"/>
        <w:jc w:val="both"/>
      </w:pPr>
      <w:r w:rsidRPr="006B65BD">
        <w:rPr>
          <w:rStyle w:val="Refdenotaalpie"/>
        </w:rPr>
        <w:footnoteRef/>
      </w:r>
      <w:r w:rsidRPr="006B65BD">
        <w:t xml:space="preserve"> SIAP 2012</w:t>
      </w:r>
    </w:p>
  </w:footnote>
  <w:footnote w:id="72">
    <w:p w14:paraId="151A30C1" w14:textId="2351D065" w:rsidR="004E3116" w:rsidRPr="00753258" w:rsidRDefault="004E3116" w:rsidP="000677B6">
      <w:pPr>
        <w:pStyle w:val="Textonotapie"/>
        <w:ind w:left="170" w:right="-142" w:hanging="170"/>
        <w:jc w:val="both"/>
        <w:rPr>
          <w:color w:val="0000FF"/>
        </w:rPr>
      </w:pPr>
      <w:r w:rsidRPr="004F1C40">
        <w:rPr>
          <w:rStyle w:val="Refdenotaalpie"/>
        </w:rPr>
        <w:footnoteRef/>
      </w:r>
      <w:r w:rsidRPr="004F1C40">
        <w:t xml:space="preserve"> OECD Investment Policy Reviews: Colombia 2012 disponible en </w:t>
      </w:r>
      <w:hyperlink r:id="rId26" w:history="1">
        <w:r w:rsidRPr="00753258">
          <w:rPr>
            <w:rStyle w:val="Hipervnculo"/>
          </w:rPr>
          <w:t>http://dx.doi.org/10.1787/9789264167742-en</w:t>
        </w:r>
      </w:hyperlink>
      <w:r w:rsidRPr="00753258">
        <w:rPr>
          <w:color w:val="0000FF"/>
        </w:rPr>
        <w:t xml:space="preserve">  </w:t>
      </w:r>
    </w:p>
  </w:footnote>
  <w:footnote w:id="73">
    <w:p w14:paraId="28CD2937" w14:textId="77777777" w:rsidR="004E3116" w:rsidRPr="00706886" w:rsidRDefault="004E3116" w:rsidP="004F1C40">
      <w:pPr>
        <w:pStyle w:val="Textonotapie"/>
        <w:ind w:left="198" w:hanging="198"/>
        <w:jc w:val="both"/>
      </w:pPr>
      <w:r w:rsidRPr="00706886">
        <w:rPr>
          <w:rStyle w:val="Refdenotaalpie"/>
        </w:rPr>
        <w:footnoteRef/>
      </w:r>
      <w:r w:rsidRPr="00706886">
        <w:t xml:space="preserve"> De acuerdo con los resultados de la encuesta realizada, 66% de las empresas que han</w:t>
      </w:r>
      <w:r>
        <w:t xml:space="preserve"> </w:t>
      </w:r>
      <w:r w:rsidRPr="00706886">
        <w:t>recibido recursos gubernamentales los obtuvieron a través del INADEM.</w:t>
      </w:r>
    </w:p>
  </w:footnote>
  <w:footnote w:id="74">
    <w:p w14:paraId="2A12BC0A" w14:textId="2D0CB8B0" w:rsidR="004E3116" w:rsidRPr="00753258" w:rsidRDefault="004E3116" w:rsidP="00FD11EE">
      <w:pPr>
        <w:ind w:left="227" w:right="-142" w:hanging="227"/>
        <w:jc w:val="both"/>
        <w:rPr>
          <w:color w:val="0000FF"/>
          <w:sz w:val="20"/>
          <w:szCs w:val="20"/>
        </w:rPr>
      </w:pPr>
      <w:r w:rsidRPr="00753258">
        <w:rPr>
          <w:rStyle w:val="Refdenotaalpie"/>
          <w:sz w:val="20"/>
          <w:szCs w:val="20"/>
        </w:rPr>
        <w:footnoteRef/>
      </w:r>
      <w:r w:rsidRPr="00753258">
        <w:rPr>
          <w:sz w:val="20"/>
          <w:szCs w:val="20"/>
        </w:rPr>
        <w:t xml:space="preserve"> OECD Investment Policy Reviews: Colombia 2012 disponible en </w:t>
      </w:r>
      <w:hyperlink r:id="rId27" w:history="1">
        <w:r w:rsidRPr="00753258">
          <w:rPr>
            <w:rStyle w:val="Hipervnculo"/>
            <w:sz w:val="20"/>
            <w:szCs w:val="20"/>
          </w:rPr>
          <w:t>http://dx.doi.org/10.1787/9789264167742-en</w:t>
        </w:r>
      </w:hyperlink>
    </w:p>
  </w:footnote>
  <w:footnote w:id="75">
    <w:p w14:paraId="62C19ED2" w14:textId="77777777" w:rsidR="004E3116" w:rsidRPr="00BA4D74" w:rsidRDefault="004E3116" w:rsidP="00FD11EE">
      <w:pPr>
        <w:pStyle w:val="Textonotapie"/>
        <w:ind w:left="187" w:hanging="187"/>
        <w:rPr>
          <w:lang w:val="es-MX"/>
        </w:rPr>
      </w:pPr>
      <w:r w:rsidRPr="00BA4D74">
        <w:rPr>
          <w:rStyle w:val="Refdenotaalpie"/>
        </w:rPr>
        <w:footnoteRef/>
      </w:r>
      <w:r>
        <w:rPr>
          <w:lang w:val="es-MX"/>
        </w:rPr>
        <w:t xml:space="preserve"> </w:t>
      </w:r>
      <w:r w:rsidRPr="009D3F53">
        <w:rPr>
          <w:lang w:val="es-MX"/>
        </w:rPr>
        <w:t>Comisión Económica para América Latina y el Caribe. Extracto de comunicado de prensa publicado el 13 de febrero de 2015</w:t>
      </w:r>
      <w:r w:rsidRPr="00BA4D74">
        <w:rPr>
          <w:lang w:val="es-MX"/>
        </w:rPr>
        <w:t>.</w:t>
      </w:r>
    </w:p>
  </w:footnote>
  <w:footnote w:id="76">
    <w:p w14:paraId="38F6D068" w14:textId="77777777" w:rsidR="004E3116" w:rsidRPr="00325F6A" w:rsidRDefault="004E3116" w:rsidP="00FD11EE">
      <w:pPr>
        <w:pStyle w:val="Textonotapie"/>
        <w:ind w:left="187" w:hanging="187"/>
        <w:rPr>
          <w:lang w:val="es-MX"/>
        </w:rPr>
      </w:pPr>
      <w:r>
        <w:rPr>
          <w:rStyle w:val="Refdenotaalpie"/>
        </w:rPr>
        <w:footnoteRef/>
      </w:r>
      <w:r>
        <w:t xml:space="preserve"> </w:t>
      </w:r>
      <w:r>
        <w:rPr>
          <w:lang w:val="es-MX"/>
        </w:rPr>
        <w:t>Banco de México. Encuesta sobre las expectativas de los especialistas en economía del sector privado: Febrero 2015, publicado el 5 de marzo de 2015.</w:t>
      </w:r>
    </w:p>
  </w:footnote>
  <w:footnote w:id="77">
    <w:p w14:paraId="6FA5F1C2" w14:textId="77777777" w:rsidR="004E3116" w:rsidRPr="002A499F" w:rsidRDefault="004E3116" w:rsidP="003958FD">
      <w:pPr>
        <w:pStyle w:val="Textonotapie"/>
        <w:rPr>
          <w:lang w:val="es-MX"/>
        </w:rPr>
      </w:pPr>
      <w:r>
        <w:rPr>
          <w:rStyle w:val="Refdenotaalpie"/>
        </w:rPr>
        <w:footnoteRef/>
      </w:r>
      <w:r>
        <w:t xml:space="preserve"> </w:t>
      </w:r>
      <w:r w:rsidRPr="009A4CE7">
        <w:rPr>
          <w:i/>
        </w:rPr>
        <w:t>The Conference Board, Consumer Confiedence Index</w:t>
      </w:r>
      <w:r w:rsidRPr="002A499F">
        <w:t>, 2</w:t>
      </w:r>
      <w:r>
        <w:t>4</w:t>
      </w:r>
      <w:r w:rsidRPr="002A499F">
        <w:t xml:space="preserve"> de </w:t>
      </w:r>
      <w:r>
        <w:t>f</w:t>
      </w:r>
      <w:r w:rsidRPr="002A499F">
        <w:t>e</w:t>
      </w:r>
      <w:r>
        <w:t>br</w:t>
      </w:r>
      <w:r w:rsidRPr="002A499F">
        <w:t>ero de 2015.</w:t>
      </w:r>
    </w:p>
  </w:footnote>
  <w:footnote w:id="78">
    <w:p w14:paraId="4C38805C" w14:textId="4006B2C2" w:rsidR="004E3116" w:rsidRPr="00A0140A" w:rsidRDefault="004E3116" w:rsidP="00FD11EE">
      <w:pPr>
        <w:pStyle w:val="Textonotapie"/>
        <w:ind w:left="187" w:hanging="187"/>
        <w:rPr>
          <w:lang w:val="es-MX"/>
        </w:rPr>
      </w:pPr>
      <w:r>
        <w:rPr>
          <w:rStyle w:val="Refdenotaalpie"/>
        </w:rPr>
        <w:footnoteRef/>
      </w:r>
      <w:r>
        <w:t xml:space="preserve"> </w:t>
      </w:r>
      <w:r w:rsidRPr="00A0140A">
        <w:t>B</w:t>
      </w:r>
      <w:r>
        <w:t>anxico</w:t>
      </w:r>
      <w:r w:rsidRPr="00A0140A">
        <w:t xml:space="preserve">, Índice de Confianza del Consumidor: Cifras a </w:t>
      </w:r>
      <w:r>
        <w:t>Febr</w:t>
      </w:r>
      <w:r w:rsidRPr="00A0140A">
        <w:t xml:space="preserve">ero 2015. Reporte publicado el 6 de </w:t>
      </w:r>
      <w:r>
        <w:t>ma</w:t>
      </w:r>
      <w:r w:rsidRPr="00A0140A">
        <w:t>r</w:t>
      </w:r>
      <w:r>
        <w:t>z</w:t>
      </w:r>
      <w:r w:rsidRPr="00A0140A">
        <w:t>o de 2015.</w:t>
      </w:r>
    </w:p>
  </w:footnote>
  <w:footnote w:id="79">
    <w:p w14:paraId="2EA11E04" w14:textId="77777777" w:rsidR="004E3116" w:rsidRPr="00EB5A79" w:rsidRDefault="004E3116" w:rsidP="003958FD">
      <w:pPr>
        <w:pStyle w:val="Textonotapie"/>
        <w:ind w:left="198" w:right="-91" w:hanging="198"/>
        <w:jc w:val="both"/>
        <w:rPr>
          <w:lang w:val="es-MX"/>
        </w:rPr>
      </w:pPr>
      <w:r w:rsidRPr="00EB5A79">
        <w:rPr>
          <w:rStyle w:val="Refdenotaalpie"/>
        </w:rPr>
        <w:footnoteRef/>
      </w:r>
      <w:r w:rsidRPr="00EB5A79">
        <w:t xml:space="preserve"> Fuente: INEGI. Banco de Información Económica. Sector Externo. Exportaciones según principales productos del Sistema Armonizado de Designación y Codificación de Mercancías.</w:t>
      </w:r>
    </w:p>
  </w:footnote>
  <w:footnote w:id="80">
    <w:p w14:paraId="7FE556C6" w14:textId="77777777" w:rsidR="004E3116" w:rsidRPr="0047336E" w:rsidRDefault="004E3116" w:rsidP="00CB3D67">
      <w:pPr>
        <w:pStyle w:val="Textonotapie"/>
        <w:ind w:left="113" w:right="-93" w:hanging="113"/>
        <w:jc w:val="both"/>
      </w:pPr>
      <w:r w:rsidRPr="00917DC0">
        <w:rPr>
          <w:vertAlign w:val="superscript"/>
        </w:rPr>
        <w:footnoteRef/>
      </w:r>
      <w:r w:rsidRPr="0047336E">
        <w:t xml:space="preserve"> Dos incentivos habituales son el subsidio a la calidad d</w:t>
      </w:r>
      <w:r>
        <w:t>e vida y la prima por movilidad.</w:t>
      </w:r>
    </w:p>
    <w:p w14:paraId="1C3EDEBF" w14:textId="77777777" w:rsidR="004E3116" w:rsidRPr="0047336E" w:rsidRDefault="004E3116" w:rsidP="00CB3D67">
      <w:pPr>
        <w:pStyle w:val="Textonotapie"/>
        <w:ind w:left="113" w:right="-93" w:hanging="113"/>
        <w:jc w:val="both"/>
      </w:pPr>
    </w:p>
  </w:footnote>
  <w:footnote w:id="81">
    <w:p w14:paraId="594D3FE4" w14:textId="75A84D48" w:rsidR="004E3116" w:rsidRPr="00505C4C" w:rsidRDefault="004E3116" w:rsidP="008E7F51">
      <w:pPr>
        <w:pStyle w:val="Textonotapie"/>
        <w:ind w:left="170" w:hanging="170"/>
        <w:jc w:val="both"/>
        <w:rPr>
          <w:lang w:val="es-MX"/>
        </w:rPr>
      </w:pPr>
      <w:r w:rsidRPr="00505C4C">
        <w:rPr>
          <w:rStyle w:val="Refdenotaalpie"/>
        </w:rPr>
        <w:footnoteRef/>
      </w:r>
      <w:r w:rsidRPr="00505C4C">
        <w:t xml:space="preserve"> </w:t>
      </w:r>
      <w:r w:rsidRPr="00E04EE7">
        <w:t>Tipo de cambio, representa</w:t>
      </w:r>
      <w:r>
        <w:t>do</w:t>
      </w:r>
      <w:r w:rsidRPr="00E04EE7">
        <w:t xml:space="preserve"> al 1 de marzo de 2015: 1 JPY = 0.0074 euros</w:t>
      </w:r>
      <w:r>
        <w:t>.</w:t>
      </w:r>
    </w:p>
  </w:footnote>
  <w:footnote w:id="82">
    <w:p w14:paraId="0F1B7E53" w14:textId="77777777" w:rsidR="004E3116" w:rsidRPr="005C0CDD" w:rsidRDefault="004E3116" w:rsidP="00156E9C">
      <w:pPr>
        <w:autoSpaceDE w:val="0"/>
        <w:autoSpaceDN w:val="0"/>
        <w:adjustRightInd w:val="0"/>
        <w:ind w:left="187" w:right="-159" w:hanging="187"/>
        <w:jc w:val="both"/>
        <w:rPr>
          <w:sz w:val="20"/>
          <w:szCs w:val="20"/>
        </w:rPr>
      </w:pPr>
      <w:r w:rsidRPr="005C0CDD">
        <w:rPr>
          <w:rStyle w:val="Refdenotaalpie"/>
          <w:sz w:val="20"/>
          <w:szCs w:val="20"/>
        </w:rPr>
        <w:footnoteRef/>
      </w:r>
      <w:r w:rsidRPr="005C0CDD">
        <w:rPr>
          <w:sz w:val="20"/>
          <w:szCs w:val="20"/>
        </w:rPr>
        <w:t xml:space="preserve"> En específico, se muestra en las gráficas la media, la mediana y el intervalo intercuartil. La media representa el promedio de las respuestas de los analistas en cada encuesta mensual. La mediana es el valor que divide a la mitad a la distribución de las respuestas obtenidas cada mes, una vez que éstas han sido ordenadas de menor a mayor; es decir, es el valor en el cual se acumula el 50% de la distribución de los datos. El intervalo intercuartil corresponde al rango de valores entre el primer y el tercer cuartil de la distribución de respuestas obtenidas de los analistas cada mes.</w:t>
      </w:r>
    </w:p>
  </w:footnote>
  <w:footnote w:id="83">
    <w:p w14:paraId="2CC9DFBD" w14:textId="77777777" w:rsidR="004E3116" w:rsidRPr="00A26826" w:rsidRDefault="004E3116" w:rsidP="00156E9C">
      <w:pPr>
        <w:pStyle w:val="Textonotapie"/>
        <w:autoSpaceDE w:val="0"/>
        <w:autoSpaceDN w:val="0"/>
        <w:adjustRightInd w:val="0"/>
        <w:ind w:left="187" w:right="-159" w:hanging="187"/>
        <w:jc w:val="both"/>
      </w:pPr>
      <w:r>
        <w:rPr>
          <w:rStyle w:val="Refdenotaalpie"/>
        </w:rPr>
        <w:footnoteRef/>
      </w:r>
      <w:r>
        <w:t xml:space="preserve"> </w:t>
      </w:r>
      <w:r w:rsidRPr="00A26826">
        <w:t xml:space="preserve">A cada especialista encuestado se le pregunta la probabilidad de que la variable de interés se encuentre en un rango específico de valores para </w:t>
      </w:r>
      <w:r>
        <w:t>el perí</w:t>
      </w:r>
      <w:r w:rsidRPr="00A26826">
        <w:t>odo de tiempo indicado. Así, cada especialista, en cada encuesta, le asigna a cada rango un número entre cero y cien, bajo la restricción</w:t>
      </w:r>
      <w:r>
        <w:t xml:space="preserve"> </w:t>
      </w:r>
      <w:r w:rsidRPr="00A26826">
        <w:t>de que la suma de las respuestas de todos los rangos de valores sea</w:t>
      </w:r>
      <w:r>
        <w:t xml:space="preserve"> </w:t>
      </w:r>
      <w:r w:rsidRPr="00A26826">
        <w:t>igual a cien. En las gráficas correspondientes de este reporte se muestra</w:t>
      </w:r>
      <w:r>
        <w:t xml:space="preserve"> </w:t>
      </w:r>
      <w:r w:rsidRPr="00A26826">
        <w:t>para cada rango el promedio de las respuestas de los analistas</w:t>
      </w:r>
      <w:r>
        <w:t xml:space="preserve"> </w:t>
      </w:r>
      <w:r w:rsidRPr="00A26826">
        <w:t>encuestados, de modo que se presenta una distribución de probabilidad</w:t>
      </w:r>
      <w:r>
        <w:t xml:space="preserve"> </w:t>
      </w:r>
      <w:r w:rsidRPr="00A26826">
        <w:t>“promedio”.</w:t>
      </w:r>
    </w:p>
  </w:footnote>
  <w:footnote w:id="84">
    <w:p w14:paraId="02C970FA" w14:textId="77777777" w:rsidR="004E3116" w:rsidRPr="001B4DFF" w:rsidRDefault="004E3116" w:rsidP="00981DA4">
      <w:pPr>
        <w:pStyle w:val="Textonotapie"/>
        <w:jc w:val="both"/>
        <w:rPr>
          <w:color w:val="0000FF"/>
        </w:rPr>
      </w:pPr>
      <w:r w:rsidRPr="00D546E6">
        <w:rPr>
          <w:rStyle w:val="Refdenotaalpie"/>
        </w:rPr>
        <w:footnoteRef/>
      </w:r>
      <w:r w:rsidRPr="00D546E6">
        <w:t xml:space="preserve"> </w:t>
      </w:r>
      <w:hyperlink r:id="rId28" w:history="1">
        <w:r w:rsidRPr="001B4DFF">
          <w:rPr>
            <w:rStyle w:val="Hipervnculo"/>
          </w:rPr>
          <w:t>http://www2.sat.gob.mx/sitio_internet/informe_tributario/informe2014t4/</w:t>
        </w:r>
      </w:hyperlink>
      <w:r w:rsidRPr="001B4DFF">
        <w:rPr>
          <w:color w:val="0000FF"/>
        </w:rPr>
        <w:t xml:space="preserve"> </w:t>
      </w:r>
    </w:p>
  </w:footnote>
  <w:footnote w:id="85">
    <w:p w14:paraId="04FFE0E5" w14:textId="69339DB4" w:rsidR="004E3116" w:rsidRPr="006A32A2" w:rsidRDefault="004E3116" w:rsidP="00981DA4">
      <w:pPr>
        <w:pStyle w:val="Textonotapie"/>
        <w:ind w:right="-159"/>
        <w:jc w:val="both"/>
      </w:pPr>
      <w:r w:rsidRPr="006A32A2">
        <w:rPr>
          <w:rStyle w:val="Refdenotaalpie"/>
        </w:rPr>
        <w:footnoteRef/>
      </w:r>
      <w:r w:rsidRPr="006A32A2">
        <w:t xml:space="preserve"> Antes de 1990</w:t>
      </w:r>
      <w:r>
        <w:t>,</w:t>
      </w:r>
      <w:r w:rsidRPr="006A32A2">
        <w:t xml:space="preserve"> el Impuesto al Valor Agregado (IVA) era administrado</w:t>
      </w:r>
      <w:r>
        <w:t xml:space="preserve"> por las entidades federativas.</w:t>
      </w:r>
    </w:p>
  </w:footnote>
  <w:footnote w:id="86">
    <w:p w14:paraId="531E9D96" w14:textId="7839A586" w:rsidR="004E3116" w:rsidRPr="006A5F91" w:rsidRDefault="004E3116" w:rsidP="00156E9C">
      <w:pPr>
        <w:pStyle w:val="Textonotapie"/>
        <w:ind w:left="170" w:right="-159" w:hanging="170"/>
        <w:jc w:val="both"/>
      </w:pPr>
      <w:r w:rsidRPr="00B96277">
        <w:rPr>
          <w:rStyle w:val="Nmerodepgina"/>
          <w:vertAlign w:val="superscript"/>
        </w:rPr>
        <w:footnoteRef/>
      </w:r>
      <w:r w:rsidRPr="00B96277">
        <w:rPr>
          <w:vertAlign w:val="superscript"/>
        </w:rPr>
        <w:t xml:space="preserve"> </w:t>
      </w:r>
      <w:r w:rsidRPr="006A5F91">
        <w:t xml:space="preserve">Véase CEPAL, </w:t>
      </w:r>
      <w:r w:rsidRPr="00B96277">
        <w:t>“Panorama Fiscal de América Latina y el Caribe: hacia una mayor calidad de las finanzas públicas</w:t>
      </w:r>
      <w:r>
        <w:t>”</w:t>
      </w:r>
      <w:r w:rsidRPr="006A5F91">
        <w:t xml:space="preserve"> (LC/L.3766), Santiago</w:t>
      </w:r>
      <w:r>
        <w:t xml:space="preserve"> </w:t>
      </w:r>
      <w:r w:rsidRPr="006A5F91">
        <w:t>de Chile, enero de 2014.</w:t>
      </w:r>
    </w:p>
  </w:footnote>
  <w:footnote w:id="87">
    <w:p w14:paraId="58905311" w14:textId="77777777" w:rsidR="004E3116" w:rsidRPr="00571907" w:rsidRDefault="004E3116" w:rsidP="00117F22">
      <w:pPr>
        <w:pStyle w:val="Textonotapie"/>
        <w:jc w:val="both"/>
      </w:pPr>
      <w:r w:rsidRPr="00C47DB6">
        <w:rPr>
          <w:rStyle w:val="Nmerodepgina"/>
          <w:vertAlign w:val="superscript"/>
        </w:rPr>
        <w:footnoteRef/>
      </w:r>
      <w:r w:rsidRPr="00571907">
        <w:t xml:space="preserve"> Véase CEPAL (2014a).</w:t>
      </w:r>
    </w:p>
  </w:footnote>
  <w:footnote w:id="88">
    <w:p w14:paraId="33CF8945" w14:textId="77777777" w:rsidR="004E3116" w:rsidRPr="00206E8C" w:rsidRDefault="004E3116" w:rsidP="00117F22">
      <w:pPr>
        <w:pStyle w:val="Textonotapie"/>
        <w:jc w:val="both"/>
      </w:pPr>
      <w:r w:rsidRPr="00C47DB6">
        <w:rPr>
          <w:rStyle w:val="Nmerodepgina"/>
          <w:vertAlign w:val="superscript"/>
        </w:rPr>
        <w:footnoteRef/>
      </w:r>
      <w:r w:rsidRPr="00206E8C">
        <w:t xml:space="preserve"> Véase CEPAL (2014b).</w:t>
      </w:r>
    </w:p>
  </w:footnote>
  <w:footnote w:id="89">
    <w:p w14:paraId="2B3B0BE0" w14:textId="77777777" w:rsidR="004E3116" w:rsidRPr="00496D12" w:rsidRDefault="004E3116" w:rsidP="00E05D72">
      <w:pPr>
        <w:pStyle w:val="Textonotapie"/>
      </w:pPr>
      <w:r w:rsidRPr="00496D12">
        <w:rPr>
          <w:rStyle w:val="Refdenotaalpie"/>
        </w:rPr>
        <w:footnoteRef/>
      </w:r>
      <w:r w:rsidRPr="00496D12">
        <w:t xml:space="preserve"> </w:t>
      </w:r>
      <w:r w:rsidRPr="00496D12">
        <w:rPr>
          <w:i/>
          <w:iCs/>
        </w:rPr>
        <w:t>International Crime Classiffication for Statistical Purposes.</w:t>
      </w:r>
    </w:p>
  </w:footnote>
  <w:footnote w:id="90">
    <w:p w14:paraId="13434D5F" w14:textId="77777777" w:rsidR="004E3116" w:rsidRPr="00496D12" w:rsidRDefault="004E3116" w:rsidP="00D067FC">
      <w:pPr>
        <w:pStyle w:val="Textonotapie"/>
        <w:ind w:left="198" w:right="-159" w:hanging="198"/>
        <w:jc w:val="both"/>
      </w:pPr>
      <w:r w:rsidRPr="00496D12">
        <w:rPr>
          <w:rStyle w:val="Refdenotaalpie"/>
        </w:rPr>
        <w:footnoteRef/>
      </w:r>
      <w:r w:rsidRPr="00496D12">
        <w:t xml:space="preserve"> </w:t>
      </w:r>
      <w:r w:rsidRPr="00496D12">
        <w:rPr>
          <w:i/>
          <w:iCs/>
        </w:rPr>
        <w:t xml:space="preserve">Andrew Hancock, Best practice guideliness for developing International statistical classifications. United Nations Department for Economic and Social Affairs. Statistical Division. ESA/STAT/AC.267/5 </w:t>
      </w:r>
      <w:r w:rsidRPr="00496D12">
        <w:t xml:space="preserve"> </w:t>
      </w:r>
    </w:p>
  </w:footnote>
  <w:footnote w:id="91">
    <w:p w14:paraId="30798AF5" w14:textId="77777777" w:rsidR="004E3116" w:rsidRPr="00CF5526" w:rsidRDefault="004E3116" w:rsidP="001B4DFF">
      <w:pPr>
        <w:pStyle w:val="Textonotapie"/>
        <w:ind w:left="210" w:right="-159" w:hanging="183"/>
      </w:pPr>
      <w:r w:rsidRPr="00CF5526">
        <w:rPr>
          <w:rStyle w:val="Refdenotaalpie"/>
        </w:rPr>
        <w:footnoteRef/>
      </w:r>
      <w:r w:rsidRPr="00CF5526">
        <w:t xml:space="preserve"> </w:t>
      </w:r>
      <w:hyperlink r:id="rId29" w:history="1">
        <w:r w:rsidRPr="00CF5526">
          <w:rPr>
            <w:rStyle w:val="Hipervnculo"/>
          </w:rPr>
          <w:t>http://www.cnbv.gob.mx/SECTORES-SUPERVISADOS/BANCA-MULTIPLE/Prensa%20%20Sector%20Bancario/Comunicado_de_Prensa_Basilea_Alta_Calificacion.pdf</w:t>
        </w:r>
      </w:hyperlink>
      <w:r w:rsidRPr="00CF5526">
        <w:rPr>
          <w:rStyle w:val="Hipervnculo"/>
        </w:rPr>
        <w:t xml:space="preserve"> </w:t>
      </w:r>
    </w:p>
  </w:footnote>
  <w:footnote w:id="92">
    <w:p w14:paraId="41D4A941" w14:textId="77777777" w:rsidR="004E3116" w:rsidRPr="001B4DFF" w:rsidRDefault="004E3116" w:rsidP="009F5FC3">
      <w:pPr>
        <w:pStyle w:val="Textonotapie"/>
        <w:ind w:left="170" w:right="-159" w:hanging="170"/>
        <w:rPr>
          <w:color w:val="0000FF"/>
        </w:rPr>
      </w:pPr>
      <w:r w:rsidRPr="009F5FC3">
        <w:rPr>
          <w:rStyle w:val="Refdenotaalpie"/>
        </w:rPr>
        <w:footnoteRef/>
      </w:r>
      <w:r w:rsidRPr="009F5FC3">
        <w:t xml:space="preserve"> </w:t>
      </w:r>
      <w:hyperlink r:id="rId30" w:history="1">
        <w:r w:rsidRPr="001B4DFF">
          <w:rPr>
            <w:rStyle w:val="Hipervnculo"/>
          </w:rPr>
          <w:t>http://www.banxico.org.mx/informacion-para-la-prensa/comunicados/politica-cambiaria/comision-de-cambios/%7bF0793066-927C-5B11-5180-E6905D18B4B1%7d.pdf</w:t>
        </w:r>
      </w:hyperlink>
      <w:r w:rsidRPr="001B4DFF">
        <w:rPr>
          <w:rStyle w:val="Hipervnculo"/>
        </w:rPr>
        <w:t xml:space="preserve"> </w:t>
      </w:r>
    </w:p>
  </w:footnote>
  <w:footnote w:id="93">
    <w:p w14:paraId="0CE326FE" w14:textId="0B6BBA4A" w:rsidR="004E3116" w:rsidRPr="005A4BCE" w:rsidRDefault="004E3116" w:rsidP="0054411E">
      <w:pPr>
        <w:pStyle w:val="Textonotapie"/>
        <w:ind w:left="187" w:right="-159" w:hanging="187"/>
        <w:jc w:val="both"/>
      </w:pPr>
      <w:r w:rsidRPr="005A4BCE">
        <w:rPr>
          <w:rStyle w:val="Refdenotaalpie"/>
        </w:rPr>
        <w:footnoteRef/>
      </w:r>
      <w:r w:rsidRPr="005A4BCE">
        <w:t xml:space="preserve"> En caso de encontrarse inconsistencias en la calidad de la información reportada, se considerará el realizar las observaciones correspondientes, y en su caso, el inicio de procedimiento sancionatorio, de conformidad con las disposiciones jurídicas aplicables.</w:t>
      </w:r>
    </w:p>
  </w:footnote>
  <w:footnote w:id="94">
    <w:p w14:paraId="3E97C6F8" w14:textId="77777777" w:rsidR="004E3116" w:rsidRPr="001F5ACF" w:rsidRDefault="004E3116" w:rsidP="00DF70C5">
      <w:pPr>
        <w:pStyle w:val="Textonotapie"/>
        <w:ind w:left="198" w:right="-159" w:hanging="198"/>
        <w:jc w:val="both"/>
      </w:pPr>
      <w:r w:rsidRPr="001F5ACF">
        <w:rPr>
          <w:rStyle w:val="Refdenotaalpie"/>
        </w:rPr>
        <w:footnoteRef/>
      </w:r>
      <w:r w:rsidRPr="001F5ACF">
        <w:t xml:space="preserve"> Banco Nacional de Obras y Servicios Públicos (BANOBRAS), Nacional Financiera (NAFIN), Banco Nacional de Comercio Exterior (BANCOMEXT), Sociedad Hipotecaria Federal (SHF), Banco de Ahorro Nacional y Servicios Financieros (BANSEFI) y Banco Nacional del Ejército, Fuerza Aérea</w:t>
      </w:r>
      <w:r>
        <w:t xml:space="preserve"> y Armada (BANJERCITO).</w:t>
      </w:r>
    </w:p>
  </w:footnote>
  <w:footnote w:id="95">
    <w:p w14:paraId="5FB8F022" w14:textId="77777777" w:rsidR="004E3116" w:rsidRPr="001F5ACF" w:rsidRDefault="004E3116" w:rsidP="00E538A5">
      <w:pPr>
        <w:pStyle w:val="Textonotapie"/>
        <w:ind w:left="181" w:right="-159" w:hanging="181"/>
        <w:jc w:val="both"/>
      </w:pPr>
      <w:r w:rsidRPr="001F5ACF">
        <w:rPr>
          <w:rStyle w:val="Refdenotaalpie"/>
        </w:rPr>
        <w:footnoteRef/>
      </w:r>
      <w:r w:rsidRPr="001F5ACF">
        <w:t xml:space="preserve"> Fideicomisos Instituidos con Relación a la Agricultura (FIRA) y Fondo de Capitalización e Inversión del Sector Rural (FOCIR).</w:t>
      </w:r>
    </w:p>
  </w:footnote>
  <w:footnote w:id="96">
    <w:p w14:paraId="5A913C35" w14:textId="77777777" w:rsidR="004E3116" w:rsidRPr="003252F3" w:rsidRDefault="004E3116" w:rsidP="0096505B">
      <w:pPr>
        <w:autoSpaceDE w:val="0"/>
        <w:autoSpaceDN w:val="0"/>
        <w:adjustRightInd w:val="0"/>
        <w:ind w:left="182" w:right="-159" w:hanging="182"/>
        <w:jc w:val="both"/>
      </w:pPr>
      <w:r w:rsidRPr="003252F3">
        <w:rPr>
          <w:rStyle w:val="Refdenotaalpie"/>
          <w:sz w:val="20"/>
          <w:szCs w:val="20"/>
        </w:rPr>
        <w:footnoteRef/>
      </w:r>
      <w:r w:rsidRPr="003252F3">
        <w:rPr>
          <w:sz w:val="20"/>
          <w:szCs w:val="20"/>
        </w:rPr>
        <w:t xml:space="preserve"> </w:t>
      </w:r>
      <w:r w:rsidRPr="003252F3">
        <w:rPr>
          <w:rFonts w:eastAsia="Calibri"/>
          <w:sz w:val="20"/>
          <w:szCs w:val="20"/>
          <w:lang w:eastAsia="en-US"/>
        </w:rPr>
        <w:t>Incluye el crédito otorgado por las sofomes reguladas de tarjetas de crédito: Tarjetas Banamex, Santander Consumo, Ixe Tarjetas y Sociedad Financiera Inbursa (véase Nota Aclaratoria en el comunicado de prensa de Agregados Monetarios y Actividad Financiera del 29 de enero de 2010).</w:t>
      </w:r>
    </w:p>
  </w:footnote>
  <w:footnote w:id="97">
    <w:p w14:paraId="08A75749" w14:textId="77777777" w:rsidR="004E3116" w:rsidRPr="00236D64" w:rsidRDefault="004E3116" w:rsidP="00176424">
      <w:pPr>
        <w:pStyle w:val="Textonotapie"/>
        <w:ind w:left="170" w:right="-159" w:hanging="170"/>
        <w:jc w:val="both"/>
      </w:pPr>
      <w:r w:rsidRPr="00236D64">
        <w:rPr>
          <w:rStyle w:val="Refdenotaalpie"/>
        </w:rPr>
        <w:footnoteRef/>
      </w:r>
      <w:r w:rsidRPr="00236D64">
        <w:t xml:space="preserve"> Esta encuesta la realiza el Banco de México entre empresas establecidas en el país y es de naturaleza cualitativa.</w:t>
      </w:r>
    </w:p>
  </w:footnote>
  <w:footnote w:id="98">
    <w:p w14:paraId="16CC3D80" w14:textId="77777777" w:rsidR="004E3116" w:rsidRPr="00C577E7" w:rsidRDefault="004E3116" w:rsidP="00176424">
      <w:pPr>
        <w:pStyle w:val="Textonotapie"/>
      </w:pPr>
      <w:r w:rsidRPr="00C577E7">
        <w:rPr>
          <w:rStyle w:val="Refdenotaalpie"/>
        </w:rPr>
        <w:footnoteRef/>
      </w:r>
      <w:r w:rsidRPr="00C577E7">
        <w:t xml:space="preserve"> El uso del crédito bancario incluye tanto líneas de crédito preexistentes como nuevo crédito bancario.</w:t>
      </w:r>
    </w:p>
  </w:footnote>
  <w:footnote w:id="99">
    <w:p w14:paraId="346010E5" w14:textId="10141B40" w:rsidR="004E3116" w:rsidRPr="00FF09CF" w:rsidRDefault="004E3116" w:rsidP="0096505B">
      <w:pPr>
        <w:pStyle w:val="Textonotapie"/>
        <w:ind w:left="294" w:hanging="294"/>
        <w:jc w:val="both"/>
      </w:pPr>
      <w:r w:rsidRPr="00FF09CF">
        <w:rPr>
          <w:rStyle w:val="Refdenotaalpie"/>
        </w:rPr>
        <w:footnoteRef/>
      </w:r>
      <w:r>
        <w:tab/>
      </w:r>
      <w:r w:rsidRPr="00FF09CF">
        <w:t>La suma de los porcentajes puede ser superior a 100 ya que las empresas pueden elegir más de una opción.</w:t>
      </w:r>
    </w:p>
  </w:footnote>
  <w:footnote w:id="100">
    <w:p w14:paraId="64750046" w14:textId="77777777" w:rsidR="004E3116" w:rsidRPr="0023750A" w:rsidRDefault="004E3116" w:rsidP="0096505B">
      <w:pPr>
        <w:autoSpaceDE w:val="0"/>
        <w:autoSpaceDN w:val="0"/>
        <w:adjustRightInd w:val="0"/>
        <w:ind w:left="294" w:right="-159" w:hanging="294"/>
        <w:jc w:val="both"/>
      </w:pPr>
      <w:r w:rsidRPr="0023750A">
        <w:rPr>
          <w:rStyle w:val="Refdenotaalpie"/>
        </w:rPr>
        <w:footnoteRef/>
      </w:r>
      <w:r w:rsidRPr="0023750A">
        <w:t xml:space="preserve"> </w:t>
      </w:r>
      <w:r w:rsidRPr="0023750A">
        <w:rPr>
          <w:sz w:val="20"/>
          <w:szCs w:val="20"/>
        </w:rPr>
        <w:t>De aquí en adelante, cuando se mencionen empresas de hasta 100 empleados, se referirá a aquellas empresas que emplean entre 11 y 100 empleados.</w:t>
      </w:r>
    </w:p>
  </w:footnote>
  <w:footnote w:id="101">
    <w:p w14:paraId="77986A86" w14:textId="12C33E4C" w:rsidR="004E3116" w:rsidRDefault="004E3116" w:rsidP="0096505B">
      <w:pPr>
        <w:autoSpaceDE w:val="0"/>
        <w:autoSpaceDN w:val="0"/>
        <w:adjustRightInd w:val="0"/>
        <w:ind w:left="294" w:right="-159" w:hanging="294"/>
        <w:jc w:val="both"/>
      </w:pPr>
      <w:r w:rsidRPr="005220CC">
        <w:rPr>
          <w:rStyle w:val="Refdenotaalpie"/>
          <w:sz w:val="20"/>
          <w:szCs w:val="20"/>
        </w:rPr>
        <w:footnoteRef/>
      </w:r>
      <w:r>
        <w:rPr>
          <w:sz w:val="20"/>
          <w:szCs w:val="20"/>
        </w:rPr>
        <w:tab/>
      </w:r>
      <w:r w:rsidRPr="005220CC">
        <w:rPr>
          <w:sz w:val="20"/>
          <w:szCs w:val="20"/>
        </w:rPr>
        <w:t xml:space="preserve">La opción “lo rechazó porque era muy caro” se introdujo en la encuesta a partir del levantamiento correspondiente al </w:t>
      </w:r>
      <w:r>
        <w:rPr>
          <w:sz w:val="20"/>
          <w:szCs w:val="20"/>
        </w:rPr>
        <w:t xml:space="preserve">cuarto trimestre </w:t>
      </w:r>
      <w:r w:rsidRPr="005220CC">
        <w:rPr>
          <w:sz w:val="20"/>
          <w:szCs w:val="20"/>
        </w:rPr>
        <w:t>de 2010.</w:t>
      </w:r>
    </w:p>
  </w:footnote>
  <w:footnote w:id="102">
    <w:p w14:paraId="2D3B8281" w14:textId="298298B3" w:rsidR="004E3116" w:rsidRPr="001F3131" w:rsidRDefault="004E3116" w:rsidP="0096505B">
      <w:pPr>
        <w:autoSpaceDE w:val="0"/>
        <w:autoSpaceDN w:val="0"/>
        <w:adjustRightInd w:val="0"/>
        <w:ind w:left="294" w:right="-159" w:hanging="294"/>
        <w:jc w:val="both"/>
        <w:rPr>
          <w:sz w:val="20"/>
          <w:szCs w:val="20"/>
        </w:rPr>
      </w:pPr>
      <w:r w:rsidRPr="001F3131">
        <w:rPr>
          <w:rStyle w:val="Refdenotaalpie"/>
          <w:sz w:val="20"/>
          <w:szCs w:val="20"/>
        </w:rPr>
        <w:footnoteRef/>
      </w:r>
      <w:r>
        <w:rPr>
          <w:sz w:val="20"/>
          <w:szCs w:val="20"/>
        </w:rPr>
        <w:tab/>
      </w:r>
      <w:r w:rsidRPr="001F3131">
        <w:rPr>
          <w:sz w:val="20"/>
          <w:szCs w:val="20"/>
        </w:rPr>
        <w:t>Debido a la naturaleza cualitativa de algunas preguntas en la encuesta, este reporte presenta varios de sus resultados en términos de índices de difusión, los cuales se definen como la suma del porcentaje de empresas que mencionó que hubo un aumento más la mitad del porcentaje de empresas que indicó que no registró cambios. Bajo esta métrica, cuando el valor del índice de difusión es superior (inferior) a</w:t>
      </w:r>
      <w:r>
        <w:rPr>
          <w:sz w:val="20"/>
          <w:szCs w:val="20"/>
        </w:rPr>
        <w:t xml:space="preserve"> </w:t>
      </w:r>
      <w:r w:rsidRPr="001F3131">
        <w:rPr>
          <w:sz w:val="20"/>
          <w:szCs w:val="20"/>
        </w:rPr>
        <w:t>50 significa que un mayor número de empresas señaló haber observado un aumento (una disminución) en la variable relevante, con respecto de la situación observada en el trimestre previo. De esta forma, un índice por encima (debajo) de 50 es equivalente a un balance de respuestas positivo (negativo) dentro del conjunto de empresas encuestadas.</w:t>
      </w:r>
    </w:p>
  </w:footnote>
  <w:footnote w:id="103">
    <w:p w14:paraId="5F0A5106" w14:textId="77777777" w:rsidR="004E3116" w:rsidRPr="00275067" w:rsidRDefault="004E3116" w:rsidP="0096505B">
      <w:pPr>
        <w:autoSpaceDE w:val="0"/>
        <w:autoSpaceDN w:val="0"/>
        <w:adjustRightInd w:val="0"/>
        <w:ind w:left="252" w:right="-159" w:hanging="252"/>
        <w:jc w:val="both"/>
        <w:rPr>
          <w:sz w:val="20"/>
          <w:szCs w:val="20"/>
        </w:rPr>
      </w:pPr>
      <w:r w:rsidRPr="00275067">
        <w:rPr>
          <w:rStyle w:val="Refdenotaalpie"/>
          <w:sz w:val="20"/>
          <w:szCs w:val="20"/>
        </w:rPr>
        <w:footnoteRef/>
      </w:r>
      <w:r w:rsidRPr="00275067">
        <w:rPr>
          <w:sz w:val="20"/>
          <w:szCs w:val="20"/>
        </w:rPr>
        <w:t xml:space="preserve"> </w:t>
      </w:r>
      <w:r>
        <w:rPr>
          <w:sz w:val="20"/>
          <w:szCs w:val="20"/>
        </w:rPr>
        <w:t>El 94.4%</w:t>
      </w:r>
      <w:r w:rsidRPr="00275067">
        <w:rPr>
          <w:sz w:val="20"/>
          <w:szCs w:val="20"/>
        </w:rPr>
        <w:t xml:space="preserve"> de estas empresas no solicitaron crédito bancario. Por lo tanto, las limitantes consideradas en esta sección corresponden, en su mayor parte, a las limitantes que llevaron a las empresas a no solicitar crédito.</w:t>
      </w:r>
    </w:p>
  </w:footnote>
  <w:footnote w:id="104">
    <w:p w14:paraId="29D33BEE" w14:textId="77777777" w:rsidR="004E3116" w:rsidRPr="002626C2" w:rsidRDefault="004E3116" w:rsidP="0096505B">
      <w:pPr>
        <w:autoSpaceDE w:val="0"/>
        <w:autoSpaceDN w:val="0"/>
        <w:adjustRightInd w:val="0"/>
        <w:ind w:left="252" w:right="-159" w:hanging="252"/>
        <w:jc w:val="both"/>
        <w:rPr>
          <w:sz w:val="20"/>
          <w:szCs w:val="20"/>
        </w:rPr>
      </w:pPr>
      <w:r w:rsidRPr="002626C2">
        <w:rPr>
          <w:rStyle w:val="Refdenotaalpie"/>
          <w:sz w:val="20"/>
          <w:szCs w:val="20"/>
        </w:rPr>
        <w:footnoteRef/>
      </w:r>
      <w:r w:rsidRPr="002626C2">
        <w:rPr>
          <w:sz w:val="20"/>
          <w:szCs w:val="20"/>
        </w:rPr>
        <w:t xml:space="preserve"> Del conjunto de posibles limitantes, cada empresa califica el grado de cada factor (muy limitante, relativamente limitante o nada limitante), por lo que la suma de los porcentajes de todos los factores puede ser superior a 100. Además, el porcentaje de cada factor incluye la suma de las calificaciones muy limitante y relativamente limitante.</w:t>
      </w:r>
    </w:p>
  </w:footnote>
  <w:footnote w:id="105">
    <w:p w14:paraId="1B9BA722" w14:textId="77777777" w:rsidR="004E3116" w:rsidRPr="000C7043" w:rsidRDefault="004E3116" w:rsidP="008631DB">
      <w:pPr>
        <w:pStyle w:val="Textonotapie"/>
        <w:ind w:left="252" w:right="-159" w:hanging="240"/>
        <w:jc w:val="both"/>
      </w:pPr>
      <w:r w:rsidRPr="000C7043">
        <w:rPr>
          <w:vertAlign w:val="superscript"/>
        </w:rPr>
        <w:footnoteRef/>
      </w:r>
      <w:r w:rsidRPr="00A647C2">
        <w:t xml:space="preserve"> </w:t>
      </w:r>
      <w:r w:rsidRPr="00A647C2">
        <w:rPr>
          <w:bCs/>
        </w:rPr>
        <w:t xml:space="preserve">Para más información de la calificación soberana y Perspectiva de México, consulte el reporte de Fitch: “2015 </w:t>
      </w:r>
      <w:r w:rsidRPr="000C7043">
        <w:rPr>
          <w:bCs/>
        </w:rPr>
        <w:t xml:space="preserve">Outlook: Sovereigns” con fecha del 16 de diciembre de 2014, disponible en el sitio </w:t>
      </w:r>
      <w:hyperlink r:id="rId31" w:history="1">
        <w:r w:rsidRPr="000C7043">
          <w:rPr>
            <w:rStyle w:val="Hipervnculo"/>
            <w:bCs/>
            <w:color w:val="auto"/>
          </w:rPr>
          <w:t>www.fitchratings.com</w:t>
        </w:r>
      </w:hyperlink>
    </w:p>
  </w:footnote>
  <w:footnote w:id="106">
    <w:p w14:paraId="35BE8343" w14:textId="720B4DFE" w:rsidR="004E3116" w:rsidRPr="0047336E" w:rsidRDefault="004E3116" w:rsidP="00432957">
      <w:pPr>
        <w:pStyle w:val="Textonotapie"/>
        <w:ind w:left="113" w:right="-159" w:hanging="113"/>
        <w:jc w:val="both"/>
      </w:pPr>
      <w:r w:rsidRPr="0054411E">
        <w:rPr>
          <w:vertAlign w:val="superscript"/>
        </w:rPr>
        <w:footnoteRef/>
      </w:r>
      <w:r w:rsidRPr="0047336E">
        <w:t xml:space="preserve"> Dos incentivos habituales son el subsidio a la calidad d</w:t>
      </w:r>
      <w:r>
        <w:t>e vida y la prima por movilidad.</w:t>
      </w:r>
    </w:p>
  </w:footnote>
  <w:footnote w:id="107">
    <w:p w14:paraId="3D5E76BA" w14:textId="77777777" w:rsidR="004E3116" w:rsidRPr="00B20B34" w:rsidRDefault="004E3116" w:rsidP="00871DFE">
      <w:pPr>
        <w:pStyle w:val="Textonotapie"/>
        <w:ind w:left="255" w:right="-159" w:hanging="255"/>
        <w:jc w:val="both"/>
      </w:pPr>
      <w:r w:rsidRPr="00B20B34">
        <w:rPr>
          <w:rStyle w:val="Refdenotaalpie"/>
        </w:rPr>
        <w:footnoteRef/>
      </w:r>
      <w:r>
        <w:t xml:space="preserve"> </w:t>
      </w:r>
      <w:r w:rsidRPr="00B20B34">
        <w:t xml:space="preserve">Para una revisión de las causas de la crisis financiera y de la gestación de desequilibrios véase, Sánchez M. (2011) </w:t>
      </w:r>
      <w:r w:rsidRPr="00B20B34">
        <w:rPr>
          <w:i/>
        </w:rPr>
        <w:t>Financial Crises: Prevention, Correctión, and Monetary Policy. Cato Journal</w:t>
      </w:r>
      <w:r w:rsidRPr="00B20B34">
        <w:t>, 31(3)</w:t>
      </w:r>
    </w:p>
  </w:footnote>
  <w:footnote w:id="108">
    <w:p w14:paraId="6BFD8161" w14:textId="73CE26A7" w:rsidR="004E3116" w:rsidRPr="007D6D30" w:rsidRDefault="004E3116" w:rsidP="00871DFE">
      <w:pPr>
        <w:pStyle w:val="Textonotapie"/>
        <w:ind w:left="255" w:right="-159" w:hanging="255"/>
        <w:jc w:val="both"/>
      </w:pPr>
      <w:r>
        <w:rPr>
          <w:rStyle w:val="Refdenotaalpie"/>
        </w:rPr>
        <w:footnoteRef/>
      </w:r>
      <w:r>
        <w:t xml:space="preserve"> </w:t>
      </w:r>
      <w:r w:rsidRPr="007D6D30">
        <w:t xml:space="preserve">Una revisión de la evolución de la expansión monetaria cuantitativa puede encontrarse en </w:t>
      </w:r>
      <w:r w:rsidRPr="007D6D30">
        <w:rPr>
          <w:i/>
        </w:rPr>
        <w:t>Rosengren, E.S. (2015), Lessons fron the U.S. Experience with Quantitative Easing. The Peterson Institute for Internacional Economics and Moody’s Investors Service’s 8th Joint Evento n Socereign Risk and Macroeconomics</w:t>
      </w:r>
      <w:r w:rsidRPr="007D6D30">
        <w:t>.</w:t>
      </w:r>
    </w:p>
  </w:footnote>
  <w:footnote w:id="109">
    <w:p w14:paraId="77594ED6" w14:textId="124B691C" w:rsidR="004E3116" w:rsidRPr="002F0E77" w:rsidRDefault="004E3116" w:rsidP="003757CD">
      <w:pPr>
        <w:pStyle w:val="Textonotapie"/>
        <w:ind w:left="255" w:right="-159" w:hanging="255"/>
        <w:jc w:val="both"/>
      </w:pPr>
      <w:r w:rsidRPr="002F0E77">
        <w:rPr>
          <w:rStyle w:val="Refdenotaalpie"/>
        </w:rPr>
        <w:footnoteRef/>
      </w:r>
      <w:r w:rsidRPr="002F0E77">
        <w:t xml:space="preserve"> Para una descripción de los programas de relajamiento monetario cuantitativo, véase Fawley, B.W. and C.J. Neely (2013), </w:t>
      </w:r>
      <w:r w:rsidRPr="002F0E77">
        <w:rPr>
          <w:i/>
        </w:rPr>
        <w:t>Four Stories of Quantitative Easing Federal Reserve Bank of St. Louis Review</w:t>
      </w:r>
      <w:r w:rsidRPr="002F0E77">
        <w:t>, 95(1).</w:t>
      </w:r>
    </w:p>
  </w:footnote>
  <w:footnote w:id="110">
    <w:p w14:paraId="38325776" w14:textId="4F300783" w:rsidR="004E3116" w:rsidRPr="00B93B21" w:rsidRDefault="004E3116" w:rsidP="00BF0D64">
      <w:pPr>
        <w:pStyle w:val="Textonotapie"/>
        <w:ind w:left="266" w:right="-159" w:hanging="266"/>
        <w:jc w:val="both"/>
      </w:pPr>
      <w:r w:rsidRPr="00B93B21">
        <w:rPr>
          <w:rStyle w:val="Refdenotaalpie"/>
        </w:rPr>
        <w:footnoteRef/>
      </w:r>
      <w:r w:rsidRPr="00B93B21">
        <w:t xml:space="preserve"> Para una discusión de los resultados de la expansión monetaria, véase Martin, C. and C. Milas (2012), </w:t>
      </w:r>
      <w:r w:rsidRPr="00B93B21">
        <w:rPr>
          <w:i/>
        </w:rPr>
        <w:t>Quantitative Easing: a Sceptical Survey. O</w:t>
      </w:r>
      <w:r>
        <w:rPr>
          <w:i/>
        </w:rPr>
        <w:t>x</w:t>
      </w:r>
      <w:r w:rsidRPr="00B93B21">
        <w:rPr>
          <w:i/>
        </w:rPr>
        <w:t>ford Review of Economic Policy, 28(4) y Forbes, K. (2015), Low Interest Rates: King Midas Golden Touch</w:t>
      </w:r>
      <w:proofErr w:type="gramStart"/>
      <w:r w:rsidRPr="00B93B21">
        <w:rPr>
          <w:i/>
        </w:rPr>
        <w:t>?</w:t>
      </w:r>
      <w:proofErr w:type="gramEnd"/>
      <w:r w:rsidRPr="00B93B21">
        <w:rPr>
          <w:i/>
        </w:rPr>
        <w:t xml:space="preserve"> Discurso en The Institute of Economic Affairs</w:t>
      </w:r>
      <w:r w:rsidRPr="00B93B21">
        <w:t>, febrero.</w:t>
      </w:r>
    </w:p>
  </w:footnote>
  <w:footnote w:id="111">
    <w:p w14:paraId="28F6566B" w14:textId="3BC0F07B" w:rsidR="004E3116" w:rsidRPr="00D80D27" w:rsidRDefault="004E3116" w:rsidP="00AF4DFC">
      <w:pPr>
        <w:pStyle w:val="Textonotapie"/>
        <w:ind w:left="294" w:right="-159" w:hanging="294"/>
        <w:jc w:val="both"/>
      </w:pPr>
      <w:r w:rsidRPr="00D80D27">
        <w:rPr>
          <w:rStyle w:val="Nmerodepgina"/>
          <w:vertAlign w:val="superscript"/>
        </w:rPr>
        <w:footnoteRef/>
      </w:r>
      <w:r>
        <w:rPr>
          <w:vertAlign w:val="superscript"/>
        </w:rPr>
        <w:tab/>
      </w:r>
      <w:r w:rsidRPr="007C17FD">
        <w:t xml:space="preserve">Calculados según la definición de la Circular 5/2012, de 27 de junio, del Banco de España, a entidades de crédito y proveedores de servicios de pago, sobre transparencia de los servicios bancarios y responsabilidad en la concesión de préstamos, en desarrollo de lo dispuesto en la Orden EHA/2899/2011, de 28 de octubre, de </w:t>
      </w:r>
      <w:r w:rsidRPr="00D80D27">
        <w:t>transparencia y protección del cliente de servicios bancarios.</w:t>
      </w:r>
    </w:p>
  </w:footnote>
  <w:footnote w:id="112">
    <w:p w14:paraId="0D5E1806" w14:textId="0713D042" w:rsidR="004E3116" w:rsidRPr="00D80D27" w:rsidRDefault="004E3116" w:rsidP="00AF4DFC">
      <w:pPr>
        <w:pStyle w:val="Textonotapie"/>
        <w:ind w:left="294" w:hanging="294"/>
      </w:pPr>
      <w:r w:rsidRPr="00D80D27">
        <w:rPr>
          <w:rStyle w:val="Nmerodepgina"/>
          <w:vertAlign w:val="superscript"/>
        </w:rPr>
        <w:footnoteRef/>
      </w:r>
      <w:r>
        <w:rPr>
          <w:color w:val="0000FF"/>
        </w:rPr>
        <w:tab/>
      </w:r>
      <w:hyperlink r:id="rId32" w:history="1">
        <w:r w:rsidRPr="00AF4DFC">
          <w:rPr>
            <w:rStyle w:val="Hipervnculo"/>
          </w:rPr>
          <w:t>http://www.bde.es/webbde/es/estadis/infoest/a1901.pdf</w:t>
        </w:r>
      </w:hyperlink>
      <w:r w:rsidRPr="00AF4DFC">
        <w:rPr>
          <w:rStyle w:val="Hipervnculo"/>
        </w:rPr>
        <w:t xml:space="preserve"> </w:t>
      </w:r>
      <w:r w:rsidRPr="00D80D27">
        <w:t xml:space="preserve"> </w:t>
      </w:r>
    </w:p>
  </w:footnote>
  <w:footnote w:id="113">
    <w:p w14:paraId="6DCC46CA" w14:textId="2D794C31" w:rsidR="004E3116" w:rsidRPr="00D80D27" w:rsidRDefault="004E3116" w:rsidP="00AF4DFC">
      <w:pPr>
        <w:pStyle w:val="Textonotapie"/>
        <w:ind w:left="294" w:right="-159" w:hanging="294"/>
        <w:jc w:val="both"/>
      </w:pPr>
      <w:r w:rsidRPr="00D80D27">
        <w:rPr>
          <w:rStyle w:val="Nmerodepgina"/>
          <w:vertAlign w:val="superscript"/>
        </w:rPr>
        <w:footnoteRef/>
      </w:r>
      <w:r>
        <w:tab/>
      </w:r>
      <w:r w:rsidRPr="00D80D27">
        <w:t>De acuerdo con lo dispuesto en la Orden EHA/2899/2011, de 28 de octubre, de transparencia y protección del cliente de</w:t>
      </w:r>
      <w:r w:rsidRPr="00D80D27">
        <w:rPr>
          <w:vertAlign w:val="superscript"/>
        </w:rPr>
        <w:t xml:space="preserve"> </w:t>
      </w:r>
      <w:r w:rsidRPr="00D80D27">
        <w:t>servicios bancarios.</w:t>
      </w:r>
    </w:p>
  </w:footnote>
  <w:footnote w:id="114">
    <w:p w14:paraId="50C49E74" w14:textId="6356BE10" w:rsidR="004E3116" w:rsidRPr="00D80D27" w:rsidRDefault="004E3116" w:rsidP="00AF4DFC">
      <w:pPr>
        <w:pStyle w:val="Textonotapie"/>
        <w:ind w:left="294" w:right="-159" w:hanging="294"/>
        <w:jc w:val="both"/>
      </w:pPr>
      <w:r w:rsidRPr="00D80D27">
        <w:rPr>
          <w:rStyle w:val="Nmerodepgina"/>
          <w:vertAlign w:val="superscript"/>
        </w:rPr>
        <w:footnoteRef/>
      </w:r>
      <w:r>
        <w:tab/>
      </w:r>
      <w:r w:rsidRPr="00D80D27">
        <w:t>Según lo dispuesto en la Ley 14/2013, de 27 de septiembre, de apoyo a los emprendedores y su internacionalización; Disposición adicional decimoquinta. Régimen de transición para la desaparición de índices o tipos de interés de referencia.</w:t>
      </w:r>
    </w:p>
  </w:footnote>
  <w:footnote w:id="115">
    <w:p w14:paraId="21FFB7B6" w14:textId="3835BB0F" w:rsidR="004E3116" w:rsidRPr="00AF4DFC" w:rsidRDefault="004E3116" w:rsidP="00AF4DFC">
      <w:pPr>
        <w:pStyle w:val="Textonotapie"/>
        <w:ind w:left="224" w:hanging="224"/>
        <w:rPr>
          <w:color w:val="0000FF"/>
        </w:rPr>
      </w:pPr>
      <w:r w:rsidRPr="00D80D27">
        <w:rPr>
          <w:rStyle w:val="Nmerodepgina"/>
          <w:vertAlign w:val="superscript"/>
        </w:rPr>
        <w:footnoteRef/>
      </w:r>
      <w:r>
        <w:rPr>
          <w:color w:val="0000FF"/>
        </w:rPr>
        <w:tab/>
      </w:r>
      <w:hyperlink r:id="rId33" w:history="1">
        <w:r w:rsidRPr="00AF4DFC">
          <w:rPr>
            <w:rStyle w:val="Hipervnculo"/>
          </w:rPr>
          <w:t>http://app.bde.es/gnt/clientebanca/calculo_diferencial.jsp</w:t>
        </w:r>
      </w:hyperlink>
      <w:r w:rsidRPr="00AF4DFC">
        <w:rPr>
          <w:color w:val="0000FF"/>
        </w:rPr>
        <w:t xml:space="preserve"> </w:t>
      </w:r>
    </w:p>
  </w:footnote>
  <w:footnote w:id="116">
    <w:p w14:paraId="22728F3F" w14:textId="006066DC" w:rsidR="004E3116" w:rsidRPr="00AF4DFC" w:rsidRDefault="004E3116" w:rsidP="00AF4DFC">
      <w:pPr>
        <w:pStyle w:val="Textonotapie"/>
        <w:ind w:left="224" w:right="-159" w:hanging="224"/>
        <w:jc w:val="both"/>
      </w:pPr>
      <w:r w:rsidRPr="00E06EFC">
        <w:rPr>
          <w:rStyle w:val="Refdenotaalpie"/>
        </w:rPr>
        <w:footnoteRef/>
      </w:r>
      <w:r>
        <w:tab/>
      </w:r>
      <w:r w:rsidRPr="00012779">
        <w:t xml:space="preserve">Dani Rodrik es profesor de Ciencias Sociales en el Instituto de Estudios Avanzados Princeton, Nueva Jersey. Es el autor de </w:t>
      </w:r>
      <w:r w:rsidRPr="00AF4DFC">
        <w:t>Una Economía, Muchas Recetas: Globalización, Instituciones y Crecimiento Económico</w:t>
      </w:r>
      <w:r w:rsidRPr="00012779">
        <w:t xml:space="preserve"> y, más recientemente, </w:t>
      </w:r>
      <w:r w:rsidRPr="00AF4DFC">
        <w:t>La paradoja de la globalización: la democracia y el futuro de la economía mundial.</w:t>
      </w:r>
    </w:p>
  </w:footnote>
  <w:footnote w:id="117">
    <w:p w14:paraId="7D4B4F5F" w14:textId="3B24442B" w:rsidR="004E3116" w:rsidRPr="00F73247" w:rsidRDefault="004E3116" w:rsidP="00510A2F">
      <w:pPr>
        <w:pStyle w:val="Textonotapie"/>
        <w:ind w:left="294" w:right="-159" w:hanging="294"/>
        <w:jc w:val="both"/>
        <w:rPr>
          <w:lang w:val="es-MX"/>
        </w:rPr>
      </w:pPr>
      <w:r>
        <w:rPr>
          <w:rStyle w:val="Refdenotaalpie"/>
        </w:rPr>
        <w:footnoteRef/>
      </w:r>
      <w:r w:rsidR="00510A2F">
        <w:rPr>
          <w:lang w:val="es-MX"/>
        </w:rPr>
        <w:tab/>
      </w:r>
      <w:r>
        <w:rPr>
          <w:lang w:val="es-MX"/>
        </w:rPr>
        <w:t>La asignación diaria por 52 millones de dólares tuvo lugar los días 11 y 12 de marzo. Con respecto al mecanismo autorizado por la Comisión de Cambios, véase el comunicado de prensa del 11 de marzo de 2015.</w:t>
      </w:r>
    </w:p>
  </w:footnote>
  <w:footnote w:id="118">
    <w:p w14:paraId="1F53E886" w14:textId="3D58216A" w:rsidR="004E3116" w:rsidRPr="00F73247" w:rsidRDefault="004E3116" w:rsidP="00510A2F">
      <w:pPr>
        <w:pStyle w:val="Textonotapie"/>
        <w:ind w:left="294" w:right="-159" w:hanging="294"/>
        <w:jc w:val="both"/>
        <w:rPr>
          <w:lang w:val="es-MX"/>
        </w:rPr>
      </w:pPr>
      <w:r>
        <w:rPr>
          <w:rStyle w:val="Refdenotaalpie"/>
        </w:rPr>
        <w:footnoteRef/>
      </w:r>
      <w:r w:rsidR="00510A2F">
        <w:rPr>
          <w:lang w:val="es-MX"/>
        </w:rPr>
        <w:tab/>
      </w:r>
      <w:r w:rsidRPr="00F73247">
        <w:rPr>
          <w:lang w:val="es-MX"/>
        </w:rPr>
        <w:t>Incluye las subastas de venta de dólares al mercado. No considera la venta de divisas pendientes de liquidación, que se realiza</w:t>
      </w:r>
      <w:r>
        <w:rPr>
          <w:lang w:val="es-MX"/>
        </w:rPr>
        <w:t xml:space="preserve"> el segundo día hábil </w:t>
      </w:r>
      <w:r w:rsidRPr="00F73247">
        <w:rPr>
          <w:lang w:val="es-MX"/>
        </w:rPr>
        <w:t>bancario siguiente. Estas ope</w:t>
      </w:r>
      <w:r>
        <w:rPr>
          <w:lang w:val="es-MX"/>
        </w:rPr>
        <w:t xml:space="preserve">raciones pendientes de liquidar </w:t>
      </w:r>
      <w:r w:rsidRPr="00F73247">
        <w:rPr>
          <w:lang w:val="es-MX"/>
        </w:rPr>
        <w:t>constituyen un pasivo a menos de seis meses y se incluyen en el renglón (C). En esta semana</w:t>
      </w:r>
      <w:r>
        <w:rPr>
          <w:lang w:val="es-MX"/>
        </w:rPr>
        <w:t xml:space="preserve"> </w:t>
      </w:r>
      <w:r w:rsidRPr="00F73247">
        <w:rPr>
          <w:lang w:val="es-MX"/>
        </w:rPr>
        <w:t>se asignaron 156 m</w:t>
      </w:r>
      <w:r>
        <w:rPr>
          <w:lang w:val="es-MX"/>
        </w:rPr>
        <w:t>illones de dólares</w:t>
      </w:r>
      <w:r w:rsidRPr="00F73247">
        <w:rPr>
          <w:lang w:val="es-MX"/>
        </w:rPr>
        <w:t xml:space="preserve"> en las subastas diarias de dólares sin precio mínimo, de los cuales están pendientes de liquidación 104 m</w:t>
      </w:r>
      <w:r>
        <w:rPr>
          <w:lang w:val="es-MX"/>
        </w:rPr>
        <w:t>illones de dólares</w:t>
      </w:r>
      <w:r w:rsidRPr="00F73247">
        <w:rPr>
          <w:lang w:val="es-MX"/>
        </w:rPr>
        <w:t>. Adicionalmente, se</w:t>
      </w:r>
      <w:r>
        <w:rPr>
          <w:lang w:val="es-MX"/>
        </w:rPr>
        <w:t xml:space="preserve"> </w:t>
      </w:r>
      <w:r w:rsidRPr="00F73247">
        <w:rPr>
          <w:lang w:val="es-MX"/>
        </w:rPr>
        <w:t>liquidaron 200 m</w:t>
      </w:r>
      <w:r>
        <w:rPr>
          <w:lang w:val="es-MX"/>
        </w:rPr>
        <w:t>illones de dólares</w:t>
      </w:r>
      <w:r w:rsidRPr="00F73247">
        <w:rPr>
          <w:lang w:val="es-MX"/>
        </w:rPr>
        <w:t xml:space="preserve"> que se asignaron la semana anterior mediante las subastas diarias de dólares con precio mínimo y que se encontraban pendientes</w:t>
      </w:r>
      <w:r>
        <w:rPr>
          <w:lang w:val="es-MX"/>
        </w:rPr>
        <w:t xml:space="preserve"> </w:t>
      </w:r>
      <w:r w:rsidRPr="00F73247">
        <w:rPr>
          <w:lang w:val="es-MX"/>
        </w:rPr>
        <w:t>de liquidación. Ello se reflejó en una reducción tanto de la reserva bruta como de los pasivos a menos de seis meses por dicha cantidad, con lo que la</w:t>
      </w:r>
      <w:r>
        <w:rPr>
          <w:lang w:val="es-MX"/>
        </w:rPr>
        <w:t xml:space="preserve"> </w:t>
      </w:r>
      <w:r w:rsidRPr="00F73247">
        <w:rPr>
          <w:lang w:val="es-MX"/>
        </w:rPr>
        <w:t>reserva internacional no se afectó por esta operación en la semana que se reporta. La reserva internacion</w:t>
      </w:r>
      <w:r>
        <w:rPr>
          <w:lang w:val="es-MX"/>
        </w:rPr>
        <w:t xml:space="preserve">al </w:t>
      </w:r>
      <w:r w:rsidRPr="00F73247">
        <w:rPr>
          <w:lang w:val="es-MX"/>
        </w:rPr>
        <w:t>disminuyó 200 m</w:t>
      </w:r>
      <w:r>
        <w:rPr>
          <w:lang w:val="es-MX"/>
        </w:rPr>
        <w:t>illones de dólares</w:t>
      </w:r>
      <w:r w:rsidRPr="00F73247">
        <w:rPr>
          <w:lang w:val="es-MX"/>
        </w:rPr>
        <w:t xml:space="preserve"> la semana anterior</w:t>
      </w:r>
      <w:r>
        <w:rPr>
          <w:lang w:val="es-MX"/>
        </w:rPr>
        <w:t xml:space="preserve"> </w:t>
      </w:r>
      <w:r w:rsidRPr="00F73247">
        <w:rPr>
          <w:lang w:val="es-MX"/>
        </w:rPr>
        <w:t>cuando se realizó la provisión correspondiente que incrementó los pasivos a menos de seis meses.</w:t>
      </w:r>
      <w:r>
        <w:rPr>
          <w:lang w:val="es-MX"/>
        </w:rPr>
        <w:t xml:space="preserve"> </w:t>
      </w:r>
    </w:p>
  </w:footnote>
  <w:footnote w:id="119">
    <w:p w14:paraId="21F177CA" w14:textId="77777777" w:rsidR="004E3116" w:rsidRPr="00EC51F3" w:rsidRDefault="004E3116" w:rsidP="00510A2F">
      <w:pPr>
        <w:pStyle w:val="Textonotapie"/>
        <w:ind w:left="294" w:right="-159" w:hanging="294"/>
        <w:jc w:val="both"/>
      </w:pPr>
      <w:r w:rsidRPr="00EC51F3">
        <w:rPr>
          <w:rStyle w:val="Refdenotaalpie"/>
        </w:rPr>
        <w:footnoteRef/>
      </w:r>
      <w:r w:rsidRPr="00EC51F3">
        <w:t xml:space="preserve"> Para una explicación detallada de los principales canales del mecanismo de transmisión de la política monetaria ver el Programa Monetario para 2013.</w:t>
      </w:r>
    </w:p>
  </w:footnote>
  <w:footnote w:id="120">
    <w:p w14:paraId="7E5B6543" w14:textId="77777777" w:rsidR="004E3116" w:rsidRPr="00B426AC" w:rsidRDefault="004E3116" w:rsidP="00803FC6">
      <w:pPr>
        <w:pStyle w:val="Textonotapie"/>
        <w:ind w:left="255" w:right="-142" w:hanging="255"/>
        <w:jc w:val="both"/>
      </w:pPr>
      <w:r w:rsidRPr="00803FC6">
        <w:rPr>
          <w:rStyle w:val="Nmerodepgina"/>
          <w:vertAlign w:val="superscript"/>
        </w:rPr>
        <w:footnoteRef/>
      </w:r>
      <w:r w:rsidRPr="00803FC6">
        <w:rPr>
          <w:vertAlign w:val="superscript"/>
        </w:rPr>
        <w:t xml:space="preserve"> </w:t>
      </w:r>
      <w:r w:rsidRPr="00B426AC">
        <w:t xml:space="preserve">Este observatorio se basa en el artículo: </w:t>
      </w:r>
      <w:r w:rsidRPr="00DF60F6">
        <w:rPr>
          <w:i/>
        </w:rPr>
        <w:t>Monetary Policy in the North and portfolio flows in the South,</w:t>
      </w:r>
      <w:r w:rsidRPr="00B426AC">
        <w:t xml:space="preserve"> Gonzalo de Cadenas Santiago, Alicia García Herrero, Alvaro Ortiz Vidal Abarca.</w:t>
      </w:r>
    </w:p>
  </w:footnote>
  <w:footnote w:id="121">
    <w:p w14:paraId="1348C895" w14:textId="77777777" w:rsidR="004E3116" w:rsidRPr="00B426AC" w:rsidRDefault="004E3116" w:rsidP="00510A2F">
      <w:pPr>
        <w:pStyle w:val="Textonotapie"/>
        <w:ind w:left="294" w:right="-159" w:hanging="294"/>
        <w:jc w:val="both"/>
      </w:pPr>
      <w:r w:rsidRPr="00803FC6">
        <w:rPr>
          <w:rStyle w:val="Nmerodepgina"/>
          <w:vertAlign w:val="superscript"/>
        </w:rPr>
        <w:footnoteRef/>
      </w:r>
      <w:r w:rsidRPr="00B426AC">
        <w:t xml:space="preserve"> En el artículo original (agosto 2014) se planteaban seis posibles escenarios, en los dos primeros el BCE mantenía una postura reactiva ante movimientos de la </w:t>
      </w:r>
      <w:r>
        <w:t xml:space="preserve">Reserva </w:t>
      </w:r>
      <w:r w:rsidRPr="00B426AC">
        <w:t>Fed</w:t>
      </w:r>
      <w:r>
        <w:t>eral</w:t>
      </w:r>
      <w:r w:rsidRPr="00B426AC">
        <w:t>. Para este recuadro se exponen solo los escenarios en los cuales el BCE toma un papel activo.</w:t>
      </w:r>
    </w:p>
  </w:footnote>
  <w:footnote w:id="122">
    <w:p w14:paraId="051EAA48" w14:textId="371440C3" w:rsidR="004E3116" w:rsidRPr="00247FB0" w:rsidRDefault="004E3116" w:rsidP="00510A2F">
      <w:pPr>
        <w:pStyle w:val="Textonotapie"/>
        <w:ind w:left="294" w:right="-159" w:hanging="294"/>
        <w:jc w:val="both"/>
      </w:pPr>
      <w:r w:rsidRPr="00BC323D">
        <w:rPr>
          <w:rStyle w:val="Refdenotaalpie"/>
        </w:rPr>
        <w:footnoteRef/>
      </w:r>
      <w:r w:rsidRPr="00BC323D">
        <w:t xml:space="preserve"> </w:t>
      </w:r>
      <w:r w:rsidRPr="00EC13CB">
        <w:t>Kenneth Rogoff</w:t>
      </w:r>
      <w:r>
        <w:t xml:space="preserve"> es</w:t>
      </w:r>
      <w:r w:rsidRPr="00EC13CB">
        <w:t xml:space="preserve"> profesor de Economía y Política Pública en la Universidad de Harvard y ganador del Premio Deutsche Bank 2011 en Economía Financiera, fue economista jefe del Fondo Monetario Internacional </w:t>
      </w:r>
      <w:r>
        <w:t xml:space="preserve">(FMI) </w:t>
      </w:r>
      <w:r w:rsidRPr="00EC13CB">
        <w:t xml:space="preserve">de 2001 a 2003. Su libro más reciente, en coautoría con Carmen M. Reinhart, </w:t>
      </w:r>
      <w:r w:rsidRPr="00247FB0">
        <w:t>es “Esta vez es diferente: ocho siglos de locura financiera”.</w:t>
      </w:r>
    </w:p>
  </w:footnote>
  <w:footnote w:id="123">
    <w:p w14:paraId="5AC1F1E8" w14:textId="77777777" w:rsidR="004E3116" w:rsidRPr="003F1ECD" w:rsidRDefault="004E3116" w:rsidP="004E3116">
      <w:pPr>
        <w:ind w:left="294" w:right="-159" w:hanging="294"/>
        <w:jc w:val="both"/>
        <w:rPr>
          <w:sz w:val="20"/>
          <w:szCs w:val="20"/>
        </w:rPr>
      </w:pPr>
      <w:r w:rsidRPr="0006056A">
        <w:rPr>
          <w:rStyle w:val="Refdenotaalpie"/>
          <w:sz w:val="20"/>
          <w:szCs w:val="20"/>
        </w:rPr>
        <w:footnoteRef/>
      </w:r>
      <w:r w:rsidRPr="0006056A">
        <w:rPr>
          <w:sz w:val="20"/>
          <w:szCs w:val="20"/>
        </w:rPr>
        <w:t xml:space="preserve"> Para operaciones al mayoreo entre bancos, casas de bolsa, casas de cambio, particulares. Este tipo de cambio es aplicable para liquidar operaciones el segundo día hábil bancario inmediato siguiente a la fecha de su concertación. Los valores son los prevalecientes en el mercado a las horas referidas. Los niveles máximo y mínimo son posturas de venta durante el período de observación (9:00-13:30 hrs). El Banco de México da a conocer estos tipos de cambio a las 13:30 horas todos los días hábiles bancarios. </w:t>
      </w:r>
      <w:r w:rsidRPr="003F1ECD">
        <w:rPr>
          <w:sz w:val="20"/>
          <w:szCs w:val="20"/>
        </w:rPr>
        <w:t xml:space="preserve">Fuente: </w:t>
      </w:r>
      <w:r w:rsidRPr="00D80D27">
        <w:rPr>
          <w:i/>
          <w:sz w:val="20"/>
          <w:szCs w:val="20"/>
        </w:rPr>
        <w:t>Reuters Dealing 3000 Matching</w:t>
      </w:r>
      <w:r w:rsidRPr="003F1ECD">
        <w:rPr>
          <w:sz w:val="20"/>
          <w:szCs w:val="20"/>
        </w:rPr>
        <w:t>.</w:t>
      </w:r>
    </w:p>
  </w:footnote>
  <w:footnote w:id="124">
    <w:p w14:paraId="19CB1001" w14:textId="1B1AE815" w:rsidR="004E3116" w:rsidRPr="00B512C1" w:rsidRDefault="004E3116" w:rsidP="00510A2F">
      <w:pPr>
        <w:pStyle w:val="Textonotapie"/>
        <w:ind w:left="294" w:right="-159" w:hanging="294"/>
        <w:jc w:val="both"/>
      </w:pPr>
      <w:r w:rsidRPr="00B512C1">
        <w:rPr>
          <w:rStyle w:val="Refdenotaalpie"/>
        </w:rPr>
        <w:footnoteRef/>
      </w:r>
      <w:r w:rsidR="00510A2F">
        <w:tab/>
      </w:r>
      <w:r w:rsidRPr="00B512C1">
        <w:t>Para más detalles sobre este proceso de aumento de las captaciones externas, véase, por ejemplo, el Informe macroeconómico de América Latina y el Caribe de 2014. BID. “La recuperación global y normalización monetaria”.</w:t>
      </w:r>
    </w:p>
  </w:footnote>
  <w:footnote w:id="125">
    <w:p w14:paraId="1E31A68B" w14:textId="09736356" w:rsidR="004E3116" w:rsidRPr="0026790A" w:rsidRDefault="004E3116" w:rsidP="00510A2F">
      <w:pPr>
        <w:pStyle w:val="Textonotapie"/>
        <w:ind w:left="294" w:right="-159" w:hanging="294"/>
        <w:jc w:val="both"/>
      </w:pPr>
      <w:r w:rsidRPr="0026790A">
        <w:rPr>
          <w:rStyle w:val="Refdenotaalpie"/>
        </w:rPr>
        <w:footnoteRef/>
      </w:r>
      <w:r w:rsidR="00510A2F">
        <w:tab/>
      </w:r>
      <w:r w:rsidRPr="0026790A">
        <w:t xml:space="preserve">Véase, por ejemplo: </w:t>
      </w:r>
      <w:r w:rsidRPr="001F18EF">
        <w:rPr>
          <w:i/>
        </w:rPr>
        <w:t>Global Financial Stability Report</w:t>
      </w:r>
      <w:r w:rsidRPr="0026790A">
        <w:t>, 2014. Fondo Monetario Interncional.</w:t>
      </w:r>
    </w:p>
  </w:footnote>
  <w:footnote w:id="126">
    <w:p w14:paraId="71CEF477" w14:textId="3708ED4B" w:rsidR="004E3116" w:rsidRPr="00BC4824" w:rsidRDefault="004E3116" w:rsidP="00510A2F">
      <w:pPr>
        <w:pStyle w:val="Textonotapie"/>
        <w:ind w:left="294" w:right="-159" w:hanging="294"/>
        <w:jc w:val="both"/>
      </w:pPr>
      <w:r w:rsidRPr="00BC4824">
        <w:rPr>
          <w:rStyle w:val="Refdenotaalpie"/>
        </w:rPr>
        <w:footnoteRef/>
      </w:r>
      <w:r w:rsidR="00510A2F">
        <w:tab/>
      </w:r>
      <w:r w:rsidRPr="00BC4824">
        <w:t xml:space="preserve">Véase, por ejemplo: </w:t>
      </w:r>
      <w:r w:rsidRPr="001F18EF">
        <w:rPr>
          <w:i/>
        </w:rPr>
        <w:t>Bank for International Settlements</w:t>
      </w:r>
      <w:r w:rsidRPr="00BC4824">
        <w:t xml:space="preserve">, </w:t>
      </w:r>
      <w:r w:rsidRPr="001F18EF">
        <w:rPr>
          <w:i/>
        </w:rPr>
        <w:t>Chapter IV - Debt and the financial cycle: domestic and global</w:t>
      </w:r>
      <w:r w:rsidRPr="00BC4824">
        <w:t xml:space="preserve">, </w:t>
      </w:r>
      <w:r w:rsidRPr="001F18EF">
        <w:rPr>
          <w:i/>
        </w:rPr>
        <w:t>84th BIS Annual Report</w:t>
      </w:r>
      <w:r w:rsidRPr="00BC4824">
        <w:t>, 2013/2014.</w:t>
      </w:r>
    </w:p>
  </w:footnote>
  <w:footnote w:id="127">
    <w:p w14:paraId="2B856E7F" w14:textId="77777777" w:rsidR="004E3116" w:rsidRPr="00621A76" w:rsidRDefault="004E3116" w:rsidP="000B0616">
      <w:pPr>
        <w:pStyle w:val="Textonotapie"/>
        <w:ind w:left="249" w:right="-159" w:hanging="249"/>
        <w:jc w:val="both"/>
      </w:pPr>
      <w:r w:rsidRPr="00621A76">
        <w:rPr>
          <w:rStyle w:val="Refdenotaalpie"/>
        </w:rPr>
        <w:footnoteRef/>
      </w:r>
      <w:r w:rsidRPr="00621A76">
        <w:t xml:space="preserve"> Recuadro “Evolución del endeudamiento de las empresas no-financieras después de la crisis internacional de 2008”, del Informe de Estabilidad Financiera del BCB, de septiembre de 2014.</w:t>
      </w:r>
    </w:p>
  </w:footnote>
  <w:footnote w:id="128">
    <w:p w14:paraId="38ECBBF4" w14:textId="72F7CDE7" w:rsidR="004E3116" w:rsidRPr="00621A76" w:rsidRDefault="004E3116" w:rsidP="00510A2F">
      <w:pPr>
        <w:pStyle w:val="Textonotapie"/>
        <w:ind w:left="350" w:right="-159" w:hanging="328"/>
        <w:jc w:val="both"/>
      </w:pPr>
      <w:r w:rsidRPr="00621A76">
        <w:rPr>
          <w:rStyle w:val="Refdenotaalpie"/>
        </w:rPr>
        <w:footnoteRef/>
      </w:r>
      <w:r w:rsidR="00510A2F">
        <w:tab/>
      </w:r>
      <w:r w:rsidRPr="00621A76">
        <w:t>Recuadro III.1 “Descalce cambiario del sector corporativo no financiero” del Informe de Estabilidad Financiera del BCC, Segundo Semestre 2014.</w:t>
      </w:r>
    </w:p>
  </w:footnote>
  <w:footnote w:id="129">
    <w:p w14:paraId="6CF353DC" w14:textId="329BE166" w:rsidR="004E3116" w:rsidRPr="00621A76" w:rsidRDefault="004E3116" w:rsidP="00510A2F">
      <w:pPr>
        <w:pStyle w:val="Textonotapie"/>
        <w:ind w:left="350" w:right="-159" w:hanging="328"/>
        <w:jc w:val="both"/>
      </w:pPr>
      <w:r w:rsidRPr="00621A76">
        <w:rPr>
          <w:rStyle w:val="Refdenotaalpie"/>
        </w:rPr>
        <w:footnoteRef/>
      </w:r>
      <w:r w:rsidR="00510A2F">
        <w:tab/>
      </w:r>
      <w:r w:rsidRPr="00621A76">
        <w:t>Angel, S., Niño J., Montes “Descalces cambiarios de las firmas no financieras en Colombia”. Borradores de Economía 805-2014.</w:t>
      </w:r>
    </w:p>
  </w:footnote>
  <w:footnote w:id="130">
    <w:p w14:paraId="4DE4FF0E" w14:textId="77777777" w:rsidR="004E3116" w:rsidRPr="00C951E4" w:rsidRDefault="004E3116" w:rsidP="004A4719">
      <w:pPr>
        <w:pStyle w:val="Textonotapie"/>
        <w:jc w:val="both"/>
      </w:pPr>
      <w:r w:rsidRPr="00C951E4">
        <w:rPr>
          <w:rStyle w:val="Refdenotaalpie"/>
        </w:rPr>
        <w:footnoteRef/>
      </w:r>
      <w:r w:rsidRPr="00C951E4">
        <w:t xml:space="preserve"> Reporte sobre el Sistema Financiero. Banco de México. Octubre 2014. Pp: 52-56.</w:t>
      </w:r>
    </w:p>
  </w:footnote>
  <w:footnote w:id="131">
    <w:p w14:paraId="651997B9" w14:textId="77777777" w:rsidR="004E3116" w:rsidRPr="00C951E4" w:rsidRDefault="004E3116" w:rsidP="00510A2F">
      <w:pPr>
        <w:pStyle w:val="Textonotapie"/>
        <w:ind w:left="294" w:right="-142" w:hanging="294"/>
        <w:jc w:val="both"/>
      </w:pPr>
      <w:r w:rsidRPr="00C951E4">
        <w:rPr>
          <w:rStyle w:val="Refdenotaalpie"/>
        </w:rPr>
        <w:footnoteRef/>
      </w:r>
      <w:r w:rsidRPr="00C951E4">
        <w:t xml:space="preserve"> Recuadro 2 “Riesgo cambiario en empresas no financieras”, Reporte de Estabilidad Financiera elaborado por el BCR</w:t>
      </w:r>
      <w:bookmarkStart w:id="25" w:name="_GoBack"/>
      <w:bookmarkEnd w:id="25"/>
      <w:r w:rsidRPr="00C951E4">
        <w:t>P. Mayo 2014.</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5BA8AF" w14:textId="77777777" w:rsidR="004E3116" w:rsidRPr="00B35BB9" w:rsidRDefault="004E3116" w:rsidP="00B35BB9">
    <w:pPr>
      <w:pStyle w:val="Encabezado"/>
      <w:pBdr>
        <w:bottom w:val="single" w:sz="4" w:space="1" w:color="660033"/>
      </w:pBdr>
      <w:tabs>
        <w:tab w:val="clear" w:pos="8504"/>
        <w:tab w:val="left" w:pos="4545"/>
        <w:tab w:val="right" w:pos="8820"/>
      </w:tabs>
      <w:ind w:right="-159"/>
      <w:rPr>
        <w:i/>
        <w:color w:val="660033"/>
        <w:sz w:val="22"/>
        <w:szCs w:val="22"/>
      </w:rPr>
    </w:pPr>
    <w:r w:rsidRPr="00B35BB9">
      <w:rPr>
        <w:rStyle w:val="Nmerodepgina"/>
        <w:i/>
        <w:color w:val="660033"/>
        <w:sz w:val="22"/>
        <w:szCs w:val="22"/>
      </w:rPr>
      <w:fldChar w:fldCharType="begin"/>
    </w:r>
    <w:r w:rsidRPr="00B35BB9">
      <w:rPr>
        <w:rStyle w:val="Nmerodepgina"/>
        <w:i/>
        <w:color w:val="660033"/>
        <w:sz w:val="22"/>
        <w:szCs w:val="22"/>
      </w:rPr>
      <w:instrText xml:space="preserve"> PAGE </w:instrText>
    </w:r>
    <w:r w:rsidRPr="00B35BB9">
      <w:rPr>
        <w:rStyle w:val="Nmerodepgina"/>
        <w:i/>
        <w:color w:val="660033"/>
        <w:sz w:val="22"/>
        <w:szCs w:val="22"/>
      </w:rPr>
      <w:fldChar w:fldCharType="separate"/>
    </w:r>
    <w:r w:rsidR="00510A2F">
      <w:rPr>
        <w:rStyle w:val="Nmerodepgina"/>
        <w:i/>
        <w:noProof/>
        <w:color w:val="660033"/>
        <w:sz w:val="22"/>
        <w:szCs w:val="22"/>
      </w:rPr>
      <w:t>754</w:t>
    </w:r>
    <w:r w:rsidRPr="00B35BB9">
      <w:rPr>
        <w:rStyle w:val="Nmerodepgina"/>
        <w:i/>
        <w:color w:val="660033"/>
        <w:sz w:val="22"/>
        <w:szCs w:val="22"/>
      </w:rPr>
      <w:fldChar w:fldCharType="end"/>
    </w:r>
    <w:r w:rsidRPr="00B35BB9">
      <w:rPr>
        <w:rStyle w:val="Nmerodepgina"/>
        <w:i/>
        <w:color w:val="660033"/>
        <w:sz w:val="22"/>
        <w:szCs w:val="22"/>
      </w:rPr>
      <w:tab/>
    </w:r>
    <w:r w:rsidRPr="00B35BB9">
      <w:rPr>
        <w:rStyle w:val="Nmerodepgina"/>
        <w:i/>
        <w:color w:val="660033"/>
        <w:sz w:val="22"/>
        <w:szCs w:val="22"/>
      </w:rPr>
      <w:tab/>
    </w:r>
    <w:r w:rsidRPr="00B35BB9">
      <w:rPr>
        <w:rStyle w:val="Nmerodepgina"/>
        <w:i/>
        <w:color w:val="660033"/>
        <w:sz w:val="22"/>
        <w:szCs w:val="22"/>
      </w:rPr>
      <w:tab/>
    </w:r>
    <w:r w:rsidRPr="00B35BB9">
      <w:rPr>
        <w:i/>
        <w:color w:val="660033"/>
        <w:sz w:val="22"/>
        <w:szCs w:val="22"/>
      </w:rPr>
      <w:t>Comisión Nacional de los Salarios Mínimos</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D7D1EC" w14:textId="77777777" w:rsidR="004E3116" w:rsidRPr="00B35BB9" w:rsidRDefault="004E3116" w:rsidP="00B35BB9">
    <w:pPr>
      <w:pStyle w:val="Encabezado"/>
      <w:pBdr>
        <w:bottom w:val="single" w:sz="4" w:space="1" w:color="660033"/>
      </w:pBdr>
      <w:tabs>
        <w:tab w:val="clear" w:pos="8504"/>
        <w:tab w:val="right" w:pos="9000"/>
      </w:tabs>
      <w:ind w:right="-159"/>
      <w:rPr>
        <w:i/>
        <w:color w:val="660033"/>
        <w:sz w:val="22"/>
        <w:szCs w:val="22"/>
      </w:rPr>
    </w:pPr>
    <w:r w:rsidRPr="00B35BB9">
      <w:rPr>
        <w:i/>
        <w:color w:val="660033"/>
        <w:sz w:val="22"/>
        <w:szCs w:val="22"/>
      </w:rPr>
      <w:t>Condiciones Generales de la Economía</w:t>
    </w:r>
    <w:r w:rsidRPr="00B35BB9">
      <w:rPr>
        <w:i/>
        <w:color w:val="660033"/>
        <w:sz w:val="22"/>
        <w:szCs w:val="22"/>
      </w:rPr>
      <w:tab/>
    </w:r>
    <w:r w:rsidRPr="00B35BB9">
      <w:rPr>
        <w:i/>
        <w:color w:val="660033"/>
        <w:sz w:val="22"/>
        <w:szCs w:val="22"/>
      </w:rPr>
      <w:tab/>
      <w:t xml:space="preserve">    </w:t>
    </w:r>
    <w:r w:rsidRPr="00B35BB9">
      <w:rPr>
        <w:rStyle w:val="Nmerodepgina"/>
        <w:i/>
        <w:color w:val="660033"/>
        <w:sz w:val="22"/>
        <w:szCs w:val="22"/>
      </w:rPr>
      <w:fldChar w:fldCharType="begin"/>
    </w:r>
    <w:r w:rsidRPr="00B35BB9">
      <w:rPr>
        <w:rStyle w:val="Nmerodepgina"/>
        <w:i/>
        <w:color w:val="660033"/>
        <w:sz w:val="22"/>
        <w:szCs w:val="22"/>
      </w:rPr>
      <w:instrText xml:space="preserve"> PAGE </w:instrText>
    </w:r>
    <w:r w:rsidRPr="00B35BB9">
      <w:rPr>
        <w:rStyle w:val="Nmerodepgina"/>
        <w:i/>
        <w:color w:val="660033"/>
        <w:sz w:val="22"/>
        <w:szCs w:val="22"/>
      </w:rPr>
      <w:fldChar w:fldCharType="separate"/>
    </w:r>
    <w:r w:rsidR="00510A2F">
      <w:rPr>
        <w:rStyle w:val="Nmerodepgina"/>
        <w:i/>
        <w:noProof/>
        <w:color w:val="660033"/>
        <w:sz w:val="22"/>
        <w:szCs w:val="22"/>
      </w:rPr>
      <w:t>755</w:t>
    </w:r>
    <w:r w:rsidRPr="00B35BB9">
      <w:rPr>
        <w:rStyle w:val="Nmerodepgina"/>
        <w:i/>
        <w:color w:val="660033"/>
        <w:sz w:val="22"/>
        <w:szCs w:val="22"/>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F"/>
    <w:multiLevelType w:val="singleLevel"/>
    <w:tmpl w:val="BA526B70"/>
    <w:lvl w:ilvl="0">
      <w:start w:val="1"/>
      <w:numFmt w:val="decimal"/>
      <w:pStyle w:val="Listaconnmeros2"/>
      <w:lvlText w:val="%1."/>
      <w:lvlJc w:val="left"/>
      <w:pPr>
        <w:tabs>
          <w:tab w:val="num" w:pos="643"/>
        </w:tabs>
        <w:ind w:left="643" w:hanging="360"/>
      </w:pPr>
    </w:lvl>
  </w:abstractNum>
  <w:abstractNum w:abstractNumId="1">
    <w:nsid w:val="FFFFFF81"/>
    <w:multiLevelType w:val="singleLevel"/>
    <w:tmpl w:val="A2C00A2E"/>
    <w:lvl w:ilvl="0">
      <w:start w:val="1"/>
      <w:numFmt w:val="bullet"/>
      <w:pStyle w:val="Listaconvietas4"/>
      <w:lvlText w:val=""/>
      <w:lvlJc w:val="left"/>
      <w:pPr>
        <w:tabs>
          <w:tab w:val="num" w:pos="1209"/>
        </w:tabs>
        <w:ind w:left="1209" w:hanging="360"/>
      </w:pPr>
      <w:rPr>
        <w:rFonts w:ascii="Symbol" w:hAnsi="Symbol" w:hint="default"/>
      </w:rPr>
    </w:lvl>
  </w:abstractNum>
  <w:abstractNum w:abstractNumId="2">
    <w:nsid w:val="FFFFFF82"/>
    <w:multiLevelType w:val="singleLevel"/>
    <w:tmpl w:val="AB2C4894"/>
    <w:styleLink w:val="111111122"/>
    <w:lvl w:ilvl="0">
      <w:start w:val="1"/>
      <w:numFmt w:val="bullet"/>
      <w:pStyle w:val="Listaconvietas3"/>
      <w:lvlText w:val=""/>
      <w:lvlJc w:val="left"/>
      <w:pPr>
        <w:tabs>
          <w:tab w:val="num" w:pos="926"/>
        </w:tabs>
        <w:ind w:left="926" w:hanging="360"/>
      </w:pPr>
      <w:rPr>
        <w:rFonts w:ascii="Symbol" w:hAnsi="Symbol" w:hint="default"/>
      </w:rPr>
    </w:lvl>
  </w:abstractNum>
  <w:abstractNum w:abstractNumId="3">
    <w:nsid w:val="FFFFFF83"/>
    <w:multiLevelType w:val="singleLevel"/>
    <w:tmpl w:val="A2028E78"/>
    <w:styleLink w:val="1111112121"/>
    <w:lvl w:ilvl="0">
      <w:start w:val="1"/>
      <w:numFmt w:val="bullet"/>
      <w:pStyle w:val="Listaconvietas2"/>
      <w:lvlText w:val=""/>
      <w:lvlJc w:val="left"/>
      <w:pPr>
        <w:tabs>
          <w:tab w:val="num" w:pos="720"/>
        </w:tabs>
        <w:ind w:left="720" w:hanging="360"/>
      </w:pPr>
      <w:rPr>
        <w:rFonts w:ascii="Symbol" w:hAnsi="Symbol" w:hint="default"/>
      </w:rPr>
    </w:lvl>
  </w:abstractNum>
  <w:abstractNum w:abstractNumId="4">
    <w:nsid w:val="FFFFFF89"/>
    <w:multiLevelType w:val="singleLevel"/>
    <w:tmpl w:val="2592C078"/>
    <w:lvl w:ilvl="0">
      <w:start w:val="1"/>
      <w:numFmt w:val="bullet"/>
      <w:pStyle w:val="Listaconvietas"/>
      <w:lvlText w:val=""/>
      <w:lvlJc w:val="left"/>
      <w:pPr>
        <w:tabs>
          <w:tab w:val="num" w:pos="360"/>
        </w:tabs>
        <w:ind w:left="360" w:hanging="360"/>
      </w:pPr>
      <w:rPr>
        <w:rFonts w:ascii="Symbol" w:hAnsi="Symbol" w:hint="default"/>
      </w:rPr>
    </w:lvl>
  </w:abstractNum>
  <w:abstractNum w:abstractNumId="5">
    <w:nsid w:val="00F26EAD"/>
    <w:multiLevelType w:val="hybridMultilevel"/>
    <w:tmpl w:val="2C90ED44"/>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6">
    <w:nsid w:val="01537B2E"/>
    <w:multiLevelType w:val="hybridMultilevel"/>
    <w:tmpl w:val="C2B062A6"/>
    <w:lvl w:ilvl="0" w:tplc="FFEE0250">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nsid w:val="0280176D"/>
    <w:multiLevelType w:val="hybridMultilevel"/>
    <w:tmpl w:val="CC382464"/>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nsid w:val="02A760C8"/>
    <w:multiLevelType w:val="singleLevel"/>
    <w:tmpl w:val="6978A7C0"/>
    <w:styleLink w:val="11111114"/>
    <w:lvl w:ilvl="0">
      <w:start w:val="1"/>
      <w:numFmt w:val="bullet"/>
      <w:lvlText w:val=""/>
      <w:lvlJc w:val="left"/>
      <w:pPr>
        <w:tabs>
          <w:tab w:val="num" w:pos="360"/>
        </w:tabs>
        <w:ind w:left="360" w:hanging="360"/>
      </w:pPr>
      <w:rPr>
        <w:rFonts w:ascii="Symbol" w:hAnsi="Symbol" w:hint="default"/>
        <w:sz w:val="28"/>
      </w:rPr>
    </w:lvl>
  </w:abstractNum>
  <w:abstractNum w:abstractNumId="9">
    <w:nsid w:val="02C57D67"/>
    <w:multiLevelType w:val="hybridMultilevel"/>
    <w:tmpl w:val="3C088844"/>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nsid w:val="043E65FB"/>
    <w:multiLevelType w:val="hybridMultilevel"/>
    <w:tmpl w:val="50928356"/>
    <w:lvl w:ilvl="0" w:tplc="E654A1BE">
      <w:start w:val="1"/>
      <w:numFmt w:val="bullet"/>
      <w:lvlText w:val=""/>
      <w:lvlJc w:val="left"/>
      <w:pPr>
        <w:ind w:left="720" w:hanging="360"/>
      </w:pPr>
      <w:rPr>
        <w:rFonts w:ascii="Symbol" w:hAnsi="Symbol" w:hint="default"/>
      </w:rPr>
    </w:lvl>
    <w:lvl w:ilvl="1" w:tplc="5D38ACC4">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nsid w:val="067743CF"/>
    <w:multiLevelType w:val="hybridMultilevel"/>
    <w:tmpl w:val="54CA3340"/>
    <w:lvl w:ilvl="0" w:tplc="AD90E8EA">
      <w:start w:val="1"/>
      <w:numFmt w:val="bullet"/>
      <w:lvlText w:val="-"/>
      <w:lvlJc w:val="left"/>
      <w:pPr>
        <w:ind w:left="360" w:hanging="360"/>
      </w:pPr>
      <w:rPr>
        <w:rFonts w:ascii="Courier New" w:hAnsi="Courier New"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2">
    <w:nsid w:val="06993D30"/>
    <w:multiLevelType w:val="hybridMultilevel"/>
    <w:tmpl w:val="368037D2"/>
    <w:lvl w:ilvl="0" w:tplc="A41C4156">
      <w:start w:val="1"/>
      <w:numFmt w:val="bullet"/>
      <w:lvlText w:val="–"/>
      <w:lvlJc w:val="left"/>
      <w:pPr>
        <w:ind w:left="720" w:hanging="360"/>
      </w:pPr>
      <w:rPr>
        <w:rFonts w:ascii="Vrinda" w:hAnsi="Vrind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nsid w:val="073709B1"/>
    <w:multiLevelType w:val="hybridMultilevel"/>
    <w:tmpl w:val="F9A4D0E6"/>
    <w:lvl w:ilvl="0" w:tplc="080A001B">
      <w:start w:val="1"/>
      <w:numFmt w:val="lowerRoman"/>
      <w:lvlText w:val="%1."/>
      <w:lvlJc w:val="righ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nsid w:val="0B4D2870"/>
    <w:multiLevelType w:val="hybridMultilevel"/>
    <w:tmpl w:val="2C3A3626"/>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nsid w:val="0B4E6E53"/>
    <w:multiLevelType w:val="hybridMultilevel"/>
    <w:tmpl w:val="E9DACF1C"/>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nsid w:val="0D470919"/>
    <w:multiLevelType w:val="hybridMultilevel"/>
    <w:tmpl w:val="60701828"/>
    <w:styleLink w:val="111111142"/>
    <w:lvl w:ilvl="0" w:tplc="F57E94BA">
      <w:start w:val="1"/>
      <w:numFmt w:val="bullet"/>
      <w:lvlText w:val="-"/>
      <w:lvlJc w:val="left"/>
      <w:pPr>
        <w:tabs>
          <w:tab w:val="num" w:pos="720"/>
        </w:tabs>
        <w:ind w:left="720" w:hanging="360"/>
      </w:pPr>
      <w:rPr>
        <w:rFonts w:ascii="Vladimir Script" w:hAnsi="Vladimir Script"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7">
    <w:nsid w:val="0D952CC0"/>
    <w:multiLevelType w:val="hybridMultilevel"/>
    <w:tmpl w:val="185E5610"/>
    <w:lvl w:ilvl="0" w:tplc="B77A6332">
      <w:start w:val="2"/>
      <w:numFmt w:val="bullet"/>
      <w:lvlText w:val=""/>
      <w:lvlJc w:val="left"/>
      <w:pPr>
        <w:ind w:left="360" w:hanging="360"/>
      </w:pPr>
      <w:rPr>
        <w:rFonts w:ascii="Symbol" w:eastAsiaTheme="minorHAnsi" w:hAnsi="Symbol" w:cs="Times New Roman"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8">
    <w:nsid w:val="0DA06943"/>
    <w:multiLevelType w:val="hybridMultilevel"/>
    <w:tmpl w:val="A7FCD7A4"/>
    <w:lvl w:ilvl="0" w:tplc="080A0001">
      <w:start w:val="1"/>
      <w:numFmt w:val="bullet"/>
      <w:lvlText w:val=""/>
      <w:lvlJc w:val="left"/>
      <w:pPr>
        <w:ind w:left="360" w:hanging="360"/>
      </w:pPr>
      <w:rPr>
        <w:rFonts w:ascii="Symbol" w:hAnsi="Symbol" w:hint="default"/>
      </w:rPr>
    </w:lvl>
    <w:lvl w:ilvl="1" w:tplc="6C52E17C">
      <w:numFmt w:val="bullet"/>
      <w:lvlText w:val="-"/>
      <w:lvlJc w:val="left"/>
      <w:pPr>
        <w:ind w:left="1080" w:hanging="360"/>
      </w:pPr>
      <w:rPr>
        <w:rFonts w:ascii="Times New Roman" w:eastAsiaTheme="minorHAnsi" w:hAnsi="Times New Roman" w:cs="Times New Roman"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9">
    <w:nsid w:val="0EE94182"/>
    <w:multiLevelType w:val="hybridMultilevel"/>
    <w:tmpl w:val="CCE4C3F8"/>
    <w:lvl w:ilvl="0" w:tplc="A8648EE0">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nsid w:val="0F22463A"/>
    <w:multiLevelType w:val="multilevel"/>
    <w:tmpl w:val="9EC20C5E"/>
    <w:lvl w:ilvl="0">
      <w:start w:val="1"/>
      <w:numFmt w:val="bullet"/>
      <w:lvlText w:val="–"/>
      <w:lvlJc w:val="left"/>
      <w:pPr>
        <w:tabs>
          <w:tab w:val="num" w:pos="720"/>
        </w:tabs>
        <w:ind w:left="720" w:hanging="360"/>
      </w:pPr>
      <w:rPr>
        <w:rFonts w:ascii="Vrinda" w:hAnsi="Vrinda"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11995EE7"/>
    <w:multiLevelType w:val="hybridMultilevel"/>
    <w:tmpl w:val="2C32E92E"/>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nsid w:val="12440104"/>
    <w:multiLevelType w:val="hybridMultilevel"/>
    <w:tmpl w:val="67849322"/>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
    <w:nsid w:val="126C75C2"/>
    <w:multiLevelType w:val="hybridMultilevel"/>
    <w:tmpl w:val="C5365A4A"/>
    <w:lvl w:ilvl="0" w:tplc="E654A1BE">
      <w:start w:val="1"/>
      <w:numFmt w:val="bullet"/>
      <w:lvlText w:val=""/>
      <w:lvlJc w:val="left"/>
      <w:pPr>
        <w:ind w:left="720" w:hanging="360"/>
      </w:pPr>
      <w:rPr>
        <w:rFonts w:ascii="Symbol" w:hAnsi="Symbol" w:hint="default"/>
      </w:rPr>
    </w:lvl>
    <w:lvl w:ilvl="1" w:tplc="0D1AFCC2">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nsid w:val="13F43D2E"/>
    <w:multiLevelType w:val="hybridMultilevel"/>
    <w:tmpl w:val="7B7CA1DE"/>
    <w:lvl w:ilvl="0" w:tplc="E654A1BE">
      <w:start w:val="1"/>
      <w:numFmt w:val="bullet"/>
      <w:lvlText w:val=""/>
      <w:lvlJc w:val="left"/>
      <w:pPr>
        <w:ind w:left="788" w:hanging="360"/>
      </w:pPr>
      <w:rPr>
        <w:rFonts w:ascii="Symbol" w:hAnsi="Symbol" w:hint="default"/>
      </w:rPr>
    </w:lvl>
    <w:lvl w:ilvl="1" w:tplc="080A0003" w:tentative="1">
      <w:start w:val="1"/>
      <w:numFmt w:val="bullet"/>
      <w:lvlText w:val="o"/>
      <w:lvlJc w:val="left"/>
      <w:pPr>
        <w:ind w:left="1508" w:hanging="360"/>
      </w:pPr>
      <w:rPr>
        <w:rFonts w:ascii="Courier New" w:hAnsi="Courier New" w:cs="Courier New" w:hint="default"/>
      </w:rPr>
    </w:lvl>
    <w:lvl w:ilvl="2" w:tplc="080A0005" w:tentative="1">
      <w:start w:val="1"/>
      <w:numFmt w:val="bullet"/>
      <w:lvlText w:val=""/>
      <w:lvlJc w:val="left"/>
      <w:pPr>
        <w:ind w:left="2228" w:hanging="360"/>
      </w:pPr>
      <w:rPr>
        <w:rFonts w:ascii="Wingdings" w:hAnsi="Wingdings" w:hint="default"/>
      </w:rPr>
    </w:lvl>
    <w:lvl w:ilvl="3" w:tplc="080A0001" w:tentative="1">
      <w:start w:val="1"/>
      <w:numFmt w:val="bullet"/>
      <w:lvlText w:val=""/>
      <w:lvlJc w:val="left"/>
      <w:pPr>
        <w:ind w:left="2948" w:hanging="360"/>
      </w:pPr>
      <w:rPr>
        <w:rFonts w:ascii="Symbol" w:hAnsi="Symbol" w:hint="default"/>
      </w:rPr>
    </w:lvl>
    <w:lvl w:ilvl="4" w:tplc="080A0003" w:tentative="1">
      <w:start w:val="1"/>
      <w:numFmt w:val="bullet"/>
      <w:lvlText w:val="o"/>
      <w:lvlJc w:val="left"/>
      <w:pPr>
        <w:ind w:left="3668" w:hanging="360"/>
      </w:pPr>
      <w:rPr>
        <w:rFonts w:ascii="Courier New" w:hAnsi="Courier New" w:cs="Courier New" w:hint="default"/>
      </w:rPr>
    </w:lvl>
    <w:lvl w:ilvl="5" w:tplc="080A0005" w:tentative="1">
      <w:start w:val="1"/>
      <w:numFmt w:val="bullet"/>
      <w:lvlText w:val=""/>
      <w:lvlJc w:val="left"/>
      <w:pPr>
        <w:ind w:left="4388" w:hanging="360"/>
      </w:pPr>
      <w:rPr>
        <w:rFonts w:ascii="Wingdings" w:hAnsi="Wingdings" w:hint="default"/>
      </w:rPr>
    </w:lvl>
    <w:lvl w:ilvl="6" w:tplc="080A0001" w:tentative="1">
      <w:start w:val="1"/>
      <w:numFmt w:val="bullet"/>
      <w:lvlText w:val=""/>
      <w:lvlJc w:val="left"/>
      <w:pPr>
        <w:ind w:left="5108" w:hanging="360"/>
      </w:pPr>
      <w:rPr>
        <w:rFonts w:ascii="Symbol" w:hAnsi="Symbol" w:hint="default"/>
      </w:rPr>
    </w:lvl>
    <w:lvl w:ilvl="7" w:tplc="080A0003" w:tentative="1">
      <w:start w:val="1"/>
      <w:numFmt w:val="bullet"/>
      <w:lvlText w:val="o"/>
      <w:lvlJc w:val="left"/>
      <w:pPr>
        <w:ind w:left="5828" w:hanging="360"/>
      </w:pPr>
      <w:rPr>
        <w:rFonts w:ascii="Courier New" w:hAnsi="Courier New" w:cs="Courier New" w:hint="default"/>
      </w:rPr>
    </w:lvl>
    <w:lvl w:ilvl="8" w:tplc="080A0005" w:tentative="1">
      <w:start w:val="1"/>
      <w:numFmt w:val="bullet"/>
      <w:lvlText w:val=""/>
      <w:lvlJc w:val="left"/>
      <w:pPr>
        <w:ind w:left="6548" w:hanging="360"/>
      </w:pPr>
      <w:rPr>
        <w:rFonts w:ascii="Wingdings" w:hAnsi="Wingdings" w:hint="default"/>
      </w:rPr>
    </w:lvl>
  </w:abstractNum>
  <w:abstractNum w:abstractNumId="25">
    <w:nsid w:val="14907F59"/>
    <w:multiLevelType w:val="hybridMultilevel"/>
    <w:tmpl w:val="08308684"/>
    <w:lvl w:ilvl="0" w:tplc="E654A1BE">
      <w:start w:val="1"/>
      <w:numFmt w:val="bullet"/>
      <w:lvlText w:val=""/>
      <w:lvlJc w:val="left"/>
      <w:pPr>
        <w:ind w:left="720" w:hanging="360"/>
      </w:pPr>
      <w:rPr>
        <w:rFonts w:ascii="Symbol" w:hAnsi="Symbol" w:hint="default"/>
      </w:rPr>
    </w:lvl>
    <w:lvl w:ilvl="1" w:tplc="00C85554">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nsid w:val="168C292F"/>
    <w:multiLevelType w:val="hybridMultilevel"/>
    <w:tmpl w:val="65C49720"/>
    <w:lvl w:ilvl="0" w:tplc="A41C4156">
      <w:start w:val="1"/>
      <w:numFmt w:val="bullet"/>
      <w:lvlText w:val="–"/>
      <w:lvlJc w:val="left"/>
      <w:pPr>
        <w:ind w:left="720" w:hanging="360"/>
      </w:pPr>
      <w:rPr>
        <w:rFonts w:ascii="Vrinda" w:hAnsi="Vrind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nsid w:val="17763756"/>
    <w:multiLevelType w:val="hybridMultilevel"/>
    <w:tmpl w:val="4E80D59E"/>
    <w:lvl w:ilvl="0" w:tplc="AD90E8EA">
      <w:start w:val="1"/>
      <w:numFmt w:val="bullet"/>
      <w:lvlText w:val="-"/>
      <w:lvlJc w:val="left"/>
      <w:pPr>
        <w:ind w:left="360" w:hanging="360"/>
      </w:pPr>
      <w:rPr>
        <w:rFonts w:ascii="Courier New" w:hAnsi="Courier New"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8">
    <w:nsid w:val="17B35D03"/>
    <w:multiLevelType w:val="hybridMultilevel"/>
    <w:tmpl w:val="496AF54A"/>
    <w:lvl w:ilvl="0" w:tplc="74961C26">
      <w:start w:val="1"/>
      <w:numFmt w:val="upperLetter"/>
      <w:lvlText w:val="%1."/>
      <w:lvlJc w:val="left"/>
      <w:pPr>
        <w:ind w:left="252" w:hanging="360"/>
      </w:pPr>
      <w:rPr>
        <w:rFonts w:hint="default"/>
        <w:b/>
      </w:rPr>
    </w:lvl>
    <w:lvl w:ilvl="1" w:tplc="080A0019" w:tentative="1">
      <w:start w:val="1"/>
      <w:numFmt w:val="lowerLetter"/>
      <w:lvlText w:val="%2."/>
      <w:lvlJc w:val="left"/>
      <w:pPr>
        <w:ind w:left="972" w:hanging="360"/>
      </w:pPr>
    </w:lvl>
    <w:lvl w:ilvl="2" w:tplc="080A001B" w:tentative="1">
      <w:start w:val="1"/>
      <w:numFmt w:val="lowerRoman"/>
      <w:lvlText w:val="%3."/>
      <w:lvlJc w:val="right"/>
      <w:pPr>
        <w:ind w:left="1692" w:hanging="180"/>
      </w:pPr>
    </w:lvl>
    <w:lvl w:ilvl="3" w:tplc="080A000F" w:tentative="1">
      <w:start w:val="1"/>
      <w:numFmt w:val="decimal"/>
      <w:lvlText w:val="%4."/>
      <w:lvlJc w:val="left"/>
      <w:pPr>
        <w:ind w:left="2412" w:hanging="360"/>
      </w:pPr>
    </w:lvl>
    <w:lvl w:ilvl="4" w:tplc="080A0019" w:tentative="1">
      <w:start w:val="1"/>
      <w:numFmt w:val="lowerLetter"/>
      <w:lvlText w:val="%5."/>
      <w:lvlJc w:val="left"/>
      <w:pPr>
        <w:ind w:left="3132" w:hanging="360"/>
      </w:pPr>
    </w:lvl>
    <w:lvl w:ilvl="5" w:tplc="080A001B" w:tentative="1">
      <w:start w:val="1"/>
      <w:numFmt w:val="lowerRoman"/>
      <w:lvlText w:val="%6."/>
      <w:lvlJc w:val="right"/>
      <w:pPr>
        <w:ind w:left="3852" w:hanging="180"/>
      </w:pPr>
    </w:lvl>
    <w:lvl w:ilvl="6" w:tplc="080A000F" w:tentative="1">
      <w:start w:val="1"/>
      <w:numFmt w:val="decimal"/>
      <w:lvlText w:val="%7."/>
      <w:lvlJc w:val="left"/>
      <w:pPr>
        <w:ind w:left="4572" w:hanging="360"/>
      </w:pPr>
    </w:lvl>
    <w:lvl w:ilvl="7" w:tplc="080A0019" w:tentative="1">
      <w:start w:val="1"/>
      <w:numFmt w:val="lowerLetter"/>
      <w:lvlText w:val="%8."/>
      <w:lvlJc w:val="left"/>
      <w:pPr>
        <w:ind w:left="5292" w:hanging="360"/>
      </w:pPr>
    </w:lvl>
    <w:lvl w:ilvl="8" w:tplc="080A001B" w:tentative="1">
      <w:start w:val="1"/>
      <w:numFmt w:val="lowerRoman"/>
      <w:lvlText w:val="%9."/>
      <w:lvlJc w:val="right"/>
      <w:pPr>
        <w:ind w:left="6012" w:hanging="180"/>
      </w:pPr>
    </w:lvl>
  </w:abstractNum>
  <w:abstractNum w:abstractNumId="29">
    <w:nsid w:val="19016E2A"/>
    <w:multiLevelType w:val="multilevel"/>
    <w:tmpl w:val="0C0A001F"/>
    <w:styleLink w:val="1111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0">
    <w:nsid w:val="19AC005F"/>
    <w:multiLevelType w:val="hybridMultilevel"/>
    <w:tmpl w:val="2D64E0B4"/>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1">
    <w:nsid w:val="1AE32D26"/>
    <w:multiLevelType w:val="hybridMultilevel"/>
    <w:tmpl w:val="7AAC7516"/>
    <w:lvl w:ilvl="0" w:tplc="4420CF3C">
      <w:start w:val="1"/>
      <w:numFmt w:val="decimal"/>
      <w:lvlText w:val="%1."/>
      <w:lvlJc w:val="left"/>
      <w:pPr>
        <w:ind w:left="720" w:hanging="360"/>
      </w:pPr>
      <w:rPr>
        <w:rFonts w:hint="default"/>
        <w:b w:val="0"/>
        <w:i w:val="0"/>
        <w:color w:val="auto"/>
        <w:sz w:val="26"/>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
    <w:nsid w:val="1B681D4B"/>
    <w:multiLevelType w:val="hybridMultilevel"/>
    <w:tmpl w:val="E35A83D0"/>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nsid w:val="1D532AEE"/>
    <w:multiLevelType w:val="hybridMultilevel"/>
    <w:tmpl w:val="53A43BBE"/>
    <w:lvl w:ilvl="0" w:tplc="7520DBFC">
      <w:start w:val="1"/>
      <w:numFmt w:val="bullet"/>
      <w:lvlText w:val="–"/>
      <w:lvlJc w:val="left"/>
      <w:pPr>
        <w:ind w:left="1008" w:hanging="360"/>
      </w:pPr>
      <w:rPr>
        <w:rFonts w:ascii="Times New Roman" w:hAnsi="Times New Roman" w:cs="Times New Roman" w:hint="default"/>
        <w:sz w:val="24"/>
      </w:rPr>
    </w:lvl>
    <w:lvl w:ilvl="1" w:tplc="7520DBFC">
      <w:start w:val="1"/>
      <w:numFmt w:val="bullet"/>
      <w:lvlText w:val="–"/>
      <w:lvlJc w:val="left"/>
      <w:pPr>
        <w:ind w:left="1728" w:hanging="360"/>
      </w:pPr>
      <w:rPr>
        <w:rFonts w:ascii="Times New Roman" w:hAnsi="Times New Roman" w:cs="Times New Roman" w:hint="default"/>
        <w:sz w:val="24"/>
      </w:rPr>
    </w:lvl>
    <w:lvl w:ilvl="2" w:tplc="080A0005" w:tentative="1">
      <w:start w:val="1"/>
      <w:numFmt w:val="bullet"/>
      <w:lvlText w:val=""/>
      <w:lvlJc w:val="left"/>
      <w:pPr>
        <w:ind w:left="2448" w:hanging="360"/>
      </w:pPr>
      <w:rPr>
        <w:rFonts w:ascii="Wingdings" w:hAnsi="Wingdings" w:hint="default"/>
      </w:rPr>
    </w:lvl>
    <w:lvl w:ilvl="3" w:tplc="080A0001" w:tentative="1">
      <w:start w:val="1"/>
      <w:numFmt w:val="bullet"/>
      <w:lvlText w:val=""/>
      <w:lvlJc w:val="left"/>
      <w:pPr>
        <w:ind w:left="3168" w:hanging="360"/>
      </w:pPr>
      <w:rPr>
        <w:rFonts w:ascii="Symbol" w:hAnsi="Symbol" w:hint="default"/>
      </w:rPr>
    </w:lvl>
    <w:lvl w:ilvl="4" w:tplc="080A0003" w:tentative="1">
      <w:start w:val="1"/>
      <w:numFmt w:val="bullet"/>
      <w:lvlText w:val="o"/>
      <w:lvlJc w:val="left"/>
      <w:pPr>
        <w:ind w:left="3888" w:hanging="360"/>
      </w:pPr>
      <w:rPr>
        <w:rFonts w:ascii="Courier New" w:hAnsi="Courier New" w:cs="Courier New" w:hint="default"/>
      </w:rPr>
    </w:lvl>
    <w:lvl w:ilvl="5" w:tplc="080A0005" w:tentative="1">
      <w:start w:val="1"/>
      <w:numFmt w:val="bullet"/>
      <w:lvlText w:val=""/>
      <w:lvlJc w:val="left"/>
      <w:pPr>
        <w:ind w:left="4608" w:hanging="360"/>
      </w:pPr>
      <w:rPr>
        <w:rFonts w:ascii="Wingdings" w:hAnsi="Wingdings" w:hint="default"/>
      </w:rPr>
    </w:lvl>
    <w:lvl w:ilvl="6" w:tplc="080A0001" w:tentative="1">
      <w:start w:val="1"/>
      <w:numFmt w:val="bullet"/>
      <w:lvlText w:val=""/>
      <w:lvlJc w:val="left"/>
      <w:pPr>
        <w:ind w:left="5328" w:hanging="360"/>
      </w:pPr>
      <w:rPr>
        <w:rFonts w:ascii="Symbol" w:hAnsi="Symbol" w:hint="default"/>
      </w:rPr>
    </w:lvl>
    <w:lvl w:ilvl="7" w:tplc="080A0003" w:tentative="1">
      <w:start w:val="1"/>
      <w:numFmt w:val="bullet"/>
      <w:lvlText w:val="o"/>
      <w:lvlJc w:val="left"/>
      <w:pPr>
        <w:ind w:left="6048" w:hanging="360"/>
      </w:pPr>
      <w:rPr>
        <w:rFonts w:ascii="Courier New" w:hAnsi="Courier New" w:cs="Courier New" w:hint="default"/>
      </w:rPr>
    </w:lvl>
    <w:lvl w:ilvl="8" w:tplc="080A0005" w:tentative="1">
      <w:start w:val="1"/>
      <w:numFmt w:val="bullet"/>
      <w:lvlText w:val=""/>
      <w:lvlJc w:val="left"/>
      <w:pPr>
        <w:ind w:left="6768" w:hanging="360"/>
      </w:pPr>
      <w:rPr>
        <w:rFonts w:ascii="Wingdings" w:hAnsi="Wingdings" w:hint="default"/>
      </w:rPr>
    </w:lvl>
  </w:abstractNum>
  <w:abstractNum w:abstractNumId="34">
    <w:nsid w:val="202F613A"/>
    <w:multiLevelType w:val="hybridMultilevel"/>
    <w:tmpl w:val="911A2C8C"/>
    <w:lvl w:ilvl="0" w:tplc="AD90E8EA">
      <w:start w:val="1"/>
      <w:numFmt w:val="bullet"/>
      <w:lvlText w:val="-"/>
      <w:lvlJc w:val="left"/>
      <w:pPr>
        <w:ind w:left="360" w:hanging="360"/>
      </w:pPr>
      <w:rPr>
        <w:rFonts w:ascii="Courier New" w:hAnsi="Courier New"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5">
    <w:nsid w:val="22973A19"/>
    <w:multiLevelType w:val="hybridMultilevel"/>
    <w:tmpl w:val="103C2ACE"/>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6">
    <w:nsid w:val="27022E14"/>
    <w:multiLevelType w:val="multilevel"/>
    <w:tmpl w:val="C9B80DCC"/>
    <w:styleLink w:val="11111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2749427B"/>
    <w:multiLevelType w:val="hybridMultilevel"/>
    <w:tmpl w:val="58B8E568"/>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8">
    <w:nsid w:val="28557B77"/>
    <w:multiLevelType w:val="hybridMultilevel"/>
    <w:tmpl w:val="8DD83068"/>
    <w:lvl w:ilvl="0" w:tplc="F7B43D26">
      <w:start w:val="1"/>
      <w:numFmt w:val="lowerRoman"/>
      <w:lvlText w:val="%1)"/>
      <w:lvlJc w:val="left"/>
      <w:pPr>
        <w:ind w:left="720" w:hanging="360"/>
      </w:pPr>
      <w:rPr>
        <w:rFonts w:ascii="Times New Roman" w:hAnsi="Times New Roman" w:hint="default"/>
        <w:b w:val="0"/>
        <w:i w:val="0"/>
        <w:sz w:val="26"/>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9">
    <w:nsid w:val="28A922C4"/>
    <w:multiLevelType w:val="hybridMultilevel"/>
    <w:tmpl w:val="D6B2FB5A"/>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0">
    <w:nsid w:val="296A6F6B"/>
    <w:multiLevelType w:val="hybridMultilevel"/>
    <w:tmpl w:val="57B42AC2"/>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1">
    <w:nsid w:val="29AA0702"/>
    <w:multiLevelType w:val="hybridMultilevel"/>
    <w:tmpl w:val="890402E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2">
    <w:nsid w:val="29F427DF"/>
    <w:multiLevelType w:val="hybridMultilevel"/>
    <w:tmpl w:val="FAC897F0"/>
    <w:lvl w:ilvl="0" w:tplc="AD90E8EA">
      <w:start w:val="1"/>
      <w:numFmt w:val="bullet"/>
      <w:lvlText w:val="-"/>
      <w:lvlJc w:val="left"/>
      <w:pPr>
        <w:ind w:left="360" w:hanging="360"/>
      </w:pPr>
      <w:rPr>
        <w:rFonts w:ascii="Courier New" w:hAnsi="Courier New"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3">
    <w:nsid w:val="2C630185"/>
    <w:multiLevelType w:val="hybridMultilevel"/>
    <w:tmpl w:val="DE00606E"/>
    <w:lvl w:ilvl="0" w:tplc="A41C4156">
      <w:start w:val="1"/>
      <w:numFmt w:val="bullet"/>
      <w:lvlText w:val="–"/>
      <w:lvlJc w:val="left"/>
      <w:pPr>
        <w:ind w:left="720" w:hanging="360"/>
      </w:pPr>
      <w:rPr>
        <w:rFonts w:ascii="Vrinda" w:hAnsi="Vrind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4">
    <w:nsid w:val="2EBC188C"/>
    <w:multiLevelType w:val="hybridMultilevel"/>
    <w:tmpl w:val="DB3C4F5A"/>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5">
    <w:nsid w:val="2F7F45B2"/>
    <w:multiLevelType w:val="hybridMultilevel"/>
    <w:tmpl w:val="BB1A7372"/>
    <w:lvl w:ilvl="0" w:tplc="AD90E8EA">
      <w:start w:val="1"/>
      <w:numFmt w:val="bullet"/>
      <w:lvlText w:val="-"/>
      <w:lvlJc w:val="left"/>
      <w:pPr>
        <w:ind w:left="360" w:hanging="360"/>
      </w:pPr>
      <w:rPr>
        <w:rFonts w:ascii="Courier New" w:hAnsi="Courier New"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6">
    <w:nsid w:val="2FD53D9A"/>
    <w:multiLevelType w:val="hybridMultilevel"/>
    <w:tmpl w:val="199240F2"/>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7">
    <w:nsid w:val="2FE648AE"/>
    <w:multiLevelType w:val="hybridMultilevel"/>
    <w:tmpl w:val="E5604668"/>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8">
    <w:nsid w:val="314976E1"/>
    <w:multiLevelType w:val="hybridMultilevel"/>
    <w:tmpl w:val="28F6D56E"/>
    <w:lvl w:ilvl="0" w:tplc="E654A1BE">
      <w:start w:val="1"/>
      <w:numFmt w:val="bullet"/>
      <w:lvlText w:val=""/>
      <w:lvlJc w:val="left"/>
      <w:pPr>
        <w:ind w:left="720" w:hanging="360"/>
      </w:pPr>
      <w:rPr>
        <w:rFonts w:ascii="Symbol" w:hAnsi="Symbol" w:hint="default"/>
      </w:rPr>
    </w:lvl>
    <w:lvl w:ilvl="1" w:tplc="D3CCB736">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9">
    <w:nsid w:val="3164143A"/>
    <w:multiLevelType w:val="hybridMultilevel"/>
    <w:tmpl w:val="572A6BD0"/>
    <w:lvl w:ilvl="0" w:tplc="080A000F">
      <w:start w:val="1"/>
      <w:numFmt w:val="decimal"/>
      <w:lvlText w:val="%1."/>
      <w:lvlJc w:val="left"/>
      <w:pPr>
        <w:ind w:left="-351" w:hanging="360"/>
      </w:pPr>
    </w:lvl>
    <w:lvl w:ilvl="1" w:tplc="080A0019" w:tentative="1">
      <w:start w:val="1"/>
      <w:numFmt w:val="lowerLetter"/>
      <w:lvlText w:val="%2."/>
      <w:lvlJc w:val="left"/>
      <w:pPr>
        <w:ind w:left="369" w:hanging="360"/>
      </w:pPr>
    </w:lvl>
    <w:lvl w:ilvl="2" w:tplc="080A001B" w:tentative="1">
      <w:start w:val="1"/>
      <w:numFmt w:val="lowerRoman"/>
      <w:lvlText w:val="%3."/>
      <w:lvlJc w:val="right"/>
      <w:pPr>
        <w:ind w:left="1089" w:hanging="180"/>
      </w:pPr>
    </w:lvl>
    <w:lvl w:ilvl="3" w:tplc="080A000F" w:tentative="1">
      <w:start w:val="1"/>
      <w:numFmt w:val="decimal"/>
      <w:lvlText w:val="%4."/>
      <w:lvlJc w:val="left"/>
      <w:pPr>
        <w:ind w:left="1809" w:hanging="360"/>
      </w:pPr>
    </w:lvl>
    <w:lvl w:ilvl="4" w:tplc="080A0019" w:tentative="1">
      <w:start w:val="1"/>
      <w:numFmt w:val="lowerLetter"/>
      <w:lvlText w:val="%5."/>
      <w:lvlJc w:val="left"/>
      <w:pPr>
        <w:ind w:left="2529" w:hanging="360"/>
      </w:pPr>
    </w:lvl>
    <w:lvl w:ilvl="5" w:tplc="080A001B" w:tentative="1">
      <w:start w:val="1"/>
      <w:numFmt w:val="lowerRoman"/>
      <w:lvlText w:val="%6."/>
      <w:lvlJc w:val="right"/>
      <w:pPr>
        <w:ind w:left="3249" w:hanging="180"/>
      </w:pPr>
    </w:lvl>
    <w:lvl w:ilvl="6" w:tplc="080A000F" w:tentative="1">
      <w:start w:val="1"/>
      <w:numFmt w:val="decimal"/>
      <w:lvlText w:val="%7."/>
      <w:lvlJc w:val="left"/>
      <w:pPr>
        <w:ind w:left="3969" w:hanging="360"/>
      </w:pPr>
    </w:lvl>
    <w:lvl w:ilvl="7" w:tplc="080A0019" w:tentative="1">
      <w:start w:val="1"/>
      <w:numFmt w:val="lowerLetter"/>
      <w:lvlText w:val="%8."/>
      <w:lvlJc w:val="left"/>
      <w:pPr>
        <w:ind w:left="4689" w:hanging="360"/>
      </w:pPr>
    </w:lvl>
    <w:lvl w:ilvl="8" w:tplc="080A001B" w:tentative="1">
      <w:start w:val="1"/>
      <w:numFmt w:val="lowerRoman"/>
      <w:lvlText w:val="%9."/>
      <w:lvlJc w:val="right"/>
      <w:pPr>
        <w:ind w:left="5409" w:hanging="180"/>
      </w:pPr>
    </w:lvl>
  </w:abstractNum>
  <w:abstractNum w:abstractNumId="50">
    <w:nsid w:val="316C4C10"/>
    <w:multiLevelType w:val="hybridMultilevel"/>
    <w:tmpl w:val="A88EBB26"/>
    <w:lvl w:ilvl="0" w:tplc="A8648EE0">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1">
    <w:nsid w:val="319C639A"/>
    <w:multiLevelType w:val="hybridMultilevel"/>
    <w:tmpl w:val="C896D432"/>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2">
    <w:nsid w:val="31AC5768"/>
    <w:multiLevelType w:val="hybridMultilevel"/>
    <w:tmpl w:val="E384DB52"/>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3">
    <w:nsid w:val="32DF555A"/>
    <w:multiLevelType w:val="hybridMultilevel"/>
    <w:tmpl w:val="C43244F6"/>
    <w:lvl w:ilvl="0" w:tplc="1FFC7152">
      <w:start w:val="1"/>
      <w:numFmt w:val="decimal"/>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54">
    <w:nsid w:val="32F346A8"/>
    <w:multiLevelType w:val="hybridMultilevel"/>
    <w:tmpl w:val="F0CEBF10"/>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5">
    <w:nsid w:val="34403E5A"/>
    <w:multiLevelType w:val="hybridMultilevel"/>
    <w:tmpl w:val="87FA2258"/>
    <w:lvl w:ilvl="0" w:tplc="A41C4156">
      <w:start w:val="1"/>
      <w:numFmt w:val="bullet"/>
      <w:lvlText w:val="–"/>
      <w:lvlJc w:val="left"/>
      <w:pPr>
        <w:ind w:left="720" w:hanging="360"/>
      </w:pPr>
      <w:rPr>
        <w:rFonts w:ascii="Vrinda" w:hAnsi="Vrind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6">
    <w:nsid w:val="34D91CA4"/>
    <w:multiLevelType w:val="hybridMultilevel"/>
    <w:tmpl w:val="7C3EF45E"/>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57">
    <w:nsid w:val="354302D0"/>
    <w:multiLevelType w:val="hybridMultilevel"/>
    <w:tmpl w:val="4170D198"/>
    <w:lvl w:ilvl="0" w:tplc="A8648EE0">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8">
    <w:nsid w:val="35466987"/>
    <w:multiLevelType w:val="hybridMultilevel"/>
    <w:tmpl w:val="8D96345C"/>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59">
    <w:nsid w:val="35C17A25"/>
    <w:multiLevelType w:val="hybridMultilevel"/>
    <w:tmpl w:val="536604F2"/>
    <w:lvl w:ilvl="0" w:tplc="AD90E8EA">
      <w:start w:val="1"/>
      <w:numFmt w:val="bullet"/>
      <w:lvlText w:val="-"/>
      <w:lvlJc w:val="left"/>
      <w:pPr>
        <w:ind w:left="360" w:hanging="360"/>
      </w:pPr>
      <w:rPr>
        <w:rFonts w:ascii="Courier New" w:hAnsi="Courier New"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60">
    <w:nsid w:val="367B3CCC"/>
    <w:multiLevelType w:val="hybridMultilevel"/>
    <w:tmpl w:val="5D34E80A"/>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1">
    <w:nsid w:val="377656F2"/>
    <w:multiLevelType w:val="hybridMultilevel"/>
    <w:tmpl w:val="A66AA634"/>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2">
    <w:nsid w:val="38125670"/>
    <w:multiLevelType w:val="hybridMultilevel"/>
    <w:tmpl w:val="BBC64AA4"/>
    <w:styleLink w:val="11111124"/>
    <w:lvl w:ilvl="0" w:tplc="836A1296">
      <w:start w:val="1"/>
      <w:numFmt w:val="bullet"/>
      <w:lvlText w:val="-"/>
      <w:lvlJc w:val="left"/>
      <w:pPr>
        <w:ind w:left="1004" w:hanging="360"/>
      </w:pPr>
      <w:rPr>
        <w:rFonts w:ascii="Arial" w:hAnsi="Arial" w:hint="default"/>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63">
    <w:nsid w:val="398E4B44"/>
    <w:multiLevelType w:val="hybridMultilevel"/>
    <w:tmpl w:val="52726324"/>
    <w:lvl w:ilvl="0" w:tplc="080A0001">
      <w:start w:val="1"/>
      <w:numFmt w:val="bullet"/>
      <w:lvlText w:val=""/>
      <w:lvlJc w:val="left"/>
      <w:pPr>
        <w:ind w:left="360" w:hanging="360"/>
      </w:pPr>
      <w:rPr>
        <w:rFonts w:ascii="Symbol" w:hAnsi="Symbol"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64">
    <w:nsid w:val="3A7E2863"/>
    <w:multiLevelType w:val="hybridMultilevel"/>
    <w:tmpl w:val="20607E8C"/>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5">
    <w:nsid w:val="3B724897"/>
    <w:multiLevelType w:val="hybridMultilevel"/>
    <w:tmpl w:val="D39CBBC0"/>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6">
    <w:nsid w:val="3CAB3ECE"/>
    <w:multiLevelType w:val="hybridMultilevel"/>
    <w:tmpl w:val="81BC8A24"/>
    <w:lvl w:ilvl="0" w:tplc="AD1A70D0">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7">
    <w:nsid w:val="3D1757C6"/>
    <w:multiLevelType w:val="hybridMultilevel"/>
    <w:tmpl w:val="53544E04"/>
    <w:lvl w:ilvl="0" w:tplc="FFEE0250">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8">
    <w:nsid w:val="3D6F7D99"/>
    <w:multiLevelType w:val="hybridMultilevel"/>
    <w:tmpl w:val="27D0C19A"/>
    <w:lvl w:ilvl="0" w:tplc="7520DBFC">
      <w:start w:val="1"/>
      <w:numFmt w:val="bullet"/>
      <w:lvlText w:val="–"/>
      <w:lvlJc w:val="left"/>
      <w:pPr>
        <w:ind w:left="720" w:hanging="360"/>
      </w:pPr>
      <w:rPr>
        <w:rFonts w:ascii="Times New Roman" w:hAnsi="Times New Roman" w:cs="Times New Roman" w:hint="default"/>
        <w:sz w:val="24"/>
      </w:rPr>
    </w:lvl>
    <w:lvl w:ilvl="1" w:tplc="D66477BC">
      <w:numFmt w:val="bullet"/>
      <w:lvlText w:val="-"/>
      <w:lvlJc w:val="left"/>
      <w:pPr>
        <w:ind w:left="1440" w:hanging="360"/>
      </w:pPr>
      <w:rPr>
        <w:rFonts w:ascii="Times New Roman" w:eastAsia="Times New Roman"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9">
    <w:nsid w:val="3DC32FDF"/>
    <w:multiLevelType w:val="hybridMultilevel"/>
    <w:tmpl w:val="78B088FE"/>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0">
    <w:nsid w:val="3F0729A3"/>
    <w:multiLevelType w:val="hybridMultilevel"/>
    <w:tmpl w:val="29865DE4"/>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71">
    <w:nsid w:val="405B1EC9"/>
    <w:multiLevelType w:val="hybridMultilevel"/>
    <w:tmpl w:val="6712865E"/>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2">
    <w:nsid w:val="41C84AA4"/>
    <w:multiLevelType w:val="hybridMultilevel"/>
    <w:tmpl w:val="93F80A0A"/>
    <w:lvl w:ilvl="0" w:tplc="845AE966">
      <w:start w:val="1"/>
      <w:numFmt w:val="upperLetter"/>
      <w:lvlText w:val="%1)"/>
      <w:lvlJc w:val="left"/>
      <w:pPr>
        <w:ind w:left="252" w:hanging="360"/>
      </w:pPr>
      <w:rPr>
        <w:rFonts w:hint="default"/>
        <w:b/>
      </w:rPr>
    </w:lvl>
    <w:lvl w:ilvl="1" w:tplc="080A0019" w:tentative="1">
      <w:start w:val="1"/>
      <w:numFmt w:val="lowerLetter"/>
      <w:lvlText w:val="%2."/>
      <w:lvlJc w:val="left"/>
      <w:pPr>
        <w:ind w:left="972" w:hanging="360"/>
      </w:pPr>
    </w:lvl>
    <w:lvl w:ilvl="2" w:tplc="080A001B" w:tentative="1">
      <w:start w:val="1"/>
      <w:numFmt w:val="lowerRoman"/>
      <w:lvlText w:val="%3."/>
      <w:lvlJc w:val="right"/>
      <w:pPr>
        <w:ind w:left="1692" w:hanging="180"/>
      </w:pPr>
    </w:lvl>
    <w:lvl w:ilvl="3" w:tplc="080A000F" w:tentative="1">
      <w:start w:val="1"/>
      <w:numFmt w:val="decimal"/>
      <w:lvlText w:val="%4."/>
      <w:lvlJc w:val="left"/>
      <w:pPr>
        <w:ind w:left="2412" w:hanging="360"/>
      </w:pPr>
    </w:lvl>
    <w:lvl w:ilvl="4" w:tplc="080A0019" w:tentative="1">
      <w:start w:val="1"/>
      <w:numFmt w:val="lowerLetter"/>
      <w:lvlText w:val="%5."/>
      <w:lvlJc w:val="left"/>
      <w:pPr>
        <w:ind w:left="3132" w:hanging="360"/>
      </w:pPr>
    </w:lvl>
    <w:lvl w:ilvl="5" w:tplc="080A001B" w:tentative="1">
      <w:start w:val="1"/>
      <w:numFmt w:val="lowerRoman"/>
      <w:lvlText w:val="%6."/>
      <w:lvlJc w:val="right"/>
      <w:pPr>
        <w:ind w:left="3852" w:hanging="180"/>
      </w:pPr>
    </w:lvl>
    <w:lvl w:ilvl="6" w:tplc="080A000F" w:tentative="1">
      <w:start w:val="1"/>
      <w:numFmt w:val="decimal"/>
      <w:lvlText w:val="%7."/>
      <w:lvlJc w:val="left"/>
      <w:pPr>
        <w:ind w:left="4572" w:hanging="360"/>
      </w:pPr>
    </w:lvl>
    <w:lvl w:ilvl="7" w:tplc="080A0019" w:tentative="1">
      <w:start w:val="1"/>
      <w:numFmt w:val="lowerLetter"/>
      <w:lvlText w:val="%8."/>
      <w:lvlJc w:val="left"/>
      <w:pPr>
        <w:ind w:left="5292" w:hanging="360"/>
      </w:pPr>
    </w:lvl>
    <w:lvl w:ilvl="8" w:tplc="080A001B" w:tentative="1">
      <w:start w:val="1"/>
      <w:numFmt w:val="lowerRoman"/>
      <w:lvlText w:val="%9."/>
      <w:lvlJc w:val="right"/>
      <w:pPr>
        <w:ind w:left="6012" w:hanging="180"/>
      </w:pPr>
    </w:lvl>
  </w:abstractNum>
  <w:abstractNum w:abstractNumId="73">
    <w:nsid w:val="41D41DD0"/>
    <w:multiLevelType w:val="hybridMultilevel"/>
    <w:tmpl w:val="CE3EA622"/>
    <w:lvl w:ilvl="0" w:tplc="AD90E8EA">
      <w:start w:val="1"/>
      <w:numFmt w:val="bullet"/>
      <w:lvlText w:val="-"/>
      <w:lvlJc w:val="left"/>
      <w:pPr>
        <w:ind w:left="360" w:hanging="360"/>
      </w:pPr>
      <w:rPr>
        <w:rFonts w:ascii="Courier New" w:hAnsi="Courier New"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74">
    <w:nsid w:val="43C3541C"/>
    <w:multiLevelType w:val="hybridMultilevel"/>
    <w:tmpl w:val="F2C2A400"/>
    <w:lvl w:ilvl="0" w:tplc="A8F66970">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5">
    <w:nsid w:val="43EF73F7"/>
    <w:multiLevelType w:val="hybridMultilevel"/>
    <w:tmpl w:val="1562D976"/>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6">
    <w:nsid w:val="452966AB"/>
    <w:multiLevelType w:val="hybridMultilevel"/>
    <w:tmpl w:val="1BA4E67C"/>
    <w:lvl w:ilvl="0" w:tplc="B77A6332">
      <w:start w:val="2"/>
      <w:numFmt w:val="bullet"/>
      <w:lvlText w:val=""/>
      <w:lvlJc w:val="left"/>
      <w:pPr>
        <w:ind w:left="360" w:hanging="360"/>
      </w:pPr>
      <w:rPr>
        <w:rFonts w:ascii="Symbol" w:eastAsiaTheme="minorHAnsi" w:hAnsi="Symbol" w:cs="Times New Roman"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77">
    <w:nsid w:val="453A160D"/>
    <w:multiLevelType w:val="hybridMultilevel"/>
    <w:tmpl w:val="A7B8D2B0"/>
    <w:lvl w:ilvl="0" w:tplc="E654A1BE">
      <w:start w:val="1"/>
      <w:numFmt w:val="bullet"/>
      <w:lvlText w:val=""/>
      <w:lvlJc w:val="left"/>
      <w:pPr>
        <w:ind w:left="720" w:hanging="360"/>
      </w:pPr>
      <w:rPr>
        <w:rFonts w:ascii="Symbol" w:hAnsi="Symbol" w:hint="default"/>
      </w:rPr>
    </w:lvl>
    <w:lvl w:ilvl="1" w:tplc="308CDCEA">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8">
    <w:nsid w:val="46711A75"/>
    <w:multiLevelType w:val="hybridMultilevel"/>
    <w:tmpl w:val="47587BC6"/>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9">
    <w:nsid w:val="482F6BA1"/>
    <w:multiLevelType w:val="hybridMultilevel"/>
    <w:tmpl w:val="D6FC288A"/>
    <w:lvl w:ilvl="0" w:tplc="080A0001">
      <w:start w:val="1"/>
      <w:numFmt w:val="bullet"/>
      <w:lvlText w:val=""/>
      <w:lvlJc w:val="left"/>
      <w:pPr>
        <w:ind w:left="720" w:hanging="360"/>
      </w:pPr>
      <w:rPr>
        <w:rFonts w:ascii="Symbol" w:hAnsi="Symbol" w:hint="default"/>
      </w:rPr>
    </w:lvl>
    <w:lvl w:ilvl="1" w:tplc="B048691C">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0">
    <w:nsid w:val="490170CE"/>
    <w:multiLevelType w:val="hybridMultilevel"/>
    <w:tmpl w:val="D0D874FA"/>
    <w:lvl w:ilvl="0" w:tplc="7AB291FE">
      <w:numFmt w:val="bullet"/>
      <w:lvlText w:val="—"/>
      <w:lvlJc w:val="left"/>
      <w:pPr>
        <w:ind w:left="360" w:hanging="360"/>
      </w:pPr>
      <w:rPr>
        <w:rFonts w:ascii="Times New Roman" w:eastAsiaTheme="minorHAnsi" w:hAnsi="Times New Roman" w:cs="Times New Roman"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81">
    <w:nsid w:val="49B60CC7"/>
    <w:multiLevelType w:val="hybridMultilevel"/>
    <w:tmpl w:val="DBF87D3C"/>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2">
    <w:nsid w:val="4A0C0056"/>
    <w:multiLevelType w:val="hybridMultilevel"/>
    <w:tmpl w:val="3B6CEF80"/>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3">
    <w:nsid w:val="4AFC59DC"/>
    <w:multiLevelType w:val="hybridMultilevel"/>
    <w:tmpl w:val="2446E0C6"/>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84">
    <w:nsid w:val="4BEC6E64"/>
    <w:multiLevelType w:val="hybridMultilevel"/>
    <w:tmpl w:val="7AEC2038"/>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5">
    <w:nsid w:val="4C397D5C"/>
    <w:multiLevelType w:val="hybridMultilevel"/>
    <w:tmpl w:val="2E503A92"/>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6">
    <w:nsid w:val="4C7312E6"/>
    <w:multiLevelType w:val="hybridMultilevel"/>
    <w:tmpl w:val="4F7A7990"/>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7">
    <w:nsid w:val="4DB258D8"/>
    <w:multiLevelType w:val="hybridMultilevel"/>
    <w:tmpl w:val="3D903E78"/>
    <w:lvl w:ilvl="0" w:tplc="A41C4156">
      <w:start w:val="1"/>
      <w:numFmt w:val="bullet"/>
      <w:lvlText w:val="–"/>
      <w:lvlJc w:val="left"/>
      <w:pPr>
        <w:ind w:left="360" w:hanging="360"/>
      </w:pPr>
      <w:rPr>
        <w:rFonts w:ascii="Vrinda" w:hAnsi="Vrinda"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88">
    <w:nsid w:val="4DDD607F"/>
    <w:multiLevelType w:val="hybridMultilevel"/>
    <w:tmpl w:val="6DBAD148"/>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9">
    <w:nsid w:val="4EED2453"/>
    <w:multiLevelType w:val="hybridMultilevel"/>
    <w:tmpl w:val="1C14AA66"/>
    <w:styleLink w:val="111111211"/>
    <w:lvl w:ilvl="0" w:tplc="D9EA953C">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90">
    <w:nsid w:val="4F2D3305"/>
    <w:multiLevelType w:val="hybridMultilevel"/>
    <w:tmpl w:val="EA94AE9C"/>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1">
    <w:nsid w:val="4FB754EB"/>
    <w:multiLevelType w:val="hybridMultilevel"/>
    <w:tmpl w:val="FEC42B98"/>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2">
    <w:nsid w:val="50312B6E"/>
    <w:multiLevelType w:val="hybridMultilevel"/>
    <w:tmpl w:val="A8BE1F46"/>
    <w:lvl w:ilvl="0" w:tplc="AD90E8EA">
      <w:start w:val="1"/>
      <w:numFmt w:val="bullet"/>
      <w:lvlText w:val="-"/>
      <w:lvlJc w:val="left"/>
      <w:pPr>
        <w:ind w:left="360" w:hanging="360"/>
      </w:pPr>
      <w:rPr>
        <w:rFonts w:ascii="Courier New" w:hAnsi="Courier New"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93">
    <w:nsid w:val="53D97EAF"/>
    <w:multiLevelType w:val="hybridMultilevel"/>
    <w:tmpl w:val="9D4A94CE"/>
    <w:lvl w:ilvl="0" w:tplc="E654A1BE">
      <w:start w:val="1"/>
      <w:numFmt w:val="bullet"/>
      <w:lvlText w:val=""/>
      <w:lvlJc w:val="left"/>
      <w:pPr>
        <w:ind w:left="720" w:hanging="360"/>
      </w:pPr>
      <w:rPr>
        <w:rFonts w:ascii="Symbol" w:hAnsi="Symbol" w:hint="default"/>
      </w:rPr>
    </w:lvl>
    <w:lvl w:ilvl="1" w:tplc="7608748A">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4">
    <w:nsid w:val="55AD1E08"/>
    <w:multiLevelType w:val="hybridMultilevel"/>
    <w:tmpl w:val="E6920D0C"/>
    <w:lvl w:ilvl="0" w:tplc="AD90E8EA">
      <w:start w:val="1"/>
      <w:numFmt w:val="bullet"/>
      <w:lvlText w:val="-"/>
      <w:lvlJc w:val="left"/>
      <w:pPr>
        <w:ind w:left="360" w:hanging="360"/>
      </w:pPr>
      <w:rPr>
        <w:rFonts w:ascii="Courier New" w:hAnsi="Courier New"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95">
    <w:nsid w:val="57644CF4"/>
    <w:multiLevelType w:val="hybridMultilevel"/>
    <w:tmpl w:val="69705428"/>
    <w:lvl w:ilvl="0" w:tplc="080A000F">
      <w:start w:val="1"/>
      <w:numFmt w:val="decimal"/>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96">
    <w:nsid w:val="59013E85"/>
    <w:multiLevelType w:val="hybridMultilevel"/>
    <w:tmpl w:val="4CA601E4"/>
    <w:lvl w:ilvl="0" w:tplc="FFEE0250">
      <w:start w:val="1"/>
      <w:numFmt w:val="bullet"/>
      <w:lvlText w:val=""/>
      <w:lvlJc w:val="left"/>
      <w:pPr>
        <w:ind w:left="788" w:hanging="360"/>
      </w:pPr>
      <w:rPr>
        <w:rFonts w:ascii="Symbol" w:hAnsi="Symbol" w:hint="default"/>
      </w:rPr>
    </w:lvl>
    <w:lvl w:ilvl="1" w:tplc="080A0003" w:tentative="1">
      <w:start w:val="1"/>
      <w:numFmt w:val="bullet"/>
      <w:lvlText w:val="o"/>
      <w:lvlJc w:val="left"/>
      <w:pPr>
        <w:ind w:left="1508" w:hanging="360"/>
      </w:pPr>
      <w:rPr>
        <w:rFonts w:ascii="Courier New" w:hAnsi="Courier New" w:cs="Courier New" w:hint="default"/>
      </w:rPr>
    </w:lvl>
    <w:lvl w:ilvl="2" w:tplc="080A0005" w:tentative="1">
      <w:start w:val="1"/>
      <w:numFmt w:val="bullet"/>
      <w:lvlText w:val=""/>
      <w:lvlJc w:val="left"/>
      <w:pPr>
        <w:ind w:left="2228" w:hanging="360"/>
      </w:pPr>
      <w:rPr>
        <w:rFonts w:ascii="Wingdings" w:hAnsi="Wingdings" w:hint="default"/>
      </w:rPr>
    </w:lvl>
    <w:lvl w:ilvl="3" w:tplc="080A0001" w:tentative="1">
      <w:start w:val="1"/>
      <w:numFmt w:val="bullet"/>
      <w:lvlText w:val=""/>
      <w:lvlJc w:val="left"/>
      <w:pPr>
        <w:ind w:left="2948" w:hanging="360"/>
      </w:pPr>
      <w:rPr>
        <w:rFonts w:ascii="Symbol" w:hAnsi="Symbol" w:hint="default"/>
      </w:rPr>
    </w:lvl>
    <w:lvl w:ilvl="4" w:tplc="080A0003" w:tentative="1">
      <w:start w:val="1"/>
      <w:numFmt w:val="bullet"/>
      <w:lvlText w:val="o"/>
      <w:lvlJc w:val="left"/>
      <w:pPr>
        <w:ind w:left="3668" w:hanging="360"/>
      </w:pPr>
      <w:rPr>
        <w:rFonts w:ascii="Courier New" w:hAnsi="Courier New" w:cs="Courier New" w:hint="default"/>
      </w:rPr>
    </w:lvl>
    <w:lvl w:ilvl="5" w:tplc="080A0005" w:tentative="1">
      <w:start w:val="1"/>
      <w:numFmt w:val="bullet"/>
      <w:lvlText w:val=""/>
      <w:lvlJc w:val="left"/>
      <w:pPr>
        <w:ind w:left="4388" w:hanging="360"/>
      </w:pPr>
      <w:rPr>
        <w:rFonts w:ascii="Wingdings" w:hAnsi="Wingdings" w:hint="default"/>
      </w:rPr>
    </w:lvl>
    <w:lvl w:ilvl="6" w:tplc="080A0001" w:tentative="1">
      <w:start w:val="1"/>
      <w:numFmt w:val="bullet"/>
      <w:lvlText w:val=""/>
      <w:lvlJc w:val="left"/>
      <w:pPr>
        <w:ind w:left="5108" w:hanging="360"/>
      </w:pPr>
      <w:rPr>
        <w:rFonts w:ascii="Symbol" w:hAnsi="Symbol" w:hint="default"/>
      </w:rPr>
    </w:lvl>
    <w:lvl w:ilvl="7" w:tplc="080A0003" w:tentative="1">
      <w:start w:val="1"/>
      <w:numFmt w:val="bullet"/>
      <w:lvlText w:val="o"/>
      <w:lvlJc w:val="left"/>
      <w:pPr>
        <w:ind w:left="5828" w:hanging="360"/>
      </w:pPr>
      <w:rPr>
        <w:rFonts w:ascii="Courier New" w:hAnsi="Courier New" w:cs="Courier New" w:hint="default"/>
      </w:rPr>
    </w:lvl>
    <w:lvl w:ilvl="8" w:tplc="080A0005" w:tentative="1">
      <w:start w:val="1"/>
      <w:numFmt w:val="bullet"/>
      <w:lvlText w:val=""/>
      <w:lvlJc w:val="left"/>
      <w:pPr>
        <w:ind w:left="6548" w:hanging="360"/>
      </w:pPr>
      <w:rPr>
        <w:rFonts w:ascii="Wingdings" w:hAnsi="Wingdings" w:hint="default"/>
      </w:rPr>
    </w:lvl>
  </w:abstractNum>
  <w:abstractNum w:abstractNumId="97">
    <w:nsid w:val="5947410A"/>
    <w:multiLevelType w:val="hybridMultilevel"/>
    <w:tmpl w:val="1DBE50F0"/>
    <w:lvl w:ilvl="0" w:tplc="E654A1BE">
      <w:start w:val="1"/>
      <w:numFmt w:val="bullet"/>
      <w:lvlText w:val=""/>
      <w:lvlJc w:val="left"/>
      <w:pPr>
        <w:ind w:left="720" w:hanging="360"/>
      </w:pPr>
      <w:rPr>
        <w:rFonts w:ascii="Symbol" w:hAnsi="Symbol" w:hint="default"/>
      </w:rPr>
    </w:lvl>
    <w:lvl w:ilvl="1" w:tplc="6EF41B72">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8">
    <w:nsid w:val="5B4375C8"/>
    <w:multiLevelType w:val="hybridMultilevel"/>
    <w:tmpl w:val="B1385C24"/>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9">
    <w:nsid w:val="5B84159B"/>
    <w:multiLevelType w:val="hybridMultilevel"/>
    <w:tmpl w:val="1AEAD96C"/>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0">
    <w:nsid w:val="5C957785"/>
    <w:multiLevelType w:val="hybridMultilevel"/>
    <w:tmpl w:val="F88A6F6E"/>
    <w:lvl w:ilvl="0" w:tplc="7AB291FE">
      <w:numFmt w:val="bullet"/>
      <w:lvlText w:val="—"/>
      <w:lvlJc w:val="left"/>
      <w:pPr>
        <w:ind w:left="360" w:hanging="360"/>
      </w:pPr>
      <w:rPr>
        <w:rFonts w:ascii="Times New Roman" w:eastAsiaTheme="minorHAnsi" w:hAnsi="Times New Roman" w:cs="Times New Roman"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01">
    <w:nsid w:val="5CA43752"/>
    <w:multiLevelType w:val="hybridMultilevel"/>
    <w:tmpl w:val="DB90A14C"/>
    <w:lvl w:ilvl="0" w:tplc="2CE48AF8">
      <w:start w:val="1"/>
      <w:numFmt w:val="lowerLetter"/>
      <w:lvlText w:val="%1)"/>
      <w:lvlJc w:val="left"/>
      <w:pPr>
        <w:ind w:left="830" w:hanging="360"/>
      </w:pPr>
      <w:rPr>
        <w:rFonts w:hint="default"/>
      </w:rPr>
    </w:lvl>
    <w:lvl w:ilvl="1" w:tplc="080A0019" w:tentative="1">
      <w:start w:val="1"/>
      <w:numFmt w:val="lowerLetter"/>
      <w:lvlText w:val="%2."/>
      <w:lvlJc w:val="left"/>
      <w:pPr>
        <w:ind w:left="1550" w:hanging="360"/>
      </w:pPr>
    </w:lvl>
    <w:lvl w:ilvl="2" w:tplc="080A001B" w:tentative="1">
      <w:start w:val="1"/>
      <w:numFmt w:val="lowerRoman"/>
      <w:lvlText w:val="%3."/>
      <w:lvlJc w:val="right"/>
      <w:pPr>
        <w:ind w:left="2270" w:hanging="180"/>
      </w:pPr>
    </w:lvl>
    <w:lvl w:ilvl="3" w:tplc="080A000F" w:tentative="1">
      <w:start w:val="1"/>
      <w:numFmt w:val="decimal"/>
      <w:lvlText w:val="%4."/>
      <w:lvlJc w:val="left"/>
      <w:pPr>
        <w:ind w:left="2990" w:hanging="360"/>
      </w:pPr>
    </w:lvl>
    <w:lvl w:ilvl="4" w:tplc="080A0019" w:tentative="1">
      <w:start w:val="1"/>
      <w:numFmt w:val="lowerLetter"/>
      <w:lvlText w:val="%5."/>
      <w:lvlJc w:val="left"/>
      <w:pPr>
        <w:ind w:left="3710" w:hanging="360"/>
      </w:pPr>
    </w:lvl>
    <w:lvl w:ilvl="5" w:tplc="080A001B" w:tentative="1">
      <w:start w:val="1"/>
      <w:numFmt w:val="lowerRoman"/>
      <w:lvlText w:val="%6."/>
      <w:lvlJc w:val="right"/>
      <w:pPr>
        <w:ind w:left="4430" w:hanging="180"/>
      </w:pPr>
    </w:lvl>
    <w:lvl w:ilvl="6" w:tplc="080A000F" w:tentative="1">
      <w:start w:val="1"/>
      <w:numFmt w:val="decimal"/>
      <w:lvlText w:val="%7."/>
      <w:lvlJc w:val="left"/>
      <w:pPr>
        <w:ind w:left="5150" w:hanging="360"/>
      </w:pPr>
    </w:lvl>
    <w:lvl w:ilvl="7" w:tplc="080A0019" w:tentative="1">
      <w:start w:val="1"/>
      <w:numFmt w:val="lowerLetter"/>
      <w:lvlText w:val="%8."/>
      <w:lvlJc w:val="left"/>
      <w:pPr>
        <w:ind w:left="5870" w:hanging="360"/>
      </w:pPr>
    </w:lvl>
    <w:lvl w:ilvl="8" w:tplc="080A001B" w:tentative="1">
      <w:start w:val="1"/>
      <w:numFmt w:val="lowerRoman"/>
      <w:lvlText w:val="%9."/>
      <w:lvlJc w:val="right"/>
      <w:pPr>
        <w:ind w:left="6590" w:hanging="180"/>
      </w:pPr>
    </w:lvl>
  </w:abstractNum>
  <w:abstractNum w:abstractNumId="102">
    <w:nsid w:val="5EC45B7D"/>
    <w:multiLevelType w:val="hybridMultilevel"/>
    <w:tmpl w:val="11740154"/>
    <w:lvl w:ilvl="0" w:tplc="C8EE0074">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03">
    <w:nsid w:val="5EC85F16"/>
    <w:multiLevelType w:val="hybridMultilevel"/>
    <w:tmpl w:val="AF7EEBB6"/>
    <w:lvl w:ilvl="0" w:tplc="080A000F">
      <w:start w:val="1"/>
      <w:numFmt w:val="decimal"/>
      <w:lvlText w:val="%1."/>
      <w:lvlJc w:val="left"/>
      <w:pPr>
        <w:ind w:left="360" w:hanging="360"/>
      </w:pPr>
    </w:lvl>
    <w:lvl w:ilvl="1" w:tplc="080A0019" w:tentative="1">
      <w:start w:val="1"/>
      <w:numFmt w:val="lowerLetter"/>
      <w:lvlText w:val="%2."/>
      <w:lvlJc w:val="left"/>
      <w:pPr>
        <w:ind w:left="-1897" w:hanging="360"/>
      </w:pPr>
    </w:lvl>
    <w:lvl w:ilvl="2" w:tplc="080A001B" w:tentative="1">
      <w:start w:val="1"/>
      <w:numFmt w:val="lowerRoman"/>
      <w:lvlText w:val="%3."/>
      <w:lvlJc w:val="right"/>
      <w:pPr>
        <w:ind w:left="-1177" w:hanging="180"/>
      </w:pPr>
    </w:lvl>
    <w:lvl w:ilvl="3" w:tplc="080A000F" w:tentative="1">
      <w:start w:val="1"/>
      <w:numFmt w:val="decimal"/>
      <w:lvlText w:val="%4."/>
      <w:lvlJc w:val="left"/>
      <w:pPr>
        <w:ind w:left="-457" w:hanging="360"/>
      </w:pPr>
    </w:lvl>
    <w:lvl w:ilvl="4" w:tplc="080A0019" w:tentative="1">
      <w:start w:val="1"/>
      <w:numFmt w:val="lowerLetter"/>
      <w:lvlText w:val="%5."/>
      <w:lvlJc w:val="left"/>
      <w:pPr>
        <w:ind w:left="263" w:hanging="360"/>
      </w:pPr>
    </w:lvl>
    <w:lvl w:ilvl="5" w:tplc="080A001B" w:tentative="1">
      <w:start w:val="1"/>
      <w:numFmt w:val="lowerRoman"/>
      <w:lvlText w:val="%6."/>
      <w:lvlJc w:val="right"/>
      <w:pPr>
        <w:ind w:left="983" w:hanging="180"/>
      </w:pPr>
    </w:lvl>
    <w:lvl w:ilvl="6" w:tplc="080A000F" w:tentative="1">
      <w:start w:val="1"/>
      <w:numFmt w:val="decimal"/>
      <w:lvlText w:val="%7."/>
      <w:lvlJc w:val="left"/>
      <w:pPr>
        <w:ind w:left="1703" w:hanging="360"/>
      </w:pPr>
    </w:lvl>
    <w:lvl w:ilvl="7" w:tplc="080A0019" w:tentative="1">
      <w:start w:val="1"/>
      <w:numFmt w:val="lowerLetter"/>
      <w:lvlText w:val="%8."/>
      <w:lvlJc w:val="left"/>
      <w:pPr>
        <w:ind w:left="2423" w:hanging="360"/>
      </w:pPr>
    </w:lvl>
    <w:lvl w:ilvl="8" w:tplc="080A001B" w:tentative="1">
      <w:start w:val="1"/>
      <w:numFmt w:val="lowerRoman"/>
      <w:lvlText w:val="%9."/>
      <w:lvlJc w:val="right"/>
      <w:pPr>
        <w:ind w:left="3143" w:hanging="180"/>
      </w:pPr>
    </w:lvl>
  </w:abstractNum>
  <w:abstractNum w:abstractNumId="104">
    <w:nsid w:val="5FB8694C"/>
    <w:multiLevelType w:val="hybridMultilevel"/>
    <w:tmpl w:val="FD16BF4A"/>
    <w:lvl w:ilvl="0" w:tplc="50149656">
      <w:start w:val="1"/>
      <w:numFmt w:val="lowerLetter"/>
      <w:lvlText w:val="%1)"/>
      <w:lvlJc w:val="left"/>
      <w:pPr>
        <w:ind w:left="480" w:hanging="48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05">
    <w:nsid w:val="605E34B1"/>
    <w:multiLevelType w:val="hybridMultilevel"/>
    <w:tmpl w:val="3AA41672"/>
    <w:lvl w:ilvl="0" w:tplc="080A001B">
      <w:start w:val="1"/>
      <w:numFmt w:val="lowerRoman"/>
      <w:lvlText w:val="%1."/>
      <w:lvlJc w:val="right"/>
      <w:pPr>
        <w:ind w:left="2629" w:hanging="360"/>
      </w:pPr>
      <w:rPr>
        <w:rFonts w:hint="default"/>
      </w:rPr>
    </w:lvl>
    <w:lvl w:ilvl="1" w:tplc="080A0019" w:tentative="1">
      <w:start w:val="1"/>
      <w:numFmt w:val="lowerLetter"/>
      <w:lvlText w:val="%2."/>
      <w:lvlJc w:val="left"/>
      <w:pPr>
        <w:ind w:left="3349" w:hanging="360"/>
      </w:pPr>
    </w:lvl>
    <w:lvl w:ilvl="2" w:tplc="080A001B" w:tentative="1">
      <w:start w:val="1"/>
      <w:numFmt w:val="lowerRoman"/>
      <w:lvlText w:val="%3."/>
      <w:lvlJc w:val="right"/>
      <w:pPr>
        <w:ind w:left="4069" w:hanging="180"/>
      </w:pPr>
    </w:lvl>
    <w:lvl w:ilvl="3" w:tplc="080A000F" w:tentative="1">
      <w:start w:val="1"/>
      <w:numFmt w:val="decimal"/>
      <w:lvlText w:val="%4."/>
      <w:lvlJc w:val="left"/>
      <w:pPr>
        <w:ind w:left="4789" w:hanging="360"/>
      </w:pPr>
    </w:lvl>
    <w:lvl w:ilvl="4" w:tplc="080A0019" w:tentative="1">
      <w:start w:val="1"/>
      <w:numFmt w:val="lowerLetter"/>
      <w:lvlText w:val="%5."/>
      <w:lvlJc w:val="left"/>
      <w:pPr>
        <w:ind w:left="5509" w:hanging="360"/>
      </w:pPr>
    </w:lvl>
    <w:lvl w:ilvl="5" w:tplc="080A001B" w:tentative="1">
      <w:start w:val="1"/>
      <w:numFmt w:val="lowerRoman"/>
      <w:lvlText w:val="%6."/>
      <w:lvlJc w:val="right"/>
      <w:pPr>
        <w:ind w:left="6229" w:hanging="180"/>
      </w:pPr>
    </w:lvl>
    <w:lvl w:ilvl="6" w:tplc="080A000F" w:tentative="1">
      <w:start w:val="1"/>
      <w:numFmt w:val="decimal"/>
      <w:lvlText w:val="%7."/>
      <w:lvlJc w:val="left"/>
      <w:pPr>
        <w:ind w:left="6949" w:hanging="360"/>
      </w:pPr>
    </w:lvl>
    <w:lvl w:ilvl="7" w:tplc="080A0019" w:tentative="1">
      <w:start w:val="1"/>
      <w:numFmt w:val="lowerLetter"/>
      <w:lvlText w:val="%8."/>
      <w:lvlJc w:val="left"/>
      <w:pPr>
        <w:ind w:left="7669" w:hanging="360"/>
      </w:pPr>
    </w:lvl>
    <w:lvl w:ilvl="8" w:tplc="080A001B" w:tentative="1">
      <w:start w:val="1"/>
      <w:numFmt w:val="lowerRoman"/>
      <w:lvlText w:val="%9."/>
      <w:lvlJc w:val="right"/>
      <w:pPr>
        <w:ind w:left="8389" w:hanging="180"/>
      </w:pPr>
    </w:lvl>
  </w:abstractNum>
  <w:abstractNum w:abstractNumId="106">
    <w:nsid w:val="6095054A"/>
    <w:multiLevelType w:val="hybridMultilevel"/>
    <w:tmpl w:val="34A28CF6"/>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7">
    <w:nsid w:val="60D51511"/>
    <w:multiLevelType w:val="hybridMultilevel"/>
    <w:tmpl w:val="CD2C9106"/>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8">
    <w:nsid w:val="63F04A23"/>
    <w:multiLevelType w:val="hybridMultilevel"/>
    <w:tmpl w:val="66821EE8"/>
    <w:lvl w:ilvl="0" w:tplc="080A000F">
      <w:start w:val="1"/>
      <w:numFmt w:val="decimal"/>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09">
    <w:nsid w:val="64E031F4"/>
    <w:multiLevelType w:val="hybridMultilevel"/>
    <w:tmpl w:val="487AF1F4"/>
    <w:lvl w:ilvl="0" w:tplc="E654A1BE">
      <w:start w:val="1"/>
      <w:numFmt w:val="bullet"/>
      <w:lvlText w:val=""/>
      <w:lvlJc w:val="left"/>
      <w:pPr>
        <w:ind w:left="720" w:hanging="360"/>
      </w:pPr>
      <w:rPr>
        <w:rFonts w:ascii="Symbol" w:hAnsi="Symbol" w:hint="default"/>
      </w:rPr>
    </w:lvl>
    <w:lvl w:ilvl="1" w:tplc="EAD2291C">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0">
    <w:nsid w:val="65856F44"/>
    <w:multiLevelType w:val="hybridMultilevel"/>
    <w:tmpl w:val="8C4017E6"/>
    <w:lvl w:ilvl="0" w:tplc="A462CD46">
      <w:start w:val="1"/>
      <w:numFmt w:val="decimal"/>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11">
    <w:nsid w:val="65D3104F"/>
    <w:multiLevelType w:val="hybridMultilevel"/>
    <w:tmpl w:val="A5343AB2"/>
    <w:lvl w:ilvl="0" w:tplc="AD90E8EA">
      <w:start w:val="1"/>
      <w:numFmt w:val="bullet"/>
      <w:lvlText w:val="-"/>
      <w:lvlJc w:val="left"/>
      <w:pPr>
        <w:ind w:left="360" w:hanging="360"/>
      </w:pPr>
      <w:rPr>
        <w:rFonts w:ascii="Courier New" w:hAnsi="Courier New"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12">
    <w:nsid w:val="66593C31"/>
    <w:multiLevelType w:val="hybridMultilevel"/>
    <w:tmpl w:val="A7D8B9FC"/>
    <w:lvl w:ilvl="0" w:tplc="A41C4156">
      <w:start w:val="1"/>
      <w:numFmt w:val="bullet"/>
      <w:lvlText w:val="–"/>
      <w:lvlJc w:val="left"/>
      <w:pPr>
        <w:ind w:left="360" w:hanging="360"/>
      </w:pPr>
      <w:rPr>
        <w:rFonts w:ascii="Vrinda" w:hAnsi="Vrinda"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13">
    <w:nsid w:val="67631888"/>
    <w:multiLevelType w:val="hybridMultilevel"/>
    <w:tmpl w:val="BD70E860"/>
    <w:lvl w:ilvl="0" w:tplc="AD90E8EA">
      <w:start w:val="1"/>
      <w:numFmt w:val="bullet"/>
      <w:lvlText w:val="-"/>
      <w:lvlJc w:val="left"/>
      <w:pPr>
        <w:ind w:left="360" w:hanging="360"/>
      </w:pPr>
      <w:rPr>
        <w:rFonts w:ascii="Courier New" w:hAnsi="Courier New"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14">
    <w:nsid w:val="67A56D5E"/>
    <w:multiLevelType w:val="hybridMultilevel"/>
    <w:tmpl w:val="F2A419CE"/>
    <w:lvl w:ilvl="0" w:tplc="A41C4156">
      <w:start w:val="1"/>
      <w:numFmt w:val="bullet"/>
      <w:lvlText w:val="–"/>
      <w:lvlJc w:val="left"/>
      <w:pPr>
        <w:ind w:left="360" w:hanging="360"/>
      </w:pPr>
      <w:rPr>
        <w:rFonts w:ascii="Vrinda" w:hAnsi="Vrinda"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15">
    <w:nsid w:val="69B935B7"/>
    <w:multiLevelType w:val="hybridMultilevel"/>
    <w:tmpl w:val="E7A665F0"/>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6">
    <w:nsid w:val="69BE5ABC"/>
    <w:multiLevelType w:val="hybridMultilevel"/>
    <w:tmpl w:val="3A56761C"/>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7">
    <w:nsid w:val="69D973E2"/>
    <w:multiLevelType w:val="hybridMultilevel"/>
    <w:tmpl w:val="DE424948"/>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8">
    <w:nsid w:val="69E82754"/>
    <w:multiLevelType w:val="hybridMultilevel"/>
    <w:tmpl w:val="C4AA2CAE"/>
    <w:styleLink w:val="111111212"/>
    <w:lvl w:ilvl="0" w:tplc="B0C0234C">
      <w:start w:val="1"/>
      <w:numFmt w:val="lowerRoman"/>
      <w:lvlText w:val="%1)"/>
      <w:lvlJc w:val="left"/>
      <w:pPr>
        <w:tabs>
          <w:tab w:val="num" w:pos="1080"/>
        </w:tabs>
        <w:ind w:left="1080" w:hanging="720"/>
      </w:pPr>
      <w:rPr>
        <w:rFonts w:hint="default"/>
      </w:rPr>
    </w:lvl>
    <w:lvl w:ilvl="1" w:tplc="0C0A0003">
      <w:start w:val="1"/>
      <w:numFmt w:val="decimal"/>
      <w:lvlText w:val="%2."/>
      <w:lvlJc w:val="left"/>
      <w:pPr>
        <w:tabs>
          <w:tab w:val="num" w:pos="1440"/>
        </w:tabs>
        <w:ind w:left="1440" w:hanging="360"/>
      </w:pPr>
      <w:rPr>
        <w:rFonts w:hint="default"/>
      </w:rPr>
    </w:lvl>
    <w:lvl w:ilvl="2" w:tplc="0C0A0005">
      <w:start w:val="1"/>
      <w:numFmt w:val="lowerRoman"/>
      <w:lvlText w:val="(%3)"/>
      <w:lvlJc w:val="left"/>
      <w:pPr>
        <w:tabs>
          <w:tab w:val="num" w:pos="2700"/>
        </w:tabs>
        <w:ind w:left="2700" w:hanging="720"/>
      </w:pPr>
      <w:rPr>
        <w:rFonts w:hint="default"/>
      </w:rPr>
    </w:lvl>
    <w:lvl w:ilvl="3" w:tplc="0C0A0001">
      <w:start w:val="1"/>
      <w:numFmt w:val="decimal"/>
      <w:lvlText w:val="%4)"/>
      <w:lvlJc w:val="left"/>
      <w:pPr>
        <w:tabs>
          <w:tab w:val="num" w:pos="2910"/>
        </w:tabs>
        <w:ind w:left="2910" w:hanging="390"/>
      </w:pPr>
      <w:rPr>
        <w:rFonts w:hint="default"/>
      </w:rPr>
    </w:lvl>
    <w:lvl w:ilvl="4" w:tplc="0C0A0003">
      <w:start w:val="1"/>
      <w:numFmt w:val="lowerLetter"/>
      <w:lvlText w:val="%5)"/>
      <w:lvlJc w:val="left"/>
      <w:pPr>
        <w:tabs>
          <w:tab w:val="num" w:pos="3600"/>
        </w:tabs>
        <w:ind w:left="3600" w:hanging="360"/>
      </w:pPr>
      <w:rPr>
        <w:rFonts w:hint="default"/>
      </w:rPr>
    </w:lvl>
    <w:lvl w:ilvl="5" w:tplc="0C0A0005">
      <w:start w:val="1"/>
      <w:numFmt w:val="upperRoman"/>
      <w:lvlText w:val="%6."/>
      <w:lvlJc w:val="left"/>
      <w:pPr>
        <w:tabs>
          <w:tab w:val="num" w:pos="4860"/>
        </w:tabs>
        <w:ind w:left="4860" w:hanging="720"/>
      </w:pPr>
      <w:rPr>
        <w:rFonts w:hint="default"/>
      </w:rPr>
    </w:lvl>
    <w:lvl w:ilvl="6" w:tplc="0C0A0001" w:tentative="1">
      <w:start w:val="1"/>
      <w:numFmt w:val="decimal"/>
      <w:lvlText w:val="%7."/>
      <w:lvlJc w:val="left"/>
      <w:pPr>
        <w:tabs>
          <w:tab w:val="num" w:pos="5040"/>
        </w:tabs>
        <w:ind w:left="5040" w:hanging="360"/>
      </w:pPr>
    </w:lvl>
    <w:lvl w:ilvl="7" w:tplc="0C0A0003" w:tentative="1">
      <w:start w:val="1"/>
      <w:numFmt w:val="lowerLetter"/>
      <w:lvlText w:val="%8."/>
      <w:lvlJc w:val="left"/>
      <w:pPr>
        <w:tabs>
          <w:tab w:val="num" w:pos="5760"/>
        </w:tabs>
        <w:ind w:left="5760" w:hanging="360"/>
      </w:pPr>
    </w:lvl>
    <w:lvl w:ilvl="8" w:tplc="0C0A0005" w:tentative="1">
      <w:start w:val="1"/>
      <w:numFmt w:val="lowerRoman"/>
      <w:lvlText w:val="%9."/>
      <w:lvlJc w:val="right"/>
      <w:pPr>
        <w:tabs>
          <w:tab w:val="num" w:pos="6480"/>
        </w:tabs>
        <w:ind w:left="6480" w:hanging="180"/>
      </w:pPr>
    </w:lvl>
  </w:abstractNum>
  <w:abstractNum w:abstractNumId="119">
    <w:nsid w:val="6A161699"/>
    <w:multiLevelType w:val="hybridMultilevel"/>
    <w:tmpl w:val="4622DB3A"/>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0">
    <w:nsid w:val="6A307990"/>
    <w:multiLevelType w:val="hybridMultilevel"/>
    <w:tmpl w:val="D82479B0"/>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1">
    <w:nsid w:val="6AEA592E"/>
    <w:multiLevelType w:val="hybridMultilevel"/>
    <w:tmpl w:val="F048B734"/>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2">
    <w:nsid w:val="6C2649FA"/>
    <w:multiLevelType w:val="hybridMultilevel"/>
    <w:tmpl w:val="6E6A756E"/>
    <w:lvl w:ilvl="0" w:tplc="2110EE6E">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3">
    <w:nsid w:val="6CE42F2C"/>
    <w:multiLevelType w:val="hybridMultilevel"/>
    <w:tmpl w:val="A8C4D4B0"/>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4">
    <w:nsid w:val="70B11701"/>
    <w:multiLevelType w:val="hybridMultilevel"/>
    <w:tmpl w:val="4E8472F4"/>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5">
    <w:nsid w:val="71964CA4"/>
    <w:multiLevelType w:val="hybridMultilevel"/>
    <w:tmpl w:val="E30271B2"/>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6">
    <w:nsid w:val="73491B5F"/>
    <w:multiLevelType w:val="hybridMultilevel"/>
    <w:tmpl w:val="FC5041EA"/>
    <w:lvl w:ilvl="0" w:tplc="AD90E8EA">
      <w:start w:val="1"/>
      <w:numFmt w:val="bullet"/>
      <w:lvlText w:val="-"/>
      <w:lvlJc w:val="left"/>
      <w:pPr>
        <w:ind w:left="360" w:hanging="360"/>
      </w:pPr>
      <w:rPr>
        <w:rFonts w:ascii="Courier New" w:hAnsi="Courier New"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27">
    <w:nsid w:val="73C47D17"/>
    <w:multiLevelType w:val="hybridMultilevel"/>
    <w:tmpl w:val="41C0E53C"/>
    <w:lvl w:ilvl="0" w:tplc="AD90E8EA">
      <w:start w:val="1"/>
      <w:numFmt w:val="bullet"/>
      <w:lvlText w:val="-"/>
      <w:lvlJc w:val="left"/>
      <w:pPr>
        <w:ind w:left="360" w:hanging="360"/>
      </w:pPr>
      <w:rPr>
        <w:rFonts w:ascii="Courier New" w:hAnsi="Courier New" w:hint="default"/>
      </w:rPr>
    </w:lvl>
    <w:lvl w:ilvl="1" w:tplc="A9C0AACE">
      <w:numFmt w:val="bullet"/>
      <w:lvlText w:val="•"/>
      <w:lvlJc w:val="left"/>
      <w:pPr>
        <w:ind w:left="1080" w:hanging="360"/>
      </w:pPr>
      <w:rPr>
        <w:rFonts w:ascii="Times New Roman" w:eastAsiaTheme="minorHAnsi" w:hAnsi="Times New Roman" w:cs="Times New Roman"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28">
    <w:nsid w:val="76AE2FEC"/>
    <w:multiLevelType w:val="hybridMultilevel"/>
    <w:tmpl w:val="643CC386"/>
    <w:lvl w:ilvl="0" w:tplc="E654A1BE">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29">
    <w:nsid w:val="77251DA9"/>
    <w:multiLevelType w:val="hybridMultilevel"/>
    <w:tmpl w:val="2B0A71D8"/>
    <w:lvl w:ilvl="0" w:tplc="7AB291FE">
      <w:numFmt w:val="bullet"/>
      <w:lvlText w:val="—"/>
      <w:lvlJc w:val="left"/>
      <w:pPr>
        <w:ind w:left="360" w:hanging="360"/>
      </w:pPr>
      <w:rPr>
        <w:rFonts w:ascii="Times New Roman" w:eastAsiaTheme="minorHAnsi" w:hAnsi="Times New Roman" w:cs="Times New Roman"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30">
    <w:nsid w:val="78C626F1"/>
    <w:multiLevelType w:val="hybridMultilevel"/>
    <w:tmpl w:val="493AA3F4"/>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1">
    <w:nsid w:val="7A740A32"/>
    <w:multiLevelType w:val="hybridMultilevel"/>
    <w:tmpl w:val="08D8B1BE"/>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2">
    <w:nsid w:val="7AAE477E"/>
    <w:multiLevelType w:val="hybridMultilevel"/>
    <w:tmpl w:val="C84816B6"/>
    <w:lvl w:ilvl="0" w:tplc="CD06DD38">
      <w:start w:val="1"/>
      <w:numFmt w:val="lowerRoman"/>
      <w:lvlText w:val="%1)"/>
      <w:lvlJc w:val="righ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3">
    <w:nsid w:val="7AB242D8"/>
    <w:multiLevelType w:val="hybridMultilevel"/>
    <w:tmpl w:val="2986420C"/>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4">
    <w:nsid w:val="7B0F4238"/>
    <w:multiLevelType w:val="hybridMultilevel"/>
    <w:tmpl w:val="51E8C5FA"/>
    <w:lvl w:ilvl="0" w:tplc="E654A1BE">
      <w:start w:val="1"/>
      <w:numFmt w:val="bullet"/>
      <w:lvlText w:val=""/>
      <w:lvlJc w:val="left"/>
      <w:pPr>
        <w:ind w:left="720" w:hanging="360"/>
      </w:pPr>
      <w:rPr>
        <w:rFonts w:ascii="Symbol" w:hAnsi="Symbol" w:hint="default"/>
      </w:rPr>
    </w:lvl>
    <w:lvl w:ilvl="1" w:tplc="8924B9DA">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5">
    <w:nsid w:val="7B49773B"/>
    <w:multiLevelType w:val="hybridMultilevel"/>
    <w:tmpl w:val="1C4E527A"/>
    <w:lvl w:ilvl="0" w:tplc="E654A1BE">
      <w:start w:val="1"/>
      <w:numFmt w:val="bullet"/>
      <w:lvlText w:val=""/>
      <w:lvlJc w:val="left"/>
      <w:pPr>
        <w:ind w:left="720" w:hanging="360"/>
      </w:pPr>
      <w:rPr>
        <w:rFonts w:ascii="Symbol" w:hAnsi="Symbol" w:hint="default"/>
      </w:rPr>
    </w:lvl>
    <w:lvl w:ilvl="1" w:tplc="3B56B228">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6">
    <w:nsid w:val="7BE841D0"/>
    <w:multiLevelType w:val="hybridMultilevel"/>
    <w:tmpl w:val="2B42038A"/>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7">
    <w:nsid w:val="7C715304"/>
    <w:multiLevelType w:val="hybridMultilevel"/>
    <w:tmpl w:val="FA2AADFC"/>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8">
    <w:nsid w:val="7C884F4B"/>
    <w:multiLevelType w:val="hybridMultilevel"/>
    <w:tmpl w:val="6D62BEDC"/>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9">
    <w:nsid w:val="7CEA009E"/>
    <w:multiLevelType w:val="hybridMultilevel"/>
    <w:tmpl w:val="A650CE9E"/>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0">
    <w:nsid w:val="7E0D0648"/>
    <w:multiLevelType w:val="hybridMultilevel"/>
    <w:tmpl w:val="A8CAEABE"/>
    <w:lvl w:ilvl="0" w:tplc="AD90E8EA">
      <w:start w:val="1"/>
      <w:numFmt w:val="bullet"/>
      <w:lvlText w:val="-"/>
      <w:lvlJc w:val="left"/>
      <w:pPr>
        <w:ind w:left="360" w:hanging="360"/>
      </w:pPr>
      <w:rPr>
        <w:rFonts w:ascii="Courier New" w:hAnsi="Courier New" w:hint="default"/>
      </w:rPr>
    </w:lvl>
    <w:lvl w:ilvl="1" w:tplc="7AB291FE">
      <w:numFmt w:val="bullet"/>
      <w:lvlText w:val="—"/>
      <w:lvlJc w:val="left"/>
      <w:pPr>
        <w:ind w:left="1080" w:hanging="360"/>
      </w:pPr>
      <w:rPr>
        <w:rFonts w:ascii="Times New Roman" w:eastAsiaTheme="minorHAnsi" w:hAnsi="Times New Roman" w:cs="Times New Roman"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41">
    <w:nsid w:val="7E416607"/>
    <w:multiLevelType w:val="hybridMultilevel"/>
    <w:tmpl w:val="0AA26E5C"/>
    <w:lvl w:ilvl="0" w:tplc="E654A1BE">
      <w:start w:val="1"/>
      <w:numFmt w:val="bullet"/>
      <w:lvlText w:val=""/>
      <w:lvlJc w:val="left"/>
      <w:pPr>
        <w:ind w:left="720" w:hanging="360"/>
      </w:pPr>
      <w:rPr>
        <w:rFonts w:ascii="Symbol" w:hAnsi="Symbol" w:hint="default"/>
      </w:rPr>
    </w:lvl>
    <w:lvl w:ilvl="1" w:tplc="270C630C">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2">
    <w:nsid w:val="7EC93A27"/>
    <w:multiLevelType w:val="hybridMultilevel"/>
    <w:tmpl w:val="57D8632E"/>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3">
    <w:nsid w:val="7F9C62CD"/>
    <w:multiLevelType w:val="hybridMultilevel"/>
    <w:tmpl w:val="3DFC485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6"/>
  </w:num>
  <w:num w:numId="2">
    <w:abstractNumId w:val="3"/>
  </w:num>
  <w:num w:numId="3">
    <w:abstractNumId w:val="4"/>
  </w:num>
  <w:num w:numId="4">
    <w:abstractNumId w:val="2"/>
  </w:num>
  <w:num w:numId="5">
    <w:abstractNumId w:val="8"/>
  </w:num>
  <w:num w:numId="6">
    <w:abstractNumId w:val="118"/>
  </w:num>
  <w:num w:numId="7">
    <w:abstractNumId w:val="29"/>
  </w:num>
  <w:num w:numId="8">
    <w:abstractNumId w:val="1"/>
  </w:num>
  <w:num w:numId="9">
    <w:abstractNumId w:val="36"/>
  </w:num>
  <w:num w:numId="10">
    <w:abstractNumId w:val="89"/>
  </w:num>
  <w:num w:numId="11">
    <w:abstractNumId w:val="0"/>
  </w:num>
  <w:num w:numId="12">
    <w:abstractNumId w:val="74"/>
  </w:num>
  <w:num w:numId="13">
    <w:abstractNumId w:val="62"/>
  </w:num>
  <w:num w:numId="14">
    <w:abstractNumId w:val="32"/>
  </w:num>
  <w:num w:numId="15">
    <w:abstractNumId w:val="116"/>
  </w:num>
  <w:num w:numId="16">
    <w:abstractNumId w:val="55"/>
  </w:num>
  <w:num w:numId="17">
    <w:abstractNumId w:val="112"/>
  </w:num>
  <w:num w:numId="18">
    <w:abstractNumId w:val="49"/>
  </w:num>
  <w:num w:numId="19">
    <w:abstractNumId w:val="19"/>
  </w:num>
  <w:num w:numId="20">
    <w:abstractNumId w:val="95"/>
  </w:num>
  <w:num w:numId="21">
    <w:abstractNumId w:val="79"/>
  </w:num>
  <w:num w:numId="22">
    <w:abstractNumId w:val="45"/>
  </w:num>
  <w:num w:numId="23">
    <w:abstractNumId w:val="140"/>
  </w:num>
  <w:num w:numId="24">
    <w:abstractNumId w:val="106"/>
  </w:num>
  <w:num w:numId="25">
    <w:abstractNumId w:val="129"/>
  </w:num>
  <w:num w:numId="26">
    <w:abstractNumId w:val="123"/>
  </w:num>
  <w:num w:numId="27">
    <w:abstractNumId w:val="68"/>
  </w:num>
  <w:num w:numId="28">
    <w:abstractNumId w:val="137"/>
  </w:num>
  <w:num w:numId="29">
    <w:abstractNumId w:val="98"/>
  </w:num>
  <w:num w:numId="30">
    <w:abstractNumId w:val="7"/>
  </w:num>
  <w:num w:numId="31">
    <w:abstractNumId w:val="33"/>
  </w:num>
  <w:num w:numId="32">
    <w:abstractNumId w:val="14"/>
  </w:num>
  <w:num w:numId="33">
    <w:abstractNumId w:val="22"/>
  </w:num>
  <w:num w:numId="34">
    <w:abstractNumId w:val="142"/>
  </w:num>
  <w:num w:numId="35">
    <w:abstractNumId w:val="115"/>
  </w:num>
  <w:num w:numId="36">
    <w:abstractNumId w:val="44"/>
  </w:num>
  <w:num w:numId="37">
    <w:abstractNumId w:val="9"/>
  </w:num>
  <w:num w:numId="38">
    <w:abstractNumId w:val="39"/>
  </w:num>
  <w:num w:numId="39">
    <w:abstractNumId w:val="53"/>
  </w:num>
  <w:num w:numId="40">
    <w:abstractNumId w:val="5"/>
  </w:num>
  <w:num w:numId="41">
    <w:abstractNumId w:val="119"/>
  </w:num>
  <w:num w:numId="42">
    <w:abstractNumId w:val="134"/>
  </w:num>
  <w:num w:numId="43">
    <w:abstractNumId w:val="25"/>
  </w:num>
  <w:num w:numId="44">
    <w:abstractNumId w:val="135"/>
  </w:num>
  <w:num w:numId="45">
    <w:abstractNumId w:val="109"/>
  </w:num>
  <w:num w:numId="46">
    <w:abstractNumId w:val="97"/>
  </w:num>
  <w:num w:numId="47">
    <w:abstractNumId w:val="50"/>
  </w:num>
  <w:num w:numId="48">
    <w:abstractNumId w:val="128"/>
  </w:num>
  <w:num w:numId="49">
    <w:abstractNumId w:val="127"/>
  </w:num>
  <w:num w:numId="50">
    <w:abstractNumId w:val="111"/>
  </w:num>
  <w:num w:numId="51">
    <w:abstractNumId w:val="11"/>
  </w:num>
  <w:num w:numId="52">
    <w:abstractNumId w:val="73"/>
  </w:num>
  <w:num w:numId="53">
    <w:abstractNumId w:val="139"/>
  </w:num>
  <w:num w:numId="54">
    <w:abstractNumId w:val="71"/>
  </w:num>
  <w:num w:numId="55">
    <w:abstractNumId w:val="66"/>
  </w:num>
  <w:num w:numId="56">
    <w:abstractNumId w:val="84"/>
  </w:num>
  <w:num w:numId="57">
    <w:abstractNumId w:val="104"/>
  </w:num>
  <w:num w:numId="58">
    <w:abstractNumId w:val="35"/>
  </w:num>
  <w:num w:numId="59">
    <w:abstractNumId w:val="121"/>
  </w:num>
  <w:num w:numId="60">
    <w:abstractNumId w:val="52"/>
  </w:num>
  <w:num w:numId="61">
    <w:abstractNumId w:val="131"/>
  </w:num>
  <w:num w:numId="62">
    <w:abstractNumId w:val="101"/>
  </w:num>
  <w:num w:numId="63">
    <w:abstractNumId w:val="141"/>
  </w:num>
  <w:num w:numId="64">
    <w:abstractNumId w:val="10"/>
  </w:num>
  <w:num w:numId="65">
    <w:abstractNumId w:val="143"/>
  </w:num>
  <w:num w:numId="66">
    <w:abstractNumId w:val="41"/>
  </w:num>
  <w:num w:numId="67">
    <w:abstractNumId w:val="120"/>
  </w:num>
  <w:num w:numId="68">
    <w:abstractNumId w:val="138"/>
  </w:num>
  <w:num w:numId="69">
    <w:abstractNumId w:val="88"/>
  </w:num>
  <w:num w:numId="70">
    <w:abstractNumId w:val="78"/>
  </w:num>
  <w:num w:numId="71">
    <w:abstractNumId w:val="81"/>
  </w:num>
  <w:num w:numId="72">
    <w:abstractNumId w:val="117"/>
  </w:num>
  <w:num w:numId="73">
    <w:abstractNumId w:val="82"/>
  </w:num>
  <w:num w:numId="74">
    <w:abstractNumId w:val="61"/>
  </w:num>
  <w:num w:numId="75">
    <w:abstractNumId w:val="54"/>
  </w:num>
  <w:num w:numId="76">
    <w:abstractNumId w:val="15"/>
  </w:num>
  <w:num w:numId="77">
    <w:abstractNumId w:val="93"/>
  </w:num>
  <w:num w:numId="78">
    <w:abstractNumId w:val="136"/>
  </w:num>
  <w:num w:numId="79">
    <w:abstractNumId w:val="17"/>
  </w:num>
  <w:num w:numId="80">
    <w:abstractNumId w:val="72"/>
  </w:num>
  <w:num w:numId="81">
    <w:abstractNumId w:val="28"/>
  </w:num>
  <w:num w:numId="82">
    <w:abstractNumId w:val="75"/>
  </w:num>
  <w:num w:numId="83">
    <w:abstractNumId w:val="125"/>
  </w:num>
  <w:num w:numId="84">
    <w:abstractNumId w:val="46"/>
  </w:num>
  <w:num w:numId="85">
    <w:abstractNumId w:val="124"/>
  </w:num>
  <w:num w:numId="86">
    <w:abstractNumId w:val="130"/>
  </w:num>
  <w:num w:numId="87">
    <w:abstractNumId w:val="91"/>
  </w:num>
  <w:num w:numId="88">
    <w:abstractNumId w:val="64"/>
  </w:num>
  <w:num w:numId="89">
    <w:abstractNumId w:val="90"/>
  </w:num>
  <w:num w:numId="90">
    <w:abstractNumId w:val="60"/>
  </w:num>
  <w:num w:numId="91">
    <w:abstractNumId w:val="37"/>
  </w:num>
  <w:num w:numId="92">
    <w:abstractNumId w:val="133"/>
  </w:num>
  <w:num w:numId="93">
    <w:abstractNumId w:val="38"/>
  </w:num>
  <w:num w:numId="94">
    <w:abstractNumId w:val="102"/>
  </w:num>
  <w:num w:numId="95">
    <w:abstractNumId w:val="47"/>
  </w:num>
  <w:num w:numId="96">
    <w:abstractNumId w:val="103"/>
  </w:num>
  <w:num w:numId="97">
    <w:abstractNumId w:val="21"/>
  </w:num>
  <w:num w:numId="98">
    <w:abstractNumId w:val="77"/>
  </w:num>
  <w:num w:numId="99">
    <w:abstractNumId w:val="80"/>
  </w:num>
  <w:num w:numId="100">
    <w:abstractNumId w:val="110"/>
  </w:num>
  <w:num w:numId="101">
    <w:abstractNumId w:val="59"/>
  </w:num>
  <w:num w:numId="102">
    <w:abstractNumId w:val="18"/>
  </w:num>
  <w:num w:numId="103">
    <w:abstractNumId w:val="100"/>
  </w:num>
  <w:num w:numId="104">
    <w:abstractNumId w:val="94"/>
  </w:num>
  <w:num w:numId="105">
    <w:abstractNumId w:val="83"/>
  </w:num>
  <w:num w:numId="106">
    <w:abstractNumId w:val="63"/>
  </w:num>
  <w:num w:numId="107">
    <w:abstractNumId w:val="42"/>
  </w:num>
  <w:num w:numId="108">
    <w:abstractNumId w:val="70"/>
  </w:num>
  <w:num w:numId="109">
    <w:abstractNumId w:val="40"/>
  </w:num>
  <w:num w:numId="110">
    <w:abstractNumId w:val="126"/>
  </w:num>
  <w:num w:numId="111">
    <w:abstractNumId w:val="107"/>
  </w:num>
  <w:num w:numId="112">
    <w:abstractNumId w:val="92"/>
  </w:num>
  <w:num w:numId="113">
    <w:abstractNumId w:val="113"/>
  </w:num>
  <w:num w:numId="114">
    <w:abstractNumId w:val="85"/>
  </w:num>
  <w:num w:numId="115">
    <w:abstractNumId w:val="27"/>
  </w:num>
  <w:num w:numId="116">
    <w:abstractNumId w:val="34"/>
  </w:num>
  <w:num w:numId="117">
    <w:abstractNumId w:val="65"/>
  </w:num>
  <w:num w:numId="118">
    <w:abstractNumId w:val="30"/>
  </w:num>
  <w:num w:numId="119">
    <w:abstractNumId w:val="31"/>
  </w:num>
  <w:num w:numId="120">
    <w:abstractNumId w:val="122"/>
  </w:num>
  <w:num w:numId="121">
    <w:abstractNumId w:val="105"/>
  </w:num>
  <w:num w:numId="122">
    <w:abstractNumId w:val="13"/>
  </w:num>
  <w:num w:numId="123">
    <w:abstractNumId w:val="67"/>
  </w:num>
  <w:num w:numId="124">
    <w:abstractNumId w:val="69"/>
  </w:num>
  <w:num w:numId="125">
    <w:abstractNumId w:val="51"/>
  </w:num>
  <w:num w:numId="126">
    <w:abstractNumId w:val="86"/>
  </w:num>
  <w:num w:numId="127">
    <w:abstractNumId w:val="20"/>
  </w:num>
  <w:num w:numId="128">
    <w:abstractNumId w:val="87"/>
  </w:num>
  <w:num w:numId="129">
    <w:abstractNumId w:val="43"/>
  </w:num>
  <w:num w:numId="130">
    <w:abstractNumId w:val="48"/>
  </w:num>
  <w:num w:numId="131">
    <w:abstractNumId w:val="23"/>
  </w:num>
  <w:num w:numId="132">
    <w:abstractNumId w:val="76"/>
  </w:num>
  <w:num w:numId="133">
    <w:abstractNumId w:val="58"/>
  </w:num>
  <w:num w:numId="134">
    <w:abstractNumId w:val="26"/>
  </w:num>
  <w:num w:numId="135">
    <w:abstractNumId w:val="108"/>
  </w:num>
  <w:num w:numId="136">
    <w:abstractNumId w:val="12"/>
  </w:num>
  <w:num w:numId="137">
    <w:abstractNumId w:val="114"/>
  </w:num>
  <w:num w:numId="138">
    <w:abstractNumId w:val="56"/>
  </w:num>
  <w:num w:numId="139">
    <w:abstractNumId w:val="57"/>
  </w:num>
  <w:num w:numId="140">
    <w:abstractNumId w:val="6"/>
  </w:num>
  <w:num w:numId="141">
    <w:abstractNumId w:val="96"/>
  </w:num>
  <w:num w:numId="142">
    <w:abstractNumId w:val="24"/>
  </w:num>
  <w:num w:numId="143">
    <w:abstractNumId w:val="99"/>
  </w:num>
  <w:num w:numId="144">
    <w:abstractNumId w:val="132"/>
  </w:num>
  <w:numIdMacAtCleanup w:val="1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8"/>
  <w:displayBackgroundShape/>
  <w:hideSpellingErrors/>
  <w:activeWritingStyle w:appName="MSWord" w:lang="pt-BR" w:vendorID="64" w:dllVersion="131078" w:nlCheck="1" w:checkStyle="0"/>
  <w:activeWritingStyle w:appName="MSWord" w:lang="es-ES" w:vendorID="64" w:dllVersion="131078" w:nlCheck="1" w:checkStyle="1"/>
  <w:activeWritingStyle w:appName="MSWord" w:lang="es-MX" w:vendorID="64" w:dllVersion="131078" w:nlCheck="1" w:checkStyle="1"/>
  <w:activeWritingStyle w:appName="MSWord" w:lang="en-US" w:vendorID="64" w:dllVersion="131078" w:nlCheck="1" w:checkStyle="1"/>
  <w:activeWritingStyle w:appName="MSWord" w:lang="es-ES_tradnl" w:vendorID="64" w:dllVersion="131078" w:nlCheck="1" w:checkStyle="1"/>
  <w:activeWritingStyle w:appName="MSWord" w:lang="fr-FR" w:vendorID="64" w:dllVersion="131078" w:nlCheck="1" w:checkStyle="1"/>
  <w:activeWritingStyle w:appName="MSWord" w:lang="es-CO" w:vendorID="64" w:dllVersion="131078" w:nlCheck="1" w:checkStyle="1"/>
  <w:activeWritingStyle w:appName="MSWord" w:lang="es-419" w:vendorID="64" w:dllVersion="131078" w:nlCheck="1" w:checkStyle="1"/>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evenAndOddHeaders/>
  <w:noPunctuationKerning/>
  <w:characterSpacingControl w:val="doNotCompress"/>
  <w:hdrShapeDefaults>
    <o:shapedefaults v:ext="edit" spidmax="2049">
      <o:colormru v:ext="edit" colors="#33c,#33f,#006,#00c"/>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0081B"/>
    <w:rsid w:val="00000070"/>
    <w:rsid w:val="0000010F"/>
    <w:rsid w:val="00000156"/>
    <w:rsid w:val="0000017B"/>
    <w:rsid w:val="00000377"/>
    <w:rsid w:val="00000564"/>
    <w:rsid w:val="000005E4"/>
    <w:rsid w:val="00000743"/>
    <w:rsid w:val="000007C2"/>
    <w:rsid w:val="0000081A"/>
    <w:rsid w:val="000008FE"/>
    <w:rsid w:val="000009C4"/>
    <w:rsid w:val="00000A71"/>
    <w:rsid w:val="00000ADE"/>
    <w:rsid w:val="00000B31"/>
    <w:rsid w:val="00000B32"/>
    <w:rsid w:val="00000BBF"/>
    <w:rsid w:val="00000BC3"/>
    <w:rsid w:val="00000DBE"/>
    <w:rsid w:val="00000ED8"/>
    <w:rsid w:val="00000EF6"/>
    <w:rsid w:val="00000F7A"/>
    <w:rsid w:val="00000F8B"/>
    <w:rsid w:val="00000FBF"/>
    <w:rsid w:val="0000105B"/>
    <w:rsid w:val="000010AB"/>
    <w:rsid w:val="000010DB"/>
    <w:rsid w:val="000011C0"/>
    <w:rsid w:val="00001224"/>
    <w:rsid w:val="00001259"/>
    <w:rsid w:val="000012BB"/>
    <w:rsid w:val="00001370"/>
    <w:rsid w:val="000014C6"/>
    <w:rsid w:val="00001604"/>
    <w:rsid w:val="0000165B"/>
    <w:rsid w:val="00001670"/>
    <w:rsid w:val="000016EA"/>
    <w:rsid w:val="0000179C"/>
    <w:rsid w:val="000017F2"/>
    <w:rsid w:val="000018CF"/>
    <w:rsid w:val="000018F2"/>
    <w:rsid w:val="000019AE"/>
    <w:rsid w:val="000019E8"/>
    <w:rsid w:val="00001AAE"/>
    <w:rsid w:val="00001AD9"/>
    <w:rsid w:val="00001C37"/>
    <w:rsid w:val="00001C3B"/>
    <w:rsid w:val="00001C89"/>
    <w:rsid w:val="00001CDA"/>
    <w:rsid w:val="00001D9C"/>
    <w:rsid w:val="00001DFC"/>
    <w:rsid w:val="00001EBD"/>
    <w:rsid w:val="00001FA9"/>
    <w:rsid w:val="000021AB"/>
    <w:rsid w:val="00002265"/>
    <w:rsid w:val="00002311"/>
    <w:rsid w:val="00002388"/>
    <w:rsid w:val="00002507"/>
    <w:rsid w:val="00002510"/>
    <w:rsid w:val="00002586"/>
    <w:rsid w:val="00002587"/>
    <w:rsid w:val="0000259E"/>
    <w:rsid w:val="0000265C"/>
    <w:rsid w:val="0000266C"/>
    <w:rsid w:val="000027A1"/>
    <w:rsid w:val="0000284F"/>
    <w:rsid w:val="00002875"/>
    <w:rsid w:val="000028D3"/>
    <w:rsid w:val="000028DF"/>
    <w:rsid w:val="0000290A"/>
    <w:rsid w:val="0000291D"/>
    <w:rsid w:val="00002971"/>
    <w:rsid w:val="00002975"/>
    <w:rsid w:val="00002A18"/>
    <w:rsid w:val="00002A24"/>
    <w:rsid w:val="00002A51"/>
    <w:rsid w:val="00002AE6"/>
    <w:rsid w:val="00002B0B"/>
    <w:rsid w:val="00002C35"/>
    <w:rsid w:val="00002C77"/>
    <w:rsid w:val="00002C8D"/>
    <w:rsid w:val="00002CCD"/>
    <w:rsid w:val="00002D79"/>
    <w:rsid w:val="00002E56"/>
    <w:rsid w:val="00002EFD"/>
    <w:rsid w:val="00002FB5"/>
    <w:rsid w:val="00002FE7"/>
    <w:rsid w:val="00002FEA"/>
    <w:rsid w:val="000030C9"/>
    <w:rsid w:val="00003103"/>
    <w:rsid w:val="00003105"/>
    <w:rsid w:val="000031C4"/>
    <w:rsid w:val="00003238"/>
    <w:rsid w:val="00003291"/>
    <w:rsid w:val="0000330B"/>
    <w:rsid w:val="0000333A"/>
    <w:rsid w:val="000033C0"/>
    <w:rsid w:val="0000340D"/>
    <w:rsid w:val="00003455"/>
    <w:rsid w:val="0000349C"/>
    <w:rsid w:val="0000353C"/>
    <w:rsid w:val="0000358E"/>
    <w:rsid w:val="000035B0"/>
    <w:rsid w:val="000035EC"/>
    <w:rsid w:val="0000366B"/>
    <w:rsid w:val="00003699"/>
    <w:rsid w:val="000036A1"/>
    <w:rsid w:val="00003735"/>
    <w:rsid w:val="00003748"/>
    <w:rsid w:val="00003840"/>
    <w:rsid w:val="0000391D"/>
    <w:rsid w:val="000039C0"/>
    <w:rsid w:val="000039DC"/>
    <w:rsid w:val="000039F5"/>
    <w:rsid w:val="00003B7F"/>
    <w:rsid w:val="00003BC6"/>
    <w:rsid w:val="00003C25"/>
    <w:rsid w:val="00003CA3"/>
    <w:rsid w:val="00003D12"/>
    <w:rsid w:val="000040E8"/>
    <w:rsid w:val="0000414F"/>
    <w:rsid w:val="000041A6"/>
    <w:rsid w:val="00004279"/>
    <w:rsid w:val="0000428D"/>
    <w:rsid w:val="000042EA"/>
    <w:rsid w:val="000042F0"/>
    <w:rsid w:val="00004634"/>
    <w:rsid w:val="000046F4"/>
    <w:rsid w:val="0000491F"/>
    <w:rsid w:val="00004959"/>
    <w:rsid w:val="00004A37"/>
    <w:rsid w:val="00004A3E"/>
    <w:rsid w:val="00004AD4"/>
    <w:rsid w:val="00004B25"/>
    <w:rsid w:val="00004B8A"/>
    <w:rsid w:val="00004BFF"/>
    <w:rsid w:val="00004C7D"/>
    <w:rsid w:val="00004D1A"/>
    <w:rsid w:val="00004DE0"/>
    <w:rsid w:val="00004F9F"/>
    <w:rsid w:val="00004FDF"/>
    <w:rsid w:val="000051D8"/>
    <w:rsid w:val="000052AC"/>
    <w:rsid w:val="00005338"/>
    <w:rsid w:val="00005579"/>
    <w:rsid w:val="000055DC"/>
    <w:rsid w:val="00005761"/>
    <w:rsid w:val="000057AB"/>
    <w:rsid w:val="000059BB"/>
    <w:rsid w:val="000059D0"/>
    <w:rsid w:val="00005A5B"/>
    <w:rsid w:val="00005A74"/>
    <w:rsid w:val="00005AA7"/>
    <w:rsid w:val="00005AB0"/>
    <w:rsid w:val="00005AB2"/>
    <w:rsid w:val="00005B31"/>
    <w:rsid w:val="00005B33"/>
    <w:rsid w:val="00005BA2"/>
    <w:rsid w:val="00005BB2"/>
    <w:rsid w:val="00005C72"/>
    <w:rsid w:val="00005D93"/>
    <w:rsid w:val="00005D97"/>
    <w:rsid w:val="00005DC2"/>
    <w:rsid w:val="00005DC7"/>
    <w:rsid w:val="00005FD7"/>
    <w:rsid w:val="0000602C"/>
    <w:rsid w:val="00006041"/>
    <w:rsid w:val="00006056"/>
    <w:rsid w:val="000060F8"/>
    <w:rsid w:val="0000614D"/>
    <w:rsid w:val="000061FB"/>
    <w:rsid w:val="00006351"/>
    <w:rsid w:val="00006576"/>
    <w:rsid w:val="0000664F"/>
    <w:rsid w:val="00006776"/>
    <w:rsid w:val="00006843"/>
    <w:rsid w:val="000068BD"/>
    <w:rsid w:val="00006AE3"/>
    <w:rsid w:val="00006AEF"/>
    <w:rsid w:val="00006B82"/>
    <w:rsid w:val="00006BD7"/>
    <w:rsid w:val="00006C43"/>
    <w:rsid w:val="00006D5F"/>
    <w:rsid w:val="00006DD4"/>
    <w:rsid w:val="00006E21"/>
    <w:rsid w:val="00006F64"/>
    <w:rsid w:val="00006FDE"/>
    <w:rsid w:val="0000700E"/>
    <w:rsid w:val="0000702E"/>
    <w:rsid w:val="0000704C"/>
    <w:rsid w:val="0000707D"/>
    <w:rsid w:val="0000713D"/>
    <w:rsid w:val="00007161"/>
    <w:rsid w:val="000073F8"/>
    <w:rsid w:val="0000741C"/>
    <w:rsid w:val="00007460"/>
    <w:rsid w:val="0000749C"/>
    <w:rsid w:val="000074E0"/>
    <w:rsid w:val="000075E9"/>
    <w:rsid w:val="00007708"/>
    <w:rsid w:val="00007716"/>
    <w:rsid w:val="0000787C"/>
    <w:rsid w:val="000078B0"/>
    <w:rsid w:val="000078C4"/>
    <w:rsid w:val="000078D3"/>
    <w:rsid w:val="00007948"/>
    <w:rsid w:val="00007A95"/>
    <w:rsid w:val="00007B5D"/>
    <w:rsid w:val="00007BFE"/>
    <w:rsid w:val="00007C2D"/>
    <w:rsid w:val="00007DE0"/>
    <w:rsid w:val="00007DFE"/>
    <w:rsid w:val="00007F2E"/>
    <w:rsid w:val="00007F31"/>
    <w:rsid w:val="00007FEB"/>
    <w:rsid w:val="000100B7"/>
    <w:rsid w:val="000100BB"/>
    <w:rsid w:val="000100C7"/>
    <w:rsid w:val="000100E4"/>
    <w:rsid w:val="00010141"/>
    <w:rsid w:val="00010223"/>
    <w:rsid w:val="00010282"/>
    <w:rsid w:val="000102B5"/>
    <w:rsid w:val="00010350"/>
    <w:rsid w:val="0001037D"/>
    <w:rsid w:val="000103A1"/>
    <w:rsid w:val="00010413"/>
    <w:rsid w:val="00010642"/>
    <w:rsid w:val="00010733"/>
    <w:rsid w:val="000108C3"/>
    <w:rsid w:val="000108E9"/>
    <w:rsid w:val="00010913"/>
    <w:rsid w:val="00010A9F"/>
    <w:rsid w:val="00010BB8"/>
    <w:rsid w:val="00010C22"/>
    <w:rsid w:val="00010D4D"/>
    <w:rsid w:val="00010D61"/>
    <w:rsid w:val="00010D80"/>
    <w:rsid w:val="00010F75"/>
    <w:rsid w:val="00010FEC"/>
    <w:rsid w:val="000110E1"/>
    <w:rsid w:val="000110E6"/>
    <w:rsid w:val="00011278"/>
    <w:rsid w:val="00011295"/>
    <w:rsid w:val="00011297"/>
    <w:rsid w:val="000112BD"/>
    <w:rsid w:val="00011383"/>
    <w:rsid w:val="0001140F"/>
    <w:rsid w:val="000114BA"/>
    <w:rsid w:val="00011564"/>
    <w:rsid w:val="0001164C"/>
    <w:rsid w:val="0001167B"/>
    <w:rsid w:val="00011683"/>
    <w:rsid w:val="00011737"/>
    <w:rsid w:val="00011823"/>
    <w:rsid w:val="00011835"/>
    <w:rsid w:val="00011896"/>
    <w:rsid w:val="000118A4"/>
    <w:rsid w:val="00011A1D"/>
    <w:rsid w:val="00011BED"/>
    <w:rsid w:val="00011C1A"/>
    <w:rsid w:val="00011C32"/>
    <w:rsid w:val="00011D43"/>
    <w:rsid w:val="00011DE5"/>
    <w:rsid w:val="00011E16"/>
    <w:rsid w:val="00011E79"/>
    <w:rsid w:val="00011EBA"/>
    <w:rsid w:val="00011FAB"/>
    <w:rsid w:val="00012453"/>
    <w:rsid w:val="000124AB"/>
    <w:rsid w:val="0001259D"/>
    <w:rsid w:val="000125F3"/>
    <w:rsid w:val="000126F7"/>
    <w:rsid w:val="0001271A"/>
    <w:rsid w:val="00012780"/>
    <w:rsid w:val="00012846"/>
    <w:rsid w:val="0001292A"/>
    <w:rsid w:val="00012A63"/>
    <w:rsid w:val="00012B20"/>
    <w:rsid w:val="00012B6B"/>
    <w:rsid w:val="00012C37"/>
    <w:rsid w:val="00012C3A"/>
    <w:rsid w:val="00012C60"/>
    <w:rsid w:val="00012D7C"/>
    <w:rsid w:val="00012DFD"/>
    <w:rsid w:val="0001301C"/>
    <w:rsid w:val="00013031"/>
    <w:rsid w:val="0001305F"/>
    <w:rsid w:val="000130B2"/>
    <w:rsid w:val="0001314E"/>
    <w:rsid w:val="000131C2"/>
    <w:rsid w:val="00013289"/>
    <w:rsid w:val="000132BD"/>
    <w:rsid w:val="000133B8"/>
    <w:rsid w:val="00013400"/>
    <w:rsid w:val="000134F2"/>
    <w:rsid w:val="00013507"/>
    <w:rsid w:val="00013553"/>
    <w:rsid w:val="00013877"/>
    <w:rsid w:val="000138E8"/>
    <w:rsid w:val="00013A3E"/>
    <w:rsid w:val="00013A42"/>
    <w:rsid w:val="00013B0D"/>
    <w:rsid w:val="00013B90"/>
    <w:rsid w:val="00013C05"/>
    <w:rsid w:val="00013D37"/>
    <w:rsid w:val="00013F00"/>
    <w:rsid w:val="00014000"/>
    <w:rsid w:val="000140A3"/>
    <w:rsid w:val="000140CA"/>
    <w:rsid w:val="00014259"/>
    <w:rsid w:val="0001425A"/>
    <w:rsid w:val="0001432B"/>
    <w:rsid w:val="00014444"/>
    <w:rsid w:val="000144B4"/>
    <w:rsid w:val="0001464D"/>
    <w:rsid w:val="00014706"/>
    <w:rsid w:val="00014760"/>
    <w:rsid w:val="000147A7"/>
    <w:rsid w:val="000147D7"/>
    <w:rsid w:val="0001495A"/>
    <w:rsid w:val="0001495B"/>
    <w:rsid w:val="000149E2"/>
    <w:rsid w:val="00014A2B"/>
    <w:rsid w:val="00014A7A"/>
    <w:rsid w:val="00014AEA"/>
    <w:rsid w:val="00014AEF"/>
    <w:rsid w:val="00014BC7"/>
    <w:rsid w:val="00014CF3"/>
    <w:rsid w:val="00014D96"/>
    <w:rsid w:val="00014E28"/>
    <w:rsid w:val="0001504F"/>
    <w:rsid w:val="00015054"/>
    <w:rsid w:val="00015090"/>
    <w:rsid w:val="000150A9"/>
    <w:rsid w:val="000150E2"/>
    <w:rsid w:val="00015119"/>
    <w:rsid w:val="0001537B"/>
    <w:rsid w:val="00015425"/>
    <w:rsid w:val="00015495"/>
    <w:rsid w:val="00015593"/>
    <w:rsid w:val="000155A8"/>
    <w:rsid w:val="00015733"/>
    <w:rsid w:val="00015737"/>
    <w:rsid w:val="0001575E"/>
    <w:rsid w:val="0001593E"/>
    <w:rsid w:val="00015B7E"/>
    <w:rsid w:val="00015BA5"/>
    <w:rsid w:val="00015BDD"/>
    <w:rsid w:val="00015CDA"/>
    <w:rsid w:val="00015CDE"/>
    <w:rsid w:val="00015CEB"/>
    <w:rsid w:val="00015D75"/>
    <w:rsid w:val="00015F04"/>
    <w:rsid w:val="00016093"/>
    <w:rsid w:val="00016164"/>
    <w:rsid w:val="000161E5"/>
    <w:rsid w:val="00016250"/>
    <w:rsid w:val="00016372"/>
    <w:rsid w:val="00016392"/>
    <w:rsid w:val="000164D2"/>
    <w:rsid w:val="000166A8"/>
    <w:rsid w:val="00016815"/>
    <w:rsid w:val="0001686A"/>
    <w:rsid w:val="0001687C"/>
    <w:rsid w:val="000168AC"/>
    <w:rsid w:val="00016967"/>
    <w:rsid w:val="00016A05"/>
    <w:rsid w:val="00016BAC"/>
    <w:rsid w:val="00016C61"/>
    <w:rsid w:val="00016E38"/>
    <w:rsid w:val="00016E74"/>
    <w:rsid w:val="00017050"/>
    <w:rsid w:val="000170C9"/>
    <w:rsid w:val="000170CE"/>
    <w:rsid w:val="0001732F"/>
    <w:rsid w:val="00017381"/>
    <w:rsid w:val="000173D6"/>
    <w:rsid w:val="0001749D"/>
    <w:rsid w:val="00017714"/>
    <w:rsid w:val="000177D0"/>
    <w:rsid w:val="00017812"/>
    <w:rsid w:val="00017945"/>
    <w:rsid w:val="00017A18"/>
    <w:rsid w:val="00017A5C"/>
    <w:rsid w:val="00017A75"/>
    <w:rsid w:val="00017ACE"/>
    <w:rsid w:val="00017C83"/>
    <w:rsid w:val="00017CB9"/>
    <w:rsid w:val="00017D55"/>
    <w:rsid w:val="00017E7C"/>
    <w:rsid w:val="00017E9C"/>
    <w:rsid w:val="00020136"/>
    <w:rsid w:val="000201B7"/>
    <w:rsid w:val="000201E0"/>
    <w:rsid w:val="000201F1"/>
    <w:rsid w:val="0002024F"/>
    <w:rsid w:val="000202FA"/>
    <w:rsid w:val="00020328"/>
    <w:rsid w:val="000203DF"/>
    <w:rsid w:val="00020576"/>
    <w:rsid w:val="000206FE"/>
    <w:rsid w:val="0002070E"/>
    <w:rsid w:val="00020729"/>
    <w:rsid w:val="00020765"/>
    <w:rsid w:val="0002098E"/>
    <w:rsid w:val="00020993"/>
    <w:rsid w:val="000209C9"/>
    <w:rsid w:val="00020B44"/>
    <w:rsid w:val="00020C85"/>
    <w:rsid w:val="00020CC0"/>
    <w:rsid w:val="00020D35"/>
    <w:rsid w:val="00020E1A"/>
    <w:rsid w:val="00020EBA"/>
    <w:rsid w:val="00020FF3"/>
    <w:rsid w:val="0002107A"/>
    <w:rsid w:val="00021095"/>
    <w:rsid w:val="000210F6"/>
    <w:rsid w:val="00021187"/>
    <w:rsid w:val="0002121B"/>
    <w:rsid w:val="000212C0"/>
    <w:rsid w:val="0002136D"/>
    <w:rsid w:val="0002148A"/>
    <w:rsid w:val="000214F6"/>
    <w:rsid w:val="00021570"/>
    <w:rsid w:val="000215D3"/>
    <w:rsid w:val="0002160A"/>
    <w:rsid w:val="00021617"/>
    <w:rsid w:val="00021710"/>
    <w:rsid w:val="0002179C"/>
    <w:rsid w:val="00021803"/>
    <w:rsid w:val="00021A46"/>
    <w:rsid w:val="00021A8E"/>
    <w:rsid w:val="00021A93"/>
    <w:rsid w:val="00021B1B"/>
    <w:rsid w:val="00021B39"/>
    <w:rsid w:val="00021B47"/>
    <w:rsid w:val="00021C99"/>
    <w:rsid w:val="00021C9D"/>
    <w:rsid w:val="00021CA6"/>
    <w:rsid w:val="00021D97"/>
    <w:rsid w:val="00021F2C"/>
    <w:rsid w:val="00021FA0"/>
    <w:rsid w:val="0002200B"/>
    <w:rsid w:val="0002203A"/>
    <w:rsid w:val="000220BE"/>
    <w:rsid w:val="00022135"/>
    <w:rsid w:val="00022149"/>
    <w:rsid w:val="00022270"/>
    <w:rsid w:val="00022390"/>
    <w:rsid w:val="00022408"/>
    <w:rsid w:val="00022492"/>
    <w:rsid w:val="00022723"/>
    <w:rsid w:val="000228C7"/>
    <w:rsid w:val="0002298C"/>
    <w:rsid w:val="000229AC"/>
    <w:rsid w:val="000229E2"/>
    <w:rsid w:val="00022A0C"/>
    <w:rsid w:val="00022A64"/>
    <w:rsid w:val="00022BAD"/>
    <w:rsid w:val="00022BB2"/>
    <w:rsid w:val="00022BC3"/>
    <w:rsid w:val="00022BD6"/>
    <w:rsid w:val="00022C3C"/>
    <w:rsid w:val="00022CE9"/>
    <w:rsid w:val="00022CED"/>
    <w:rsid w:val="00022E44"/>
    <w:rsid w:val="00022FAE"/>
    <w:rsid w:val="00022FDF"/>
    <w:rsid w:val="0002309B"/>
    <w:rsid w:val="00023151"/>
    <w:rsid w:val="00023165"/>
    <w:rsid w:val="000231DF"/>
    <w:rsid w:val="000231E8"/>
    <w:rsid w:val="0002356A"/>
    <w:rsid w:val="00023620"/>
    <w:rsid w:val="0002364D"/>
    <w:rsid w:val="00023667"/>
    <w:rsid w:val="00023692"/>
    <w:rsid w:val="000236F6"/>
    <w:rsid w:val="00023861"/>
    <w:rsid w:val="00023871"/>
    <w:rsid w:val="000238B1"/>
    <w:rsid w:val="000238DF"/>
    <w:rsid w:val="000239B6"/>
    <w:rsid w:val="00023A6C"/>
    <w:rsid w:val="00023A92"/>
    <w:rsid w:val="00023B77"/>
    <w:rsid w:val="00023B7B"/>
    <w:rsid w:val="00023BFF"/>
    <w:rsid w:val="00023C77"/>
    <w:rsid w:val="00023CC9"/>
    <w:rsid w:val="00023D7D"/>
    <w:rsid w:val="00023E10"/>
    <w:rsid w:val="00023E48"/>
    <w:rsid w:val="00023EA2"/>
    <w:rsid w:val="00023FC6"/>
    <w:rsid w:val="000240BD"/>
    <w:rsid w:val="0002417A"/>
    <w:rsid w:val="000241BF"/>
    <w:rsid w:val="00024214"/>
    <w:rsid w:val="00024260"/>
    <w:rsid w:val="00024269"/>
    <w:rsid w:val="00024308"/>
    <w:rsid w:val="0002433B"/>
    <w:rsid w:val="00024375"/>
    <w:rsid w:val="000244B7"/>
    <w:rsid w:val="000244BB"/>
    <w:rsid w:val="00024512"/>
    <w:rsid w:val="0002453B"/>
    <w:rsid w:val="0002464C"/>
    <w:rsid w:val="0002481E"/>
    <w:rsid w:val="0002493A"/>
    <w:rsid w:val="00024A23"/>
    <w:rsid w:val="00024A6E"/>
    <w:rsid w:val="00024A91"/>
    <w:rsid w:val="00024B59"/>
    <w:rsid w:val="00024BA6"/>
    <w:rsid w:val="00024BB9"/>
    <w:rsid w:val="00024BD6"/>
    <w:rsid w:val="00024E27"/>
    <w:rsid w:val="00024FC6"/>
    <w:rsid w:val="00024FFB"/>
    <w:rsid w:val="00024FFD"/>
    <w:rsid w:val="00025123"/>
    <w:rsid w:val="00025187"/>
    <w:rsid w:val="000251BA"/>
    <w:rsid w:val="0002527E"/>
    <w:rsid w:val="000252D1"/>
    <w:rsid w:val="0002531F"/>
    <w:rsid w:val="00025342"/>
    <w:rsid w:val="0002554F"/>
    <w:rsid w:val="000255C6"/>
    <w:rsid w:val="000255E0"/>
    <w:rsid w:val="00025659"/>
    <w:rsid w:val="000256AE"/>
    <w:rsid w:val="000256C1"/>
    <w:rsid w:val="0002570E"/>
    <w:rsid w:val="0002571C"/>
    <w:rsid w:val="0002577C"/>
    <w:rsid w:val="000258B5"/>
    <w:rsid w:val="00025918"/>
    <w:rsid w:val="0002594B"/>
    <w:rsid w:val="000259A5"/>
    <w:rsid w:val="00025A34"/>
    <w:rsid w:val="00025A7A"/>
    <w:rsid w:val="00025BD0"/>
    <w:rsid w:val="00025D67"/>
    <w:rsid w:val="00025DE7"/>
    <w:rsid w:val="00025DFE"/>
    <w:rsid w:val="00025E0E"/>
    <w:rsid w:val="00025E6F"/>
    <w:rsid w:val="00025E7C"/>
    <w:rsid w:val="00025ED1"/>
    <w:rsid w:val="00025F3B"/>
    <w:rsid w:val="0002600C"/>
    <w:rsid w:val="00026025"/>
    <w:rsid w:val="000260AF"/>
    <w:rsid w:val="00026152"/>
    <w:rsid w:val="000263DD"/>
    <w:rsid w:val="000264AD"/>
    <w:rsid w:val="000265D2"/>
    <w:rsid w:val="000265D5"/>
    <w:rsid w:val="00026658"/>
    <w:rsid w:val="000266D3"/>
    <w:rsid w:val="0002671B"/>
    <w:rsid w:val="00026736"/>
    <w:rsid w:val="00026A2A"/>
    <w:rsid w:val="00026B66"/>
    <w:rsid w:val="00026B98"/>
    <w:rsid w:val="00026BA1"/>
    <w:rsid w:val="00026CE4"/>
    <w:rsid w:val="00026EAD"/>
    <w:rsid w:val="00026ECA"/>
    <w:rsid w:val="00026F27"/>
    <w:rsid w:val="00026F50"/>
    <w:rsid w:val="00027025"/>
    <w:rsid w:val="0002709C"/>
    <w:rsid w:val="000270C7"/>
    <w:rsid w:val="000271C8"/>
    <w:rsid w:val="00027346"/>
    <w:rsid w:val="000273D4"/>
    <w:rsid w:val="00027463"/>
    <w:rsid w:val="00027477"/>
    <w:rsid w:val="000274F2"/>
    <w:rsid w:val="00027506"/>
    <w:rsid w:val="00027547"/>
    <w:rsid w:val="000275C9"/>
    <w:rsid w:val="000276C3"/>
    <w:rsid w:val="000276FF"/>
    <w:rsid w:val="00027786"/>
    <w:rsid w:val="000277DB"/>
    <w:rsid w:val="000277F7"/>
    <w:rsid w:val="000278E1"/>
    <w:rsid w:val="00027A65"/>
    <w:rsid w:val="00027CBA"/>
    <w:rsid w:val="00027CD5"/>
    <w:rsid w:val="00027CF7"/>
    <w:rsid w:val="00027D21"/>
    <w:rsid w:val="00027DB0"/>
    <w:rsid w:val="00027DFB"/>
    <w:rsid w:val="00027EAD"/>
    <w:rsid w:val="00027F10"/>
    <w:rsid w:val="00027F1C"/>
    <w:rsid w:val="00027F78"/>
    <w:rsid w:val="00030027"/>
    <w:rsid w:val="0003006E"/>
    <w:rsid w:val="00030093"/>
    <w:rsid w:val="000300E2"/>
    <w:rsid w:val="00030349"/>
    <w:rsid w:val="000304E9"/>
    <w:rsid w:val="00030677"/>
    <w:rsid w:val="00030766"/>
    <w:rsid w:val="00030771"/>
    <w:rsid w:val="00030810"/>
    <w:rsid w:val="000308E1"/>
    <w:rsid w:val="00030A02"/>
    <w:rsid w:val="00030A07"/>
    <w:rsid w:val="00030ACE"/>
    <w:rsid w:val="00030B4B"/>
    <w:rsid w:val="00030CA1"/>
    <w:rsid w:val="00030CFC"/>
    <w:rsid w:val="00030D27"/>
    <w:rsid w:val="00030D8B"/>
    <w:rsid w:val="00030D8E"/>
    <w:rsid w:val="00030E5F"/>
    <w:rsid w:val="00030FD8"/>
    <w:rsid w:val="00030FF4"/>
    <w:rsid w:val="0003106E"/>
    <w:rsid w:val="00031070"/>
    <w:rsid w:val="00031164"/>
    <w:rsid w:val="000311BB"/>
    <w:rsid w:val="000311C9"/>
    <w:rsid w:val="000312F7"/>
    <w:rsid w:val="000312FD"/>
    <w:rsid w:val="00031369"/>
    <w:rsid w:val="00031400"/>
    <w:rsid w:val="0003141F"/>
    <w:rsid w:val="00031481"/>
    <w:rsid w:val="000317C7"/>
    <w:rsid w:val="000318B0"/>
    <w:rsid w:val="00031970"/>
    <w:rsid w:val="0003198A"/>
    <w:rsid w:val="000319FE"/>
    <w:rsid w:val="00031AC7"/>
    <w:rsid w:val="00031CA3"/>
    <w:rsid w:val="00031D24"/>
    <w:rsid w:val="00031D73"/>
    <w:rsid w:val="00031D75"/>
    <w:rsid w:val="00031D8E"/>
    <w:rsid w:val="00031D97"/>
    <w:rsid w:val="00031DCF"/>
    <w:rsid w:val="00031E44"/>
    <w:rsid w:val="00031F14"/>
    <w:rsid w:val="0003205A"/>
    <w:rsid w:val="000321C0"/>
    <w:rsid w:val="000326B2"/>
    <w:rsid w:val="000326B5"/>
    <w:rsid w:val="000326D6"/>
    <w:rsid w:val="000326EF"/>
    <w:rsid w:val="0003273D"/>
    <w:rsid w:val="00032765"/>
    <w:rsid w:val="000327EA"/>
    <w:rsid w:val="00032844"/>
    <w:rsid w:val="00032928"/>
    <w:rsid w:val="000329B4"/>
    <w:rsid w:val="000329CB"/>
    <w:rsid w:val="00032AB1"/>
    <w:rsid w:val="00032AE3"/>
    <w:rsid w:val="00032C58"/>
    <w:rsid w:val="00032C6D"/>
    <w:rsid w:val="00032C93"/>
    <w:rsid w:val="00032DA0"/>
    <w:rsid w:val="00032DCA"/>
    <w:rsid w:val="00032DF1"/>
    <w:rsid w:val="00032E2C"/>
    <w:rsid w:val="00032E46"/>
    <w:rsid w:val="00032EF1"/>
    <w:rsid w:val="00032F19"/>
    <w:rsid w:val="00032F20"/>
    <w:rsid w:val="00032F2A"/>
    <w:rsid w:val="00033103"/>
    <w:rsid w:val="000332A1"/>
    <w:rsid w:val="000334CB"/>
    <w:rsid w:val="000334D2"/>
    <w:rsid w:val="0003376D"/>
    <w:rsid w:val="000337D3"/>
    <w:rsid w:val="000338C2"/>
    <w:rsid w:val="0003393C"/>
    <w:rsid w:val="000339BB"/>
    <w:rsid w:val="00033A22"/>
    <w:rsid w:val="00033B06"/>
    <w:rsid w:val="00033B15"/>
    <w:rsid w:val="00033D5B"/>
    <w:rsid w:val="00033F47"/>
    <w:rsid w:val="00034005"/>
    <w:rsid w:val="0003411B"/>
    <w:rsid w:val="000341DA"/>
    <w:rsid w:val="000341FD"/>
    <w:rsid w:val="00034324"/>
    <w:rsid w:val="0003446E"/>
    <w:rsid w:val="000344C0"/>
    <w:rsid w:val="00034518"/>
    <w:rsid w:val="00034671"/>
    <w:rsid w:val="00034799"/>
    <w:rsid w:val="00034C5B"/>
    <w:rsid w:val="00034C92"/>
    <w:rsid w:val="00034CB2"/>
    <w:rsid w:val="00034E01"/>
    <w:rsid w:val="00034E10"/>
    <w:rsid w:val="00034E69"/>
    <w:rsid w:val="00034FC5"/>
    <w:rsid w:val="0003504D"/>
    <w:rsid w:val="0003506B"/>
    <w:rsid w:val="00035181"/>
    <w:rsid w:val="000352D0"/>
    <w:rsid w:val="00035343"/>
    <w:rsid w:val="000353DB"/>
    <w:rsid w:val="0003547C"/>
    <w:rsid w:val="00035482"/>
    <w:rsid w:val="00035707"/>
    <w:rsid w:val="0003573D"/>
    <w:rsid w:val="00035947"/>
    <w:rsid w:val="0003598F"/>
    <w:rsid w:val="00035AA7"/>
    <w:rsid w:val="00035AEA"/>
    <w:rsid w:val="00035AFB"/>
    <w:rsid w:val="00035B50"/>
    <w:rsid w:val="00035B54"/>
    <w:rsid w:val="00035BDE"/>
    <w:rsid w:val="00035C89"/>
    <w:rsid w:val="00035C9C"/>
    <w:rsid w:val="00035D1F"/>
    <w:rsid w:val="00035D4D"/>
    <w:rsid w:val="00035DAE"/>
    <w:rsid w:val="00035E39"/>
    <w:rsid w:val="0003601C"/>
    <w:rsid w:val="000360B9"/>
    <w:rsid w:val="00036109"/>
    <w:rsid w:val="000361DB"/>
    <w:rsid w:val="0003623C"/>
    <w:rsid w:val="00036248"/>
    <w:rsid w:val="000362B7"/>
    <w:rsid w:val="00036369"/>
    <w:rsid w:val="000363CC"/>
    <w:rsid w:val="000363D2"/>
    <w:rsid w:val="0003643F"/>
    <w:rsid w:val="00036488"/>
    <w:rsid w:val="0003656A"/>
    <w:rsid w:val="00036583"/>
    <w:rsid w:val="000365B7"/>
    <w:rsid w:val="00036625"/>
    <w:rsid w:val="00036793"/>
    <w:rsid w:val="00036816"/>
    <w:rsid w:val="00036893"/>
    <w:rsid w:val="000368B0"/>
    <w:rsid w:val="0003695B"/>
    <w:rsid w:val="00036987"/>
    <w:rsid w:val="00036A3C"/>
    <w:rsid w:val="00036B06"/>
    <w:rsid w:val="00036B89"/>
    <w:rsid w:val="00036B91"/>
    <w:rsid w:val="00036BFE"/>
    <w:rsid w:val="00036C64"/>
    <w:rsid w:val="00036C6A"/>
    <w:rsid w:val="00036D63"/>
    <w:rsid w:val="00036D97"/>
    <w:rsid w:val="00036DC9"/>
    <w:rsid w:val="00036FD5"/>
    <w:rsid w:val="0003702C"/>
    <w:rsid w:val="0003709D"/>
    <w:rsid w:val="000370D1"/>
    <w:rsid w:val="0003715E"/>
    <w:rsid w:val="000372BC"/>
    <w:rsid w:val="000372EB"/>
    <w:rsid w:val="00037332"/>
    <w:rsid w:val="000373C2"/>
    <w:rsid w:val="0003771A"/>
    <w:rsid w:val="00037824"/>
    <w:rsid w:val="00037843"/>
    <w:rsid w:val="0003785D"/>
    <w:rsid w:val="00037885"/>
    <w:rsid w:val="000378A5"/>
    <w:rsid w:val="00037A2A"/>
    <w:rsid w:val="00037A2C"/>
    <w:rsid w:val="00037B40"/>
    <w:rsid w:val="00037BCA"/>
    <w:rsid w:val="00037C14"/>
    <w:rsid w:val="00037C19"/>
    <w:rsid w:val="00037C29"/>
    <w:rsid w:val="00037D4E"/>
    <w:rsid w:val="00037ED6"/>
    <w:rsid w:val="00037EEF"/>
    <w:rsid w:val="0004003A"/>
    <w:rsid w:val="00040049"/>
    <w:rsid w:val="000400B2"/>
    <w:rsid w:val="00040167"/>
    <w:rsid w:val="0004019B"/>
    <w:rsid w:val="000402C8"/>
    <w:rsid w:val="000402CA"/>
    <w:rsid w:val="000403D5"/>
    <w:rsid w:val="000403F4"/>
    <w:rsid w:val="0004045D"/>
    <w:rsid w:val="000404AB"/>
    <w:rsid w:val="00040549"/>
    <w:rsid w:val="000405D8"/>
    <w:rsid w:val="00040615"/>
    <w:rsid w:val="00040623"/>
    <w:rsid w:val="00040673"/>
    <w:rsid w:val="0004074A"/>
    <w:rsid w:val="00040902"/>
    <w:rsid w:val="00040B11"/>
    <w:rsid w:val="00040B52"/>
    <w:rsid w:val="00040BA4"/>
    <w:rsid w:val="00040C20"/>
    <w:rsid w:val="00040C80"/>
    <w:rsid w:val="00040CEF"/>
    <w:rsid w:val="0004116D"/>
    <w:rsid w:val="00041198"/>
    <w:rsid w:val="000411CB"/>
    <w:rsid w:val="00041220"/>
    <w:rsid w:val="00041227"/>
    <w:rsid w:val="0004124C"/>
    <w:rsid w:val="000412A3"/>
    <w:rsid w:val="00041322"/>
    <w:rsid w:val="000414D2"/>
    <w:rsid w:val="0004158D"/>
    <w:rsid w:val="00041590"/>
    <w:rsid w:val="00041594"/>
    <w:rsid w:val="000415D9"/>
    <w:rsid w:val="000416B6"/>
    <w:rsid w:val="000416D1"/>
    <w:rsid w:val="000417D1"/>
    <w:rsid w:val="0004191F"/>
    <w:rsid w:val="0004196D"/>
    <w:rsid w:val="00041A92"/>
    <w:rsid w:val="00041AC4"/>
    <w:rsid w:val="00041ACF"/>
    <w:rsid w:val="00041B56"/>
    <w:rsid w:val="00041BB7"/>
    <w:rsid w:val="00041D43"/>
    <w:rsid w:val="00041DEF"/>
    <w:rsid w:val="00041F09"/>
    <w:rsid w:val="00041F2C"/>
    <w:rsid w:val="00041F9E"/>
    <w:rsid w:val="00042062"/>
    <w:rsid w:val="00042103"/>
    <w:rsid w:val="00042159"/>
    <w:rsid w:val="00042171"/>
    <w:rsid w:val="0004217D"/>
    <w:rsid w:val="000421E7"/>
    <w:rsid w:val="0004224E"/>
    <w:rsid w:val="000422D2"/>
    <w:rsid w:val="000422EE"/>
    <w:rsid w:val="000423AA"/>
    <w:rsid w:val="00042479"/>
    <w:rsid w:val="0004260D"/>
    <w:rsid w:val="00042618"/>
    <w:rsid w:val="000426C8"/>
    <w:rsid w:val="000426F4"/>
    <w:rsid w:val="00042873"/>
    <w:rsid w:val="00042896"/>
    <w:rsid w:val="000428A4"/>
    <w:rsid w:val="00042984"/>
    <w:rsid w:val="00042B08"/>
    <w:rsid w:val="00042B23"/>
    <w:rsid w:val="00042B9A"/>
    <w:rsid w:val="00042D5C"/>
    <w:rsid w:val="00042D74"/>
    <w:rsid w:val="00042D94"/>
    <w:rsid w:val="00042DA9"/>
    <w:rsid w:val="00042DD2"/>
    <w:rsid w:val="00042DF8"/>
    <w:rsid w:val="00042EF9"/>
    <w:rsid w:val="00043004"/>
    <w:rsid w:val="000430C5"/>
    <w:rsid w:val="000431AF"/>
    <w:rsid w:val="000431BC"/>
    <w:rsid w:val="000431E5"/>
    <w:rsid w:val="000431EF"/>
    <w:rsid w:val="0004323D"/>
    <w:rsid w:val="00043291"/>
    <w:rsid w:val="0004345E"/>
    <w:rsid w:val="000434FF"/>
    <w:rsid w:val="000435A2"/>
    <w:rsid w:val="000435AD"/>
    <w:rsid w:val="000436A0"/>
    <w:rsid w:val="000436C3"/>
    <w:rsid w:val="000436C9"/>
    <w:rsid w:val="000436D8"/>
    <w:rsid w:val="000436D9"/>
    <w:rsid w:val="0004379D"/>
    <w:rsid w:val="0004381C"/>
    <w:rsid w:val="00043896"/>
    <w:rsid w:val="00043931"/>
    <w:rsid w:val="000439AF"/>
    <w:rsid w:val="000439BE"/>
    <w:rsid w:val="000439D5"/>
    <w:rsid w:val="00043A17"/>
    <w:rsid w:val="00043A9C"/>
    <w:rsid w:val="00043ABC"/>
    <w:rsid w:val="00043BDB"/>
    <w:rsid w:val="00043C41"/>
    <w:rsid w:val="00043C79"/>
    <w:rsid w:val="00043D2E"/>
    <w:rsid w:val="00043D81"/>
    <w:rsid w:val="00043D84"/>
    <w:rsid w:val="00043F8B"/>
    <w:rsid w:val="00043FD8"/>
    <w:rsid w:val="0004409F"/>
    <w:rsid w:val="0004425A"/>
    <w:rsid w:val="00044321"/>
    <w:rsid w:val="00044439"/>
    <w:rsid w:val="00044501"/>
    <w:rsid w:val="00044631"/>
    <w:rsid w:val="000446A7"/>
    <w:rsid w:val="000446BB"/>
    <w:rsid w:val="0004474B"/>
    <w:rsid w:val="00044803"/>
    <w:rsid w:val="00044868"/>
    <w:rsid w:val="00044869"/>
    <w:rsid w:val="000448DA"/>
    <w:rsid w:val="00044A6A"/>
    <w:rsid w:val="00044AF4"/>
    <w:rsid w:val="00044BDC"/>
    <w:rsid w:val="00044C2B"/>
    <w:rsid w:val="00044C73"/>
    <w:rsid w:val="00044DA8"/>
    <w:rsid w:val="00044E12"/>
    <w:rsid w:val="00044E5A"/>
    <w:rsid w:val="00044E5D"/>
    <w:rsid w:val="00044ED8"/>
    <w:rsid w:val="00044F06"/>
    <w:rsid w:val="00044F48"/>
    <w:rsid w:val="00044FF6"/>
    <w:rsid w:val="00044FFE"/>
    <w:rsid w:val="000450B7"/>
    <w:rsid w:val="00045129"/>
    <w:rsid w:val="000451FF"/>
    <w:rsid w:val="00045294"/>
    <w:rsid w:val="0004550E"/>
    <w:rsid w:val="00045528"/>
    <w:rsid w:val="000455EB"/>
    <w:rsid w:val="00045681"/>
    <w:rsid w:val="000456C6"/>
    <w:rsid w:val="000457E5"/>
    <w:rsid w:val="000457FA"/>
    <w:rsid w:val="0004581C"/>
    <w:rsid w:val="00045A17"/>
    <w:rsid w:val="00045A20"/>
    <w:rsid w:val="00045C58"/>
    <w:rsid w:val="00045C6C"/>
    <w:rsid w:val="00045CAA"/>
    <w:rsid w:val="00045D73"/>
    <w:rsid w:val="00045DA6"/>
    <w:rsid w:val="00045DC9"/>
    <w:rsid w:val="00045E07"/>
    <w:rsid w:val="00045E49"/>
    <w:rsid w:val="00045F37"/>
    <w:rsid w:val="000460D5"/>
    <w:rsid w:val="00046119"/>
    <w:rsid w:val="00046198"/>
    <w:rsid w:val="00046221"/>
    <w:rsid w:val="0004631C"/>
    <w:rsid w:val="00046448"/>
    <w:rsid w:val="000465EE"/>
    <w:rsid w:val="00046612"/>
    <w:rsid w:val="000466D9"/>
    <w:rsid w:val="000466F9"/>
    <w:rsid w:val="0004678A"/>
    <w:rsid w:val="00046858"/>
    <w:rsid w:val="0004698F"/>
    <w:rsid w:val="000469AD"/>
    <w:rsid w:val="000469C4"/>
    <w:rsid w:val="00046B42"/>
    <w:rsid w:val="00046C70"/>
    <w:rsid w:val="00046CEB"/>
    <w:rsid w:val="00046D12"/>
    <w:rsid w:val="00046D8F"/>
    <w:rsid w:val="00046DD4"/>
    <w:rsid w:val="00046E91"/>
    <w:rsid w:val="00046EB6"/>
    <w:rsid w:val="00046F13"/>
    <w:rsid w:val="00046F6F"/>
    <w:rsid w:val="000470FC"/>
    <w:rsid w:val="00047236"/>
    <w:rsid w:val="0004724E"/>
    <w:rsid w:val="00047255"/>
    <w:rsid w:val="000472DC"/>
    <w:rsid w:val="000472E7"/>
    <w:rsid w:val="000472EA"/>
    <w:rsid w:val="000473E8"/>
    <w:rsid w:val="0004743A"/>
    <w:rsid w:val="000474CA"/>
    <w:rsid w:val="0004759A"/>
    <w:rsid w:val="00047668"/>
    <w:rsid w:val="00047710"/>
    <w:rsid w:val="0004785C"/>
    <w:rsid w:val="000478E4"/>
    <w:rsid w:val="000479EF"/>
    <w:rsid w:val="00047A18"/>
    <w:rsid w:val="00047B25"/>
    <w:rsid w:val="00047BB4"/>
    <w:rsid w:val="00047C6C"/>
    <w:rsid w:val="00047D32"/>
    <w:rsid w:val="00047D9B"/>
    <w:rsid w:val="00047EDF"/>
    <w:rsid w:val="00047F43"/>
    <w:rsid w:val="00047F59"/>
    <w:rsid w:val="0005009E"/>
    <w:rsid w:val="00050325"/>
    <w:rsid w:val="00050343"/>
    <w:rsid w:val="00050424"/>
    <w:rsid w:val="0005042F"/>
    <w:rsid w:val="0005043C"/>
    <w:rsid w:val="0005049A"/>
    <w:rsid w:val="00050531"/>
    <w:rsid w:val="0005079E"/>
    <w:rsid w:val="000507DE"/>
    <w:rsid w:val="0005086F"/>
    <w:rsid w:val="00050887"/>
    <w:rsid w:val="000508DD"/>
    <w:rsid w:val="00050992"/>
    <w:rsid w:val="000509A2"/>
    <w:rsid w:val="000509CE"/>
    <w:rsid w:val="00050A11"/>
    <w:rsid w:val="00050A70"/>
    <w:rsid w:val="00050CE9"/>
    <w:rsid w:val="00050F4B"/>
    <w:rsid w:val="00050FCE"/>
    <w:rsid w:val="000510D7"/>
    <w:rsid w:val="00051107"/>
    <w:rsid w:val="00051158"/>
    <w:rsid w:val="000511D8"/>
    <w:rsid w:val="00051353"/>
    <w:rsid w:val="000513FE"/>
    <w:rsid w:val="00051431"/>
    <w:rsid w:val="0005152C"/>
    <w:rsid w:val="000515A5"/>
    <w:rsid w:val="00051616"/>
    <w:rsid w:val="000518F1"/>
    <w:rsid w:val="00051921"/>
    <w:rsid w:val="00051A48"/>
    <w:rsid w:val="00051A79"/>
    <w:rsid w:val="00051AB5"/>
    <w:rsid w:val="00051B99"/>
    <w:rsid w:val="00051D75"/>
    <w:rsid w:val="00051DC8"/>
    <w:rsid w:val="00051EAA"/>
    <w:rsid w:val="00051EF8"/>
    <w:rsid w:val="00051FDD"/>
    <w:rsid w:val="00052029"/>
    <w:rsid w:val="00052039"/>
    <w:rsid w:val="000520EE"/>
    <w:rsid w:val="000521C7"/>
    <w:rsid w:val="000521FC"/>
    <w:rsid w:val="00052230"/>
    <w:rsid w:val="000522BB"/>
    <w:rsid w:val="000524D8"/>
    <w:rsid w:val="00052581"/>
    <w:rsid w:val="000525FB"/>
    <w:rsid w:val="00052604"/>
    <w:rsid w:val="00052658"/>
    <w:rsid w:val="00052784"/>
    <w:rsid w:val="0005293C"/>
    <w:rsid w:val="000529DB"/>
    <w:rsid w:val="00052A3A"/>
    <w:rsid w:val="00052ACE"/>
    <w:rsid w:val="00052C17"/>
    <w:rsid w:val="00052C23"/>
    <w:rsid w:val="00052CA3"/>
    <w:rsid w:val="00052E1F"/>
    <w:rsid w:val="00052F5A"/>
    <w:rsid w:val="00052F8C"/>
    <w:rsid w:val="0005308A"/>
    <w:rsid w:val="0005319A"/>
    <w:rsid w:val="000531D6"/>
    <w:rsid w:val="0005328E"/>
    <w:rsid w:val="000532BA"/>
    <w:rsid w:val="00053338"/>
    <w:rsid w:val="000533CA"/>
    <w:rsid w:val="00053402"/>
    <w:rsid w:val="0005349E"/>
    <w:rsid w:val="000534F5"/>
    <w:rsid w:val="00053517"/>
    <w:rsid w:val="000535E0"/>
    <w:rsid w:val="000535FF"/>
    <w:rsid w:val="00053734"/>
    <w:rsid w:val="00053780"/>
    <w:rsid w:val="000537AA"/>
    <w:rsid w:val="000537D7"/>
    <w:rsid w:val="00053810"/>
    <w:rsid w:val="000538C4"/>
    <w:rsid w:val="0005395B"/>
    <w:rsid w:val="00053963"/>
    <w:rsid w:val="00053981"/>
    <w:rsid w:val="00053A5A"/>
    <w:rsid w:val="00053A78"/>
    <w:rsid w:val="00053C00"/>
    <w:rsid w:val="00053C8D"/>
    <w:rsid w:val="00053D82"/>
    <w:rsid w:val="00053E88"/>
    <w:rsid w:val="00053E94"/>
    <w:rsid w:val="00053EFD"/>
    <w:rsid w:val="00053F38"/>
    <w:rsid w:val="00053F93"/>
    <w:rsid w:val="0005404A"/>
    <w:rsid w:val="00054079"/>
    <w:rsid w:val="00054220"/>
    <w:rsid w:val="00054385"/>
    <w:rsid w:val="000543C5"/>
    <w:rsid w:val="0005440F"/>
    <w:rsid w:val="00054448"/>
    <w:rsid w:val="00054464"/>
    <w:rsid w:val="000545C1"/>
    <w:rsid w:val="00054668"/>
    <w:rsid w:val="00054698"/>
    <w:rsid w:val="0005489F"/>
    <w:rsid w:val="00054989"/>
    <w:rsid w:val="00054A20"/>
    <w:rsid w:val="00054A42"/>
    <w:rsid w:val="00054ACD"/>
    <w:rsid w:val="00054C64"/>
    <w:rsid w:val="00054D02"/>
    <w:rsid w:val="00054E27"/>
    <w:rsid w:val="00054EF3"/>
    <w:rsid w:val="00054F64"/>
    <w:rsid w:val="00054F6E"/>
    <w:rsid w:val="00055015"/>
    <w:rsid w:val="000550AF"/>
    <w:rsid w:val="0005512F"/>
    <w:rsid w:val="00055132"/>
    <w:rsid w:val="0005538A"/>
    <w:rsid w:val="000553C4"/>
    <w:rsid w:val="0005554B"/>
    <w:rsid w:val="00055576"/>
    <w:rsid w:val="000555BF"/>
    <w:rsid w:val="0005561B"/>
    <w:rsid w:val="0005566D"/>
    <w:rsid w:val="000557D4"/>
    <w:rsid w:val="00055823"/>
    <w:rsid w:val="0005586B"/>
    <w:rsid w:val="000559A6"/>
    <w:rsid w:val="00055A25"/>
    <w:rsid w:val="00055A7C"/>
    <w:rsid w:val="00055CF0"/>
    <w:rsid w:val="00055D63"/>
    <w:rsid w:val="00055DA1"/>
    <w:rsid w:val="00055FCF"/>
    <w:rsid w:val="00056056"/>
    <w:rsid w:val="000560AD"/>
    <w:rsid w:val="00056129"/>
    <w:rsid w:val="00056273"/>
    <w:rsid w:val="00056278"/>
    <w:rsid w:val="000562C4"/>
    <w:rsid w:val="000562F4"/>
    <w:rsid w:val="00056386"/>
    <w:rsid w:val="0005639C"/>
    <w:rsid w:val="000563CF"/>
    <w:rsid w:val="0005641F"/>
    <w:rsid w:val="000564E3"/>
    <w:rsid w:val="00056593"/>
    <w:rsid w:val="000567BB"/>
    <w:rsid w:val="0005682F"/>
    <w:rsid w:val="000569D4"/>
    <w:rsid w:val="000569FF"/>
    <w:rsid w:val="00056AC6"/>
    <w:rsid w:val="00056AC7"/>
    <w:rsid w:val="00056B06"/>
    <w:rsid w:val="00056B6F"/>
    <w:rsid w:val="00056CAA"/>
    <w:rsid w:val="00056D85"/>
    <w:rsid w:val="00056F48"/>
    <w:rsid w:val="00056FBC"/>
    <w:rsid w:val="00057080"/>
    <w:rsid w:val="000571CA"/>
    <w:rsid w:val="00057237"/>
    <w:rsid w:val="00057488"/>
    <w:rsid w:val="000574AD"/>
    <w:rsid w:val="000574C9"/>
    <w:rsid w:val="0005753C"/>
    <w:rsid w:val="00057540"/>
    <w:rsid w:val="0005766D"/>
    <w:rsid w:val="00057732"/>
    <w:rsid w:val="000579B0"/>
    <w:rsid w:val="00057B9E"/>
    <w:rsid w:val="00057C51"/>
    <w:rsid w:val="00057C66"/>
    <w:rsid w:val="00057D37"/>
    <w:rsid w:val="00057DC6"/>
    <w:rsid w:val="00057E6A"/>
    <w:rsid w:val="00057ED2"/>
    <w:rsid w:val="00057FEA"/>
    <w:rsid w:val="00060102"/>
    <w:rsid w:val="000602A9"/>
    <w:rsid w:val="000602D4"/>
    <w:rsid w:val="00060357"/>
    <w:rsid w:val="0006041F"/>
    <w:rsid w:val="00060446"/>
    <w:rsid w:val="00060519"/>
    <w:rsid w:val="0006056A"/>
    <w:rsid w:val="000605DE"/>
    <w:rsid w:val="000606E5"/>
    <w:rsid w:val="00060784"/>
    <w:rsid w:val="00060789"/>
    <w:rsid w:val="00060848"/>
    <w:rsid w:val="000608EE"/>
    <w:rsid w:val="00060932"/>
    <w:rsid w:val="00060940"/>
    <w:rsid w:val="00060961"/>
    <w:rsid w:val="00060965"/>
    <w:rsid w:val="000609BB"/>
    <w:rsid w:val="000609C3"/>
    <w:rsid w:val="00060AC8"/>
    <w:rsid w:val="00060AE9"/>
    <w:rsid w:val="00060B10"/>
    <w:rsid w:val="00060B3A"/>
    <w:rsid w:val="00060B3B"/>
    <w:rsid w:val="00060BDF"/>
    <w:rsid w:val="00060C22"/>
    <w:rsid w:val="00060C28"/>
    <w:rsid w:val="00060C51"/>
    <w:rsid w:val="00060C8D"/>
    <w:rsid w:val="00060CDC"/>
    <w:rsid w:val="00060D53"/>
    <w:rsid w:val="00060DF2"/>
    <w:rsid w:val="00060E56"/>
    <w:rsid w:val="00060EDF"/>
    <w:rsid w:val="00060FAC"/>
    <w:rsid w:val="000610BF"/>
    <w:rsid w:val="00061192"/>
    <w:rsid w:val="00061275"/>
    <w:rsid w:val="000612A0"/>
    <w:rsid w:val="0006130C"/>
    <w:rsid w:val="000614CF"/>
    <w:rsid w:val="000614E3"/>
    <w:rsid w:val="000615A7"/>
    <w:rsid w:val="000615C7"/>
    <w:rsid w:val="0006177E"/>
    <w:rsid w:val="00061905"/>
    <w:rsid w:val="000619FD"/>
    <w:rsid w:val="00061BF8"/>
    <w:rsid w:val="00061C9B"/>
    <w:rsid w:val="00061CD7"/>
    <w:rsid w:val="00061E1C"/>
    <w:rsid w:val="00061E6E"/>
    <w:rsid w:val="00061EC3"/>
    <w:rsid w:val="00061F37"/>
    <w:rsid w:val="00061F3B"/>
    <w:rsid w:val="00061F3D"/>
    <w:rsid w:val="00061F79"/>
    <w:rsid w:val="000620B1"/>
    <w:rsid w:val="00062105"/>
    <w:rsid w:val="00062178"/>
    <w:rsid w:val="00062179"/>
    <w:rsid w:val="000621CE"/>
    <w:rsid w:val="000622D5"/>
    <w:rsid w:val="000622EC"/>
    <w:rsid w:val="00062307"/>
    <w:rsid w:val="000623BB"/>
    <w:rsid w:val="0006257A"/>
    <w:rsid w:val="00062583"/>
    <w:rsid w:val="0006266F"/>
    <w:rsid w:val="0006271F"/>
    <w:rsid w:val="0006281D"/>
    <w:rsid w:val="00062858"/>
    <w:rsid w:val="0006289B"/>
    <w:rsid w:val="0006290D"/>
    <w:rsid w:val="00062950"/>
    <w:rsid w:val="00062968"/>
    <w:rsid w:val="000629A4"/>
    <w:rsid w:val="00062BB6"/>
    <w:rsid w:val="00062BC8"/>
    <w:rsid w:val="00062C97"/>
    <w:rsid w:val="00062D85"/>
    <w:rsid w:val="00062DC2"/>
    <w:rsid w:val="00062E2A"/>
    <w:rsid w:val="00062E39"/>
    <w:rsid w:val="00062E6B"/>
    <w:rsid w:val="00062E9B"/>
    <w:rsid w:val="00062F0F"/>
    <w:rsid w:val="00063068"/>
    <w:rsid w:val="000630BE"/>
    <w:rsid w:val="000630D0"/>
    <w:rsid w:val="0006314A"/>
    <w:rsid w:val="0006326D"/>
    <w:rsid w:val="00063364"/>
    <w:rsid w:val="00063391"/>
    <w:rsid w:val="00063462"/>
    <w:rsid w:val="0006352D"/>
    <w:rsid w:val="000635C3"/>
    <w:rsid w:val="0006367D"/>
    <w:rsid w:val="000636EF"/>
    <w:rsid w:val="00063722"/>
    <w:rsid w:val="00063733"/>
    <w:rsid w:val="00063883"/>
    <w:rsid w:val="00063962"/>
    <w:rsid w:val="00063AF2"/>
    <w:rsid w:val="00063BD3"/>
    <w:rsid w:val="00063C83"/>
    <w:rsid w:val="00063CA7"/>
    <w:rsid w:val="00063DF7"/>
    <w:rsid w:val="00063E66"/>
    <w:rsid w:val="00063EEE"/>
    <w:rsid w:val="00063FC3"/>
    <w:rsid w:val="000640E9"/>
    <w:rsid w:val="0006412F"/>
    <w:rsid w:val="0006415D"/>
    <w:rsid w:val="000641B7"/>
    <w:rsid w:val="000641C7"/>
    <w:rsid w:val="00064206"/>
    <w:rsid w:val="000642EC"/>
    <w:rsid w:val="000642F7"/>
    <w:rsid w:val="00064327"/>
    <w:rsid w:val="00064363"/>
    <w:rsid w:val="00064371"/>
    <w:rsid w:val="000643F6"/>
    <w:rsid w:val="0006474D"/>
    <w:rsid w:val="00064772"/>
    <w:rsid w:val="00064796"/>
    <w:rsid w:val="00064797"/>
    <w:rsid w:val="0006490B"/>
    <w:rsid w:val="00064913"/>
    <w:rsid w:val="00064A3B"/>
    <w:rsid w:val="00064A88"/>
    <w:rsid w:val="00064ABF"/>
    <w:rsid w:val="00064B69"/>
    <w:rsid w:val="00064BA0"/>
    <w:rsid w:val="00064BC5"/>
    <w:rsid w:val="00064C9F"/>
    <w:rsid w:val="00064CC4"/>
    <w:rsid w:val="00064D20"/>
    <w:rsid w:val="00064D67"/>
    <w:rsid w:val="00064DA5"/>
    <w:rsid w:val="00064DDE"/>
    <w:rsid w:val="00064DF6"/>
    <w:rsid w:val="00064ED1"/>
    <w:rsid w:val="00064EED"/>
    <w:rsid w:val="00064F74"/>
    <w:rsid w:val="00064FA8"/>
    <w:rsid w:val="00064FAB"/>
    <w:rsid w:val="0006501D"/>
    <w:rsid w:val="00065042"/>
    <w:rsid w:val="00065074"/>
    <w:rsid w:val="000650DD"/>
    <w:rsid w:val="0006527D"/>
    <w:rsid w:val="0006531E"/>
    <w:rsid w:val="0006546B"/>
    <w:rsid w:val="000655DF"/>
    <w:rsid w:val="000655EE"/>
    <w:rsid w:val="0006573E"/>
    <w:rsid w:val="000657BD"/>
    <w:rsid w:val="000657E1"/>
    <w:rsid w:val="0006585E"/>
    <w:rsid w:val="00065866"/>
    <w:rsid w:val="000659A7"/>
    <w:rsid w:val="00065C4F"/>
    <w:rsid w:val="00065CD1"/>
    <w:rsid w:val="00065D28"/>
    <w:rsid w:val="00065DEF"/>
    <w:rsid w:val="00065EAC"/>
    <w:rsid w:val="00065F39"/>
    <w:rsid w:val="00065F91"/>
    <w:rsid w:val="00065FBB"/>
    <w:rsid w:val="00066041"/>
    <w:rsid w:val="00066075"/>
    <w:rsid w:val="00066079"/>
    <w:rsid w:val="000660A0"/>
    <w:rsid w:val="00066108"/>
    <w:rsid w:val="000661A1"/>
    <w:rsid w:val="000661B2"/>
    <w:rsid w:val="00066321"/>
    <w:rsid w:val="00066377"/>
    <w:rsid w:val="000663FA"/>
    <w:rsid w:val="0006646B"/>
    <w:rsid w:val="00066484"/>
    <w:rsid w:val="000664C9"/>
    <w:rsid w:val="00066564"/>
    <w:rsid w:val="000666DA"/>
    <w:rsid w:val="0006675B"/>
    <w:rsid w:val="000667B0"/>
    <w:rsid w:val="00066822"/>
    <w:rsid w:val="0006682A"/>
    <w:rsid w:val="00066858"/>
    <w:rsid w:val="000668FA"/>
    <w:rsid w:val="000668FE"/>
    <w:rsid w:val="00066902"/>
    <w:rsid w:val="00066918"/>
    <w:rsid w:val="00066996"/>
    <w:rsid w:val="000669A8"/>
    <w:rsid w:val="00066A4F"/>
    <w:rsid w:val="00066B92"/>
    <w:rsid w:val="00066C45"/>
    <w:rsid w:val="00066E40"/>
    <w:rsid w:val="00066E65"/>
    <w:rsid w:val="00066F48"/>
    <w:rsid w:val="00067287"/>
    <w:rsid w:val="00067497"/>
    <w:rsid w:val="000674E8"/>
    <w:rsid w:val="00067563"/>
    <w:rsid w:val="0006762B"/>
    <w:rsid w:val="000676BE"/>
    <w:rsid w:val="000677B6"/>
    <w:rsid w:val="00067837"/>
    <w:rsid w:val="00067838"/>
    <w:rsid w:val="00067840"/>
    <w:rsid w:val="00067883"/>
    <w:rsid w:val="00067956"/>
    <w:rsid w:val="00067990"/>
    <w:rsid w:val="000679A3"/>
    <w:rsid w:val="00067A3E"/>
    <w:rsid w:val="00067AF3"/>
    <w:rsid w:val="00067B43"/>
    <w:rsid w:val="00067B71"/>
    <w:rsid w:val="00067B98"/>
    <w:rsid w:val="00067D29"/>
    <w:rsid w:val="00067D40"/>
    <w:rsid w:val="00067E28"/>
    <w:rsid w:val="00067E76"/>
    <w:rsid w:val="00067E9C"/>
    <w:rsid w:val="00067EE3"/>
    <w:rsid w:val="00067FEA"/>
    <w:rsid w:val="0007007F"/>
    <w:rsid w:val="000700DB"/>
    <w:rsid w:val="00070126"/>
    <w:rsid w:val="0007012E"/>
    <w:rsid w:val="000701E6"/>
    <w:rsid w:val="000701EA"/>
    <w:rsid w:val="00070240"/>
    <w:rsid w:val="00070256"/>
    <w:rsid w:val="000702DE"/>
    <w:rsid w:val="000703F8"/>
    <w:rsid w:val="00070401"/>
    <w:rsid w:val="000704DD"/>
    <w:rsid w:val="0007054A"/>
    <w:rsid w:val="00070671"/>
    <w:rsid w:val="000706F5"/>
    <w:rsid w:val="0007075A"/>
    <w:rsid w:val="000708EF"/>
    <w:rsid w:val="00070994"/>
    <w:rsid w:val="00070A29"/>
    <w:rsid w:val="00070A2F"/>
    <w:rsid w:val="00070A7D"/>
    <w:rsid w:val="00070BDD"/>
    <w:rsid w:val="00070C3A"/>
    <w:rsid w:val="00070C96"/>
    <w:rsid w:val="00070DB4"/>
    <w:rsid w:val="00070E2D"/>
    <w:rsid w:val="00070E6D"/>
    <w:rsid w:val="00070E81"/>
    <w:rsid w:val="00070FCA"/>
    <w:rsid w:val="00070FCB"/>
    <w:rsid w:val="00071024"/>
    <w:rsid w:val="00071051"/>
    <w:rsid w:val="000710EC"/>
    <w:rsid w:val="000710FC"/>
    <w:rsid w:val="00071181"/>
    <w:rsid w:val="000711B2"/>
    <w:rsid w:val="00071282"/>
    <w:rsid w:val="00071415"/>
    <w:rsid w:val="0007142E"/>
    <w:rsid w:val="000714A5"/>
    <w:rsid w:val="00071718"/>
    <w:rsid w:val="0007171A"/>
    <w:rsid w:val="00071792"/>
    <w:rsid w:val="000717E2"/>
    <w:rsid w:val="00071811"/>
    <w:rsid w:val="000718D5"/>
    <w:rsid w:val="0007190E"/>
    <w:rsid w:val="00071B0B"/>
    <w:rsid w:val="00071B25"/>
    <w:rsid w:val="00071B53"/>
    <w:rsid w:val="00071C09"/>
    <w:rsid w:val="00071C10"/>
    <w:rsid w:val="00071C26"/>
    <w:rsid w:val="00071C27"/>
    <w:rsid w:val="00071D83"/>
    <w:rsid w:val="00071D90"/>
    <w:rsid w:val="00071E2D"/>
    <w:rsid w:val="00071E9C"/>
    <w:rsid w:val="0007207D"/>
    <w:rsid w:val="000720AE"/>
    <w:rsid w:val="00072201"/>
    <w:rsid w:val="00072275"/>
    <w:rsid w:val="000722ED"/>
    <w:rsid w:val="00072303"/>
    <w:rsid w:val="000724FD"/>
    <w:rsid w:val="00072723"/>
    <w:rsid w:val="00072746"/>
    <w:rsid w:val="00072762"/>
    <w:rsid w:val="000727B6"/>
    <w:rsid w:val="000727BF"/>
    <w:rsid w:val="000727CA"/>
    <w:rsid w:val="0007281B"/>
    <w:rsid w:val="00072894"/>
    <w:rsid w:val="000728AF"/>
    <w:rsid w:val="00072928"/>
    <w:rsid w:val="0007297A"/>
    <w:rsid w:val="0007298C"/>
    <w:rsid w:val="00072A27"/>
    <w:rsid w:val="00072B4E"/>
    <w:rsid w:val="00072BB8"/>
    <w:rsid w:val="00072C55"/>
    <w:rsid w:val="00072CB4"/>
    <w:rsid w:val="00072CEE"/>
    <w:rsid w:val="00072CF2"/>
    <w:rsid w:val="00073185"/>
    <w:rsid w:val="00073204"/>
    <w:rsid w:val="00073399"/>
    <w:rsid w:val="000733A8"/>
    <w:rsid w:val="000733B5"/>
    <w:rsid w:val="00073435"/>
    <w:rsid w:val="000734D7"/>
    <w:rsid w:val="0007369F"/>
    <w:rsid w:val="00073756"/>
    <w:rsid w:val="00073868"/>
    <w:rsid w:val="0007387A"/>
    <w:rsid w:val="0007389E"/>
    <w:rsid w:val="000738F4"/>
    <w:rsid w:val="0007391A"/>
    <w:rsid w:val="00073958"/>
    <w:rsid w:val="00073A90"/>
    <w:rsid w:val="00073B80"/>
    <w:rsid w:val="00073C89"/>
    <w:rsid w:val="00073DD2"/>
    <w:rsid w:val="00073DEB"/>
    <w:rsid w:val="00073E36"/>
    <w:rsid w:val="00073E5D"/>
    <w:rsid w:val="00073EA2"/>
    <w:rsid w:val="00073EA4"/>
    <w:rsid w:val="00073FC0"/>
    <w:rsid w:val="00074294"/>
    <w:rsid w:val="000742FB"/>
    <w:rsid w:val="000743AC"/>
    <w:rsid w:val="00074418"/>
    <w:rsid w:val="0007450B"/>
    <w:rsid w:val="00074710"/>
    <w:rsid w:val="000747A5"/>
    <w:rsid w:val="00074980"/>
    <w:rsid w:val="00074A56"/>
    <w:rsid w:val="00074C32"/>
    <w:rsid w:val="00074CD9"/>
    <w:rsid w:val="00074DE4"/>
    <w:rsid w:val="00074E4C"/>
    <w:rsid w:val="00074EE2"/>
    <w:rsid w:val="00074EE7"/>
    <w:rsid w:val="00074F2B"/>
    <w:rsid w:val="00074F3E"/>
    <w:rsid w:val="00074F40"/>
    <w:rsid w:val="00074FB5"/>
    <w:rsid w:val="000750E4"/>
    <w:rsid w:val="0007514D"/>
    <w:rsid w:val="00075240"/>
    <w:rsid w:val="0007524B"/>
    <w:rsid w:val="000752D3"/>
    <w:rsid w:val="0007530B"/>
    <w:rsid w:val="00075358"/>
    <w:rsid w:val="00075820"/>
    <w:rsid w:val="000758DE"/>
    <w:rsid w:val="00075944"/>
    <w:rsid w:val="000759F9"/>
    <w:rsid w:val="00075BED"/>
    <w:rsid w:val="00075BF4"/>
    <w:rsid w:val="00075C54"/>
    <w:rsid w:val="00075D8F"/>
    <w:rsid w:val="00075DC8"/>
    <w:rsid w:val="00075E9F"/>
    <w:rsid w:val="00075EAA"/>
    <w:rsid w:val="00075FDC"/>
    <w:rsid w:val="00076060"/>
    <w:rsid w:val="00076085"/>
    <w:rsid w:val="00076396"/>
    <w:rsid w:val="00076407"/>
    <w:rsid w:val="00076415"/>
    <w:rsid w:val="0007644A"/>
    <w:rsid w:val="0007644B"/>
    <w:rsid w:val="00076498"/>
    <w:rsid w:val="00076566"/>
    <w:rsid w:val="00076569"/>
    <w:rsid w:val="000766AA"/>
    <w:rsid w:val="00076797"/>
    <w:rsid w:val="000767D9"/>
    <w:rsid w:val="0007687F"/>
    <w:rsid w:val="00076883"/>
    <w:rsid w:val="00076886"/>
    <w:rsid w:val="000768E4"/>
    <w:rsid w:val="0007692D"/>
    <w:rsid w:val="00076A4E"/>
    <w:rsid w:val="00076A6A"/>
    <w:rsid w:val="00076AD9"/>
    <w:rsid w:val="00076ADF"/>
    <w:rsid w:val="00076B53"/>
    <w:rsid w:val="00076D97"/>
    <w:rsid w:val="00076E28"/>
    <w:rsid w:val="00076ED0"/>
    <w:rsid w:val="00076EE5"/>
    <w:rsid w:val="00077075"/>
    <w:rsid w:val="0007714E"/>
    <w:rsid w:val="00077168"/>
    <w:rsid w:val="000771DE"/>
    <w:rsid w:val="00077359"/>
    <w:rsid w:val="0007752F"/>
    <w:rsid w:val="00077544"/>
    <w:rsid w:val="0007761C"/>
    <w:rsid w:val="0007766F"/>
    <w:rsid w:val="00077702"/>
    <w:rsid w:val="0007772A"/>
    <w:rsid w:val="000777A7"/>
    <w:rsid w:val="00077844"/>
    <w:rsid w:val="000778C3"/>
    <w:rsid w:val="000779AD"/>
    <w:rsid w:val="00077BA7"/>
    <w:rsid w:val="00077BAD"/>
    <w:rsid w:val="00077C49"/>
    <w:rsid w:val="00077D94"/>
    <w:rsid w:val="00077DD4"/>
    <w:rsid w:val="00077E73"/>
    <w:rsid w:val="00080101"/>
    <w:rsid w:val="000801EF"/>
    <w:rsid w:val="0008020E"/>
    <w:rsid w:val="000802EE"/>
    <w:rsid w:val="0008030D"/>
    <w:rsid w:val="00080439"/>
    <w:rsid w:val="000804ED"/>
    <w:rsid w:val="00080549"/>
    <w:rsid w:val="00080690"/>
    <w:rsid w:val="0008070E"/>
    <w:rsid w:val="00080782"/>
    <w:rsid w:val="00080832"/>
    <w:rsid w:val="0008097B"/>
    <w:rsid w:val="000809D7"/>
    <w:rsid w:val="000809EC"/>
    <w:rsid w:val="00080A56"/>
    <w:rsid w:val="00080B07"/>
    <w:rsid w:val="00080B60"/>
    <w:rsid w:val="00080BB0"/>
    <w:rsid w:val="00080C40"/>
    <w:rsid w:val="00080CD2"/>
    <w:rsid w:val="00080CF4"/>
    <w:rsid w:val="00080D40"/>
    <w:rsid w:val="00080D43"/>
    <w:rsid w:val="00080E33"/>
    <w:rsid w:val="00081019"/>
    <w:rsid w:val="000810C9"/>
    <w:rsid w:val="000811A3"/>
    <w:rsid w:val="000811C4"/>
    <w:rsid w:val="000813B7"/>
    <w:rsid w:val="000813F3"/>
    <w:rsid w:val="0008149A"/>
    <w:rsid w:val="0008156D"/>
    <w:rsid w:val="00081685"/>
    <w:rsid w:val="00081699"/>
    <w:rsid w:val="000816F8"/>
    <w:rsid w:val="00081707"/>
    <w:rsid w:val="00081775"/>
    <w:rsid w:val="000817D1"/>
    <w:rsid w:val="00081913"/>
    <w:rsid w:val="00081999"/>
    <w:rsid w:val="00081A1E"/>
    <w:rsid w:val="00081B26"/>
    <w:rsid w:val="00081B7A"/>
    <w:rsid w:val="00081B93"/>
    <w:rsid w:val="00081BB9"/>
    <w:rsid w:val="00081C8D"/>
    <w:rsid w:val="00081CA4"/>
    <w:rsid w:val="00081CC0"/>
    <w:rsid w:val="00081CF4"/>
    <w:rsid w:val="00081EE0"/>
    <w:rsid w:val="00081EFE"/>
    <w:rsid w:val="00081F28"/>
    <w:rsid w:val="00082081"/>
    <w:rsid w:val="00082085"/>
    <w:rsid w:val="000821C1"/>
    <w:rsid w:val="000821F0"/>
    <w:rsid w:val="00082245"/>
    <w:rsid w:val="000823D1"/>
    <w:rsid w:val="00082427"/>
    <w:rsid w:val="000824CA"/>
    <w:rsid w:val="000825C3"/>
    <w:rsid w:val="000825E5"/>
    <w:rsid w:val="0008260E"/>
    <w:rsid w:val="000826BA"/>
    <w:rsid w:val="000826E6"/>
    <w:rsid w:val="0008280E"/>
    <w:rsid w:val="0008285D"/>
    <w:rsid w:val="000829C3"/>
    <w:rsid w:val="00082A22"/>
    <w:rsid w:val="00082A44"/>
    <w:rsid w:val="00082BA4"/>
    <w:rsid w:val="00082D0D"/>
    <w:rsid w:val="00082D34"/>
    <w:rsid w:val="00082DE5"/>
    <w:rsid w:val="00082DEC"/>
    <w:rsid w:val="00082E14"/>
    <w:rsid w:val="00082E52"/>
    <w:rsid w:val="00082E99"/>
    <w:rsid w:val="00082F7F"/>
    <w:rsid w:val="00082F9E"/>
    <w:rsid w:val="000830CC"/>
    <w:rsid w:val="000831D8"/>
    <w:rsid w:val="00083232"/>
    <w:rsid w:val="0008323E"/>
    <w:rsid w:val="00083466"/>
    <w:rsid w:val="000834F6"/>
    <w:rsid w:val="00083691"/>
    <w:rsid w:val="000837D7"/>
    <w:rsid w:val="000839C2"/>
    <w:rsid w:val="00083A55"/>
    <w:rsid w:val="00083B0E"/>
    <w:rsid w:val="00083BF1"/>
    <w:rsid w:val="00083D42"/>
    <w:rsid w:val="00083E31"/>
    <w:rsid w:val="00083E70"/>
    <w:rsid w:val="00083ED7"/>
    <w:rsid w:val="00083F53"/>
    <w:rsid w:val="00083F98"/>
    <w:rsid w:val="000841A1"/>
    <w:rsid w:val="00084324"/>
    <w:rsid w:val="000843F8"/>
    <w:rsid w:val="0008457E"/>
    <w:rsid w:val="000846F7"/>
    <w:rsid w:val="0008482E"/>
    <w:rsid w:val="00084A21"/>
    <w:rsid w:val="00084A98"/>
    <w:rsid w:val="00084BAB"/>
    <w:rsid w:val="00084BCA"/>
    <w:rsid w:val="00084D8E"/>
    <w:rsid w:val="00084D9A"/>
    <w:rsid w:val="00084E08"/>
    <w:rsid w:val="00084E36"/>
    <w:rsid w:val="00084E57"/>
    <w:rsid w:val="00084E95"/>
    <w:rsid w:val="00084F66"/>
    <w:rsid w:val="00084FC3"/>
    <w:rsid w:val="00084FF4"/>
    <w:rsid w:val="00085073"/>
    <w:rsid w:val="00085092"/>
    <w:rsid w:val="000850EE"/>
    <w:rsid w:val="000851F5"/>
    <w:rsid w:val="00085483"/>
    <w:rsid w:val="0008549B"/>
    <w:rsid w:val="000854F0"/>
    <w:rsid w:val="00085502"/>
    <w:rsid w:val="0008551F"/>
    <w:rsid w:val="0008553D"/>
    <w:rsid w:val="000855A7"/>
    <w:rsid w:val="0008573F"/>
    <w:rsid w:val="000857DE"/>
    <w:rsid w:val="000857E4"/>
    <w:rsid w:val="00085854"/>
    <w:rsid w:val="00085883"/>
    <w:rsid w:val="00085AB5"/>
    <w:rsid w:val="00085BB1"/>
    <w:rsid w:val="00085C93"/>
    <w:rsid w:val="00085D6F"/>
    <w:rsid w:val="00085D7A"/>
    <w:rsid w:val="00085DAB"/>
    <w:rsid w:val="00085E53"/>
    <w:rsid w:val="00085FEC"/>
    <w:rsid w:val="00086004"/>
    <w:rsid w:val="00086073"/>
    <w:rsid w:val="000860AE"/>
    <w:rsid w:val="000860BC"/>
    <w:rsid w:val="000860C8"/>
    <w:rsid w:val="00086167"/>
    <w:rsid w:val="00086190"/>
    <w:rsid w:val="00086261"/>
    <w:rsid w:val="00086275"/>
    <w:rsid w:val="000862DC"/>
    <w:rsid w:val="000862E0"/>
    <w:rsid w:val="0008631D"/>
    <w:rsid w:val="00086329"/>
    <w:rsid w:val="0008633F"/>
    <w:rsid w:val="00086697"/>
    <w:rsid w:val="000867F9"/>
    <w:rsid w:val="0008688A"/>
    <w:rsid w:val="000868E3"/>
    <w:rsid w:val="00086908"/>
    <w:rsid w:val="0008696F"/>
    <w:rsid w:val="00086A05"/>
    <w:rsid w:val="00086A12"/>
    <w:rsid w:val="00086AAC"/>
    <w:rsid w:val="00086C28"/>
    <w:rsid w:val="00086C6F"/>
    <w:rsid w:val="00086E88"/>
    <w:rsid w:val="000870DB"/>
    <w:rsid w:val="00087162"/>
    <w:rsid w:val="00087273"/>
    <w:rsid w:val="00087394"/>
    <w:rsid w:val="00087449"/>
    <w:rsid w:val="00087469"/>
    <w:rsid w:val="0008755B"/>
    <w:rsid w:val="000876AC"/>
    <w:rsid w:val="000876F6"/>
    <w:rsid w:val="0008774D"/>
    <w:rsid w:val="000877AD"/>
    <w:rsid w:val="00087835"/>
    <w:rsid w:val="0008788E"/>
    <w:rsid w:val="000878BD"/>
    <w:rsid w:val="00087939"/>
    <w:rsid w:val="00087A49"/>
    <w:rsid w:val="00087A82"/>
    <w:rsid w:val="00087ABF"/>
    <w:rsid w:val="00087BE6"/>
    <w:rsid w:val="00087C05"/>
    <w:rsid w:val="00087C4D"/>
    <w:rsid w:val="00087CF5"/>
    <w:rsid w:val="00087D12"/>
    <w:rsid w:val="00087D54"/>
    <w:rsid w:val="00087DBC"/>
    <w:rsid w:val="00087E79"/>
    <w:rsid w:val="00087FEE"/>
    <w:rsid w:val="00090078"/>
    <w:rsid w:val="0009020A"/>
    <w:rsid w:val="00090258"/>
    <w:rsid w:val="000902D8"/>
    <w:rsid w:val="000902F0"/>
    <w:rsid w:val="00090300"/>
    <w:rsid w:val="0009035C"/>
    <w:rsid w:val="00090429"/>
    <w:rsid w:val="00090570"/>
    <w:rsid w:val="000905B0"/>
    <w:rsid w:val="000905D4"/>
    <w:rsid w:val="000905D9"/>
    <w:rsid w:val="000906AA"/>
    <w:rsid w:val="000907B9"/>
    <w:rsid w:val="0009083A"/>
    <w:rsid w:val="00090900"/>
    <w:rsid w:val="00090926"/>
    <w:rsid w:val="00090978"/>
    <w:rsid w:val="000909BC"/>
    <w:rsid w:val="000909C9"/>
    <w:rsid w:val="000909DD"/>
    <w:rsid w:val="000909E4"/>
    <w:rsid w:val="00090A04"/>
    <w:rsid w:val="00090A1D"/>
    <w:rsid w:val="00090AAE"/>
    <w:rsid w:val="00090C77"/>
    <w:rsid w:val="00090D3F"/>
    <w:rsid w:val="00090F1B"/>
    <w:rsid w:val="00090F5C"/>
    <w:rsid w:val="00090F73"/>
    <w:rsid w:val="00090F91"/>
    <w:rsid w:val="00090FEE"/>
    <w:rsid w:val="0009102C"/>
    <w:rsid w:val="000914F7"/>
    <w:rsid w:val="00091531"/>
    <w:rsid w:val="000915A4"/>
    <w:rsid w:val="00091826"/>
    <w:rsid w:val="00091970"/>
    <w:rsid w:val="000919B2"/>
    <w:rsid w:val="000919D5"/>
    <w:rsid w:val="00091BBA"/>
    <w:rsid w:val="00091CC6"/>
    <w:rsid w:val="00091DBB"/>
    <w:rsid w:val="00091DDA"/>
    <w:rsid w:val="00091F23"/>
    <w:rsid w:val="00091F5D"/>
    <w:rsid w:val="00091FB5"/>
    <w:rsid w:val="00092127"/>
    <w:rsid w:val="000921F1"/>
    <w:rsid w:val="000922B0"/>
    <w:rsid w:val="0009248A"/>
    <w:rsid w:val="0009251D"/>
    <w:rsid w:val="00092551"/>
    <w:rsid w:val="0009255D"/>
    <w:rsid w:val="0009267E"/>
    <w:rsid w:val="000926EC"/>
    <w:rsid w:val="00092760"/>
    <w:rsid w:val="00092832"/>
    <w:rsid w:val="000928E3"/>
    <w:rsid w:val="000928F5"/>
    <w:rsid w:val="00092A74"/>
    <w:rsid w:val="00092AB5"/>
    <w:rsid w:val="00092AB6"/>
    <w:rsid w:val="00092AC4"/>
    <w:rsid w:val="00092B77"/>
    <w:rsid w:val="00092CAA"/>
    <w:rsid w:val="00092CC8"/>
    <w:rsid w:val="00092CD0"/>
    <w:rsid w:val="00092E20"/>
    <w:rsid w:val="00092EDA"/>
    <w:rsid w:val="00092FAC"/>
    <w:rsid w:val="00092FB4"/>
    <w:rsid w:val="0009300F"/>
    <w:rsid w:val="00093093"/>
    <w:rsid w:val="000930A9"/>
    <w:rsid w:val="00093183"/>
    <w:rsid w:val="0009327F"/>
    <w:rsid w:val="0009329E"/>
    <w:rsid w:val="000932D5"/>
    <w:rsid w:val="000933AF"/>
    <w:rsid w:val="00093472"/>
    <w:rsid w:val="0009349D"/>
    <w:rsid w:val="000934F4"/>
    <w:rsid w:val="00093547"/>
    <w:rsid w:val="000935EA"/>
    <w:rsid w:val="00093600"/>
    <w:rsid w:val="0009366F"/>
    <w:rsid w:val="000936B6"/>
    <w:rsid w:val="00093865"/>
    <w:rsid w:val="0009399D"/>
    <w:rsid w:val="000939DE"/>
    <w:rsid w:val="00093B42"/>
    <w:rsid w:val="00093BDE"/>
    <w:rsid w:val="00093C16"/>
    <w:rsid w:val="00093CB5"/>
    <w:rsid w:val="00093CD1"/>
    <w:rsid w:val="00093CDC"/>
    <w:rsid w:val="00093D0E"/>
    <w:rsid w:val="00093D7E"/>
    <w:rsid w:val="00093DF3"/>
    <w:rsid w:val="00093E9D"/>
    <w:rsid w:val="00093FAF"/>
    <w:rsid w:val="00093FC6"/>
    <w:rsid w:val="00093FCB"/>
    <w:rsid w:val="00094128"/>
    <w:rsid w:val="00094134"/>
    <w:rsid w:val="00094308"/>
    <w:rsid w:val="00094347"/>
    <w:rsid w:val="000943A9"/>
    <w:rsid w:val="000943D3"/>
    <w:rsid w:val="00094431"/>
    <w:rsid w:val="00094446"/>
    <w:rsid w:val="000944EB"/>
    <w:rsid w:val="00094522"/>
    <w:rsid w:val="00094754"/>
    <w:rsid w:val="00094781"/>
    <w:rsid w:val="00094784"/>
    <w:rsid w:val="000948DA"/>
    <w:rsid w:val="00094990"/>
    <w:rsid w:val="000949A7"/>
    <w:rsid w:val="00094A04"/>
    <w:rsid w:val="00094A18"/>
    <w:rsid w:val="00094A2C"/>
    <w:rsid w:val="00094B12"/>
    <w:rsid w:val="00094DB6"/>
    <w:rsid w:val="00094EA8"/>
    <w:rsid w:val="00094EBC"/>
    <w:rsid w:val="00094F7F"/>
    <w:rsid w:val="00095113"/>
    <w:rsid w:val="00095123"/>
    <w:rsid w:val="0009512C"/>
    <w:rsid w:val="00095198"/>
    <w:rsid w:val="00095218"/>
    <w:rsid w:val="00095221"/>
    <w:rsid w:val="0009524B"/>
    <w:rsid w:val="000952EC"/>
    <w:rsid w:val="00095385"/>
    <w:rsid w:val="00095505"/>
    <w:rsid w:val="000956DB"/>
    <w:rsid w:val="00095714"/>
    <w:rsid w:val="00095727"/>
    <w:rsid w:val="00095862"/>
    <w:rsid w:val="000958EE"/>
    <w:rsid w:val="000959AB"/>
    <w:rsid w:val="000959FB"/>
    <w:rsid w:val="00095A8E"/>
    <w:rsid w:val="00095B6C"/>
    <w:rsid w:val="00095CA3"/>
    <w:rsid w:val="00095ED1"/>
    <w:rsid w:val="0009600A"/>
    <w:rsid w:val="0009609C"/>
    <w:rsid w:val="00096148"/>
    <w:rsid w:val="000962B6"/>
    <w:rsid w:val="0009634C"/>
    <w:rsid w:val="00096391"/>
    <w:rsid w:val="000963D6"/>
    <w:rsid w:val="00096414"/>
    <w:rsid w:val="00096447"/>
    <w:rsid w:val="000965D4"/>
    <w:rsid w:val="000965E7"/>
    <w:rsid w:val="0009684A"/>
    <w:rsid w:val="0009686B"/>
    <w:rsid w:val="000968A5"/>
    <w:rsid w:val="00096901"/>
    <w:rsid w:val="00096A36"/>
    <w:rsid w:val="00096A6F"/>
    <w:rsid w:val="00096BB5"/>
    <w:rsid w:val="00096BC9"/>
    <w:rsid w:val="00096BDC"/>
    <w:rsid w:val="00096C38"/>
    <w:rsid w:val="00096D98"/>
    <w:rsid w:val="00096ECB"/>
    <w:rsid w:val="00096FED"/>
    <w:rsid w:val="00097154"/>
    <w:rsid w:val="000971D4"/>
    <w:rsid w:val="00097236"/>
    <w:rsid w:val="0009724B"/>
    <w:rsid w:val="000973B7"/>
    <w:rsid w:val="000973DD"/>
    <w:rsid w:val="000973E0"/>
    <w:rsid w:val="0009742A"/>
    <w:rsid w:val="00097496"/>
    <w:rsid w:val="000974AF"/>
    <w:rsid w:val="00097548"/>
    <w:rsid w:val="000975B4"/>
    <w:rsid w:val="0009760A"/>
    <w:rsid w:val="0009761F"/>
    <w:rsid w:val="0009769C"/>
    <w:rsid w:val="00097770"/>
    <w:rsid w:val="00097818"/>
    <w:rsid w:val="000978B0"/>
    <w:rsid w:val="00097986"/>
    <w:rsid w:val="000979E0"/>
    <w:rsid w:val="00097A12"/>
    <w:rsid w:val="00097A97"/>
    <w:rsid w:val="00097B0D"/>
    <w:rsid w:val="00097B15"/>
    <w:rsid w:val="00097D02"/>
    <w:rsid w:val="00097DA6"/>
    <w:rsid w:val="00097ED1"/>
    <w:rsid w:val="00097EFB"/>
    <w:rsid w:val="000A0083"/>
    <w:rsid w:val="000A0095"/>
    <w:rsid w:val="000A012F"/>
    <w:rsid w:val="000A01A2"/>
    <w:rsid w:val="000A01C2"/>
    <w:rsid w:val="000A02C6"/>
    <w:rsid w:val="000A0334"/>
    <w:rsid w:val="000A033B"/>
    <w:rsid w:val="000A0350"/>
    <w:rsid w:val="000A036B"/>
    <w:rsid w:val="000A037B"/>
    <w:rsid w:val="000A0412"/>
    <w:rsid w:val="000A0453"/>
    <w:rsid w:val="000A057E"/>
    <w:rsid w:val="000A05D7"/>
    <w:rsid w:val="000A0642"/>
    <w:rsid w:val="000A0712"/>
    <w:rsid w:val="000A0777"/>
    <w:rsid w:val="000A07C8"/>
    <w:rsid w:val="000A0812"/>
    <w:rsid w:val="000A0833"/>
    <w:rsid w:val="000A08BE"/>
    <w:rsid w:val="000A0A61"/>
    <w:rsid w:val="000A0BCA"/>
    <w:rsid w:val="000A0D7C"/>
    <w:rsid w:val="000A0EFC"/>
    <w:rsid w:val="000A0F0C"/>
    <w:rsid w:val="000A103E"/>
    <w:rsid w:val="000A103F"/>
    <w:rsid w:val="000A117F"/>
    <w:rsid w:val="000A1232"/>
    <w:rsid w:val="000A130F"/>
    <w:rsid w:val="000A13E2"/>
    <w:rsid w:val="000A1410"/>
    <w:rsid w:val="000A148C"/>
    <w:rsid w:val="000A14A1"/>
    <w:rsid w:val="000A1528"/>
    <w:rsid w:val="000A15A4"/>
    <w:rsid w:val="000A1608"/>
    <w:rsid w:val="000A161C"/>
    <w:rsid w:val="000A1647"/>
    <w:rsid w:val="000A172A"/>
    <w:rsid w:val="000A187E"/>
    <w:rsid w:val="000A1C4B"/>
    <w:rsid w:val="000A1F22"/>
    <w:rsid w:val="000A204A"/>
    <w:rsid w:val="000A20BC"/>
    <w:rsid w:val="000A217E"/>
    <w:rsid w:val="000A2203"/>
    <w:rsid w:val="000A2207"/>
    <w:rsid w:val="000A2209"/>
    <w:rsid w:val="000A2331"/>
    <w:rsid w:val="000A2339"/>
    <w:rsid w:val="000A23C9"/>
    <w:rsid w:val="000A2433"/>
    <w:rsid w:val="000A252A"/>
    <w:rsid w:val="000A2606"/>
    <w:rsid w:val="000A2782"/>
    <w:rsid w:val="000A281F"/>
    <w:rsid w:val="000A2828"/>
    <w:rsid w:val="000A28B1"/>
    <w:rsid w:val="000A28CF"/>
    <w:rsid w:val="000A29DF"/>
    <w:rsid w:val="000A2A2B"/>
    <w:rsid w:val="000A2A41"/>
    <w:rsid w:val="000A2A4E"/>
    <w:rsid w:val="000A2A51"/>
    <w:rsid w:val="000A2AC0"/>
    <w:rsid w:val="000A2B61"/>
    <w:rsid w:val="000A2C05"/>
    <w:rsid w:val="000A2C09"/>
    <w:rsid w:val="000A2C1E"/>
    <w:rsid w:val="000A2C8A"/>
    <w:rsid w:val="000A2CD0"/>
    <w:rsid w:val="000A2CE0"/>
    <w:rsid w:val="000A2EAA"/>
    <w:rsid w:val="000A2EC8"/>
    <w:rsid w:val="000A2FD9"/>
    <w:rsid w:val="000A30E2"/>
    <w:rsid w:val="000A3109"/>
    <w:rsid w:val="000A3143"/>
    <w:rsid w:val="000A314A"/>
    <w:rsid w:val="000A3205"/>
    <w:rsid w:val="000A3281"/>
    <w:rsid w:val="000A339E"/>
    <w:rsid w:val="000A33DD"/>
    <w:rsid w:val="000A3487"/>
    <w:rsid w:val="000A34B1"/>
    <w:rsid w:val="000A35A8"/>
    <w:rsid w:val="000A363C"/>
    <w:rsid w:val="000A368B"/>
    <w:rsid w:val="000A36AB"/>
    <w:rsid w:val="000A36DC"/>
    <w:rsid w:val="000A36EB"/>
    <w:rsid w:val="000A376C"/>
    <w:rsid w:val="000A3782"/>
    <w:rsid w:val="000A37A2"/>
    <w:rsid w:val="000A37C8"/>
    <w:rsid w:val="000A3A2A"/>
    <w:rsid w:val="000A3BBB"/>
    <w:rsid w:val="000A3E38"/>
    <w:rsid w:val="000A3F3E"/>
    <w:rsid w:val="000A3F56"/>
    <w:rsid w:val="000A3FE3"/>
    <w:rsid w:val="000A40AD"/>
    <w:rsid w:val="000A4123"/>
    <w:rsid w:val="000A4187"/>
    <w:rsid w:val="000A4198"/>
    <w:rsid w:val="000A41F7"/>
    <w:rsid w:val="000A4330"/>
    <w:rsid w:val="000A436C"/>
    <w:rsid w:val="000A4432"/>
    <w:rsid w:val="000A44BC"/>
    <w:rsid w:val="000A459B"/>
    <w:rsid w:val="000A45AF"/>
    <w:rsid w:val="000A4658"/>
    <w:rsid w:val="000A4694"/>
    <w:rsid w:val="000A4812"/>
    <w:rsid w:val="000A48A6"/>
    <w:rsid w:val="000A48D6"/>
    <w:rsid w:val="000A4A99"/>
    <w:rsid w:val="000A4B82"/>
    <w:rsid w:val="000A4B94"/>
    <w:rsid w:val="000A4CF2"/>
    <w:rsid w:val="000A4D02"/>
    <w:rsid w:val="000A4EBD"/>
    <w:rsid w:val="000A504E"/>
    <w:rsid w:val="000A50AC"/>
    <w:rsid w:val="000A510D"/>
    <w:rsid w:val="000A5276"/>
    <w:rsid w:val="000A5361"/>
    <w:rsid w:val="000A53F2"/>
    <w:rsid w:val="000A5408"/>
    <w:rsid w:val="000A5416"/>
    <w:rsid w:val="000A5485"/>
    <w:rsid w:val="000A549D"/>
    <w:rsid w:val="000A5569"/>
    <w:rsid w:val="000A557A"/>
    <w:rsid w:val="000A55D4"/>
    <w:rsid w:val="000A562F"/>
    <w:rsid w:val="000A56AE"/>
    <w:rsid w:val="000A56B9"/>
    <w:rsid w:val="000A56F7"/>
    <w:rsid w:val="000A5875"/>
    <w:rsid w:val="000A58FA"/>
    <w:rsid w:val="000A5934"/>
    <w:rsid w:val="000A5B57"/>
    <w:rsid w:val="000A5C16"/>
    <w:rsid w:val="000A5C86"/>
    <w:rsid w:val="000A5D09"/>
    <w:rsid w:val="000A5D21"/>
    <w:rsid w:val="000A5D32"/>
    <w:rsid w:val="000A5EBC"/>
    <w:rsid w:val="000A5F5B"/>
    <w:rsid w:val="000A5FB2"/>
    <w:rsid w:val="000A5FF6"/>
    <w:rsid w:val="000A603F"/>
    <w:rsid w:val="000A6085"/>
    <w:rsid w:val="000A6100"/>
    <w:rsid w:val="000A61A4"/>
    <w:rsid w:val="000A61E4"/>
    <w:rsid w:val="000A6290"/>
    <w:rsid w:val="000A62C5"/>
    <w:rsid w:val="000A642B"/>
    <w:rsid w:val="000A6439"/>
    <w:rsid w:val="000A6550"/>
    <w:rsid w:val="000A657F"/>
    <w:rsid w:val="000A65DA"/>
    <w:rsid w:val="000A661B"/>
    <w:rsid w:val="000A674C"/>
    <w:rsid w:val="000A6818"/>
    <w:rsid w:val="000A691E"/>
    <w:rsid w:val="000A6A17"/>
    <w:rsid w:val="000A6A2E"/>
    <w:rsid w:val="000A6A41"/>
    <w:rsid w:val="000A6B33"/>
    <w:rsid w:val="000A6C4A"/>
    <w:rsid w:val="000A6C50"/>
    <w:rsid w:val="000A6D2C"/>
    <w:rsid w:val="000A6DFC"/>
    <w:rsid w:val="000A6E02"/>
    <w:rsid w:val="000A6E2C"/>
    <w:rsid w:val="000A6F42"/>
    <w:rsid w:val="000A70EE"/>
    <w:rsid w:val="000A7633"/>
    <w:rsid w:val="000A7686"/>
    <w:rsid w:val="000A77A9"/>
    <w:rsid w:val="000A784F"/>
    <w:rsid w:val="000A7891"/>
    <w:rsid w:val="000A78F6"/>
    <w:rsid w:val="000A7A43"/>
    <w:rsid w:val="000A7CD4"/>
    <w:rsid w:val="000A7D24"/>
    <w:rsid w:val="000A7DBD"/>
    <w:rsid w:val="000A7E5C"/>
    <w:rsid w:val="000A7F3C"/>
    <w:rsid w:val="000A7FC6"/>
    <w:rsid w:val="000A7FF1"/>
    <w:rsid w:val="000B00A2"/>
    <w:rsid w:val="000B01E0"/>
    <w:rsid w:val="000B030F"/>
    <w:rsid w:val="000B0334"/>
    <w:rsid w:val="000B03DF"/>
    <w:rsid w:val="000B054E"/>
    <w:rsid w:val="000B05BE"/>
    <w:rsid w:val="000B0616"/>
    <w:rsid w:val="000B0646"/>
    <w:rsid w:val="000B072B"/>
    <w:rsid w:val="000B078C"/>
    <w:rsid w:val="000B07E0"/>
    <w:rsid w:val="000B096C"/>
    <w:rsid w:val="000B09E7"/>
    <w:rsid w:val="000B0AA3"/>
    <w:rsid w:val="000B0AD0"/>
    <w:rsid w:val="000B0B44"/>
    <w:rsid w:val="000B0BAD"/>
    <w:rsid w:val="000B0C54"/>
    <w:rsid w:val="000B0D01"/>
    <w:rsid w:val="000B0DCA"/>
    <w:rsid w:val="000B0E7E"/>
    <w:rsid w:val="000B0ECE"/>
    <w:rsid w:val="000B0F3D"/>
    <w:rsid w:val="000B0FF2"/>
    <w:rsid w:val="000B1039"/>
    <w:rsid w:val="000B1111"/>
    <w:rsid w:val="000B116B"/>
    <w:rsid w:val="000B1281"/>
    <w:rsid w:val="000B1288"/>
    <w:rsid w:val="000B131C"/>
    <w:rsid w:val="000B14AF"/>
    <w:rsid w:val="000B1547"/>
    <w:rsid w:val="000B157C"/>
    <w:rsid w:val="000B15EF"/>
    <w:rsid w:val="000B15F9"/>
    <w:rsid w:val="000B1625"/>
    <w:rsid w:val="000B1629"/>
    <w:rsid w:val="000B1860"/>
    <w:rsid w:val="000B18EF"/>
    <w:rsid w:val="000B198F"/>
    <w:rsid w:val="000B1A73"/>
    <w:rsid w:val="000B1DDB"/>
    <w:rsid w:val="000B1E8C"/>
    <w:rsid w:val="000B20E1"/>
    <w:rsid w:val="000B21C7"/>
    <w:rsid w:val="000B228B"/>
    <w:rsid w:val="000B2307"/>
    <w:rsid w:val="000B2318"/>
    <w:rsid w:val="000B23CE"/>
    <w:rsid w:val="000B245C"/>
    <w:rsid w:val="000B249D"/>
    <w:rsid w:val="000B24FD"/>
    <w:rsid w:val="000B2554"/>
    <w:rsid w:val="000B258A"/>
    <w:rsid w:val="000B2610"/>
    <w:rsid w:val="000B26FB"/>
    <w:rsid w:val="000B27F7"/>
    <w:rsid w:val="000B28FB"/>
    <w:rsid w:val="000B2AC6"/>
    <w:rsid w:val="000B2B05"/>
    <w:rsid w:val="000B2BAE"/>
    <w:rsid w:val="000B2BF7"/>
    <w:rsid w:val="000B2C1A"/>
    <w:rsid w:val="000B2D31"/>
    <w:rsid w:val="000B2E73"/>
    <w:rsid w:val="000B2F06"/>
    <w:rsid w:val="000B3156"/>
    <w:rsid w:val="000B31E3"/>
    <w:rsid w:val="000B31EC"/>
    <w:rsid w:val="000B325B"/>
    <w:rsid w:val="000B32D3"/>
    <w:rsid w:val="000B32FC"/>
    <w:rsid w:val="000B3389"/>
    <w:rsid w:val="000B36FA"/>
    <w:rsid w:val="000B3774"/>
    <w:rsid w:val="000B379B"/>
    <w:rsid w:val="000B3871"/>
    <w:rsid w:val="000B38B2"/>
    <w:rsid w:val="000B38C1"/>
    <w:rsid w:val="000B38C5"/>
    <w:rsid w:val="000B38EF"/>
    <w:rsid w:val="000B3928"/>
    <w:rsid w:val="000B395E"/>
    <w:rsid w:val="000B3972"/>
    <w:rsid w:val="000B3A3B"/>
    <w:rsid w:val="000B3ABE"/>
    <w:rsid w:val="000B3B2A"/>
    <w:rsid w:val="000B3BBC"/>
    <w:rsid w:val="000B3C12"/>
    <w:rsid w:val="000B3C65"/>
    <w:rsid w:val="000B3D25"/>
    <w:rsid w:val="000B3DAD"/>
    <w:rsid w:val="000B3DF0"/>
    <w:rsid w:val="000B3E75"/>
    <w:rsid w:val="000B3EB2"/>
    <w:rsid w:val="000B40E5"/>
    <w:rsid w:val="000B41B2"/>
    <w:rsid w:val="000B41C7"/>
    <w:rsid w:val="000B422A"/>
    <w:rsid w:val="000B4282"/>
    <w:rsid w:val="000B42C3"/>
    <w:rsid w:val="000B43B4"/>
    <w:rsid w:val="000B4502"/>
    <w:rsid w:val="000B451C"/>
    <w:rsid w:val="000B4632"/>
    <w:rsid w:val="000B474C"/>
    <w:rsid w:val="000B48B7"/>
    <w:rsid w:val="000B49C8"/>
    <w:rsid w:val="000B4B19"/>
    <w:rsid w:val="000B4BED"/>
    <w:rsid w:val="000B4C09"/>
    <w:rsid w:val="000B4C87"/>
    <w:rsid w:val="000B4CB8"/>
    <w:rsid w:val="000B4CDD"/>
    <w:rsid w:val="000B4FDB"/>
    <w:rsid w:val="000B5029"/>
    <w:rsid w:val="000B507F"/>
    <w:rsid w:val="000B5279"/>
    <w:rsid w:val="000B531A"/>
    <w:rsid w:val="000B538D"/>
    <w:rsid w:val="000B53B6"/>
    <w:rsid w:val="000B53CC"/>
    <w:rsid w:val="000B543F"/>
    <w:rsid w:val="000B5440"/>
    <w:rsid w:val="000B54A1"/>
    <w:rsid w:val="000B5730"/>
    <w:rsid w:val="000B57C8"/>
    <w:rsid w:val="000B57E6"/>
    <w:rsid w:val="000B58F2"/>
    <w:rsid w:val="000B5902"/>
    <w:rsid w:val="000B59DA"/>
    <w:rsid w:val="000B59DD"/>
    <w:rsid w:val="000B5B77"/>
    <w:rsid w:val="000B5BCA"/>
    <w:rsid w:val="000B5BF7"/>
    <w:rsid w:val="000B5C4D"/>
    <w:rsid w:val="000B5C8B"/>
    <w:rsid w:val="000B5C8F"/>
    <w:rsid w:val="000B5E39"/>
    <w:rsid w:val="000B5EE1"/>
    <w:rsid w:val="000B5F94"/>
    <w:rsid w:val="000B5FFE"/>
    <w:rsid w:val="000B60DC"/>
    <w:rsid w:val="000B618E"/>
    <w:rsid w:val="000B618F"/>
    <w:rsid w:val="000B61CE"/>
    <w:rsid w:val="000B6292"/>
    <w:rsid w:val="000B635E"/>
    <w:rsid w:val="000B6527"/>
    <w:rsid w:val="000B657C"/>
    <w:rsid w:val="000B67C0"/>
    <w:rsid w:val="000B67E5"/>
    <w:rsid w:val="000B6845"/>
    <w:rsid w:val="000B68B8"/>
    <w:rsid w:val="000B68C9"/>
    <w:rsid w:val="000B6904"/>
    <w:rsid w:val="000B6916"/>
    <w:rsid w:val="000B6926"/>
    <w:rsid w:val="000B6962"/>
    <w:rsid w:val="000B69FB"/>
    <w:rsid w:val="000B6A22"/>
    <w:rsid w:val="000B6A23"/>
    <w:rsid w:val="000B6AB0"/>
    <w:rsid w:val="000B6ABA"/>
    <w:rsid w:val="000B6BBD"/>
    <w:rsid w:val="000B6BCE"/>
    <w:rsid w:val="000B6DA4"/>
    <w:rsid w:val="000B6E99"/>
    <w:rsid w:val="000B6F40"/>
    <w:rsid w:val="000B6FBF"/>
    <w:rsid w:val="000B6FDF"/>
    <w:rsid w:val="000B7084"/>
    <w:rsid w:val="000B71E5"/>
    <w:rsid w:val="000B7235"/>
    <w:rsid w:val="000B7241"/>
    <w:rsid w:val="000B725F"/>
    <w:rsid w:val="000B739E"/>
    <w:rsid w:val="000B73F0"/>
    <w:rsid w:val="000B75C0"/>
    <w:rsid w:val="000B7645"/>
    <w:rsid w:val="000B7647"/>
    <w:rsid w:val="000B76D0"/>
    <w:rsid w:val="000B76E9"/>
    <w:rsid w:val="000B7874"/>
    <w:rsid w:val="000B78E4"/>
    <w:rsid w:val="000B7A68"/>
    <w:rsid w:val="000B7BD4"/>
    <w:rsid w:val="000B7C08"/>
    <w:rsid w:val="000B7C25"/>
    <w:rsid w:val="000B7D50"/>
    <w:rsid w:val="000B7DC3"/>
    <w:rsid w:val="000B7E77"/>
    <w:rsid w:val="000C0064"/>
    <w:rsid w:val="000C007B"/>
    <w:rsid w:val="000C009F"/>
    <w:rsid w:val="000C00F0"/>
    <w:rsid w:val="000C027E"/>
    <w:rsid w:val="000C027F"/>
    <w:rsid w:val="000C03A3"/>
    <w:rsid w:val="000C03B6"/>
    <w:rsid w:val="000C04AB"/>
    <w:rsid w:val="000C0526"/>
    <w:rsid w:val="000C054A"/>
    <w:rsid w:val="000C0588"/>
    <w:rsid w:val="000C06ED"/>
    <w:rsid w:val="000C076E"/>
    <w:rsid w:val="000C0864"/>
    <w:rsid w:val="000C098D"/>
    <w:rsid w:val="000C09AC"/>
    <w:rsid w:val="000C0A10"/>
    <w:rsid w:val="000C0B0E"/>
    <w:rsid w:val="000C0B0F"/>
    <w:rsid w:val="000C0B3E"/>
    <w:rsid w:val="000C0C88"/>
    <w:rsid w:val="000C0D90"/>
    <w:rsid w:val="000C0D93"/>
    <w:rsid w:val="000C0DAA"/>
    <w:rsid w:val="000C0DEC"/>
    <w:rsid w:val="000C103E"/>
    <w:rsid w:val="000C10FE"/>
    <w:rsid w:val="000C1157"/>
    <w:rsid w:val="000C129B"/>
    <w:rsid w:val="000C1370"/>
    <w:rsid w:val="000C1424"/>
    <w:rsid w:val="000C1463"/>
    <w:rsid w:val="000C14F7"/>
    <w:rsid w:val="000C15EF"/>
    <w:rsid w:val="000C1633"/>
    <w:rsid w:val="000C16BB"/>
    <w:rsid w:val="000C16EE"/>
    <w:rsid w:val="000C1701"/>
    <w:rsid w:val="000C173A"/>
    <w:rsid w:val="000C176B"/>
    <w:rsid w:val="000C187C"/>
    <w:rsid w:val="000C18FE"/>
    <w:rsid w:val="000C1A08"/>
    <w:rsid w:val="000C1BCD"/>
    <w:rsid w:val="000C1C1B"/>
    <w:rsid w:val="000C1CBA"/>
    <w:rsid w:val="000C1D38"/>
    <w:rsid w:val="000C1D7E"/>
    <w:rsid w:val="000C1E17"/>
    <w:rsid w:val="000C1F59"/>
    <w:rsid w:val="000C2049"/>
    <w:rsid w:val="000C2150"/>
    <w:rsid w:val="000C2169"/>
    <w:rsid w:val="000C218D"/>
    <w:rsid w:val="000C21F6"/>
    <w:rsid w:val="000C2249"/>
    <w:rsid w:val="000C2252"/>
    <w:rsid w:val="000C22DE"/>
    <w:rsid w:val="000C2320"/>
    <w:rsid w:val="000C232C"/>
    <w:rsid w:val="000C2373"/>
    <w:rsid w:val="000C23E4"/>
    <w:rsid w:val="000C2442"/>
    <w:rsid w:val="000C2489"/>
    <w:rsid w:val="000C2550"/>
    <w:rsid w:val="000C255B"/>
    <w:rsid w:val="000C25B2"/>
    <w:rsid w:val="000C2667"/>
    <w:rsid w:val="000C26ED"/>
    <w:rsid w:val="000C274D"/>
    <w:rsid w:val="000C27AB"/>
    <w:rsid w:val="000C27B0"/>
    <w:rsid w:val="000C27BB"/>
    <w:rsid w:val="000C27D3"/>
    <w:rsid w:val="000C27D8"/>
    <w:rsid w:val="000C281A"/>
    <w:rsid w:val="000C293A"/>
    <w:rsid w:val="000C29FA"/>
    <w:rsid w:val="000C2A35"/>
    <w:rsid w:val="000C2B38"/>
    <w:rsid w:val="000C2B5E"/>
    <w:rsid w:val="000C2D11"/>
    <w:rsid w:val="000C2D41"/>
    <w:rsid w:val="000C2E46"/>
    <w:rsid w:val="000C2E88"/>
    <w:rsid w:val="000C2F0D"/>
    <w:rsid w:val="000C2F30"/>
    <w:rsid w:val="000C2F7D"/>
    <w:rsid w:val="000C301C"/>
    <w:rsid w:val="000C30F7"/>
    <w:rsid w:val="000C311D"/>
    <w:rsid w:val="000C317E"/>
    <w:rsid w:val="000C3231"/>
    <w:rsid w:val="000C32AF"/>
    <w:rsid w:val="000C32C8"/>
    <w:rsid w:val="000C331A"/>
    <w:rsid w:val="000C3476"/>
    <w:rsid w:val="000C34F8"/>
    <w:rsid w:val="000C3519"/>
    <w:rsid w:val="000C3610"/>
    <w:rsid w:val="000C3718"/>
    <w:rsid w:val="000C37CA"/>
    <w:rsid w:val="000C3867"/>
    <w:rsid w:val="000C3873"/>
    <w:rsid w:val="000C38C7"/>
    <w:rsid w:val="000C38FB"/>
    <w:rsid w:val="000C397C"/>
    <w:rsid w:val="000C3A00"/>
    <w:rsid w:val="000C3A75"/>
    <w:rsid w:val="000C3AC6"/>
    <w:rsid w:val="000C3B2B"/>
    <w:rsid w:val="000C3BC3"/>
    <w:rsid w:val="000C3BCC"/>
    <w:rsid w:val="000C3D09"/>
    <w:rsid w:val="000C3D2E"/>
    <w:rsid w:val="000C3D43"/>
    <w:rsid w:val="000C3DA3"/>
    <w:rsid w:val="000C3DCF"/>
    <w:rsid w:val="000C3F0C"/>
    <w:rsid w:val="000C3F62"/>
    <w:rsid w:val="000C40F0"/>
    <w:rsid w:val="000C4100"/>
    <w:rsid w:val="000C4133"/>
    <w:rsid w:val="000C4218"/>
    <w:rsid w:val="000C4282"/>
    <w:rsid w:val="000C43DF"/>
    <w:rsid w:val="000C4465"/>
    <w:rsid w:val="000C4490"/>
    <w:rsid w:val="000C44C5"/>
    <w:rsid w:val="000C450A"/>
    <w:rsid w:val="000C4515"/>
    <w:rsid w:val="000C45D3"/>
    <w:rsid w:val="000C4656"/>
    <w:rsid w:val="000C4658"/>
    <w:rsid w:val="000C46AC"/>
    <w:rsid w:val="000C4747"/>
    <w:rsid w:val="000C48AE"/>
    <w:rsid w:val="000C4966"/>
    <w:rsid w:val="000C4A52"/>
    <w:rsid w:val="000C4A78"/>
    <w:rsid w:val="000C4AF0"/>
    <w:rsid w:val="000C4BC0"/>
    <w:rsid w:val="000C4BE7"/>
    <w:rsid w:val="000C4C22"/>
    <w:rsid w:val="000C4DDB"/>
    <w:rsid w:val="000C4FD1"/>
    <w:rsid w:val="000C5085"/>
    <w:rsid w:val="000C50A6"/>
    <w:rsid w:val="000C513C"/>
    <w:rsid w:val="000C51DC"/>
    <w:rsid w:val="000C5374"/>
    <w:rsid w:val="000C53E1"/>
    <w:rsid w:val="000C53FE"/>
    <w:rsid w:val="000C54A8"/>
    <w:rsid w:val="000C5654"/>
    <w:rsid w:val="000C5757"/>
    <w:rsid w:val="000C5824"/>
    <w:rsid w:val="000C58ED"/>
    <w:rsid w:val="000C596F"/>
    <w:rsid w:val="000C5A71"/>
    <w:rsid w:val="000C5BFF"/>
    <w:rsid w:val="000C5C80"/>
    <w:rsid w:val="000C5D0A"/>
    <w:rsid w:val="000C5E81"/>
    <w:rsid w:val="000C5F7A"/>
    <w:rsid w:val="000C5F89"/>
    <w:rsid w:val="000C6015"/>
    <w:rsid w:val="000C621D"/>
    <w:rsid w:val="000C626C"/>
    <w:rsid w:val="000C6288"/>
    <w:rsid w:val="000C62FB"/>
    <w:rsid w:val="000C64D8"/>
    <w:rsid w:val="000C65E9"/>
    <w:rsid w:val="000C66DB"/>
    <w:rsid w:val="000C6787"/>
    <w:rsid w:val="000C6824"/>
    <w:rsid w:val="000C6838"/>
    <w:rsid w:val="000C685C"/>
    <w:rsid w:val="000C68C4"/>
    <w:rsid w:val="000C68C8"/>
    <w:rsid w:val="000C695F"/>
    <w:rsid w:val="000C69C6"/>
    <w:rsid w:val="000C6A03"/>
    <w:rsid w:val="000C6A11"/>
    <w:rsid w:val="000C6B03"/>
    <w:rsid w:val="000C6B4D"/>
    <w:rsid w:val="000C6B82"/>
    <w:rsid w:val="000C6BD5"/>
    <w:rsid w:val="000C6C3A"/>
    <w:rsid w:val="000C6C3C"/>
    <w:rsid w:val="000C6C5D"/>
    <w:rsid w:val="000C6F42"/>
    <w:rsid w:val="000C6F76"/>
    <w:rsid w:val="000C7043"/>
    <w:rsid w:val="000C706B"/>
    <w:rsid w:val="000C716F"/>
    <w:rsid w:val="000C71A9"/>
    <w:rsid w:val="000C7277"/>
    <w:rsid w:val="000C727A"/>
    <w:rsid w:val="000C72CE"/>
    <w:rsid w:val="000C738B"/>
    <w:rsid w:val="000C73F9"/>
    <w:rsid w:val="000C7410"/>
    <w:rsid w:val="000C7478"/>
    <w:rsid w:val="000C754E"/>
    <w:rsid w:val="000C75D8"/>
    <w:rsid w:val="000C7660"/>
    <w:rsid w:val="000C7681"/>
    <w:rsid w:val="000C77E8"/>
    <w:rsid w:val="000C7846"/>
    <w:rsid w:val="000C7854"/>
    <w:rsid w:val="000C7996"/>
    <w:rsid w:val="000C7A66"/>
    <w:rsid w:val="000C7AE2"/>
    <w:rsid w:val="000C7B04"/>
    <w:rsid w:val="000C7B2C"/>
    <w:rsid w:val="000C7BDB"/>
    <w:rsid w:val="000C7BFB"/>
    <w:rsid w:val="000C7D3C"/>
    <w:rsid w:val="000C7D52"/>
    <w:rsid w:val="000C7D58"/>
    <w:rsid w:val="000C7E0C"/>
    <w:rsid w:val="000C7FE8"/>
    <w:rsid w:val="000D00CA"/>
    <w:rsid w:val="000D033E"/>
    <w:rsid w:val="000D036D"/>
    <w:rsid w:val="000D03A3"/>
    <w:rsid w:val="000D0465"/>
    <w:rsid w:val="000D048B"/>
    <w:rsid w:val="000D04D0"/>
    <w:rsid w:val="000D0548"/>
    <w:rsid w:val="000D059D"/>
    <w:rsid w:val="000D05B8"/>
    <w:rsid w:val="000D05EA"/>
    <w:rsid w:val="000D0696"/>
    <w:rsid w:val="000D06F2"/>
    <w:rsid w:val="000D0755"/>
    <w:rsid w:val="000D07AF"/>
    <w:rsid w:val="000D0802"/>
    <w:rsid w:val="000D089E"/>
    <w:rsid w:val="000D08A3"/>
    <w:rsid w:val="000D08A9"/>
    <w:rsid w:val="000D09B5"/>
    <w:rsid w:val="000D09FB"/>
    <w:rsid w:val="000D09FC"/>
    <w:rsid w:val="000D0AC0"/>
    <w:rsid w:val="000D0B64"/>
    <w:rsid w:val="000D0C8A"/>
    <w:rsid w:val="000D0C8E"/>
    <w:rsid w:val="000D0D25"/>
    <w:rsid w:val="000D0D81"/>
    <w:rsid w:val="000D0D99"/>
    <w:rsid w:val="000D0E0A"/>
    <w:rsid w:val="000D0EF4"/>
    <w:rsid w:val="000D1017"/>
    <w:rsid w:val="000D11ED"/>
    <w:rsid w:val="000D14A3"/>
    <w:rsid w:val="000D151C"/>
    <w:rsid w:val="000D1526"/>
    <w:rsid w:val="000D1598"/>
    <w:rsid w:val="000D1683"/>
    <w:rsid w:val="000D175E"/>
    <w:rsid w:val="000D1784"/>
    <w:rsid w:val="000D1A77"/>
    <w:rsid w:val="000D1C28"/>
    <w:rsid w:val="000D1D2C"/>
    <w:rsid w:val="000D1DC2"/>
    <w:rsid w:val="000D1DCF"/>
    <w:rsid w:val="000D1E16"/>
    <w:rsid w:val="000D1F41"/>
    <w:rsid w:val="000D1F8C"/>
    <w:rsid w:val="000D1FBB"/>
    <w:rsid w:val="000D20BC"/>
    <w:rsid w:val="000D218E"/>
    <w:rsid w:val="000D21B9"/>
    <w:rsid w:val="000D21F2"/>
    <w:rsid w:val="000D2285"/>
    <w:rsid w:val="000D2301"/>
    <w:rsid w:val="000D23E1"/>
    <w:rsid w:val="000D254C"/>
    <w:rsid w:val="000D264E"/>
    <w:rsid w:val="000D265B"/>
    <w:rsid w:val="000D2720"/>
    <w:rsid w:val="000D2760"/>
    <w:rsid w:val="000D29B2"/>
    <w:rsid w:val="000D2AE9"/>
    <w:rsid w:val="000D2B18"/>
    <w:rsid w:val="000D2B2D"/>
    <w:rsid w:val="000D2B64"/>
    <w:rsid w:val="000D2B70"/>
    <w:rsid w:val="000D2BFE"/>
    <w:rsid w:val="000D2DCA"/>
    <w:rsid w:val="000D2DFD"/>
    <w:rsid w:val="000D2E22"/>
    <w:rsid w:val="000D2E90"/>
    <w:rsid w:val="000D2FBD"/>
    <w:rsid w:val="000D3174"/>
    <w:rsid w:val="000D3287"/>
    <w:rsid w:val="000D3333"/>
    <w:rsid w:val="000D342C"/>
    <w:rsid w:val="000D3523"/>
    <w:rsid w:val="000D35AB"/>
    <w:rsid w:val="000D35D2"/>
    <w:rsid w:val="000D3605"/>
    <w:rsid w:val="000D360D"/>
    <w:rsid w:val="000D362E"/>
    <w:rsid w:val="000D3664"/>
    <w:rsid w:val="000D367C"/>
    <w:rsid w:val="000D372C"/>
    <w:rsid w:val="000D37AA"/>
    <w:rsid w:val="000D37D2"/>
    <w:rsid w:val="000D37FA"/>
    <w:rsid w:val="000D38BF"/>
    <w:rsid w:val="000D38DE"/>
    <w:rsid w:val="000D38DF"/>
    <w:rsid w:val="000D3906"/>
    <w:rsid w:val="000D3B68"/>
    <w:rsid w:val="000D3D77"/>
    <w:rsid w:val="000D3EB2"/>
    <w:rsid w:val="000D3F4B"/>
    <w:rsid w:val="000D3F74"/>
    <w:rsid w:val="000D3FB8"/>
    <w:rsid w:val="000D3FEE"/>
    <w:rsid w:val="000D40E9"/>
    <w:rsid w:val="000D431A"/>
    <w:rsid w:val="000D434B"/>
    <w:rsid w:val="000D4532"/>
    <w:rsid w:val="000D45FB"/>
    <w:rsid w:val="000D4658"/>
    <w:rsid w:val="000D479A"/>
    <w:rsid w:val="000D47D5"/>
    <w:rsid w:val="000D48E0"/>
    <w:rsid w:val="000D48F0"/>
    <w:rsid w:val="000D493D"/>
    <w:rsid w:val="000D4AA0"/>
    <w:rsid w:val="000D4ACA"/>
    <w:rsid w:val="000D4AEE"/>
    <w:rsid w:val="000D4AFA"/>
    <w:rsid w:val="000D4B59"/>
    <w:rsid w:val="000D4BB7"/>
    <w:rsid w:val="000D4C8F"/>
    <w:rsid w:val="000D4D8E"/>
    <w:rsid w:val="000D4DC5"/>
    <w:rsid w:val="000D4FAB"/>
    <w:rsid w:val="000D5042"/>
    <w:rsid w:val="000D5094"/>
    <w:rsid w:val="000D50C4"/>
    <w:rsid w:val="000D50EE"/>
    <w:rsid w:val="000D52B2"/>
    <w:rsid w:val="000D52CF"/>
    <w:rsid w:val="000D53FB"/>
    <w:rsid w:val="000D55BD"/>
    <w:rsid w:val="000D55BE"/>
    <w:rsid w:val="000D56C1"/>
    <w:rsid w:val="000D57A5"/>
    <w:rsid w:val="000D583B"/>
    <w:rsid w:val="000D58E7"/>
    <w:rsid w:val="000D5982"/>
    <w:rsid w:val="000D5992"/>
    <w:rsid w:val="000D59AC"/>
    <w:rsid w:val="000D59EF"/>
    <w:rsid w:val="000D5A1B"/>
    <w:rsid w:val="000D5A75"/>
    <w:rsid w:val="000D5C36"/>
    <w:rsid w:val="000D5C37"/>
    <w:rsid w:val="000D5C65"/>
    <w:rsid w:val="000D5CE9"/>
    <w:rsid w:val="000D5CFC"/>
    <w:rsid w:val="000D5D9E"/>
    <w:rsid w:val="000D5DD4"/>
    <w:rsid w:val="000D5ED6"/>
    <w:rsid w:val="000D5F56"/>
    <w:rsid w:val="000D5F71"/>
    <w:rsid w:val="000D6074"/>
    <w:rsid w:val="000D6132"/>
    <w:rsid w:val="000D6198"/>
    <w:rsid w:val="000D62E4"/>
    <w:rsid w:val="000D6334"/>
    <w:rsid w:val="000D6345"/>
    <w:rsid w:val="000D63AF"/>
    <w:rsid w:val="000D63D8"/>
    <w:rsid w:val="000D6442"/>
    <w:rsid w:val="000D6540"/>
    <w:rsid w:val="000D65E2"/>
    <w:rsid w:val="000D672E"/>
    <w:rsid w:val="000D67D8"/>
    <w:rsid w:val="000D689E"/>
    <w:rsid w:val="000D6907"/>
    <w:rsid w:val="000D694E"/>
    <w:rsid w:val="000D697D"/>
    <w:rsid w:val="000D69A0"/>
    <w:rsid w:val="000D6C4B"/>
    <w:rsid w:val="000D6D33"/>
    <w:rsid w:val="000D6E1A"/>
    <w:rsid w:val="000D6E80"/>
    <w:rsid w:val="000D6F13"/>
    <w:rsid w:val="000D71FB"/>
    <w:rsid w:val="000D7226"/>
    <w:rsid w:val="000D729A"/>
    <w:rsid w:val="000D73D2"/>
    <w:rsid w:val="000D7465"/>
    <w:rsid w:val="000D7505"/>
    <w:rsid w:val="000D76EE"/>
    <w:rsid w:val="000D77A2"/>
    <w:rsid w:val="000D77C6"/>
    <w:rsid w:val="000D7842"/>
    <w:rsid w:val="000D78AF"/>
    <w:rsid w:val="000D790E"/>
    <w:rsid w:val="000D7951"/>
    <w:rsid w:val="000D7A98"/>
    <w:rsid w:val="000D7B3B"/>
    <w:rsid w:val="000D7B3F"/>
    <w:rsid w:val="000D7B85"/>
    <w:rsid w:val="000D7BCF"/>
    <w:rsid w:val="000D7C9E"/>
    <w:rsid w:val="000D7D5E"/>
    <w:rsid w:val="000D7DD8"/>
    <w:rsid w:val="000D7E0F"/>
    <w:rsid w:val="000D7E4A"/>
    <w:rsid w:val="000D7E90"/>
    <w:rsid w:val="000D7F56"/>
    <w:rsid w:val="000E0067"/>
    <w:rsid w:val="000E008F"/>
    <w:rsid w:val="000E0105"/>
    <w:rsid w:val="000E018F"/>
    <w:rsid w:val="000E01BE"/>
    <w:rsid w:val="000E0230"/>
    <w:rsid w:val="000E02C7"/>
    <w:rsid w:val="000E035F"/>
    <w:rsid w:val="000E03CE"/>
    <w:rsid w:val="000E0479"/>
    <w:rsid w:val="000E059C"/>
    <w:rsid w:val="000E0600"/>
    <w:rsid w:val="000E06EF"/>
    <w:rsid w:val="000E0908"/>
    <w:rsid w:val="000E099C"/>
    <w:rsid w:val="000E09F4"/>
    <w:rsid w:val="000E0A1A"/>
    <w:rsid w:val="000E0B89"/>
    <w:rsid w:val="000E0B8B"/>
    <w:rsid w:val="000E0BD8"/>
    <w:rsid w:val="000E0CE8"/>
    <w:rsid w:val="000E0D08"/>
    <w:rsid w:val="000E0DA0"/>
    <w:rsid w:val="000E0E6D"/>
    <w:rsid w:val="000E0E9C"/>
    <w:rsid w:val="000E0F3B"/>
    <w:rsid w:val="000E0FB2"/>
    <w:rsid w:val="000E0FF1"/>
    <w:rsid w:val="000E104A"/>
    <w:rsid w:val="000E10D0"/>
    <w:rsid w:val="000E1102"/>
    <w:rsid w:val="000E119D"/>
    <w:rsid w:val="000E11E7"/>
    <w:rsid w:val="000E12EF"/>
    <w:rsid w:val="000E1420"/>
    <w:rsid w:val="000E145C"/>
    <w:rsid w:val="000E1589"/>
    <w:rsid w:val="000E15C3"/>
    <w:rsid w:val="000E16DA"/>
    <w:rsid w:val="000E172A"/>
    <w:rsid w:val="000E17B0"/>
    <w:rsid w:val="000E1873"/>
    <w:rsid w:val="000E1A66"/>
    <w:rsid w:val="000E1AA7"/>
    <w:rsid w:val="000E1AB6"/>
    <w:rsid w:val="000E1ACA"/>
    <w:rsid w:val="000E1AE5"/>
    <w:rsid w:val="000E1CA9"/>
    <w:rsid w:val="000E1CCC"/>
    <w:rsid w:val="000E1D2C"/>
    <w:rsid w:val="000E1DBA"/>
    <w:rsid w:val="000E1DF7"/>
    <w:rsid w:val="000E1F88"/>
    <w:rsid w:val="000E2014"/>
    <w:rsid w:val="000E2058"/>
    <w:rsid w:val="000E2064"/>
    <w:rsid w:val="000E2087"/>
    <w:rsid w:val="000E2091"/>
    <w:rsid w:val="000E20E6"/>
    <w:rsid w:val="000E215E"/>
    <w:rsid w:val="000E21AB"/>
    <w:rsid w:val="000E2228"/>
    <w:rsid w:val="000E2433"/>
    <w:rsid w:val="000E2457"/>
    <w:rsid w:val="000E24BF"/>
    <w:rsid w:val="000E24C0"/>
    <w:rsid w:val="000E257B"/>
    <w:rsid w:val="000E25ED"/>
    <w:rsid w:val="000E269F"/>
    <w:rsid w:val="000E26A5"/>
    <w:rsid w:val="000E26E3"/>
    <w:rsid w:val="000E27A4"/>
    <w:rsid w:val="000E28AC"/>
    <w:rsid w:val="000E28FF"/>
    <w:rsid w:val="000E2927"/>
    <w:rsid w:val="000E2B19"/>
    <w:rsid w:val="000E2C23"/>
    <w:rsid w:val="000E2CD1"/>
    <w:rsid w:val="000E2CE0"/>
    <w:rsid w:val="000E2D2F"/>
    <w:rsid w:val="000E2D4D"/>
    <w:rsid w:val="000E2D69"/>
    <w:rsid w:val="000E2ED1"/>
    <w:rsid w:val="000E2F77"/>
    <w:rsid w:val="000E2FAE"/>
    <w:rsid w:val="000E2FF1"/>
    <w:rsid w:val="000E3034"/>
    <w:rsid w:val="000E30E0"/>
    <w:rsid w:val="000E33E7"/>
    <w:rsid w:val="000E3478"/>
    <w:rsid w:val="000E34AF"/>
    <w:rsid w:val="000E3503"/>
    <w:rsid w:val="000E3681"/>
    <w:rsid w:val="000E3771"/>
    <w:rsid w:val="000E382B"/>
    <w:rsid w:val="000E3A45"/>
    <w:rsid w:val="000E3A86"/>
    <w:rsid w:val="000E3B41"/>
    <w:rsid w:val="000E3B67"/>
    <w:rsid w:val="000E3D88"/>
    <w:rsid w:val="000E3DF3"/>
    <w:rsid w:val="000E3EC6"/>
    <w:rsid w:val="000E3F86"/>
    <w:rsid w:val="000E4035"/>
    <w:rsid w:val="000E409C"/>
    <w:rsid w:val="000E41A7"/>
    <w:rsid w:val="000E41DC"/>
    <w:rsid w:val="000E4233"/>
    <w:rsid w:val="000E435E"/>
    <w:rsid w:val="000E437F"/>
    <w:rsid w:val="000E43D8"/>
    <w:rsid w:val="000E445C"/>
    <w:rsid w:val="000E4476"/>
    <w:rsid w:val="000E4480"/>
    <w:rsid w:val="000E44A4"/>
    <w:rsid w:val="000E457B"/>
    <w:rsid w:val="000E457E"/>
    <w:rsid w:val="000E4593"/>
    <w:rsid w:val="000E45EB"/>
    <w:rsid w:val="000E4766"/>
    <w:rsid w:val="000E4793"/>
    <w:rsid w:val="000E479B"/>
    <w:rsid w:val="000E47F0"/>
    <w:rsid w:val="000E4876"/>
    <w:rsid w:val="000E48BB"/>
    <w:rsid w:val="000E4929"/>
    <w:rsid w:val="000E4B10"/>
    <w:rsid w:val="000E4B3C"/>
    <w:rsid w:val="000E4C76"/>
    <w:rsid w:val="000E4C9C"/>
    <w:rsid w:val="000E4D3C"/>
    <w:rsid w:val="000E4DC6"/>
    <w:rsid w:val="000E4DC7"/>
    <w:rsid w:val="000E4E89"/>
    <w:rsid w:val="000E4E9A"/>
    <w:rsid w:val="000E4FD4"/>
    <w:rsid w:val="000E505B"/>
    <w:rsid w:val="000E5099"/>
    <w:rsid w:val="000E511F"/>
    <w:rsid w:val="000E51AB"/>
    <w:rsid w:val="000E51EF"/>
    <w:rsid w:val="000E51F0"/>
    <w:rsid w:val="000E5300"/>
    <w:rsid w:val="000E531D"/>
    <w:rsid w:val="000E53C8"/>
    <w:rsid w:val="000E54E3"/>
    <w:rsid w:val="000E5506"/>
    <w:rsid w:val="000E550C"/>
    <w:rsid w:val="000E563C"/>
    <w:rsid w:val="000E5708"/>
    <w:rsid w:val="000E5756"/>
    <w:rsid w:val="000E5854"/>
    <w:rsid w:val="000E58AD"/>
    <w:rsid w:val="000E58C6"/>
    <w:rsid w:val="000E599E"/>
    <w:rsid w:val="000E5ADA"/>
    <w:rsid w:val="000E5B81"/>
    <w:rsid w:val="000E5BAD"/>
    <w:rsid w:val="000E5C71"/>
    <w:rsid w:val="000E5C92"/>
    <w:rsid w:val="000E5CC9"/>
    <w:rsid w:val="000E5EE5"/>
    <w:rsid w:val="000E5FFC"/>
    <w:rsid w:val="000E60AD"/>
    <w:rsid w:val="000E6271"/>
    <w:rsid w:val="000E6428"/>
    <w:rsid w:val="000E64B5"/>
    <w:rsid w:val="000E656B"/>
    <w:rsid w:val="000E65EB"/>
    <w:rsid w:val="000E66B0"/>
    <w:rsid w:val="000E6838"/>
    <w:rsid w:val="000E68A4"/>
    <w:rsid w:val="000E694C"/>
    <w:rsid w:val="000E69C1"/>
    <w:rsid w:val="000E6A6B"/>
    <w:rsid w:val="000E6AD1"/>
    <w:rsid w:val="000E6BD5"/>
    <w:rsid w:val="000E6D20"/>
    <w:rsid w:val="000E6DCD"/>
    <w:rsid w:val="000E6E01"/>
    <w:rsid w:val="000E6E12"/>
    <w:rsid w:val="000E6E45"/>
    <w:rsid w:val="000E6F17"/>
    <w:rsid w:val="000E70A8"/>
    <w:rsid w:val="000E7158"/>
    <w:rsid w:val="000E7301"/>
    <w:rsid w:val="000E7376"/>
    <w:rsid w:val="000E74CA"/>
    <w:rsid w:val="000E751E"/>
    <w:rsid w:val="000E7528"/>
    <w:rsid w:val="000E7537"/>
    <w:rsid w:val="000E7552"/>
    <w:rsid w:val="000E7559"/>
    <w:rsid w:val="000E75A5"/>
    <w:rsid w:val="000E75C7"/>
    <w:rsid w:val="000E7754"/>
    <w:rsid w:val="000E77AE"/>
    <w:rsid w:val="000E7803"/>
    <w:rsid w:val="000E785E"/>
    <w:rsid w:val="000E7884"/>
    <w:rsid w:val="000E7885"/>
    <w:rsid w:val="000E7C1F"/>
    <w:rsid w:val="000E7DCA"/>
    <w:rsid w:val="000E7E75"/>
    <w:rsid w:val="000E7FF4"/>
    <w:rsid w:val="000F0015"/>
    <w:rsid w:val="000F0232"/>
    <w:rsid w:val="000F03BF"/>
    <w:rsid w:val="000F0421"/>
    <w:rsid w:val="000F046B"/>
    <w:rsid w:val="000F04D1"/>
    <w:rsid w:val="000F059D"/>
    <w:rsid w:val="000F05FD"/>
    <w:rsid w:val="000F0703"/>
    <w:rsid w:val="000F0773"/>
    <w:rsid w:val="000F0794"/>
    <w:rsid w:val="000F07DC"/>
    <w:rsid w:val="000F07F9"/>
    <w:rsid w:val="000F094E"/>
    <w:rsid w:val="000F09CE"/>
    <w:rsid w:val="000F09E0"/>
    <w:rsid w:val="000F0A79"/>
    <w:rsid w:val="000F0ABC"/>
    <w:rsid w:val="000F0AE5"/>
    <w:rsid w:val="000F0B17"/>
    <w:rsid w:val="000F0B40"/>
    <w:rsid w:val="000F0B59"/>
    <w:rsid w:val="000F0B7B"/>
    <w:rsid w:val="000F0D55"/>
    <w:rsid w:val="000F0DDD"/>
    <w:rsid w:val="000F0E94"/>
    <w:rsid w:val="000F0F66"/>
    <w:rsid w:val="000F1039"/>
    <w:rsid w:val="000F11D2"/>
    <w:rsid w:val="000F171F"/>
    <w:rsid w:val="000F1761"/>
    <w:rsid w:val="000F178A"/>
    <w:rsid w:val="000F18F8"/>
    <w:rsid w:val="000F1901"/>
    <w:rsid w:val="000F1990"/>
    <w:rsid w:val="000F1A36"/>
    <w:rsid w:val="000F1A88"/>
    <w:rsid w:val="000F1B2F"/>
    <w:rsid w:val="000F1BE8"/>
    <w:rsid w:val="000F1C67"/>
    <w:rsid w:val="000F1CC5"/>
    <w:rsid w:val="000F1D74"/>
    <w:rsid w:val="000F1DBB"/>
    <w:rsid w:val="000F1F8E"/>
    <w:rsid w:val="000F205E"/>
    <w:rsid w:val="000F2074"/>
    <w:rsid w:val="000F20BC"/>
    <w:rsid w:val="000F20F6"/>
    <w:rsid w:val="000F2207"/>
    <w:rsid w:val="000F2239"/>
    <w:rsid w:val="000F2395"/>
    <w:rsid w:val="000F2660"/>
    <w:rsid w:val="000F26D7"/>
    <w:rsid w:val="000F279A"/>
    <w:rsid w:val="000F27BE"/>
    <w:rsid w:val="000F293F"/>
    <w:rsid w:val="000F294F"/>
    <w:rsid w:val="000F2987"/>
    <w:rsid w:val="000F29B5"/>
    <w:rsid w:val="000F2ACC"/>
    <w:rsid w:val="000F2B31"/>
    <w:rsid w:val="000F2BAE"/>
    <w:rsid w:val="000F2C3E"/>
    <w:rsid w:val="000F2CB7"/>
    <w:rsid w:val="000F2EDC"/>
    <w:rsid w:val="000F2F25"/>
    <w:rsid w:val="000F3062"/>
    <w:rsid w:val="000F3145"/>
    <w:rsid w:val="000F3220"/>
    <w:rsid w:val="000F3340"/>
    <w:rsid w:val="000F33A1"/>
    <w:rsid w:val="000F3535"/>
    <w:rsid w:val="000F355F"/>
    <w:rsid w:val="000F384D"/>
    <w:rsid w:val="000F385C"/>
    <w:rsid w:val="000F3921"/>
    <w:rsid w:val="000F394D"/>
    <w:rsid w:val="000F3AE2"/>
    <w:rsid w:val="000F3B56"/>
    <w:rsid w:val="000F3BB4"/>
    <w:rsid w:val="000F3C38"/>
    <w:rsid w:val="000F3CB7"/>
    <w:rsid w:val="000F3D6E"/>
    <w:rsid w:val="000F3EC3"/>
    <w:rsid w:val="000F3EED"/>
    <w:rsid w:val="000F3F2A"/>
    <w:rsid w:val="000F3F75"/>
    <w:rsid w:val="000F3F8E"/>
    <w:rsid w:val="000F4029"/>
    <w:rsid w:val="000F411A"/>
    <w:rsid w:val="000F4126"/>
    <w:rsid w:val="000F4224"/>
    <w:rsid w:val="000F4502"/>
    <w:rsid w:val="000F4529"/>
    <w:rsid w:val="000F470E"/>
    <w:rsid w:val="000F4845"/>
    <w:rsid w:val="000F4935"/>
    <w:rsid w:val="000F495D"/>
    <w:rsid w:val="000F4B51"/>
    <w:rsid w:val="000F4BD5"/>
    <w:rsid w:val="000F4BE4"/>
    <w:rsid w:val="000F4C11"/>
    <w:rsid w:val="000F4C88"/>
    <w:rsid w:val="000F4D87"/>
    <w:rsid w:val="000F4DE6"/>
    <w:rsid w:val="000F4DF7"/>
    <w:rsid w:val="000F4E53"/>
    <w:rsid w:val="000F4E73"/>
    <w:rsid w:val="000F4F1B"/>
    <w:rsid w:val="000F4FA0"/>
    <w:rsid w:val="000F4FA7"/>
    <w:rsid w:val="000F4FC7"/>
    <w:rsid w:val="000F4FDF"/>
    <w:rsid w:val="000F5025"/>
    <w:rsid w:val="000F52A0"/>
    <w:rsid w:val="000F533B"/>
    <w:rsid w:val="000F533F"/>
    <w:rsid w:val="000F5343"/>
    <w:rsid w:val="000F5346"/>
    <w:rsid w:val="000F5379"/>
    <w:rsid w:val="000F5384"/>
    <w:rsid w:val="000F5468"/>
    <w:rsid w:val="000F54F4"/>
    <w:rsid w:val="000F54FB"/>
    <w:rsid w:val="000F54FC"/>
    <w:rsid w:val="000F5555"/>
    <w:rsid w:val="000F56D6"/>
    <w:rsid w:val="000F5919"/>
    <w:rsid w:val="000F594C"/>
    <w:rsid w:val="000F5994"/>
    <w:rsid w:val="000F59BB"/>
    <w:rsid w:val="000F5A07"/>
    <w:rsid w:val="000F5A36"/>
    <w:rsid w:val="000F5A7F"/>
    <w:rsid w:val="000F5AE9"/>
    <w:rsid w:val="000F5B0B"/>
    <w:rsid w:val="000F5B37"/>
    <w:rsid w:val="000F5B79"/>
    <w:rsid w:val="000F5BFB"/>
    <w:rsid w:val="000F5C43"/>
    <w:rsid w:val="000F5D7A"/>
    <w:rsid w:val="000F5D81"/>
    <w:rsid w:val="000F5DB7"/>
    <w:rsid w:val="000F5DE1"/>
    <w:rsid w:val="000F5E58"/>
    <w:rsid w:val="000F5E93"/>
    <w:rsid w:val="000F5E9D"/>
    <w:rsid w:val="000F5EA3"/>
    <w:rsid w:val="000F5EE4"/>
    <w:rsid w:val="000F609E"/>
    <w:rsid w:val="000F60B7"/>
    <w:rsid w:val="000F61DF"/>
    <w:rsid w:val="000F6225"/>
    <w:rsid w:val="000F625B"/>
    <w:rsid w:val="000F62D4"/>
    <w:rsid w:val="000F62DF"/>
    <w:rsid w:val="000F63D7"/>
    <w:rsid w:val="000F647C"/>
    <w:rsid w:val="000F659F"/>
    <w:rsid w:val="000F65AC"/>
    <w:rsid w:val="000F65C6"/>
    <w:rsid w:val="000F65EF"/>
    <w:rsid w:val="000F65F4"/>
    <w:rsid w:val="000F6638"/>
    <w:rsid w:val="000F6669"/>
    <w:rsid w:val="000F6674"/>
    <w:rsid w:val="000F667D"/>
    <w:rsid w:val="000F6696"/>
    <w:rsid w:val="000F67A9"/>
    <w:rsid w:val="000F6820"/>
    <w:rsid w:val="000F685F"/>
    <w:rsid w:val="000F688E"/>
    <w:rsid w:val="000F68CF"/>
    <w:rsid w:val="000F6906"/>
    <w:rsid w:val="000F6911"/>
    <w:rsid w:val="000F694E"/>
    <w:rsid w:val="000F695E"/>
    <w:rsid w:val="000F6A91"/>
    <w:rsid w:val="000F6A92"/>
    <w:rsid w:val="000F6A9D"/>
    <w:rsid w:val="000F6C08"/>
    <w:rsid w:val="000F6C4A"/>
    <w:rsid w:val="000F6C72"/>
    <w:rsid w:val="000F6C85"/>
    <w:rsid w:val="000F6C93"/>
    <w:rsid w:val="000F6ECE"/>
    <w:rsid w:val="000F6ED8"/>
    <w:rsid w:val="000F6F47"/>
    <w:rsid w:val="000F6F68"/>
    <w:rsid w:val="000F700B"/>
    <w:rsid w:val="000F706A"/>
    <w:rsid w:val="000F70C0"/>
    <w:rsid w:val="000F7228"/>
    <w:rsid w:val="000F7315"/>
    <w:rsid w:val="000F7446"/>
    <w:rsid w:val="000F7484"/>
    <w:rsid w:val="000F7593"/>
    <w:rsid w:val="000F75A1"/>
    <w:rsid w:val="000F763C"/>
    <w:rsid w:val="000F7818"/>
    <w:rsid w:val="000F788F"/>
    <w:rsid w:val="000F7898"/>
    <w:rsid w:val="000F78E5"/>
    <w:rsid w:val="000F79E7"/>
    <w:rsid w:val="000F7A55"/>
    <w:rsid w:val="000F7BBE"/>
    <w:rsid w:val="000F7C3D"/>
    <w:rsid w:val="000F7CF9"/>
    <w:rsid w:val="000F7D92"/>
    <w:rsid w:val="000F7DEF"/>
    <w:rsid w:val="000F7E6A"/>
    <w:rsid w:val="000F7EED"/>
    <w:rsid w:val="000F7F3A"/>
    <w:rsid w:val="000F7F60"/>
    <w:rsid w:val="000F7F6E"/>
    <w:rsid w:val="000F7F85"/>
    <w:rsid w:val="00100046"/>
    <w:rsid w:val="0010008A"/>
    <w:rsid w:val="001001A5"/>
    <w:rsid w:val="001002D6"/>
    <w:rsid w:val="001003CB"/>
    <w:rsid w:val="001003F1"/>
    <w:rsid w:val="00100477"/>
    <w:rsid w:val="001004DB"/>
    <w:rsid w:val="00100524"/>
    <w:rsid w:val="00100537"/>
    <w:rsid w:val="0010067C"/>
    <w:rsid w:val="001006B7"/>
    <w:rsid w:val="00100762"/>
    <w:rsid w:val="001007F1"/>
    <w:rsid w:val="0010081B"/>
    <w:rsid w:val="00100823"/>
    <w:rsid w:val="00100848"/>
    <w:rsid w:val="001009F0"/>
    <w:rsid w:val="00100A7B"/>
    <w:rsid w:val="00100AC6"/>
    <w:rsid w:val="00100CC7"/>
    <w:rsid w:val="00100CE3"/>
    <w:rsid w:val="00100D4D"/>
    <w:rsid w:val="00100F5B"/>
    <w:rsid w:val="00100FFB"/>
    <w:rsid w:val="00101047"/>
    <w:rsid w:val="00101095"/>
    <w:rsid w:val="001010B8"/>
    <w:rsid w:val="00101147"/>
    <w:rsid w:val="001011CC"/>
    <w:rsid w:val="001011DC"/>
    <w:rsid w:val="00101244"/>
    <w:rsid w:val="00101298"/>
    <w:rsid w:val="001012B0"/>
    <w:rsid w:val="001013AB"/>
    <w:rsid w:val="001013B7"/>
    <w:rsid w:val="0010142F"/>
    <w:rsid w:val="00101551"/>
    <w:rsid w:val="001015A5"/>
    <w:rsid w:val="001015BB"/>
    <w:rsid w:val="00101669"/>
    <w:rsid w:val="00101719"/>
    <w:rsid w:val="0010176C"/>
    <w:rsid w:val="001018E5"/>
    <w:rsid w:val="00101A08"/>
    <w:rsid w:val="00101A5A"/>
    <w:rsid w:val="00101A87"/>
    <w:rsid w:val="00101A8B"/>
    <w:rsid w:val="00101B22"/>
    <w:rsid w:val="00101BC3"/>
    <w:rsid w:val="00101BFD"/>
    <w:rsid w:val="00101BFF"/>
    <w:rsid w:val="00101D35"/>
    <w:rsid w:val="00101D6A"/>
    <w:rsid w:val="00101E63"/>
    <w:rsid w:val="00101EB3"/>
    <w:rsid w:val="00101F02"/>
    <w:rsid w:val="0010200D"/>
    <w:rsid w:val="0010209E"/>
    <w:rsid w:val="001020AE"/>
    <w:rsid w:val="001021A5"/>
    <w:rsid w:val="00102255"/>
    <w:rsid w:val="001022B7"/>
    <w:rsid w:val="0010232A"/>
    <w:rsid w:val="0010236E"/>
    <w:rsid w:val="00102389"/>
    <w:rsid w:val="001023A8"/>
    <w:rsid w:val="001024F5"/>
    <w:rsid w:val="001025AD"/>
    <w:rsid w:val="001025CA"/>
    <w:rsid w:val="00102759"/>
    <w:rsid w:val="00102848"/>
    <w:rsid w:val="00102856"/>
    <w:rsid w:val="00102AFF"/>
    <w:rsid w:val="00102B2B"/>
    <w:rsid w:val="00102CAB"/>
    <w:rsid w:val="00102CC2"/>
    <w:rsid w:val="00102D60"/>
    <w:rsid w:val="00102E17"/>
    <w:rsid w:val="00102E6E"/>
    <w:rsid w:val="00102EC6"/>
    <w:rsid w:val="00102F62"/>
    <w:rsid w:val="00103001"/>
    <w:rsid w:val="001030AF"/>
    <w:rsid w:val="001030F8"/>
    <w:rsid w:val="00103130"/>
    <w:rsid w:val="0010325C"/>
    <w:rsid w:val="001032DD"/>
    <w:rsid w:val="0010335B"/>
    <w:rsid w:val="00103451"/>
    <w:rsid w:val="00103486"/>
    <w:rsid w:val="001035AA"/>
    <w:rsid w:val="00103668"/>
    <w:rsid w:val="001036A4"/>
    <w:rsid w:val="0010373E"/>
    <w:rsid w:val="00103866"/>
    <w:rsid w:val="00103883"/>
    <w:rsid w:val="001038AB"/>
    <w:rsid w:val="001039AF"/>
    <w:rsid w:val="00103A2B"/>
    <w:rsid w:val="00103A45"/>
    <w:rsid w:val="00103A62"/>
    <w:rsid w:val="00103AAB"/>
    <w:rsid w:val="00103C46"/>
    <w:rsid w:val="00103D26"/>
    <w:rsid w:val="00103DB6"/>
    <w:rsid w:val="00103E09"/>
    <w:rsid w:val="0010410C"/>
    <w:rsid w:val="00104149"/>
    <w:rsid w:val="001041D7"/>
    <w:rsid w:val="00104217"/>
    <w:rsid w:val="001042DE"/>
    <w:rsid w:val="00104434"/>
    <w:rsid w:val="0010456D"/>
    <w:rsid w:val="00104705"/>
    <w:rsid w:val="00104777"/>
    <w:rsid w:val="00104873"/>
    <w:rsid w:val="00104A4F"/>
    <w:rsid w:val="00104A50"/>
    <w:rsid w:val="00104A6F"/>
    <w:rsid w:val="00104B1F"/>
    <w:rsid w:val="00104B2D"/>
    <w:rsid w:val="00104D7A"/>
    <w:rsid w:val="00104E7E"/>
    <w:rsid w:val="00104F82"/>
    <w:rsid w:val="00104F9F"/>
    <w:rsid w:val="00104FE3"/>
    <w:rsid w:val="0010520F"/>
    <w:rsid w:val="0010521A"/>
    <w:rsid w:val="0010525F"/>
    <w:rsid w:val="001052C9"/>
    <w:rsid w:val="001052FF"/>
    <w:rsid w:val="00105373"/>
    <w:rsid w:val="001053BB"/>
    <w:rsid w:val="0010557B"/>
    <w:rsid w:val="0010569B"/>
    <w:rsid w:val="001056CD"/>
    <w:rsid w:val="0010581E"/>
    <w:rsid w:val="001059C5"/>
    <w:rsid w:val="00105AD6"/>
    <w:rsid w:val="00105C41"/>
    <w:rsid w:val="00105DBD"/>
    <w:rsid w:val="00105DC6"/>
    <w:rsid w:val="00105E03"/>
    <w:rsid w:val="00105E84"/>
    <w:rsid w:val="00105EE4"/>
    <w:rsid w:val="00105FCD"/>
    <w:rsid w:val="0010609F"/>
    <w:rsid w:val="00106130"/>
    <w:rsid w:val="001061E6"/>
    <w:rsid w:val="00106270"/>
    <w:rsid w:val="00106289"/>
    <w:rsid w:val="001062A6"/>
    <w:rsid w:val="001062D0"/>
    <w:rsid w:val="00106316"/>
    <w:rsid w:val="001063AB"/>
    <w:rsid w:val="001063B0"/>
    <w:rsid w:val="001064CC"/>
    <w:rsid w:val="0010653C"/>
    <w:rsid w:val="001065ED"/>
    <w:rsid w:val="0010670D"/>
    <w:rsid w:val="001067E9"/>
    <w:rsid w:val="00106A42"/>
    <w:rsid w:val="00106A93"/>
    <w:rsid w:val="00106D4E"/>
    <w:rsid w:val="00106D62"/>
    <w:rsid w:val="00106FEB"/>
    <w:rsid w:val="001070D7"/>
    <w:rsid w:val="0010727D"/>
    <w:rsid w:val="0010741C"/>
    <w:rsid w:val="00107436"/>
    <w:rsid w:val="00107471"/>
    <w:rsid w:val="001074CE"/>
    <w:rsid w:val="001075EE"/>
    <w:rsid w:val="00107605"/>
    <w:rsid w:val="001076D7"/>
    <w:rsid w:val="001077BE"/>
    <w:rsid w:val="00107808"/>
    <w:rsid w:val="0010782F"/>
    <w:rsid w:val="00107844"/>
    <w:rsid w:val="00107876"/>
    <w:rsid w:val="0010791A"/>
    <w:rsid w:val="0010794A"/>
    <w:rsid w:val="001079C5"/>
    <w:rsid w:val="00107B51"/>
    <w:rsid w:val="00107BAF"/>
    <w:rsid w:val="00107C8F"/>
    <w:rsid w:val="00107D2F"/>
    <w:rsid w:val="00107D88"/>
    <w:rsid w:val="00107E27"/>
    <w:rsid w:val="00107F6C"/>
    <w:rsid w:val="0011001E"/>
    <w:rsid w:val="0011006C"/>
    <w:rsid w:val="001100B3"/>
    <w:rsid w:val="001100BE"/>
    <w:rsid w:val="00110254"/>
    <w:rsid w:val="00110290"/>
    <w:rsid w:val="001102BD"/>
    <w:rsid w:val="0011032B"/>
    <w:rsid w:val="0011037E"/>
    <w:rsid w:val="00110488"/>
    <w:rsid w:val="0011048B"/>
    <w:rsid w:val="001106D3"/>
    <w:rsid w:val="00110949"/>
    <w:rsid w:val="00110AC4"/>
    <w:rsid w:val="00110B66"/>
    <w:rsid w:val="00110C1D"/>
    <w:rsid w:val="00110C5A"/>
    <w:rsid w:val="00110D1F"/>
    <w:rsid w:val="00110D92"/>
    <w:rsid w:val="00110E7E"/>
    <w:rsid w:val="00110ECB"/>
    <w:rsid w:val="00111089"/>
    <w:rsid w:val="001116B3"/>
    <w:rsid w:val="0011172E"/>
    <w:rsid w:val="00111811"/>
    <w:rsid w:val="00111826"/>
    <w:rsid w:val="00111874"/>
    <w:rsid w:val="00111A32"/>
    <w:rsid w:val="00111A80"/>
    <w:rsid w:val="00111B66"/>
    <w:rsid w:val="00111B69"/>
    <w:rsid w:val="00111B96"/>
    <w:rsid w:val="00111BE6"/>
    <w:rsid w:val="00111C20"/>
    <w:rsid w:val="00111CF9"/>
    <w:rsid w:val="00111E3C"/>
    <w:rsid w:val="00111E5F"/>
    <w:rsid w:val="00111F79"/>
    <w:rsid w:val="00111F93"/>
    <w:rsid w:val="00111FC0"/>
    <w:rsid w:val="0011209E"/>
    <w:rsid w:val="001120B7"/>
    <w:rsid w:val="001120E7"/>
    <w:rsid w:val="00112112"/>
    <w:rsid w:val="0011211E"/>
    <w:rsid w:val="00112156"/>
    <w:rsid w:val="00112256"/>
    <w:rsid w:val="0011231B"/>
    <w:rsid w:val="0011239F"/>
    <w:rsid w:val="001123FC"/>
    <w:rsid w:val="0011241A"/>
    <w:rsid w:val="00112465"/>
    <w:rsid w:val="001124B7"/>
    <w:rsid w:val="001124F7"/>
    <w:rsid w:val="001125A7"/>
    <w:rsid w:val="00112605"/>
    <w:rsid w:val="0011269B"/>
    <w:rsid w:val="001126E5"/>
    <w:rsid w:val="001127B5"/>
    <w:rsid w:val="00112847"/>
    <w:rsid w:val="001128B5"/>
    <w:rsid w:val="001128C1"/>
    <w:rsid w:val="001128E1"/>
    <w:rsid w:val="00112900"/>
    <w:rsid w:val="0011292A"/>
    <w:rsid w:val="00112933"/>
    <w:rsid w:val="00112BF4"/>
    <w:rsid w:val="00112D94"/>
    <w:rsid w:val="00112E2D"/>
    <w:rsid w:val="00112E50"/>
    <w:rsid w:val="00112FD3"/>
    <w:rsid w:val="00113126"/>
    <w:rsid w:val="0011312B"/>
    <w:rsid w:val="00113388"/>
    <w:rsid w:val="001134C4"/>
    <w:rsid w:val="0011360A"/>
    <w:rsid w:val="0011384D"/>
    <w:rsid w:val="00113874"/>
    <w:rsid w:val="00113879"/>
    <w:rsid w:val="001138E2"/>
    <w:rsid w:val="001139BC"/>
    <w:rsid w:val="00113A45"/>
    <w:rsid w:val="00113ACA"/>
    <w:rsid w:val="00113AFC"/>
    <w:rsid w:val="00113BF8"/>
    <w:rsid w:val="00113C2F"/>
    <w:rsid w:val="00113C32"/>
    <w:rsid w:val="00113C54"/>
    <w:rsid w:val="00113F02"/>
    <w:rsid w:val="00114059"/>
    <w:rsid w:val="00114122"/>
    <w:rsid w:val="001141B4"/>
    <w:rsid w:val="00114209"/>
    <w:rsid w:val="0011426C"/>
    <w:rsid w:val="0011440F"/>
    <w:rsid w:val="00114458"/>
    <w:rsid w:val="00114546"/>
    <w:rsid w:val="0011458C"/>
    <w:rsid w:val="001145B4"/>
    <w:rsid w:val="0011468B"/>
    <w:rsid w:val="0011468D"/>
    <w:rsid w:val="001146AA"/>
    <w:rsid w:val="001146F1"/>
    <w:rsid w:val="001147F6"/>
    <w:rsid w:val="0011480A"/>
    <w:rsid w:val="0011480F"/>
    <w:rsid w:val="0011493D"/>
    <w:rsid w:val="00114985"/>
    <w:rsid w:val="00114A0B"/>
    <w:rsid w:val="00114B68"/>
    <w:rsid w:val="00114BA0"/>
    <w:rsid w:val="00114CB5"/>
    <w:rsid w:val="00114CDE"/>
    <w:rsid w:val="00114CFC"/>
    <w:rsid w:val="00114D37"/>
    <w:rsid w:val="00114E2C"/>
    <w:rsid w:val="00114E96"/>
    <w:rsid w:val="00114F22"/>
    <w:rsid w:val="00115076"/>
    <w:rsid w:val="001150E8"/>
    <w:rsid w:val="0011514D"/>
    <w:rsid w:val="00115170"/>
    <w:rsid w:val="001151D9"/>
    <w:rsid w:val="00115213"/>
    <w:rsid w:val="00115238"/>
    <w:rsid w:val="00115274"/>
    <w:rsid w:val="00115280"/>
    <w:rsid w:val="00115301"/>
    <w:rsid w:val="0011531E"/>
    <w:rsid w:val="001153D0"/>
    <w:rsid w:val="00115584"/>
    <w:rsid w:val="00115599"/>
    <w:rsid w:val="001155BC"/>
    <w:rsid w:val="001155FB"/>
    <w:rsid w:val="0011560C"/>
    <w:rsid w:val="0011563C"/>
    <w:rsid w:val="001156C1"/>
    <w:rsid w:val="00115749"/>
    <w:rsid w:val="001157B8"/>
    <w:rsid w:val="0011587B"/>
    <w:rsid w:val="00115927"/>
    <w:rsid w:val="00115987"/>
    <w:rsid w:val="00115A47"/>
    <w:rsid w:val="00115A8C"/>
    <w:rsid w:val="00115B08"/>
    <w:rsid w:val="00115BA2"/>
    <w:rsid w:val="00115BF4"/>
    <w:rsid w:val="00115C11"/>
    <w:rsid w:val="00115C67"/>
    <w:rsid w:val="00115DA1"/>
    <w:rsid w:val="00115DA5"/>
    <w:rsid w:val="00115E39"/>
    <w:rsid w:val="00115E9B"/>
    <w:rsid w:val="00115F52"/>
    <w:rsid w:val="00115FC9"/>
    <w:rsid w:val="00115FED"/>
    <w:rsid w:val="0011623A"/>
    <w:rsid w:val="001162EE"/>
    <w:rsid w:val="00116321"/>
    <w:rsid w:val="00116391"/>
    <w:rsid w:val="001164B0"/>
    <w:rsid w:val="0011657C"/>
    <w:rsid w:val="00116587"/>
    <w:rsid w:val="00116699"/>
    <w:rsid w:val="001168E5"/>
    <w:rsid w:val="00116999"/>
    <w:rsid w:val="00116A8A"/>
    <w:rsid w:val="00116AD3"/>
    <w:rsid w:val="00116AF5"/>
    <w:rsid w:val="00116B99"/>
    <w:rsid w:val="00116D25"/>
    <w:rsid w:val="00116E3A"/>
    <w:rsid w:val="00116EE6"/>
    <w:rsid w:val="0011717E"/>
    <w:rsid w:val="00117253"/>
    <w:rsid w:val="00117291"/>
    <w:rsid w:val="00117342"/>
    <w:rsid w:val="001174DB"/>
    <w:rsid w:val="001175C1"/>
    <w:rsid w:val="0011762B"/>
    <w:rsid w:val="0011767B"/>
    <w:rsid w:val="00117761"/>
    <w:rsid w:val="00117862"/>
    <w:rsid w:val="00117970"/>
    <w:rsid w:val="00117988"/>
    <w:rsid w:val="00117B06"/>
    <w:rsid w:val="00117B10"/>
    <w:rsid w:val="00117B1A"/>
    <w:rsid w:val="00117BAE"/>
    <w:rsid w:val="00117BC7"/>
    <w:rsid w:val="00117BF5"/>
    <w:rsid w:val="00117C58"/>
    <w:rsid w:val="00117C8A"/>
    <w:rsid w:val="00117D9E"/>
    <w:rsid w:val="00117E64"/>
    <w:rsid w:val="00117F22"/>
    <w:rsid w:val="00117F92"/>
    <w:rsid w:val="00120050"/>
    <w:rsid w:val="0012014F"/>
    <w:rsid w:val="001201EC"/>
    <w:rsid w:val="00120260"/>
    <w:rsid w:val="00120273"/>
    <w:rsid w:val="001202B6"/>
    <w:rsid w:val="001202CC"/>
    <w:rsid w:val="001202D9"/>
    <w:rsid w:val="0012039F"/>
    <w:rsid w:val="001203C9"/>
    <w:rsid w:val="0012041F"/>
    <w:rsid w:val="0012043D"/>
    <w:rsid w:val="0012044A"/>
    <w:rsid w:val="001204C6"/>
    <w:rsid w:val="00120516"/>
    <w:rsid w:val="00120523"/>
    <w:rsid w:val="001205DF"/>
    <w:rsid w:val="001205E7"/>
    <w:rsid w:val="00120649"/>
    <w:rsid w:val="0012085D"/>
    <w:rsid w:val="001209A6"/>
    <w:rsid w:val="00120B2C"/>
    <w:rsid w:val="00120C63"/>
    <w:rsid w:val="00120C6F"/>
    <w:rsid w:val="00120D20"/>
    <w:rsid w:val="00120DE6"/>
    <w:rsid w:val="00120DF6"/>
    <w:rsid w:val="00120F7D"/>
    <w:rsid w:val="001211DD"/>
    <w:rsid w:val="001212A3"/>
    <w:rsid w:val="001212B5"/>
    <w:rsid w:val="0012130F"/>
    <w:rsid w:val="00121342"/>
    <w:rsid w:val="00121429"/>
    <w:rsid w:val="001214B3"/>
    <w:rsid w:val="00121533"/>
    <w:rsid w:val="00121662"/>
    <w:rsid w:val="00121666"/>
    <w:rsid w:val="00121668"/>
    <w:rsid w:val="0012178C"/>
    <w:rsid w:val="0012182E"/>
    <w:rsid w:val="0012188A"/>
    <w:rsid w:val="0012192E"/>
    <w:rsid w:val="0012196F"/>
    <w:rsid w:val="001219B8"/>
    <w:rsid w:val="001219DA"/>
    <w:rsid w:val="001219EC"/>
    <w:rsid w:val="00121A8E"/>
    <w:rsid w:val="00121BD0"/>
    <w:rsid w:val="00121C50"/>
    <w:rsid w:val="00121CB4"/>
    <w:rsid w:val="00121D9F"/>
    <w:rsid w:val="00121DBF"/>
    <w:rsid w:val="00121E48"/>
    <w:rsid w:val="00121E5E"/>
    <w:rsid w:val="00121E77"/>
    <w:rsid w:val="00121ED4"/>
    <w:rsid w:val="00121F49"/>
    <w:rsid w:val="00121F83"/>
    <w:rsid w:val="00121FDD"/>
    <w:rsid w:val="001220A2"/>
    <w:rsid w:val="001220F6"/>
    <w:rsid w:val="0012221E"/>
    <w:rsid w:val="00122265"/>
    <w:rsid w:val="0012226B"/>
    <w:rsid w:val="00122419"/>
    <w:rsid w:val="0012242C"/>
    <w:rsid w:val="001224A5"/>
    <w:rsid w:val="00122577"/>
    <w:rsid w:val="0012257C"/>
    <w:rsid w:val="001225D4"/>
    <w:rsid w:val="001226F6"/>
    <w:rsid w:val="001226F7"/>
    <w:rsid w:val="0012276F"/>
    <w:rsid w:val="00122886"/>
    <w:rsid w:val="001228D5"/>
    <w:rsid w:val="001228D7"/>
    <w:rsid w:val="00122A7B"/>
    <w:rsid w:val="00122A91"/>
    <w:rsid w:val="00122B89"/>
    <w:rsid w:val="00122D48"/>
    <w:rsid w:val="00122E05"/>
    <w:rsid w:val="00122E47"/>
    <w:rsid w:val="00122E50"/>
    <w:rsid w:val="00122E8E"/>
    <w:rsid w:val="00122F66"/>
    <w:rsid w:val="00122FF1"/>
    <w:rsid w:val="0012305C"/>
    <w:rsid w:val="0012306C"/>
    <w:rsid w:val="00123172"/>
    <w:rsid w:val="00123179"/>
    <w:rsid w:val="00123184"/>
    <w:rsid w:val="001231B0"/>
    <w:rsid w:val="0012326E"/>
    <w:rsid w:val="001232FD"/>
    <w:rsid w:val="0012330B"/>
    <w:rsid w:val="0012334F"/>
    <w:rsid w:val="001234EC"/>
    <w:rsid w:val="00123581"/>
    <w:rsid w:val="00123586"/>
    <w:rsid w:val="00123794"/>
    <w:rsid w:val="00123897"/>
    <w:rsid w:val="0012393E"/>
    <w:rsid w:val="0012399B"/>
    <w:rsid w:val="00123A54"/>
    <w:rsid w:val="00123A6B"/>
    <w:rsid w:val="00123A89"/>
    <w:rsid w:val="00123AAE"/>
    <w:rsid w:val="00123B65"/>
    <w:rsid w:val="00123C4F"/>
    <w:rsid w:val="00123D20"/>
    <w:rsid w:val="00123EB3"/>
    <w:rsid w:val="00123EC0"/>
    <w:rsid w:val="00123F1B"/>
    <w:rsid w:val="00123F40"/>
    <w:rsid w:val="00123F8C"/>
    <w:rsid w:val="001240F3"/>
    <w:rsid w:val="001241C8"/>
    <w:rsid w:val="001241D7"/>
    <w:rsid w:val="001241E2"/>
    <w:rsid w:val="001241ED"/>
    <w:rsid w:val="001242B0"/>
    <w:rsid w:val="001242E3"/>
    <w:rsid w:val="00124326"/>
    <w:rsid w:val="00124331"/>
    <w:rsid w:val="0012454B"/>
    <w:rsid w:val="0012454C"/>
    <w:rsid w:val="0012471B"/>
    <w:rsid w:val="001247F8"/>
    <w:rsid w:val="00124891"/>
    <w:rsid w:val="00124981"/>
    <w:rsid w:val="001249BF"/>
    <w:rsid w:val="00124AAA"/>
    <w:rsid w:val="00124B1E"/>
    <w:rsid w:val="00124B3F"/>
    <w:rsid w:val="00124C20"/>
    <w:rsid w:val="00124C82"/>
    <w:rsid w:val="00124CD1"/>
    <w:rsid w:val="00124CFE"/>
    <w:rsid w:val="00124D97"/>
    <w:rsid w:val="00124EF0"/>
    <w:rsid w:val="00124F1A"/>
    <w:rsid w:val="00124F1D"/>
    <w:rsid w:val="00124F83"/>
    <w:rsid w:val="00125067"/>
    <w:rsid w:val="001250BC"/>
    <w:rsid w:val="001251CF"/>
    <w:rsid w:val="00125284"/>
    <w:rsid w:val="00125389"/>
    <w:rsid w:val="001253C8"/>
    <w:rsid w:val="00125447"/>
    <w:rsid w:val="00125469"/>
    <w:rsid w:val="0012549E"/>
    <w:rsid w:val="0012550A"/>
    <w:rsid w:val="00125542"/>
    <w:rsid w:val="001255FB"/>
    <w:rsid w:val="00125677"/>
    <w:rsid w:val="001256A5"/>
    <w:rsid w:val="0012575B"/>
    <w:rsid w:val="001257B5"/>
    <w:rsid w:val="001257C2"/>
    <w:rsid w:val="00125A11"/>
    <w:rsid w:val="00125B96"/>
    <w:rsid w:val="00125B9B"/>
    <w:rsid w:val="00125BD9"/>
    <w:rsid w:val="00125BFD"/>
    <w:rsid w:val="00125BFE"/>
    <w:rsid w:val="00125CAC"/>
    <w:rsid w:val="00125CDA"/>
    <w:rsid w:val="00125D97"/>
    <w:rsid w:val="00125E2A"/>
    <w:rsid w:val="00125E72"/>
    <w:rsid w:val="00125F20"/>
    <w:rsid w:val="00125F6B"/>
    <w:rsid w:val="0012624E"/>
    <w:rsid w:val="0012640F"/>
    <w:rsid w:val="00126583"/>
    <w:rsid w:val="001265F1"/>
    <w:rsid w:val="00126658"/>
    <w:rsid w:val="00126664"/>
    <w:rsid w:val="0012667C"/>
    <w:rsid w:val="00126784"/>
    <w:rsid w:val="00126795"/>
    <w:rsid w:val="001267BC"/>
    <w:rsid w:val="001267C8"/>
    <w:rsid w:val="001267D5"/>
    <w:rsid w:val="001268F7"/>
    <w:rsid w:val="00126908"/>
    <w:rsid w:val="0012693A"/>
    <w:rsid w:val="0012694C"/>
    <w:rsid w:val="001269A6"/>
    <w:rsid w:val="00126A71"/>
    <w:rsid w:val="00126AAD"/>
    <w:rsid w:val="00126BB6"/>
    <w:rsid w:val="00126C87"/>
    <w:rsid w:val="00126D38"/>
    <w:rsid w:val="00126DF0"/>
    <w:rsid w:val="00126E15"/>
    <w:rsid w:val="00126F00"/>
    <w:rsid w:val="00126F07"/>
    <w:rsid w:val="00126F08"/>
    <w:rsid w:val="00126FA7"/>
    <w:rsid w:val="00127092"/>
    <w:rsid w:val="001270A7"/>
    <w:rsid w:val="0012712D"/>
    <w:rsid w:val="001271BF"/>
    <w:rsid w:val="001273B6"/>
    <w:rsid w:val="001273D4"/>
    <w:rsid w:val="001273F8"/>
    <w:rsid w:val="00127467"/>
    <w:rsid w:val="0012748D"/>
    <w:rsid w:val="001275C5"/>
    <w:rsid w:val="0012762F"/>
    <w:rsid w:val="00127795"/>
    <w:rsid w:val="0012784F"/>
    <w:rsid w:val="00127896"/>
    <w:rsid w:val="00127933"/>
    <w:rsid w:val="0012798B"/>
    <w:rsid w:val="00127B8E"/>
    <w:rsid w:val="00127C38"/>
    <w:rsid w:val="00127C95"/>
    <w:rsid w:val="00127DD2"/>
    <w:rsid w:val="00127EB5"/>
    <w:rsid w:val="00127F28"/>
    <w:rsid w:val="00127FFD"/>
    <w:rsid w:val="0013017D"/>
    <w:rsid w:val="001302A2"/>
    <w:rsid w:val="0013031B"/>
    <w:rsid w:val="00130391"/>
    <w:rsid w:val="001304E7"/>
    <w:rsid w:val="00130579"/>
    <w:rsid w:val="0013065F"/>
    <w:rsid w:val="001306A0"/>
    <w:rsid w:val="001307C8"/>
    <w:rsid w:val="001307F9"/>
    <w:rsid w:val="001308CA"/>
    <w:rsid w:val="00130942"/>
    <w:rsid w:val="001309EE"/>
    <w:rsid w:val="00130A4B"/>
    <w:rsid w:val="00130BBC"/>
    <w:rsid w:val="00130C57"/>
    <w:rsid w:val="00130C79"/>
    <w:rsid w:val="00130C97"/>
    <w:rsid w:val="00130D19"/>
    <w:rsid w:val="00130D3F"/>
    <w:rsid w:val="00130D64"/>
    <w:rsid w:val="00130D7B"/>
    <w:rsid w:val="00130E30"/>
    <w:rsid w:val="00130EDE"/>
    <w:rsid w:val="00130F30"/>
    <w:rsid w:val="00130F51"/>
    <w:rsid w:val="0013110C"/>
    <w:rsid w:val="001311FD"/>
    <w:rsid w:val="001312A0"/>
    <w:rsid w:val="001312A7"/>
    <w:rsid w:val="001312E3"/>
    <w:rsid w:val="001313F0"/>
    <w:rsid w:val="0013148C"/>
    <w:rsid w:val="001314B5"/>
    <w:rsid w:val="00131571"/>
    <w:rsid w:val="001315C1"/>
    <w:rsid w:val="001316FE"/>
    <w:rsid w:val="00131832"/>
    <w:rsid w:val="00131897"/>
    <w:rsid w:val="001318F8"/>
    <w:rsid w:val="00131952"/>
    <w:rsid w:val="0013196D"/>
    <w:rsid w:val="0013197F"/>
    <w:rsid w:val="001319E7"/>
    <w:rsid w:val="00131ABD"/>
    <w:rsid w:val="00131CEA"/>
    <w:rsid w:val="00131FE3"/>
    <w:rsid w:val="001320A0"/>
    <w:rsid w:val="001320A9"/>
    <w:rsid w:val="001321DB"/>
    <w:rsid w:val="00132280"/>
    <w:rsid w:val="00132295"/>
    <w:rsid w:val="001322D9"/>
    <w:rsid w:val="001322FC"/>
    <w:rsid w:val="001323A6"/>
    <w:rsid w:val="001324DD"/>
    <w:rsid w:val="001324FF"/>
    <w:rsid w:val="0013256B"/>
    <w:rsid w:val="0013259A"/>
    <w:rsid w:val="001325FA"/>
    <w:rsid w:val="00132647"/>
    <w:rsid w:val="0013267D"/>
    <w:rsid w:val="001327D5"/>
    <w:rsid w:val="001327D9"/>
    <w:rsid w:val="001327E1"/>
    <w:rsid w:val="001329AF"/>
    <w:rsid w:val="00132A71"/>
    <w:rsid w:val="00132AC9"/>
    <w:rsid w:val="00132C0B"/>
    <w:rsid w:val="00132D15"/>
    <w:rsid w:val="00132D23"/>
    <w:rsid w:val="00132D2C"/>
    <w:rsid w:val="00132EBE"/>
    <w:rsid w:val="00132EDC"/>
    <w:rsid w:val="00132F94"/>
    <w:rsid w:val="00133015"/>
    <w:rsid w:val="00133022"/>
    <w:rsid w:val="001330D2"/>
    <w:rsid w:val="00133161"/>
    <w:rsid w:val="0013326D"/>
    <w:rsid w:val="001332AA"/>
    <w:rsid w:val="001332AB"/>
    <w:rsid w:val="001334D8"/>
    <w:rsid w:val="001334DC"/>
    <w:rsid w:val="0013355E"/>
    <w:rsid w:val="001335C8"/>
    <w:rsid w:val="0013361B"/>
    <w:rsid w:val="00133682"/>
    <w:rsid w:val="00133714"/>
    <w:rsid w:val="001338D8"/>
    <w:rsid w:val="001338F1"/>
    <w:rsid w:val="00133A18"/>
    <w:rsid w:val="00133B3B"/>
    <w:rsid w:val="00133C7F"/>
    <w:rsid w:val="00133C9E"/>
    <w:rsid w:val="00133CBE"/>
    <w:rsid w:val="00133DC4"/>
    <w:rsid w:val="00133E3D"/>
    <w:rsid w:val="00133F21"/>
    <w:rsid w:val="00133F80"/>
    <w:rsid w:val="00134038"/>
    <w:rsid w:val="00134154"/>
    <w:rsid w:val="0013418F"/>
    <w:rsid w:val="001341E2"/>
    <w:rsid w:val="0013427E"/>
    <w:rsid w:val="001342BA"/>
    <w:rsid w:val="00134360"/>
    <w:rsid w:val="0013447C"/>
    <w:rsid w:val="00134560"/>
    <w:rsid w:val="001345B4"/>
    <w:rsid w:val="001346B6"/>
    <w:rsid w:val="001347B3"/>
    <w:rsid w:val="00134835"/>
    <w:rsid w:val="00134857"/>
    <w:rsid w:val="0013485D"/>
    <w:rsid w:val="001348C5"/>
    <w:rsid w:val="001348E0"/>
    <w:rsid w:val="00134912"/>
    <w:rsid w:val="00134A8F"/>
    <w:rsid w:val="00134AB8"/>
    <w:rsid w:val="00134BEF"/>
    <w:rsid w:val="00134CA7"/>
    <w:rsid w:val="00134CB1"/>
    <w:rsid w:val="00134D53"/>
    <w:rsid w:val="00134D76"/>
    <w:rsid w:val="00134D87"/>
    <w:rsid w:val="00134DA8"/>
    <w:rsid w:val="00134E6D"/>
    <w:rsid w:val="00134F1F"/>
    <w:rsid w:val="00134F63"/>
    <w:rsid w:val="001350F6"/>
    <w:rsid w:val="00135112"/>
    <w:rsid w:val="0013514B"/>
    <w:rsid w:val="00135323"/>
    <w:rsid w:val="0013533A"/>
    <w:rsid w:val="00135404"/>
    <w:rsid w:val="00135412"/>
    <w:rsid w:val="00135508"/>
    <w:rsid w:val="00135509"/>
    <w:rsid w:val="001356A0"/>
    <w:rsid w:val="001356D1"/>
    <w:rsid w:val="00135786"/>
    <w:rsid w:val="0013596A"/>
    <w:rsid w:val="001359B7"/>
    <w:rsid w:val="00135A57"/>
    <w:rsid w:val="00135B2B"/>
    <w:rsid w:val="00135C54"/>
    <w:rsid w:val="00135C7D"/>
    <w:rsid w:val="00135C87"/>
    <w:rsid w:val="00135DAF"/>
    <w:rsid w:val="00135DBB"/>
    <w:rsid w:val="00135DE5"/>
    <w:rsid w:val="00135E17"/>
    <w:rsid w:val="00136020"/>
    <w:rsid w:val="00136047"/>
    <w:rsid w:val="001360C4"/>
    <w:rsid w:val="00136219"/>
    <w:rsid w:val="00136287"/>
    <w:rsid w:val="00136331"/>
    <w:rsid w:val="001363CC"/>
    <w:rsid w:val="0013645C"/>
    <w:rsid w:val="00136466"/>
    <w:rsid w:val="00136513"/>
    <w:rsid w:val="001366E5"/>
    <w:rsid w:val="0013686D"/>
    <w:rsid w:val="001368CC"/>
    <w:rsid w:val="00136901"/>
    <w:rsid w:val="00136970"/>
    <w:rsid w:val="00136C05"/>
    <w:rsid w:val="00136C87"/>
    <w:rsid w:val="00136C91"/>
    <w:rsid w:val="00136DAB"/>
    <w:rsid w:val="00136DB3"/>
    <w:rsid w:val="00136DE0"/>
    <w:rsid w:val="00136E87"/>
    <w:rsid w:val="00136F4F"/>
    <w:rsid w:val="00136FE9"/>
    <w:rsid w:val="001370E6"/>
    <w:rsid w:val="00137149"/>
    <w:rsid w:val="001371A9"/>
    <w:rsid w:val="0013727E"/>
    <w:rsid w:val="001372AE"/>
    <w:rsid w:val="001372D6"/>
    <w:rsid w:val="00137400"/>
    <w:rsid w:val="001375FC"/>
    <w:rsid w:val="001376A8"/>
    <w:rsid w:val="00137856"/>
    <w:rsid w:val="00137946"/>
    <w:rsid w:val="00137A85"/>
    <w:rsid w:val="00137AB4"/>
    <w:rsid w:val="00137B32"/>
    <w:rsid w:val="00137D38"/>
    <w:rsid w:val="00137DC0"/>
    <w:rsid w:val="00137DCB"/>
    <w:rsid w:val="00137EC8"/>
    <w:rsid w:val="00137ECF"/>
    <w:rsid w:val="001400C1"/>
    <w:rsid w:val="00140174"/>
    <w:rsid w:val="00140184"/>
    <w:rsid w:val="001401D8"/>
    <w:rsid w:val="00140216"/>
    <w:rsid w:val="0014032F"/>
    <w:rsid w:val="00140397"/>
    <w:rsid w:val="0014050C"/>
    <w:rsid w:val="00140530"/>
    <w:rsid w:val="00140533"/>
    <w:rsid w:val="001405D6"/>
    <w:rsid w:val="00140637"/>
    <w:rsid w:val="00140651"/>
    <w:rsid w:val="00140842"/>
    <w:rsid w:val="00140956"/>
    <w:rsid w:val="00140A46"/>
    <w:rsid w:val="00140A58"/>
    <w:rsid w:val="00140AB0"/>
    <w:rsid w:val="00140B97"/>
    <w:rsid w:val="00140C8B"/>
    <w:rsid w:val="00140CAD"/>
    <w:rsid w:val="00140CEA"/>
    <w:rsid w:val="00140F56"/>
    <w:rsid w:val="00140F89"/>
    <w:rsid w:val="00140F96"/>
    <w:rsid w:val="00141098"/>
    <w:rsid w:val="001410B5"/>
    <w:rsid w:val="00141143"/>
    <w:rsid w:val="001412AB"/>
    <w:rsid w:val="00141348"/>
    <w:rsid w:val="00141456"/>
    <w:rsid w:val="00141472"/>
    <w:rsid w:val="001414F2"/>
    <w:rsid w:val="00141837"/>
    <w:rsid w:val="0014185E"/>
    <w:rsid w:val="00141862"/>
    <w:rsid w:val="0014186F"/>
    <w:rsid w:val="001419F7"/>
    <w:rsid w:val="00141B06"/>
    <w:rsid w:val="00141C99"/>
    <w:rsid w:val="00141D46"/>
    <w:rsid w:val="00141D7C"/>
    <w:rsid w:val="00141DE7"/>
    <w:rsid w:val="00141DF8"/>
    <w:rsid w:val="00141F0B"/>
    <w:rsid w:val="0014205A"/>
    <w:rsid w:val="00142139"/>
    <w:rsid w:val="00142150"/>
    <w:rsid w:val="001422BF"/>
    <w:rsid w:val="0014231E"/>
    <w:rsid w:val="0014236E"/>
    <w:rsid w:val="0014237E"/>
    <w:rsid w:val="0014240B"/>
    <w:rsid w:val="00142430"/>
    <w:rsid w:val="0014252C"/>
    <w:rsid w:val="0014254F"/>
    <w:rsid w:val="00142610"/>
    <w:rsid w:val="001427EA"/>
    <w:rsid w:val="00142955"/>
    <w:rsid w:val="001429A2"/>
    <w:rsid w:val="001429F9"/>
    <w:rsid w:val="00142AAF"/>
    <w:rsid w:val="00142BDD"/>
    <w:rsid w:val="00142C64"/>
    <w:rsid w:val="00142CE1"/>
    <w:rsid w:val="00142D1C"/>
    <w:rsid w:val="00142DB6"/>
    <w:rsid w:val="00142E40"/>
    <w:rsid w:val="00142F76"/>
    <w:rsid w:val="00142F8D"/>
    <w:rsid w:val="00143043"/>
    <w:rsid w:val="0014318F"/>
    <w:rsid w:val="00143213"/>
    <w:rsid w:val="00143421"/>
    <w:rsid w:val="001434BE"/>
    <w:rsid w:val="001435BE"/>
    <w:rsid w:val="0014361C"/>
    <w:rsid w:val="001437A8"/>
    <w:rsid w:val="001438BF"/>
    <w:rsid w:val="001439A7"/>
    <w:rsid w:val="00143C58"/>
    <w:rsid w:val="00143C84"/>
    <w:rsid w:val="00143D02"/>
    <w:rsid w:val="00143D8F"/>
    <w:rsid w:val="00143D90"/>
    <w:rsid w:val="00143FFF"/>
    <w:rsid w:val="00144011"/>
    <w:rsid w:val="0014404F"/>
    <w:rsid w:val="001441A3"/>
    <w:rsid w:val="0014424B"/>
    <w:rsid w:val="0014425C"/>
    <w:rsid w:val="00144329"/>
    <w:rsid w:val="00144342"/>
    <w:rsid w:val="0014435F"/>
    <w:rsid w:val="001443A1"/>
    <w:rsid w:val="001444EF"/>
    <w:rsid w:val="001444FE"/>
    <w:rsid w:val="0014458B"/>
    <w:rsid w:val="001446BA"/>
    <w:rsid w:val="0014477A"/>
    <w:rsid w:val="00144847"/>
    <w:rsid w:val="0014488A"/>
    <w:rsid w:val="001448E5"/>
    <w:rsid w:val="00144A58"/>
    <w:rsid w:val="00144B75"/>
    <w:rsid w:val="00144E74"/>
    <w:rsid w:val="001450C7"/>
    <w:rsid w:val="001450ED"/>
    <w:rsid w:val="00145136"/>
    <w:rsid w:val="00145138"/>
    <w:rsid w:val="0014527B"/>
    <w:rsid w:val="001452BD"/>
    <w:rsid w:val="001452F7"/>
    <w:rsid w:val="001453A3"/>
    <w:rsid w:val="001453FE"/>
    <w:rsid w:val="00145499"/>
    <w:rsid w:val="001454D8"/>
    <w:rsid w:val="0014551F"/>
    <w:rsid w:val="00145596"/>
    <w:rsid w:val="0014560C"/>
    <w:rsid w:val="00145704"/>
    <w:rsid w:val="00145715"/>
    <w:rsid w:val="0014579A"/>
    <w:rsid w:val="001457E5"/>
    <w:rsid w:val="00145965"/>
    <w:rsid w:val="00145A36"/>
    <w:rsid w:val="00145AC0"/>
    <w:rsid w:val="00145ADF"/>
    <w:rsid w:val="00145BFD"/>
    <w:rsid w:val="00145C87"/>
    <w:rsid w:val="00145CB6"/>
    <w:rsid w:val="00145CDD"/>
    <w:rsid w:val="00145DF4"/>
    <w:rsid w:val="00145E06"/>
    <w:rsid w:val="00145EDB"/>
    <w:rsid w:val="00145EE9"/>
    <w:rsid w:val="00145F3F"/>
    <w:rsid w:val="00145FD6"/>
    <w:rsid w:val="00146003"/>
    <w:rsid w:val="0014605D"/>
    <w:rsid w:val="001460A4"/>
    <w:rsid w:val="0014624B"/>
    <w:rsid w:val="00146291"/>
    <w:rsid w:val="001462CD"/>
    <w:rsid w:val="0014631C"/>
    <w:rsid w:val="0014636F"/>
    <w:rsid w:val="001463B3"/>
    <w:rsid w:val="001463DE"/>
    <w:rsid w:val="00146470"/>
    <w:rsid w:val="00146499"/>
    <w:rsid w:val="001464B2"/>
    <w:rsid w:val="001464C4"/>
    <w:rsid w:val="00146511"/>
    <w:rsid w:val="0014655F"/>
    <w:rsid w:val="001465E8"/>
    <w:rsid w:val="00146671"/>
    <w:rsid w:val="00146723"/>
    <w:rsid w:val="00146726"/>
    <w:rsid w:val="001467DD"/>
    <w:rsid w:val="001468D5"/>
    <w:rsid w:val="0014694C"/>
    <w:rsid w:val="0014696E"/>
    <w:rsid w:val="001469D4"/>
    <w:rsid w:val="00146A4E"/>
    <w:rsid w:val="00146A8B"/>
    <w:rsid w:val="00146ACA"/>
    <w:rsid w:val="00146AE0"/>
    <w:rsid w:val="00146B52"/>
    <w:rsid w:val="00146CEC"/>
    <w:rsid w:val="00146D02"/>
    <w:rsid w:val="00146D7F"/>
    <w:rsid w:val="00146DB4"/>
    <w:rsid w:val="00146DF6"/>
    <w:rsid w:val="00146E1E"/>
    <w:rsid w:val="00146E3C"/>
    <w:rsid w:val="0014710A"/>
    <w:rsid w:val="00147152"/>
    <w:rsid w:val="001471D9"/>
    <w:rsid w:val="00147221"/>
    <w:rsid w:val="00147270"/>
    <w:rsid w:val="001472DF"/>
    <w:rsid w:val="00147301"/>
    <w:rsid w:val="001473D2"/>
    <w:rsid w:val="00147419"/>
    <w:rsid w:val="0014749A"/>
    <w:rsid w:val="0014751C"/>
    <w:rsid w:val="001475FE"/>
    <w:rsid w:val="00147638"/>
    <w:rsid w:val="0014764A"/>
    <w:rsid w:val="001478A4"/>
    <w:rsid w:val="00147908"/>
    <w:rsid w:val="001479AD"/>
    <w:rsid w:val="001479E3"/>
    <w:rsid w:val="00147AC2"/>
    <w:rsid w:val="00147B6B"/>
    <w:rsid w:val="00147C3C"/>
    <w:rsid w:val="00147C7A"/>
    <w:rsid w:val="00147D18"/>
    <w:rsid w:val="00147D33"/>
    <w:rsid w:val="00147DB1"/>
    <w:rsid w:val="00147E98"/>
    <w:rsid w:val="00147F3D"/>
    <w:rsid w:val="00150073"/>
    <w:rsid w:val="001501FB"/>
    <w:rsid w:val="001502CF"/>
    <w:rsid w:val="00150308"/>
    <w:rsid w:val="001503E0"/>
    <w:rsid w:val="00150532"/>
    <w:rsid w:val="00150576"/>
    <w:rsid w:val="0015057E"/>
    <w:rsid w:val="0015067C"/>
    <w:rsid w:val="001506B7"/>
    <w:rsid w:val="001507DD"/>
    <w:rsid w:val="00150819"/>
    <w:rsid w:val="00150867"/>
    <w:rsid w:val="001508BC"/>
    <w:rsid w:val="00150A0E"/>
    <w:rsid w:val="00150B15"/>
    <w:rsid w:val="00150BDD"/>
    <w:rsid w:val="00150C59"/>
    <w:rsid w:val="00150CC2"/>
    <w:rsid w:val="00150D07"/>
    <w:rsid w:val="00150D2B"/>
    <w:rsid w:val="00150D85"/>
    <w:rsid w:val="00150E6D"/>
    <w:rsid w:val="00150ED7"/>
    <w:rsid w:val="001510C1"/>
    <w:rsid w:val="0015110F"/>
    <w:rsid w:val="00151214"/>
    <w:rsid w:val="0015125A"/>
    <w:rsid w:val="0015125B"/>
    <w:rsid w:val="0015147E"/>
    <w:rsid w:val="0015148A"/>
    <w:rsid w:val="0015159B"/>
    <w:rsid w:val="001515E5"/>
    <w:rsid w:val="00151625"/>
    <w:rsid w:val="0015169D"/>
    <w:rsid w:val="001517EA"/>
    <w:rsid w:val="001518C1"/>
    <w:rsid w:val="00151933"/>
    <w:rsid w:val="00151947"/>
    <w:rsid w:val="00151987"/>
    <w:rsid w:val="00151A20"/>
    <w:rsid w:val="00151AC9"/>
    <w:rsid w:val="00151B09"/>
    <w:rsid w:val="00151B12"/>
    <w:rsid w:val="00151BA1"/>
    <w:rsid w:val="00151BAC"/>
    <w:rsid w:val="00151C16"/>
    <w:rsid w:val="00151C49"/>
    <w:rsid w:val="00151CF2"/>
    <w:rsid w:val="00151D87"/>
    <w:rsid w:val="00151D95"/>
    <w:rsid w:val="00151DB4"/>
    <w:rsid w:val="00151DCF"/>
    <w:rsid w:val="00151E01"/>
    <w:rsid w:val="00151E30"/>
    <w:rsid w:val="00151E4A"/>
    <w:rsid w:val="0015207E"/>
    <w:rsid w:val="00152139"/>
    <w:rsid w:val="0015220B"/>
    <w:rsid w:val="00152233"/>
    <w:rsid w:val="0015229A"/>
    <w:rsid w:val="001522E7"/>
    <w:rsid w:val="00152358"/>
    <w:rsid w:val="0015239D"/>
    <w:rsid w:val="001524CC"/>
    <w:rsid w:val="00152581"/>
    <w:rsid w:val="00152627"/>
    <w:rsid w:val="001526E6"/>
    <w:rsid w:val="0015282C"/>
    <w:rsid w:val="0015288B"/>
    <w:rsid w:val="00152ABC"/>
    <w:rsid w:val="00152B22"/>
    <w:rsid w:val="00152BD5"/>
    <w:rsid w:val="00152DA3"/>
    <w:rsid w:val="00152DA9"/>
    <w:rsid w:val="00152DD1"/>
    <w:rsid w:val="00152DEA"/>
    <w:rsid w:val="00152E60"/>
    <w:rsid w:val="00152E64"/>
    <w:rsid w:val="00152E75"/>
    <w:rsid w:val="00153048"/>
    <w:rsid w:val="0015312D"/>
    <w:rsid w:val="00153183"/>
    <w:rsid w:val="0015319E"/>
    <w:rsid w:val="001531A7"/>
    <w:rsid w:val="001531B0"/>
    <w:rsid w:val="0015323D"/>
    <w:rsid w:val="001532A2"/>
    <w:rsid w:val="0015331C"/>
    <w:rsid w:val="00153524"/>
    <w:rsid w:val="001536D2"/>
    <w:rsid w:val="001536FF"/>
    <w:rsid w:val="0015370C"/>
    <w:rsid w:val="0015373C"/>
    <w:rsid w:val="001537DE"/>
    <w:rsid w:val="0015399E"/>
    <w:rsid w:val="00153BD8"/>
    <w:rsid w:val="00153C69"/>
    <w:rsid w:val="00153C7B"/>
    <w:rsid w:val="00153DE8"/>
    <w:rsid w:val="00153E0D"/>
    <w:rsid w:val="00153E1F"/>
    <w:rsid w:val="00153F01"/>
    <w:rsid w:val="00153F3C"/>
    <w:rsid w:val="001540C4"/>
    <w:rsid w:val="00154374"/>
    <w:rsid w:val="001543EC"/>
    <w:rsid w:val="00154480"/>
    <w:rsid w:val="0015448E"/>
    <w:rsid w:val="0015449C"/>
    <w:rsid w:val="001545B3"/>
    <w:rsid w:val="001546D0"/>
    <w:rsid w:val="00154704"/>
    <w:rsid w:val="0015472D"/>
    <w:rsid w:val="0015477B"/>
    <w:rsid w:val="00154796"/>
    <w:rsid w:val="001547C3"/>
    <w:rsid w:val="001548A4"/>
    <w:rsid w:val="001548E9"/>
    <w:rsid w:val="00154A1C"/>
    <w:rsid w:val="00154A85"/>
    <w:rsid w:val="00154C5D"/>
    <w:rsid w:val="00154D8E"/>
    <w:rsid w:val="00154D96"/>
    <w:rsid w:val="00154D97"/>
    <w:rsid w:val="00154E45"/>
    <w:rsid w:val="0015503D"/>
    <w:rsid w:val="001550FA"/>
    <w:rsid w:val="001551A8"/>
    <w:rsid w:val="001553AF"/>
    <w:rsid w:val="0015542C"/>
    <w:rsid w:val="00155473"/>
    <w:rsid w:val="001554D3"/>
    <w:rsid w:val="00155509"/>
    <w:rsid w:val="0015550F"/>
    <w:rsid w:val="00155585"/>
    <w:rsid w:val="00155762"/>
    <w:rsid w:val="001557AD"/>
    <w:rsid w:val="0015584E"/>
    <w:rsid w:val="00155AFB"/>
    <w:rsid w:val="00155B7C"/>
    <w:rsid w:val="00155EB6"/>
    <w:rsid w:val="00155F1F"/>
    <w:rsid w:val="00155F41"/>
    <w:rsid w:val="00155F53"/>
    <w:rsid w:val="00155F65"/>
    <w:rsid w:val="00155F76"/>
    <w:rsid w:val="00155FCC"/>
    <w:rsid w:val="00156008"/>
    <w:rsid w:val="00156034"/>
    <w:rsid w:val="00156040"/>
    <w:rsid w:val="001561A0"/>
    <w:rsid w:val="001561C0"/>
    <w:rsid w:val="00156255"/>
    <w:rsid w:val="00156338"/>
    <w:rsid w:val="0015643B"/>
    <w:rsid w:val="001564A1"/>
    <w:rsid w:val="001565BB"/>
    <w:rsid w:val="0015660F"/>
    <w:rsid w:val="0015666E"/>
    <w:rsid w:val="00156711"/>
    <w:rsid w:val="00156780"/>
    <w:rsid w:val="00156994"/>
    <w:rsid w:val="00156A5D"/>
    <w:rsid w:val="00156B59"/>
    <w:rsid w:val="00156BBD"/>
    <w:rsid w:val="00156CC3"/>
    <w:rsid w:val="00156D37"/>
    <w:rsid w:val="00156E77"/>
    <w:rsid w:val="00156E9C"/>
    <w:rsid w:val="00156EE4"/>
    <w:rsid w:val="00156F5A"/>
    <w:rsid w:val="00157154"/>
    <w:rsid w:val="001571A8"/>
    <w:rsid w:val="001571AC"/>
    <w:rsid w:val="001571E1"/>
    <w:rsid w:val="001572A6"/>
    <w:rsid w:val="001572F1"/>
    <w:rsid w:val="00157331"/>
    <w:rsid w:val="001574AF"/>
    <w:rsid w:val="001574E8"/>
    <w:rsid w:val="00157635"/>
    <w:rsid w:val="00157649"/>
    <w:rsid w:val="001576CB"/>
    <w:rsid w:val="00157702"/>
    <w:rsid w:val="001578A5"/>
    <w:rsid w:val="001578A6"/>
    <w:rsid w:val="0015791F"/>
    <w:rsid w:val="00157974"/>
    <w:rsid w:val="001579D4"/>
    <w:rsid w:val="00157A8D"/>
    <w:rsid w:val="00157AAB"/>
    <w:rsid w:val="00157B9C"/>
    <w:rsid w:val="00157BF8"/>
    <w:rsid w:val="00157C1F"/>
    <w:rsid w:val="00157D7A"/>
    <w:rsid w:val="00157E95"/>
    <w:rsid w:val="00160093"/>
    <w:rsid w:val="001603C8"/>
    <w:rsid w:val="00160472"/>
    <w:rsid w:val="0016062D"/>
    <w:rsid w:val="00160676"/>
    <w:rsid w:val="001606AF"/>
    <w:rsid w:val="001606DD"/>
    <w:rsid w:val="0016074C"/>
    <w:rsid w:val="00160754"/>
    <w:rsid w:val="00160863"/>
    <w:rsid w:val="0016086E"/>
    <w:rsid w:val="00160F41"/>
    <w:rsid w:val="00160F9D"/>
    <w:rsid w:val="00161024"/>
    <w:rsid w:val="001610F1"/>
    <w:rsid w:val="00161141"/>
    <w:rsid w:val="0016120F"/>
    <w:rsid w:val="00161246"/>
    <w:rsid w:val="001613CB"/>
    <w:rsid w:val="0016143E"/>
    <w:rsid w:val="00161514"/>
    <w:rsid w:val="00161595"/>
    <w:rsid w:val="001615D2"/>
    <w:rsid w:val="001615F1"/>
    <w:rsid w:val="001615F2"/>
    <w:rsid w:val="00161606"/>
    <w:rsid w:val="00161801"/>
    <w:rsid w:val="0016185B"/>
    <w:rsid w:val="00161874"/>
    <w:rsid w:val="00161A13"/>
    <w:rsid w:val="00161A4F"/>
    <w:rsid w:val="00161ADD"/>
    <w:rsid w:val="00161BB4"/>
    <w:rsid w:val="00161E72"/>
    <w:rsid w:val="00161E77"/>
    <w:rsid w:val="00161EB2"/>
    <w:rsid w:val="00161F34"/>
    <w:rsid w:val="00161F6B"/>
    <w:rsid w:val="0016201A"/>
    <w:rsid w:val="001620B2"/>
    <w:rsid w:val="00162114"/>
    <w:rsid w:val="00162190"/>
    <w:rsid w:val="00162268"/>
    <w:rsid w:val="0016231E"/>
    <w:rsid w:val="00162444"/>
    <w:rsid w:val="00162625"/>
    <w:rsid w:val="0016266C"/>
    <w:rsid w:val="001626FB"/>
    <w:rsid w:val="00162702"/>
    <w:rsid w:val="001627A5"/>
    <w:rsid w:val="001627DB"/>
    <w:rsid w:val="001627F0"/>
    <w:rsid w:val="00162A81"/>
    <w:rsid w:val="00162A9F"/>
    <w:rsid w:val="00162B9A"/>
    <w:rsid w:val="00162BCF"/>
    <w:rsid w:val="00162C8A"/>
    <w:rsid w:val="00162D4C"/>
    <w:rsid w:val="00162E6C"/>
    <w:rsid w:val="001630AC"/>
    <w:rsid w:val="00163128"/>
    <w:rsid w:val="0016320F"/>
    <w:rsid w:val="001632A9"/>
    <w:rsid w:val="001632B9"/>
    <w:rsid w:val="00163338"/>
    <w:rsid w:val="00163354"/>
    <w:rsid w:val="001633D4"/>
    <w:rsid w:val="00163455"/>
    <w:rsid w:val="001636AD"/>
    <w:rsid w:val="0016376F"/>
    <w:rsid w:val="001639E5"/>
    <w:rsid w:val="00163AA0"/>
    <w:rsid w:val="00163AB9"/>
    <w:rsid w:val="00163B1B"/>
    <w:rsid w:val="00163C2E"/>
    <w:rsid w:val="00163C65"/>
    <w:rsid w:val="00163E57"/>
    <w:rsid w:val="00163E5F"/>
    <w:rsid w:val="00163F9D"/>
    <w:rsid w:val="0016406D"/>
    <w:rsid w:val="001640E3"/>
    <w:rsid w:val="001640FA"/>
    <w:rsid w:val="00164184"/>
    <w:rsid w:val="001641A1"/>
    <w:rsid w:val="00164211"/>
    <w:rsid w:val="00164244"/>
    <w:rsid w:val="0016427C"/>
    <w:rsid w:val="00164345"/>
    <w:rsid w:val="0016436A"/>
    <w:rsid w:val="00164398"/>
    <w:rsid w:val="00164407"/>
    <w:rsid w:val="001644B1"/>
    <w:rsid w:val="0016453C"/>
    <w:rsid w:val="001645C9"/>
    <w:rsid w:val="0016464E"/>
    <w:rsid w:val="001646B7"/>
    <w:rsid w:val="0016477B"/>
    <w:rsid w:val="001647DB"/>
    <w:rsid w:val="0016484C"/>
    <w:rsid w:val="00164866"/>
    <w:rsid w:val="00164871"/>
    <w:rsid w:val="001648DD"/>
    <w:rsid w:val="001649EA"/>
    <w:rsid w:val="00164A09"/>
    <w:rsid w:val="00164A0C"/>
    <w:rsid w:val="00164A87"/>
    <w:rsid w:val="00164B40"/>
    <w:rsid w:val="00164B83"/>
    <w:rsid w:val="00164C4E"/>
    <w:rsid w:val="00164DCF"/>
    <w:rsid w:val="00164EC6"/>
    <w:rsid w:val="00165042"/>
    <w:rsid w:val="00165180"/>
    <w:rsid w:val="00165185"/>
    <w:rsid w:val="001651D6"/>
    <w:rsid w:val="00165202"/>
    <w:rsid w:val="0016544F"/>
    <w:rsid w:val="001654AF"/>
    <w:rsid w:val="001654E5"/>
    <w:rsid w:val="00165544"/>
    <w:rsid w:val="001655A9"/>
    <w:rsid w:val="00165667"/>
    <w:rsid w:val="00165668"/>
    <w:rsid w:val="001656AC"/>
    <w:rsid w:val="00165731"/>
    <w:rsid w:val="00165736"/>
    <w:rsid w:val="00165787"/>
    <w:rsid w:val="00165811"/>
    <w:rsid w:val="0016585D"/>
    <w:rsid w:val="001658B9"/>
    <w:rsid w:val="00165A10"/>
    <w:rsid w:val="00165A8D"/>
    <w:rsid w:val="00165A8E"/>
    <w:rsid w:val="00165B41"/>
    <w:rsid w:val="00165B59"/>
    <w:rsid w:val="00165B66"/>
    <w:rsid w:val="00165C42"/>
    <w:rsid w:val="00165C89"/>
    <w:rsid w:val="00165CC5"/>
    <w:rsid w:val="00165D0E"/>
    <w:rsid w:val="00165D4C"/>
    <w:rsid w:val="00165E81"/>
    <w:rsid w:val="00166147"/>
    <w:rsid w:val="001661DA"/>
    <w:rsid w:val="00166257"/>
    <w:rsid w:val="001663E7"/>
    <w:rsid w:val="001664C1"/>
    <w:rsid w:val="00166515"/>
    <w:rsid w:val="001665E6"/>
    <w:rsid w:val="00166788"/>
    <w:rsid w:val="001668F4"/>
    <w:rsid w:val="0016692E"/>
    <w:rsid w:val="00166A05"/>
    <w:rsid w:val="00166A2C"/>
    <w:rsid w:val="00166A2F"/>
    <w:rsid w:val="00166AEE"/>
    <w:rsid w:val="00166AF4"/>
    <w:rsid w:val="00166B98"/>
    <w:rsid w:val="00166C1A"/>
    <w:rsid w:val="00166C9F"/>
    <w:rsid w:val="00166CEB"/>
    <w:rsid w:val="00166E2F"/>
    <w:rsid w:val="00166F01"/>
    <w:rsid w:val="00166F3D"/>
    <w:rsid w:val="001670B0"/>
    <w:rsid w:val="001670EB"/>
    <w:rsid w:val="00167225"/>
    <w:rsid w:val="0016723C"/>
    <w:rsid w:val="0016727D"/>
    <w:rsid w:val="0016730C"/>
    <w:rsid w:val="0016737A"/>
    <w:rsid w:val="001673B3"/>
    <w:rsid w:val="001673E3"/>
    <w:rsid w:val="00167415"/>
    <w:rsid w:val="00167425"/>
    <w:rsid w:val="0016754D"/>
    <w:rsid w:val="00167645"/>
    <w:rsid w:val="0016764F"/>
    <w:rsid w:val="0016770F"/>
    <w:rsid w:val="00167713"/>
    <w:rsid w:val="00167729"/>
    <w:rsid w:val="001677CA"/>
    <w:rsid w:val="00167832"/>
    <w:rsid w:val="00167B0D"/>
    <w:rsid w:val="00167BDD"/>
    <w:rsid w:val="00167CEF"/>
    <w:rsid w:val="00167D46"/>
    <w:rsid w:val="00167E0F"/>
    <w:rsid w:val="00167E56"/>
    <w:rsid w:val="00167EF8"/>
    <w:rsid w:val="00167F3E"/>
    <w:rsid w:val="00170014"/>
    <w:rsid w:val="0017022B"/>
    <w:rsid w:val="001704CF"/>
    <w:rsid w:val="001706AE"/>
    <w:rsid w:val="00170747"/>
    <w:rsid w:val="0017075D"/>
    <w:rsid w:val="00170776"/>
    <w:rsid w:val="00170900"/>
    <w:rsid w:val="0017091C"/>
    <w:rsid w:val="00170A14"/>
    <w:rsid w:val="00170A34"/>
    <w:rsid w:val="00170AC2"/>
    <w:rsid w:val="00170B28"/>
    <w:rsid w:val="00170C25"/>
    <w:rsid w:val="00170CA4"/>
    <w:rsid w:val="00170CD2"/>
    <w:rsid w:val="00170DFE"/>
    <w:rsid w:val="00170E58"/>
    <w:rsid w:val="00170E77"/>
    <w:rsid w:val="00170EA5"/>
    <w:rsid w:val="00170EAF"/>
    <w:rsid w:val="00170F59"/>
    <w:rsid w:val="00170FB2"/>
    <w:rsid w:val="0017116E"/>
    <w:rsid w:val="00171197"/>
    <w:rsid w:val="00171289"/>
    <w:rsid w:val="0017141B"/>
    <w:rsid w:val="001714BC"/>
    <w:rsid w:val="001714C0"/>
    <w:rsid w:val="001714D3"/>
    <w:rsid w:val="001714D5"/>
    <w:rsid w:val="00171599"/>
    <w:rsid w:val="001716FB"/>
    <w:rsid w:val="001719A8"/>
    <w:rsid w:val="00171A1D"/>
    <w:rsid w:val="00171BB7"/>
    <w:rsid w:val="00171BE7"/>
    <w:rsid w:val="00171C02"/>
    <w:rsid w:val="00171C73"/>
    <w:rsid w:val="00171CBA"/>
    <w:rsid w:val="00171CEA"/>
    <w:rsid w:val="00171EBD"/>
    <w:rsid w:val="00171ED8"/>
    <w:rsid w:val="00171F18"/>
    <w:rsid w:val="001720A7"/>
    <w:rsid w:val="001722D4"/>
    <w:rsid w:val="001722FC"/>
    <w:rsid w:val="00172347"/>
    <w:rsid w:val="0017237F"/>
    <w:rsid w:val="001726DD"/>
    <w:rsid w:val="0017270D"/>
    <w:rsid w:val="00172878"/>
    <w:rsid w:val="001728DB"/>
    <w:rsid w:val="00172B3B"/>
    <w:rsid w:val="00172BEB"/>
    <w:rsid w:val="00172C7B"/>
    <w:rsid w:val="00172E55"/>
    <w:rsid w:val="00172F6F"/>
    <w:rsid w:val="00172F9D"/>
    <w:rsid w:val="0017311C"/>
    <w:rsid w:val="00173357"/>
    <w:rsid w:val="00173432"/>
    <w:rsid w:val="00173483"/>
    <w:rsid w:val="001734AD"/>
    <w:rsid w:val="00173521"/>
    <w:rsid w:val="00173531"/>
    <w:rsid w:val="001737DC"/>
    <w:rsid w:val="001738F6"/>
    <w:rsid w:val="0017392A"/>
    <w:rsid w:val="00173A14"/>
    <w:rsid w:val="00173A4D"/>
    <w:rsid w:val="00173A74"/>
    <w:rsid w:val="00173B28"/>
    <w:rsid w:val="00173B64"/>
    <w:rsid w:val="00173DC3"/>
    <w:rsid w:val="00173E7A"/>
    <w:rsid w:val="00173EEA"/>
    <w:rsid w:val="00173F89"/>
    <w:rsid w:val="00173FC1"/>
    <w:rsid w:val="001740D4"/>
    <w:rsid w:val="0017410C"/>
    <w:rsid w:val="001741D4"/>
    <w:rsid w:val="0017420B"/>
    <w:rsid w:val="001742FE"/>
    <w:rsid w:val="00174355"/>
    <w:rsid w:val="00174432"/>
    <w:rsid w:val="001744BF"/>
    <w:rsid w:val="0017453A"/>
    <w:rsid w:val="00174579"/>
    <w:rsid w:val="001745B8"/>
    <w:rsid w:val="0017469E"/>
    <w:rsid w:val="0017471E"/>
    <w:rsid w:val="0017479F"/>
    <w:rsid w:val="00174808"/>
    <w:rsid w:val="0017482E"/>
    <w:rsid w:val="001748A8"/>
    <w:rsid w:val="001748C5"/>
    <w:rsid w:val="001748F3"/>
    <w:rsid w:val="0017491B"/>
    <w:rsid w:val="00174949"/>
    <w:rsid w:val="001749E8"/>
    <w:rsid w:val="00174A8B"/>
    <w:rsid w:val="00174A8C"/>
    <w:rsid w:val="00174DB5"/>
    <w:rsid w:val="00174FCC"/>
    <w:rsid w:val="00175009"/>
    <w:rsid w:val="00175071"/>
    <w:rsid w:val="001750B5"/>
    <w:rsid w:val="0017519F"/>
    <w:rsid w:val="001751C1"/>
    <w:rsid w:val="00175255"/>
    <w:rsid w:val="0017527A"/>
    <w:rsid w:val="0017531F"/>
    <w:rsid w:val="0017532C"/>
    <w:rsid w:val="00175331"/>
    <w:rsid w:val="0017535B"/>
    <w:rsid w:val="0017548A"/>
    <w:rsid w:val="001754D5"/>
    <w:rsid w:val="00175536"/>
    <w:rsid w:val="00175583"/>
    <w:rsid w:val="00175895"/>
    <w:rsid w:val="00175A73"/>
    <w:rsid w:val="00175B55"/>
    <w:rsid w:val="00175BE9"/>
    <w:rsid w:val="00175C1F"/>
    <w:rsid w:val="00175CE1"/>
    <w:rsid w:val="00175DE2"/>
    <w:rsid w:val="00175DEF"/>
    <w:rsid w:val="00175E85"/>
    <w:rsid w:val="00175ED4"/>
    <w:rsid w:val="00175FE1"/>
    <w:rsid w:val="00176131"/>
    <w:rsid w:val="001761F0"/>
    <w:rsid w:val="0017626E"/>
    <w:rsid w:val="00176286"/>
    <w:rsid w:val="001762D4"/>
    <w:rsid w:val="00176366"/>
    <w:rsid w:val="001763B1"/>
    <w:rsid w:val="001763BB"/>
    <w:rsid w:val="00176424"/>
    <w:rsid w:val="001764CD"/>
    <w:rsid w:val="0017650C"/>
    <w:rsid w:val="0017654C"/>
    <w:rsid w:val="001765D6"/>
    <w:rsid w:val="0017674C"/>
    <w:rsid w:val="0017676A"/>
    <w:rsid w:val="001768C1"/>
    <w:rsid w:val="00176986"/>
    <w:rsid w:val="0017699E"/>
    <w:rsid w:val="00176A04"/>
    <w:rsid w:val="00176A69"/>
    <w:rsid w:val="00176AB5"/>
    <w:rsid w:val="00176ABD"/>
    <w:rsid w:val="00176AE1"/>
    <w:rsid w:val="00176B38"/>
    <w:rsid w:val="00176B41"/>
    <w:rsid w:val="00176B61"/>
    <w:rsid w:val="00176BBA"/>
    <w:rsid w:val="00176C07"/>
    <w:rsid w:val="00176C2F"/>
    <w:rsid w:val="00176CBF"/>
    <w:rsid w:val="00176D29"/>
    <w:rsid w:val="00176D9D"/>
    <w:rsid w:val="00176DED"/>
    <w:rsid w:val="00176EC0"/>
    <w:rsid w:val="00176EDB"/>
    <w:rsid w:val="00176F8D"/>
    <w:rsid w:val="00176FEF"/>
    <w:rsid w:val="00177065"/>
    <w:rsid w:val="00177067"/>
    <w:rsid w:val="001770BA"/>
    <w:rsid w:val="0017716B"/>
    <w:rsid w:val="0017727C"/>
    <w:rsid w:val="00177471"/>
    <w:rsid w:val="001774EA"/>
    <w:rsid w:val="0017764D"/>
    <w:rsid w:val="00177924"/>
    <w:rsid w:val="00177973"/>
    <w:rsid w:val="00177988"/>
    <w:rsid w:val="00177B1A"/>
    <w:rsid w:val="00177D06"/>
    <w:rsid w:val="00177D31"/>
    <w:rsid w:val="00177EB9"/>
    <w:rsid w:val="00177FC5"/>
    <w:rsid w:val="00180006"/>
    <w:rsid w:val="0018001A"/>
    <w:rsid w:val="00180085"/>
    <w:rsid w:val="001800E9"/>
    <w:rsid w:val="0018011E"/>
    <w:rsid w:val="00180165"/>
    <w:rsid w:val="001801CF"/>
    <w:rsid w:val="001801E2"/>
    <w:rsid w:val="001801FE"/>
    <w:rsid w:val="00180218"/>
    <w:rsid w:val="0018027F"/>
    <w:rsid w:val="001802C5"/>
    <w:rsid w:val="00180399"/>
    <w:rsid w:val="001804AA"/>
    <w:rsid w:val="00180707"/>
    <w:rsid w:val="00180728"/>
    <w:rsid w:val="00180823"/>
    <w:rsid w:val="0018084F"/>
    <w:rsid w:val="00180966"/>
    <w:rsid w:val="001809E6"/>
    <w:rsid w:val="00180A19"/>
    <w:rsid w:val="00180AF0"/>
    <w:rsid w:val="00180B2F"/>
    <w:rsid w:val="00180BB6"/>
    <w:rsid w:val="00180C35"/>
    <w:rsid w:val="00180D84"/>
    <w:rsid w:val="00180E1B"/>
    <w:rsid w:val="00180E37"/>
    <w:rsid w:val="0018107F"/>
    <w:rsid w:val="0018124A"/>
    <w:rsid w:val="0018133D"/>
    <w:rsid w:val="0018134B"/>
    <w:rsid w:val="001814E1"/>
    <w:rsid w:val="00181631"/>
    <w:rsid w:val="00181646"/>
    <w:rsid w:val="00181705"/>
    <w:rsid w:val="0018179C"/>
    <w:rsid w:val="0018185B"/>
    <w:rsid w:val="001818E0"/>
    <w:rsid w:val="00181915"/>
    <w:rsid w:val="00181AE7"/>
    <w:rsid w:val="00181B60"/>
    <w:rsid w:val="00181B81"/>
    <w:rsid w:val="00181BC2"/>
    <w:rsid w:val="00181C01"/>
    <w:rsid w:val="00181C16"/>
    <w:rsid w:val="00181CA6"/>
    <w:rsid w:val="00181DC5"/>
    <w:rsid w:val="00181DCB"/>
    <w:rsid w:val="00181EB7"/>
    <w:rsid w:val="00181FD9"/>
    <w:rsid w:val="00182009"/>
    <w:rsid w:val="001821A5"/>
    <w:rsid w:val="0018220B"/>
    <w:rsid w:val="00182286"/>
    <w:rsid w:val="0018229D"/>
    <w:rsid w:val="001822F4"/>
    <w:rsid w:val="00182369"/>
    <w:rsid w:val="001823AC"/>
    <w:rsid w:val="001823B9"/>
    <w:rsid w:val="001823EF"/>
    <w:rsid w:val="00182651"/>
    <w:rsid w:val="0018276B"/>
    <w:rsid w:val="00182828"/>
    <w:rsid w:val="001828C6"/>
    <w:rsid w:val="00182965"/>
    <w:rsid w:val="00182969"/>
    <w:rsid w:val="001829BE"/>
    <w:rsid w:val="00182A1B"/>
    <w:rsid w:val="00182A36"/>
    <w:rsid w:val="00182BA6"/>
    <w:rsid w:val="00182BC6"/>
    <w:rsid w:val="00182D46"/>
    <w:rsid w:val="00182E77"/>
    <w:rsid w:val="00182F6A"/>
    <w:rsid w:val="00182F79"/>
    <w:rsid w:val="00183023"/>
    <w:rsid w:val="00183062"/>
    <w:rsid w:val="00183100"/>
    <w:rsid w:val="00183154"/>
    <w:rsid w:val="0018317D"/>
    <w:rsid w:val="001831C8"/>
    <w:rsid w:val="001831D1"/>
    <w:rsid w:val="001831F8"/>
    <w:rsid w:val="00183296"/>
    <w:rsid w:val="00183342"/>
    <w:rsid w:val="0018338F"/>
    <w:rsid w:val="0018348E"/>
    <w:rsid w:val="001834AA"/>
    <w:rsid w:val="001835F8"/>
    <w:rsid w:val="0018372A"/>
    <w:rsid w:val="0018385A"/>
    <w:rsid w:val="001838D3"/>
    <w:rsid w:val="00183A72"/>
    <w:rsid w:val="00183B07"/>
    <w:rsid w:val="00183B1C"/>
    <w:rsid w:val="00183B64"/>
    <w:rsid w:val="00183C55"/>
    <w:rsid w:val="00183CCD"/>
    <w:rsid w:val="00183D2E"/>
    <w:rsid w:val="00183E57"/>
    <w:rsid w:val="00183EF2"/>
    <w:rsid w:val="00183FA7"/>
    <w:rsid w:val="00184040"/>
    <w:rsid w:val="00184070"/>
    <w:rsid w:val="0018415B"/>
    <w:rsid w:val="0018416D"/>
    <w:rsid w:val="00184272"/>
    <w:rsid w:val="00184336"/>
    <w:rsid w:val="001843E0"/>
    <w:rsid w:val="001843F5"/>
    <w:rsid w:val="0018442F"/>
    <w:rsid w:val="0018451E"/>
    <w:rsid w:val="00184527"/>
    <w:rsid w:val="00184718"/>
    <w:rsid w:val="001847FB"/>
    <w:rsid w:val="00184870"/>
    <w:rsid w:val="0018488E"/>
    <w:rsid w:val="00184904"/>
    <w:rsid w:val="00184955"/>
    <w:rsid w:val="001849EA"/>
    <w:rsid w:val="00184A01"/>
    <w:rsid w:val="00184B09"/>
    <w:rsid w:val="00184B29"/>
    <w:rsid w:val="00184C0B"/>
    <w:rsid w:val="00184C19"/>
    <w:rsid w:val="00184CE1"/>
    <w:rsid w:val="00184DEE"/>
    <w:rsid w:val="00184DFF"/>
    <w:rsid w:val="00184EE2"/>
    <w:rsid w:val="00184F82"/>
    <w:rsid w:val="001850B0"/>
    <w:rsid w:val="00185110"/>
    <w:rsid w:val="001851C6"/>
    <w:rsid w:val="00185280"/>
    <w:rsid w:val="001854BB"/>
    <w:rsid w:val="00185530"/>
    <w:rsid w:val="00185762"/>
    <w:rsid w:val="0018590E"/>
    <w:rsid w:val="00185AC0"/>
    <w:rsid w:val="00185AEB"/>
    <w:rsid w:val="00185B11"/>
    <w:rsid w:val="00185C5F"/>
    <w:rsid w:val="00185CEC"/>
    <w:rsid w:val="00185D08"/>
    <w:rsid w:val="00185D3A"/>
    <w:rsid w:val="00185DEA"/>
    <w:rsid w:val="00185E81"/>
    <w:rsid w:val="00185EB8"/>
    <w:rsid w:val="00185F44"/>
    <w:rsid w:val="00185F9D"/>
    <w:rsid w:val="00185FEE"/>
    <w:rsid w:val="001860D9"/>
    <w:rsid w:val="001861F6"/>
    <w:rsid w:val="001862AE"/>
    <w:rsid w:val="00186337"/>
    <w:rsid w:val="0018633A"/>
    <w:rsid w:val="00186358"/>
    <w:rsid w:val="001863E0"/>
    <w:rsid w:val="001863E9"/>
    <w:rsid w:val="0018649C"/>
    <w:rsid w:val="001864A1"/>
    <w:rsid w:val="001864A5"/>
    <w:rsid w:val="0018667F"/>
    <w:rsid w:val="001866DB"/>
    <w:rsid w:val="001866F8"/>
    <w:rsid w:val="001867AE"/>
    <w:rsid w:val="00186864"/>
    <w:rsid w:val="001868A6"/>
    <w:rsid w:val="00186A22"/>
    <w:rsid w:val="00186A80"/>
    <w:rsid w:val="00186AAD"/>
    <w:rsid w:val="00186AC2"/>
    <w:rsid w:val="00186BE4"/>
    <w:rsid w:val="00186C88"/>
    <w:rsid w:val="00186CC0"/>
    <w:rsid w:val="00186DF1"/>
    <w:rsid w:val="00186FCA"/>
    <w:rsid w:val="00187092"/>
    <w:rsid w:val="00187164"/>
    <w:rsid w:val="00187293"/>
    <w:rsid w:val="001872D1"/>
    <w:rsid w:val="00187353"/>
    <w:rsid w:val="001873B2"/>
    <w:rsid w:val="0018745A"/>
    <w:rsid w:val="001874E2"/>
    <w:rsid w:val="00187546"/>
    <w:rsid w:val="00187585"/>
    <w:rsid w:val="00187683"/>
    <w:rsid w:val="001876D6"/>
    <w:rsid w:val="00187749"/>
    <w:rsid w:val="0018776F"/>
    <w:rsid w:val="0018777D"/>
    <w:rsid w:val="0018779B"/>
    <w:rsid w:val="00187834"/>
    <w:rsid w:val="0018788F"/>
    <w:rsid w:val="00187922"/>
    <w:rsid w:val="001879C6"/>
    <w:rsid w:val="001879ED"/>
    <w:rsid w:val="00187A1E"/>
    <w:rsid w:val="00187B92"/>
    <w:rsid w:val="00187C05"/>
    <w:rsid w:val="00187D09"/>
    <w:rsid w:val="00187D3F"/>
    <w:rsid w:val="00187E26"/>
    <w:rsid w:val="00187E79"/>
    <w:rsid w:val="00187ECA"/>
    <w:rsid w:val="00190191"/>
    <w:rsid w:val="001902D5"/>
    <w:rsid w:val="001902DE"/>
    <w:rsid w:val="001903BE"/>
    <w:rsid w:val="0019046C"/>
    <w:rsid w:val="00190474"/>
    <w:rsid w:val="00190576"/>
    <w:rsid w:val="00190652"/>
    <w:rsid w:val="001906D5"/>
    <w:rsid w:val="00190704"/>
    <w:rsid w:val="0019070A"/>
    <w:rsid w:val="001907B4"/>
    <w:rsid w:val="001907F4"/>
    <w:rsid w:val="00190A69"/>
    <w:rsid w:val="00190A6E"/>
    <w:rsid w:val="00190B1C"/>
    <w:rsid w:val="00190B47"/>
    <w:rsid w:val="00190C10"/>
    <w:rsid w:val="00190D27"/>
    <w:rsid w:val="00190D55"/>
    <w:rsid w:val="00190DC5"/>
    <w:rsid w:val="00190E5E"/>
    <w:rsid w:val="00190E71"/>
    <w:rsid w:val="00190F15"/>
    <w:rsid w:val="00190F31"/>
    <w:rsid w:val="00190FF8"/>
    <w:rsid w:val="00191033"/>
    <w:rsid w:val="0019104A"/>
    <w:rsid w:val="0019107E"/>
    <w:rsid w:val="00191089"/>
    <w:rsid w:val="001910E1"/>
    <w:rsid w:val="001910E8"/>
    <w:rsid w:val="001910EA"/>
    <w:rsid w:val="001910F9"/>
    <w:rsid w:val="00191157"/>
    <w:rsid w:val="001911AA"/>
    <w:rsid w:val="001913FF"/>
    <w:rsid w:val="0019154A"/>
    <w:rsid w:val="00191616"/>
    <w:rsid w:val="00191749"/>
    <w:rsid w:val="001917BC"/>
    <w:rsid w:val="001918A4"/>
    <w:rsid w:val="00191915"/>
    <w:rsid w:val="00191952"/>
    <w:rsid w:val="001919EE"/>
    <w:rsid w:val="00191A1A"/>
    <w:rsid w:val="00191A28"/>
    <w:rsid w:val="00191A2B"/>
    <w:rsid w:val="00191AB0"/>
    <w:rsid w:val="00191ACE"/>
    <w:rsid w:val="00191C21"/>
    <w:rsid w:val="00191DA8"/>
    <w:rsid w:val="00191DB5"/>
    <w:rsid w:val="00191E11"/>
    <w:rsid w:val="00191E41"/>
    <w:rsid w:val="00191ECD"/>
    <w:rsid w:val="00191F82"/>
    <w:rsid w:val="00192048"/>
    <w:rsid w:val="001921E8"/>
    <w:rsid w:val="00192273"/>
    <w:rsid w:val="0019229C"/>
    <w:rsid w:val="001922EE"/>
    <w:rsid w:val="00192317"/>
    <w:rsid w:val="001923AC"/>
    <w:rsid w:val="00192468"/>
    <w:rsid w:val="00192554"/>
    <w:rsid w:val="0019257D"/>
    <w:rsid w:val="00192588"/>
    <w:rsid w:val="001926A6"/>
    <w:rsid w:val="0019282E"/>
    <w:rsid w:val="001928AA"/>
    <w:rsid w:val="001928BE"/>
    <w:rsid w:val="00192907"/>
    <w:rsid w:val="00192994"/>
    <w:rsid w:val="00192A07"/>
    <w:rsid w:val="00192BB0"/>
    <w:rsid w:val="00192BC8"/>
    <w:rsid w:val="00192C3E"/>
    <w:rsid w:val="00192C79"/>
    <w:rsid w:val="00192C7B"/>
    <w:rsid w:val="00192CF9"/>
    <w:rsid w:val="00192D28"/>
    <w:rsid w:val="00192E55"/>
    <w:rsid w:val="00192F56"/>
    <w:rsid w:val="0019306F"/>
    <w:rsid w:val="001930BE"/>
    <w:rsid w:val="0019326C"/>
    <w:rsid w:val="0019331A"/>
    <w:rsid w:val="00193435"/>
    <w:rsid w:val="00193510"/>
    <w:rsid w:val="0019361C"/>
    <w:rsid w:val="00193707"/>
    <w:rsid w:val="0019371C"/>
    <w:rsid w:val="00193727"/>
    <w:rsid w:val="0019377A"/>
    <w:rsid w:val="001937A5"/>
    <w:rsid w:val="001937CF"/>
    <w:rsid w:val="001938FE"/>
    <w:rsid w:val="00193A11"/>
    <w:rsid w:val="00193AB1"/>
    <w:rsid w:val="00193AB4"/>
    <w:rsid w:val="00193ABD"/>
    <w:rsid w:val="00193B23"/>
    <w:rsid w:val="00193B35"/>
    <w:rsid w:val="00193B4C"/>
    <w:rsid w:val="00193B83"/>
    <w:rsid w:val="00193BBE"/>
    <w:rsid w:val="00193CF3"/>
    <w:rsid w:val="00193E52"/>
    <w:rsid w:val="00193EEF"/>
    <w:rsid w:val="00193FB1"/>
    <w:rsid w:val="0019422A"/>
    <w:rsid w:val="001942FA"/>
    <w:rsid w:val="00194528"/>
    <w:rsid w:val="0019457A"/>
    <w:rsid w:val="001945F4"/>
    <w:rsid w:val="0019466A"/>
    <w:rsid w:val="001946D7"/>
    <w:rsid w:val="001946E6"/>
    <w:rsid w:val="00194723"/>
    <w:rsid w:val="00194796"/>
    <w:rsid w:val="001947B2"/>
    <w:rsid w:val="0019483E"/>
    <w:rsid w:val="001948CD"/>
    <w:rsid w:val="00194975"/>
    <w:rsid w:val="001949A7"/>
    <w:rsid w:val="00194BB9"/>
    <w:rsid w:val="00194BC8"/>
    <w:rsid w:val="00194C4A"/>
    <w:rsid w:val="00194C6D"/>
    <w:rsid w:val="00194D59"/>
    <w:rsid w:val="00194D5E"/>
    <w:rsid w:val="00194D77"/>
    <w:rsid w:val="00194D93"/>
    <w:rsid w:val="00194DBC"/>
    <w:rsid w:val="00195058"/>
    <w:rsid w:val="00195072"/>
    <w:rsid w:val="0019508D"/>
    <w:rsid w:val="00195094"/>
    <w:rsid w:val="001950F0"/>
    <w:rsid w:val="00195117"/>
    <w:rsid w:val="00195276"/>
    <w:rsid w:val="001952E4"/>
    <w:rsid w:val="0019532D"/>
    <w:rsid w:val="0019538B"/>
    <w:rsid w:val="001953A0"/>
    <w:rsid w:val="00195410"/>
    <w:rsid w:val="00195437"/>
    <w:rsid w:val="0019546A"/>
    <w:rsid w:val="001954B0"/>
    <w:rsid w:val="001954B6"/>
    <w:rsid w:val="00195535"/>
    <w:rsid w:val="0019553C"/>
    <w:rsid w:val="001956A7"/>
    <w:rsid w:val="0019572C"/>
    <w:rsid w:val="00195739"/>
    <w:rsid w:val="00195795"/>
    <w:rsid w:val="0019581F"/>
    <w:rsid w:val="0019583C"/>
    <w:rsid w:val="00195851"/>
    <w:rsid w:val="001958B4"/>
    <w:rsid w:val="00195B48"/>
    <w:rsid w:val="00195B77"/>
    <w:rsid w:val="00195C4C"/>
    <w:rsid w:val="00195D5E"/>
    <w:rsid w:val="00195E49"/>
    <w:rsid w:val="00195E90"/>
    <w:rsid w:val="00196259"/>
    <w:rsid w:val="001962DF"/>
    <w:rsid w:val="001963F9"/>
    <w:rsid w:val="0019647F"/>
    <w:rsid w:val="001964A8"/>
    <w:rsid w:val="001964F8"/>
    <w:rsid w:val="0019659D"/>
    <w:rsid w:val="001966BE"/>
    <w:rsid w:val="00196813"/>
    <w:rsid w:val="00196838"/>
    <w:rsid w:val="001969F8"/>
    <w:rsid w:val="00196A7E"/>
    <w:rsid w:val="00196B7B"/>
    <w:rsid w:val="00196BB9"/>
    <w:rsid w:val="00196BBA"/>
    <w:rsid w:val="00196BBC"/>
    <w:rsid w:val="00196C94"/>
    <w:rsid w:val="00196CC8"/>
    <w:rsid w:val="00196D7D"/>
    <w:rsid w:val="00196ED1"/>
    <w:rsid w:val="00196ED4"/>
    <w:rsid w:val="00196FF8"/>
    <w:rsid w:val="0019707A"/>
    <w:rsid w:val="001970BB"/>
    <w:rsid w:val="0019710C"/>
    <w:rsid w:val="001972BE"/>
    <w:rsid w:val="001973D2"/>
    <w:rsid w:val="0019748F"/>
    <w:rsid w:val="001974EE"/>
    <w:rsid w:val="001975C3"/>
    <w:rsid w:val="00197605"/>
    <w:rsid w:val="0019765F"/>
    <w:rsid w:val="00197685"/>
    <w:rsid w:val="001976D0"/>
    <w:rsid w:val="00197714"/>
    <w:rsid w:val="001977D6"/>
    <w:rsid w:val="0019782A"/>
    <w:rsid w:val="0019785A"/>
    <w:rsid w:val="001978C8"/>
    <w:rsid w:val="0019797A"/>
    <w:rsid w:val="001979D2"/>
    <w:rsid w:val="001979E9"/>
    <w:rsid w:val="00197B6C"/>
    <w:rsid w:val="00197B7C"/>
    <w:rsid w:val="00197C2C"/>
    <w:rsid w:val="00197C2D"/>
    <w:rsid w:val="00197C33"/>
    <w:rsid w:val="00197C58"/>
    <w:rsid w:val="00197C7E"/>
    <w:rsid w:val="00197CDD"/>
    <w:rsid w:val="00197EBB"/>
    <w:rsid w:val="00197EE3"/>
    <w:rsid w:val="001A0175"/>
    <w:rsid w:val="001A024A"/>
    <w:rsid w:val="001A03E9"/>
    <w:rsid w:val="001A0408"/>
    <w:rsid w:val="001A04AB"/>
    <w:rsid w:val="001A050E"/>
    <w:rsid w:val="001A0634"/>
    <w:rsid w:val="001A06A9"/>
    <w:rsid w:val="001A0747"/>
    <w:rsid w:val="001A0840"/>
    <w:rsid w:val="001A0914"/>
    <w:rsid w:val="001A0934"/>
    <w:rsid w:val="001A0A97"/>
    <w:rsid w:val="001A0A9F"/>
    <w:rsid w:val="001A0AE4"/>
    <w:rsid w:val="001A0AFD"/>
    <w:rsid w:val="001A0BBB"/>
    <w:rsid w:val="001A0BD8"/>
    <w:rsid w:val="001A0BE0"/>
    <w:rsid w:val="001A0BE2"/>
    <w:rsid w:val="001A0C29"/>
    <w:rsid w:val="001A0D83"/>
    <w:rsid w:val="001A0DAE"/>
    <w:rsid w:val="001A0F28"/>
    <w:rsid w:val="001A0F34"/>
    <w:rsid w:val="001A0F42"/>
    <w:rsid w:val="001A1039"/>
    <w:rsid w:val="001A107E"/>
    <w:rsid w:val="001A126C"/>
    <w:rsid w:val="001A1338"/>
    <w:rsid w:val="001A134D"/>
    <w:rsid w:val="001A13A1"/>
    <w:rsid w:val="001A1585"/>
    <w:rsid w:val="001A17DD"/>
    <w:rsid w:val="001A185B"/>
    <w:rsid w:val="001A1999"/>
    <w:rsid w:val="001A1A4F"/>
    <w:rsid w:val="001A1B0F"/>
    <w:rsid w:val="001A1B2F"/>
    <w:rsid w:val="001A1B3F"/>
    <w:rsid w:val="001A1B55"/>
    <w:rsid w:val="001A1CEA"/>
    <w:rsid w:val="001A1D4E"/>
    <w:rsid w:val="001A1E3B"/>
    <w:rsid w:val="001A1EC9"/>
    <w:rsid w:val="001A1EFB"/>
    <w:rsid w:val="001A1FE9"/>
    <w:rsid w:val="001A2068"/>
    <w:rsid w:val="001A20DC"/>
    <w:rsid w:val="001A2109"/>
    <w:rsid w:val="001A21BF"/>
    <w:rsid w:val="001A2244"/>
    <w:rsid w:val="001A22B1"/>
    <w:rsid w:val="001A233E"/>
    <w:rsid w:val="001A234C"/>
    <w:rsid w:val="001A2676"/>
    <w:rsid w:val="001A273F"/>
    <w:rsid w:val="001A2783"/>
    <w:rsid w:val="001A27B7"/>
    <w:rsid w:val="001A287D"/>
    <w:rsid w:val="001A28C9"/>
    <w:rsid w:val="001A293E"/>
    <w:rsid w:val="001A29CC"/>
    <w:rsid w:val="001A2AA9"/>
    <w:rsid w:val="001A2B79"/>
    <w:rsid w:val="001A2B7E"/>
    <w:rsid w:val="001A2BF1"/>
    <w:rsid w:val="001A2C79"/>
    <w:rsid w:val="001A2EF9"/>
    <w:rsid w:val="001A2F92"/>
    <w:rsid w:val="001A2FDF"/>
    <w:rsid w:val="001A2FF5"/>
    <w:rsid w:val="001A3034"/>
    <w:rsid w:val="001A30AF"/>
    <w:rsid w:val="001A30CF"/>
    <w:rsid w:val="001A30F4"/>
    <w:rsid w:val="001A3108"/>
    <w:rsid w:val="001A3296"/>
    <w:rsid w:val="001A32FD"/>
    <w:rsid w:val="001A3322"/>
    <w:rsid w:val="001A3367"/>
    <w:rsid w:val="001A33D3"/>
    <w:rsid w:val="001A3412"/>
    <w:rsid w:val="001A34F8"/>
    <w:rsid w:val="001A3541"/>
    <w:rsid w:val="001A354D"/>
    <w:rsid w:val="001A36B6"/>
    <w:rsid w:val="001A3757"/>
    <w:rsid w:val="001A38EC"/>
    <w:rsid w:val="001A3903"/>
    <w:rsid w:val="001A3A43"/>
    <w:rsid w:val="001A3A8A"/>
    <w:rsid w:val="001A3B50"/>
    <w:rsid w:val="001A3BEE"/>
    <w:rsid w:val="001A3C16"/>
    <w:rsid w:val="001A3CC9"/>
    <w:rsid w:val="001A3D34"/>
    <w:rsid w:val="001A3D99"/>
    <w:rsid w:val="001A3DF3"/>
    <w:rsid w:val="001A3E7C"/>
    <w:rsid w:val="001A3E8F"/>
    <w:rsid w:val="001A3F14"/>
    <w:rsid w:val="001A3F69"/>
    <w:rsid w:val="001A40C9"/>
    <w:rsid w:val="001A40F0"/>
    <w:rsid w:val="001A41F9"/>
    <w:rsid w:val="001A447E"/>
    <w:rsid w:val="001A45B2"/>
    <w:rsid w:val="001A45F2"/>
    <w:rsid w:val="001A4629"/>
    <w:rsid w:val="001A4643"/>
    <w:rsid w:val="001A4660"/>
    <w:rsid w:val="001A474B"/>
    <w:rsid w:val="001A4845"/>
    <w:rsid w:val="001A48AC"/>
    <w:rsid w:val="001A48C4"/>
    <w:rsid w:val="001A4A38"/>
    <w:rsid w:val="001A4B30"/>
    <w:rsid w:val="001A4BCF"/>
    <w:rsid w:val="001A4BF7"/>
    <w:rsid w:val="001A4C9D"/>
    <w:rsid w:val="001A4D98"/>
    <w:rsid w:val="001A4E01"/>
    <w:rsid w:val="001A4E16"/>
    <w:rsid w:val="001A4F03"/>
    <w:rsid w:val="001A4F50"/>
    <w:rsid w:val="001A4F7A"/>
    <w:rsid w:val="001A4F9B"/>
    <w:rsid w:val="001A4FC7"/>
    <w:rsid w:val="001A509D"/>
    <w:rsid w:val="001A50C7"/>
    <w:rsid w:val="001A5128"/>
    <w:rsid w:val="001A52FF"/>
    <w:rsid w:val="001A532E"/>
    <w:rsid w:val="001A5343"/>
    <w:rsid w:val="001A5366"/>
    <w:rsid w:val="001A53C5"/>
    <w:rsid w:val="001A5431"/>
    <w:rsid w:val="001A5463"/>
    <w:rsid w:val="001A5486"/>
    <w:rsid w:val="001A5528"/>
    <w:rsid w:val="001A567D"/>
    <w:rsid w:val="001A56D0"/>
    <w:rsid w:val="001A580E"/>
    <w:rsid w:val="001A58B3"/>
    <w:rsid w:val="001A590A"/>
    <w:rsid w:val="001A592B"/>
    <w:rsid w:val="001A5932"/>
    <w:rsid w:val="001A59C2"/>
    <w:rsid w:val="001A5A71"/>
    <w:rsid w:val="001A5B51"/>
    <w:rsid w:val="001A5BE9"/>
    <w:rsid w:val="001A5C32"/>
    <w:rsid w:val="001A5DC2"/>
    <w:rsid w:val="001A5DF0"/>
    <w:rsid w:val="001A5E2B"/>
    <w:rsid w:val="001A602E"/>
    <w:rsid w:val="001A6091"/>
    <w:rsid w:val="001A60D1"/>
    <w:rsid w:val="001A610B"/>
    <w:rsid w:val="001A6135"/>
    <w:rsid w:val="001A6200"/>
    <w:rsid w:val="001A6222"/>
    <w:rsid w:val="001A6266"/>
    <w:rsid w:val="001A62B3"/>
    <w:rsid w:val="001A62D8"/>
    <w:rsid w:val="001A62E1"/>
    <w:rsid w:val="001A6317"/>
    <w:rsid w:val="001A6416"/>
    <w:rsid w:val="001A64EA"/>
    <w:rsid w:val="001A65E6"/>
    <w:rsid w:val="001A66A1"/>
    <w:rsid w:val="001A670A"/>
    <w:rsid w:val="001A6781"/>
    <w:rsid w:val="001A67A3"/>
    <w:rsid w:val="001A685C"/>
    <w:rsid w:val="001A6892"/>
    <w:rsid w:val="001A68B5"/>
    <w:rsid w:val="001A68F3"/>
    <w:rsid w:val="001A690A"/>
    <w:rsid w:val="001A69E5"/>
    <w:rsid w:val="001A6BBC"/>
    <w:rsid w:val="001A6CA2"/>
    <w:rsid w:val="001A6EC6"/>
    <w:rsid w:val="001A6EDD"/>
    <w:rsid w:val="001A6F05"/>
    <w:rsid w:val="001A6F08"/>
    <w:rsid w:val="001A6F72"/>
    <w:rsid w:val="001A6F8B"/>
    <w:rsid w:val="001A7024"/>
    <w:rsid w:val="001A706F"/>
    <w:rsid w:val="001A7137"/>
    <w:rsid w:val="001A71CB"/>
    <w:rsid w:val="001A7225"/>
    <w:rsid w:val="001A729C"/>
    <w:rsid w:val="001A72D4"/>
    <w:rsid w:val="001A748B"/>
    <w:rsid w:val="001A74C5"/>
    <w:rsid w:val="001A7535"/>
    <w:rsid w:val="001A768E"/>
    <w:rsid w:val="001A769E"/>
    <w:rsid w:val="001A782A"/>
    <w:rsid w:val="001A78B2"/>
    <w:rsid w:val="001A7990"/>
    <w:rsid w:val="001A7A97"/>
    <w:rsid w:val="001A7B23"/>
    <w:rsid w:val="001A7B6F"/>
    <w:rsid w:val="001A7B96"/>
    <w:rsid w:val="001A7BA5"/>
    <w:rsid w:val="001A7BA7"/>
    <w:rsid w:val="001A7BF0"/>
    <w:rsid w:val="001A7E13"/>
    <w:rsid w:val="001A7E81"/>
    <w:rsid w:val="001A7F67"/>
    <w:rsid w:val="001B0155"/>
    <w:rsid w:val="001B0161"/>
    <w:rsid w:val="001B029E"/>
    <w:rsid w:val="001B0308"/>
    <w:rsid w:val="001B0331"/>
    <w:rsid w:val="001B036A"/>
    <w:rsid w:val="001B03F6"/>
    <w:rsid w:val="001B0444"/>
    <w:rsid w:val="001B0476"/>
    <w:rsid w:val="001B056E"/>
    <w:rsid w:val="001B0581"/>
    <w:rsid w:val="001B05F5"/>
    <w:rsid w:val="001B061D"/>
    <w:rsid w:val="001B067B"/>
    <w:rsid w:val="001B06A3"/>
    <w:rsid w:val="001B0834"/>
    <w:rsid w:val="001B0886"/>
    <w:rsid w:val="001B08A1"/>
    <w:rsid w:val="001B08B2"/>
    <w:rsid w:val="001B0913"/>
    <w:rsid w:val="001B0921"/>
    <w:rsid w:val="001B0AA2"/>
    <w:rsid w:val="001B0ADC"/>
    <w:rsid w:val="001B0B58"/>
    <w:rsid w:val="001B0B9B"/>
    <w:rsid w:val="001B0BE9"/>
    <w:rsid w:val="001B0C29"/>
    <w:rsid w:val="001B0D3D"/>
    <w:rsid w:val="001B0DFD"/>
    <w:rsid w:val="001B0E04"/>
    <w:rsid w:val="001B0E07"/>
    <w:rsid w:val="001B0F31"/>
    <w:rsid w:val="001B0F58"/>
    <w:rsid w:val="001B0FF4"/>
    <w:rsid w:val="001B100F"/>
    <w:rsid w:val="001B11C5"/>
    <w:rsid w:val="001B1226"/>
    <w:rsid w:val="001B130A"/>
    <w:rsid w:val="001B136A"/>
    <w:rsid w:val="001B14CE"/>
    <w:rsid w:val="001B14F3"/>
    <w:rsid w:val="001B150C"/>
    <w:rsid w:val="001B1702"/>
    <w:rsid w:val="001B18B9"/>
    <w:rsid w:val="001B19A6"/>
    <w:rsid w:val="001B19CB"/>
    <w:rsid w:val="001B19FD"/>
    <w:rsid w:val="001B1A49"/>
    <w:rsid w:val="001B1AC8"/>
    <w:rsid w:val="001B1B09"/>
    <w:rsid w:val="001B1B4E"/>
    <w:rsid w:val="001B1BCB"/>
    <w:rsid w:val="001B1C17"/>
    <w:rsid w:val="001B2111"/>
    <w:rsid w:val="001B2206"/>
    <w:rsid w:val="001B22A1"/>
    <w:rsid w:val="001B22A8"/>
    <w:rsid w:val="001B2330"/>
    <w:rsid w:val="001B2375"/>
    <w:rsid w:val="001B249E"/>
    <w:rsid w:val="001B2605"/>
    <w:rsid w:val="001B2618"/>
    <w:rsid w:val="001B261F"/>
    <w:rsid w:val="001B2620"/>
    <w:rsid w:val="001B270B"/>
    <w:rsid w:val="001B2782"/>
    <w:rsid w:val="001B2788"/>
    <w:rsid w:val="001B2799"/>
    <w:rsid w:val="001B2884"/>
    <w:rsid w:val="001B2917"/>
    <w:rsid w:val="001B2AAE"/>
    <w:rsid w:val="001B2BD2"/>
    <w:rsid w:val="001B2C9C"/>
    <w:rsid w:val="001B2F9A"/>
    <w:rsid w:val="001B2FD6"/>
    <w:rsid w:val="001B3035"/>
    <w:rsid w:val="001B30AC"/>
    <w:rsid w:val="001B30E3"/>
    <w:rsid w:val="001B31E3"/>
    <w:rsid w:val="001B3520"/>
    <w:rsid w:val="001B353C"/>
    <w:rsid w:val="001B354E"/>
    <w:rsid w:val="001B364C"/>
    <w:rsid w:val="001B36B5"/>
    <w:rsid w:val="001B374A"/>
    <w:rsid w:val="001B3880"/>
    <w:rsid w:val="001B3978"/>
    <w:rsid w:val="001B3990"/>
    <w:rsid w:val="001B3A09"/>
    <w:rsid w:val="001B3A67"/>
    <w:rsid w:val="001B3A84"/>
    <w:rsid w:val="001B3C0A"/>
    <w:rsid w:val="001B3CB5"/>
    <w:rsid w:val="001B3D59"/>
    <w:rsid w:val="001B3DD5"/>
    <w:rsid w:val="001B3EAA"/>
    <w:rsid w:val="001B3F2C"/>
    <w:rsid w:val="001B4052"/>
    <w:rsid w:val="001B4068"/>
    <w:rsid w:val="001B40D8"/>
    <w:rsid w:val="001B4104"/>
    <w:rsid w:val="001B41A5"/>
    <w:rsid w:val="001B42E2"/>
    <w:rsid w:val="001B436F"/>
    <w:rsid w:val="001B446B"/>
    <w:rsid w:val="001B4487"/>
    <w:rsid w:val="001B4549"/>
    <w:rsid w:val="001B4580"/>
    <w:rsid w:val="001B46B5"/>
    <w:rsid w:val="001B476A"/>
    <w:rsid w:val="001B4783"/>
    <w:rsid w:val="001B487F"/>
    <w:rsid w:val="001B4888"/>
    <w:rsid w:val="001B49CB"/>
    <w:rsid w:val="001B4A57"/>
    <w:rsid w:val="001B4A94"/>
    <w:rsid w:val="001B4C1B"/>
    <w:rsid w:val="001B4C29"/>
    <w:rsid w:val="001B4DFF"/>
    <w:rsid w:val="001B4E26"/>
    <w:rsid w:val="001B4E44"/>
    <w:rsid w:val="001B4ED9"/>
    <w:rsid w:val="001B4F1B"/>
    <w:rsid w:val="001B5010"/>
    <w:rsid w:val="001B50B4"/>
    <w:rsid w:val="001B5137"/>
    <w:rsid w:val="001B51E5"/>
    <w:rsid w:val="001B5200"/>
    <w:rsid w:val="001B5256"/>
    <w:rsid w:val="001B526C"/>
    <w:rsid w:val="001B52CF"/>
    <w:rsid w:val="001B5309"/>
    <w:rsid w:val="001B5350"/>
    <w:rsid w:val="001B53AB"/>
    <w:rsid w:val="001B56F3"/>
    <w:rsid w:val="001B56F8"/>
    <w:rsid w:val="001B571F"/>
    <w:rsid w:val="001B58C3"/>
    <w:rsid w:val="001B5999"/>
    <w:rsid w:val="001B599D"/>
    <w:rsid w:val="001B5AF2"/>
    <w:rsid w:val="001B5B40"/>
    <w:rsid w:val="001B5D7A"/>
    <w:rsid w:val="001B5DF9"/>
    <w:rsid w:val="001B6002"/>
    <w:rsid w:val="001B60A0"/>
    <w:rsid w:val="001B6123"/>
    <w:rsid w:val="001B6166"/>
    <w:rsid w:val="001B61A6"/>
    <w:rsid w:val="001B61EE"/>
    <w:rsid w:val="001B62AE"/>
    <w:rsid w:val="001B6499"/>
    <w:rsid w:val="001B652D"/>
    <w:rsid w:val="001B6581"/>
    <w:rsid w:val="001B65E3"/>
    <w:rsid w:val="001B65FB"/>
    <w:rsid w:val="001B661E"/>
    <w:rsid w:val="001B6691"/>
    <w:rsid w:val="001B66F9"/>
    <w:rsid w:val="001B67A9"/>
    <w:rsid w:val="001B68B4"/>
    <w:rsid w:val="001B68C3"/>
    <w:rsid w:val="001B6964"/>
    <w:rsid w:val="001B699C"/>
    <w:rsid w:val="001B6A24"/>
    <w:rsid w:val="001B6A51"/>
    <w:rsid w:val="001B6D5A"/>
    <w:rsid w:val="001B6E30"/>
    <w:rsid w:val="001B6FE5"/>
    <w:rsid w:val="001B6FF5"/>
    <w:rsid w:val="001B70A2"/>
    <w:rsid w:val="001B7179"/>
    <w:rsid w:val="001B7189"/>
    <w:rsid w:val="001B723D"/>
    <w:rsid w:val="001B7305"/>
    <w:rsid w:val="001B7311"/>
    <w:rsid w:val="001B73A7"/>
    <w:rsid w:val="001B7451"/>
    <w:rsid w:val="001B754B"/>
    <w:rsid w:val="001B758F"/>
    <w:rsid w:val="001B7597"/>
    <w:rsid w:val="001B763F"/>
    <w:rsid w:val="001B76C7"/>
    <w:rsid w:val="001B76E3"/>
    <w:rsid w:val="001B76EC"/>
    <w:rsid w:val="001B770B"/>
    <w:rsid w:val="001B7710"/>
    <w:rsid w:val="001B775C"/>
    <w:rsid w:val="001B776A"/>
    <w:rsid w:val="001B781B"/>
    <w:rsid w:val="001B7950"/>
    <w:rsid w:val="001B7951"/>
    <w:rsid w:val="001B7966"/>
    <w:rsid w:val="001B7A2F"/>
    <w:rsid w:val="001B7A3F"/>
    <w:rsid w:val="001B7AD0"/>
    <w:rsid w:val="001B7BAB"/>
    <w:rsid w:val="001B7C77"/>
    <w:rsid w:val="001B7D61"/>
    <w:rsid w:val="001B7D91"/>
    <w:rsid w:val="001B7DAE"/>
    <w:rsid w:val="001B7EC5"/>
    <w:rsid w:val="001B7FAF"/>
    <w:rsid w:val="001C0042"/>
    <w:rsid w:val="001C006C"/>
    <w:rsid w:val="001C0126"/>
    <w:rsid w:val="001C0179"/>
    <w:rsid w:val="001C01EB"/>
    <w:rsid w:val="001C0258"/>
    <w:rsid w:val="001C02B6"/>
    <w:rsid w:val="001C02EC"/>
    <w:rsid w:val="001C03E0"/>
    <w:rsid w:val="001C0421"/>
    <w:rsid w:val="001C0430"/>
    <w:rsid w:val="001C045B"/>
    <w:rsid w:val="001C04E8"/>
    <w:rsid w:val="001C0556"/>
    <w:rsid w:val="001C0628"/>
    <w:rsid w:val="001C07AE"/>
    <w:rsid w:val="001C08C2"/>
    <w:rsid w:val="001C0914"/>
    <w:rsid w:val="001C09D9"/>
    <w:rsid w:val="001C09F1"/>
    <w:rsid w:val="001C0A07"/>
    <w:rsid w:val="001C0AC3"/>
    <w:rsid w:val="001C0B17"/>
    <w:rsid w:val="001C0BCC"/>
    <w:rsid w:val="001C0D2B"/>
    <w:rsid w:val="001C0D72"/>
    <w:rsid w:val="001C1026"/>
    <w:rsid w:val="001C1175"/>
    <w:rsid w:val="001C119A"/>
    <w:rsid w:val="001C12BB"/>
    <w:rsid w:val="001C1323"/>
    <w:rsid w:val="001C1377"/>
    <w:rsid w:val="001C1405"/>
    <w:rsid w:val="001C1408"/>
    <w:rsid w:val="001C1447"/>
    <w:rsid w:val="001C145E"/>
    <w:rsid w:val="001C14E8"/>
    <w:rsid w:val="001C1509"/>
    <w:rsid w:val="001C16CA"/>
    <w:rsid w:val="001C1794"/>
    <w:rsid w:val="001C17C9"/>
    <w:rsid w:val="001C18E9"/>
    <w:rsid w:val="001C1958"/>
    <w:rsid w:val="001C19C6"/>
    <w:rsid w:val="001C1A8A"/>
    <w:rsid w:val="001C1CCE"/>
    <w:rsid w:val="001C1D9E"/>
    <w:rsid w:val="001C1E68"/>
    <w:rsid w:val="001C1ECF"/>
    <w:rsid w:val="001C1ED2"/>
    <w:rsid w:val="001C1F64"/>
    <w:rsid w:val="001C1FA4"/>
    <w:rsid w:val="001C1FC2"/>
    <w:rsid w:val="001C219F"/>
    <w:rsid w:val="001C22E6"/>
    <w:rsid w:val="001C23AF"/>
    <w:rsid w:val="001C2482"/>
    <w:rsid w:val="001C2524"/>
    <w:rsid w:val="001C2537"/>
    <w:rsid w:val="001C2603"/>
    <w:rsid w:val="001C2667"/>
    <w:rsid w:val="001C26E4"/>
    <w:rsid w:val="001C26ED"/>
    <w:rsid w:val="001C2801"/>
    <w:rsid w:val="001C281F"/>
    <w:rsid w:val="001C28F3"/>
    <w:rsid w:val="001C2959"/>
    <w:rsid w:val="001C2A91"/>
    <w:rsid w:val="001C2B38"/>
    <w:rsid w:val="001C2C36"/>
    <w:rsid w:val="001C2D9C"/>
    <w:rsid w:val="001C2F2B"/>
    <w:rsid w:val="001C3029"/>
    <w:rsid w:val="001C30B9"/>
    <w:rsid w:val="001C30C8"/>
    <w:rsid w:val="001C3145"/>
    <w:rsid w:val="001C318D"/>
    <w:rsid w:val="001C3192"/>
    <w:rsid w:val="001C31BC"/>
    <w:rsid w:val="001C31BD"/>
    <w:rsid w:val="001C32EC"/>
    <w:rsid w:val="001C3367"/>
    <w:rsid w:val="001C3495"/>
    <w:rsid w:val="001C34C2"/>
    <w:rsid w:val="001C3607"/>
    <w:rsid w:val="001C3638"/>
    <w:rsid w:val="001C3735"/>
    <w:rsid w:val="001C373B"/>
    <w:rsid w:val="001C375A"/>
    <w:rsid w:val="001C3956"/>
    <w:rsid w:val="001C3969"/>
    <w:rsid w:val="001C39F6"/>
    <w:rsid w:val="001C3B50"/>
    <w:rsid w:val="001C3B79"/>
    <w:rsid w:val="001C3BF9"/>
    <w:rsid w:val="001C3C03"/>
    <w:rsid w:val="001C3CCE"/>
    <w:rsid w:val="001C3D60"/>
    <w:rsid w:val="001C3E09"/>
    <w:rsid w:val="001C3E7B"/>
    <w:rsid w:val="001C3E9B"/>
    <w:rsid w:val="001C3F4A"/>
    <w:rsid w:val="001C3FD1"/>
    <w:rsid w:val="001C411E"/>
    <w:rsid w:val="001C4167"/>
    <w:rsid w:val="001C41CE"/>
    <w:rsid w:val="001C425C"/>
    <w:rsid w:val="001C4260"/>
    <w:rsid w:val="001C42C1"/>
    <w:rsid w:val="001C4330"/>
    <w:rsid w:val="001C44AF"/>
    <w:rsid w:val="001C4528"/>
    <w:rsid w:val="001C460A"/>
    <w:rsid w:val="001C4696"/>
    <w:rsid w:val="001C46B4"/>
    <w:rsid w:val="001C47A1"/>
    <w:rsid w:val="001C484D"/>
    <w:rsid w:val="001C492F"/>
    <w:rsid w:val="001C4944"/>
    <w:rsid w:val="001C4954"/>
    <w:rsid w:val="001C4959"/>
    <w:rsid w:val="001C49E7"/>
    <w:rsid w:val="001C4A33"/>
    <w:rsid w:val="001C4B9E"/>
    <w:rsid w:val="001C4CD3"/>
    <w:rsid w:val="001C4CE6"/>
    <w:rsid w:val="001C4CF8"/>
    <w:rsid w:val="001C4D22"/>
    <w:rsid w:val="001C4D59"/>
    <w:rsid w:val="001C4D6A"/>
    <w:rsid w:val="001C4FEC"/>
    <w:rsid w:val="001C504B"/>
    <w:rsid w:val="001C51CE"/>
    <w:rsid w:val="001C526F"/>
    <w:rsid w:val="001C547A"/>
    <w:rsid w:val="001C5483"/>
    <w:rsid w:val="001C54E7"/>
    <w:rsid w:val="001C5546"/>
    <w:rsid w:val="001C574E"/>
    <w:rsid w:val="001C58A6"/>
    <w:rsid w:val="001C590C"/>
    <w:rsid w:val="001C5963"/>
    <w:rsid w:val="001C5A5B"/>
    <w:rsid w:val="001C5AAC"/>
    <w:rsid w:val="001C5B15"/>
    <w:rsid w:val="001C5C1F"/>
    <w:rsid w:val="001C5C6F"/>
    <w:rsid w:val="001C5D79"/>
    <w:rsid w:val="001C5D8A"/>
    <w:rsid w:val="001C5F63"/>
    <w:rsid w:val="001C5FB2"/>
    <w:rsid w:val="001C61FD"/>
    <w:rsid w:val="001C621A"/>
    <w:rsid w:val="001C6300"/>
    <w:rsid w:val="001C6355"/>
    <w:rsid w:val="001C6430"/>
    <w:rsid w:val="001C64CE"/>
    <w:rsid w:val="001C65CD"/>
    <w:rsid w:val="001C6779"/>
    <w:rsid w:val="001C6785"/>
    <w:rsid w:val="001C680D"/>
    <w:rsid w:val="001C6A16"/>
    <w:rsid w:val="001C6AC8"/>
    <w:rsid w:val="001C6AD4"/>
    <w:rsid w:val="001C6ADB"/>
    <w:rsid w:val="001C6BE9"/>
    <w:rsid w:val="001C6C59"/>
    <w:rsid w:val="001C6C6C"/>
    <w:rsid w:val="001C6D47"/>
    <w:rsid w:val="001C6E08"/>
    <w:rsid w:val="001C6ED3"/>
    <w:rsid w:val="001C6F04"/>
    <w:rsid w:val="001C6F09"/>
    <w:rsid w:val="001C6F8A"/>
    <w:rsid w:val="001C6FE1"/>
    <w:rsid w:val="001C719C"/>
    <w:rsid w:val="001C7210"/>
    <w:rsid w:val="001C724F"/>
    <w:rsid w:val="001C75B3"/>
    <w:rsid w:val="001C76BE"/>
    <w:rsid w:val="001C775E"/>
    <w:rsid w:val="001C7855"/>
    <w:rsid w:val="001C786D"/>
    <w:rsid w:val="001C78BC"/>
    <w:rsid w:val="001C794A"/>
    <w:rsid w:val="001C7A62"/>
    <w:rsid w:val="001C7B1F"/>
    <w:rsid w:val="001C7B25"/>
    <w:rsid w:val="001C7B3C"/>
    <w:rsid w:val="001C7B88"/>
    <w:rsid w:val="001C7B8C"/>
    <w:rsid w:val="001C7C96"/>
    <w:rsid w:val="001C7C9E"/>
    <w:rsid w:val="001C7D2F"/>
    <w:rsid w:val="001C7DD0"/>
    <w:rsid w:val="001C7E3E"/>
    <w:rsid w:val="001C7E41"/>
    <w:rsid w:val="001C7F09"/>
    <w:rsid w:val="001C7FB3"/>
    <w:rsid w:val="001C7FF1"/>
    <w:rsid w:val="001D00E4"/>
    <w:rsid w:val="001D0185"/>
    <w:rsid w:val="001D01EA"/>
    <w:rsid w:val="001D0328"/>
    <w:rsid w:val="001D03EC"/>
    <w:rsid w:val="001D0411"/>
    <w:rsid w:val="001D05C1"/>
    <w:rsid w:val="001D05CC"/>
    <w:rsid w:val="001D0641"/>
    <w:rsid w:val="001D07A0"/>
    <w:rsid w:val="001D07DC"/>
    <w:rsid w:val="001D0892"/>
    <w:rsid w:val="001D08ED"/>
    <w:rsid w:val="001D0942"/>
    <w:rsid w:val="001D0967"/>
    <w:rsid w:val="001D0A1D"/>
    <w:rsid w:val="001D0A55"/>
    <w:rsid w:val="001D0C1E"/>
    <w:rsid w:val="001D0CFF"/>
    <w:rsid w:val="001D0D62"/>
    <w:rsid w:val="001D0D8D"/>
    <w:rsid w:val="001D0DA8"/>
    <w:rsid w:val="001D129F"/>
    <w:rsid w:val="001D13A6"/>
    <w:rsid w:val="001D13EE"/>
    <w:rsid w:val="001D141C"/>
    <w:rsid w:val="001D1447"/>
    <w:rsid w:val="001D1479"/>
    <w:rsid w:val="001D1495"/>
    <w:rsid w:val="001D14D0"/>
    <w:rsid w:val="001D15A9"/>
    <w:rsid w:val="001D15D1"/>
    <w:rsid w:val="001D163A"/>
    <w:rsid w:val="001D16C2"/>
    <w:rsid w:val="001D1708"/>
    <w:rsid w:val="001D178A"/>
    <w:rsid w:val="001D17C4"/>
    <w:rsid w:val="001D18B1"/>
    <w:rsid w:val="001D1965"/>
    <w:rsid w:val="001D1A62"/>
    <w:rsid w:val="001D1AF2"/>
    <w:rsid w:val="001D1B28"/>
    <w:rsid w:val="001D1B68"/>
    <w:rsid w:val="001D1B93"/>
    <w:rsid w:val="001D1C3A"/>
    <w:rsid w:val="001D1CF4"/>
    <w:rsid w:val="001D1E99"/>
    <w:rsid w:val="001D2053"/>
    <w:rsid w:val="001D20A0"/>
    <w:rsid w:val="001D20C9"/>
    <w:rsid w:val="001D20F4"/>
    <w:rsid w:val="001D211D"/>
    <w:rsid w:val="001D21D1"/>
    <w:rsid w:val="001D21FD"/>
    <w:rsid w:val="001D2250"/>
    <w:rsid w:val="001D2361"/>
    <w:rsid w:val="001D238A"/>
    <w:rsid w:val="001D23BB"/>
    <w:rsid w:val="001D24B0"/>
    <w:rsid w:val="001D25BD"/>
    <w:rsid w:val="001D25BE"/>
    <w:rsid w:val="001D264C"/>
    <w:rsid w:val="001D2800"/>
    <w:rsid w:val="001D29D8"/>
    <w:rsid w:val="001D2AA6"/>
    <w:rsid w:val="001D2B0F"/>
    <w:rsid w:val="001D2C0C"/>
    <w:rsid w:val="001D2C67"/>
    <w:rsid w:val="001D2D3A"/>
    <w:rsid w:val="001D2D5F"/>
    <w:rsid w:val="001D2E45"/>
    <w:rsid w:val="001D2E95"/>
    <w:rsid w:val="001D2F42"/>
    <w:rsid w:val="001D2F8D"/>
    <w:rsid w:val="001D2FE9"/>
    <w:rsid w:val="001D3045"/>
    <w:rsid w:val="001D3070"/>
    <w:rsid w:val="001D3181"/>
    <w:rsid w:val="001D3331"/>
    <w:rsid w:val="001D339C"/>
    <w:rsid w:val="001D388D"/>
    <w:rsid w:val="001D3995"/>
    <w:rsid w:val="001D39DC"/>
    <w:rsid w:val="001D3A7C"/>
    <w:rsid w:val="001D3B2F"/>
    <w:rsid w:val="001D3B46"/>
    <w:rsid w:val="001D3B69"/>
    <w:rsid w:val="001D3CCA"/>
    <w:rsid w:val="001D3CE5"/>
    <w:rsid w:val="001D3CEB"/>
    <w:rsid w:val="001D3D7E"/>
    <w:rsid w:val="001D3E04"/>
    <w:rsid w:val="001D3F43"/>
    <w:rsid w:val="001D3F54"/>
    <w:rsid w:val="001D3F57"/>
    <w:rsid w:val="001D4000"/>
    <w:rsid w:val="001D4010"/>
    <w:rsid w:val="001D416C"/>
    <w:rsid w:val="001D4299"/>
    <w:rsid w:val="001D43E3"/>
    <w:rsid w:val="001D43FA"/>
    <w:rsid w:val="001D445A"/>
    <w:rsid w:val="001D4597"/>
    <w:rsid w:val="001D472A"/>
    <w:rsid w:val="001D477C"/>
    <w:rsid w:val="001D47AE"/>
    <w:rsid w:val="001D4898"/>
    <w:rsid w:val="001D48FC"/>
    <w:rsid w:val="001D49DC"/>
    <w:rsid w:val="001D4ADB"/>
    <w:rsid w:val="001D4AE9"/>
    <w:rsid w:val="001D4C49"/>
    <w:rsid w:val="001D4C92"/>
    <w:rsid w:val="001D4D01"/>
    <w:rsid w:val="001D4DA8"/>
    <w:rsid w:val="001D4DF4"/>
    <w:rsid w:val="001D4E02"/>
    <w:rsid w:val="001D4EC0"/>
    <w:rsid w:val="001D4F06"/>
    <w:rsid w:val="001D4F0F"/>
    <w:rsid w:val="001D5025"/>
    <w:rsid w:val="001D5026"/>
    <w:rsid w:val="001D5055"/>
    <w:rsid w:val="001D5065"/>
    <w:rsid w:val="001D508B"/>
    <w:rsid w:val="001D52EA"/>
    <w:rsid w:val="001D52FD"/>
    <w:rsid w:val="001D5492"/>
    <w:rsid w:val="001D5689"/>
    <w:rsid w:val="001D5857"/>
    <w:rsid w:val="001D591B"/>
    <w:rsid w:val="001D5937"/>
    <w:rsid w:val="001D5B48"/>
    <w:rsid w:val="001D5B77"/>
    <w:rsid w:val="001D5CF1"/>
    <w:rsid w:val="001D5D04"/>
    <w:rsid w:val="001D5D71"/>
    <w:rsid w:val="001D5D76"/>
    <w:rsid w:val="001D5DDC"/>
    <w:rsid w:val="001D5E44"/>
    <w:rsid w:val="001D5E6E"/>
    <w:rsid w:val="001D5EC0"/>
    <w:rsid w:val="001D5F32"/>
    <w:rsid w:val="001D5F55"/>
    <w:rsid w:val="001D5F6B"/>
    <w:rsid w:val="001D5FDD"/>
    <w:rsid w:val="001D6046"/>
    <w:rsid w:val="001D60B2"/>
    <w:rsid w:val="001D6295"/>
    <w:rsid w:val="001D629A"/>
    <w:rsid w:val="001D62D9"/>
    <w:rsid w:val="001D6388"/>
    <w:rsid w:val="001D638A"/>
    <w:rsid w:val="001D63EF"/>
    <w:rsid w:val="001D66C9"/>
    <w:rsid w:val="001D672C"/>
    <w:rsid w:val="001D676C"/>
    <w:rsid w:val="001D679F"/>
    <w:rsid w:val="001D67B8"/>
    <w:rsid w:val="001D67E1"/>
    <w:rsid w:val="001D6806"/>
    <w:rsid w:val="001D6859"/>
    <w:rsid w:val="001D6996"/>
    <w:rsid w:val="001D6A5F"/>
    <w:rsid w:val="001D6A90"/>
    <w:rsid w:val="001D6AA9"/>
    <w:rsid w:val="001D6B78"/>
    <w:rsid w:val="001D6C2E"/>
    <w:rsid w:val="001D6C66"/>
    <w:rsid w:val="001D6CAC"/>
    <w:rsid w:val="001D6CF4"/>
    <w:rsid w:val="001D6D04"/>
    <w:rsid w:val="001D6DAE"/>
    <w:rsid w:val="001D6DB9"/>
    <w:rsid w:val="001D6E1A"/>
    <w:rsid w:val="001D6F09"/>
    <w:rsid w:val="001D6F96"/>
    <w:rsid w:val="001D7032"/>
    <w:rsid w:val="001D70C3"/>
    <w:rsid w:val="001D70E9"/>
    <w:rsid w:val="001D7167"/>
    <w:rsid w:val="001D7207"/>
    <w:rsid w:val="001D7267"/>
    <w:rsid w:val="001D74E2"/>
    <w:rsid w:val="001D758F"/>
    <w:rsid w:val="001D762F"/>
    <w:rsid w:val="001D765E"/>
    <w:rsid w:val="001D769D"/>
    <w:rsid w:val="001D7753"/>
    <w:rsid w:val="001D783F"/>
    <w:rsid w:val="001D78E4"/>
    <w:rsid w:val="001D7946"/>
    <w:rsid w:val="001D7965"/>
    <w:rsid w:val="001D797C"/>
    <w:rsid w:val="001D79E1"/>
    <w:rsid w:val="001D7A8E"/>
    <w:rsid w:val="001D7AA8"/>
    <w:rsid w:val="001D7BBB"/>
    <w:rsid w:val="001D7BDC"/>
    <w:rsid w:val="001D7C24"/>
    <w:rsid w:val="001D7C8C"/>
    <w:rsid w:val="001D7CF1"/>
    <w:rsid w:val="001D7D7C"/>
    <w:rsid w:val="001D7DB3"/>
    <w:rsid w:val="001D7F3F"/>
    <w:rsid w:val="001D7F84"/>
    <w:rsid w:val="001E0148"/>
    <w:rsid w:val="001E0179"/>
    <w:rsid w:val="001E01CB"/>
    <w:rsid w:val="001E024C"/>
    <w:rsid w:val="001E030E"/>
    <w:rsid w:val="001E0350"/>
    <w:rsid w:val="001E0440"/>
    <w:rsid w:val="001E0458"/>
    <w:rsid w:val="001E0470"/>
    <w:rsid w:val="001E05AC"/>
    <w:rsid w:val="001E05C9"/>
    <w:rsid w:val="001E06EE"/>
    <w:rsid w:val="001E0784"/>
    <w:rsid w:val="001E0804"/>
    <w:rsid w:val="001E091A"/>
    <w:rsid w:val="001E092F"/>
    <w:rsid w:val="001E0965"/>
    <w:rsid w:val="001E0AD3"/>
    <w:rsid w:val="001E0B6A"/>
    <w:rsid w:val="001E0BBF"/>
    <w:rsid w:val="001E0C7B"/>
    <w:rsid w:val="001E0D6F"/>
    <w:rsid w:val="001E0E9F"/>
    <w:rsid w:val="001E0EF1"/>
    <w:rsid w:val="001E0F2F"/>
    <w:rsid w:val="001E1033"/>
    <w:rsid w:val="001E1258"/>
    <w:rsid w:val="001E1297"/>
    <w:rsid w:val="001E12CE"/>
    <w:rsid w:val="001E12F2"/>
    <w:rsid w:val="001E133D"/>
    <w:rsid w:val="001E1406"/>
    <w:rsid w:val="001E14EC"/>
    <w:rsid w:val="001E155E"/>
    <w:rsid w:val="001E1560"/>
    <w:rsid w:val="001E15DE"/>
    <w:rsid w:val="001E16F0"/>
    <w:rsid w:val="001E16F7"/>
    <w:rsid w:val="001E18B7"/>
    <w:rsid w:val="001E1993"/>
    <w:rsid w:val="001E19E5"/>
    <w:rsid w:val="001E1A31"/>
    <w:rsid w:val="001E1A82"/>
    <w:rsid w:val="001E1BDD"/>
    <w:rsid w:val="001E1C45"/>
    <w:rsid w:val="001E1CAA"/>
    <w:rsid w:val="001E1E1F"/>
    <w:rsid w:val="001E1F31"/>
    <w:rsid w:val="001E1F55"/>
    <w:rsid w:val="001E2059"/>
    <w:rsid w:val="001E2075"/>
    <w:rsid w:val="001E2348"/>
    <w:rsid w:val="001E2412"/>
    <w:rsid w:val="001E24C8"/>
    <w:rsid w:val="001E253B"/>
    <w:rsid w:val="001E2575"/>
    <w:rsid w:val="001E2635"/>
    <w:rsid w:val="001E26B8"/>
    <w:rsid w:val="001E2837"/>
    <w:rsid w:val="001E28A1"/>
    <w:rsid w:val="001E28EC"/>
    <w:rsid w:val="001E2981"/>
    <w:rsid w:val="001E29BF"/>
    <w:rsid w:val="001E2A4D"/>
    <w:rsid w:val="001E2B21"/>
    <w:rsid w:val="001E2B3B"/>
    <w:rsid w:val="001E2D28"/>
    <w:rsid w:val="001E2D72"/>
    <w:rsid w:val="001E2E3B"/>
    <w:rsid w:val="001E2F09"/>
    <w:rsid w:val="001E2F81"/>
    <w:rsid w:val="001E3002"/>
    <w:rsid w:val="001E3054"/>
    <w:rsid w:val="001E306F"/>
    <w:rsid w:val="001E3085"/>
    <w:rsid w:val="001E30BB"/>
    <w:rsid w:val="001E30E7"/>
    <w:rsid w:val="001E3170"/>
    <w:rsid w:val="001E328D"/>
    <w:rsid w:val="001E32EF"/>
    <w:rsid w:val="001E339D"/>
    <w:rsid w:val="001E33AC"/>
    <w:rsid w:val="001E36A0"/>
    <w:rsid w:val="001E36CA"/>
    <w:rsid w:val="001E3785"/>
    <w:rsid w:val="001E3836"/>
    <w:rsid w:val="001E3872"/>
    <w:rsid w:val="001E3894"/>
    <w:rsid w:val="001E3944"/>
    <w:rsid w:val="001E3945"/>
    <w:rsid w:val="001E396B"/>
    <w:rsid w:val="001E3A0B"/>
    <w:rsid w:val="001E3A85"/>
    <w:rsid w:val="001E3B18"/>
    <w:rsid w:val="001E3BFF"/>
    <w:rsid w:val="001E3C39"/>
    <w:rsid w:val="001E3C5C"/>
    <w:rsid w:val="001E3CEC"/>
    <w:rsid w:val="001E3D23"/>
    <w:rsid w:val="001E3DB6"/>
    <w:rsid w:val="001E3DC4"/>
    <w:rsid w:val="001E3E39"/>
    <w:rsid w:val="001E3EAE"/>
    <w:rsid w:val="001E3FEB"/>
    <w:rsid w:val="001E40C1"/>
    <w:rsid w:val="001E40D3"/>
    <w:rsid w:val="001E4152"/>
    <w:rsid w:val="001E41BE"/>
    <w:rsid w:val="001E421A"/>
    <w:rsid w:val="001E42B4"/>
    <w:rsid w:val="001E4358"/>
    <w:rsid w:val="001E4543"/>
    <w:rsid w:val="001E45BF"/>
    <w:rsid w:val="001E45D5"/>
    <w:rsid w:val="001E4874"/>
    <w:rsid w:val="001E48A6"/>
    <w:rsid w:val="001E48D6"/>
    <w:rsid w:val="001E4A4C"/>
    <w:rsid w:val="001E4A50"/>
    <w:rsid w:val="001E4AB6"/>
    <w:rsid w:val="001E4B01"/>
    <w:rsid w:val="001E4B8A"/>
    <w:rsid w:val="001E4BCB"/>
    <w:rsid w:val="001E4C29"/>
    <w:rsid w:val="001E4C86"/>
    <w:rsid w:val="001E4D19"/>
    <w:rsid w:val="001E4FA8"/>
    <w:rsid w:val="001E510B"/>
    <w:rsid w:val="001E52A7"/>
    <w:rsid w:val="001E5385"/>
    <w:rsid w:val="001E53F0"/>
    <w:rsid w:val="001E5463"/>
    <w:rsid w:val="001E5490"/>
    <w:rsid w:val="001E5545"/>
    <w:rsid w:val="001E55A3"/>
    <w:rsid w:val="001E5822"/>
    <w:rsid w:val="001E586C"/>
    <w:rsid w:val="001E58F5"/>
    <w:rsid w:val="001E5921"/>
    <w:rsid w:val="001E5BF2"/>
    <w:rsid w:val="001E5D24"/>
    <w:rsid w:val="001E5D81"/>
    <w:rsid w:val="001E5F24"/>
    <w:rsid w:val="001E60E1"/>
    <w:rsid w:val="001E6200"/>
    <w:rsid w:val="001E6276"/>
    <w:rsid w:val="001E6502"/>
    <w:rsid w:val="001E65DE"/>
    <w:rsid w:val="001E66BC"/>
    <w:rsid w:val="001E676C"/>
    <w:rsid w:val="001E67E7"/>
    <w:rsid w:val="001E682A"/>
    <w:rsid w:val="001E6855"/>
    <w:rsid w:val="001E686D"/>
    <w:rsid w:val="001E68DC"/>
    <w:rsid w:val="001E68EF"/>
    <w:rsid w:val="001E6A82"/>
    <w:rsid w:val="001E6C2C"/>
    <w:rsid w:val="001E6C43"/>
    <w:rsid w:val="001E6C4D"/>
    <w:rsid w:val="001E6D24"/>
    <w:rsid w:val="001E6D3A"/>
    <w:rsid w:val="001E6F58"/>
    <w:rsid w:val="001E6F88"/>
    <w:rsid w:val="001E70C5"/>
    <w:rsid w:val="001E7108"/>
    <w:rsid w:val="001E72E1"/>
    <w:rsid w:val="001E733E"/>
    <w:rsid w:val="001E742F"/>
    <w:rsid w:val="001E7441"/>
    <w:rsid w:val="001E7472"/>
    <w:rsid w:val="001E75F6"/>
    <w:rsid w:val="001E7619"/>
    <w:rsid w:val="001E7645"/>
    <w:rsid w:val="001E76C6"/>
    <w:rsid w:val="001E7735"/>
    <w:rsid w:val="001E77BE"/>
    <w:rsid w:val="001E77BF"/>
    <w:rsid w:val="001E7825"/>
    <w:rsid w:val="001E79C8"/>
    <w:rsid w:val="001E7A77"/>
    <w:rsid w:val="001E7C47"/>
    <w:rsid w:val="001E7D5F"/>
    <w:rsid w:val="001E7D79"/>
    <w:rsid w:val="001E7E65"/>
    <w:rsid w:val="001E7E72"/>
    <w:rsid w:val="001E7F62"/>
    <w:rsid w:val="001E7F89"/>
    <w:rsid w:val="001F0112"/>
    <w:rsid w:val="001F01FD"/>
    <w:rsid w:val="001F02A9"/>
    <w:rsid w:val="001F034D"/>
    <w:rsid w:val="001F0380"/>
    <w:rsid w:val="001F0431"/>
    <w:rsid w:val="001F04C7"/>
    <w:rsid w:val="001F0572"/>
    <w:rsid w:val="001F0731"/>
    <w:rsid w:val="001F0750"/>
    <w:rsid w:val="001F08A3"/>
    <w:rsid w:val="001F08DA"/>
    <w:rsid w:val="001F09C9"/>
    <w:rsid w:val="001F0A1C"/>
    <w:rsid w:val="001F0B4B"/>
    <w:rsid w:val="001F0D11"/>
    <w:rsid w:val="001F0D65"/>
    <w:rsid w:val="001F0E13"/>
    <w:rsid w:val="001F0E2F"/>
    <w:rsid w:val="001F0E5B"/>
    <w:rsid w:val="001F0E89"/>
    <w:rsid w:val="001F0FF2"/>
    <w:rsid w:val="001F10B3"/>
    <w:rsid w:val="001F10ED"/>
    <w:rsid w:val="001F12FE"/>
    <w:rsid w:val="001F1386"/>
    <w:rsid w:val="001F13BF"/>
    <w:rsid w:val="001F149B"/>
    <w:rsid w:val="001F15BD"/>
    <w:rsid w:val="001F1785"/>
    <w:rsid w:val="001F1831"/>
    <w:rsid w:val="001F1899"/>
    <w:rsid w:val="001F18EF"/>
    <w:rsid w:val="001F1917"/>
    <w:rsid w:val="001F1AA5"/>
    <w:rsid w:val="001F1C13"/>
    <w:rsid w:val="001F1C62"/>
    <w:rsid w:val="001F1C99"/>
    <w:rsid w:val="001F1CEA"/>
    <w:rsid w:val="001F1D46"/>
    <w:rsid w:val="001F1DAF"/>
    <w:rsid w:val="001F1DD7"/>
    <w:rsid w:val="001F2055"/>
    <w:rsid w:val="001F209C"/>
    <w:rsid w:val="001F20B3"/>
    <w:rsid w:val="001F20B4"/>
    <w:rsid w:val="001F21E4"/>
    <w:rsid w:val="001F21FE"/>
    <w:rsid w:val="001F2268"/>
    <w:rsid w:val="001F2276"/>
    <w:rsid w:val="001F2372"/>
    <w:rsid w:val="001F24DE"/>
    <w:rsid w:val="001F25BA"/>
    <w:rsid w:val="001F25F0"/>
    <w:rsid w:val="001F2666"/>
    <w:rsid w:val="001F26BF"/>
    <w:rsid w:val="001F26C7"/>
    <w:rsid w:val="001F28A8"/>
    <w:rsid w:val="001F298F"/>
    <w:rsid w:val="001F29A4"/>
    <w:rsid w:val="001F29F0"/>
    <w:rsid w:val="001F2A0A"/>
    <w:rsid w:val="001F2A0D"/>
    <w:rsid w:val="001F2B27"/>
    <w:rsid w:val="001F2B91"/>
    <w:rsid w:val="001F2BE6"/>
    <w:rsid w:val="001F2C24"/>
    <w:rsid w:val="001F2D25"/>
    <w:rsid w:val="001F2DBF"/>
    <w:rsid w:val="001F2DCB"/>
    <w:rsid w:val="001F2E61"/>
    <w:rsid w:val="001F2E91"/>
    <w:rsid w:val="001F3049"/>
    <w:rsid w:val="001F3079"/>
    <w:rsid w:val="001F30A3"/>
    <w:rsid w:val="001F30C6"/>
    <w:rsid w:val="001F3187"/>
    <w:rsid w:val="001F31C3"/>
    <w:rsid w:val="001F3320"/>
    <w:rsid w:val="001F3357"/>
    <w:rsid w:val="001F3414"/>
    <w:rsid w:val="001F3516"/>
    <w:rsid w:val="001F3686"/>
    <w:rsid w:val="001F36AD"/>
    <w:rsid w:val="001F36C9"/>
    <w:rsid w:val="001F3781"/>
    <w:rsid w:val="001F38DB"/>
    <w:rsid w:val="001F3BE1"/>
    <w:rsid w:val="001F3C4E"/>
    <w:rsid w:val="001F3CEF"/>
    <w:rsid w:val="001F3D11"/>
    <w:rsid w:val="001F3DEC"/>
    <w:rsid w:val="001F3EE7"/>
    <w:rsid w:val="001F3F8A"/>
    <w:rsid w:val="001F3F98"/>
    <w:rsid w:val="001F4034"/>
    <w:rsid w:val="001F407D"/>
    <w:rsid w:val="001F40C3"/>
    <w:rsid w:val="001F4118"/>
    <w:rsid w:val="001F414A"/>
    <w:rsid w:val="001F416B"/>
    <w:rsid w:val="001F431E"/>
    <w:rsid w:val="001F437F"/>
    <w:rsid w:val="001F43A0"/>
    <w:rsid w:val="001F442B"/>
    <w:rsid w:val="001F4448"/>
    <w:rsid w:val="001F4522"/>
    <w:rsid w:val="001F455E"/>
    <w:rsid w:val="001F4711"/>
    <w:rsid w:val="001F4733"/>
    <w:rsid w:val="001F4786"/>
    <w:rsid w:val="001F4791"/>
    <w:rsid w:val="001F49CE"/>
    <w:rsid w:val="001F4AEE"/>
    <w:rsid w:val="001F4B53"/>
    <w:rsid w:val="001F4C7D"/>
    <w:rsid w:val="001F4D47"/>
    <w:rsid w:val="001F4F2A"/>
    <w:rsid w:val="001F5045"/>
    <w:rsid w:val="001F5051"/>
    <w:rsid w:val="001F5155"/>
    <w:rsid w:val="001F5172"/>
    <w:rsid w:val="001F52A1"/>
    <w:rsid w:val="001F5317"/>
    <w:rsid w:val="001F53AC"/>
    <w:rsid w:val="001F53DA"/>
    <w:rsid w:val="001F54C2"/>
    <w:rsid w:val="001F5569"/>
    <w:rsid w:val="001F557C"/>
    <w:rsid w:val="001F5643"/>
    <w:rsid w:val="001F5666"/>
    <w:rsid w:val="001F567A"/>
    <w:rsid w:val="001F574A"/>
    <w:rsid w:val="001F57DF"/>
    <w:rsid w:val="001F5842"/>
    <w:rsid w:val="001F589E"/>
    <w:rsid w:val="001F58F9"/>
    <w:rsid w:val="001F59F2"/>
    <w:rsid w:val="001F5A44"/>
    <w:rsid w:val="001F5A51"/>
    <w:rsid w:val="001F5A9D"/>
    <w:rsid w:val="001F5AED"/>
    <w:rsid w:val="001F5B0C"/>
    <w:rsid w:val="001F5B74"/>
    <w:rsid w:val="001F5D7A"/>
    <w:rsid w:val="001F5E71"/>
    <w:rsid w:val="001F5F8A"/>
    <w:rsid w:val="001F6048"/>
    <w:rsid w:val="001F6091"/>
    <w:rsid w:val="001F61D7"/>
    <w:rsid w:val="001F626F"/>
    <w:rsid w:val="001F62A0"/>
    <w:rsid w:val="001F62B8"/>
    <w:rsid w:val="001F642C"/>
    <w:rsid w:val="001F6471"/>
    <w:rsid w:val="001F64BF"/>
    <w:rsid w:val="001F657E"/>
    <w:rsid w:val="001F6649"/>
    <w:rsid w:val="001F67F3"/>
    <w:rsid w:val="001F6898"/>
    <w:rsid w:val="001F69F4"/>
    <w:rsid w:val="001F6A5B"/>
    <w:rsid w:val="001F6A82"/>
    <w:rsid w:val="001F6B22"/>
    <w:rsid w:val="001F6B70"/>
    <w:rsid w:val="001F6BB0"/>
    <w:rsid w:val="001F6C58"/>
    <w:rsid w:val="001F6CBB"/>
    <w:rsid w:val="001F6DB2"/>
    <w:rsid w:val="001F6E05"/>
    <w:rsid w:val="001F6E76"/>
    <w:rsid w:val="001F6EE6"/>
    <w:rsid w:val="001F6FD5"/>
    <w:rsid w:val="001F7012"/>
    <w:rsid w:val="001F70D4"/>
    <w:rsid w:val="001F7106"/>
    <w:rsid w:val="001F7144"/>
    <w:rsid w:val="001F72FD"/>
    <w:rsid w:val="001F7333"/>
    <w:rsid w:val="001F7345"/>
    <w:rsid w:val="001F736A"/>
    <w:rsid w:val="001F73BA"/>
    <w:rsid w:val="001F73CB"/>
    <w:rsid w:val="001F75EA"/>
    <w:rsid w:val="001F75FB"/>
    <w:rsid w:val="001F7749"/>
    <w:rsid w:val="001F7818"/>
    <w:rsid w:val="001F78FC"/>
    <w:rsid w:val="001F7998"/>
    <w:rsid w:val="001F7B73"/>
    <w:rsid w:val="001F7B78"/>
    <w:rsid w:val="001F7C34"/>
    <w:rsid w:val="001F7E63"/>
    <w:rsid w:val="00200010"/>
    <w:rsid w:val="0020005D"/>
    <w:rsid w:val="00200135"/>
    <w:rsid w:val="0020015E"/>
    <w:rsid w:val="002001E7"/>
    <w:rsid w:val="0020038F"/>
    <w:rsid w:val="00200465"/>
    <w:rsid w:val="00200492"/>
    <w:rsid w:val="002005C4"/>
    <w:rsid w:val="002005E3"/>
    <w:rsid w:val="0020066B"/>
    <w:rsid w:val="0020070B"/>
    <w:rsid w:val="00200727"/>
    <w:rsid w:val="00200774"/>
    <w:rsid w:val="00200823"/>
    <w:rsid w:val="002008A7"/>
    <w:rsid w:val="002008FA"/>
    <w:rsid w:val="00200B00"/>
    <w:rsid w:val="00200B79"/>
    <w:rsid w:val="00200C73"/>
    <w:rsid w:val="00200C97"/>
    <w:rsid w:val="00200D63"/>
    <w:rsid w:val="00200E35"/>
    <w:rsid w:val="00200EE7"/>
    <w:rsid w:val="002010C9"/>
    <w:rsid w:val="0020110F"/>
    <w:rsid w:val="00201119"/>
    <w:rsid w:val="00201291"/>
    <w:rsid w:val="00201299"/>
    <w:rsid w:val="002014A5"/>
    <w:rsid w:val="0020175E"/>
    <w:rsid w:val="0020178E"/>
    <w:rsid w:val="002017E0"/>
    <w:rsid w:val="00201835"/>
    <w:rsid w:val="002019FD"/>
    <w:rsid w:val="00201AEC"/>
    <w:rsid w:val="00201B62"/>
    <w:rsid w:val="00201B79"/>
    <w:rsid w:val="00201BF1"/>
    <w:rsid w:val="00201C9E"/>
    <w:rsid w:val="00201DE9"/>
    <w:rsid w:val="00201DED"/>
    <w:rsid w:val="00201E4E"/>
    <w:rsid w:val="002020F0"/>
    <w:rsid w:val="0020210E"/>
    <w:rsid w:val="002022BD"/>
    <w:rsid w:val="00202318"/>
    <w:rsid w:val="0020234D"/>
    <w:rsid w:val="002023C6"/>
    <w:rsid w:val="002023D6"/>
    <w:rsid w:val="00202418"/>
    <w:rsid w:val="0020247C"/>
    <w:rsid w:val="00202519"/>
    <w:rsid w:val="002025A1"/>
    <w:rsid w:val="00202704"/>
    <w:rsid w:val="00202825"/>
    <w:rsid w:val="00202871"/>
    <w:rsid w:val="002028B5"/>
    <w:rsid w:val="00202A20"/>
    <w:rsid w:val="00202AFA"/>
    <w:rsid w:val="00202BF8"/>
    <w:rsid w:val="00202C6D"/>
    <w:rsid w:val="00202CA8"/>
    <w:rsid w:val="00202CC9"/>
    <w:rsid w:val="00202DB4"/>
    <w:rsid w:val="00202E24"/>
    <w:rsid w:val="00202E4C"/>
    <w:rsid w:val="00202F6F"/>
    <w:rsid w:val="0020309F"/>
    <w:rsid w:val="00203169"/>
    <w:rsid w:val="002031DE"/>
    <w:rsid w:val="002031EE"/>
    <w:rsid w:val="0020321C"/>
    <w:rsid w:val="0020331C"/>
    <w:rsid w:val="002034E9"/>
    <w:rsid w:val="0020359C"/>
    <w:rsid w:val="002035EE"/>
    <w:rsid w:val="0020364E"/>
    <w:rsid w:val="002037B6"/>
    <w:rsid w:val="0020380F"/>
    <w:rsid w:val="002038CC"/>
    <w:rsid w:val="00203913"/>
    <w:rsid w:val="00203978"/>
    <w:rsid w:val="0020397D"/>
    <w:rsid w:val="002039D1"/>
    <w:rsid w:val="00203B5B"/>
    <w:rsid w:val="00203C47"/>
    <w:rsid w:val="00203CBE"/>
    <w:rsid w:val="00203CED"/>
    <w:rsid w:val="00203DFE"/>
    <w:rsid w:val="00203FCA"/>
    <w:rsid w:val="00203FF4"/>
    <w:rsid w:val="0020401E"/>
    <w:rsid w:val="00204109"/>
    <w:rsid w:val="00204129"/>
    <w:rsid w:val="00204171"/>
    <w:rsid w:val="002041AF"/>
    <w:rsid w:val="002044E3"/>
    <w:rsid w:val="0020452E"/>
    <w:rsid w:val="0020455D"/>
    <w:rsid w:val="002045B1"/>
    <w:rsid w:val="00204699"/>
    <w:rsid w:val="002046BD"/>
    <w:rsid w:val="0020483B"/>
    <w:rsid w:val="00204866"/>
    <w:rsid w:val="0020497D"/>
    <w:rsid w:val="00204CAA"/>
    <w:rsid w:val="00204D08"/>
    <w:rsid w:val="00204D21"/>
    <w:rsid w:val="00204DCB"/>
    <w:rsid w:val="00204E78"/>
    <w:rsid w:val="00204EFA"/>
    <w:rsid w:val="0020507E"/>
    <w:rsid w:val="002050C6"/>
    <w:rsid w:val="002051F9"/>
    <w:rsid w:val="00205292"/>
    <w:rsid w:val="002052CA"/>
    <w:rsid w:val="00205410"/>
    <w:rsid w:val="0020544E"/>
    <w:rsid w:val="002054B2"/>
    <w:rsid w:val="002054E7"/>
    <w:rsid w:val="00205506"/>
    <w:rsid w:val="002055C3"/>
    <w:rsid w:val="0020568C"/>
    <w:rsid w:val="0020570D"/>
    <w:rsid w:val="0020572A"/>
    <w:rsid w:val="0020574A"/>
    <w:rsid w:val="0020574F"/>
    <w:rsid w:val="0020584C"/>
    <w:rsid w:val="00205A29"/>
    <w:rsid w:val="00205AD9"/>
    <w:rsid w:val="00205C0B"/>
    <w:rsid w:val="00205C1C"/>
    <w:rsid w:val="00205C5C"/>
    <w:rsid w:val="00205C61"/>
    <w:rsid w:val="00205CB9"/>
    <w:rsid w:val="00205D34"/>
    <w:rsid w:val="00205E1F"/>
    <w:rsid w:val="00205E2F"/>
    <w:rsid w:val="00205EE9"/>
    <w:rsid w:val="002060BD"/>
    <w:rsid w:val="002060CF"/>
    <w:rsid w:val="002065BC"/>
    <w:rsid w:val="00206686"/>
    <w:rsid w:val="0020677C"/>
    <w:rsid w:val="0020679B"/>
    <w:rsid w:val="00206836"/>
    <w:rsid w:val="0020689F"/>
    <w:rsid w:val="002068E2"/>
    <w:rsid w:val="0020691C"/>
    <w:rsid w:val="00206980"/>
    <w:rsid w:val="00206B54"/>
    <w:rsid w:val="00206C50"/>
    <w:rsid w:val="00206C89"/>
    <w:rsid w:val="00206D12"/>
    <w:rsid w:val="00206D86"/>
    <w:rsid w:val="00206E58"/>
    <w:rsid w:val="0020701C"/>
    <w:rsid w:val="0020705A"/>
    <w:rsid w:val="0020713F"/>
    <w:rsid w:val="002071E4"/>
    <w:rsid w:val="00207421"/>
    <w:rsid w:val="00207452"/>
    <w:rsid w:val="00207546"/>
    <w:rsid w:val="0020754B"/>
    <w:rsid w:val="00207565"/>
    <w:rsid w:val="002075A7"/>
    <w:rsid w:val="002075B3"/>
    <w:rsid w:val="00207749"/>
    <w:rsid w:val="002077DB"/>
    <w:rsid w:val="00207823"/>
    <w:rsid w:val="0020784B"/>
    <w:rsid w:val="00207AE7"/>
    <w:rsid w:val="00207B5B"/>
    <w:rsid w:val="00207B70"/>
    <w:rsid w:val="00207C73"/>
    <w:rsid w:val="00207CC4"/>
    <w:rsid w:val="00207D80"/>
    <w:rsid w:val="00207F1E"/>
    <w:rsid w:val="00210066"/>
    <w:rsid w:val="00210084"/>
    <w:rsid w:val="00210096"/>
    <w:rsid w:val="0021009D"/>
    <w:rsid w:val="0021019A"/>
    <w:rsid w:val="00210284"/>
    <w:rsid w:val="002102E7"/>
    <w:rsid w:val="0021044B"/>
    <w:rsid w:val="0021045A"/>
    <w:rsid w:val="0021048E"/>
    <w:rsid w:val="0021056B"/>
    <w:rsid w:val="00210581"/>
    <w:rsid w:val="0021061C"/>
    <w:rsid w:val="002106BC"/>
    <w:rsid w:val="002106E9"/>
    <w:rsid w:val="00210724"/>
    <w:rsid w:val="00210761"/>
    <w:rsid w:val="00210773"/>
    <w:rsid w:val="002108B2"/>
    <w:rsid w:val="002108C1"/>
    <w:rsid w:val="002108C5"/>
    <w:rsid w:val="002108F2"/>
    <w:rsid w:val="0021097A"/>
    <w:rsid w:val="00210A19"/>
    <w:rsid w:val="00210C81"/>
    <w:rsid w:val="00210CBF"/>
    <w:rsid w:val="00210D22"/>
    <w:rsid w:val="00210D3D"/>
    <w:rsid w:val="00210EEA"/>
    <w:rsid w:val="00210EFD"/>
    <w:rsid w:val="00210F6A"/>
    <w:rsid w:val="00210FDA"/>
    <w:rsid w:val="0021108B"/>
    <w:rsid w:val="00211097"/>
    <w:rsid w:val="002110C8"/>
    <w:rsid w:val="002111AD"/>
    <w:rsid w:val="0021123F"/>
    <w:rsid w:val="00211321"/>
    <w:rsid w:val="00211402"/>
    <w:rsid w:val="00211410"/>
    <w:rsid w:val="0021147C"/>
    <w:rsid w:val="002114DC"/>
    <w:rsid w:val="00211502"/>
    <w:rsid w:val="0021153A"/>
    <w:rsid w:val="0021157E"/>
    <w:rsid w:val="00211672"/>
    <w:rsid w:val="002116AE"/>
    <w:rsid w:val="002116B7"/>
    <w:rsid w:val="00211715"/>
    <w:rsid w:val="0021172D"/>
    <w:rsid w:val="00211742"/>
    <w:rsid w:val="00211834"/>
    <w:rsid w:val="0021183C"/>
    <w:rsid w:val="00211842"/>
    <w:rsid w:val="002118CC"/>
    <w:rsid w:val="00211974"/>
    <w:rsid w:val="002119F5"/>
    <w:rsid w:val="00211A6B"/>
    <w:rsid w:val="00211BB8"/>
    <w:rsid w:val="00211BF0"/>
    <w:rsid w:val="00211CF0"/>
    <w:rsid w:val="00211E0A"/>
    <w:rsid w:val="00211E1B"/>
    <w:rsid w:val="00211FC3"/>
    <w:rsid w:val="0021204D"/>
    <w:rsid w:val="0021208D"/>
    <w:rsid w:val="002121CB"/>
    <w:rsid w:val="002121E8"/>
    <w:rsid w:val="00212315"/>
    <w:rsid w:val="002124EA"/>
    <w:rsid w:val="0021257D"/>
    <w:rsid w:val="002125C6"/>
    <w:rsid w:val="00212655"/>
    <w:rsid w:val="0021273B"/>
    <w:rsid w:val="00212780"/>
    <w:rsid w:val="00212782"/>
    <w:rsid w:val="002127FC"/>
    <w:rsid w:val="00212889"/>
    <w:rsid w:val="002128F8"/>
    <w:rsid w:val="002128FB"/>
    <w:rsid w:val="00212B00"/>
    <w:rsid w:val="00212B62"/>
    <w:rsid w:val="00212BA9"/>
    <w:rsid w:val="00212BCC"/>
    <w:rsid w:val="00212C17"/>
    <w:rsid w:val="00212CEE"/>
    <w:rsid w:val="00212CFC"/>
    <w:rsid w:val="00212D5F"/>
    <w:rsid w:val="00212DBC"/>
    <w:rsid w:val="00212E2D"/>
    <w:rsid w:val="00213135"/>
    <w:rsid w:val="00213292"/>
    <w:rsid w:val="002132B9"/>
    <w:rsid w:val="002133CF"/>
    <w:rsid w:val="00213414"/>
    <w:rsid w:val="00213466"/>
    <w:rsid w:val="0021349C"/>
    <w:rsid w:val="0021360B"/>
    <w:rsid w:val="00213613"/>
    <w:rsid w:val="00213649"/>
    <w:rsid w:val="002136FE"/>
    <w:rsid w:val="002137A4"/>
    <w:rsid w:val="0021385B"/>
    <w:rsid w:val="0021393B"/>
    <w:rsid w:val="002139C6"/>
    <w:rsid w:val="00213B0E"/>
    <w:rsid w:val="00213B75"/>
    <w:rsid w:val="00213BF3"/>
    <w:rsid w:val="00213C29"/>
    <w:rsid w:val="00213DBC"/>
    <w:rsid w:val="00213F15"/>
    <w:rsid w:val="00213F1A"/>
    <w:rsid w:val="002140DC"/>
    <w:rsid w:val="00214258"/>
    <w:rsid w:val="002143D5"/>
    <w:rsid w:val="0021441F"/>
    <w:rsid w:val="0021452D"/>
    <w:rsid w:val="00214612"/>
    <w:rsid w:val="002146C9"/>
    <w:rsid w:val="00214887"/>
    <w:rsid w:val="0021490B"/>
    <w:rsid w:val="00214AD7"/>
    <w:rsid w:val="00214B5E"/>
    <w:rsid w:val="00214B7E"/>
    <w:rsid w:val="00214C14"/>
    <w:rsid w:val="00214C29"/>
    <w:rsid w:val="00214D96"/>
    <w:rsid w:val="00214E2C"/>
    <w:rsid w:val="00214E76"/>
    <w:rsid w:val="002151E8"/>
    <w:rsid w:val="002152B7"/>
    <w:rsid w:val="002152DE"/>
    <w:rsid w:val="0021536D"/>
    <w:rsid w:val="002153E7"/>
    <w:rsid w:val="00215453"/>
    <w:rsid w:val="002154A0"/>
    <w:rsid w:val="00215520"/>
    <w:rsid w:val="00215638"/>
    <w:rsid w:val="00215688"/>
    <w:rsid w:val="00215693"/>
    <w:rsid w:val="002156E7"/>
    <w:rsid w:val="00215788"/>
    <w:rsid w:val="002157D5"/>
    <w:rsid w:val="002157EF"/>
    <w:rsid w:val="00215895"/>
    <w:rsid w:val="002158EE"/>
    <w:rsid w:val="002159CD"/>
    <w:rsid w:val="002159E2"/>
    <w:rsid w:val="00215AF0"/>
    <w:rsid w:val="00215B55"/>
    <w:rsid w:val="00215C14"/>
    <w:rsid w:val="00215CBF"/>
    <w:rsid w:val="00215E2D"/>
    <w:rsid w:val="0021601B"/>
    <w:rsid w:val="0021605C"/>
    <w:rsid w:val="00216067"/>
    <w:rsid w:val="00216079"/>
    <w:rsid w:val="00216089"/>
    <w:rsid w:val="00216142"/>
    <w:rsid w:val="00216155"/>
    <w:rsid w:val="002161A7"/>
    <w:rsid w:val="00216208"/>
    <w:rsid w:val="00216241"/>
    <w:rsid w:val="002162C7"/>
    <w:rsid w:val="0021643C"/>
    <w:rsid w:val="0021643E"/>
    <w:rsid w:val="00216482"/>
    <w:rsid w:val="00216551"/>
    <w:rsid w:val="002165DD"/>
    <w:rsid w:val="00216658"/>
    <w:rsid w:val="002166E3"/>
    <w:rsid w:val="0021688F"/>
    <w:rsid w:val="002168F0"/>
    <w:rsid w:val="0021698D"/>
    <w:rsid w:val="00216A3A"/>
    <w:rsid w:val="00216A8F"/>
    <w:rsid w:val="00216B9A"/>
    <w:rsid w:val="00216BB8"/>
    <w:rsid w:val="00216CD8"/>
    <w:rsid w:val="00216D32"/>
    <w:rsid w:val="00216DC2"/>
    <w:rsid w:val="00216DE1"/>
    <w:rsid w:val="00216DE6"/>
    <w:rsid w:val="00216E83"/>
    <w:rsid w:val="00216FEE"/>
    <w:rsid w:val="00217020"/>
    <w:rsid w:val="002170F8"/>
    <w:rsid w:val="0021712A"/>
    <w:rsid w:val="0021718E"/>
    <w:rsid w:val="002171DA"/>
    <w:rsid w:val="00217286"/>
    <w:rsid w:val="00217289"/>
    <w:rsid w:val="0021729A"/>
    <w:rsid w:val="00217319"/>
    <w:rsid w:val="00217334"/>
    <w:rsid w:val="0021736A"/>
    <w:rsid w:val="002173E1"/>
    <w:rsid w:val="002174C7"/>
    <w:rsid w:val="002174F8"/>
    <w:rsid w:val="0021752B"/>
    <w:rsid w:val="002176D1"/>
    <w:rsid w:val="0021777F"/>
    <w:rsid w:val="002177D5"/>
    <w:rsid w:val="0021783E"/>
    <w:rsid w:val="0021791B"/>
    <w:rsid w:val="00217975"/>
    <w:rsid w:val="00217BBA"/>
    <w:rsid w:val="00217C11"/>
    <w:rsid w:val="00217C22"/>
    <w:rsid w:val="00217C2A"/>
    <w:rsid w:val="00217C71"/>
    <w:rsid w:val="00217D12"/>
    <w:rsid w:val="00217ED4"/>
    <w:rsid w:val="00217F48"/>
    <w:rsid w:val="0022019A"/>
    <w:rsid w:val="002201D4"/>
    <w:rsid w:val="002201DA"/>
    <w:rsid w:val="00220321"/>
    <w:rsid w:val="00220392"/>
    <w:rsid w:val="0022041B"/>
    <w:rsid w:val="0022053E"/>
    <w:rsid w:val="002205B9"/>
    <w:rsid w:val="00220621"/>
    <w:rsid w:val="002206AD"/>
    <w:rsid w:val="002206F9"/>
    <w:rsid w:val="002207EC"/>
    <w:rsid w:val="0022087A"/>
    <w:rsid w:val="0022089E"/>
    <w:rsid w:val="002208CA"/>
    <w:rsid w:val="00220A9E"/>
    <w:rsid w:val="00220B32"/>
    <w:rsid w:val="00220B78"/>
    <w:rsid w:val="00220BAD"/>
    <w:rsid w:val="00220C34"/>
    <w:rsid w:val="00220C45"/>
    <w:rsid w:val="00220EF2"/>
    <w:rsid w:val="00221168"/>
    <w:rsid w:val="00221369"/>
    <w:rsid w:val="00221376"/>
    <w:rsid w:val="002213CF"/>
    <w:rsid w:val="00221658"/>
    <w:rsid w:val="00221728"/>
    <w:rsid w:val="0022178B"/>
    <w:rsid w:val="00221879"/>
    <w:rsid w:val="002218E3"/>
    <w:rsid w:val="00221938"/>
    <w:rsid w:val="002219DD"/>
    <w:rsid w:val="002219F7"/>
    <w:rsid w:val="00221A1D"/>
    <w:rsid w:val="00221A6A"/>
    <w:rsid w:val="00221AA5"/>
    <w:rsid w:val="00221B22"/>
    <w:rsid w:val="00221C81"/>
    <w:rsid w:val="00221CBB"/>
    <w:rsid w:val="00221D4A"/>
    <w:rsid w:val="00221F6F"/>
    <w:rsid w:val="0022203C"/>
    <w:rsid w:val="0022206D"/>
    <w:rsid w:val="002222FE"/>
    <w:rsid w:val="0022241B"/>
    <w:rsid w:val="002224AD"/>
    <w:rsid w:val="0022252F"/>
    <w:rsid w:val="00222592"/>
    <w:rsid w:val="002225AA"/>
    <w:rsid w:val="002225C9"/>
    <w:rsid w:val="002225F4"/>
    <w:rsid w:val="0022281C"/>
    <w:rsid w:val="00222AB2"/>
    <w:rsid w:val="00222B51"/>
    <w:rsid w:val="00222BD5"/>
    <w:rsid w:val="00222BEA"/>
    <w:rsid w:val="00222C5A"/>
    <w:rsid w:val="00222C63"/>
    <w:rsid w:val="00222CB8"/>
    <w:rsid w:val="00222CF1"/>
    <w:rsid w:val="00222D14"/>
    <w:rsid w:val="00222E06"/>
    <w:rsid w:val="00222F9C"/>
    <w:rsid w:val="0022301C"/>
    <w:rsid w:val="00223029"/>
    <w:rsid w:val="0022319B"/>
    <w:rsid w:val="00223204"/>
    <w:rsid w:val="00223274"/>
    <w:rsid w:val="00223294"/>
    <w:rsid w:val="00223667"/>
    <w:rsid w:val="002237F8"/>
    <w:rsid w:val="00223825"/>
    <w:rsid w:val="00223995"/>
    <w:rsid w:val="00223A16"/>
    <w:rsid w:val="00223A5B"/>
    <w:rsid w:val="00223B65"/>
    <w:rsid w:val="00223BCB"/>
    <w:rsid w:val="00223D77"/>
    <w:rsid w:val="00223F2F"/>
    <w:rsid w:val="00224007"/>
    <w:rsid w:val="00224019"/>
    <w:rsid w:val="00224042"/>
    <w:rsid w:val="002240AC"/>
    <w:rsid w:val="002242CB"/>
    <w:rsid w:val="0022434B"/>
    <w:rsid w:val="00224370"/>
    <w:rsid w:val="002244A3"/>
    <w:rsid w:val="00224543"/>
    <w:rsid w:val="002245A9"/>
    <w:rsid w:val="002246E8"/>
    <w:rsid w:val="0022472A"/>
    <w:rsid w:val="002247F2"/>
    <w:rsid w:val="00224828"/>
    <w:rsid w:val="002248CA"/>
    <w:rsid w:val="002248CB"/>
    <w:rsid w:val="00224965"/>
    <w:rsid w:val="00224A4B"/>
    <w:rsid w:val="00224AC2"/>
    <w:rsid w:val="00224B8F"/>
    <w:rsid w:val="00224CA0"/>
    <w:rsid w:val="00224D73"/>
    <w:rsid w:val="00224D91"/>
    <w:rsid w:val="00224DC3"/>
    <w:rsid w:val="00224F92"/>
    <w:rsid w:val="0022503A"/>
    <w:rsid w:val="0022520C"/>
    <w:rsid w:val="00225240"/>
    <w:rsid w:val="0022529A"/>
    <w:rsid w:val="00225304"/>
    <w:rsid w:val="0022535F"/>
    <w:rsid w:val="00225363"/>
    <w:rsid w:val="0022540F"/>
    <w:rsid w:val="0022559F"/>
    <w:rsid w:val="002255B2"/>
    <w:rsid w:val="00225670"/>
    <w:rsid w:val="00225683"/>
    <w:rsid w:val="002256B3"/>
    <w:rsid w:val="002258FF"/>
    <w:rsid w:val="00225947"/>
    <w:rsid w:val="002259A5"/>
    <w:rsid w:val="00225A81"/>
    <w:rsid w:val="00225AAC"/>
    <w:rsid w:val="00225AE8"/>
    <w:rsid w:val="00225B80"/>
    <w:rsid w:val="00225C0C"/>
    <w:rsid w:val="00225C1C"/>
    <w:rsid w:val="00225D83"/>
    <w:rsid w:val="00225E8F"/>
    <w:rsid w:val="00225F3B"/>
    <w:rsid w:val="00225FE1"/>
    <w:rsid w:val="002260C7"/>
    <w:rsid w:val="002260CF"/>
    <w:rsid w:val="00226192"/>
    <w:rsid w:val="002261EF"/>
    <w:rsid w:val="002261FB"/>
    <w:rsid w:val="00226204"/>
    <w:rsid w:val="00226207"/>
    <w:rsid w:val="0022637C"/>
    <w:rsid w:val="002263B9"/>
    <w:rsid w:val="002263BB"/>
    <w:rsid w:val="0022640F"/>
    <w:rsid w:val="00226411"/>
    <w:rsid w:val="00226516"/>
    <w:rsid w:val="0022652D"/>
    <w:rsid w:val="0022654A"/>
    <w:rsid w:val="0022657E"/>
    <w:rsid w:val="00226674"/>
    <w:rsid w:val="002266AD"/>
    <w:rsid w:val="0022675D"/>
    <w:rsid w:val="0022691D"/>
    <w:rsid w:val="002269ED"/>
    <w:rsid w:val="00226A3F"/>
    <w:rsid w:val="00226AE9"/>
    <w:rsid w:val="00226B20"/>
    <w:rsid w:val="00226B53"/>
    <w:rsid w:val="00226C71"/>
    <w:rsid w:val="00226C8F"/>
    <w:rsid w:val="00226D63"/>
    <w:rsid w:val="00226EB5"/>
    <w:rsid w:val="00226FED"/>
    <w:rsid w:val="002270F3"/>
    <w:rsid w:val="00227105"/>
    <w:rsid w:val="00227136"/>
    <w:rsid w:val="002272EF"/>
    <w:rsid w:val="0022743B"/>
    <w:rsid w:val="002274BC"/>
    <w:rsid w:val="00227570"/>
    <w:rsid w:val="00227761"/>
    <w:rsid w:val="0022793B"/>
    <w:rsid w:val="002279BA"/>
    <w:rsid w:val="002279FC"/>
    <w:rsid w:val="00227B2D"/>
    <w:rsid w:val="00227BD9"/>
    <w:rsid w:val="00227C3C"/>
    <w:rsid w:val="00227CD5"/>
    <w:rsid w:val="00227D19"/>
    <w:rsid w:val="00227D75"/>
    <w:rsid w:val="00227DB7"/>
    <w:rsid w:val="00227E4C"/>
    <w:rsid w:val="00227EDD"/>
    <w:rsid w:val="00227F96"/>
    <w:rsid w:val="0023012C"/>
    <w:rsid w:val="00230149"/>
    <w:rsid w:val="0023017A"/>
    <w:rsid w:val="0023018B"/>
    <w:rsid w:val="00230196"/>
    <w:rsid w:val="00230275"/>
    <w:rsid w:val="0023027C"/>
    <w:rsid w:val="002303B9"/>
    <w:rsid w:val="002303D2"/>
    <w:rsid w:val="0023044F"/>
    <w:rsid w:val="002304DE"/>
    <w:rsid w:val="002305FF"/>
    <w:rsid w:val="0023063A"/>
    <w:rsid w:val="002306B0"/>
    <w:rsid w:val="00230753"/>
    <w:rsid w:val="00230A39"/>
    <w:rsid w:val="00230A74"/>
    <w:rsid w:val="00230D59"/>
    <w:rsid w:val="00230E60"/>
    <w:rsid w:val="00230E98"/>
    <w:rsid w:val="002310FE"/>
    <w:rsid w:val="00231180"/>
    <w:rsid w:val="00231234"/>
    <w:rsid w:val="002312A8"/>
    <w:rsid w:val="0023152A"/>
    <w:rsid w:val="00231588"/>
    <w:rsid w:val="002315E8"/>
    <w:rsid w:val="00231716"/>
    <w:rsid w:val="002317C3"/>
    <w:rsid w:val="00231893"/>
    <w:rsid w:val="00231898"/>
    <w:rsid w:val="0023190E"/>
    <w:rsid w:val="00231926"/>
    <w:rsid w:val="0023194C"/>
    <w:rsid w:val="00231A7F"/>
    <w:rsid w:val="00231AB7"/>
    <w:rsid w:val="00231B5F"/>
    <w:rsid w:val="00231B60"/>
    <w:rsid w:val="00231BAB"/>
    <w:rsid w:val="00231BC5"/>
    <w:rsid w:val="00231DBF"/>
    <w:rsid w:val="00231F2F"/>
    <w:rsid w:val="00231F69"/>
    <w:rsid w:val="00232009"/>
    <w:rsid w:val="002320EA"/>
    <w:rsid w:val="00232399"/>
    <w:rsid w:val="002323C9"/>
    <w:rsid w:val="002323FA"/>
    <w:rsid w:val="00232434"/>
    <w:rsid w:val="00232449"/>
    <w:rsid w:val="00232600"/>
    <w:rsid w:val="002326CC"/>
    <w:rsid w:val="002326E1"/>
    <w:rsid w:val="00232806"/>
    <w:rsid w:val="002328FB"/>
    <w:rsid w:val="00232919"/>
    <w:rsid w:val="002329C7"/>
    <w:rsid w:val="002329D2"/>
    <w:rsid w:val="00232A64"/>
    <w:rsid w:val="00232AD8"/>
    <w:rsid w:val="00232B47"/>
    <w:rsid w:val="00232BC3"/>
    <w:rsid w:val="00232C56"/>
    <w:rsid w:val="00232C5B"/>
    <w:rsid w:val="00232C8E"/>
    <w:rsid w:val="00232C99"/>
    <w:rsid w:val="00232D3D"/>
    <w:rsid w:val="00232D4B"/>
    <w:rsid w:val="00232E03"/>
    <w:rsid w:val="00232F0D"/>
    <w:rsid w:val="00233027"/>
    <w:rsid w:val="00233120"/>
    <w:rsid w:val="00233181"/>
    <w:rsid w:val="002331BC"/>
    <w:rsid w:val="0023322A"/>
    <w:rsid w:val="0023323F"/>
    <w:rsid w:val="00233261"/>
    <w:rsid w:val="0023328F"/>
    <w:rsid w:val="002332E3"/>
    <w:rsid w:val="00233334"/>
    <w:rsid w:val="00233486"/>
    <w:rsid w:val="0023349F"/>
    <w:rsid w:val="002334E2"/>
    <w:rsid w:val="002334F9"/>
    <w:rsid w:val="00233590"/>
    <w:rsid w:val="002335EE"/>
    <w:rsid w:val="0023363B"/>
    <w:rsid w:val="00233642"/>
    <w:rsid w:val="00233707"/>
    <w:rsid w:val="0023375B"/>
    <w:rsid w:val="002337C6"/>
    <w:rsid w:val="00233822"/>
    <w:rsid w:val="002338FA"/>
    <w:rsid w:val="00233934"/>
    <w:rsid w:val="00233A5A"/>
    <w:rsid w:val="00233C7A"/>
    <w:rsid w:val="00233C9D"/>
    <w:rsid w:val="00233CF3"/>
    <w:rsid w:val="00233DED"/>
    <w:rsid w:val="00233E2F"/>
    <w:rsid w:val="00233F1C"/>
    <w:rsid w:val="00233F76"/>
    <w:rsid w:val="00233F81"/>
    <w:rsid w:val="00233FA0"/>
    <w:rsid w:val="00234053"/>
    <w:rsid w:val="0023405C"/>
    <w:rsid w:val="00234194"/>
    <w:rsid w:val="002341CA"/>
    <w:rsid w:val="00234223"/>
    <w:rsid w:val="002342F3"/>
    <w:rsid w:val="00234397"/>
    <w:rsid w:val="0023450D"/>
    <w:rsid w:val="00234639"/>
    <w:rsid w:val="002346E4"/>
    <w:rsid w:val="00234708"/>
    <w:rsid w:val="00234761"/>
    <w:rsid w:val="00234A7C"/>
    <w:rsid w:val="00234C03"/>
    <w:rsid w:val="00234C7B"/>
    <w:rsid w:val="00234CB7"/>
    <w:rsid w:val="00234D11"/>
    <w:rsid w:val="00234D65"/>
    <w:rsid w:val="00234EA8"/>
    <w:rsid w:val="00234EBC"/>
    <w:rsid w:val="0023510E"/>
    <w:rsid w:val="002351ED"/>
    <w:rsid w:val="002351F8"/>
    <w:rsid w:val="00235250"/>
    <w:rsid w:val="0023535D"/>
    <w:rsid w:val="0023545F"/>
    <w:rsid w:val="00235567"/>
    <w:rsid w:val="002355D5"/>
    <w:rsid w:val="00235777"/>
    <w:rsid w:val="002357B9"/>
    <w:rsid w:val="002357C9"/>
    <w:rsid w:val="0023587C"/>
    <w:rsid w:val="00235979"/>
    <w:rsid w:val="00235A1B"/>
    <w:rsid w:val="00235C2A"/>
    <w:rsid w:val="00235C34"/>
    <w:rsid w:val="00235D6A"/>
    <w:rsid w:val="00235D6C"/>
    <w:rsid w:val="00235DDA"/>
    <w:rsid w:val="00235E68"/>
    <w:rsid w:val="00235F1C"/>
    <w:rsid w:val="00235FE8"/>
    <w:rsid w:val="00236012"/>
    <w:rsid w:val="002360B8"/>
    <w:rsid w:val="002361F9"/>
    <w:rsid w:val="0023640D"/>
    <w:rsid w:val="00236417"/>
    <w:rsid w:val="00236634"/>
    <w:rsid w:val="002366BC"/>
    <w:rsid w:val="00236893"/>
    <w:rsid w:val="00236A64"/>
    <w:rsid w:val="00236BBE"/>
    <w:rsid w:val="00236BD4"/>
    <w:rsid w:val="00236BE8"/>
    <w:rsid w:val="00236C14"/>
    <w:rsid w:val="00236DB3"/>
    <w:rsid w:val="00236FF4"/>
    <w:rsid w:val="00236FFA"/>
    <w:rsid w:val="0023703B"/>
    <w:rsid w:val="00237225"/>
    <w:rsid w:val="0023729B"/>
    <w:rsid w:val="0023750A"/>
    <w:rsid w:val="00237588"/>
    <w:rsid w:val="002375D9"/>
    <w:rsid w:val="00237601"/>
    <w:rsid w:val="002376AE"/>
    <w:rsid w:val="002376D3"/>
    <w:rsid w:val="002376E5"/>
    <w:rsid w:val="002377D9"/>
    <w:rsid w:val="002378C4"/>
    <w:rsid w:val="00237977"/>
    <w:rsid w:val="0023798E"/>
    <w:rsid w:val="00237AC7"/>
    <w:rsid w:val="00237AEE"/>
    <w:rsid w:val="00237BF0"/>
    <w:rsid w:val="00237D78"/>
    <w:rsid w:val="00237DFC"/>
    <w:rsid w:val="00237EDF"/>
    <w:rsid w:val="00240109"/>
    <w:rsid w:val="00240116"/>
    <w:rsid w:val="0024012F"/>
    <w:rsid w:val="0024026D"/>
    <w:rsid w:val="00240367"/>
    <w:rsid w:val="00240458"/>
    <w:rsid w:val="002404F6"/>
    <w:rsid w:val="00240532"/>
    <w:rsid w:val="0024055A"/>
    <w:rsid w:val="002405B1"/>
    <w:rsid w:val="002405D1"/>
    <w:rsid w:val="00240649"/>
    <w:rsid w:val="0024065B"/>
    <w:rsid w:val="002406DC"/>
    <w:rsid w:val="002406ED"/>
    <w:rsid w:val="00240767"/>
    <w:rsid w:val="00240825"/>
    <w:rsid w:val="00240851"/>
    <w:rsid w:val="002409B5"/>
    <w:rsid w:val="002409E8"/>
    <w:rsid w:val="00240A42"/>
    <w:rsid w:val="00240A83"/>
    <w:rsid w:val="00240B5E"/>
    <w:rsid w:val="00240B74"/>
    <w:rsid w:val="00240BA0"/>
    <w:rsid w:val="00240BA3"/>
    <w:rsid w:val="00240C82"/>
    <w:rsid w:val="00240C88"/>
    <w:rsid w:val="00240F3A"/>
    <w:rsid w:val="00240F40"/>
    <w:rsid w:val="00240F80"/>
    <w:rsid w:val="00240FE2"/>
    <w:rsid w:val="00241026"/>
    <w:rsid w:val="002410C2"/>
    <w:rsid w:val="0024121D"/>
    <w:rsid w:val="00241226"/>
    <w:rsid w:val="00241297"/>
    <w:rsid w:val="00241398"/>
    <w:rsid w:val="00241434"/>
    <w:rsid w:val="00241600"/>
    <w:rsid w:val="00241601"/>
    <w:rsid w:val="0024167E"/>
    <w:rsid w:val="002416E2"/>
    <w:rsid w:val="0024171F"/>
    <w:rsid w:val="00241738"/>
    <w:rsid w:val="00241744"/>
    <w:rsid w:val="00241758"/>
    <w:rsid w:val="002417DC"/>
    <w:rsid w:val="002418CB"/>
    <w:rsid w:val="00241919"/>
    <w:rsid w:val="00241930"/>
    <w:rsid w:val="00241971"/>
    <w:rsid w:val="002419FB"/>
    <w:rsid w:val="00241A16"/>
    <w:rsid w:val="00241A4A"/>
    <w:rsid w:val="00241BB8"/>
    <w:rsid w:val="00241BF8"/>
    <w:rsid w:val="00241D10"/>
    <w:rsid w:val="00241E01"/>
    <w:rsid w:val="00241E1C"/>
    <w:rsid w:val="00241E2A"/>
    <w:rsid w:val="00241E2E"/>
    <w:rsid w:val="00241EE6"/>
    <w:rsid w:val="00241FF5"/>
    <w:rsid w:val="00242136"/>
    <w:rsid w:val="0024220C"/>
    <w:rsid w:val="00242227"/>
    <w:rsid w:val="0024222E"/>
    <w:rsid w:val="0024224F"/>
    <w:rsid w:val="002422A5"/>
    <w:rsid w:val="00242523"/>
    <w:rsid w:val="00242531"/>
    <w:rsid w:val="00242590"/>
    <w:rsid w:val="0024259E"/>
    <w:rsid w:val="0024272E"/>
    <w:rsid w:val="00242808"/>
    <w:rsid w:val="002428A8"/>
    <w:rsid w:val="0024290A"/>
    <w:rsid w:val="00242AC1"/>
    <w:rsid w:val="00242AF0"/>
    <w:rsid w:val="00242B26"/>
    <w:rsid w:val="00242B3B"/>
    <w:rsid w:val="00242B75"/>
    <w:rsid w:val="00242B7D"/>
    <w:rsid w:val="00242D0E"/>
    <w:rsid w:val="00242F01"/>
    <w:rsid w:val="0024302F"/>
    <w:rsid w:val="00243096"/>
    <w:rsid w:val="002430BD"/>
    <w:rsid w:val="00243121"/>
    <w:rsid w:val="0024329B"/>
    <w:rsid w:val="002433F9"/>
    <w:rsid w:val="00243429"/>
    <w:rsid w:val="002435B8"/>
    <w:rsid w:val="0024393E"/>
    <w:rsid w:val="00243A19"/>
    <w:rsid w:val="00243A24"/>
    <w:rsid w:val="00243A9C"/>
    <w:rsid w:val="00243AD3"/>
    <w:rsid w:val="00243AEA"/>
    <w:rsid w:val="00243BB9"/>
    <w:rsid w:val="00243BC3"/>
    <w:rsid w:val="00243C14"/>
    <w:rsid w:val="00243C46"/>
    <w:rsid w:val="00243E56"/>
    <w:rsid w:val="00243F20"/>
    <w:rsid w:val="00243F2D"/>
    <w:rsid w:val="00243FF6"/>
    <w:rsid w:val="0024415C"/>
    <w:rsid w:val="002443AD"/>
    <w:rsid w:val="002443C8"/>
    <w:rsid w:val="00244432"/>
    <w:rsid w:val="002444E7"/>
    <w:rsid w:val="00244521"/>
    <w:rsid w:val="00244583"/>
    <w:rsid w:val="002445CC"/>
    <w:rsid w:val="0024475F"/>
    <w:rsid w:val="00244780"/>
    <w:rsid w:val="00244804"/>
    <w:rsid w:val="002448B0"/>
    <w:rsid w:val="002448F5"/>
    <w:rsid w:val="0024492B"/>
    <w:rsid w:val="00244938"/>
    <w:rsid w:val="00244A27"/>
    <w:rsid w:val="00244A61"/>
    <w:rsid w:val="00244AF6"/>
    <w:rsid w:val="00244BDA"/>
    <w:rsid w:val="00244CEB"/>
    <w:rsid w:val="00244F7D"/>
    <w:rsid w:val="00244FA5"/>
    <w:rsid w:val="00245027"/>
    <w:rsid w:val="0024504D"/>
    <w:rsid w:val="002450CA"/>
    <w:rsid w:val="002451C7"/>
    <w:rsid w:val="00245237"/>
    <w:rsid w:val="002452CE"/>
    <w:rsid w:val="0024530F"/>
    <w:rsid w:val="00245314"/>
    <w:rsid w:val="00245323"/>
    <w:rsid w:val="0024534B"/>
    <w:rsid w:val="002453F6"/>
    <w:rsid w:val="0024543D"/>
    <w:rsid w:val="002454D8"/>
    <w:rsid w:val="00245533"/>
    <w:rsid w:val="002455DA"/>
    <w:rsid w:val="002456D7"/>
    <w:rsid w:val="002456E5"/>
    <w:rsid w:val="002457C8"/>
    <w:rsid w:val="00245803"/>
    <w:rsid w:val="0024581E"/>
    <w:rsid w:val="002458C5"/>
    <w:rsid w:val="002458FA"/>
    <w:rsid w:val="00245BC4"/>
    <w:rsid w:val="00245C9C"/>
    <w:rsid w:val="00245D01"/>
    <w:rsid w:val="00245E70"/>
    <w:rsid w:val="00245F90"/>
    <w:rsid w:val="00245FB8"/>
    <w:rsid w:val="00246070"/>
    <w:rsid w:val="0024607F"/>
    <w:rsid w:val="002460DC"/>
    <w:rsid w:val="002460EC"/>
    <w:rsid w:val="0024612F"/>
    <w:rsid w:val="002461F3"/>
    <w:rsid w:val="00246241"/>
    <w:rsid w:val="0024625F"/>
    <w:rsid w:val="002462FF"/>
    <w:rsid w:val="00246335"/>
    <w:rsid w:val="0024633D"/>
    <w:rsid w:val="0024646A"/>
    <w:rsid w:val="00246520"/>
    <w:rsid w:val="002466A0"/>
    <w:rsid w:val="002466CB"/>
    <w:rsid w:val="002466CC"/>
    <w:rsid w:val="002468DE"/>
    <w:rsid w:val="002468FC"/>
    <w:rsid w:val="00246965"/>
    <w:rsid w:val="00246997"/>
    <w:rsid w:val="00246BC0"/>
    <w:rsid w:val="00246C16"/>
    <w:rsid w:val="00246C39"/>
    <w:rsid w:val="00246C40"/>
    <w:rsid w:val="00246D31"/>
    <w:rsid w:val="00246DA6"/>
    <w:rsid w:val="00246DE3"/>
    <w:rsid w:val="00246E29"/>
    <w:rsid w:val="00246EC3"/>
    <w:rsid w:val="00246F11"/>
    <w:rsid w:val="00246F5F"/>
    <w:rsid w:val="00247002"/>
    <w:rsid w:val="00247030"/>
    <w:rsid w:val="002470E8"/>
    <w:rsid w:val="002470F5"/>
    <w:rsid w:val="00247150"/>
    <w:rsid w:val="0024717A"/>
    <w:rsid w:val="0024720D"/>
    <w:rsid w:val="00247231"/>
    <w:rsid w:val="0024725E"/>
    <w:rsid w:val="00247292"/>
    <w:rsid w:val="00247295"/>
    <w:rsid w:val="002472C7"/>
    <w:rsid w:val="002473D9"/>
    <w:rsid w:val="00247571"/>
    <w:rsid w:val="00247658"/>
    <w:rsid w:val="0024765B"/>
    <w:rsid w:val="00247AA2"/>
    <w:rsid w:val="00247AA6"/>
    <w:rsid w:val="00247AF6"/>
    <w:rsid w:val="00247B20"/>
    <w:rsid w:val="00247D7C"/>
    <w:rsid w:val="00247EC2"/>
    <w:rsid w:val="00247F54"/>
    <w:rsid w:val="00247FB0"/>
    <w:rsid w:val="00250261"/>
    <w:rsid w:val="00250369"/>
    <w:rsid w:val="002504C9"/>
    <w:rsid w:val="0025073E"/>
    <w:rsid w:val="00250791"/>
    <w:rsid w:val="002507E0"/>
    <w:rsid w:val="0025081C"/>
    <w:rsid w:val="00250849"/>
    <w:rsid w:val="00250874"/>
    <w:rsid w:val="002508CA"/>
    <w:rsid w:val="00250907"/>
    <w:rsid w:val="0025092D"/>
    <w:rsid w:val="00250A4C"/>
    <w:rsid w:val="00250C51"/>
    <w:rsid w:val="00250CFB"/>
    <w:rsid w:val="00250DE7"/>
    <w:rsid w:val="00250DFE"/>
    <w:rsid w:val="00250EC5"/>
    <w:rsid w:val="00250EE5"/>
    <w:rsid w:val="00250F0C"/>
    <w:rsid w:val="00250F6C"/>
    <w:rsid w:val="00250FD1"/>
    <w:rsid w:val="00251063"/>
    <w:rsid w:val="0025129D"/>
    <w:rsid w:val="00251361"/>
    <w:rsid w:val="0025149C"/>
    <w:rsid w:val="002514ED"/>
    <w:rsid w:val="00251588"/>
    <w:rsid w:val="00251614"/>
    <w:rsid w:val="002516DA"/>
    <w:rsid w:val="0025180F"/>
    <w:rsid w:val="00251814"/>
    <w:rsid w:val="0025185E"/>
    <w:rsid w:val="0025186F"/>
    <w:rsid w:val="002518F5"/>
    <w:rsid w:val="00251905"/>
    <w:rsid w:val="00251A27"/>
    <w:rsid w:val="00251A51"/>
    <w:rsid w:val="00251A67"/>
    <w:rsid w:val="00251A75"/>
    <w:rsid w:val="00251D21"/>
    <w:rsid w:val="00251DE2"/>
    <w:rsid w:val="00251E1C"/>
    <w:rsid w:val="00251E4F"/>
    <w:rsid w:val="00251E6D"/>
    <w:rsid w:val="00251EEB"/>
    <w:rsid w:val="00251FB7"/>
    <w:rsid w:val="00252010"/>
    <w:rsid w:val="00252013"/>
    <w:rsid w:val="00252181"/>
    <w:rsid w:val="002521C1"/>
    <w:rsid w:val="00252257"/>
    <w:rsid w:val="002522FD"/>
    <w:rsid w:val="00252312"/>
    <w:rsid w:val="00252355"/>
    <w:rsid w:val="0025237F"/>
    <w:rsid w:val="0025244F"/>
    <w:rsid w:val="00252495"/>
    <w:rsid w:val="00252560"/>
    <w:rsid w:val="00252782"/>
    <w:rsid w:val="00252793"/>
    <w:rsid w:val="002527CB"/>
    <w:rsid w:val="002527DB"/>
    <w:rsid w:val="00252865"/>
    <w:rsid w:val="00252886"/>
    <w:rsid w:val="0025288E"/>
    <w:rsid w:val="002528E0"/>
    <w:rsid w:val="00252938"/>
    <w:rsid w:val="002529AB"/>
    <w:rsid w:val="002529C0"/>
    <w:rsid w:val="002529C6"/>
    <w:rsid w:val="002529CE"/>
    <w:rsid w:val="00252B0C"/>
    <w:rsid w:val="00252B75"/>
    <w:rsid w:val="00252BDB"/>
    <w:rsid w:val="00252CDA"/>
    <w:rsid w:val="00252D24"/>
    <w:rsid w:val="00252D94"/>
    <w:rsid w:val="00252DB6"/>
    <w:rsid w:val="00252DED"/>
    <w:rsid w:val="00252EB5"/>
    <w:rsid w:val="00252F56"/>
    <w:rsid w:val="00252F7F"/>
    <w:rsid w:val="00252F99"/>
    <w:rsid w:val="002531B4"/>
    <w:rsid w:val="0025326F"/>
    <w:rsid w:val="002532EF"/>
    <w:rsid w:val="00253303"/>
    <w:rsid w:val="0025334B"/>
    <w:rsid w:val="002533FB"/>
    <w:rsid w:val="00253424"/>
    <w:rsid w:val="00253426"/>
    <w:rsid w:val="002534B8"/>
    <w:rsid w:val="00253552"/>
    <w:rsid w:val="002535AF"/>
    <w:rsid w:val="002535C1"/>
    <w:rsid w:val="002535E6"/>
    <w:rsid w:val="00253678"/>
    <w:rsid w:val="002536DD"/>
    <w:rsid w:val="00253ADF"/>
    <w:rsid w:val="00253B16"/>
    <w:rsid w:val="00253BD7"/>
    <w:rsid w:val="00253CC9"/>
    <w:rsid w:val="00253D16"/>
    <w:rsid w:val="00253D50"/>
    <w:rsid w:val="00253D6E"/>
    <w:rsid w:val="00253E3C"/>
    <w:rsid w:val="00253FC9"/>
    <w:rsid w:val="00254001"/>
    <w:rsid w:val="00254166"/>
    <w:rsid w:val="00254173"/>
    <w:rsid w:val="002541C8"/>
    <w:rsid w:val="0025420D"/>
    <w:rsid w:val="002542C2"/>
    <w:rsid w:val="002543F9"/>
    <w:rsid w:val="00254459"/>
    <w:rsid w:val="0025445D"/>
    <w:rsid w:val="00254616"/>
    <w:rsid w:val="002546B8"/>
    <w:rsid w:val="0025472D"/>
    <w:rsid w:val="0025473B"/>
    <w:rsid w:val="002547C1"/>
    <w:rsid w:val="00254823"/>
    <w:rsid w:val="00254879"/>
    <w:rsid w:val="002548D4"/>
    <w:rsid w:val="00254A4D"/>
    <w:rsid w:val="00254ACC"/>
    <w:rsid w:val="00254AEC"/>
    <w:rsid w:val="00254B15"/>
    <w:rsid w:val="00254C27"/>
    <w:rsid w:val="00254C56"/>
    <w:rsid w:val="00254C61"/>
    <w:rsid w:val="00254C6E"/>
    <w:rsid w:val="00254CC1"/>
    <w:rsid w:val="00254CE9"/>
    <w:rsid w:val="00254E04"/>
    <w:rsid w:val="00254E31"/>
    <w:rsid w:val="00254EBB"/>
    <w:rsid w:val="00254FC0"/>
    <w:rsid w:val="00255049"/>
    <w:rsid w:val="0025511D"/>
    <w:rsid w:val="00255165"/>
    <w:rsid w:val="002553EC"/>
    <w:rsid w:val="002554A4"/>
    <w:rsid w:val="0025557C"/>
    <w:rsid w:val="00255725"/>
    <w:rsid w:val="0025575C"/>
    <w:rsid w:val="002557FB"/>
    <w:rsid w:val="0025594E"/>
    <w:rsid w:val="00255ABC"/>
    <w:rsid w:val="00255AEC"/>
    <w:rsid w:val="00255B0C"/>
    <w:rsid w:val="00255BBE"/>
    <w:rsid w:val="00255C22"/>
    <w:rsid w:val="00255CA6"/>
    <w:rsid w:val="00255DF1"/>
    <w:rsid w:val="00255E4F"/>
    <w:rsid w:val="00255FE2"/>
    <w:rsid w:val="002561CF"/>
    <w:rsid w:val="002561DC"/>
    <w:rsid w:val="00256248"/>
    <w:rsid w:val="0025637C"/>
    <w:rsid w:val="002563C6"/>
    <w:rsid w:val="002566C4"/>
    <w:rsid w:val="002566DD"/>
    <w:rsid w:val="0025671C"/>
    <w:rsid w:val="0025694E"/>
    <w:rsid w:val="00256961"/>
    <w:rsid w:val="002569A1"/>
    <w:rsid w:val="00256BFE"/>
    <w:rsid w:val="00256C72"/>
    <w:rsid w:val="00256CCF"/>
    <w:rsid w:val="00256D18"/>
    <w:rsid w:val="00256DF2"/>
    <w:rsid w:val="00256EB1"/>
    <w:rsid w:val="00256F0A"/>
    <w:rsid w:val="00256F80"/>
    <w:rsid w:val="00256FC1"/>
    <w:rsid w:val="00257121"/>
    <w:rsid w:val="002571F4"/>
    <w:rsid w:val="0025720D"/>
    <w:rsid w:val="00257281"/>
    <w:rsid w:val="0025733C"/>
    <w:rsid w:val="00257432"/>
    <w:rsid w:val="0025743A"/>
    <w:rsid w:val="0025757F"/>
    <w:rsid w:val="002575BA"/>
    <w:rsid w:val="002576A7"/>
    <w:rsid w:val="0025770B"/>
    <w:rsid w:val="00257733"/>
    <w:rsid w:val="0025776A"/>
    <w:rsid w:val="002577AD"/>
    <w:rsid w:val="002577C6"/>
    <w:rsid w:val="002578A0"/>
    <w:rsid w:val="0025793B"/>
    <w:rsid w:val="00257989"/>
    <w:rsid w:val="00257999"/>
    <w:rsid w:val="00257C2E"/>
    <w:rsid w:val="00257C9A"/>
    <w:rsid w:val="00257CE2"/>
    <w:rsid w:val="00257DC7"/>
    <w:rsid w:val="00257E00"/>
    <w:rsid w:val="00257E60"/>
    <w:rsid w:val="00257E7D"/>
    <w:rsid w:val="00257E94"/>
    <w:rsid w:val="00257EA4"/>
    <w:rsid w:val="00257EC4"/>
    <w:rsid w:val="00257F56"/>
    <w:rsid w:val="00257FD6"/>
    <w:rsid w:val="00257FFA"/>
    <w:rsid w:val="0026008C"/>
    <w:rsid w:val="0026015D"/>
    <w:rsid w:val="00260184"/>
    <w:rsid w:val="00260189"/>
    <w:rsid w:val="002601AD"/>
    <w:rsid w:val="00260282"/>
    <w:rsid w:val="0026049C"/>
    <w:rsid w:val="002608CB"/>
    <w:rsid w:val="00260925"/>
    <w:rsid w:val="002609E5"/>
    <w:rsid w:val="002609F8"/>
    <w:rsid w:val="00260A38"/>
    <w:rsid w:val="00260A80"/>
    <w:rsid w:val="00260BA4"/>
    <w:rsid w:val="00260C78"/>
    <w:rsid w:val="00260D25"/>
    <w:rsid w:val="00260D74"/>
    <w:rsid w:val="00260E94"/>
    <w:rsid w:val="00260F3D"/>
    <w:rsid w:val="00260F58"/>
    <w:rsid w:val="0026110F"/>
    <w:rsid w:val="0026128F"/>
    <w:rsid w:val="00261317"/>
    <w:rsid w:val="002613B5"/>
    <w:rsid w:val="002613DD"/>
    <w:rsid w:val="002613F0"/>
    <w:rsid w:val="002614B6"/>
    <w:rsid w:val="0026150A"/>
    <w:rsid w:val="0026161A"/>
    <w:rsid w:val="002616B3"/>
    <w:rsid w:val="002617B3"/>
    <w:rsid w:val="00261A98"/>
    <w:rsid w:val="00261AD7"/>
    <w:rsid w:val="00261B21"/>
    <w:rsid w:val="00261BEB"/>
    <w:rsid w:val="00261C26"/>
    <w:rsid w:val="00261D37"/>
    <w:rsid w:val="00261D69"/>
    <w:rsid w:val="00261DBD"/>
    <w:rsid w:val="00261E7B"/>
    <w:rsid w:val="00261F77"/>
    <w:rsid w:val="00262199"/>
    <w:rsid w:val="00262247"/>
    <w:rsid w:val="00262286"/>
    <w:rsid w:val="0026232B"/>
    <w:rsid w:val="0026239B"/>
    <w:rsid w:val="00262838"/>
    <w:rsid w:val="00262A49"/>
    <w:rsid w:val="00262A4D"/>
    <w:rsid w:val="00262B1D"/>
    <w:rsid w:val="00262B49"/>
    <w:rsid w:val="00262B58"/>
    <w:rsid w:val="00262B92"/>
    <w:rsid w:val="00262C5D"/>
    <w:rsid w:val="00262CB3"/>
    <w:rsid w:val="00262CC9"/>
    <w:rsid w:val="00262D41"/>
    <w:rsid w:val="00262ED0"/>
    <w:rsid w:val="00262F70"/>
    <w:rsid w:val="00262FAC"/>
    <w:rsid w:val="00263143"/>
    <w:rsid w:val="0026314A"/>
    <w:rsid w:val="002631A7"/>
    <w:rsid w:val="002632AC"/>
    <w:rsid w:val="002632C9"/>
    <w:rsid w:val="002632F2"/>
    <w:rsid w:val="002632F7"/>
    <w:rsid w:val="002633A8"/>
    <w:rsid w:val="002633C4"/>
    <w:rsid w:val="0026345B"/>
    <w:rsid w:val="0026345F"/>
    <w:rsid w:val="0026349D"/>
    <w:rsid w:val="00263519"/>
    <w:rsid w:val="00263549"/>
    <w:rsid w:val="0026359D"/>
    <w:rsid w:val="002635A8"/>
    <w:rsid w:val="002638A3"/>
    <w:rsid w:val="002638FC"/>
    <w:rsid w:val="0026399D"/>
    <w:rsid w:val="00263A0C"/>
    <w:rsid w:val="00263A4E"/>
    <w:rsid w:val="00263B2E"/>
    <w:rsid w:val="00263B5D"/>
    <w:rsid w:val="00263D84"/>
    <w:rsid w:val="00263ECA"/>
    <w:rsid w:val="00263F49"/>
    <w:rsid w:val="00263FA7"/>
    <w:rsid w:val="00263FAD"/>
    <w:rsid w:val="00264085"/>
    <w:rsid w:val="00264206"/>
    <w:rsid w:val="0026422C"/>
    <w:rsid w:val="00264251"/>
    <w:rsid w:val="0026427D"/>
    <w:rsid w:val="00264294"/>
    <w:rsid w:val="002642A5"/>
    <w:rsid w:val="002642CE"/>
    <w:rsid w:val="002642D5"/>
    <w:rsid w:val="002642F3"/>
    <w:rsid w:val="00264344"/>
    <w:rsid w:val="0026435F"/>
    <w:rsid w:val="00264382"/>
    <w:rsid w:val="002643C1"/>
    <w:rsid w:val="0026449F"/>
    <w:rsid w:val="002644BA"/>
    <w:rsid w:val="00264577"/>
    <w:rsid w:val="002645C4"/>
    <w:rsid w:val="0026460C"/>
    <w:rsid w:val="00264636"/>
    <w:rsid w:val="00264641"/>
    <w:rsid w:val="0026465D"/>
    <w:rsid w:val="00264709"/>
    <w:rsid w:val="00264786"/>
    <w:rsid w:val="002647A7"/>
    <w:rsid w:val="002647B5"/>
    <w:rsid w:val="0026488B"/>
    <w:rsid w:val="00264969"/>
    <w:rsid w:val="00264988"/>
    <w:rsid w:val="00264A43"/>
    <w:rsid w:val="00264B5F"/>
    <w:rsid w:val="00264C30"/>
    <w:rsid w:val="00264CA2"/>
    <w:rsid w:val="00264CD0"/>
    <w:rsid w:val="00264D39"/>
    <w:rsid w:val="00264DED"/>
    <w:rsid w:val="00264E7A"/>
    <w:rsid w:val="00264ED7"/>
    <w:rsid w:val="0026503B"/>
    <w:rsid w:val="0026505C"/>
    <w:rsid w:val="002653CA"/>
    <w:rsid w:val="002653D0"/>
    <w:rsid w:val="002653FE"/>
    <w:rsid w:val="002654E2"/>
    <w:rsid w:val="002656DF"/>
    <w:rsid w:val="002656EA"/>
    <w:rsid w:val="0026586C"/>
    <w:rsid w:val="00265926"/>
    <w:rsid w:val="00265A7A"/>
    <w:rsid w:val="00265A85"/>
    <w:rsid w:val="00265B18"/>
    <w:rsid w:val="00265B61"/>
    <w:rsid w:val="00265B79"/>
    <w:rsid w:val="00265B98"/>
    <w:rsid w:val="00265BC3"/>
    <w:rsid w:val="00265BDF"/>
    <w:rsid w:val="00265BEF"/>
    <w:rsid w:val="00265C46"/>
    <w:rsid w:val="00265D33"/>
    <w:rsid w:val="00265F3A"/>
    <w:rsid w:val="00265F7D"/>
    <w:rsid w:val="00266017"/>
    <w:rsid w:val="0026601C"/>
    <w:rsid w:val="00266057"/>
    <w:rsid w:val="0026607C"/>
    <w:rsid w:val="002660B8"/>
    <w:rsid w:val="002660E5"/>
    <w:rsid w:val="0026610B"/>
    <w:rsid w:val="00266130"/>
    <w:rsid w:val="002662B2"/>
    <w:rsid w:val="002662C2"/>
    <w:rsid w:val="002662F0"/>
    <w:rsid w:val="002664D2"/>
    <w:rsid w:val="002664F9"/>
    <w:rsid w:val="00266513"/>
    <w:rsid w:val="00266598"/>
    <w:rsid w:val="0026664B"/>
    <w:rsid w:val="00266701"/>
    <w:rsid w:val="00266751"/>
    <w:rsid w:val="00266886"/>
    <w:rsid w:val="002668BA"/>
    <w:rsid w:val="002669C3"/>
    <w:rsid w:val="002669E0"/>
    <w:rsid w:val="00266A07"/>
    <w:rsid w:val="00266AB1"/>
    <w:rsid w:val="00266AD3"/>
    <w:rsid w:val="00266B3B"/>
    <w:rsid w:val="00266B7C"/>
    <w:rsid w:val="00266D13"/>
    <w:rsid w:val="00266F0B"/>
    <w:rsid w:val="00266F44"/>
    <w:rsid w:val="00266F62"/>
    <w:rsid w:val="00266F7C"/>
    <w:rsid w:val="00266FAC"/>
    <w:rsid w:val="0026701C"/>
    <w:rsid w:val="0026702F"/>
    <w:rsid w:val="00267069"/>
    <w:rsid w:val="002671D9"/>
    <w:rsid w:val="0026720A"/>
    <w:rsid w:val="0026724C"/>
    <w:rsid w:val="002673FC"/>
    <w:rsid w:val="002674A2"/>
    <w:rsid w:val="00267573"/>
    <w:rsid w:val="0026762A"/>
    <w:rsid w:val="0026764A"/>
    <w:rsid w:val="002676D0"/>
    <w:rsid w:val="002677E5"/>
    <w:rsid w:val="0026780D"/>
    <w:rsid w:val="0026791C"/>
    <w:rsid w:val="00267A10"/>
    <w:rsid w:val="00267A81"/>
    <w:rsid w:val="00267AF9"/>
    <w:rsid w:val="00267B57"/>
    <w:rsid w:val="00267BDA"/>
    <w:rsid w:val="00267D0C"/>
    <w:rsid w:val="00267F25"/>
    <w:rsid w:val="00267F7E"/>
    <w:rsid w:val="00270028"/>
    <w:rsid w:val="0027003E"/>
    <w:rsid w:val="0027004D"/>
    <w:rsid w:val="0027010F"/>
    <w:rsid w:val="0027023C"/>
    <w:rsid w:val="002702CE"/>
    <w:rsid w:val="00270354"/>
    <w:rsid w:val="0027048F"/>
    <w:rsid w:val="0027059D"/>
    <w:rsid w:val="002705E1"/>
    <w:rsid w:val="002705EC"/>
    <w:rsid w:val="0027065C"/>
    <w:rsid w:val="00270673"/>
    <w:rsid w:val="00270714"/>
    <w:rsid w:val="0027073F"/>
    <w:rsid w:val="00270767"/>
    <w:rsid w:val="00270804"/>
    <w:rsid w:val="00270814"/>
    <w:rsid w:val="002708CC"/>
    <w:rsid w:val="00270954"/>
    <w:rsid w:val="00270988"/>
    <w:rsid w:val="002709CC"/>
    <w:rsid w:val="00270B52"/>
    <w:rsid w:val="00270B66"/>
    <w:rsid w:val="00270B7F"/>
    <w:rsid w:val="00270BB2"/>
    <w:rsid w:val="00270E4F"/>
    <w:rsid w:val="00270EA3"/>
    <w:rsid w:val="00270F55"/>
    <w:rsid w:val="00270FE4"/>
    <w:rsid w:val="0027100E"/>
    <w:rsid w:val="00271012"/>
    <w:rsid w:val="0027107D"/>
    <w:rsid w:val="002712BC"/>
    <w:rsid w:val="0027140F"/>
    <w:rsid w:val="002714F0"/>
    <w:rsid w:val="0027151A"/>
    <w:rsid w:val="00271590"/>
    <w:rsid w:val="002715BA"/>
    <w:rsid w:val="002715BF"/>
    <w:rsid w:val="002715D3"/>
    <w:rsid w:val="002715FE"/>
    <w:rsid w:val="0027165A"/>
    <w:rsid w:val="00271680"/>
    <w:rsid w:val="00271686"/>
    <w:rsid w:val="002716C5"/>
    <w:rsid w:val="0027177C"/>
    <w:rsid w:val="0027180F"/>
    <w:rsid w:val="00271843"/>
    <w:rsid w:val="002718A9"/>
    <w:rsid w:val="002718D7"/>
    <w:rsid w:val="00271928"/>
    <w:rsid w:val="0027194A"/>
    <w:rsid w:val="00271BDB"/>
    <w:rsid w:val="00271BDC"/>
    <w:rsid w:val="00271D6A"/>
    <w:rsid w:val="00271DB7"/>
    <w:rsid w:val="00271F02"/>
    <w:rsid w:val="00271F61"/>
    <w:rsid w:val="00271F91"/>
    <w:rsid w:val="0027205B"/>
    <w:rsid w:val="00272071"/>
    <w:rsid w:val="002720CC"/>
    <w:rsid w:val="0027212A"/>
    <w:rsid w:val="00272211"/>
    <w:rsid w:val="00272331"/>
    <w:rsid w:val="002723C8"/>
    <w:rsid w:val="002723D6"/>
    <w:rsid w:val="002724E3"/>
    <w:rsid w:val="002724F4"/>
    <w:rsid w:val="0027259A"/>
    <w:rsid w:val="0027274A"/>
    <w:rsid w:val="002728DF"/>
    <w:rsid w:val="00272A08"/>
    <w:rsid w:val="00272B7B"/>
    <w:rsid w:val="00272C08"/>
    <w:rsid w:val="00272C69"/>
    <w:rsid w:val="00272D80"/>
    <w:rsid w:val="00272DA9"/>
    <w:rsid w:val="0027311B"/>
    <w:rsid w:val="002731CA"/>
    <w:rsid w:val="00273235"/>
    <w:rsid w:val="00273263"/>
    <w:rsid w:val="00273377"/>
    <w:rsid w:val="00273453"/>
    <w:rsid w:val="00273610"/>
    <w:rsid w:val="0027366F"/>
    <w:rsid w:val="0027372C"/>
    <w:rsid w:val="00273762"/>
    <w:rsid w:val="0027387B"/>
    <w:rsid w:val="00273892"/>
    <w:rsid w:val="00273947"/>
    <w:rsid w:val="00273A08"/>
    <w:rsid w:val="00273A10"/>
    <w:rsid w:val="00273A3F"/>
    <w:rsid w:val="00273A7D"/>
    <w:rsid w:val="00273AD5"/>
    <w:rsid w:val="00273B94"/>
    <w:rsid w:val="00273BE5"/>
    <w:rsid w:val="00273CCE"/>
    <w:rsid w:val="00273CDC"/>
    <w:rsid w:val="00273CE6"/>
    <w:rsid w:val="00273CFB"/>
    <w:rsid w:val="00273DF3"/>
    <w:rsid w:val="00273F91"/>
    <w:rsid w:val="00273F97"/>
    <w:rsid w:val="00274016"/>
    <w:rsid w:val="00274117"/>
    <w:rsid w:val="0027418F"/>
    <w:rsid w:val="002741C1"/>
    <w:rsid w:val="002742B3"/>
    <w:rsid w:val="0027448F"/>
    <w:rsid w:val="002746EA"/>
    <w:rsid w:val="0027491E"/>
    <w:rsid w:val="002749FF"/>
    <w:rsid w:val="00274A2E"/>
    <w:rsid w:val="00274AA2"/>
    <w:rsid w:val="00274C14"/>
    <w:rsid w:val="00274DDF"/>
    <w:rsid w:val="00274E2B"/>
    <w:rsid w:val="00274E93"/>
    <w:rsid w:val="00274E99"/>
    <w:rsid w:val="00275042"/>
    <w:rsid w:val="002750EA"/>
    <w:rsid w:val="0027539F"/>
    <w:rsid w:val="002753AD"/>
    <w:rsid w:val="00275485"/>
    <w:rsid w:val="0027550F"/>
    <w:rsid w:val="0027563B"/>
    <w:rsid w:val="002756E6"/>
    <w:rsid w:val="00275730"/>
    <w:rsid w:val="00275778"/>
    <w:rsid w:val="00275819"/>
    <w:rsid w:val="00275882"/>
    <w:rsid w:val="002759C8"/>
    <w:rsid w:val="00275ABF"/>
    <w:rsid w:val="00275B34"/>
    <w:rsid w:val="00275BBE"/>
    <w:rsid w:val="00275C25"/>
    <w:rsid w:val="00275FEA"/>
    <w:rsid w:val="00275FF9"/>
    <w:rsid w:val="002760F4"/>
    <w:rsid w:val="00276130"/>
    <w:rsid w:val="00276161"/>
    <w:rsid w:val="0027639C"/>
    <w:rsid w:val="002764D0"/>
    <w:rsid w:val="00276518"/>
    <w:rsid w:val="00276561"/>
    <w:rsid w:val="002765DB"/>
    <w:rsid w:val="00276663"/>
    <w:rsid w:val="002766AA"/>
    <w:rsid w:val="002766D9"/>
    <w:rsid w:val="002767CA"/>
    <w:rsid w:val="00276836"/>
    <w:rsid w:val="00276919"/>
    <w:rsid w:val="002769AF"/>
    <w:rsid w:val="002769BB"/>
    <w:rsid w:val="00276AD6"/>
    <w:rsid w:val="00276B29"/>
    <w:rsid w:val="00276B9C"/>
    <w:rsid w:val="00276C48"/>
    <w:rsid w:val="00276D80"/>
    <w:rsid w:val="00276DFE"/>
    <w:rsid w:val="00276E13"/>
    <w:rsid w:val="00276F3E"/>
    <w:rsid w:val="00276FB3"/>
    <w:rsid w:val="00276FBD"/>
    <w:rsid w:val="00277016"/>
    <w:rsid w:val="002772F7"/>
    <w:rsid w:val="00277401"/>
    <w:rsid w:val="00277402"/>
    <w:rsid w:val="00277436"/>
    <w:rsid w:val="002774BE"/>
    <w:rsid w:val="00277579"/>
    <w:rsid w:val="0027757D"/>
    <w:rsid w:val="00277593"/>
    <w:rsid w:val="002775A8"/>
    <w:rsid w:val="00277666"/>
    <w:rsid w:val="002776AC"/>
    <w:rsid w:val="002777B6"/>
    <w:rsid w:val="00277889"/>
    <w:rsid w:val="0027788B"/>
    <w:rsid w:val="002778D6"/>
    <w:rsid w:val="002778E3"/>
    <w:rsid w:val="00277937"/>
    <w:rsid w:val="002779C1"/>
    <w:rsid w:val="002779E0"/>
    <w:rsid w:val="00277A2A"/>
    <w:rsid w:val="00277BE2"/>
    <w:rsid w:val="00277D53"/>
    <w:rsid w:val="00277EC9"/>
    <w:rsid w:val="00277ECD"/>
    <w:rsid w:val="00277ED8"/>
    <w:rsid w:val="00277F04"/>
    <w:rsid w:val="00277FA7"/>
    <w:rsid w:val="00280018"/>
    <w:rsid w:val="002800B0"/>
    <w:rsid w:val="002800B1"/>
    <w:rsid w:val="00280181"/>
    <w:rsid w:val="0028024D"/>
    <w:rsid w:val="0028025A"/>
    <w:rsid w:val="002802CE"/>
    <w:rsid w:val="00280382"/>
    <w:rsid w:val="0028044B"/>
    <w:rsid w:val="00280527"/>
    <w:rsid w:val="002805EA"/>
    <w:rsid w:val="00280626"/>
    <w:rsid w:val="00280649"/>
    <w:rsid w:val="00280670"/>
    <w:rsid w:val="002806AC"/>
    <w:rsid w:val="002806ED"/>
    <w:rsid w:val="00280736"/>
    <w:rsid w:val="002807ED"/>
    <w:rsid w:val="0028084F"/>
    <w:rsid w:val="002808C3"/>
    <w:rsid w:val="002808C8"/>
    <w:rsid w:val="002808D4"/>
    <w:rsid w:val="00280996"/>
    <w:rsid w:val="00280B3E"/>
    <w:rsid w:val="00280C90"/>
    <w:rsid w:val="00280D9C"/>
    <w:rsid w:val="00280DE5"/>
    <w:rsid w:val="00280E0A"/>
    <w:rsid w:val="00280E66"/>
    <w:rsid w:val="00280FB7"/>
    <w:rsid w:val="00280FC9"/>
    <w:rsid w:val="0028108F"/>
    <w:rsid w:val="0028109B"/>
    <w:rsid w:val="002810A3"/>
    <w:rsid w:val="0028118D"/>
    <w:rsid w:val="002811A7"/>
    <w:rsid w:val="002811BF"/>
    <w:rsid w:val="00281329"/>
    <w:rsid w:val="0028139F"/>
    <w:rsid w:val="00281425"/>
    <w:rsid w:val="0028149E"/>
    <w:rsid w:val="002814FC"/>
    <w:rsid w:val="002818F4"/>
    <w:rsid w:val="00281947"/>
    <w:rsid w:val="00281960"/>
    <w:rsid w:val="00281A02"/>
    <w:rsid w:val="00281B36"/>
    <w:rsid w:val="00281CC9"/>
    <w:rsid w:val="00281D59"/>
    <w:rsid w:val="00281D99"/>
    <w:rsid w:val="00281DC5"/>
    <w:rsid w:val="00281E6A"/>
    <w:rsid w:val="00281F44"/>
    <w:rsid w:val="002820C1"/>
    <w:rsid w:val="00282179"/>
    <w:rsid w:val="0028219F"/>
    <w:rsid w:val="0028221A"/>
    <w:rsid w:val="002822AC"/>
    <w:rsid w:val="0028251D"/>
    <w:rsid w:val="00282576"/>
    <w:rsid w:val="0028269D"/>
    <w:rsid w:val="002826BE"/>
    <w:rsid w:val="0028285B"/>
    <w:rsid w:val="00282861"/>
    <w:rsid w:val="00282880"/>
    <w:rsid w:val="0028288C"/>
    <w:rsid w:val="002829C8"/>
    <w:rsid w:val="00282A0F"/>
    <w:rsid w:val="00282A1C"/>
    <w:rsid w:val="00282BB2"/>
    <w:rsid w:val="00282BFD"/>
    <w:rsid w:val="00282C00"/>
    <w:rsid w:val="00282DBE"/>
    <w:rsid w:val="00282E1A"/>
    <w:rsid w:val="00282E4F"/>
    <w:rsid w:val="00282FE4"/>
    <w:rsid w:val="00283036"/>
    <w:rsid w:val="002831F9"/>
    <w:rsid w:val="0028322E"/>
    <w:rsid w:val="0028337E"/>
    <w:rsid w:val="002833ED"/>
    <w:rsid w:val="002834BD"/>
    <w:rsid w:val="002834F7"/>
    <w:rsid w:val="002835D8"/>
    <w:rsid w:val="0028363B"/>
    <w:rsid w:val="002836A4"/>
    <w:rsid w:val="00283805"/>
    <w:rsid w:val="0028386D"/>
    <w:rsid w:val="00283A44"/>
    <w:rsid w:val="00283B24"/>
    <w:rsid w:val="00283BC1"/>
    <w:rsid w:val="00283C0E"/>
    <w:rsid w:val="00283C26"/>
    <w:rsid w:val="00283C53"/>
    <w:rsid w:val="00283CE2"/>
    <w:rsid w:val="00283CF9"/>
    <w:rsid w:val="00283D7A"/>
    <w:rsid w:val="00283E59"/>
    <w:rsid w:val="00283E5F"/>
    <w:rsid w:val="00284099"/>
    <w:rsid w:val="002840EF"/>
    <w:rsid w:val="00284101"/>
    <w:rsid w:val="00284147"/>
    <w:rsid w:val="00284167"/>
    <w:rsid w:val="002841A6"/>
    <w:rsid w:val="00284314"/>
    <w:rsid w:val="00284418"/>
    <w:rsid w:val="0028454B"/>
    <w:rsid w:val="002845F8"/>
    <w:rsid w:val="002845FB"/>
    <w:rsid w:val="00284642"/>
    <w:rsid w:val="00284662"/>
    <w:rsid w:val="002846FC"/>
    <w:rsid w:val="002848E0"/>
    <w:rsid w:val="0028497A"/>
    <w:rsid w:val="002849AA"/>
    <w:rsid w:val="00284AAE"/>
    <w:rsid w:val="00284BB1"/>
    <w:rsid w:val="00284BF4"/>
    <w:rsid w:val="00284CBD"/>
    <w:rsid w:val="00284DB7"/>
    <w:rsid w:val="00284DFA"/>
    <w:rsid w:val="00284E0E"/>
    <w:rsid w:val="00284E2D"/>
    <w:rsid w:val="00284FF9"/>
    <w:rsid w:val="0028508A"/>
    <w:rsid w:val="002850FB"/>
    <w:rsid w:val="0028535A"/>
    <w:rsid w:val="00285448"/>
    <w:rsid w:val="00285452"/>
    <w:rsid w:val="00285557"/>
    <w:rsid w:val="0028566A"/>
    <w:rsid w:val="00285677"/>
    <w:rsid w:val="002856BD"/>
    <w:rsid w:val="00285745"/>
    <w:rsid w:val="002857B7"/>
    <w:rsid w:val="00285896"/>
    <w:rsid w:val="00285911"/>
    <w:rsid w:val="0028593E"/>
    <w:rsid w:val="00285965"/>
    <w:rsid w:val="00285996"/>
    <w:rsid w:val="00285A0B"/>
    <w:rsid w:val="00285A22"/>
    <w:rsid w:val="00285B39"/>
    <w:rsid w:val="00285BBE"/>
    <w:rsid w:val="00285C41"/>
    <w:rsid w:val="00285C58"/>
    <w:rsid w:val="00285E19"/>
    <w:rsid w:val="00285F04"/>
    <w:rsid w:val="002860E7"/>
    <w:rsid w:val="0028618F"/>
    <w:rsid w:val="002862A6"/>
    <w:rsid w:val="002863A9"/>
    <w:rsid w:val="002863E8"/>
    <w:rsid w:val="0028647D"/>
    <w:rsid w:val="002864BB"/>
    <w:rsid w:val="0028668D"/>
    <w:rsid w:val="002866A5"/>
    <w:rsid w:val="0028676C"/>
    <w:rsid w:val="00286A66"/>
    <w:rsid w:val="00286BC9"/>
    <w:rsid w:val="00286C56"/>
    <w:rsid w:val="00286C69"/>
    <w:rsid w:val="00286CCA"/>
    <w:rsid w:val="00286DF5"/>
    <w:rsid w:val="00286E34"/>
    <w:rsid w:val="00286E3A"/>
    <w:rsid w:val="0028703B"/>
    <w:rsid w:val="002870C2"/>
    <w:rsid w:val="0028710F"/>
    <w:rsid w:val="00287278"/>
    <w:rsid w:val="002872E0"/>
    <w:rsid w:val="0028730F"/>
    <w:rsid w:val="002873B2"/>
    <w:rsid w:val="00287490"/>
    <w:rsid w:val="002874BD"/>
    <w:rsid w:val="002874D4"/>
    <w:rsid w:val="00287508"/>
    <w:rsid w:val="00287549"/>
    <w:rsid w:val="00287769"/>
    <w:rsid w:val="002877A9"/>
    <w:rsid w:val="002878A7"/>
    <w:rsid w:val="002878B1"/>
    <w:rsid w:val="002878C3"/>
    <w:rsid w:val="00287B1A"/>
    <w:rsid w:val="00287B9C"/>
    <w:rsid w:val="00287BCB"/>
    <w:rsid w:val="00287BEB"/>
    <w:rsid w:val="00287D86"/>
    <w:rsid w:val="00287D89"/>
    <w:rsid w:val="00287F42"/>
    <w:rsid w:val="00287F81"/>
    <w:rsid w:val="00290153"/>
    <w:rsid w:val="002901CE"/>
    <w:rsid w:val="00290231"/>
    <w:rsid w:val="00290251"/>
    <w:rsid w:val="00290270"/>
    <w:rsid w:val="002902C3"/>
    <w:rsid w:val="002902FF"/>
    <w:rsid w:val="0029036F"/>
    <w:rsid w:val="002903A6"/>
    <w:rsid w:val="0029041E"/>
    <w:rsid w:val="00290442"/>
    <w:rsid w:val="00290496"/>
    <w:rsid w:val="00290511"/>
    <w:rsid w:val="00290666"/>
    <w:rsid w:val="00290780"/>
    <w:rsid w:val="002907E4"/>
    <w:rsid w:val="0029088E"/>
    <w:rsid w:val="002908DA"/>
    <w:rsid w:val="0029094F"/>
    <w:rsid w:val="002909A8"/>
    <w:rsid w:val="002909BD"/>
    <w:rsid w:val="00290AA2"/>
    <w:rsid w:val="00290C8C"/>
    <w:rsid w:val="0029105D"/>
    <w:rsid w:val="00291080"/>
    <w:rsid w:val="0029108E"/>
    <w:rsid w:val="00291155"/>
    <w:rsid w:val="00291318"/>
    <w:rsid w:val="0029131A"/>
    <w:rsid w:val="00291322"/>
    <w:rsid w:val="00291336"/>
    <w:rsid w:val="002915A5"/>
    <w:rsid w:val="002916D6"/>
    <w:rsid w:val="00291862"/>
    <w:rsid w:val="0029193D"/>
    <w:rsid w:val="002919FB"/>
    <w:rsid w:val="00291A6A"/>
    <w:rsid w:val="00291AA8"/>
    <w:rsid w:val="00291AD8"/>
    <w:rsid w:val="00291C3D"/>
    <w:rsid w:val="00291C76"/>
    <w:rsid w:val="00291C94"/>
    <w:rsid w:val="00291CD5"/>
    <w:rsid w:val="00291EB6"/>
    <w:rsid w:val="00291F38"/>
    <w:rsid w:val="0029225A"/>
    <w:rsid w:val="00292335"/>
    <w:rsid w:val="0029235F"/>
    <w:rsid w:val="00292367"/>
    <w:rsid w:val="00292463"/>
    <w:rsid w:val="002925B1"/>
    <w:rsid w:val="00292650"/>
    <w:rsid w:val="00292766"/>
    <w:rsid w:val="0029276E"/>
    <w:rsid w:val="002928DC"/>
    <w:rsid w:val="00292942"/>
    <w:rsid w:val="0029295E"/>
    <w:rsid w:val="00292AAC"/>
    <w:rsid w:val="00292AF6"/>
    <w:rsid w:val="00292AFA"/>
    <w:rsid w:val="00292CB5"/>
    <w:rsid w:val="00292CDB"/>
    <w:rsid w:val="00292D5E"/>
    <w:rsid w:val="00292E4B"/>
    <w:rsid w:val="00292F07"/>
    <w:rsid w:val="00293030"/>
    <w:rsid w:val="0029316D"/>
    <w:rsid w:val="0029318D"/>
    <w:rsid w:val="002932CC"/>
    <w:rsid w:val="0029331F"/>
    <w:rsid w:val="0029333B"/>
    <w:rsid w:val="00293361"/>
    <w:rsid w:val="002933B4"/>
    <w:rsid w:val="002933B9"/>
    <w:rsid w:val="002933ED"/>
    <w:rsid w:val="00293447"/>
    <w:rsid w:val="00293657"/>
    <w:rsid w:val="00293677"/>
    <w:rsid w:val="002936BD"/>
    <w:rsid w:val="00293829"/>
    <w:rsid w:val="002938E4"/>
    <w:rsid w:val="00293966"/>
    <w:rsid w:val="002939E4"/>
    <w:rsid w:val="00293AA9"/>
    <w:rsid w:val="00293ADF"/>
    <w:rsid w:val="00293B95"/>
    <w:rsid w:val="00293BED"/>
    <w:rsid w:val="00293C2D"/>
    <w:rsid w:val="00293D62"/>
    <w:rsid w:val="00293DF6"/>
    <w:rsid w:val="00293E25"/>
    <w:rsid w:val="00293E2A"/>
    <w:rsid w:val="00293EA5"/>
    <w:rsid w:val="00293EAB"/>
    <w:rsid w:val="00293F52"/>
    <w:rsid w:val="00293FC1"/>
    <w:rsid w:val="00294016"/>
    <w:rsid w:val="0029405B"/>
    <w:rsid w:val="002942A1"/>
    <w:rsid w:val="00294345"/>
    <w:rsid w:val="0029434A"/>
    <w:rsid w:val="0029441E"/>
    <w:rsid w:val="0029455C"/>
    <w:rsid w:val="00294560"/>
    <w:rsid w:val="0029458E"/>
    <w:rsid w:val="002945B8"/>
    <w:rsid w:val="002945F6"/>
    <w:rsid w:val="0029461B"/>
    <w:rsid w:val="00294678"/>
    <w:rsid w:val="002946A5"/>
    <w:rsid w:val="0029471F"/>
    <w:rsid w:val="0029476B"/>
    <w:rsid w:val="0029484E"/>
    <w:rsid w:val="00294939"/>
    <w:rsid w:val="002949F2"/>
    <w:rsid w:val="00294B2D"/>
    <w:rsid w:val="00294B36"/>
    <w:rsid w:val="00294C42"/>
    <w:rsid w:val="00294C72"/>
    <w:rsid w:val="00294C7A"/>
    <w:rsid w:val="00294C81"/>
    <w:rsid w:val="00294F16"/>
    <w:rsid w:val="00294F8C"/>
    <w:rsid w:val="00295136"/>
    <w:rsid w:val="002951E4"/>
    <w:rsid w:val="002951EB"/>
    <w:rsid w:val="00295273"/>
    <w:rsid w:val="002952D4"/>
    <w:rsid w:val="002953A5"/>
    <w:rsid w:val="002953B4"/>
    <w:rsid w:val="00295486"/>
    <w:rsid w:val="0029558A"/>
    <w:rsid w:val="002955DE"/>
    <w:rsid w:val="00295636"/>
    <w:rsid w:val="0029565C"/>
    <w:rsid w:val="0029577F"/>
    <w:rsid w:val="00295882"/>
    <w:rsid w:val="00295883"/>
    <w:rsid w:val="00295A7A"/>
    <w:rsid w:val="00295AEA"/>
    <w:rsid w:val="00295B83"/>
    <w:rsid w:val="00295BCE"/>
    <w:rsid w:val="00295C35"/>
    <w:rsid w:val="00295C41"/>
    <w:rsid w:val="00295C9D"/>
    <w:rsid w:val="00295DA8"/>
    <w:rsid w:val="00295E14"/>
    <w:rsid w:val="00295FD8"/>
    <w:rsid w:val="00296024"/>
    <w:rsid w:val="0029608C"/>
    <w:rsid w:val="002960F0"/>
    <w:rsid w:val="002961F1"/>
    <w:rsid w:val="00296268"/>
    <w:rsid w:val="00296292"/>
    <w:rsid w:val="002962B3"/>
    <w:rsid w:val="00296376"/>
    <w:rsid w:val="0029660C"/>
    <w:rsid w:val="0029678A"/>
    <w:rsid w:val="00296792"/>
    <w:rsid w:val="00296915"/>
    <w:rsid w:val="00296987"/>
    <w:rsid w:val="0029699A"/>
    <w:rsid w:val="002969D6"/>
    <w:rsid w:val="00296AB5"/>
    <w:rsid w:val="00296C26"/>
    <w:rsid w:val="00296D28"/>
    <w:rsid w:val="00296E7E"/>
    <w:rsid w:val="00296E97"/>
    <w:rsid w:val="00296EA5"/>
    <w:rsid w:val="00296EF3"/>
    <w:rsid w:val="00296F0A"/>
    <w:rsid w:val="00296F33"/>
    <w:rsid w:val="00296F52"/>
    <w:rsid w:val="00296FE2"/>
    <w:rsid w:val="00297067"/>
    <w:rsid w:val="00297199"/>
    <w:rsid w:val="002971FF"/>
    <w:rsid w:val="0029725E"/>
    <w:rsid w:val="00297286"/>
    <w:rsid w:val="00297370"/>
    <w:rsid w:val="002973C0"/>
    <w:rsid w:val="002973D2"/>
    <w:rsid w:val="002973F2"/>
    <w:rsid w:val="002974BD"/>
    <w:rsid w:val="00297690"/>
    <w:rsid w:val="002976DC"/>
    <w:rsid w:val="002978A0"/>
    <w:rsid w:val="00297915"/>
    <w:rsid w:val="00297923"/>
    <w:rsid w:val="0029793A"/>
    <w:rsid w:val="00297A7E"/>
    <w:rsid w:val="00297AB7"/>
    <w:rsid w:val="00297B34"/>
    <w:rsid w:val="00297B5E"/>
    <w:rsid w:val="00297B82"/>
    <w:rsid w:val="00297B8B"/>
    <w:rsid w:val="00297BAD"/>
    <w:rsid w:val="00297BCB"/>
    <w:rsid w:val="00297C0B"/>
    <w:rsid w:val="00297CAF"/>
    <w:rsid w:val="00297CD9"/>
    <w:rsid w:val="00297D2D"/>
    <w:rsid w:val="00297D3D"/>
    <w:rsid w:val="00297E53"/>
    <w:rsid w:val="00297E9D"/>
    <w:rsid w:val="002A0032"/>
    <w:rsid w:val="002A0172"/>
    <w:rsid w:val="002A02EC"/>
    <w:rsid w:val="002A02EF"/>
    <w:rsid w:val="002A03E4"/>
    <w:rsid w:val="002A0401"/>
    <w:rsid w:val="002A0473"/>
    <w:rsid w:val="002A04A9"/>
    <w:rsid w:val="002A0583"/>
    <w:rsid w:val="002A0756"/>
    <w:rsid w:val="002A08B1"/>
    <w:rsid w:val="002A08DE"/>
    <w:rsid w:val="002A0993"/>
    <w:rsid w:val="002A09A2"/>
    <w:rsid w:val="002A0A50"/>
    <w:rsid w:val="002A0ADF"/>
    <w:rsid w:val="002A0B16"/>
    <w:rsid w:val="002A0CC9"/>
    <w:rsid w:val="002A0D38"/>
    <w:rsid w:val="002A0D81"/>
    <w:rsid w:val="002A0DB3"/>
    <w:rsid w:val="002A0DC6"/>
    <w:rsid w:val="002A0E5C"/>
    <w:rsid w:val="002A0F68"/>
    <w:rsid w:val="002A1039"/>
    <w:rsid w:val="002A1096"/>
    <w:rsid w:val="002A1166"/>
    <w:rsid w:val="002A119D"/>
    <w:rsid w:val="002A1247"/>
    <w:rsid w:val="002A125C"/>
    <w:rsid w:val="002A1260"/>
    <w:rsid w:val="002A1293"/>
    <w:rsid w:val="002A138C"/>
    <w:rsid w:val="002A13DC"/>
    <w:rsid w:val="002A1482"/>
    <w:rsid w:val="002A1689"/>
    <w:rsid w:val="002A16D9"/>
    <w:rsid w:val="002A1800"/>
    <w:rsid w:val="002A1806"/>
    <w:rsid w:val="002A18D5"/>
    <w:rsid w:val="002A1A1B"/>
    <w:rsid w:val="002A1A23"/>
    <w:rsid w:val="002A1B08"/>
    <w:rsid w:val="002A1B3A"/>
    <w:rsid w:val="002A1B4F"/>
    <w:rsid w:val="002A1B60"/>
    <w:rsid w:val="002A1B6A"/>
    <w:rsid w:val="002A1C1E"/>
    <w:rsid w:val="002A1C7B"/>
    <w:rsid w:val="002A1D12"/>
    <w:rsid w:val="002A1D61"/>
    <w:rsid w:val="002A1EEC"/>
    <w:rsid w:val="002A1FFB"/>
    <w:rsid w:val="002A203B"/>
    <w:rsid w:val="002A208A"/>
    <w:rsid w:val="002A2096"/>
    <w:rsid w:val="002A219B"/>
    <w:rsid w:val="002A2273"/>
    <w:rsid w:val="002A227B"/>
    <w:rsid w:val="002A22AF"/>
    <w:rsid w:val="002A22BF"/>
    <w:rsid w:val="002A2452"/>
    <w:rsid w:val="002A2454"/>
    <w:rsid w:val="002A2472"/>
    <w:rsid w:val="002A2501"/>
    <w:rsid w:val="002A2536"/>
    <w:rsid w:val="002A256A"/>
    <w:rsid w:val="002A25C4"/>
    <w:rsid w:val="002A2618"/>
    <w:rsid w:val="002A263E"/>
    <w:rsid w:val="002A2685"/>
    <w:rsid w:val="002A26D4"/>
    <w:rsid w:val="002A2738"/>
    <w:rsid w:val="002A27C3"/>
    <w:rsid w:val="002A28E5"/>
    <w:rsid w:val="002A2A2B"/>
    <w:rsid w:val="002A2A2C"/>
    <w:rsid w:val="002A2CB0"/>
    <w:rsid w:val="002A2D85"/>
    <w:rsid w:val="002A2E90"/>
    <w:rsid w:val="002A2E9C"/>
    <w:rsid w:val="002A2ECF"/>
    <w:rsid w:val="002A2F6B"/>
    <w:rsid w:val="002A2F70"/>
    <w:rsid w:val="002A2FB9"/>
    <w:rsid w:val="002A3021"/>
    <w:rsid w:val="002A30C2"/>
    <w:rsid w:val="002A3152"/>
    <w:rsid w:val="002A317C"/>
    <w:rsid w:val="002A32CD"/>
    <w:rsid w:val="002A33BD"/>
    <w:rsid w:val="002A3523"/>
    <w:rsid w:val="002A3722"/>
    <w:rsid w:val="002A3755"/>
    <w:rsid w:val="002A378C"/>
    <w:rsid w:val="002A3823"/>
    <w:rsid w:val="002A3A57"/>
    <w:rsid w:val="002A3B00"/>
    <w:rsid w:val="002A3C11"/>
    <w:rsid w:val="002A3CDD"/>
    <w:rsid w:val="002A3D31"/>
    <w:rsid w:val="002A3D68"/>
    <w:rsid w:val="002A3D71"/>
    <w:rsid w:val="002A3D9F"/>
    <w:rsid w:val="002A3F9E"/>
    <w:rsid w:val="002A3FB8"/>
    <w:rsid w:val="002A4014"/>
    <w:rsid w:val="002A4156"/>
    <w:rsid w:val="002A4259"/>
    <w:rsid w:val="002A428E"/>
    <w:rsid w:val="002A43B0"/>
    <w:rsid w:val="002A4538"/>
    <w:rsid w:val="002A462D"/>
    <w:rsid w:val="002A46A4"/>
    <w:rsid w:val="002A472A"/>
    <w:rsid w:val="002A483C"/>
    <w:rsid w:val="002A48D5"/>
    <w:rsid w:val="002A4924"/>
    <w:rsid w:val="002A4AED"/>
    <w:rsid w:val="002A4B58"/>
    <w:rsid w:val="002A4B66"/>
    <w:rsid w:val="002A4BBB"/>
    <w:rsid w:val="002A4BE1"/>
    <w:rsid w:val="002A4C0E"/>
    <w:rsid w:val="002A4C69"/>
    <w:rsid w:val="002A4D13"/>
    <w:rsid w:val="002A4D20"/>
    <w:rsid w:val="002A4F6C"/>
    <w:rsid w:val="002A50BC"/>
    <w:rsid w:val="002A50ED"/>
    <w:rsid w:val="002A5164"/>
    <w:rsid w:val="002A516D"/>
    <w:rsid w:val="002A524C"/>
    <w:rsid w:val="002A5345"/>
    <w:rsid w:val="002A53B3"/>
    <w:rsid w:val="002A544D"/>
    <w:rsid w:val="002A54B3"/>
    <w:rsid w:val="002A5534"/>
    <w:rsid w:val="002A56D3"/>
    <w:rsid w:val="002A5729"/>
    <w:rsid w:val="002A57A1"/>
    <w:rsid w:val="002A5805"/>
    <w:rsid w:val="002A5912"/>
    <w:rsid w:val="002A5A0B"/>
    <w:rsid w:val="002A5A89"/>
    <w:rsid w:val="002A5B84"/>
    <w:rsid w:val="002A5C1B"/>
    <w:rsid w:val="002A5C33"/>
    <w:rsid w:val="002A5D19"/>
    <w:rsid w:val="002A5D5C"/>
    <w:rsid w:val="002A5E3F"/>
    <w:rsid w:val="002A5E5B"/>
    <w:rsid w:val="002A5F16"/>
    <w:rsid w:val="002A5F4B"/>
    <w:rsid w:val="002A609F"/>
    <w:rsid w:val="002A613E"/>
    <w:rsid w:val="002A6201"/>
    <w:rsid w:val="002A62E2"/>
    <w:rsid w:val="002A6678"/>
    <w:rsid w:val="002A6753"/>
    <w:rsid w:val="002A67E3"/>
    <w:rsid w:val="002A698C"/>
    <w:rsid w:val="002A6ABB"/>
    <w:rsid w:val="002A6AFD"/>
    <w:rsid w:val="002A6B83"/>
    <w:rsid w:val="002A6C1C"/>
    <w:rsid w:val="002A6C3E"/>
    <w:rsid w:val="002A6C83"/>
    <w:rsid w:val="002A6C8B"/>
    <w:rsid w:val="002A6CDF"/>
    <w:rsid w:val="002A6DD1"/>
    <w:rsid w:val="002A6E02"/>
    <w:rsid w:val="002A6E30"/>
    <w:rsid w:val="002A6E8D"/>
    <w:rsid w:val="002A6EE0"/>
    <w:rsid w:val="002A7078"/>
    <w:rsid w:val="002A7085"/>
    <w:rsid w:val="002A70C3"/>
    <w:rsid w:val="002A70E3"/>
    <w:rsid w:val="002A7108"/>
    <w:rsid w:val="002A715D"/>
    <w:rsid w:val="002A71C4"/>
    <w:rsid w:val="002A731F"/>
    <w:rsid w:val="002A7324"/>
    <w:rsid w:val="002A74D0"/>
    <w:rsid w:val="002A758A"/>
    <w:rsid w:val="002A7590"/>
    <w:rsid w:val="002A75B7"/>
    <w:rsid w:val="002A778E"/>
    <w:rsid w:val="002A7792"/>
    <w:rsid w:val="002A786A"/>
    <w:rsid w:val="002A7927"/>
    <w:rsid w:val="002A7938"/>
    <w:rsid w:val="002A7B85"/>
    <w:rsid w:val="002A7B9A"/>
    <w:rsid w:val="002A7C32"/>
    <w:rsid w:val="002A7D82"/>
    <w:rsid w:val="002A7D92"/>
    <w:rsid w:val="002B008D"/>
    <w:rsid w:val="002B0168"/>
    <w:rsid w:val="002B023C"/>
    <w:rsid w:val="002B02AB"/>
    <w:rsid w:val="002B0307"/>
    <w:rsid w:val="002B03ED"/>
    <w:rsid w:val="002B0413"/>
    <w:rsid w:val="002B0452"/>
    <w:rsid w:val="002B045E"/>
    <w:rsid w:val="002B05CD"/>
    <w:rsid w:val="002B05D6"/>
    <w:rsid w:val="002B05EC"/>
    <w:rsid w:val="002B06D0"/>
    <w:rsid w:val="002B0724"/>
    <w:rsid w:val="002B0760"/>
    <w:rsid w:val="002B08DE"/>
    <w:rsid w:val="002B09AC"/>
    <w:rsid w:val="002B09C1"/>
    <w:rsid w:val="002B09FE"/>
    <w:rsid w:val="002B0A4B"/>
    <w:rsid w:val="002B0AA7"/>
    <w:rsid w:val="002B0D14"/>
    <w:rsid w:val="002B0DE2"/>
    <w:rsid w:val="002B0E4B"/>
    <w:rsid w:val="002B0E63"/>
    <w:rsid w:val="002B0F10"/>
    <w:rsid w:val="002B10F6"/>
    <w:rsid w:val="002B1138"/>
    <w:rsid w:val="002B1161"/>
    <w:rsid w:val="002B11AF"/>
    <w:rsid w:val="002B13B0"/>
    <w:rsid w:val="002B13EA"/>
    <w:rsid w:val="002B1552"/>
    <w:rsid w:val="002B1553"/>
    <w:rsid w:val="002B1578"/>
    <w:rsid w:val="002B16F4"/>
    <w:rsid w:val="002B173E"/>
    <w:rsid w:val="002B1743"/>
    <w:rsid w:val="002B17B4"/>
    <w:rsid w:val="002B18A8"/>
    <w:rsid w:val="002B1951"/>
    <w:rsid w:val="002B1955"/>
    <w:rsid w:val="002B19E0"/>
    <w:rsid w:val="002B1A18"/>
    <w:rsid w:val="002B1A4C"/>
    <w:rsid w:val="002B1A5F"/>
    <w:rsid w:val="002B1B03"/>
    <w:rsid w:val="002B1B05"/>
    <w:rsid w:val="002B1B57"/>
    <w:rsid w:val="002B1B5E"/>
    <w:rsid w:val="002B1C2F"/>
    <w:rsid w:val="002B1C4B"/>
    <w:rsid w:val="002B1C61"/>
    <w:rsid w:val="002B1D06"/>
    <w:rsid w:val="002B1DBC"/>
    <w:rsid w:val="002B1DE1"/>
    <w:rsid w:val="002B1FA2"/>
    <w:rsid w:val="002B20C0"/>
    <w:rsid w:val="002B2257"/>
    <w:rsid w:val="002B2269"/>
    <w:rsid w:val="002B23C0"/>
    <w:rsid w:val="002B2433"/>
    <w:rsid w:val="002B243A"/>
    <w:rsid w:val="002B24C2"/>
    <w:rsid w:val="002B25CE"/>
    <w:rsid w:val="002B25DF"/>
    <w:rsid w:val="002B2635"/>
    <w:rsid w:val="002B2664"/>
    <w:rsid w:val="002B268B"/>
    <w:rsid w:val="002B2700"/>
    <w:rsid w:val="002B280E"/>
    <w:rsid w:val="002B2817"/>
    <w:rsid w:val="002B29A5"/>
    <w:rsid w:val="002B29BE"/>
    <w:rsid w:val="002B29FE"/>
    <w:rsid w:val="002B2D6F"/>
    <w:rsid w:val="002B2EC2"/>
    <w:rsid w:val="002B2F73"/>
    <w:rsid w:val="002B2FD6"/>
    <w:rsid w:val="002B304C"/>
    <w:rsid w:val="002B3354"/>
    <w:rsid w:val="002B341F"/>
    <w:rsid w:val="002B34D4"/>
    <w:rsid w:val="002B354D"/>
    <w:rsid w:val="002B3585"/>
    <w:rsid w:val="002B360A"/>
    <w:rsid w:val="002B3628"/>
    <w:rsid w:val="002B36FB"/>
    <w:rsid w:val="002B3885"/>
    <w:rsid w:val="002B38EC"/>
    <w:rsid w:val="002B391E"/>
    <w:rsid w:val="002B392A"/>
    <w:rsid w:val="002B397F"/>
    <w:rsid w:val="002B39BE"/>
    <w:rsid w:val="002B3A57"/>
    <w:rsid w:val="002B3A5F"/>
    <w:rsid w:val="002B3B13"/>
    <w:rsid w:val="002B3DC2"/>
    <w:rsid w:val="002B3FBE"/>
    <w:rsid w:val="002B401A"/>
    <w:rsid w:val="002B4039"/>
    <w:rsid w:val="002B408E"/>
    <w:rsid w:val="002B40C2"/>
    <w:rsid w:val="002B424A"/>
    <w:rsid w:val="002B42B7"/>
    <w:rsid w:val="002B4353"/>
    <w:rsid w:val="002B438A"/>
    <w:rsid w:val="002B43E0"/>
    <w:rsid w:val="002B4488"/>
    <w:rsid w:val="002B469A"/>
    <w:rsid w:val="002B4813"/>
    <w:rsid w:val="002B485B"/>
    <w:rsid w:val="002B4860"/>
    <w:rsid w:val="002B4893"/>
    <w:rsid w:val="002B4896"/>
    <w:rsid w:val="002B492B"/>
    <w:rsid w:val="002B4B51"/>
    <w:rsid w:val="002B4B77"/>
    <w:rsid w:val="002B4C68"/>
    <w:rsid w:val="002B4CC6"/>
    <w:rsid w:val="002B4E0D"/>
    <w:rsid w:val="002B4E1D"/>
    <w:rsid w:val="002B4EA3"/>
    <w:rsid w:val="002B4EB1"/>
    <w:rsid w:val="002B4F46"/>
    <w:rsid w:val="002B511F"/>
    <w:rsid w:val="002B5163"/>
    <w:rsid w:val="002B5230"/>
    <w:rsid w:val="002B526A"/>
    <w:rsid w:val="002B5298"/>
    <w:rsid w:val="002B532F"/>
    <w:rsid w:val="002B53D6"/>
    <w:rsid w:val="002B5400"/>
    <w:rsid w:val="002B5429"/>
    <w:rsid w:val="002B548F"/>
    <w:rsid w:val="002B559B"/>
    <w:rsid w:val="002B56E0"/>
    <w:rsid w:val="002B56F4"/>
    <w:rsid w:val="002B575F"/>
    <w:rsid w:val="002B57D2"/>
    <w:rsid w:val="002B57F9"/>
    <w:rsid w:val="002B5A3B"/>
    <w:rsid w:val="002B5A56"/>
    <w:rsid w:val="002B5A73"/>
    <w:rsid w:val="002B5A9A"/>
    <w:rsid w:val="002B5BCE"/>
    <w:rsid w:val="002B5C3E"/>
    <w:rsid w:val="002B5CD0"/>
    <w:rsid w:val="002B5DE1"/>
    <w:rsid w:val="002B5E48"/>
    <w:rsid w:val="002B5E9F"/>
    <w:rsid w:val="002B5EFB"/>
    <w:rsid w:val="002B5F0D"/>
    <w:rsid w:val="002B5FFD"/>
    <w:rsid w:val="002B6043"/>
    <w:rsid w:val="002B604A"/>
    <w:rsid w:val="002B6117"/>
    <w:rsid w:val="002B622C"/>
    <w:rsid w:val="002B6367"/>
    <w:rsid w:val="002B63E0"/>
    <w:rsid w:val="002B6413"/>
    <w:rsid w:val="002B642A"/>
    <w:rsid w:val="002B64A8"/>
    <w:rsid w:val="002B6529"/>
    <w:rsid w:val="002B65E8"/>
    <w:rsid w:val="002B66DC"/>
    <w:rsid w:val="002B67E5"/>
    <w:rsid w:val="002B6846"/>
    <w:rsid w:val="002B6860"/>
    <w:rsid w:val="002B68F5"/>
    <w:rsid w:val="002B691F"/>
    <w:rsid w:val="002B6B68"/>
    <w:rsid w:val="002B6B7F"/>
    <w:rsid w:val="002B6B97"/>
    <w:rsid w:val="002B6BF7"/>
    <w:rsid w:val="002B6D5F"/>
    <w:rsid w:val="002B6D6D"/>
    <w:rsid w:val="002B6DED"/>
    <w:rsid w:val="002B6E02"/>
    <w:rsid w:val="002B6E3F"/>
    <w:rsid w:val="002B6E57"/>
    <w:rsid w:val="002B6F22"/>
    <w:rsid w:val="002B6F97"/>
    <w:rsid w:val="002B702B"/>
    <w:rsid w:val="002B703C"/>
    <w:rsid w:val="002B706F"/>
    <w:rsid w:val="002B7138"/>
    <w:rsid w:val="002B71F5"/>
    <w:rsid w:val="002B7285"/>
    <w:rsid w:val="002B72F7"/>
    <w:rsid w:val="002B7508"/>
    <w:rsid w:val="002B7562"/>
    <w:rsid w:val="002B7839"/>
    <w:rsid w:val="002B78AA"/>
    <w:rsid w:val="002B7930"/>
    <w:rsid w:val="002B7A6F"/>
    <w:rsid w:val="002B7A8C"/>
    <w:rsid w:val="002B7B20"/>
    <w:rsid w:val="002B7B8E"/>
    <w:rsid w:val="002B7BEE"/>
    <w:rsid w:val="002B7C49"/>
    <w:rsid w:val="002B7D36"/>
    <w:rsid w:val="002B7D9A"/>
    <w:rsid w:val="002B7DDC"/>
    <w:rsid w:val="002B7E0D"/>
    <w:rsid w:val="002B7E59"/>
    <w:rsid w:val="002B7E9F"/>
    <w:rsid w:val="002B7EAC"/>
    <w:rsid w:val="002C00D8"/>
    <w:rsid w:val="002C00FC"/>
    <w:rsid w:val="002C0123"/>
    <w:rsid w:val="002C015A"/>
    <w:rsid w:val="002C01B5"/>
    <w:rsid w:val="002C01C1"/>
    <w:rsid w:val="002C0288"/>
    <w:rsid w:val="002C02A4"/>
    <w:rsid w:val="002C0380"/>
    <w:rsid w:val="002C0381"/>
    <w:rsid w:val="002C0434"/>
    <w:rsid w:val="002C04B4"/>
    <w:rsid w:val="002C0642"/>
    <w:rsid w:val="002C0655"/>
    <w:rsid w:val="002C06C8"/>
    <w:rsid w:val="002C074E"/>
    <w:rsid w:val="002C0759"/>
    <w:rsid w:val="002C07D2"/>
    <w:rsid w:val="002C082D"/>
    <w:rsid w:val="002C0895"/>
    <w:rsid w:val="002C0A0C"/>
    <w:rsid w:val="002C0ACE"/>
    <w:rsid w:val="002C0DBB"/>
    <w:rsid w:val="002C0F72"/>
    <w:rsid w:val="002C1071"/>
    <w:rsid w:val="002C1179"/>
    <w:rsid w:val="002C11BE"/>
    <w:rsid w:val="002C11CF"/>
    <w:rsid w:val="002C125A"/>
    <w:rsid w:val="002C12B7"/>
    <w:rsid w:val="002C14A5"/>
    <w:rsid w:val="002C14D9"/>
    <w:rsid w:val="002C14FF"/>
    <w:rsid w:val="002C150C"/>
    <w:rsid w:val="002C153B"/>
    <w:rsid w:val="002C1543"/>
    <w:rsid w:val="002C154B"/>
    <w:rsid w:val="002C1562"/>
    <w:rsid w:val="002C1609"/>
    <w:rsid w:val="002C1664"/>
    <w:rsid w:val="002C16CC"/>
    <w:rsid w:val="002C174B"/>
    <w:rsid w:val="002C1771"/>
    <w:rsid w:val="002C187C"/>
    <w:rsid w:val="002C19BC"/>
    <w:rsid w:val="002C1CAA"/>
    <w:rsid w:val="002C1CEB"/>
    <w:rsid w:val="002C1D06"/>
    <w:rsid w:val="002C1D26"/>
    <w:rsid w:val="002C1DE1"/>
    <w:rsid w:val="002C1DF3"/>
    <w:rsid w:val="002C1E36"/>
    <w:rsid w:val="002C1E87"/>
    <w:rsid w:val="002C1F3C"/>
    <w:rsid w:val="002C1FEE"/>
    <w:rsid w:val="002C2033"/>
    <w:rsid w:val="002C2116"/>
    <w:rsid w:val="002C2165"/>
    <w:rsid w:val="002C21F4"/>
    <w:rsid w:val="002C23BA"/>
    <w:rsid w:val="002C24F7"/>
    <w:rsid w:val="002C2507"/>
    <w:rsid w:val="002C2508"/>
    <w:rsid w:val="002C2567"/>
    <w:rsid w:val="002C2590"/>
    <w:rsid w:val="002C260C"/>
    <w:rsid w:val="002C2731"/>
    <w:rsid w:val="002C2757"/>
    <w:rsid w:val="002C2831"/>
    <w:rsid w:val="002C284D"/>
    <w:rsid w:val="002C2954"/>
    <w:rsid w:val="002C2974"/>
    <w:rsid w:val="002C2994"/>
    <w:rsid w:val="002C29D6"/>
    <w:rsid w:val="002C2ABB"/>
    <w:rsid w:val="002C2B04"/>
    <w:rsid w:val="002C2BA5"/>
    <w:rsid w:val="002C2BB9"/>
    <w:rsid w:val="002C2C68"/>
    <w:rsid w:val="002C2CCF"/>
    <w:rsid w:val="002C2DFF"/>
    <w:rsid w:val="002C309C"/>
    <w:rsid w:val="002C3103"/>
    <w:rsid w:val="002C3187"/>
    <w:rsid w:val="002C3218"/>
    <w:rsid w:val="002C3258"/>
    <w:rsid w:val="002C326C"/>
    <w:rsid w:val="002C32AA"/>
    <w:rsid w:val="002C3315"/>
    <w:rsid w:val="002C3341"/>
    <w:rsid w:val="002C342F"/>
    <w:rsid w:val="002C347F"/>
    <w:rsid w:val="002C34DA"/>
    <w:rsid w:val="002C3544"/>
    <w:rsid w:val="002C3548"/>
    <w:rsid w:val="002C354A"/>
    <w:rsid w:val="002C361D"/>
    <w:rsid w:val="002C3621"/>
    <w:rsid w:val="002C367A"/>
    <w:rsid w:val="002C36AD"/>
    <w:rsid w:val="002C3716"/>
    <w:rsid w:val="002C3740"/>
    <w:rsid w:val="002C377C"/>
    <w:rsid w:val="002C381D"/>
    <w:rsid w:val="002C3893"/>
    <w:rsid w:val="002C3A29"/>
    <w:rsid w:val="002C3A60"/>
    <w:rsid w:val="002C3A9D"/>
    <w:rsid w:val="002C3B97"/>
    <w:rsid w:val="002C3DE9"/>
    <w:rsid w:val="002C3E3C"/>
    <w:rsid w:val="002C3E47"/>
    <w:rsid w:val="002C406F"/>
    <w:rsid w:val="002C40B0"/>
    <w:rsid w:val="002C412E"/>
    <w:rsid w:val="002C41AC"/>
    <w:rsid w:val="002C4212"/>
    <w:rsid w:val="002C42BA"/>
    <w:rsid w:val="002C436B"/>
    <w:rsid w:val="002C450D"/>
    <w:rsid w:val="002C4545"/>
    <w:rsid w:val="002C4714"/>
    <w:rsid w:val="002C499A"/>
    <w:rsid w:val="002C49FA"/>
    <w:rsid w:val="002C4A7C"/>
    <w:rsid w:val="002C4ABB"/>
    <w:rsid w:val="002C4B97"/>
    <w:rsid w:val="002C4C48"/>
    <w:rsid w:val="002C4C84"/>
    <w:rsid w:val="002C4D1A"/>
    <w:rsid w:val="002C4D34"/>
    <w:rsid w:val="002C4E6E"/>
    <w:rsid w:val="002C4E95"/>
    <w:rsid w:val="002C4F41"/>
    <w:rsid w:val="002C4F63"/>
    <w:rsid w:val="002C4FF5"/>
    <w:rsid w:val="002C5040"/>
    <w:rsid w:val="002C5155"/>
    <w:rsid w:val="002C54D7"/>
    <w:rsid w:val="002C54F5"/>
    <w:rsid w:val="002C5529"/>
    <w:rsid w:val="002C556D"/>
    <w:rsid w:val="002C55BC"/>
    <w:rsid w:val="002C5627"/>
    <w:rsid w:val="002C5653"/>
    <w:rsid w:val="002C56BF"/>
    <w:rsid w:val="002C5796"/>
    <w:rsid w:val="002C57EC"/>
    <w:rsid w:val="002C588F"/>
    <w:rsid w:val="002C58C4"/>
    <w:rsid w:val="002C5A0C"/>
    <w:rsid w:val="002C5A5A"/>
    <w:rsid w:val="002C5BB0"/>
    <w:rsid w:val="002C5BEA"/>
    <w:rsid w:val="002C5CEC"/>
    <w:rsid w:val="002C5DC2"/>
    <w:rsid w:val="002C5DF4"/>
    <w:rsid w:val="002C5E92"/>
    <w:rsid w:val="002C5F2C"/>
    <w:rsid w:val="002C60C0"/>
    <w:rsid w:val="002C6121"/>
    <w:rsid w:val="002C61E1"/>
    <w:rsid w:val="002C621D"/>
    <w:rsid w:val="002C6356"/>
    <w:rsid w:val="002C64CB"/>
    <w:rsid w:val="002C6519"/>
    <w:rsid w:val="002C6544"/>
    <w:rsid w:val="002C6560"/>
    <w:rsid w:val="002C66A4"/>
    <w:rsid w:val="002C67C8"/>
    <w:rsid w:val="002C6806"/>
    <w:rsid w:val="002C68E3"/>
    <w:rsid w:val="002C68FF"/>
    <w:rsid w:val="002C6908"/>
    <w:rsid w:val="002C69E6"/>
    <w:rsid w:val="002C6A34"/>
    <w:rsid w:val="002C6A60"/>
    <w:rsid w:val="002C6B48"/>
    <w:rsid w:val="002C6B49"/>
    <w:rsid w:val="002C6E9D"/>
    <w:rsid w:val="002C7021"/>
    <w:rsid w:val="002C706E"/>
    <w:rsid w:val="002C70AE"/>
    <w:rsid w:val="002C730F"/>
    <w:rsid w:val="002C73DC"/>
    <w:rsid w:val="002C7410"/>
    <w:rsid w:val="002C749E"/>
    <w:rsid w:val="002C7503"/>
    <w:rsid w:val="002C754C"/>
    <w:rsid w:val="002C7699"/>
    <w:rsid w:val="002C7A5E"/>
    <w:rsid w:val="002C7AE5"/>
    <w:rsid w:val="002C7B23"/>
    <w:rsid w:val="002C7B64"/>
    <w:rsid w:val="002C7B71"/>
    <w:rsid w:val="002C7B9A"/>
    <w:rsid w:val="002C7EBF"/>
    <w:rsid w:val="002D016D"/>
    <w:rsid w:val="002D01B3"/>
    <w:rsid w:val="002D01E7"/>
    <w:rsid w:val="002D02B7"/>
    <w:rsid w:val="002D0479"/>
    <w:rsid w:val="002D04C5"/>
    <w:rsid w:val="002D05DB"/>
    <w:rsid w:val="002D0606"/>
    <w:rsid w:val="002D0770"/>
    <w:rsid w:val="002D07C8"/>
    <w:rsid w:val="002D087F"/>
    <w:rsid w:val="002D08DB"/>
    <w:rsid w:val="002D08F3"/>
    <w:rsid w:val="002D09D4"/>
    <w:rsid w:val="002D0A11"/>
    <w:rsid w:val="002D0A4E"/>
    <w:rsid w:val="002D0A6A"/>
    <w:rsid w:val="002D0ABF"/>
    <w:rsid w:val="002D0AF6"/>
    <w:rsid w:val="002D0B04"/>
    <w:rsid w:val="002D0B3D"/>
    <w:rsid w:val="002D0B7A"/>
    <w:rsid w:val="002D0B8E"/>
    <w:rsid w:val="002D0BEF"/>
    <w:rsid w:val="002D0BF8"/>
    <w:rsid w:val="002D0D96"/>
    <w:rsid w:val="002D0DAA"/>
    <w:rsid w:val="002D0E00"/>
    <w:rsid w:val="002D0E2D"/>
    <w:rsid w:val="002D0E5E"/>
    <w:rsid w:val="002D0EBD"/>
    <w:rsid w:val="002D0F3B"/>
    <w:rsid w:val="002D1175"/>
    <w:rsid w:val="002D117E"/>
    <w:rsid w:val="002D11AE"/>
    <w:rsid w:val="002D1395"/>
    <w:rsid w:val="002D1496"/>
    <w:rsid w:val="002D1821"/>
    <w:rsid w:val="002D18DF"/>
    <w:rsid w:val="002D1B54"/>
    <w:rsid w:val="002D1BA2"/>
    <w:rsid w:val="002D1BC8"/>
    <w:rsid w:val="002D1C80"/>
    <w:rsid w:val="002D1FE0"/>
    <w:rsid w:val="002D212B"/>
    <w:rsid w:val="002D2140"/>
    <w:rsid w:val="002D2405"/>
    <w:rsid w:val="002D24E3"/>
    <w:rsid w:val="002D24F3"/>
    <w:rsid w:val="002D25AA"/>
    <w:rsid w:val="002D25AC"/>
    <w:rsid w:val="002D25D0"/>
    <w:rsid w:val="002D26A0"/>
    <w:rsid w:val="002D2A89"/>
    <w:rsid w:val="002D2AE9"/>
    <w:rsid w:val="002D2B53"/>
    <w:rsid w:val="002D2BA8"/>
    <w:rsid w:val="002D2BF5"/>
    <w:rsid w:val="002D2C3C"/>
    <w:rsid w:val="002D2D12"/>
    <w:rsid w:val="002D2F8D"/>
    <w:rsid w:val="002D3168"/>
    <w:rsid w:val="002D3266"/>
    <w:rsid w:val="002D32A4"/>
    <w:rsid w:val="002D33BF"/>
    <w:rsid w:val="002D34A0"/>
    <w:rsid w:val="002D34EB"/>
    <w:rsid w:val="002D356B"/>
    <w:rsid w:val="002D358E"/>
    <w:rsid w:val="002D3599"/>
    <w:rsid w:val="002D36D4"/>
    <w:rsid w:val="002D374F"/>
    <w:rsid w:val="002D3A70"/>
    <w:rsid w:val="002D3CFB"/>
    <w:rsid w:val="002D3DD9"/>
    <w:rsid w:val="002D408B"/>
    <w:rsid w:val="002D40B1"/>
    <w:rsid w:val="002D411F"/>
    <w:rsid w:val="002D413B"/>
    <w:rsid w:val="002D42B3"/>
    <w:rsid w:val="002D4490"/>
    <w:rsid w:val="002D4552"/>
    <w:rsid w:val="002D4863"/>
    <w:rsid w:val="002D4966"/>
    <w:rsid w:val="002D49A0"/>
    <w:rsid w:val="002D49DD"/>
    <w:rsid w:val="002D4A04"/>
    <w:rsid w:val="002D4ADA"/>
    <w:rsid w:val="002D4BBA"/>
    <w:rsid w:val="002D4BFD"/>
    <w:rsid w:val="002D4C00"/>
    <w:rsid w:val="002D4CA2"/>
    <w:rsid w:val="002D4D42"/>
    <w:rsid w:val="002D4D7C"/>
    <w:rsid w:val="002D4DF2"/>
    <w:rsid w:val="002D50E0"/>
    <w:rsid w:val="002D5127"/>
    <w:rsid w:val="002D5159"/>
    <w:rsid w:val="002D51F4"/>
    <w:rsid w:val="002D5256"/>
    <w:rsid w:val="002D525B"/>
    <w:rsid w:val="002D52FB"/>
    <w:rsid w:val="002D5399"/>
    <w:rsid w:val="002D53CE"/>
    <w:rsid w:val="002D53E2"/>
    <w:rsid w:val="002D5549"/>
    <w:rsid w:val="002D5577"/>
    <w:rsid w:val="002D5735"/>
    <w:rsid w:val="002D591B"/>
    <w:rsid w:val="002D5980"/>
    <w:rsid w:val="002D598B"/>
    <w:rsid w:val="002D59F6"/>
    <w:rsid w:val="002D5A09"/>
    <w:rsid w:val="002D5B58"/>
    <w:rsid w:val="002D5BB0"/>
    <w:rsid w:val="002D5BFF"/>
    <w:rsid w:val="002D5C42"/>
    <w:rsid w:val="002D5DCC"/>
    <w:rsid w:val="002D5FBA"/>
    <w:rsid w:val="002D61CD"/>
    <w:rsid w:val="002D61DA"/>
    <w:rsid w:val="002D63F5"/>
    <w:rsid w:val="002D6476"/>
    <w:rsid w:val="002D64E9"/>
    <w:rsid w:val="002D65AE"/>
    <w:rsid w:val="002D66E3"/>
    <w:rsid w:val="002D67AA"/>
    <w:rsid w:val="002D67AF"/>
    <w:rsid w:val="002D67CB"/>
    <w:rsid w:val="002D6808"/>
    <w:rsid w:val="002D6879"/>
    <w:rsid w:val="002D68EB"/>
    <w:rsid w:val="002D697A"/>
    <w:rsid w:val="002D69C6"/>
    <w:rsid w:val="002D6A3C"/>
    <w:rsid w:val="002D6AFE"/>
    <w:rsid w:val="002D6B39"/>
    <w:rsid w:val="002D6B54"/>
    <w:rsid w:val="002D6BEB"/>
    <w:rsid w:val="002D6C3D"/>
    <w:rsid w:val="002D6C77"/>
    <w:rsid w:val="002D6CBB"/>
    <w:rsid w:val="002D6E90"/>
    <w:rsid w:val="002D6F20"/>
    <w:rsid w:val="002D6FBD"/>
    <w:rsid w:val="002D6FDC"/>
    <w:rsid w:val="002D6FF2"/>
    <w:rsid w:val="002D725A"/>
    <w:rsid w:val="002D72B3"/>
    <w:rsid w:val="002D732B"/>
    <w:rsid w:val="002D7386"/>
    <w:rsid w:val="002D73C9"/>
    <w:rsid w:val="002D73F6"/>
    <w:rsid w:val="002D740E"/>
    <w:rsid w:val="002D76DD"/>
    <w:rsid w:val="002D77E3"/>
    <w:rsid w:val="002D78AD"/>
    <w:rsid w:val="002D7979"/>
    <w:rsid w:val="002D7B81"/>
    <w:rsid w:val="002D7CE4"/>
    <w:rsid w:val="002D7D11"/>
    <w:rsid w:val="002D7D1C"/>
    <w:rsid w:val="002D7D6B"/>
    <w:rsid w:val="002D7F5E"/>
    <w:rsid w:val="002D7F60"/>
    <w:rsid w:val="002D7FC0"/>
    <w:rsid w:val="002E0010"/>
    <w:rsid w:val="002E0169"/>
    <w:rsid w:val="002E0239"/>
    <w:rsid w:val="002E034A"/>
    <w:rsid w:val="002E0355"/>
    <w:rsid w:val="002E0399"/>
    <w:rsid w:val="002E04F2"/>
    <w:rsid w:val="002E055D"/>
    <w:rsid w:val="002E0587"/>
    <w:rsid w:val="002E05F6"/>
    <w:rsid w:val="002E0648"/>
    <w:rsid w:val="002E06F3"/>
    <w:rsid w:val="002E0702"/>
    <w:rsid w:val="002E07AD"/>
    <w:rsid w:val="002E07FD"/>
    <w:rsid w:val="002E0882"/>
    <w:rsid w:val="002E08CA"/>
    <w:rsid w:val="002E0914"/>
    <w:rsid w:val="002E096C"/>
    <w:rsid w:val="002E098F"/>
    <w:rsid w:val="002E0A4B"/>
    <w:rsid w:val="002E0AB9"/>
    <w:rsid w:val="002E0B1F"/>
    <w:rsid w:val="002E0B57"/>
    <w:rsid w:val="002E0B89"/>
    <w:rsid w:val="002E0BEB"/>
    <w:rsid w:val="002E0C07"/>
    <w:rsid w:val="002E0C9F"/>
    <w:rsid w:val="002E0D8A"/>
    <w:rsid w:val="002E0DE2"/>
    <w:rsid w:val="002E0E00"/>
    <w:rsid w:val="002E0ED1"/>
    <w:rsid w:val="002E0EDF"/>
    <w:rsid w:val="002E0FC9"/>
    <w:rsid w:val="002E1166"/>
    <w:rsid w:val="002E128C"/>
    <w:rsid w:val="002E12FC"/>
    <w:rsid w:val="002E13BF"/>
    <w:rsid w:val="002E147A"/>
    <w:rsid w:val="002E16DD"/>
    <w:rsid w:val="002E1844"/>
    <w:rsid w:val="002E1910"/>
    <w:rsid w:val="002E1943"/>
    <w:rsid w:val="002E19DD"/>
    <w:rsid w:val="002E19DE"/>
    <w:rsid w:val="002E1AB7"/>
    <w:rsid w:val="002E1AF8"/>
    <w:rsid w:val="002E1BE8"/>
    <w:rsid w:val="002E1D78"/>
    <w:rsid w:val="002E1E9C"/>
    <w:rsid w:val="002E1F60"/>
    <w:rsid w:val="002E1FA3"/>
    <w:rsid w:val="002E20A3"/>
    <w:rsid w:val="002E213C"/>
    <w:rsid w:val="002E2211"/>
    <w:rsid w:val="002E2328"/>
    <w:rsid w:val="002E2457"/>
    <w:rsid w:val="002E24AF"/>
    <w:rsid w:val="002E24B1"/>
    <w:rsid w:val="002E259A"/>
    <w:rsid w:val="002E25AB"/>
    <w:rsid w:val="002E2632"/>
    <w:rsid w:val="002E2765"/>
    <w:rsid w:val="002E285B"/>
    <w:rsid w:val="002E2956"/>
    <w:rsid w:val="002E2A15"/>
    <w:rsid w:val="002E2CB9"/>
    <w:rsid w:val="002E2CCC"/>
    <w:rsid w:val="002E2CF2"/>
    <w:rsid w:val="002E2CFB"/>
    <w:rsid w:val="002E2D2B"/>
    <w:rsid w:val="002E2D4F"/>
    <w:rsid w:val="002E2D6C"/>
    <w:rsid w:val="002E2F94"/>
    <w:rsid w:val="002E3012"/>
    <w:rsid w:val="002E3013"/>
    <w:rsid w:val="002E307E"/>
    <w:rsid w:val="002E30C2"/>
    <w:rsid w:val="002E315F"/>
    <w:rsid w:val="002E3179"/>
    <w:rsid w:val="002E31B4"/>
    <w:rsid w:val="002E31D4"/>
    <w:rsid w:val="002E31E6"/>
    <w:rsid w:val="002E3377"/>
    <w:rsid w:val="002E3436"/>
    <w:rsid w:val="002E366D"/>
    <w:rsid w:val="002E36DE"/>
    <w:rsid w:val="002E3724"/>
    <w:rsid w:val="002E37E1"/>
    <w:rsid w:val="002E3825"/>
    <w:rsid w:val="002E38EF"/>
    <w:rsid w:val="002E396C"/>
    <w:rsid w:val="002E3AC7"/>
    <w:rsid w:val="002E3B9C"/>
    <w:rsid w:val="002E3D0D"/>
    <w:rsid w:val="002E3DF5"/>
    <w:rsid w:val="002E3E91"/>
    <w:rsid w:val="002E3F47"/>
    <w:rsid w:val="002E3F79"/>
    <w:rsid w:val="002E4077"/>
    <w:rsid w:val="002E417E"/>
    <w:rsid w:val="002E427B"/>
    <w:rsid w:val="002E4289"/>
    <w:rsid w:val="002E42ED"/>
    <w:rsid w:val="002E4316"/>
    <w:rsid w:val="002E43FB"/>
    <w:rsid w:val="002E44BE"/>
    <w:rsid w:val="002E44D5"/>
    <w:rsid w:val="002E4562"/>
    <w:rsid w:val="002E4566"/>
    <w:rsid w:val="002E459F"/>
    <w:rsid w:val="002E46E4"/>
    <w:rsid w:val="002E473F"/>
    <w:rsid w:val="002E4746"/>
    <w:rsid w:val="002E4753"/>
    <w:rsid w:val="002E487D"/>
    <w:rsid w:val="002E48B6"/>
    <w:rsid w:val="002E494C"/>
    <w:rsid w:val="002E4AA3"/>
    <w:rsid w:val="002E4AAA"/>
    <w:rsid w:val="002E4B56"/>
    <w:rsid w:val="002E4CD0"/>
    <w:rsid w:val="002E4D49"/>
    <w:rsid w:val="002E4E25"/>
    <w:rsid w:val="002E4E8C"/>
    <w:rsid w:val="002E4F61"/>
    <w:rsid w:val="002E4FF5"/>
    <w:rsid w:val="002E5018"/>
    <w:rsid w:val="002E516E"/>
    <w:rsid w:val="002E524C"/>
    <w:rsid w:val="002E525D"/>
    <w:rsid w:val="002E53CC"/>
    <w:rsid w:val="002E5473"/>
    <w:rsid w:val="002E559B"/>
    <w:rsid w:val="002E56E1"/>
    <w:rsid w:val="002E577A"/>
    <w:rsid w:val="002E5781"/>
    <w:rsid w:val="002E57A2"/>
    <w:rsid w:val="002E5919"/>
    <w:rsid w:val="002E598A"/>
    <w:rsid w:val="002E5994"/>
    <w:rsid w:val="002E5A32"/>
    <w:rsid w:val="002E5A8F"/>
    <w:rsid w:val="002E5CCE"/>
    <w:rsid w:val="002E5D85"/>
    <w:rsid w:val="002E5D95"/>
    <w:rsid w:val="002E5E08"/>
    <w:rsid w:val="002E5E09"/>
    <w:rsid w:val="002E5E43"/>
    <w:rsid w:val="002E5F62"/>
    <w:rsid w:val="002E5FB2"/>
    <w:rsid w:val="002E5FC0"/>
    <w:rsid w:val="002E5FD2"/>
    <w:rsid w:val="002E603C"/>
    <w:rsid w:val="002E604C"/>
    <w:rsid w:val="002E60DF"/>
    <w:rsid w:val="002E60E9"/>
    <w:rsid w:val="002E6119"/>
    <w:rsid w:val="002E61B0"/>
    <w:rsid w:val="002E62E2"/>
    <w:rsid w:val="002E64A2"/>
    <w:rsid w:val="002E6559"/>
    <w:rsid w:val="002E6596"/>
    <w:rsid w:val="002E661F"/>
    <w:rsid w:val="002E665E"/>
    <w:rsid w:val="002E6660"/>
    <w:rsid w:val="002E66AC"/>
    <w:rsid w:val="002E66EB"/>
    <w:rsid w:val="002E6724"/>
    <w:rsid w:val="002E6977"/>
    <w:rsid w:val="002E69CC"/>
    <w:rsid w:val="002E69F0"/>
    <w:rsid w:val="002E6A18"/>
    <w:rsid w:val="002E6A33"/>
    <w:rsid w:val="002E6A34"/>
    <w:rsid w:val="002E6A70"/>
    <w:rsid w:val="002E6AC0"/>
    <w:rsid w:val="002E6AC8"/>
    <w:rsid w:val="002E6B1E"/>
    <w:rsid w:val="002E6C7C"/>
    <w:rsid w:val="002E6CAC"/>
    <w:rsid w:val="002E6CDC"/>
    <w:rsid w:val="002E6EED"/>
    <w:rsid w:val="002E6EFE"/>
    <w:rsid w:val="002E7043"/>
    <w:rsid w:val="002E7104"/>
    <w:rsid w:val="002E71E9"/>
    <w:rsid w:val="002E72B0"/>
    <w:rsid w:val="002E72EC"/>
    <w:rsid w:val="002E73A5"/>
    <w:rsid w:val="002E73D7"/>
    <w:rsid w:val="002E7439"/>
    <w:rsid w:val="002E7486"/>
    <w:rsid w:val="002E764A"/>
    <w:rsid w:val="002E76EB"/>
    <w:rsid w:val="002E77AA"/>
    <w:rsid w:val="002E77CA"/>
    <w:rsid w:val="002E77D3"/>
    <w:rsid w:val="002E797D"/>
    <w:rsid w:val="002E79DE"/>
    <w:rsid w:val="002E79FC"/>
    <w:rsid w:val="002E7AA9"/>
    <w:rsid w:val="002E7AD3"/>
    <w:rsid w:val="002E7D29"/>
    <w:rsid w:val="002E7DA9"/>
    <w:rsid w:val="002E7EDB"/>
    <w:rsid w:val="002F006A"/>
    <w:rsid w:val="002F00C5"/>
    <w:rsid w:val="002F01FC"/>
    <w:rsid w:val="002F02E8"/>
    <w:rsid w:val="002F03CD"/>
    <w:rsid w:val="002F0426"/>
    <w:rsid w:val="002F045D"/>
    <w:rsid w:val="002F04AA"/>
    <w:rsid w:val="002F04BE"/>
    <w:rsid w:val="002F0622"/>
    <w:rsid w:val="002F0689"/>
    <w:rsid w:val="002F0911"/>
    <w:rsid w:val="002F0926"/>
    <w:rsid w:val="002F092E"/>
    <w:rsid w:val="002F0B4E"/>
    <w:rsid w:val="002F0C33"/>
    <w:rsid w:val="002F0C8C"/>
    <w:rsid w:val="002F0CD6"/>
    <w:rsid w:val="002F0CF4"/>
    <w:rsid w:val="002F0D14"/>
    <w:rsid w:val="002F0D3F"/>
    <w:rsid w:val="002F0DAE"/>
    <w:rsid w:val="002F0DB1"/>
    <w:rsid w:val="002F0DFD"/>
    <w:rsid w:val="002F0E01"/>
    <w:rsid w:val="002F0E24"/>
    <w:rsid w:val="002F0E85"/>
    <w:rsid w:val="002F0FE3"/>
    <w:rsid w:val="002F0FF1"/>
    <w:rsid w:val="002F10B7"/>
    <w:rsid w:val="002F11AD"/>
    <w:rsid w:val="002F120C"/>
    <w:rsid w:val="002F12A6"/>
    <w:rsid w:val="002F131D"/>
    <w:rsid w:val="002F1346"/>
    <w:rsid w:val="002F1350"/>
    <w:rsid w:val="002F1441"/>
    <w:rsid w:val="002F148C"/>
    <w:rsid w:val="002F1603"/>
    <w:rsid w:val="002F1649"/>
    <w:rsid w:val="002F16F3"/>
    <w:rsid w:val="002F1715"/>
    <w:rsid w:val="002F1734"/>
    <w:rsid w:val="002F179E"/>
    <w:rsid w:val="002F17BC"/>
    <w:rsid w:val="002F1869"/>
    <w:rsid w:val="002F1A29"/>
    <w:rsid w:val="002F1A90"/>
    <w:rsid w:val="002F1A9F"/>
    <w:rsid w:val="002F1B70"/>
    <w:rsid w:val="002F1C39"/>
    <w:rsid w:val="002F1CDA"/>
    <w:rsid w:val="002F1F0F"/>
    <w:rsid w:val="002F1F7A"/>
    <w:rsid w:val="002F1FC3"/>
    <w:rsid w:val="002F1FFE"/>
    <w:rsid w:val="002F207C"/>
    <w:rsid w:val="002F2081"/>
    <w:rsid w:val="002F20B8"/>
    <w:rsid w:val="002F2116"/>
    <w:rsid w:val="002F2272"/>
    <w:rsid w:val="002F231F"/>
    <w:rsid w:val="002F2403"/>
    <w:rsid w:val="002F2414"/>
    <w:rsid w:val="002F2435"/>
    <w:rsid w:val="002F244A"/>
    <w:rsid w:val="002F24D0"/>
    <w:rsid w:val="002F259A"/>
    <w:rsid w:val="002F26E1"/>
    <w:rsid w:val="002F26FA"/>
    <w:rsid w:val="002F2729"/>
    <w:rsid w:val="002F2882"/>
    <w:rsid w:val="002F2B1A"/>
    <w:rsid w:val="002F2C58"/>
    <w:rsid w:val="002F2D3F"/>
    <w:rsid w:val="002F2D52"/>
    <w:rsid w:val="002F2EA7"/>
    <w:rsid w:val="002F2EB0"/>
    <w:rsid w:val="002F2EDB"/>
    <w:rsid w:val="002F2F1C"/>
    <w:rsid w:val="002F2F58"/>
    <w:rsid w:val="002F3034"/>
    <w:rsid w:val="002F3066"/>
    <w:rsid w:val="002F30F4"/>
    <w:rsid w:val="002F3264"/>
    <w:rsid w:val="002F32F2"/>
    <w:rsid w:val="002F33A0"/>
    <w:rsid w:val="002F33EA"/>
    <w:rsid w:val="002F340E"/>
    <w:rsid w:val="002F34E1"/>
    <w:rsid w:val="002F34F8"/>
    <w:rsid w:val="002F35E0"/>
    <w:rsid w:val="002F3889"/>
    <w:rsid w:val="002F3A62"/>
    <w:rsid w:val="002F3ACA"/>
    <w:rsid w:val="002F3AE8"/>
    <w:rsid w:val="002F3D0C"/>
    <w:rsid w:val="002F3DDE"/>
    <w:rsid w:val="002F3E32"/>
    <w:rsid w:val="002F3E63"/>
    <w:rsid w:val="002F3E7C"/>
    <w:rsid w:val="002F3EA9"/>
    <w:rsid w:val="002F3F05"/>
    <w:rsid w:val="002F3F7F"/>
    <w:rsid w:val="002F3FF4"/>
    <w:rsid w:val="002F4064"/>
    <w:rsid w:val="002F4070"/>
    <w:rsid w:val="002F4090"/>
    <w:rsid w:val="002F40BE"/>
    <w:rsid w:val="002F412C"/>
    <w:rsid w:val="002F41CC"/>
    <w:rsid w:val="002F424B"/>
    <w:rsid w:val="002F427A"/>
    <w:rsid w:val="002F42A9"/>
    <w:rsid w:val="002F43C9"/>
    <w:rsid w:val="002F43CC"/>
    <w:rsid w:val="002F43F8"/>
    <w:rsid w:val="002F4497"/>
    <w:rsid w:val="002F45C7"/>
    <w:rsid w:val="002F4840"/>
    <w:rsid w:val="002F48E0"/>
    <w:rsid w:val="002F48F7"/>
    <w:rsid w:val="002F4AA5"/>
    <w:rsid w:val="002F4B26"/>
    <w:rsid w:val="002F4BDB"/>
    <w:rsid w:val="002F4E00"/>
    <w:rsid w:val="002F4E85"/>
    <w:rsid w:val="002F4EAB"/>
    <w:rsid w:val="002F4ECB"/>
    <w:rsid w:val="002F4F0D"/>
    <w:rsid w:val="002F4F59"/>
    <w:rsid w:val="002F50A6"/>
    <w:rsid w:val="002F5444"/>
    <w:rsid w:val="002F5458"/>
    <w:rsid w:val="002F56CB"/>
    <w:rsid w:val="002F572F"/>
    <w:rsid w:val="002F5788"/>
    <w:rsid w:val="002F5793"/>
    <w:rsid w:val="002F5854"/>
    <w:rsid w:val="002F5880"/>
    <w:rsid w:val="002F5994"/>
    <w:rsid w:val="002F5AC4"/>
    <w:rsid w:val="002F5AE2"/>
    <w:rsid w:val="002F5B06"/>
    <w:rsid w:val="002F5B66"/>
    <w:rsid w:val="002F5B72"/>
    <w:rsid w:val="002F5C16"/>
    <w:rsid w:val="002F5D02"/>
    <w:rsid w:val="002F5D05"/>
    <w:rsid w:val="002F5D4A"/>
    <w:rsid w:val="002F5DFF"/>
    <w:rsid w:val="002F5E06"/>
    <w:rsid w:val="002F5EA0"/>
    <w:rsid w:val="002F6024"/>
    <w:rsid w:val="002F60D4"/>
    <w:rsid w:val="002F60F3"/>
    <w:rsid w:val="002F6131"/>
    <w:rsid w:val="002F617C"/>
    <w:rsid w:val="002F61AF"/>
    <w:rsid w:val="002F623D"/>
    <w:rsid w:val="002F6284"/>
    <w:rsid w:val="002F63CF"/>
    <w:rsid w:val="002F6452"/>
    <w:rsid w:val="002F6459"/>
    <w:rsid w:val="002F65D6"/>
    <w:rsid w:val="002F6832"/>
    <w:rsid w:val="002F6876"/>
    <w:rsid w:val="002F68D4"/>
    <w:rsid w:val="002F693F"/>
    <w:rsid w:val="002F69B1"/>
    <w:rsid w:val="002F69F2"/>
    <w:rsid w:val="002F6CDA"/>
    <w:rsid w:val="002F6D89"/>
    <w:rsid w:val="002F6DD4"/>
    <w:rsid w:val="002F6E06"/>
    <w:rsid w:val="002F70C9"/>
    <w:rsid w:val="002F70D2"/>
    <w:rsid w:val="002F7160"/>
    <w:rsid w:val="002F7183"/>
    <w:rsid w:val="002F71E9"/>
    <w:rsid w:val="002F7369"/>
    <w:rsid w:val="002F74C0"/>
    <w:rsid w:val="002F74C9"/>
    <w:rsid w:val="002F7680"/>
    <w:rsid w:val="002F77BB"/>
    <w:rsid w:val="002F7868"/>
    <w:rsid w:val="002F7957"/>
    <w:rsid w:val="002F79DC"/>
    <w:rsid w:val="002F7A87"/>
    <w:rsid w:val="002F7B64"/>
    <w:rsid w:val="002F7E1C"/>
    <w:rsid w:val="00300027"/>
    <w:rsid w:val="0030005B"/>
    <w:rsid w:val="0030019F"/>
    <w:rsid w:val="003003FC"/>
    <w:rsid w:val="003004A8"/>
    <w:rsid w:val="0030068D"/>
    <w:rsid w:val="00300698"/>
    <w:rsid w:val="0030069B"/>
    <w:rsid w:val="003006A5"/>
    <w:rsid w:val="003009B7"/>
    <w:rsid w:val="00300AB2"/>
    <w:rsid w:val="00300B38"/>
    <w:rsid w:val="00300B54"/>
    <w:rsid w:val="00300BE8"/>
    <w:rsid w:val="00300D2F"/>
    <w:rsid w:val="00300D80"/>
    <w:rsid w:val="00300D89"/>
    <w:rsid w:val="00300DDB"/>
    <w:rsid w:val="00300DE4"/>
    <w:rsid w:val="00300E33"/>
    <w:rsid w:val="00300EA8"/>
    <w:rsid w:val="00300F9F"/>
    <w:rsid w:val="00300FED"/>
    <w:rsid w:val="003010E8"/>
    <w:rsid w:val="003011C5"/>
    <w:rsid w:val="0030139E"/>
    <w:rsid w:val="003014B2"/>
    <w:rsid w:val="003014FD"/>
    <w:rsid w:val="00301541"/>
    <w:rsid w:val="00301557"/>
    <w:rsid w:val="003015CD"/>
    <w:rsid w:val="00301782"/>
    <w:rsid w:val="00301830"/>
    <w:rsid w:val="0030187B"/>
    <w:rsid w:val="003018B5"/>
    <w:rsid w:val="00301AB1"/>
    <w:rsid w:val="00301C50"/>
    <w:rsid w:val="00301CC7"/>
    <w:rsid w:val="00301CCE"/>
    <w:rsid w:val="00301D63"/>
    <w:rsid w:val="00301DBB"/>
    <w:rsid w:val="00301E15"/>
    <w:rsid w:val="00301E8A"/>
    <w:rsid w:val="00301F2F"/>
    <w:rsid w:val="00301F60"/>
    <w:rsid w:val="00301FDD"/>
    <w:rsid w:val="00301FE9"/>
    <w:rsid w:val="00302007"/>
    <w:rsid w:val="0030204B"/>
    <w:rsid w:val="003020DA"/>
    <w:rsid w:val="0030216C"/>
    <w:rsid w:val="003021DF"/>
    <w:rsid w:val="003022FE"/>
    <w:rsid w:val="00302304"/>
    <w:rsid w:val="00302352"/>
    <w:rsid w:val="003023E2"/>
    <w:rsid w:val="003023F9"/>
    <w:rsid w:val="0030240E"/>
    <w:rsid w:val="00302442"/>
    <w:rsid w:val="003025D7"/>
    <w:rsid w:val="00302675"/>
    <w:rsid w:val="003026B8"/>
    <w:rsid w:val="003026F1"/>
    <w:rsid w:val="003026F7"/>
    <w:rsid w:val="00302753"/>
    <w:rsid w:val="003027E9"/>
    <w:rsid w:val="003028D2"/>
    <w:rsid w:val="00302923"/>
    <w:rsid w:val="003029C8"/>
    <w:rsid w:val="00302A84"/>
    <w:rsid w:val="00302AB4"/>
    <w:rsid w:val="00302AC5"/>
    <w:rsid w:val="00302B56"/>
    <w:rsid w:val="00302B98"/>
    <w:rsid w:val="00302D22"/>
    <w:rsid w:val="00302D55"/>
    <w:rsid w:val="00302D56"/>
    <w:rsid w:val="00302D89"/>
    <w:rsid w:val="00302E2A"/>
    <w:rsid w:val="00302E2D"/>
    <w:rsid w:val="00302E47"/>
    <w:rsid w:val="00302E56"/>
    <w:rsid w:val="00302F0E"/>
    <w:rsid w:val="00302F5E"/>
    <w:rsid w:val="00303107"/>
    <w:rsid w:val="00303125"/>
    <w:rsid w:val="00303172"/>
    <w:rsid w:val="003031DC"/>
    <w:rsid w:val="003032CB"/>
    <w:rsid w:val="003032FD"/>
    <w:rsid w:val="0030332D"/>
    <w:rsid w:val="00303338"/>
    <w:rsid w:val="0030333D"/>
    <w:rsid w:val="0030357D"/>
    <w:rsid w:val="003035B0"/>
    <w:rsid w:val="003035CA"/>
    <w:rsid w:val="003035DB"/>
    <w:rsid w:val="0030362A"/>
    <w:rsid w:val="003036B4"/>
    <w:rsid w:val="0030373A"/>
    <w:rsid w:val="0030376E"/>
    <w:rsid w:val="003037A4"/>
    <w:rsid w:val="00303887"/>
    <w:rsid w:val="00303951"/>
    <w:rsid w:val="003039B6"/>
    <w:rsid w:val="00303A35"/>
    <w:rsid w:val="00303ADC"/>
    <w:rsid w:val="00303B0D"/>
    <w:rsid w:val="00303B65"/>
    <w:rsid w:val="00303C24"/>
    <w:rsid w:val="00303C4D"/>
    <w:rsid w:val="00303CBA"/>
    <w:rsid w:val="00303D19"/>
    <w:rsid w:val="00303D21"/>
    <w:rsid w:val="00303D47"/>
    <w:rsid w:val="00303D4B"/>
    <w:rsid w:val="00303DB8"/>
    <w:rsid w:val="00303E67"/>
    <w:rsid w:val="00303EDA"/>
    <w:rsid w:val="00303EF4"/>
    <w:rsid w:val="00304192"/>
    <w:rsid w:val="0030428A"/>
    <w:rsid w:val="003042CD"/>
    <w:rsid w:val="003043AB"/>
    <w:rsid w:val="003043C0"/>
    <w:rsid w:val="00304401"/>
    <w:rsid w:val="003045FF"/>
    <w:rsid w:val="0030462A"/>
    <w:rsid w:val="003046B3"/>
    <w:rsid w:val="00304750"/>
    <w:rsid w:val="00304802"/>
    <w:rsid w:val="003048BE"/>
    <w:rsid w:val="00304A53"/>
    <w:rsid w:val="00304A6D"/>
    <w:rsid w:val="00304A8A"/>
    <w:rsid w:val="00304B91"/>
    <w:rsid w:val="00304B9C"/>
    <w:rsid w:val="00304C41"/>
    <w:rsid w:val="00304CCF"/>
    <w:rsid w:val="00304D28"/>
    <w:rsid w:val="00304E14"/>
    <w:rsid w:val="00304E74"/>
    <w:rsid w:val="00304F67"/>
    <w:rsid w:val="00304FBC"/>
    <w:rsid w:val="0030525B"/>
    <w:rsid w:val="00305360"/>
    <w:rsid w:val="00305386"/>
    <w:rsid w:val="00305502"/>
    <w:rsid w:val="00305539"/>
    <w:rsid w:val="003055BE"/>
    <w:rsid w:val="003055DF"/>
    <w:rsid w:val="00305802"/>
    <w:rsid w:val="0030583C"/>
    <w:rsid w:val="00305941"/>
    <w:rsid w:val="0030599D"/>
    <w:rsid w:val="00305AA0"/>
    <w:rsid w:val="00305B2A"/>
    <w:rsid w:val="00305B5A"/>
    <w:rsid w:val="00305D02"/>
    <w:rsid w:val="00305DC7"/>
    <w:rsid w:val="00305F17"/>
    <w:rsid w:val="00305F95"/>
    <w:rsid w:val="003060EE"/>
    <w:rsid w:val="00306131"/>
    <w:rsid w:val="0030616B"/>
    <w:rsid w:val="00306178"/>
    <w:rsid w:val="003062A4"/>
    <w:rsid w:val="003064CC"/>
    <w:rsid w:val="00306531"/>
    <w:rsid w:val="0030653B"/>
    <w:rsid w:val="00306744"/>
    <w:rsid w:val="00306836"/>
    <w:rsid w:val="0030685E"/>
    <w:rsid w:val="003068EB"/>
    <w:rsid w:val="0030698F"/>
    <w:rsid w:val="003069A9"/>
    <w:rsid w:val="003069EA"/>
    <w:rsid w:val="00306A54"/>
    <w:rsid w:val="00306B48"/>
    <w:rsid w:val="00306BBE"/>
    <w:rsid w:val="00306CB7"/>
    <w:rsid w:val="00306E9A"/>
    <w:rsid w:val="00306EDB"/>
    <w:rsid w:val="00306EF9"/>
    <w:rsid w:val="0030707B"/>
    <w:rsid w:val="00307106"/>
    <w:rsid w:val="003071D5"/>
    <w:rsid w:val="00307250"/>
    <w:rsid w:val="003072A2"/>
    <w:rsid w:val="003072D0"/>
    <w:rsid w:val="003072FC"/>
    <w:rsid w:val="00307319"/>
    <w:rsid w:val="0030744A"/>
    <w:rsid w:val="00307489"/>
    <w:rsid w:val="0030748B"/>
    <w:rsid w:val="003074E0"/>
    <w:rsid w:val="00307628"/>
    <w:rsid w:val="003076D2"/>
    <w:rsid w:val="00307776"/>
    <w:rsid w:val="0030777C"/>
    <w:rsid w:val="00307795"/>
    <w:rsid w:val="00307A0D"/>
    <w:rsid w:val="00307A40"/>
    <w:rsid w:val="00307A4F"/>
    <w:rsid w:val="00307AEA"/>
    <w:rsid w:val="00307B94"/>
    <w:rsid w:val="00307C93"/>
    <w:rsid w:val="00307F8E"/>
    <w:rsid w:val="00310006"/>
    <w:rsid w:val="0031000E"/>
    <w:rsid w:val="003101E4"/>
    <w:rsid w:val="00310286"/>
    <w:rsid w:val="00310292"/>
    <w:rsid w:val="003102AF"/>
    <w:rsid w:val="0031031A"/>
    <w:rsid w:val="00310321"/>
    <w:rsid w:val="00310353"/>
    <w:rsid w:val="003103A9"/>
    <w:rsid w:val="00310517"/>
    <w:rsid w:val="00310551"/>
    <w:rsid w:val="0031055B"/>
    <w:rsid w:val="00310602"/>
    <w:rsid w:val="003106B9"/>
    <w:rsid w:val="003106DE"/>
    <w:rsid w:val="003106EE"/>
    <w:rsid w:val="00310708"/>
    <w:rsid w:val="00310750"/>
    <w:rsid w:val="003107B9"/>
    <w:rsid w:val="00310818"/>
    <w:rsid w:val="00310848"/>
    <w:rsid w:val="00310A54"/>
    <w:rsid w:val="00310ACF"/>
    <w:rsid w:val="00310B1E"/>
    <w:rsid w:val="00310BCF"/>
    <w:rsid w:val="00310C37"/>
    <w:rsid w:val="00310D2E"/>
    <w:rsid w:val="00310DBB"/>
    <w:rsid w:val="00310DEE"/>
    <w:rsid w:val="00310F07"/>
    <w:rsid w:val="00310F2C"/>
    <w:rsid w:val="00311114"/>
    <w:rsid w:val="003111AC"/>
    <w:rsid w:val="00311406"/>
    <w:rsid w:val="00311439"/>
    <w:rsid w:val="00311478"/>
    <w:rsid w:val="003114A8"/>
    <w:rsid w:val="00311549"/>
    <w:rsid w:val="003115AC"/>
    <w:rsid w:val="003115BF"/>
    <w:rsid w:val="00311603"/>
    <w:rsid w:val="00311646"/>
    <w:rsid w:val="0031166D"/>
    <w:rsid w:val="003117A2"/>
    <w:rsid w:val="00311803"/>
    <w:rsid w:val="0031180D"/>
    <w:rsid w:val="003118EE"/>
    <w:rsid w:val="003118F1"/>
    <w:rsid w:val="00311943"/>
    <w:rsid w:val="00311947"/>
    <w:rsid w:val="00311986"/>
    <w:rsid w:val="0031198E"/>
    <w:rsid w:val="00311AEF"/>
    <w:rsid w:val="00311BEB"/>
    <w:rsid w:val="00311BFC"/>
    <w:rsid w:val="00311CE8"/>
    <w:rsid w:val="00311D49"/>
    <w:rsid w:val="00311DCB"/>
    <w:rsid w:val="00311F66"/>
    <w:rsid w:val="00311F89"/>
    <w:rsid w:val="00312003"/>
    <w:rsid w:val="00312082"/>
    <w:rsid w:val="003122A8"/>
    <w:rsid w:val="00312388"/>
    <w:rsid w:val="003123C2"/>
    <w:rsid w:val="00312417"/>
    <w:rsid w:val="003124D5"/>
    <w:rsid w:val="00312516"/>
    <w:rsid w:val="0031258C"/>
    <w:rsid w:val="00312653"/>
    <w:rsid w:val="003126B5"/>
    <w:rsid w:val="003126B8"/>
    <w:rsid w:val="00312703"/>
    <w:rsid w:val="003127F7"/>
    <w:rsid w:val="00312862"/>
    <w:rsid w:val="0031286B"/>
    <w:rsid w:val="00312914"/>
    <w:rsid w:val="00312BDC"/>
    <w:rsid w:val="00312D9F"/>
    <w:rsid w:val="00312DB5"/>
    <w:rsid w:val="00312E08"/>
    <w:rsid w:val="00312E25"/>
    <w:rsid w:val="00312ED7"/>
    <w:rsid w:val="00312F2C"/>
    <w:rsid w:val="00312F9F"/>
    <w:rsid w:val="00312FB4"/>
    <w:rsid w:val="0031300F"/>
    <w:rsid w:val="0031308C"/>
    <w:rsid w:val="00313149"/>
    <w:rsid w:val="003132E3"/>
    <w:rsid w:val="003133EA"/>
    <w:rsid w:val="00313469"/>
    <w:rsid w:val="00313498"/>
    <w:rsid w:val="003134A2"/>
    <w:rsid w:val="0031358D"/>
    <w:rsid w:val="003135E2"/>
    <w:rsid w:val="00313721"/>
    <w:rsid w:val="0031378F"/>
    <w:rsid w:val="003137F5"/>
    <w:rsid w:val="00313A1C"/>
    <w:rsid w:val="00313A1E"/>
    <w:rsid w:val="00313A30"/>
    <w:rsid w:val="00313B25"/>
    <w:rsid w:val="00313C78"/>
    <w:rsid w:val="00313D44"/>
    <w:rsid w:val="00313E94"/>
    <w:rsid w:val="00313EBA"/>
    <w:rsid w:val="00313EFD"/>
    <w:rsid w:val="00313F69"/>
    <w:rsid w:val="00313FA0"/>
    <w:rsid w:val="0031404F"/>
    <w:rsid w:val="003140B8"/>
    <w:rsid w:val="00314257"/>
    <w:rsid w:val="003142E9"/>
    <w:rsid w:val="0031437D"/>
    <w:rsid w:val="00314417"/>
    <w:rsid w:val="00314455"/>
    <w:rsid w:val="00314510"/>
    <w:rsid w:val="00314518"/>
    <w:rsid w:val="00314602"/>
    <w:rsid w:val="00314690"/>
    <w:rsid w:val="00314691"/>
    <w:rsid w:val="003146E4"/>
    <w:rsid w:val="00314720"/>
    <w:rsid w:val="0031478D"/>
    <w:rsid w:val="00314890"/>
    <w:rsid w:val="0031493A"/>
    <w:rsid w:val="0031495C"/>
    <w:rsid w:val="00314AA8"/>
    <w:rsid w:val="00314AB0"/>
    <w:rsid w:val="00314B04"/>
    <w:rsid w:val="00314F31"/>
    <w:rsid w:val="00314FB9"/>
    <w:rsid w:val="0031500E"/>
    <w:rsid w:val="00315171"/>
    <w:rsid w:val="003151D5"/>
    <w:rsid w:val="00315217"/>
    <w:rsid w:val="0031531E"/>
    <w:rsid w:val="00315382"/>
    <w:rsid w:val="0031540D"/>
    <w:rsid w:val="0031546B"/>
    <w:rsid w:val="0031567F"/>
    <w:rsid w:val="0031574B"/>
    <w:rsid w:val="003158B3"/>
    <w:rsid w:val="003158DE"/>
    <w:rsid w:val="003159B2"/>
    <w:rsid w:val="00315A03"/>
    <w:rsid w:val="00315A3D"/>
    <w:rsid w:val="00315B25"/>
    <w:rsid w:val="00315B2B"/>
    <w:rsid w:val="00315BEF"/>
    <w:rsid w:val="00315C2D"/>
    <w:rsid w:val="00315CC1"/>
    <w:rsid w:val="00315D36"/>
    <w:rsid w:val="00315DB3"/>
    <w:rsid w:val="00315E3B"/>
    <w:rsid w:val="00315EB5"/>
    <w:rsid w:val="00315ECB"/>
    <w:rsid w:val="00315F05"/>
    <w:rsid w:val="00315F1B"/>
    <w:rsid w:val="00315FD0"/>
    <w:rsid w:val="00316041"/>
    <w:rsid w:val="0031619F"/>
    <w:rsid w:val="0031620B"/>
    <w:rsid w:val="00316217"/>
    <w:rsid w:val="00316344"/>
    <w:rsid w:val="003163C9"/>
    <w:rsid w:val="00316519"/>
    <w:rsid w:val="00316542"/>
    <w:rsid w:val="0031658B"/>
    <w:rsid w:val="0031671D"/>
    <w:rsid w:val="0031675A"/>
    <w:rsid w:val="003167DB"/>
    <w:rsid w:val="00316808"/>
    <w:rsid w:val="0031689A"/>
    <w:rsid w:val="003168BF"/>
    <w:rsid w:val="00316922"/>
    <w:rsid w:val="003169F2"/>
    <w:rsid w:val="00316B05"/>
    <w:rsid w:val="00316B73"/>
    <w:rsid w:val="00316BB3"/>
    <w:rsid w:val="00316BDA"/>
    <w:rsid w:val="00316C4E"/>
    <w:rsid w:val="00316C76"/>
    <w:rsid w:val="00316CA9"/>
    <w:rsid w:val="00316D09"/>
    <w:rsid w:val="00316D54"/>
    <w:rsid w:val="00316DA3"/>
    <w:rsid w:val="003170C0"/>
    <w:rsid w:val="0031713A"/>
    <w:rsid w:val="00317212"/>
    <w:rsid w:val="0031728D"/>
    <w:rsid w:val="003172EB"/>
    <w:rsid w:val="0031741E"/>
    <w:rsid w:val="0031747D"/>
    <w:rsid w:val="0031754F"/>
    <w:rsid w:val="0031757C"/>
    <w:rsid w:val="003176A0"/>
    <w:rsid w:val="003176D7"/>
    <w:rsid w:val="00317836"/>
    <w:rsid w:val="00317888"/>
    <w:rsid w:val="00317915"/>
    <w:rsid w:val="0031792F"/>
    <w:rsid w:val="00317A3D"/>
    <w:rsid w:val="00317A61"/>
    <w:rsid w:val="00317A8C"/>
    <w:rsid w:val="00317AA9"/>
    <w:rsid w:val="00317BA7"/>
    <w:rsid w:val="00317CE0"/>
    <w:rsid w:val="00317D4B"/>
    <w:rsid w:val="00317F2F"/>
    <w:rsid w:val="0032000B"/>
    <w:rsid w:val="00320057"/>
    <w:rsid w:val="00320096"/>
    <w:rsid w:val="003200D5"/>
    <w:rsid w:val="00320119"/>
    <w:rsid w:val="00320249"/>
    <w:rsid w:val="00320481"/>
    <w:rsid w:val="003204B8"/>
    <w:rsid w:val="003204E9"/>
    <w:rsid w:val="0032057F"/>
    <w:rsid w:val="003205E7"/>
    <w:rsid w:val="00320656"/>
    <w:rsid w:val="003206A8"/>
    <w:rsid w:val="003207D1"/>
    <w:rsid w:val="00320848"/>
    <w:rsid w:val="00320892"/>
    <w:rsid w:val="00320922"/>
    <w:rsid w:val="00320ABD"/>
    <w:rsid w:val="00320B01"/>
    <w:rsid w:val="00320B1A"/>
    <w:rsid w:val="00320B41"/>
    <w:rsid w:val="00320BA6"/>
    <w:rsid w:val="00320C20"/>
    <w:rsid w:val="00320D90"/>
    <w:rsid w:val="00320E3C"/>
    <w:rsid w:val="00320E47"/>
    <w:rsid w:val="00320E9A"/>
    <w:rsid w:val="00320EB7"/>
    <w:rsid w:val="003210A6"/>
    <w:rsid w:val="003210C2"/>
    <w:rsid w:val="003210CA"/>
    <w:rsid w:val="00321190"/>
    <w:rsid w:val="003211B3"/>
    <w:rsid w:val="0032125C"/>
    <w:rsid w:val="003212F8"/>
    <w:rsid w:val="0032136D"/>
    <w:rsid w:val="00321401"/>
    <w:rsid w:val="003216B0"/>
    <w:rsid w:val="003216F6"/>
    <w:rsid w:val="0032171F"/>
    <w:rsid w:val="0032172E"/>
    <w:rsid w:val="003217BC"/>
    <w:rsid w:val="003219DC"/>
    <w:rsid w:val="00321A74"/>
    <w:rsid w:val="00321AA6"/>
    <w:rsid w:val="00321B5B"/>
    <w:rsid w:val="00321BC8"/>
    <w:rsid w:val="00321BFA"/>
    <w:rsid w:val="00321CB9"/>
    <w:rsid w:val="00321EA3"/>
    <w:rsid w:val="00321F15"/>
    <w:rsid w:val="00321FB6"/>
    <w:rsid w:val="00321FD6"/>
    <w:rsid w:val="00322046"/>
    <w:rsid w:val="00322061"/>
    <w:rsid w:val="00322215"/>
    <w:rsid w:val="0032223F"/>
    <w:rsid w:val="003223C3"/>
    <w:rsid w:val="00322564"/>
    <w:rsid w:val="003225C8"/>
    <w:rsid w:val="003225E8"/>
    <w:rsid w:val="00322608"/>
    <w:rsid w:val="00322612"/>
    <w:rsid w:val="00322615"/>
    <w:rsid w:val="00322618"/>
    <w:rsid w:val="003226AD"/>
    <w:rsid w:val="0032273E"/>
    <w:rsid w:val="00322772"/>
    <w:rsid w:val="003229C8"/>
    <w:rsid w:val="00322A10"/>
    <w:rsid w:val="00322A41"/>
    <w:rsid w:val="00322B51"/>
    <w:rsid w:val="00322BD1"/>
    <w:rsid w:val="00322BE4"/>
    <w:rsid w:val="00322C1C"/>
    <w:rsid w:val="00322C8B"/>
    <w:rsid w:val="00322CF9"/>
    <w:rsid w:val="00322D05"/>
    <w:rsid w:val="00322D90"/>
    <w:rsid w:val="00322DBE"/>
    <w:rsid w:val="00322F4F"/>
    <w:rsid w:val="00323043"/>
    <w:rsid w:val="003231C2"/>
    <w:rsid w:val="00323220"/>
    <w:rsid w:val="003232C6"/>
    <w:rsid w:val="0032333F"/>
    <w:rsid w:val="003233CF"/>
    <w:rsid w:val="00323499"/>
    <w:rsid w:val="003235A7"/>
    <w:rsid w:val="003235B8"/>
    <w:rsid w:val="00323733"/>
    <w:rsid w:val="0032378A"/>
    <w:rsid w:val="003237A0"/>
    <w:rsid w:val="00323946"/>
    <w:rsid w:val="003239E1"/>
    <w:rsid w:val="00323B97"/>
    <w:rsid w:val="00323C05"/>
    <w:rsid w:val="00323CB7"/>
    <w:rsid w:val="00323D59"/>
    <w:rsid w:val="00323E16"/>
    <w:rsid w:val="00323E1E"/>
    <w:rsid w:val="00324041"/>
    <w:rsid w:val="00324097"/>
    <w:rsid w:val="003240ED"/>
    <w:rsid w:val="003240F3"/>
    <w:rsid w:val="003241E5"/>
    <w:rsid w:val="003241E6"/>
    <w:rsid w:val="00324309"/>
    <w:rsid w:val="003243F3"/>
    <w:rsid w:val="00324406"/>
    <w:rsid w:val="00324440"/>
    <w:rsid w:val="00324489"/>
    <w:rsid w:val="00324577"/>
    <w:rsid w:val="00324643"/>
    <w:rsid w:val="00324651"/>
    <w:rsid w:val="003247C4"/>
    <w:rsid w:val="00324818"/>
    <w:rsid w:val="0032482D"/>
    <w:rsid w:val="00324932"/>
    <w:rsid w:val="00324AB0"/>
    <w:rsid w:val="00324AFA"/>
    <w:rsid w:val="00324B5B"/>
    <w:rsid w:val="00324BBE"/>
    <w:rsid w:val="00324C3E"/>
    <w:rsid w:val="00324CA3"/>
    <w:rsid w:val="00324E21"/>
    <w:rsid w:val="00324F0F"/>
    <w:rsid w:val="00324F3D"/>
    <w:rsid w:val="00324F82"/>
    <w:rsid w:val="00325008"/>
    <w:rsid w:val="00325229"/>
    <w:rsid w:val="003252F3"/>
    <w:rsid w:val="003253D2"/>
    <w:rsid w:val="003253E0"/>
    <w:rsid w:val="00325594"/>
    <w:rsid w:val="003255CC"/>
    <w:rsid w:val="003256A7"/>
    <w:rsid w:val="00325701"/>
    <w:rsid w:val="003258C6"/>
    <w:rsid w:val="003258D5"/>
    <w:rsid w:val="003258DB"/>
    <w:rsid w:val="003258EC"/>
    <w:rsid w:val="00325AD8"/>
    <w:rsid w:val="00325B5E"/>
    <w:rsid w:val="00325BBB"/>
    <w:rsid w:val="00325C02"/>
    <w:rsid w:val="00325C89"/>
    <w:rsid w:val="00325D2C"/>
    <w:rsid w:val="00325D37"/>
    <w:rsid w:val="00325DA6"/>
    <w:rsid w:val="00325DDF"/>
    <w:rsid w:val="00325E2A"/>
    <w:rsid w:val="00325EFE"/>
    <w:rsid w:val="00326252"/>
    <w:rsid w:val="003262A6"/>
    <w:rsid w:val="003262C6"/>
    <w:rsid w:val="00326420"/>
    <w:rsid w:val="0032643B"/>
    <w:rsid w:val="0032649A"/>
    <w:rsid w:val="003264B9"/>
    <w:rsid w:val="00326541"/>
    <w:rsid w:val="00326673"/>
    <w:rsid w:val="003266B9"/>
    <w:rsid w:val="00326714"/>
    <w:rsid w:val="00326748"/>
    <w:rsid w:val="0032683D"/>
    <w:rsid w:val="0032699E"/>
    <w:rsid w:val="003269AF"/>
    <w:rsid w:val="003269F8"/>
    <w:rsid w:val="00326A0E"/>
    <w:rsid w:val="00326BE1"/>
    <w:rsid w:val="00326C07"/>
    <w:rsid w:val="00326D4B"/>
    <w:rsid w:val="00326D92"/>
    <w:rsid w:val="00326E1C"/>
    <w:rsid w:val="00326E3F"/>
    <w:rsid w:val="00326E65"/>
    <w:rsid w:val="00326ECA"/>
    <w:rsid w:val="00327038"/>
    <w:rsid w:val="00327204"/>
    <w:rsid w:val="00327330"/>
    <w:rsid w:val="00327340"/>
    <w:rsid w:val="00327347"/>
    <w:rsid w:val="00327353"/>
    <w:rsid w:val="003273EC"/>
    <w:rsid w:val="003274A6"/>
    <w:rsid w:val="003274EF"/>
    <w:rsid w:val="0032758C"/>
    <w:rsid w:val="0032758F"/>
    <w:rsid w:val="00327631"/>
    <w:rsid w:val="00327651"/>
    <w:rsid w:val="0032767F"/>
    <w:rsid w:val="0032769D"/>
    <w:rsid w:val="00327741"/>
    <w:rsid w:val="003277D4"/>
    <w:rsid w:val="0032784E"/>
    <w:rsid w:val="00327860"/>
    <w:rsid w:val="0032786D"/>
    <w:rsid w:val="003279DB"/>
    <w:rsid w:val="00327A03"/>
    <w:rsid w:val="00327A3B"/>
    <w:rsid w:val="00327A9E"/>
    <w:rsid w:val="00327DB6"/>
    <w:rsid w:val="00327E7C"/>
    <w:rsid w:val="00327ECA"/>
    <w:rsid w:val="00330025"/>
    <w:rsid w:val="00330135"/>
    <w:rsid w:val="00330239"/>
    <w:rsid w:val="00330272"/>
    <w:rsid w:val="0033031A"/>
    <w:rsid w:val="00330421"/>
    <w:rsid w:val="00330424"/>
    <w:rsid w:val="003304FC"/>
    <w:rsid w:val="0033068A"/>
    <w:rsid w:val="00330786"/>
    <w:rsid w:val="003307AE"/>
    <w:rsid w:val="0033083C"/>
    <w:rsid w:val="003308B6"/>
    <w:rsid w:val="003308DE"/>
    <w:rsid w:val="00330978"/>
    <w:rsid w:val="00330A12"/>
    <w:rsid w:val="00330A96"/>
    <w:rsid w:val="00330B09"/>
    <w:rsid w:val="00330C27"/>
    <w:rsid w:val="00330C5A"/>
    <w:rsid w:val="00330D0B"/>
    <w:rsid w:val="00330DA0"/>
    <w:rsid w:val="00330E24"/>
    <w:rsid w:val="00330EC3"/>
    <w:rsid w:val="00330F8D"/>
    <w:rsid w:val="003310CE"/>
    <w:rsid w:val="003310E3"/>
    <w:rsid w:val="003310E5"/>
    <w:rsid w:val="003310E9"/>
    <w:rsid w:val="003310FB"/>
    <w:rsid w:val="0033119E"/>
    <w:rsid w:val="00331352"/>
    <w:rsid w:val="00331444"/>
    <w:rsid w:val="0033156C"/>
    <w:rsid w:val="00331616"/>
    <w:rsid w:val="00331641"/>
    <w:rsid w:val="003318EA"/>
    <w:rsid w:val="0033190F"/>
    <w:rsid w:val="00331B66"/>
    <w:rsid w:val="00331BC9"/>
    <w:rsid w:val="00331BD7"/>
    <w:rsid w:val="00331C1C"/>
    <w:rsid w:val="00331D37"/>
    <w:rsid w:val="00331D6D"/>
    <w:rsid w:val="00331D87"/>
    <w:rsid w:val="00331DB9"/>
    <w:rsid w:val="00331E16"/>
    <w:rsid w:val="00331E79"/>
    <w:rsid w:val="00331EE4"/>
    <w:rsid w:val="00331FB2"/>
    <w:rsid w:val="00332003"/>
    <w:rsid w:val="00332006"/>
    <w:rsid w:val="00332015"/>
    <w:rsid w:val="00332026"/>
    <w:rsid w:val="00332123"/>
    <w:rsid w:val="00332220"/>
    <w:rsid w:val="003322FC"/>
    <w:rsid w:val="00332416"/>
    <w:rsid w:val="0033247D"/>
    <w:rsid w:val="0033247F"/>
    <w:rsid w:val="00332538"/>
    <w:rsid w:val="0033254B"/>
    <w:rsid w:val="003325CF"/>
    <w:rsid w:val="0033265C"/>
    <w:rsid w:val="0033278A"/>
    <w:rsid w:val="003327D0"/>
    <w:rsid w:val="003327DB"/>
    <w:rsid w:val="0033281F"/>
    <w:rsid w:val="003329FE"/>
    <w:rsid w:val="00332A30"/>
    <w:rsid w:val="00332A84"/>
    <w:rsid w:val="00332B4A"/>
    <w:rsid w:val="00332B9E"/>
    <w:rsid w:val="00332CFA"/>
    <w:rsid w:val="00332D2D"/>
    <w:rsid w:val="00332D35"/>
    <w:rsid w:val="00332E15"/>
    <w:rsid w:val="00332E46"/>
    <w:rsid w:val="00332EC3"/>
    <w:rsid w:val="00332F67"/>
    <w:rsid w:val="00332FA2"/>
    <w:rsid w:val="00332FE4"/>
    <w:rsid w:val="0033334C"/>
    <w:rsid w:val="00333467"/>
    <w:rsid w:val="00333542"/>
    <w:rsid w:val="00333623"/>
    <w:rsid w:val="0033365E"/>
    <w:rsid w:val="003336F0"/>
    <w:rsid w:val="00333760"/>
    <w:rsid w:val="0033378E"/>
    <w:rsid w:val="00333872"/>
    <w:rsid w:val="003338AE"/>
    <w:rsid w:val="00333909"/>
    <w:rsid w:val="00333923"/>
    <w:rsid w:val="00333987"/>
    <w:rsid w:val="00333BCC"/>
    <w:rsid w:val="00333C57"/>
    <w:rsid w:val="00333C78"/>
    <w:rsid w:val="00333D84"/>
    <w:rsid w:val="00333EFD"/>
    <w:rsid w:val="003340AE"/>
    <w:rsid w:val="003341BD"/>
    <w:rsid w:val="00334208"/>
    <w:rsid w:val="00334297"/>
    <w:rsid w:val="00334389"/>
    <w:rsid w:val="00334432"/>
    <w:rsid w:val="00334439"/>
    <w:rsid w:val="0033457F"/>
    <w:rsid w:val="003345B7"/>
    <w:rsid w:val="003345FB"/>
    <w:rsid w:val="00334693"/>
    <w:rsid w:val="003346C0"/>
    <w:rsid w:val="00334723"/>
    <w:rsid w:val="0033478D"/>
    <w:rsid w:val="003348E5"/>
    <w:rsid w:val="0033499A"/>
    <w:rsid w:val="00334A6E"/>
    <w:rsid w:val="00334AAD"/>
    <w:rsid w:val="00334B43"/>
    <w:rsid w:val="00334C08"/>
    <w:rsid w:val="00334C18"/>
    <w:rsid w:val="00334C4E"/>
    <w:rsid w:val="00334DC7"/>
    <w:rsid w:val="00334DDE"/>
    <w:rsid w:val="00334E17"/>
    <w:rsid w:val="00334E21"/>
    <w:rsid w:val="00334E27"/>
    <w:rsid w:val="00334E41"/>
    <w:rsid w:val="00334FEA"/>
    <w:rsid w:val="00335074"/>
    <w:rsid w:val="00335205"/>
    <w:rsid w:val="003354CE"/>
    <w:rsid w:val="0033561A"/>
    <w:rsid w:val="00335A87"/>
    <w:rsid w:val="00335AAA"/>
    <w:rsid w:val="00335BCE"/>
    <w:rsid w:val="00335BEF"/>
    <w:rsid w:val="00335BF1"/>
    <w:rsid w:val="00335CCC"/>
    <w:rsid w:val="00335D21"/>
    <w:rsid w:val="00335E17"/>
    <w:rsid w:val="00335E71"/>
    <w:rsid w:val="00335ED6"/>
    <w:rsid w:val="00335EED"/>
    <w:rsid w:val="00335F29"/>
    <w:rsid w:val="00335FBB"/>
    <w:rsid w:val="00336095"/>
    <w:rsid w:val="00336193"/>
    <w:rsid w:val="00336253"/>
    <w:rsid w:val="00336284"/>
    <w:rsid w:val="0033636C"/>
    <w:rsid w:val="003363F5"/>
    <w:rsid w:val="00336444"/>
    <w:rsid w:val="00336462"/>
    <w:rsid w:val="003364AA"/>
    <w:rsid w:val="003364C8"/>
    <w:rsid w:val="00336652"/>
    <w:rsid w:val="00336687"/>
    <w:rsid w:val="00336701"/>
    <w:rsid w:val="003368ED"/>
    <w:rsid w:val="00336A9B"/>
    <w:rsid w:val="00336BF2"/>
    <w:rsid w:val="00336C2A"/>
    <w:rsid w:val="00336D0E"/>
    <w:rsid w:val="00336D46"/>
    <w:rsid w:val="00336DCA"/>
    <w:rsid w:val="00336EDB"/>
    <w:rsid w:val="00336F7F"/>
    <w:rsid w:val="00336F9E"/>
    <w:rsid w:val="00336FB3"/>
    <w:rsid w:val="00337184"/>
    <w:rsid w:val="0033718E"/>
    <w:rsid w:val="0033757C"/>
    <w:rsid w:val="00337639"/>
    <w:rsid w:val="00337750"/>
    <w:rsid w:val="0033788F"/>
    <w:rsid w:val="003378BF"/>
    <w:rsid w:val="00337917"/>
    <w:rsid w:val="0033795C"/>
    <w:rsid w:val="00337988"/>
    <w:rsid w:val="00337A17"/>
    <w:rsid w:val="00337A80"/>
    <w:rsid w:val="00337B64"/>
    <w:rsid w:val="00337D17"/>
    <w:rsid w:val="00337D71"/>
    <w:rsid w:val="00337D80"/>
    <w:rsid w:val="00337F2D"/>
    <w:rsid w:val="00337FA2"/>
    <w:rsid w:val="00337FE8"/>
    <w:rsid w:val="0034004E"/>
    <w:rsid w:val="003400FA"/>
    <w:rsid w:val="00340109"/>
    <w:rsid w:val="00340155"/>
    <w:rsid w:val="00340207"/>
    <w:rsid w:val="00340354"/>
    <w:rsid w:val="003403B5"/>
    <w:rsid w:val="00340473"/>
    <w:rsid w:val="003404E2"/>
    <w:rsid w:val="003404F4"/>
    <w:rsid w:val="00340540"/>
    <w:rsid w:val="0034057A"/>
    <w:rsid w:val="00340604"/>
    <w:rsid w:val="00340605"/>
    <w:rsid w:val="0034064D"/>
    <w:rsid w:val="003406C5"/>
    <w:rsid w:val="00340734"/>
    <w:rsid w:val="0034076E"/>
    <w:rsid w:val="0034080A"/>
    <w:rsid w:val="00340853"/>
    <w:rsid w:val="003408F1"/>
    <w:rsid w:val="0034093E"/>
    <w:rsid w:val="00340B54"/>
    <w:rsid w:val="00340CF6"/>
    <w:rsid w:val="00340D7B"/>
    <w:rsid w:val="00340DD7"/>
    <w:rsid w:val="00340EDB"/>
    <w:rsid w:val="00340EE5"/>
    <w:rsid w:val="00340F21"/>
    <w:rsid w:val="00341061"/>
    <w:rsid w:val="00341278"/>
    <w:rsid w:val="003412B4"/>
    <w:rsid w:val="003412C4"/>
    <w:rsid w:val="003412E6"/>
    <w:rsid w:val="003412E8"/>
    <w:rsid w:val="003413A2"/>
    <w:rsid w:val="0034141D"/>
    <w:rsid w:val="0034154B"/>
    <w:rsid w:val="00341550"/>
    <w:rsid w:val="003416DA"/>
    <w:rsid w:val="00341731"/>
    <w:rsid w:val="0034174F"/>
    <w:rsid w:val="003417DA"/>
    <w:rsid w:val="0034180C"/>
    <w:rsid w:val="00341859"/>
    <w:rsid w:val="00341888"/>
    <w:rsid w:val="00341889"/>
    <w:rsid w:val="003418FC"/>
    <w:rsid w:val="0034193D"/>
    <w:rsid w:val="00341AAF"/>
    <w:rsid w:val="00341C1C"/>
    <w:rsid w:val="00341C42"/>
    <w:rsid w:val="00341C67"/>
    <w:rsid w:val="00341D33"/>
    <w:rsid w:val="00341DB6"/>
    <w:rsid w:val="00341DDD"/>
    <w:rsid w:val="00341DEB"/>
    <w:rsid w:val="00341E22"/>
    <w:rsid w:val="00341ED1"/>
    <w:rsid w:val="00341EDE"/>
    <w:rsid w:val="00341F5C"/>
    <w:rsid w:val="00341F6B"/>
    <w:rsid w:val="0034201F"/>
    <w:rsid w:val="00342046"/>
    <w:rsid w:val="00342148"/>
    <w:rsid w:val="003421F7"/>
    <w:rsid w:val="00342220"/>
    <w:rsid w:val="00342226"/>
    <w:rsid w:val="0034227D"/>
    <w:rsid w:val="003422FB"/>
    <w:rsid w:val="00342325"/>
    <w:rsid w:val="00342364"/>
    <w:rsid w:val="00342392"/>
    <w:rsid w:val="00342488"/>
    <w:rsid w:val="00342508"/>
    <w:rsid w:val="003425AA"/>
    <w:rsid w:val="0034266C"/>
    <w:rsid w:val="00342722"/>
    <w:rsid w:val="00342811"/>
    <w:rsid w:val="00342865"/>
    <w:rsid w:val="003429BD"/>
    <w:rsid w:val="00342A12"/>
    <w:rsid w:val="00342A51"/>
    <w:rsid w:val="00342B35"/>
    <w:rsid w:val="00342B7D"/>
    <w:rsid w:val="00342B90"/>
    <w:rsid w:val="00342BE2"/>
    <w:rsid w:val="00342CAD"/>
    <w:rsid w:val="00342D5E"/>
    <w:rsid w:val="00342F67"/>
    <w:rsid w:val="00342F98"/>
    <w:rsid w:val="00342FFD"/>
    <w:rsid w:val="00343000"/>
    <w:rsid w:val="00343258"/>
    <w:rsid w:val="003432A6"/>
    <w:rsid w:val="00343385"/>
    <w:rsid w:val="003433BA"/>
    <w:rsid w:val="00343465"/>
    <w:rsid w:val="0034348B"/>
    <w:rsid w:val="003436D3"/>
    <w:rsid w:val="00343770"/>
    <w:rsid w:val="00343781"/>
    <w:rsid w:val="00343802"/>
    <w:rsid w:val="003438B6"/>
    <w:rsid w:val="003438EF"/>
    <w:rsid w:val="00343A56"/>
    <w:rsid w:val="00343A92"/>
    <w:rsid w:val="00343A9F"/>
    <w:rsid w:val="00343AE3"/>
    <w:rsid w:val="00343BB0"/>
    <w:rsid w:val="00343C65"/>
    <w:rsid w:val="00343CBD"/>
    <w:rsid w:val="00343F1B"/>
    <w:rsid w:val="00343FE9"/>
    <w:rsid w:val="00344008"/>
    <w:rsid w:val="00344235"/>
    <w:rsid w:val="003442D1"/>
    <w:rsid w:val="00344351"/>
    <w:rsid w:val="0034436C"/>
    <w:rsid w:val="0034438A"/>
    <w:rsid w:val="00344390"/>
    <w:rsid w:val="003443F5"/>
    <w:rsid w:val="0034441D"/>
    <w:rsid w:val="00344436"/>
    <w:rsid w:val="00344488"/>
    <w:rsid w:val="0034448B"/>
    <w:rsid w:val="00344698"/>
    <w:rsid w:val="0034472A"/>
    <w:rsid w:val="00344740"/>
    <w:rsid w:val="003447C2"/>
    <w:rsid w:val="003447CC"/>
    <w:rsid w:val="0034499A"/>
    <w:rsid w:val="003449A5"/>
    <w:rsid w:val="00344A2A"/>
    <w:rsid w:val="00344AB4"/>
    <w:rsid w:val="00344B38"/>
    <w:rsid w:val="00344B70"/>
    <w:rsid w:val="00344BA0"/>
    <w:rsid w:val="00344C2C"/>
    <w:rsid w:val="00344C53"/>
    <w:rsid w:val="00344C5B"/>
    <w:rsid w:val="00344C7D"/>
    <w:rsid w:val="00344D31"/>
    <w:rsid w:val="00344D87"/>
    <w:rsid w:val="00344DB1"/>
    <w:rsid w:val="00344E0E"/>
    <w:rsid w:val="00344F36"/>
    <w:rsid w:val="00344FEF"/>
    <w:rsid w:val="0034506A"/>
    <w:rsid w:val="00345077"/>
    <w:rsid w:val="003450F9"/>
    <w:rsid w:val="003451C9"/>
    <w:rsid w:val="003452BC"/>
    <w:rsid w:val="003452D5"/>
    <w:rsid w:val="003452E1"/>
    <w:rsid w:val="0034553F"/>
    <w:rsid w:val="00345553"/>
    <w:rsid w:val="003455C1"/>
    <w:rsid w:val="00345604"/>
    <w:rsid w:val="003456BC"/>
    <w:rsid w:val="00345737"/>
    <w:rsid w:val="003457E0"/>
    <w:rsid w:val="00345865"/>
    <w:rsid w:val="0034587A"/>
    <w:rsid w:val="0034587D"/>
    <w:rsid w:val="00345961"/>
    <w:rsid w:val="00345A06"/>
    <w:rsid w:val="00345AAC"/>
    <w:rsid w:val="00345BBD"/>
    <w:rsid w:val="00345C3F"/>
    <w:rsid w:val="00345CB0"/>
    <w:rsid w:val="00345CC5"/>
    <w:rsid w:val="00345D68"/>
    <w:rsid w:val="00345E10"/>
    <w:rsid w:val="00345EEF"/>
    <w:rsid w:val="00345F2A"/>
    <w:rsid w:val="00345FCF"/>
    <w:rsid w:val="003460B6"/>
    <w:rsid w:val="003460F7"/>
    <w:rsid w:val="003460FC"/>
    <w:rsid w:val="0034610E"/>
    <w:rsid w:val="003462CE"/>
    <w:rsid w:val="0034643F"/>
    <w:rsid w:val="00346446"/>
    <w:rsid w:val="0034644A"/>
    <w:rsid w:val="00346643"/>
    <w:rsid w:val="0034665E"/>
    <w:rsid w:val="003466E6"/>
    <w:rsid w:val="00346796"/>
    <w:rsid w:val="003468D5"/>
    <w:rsid w:val="00346929"/>
    <w:rsid w:val="00346985"/>
    <w:rsid w:val="003469C7"/>
    <w:rsid w:val="00346A18"/>
    <w:rsid w:val="00346B3E"/>
    <w:rsid w:val="00346B9C"/>
    <w:rsid w:val="00346C8A"/>
    <w:rsid w:val="00346C91"/>
    <w:rsid w:val="00346D0B"/>
    <w:rsid w:val="00346F51"/>
    <w:rsid w:val="003470CA"/>
    <w:rsid w:val="003471B2"/>
    <w:rsid w:val="00347294"/>
    <w:rsid w:val="0034729C"/>
    <w:rsid w:val="003472C2"/>
    <w:rsid w:val="0034733D"/>
    <w:rsid w:val="00347412"/>
    <w:rsid w:val="003475E0"/>
    <w:rsid w:val="003476CC"/>
    <w:rsid w:val="003476F7"/>
    <w:rsid w:val="0034778F"/>
    <w:rsid w:val="00347B4D"/>
    <w:rsid w:val="00347D16"/>
    <w:rsid w:val="00347D50"/>
    <w:rsid w:val="00347E11"/>
    <w:rsid w:val="00347EFE"/>
    <w:rsid w:val="00347F5C"/>
    <w:rsid w:val="00347F6F"/>
    <w:rsid w:val="0035007A"/>
    <w:rsid w:val="003500FE"/>
    <w:rsid w:val="003501C6"/>
    <w:rsid w:val="00350236"/>
    <w:rsid w:val="00350309"/>
    <w:rsid w:val="003503FA"/>
    <w:rsid w:val="00350423"/>
    <w:rsid w:val="0035043D"/>
    <w:rsid w:val="0035044B"/>
    <w:rsid w:val="003504EF"/>
    <w:rsid w:val="00350694"/>
    <w:rsid w:val="003506CB"/>
    <w:rsid w:val="00350787"/>
    <w:rsid w:val="003507A0"/>
    <w:rsid w:val="0035080C"/>
    <w:rsid w:val="00350948"/>
    <w:rsid w:val="003509C7"/>
    <w:rsid w:val="00350A42"/>
    <w:rsid w:val="00350A65"/>
    <w:rsid w:val="00350C67"/>
    <w:rsid w:val="00350DDD"/>
    <w:rsid w:val="00350E4F"/>
    <w:rsid w:val="00350E64"/>
    <w:rsid w:val="00350EE2"/>
    <w:rsid w:val="00350F3A"/>
    <w:rsid w:val="00350FAB"/>
    <w:rsid w:val="00350FEE"/>
    <w:rsid w:val="0035103E"/>
    <w:rsid w:val="003511D7"/>
    <w:rsid w:val="00351217"/>
    <w:rsid w:val="00351247"/>
    <w:rsid w:val="00351256"/>
    <w:rsid w:val="00351290"/>
    <w:rsid w:val="00351301"/>
    <w:rsid w:val="00351337"/>
    <w:rsid w:val="00351475"/>
    <w:rsid w:val="0035149B"/>
    <w:rsid w:val="003514DD"/>
    <w:rsid w:val="00351583"/>
    <w:rsid w:val="003515D3"/>
    <w:rsid w:val="003516FE"/>
    <w:rsid w:val="0035170D"/>
    <w:rsid w:val="0035173C"/>
    <w:rsid w:val="00351754"/>
    <w:rsid w:val="00351781"/>
    <w:rsid w:val="00351973"/>
    <w:rsid w:val="00351A00"/>
    <w:rsid w:val="00351A24"/>
    <w:rsid w:val="00351A7C"/>
    <w:rsid w:val="00351E93"/>
    <w:rsid w:val="00352003"/>
    <w:rsid w:val="0035213F"/>
    <w:rsid w:val="003521DA"/>
    <w:rsid w:val="0035223D"/>
    <w:rsid w:val="0035238A"/>
    <w:rsid w:val="003524CD"/>
    <w:rsid w:val="00352569"/>
    <w:rsid w:val="003526CA"/>
    <w:rsid w:val="003526D4"/>
    <w:rsid w:val="0035270A"/>
    <w:rsid w:val="0035273B"/>
    <w:rsid w:val="003527CD"/>
    <w:rsid w:val="00352990"/>
    <w:rsid w:val="0035299E"/>
    <w:rsid w:val="00352BB5"/>
    <w:rsid w:val="00352D06"/>
    <w:rsid w:val="00352D4E"/>
    <w:rsid w:val="00352E7F"/>
    <w:rsid w:val="00352ECA"/>
    <w:rsid w:val="00352FDC"/>
    <w:rsid w:val="00353186"/>
    <w:rsid w:val="003531AC"/>
    <w:rsid w:val="003531BA"/>
    <w:rsid w:val="00353203"/>
    <w:rsid w:val="003533E5"/>
    <w:rsid w:val="003533FB"/>
    <w:rsid w:val="00353401"/>
    <w:rsid w:val="003534D2"/>
    <w:rsid w:val="0035354F"/>
    <w:rsid w:val="00353570"/>
    <w:rsid w:val="00353655"/>
    <w:rsid w:val="0035380B"/>
    <w:rsid w:val="003539A2"/>
    <w:rsid w:val="003539CC"/>
    <w:rsid w:val="00353A96"/>
    <w:rsid w:val="00353AB4"/>
    <w:rsid w:val="00353B1B"/>
    <w:rsid w:val="00353BA0"/>
    <w:rsid w:val="00353C0F"/>
    <w:rsid w:val="00353C37"/>
    <w:rsid w:val="00353C65"/>
    <w:rsid w:val="00353CC4"/>
    <w:rsid w:val="00353D07"/>
    <w:rsid w:val="00353D26"/>
    <w:rsid w:val="00353D87"/>
    <w:rsid w:val="00353DC3"/>
    <w:rsid w:val="00353E1A"/>
    <w:rsid w:val="00353EFA"/>
    <w:rsid w:val="00353F5E"/>
    <w:rsid w:val="00354059"/>
    <w:rsid w:val="0035406B"/>
    <w:rsid w:val="00354124"/>
    <w:rsid w:val="003541D9"/>
    <w:rsid w:val="00354217"/>
    <w:rsid w:val="003546DC"/>
    <w:rsid w:val="0035473A"/>
    <w:rsid w:val="003547B5"/>
    <w:rsid w:val="003548EE"/>
    <w:rsid w:val="003548FA"/>
    <w:rsid w:val="00354965"/>
    <w:rsid w:val="003549E6"/>
    <w:rsid w:val="003549EC"/>
    <w:rsid w:val="00354A44"/>
    <w:rsid w:val="00354A6D"/>
    <w:rsid w:val="00354A7F"/>
    <w:rsid w:val="00354A85"/>
    <w:rsid w:val="00354A94"/>
    <w:rsid w:val="00354AB5"/>
    <w:rsid w:val="00354AE8"/>
    <w:rsid w:val="00354B69"/>
    <w:rsid w:val="00354CC0"/>
    <w:rsid w:val="00354D13"/>
    <w:rsid w:val="00354D94"/>
    <w:rsid w:val="00354EBF"/>
    <w:rsid w:val="00355077"/>
    <w:rsid w:val="0035524F"/>
    <w:rsid w:val="003554BE"/>
    <w:rsid w:val="003554C2"/>
    <w:rsid w:val="0035551A"/>
    <w:rsid w:val="00355616"/>
    <w:rsid w:val="00355673"/>
    <w:rsid w:val="00355746"/>
    <w:rsid w:val="00355833"/>
    <w:rsid w:val="00355896"/>
    <w:rsid w:val="00355898"/>
    <w:rsid w:val="00355A5E"/>
    <w:rsid w:val="00355A6A"/>
    <w:rsid w:val="00355B11"/>
    <w:rsid w:val="00355B47"/>
    <w:rsid w:val="00355BBA"/>
    <w:rsid w:val="00355BD7"/>
    <w:rsid w:val="00355C36"/>
    <w:rsid w:val="00355DF8"/>
    <w:rsid w:val="00355E99"/>
    <w:rsid w:val="00355FD6"/>
    <w:rsid w:val="00356036"/>
    <w:rsid w:val="00356195"/>
    <w:rsid w:val="0035625A"/>
    <w:rsid w:val="00356283"/>
    <w:rsid w:val="003562A5"/>
    <w:rsid w:val="003562CF"/>
    <w:rsid w:val="00356302"/>
    <w:rsid w:val="00356373"/>
    <w:rsid w:val="003563C3"/>
    <w:rsid w:val="003564CB"/>
    <w:rsid w:val="003564FA"/>
    <w:rsid w:val="003565CB"/>
    <w:rsid w:val="003565DD"/>
    <w:rsid w:val="003567A6"/>
    <w:rsid w:val="00356894"/>
    <w:rsid w:val="0035694E"/>
    <w:rsid w:val="00356980"/>
    <w:rsid w:val="003569AA"/>
    <w:rsid w:val="00356A09"/>
    <w:rsid w:val="00356A13"/>
    <w:rsid w:val="00356A1A"/>
    <w:rsid w:val="00356B85"/>
    <w:rsid w:val="00356B97"/>
    <w:rsid w:val="00356B99"/>
    <w:rsid w:val="00356BA9"/>
    <w:rsid w:val="00356C92"/>
    <w:rsid w:val="00356DD5"/>
    <w:rsid w:val="00356FBE"/>
    <w:rsid w:val="0035713C"/>
    <w:rsid w:val="003571C7"/>
    <w:rsid w:val="003574DB"/>
    <w:rsid w:val="00357874"/>
    <w:rsid w:val="003578FC"/>
    <w:rsid w:val="0035793D"/>
    <w:rsid w:val="00357976"/>
    <w:rsid w:val="003579B9"/>
    <w:rsid w:val="003579ED"/>
    <w:rsid w:val="00357A86"/>
    <w:rsid w:val="00357AF7"/>
    <w:rsid w:val="00357B6D"/>
    <w:rsid w:val="00357BA1"/>
    <w:rsid w:val="00357BCB"/>
    <w:rsid w:val="00357D83"/>
    <w:rsid w:val="00357F68"/>
    <w:rsid w:val="00360063"/>
    <w:rsid w:val="00360071"/>
    <w:rsid w:val="00360079"/>
    <w:rsid w:val="00360108"/>
    <w:rsid w:val="0036010E"/>
    <w:rsid w:val="003601D1"/>
    <w:rsid w:val="00360284"/>
    <w:rsid w:val="003603C8"/>
    <w:rsid w:val="00360467"/>
    <w:rsid w:val="00360498"/>
    <w:rsid w:val="00360509"/>
    <w:rsid w:val="00360537"/>
    <w:rsid w:val="003605D7"/>
    <w:rsid w:val="003606D7"/>
    <w:rsid w:val="00360709"/>
    <w:rsid w:val="0036075B"/>
    <w:rsid w:val="0036082D"/>
    <w:rsid w:val="00360839"/>
    <w:rsid w:val="00360959"/>
    <w:rsid w:val="00360A3E"/>
    <w:rsid w:val="00360A62"/>
    <w:rsid w:val="00360B99"/>
    <w:rsid w:val="00360BAF"/>
    <w:rsid w:val="00360BD7"/>
    <w:rsid w:val="00360C46"/>
    <w:rsid w:val="00360CBD"/>
    <w:rsid w:val="00360D65"/>
    <w:rsid w:val="00360EDD"/>
    <w:rsid w:val="00360FCE"/>
    <w:rsid w:val="003610A2"/>
    <w:rsid w:val="003610C0"/>
    <w:rsid w:val="00361140"/>
    <w:rsid w:val="0036114A"/>
    <w:rsid w:val="00361289"/>
    <w:rsid w:val="00361351"/>
    <w:rsid w:val="00361355"/>
    <w:rsid w:val="00361446"/>
    <w:rsid w:val="003614B1"/>
    <w:rsid w:val="00361636"/>
    <w:rsid w:val="00361639"/>
    <w:rsid w:val="00361647"/>
    <w:rsid w:val="0036166E"/>
    <w:rsid w:val="00361895"/>
    <w:rsid w:val="00361A7F"/>
    <w:rsid w:val="00361AAA"/>
    <w:rsid w:val="00361B66"/>
    <w:rsid w:val="00361BAA"/>
    <w:rsid w:val="00361BC6"/>
    <w:rsid w:val="00361BDD"/>
    <w:rsid w:val="00361D7A"/>
    <w:rsid w:val="00361D8B"/>
    <w:rsid w:val="00361DDF"/>
    <w:rsid w:val="00361E46"/>
    <w:rsid w:val="00361E4F"/>
    <w:rsid w:val="00361F91"/>
    <w:rsid w:val="00361FCE"/>
    <w:rsid w:val="0036202E"/>
    <w:rsid w:val="00362054"/>
    <w:rsid w:val="0036208C"/>
    <w:rsid w:val="0036214E"/>
    <w:rsid w:val="0036216F"/>
    <w:rsid w:val="003621D3"/>
    <w:rsid w:val="00362425"/>
    <w:rsid w:val="003625AF"/>
    <w:rsid w:val="003625C6"/>
    <w:rsid w:val="00362699"/>
    <w:rsid w:val="00362798"/>
    <w:rsid w:val="003627C8"/>
    <w:rsid w:val="0036284A"/>
    <w:rsid w:val="00362898"/>
    <w:rsid w:val="003628CD"/>
    <w:rsid w:val="003628FE"/>
    <w:rsid w:val="00362A5B"/>
    <w:rsid w:val="00362B3D"/>
    <w:rsid w:val="00362B64"/>
    <w:rsid w:val="00362BC1"/>
    <w:rsid w:val="00362CCC"/>
    <w:rsid w:val="00362CEC"/>
    <w:rsid w:val="00362D79"/>
    <w:rsid w:val="00362D95"/>
    <w:rsid w:val="00362DA3"/>
    <w:rsid w:val="00362DEE"/>
    <w:rsid w:val="00362E0A"/>
    <w:rsid w:val="00362EC9"/>
    <w:rsid w:val="00362F00"/>
    <w:rsid w:val="00363159"/>
    <w:rsid w:val="003632B0"/>
    <w:rsid w:val="003633A8"/>
    <w:rsid w:val="003633F1"/>
    <w:rsid w:val="00363512"/>
    <w:rsid w:val="0036352C"/>
    <w:rsid w:val="003635AE"/>
    <w:rsid w:val="00363823"/>
    <w:rsid w:val="003638CC"/>
    <w:rsid w:val="00363A0B"/>
    <w:rsid w:val="00363A28"/>
    <w:rsid w:val="00363CFE"/>
    <w:rsid w:val="00363E00"/>
    <w:rsid w:val="00363FF9"/>
    <w:rsid w:val="0036400B"/>
    <w:rsid w:val="00364141"/>
    <w:rsid w:val="00364393"/>
    <w:rsid w:val="003643A1"/>
    <w:rsid w:val="003643F9"/>
    <w:rsid w:val="00364431"/>
    <w:rsid w:val="003644B5"/>
    <w:rsid w:val="00364542"/>
    <w:rsid w:val="00364577"/>
    <w:rsid w:val="00364642"/>
    <w:rsid w:val="0036464A"/>
    <w:rsid w:val="0036477D"/>
    <w:rsid w:val="003647AD"/>
    <w:rsid w:val="00364806"/>
    <w:rsid w:val="003648ED"/>
    <w:rsid w:val="00364944"/>
    <w:rsid w:val="00364953"/>
    <w:rsid w:val="0036495B"/>
    <w:rsid w:val="00364A65"/>
    <w:rsid w:val="00364B20"/>
    <w:rsid w:val="00364B42"/>
    <w:rsid w:val="00364B66"/>
    <w:rsid w:val="00364C4C"/>
    <w:rsid w:val="00364D1E"/>
    <w:rsid w:val="00364DE8"/>
    <w:rsid w:val="00364ED5"/>
    <w:rsid w:val="003650B0"/>
    <w:rsid w:val="003651AF"/>
    <w:rsid w:val="003652CA"/>
    <w:rsid w:val="0036533B"/>
    <w:rsid w:val="003653B4"/>
    <w:rsid w:val="0036544E"/>
    <w:rsid w:val="0036545A"/>
    <w:rsid w:val="003654C8"/>
    <w:rsid w:val="003655AE"/>
    <w:rsid w:val="00365673"/>
    <w:rsid w:val="003657BC"/>
    <w:rsid w:val="00365805"/>
    <w:rsid w:val="00365861"/>
    <w:rsid w:val="003658CD"/>
    <w:rsid w:val="00365A0F"/>
    <w:rsid w:val="00365A35"/>
    <w:rsid w:val="00365B2A"/>
    <w:rsid w:val="00365B83"/>
    <w:rsid w:val="00365C93"/>
    <w:rsid w:val="00365D0D"/>
    <w:rsid w:val="00365DF5"/>
    <w:rsid w:val="00365DF9"/>
    <w:rsid w:val="00365E54"/>
    <w:rsid w:val="00365FEF"/>
    <w:rsid w:val="00366045"/>
    <w:rsid w:val="0036618A"/>
    <w:rsid w:val="003662BF"/>
    <w:rsid w:val="0036633F"/>
    <w:rsid w:val="0036640B"/>
    <w:rsid w:val="00366416"/>
    <w:rsid w:val="00366452"/>
    <w:rsid w:val="0036647A"/>
    <w:rsid w:val="00366508"/>
    <w:rsid w:val="00366510"/>
    <w:rsid w:val="0036655B"/>
    <w:rsid w:val="003665D2"/>
    <w:rsid w:val="003665F8"/>
    <w:rsid w:val="003666B7"/>
    <w:rsid w:val="003666D8"/>
    <w:rsid w:val="0036673A"/>
    <w:rsid w:val="00366855"/>
    <w:rsid w:val="003668F8"/>
    <w:rsid w:val="003669C5"/>
    <w:rsid w:val="00366C56"/>
    <w:rsid w:val="00366C5C"/>
    <w:rsid w:val="00366C76"/>
    <w:rsid w:val="00366CC5"/>
    <w:rsid w:val="00366E38"/>
    <w:rsid w:val="00366E46"/>
    <w:rsid w:val="00366F3F"/>
    <w:rsid w:val="00366F91"/>
    <w:rsid w:val="00366F96"/>
    <w:rsid w:val="00366FCF"/>
    <w:rsid w:val="0036705C"/>
    <w:rsid w:val="00367089"/>
    <w:rsid w:val="0036708B"/>
    <w:rsid w:val="00367097"/>
    <w:rsid w:val="003670E2"/>
    <w:rsid w:val="003670E5"/>
    <w:rsid w:val="0036715A"/>
    <w:rsid w:val="00367213"/>
    <w:rsid w:val="0036729C"/>
    <w:rsid w:val="003672FD"/>
    <w:rsid w:val="00367332"/>
    <w:rsid w:val="00367580"/>
    <w:rsid w:val="003677DA"/>
    <w:rsid w:val="00367847"/>
    <w:rsid w:val="003678D6"/>
    <w:rsid w:val="003678E7"/>
    <w:rsid w:val="003679C5"/>
    <w:rsid w:val="003679EB"/>
    <w:rsid w:val="00367A22"/>
    <w:rsid w:val="00367AF7"/>
    <w:rsid w:val="00367BA1"/>
    <w:rsid w:val="00367BD8"/>
    <w:rsid w:val="00367C0B"/>
    <w:rsid w:val="00367C5A"/>
    <w:rsid w:val="00367C88"/>
    <w:rsid w:val="00367CB9"/>
    <w:rsid w:val="00367E4F"/>
    <w:rsid w:val="00367F63"/>
    <w:rsid w:val="00370013"/>
    <w:rsid w:val="00370017"/>
    <w:rsid w:val="00370036"/>
    <w:rsid w:val="00370157"/>
    <w:rsid w:val="00370199"/>
    <w:rsid w:val="00370232"/>
    <w:rsid w:val="00370253"/>
    <w:rsid w:val="00370272"/>
    <w:rsid w:val="00370354"/>
    <w:rsid w:val="0037037E"/>
    <w:rsid w:val="003703D2"/>
    <w:rsid w:val="00370497"/>
    <w:rsid w:val="003704EF"/>
    <w:rsid w:val="003704F0"/>
    <w:rsid w:val="0037070B"/>
    <w:rsid w:val="0037076B"/>
    <w:rsid w:val="003707AB"/>
    <w:rsid w:val="003707EE"/>
    <w:rsid w:val="00370964"/>
    <w:rsid w:val="0037096C"/>
    <w:rsid w:val="00370996"/>
    <w:rsid w:val="003709BC"/>
    <w:rsid w:val="003709FA"/>
    <w:rsid w:val="00370A8E"/>
    <w:rsid w:val="00370AD8"/>
    <w:rsid w:val="00370B70"/>
    <w:rsid w:val="00370BAC"/>
    <w:rsid w:val="00370D0C"/>
    <w:rsid w:val="00370D3A"/>
    <w:rsid w:val="00370D5D"/>
    <w:rsid w:val="00370DCE"/>
    <w:rsid w:val="00370E03"/>
    <w:rsid w:val="003710C5"/>
    <w:rsid w:val="003710FA"/>
    <w:rsid w:val="00371110"/>
    <w:rsid w:val="003711B9"/>
    <w:rsid w:val="003712A1"/>
    <w:rsid w:val="003712C6"/>
    <w:rsid w:val="003713DB"/>
    <w:rsid w:val="00371400"/>
    <w:rsid w:val="0037146F"/>
    <w:rsid w:val="00371486"/>
    <w:rsid w:val="00371496"/>
    <w:rsid w:val="003714AC"/>
    <w:rsid w:val="003714F9"/>
    <w:rsid w:val="0037169E"/>
    <w:rsid w:val="0037172D"/>
    <w:rsid w:val="00371973"/>
    <w:rsid w:val="00371990"/>
    <w:rsid w:val="00371B7C"/>
    <w:rsid w:val="00371C21"/>
    <w:rsid w:val="00371C38"/>
    <w:rsid w:val="00371CCA"/>
    <w:rsid w:val="00371D2E"/>
    <w:rsid w:val="00371E56"/>
    <w:rsid w:val="00371FE4"/>
    <w:rsid w:val="0037208F"/>
    <w:rsid w:val="0037210F"/>
    <w:rsid w:val="00372302"/>
    <w:rsid w:val="00372393"/>
    <w:rsid w:val="00372427"/>
    <w:rsid w:val="0037247B"/>
    <w:rsid w:val="00372631"/>
    <w:rsid w:val="00372727"/>
    <w:rsid w:val="003727BA"/>
    <w:rsid w:val="003727DB"/>
    <w:rsid w:val="00372800"/>
    <w:rsid w:val="0037282A"/>
    <w:rsid w:val="00372877"/>
    <w:rsid w:val="00372896"/>
    <w:rsid w:val="003728B2"/>
    <w:rsid w:val="00372927"/>
    <w:rsid w:val="003729EC"/>
    <w:rsid w:val="00372A77"/>
    <w:rsid w:val="00372AB0"/>
    <w:rsid w:val="00372AC7"/>
    <w:rsid w:val="00372B4A"/>
    <w:rsid w:val="00372BBF"/>
    <w:rsid w:val="00372BFC"/>
    <w:rsid w:val="00372DE5"/>
    <w:rsid w:val="00372E10"/>
    <w:rsid w:val="00372E96"/>
    <w:rsid w:val="00372EBB"/>
    <w:rsid w:val="00372EFA"/>
    <w:rsid w:val="00373084"/>
    <w:rsid w:val="003730D2"/>
    <w:rsid w:val="003732AA"/>
    <w:rsid w:val="0037331F"/>
    <w:rsid w:val="00373379"/>
    <w:rsid w:val="003733B2"/>
    <w:rsid w:val="003733C7"/>
    <w:rsid w:val="00373429"/>
    <w:rsid w:val="003735E5"/>
    <w:rsid w:val="0037361E"/>
    <w:rsid w:val="00373826"/>
    <w:rsid w:val="00373881"/>
    <w:rsid w:val="003738B4"/>
    <w:rsid w:val="003738BA"/>
    <w:rsid w:val="003739D0"/>
    <w:rsid w:val="003739FD"/>
    <w:rsid w:val="00373B4F"/>
    <w:rsid w:val="00373C10"/>
    <w:rsid w:val="00373C84"/>
    <w:rsid w:val="00374048"/>
    <w:rsid w:val="00374074"/>
    <w:rsid w:val="003740D1"/>
    <w:rsid w:val="00374165"/>
    <w:rsid w:val="0037419D"/>
    <w:rsid w:val="00374203"/>
    <w:rsid w:val="00374223"/>
    <w:rsid w:val="003742D9"/>
    <w:rsid w:val="00374359"/>
    <w:rsid w:val="0037455E"/>
    <w:rsid w:val="00374570"/>
    <w:rsid w:val="003745F8"/>
    <w:rsid w:val="00374613"/>
    <w:rsid w:val="00374746"/>
    <w:rsid w:val="00374789"/>
    <w:rsid w:val="003747FE"/>
    <w:rsid w:val="00374807"/>
    <w:rsid w:val="003748BC"/>
    <w:rsid w:val="003748C6"/>
    <w:rsid w:val="00374A15"/>
    <w:rsid w:val="00374A47"/>
    <w:rsid w:val="00374A75"/>
    <w:rsid w:val="00374A95"/>
    <w:rsid w:val="00374BA2"/>
    <w:rsid w:val="00374BB1"/>
    <w:rsid w:val="00374C8C"/>
    <w:rsid w:val="00374D72"/>
    <w:rsid w:val="00374E14"/>
    <w:rsid w:val="00374F30"/>
    <w:rsid w:val="00374F65"/>
    <w:rsid w:val="00375002"/>
    <w:rsid w:val="00375141"/>
    <w:rsid w:val="003751A6"/>
    <w:rsid w:val="003751DD"/>
    <w:rsid w:val="00375238"/>
    <w:rsid w:val="00375242"/>
    <w:rsid w:val="00375293"/>
    <w:rsid w:val="00375323"/>
    <w:rsid w:val="0037533E"/>
    <w:rsid w:val="00375392"/>
    <w:rsid w:val="003753B0"/>
    <w:rsid w:val="003754EE"/>
    <w:rsid w:val="0037560F"/>
    <w:rsid w:val="00375764"/>
    <w:rsid w:val="003757CD"/>
    <w:rsid w:val="0037586F"/>
    <w:rsid w:val="00375992"/>
    <w:rsid w:val="00375994"/>
    <w:rsid w:val="003759FE"/>
    <w:rsid w:val="00375A22"/>
    <w:rsid w:val="00375A42"/>
    <w:rsid w:val="00375A54"/>
    <w:rsid w:val="00375B0F"/>
    <w:rsid w:val="00375B51"/>
    <w:rsid w:val="00375B87"/>
    <w:rsid w:val="00375CEE"/>
    <w:rsid w:val="00375F27"/>
    <w:rsid w:val="0037607F"/>
    <w:rsid w:val="00376131"/>
    <w:rsid w:val="00376185"/>
    <w:rsid w:val="003762C4"/>
    <w:rsid w:val="003762DB"/>
    <w:rsid w:val="00376533"/>
    <w:rsid w:val="00376553"/>
    <w:rsid w:val="003768B9"/>
    <w:rsid w:val="003768BF"/>
    <w:rsid w:val="0037697B"/>
    <w:rsid w:val="00376999"/>
    <w:rsid w:val="00376B86"/>
    <w:rsid w:val="00376C5F"/>
    <w:rsid w:val="00376CB6"/>
    <w:rsid w:val="00376D5C"/>
    <w:rsid w:val="00376DE1"/>
    <w:rsid w:val="00376EFF"/>
    <w:rsid w:val="00376F75"/>
    <w:rsid w:val="00377032"/>
    <w:rsid w:val="0037709A"/>
    <w:rsid w:val="003770D6"/>
    <w:rsid w:val="003770E6"/>
    <w:rsid w:val="003770FA"/>
    <w:rsid w:val="00377237"/>
    <w:rsid w:val="003772BC"/>
    <w:rsid w:val="003773C9"/>
    <w:rsid w:val="003773E9"/>
    <w:rsid w:val="0037740A"/>
    <w:rsid w:val="00377433"/>
    <w:rsid w:val="00377495"/>
    <w:rsid w:val="00377524"/>
    <w:rsid w:val="003775B6"/>
    <w:rsid w:val="003775D7"/>
    <w:rsid w:val="003775E8"/>
    <w:rsid w:val="003776CD"/>
    <w:rsid w:val="003776DA"/>
    <w:rsid w:val="0037779F"/>
    <w:rsid w:val="003777B0"/>
    <w:rsid w:val="003778F2"/>
    <w:rsid w:val="0037790C"/>
    <w:rsid w:val="00377939"/>
    <w:rsid w:val="00377A24"/>
    <w:rsid w:val="00377A64"/>
    <w:rsid w:val="00377AD5"/>
    <w:rsid w:val="00377BB2"/>
    <w:rsid w:val="00377C4A"/>
    <w:rsid w:val="00377D7E"/>
    <w:rsid w:val="00377DAD"/>
    <w:rsid w:val="00377DC4"/>
    <w:rsid w:val="00377DCA"/>
    <w:rsid w:val="00377F3B"/>
    <w:rsid w:val="00377FBF"/>
    <w:rsid w:val="00377FD6"/>
    <w:rsid w:val="00380033"/>
    <w:rsid w:val="0038014E"/>
    <w:rsid w:val="00380205"/>
    <w:rsid w:val="00380210"/>
    <w:rsid w:val="0038021C"/>
    <w:rsid w:val="00380247"/>
    <w:rsid w:val="00380263"/>
    <w:rsid w:val="003802C1"/>
    <w:rsid w:val="003802C6"/>
    <w:rsid w:val="0038032E"/>
    <w:rsid w:val="0038049B"/>
    <w:rsid w:val="0038053E"/>
    <w:rsid w:val="00380577"/>
    <w:rsid w:val="00380617"/>
    <w:rsid w:val="003806D2"/>
    <w:rsid w:val="0038073E"/>
    <w:rsid w:val="0038075A"/>
    <w:rsid w:val="0038078B"/>
    <w:rsid w:val="003807FD"/>
    <w:rsid w:val="00380813"/>
    <w:rsid w:val="00380881"/>
    <w:rsid w:val="003808D3"/>
    <w:rsid w:val="003808D4"/>
    <w:rsid w:val="00380C4A"/>
    <w:rsid w:val="00380CF1"/>
    <w:rsid w:val="00380D40"/>
    <w:rsid w:val="00380D45"/>
    <w:rsid w:val="00380D55"/>
    <w:rsid w:val="00380EDB"/>
    <w:rsid w:val="00380F59"/>
    <w:rsid w:val="00380FA5"/>
    <w:rsid w:val="003810B3"/>
    <w:rsid w:val="003810ED"/>
    <w:rsid w:val="00381293"/>
    <w:rsid w:val="003812A1"/>
    <w:rsid w:val="0038142F"/>
    <w:rsid w:val="0038143A"/>
    <w:rsid w:val="00381472"/>
    <w:rsid w:val="0038157E"/>
    <w:rsid w:val="00381585"/>
    <w:rsid w:val="003815AC"/>
    <w:rsid w:val="0038161C"/>
    <w:rsid w:val="0038169A"/>
    <w:rsid w:val="00381702"/>
    <w:rsid w:val="00381849"/>
    <w:rsid w:val="0038184F"/>
    <w:rsid w:val="00381867"/>
    <w:rsid w:val="003819E4"/>
    <w:rsid w:val="00381A47"/>
    <w:rsid w:val="00381A71"/>
    <w:rsid w:val="00381AB8"/>
    <w:rsid w:val="00381ACF"/>
    <w:rsid w:val="00381CDD"/>
    <w:rsid w:val="00381D1F"/>
    <w:rsid w:val="00381D53"/>
    <w:rsid w:val="00381DA2"/>
    <w:rsid w:val="00381F99"/>
    <w:rsid w:val="003820CF"/>
    <w:rsid w:val="003820FF"/>
    <w:rsid w:val="003821A7"/>
    <w:rsid w:val="00382309"/>
    <w:rsid w:val="00382342"/>
    <w:rsid w:val="003823AD"/>
    <w:rsid w:val="003823C4"/>
    <w:rsid w:val="00382549"/>
    <w:rsid w:val="003825B9"/>
    <w:rsid w:val="003827D9"/>
    <w:rsid w:val="0038288E"/>
    <w:rsid w:val="00382A47"/>
    <w:rsid w:val="00382AF7"/>
    <w:rsid w:val="00382C96"/>
    <w:rsid w:val="00382E5B"/>
    <w:rsid w:val="00382EC4"/>
    <w:rsid w:val="00382F18"/>
    <w:rsid w:val="00382F37"/>
    <w:rsid w:val="00382FF0"/>
    <w:rsid w:val="00383037"/>
    <w:rsid w:val="00383245"/>
    <w:rsid w:val="0038327F"/>
    <w:rsid w:val="003834ED"/>
    <w:rsid w:val="00383518"/>
    <w:rsid w:val="00383529"/>
    <w:rsid w:val="0038353B"/>
    <w:rsid w:val="003835D5"/>
    <w:rsid w:val="00383606"/>
    <w:rsid w:val="003836C9"/>
    <w:rsid w:val="003837A5"/>
    <w:rsid w:val="00383B38"/>
    <w:rsid w:val="00383BA2"/>
    <w:rsid w:val="00383BC4"/>
    <w:rsid w:val="00383C91"/>
    <w:rsid w:val="00383CB3"/>
    <w:rsid w:val="00383CC2"/>
    <w:rsid w:val="00383E16"/>
    <w:rsid w:val="00383F27"/>
    <w:rsid w:val="0038409C"/>
    <w:rsid w:val="00384109"/>
    <w:rsid w:val="00384199"/>
    <w:rsid w:val="003842CB"/>
    <w:rsid w:val="00384426"/>
    <w:rsid w:val="00384496"/>
    <w:rsid w:val="003846A4"/>
    <w:rsid w:val="0038471C"/>
    <w:rsid w:val="003847B3"/>
    <w:rsid w:val="00384859"/>
    <w:rsid w:val="003848AC"/>
    <w:rsid w:val="0038494F"/>
    <w:rsid w:val="00384A41"/>
    <w:rsid w:val="00384B32"/>
    <w:rsid w:val="00384B51"/>
    <w:rsid w:val="00384BC5"/>
    <w:rsid w:val="00384D0F"/>
    <w:rsid w:val="00384E1A"/>
    <w:rsid w:val="00384E1C"/>
    <w:rsid w:val="00384E7D"/>
    <w:rsid w:val="00384EA0"/>
    <w:rsid w:val="00384EAB"/>
    <w:rsid w:val="00384ED8"/>
    <w:rsid w:val="00384FAF"/>
    <w:rsid w:val="00384FDC"/>
    <w:rsid w:val="00385158"/>
    <w:rsid w:val="00385194"/>
    <w:rsid w:val="003851CE"/>
    <w:rsid w:val="00385315"/>
    <w:rsid w:val="0038541C"/>
    <w:rsid w:val="00385514"/>
    <w:rsid w:val="0038559F"/>
    <w:rsid w:val="003855CE"/>
    <w:rsid w:val="003855D4"/>
    <w:rsid w:val="0038564D"/>
    <w:rsid w:val="003856EC"/>
    <w:rsid w:val="003856F2"/>
    <w:rsid w:val="0038585F"/>
    <w:rsid w:val="0038586B"/>
    <w:rsid w:val="003858A9"/>
    <w:rsid w:val="00385989"/>
    <w:rsid w:val="00385A53"/>
    <w:rsid w:val="00385B5D"/>
    <w:rsid w:val="00385C8E"/>
    <w:rsid w:val="00385CE7"/>
    <w:rsid w:val="00385F30"/>
    <w:rsid w:val="003863C1"/>
    <w:rsid w:val="0038640C"/>
    <w:rsid w:val="0038645F"/>
    <w:rsid w:val="0038653F"/>
    <w:rsid w:val="003865C0"/>
    <w:rsid w:val="0038665F"/>
    <w:rsid w:val="003867B9"/>
    <w:rsid w:val="003867CA"/>
    <w:rsid w:val="003867DF"/>
    <w:rsid w:val="00386828"/>
    <w:rsid w:val="003868FA"/>
    <w:rsid w:val="0038697F"/>
    <w:rsid w:val="00386B91"/>
    <w:rsid w:val="00386B93"/>
    <w:rsid w:val="00386BA6"/>
    <w:rsid w:val="00386C76"/>
    <w:rsid w:val="00386CD6"/>
    <w:rsid w:val="00386D10"/>
    <w:rsid w:val="00386DAC"/>
    <w:rsid w:val="00386EC5"/>
    <w:rsid w:val="00386EE6"/>
    <w:rsid w:val="00386EFB"/>
    <w:rsid w:val="00386FE6"/>
    <w:rsid w:val="00387028"/>
    <w:rsid w:val="00387111"/>
    <w:rsid w:val="003872FA"/>
    <w:rsid w:val="00387385"/>
    <w:rsid w:val="00387418"/>
    <w:rsid w:val="003874AA"/>
    <w:rsid w:val="0038752D"/>
    <w:rsid w:val="00387537"/>
    <w:rsid w:val="003875F1"/>
    <w:rsid w:val="00387642"/>
    <w:rsid w:val="0038764F"/>
    <w:rsid w:val="00387755"/>
    <w:rsid w:val="003877D8"/>
    <w:rsid w:val="00387835"/>
    <w:rsid w:val="003878F4"/>
    <w:rsid w:val="00387943"/>
    <w:rsid w:val="00387A63"/>
    <w:rsid w:val="00387AE8"/>
    <w:rsid w:val="00387B09"/>
    <w:rsid w:val="00387B41"/>
    <w:rsid w:val="00387BD2"/>
    <w:rsid w:val="00387C2A"/>
    <w:rsid w:val="00387C53"/>
    <w:rsid w:val="00387CBD"/>
    <w:rsid w:val="00387CC4"/>
    <w:rsid w:val="00387D82"/>
    <w:rsid w:val="00387E5D"/>
    <w:rsid w:val="00387F6A"/>
    <w:rsid w:val="00390033"/>
    <w:rsid w:val="00390085"/>
    <w:rsid w:val="003901DC"/>
    <w:rsid w:val="003902C7"/>
    <w:rsid w:val="00390498"/>
    <w:rsid w:val="0039055A"/>
    <w:rsid w:val="003905E1"/>
    <w:rsid w:val="0039062F"/>
    <w:rsid w:val="0039069C"/>
    <w:rsid w:val="00390736"/>
    <w:rsid w:val="00390756"/>
    <w:rsid w:val="0039087F"/>
    <w:rsid w:val="003908E6"/>
    <w:rsid w:val="00390A21"/>
    <w:rsid w:val="00390BAE"/>
    <w:rsid w:val="00390C20"/>
    <w:rsid w:val="00390C55"/>
    <w:rsid w:val="00390CFD"/>
    <w:rsid w:val="00390D69"/>
    <w:rsid w:val="00390D9A"/>
    <w:rsid w:val="00390DC9"/>
    <w:rsid w:val="00390F17"/>
    <w:rsid w:val="00390F2E"/>
    <w:rsid w:val="00390F4D"/>
    <w:rsid w:val="00390FB0"/>
    <w:rsid w:val="00390FC4"/>
    <w:rsid w:val="00390FDF"/>
    <w:rsid w:val="003910D3"/>
    <w:rsid w:val="00391249"/>
    <w:rsid w:val="003912A4"/>
    <w:rsid w:val="00391328"/>
    <w:rsid w:val="003913AB"/>
    <w:rsid w:val="003914A7"/>
    <w:rsid w:val="00391547"/>
    <w:rsid w:val="003916DC"/>
    <w:rsid w:val="0039176D"/>
    <w:rsid w:val="00391822"/>
    <w:rsid w:val="003918EA"/>
    <w:rsid w:val="00391999"/>
    <w:rsid w:val="00391B11"/>
    <w:rsid w:val="00391C6E"/>
    <w:rsid w:val="00391CBF"/>
    <w:rsid w:val="00391E48"/>
    <w:rsid w:val="00391E97"/>
    <w:rsid w:val="00391EC2"/>
    <w:rsid w:val="00391FAB"/>
    <w:rsid w:val="0039209D"/>
    <w:rsid w:val="00392253"/>
    <w:rsid w:val="0039240B"/>
    <w:rsid w:val="00392442"/>
    <w:rsid w:val="00392499"/>
    <w:rsid w:val="003924DE"/>
    <w:rsid w:val="00392582"/>
    <w:rsid w:val="003927F3"/>
    <w:rsid w:val="0039286B"/>
    <w:rsid w:val="00392886"/>
    <w:rsid w:val="0039289F"/>
    <w:rsid w:val="003928D0"/>
    <w:rsid w:val="00392909"/>
    <w:rsid w:val="0039292A"/>
    <w:rsid w:val="00392A5F"/>
    <w:rsid w:val="00392A74"/>
    <w:rsid w:val="00392AE6"/>
    <w:rsid w:val="00392B2B"/>
    <w:rsid w:val="00392B76"/>
    <w:rsid w:val="00392C67"/>
    <w:rsid w:val="00392F66"/>
    <w:rsid w:val="00393007"/>
    <w:rsid w:val="0039304B"/>
    <w:rsid w:val="00393055"/>
    <w:rsid w:val="0039305F"/>
    <w:rsid w:val="00393096"/>
    <w:rsid w:val="00393112"/>
    <w:rsid w:val="00393119"/>
    <w:rsid w:val="00393122"/>
    <w:rsid w:val="00393126"/>
    <w:rsid w:val="0039324E"/>
    <w:rsid w:val="00393335"/>
    <w:rsid w:val="00393419"/>
    <w:rsid w:val="003935FD"/>
    <w:rsid w:val="00393638"/>
    <w:rsid w:val="0039369C"/>
    <w:rsid w:val="00393792"/>
    <w:rsid w:val="0039380E"/>
    <w:rsid w:val="00393923"/>
    <w:rsid w:val="003939F5"/>
    <w:rsid w:val="00393B40"/>
    <w:rsid w:val="00393CB6"/>
    <w:rsid w:val="00393D27"/>
    <w:rsid w:val="00393E00"/>
    <w:rsid w:val="00393FA9"/>
    <w:rsid w:val="00393FF9"/>
    <w:rsid w:val="0039405A"/>
    <w:rsid w:val="00394060"/>
    <w:rsid w:val="003940FC"/>
    <w:rsid w:val="00394110"/>
    <w:rsid w:val="00394171"/>
    <w:rsid w:val="0039426B"/>
    <w:rsid w:val="00394288"/>
    <w:rsid w:val="0039429A"/>
    <w:rsid w:val="0039434A"/>
    <w:rsid w:val="00394423"/>
    <w:rsid w:val="0039453C"/>
    <w:rsid w:val="003945E3"/>
    <w:rsid w:val="0039465C"/>
    <w:rsid w:val="0039467A"/>
    <w:rsid w:val="00394699"/>
    <w:rsid w:val="0039470D"/>
    <w:rsid w:val="003947DA"/>
    <w:rsid w:val="00394828"/>
    <w:rsid w:val="00394841"/>
    <w:rsid w:val="003948CB"/>
    <w:rsid w:val="0039496E"/>
    <w:rsid w:val="003949D2"/>
    <w:rsid w:val="00394AE4"/>
    <w:rsid w:val="00394B12"/>
    <w:rsid w:val="00394B81"/>
    <w:rsid w:val="00394B8D"/>
    <w:rsid w:val="00394BFA"/>
    <w:rsid w:val="00394D3B"/>
    <w:rsid w:val="00394FCE"/>
    <w:rsid w:val="003951B4"/>
    <w:rsid w:val="003951C7"/>
    <w:rsid w:val="003951E4"/>
    <w:rsid w:val="0039520D"/>
    <w:rsid w:val="003952D6"/>
    <w:rsid w:val="003954C9"/>
    <w:rsid w:val="003954DE"/>
    <w:rsid w:val="00395537"/>
    <w:rsid w:val="003955E0"/>
    <w:rsid w:val="003956B7"/>
    <w:rsid w:val="0039570A"/>
    <w:rsid w:val="00395730"/>
    <w:rsid w:val="003957B3"/>
    <w:rsid w:val="003957C7"/>
    <w:rsid w:val="003958FD"/>
    <w:rsid w:val="00395A54"/>
    <w:rsid w:val="00395AEA"/>
    <w:rsid w:val="00395B0A"/>
    <w:rsid w:val="00395B67"/>
    <w:rsid w:val="00395B7F"/>
    <w:rsid w:val="00395BD6"/>
    <w:rsid w:val="00395C4E"/>
    <w:rsid w:val="00395CBA"/>
    <w:rsid w:val="00395D5F"/>
    <w:rsid w:val="00395D7A"/>
    <w:rsid w:val="00395DC0"/>
    <w:rsid w:val="00395E3F"/>
    <w:rsid w:val="00395EB3"/>
    <w:rsid w:val="00396143"/>
    <w:rsid w:val="00396161"/>
    <w:rsid w:val="00396211"/>
    <w:rsid w:val="00396242"/>
    <w:rsid w:val="00396271"/>
    <w:rsid w:val="00396288"/>
    <w:rsid w:val="003962FC"/>
    <w:rsid w:val="003963CC"/>
    <w:rsid w:val="003964DE"/>
    <w:rsid w:val="003965A5"/>
    <w:rsid w:val="0039665F"/>
    <w:rsid w:val="00396670"/>
    <w:rsid w:val="00396847"/>
    <w:rsid w:val="00396C64"/>
    <w:rsid w:val="00396CDC"/>
    <w:rsid w:val="00396FBF"/>
    <w:rsid w:val="003970FD"/>
    <w:rsid w:val="00397152"/>
    <w:rsid w:val="003972E1"/>
    <w:rsid w:val="00397343"/>
    <w:rsid w:val="003973D5"/>
    <w:rsid w:val="003974D8"/>
    <w:rsid w:val="00397583"/>
    <w:rsid w:val="0039761A"/>
    <w:rsid w:val="0039765E"/>
    <w:rsid w:val="003977A6"/>
    <w:rsid w:val="003977E8"/>
    <w:rsid w:val="00397A23"/>
    <w:rsid w:val="00397A7E"/>
    <w:rsid w:val="00397C80"/>
    <w:rsid w:val="00397CA4"/>
    <w:rsid w:val="00397CBF"/>
    <w:rsid w:val="00397CDA"/>
    <w:rsid w:val="00397CED"/>
    <w:rsid w:val="00397E01"/>
    <w:rsid w:val="00397E34"/>
    <w:rsid w:val="00397FB4"/>
    <w:rsid w:val="00397FBB"/>
    <w:rsid w:val="003A0002"/>
    <w:rsid w:val="003A017C"/>
    <w:rsid w:val="003A01E8"/>
    <w:rsid w:val="003A020A"/>
    <w:rsid w:val="003A035E"/>
    <w:rsid w:val="003A0617"/>
    <w:rsid w:val="003A0893"/>
    <w:rsid w:val="003A0A84"/>
    <w:rsid w:val="003A0AC7"/>
    <w:rsid w:val="003A0B56"/>
    <w:rsid w:val="003A0BC9"/>
    <w:rsid w:val="003A0C10"/>
    <w:rsid w:val="003A0C55"/>
    <w:rsid w:val="003A0DC3"/>
    <w:rsid w:val="003A0E0A"/>
    <w:rsid w:val="003A1021"/>
    <w:rsid w:val="003A1099"/>
    <w:rsid w:val="003A1114"/>
    <w:rsid w:val="003A113B"/>
    <w:rsid w:val="003A1172"/>
    <w:rsid w:val="003A122C"/>
    <w:rsid w:val="003A12C4"/>
    <w:rsid w:val="003A1323"/>
    <w:rsid w:val="003A1359"/>
    <w:rsid w:val="003A139D"/>
    <w:rsid w:val="003A1406"/>
    <w:rsid w:val="003A146A"/>
    <w:rsid w:val="003A1536"/>
    <w:rsid w:val="003A1554"/>
    <w:rsid w:val="003A15A5"/>
    <w:rsid w:val="003A165A"/>
    <w:rsid w:val="003A167A"/>
    <w:rsid w:val="003A16DE"/>
    <w:rsid w:val="003A170E"/>
    <w:rsid w:val="003A173F"/>
    <w:rsid w:val="003A17A5"/>
    <w:rsid w:val="003A183A"/>
    <w:rsid w:val="003A1847"/>
    <w:rsid w:val="003A1963"/>
    <w:rsid w:val="003A1979"/>
    <w:rsid w:val="003A1988"/>
    <w:rsid w:val="003A19E1"/>
    <w:rsid w:val="003A1A4A"/>
    <w:rsid w:val="003A1CC9"/>
    <w:rsid w:val="003A1D31"/>
    <w:rsid w:val="003A1D76"/>
    <w:rsid w:val="003A1DF3"/>
    <w:rsid w:val="003A1DFD"/>
    <w:rsid w:val="003A1E5C"/>
    <w:rsid w:val="003A1F7D"/>
    <w:rsid w:val="003A1F97"/>
    <w:rsid w:val="003A20A7"/>
    <w:rsid w:val="003A2101"/>
    <w:rsid w:val="003A2114"/>
    <w:rsid w:val="003A2143"/>
    <w:rsid w:val="003A21AC"/>
    <w:rsid w:val="003A2207"/>
    <w:rsid w:val="003A2225"/>
    <w:rsid w:val="003A224B"/>
    <w:rsid w:val="003A22BB"/>
    <w:rsid w:val="003A22D9"/>
    <w:rsid w:val="003A2330"/>
    <w:rsid w:val="003A2426"/>
    <w:rsid w:val="003A24AC"/>
    <w:rsid w:val="003A252E"/>
    <w:rsid w:val="003A258D"/>
    <w:rsid w:val="003A27CC"/>
    <w:rsid w:val="003A2A0D"/>
    <w:rsid w:val="003A2A7D"/>
    <w:rsid w:val="003A2B70"/>
    <w:rsid w:val="003A2C18"/>
    <w:rsid w:val="003A2C44"/>
    <w:rsid w:val="003A2C5A"/>
    <w:rsid w:val="003A2D28"/>
    <w:rsid w:val="003A2F95"/>
    <w:rsid w:val="003A30CD"/>
    <w:rsid w:val="003A310D"/>
    <w:rsid w:val="003A3243"/>
    <w:rsid w:val="003A32D7"/>
    <w:rsid w:val="003A338A"/>
    <w:rsid w:val="003A3394"/>
    <w:rsid w:val="003A33BB"/>
    <w:rsid w:val="003A33E3"/>
    <w:rsid w:val="003A3449"/>
    <w:rsid w:val="003A34A1"/>
    <w:rsid w:val="003A351D"/>
    <w:rsid w:val="003A371F"/>
    <w:rsid w:val="003A37B7"/>
    <w:rsid w:val="003A3826"/>
    <w:rsid w:val="003A3841"/>
    <w:rsid w:val="003A38C5"/>
    <w:rsid w:val="003A391F"/>
    <w:rsid w:val="003A3A7B"/>
    <w:rsid w:val="003A3B4F"/>
    <w:rsid w:val="003A3B5C"/>
    <w:rsid w:val="003A3BBB"/>
    <w:rsid w:val="003A3C0A"/>
    <w:rsid w:val="003A3D60"/>
    <w:rsid w:val="003A3D83"/>
    <w:rsid w:val="003A3E29"/>
    <w:rsid w:val="003A3E64"/>
    <w:rsid w:val="003A3EF4"/>
    <w:rsid w:val="003A3FCA"/>
    <w:rsid w:val="003A40F4"/>
    <w:rsid w:val="003A4119"/>
    <w:rsid w:val="003A41B0"/>
    <w:rsid w:val="003A4249"/>
    <w:rsid w:val="003A432F"/>
    <w:rsid w:val="003A4611"/>
    <w:rsid w:val="003A472B"/>
    <w:rsid w:val="003A473A"/>
    <w:rsid w:val="003A47B3"/>
    <w:rsid w:val="003A48A8"/>
    <w:rsid w:val="003A4933"/>
    <w:rsid w:val="003A4963"/>
    <w:rsid w:val="003A4ABE"/>
    <w:rsid w:val="003A4B5C"/>
    <w:rsid w:val="003A4B9B"/>
    <w:rsid w:val="003A4BED"/>
    <w:rsid w:val="003A4D09"/>
    <w:rsid w:val="003A4D30"/>
    <w:rsid w:val="003A4D85"/>
    <w:rsid w:val="003A4DB8"/>
    <w:rsid w:val="003A4EEA"/>
    <w:rsid w:val="003A4F27"/>
    <w:rsid w:val="003A50BD"/>
    <w:rsid w:val="003A5169"/>
    <w:rsid w:val="003A51E8"/>
    <w:rsid w:val="003A52D3"/>
    <w:rsid w:val="003A5308"/>
    <w:rsid w:val="003A533C"/>
    <w:rsid w:val="003A54D8"/>
    <w:rsid w:val="003A5537"/>
    <w:rsid w:val="003A554C"/>
    <w:rsid w:val="003A5827"/>
    <w:rsid w:val="003A589B"/>
    <w:rsid w:val="003A58EA"/>
    <w:rsid w:val="003A596B"/>
    <w:rsid w:val="003A59DC"/>
    <w:rsid w:val="003A59F7"/>
    <w:rsid w:val="003A5A79"/>
    <w:rsid w:val="003A5AC2"/>
    <w:rsid w:val="003A5AD4"/>
    <w:rsid w:val="003A5B42"/>
    <w:rsid w:val="003A5BBB"/>
    <w:rsid w:val="003A5CF6"/>
    <w:rsid w:val="003A5E48"/>
    <w:rsid w:val="003A5E55"/>
    <w:rsid w:val="003A5E90"/>
    <w:rsid w:val="003A5F1D"/>
    <w:rsid w:val="003A5FDF"/>
    <w:rsid w:val="003A5FFB"/>
    <w:rsid w:val="003A60B0"/>
    <w:rsid w:val="003A6166"/>
    <w:rsid w:val="003A61FA"/>
    <w:rsid w:val="003A6281"/>
    <w:rsid w:val="003A6419"/>
    <w:rsid w:val="003A6431"/>
    <w:rsid w:val="003A64BF"/>
    <w:rsid w:val="003A64D6"/>
    <w:rsid w:val="003A6501"/>
    <w:rsid w:val="003A6538"/>
    <w:rsid w:val="003A65B1"/>
    <w:rsid w:val="003A65EB"/>
    <w:rsid w:val="003A66D8"/>
    <w:rsid w:val="003A66DE"/>
    <w:rsid w:val="003A66F2"/>
    <w:rsid w:val="003A6863"/>
    <w:rsid w:val="003A6974"/>
    <w:rsid w:val="003A6AD5"/>
    <w:rsid w:val="003A6AFC"/>
    <w:rsid w:val="003A6BD9"/>
    <w:rsid w:val="003A6DCE"/>
    <w:rsid w:val="003A6EEB"/>
    <w:rsid w:val="003A6F62"/>
    <w:rsid w:val="003A7109"/>
    <w:rsid w:val="003A7125"/>
    <w:rsid w:val="003A7144"/>
    <w:rsid w:val="003A7228"/>
    <w:rsid w:val="003A72B8"/>
    <w:rsid w:val="003A7395"/>
    <w:rsid w:val="003A73B5"/>
    <w:rsid w:val="003A747A"/>
    <w:rsid w:val="003A747D"/>
    <w:rsid w:val="003A74A2"/>
    <w:rsid w:val="003A74D3"/>
    <w:rsid w:val="003A74FF"/>
    <w:rsid w:val="003A75D6"/>
    <w:rsid w:val="003A760F"/>
    <w:rsid w:val="003A7692"/>
    <w:rsid w:val="003A76C7"/>
    <w:rsid w:val="003A7857"/>
    <w:rsid w:val="003A7952"/>
    <w:rsid w:val="003A798E"/>
    <w:rsid w:val="003A799A"/>
    <w:rsid w:val="003A7C3B"/>
    <w:rsid w:val="003A7C40"/>
    <w:rsid w:val="003A7D0F"/>
    <w:rsid w:val="003A7DE5"/>
    <w:rsid w:val="003A7E47"/>
    <w:rsid w:val="003A7E92"/>
    <w:rsid w:val="003A7F21"/>
    <w:rsid w:val="003B00E6"/>
    <w:rsid w:val="003B0167"/>
    <w:rsid w:val="003B0202"/>
    <w:rsid w:val="003B0343"/>
    <w:rsid w:val="003B0485"/>
    <w:rsid w:val="003B0527"/>
    <w:rsid w:val="003B0542"/>
    <w:rsid w:val="003B0563"/>
    <w:rsid w:val="003B05A9"/>
    <w:rsid w:val="003B0678"/>
    <w:rsid w:val="003B06B2"/>
    <w:rsid w:val="003B06D4"/>
    <w:rsid w:val="003B0713"/>
    <w:rsid w:val="003B0725"/>
    <w:rsid w:val="003B0887"/>
    <w:rsid w:val="003B088C"/>
    <w:rsid w:val="003B08CF"/>
    <w:rsid w:val="003B08DD"/>
    <w:rsid w:val="003B08F2"/>
    <w:rsid w:val="003B09D9"/>
    <w:rsid w:val="003B0A27"/>
    <w:rsid w:val="003B0CA6"/>
    <w:rsid w:val="003B0CF8"/>
    <w:rsid w:val="003B0D67"/>
    <w:rsid w:val="003B0DD1"/>
    <w:rsid w:val="003B0E67"/>
    <w:rsid w:val="003B0EF8"/>
    <w:rsid w:val="003B0F88"/>
    <w:rsid w:val="003B1041"/>
    <w:rsid w:val="003B10AB"/>
    <w:rsid w:val="003B135C"/>
    <w:rsid w:val="003B136B"/>
    <w:rsid w:val="003B136D"/>
    <w:rsid w:val="003B1370"/>
    <w:rsid w:val="003B141A"/>
    <w:rsid w:val="003B1463"/>
    <w:rsid w:val="003B14CA"/>
    <w:rsid w:val="003B14CE"/>
    <w:rsid w:val="003B1660"/>
    <w:rsid w:val="003B17A6"/>
    <w:rsid w:val="003B17A9"/>
    <w:rsid w:val="003B17CB"/>
    <w:rsid w:val="003B1850"/>
    <w:rsid w:val="003B186A"/>
    <w:rsid w:val="003B187D"/>
    <w:rsid w:val="003B198B"/>
    <w:rsid w:val="003B19F3"/>
    <w:rsid w:val="003B1AAD"/>
    <w:rsid w:val="003B1E17"/>
    <w:rsid w:val="003B1E1E"/>
    <w:rsid w:val="003B1EA4"/>
    <w:rsid w:val="003B2190"/>
    <w:rsid w:val="003B21B7"/>
    <w:rsid w:val="003B21DA"/>
    <w:rsid w:val="003B22D3"/>
    <w:rsid w:val="003B2525"/>
    <w:rsid w:val="003B2556"/>
    <w:rsid w:val="003B256E"/>
    <w:rsid w:val="003B26E8"/>
    <w:rsid w:val="003B2730"/>
    <w:rsid w:val="003B274E"/>
    <w:rsid w:val="003B2793"/>
    <w:rsid w:val="003B2825"/>
    <w:rsid w:val="003B28A2"/>
    <w:rsid w:val="003B2923"/>
    <w:rsid w:val="003B29F0"/>
    <w:rsid w:val="003B2ABB"/>
    <w:rsid w:val="003B2AC6"/>
    <w:rsid w:val="003B2D31"/>
    <w:rsid w:val="003B2D72"/>
    <w:rsid w:val="003B2D92"/>
    <w:rsid w:val="003B2DF0"/>
    <w:rsid w:val="003B2F81"/>
    <w:rsid w:val="003B2FFE"/>
    <w:rsid w:val="003B3030"/>
    <w:rsid w:val="003B31CB"/>
    <w:rsid w:val="003B31F5"/>
    <w:rsid w:val="003B3285"/>
    <w:rsid w:val="003B32C7"/>
    <w:rsid w:val="003B3558"/>
    <w:rsid w:val="003B3680"/>
    <w:rsid w:val="003B37FA"/>
    <w:rsid w:val="003B38D1"/>
    <w:rsid w:val="003B395B"/>
    <w:rsid w:val="003B39F4"/>
    <w:rsid w:val="003B3B7D"/>
    <w:rsid w:val="003B3C1F"/>
    <w:rsid w:val="003B3CAB"/>
    <w:rsid w:val="003B3D19"/>
    <w:rsid w:val="003B3D84"/>
    <w:rsid w:val="003B3D9F"/>
    <w:rsid w:val="003B3E14"/>
    <w:rsid w:val="003B3F0B"/>
    <w:rsid w:val="003B3FA2"/>
    <w:rsid w:val="003B405C"/>
    <w:rsid w:val="003B40E2"/>
    <w:rsid w:val="003B4119"/>
    <w:rsid w:val="003B4198"/>
    <w:rsid w:val="003B424C"/>
    <w:rsid w:val="003B43D4"/>
    <w:rsid w:val="003B43FD"/>
    <w:rsid w:val="003B4789"/>
    <w:rsid w:val="003B4803"/>
    <w:rsid w:val="003B480F"/>
    <w:rsid w:val="003B4891"/>
    <w:rsid w:val="003B48FE"/>
    <w:rsid w:val="003B4901"/>
    <w:rsid w:val="003B49C9"/>
    <w:rsid w:val="003B49D3"/>
    <w:rsid w:val="003B4A6F"/>
    <w:rsid w:val="003B4C53"/>
    <w:rsid w:val="003B4D09"/>
    <w:rsid w:val="003B4DD9"/>
    <w:rsid w:val="003B4E2D"/>
    <w:rsid w:val="003B4E47"/>
    <w:rsid w:val="003B4E90"/>
    <w:rsid w:val="003B4E9F"/>
    <w:rsid w:val="003B4EBF"/>
    <w:rsid w:val="003B4ED5"/>
    <w:rsid w:val="003B4FAF"/>
    <w:rsid w:val="003B5060"/>
    <w:rsid w:val="003B50A9"/>
    <w:rsid w:val="003B528E"/>
    <w:rsid w:val="003B529A"/>
    <w:rsid w:val="003B52B6"/>
    <w:rsid w:val="003B5315"/>
    <w:rsid w:val="003B5403"/>
    <w:rsid w:val="003B5486"/>
    <w:rsid w:val="003B549F"/>
    <w:rsid w:val="003B54CC"/>
    <w:rsid w:val="003B5554"/>
    <w:rsid w:val="003B5663"/>
    <w:rsid w:val="003B566A"/>
    <w:rsid w:val="003B5725"/>
    <w:rsid w:val="003B575D"/>
    <w:rsid w:val="003B57E2"/>
    <w:rsid w:val="003B57EF"/>
    <w:rsid w:val="003B5811"/>
    <w:rsid w:val="003B58FF"/>
    <w:rsid w:val="003B593A"/>
    <w:rsid w:val="003B59A1"/>
    <w:rsid w:val="003B5A2F"/>
    <w:rsid w:val="003B5ACE"/>
    <w:rsid w:val="003B5AD2"/>
    <w:rsid w:val="003B5B8D"/>
    <w:rsid w:val="003B5CA8"/>
    <w:rsid w:val="003B5CBB"/>
    <w:rsid w:val="003B5CBE"/>
    <w:rsid w:val="003B5D93"/>
    <w:rsid w:val="003B5DC7"/>
    <w:rsid w:val="003B5F82"/>
    <w:rsid w:val="003B6030"/>
    <w:rsid w:val="003B615E"/>
    <w:rsid w:val="003B64C1"/>
    <w:rsid w:val="003B659F"/>
    <w:rsid w:val="003B65C1"/>
    <w:rsid w:val="003B65D9"/>
    <w:rsid w:val="003B664E"/>
    <w:rsid w:val="003B667A"/>
    <w:rsid w:val="003B66B1"/>
    <w:rsid w:val="003B674A"/>
    <w:rsid w:val="003B6801"/>
    <w:rsid w:val="003B68C3"/>
    <w:rsid w:val="003B696A"/>
    <w:rsid w:val="003B6983"/>
    <w:rsid w:val="003B6A2B"/>
    <w:rsid w:val="003B6AF3"/>
    <w:rsid w:val="003B6BE3"/>
    <w:rsid w:val="003B6C44"/>
    <w:rsid w:val="003B6D78"/>
    <w:rsid w:val="003B6D7B"/>
    <w:rsid w:val="003B6DFB"/>
    <w:rsid w:val="003B6E3B"/>
    <w:rsid w:val="003B6FB9"/>
    <w:rsid w:val="003B6FBB"/>
    <w:rsid w:val="003B71E0"/>
    <w:rsid w:val="003B7232"/>
    <w:rsid w:val="003B7280"/>
    <w:rsid w:val="003B729D"/>
    <w:rsid w:val="003B748C"/>
    <w:rsid w:val="003B74B6"/>
    <w:rsid w:val="003B7553"/>
    <w:rsid w:val="003B7571"/>
    <w:rsid w:val="003B759B"/>
    <w:rsid w:val="003B75FE"/>
    <w:rsid w:val="003B76EF"/>
    <w:rsid w:val="003B78F8"/>
    <w:rsid w:val="003B79BD"/>
    <w:rsid w:val="003B79CB"/>
    <w:rsid w:val="003B7AEF"/>
    <w:rsid w:val="003B7B98"/>
    <w:rsid w:val="003B7C3D"/>
    <w:rsid w:val="003B7D48"/>
    <w:rsid w:val="003B7D4B"/>
    <w:rsid w:val="003B7D57"/>
    <w:rsid w:val="003B7D8C"/>
    <w:rsid w:val="003B7EAA"/>
    <w:rsid w:val="003C0081"/>
    <w:rsid w:val="003C0183"/>
    <w:rsid w:val="003C0278"/>
    <w:rsid w:val="003C02DB"/>
    <w:rsid w:val="003C038C"/>
    <w:rsid w:val="003C041F"/>
    <w:rsid w:val="003C04A7"/>
    <w:rsid w:val="003C04F3"/>
    <w:rsid w:val="003C0669"/>
    <w:rsid w:val="003C067F"/>
    <w:rsid w:val="003C070B"/>
    <w:rsid w:val="003C07AB"/>
    <w:rsid w:val="003C07D3"/>
    <w:rsid w:val="003C0835"/>
    <w:rsid w:val="003C0845"/>
    <w:rsid w:val="003C0911"/>
    <w:rsid w:val="003C0930"/>
    <w:rsid w:val="003C0CAB"/>
    <w:rsid w:val="003C0CB0"/>
    <w:rsid w:val="003C0DDE"/>
    <w:rsid w:val="003C0E87"/>
    <w:rsid w:val="003C0EF9"/>
    <w:rsid w:val="003C0FDA"/>
    <w:rsid w:val="003C10F5"/>
    <w:rsid w:val="003C113F"/>
    <w:rsid w:val="003C11F2"/>
    <w:rsid w:val="003C11FD"/>
    <w:rsid w:val="003C1253"/>
    <w:rsid w:val="003C127D"/>
    <w:rsid w:val="003C1280"/>
    <w:rsid w:val="003C142F"/>
    <w:rsid w:val="003C1485"/>
    <w:rsid w:val="003C15A0"/>
    <w:rsid w:val="003C1610"/>
    <w:rsid w:val="003C1623"/>
    <w:rsid w:val="003C1638"/>
    <w:rsid w:val="003C1697"/>
    <w:rsid w:val="003C16D9"/>
    <w:rsid w:val="003C170B"/>
    <w:rsid w:val="003C1710"/>
    <w:rsid w:val="003C1843"/>
    <w:rsid w:val="003C186A"/>
    <w:rsid w:val="003C1A1C"/>
    <w:rsid w:val="003C1A21"/>
    <w:rsid w:val="003C1A86"/>
    <w:rsid w:val="003C1B8A"/>
    <w:rsid w:val="003C1C3B"/>
    <w:rsid w:val="003C1C7D"/>
    <w:rsid w:val="003C1C8D"/>
    <w:rsid w:val="003C1CE5"/>
    <w:rsid w:val="003C1CF5"/>
    <w:rsid w:val="003C1D6C"/>
    <w:rsid w:val="003C20CE"/>
    <w:rsid w:val="003C2251"/>
    <w:rsid w:val="003C2260"/>
    <w:rsid w:val="003C2294"/>
    <w:rsid w:val="003C231C"/>
    <w:rsid w:val="003C2446"/>
    <w:rsid w:val="003C26EB"/>
    <w:rsid w:val="003C2723"/>
    <w:rsid w:val="003C27BF"/>
    <w:rsid w:val="003C2835"/>
    <w:rsid w:val="003C2A29"/>
    <w:rsid w:val="003C2B09"/>
    <w:rsid w:val="003C2B2D"/>
    <w:rsid w:val="003C2B5B"/>
    <w:rsid w:val="003C2BA2"/>
    <w:rsid w:val="003C2BA8"/>
    <w:rsid w:val="003C2BCF"/>
    <w:rsid w:val="003C2C31"/>
    <w:rsid w:val="003C2C68"/>
    <w:rsid w:val="003C2CB7"/>
    <w:rsid w:val="003C2D78"/>
    <w:rsid w:val="003C2E08"/>
    <w:rsid w:val="003C2EAD"/>
    <w:rsid w:val="003C2F2A"/>
    <w:rsid w:val="003C307F"/>
    <w:rsid w:val="003C3147"/>
    <w:rsid w:val="003C322C"/>
    <w:rsid w:val="003C3424"/>
    <w:rsid w:val="003C351D"/>
    <w:rsid w:val="003C35CA"/>
    <w:rsid w:val="003C36CF"/>
    <w:rsid w:val="003C384D"/>
    <w:rsid w:val="003C385E"/>
    <w:rsid w:val="003C3880"/>
    <w:rsid w:val="003C38AE"/>
    <w:rsid w:val="003C3943"/>
    <w:rsid w:val="003C39FB"/>
    <w:rsid w:val="003C3A5C"/>
    <w:rsid w:val="003C3AC1"/>
    <w:rsid w:val="003C3AC9"/>
    <w:rsid w:val="003C3AD4"/>
    <w:rsid w:val="003C3B66"/>
    <w:rsid w:val="003C3C8B"/>
    <w:rsid w:val="003C3DC2"/>
    <w:rsid w:val="003C3E2B"/>
    <w:rsid w:val="003C3F73"/>
    <w:rsid w:val="003C3F7E"/>
    <w:rsid w:val="003C41FF"/>
    <w:rsid w:val="003C4339"/>
    <w:rsid w:val="003C434B"/>
    <w:rsid w:val="003C437A"/>
    <w:rsid w:val="003C43A3"/>
    <w:rsid w:val="003C43ED"/>
    <w:rsid w:val="003C4435"/>
    <w:rsid w:val="003C4450"/>
    <w:rsid w:val="003C464E"/>
    <w:rsid w:val="003C46BC"/>
    <w:rsid w:val="003C47CF"/>
    <w:rsid w:val="003C483A"/>
    <w:rsid w:val="003C4894"/>
    <w:rsid w:val="003C48A4"/>
    <w:rsid w:val="003C48AD"/>
    <w:rsid w:val="003C49A0"/>
    <w:rsid w:val="003C4AC9"/>
    <w:rsid w:val="003C4AEC"/>
    <w:rsid w:val="003C4BA4"/>
    <w:rsid w:val="003C4C89"/>
    <w:rsid w:val="003C4D1A"/>
    <w:rsid w:val="003C4DD6"/>
    <w:rsid w:val="003C4DE2"/>
    <w:rsid w:val="003C4DF2"/>
    <w:rsid w:val="003C4DFB"/>
    <w:rsid w:val="003C4EA5"/>
    <w:rsid w:val="003C4EE8"/>
    <w:rsid w:val="003C4F5D"/>
    <w:rsid w:val="003C5088"/>
    <w:rsid w:val="003C5176"/>
    <w:rsid w:val="003C5189"/>
    <w:rsid w:val="003C5196"/>
    <w:rsid w:val="003C51ED"/>
    <w:rsid w:val="003C527A"/>
    <w:rsid w:val="003C52B7"/>
    <w:rsid w:val="003C53AD"/>
    <w:rsid w:val="003C53B4"/>
    <w:rsid w:val="003C53DE"/>
    <w:rsid w:val="003C54DE"/>
    <w:rsid w:val="003C5619"/>
    <w:rsid w:val="003C574C"/>
    <w:rsid w:val="003C5937"/>
    <w:rsid w:val="003C5999"/>
    <w:rsid w:val="003C5B93"/>
    <w:rsid w:val="003C5C7E"/>
    <w:rsid w:val="003C5D62"/>
    <w:rsid w:val="003C5ECC"/>
    <w:rsid w:val="003C5ED0"/>
    <w:rsid w:val="003C5F66"/>
    <w:rsid w:val="003C5FD4"/>
    <w:rsid w:val="003C602A"/>
    <w:rsid w:val="003C60AE"/>
    <w:rsid w:val="003C61B8"/>
    <w:rsid w:val="003C6333"/>
    <w:rsid w:val="003C6343"/>
    <w:rsid w:val="003C636C"/>
    <w:rsid w:val="003C63DA"/>
    <w:rsid w:val="003C640A"/>
    <w:rsid w:val="003C64BA"/>
    <w:rsid w:val="003C652F"/>
    <w:rsid w:val="003C65A2"/>
    <w:rsid w:val="003C6782"/>
    <w:rsid w:val="003C67B1"/>
    <w:rsid w:val="003C67E0"/>
    <w:rsid w:val="003C6803"/>
    <w:rsid w:val="003C69B1"/>
    <w:rsid w:val="003C6A7E"/>
    <w:rsid w:val="003C6AB8"/>
    <w:rsid w:val="003C6B01"/>
    <w:rsid w:val="003C6B19"/>
    <w:rsid w:val="003C6BCE"/>
    <w:rsid w:val="003C6C55"/>
    <w:rsid w:val="003C6DF3"/>
    <w:rsid w:val="003C6F9A"/>
    <w:rsid w:val="003C7089"/>
    <w:rsid w:val="003C70BF"/>
    <w:rsid w:val="003C70CE"/>
    <w:rsid w:val="003C70D0"/>
    <w:rsid w:val="003C7160"/>
    <w:rsid w:val="003C718D"/>
    <w:rsid w:val="003C7250"/>
    <w:rsid w:val="003C729A"/>
    <w:rsid w:val="003C735F"/>
    <w:rsid w:val="003C74C4"/>
    <w:rsid w:val="003C752F"/>
    <w:rsid w:val="003C7683"/>
    <w:rsid w:val="003C76B4"/>
    <w:rsid w:val="003C76E8"/>
    <w:rsid w:val="003C76F6"/>
    <w:rsid w:val="003C77A5"/>
    <w:rsid w:val="003C77C1"/>
    <w:rsid w:val="003C79D1"/>
    <w:rsid w:val="003C7B6A"/>
    <w:rsid w:val="003C7BCD"/>
    <w:rsid w:val="003C7BEB"/>
    <w:rsid w:val="003C7C20"/>
    <w:rsid w:val="003C7CFC"/>
    <w:rsid w:val="003C7D07"/>
    <w:rsid w:val="003C7D7A"/>
    <w:rsid w:val="003D008F"/>
    <w:rsid w:val="003D00EA"/>
    <w:rsid w:val="003D0143"/>
    <w:rsid w:val="003D0170"/>
    <w:rsid w:val="003D0213"/>
    <w:rsid w:val="003D0273"/>
    <w:rsid w:val="003D02C9"/>
    <w:rsid w:val="003D0582"/>
    <w:rsid w:val="003D0669"/>
    <w:rsid w:val="003D071C"/>
    <w:rsid w:val="003D07B1"/>
    <w:rsid w:val="003D08DE"/>
    <w:rsid w:val="003D0ACB"/>
    <w:rsid w:val="003D0B8C"/>
    <w:rsid w:val="003D0D22"/>
    <w:rsid w:val="003D0E63"/>
    <w:rsid w:val="003D0EBD"/>
    <w:rsid w:val="003D0FC6"/>
    <w:rsid w:val="003D11D3"/>
    <w:rsid w:val="003D138F"/>
    <w:rsid w:val="003D13C0"/>
    <w:rsid w:val="003D13D7"/>
    <w:rsid w:val="003D14EE"/>
    <w:rsid w:val="003D157D"/>
    <w:rsid w:val="003D16D1"/>
    <w:rsid w:val="003D17F5"/>
    <w:rsid w:val="003D195B"/>
    <w:rsid w:val="003D1A02"/>
    <w:rsid w:val="003D1A82"/>
    <w:rsid w:val="003D1C27"/>
    <w:rsid w:val="003D1D1C"/>
    <w:rsid w:val="003D1D79"/>
    <w:rsid w:val="003D1DC0"/>
    <w:rsid w:val="003D1F0F"/>
    <w:rsid w:val="003D1F52"/>
    <w:rsid w:val="003D1FCC"/>
    <w:rsid w:val="003D20AC"/>
    <w:rsid w:val="003D20E7"/>
    <w:rsid w:val="003D2180"/>
    <w:rsid w:val="003D2395"/>
    <w:rsid w:val="003D24DC"/>
    <w:rsid w:val="003D24FF"/>
    <w:rsid w:val="003D252F"/>
    <w:rsid w:val="003D2689"/>
    <w:rsid w:val="003D26C0"/>
    <w:rsid w:val="003D2869"/>
    <w:rsid w:val="003D298B"/>
    <w:rsid w:val="003D29AC"/>
    <w:rsid w:val="003D29CD"/>
    <w:rsid w:val="003D29D6"/>
    <w:rsid w:val="003D29F0"/>
    <w:rsid w:val="003D2A4F"/>
    <w:rsid w:val="003D2C0D"/>
    <w:rsid w:val="003D2C8B"/>
    <w:rsid w:val="003D2CFD"/>
    <w:rsid w:val="003D2E93"/>
    <w:rsid w:val="003D2F86"/>
    <w:rsid w:val="003D3041"/>
    <w:rsid w:val="003D3049"/>
    <w:rsid w:val="003D3115"/>
    <w:rsid w:val="003D3146"/>
    <w:rsid w:val="003D315C"/>
    <w:rsid w:val="003D3192"/>
    <w:rsid w:val="003D3248"/>
    <w:rsid w:val="003D325E"/>
    <w:rsid w:val="003D3272"/>
    <w:rsid w:val="003D33BC"/>
    <w:rsid w:val="003D33FA"/>
    <w:rsid w:val="003D33FF"/>
    <w:rsid w:val="003D3406"/>
    <w:rsid w:val="003D3569"/>
    <w:rsid w:val="003D3618"/>
    <w:rsid w:val="003D3633"/>
    <w:rsid w:val="003D36D3"/>
    <w:rsid w:val="003D3707"/>
    <w:rsid w:val="003D3782"/>
    <w:rsid w:val="003D3813"/>
    <w:rsid w:val="003D3864"/>
    <w:rsid w:val="003D3903"/>
    <w:rsid w:val="003D39AC"/>
    <w:rsid w:val="003D3AE7"/>
    <w:rsid w:val="003D3B04"/>
    <w:rsid w:val="003D3B19"/>
    <w:rsid w:val="003D3B1A"/>
    <w:rsid w:val="003D3B88"/>
    <w:rsid w:val="003D3C7C"/>
    <w:rsid w:val="003D3C81"/>
    <w:rsid w:val="003D3D90"/>
    <w:rsid w:val="003D3DAC"/>
    <w:rsid w:val="003D3F27"/>
    <w:rsid w:val="003D3F4D"/>
    <w:rsid w:val="003D3F4E"/>
    <w:rsid w:val="003D4013"/>
    <w:rsid w:val="003D41B7"/>
    <w:rsid w:val="003D42CC"/>
    <w:rsid w:val="003D4334"/>
    <w:rsid w:val="003D43D8"/>
    <w:rsid w:val="003D43F8"/>
    <w:rsid w:val="003D46C9"/>
    <w:rsid w:val="003D47BE"/>
    <w:rsid w:val="003D47E1"/>
    <w:rsid w:val="003D48A1"/>
    <w:rsid w:val="003D49AF"/>
    <w:rsid w:val="003D4BA6"/>
    <w:rsid w:val="003D4C25"/>
    <w:rsid w:val="003D4D49"/>
    <w:rsid w:val="003D4D7C"/>
    <w:rsid w:val="003D4DC2"/>
    <w:rsid w:val="003D4E58"/>
    <w:rsid w:val="003D4FAC"/>
    <w:rsid w:val="003D4FC2"/>
    <w:rsid w:val="003D5022"/>
    <w:rsid w:val="003D507A"/>
    <w:rsid w:val="003D521A"/>
    <w:rsid w:val="003D5229"/>
    <w:rsid w:val="003D5572"/>
    <w:rsid w:val="003D559F"/>
    <w:rsid w:val="003D55A8"/>
    <w:rsid w:val="003D56D1"/>
    <w:rsid w:val="003D576F"/>
    <w:rsid w:val="003D595B"/>
    <w:rsid w:val="003D59BB"/>
    <w:rsid w:val="003D59E2"/>
    <w:rsid w:val="003D5A00"/>
    <w:rsid w:val="003D5A07"/>
    <w:rsid w:val="003D5B87"/>
    <w:rsid w:val="003D5BA1"/>
    <w:rsid w:val="003D5C31"/>
    <w:rsid w:val="003D5CB4"/>
    <w:rsid w:val="003D5E03"/>
    <w:rsid w:val="003D5E68"/>
    <w:rsid w:val="003D5FA5"/>
    <w:rsid w:val="003D603F"/>
    <w:rsid w:val="003D605F"/>
    <w:rsid w:val="003D60AC"/>
    <w:rsid w:val="003D60BE"/>
    <w:rsid w:val="003D6138"/>
    <w:rsid w:val="003D6253"/>
    <w:rsid w:val="003D64D6"/>
    <w:rsid w:val="003D64FB"/>
    <w:rsid w:val="003D654F"/>
    <w:rsid w:val="003D6644"/>
    <w:rsid w:val="003D6700"/>
    <w:rsid w:val="003D6A99"/>
    <w:rsid w:val="003D6AB8"/>
    <w:rsid w:val="003D6B01"/>
    <w:rsid w:val="003D6BAB"/>
    <w:rsid w:val="003D6C9E"/>
    <w:rsid w:val="003D6D77"/>
    <w:rsid w:val="003D6E23"/>
    <w:rsid w:val="003D6E64"/>
    <w:rsid w:val="003D6ED4"/>
    <w:rsid w:val="003D6F6A"/>
    <w:rsid w:val="003D6FDD"/>
    <w:rsid w:val="003D7017"/>
    <w:rsid w:val="003D7056"/>
    <w:rsid w:val="003D70A5"/>
    <w:rsid w:val="003D7164"/>
    <w:rsid w:val="003D72EC"/>
    <w:rsid w:val="003D742C"/>
    <w:rsid w:val="003D7457"/>
    <w:rsid w:val="003D74C2"/>
    <w:rsid w:val="003D7684"/>
    <w:rsid w:val="003D7768"/>
    <w:rsid w:val="003D77EA"/>
    <w:rsid w:val="003D7822"/>
    <w:rsid w:val="003D78D7"/>
    <w:rsid w:val="003D78F3"/>
    <w:rsid w:val="003D7B18"/>
    <w:rsid w:val="003D7C61"/>
    <w:rsid w:val="003D7C68"/>
    <w:rsid w:val="003D7C93"/>
    <w:rsid w:val="003D7DBC"/>
    <w:rsid w:val="003D7FBF"/>
    <w:rsid w:val="003E0060"/>
    <w:rsid w:val="003E0334"/>
    <w:rsid w:val="003E0376"/>
    <w:rsid w:val="003E0390"/>
    <w:rsid w:val="003E03BA"/>
    <w:rsid w:val="003E03D9"/>
    <w:rsid w:val="003E03DE"/>
    <w:rsid w:val="003E0411"/>
    <w:rsid w:val="003E04C8"/>
    <w:rsid w:val="003E056B"/>
    <w:rsid w:val="003E057B"/>
    <w:rsid w:val="003E05FA"/>
    <w:rsid w:val="003E0695"/>
    <w:rsid w:val="003E06C1"/>
    <w:rsid w:val="003E06D1"/>
    <w:rsid w:val="003E079A"/>
    <w:rsid w:val="003E07FD"/>
    <w:rsid w:val="003E09B9"/>
    <w:rsid w:val="003E09BF"/>
    <w:rsid w:val="003E0A8D"/>
    <w:rsid w:val="003E0B76"/>
    <w:rsid w:val="003E0BAC"/>
    <w:rsid w:val="003E0C30"/>
    <w:rsid w:val="003E0CD3"/>
    <w:rsid w:val="003E0E1C"/>
    <w:rsid w:val="003E0EA4"/>
    <w:rsid w:val="003E0EF3"/>
    <w:rsid w:val="003E10D0"/>
    <w:rsid w:val="003E1142"/>
    <w:rsid w:val="003E1352"/>
    <w:rsid w:val="003E1397"/>
    <w:rsid w:val="003E13E5"/>
    <w:rsid w:val="003E1422"/>
    <w:rsid w:val="003E142D"/>
    <w:rsid w:val="003E164D"/>
    <w:rsid w:val="003E1740"/>
    <w:rsid w:val="003E177D"/>
    <w:rsid w:val="003E17AD"/>
    <w:rsid w:val="003E1876"/>
    <w:rsid w:val="003E1894"/>
    <w:rsid w:val="003E18D7"/>
    <w:rsid w:val="003E1A2D"/>
    <w:rsid w:val="003E1B15"/>
    <w:rsid w:val="003E1B22"/>
    <w:rsid w:val="003E1CC6"/>
    <w:rsid w:val="003E1D6C"/>
    <w:rsid w:val="003E1D93"/>
    <w:rsid w:val="003E1E3F"/>
    <w:rsid w:val="003E1EAB"/>
    <w:rsid w:val="003E1FF2"/>
    <w:rsid w:val="003E2029"/>
    <w:rsid w:val="003E239E"/>
    <w:rsid w:val="003E23B6"/>
    <w:rsid w:val="003E23BC"/>
    <w:rsid w:val="003E2463"/>
    <w:rsid w:val="003E246E"/>
    <w:rsid w:val="003E285B"/>
    <w:rsid w:val="003E28D2"/>
    <w:rsid w:val="003E298F"/>
    <w:rsid w:val="003E29BF"/>
    <w:rsid w:val="003E29D9"/>
    <w:rsid w:val="003E2A0E"/>
    <w:rsid w:val="003E2A11"/>
    <w:rsid w:val="003E2B01"/>
    <w:rsid w:val="003E2B4D"/>
    <w:rsid w:val="003E2BA1"/>
    <w:rsid w:val="003E2BF9"/>
    <w:rsid w:val="003E2BFD"/>
    <w:rsid w:val="003E2CDD"/>
    <w:rsid w:val="003E2ED8"/>
    <w:rsid w:val="003E2EF1"/>
    <w:rsid w:val="003E2F9E"/>
    <w:rsid w:val="003E3073"/>
    <w:rsid w:val="003E310A"/>
    <w:rsid w:val="003E313C"/>
    <w:rsid w:val="003E32F4"/>
    <w:rsid w:val="003E342A"/>
    <w:rsid w:val="003E3503"/>
    <w:rsid w:val="003E37E5"/>
    <w:rsid w:val="003E3852"/>
    <w:rsid w:val="003E385C"/>
    <w:rsid w:val="003E39D5"/>
    <w:rsid w:val="003E3B70"/>
    <w:rsid w:val="003E3C9A"/>
    <w:rsid w:val="003E3E04"/>
    <w:rsid w:val="003E3E41"/>
    <w:rsid w:val="003E3E68"/>
    <w:rsid w:val="003E3EB5"/>
    <w:rsid w:val="003E3EE4"/>
    <w:rsid w:val="003E3F59"/>
    <w:rsid w:val="003E3FE1"/>
    <w:rsid w:val="003E4085"/>
    <w:rsid w:val="003E4146"/>
    <w:rsid w:val="003E4181"/>
    <w:rsid w:val="003E41A6"/>
    <w:rsid w:val="003E41F6"/>
    <w:rsid w:val="003E43EE"/>
    <w:rsid w:val="003E4500"/>
    <w:rsid w:val="003E4584"/>
    <w:rsid w:val="003E4736"/>
    <w:rsid w:val="003E496E"/>
    <w:rsid w:val="003E4998"/>
    <w:rsid w:val="003E4AB4"/>
    <w:rsid w:val="003E4AC5"/>
    <w:rsid w:val="003E4C22"/>
    <w:rsid w:val="003E4C4F"/>
    <w:rsid w:val="003E4C8B"/>
    <w:rsid w:val="003E4DC4"/>
    <w:rsid w:val="003E4F1D"/>
    <w:rsid w:val="003E4FBF"/>
    <w:rsid w:val="003E5073"/>
    <w:rsid w:val="003E509A"/>
    <w:rsid w:val="003E50FA"/>
    <w:rsid w:val="003E512B"/>
    <w:rsid w:val="003E520E"/>
    <w:rsid w:val="003E5272"/>
    <w:rsid w:val="003E5358"/>
    <w:rsid w:val="003E53E0"/>
    <w:rsid w:val="003E53E9"/>
    <w:rsid w:val="003E53F4"/>
    <w:rsid w:val="003E5493"/>
    <w:rsid w:val="003E5506"/>
    <w:rsid w:val="003E555F"/>
    <w:rsid w:val="003E5586"/>
    <w:rsid w:val="003E55E7"/>
    <w:rsid w:val="003E55F8"/>
    <w:rsid w:val="003E564E"/>
    <w:rsid w:val="003E56A2"/>
    <w:rsid w:val="003E57DF"/>
    <w:rsid w:val="003E5863"/>
    <w:rsid w:val="003E5921"/>
    <w:rsid w:val="003E596B"/>
    <w:rsid w:val="003E59E7"/>
    <w:rsid w:val="003E5C07"/>
    <w:rsid w:val="003E5C2C"/>
    <w:rsid w:val="003E5C80"/>
    <w:rsid w:val="003E5C83"/>
    <w:rsid w:val="003E5D17"/>
    <w:rsid w:val="003E5DA7"/>
    <w:rsid w:val="003E5ED8"/>
    <w:rsid w:val="003E5FC2"/>
    <w:rsid w:val="003E5FFC"/>
    <w:rsid w:val="003E6037"/>
    <w:rsid w:val="003E6294"/>
    <w:rsid w:val="003E63CA"/>
    <w:rsid w:val="003E6447"/>
    <w:rsid w:val="003E6468"/>
    <w:rsid w:val="003E649B"/>
    <w:rsid w:val="003E653C"/>
    <w:rsid w:val="003E654D"/>
    <w:rsid w:val="003E654E"/>
    <w:rsid w:val="003E65B3"/>
    <w:rsid w:val="003E675F"/>
    <w:rsid w:val="003E6836"/>
    <w:rsid w:val="003E683A"/>
    <w:rsid w:val="003E685C"/>
    <w:rsid w:val="003E6899"/>
    <w:rsid w:val="003E689C"/>
    <w:rsid w:val="003E6A24"/>
    <w:rsid w:val="003E6A92"/>
    <w:rsid w:val="003E6A9A"/>
    <w:rsid w:val="003E6AF0"/>
    <w:rsid w:val="003E6B1B"/>
    <w:rsid w:val="003E6C73"/>
    <w:rsid w:val="003E6CE6"/>
    <w:rsid w:val="003E6D63"/>
    <w:rsid w:val="003E6E34"/>
    <w:rsid w:val="003E71B4"/>
    <w:rsid w:val="003E7234"/>
    <w:rsid w:val="003E7389"/>
    <w:rsid w:val="003E73A0"/>
    <w:rsid w:val="003E7458"/>
    <w:rsid w:val="003E7483"/>
    <w:rsid w:val="003E75AC"/>
    <w:rsid w:val="003E7613"/>
    <w:rsid w:val="003E761C"/>
    <w:rsid w:val="003E767C"/>
    <w:rsid w:val="003E76BF"/>
    <w:rsid w:val="003E779B"/>
    <w:rsid w:val="003E779C"/>
    <w:rsid w:val="003E77C2"/>
    <w:rsid w:val="003E78C6"/>
    <w:rsid w:val="003E78FD"/>
    <w:rsid w:val="003E79F1"/>
    <w:rsid w:val="003E7B0D"/>
    <w:rsid w:val="003E7BED"/>
    <w:rsid w:val="003E7C37"/>
    <w:rsid w:val="003E7D31"/>
    <w:rsid w:val="003E7D84"/>
    <w:rsid w:val="003E7E33"/>
    <w:rsid w:val="003E7E3A"/>
    <w:rsid w:val="003E7F45"/>
    <w:rsid w:val="003E7F5C"/>
    <w:rsid w:val="003E7F66"/>
    <w:rsid w:val="003E7FD2"/>
    <w:rsid w:val="003E7FDC"/>
    <w:rsid w:val="003F002F"/>
    <w:rsid w:val="003F003B"/>
    <w:rsid w:val="003F00CE"/>
    <w:rsid w:val="003F00F8"/>
    <w:rsid w:val="003F0296"/>
    <w:rsid w:val="003F03BE"/>
    <w:rsid w:val="003F03C4"/>
    <w:rsid w:val="003F03F5"/>
    <w:rsid w:val="003F0430"/>
    <w:rsid w:val="003F046D"/>
    <w:rsid w:val="003F04DC"/>
    <w:rsid w:val="003F0570"/>
    <w:rsid w:val="003F05E8"/>
    <w:rsid w:val="003F065C"/>
    <w:rsid w:val="003F07B4"/>
    <w:rsid w:val="003F07C7"/>
    <w:rsid w:val="003F07CD"/>
    <w:rsid w:val="003F0935"/>
    <w:rsid w:val="003F0B15"/>
    <w:rsid w:val="003F0B8B"/>
    <w:rsid w:val="003F0CF0"/>
    <w:rsid w:val="003F0D2E"/>
    <w:rsid w:val="003F0E45"/>
    <w:rsid w:val="003F0E46"/>
    <w:rsid w:val="003F0EC3"/>
    <w:rsid w:val="003F0FA3"/>
    <w:rsid w:val="003F1077"/>
    <w:rsid w:val="003F10BC"/>
    <w:rsid w:val="003F11DC"/>
    <w:rsid w:val="003F1379"/>
    <w:rsid w:val="003F139B"/>
    <w:rsid w:val="003F13C3"/>
    <w:rsid w:val="003F13EC"/>
    <w:rsid w:val="003F1499"/>
    <w:rsid w:val="003F1503"/>
    <w:rsid w:val="003F1541"/>
    <w:rsid w:val="003F1547"/>
    <w:rsid w:val="003F15A2"/>
    <w:rsid w:val="003F15C9"/>
    <w:rsid w:val="003F1880"/>
    <w:rsid w:val="003F18E2"/>
    <w:rsid w:val="003F1985"/>
    <w:rsid w:val="003F1A06"/>
    <w:rsid w:val="003F1A6C"/>
    <w:rsid w:val="003F1A6F"/>
    <w:rsid w:val="003F1ACE"/>
    <w:rsid w:val="003F1C85"/>
    <w:rsid w:val="003F1D4C"/>
    <w:rsid w:val="003F1ECD"/>
    <w:rsid w:val="003F2015"/>
    <w:rsid w:val="003F205B"/>
    <w:rsid w:val="003F208A"/>
    <w:rsid w:val="003F21B7"/>
    <w:rsid w:val="003F21D0"/>
    <w:rsid w:val="003F220F"/>
    <w:rsid w:val="003F227C"/>
    <w:rsid w:val="003F239B"/>
    <w:rsid w:val="003F23CE"/>
    <w:rsid w:val="003F2427"/>
    <w:rsid w:val="003F247A"/>
    <w:rsid w:val="003F24BD"/>
    <w:rsid w:val="003F2685"/>
    <w:rsid w:val="003F2706"/>
    <w:rsid w:val="003F276C"/>
    <w:rsid w:val="003F284B"/>
    <w:rsid w:val="003F287F"/>
    <w:rsid w:val="003F296A"/>
    <w:rsid w:val="003F2A7E"/>
    <w:rsid w:val="003F2A89"/>
    <w:rsid w:val="003F2B10"/>
    <w:rsid w:val="003F2B33"/>
    <w:rsid w:val="003F2B63"/>
    <w:rsid w:val="003F2B93"/>
    <w:rsid w:val="003F2CC4"/>
    <w:rsid w:val="003F2EB2"/>
    <w:rsid w:val="003F2EFA"/>
    <w:rsid w:val="003F317B"/>
    <w:rsid w:val="003F3213"/>
    <w:rsid w:val="003F3299"/>
    <w:rsid w:val="003F3357"/>
    <w:rsid w:val="003F3379"/>
    <w:rsid w:val="003F33C8"/>
    <w:rsid w:val="003F3402"/>
    <w:rsid w:val="003F3446"/>
    <w:rsid w:val="003F3502"/>
    <w:rsid w:val="003F35D2"/>
    <w:rsid w:val="003F3633"/>
    <w:rsid w:val="003F369B"/>
    <w:rsid w:val="003F36E4"/>
    <w:rsid w:val="003F37B4"/>
    <w:rsid w:val="003F37B9"/>
    <w:rsid w:val="003F37D9"/>
    <w:rsid w:val="003F39CD"/>
    <w:rsid w:val="003F39D1"/>
    <w:rsid w:val="003F3A48"/>
    <w:rsid w:val="003F3ACE"/>
    <w:rsid w:val="003F3AD5"/>
    <w:rsid w:val="003F3B2D"/>
    <w:rsid w:val="003F3B9D"/>
    <w:rsid w:val="003F3C9D"/>
    <w:rsid w:val="003F3CBB"/>
    <w:rsid w:val="003F3D6E"/>
    <w:rsid w:val="003F3DE6"/>
    <w:rsid w:val="003F3F60"/>
    <w:rsid w:val="003F3F62"/>
    <w:rsid w:val="003F4074"/>
    <w:rsid w:val="003F4091"/>
    <w:rsid w:val="003F411B"/>
    <w:rsid w:val="003F41B3"/>
    <w:rsid w:val="003F43E0"/>
    <w:rsid w:val="003F4433"/>
    <w:rsid w:val="003F4480"/>
    <w:rsid w:val="003F44B8"/>
    <w:rsid w:val="003F44C5"/>
    <w:rsid w:val="003F4595"/>
    <w:rsid w:val="003F47C0"/>
    <w:rsid w:val="003F47C4"/>
    <w:rsid w:val="003F488B"/>
    <w:rsid w:val="003F4A5C"/>
    <w:rsid w:val="003F4BA2"/>
    <w:rsid w:val="003F4BFB"/>
    <w:rsid w:val="003F4C3C"/>
    <w:rsid w:val="003F4C4F"/>
    <w:rsid w:val="003F4CB4"/>
    <w:rsid w:val="003F4F3A"/>
    <w:rsid w:val="003F501B"/>
    <w:rsid w:val="003F5216"/>
    <w:rsid w:val="003F5244"/>
    <w:rsid w:val="003F5282"/>
    <w:rsid w:val="003F5384"/>
    <w:rsid w:val="003F538F"/>
    <w:rsid w:val="003F5421"/>
    <w:rsid w:val="003F556F"/>
    <w:rsid w:val="003F55DB"/>
    <w:rsid w:val="003F55E8"/>
    <w:rsid w:val="003F567E"/>
    <w:rsid w:val="003F5698"/>
    <w:rsid w:val="003F5921"/>
    <w:rsid w:val="003F5936"/>
    <w:rsid w:val="003F598D"/>
    <w:rsid w:val="003F59F0"/>
    <w:rsid w:val="003F5A4B"/>
    <w:rsid w:val="003F5A5D"/>
    <w:rsid w:val="003F5BB1"/>
    <w:rsid w:val="003F5BC8"/>
    <w:rsid w:val="003F5BD9"/>
    <w:rsid w:val="003F5CBD"/>
    <w:rsid w:val="003F5D1B"/>
    <w:rsid w:val="003F5D64"/>
    <w:rsid w:val="003F5DE0"/>
    <w:rsid w:val="003F5DFB"/>
    <w:rsid w:val="003F5E79"/>
    <w:rsid w:val="003F5F23"/>
    <w:rsid w:val="003F5F2D"/>
    <w:rsid w:val="003F5FDC"/>
    <w:rsid w:val="003F60D6"/>
    <w:rsid w:val="003F6188"/>
    <w:rsid w:val="003F61AC"/>
    <w:rsid w:val="003F6205"/>
    <w:rsid w:val="003F625B"/>
    <w:rsid w:val="003F626D"/>
    <w:rsid w:val="003F62E6"/>
    <w:rsid w:val="003F637D"/>
    <w:rsid w:val="003F6501"/>
    <w:rsid w:val="003F6561"/>
    <w:rsid w:val="003F6580"/>
    <w:rsid w:val="003F6595"/>
    <w:rsid w:val="003F65A8"/>
    <w:rsid w:val="003F6721"/>
    <w:rsid w:val="003F6847"/>
    <w:rsid w:val="003F68E7"/>
    <w:rsid w:val="003F6929"/>
    <w:rsid w:val="003F6955"/>
    <w:rsid w:val="003F6994"/>
    <w:rsid w:val="003F6A37"/>
    <w:rsid w:val="003F6BB8"/>
    <w:rsid w:val="003F6BE0"/>
    <w:rsid w:val="003F6C18"/>
    <w:rsid w:val="003F6C9F"/>
    <w:rsid w:val="003F6D1A"/>
    <w:rsid w:val="003F6DBD"/>
    <w:rsid w:val="003F6E67"/>
    <w:rsid w:val="003F6EDB"/>
    <w:rsid w:val="003F6F04"/>
    <w:rsid w:val="003F6FED"/>
    <w:rsid w:val="003F713D"/>
    <w:rsid w:val="003F71CA"/>
    <w:rsid w:val="003F72A1"/>
    <w:rsid w:val="003F72B3"/>
    <w:rsid w:val="003F72DC"/>
    <w:rsid w:val="003F7371"/>
    <w:rsid w:val="003F7440"/>
    <w:rsid w:val="003F753E"/>
    <w:rsid w:val="003F76C9"/>
    <w:rsid w:val="003F7771"/>
    <w:rsid w:val="003F78AD"/>
    <w:rsid w:val="003F78D9"/>
    <w:rsid w:val="003F7933"/>
    <w:rsid w:val="003F79BE"/>
    <w:rsid w:val="003F79E8"/>
    <w:rsid w:val="003F79FF"/>
    <w:rsid w:val="003F7A8F"/>
    <w:rsid w:val="003F7AD8"/>
    <w:rsid w:val="003F7B36"/>
    <w:rsid w:val="003F7B7D"/>
    <w:rsid w:val="003F7C17"/>
    <w:rsid w:val="003F7C3A"/>
    <w:rsid w:val="003F7C3F"/>
    <w:rsid w:val="003F7CE6"/>
    <w:rsid w:val="003F7F4D"/>
    <w:rsid w:val="003F7FE9"/>
    <w:rsid w:val="003F7FF1"/>
    <w:rsid w:val="00400169"/>
    <w:rsid w:val="0040018B"/>
    <w:rsid w:val="0040020A"/>
    <w:rsid w:val="00400294"/>
    <w:rsid w:val="0040031A"/>
    <w:rsid w:val="0040031C"/>
    <w:rsid w:val="00400366"/>
    <w:rsid w:val="00400417"/>
    <w:rsid w:val="00400713"/>
    <w:rsid w:val="00400784"/>
    <w:rsid w:val="00400814"/>
    <w:rsid w:val="00400827"/>
    <w:rsid w:val="004008DC"/>
    <w:rsid w:val="004008EE"/>
    <w:rsid w:val="00400A00"/>
    <w:rsid w:val="00400A79"/>
    <w:rsid w:val="00400A7D"/>
    <w:rsid w:val="00400B58"/>
    <w:rsid w:val="00400B8D"/>
    <w:rsid w:val="00400BAC"/>
    <w:rsid w:val="00400C32"/>
    <w:rsid w:val="00400CE6"/>
    <w:rsid w:val="00400D68"/>
    <w:rsid w:val="00400D6A"/>
    <w:rsid w:val="00400DDB"/>
    <w:rsid w:val="00400E73"/>
    <w:rsid w:val="00400F4F"/>
    <w:rsid w:val="00401035"/>
    <w:rsid w:val="004010E4"/>
    <w:rsid w:val="00401128"/>
    <w:rsid w:val="00401247"/>
    <w:rsid w:val="00401250"/>
    <w:rsid w:val="00401254"/>
    <w:rsid w:val="004012A0"/>
    <w:rsid w:val="004012B3"/>
    <w:rsid w:val="004012F2"/>
    <w:rsid w:val="0040130D"/>
    <w:rsid w:val="00401322"/>
    <w:rsid w:val="004013D6"/>
    <w:rsid w:val="0040160F"/>
    <w:rsid w:val="00401677"/>
    <w:rsid w:val="00401789"/>
    <w:rsid w:val="0040179A"/>
    <w:rsid w:val="004017FB"/>
    <w:rsid w:val="004018BE"/>
    <w:rsid w:val="00401A08"/>
    <w:rsid w:val="00401A30"/>
    <w:rsid w:val="00401B95"/>
    <w:rsid w:val="00401C8C"/>
    <w:rsid w:val="004020A6"/>
    <w:rsid w:val="00402120"/>
    <w:rsid w:val="0040215C"/>
    <w:rsid w:val="00402174"/>
    <w:rsid w:val="00402191"/>
    <w:rsid w:val="00402217"/>
    <w:rsid w:val="0040221C"/>
    <w:rsid w:val="00402511"/>
    <w:rsid w:val="00402654"/>
    <w:rsid w:val="004027C4"/>
    <w:rsid w:val="00402881"/>
    <w:rsid w:val="00402925"/>
    <w:rsid w:val="00402977"/>
    <w:rsid w:val="00402A02"/>
    <w:rsid w:val="00402A46"/>
    <w:rsid w:val="00402A71"/>
    <w:rsid w:val="00402A75"/>
    <w:rsid w:val="00402B92"/>
    <w:rsid w:val="00402BB8"/>
    <w:rsid w:val="00402C09"/>
    <w:rsid w:val="00402C96"/>
    <w:rsid w:val="00402D0F"/>
    <w:rsid w:val="00402E06"/>
    <w:rsid w:val="00402E26"/>
    <w:rsid w:val="00402ED8"/>
    <w:rsid w:val="0040300F"/>
    <w:rsid w:val="00403085"/>
    <w:rsid w:val="004031BC"/>
    <w:rsid w:val="004031DF"/>
    <w:rsid w:val="004032AD"/>
    <w:rsid w:val="00403336"/>
    <w:rsid w:val="0040341E"/>
    <w:rsid w:val="00403517"/>
    <w:rsid w:val="0040357D"/>
    <w:rsid w:val="0040360A"/>
    <w:rsid w:val="004036CD"/>
    <w:rsid w:val="0040377E"/>
    <w:rsid w:val="004038F1"/>
    <w:rsid w:val="00403A32"/>
    <w:rsid w:val="00403A5C"/>
    <w:rsid w:val="00403AC7"/>
    <w:rsid w:val="00403B13"/>
    <w:rsid w:val="00403B42"/>
    <w:rsid w:val="00403B67"/>
    <w:rsid w:val="00403DAB"/>
    <w:rsid w:val="00403DB9"/>
    <w:rsid w:val="00403E74"/>
    <w:rsid w:val="00403EC9"/>
    <w:rsid w:val="00403F26"/>
    <w:rsid w:val="0040402C"/>
    <w:rsid w:val="004040E6"/>
    <w:rsid w:val="00404182"/>
    <w:rsid w:val="004041EF"/>
    <w:rsid w:val="004043EF"/>
    <w:rsid w:val="0040450D"/>
    <w:rsid w:val="00404540"/>
    <w:rsid w:val="004046E8"/>
    <w:rsid w:val="00404701"/>
    <w:rsid w:val="0040478B"/>
    <w:rsid w:val="004047A0"/>
    <w:rsid w:val="004047A3"/>
    <w:rsid w:val="004047BE"/>
    <w:rsid w:val="00404917"/>
    <w:rsid w:val="00404962"/>
    <w:rsid w:val="00404AF2"/>
    <w:rsid w:val="00404CF0"/>
    <w:rsid w:val="00404DE1"/>
    <w:rsid w:val="00404EB0"/>
    <w:rsid w:val="00404F5F"/>
    <w:rsid w:val="00404F69"/>
    <w:rsid w:val="00404FA2"/>
    <w:rsid w:val="00405039"/>
    <w:rsid w:val="00405051"/>
    <w:rsid w:val="00405204"/>
    <w:rsid w:val="0040520A"/>
    <w:rsid w:val="0040522D"/>
    <w:rsid w:val="00405408"/>
    <w:rsid w:val="00405474"/>
    <w:rsid w:val="0040551D"/>
    <w:rsid w:val="00405560"/>
    <w:rsid w:val="004055D2"/>
    <w:rsid w:val="00405621"/>
    <w:rsid w:val="0040564B"/>
    <w:rsid w:val="004056C2"/>
    <w:rsid w:val="00405792"/>
    <w:rsid w:val="00405797"/>
    <w:rsid w:val="00405824"/>
    <w:rsid w:val="00405A15"/>
    <w:rsid w:val="00405A3D"/>
    <w:rsid w:val="00405B4E"/>
    <w:rsid w:val="00405B70"/>
    <w:rsid w:val="00405CCE"/>
    <w:rsid w:val="00405DE7"/>
    <w:rsid w:val="00405F1C"/>
    <w:rsid w:val="00405FC1"/>
    <w:rsid w:val="00406044"/>
    <w:rsid w:val="0040618E"/>
    <w:rsid w:val="004063A8"/>
    <w:rsid w:val="0040648D"/>
    <w:rsid w:val="004064BB"/>
    <w:rsid w:val="004064E4"/>
    <w:rsid w:val="004064E9"/>
    <w:rsid w:val="004065F8"/>
    <w:rsid w:val="004066E0"/>
    <w:rsid w:val="00406854"/>
    <w:rsid w:val="004069DB"/>
    <w:rsid w:val="00406A71"/>
    <w:rsid w:val="00406A9F"/>
    <w:rsid w:val="00406B92"/>
    <w:rsid w:val="00406C7F"/>
    <w:rsid w:val="00406D1F"/>
    <w:rsid w:val="00406E48"/>
    <w:rsid w:val="00406EEC"/>
    <w:rsid w:val="00406F51"/>
    <w:rsid w:val="00407053"/>
    <w:rsid w:val="00407171"/>
    <w:rsid w:val="0040720B"/>
    <w:rsid w:val="0040738A"/>
    <w:rsid w:val="0040748A"/>
    <w:rsid w:val="00407520"/>
    <w:rsid w:val="004075D5"/>
    <w:rsid w:val="00407691"/>
    <w:rsid w:val="00407891"/>
    <w:rsid w:val="004078E3"/>
    <w:rsid w:val="0040791E"/>
    <w:rsid w:val="00407954"/>
    <w:rsid w:val="00407956"/>
    <w:rsid w:val="0040796A"/>
    <w:rsid w:val="00407A75"/>
    <w:rsid w:val="00407A8B"/>
    <w:rsid w:val="00407BC4"/>
    <w:rsid w:val="00407BDF"/>
    <w:rsid w:val="00407C76"/>
    <w:rsid w:val="00407CE5"/>
    <w:rsid w:val="00407E0E"/>
    <w:rsid w:val="00407E64"/>
    <w:rsid w:val="00407F02"/>
    <w:rsid w:val="00407F66"/>
    <w:rsid w:val="00407F6F"/>
    <w:rsid w:val="00407FFD"/>
    <w:rsid w:val="0041007B"/>
    <w:rsid w:val="00410085"/>
    <w:rsid w:val="0041030D"/>
    <w:rsid w:val="00410356"/>
    <w:rsid w:val="0041040D"/>
    <w:rsid w:val="0041059D"/>
    <w:rsid w:val="004105B0"/>
    <w:rsid w:val="00410655"/>
    <w:rsid w:val="0041069F"/>
    <w:rsid w:val="004106A0"/>
    <w:rsid w:val="0041070B"/>
    <w:rsid w:val="00410719"/>
    <w:rsid w:val="004107AE"/>
    <w:rsid w:val="004107D8"/>
    <w:rsid w:val="00410918"/>
    <w:rsid w:val="00410B13"/>
    <w:rsid w:val="00410BBB"/>
    <w:rsid w:val="00410BBD"/>
    <w:rsid w:val="00410D11"/>
    <w:rsid w:val="00410D87"/>
    <w:rsid w:val="00410DD5"/>
    <w:rsid w:val="00410E96"/>
    <w:rsid w:val="00410FBE"/>
    <w:rsid w:val="00411051"/>
    <w:rsid w:val="004111F1"/>
    <w:rsid w:val="00411265"/>
    <w:rsid w:val="0041127C"/>
    <w:rsid w:val="004112D6"/>
    <w:rsid w:val="004112E0"/>
    <w:rsid w:val="004112FD"/>
    <w:rsid w:val="00411499"/>
    <w:rsid w:val="004114C7"/>
    <w:rsid w:val="0041164E"/>
    <w:rsid w:val="00411688"/>
    <w:rsid w:val="004116CB"/>
    <w:rsid w:val="0041172F"/>
    <w:rsid w:val="004117BB"/>
    <w:rsid w:val="004117C1"/>
    <w:rsid w:val="00411819"/>
    <w:rsid w:val="00411872"/>
    <w:rsid w:val="0041193B"/>
    <w:rsid w:val="0041194F"/>
    <w:rsid w:val="00411A68"/>
    <w:rsid w:val="00411B2F"/>
    <w:rsid w:val="00411B45"/>
    <w:rsid w:val="00411CB5"/>
    <w:rsid w:val="00411CD6"/>
    <w:rsid w:val="00411CF0"/>
    <w:rsid w:val="00411E1A"/>
    <w:rsid w:val="00411EE8"/>
    <w:rsid w:val="00411FA4"/>
    <w:rsid w:val="00412090"/>
    <w:rsid w:val="004120C3"/>
    <w:rsid w:val="00412113"/>
    <w:rsid w:val="0041215A"/>
    <w:rsid w:val="0041220C"/>
    <w:rsid w:val="00412213"/>
    <w:rsid w:val="004122A2"/>
    <w:rsid w:val="004122D8"/>
    <w:rsid w:val="00412464"/>
    <w:rsid w:val="00412519"/>
    <w:rsid w:val="0041252D"/>
    <w:rsid w:val="00412697"/>
    <w:rsid w:val="00412705"/>
    <w:rsid w:val="0041273B"/>
    <w:rsid w:val="0041288C"/>
    <w:rsid w:val="00412A1C"/>
    <w:rsid w:val="00412DF1"/>
    <w:rsid w:val="00412E3E"/>
    <w:rsid w:val="00412E41"/>
    <w:rsid w:val="00412ED0"/>
    <w:rsid w:val="00412F02"/>
    <w:rsid w:val="00412F68"/>
    <w:rsid w:val="0041305C"/>
    <w:rsid w:val="004130C4"/>
    <w:rsid w:val="004130E4"/>
    <w:rsid w:val="00413119"/>
    <w:rsid w:val="00413240"/>
    <w:rsid w:val="004132D9"/>
    <w:rsid w:val="0041336B"/>
    <w:rsid w:val="004133C1"/>
    <w:rsid w:val="004135BC"/>
    <w:rsid w:val="0041369B"/>
    <w:rsid w:val="004136C2"/>
    <w:rsid w:val="00413715"/>
    <w:rsid w:val="0041372B"/>
    <w:rsid w:val="0041375E"/>
    <w:rsid w:val="00413900"/>
    <w:rsid w:val="00413A49"/>
    <w:rsid w:val="00413B67"/>
    <w:rsid w:val="00413BD2"/>
    <w:rsid w:val="00413BF2"/>
    <w:rsid w:val="00413C56"/>
    <w:rsid w:val="00413CEB"/>
    <w:rsid w:val="00413DC6"/>
    <w:rsid w:val="00413DE7"/>
    <w:rsid w:val="00413E23"/>
    <w:rsid w:val="00413E36"/>
    <w:rsid w:val="00413F33"/>
    <w:rsid w:val="00413FF4"/>
    <w:rsid w:val="00414038"/>
    <w:rsid w:val="0041409D"/>
    <w:rsid w:val="00414106"/>
    <w:rsid w:val="00414196"/>
    <w:rsid w:val="00414256"/>
    <w:rsid w:val="0041431D"/>
    <w:rsid w:val="004143C7"/>
    <w:rsid w:val="004143E1"/>
    <w:rsid w:val="004144C7"/>
    <w:rsid w:val="00414694"/>
    <w:rsid w:val="0041470B"/>
    <w:rsid w:val="004147B3"/>
    <w:rsid w:val="004147F8"/>
    <w:rsid w:val="0041481C"/>
    <w:rsid w:val="00414A38"/>
    <w:rsid w:val="00414A68"/>
    <w:rsid w:val="00414CE4"/>
    <w:rsid w:val="00414D01"/>
    <w:rsid w:val="00414D60"/>
    <w:rsid w:val="00414EF9"/>
    <w:rsid w:val="00414F8A"/>
    <w:rsid w:val="00414FCE"/>
    <w:rsid w:val="00414FDB"/>
    <w:rsid w:val="0041506D"/>
    <w:rsid w:val="004150F5"/>
    <w:rsid w:val="00415106"/>
    <w:rsid w:val="0041514F"/>
    <w:rsid w:val="0041517E"/>
    <w:rsid w:val="0041520A"/>
    <w:rsid w:val="0041529C"/>
    <w:rsid w:val="00415306"/>
    <w:rsid w:val="0041533D"/>
    <w:rsid w:val="004153E9"/>
    <w:rsid w:val="00415426"/>
    <w:rsid w:val="004155D5"/>
    <w:rsid w:val="004155EF"/>
    <w:rsid w:val="00415679"/>
    <w:rsid w:val="0041569F"/>
    <w:rsid w:val="0041570A"/>
    <w:rsid w:val="00415776"/>
    <w:rsid w:val="004157ED"/>
    <w:rsid w:val="00415948"/>
    <w:rsid w:val="0041594A"/>
    <w:rsid w:val="004159C0"/>
    <w:rsid w:val="00415B09"/>
    <w:rsid w:val="00415DA7"/>
    <w:rsid w:val="00415E15"/>
    <w:rsid w:val="00415E2B"/>
    <w:rsid w:val="00415F64"/>
    <w:rsid w:val="004160DF"/>
    <w:rsid w:val="004160E5"/>
    <w:rsid w:val="004160FD"/>
    <w:rsid w:val="00416111"/>
    <w:rsid w:val="00416121"/>
    <w:rsid w:val="0041612A"/>
    <w:rsid w:val="00416139"/>
    <w:rsid w:val="0041625A"/>
    <w:rsid w:val="004162F3"/>
    <w:rsid w:val="0041645C"/>
    <w:rsid w:val="00416495"/>
    <w:rsid w:val="00416525"/>
    <w:rsid w:val="004165DC"/>
    <w:rsid w:val="00416675"/>
    <w:rsid w:val="00416690"/>
    <w:rsid w:val="004166C1"/>
    <w:rsid w:val="00416764"/>
    <w:rsid w:val="00416858"/>
    <w:rsid w:val="00416884"/>
    <w:rsid w:val="00416975"/>
    <w:rsid w:val="00416B71"/>
    <w:rsid w:val="00416B83"/>
    <w:rsid w:val="00416D26"/>
    <w:rsid w:val="00416D68"/>
    <w:rsid w:val="00416D6C"/>
    <w:rsid w:val="00416DBB"/>
    <w:rsid w:val="00416F89"/>
    <w:rsid w:val="00417094"/>
    <w:rsid w:val="004170D6"/>
    <w:rsid w:val="00417184"/>
    <w:rsid w:val="004171AF"/>
    <w:rsid w:val="004171BD"/>
    <w:rsid w:val="004171C1"/>
    <w:rsid w:val="004171E8"/>
    <w:rsid w:val="00417266"/>
    <w:rsid w:val="004172A5"/>
    <w:rsid w:val="004172F2"/>
    <w:rsid w:val="004173A7"/>
    <w:rsid w:val="00417406"/>
    <w:rsid w:val="0041753E"/>
    <w:rsid w:val="00417564"/>
    <w:rsid w:val="00417567"/>
    <w:rsid w:val="004176CB"/>
    <w:rsid w:val="004177B4"/>
    <w:rsid w:val="004177B7"/>
    <w:rsid w:val="004178BF"/>
    <w:rsid w:val="004178F7"/>
    <w:rsid w:val="00417900"/>
    <w:rsid w:val="00417967"/>
    <w:rsid w:val="00417976"/>
    <w:rsid w:val="00417A3F"/>
    <w:rsid w:val="00417A4D"/>
    <w:rsid w:val="00417C8D"/>
    <w:rsid w:val="00417CFF"/>
    <w:rsid w:val="00417D0A"/>
    <w:rsid w:val="00417D75"/>
    <w:rsid w:val="004200A3"/>
    <w:rsid w:val="0042010B"/>
    <w:rsid w:val="00420201"/>
    <w:rsid w:val="00420226"/>
    <w:rsid w:val="004202E9"/>
    <w:rsid w:val="0042041C"/>
    <w:rsid w:val="004205EC"/>
    <w:rsid w:val="0042061D"/>
    <w:rsid w:val="00420668"/>
    <w:rsid w:val="00420772"/>
    <w:rsid w:val="004207E2"/>
    <w:rsid w:val="004208AA"/>
    <w:rsid w:val="00420905"/>
    <w:rsid w:val="00420951"/>
    <w:rsid w:val="00420A10"/>
    <w:rsid w:val="00420B27"/>
    <w:rsid w:val="00420D12"/>
    <w:rsid w:val="00420D79"/>
    <w:rsid w:val="00420EAF"/>
    <w:rsid w:val="00420ED4"/>
    <w:rsid w:val="00420EE0"/>
    <w:rsid w:val="00420F12"/>
    <w:rsid w:val="00420F7C"/>
    <w:rsid w:val="004210A2"/>
    <w:rsid w:val="00421367"/>
    <w:rsid w:val="004213CF"/>
    <w:rsid w:val="00421429"/>
    <w:rsid w:val="004214B3"/>
    <w:rsid w:val="00421585"/>
    <w:rsid w:val="00421588"/>
    <w:rsid w:val="0042167A"/>
    <w:rsid w:val="004216B6"/>
    <w:rsid w:val="004216EB"/>
    <w:rsid w:val="0042171C"/>
    <w:rsid w:val="00421806"/>
    <w:rsid w:val="00421846"/>
    <w:rsid w:val="00421872"/>
    <w:rsid w:val="0042191A"/>
    <w:rsid w:val="004219F9"/>
    <w:rsid w:val="00421A01"/>
    <w:rsid w:val="00421A32"/>
    <w:rsid w:val="00421AA2"/>
    <w:rsid w:val="00421BC7"/>
    <w:rsid w:val="00421C30"/>
    <w:rsid w:val="00421CBF"/>
    <w:rsid w:val="00421DB7"/>
    <w:rsid w:val="00421DF4"/>
    <w:rsid w:val="00421EEC"/>
    <w:rsid w:val="00421F25"/>
    <w:rsid w:val="00422081"/>
    <w:rsid w:val="00422093"/>
    <w:rsid w:val="00422161"/>
    <w:rsid w:val="004222C7"/>
    <w:rsid w:val="004222D3"/>
    <w:rsid w:val="00422358"/>
    <w:rsid w:val="0042236F"/>
    <w:rsid w:val="00422374"/>
    <w:rsid w:val="004224F6"/>
    <w:rsid w:val="004225AD"/>
    <w:rsid w:val="004225BA"/>
    <w:rsid w:val="0042271F"/>
    <w:rsid w:val="004227DA"/>
    <w:rsid w:val="00422817"/>
    <w:rsid w:val="00422820"/>
    <w:rsid w:val="0042293D"/>
    <w:rsid w:val="00422944"/>
    <w:rsid w:val="00422A04"/>
    <w:rsid w:val="00422A17"/>
    <w:rsid w:val="00422A64"/>
    <w:rsid w:val="00422BAC"/>
    <w:rsid w:val="00422D98"/>
    <w:rsid w:val="00422E66"/>
    <w:rsid w:val="00422F40"/>
    <w:rsid w:val="00423007"/>
    <w:rsid w:val="00423010"/>
    <w:rsid w:val="00423198"/>
    <w:rsid w:val="0042319C"/>
    <w:rsid w:val="004232B2"/>
    <w:rsid w:val="00423384"/>
    <w:rsid w:val="00423470"/>
    <w:rsid w:val="004234A7"/>
    <w:rsid w:val="0042357B"/>
    <w:rsid w:val="004235E2"/>
    <w:rsid w:val="0042365F"/>
    <w:rsid w:val="004236D2"/>
    <w:rsid w:val="004236DA"/>
    <w:rsid w:val="00423710"/>
    <w:rsid w:val="0042371D"/>
    <w:rsid w:val="00423915"/>
    <w:rsid w:val="0042392E"/>
    <w:rsid w:val="004239CB"/>
    <w:rsid w:val="00423AA9"/>
    <w:rsid w:val="00423B5B"/>
    <w:rsid w:val="00423B73"/>
    <w:rsid w:val="00423C64"/>
    <w:rsid w:val="00423D2C"/>
    <w:rsid w:val="00423D5B"/>
    <w:rsid w:val="00423DE8"/>
    <w:rsid w:val="00423E0B"/>
    <w:rsid w:val="00423FDF"/>
    <w:rsid w:val="0042422D"/>
    <w:rsid w:val="004242BA"/>
    <w:rsid w:val="004242EA"/>
    <w:rsid w:val="004242F6"/>
    <w:rsid w:val="00424341"/>
    <w:rsid w:val="00424352"/>
    <w:rsid w:val="00424470"/>
    <w:rsid w:val="0042453D"/>
    <w:rsid w:val="00424651"/>
    <w:rsid w:val="00424677"/>
    <w:rsid w:val="00424765"/>
    <w:rsid w:val="004247FE"/>
    <w:rsid w:val="00424823"/>
    <w:rsid w:val="004248A8"/>
    <w:rsid w:val="004248D1"/>
    <w:rsid w:val="0042490A"/>
    <w:rsid w:val="00424A82"/>
    <w:rsid w:val="00424ABE"/>
    <w:rsid w:val="00424AD6"/>
    <w:rsid w:val="00424C35"/>
    <w:rsid w:val="00424F23"/>
    <w:rsid w:val="00424FF7"/>
    <w:rsid w:val="00425036"/>
    <w:rsid w:val="004251B5"/>
    <w:rsid w:val="00425226"/>
    <w:rsid w:val="004252AA"/>
    <w:rsid w:val="004252D8"/>
    <w:rsid w:val="004252E0"/>
    <w:rsid w:val="0042533C"/>
    <w:rsid w:val="0042538C"/>
    <w:rsid w:val="004253B4"/>
    <w:rsid w:val="0042561B"/>
    <w:rsid w:val="00425621"/>
    <w:rsid w:val="00425634"/>
    <w:rsid w:val="0042565A"/>
    <w:rsid w:val="004256E2"/>
    <w:rsid w:val="004257D7"/>
    <w:rsid w:val="004258B1"/>
    <w:rsid w:val="00425923"/>
    <w:rsid w:val="00425926"/>
    <w:rsid w:val="00425944"/>
    <w:rsid w:val="004259D3"/>
    <w:rsid w:val="004259E5"/>
    <w:rsid w:val="00425A3B"/>
    <w:rsid w:val="00425D1C"/>
    <w:rsid w:val="00425D29"/>
    <w:rsid w:val="00425D61"/>
    <w:rsid w:val="00425D6F"/>
    <w:rsid w:val="00425E4B"/>
    <w:rsid w:val="00425EA6"/>
    <w:rsid w:val="00425F20"/>
    <w:rsid w:val="00425F2E"/>
    <w:rsid w:val="00425F88"/>
    <w:rsid w:val="00425FD0"/>
    <w:rsid w:val="00426092"/>
    <w:rsid w:val="00426102"/>
    <w:rsid w:val="00426158"/>
    <w:rsid w:val="004261A3"/>
    <w:rsid w:val="004261DD"/>
    <w:rsid w:val="004261E1"/>
    <w:rsid w:val="004261E8"/>
    <w:rsid w:val="00426236"/>
    <w:rsid w:val="004263C3"/>
    <w:rsid w:val="00426475"/>
    <w:rsid w:val="0042659F"/>
    <w:rsid w:val="004265AF"/>
    <w:rsid w:val="00426672"/>
    <w:rsid w:val="004266D0"/>
    <w:rsid w:val="0042674A"/>
    <w:rsid w:val="0042682E"/>
    <w:rsid w:val="004269B7"/>
    <w:rsid w:val="00426A55"/>
    <w:rsid w:val="00426A87"/>
    <w:rsid w:val="00426C33"/>
    <w:rsid w:val="00426E4F"/>
    <w:rsid w:val="00426EA9"/>
    <w:rsid w:val="00427026"/>
    <w:rsid w:val="00427114"/>
    <w:rsid w:val="0042727F"/>
    <w:rsid w:val="004272E4"/>
    <w:rsid w:val="004273AD"/>
    <w:rsid w:val="004273B5"/>
    <w:rsid w:val="004273F0"/>
    <w:rsid w:val="00427489"/>
    <w:rsid w:val="004274F5"/>
    <w:rsid w:val="004276C5"/>
    <w:rsid w:val="004276CE"/>
    <w:rsid w:val="004277F1"/>
    <w:rsid w:val="00427839"/>
    <w:rsid w:val="00427875"/>
    <w:rsid w:val="0042797B"/>
    <w:rsid w:val="00427A5F"/>
    <w:rsid w:val="00427B9B"/>
    <w:rsid w:val="00427C6E"/>
    <w:rsid w:val="00427CB1"/>
    <w:rsid w:val="00427E3C"/>
    <w:rsid w:val="00427EEC"/>
    <w:rsid w:val="00427FF9"/>
    <w:rsid w:val="00430064"/>
    <w:rsid w:val="00430118"/>
    <w:rsid w:val="0043026A"/>
    <w:rsid w:val="00430307"/>
    <w:rsid w:val="004303DA"/>
    <w:rsid w:val="004304A1"/>
    <w:rsid w:val="00430676"/>
    <w:rsid w:val="00430768"/>
    <w:rsid w:val="004307AD"/>
    <w:rsid w:val="004307B6"/>
    <w:rsid w:val="00430853"/>
    <w:rsid w:val="004309EE"/>
    <w:rsid w:val="00430A0F"/>
    <w:rsid w:val="00430B17"/>
    <w:rsid w:val="00430B6F"/>
    <w:rsid w:val="00430BD0"/>
    <w:rsid w:val="00430C00"/>
    <w:rsid w:val="00430DD7"/>
    <w:rsid w:val="00430EB2"/>
    <w:rsid w:val="00430F32"/>
    <w:rsid w:val="00430FB2"/>
    <w:rsid w:val="004310CD"/>
    <w:rsid w:val="0043116D"/>
    <w:rsid w:val="004312C4"/>
    <w:rsid w:val="004312F6"/>
    <w:rsid w:val="0043143E"/>
    <w:rsid w:val="0043146A"/>
    <w:rsid w:val="0043163E"/>
    <w:rsid w:val="0043164C"/>
    <w:rsid w:val="004316B0"/>
    <w:rsid w:val="00431780"/>
    <w:rsid w:val="0043192C"/>
    <w:rsid w:val="00431A0A"/>
    <w:rsid w:val="00431B85"/>
    <w:rsid w:val="00431D86"/>
    <w:rsid w:val="00431DA0"/>
    <w:rsid w:val="00431DA4"/>
    <w:rsid w:val="00431DE9"/>
    <w:rsid w:val="00431E6D"/>
    <w:rsid w:val="00431E94"/>
    <w:rsid w:val="00431ED9"/>
    <w:rsid w:val="00431FFA"/>
    <w:rsid w:val="00432091"/>
    <w:rsid w:val="00432099"/>
    <w:rsid w:val="004320B6"/>
    <w:rsid w:val="0043213C"/>
    <w:rsid w:val="00432251"/>
    <w:rsid w:val="0043230C"/>
    <w:rsid w:val="00432375"/>
    <w:rsid w:val="0043239B"/>
    <w:rsid w:val="004323FA"/>
    <w:rsid w:val="0043247A"/>
    <w:rsid w:val="004326D2"/>
    <w:rsid w:val="004326E1"/>
    <w:rsid w:val="004326FE"/>
    <w:rsid w:val="00432706"/>
    <w:rsid w:val="00432893"/>
    <w:rsid w:val="00432902"/>
    <w:rsid w:val="00432957"/>
    <w:rsid w:val="0043295A"/>
    <w:rsid w:val="004329BB"/>
    <w:rsid w:val="00432A39"/>
    <w:rsid w:val="00432AD3"/>
    <w:rsid w:val="00432B3B"/>
    <w:rsid w:val="00432C29"/>
    <w:rsid w:val="00432C90"/>
    <w:rsid w:val="00432CB6"/>
    <w:rsid w:val="00432D01"/>
    <w:rsid w:val="00432E3F"/>
    <w:rsid w:val="00432EE4"/>
    <w:rsid w:val="00432F1F"/>
    <w:rsid w:val="00433125"/>
    <w:rsid w:val="00433188"/>
    <w:rsid w:val="0043330F"/>
    <w:rsid w:val="004333E6"/>
    <w:rsid w:val="00433441"/>
    <w:rsid w:val="00433545"/>
    <w:rsid w:val="00433615"/>
    <w:rsid w:val="0043365B"/>
    <w:rsid w:val="004336D2"/>
    <w:rsid w:val="0043370E"/>
    <w:rsid w:val="004337C4"/>
    <w:rsid w:val="00433909"/>
    <w:rsid w:val="0043396C"/>
    <w:rsid w:val="0043398B"/>
    <w:rsid w:val="004339D6"/>
    <w:rsid w:val="00433A46"/>
    <w:rsid w:val="00433B73"/>
    <w:rsid w:val="00433C5A"/>
    <w:rsid w:val="00433D6F"/>
    <w:rsid w:val="00433DD6"/>
    <w:rsid w:val="00433ECE"/>
    <w:rsid w:val="00433F05"/>
    <w:rsid w:val="00433F10"/>
    <w:rsid w:val="00433F15"/>
    <w:rsid w:val="00434169"/>
    <w:rsid w:val="0043418F"/>
    <w:rsid w:val="0043437F"/>
    <w:rsid w:val="004343C7"/>
    <w:rsid w:val="004343E8"/>
    <w:rsid w:val="004345F5"/>
    <w:rsid w:val="00434676"/>
    <w:rsid w:val="004346BF"/>
    <w:rsid w:val="004346EA"/>
    <w:rsid w:val="00434709"/>
    <w:rsid w:val="00434717"/>
    <w:rsid w:val="00434762"/>
    <w:rsid w:val="0043477A"/>
    <w:rsid w:val="00434934"/>
    <w:rsid w:val="004349D4"/>
    <w:rsid w:val="004349DF"/>
    <w:rsid w:val="00434AED"/>
    <w:rsid w:val="00434B4B"/>
    <w:rsid w:val="00434BB0"/>
    <w:rsid w:val="00434CC5"/>
    <w:rsid w:val="00434CCC"/>
    <w:rsid w:val="00434CF2"/>
    <w:rsid w:val="00434D98"/>
    <w:rsid w:val="00434F22"/>
    <w:rsid w:val="00435105"/>
    <w:rsid w:val="00435160"/>
    <w:rsid w:val="0043523F"/>
    <w:rsid w:val="00435243"/>
    <w:rsid w:val="004353C5"/>
    <w:rsid w:val="004353D5"/>
    <w:rsid w:val="00435455"/>
    <w:rsid w:val="004354EC"/>
    <w:rsid w:val="00435610"/>
    <w:rsid w:val="00435635"/>
    <w:rsid w:val="00435648"/>
    <w:rsid w:val="0043585E"/>
    <w:rsid w:val="00435890"/>
    <w:rsid w:val="004359EB"/>
    <w:rsid w:val="00435A14"/>
    <w:rsid w:val="00435AC0"/>
    <w:rsid w:val="00435B81"/>
    <w:rsid w:val="00435C5D"/>
    <w:rsid w:val="00435CC1"/>
    <w:rsid w:val="00435CEC"/>
    <w:rsid w:val="00435D0C"/>
    <w:rsid w:val="00435D6A"/>
    <w:rsid w:val="00435D91"/>
    <w:rsid w:val="00435E6C"/>
    <w:rsid w:val="00436127"/>
    <w:rsid w:val="00436168"/>
    <w:rsid w:val="0043622F"/>
    <w:rsid w:val="00436268"/>
    <w:rsid w:val="004362FC"/>
    <w:rsid w:val="00436330"/>
    <w:rsid w:val="0043633F"/>
    <w:rsid w:val="00436447"/>
    <w:rsid w:val="0043647E"/>
    <w:rsid w:val="004367F8"/>
    <w:rsid w:val="00436845"/>
    <w:rsid w:val="004368AA"/>
    <w:rsid w:val="0043690B"/>
    <w:rsid w:val="0043695F"/>
    <w:rsid w:val="004369A4"/>
    <w:rsid w:val="00436A8E"/>
    <w:rsid w:val="00436AA7"/>
    <w:rsid w:val="00436B6C"/>
    <w:rsid w:val="00436BC4"/>
    <w:rsid w:val="00436D70"/>
    <w:rsid w:val="00436E42"/>
    <w:rsid w:val="00436FDB"/>
    <w:rsid w:val="0043709B"/>
    <w:rsid w:val="0043715C"/>
    <w:rsid w:val="004371EF"/>
    <w:rsid w:val="00437385"/>
    <w:rsid w:val="004373AF"/>
    <w:rsid w:val="0043742D"/>
    <w:rsid w:val="0043744C"/>
    <w:rsid w:val="0043749A"/>
    <w:rsid w:val="0043750A"/>
    <w:rsid w:val="004375D6"/>
    <w:rsid w:val="00437603"/>
    <w:rsid w:val="00437701"/>
    <w:rsid w:val="004378E2"/>
    <w:rsid w:val="004378F8"/>
    <w:rsid w:val="004379C1"/>
    <w:rsid w:val="004379EF"/>
    <w:rsid w:val="00437A4B"/>
    <w:rsid w:val="00437B9F"/>
    <w:rsid w:val="00437C55"/>
    <w:rsid w:val="00437CBF"/>
    <w:rsid w:val="00437CE5"/>
    <w:rsid w:val="00437E03"/>
    <w:rsid w:val="00437F76"/>
    <w:rsid w:val="004400CF"/>
    <w:rsid w:val="00440140"/>
    <w:rsid w:val="00440263"/>
    <w:rsid w:val="004402BB"/>
    <w:rsid w:val="004402E5"/>
    <w:rsid w:val="00440339"/>
    <w:rsid w:val="0044044E"/>
    <w:rsid w:val="00440539"/>
    <w:rsid w:val="004405FB"/>
    <w:rsid w:val="00440748"/>
    <w:rsid w:val="0044079F"/>
    <w:rsid w:val="0044086F"/>
    <w:rsid w:val="00440A4A"/>
    <w:rsid w:val="00440A68"/>
    <w:rsid w:val="00440A72"/>
    <w:rsid w:val="00440AB6"/>
    <w:rsid w:val="00440D5B"/>
    <w:rsid w:val="00440DE0"/>
    <w:rsid w:val="00440E2E"/>
    <w:rsid w:val="00440F36"/>
    <w:rsid w:val="0044103B"/>
    <w:rsid w:val="004410A1"/>
    <w:rsid w:val="004410D0"/>
    <w:rsid w:val="0044112C"/>
    <w:rsid w:val="0044118D"/>
    <w:rsid w:val="00441249"/>
    <w:rsid w:val="0044128F"/>
    <w:rsid w:val="004413FD"/>
    <w:rsid w:val="004414A6"/>
    <w:rsid w:val="00441606"/>
    <w:rsid w:val="00441673"/>
    <w:rsid w:val="004416AF"/>
    <w:rsid w:val="004416BC"/>
    <w:rsid w:val="004417A5"/>
    <w:rsid w:val="0044185A"/>
    <w:rsid w:val="004418BC"/>
    <w:rsid w:val="0044198A"/>
    <w:rsid w:val="00441A84"/>
    <w:rsid w:val="00441BEA"/>
    <w:rsid w:val="00441BEB"/>
    <w:rsid w:val="00441D5E"/>
    <w:rsid w:val="00441E2D"/>
    <w:rsid w:val="00441E70"/>
    <w:rsid w:val="00441FDF"/>
    <w:rsid w:val="004420CC"/>
    <w:rsid w:val="00442302"/>
    <w:rsid w:val="0044235E"/>
    <w:rsid w:val="00442396"/>
    <w:rsid w:val="004423B2"/>
    <w:rsid w:val="004423F8"/>
    <w:rsid w:val="0044244A"/>
    <w:rsid w:val="004424BE"/>
    <w:rsid w:val="00442628"/>
    <w:rsid w:val="00442632"/>
    <w:rsid w:val="00442650"/>
    <w:rsid w:val="004426D0"/>
    <w:rsid w:val="00442762"/>
    <w:rsid w:val="00442A6A"/>
    <w:rsid w:val="00442A77"/>
    <w:rsid w:val="00442BB4"/>
    <w:rsid w:val="00442C9C"/>
    <w:rsid w:val="00442D23"/>
    <w:rsid w:val="00442DE2"/>
    <w:rsid w:val="00442E56"/>
    <w:rsid w:val="00442F85"/>
    <w:rsid w:val="0044300D"/>
    <w:rsid w:val="004430F2"/>
    <w:rsid w:val="00443122"/>
    <w:rsid w:val="0044312E"/>
    <w:rsid w:val="004431AE"/>
    <w:rsid w:val="0044344C"/>
    <w:rsid w:val="0044354E"/>
    <w:rsid w:val="00443580"/>
    <w:rsid w:val="00443811"/>
    <w:rsid w:val="00443961"/>
    <w:rsid w:val="00443A25"/>
    <w:rsid w:val="00443AA9"/>
    <w:rsid w:val="00443ABE"/>
    <w:rsid w:val="00443B2D"/>
    <w:rsid w:val="00443DD7"/>
    <w:rsid w:val="00443E20"/>
    <w:rsid w:val="00443EF8"/>
    <w:rsid w:val="00443FDC"/>
    <w:rsid w:val="0044417E"/>
    <w:rsid w:val="004441C6"/>
    <w:rsid w:val="0044423A"/>
    <w:rsid w:val="00444291"/>
    <w:rsid w:val="0044429B"/>
    <w:rsid w:val="00444337"/>
    <w:rsid w:val="0044435A"/>
    <w:rsid w:val="004443B8"/>
    <w:rsid w:val="0044441E"/>
    <w:rsid w:val="004444B2"/>
    <w:rsid w:val="00444535"/>
    <w:rsid w:val="00444554"/>
    <w:rsid w:val="004445B8"/>
    <w:rsid w:val="004445DD"/>
    <w:rsid w:val="00444631"/>
    <w:rsid w:val="00444706"/>
    <w:rsid w:val="00444857"/>
    <w:rsid w:val="004448B1"/>
    <w:rsid w:val="00444996"/>
    <w:rsid w:val="004449B4"/>
    <w:rsid w:val="00444AA6"/>
    <w:rsid w:val="00444AF4"/>
    <w:rsid w:val="00444B0C"/>
    <w:rsid w:val="00444B27"/>
    <w:rsid w:val="00444B7C"/>
    <w:rsid w:val="00444B90"/>
    <w:rsid w:val="00444BF1"/>
    <w:rsid w:val="00444CA0"/>
    <w:rsid w:val="00444D2B"/>
    <w:rsid w:val="00444D76"/>
    <w:rsid w:val="00444D8C"/>
    <w:rsid w:val="00444E21"/>
    <w:rsid w:val="00444F3B"/>
    <w:rsid w:val="00444F88"/>
    <w:rsid w:val="00444F91"/>
    <w:rsid w:val="00445025"/>
    <w:rsid w:val="004450C0"/>
    <w:rsid w:val="00445107"/>
    <w:rsid w:val="00445151"/>
    <w:rsid w:val="00445159"/>
    <w:rsid w:val="004451C5"/>
    <w:rsid w:val="00445214"/>
    <w:rsid w:val="00445304"/>
    <w:rsid w:val="004454C0"/>
    <w:rsid w:val="004454C2"/>
    <w:rsid w:val="004455A9"/>
    <w:rsid w:val="0044573D"/>
    <w:rsid w:val="004457C4"/>
    <w:rsid w:val="0044582E"/>
    <w:rsid w:val="0044592C"/>
    <w:rsid w:val="0044598C"/>
    <w:rsid w:val="00445A3B"/>
    <w:rsid w:val="00445B89"/>
    <w:rsid w:val="00445BCF"/>
    <w:rsid w:val="00445EF0"/>
    <w:rsid w:val="00445F1D"/>
    <w:rsid w:val="00445F1E"/>
    <w:rsid w:val="00445FA8"/>
    <w:rsid w:val="00446010"/>
    <w:rsid w:val="004460A5"/>
    <w:rsid w:val="00446139"/>
    <w:rsid w:val="0044616F"/>
    <w:rsid w:val="0044617C"/>
    <w:rsid w:val="004461A5"/>
    <w:rsid w:val="004463EF"/>
    <w:rsid w:val="004464BD"/>
    <w:rsid w:val="004464FC"/>
    <w:rsid w:val="00446523"/>
    <w:rsid w:val="004465BA"/>
    <w:rsid w:val="0044669D"/>
    <w:rsid w:val="004466A6"/>
    <w:rsid w:val="0044673D"/>
    <w:rsid w:val="00446831"/>
    <w:rsid w:val="0044685B"/>
    <w:rsid w:val="00446A35"/>
    <w:rsid w:val="00446D54"/>
    <w:rsid w:val="00446D5B"/>
    <w:rsid w:val="00446D8C"/>
    <w:rsid w:val="00446D9A"/>
    <w:rsid w:val="00446EEA"/>
    <w:rsid w:val="00446FA0"/>
    <w:rsid w:val="00447301"/>
    <w:rsid w:val="0044733C"/>
    <w:rsid w:val="00447456"/>
    <w:rsid w:val="004474C0"/>
    <w:rsid w:val="00447555"/>
    <w:rsid w:val="004475AF"/>
    <w:rsid w:val="00447611"/>
    <w:rsid w:val="00447658"/>
    <w:rsid w:val="0044767F"/>
    <w:rsid w:val="004476B2"/>
    <w:rsid w:val="004476C7"/>
    <w:rsid w:val="00447800"/>
    <w:rsid w:val="00447820"/>
    <w:rsid w:val="00447991"/>
    <w:rsid w:val="004479B6"/>
    <w:rsid w:val="00447A69"/>
    <w:rsid w:val="00447B8D"/>
    <w:rsid w:val="00447BEF"/>
    <w:rsid w:val="00447C43"/>
    <w:rsid w:val="00447CB1"/>
    <w:rsid w:val="00447D3B"/>
    <w:rsid w:val="00447DAD"/>
    <w:rsid w:val="00447F54"/>
    <w:rsid w:val="00450007"/>
    <w:rsid w:val="00450152"/>
    <w:rsid w:val="004501A0"/>
    <w:rsid w:val="004502E1"/>
    <w:rsid w:val="004503DA"/>
    <w:rsid w:val="00450448"/>
    <w:rsid w:val="00450469"/>
    <w:rsid w:val="0045067F"/>
    <w:rsid w:val="00450885"/>
    <w:rsid w:val="004508EC"/>
    <w:rsid w:val="004508F2"/>
    <w:rsid w:val="004508FB"/>
    <w:rsid w:val="0045094D"/>
    <w:rsid w:val="004509AC"/>
    <w:rsid w:val="004509FF"/>
    <w:rsid w:val="00450A00"/>
    <w:rsid w:val="00450B4B"/>
    <w:rsid w:val="00450B5A"/>
    <w:rsid w:val="00450BE1"/>
    <w:rsid w:val="00450D32"/>
    <w:rsid w:val="00450D46"/>
    <w:rsid w:val="00450F09"/>
    <w:rsid w:val="00450F4B"/>
    <w:rsid w:val="00451164"/>
    <w:rsid w:val="00451179"/>
    <w:rsid w:val="004511E2"/>
    <w:rsid w:val="0045120C"/>
    <w:rsid w:val="0045120D"/>
    <w:rsid w:val="00451277"/>
    <w:rsid w:val="0045128A"/>
    <w:rsid w:val="004512C9"/>
    <w:rsid w:val="004513A1"/>
    <w:rsid w:val="004513DD"/>
    <w:rsid w:val="004513E3"/>
    <w:rsid w:val="004515DE"/>
    <w:rsid w:val="00451617"/>
    <w:rsid w:val="0045176E"/>
    <w:rsid w:val="00451860"/>
    <w:rsid w:val="00451916"/>
    <w:rsid w:val="00451A81"/>
    <w:rsid w:val="00451B4E"/>
    <w:rsid w:val="00451CF2"/>
    <w:rsid w:val="00451D44"/>
    <w:rsid w:val="00451E62"/>
    <w:rsid w:val="00451EFA"/>
    <w:rsid w:val="00451F34"/>
    <w:rsid w:val="00451F4E"/>
    <w:rsid w:val="00451FD6"/>
    <w:rsid w:val="00451FF9"/>
    <w:rsid w:val="00452129"/>
    <w:rsid w:val="0045224D"/>
    <w:rsid w:val="004522EC"/>
    <w:rsid w:val="004522FD"/>
    <w:rsid w:val="00452475"/>
    <w:rsid w:val="004524A9"/>
    <w:rsid w:val="004524AE"/>
    <w:rsid w:val="004524F9"/>
    <w:rsid w:val="0045253E"/>
    <w:rsid w:val="004526A8"/>
    <w:rsid w:val="004526A9"/>
    <w:rsid w:val="004526EB"/>
    <w:rsid w:val="00452728"/>
    <w:rsid w:val="00452971"/>
    <w:rsid w:val="004529E7"/>
    <w:rsid w:val="00452BEC"/>
    <w:rsid w:val="00452C26"/>
    <w:rsid w:val="00452C8E"/>
    <w:rsid w:val="00452D73"/>
    <w:rsid w:val="00452E2D"/>
    <w:rsid w:val="00452E34"/>
    <w:rsid w:val="00452F60"/>
    <w:rsid w:val="00452FAA"/>
    <w:rsid w:val="0045307A"/>
    <w:rsid w:val="00453160"/>
    <w:rsid w:val="0045318D"/>
    <w:rsid w:val="004531F0"/>
    <w:rsid w:val="0045324E"/>
    <w:rsid w:val="004533AC"/>
    <w:rsid w:val="004533B8"/>
    <w:rsid w:val="004533BD"/>
    <w:rsid w:val="00453413"/>
    <w:rsid w:val="0045343E"/>
    <w:rsid w:val="00453481"/>
    <w:rsid w:val="004534EE"/>
    <w:rsid w:val="0045357A"/>
    <w:rsid w:val="004535B3"/>
    <w:rsid w:val="004536F0"/>
    <w:rsid w:val="004538EF"/>
    <w:rsid w:val="00453965"/>
    <w:rsid w:val="00453A57"/>
    <w:rsid w:val="00453AA5"/>
    <w:rsid w:val="00453AEE"/>
    <w:rsid w:val="00453B64"/>
    <w:rsid w:val="00453B71"/>
    <w:rsid w:val="00453C34"/>
    <w:rsid w:val="00453EB6"/>
    <w:rsid w:val="00453EF9"/>
    <w:rsid w:val="00453F18"/>
    <w:rsid w:val="00453F80"/>
    <w:rsid w:val="0045417C"/>
    <w:rsid w:val="00454409"/>
    <w:rsid w:val="0045445E"/>
    <w:rsid w:val="00454474"/>
    <w:rsid w:val="004545CA"/>
    <w:rsid w:val="0045463B"/>
    <w:rsid w:val="00454674"/>
    <w:rsid w:val="004546E4"/>
    <w:rsid w:val="004547BF"/>
    <w:rsid w:val="004547E8"/>
    <w:rsid w:val="0045484C"/>
    <w:rsid w:val="00454873"/>
    <w:rsid w:val="004548D3"/>
    <w:rsid w:val="004548EC"/>
    <w:rsid w:val="004548EE"/>
    <w:rsid w:val="0045493E"/>
    <w:rsid w:val="0045496E"/>
    <w:rsid w:val="004549C2"/>
    <w:rsid w:val="00454B03"/>
    <w:rsid w:val="00454BD7"/>
    <w:rsid w:val="00454C05"/>
    <w:rsid w:val="00454C06"/>
    <w:rsid w:val="00454D57"/>
    <w:rsid w:val="00454DF0"/>
    <w:rsid w:val="00454EAC"/>
    <w:rsid w:val="00454F25"/>
    <w:rsid w:val="00454F8B"/>
    <w:rsid w:val="00454FC9"/>
    <w:rsid w:val="00454FFB"/>
    <w:rsid w:val="00455032"/>
    <w:rsid w:val="00455059"/>
    <w:rsid w:val="00455290"/>
    <w:rsid w:val="004552FE"/>
    <w:rsid w:val="00455323"/>
    <w:rsid w:val="004553E8"/>
    <w:rsid w:val="004553EB"/>
    <w:rsid w:val="00455402"/>
    <w:rsid w:val="004554E0"/>
    <w:rsid w:val="00455504"/>
    <w:rsid w:val="0045564C"/>
    <w:rsid w:val="00455663"/>
    <w:rsid w:val="004556DF"/>
    <w:rsid w:val="004556E8"/>
    <w:rsid w:val="0045583C"/>
    <w:rsid w:val="00455AB1"/>
    <w:rsid w:val="00455B42"/>
    <w:rsid w:val="00455B7B"/>
    <w:rsid w:val="00455B86"/>
    <w:rsid w:val="00455D70"/>
    <w:rsid w:val="00455D9A"/>
    <w:rsid w:val="00455DA9"/>
    <w:rsid w:val="00455DBE"/>
    <w:rsid w:val="00455E59"/>
    <w:rsid w:val="00455F26"/>
    <w:rsid w:val="00455FE9"/>
    <w:rsid w:val="00456067"/>
    <w:rsid w:val="0045612B"/>
    <w:rsid w:val="004562B1"/>
    <w:rsid w:val="0045637B"/>
    <w:rsid w:val="00456402"/>
    <w:rsid w:val="0045645A"/>
    <w:rsid w:val="00456541"/>
    <w:rsid w:val="0045659A"/>
    <w:rsid w:val="004565E8"/>
    <w:rsid w:val="00456618"/>
    <w:rsid w:val="00456671"/>
    <w:rsid w:val="004566E4"/>
    <w:rsid w:val="004567D1"/>
    <w:rsid w:val="00456833"/>
    <w:rsid w:val="004568C9"/>
    <w:rsid w:val="004568F9"/>
    <w:rsid w:val="004568FE"/>
    <w:rsid w:val="00456903"/>
    <w:rsid w:val="0045694B"/>
    <w:rsid w:val="00456A39"/>
    <w:rsid w:val="00456A9F"/>
    <w:rsid w:val="00456B07"/>
    <w:rsid w:val="00456B79"/>
    <w:rsid w:val="00456C4B"/>
    <w:rsid w:val="00456C89"/>
    <w:rsid w:val="00456D94"/>
    <w:rsid w:val="00456DD2"/>
    <w:rsid w:val="00456F86"/>
    <w:rsid w:val="00456FA1"/>
    <w:rsid w:val="00456FCB"/>
    <w:rsid w:val="0045704F"/>
    <w:rsid w:val="0045706E"/>
    <w:rsid w:val="004570C9"/>
    <w:rsid w:val="00457126"/>
    <w:rsid w:val="00457128"/>
    <w:rsid w:val="0045712C"/>
    <w:rsid w:val="00457138"/>
    <w:rsid w:val="00457157"/>
    <w:rsid w:val="00457251"/>
    <w:rsid w:val="004573A7"/>
    <w:rsid w:val="00457412"/>
    <w:rsid w:val="0045752C"/>
    <w:rsid w:val="00457580"/>
    <w:rsid w:val="004575CF"/>
    <w:rsid w:val="004576B4"/>
    <w:rsid w:val="004577D6"/>
    <w:rsid w:val="00457A2A"/>
    <w:rsid w:val="00457A3B"/>
    <w:rsid w:val="00457AE2"/>
    <w:rsid w:val="00457C2B"/>
    <w:rsid w:val="00457C3E"/>
    <w:rsid w:val="00457C5A"/>
    <w:rsid w:val="00457C85"/>
    <w:rsid w:val="00457CC1"/>
    <w:rsid w:val="00457EFF"/>
    <w:rsid w:val="00457F25"/>
    <w:rsid w:val="00457F7F"/>
    <w:rsid w:val="00457F93"/>
    <w:rsid w:val="00457FBA"/>
    <w:rsid w:val="00460094"/>
    <w:rsid w:val="0046017B"/>
    <w:rsid w:val="0046019F"/>
    <w:rsid w:val="004601E1"/>
    <w:rsid w:val="004602DB"/>
    <w:rsid w:val="00460328"/>
    <w:rsid w:val="00460395"/>
    <w:rsid w:val="00460446"/>
    <w:rsid w:val="00460489"/>
    <w:rsid w:val="0046051B"/>
    <w:rsid w:val="00460570"/>
    <w:rsid w:val="00460597"/>
    <w:rsid w:val="004605DB"/>
    <w:rsid w:val="004605ED"/>
    <w:rsid w:val="004606D9"/>
    <w:rsid w:val="00460736"/>
    <w:rsid w:val="004607EF"/>
    <w:rsid w:val="0046080E"/>
    <w:rsid w:val="00460898"/>
    <w:rsid w:val="004608A3"/>
    <w:rsid w:val="0046093D"/>
    <w:rsid w:val="0046095B"/>
    <w:rsid w:val="00460BDD"/>
    <w:rsid w:val="00460BF8"/>
    <w:rsid w:val="00460BF9"/>
    <w:rsid w:val="00460C89"/>
    <w:rsid w:val="00460CBC"/>
    <w:rsid w:val="00460CC5"/>
    <w:rsid w:val="00460D62"/>
    <w:rsid w:val="00460D95"/>
    <w:rsid w:val="00460DCF"/>
    <w:rsid w:val="00460DF0"/>
    <w:rsid w:val="00460EA2"/>
    <w:rsid w:val="00460F12"/>
    <w:rsid w:val="00461013"/>
    <w:rsid w:val="0046103A"/>
    <w:rsid w:val="00461067"/>
    <w:rsid w:val="004610A8"/>
    <w:rsid w:val="004611B7"/>
    <w:rsid w:val="00461213"/>
    <w:rsid w:val="00461242"/>
    <w:rsid w:val="004614DE"/>
    <w:rsid w:val="004614F2"/>
    <w:rsid w:val="0046165C"/>
    <w:rsid w:val="004616FB"/>
    <w:rsid w:val="004617E6"/>
    <w:rsid w:val="0046183C"/>
    <w:rsid w:val="004618AB"/>
    <w:rsid w:val="00461921"/>
    <w:rsid w:val="00461925"/>
    <w:rsid w:val="00461980"/>
    <w:rsid w:val="004619EE"/>
    <w:rsid w:val="00461A14"/>
    <w:rsid w:val="00461A30"/>
    <w:rsid w:val="00461A91"/>
    <w:rsid w:val="00461C29"/>
    <w:rsid w:val="00461C6A"/>
    <w:rsid w:val="00461D25"/>
    <w:rsid w:val="00461DED"/>
    <w:rsid w:val="00461E15"/>
    <w:rsid w:val="00461E16"/>
    <w:rsid w:val="004621C1"/>
    <w:rsid w:val="0046222A"/>
    <w:rsid w:val="00462284"/>
    <w:rsid w:val="004622FD"/>
    <w:rsid w:val="004623AE"/>
    <w:rsid w:val="00462568"/>
    <w:rsid w:val="004625A6"/>
    <w:rsid w:val="00462606"/>
    <w:rsid w:val="004626E9"/>
    <w:rsid w:val="0046270F"/>
    <w:rsid w:val="0046273C"/>
    <w:rsid w:val="00462840"/>
    <w:rsid w:val="00462B5D"/>
    <w:rsid w:val="00462BD6"/>
    <w:rsid w:val="00462C3C"/>
    <w:rsid w:val="00462C5E"/>
    <w:rsid w:val="00462D13"/>
    <w:rsid w:val="00462D5F"/>
    <w:rsid w:val="00462D75"/>
    <w:rsid w:val="00462E0A"/>
    <w:rsid w:val="00462E27"/>
    <w:rsid w:val="00462E89"/>
    <w:rsid w:val="0046304E"/>
    <w:rsid w:val="00463077"/>
    <w:rsid w:val="004630D6"/>
    <w:rsid w:val="004630FE"/>
    <w:rsid w:val="00463399"/>
    <w:rsid w:val="0046343F"/>
    <w:rsid w:val="004634B6"/>
    <w:rsid w:val="004634C4"/>
    <w:rsid w:val="004635C9"/>
    <w:rsid w:val="0046363A"/>
    <w:rsid w:val="004636E7"/>
    <w:rsid w:val="0046370B"/>
    <w:rsid w:val="0046377C"/>
    <w:rsid w:val="004638D5"/>
    <w:rsid w:val="00463974"/>
    <w:rsid w:val="00463AC7"/>
    <w:rsid w:val="00463ACA"/>
    <w:rsid w:val="00463BEE"/>
    <w:rsid w:val="00463DA1"/>
    <w:rsid w:val="00463DB3"/>
    <w:rsid w:val="00463DEC"/>
    <w:rsid w:val="00463E3E"/>
    <w:rsid w:val="00463E6B"/>
    <w:rsid w:val="00463E81"/>
    <w:rsid w:val="00463E8C"/>
    <w:rsid w:val="00463FBF"/>
    <w:rsid w:val="00463FC8"/>
    <w:rsid w:val="00464060"/>
    <w:rsid w:val="00464073"/>
    <w:rsid w:val="00464178"/>
    <w:rsid w:val="00464235"/>
    <w:rsid w:val="00464243"/>
    <w:rsid w:val="00464308"/>
    <w:rsid w:val="004643B5"/>
    <w:rsid w:val="004644FB"/>
    <w:rsid w:val="004645AA"/>
    <w:rsid w:val="00464620"/>
    <w:rsid w:val="0046463D"/>
    <w:rsid w:val="0046475D"/>
    <w:rsid w:val="004647B9"/>
    <w:rsid w:val="004647D9"/>
    <w:rsid w:val="0046485B"/>
    <w:rsid w:val="0046488C"/>
    <w:rsid w:val="00464908"/>
    <w:rsid w:val="00464924"/>
    <w:rsid w:val="00464937"/>
    <w:rsid w:val="004649BA"/>
    <w:rsid w:val="00464A73"/>
    <w:rsid w:val="00464A99"/>
    <w:rsid w:val="00464B19"/>
    <w:rsid w:val="00464B87"/>
    <w:rsid w:val="00464B98"/>
    <w:rsid w:val="00464C8E"/>
    <w:rsid w:val="00464DDB"/>
    <w:rsid w:val="00464EC0"/>
    <w:rsid w:val="00464EDD"/>
    <w:rsid w:val="00464F29"/>
    <w:rsid w:val="00464FD2"/>
    <w:rsid w:val="00465035"/>
    <w:rsid w:val="00465064"/>
    <w:rsid w:val="00465088"/>
    <w:rsid w:val="004650E0"/>
    <w:rsid w:val="00465231"/>
    <w:rsid w:val="00465244"/>
    <w:rsid w:val="0046524D"/>
    <w:rsid w:val="0046527C"/>
    <w:rsid w:val="00465376"/>
    <w:rsid w:val="0046548B"/>
    <w:rsid w:val="004654CD"/>
    <w:rsid w:val="00465524"/>
    <w:rsid w:val="004655A8"/>
    <w:rsid w:val="00465622"/>
    <w:rsid w:val="00465692"/>
    <w:rsid w:val="00465699"/>
    <w:rsid w:val="00465871"/>
    <w:rsid w:val="004658AB"/>
    <w:rsid w:val="00465B0C"/>
    <w:rsid w:val="00465BBA"/>
    <w:rsid w:val="00465C3F"/>
    <w:rsid w:val="00465CC9"/>
    <w:rsid w:val="00465E75"/>
    <w:rsid w:val="00465E85"/>
    <w:rsid w:val="00465EB0"/>
    <w:rsid w:val="00465ECE"/>
    <w:rsid w:val="00465EF2"/>
    <w:rsid w:val="00465F46"/>
    <w:rsid w:val="00465F52"/>
    <w:rsid w:val="00465FAA"/>
    <w:rsid w:val="00465FAF"/>
    <w:rsid w:val="00465FC8"/>
    <w:rsid w:val="004660C2"/>
    <w:rsid w:val="004660D6"/>
    <w:rsid w:val="0046613D"/>
    <w:rsid w:val="0046615D"/>
    <w:rsid w:val="00466197"/>
    <w:rsid w:val="004661B1"/>
    <w:rsid w:val="004661F5"/>
    <w:rsid w:val="00466699"/>
    <w:rsid w:val="004666FD"/>
    <w:rsid w:val="0046672F"/>
    <w:rsid w:val="00466824"/>
    <w:rsid w:val="00466850"/>
    <w:rsid w:val="004669C3"/>
    <w:rsid w:val="00466A61"/>
    <w:rsid w:val="00466AD0"/>
    <w:rsid w:val="00466AF3"/>
    <w:rsid w:val="00466B31"/>
    <w:rsid w:val="00466B3E"/>
    <w:rsid w:val="00466B7B"/>
    <w:rsid w:val="00466BB3"/>
    <w:rsid w:val="00466BC1"/>
    <w:rsid w:val="00466E44"/>
    <w:rsid w:val="00466EC3"/>
    <w:rsid w:val="00466F92"/>
    <w:rsid w:val="00467098"/>
    <w:rsid w:val="004670E8"/>
    <w:rsid w:val="004671C4"/>
    <w:rsid w:val="004672CD"/>
    <w:rsid w:val="00467348"/>
    <w:rsid w:val="004673CC"/>
    <w:rsid w:val="0046754B"/>
    <w:rsid w:val="004675A4"/>
    <w:rsid w:val="004675DB"/>
    <w:rsid w:val="004675DD"/>
    <w:rsid w:val="0046769C"/>
    <w:rsid w:val="004676A7"/>
    <w:rsid w:val="004676F7"/>
    <w:rsid w:val="00467A88"/>
    <w:rsid w:val="00467ADB"/>
    <w:rsid w:val="00467B01"/>
    <w:rsid w:val="00467B16"/>
    <w:rsid w:val="00467C8D"/>
    <w:rsid w:val="00467D61"/>
    <w:rsid w:val="00467DB6"/>
    <w:rsid w:val="00470143"/>
    <w:rsid w:val="004701A1"/>
    <w:rsid w:val="004702C9"/>
    <w:rsid w:val="00470381"/>
    <w:rsid w:val="0047040D"/>
    <w:rsid w:val="004704D3"/>
    <w:rsid w:val="0047063C"/>
    <w:rsid w:val="0047063F"/>
    <w:rsid w:val="004706BC"/>
    <w:rsid w:val="00470727"/>
    <w:rsid w:val="00470754"/>
    <w:rsid w:val="00470801"/>
    <w:rsid w:val="00470949"/>
    <w:rsid w:val="00470A43"/>
    <w:rsid w:val="00470C10"/>
    <w:rsid w:val="00470C31"/>
    <w:rsid w:val="00470C9D"/>
    <w:rsid w:val="00470CE1"/>
    <w:rsid w:val="00470E2F"/>
    <w:rsid w:val="00470E73"/>
    <w:rsid w:val="00470EC9"/>
    <w:rsid w:val="00471077"/>
    <w:rsid w:val="004710B4"/>
    <w:rsid w:val="00471265"/>
    <w:rsid w:val="004712A3"/>
    <w:rsid w:val="004712B2"/>
    <w:rsid w:val="004712E7"/>
    <w:rsid w:val="004713C3"/>
    <w:rsid w:val="004713DD"/>
    <w:rsid w:val="00471498"/>
    <w:rsid w:val="00471507"/>
    <w:rsid w:val="0047151D"/>
    <w:rsid w:val="0047153F"/>
    <w:rsid w:val="00471602"/>
    <w:rsid w:val="004716C1"/>
    <w:rsid w:val="004716DC"/>
    <w:rsid w:val="00471807"/>
    <w:rsid w:val="0047180C"/>
    <w:rsid w:val="004718B4"/>
    <w:rsid w:val="00471911"/>
    <w:rsid w:val="004719A6"/>
    <w:rsid w:val="00471ABF"/>
    <w:rsid w:val="00471B09"/>
    <w:rsid w:val="00471BBA"/>
    <w:rsid w:val="00471BCB"/>
    <w:rsid w:val="00471BDA"/>
    <w:rsid w:val="00471EC8"/>
    <w:rsid w:val="00471F4B"/>
    <w:rsid w:val="00471F66"/>
    <w:rsid w:val="0047205F"/>
    <w:rsid w:val="004721A4"/>
    <w:rsid w:val="004724C5"/>
    <w:rsid w:val="00472591"/>
    <w:rsid w:val="004725CC"/>
    <w:rsid w:val="0047263B"/>
    <w:rsid w:val="004726B9"/>
    <w:rsid w:val="00472709"/>
    <w:rsid w:val="004727C5"/>
    <w:rsid w:val="004727EA"/>
    <w:rsid w:val="00472839"/>
    <w:rsid w:val="00472870"/>
    <w:rsid w:val="00472871"/>
    <w:rsid w:val="00472933"/>
    <w:rsid w:val="0047298A"/>
    <w:rsid w:val="004729ED"/>
    <w:rsid w:val="00472A90"/>
    <w:rsid w:val="00472AF4"/>
    <w:rsid w:val="00472C3E"/>
    <w:rsid w:val="00472CBF"/>
    <w:rsid w:val="00472E66"/>
    <w:rsid w:val="00472E8B"/>
    <w:rsid w:val="00472F8C"/>
    <w:rsid w:val="00472FB4"/>
    <w:rsid w:val="00473008"/>
    <w:rsid w:val="004732E5"/>
    <w:rsid w:val="00473309"/>
    <w:rsid w:val="00473430"/>
    <w:rsid w:val="00473441"/>
    <w:rsid w:val="004734AF"/>
    <w:rsid w:val="004734E3"/>
    <w:rsid w:val="004734F5"/>
    <w:rsid w:val="0047354E"/>
    <w:rsid w:val="004736EE"/>
    <w:rsid w:val="004737FF"/>
    <w:rsid w:val="00473837"/>
    <w:rsid w:val="004739CF"/>
    <w:rsid w:val="004739DB"/>
    <w:rsid w:val="00473B83"/>
    <w:rsid w:val="00473B94"/>
    <w:rsid w:val="00473BFE"/>
    <w:rsid w:val="00473E02"/>
    <w:rsid w:val="00473E0A"/>
    <w:rsid w:val="00473E1A"/>
    <w:rsid w:val="00473E2D"/>
    <w:rsid w:val="00473E36"/>
    <w:rsid w:val="00473F83"/>
    <w:rsid w:val="00473FB1"/>
    <w:rsid w:val="0047406F"/>
    <w:rsid w:val="00474078"/>
    <w:rsid w:val="0047408C"/>
    <w:rsid w:val="004740B6"/>
    <w:rsid w:val="0047412D"/>
    <w:rsid w:val="0047421F"/>
    <w:rsid w:val="004742AB"/>
    <w:rsid w:val="004742B8"/>
    <w:rsid w:val="00474361"/>
    <w:rsid w:val="0047436A"/>
    <w:rsid w:val="00474387"/>
    <w:rsid w:val="004743E4"/>
    <w:rsid w:val="004743FE"/>
    <w:rsid w:val="004744D8"/>
    <w:rsid w:val="004745DF"/>
    <w:rsid w:val="004745F4"/>
    <w:rsid w:val="004747AA"/>
    <w:rsid w:val="00474866"/>
    <w:rsid w:val="004748A4"/>
    <w:rsid w:val="004748A8"/>
    <w:rsid w:val="00474909"/>
    <w:rsid w:val="00474955"/>
    <w:rsid w:val="00474973"/>
    <w:rsid w:val="004749A6"/>
    <w:rsid w:val="00474A3D"/>
    <w:rsid w:val="00474A6E"/>
    <w:rsid w:val="00474B0E"/>
    <w:rsid w:val="00474B6C"/>
    <w:rsid w:val="00474B90"/>
    <w:rsid w:val="00474CB7"/>
    <w:rsid w:val="00474D3F"/>
    <w:rsid w:val="00474D43"/>
    <w:rsid w:val="00474DE3"/>
    <w:rsid w:val="00474E52"/>
    <w:rsid w:val="00474E64"/>
    <w:rsid w:val="00474ECA"/>
    <w:rsid w:val="0047502C"/>
    <w:rsid w:val="00475053"/>
    <w:rsid w:val="0047505A"/>
    <w:rsid w:val="00475106"/>
    <w:rsid w:val="0047517E"/>
    <w:rsid w:val="00475388"/>
    <w:rsid w:val="00475470"/>
    <w:rsid w:val="0047548B"/>
    <w:rsid w:val="0047548E"/>
    <w:rsid w:val="004754EC"/>
    <w:rsid w:val="004755ED"/>
    <w:rsid w:val="004756B2"/>
    <w:rsid w:val="0047571E"/>
    <w:rsid w:val="0047572F"/>
    <w:rsid w:val="00475797"/>
    <w:rsid w:val="00475798"/>
    <w:rsid w:val="00475800"/>
    <w:rsid w:val="0047597A"/>
    <w:rsid w:val="004759D1"/>
    <w:rsid w:val="004759F8"/>
    <w:rsid w:val="00475A0C"/>
    <w:rsid w:val="00475A24"/>
    <w:rsid w:val="00475A6B"/>
    <w:rsid w:val="00475A8A"/>
    <w:rsid w:val="00475B38"/>
    <w:rsid w:val="00475BD0"/>
    <w:rsid w:val="00475BFD"/>
    <w:rsid w:val="00475C1F"/>
    <w:rsid w:val="00475C21"/>
    <w:rsid w:val="00475D0A"/>
    <w:rsid w:val="00475E24"/>
    <w:rsid w:val="00475E7B"/>
    <w:rsid w:val="004760A1"/>
    <w:rsid w:val="004760A2"/>
    <w:rsid w:val="004760CF"/>
    <w:rsid w:val="004760EC"/>
    <w:rsid w:val="004761B1"/>
    <w:rsid w:val="004761F4"/>
    <w:rsid w:val="00476278"/>
    <w:rsid w:val="0047636E"/>
    <w:rsid w:val="00476377"/>
    <w:rsid w:val="004765F5"/>
    <w:rsid w:val="00476634"/>
    <w:rsid w:val="004766A8"/>
    <w:rsid w:val="0047682B"/>
    <w:rsid w:val="00476890"/>
    <w:rsid w:val="004768D3"/>
    <w:rsid w:val="00476932"/>
    <w:rsid w:val="0047695F"/>
    <w:rsid w:val="004769B7"/>
    <w:rsid w:val="00476CEA"/>
    <w:rsid w:val="00476D0C"/>
    <w:rsid w:val="00476D20"/>
    <w:rsid w:val="00476E0E"/>
    <w:rsid w:val="00477021"/>
    <w:rsid w:val="00477070"/>
    <w:rsid w:val="00477328"/>
    <w:rsid w:val="0047734F"/>
    <w:rsid w:val="004773E5"/>
    <w:rsid w:val="00477550"/>
    <w:rsid w:val="00477566"/>
    <w:rsid w:val="004775C6"/>
    <w:rsid w:val="00477614"/>
    <w:rsid w:val="00477698"/>
    <w:rsid w:val="004778B6"/>
    <w:rsid w:val="004779C9"/>
    <w:rsid w:val="00477AC6"/>
    <w:rsid w:val="00477AE4"/>
    <w:rsid w:val="00477AE7"/>
    <w:rsid w:val="00477C54"/>
    <w:rsid w:val="00477C7C"/>
    <w:rsid w:val="00477CB2"/>
    <w:rsid w:val="00477D4D"/>
    <w:rsid w:val="00477DCF"/>
    <w:rsid w:val="00477DD5"/>
    <w:rsid w:val="00477EB1"/>
    <w:rsid w:val="00477FA4"/>
    <w:rsid w:val="00477FB8"/>
    <w:rsid w:val="00477FD5"/>
    <w:rsid w:val="00480119"/>
    <w:rsid w:val="004801EF"/>
    <w:rsid w:val="00480375"/>
    <w:rsid w:val="004805DD"/>
    <w:rsid w:val="00480606"/>
    <w:rsid w:val="00480618"/>
    <w:rsid w:val="0048063F"/>
    <w:rsid w:val="00480705"/>
    <w:rsid w:val="00480849"/>
    <w:rsid w:val="0048084B"/>
    <w:rsid w:val="00480869"/>
    <w:rsid w:val="0048088B"/>
    <w:rsid w:val="004809EE"/>
    <w:rsid w:val="00480A00"/>
    <w:rsid w:val="00480A06"/>
    <w:rsid w:val="00480A9B"/>
    <w:rsid w:val="00480ACD"/>
    <w:rsid w:val="00480C1C"/>
    <w:rsid w:val="00480C77"/>
    <w:rsid w:val="00480C89"/>
    <w:rsid w:val="00480CFD"/>
    <w:rsid w:val="00480E19"/>
    <w:rsid w:val="00480FC8"/>
    <w:rsid w:val="0048102C"/>
    <w:rsid w:val="004810D3"/>
    <w:rsid w:val="00481143"/>
    <w:rsid w:val="0048119A"/>
    <w:rsid w:val="00481230"/>
    <w:rsid w:val="0048130A"/>
    <w:rsid w:val="00481484"/>
    <w:rsid w:val="00481545"/>
    <w:rsid w:val="00481548"/>
    <w:rsid w:val="004815E3"/>
    <w:rsid w:val="004816B6"/>
    <w:rsid w:val="00481761"/>
    <w:rsid w:val="00481763"/>
    <w:rsid w:val="00481773"/>
    <w:rsid w:val="004817B7"/>
    <w:rsid w:val="0048198A"/>
    <w:rsid w:val="00481AEF"/>
    <w:rsid w:val="00481B3B"/>
    <w:rsid w:val="00481BBF"/>
    <w:rsid w:val="00481BE2"/>
    <w:rsid w:val="00481C0A"/>
    <w:rsid w:val="00481C2D"/>
    <w:rsid w:val="00481C77"/>
    <w:rsid w:val="00481CEB"/>
    <w:rsid w:val="00481D06"/>
    <w:rsid w:val="00481D2B"/>
    <w:rsid w:val="00481EDA"/>
    <w:rsid w:val="00481EF9"/>
    <w:rsid w:val="00481F1F"/>
    <w:rsid w:val="00481FC2"/>
    <w:rsid w:val="004820C5"/>
    <w:rsid w:val="004820CC"/>
    <w:rsid w:val="0048211F"/>
    <w:rsid w:val="00482176"/>
    <w:rsid w:val="0048219E"/>
    <w:rsid w:val="004821CC"/>
    <w:rsid w:val="0048223B"/>
    <w:rsid w:val="0048227F"/>
    <w:rsid w:val="004822CD"/>
    <w:rsid w:val="004823E5"/>
    <w:rsid w:val="00482442"/>
    <w:rsid w:val="004824A5"/>
    <w:rsid w:val="0048252E"/>
    <w:rsid w:val="0048255A"/>
    <w:rsid w:val="004825F9"/>
    <w:rsid w:val="00482605"/>
    <w:rsid w:val="00482659"/>
    <w:rsid w:val="0048268D"/>
    <w:rsid w:val="004826FC"/>
    <w:rsid w:val="0048273E"/>
    <w:rsid w:val="00482BFB"/>
    <w:rsid w:val="00482C4A"/>
    <w:rsid w:val="00482D21"/>
    <w:rsid w:val="00482D3D"/>
    <w:rsid w:val="00482DAC"/>
    <w:rsid w:val="00482DDA"/>
    <w:rsid w:val="00482DF5"/>
    <w:rsid w:val="00482E51"/>
    <w:rsid w:val="00482E55"/>
    <w:rsid w:val="00482E5C"/>
    <w:rsid w:val="00482E6A"/>
    <w:rsid w:val="00482ED7"/>
    <w:rsid w:val="0048301F"/>
    <w:rsid w:val="004830B3"/>
    <w:rsid w:val="004830D3"/>
    <w:rsid w:val="004830DE"/>
    <w:rsid w:val="00483160"/>
    <w:rsid w:val="00483162"/>
    <w:rsid w:val="0048327B"/>
    <w:rsid w:val="004832F7"/>
    <w:rsid w:val="004833AC"/>
    <w:rsid w:val="004833AE"/>
    <w:rsid w:val="004833F8"/>
    <w:rsid w:val="00483497"/>
    <w:rsid w:val="004835BD"/>
    <w:rsid w:val="004835D6"/>
    <w:rsid w:val="00483634"/>
    <w:rsid w:val="00483675"/>
    <w:rsid w:val="004837EC"/>
    <w:rsid w:val="00483C4F"/>
    <w:rsid w:val="00483D21"/>
    <w:rsid w:val="00483D6D"/>
    <w:rsid w:val="00483E0F"/>
    <w:rsid w:val="00483E7B"/>
    <w:rsid w:val="00483E99"/>
    <w:rsid w:val="00483F5C"/>
    <w:rsid w:val="00483FCB"/>
    <w:rsid w:val="004840C0"/>
    <w:rsid w:val="004840FD"/>
    <w:rsid w:val="0048410C"/>
    <w:rsid w:val="00484110"/>
    <w:rsid w:val="0048421A"/>
    <w:rsid w:val="004842A5"/>
    <w:rsid w:val="004842F7"/>
    <w:rsid w:val="004843BF"/>
    <w:rsid w:val="00484428"/>
    <w:rsid w:val="00484429"/>
    <w:rsid w:val="00484555"/>
    <w:rsid w:val="00484622"/>
    <w:rsid w:val="004847A2"/>
    <w:rsid w:val="004847A6"/>
    <w:rsid w:val="004847C9"/>
    <w:rsid w:val="00484849"/>
    <w:rsid w:val="004848AB"/>
    <w:rsid w:val="0048490A"/>
    <w:rsid w:val="00484932"/>
    <w:rsid w:val="0048499D"/>
    <w:rsid w:val="00484AE0"/>
    <w:rsid w:val="00484BAB"/>
    <w:rsid w:val="00484C68"/>
    <w:rsid w:val="00484CB0"/>
    <w:rsid w:val="00484D42"/>
    <w:rsid w:val="00484D69"/>
    <w:rsid w:val="00484E1C"/>
    <w:rsid w:val="00484ECF"/>
    <w:rsid w:val="00484EF3"/>
    <w:rsid w:val="00484EF9"/>
    <w:rsid w:val="004850B1"/>
    <w:rsid w:val="004850ED"/>
    <w:rsid w:val="0048517F"/>
    <w:rsid w:val="0048520C"/>
    <w:rsid w:val="00485304"/>
    <w:rsid w:val="00485371"/>
    <w:rsid w:val="0048539C"/>
    <w:rsid w:val="004853D7"/>
    <w:rsid w:val="0048547A"/>
    <w:rsid w:val="004854ED"/>
    <w:rsid w:val="00485559"/>
    <w:rsid w:val="00485586"/>
    <w:rsid w:val="0048572D"/>
    <w:rsid w:val="00485743"/>
    <w:rsid w:val="00485822"/>
    <w:rsid w:val="004858B3"/>
    <w:rsid w:val="004858C3"/>
    <w:rsid w:val="00485911"/>
    <w:rsid w:val="00485BB0"/>
    <w:rsid w:val="00485CE3"/>
    <w:rsid w:val="00485DC9"/>
    <w:rsid w:val="00485ED1"/>
    <w:rsid w:val="00485F85"/>
    <w:rsid w:val="00485FEC"/>
    <w:rsid w:val="004860DA"/>
    <w:rsid w:val="00486183"/>
    <w:rsid w:val="004861C6"/>
    <w:rsid w:val="00486259"/>
    <w:rsid w:val="00486302"/>
    <w:rsid w:val="0048633B"/>
    <w:rsid w:val="00486377"/>
    <w:rsid w:val="0048647E"/>
    <w:rsid w:val="004864A6"/>
    <w:rsid w:val="004864F3"/>
    <w:rsid w:val="00486551"/>
    <w:rsid w:val="0048656E"/>
    <w:rsid w:val="00486622"/>
    <w:rsid w:val="004867F0"/>
    <w:rsid w:val="00486867"/>
    <w:rsid w:val="004868D4"/>
    <w:rsid w:val="0048699B"/>
    <w:rsid w:val="0048699E"/>
    <w:rsid w:val="00486A1E"/>
    <w:rsid w:val="00486B2D"/>
    <w:rsid w:val="00486B52"/>
    <w:rsid w:val="00486BB8"/>
    <w:rsid w:val="00486BD1"/>
    <w:rsid w:val="00486C46"/>
    <w:rsid w:val="00486C5B"/>
    <w:rsid w:val="00486D27"/>
    <w:rsid w:val="00486E0A"/>
    <w:rsid w:val="00486EA4"/>
    <w:rsid w:val="00486F70"/>
    <w:rsid w:val="00486FCD"/>
    <w:rsid w:val="004870E6"/>
    <w:rsid w:val="004870FC"/>
    <w:rsid w:val="0048716F"/>
    <w:rsid w:val="004871A7"/>
    <w:rsid w:val="00487439"/>
    <w:rsid w:val="00487440"/>
    <w:rsid w:val="0048748D"/>
    <w:rsid w:val="00487493"/>
    <w:rsid w:val="0048763E"/>
    <w:rsid w:val="0048764A"/>
    <w:rsid w:val="004876A5"/>
    <w:rsid w:val="004876C3"/>
    <w:rsid w:val="004877BA"/>
    <w:rsid w:val="004877D0"/>
    <w:rsid w:val="0048788E"/>
    <w:rsid w:val="004878D3"/>
    <w:rsid w:val="0048795C"/>
    <w:rsid w:val="004879A4"/>
    <w:rsid w:val="00487A88"/>
    <w:rsid w:val="00487B55"/>
    <w:rsid w:val="00487C75"/>
    <w:rsid w:val="00487D85"/>
    <w:rsid w:val="00487F19"/>
    <w:rsid w:val="0049004F"/>
    <w:rsid w:val="0049007D"/>
    <w:rsid w:val="00490098"/>
    <w:rsid w:val="004900C9"/>
    <w:rsid w:val="00490137"/>
    <w:rsid w:val="0049013C"/>
    <w:rsid w:val="0049034A"/>
    <w:rsid w:val="00490495"/>
    <w:rsid w:val="0049058E"/>
    <w:rsid w:val="004905DD"/>
    <w:rsid w:val="004906A7"/>
    <w:rsid w:val="00490B1E"/>
    <w:rsid w:val="00490B4B"/>
    <w:rsid w:val="00490B6B"/>
    <w:rsid w:val="00490BE0"/>
    <w:rsid w:val="00490ECC"/>
    <w:rsid w:val="00490F1E"/>
    <w:rsid w:val="004910C0"/>
    <w:rsid w:val="00491116"/>
    <w:rsid w:val="00491173"/>
    <w:rsid w:val="004913BB"/>
    <w:rsid w:val="00491420"/>
    <w:rsid w:val="004915E2"/>
    <w:rsid w:val="00491661"/>
    <w:rsid w:val="00491665"/>
    <w:rsid w:val="004916C7"/>
    <w:rsid w:val="00491706"/>
    <w:rsid w:val="0049172A"/>
    <w:rsid w:val="0049178D"/>
    <w:rsid w:val="004917E4"/>
    <w:rsid w:val="004917ED"/>
    <w:rsid w:val="00491821"/>
    <w:rsid w:val="004918A2"/>
    <w:rsid w:val="00491B15"/>
    <w:rsid w:val="00491D98"/>
    <w:rsid w:val="00491DBD"/>
    <w:rsid w:val="00491EC2"/>
    <w:rsid w:val="00491F25"/>
    <w:rsid w:val="00491FE0"/>
    <w:rsid w:val="00491FF2"/>
    <w:rsid w:val="00492027"/>
    <w:rsid w:val="004920AB"/>
    <w:rsid w:val="004921D1"/>
    <w:rsid w:val="00492274"/>
    <w:rsid w:val="004922A4"/>
    <w:rsid w:val="00492539"/>
    <w:rsid w:val="0049258C"/>
    <w:rsid w:val="00492646"/>
    <w:rsid w:val="0049268C"/>
    <w:rsid w:val="0049271E"/>
    <w:rsid w:val="0049272B"/>
    <w:rsid w:val="0049279E"/>
    <w:rsid w:val="004927EF"/>
    <w:rsid w:val="0049281C"/>
    <w:rsid w:val="004928C3"/>
    <w:rsid w:val="00492B0E"/>
    <w:rsid w:val="00492B21"/>
    <w:rsid w:val="00492BCD"/>
    <w:rsid w:val="00492BD2"/>
    <w:rsid w:val="00492C2A"/>
    <w:rsid w:val="00492D01"/>
    <w:rsid w:val="00492D36"/>
    <w:rsid w:val="00492E45"/>
    <w:rsid w:val="00492ED4"/>
    <w:rsid w:val="00492FBB"/>
    <w:rsid w:val="00493061"/>
    <w:rsid w:val="00493085"/>
    <w:rsid w:val="00493111"/>
    <w:rsid w:val="00493142"/>
    <w:rsid w:val="0049316D"/>
    <w:rsid w:val="0049321C"/>
    <w:rsid w:val="004932AF"/>
    <w:rsid w:val="00493331"/>
    <w:rsid w:val="00493489"/>
    <w:rsid w:val="00493630"/>
    <w:rsid w:val="00493678"/>
    <w:rsid w:val="004936F8"/>
    <w:rsid w:val="0049372B"/>
    <w:rsid w:val="00493759"/>
    <w:rsid w:val="00493876"/>
    <w:rsid w:val="00493889"/>
    <w:rsid w:val="004939BC"/>
    <w:rsid w:val="004939F4"/>
    <w:rsid w:val="00493A32"/>
    <w:rsid w:val="00493AC9"/>
    <w:rsid w:val="00493B16"/>
    <w:rsid w:val="00493B2F"/>
    <w:rsid w:val="00493B48"/>
    <w:rsid w:val="00493B8E"/>
    <w:rsid w:val="00493BA3"/>
    <w:rsid w:val="00493D24"/>
    <w:rsid w:val="00493D2A"/>
    <w:rsid w:val="00493DB8"/>
    <w:rsid w:val="00493DBA"/>
    <w:rsid w:val="00493DF5"/>
    <w:rsid w:val="00493E1E"/>
    <w:rsid w:val="00493EB5"/>
    <w:rsid w:val="00493F54"/>
    <w:rsid w:val="004940BB"/>
    <w:rsid w:val="004941E8"/>
    <w:rsid w:val="0049424B"/>
    <w:rsid w:val="004942D1"/>
    <w:rsid w:val="004943A8"/>
    <w:rsid w:val="00494616"/>
    <w:rsid w:val="00494632"/>
    <w:rsid w:val="0049464D"/>
    <w:rsid w:val="00494739"/>
    <w:rsid w:val="004948DE"/>
    <w:rsid w:val="00494A54"/>
    <w:rsid w:val="00494AA1"/>
    <w:rsid w:val="00494AF4"/>
    <w:rsid w:val="00494BBD"/>
    <w:rsid w:val="00494C66"/>
    <w:rsid w:val="00494CDB"/>
    <w:rsid w:val="00494EB8"/>
    <w:rsid w:val="00494F5C"/>
    <w:rsid w:val="004951B6"/>
    <w:rsid w:val="00495205"/>
    <w:rsid w:val="0049527D"/>
    <w:rsid w:val="0049528A"/>
    <w:rsid w:val="00495353"/>
    <w:rsid w:val="004953D3"/>
    <w:rsid w:val="0049549E"/>
    <w:rsid w:val="0049550C"/>
    <w:rsid w:val="0049552A"/>
    <w:rsid w:val="0049560E"/>
    <w:rsid w:val="00495616"/>
    <w:rsid w:val="004956B9"/>
    <w:rsid w:val="004956C7"/>
    <w:rsid w:val="00495854"/>
    <w:rsid w:val="0049587F"/>
    <w:rsid w:val="0049591D"/>
    <w:rsid w:val="00495B15"/>
    <w:rsid w:val="00495B37"/>
    <w:rsid w:val="00495B4D"/>
    <w:rsid w:val="00495C2A"/>
    <w:rsid w:val="00495C39"/>
    <w:rsid w:val="00495CE3"/>
    <w:rsid w:val="00495D1D"/>
    <w:rsid w:val="00495DDA"/>
    <w:rsid w:val="00495E0A"/>
    <w:rsid w:val="00495E21"/>
    <w:rsid w:val="00495EA3"/>
    <w:rsid w:val="00495EC9"/>
    <w:rsid w:val="004960EF"/>
    <w:rsid w:val="00496102"/>
    <w:rsid w:val="004961A8"/>
    <w:rsid w:val="004961AB"/>
    <w:rsid w:val="00496264"/>
    <w:rsid w:val="004962EA"/>
    <w:rsid w:val="0049643F"/>
    <w:rsid w:val="004964C5"/>
    <w:rsid w:val="0049654F"/>
    <w:rsid w:val="004965B0"/>
    <w:rsid w:val="004965CF"/>
    <w:rsid w:val="00496635"/>
    <w:rsid w:val="00496739"/>
    <w:rsid w:val="004967B8"/>
    <w:rsid w:val="004967E7"/>
    <w:rsid w:val="00496822"/>
    <w:rsid w:val="004968DF"/>
    <w:rsid w:val="00496978"/>
    <w:rsid w:val="00496A7D"/>
    <w:rsid w:val="00496BB9"/>
    <w:rsid w:val="00496C48"/>
    <w:rsid w:val="00496E5E"/>
    <w:rsid w:val="00496E9F"/>
    <w:rsid w:val="00496F18"/>
    <w:rsid w:val="00497012"/>
    <w:rsid w:val="0049703C"/>
    <w:rsid w:val="00497040"/>
    <w:rsid w:val="0049704E"/>
    <w:rsid w:val="004970A0"/>
    <w:rsid w:val="004970A2"/>
    <w:rsid w:val="00497147"/>
    <w:rsid w:val="0049716C"/>
    <w:rsid w:val="004971FA"/>
    <w:rsid w:val="00497439"/>
    <w:rsid w:val="00497486"/>
    <w:rsid w:val="0049753C"/>
    <w:rsid w:val="004976A2"/>
    <w:rsid w:val="004976BD"/>
    <w:rsid w:val="004976DC"/>
    <w:rsid w:val="00497728"/>
    <w:rsid w:val="00497732"/>
    <w:rsid w:val="00497768"/>
    <w:rsid w:val="0049779D"/>
    <w:rsid w:val="004977F9"/>
    <w:rsid w:val="0049785E"/>
    <w:rsid w:val="004978EA"/>
    <w:rsid w:val="0049793C"/>
    <w:rsid w:val="0049794F"/>
    <w:rsid w:val="00497979"/>
    <w:rsid w:val="00497985"/>
    <w:rsid w:val="004979CA"/>
    <w:rsid w:val="00497A1F"/>
    <w:rsid w:val="00497A5E"/>
    <w:rsid w:val="00497AB7"/>
    <w:rsid w:val="00497B0D"/>
    <w:rsid w:val="00497B35"/>
    <w:rsid w:val="00497BED"/>
    <w:rsid w:val="00497C36"/>
    <w:rsid w:val="00497C4A"/>
    <w:rsid w:val="00497CA8"/>
    <w:rsid w:val="00497E20"/>
    <w:rsid w:val="00497ED1"/>
    <w:rsid w:val="00497F41"/>
    <w:rsid w:val="00497FF2"/>
    <w:rsid w:val="004A006A"/>
    <w:rsid w:val="004A0081"/>
    <w:rsid w:val="004A0155"/>
    <w:rsid w:val="004A0170"/>
    <w:rsid w:val="004A017C"/>
    <w:rsid w:val="004A02CA"/>
    <w:rsid w:val="004A02D7"/>
    <w:rsid w:val="004A037C"/>
    <w:rsid w:val="004A04CE"/>
    <w:rsid w:val="004A0530"/>
    <w:rsid w:val="004A059E"/>
    <w:rsid w:val="004A05A0"/>
    <w:rsid w:val="004A0696"/>
    <w:rsid w:val="004A06CE"/>
    <w:rsid w:val="004A07F2"/>
    <w:rsid w:val="004A0819"/>
    <w:rsid w:val="004A08B7"/>
    <w:rsid w:val="004A0BCD"/>
    <w:rsid w:val="004A0C0D"/>
    <w:rsid w:val="004A0C19"/>
    <w:rsid w:val="004A0C81"/>
    <w:rsid w:val="004A0CED"/>
    <w:rsid w:val="004A0D87"/>
    <w:rsid w:val="004A0DBF"/>
    <w:rsid w:val="004A0DC4"/>
    <w:rsid w:val="004A0E36"/>
    <w:rsid w:val="004A102C"/>
    <w:rsid w:val="004A1070"/>
    <w:rsid w:val="004A1079"/>
    <w:rsid w:val="004A10B9"/>
    <w:rsid w:val="004A117F"/>
    <w:rsid w:val="004A1323"/>
    <w:rsid w:val="004A1336"/>
    <w:rsid w:val="004A13CA"/>
    <w:rsid w:val="004A13F5"/>
    <w:rsid w:val="004A14E8"/>
    <w:rsid w:val="004A14F4"/>
    <w:rsid w:val="004A155A"/>
    <w:rsid w:val="004A1626"/>
    <w:rsid w:val="004A1690"/>
    <w:rsid w:val="004A1786"/>
    <w:rsid w:val="004A1915"/>
    <w:rsid w:val="004A19B0"/>
    <w:rsid w:val="004A1A32"/>
    <w:rsid w:val="004A1BAA"/>
    <w:rsid w:val="004A1BDF"/>
    <w:rsid w:val="004A1C13"/>
    <w:rsid w:val="004A1C82"/>
    <w:rsid w:val="004A1D2A"/>
    <w:rsid w:val="004A1D69"/>
    <w:rsid w:val="004A1D75"/>
    <w:rsid w:val="004A1E61"/>
    <w:rsid w:val="004A1EDB"/>
    <w:rsid w:val="004A1EFD"/>
    <w:rsid w:val="004A1FA2"/>
    <w:rsid w:val="004A1FDC"/>
    <w:rsid w:val="004A2335"/>
    <w:rsid w:val="004A2362"/>
    <w:rsid w:val="004A2372"/>
    <w:rsid w:val="004A24A0"/>
    <w:rsid w:val="004A253E"/>
    <w:rsid w:val="004A2571"/>
    <w:rsid w:val="004A26F8"/>
    <w:rsid w:val="004A2947"/>
    <w:rsid w:val="004A29F4"/>
    <w:rsid w:val="004A2BB4"/>
    <w:rsid w:val="004A2CD6"/>
    <w:rsid w:val="004A2D00"/>
    <w:rsid w:val="004A2E80"/>
    <w:rsid w:val="004A2F0A"/>
    <w:rsid w:val="004A3081"/>
    <w:rsid w:val="004A30EF"/>
    <w:rsid w:val="004A31A6"/>
    <w:rsid w:val="004A3223"/>
    <w:rsid w:val="004A325F"/>
    <w:rsid w:val="004A3307"/>
    <w:rsid w:val="004A3309"/>
    <w:rsid w:val="004A3316"/>
    <w:rsid w:val="004A33DF"/>
    <w:rsid w:val="004A3498"/>
    <w:rsid w:val="004A34C3"/>
    <w:rsid w:val="004A3536"/>
    <w:rsid w:val="004A35B2"/>
    <w:rsid w:val="004A3621"/>
    <w:rsid w:val="004A3626"/>
    <w:rsid w:val="004A36B3"/>
    <w:rsid w:val="004A36D8"/>
    <w:rsid w:val="004A374E"/>
    <w:rsid w:val="004A37F2"/>
    <w:rsid w:val="004A3897"/>
    <w:rsid w:val="004A38C1"/>
    <w:rsid w:val="004A39DB"/>
    <w:rsid w:val="004A3AC0"/>
    <w:rsid w:val="004A3B7F"/>
    <w:rsid w:val="004A3C45"/>
    <w:rsid w:val="004A3C94"/>
    <w:rsid w:val="004A3CAC"/>
    <w:rsid w:val="004A3CD4"/>
    <w:rsid w:val="004A3DE0"/>
    <w:rsid w:val="004A3F2E"/>
    <w:rsid w:val="004A3FDF"/>
    <w:rsid w:val="004A3FE4"/>
    <w:rsid w:val="004A41A1"/>
    <w:rsid w:val="004A42E3"/>
    <w:rsid w:val="004A4351"/>
    <w:rsid w:val="004A4421"/>
    <w:rsid w:val="004A4491"/>
    <w:rsid w:val="004A4559"/>
    <w:rsid w:val="004A4568"/>
    <w:rsid w:val="004A45BB"/>
    <w:rsid w:val="004A45E8"/>
    <w:rsid w:val="004A4649"/>
    <w:rsid w:val="004A467F"/>
    <w:rsid w:val="004A46A0"/>
    <w:rsid w:val="004A470C"/>
    <w:rsid w:val="004A4719"/>
    <w:rsid w:val="004A4724"/>
    <w:rsid w:val="004A4725"/>
    <w:rsid w:val="004A4790"/>
    <w:rsid w:val="004A4810"/>
    <w:rsid w:val="004A48BC"/>
    <w:rsid w:val="004A4903"/>
    <w:rsid w:val="004A4924"/>
    <w:rsid w:val="004A4995"/>
    <w:rsid w:val="004A49B9"/>
    <w:rsid w:val="004A4C28"/>
    <w:rsid w:val="004A4C70"/>
    <w:rsid w:val="004A4C93"/>
    <w:rsid w:val="004A4C9E"/>
    <w:rsid w:val="004A4CF4"/>
    <w:rsid w:val="004A4D28"/>
    <w:rsid w:val="004A4DB4"/>
    <w:rsid w:val="004A4DC8"/>
    <w:rsid w:val="004A4DF4"/>
    <w:rsid w:val="004A4E0E"/>
    <w:rsid w:val="004A4EA6"/>
    <w:rsid w:val="004A4F39"/>
    <w:rsid w:val="004A4F49"/>
    <w:rsid w:val="004A4F6D"/>
    <w:rsid w:val="004A50DE"/>
    <w:rsid w:val="004A5118"/>
    <w:rsid w:val="004A51C2"/>
    <w:rsid w:val="004A5200"/>
    <w:rsid w:val="004A5228"/>
    <w:rsid w:val="004A5232"/>
    <w:rsid w:val="004A523D"/>
    <w:rsid w:val="004A5374"/>
    <w:rsid w:val="004A53C4"/>
    <w:rsid w:val="004A5495"/>
    <w:rsid w:val="004A5782"/>
    <w:rsid w:val="004A5891"/>
    <w:rsid w:val="004A58A0"/>
    <w:rsid w:val="004A58CB"/>
    <w:rsid w:val="004A5923"/>
    <w:rsid w:val="004A598B"/>
    <w:rsid w:val="004A5B9D"/>
    <w:rsid w:val="004A5BD5"/>
    <w:rsid w:val="004A5C94"/>
    <w:rsid w:val="004A5CC9"/>
    <w:rsid w:val="004A5CD2"/>
    <w:rsid w:val="004A5E29"/>
    <w:rsid w:val="004A5E9F"/>
    <w:rsid w:val="004A609C"/>
    <w:rsid w:val="004A61B1"/>
    <w:rsid w:val="004A6344"/>
    <w:rsid w:val="004A6393"/>
    <w:rsid w:val="004A63B6"/>
    <w:rsid w:val="004A641C"/>
    <w:rsid w:val="004A645A"/>
    <w:rsid w:val="004A6510"/>
    <w:rsid w:val="004A6576"/>
    <w:rsid w:val="004A6704"/>
    <w:rsid w:val="004A6754"/>
    <w:rsid w:val="004A693D"/>
    <w:rsid w:val="004A69EE"/>
    <w:rsid w:val="004A6B2B"/>
    <w:rsid w:val="004A6CCB"/>
    <w:rsid w:val="004A6CF8"/>
    <w:rsid w:val="004A6D35"/>
    <w:rsid w:val="004A6EA3"/>
    <w:rsid w:val="004A6F6D"/>
    <w:rsid w:val="004A6F7B"/>
    <w:rsid w:val="004A6F83"/>
    <w:rsid w:val="004A7075"/>
    <w:rsid w:val="004A710E"/>
    <w:rsid w:val="004A7123"/>
    <w:rsid w:val="004A7161"/>
    <w:rsid w:val="004A71C3"/>
    <w:rsid w:val="004A71C5"/>
    <w:rsid w:val="004A71E3"/>
    <w:rsid w:val="004A7212"/>
    <w:rsid w:val="004A7268"/>
    <w:rsid w:val="004A7374"/>
    <w:rsid w:val="004A737E"/>
    <w:rsid w:val="004A73B2"/>
    <w:rsid w:val="004A7493"/>
    <w:rsid w:val="004A7566"/>
    <w:rsid w:val="004A75D5"/>
    <w:rsid w:val="004A7642"/>
    <w:rsid w:val="004A764D"/>
    <w:rsid w:val="004A7928"/>
    <w:rsid w:val="004A792B"/>
    <w:rsid w:val="004A79C2"/>
    <w:rsid w:val="004A7A1B"/>
    <w:rsid w:val="004A7A59"/>
    <w:rsid w:val="004A7AA5"/>
    <w:rsid w:val="004A7AF3"/>
    <w:rsid w:val="004A7BE6"/>
    <w:rsid w:val="004A7D2F"/>
    <w:rsid w:val="004A7D3B"/>
    <w:rsid w:val="004A7D88"/>
    <w:rsid w:val="004A7E89"/>
    <w:rsid w:val="004A7F09"/>
    <w:rsid w:val="004A7FCA"/>
    <w:rsid w:val="004B002A"/>
    <w:rsid w:val="004B0238"/>
    <w:rsid w:val="004B03E1"/>
    <w:rsid w:val="004B0477"/>
    <w:rsid w:val="004B05AF"/>
    <w:rsid w:val="004B05D9"/>
    <w:rsid w:val="004B0617"/>
    <w:rsid w:val="004B064A"/>
    <w:rsid w:val="004B08CF"/>
    <w:rsid w:val="004B08DD"/>
    <w:rsid w:val="004B091F"/>
    <w:rsid w:val="004B0948"/>
    <w:rsid w:val="004B09A8"/>
    <w:rsid w:val="004B0A1C"/>
    <w:rsid w:val="004B0A70"/>
    <w:rsid w:val="004B0A71"/>
    <w:rsid w:val="004B0B50"/>
    <w:rsid w:val="004B0BA8"/>
    <w:rsid w:val="004B0BE5"/>
    <w:rsid w:val="004B0CA2"/>
    <w:rsid w:val="004B0D1D"/>
    <w:rsid w:val="004B0E65"/>
    <w:rsid w:val="004B0E77"/>
    <w:rsid w:val="004B0EA6"/>
    <w:rsid w:val="004B0EE3"/>
    <w:rsid w:val="004B1029"/>
    <w:rsid w:val="004B1145"/>
    <w:rsid w:val="004B11DC"/>
    <w:rsid w:val="004B1233"/>
    <w:rsid w:val="004B1425"/>
    <w:rsid w:val="004B14EC"/>
    <w:rsid w:val="004B14F8"/>
    <w:rsid w:val="004B164F"/>
    <w:rsid w:val="004B1714"/>
    <w:rsid w:val="004B1783"/>
    <w:rsid w:val="004B17A7"/>
    <w:rsid w:val="004B1801"/>
    <w:rsid w:val="004B185B"/>
    <w:rsid w:val="004B18A5"/>
    <w:rsid w:val="004B18C3"/>
    <w:rsid w:val="004B18D1"/>
    <w:rsid w:val="004B191B"/>
    <w:rsid w:val="004B19B6"/>
    <w:rsid w:val="004B19FB"/>
    <w:rsid w:val="004B1A75"/>
    <w:rsid w:val="004B1BB1"/>
    <w:rsid w:val="004B1BE8"/>
    <w:rsid w:val="004B1D46"/>
    <w:rsid w:val="004B1DEC"/>
    <w:rsid w:val="004B1E06"/>
    <w:rsid w:val="004B1E2A"/>
    <w:rsid w:val="004B1EC5"/>
    <w:rsid w:val="004B1F5E"/>
    <w:rsid w:val="004B1F7C"/>
    <w:rsid w:val="004B2123"/>
    <w:rsid w:val="004B215A"/>
    <w:rsid w:val="004B2163"/>
    <w:rsid w:val="004B2360"/>
    <w:rsid w:val="004B248C"/>
    <w:rsid w:val="004B25B0"/>
    <w:rsid w:val="004B2689"/>
    <w:rsid w:val="004B275B"/>
    <w:rsid w:val="004B276A"/>
    <w:rsid w:val="004B27C3"/>
    <w:rsid w:val="004B2850"/>
    <w:rsid w:val="004B289B"/>
    <w:rsid w:val="004B28D3"/>
    <w:rsid w:val="004B28D8"/>
    <w:rsid w:val="004B28EA"/>
    <w:rsid w:val="004B299D"/>
    <w:rsid w:val="004B2A97"/>
    <w:rsid w:val="004B2B33"/>
    <w:rsid w:val="004B2C78"/>
    <w:rsid w:val="004B2D5B"/>
    <w:rsid w:val="004B2DC4"/>
    <w:rsid w:val="004B2DD8"/>
    <w:rsid w:val="004B2DE5"/>
    <w:rsid w:val="004B2E58"/>
    <w:rsid w:val="004B2ECD"/>
    <w:rsid w:val="004B2F56"/>
    <w:rsid w:val="004B3075"/>
    <w:rsid w:val="004B30DC"/>
    <w:rsid w:val="004B31F0"/>
    <w:rsid w:val="004B332F"/>
    <w:rsid w:val="004B3373"/>
    <w:rsid w:val="004B35B0"/>
    <w:rsid w:val="004B361A"/>
    <w:rsid w:val="004B375A"/>
    <w:rsid w:val="004B378A"/>
    <w:rsid w:val="004B37B6"/>
    <w:rsid w:val="004B37D0"/>
    <w:rsid w:val="004B387F"/>
    <w:rsid w:val="004B3B0A"/>
    <w:rsid w:val="004B3B5F"/>
    <w:rsid w:val="004B3BA6"/>
    <w:rsid w:val="004B3D04"/>
    <w:rsid w:val="004B3D46"/>
    <w:rsid w:val="004B3D5A"/>
    <w:rsid w:val="004B3D85"/>
    <w:rsid w:val="004B3DBE"/>
    <w:rsid w:val="004B3E24"/>
    <w:rsid w:val="004B402B"/>
    <w:rsid w:val="004B404F"/>
    <w:rsid w:val="004B4108"/>
    <w:rsid w:val="004B41B8"/>
    <w:rsid w:val="004B42A4"/>
    <w:rsid w:val="004B42BD"/>
    <w:rsid w:val="004B43B6"/>
    <w:rsid w:val="004B44FA"/>
    <w:rsid w:val="004B45C7"/>
    <w:rsid w:val="004B45CB"/>
    <w:rsid w:val="004B4657"/>
    <w:rsid w:val="004B4706"/>
    <w:rsid w:val="004B4800"/>
    <w:rsid w:val="004B490F"/>
    <w:rsid w:val="004B4A09"/>
    <w:rsid w:val="004B4A29"/>
    <w:rsid w:val="004B4AA2"/>
    <w:rsid w:val="004B4B03"/>
    <w:rsid w:val="004B4B24"/>
    <w:rsid w:val="004B4B58"/>
    <w:rsid w:val="004B4D4C"/>
    <w:rsid w:val="004B4DB4"/>
    <w:rsid w:val="004B4DF3"/>
    <w:rsid w:val="004B4E6D"/>
    <w:rsid w:val="004B4F25"/>
    <w:rsid w:val="004B5042"/>
    <w:rsid w:val="004B50C4"/>
    <w:rsid w:val="004B50EC"/>
    <w:rsid w:val="004B5179"/>
    <w:rsid w:val="004B520D"/>
    <w:rsid w:val="004B52EF"/>
    <w:rsid w:val="004B530E"/>
    <w:rsid w:val="004B5353"/>
    <w:rsid w:val="004B5360"/>
    <w:rsid w:val="004B541C"/>
    <w:rsid w:val="004B5547"/>
    <w:rsid w:val="004B5635"/>
    <w:rsid w:val="004B5640"/>
    <w:rsid w:val="004B5669"/>
    <w:rsid w:val="004B571A"/>
    <w:rsid w:val="004B580C"/>
    <w:rsid w:val="004B5895"/>
    <w:rsid w:val="004B5928"/>
    <w:rsid w:val="004B5D00"/>
    <w:rsid w:val="004B5D4E"/>
    <w:rsid w:val="004B5DAB"/>
    <w:rsid w:val="004B5DCD"/>
    <w:rsid w:val="004B5DD3"/>
    <w:rsid w:val="004B5DD5"/>
    <w:rsid w:val="004B5E27"/>
    <w:rsid w:val="004B5E7E"/>
    <w:rsid w:val="004B5F2B"/>
    <w:rsid w:val="004B5F75"/>
    <w:rsid w:val="004B5FB8"/>
    <w:rsid w:val="004B60BA"/>
    <w:rsid w:val="004B6123"/>
    <w:rsid w:val="004B6229"/>
    <w:rsid w:val="004B6306"/>
    <w:rsid w:val="004B6372"/>
    <w:rsid w:val="004B657B"/>
    <w:rsid w:val="004B6752"/>
    <w:rsid w:val="004B67AD"/>
    <w:rsid w:val="004B6887"/>
    <w:rsid w:val="004B694D"/>
    <w:rsid w:val="004B6A3F"/>
    <w:rsid w:val="004B6A5A"/>
    <w:rsid w:val="004B6ABA"/>
    <w:rsid w:val="004B6ACB"/>
    <w:rsid w:val="004B6B15"/>
    <w:rsid w:val="004B6EF7"/>
    <w:rsid w:val="004B6F93"/>
    <w:rsid w:val="004B6FA2"/>
    <w:rsid w:val="004B6FFC"/>
    <w:rsid w:val="004B70A5"/>
    <w:rsid w:val="004B71F7"/>
    <w:rsid w:val="004B71FF"/>
    <w:rsid w:val="004B7369"/>
    <w:rsid w:val="004B750C"/>
    <w:rsid w:val="004B75A4"/>
    <w:rsid w:val="004B75A7"/>
    <w:rsid w:val="004B765A"/>
    <w:rsid w:val="004B7690"/>
    <w:rsid w:val="004B76CB"/>
    <w:rsid w:val="004B76CC"/>
    <w:rsid w:val="004B7A08"/>
    <w:rsid w:val="004B7A1A"/>
    <w:rsid w:val="004B7A96"/>
    <w:rsid w:val="004B7AB7"/>
    <w:rsid w:val="004B7B55"/>
    <w:rsid w:val="004B7B6E"/>
    <w:rsid w:val="004B7BAF"/>
    <w:rsid w:val="004B7D12"/>
    <w:rsid w:val="004B7E2E"/>
    <w:rsid w:val="004B7E9D"/>
    <w:rsid w:val="004C0055"/>
    <w:rsid w:val="004C0061"/>
    <w:rsid w:val="004C00EC"/>
    <w:rsid w:val="004C0133"/>
    <w:rsid w:val="004C027E"/>
    <w:rsid w:val="004C0380"/>
    <w:rsid w:val="004C044D"/>
    <w:rsid w:val="004C04A9"/>
    <w:rsid w:val="004C0512"/>
    <w:rsid w:val="004C053B"/>
    <w:rsid w:val="004C0763"/>
    <w:rsid w:val="004C07C7"/>
    <w:rsid w:val="004C0989"/>
    <w:rsid w:val="004C09B0"/>
    <w:rsid w:val="004C0A68"/>
    <w:rsid w:val="004C0BA0"/>
    <w:rsid w:val="004C0BDC"/>
    <w:rsid w:val="004C0C98"/>
    <w:rsid w:val="004C0CF2"/>
    <w:rsid w:val="004C0D28"/>
    <w:rsid w:val="004C0D98"/>
    <w:rsid w:val="004C0E9D"/>
    <w:rsid w:val="004C0EB9"/>
    <w:rsid w:val="004C0F2A"/>
    <w:rsid w:val="004C0FF4"/>
    <w:rsid w:val="004C1005"/>
    <w:rsid w:val="004C1021"/>
    <w:rsid w:val="004C1031"/>
    <w:rsid w:val="004C1042"/>
    <w:rsid w:val="004C10F8"/>
    <w:rsid w:val="004C1147"/>
    <w:rsid w:val="004C1151"/>
    <w:rsid w:val="004C1164"/>
    <w:rsid w:val="004C11A4"/>
    <w:rsid w:val="004C11B0"/>
    <w:rsid w:val="004C124E"/>
    <w:rsid w:val="004C1300"/>
    <w:rsid w:val="004C1357"/>
    <w:rsid w:val="004C15E6"/>
    <w:rsid w:val="004C161A"/>
    <w:rsid w:val="004C172E"/>
    <w:rsid w:val="004C199C"/>
    <w:rsid w:val="004C1A2D"/>
    <w:rsid w:val="004C1A77"/>
    <w:rsid w:val="004C1B29"/>
    <w:rsid w:val="004C1C17"/>
    <w:rsid w:val="004C1C83"/>
    <w:rsid w:val="004C1CB1"/>
    <w:rsid w:val="004C1DF3"/>
    <w:rsid w:val="004C1E81"/>
    <w:rsid w:val="004C2089"/>
    <w:rsid w:val="004C20A1"/>
    <w:rsid w:val="004C2110"/>
    <w:rsid w:val="004C214F"/>
    <w:rsid w:val="004C2189"/>
    <w:rsid w:val="004C21B5"/>
    <w:rsid w:val="004C21DC"/>
    <w:rsid w:val="004C22AD"/>
    <w:rsid w:val="004C2301"/>
    <w:rsid w:val="004C23F6"/>
    <w:rsid w:val="004C2430"/>
    <w:rsid w:val="004C24B0"/>
    <w:rsid w:val="004C24DC"/>
    <w:rsid w:val="004C25F5"/>
    <w:rsid w:val="004C2644"/>
    <w:rsid w:val="004C26B8"/>
    <w:rsid w:val="004C2740"/>
    <w:rsid w:val="004C2790"/>
    <w:rsid w:val="004C285A"/>
    <w:rsid w:val="004C2891"/>
    <w:rsid w:val="004C289B"/>
    <w:rsid w:val="004C2A2F"/>
    <w:rsid w:val="004C2AF5"/>
    <w:rsid w:val="004C2C0B"/>
    <w:rsid w:val="004C2C83"/>
    <w:rsid w:val="004C2C8F"/>
    <w:rsid w:val="004C2EA5"/>
    <w:rsid w:val="004C3022"/>
    <w:rsid w:val="004C3069"/>
    <w:rsid w:val="004C3089"/>
    <w:rsid w:val="004C30A5"/>
    <w:rsid w:val="004C30CC"/>
    <w:rsid w:val="004C3104"/>
    <w:rsid w:val="004C3168"/>
    <w:rsid w:val="004C320F"/>
    <w:rsid w:val="004C322E"/>
    <w:rsid w:val="004C325A"/>
    <w:rsid w:val="004C340D"/>
    <w:rsid w:val="004C34D9"/>
    <w:rsid w:val="004C3539"/>
    <w:rsid w:val="004C3595"/>
    <w:rsid w:val="004C377D"/>
    <w:rsid w:val="004C379F"/>
    <w:rsid w:val="004C37A4"/>
    <w:rsid w:val="004C387B"/>
    <w:rsid w:val="004C392D"/>
    <w:rsid w:val="004C3942"/>
    <w:rsid w:val="004C3AF3"/>
    <w:rsid w:val="004C3B04"/>
    <w:rsid w:val="004C3B63"/>
    <w:rsid w:val="004C3BE8"/>
    <w:rsid w:val="004C3CA8"/>
    <w:rsid w:val="004C3CAF"/>
    <w:rsid w:val="004C3EE3"/>
    <w:rsid w:val="004C3FFA"/>
    <w:rsid w:val="004C42CF"/>
    <w:rsid w:val="004C445A"/>
    <w:rsid w:val="004C44C2"/>
    <w:rsid w:val="004C44CC"/>
    <w:rsid w:val="004C45B3"/>
    <w:rsid w:val="004C45F3"/>
    <w:rsid w:val="004C467C"/>
    <w:rsid w:val="004C47D7"/>
    <w:rsid w:val="004C4868"/>
    <w:rsid w:val="004C487E"/>
    <w:rsid w:val="004C48DC"/>
    <w:rsid w:val="004C49AB"/>
    <w:rsid w:val="004C49BD"/>
    <w:rsid w:val="004C4B03"/>
    <w:rsid w:val="004C4B66"/>
    <w:rsid w:val="004C4CBF"/>
    <w:rsid w:val="004C4D13"/>
    <w:rsid w:val="004C4D32"/>
    <w:rsid w:val="004C4DE7"/>
    <w:rsid w:val="004C4FED"/>
    <w:rsid w:val="004C5150"/>
    <w:rsid w:val="004C51EF"/>
    <w:rsid w:val="004C5280"/>
    <w:rsid w:val="004C531E"/>
    <w:rsid w:val="004C538C"/>
    <w:rsid w:val="004C538D"/>
    <w:rsid w:val="004C545D"/>
    <w:rsid w:val="004C54A2"/>
    <w:rsid w:val="004C54CC"/>
    <w:rsid w:val="004C56EC"/>
    <w:rsid w:val="004C57B2"/>
    <w:rsid w:val="004C58FD"/>
    <w:rsid w:val="004C5945"/>
    <w:rsid w:val="004C59F5"/>
    <w:rsid w:val="004C5A9E"/>
    <w:rsid w:val="004C5AA5"/>
    <w:rsid w:val="004C5D45"/>
    <w:rsid w:val="004C5DF5"/>
    <w:rsid w:val="004C5E28"/>
    <w:rsid w:val="004C5F08"/>
    <w:rsid w:val="004C5F19"/>
    <w:rsid w:val="004C5FC5"/>
    <w:rsid w:val="004C608C"/>
    <w:rsid w:val="004C60A8"/>
    <w:rsid w:val="004C6258"/>
    <w:rsid w:val="004C6316"/>
    <w:rsid w:val="004C63D7"/>
    <w:rsid w:val="004C6426"/>
    <w:rsid w:val="004C650E"/>
    <w:rsid w:val="004C6544"/>
    <w:rsid w:val="004C6686"/>
    <w:rsid w:val="004C6694"/>
    <w:rsid w:val="004C67A1"/>
    <w:rsid w:val="004C67E4"/>
    <w:rsid w:val="004C6873"/>
    <w:rsid w:val="004C68A4"/>
    <w:rsid w:val="004C6B3C"/>
    <w:rsid w:val="004C6C20"/>
    <w:rsid w:val="004C6CAB"/>
    <w:rsid w:val="004C6CC6"/>
    <w:rsid w:val="004C6CF6"/>
    <w:rsid w:val="004C6D30"/>
    <w:rsid w:val="004C6D70"/>
    <w:rsid w:val="004C6EE9"/>
    <w:rsid w:val="004C6FE8"/>
    <w:rsid w:val="004C7073"/>
    <w:rsid w:val="004C70CA"/>
    <w:rsid w:val="004C7110"/>
    <w:rsid w:val="004C7121"/>
    <w:rsid w:val="004C7182"/>
    <w:rsid w:val="004C7185"/>
    <w:rsid w:val="004C71FD"/>
    <w:rsid w:val="004C726E"/>
    <w:rsid w:val="004C73BF"/>
    <w:rsid w:val="004C73CE"/>
    <w:rsid w:val="004C7478"/>
    <w:rsid w:val="004C7511"/>
    <w:rsid w:val="004C76AF"/>
    <w:rsid w:val="004C76C5"/>
    <w:rsid w:val="004C7892"/>
    <w:rsid w:val="004C7BDE"/>
    <w:rsid w:val="004C7C2C"/>
    <w:rsid w:val="004C7DD9"/>
    <w:rsid w:val="004C7E03"/>
    <w:rsid w:val="004C7E36"/>
    <w:rsid w:val="004C7F59"/>
    <w:rsid w:val="004D0264"/>
    <w:rsid w:val="004D02F1"/>
    <w:rsid w:val="004D0324"/>
    <w:rsid w:val="004D0329"/>
    <w:rsid w:val="004D03D1"/>
    <w:rsid w:val="004D0443"/>
    <w:rsid w:val="004D0460"/>
    <w:rsid w:val="004D0640"/>
    <w:rsid w:val="004D06B1"/>
    <w:rsid w:val="004D0B07"/>
    <w:rsid w:val="004D0B56"/>
    <w:rsid w:val="004D0B9C"/>
    <w:rsid w:val="004D0BD7"/>
    <w:rsid w:val="004D0C39"/>
    <w:rsid w:val="004D0C83"/>
    <w:rsid w:val="004D0CA5"/>
    <w:rsid w:val="004D0D19"/>
    <w:rsid w:val="004D0E77"/>
    <w:rsid w:val="004D0E78"/>
    <w:rsid w:val="004D0EC8"/>
    <w:rsid w:val="004D0F01"/>
    <w:rsid w:val="004D108F"/>
    <w:rsid w:val="004D1141"/>
    <w:rsid w:val="004D1172"/>
    <w:rsid w:val="004D11BD"/>
    <w:rsid w:val="004D11F7"/>
    <w:rsid w:val="004D1220"/>
    <w:rsid w:val="004D12A0"/>
    <w:rsid w:val="004D12BF"/>
    <w:rsid w:val="004D12F1"/>
    <w:rsid w:val="004D146B"/>
    <w:rsid w:val="004D173F"/>
    <w:rsid w:val="004D17B8"/>
    <w:rsid w:val="004D1905"/>
    <w:rsid w:val="004D1917"/>
    <w:rsid w:val="004D19A7"/>
    <w:rsid w:val="004D1A18"/>
    <w:rsid w:val="004D1A80"/>
    <w:rsid w:val="004D1AE0"/>
    <w:rsid w:val="004D1C19"/>
    <w:rsid w:val="004D1D0C"/>
    <w:rsid w:val="004D1DFD"/>
    <w:rsid w:val="004D1E13"/>
    <w:rsid w:val="004D1E14"/>
    <w:rsid w:val="004D1E60"/>
    <w:rsid w:val="004D1FC0"/>
    <w:rsid w:val="004D1FCB"/>
    <w:rsid w:val="004D2020"/>
    <w:rsid w:val="004D2082"/>
    <w:rsid w:val="004D2157"/>
    <w:rsid w:val="004D221E"/>
    <w:rsid w:val="004D2257"/>
    <w:rsid w:val="004D22A0"/>
    <w:rsid w:val="004D22AE"/>
    <w:rsid w:val="004D22CE"/>
    <w:rsid w:val="004D25DD"/>
    <w:rsid w:val="004D2669"/>
    <w:rsid w:val="004D271C"/>
    <w:rsid w:val="004D2779"/>
    <w:rsid w:val="004D29A9"/>
    <w:rsid w:val="004D2A7C"/>
    <w:rsid w:val="004D2A8C"/>
    <w:rsid w:val="004D2B79"/>
    <w:rsid w:val="004D2B8F"/>
    <w:rsid w:val="004D2C24"/>
    <w:rsid w:val="004D2C50"/>
    <w:rsid w:val="004D2C53"/>
    <w:rsid w:val="004D2C82"/>
    <w:rsid w:val="004D2D0D"/>
    <w:rsid w:val="004D2D4E"/>
    <w:rsid w:val="004D2D70"/>
    <w:rsid w:val="004D2FE8"/>
    <w:rsid w:val="004D30B7"/>
    <w:rsid w:val="004D30D0"/>
    <w:rsid w:val="004D30DE"/>
    <w:rsid w:val="004D312F"/>
    <w:rsid w:val="004D320D"/>
    <w:rsid w:val="004D3247"/>
    <w:rsid w:val="004D32E4"/>
    <w:rsid w:val="004D32EB"/>
    <w:rsid w:val="004D346D"/>
    <w:rsid w:val="004D34A4"/>
    <w:rsid w:val="004D34C8"/>
    <w:rsid w:val="004D352E"/>
    <w:rsid w:val="004D363A"/>
    <w:rsid w:val="004D36A9"/>
    <w:rsid w:val="004D36D3"/>
    <w:rsid w:val="004D374E"/>
    <w:rsid w:val="004D38F1"/>
    <w:rsid w:val="004D390D"/>
    <w:rsid w:val="004D3937"/>
    <w:rsid w:val="004D3A96"/>
    <w:rsid w:val="004D3B2F"/>
    <w:rsid w:val="004D3C60"/>
    <w:rsid w:val="004D3C97"/>
    <w:rsid w:val="004D3CA8"/>
    <w:rsid w:val="004D3E4A"/>
    <w:rsid w:val="004D3E72"/>
    <w:rsid w:val="004D3FE1"/>
    <w:rsid w:val="004D4042"/>
    <w:rsid w:val="004D4130"/>
    <w:rsid w:val="004D41B1"/>
    <w:rsid w:val="004D4210"/>
    <w:rsid w:val="004D436D"/>
    <w:rsid w:val="004D44F4"/>
    <w:rsid w:val="004D4506"/>
    <w:rsid w:val="004D46A1"/>
    <w:rsid w:val="004D4789"/>
    <w:rsid w:val="004D4942"/>
    <w:rsid w:val="004D499E"/>
    <w:rsid w:val="004D49A1"/>
    <w:rsid w:val="004D4A8E"/>
    <w:rsid w:val="004D4AF6"/>
    <w:rsid w:val="004D4B42"/>
    <w:rsid w:val="004D4BD4"/>
    <w:rsid w:val="004D4CA8"/>
    <w:rsid w:val="004D4D82"/>
    <w:rsid w:val="004D5009"/>
    <w:rsid w:val="004D5019"/>
    <w:rsid w:val="004D506D"/>
    <w:rsid w:val="004D507B"/>
    <w:rsid w:val="004D522C"/>
    <w:rsid w:val="004D5236"/>
    <w:rsid w:val="004D536E"/>
    <w:rsid w:val="004D539F"/>
    <w:rsid w:val="004D5461"/>
    <w:rsid w:val="004D5477"/>
    <w:rsid w:val="004D5512"/>
    <w:rsid w:val="004D554D"/>
    <w:rsid w:val="004D5555"/>
    <w:rsid w:val="004D555B"/>
    <w:rsid w:val="004D5564"/>
    <w:rsid w:val="004D55D6"/>
    <w:rsid w:val="004D5603"/>
    <w:rsid w:val="004D5798"/>
    <w:rsid w:val="004D590B"/>
    <w:rsid w:val="004D596A"/>
    <w:rsid w:val="004D5980"/>
    <w:rsid w:val="004D5999"/>
    <w:rsid w:val="004D5AFF"/>
    <w:rsid w:val="004D5B3C"/>
    <w:rsid w:val="004D5BD0"/>
    <w:rsid w:val="004D5F5F"/>
    <w:rsid w:val="004D5F89"/>
    <w:rsid w:val="004D6019"/>
    <w:rsid w:val="004D60EA"/>
    <w:rsid w:val="004D6123"/>
    <w:rsid w:val="004D6152"/>
    <w:rsid w:val="004D61AB"/>
    <w:rsid w:val="004D6233"/>
    <w:rsid w:val="004D6244"/>
    <w:rsid w:val="004D62CD"/>
    <w:rsid w:val="004D62F4"/>
    <w:rsid w:val="004D63D4"/>
    <w:rsid w:val="004D6450"/>
    <w:rsid w:val="004D659F"/>
    <w:rsid w:val="004D6615"/>
    <w:rsid w:val="004D6653"/>
    <w:rsid w:val="004D6760"/>
    <w:rsid w:val="004D6769"/>
    <w:rsid w:val="004D67D2"/>
    <w:rsid w:val="004D67E6"/>
    <w:rsid w:val="004D6875"/>
    <w:rsid w:val="004D69B3"/>
    <w:rsid w:val="004D6AF7"/>
    <w:rsid w:val="004D6CA5"/>
    <w:rsid w:val="004D6E3D"/>
    <w:rsid w:val="004D6E68"/>
    <w:rsid w:val="004D6EB6"/>
    <w:rsid w:val="004D6FC0"/>
    <w:rsid w:val="004D71E1"/>
    <w:rsid w:val="004D7206"/>
    <w:rsid w:val="004D726B"/>
    <w:rsid w:val="004D7281"/>
    <w:rsid w:val="004D72CE"/>
    <w:rsid w:val="004D733E"/>
    <w:rsid w:val="004D7418"/>
    <w:rsid w:val="004D746D"/>
    <w:rsid w:val="004D74FE"/>
    <w:rsid w:val="004D7562"/>
    <w:rsid w:val="004D75F5"/>
    <w:rsid w:val="004D7655"/>
    <w:rsid w:val="004D782A"/>
    <w:rsid w:val="004D79B5"/>
    <w:rsid w:val="004D79EC"/>
    <w:rsid w:val="004D7AC3"/>
    <w:rsid w:val="004D7B16"/>
    <w:rsid w:val="004D7B19"/>
    <w:rsid w:val="004D7B92"/>
    <w:rsid w:val="004D7C06"/>
    <w:rsid w:val="004D7C17"/>
    <w:rsid w:val="004D7C35"/>
    <w:rsid w:val="004D7C4A"/>
    <w:rsid w:val="004D7CF8"/>
    <w:rsid w:val="004D7D4B"/>
    <w:rsid w:val="004D7E53"/>
    <w:rsid w:val="004D7EBE"/>
    <w:rsid w:val="004D7EC5"/>
    <w:rsid w:val="004D7F36"/>
    <w:rsid w:val="004D7F47"/>
    <w:rsid w:val="004E002A"/>
    <w:rsid w:val="004E00A2"/>
    <w:rsid w:val="004E012C"/>
    <w:rsid w:val="004E01CB"/>
    <w:rsid w:val="004E0248"/>
    <w:rsid w:val="004E02A1"/>
    <w:rsid w:val="004E0461"/>
    <w:rsid w:val="004E049B"/>
    <w:rsid w:val="004E04BA"/>
    <w:rsid w:val="004E052F"/>
    <w:rsid w:val="004E054B"/>
    <w:rsid w:val="004E057E"/>
    <w:rsid w:val="004E05E0"/>
    <w:rsid w:val="004E0678"/>
    <w:rsid w:val="004E0682"/>
    <w:rsid w:val="004E06B1"/>
    <w:rsid w:val="004E06D5"/>
    <w:rsid w:val="004E0780"/>
    <w:rsid w:val="004E0787"/>
    <w:rsid w:val="004E07AC"/>
    <w:rsid w:val="004E07C0"/>
    <w:rsid w:val="004E086A"/>
    <w:rsid w:val="004E08E9"/>
    <w:rsid w:val="004E09FC"/>
    <w:rsid w:val="004E0A33"/>
    <w:rsid w:val="004E0AD9"/>
    <w:rsid w:val="004E0AE6"/>
    <w:rsid w:val="004E0D51"/>
    <w:rsid w:val="004E0DFE"/>
    <w:rsid w:val="004E0E43"/>
    <w:rsid w:val="004E0E78"/>
    <w:rsid w:val="004E0EBF"/>
    <w:rsid w:val="004E11DB"/>
    <w:rsid w:val="004E1268"/>
    <w:rsid w:val="004E1325"/>
    <w:rsid w:val="004E13AC"/>
    <w:rsid w:val="004E13E8"/>
    <w:rsid w:val="004E142F"/>
    <w:rsid w:val="004E14A0"/>
    <w:rsid w:val="004E1568"/>
    <w:rsid w:val="004E167B"/>
    <w:rsid w:val="004E16D0"/>
    <w:rsid w:val="004E1764"/>
    <w:rsid w:val="004E177E"/>
    <w:rsid w:val="004E1830"/>
    <w:rsid w:val="004E1892"/>
    <w:rsid w:val="004E18B2"/>
    <w:rsid w:val="004E1923"/>
    <w:rsid w:val="004E194D"/>
    <w:rsid w:val="004E195C"/>
    <w:rsid w:val="004E1970"/>
    <w:rsid w:val="004E1980"/>
    <w:rsid w:val="004E1A39"/>
    <w:rsid w:val="004E1AF9"/>
    <w:rsid w:val="004E1B35"/>
    <w:rsid w:val="004E1C12"/>
    <w:rsid w:val="004E1DA3"/>
    <w:rsid w:val="004E1EEF"/>
    <w:rsid w:val="004E1F20"/>
    <w:rsid w:val="004E1F78"/>
    <w:rsid w:val="004E20F6"/>
    <w:rsid w:val="004E212B"/>
    <w:rsid w:val="004E21ED"/>
    <w:rsid w:val="004E21FC"/>
    <w:rsid w:val="004E222E"/>
    <w:rsid w:val="004E2388"/>
    <w:rsid w:val="004E23B7"/>
    <w:rsid w:val="004E2413"/>
    <w:rsid w:val="004E249B"/>
    <w:rsid w:val="004E24CD"/>
    <w:rsid w:val="004E259C"/>
    <w:rsid w:val="004E259E"/>
    <w:rsid w:val="004E25C5"/>
    <w:rsid w:val="004E25CF"/>
    <w:rsid w:val="004E260C"/>
    <w:rsid w:val="004E26C0"/>
    <w:rsid w:val="004E27D1"/>
    <w:rsid w:val="004E27EE"/>
    <w:rsid w:val="004E287B"/>
    <w:rsid w:val="004E291E"/>
    <w:rsid w:val="004E29F5"/>
    <w:rsid w:val="004E29FA"/>
    <w:rsid w:val="004E2A7F"/>
    <w:rsid w:val="004E2AC2"/>
    <w:rsid w:val="004E2B33"/>
    <w:rsid w:val="004E2C13"/>
    <w:rsid w:val="004E2D53"/>
    <w:rsid w:val="004E2D8D"/>
    <w:rsid w:val="004E2E40"/>
    <w:rsid w:val="004E2E69"/>
    <w:rsid w:val="004E2E76"/>
    <w:rsid w:val="004E2EBA"/>
    <w:rsid w:val="004E2FD6"/>
    <w:rsid w:val="004E3049"/>
    <w:rsid w:val="004E3063"/>
    <w:rsid w:val="004E30B8"/>
    <w:rsid w:val="004E30F8"/>
    <w:rsid w:val="004E3116"/>
    <w:rsid w:val="004E3178"/>
    <w:rsid w:val="004E31A7"/>
    <w:rsid w:val="004E31BA"/>
    <w:rsid w:val="004E3207"/>
    <w:rsid w:val="004E3269"/>
    <w:rsid w:val="004E3313"/>
    <w:rsid w:val="004E3380"/>
    <w:rsid w:val="004E34DB"/>
    <w:rsid w:val="004E3533"/>
    <w:rsid w:val="004E3572"/>
    <w:rsid w:val="004E35C7"/>
    <w:rsid w:val="004E35D2"/>
    <w:rsid w:val="004E3669"/>
    <w:rsid w:val="004E36B4"/>
    <w:rsid w:val="004E373D"/>
    <w:rsid w:val="004E37A6"/>
    <w:rsid w:val="004E3813"/>
    <w:rsid w:val="004E392F"/>
    <w:rsid w:val="004E39B5"/>
    <w:rsid w:val="004E3B4F"/>
    <w:rsid w:val="004E3B78"/>
    <w:rsid w:val="004E3C86"/>
    <w:rsid w:val="004E3D07"/>
    <w:rsid w:val="004E3D52"/>
    <w:rsid w:val="004E3DBB"/>
    <w:rsid w:val="004E3DEF"/>
    <w:rsid w:val="004E3EE8"/>
    <w:rsid w:val="004E3F0E"/>
    <w:rsid w:val="004E3F23"/>
    <w:rsid w:val="004E3FC5"/>
    <w:rsid w:val="004E4049"/>
    <w:rsid w:val="004E415B"/>
    <w:rsid w:val="004E42E3"/>
    <w:rsid w:val="004E42E5"/>
    <w:rsid w:val="004E43F8"/>
    <w:rsid w:val="004E4483"/>
    <w:rsid w:val="004E44C7"/>
    <w:rsid w:val="004E457D"/>
    <w:rsid w:val="004E45B8"/>
    <w:rsid w:val="004E47A8"/>
    <w:rsid w:val="004E4A1F"/>
    <w:rsid w:val="004E4A30"/>
    <w:rsid w:val="004E4A73"/>
    <w:rsid w:val="004E4B9E"/>
    <w:rsid w:val="004E4BF1"/>
    <w:rsid w:val="004E4C69"/>
    <w:rsid w:val="004E4EB1"/>
    <w:rsid w:val="004E4F73"/>
    <w:rsid w:val="004E4F81"/>
    <w:rsid w:val="004E50C7"/>
    <w:rsid w:val="004E512A"/>
    <w:rsid w:val="004E5190"/>
    <w:rsid w:val="004E524C"/>
    <w:rsid w:val="004E5317"/>
    <w:rsid w:val="004E544D"/>
    <w:rsid w:val="004E5485"/>
    <w:rsid w:val="004E54B6"/>
    <w:rsid w:val="004E5568"/>
    <w:rsid w:val="004E55B8"/>
    <w:rsid w:val="004E55CC"/>
    <w:rsid w:val="004E5650"/>
    <w:rsid w:val="004E56C9"/>
    <w:rsid w:val="004E59DB"/>
    <w:rsid w:val="004E59F4"/>
    <w:rsid w:val="004E5A2A"/>
    <w:rsid w:val="004E5A2E"/>
    <w:rsid w:val="004E5A6D"/>
    <w:rsid w:val="004E5A72"/>
    <w:rsid w:val="004E5A94"/>
    <w:rsid w:val="004E5A9B"/>
    <w:rsid w:val="004E5AD1"/>
    <w:rsid w:val="004E5AE4"/>
    <w:rsid w:val="004E5BD4"/>
    <w:rsid w:val="004E5C18"/>
    <w:rsid w:val="004E5D04"/>
    <w:rsid w:val="004E5D12"/>
    <w:rsid w:val="004E5EB5"/>
    <w:rsid w:val="004E5F3D"/>
    <w:rsid w:val="004E6051"/>
    <w:rsid w:val="004E6065"/>
    <w:rsid w:val="004E61CB"/>
    <w:rsid w:val="004E6263"/>
    <w:rsid w:val="004E627D"/>
    <w:rsid w:val="004E62C2"/>
    <w:rsid w:val="004E651E"/>
    <w:rsid w:val="004E65F1"/>
    <w:rsid w:val="004E65F6"/>
    <w:rsid w:val="004E666D"/>
    <w:rsid w:val="004E6719"/>
    <w:rsid w:val="004E68C1"/>
    <w:rsid w:val="004E6A03"/>
    <w:rsid w:val="004E6A43"/>
    <w:rsid w:val="004E6B2E"/>
    <w:rsid w:val="004E6B39"/>
    <w:rsid w:val="004E6B5A"/>
    <w:rsid w:val="004E6B82"/>
    <w:rsid w:val="004E6C2A"/>
    <w:rsid w:val="004E6D37"/>
    <w:rsid w:val="004E6EBE"/>
    <w:rsid w:val="004E6FF2"/>
    <w:rsid w:val="004E6FFE"/>
    <w:rsid w:val="004E7044"/>
    <w:rsid w:val="004E706C"/>
    <w:rsid w:val="004E70F0"/>
    <w:rsid w:val="004E717E"/>
    <w:rsid w:val="004E71A4"/>
    <w:rsid w:val="004E720B"/>
    <w:rsid w:val="004E72F5"/>
    <w:rsid w:val="004E72F9"/>
    <w:rsid w:val="004E73C9"/>
    <w:rsid w:val="004E7406"/>
    <w:rsid w:val="004E764B"/>
    <w:rsid w:val="004E7738"/>
    <w:rsid w:val="004E7792"/>
    <w:rsid w:val="004E7861"/>
    <w:rsid w:val="004E78D5"/>
    <w:rsid w:val="004E79AA"/>
    <w:rsid w:val="004E79FD"/>
    <w:rsid w:val="004E7B85"/>
    <w:rsid w:val="004E7B91"/>
    <w:rsid w:val="004E7C0C"/>
    <w:rsid w:val="004E7C75"/>
    <w:rsid w:val="004E7D5F"/>
    <w:rsid w:val="004E7D64"/>
    <w:rsid w:val="004E7DA1"/>
    <w:rsid w:val="004E7DC0"/>
    <w:rsid w:val="004E7DFD"/>
    <w:rsid w:val="004E7E02"/>
    <w:rsid w:val="004E7E20"/>
    <w:rsid w:val="004E7E57"/>
    <w:rsid w:val="004E7E92"/>
    <w:rsid w:val="004E7F59"/>
    <w:rsid w:val="004E7F71"/>
    <w:rsid w:val="004F0011"/>
    <w:rsid w:val="004F00E3"/>
    <w:rsid w:val="004F0112"/>
    <w:rsid w:val="004F0210"/>
    <w:rsid w:val="004F0229"/>
    <w:rsid w:val="004F0245"/>
    <w:rsid w:val="004F0301"/>
    <w:rsid w:val="004F038A"/>
    <w:rsid w:val="004F05C4"/>
    <w:rsid w:val="004F0726"/>
    <w:rsid w:val="004F080B"/>
    <w:rsid w:val="004F08F9"/>
    <w:rsid w:val="004F094E"/>
    <w:rsid w:val="004F0A62"/>
    <w:rsid w:val="004F0AAA"/>
    <w:rsid w:val="004F0ADD"/>
    <w:rsid w:val="004F0B48"/>
    <w:rsid w:val="004F0B7F"/>
    <w:rsid w:val="004F0B8C"/>
    <w:rsid w:val="004F0D2A"/>
    <w:rsid w:val="004F0D44"/>
    <w:rsid w:val="004F0D77"/>
    <w:rsid w:val="004F0D87"/>
    <w:rsid w:val="004F0D8C"/>
    <w:rsid w:val="004F0EA3"/>
    <w:rsid w:val="004F0F48"/>
    <w:rsid w:val="004F0F7E"/>
    <w:rsid w:val="004F10FC"/>
    <w:rsid w:val="004F1330"/>
    <w:rsid w:val="004F13C6"/>
    <w:rsid w:val="004F14DA"/>
    <w:rsid w:val="004F15B1"/>
    <w:rsid w:val="004F15BD"/>
    <w:rsid w:val="004F160C"/>
    <w:rsid w:val="004F173C"/>
    <w:rsid w:val="004F186D"/>
    <w:rsid w:val="004F1976"/>
    <w:rsid w:val="004F1AED"/>
    <w:rsid w:val="004F1B10"/>
    <w:rsid w:val="004F1C40"/>
    <w:rsid w:val="004F1CE6"/>
    <w:rsid w:val="004F1D00"/>
    <w:rsid w:val="004F1DFF"/>
    <w:rsid w:val="004F1EC1"/>
    <w:rsid w:val="004F1EC9"/>
    <w:rsid w:val="004F1ECF"/>
    <w:rsid w:val="004F1F03"/>
    <w:rsid w:val="004F1F97"/>
    <w:rsid w:val="004F2263"/>
    <w:rsid w:val="004F22A6"/>
    <w:rsid w:val="004F22F8"/>
    <w:rsid w:val="004F232D"/>
    <w:rsid w:val="004F232E"/>
    <w:rsid w:val="004F2402"/>
    <w:rsid w:val="004F24D4"/>
    <w:rsid w:val="004F2659"/>
    <w:rsid w:val="004F26B4"/>
    <w:rsid w:val="004F26C9"/>
    <w:rsid w:val="004F26CC"/>
    <w:rsid w:val="004F26D5"/>
    <w:rsid w:val="004F27C3"/>
    <w:rsid w:val="004F28CF"/>
    <w:rsid w:val="004F28F6"/>
    <w:rsid w:val="004F2A68"/>
    <w:rsid w:val="004F2BA4"/>
    <w:rsid w:val="004F2C56"/>
    <w:rsid w:val="004F2CB2"/>
    <w:rsid w:val="004F2CE4"/>
    <w:rsid w:val="004F2EC6"/>
    <w:rsid w:val="004F2F52"/>
    <w:rsid w:val="004F2F57"/>
    <w:rsid w:val="004F2F8E"/>
    <w:rsid w:val="004F30B5"/>
    <w:rsid w:val="004F30BB"/>
    <w:rsid w:val="004F31D7"/>
    <w:rsid w:val="004F3391"/>
    <w:rsid w:val="004F347B"/>
    <w:rsid w:val="004F35AD"/>
    <w:rsid w:val="004F3659"/>
    <w:rsid w:val="004F3796"/>
    <w:rsid w:val="004F3874"/>
    <w:rsid w:val="004F38B6"/>
    <w:rsid w:val="004F3AD1"/>
    <w:rsid w:val="004F3B1B"/>
    <w:rsid w:val="004F3BCE"/>
    <w:rsid w:val="004F3CDC"/>
    <w:rsid w:val="004F3CEF"/>
    <w:rsid w:val="004F3CFD"/>
    <w:rsid w:val="004F3EED"/>
    <w:rsid w:val="004F3F3B"/>
    <w:rsid w:val="004F3FC8"/>
    <w:rsid w:val="004F4004"/>
    <w:rsid w:val="004F405D"/>
    <w:rsid w:val="004F4214"/>
    <w:rsid w:val="004F4263"/>
    <w:rsid w:val="004F4370"/>
    <w:rsid w:val="004F43B7"/>
    <w:rsid w:val="004F4463"/>
    <w:rsid w:val="004F454D"/>
    <w:rsid w:val="004F45F7"/>
    <w:rsid w:val="004F462A"/>
    <w:rsid w:val="004F46A4"/>
    <w:rsid w:val="004F47CF"/>
    <w:rsid w:val="004F47F1"/>
    <w:rsid w:val="004F4A3A"/>
    <w:rsid w:val="004F4A5B"/>
    <w:rsid w:val="004F4B1B"/>
    <w:rsid w:val="004F4BBE"/>
    <w:rsid w:val="004F4BC8"/>
    <w:rsid w:val="004F4BDD"/>
    <w:rsid w:val="004F4C55"/>
    <w:rsid w:val="004F4CA8"/>
    <w:rsid w:val="004F4CDB"/>
    <w:rsid w:val="004F4DA3"/>
    <w:rsid w:val="004F4E1C"/>
    <w:rsid w:val="004F4E36"/>
    <w:rsid w:val="004F4ECC"/>
    <w:rsid w:val="004F5052"/>
    <w:rsid w:val="004F5249"/>
    <w:rsid w:val="004F5402"/>
    <w:rsid w:val="004F541C"/>
    <w:rsid w:val="004F5462"/>
    <w:rsid w:val="004F5517"/>
    <w:rsid w:val="004F55ED"/>
    <w:rsid w:val="004F5628"/>
    <w:rsid w:val="004F5676"/>
    <w:rsid w:val="004F5A67"/>
    <w:rsid w:val="004F5B38"/>
    <w:rsid w:val="004F5BF1"/>
    <w:rsid w:val="004F5D04"/>
    <w:rsid w:val="004F5D66"/>
    <w:rsid w:val="004F5D77"/>
    <w:rsid w:val="004F5D8C"/>
    <w:rsid w:val="004F5FCD"/>
    <w:rsid w:val="004F6010"/>
    <w:rsid w:val="004F6014"/>
    <w:rsid w:val="004F6022"/>
    <w:rsid w:val="004F6065"/>
    <w:rsid w:val="004F6106"/>
    <w:rsid w:val="004F6361"/>
    <w:rsid w:val="004F639C"/>
    <w:rsid w:val="004F6474"/>
    <w:rsid w:val="004F64DE"/>
    <w:rsid w:val="004F64EC"/>
    <w:rsid w:val="004F653A"/>
    <w:rsid w:val="004F6637"/>
    <w:rsid w:val="004F68F2"/>
    <w:rsid w:val="004F693D"/>
    <w:rsid w:val="004F6966"/>
    <w:rsid w:val="004F69E4"/>
    <w:rsid w:val="004F6A92"/>
    <w:rsid w:val="004F6B35"/>
    <w:rsid w:val="004F6C4C"/>
    <w:rsid w:val="004F6DBB"/>
    <w:rsid w:val="004F6E03"/>
    <w:rsid w:val="004F6E1D"/>
    <w:rsid w:val="004F6E6B"/>
    <w:rsid w:val="004F7055"/>
    <w:rsid w:val="004F70F3"/>
    <w:rsid w:val="004F7185"/>
    <w:rsid w:val="004F723B"/>
    <w:rsid w:val="004F732A"/>
    <w:rsid w:val="004F7394"/>
    <w:rsid w:val="004F73B7"/>
    <w:rsid w:val="004F73D1"/>
    <w:rsid w:val="004F7502"/>
    <w:rsid w:val="004F765A"/>
    <w:rsid w:val="004F7697"/>
    <w:rsid w:val="004F7698"/>
    <w:rsid w:val="004F76B9"/>
    <w:rsid w:val="004F772F"/>
    <w:rsid w:val="004F7830"/>
    <w:rsid w:val="004F7969"/>
    <w:rsid w:val="004F7994"/>
    <w:rsid w:val="004F79F0"/>
    <w:rsid w:val="004F7ACD"/>
    <w:rsid w:val="004F7B82"/>
    <w:rsid w:val="004F7B9A"/>
    <w:rsid w:val="004F7C82"/>
    <w:rsid w:val="004F7EF1"/>
    <w:rsid w:val="004F7F6C"/>
    <w:rsid w:val="004F7FC2"/>
    <w:rsid w:val="004F7FC6"/>
    <w:rsid w:val="00500037"/>
    <w:rsid w:val="005000B8"/>
    <w:rsid w:val="00500118"/>
    <w:rsid w:val="0050022B"/>
    <w:rsid w:val="005002F1"/>
    <w:rsid w:val="00500353"/>
    <w:rsid w:val="00500358"/>
    <w:rsid w:val="005004D1"/>
    <w:rsid w:val="00500594"/>
    <w:rsid w:val="005005C1"/>
    <w:rsid w:val="005005DD"/>
    <w:rsid w:val="00500665"/>
    <w:rsid w:val="00500704"/>
    <w:rsid w:val="005007C4"/>
    <w:rsid w:val="005007DE"/>
    <w:rsid w:val="0050095E"/>
    <w:rsid w:val="00500B9B"/>
    <w:rsid w:val="00500C9B"/>
    <w:rsid w:val="00500CEA"/>
    <w:rsid w:val="00500D52"/>
    <w:rsid w:val="00500D85"/>
    <w:rsid w:val="00500E03"/>
    <w:rsid w:val="00500F98"/>
    <w:rsid w:val="0050113A"/>
    <w:rsid w:val="0050115E"/>
    <w:rsid w:val="005012A8"/>
    <w:rsid w:val="00501339"/>
    <w:rsid w:val="00501344"/>
    <w:rsid w:val="005013B3"/>
    <w:rsid w:val="0050143F"/>
    <w:rsid w:val="00501651"/>
    <w:rsid w:val="005018CA"/>
    <w:rsid w:val="00501BA3"/>
    <w:rsid w:val="00501DFD"/>
    <w:rsid w:val="00501E03"/>
    <w:rsid w:val="00501E6B"/>
    <w:rsid w:val="00501EC4"/>
    <w:rsid w:val="00501F6E"/>
    <w:rsid w:val="00501FFD"/>
    <w:rsid w:val="00502133"/>
    <w:rsid w:val="00502153"/>
    <w:rsid w:val="005021F2"/>
    <w:rsid w:val="00502252"/>
    <w:rsid w:val="005022DB"/>
    <w:rsid w:val="00502392"/>
    <w:rsid w:val="005024BA"/>
    <w:rsid w:val="0050261E"/>
    <w:rsid w:val="00502674"/>
    <w:rsid w:val="005026C2"/>
    <w:rsid w:val="00502742"/>
    <w:rsid w:val="00502762"/>
    <w:rsid w:val="00502763"/>
    <w:rsid w:val="00502AED"/>
    <w:rsid w:val="00502B9F"/>
    <w:rsid w:val="00502C86"/>
    <w:rsid w:val="00502E08"/>
    <w:rsid w:val="00502E2A"/>
    <w:rsid w:val="00502FBF"/>
    <w:rsid w:val="0050309B"/>
    <w:rsid w:val="005030ED"/>
    <w:rsid w:val="005031C1"/>
    <w:rsid w:val="00503431"/>
    <w:rsid w:val="005034DC"/>
    <w:rsid w:val="0050350A"/>
    <w:rsid w:val="00503661"/>
    <w:rsid w:val="005036D5"/>
    <w:rsid w:val="0050370E"/>
    <w:rsid w:val="00503846"/>
    <w:rsid w:val="0050384D"/>
    <w:rsid w:val="00503850"/>
    <w:rsid w:val="0050390D"/>
    <w:rsid w:val="00503A0B"/>
    <w:rsid w:val="00503A13"/>
    <w:rsid w:val="00503AFC"/>
    <w:rsid w:val="00503B15"/>
    <w:rsid w:val="00503D06"/>
    <w:rsid w:val="00503D1C"/>
    <w:rsid w:val="00503D9F"/>
    <w:rsid w:val="00503DD5"/>
    <w:rsid w:val="00503E71"/>
    <w:rsid w:val="00503EB0"/>
    <w:rsid w:val="00503F05"/>
    <w:rsid w:val="00503F14"/>
    <w:rsid w:val="00503F53"/>
    <w:rsid w:val="00503FED"/>
    <w:rsid w:val="005041E4"/>
    <w:rsid w:val="00504209"/>
    <w:rsid w:val="00504237"/>
    <w:rsid w:val="00504337"/>
    <w:rsid w:val="005043DA"/>
    <w:rsid w:val="00504404"/>
    <w:rsid w:val="00504423"/>
    <w:rsid w:val="00504458"/>
    <w:rsid w:val="005044FB"/>
    <w:rsid w:val="0050452D"/>
    <w:rsid w:val="005046FF"/>
    <w:rsid w:val="0050473F"/>
    <w:rsid w:val="00504824"/>
    <w:rsid w:val="005048B7"/>
    <w:rsid w:val="005048E9"/>
    <w:rsid w:val="00504965"/>
    <w:rsid w:val="00504BF6"/>
    <w:rsid w:val="00504D31"/>
    <w:rsid w:val="00504D57"/>
    <w:rsid w:val="00504EB2"/>
    <w:rsid w:val="00504FCD"/>
    <w:rsid w:val="005050C1"/>
    <w:rsid w:val="0050511B"/>
    <w:rsid w:val="00505176"/>
    <w:rsid w:val="00505257"/>
    <w:rsid w:val="00505292"/>
    <w:rsid w:val="005052C0"/>
    <w:rsid w:val="005054BB"/>
    <w:rsid w:val="005054CD"/>
    <w:rsid w:val="005054FA"/>
    <w:rsid w:val="00505588"/>
    <w:rsid w:val="00505712"/>
    <w:rsid w:val="005057A3"/>
    <w:rsid w:val="005057DF"/>
    <w:rsid w:val="00505852"/>
    <w:rsid w:val="005058CC"/>
    <w:rsid w:val="005058CF"/>
    <w:rsid w:val="00505986"/>
    <w:rsid w:val="00505B5E"/>
    <w:rsid w:val="00505B88"/>
    <w:rsid w:val="00505CA4"/>
    <w:rsid w:val="00505CC3"/>
    <w:rsid w:val="00505D73"/>
    <w:rsid w:val="00505D7A"/>
    <w:rsid w:val="00505D7C"/>
    <w:rsid w:val="00505D8E"/>
    <w:rsid w:val="00505E2E"/>
    <w:rsid w:val="00505F14"/>
    <w:rsid w:val="00506008"/>
    <w:rsid w:val="005060DD"/>
    <w:rsid w:val="00506362"/>
    <w:rsid w:val="00506394"/>
    <w:rsid w:val="00506471"/>
    <w:rsid w:val="005064C1"/>
    <w:rsid w:val="0050653B"/>
    <w:rsid w:val="005065BE"/>
    <w:rsid w:val="005065D3"/>
    <w:rsid w:val="00506741"/>
    <w:rsid w:val="005067C6"/>
    <w:rsid w:val="00506825"/>
    <w:rsid w:val="0050689A"/>
    <w:rsid w:val="00506C2E"/>
    <w:rsid w:val="00506C43"/>
    <w:rsid w:val="00506CDA"/>
    <w:rsid w:val="00506F75"/>
    <w:rsid w:val="00506FD9"/>
    <w:rsid w:val="00507269"/>
    <w:rsid w:val="005072A6"/>
    <w:rsid w:val="005072B5"/>
    <w:rsid w:val="00507332"/>
    <w:rsid w:val="00507379"/>
    <w:rsid w:val="0050747E"/>
    <w:rsid w:val="00507520"/>
    <w:rsid w:val="0050756F"/>
    <w:rsid w:val="0050758A"/>
    <w:rsid w:val="005076E3"/>
    <w:rsid w:val="005076E4"/>
    <w:rsid w:val="00507708"/>
    <w:rsid w:val="00507753"/>
    <w:rsid w:val="00507779"/>
    <w:rsid w:val="0050777D"/>
    <w:rsid w:val="005077E5"/>
    <w:rsid w:val="005078ED"/>
    <w:rsid w:val="00507A06"/>
    <w:rsid w:val="00507A0E"/>
    <w:rsid w:val="00507ABD"/>
    <w:rsid w:val="00507B30"/>
    <w:rsid w:val="00507B61"/>
    <w:rsid w:val="00507BB7"/>
    <w:rsid w:val="00507D4D"/>
    <w:rsid w:val="00507F1C"/>
    <w:rsid w:val="00507F3D"/>
    <w:rsid w:val="00507FE2"/>
    <w:rsid w:val="0051000F"/>
    <w:rsid w:val="00510125"/>
    <w:rsid w:val="005101A5"/>
    <w:rsid w:val="005102B9"/>
    <w:rsid w:val="005102CC"/>
    <w:rsid w:val="0051036B"/>
    <w:rsid w:val="0051038E"/>
    <w:rsid w:val="005103D3"/>
    <w:rsid w:val="005103E0"/>
    <w:rsid w:val="005104E6"/>
    <w:rsid w:val="005105C4"/>
    <w:rsid w:val="0051065D"/>
    <w:rsid w:val="005106E5"/>
    <w:rsid w:val="00510805"/>
    <w:rsid w:val="00510807"/>
    <w:rsid w:val="00510851"/>
    <w:rsid w:val="0051095B"/>
    <w:rsid w:val="005109BB"/>
    <w:rsid w:val="005109E1"/>
    <w:rsid w:val="00510A2F"/>
    <w:rsid w:val="00510A81"/>
    <w:rsid w:val="00510AD1"/>
    <w:rsid w:val="00510B0F"/>
    <w:rsid w:val="00510B5F"/>
    <w:rsid w:val="00510B91"/>
    <w:rsid w:val="00510BD4"/>
    <w:rsid w:val="00510BD9"/>
    <w:rsid w:val="00510C0E"/>
    <w:rsid w:val="00510C64"/>
    <w:rsid w:val="00510D16"/>
    <w:rsid w:val="00510DF2"/>
    <w:rsid w:val="00510F77"/>
    <w:rsid w:val="00510FA4"/>
    <w:rsid w:val="0051111C"/>
    <w:rsid w:val="00511194"/>
    <w:rsid w:val="005112AD"/>
    <w:rsid w:val="00511462"/>
    <w:rsid w:val="005115C0"/>
    <w:rsid w:val="005115C3"/>
    <w:rsid w:val="005116C4"/>
    <w:rsid w:val="0051170F"/>
    <w:rsid w:val="00511895"/>
    <w:rsid w:val="0051191A"/>
    <w:rsid w:val="00511961"/>
    <w:rsid w:val="00511968"/>
    <w:rsid w:val="005119B9"/>
    <w:rsid w:val="005119D9"/>
    <w:rsid w:val="00511A66"/>
    <w:rsid w:val="00511AC4"/>
    <w:rsid w:val="00511B62"/>
    <w:rsid w:val="00511B81"/>
    <w:rsid w:val="00511B8E"/>
    <w:rsid w:val="00511D52"/>
    <w:rsid w:val="00511E38"/>
    <w:rsid w:val="00511E49"/>
    <w:rsid w:val="00511E74"/>
    <w:rsid w:val="00511EC3"/>
    <w:rsid w:val="00511F9C"/>
    <w:rsid w:val="0051202B"/>
    <w:rsid w:val="00512069"/>
    <w:rsid w:val="005120CB"/>
    <w:rsid w:val="00512183"/>
    <w:rsid w:val="00512291"/>
    <w:rsid w:val="0051229C"/>
    <w:rsid w:val="005122C5"/>
    <w:rsid w:val="005122D1"/>
    <w:rsid w:val="00512305"/>
    <w:rsid w:val="0051243C"/>
    <w:rsid w:val="00512456"/>
    <w:rsid w:val="005125AA"/>
    <w:rsid w:val="005125B1"/>
    <w:rsid w:val="005125C5"/>
    <w:rsid w:val="00512780"/>
    <w:rsid w:val="005127DC"/>
    <w:rsid w:val="00512A69"/>
    <w:rsid w:val="00512B03"/>
    <w:rsid w:val="00512BB2"/>
    <w:rsid w:val="00512C56"/>
    <w:rsid w:val="00512CDD"/>
    <w:rsid w:val="00512DA1"/>
    <w:rsid w:val="00512DCD"/>
    <w:rsid w:val="00512E69"/>
    <w:rsid w:val="00512F4D"/>
    <w:rsid w:val="00512F99"/>
    <w:rsid w:val="00512FC2"/>
    <w:rsid w:val="00512FE7"/>
    <w:rsid w:val="0051315C"/>
    <w:rsid w:val="005131ED"/>
    <w:rsid w:val="00513211"/>
    <w:rsid w:val="005132DA"/>
    <w:rsid w:val="0051342D"/>
    <w:rsid w:val="005134E3"/>
    <w:rsid w:val="00513566"/>
    <w:rsid w:val="005135C9"/>
    <w:rsid w:val="005137FB"/>
    <w:rsid w:val="00513872"/>
    <w:rsid w:val="005138B5"/>
    <w:rsid w:val="00513955"/>
    <w:rsid w:val="005139C2"/>
    <w:rsid w:val="005139EE"/>
    <w:rsid w:val="00513A2D"/>
    <w:rsid w:val="00513AAD"/>
    <w:rsid w:val="00513AEB"/>
    <w:rsid w:val="00513B52"/>
    <w:rsid w:val="00513BB2"/>
    <w:rsid w:val="00513C06"/>
    <w:rsid w:val="00513C39"/>
    <w:rsid w:val="00513C7D"/>
    <w:rsid w:val="00513C8C"/>
    <w:rsid w:val="00513CD9"/>
    <w:rsid w:val="00513D25"/>
    <w:rsid w:val="00513E56"/>
    <w:rsid w:val="00513EC2"/>
    <w:rsid w:val="00513F60"/>
    <w:rsid w:val="00513FC8"/>
    <w:rsid w:val="0051412F"/>
    <w:rsid w:val="0051418A"/>
    <w:rsid w:val="0051422E"/>
    <w:rsid w:val="0051423F"/>
    <w:rsid w:val="005142D1"/>
    <w:rsid w:val="005142D5"/>
    <w:rsid w:val="0051433E"/>
    <w:rsid w:val="005143DF"/>
    <w:rsid w:val="005143E9"/>
    <w:rsid w:val="005144C5"/>
    <w:rsid w:val="005144DE"/>
    <w:rsid w:val="005145A5"/>
    <w:rsid w:val="005146E1"/>
    <w:rsid w:val="005149E3"/>
    <w:rsid w:val="00514AFB"/>
    <w:rsid w:val="00514B74"/>
    <w:rsid w:val="00514BB5"/>
    <w:rsid w:val="00514BDF"/>
    <w:rsid w:val="00514C31"/>
    <w:rsid w:val="00514C54"/>
    <w:rsid w:val="00514D36"/>
    <w:rsid w:val="00514D99"/>
    <w:rsid w:val="00514DDC"/>
    <w:rsid w:val="00514E3E"/>
    <w:rsid w:val="00514E97"/>
    <w:rsid w:val="00514FEE"/>
    <w:rsid w:val="005150A7"/>
    <w:rsid w:val="00515116"/>
    <w:rsid w:val="005152EA"/>
    <w:rsid w:val="0051539D"/>
    <w:rsid w:val="0051539F"/>
    <w:rsid w:val="005153A8"/>
    <w:rsid w:val="005153EB"/>
    <w:rsid w:val="0051560B"/>
    <w:rsid w:val="0051568D"/>
    <w:rsid w:val="005156C3"/>
    <w:rsid w:val="005156C6"/>
    <w:rsid w:val="005156FB"/>
    <w:rsid w:val="00515767"/>
    <w:rsid w:val="00515834"/>
    <w:rsid w:val="005158A3"/>
    <w:rsid w:val="005158A7"/>
    <w:rsid w:val="0051592D"/>
    <w:rsid w:val="00515993"/>
    <w:rsid w:val="00515A0F"/>
    <w:rsid w:val="00515AA0"/>
    <w:rsid w:val="00515AEA"/>
    <w:rsid w:val="00515B2F"/>
    <w:rsid w:val="00515C80"/>
    <w:rsid w:val="00515CB7"/>
    <w:rsid w:val="00515DFE"/>
    <w:rsid w:val="00515E24"/>
    <w:rsid w:val="00515E7A"/>
    <w:rsid w:val="00515EA2"/>
    <w:rsid w:val="00515EDB"/>
    <w:rsid w:val="00515FC1"/>
    <w:rsid w:val="005160FF"/>
    <w:rsid w:val="00516133"/>
    <w:rsid w:val="0051625C"/>
    <w:rsid w:val="0051641C"/>
    <w:rsid w:val="00516568"/>
    <w:rsid w:val="00516628"/>
    <w:rsid w:val="005166F3"/>
    <w:rsid w:val="005168C1"/>
    <w:rsid w:val="005169EC"/>
    <w:rsid w:val="005169F7"/>
    <w:rsid w:val="00516B25"/>
    <w:rsid w:val="00516B66"/>
    <w:rsid w:val="00516BBD"/>
    <w:rsid w:val="00516C11"/>
    <w:rsid w:val="00516C1E"/>
    <w:rsid w:val="00516CC2"/>
    <w:rsid w:val="00516E0E"/>
    <w:rsid w:val="00516EB6"/>
    <w:rsid w:val="00516EEB"/>
    <w:rsid w:val="00516EF2"/>
    <w:rsid w:val="00516F43"/>
    <w:rsid w:val="00516FDC"/>
    <w:rsid w:val="0051708E"/>
    <w:rsid w:val="005170DF"/>
    <w:rsid w:val="0051715B"/>
    <w:rsid w:val="00517231"/>
    <w:rsid w:val="0051728B"/>
    <w:rsid w:val="005172D9"/>
    <w:rsid w:val="0051733C"/>
    <w:rsid w:val="005174A6"/>
    <w:rsid w:val="005174B7"/>
    <w:rsid w:val="005174D3"/>
    <w:rsid w:val="00517520"/>
    <w:rsid w:val="00517767"/>
    <w:rsid w:val="00517794"/>
    <w:rsid w:val="005179B7"/>
    <w:rsid w:val="00517A0E"/>
    <w:rsid w:val="00517AB2"/>
    <w:rsid w:val="00517C13"/>
    <w:rsid w:val="00517C30"/>
    <w:rsid w:val="00517CC7"/>
    <w:rsid w:val="00517D2D"/>
    <w:rsid w:val="00517D3B"/>
    <w:rsid w:val="00517F89"/>
    <w:rsid w:val="00517FDC"/>
    <w:rsid w:val="005200D5"/>
    <w:rsid w:val="0052014B"/>
    <w:rsid w:val="005201B3"/>
    <w:rsid w:val="00520240"/>
    <w:rsid w:val="005202AE"/>
    <w:rsid w:val="00520381"/>
    <w:rsid w:val="00520446"/>
    <w:rsid w:val="005204CC"/>
    <w:rsid w:val="005205AD"/>
    <w:rsid w:val="0052073F"/>
    <w:rsid w:val="0052076C"/>
    <w:rsid w:val="00520808"/>
    <w:rsid w:val="00520885"/>
    <w:rsid w:val="00520900"/>
    <w:rsid w:val="00520A4C"/>
    <w:rsid w:val="00520AD3"/>
    <w:rsid w:val="00520AD5"/>
    <w:rsid w:val="00520B2F"/>
    <w:rsid w:val="00520C1C"/>
    <w:rsid w:val="00520DAE"/>
    <w:rsid w:val="00520F26"/>
    <w:rsid w:val="00520F64"/>
    <w:rsid w:val="00520FF5"/>
    <w:rsid w:val="00521025"/>
    <w:rsid w:val="005210A1"/>
    <w:rsid w:val="005210C6"/>
    <w:rsid w:val="005211FB"/>
    <w:rsid w:val="0052130F"/>
    <w:rsid w:val="005213B4"/>
    <w:rsid w:val="005214F1"/>
    <w:rsid w:val="005216D8"/>
    <w:rsid w:val="005216F5"/>
    <w:rsid w:val="00521861"/>
    <w:rsid w:val="00521A43"/>
    <w:rsid w:val="00521BFD"/>
    <w:rsid w:val="00521C6C"/>
    <w:rsid w:val="00521D17"/>
    <w:rsid w:val="00521D73"/>
    <w:rsid w:val="00521E2B"/>
    <w:rsid w:val="00521E3F"/>
    <w:rsid w:val="005222E7"/>
    <w:rsid w:val="00522310"/>
    <w:rsid w:val="00522352"/>
    <w:rsid w:val="0052237F"/>
    <w:rsid w:val="00522390"/>
    <w:rsid w:val="005223D4"/>
    <w:rsid w:val="005224F8"/>
    <w:rsid w:val="00522534"/>
    <w:rsid w:val="005227F4"/>
    <w:rsid w:val="005228DD"/>
    <w:rsid w:val="0052292A"/>
    <w:rsid w:val="005229C9"/>
    <w:rsid w:val="00522A76"/>
    <w:rsid w:val="00522B8B"/>
    <w:rsid w:val="00522CCA"/>
    <w:rsid w:val="00522D15"/>
    <w:rsid w:val="00522D25"/>
    <w:rsid w:val="00523029"/>
    <w:rsid w:val="005231BA"/>
    <w:rsid w:val="00523220"/>
    <w:rsid w:val="0052329F"/>
    <w:rsid w:val="00523347"/>
    <w:rsid w:val="00523458"/>
    <w:rsid w:val="0052346D"/>
    <w:rsid w:val="00523471"/>
    <w:rsid w:val="005234B9"/>
    <w:rsid w:val="005234F9"/>
    <w:rsid w:val="005235B4"/>
    <w:rsid w:val="00523608"/>
    <w:rsid w:val="005236A0"/>
    <w:rsid w:val="005237BD"/>
    <w:rsid w:val="005239AE"/>
    <w:rsid w:val="005239BE"/>
    <w:rsid w:val="005239FC"/>
    <w:rsid w:val="00523A3F"/>
    <w:rsid w:val="00523AA2"/>
    <w:rsid w:val="00523BCC"/>
    <w:rsid w:val="00523C0E"/>
    <w:rsid w:val="00523C40"/>
    <w:rsid w:val="00523CB5"/>
    <w:rsid w:val="00523DAE"/>
    <w:rsid w:val="00523E4E"/>
    <w:rsid w:val="00523F04"/>
    <w:rsid w:val="00523F05"/>
    <w:rsid w:val="00523F39"/>
    <w:rsid w:val="00523F4D"/>
    <w:rsid w:val="00523F99"/>
    <w:rsid w:val="00523FDB"/>
    <w:rsid w:val="005240D2"/>
    <w:rsid w:val="00524105"/>
    <w:rsid w:val="00524168"/>
    <w:rsid w:val="005241D6"/>
    <w:rsid w:val="005241ED"/>
    <w:rsid w:val="0052425B"/>
    <w:rsid w:val="005242A1"/>
    <w:rsid w:val="005242B6"/>
    <w:rsid w:val="005242E9"/>
    <w:rsid w:val="00524318"/>
    <w:rsid w:val="00524369"/>
    <w:rsid w:val="00524493"/>
    <w:rsid w:val="005244A2"/>
    <w:rsid w:val="005244B2"/>
    <w:rsid w:val="005244FA"/>
    <w:rsid w:val="0052455B"/>
    <w:rsid w:val="0052459D"/>
    <w:rsid w:val="00524626"/>
    <w:rsid w:val="0052465B"/>
    <w:rsid w:val="00524701"/>
    <w:rsid w:val="0052471B"/>
    <w:rsid w:val="00524918"/>
    <w:rsid w:val="00524978"/>
    <w:rsid w:val="00524980"/>
    <w:rsid w:val="00524A4E"/>
    <w:rsid w:val="00524AA2"/>
    <w:rsid w:val="00524BA1"/>
    <w:rsid w:val="00524CFB"/>
    <w:rsid w:val="00524D15"/>
    <w:rsid w:val="00524D19"/>
    <w:rsid w:val="00524F63"/>
    <w:rsid w:val="00524FC2"/>
    <w:rsid w:val="00525125"/>
    <w:rsid w:val="00525171"/>
    <w:rsid w:val="00525284"/>
    <w:rsid w:val="0052542C"/>
    <w:rsid w:val="00525430"/>
    <w:rsid w:val="00525437"/>
    <w:rsid w:val="0052549C"/>
    <w:rsid w:val="00525592"/>
    <w:rsid w:val="005255DB"/>
    <w:rsid w:val="005255F6"/>
    <w:rsid w:val="0052563A"/>
    <w:rsid w:val="005256D4"/>
    <w:rsid w:val="0052575E"/>
    <w:rsid w:val="0052578F"/>
    <w:rsid w:val="005257BE"/>
    <w:rsid w:val="005257DC"/>
    <w:rsid w:val="00525901"/>
    <w:rsid w:val="00525932"/>
    <w:rsid w:val="005259B9"/>
    <w:rsid w:val="00525A6B"/>
    <w:rsid w:val="00525ADD"/>
    <w:rsid w:val="00525AF9"/>
    <w:rsid w:val="00525B5E"/>
    <w:rsid w:val="00525B70"/>
    <w:rsid w:val="00525BAD"/>
    <w:rsid w:val="00525C3B"/>
    <w:rsid w:val="00525DC8"/>
    <w:rsid w:val="00525E30"/>
    <w:rsid w:val="00525E42"/>
    <w:rsid w:val="00525E61"/>
    <w:rsid w:val="00525F12"/>
    <w:rsid w:val="00525FC6"/>
    <w:rsid w:val="00526046"/>
    <w:rsid w:val="0052608B"/>
    <w:rsid w:val="005260D6"/>
    <w:rsid w:val="00526119"/>
    <w:rsid w:val="00526153"/>
    <w:rsid w:val="00526174"/>
    <w:rsid w:val="00526199"/>
    <w:rsid w:val="00526237"/>
    <w:rsid w:val="0052629D"/>
    <w:rsid w:val="00526331"/>
    <w:rsid w:val="005263D1"/>
    <w:rsid w:val="0052649A"/>
    <w:rsid w:val="00526566"/>
    <w:rsid w:val="00526604"/>
    <w:rsid w:val="0052668A"/>
    <w:rsid w:val="00526834"/>
    <w:rsid w:val="0052688A"/>
    <w:rsid w:val="005268DC"/>
    <w:rsid w:val="005268DF"/>
    <w:rsid w:val="00526929"/>
    <w:rsid w:val="00526965"/>
    <w:rsid w:val="00526CAD"/>
    <w:rsid w:val="00526DE9"/>
    <w:rsid w:val="00526E16"/>
    <w:rsid w:val="00526E27"/>
    <w:rsid w:val="00526E6B"/>
    <w:rsid w:val="00526F08"/>
    <w:rsid w:val="00526F36"/>
    <w:rsid w:val="00526F79"/>
    <w:rsid w:val="005270C8"/>
    <w:rsid w:val="005270E2"/>
    <w:rsid w:val="00527255"/>
    <w:rsid w:val="00527363"/>
    <w:rsid w:val="00527367"/>
    <w:rsid w:val="005273A5"/>
    <w:rsid w:val="00527408"/>
    <w:rsid w:val="005274A1"/>
    <w:rsid w:val="00527500"/>
    <w:rsid w:val="00527640"/>
    <w:rsid w:val="00527703"/>
    <w:rsid w:val="0052786F"/>
    <w:rsid w:val="0052788C"/>
    <w:rsid w:val="0052790D"/>
    <w:rsid w:val="00527AB9"/>
    <w:rsid w:val="00527AE1"/>
    <w:rsid w:val="00527B01"/>
    <w:rsid w:val="00527B5C"/>
    <w:rsid w:val="00527B89"/>
    <w:rsid w:val="00527C17"/>
    <w:rsid w:val="00527D65"/>
    <w:rsid w:val="00527DED"/>
    <w:rsid w:val="00527E00"/>
    <w:rsid w:val="00527EA4"/>
    <w:rsid w:val="00527F38"/>
    <w:rsid w:val="00530010"/>
    <w:rsid w:val="00530014"/>
    <w:rsid w:val="00530290"/>
    <w:rsid w:val="005303D2"/>
    <w:rsid w:val="005303E1"/>
    <w:rsid w:val="00530447"/>
    <w:rsid w:val="0053046C"/>
    <w:rsid w:val="0053051B"/>
    <w:rsid w:val="0053058A"/>
    <w:rsid w:val="00530626"/>
    <w:rsid w:val="00530975"/>
    <w:rsid w:val="005309BF"/>
    <w:rsid w:val="00530ADF"/>
    <w:rsid w:val="00530B33"/>
    <w:rsid w:val="00530C87"/>
    <w:rsid w:val="00530D2D"/>
    <w:rsid w:val="00530D45"/>
    <w:rsid w:val="00530D67"/>
    <w:rsid w:val="00530D84"/>
    <w:rsid w:val="00530DCE"/>
    <w:rsid w:val="00530E29"/>
    <w:rsid w:val="00530ED9"/>
    <w:rsid w:val="00530EF5"/>
    <w:rsid w:val="00530F5C"/>
    <w:rsid w:val="00530F9D"/>
    <w:rsid w:val="005310CF"/>
    <w:rsid w:val="00531322"/>
    <w:rsid w:val="00531330"/>
    <w:rsid w:val="005313FF"/>
    <w:rsid w:val="005315AD"/>
    <w:rsid w:val="0053161F"/>
    <w:rsid w:val="00531627"/>
    <w:rsid w:val="00531635"/>
    <w:rsid w:val="005316E0"/>
    <w:rsid w:val="00531714"/>
    <w:rsid w:val="00531857"/>
    <w:rsid w:val="00531940"/>
    <w:rsid w:val="0053194D"/>
    <w:rsid w:val="00531A21"/>
    <w:rsid w:val="00531ACE"/>
    <w:rsid w:val="00531B2B"/>
    <w:rsid w:val="00531B34"/>
    <w:rsid w:val="00531D63"/>
    <w:rsid w:val="00531D76"/>
    <w:rsid w:val="00531DAF"/>
    <w:rsid w:val="00531DB1"/>
    <w:rsid w:val="00531FD0"/>
    <w:rsid w:val="00531FD3"/>
    <w:rsid w:val="005322B7"/>
    <w:rsid w:val="005322C3"/>
    <w:rsid w:val="00532330"/>
    <w:rsid w:val="0053236E"/>
    <w:rsid w:val="005323C5"/>
    <w:rsid w:val="00532487"/>
    <w:rsid w:val="005324BA"/>
    <w:rsid w:val="005325EE"/>
    <w:rsid w:val="00532686"/>
    <w:rsid w:val="005326D3"/>
    <w:rsid w:val="005327B1"/>
    <w:rsid w:val="005327F1"/>
    <w:rsid w:val="0053285E"/>
    <w:rsid w:val="00532883"/>
    <w:rsid w:val="005328C6"/>
    <w:rsid w:val="00532993"/>
    <w:rsid w:val="005329D0"/>
    <w:rsid w:val="00532A6E"/>
    <w:rsid w:val="00532AB1"/>
    <w:rsid w:val="00532AB6"/>
    <w:rsid w:val="00532CED"/>
    <w:rsid w:val="00532F62"/>
    <w:rsid w:val="00532F99"/>
    <w:rsid w:val="00533018"/>
    <w:rsid w:val="005330B3"/>
    <w:rsid w:val="0053319A"/>
    <w:rsid w:val="005332B3"/>
    <w:rsid w:val="0053349B"/>
    <w:rsid w:val="00533503"/>
    <w:rsid w:val="0053353A"/>
    <w:rsid w:val="00533541"/>
    <w:rsid w:val="00533551"/>
    <w:rsid w:val="00533662"/>
    <w:rsid w:val="00533769"/>
    <w:rsid w:val="0053383F"/>
    <w:rsid w:val="0053395B"/>
    <w:rsid w:val="005339FF"/>
    <w:rsid w:val="00533A1C"/>
    <w:rsid w:val="00533A39"/>
    <w:rsid w:val="00533AED"/>
    <w:rsid w:val="00533B1E"/>
    <w:rsid w:val="00533B57"/>
    <w:rsid w:val="00533C5B"/>
    <w:rsid w:val="00533D11"/>
    <w:rsid w:val="00533D2E"/>
    <w:rsid w:val="00533DBF"/>
    <w:rsid w:val="00533E99"/>
    <w:rsid w:val="00534146"/>
    <w:rsid w:val="005341AD"/>
    <w:rsid w:val="005341D0"/>
    <w:rsid w:val="00534398"/>
    <w:rsid w:val="005344A3"/>
    <w:rsid w:val="005344B4"/>
    <w:rsid w:val="005345F3"/>
    <w:rsid w:val="00534660"/>
    <w:rsid w:val="00534688"/>
    <w:rsid w:val="005346D6"/>
    <w:rsid w:val="005347B2"/>
    <w:rsid w:val="00534826"/>
    <w:rsid w:val="00534AE3"/>
    <w:rsid w:val="00534AF6"/>
    <w:rsid w:val="00534C12"/>
    <w:rsid w:val="00534D22"/>
    <w:rsid w:val="00534E0E"/>
    <w:rsid w:val="00534E4F"/>
    <w:rsid w:val="00534E69"/>
    <w:rsid w:val="00534EA8"/>
    <w:rsid w:val="00534EDF"/>
    <w:rsid w:val="00534EEF"/>
    <w:rsid w:val="00535085"/>
    <w:rsid w:val="005350D7"/>
    <w:rsid w:val="00535165"/>
    <w:rsid w:val="005353B2"/>
    <w:rsid w:val="00535734"/>
    <w:rsid w:val="00535742"/>
    <w:rsid w:val="0053574B"/>
    <w:rsid w:val="005357F2"/>
    <w:rsid w:val="00535869"/>
    <w:rsid w:val="0053594C"/>
    <w:rsid w:val="00535986"/>
    <w:rsid w:val="005359A6"/>
    <w:rsid w:val="00535A0E"/>
    <w:rsid w:val="00535AB4"/>
    <w:rsid w:val="00535B57"/>
    <w:rsid w:val="00535BE0"/>
    <w:rsid w:val="00535C36"/>
    <w:rsid w:val="00535D49"/>
    <w:rsid w:val="00535EE6"/>
    <w:rsid w:val="0053612A"/>
    <w:rsid w:val="005361F5"/>
    <w:rsid w:val="00536303"/>
    <w:rsid w:val="0053638E"/>
    <w:rsid w:val="005363CD"/>
    <w:rsid w:val="0053643E"/>
    <w:rsid w:val="00536480"/>
    <w:rsid w:val="005364AF"/>
    <w:rsid w:val="0053665E"/>
    <w:rsid w:val="0053667E"/>
    <w:rsid w:val="0053681D"/>
    <w:rsid w:val="0053685A"/>
    <w:rsid w:val="00536A24"/>
    <w:rsid w:val="00536AAD"/>
    <w:rsid w:val="00536C46"/>
    <w:rsid w:val="00536CBB"/>
    <w:rsid w:val="00536D1F"/>
    <w:rsid w:val="00536DC0"/>
    <w:rsid w:val="00536E9C"/>
    <w:rsid w:val="00536EB5"/>
    <w:rsid w:val="00536F36"/>
    <w:rsid w:val="00536F3B"/>
    <w:rsid w:val="0053708A"/>
    <w:rsid w:val="00537177"/>
    <w:rsid w:val="005372B9"/>
    <w:rsid w:val="00537345"/>
    <w:rsid w:val="0053744D"/>
    <w:rsid w:val="0053757F"/>
    <w:rsid w:val="005376FC"/>
    <w:rsid w:val="0053772A"/>
    <w:rsid w:val="005377DE"/>
    <w:rsid w:val="005378BC"/>
    <w:rsid w:val="005378E4"/>
    <w:rsid w:val="005379AA"/>
    <w:rsid w:val="00537A20"/>
    <w:rsid w:val="00537A45"/>
    <w:rsid w:val="00537AC6"/>
    <w:rsid w:val="00537B20"/>
    <w:rsid w:val="00537BD8"/>
    <w:rsid w:val="00537CFF"/>
    <w:rsid w:val="00537FA5"/>
    <w:rsid w:val="0054003E"/>
    <w:rsid w:val="00540179"/>
    <w:rsid w:val="00540206"/>
    <w:rsid w:val="0054022B"/>
    <w:rsid w:val="00540258"/>
    <w:rsid w:val="00540308"/>
    <w:rsid w:val="005403D9"/>
    <w:rsid w:val="00540520"/>
    <w:rsid w:val="00540554"/>
    <w:rsid w:val="005406FD"/>
    <w:rsid w:val="005407DD"/>
    <w:rsid w:val="00540839"/>
    <w:rsid w:val="005408F3"/>
    <w:rsid w:val="00540A6F"/>
    <w:rsid w:val="00540B52"/>
    <w:rsid w:val="00540B60"/>
    <w:rsid w:val="00540C24"/>
    <w:rsid w:val="00540CE9"/>
    <w:rsid w:val="00540D2C"/>
    <w:rsid w:val="00540E20"/>
    <w:rsid w:val="00540E80"/>
    <w:rsid w:val="00540EB9"/>
    <w:rsid w:val="00540FDF"/>
    <w:rsid w:val="00540FF6"/>
    <w:rsid w:val="0054103B"/>
    <w:rsid w:val="00541054"/>
    <w:rsid w:val="005410D5"/>
    <w:rsid w:val="005410F7"/>
    <w:rsid w:val="0054116B"/>
    <w:rsid w:val="0054121F"/>
    <w:rsid w:val="00541398"/>
    <w:rsid w:val="005413A1"/>
    <w:rsid w:val="0054167B"/>
    <w:rsid w:val="0054198D"/>
    <w:rsid w:val="0054199A"/>
    <w:rsid w:val="0054199B"/>
    <w:rsid w:val="00541A9D"/>
    <w:rsid w:val="00541B42"/>
    <w:rsid w:val="00541BF2"/>
    <w:rsid w:val="00541C2D"/>
    <w:rsid w:val="00541C4A"/>
    <w:rsid w:val="00541CE9"/>
    <w:rsid w:val="00541E3B"/>
    <w:rsid w:val="00541F63"/>
    <w:rsid w:val="00541FFB"/>
    <w:rsid w:val="0054205A"/>
    <w:rsid w:val="005420D1"/>
    <w:rsid w:val="00542183"/>
    <w:rsid w:val="005421A2"/>
    <w:rsid w:val="00542228"/>
    <w:rsid w:val="00542285"/>
    <w:rsid w:val="005422D5"/>
    <w:rsid w:val="00542322"/>
    <w:rsid w:val="0054248D"/>
    <w:rsid w:val="00542518"/>
    <w:rsid w:val="005425B1"/>
    <w:rsid w:val="00542608"/>
    <w:rsid w:val="00542630"/>
    <w:rsid w:val="00542728"/>
    <w:rsid w:val="00542872"/>
    <w:rsid w:val="0054290E"/>
    <w:rsid w:val="00542954"/>
    <w:rsid w:val="00542989"/>
    <w:rsid w:val="005429A8"/>
    <w:rsid w:val="005429E9"/>
    <w:rsid w:val="00542A11"/>
    <w:rsid w:val="00542A54"/>
    <w:rsid w:val="00542AF7"/>
    <w:rsid w:val="00542C09"/>
    <w:rsid w:val="00542D40"/>
    <w:rsid w:val="00542D94"/>
    <w:rsid w:val="00542DA6"/>
    <w:rsid w:val="00542DE2"/>
    <w:rsid w:val="00542E79"/>
    <w:rsid w:val="00542FDC"/>
    <w:rsid w:val="005430AB"/>
    <w:rsid w:val="00543114"/>
    <w:rsid w:val="00543143"/>
    <w:rsid w:val="0054317C"/>
    <w:rsid w:val="005432DB"/>
    <w:rsid w:val="0054334F"/>
    <w:rsid w:val="005433BB"/>
    <w:rsid w:val="00543435"/>
    <w:rsid w:val="00543486"/>
    <w:rsid w:val="005434F5"/>
    <w:rsid w:val="0054366B"/>
    <w:rsid w:val="005436A6"/>
    <w:rsid w:val="005436CB"/>
    <w:rsid w:val="005436FC"/>
    <w:rsid w:val="00543714"/>
    <w:rsid w:val="005438D8"/>
    <w:rsid w:val="00543A5E"/>
    <w:rsid w:val="00543ADE"/>
    <w:rsid w:val="00543AE6"/>
    <w:rsid w:val="00543B3B"/>
    <w:rsid w:val="00543B7C"/>
    <w:rsid w:val="00543BEC"/>
    <w:rsid w:val="00543C35"/>
    <w:rsid w:val="00543DB0"/>
    <w:rsid w:val="00543E8F"/>
    <w:rsid w:val="00543EDE"/>
    <w:rsid w:val="00543F6E"/>
    <w:rsid w:val="00543F9A"/>
    <w:rsid w:val="00543FEF"/>
    <w:rsid w:val="00544044"/>
    <w:rsid w:val="0054411E"/>
    <w:rsid w:val="00544159"/>
    <w:rsid w:val="0054415E"/>
    <w:rsid w:val="0054419B"/>
    <w:rsid w:val="00544388"/>
    <w:rsid w:val="00544405"/>
    <w:rsid w:val="0054449D"/>
    <w:rsid w:val="0054457A"/>
    <w:rsid w:val="00544685"/>
    <w:rsid w:val="00544686"/>
    <w:rsid w:val="005446A2"/>
    <w:rsid w:val="005446C0"/>
    <w:rsid w:val="005446F7"/>
    <w:rsid w:val="0054473C"/>
    <w:rsid w:val="0054475C"/>
    <w:rsid w:val="00544832"/>
    <w:rsid w:val="0054492C"/>
    <w:rsid w:val="00544984"/>
    <w:rsid w:val="005449D7"/>
    <w:rsid w:val="00544A1C"/>
    <w:rsid w:val="00544AAC"/>
    <w:rsid w:val="00544AC2"/>
    <w:rsid w:val="00544AED"/>
    <w:rsid w:val="00544B09"/>
    <w:rsid w:val="00544B0E"/>
    <w:rsid w:val="00544BE6"/>
    <w:rsid w:val="00544D18"/>
    <w:rsid w:val="00544D6E"/>
    <w:rsid w:val="00545021"/>
    <w:rsid w:val="00545062"/>
    <w:rsid w:val="00545082"/>
    <w:rsid w:val="00545137"/>
    <w:rsid w:val="0054532E"/>
    <w:rsid w:val="00545369"/>
    <w:rsid w:val="0054536A"/>
    <w:rsid w:val="0054539A"/>
    <w:rsid w:val="005453AC"/>
    <w:rsid w:val="00545403"/>
    <w:rsid w:val="005454FA"/>
    <w:rsid w:val="00545596"/>
    <w:rsid w:val="00545601"/>
    <w:rsid w:val="005456D7"/>
    <w:rsid w:val="00545747"/>
    <w:rsid w:val="00545752"/>
    <w:rsid w:val="00545837"/>
    <w:rsid w:val="00545A20"/>
    <w:rsid w:val="00545A94"/>
    <w:rsid w:val="00545AD4"/>
    <w:rsid w:val="00545B11"/>
    <w:rsid w:val="00545B3A"/>
    <w:rsid w:val="00545B4E"/>
    <w:rsid w:val="00545BAE"/>
    <w:rsid w:val="00545C53"/>
    <w:rsid w:val="00545C78"/>
    <w:rsid w:val="00545D0E"/>
    <w:rsid w:val="00545E16"/>
    <w:rsid w:val="00545F3C"/>
    <w:rsid w:val="00545FEF"/>
    <w:rsid w:val="00546177"/>
    <w:rsid w:val="005461C6"/>
    <w:rsid w:val="00546250"/>
    <w:rsid w:val="00546359"/>
    <w:rsid w:val="005463B3"/>
    <w:rsid w:val="00546476"/>
    <w:rsid w:val="0054651F"/>
    <w:rsid w:val="005465CC"/>
    <w:rsid w:val="005465EA"/>
    <w:rsid w:val="00546680"/>
    <w:rsid w:val="005466A2"/>
    <w:rsid w:val="005466C6"/>
    <w:rsid w:val="00546894"/>
    <w:rsid w:val="005468D5"/>
    <w:rsid w:val="00546921"/>
    <w:rsid w:val="00546997"/>
    <w:rsid w:val="005469C0"/>
    <w:rsid w:val="00546A47"/>
    <w:rsid w:val="00546B6D"/>
    <w:rsid w:val="00546B7F"/>
    <w:rsid w:val="00546D63"/>
    <w:rsid w:val="00546DB8"/>
    <w:rsid w:val="00546DFB"/>
    <w:rsid w:val="00546E56"/>
    <w:rsid w:val="00546E78"/>
    <w:rsid w:val="00546ED6"/>
    <w:rsid w:val="00546F6D"/>
    <w:rsid w:val="00546F94"/>
    <w:rsid w:val="0054712C"/>
    <w:rsid w:val="00547145"/>
    <w:rsid w:val="00547160"/>
    <w:rsid w:val="005471F1"/>
    <w:rsid w:val="005472ED"/>
    <w:rsid w:val="0054740D"/>
    <w:rsid w:val="00547427"/>
    <w:rsid w:val="0054746B"/>
    <w:rsid w:val="005475A1"/>
    <w:rsid w:val="00547633"/>
    <w:rsid w:val="00547790"/>
    <w:rsid w:val="0054783B"/>
    <w:rsid w:val="00547906"/>
    <w:rsid w:val="005479D4"/>
    <w:rsid w:val="00547ADA"/>
    <w:rsid w:val="00547C40"/>
    <w:rsid w:val="00547CB7"/>
    <w:rsid w:val="00547DD4"/>
    <w:rsid w:val="00547E09"/>
    <w:rsid w:val="00547EB2"/>
    <w:rsid w:val="00547F9B"/>
    <w:rsid w:val="0055000A"/>
    <w:rsid w:val="0055008F"/>
    <w:rsid w:val="005500A5"/>
    <w:rsid w:val="00550401"/>
    <w:rsid w:val="00550433"/>
    <w:rsid w:val="0055051C"/>
    <w:rsid w:val="005505CD"/>
    <w:rsid w:val="005505F4"/>
    <w:rsid w:val="0055060E"/>
    <w:rsid w:val="00550621"/>
    <w:rsid w:val="005506E3"/>
    <w:rsid w:val="00550725"/>
    <w:rsid w:val="00550734"/>
    <w:rsid w:val="00550846"/>
    <w:rsid w:val="005508D1"/>
    <w:rsid w:val="005509E8"/>
    <w:rsid w:val="00550ABA"/>
    <w:rsid w:val="00550B4B"/>
    <w:rsid w:val="00550B5E"/>
    <w:rsid w:val="00550DC9"/>
    <w:rsid w:val="00550E4E"/>
    <w:rsid w:val="00551090"/>
    <w:rsid w:val="0055120A"/>
    <w:rsid w:val="00551246"/>
    <w:rsid w:val="005512A6"/>
    <w:rsid w:val="005512AC"/>
    <w:rsid w:val="00551440"/>
    <w:rsid w:val="005514F4"/>
    <w:rsid w:val="005515AA"/>
    <w:rsid w:val="00551618"/>
    <w:rsid w:val="0055163D"/>
    <w:rsid w:val="0055173E"/>
    <w:rsid w:val="005517BB"/>
    <w:rsid w:val="00551864"/>
    <w:rsid w:val="0055189A"/>
    <w:rsid w:val="005518A1"/>
    <w:rsid w:val="00551A25"/>
    <w:rsid w:val="00551CAA"/>
    <w:rsid w:val="00551D4C"/>
    <w:rsid w:val="00551D8B"/>
    <w:rsid w:val="00551F74"/>
    <w:rsid w:val="00552036"/>
    <w:rsid w:val="005520AF"/>
    <w:rsid w:val="005520CF"/>
    <w:rsid w:val="00552248"/>
    <w:rsid w:val="005523D5"/>
    <w:rsid w:val="005524BC"/>
    <w:rsid w:val="0055269A"/>
    <w:rsid w:val="005526F2"/>
    <w:rsid w:val="00552709"/>
    <w:rsid w:val="005527F4"/>
    <w:rsid w:val="0055284C"/>
    <w:rsid w:val="00552867"/>
    <w:rsid w:val="005528FF"/>
    <w:rsid w:val="0055292A"/>
    <w:rsid w:val="00552939"/>
    <w:rsid w:val="00552998"/>
    <w:rsid w:val="00552A42"/>
    <w:rsid w:val="00552AAD"/>
    <w:rsid w:val="00552B21"/>
    <w:rsid w:val="00552BBF"/>
    <w:rsid w:val="00552C0A"/>
    <w:rsid w:val="00552CA8"/>
    <w:rsid w:val="00552D8E"/>
    <w:rsid w:val="00552DAB"/>
    <w:rsid w:val="00552DD2"/>
    <w:rsid w:val="00552E45"/>
    <w:rsid w:val="00552E48"/>
    <w:rsid w:val="00552ED6"/>
    <w:rsid w:val="00552FA4"/>
    <w:rsid w:val="00553001"/>
    <w:rsid w:val="0055301B"/>
    <w:rsid w:val="00553061"/>
    <w:rsid w:val="00553191"/>
    <w:rsid w:val="005531CE"/>
    <w:rsid w:val="005531E9"/>
    <w:rsid w:val="005533CF"/>
    <w:rsid w:val="005533DF"/>
    <w:rsid w:val="005534F3"/>
    <w:rsid w:val="005535D9"/>
    <w:rsid w:val="005536BE"/>
    <w:rsid w:val="005536BF"/>
    <w:rsid w:val="00553774"/>
    <w:rsid w:val="005537B8"/>
    <w:rsid w:val="00553870"/>
    <w:rsid w:val="005538B1"/>
    <w:rsid w:val="0055392B"/>
    <w:rsid w:val="00553A16"/>
    <w:rsid w:val="00553AA3"/>
    <w:rsid w:val="00553B3A"/>
    <w:rsid w:val="00553BBA"/>
    <w:rsid w:val="00553C56"/>
    <w:rsid w:val="00553D83"/>
    <w:rsid w:val="00553DE9"/>
    <w:rsid w:val="00553EA0"/>
    <w:rsid w:val="00553EDE"/>
    <w:rsid w:val="00553F3B"/>
    <w:rsid w:val="00553F50"/>
    <w:rsid w:val="00553FA1"/>
    <w:rsid w:val="00553FCD"/>
    <w:rsid w:val="00554080"/>
    <w:rsid w:val="005540CD"/>
    <w:rsid w:val="00554107"/>
    <w:rsid w:val="005541CC"/>
    <w:rsid w:val="0055420D"/>
    <w:rsid w:val="00554236"/>
    <w:rsid w:val="00554439"/>
    <w:rsid w:val="00554467"/>
    <w:rsid w:val="0055455C"/>
    <w:rsid w:val="005546B0"/>
    <w:rsid w:val="005546D8"/>
    <w:rsid w:val="005548DD"/>
    <w:rsid w:val="0055498F"/>
    <w:rsid w:val="005549FA"/>
    <w:rsid w:val="00554A0E"/>
    <w:rsid w:val="00554A5F"/>
    <w:rsid w:val="00554B44"/>
    <w:rsid w:val="00554BA4"/>
    <w:rsid w:val="00554C00"/>
    <w:rsid w:val="00554C22"/>
    <w:rsid w:val="00554D07"/>
    <w:rsid w:val="00554D2F"/>
    <w:rsid w:val="00554D3F"/>
    <w:rsid w:val="00554D93"/>
    <w:rsid w:val="00554E59"/>
    <w:rsid w:val="00554F2B"/>
    <w:rsid w:val="00554F2F"/>
    <w:rsid w:val="00554F3D"/>
    <w:rsid w:val="005550FE"/>
    <w:rsid w:val="0055516D"/>
    <w:rsid w:val="005553C5"/>
    <w:rsid w:val="00555475"/>
    <w:rsid w:val="005554B3"/>
    <w:rsid w:val="0055560D"/>
    <w:rsid w:val="00555658"/>
    <w:rsid w:val="00555663"/>
    <w:rsid w:val="0055572E"/>
    <w:rsid w:val="0055574B"/>
    <w:rsid w:val="00555770"/>
    <w:rsid w:val="005557BE"/>
    <w:rsid w:val="005557D9"/>
    <w:rsid w:val="00555AA6"/>
    <w:rsid w:val="00555B67"/>
    <w:rsid w:val="00555BA9"/>
    <w:rsid w:val="00555C0B"/>
    <w:rsid w:val="00555C63"/>
    <w:rsid w:val="00555CB8"/>
    <w:rsid w:val="00555CF5"/>
    <w:rsid w:val="00555D12"/>
    <w:rsid w:val="00555D67"/>
    <w:rsid w:val="00555D7B"/>
    <w:rsid w:val="00555E18"/>
    <w:rsid w:val="00555E1A"/>
    <w:rsid w:val="00555EFA"/>
    <w:rsid w:val="00555F65"/>
    <w:rsid w:val="00555FB5"/>
    <w:rsid w:val="00556173"/>
    <w:rsid w:val="005562CE"/>
    <w:rsid w:val="00556369"/>
    <w:rsid w:val="005567DE"/>
    <w:rsid w:val="0055687E"/>
    <w:rsid w:val="0055689A"/>
    <w:rsid w:val="005568C9"/>
    <w:rsid w:val="0055692B"/>
    <w:rsid w:val="00556991"/>
    <w:rsid w:val="00556994"/>
    <w:rsid w:val="005569CD"/>
    <w:rsid w:val="00556A47"/>
    <w:rsid w:val="00556B19"/>
    <w:rsid w:val="00556C49"/>
    <w:rsid w:val="00556D22"/>
    <w:rsid w:val="00556D34"/>
    <w:rsid w:val="00556E3D"/>
    <w:rsid w:val="00556FA4"/>
    <w:rsid w:val="00556FDD"/>
    <w:rsid w:val="005570C9"/>
    <w:rsid w:val="005570EC"/>
    <w:rsid w:val="005571CF"/>
    <w:rsid w:val="00557225"/>
    <w:rsid w:val="0055725D"/>
    <w:rsid w:val="005572DB"/>
    <w:rsid w:val="00557324"/>
    <w:rsid w:val="0055737D"/>
    <w:rsid w:val="005573C4"/>
    <w:rsid w:val="0055740A"/>
    <w:rsid w:val="005574A3"/>
    <w:rsid w:val="00557545"/>
    <w:rsid w:val="00557617"/>
    <w:rsid w:val="00557684"/>
    <w:rsid w:val="005576BE"/>
    <w:rsid w:val="00557749"/>
    <w:rsid w:val="005577BB"/>
    <w:rsid w:val="00557814"/>
    <w:rsid w:val="0055781C"/>
    <w:rsid w:val="00557824"/>
    <w:rsid w:val="0055789B"/>
    <w:rsid w:val="005578A1"/>
    <w:rsid w:val="00557986"/>
    <w:rsid w:val="005579F2"/>
    <w:rsid w:val="00557B2C"/>
    <w:rsid w:val="00557CEA"/>
    <w:rsid w:val="00557D8A"/>
    <w:rsid w:val="00557E72"/>
    <w:rsid w:val="00557E84"/>
    <w:rsid w:val="00557F2D"/>
    <w:rsid w:val="00557FCF"/>
    <w:rsid w:val="0056037E"/>
    <w:rsid w:val="00560507"/>
    <w:rsid w:val="00560562"/>
    <w:rsid w:val="005605B9"/>
    <w:rsid w:val="0056062C"/>
    <w:rsid w:val="00560800"/>
    <w:rsid w:val="00560824"/>
    <w:rsid w:val="0056085A"/>
    <w:rsid w:val="005608BE"/>
    <w:rsid w:val="00560914"/>
    <w:rsid w:val="00560A0C"/>
    <w:rsid w:val="00560A3B"/>
    <w:rsid w:val="00560AD5"/>
    <w:rsid w:val="00560D8D"/>
    <w:rsid w:val="00560E1E"/>
    <w:rsid w:val="00560E45"/>
    <w:rsid w:val="00560E7E"/>
    <w:rsid w:val="00560EE6"/>
    <w:rsid w:val="00560F58"/>
    <w:rsid w:val="00560FF2"/>
    <w:rsid w:val="005610A3"/>
    <w:rsid w:val="0056117D"/>
    <w:rsid w:val="005612CF"/>
    <w:rsid w:val="00561317"/>
    <w:rsid w:val="00561327"/>
    <w:rsid w:val="00561439"/>
    <w:rsid w:val="00561521"/>
    <w:rsid w:val="005615D1"/>
    <w:rsid w:val="0056162E"/>
    <w:rsid w:val="00561686"/>
    <w:rsid w:val="005616B8"/>
    <w:rsid w:val="005616D5"/>
    <w:rsid w:val="00561895"/>
    <w:rsid w:val="005618EC"/>
    <w:rsid w:val="0056190C"/>
    <w:rsid w:val="0056199F"/>
    <w:rsid w:val="005619E1"/>
    <w:rsid w:val="00561A05"/>
    <w:rsid w:val="00561A2D"/>
    <w:rsid w:val="00561B10"/>
    <w:rsid w:val="00561BA0"/>
    <w:rsid w:val="00561C06"/>
    <w:rsid w:val="00561C69"/>
    <w:rsid w:val="00561C72"/>
    <w:rsid w:val="00561E96"/>
    <w:rsid w:val="00561F2B"/>
    <w:rsid w:val="00562048"/>
    <w:rsid w:val="00562056"/>
    <w:rsid w:val="005620C1"/>
    <w:rsid w:val="005620ED"/>
    <w:rsid w:val="005621A0"/>
    <w:rsid w:val="005621B4"/>
    <w:rsid w:val="00562265"/>
    <w:rsid w:val="00562283"/>
    <w:rsid w:val="00562287"/>
    <w:rsid w:val="00562386"/>
    <w:rsid w:val="005624BB"/>
    <w:rsid w:val="005625B4"/>
    <w:rsid w:val="00562650"/>
    <w:rsid w:val="00562741"/>
    <w:rsid w:val="0056275D"/>
    <w:rsid w:val="0056280C"/>
    <w:rsid w:val="0056282C"/>
    <w:rsid w:val="00562851"/>
    <w:rsid w:val="00562873"/>
    <w:rsid w:val="00562900"/>
    <w:rsid w:val="00562946"/>
    <w:rsid w:val="005629E5"/>
    <w:rsid w:val="00562B65"/>
    <w:rsid w:val="00562BCD"/>
    <w:rsid w:val="00562BD0"/>
    <w:rsid w:val="00562BF1"/>
    <w:rsid w:val="00562CDF"/>
    <w:rsid w:val="0056306A"/>
    <w:rsid w:val="0056307E"/>
    <w:rsid w:val="00563088"/>
    <w:rsid w:val="0056308B"/>
    <w:rsid w:val="005631DB"/>
    <w:rsid w:val="0056325F"/>
    <w:rsid w:val="005632E4"/>
    <w:rsid w:val="0056333F"/>
    <w:rsid w:val="00563474"/>
    <w:rsid w:val="0056348E"/>
    <w:rsid w:val="00563495"/>
    <w:rsid w:val="0056349B"/>
    <w:rsid w:val="00563598"/>
    <w:rsid w:val="005635B7"/>
    <w:rsid w:val="00563621"/>
    <w:rsid w:val="005636FF"/>
    <w:rsid w:val="0056370E"/>
    <w:rsid w:val="00563722"/>
    <w:rsid w:val="00563811"/>
    <w:rsid w:val="00563823"/>
    <w:rsid w:val="00563857"/>
    <w:rsid w:val="005639EA"/>
    <w:rsid w:val="00563AA8"/>
    <w:rsid w:val="00563AD5"/>
    <w:rsid w:val="00563B83"/>
    <w:rsid w:val="00563BB3"/>
    <w:rsid w:val="00563CB3"/>
    <w:rsid w:val="00563CBB"/>
    <w:rsid w:val="00563D11"/>
    <w:rsid w:val="00563D35"/>
    <w:rsid w:val="00563D99"/>
    <w:rsid w:val="00563DED"/>
    <w:rsid w:val="00563ECC"/>
    <w:rsid w:val="00563EF1"/>
    <w:rsid w:val="00563F18"/>
    <w:rsid w:val="0056403D"/>
    <w:rsid w:val="005640CE"/>
    <w:rsid w:val="005640FE"/>
    <w:rsid w:val="00564189"/>
    <w:rsid w:val="00564198"/>
    <w:rsid w:val="00564249"/>
    <w:rsid w:val="005642B8"/>
    <w:rsid w:val="005642CC"/>
    <w:rsid w:val="005642D9"/>
    <w:rsid w:val="00564325"/>
    <w:rsid w:val="005644BB"/>
    <w:rsid w:val="00564588"/>
    <w:rsid w:val="00564618"/>
    <w:rsid w:val="00564635"/>
    <w:rsid w:val="00564637"/>
    <w:rsid w:val="0056475B"/>
    <w:rsid w:val="005647C0"/>
    <w:rsid w:val="005647D0"/>
    <w:rsid w:val="005649A6"/>
    <w:rsid w:val="00564A27"/>
    <w:rsid w:val="00564A2A"/>
    <w:rsid w:val="00564AFA"/>
    <w:rsid w:val="00564AFD"/>
    <w:rsid w:val="00564B63"/>
    <w:rsid w:val="00564C2B"/>
    <w:rsid w:val="00564C40"/>
    <w:rsid w:val="00564E18"/>
    <w:rsid w:val="00564E1D"/>
    <w:rsid w:val="00564E5E"/>
    <w:rsid w:val="00564EB2"/>
    <w:rsid w:val="00564EFA"/>
    <w:rsid w:val="00564F9C"/>
    <w:rsid w:val="00564FA2"/>
    <w:rsid w:val="005650D9"/>
    <w:rsid w:val="00565130"/>
    <w:rsid w:val="00565197"/>
    <w:rsid w:val="005653FB"/>
    <w:rsid w:val="00565514"/>
    <w:rsid w:val="005655E8"/>
    <w:rsid w:val="005657B9"/>
    <w:rsid w:val="00565866"/>
    <w:rsid w:val="0056587C"/>
    <w:rsid w:val="005658AB"/>
    <w:rsid w:val="00565A62"/>
    <w:rsid w:val="00565B0A"/>
    <w:rsid w:val="00565B60"/>
    <w:rsid w:val="00565BC0"/>
    <w:rsid w:val="00565C68"/>
    <w:rsid w:val="00565CB3"/>
    <w:rsid w:val="00565D0F"/>
    <w:rsid w:val="00565D2C"/>
    <w:rsid w:val="00565D39"/>
    <w:rsid w:val="00565E1F"/>
    <w:rsid w:val="00565EB7"/>
    <w:rsid w:val="005660B5"/>
    <w:rsid w:val="005660EF"/>
    <w:rsid w:val="0056623C"/>
    <w:rsid w:val="005663FA"/>
    <w:rsid w:val="0056646A"/>
    <w:rsid w:val="005664B0"/>
    <w:rsid w:val="005664FA"/>
    <w:rsid w:val="0056656E"/>
    <w:rsid w:val="005666C5"/>
    <w:rsid w:val="00566854"/>
    <w:rsid w:val="005668F4"/>
    <w:rsid w:val="0056697C"/>
    <w:rsid w:val="005669A5"/>
    <w:rsid w:val="00566A23"/>
    <w:rsid w:val="00566A2F"/>
    <w:rsid w:val="00566AF3"/>
    <w:rsid w:val="00566B13"/>
    <w:rsid w:val="00566BF6"/>
    <w:rsid w:val="00566C11"/>
    <w:rsid w:val="00566E6D"/>
    <w:rsid w:val="00566F67"/>
    <w:rsid w:val="0056701B"/>
    <w:rsid w:val="0056720B"/>
    <w:rsid w:val="00567363"/>
    <w:rsid w:val="0056746B"/>
    <w:rsid w:val="005674EB"/>
    <w:rsid w:val="005675B3"/>
    <w:rsid w:val="00567623"/>
    <w:rsid w:val="005676A2"/>
    <w:rsid w:val="005676A3"/>
    <w:rsid w:val="00567775"/>
    <w:rsid w:val="005677EE"/>
    <w:rsid w:val="005677F5"/>
    <w:rsid w:val="0056786A"/>
    <w:rsid w:val="00567A3F"/>
    <w:rsid w:val="00567B00"/>
    <w:rsid w:val="00567B2F"/>
    <w:rsid w:val="00567B5C"/>
    <w:rsid w:val="00567C8B"/>
    <w:rsid w:val="00567C97"/>
    <w:rsid w:val="00567CA5"/>
    <w:rsid w:val="00567CEA"/>
    <w:rsid w:val="00567D28"/>
    <w:rsid w:val="00567FD0"/>
    <w:rsid w:val="00570154"/>
    <w:rsid w:val="00570158"/>
    <w:rsid w:val="00570276"/>
    <w:rsid w:val="00570485"/>
    <w:rsid w:val="005704AB"/>
    <w:rsid w:val="005705FB"/>
    <w:rsid w:val="005706E0"/>
    <w:rsid w:val="00570727"/>
    <w:rsid w:val="0057090F"/>
    <w:rsid w:val="00570972"/>
    <w:rsid w:val="00570BAA"/>
    <w:rsid w:val="00570BCD"/>
    <w:rsid w:val="00570C9A"/>
    <w:rsid w:val="00570CB5"/>
    <w:rsid w:val="00570CC4"/>
    <w:rsid w:val="00570CD3"/>
    <w:rsid w:val="00570DA6"/>
    <w:rsid w:val="00570DB2"/>
    <w:rsid w:val="0057105D"/>
    <w:rsid w:val="00571068"/>
    <w:rsid w:val="005710B5"/>
    <w:rsid w:val="005710BD"/>
    <w:rsid w:val="005710E9"/>
    <w:rsid w:val="005711A7"/>
    <w:rsid w:val="0057125C"/>
    <w:rsid w:val="0057130F"/>
    <w:rsid w:val="00571406"/>
    <w:rsid w:val="00571414"/>
    <w:rsid w:val="005714CD"/>
    <w:rsid w:val="005717DD"/>
    <w:rsid w:val="005718BB"/>
    <w:rsid w:val="00571943"/>
    <w:rsid w:val="00571ABA"/>
    <w:rsid w:val="00571B6C"/>
    <w:rsid w:val="00571C4A"/>
    <w:rsid w:val="00571CBB"/>
    <w:rsid w:val="00571CEA"/>
    <w:rsid w:val="00571CF2"/>
    <w:rsid w:val="00571D68"/>
    <w:rsid w:val="00571E3C"/>
    <w:rsid w:val="00571EB6"/>
    <w:rsid w:val="00571F20"/>
    <w:rsid w:val="00571F4B"/>
    <w:rsid w:val="00571F6D"/>
    <w:rsid w:val="00571F75"/>
    <w:rsid w:val="005720D7"/>
    <w:rsid w:val="005721B0"/>
    <w:rsid w:val="0057221A"/>
    <w:rsid w:val="0057232A"/>
    <w:rsid w:val="005723A4"/>
    <w:rsid w:val="005724BA"/>
    <w:rsid w:val="0057262B"/>
    <w:rsid w:val="005726C1"/>
    <w:rsid w:val="005726FF"/>
    <w:rsid w:val="00572726"/>
    <w:rsid w:val="0057280A"/>
    <w:rsid w:val="0057284E"/>
    <w:rsid w:val="00572892"/>
    <w:rsid w:val="005728AC"/>
    <w:rsid w:val="005728DF"/>
    <w:rsid w:val="00572950"/>
    <w:rsid w:val="0057299C"/>
    <w:rsid w:val="005729DF"/>
    <w:rsid w:val="00572A1C"/>
    <w:rsid w:val="00572A86"/>
    <w:rsid w:val="00572BAC"/>
    <w:rsid w:val="00572C0F"/>
    <w:rsid w:val="00572D48"/>
    <w:rsid w:val="00572DCA"/>
    <w:rsid w:val="00572E84"/>
    <w:rsid w:val="0057302F"/>
    <w:rsid w:val="0057313B"/>
    <w:rsid w:val="0057323F"/>
    <w:rsid w:val="00573263"/>
    <w:rsid w:val="005732B2"/>
    <w:rsid w:val="005732D8"/>
    <w:rsid w:val="00573356"/>
    <w:rsid w:val="0057348F"/>
    <w:rsid w:val="005734DE"/>
    <w:rsid w:val="00573527"/>
    <w:rsid w:val="00573579"/>
    <w:rsid w:val="005735C8"/>
    <w:rsid w:val="005735D0"/>
    <w:rsid w:val="005736CA"/>
    <w:rsid w:val="00573763"/>
    <w:rsid w:val="00573787"/>
    <w:rsid w:val="00573909"/>
    <w:rsid w:val="00573A74"/>
    <w:rsid w:val="00573A7D"/>
    <w:rsid w:val="00573B16"/>
    <w:rsid w:val="00573B83"/>
    <w:rsid w:val="00573BC8"/>
    <w:rsid w:val="00573C03"/>
    <w:rsid w:val="00573C85"/>
    <w:rsid w:val="00573C8B"/>
    <w:rsid w:val="00573C97"/>
    <w:rsid w:val="00573CAD"/>
    <w:rsid w:val="00573D32"/>
    <w:rsid w:val="00573E11"/>
    <w:rsid w:val="00573E47"/>
    <w:rsid w:val="00573FAD"/>
    <w:rsid w:val="00574038"/>
    <w:rsid w:val="00574092"/>
    <w:rsid w:val="00574150"/>
    <w:rsid w:val="0057417C"/>
    <w:rsid w:val="005741C9"/>
    <w:rsid w:val="0057459A"/>
    <w:rsid w:val="005746F9"/>
    <w:rsid w:val="005748D1"/>
    <w:rsid w:val="00574907"/>
    <w:rsid w:val="00574AB5"/>
    <w:rsid w:val="00574AC2"/>
    <w:rsid w:val="00574ADE"/>
    <w:rsid w:val="00574B8A"/>
    <w:rsid w:val="00574C91"/>
    <w:rsid w:val="00574CCB"/>
    <w:rsid w:val="00574D35"/>
    <w:rsid w:val="00574E0F"/>
    <w:rsid w:val="00574E3B"/>
    <w:rsid w:val="00575038"/>
    <w:rsid w:val="0057504F"/>
    <w:rsid w:val="0057507C"/>
    <w:rsid w:val="00575232"/>
    <w:rsid w:val="0057529E"/>
    <w:rsid w:val="0057531E"/>
    <w:rsid w:val="00575359"/>
    <w:rsid w:val="00575392"/>
    <w:rsid w:val="00575403"/>
    <w:rsid w:val="00575621"/>
    <w:rsid w:val="00575742"/>
    <w:rsid w:val="0057582C"/>
    <w:rsid w:val="005759AD"/>
    <w:rsid w:val="005759E5"/>
    <w:rsid w:val="00575B27"/>
    <w:rsid w:val="00575B54"/>
    <w:rsid w:val="00575BB6"/>
    <w:rsid w:val="00575CC7"/>
    <w:rsid w:val="00576047"/>
    <w:rsid w:val="00576077"/>
    <w:rsid w:val="005760B7"/>
    <w:rsid w:val="005760CB"/>
    <w:rsid w:val="005761B7"/>
    <w:rsid w:val="0057624A"/>
    <w:rsid w:val="00576250"/>
    <w:rsid w:val="005763C2"/>
    <w:rsid w:val="005765AA"/>
    <w:rsid w:val="005766CE"/>
    <w:rsid w:val="00576A34"/>
    <w:rsid w:val="00576A55"/>
    <w:rsid w:val="00576B47"/>
    <w:rsid w:val="00576B7C"/>
    <w:rsid w:val="00576BA0"/>
    <w:rsid w:val="00576CA2"/>
    <w:rsid w:val="00576D27"/>
    <w:rsid w:val="00576D3F"/>
    <w:rsid w:val="00576D8D"/>
    <w:rsid w:val="00576DB9"/>
    <w:rsid w:val="00576E31"/>
    <w:rsid w:val="00576E7C"/>
    <w:rsid w:val="00576E91"/>
    <w:rsid w:val="00576ECB"/>
    <w:rsid w:val="00576F7E"/>
    <w:rsid w:val="005770A3"/>
    <w:rsid w:val="0057711C"/>
    <w:rsid w:val="0057719B"/>
    <w:rsid w:val="00577200"/>
    <w:rsid w:val="0057749D"/>
    <w:rsid w:val="00577549"/>
    <w:rsid w:val="0057767E"/>
    <w:rsid w:val="00577694"/>
    <w:rsid w:val="0057778F"/>
    <w:rsid w:val="005777AC"/>
    <w:rsid w:val="00577802"/>
    <w:rsid w:val="00577851"/>
    <w:rsid w:val="00577855"/>
    <w:rsid w:val="005778FB"/>
    <w:rsid w:val="00577942"/>
    <w:rsid w:val="0057796C"/>
    <w:rsid w:val="00577A80"/>
    <w:rsid w:val="00577B0B"/>
    <w:rsid w:val="00577C26"/>
    <w:rsid w:val="00577D73"/>
    <w:rsid w:val="00577E56"/>
    <w:rsid w:val="00577E80"/>
    <w:rsid w:val="00577EB9"/>
    <w:rsid w:val="00577F1C"/>
    <w:rsid w:val="00577FDE"/>
    <w:rsid w:val="00580098"/>
    <w:rsid w:val="00580099"/>
    <w:rsid w:val="0058048C"/>
    <w:rsid w:val="00580508"/>
    <w:rsid w:val="00580616"/>
    <w:rsid w:val="00580977"/>
    <w:rsid w:val="005809DA"/>
    <w:rsid w:val="00580A01"/>
    <w:rsid w:val="00580A33"/>
    <w:rsid w:val="00580A5F"/>
    <w:rsid w:val="00580ADE"/>
    <w:rsid w:val="00580B89"/>
    <w:rsid w:val="00580CD3"/>
    <w:rsid w:val="00580D59"/>
    <w:rsid w:val="00580F08"/>
    <w:rsid w:val="00580FC7"/>
    <w:rsid w:val="00581010"/>
    <w:rsid w:val="00581040"/>
    <w:rsid w:val="0058107A"/>
    <w:rsid w:val="00581138"/>
    <w:rsid w:val="00581142"/>
    <w:rsid w:val="00581226"/>
    <w:rsid w:val="005812F5"/>
    <w:rsid w:val="005813D8"/>
    <w:rsid w:val="00581421"/>
    <w:rsid w:val="0058143E"/>
    <w:rsid w:val="005814FD"/>
    <w:rsid w:val="0058155E"/>
    <w:rsid w:val="005815AF"/>
    <w:rsid w:val="0058179F"/>
    <w:rsid w:val="005817D6"/>
    <w:rsid w:val="005818B8"/>
    <w:rsid w:val="00581960"/>
    <w:rsid w:val="00581BA9"/>
    <w:rsid w:val="00581BC9"/>
    <w:rsid w:val="00581C0D"/>
    <w:rsid w:val="00581C7C"/>
    <w:rsid w:val="00581CFF"/>
    <w:rsid w:val="00581E26"/>
    <w:rsid w:val="00581F8E"/>
    <w:rsid w:val="00581FC9"/>
    <w:rsid w:val="00582034"/>
    <w:rsid w:val="005820EF"/>
    <w:rsid w:val="00582231"/>
    <w:rsid w:val="005822AB"/>
    <w:rsid w:val="005822B6"/>
    <w:rsid w:val="0058230E"/>
    <w:rsid w:val="00582313"/>
    <w:rsid w:val="00582479"/>
    <w:rsid w:val="0058254D"/>
    <w:rsid w:val="005825F8"/>
    <w:rsid w:val="005826A5"/>
    <w:rsid w:val="0058278C"/>
    <w:rsid w:val="005827E6"/>
    <w:rsid w:val="005828FC"/>
    <w:rsid w:val="00582960"/>
    <w:rsid w:val="00582AF2"/>
    <w:rsid w:val="00582B38"/>
    <w:rsid w:val="00582B85"/>
    <w:rsid w:val="00582B88"/>
    <w:rsid w:val="00582D33"/>
    <w:rsid w:val="00582ECA"/>
    <w:rsid w:val="0058306B"/>
    <w:rsid w:val="005830E5"/>
    <w:rsid w:val="005831BF"/>
    <w:rsid w:val="00583202"/>
    <w:rsid w:val="00583210"/>
    <w:rsid w:val="00583352"/>
    <w:rsid w:val="00583402"/>
    <w:rsid w:val="005834C0"/>
    <w:rsid w:val="005834CD"/>
    <w:rsid w:val="005834E8"/>
    <w:rsid w:val="005834F7"/>
    <w:rsid w:val="0058351B"/>
    <w:rsid w:val="00583680"/>
    <w:rsid w:val="005836A2"/>
    <w:rsid w:val="00583837"/>
    <w:rsid w:val="0058392C"/>
    <w:rsid w:val="005839C6"/>
    <w:rsid w:val="00583A11"/>
    <w:rsid w:val="00583AAE"/>
    <w:rsid w:val="00583AE1"/>
    <w:rsid w:val="00583B5F"/>
    <w:rsid w:val="00583C98"/>
    <w:rsid w:val="00583CA6"/>
    <w:rsid w:val="00583CF6"/>
    <w:rsid w:val="00583D02"/>
    <w:rsid w:val="00583D74"/>
    <w:rsid w:val="00583F6C"/>
    <w:rsid w:val="00583F9E"/>
    <w:rsid w:val="00583FB4"/>
    <w:rsid w:val="0058401C"/>
    <w:rsid w:val="0058406A"/>
    <w:rsid w:val="00584150"/>
    <w:rsid w:val="0058424D"/>
    <w:rsid w:val="00584274"/>
    <w:rsid w:val="00584397"/>
    <w:rsid w:val="005843AE"/>
    <w:rsid w:val="005843FF"/>
    <w:rsid w:val="005844CB"/>
    <w:rsid w:val="005844DA"/>
    <w:rsid w:val="005844FC"/>
    <w:rsid w:val="00584549"/>
    <w:rsid w:val="005845C0"/>
    <w:rsid w:val="0058472F"/>
    <w:rsid w:val="00584761"/>
    <w:rsid w:val="005847BB"/>
    <w:rsid w:val="00584835"/>
    <w:rsid w:val="0058490B"/>
    <w:rsid w:val="0058499A"/>
    <w:rsid w:val="005849D7"/>
    <w:rsid w:val="00584A2B"/>
    <w:rsid w:val="00584B24"/>
    <w:rsid w:val="00584BAA"/>
    <w:rsid w:val="00584C16"/>
    <w:rsid w:val="00584C20"/>
    <w:rsid w:val="00584E7F"/>
    <w:rsid w:val="00584E9E"/>
    <w:rsid w:val="00584EA8"/>
    <w:rsid w:val="00584FAA"/>
    <w:rsid w:val="00584FBF"/>
    <w:rsid w:val="005850B6"/>
    <w:rsid w:val="00585136"/>
    <w:rsid w:val="0058513E"/>
    <w:rsid w:val="00585266"/>
    <w:rsid w:val="005852FD"/>
    <w:rsid w:val="00585342"/>
    <w:rsid w:val="005853F1"/>
    <w:rsid w:val="00585458"/>
    <w:rsid w:val="005855E1"/>
    <w:rsid w:val="00585697"/>
    <w:rsid w:val="005857D7"/>
    <w:rsid w:val="00585841"/>
    <w:rsid w:val="00585894"/>
    <w:rsid w:val="005858A2"/>
    <w:rsid w:val="00585AEB"/>
    <w:rsid w:val="00585B2F"/>
    <w:rsid w:val="00585B3B"/>
    <w:rsid w:val="00585BB4"/>
    <w:rsid w:val="00585BC3"/>
    <w:rsid w:val="00585C19"/>
    <w:rsid w:val="00585D38"/>
    <w:rsid w:val="00585D45"/>
    <w:rsid w:val="00585DAA"/>
    <w:rsid w:val="00585DAE"/>
    <w:rsid w:val="00585E7F"/>
    <w:rsid w:val="00585E96"/>
    <w:rsid w:val="00585F2F"/>
    <w:rsid w:val="00586176"/>
    <w:rsid w:val="0058624B"/>
    <w:rsid w:val="00586388"/>
    <w:rsid w:val="005863DD"/>
    <w:rsid w:val="00586409"/>
    <w:rsid w:val="00586457"/>
    <w:rsid w:val="005866A6"/>
    <w:rsid w:val="00586757"/>
    <w:rsid w:val="00586817"/>
    <w:rsid w:val="00586889"/>
    <w:rsid w:val="005868B9"/>
    <w:rsid w:val="00586995"/>
    <w:rsid w:val="00586A46"/>
    <w:rsid w:val="00586A9F"/>
    <w:rsid w:val="00586BF1"/>
    <w:rsid w:val="00586D41"/>
    <w:rsid w:val="00586DC1"/>
    <w:rsid w:val="00586E00"/>
    <w:rsid w:val="00586F9F"/>
    <w:rsid w:val="00586FD4"/>
    <w:rsid w:val="00586FE0"/>
    <w:rsid w:val="005870BE"/>
    <w:rsid w:val="005871B1"/>
    <w:rsid w:val="00587283"/>
    <w:rsid w:val="00587299"/>
    <w:rsid w:val="005872FF"/>
    <w:rsid w:val="005874C0"/>
    <w:rsid w:val="00587557"/>
    <w:rsid w:val="00587596"/>
    <w:rsid w:val="00587616"/>
    <w:rsid w:val="0058767F"/>
    <w:rsid w:val="00587850"/>
    <w:rsid w:val="00587856"/>
    <w:rsid w:val="005878E6"/>
    <w:rsid w:val="00587995"/>
    <w:rsid w:val="005879EF"/>
    <w:rsid w:val="00587A40"/>
    <w:rsid w:val="00587B4F"/>
    <w:rsid w:val="00587B5F"/>
    <w:rsid w:val="00587C6D"/>
    <w:rsid w:val="00587DDF"/>
    <w:rsid w:val="00587E82"/>
    <w:rsid w:val="00587F00"/>
    <w:rsid w:val="0059006A"/>
    <w:rsid w:val="005900B0"/>
    <w:rsid w:val="0059018A"/>
    <w:rsid w:val="005901FA"/>
    <w:rsid w:val="00590234"/>
    <w:rsid w:val="0059025A"/>
    <w:rsid w:val="00590284"/>
    <w:rsid w:val="00590313"/>
    <w:rsid w:val="0059037F"/>
    <w:rsid w:val="005904B7"/>
    <w:rsid w:val="005905F6"/>
    <w:rsid w:val="0059060E"/>
    <w:rsid w:val="0059065E"/>
    <w:rsid w:val="00590667"/>
    <w:rsid w:val="00590692"/>
    <w:rsid w:val="005906C2"/>
    <w:rsid w:val="0059093E"/>
    <w:rsid w:val="00590979"/>
    <w:rsid w:val="00590A75"/>
    <w:rsid w:val="00590BBF"/>
    <w:rsid w:val="00590CB2"/>
    <w:rsid w:val="00590CBF"/>
    <w:rsid w:val="00590D83"/>
    <w:rsid w:val="00590E25"/>
    <w:rsid w:val="00590E66"/>
    <w:rsid w:val="00590E80"/>
    <w:rsid w:val="00590EEC"/>
    <w:rsid w:val="00590F48"/>
    <w:rsid w:val="00590F6F"/>
    <w:rsid w:val="00590FBC"/>
    <w:rsid w:val="00590FBE"/>
    <w:rsid w:val="00590FEE"/>
    <w:rsid w:val="00591099"/>
    <w:rsid w:val="0059109A"/>
    <w:rsid w:val="0059121B"/>
    <w:rsid w:val="00591400"/>
    <w:rsid w:val="00591498"/>
    <w:rsid w:val="005914BE"/>
    <w:rsid w:val="0059169C"/>
    <w:rsid w:val="005916D5"/>
    <w:rsid w:val="0059175D"/>
    <w:rsid w:val="0059179F"/>
    <w:rsid w:val="0059180A"/>
    <w:rsid w:val="0059186A"/>
    <w:rsid w:val="0059189D"/>
    <w:rsid w:val="00591ADF"/>
    <w:rsid w:val="00591AF2"/>
    <w:rsid w:val="00591B3F"/>
    <w:rsid w:val="00591C1A"/>
    <w:rsid w:val="00591CE1"/>
    <w:rsid w:val="00591D86"/>
    <w:rsid w:val="00591D90"/>
    <w:rsid w:val="00591FD4"/>
    <w:rsid w:val="005921EE"/>
    <w:rsid w:val="0059224F"/>
    <w:rsid w:val="0059240F"/>
    <w:rsid w:val="00592570"/>
    <w:rsid w:val="0059267A"/>
    <w:rsid w:val="005926E8"/>
    <w:rsid w:val="005927C7"/>
    <w:rsid w:val="0059285C"/>
    <w:rsid w:val="0059287C"/>
    <w:rsid w:val="0059293A"/>
    <w:rsid w:val="00592960"/>
    <w:rsid w:val="00592A47"/>
    <w:rsid w:val="00592AB2"/>
    <w:rsid w:val="00592AEF"/>
    <w:rsid w:val="00592C9B"/>
    <w:rsid w:val="00592D45"/>
    <w:rsid w:val="00592E68"/>
    <w:rsid w:val="00592F07"/>
    <w:rsid w:val="00592F0F"/>
    <w:rsid w:val="00592F36"/>
    <w:rsid w:val="00592FAF"/>
    <w:rsid w:val="00592FE3"/>
    <w:rsid w:val="00593057"/>
    <w:rsid w:val="005930B3"/>
    <w:rsid w:val="005931B6"/>
    <w:rsid w:val="00593267"/>
    <w:rsid w:val="0059329D"/>
    <w:rsid w:val="005935DF"/>
    <w:rsid w:val="00593607"/>
    <w:rsid w:val="0059385B"/>
    <w:rsid w:val="00593B43"/>
    <w:rsid w:val="00593B88"/>
    <w:rsid w:val="00593E96"/>
    <w:rsid w:val="00593EBE"/>
    <w:rsid w:val="00594000"/>
    <w:rsid w:val="00594061"/>
    <w:rsid w:val="00594071"/>
    <w:rsid w:val="005940F6"/>
    <w:rsid w:val="0059415C"/>
    <w:rsid w:val="00594200"/>
    <w:rsid w:val="0059422A"/>
    <w:rsid w:val="00594266"/>
    <w:rsid w:val="00594383"/>
    <w:rsid w:val="0059457B"/>
    <w:rsid w:val="005945CC"/>
    <w:rsid w:val="005946F5"/>
    <w:rsid w:val="0059473B"/>
    <w:rsid w:val="0059482D"/>
    <w:rsid w:val="005948B4"/>
    <w:rsid w:val="00594AE2"/>
    <w:rsid w:val="00594B13"/>
    <w:rsid w:val="00594BD2"/>
    <w:rsid w:val="00594C41"/>
    <w:rsid w:val="00594DDD"/>
    <w:rsid w:val="00594E69"/>
    <w:rsid w:val="00594F4F"/>
    <w:rsid w:val="00594F89"/>
    <w:rsid w:val="00594FE7"/>
    <w:rsid w:val="0059505A"/>
    <w:rsid w:val="0059512A"/>
    <w:rsid w:val="00595211"/>
    <w:rsid w:val="005952C6"/>
    <w:rsid w:val="005952ED"/>
    <w:rsid w:val="00595404"/>
    <w:rsid w:val="00595476"/>
    <w:rsid w:val="0059557A"/>
    <w:rsid w:val="0059571B"/>
    <w:rsid w:val="0059571E"/>
    <w:rsid w:val="005957AC"/>
    <w:rsid w:val="005959B3"/>
    <w:rsid w:val="00595AC7"/>
    <w:rsid w:val="00595B1C"/>
    <w:rsid w:val="00595C60"/>
    <w:rsid w:val="00595DE1"/>
    <w:rsid w:val="00595F06"/>
    <w:rsid w:val="00595F71"/>
    <w:rsid w:val="00595F72"/>
    <w:rsid w:val="00596135"/>
    <w:rsid w:val="00596480"/>
    <w:rsid w:val="005964E6"/>
    <w:rsid w:val="005965B3"/>
    <w:rsid w:val="005965FE"/>
    <w:rsid w:val="005966B6"/>
    <w:rsid w:val="005966B7"/>
    <w:rsid w:val="00596710"/>
    <w:rsid w:val="005967F2"/>
    <w:rsid w:val="00596841"/>
    <w:rsid w:val="00596865"/>
    <w:rsid w:val="0059686B"/>
    <w:rsid w:val="00596914"/>
    <w:rsid w:val="00596924"/>
    <w:rsid w:val="005969C3"/>
    <w:rsid w:val="00596A5D"/>
    <w:rsid w:val="00596C1A"/>
    <w:rsid w:val="00596C81"/>
    <w:rsid w:val="00596D30"/>
    <w:rsid w:val="00596D3D"/>
    <w:rsid w:val="00596D6D"/>
    <w:rsid w:val="00596E56"/>
    <w:rsid w:val="00596E71"/>
    <w:rsid w:val="00596F8C"/>
    <w:rsid w:val="00596F9F"/>
    <w:rsid w:val="00596FA2"/>
    <w:rsid w:val="00596FA4"/>
    <w:rsid w:val="00596FD5"/>
    <w:rsid w:val="0059709D"/>
    <w:rsid w:val="005970D8"/>
    <w:rsid w:val="00597100"/>
    <w:rsid w:val="00597213"/>
    <w:rsid w:val="00597283"/>
    <w:rsid w:val="0059734F"/>
    <w:rsid w:val="00597366"/>
    <w:rsid w:val="00597489"/>
    <w:rsid w:val="005974BB"/>
    <w:rsid w:val="005974C8"/>
    <w:rsid w:val="005974CC"/>
    <w:rsid w:val="00597552"/>
    <w:rsid w:val="0059758D"/>
    <w:rsid w:val="005975C3"/>
    <w:rsid w:val="0059760A"/>
    <w:rsid w:val="00597644"/>
    <w:rsid w:val="00597678"/>
    <w:rsid w:val="005977DF"/>
    <w:rsid w:val="00597814"/>
    <w:rsid w:val="005978CB"/>
    <w:rsid w:val="00597975"/>
    <w:rsid w:val="005979F5"/>
    <w:rsid w:val="00597A3D"/>
    <w:rsid w:val="00597B50"/>
    <w:rsid w:val="00597B96"/>
    <w:rsid w:val="00597BAD"/>
    <w:rsid w:val="00597CA0"/>
    <w:rsid w:val="00597E74"/>
    <w:rsid w:val="005A0083"/>
    <w:rsid w:val="005A0086"/>
    <w:rsid w:val="005A00A2"/>
    <w:rsid w:val="005A01AB"/>
    <w:rsid w:val="005A0201"/>
    <w:rsid w:val="005A0225"/>
    <w:rsid w:val="005A024C"/>
    <w:rsid w:val="005A0298"/>
    <w:rsid w:val="005A02DF"/>
    <w:rsid w:val="005A0393"/>
    <w:rsid w:val="005A043A"/>
    <w:rsid w:val="005A047C"/>
    <w:rsid w:val="005A048E"/>
    <w:rsid w:val="005A04FA"/>
    <w:rsid w:val="005A04FF"/>
    <w:rsid w:val="005A057D"/>
    <w:rsid w:val="005A069F"/>
    <w:rsid w:val="005A08B6"/>
    <w:rsid w:val="005A0945"/>
    <w:rsid w:val="005A095D"/>
    <w:rsid w:val="005A09AA"/>
    <w:rsid w:val="005A09CD"/>
    <w:rsid w:val="005A09E3"/>
    <w:rsid w:val="005A0AA5"/>
    <w:rsid w:val="005A0B3E"/>
    <w:rsid w:val="005A0C0E"/>
    <w:rsid w:val="005A0DCF"/>
    <w:rsid w:val="005A0DE3"/>
    <w:rsid w:val="005A0F9B"/>
    <w:rsid w:val="005A1018"/>
    <w:rsid w:val="005A1031"/>
    <w:rsid w:val="005A10FA"/>
    <w:rsid w:val="005A110C"/>
    <w:rsid w:val="005A11BC"/>
    <w:rsid w:val="005A11EF"/>
    <w:rsid w:val="005A12BC"/>
    <w:rsid w:val="005A1353"/>
    <w:rsid w:val="005A144C"/>
    <w:rsid w:val="005A1533"/>
    <w:rsid w:val="005A1683"/>
    <w:rsid w:val="005A1758"/>
    <w:rsid w:val="005A1792"/>
    <w:rsid w:val="005A1825"/>
    <w:rsid w:val="005A182A"/>
    <w:rsid w:val="005A1841"/>
    <w:rsid w:val="005A1878"/>
    <w:rsid w:val="005A18C2"/>
    <w:rsid w:val="005A18C6"/>
    <w:rsid w:val="005A190A"/>
    <w:rsid w:val="005A190B"/>
    <w:rsid w:val="005A197B"/>
    <w:rsid w:val="005A19AC"/>
    <w:rsid w:val="005A19D4"/>
    <w:rsid w:val="005A19FE"/>
    <w:rsid w:val="005A1B5B"/>
    <w:rsid w:val="005A1C13"/>
    <w:rsid w:val="005A1D2A"/>
    <w:rsid w:val="005A1F99"/>
    <w:rsid w:val="005A1FB3"/>
    <w:rsid w:val="005A1FD4"/>
    <w:rsid w:val="005A1FDF"/>
    <w:rsid w:val="005A2095"/>
    <w:rsid w:val="005A21DB"/>
    <w:rsid w:val="005A21EA"/>
    <w:rsid w:val="005A2562"/>
    <w:rsid w:val="005A2636"/>
    <w:rsid w:val="005A2777"/>
    <w:rsid w:val="005A27B8"/>
    <w:rsid w:val="005A27C1"/>
    <w:rsid w:val="005A2846"/>
    <w:rsid w:val="005A2850"/>
    <w:rsid w:val="005A2860"/>
    <w:rsid w:val="005A2861"/>
    <w:rsid w:val="005A28FD"/>
    <w:rsid w:val="005A2986"/>
    <w:rsid w:val="005A29DE"/>
    <w:rsid w:val="005A2A13"/>
    <w:rsid w:val="005A2A22"/>
    <w:rsid w:val="005A2ABD"/>
    <w:rsid w:val="005A30BD"/>
    <w:rsid w:val="005A311B"/>
    <w:rsid w:val="005A3151"/>
    <w:rsid w:val="005A31D4"/>
    <w:rsid w:val="005A34DD"/>
    <w:rsid w:val="005A357F"/>
    <w:rsid w:val="005A3674"/>
    <w:rsid w:val="005A36C1"/>
    <w:rsid w:val="005A36CA"/>
    <w:rsid w:val="005A36DD"/>
    <w:rsid w:val="005A3785"/>
    <w:rsid w:val="005A37DB"/>
    <w:rsid w:val="005A38B7"/>
    <w:rsid w:val="005A39AD"/>
    <w:rsid w:val="005A3B4C"/>
    <w:rsid w:val="005A3B5F"/>
    <w:rsid w:val="005A3B73"/>
    <w:rsid w:val="005A3B78"/>
    <w:rsid w:val="005A3B7C"/>
    <w:rsid w:val="005A3BA5"/>
    <w:rsid w:val="005A3CA5"/>
    <w:rsid w:val="005A3E00"/>
    <w:rsid w:val="005A3E42"/>
    <w:rsid w:val="005A3E66"/>
    <w:rsid w:val="005A3F0E"/>
    <w:rsid w:val="005A3F46"/>
    <w:rsid w:val="005A3FAB"/>
    <w:rsid w:val="005A41F8"/>
    <w:rsid w:val="005A4214"/>
    <w:rsid w:val="005A421A"/>
    <w:rsid w:val="005A4285"/>
    <w:rsid w:val="005A4510"/>
    <w:rsid w:val="005A4557"/>
    <w:rsid w:val="005A45EA"/>
    <w:rsid w:val="005A4719"/>
    <w:rsid w:val="005A47DD"/>
    <w:rsid w:val="005A480F"/>
    <w:rsid w:val="005A4959"/>
    <w:rsid w:val="005A4AC4"/>
    <w:rsid w:val="005A4B5E"/>
    <w:rsid w:val="005A4BCA"/>
    <w:rsid w:val="005A4BF1"/>
    <w:rsid w:val="005A4C07"/>
    <w:rsid w:val="005A4F28"/>
    <w:rsid w:val="005A5114"/>
    <w:rsid w:val="005A517F"/>
    <w:rsid w:val="005A518C"/>
    <w:rsid w:val="005A51B9"/>
    <w:rsid w:val="005A5274"/>
    <w:rsid w:val="005A5388"/>
    <w:rsid w:val="005A53B6"/>
    <w:rsid w:val="005A53DB"/>
    <w:rsid w:val="005A54D8"/>
    <w:rsid w:val="005A55C5"/>
    <w:rsid w:val="005A56A8"/>
    <w:rsid w:val="005A5817"/>
    <w:rsid w:val="005A5860"/>
    <w:rsid w:val="005A593C"/>
    <w:rsid w:val="005A5A33"/>
    <w:rsid w:val="005A5A94"/>
    <w:rsid w:val="005A5AE1"/>
    <w:rsid w:val="005A5BD9"/>
    <w:rsid w:val="005A5C77"/>
    <w:rsid w:val="005A5CF2"/>
    <w:rsid w:val="005A5D0F"/>
    <w:rsid w:val="005A5D1C"/>
    <w:rsid w:val="005A5DF5"/>
    <w:rsid w:val="005A5F60"/>
    <w:rsid w:val="005A607E"/>
    <w:rsid w:val="005A613F"/>
    <w:rsid w:val="005A6179"/>
    <w:rsid w:val="005A620A"/>
    <w:rsid w:val="005A62B7"/>
    <w:rsid w:val="005A62E0"/>
    <w:rsid w:val="005A62E1"/>
    <w:rsid w:val="005A6353"/>
    <w:rsid w:val="005A63D7"/>
    <w:rsid w:val="005A65B2"/>
    <w:rsid w:val="005A6669"/>
    <w:rsid w:val="005A670F"/>
    <w:rsid w:val="005A681A"/>
    <w:rsid w:val="005A6852"/>
    <w:rsid w:val="005A6890"/>
    <w:rsid w:val="005A6899"/>
    <w:rsid w:val="005A6912"/>
    <w:rsid w:val="005A6978"/>
    <w:rsid w:val="005A6A2E"/>
    <w:rsid w:val="005A6AD2"/>
    <w:rsid w:val="005A6B05"/>
    <w:rsid w:val="005A6B43"/>
    <w:rsid w:val="005A6CC5"/>
    <w:rsid w:val="005A6DB9"/>
    <w:rsid w:val="005A6DC8"/>
    <w:rsid w:val="005A6E05"/>
    <w:rsid w:val="005A6F7F"/>
    <w:rsid w:val="005A7277"/>
    <w:rsid w:val="005A72FE"/>
    <w:rsid w:val="005A7336"/>
    <w:rsid w:val="005A74A5"/>
    <w:rsid w:val="005A74B5"/>
    <w:rsid w:val="005A74EE"/>
    <w:rsid w:val="005A756B"/>
    <w:rsid w:val="005A75CF"/>
    <w:rsid w:val="005A75D1"/>
    <w:rsid w:val="005A7658"/>
    <w:rsid w:val="005A7666"/>
    <w:rsid w:val="005A76AF"/>
    <w:rsid w:val="005A776C"/>
    <w:rsid w:val="005A782A"/>
    <w:rsid w:val="005A7859"/>
    <w:rsid w:val="005A7A8F"/>
    <w:rsid w:val="005A7B64"/>
    <w:rsid w:val="005A7B6E"/>
    <w:rsid w:val="005A7BA4"/>
    <w:rsid w:val="005A7BDD"/>
    <w:rsid w:val="005A7C85"/>
    <w:rsid w:val="005A7D42"/>
    <w:rsid w:val="005A7E97"/>
    <w:rsid w:val="005A7FD2"/>
    <w:rsid w:val="005A7FF9"/>
    <w:rsid w:val="005B0001"/>
    <w:rsid w:val="005B0173"/>
    <w:rsid w:val="005B017F"/>
    <w:rsid w:val="005B021D"/>
    <w:rsid w:val="005B0228"/>
    <w:rsid w:val="005B02CE"/>
    <w:rsid w:val="005B06A8"/>
    <w:rsid w:val="005B0712"/>
    <w:rsid w:val="005B0751"/>
    <w:rsid w:val="005B0808"/>
    <w:rsid w:val="005B084B"/>
    <w:rsid w:val="005B0A9E"/>
    <w:rsid w:val="005B0B50"/>
    <w:rsid w:val="005B0C71"/>
    <w:rsid w:val="005B0E39"/>
    <w:rsid w:val="005B0EB8"/>
    <w:rsid w:val="005B0F90"/>
    <w:rsid w:val="005B0FEE"/>
    <w:rsid w:val="005B103E"/>
    <w:rsid w:val="005B1050"/>
    <w:rsid w:val="005B1113"/>
    <w:rsid w:val="005B113C"/>
    <w:rsid w:val="005B1152"/>
    <w:rsid w:val="005B116B"/>
    <w:rsid w:val="005B11BA"/>
    <w:rsid w:val="005B1243"/>
    <w:rsid w:val="005B12C2"/>
    <w:rsid w:val="005B133A"/>
    <w:rsid w:val="005B1374"/>
    <w:rsid w:val="005B13DC"/>
    <w:rsid w:val="005B14A5"/>
    <w:rsid w:val="005B14AB"/>
    <w:rsid w:val="005B14BE"/>
    <w:rsid w:val="005B150A"/>
    <w:rsid w:val="005B151B"/>
    <w:rsid w:val="005B16E1"/>
    <w:rsid w:val="005B176A"/>
    <w:rsid w:val="005B1888"/>
    <w:rsid w:val="005B1942"/>
    <w:rsid w:val="005B194B"/>
    <w:rsid w:val="005B1993"/>
    <w:rsid w:val="005B1B76"/>
    <w:rsid w:val="005B1BC4"/>
    <w:rsid w:val="005B1C6A"/>
    <w:rsid w:val="005B1CC4"/>
    <w:rsid w:val="005B1E0D"/>
    <w:rsid w:val="005B1FD8"/>
    <w:rsid w:val="005B2013"/>
    <w:rsid w:val="005B2075"/>
    <w:rsid w:val="005B2172"/>
    <w:rsid w:val="005B224D"/>
    <w:rsid w:val="005B22B5"/>
    <w:rsid w:val="005B23D6"/>
    <w:rsid w:val="005B247B"/>
    <w:rsid w:val="005B2579"/>
    <w:rsid w:val="005B2623"/>
    <w:rsid w:val="005B263D"/>
    <w:rsid w:val="005B2680"/>
    <w:rsid w:val="005B26B4"/>
    <w:rsid w:val="005B2713"/>
    <w:rsid w:val="005B2729"/>
    <w:rsid w:val="005B2856"/>
    <w:rsid w:val="005B28A2"/>
    <w:rsid w:val="005B28C6"/>
    <w:rsid w:val="005B28D0"/>
    <w:rsid w:val="005B28F5"/>
    <w:rsid w:val="005B2916"/>
    <w:rsid w:val="005B2937"/>
    <w:rsid w:val="005B29C3"/>
    <w:rsid w:val="005B2A19"/>
    <w:rsid w:val="005B2AFB"/>
    <w:rsid w:val="005B2B16"/>
    <w:rsid w:val="005B2B47"/>
    <w:rsid w:val="005B2B74"/>
    <w:rsid w:val="005B2B89"/>
    <w:rsid w:val="005B2C50"/>
    <w:rsid w:val="005B2C6B"/>
    <w:rsid w:val="005B2CE5"/>
    <w:rsid w:val="005B2D60"/>
    <w:rsid w:val="005B2D6B"/>
    <w:rsid w:val="005B2DD7"/>
    <w:rsid w:val="005B2E12"/>
    <w:rsid w:val="005B30DF"/>
    <w:rsid w:val="005B313B"/>
    <w:rsid w:val="005B3331"/>
    <w:rsid w:val="005B3380"/>
    <w:rsid w:val="005B3393"/>
    <w:rsid w:val="005B33F0"/>
    <w:rsid w:val="005B3427"/>
    <w:rsid w:val="005B3666"/>
    <w:rsid w:val="005B369F"/>
    <w:rsid w:val="005B36A1"/>
    <w:rsid w:val="005B3782"/>
    <w:rsid w:val="005B37CB"/>
    <w:rsid w:val="005B384E"/>
    <w:rsid w:val="005B38B5"/>
    <w:rsid w:val="005B38C5"/>
    <w:rsid w:val="005B3A33"/>
    <w:rsid w:val="005B3AAF"/>
    <w:rsid w:val="005B3C09"/>
    <w:rsid w:val="005B3CA0"/>
    <w:rsid w:val="005B3E98"/>
    <w:rsid w:val="005B3EAF"/>
    <w:rsid w:val="005B3EBA"/>
    <w:rsid w:val="005B3F74"/>
    <w:rsid w:val="005B3F85"/>
    <w:rsid w:val="005B3FD5"/>
    <w:rsid w:val="005B4007"/>
    <w:rsid w:val="005B4045"/>
    <w:rsid w:val="005B40BB"/>
    <w:rsid w:val="005B40FF"/>
    <w:rsid w:val="005B4102"/>
    <w:rsid w:val="005B4134"/>
    <w:rsid w:val="005B42D4"/>
    <w:rsid w:val="005B4302"/>
    <w:rsid w:val="005B4305"/>
    <w:rsid w:val="005B4418"/>
    <w:rsid w:val="005B46E7"/>
    <w:rsid w:val="005B48C5"/>
    <w:rsid w:val="005B490F"/>
    <w:rsid w:val="005B4960"/>
    <w:rsid w:val="005B4980"/>
    <w:rsid w:val="005B49B6"/>
    <w:rsid w:val="005B4AA9"/>
    <w:rsid w:val="005B4B55"/>
    <w:rsid w:val="005B4BF2"/>
    <w:rsid w:val="005B4C2A"/>
    <w:rsid w:val="005B4C32"/>
    <w:rsid w:val="005B4EE8"/>
    <w:rsid w:val="005B4FDC"/>
    <w:rsid w:val="005B50AC"/>
    <w:rsid w:val="005B50E3"/>
    <w:rsid w:val="005B5125"/>
    <w:rsid w:val="005B522A"/>
    <w:rsid w:val="005B53D9"/>
    <w:rsid w:val="005B542C"/>
    <w:rsid w:val="005B55EA"/>
    <w:rsid w:val="005B5621"/>
    <w:rsid w:val="005B5626"/>
    <w:rsid w:val="005B5686"/>
    <w:rsid w:val="005B56D0"/>
    <w:rsid w:val="005B5703"/>
    <w:rsid w:val="005B5731"/>
    <w:rsid w:val="005B57C0"/>
    <w:rsid w:val="005B5838"/>
    <w:rsid w:val="005B586C"/>
    <w:rsid w:val="005B591F"/>
    <w:rsid w:val="005B5A5B"/>
    <w:rsid w:val="005B5A96"/>
    <w:rsid w:val="005B5B9C"/>
    <w:rsid w:val="005B5BDE"/>
    <w:rsid w:val="005B5C01"/>
    <w:rsid w:val="005B5C8D"/>
    <w:rsid w:val="005B5C93"/>
    <w:rsid w:val="005B5CB9"/>
    <w:rsid w:val="005B5CCC"/>
    <w:rsid w:val="005B5D99"/>
    <w:rsid w:val="005B5E0C"/>
    <w:rsid w:val="005B5E2C"/>
    <w:rsid w:val="005B5F8F"/>
    <w:rsid w:val="005B6013"/>
    <w:rsid w:val="005B6072"/>
    <w:rsid w:val="005B607E"/>
    <w:rsid w:val="005B6080"/>
    <w:rsid w:val="005B60B4"/>
    <w:rsid w:val="005B612A"/>
    <w:rsid w:val="005B616D"/>
    <w:rsid w:val="005B619E"/>
    <w:rsid w:val="005B625B"/>
    <w:rsid w:val="005B6342"/>
    <w:rsid w:val="005B640A"/>
    <w:rsid w:val="005B64E7"/>
    <w:rsid w:val="005B66D6"/>
    <w:rsid w:val="005B66E6"/>
    <w:rsid w:val="005B67C6"/>
    <w:rsid w:val="005B685F"/>
    <w:rsid w:val="005B6AB0"/>
    <w:rsid w:val="005B6BED"/>
    <w:rsid w:val="005B6C07"/>
    <w:rsid w:val="005B6D8B"/>
    <w:rsid w:val="005B6E83"/>
    <w:rsid w:val="005B7015"/>
    <w:rsid w:val="005B71AD"/>
    <w:rsid w:val="005B71CF"/>
    <w:rsid w:val="005B72C3"/>
    <w:rsid w:val="005B7368"/>
    <w:rsid w:val="005B73F3"/>
    <w:rsid w:val="005B7404"/>
    <w:rsid w:val="005B75B6"/>
    <w:rsid w:val="005B763B"/>
    <w:rsid w:val="005B76D8"/>
    <w:rsid w:val="005B77C3"/>
    <w:rsid w:val="005B7831"/>
    <w:rsid w:val="005B7844"/>
    <w:rsid w:val="005B78BD"/>
    <w:rsid w:val="005B793F"/>
    <w:rsid w:val="005B7A4B"/>
    <w:rsid w:val="005B7A51"/>
    <w:rsid w:val="005B7AC2"/>
    <w:rsid w:val="005B7E99"/>
    <w:rsid w:val="005B7ED4"/>
    <w:rsid w:val="005B7F53"/>
    <w:rsid w:val="005C0071"/>
    <w:rsid w:val="005C0096"/>
    <w:rsid w:val="005C020A"/>
    <w:rsid w:val="005C0231"/>
    <w:rsid w:val="005C0310"/>
    <w:rsid w:val="005C03F9"/>
    <w:rsid w:val="005C040E"/>
    <w:rsid w:val="005C05B9"/>
    <w:rsid w:val="005C0607"/>
    <w:rsid w:val="005C067E"/>
    <w:rsid w:val="005C06F6"/>
    <w:rsid w:val="005C0842"/>
    <w:rsid w:val="005C08FE"/>
    <w:rsid w:val="005C098A"/>
    <w:rsid w:val="005C09A2"/>
    <w:rsid w:val="005C0ADD"/>
    <w:rsid w:val="005C0B35"/>
    <w:rsid w:val="005C0B5F"/>
    <w:rsid w:val="005C0B80"/>
    <w:rsid w:val="005C0BCB"/>
    <w:rsid w:val="005C0C7E"/>
    <w:rsid w:val="005C0CDD"/>
    <w:rsid w:val="005C0CFA"/>
    <w:rsid w:val="005C0D83"/>
    <w:rsid w:val="005C0DFF"/>
    <w:rsid w:val="005C0E0A"/>
    <w:rsid w:val="005C1006"/>
    <w:rsid w:val="005C1020"/>
    <w:rsid w:val="005C1047"/>
    <w:rsid w:val="005C105C"/>
    <w:rsid w:val="005C1088"/>
    <w:rsid w:val="005C10DC"/>
    <w:rsid w:val="005C10E2"/>
    <w:rsid w:val="005C1114"/>
    <w:rsid w:val="005C114E"/>
    <w:rsid w:val="005C130A"/>
    <w:rsid w:val="005C15C3"/>
    <w:rsid w:val="005C15CE"/>
    <w:rsid w:val="005C1745"/>
    <w:rsid w:val="005C1793"/>
    <w:rsid w:val="005C193F"/>
    <w:rsid w:val="005C1A54"/>
    <w:rsid w:val="005C1A71"/>
    <w:rsid w:val="005C1AFA"/>
    <w:rsid w:val="005C1B2F"/>
    <w:rsid w:val="005C1B6D"/>
    <w:rsid w:val="005C1B85"/>
    <w:rsid w:val="005C1BFC"/>
    <w:rsid w:val="005C1CDE"/>
    <w:rsid w:val="005C1D4C"/>
    <w:rsid w:val="005C1D57"/>
    <w:rsid w:val="005C1D5D"/>
    <w:rsid w:val="005C1D62"/>
    <w:rsid w:val="005C1DDB"/>
    <w:rsid w:val="005C1E3B"/>
    <w:rsid w:val="005C1E5D"/>
    <w:rsid w:val="005C1F0E"/>
    <w:rsid w:val="005C1FA4"/>
    <w:rsid w:val="005C23CF"/>
    <w:rsid w:val="005C23F4"/>
    <w:rsid w:val="005C24AD"/>
    <w:rsid w:val="005C2583"/>
    <w:rsid w:val="005C2593"/>
    <w:rsid w:val="005C263E"/>
    <w:rsid w:val="005C2679"/>
    <w:rsid w:val="005C26A2"/>
    <w:rsid w:val="005C2762"/>
    <w:rsid w:val="005C27DA"/>
    <w:rsid w:val="005C2953"/>
    <w:rsid w:val="005C2954"/>
    <w:rsid w:val="005C2B26"/>
    <w:rsid w:val="005C2B59"/>
    <w:rsid w:val="005C2C22"/>
    <w:rsid w:val="005C2CC0"/>
    <w:rsid w:val="005C2D0B"/>
    <w:rsid w:val="005C2D32"/>
    <w:rsid w:val="005C2D9E"/>
    <w:rsid w:val="005C302C"/>
    <w:rsid w:val="005C304B"/>
    <w:rsid w:val="005C3062"/>
    <w:rsid w:val="005C30B7"/>
    <w:rsid w:val="005C3212"/>
    <w:rsid w:val="005C328D"/>
    <w:rsid w:val="005C32E1"/>
    <w:rsid w:val="005C3360"/>
    <w:rsid w:val="005C34D7"/>
    <w:rsid w:val="005C357F"/>
    <w:rsid w:val="005C35BB"/>
    <w:rsid w:val="005C3665"/>
    <w:rsid w:val="005C3709"/>
    <w:rsid w:val="005C382E"/>
    <w:rsid w:val="005C3ACC"/>
    <w:rsid w:val="005C3B80"/>
    <w:rsid w:val="005C3BC5"/>
    <w:rsid w:val="005C3D45"/>
    <w:rsid w:val="005C3EC0"/>
    <w:rsid w:val="005C3F9C"/>
    <w:rsid w:val="005C3FA5"/>
    <w:rsid w:val="005C3FAE"/>
    <w:rsid w:val="005C4032"/>
    <w:rsid w:val="005C409B"/>
    <w:rsid w:val="005C4162"/>
    <w:rsid w:val="005C41BD"/>
    <w:rsid w:val="005C43AE"/>
    <w:rsid w:val="005C43DE"/>
    <w:rsid w:val="005C4505"/>
    <w:rsid w:val="005C454B"/>
    <w:rsid w:val="005C4552"/>
    <w:rsid w:val="005C4638"/>
    <w:rsid w:val="005C46E0"/>
    <w:rsid w:val="005C4711"/>
    <w:rsid w:val="005C473A"/>
    <w:rsid w:val="005C4873"/>
    <w:rsid w:val="005C497A"/>
    <w:rsid w:val="005C49D2"/>
    <w:rsid w:val="005C4A34"/>
    <w:rsid w:val="005C4BFC"/>
    <w:rsid w:val="005C4CD1"/>
    <w:rsid w:val="005C4CDA"/>
    <w:rsid w:val="005C4D56"/>
    <w:rsid w:val="005C4DEC"/>
    <w:rsid w:val="005C4DFF"/>
    <w:rsid w:val="005C4E44"/>
    <w:rsid w:val="005C4E7A"/>
    <w:rsid w:val="005C4F7B"/>
    <w:rsid w:val="005C4FAF"/>
    <w:rsid w:val="005C4FB9"/>
    <w:rsid w:val="005C4FC4"/>
    <w:rsid w:val="005C5023"/>
    <w:rsid w:val="005C50E9"/>
    <w:rsid w:val="005C51B3"/>
    <w:rsid w:val="005C52E2"/>
    <w:rsid w:val="005C5302"/>
    <w:rsid w:val="005C5336"/>
    <w:rsid w:val="005C5343"/>
    <w:rsid w:val="005C5501"/>
    <w:rsid w:val="005C554F"/>
    <w:rsid w:val="005C55AE"/>
    <w:rsid w:val="005C563B"/>
    <w:rsid w:val="005C563F"/>
    <w:rsid w:val="005C56FF"/>
    <w:rsid w:val="005C5735"/>
    <w:rsid w:val="005C574B"/>
    <w:rsid w:val="005C58B3"/>
    <w:rsid w:val="005C594C"/>
    <w:rsid w:val="005C597A"/>
    <w:rsid w:val="005C5A0D"/>
    <w:rsid w:val="005C5AEE"/>
    <w:rsid w:val="005C5BB2"/>
    <w:rsid w:val="005C5BB3"/>
    <w:rsid w:val="005C5BFF"/>
    <w:rsid w:val="005C5C48"/>
    <w:rsid w:val="005C5D5F"/>
    <w:rsid w:val="005C5D66"/>
    <w:rsid w:val="005C5DA7"/>
    <w:rsid w:val="005C5DBC"/>
    <w:rsid w:val="005C5E3B"/>
    <w:rsid w:val="005C5E41"/>
    <w:rsid w:val="005C6074"/>
    <w:rsid w:val="005C60AE"/>
    <w:rsid w:val="005C60CD"/>
    <w:rsid w:val="005C61A5"/>
    <w:rsid w:val="005C61BA"/>
    <w:rsid w:val="005C626D"/>
    <w:rsid w:val="005C626E"/>
    <w:rsid w:val="005C635F"/>
    <w:rsid w:val="005C6412"/>
    <w:rsid w:val="005C65B7"/>
    <w:rsid w:val="005C679A"/>
    <w:rsid w:val="005C687E"/>
    <w:rsid w:val="005C6895"/>
    <w:rsid w:val="005C6961"/>
    <w:rsid w:val="005C696B"/>
    <w:rsid w:val="005C6989"/>
    <w:rsid w:val="005C6B44"/>
    <w:rsid w:val="005C6B6A"/>
    <w:rsid w:val="005C6BA8"/>
    <w:rsid w:val="005C6C71"/>
    <w:rsid w:val="005C6F11"/>
    <w:rsid w:val="005C6FF4"/>
    <w:rsid w:val="005C7037"/>
    <w:rsid w:val="005C7057"/>
    <w:rsid w:val="005C709B"/>
    <w:rsid w:val="005C70BD"/>
    <w:rsid w:val="005C7173"/>
    <w:rsid w:val="005C7187"/>
    <w:rsid w:val="005C71D8"/>
    <w:rsid w:val="005C71F6"/>
    <w:rsid w:val="005C7230"/>
    <w:rsid w:val="005C7233"/>
    <w:rsid w:val="005C7294"/>
    <w:rsid w:val="005C72B5"/>
    <w:rsid w:val="005C72DB"/>
    <w:rsid w:val="005C7356"/>
    <w:rsid w:val="005C745C"/>
    <w:rsid w:val="005C7727"/>
    <w:rsid w:val="005C7782"/>
    <w:rsid w:val="005C791A"/>
    <w:rsid w:val="005C7985"/>
    <w:rsid w:val="005C7A2D"/>
    <w:rsid w:val="005C7AB4"/>
    <w:rsid w:val="005C7B89"/>
    <w:rsid w:val="005C7BC2"/>
    <w:rsid w:val="005C7CA1"/>
    <w:rsid w:val="005C7CCA"/>
    <w:rsid w:val="005C7DBA"/>
    <w:rsid w:val="005C7DEE"/>
    <w:rsid w:val="005C7E19"/>
    <w:rsid w:val="005C7EF3"/>
    <w:rsid w:val="005C7F19"/>
    <w:rsid w:val="005C7FEB"/>
    <w:rsid w:val="005D0006"/>
    <w:rsid w:val="005D00F6"/>
    <w:rsid w:val="005D0135"/>
    <w:rsid w:val="005D01B5"/>
    <w:rsid w:val="005D0325"/>
    <w:rsid w:val="005D035E"/>
    <w:rsid w:val="005D0372"/>
    <w:rsid w:val="005D04F9"/>
    <w:rsid w:val="005D061D"/>
    <w:rsid w:val="005D0688"/>
    <w:rsid w:val="005D07BB"/>
    <w:rsid w:val="005D07F6"/>
    <w:rsid w:val="005D0859"/>
    <w:rsid w:val="005D09E7"/>
    <w:rsid w:val="005D0B2A"/>
    <w:rsid w:val="005D0C04"/>
    <w:rsid w:val="005D0D2E"/>
    <w:rsid w:val="005D0DDD"/>
    <w:rsid w:val="005D0F7D"/>
    <w:rsid w:val="005D0FEB"/>
    <w:rsid w:val="005D1195"/>
    <w:rsid w:val="005D11C9"/>
    <w:rsid w:val="005D1267"/>
    <w:rsid w:val="005D126E"/>
    <w:rsid w:val="005D132B"/>
    <w:rsid w:val="005D133F"/>
    <w:rsid w:val="005D1347"/>
    <w:rsid w:val="005D13B3"/>
    <w:rsid w:val="005D13C7"/>
    <w:rsid w:val="005D13F4"/>
    <w:rsid w:val="005D1442"/>
    <w:rsid w:val="005D14CB"/>
    <w:rsid w:val="005D14FA"/>
    <w:rsid w:val="005D156A"/>
    <w:rsid w:val="005D15C2"/>
    <w:rsid w:val="005D15E0"/>
    <w:rsid w:val="005D175B"/>
    <w:rsid w:val="005D18A7"/>
    <w:rsid w:val="005D19DE"/>
    <w:rsid w:val="005D1C62"/>
    <w:rsid w:val="005D1C8D"/>
    <w:rsid w:val="005D1CBD"/>
    <w:rsid w:val="005D1E98"/>
    <w:rsid w:val="005D1F10"/>
    <w:rsid w:val="005D1F54"/>
    <w:rsid w:val="005D2031"/>
    <w:rsid w:val="005D2060"/>
    <w:rsid w:val="005D21B1"/>
    <w:rsid w:val="005D224B"/>
    <w:rsid w:val="005D23B1"/>
    <w:rsid w:val="005D23D0"/>
    <w:rsid w:val="005D26BE"/>
    <w:rsid w:val="005D2700"/>
    <w:rsid w:val="005D27CF"/>
    <w:rsid w:val="005D27E0"/>
    <w:rsid w:val="005D29D5"/>
    <w:rsid w:val="005D2A7B"/>
    <w:rsid w:val="005D2B19"/>
    <w:rsid w:val="005D2B5B"/>
    <w:rsid w:val="005D2BC3"/>
    <w:rsid w:val="005D2C16"/>
    <w:rsid w:val="005D2C62"/>
    <w:rsid w:val="005D2D8C"/>
    <w:rsid w:val="005D2E3D"/>
    <w:rsid w:val="005D2F0A"/>
    <w:rsid w:val="005D2F99"/>
    <w:rsid w:val="005D301B"/>
    <w:rsid w:val="005D30D6"/>
    <w:rsid w:val="005D30EE"/>
    <w:rsid w:val="005D3157"/>
    <w:rsid w:val="005D3317"/>
    <w:rsid w:val="005D33D1"/>
    <w:rsid w:val="005D34D9"/>
    <w:rsid w:val="005D368F"/>
    <w:rsid w:val="005D36E0"/>
    <w:rsid w:val="005D36ED"/>
    <w:rsid w:val="005D3789"/>
    <w:rsid w:val="005D3851"/>
    <w:rsid w:val="005D3898"/>
    <w:rsid w:val="005D39BB"/>
    <w:rsid w:val="005D3AAB"/>
    <w:rsid w:val="005D3BB5"/>
    <w:rsid w:val="005D3C6A"/>
    <w:rsid w:val="005D3C84"/>
    <w:rsid w:val="005D3CAD"/>
    <w:rsid w:val="005D3CC6"/>
    <w:rsid w:val="005D3D67"/>
    <w:rsid w:val="005D3DB8"/>
    <w:rsid w:val="005D3DDA"/>
    <w:rsid w:val="005D3E81"/>
    <w:rsid w:val="005D4080"/>
    <w:rsid w:val="005D40F7"/>
    <w:rsid w:val="005D4101"/>
    <w:rsid w:val="005D4133"/>
    <w:rsid w:val="005D4255"/>
    <w:rsid w:val="005D4291"/>
    <w:rsid w:val="005D42CC"/>
    <w:rsid w:val="005D4425"/>
    <w:rsid w:val="005D4473"/>
    <w:rsid w:val="005D44A6"/>
    <w:rsid w:val="005D464C"/>
    <w:rsid w:val="005D4654"/>
    <w:rsid w:val="005D46B3"/>
    <w:rsid w:val="005D46C4"/>
    <w:rsid w:val="005D46CD"/>
    <w:rsid w:val="005D490C"/>
    <w:rsid w:val="005D4928"/>
    <w:rsid w:val="005D4ABF"/>
    <w:rsid w:val="005D4BFE"/>
    <w:rsid w:val="005D4C6C"/>
    <w:rsid w:val="005D4C76"/>
    <w:rsid w:val="005D4CB5"/>
    <w:rsid w:val="005D4CE2"/>
    <w:rsid w:val="005D4D3E"/>
    <w:rsid w:val="005D4D9B"/>
    <w:rsid w:val="005D4EE2"/>
    <w:rsid w:val="005D4F0A"/>
    <w:rsid w:val="005D5301"/>
    <w:rsid w:val="005D53B3"/>
    <w:rsid w:val="005D5515"/>
    <w:rsid w:val="005D5661"/>
    <w:rsid w:val="005D5677"/>
    <w:rsid w:val="005D56C2"/>
    <w:rsid w:val="005D56C5"/>
    <w:rsid w:val="005D578C"/>
    <w:rsid w:val="005D5793"/>
    <w:rsid w:val="005D57B8"/>
    <w:rsid w:val="005D57C6"/>
    <w:rsid w:val="005D5A1F"/>
    <w:rsid w:val="005D5A7E"/>
    <w:rsid w:val="005D5B9F"/>
    <w:rsid w:val="005D5D22"/>
    <w:rsid w:val="005D5DBB"/>
    <w:rsid w:val="005D5EF5"/>
    <w:rsid w:val="005D5F54"/>
    <w:rsid w:val="005D5F76"/>
    <w:rsid w:val="005D60AA"/>
    <w:rsid w:val="005D60AD"/>
    <w:rsid w:val="005D60D4"/>
    <w:rsid w:val="005D6117"/>
    <w:rsid w:val="005D618E"/>
    <w:rsid w:val="005D6369"/>
    <w:rsid w:val="005D640E"/>
    <w:rsid w:val="005D6580"/>
    <w:rsid w:val="005D659C"/>
    <w:rsid w:val="005D65BC"/>
    <w:rsid w:val="005D6793"/>
    <w:rsid w:val="005D6826"/>
    <w:rsid w:val="005D6928"/>
    <w:rsid w:val="005D69BE"/>
    <w:rsid w:val="005D69E9"/>
    <w:rsid w:val="005D6A6F"/>
    <w:rsid w:val="005D6B15"/>
    <w:rsid w:val="005D6BAD"/>
    <w:rsid w:val="005D6C22"/>
    <w:rsid w:val="005D6C96"/>
    <w:rsid w:val="005D6D14"/>
    <w:rsid w:val="005D6DD7"/>
    <w:rsid w:val="005D6FB7"/>
    <w:rsid w:val="005D7089"/>
    <w:rsid w:val="005D709E"/>
    <w:rsid w:val="005D71D4"/>
    <w:rsid w:val="005D71ED"/>
    <w:rsid w:val="005D730B"/>
    <w:rsid w:val="005D7408"/>
    <w:rsid w:val="005D750D"/>
    <w:rsid w:val="005D75FB"/>
    <w:rsid w:val="005D768E"/>
    <w:rsid w:val="005D7722"/>
    <w:rsid w:val="005D7747"/>
    <w:rsid w:val="005D77FA"/>
    <w:rsid w:val="005D789F"/>
    <w:rsid w:val="005D7989"/>
    <w:rsid w:val="005D7A0F"/>
    <w:rsid w:val="005D7AF5"/>
    <w:rsid w:val="005D7AFD"/>
    <w:rsid w:val="005D7C35"/>
    <w:rsid w:val="005D7C62"/>
    <w:rsid w:val="005D7D8F"/>
    <w:rsid w:val="005D7E58"/>
    <w:rsid w:val="005D7E81"/>
    <w:rsid w:val="005D7FC2"/>
    <w:rsid w:val="005D7FE0"/>
    <w:rsid w:val="005E0016"/>
    <w:rsid w:val="005E00ED"/>
    <w:rsid w:val="005E011C"/>
    <w:rsid w:val="005E01BD"/>
    <w:rsid w:val="005E01C4"/>
    <w:rsid w:val="005E01CE"/>
    <w:rsid w:val="005E01D5"/>
    <w:rsid w:val="005E0247"/>
    <w:rsid w:val="005E0254"/>
    <w:rsid w:val="005E04E1"/>
    <w:rsid w:val="005E0577"/>
    <w:rsid w:val="005E05D5"/>
    <w:rsid w:val="005E064B"/>
    <w:rsid w:val="005E06B7"/>
    <w:rsid w:val="005E073A"/>
    <w:rsid w:val="005E0788"/>
    <w:rsid w:val="005E0939"/>
    <w:rsid w:val="005E09A2"/>
    <w:rsid w:val="005E0A12"/>
    <w:rsid w:val="005E0A46"/>
    <w:rsid w:val="005E0B9E"/>
    <w:rsid w:val="005E0CA0"/>
    <w:rsid w:val="005E0E2A"/>
    <w:rsid w:val="005E0E46"/>
    <w:rsid w:val="005E0E56"/>
    <w:rsid w:val="005E0FE7"/>
    <w:rsid w:val="005E0FED"/>
    <w:rsid w:val="005E1011"/>
    <w:rsid w:val="005E104A"/>
    <w:rsid w:val="005E10AC"/>
    <w:rsid w:val="005E11F7"/>
    <w:rsid w:val="005E1231"/>
    <w:rsid w:val="005E135A"/>
    <w:rsid w:val="005E13E0"/>
    <w:rsid w:val="005E144D"/>
    <w:rsid w:val="005E1470"/>
    <w:rsid w:val="005E1479"/>
    <w:rsid w:val="005E1487"/>
    <w:rsid w:val="005E16A7"/>
    <w:rsid w:val="005E197F"/>
    <w:rsid w:val="005E19C9"/>
    <w:rsid w:val="005E1A00"/>
    <w:rsid w:val="005E1B83"/>
    <w:rsid w:val="005E1D55"/>
    <w:rsid w:val="005E1DCC"/>
    <w:rsid w:val="005E1DD2"/>
    <w:rsid w:val="005E20A3"/>
    <w:rsid w:val="005E21F6"/>
    <w:rsid w:val="005E223B"/>
    <w:rsid w:val="005E244B"/>
    <w:rsid w:val="005E24FD"/>
    <w:rsid w:val="005E2641"/>
    <w:rsid w:val="005E269F"/>
    <w:rsid w:val="005E2731"/>
    <w:rsid w:val="005E27DD"/>
    <w:rsid w:val="005E28C0"/>
    <w:rsid w:val="005E294F"/>
    <w:rsid w:val="005E2AE4"/>
    <w:rsid w:val="005E2B44"/>
    <w:rsid w:val="005E2BBF"/>
    <w:rsid w:val="005E2C58"/>
    <w:rsid w:val="005E2EC2"/>
    <w:rsid w:val="005E2F0C"/>
    <w:rsid w:val="005E2FCA"/>
    <w:rsid w:val="005E2FD7"/>
    <w:rsid w:val="005E2FF4"/>
    <w:rsid w:val="005E3018"/>
    <w:rsid w:val="005E3072"/>
    <w:rsid w:val="005E313B"/>
    <w:rsid w:val="005E32FA"/>
    <w:rsid w:val="005E33F6"/>
    <w:rsid w:val="005E348C"/>
    <w:rsid w:val="005E34AD"/>
    <w:rsid w:val="005E34FB"/>
    <w:rsid w:val="005E3570"/>
    <w:rsid w:val="005E35E6"/>
    <w:rsid w:val="005E3667"/>
    <w:rsid w:val="005E3682"/>
    <w:rsid w:val="005E3723"/>
    <w:rsid w:val="005E38B5"/>
    <w:rsid w:val="005E38D8"/>
    <w:rsid w:val="005E38ED"/>
    <w:rsid w:val="005E3954"/>
    <w:rsid w:val="005E39E0"/>
    <w:rsid w:val="005E39EF"/>
    <w:rsid w:val="005E3A37"/>
    <w:rsid w:val="005E3ABA"/>
    <w:rsid w:val="005E3BA1"/>
    <w:rsid w:val="005E3BA7"/>
    <w:rsid w:val="005E3C97"/>
    <w:rsid w:val="005E3CD4"/>
    <w:rsid w:val="005E3CD8"/>
    <w:rsid w:val="005E3E04"/>
    <w:rsid w:val="005E3E67"/>
    <w:rsid w:val="005E3E97"/>
    <w:rsid w:val="005E410F"/>
    <w:rsid w:val="005E412B"/>
    <w:rsid w:val="005E4154"/>
    <w:rsid w:val="005E419A"/>
    <w:rsid w:val="005E41B7"/>
    <w:rsid w:val="005E42F6"/>
    <w:rsid w:val="005E43A3"/>
    <w:rsid w:val="005E43AA"/>
    <w:rsid w:val="005E4449"/>
    <w:rsid w:val="005E4484"/>
    <w:rsid w:val="005E44AC"/>
    <w:rsid w:val="005E44C5"/>
    <w:rsid w:val="005E4563"/>
    <w:rsid w:val="005E4630"/>
    <w:rsid w:val="005E4678"/>
    <w:rsid w:val="005E46A0"/>
    <w:rsid w:val="005E4846"/>
    <w:rsid w:val="005E484E"/>
    <w:rsid w:val="005E4855"/>
    <w:rsid w:val="005E4884"/>
    <w:rsid w:val="005E48CC"/>
    <w:rsid w:val="005E4912"/>
    <w:rsid w:val="005E4A1E"/>
    <w:rsid w:val="005E4A7A"/>
    <w:rsid w:val="005E4C50"/>
    <w:rsid w:val="005E4D2F"/>
    <w:rsid w:val="005E4D6F"/>
    <w:rsid w:val="005E4E56"/>
    <w:rsid w:val="005E4EAD"/>
    <w:rsid w:val="005E4EBC"/>
    <w:rsid w:val="005E4FBA"/>
    <w:rsid w:val="005E51A7"/>
    <w:rsid w:val="005E51FF"/>
    <w:rsid w:val="005E535A"/>
    <w:rsid w:val="005E5381"/>
    <w:rsid w:val="005E53C4"/>
    <w:rsid w:val="005E53CC"/>
    <w:rsid w:val="005E5411"/>
    <w:rsid w:val="005E54FC"/>
    <w:rsid w:val="005E5522"/>
    <w:rsid w:val="005E552F"/>
    <w:rsid w:val="005E5585"/>
    <w:rsid w:val="005E55D5"/>
    <w:rsid w:val="005E571B"/>
    <w:rsid w:val="005E5749"/>
    <w:rsid w:val="005E57E3"/>
    <w:rsid w:val="005E5861"/>
    <w:rsid w:val="005E58C8"/>
    <w:rsid w:val="005E58D4"/>
    <w:rsid w:val="005E58E1"/>
    <w:rsid w:val="005E5906"/>
    <w:rsid w:val="005E593F"/>
    <w:rsid w:val="005E5A50"/>
    <w:rsid w:val="005E5AB6"/>
    <w:rsid w:val="005E5AC3"/>
    <w:rsid w:val="005E5C4D"/>
    <w:rsid w:val="005E5CE6"/>
    <w:rsid w:val="005E5CFC"/>
    <w:rsid w:val="005E5D48"/>
    <w:rsid w:val="005E5E27"/>
    <w:rsid w:val="005E5E4D"/>
    <w:rsid w:val="005E60BD"/>
    <w:rsid w:val="005E6136"/>
    <w:rsid w:val="005E6184"/>
    <w:rsid w:val="005E6262"/>
    <w:rsid w:val="005E643F"/>
    <w:rsid w:val="005E648A"/>
    <w:rsid w:val="005E660B"/>
    <w:rsid w:val="005E6698"/>
    <w:rsid w:val="005E6811"/>
    <w:rsid w:val="005E6856"/>
    <w:rsid w:val="005E68FD"/>
    <w:rsid w:val="005E694A"/>
    <w:rsid w:val="005E694F"/>
    <w:rsid w:val="005E6953"/>
    <w:rsid w:val="005E6999"/>
    <w:rsid w:val="005E6B3B"/>
    <w:rsid w:val="005E6B5C"/>
    <w:rsid w:val="005E6BC8"/>
    <w:rsid w:val="005E6C27"/>
    <w:rsid w:val="005E6CA5"/>
    <w:rsid w:val="005E6CAC"/>
    <w:rsid w:val="005E6DAF"/>
    <w:rsid w:val="005E6DD8"/>
    <w:rsid w:val="005E6DDF"/>
    <w:rsid w:val="005E6E8F"/>
    <w:rsid w:val="005E6EB9"/>
    <w:rsid w:val="005E704F"/>
    <w:rsid w:val="005E7140"/>
    <w:rsid w:val="005E7148"/>
    <w:rsid w:val="005E72B3"/>
    <w:rsid w:val="005E73D7"/>
    <w:rsid w:val="005E73DB"/>
    <w:rsid w:val="005E742B"/>
    <w:rsid w:val="005E74C0"/>
    <w:rsid w:val="005E756B"/>
    <w:rsid w:val="005E7781"/>
    <w:rsid w:val="005E7842"/>
    <w:rsid w:val="005E7905"/>
    <w:rsid w:val="005E79D7"/>
    <w:rsid w:val="005E7A1A"/>
    <w:rsid w:val="005E7A49"/>
    <w:rsid w:val="005E7AC6"/>
    <w:rsid w:val="005E7AD6"/>
    <w:rsid w:val="005E7B25"/>
    <w:rsid w:val="005E7B78"/>
    <w:rsid w:val="005E7C33"/>
    <w:rsid w:val="005E7C82"/>
    <w:rsid w:val="005E7D47"/>
    <w:rsid w:val="005E7D99"/>
    <w:rsid w:val="005E7E8A"/>
    <w:rsid w:val="005E7E8E"/>
    <w:rsid w:val="005E7EB7"/>
    <w:rsid w:val="005E7EBD"/>
    <w:rsid w:val="005E7EBE"/>
    <w:rsid w:val="005E7F47"/>
    <w:rsid w:val="005E7FEB"/>
    <w:rsid w:val="005F0024"/>
    <w:rsid w:val="005F0027"/>
    <w:rsid w:val="005F0039"/>
    <w:rsid w:val="005F0077"/>
    <w:rsid w:val="005F00A8"/>
    <w:rsid w:val="005F021D"/>
    <w:rsid w:val="005F03A7"/>
    <w:rsid w:val="005F03C2"/>
    <w:rsid w:val="005F03C3"/>
    <w:rsid w:val="005F0546"/>
    <w:rsid w:val="005F0631"/>
    <w:rsid w:val="005F089F"/>
    <w:rsid w:val="005F09CE"/>
    <w:rsid w:val="005F0A58"/>
    <w:rsid w:val="005F0A8B"/>
    <w:rsid w:val="005F0A93"/>
    <w:rsid w:val="005F0AA2"/>
    <w:rsid w:val="005F0C07"/>
    <w:rsid w:val="005F0C3C"/>
    <w:rsid w:val="005F0CE1"/>
    <w:rsid w:val="005F0CFA"/>
    <w:rsid w:val="005F0E2E"/>
    <w:rsid w:val="005F0E30"/>
    <w:rsid w:val="005F0E61"/>
    <w:rsid w:val="005F0EE4"/>
    <w:rsid w:val="005F0F56"/>
    <w:rsid w:val="005F0FE6"/>
    <w:rsid w:val="005F108A"/>
    <w:rsid w:val="005F10DB"/>
    <w:rsid w:val="005F10E2"/>
    <w:rsid w:val="005F116D"/>
    <w:rsid w:val="005F1363"/>
    <w:rsid w:val="005F1390"/>
    <w:rsid w:val="005F139D"/>
    <w:rsid w:val="005F1441"/>
    <w:rsid w:val="005F1534"/>
    <w:rsid w:val="005F1733"/>
    <w:rsid w:val="005F17AA"/>
    <w:rsid w:val="005F1822"/>
    <w:rsid w:val="005F1918"/>
    <w:rsid w:val="005F1A6B"/>
    <w:rsid w:val="005F1B82"/>
    <w:rsid w:val="005F1BD6"/>
    <w:rsid w:val="005F1C00"/>
    <w:rsid w:val="005F1C5F"/>
    <w:rsid w:val="005F1CC6"/>
    <w:rsid w:val="005F1CC9"/>
    <w:rsid w:val="005F1D7A"/>
    <w:rsid w:val="005F1DCE"/>
    <w:rsid w:val="005F1E03"/>
    <w:rsid w:val="005F1E71"/>
    <w:rsid w:val="005F1E85"/>
    <w:rsid w:val="005F1F3D"/>
    <w:rsid w:val="005F1FCD"/>
    <w:rsid w:val="005F1FE3"/>
    <w:rsid w:val="005F2080"/>
    <w:rsid w:val="005F2082"/>
    <w:rsid w:val="005F23D5"/>
    <w:rsid w:val="005F2467"/>
    <w:rsid w:val="005F24B6"/>
    <w:rsid w:val="005F271B"/>
    <w:rsid w:val="005F272C"/>
    <w:rsid w:val="005F2884"/>
    <w:rsid w:val="005F2902"/>
    <w:rsid w:val="005F29D6"/>
    <w:rsid w:val="005F29F7"/>
    <w:rsid w:val="005F2B93"/>
    <w:rsid w:val="005F2C5F"/>
    <w:rsid w:val="005F2C9E"/>
    <w:rsid w:val="005F2CFD"/>
    <w:rsid w:val="005F2D73"/>
    <w:rsid w:val="005F2F89"/>
    <w:rsid w:val="005F2F8C"/>
    <w:rsid w:val="005F30C6"/>
    <w:rsid w:val="005F3184"/>
    <w:rsid w:val="005F333A"/>
    <w:rsid w:val="005F33AF"/>
    <w:rsid w:val="005F3497"/>
    <w:rsid w:val="005F34F5"/>
    <w:rsid w:val="005F3584"/>
    <w:rsid w:val="005F35D1"/>
    <w:rsid w:val="005F3723"/>
    <w:rsid w:val="005F37D6"/>
    <w:rsid w:val="005F388A"/>
    <w:rsid w:val="005F3B4E"/>
    <w:rsid w:val="005F3CF1"/>
    <w:rsid w:val="005F3D47"/>
    <w:rsid w:val="005F3D85"/>
    <w:rsid w:val="005F3DF3"/>
    <w:rsid w:val="005F3E17"/>
    <w:rsid w:val="005F3E8A"/>
    <w:rsid w:val="005F3EDD"/>
    <w:rsid w:val="005F3F56"/>
    <w:rsid w:val="005F41D2"/>
    <w:rsid w:val="005F421F"/>
    <w:rsid w:val="005F426A"/>
    <w:rsid w:val="005F427B"/>
    <w:rsid w:val="005F429F"/>
    <w:rsid w:val="005F4347"/>
    <w:rsid w:val="005F4386"/>
    <w:rsid w:val="005F438C"/>
    <w:rsid w:val="005F43D4"/>
    <w:rsid w:val="005F445D"/>
    <w:rsid w:val="005F4486"/>
    <w:rsid w:val="005F4641"/>
    <w:rsid w:val="005F4663"/>
    <w:rsid w:val="005F476C"/>
    <w:rsid w:val="005F4776"/>
    <w:rsid w:val="005F47C6"/>
    <w:rsid w:val="005F47CB"/>
    <w:rsid w:val="005F481C"/>
    <w:rsid w:val="005F485F"/>
    <w:rsid w:val="005F48B3"/>
    <w:rsid w:val="005F4935"/>
    <w:rsid w:val="005F49A3"/>
    <w:rsid w:val="005F4A93"/>
    <w:rsid w:val="005F4B1C"/>
    <w:rsid w:val="005F4BF4"/>
    <w:rsid w:val="005F4C30"/>
    <w:rsid w:val="005F4C31"/>
    <w:rsid w:val="005F4C39"/>
    <w:rsid w:val="005F4C49"/>
    <w:rsid w:val="005F4C8D"/>
    <w:rsid w:val="005F4C91"/>
    <w:rsid w:val="005F4D9D"/>
    <w:rsid w:val="005F4E32"/>
    <w:rsid w:val="005F4EAD"/>
    <w:rsid w:val="005F4EC9"/>
    <w:rsid w:val="005F5088"/>
    <w:rsid w:val="005F50C1"/>
    <w:rsid w:val="005F5247"/>
    <w:rsid w:val="005F54C0"/>
    <w:rsid w:val="005F5530"/>
    <w:rsid w:val="005F555B"/>
    <w:rsid w:val="005F56B3"/>
    <w:rsid w:val="005F56DD"/>
    <w:rsid w:val="005F5723"/>
    <w:rsid w:val="005F576F"/>
    <w:rsid w:val="005F5899"/>
    <w:rsid w:val="005F58F5"/>
    <w:rsid w:val="005F5981"/>
    <w:rsid w:val="005F5986"/>
    <w:rsid w:val="005F5A48"/>
    <w:rsid w:val="005F5AC7"/>
    <w:rsid w:val="005F5AFF"/>
    <w:rsid w:val="005F5B14"/>
    <w:rsid w:val="005F5BBA"/>
    <w:rsid w:val="005F5C06"/>
    <w:rsid w:val="005F5CD4"/>
    <w:rsid w:val="005F5D5D"/>
    <w:rsid w:val="005F5D5E"/>
    <w:rsid w:val="005F5DD4"/>
    <w:rsid w:val="005F5E50"/>
    <w:rsid w:val="005F5EF8"/>
    <w:rsid w:val="005F61C5"/>
    <w:rsid w:val="005F6220"/>
    <w:rsid w:val="005F626A"/>
    <w:rsid w:val="005F62D8"/>
    <w:rsid w:val="005F632B"/>
    <w:rsid w:val="005F6332"/>
    <w:rsid w:val="005F63B9"/>
    <w:rsid w:val="005F63E5"/>
    <w:rsid w:val="005F6462"/>
    <w:rsid w:val="005F647D"/>
    <w:rsid w:val="005F64E7"/>
    <w:rsid w:val="005F64F4"/>
    <w:rsid w:val="005F65D7"/>
    <w:rsid w:val="005F65E3"/>
    <w:rsid w:val="005F663F"/>
    <w:rsid w:val="005F667D"/>
    <w:rsid w:val="005F6693"/>
    <w:rsid w:val="005F670C"/>
    <w:rsid w:val="005F6715"/>
    <w:rsid w:val="005F6746"/>
    <w:rsid w:val="005F6789"/>
    <w:rsid w:val="005F684A"/>
    <w:rsid w:val="005F6902"/>
    <w:rsid w:val="005F6A30"/>
    <w:rsid w:val="005F6AA2"/>
    <w:rsid w:val="005F6BC0"/>
    <w:rsid w:val="005F6C0C"/>
    <w:rsid w:val="005F6CF0"/>
    <w:rsid w:val="005F6D10"/>
    <w:rsid w:val="005F6EC1"/>
    <w:rsid w:val="005F6F0A"/>
    <w:rsid w:val="005F6FD7"/>
    <w:rsid w:val="005F701E"/>
    <w:rsid w:val="005F7134"/>
    <w:rsid w:val="005F71A7"/>
    <w:rsid w:val="005F71B4"/>
    <w:rsid w:val="005F721A"/>
    <w:rsid w:val="005F72AA"/>
    <w:rsid w:val="005F736B"/>
    <w:rsid w:val="005F73E8"/>
    <w:rsid w:val="005F74F4"/>
    <w:rsid w:val="005F7572"/>
    <w:rsid w:val="005F75EA"/>
    <w:rsid w:val="005F76A2"/>
    <w:rsid w:val="005F76E3"/>
    <w:rsid w:val="005F76F8"/>
    <w:rsid w:val="005F79AF"/>
    <w:rsid w:val="005F7A73"/>
    <w:rsid w:val="005F7A7A"/>
    <w:rsid w:val="005F7AF8"/>
    <w:rsid w:val="005F7B85"/>
    <w:rsid w:val="005F7B98"/>
    <w:rsid w:val="005F7BBA"/>
    <w:rsid w:val="005F7BCB"/>
    <w:rsid w:val="005F7C70"/>
    <w:rsid w:val="005F7C83"/>
    <w:rsid w:val="005F7D09"/>
    <w:rsid w:val="005F7DE9"/>
    <w:rsid w:val="00600202"/>
    <w:rsid w:val="00600290"/>
    <w:rsid w:val="00600291"/>
    <w:rsid w:val="0060030F"/>
    <w:rsid w:val="00600337"/>
    <w:rsid w:val="0060033D"/>
    <w:rsid w:val="00600398"/>
    <w:rsid w:val="0060039A"/>
    <w:rsid w:val="00600525"/>
    <w:rsid w:val="006005B7"/>
    <w:rsid w:val="0060062B"/>
    <w:rsid w:val="00600667"/>
    <w:rsid w:val="0060067A"/>
    <w:rsid w:val="006006E7"/>
    <w:rsid w:val="00600767"/>
    <w:rsid w:val="006007AE"/>
    <w:rsid w:val="00600898"/>
    <w:rsid w:val="006009AE"/>
    <w:rsid w:val="00600A7D"/>
    <w:rsid w:val="00600A92"/>
    <w:rsid w:val="00600AA5"/>
    <w:rsid w:val="00600B9C"/>
    <w:rsid w:val="00600C27"/>
    <w:rsid w:val="00600C63"/>
    <w:rsid w:val="00600DB7"/>
    <w:rsid w:val="00600E3E"/>
    <w:rsid w:val="00600E71"/>
    <w:rsid w:val="00600F31"/>
    <w:rsid w:val="00600FC8"/>
    <w:rsid w:val="006010A3"/>
    <w:rsid w:val="006010BE"/>
    <w:rsid w:val="0060115F"/>
    <w:rsid w:val="006011AF"/>
    <w:rsid w:val="006011C9"/>
    <w:rsid w:val="006011E9"/>
    <w:rsid w:val="006012A1"/>
    <w:rsid w:val="006012E9"/>
    <w:rsid w:val="00601318"/>
    <w:rsid w:val="006013C2"/>
    <w:rsid w:val="006013DF"/>
    <w:rsid w:val="0060144F"/>
    <w:rsid w:val="00601591"/>
    <w:rsid w:val="00601799"/>
    <w:rsid w:val="0060195D"/>
    <w:rsid w:val="006019EA"/>
    <w:rsid w:val="00601A45"/>
    <w:rsid w:val="00601B19"/>
    <w:rsid w:val="00601B34"/>
    <w:rsid w:val="00601BDD"/>
    <w:rsid w:val="00601C13"/>
    <w:rsid w:val="00601C1F"/>
    <w:rsid w:val="00601C34"/>
    <w:rsid w:val="00601D95"/>
    <w:rsid w:val="00601DAD"/>
    <w:rsid w:val="00601DCE"/>
    <w:rsid w:val="00601F34"/>
    <w:rsid w:val="00601FC9"/>
    <w:rsid w:val="00601FFC"/>
    <w:rsid w:val="00602051"/>
    <w:rsid w:val="00602175"/>
    <w:rsid w:val="006022E4"/>
    <w:rsid w:val="00602340"/>
    <w:rsid w:val="00602343"/>
    <w:rsid w:val="006023C8"/>
    <w:rsid w:val="006023EA"/>
    <w:rsid w:val="00602439"/>
    <w:rsid w:val="00602475"/>
    <w:rsid w:val="006024F8"/>
    <w:rsid w:val="006026B3"/>
    <w:rsid w:val="006026EA"/>
    <w:rsid w:val="00602771"/>
    <w:rsid w:val="006027D6"/>
    <w:rsid w:val="006027FA"/>
    <w:rsid w:val="00602963"/>
    <w:rsid w:val="00602A2D"/>
    <w:rsid w:val="00602A55"/>
    <w:rsid w:val="00602AC1"/>
    <w:rsid w:val="00602B46"/>
    <w:rsid w:val="00602B95"/>
    <w:rsid w:val="00602C04"/>
    <w:rsid w:val="00602DE3"/>
    <w:rsid w:val="0060304A"/>
    <w:rsid w:val="006030BA"/>
    <w:rsid w:val="00603316"/>
    <w:rsid w:val="006033C3"/>
    <w:rsid w:val="00603433"/>
    <w:rsid w:val="006034D5"/>
    <w:rsid w:val="006034ED"/>
    <w:rsid w:val="00603578"/>
    <w:rsid w:val="006035C7"/>
    <w:rsid w:val="006035D0"/>
    <w:rsid w:val="0060365C"/>
    <w:rsid w:val="00603670"/>
    <w:rsid w:val="006036A4"/>
    <w:rsid w:val="00603829"/>
    <w:rsid w:val="0060387B"/>
    <w:rsid w:val="006038C0"/>
    <w:rsid w:val="00603975"/>
    <w:rsid w:val="006039F9"/>
    <w:rsid w:val="00603A50"/>
    <w:rsid w:val="00603ABF"/>
    <w:rsid w:val="00603B4E"/>
    <w:rsid w:val="00603BDC"/>
    <w:rsid w:val="00603BED"/>
    <w:rsid w:val="00603CCE"/>
    <w:rsid w:val="00603DB6"/>
    <w:rsid w:val="00603F15"/>
    <w:rsid w:val="00603FA2"/>
    <w:rsid w:val="00604070"/>
    <w:rsid w:val="006041BC"/>
    <w:rsid w:val="0060420D"/>
    <w:rsid w:val="00604572"/>
    <w:rsid w:val="00604587"/>
    <w:rsid w:val="0060458F"/>
    <w:rsid w:val="006045EC"/>
    <w:rsid w:val="00604615"/>
    <w:rsid w:val="0060461D"/>
    <w:rsid w:val="006047CA"/>
    <w:rsid w:val="00604892"/>
    <w:rsid w:val="00604929"/>
    <w:rsid w:val="00604A1A"/>
    <w:rsid w:val="00604B1A"/>
    <w:rsid w:val="00604BD5"/>
    <w:rsid w:val="00604CA4"/>
    <w:rsid w:val="00604EDF"/>
    <w:rsid w:val="00604EFE"/>
    <w:rsid w:val="00604F04"/>
    <w:rsid w:val="0060500A"/>
    <w:rsid w:val="00605094"/>
    <w:rsid w:val="006050DB"/>
    <w:rsid w:val="0060513F"/>
    <w:rsid w:val="00605153"/>
    <w:rsid w:val="00605230"/>
    <w:rsid w:val="00605452"/>
    <w:rsid w:val="0060552F"/>
    <w:rsid w:val="00605727"/>
    <w:rsid w:val="00605839"/>
    <w:rsid w:val="00605887"/>
    <w:rsid w:val="006059C8"/>
    <w:rsid w:val="00605A09"/>
    <w:rsid w:val="00605A61"/>
    <w:rsid w:val="00605B34"/>
    <w:rsid w:val="00605B47"/>
    <w:rsid w:val="00605B65"/>
    <w:rsid w:val="00605C31"/>
    <w:rsid w:val="00605C5A"/>
    <w:rsid w:val="00605CDC"/>
    <w:rsid w:val="00605D31"/>
    <w:rsid w:val="00605DA9"/>
    <w:rsid w:val="00605E7E"/>
    <w:rsid w:val="00605EB2"/>
    <w:rsid w:val="00605F1E"/>
    <w:rsid w:val="0060610D"/>
    <w:rsid w:val="00606177"/>
    <w:rsid w:val="0060619A"/>
    <w:rsid w:val="00606627"/>
    <w:rsid w:val="0060667E"/>
    <w:rsid w:val="006067CD"/>
    <w:rsid w:val="00606964"/>
    <w:rsid w:val="00606A1F"/>
    <w:rsid w:val="00606A4B"/>
    <w:rsid w:val="00606B4B"/>
    <w:rsid w:val="00606C0A"/>
    <w:rsid w:val="00606CAF"/>
    <w:rsid w:val="00606E0F"/>
    <w:rsid w:val="00606E84"/>
    <w:rsid w:val="0060701D"/>
    <w:rsid w:val="006070BF"/>
    <w:rsid w:val="006070D0"/>
    <w:rsid w:val="0060728D"/>
    <w:rsid w:val="00607325"/>
    <w:rsid w:val="0060736C"/>
    <w:rsid w:val="00607481"/>
    <w:rsid w:val="006075A8"/>
    <w:rsid w:val="00607722"/>
    <w:rsid w:val="006077EF"/>
    <w:rsid w:val="00607988"/>
    <w:rsid w:val="00607A0C"/>
    <w:rsid w:val="00607A70"/>
    <w:rsid w:val="00607AF5"/>
    <w:rsid w:val="00607B12"/>
    <w:rsid w:val="00607C69"/>
    <w:rsid w:val="00607C8F"/>
    <w:rsid w:val="00607D85"/>
    <w:rsid w:val="00607DC0"/>
    <w:rsid w:val="00607DD0"/>
    <w:rsid w:val="00607E80"/>
    <w:rsid w:val="00607F92"/>
    <w:rsid w:val="00610055"/>
    <w:rsid w:val="006100A4"/>
    <w:rsid w:val="006100D1"/>
    <w:rsid w:val="00610285"/>
    <w:rsid w:val="006102FC"/>
    <w:rsid w:val="00610311"/>
    <w:rsid w:val="00610329"/>
    <w:rsid w:val="006103BF"/>
    <w:rsid w:val="006103D2"/>
    <w:rsid w:val="0061044E"/>
    <w:rsid w:val="00610622"/>
    <w:rsid w:val="00610678"/>
    <w:rsid w:val="00610681"/>
    <w:rsid w:val="00610684"/>
    <w:rsid w:val="006106E1"/>
    <w:rsid w:val="00610887"/>
    <w:rsid w:val="006108B9"/>
    <w:rsid w:val="006109F0"/>
    <w:rsid w:val="00610B0D"/>
    <w:rsid w:val="00610B3A"/>
    <w:rsid w:val="00610C15"/>
    <w:rsid w:val="00610C81"/>
    <w:rsid w:val="00610CAF"/>
    <w:rsid w:val="00610EBF"/>
    <w:rsid w:val="00610EC4"/>
    <w:rsid w:val="00610FF1"/>
    <w:rsid w:val="0061100E"/>
    <w:rsid w:val="0061102C"/>
    <w:rsid w:val="00611131"/>
    <w:rsid w:val="00611134"/>
    <w:rsid w:val="006111CF"/>
    <w:rsid w:val="00611522"/>
    <w:rsid w:val="006115B4"/>
    <w:rsid w:val="00611621"/>
    <w:rsid w:val="00611623"/>
    <w:rsid w:val="00611671"/>
    <w:rsid w:val="00611685"/>
    <w:rsid w:val="0061169D"/>
    <w:rsid w:val="00611738"/>
    <w:rsid w:val="00611769"/>
    <w:rsid w:val="00611779"/>
    <w:rsid w:val="00611931"/>
    <w:rsid w:val="006119A4"/>
    <w:rsid w:val="00611A0C"/>
    <w:rsid w:val="00611A14"/>
    <w:rsid w:val="00611A1C"/>
    <w:rsid w:val="00611A63"/>
    <w:rsid w:val="00611B2F"/>
    <w:rsid w:val="00611C05"/>
    <w:rsid w:val="00611C93"/>
    <w:rsid w:val="00611CEF"/>
    <w:rsid w:val="00611DBB"/>
    <w:rsid w:val="00611E1F"/>
    <w:rsid w:val="00611E68"/>
    <w:rsid w:val="00611ED2"/>
    <w:rsid w:val="00611FF2"/>
    <w:rsid w:val="00612082"/>
    <w:rsid w:val="006120B6"/>
    <w:rsid w:val="006120BA"/>
    <w:rsid w:val="006121BD"/>
    <w:rsid w:val="006121F2"/>
    <w:rsid w:val="0061221D"/>
    <w:rsid w:val="0061229A"/>
    <w:rsid w:val="006122C6"/>
    <w:rsid w:val="00612300"/>
    <w:rsid w:val="00612428"/>
    <w:rsid w:val="006124A6"/>
    <w:rsid w:val="00612653"/>
    <w:rsid w:val="0061269D"/>
    <w:rsid w:val="0061270E"/>
    <w:rsid w:val="0061270F"/>
    <w:rsid w:val="00612721"/>
    <w:rsid w:val="0061279B"/>
    <w:rsid w:val="006127F1"/>
    <w:rsid w:val="00612868"/>
    <w:rsid w:val="00612882"/>
    <w:rsid w:val="0061291B"/>
    <w:rsid w:val="00612942"/>
    <w:rsid w:val="006129E0"/>
    <w:rsid w:val="00612B10"/>
    <w:rsid w:val="00612CB5"/>
    <w:rsid w:val="00612D4F"/>
    <w:rsid w:val="00612D82"/>
    <w:rsid w:val="00612E2E"/>
    <w:rsid w:val="00612E3A"/>
    <w:rsid w:val="00612E3F"/>
    <w:rsid w:val="00612E95"/>
    <w:rsid w:val="00612EBE"/>
    <w:rsid w:val="00612EE0"/>
    <w:rsid w:val="00612FBB"/>
    <w:rsid w:val="006130E4"/>
    <w:rsid w:val="0061311D"/>
    <w:rsid w:val="006132B5"/>
    <w:rsid w:val="006133DF"/>
    <w:rsid w:val="00613413"/>
    <w:rsid w:val="0061342F"/>
    <w:rsid w:val="0061347C"/>
    <w:rsid w:val="00613489"/>
    <w:rsid w:val="006134AA"/>
    <w:rsid w:val="00613616"/>
    <w:rsid w:val="00613647"/>
    <w:rsid w:val="0061381A"/>
    <w:rsid w:val="00613A0F"/>
    <w:rsid w:val="00613A46"/>
    <w:rsid w:val="00613A55"/>
    <w:rsid w:val="00613A5B"/>
    <w:rsid w:val="00613AAB"/>
    <w:rsid w:val="00613AB0"/>
    <w:rsid w:val="00613ADA"/>
    <w:rsid w:val="00613AF4"/>
    <w:rsid w:val="00613BCF"/>
    <w:rsid w:val="00613D0E"/>
    <w:rsid w:val="00613D18"/>
    <w:rsid w:val="00613D85"/>
    <w:rsid w:val="00613D8A"/>
    <w:rsid w:val="00613E48"/>
    <w:rsid w:val="00613EDE"/>
    <w:rsid w:val="00613F98"/>
    <w:rsid w:val="00613FBB"/>
    <w:rsid w:val="00614023"/>
    <w:rsid w:val="00614148"/>
    <w:rsid w:val="006141B6"/>
    <w:rsid w:val="00614267"/>
    <w:rsid w:val="006142B9"/>
    <w:rsid w:val="0061435D"/>
    <w:rsid w:val="00614364"/>
    <w:rsid w:val="00614368"/>
    <w:rsid w:val="006143E5"/>
    <w:rsid w:val="006144B9"/>
    <w:rsid w:val="00614531"/>
    <w:rsid w:val="0061454A"/>
    <w:rsid w:val="006145F2"/>
    <w:rsid w:val="00614679"/>
    <w:rsid w:val="006146BD"/>
    <w:rsid w:val="0061471D"/>
    <w:rsid w:val="006147B0"/>
    <w:rsid w:val="006147DA"/>
    <w:rsid w:val="00614AFE"/>
    <w:rsid w:val="00614BC0"/>
    <w:rsid w:val="00614C58"/>
    <w:rsid w:val="00614D4B"/>
    <w:rsid w:val="00614DC3"/>
    <w:rsid w:val="00614E75"/>
    <w:rsid w:val="00614E9F"/>
    <w:rsid w:val="00614EAB"/>
    <w:rsid w:val="00614ECE"/>
    <w:rsid w:val="00614EDB"/>
    <w:rsid w:val="00614EF9"/>
    <w:rsid w:val="00614F39"/>
    <w:rsid w:val="00614F50"/>
    <w:rsid w:val="00614F63"/>
    <w:rsid w:val="00614FBE"/>
    <w:rsid w:val="00615038"/>
    <w:rsid w:val="0061505E"/>
    <w:rsid w:val="006150A1"/>
    <w:rsid w:val="006151AD"/>
    <w:rsid w:val="00615463"/>
    <w:rsid w:val="0061546A"/>
    <w:rsid w:val="006154F1"/>
    <w:rsid w:val="0061550E"/>
    <w:rsid w:val="0061565E"/>
    <w:rsid w:val="00615730"/>
    <w:rsid w:val="006159FB"/>
    <w:rsid w:val="00615A1B"/>
    <w:rsid w:val="00615BD9"/>
    <w:rsid w:val="00615CFE"/>
    <w:rsid w:val="00615E96"/>
    <w:rsid w:val="00615ED7"/>
    <w:rsid w:val="00615FC9"/>
    <w:rsid w:val="00615FCC"/>
    <w:rsid w:val="00615FF7"/>
    <w:rsid w:val="00616026"/>
    <w:rsid w:val="00616047"/>
    <w:rsid w:val="00616170"/>
    <w:rsid w:val="006161F3"/>
    <w:rsid w:val="006161FC"/>
    <w:rsid w:val="00616373"/>
    <w:rsid w:val="00616530"/>
    <w:rsid w:val="0061654B"/>
    <w:rsid w:val="0061655C"/>
    <w:rsid w:val="0061655F"/>
    <w:rsid w:val="006165C4"/>
    <w:rsid w:val="00616603"/>
    <w:rsid w:val="00616748"/>
    <w:rsid w:val="006168BD"/>
    <w:rsid w:val="00616AF6"/>
    <w:rsid w:val="00616BCC"/>
    <w:rsid w:val="00616C66"/>
    <w:rsid w:val="00616C70"/>
    <w:rsid w:val="00616CFF"/>
    <w:rsid w:val="00616D63"/>
    <w:rsid w:val="00616D65"/>
    <w:rsid w:val="00616EC7"/>
    <w:rsid w:val="00616F7A"/>
    <w:rsid w:val="00616FE2"/>
    <w:rsid w:val="006170EA"/>
    <w:rsid w:val="006171D7"/>
    <w:rsid w:val="00617246"/>
    <w:rsid w:val="00617255"/>
    <w:rsid w:val="006172E5"/>
    <w:rsid w:val="00617331"/>
    <w:rsid w:val="0061742E"/>
    <w:rsid w:val="0061743C"/>
    <w:rsid w:val="006175E3"/>
    <w:rsid w:val="00617633"/>
    <w:rsid w:val="006177FA"/>
    <w:rsid w:val="00617915"/>
    <w:rsid w:val="00617B23"/>
    <w:rsid w:val="00617B29"/>
    <w:rsid w:val="00617B75"/>
    <w:rsid w:val="00617C3A"/>
    <w:rsid w:val="00617CB0"/>
    <w:rsid w:val="00617CF2"/>
    <w:rsid w:val="00617FE7"/>
    <w:rsid w:val="0062007F"/>
    <w:rsid w:val="00620155"/>
    <w:rsid w:val="0062024D"/>
    <w:rsid w:val="0062037E"/>
    <w:rsid w:val="00620524"/>
    <w:rsid w:val="00620535"/>
    <w:rsid w:val="0062058C"/>
    <w:rsid w:val="00620770"/>
    <w:rsid w:val="00620771"/>
    <w:rsid w:val="0062085F"/>
    <w:rsid w:val="0062094A"/>
    <w:rsid w:val="00620A2C"/>
    <w:rsid w:val="00620B31"/>
    <w:rsid w:val="00620CD5"/>
    <w:rsid w:val="00620E80"/>
    <w:rsid w:val="00620EBE"/>
    <w:rsid w:val="00620F86"/>
    <w:rsid w:val="0062102C"/>
    <w:rsid w:val="00621198"/>
    <w:rsid w:val="00621280"/>
    <w:rsid w:val="006213AD"/>
    <w:rsid w:val="006215B8"/>
    <w:rsid w:val="006215ED"/>
    <w:rsid w:val="0062162B"/>
    <w:rsid w:val="0062167E"/>
    <w:rsid w:val="00621921"/>
    <w:rsid w:val="0062193F"/>
    <w:rsid w:val="00621AC7"/>
    <w:rsid w:val="00621AF5"/>
    <w:rsid w:val="00621D07"/>
    <w:rsid w:val="00621D78"/>
    <w:rsid w:val="00621DC0"/>
    <w:rsid w:val="00621E5E"/>
    <w:rsid w:val="00621E70"/>
    <w:rsid w:val="00621E91"/>
    <w:rsid w:val="00621EBC"/>
    <w:rsid w:val="00621EC5"/>
    <w:rsid w:val="00621FE3"/>
    <w:rsid w:val="00621FFC"/>
    <w:rsid w:val="00622090"/>
    <w:rsid w:val="0062210B"/>
    <w:rsid w:val="00622140"/>
    <w:rsid w:val="00622151"/>
    <w:rsid w:val="006221E5"/>
    <w:rsid w:val="006221FD"/>
    <w:rsid w:val="0062224D"/>
    <w:rsid w:val="006224C5"/>
    <w:rsid w:val="006224DC"/>
    <w:rsid w:val="00622509"/>
    <w:rsid w:val="00622522"/>
    <w:rsid w:val="0062258D"/>
    <w:rsid w:val="0062262C"/>
    <w:rsid w:val="0062262E"/>
    <w:rsid w:val="00622883"/>
    <w:rsid w:val="0062292F"/>
    <w:rsid w:val="006229D2"/>
    <w:rsid w:val="00622A23"/>
    <w:rsid w:val="00622C3E"/>
    <w:rsid w:val="00622C71"/>
    <w:rsid w:val="00622CB6"/>
    <w:rsid w:val="0062307E"/>
    <w:rsid w:val="006230D8"/>
    <w:rsid w:val="006230D9"/>
    <w:rsid w:val="0062317D"/>
    <w:rsid w:val="006232B5"/>
    <w:rsid w:val="00623587"/>
    <w:rsid w:val="006235CC"/>
    <w:rsid w:val="006235FA"/>
    <w:rsid w:val="0062366D"/>
    <w:rsid w:val="006236CF"/>
    <w:rsid w:val="006236F7"/>
    <w:rsid w:val="00623799"/>
    <w:rsid w:val="0062379C"/>
    <w:rsid w:val="006239CE"/>
    <w:rsid w:val="006239D1"/>
    <w:rsid w:val="006239D9"/>
    <w:rsid w:val="00623AA5"/>
    <w:rsid w:val="00623AFC"/>
    <w:rsid w:val="00623B10"/>
    <w:rsid w:val="00623B6C"/>
    <w:rsid w:val="00623BF5"/>
    <w:rsid w:val="00623CCA"/>
    <w:rsid w:val="00623D90"/>
    <w:rsid w:val="00623FF2"/>
    <w:rsid w:val="0062401F"/>
    <w:rsid w:val="006240CB"/>
    <w:rsid w:val="006240EB"/>
    <w:rsid w:val="00624140"/>
    <w:rsid w:val="0062419B"/>
    <w:rsid w:val="0062422C"/>
    <w:rsid w:val="0062426C"/>
    <w:rsid w:val="00624359"/>
    <w:rsid w:val="006243F1"/>
    <w:rsid w:val="006243FB"/>
    <w:rsid w:val="0062454E"/>
    <w:rsid w:val="006245DE"/>
    <w:rsid w:val="006245F7"/>
    <w:rsid w:val="0062465A"/>
    <w:rsid w:val="00624673"/>
    <w:rsid w:val="00624766"/>
    <w:rsid w:val="0062492C"/>
    <w:rsid w:val="006249E4"/>
    <w:rsid w:val="006249ED"/>
    <w:rsid w:val="00624A37"/>
    <w:rsid w:val="00624A44"/>
    <w:rsid w:val="00624B70"/>
    <w:rsid w:val="00624D2A"/>
    <w:rsid w:val="00624E74"/>
    <w:rsid w:val="00624E83"/>
    <w:rsid w:val="00624EA3"/>
    <w:rsid w:val="00624EB4"/>
    <w:rsid w:val="00624F1D"/>
    <w:rsid w:val="00625251"/>
    <w:rsid w:val="006252B7"/>
    <w:rsid w:val="00625393"/>
    <w:rsid w:val="00625436"/>
    <w:rsid w:val="00625438"/>
    <w:rsid w:val="0062554D"/>
    <w:rsid w:val="00625563"/>
    <w:rsid w:val="006255DE"/>
    <w:rsid w:val="00625639"/>
    <w:rsid w:val="00625779"/>
    <w:rsid w:val="006257A8"/>
    <w:rsid w:val="006257CB"/>
    <w:rsid w:val="006257D7"/>
    <w:rsid w:val="00625884"/>
    <w:rsid w:val="00625890"/>
    <w:rsid w:val="006258EF"/>
    <w:rsid w:val="0062594D"/>
    <w:rsid w:val="00625AEC"/>
    <w:rsid w:val="00625B66"/>
    <w:rsid w:val="00625B6C"/>
    <w:rsid w:val="00625C03"/>
    <w:rsid w:val="00625C0F"/>
    <w:rsid w:val="00625C2B"/>
    <w:rsid w:val="00625D1B"/>
    <w:rsid w:val="00625DD3"/>
    <w:rsid w:val="00625DED"/>
    <w:rsid w:val="00625E4F"/>
    <w:rsid w:val="00625E9C"/>
    <w:rsid w:val="0062600A"/>
    <w:rsid w:val="0062606F"/>
    <w:rsid w:val="0062612A"/>
    <w:rsid w:val="006261BC"/>
    <w:rsid w:val="00626349"/>
    <w:rsid w:val="006263FE"/>
    <w:rsid w:val="00626593"/>
    <w:rsid w:val="0062665B"/>
    <w:rsid w:val="00626726"/>
    <w:rsid w:val="0062677D"/>
    <w:rsid w:val="006268EB"/>
    <w:rsid w:val="0062696F"/>
    <w:rsid w:val="006269BF"/>
    <w:rsid w:val="00626B87"/>
    <w:rsid w:val="00626D28"/>
    <w:rsid w:val="00626E50"/>
    <w:rsid w:val="00626EAD"/>
    <w:rsid w:val="00626EBE"/>
    <w:rsid w:val="00626F7B"/>
    <w:rsid w:val="00626F9F"/>
    <w:rsid w:val="00627355"/>
    <w:rsid w:val="00627388"/>
    <w:rsid w:val="00627401"/>
    <w:rsid w:val="00627443"/>
    <w:rsid w:val="00627544"/>
    <w:rsid w:val="006275AA"/>
    <w:rsid w:val="006276A1"/>
    <w:rsid w:val="00627786"/>
    <w:rsid w:val="00627A00"/>
    <w:rsid w:val="00627A2F"/>
    <w:rsid w:val="00627A5F"/>
    <w:rsid w:val="00627B40"/>
    <w:rsid w:val="00627B6A"/>
    <w:rsid w:val="00627BC6"/>
    <w:rsid w:val="00627C22"/>
    <w:rsid w:val="00627CD1"/>
    <w:rsid w:val="00627CF4"/>
    <w:rsid w:val="00627CF9"/>
    <w:rsid w:val="00627DD4"/>
    <w:rsid w:val="00627E3A"/>
    <w:rsid w:val="00627F5E"/>
    <w:rsid w:val="00627F94"/>
    <w:rsid w:val="00627FCC"/>
    <w:rsid w:val="00627FCD"/>
    <w:rsid w:val="00630046"/>
    <w:rsid w:val="00630047"/>
    <w:rsid w:val="00630067"/>
    <w:rsid w:val="00630175"/>
    <w:rsid w:val="00630187"/>
    <w:rsid w:val="0063033A"/>
    <w:rsid w:val="00630352"/>
    <w:rsid w:val="0063037A"/>
    <w:rsid w:val="00630566"/>
    <w:rsid w:val="006305CB"/>
    <w:rsid w:val="00630603"/>
    <w:rsid w:val="0063061A"/>
    <w:rsid w:val="00630857"/>
    <w:rsid w:val="0063094D"/>
    <w:rsid w:val="006309B4"/>
    <w:rsid w:val="00630A16"/>
    <w:rsid w:val="00630B65"/>
    <w:rsid w:val="00630C0F"/>
    <w:rsid w:val="00630C7F"/>
    <w:rsid w:val="00630CC2"/>
    <w:rsid w:val="00630D18"/>
    <w:rsid w:val="00630EF9"/>
    <w:rsid w:val="0063106F"/>
    <w:rsid w:val="0063108D"/>
    <w:rsid w:val="0063114D"/>
    <w:rsid w:val="0063116E"/>
    <w:rsid w:val="006311B4"/>
    <w:rsid w:val="006311BC"/>
    <w:rsid w:val="006311C3"/>
    <w:rsid w:val="00631354"/>
    <w:rsid w:val="00631356"/>
    <w:rsid w:val="0063145B"/>
    <w:rsid w:val="006315D9"/>
    <w:rsid w:val="0063160F"/>
    <w:rsid w:val="006316CF"/>
    <w:rsid w:val="00631725"/>
    <w:rsid w:val="006318E3"/>
    <w:rsid w:val="00631920"/>
    <w:rsid w:val="00631951"/>
    <w:rsid w:val="00631A9C"/>
    <w:rsid w:val="00631B22"/>
    <w:rsid w:val="00631B30"/>
    <w:rsid w:val="00631B4C"/>
    <w:rsid w:val="00631BC0"/>
    <w:rsid w:val="00631BE4"/>
    <w:rsid w:val="00631C1E"/>
    <w:rsid w:val="00631CF1"/>
    <w:rsid w:val="00631DCF"/>
    <w:rsid w:val="00631FE5"/>
    <w:rsid w:val="00632226"/>
    <w:rsid w:val="0063225F"/>
    <w:rsid w:val="0063227B"/>
    <w:rsid w:val="006323A5"/>
    <w:rsid w:val="006323D0"/>
    <w:rsid w:val="006323EC"/>
    <w:rsid w:val="0063240E"/>
    <w:rsid w:val="0063244B"/>
    <w:rsid w:val="00632572"/>
    <w:rsid w:val="006325B7"/>
    <w:rsid w:val="006325BE"/>
    <w:rsid w:val="006326DB"/>
    <w:rsid w:val="006327AC"/>
    <w:rsid w:val="006327C2"/>
    <w:rsid w:val="00632BC4"/>
    <w:rsid w:val="00632D18"/>
    <w:rsid w:val="00632F5E"/>
    <w:rsid w:val="00632FC1"/>
    <w:rsid w:val="006330AD"/>
    <w:rsid w:val="006334AB"/>
    <w:rsid w:val="0063360A"/>
    <w:rsid w:val="006336F9"/>
    <w:rsid w:val="006337C4"/>
    <w:rsid w:val="006337F9"/>
    <w:rsid w:val="0063380B"/>
    <w:rsid w:val="006338C8"/>
    <w:rsid w:val="0063390C"/>
    <w:rsid w:val="0063397C"/>
    <w:rsid w:val="00633A47"/>
    <w:rsid w:val="00633AF3"/>
    <w:rsid w:val="00633BB0"/>
    <w:rsid w:val="00633DE4"/>
    <w:rsid w:val="00633F96"/>
    <w:rsid w:val="00634028"/>
    <w:rsid w:val="00634241"/>
    <w:rsid w:val="00634266"/>
    <w:rsid w:val="00634274"/>
    <w:rsid w:val="006343A2"/>
    <w:rsid w:val="0063444C"/>
    <w:rsid w:val="006344BA"/>
    <w:rsid w:val="00634555"/>
    <w:rsid w:val="006346BE"/>
    <w:rsid w:val="006346E9"/>
    <w:rsid w:val="0063477A"/>
    <w:rsid w:val="00634809"/>
    <w:rsid w:val="00634869"/>
    <w:rsid w:val="0063486E"/>
    <w:rsid w:val="00634885"/>
    <w:rsid w:val="006348DC"/>
    <w:rsid w:val="00634A1D"/>
    <w:rsid w:val="00634AC8"/>
    <w:rsid w:val="00634BCB"/>
    <w:rsid w:val="00634C4F"/>
    <w:rsid w:val="00634C79"/>
    <w:rsid w:val="00634CE5"/>
    <w:rsid w:val="00634D61"/>
    <w:rsid w:val="00634D70"/>
    <w:rsid w:val="00634E0A"/>
    <w:rsid w:val="00634E22"/>
    <w:rsid w:val="00634FB3"/>
    <w:rsid w:val="006350B1"/>
    <w:rsid w:val="00635160"/>
    <w:rsid w:val="00635272"/>
    <w:rsid w:val="00635409"/>
    <w:rsid w:val="0063546A"/>
    <w:rsid w:val="0063566C"/>
    <w:rsid w:val="006356A0"/>
    <w:rsid w:val="00635740"/>
    <w:rsid w:val="006357F5"/>
    <w:rsid w:val="00635893"/>
    <w:rsid w:val="00635A22"/>
    <w:rsid w:val="00635BB8"/>
    <w:rsid w:val="00635BBA"/>
    <w:rsid w:val="00635C39"/>
    <w:rsid w:val="00635CB0"/>
    <w:rsid w:val="00635D08"/>
    <w:rsid w:val="00635D89"/>
    <w:rsid w:val="00635DFA"/>
    <w:rsid w:val="00635F43"/>
    <w:rsid w:val="00635F69"/>
    <w:rsid w:val="00636040"/>
    <w:rsid w:val="00636108"/>
    <w:rsid w:val="00636163"/>
    <w:rsid w:val="006362E6"/>
    <w:rsid w:val="006362EA"/>
    <w:rsid w:val="00636328"/>
    <w:rsid w:val="006363C0"/>
    <w:rsid w:val="00636481"/>
    <w:rsid w:val="006367A8"/>
    <w:rsid w:val="006368BB"/>
    <w:rsid w:val="00636ABA"/>
    <w:rsid w:val="00636B7E"/>
    <w:rsid w:val="00636B97"/>
    <w:rsid w:val="00636CF4"/>
    <w:rsid w:val="00636D08"/>
    <w:rsid w:val="00636DED"/>
    <w:rsid w:val="00636E31"/>
    <w:rsid w:val="00636F0D"/>
    <w:rsid w:val="00636F81"/>
    <w:rsid w:val="00637012"/>
    <w:rsid w:val="0063704F"/>
    <w:rsid w:val="006370B4"/>
    <w:rsid w:val="006370ED"/>
    <w:rsid w:val="00637450"/>
    <w:rsid w:val="00637466"/>
    <w:rsid w:val="0063747F"/>
    <w:rsid w:val="0063748A"/>
    <w:rsid w:val="00637522"/>
    <w:rsid w:val="00637598"/>
    <w:rsid w:val="0063761A"/>
    <w:rsid w:val="0063775C"/>
    <w:rsid w:val="006377D3"/>
    <w:rsid w:val="00637830"/>
    <w:rsid w:val="00637848"/>
    <w:rsid w:val="0063794E"/>
    <w:rsid w:val="00637B98"/>
    <w:rsid w:val="00637BB1"/>
    <w:rsid w:val="00637CF0"/>
    <w:rsid w:val="00637E3F"/>
    <w:rsid w:val="00637E4F"/>
    <w:rsid w:val="00637F2D"/>
    <w:rsid w:val="00637F8F"/>
    <w:rsid w:val="0064018D"/>
    <w:rsid w:val="0064030D"/>
    <w:rsid w:val="00640369"/>
    <w:rsid w:val="006403B4"/>
    <w:rsid w:val="006405E1"/>
    <w:rsid w:val="00640841"/>
    <w:rsid w:val="006408E7"/>
    <w:rsid w:val="00640976"/>
    <w:rsid w:val="006409CF"/>
    <w:rsid w:val="006409E4"/>
    <w:rsid w:val="00640A0D"/>
    <w:rsid w:val="00640A51"/>
    <w:rsid w:val="00640ABB"/>
    <w:rsid w:val="00640B47"/>
    <w:rsid w:val="00640C3D"/>
    <w:rsid w:val="00640C51"/>
    <w:rsid w:val="00640C5B"/>
    <w:rsid w:val="00640CD6"/>
    <w:rsid w:val="00640D2E"/>
    <w:rsid w:val="00640D77"/>
    <w:rsid w:val="00640DD1"/>
    <w:rsid w:val="00640E94"/>
    <w:rsid w:val="00640ED9"/>
    <w:rsid w:val="00640F96"/>
    <w:rsid w:val="0064132A"/>
    <w:rsid w:val="00641395"/>
    <w:rsid w:val="006413E3"/>
    <w:rsid w:val="006413E9"/>
    <w:rsid w:val="0064142F"/>
    <w:rsid w:val="0064148F"/>
    <w:rsid w:val="006414CF"/>
    <w:rsid w:val="00641627"/>
    <w:rsid w:val="0064164B"/>
    <w:rsid w:val="00641655"/>
    <w:rsid w:val="006416EA"/>
    <w:rsid w:val="00641738"/>
    <w:rsid w:val="00641790"/>
    <w:rsid w:val="006419D1"/>
    <w:rsid w:val="006419E0"/>
    <w:rsid w:val="00641A4E"/>
    <w:rsid w:val="00641B73"/>
    <w:rsid w:val="00641BBD"/>
    <w:rsid w:val="00641C91"/>
    <w:rsid w:val="00641FAF"/>
    <w:rsid w:val="006420B1"/>
    <w:rsid w:val="0064211D"/>
    <w:rsid w:val="0064225A"/>
    <w:rsid w:val="00642351"/>
    <w:rsid w:val="006424B7"/>
    <w:rsid w:val="00642529"/>
    <w:rsid w:val="00642535"/>
    <w:rsid w:val="00642737"/>
    <w:rsid w:val="006427BF"/>
    <w:rsid w:val="006428F9"/>
    <w:rsid w:val="00642991"/>
    <w:rsid w:val="006429A0"/>
    <w:rsid w:val="00642A89"/>
    <w:rsid w:val="00642AF8"/>
    <w:rsid w:val="00642B35"/>
    <w:rsid w:val="00642B50"/>
    <w:rsid w:val="00642CA0"/>
    <w:rsid w:val="00642D72"/>
    <w:rsid w:val="00642DBA"/>
    <w:rsid w:val="00642E51"/>
    <w:rsid w:val="00642EB4"/>
    <w:rsid w:val="00642EBD"/>
    <w:rsid w:val="00642F04"/>
    <w:rsid w:val="00642F46"/>
    <w:rsid w:val="00642FC7"/>
    <w:rsid w:val="00642FCC"/>
    <w:rsid w:val="00642FDD"/>
    <w:rsid w:val="00643065"/>
    <w:rsid w:val="00643215"/>
    <w:rsid w:val="0064323D"/>
    <w:rsid w:val="0064329C"/>
    <w:rsid w:val="006433CD"/>
    <w:rsid w:val="00643404"/>
    <w:rsid w:val="0064359A"/>
    <w:rsid w:val="006435C3"/>
    <w:rsid w:val="006435EC"/>
    <w:rsid w:val="00643620"/>
    <w:rsid w:val="00643665"/>
    <w:rsid w:val="00643695"/>
    <w:rsid w:val="00643751"/>
    <w:rsid w:val="0064394F"/>
    <w:rsid w:val="00643A8D"/>
    <w:rsid w:val="00643C37"/>
    <w:rsid w:val="00643C93"/>
    <w:rsid w:val="00643D6F"/>
    <w:rsid w:val="00643DD5"/>
    <w:rsid w:val="00643EF9"/>
    <w:rsid w:val="00643F24"/>
    <w:rsid w:val="00643FF3"/>
    <w:rsid w:val="00644056"/>
    <w:rsid w:val="0064414F"/>
    <w:rsid w:val="00644192"/>
    <w:rsid w:val="006441E0"/>
    <w:rsid w:val="00644226"/>
    <w:rsid w:val="00644380"/>
    <w:rsid w:val="006443B3"/>
    <w:rsid w:val="00644420"/>
    <w:rsid w:val="0064451F"/>
    <w:rsid w:val="006445B8"/>
    <w:rsid w:val="006445F6"/>
    <w:rsid w:val="006446E0"/>
    <w:rsid w:val="006446FA"/>
    <w:rsid w:val="0064476C"/>
    <w:rsid w:val="006447C4"/>
    <w:rsid w:val="006447C9"/>
    <w:rsid w:val="00644852"/>
    <w:rsid w:val="00644902"/>
    <w:rsid w:val="00644930"/>
    <w:rsid w:val="006449D8"/>
    <w:rsid w:val="00644A2F"/>
    <w:rsid w:val="00644B66"/>
    <w:rsid w:val="00644C48"/>
    <w:rsid w:val="00644C96"/>
    <w:rsid w:val="00644DAF"/>
    <w:rsid w:val="00644E4C"/>
    <w:rsid w:val="00644E55"/>
    <w:rsid w:val="00644F50"/>
    <w:rsid w:val="00644F9B"/>
    <w:rsid w:val="00645000"/>
    <w:rsid w:val="006450E5"/>
    <w:rsid w:val="0064517B"/>
    <w:rsid w:val="006451B2"/>
    <w:rsid w:val="0064524C"/>
    <w:rsid w:val="00645260"/>
    <w:rsid w:val="006452DB"/>
    <w:rsid w:val="0064530B"/>
    <w:rsid w:val="00645326"/>
    <w:rsid w:val="00645379"/>
    <w:rsid w:val="0064539D"/>
    <w:rsid w:val="00645413"/>
    <w:rsid w:val="00645449"/>
    <w:rsid w:val="006454B3"/>
    <w:rsid w:val="0064556F"/>
    <w:rsid w:val="006455A4"/>
    <w:rsid w:val="006456EA"/>
    <w:rsid w:val="00645741"/>
    <w:rsid w:val="006457A9"/>
    <w:rsid w:val="006457E3"/>
    <w:rsid w:val="006457E7"/>
    <w:rsid w:val="006458CC"/>
    <w:rsid w:val="00645A49"/>
    <w:rsid w:val="00645A7B"/>
    <w:rsid w:val="00645AD1"/>
    <w:rsid w:val="00645B48"/>
    <w:rsid w:val="00645C38"/>
    <w:rsid w:val="00645E18"/>
    <w:rsid w:val="00646013"/>
    <w:rsid w:val="00646128"/>
    <w:rsid w:val="00646183"/>
    <w:rsid w:val="006461A7"/>
    <w:rsid w:val="006461E4"/>
    <w:rsid w:val="00646281"/>
    <w:rsid w:val="006464E7"/>
    <w:rsid w:val="0064653A"/>
    <w:rsid w:val="00646677"/>
    <w:rsid w:val="00646719"/>
    <w:rsid w:val="0064677E"/>
    <w:rsid w:val="006467B3"/>
    <w:rsid w:val="0064689D"/>
    <w:rsid w:val="006468E1"/>
    <w:rsid w:val="00646957"/>
    <w:rsid w:val="00646A21"/>
    <w:rsid w:val="00646A33"/>
    <w:rsid w:val="00646A42"/>
    <w:rsid w:val="00646B56"/>
    <w:rsid w:val="00646BC6"/>
    <w:rsid w:val="00646C1A"/>
    <w:rsid w:val="00646C34"/>
    <w:rsid w:val="00646D87"/>
    <w:rsid w:val="006470B4"/>
    <w:rsid w:val="006470C4"/>
    <w:rsid w:val="006471F3"/>
    <w:rsid w:val="0064725C"/>
    <w:rsid w:val="00647277"/>
    <w:rsid w:val="006473E3"/>
    <w:rsid w:val="0064740D"/>
    <w:rsid w:val="00647467"/>
    <w:rsid w:val="006474A7"/>
    <w:rsid w:val="00647691"/>
    <w:rsid w:val="0064769C"/>
    <w:rsid w:val="00647703"/>
    <w:rsid w:val="00647722"/>
    <w:rsid w:val="00647823"/>
    <w:rsid w:val="00647B2F"/>
    <w:rsid w:val="00647B76"/>
    <w:rsid w:val="00647C17"/>
    <w:rsid w:val="00647C77"/>
    <w:rsid w:val="00647C8F"/>
    <w:rsid w:val="00647D31"/>
    <w:rsid w:val="00647DA7"/>
    <w:rsid w:val="00647DF1"/>
    <w:rsid w:val="00647F05"/>
    <w:rsid w:val="00647F06"/>
    <w:rsid w:val="00647F26"/>
    <w:rsid w:val="00650015"/>
    <w:rsid w:val="0065008E"/>
    <w:rsid w:val="006500B7"/>
    <w:rsid w:val="006500D4"/>
    <w:rsid w:val="00650103"/>
    <w:rsid w:val="006503B5"/>
    <w:rsid w:val="00650490"/>
    <w:rsid w:val="0065060D"/>
    <w:rsid w:val="00650688"/>
    <w:rsid w:val="00650742"/>
    <w:rsid w:val="00650789"/>
    <w:rsid w:val="006507A0"/>
    <w:rsid w:val="006507AB"/>
    <w:rsid w:val="00650836"/>
    <w:rsid w:val="0065086B"/>
    <w:rsid w:val="006508BB"/>
    <w:rsid w:val="0065091D"/>
    <w:rsid w:val="00650921"/>
    <w:rsid w:val="0065099F"/>
    <w:rsid w:val="006509FE"/>
    <w:rsid w:val="00650A1A"/>
    <w:rsid w:val="00650B10"/>
    <w:rsid w:val="00650E40"/>
    <w:rsid w:val="00650E42"/>
    <w:rsid w:val="00650F61"/>
    <w:rsid w:val="00650F64"/>
    <w:rsid w:val="00650FD7"/>
    <w:rsid w:val="00651015"/>
    <w:rsid w:val="006510F3"/>
    <w:rsid w:val="00651322"/>
    <w:rsid w:val="00651324"/>
    <w:rsid w:val="00651384"/>
    <w:rsid w:val="00651388"/>
    <w:rsid w:val="006513FA"/>
    <w:rsid w:val="006514C2"/>
    <w:rsid w:val="00651503"/>
    <w:rsid w:val="00651563"/>
    <w:rsid w:val="0065178E"/>
    <w:rsid w:val="0065181D"/>
    <w:rsid w:val="00651974"/>
    <w:rsid w:val="0065198B"/>
    <w:rsid w:val="006519B0"/>
    <w:rsid w:val="006519E5"/>
    <w:rsid w:val="00651B65"/>
    <w:rsid w:val="00651C5C"/>
    <w:rsid w:val="00651CF0"/>
    <w:rsid w:val="00651CF5"/>
    <w:rsid w:val="00651DB2"/>
    <w:rsid w:val="00651EAF"/>
    <w:rsid w:val="00651EEC"/>
    <w:rsid w:val="00652018"/>
    <w:rsid w:val="00652020"/>
    <w:rsid w:val="00652057"/>
    <w:rsid w:val="00652080"/>
    <w:rsid w:val="0065216A"/>
    <w:rsid w:val="006521DC"/>
    <w:rsid w:val="006521F5"/>
    <w:rsid w:val="00652211"/>
    <w:rsid w:val="0065223A"/>
    <w:rsid w:val="0065238D"/>
    <w:rsid w:val="00652465"/>
    <w:rsid w:val="00652579"/>
    <w:rsid w:val="006525E5"/>
    <w:rsid w:val="00652644"/>
    <w:rsid w:val="0065276E"/>
    <w:rsid w:val="00652854"/>
    <w:rsid w:val="0065285B"/>
    <w:rsid w:val="006528ED"/>
    <w:rsid w:val="00652941"/>
    <w:rsid w:val="00652A88"/>
    <w:rsid w:val="00652ADB"/>
    <w:rsid w:val="00652B80"/>
    <w:rsid w:val="00652C04"/>
    <w:rsid w:val="00652C0D"/>
    <w:rsid w:val="00652CC9"/>
    <w:rsid w:val="00652D8D"/>
    <w:rsid w:val="00652DE4"/>
    <w:rsid w:val="00652DF6"/>
    <w:rsid w:val="00652F0F"/>
    <w:rsid w:val="00653186"/>
    <w:rsid w:val="00653259"/>
    <w:rsid w:val="0065334E"/>
    <w:rsid w:val="00653587"/>
    <w:rsid w:val="006535A9"/>
    <w:rsid w:val="006536FC"/>
    <w:rsid w:val="00653867"/>
    <w:rsid w:val="006538E1"/>
    <w:rsid w:val="0065392E"/>
    <w:rsid w:val="00653AC9"/>
    <w:rsid w:val="00653B45"/>
    <w:rsid w:val="00653B9E"/>
    <w:rsid w:val="00653FA9"/>
    <w:rsid w:val="006541E6"/>
    <w:rsid w:val="00654218"/>
    <w:rsid w:val="0065422F"/>
    <w:rsid w:val="00654248"/>
    <w:rsid w:val="006542A7"/>
    <w:rsid w:val="006542AC"/>
    <w:rsid w:val="006542B2"/>
    <w:rsid w:val="006542B4"/>
    <w:rsid w:val="006544C3"/>
    <w:rsid w:val="00654663"/>
    <w:rsid w:val="006546B9"/>
    <w:rsid w:val="006546CD"/>
    <w:rsid w:val="00654845"/>
    <w:rsid w:val="00654A6A"/>
    <w:rsid w:val="00654B64"/>
    <w:rsid w:val="00654C04"/>
    <w:rsid w:val="00654C2A"/>
    <w:rsid w:val="00654DAC"/>
    <w:rsid w:val="00654DC8"/>
    <w:rsid w:val="00654E4B"/>
    <w:rsid w:val="00654EBD"/>
    <w:rsid w:val="006551AA"/>
    <w:rsid w:val="00655279"/>
    <w:rsid w:val="00655413"/>
    <w:rsid w:val="00655568"/>
    <w:rsid w:val="006555E8"/>
    <w:rsid w:val="00655858"/>
    <w:rsid w:val="00655875"/>
    <w:rsid w:val="0065591B"/>
    <w:rsid w:val="006559EB"/>
    <w:rsid w:val="00655A13"/>
    <w:rsid w:val="00655A20"/>
    <w:rsid w:val="00655A82"/>
    <w:rsid w:val="00655BAC"/>
    <w:rsid w:val="00655BD6"/>
    <w:rsid w:val="00655C77"/>
    <w:rsid w:val="00655D7B"/>
    <w:rsid w:val="00655D93"/>
    <w:rsid w:val="00655EC2"/>
    <w:rsid w:val="00655EFD"/>
    <w:rsid w:val="00655F21"/>
    <w:rsid w:val="006560EE"/>
    <w:rsid w:val="0065620A"/>
    <w:rsid w:val="0065621B"/>
    <w:rsid w:val="0065624D"/>
    <w:rsid w:val="00656265"/>
    <w:rsid w:val="00656320"/>
    <w:rsid w:val="00656388"/>
    <w:rsid w:val="006564FD"/>
    <w:rsid w:val="006565B6"/>
    <w:rsid w:val="00656654"/>
    <w:rsid w:val="006566F6"/>
    <w:rsid w:val="0065685C"/>
    <w:rsid w:val="0065686A"/>
    <w:rsid w:val="0065686D"/>
    <w:rsid w:val="006568D4"/>
    <w:rsid w:val="006569BC"/>
    <w:rsid w:val="00656A69"/>
    <w:rsid w:val="00656B92"/>
    <w:rsid w:val="00656CBD"/>
    <w:rsid w:val="00656CC3"/>
    <w:rsid w:val="00656CCC"/>
    <w:rsid w:val="00656CD0"/>
    <w:rsid w:val="00656D04"/>
    <w:rsid w:val="00656D4B"/>
    <w:rsid w:val="00656E45"/>
    <w:rsid w:val="00656EA9"/>
    <w:rsid w:val="00656EE4"/>
    <w:rsid w:val="00656F26"/>
    <w:rsid w:val="00657097"/>
    <w:rsid w:val="00657115"/>
    <w:rsid w:val="00657146"/>
    <w:rsid w:val="00657193"/>
    <w:rsid w:val="00657267"/>
    <w:rsid w:val="006572D9"/>
    <w:rsid w:val="00657385"/>
    <w:rsid w:val="0065738D"/>
    <w:rsid w:val="006574DA"/>
    <w:rsid w:val="006574E5"/>
    <w:rsid w:val="0065755B"/>
    <w:rsid w:val="006576CA"/>
    <w:rsid w:val="006576D1"/>
    <w:rsid w:val="006577E9"/>
    <w:rsid w:val="00657840"/>
    <w:rsid w:val="00657883"/>
    <w:rsid w:val="006579B2"/>
    <w:rsid w:val="006579E9"/>
    <w:rsid w:val="00657AF1"/>
    <w:rsid w:val="00657B75"/>
    <w:rsid w:val="00657B7F"/>
    <w:rsid w:val="00657BF2"/>
    <w:rsid w:val="00657DC0"/>
    <w:rsid w:val="00657ECF"/>
    <w:rsid w:val="00657F26"/>
    <w:rsid w:val="00657F56"/>
    <w:rsid w:val="00657F76"/>
    <w:rsid w:val="0066014F"/>
    <w:rsid w:val="00660178"/>
    <w:rsid w:val="006601C2"/>
    <w:rsid w:val="006601F7"/>
    <w:rsid w:val="00660201"/>
    <w:rsid w:val="00660257"/>
    <w:rsid w:val="0066031D"/>
    <w:rsid w:val="00660365"/>
    <w:rsid w:val="00660393"/>
    <w:rsid w:val="00660405"/>
    <w:rsid w:val="0066049C"/>
    <w:rsid w:val="00660538"/>
    <w:rsid w:val="0066057E"/>
    <w:rsid w:val="006605D5"/>
    <w:rsid w:val="0066068F"/>
    <w:rsid w:val="0066069F"/>
    <w:rsid w:val="006606A6"/>
    <w:rsid w:val="006606BD"/>
    <w:rsid w:val="0066071A"/>
    <w:rsid w:val="0066073F"/>
    <w:rsid w:val="006607E6"/>
    <w:rsid w:val="006608DF"/>
    <w:rsid w:val="0066090C"/>
    <w:rsid w:val="0066095A"/>
    <w:rsid w:val="006609B6"/>
    <w:rsid w:val="00660A53"/>
    <w:rsid w:val="00660B24"/>
    <w:rsid w:val="00660B59"/>
    <w:rsid w:val="00660BD2"/>
    <w:rsid w:val="00660C82"/>
    <w:rsid w:val="00660D39"/>
    <w:rsid w:val="00660DA2"/>
    <w:rsid w:val="00660E60"/>
    <w:rsid w:val="00660E71"/>
    <w:rsid w:val="00660F1B"/>
    <w:rsid w:val="0066107F"/>
    <w:rsid w:val="006613ED"/>
    <w:rsid w:val="0066153A"/>
    <w:rsid w:val="006615B7"/>
    <w:rsid w:val="006615F8"/>
    <w:rsid w:val="00661610"/>
    <w:rsid w:val="00661673"/>
    <w:rsid w:val="006616AD"/>
    <w:rsid w:val="006616BE"/>
    <w:rsid w:val="00661850"/>
    <w:rsid w:val="00661864"/>
    <w:rsid w:val="006619A2"/>
    <w:rsid w:val="00661B0F"/>
    <w:rsid w:val="00661C06"/>
    <w:rsid w:val="00661E74"/>
    <w:rsid w:val="00661F9C"/>
    <w:rsid w:val="006620D7"/>
    <w:rsid w:val="0066224C"/>
    <w:rsid w:val="00662290"/>
    <w:rsid w:val="006623A0"/>
    <w:rsid w:val="006623C4"/>
    <w:rsid w:val="006623C5"/>
    <w:rsid w:val="006624C5"/>
    <w:rsid w:val="006625B4"/>
    <w:rsid w:val="006626C3"/>
    <w:rsid w:val="006626D3"/>
    <w:rsid w:val="0066281C"/>
    <w:rsid w:val="0066296A"/>
    <w:rsid w:val="00662A14"/>
    <w:rsid w:val="00662AF9"/>
    <w:rsid w:val="00662BBF"/>
    <w:rsid w:val="00662BCB"/>
    <w:rsid w:val="00662BF9"/>
    <w:rsid w:val="00662C0A"/>
    <w:rsid w:val="00662C63"/>
    <w:rsid w:val="00662D2E"/>
    <w:rsid w:val="00662E08"/>
    <w:rsid w:val="00662E5A"/>
    <w:rsid w:val="0066307B"/>
    <w:rsid w:val="006630C7"/>
    <w:rsid w:val="006630FD"/>
    <w:rsid w:val="00663203"/>
    <w:rsid w:val="006632B8"/>
    <w:rsid w:val="006632DA"/>
    <w:rsid w:val="0066332F"/>
    <w:rsid w:val="00663358"/>
    <w:rsid w:val="0066338B"/>
    <w:rsid w:val="00663470"/>
    <w:rsid w:val="006634C9"/>
    <w:rsid w:val="00663532"/>
    <w:rsid w:val="006635A9"/>
    <w:rsid w:val="00663633"/>
    <w:rsid w:val="0066372C"/>
    <w:rsid w:val="00663776"/>
    <w:rsid w:val="006637F0"/>
    <w:rsid w:val="00663854"/>
    <w:rsid w:val="00663899"/>
    <w:rsid w:val="006638BA"/>
    <w:rsid w:val="0066391F"/>
    <w:rsid w:val="00663946"/>
    <w:rsid w:val="00663B99"/>
    <w:rsid w:val="00663B9D"/>
    <w:rsid w:val="00663D02"/>
    <w:rsid w:val="006641E7"/>
    <w:rsid w:val="006641EC"/>
    <w:rsid w:val="00664221"/>
    <w:rsid w:val="00664263"/>
    <w:rsid w:val="00664276"/>
    <w:rsid w:val="00664421"/>
    <w:rsid w:val="00664467"/>
    <w:rsid w:val="00664492"/>
    <w:rsid w:val="006644ED"/>
    <w:rsid w:val="00664585"/>
    <w:rsid w:val="0066466D"/>
    <w:rsid w:val="0066468F"/>
    <w:rsid w:val="0066477E"/>
    <w:rsid w:val="006647BD"/>
    <w:rsid w:val="00664868"/>
    <w:rsid w:val="00664935"/>
    <w:rsid w:val="006649B6"/>
    <w:rsid w:val="00664A08"/>
    <w:rsid w:val="00664ADD"/>
    <w:rsid w:val="00664B1E"/>
    <w:rsid w:val="00664D3D"/>
    <w:rsid w:val="00664E25"/>
    <w:rsid w:val="00664EE9"/>
    <w:rsid w:val="00664EF3"/>
    <w:rsid w:val="00664F25"/>
    <w:rsid w:val="00664F87"/>
    <w:rsid w:val="00665011"/>
    <w:rsid w:val="00665169"/>
    <w:rsid w:val="00665190"/>
    <w:rsid w:val="006651F1"/>
    <w:rsid w:val="00665296"/>
    <w:rsid w:val="006652A7"/>
    <w:rsid w:val="006652E8"/>
    <w:rsid w:val="0066547F"/>
    <w:rsid w:val="00665639"/>
    <w:rsid w:val="0066571A"/>
    <w:rsid w:val="0066579D"/>
    <w:rsid w:val="006657CB"/>
    <w:rsid w:val="006657FB"/>
    <w:rsid w:val="00665923"/>
    <w:rsid w:val="00665942"/>
    <w:rsid w:val="0066599B"/>
    <w:rsid w:val="00665A88"/>
    <w:rsid w:val="00665AAA"/>
    <w:rsid w:val="00665B4C"/>
    <w:rsid w:val="00665BCE"/>
    <w:rsid w:val="00665C56"/>
    <w:rsid w:val="00665C9F"/>
    <w:rsid w:val="00665CD0"/>
    <w:rsid w:val="00665E11"/>
    <w:rsid w:val="00665E1D"/>
    <w:rsid w:val="00665E6F"/>
    <w:rsid w:val="00665ECE"/>
    <w:rsid w:val="00665ED0"/>
    <w:rsid w:val="00665FB0"/>
    <w:rsid w:val="00666152"/>
    <w:rsid w:val="0066617D"/>
    <w:rsid w:val="0066639A"/>
    <w:rsid w:val="006663A6"/>
    <w:rsid w:val="006664A2"/>
    <w:rsid w:val="0066650E"/>
    <w:rsid w:val="006666CC"/>
    <w:rsid w:val="0066672C"/>
    <w:rsid w:val="00666741"/>
    <w:rsid w:val="00666807"/>
    <w:rsid w:val="00666810"/>
    <w:rsid w:val="00666838"/>
    <w:rsid w:val="006668BE"/>
    <w:rsid w:val="006668CC"/>
    <w:rsid w:val="006669FE"/>
    <w:rsid w:val="00666B02"/>
    <w:rsid w:val="00666B47"/>
    <w:rsid w:val="00666B55"/>
    <w:rsid w:val="00666CF7"/>
    <w:rsid w:val="00666D59"/>
    <w:rsid w:val="00666DAD"/>
    <w:rsid w:val="00666ED8"/>
    <w:rsid w:val="00666EF6"/>
    <w:rsid w:val="00666F7B"/>
    <w:rsid w:val="0066702A"/>
    <w:rsid w:val="00667060"/>
    <w:rsid w:val="006670EA"/>
    <w:rsid w:val="00667131"/>
    <w:rsid w:val="0066719F"/>
    <w:rsid w:val="006671A4"/>
    <w:rsid w:val="00667262"/>
    <w:rsid w:val="0066727C"/>
    <w:rsid w:val="00667292"/>
    <w:rsid w:val="00667320"/>
    <w:rsid w:val="00667407"/>
    <w:rsid w:val="00667415"/>
    <w:rsid w:val="006674A8"/>
    <w:rsid w:val="00667582"/>
    <w:rsid w:val="00667601"/>
    <w:rsid w:val="006676B6"/>
    <w:rsid w:val="006676EB"/>
    <w:rsid w:val="00667786"/>
    <w:rsid w:val="00667A21"/>
    <w:rsid w:val="00667B1F"/>
    <w:rsid w:val="00667B77"/>
    <w:rsid w:val="00667C44"/>
    <w:rsid w:val="00667DA5"/>
    <w:rsid w:val="00667DE1"/>
    <w:rsid w:val="00667E3F"/>
    <w:rsid w:val="00667F41"/>
    <w:rsid w:val="00667F85"/>
    <w:rsid w:val="00670034"/>
    <w:rsid w:val="006700D2"/>
    <w:rsid w:val="0067025F"/>
    <w:rsid w:val="00670369"/>
    <w:rsid w:val="00670373"/>
    <w:rsid w:val="0067049A"/>
    <w:rsid w:val="006704BC"/>
    <w:rsid w:val="0067052A"/>
    <w:rsid w:val="00670597"/>
    <w:rsid w:val="006706B5"/>
    <w:rsid w:val="006706E2"/>
    <w:rsid w:val="0067070C"/>
    <w:rsid w:val="0067070E"/>
    <w:rsid w:val="00670989"/>
    <w:rsid w:val="00670993"/>
    <w:rsid w:val="00670B32"/>
    <w:rsid w:val="00670C0C"/>
    <w:rsid w:val="00670CA4"/>
    <w:rsid w:val="00670CAA"/>
    <w:rsid w:val="00670CEA"/>
    <w:rsid w:val="00670D97"/>
    <w:rsid w:val="00670E15"/>
    <w:rsid w:val="00670E8D"/>
    <w:rsid w:val="00670EA7"/>
    <w:rsid w:val="00670F28"/>
    <w:rsid w:val="006710EE"/>
    <w:rsid w:val="00671201"/>
    <w:rsid w:val="006712C2"/>
    <w:rsid w:val="0067138E"/>
    <w:rsid w:val="00671493"/>
    <w:rsid w:val="006715EB"/>
    <w:rsid w:val="0067160D"/>
    <w:rsid w:val="00671681"/>
    <w:rsid w:val="006716CB"/>
    <w:rsid w:val="00671895"/>
    <w:rsid w:val="0067190F"/>
    <w:rsid w:val="00671AC6"/>
    <w:rsid w:val="00671B7E"/>
    <w:rsid w:val="00671BB7"/>
    <w:rsid w:val="00671D13"/>
    <w:rsid w:val="00671D27"/>
    <w:rsid w:val="00671E53"/>
    <w:rsid w:val="006721D2"/>
    <w:rsid w:val="0067221D"/>
    <w:rsid w:val="0067231D"/>
    <w:rsid w:val="00672480"/>
    <w:rsid w:val="00672481"/>
    <w:rsid w:val="006724BD"/>
    <w:rsid w:val="006724F5"/>
    <w:rsid w:val="006724F6"/>
    <w:rsid w:val="0067256D"/>
    <w:rsid w:val="006725CA"/>
    <w:rsid w:val="00672710"/>
    <w:rsid w:val="00672845"/>
    <w:rsid w:val="006728A8"/>
    <w:rsid w:val="006728B4"/>
    <w:rsid w:val="006728C1"/>
    <w:rsid w:val="0067299A"/>
    <w:rsid w:val="00672AB7"/>
    <w:rsid w:val="00672B07"/>
    <w:rsid w:val="00672B3F"/>
    <w:rsid w:val="00672B61"/>
    <w:rsid w:val="00672B9D"/>
    <w:rsid w:val="00672BF3"/>
    <w:rsid w:val="00672C15"/>
    <w:rsid w:val="00672CB3"/>
    <w:rsid w:val="00672CBB"/>
    <w:rsid w:val="00672D68"/>
    <w:rsid w:val="00672F29"/>
    <w:rsid w:val="00672F6E"/>
    <w:rsid w:val="0067302C"/>
    <w:rsid w:val="006730B3"/>
    <w:rsid w:val="0067314B"/>
    <w:rsid w:val="00673179"/>
    <w:rsid w:val="006732A4"/>
    <w:rsid w:val="006732F5"/>
    <w:rsid w:val="0067330F"/>
    <w:rsid w:val="0067334E"/>
    <w:rsid w:val="00673433"/>
    <w:rsid w:val="006734A2"/>
    <w:rsid w:val="006734C3"/>
    <w:rsid w:val="006734E4"/>
    <w:rsid w:val="0067359C"/>
    <w:rsid w:val="006735BE"/>
    <w:rsid w:val="0067360A"/>
    <w:rsid w:val="00673708"/>
    <w:rsid w:val="0067370F"/>
    <w:rsid w:val="006737DE"/>
    <w:rsid w:val="0067380C"/>
    <w:rsid w:val="00673921"/>
    <w:rsid w:val="00673A75"/>
    <w:rsid w:val="00673AB5"/>
    <w:rsid w:val="00673B25"/>
    <w:rsid w:val="00673BD8"/>
    <w:rsid w:val="00673BFB"/>
    <w:rsid w:val="00673C4F"/>
    <w:rsid w:val="00673CFA"/>
    <w:rsid w:val="00673DF9"/>
    <w:rsid w:val="00673E7F"/>
    <w:rsid w:val="00673F0F"/>
    <w:rsid w:val="00673FE8"/>
    <w:rsid w:val="00674039"/>
    <w:rsid w:val="006740A4"/>
    <w:rsid w:val="006740A8"/>
    <w:rsid w:val="006741BC"/>
    <w:rsid w:val="006742AD"/>
    <w:rsid w:val="006744F7"/>
    <w:rsid w:val="00674663"/>
    <w:rsid w:val="0067470A"/>
    <w:rsid w:val="00674722"/>
    <w:rsid w:val="006747AF"/>
    <w:rsid w:val="006747CD"/>
    <w:rsid w:val="0067482E"/>
    <w:rsid w:val="0067484D"/>
    <w:rsid w:val="00674913"/>
    <w:rsid w:val="006749C9"/>
    <w:rsid w:val="00674AC5"/>
    <w:rsid w:val="00674CE9"/>
    <w:rsid w:val="00674D15"/>
    <w:rsid w:val="00674DA3"/>
    <w:rsid w:val="00674F86"/>
    <w:rsid w:val="00674FF3"/>
    <w:rsid w:val="0067504B"/>
    <w:rsid w:val="00675299"/>
    <w:rsid w:val="006752EF"/>
    <w:rsid w:val="006752F6"/>
    <w:rsid w:val="006753B6"/>
    <w:rsid w:val="006753D6"/>
    <w:rsid w:val="0067542B"/>
    <w:rsid w:val="006754CC"/>
    <w:rsid w:val="006754CF"/>
    <w:rsid w:val="00675593"/>
    <w:rsid w:val="006755B2"/>
    <w:rsid w:val="00675668"/>
    <w:rsid w:val="00675796"/>
    <w:rsid w:val="006759A3"/>
    <w:rsid w:val="006759BD"/>
    <w:rsid w:val="00675A01"/>
    <w:rsid w:val="00675B85"/>
    <w:rsid w:val="00675BAE"/>
    <w:rsid w:val="00675BB8"/>
    <w:rsid w:val="00675CE5"/>
    <w:rsid w:val="00675CF8"/>
    <w:rsid w:val="00675F38"/>
    <w:rsid w:val="00676048"/>
    <w:rsid w:val="006760F1"/>
    <w:rsid w:val="0067610B"/>
    <w:rsid w:val="006761DA"/>
    <w:rsid w:val="00676207"/>
    <w:rsid w:val="0067625F"/>
    <w:rsid w:val="0067627D"/>
    <w:rsid w:val="0067630D"/>
    <w:rsid w:val="00676382"/>
    <w:rsid w:val="006763D1"/>
    <w:rsid w:val="00676468"/>
    <w:rsid w:val="0067646D"/>
    <w:rsid w:val="0067647A"/>
    <w:rsid w:val="006764D8"/>
    <w:rsid w:val="006764EA"/>
    <w:rsid w:val="006765E7"/>
    <w:rsid w:val="00676649"/>
    <w:rsid w:val="006766E2"/>
    <w:rsid w:val="006767C4"/>
    <w:rsid w:val="0067687B"/>
    <w:rsid w:val="006768AF"/>
    <w:rsid w:val="00676A7E"/>
    <w:rsid w:val="00676B0D"/>
    <w:rsid w:val="00676D2A"/>
    <w:rsid w:val="00676DA8"/>
    <w:rsid w:val="00676E24"/>
    <w:rsid w:val="00676E3A"/>
    <w:rsid w:val="0067700A"/>
    <w:rsid w:val="00677016"/>
    <w:rsid w:val="00677046"/>
    <w:rsid w:val="0067722F"/>
    <w:rsid w:val="00677279"/>
    <w:rsid w:val="00677502"/>
    <w:rsid w:val="00677619"/>
    <w:rsid w:val="006777F3"/>
    <w:rsid w:val="0067789B"/>
    <w:rsid w:val="00677949"/>
    <w:rsid w:val="00677995"/>
    <w:rsid w:val="00677A5A"/>
    <w:rsid w:val="00677ACC"/>
    <w:rsid w:val="00677B01"/>
    <w:rsid w:val="00677B2C"/>
    <w:rsid w:val="00677B5C"/>
    <w:rsid w:val="00677B77"/>
    <w:rsid w:val="00677BB3"/>
    <w:rsid w:val="00677BF3"/>
    <w:rsid w:val="00677C36"/>
    <w:rsid w:val="00677C50"/>
    <w:rsid w:val="00677D03"/>
    <w:rsid w:val="00677E08"/>
    <w:rsid w:val="00677E8D"/>
    <w:rsid w:val="00677F83"/>
    <w:rsid w:val="00677FC2"/>
    <w:rsid w:val="00680047"/>
    <w:rsid w:val="006800C1"/>
    <w:rsid w:val="00680100"/>
    <w:rsid w:val="00680149"/>
    <w:rsid w:val="006801BB"/>
    <w:rsid w:val="0068020C"/>
    <w:rsid w:val="00680274"/>
    <w:rsid w:val="0068027A"/>
    <w:rsid w:val="0068027D"/>
    <w:rsid w:val="006802F1"/>
    <w:rsid w:val="006803A6"/>
    <w:rsid w:val="00680524"/>
    <w:rsid w:val="006805A2"/>
    <w:rsid w:val="006805B2"/>
    <w:rsid w:val="00680760"/>
    <w:rsid w:val="0068081B"/>
    <w:rsid w:val="006808DB"/>
    <w:rsid w:val="006809BF"/>
    <w:rsid w:val="00680AF7"/>
    <w:rsid w:val="00680C13"/>
    <w:rsid w:val="00680CCA"/>
    <w:rsid w:val="00680D52"/>
    <w:rsid w:val="00680DC3"/>
    <w:rsid w:val="0068103B"/>
    <w:rsid w:val="006811DC"/>
    <w:rsid w:val="00681206"/>
    <w:rsid w:val="0068121D"/>
    <w:rsid w:val="006812CA"/>
    <w:rsid w:val="006813AB"/>
    <w:rsid w:val="006813E2"/>
    <w:rsid w:val="006814CB"/>
    <w:rsid w:val="0068151B"/>
    <w:rsid w:val="0068165E"/>
    <w:rsid w:val="006816A6"/>
    <w:rsid w:val="006817FD"/>
    <w:rsid w:val="00681999"/>
    <w:rsid w:val="006819AA"/>
    <w:rsid w:val="00681A8B"/>
    <w:rsid w:val="00681C2C"/>
    <w:rsid w:val="00681C36"/>
    <w:rsid w:val="00681C9C"/>
    <w:rsid w:val="00681E41"/>
    <w:rsid w:val="00681FBD"/>
    <w:rsid w:val="00682230"/>
    <w:rsid w:val="00682302"/>
    <w:rsid w:val="0068230F"/>
    <w:rsid w:val="006823C4"/>
    <w:rsid w:val="00682414"/>
    <w:rsid w:val="00682464"/>
    <w:rsid w:val="00682503"/>
    <w:rsid w:val="006825D5"/>
    <w:rsid w:val="00682778"/>
    <w:rsid w:val="006827CC"/>
    <w:rsid w:val="00682997"/>
    <w:rsid w:val="006829D9"/>
    <w:rsid w:val="00682A1D"/>
    <w:rsid w:val="00682B01"/>
    <w:rsid w:val="0068317F"/>
    <w:rsid w:val="006831A5"/>
    <w:rsid w:val="0068336D"/>
    <w:rsid w:val="006833E3"/>
    <w:rsid w:val="00683438"/>
    <w:rsid w:val="00683492"/>
    <w:rsid w:val="00683547"/>
    <w:rsid w:val="00683548"/>
    <w:rsid w:val="006835B0"/>
    <w:rsid w:val="006835E4"/>
    <w:rsid w:val="00683604"/>
    <w:rsid w:val="0068362B"/>
    <w:rsid w:val="00683645"/>
    <w:rsid w:val="006837C6"/>
    <w:rsid w:val="0068389D"/>
    <w:rsid w:val="006838F5"/>
    <w:rsid w:val="0068394C"/>
    <w:rsid w:val="00683A4E"/>
    <w:rsid w:val="00683ADE"/>
    <w:rsid w:val="00683B1B"/>
    <w:rsid w:val="00683BEE"/>
    <w:rsid w:val="00683C3C"/>
    <w:rsid w:val="00683CA1"/>
    <w:rsid w:val="00683CF7"/>
    <w:rsid w:val="006842E5"/>
    <w:rsid w:val="00684725"/>
    <w:rsid w:val="0068475D"/>
    <w:rsid w:val="00684766"/>
    <w:rsid w:val="0068479B"/>
    <w:rsid w:val="006847C6"/>
    <w:rsid w:val="00684803"/>
    <w:rsid w:val="00684968"/>
    <w:rsid w:val="00684998"/>
    <w:rsid w:val="00684A21"/>
    <w:rsid w:val="00684B19"/>
    <w:rsid w:val="00684B68"/>
    <w:rsid w:val="00684C9A"/>
    <w:rsid w:val="00684D70"/>
    <w:rsid w:val="00684D92"/>
    <w:rsid w:val="00684D99"/>
    <w:rsid w:val="00684E44"/>
    <w:rsid w:val="00684F62"/>
    <w:rsid w:val="00684FB9"/>
    <w:rsid w:val="00684FC9"/>
    <w:rsid w:val="006850CA"/>
    <w:rsid w:val="006850CD"/>
    <w:rsid w:val="006850D1"/>
    <w:rsid w:val="006850EB"/>
    <w:rsid w:val="00685373"/>
    <w:rsid w:val="00685415"/>
    <w:rsid w:val="00685445"/>
    <w:rsid w:val="00685515"/>
    <w:rsid w:val="00685560"/>
    <w:rsid w:val="006855E2"/>
    <w:rsid w:val="0068560B"/>
    <w:rsid w:val="0068569C"/>
    <w:rsid w:val="006856BF"/>
    <w:rsid w:val="00685823"/>
    <w:rsid w:val="00685881"/>
    <w:rsid w:val="00685883"/>
    <w:rsid w:val="00685907"/>
    <w:rsid w:val="00685B2A"/>
    <w:rsid w:val="00685B2B"/>
    <w:rsid w:val="00685B9F"/>
    <w:rsid w:val="00685BC7"/>
    <w:rsid w:val="00685C08"/>
    <w:rsid w:val="00685CAE"/>
    <w:rsid w:val="00685D0F"/>
    <w:rsid w:val="00685DB1"/>
    <w:rsid w:val="00685DC6"/>
    <w:rsid w:val="00685E1A"/>
    <w:rsid w:val="00685EAB"/>
    <w:rsid w:val="00685EC2"/>
    <w:rsid w:val="00685EE2"/>
    <w:rsid w:val="00686131"/>
    <w:rsid w:val="00686292"/>
    <w:rsid w:val="006862EC"/>
    <w:rsid w:val="006863C4"/>
    <w:rsid w:val="006863D6"/>
    <w:rsid w:val="006863D7"/>
    <w:rsid w:val="00686491"/>
    <w:rsid w:val="00686625"/>
    <w:rsid w:val="00686628"/>
    <w:rsid w:val="00686685"/>
    <w:rsid w:val="0068678A"/>
    <w:rsid w:val="00686798"/>
    <w:rsid w:val="0068683F"/>
    <w:rsid w:val="006868BB"/>
    <w:rsid w:val="0068698C"/>
    <w:rsid w:val="006869D3"/>
    <w:rsid w:val="00686A6C"/>
    <w:rsid w:val="00686AEC"/>
    <w:rsid w:val="00686B5B"/>
    <w:rsid w:val="00686B74"/>
    <w:rsid w:val="00686BDF"/>
    <w:rsid w:val="00686C4F"/>
    <w:rsid w:val="00686D01"/>
    <w:rsid w:val="00686DCD"/>
    <w:rsid w:val="00686E1A"/>
    <w:rsid w:val="00686E3E"/>
    <w:rsid w:val="00686EBB"/>
    <w:rsid w:val="00686F6B"/>
    <w:rsid w:val="00686F8D"/>
    <w:rsid w:val="00686FBA"/>
    <w:rsid w:val="00686FE1"/>
    <w:rsid w:val="00686FFB"/>
    <w:rsid w:val="00687087"/>
    <w:rsid w:val="0068708D"/>
    <w:rsid w:val="006870AB"/>
    <w:rsid w:val="00687133"/>
    <w:rsid w:val="006874C1"/>
    <w:rsid w:val="0068751B"/>
    <w:rsid w:val="0068754B"/>
    <w:rsid w:val="0068755F"/>
    <w:rsid w:val="00687668"/>
    <w:rsid w:val="0068769B"/>
    <w:rsid w:val="00687729"/>
    <w:rsid w:val="00687751"/>
    <w:rsid w:val="0068791E"/>
    <w:rsid w:val="00687A36"/>
    <w:rsid w:val="00687A57"/>
    <w:rsid w:val="00687A6C"/>
    <w:rsid w:val="00687BC9"/>
    <w:rsid w:val="00687CD2"/>
    <w:rsid w:val="00687DDA"/>
    <w:rsid w:val="00687DEB"/>
    <w:rsid w:val="00687E87"/>
    <w:rsid w:val="00687F6A"/>
    <w:rsid w:val="00687FF6"/>
    <w:rsid w:val="00690079"/>
    <w:rsid w:val="0069016A"/>
    <w:rsid w:val="006903A2"/>
    <w:rsid w:val="00690434"/>
    <w:rsid w:val="006904A4"/>
    <w:rsid w:val="0069057C"/>
    <w:rsid w:val="00690813"/>
    <w:rsid w:val="00690879"/>
    <w:rsid w:val="006909C8"/>
    <w:rsid w:val="006909D9"/>
    <w:rsid w:val="006909EB"/>
    <w:rsid w:val="00690B00"/>
    <w:rsid w:val="00690B26"/>
    <w:rsid w:val="00690B6C"/>
    <w:rsid w:val="00690C12"/>
    <w:rsid w:val="00690C63"/>
    <w:rsid w:val="00690C86"/>
    <w:rsid w:val="00690CFC"/>
    <w:rsid w:val="00690E3B"/>
    <w:rsid w:val="00690E5D"/>
    <w:rsid w:val="00690E73"/>
    <w:rsid w:val="00691017"/>
    <w:rsid w:val="0069103C"/>
    <w:rsid w:val="006910A8"/>
    <w:rsid w:val="0069116D"/>
    <w:rsid w:val="00691191"/>
    <w:rsid w:val="006911AD"/>
    <w:rsid w:val="006911EB"/>
    <w:rsid w:val="00691430"/>
    <w:rsid w:val="00691524"/>
    <w:rsid w:val="0069160A"/>
    <w:rsid w:val="006916BB"/>
    <w:rsid w:val="006916C3"/>
    <w:rsid w:val="006918E5"/>
    <w:rsid w:val="00691911"/>
    <w:rsid w:val="006919DF"/>
    <w:rsid w:val="00691A27"/>
    <w:rsid w:val="00691BA2"/>
    <w:rsid w:val="00691BD4"/>
    <w:rsid w:val="00691BDD"/>
    <w:rsid w:val="00691C1A"/>
    <w:rsid w:val="00691CE0"/>
    <w:rsid w:val="00691E8C"/>
    <w:rsid w:val="00691E95"/>
    <w:rsid w:val="00691F5D"/>
    <w:rsid w:val="00691F78"/>
    <w:rsid w:val="006920FB"/>
    <w:rsid w:val="006921DC"/>
    <w:rsid w:val="0069231B"/>
    <w:rsid w:val="0069231F"/>
    <w:rsid w:val="0069233B"/>
    <w:rsid w:val="006923E7"/>
    <w:rsid w:val="0069240B"/>
    <w:rsid w:val="006927F6"/>
    <w:rsid w:val="0069291C"/>
    <w:rsid w:val="00692922"/>
    <w:rsid w:val="0069294B"/>
    <w:rsid w:val="00692965"/>
    <w:rsid w:val="0069297A"/>
    <w:rsid w:val="00692A87"/>
    <w:rsid w:val="00692C02"/>
    <w:rsid w:val="00692CEC"/>
    <w:rsid w:val="00692DC6"/>
    <w:rsid w:val="00692E48"/>
    <w:rsid w:val="00692E92"/>
    <w:rsid w:val="00692F2B"/>
    <w:rsid w:val="0069321F"/>
    <w:rsid w:val="00693343"/>
    <w:rsid w:val="00693513"/>
    <w:rsid w:val="0069353D"/>
    <w:rsid w:val="006935C1"/>
    <w:rsid w:val="00693650"/>
    <w:rsid w:val="0069365A"/>
    <w:rsid w:val="00693660"/>
    <w:rsid w:val="0069382A"/>
    <w:rsid w:val="006939D7"/>
    <w:rsid w:val="00693A0C"/>
    <w:rsid w:val="00693A3B"/>
    <w:rsid w:val="00693C9B"/>
    <w:rsid w:val="00693E8B"/>
    <w:rsid w:val="00693EAA"/>
    <w:rsid w:val="00693F14"/>
    <w:rsid w:val="00693F21"/>
    <w:rsid w:val="00693F43"/>
    <w:rsid w:val="00693F6F"/>
    <w:rsid w:val="00693FF4"/>
    <w:rsid w:val="00694021"/>
    <w:rsid w:val="00694190"/>
    <w:rsid w:val="0069423A"/>
    <w:rsid w:val="006946DD"/>
    <w:rsid w:val="0069472D"/>
    <w:rsid w:val="00694740"/>
    <w:rsid w:val="00694780"/>
    <w:rsid w:val="0069482E"/>
    <w:rsid w:val="00694856"/>
    <w:rsid w:val="006948A3"/>
    <w:rsid w:val="006948A7"/>
    <w:rsid w:val="0069492C"/>
    <w:rsid w:val="006949AC"/>
    <w:rsid w:val="006949B5"/>
    <w:rsid w:val="00694A1F"/>
    <w:rsid w:val="00694A6D"/>
    <w:rsid w:val="00694B58"/>
    <w:rsid w:val="00694CF7"/>
    <w:rsid w:val="00694D4F"/>
    <w:rsid w:val="00694DF8"/>
    <w:rsid w:val="00694FBC"/>
    <w:rsid w:val="00694FBF"/>
    <w:rsid w:val="00695120"/>
    <w:rsid w:val="00695132"/>
    <w:rsid w:val="0069519C"/>
    <w:rsid w:val="00695232"/>
    <w:rsid w:val="006952BB"/>
    <w:rsid w:val="006952FB"/>
    <w:rsid w:val="006952FF"/>
    <w:rsid w:val="006953C1"/>
    <w:rsid w:val="006953CB"/>
    <w:rsid w:val="006955F5"/>
    <w:rsid w:val="0069565F"/>
    <w:rsid w:val="006956FE"/>
    <w:rsid w:val="0069570C"/>
    <w:rsid w:val="00695772"/>
    <w:rsid w:val="006959F6"/>
    <w:rsid w:val="00695A16"/>
    <w:rsid w:val="00695BDB"/>
    <w:rsid w:val="00695C1C"/>
    <w:rsid w:val="00695CDF"/>
    <w:rsid w:val="00695D4D"/>
    <w:rsid w:val="00695D7E"/>
    <w:rsid w:val="00696085"/>
    <w:rsid w:val="006960CA"/>
    <w:rsid w:val="006962B6"/>
    <w:rsid w:val="00696313"/>
    <w:rsid w:val="00696326"/>
    <w:rsid w:val="00696366"/>
    <w:rsid w:val="0069638E"/>
    <w:rsid w:val="006963AF"/>
    <w:rsid w:val="006964CB"/>
    <w:rsid w:val="00696632"/>
    <w:rsid w:val="006966E1"/>
    <w:rsid w:val="006968BB"/>
    <w:rsid w:val="006968CA"/>
    <w:rsid w:val="006969C2"/>
    <w:rsid w:val="00696A2C"/>
    <w:rsid w:val="00696A35"/>
    <w:rsid w:val="00696CF6"/>
    <w:rsid w:val="00696DDD"/>
    <w:rsid w:val="00696F08"/>
    <w:rsid w:val="00696FA5"/>
    <w:rsid w:val="00696FCB"/>
    <w:rsid w:val="00697109"/>
    <w:rsid w:val="00697111"/>
    <w:rsid w:val="00697277"/>
    <w:rsid w:val="00697311"/>
    <w:rsid w:val="0069734A"/>
    <w:rsid w:val="006973BE"/>
    <w:rsid w:val="006973F8"/>
    <w:rsid w:val="00697441"/>
    <w:rsid w:val="00697528"/>
    <w:rsid w:val="00697529"/>
    <w:rsid w:val="00697635"/>
    <w:rsid w:val="006976C5"/>
    <w:rsid w:val="00697704"/>
    <w:rsid w:val="0069777E"/>
    <w:rsid w:val="006977AF"/>
    <w:rsid w:val="0069784F"/>
    <w:rsid w:val="00697AB1"/>
    <w:rsid w:val="00697B11"/>
    <w:rsid w:val="00697B62"/>
    <w:rsid w:val="00697C02"/>
    <w:rsid w:val="00697C42"/>
    <w:rsid w:val="00697C89"/>
    <w:rsid w:val="00697E52"/>
    <w:rsid w:val="00697EA4"/>
    <w:rsid w:val="00697F7C"/>
    <w:rsid w:val="006A017C"/>
    <w:rsid w:val="006A0230"/>
    <w:rsid w:val="006A02ED"/>
    <w:rsid w:val="006A034A"/>
    <w:rsid w:val="006A038F"/>
    <w:rsid w:val="006A0445"/>
    <w:rsid w:val="006A0600"/>
    <w:rsid w:val="006A07CD"/>
    <w:rsid w:val="006A0834"/>
    <w:rsid w:val="006A0838"/>
    <w:rsid w:val="006A08BA"/>
    <w:rsid w:val="006A08BE"/>
    <w:rsid w:val="006A09F7"/>
    <w:rsid w:val="006A0B41"/>
    <w:rsid w:val="006A0B5E"/>
    <w:rsid w:val="006A0B8F"/>
    <w:rsid w:val="006A0C09"/>
    <w:rsid w:val="006A0D45"/>
    <w:rsid w:val="006A0D5D"/>
    <w:rsid w:val="006A0DF2"/>
    <w:rsid w:val="006A0E3C"/>
    <w:rsid w:val="006A0F3F"/>
    <w:rsid w:val="006A104C"/>
    <w:rsid w:val="006A1139"/>
    <w:rsid w:val="006A11EC"/>
    <w:rsid w:val="006A120D"/>
    <w:rsid w:val="006A12B8"/>
    <w:rsid w:val="006A12FB"/>
    <w:rsid w:val="006A1314"/>
    <w:rsid w:val="006A1357"/>
    <w:rsid w:val="006A1421"/>
    <w:rsid w:val="006A1471"/>
    <w:rsid w:val="006A1483"/>
    <w:rsid w:val="006A156F"/>
    <w:rsid w:val="006A15C5"/>
    <w:rsid w:val="006A164C"/>
    <w:rsid w:val="006A16A2"/>
    <w:rsid w:val="006A1733"/>
    <w:rsid w:val="006A177F"/>
    <w:rsid w:val="006A17ED"/>
    <w:rsid w:val="006A1867"/>
    <w:rsid w:val="006A18A0"/>
    <w:rsid w:val="006A18A1"/>
    <w:rsid w:val="006A18B5"/>
    <w:rsid w:val="006A19A1"/>
    <w:rsid w:val="006A19E7"/>
    <w:rsid w:val="006A1A4D"/>
    <w:rsid w:val="006A1A9D"/>
    <w:rsid w:val="006A1B47"/>
    <w:rsid w:val="006A1CB1"/>
    <w:rsid w:val="006A1CD5"/>
    <w:rsid w:val="006A1E58"/>
    <w:rsid w:val="006A1E6A"/>
    <w:rsid w:val="006A1EC8"/>
    <w:rsid w:val="006A1EF7"/>
    <w:rsid w:val="006A1FAB"/>
    <w:rsid w:val="006A1FE0"/>
    <w:rsid w:val="006A2084"/>
    <w:rsid w:val="006A217E"/>
    <w:rsid w:val="006A21F5"/>
    <w:rsid w:val="006A221B"/>
    <w:rsid w:val="006A2370"/>
    <w:rsid w:val="006A2536"/>
    <w:rsid w:val="006A255C"/>
    <w:rsid w:val="006A2593"/>
    <w:rsid w:val="006A28D5"/>
    <w:rsid w:val="006A2ABE"/>
    <w:rsid w:val="006A2BF1"/>
    <w:rsid w:val="006A2C35"/>
    <w:rsid w:val="006A2DF7"/>
    <w:rsid w:val="006A2E2C"/>
    <w:rsid w:val="006A2E5B"/>
    <w:rsid w:val="006A2E70"/>
    <w:rsid w:val="006A2EF9"/>
    <w:rsid w:val="006A3154"/>
    <w:rsid w:val="006A328B"/>
    <w:rsid w:val="006A32F4"/>
    <w:rsid w:val="006A339A"/>
    <w:rsid w:val="006A33C9"/>
    <w:rsid w:val="006A33F3"/>
    <w:rsid w:val="006A35AE"/>
    <w:rsid w:val="006A35E0"/>
    <w:rsid w:val="006A3653"/>
    <w:rsid w:val="006A365B"/>
    <w:rsid w:val="006A3740"/>
    <w:rsid w:val="006A3932"/>
    <w:rsid w:val="006A3ABF"/>
    <w:rsid w:val="006A3B8F"/>
    <w:rsid w:val="006A3C64"/>
    <w:rsid w:val="006A3CBE"/>
    <w:rsid w:val="006A3D96"/>
    <w:rsid w:val="006A3DE2"/>
    <w:rsid w:val="006A3E79"/>
    <w:rsid w:val="006A3E7E"/>
    <w:rsid w:val="006A3E84"/>
    <w:rsid w:val="006A3EF6"/>
    <w:rsid w:val="006A3F6D"/>
    <w:rsid w:val="006A3F70"/>
    <w:rsid w:val="006A40CB"/>
    <w:rsid w:val="006A4148"/>
    <w:rsid w:val="006A430B"/>
    <w:rsid w:val="006A4381"/>
    <w:rsid w:val="006A43A8"/>
    <w:rsid w:val="006A449E"/>
    <w:rsid w:val="006A461A"/>
    <w:rsid w:val="006A4722"/>
    <w:rsid w:val="006A47AA"/>
    <w:rsid w:val="006A47B0"/>
    <w:rsid w:val="006A47EC"/>
    <w:rsid w:val="006A4865"/>
    <w:rsid w:val="006A4921"/>
    <w:rsid w:val="006A492C"/>
    <w:rsid w:val="006A4990"/>
    <w:rsid w:val="006A4A3D"/>
    <w:rsid w:val="006A4AFB"/>
    <w:rsid w:val="006A4DBB"/>
    <w:rsid w:val="006A4E35"/>
    <w:rsid w:val="006A4E5E"/>
    <w:rsid w:val="006A4E72"/>
    <w:rsid w:val="006A4EDF"/>
    <w:rsid w:val="006A4F56"/>
    <w:rsid w:val="006A4F6F"/>
    <w:rsid w:val="006A510C"/>
    <w:rsid w:val="006A5117"/>
    <w:rsid w:val="006A5140"/>
    <w:rsid w:val="006A5197"/>
    <w:rsid w:val="006A5303"/>
    <w:rsid w:val="006A53FB"/>
    <w:rsid w:val="006A5423"/>
    <w:rsid w:val="006A54B7"/>
    <w:rsid w:val="006A54C1"/>
    <w:rsid w:val="006A571D"/>
    <w:rsid w:val="006A57AA"/>
    <w:rsid w:val="006A57E3"/>
    <w:rsid w:val="006A5804"/>
    <w:rsid w:val="006A5857"/>
    <w:rsid w:val="006A5A8D"/>
    <w:rsid w:val="006A5B2D"/>
    <w:rsid w:val="006A5B31"/>
    <w:rsid w:val="006A5DC4"/>
    <w:rsid w:val="006A5DF1"/>
    <w:rsid w:val="006A5E0F"/>
    <w:rsid w:val="006A5E6D"/>
    <w:rsid w:val="006A5EF4"/>
    <w:rsid w:val="006A5FEE"/>
    <w:rsid w:val="006A6096"/>
    <w:rsid w:val="006A60CC"/>
    <w:rsid w:val="006A6279"/>
    <w:rsid w:val="006A62F1"/>
    <w:rsid w:val="006A632C"/>
    <w:rsid w:val="006A6433"/>
    <w:rsid w:val="006A6435"/>
    <w:rsid w:val="006A6481"/>
    <w:rsid w:val="006A662C"/>
    <w:rsid w:val="006A66B6"/>
    <w:rsid w:val="006A689B"/>
    <w:rsid w:val="006A68D1"/>
    <w:rsid w:val="006A68F1"/>
    <w:rsid w:val="006A6AEF"/>
    <w:rsid w:val="006A6B33"/>
    <w:rsid w:val="006A6C1B"/>
    <w:rsid w:val="006A6C23"/>
    <w:rsid w:val="006A6D20"/>
    <w:rsid w:val="006A6DAC"/>
    <w:rsid w:val="006A6E0F"/>
    <w:rsid w:val="006A6E44"/>
    <w:rsid w:val="006A7041"/>
    <w:rsid w:val="006A7658"/>
    <w:rsid w:val="006A76A0"/>
    <w:rsid w:val="006A7A58"/>
    <w:rsid w:val="006A7A86"/>
    <w:rsid w:val="006A7B68"/>
    <w:rsid w:val="006A7BAE"/>
    <w:rsid w:val="006A7CDE"/>
    <w:rsid w:val="006A7D39"/>
    <w:rsid w:val="006A7DA4"/>
    <w:rsid w:val="006A7DAA"/>
    <w:rsid w:val="006A7E16"/>
    <w:rsid w:val="006A7FCA"/>
    <w:rsid w:val="006A7FF5"/>
    <w:rsid w:val="006B0002"/>
    <w:rsid w:val="006B001E"/>
    <w:rsid w:val="006B00C0"/>
    <w:rsid w:val="006B00CC"/>
    <w:rsid w:val="006B01A3"/>
    <w:rsid w:val="006B0239"/>
    <w:rsid w:val="006B032D"/>
    <w:rsid w:val="006B0399"/>
    <w:rsid w:val="006B03E6"/>
    <w:rsid w:val="006B0425"/>
    <w:rsid w:val="006B04E8"/>
    <w:rsid w:val="006B04EB"/>
    <w:rsid w:val="006B05E3"/>
    <w:rsid w:val="006B068C"/>
    <w:rsid w:val="006B0699"/>
    <w:rsid w:val="006B069F"/>
    <w:rsid w:val="006B08F3"/>
    <w:rsid w:val="006B0935"/>
    <w:rsid w:val="006B09E0"/>
    <w:rsid w:val="006B0A34"/>
    <w:rsid w:val="006B0B7A"/>
    <w:rsid w:val="006B0BF2"/>
    <w:rsid w:val="006B0D5C"/>
    <w:rsid w:val="006B0E2C"/>
    <w:rsid w:val="006B0EA5"/>
    <w:rsid w:val="006B0EDA"/>
    <w:rsid w:val="006B0FF8"/>
    <w:rsid w:val="006B104C"/>
    <w:rsid w:val="006B1084"/>
    <w:rsid w:val="006B10D0"/>
    <w:rsid w:val="006B1130"/>
    <w:rsid w:val="006B11F3"/>
    <w:rsid w:val="006B1245"/>
    <w:rsid w:val="006B12D8"/>
    <w:rsid w:val="006B12D9"/>
    <w:rsid w:val="006B134F"/>
    <w:rsid w:val="006B139D"/>
    <w:rsid w:val="006B13FB"/>
    <w:rsid w:val="006B14F0"/>
    <w:rsid w:val="006B15D1"/>
    <w:rsid w:val="006B1630"/>
    <w:rsid w:val="006B1647"/>
    <w:rsid w:val="006B1843"/>
    <w:rsid w:val="006B1925"/>
    <w:rsid w:val="006B192A"/>
    <w:rsid w:val="006B1979"/>
    <w:rsid w:val="006B1A30"/>
    <w:rsid w:val="006B1A4F"/>
    <w:rsid w:val="006B1BA7"/>
    <w:rsid w:val="006B1BEA"/>
    <w:rsid w:val="006B1C81"/>
    <w:rsid w:val="006B1CD2"/>
    <w:rsid w:val="006B1D04"/>
    <w:rsid w:val="006B1D18"/>
    <w:rsid w:val="006B1DE8"/>
    <w:rsid w:val="006B1E04"/>
    <w:rsid w:val="006B1E77"/>
    <w:rsid w:val="006B20C4"/>
    <w:rsid w:val="006B2206"/>
    <w:rsid w:val="006B2380"/>
    <w:rsid w:val="006B23D1"/>
    <w:rsid w:val="006B2411"/>
    <w:rsid w:val="006B247F"/>
    <w:rsid w:val="006B24F1"/>
    <w:rsid w:val="006B26DF"/>
    <w:rsid w:val="006B2838"/>
    <w:rsid w:val="006B2861"/>
    <w:rsid w:val="006B289C"/>
    <w:rsid w:val="006B28A8"/>
    <w:rsid w:val="006B29A9"/>
    <w:rsid w:val="006B2B4C"/>
    <w:rsid w:val="006B2B7E"/>
    <w:rsid w:val="006B2CD6"/>
    <w:rsid w:val="006B2D40"/>
    <w:rsid w:val="006B2E39"/>
    <w:rsid w:val="006B2E8E"/>
    <w:rsid w:val="006B2EA5"/>
    <w:rsid w:val="006B2F25"/>
    <w:rsid w:val="006B2F46"/>
    <w:rsid w:val="006B2F47"/>
    <w:rsid w:val="006B2F85"/>
    <w:rsid w:val="006B2F88"/>
    <w:rsid w:val="006B2FCB"/>
    <w:rsid w:val="006B3051"/>
    <w:rsid w:val="006B3162"/>
    <w:rsid w:val="006B319E"/>
    <w:rsid w:val="006B31A8"/>
    <w:rsid w:val="006B31B5"/>
    <w:rsid w:val="006B31D0"/>
    <w:rsid w:val="006B31E1"/>
    <w:rsid w:val="006B324A"/>
    <w:rsid w:val="006B3274"/>
    <w:rsid w:val="006B32FD"/>
    <w:rsid w:val="006B3405"/>
    <w:rsid w:val="006B3462"/>
    <w:rsid w:val="006B34B3"/>
    <w:rsid w:val="006B3542"/>
    <w:rsid w:val="006B3694"/>
    <w:rsid w:val="006B36AE"/>
    <w:rsid w:val="006B36F2"/>
    <w:rsid w:val="006B3784"/>
    <w:rsid w:val="006B37FC"/>
    <w:rsid w:val="006B3995"/>
    <w:rsid w:val="006B39B5"/>
    <w:rsid w:val="006B3A5F"/>
    <w:rsid w:val="006B3ADC"/>
    <w:rsid w:val="006B3AF6"/>
    <w:rsid w:val="006B3B09"/>
    <w:rsid w:val="006B3C5D"/>
    <w:rsid w:val="006B3D38"/>
    <w:rsid w:val="006B3D8A"/>
    <w:rsid w:val="006B3EB0"/>
    <w:rsid w:val="006B3F46"/>
    <w:rsid w:val="006B40E3"/>
    <w:rsid w:val="006B42C9"/>
    <w:rsid w:val="006B4344"/>
    <w:rsid w:val="006B4481"/>
    <w:rsid w:val="006B4562"/>
    <w:rsid w:val="006B4568"/>
    <w:rsid w:val="006B459D"/>
    <w:rsid w:val="006B45F9"/>
    <w:rsid w:val="006B4666"/>
    <w:rsid w:val="006B46D4"/>
    <w:rsid w:val="006B46DA"/>
    <w:rsid w:val="006B46F7"/>
    <w:rsid w:val="006B478A"/>
    <w:rsid w:val="006B4900"/>
    <w:rsid w:val="006B4980"/>
    <w:rsid w:val="006B4A23"/>
    <w:rsid w:val="006B4B8B"/>
    <w:rsid w:val="006B4BEB"/>
    <w:rsid w:val="006B4C3E"/>
    <w:rsid w:val="006B4C88"/>
    <w:rsid w:val="006B4DFA"/>
    <w:rsid w:val="006B4E5C"/>
    <w:rsid w:val="006B4FBE"/>
    <w:rsid w:val="006B4FD6"/>
    <w:rsid w:val="006B4FE2"/>
    <w:rsid w:val="006B4FE6"/>
    <w:rsid w:val="006B51FB"/>
    <w:rsid w:val="006B543C"/>
    <w:rsid w:val="006B550E"/>
    <w:rsid w:val="006B5510"/>
    <w:rsid w:val="006B554B"/>
    <w:rsid w:val="006B56B0"/>
    <w:rsid w:val="006B5817"/>
    <w:rsid w:val="006B5826"/>
    <w:rsid w:val="006B5912"/>
    <w:rsid w:val="006B5A2C"/>
    <w:rsid w:val="006B5C3B"/>
    <w:rsid w:val="006B5C61"/>
    <w:rsid w:val="006B5DD9"/>
    <w:rsid w:val="006B5E6D"/>
    <w:rsid w:val="006B5EC9"/>
    <w:rsid w:val="006B5F32"/>
    <w:rsid w:val="006B5FEE"/>
    <w:rsid w:val="006B6000"/>
    <w:rsid w:val="006B6292"/>
    <w:rsid w:val="006B62D0"/>
    <w:rsid w:val="006B6328"/>
    <w:rsid w:val="006B63B9"/>
    <w:rsid w:val="006B63C9"/>
    <w:rsid w:val="006B642B"/>
    <w:rsid w:val="006B645D"/>
    <w:rsid w:val="006B658D"/>
    <w:rsid w:val="006B66F7"/>
    <w:rsid w:val="006B682B"/>
    <w:rsid w:val="006B6847"/>
    <w:rsid w:val="006B6AEF"/>
    <w:rsid w:val="006B6B2A"/>
    <w:rsid w:val="006B6D06"/>
    <w:rsid w:val="006B6D33"/>
    <w:rsid w:val="006B6E18"/>
    <w:rsid w:val="006B6EB3"/>
    <w:rsid w:val="006B6F84"/>
    <w:rsid w:val="006B7022"/>
    <w:rsid w:val="006B70D2"/>
    <w:rsid w:val="006B723A"/>
    <w:rsid w:val="006B7361"/>
    <w:rsid w:val="006B73E5"/>
    <w:rsid w:val="006B7453"/>
    <w:rsid w:val="006B74BA"/>
    <w:rsid w:val="006B74D2"/>
    <w:rsid w:val="006B7511"/>
    <w:rsid w:val="006B765F"/>
    <w:rsid w:val="006B76C8"/>
    <w:rsid w:val="006B76DC"/>
    <w:rsid w:val="006B7727"/>
    <w:rsid w:val="006B77AE"/>
    <w:rsid w:val="006B77D4"/>
    <w:rsid w:val="006B794C"/>
    <w:rsid w:val="006B797A"/>
    <w:rsid w:val="006B79DF"/>
    <w:rsid w:val="006B79E5"/>
    <w:rsid w:val="006B7B74"/>
    <w:rsid w:val="006B7C0C"/>
    <w:rsid w:val="006B7C89"/>
    <w:rsid w:val="006B7D1C"/>
    <w:rsid w:val="006B7E11"/>
    <w:rsid w:val="006B7F3F"/>
    <w:rsid w:val="006C006E"/>
    <w:rsid w:val="006C0094"/>
    <w:rsid w:val="006C025A"/>
    <w:rsid w:val="006C025B"/>
    <w:rsid w:val="006C02B9"/>
    <w:rsid w:val="006C02FD"/>
    <w:rsid w:val="006C035A"/>
    <w:rsid w:val="006C04E4"/>
    <w:rsid w:val="006C0561"/>
    <w:rsid w:val="006C058C"/>
    <w:rsid w:val="006C06D3"/>
    <w:rsid w:val="006C080C"/>
    <w:rsid w:val="006C090E"/>
    <w:rsid w:val="006C0BF8"/>
    <w:rsid w:val="006C0C21"/>
    <w:rsid w:val="006C0E28"/>
    <w:rsid w:val="006C0E57"/>
    <w:rsid w:val="006C0E87"/>
    <w:rsid w:val="006C0EED"/>
    <w:rsid w:val="006C0F3B"/>
    <w:rsid w:val="006C0F9A"/>
    <w:rsid w:val="006C1001"/>
    <w:rsid w:val="006C1095"/>
    <w:rsid w:val="006C10FC"/>
    <w:rsid w:val="006C116F"/>
    <w:rsid w:val="006C12C1"/>
    <w:rsid w:val="006C12ED"/>
    <w:rsid w:val="006C1312"/>
    <w:rsid w:val="006C1331"/>
    <w:rsid w:val="006C1371"/>
    <w:rsid w:val="006C1447"/>
    <w:rsid w:val="006C1481"/>
    <w:rsid w:val="006C14AC"/>
    <w:rsid w:val="006C165F"/>
    <w:rsid w:val="006C16A9"/>
    <w:rsid w:val="006C17D1"/>
    <w:rsid w:val="006C184E"/>
    <w:rsid w:val="006C1908"/>
    <w:rsid w:val="006C1AAF"/>
    <w:rsid w:val="006C1ADA"/>
    <w:rsid w:val="006C1BED"/>
    <w:rsid w:val="006C1C4E"/>
    <w:rsid w:val="006C1C68"/>
    <w:rsid w:val="006C1C89"/>
    <w:rsid w:val="006C1C9D"/>
    <w:rsid w:val="006C1D12"/>
    <w:rsid w:val="006C1D28"/>
    <w:rsid w:val="006C1DA2"/>
    <w:rsid w:val="006C1E05"/>
    <w:rsid w:val="006C20F1"/>
    <w:rsid w:val="006C2425"/>
    <w:rsid w:val="006C2445"/>
    <w:rsid w:val="006C2533"/>
    <w:rsid w:val="006C2569"/>
    <w:rsid w:val="006C2584"/>
    <w:rsid w:val="006C2734"/>
    <w:rsid w:val="006C275F"/>
    <w:rsid w:val="006C2823"/>
    <w:rsid w:val="006C290E"/>
    <w:rsid w:val="006C29A0"/>
    <w:rsid w:val="006C29E3"/>
    <w:rsid w:val="006C2C02"/>
    <w:rsid w:val="006C2C5A"/>
    <w:rsid w:val="006C2D50"/>
    <w:rsid w:val="006C2D88"/>
    <w:rsid w:val="006C2ED6"/>
    <w:rsid w:val="006C2F2E"/>
    <w:rsid w:val="006C2F4B"/>
    <w:rsid w:val="006C2FC9"/>
    <w:rsid w:val="006C2FE9"/>
    <w:rsid w:val="006C3051"/>
    <w:rsid w:val="006C30D7"/>
    <w:rsid w:val="006C311F"/>
    <w:rsid w:val="006C3184"/>
    <w:rsid w:val="006C31E8"/>
    <w:rsid w:val="006C3237"/>
    <w:rsid w:val="006C33EE"/>
    <w:rsid w:val="006C3424"/>
    <w:rsid w:val="006C3536"/>
    <w:rsid w:val="006C3570"/>
    <w:rsid w:val="006C35FF"/>
    <w:rsid w:val="006C3616"/>
    <w:rsid w:val="006C363C"/>
    <w:rsid w:val="006C37A2"/>
    <w:rsid w:val="006C37E7"/>
    <w:rsid w:val="006C38D2"/>
    <w:rsid w:val="006C39E2"/>
    <w:rsid w:val="006C3ABC"/>
    <w:rsid w:val="006C3ABD"/>
    <w:rsid w:val="006C3B0C"/>
    <w:rsid w:val="006C3D19"/>
    <w:rsid w:val="006C3D6D"/>
    <w:rsid w:val="006C3E82"/>
    <w:rsid w:val="006C3F48"/>
    <w:rsid w:val="006C4166"/>
    <w:rsid w:val="006C4259"/>
    <w:rsid w:val="006C4370"/>
    <w:rsid w:val="006C4432"/>
    <w:rsid w:val="006C447A"/>
    <w:rsid w:val="006C4484"/>
    <w:rsid w:val="006C4490"/>
    <w:rsid w:val="006C44F8"/>
    <w:rsid w:val="006C44FC"/>
    <w:rsid w:val="006C451A"/>
    <w:rsid w:val="006C4659"/>
    <w:rsid w:val="006C468B"/>
    <w:rsid w:val="006C480F"/>
    <w:rsid w:val="006C4868"/>
    <w:rsid w:val="006C4878"/>
    <w:rsid w:val="006C498F"/>
    <w:rsid w:val="006C49A0"/>
    <w:rsid w:val="006C4AC8"/>
    <w:rsid w:val="006C4B2B"/>
    <w:rsid w:val="006C4C25"/>
    <w:rsid w:val="006C4C31"/>
    <w:rsid w:val="006C4CB9"/>
    <w:rsid w:val="006C4D05"/>
    <w:rsid w:val="006C4D2B"/>
    <w:rsid w:val="006C4FE2"/>
    <w:rsid w:val="006C5003"/>
    <w:rsid w:val="006C525C"/>
    <w:rsid w:val="006C53C1"/>
    <w:rsid w:val="006C58C8"/>
    <w:rsid w:val="006C5A3F"/>
    <w:rsid w:val="006C5A4E"/>
    <w:rsid w:val="006C5A78"/>
    <w:rsid w:val="006C5AA8"/>
    <w:rsid w:val="006C5B58"/>
    <w:rsid w:val="006C5BAF"/>
    <w:rsid w:val="006C5BB8"/>
    <w:rsid w:val="006C5BD9"/>
    <w:rsid w:val="006C5BDC"/>
    <w:rsid w:val="006C5BEA"/>
    <w:rsid w:val="006C5CE6"/>
    <w:rsid w:val="006C5D60"/>
    <w:rsid w:val="006C5D9F"/>
    <w:rsid w:val="006C5E6A"/>
    <w:rsid w:val="006C5F0F"/>
    <w:rsid w:val="006C5F46"/>
    <w:rsid w:val="006C5F5E"/>
    <w:rsid w:val="006C5F61"/>
    <w:rsid w:val="006C5FC6"/>
    <w:rsid w:val="006C6052"/>
    <w:rsid w:val="006C6088"/>
    <w:rsid w:val="006C60A0"/>
    <w:rsid w:val="006C60D3"/>
    <w:rsid w:val="006C6120"/>
    <w:rsid w:val="006C6142"/>
    <w:rsid w:val="006C6294"/>
    <w:rsid w:val="006C6370"/>
    <w:rsid w:val="006C64A1"/>
    <w:rsid w:val="006C651C"/>
    <w:rsid w:val="006C65A9"/>
    <w:rsid w:val="006C6633"/>
    <w:rsid w:val="006C67C5"/>
    <w:rsid w:val="006C67FA"/>
    <w:rsid w:val="006C6814"/>
    <w:rsid w:val="006C6A7F"/>
    <w:rsid w:val="006C6B12"/>
    <w:rsid w:val="006C6BD4"/>
    <w:rsid w:val="006C6BDE"/>
    <w:rsid w:val="006C6C44"/>
    <w:rsid w:val="006C6CC3"/>
    <w:rsid w:val="006C6CFA"/>
    <w:rsid w:val="006C6ECB"/>
    <w:rsid w:val="006C6F26"/>
    <w:rsid w:val="006C6F27"/>
    <w:rsid w:val="006C6F40"/>
    <w:rsid w:val="006C6F54"/>
    <w:rsid w:val="006C7000"/>
    <w:rsid w:val="006C70D8"/>
    <w:rsid w:val="006C716C"/>
    <w:rsid w:val="006C71B9"/>
    <w:rsid w:val="006C71EB"/>
    <w:rsid w:val="006C724D"/>
    <w:rsid w:val="006C7259"/>
    <w:rsid w:val="006C727D"/>
    <w:rsid w:val="006C72B2"/>
    <w:rsid w:val="006C7373"/>
    <w:rsid w:val="006C7395"/>
    <w:rsid w:val="006C73D4"/>
    <w:rsid w:val="006C742E"/>
    <w:rsid w:val="006C753E"/>
    <w:rsid w:val="006C759E"/>
    <w:rsid w:val="006C75A5"/>
    <w:rsid w:val="006C75F2"/>
    <w:rsid w:val="006C76BF"/>
    <w:rsid w:val="006C7757"/>
    <w:rsid w:val="006C7797"/>
    <w:rsid w:val="006C7809"/>
    <w:rsid w:val="006C78FF"/>
    <w:rsid w:val="006C7913"/>
    <w:rsid w:val="006C796B"/>
    <w:rsid w:val="006C798A"/>
    <w:rsid w:val="006C79D3"/>
    <w:rsid w:val="006C7A49"/>
    <w:rsid w:val="006C7AE1"/>
    <w:rsid w:val="006C7BFC"/>
    <w:rsid w:val="006C7C19"/>
    <w:rsid w:val="006C7C1A"/>
    <w:rsid w:val="006C7C31"/>
    <w:rsid w:val="006C7CFC"/>
    <w:rsid w:val="006C7DA9"/>
    <w:rsid w:val="006C7DFD"/>
    <w:rsid w:val="006D0048"/>
    <w:rsid w:val="006D00A3"/>
    <w:rsid w:val="006D0152"/>
    <w:rsid w:val="006D03B7"/>
    <w:rsid w:val="006D03C7"/>
    <w:rsid w:val="006D048A"/>
    <w:rsid w:val="006D0629"/>
    <w:rsid w:val="006D069D"/>
    <w:rsid w:val="006D06CD"/>
    <w:rsid w:val="006D0711"/>
    <w:rsid w:val="006D08B6"/>
    <w:rsid w:val="006D0981"/>
    <w:rsid w:val="006D0AEA"/>
    <w:rsid w:val="006D0D62"/>
    <w:rsid w:val="006D0F1E"/>
    <w:rsid w:val="006D0F98"/>
    <w:rsid w:val="006D103B"/>
    <w:rsid w:val="006D1163"/>
    <w:rsid w:val="006D11D3"/>
    <w:rsid w:val="006D1233"/>
    <w:rsid w:val="006D1297"/>
    <w:rsid w:val="006D12C3"/>
    <w:rsid w:val="006D132A"/>
    <w:rsid w:val="006D1360"/>
    <w:rsid w:val="006D14D2"/>
    <w:rsid w:val="006D14E7"/>
    <w:rsid w:val="006D14E8"/>
    <w:rsid w:val="006D1578"/>
    <w:rsid w:val="006D1624"/>
    <w:rsid w:val="006D16E6"/>
    <w:rsid w:val="006D1779"/>
    <w:rsid w:val="006D17CB"/>
    <w:rsid w:val="006D17F2"/>
    <w:rsid w:val="006D1900"/>
    <w:rsid w:val="006D1A67"/>
    <w:rsid w:val="006D1AD4"/>
    <w:rsid w:val="006D1B1D"/>
    <w:rsid w:val="006D1B2E"/>
    <w:rsid w:val="006D1BD2"/>
    <w:rsid w:val="006D1C6B"/>
    <w:rsid w:val="006D1E13"/>
    <w:rsid w:val="006D1E1D"/>
    <w:rsid w:val="006D1E4F"/>
    <w:rsid w:val="006D1F65"/>
    <w:rsid w:val="006D2033"/>
    <w:rsid w:val="006D209C"/>
    <w:rsid w:val="006D2177"/>
    <w:rsid w:val="006D221C"/>
    <w:rsid w:val="006D232C"/>
    <w:rsid w:val="006D239F"/>
    <w:rsid w:val="006D241C"/>
    <w:rsid w:val="006D254B"/>
    <w:rsid w:val="006D2607"/>
    <w:rsid w:val="006D26B2"/>
    <w:rsid w:val="006D27DD"/>
    <w:rsid w:val="006D2848"/>
    <w:rsid w:val="006D287E"/>
    <w:rsid w:val="006D2992"/>
    <w:rsid w:val="006D2A3C"/>
    <w:rsid w:val="006D2AD1"/>
    <w:rsid w:val="006D2B01"/>
    <w:rsid w:val="006D2B24"/>
    <w:rsid w:val="006D2B97"/>
    <w:rsid w:val="006D2C08"/>
    <w:rsid w:val="006D2C1B"/>
    <w:rsid w:val="006D2C4B"/>
    <w:rsid w:val="006D2C7D"/>
    <w:rsid w:val="006D2D68"/>
    <w:rsid w:val="006D2DE1"/>
    <w:rsid w:val="006D2E31"/>
    <w:rsid w:val="006D2E60"/>
    <w:rsid w:val="006D2E96"/>
    <w:rsid w:val="006D2F27"/>
    <w:rsid w:val="006D2F4B"/>
    <w:rsid w:val="006D2FD7"/>
    <w:rsid w:val="006D3069"/>
    <w:rsid w:val="006D317C"/>
    <w:rsid w:val="006D31EF"/>
    <w:rsid w:val="006D353C"/>
    <w:rsid w:val="006D35DE"/>
    <w:rsid w:val="006D36E7"/>
    <w:rsid w:val="006D3A3D"/>
    <w:rsid w:val="006D3AC0"/>
    <w:rsid w:val="006D3B03"/>
    <w:rsid w:val="006D3DB5"/>
    <w:rsid w:val="006D3F0F"/>
    <w:rsid w:val="006D3F3C"/>
    <w:rsid w:val="006D41B6"/>
    <w:rsid w:val="006D41E7"/>
    <w:rsid w:val="006D4293"/>
    <w:rsid w:val="006D42E0"/>
    <w:rsid w:val="006D4448"/>
    <w:rsid w:val="006D4478"/>
    <w:rsid w:val="006D44C7"/>
    <w:rsid w:val="006D44E1"/>
    <w:rsid w:val="006D45A5"/>
    <w:rsid w:val="006D45C3"/>
    <w:rsid w:val="006D466D"/>
    <w:rsid w:val="006D470F"/>
    <w:rsid w:val="006D4743"/>
    <w:rsid w:val="006D477C"/>
    <w:rsid w:val="006D48E0"/>
    <w:rsid w:val="006D49B9"/>
    <w:rsid w:val="006D49E5"/>
    <w:rsid w:val="006D49FB"/>
    <w:rsid w:val="006D4AB1"/>
    <w:rsid w:val="006D4AD7"/>
    <w:rsid w:val="006D4B13"/>
    <w:rsid w:val="006D4B4F"/>
    <w:rsid w:val="006D4E6E"/>
    <w:rsid w:val="006D4EDE"/>
    <w:rsid w:val="006D4FA7"/>
    <w:rsid w:val="006D509E"/>
    <w:rsid w:val="006D5142"/>
    <w:rsid w:val="006D51C9"/>
    <w:rsid w:val="006D526E"/>
    <w:rsid w:val="006D5306"/>
    <w:rsid w:val="006D53F9"/>
    <w:rsid w:val="006D5504"/>
    <w:rsid w:val="006D5678"/>
    <w:rsid w:val="006D5704"/>
    <w:rsid w:val="006D581F"/>
    <w:rsid w:val="006D58D4"/>
    <w:rsid w:val="006D5950"/>
    <w:rsid w:val="006D5970"/>
    <w:rsid w:val="006D5A4F"/>
    <w:rsid w:val="006D5ADF"/>
    <w:rsid w:val="006D5C38"/>
    <w:rsid w:val="006D5C71"/>
    <w:rsid w:val="006D5E74"/>
    <w:rsid w:val="006D5EE8"/>
    <w:rsid w:val="006D60D0"/>
    <w:rsid w:val="006D6155"/>
    <w:rsid w:val="006D62BE"/>
    <w:rsid w:val="006D63BC"/>
    <w:rsid w:val="006D63F6"/>
    <w:rsid w:val="006D64D8"/>
    <w:rsid w:val="006D6588"/>
    <w:rsid w:val="006D65F1"/>
    <w:rsid w:val="006D664E"/>
    <w:rsid w:val="006D6685"/>
    <w:rsid w:val="006D66AC"/>
    <w:rsid w:val="006D66F7"/>
    <w:rsid w:val="006D68C9"/>
    <w:rsid w:val="006D6AFF"/>
    <w:rsid w:val="006D6B64"/>
    <w:rsid w:val="006D6C6B"/>
    <w:rsid w:val="006D6CDD"/>
    <w:rsid w:val="006D6CED"/>
    <w:rsid w:val="006D6DB8"/>
    <w:rsid w:val="006D6E39"/>
    <w:rsid w:val="006D6F7D"/>
    <w:rsid w:val="006D6F94"/>
    <w:rsid w:val="006D6FA5"/>
    <w:rsid w:val="006D6FD6"/>
    <w:rsid w:val="006D6FE7"/>
    <w:rsid w:val="006D701A"/>
    <w:rsid w:val="006D7064"/>
    <w:rsid w:val="006D706A"/>
    <w:rsid w:val="006D71BC"/>
    <w:rsid w:val="006D7298"/>
    <w:rsid w:val="006D7342"/>
    <w:rsid w:val="006D7402"/>
    <w:rsid w:val="006D745B"/>
    <w:rsid w:val="006D74C8"/>
    <w:rsid w:val="006D7610"/>
    <w:rsid w:val="006D7647"/>
    <w:rsid w:val="006D7992"/>
    <w:rsid w:val="006D7A76"/>
    <w:rsid w:val="006D7D2F"/>
    <w:rsid w:val="006D7DB0"/>
    <w:rsid w:val="006D7E3B"/>
    <w:rsid w:val="006D7F68"/>
    <w:rsid w:val="006E0009"/>
    <w:rsid w:val="006E0023"/>
    <w:rsid w:val="006E0171"/>
    <w:rsid w:val="006E01A2"/>
    <w:rsid w:val="006E0288"/>
    <w:rsid w:val="006E0337"/>
    <w:rsid w:val="006E0342"/>
    <w:rsid w:val="006E03B3"/>
    <w:rsid w:val="006E0561"/>
    <w:rsid w:val="006E08EF"/>
    <w:rsid w:val="006E0901"/>
    <w:rsid w:val="006E0974"/>
    <w:rsid w:val="006E0A06"/>
    <w:rsid w:val="006E0B46"/>
    <w:rsid w:val="006E0C89"/>
    <w:rsid w:val="006E0CF3"/>
    <w:rsid w:val="006E0CFD"/>
    <w:rsid w:val="006E0DF9"/>
    <w:rsid w:val="006E0FFF"/>
    <w:rsid w:val="006E1059"/>
    <w:rsid w:val="006E1096"/>
    <w:rsid w:val="006E10D9"/>
    <w:rsid w:val="006E113A"/>
    <w:rsid w:val="006E114F"/>
    <w:rsid w:val="006E1303"/>
    <w:rsid w:val="006E134A"/>
    <w:rsid w:val="006E1381"/>
    <w:rsid w:val="006E138A"/>
    <w:rsid w:val="006E1399"/>
    <w:rsid w:val="006E144A"/>
    <w:rsid w:val="006E14A2"/>
    <w:rsid w:val="006E14AB"/>
    <w:rsid w:val="006E1580"/>
    <w:rsid w:val="006E15C9"/>
    <w:rsid w:val="006E1881"/>
    <w:rsid w:val="006E1899"/>
    <w:rsid w:val="006E18D1"/>
    <w:rsid w:val="006E18DA"/>
    <w:rsid w:val="006E19B7"/>
    <w:rsid w:val="006E1AED"/>
    <w:rsid w:val="006E1B4E"/>
    <w:rsid w:val="006E1B7B"/>
    <w:rsid w:val="006E1BC8"/>
    <w:rsid w:val="006E1C8D"/>
    <w:rsid w:val="006E1FF4"/>
    <w:rsid w:val="006E21FA"/>
    <w:rsid w:val="006E22CB"/>
    <w:rsid w:val="006E235D"/>
    <w:rsid w:val="006E25A6"/>
    <w:rsid w:val="006E25B5"/>
    <w:rsid w:val="006E260D"/>
    <w:rsid w:val="006E2787"/>
    <w:rsid w:val="006E278D"/>
    <w:rsid w:val="006E27DA"/>
    <w:rsid w:val="006E28ED"/>
    <w:rsid w:val="006E28EF"/>
    <w:rsid w:val="006E2A5D"/>
    <w:rsid w:val="006E2B3F"/>
    <w:rsid w:val="006E2BF7"/>
    <w:rsid w:val="006E2C54"/>
    <w:rsid w:val="006E2C9C"/>
    <w:rsid w:val="006E2D24"/>
    <w:rsid w:val="006E2DF3"/>
    <w:rsid w:val="006E2E7D"/>
    <w:rsid w:val="006E2F1D"/>
    <w:rsid w:val="006E2F61"/>
    <w:rsid w:val="006E2FC2"/>
    <w:rsid w:val="006E2FFC"/>
    <w:rsid w:val="006E3017"/>
    <w:rsid w:val="006E318E"/>
    <w:rsid w:val="006E33C3"/>
    <w:rsid w:val="006E340F"/>
    <w:rsid w:val="006E3421"/>
    <w:rsid w:val="006E3671"/>
    <w:rsid w:val="006E367D"/>
    <w:rsid w:val="006E38B5"/>
    <w:rsid w:val="006E39BC"/>
    <w:rsid w:val="006E3A08"/>
    <w:rsid w:val="006E3C5C"/>
    <w:rsid w:val="006E3CC2"/>
    <w:rsid w:val="006E3E21"/>
    <w:rsid w:val="006E3E6D"/>
    <w:rsid w:val="006E3EB2"/>
    <w:rsid w:val="006E3F21"/>
    <w:rsid w:val="006E3FD3"/>
    <w:rsid w:val="006E402A"/>
    <w:rsid w:val="006E4119"/>
    <w:rsid w:val="006E4217"/>
    <w:rsid w:val="006E45E6"/>
    <w:rsid w:val="006E4783"/>
    <w:rsid w:val="006E4896"/>
    <w:rsid w:val="006E4975"/>
    <w:rsid w:val="006E4A47"/>
    <w:rsid w:val="006E4B6D"/>
    <w:rsid w:val="006E4BD4"/>
    <w:rsid w:val="006E4BDB"/>
    <w:rsid w:val="006E4C10"/>
    <w:rsid w:val="006E4C20"/>
    <w:rsid w:val="006E4C2F"/>
    <w:rsid w:val="006E4F39"/>
    <w:rsid w:val="006E50A0"/>
    <w:rsid w:val="006E5126"/>
    <w:rsid w:val="006E5281"/>
    <w:rsid w:val="006E5385"/>
    <w:rsid w:val="006E53EA"/>
    <w:rsid w:val="006E53F3"/>
    <w:rsid w:val="006E5410"/>
    <w:rsid w:val="006E5425"/>
    <w:rsid w:val="006E5430"/>
    <w:rsid w:val="006E54A1"/>
    <w:rsid w:val="006E54A4"/>
    <w:rsid w:val="006E55AD"/>
    <w:rsid w:val="006E5655"/>
    <w:rsid w:val="006E5657"/>
    <w:rsid w:val="006E57FA"/>
    <w:rsid w:val="006E5816"/>
    <w:rsid w:val="006E5848"/>
    <w:rsid w:val="006E5895"/>
    <w:rsid w:val="006E5A20"/>
    <w:rsid w:val="006E5A92"/>
    <w:rsid w:val="006E5BD5"/>
    <w:rsid w:val="006E5BDD"/>
    <w:rsid w:val="006E5C0D"/>
    <w:rsid w:val="006E5C51"/>
    <w:rsid w:val="006E5C7B"/>
    <w:rsid w:val="006E5D06"/>
    <w:rsid w:val="006E5E15"/>
    <w:rsid w:val="006E5E6D"/>
    <w:rsid w:val="006E5F97"/>
    <w:rsid w:val="006E5FD1"/>
    <w:rsid w:val="006E60C5"/>
    <w:rsid w:val="006E61B4"/>
    <w:rsid w:val="006E6273"/>
    <w:rsid w:val="006E62B4"/>
    <w:rsid w:val="006E6428"/>
    <w:rsid w:val="006E64B8"/>
    <w:rsid w:val="006E64F2"/>
    <w:rsid w:val="006E6508"/>
    <w:rsid w:val="006E652B"/>
    <w:rsid w:val="006E657C"/>
    <w:rsid w:val="006E6610"/>
    <w:rsid w:val="006E66E6"/>
    <w:rsid w:val="006E670F"/>
    <w:rsid w:val="006E67AB"/>
    <w:rsid w:val="006E68A6"/>
    <w:rsid w:val="006E6931"/>
    <w:rsid w:val="006E69CF"/>
    <w:rsid w:val="006E6AAE"/>
    <w:rsid w:val="006E6B8B"/>
    <w:rsid w:val="006E6B9D"/>
    <w:rsid w:val="006E6BAE"/>
    <w:rsid w:val="006E6D40"/>
    <w:rsid w:val="006E6DB9"/>
    <w:rsid w:val="006E6DBE"/>
    <w:rsid w:val="006E6E0B"/>
    <w:rsid w:val="006E6F2F"/>
    <w:rsid w:val="006E6F3B"/>
    <w:rsid w:val="006E6F8E"/>
    <w:rsid w:val="006E704D"/>
    <w:rsid w:val="006E70BE"/>
    <w:rsid w:val="006E7127"/>
    <w:rsid w:val="006E715F"/>
    <w:rsid w:val="006E71A2"/>
    <w:rsid w:val="006E72B1"/>
    <w:rsid w:val="006E734C"/>
    <w:rsid w:val="006E73BB"/>
    <w:rsid w:val="006E7421"/>
    <w:rsid w:val="006E7440"/>
    <w:rsid w:val="006E754B"/>
    <w:rsid w:val="006E75A9"/>
    <w:rsid w:val="006E7619"/>
    <w:rsid w:val="006E76B4"/>
    <w:rsid w:val="006E78FC"/>
    <w:rsid w:val="006E7A42"/>
    <w:rsid w:val="006E7AB3"/>
    <w:rsid w:val="006E7B0D"/>
    <w:rsid w:val="006E7B2F"/>
    <w:rsid w:val="006E7B48"/>
    <w:rsid w:val="006E7CA4"/>
    <w:rsid w:val="006E7CAD"/>
    <w:rsid w:val="006E7E40"/>
    <w:rsid w:val="006E7E47"/>
    <w:rsid w:val="006E7FFA"/>
    <w:rsid w:val="006F020D"/>
    <w:rsid w:val="006F022C"/>
    <w:rsid w:val="006F0382"/>
    <w:rsid w:val="006F039D"/>
    <w:rsid w:val="006F03BD"/>
    <w:rsid w:val="006F03BE"/>
    <w:rsid w:val="006F03DA"/>
    <w:rsid w:val="006F0487"/>
    <w:rsid w:val="006F04B6"/>
    <w:rsid w:val="006F04EC"/>
    <w:rsid w:val="006F0645"/>
    <w:rsid w:val="006F0671"/>
    <w:rsid w:val="006F0735"/>
    <w:rsid w:val="006F078D"/>
    <w:rsid w:val="006F07CC"/>
    <w:rsid w:val="006F0862"/>
    <w:rsid w:val="006F086B"/>
    <w:rsid w:val="006F087E"/>
    <w:rsid w:val="006F08B0"/>
    <w:rsid w:val="006F08BA"/>
    <w:rsid w:val="006F09D6"/>
    <w:rsid w:val="006F09DB"/>
    <w:rsid w:val="006F0AD7"/>
    <w:rsid w:val="006F0C7C"/>
    <w:rsid w:val="006F0CD4"/>
    <w:rsid w:val="006F0CD5"/>
    <w:rsid w:val="006F0D41"/>
    <w:rsid w:val="006F0D4D"/>
    <w:rsid w:val="006F0DE6"/>
    <w:rsid w:val="006F0E41"/>
    <w:rsid w:val="006F0E75"/>
    <w:rsid w:val="006F0EA1"/>
    <w:rsid w:val="006F0EA4"/>
    <w:rsid w:val="006F11D0"/>
    <w:rsid w:val="006F11D3"/>
    <w:rsid w:val="006F12BB"/>
    <w:rsid w:val="006F12C1"/>
    <w:rsid w:val="006F12E3"/>
    <w:rsid w:val="006F140E"/>
    <w:rsid w:val="006F147F"/>
    <w:rsid w:val="006F14F9"/>
    <w:rsid w:val="006F15AF"/>
    <w:rsid w:val="006F1693"/>
    <w:rsid w:val="006F17AA"/>
    <w:rsid w:val="006F1884"/>
    <w:rsid w:val="006F1920"/>
    <w:rsid w:val="006F1ACD"/>
    <w:rsid w:val="006F1BB3"/>
    <w:rsid w:val="006F1BC7"/>
    <w:rsid w:val="006F1C11"/>
    <w:rsid w:val="006F1CC6"/>
    <w:rsid w:val="006F1D14"/>
    <w:rsid w:val="006F1D58"/>
    <w:rsid w:val="006F1DB6"/>
    <w:rsid w:val="006F1E35"/>
    <w:rsid w:val="006F1F64"/>
    <w:rsid w:val="006F1F69"/>
    <w:rsid w:val="006F1F7D"/>
    <w:rsid w:val="006F2051"/>
    <w:rsid w:val="006F214D"/>
    <w:rsid w:val="006F2318"/>
    <w:rsid w:val="006F231E"/>
    <w:rsid w:val="006F23EB"/>
    <w:rsid w:val="006F2432"/>
    <w:rsid w:val="006F25B9"/>
    <w:rsid w:val="006F25CC"/>
    <w:rsid w:val="006F25DD"/>
    <w:rsid w:val="006F25F2"/>
    <w:rsid w:val="006F2648"/>
    <w:rsid w:val="006F2712"/>
    <w:rsid w:val="006F2808"/>
    <w:rsid w:val="006F2844"/>
    <w:rsid w:val="006F2920"/>
    <w:rsid w:val="006F2994"/>
    <w:rsid w:val="006F2A03"/>
    <w:rsid w:val="006F2AA9"/>
    <w:rsid w:val="006F2B81"/>
    <w:rsid w:val="006F2B89"/>
    <w:rsid w:val="006F2C01"/>
    <w:rsid w:val="006F2C0E"/>
    <w:rsid w:val="006F2C53"/>
    <w:rsid w:val="006F2CE8"/>
    <w:rsid w:val="006F2D32"/>
    <w:rsid w:val="006F2DEB"/>
    <w:rsid w:val="006F2E19"/>
    <w:rsid w:val="006F2E6C"/>
    <w:rsid w:val="006F2F0A"/>
    <w:rsid w:val="006F2F9F"/>
    <w:rsid w:val="006F3083"/>
    <w:rsid w:val="006F3097"/>
    <w:rsid w:val="006F30C6"/>
    <w:rsid w:val="006F31C8"/>
    <w:rsid w:val="006F31F3"/>
    <w:rsid w:val="006F320A"/>
    <w:rsid w:val="006F3299"/>
    <w:rsid w:val="006F32A7"/>
    <w:rsid w:val="006F33C9"/>
    <w:rsid w:val="006F355C"/>
    <w:rsid w:val="006F3578"/>
    <w:rsid w:val="006F368B"/>
    <w:rsid w:val="006F36AE"/>
    <w:rsid w:val="006F36F8"/>
    <w:rsid w:val="006F3718"/>
    <w:rsid w:val="006F3813"/>
    <w:rsid w:val="006F3878"/>
    <w:rsid w:val="006F38FC"/>
    <w:rsid w:val="006F39C1"/>
    <w:rsid w:val="006F3A3D"/>
    <w:rsid w:val="006F3B2C"/>
    <w:rsid w:val="006F3BBE"/>
    <w:rsid w:val="006F3E51"/>
    <w:rsid w:val="006F3E64"/>
    <w:rsid w:val="006F3E75"/>
    <w:rsid w:val="006F3F0E"/>
    <w:rsid w:val="006F3F79"/>
    <w:rsid w:val="006F409A"/>
    <w:rsid w:val="006F40FD"/>
    <w:rsid w:val="006F418A"/>
    <w:rsid w:val="006F41A6"/>
    <w:rsid w:val="006F429A"/>
    <w:rsid w:val="006F42E7"/>
    <w:rsid w:val="006F4362"/>
    <w:rsid w:val="006F4369"/>
    <w:rsid w:val="006F444A"/>
    <w:rsid w:val="006F447C"/>
    <w:rsid w:val="006F4753"/>
    <w:rsid w:val="006F4880"/>
    <w:rsid w:val="006F4A5C"/>
    <w:rsid w:val="006F4B5C"/>
    <w:rsid w:val="006F4DD4"/>
    <w:rsid w:val="006F4F42"/>
    <w:rsid w:val="006F4F56"/>
    <w:rsid w:val="006F4F8E"/>
    <w:rsid w:val="006F5199"/>
    <w:rsid w:val="006F528A"/>
    <w:rsid w:val="006F530C"/>
    <w:rsid w:val="006F53B1"/>
    <w:rsid w:val="006F53E3"/>
    <w:rsid w:val="006F545B"/>
    <w:rsid w:val="006F54A4"/>
    <w:rsid w:val="006F54C4"/>
    <w:rsid w:val="006F54CB"/>
    <w:rsid w:val="006F552A"/>
    <w:rsid w:val="006F553F"/>
    <w:rsid w:val="006F5555"/>
    <w:rsid w:val="006F5560"/>
    <w:rsid w:val="006F5682"/>
    <w:rsid w:val="006F56EE"/>
    <w:rsid w:val="006F57FE"/>
    <w:rsid w:val="006F5A61"/>
    <w:rsid w:val="006F5C4D"/>
    <w:rsid w:val="006F5CC9"/>
    <w:rsid w:val="006F5CD0"/>
    <w:rsid w:val="006F5DB5"/>
    <w:rsid w:val="006F5E38"/>
    <w:rsid w:val="006F5E67"/>
    <w:rsid w:val="006F5E91"/>
    <w:rsid w:val="006F5EDB"/>
    <w:rsid w:val="006F5EF7"/>
    <w:rsid w:val="006F60C2"/>
    <w:rsid w:val="006F626B"/>
    <w:rsid w:val="006F62E8"/>
    <w:rsid w:val="006F631F"/>
    <w:rsid w:val="006F6354"/>
    <w:rsid w:val="006F6360"/>
    <w:rsid w:val="006F640A"/>
    <w:rsid w:val="006F651A"/>
    <w:rsid w:val="006F664B"/>
    <w:rsid w:val="006F6651"/>
    <w:rsid w:val="006F670B"/>
    <w:rsid w:val="006F6767"/>
    <w:rsid w:val="006F6857"/>
    <w:rsid w:val="006F6917"/>
    <w:rsid w:val="006F696B"/>
    <w:rsid w:val="006F6A44"/>
    <w:rsid w:val="006F6B76"/>
    <w:rsid w:val="006F6B7D"/>
    <w:rsid w:val="006F6B82"/>
    <w:rsid w:val="006F6C76"/>
    <w:rsid w:val="006F6CC2"/>
    <w:rsid w:val="006F6CE5"/>
    <w:rsid w:val="006F6F41"/>
    <w:rsid w:val="006F6FCF"/>
    <w:rsid w:val="006F6FEF"/>
    <w:rsid w:val="006F7135"/>
    <w:rsid w:val="006F71A5"/>
    <w:rsid w:val="006F71C7"/>
    <w:rsid w:val="006F7244"/>
    <w:rsid w:val="006F7245"/>
    <w:rsid w:val="006F742E"/>
    <w:rsid w:val="006F748F"/>
    <w:rsid w:val="006F75D1"/>
    <w:rsid w:val="006F76D5"/>
    <w:rsid w:val="006F7769"/>
    <w:rsid w:val="006F776F"/>
    <w:rsid w:val="006F7783"/>
    <w:rsid w:val="006F7904"/>
    <w:rsid w:val="006F790D"/>
    <w:rsid w:val="006F7968"/>
    <w:rsid w:val="006F798A"/>
    <w:rsid w:val="006F7C3B"/>
    <w:rsid w:val="006F7CBD"/>
    <w:rsid w:val="006F7CC2"/>
    <w:rsid w:val="006F7CDC"/>
    <w:rsid w:val="006F7D9A"/>
    <w:rsid w:val="006F7F86"/>
    <w:rsid w:val="006F7F91"/>
    <w:rsid w:val="00700058"/>
    <w:rsid w:val="0070016A"/>
    <w:rsid w:val="007002AF"/>
    <w:rsid w:val="007002BB"/>
    <w:rsid w:val="007002C4"/>
    <w:rsid w:val="007002D9"/>
    <w:rsid w:val="00700311"/>
    <w:rsid w:val="007003EA"/>
    <w:rsid w:val="0070043C"/>
    <w:rsid w:val="0070054C"/>
    <w:rsid w:val="007005E1"/>
    <w:rsid w:val="00700797"/>
    <w:rsid w:val="007007F6"/>
    <w:rsid w:val="007008C0"/>
    <w:rsid w:val="0070099E"/>
    <w:rsid w:val="007009A2"/>
    <w:rsid w:val="007009BD"/>
    <w:rsid w:val="007009DC"/>
    <w:rsid w:val="00700A25"/>
    <w:rsid w:val="00700B3B"/>
    <w:rsid w:val="00700CA0"/>
    <w:rsid w:val="00700E92"/>
    <w:rsid w:val="00700EA3"/>
    <w:rsid w:val="00700ECB"/>
    <w:rsid w:val="00700EFB"/>
    <w:rsid w:val="00700FB9"/>
    <w:rsid w:val="00701097"/>
    <w:rsid w:val="007010EC"/>
    <w:rsid w:val="007011C4"/>
    <w:rsid w:val="00701304"/>
    <w:rsid w:val="0070134D"/>
    <w:rsid w:val="0070140D"/>
    <w:rsid w:val="007014A5"/>
    <w:rsid w:val="007014E5"/>
    <w:rsid w:val="0070158E"/>
    <w:rsid w:val="00701662"/>
    <w:rsid w:val="007016D0"/>
    <w:rsid w:val="007016D2"/>
    <w:rsid w:val="007016F4"/>
    <w:rsid w:val="007018AE"/>
    <w:rsid w:val="0070192E"/>
    <w:rsid w:val="007019F8"/>
    <w:rsid w:val="00701A28"/>
    <w:rsid w:val="00701A4E"/>
    <w:rsid w:val="00701B09"/>
    <w:rsid w:val="00701B28"/>
    <w:rsid w:val="00701BC1"/>
    <w:rsid w:val="00701C48"/>
    <w:rsid w:val="00701DF1"/>
    <w:rsid w:val="00701EF7"/>
    <w:rsid w:val="0070211A"/>
    <w:rsid w:val="00702234"/>
    <w:rsid w:val="00702368"/>
    <w:rsid w:val="007023A7"/>
    <w:rsid w:val="007025A8"/>
    <w:rsid w:val="007025CE"/>
    <w:rsid w:val="0070275F"/>
    <w:rsid w:val="00702760"/>
    <w:rsid w:val="00702787"/>
    <w:rsid w:val="00702826"/>
    <w:rsid w:val="0070285F"/>
    <w:rsid w:val="007028F0"/>
    <w:rsid w:val="007029B6"/>
    <w:rsid w:val="00702AC4"/>
    <w:rsid w:val="00702B0B"/>
    <w:rsid w:val="00702B65"/>
    <w:rsid w:val="00702B81"/>
    <w:rsid w:val="00702BB0"/>
    <w:rsid w:val="00702C66"/>
    <w:rsid w:val="00702CB3"/>
    <w:rsid w:val="00702CD0"/>
    <w:rsid w:val="00702D60"/>
    <w:rsid w:val="00702D95"/>
    <w:rsid w:val="00702EA4"/>
    <w:rsid w:val="00702EB8"/>
    <w:rsid w:val="00702F26"/>
    <w:rsid w:val="00702F51"/>
    <w:rsid w:val="00702F75"/>
    <w:rsid w:val="00702FE2"/>
    <w:rsid w:val="00703093"/>
    <w:rsid w:val="007030F3"/>
    <w:rsid w:val="00703365"/>
    <w:rsid w:val="00703431"/>
    <w:rsid w:val="007034A8"/>
    <w:rsid w:val="0070350F"/>
    <w:rsid w:val="00703521"/>
    <w:rsid w:val="0070357C"/>
    <w:rsid w:val="0070363F"/>
    <w:rsid w:val="007036D5"/>
    <w:rsid w:val="0070379A"/>
    <w:rsid w:val="007038A0"/>
    <w:rsid w:val="00703917"/>
    <w:rsid w:val="007039BD"/>
    <w:rsid w:val="00703CC4"/>
    <w:rsid w:val="00703D2F"/>
    <w:rsid w:val="00703DE8"/>
    <w:rsid w:val="00703E7E"/>
    <w:rsid w:val="00704081"/>
    <w:rsid w:val="007041AF"/>
    <w:rsid w:val="0070421A"/>
    <w:rsid w:val="00704227"/>
    <w:rsid w:val="0070423C"/>
    <w:rsid w:val="0070427E"/>
    <w:rsid w:val="007042BB"/>
    <w:rsid w:val="007042DB"/>
    <w:rsid w:val="007043AA"/>
    <w:rsid w:val="007044E8"/>
    <w:rsid w:val="0070456B"/>
    <w:rsid w:val="0070457E"/>
    <w:rsid w:val="0070459A"/>
    <w:rsid w:val="00704621"/>
    <w:rsid w:val="007046B2"/>
    <w:rsid w:val="007046DF"/>
    <w:rsid w:val="00704779"/>
    <w:rsid w:val="007047AE"/>
    <w:rsid w:val="007047C8"/>
    <w:rsid w:val="0070487A"/>
    <w:rsid w:val="007049CF"/>
    <w:rsid w:val="00704BA1"/>
    <w:rsid w:val="00704BB2"/>
    <w:rsid w:val="00704C00"/>
    <w:rsid w:val="00704CC0"/>
    <w:rsid w:val="00704D5F"/>
    <w:rsid w:val="00704E19"/>
    <w:rsid w:val="00704E2E"/>
    <w:rsid w:val="00705033"/>
    <w:rsid w:val="0070506D"/>
    <w:rsid w:val="00705075"/>
    <w:rsid w:val="007050C6"/>
    <w:rsid w:val="00705152"/>
    <w:rsid w:val="00705156"/>
    <w:rsid w:val="0070517B"/>
    <w:rsid w:val="007051BF"/>
    <w:rsid w:val="00705220"/>
    <w:rsid w:val="00705223"/>
    <w:rsid w:val="00705274"/>
    <w:rsid w:val="007052C2"/>
    <w:rsid w:val="00705341"/>
    <w:rsid w:val="007053B4"/>
    <w:rsid w:val="007053E4"/>
    <w:rsid w:val="00705485"/>
    <w:rsid w:val="007054C8"/>
    <w:rsid w:val="007056CB"/>
    <w:rsid w:val="00705735"/>
    <w:rsid w:val="00705752"/>
    <w:rsid w:val="007057E9"/>
    <w:rsid w:val="0070588D"/>
    <w:rsid w:val="007058A7"/>
    <w:rsid w:val="007058CA"/>
    <w:rsid w:val="00705916"/>
    <w:rsid w:val="007059DF"/>
    <w:rsid w:val="00705A9E"/>
    <w:rsid w:val="00705D0D"/>
    <w:rsid w:val="00705D7B"/>
    <w:rsid w:val="00705DAF"/>
    <w:rsid w:val="00705E1F"/>
    <w:rsid w:val="00705E2D"/>
    <w:rsid w:val="00705EE8"/>
    <w:rsid w:val="00705EF1"/>
    <w:rsid w:val="00705FDB"/>
    <w:rsid w:val="00706190"/>
    <w:rsid w:val="007062B5"/>
    <w:rsid w:val="00706329"/>
    <w:rsid w:val="0070637C"/>
    <w:rsid w:val="007063CC"/>
    <w:rsid w:val="00706463"/>
    <w:rsid w:val="007064FE"/>
    <w:rsid w:val="007065BC"/>
    <w:rsid w:val="0070663C"/>
    <w:rsid w:val="007066A5"/>
    <w:rsid w:val="007068B3"/>
    <w:rsid w:val="00706952"/>
    <w:rsid w:val="00706B04"/>
    <w:rsid w:val="00706B74"/>
    <w:rsid w:val="00706BA2"/>
    <w:rsid w:val="00706BA7"/>
    <w:rsid w:val="00706D18"/>
    <w:rsid w:val="00706FCF"/>
    <w:rsid w:val="00707049"/>
    <w:rsid w:val="007070A5"/>
    <w:rsid w:val="007070F7"/>
    <w:rsid w:val="0070713C"/>
    <w:rsid w:val="0070715A"/>
    <w:rsid w:val="007071F4"/>
    <w:rsid w:val="0070725C"/>
    <w:rsid w:val="007072DF"/>
    <w:rsid w:val="007072E0"/>
    <w:rsid w:val="0070735D"/>
    <w:rsid w:val="0070736C"/>
    <w:rsid w:val="007074E5"/>
    <w:rsid w:val="00707523"/>
    <w:rsid w:val="0070752D"/>
    <w:rsid w:val="007077F2"/>
    <w:rsid w:val="007077F8"/>
    <w:rsid w:val="00707839"/>
    <w:rsid w:val="00707914"/>
    <w:rsid w:val="007079DF"/>
    <w:rsid w:val="00707A1A"/>
    <w:rsid w:val="00707A53"/>
    <w:rsid w:val="00707B38"/>
    <w:rsid w:val="00707C03"/>
    <w:rsid w:val="00707C2D"/>
    <w:rsid w:val="00707C78"/>
    <w:rsid w:val="00707CDB"/>
    <w:rsid w:val="00707D2D"/>
    <w:rsid w:val="00707D73"/>
    <w:rsid w:val="00707DAC"/>
    <w:rsid w:val="00707E09"/>
    <w:rsid w:val="00707E2F"/>
    <w:rsid w:val="00707F2F"/>
    <w:rsid w:val="00707FA2"/>
    <w:rsid w:val="00707FCA"/>
    <w:rsid w:val="00707FF5"/>
    <w:rsid w:val="007100DB"/>
    <w:rsid w:val="00710378"/>
    <w:rsid w:val="007103F1"/>
    <w:rsid w:val="00710404"/>
    <w:rsid w:val="0071041A"/>
    <w:rsid w:val="007104FC"/>
    <w:rsid w:val="007105C9"/>
    <w:rsid w:val="0071069B"/>
    <w:rsid w:val="007106FB"/>
    <w:rsid w:val="0071070E"/>
    <w:rsid w:val="0071073C"/>
    <w:rsid w:val="0071093B"/>
    <w:rsid w:val="00710A09"/>
    <w:rsid w:val="00710A58"/>
    <w:rsid w:val="00710BBB"/>
    <w:rsid w:val="00710C08"/>
    <w:rsid w:val="00710D2A"/>
    <w:rsid w:val="00710DA2"/>
    <w:rsid w:val="00710E57"/>
    <w:rsid w:val="00710F8F"/>
    <w:rsid w:val="00710FCF"/>
    <w:rsid w:val="00711059"/>
    <w:rsid w:val="00711218"/>
    <w:rsid w:val="00711266"/>
    <w:rsid w:val="007113C3"/>
    <w:rsid w:val="00711459"/>
    <w:rsid w:val="0071166E"/>
    <w:rsid w:val="00711686"/>
    <w:rsid w:val="00711705"/>
    <w:rsid w:val="0071177A"/>
    <w:rsid w:val="00711926"/>
    <w:rsid w:val="00711957"/>
    <w:rsid w:val="007119F5"/>
    <w:rsid w:val="00711A6E"/>
    <w:rsid w:val="00711ADB"/>
    <w:rsid w:val="00711AE9"/>
    <w:rsid w:val="00711B7C"/>
    <w:rsid w:val="00711B9A"/>
    <w:rsid w:val="00711BB6"/>
    <w:rsid w:val="00711BD5"/>
    <w:rsid w:val="00711C92"/>
    <w:rsid w:val="00711CF4"/>
    <w:rsid w:val="00711D82"/>
    <w:rsid w:val="00711DE2"/>
    <w:rsid w:val="00711E0F"/>
    <w:rsid w:val="00711E59"/>
    <w:rsid w:val="00711F01"/>
    <w:rsid w:val="00711F53"/>
    <w:rsid w:val="00712034"/>
    <w:rsid w:val="00712403"/>
    <w:rsid w:val="00712419"/>
    <w:rsid w:val="00712433"/>
    <w:rsid w:val="007124DB"/>
    <w:rsid w:val="0071256A"/>
    <w:rsid w:val="00712592"/>
    <w:rsid w:val="007125F6"/>
    <w:rsid w:val="00712612"/>
    <w:rsid w:val="00712744"/>
    <w:rsid w:val="00712747"/>
    <w:rsid w:val="0071290C"/>
    <w:rsid w:val="00712926"/>
    <w:rsid w:val="0071295D"/>
    <w:rsid w:val="00712972"/>
    <w:rsid w:val="00712B6A"/>
    <w:rsid w:val="00712C1C"/>
    <w:rsid w:val="00712C6A"/>
    <w:rsid w:val="00712CDF"/>
    <w:rsid w:val="00712DDF"/>
    <w:rsid w:val="00712EE8"/>
    <w:rsid w:val="00712F9C"/>
    <w:rsid w:val="00712FE7"/>
    <w:rsid w:val="00713135"/>
    <w:rsid w:val="00713189"/>
    <w:rsid w:val="00713195"/>
    <w:rsid w:val="007133E5"/>
    <w:rsid w:val="007133F9"/>
    <w:rsid w:val="007135DA"/>
    <w:rsid w:val="0071374D"/>
    <w:rsid w:val="007137A3"/>
    <w:rsid w:val="007137CC"/>
    <w:rsid w:val="00713811"/>
    <w:rsid w:val="007138C8"/>
    <w:rsid w:val="00713B73"/>
    <w:rsid w:val="00713BFB"/>
    <w:rsid w:val="00713CC1"/>
    <w:rsid w:val="00713DE0"/>
    <w:rsid w:val="00713E43"/>
    <w:rsid w:val="00713E71"/>
    <w:rsid w:val="00713E8E"/>
    <w:rsid w:val="00714098"/>
    <w:rsid w:val="007140A4"/>
    <w:rsid w:val="00714111"/>
    <w:rsid w:val="00714227"/>
    <w:rsid w:val="00714283"/>
    <w:rsid w:val="0071435D"/>
    <w:rsid w:val="00714420"/>
    <w:rsid w:val="007144B7"/>
    <w:rsid w:val="007144C2"/>
    <w:rsid w:val="0071472F"/>
    <w:rsid w:val="00714739"/>
    <w:rsid w:val="00714888"/>
    <w:rsid w:val="00714978"/>
    <w:rsid w:val="007149B5"/>
    <w:rsid w:val="00714A1E"/>
    <w:rsid w:val="00714B23"/>
    <w:rsid w:val="00714B2C"/>
    <w:rsid w:val="00714D45"/>
    <w:rsid w:val="00714F7F"/>
    <w:rsid w:val="00714F9E"/>
    <w:rsid w:val="00714FA5"/>
    <w:rsid w:val="0071506A"/>
    <w:rsid w:val="007150D5"/>
    <w:rsid w:val="007150DA"/>
    <w:rsid w:val="00715200"/>
    <w:rsid w:val="007152F9"/>
    <w:rsid w:val="007154F0"/>
    <w:rsid w:val="00715517"/>
    <w:rsid w:val="007155AB"/>
    <w:rsid w:val="0071563E"/>
    <w:rsid w:val="0071569C"/>
    <w:rsid w:val="007156E1"/>
    <w:rsid w:val="00715764"/>
    <w:rsid w:val="007157E4"/>
    <w:rsid w:val="0071583C"/>
    <w:rsid w:val="0071596F"/>
    <w:rsid w:val="00715C33"/>
    <w:rsid w:val="00715C39"/>
    <w:rsid w:val="00715D13"/>
    <w:rsid w:val="00715D2D"/>
    <w:rsid w:val="00715D6B"/>
    <w:rsid w:val="00715D73"/>
    <w:rsid w:val="00715DC9"/>
    <w:rsid w:val="00715DD4"/>
    <w:rsid w:val="00715E65"/>
    <w:rsid w:val="00715E74"/>
    <w:rsid w:val="00715E75"/>
    <w:rsid w:val="00715E84"/>
    <w:rsid w:val="00716004"/>
    <w:rsid w:val="00716085"/>
    <w:rsid w:val="007160C2"/>
    <w:rsid w:val="00716159"/>
    <w:rsid w:val="0071624D"/>
    <w:rsid w:val="0071641D"/>
    <w:rsid w:val="00716598"/>
    <w:rsid w:val="00716625"/>
    <w:rsid w:val="0071663A"/>
    <w:rsid w:val="00716678"/>
    <w:rsid w:val="007166D8"/>
    <w:rsid w:val="00716778"/>
    <w:rsid w:val="0071692E"/>
    <w:rsid w:val="00716A34"/>
    <w:rsid w:val="00716AC3"/>
    <w:rsid w:val="00716AF3"/>
    <w:rsid w:val="00716B48"/>
    <w:rsid w:val="00716BB5"/>
    <w:rsid w:val="00716D31"/>
    <w:rsid w:val="00716D4D"/>
    <w:rsid w:val="00716D61"/>
    <w:rsid w:val="00716D97"/>
    <w:rsid w:val="00716E3C"/>
    <w:rsid w:val="00716EAE"/>
    <w:rsid w:val="00716EFD"/>
    <w:rsid w:val="00716FD0"/>
    <w:rsid w:val="00717056"/>
    <w:rsid w:val="007170B8"/>
    <w:rsid w:val="007170DE"/>
    <w:rsid w:val="007170F3"/>
    <w:rsid w:val="0071710C"/>
    <w:rsid w:val="0071717F"/>
    <w:rsid w:val="007171F3"/>
    <w:rsid w:val="00717263"/>
    <w:rsid w:val="0071728B"/>
    <w:rsid w:val="007172E4"/>
    <w:rsid w:val="00717394"/>
    <w:rsid w:val="007173C8"/>
    <w:rsid w:val="007174C0"/>
    <w:rsid w:val="00717562"/>
    <w:rsid w:val="00717661"/>
    <w:rsid w:val="0071766B"/>
    <w:rsid w:val="007177E5"/>
    <w:rsid w:val="00717807"/>
    <w:rsid w:val="00717829"/>
    <w:rsid w:val="007178B7"/>
    <w:rsid w:val="00717AD7"/>
    <w:rsid w:val="00717B32"/>
    <w:rsid w:val="00717B71"/>
    <w:rsid w:val="00717CD9"/>
    <w:rsid w:val="00717DAE"/>
    <w:rsid w:val="00717DEE"/>
    <w:rsid w:val="00720034"/>
    <w:rsid w:val="007202AC"/>
    <w:rsid w:val="0072036B"/>
    <w:rsid w:val="007203A5"/>
    <w:rsid w:val="007203DB"/>
    <w:rsid w:val="007203ED"/>
    <w:rsid w:val="007204F6"/>
    <w:rsid w:val="00720563"/>
    <w:rsid w:val="0072056D"/>
    <w:rsid w:val="00720691"/>
    <w:rsid w:val="007206B9"/>
    <w:rsid w:val="007206BE"/>
    <w:rsid w:val="007206FE"/>
    <w:rsid w:val="00720788"/>
    <w:rsid w:val="0072096D"/>
    <w:rsid w:val="007209B3"/>
    <w:rsid w:val="00720A1A"/>
    <w:rsid w:val="00720B13"/>
    <w:rsid w:val="00720B76"/>
    <w:rsid w:val="00720B84"/>
    <w:rsid w:val="00720BC2"/>
    <w:rsid w:val="00720C00"/>
    <w:rsid w:val="00720C03"/>
    <w:rsid w:val="00720C44"/>
    <w:rsid w:val="00720C8F"/>
    <w:rsid w:val="00720C97"/>
    <w:rsid w:val="00720E34"/>
    <w:rsid w:val="00720E3D"/>
    <w:rsid w:val="00720E91"/>
    <w:rsid w:val="00720EA3"/>
    <w:rsid w:val="00720EC5"/>
    <w:rsid w:val="00720F32"/>
    <w:rsid w:val="00720F9E"/>
    <w:rsid w:val="00720FB7"/>
    <w:rsid w:val="00721001"/>
    <w:rsid w:val="0072111E"/>
    <w:rsid w:val="00721206"/>
    <w:rsid w:val="00721308"/>
    <w:rsid w:val="00721321"/>
    <w:rsid w:val="00721466"/>
    <w:rsid w:val="00721528"/>
    <w:rsid w:val="00721537"/>
    <w:rsid w:val="00721628"/>
    <w:rsid w:val="0072162A"/>
    <w:rsid w:val="00721658"/>
    <w:rsid w:val="00721689"/>
    <w:rsid w:val="0072174F"/>
    <w:rsid w:val="00721886"/>
    <w:rsid w:val="007219CF"/>
    <w:rsid w:val="007219E7"/>
    <w:rsid w:val="00721A4B"/>
    <w:rsid w:val="00721A7E"/>
    <w:rsid w:val="00721AF2"/>
    <w:rsid w:val="00721B12"/>
    <w:rsid w:val="00721B30"/>
    <w:rsid w:val="00721B34"/>
    <w:rsid w:val="00721BD2"/>
    <w:rsid w:val="00721C7A"/>
    <w:rsid w:val="00721CB9"/>
    <w:rsid w:val="00721D42"/>
    <w:rsid w:val="00721EDB"/>
    <w:rsid w:val="0072200D"/>
    <w:rsid w:val="0072208F"/>
    <w:rsid w:val="007221A1"/>
    <w:rsid w:val="007222B6"/>
    <w:rsid w:val="0072230D"/>
    <w:rsid w:val="0072238F"/>
    <w:rsid w:val="007224D3"/>
    <w:rsid w:val="0072252D"/>
    <w:rsid w:val="0072257C"/>
    <w:rsid w:val="007225C6"/>
    <w:rsid w:val="007226AA"/>
    <w:rsid w:val="007226B9"/>
    <w:rsid w:val="00722827"/>
    <w:rsid w:val="0072283E"/>
    <w:rsid w:val="00722851"/>
    <w:rsid w:val="0072286A"/>
    <w:rsid w:val="00722911"/>
    <w:rsid w:val="00722919"/>
    <w:rsid w:val="00722AEF"/>
    <w:rsid w:val="00722BAF"/>
    <w:rsid w:val="00722C6E"/>
    <w:rsid w:val="00722DA2"/>
    <w:rsid w:val="00722DC5"/>
    <w:rsid w:val="00722DD0"/>
    <w:rsid w:val="00722F4B"/>
    <w:rsid w:val="00722FE0"/>
    <w:rsid w:val="007230D7"/>
    <w:rsid w:val="00723184"/>
    <w:rsid w:val="007231C3"/>
    <w:rsid w:val="00723259"/>
    <w:rsid w:val="0072328C"/>
    <w:rsid w:val="007233F1"/>
    <w:rsid w:val="0072347A"/>
    <w:rsid w:val="007234DB"/>
    <w:rsid w:val="007234DC"/>
    <w:rsid w:val="007235E2"/>
    <w:rsid w:val="00723622"/>
    <w:rsid w:val="007236BD"/>
    <w:rsid w:val="007236F0"/>
    <w:rsid w:val="0072374D"/>
    <w:rsid w:val="00723844"/>
    <w:rsid w:val="007239A0"/>
    <w:rsid w:val="007239D4"/>
    <w:rsid w:val="00723B19"/>
    <w:rsid w:val="00723B45"/>
    <w:rsid w:val="00723B57"/>
    <w:rsid w:val="00723B97"/>
    <w:rsid w:val="00723BF2"/>
    <w:rsid w:val="00723C7B"/>
    <w:rsid w:val="00723D5A"/>
    <w:rsid w:val="00723DDB"/>
    <w:rsid w:val="00723E04"/>
    <w:rsid w:val="00723E86"/>
    <w:rsid w:val="00723ED9"/>
    <w:rsid w:val="0072401C"/>
    <w:rsid w:val="00724096"/>
    <w:rsid w:val="007240BC"/>
    <w:rsid w:val="00724193"/>
    <w:rsid w:val="00724240"/>
    <w:rsid w:val="00724243"/>
    <w:rsid w:val="007242CC"/>
    <w:rsid w:val="00724403"/>
    <w:rsid w:val="007244DA"/>
    <w:rsid w:val="007244FB"/>
    <w:rsid w:val="0072457F"/>
    <w:rsid w:val="00724595"/>
    <w:rsid w:val="00724619"/>
    <w:rsid w:val="00724796"/>
    <w:rsid w:val="007248E9"/>
    <w:rsid w:val="007248FC"/>
    <w:rsid w:val="00724A12"/>
    <w:rsid w:val="00724B4A"/>
    <w:rsid w:val="00724B5D"/>
    <w:rsid w:val="00724C30"/>
    <w:rsid w:val="00724C71"/>
    <w:rsid w:val="00724CA0"/>
    <w:rsid w:val="00724D68"/>
    <w:rsid w:val="00724DDC"/>
    <w:rsid w:val="00724EAC"/>
    <w:rsid w:val="00724EB5"/>
    <w:rsid w:val="00724ED2"/>
    <w:rsid w:val="00724FDC"/>
    <w:rsid w:val="00725116"/>
    <w:rsid w:val="0072520F"/>
    <w:rsid w:val="00725299"/>
    <w:rsid w:val="007252E7"/>
    <w:rsid w:val="00725309"/>
    <w:rsid w:val="007253B2"/>
    <w:rsid w:val="007253B7"/>
    <w:rsid w:val="0072555E"/>
    <w:rsid w:val="0072559B"/>
    <w:rsid w:val="007255D6"/>
    <w:rsid w:val="007256C4"/>
    <w:rsid w:val="007257F2"/>
    <w:rsid w:val="007257F4"/>
    <w:rsid w:val="00725810"/>
    <w:rsid w:val="00725847"/>
    <w:rsid w:val="0072596E"/>
    <w:rsid w:val="00725A11"/>
    <w:rsid w:val="00725A6C"/>
    <w:rsid w:val="00725B15"/>
    <w:rsid w:val="00725B8A"/>
    <w:rsid w:val="00725BDE"/>
    <w:rsid w:val="00725C1A"/>
    <w:rsid w:val="00725CAA"/>
    <w:rsid w:val="00725D65"/>
    <w:rsid w:val="00725D90"/>
    <w:rsid w:val="00725EBF"/>
    <w:rsid w:val="00725F3A"/>
    <w:rsid w:val="00725FAF"/>
    <w:rsid w:val="00726091"/>
    <w:rsid w:val="007260FE"/>
    <w:rsid w:val="007262D3"/>
    <w:rsid w:val="007263AA"/>
    <w:rsid w:val="007263DA"/>
    <w:rsid w:val="00726401"/>
    <w:rsid w:val="0072645C"/>
    <w:rsid w:val="007264D7"/>
    <w:rsid w:val="00726557"/>
    <w:rsid w:val="00726584"/>
    <w:rsid w:val="00726589"/>
    <w:rsid w:val="007265AA"/>
    <w:rsid w:val="00726701"/>
    <w:rsid w:val="00726787"/>
    <w:rsid w:val="007267DD"/>
    <w:rsid w:val="007268EB"/>
    <w:rsid w:val="007269C5"/>
    <w:rsid w:val="00726A33"/>
    <w:rsid w:val="00726A63"/>
    <w:rsid w:val="00726A6A"/>
    <w:rsid w:val="00726ABC"/>
    <w:rsid w:val="00726BAC"/>
    <w:rsid w:val="00726BBA"/>
    <w:rsid w:val="00726C18"/>
    <w:rsid w:val="00726CBE"/>
    <w:rsid w:val="00726CF6"/>
    <w:rsid w:val="00726E70"/>
    <w:rsid w:val="00726F97"/>
    <w:rsid w:val="00727095"/>
    <w:rsid w:val="0072709F"/>
    <w:rsid w:val="00727106"/>
    <w:rsid w:val="0072713F"/>
    <w:rsid w:val="00727197"/>
    <w:rsid w:val="0072719B"/>
    <w:rsid w:val="00727261"/>
    <w:rsid w:val="0072732E"/>
    <w:rsid w:val="007273BC"/>
    <w:rsid w:val="00727479"/>
    <w:rsid w:val="00727613"/>
    <w:rsid w:val="0072771C"/>
    <w:rsid w:val="007277F7"/>
    <w:rsid w:val="00727838"/>
    <w:rsid w:val="00727843"/>
    <w:rsid w:val="00727898"/>
    <w:rsid w:val="00727927"/>
    <w:rsid w:val="00727A0B"/>
    <w:rsid w:val="00727A95"/>
    <w:rsid w:val="00727AB3"/>
    <w:rsid w:val="00727B03"/>
    <w:rsid w:val="00727BDF"/>
    <w:rsid w:val="00727C99"/>
    <w:rsid w:val="00727E62"/>
    <w:rsid w:val="00727F5C"/>
    <w:rsid w:val="00727F87"/>
    <w:rsid w:val="00727FF8"/>
    <w:rsid w:val="00730236"/>
    <w:rsid w:val="007302AD"/>
    <w:rsid w:val="0073033E"/>
    <w:rsid w:val="0073047B"/>
    <w:rsid w:val="00730508"/>
    <w:rsid w:val="0073091F"/>
    <w:rsid w:val="00730927"/>
    <w:rsid w:val="00730966"/>
    <w:rsid w:val="007309AA"/>
    <w:rsid w:val="00730B01"/>
    <w:rsid w:val="00730B11"/>
    <w:rsid w:val="00730B65"/>
    <w:rsid w:val="00730CA8"/>
    <w:rsid w:val="00730D88"/>
    <w:rsid w:val="00730DC1"/>
    <w:rsid w:val="00730DF2"/>
    <w:rsid w:val="00730E90"/>
    <w:rsid w:val="00730E98"/>
    <w:rsid w:val="00730F6B"/>
    <w:rsid w:val="00730FAA"/>
    <w:rsid w:val="00730FD8"/>
    <w:rsid w:val="00731093"/>
    <w:rsid w:val="007310E1"/>
    <w:rsid w:val="007310E8"/>
    <w:rsid w:val="00731120"/>
    <w:rsid w:val="0073113E"/>
    <w:rsid w:val="0073114E"/>
    <w:rsid w:val="0073126E"/>
    <w:rsid w:val="00731288"/>
    <w:rsid w:val="0073129F"/>
    <w:rsid w:val="007312E5"/>
    <w:rsid w:val="007312F1"/>
    <w:rsid w:val="007313BC"/>
    <w:rsid w:val="00731610"/>
    <w:rsid w:val="007316C9"/>
    <w:rsid w:val="007316F3"/>
    <w:rsid w:val="0073178B"/>
    <w:rsid w:val="0073188E"/>
    <w:rsid w:val="00731928"/>
    <w:rsid w:val="00731C98"/>
    <w:rsid w:val="00731CB2"/>
    <w:rsid w:val="00731DF4"/>
    <w:rsid w:val="00731E39"/>
    <w:rsid w:val="00731EB2"/>
    <w:rsid w:val="00731ED8"/>
    <w:rsid w:val="00731ED9"/>
    <w:rsid w:val="00731F14"/>
    <w:rsid w:val="00731F6F"/>
    <w:rsid w:val="00732002"/>
    <w:rsid w:val="00732069"/>
    <w:rsid w:val="007320D8"/>
    <w:rsid w:val="007322C3"/>
    <w:rsid w:val="0073237E"/>
    <w:rsid w:val="00732386"/>
    <w:rsid w:val="007323E1"/>
    <w:rsid w:val="0073242E"/>
    <w:rsid w:val="007324C4"/>
    <w:rsid w:val="0073252F"/>
    <w:rsid w:val="00732543"/>
    <w:rsid w:val="00732554"/>
    <w:rsid w:val="007327CE"/>
    <w:rsid w:val="007328BB"/>
    <w:rsid w:val="00732AD4"/>
    <w:rsid w:val="00732B33"/>
    <w:rsid w:val="00732BDA"/>
    <w:rsid w:val="00732C72"/>
    <w:rsid w:val="00732CFD"/>
    <w:rsid w:val="00732D20"/>
    <w:rsid w:val="00732D6A"/>
    <w:rsid w:val="00732D95"/>
    <w:rsid w:val="00732E1D"/>
    <w:rsid w:val="00732FCB"/>
    <w:rsid w:val="00732FD9"/>
    <w:rsid w:val="0073300B"/>
    <w:rsid w:val="00733031"/>
    <w:rsid w:val="00733032"/>
    <w:rsid w:val="00733179"/>
    <w:rsid w:val="00733231"/>
    <w:rsid w:val="00733235"/>
    <w:rsid w:val="0073330F"/>
    <w:rsid w:val="0073331F"/>
    <w:rsid w:val="00733352"/>
    <w:rsid w:val="007333F8"/>
    <w:rsid w:val="00733613"/>
    <w:rsid w:val="007336D0"/>
    <w:rsid w:val="00733763"/>
    <w:rsid w:val="0073377D"/>
    <w:rsid w:val="00733867"/>
    <w:rsid w:val="00733966"/>
    <w:rsid w:val="007339A2"/>
    <w:rsid w:val="00733A10"/>
    <w:rsid w:val="00733B9D"/>
    <w:rsid w:val="00733C2D"/>
    <w:rsid w:val="00733C75"/>
    <w:rsid w:val="00733CA9"/>
    <w:rsid w:val="00733CC7"/>
    <w:rsid w:val="00733D26"/>
    <w:rsid w:val="00733D7C"/>
    <w:rsid w:val="00733DD7"/>
    <w:rsid w:val="00733EBF"/>
    <w:rsid w:val="00733F1A"/>
    <w:rsid w:val="00733F61"/>
    <w:rsid w:val="0073405E"/>
    <w:rsid w:val="00734167"/>
    <w:rsid w:val="007342D5"/>
    <w:rsid w:val="007342D8"/>
    <w:rsid w:val="007343B7"/>
    <w:rsid w:val="007343CB"/>
    <w:rsid w:val="007344E5"/>
    <w:rsid w:val="00734646"/>
    <w:rsid w:val="007347C0"/>
    <w:rsid w:val="007347E4"/>
    <w:rsid w:val="00734960"/>
    <w:rsid w:val="00734A37"/>
    <w:rsid w:val="00734A7F"/>
    <w:rsid w:val="00734A95"/>
    <w:rsid w:val="00734CE0"/>
    <w:rsid w:val="00734E16"/>
    <w:rsid w:val="00734E75"/>
    <w:rsid w:val="00734ED2"/>
    <w:rsid w:val="00734FB5"/>
    <w:rsid w:val="00734FBB"/>
    <w:rsid w:val="00735037"/>
    <w:rsid w:val="00735196"/>
    <w:rsid w:val="007351CE"/>
    <w:rsid w:val="007352B9"/>
    <w:rsid w:val="007352E2"/>
    <w:rsid w:val="00735340"/>
    <w:rsid w:val="00735364"/>
    <w:rsid w:val="007353F7"/>
    <w:rsid w:val="007354F6"/>
    <w:rsid w:val="0073561A"/>
    <w:rsid w:val="00735649"/>
    <w:rsid w:val="0073564A"/>
    <w:rsid w:val="007357DD"/>
    <w:rsid w:val="0073590A"/>
    <w:rsid w:val="0073599E"/>
    <w:rsid w:val="00735A41"/>
    <w:rsid w:val="00735A91"/>
    <w:rsid w:val="00735AD9"/>
    <w:rsid w:val="00735AF6"/>
    <w:rsid w:val="00735B48"/>
    <w:rsid w:val="00735D0E"/>
    <w:rsid w:val="00735D49"/>
    <w:rsid w:val="00735DB6"/>
    <w:rsid w:val="00735F1A"/>
    <w:rsid w:val="00736024"/>
    <w:rsid w:val="0073610F"/>
    <w:rsid w:val="0073614E"/>
    <w:rsid w:val="00736209"/>
    <w:rsid w:val="0073629A"/>
    <w:rsid w:val="00736349"/>
    <w:rsid w:val="0073637C"/>
    <w:rsid w:val="00736566"/>
    <w:rsid w:val="00736630"/>
    <w:rsid w:val="00736676"/>
    <w:rsid w:val="007366C1"/>
    <w:rsid w:val="0073692F"/>
    <w:rsid w:val="00736948"/>
    <w:rsid w:val="00736976"/>
    <w:rsid w:val="007369A4"/>
    <w:rsid w:val="007369AA"/>
    <w:rsid w:val="00736A70"/>
    <w:rsid w:val="00736AA5"/>
    <w:rsid w:val="00736B3D"/>
    <w:rsid w:val="00736C13"/>
    <w:rsid w:val="00736C3A"/>
    <w:rsid w:val="00736C45"/>
    <w:rsid w:val="00736C7B"/>
    <w:rsid w:val="00736CBA"/>
    <w:rsid w:val="00736D07"/>
    <w:rsid w:val="00736D26"/>
    <w:rsid w:val="00736F01"/>
    <w:rsid w:val="007370B2"/>
    <w:rsid w:val="007371E9"/>
    <w:rsid w:val="0073728A"/>
    <w:rsid w:val="007372A6"/>
    <w:rsid w:val="007372A7"/>
    <w:rsid w:val="00737335"/>
    <w:rsid w:val="007373E8"/>
    <w:rsid w:val="0073743A"/>
    <w:rsid w:val="007374C5"/>
    <w:rsid w:val="0073750D"/>
    <w:rsid w:val="00737510"/>
    <w:rsid w:val="00737519"/>
    <w:rsid w:val="0073767F"/>
    <w:rsid w:val="0073770E"/>
    <w:rsid w:val="00737775"/>
    <w:rsid w:val="007377AC"/>
    <w:rsid w:val="00737863"/>
    <w:rsid w:val="007378D4"/>
    <w:rsid w:val="00737921"/>
    <w:rsid w:val="00737940"/>
    <w:rsid w:val="0073797F"/>
    <w:rsid w:val="007379D3"/>
    <w:rsid w:val="00737A81"/>
    <w:rsid w:val="00737B0D"/>
    <w:rsid w:val="00737B44"/>
    <w:rsid w:val="00737B5F"/>
    <w:rsid w:val="00737B7F"/>
    <w:rsid w:val="00737BB2"/>
    <w:rsid w:val="00737C71"/>
    <w:rsid w:val="00737CA4"/>
    <w:rsid w:val="00737CAF"/>
    <w:rsid w:val="00737DA7"/>
    <w:rsid w:val="00737E1F"/>
    <w:rsid w:val="00737E21"/>
    <w:rsid w:val="00737ED9"/>
    <w:rsid w:val="0074002C"/>
    <w:rsid w:val="0074015A"/>
    <w:rsid w:val="0074018A"/>
    <w:rsid w:val="007401F8"/>
    <w:rsid w:val="00740317"/>
    <w:rsid w:val="00740327"/>
    <w:rsid w:val="00740354"/>
    <w:rsid w:val="00740588"/>
    <w:rsid w:val="0074063C"/>
    <w:rsid w:val="0074072B"/>
    <w:rsid w:val="00740757"/>
    <w:rsid w:val="0074075E"/>
    <w:rsid w:val="00740782"/>
    <w:rsid w:val="00740798"/>
    <w:rsid w:val="00740833"/>
    <w:rsid w:val="007408B7"/>
    <w:rsid w:val="00740A1D"/>
    <w:rsid w:val="00740A56"/>
    <w:rsid w:val="00740B98"/>
    <w:rsid w:val="00740C37"/>
    <w:rsid w:val="00740C48"/>
    <w:rsid w:val="00740EB4"/>
    <w:rsid w:val="00740F8B"/>
    <w:rsid w:val="00741133"/>
    <w:rsid w:val="007411ED"/>
    <w:rsid w:val="00741239"/>
    <w:rsid w:val="007412F7"/>
    <w:rsid w:val="00741310"/>
    <w:rsid w:val="00741330"/>
    <w:rsid w:val="00741384"/>
    <w:rsid w:val="007413E5"/>
    <w:rsid w:val="00741431"/>
    <w:rsid w:val="0074144A"/>
    <w:rsid w:val="007414F5"/>
    <w:rsid w:val="00741523"/>
    <w:rsid w:val="0074155A"/>
    <w:rsid w:val="0074159C"/>
    <w:rsid w:val="007416C1"/>
    <w:rsid w:val="007416D9"/>
    <w:rsid w:val="0074184E"/>
    <w:rsid w:val="007418B4"/>
    <w:rsid w:val="007418FF"/>
    <w:rsid w:val="00741907"/>
    <w:rsid w:val="007419CD"/>
    <w:rsid w:val="007419D8"/>
    <w:rsid w:val="00741A28"/>
    <w:rsid w:val="00741A80"/>
    <w:rsid w:val="00741B22"/>
    <w:rsid w:val="00741C7A"/>
    <w:rsid w:val="00741CB8"/>
    <w:rsid w:val="00741CBE"/>
    <w:rsid w:val="00741D97"/>
    <w:rsid w:val="00742150"/>
    <w:rsid w:val="00742195"/>
    <w:rsid w:val="0074237B"/>
    <w:rsid w:val="007423FA"/>
    <w:rsid w:val="00742430"/>
    <w:rsid w:val="007425B5"/>
    <w:rsid w:val="00742694"/>
    <w:rsid w:val="0074269A"/>
    <w:rsid w:val="00742729"/>
    <w:rsid w:val="00742757"/>
    <w:rsid w:val="0074284C"/>
    <w:rsid w:val="007429AA"/>
    <w:rsid w:val="00742A9B"/>
    <w:rsid w:val="00742AE7"/>
    <w:rsid w:val="00742B0A"/>
    <w:rsid w:val="00742BBB"/>
    <w:rsid w:val="00742C8C"/>
    <w:rsid w:val="00742CAB"/>
    <w:rsid w:val="00742CB5"/>
    <w:rsid w:val="00742D38"/>
    <w:rsid w:val="00742D50"/>
    <w:rsid w:val="00742D86"/>
    <w:rsid w:val="00742DD1"/>
    <w:rsid w:val="00742E48"/>
    <w:rsid w:val="00742E49"/>
    <w:rsid w:val="00742E81"/>
    <w:rsid w:val="00742E99"/>
    <w:rsid w:val="00742EC8"/>
    <w:rsid w:val="00742F00"/>
    <w:rsid w:val="00742F6F"/>
    <w:rsid w:val="00742F76"/>
    <w:rsid w:val="00743008"/>
    <w:rsid w:val="007430C2"/>
    <w:rsid w:val="0074310A"/>
    <w:rsid w:val="00743128"/>
    <w:rsid w:val="007431FF"/>
    <w:rsid w:val="00743233"/>
    <w:rsid w:val="0074328D"/>
    <w:rsid w:val="00743392"/>
    <w:rsid w:val="007433E9"/>
    <w:rsid w:val="00743461"/>
    <w:rsid w:val="007434A0"/>
    <w:rsid w:val="00743528"/>
    <w:rsid w:val="00743547"/>
    <w:rsid w:val="00743756"/>
    <w:rsid w:val="007437BE"/>
    <w:rsid w:val="0074382B"/>
    <w:rsid w:val="00743853"/>
    <w:rsid w:val="00743891"/>
    <w:rsid w:val="007438B5"/>
    <w:rsid w:val="007439AA"/>
    <w:rsid w:val="00743B34"/>
    <w:rsid w:val="00743B75"/>
    <w:rsid w:val="00743BD9"/>
    <w:rsid w:val="00743DA8"/>
    <w:rsid w:val="00743E7D"/>
    <w:rsid w:val="00743EC4"/>
    <w:rsid w:val="00743F13"/>
    <w:rsid w:val="007440BF"/>
    <w:rsid w:val="0074425C"/>
    <w:rsid w:val="00744275"/>
    <w:rsid w:val="007443C9"/>
    <w:rsid w:val="007443E2"/>
    <w:rsid w:val="007444AC"/>
    <w:rsid w:val="007444BE"/>
    <w:rsid w:val="007444C9"/>
    <w:rsid w:val="00744652"/>
    <w:rsid w:val="007446AD"/>
    <w:rsid w:val="0074473B"/>
    <w:rsid w:val="0074479B"/>
    <w:rsid w:val="007448D2"/>
    <w:rsid w:val="00744BEA"/>
    <w:rsid w:val="00744DDA"/>
    <w:rsid w:val="00744EC7"/>
    <w:rsid w:val="00745049"/>
    <w:rsid w:val="00745143"/>
    <w:rsid w:val="00745465"/>
    <w:rsid w:val="0074567F"/>
    <w:rsid w:val="007456CE"/>
    <w:rsid w:val="007457C2"/>
    <w:rsid w:val="0074588A"/>
    <w:rsid w:val="007458DE"/>
    <w:rsid w:val="007459B4"/>
    <w:rsid w:val="007459CD"/>
    <w:rsid w:val="00745A5B"/>
    <w:rsid w:val="00745BB2"/>
    <w:rsid w:val="00745BBC"/>
    <w:rsid w:val="00745BD1"/>
    <w:rsid w:val="00745C63"/>
    <w:rsid w:val="00745C84"/>
    <w:rsid w:val="00745D7E"/>
    <w:rsid w:val="00745EC7"/>
    <w:rsid w:val="00745F1D"/>
    <w:rsid w:val="00745F86"/>
    <w:rsid w:val="00745FBD"/>
    <w:rsid w:val="007460A3"/>
    <w:rsid w:val="007461B9"/>
    <w:rsid w:val="00746228"/>
    <w:rsid w:val="00746277"/>
    <w:rsid w:val="007462B1"/>
    <w:rsid w:val="007462B6"/>
    <w:rsid w:val="007463FA"/>
    <w:rsid w:val="00746597"/>
    <w:rsid w:val="007466A2"/>
    <w:rsid w:val="007466A4"/>
    <w:rsid w:val="007466C9"/>
    <w:rsid w:val="00746708"/>
    <w:rsid w:val="0074687F"/>
    <w:rsid w:val="007469F3"/>
    <w:rsid w:val="00746A62"/>
    <w:rsid w:val="00746A88"/>
    <w:rsid w:val="00746ABD"/>
    <w:rsid w:val="00746AD6"/>
    <w:rsid w:val="00746AE2"/>
    <w:rsid w:val="00746B3C"/>
    <w:rsid w:val="00746C66"/>
    <w:rsid w:val="00746D1A"/>
    <w:rsid w:val="00746D94"/>
    <w:rsid w:val="00746D98"/>
    <w:rsid w:val="00746F09"/>
    <w:rsid w:val="00746F6C"/>
    <w:rsid w:val="00746FC5"/>
    <w:rsid w:val="00746FF0"/>
    <w:rsid w:val="007470EB"/>
    <w:rsid w:val="007471BE"/>
    <w:rsid w:val="00747268"/>
    <w:rsid w:val="0074734F"/>
    <w:rsid w:val="007473CB"/>
    <w:rsid w:val="00747464"/>
    <w:rsid w:val="00747493"/>
    <w:rsid w:val="00747511"/>
    <w:rsid w:val="0074752A"/>
    <w:rsid w:val="007475B5"/>
    <w:rsid w:val="007475EE"/>
    <w:rsid w:val="00747621"/>
    <w:rsid w:val="0074766D"/>
    <w:rsid w:val="007478D4"/>
    <w:rsid w:val="007478DB"/>
    <w:rsid w:val="00747944"/>
    <w:rsid w:val="007479E3"/>
    <w:rsid w:val="00747A97"/>
    <w:rsid w:val="00747B3C"/>
    <w:rsid w:val="00747CFD"/>
    <w:rsid w:val="00747D07"/>
    <w:rsid w:val="00747D28"/>
    <w:rsid w:val="00747D38"/>
    <w:rsid w:val="00747D50"/>
    <w:rsid w:val="00747D87"/>
    <w:rsid w:val="00747E65"/>
    <w:rsid w:val="00747EBB"/>
    <w:rsid w:val="00747FA0"/>
    <w:rsid w:val="007500AD"/>
    <w:rsid w:val="007500D5"/>
    <w:rsid w:val="0075016E"/>
    <w:rsid w:val="007501D2"/>
    <w:rsid w:val="00750288"/>
    <w:rsid w:val="0075039E"/>
    <w:rsid w:val="00750442"/>
    <w:rsid w:val="007504AA"/>
    <w:rsid w:val="0075053D"/>
    <w:rsid w:val="00750540"/>
    <w:rsid w:val="007505B1"/>
    <w:rsid w:val="00750673"/>
    <w:rsid w:val="00750678"/>
    <w:rsid w:val="00750770"/>
    <w:rsid w:val="00750789"/>
    <w:rsid w:val="007507AD"/>
    <w:rsid w:val="007507DF"/>
    <w:rsid w:val="0075082C"/>
    <w:rsid w:val="0075082E"/>
    <w:rsid w:val="0075084A"/>
    <w:rsid w:val="00750AC6"/>
    <w:rsid w:val="00750AD0"/>
    <w:rsid w:val="00750AFF"/>
    <w:rsid w:val="00750B1B"/>
    <w:rsid w:val="00750BCC"/>
    <w:rsid w:val="00750C52"/>
    <w:rsid w:val="00750C81"/>
    <w:rsid w:val="00750C8D"/>
    <w:rsid w:val="00750D82"/>
    <w:rsid w:val="00750DFF"/>
    <w:rsid w:val="00750E29"/>
    <w:rsid w:val="00750E58"/>
    <w:rsid w:val="00750EBB"/>
    <w:rsid w:val="00750F44"/>
    <w:rsid w:val="00750F7F"/>
    <w:rsid w:val="00751030"/>
    <w:rsid w:val="007510F1"/>
    <w:rsid w:val="00751172"/>
    <w:rsid w:val="00751297"/>
    <w:rsid w:val="007512CC"/>
    <w:rsid w:val="007512F6"/>
    <w:rsid w:val="00751304"/>
    <w:rsid w:val="00751327"/>
    <w:rsid w:val="0075133C"/>
    <w:rsid w:val="0075134E"/>
    <w:rsid w:val="0075136D"/>
    <w:rsid w:val="0075138D"/>
    <w:rsid w:val="0075145E"/>
    <w:rsid w:val="007514B4"/>
    <w:rsid w:val="0075157C"/>
    <w:rsid w:val="00751597"/>
    <w:rsid w:val="00751697"/>
    <w:rsid w:val="007516A9"/>
    <w:rsid w:val="007516C2"/>
    <w:rsid w:val="007518CD"/>
    <w:rsid w:val="00751A4C"/>
    <w:rsid w:val="00751A52"/>
    <w:rsid w:val="00751A93"/>
    <w:rsid w:val="00751C98"/>
    <w:rsid w:val="00751D5E"/>
    <w:rsid w:val="00751DE7"/>
    <w:rsid w:val="00751EAB"/>
    <w:rsid w:val="00751F11"/>
    <w:rsid w:val="00751F21"/>
    <w:rsid w:val="007520BC"/>
    <w:rsid w:val="00752148"/>
    <w:rsid w:val="00752289"/>
    <w:rsid w:val="00752307"/>
    <w:rsid w:val="00752471"/>
    <w:rsid w:val="00752567"/>
    <w:rsid w:val="00752577"/>
    <w:rsid w:val="00752626"/>
    <w:rsid w:val="00752658"/>
    <w:rsid w:val="0075267A"/>
    <w:rsid w:val="00752802"/>
    <w:rsid w:val="00752838"/>
    <w:rsid w:val="0075283D"/>
    <w:rsid w:val="0075288E"/>
    <w:rsid w:val="00752A3B"/>
    <w:rsid w:val="00752ACD"/>
    <w:rsid w:val="00752B93"/>
    <w:rsid w:val="00752BAD"/>
    <w:rsid w:val="00752BC4"/>
    <w:rsid w:val="00752BD0"/>
    <w:rsid w:val="00752C49"/>
    <w:rsid w:val="00752CAD"/>
    <w:rsid w:val="00752CB4"/>
    <w:rsid w:val="00752DF1"/>
    <w:rsid w:val="00752F06"/>
    <w:rsid w:val="00753048"/>
    <w:rsid w:val="00753072"/>
    <w:rsid w:val="0075308F"/>
    <w:rsid w:val="007530BA"/>
    <w:rsid w:val="0075314B"/>
    <w:rsid w:val="007531F3"/>
    <w:rsid w:val="00753258"/>
    <w:rsid w:val="0075329D"/>
    <w:rsid w:val="00753396"/>
    <w:rsid w:val="007533B4"/>
    <w:rsid w:val="007535A1"/>
    <w:rsid w:val="007536EB"/>
    <w:rsid w:val="0075375C"/>
    <w:rsid w:val="0075378C"/>
    <w:rsid w:val="00753811"/>
    <w:rsid w:val="0075381D"/>
    <w:rsid w:val="00753838"/>
    <w:rsid w:val="00753884"/>
    <w:rsid w:val="007538DA"/>
    <w:rsid w:val="0075390E"/>
    <w:rsid w:val="0075398F"/>
    <w:rsid w:val="00753A8E"/>
    <w:rsid w:val="00753AAE"/>
    <w:rsid w:val="00753B04"/>
    <w:rsid w:val="00753B56"/>
    <w:rsid w:val="00753B9F"/>
    <w:rsid w:val="00753CA6"/>
    <w:rsid w:val="00753CA9"/>
    <w:rsid w:val="00753D0F"/>
    <w:rsid w:val="00753D63"/>
    <w:rsid w:val="00753D9B"/>
    <w:rsid w:val="00753E6B"/>
    <w:rsid w:val="00753E9E"/>
    <w:rsid w:val="007540E3"/>
    <w:rsid w:val="00754133"/>
    <w:rsid w:val="00754305"/>
    <w:rsid w:val="00754322"/>
    <w:rsid w:val="00754396"/>
    <w:rsid w:val="007543D1"/>
    <w:rsid w:val="00754573"/>
    <w:rsid w:val="0075474F"/>
    <w:rsid w:val="00754776"/>
    <w:rsid w:val="007547D1"/>
    <w:rsid w:val="007547F4"/>
    <w:rsid w:val="0075489C"/>
    <w:rsid w:val="007548FA"/>
    <w:rsid w:val="00754A25"/>
    <w:rsid w:val="00754C29"/>
    <w:rsid w:val="00754D38"/>
    <w:rsid w:val="00754D78"/>
    <w:rsid w:val="00754DB8"/>
    <w:rsid w:val="00754DC6"/>
    <w:rsid w:val="00754DE3"/>
    <w:rsid w:val="00754DEE"/>
    <w:rsid w:val="00754FDA"/>
    <w:rsid w:val="0075501A"/>
    <w:rsid w:val="0075505A"/>
    <w:rsid w:val="00755093"/>
    <w:rsid w:val="007550EB"/>
    <w:rsid w:val="0075510F"/>
    <w:rsid w:val="00755228"/>
    <w:rsid w:val="0075537C"/>
    <w:rsid w:val="00755407"/>
    <w:rsid w:val="0075544C"/>
    <w:rsid w:val="0075546D"/>
    <w:rsid w:val="007554DE"/>
    <w:rsid w:val="0075554C"/>
    <w:rsid w:val="0075558E"/>
    <w:rsid w:val="00755650"/>
    <w:rsid w:val="00755696"/>
    <w:rsid w:val="007557B8"/>
    <w:rsid w:val="007558B5"/>
    <w:rsid w:val="007558DF"/>
    <w:rsid w:val="007559A8"/>
    <w:rsid w:val="007559F2"/>
    <w:rsid w:val="00755AB6"/>
    <w:rsid w:val="00755B41"/>
    <w:rsid w:val="00755C87"/>
    <w:rsid w:val="00755DC1"/>
    <w:rsid w:val="00755F42"/>
    <w:rsid w:val="00755FA2"/>
    <w:rsid w:val="00756051"/>
    <w:rsid w:val="007560E8"/>
    <w:rsid w:val="00756191"/>
    <w:rsid w:val="00756275"/>
    <w:rsid w:val="007563DE"/>
    <w:rsid w:val="007564C6"/>
    <w:rsid w:val="0075663B"/>
    <w:rsid w:val="00756694"/>
    <w:rsid w:val="0075672F"/>
    <w:rsid w:val="007567E4"/>
    <w:rsid w:val="0075688C"/>
    <w:rsid w:val="00756955"/>
    <w:rsid w:val="0075696B"/>
    <w:rsid w:val="00756A05"/>
    <w:rsid w:val="00756A94"/>
    <w:rsid w:val="00756AA3"/>
    <w:rsid w:val="00756C59"/>
    <w:rsid w:val="00756D84"/>
    <w:rsid w:val="00756D85"/>
    <w:rsid w:val="00756DA3"/>
    <w:rsid w:val="00756E78"/>
    <w:rsid w:val="00756F5B"/>
    <w:rsid w:val="00757070"/>
    <w:rsid w:val="00757158"/>
    <w:rsid w:val="0075719F"/>
    <w:rsid w:val="007571AD"/>
    <w:rsid w:val="0075720F"/>
    <w:rsid w:val="007572F9"/>
    <w:rsid w:val="00757367"/>
    <w:rsid w:val="007573AE"/>
    <w:rsid w:val="00757503"/>
    <w:rsid w:val="00757650"/>
    <w:rsid w:val="007576BB"/>
    <w:rsid w:val="007576D0"/>
    <w:rsid w:val="007576E0"/>
    <w:rsid w:val="00757718"/>
    <w:rsid w:val="00757742"/>
    <w:rsid w:val="00757745"/>
    <w:rsid w:val="0075777E"/>
    <w:rsid w:val="007577A5"/>
    <w:rsid w:val="007577C8"/>
    <w:rsid w:val="00757971"/>
    <w:rsid w:val="007579CD"/>
    <w:rsid w:val="00757A6E"/>
    <w:rsid w:val="00757BC4"/>
    <w:rsid w:val="00757C7B"/>
    <w:rsid w:val="00757C99"/>
    <w:rsid w:val="00757CA6"/>
    <w:rsid w:val="00757CDB"/>
    <w:rsid w:val="00757DF5"/>
    <w:rsid w:val="00757F8F"/>
    <w:rsid w:val="0076003E"/>
    <w:rsid w:val="007600C7"/>
    <w:rsid w:val="0076012F"/>
    <w:rsid w:val="00760185"/>
    <w:rsid w:val="007601A9"/>
    <w:rsid w:val="007601AD"/>
    <w:rsid w:val="0076022C"/>
    <w:rsid w:val="0076027A"/>
    <w:rsid w:val="00760336"/>
    <w:rsid w:val="0076040B"/>
    <w:rsid w:val="00760466"/>
    <w:rsid w:val="007604C5"/>
    <w:rsid w:val="00760660"/>
    <w:rsid w:val="00760754"/>
    <w:rsid w:val="00760767"/>
    <w:rsid w:val="007607B8"/>
    <w:rsid w:val="007607EA"/>
    <w:rsid w:val="0076081F"/>
    <w:rsid w:val="007608B4"/>
    <w:rsid w:val="00760931"/>
    <w:rsid w:val="00760A41"/>
    <w:rsid w:val="00760B02"/>
    <w:rsid w:val="00760B1A"/>
    <w:rsid w:val="00760B75"/>
    <w:rsid w:val="00760C85"/>
    <w:rsid w:val="00760D97"/>
    <w:rsid w:val="00760EB3"/>
    <w:rsid w:val="00760F97"/>
    <w:rsid w:val="00761075"/>
    <w:rsid w:val="0076108B"/>
    <w:rsid w:val="007610DE"/>
    <w:rsid w:val="00761141"/>
    <w:rsid w:val="007611CD"/>
    <w:rsid w:val="0076125D"/>
    <w:rsid w:val="00761269"/>
    <w:rsid w:val="00761299"/>
    <w:rsid w:val="007612D5"/>
    <w:rsid w:val="007612DC"/>
    <w:rsid w:val="00761342"/>
    <w:rsid w:val="007613DB"/>
    <w:rsid w:val="00761446"/>
    <w:rsid w:val="00761455"/>
    <w:rsid w:val="0076146F"/>
    <w:rsid w:val="0076155B"/>
    <w:rsid w:val="007615A5"/>
    <w:rsid w:val="007616B0"/>
    <w:rsid w:val="0076175C"/>
    <w:rsid w:val="007617E6"/>
    <w:rsid w:val="0076182F"/>
    <w:rsid w:val="0076185B"/>
    <w:rsid w:val="0076188D"/>
    <w:rsid w:val="007618AE"/>
    <w:rsid w:val="00761914"/>
    <w:rsid w:val="0076194B"/>
    <w:rsid w:val="00761A08"/>
    <w:rsid w:val="00761D12"/>
    <w:rsid w:val="00761DBA"/>
    <w:rsid w:val="00761F1C"/>
    <w:rsid w:val="00761F73"/>
    <w:rsid w:val="00761F77"/>
    <w:rsid w:val="00761FC3"/>
    <w:rsid w:val="00761FF3"/>
    <w:rsid w:val="00762077"/>
    <w:rsid w:val="00762132"/>
    <w:rsid w:val="007621AB"/>
    <w:rsid w:val="00762350"/>
    <w:rsid w:val="00762492"/>
    <w:rsid w:val="007625FB"/>
    <w:rsid w:val="007626AC"/>
    <w:rsid w:val="0076275A"/>
    <w:rsid w:val="00762819"/>
    <w:rsid w:val="00762906"/>
    <w:rsid w:val="00762A49"/>
    <w:rsid w:val="00762A77"/>
    <w:rsid w:val="00762A93"/>
    <w:rsid w:val="00762AC9"/>
    <w:rsid w:val="00762BC9"/>
    <w:rsid w:val="00762BE2"/>
    <w:rsid w:val="00762D68"/>
    <w:rsid w:val="00762ECC"/>
    <w:rsid w:val="00762FAD"/>
    <w:rsid w:val="00762FCE"/>
    <w:rsid w:val="00762FDD"/>
    <w:rsid w:val="00763051"/>
    <w:rsid w:val="00763098"/>
    <w:rsid w:val="007631EA"/>
    <w:rsid w:val="007631F3"/>
    <w:rsid w:val="007632CE"/>
    <w:rsid w:val="0076336D"/>
    <w:rsid w:val="0076341E"/>
    <w:rsid w:val="00763589"/>
    <w:rsid w:val="007635CD"/>
    <w:rsid w:val="007636FC"/>
    <w:rsid w:val="0076371C"/>
    <w:rsid w:val="0076373E"/>
    <w:rsid w:val="00763810"/>
    <w:rsid w:val="00763870"/>
    <w:rsid w:val="007638AD"/>
    <w:rsid w:val="00763985"/>
    <w:rsid w:val="0076398F"/>
    <w:rsid w:val="007639B7"/>
    <w:rsid w:val="00763A0E"/>
    <w:rsid w:val="00763A89"/>
    <w:rsid w:val="00763B44"/>
    <w:rsid w:val="00763B63"/>
    <w:rsid w:val="00763BA9"/>
    <w:rsid w:val="00763BC6"/>
    <w:rsid w:val="00763C21"/>
    <w:rsid w:val="00763CF4"/>
    <w:rsid w:val="00763E5C"/>
    <w:rsid w:val="00763E81"/>
    <w:rsid w:val="007641AF"/>
    <w:rsid w:val="00764269"/>
    <w:rsid w:val="007643DA"/>
    <w:rsid w:val="0076440E"/>
    <w:rsid w:val="0076442A"/>
    <w:rsid w:val="007645B5"/>
    <w:rsid w:val="007645E9"/>
    <w:rsid w:val="007646A8"/>
    <w:rsid w:val="007646F7"/>
    <w:rsid w:val="007647CE"/>
    <w:rsid w:val="00764874"/>
    <w:rsid w:val="00764896"/>
    <w:rsid w:val="00764954"/>
    <w:rsid w:val="00764A58"/>
    <w:rsid w:val="00764CD6"/>
    <w:rsid w:val="00764CF2"/>
    <w:rsid w:val="00764E17"/>
    <w:rsid w:val="00764E1A"/>
    <w:rsid w:val="00764F5E"/>
    <w:rsid w:val="007650F3"/>
    <w:rsid w:val="007651AC"/>
    <w:rsid w:val="007651DF"/>
    <w:rsid w:val="0076521F"/>
    <w:rsid w:val="00765272"/>
    <w:rsid w:val="007652D8"/>
    <w:rsid w:val="0076538B"/>
    <w:rsid w:val="0076542F"/>
    <w:rsid w:val="007654A9"/>
    <w:rsid w:val="00765529"/>
    <w:rsid w:val="00765570"/>
    <w:rsid w:val="0076567E"/>
    <w:rsid w:val="007656C7"/>
    <w:rsid w:val="007657F0"/>
    <w:rsid w:val="007658F3"/>
    <w:rsid w:val="00765961"/>
    <w:rsid w:val="0076596A"/>
    <w:rsid w:val="0076599C"/>
    <w:rsid w:val="007659D3"/>
    <w:rsid w:val="00765A0C"/>
    <w:rsid w:val="00765A2E"/>
    <w:rsid w:val="00765ABD"/>
    <w:rsid w:val="00765B04"/>
    <w:rsid w:val="00765BF7"/>
    <w:rsid w:val="00765C50"/>
    <w:rsid w:val="00765DAA"/>
    <w:rsid w:val="00765E2B"/>
    <w:rsid w:val="00765E47"/>
    <w:rsid w:val="00765E65"/>
    <w:rsid w:val="00765F65"/>
    <w:rsid w:val="00765F90"/>
    <w:rsid w:val="00765FA4"/>
    <w:rsid w:val="00766161"/>
    <w:rsid w:val="007661F2"/>
    <w:rsid w:val="007662D3"/>
    <w:rsid w:val="00766321"/>
    <w:rsid w:val="0076644E"/>
    <w:rsid w:val="007664B0"/>
    <w:rsid w:val="00766568"/>
    <w:rsid w:val="007665A1"/>
    <w:rsid w:val="007665DD"/>
    <w:rsid w:val="00766617"/>
    <w:rsid w:val="00766653"/>
    <w:rsid w:val="00766668"/>
    <w:rsid w:val="00766695"/>
    <w:rsid w:val="007666F3"/>
    <w:rsid w:val="00766779"/>
    <w:rsid w:val="0076678D"/>
    <w:rsid w:val="007668B0"/>
    <w:rsid w:val="007668C9"/>
    <w:rsid w:val="007668F7"/>
    <w:rsid w:val="00766A1C"/>
    <w:rsid w:val="00766A78"/>
    <w:rsid w:val="00766AD6"/>
    <w:rsid w:val="00766B07"/>
    <w:rsid w:val="00766B60"/>
    <w:rsid w:val="00766BFD"/>
    <w:rsid w:val="00766CEC"/>
    <w:rsid w:val="00766D64"/>
    <w:rsid w:val="00766DA6"/>
    <w:rsid w:val="00766DEF"/>
    <w:rsid w:val="00766E9F"/>
    <w:rsid w:val="00766F74"/>
    <w:rsid w:val="00766FA8"/>
    <w:rsid w:val="00767024"/>
    <w:rsid w:val="0076706C"/>
    <w:rsid w:val="007670C7"/>
    <w:rsid w:val="007671F1"/>
    <w:rsid w:val="007672EA"/>
    <w:rsid w:val="00767394"/>
    <w:rsid w:val="007675A9"/>
    <w:rsid w:val="00767696"/>
    <w:rsid w:val="007676B3"/>
    <w:rsid w:val="00767798"/>
    <w:rsid w:val="0076787A"/>
    <w:rsid w:val="007678D4"/>
    <w:rsid w:val="007678FD"/>
    <w:rsid w:val="00767988"/>
    <w:rsid w:val="007679F5"/>
    <w:rsid w:val="00767B4F"/>
    <w:rsid w:val="00767BB9"/>
    <w:rsid w:val="00767BD0"/>
    <w:rsid w:val="00767CDD"/>
    <w:rsid w:val="00767F6B"/>
    <w:rsid w:val="00767FCF"/>
    <w:rsid w:val="00767FE2"/>
    <w:rsid w:val="00767FE9"/>
    <w:rsid w:val="0077006E"/>
    <w:rsid w:val="0077008D"/>
    <w:rsid w:val="0077008E"/>
    <w:rsid w:val="0077011F"/>
    <w:rsid w:val="007701CD"/>
    <w:rsid w:val="0077023C"/>
    <w:rsid w:val="007702EC"/>
    <w:rsid w:val="0077041C"/>
    <w:rsid w:val="00770446"/>
    <w:rsid w:val="007704E8"/>
    <w:rsid w:val="00770548"/>
    <w:rsid w:val="007707C6"/>
    <w:rsid w:val="007707E2"/>
    <w:rsid w:val="00770820"/>
    <w:rsid w:val="00770828"/>
    <w:rsid w:val="007708E8"/>
    <w:rsid w:val="00770919"/>
    <w:rsid w:val="00770933"/>
    <w:rsid w:val="007709BA"/>
    <w:rsid w:val="007709D2"/>
    <w:rsid w:val="00770A85"/>
    <w:rsid w:val="00770AD2"/>
    <w:rsid w:val="00770B74"/>
    <w:rsid w:val="00770BA4"/>
    <w:rsid w:val="00770C02"/>
    <w:rsid w:val="00770CA8"/>
    <w:rsid w:val="00770D26"/>
    <w:rsid w:val="00770E35"/>
    <w:rsid w:val="00770E54"/>
    <w:rsid w:val="00770E9C"/>
    <w:rsid w:val="00770ED0"/>
    <w:rsid w:val="00770F12"/>
    <w:rsid w:val="00770F63"/>
    <w:rsid w:val="00770FC4"/>
    <w:rsid w:val="00770FEB"/>
    <w:rsid w:val="00771056"/>
    <w:rsid w:val="00771142"/>
    <w:rsid w:val="00771277"/>
    <w:rsid w:val="00771456"/>
    <w:rsid w:val="00771495"/>
    <w:rsid w:val="00771623"/>
    <w:rsid w:val="00771664"/>
    <w:rsid w:val="007716AA"/>
    <w:rsid w:val="007716F5"/>
    <w:rsid w:val="007716FA"/>
    <w:rsid w:val="00771776"/>
    <w:rsid w:val="007717CE"/>
    <w:rsid w:val="007718D3"/>
    <w:rsid w:val="007719C9"/>
    <w:rsid w:val="00771B50"/>
    <w:rsid w:val="00771C4B"/>
    <w:rsid w:val="00771D22"/>
    <w:rsid w:val="00771E3F"/>
    <w:rsid w:val="00771F6B"/>
    <w:rsid w:val="00771FED"/>
    <w:rsid w:val="00772001"/>
    <w:rsid w:val="0077208A"/>
    <w:rsid w:val="00772108"/>
    <w:rsid w:val="0077212C"/>
    <w:rsid w:val="00772180"/>
    <w:rsid w:val="007721AA"/>
    <w:rsid w:val="0077220C"/>
    <w:rsid w:val="007723AD"/>
    <w:rsid w:val="00772451"/>
    <w:rsid w:val="007725CB"/>
    <w:rsid w:val="007725F5"/>
    <w:rsid w:val="00772617"/>
    <w:rsid w:val="0077268F"/>
    <w:rsid w:val="0077283E"/>
    <w:rsid w:val="007728D5"/>
    <w:rsid w:val="007728E4"/>
    <w:rsid w:val="007729DD"/>
    <w:rsid w:val="007729E6"/>
    <w:rsid w:val="00772A83"/>
    <w:rsid w:val="00772AA4"/>
    <w:rsid w:val="00772AB0"/>
    <w:rsid w:val="00772B14"/>
    <w:rsid w:val="00772BD1"/>
    <w:rsid w:val="00772BF1"/>
    <w:rsid w:val="00772D65"/>
    <w:rsid w:val="00772E7E"/>
    <w:rsid w:val="00772F50"/>
    <w:rsid w:val="00772F88"/>
    <w:rsid w:val="00772F9F"/>
    <w:rsid w:val="00772FAB"/>
    <w:rsid w:val="00772FC0"/>
    <w:rsid w:val="00773002"/>
    <w:rsid w:val="0077304B"/>
    <w:rsid w:val="0077310A"/>
    <w:rsid w:val="007732D5"/>
    <w:rsid w:val="007732D9"/>
    <w:rsid w:val="00773389"/>
    <w:rsid w:val="007733E5"/>
    <w:rsid w:val="00773561"/>
    <w:rsid w:val="007735CA"/>
    <w:rsid w:val="0077371C"/>
    <w:rsid w:val="0077372B"/>
    <w:rsid w:val="0077374B"/>
    <w:rsid w:val="0077378D"/>
    <w:rsid w:val="0077383C"/>
    <w:rsid w:val="007738A0"/>
    <w:rsid w:val="00773A43"/>
    <w:rsid w:val="00773A82"/>
    <w:rsid w:val="00773A86"/>
    <w:rsid w:val="00773ABB"/>
    <w:rsid w:val="00773AC0"/>
    <w:rsid w:val="00773AF3"/>
    <w:rsid w:val="00773B67"/>
    <w:rsid w:val="00773C65"/>
    <w:rsid w:val="00773DA1"/>
    <w:rsid w:val="00773E01"/>
    <w:rsid w:val="00773E2C"/>
    <w:rsid w:val="00773E75"/>
    <w:rsid w:val="0077401B"/>
    <w:rsid w:val="0077403E"/>
    <w:rsid w:val="007742AF"/>
    <w:rsid w:val="007742B4"/>
    <w:rsid w:val="007742EA"/>
    <w:rsid w:val="00774397"/>
    <w:rsid w:val="0077449B"/>
    <w:rsid w:val="007745EC"/>
    <w:rsid w:val="0077467D"/>
    <w:rsid w:val="00774718"/>
    <w:rsid w:val="007747BE"/>
    <w:rsid w:val="007748B8"/>
    <w:rsid w:val="007748F1"/>
    <w:rsid w:val="00774998"/>
    <w:rsid w:val="00774A10"/>
    <w:rsid w:val="00774A89"/>
    <w:rsid w:val="00774B8D"/>
    <w:rsid w:val="00774C84"/>
    <w:rsid w:val="00774DD6"/>
    <w:rsid w:val="00774EB9"/>
    <w:rsid w:val="00774FA7"/>
    <w:rsid w:val="00774FE7"/>
    <w:rsid w:val="00775068"/>
    <w:rsid w:val="007750CF"/>
    <w:rsid w:val="00775181"/>
    <w:rsid w:val="00775184"/>
    <w:rsid w:val="00775192"/>
    <w:rsid w:val="00775282"/>
    <w:rsid w:val="007752CB"/>
    <w:rsid w:val="007752F5"/>
    <w:rsid w:val="0077530E"/>
    <w:rsid w:val="00775402"/>
    <w:rsid w:val="0077541D"/>
    <w:rsid w:val="007754B7"/>
    <w:rsid w:val="007754D0"/>
    <w:rsid w:val="0077557F"/>
    <w:rsid w:val="007755B4"/>
    <w:rsid w:val="007755BC"/>
    <w:rsid w:val="007755C7"/>
    <w:rsid w:val="007755FF"/>
    <w:rsid w:val="00775654"/>
    <w:rsid w:val="007757AC"/>
    <w:rsid w:val="007757B1"/>
    <w:rsid w:val="007759B0"/>
    <w:rsid w:val="00775B5D"/>
    <w:rsid w:val="00775C4F"/>
    <w:rsid w:val="00775C75"/>
    <w:rsid w:val="00775D00"/>
    <w:rsid w:val="00775DC4"/>
    <w:rsid w:val="00775FC2"/>
    <w:rsid w:val="00775FF3"/>
    <w:rsid w:val="00776039"/>
    <w:rsid w:val="007760E9"/>
    <w:rsid w:val="00776112"/>
    <w:rsid w:val="007761BA"/>
    <w:rsid w:val="007762A8"/>
    <w:rsid w:val="007763A5"/>
    <w:rsid w:val="0077664E"/>
    <w:rsid w:val="00776699"/>
    <w:rsid w:val="007767CA"/>
    <w:rsid w:val="007767FE"/>
    <w:rsid w:val="00776874"/>
    <w:rsid w:val="00776A5E"/>
    <w:rsid w:val="00776AFE"/>
    <w:rsid w:val="00776C7D"/>
    <w:rsid w:val="00776CA3"/>
    <w:rsid w:val="00776CD2"/>
    <w:rsid w:val="00776D2E"/>
    <w:rsid w:val="00776DBB"/>
    <w:rsid w:val="00776DC5"/>
    <w:rsid w:val="00776DCF"/>
    <w:rsid w:val="00776DE4"/>
    <w:rsid w:val="00776E2B"/>
    <w:rsid w:val="00776EB4"/>
    <w:rsid w:val="00776EB6"/>
    <w:rsid w:val="00776EFC"/>
    <w:rsid w:val="0077700B"/>
    <w:rsid w:val="0077702D"/>
    <w:rsid w:val="0077734E"/>
    <w:rsid w:val="00777382"/>
    <w:rsid w:val="0077739A"/>
    <w:rsid w:val="00777549"/>
    <w:rsid w:val="0077757A"/>
    <w:rsid w:val="00777736"/>
    <w:rsid w:val="00777875"/>
    <w:rsid w:val="00777A99"/>
    <w:rsid w:val="00777A9E"/>
    <w:rsid w:val="00777D0F"/>
    <w:rsid w:val="00777D1C"/>
    <w:rsid w:val="00777D40"/>
    <w:rsid w:val="00777F0C"/>
    <w:rsid w:val="00777F53"/>
    <w:rsid w:val="00780017"/>
    <w:rsid w:val="00780051"/>
    <w:rsid w:val="00780361"/>
    <w:rsid w:val="007803F1"/>
    <w:rsid w:val="0078045E"/>
    <w:rsid w:val="007804A6"/>
    <w:rsid w:val="00780659"/>
    <w:rsid w:val="00780685"/>
    <w:rsid w:val="007806DF"/>
    <w:rsid w:val="007806F0"/>
    <w:rsid w:val="007807AB"/>
    <w:rsid w:val="0078081D"/>
    <w:rsid w:val="007808F6"/>
    <w:rsid w:val="0078090D"/>
    <w:rsid w:val="0078096D"/>
    <w:rsid w:val="00780AFD"/>
    <w:rsid w:val="00780BDF"/>
    <w:rsid w:val="00780C2A"/>
    <w:rsid w:val="00780D86"/>
    <w:rsid w:val="00780E92"/>
    <w:rsid w:val="00780EB6"/>
    <w:rsid w:val="007810CA"/>
    <w:rsid w:val="007810E3"/>
    <w:rsid w:val="007811C2"/>
    <w:rsid w:val="007811F9"/>
    <w:rsid w:val="0078123D"/>
    <w:rsid w:val="007813DC"/>
    <w:rsid w:val="007814B6"/>
    <w:rsid w:val="007814D1"/>
    <w:rsid w:val="00781536"/>
    <w:rsid w:val="00781583"/>
    <w:rsid w:val="007815A8"/>
    <w:rsid w:val="00781659"/>
    <w:rsid w:val="00781708"/>
    <w:rsid w:val="0078179F"/>
    <w:rsid w:val="00781846"/>
    <w:rsid w:val="0078186E"/>
    <w:rsid w:val="00781978"/>
    <w:rsid w:val="00781BA7"/>
    <w:rsid w:val="00781BAB"/>
    <w:rsid w:val="00781BFB"/>
    <w:rsid w:val="00781C5F"/>
    <w:rsid w:val="00781C66"/>
    <w:rsid w:val="00781C71"/>
    <w:rsid w:val="00781DF4"/>
    <w:rsid w:val="00781E1A"/>
    <w:rsid w:val="00781E23"/>
    <w:rsid w:val="00781EA7"/>
    <w:rsid w:val="00781EE7"/>
    <w:rsid w:val="00781F83"/>
    <w:rsid w:val="00781FAD"/>
    <w:rsid w:val="00781FF6"/>
    <w:rsid w:val="00782005"/>
    <w:rsid w:val="007821BE"/>
    <w:rsid w:val="0078231A"/>
    <w:rsid w:val="007823A1"/>
    <w:rsid w:val="007823DB"/>
    <w:rsid w:val="007824B0"/>
    <w:rsid w:val="007825CD"/>
    <w:rsid w:val="00782691"/>
    <w:rsid w:val="007826E9"/>
    <w:rsid w:val="0078279B"/>
    <w:rsid w:val="007827C4"/>
    <w:rsid w:val="0078283D"/>
    <w:rsid w:val="00782861"/>
    <w:rsid w:val="007828E8"/>
    <w:rsid w:val="007828ED"/>
    <w:rsid w:val="0078291A"/>
    <w:rsid w:val="00782AB7"/>
    <w:rsid w:val="00782B1E"/>
    <w:rsid w:val="00782B66"/>
    <w:rsid w:val="00782BC5"/>
    <w:rsid w:val="00782C18"/>
    <w:rsid w:val="00782C8E"/>
    <w:rsid w:val="00782CCB"/>
    <w:rsid w:val="00782D71"/>
    <w:rsid w:val="00782D88"/>
    <w:rsid w:val="00782DC6"/>
    <w:rsid w:val="00782E85"/>
    <w:rsid w:val="00782ECF"/>
    <w:rsid w:val="0078303B"/>
    <w:rsid w:val="007830DE"/>
    <w:rsid w:val="00783172"/>
    <w:rsid w:val="007831D2"/>
    <w:rsid w:val="007831F0"/>
    <w:rsid w:val="00783234"/>
    <w:rsid w:val="007832AB"/>
    <w:rsid w:val="007832AE"/>
    <w:rsid w:val="0078334D"/>
    <w:rsid w:val="0078342C"/>
    <w:rsid w:val="007834BE"/>
    <w:rsid w:val="007834F6"/>
    <w:rsid w:val="00783509"/>
    <w:rsid w:val="00783549"/>
    <w:rsid w:val="007835B7"/>
    <w:rsid w:val="00783635"/>
    <w:rsid w:val="00783693"/>
    <w:rsid w:val="007836E1"/>
    <w:rsid w:val="00783716"/>
    <w:rsid w:val="0078371D"/>
    <w:rsid w:val="0078374C"/>
    <w:rsid w:val="00783803"/>
    <w:rsid w:val="0078387C"/>
    <w:rsid w:val="007839FF"/>
    <w:rsid w:val="00783ADF"/>
    <w:rsid w:val="00783AE0"/>
    <w:rsid w:val="00783B97"/>
    <w:rsid w:val="00783C21"/>
    <w:rsid w:val="00783C84"/>
    <w:rsid w:val="00783C9D"/>
    <w:rsid w:val="00783D48"/>
    <w:rsid w:val="00783E51"/>
    <w:rsid w:val="00783E7D"/>
    <w:rsid w:val="00783F2C"/>
    <w:rsid w:val="00783F4A"/>
    <w:rsid w:val="00783F94"/>
    <w:rsid w:val="00783FEE"/>
    <w:rsid w:val="00784113"/>
    <w:rsid w:val="007842AE"/>
    <w:rsid w:val="00784302"/>
    <w:rsid w:val="00784320"/>
    <w:rsid w:val="0078435F"/>
    <w:rsid w:val="00784410"/>
    <w:rsid w:val="0078441B"/>
    <w:rsid w:val="00784447"/>
    <w:rsid w:val="007847B5"/>
    <w:rsid w:val="007847E9"/>
    <w:rsid w:val="00784996"/>
    <w:rsid w:val="007849A6"/>
    <w:rsid w:val="007849C4"/>
    <w:rsid w:val="00784B17"/>
    <w:rsid w:val="00784B3E"/>
    <w:rsid w:val="00784CD4"/>
    <w:rsid w:val="00784D1A"/>
    <w:rsid w:val="00784D2D"/>
    <w:rsid w:val="00784E77"/>
    <w:rsid w:val="00784FCD"/>
    <w:rsid w:val="00785173"/>
    <w:rsid w:val="007851DC"/>
    <w:rsid w:val="00785210"/>
    <w:rsid w:val="0078526F"/>
    <w:rsid w:val="00785299"/>
    <w:rsid w:val="0078549C"/>
    <w:rsid w:val="007855EB"/>
    <w:rsid w:val="0078563B"/>
    <w:rsid w:val="00785655"/>
    <w:rsid w:val="00785736"/>
    <w:rsid w:val="00785783"/>
    <w:rsid w:val="007857EE"/>
    <w:rsid w:val="0078580D"/>
    <w:rsid w:val="00785993"/>
    <w:rsid w:val="00785A1A"/>
    <w:rsid w:val="00785C6B"/>
    <w:rsid w:val="00785D15"/>
    <w:rsid w:val="00785D19"/>
    <w:rsid w:val="00785D65"/>
    <w:rsid w:val="00785D6B"/>
    <w:rsid w:val="00785E05"/>
    <w:rsid w:val="00785F07"/>
    <w:rsid w:val="00785F09"/>
    <w:rsid w:val="0078604B"/>
    <w:rsid w:val="00786111"/>
    <w:rsid w:val="0078616A"/>
    <w:rsid w:val="007861ED"/>
    <w:rsid w:val="007861FB"/>
    <w:rsid w:val="0078620B"/>
    <w:rsid w:val="00786223"/>
    <w:rsid w:val="00786245"/>
    <w:rsid w:val="007863D8"/>
    <w:rsid w:val="0078645D"/>
    <w:rsid w:val="007864F4"/>
    <w:rsid w:val="00786956"/>
    <w:rsid w:val="00786AA2"/>
    <w:rsid w:val="00786ACA"/>
    <w:rsid w:val="00786B7E"/>
    <w:rsid w:val="00786B95"/>
    <w:rsid w:val="00786BF8"/>
    <w:rsid w:val="00786E7D"/>
    <w:rsid w:val="00786EAD"/>
    <w:rsid w:val="00786EC9"/>
    <w:rsid w:val="00786F4F"/>
    <w:rsid w:val="00787010"/>
    <w:rsid w:val="00787135"/>
    <w:rsid w:val="007871BD"/>
    <w:rsid w:val="007871DC"/>
    <w:rsid w:val="007871F7"/>
    <w:rsid w:val="00787246"/>
    <w:rsid w:val="0078726C"/>
    <w:rsid w:val="00787274"/>
    <w:rsid w:val="007873D3"/>
    <w:rsid w:val="007873DB"/>
    <w:rsid w:val="007873EE"/>
    <w:rsid w:val="007874AE"/>
    <w:rsid w:val="00787542"/>
    <w:rsid w:val="00787609"/>
    <w:rsid w:val="007876E4"/>
    <w:rsid w:val="00787719"/>
    <w:rsid w:val="007878A7"/>
    <w:rsid w:val="00787A47"/>
    <w:rsid w:val="00787A8C"/>
    <w:rsid w:val="00787BB2"/>
    <w:rsid w:val="00787BD8"/>
    <w:rsid w:val="00787DCD"/>
    <w:rsid w:val="00787E0A"/>
    <w:rsid w:val="00787E4A"/>
    <w:rsid w:val="00787F0B"/>
    <w:rsid w:val="00787FF6"/>
    <w:rsid w:val="0079008B"/>
    <w:rsid w:val="00790137"/>
    <w:rsid w:val="00790142"/>
    <w:rsid w:val="00790146"/>
    <w:rsid w:val="007901B4"/>
    <w:rsid w:val="00790527"/>
    <w:rsid w:val="00790551"/>
    <w:rsid w:val="0079063B"/>
    <w:rsid w:val="007906F5"/>
    <w:rsid w:val="007907BD"/>
    <w:rsid w:val="007907FB"/>
    <w:rsid w:val="007908CF"/>
    <w:rsid w:val="0079091C"/>
    <w:rsid w:val="00790958"/>
    <w:rsid w:val="00790976"/>
    <w:rsid w:val="007909E9"/>
    <w:rsid w:val="00790A4C"/>
    <w:rsid w:val="00790AF2"/>
    <w:rsid w:val="00790B26"/>
    <w:rsid w:val="00790B6B"/>
    <w:rsid w:val="00790B8D"/>
    <w:rsid w:val="00790C7C"/>
    <w:rsid w:val="00790D1C"/>
    <w:rsid w:val="00790F66"/>
    <w:rsid w:val="007910E8"/>
    <w:rsid w:val="007911CA"/>
    <w:rsid w:val="0079129B"/>
    <w:rsid w:val="007912E4"/>
    <w:rsid w:val="00791396"/>
    <w:rsid w:val="007913E7"/>
    <w:rsid w:val="00791669"/>
    <w:rsid w:val="007916D5"/>
    <w:rsid w:val="0079181F"/>
    <w:rsid w:val="007918D6"/>
    <w:rsid w:val="007919BA"/>
    <w:rsid w:val="007919CE"/>
    <w:rsid w:val="00791A49"/>
    <w:rsid w:val="00791A58"/>
    <w:rsid w:val="00791AB5"/>
    <w:rsid w:val="00791AD7"/>
    <w:rsid w:val="00791CE1"/>
    <w:rsid w:val="007920F0"/>
    <w:rsid w:val="00792227"/>
    <w:rsid w:val="00792382"/>
    <w:rsid w:val="007923D9"/>
    <w:rsid w:val="007923DF"/>
    <w:rsid w:val="00792477"/>
    <w:rsid w:val="0079249F"/>
    <w:rsid w:val="007924E0"/>
    <w:rsid w:val="007924F4"/>
    <w:rsid w:val="00792527"/>
    <w:rsid w:val="0079255C"/>
    <w:rsid w:val="0079269B"/>
    <w:rsid w:val="00792796"/>
    <w:rsid w:val="00792860"/>
    <w:rsid w:val="0079294D"/>
    <w:rsid w:val="0079296D"/>
    <w:rsid w:val="007929F6"/>
    <w:rsid w:val="00792A7D"/>
    <w:rsid w:val="00792BB5"/>
    <w:rsid w:val="00792C1D"/>
    <w:rsid w:val="00792C3D"/>
    <w:rsid w:val="00792E2B"/>
    <w:rsid w:val="00792F0D"/>
    <w:rsid w:val="00793041"/>
    <w:rsid w:val="00793045"/>
    <w:rsid w:val="0079308D"/>
    <w:rsid w:val="0079311F"/>
    <w:rsid w:val="00793252"/>
    <w:rsid w:val="007932B1"/>
    <w:rsid w:val="0079333E"/>
    <w:rsid w:val="0079333F"/>
    <w:rsid w:val="00793364"/>
    <w:rsid w:val="00793376"/>
    <w:rsid w:val="00793559"/>
    <w:rsid w:val="007935A8"/>
    <w:rsid w:val="007935D2"/>
    <w:rsid w:val="007936B1"/>
    <w:rsid w:val="007938F2"/>
    <w:rsid w:val="00793AC7"/>
    <w:rsid w:val="00793AE3"/>
    <w:rsid w:val="00793BD4"/>
    <w:rsid w:val="00793C46"/>
    <w:rsid w:val="00793D57"/>
    <w:rsid w:val="00793DB5"/>
    <w:rsid w:val="00793F76"/>
    <w:rsid w:val="00794154"/>
    <w:rsid w:val="00794186"/>
    <w:rsid w:val="007941FA"/>
    <w:rsid w:val="00794320"/>
    <w:rsid w:val="00794403"/>
    <w:rsid w:val="00794433"/>
    <w:rsid w:val="00794498"/>
    <w:rsid w:val="007944B7"/>
    <w:rsid w:val="007944D3"/>
    <w:rsid w:val="00794523"/>
    <w:rsid w:val="007945B9"/>
    <w:rsid w:val="00794642"/>
    <w:rsid w:val="0079472D"/>
    <w:rsid w:val="007948D8"/>
    <w:rsid w:val="007949FB"/>
    <w:rsid w:val="00794A04"/>
    <w:rsid w:val="00794ADA"/>
    <w:rsid w:val="00794B51"/>
    <w:rsid w:val="00794BEF"/>
    <w:rsid w:val="00794DE1"/>
    <w:rsid w:val="00794E65"/>
    <w:rsid w:val="00794EA3"/>
    <w:rsid w:val="00794ED7"/>
    <w:rsid w:val="0079501E"/>
    <w:rsid w:val="00795091"/>
    <w:rsid w:val="0079512C"/>
    <w:rsid w:val="007952BD"/>
    <w:rsid w:val="00795636"/>
    <w:rsid w:val="00795816"/>
    <w:rsid w:val="0079581F"/>
    <w:rsid w:val="00795850"/>
    <w:rsid w:val="007958E1"/>
    <w:rsid w:val="00795A62"/>
    <w:rsid w:val="00795B77"/>
    <w:rsid w:val="00795BCE"/>
    <w:rsid w:val="00795BDD"/>
    <w:rsid w:val="00795D2C"/>
    <w:rsid w:val="00795D5E"/>
    <w:rsid w:val="00795DB1"/>
    <w:rsid w:val="00795DE3"/>
    <w:rsid w:val="00795E99"/>
    <w:rsid w:val="00796097"/>
    <w:rsid w:val="007960C9"/>
    <w:rsid w:val="00796147"/>
    <w:rsid w:val="00796174"/>
    <w:rsid w:val="00796282"/>
    <w:rsid w:val="00796295"/>
    <w:rsid w:val="007962B6"/>
    <w:rsid w:val="00796375"/>
    <w:rsid w:val="007964D5"/>
    <w:rsid w:val="007964E5"/>
    <w:rsid w:val="007965F6"/>
    <w:rsid w:val="007966F9"/>
    <w:rsid w:val="0079673B"/>
    <w:rsid w:val="00796762"/>
    <w:rsid w:val="0079684A"/>
    <w:rsid w:val="00796852"/>
    <w:rsid w:val="0079687C"/>
    <w:rsid w:val="00796973"/>
    <w:rsid w:val="00796AE7"/>
    <w:rsid w:val="00796B38"/>
    <w:rsid w:val="00796C08"/>
    <w:rsid w:val="00796C58"/>
    <w:rsid w:val="00796CEC"/>
    <w:rsid w:val="00796D0B"/>
    <w:rsid w:val="00796E62"/>
    <w:rsid w:val="00796E69"/>
    <w:rsid w:val="00796ED5"/>
    <w:rsid w:val="00796EF6"/>
    <w:rsid w:val="00797086"/>
    <w:rsid w:val="007970F9"/>
    <w:rsid w:val="0079710E"/>
    <w:rsid w:val="00797157"/>
    <w:rsid w:val="0079716B"/>
    <w:rsid w:val="00797251"/>
    <w:rsid w:val="00797403"/>
    <w:rsid w:val="0079744D"/>
    <w:rsid w:val="0079755B"/>
    <w:rsid w:val="0079759A"/>
    <w:rsid w:val="007975CE"/>
    <w:rsid w:val="007975CF"/>
    <w:rsid w:val="007975DC"/>
    <w:rsid w:val="007977BB"/>
    <w:rsid w:val="00797820"/>
    <w:rsid w:val="007978DB"/>
    <w:rsid w:val="00797985"/>
    <w:rsid w:val="00797A6F"/>
    <w:rsid w:val="00797AB4"/>
    <w:rsid w:val="00797B3A"/>
    <w:rsid w:val="00797B5D"/>
    <w:rsid w:val="00797B80"/>
    <w:rsid w:val="00797C26"/>
    <w:rsid w:val="00797C4C"/>
    <w:rsid w:val="00797C8B"/>
    <w:rsid w:val="00797DC2"/>
    <w:rsid w:val="00797E41"/>
    <w:rsid w:val="00797E52"/>
    <w:rsid w:val="00797F24"/>
    <w:rsid w:val="00797F41"/>
    <w:rsid w:val="00797FC7"/>
    <w:rsid w:val="00797FEA"/>
    <w:rsid w:val="007A0023"/>
    <w:rsid w:val="007A0052"/>
    <w:rsid w:val="007A0189"/>
    <w:rsid w:val="007A022B"/>
    <w:rsid w:val="007A023B"/>
    <w:rsid w:val="007A039B"/>
    <w:rsid w:val="007A04F5"/>
    <w:rsid w:val="007A061E"/>
    <w:rsid w:val="007A0698"/>
    <w:rsid w:val="007A0776"/>
    <w:rsid w:val="007A07B9"/>
    <w:rsid w:val="007A0858"/>
    <w:rsid w:val="007A086C"/>
    <w:rsid w:val="007A099E"/>
    <w:rsid w:val="007A0AC4"/>
    <w:rsid w:val="007A0D46"/>
    <w:rsid w:val="007A101C"/>
    <w:rsid w:val="007A1057"/>
    <w:rsid w:val="007A110A"/>
    <w:rsid w:val="007A1195"/>
    <w:rsid w:val="007A11FE"/>
    <w:rsid w:val="007A1269"/>
    <w:rsid w:val="007A1356"/>
    <w:rsid w:val="007A145B"/>
    <w:rsid w:val="007A147F"/>
    <w:rsid w:val="007A14B7"/>
    <w:rsid w:val="007A1583"/>
    <w:rsid w:val="007A16DE"/>
    <w:rsid w:val="007A16E1"/>
    <w:rsid w:val="007A19A6"/>
    <w:rsid w:val="007A1A06"/>
    <w:rsid w:val="007A1ACF"/>
    <w:rsid w:val="007A1B06"/>
    <w:rsid w:val="007A1B0D"/>
    <w:rsid w:val="007A1BB8"/>
    <w:rsid w:val="007A1BC9"/>
    <w:rsid w:val="007A1BE6"/>
    <w:rsid w:val="007A1C01"/>
    <w:rsid w:val="007A1DEB"/>
    <w:rsid w:val="007A209E"/>
    <w:rsid w:val="007A2162"/>
    <w:rsid w:val="007A21E9"/>
    <w:rsid w:val="007A22BC"/>
    <w:rsid w:val="007A22D7"/>
    <w:rsid w:val="007A2391"/>
    <w:rsid w:val="007A25C9"/>
    <w:rsid w:val="007A25D0"/>
    <w:rsid w:val="007A25F3"/>
    <w:rsid w:val="007A2684"/>
    <w:rsid w:val="007A274B"/>
    <w:rsid w:val="007A27AB"/>
    <w:rsid w:val="007A27ED"/>
    <w:rsid w:val="007A288F"/>
    <w:rsid w:val="007A28D4"/>
    <w:rsid w:val="007A29CB"/>
    <w:rsid w:val="007A2A48"/>
    <w:rsid w:val="007A2AD1"/>
    <w:rsid w:val="007A2C35"/>
    <w:rsid w:val="007A2DA9"/>
    <w:rsid w:val="007A2E0E"/>
    <w:rsid w:val="007A30AD"/>
    <w:rsid w:val="007A30FA"/>
    <w:rsid w:val="007A3140"/>
    <w:rsid w:val="007A3263"/>
    <w:rsid w:val="007A32F6"/>
    <w:rsid w:val="007A3305"/>
    <w:rsid w:val="007A34A2"/>
    <w:rsid w:val="007A351A"/>
    <w:rsid w:val="007A3585"/>
    <w:rsid w:val="007A35BA"/>
    <w:rsid w:val="007A365A"/>
    <w:rsid w:val="007A3660"/>
    <w:rsid w:val="007A3671"/>
    <w:rsid w:val="007A3788"/>
    <w:rsid w:val="007A37C9"/>
    <w:rsid w:val="007A399E"/>
    <w:rsid w:val="007A3A27"/>
    <w:rsid w:val="007A3A29"/>
    <w:rsid w:val="007A3BDB"/>
    <w:rsid w:val="007A3C0C"/>
    <w:rsid w:val="007A3C34"/>
    <w:rsid w:val="007A3EC0"/>
    <w:rsid w:val="007A4030"/>
    <w:rsid w:val="007A4122"/>
    <w:rsid w:val="007A413A"/>
    <w:rsid w:val="007A4231"/>
    <w:rsid w:val="007A4241"/>
    <w:rsid w:val="007A427E"/>
    <w:rsid w:val="007A4353"/>
    <w:rsid w:val="007A437C"/>
    <w:rsid w:val="007A43A7"/>
    <w:rsid w:val="007A43CC"/>
    <w:rsid w:val="007A443C"/>
    <w:rsid w:val="007A445D"/>
    <w:rsid w:val="007A4544"/>
    <w:rsid w:val="007A455D"/>
    <w:rsid w:val="007A45C8"/>
    <w:rsid w:val="007A47B7"/>
    <w:rsid w:val="007A47E4"/>
    <w:rsid w:val="007A48DC"/>
    <w:rsid w:val="007A494F"/>
    <w:rsid w:val="007A4A74"/>
    <w:rsid w:val="007A4ADF"/>
    <w:rsid w:val="007A4B96"/>
    <w:rsid w:val="007A4BA2"/>
    <w:rsid w:val="007A4C5A"/>
    <w:rsid w:val="007A4CA8"/>
    <w:rsid w:val="007A4CFC"/>
    <w:rsid w:val="007A4D97"/>
    <w:rsid w:val="007A4E2E"/>
    <w:rsid w:val="007A4E8B"/>
    <w:rsid w:val="007A4F31"/>
    <w:rsid w:val="007A4F7D"/>
    <w:rsid w:val="007A513F"/>
    <w:rsid w:val="007A51A1"/>
    <w:rsid w:val="007A51F9"/>
    <w:rsid w:val="007A52B5"/>
    <w:rsid w:val="007A5378"/>
    <w:rsid w:val="007A53C3"/>
    <w:rsid w:val="007A548A"/>
    <w:rsid w:val="007A55F8"/>
    <w:rsid w:val="007A56B1"/>
    <w:rsid w:val="007A5777"/>
    <w:rsid w:val="007A5813"/>
    <w:rsid w:val="007A599D"/>
    <w:rsid w:val="007A59B8"/>
    <w:rsid w:val="007A59D7"/>
    <w:rsid w:val="007A5A9E"/>
    <w:rsid w:val="007A5ABF"/>
    <w:rsid w:val="007A5B4D"/>
    <w:rsid w:val="007A5B8F"/>
    <w:rsid w:val="007A5C9B"/>
    <w:rsid w:val="007A5CC1"/>
    <w:rsid w:val="007A5D0D"/>
    <w:rsid w:val="007A5DE0"/>
    <w:rsid w:val="007A5E07"/>
    <w:rsid w:val="007A5E42"/>
    <w:rsid w:val="007A6002"/>
    <w:rsid w:val="007A605B"/>
    <w:rsid w:val="007A60C3"/>
    <w:rsid w:val="007A60F0"/>
    <w:rsid w:val="007A61A4"/>
    <w:rsid w:val="007A62D4"/>
    <w:rsid w:val="007A6356"/>
    <w:rsid w:val="007A63CD"/>
    <w:rsid w:val="007A6513"/>
    <w:rsid w:val="007A6664"/>
    <w:rsid w:val="007A667C"/>
    <w:rsid w:val="007A66A9"/>
    <w:rsid w:val="007A66BB"/>
    <w:rsid w:val="007A6759"/>
    <w:rsid w:val="007A6775"/>
    <w:rsid w:val="007A67D9"/>
    <w:rsid w:val="007A6852"/>
    <w:rsid w:val="007A6AA6"/>
    <w:rsid w:val="007A6B37"/>
    <w:rsid w:val="007A6BD8"/>
    <w:rsid w:val="007A6E25"/>
    <w:rsid w:val="007A6F1E"/>
    <w:rsid w:val="007A7019"/>
    <w:rsid w:val="007A70FA"/>
    <w:rsid w:val="007A7291"/>
    <w:rsid w:val="007A7343"/>
    <w:rsid w:val="007A7354"/>
    <w:rsid w:val="007A74B4"/>
    <w:rsid w:val="007A7503"/>
    <w:rsid w:val="007A7512"/>
    <w:rsid w:val="007A753E"/>
    <w:rsid w:val="007A7554"/>
    <w:rsid w:val="007A75D1"/>
    <w:rsid w:val="007A775B"/>
    <w:rsid w:val="007A77AD"/>
    <w:rsid w:val="007A78C2"/>
    <w:rsid w:val="007A7924"/>
    <w:rsid w:val="007A792F"/>
    <w:rsid w:val="007A797C"/>
    <w:rsid w:val="007A7A2D"/>
    <w:rsid w:val="007A7AF4"/>
    <w:rsid w:val="007A7B38"/>
    <w:rsid w:val="007A7B3E"/>
    <w:rsid w:val="007A7BDF"/>
    <w:rsid w:val="007A7CCE"/>
    <w:rsid w:val="007A7D0C"/>
    <w:rsid w:val="007A7E34"/>
    <w:rsid w:val="007A7ED5"/>
    <w:rsid w:val="007A7EDD"/>
    <w:rsid w:val="007B0057"/>
    <w:rsid w:val="007B00A3"/>
    <w:rsid w:val="007B01A5"/>
    <w:rsid w:val="007B0208"/>
    <w:rsid w:val="007B029D"/>
    <w:rsid w:val="007B038C"/>
    <w:rsid w:val="007B03CB"/>
    <w:rsid w:val="007B043C"/>
    <w:rsid w:val="007B049E"/>
    <w:rsid w:val="007B0522"/>
    <w:rsid w:val="007B0642"/>
    <w:rsid w:val="007B06C8"/>
    <w:rsid w:val="007B09DA"/>
    <w:rsid w:val="007B09F8"/>
    <w:rsid w:val="007B0A02"/>
    <w:rsid w:val="007B0A15"/>
    <w:rsid w:val="007B0A6E"/>
    <w:rsid w:val="007B0B4E"/>
    <w:rsid w:val="007B0B67"/>
    <w:rsid w:val="007B0BDD"/>
    <w:rsid w:val="007B0C82"/>
    <w:rsid w:val="007B0CDC"/>
    <w:rsid w:val="007B0D4C"/>
    <w:rsid w:val="007B0E24"/>
    <w:rsid w:val="007B0EA9"/>
    <w:rsid w:val="007B0EB4"/>
    <w:rsid w:val="007B0F37"/>
    <w:rsid w:val="007B10B1"/>
    <w:rsid w:val="007B10DA"/>
    <w:rsid w:val="007B1106"/>
    <w:rsid w:val="007B1166"/>
    <w:rsid w:val="007B11EA"/>
    <w:rsid w:val="007B12B5"/>
    <w:rsid w:val="007B12D0"/>
    <w:rsid w:val="007B1326"/>
    <w:rsid w:val="007B134C"/>
    <w:rsid w:val="007B136E"/>
    <w:rsid w:val="007B13FA"/>
    <w:rsid w:val="007B14CC"/>
    <w:rsid w:val="007B150F"/>
    <w:rsid w:val="007B1577"/>
    <w:rsid w:val="007B15DE"/>
    <w:rsid w:val="007B174F"/>
    <w:rsid w:val="007B18C8"/>
    <w:rsid w:val="007B192D"/>
    <w:rsid w:val="007B197D"/>
    <w:rsid w:val="007B19F1"/>
    <w:rsid w:val="007B1A18"/>
    <w:rsid w:val="007B1A67"/>
    <w:rsid w:val="007B1AA1"/>
    <w:rsid w:val="007B1BDF"/>
    <w:rsid w:val="007B1D7E"/>
    <w:rsid w:val="007B1DF9"/>
    <w:rsid w:val="007B1E6E"/>
    <w:rsid w:val="007B1E8B"/>
    <w:rsid w:val="007B1EE7"/>
    <w:rsid w:val="007B1F1B"/>
    <w:rsid w:val="007B1FA2"/>
    <w:rsid w:val="007B215F"/>
    <w:rsid w:val="007B220A"/>
    <w:rsid w:val="007B22C6"/>
    <w:rsid w:val="007B2348"/>
    <w:rsid w:val="007B2391"/>
    <w:rsid w:val="007B2432"/>
    <w:rsid w:val="007B2434"/>
    <w:rsid w:val="007B2626"/>
    <w:rsid w:val="007B2699"/>
    <w:rsid w:val="007B26E5"/>
    <w:rsid w:val="007B2771"/>
    <w:rsid w:val="007B2786"/>
    <w:rsid w:val="007B27C0"/>
    <w:rsid w:val="007B288B"/>
    <w:rsid w:val="007B2981"/>
    <w:rsid w:val="007B2A3F"/>
    <w:rsid w:val="007B2B63"/>
    <w:rsid w:val="007B2BCE"/>
    <w:rsid w:val="007B2C17"/>
    <w:rsid w:val="007B2D9D"/>
    <w:rsid w:val="007B2DA3"/>
    <w:rsid w:val="007B2E62"/>
    <w:rsid w:val="007B2E72"/>
    <w:rsid w:val="007B2EE9"/>
    <w:rsid w:val="007B2F09"/>
    <w:rsid w:val="007B2F4D"/>
    <w:rsid w:val="007B3100"/>
    <w:rsid w:val="007B311A"/>
    <w:rsid w:val="007B3182"/>
    <w:rsid w:val="007B3235"/>
    <w:rsid w:val="007B32BA"/>
    <w:rsid w:val="007B3326"/>
    <w:rsid w:val="007B3352"/>
    <w:rsid w:val="007B34B3"/>
    <w:rsid w:val="007B3533"/>
    <w:rsid w:val="007B3537"/>
    <w:rsid w:val="007B35AD"/>
    <w:rsid w:val="007B35B6"/>
    <w:rsid w:val="007B3601"/>
    <w:rsid w:val="007B360B"/>
    <w:rsid w:val="007B3656"/>
    <w:rsid w:val="007B3769"/>
    <w:rsid w:val="007B39D1"/>
    <w:rsid w:val="007B39DB"/>
    <w:rsid w:val="007B3AFA"/>
    <w:rsid w:val="007B3B08"/>
    <w:rsid w:val="007B3B96"/>
    <w:rsid w:val="007B3D80"/>
    <w:rsid w:val="007B3DAC"/>
    <w:rsid w:val="007B3F84"/>
    <w:rsid w:val="007B40AD"/>
    <w:rsid w:val="007B40BB"/>
    <w:rsid w:val="007B40BF"/>
    <w:rsid w:val="007B4174"/>
    <w:rsid w:val="007B426D"/>
    <w:rsid w:val="007B42C0"/>
    <w:rsid w:val="007B4344"/>
    <w:rsid w:val="007B44F9"/>
    <w:rsid w:val="007B4515"/>
    <w:rsid w:val="007B456E"/>
    <w:rsid w:val="007B468E"/>
    <w:rsid w:val="007B469D"/>
    <w:rsid w:val="007B4773"/>
    <w:rsid w:val="007B4778"/>
    <w:rsid w:val="007B4814"/>
    <w:rsid w:val="007B487F"/>
    <w:rsid w:val="007B48D6"/>
    <w:rsid w:val="007B48D7"/>
    <w:rsid w:val="007B492D"/>
    <w:rsid w:val="007B498C"/>
    <w:rsid w:val="007B4B3F"/>
    <w:rsid w:val="007B4C79"/>
    <w:rsid w:val="007B4E36"/>
    <w:rsid w:val="007B4E5E"/>
    <w:rsid w:val="007B4EFB"/>
    <w:rsid w:val="007B4FC9"/>
    <w:rsid w:val="007B5084"/>
    <w:rsid w:val="007B5088"/>
    <w:rsid w:val="007B5092"/>
    <w:rsid w:val="007B5227"/>
    <w:rsid w:val="007B526C"/>
    <w:rsid w:val="007B5321"/>
    <w:rsid w:val="007B54E8"/>
    <w:rsid w:val="007B553A"/>
    <w:rsid w:val="007B5553"/>
    <w:rsid w:val="007B5565"/>
    <w:rsid w:val="007B55BA"/>
    <w:rsid w:val="007B5645"/>
    <w:rsid w:val="007B566F"/>
    <w:rsid w:val="007B5674"/>
    <w:rsid w:val="007B56C2"/>
    <w:rsid w:val="007B5725"/>
    <w:rsid w:val="007B57A3"/>
    <w:rsid w:val="007B59A3"/>
    <w:rsid w:val="007B5B99"/>
    <w:rsid w:val="007B5BF5"/>
    <w:rsid w:val="007B5C3D"/>
    <w:rsid w:val="007B5E26"/>
    <w:rsid w:val="007B5E97"/>
    <w:rsid w:val="007B6030"/>
    <w:rsid w:val="007B6077"/>
    <w:rsid w:val="007B60BB"/>
    <w:rsid w:val="007B60EF"/>
    <w:rsid w:val="007B6149"/>
    <w:rsid w:val="007B6176"/>
    <w:rsid w:val="007B6214"/>
    <w:rsid w:val="007B6228"/>
    <w:rsid w:val="007B6342"/>
    <w:rsid w:val="007B638F"/>
    <w:rsid w:val="007B63A8"/>
    <w:rsid w:val="007B6445"/>
    <w:rsid w:val="007B6671"/>
    <w:rsid w:val="007B6721"/>
    <w:rsid w:val="007B68B1"/>
    <w:rsid w:val="007B6ABC"/>
    <w:rsid w:val="007B6B02"/>
    <w:rsid w:val="007B6C96"/>
    <w:rsid w:val="007B6CA9"/>
    <w:rsid w:val="007B6D32"/>
    <w:rsid w:val="007B6D43"/>
    <w:rsid w:val="007B6DCF"/>
    <w:rsid w:val="007B6E5C"/>
    <w:rsid w:val="007B6E99"/>
    <w:rsid w:val="007B6ECD"/>
    <w:rsid w:val="007B6F57"/>
    <w:rsid w:val="007B6FAF"/>
    <w:rsid w:val="007B6FD5"/>
    <w:rsid w:val="007B6FE3"/>
    <w:rsid w:val="007B7007"/>
    <w:rsid w:val="007B706F"/>
    <w:rsid w:val="007B70E4"/>
    <w:rsid w:val="007B7175"/>
    <w:rsid w:val="007B730F"/>
    <w:rsid w:val="007B735B"/>
    <w:rsid w:val="007B739F"/>
    <w:rsid w:val="007B73A6"/>
    <w:rsid w:val="007B73B2"/>
    <w:rsid w:val="007B7473"/>
    <w:rsid w:val="007B7523"/>
    <w:rsid w:val="007B7676"/>
    <w:rsid w:val="007B769A"/>
    <w:rsid w:val="007B76BF"/>
    <w:rsid w:val="007B778A"/>
    <w:rsid w:val="007B7797"/>
    <w:rsid w:val="007B780E"/>
    <w:rsid w:val="007B7869"/>
    <w:rsid w:val="007B786B"/>
    <w:rsid w:val="007B787C"/>
    <w:rsid w:val="007B78D0"/>
    <w:rsid w:val="007B78E7"/>
    <w:rsid w:val="007B7974"/>
    <w:rsid w:val="007B79DE"/>
    <w:rsid w:val="007B7BE7"/>
    <w:rsid w:val="007B7C0E"/>
    <w:rsid w:val="007B7C84"/>
    <w:rsid w:val="007B7E36"/>
    <w:rsid w:val="007B7E95"/>
    <w:rsid w:val="007B7EDA"/>
    <w:rsid w:val="007B7FA8"/>
    <w:rsid w:val="007B7FDC"/>
    <w:rsid w:val="007C0065"/>
    <w:rsid w:val="007C0194"/>
    <w:rsid w:val="007C0261"/>
    <w:rsid w:val="007C0296"/>
    <w:rsid w:val="007C029B"/>
    <w:rsid w:val="007C03C0"/>
    <w:rsid w:val="007C03CD"/>
    <w:rsid w:val="007C0401"/>
    <w:rsid w:val="007C0436"/>
    <w:rsid w:val="007C050D"/>
    <w:rsid w:val="007C05F2"/>
    <w:rsid w:val="007C0657"/>
    <w:rsid w:val="007C06B8"/>
    <w:rsid w:val="007C06F5"/>
    <w:rsid w:val="007C0835"/>
    <w:rsid w:val="007C08F9"/>
    <w:rsid w:val="007C09A3"/>
    <w:rsid w:val="007C0A6C"/>
    <w:rsid w:val="007C0C50"/>
    <w:rsid w:val="007C0E5B"/>
    <w:rsid w:val="007C0EC4"/>
    <w:rsid w:val="007C104A"/>
    <w:rsid w:val="007C1100"/>
    <w:rsid w:val="007C11AF"/>
    <w:rsid w:val="007C123B"/>
    <w:rsid w:val="007C135A"/>
    <w:rsid w:val="007C136C"/>
    <w:rsid w:val="007C140A"/>
    <w:rsid w:val="007C1498"/>
    <w:rsid w:val="007C15A5"/>
    <w:rsid w:val="007C15AD"/>
    <w:rsid w:val="007C169C"/>
    <w:rsid w:val="007C188B"/>
    <w:rsid w:val="007C189A"/>
    <w:rsid w:val="007C19AD"/>
    <w:rsid w:val="007C1AB2"/>
    <w:rsid w:val="007C1BE9"/>
    <w:rsid w:val="007C1D68"/>
    <w:rsid w:val="007C1EA7"/>
    <w:rsid w:val="007C1F67"/>
    <w:rsid w:val="007C1F85"/>
    <w:rsid w:val="007C1FA7"/>
    <w:rsid w:val="007C20DC"/>
    <w:rsid w:val="007C20E3"/>
    <w:rsid w:val="007C21CE"/>
    <w:rsid w:val="007C21F2"/>
    <w:rsid w:val="007C2296"/>
    <w:rsid w:val="007C22E1"/>
    <w:rsid w:val="007C2323"/>
    <w:rsid w:val="007C23E9"/>
    <w:rsid w:val="007C2412"/>
    <w:rsid w:val="007C255F"/>
    <w:rsid w:val="007C25FF"/>
    <w:rsid w:val="007C2615"/>
    <w:rsid w:val="007C2661"/>
    <w:rsid w:val="007C2669"/>
    <w:rsid w:val="007C26DD"/>
    <w:rsid w:val="007C26E7"/>
    <w:rsid w:val="007C2748"/>
    <w:rsid w:val="007C2778"/>
    <w:rsid w:val="007C278C"/>
    <w:rsid w:val="007C27D8"/>
    <w:rsid w:val="007C27E4"/>
    <w:rsid w:val="007C2885"/>
    <w:rsid w:val="007C2927"/>
    <w:rsid w:val="007C299B"/>
    <w:rsid w:val="007C2A51"/>
    <w:rsid w:val="007C2A56"/>
    <w:rsid w:val="007C2A6D"/>
    <w:rsid w:val="007C2A94"/>
    <w:rsid w:val="007C2AF2"/>
    <w:rsid w:val="007C2B17"/>
    <w:rsid w:val="007C2BAB"/>
    <w:rsid w:val="007C2CA1"/>
    <w:rsid w:val="007C2D93"/>
    <w:rsid w:val="007C2DC4"/>
    <w:rsid w:val="007C2DE3"/>
    <w:rsid w:val="007C2E80"/>
    <w:rsid w:val="007C2F80"/>
    <w:rsid w:val="007C2F87"/>
    <w:rsid w:val="007C3036"/>
    <w:rsid w:val="007C31C3"/>
    <w:rsid w:val="007C31E2"/>
    <w:rsid w:val="007C3289"/>
    <w:rsid w:val="007C33A4"/>
    <w:rsid w:val="007C33A8"/>
    <w:rsid w:val="007C341C"/>
    <w:rsid w:val="007C3457"/>
    <w:rsid w:val="007C3466"/>
    <w:rsid w:val="007C3474"/>
    <w:rsid w:val="007C34AB"/>
    <w:rsid w:val="007C352B"/>
    <w:rsid w:val="007C3554"/>
    <w:rsid w:val="007C35AE"/>
    <w:rsid w:val="007C35F7"/>
    <w:rsid w:val="007C365A"/>
    <w:rsid w:val="007C36E4"/>
    <w:rsid w:val="007C38B4"/>
    <w:rsid w:val="007C397D"/>
    <w:rsid w:val="007C3A72"/>
    <w:rsid w:val="007C3A7E"/>
    <w:rsid w:val="007C3ADB"/>
    <w:rsid w:val="007C3C36"/>
    <w:rsid w:val="007C3C92"/>
    <w:rsid w:val="007C3DA2"/>
    <w:rsid w:val="007C3E62"/>
    <w:rsid w:val="007C3EA1"/>
    <w:rsid w:val="007C3EC6"/>
    <w:rsid w:val="007C3F24"/>
    <w:rsid w:val="007C3F2F"/>
    <w:rsid w:val="007C3F91"/>
    <w:rsid w:val="007C3F96"/>
    <w:rsid w:val="007C3FD6"/>
    <w:rsid w:val="007C4045"/>
    <w:rsid w:val="007C4047"/>
    <w:rsid w:val="007C40DB"/>
    <w:rsid w:val="007C4144"/>
    <w:rsid w:val="007C41DB"/>
    <w:rsid w:val="007C4204"/>
    <w:rsid w:val="007C42A6"/>
    <w:rsid w:val="007C430E"/>
    <w:rsid w:val="007C44A3"/>
    <w:rsid w:val="007C454B"/>
    <w:rsid w:val="007C4573"/>
    <w:rsid w:val="007C466E"/>
    <w:rsid w:val="007C471B"/>
    <w:rsid w:val="007C478A"/>
    <w:rsid w:val="007C478D"/>
    <w:rsid w:val="007C4861"/>
    <w:rsid w:val="007C492F"/>
    <w:rsid w:val="007C498C"/>
    <w:rsid w:val="007C4A77"/>
    <w:rsid w:val="007C4B46"/>
    <w:rsid w:val="007C4C23"/>
    <w:rsid w:val="007C4CB9"/>
    <w:rsid w:val="007C4D01"/>
    <w:rsid w:val="007C4EBF"/>
    <w:rsid w:val="007C5023"/>
    <w:rsid w:val="007C509D"/>
    <w:rsid w:val="007C50D8"/>
    <w:rsid w:val="007C517A"/>
    <w:rsid w:val="007C51D9"/>
    <w:rsid w:val="007C52F4"/>
    <w:rsid w:val="007C5333"/>
    <w:rsid w:val="007C53CD"/>
    <w:rsid w:val="007C542F"/>
    <w:rsid w:val="007C543E"/>
    <w:rsid w:val="007C54DB"/>
    <w:rsid w:val="007C553E"/>
    <w:rsid w:val="007C56B8"/>
    <w:rsid w:val="007C56F9"/>
    <w:rsid w:val="007C578B"/>
    <w:rsid w:val="007C58F3"/>
    <w:rsid w:val="007C5B53"/>
    <w:rsid w:val="007C5B65"/>
    <w:rsid w:val="007C5CAF"/>
    <w:rsid w:val="007C5CCF"/>
    <w:rsid w:val="007C5D78"/>
    <w:rsid w:val="007C5DEA"/>
    <w:rsid w:val="007C5E57"/>
    <w:rsid w:val="007C5F99"/>
    <w:rsid w:val="007C5FD6"/>
    <w:rsid w:val="007C6004"/>
    <w:rsid w:val="007C6078"/>
    <w:rsid w:val="007C61CD"/>
    <w:rsid w:val="007C62B2"/>
    <w:rsid w:val="007C6341"/>
    <w:rsid w:val="007C6603"/>
    <w:rsid w:val="007C66C9"/>
    <w:rsid w:val="007C6762"/>
    <w:rsid w:val="007C676E"/>
    <w:rsid w:val="007C67A1"/>
    <w:rsid w:val="007C67E2"/>
    <w:rsid w:val="007C6990"/>
    <w:rsid w:val="007C6AFD"/>
    <w:rsid w:val="007C6B90"/>
    <w:rsid w:val="007C6C6D"/>
    <w:rsid w:val="007C6CE9"/>
    <w:rsid w:val="007C6DF7"/>
    <w:rsid w:val="007C6E4A"/>
    <w:rsid w:val="007C6F2E"/>
    <w:rsid w:val="007C7037"/>
    <w:rsid w:val="007C7092"/>
    <w:rsid w:val="007C70AC"/>
    <w:rsid w:val="007C70F6"/>
    <w:rsid w:val="007C71C4"/>
    <w:rsid w:val="007C7231"/>
    <w:rsid w:val="007C7289"/>
    <w:rsid w:val="007C72F6"/>
    <w:rsid w:val="007C73CB"/>
    <w:rsid w:val="007C73EB"/>
    <w:rsid w:val="007C73F5"/>
    <w:rsid w:val="007C74B1"/>
    <w:rsid w:val="007C74E6"/>
    <w:rsid w:val="007C7537"/>
    <w:rsid w:val="007C7550"/>
    <w:rsid w:val="007C7652"/>
    <w:rsid w:val="007C76BB"/>
    <w:rsid w:val="007C76D0"/>
    <w:rsid w:val="007C7714"/>
    <w:rsid w:val="007C77FC"/>
    <w:rsid w:val="007C78D3"/>
    <w:rsid w:val="007C7909"/>
    <w:rsid w:val="007C7940"/>
    <w:rsid w:val="007C794B"/>
    <w:rsid w:val="007C7980"/>
    <w:rsid w:val="007C7990"/>
    <w:rsid w:val="007C7997"/>
    <w:rsid w:val="007C79F8"/>
    <w:rsid w:val="007C7A47"/>
    <w:rsid w:val="007C7AE7"/>
    <w:rsid w:val="007C7B59"/>
    <w:rsid w:val="007C7BAD"/>
    <w:rsid w:val="007C7E10"/>
    <w:rsid w:val="007C7E87"/>
    <w:rsid w:val="007C7EE0"/>
    <w:rsid w:val="007C7F13"/>
    <w:rsid w:val="007C7F57"/>
    <w:rsid w:val="007D0290"/>
    <w:rsid w:val="007D03C2"/>
    <w:rsid w:val="007D0432"/>
    <w:rsid w:val="007D0498"/>
    <w:rsid w:val="007D04AE"/>
    <w:rsid w:val="007D04C6"/>
    <w:rsid w:val="007D0634"/>
    <w:rsid w:val="007D0635"/>
    <w:rsid w:val="007D07B6"/>
    <w:rsid w:val="007D0960"/>
    <w:rsid w:val="007D097A"/>
    <w:rsid w:val="007D099B"/>
    <w:rsid w:val="007D09ED"/>
    <w:rsid w:val="007D0A3D"/>
    <w:rsid w:val="007D0AAF"/>
    <w:rsid w:val="007D0AD8"/>
    <w:rsid w:val="007D0BCB"/>
    <w:rsid w:val="007D0C71"/>
    <w:rsid w:val="007D0DF7"/>
    <w:rsid w:val="007D0E63"/>
    <w:rsid w:val="007D0E77"/>
    <w:rsid w:val="007D0E93"/>
    <w:rsid w:val="007D0EA4"/>
    <w:rsid w:val="007D0F7E"/>
    <w:rsid w:val="007D0FFA"/>
    <w:rsid w:val="007D104A"/>
    <w:rsid w:val="007D10AF"/>
    <w:rsid w:val="007D11AF"/>
    <w:rsid w:val="007D12CB"/>
    <w:rsid w:val="007D1803"/>
    <w:rsid w:val="007D1907"/>
    <w:rsid w:val="007D19AD"/>
    <w:rsid w:val="007D1A27"/>
    <w:rsid w:val="007D1C2E"/>
    <w:rsid w:val="007D1C9E"/>
    <w:rsid w:val="007D1CD6"/>
    <w:rsid w:val="007D1D11"/>
    <w:rsid w:val="007D1D32"/>
    <w:rsid w:val="007D1DF9"/>
    <w:rsid w:val="007D1E41"/>
    <w:rsid w:val="007D1E7F"/>
    <w:rsid w:val="007D1ECE"/>
    <w:rsid w:val="007D1EDB"/>
    <w:rsid w:val="007D2091"/>
    <w:rsid w:val="007D20AE"/>
    <w:rsid w:val="007D215A"/>
    <w:rsid w:val="007D2171"/>
    <w:rsid w:val="007D2175"/>
    <w:rsid w:val="007D21B2"/>
    <w:rsid w:val="007D24D8"/>
    <w:rsid w:val="007D2567"/>
    <w:rsid w:val="007D25A6"/>
    <w:rsid w:val="007D2648"/>
    <w:rsid w:val="007D26BE"/>
    <w:rsid w:val="007D27BC"/>
    <w:rsid w:val="007D282C"/>
    <w:rsid w:val="007D2939"/>
    <w:rsid w:val="007D2A0E"/>
    <w:rsid w:val="007D2A2F"/>
    <w:rsid w:val="007D2A53"/>
    <w:rsid w:val="007D2A79"/>
    <w:rsid w:val="007D2A9D"/>
    <w:rsid w:val="007D2AE8"/>
    <w:rsid w:val="007D2B88"/>
    <w:rsid w:val="007D2C1E"/>
    <w:rsid w:val="007D2C8E"/>
    <w:rsid w:val="007D2D6D"/>
    <w:rsid w:val="007D2E61"/>
    <w:rsid w:val="007D2F0F"/>
    <w:rsid w:val="007D2FCE"/>
    <w:rsid w:val="007D3005"/>
    <w:rsid w:val="007D300B"/>
    <w:rsid w:val="007D30F8"/>
    <w:rsid w:val="007D3102"/>
    <w:rsid w:val="007D31BA"/>
    <w:rsid w:val="007D3278"/>
    <w:rsid w:val="007D3310"/>
    <w:rsid w:val="007D3369"/>
    <w:rsid w:val="007D338B"/>
    <w:rsid w:val="007D3412"/>
    <w:rsid w:val="007D34E1"/>
    <w:rsid w:val="007D3569"/>
    <w:rsid w:val="007D358F"/>
    <w:rsid w:val="007D3633"/>
    <w:rsid w:val="007D363F"/>
    <w:rsid w:val="007D37A4"/>
    <w:rsid w:val="007D37B0"/>
    <w:rsid w:val="007D381D"/>
    <w:rsid w:val="007D3857"/>
    <w:rsid w:val="007D3899"/>
    <w:rsid w:val="007D38EF"/>
    <w:rsid w:val="007D3BA0"/>
    <w:rsid w:val="007D3BFA"/>
    <w:rsid w:val="007D3C6B"/>
    <w:rsid w:val="007D3CA8"/>
    <w:rsid w:val="007D3CF1"/>
    <w:rsid w:val="007D3D37"/>
    <w:rsid w:val="007D3E94"/>
    <w:rsid w:val="007D3F2F"/>
    <w:rsid w:val="007D3F84"/>
    <w:rsid w:val="007D40D8"/>
    <w:rsid w:val="007D4194"/>
    <w:rsid w:val="007D425A"/>
    <w:rsid w:val="007D42F3"/>
    <w:rsid w:val="007D42FB"/>
    <w:rsid w:val="007D43AD"/>
    <w:rsid w:val="007D4446"/>
    <w:rsid w:val="007D44A0"/>
    <w:rsid w:val="007D44C1"/>
    <w:rsid w:val="007D44EC"/>
    <w:rsid w:val="007D456C"/>
    <w:rsid w:val="007D4604"/>
    <w:rsid w:val="007D46B5"/>
    <w:rsid w:val="007D46BA"/>
    <w:rsid w:val="007D47FA"/>
    <w:rsid w:val="007D480C"/>
    <w:rsid w:val="007D49BE"/>
    <w:rsid w:val="007D4A29"/>
    <w:rsid w:val="007D4B01"/>
    <w:rsid w:val="007D4BE3"/>
    <w:rsid w:val="007D4D93"/>
    <w:rsid w:val="007D4E4D"/>
    <w:rsid w:val="007D4FE6"/>
    <w:rsid w:val="007D511D"/>
    <w:rsid w:val="007D5218"/>
    <w:rsid w:val="007D5292"/>
    <w:rsid w:val="007D53DE"/>
    <w:rsid w:val="007D53DF"/>
    <w:rsid w:val="007D5445"/>
    <w:rsid w:val="007D554F"/>
    <w:rsid w:val="007D5568"/>
    <w:rsid w:val="007D55AD"/>
    <w:rsid w:val="007D561E"/>
    <w:rsid w:val="007D5641"/>
    <w:rsid w:val="007D5658"/>
    <w:rsid w:val="007D56A3"/>
    <w:rsid w:val="007D56E2"/>
    <w:rsid w:val="007D59FA"/>
    <w:rsid w:val="007D5A80"/>
    <w:rsid w:val="007D5A9A"/>
    <w:rsid w:val="007D5C4B"/>
    <w:rsid w:val="007D5C52"/>
    <w:rsid w:val="007D5CDE"/>
    <w:rsid w:val="007D5D6D"/>
    <w:rsid w:val="007D5E5C"/>
    <w:rsid w:val="007D60C2"/>
    <w:rsid w:val="007D6242"/>
    <w:rsid w:val="007D6262"/>
    <w:rsid w:val="007D62F5"/>
    <w:rsid w:val="007D6353"/>
    <w:rsid w:val="007D651B"/>
    <w:rsid w:val="007D67A4"/>
    <w:rsid w:val="007D68E1"/>
    <w:rsid w:val="007D692A"/>
    <w:rsid w:val="007D6937"/>
    <w:rsid w:val="007D69BC"/>
    <w:rsid w:val="007D6A0A"/>
    <w:rsid w:val="007D6B73"/>
    <w:rsid w:val="007D6B87"/>
    <w:rsid w:val="007D6CDD"/>
    <w:rsid w:val="007D6CEB"/>
    <w:rsid w:val="007D6D0D"/>
    <w:rsid w:val="007D6E08"/>
    <w:rsid w:val="007D6E43"/>
    <w:rsid w:val="007D6E45"/>
    <w:rsid w:val="007D6E87"/>
    <w:rsid w:val="007D6E89"/>
    <w:rsid w:val="007D6F19"/>
    <w:rsid w:val="007D715A"/>
    <w:rsid w:val="007D7193"/>
    <w:rsid w:val="007D71A6"/>
    <w:rsid w:val="007D7237"/>
    <w:rsid w:val="007D723E"/>
    <w:rsid w:val="007D73B0"/>
    <w:rsid w:val="007D73B4"/>
    <w:rsid w:val="007D73DE"/>
    <w:rsid w:val="007D7469"/>
    <w:rsid w:val="007D7483"/>
    <w:rsid w:val="007D74CC"/>
    <w:rsid w:val="007D75E9"/>
    <w:rsid w:val="007D7646"/>
    <w:rsid w:val="007D76B7"/>
    <w:rsid w:val="007D76C6"/>
    <w:rsid w:val="007D7706"/>
    <w:rsid w:val="007D77D7"/>
    <w:rsid w:val="007D7831"/>
    <w:rsid w:val="007D7939"/>
    <w:rsid w:val="007D7969"/>
    <w:rsid w:val="007D7B73"/>
    <w:rsid w:val="007D7C43"/>
    <w:rsid w:val="007D7C75"/>
    <w:rsid w:val="007D7CCB"/>
    <w:rsid w:val="007D7DCE"/>
    <w:rsid w:val="007D7DD4"/>
    <w:rsid w:val="007D7E99"/>
    <w:rsid w:val="007D7EBC"/>
    <w:rsid w:val="007D7EFD"/>
    <w:rsid w:val="007D7F0E"/>
    <w:rsid w:val="007E0034"/>
    <w:rsid w:val="007E00A6"/>
    <w:rsid w:val="007E00AF"/>
    <w:rsid w:val="007E017B"/>
    <w:rsid w:val="007E01D4"/>
    <w:rsid w:val="007E01F1"/>
    <w:rsid w:val="007E023A"/>
    <w:rsid w:val="007E0246"/>
    <w:rsid w:val="007E02BA"/>
    <w:rsid w:val="007E03B3"/>
    <w:rsid w:val="007E03DF"/>
    <w:rsid w:val="007E03E3"/>
    <w:rsid w:val="007E0491"/>
    <w:rsid w:val="007E04CF"/>
    <w:rsid w:val="007E04E3"/>
    <w:rsid w:val="007E0627"/>
    <w:rsid w:val="007E065D"/>
    <w:rsid w:val="007E06C4"/>
    <w:rsid w:val="007E06E7"/>
    <w:rsid w:val="007E0828"/>
    <w:rsid w:val="007E082D"/>
    <w:rsid w:val="007E08F0"/>
    <w:rsid w:val="007E09AF"/>
    <w:rsid w:val="007E0A67"/>
    <w:rsid w:val="007E0A9D"/>
    <w:rsid w:val="007E0C2C"/>
    <w:rsid w:val="007E0DF7"/>
    <w:rsid w:val="007E0E19"/>
    <w:rsid w:val="007E0E58"/>
    <w:rsid w:val="007E0F38"/>
    <w:rsid w:val="007E0FE3"/>
    <w:rsid w:val="007E10F0"/>
    <w:rsid w:val="007E110A"/>
    <w:rsid w:val="007E1257"/>
    <w:rsid w:val="007E12CD"/>
    <w:rsid w:val="007E13FB"/>
    <w:rsid w:val="007E140B"/>
    <w:rsid w:val="007E142F"/>
    <w:rsid w:val="007E1494"/>
    <w:rsid w:val="007E1547"/>
    <w:rsid w:val="007E15F9"/>
    <w:rsid w:val="007E16E2"/>
    <w:rsid w:val="007E173C"/>
    <w:rsid w:val="007E1765"/>
    <w:rsid w:val="007E1849"/>
    <w:rsid w:val="007E18BD"/>
    <w:rsid w:val="007E18F2"/>
    <w:rsid w:val="007E19FD"/>
    <w:rsid w:val="007E1ADC"/>
    <w:rsid w:val="007E1BFA"/>
    <w:rsid w:val="007E1C02"/>
    <w:rsid w:val="007E1C9D"/>
    <w:rsid w:val="007E1DAD"/>
    <w:rsid w:val="007E1DE1"/>
    <w:rsid w:val="007E1E98"/>
    <w:rsid w:val="007E1EB3"/>
    <w:rsid w:val="007E1F1A"/>
    <w:rsid w:val="007E1FA7"/>
    <w:rsid w:val="007E1FBF"/>
    <w:rsid w:val="007E1FDF"/>
    <w:rsid w:val="007E20AD"/>
    <w:rsid w:val="007E232D"/>
    <w:rsid w:val="007E2332"/>
    <w:rsid w:val="007E239E"/>
    <w:rsid w:val="007E2417"/>
    <w:rsid w:val="007E248B"/>
    <w:rsid w:val="007E2493"/>
    <w:rsid w:val="007E24B0"/>
    <w:rsid w:val="007E25A0"/>
    <w:rsid w:val="007E25A7"/>
    <w:rsid w:val="007E25B7"/>
    <w:rsid w:val="007E25C2"/>
    <w:rsid w:val="007E25DE"/>
    <w:rsid w:val="007E264B"/>
    <w:rsid w:val="007E26F3"/>
    <w:rsid w:val="007E297B"/>
    <w:rsid w:val="007E2A15"/>
    <w:rsid w:val="007E2A93"/>
    <w:rsid w:val="007E2AE4"/>
    <w:rsid w:val="007E2D23"/>
    <w:rsid w:val="007E2D59"/>
    <w:rsid w:val="007E2E4F"/>
    <w:rsid w:val="007E2E92"/>
    <w:rsid w:val="007E2FE6"/>
    <w:rsid w:val="007E2FF5"/>
    <w:rsid w:val="007E300B"/>
    <w:rsid w:val="007E301B"/>
    <w:rsid w:val="007E3051"/>
    <w:rsid w:val="007E305D"/>
    <w:rsid w:val="007E3132"/>
    <w:rsid w:val="007E318C"/>
    <w:rsid w:val="007E318E"/>
    <w:rsid w:val="007E3279"/>
    <w:rsid w:val="007E32F0"/>
    <w:rsid w:val="007E341E"/>
    <w:rsid w:val="007E343B"/>
    <w:rsid w:val="007E3482"/>
    <w:rsid w:val="007E36B8"/>
    <w:rsid w:val="007E36C4"/>
    <w:rsid w:val="007E36EE"/>
    <w:rsid w:val="007E372A"/>
    <w:rsid w:val="007E3882"/>
    <w:rsid w:val="007E38E1"/>
    <w:rsid w:val="007E38FB"/>
    <w:rsid w:val="007E3902"/>
    <w:rsid w:val="007E3C73"/>
    <w:rsid w:val="007E4064"/>
    <w:rsid w:val="007E4203"/>
    <w:rsid w:val="007E42B6"/>
    <w:rsid w:val="007E42DF"/>
    <w:rsid w:val="007E4318"/>
    <w:rsid w:val="007E4353"/>
    <w:rsid w:val="007E440E"/>
    <w:rsid w:val="007E4480"/>
    <w:rsid w:val="007E45E1"/>
    <w:rsid w:val="007E461E"/>
    <w:rsid w:val="007E462D"/>
    <w:rsid w:val="007E4710"/>
    <w:rsid w:val="007E477F"/>
    <w:rsid w:val="007E4815"/>
    <w:rsid w:val="007E4842"/>
    <w:rsid w:val="007E4906"/>
    <w:rsid w:val="007E49CC"/>
    <w:rsid w:val="007E4A0B"/>
    <w:rsid w:val="007E4A88"/>
    <w:rsid w:val="007E4AB8"/>
    <w:rsid w:val="007E4AE2"/>
    <w:rsid w:val="007E4B26"/>
    <w:rsid w:val="007E4B39"/>
    <w:rsid w:val="007E4BD8"/>
    <w:rsid w:val="007E4C6D"/>
    <w:rsid w:val="007E4C93"/>
    <w:rsid w:val="007E4C9D"/>
    <w:rsid w:val="007E4DBE"/>
    <w:rsid w:val="007E4DD3"/>
    <w:rsid w:val="007E4E12"/>
    <w:rsid w:val="007E50A3"/>
    <w:rsid w:val="007E51E3"/>
    <w:rsid w:val="007E5208"/>
    <w:rsid w:val="007E5281"/>
    <w:rsid w:val="007E52CD"/>
    <w:rsid w:val="007E52D8"/>
    <w:rsid w:val="007E53EC"/>
    <w:rsid w:val="007E5408"/>
    <w:rsid w:val="007E558F"/>
    <w:rsid w:val="007E559D"/>
    <w:rsid w:val="007E55B4"/>
    <w:rsid w:val="007E5603"/>
    <w:rsid w:val="007E5677"/>
    <w:rsid w:val="007E56D4"/>
    <w:rsid w:val="007E56DE"/>
    <w:rsid w:val="007E56E2"/>
    <w:rsid w:val="007E5778"/>
    <w:rsid w:val="007E5788"/>
    <w:rsid w:val="007E5939"/>
    <w:rsid w:val="007E597E"/>
    <w:rsid w:val="007E59B7"/>
    <w:rsid w:val="007E59DA"/>
    <w:rsid w:val="007E5A86"/>
    <w:rsid w:val="007E5BC5"/>
    <w:rsid w:val="007E5C28"/>
    <w:rsid w:val="007E5C3C"/>
    <w:rsid w:val="007E5C56"/>
    <w:rsid w:val="007E5D38"/>
    <w:rsid w:val="007E5D3F"/>
    <w:rsid w:val="007E5DB7"/>
    <w:rsid w:val="007E628B"/>
    <w:rsid w:val="007E635C"/>
    <w:rsid w:val="007E636B"/>
    <w:rsid w:val="007E63DA"/>
    <w:rsid w:val="007E63EB"/>
    <w:rsid w:val="007E647D"/>
    <w:rsid w:val="007E6535"/>
    <w:rsid w:val="007E681E"/>
    <w:rsid w:val="007E686C"/>
    <w:rsid w:val="007E68AF"/>
    <w:rsid w:val="007E6913"/>
    <w:rsid w:val="007E6951"/>
    <w:rsid w:val="007E69B8"/>
    <w:rsid w:val="007E6B61"/>
    <w:rsid w:val="007E6BC6"/>
    <w:rsid w:val="007E6DAE"/>
    <w:rsid w:val="007E6DDE"/>
    <w:rsid w:val="007E6EEC"/>
    <w:rsid w:val="007E6EFC"/>
    <w:rsid w:val="007E6EFE"/>
    <w:rsid w:val="007E6F6D"/>
    <w:rsid w:val="007E6F93"/>
    <w:rsid w:val="007E7001"/>
    <w:rsid w:val="007E7023"/>
    <w:rsid w:val="007E70BA"/>
    <w:rsid w:val="007E7131"/>
    <w:rsid w:val="007E71CC"/>
    <w:rsid w:val="007E730B"/>
    <w:rsid w:val="007E739C"/>
    <w:rsid w:val="007E73FA"/>
    <w:rsid w:val="007E746E"/>
    <w:rsid w:val="007E74E9"/>
    <w:rsid w:val="007E756B"/>
    <w:rsid w:val="007E772E"/>
    <w:rsid w:val="007E780A"/>
    <w:rsid w:val="007E799C"/>
    <w:rsid w:val="007E79E9"/>
    <w:rsid w:val="007E7B47"/>
    <w:rsid w:val="007E7B58"/>
    <w:rsid w:val="007E7BC8"/>
    <w:rsid w:val="007E7BC9"/>
    <w:rsid w:val="007E7C06"/>
    <w:rsid w:val="007E7D75"/>
    <w:rsid w:val="007E7E42"/>
    <w:rsid w:val="007E7EB6"/>
    <w:rsid w:val="007E7ED8"/>
    <w:rsid w:val="007E7F1C"/>
    <w:rsid w:val="007E7F8F"/>
    <w:rsid w:val="007F0026"/>
    <w:rsid w:val="007F0075"/>
    <w:rsid w:val="007F00A2"/>
    <w:rsid w:val="007F00C0"/>
    <w:rsid w:val="007F0108"/>
    <w:rsid w:val="007F018B"/>
    <w:rsid w:val="007F029E"/>
    <w:rsid w:val="007F02F7"/>
    <w:rsid w:val="007F0303"/>
    <w:rsid w:val="007F0398"/>
    <w:rsid w:val="007F0407"/>
    <w:rsid w:val="007F0408"/>
    <w:rsid w:val="007F042E"/>
    <w:rsid w:val="007F0524"/>
    <w:rsid w:val="007F0565"/>
    <w:rsid w:val="007F0591"/>
    <w:rsid w:val="007F0655"/>
    <w:rsid w:val="007F0693"/>
    <w:rsid w:val="007F06FC"/>
    <w:rsid w:val="007F07DE"/>
    <w:rsid w:val="007F0817"/>
    <w:rsid w:val="007F0822"/>
    <w:rsid w:val="007F08AC"/>
    <w:rsid w:val="007F08CF"/>
    <w:rsid w:val="007F094B"/>
    <w:rsid w:val="007F0ADD"/>
    <w:rsid w:val="007F0B42"/>
    <w:rsid w:val="007F0C32"/>
    <w:rsid w:val="007F0CF7"/>
    <w:rsid w:val="007F0D44"/>
    <w:rsid w:val="007F0D4E"/>
    <w:rsid w:val="007F0DCC"/>
    <w:rsid w:val="007F0EB0"/>
    <w:rsid w:val="007F0F42"/>
    <w:rsid w:val="007F0FB1"/>
    <w:rsid w:val="007F1054"/>
    <w:rsid w:val="007F10D5"/>
    <w:rsid w:val="007F10F5"/>
    <w:rsid w:val="007F1195"/>
    <w:rsid w:val="007F120C"/>
    <w:rsid w:val="007F1273"/>
    <w:rsid w:val="007F1299"/>
    <w:rsid w:val="007F1315"/>
    <w:rsid w:val="007F14E3"/>
    <w:rsid w:val="007F15B4"/>
    <w:rsid w:val="007F16AD"/>
    <w:rsid w:val="007F1798"/>
    <w:rsid w:val="007F1843"/>
    <w:rsid w:val="007F184B"/>
    <w:rsid w:val="007F19D7"/>
    <w:rsid w:val="007F1AE6"/>
    <w:rsid w:val="007F1B0B"/>
    <w:rsid w:val="007F1B5A"/>
    <w:rsid w:val="007F1BB3"/>
    <w:rsid w:val="007F1CA7"/>
    <w:rsid w:val="007F1CEC"/>
    <w:rsid w:val="007F1D39"/>
    <w:rsid w:val="007F1D41"/>
    <w:rsid w:val="007F1DF1"/>
    <w:rsid w:val="007F1E4E"/>
    <w:rsid w:val="007F1E5E"/>
    <w:rsid w:val="007F1E7E"/>
    <w:rsid w:val="007F1E9F"/>
    <w:rsid w:val="007F1EAC"/>
    <w:rsid w:val="007F1F23"/>
    <w:rsid w:val="007F1F24"/>
    <w:rsid w:val="007F1F60"/>
    <w:rsid w:val="007F1F86"/>
    <w:rsid w:val="007F209E"/>
    <w:rsid w:val="007F21C3"/>
    <w:rsid w:val="007F2214"/>
    <w:rsid w:val="007F2288"/>
    <w:rsid w:val="007F2331"/>
    <w:rsid w:val="007F2396"/>
    <w:rsid w:val="007F24FA"/>
    <w:rsid w:val="007F250A"/>
    <w:rsid w:val="007F2706"/>
    <w:rsid w:val="007F280E"/>
    <w:rsid w:val="007F2893"/>
    <w:rsid w:val="007F2AD4"/>
    <w:rsid w:val="007F2B2F"/>
    <w:rsid w:val="007F2CBC"/>
    <w:rsid w:val="007F2DF4"/>
    <w:rsid w:val="007F2E71"/>
    <w:rsid w:val="007F3023"/>
    <w:rsid w:val="007F3052"/>
    <w:rsid w:val="007F309D"/>
    <w:rsid w:val="007F30C8"/>
    <w:rsid w:val="007F31AE"/>
    <w:rsid w:val="007F3389"/>
    <w:rsid w:val="007F33C4"/>
    <w:rsid w:val="007F340D"/>
    <w:rsid w:val="007F344E"/>
    <w:rsid w:val="007F35D1"/>
    <w:rsid w:val="007F35E3"/>
    <w:rsid w:val="007F369A"/>
    <w:rsid w:val="007F3779"/>
    <w:rsid w:val="007F37BD"/>
    <w:rsid w:val="007F37D7"/>
    <w:rsid w:val="007F3897"/>
    <w:rsid w:val="007F38C3"/>
    <w:rsid w:val="007F38E9"/>
    <w:rsid w:val="007F3A41"/>
    <w:rsid w:val="007F3AED"/>
    <w:rsid w:val="007F3B51"/>
    <w:rsid w:val="007F3B74"/>
    <w:rsid w:val="007F3C3F"/>
    <w:rsid w:val="007F3CF2"/>
    <w:rsid w:val="007F3D9A"/>
    <w:rsid w:val="007F3E0D"/>
    <w:rsid w:val="007F3E67"/>
    <w:rsid w:val="007F3F10"/>
    <w:rsid w:val="007F3F1B"/>
    <w:rsid w:val="007F3F35"/>
    <w:rsid w:val="007F3FF6"/>
    <w:rsid w:val="007F40A4"/>
    <w:rsid w:val="007F40B9"/>
    <w:rsid w:val="007F40FB"/>
    <w:rsid w:val="007F41DC"/>
    <w:rsid w:val="007F420C"/>
    <w:rsid w:val="007F4289"/>
    <w:rsid w:val="007F42A2"/>
    <w:rsid w:val="007F43B3"/>
    <w:rsid w:val="007F4434"/>
    <w:rsid w:val="007F4550"/>
    <w:rsid w:val="007F4628"/>
    <w:rsid w:val="007F48C4"/>
    <w:rsid w:val="007F4982"/>
    <w:rsid w:val="007F4AE0"/>
    <w:rsid w:val="007F4B4E"/>
    <w:rsid w:val="007F4B4F"/>
    <w:rsid w:val="007F4DF5"/>
    <w:rsid w:val="007F4E83"/>
    <w:rsid w:val="007F4F45"/>
    <w:rsid w:val="007F4FB9"/>
    <w:rsid w:val="007F500B"/>
    <w:rsid w:val="007F5020"/>
    <w:rsid w:val="007F50A0"/>
    <w:rsid w:val="007F50DA"/>
    <w:rsid w:val="007F5163"/>
    <w:rsid w:val="007F5431"/>
    <w:rsid w:val="007F55D1"/>
    <w:rsid w:val="007F56EB"/>
    <w:rsid w:val="007F5795"/>
    <w:rsid w:val="007F5823"/>
    <w:rsid w:val="007F585B"/>
    <w:rsid w:val="007F5923"/>
    <w:rsid w:val="007F5996"/>
    <w:rsid w:val="007F5AEB"/>
    <w:rsid w:val="007F5B6D"/>
    <w:rsid w:val="007F5BC8"/>
    <w:rsid w:val="007F5C97"/>
    <w:rsid w:val="007F5CA6"/>
    <w:rsid w:val="007F5CB4"/>
    <w:rsid w:val="007F5CF0"/>
    <w:rsid w:val="007F5D6C"/>
    <w:rsid w:val="007F5E05"/>
    <w:rsid w:val="007F5E4F"/>
    <w:rsid w:val="007F60A9"/>
    <w:rsid w:val="007F61AD"/>
    <w:rsid w:val="007F62A5"/>
    <w:rsid w:val="007F640A"/>
    <w:rsid w:val="007F649A"/>
    <w:rsid w:val="007F64CC"/>
    <w:rsid w:val="007F6645"/>
    <w:rsid w:val="007F66D2"/>
    <w:rsid w:val="007F6786"/>
    <w:rsid w:val="007F6824"/>
    <w:rsid w:val="007F6913"/>
    <w:rsid w:val="007F693B"/>
    <w:rsid w:val="007F69DE"/>
    <w:rsid w:val="007F6AA0"/>
    <w:rsid w:val="007F6ABD"/>
    <w:rsid w:val="007F6B2A"/>
    <w:rsid w:val="007F6B48"/>
    <w:rsid w:val="007F6C68"/>
    <w:rsid w:val="007F6CEC"/>
    <w:rsid w:val="007F6D4B"/>
    <w:rsid w:val="007F6DC9"/>
    <w:rsid w:val="007F6DE2"/>
    <w:rsid w:val="007F6EA9"/>
    <w:rsid w:val="007F6F67"/>
    <w:rsid w:val="007F6FB3"/>
    <w:rsid w:val="007F709D"/>
    <w:rsid w:val="007F7147"/>
    <w:rsid w:val="007F7197"/>
    <w:rsid w:val="007F71B2"/>
    <w:rsid w:val="007F72C8"/>
    <w:rsid w:val="007F7348"/>
    <w:rsid w:val="007F7371"/>
    <w:rsid w:val="007F7390"/>
    <w:rsid w:val="007F7406"/>
    <w:rsid w:val="007F74A8"/>
    <w:rsid w:val="007F751A"/>
    <w:rsid w:val="007F7648"/>
    <w:rsid w:val="007F7680"/>
    <w:rsid w:val="007F769A"/>
    <w:rsid w:val="007F76FE"/>
    <w:rsid w:val="007F775A"/>
    <w:rsid w:val="007F77B4"/>
    <w:rsid w:val="007F784D"/>
    <w:rsid w:val="007F7881"/>
    <w:rsid w:val="007F7962"/>
    <w:rsid w:val="007F79DC"/>
    <w:rsid w:val="007F7A9E"/>
    <w:rsid w:val="007F7AE0"/>
    <w:rsid w:val="007F7B24"/>
    <w:rsid w:val="007F7B26"/>
    <w:rsid w:val="007F7BE9"/>
    <w:rsid w:val="007F7D3A"/>
    <w:rsid w:val="008000BA"/>
    <w:rsid w:val="008000C4"/>
    <w:rsid w:val="008001FA"/>
    <w:rsid w:val="00800353"/>
    <w:rsid w:val="00800485"/>
    <w:rsid w:val="008004F5"/>
    <w:rsid w:val="0080052E"/>
    <w:rsid w:val="00800582"/>
    <w:rsid w:val="008006A3"/>
    <w:rsid w:val="008007AD"/>
    <w:rsid w:val="008007D2"/>
    <w:rsid w:val="0080080D"/>
    <w:rsid w:val="008009A5"/>
    <w:rsid w:val="00800B46"/>
    <w:rsid w:val="00800C2A"/>
    <w:rsid w:val="00800DD8"/>
    <w:rsid w:val="00800E26"/>
    <w:rsid w:val="00800E2B"/>
    <w:rsid w:val="00800F89"/>
    <w:rsid w:val="00801004"/>
    <w:rsid w:val="0080103E"/>
    <w:rsid w:val="0080108D"/>
    <w:rsid w:val="0080115D"/>
    <w:rsid w:val="008012E8"/>
    <w:rsid w:val="0080131F"/>
    <w:rsid w:val="008013F9"/>
    <w:rsid w:val="00801510"/>
    <w:rsid w:val="00801511"/>
    <w:rsid w:val="0080151B"/>
    <w:rsid w:val="008015AE"/>
    <w:rsid w:val="008015D6"/>
    <w:rsid w:val="008017C2"/>
    <w:rsid w:val="00801884"/>
    <w:rsid w:val="008018DC"/>
    <w:rsid w:val="0080193C"/>
    <w:rsid w:val="008019C3"/>
    <w:rsid w:val="00801A44"/>
    <w:rsid w:val="00801B8D"/>
    <w:rsid w:val="00801C6A"/>
    <w:rsid w:val="00801DCF"/>
    <w:rsid w:val="00801DD5"/>
    <w:rsid w:val="00801ED9"/>
    <w:rsid w:val="0080207F"/>
    <w:rsid w:val="008020E8"/>
    <w:rsid w:val="008020F7"/>
    <w:rsid w:val="0080218A"/>
    <w:rsid w:val="00802211"/>
    <w:rsid w:val="008022C5"/>
    <w:rsid w:val="008023DB"/>
    <w:rsid w:val="00802464"/>
    <w:rsid w:val="008027FD"/>
    <w:rsid w:val="008028B6"/>
    <w:rsid w:val="008028D4"/>
    <w:rsid w:val="0080292B"/>
    <w:rsid w:val="008029E2"/>
    <w:rsid w:val="008029EA"/>
    <w:rsid w:val="00802A3E"/>
    <w:rsid w:val="00802ACA"/>
    <w:rsid w:val="00802B50"/>
    <w:rsid w:val="00802BE6"/>
    <w:rsid w:val="00802C7C"/>
    <w:rsid w:val="00802D4A"/>
    <w:rsid w:val="00802DAA"/>
    <w:rsid w:val="00802E16"/>
    <w:rsid w:val="00802E18"/>
    <w:rsid w:val="00802E92"/>
    <w:rsid w:val="00802EB4"/>
    <w:rsid w:val="00802F44"/>
    <w:rsid w:val="00802FD4"/>
    <w:rsid w:val="0080323E"/>
    <w:rsid w:val="00803543"/>
    <w:rsid w:val="008035D3"/>
    <w:rsid w:val="008035DA"/>
    <w:rsid w:val="008035EF"/>
    <w:rsid w:val="0080366D"/>
    <w:rsid w:val="008036C1"/>
    <w:rsid w:val="008037B6"/>
    <w:rsid w:val="00803806"/>
    <w:rsid w:val="008038FA"/>
    <w:rsid w:val="00803946"/>
    <w:rsid w:val="00803980"/>
    <w:rsid w:val="008039FD"/>
    <w:rsid w:val="00803B79"/>
    <w:rsid w:val="00803B9B"/>
    <w:rsid w:val="00803BF2"/>
    <w:rsid w:val="00803CC0"/>
    <w:rsid w:val="00803CC4"/>
    <w:rsid w:val="00803DB6"/>
    <w:rsid w:val="00803E03"/>
    <w:rsid w:val="00803EF4"/>
    <w:rsid w:val="00803F49"/>
    <w:rsid w:val="00803F8B"/>
    <w:rsid w:val="00803FC6"/>
    <w:rsid w:val="00803FDC"/>
    <w:rsid w:val="0080402C"/>
    <w:rsid w:val="00804058"/>
    <w:rsid w:val="008040ED"/>
    <w:rsid w:val="008042E7"/>
    <w:rsid w:val="00804384"/>
    <w:rsid w:val="008044DC"/>
    <w:rsid w:val="0080452B"/>
    <w:rsid w:val="00804562"/>
    <w:rsid w:val="00804584"/>
    <w:rsid w:val="008045D0"/>
    <w:rsid w:val="0080461F"/>
    <w:rsid w:val="00804672"/>
    <w:rsid w:val="008046EB"/>
    <w:rsid w:val="008047F3"/>
    <w:rsid w:val="008048F7"/>
    <w:rsid w:val="00804934"/>
    <w:rsid w:val="00804938"/>
    <w:rsid w:val="008049DC"/>
    <w:rsid w:val="00804B03"/>
    <w:rsid w:val="00804B78"/>
    <w:rsid w:val="00804BA2"/>
    <w:rsid w:val="00804C1B"/>
    <w:rsid w:val="00804CC0"/>
    <w:rsid w:val="00804DC0"/>
    <w:rsid w:val="00804DD2"/>
    <w:rsid w:val="00804DE8"/>
    <w:rsid w:val="00804E34"/>
    <w:rsid w:val="00804EA8"/>
    <w:rsid w:val="00804EB9"/>
    <w:rsid w:val="00804EEE"/>
    <w:rsid w:val="008050F5"/>
    <w:rsid w:val="0080519A"/>
    <w:rsid w:val="008051B4"/>
    <w:rsid w:val="00805436"/>
    <w:rsid w:val="008054F2"/>
    <w:rsid w:val="00805781"/>
    <w:rsid w:val="008057CC"/>
    <w:rsid w:val="0080581C"/>
    <w:rsid w:val="00805877"/>
    <w:rsid w:val="0080593D"/>
    <w:rsid w:val="00805A80"/>
    <w:rsid w:val="00805B7D"/>
    <w:rsid w:val="00805BAE"/>
    <w:rsid w:val="00805C7C"/>
    <w:rsid w:val="00805DCC"/>
    <w:rsid w:val="00805E0A"/>
    <w:rsid w:val="00805E42"/>
    <w:rsid w:val="00805F5F"/>
    <w:rsid w:val="00806028"/>
    <w:rsid w:val="008060A9"/>
    <w:rsid w:val="00806154"/>
    <w:rsid w:val="008062AE"/>
    <w:rsid w:val="00806430"/>
    <w:rsid w:val="00806498"/>
    <w:rsid w:val="008064E3"/>
    <w:rsid w:val="00806511"/>
    <w:rsid w:val="008066B8"/>
    <w:rsid w:val="00806782"/>
    <w:rsid w:val="0080679B"/>
    <w:rsid w:val="008067D0"/>
    <w:rsid w:val="00806816"/>
    <w:rsid w:val="00806842"/>
    <w:rsid w:val="0080685E"/>
    <w:rsid w:val="00806AD3"/>
    <w:rsid w:val="00806B7B"/>
    <w:rsid w:val="00806BBA"/>
    <w:rsid w:val="00806D49"/>
    <w:rsid w:val="00806DA3"/>
    <w:rsid w:val="00807075"/>
    <w:rsid w:val="008070EE"/>
    <w:rsid w:val="0080729B"/>
    <w:rsid w:val="008073B8"/>
    <w:rsid w:val="00807486"/>
    <w:rsid w:val="008074C5"/>
    <w:rsid w:val="00807560"/>
    <w:rsid w:val="008075A2"/>
    <w:rsid w:val="008075D8"/>
    <w:rsid w:val="00807760"/>
    <w:rsid w:val="00807962"/>
    <w:rsid w:val="00807A2F"/>
    <w:rsid w:val="00807B45"/>
    <w:rsid w:val="00807C17"/>
    <w:rsid w:val="00807DDB"/>
    <w:rsid w:val="00807E86"/>
    <w:rsid w:val="00807E93"/>
    <w:rsid w:val="00807E9B"/>
    <w:rsid w:val="00807ED3"/>
    <w:rsid w:val="00807EEA"/>
    <w:rsid w:val="00807F22"/>
    <w:rsid w:val="00810053"/>
    <w:rsid w:val="0081012D"/>
    <w:rsid w:val="00810166"/>
    <w:rsid w:val="008101C8"/>
    <w:rsid w:val="00810227"/>
    <w:rsid w:val="008102A4"/>
    <w:rsid w:val="00810460"/>
    <w:rsid w:val="008104AB"/>
    <w:rsid w:val="00810524"/>
    <w:rsid w:val="00810587"/>
    <w:rsid w:val="008106C9"/>
    <w:rsid w:val="008107B8"/>
    <w:rsid w:val="00810816"/>
    <w:rsid w:val="00810A2B"/>
    <w:rsid w:val="00810A6C"/>
    <w:rsid w:val="00810BA3"/>
    <w:rsid w:val="00810C6E"/>
    <w:rsid w:val="00810C81"/>
    <w:rsid w:val="00810C92"/>
    <w:rsid w:val="00810D56"/>
    <w:rsid w:val="00810D60"/>
    <w:rsid w:val="00810DFC"/>
    <w:rsid w:val="00810E1B"/>
    <w:rsid w:val="00810EC0"/>
    <w:rsid w:val="00810EF6"/>
    <w:rsid w:val="00811002"/>
    <w:rsid w:val="0081101F"/>
    <w:rsid w:val="0081113C"/>
    <w:rsid w:val="00811282"/>
    <w:rsid w:val="00811288"/>
    <w:rsid w:val="008112C5"/>
    <w:rsid w:val="008113E3"/>
    <w:rsid w:val="008113EC"/>
    <w:rsid w:val="00811644"/>
    <w:rsid w:val="008116DA"/>
    <w:rsid w:val="00811730"/>
    <w:rsid w:val="00811768"/>
    <w:rsid w:val="00811786"/>
    <w:rsid w:val="008117F0"/>
    <w:rsid w:val="00811930"/>
    <w:rsid w:val="00811A4D"/>
    <w:rsid w:val="00811B07"/>
    <w:rsid w:val="00811B3E"/>
    <w:rsid w:val="00811B66"/>
    <w:rsid w:val="00811C28"/>
    <w:rsid w:val="00811C82"/>
    <w:rsid w:val="00811C9A"/>
    <w:rsid w:val="00811CFD"/>
    <w:rsid w:val="00811E22"/>
    <w:rsid w:val="00811E64"/>
    <w:rsid w:val="00811E6F"/>
    <w:rsid w:val="00811E8C"/>
    <w:rsid w:val="00811F04"/>
    <w:rsid w:val="00811F17"/>
    <w:rsid w:val="00811F9F"/>
    <w:rsid w:val="00811FA9"/>
    <w:rsid w:val="008120B7"/>
    <w:rsid w:val="00812144"/>
    <w:rsid w:val="00812183"/>
    <w:rsid w:val="008121D5"/>
    <w:rsid w:val="00812222"/>
    <w:rsid w:val="00812277"/>
    <w:rsid w:val="00812377"/>
    <w:rsid w:val="00812464"/>
    <w:rsid w:val="008124BA"/>
    <w:rsid w:val="008124DB"/>
    <w:rsid w:val="00812515"/>
    <w:rsid w:val="0081265E"/>
    <w:rsid w:val="008126B0"/>
    <w:rsid w:val="008126D0"/>
    <w:rsid w:val="00812738"/>
    <w:rsid w:val="00812825"/>
    <w:rsid w:val="00812AFC"/>
    <w:rsid w:val="00812B05"/>
    <w:rsid w:val="00812C21"/>
    <w:rsid w:val="00812D03"/>
    <w:rsid w:val="00812D11"/>
    <w:rsid w:val="00812DE5"/>
    <w:rsid w:val="00812ED0"/>
    <w:rsid w:val="00812EE9"/>
    <w:rsid w:val="00812F37"/>
    <w:rsid w:val="00812F6F"/>
    <w:rsid w:val="0081303B"/>
    <w:rsid w:val="008131BC"/>
    <w:rsid w:val="008132C5"/>
    <w:rsid w:val="00813320"/>
    <w:rsid w:val="00813408"/>
    <w:rsid w:val="008134EF"/>
    <w:rsid w:val="00813646"/>
    <w:rsid w:val="008137E2"/>
    <w:rsid w:val="008138AC"/>
    <w:rsid w:val="008138FD"/>
    <w:rsid w:val="0081391B"/>
    <w:rsid w:val="00813A0E"/>
    <w:rsid w:val="00813A12"/>
    <w:rsid w:val="00813A1D"/>
    <w:rsid w:val="00813A20"/>
    <w:rsid w:val="00813AC8"/>
    <w:rsid w:val="00813B3A"/>
    <w:rsid w:val="00813B7F"/>
    <w:rsid w:val="00813C30"/>
    <w:rsid w:val="00813C3A"/>
    <w:rsid w:val="00813CBA"/>
    <w:rsid w:val="00813E79"/>
    <w:rsid w:val="0081400D"/>
    <w:rsid w:val="0081402C"/>
    <w:rsid w:val="00814090"/>
    <w:rsid w:val="008141ED"/>
    <w:rsid w:val="00814220"/>
    <w:rsid w:val="008142EC"/>
    <w:rsid w:val="00814309"/>
    <w:rsid w:val="008145DD"/>
    <w:rsid w:val="00814632"/>
    <w:rsid w:val="00814862"/>
    <w:rsid w:val="008148F4"/>
    <w:rsid w:val="00814940"/>
    <w:rsid w:val="0081494E"/>
    <w:rsid w:val="00814B78"/>
    <w:rsid w:val="00814CC1"/>
    <w:rsid w:val="00814DF6"/>
    <w:rsid w:val="00814E41"/>
    <w:rsid w:val="00814F18"/>
    <w:rsid w:val="00814FE6"/>
    <w:rsid w:val="008150EA"/>
    <w:rsid w:val="0081517B"/>
    <w:rsid w:val="0081529F"/>
    <w:rsid w:val="00815310"/>
    <w:rsid w:val="00815388"/>
    <w:rsid w:val="008155BC"/>
    <w:rsid w:val="008155C8"/>
    <w:rsid w:val="00815684"/>
    <w:rsid w:val="008156A6"/>
    <w:rsid w:val="00815702"/>
    <w:rsid w:val="00815770"/>
    <w:rsid w:val="0081581F"/>
    <w:rsid w:val="0081589F"/>
    <w:rsid w:val="0081599B"/>
    <w:rsid w:val="00815A8D"/>
    <w:rsid w:val="00815AA4"/>
    <w:rsid w:val="00815AD6"/>
    <w:rsid w:val="00815F99"/>
    <w:rsid w:val="00816040"/>
    <w:rsid w:val="00816152"/>
    <w:rsid w:val="008161B1"/>
    <w:rsid w:val="008161E1"/>
    <w:rsid w:val="0081628F"/>
    <w:rsid w:val="00816294"/>
    <w:rsid w:val="008163BC"/>
    <w:rsid w:val="008163FD"/>
    <w:rsid w:val="00816496"/>
    <w:rsid w:val="00816542"/>
    <w:rsid w:val="008165F6"/>
    <w:rsid w:val="0081664F"/>
    <w:rsid w:val="00816650"/>
    <w:rsid w:val="00816651"/>
    <w:rsid w:val="00816817"/>
    <w:rsid w:val="00816819"/>
    <w:rsid w:val="0081692E"/>
    <w:rsid w:val="00816A25"/>
    <w:rsid w:val="00816BC0"/>
    <w:rsid w:val="00816F4D"/>
    <w:rsid w:val="00816FDA"/>
    <w:rsid w:val="0081718B"/>
    <w:rsid w:val="00817215"/>
    <w:rsid w:val="00817516"/>
    <w:rsid w:val="008175F8"/>
    <w:rsid w:val="00817621"/>
    <w:rsid w:val="008176BF"/>
    <w:rsid w:val="0081771A"/>
    <w:rsid w:val="00817969"/>
    <w:rsid w:val="0081799B"/>
    <w:rsid w:val="00817A4E"/>
    <w:rsid w:val="00817D4F"/>
    <w:rsid w:val="00817D67"/>
    <w:rsid w:val="00817DC4"/>
    <w:rsid w:val="00817DD0"/>
    <w:rsid w:val="00817EA5"/>
    <w:rsid w:val="00817EF8"/>
    <w:rsid w:val="00817FAF"/>
    <w:rsid w:val="00820033"/>
    <w:rsid w:val="00820046"/>
    <w:rsid w:val="008201E0"/>
    <w:rsid w:val="0082035E"/>
    <w:rsid w:val="008203A6"/>
    <w:rsid w:val="008203FA"/>
    <w:rsid w:val="00820461"/>
    <w:rsid w:val="008204C6"/>
    <w:rsid w:val="008204E4"/>
    <w:rsid w:val="00820521"/>
    <w:rsid w:val="00820556"/>
    <w:rsid w:val="0082065B"/>
    <w:rsid w:val="00820762"/>
    <w:rsid w:val="00820828"/>
    <w:rsid w:val="00820858"/>
    <w:rsid w:val="00820860"/>
    <w:rsid w:val="0082089F"/>
    <w:rsid w:val="008208D8"/>
    <w:rsid w:val="008209F7"/>
    <w:rsid w:val="00820A07"/>
    <w:rsid w:val="00820A84"/>
    <w:rsid w:val="00820C0E"/>
    <w:rsid w:val="00820C36"/>
    <w:rsid w:val="00820CB2"/>
    <w:rsid w:val="00820DE5"/>
    <w:rsid w:val="00820E38"/>
    <w:rsid w:val="00820E3A"/>
    <w:rsid w:val="00820E4F"/>
    <w:rsid w:val="00820FB9"/>
    <w:rsid w:val="008211A6"/>
    <w:rsid w:val="008211B1"/>
    <w:rsid w:val="00821355"/>
    <w:rsid w:val="008214FC"/>
    <w:rsid w:val="0082155C"/>
    <w:rsid w:val="0082157D"/>
    <w:rsid w:val="0082172B"/>
    <w:rsid w:val="008218A2"/>
    <w:rsid w:val="008218F2"/>
    <w:rsid w:val="00821A2E"/>
    <w:rsid w:val="00821A60"/>
    <w:rsid w:val="00821AA1"/>
    <w:rsid w:val="00821D60"/>
    <w:rsid w:val="00821EAC"/>
    <w:rsid w:val="00821F14"/>
    <w:rsid w:val="008221D9"/>
    <w:rsid w:val="0082221F"/>
    <w:rsid w:val="0082230B"/>
    <w:rsid w:val="00822352"/>
    <w:rsid w:val="00822371"/>
    <w:rsid w:val="008223CE"/>
    <w:rsid w:val="008223FF"/>
    <w:rsid w:val="008224F0"/>
    <w:rsid w:val="0082263F"/>
    <w:rsid w:val="008227BF"/>
    <w:rsid w:val="00822822"/>
    <w:rsid w:val="008228BD"/>
    <w:rsid w:val="008228DD"/>
    <w:rsid w:val="00822A0F"/>
    <w:rsid w:val="00822A6F"/>
    <w:rsid w:val="00822CEF"/>
    <w:rsid w:val="00822EBD"/>
    <w:rsid w:val="008230B3"/>
    <w:rsid w:val="00823258"/>
    <w:rsid w:val="00823263"/>
    <w:rsid w:val="0082353F"/>
    <w:rsid w:val="00823679"/>
    <w:rsid w:val="0082375D"/>
    <w:rsid w:val="00823901"/>
    <w:rsid w:val="00823A2B"/>
    <w:rsid w:val="00823A37"/>
    <w:rsid w:val="00823A46"/>
    <w:rsid w:val="00823A86"/>
    <w:rsid w:val="00823A90"/>
    <w:rsid w:val="00823B43"/>
    <w:rsid w:val="00823C53"/>
    <w:rsid w:val="00823D64"/>
    <w:rsid w:val="00823DEC"/>
    <w:rsid w:val="00823EDA"/>
    <w:rsid w:val="00823F99"/>
    <w:rsid w:val="0082400A"/>
    <w:rsid w:val="00824153"/>
    <w:rsid w:val="008241D5"/>
    <w:rsid w:val="008241FA"/>
    <w:rsid w:val="00824273"/>
    <w:rsid w:val="0082428D"/>
    <w:rsid w:val="008242EC"/>
    <w:rsid w:val="0082433A"/>
    <w:rsid w:val="008244B0"/>
    <w:rsid w:val="008244D8"/>
    <w:rsid w:val="00824548"/>
    <w:rsid w:val="00824556"/>
    <w:rsid w:val="0082460B"/>
    <w:rsid w:val="0082469B"/>
    <w:rsid w:val="0082498D"/>
    <w:rsid w:val="00824A20"/>
    <w:rsid w:val="00824A38"/>
    <w:rsid w:val="00824BD1"/>
    <w:rsid w:val="00824C48"/>
    <w:rsid w:val="00824C77"/>
    <w:rsid w:val="00824CCA"/>
    <w:rsid w:val="00824DBB"/>
    <w:rsid w:val="00824EF4"/>
    <w:rsid w:val="00824F88"/>
    <w:rsid w:val="00824FB3"/>
    <w:rsid w:val="00825016"/>
    <w:rsid w:val="00825049"/>
    <w:rsid w:val="008250C3"/>
    <w:rsid w:val="0082512D"/>
    <w:rsid w:val="0082516A"/>
    <w:rsid w:val="00825217"/>
    <w:rsid w:val="00825270"/>
    <w:rsid w:val="008252F3"/>
    <w:rsid w:val="0082531B"/>
    <w:rsid w:val="00825352"/>
    <w:rsid w:val="00825355"/>
    <w:rsid w:val="00825414"/>
    <w:rsid w:val="00825415"/>
    <w:rsid w:val="00825445"/>
    <w:rsid w:val="00825450"/>
    <w:rsid w:val="008254B8"/>
    <w:rsid w:val="0082571F"/>
    <w:rsid w:val="0082574B"/>
    <w:rsid w:val="00825954"/>
    <w:rsid w:val="00825A54"/>
    <w:rsid w:val="00825C78"/>
    <w:rsid w:val="00825C9B"/>
    <w:rsid w:val="00825CF5"/>
    <w:rsid w:val="00825E12"/>
    <w:rsid w:val="00825E7D"/>
    <w:rsid w:val="00825EE6"/>
    <w:rsid w:val="00825FEF"/>
    <w:rsid w:val="00826103"/>
    <w:rsid w:val="008261A1"/>
    <w:rsid w:val="008261AB"/>
    <w:rsid w:val="00826245"/>
    <w:rsid w:val="0082627C"/>
    <w:rsid w:val="008263A9"/>
    <w:rsid w:val="008263C3"/>
    <w:rsid w:val="008263E0"/>
    <w:rsid w:val="00826407"/>
    <w:rsid w:val="0082640E"/>
    <w:rsid w:val="00826429"/>
    <w:rsid w:val="00826635"/>
    <w:rsid w:val="00826641"/>
    <w:rsid w:val="00826694"/>
    <w:rsid w:val="0082680F"/>
    <w:rsid w:val="0082686C"/>
    <w:rsid w:val="00826980"/>
    <w:rsid w:val="00826A12"/>
    <w:rsid w:val="00826AC9"/>
    <w:rsid w:val="00826B1B"/>
    <w:rsid w:val="00826B4A"/>
    <w:rsid w:val="00826BF7"/>
    <w:rsid w:val="00826BFB"/>
    <w:rsid w:val="00826BFD"/>
    <w:rsid w:val="00826C31"/>
    <w:rsid w:val="00826C37"/>
    <w:rsid w:val="00826E04"/>
    <w:rsid w:val="00826F84"/>
    <w:rsid w:val="0082701B"/>
    <w:rsid w:val="00827043"/>
    <w:rsid w:val="008270B0"/>
    <w:rsid w:val="008270B9"/>
    <w:rsid w:val="00827178"/>
    <w:rsid w:val="008272E5"/>
    <w:rsid w:val="00827363"/>
    <w:rsid w:val="008273DC"/>
    <w:rsid w:val="0082752C"/>
    <w:rsid w:val="00827799"/>
    <w:rsid w:val="008277DB"/>
    <w:rsid w:val="0082781C"/>
    <w:rsid w:val="00827850"/>
    <w:rsid w:val="008278A6"/>
    <w:rsid w:val="00827B8C"/>
    <w:rsid w:val="00827D1E"/>
    <w:rsid w:val="00827DB4"/>
    <w:rsid w:val="00827DE2"/>
    <w:rsid w:val="00827DEF"/>
    <w:rsid w:val="00827E5B"/>
    <w:rsid w:val="00827FCC"/>
    <w:rsid w:val="008300B0"/>
    <w:rsid w:val="008301B7"/>
    <w:rsid w:val="0083027F"/>
    <w:rsid w:val="008302B1"/>
    <w:rsid w:val="0083031D"/>
    <w:rsid w:val="0083050F"/>
    <w:rsid w:val="00830588"/>
    <w:rsid w:val="0083064B"/>
    <w:rsid w:val="008306ED"/>
    <w:rsid w:val="008306EF"/>
    <w:rsid w:val="00830823"/>
    <w:rsid w:val="00830882"/>
    <w:rsid w:val="008308A0"/>
    <w:rsid w:val="008309AF"/>
    <w:rsid w:val="008309C9"/>
    <w:rsid w:val="00830B59"/>
    <w:rsid w:val="00830B8E"/>
    <w:rsid w:val="00830BBD"/>
    <w:rsid w:val="00830C8D"/>
    <w:rsid w:val="00830F0A"/>
    <w:rsid w:val="00830F38"/>
    <w:rsid w:val="00830F3A"/>
    <w:rsid w:val="00830F8A"/>
    <w:rsid w:val="00830FCA"/>
    <w:rsid w:val="0083106C"/>
    <w:rsid w:val="008310B1"/>
    <w:rsid w:val="00831126"/>
    <w:rsid w:val="0083119E"/>
    <w:rsid w:val="008313EB"/>
    <w:rsid w:val="008314E7"/>
    <w:rsid w:val="00831511"/>
    <w:rsid w:val="00831834"/>
    <w:rsid w:val="00831884"/>
    <w:rsid w:val="008318CE"/>
    <w:rsid w:val="00831ADE"/>
    <w:rsid w:val="00831AFE"/>
    <w:rsid w:val="00831B96"/>
    <w:rsid w:val="00831E76"/>
    <w:rsid w:val="00831F68"/>
    <w:rsid w:val="00832116"/>
    <w:rsid w:val="008322E1"/>
    <w:rsid w:val="008323A5"/>
    <w:rsid w:val="008324AD"/>
    <w:rsid w:val="008324BF"/>
    <w:rsid w:val="00832571"/>
    <w:rsid w:val="0083262D"/>
    <w:rsid w:val="008326A2"/>
    <w:rsid w:val="00832707"/>
    <w:rsid w:val="0083287A"/>
    <w:rsid w:val="0083288C"/>
    <w:rsid w:val="008328A4"/>
    <w:rsid w:val="008328F2"/>
    <w:rsid w:val="00832B15"/>
    <w:rsid w:val="00832BA9"/>
    <w:rsid w:val="00832C80"/>
    <w:rsid w:val="00832C97"/>
    <w:rsid w:val="00832D7C"/>
    <w:rsid w:val="00832DF5"/>
    <w:rsid w:val="00832E59"/>
    <w:rsid w:val="00832ECD"/>
    <w:rsid w:val="00832FD6"/>
    <w:rsid w:val="00833023"/>
    <w:rsid w:val="00833040"/>
    <w:rsid w:val="00833173"/>
    <w:rsid w:val="0083318D"/>
    <w:rsid w:val="008331AC"/>
    <w:rsid w:val="008331FB"/>
    <w:rsid w:val="0083322C"/>
    <w:rsid w:val="00833261"/>
    <w:rsid w:val="00833291"/>
    <w:rsid w:val="0083336D"/>
    <w:rsid w:val="0083336F"/>
    <w:rsid w:val="0083341F"/>
    <w:rsid w:val="00833432"/>
    <w:rsid w:val="00833456"/>
    <w:rsid w:val="0083359C"/>
    <w:rsid w:val="008335EF"/>
    <w:rsid w:val="00833666"/>
    <w:rsid w:val="00833724"/>
    <w:rsid w:val="00833775"/>
    <w:rsid w:val="00833846"/>
    <w:rsid w:val="008339C6"/>
    <w:rsid w:val="00833A0D"/>
    <w:rsid w:val="00833A7C"/>
    <w:rsid w:val="00833A93"/>
    <w:rsid w:val="00833B5D"/>
    <w:rsid w:val="00833BD8"/>
    <w:rsid w:val="00833BDC"/>
    <w:rsid w:val="00833CC9"/>
    <w:rsid w:val="00833D13"/>
    <w:rsid w:val="00833D59"/>
    <w:rsid w:val="00833D7F"/>
    <w:rsid w:val="00833D88"/>
    <w:rsid w:val="00833E55"/>
    <w:rsid w:val="00833E62"/>
    <w:rsid w:val="00833EDD"/>
    <w:rsid w:val="00833FAA"/>
    <w:rsid w:val="00834085"/>
    <w:rsid w:val="008340C9"/>
    <w:rsid w:val="0083417D"/>
    <w:rsid w:val="00834231"/>
    <w:rsid w:val="0083439A"/>
    <w:rsid w:val="008343BB"/>
    <w:rsid w:val="008343CF"/>
    <w:rsid w:val="008343DF"/>
    <w:rsid w:val="008344B8"/>
    <w:rsid w:val="008344BE"/>
    <w:rsid w:val="00834584"/>
    <w:rsid w:val="008345CE"/>
    <w:rsid w:val="0083461B"/>
    <w:rsid w:val="00834673"/>
    <w:rsid w:val="00834841"/>
    <w:rsid w:val="00834964"/>
    <w:rsid w:val="008349CB"/>
    <w:rsid w:val="00834B25"/>
    <w:rsid w:val="00834C55"/>
    <w:rsid w:val="00834C62"/>
    <w:rsid w:val="00834CD9"/>
    <w:rsid w:val="00834D26"/>
    <w:rsid w:val="00834DAE"/>
    <w:rsid w:val="00834DF5"/>
    <w:rsid w:val="00834EED"/>
    <w:rsid w:val="00834F06"/>
    <w:rsid w:val="00834F74"/>
    <w:rsid w:val="00834FFF"/>
    <w:rsid w:val="0083510B"/>
    <w:rsid w:val="00835131"/>
    <w:rsid w:val="008351CA"/>
    <w:rsid w:val="008352F9"/>
    <w:rsid w:val="008353D3"/>
    <w:rsid w:val="00835405"/>
    <w:rsid w:val="008354F5"/>
    <w:rsid w:val="00835542"/>
    <w:rsid w:val="00835603"/>
    <w:rsid w:val="00835609"/>
    <w:rsid w:val="00835653"/>
    <w:rsid w:val="00835751"/>
    <w:rsid w:val="00835770"/>
    <w:rsid w:val="008357E1"/>
    <w:rsid w:val="008357F1"/>
    <w:rsid w:val="00835808"/>
    <w:rsid w:val="00835896"/>
    <w:rsid w:val="00835934"/>
    <w:rsid w:val="008359BB"/>
    <w:rsid w:val="00835A1B"/>
    <w:rsid w:val="00835A49"/>
    <w:rsid w:val="00835A4E"/>
    <w:rsid w:val="00835ACF"/>
    <w:rsid w:val="00835BD8"/>
    <w:rsid w:val="00835C0A"/>
    <w:rsid w:val="00835CBC"/>
    <w:rsid w:val="00835CFE"/>
    <w:rsid w:val="00835D18"/>
    <w:rsid w:val="00835DA7"/>
    <w:rsid w:val="00835E89"/>
    <w:rsid w:val="00835F27"/>
    <w:rsid w:val="00835F2C"/>
    <w:rsid w:val="00835F35"/>
    <w:rsid w:val="00835F96"/>
    <w:rsid w:val="00836042"/>
    <w:rsid w:val="0083617A"/>
    <w:rsid w:val="00836232"/>
    <w:rsid w:val="00836320"/>
    <w:rsid w:val="00836542"/>
    <w:rsid w:val="0083661C"/>
    <w:rsid w:val="00836781"/>
    <w:rsid w:val="00836798"/>
    <w:rsid w:val="008367A9"/>
    <w:rsid w:val="0083680E"/>
    <w:rsid w:val="00836849"/>
    <w:rsid w:val="008368BA"/>
    <w:rsid w:val="00836926"/>
    <w:rsid w:val="008369F7"/>
    <w:rsid w:val="00836A1F"/>
    <w:rsid w:val="00836A45"/>
    <w:rsid w:val="00836A51"/>
    <w:rsid w:val="00836C9E"/>
    <w:rsid w:val="00836CBF"/>
    <w:rsid w:val="00836D5D"/>
    <w:rsid w:val="00836D93"/>
    <w:rsid w:val="00836E05"/>
    <w:rsid w:val="00836E24"/>
    <w:rsid w:val="00836E3B"/>
    <w:rsid w:val="00836EE0"/>
    <w:rsid w:val="00836F35"/>
    <w:rsid w:val="00836FCD"/>
    <w:rsid w:val="00837081"/>
    <w:rsid w:val="008370B7"/>
    <w:rsid w:val="0083718D"/>
    <w:rsid w:val="00837262"/>
    <w:rsid w:val="00837386"/>
    <w:rsid w:val="0083741F"/>
    <w:rsid w:val="008374DB"/>
    <w:rsid w:val="008375C5"/>
    <w:rsid w:val="00837704"/>
    <w:rsid w:val="00837830"/>
    <w:rsid w:val="008378C4"/>
    <w:rsid w:val="00837906"/>
    <w:rsid w:val="00837B74"/>
    <w:rsid w:val="00837BC4"/>
    <w:rsid w:val="00837C5F"/>
    <w:rsid w:val="00837CD5"/>
    <w:rsid w:val="00837DA7"/>
    <w:rsid w:val="0084004D"/>
    <w:rsid w:val="00840102"/>
    <w:rsid w:val="00840188"/>
    <w:rsid w:val="008404D7"/>
    <w:rsid w:val="00840565"/>
    <w:rsid w:val="00840594"/>
    <w:rsid w:val="008405C0"/>
    <w:rsid w:val="00840613"/>
    <w:rsid w:val="008406CD"/>
    <w:rsid w:val="00840724"/>
    <w:rsid w:val="00840753"/>
    <w:rsid w:val="00840791"/>
    <w:rsid w:val="008407DA"/>
    <w:rsid w:val="00840836"/>
    <w:rsid w:val="00840851"/>
    <w:rsid w:val="0084090C"/>
    <w:rsid w:val="0084095D"/>
    <w:rsid w:val="0084099B"/>
    <w:rsid w:val="00840AA4"/>
    <w:rsid w:val="00840B73"/>
    <w:rsid w:val="00840B81"/>
    <w:rsid w:val="00840C6B"/>
    <w:rsid w:val="00840CA1"/>
    <w:rsid w:val="00840CAA"/>
    <w:rsid w:val="00840D82"/>
    <w:rsid w:val="00840DD1"/>
    <w:rsid w:val="00840E0F"/>
    <w:rsid w:val="00840F72"/>
    <w:rsid w:val="00841067"/>
    <w:rsid w:val="008410F5"/>
    <w:rsid w:val="00841324"/>
    <w:rsid w:val="00841328"/>
    <w:rsid w:val="00841333"/>
    <w:rsid w:val="008413DA"/>
    <w:rsid w:val="00841412"/>
    <w:rsid w:val="008414D5"/>
    <w:rsid w:val="00841573"/>
    <w:rsid w:val="008415DC"/>
    <w:rsid w:val="008415FF"/>
    <w:rsid w:val="00841602"/>
    <w:rsid w:val="008416CA"/>
    <w:rsid w:val="0084170E"/>
    <w:rsid w:val="008417CF"/>
    <w:rsid w:val="00841806"/>
    <w:rsid w:val="00841830"/>
    <w:rsid w:val="00841960"/>
    <w:rsid w:val="00841A92"/>
    <w:rsid w:val="00841AE5"/>
    <w:rsid w:val="00841BAF"/>
    <w:rsid w:val="00841BBC"/>
    <w:rsid w:val="00841BC3"/>
    <w:rsid w:val="00841CA5"/>
    <w:rsid w:val="00841CC2"/>
    <w:rsid w:val="00841D64"/>
    <w:rsid w:val="00841F07"/>
    <w:rsid w:val="00841F94"/>
    <w:rsid w:val="00841FCE"/>
    <w:rsid w:val="00842030"/>
    <w:rsid w:val="00842098"/>
    <w:rsid w:val="008420C2"/>
    <w:rsid w:val="008423C4"/>
    <w:rsid w:val="008423E3"/>
    <w:rsid w:val="008423EF"/>
    <w:rsid w:val="00842404"/>
    <w:rsid w:val="008424D0"/>
    <w:rsid w:val="00842580"/>
    <w:rsid w:val="00842641"/>
    <w:rsid w:val="008427BB"/>
    <w:rsid w:val="00842861"/>
    <w:rsid w:val="0084292D"/>
    <w:rsid w:val="00842963"/>
    <w:rsid w:val="00842988"/>
    <w:rsid w:val="00842B41"/>
    <w:rsid w:val="00842EFA"/>
    <w:rsid w:val="00842F3C"/>
    <w:rsid w:val="00843112"/>
    <w:rsid w:val="0084339C"/>
    <w:rsid w:val="0084357F"/>
    <w:rsid w:val="008436A0"/>
    <w:rsid w:val="008436D2"/>
    <w:rsid w:val="0084374D"/>
    <w:rsid w:val="00843988"/>
    <w:rsid w:val="00843AB9"/>
    <w:rsid w:val="00843DD4"/>
    <w:rsid w:val="00843DF9"/>
    <w:rsid w:val="00843FF0"/>
    <w:rsid w:val="0084400A"/>
    <w:rsid w:val="0084403C"/>
    <w:rsid w:val="0084427A"/>
    <w:rsid w:val="00844399"/>
    <w:rsid w:val="008443B9"/>
    <w:rsid w:val="008443BF"/>
    <w:rsid w:val="008445EE"/>
    <w:rsid w:val="0084461D"/>
    <w:rsid w:val="0084471E"/>
    <w:rsid w:val="00844745"/>
    <w:rsid w:val="0084477B"/>
    <w:rsid w:val="00844947"/>
    <w:rsid w:val="00844966"/>
    <w:rsid w:val="00844A02"/>
    <w:rsid w:val="00844A1F"/>
    <w:rsid w:val="00844A90"/>
    <w:rsid w:val="00844BB2"/>
    <w:rsid w:val="00844BD7"/>
    <w:rsid w:val="00844C5B"/>
    <w:rsid w:val="00844D08"/>
    <w:rsid w:val="00844EB5"/>
    <w:rsid w:val="00844F29"/>
    <w:rsid w:val="00844F63"/>
    <w:rsid w:val="00844F87"/>
    <w:rsid w:val="0084502E"/>
    <w:rsid w:val="008451B9"/>
    <w:rsid w:val="0084523B"/>
    <w:rsid w:val="00845377"/>
    <w:rsid w:val="00845478"/>
    <w:rsid w:val="0084548F"/>
    <w:rsid w:val="0084549B"/>
    <w:rsid w:val="00845509"/>
    <w:rsid w:val="008455AC"/>
    <w:rsid w:val="008456F9"/>
    <w:rsid w:val="00845AB6"/>
    <w:rsid w:val="00845ADF"/>
    <w:rsid w:val="00845B2B"/>
    <w:rsid w:val="00845BAF"/>
    <w:rsid w:val="00845BC0"/>
    <w:rsid w:val="00845C31"/>
    <w:rsid w:val="00845C90"/>
    <w:rsid w:val="00845CF0"/>
    <w:rsid w:val="00845DC3"/>
    <w:rsid w:val="00845DF1"/>
    <w:rsid w:val="00846019"/>
    <w:rsid w:val="0084601D"/>
    <w:rsid w:val="00846081"/>
    <w:rsid w:val="00846117"/>
    <w:rsid w:val="00846163"/>
    <w:rsid w:val="008461C7"/>
    <w:rsid w:val="008461F1"/>
    <w:rsid w:val="008462FE"/>
    <w:rsid w:val="00846417"/>
    <w:rsid w:val="00846442"/>
    <w:rsid w:val="0084647C"/>
    <w:rsid w:val="008465A4"/>
    <w:rsid w:val="0084661C"/>
    <w:rsid w:val="00846665"/>
    <w:rsid w:val="00846689"/>
    <w:rsid w:val="0084670B"/>
    <w:rsid w:val="00846711"/>
    <w:rsid w:val="00846735"/>
    <w:rsid w:val="00846799"/>
    <w:rsid w:val="008469BD"/>
    <w:rsid w:val="008469EB"/>
    <w:rsid w:val="00846A7E"/>
    <w:rsid w:val="00846A85"/>
    <w:rsid w:val="00846B84"/>
    <w:rsid w:val="00846BD2"/>
    <w:rsid w:val="00846C62"/>
    <w:rsid w:val="00846CD8"/>
    <w:rsid w:val="00846D9B"/>
    <w:rsid w:val="00846E56"/>
    <w:rsid w:val="00846EF2"/>
    <w:rsid w:val="00847033"/>
    <w:rsid w:val="00847068"/>
    <w:rsid w:val="008470A1"/>
    <w:rsid w:val="00847157"/>
    <w:rsid w:val="00847209"/>
    <w:rsid w:val="00847260"/>
    <w:rsid w:val="00847297"/>
    <w:rsid w:val="008472F9"/>
    <w:rsid w:val="00847344"/>
    <w:rsid w:val="00847393"/>
    <w:rsid w:val="008474D7"/>
    <w:rsid w:val="00847514"/>
    <w:rsid w:val="00847577"/>
    <w:rsid w:val="008476BE"/>
    <w:rsid w:val="00847724"/>
    <w:rsid w:val="00847750"/>
    <w:rsid w:val="00847935"/>
    <w:rsid w:val="00847B6C"/>
    <w:rsid w:val="00847DA3"/>
    <w:rsid w:val="00847DF8"/>
    <w:rsid w:val="00847F5F"/>
    <w:rsid w:val="00847F9A"/>
    <w:rsid w:val="00847FC2"/>
    <w:rsid w:val="008500CE"/>
    <w:rsid w:val="0085025B"/>
    <w:rsid w:val="008502D4"/>
    <w:rsid w:val="00850374"/>
    <w:rsid w:val="008503EE"/>
    <w:rsid w:val="0085060D"/>
    <w:rsid w:val="0085062D"/>
    <w:rsid w:val="00850703"/>
    <w:rsid w:val="00850762"/>
    <w:rsid w:val="00850781"/>
    <w:rsid w:val="00850856"/>
    <w:rsid w:val="008509FE"/>
    <w:rsid w:val="00850A8F"/>
    <w:rsid w:val="00850AC9"/>
    <w:rsid w:val="00850B17"/>
    <w:rsid w:val="00850B6F"/>
    <w:rsid w:val="00850BB5"/>
    <w:rsid w:val="00850C1D"/>
    <w:rsid w:val="00850CD3"/>
    <w:rsid w:val="00850D06"/>
    <w:rsid w:val="00850E39"/>
    <w:rsid w:val="00850E41"/>
    <w:rsid w:val="00850E90"/>
    <w:rsid w:val="00850F53"/>
    <w:rsid w:val="00850F64"/>
    <w:rsid w:val="008510B0"/>
    <w:rsid w:val="0085115B"/>
    <w:rsid w:val="008511CC"/>
    <w:rsid w:val="008511D5"/>
    <w:rsid w:val="00851207"/>
    <w:rsid w:val="00851217"/>
    <w:rsid w:val="008512A2"/>
    <w:rsid w:val="008512D7"/>
    <w:rsid w:val="0085131D"/>
    <w:rsid w:val="00851339"/>
    <w:rsid w:val="00851357"/>
    <w:rsid w:val="00851585"/>
    <w:rsid w:val="008515C4"/>
    <w:rsid w:val="008516D7"/>
    <w:rsid w:val="0085171C"/>
    <w:rsid w:val="00851756"/>
    <w:rsid w:val="0085188F"/>
    <w:rsid w:val="008518A5"/>
    <w:rsid w:val="0085191D"/>
    <w:rsid w:val="00851980"/>
    <w:rsid w:val="00851C52"/>
    <w:rsid w:val="00851DA7"/>
    <w:rsid w:val="00851DC6"/>
    <w:rsid w:val="00851F76"/>
    <w:rsid w:val="0085202F"/>
    <w:rsid w:val="00852045"/>
    <w:rsid w:val="008520CE"/>
    <w:rsid w:val="0085222A"/>
    <w:rsid w:val="00852279"/>
    <w:rsid w:val="008522BD"/>
    <w:rsid w:val="0085230A"/>
    <w:rsid w:val="0085232F"/>
    <w:rsid w:val="00852338"/>
    <w:rsid w:val="00852363"/>
    <w:rsid w:val="0085238E"/>
    <w:rsid w:val="008523AC"/>
    <w:rsid w:val="00852495"/>
    <w:rsid w:val="00852507"/>
    <w:rsid w:val="0085254B"/>
    <w:rsid w:val="008525D8"/>
    <w:rsid w:val="008526C2"/>
    <w:rsid w:val="00852832"/>
    <w:rsid w:val="008528ED"/>
    <w:rsid w:val="0085291C"/>
    <w:rsid w:val="0085292B"/>
    <w:rsid w:val="00852980"/>
    <w:rsid w:val="00852B0F"/>
    <w:rsid w:val="00852B25"/>
    <w:rsid w:val="00852B60"/>
    <w:rsid w:val="00852C22"/>
    <w:rsid w:val="00852CAD"/>
    <w:rsid w:val="00852D41"/>
    <w:rsid w:val="00852E27"/>
    <w:rsid w:val="00853044"/>
    <w:rsid w:val="00853235"/>
    <w:rsid w:val="008532E2"/>
    <w:rsid w:val="008532F5"/>
    <w:rsid w:val="008532F6"/>
    <w:rsid w:val="0085337A"/>
    <w:rsid w:val="008533F0"/>
    <w:rsid w:val="00853429"/>
    <w:rsid w:val="00853494"/>
    <w:rsid w:val="008534CC"/>
    <w:rsid w:val="0085358D"/>
    <w:rsid w:val="0085367F"/>
    <w:rsid w:val="008536CC"/>
    <w:rsid w:val="00853A71"/>
    <w:rsid w:val="00853B23"/>
    <w:rsid w:val="00853B28"/>
    <w:rsid w:val="00853B29"/>
    <w:rsid w:val="00853BB9"/>
    <w:rsid w:val="00853BF4"/>
    <w:rsid w:val="00853C24"/>
    <w:rsid w:val="00853C4E"/>
    <w:rsid w:val="00853CEA"/>
    <w:rsid w:val="00853D07"/>
    <w:rsid w:val="00853D83"/>
    <w:rsid w:val="00853EF8"/>
    <w:rsid w:val="00853F94"/>
    <w:rsid w:val="0085404A"/>
    <w:rsid w:val="008541E1"/>
    <w:rsid w:val="008542DC"/>
    <w:rsid w:val="008542E2"/>
    <w:rsid w:val="00854340"/>
    <w:rsid w:val="008543AC"/>
    <w:rsid w:val="008544A0"/>
    <w:rsid w:val="0085450E"/>
    <w:rsid w:val="008547BA"/>
    <w:rsid w:val="00854893"/>
    <w:rsid w:val="0085491B"/>
    <w:rsid w:val="00854946"/>
    <w:rsid w:val="008549C6"/>
    <w:rsid w:val="00854BF8"/>
    <w:rsid w:val="00854DF4"/>
    <w:rsid w:val="00854E86"/>
    <w:rsid w:val="00854F03"/>
    <w:rsid w:val="00855038"/>
    <w:rsid w:val="0085526F"/>
    <w:rsid w:val="008552F7"/>
    <w:rsid w:val="008552FE"/>
    <w:rsid w:val="00855584"/>
    <w:rsid w:val="008555A1"/>
    <w:rsid w:val="008555A9"/>
    <w:rsid w:val="008555C4"/>
    <w:rsid w:val="00855662"/>
    <w:rsid w:val="008556BC"/>
    <w:rsid w:val="00855799"/>
    <w:rsid w:val="0085583E"/>
    <w:rsid w:val="0085584F"/>
    <w:rsid w:val="00855881"/>
    <w:rsid w:val="008558BE"/>
    <w:rsid w:val="0085596C"/>
    <w:rsid w:val="00855A3C"/>
    <w:rsid w:val="00855C72"/>
    <w:rsid w:val="00855CD2"/>
    <w:rsid w:val="00855CDA"/>
    <w:rsid w:val="00855D58"/>
    <w:rsid w:val="00855D6D"/>
    <w:rsid w:val="00855E1C"/>
    <w:rsid w:val="00855EE0"/>
    <w:rsid w:val="00855EFD"/>
    <w:rsid w:val="00855F09"/>
    <w:rsid w:val="00855FB7"/>
    <w:rsid w:val="00855FFB"/>
    <w:rsid w:val="00856006"/>
    <w:rsid w:val="0085605D"/>
    <w:rsid w:val="00856060"/>
    <w:rsid w:val="0085613B"/>
    <w:rsid w:val="00856147"/>
    <w:rsid w:val="008562BF"/>
    <w:rsid w:val="008562EF"/>
    <w:rsid w:val="008563C1"/>
    <w:rsid w:val="008563C8"/>
    <w:rsid w:val="00856403"/>
    <w:rsid w:val="00856618"/>
    <w:rsid w:val="00856956"/>
    <w:rsid w:val="00856A23"/>
    <w:rsid w:val="00856B43"/>
    <w:rsid w:val="00856B46"/>
    <w:rsid w:val="00856B54"/>
    <w:rsid w:val="00856B5A"/>
    <w:rsid w:val="00856C29"/>
    <w:rsid w:val="00856CC7"/>
    <w:rsid w:val="00856DFC"/>
    <w:rsid w:val="00856DFE"/>
    <w:rsid w:val="00856E27"/>
    <w:rsid w:val="00856E3E"/>
    <w:rsid w:val="00856ECC"/>
    <w:rsid w:val="00856F0A"/>
    <w:rsid w:val="00856F14"/>
    <w:rsid w:val="00856FA7"/>
    <w:rsid w:val="0085701B"/>
    <w:rsid w:val="0085706B"/>
    <w:rsid w:val="0085716D"/>
    <w:rsid w:val="0085720C"/>
    <w:rsid w:val="0085722D"/>
    <w:rsid w:val="00857305"/>
    <w:rsid w:val="00857379"/>
    <w:rsid w:val="00857422"/>
    <w:rsid w:val="00857463"/>
    <w:rsid w:val="008575CE"/>
    <w:rsid w:val="008575D0"/>
    <w:rsid w:val="008576E4"/>
    <w:rsid w:val="0085772C"/>
    <w:rsid w:val="00857858"/>
    <w:rsid w:val="008578CD"/>
    <w:rsid w:val="00857911"/>
    <w:rsid w:val="0085796A"/>
    <w:rsid w:val="00857972"/>
    <w:rsid w:val="00857A08"/>
    <w:rsid w:val="00857ABF"/>
    <w:rsid w:val="00857AD3"/>
    <w:rsid w:val="00857AD6"/>
    <w:rsid w:val="00857B15"/>
    <w:rsid w:val="00857B3C"/>
    <w:rsid w:val="00857B6C"/>
    <w:rsid w:val="00857BAB"/>
    <w:rsid w:val="00857D02"/>
    <w:rsid w:val="00857D73"/>
    <w:rsid w:val="00857DB5"/>
    <w:rsid w:val="00857DFC"/>
    <w:rsid w:val="00857E2C"/>
    <w:rsid w:val="00857EA9"/>
    <w:rsid w:val="00857F66"/>
    <w:rsid w:val="008600EE"/>
    <w:rsid w:val="0086019F"/>
    <w:rsid w:val="008601FA"/>
    <w:rsid w:val="00860201"/>
    <w:rsid w:val="0086021C"/>
    <w:rsid w:val="008602D7"/>
    <w:rsid w:val="00860357"/>
    <w:rsid w:val="00860370"/>
    <w:rsid w:val="008603A7"/>
    <w:rsid w:val="008604F3"/>
    <w:rsid w:val="008605E5"/>
    <w:rsid w:val="0086066F"/>
    <w:rsid w:val="008606AB"/>
    <w:rsid w:val="00860734"/>
    <w:rsid w:val="00860746"/>
    <w:rsid w:val="00860896"/>
    <w:rsid w:val="00860A4F"/>
    <w:rsid w:val="00860A8C"/>
    <w:rsid w:val="00860BFF"/>
    <w:rsid w:val="00860E37"/>
    <w:rsid w:val="00860EAC"/>
    <w:rsid w:val="00860F12"/>
    <w:rsid w:val="00860F42"/>
    <w:rsid w:val="008611E4"/>
    <w:rsid w:val="008611F4"/>
    <w:rsid w:val="008612A4"/>
    <w:rsid w:val="00861355"/>
    <w:rsid w:val="008613E0"/>
    <w:rsid w:val="0086144D"/>
    <w:rsid w:val="008614AD"/>
    <w:rsid w:val="008614D1"/>
    <w:rsid w:val="00861622"/>
    <w:rsid w:val="0086172D"/>
    <w:rsid w:val="00861765"/>
    <w:rsid w:val="0086199C"/>
    <w:rsid w:val="008619A7"/>
    <w:rsid w:val="00861A08"/>
    <w:rsid w:val="00861AA2"/>
    <w:rsid w:val="00861B8A"/>
    <w:rsid w:val="00861D2D"/>
    <w:rsid w:val="00861EB2"/>
    <w:rsid w:val="00861F26"/>
    <w:rsid w:val="00861FE5"/>
    <w:rsid w:val="008620AD"/>
    <w:rsid w:val="008620E6"/>
    <w:rsid w:val="00862252"/>
    <w:rsid w:val="00862255"/>
    <w:rsid w:val="008622BB"/>
    <w:rsid w:val="008623B4"/>
    <w:rsid w:val="00862545"/>
    <w:rsid w:val="008625B5"/>
    <w:rsid w:val="008625E3"/>
    <w:rsid w:val="0086260F"/>
    <w:rsid w:val="00862719"/>
    <w:rsid w:val="00862849"/>
    <w:rsid w:val="00862876"/>
    <w:rsid w:val="0086289D"/>
    <w:rsid w:val="008628E4"/>
    <w:rsid w:val="00862A0B"/>
    <w:rsid w:val="00862A37"/>
    <w:rsid w:val="00862AB4"/>
    <w:rsid w:val="00862B67"/>
    <w:rsid w:val="00862C05"/>
    <w:rsid w:val="00862C1A"/>
    <w:rsid w:val="00862C2F"/>
    <w:rsid w:val="00862C55"/>
    <w:rsid w:val="00862DE1"/>
    <w:rsid w:val="00862E28"/>
    <w:rsid w:val="00862F14"/>
    <w:rsid w:val="00862F9D"/>
    <w:rsid w:val="008631A2"/>
    <w:rsid w:val="008631DB"/>
    <w:rsid w:val="00863220"/>
    <w:rsid w:val="00863349"/>
    <w:rsid w:val="00863415"/>
    <w:rsid w:val="00863449"/>
    <w:rsid w:val="00863481"/>
    <w:rsid w:val="00863496"/>
    <w:rsid w:val="008634EB"/>
    <w:rsid w:val="0086352E"/>
    <w:rsid w:val="008635E6"/>
    <w:rsid w:val="00863636"/>
    <w:rsid w:val="0086365E"/>
    <w:rsid w:val="00863739"/>
    <w:rsid w:val="00863758"/>
    <w:rsid w:val="0086377A"/>
    <w:rsid w:val="008637A0"/>
    <w:rsid w:val="008637B8"/>
    <w:rsid w:val="00863814"/>
    <w:rsid w:val="0086394E"/>
    <w:rsid w:val="00863953"/>
    <w:rsid w:val="00863960"/>
    <w:rsid w:val="008639C6"/>
    <w:rsid w:val="008639F4"/>
    <w:rsid w:val="00863A0A"/>
    <w:rsid w:val="00863ADB"/>
    <w:rsid w:val="00863BC4"/>
    <w:rsid w:val="00863D0A"/>
    <w:rsid w:val="00863D13"/>
    <w:rsid w:val="00863D96"/>
    <w:rsid w:val="00863DC0"/>
    <w:rsid w:val="00863E0F"/>
    <w:rsid w:val="00863F74"/>
    <w:rsid w:val="00864020"/>
    <w:rsid w:val="00864034"/>
    <w:rsid w:val="0086405C"/>
    <w:rsid w:val="00864136"/>
    <w:rsid w:val="0086414B"/>
    <w:rsid w:val="00864207"/>
    <w:rsid w:val="00864679"/>
    <w:rsid w:val="00864745"/>
    <w:rsid w:val="0086478B"/>
    <w:rsid w:val="008647A7"/>
    <w:rsid w:val="0086489C"/>
    <w:rsid w:val="00864928"/>
    <w:rsid w:val="00864A3B"/>
    <w:rsid w:val="00864A72"/>
    <w:rsid w:val="00864AB7"/>
    <w:rsid w:val="00864B58"/>
    <w:rsid w:val="00864BB2"/>
    <w:rsid w:val="00864C97"/>
    <w:rsid w:val="00864D0F"/>
    <w:rsid w:val="00864D63"/>
    <w:rsid w:val="00864F80"/>
    <w:rsid w:val="00864F89"/>
    <w:rsid w:val="00865121"/>
    <w:rsid w:val="00865344"/>
    <w:rsid w:val="008654E0"/>
    <w:rsid w:val="008654F1"/>
    <w:rsid w:val="0086558F"/>
    <w:rsid w:val="008655C6"/>
    <w:rsid w:val="00865611"/>
    <w:rsid w:val="0086563C"/>
    <w:rsid w:val="008656BC"/>
    <w:rsid w:val="00865718"/>
    <w:rsid w:val="0086571C"/>
    <w:rsid w:val="00865745"/>
    <w:rsid w:val="00865773"/>
    <w:rsid w:val="008658E8"/>
    <w:rsid w:val="00865921"/>
    <w:rsid w:val="008659A6"/>
    <w:rsid w:val="00865A1B"/>
    <w:rsid w:val="00865A60"/>
    <w:rsid w:val="00865C57"/>
    <w:rsid w:val="00865D01"/>
    <w:rsid w:val="00865F37"/>
    <w:rsid w:val="00865F85"/>
    <w:rsid w:val="00865F8B"/>
    <w:rsid w:val="00865FD5"/>
    <w:rsid w:val="0086600A"/>
    <w:rsid w:val="008660B3"/>
    <w:rsid w:val="00866208"/>
    <w:rsid w:val="008662FF"/>
    <w:rsid w:val="008663F0"/>
    <w:rsid w:val="008664AC"/>
    <w:rsid w:val="00866559"/>
    <w:rsid w:val="008665A8"/>
    <w:rsid w:val="00866688"/>
    <w:rsid w:val="0086673B"/>
    <w:rsid w:val="00866747"/>
    <w:rsid w:val="00866854"/>
    <w:rsid w:val="008668A0"/>
    <w:rsid w:val="008668C3"/>
    <w:rsid w:val="0086691B"/>
    <w:rsid w:val="00866A71"/>
    <w:rsid w:val="00866B15"/>
    <w:rsid w:val="00866B2F"/>
    <w:rsid w:val="00866C41"/>
    <w:rsid w:val="00866C9E"/>
    <w:rsid w:val="00866DEB"/>
    <w:rsid w:val="00866DEF"/>
    <w:rsid w:val="00866F21"/>
    <w:rsid w:val="00866F30"/>
    <w:rsid w:val="00866F70"/>
    <w:rsid w:val="00866F77"/>
    <w:rsid w:val="00866F7D"/>
    <w:rsid w:val="00866FC9"/>
    <w:rsid w:val="00867010"/>
    <w:rsid w:val="008670FE"/>
    <w:rsid w:val="00867100"/>
    <w:rsid w:val="00867267"/>
    <w:rsid w:val="00867282"/>
    <w:rsid w:val="008672E0"/>
    <w:rsid w:val="00867365"/>
    <w:rsid w:val="0086739E"/>
    <w:rsid w:val="008673AA"/>
    <w:rsid w:val="00867441"/>
    <w:rsid w:val="0086744B"/>
    <w:rsid w:val="00867559"/>
    <w:rsid w:val="008675CA"/>
    <w:rsid w:val="008676DE"/>
    <w:rsid w:val="00867742"/>
    <w:rsid w:val="00867830"/>
    <w:rsid w:val="0086792D"/>
    <w:rsid w:val="0086796E"/>
    <w:rsid w:val="008679A4"/>
    <w:rsid w:val="008679D8"/>
    <w:rsid w:val="00867A11"/>
    <w:rsid w:val="00867A5F"/>
    <w:rsid w:val="00867AD3"/>
    <w:rsid w:val="00867C31"/>
    <w:rsid w:val="00867C73"/>
    <w:rsid w:val="00867CF8"/>
    <w:rsid w:val="00867D0C"/>
    <w:rsid w:val="00867D4A"/>
    <w:rsid w:val="00867DBA"/>
    <w:rsid w:val="00867EFF"/>
    <w:rsid w:val="00867F48"/>
    <w:rsid w:val="00867F80"/>
    <w:rsid w:val="00870005"/>
    <w:rsid w:val="008700EC"/>
    <w:rsid w:val="008701AF"/>
    <w:rsid w:val="0087023B"/>
    <w:rsid w:val="00870346"/>
    <w:rsid w:val="00870347"/>
    <w:rsid w:val="008703FD"/>
    <w:rsid w:val="00870422"/>
    <w:rsid w:val="00870449"/>
    <w:rsid w:val="0087048F"/>
    <w:rsid w:val="0087049C"/>
    <w:rsid w:val="00870501"/>
    <w:rsid w:val="00870516"/>
    <w:rsid w:val="008705D2"/>
    <w:rsid w:val="00870680"/>
    <w:rsid w:val="0087076F"/>
    <w:rsid w:val="00870869"/>
    <w:rsid w:val="008708E3"/>
    <w:rsid w:val="00870A41"/>
    <w:rsid w:val="00870B33"/>
    <w:rsid w:val="00870C1C"/>
    <w:rsid w:val="00870D59"/>
    <w:rsid w:val="00870D76"/>
    <w:rsid w:val="008711F8"/>
    <w:rsid w:val="008713FE"/>
    <w:rsid w:val="0087146A"/>
    <w:rsid w:val="00871529"/>
    <w:rsid w:val="0087154C"/>
    <w:rsid w:val="0087157D"/>
    <w:rsid w:val="00871615"/>
    <w:rsid w:val="00871649"/>
    <w:rsid w:val="00871855"/>
    <w:rsid w:val="008718A5"/>
    <w:rsid w:val="00871A2C"/>
    <w:rsid w:val="00871A39"/>
    <w:rsid w:val="00871A5B"/>
    <w:rsid w:val="00871AAD"/>
    <w:rsid w:val="00871AC6"/>
    <w:rsid w:val="00871C88"/>
    <w:rsid w:val="00871CA9"/>
    <w:rsid w:val="00871D66"/>
    <w:rsid w:val="00871D8C"/>
    <w:rsid w:val="00871DFE"/>
    <w:rsid w:val="00871EEA"/>
    <w:rsid w:val="00871FF3"/>
    <w:rsid w:val="0087205C"/>
    <w:rsid w:val="00872105"/>
    <w:rsid w:val="0087210C"/>
    <w:rsid w:val="008721AD"/>
    <w:rsid w:val="008721B2"/>
    <w:rsid w:val="008721CF"/>
    <w:rsid w:val="00872257"/>
    <w:rsid w:val="008722C5"/>
    <w:rsid w:val="008722D6"/>
    <w:rsid w:val="008722E3"/>
    <w:rsid w:val="0087256F"/>
    <w:rsid w:val="008725D1"/>
    <w:rsid w:val="00872733"/>
    <w:rsid w:val="00872778"/>
    <w:rsid w:val="008729D9"/>
    <w:rsid w:val="00872D77"/>
    <w:rsid w:val="00872DF2"/>
    <w:rsid w:val="00873011"/>
    <w:rsid w:val="008730FD"/>
    <w:rsid w:val="0087317B"/>
    <w:rsid w:val="0087326C"/>
    <w:rsid w:val="008732FC"/>
    <w:rsid w:val="008733A0"/>
    <w:rsid w:val="008733A6"/>
    <w:rsid w:val="0087343D"/>
    <w:rsid w:val="0087353A"/>
    <w:rsid w:val="008737A6"/>
    <w:rsid w:val="00873802"/>
    <w:rsid w:val="0087381A"/>
    <w:rsid w:val="008738D2"/>
    <w:rsid w:val="008738E9"/>
    <w:rsid w:val="0087391D"/>
    <w:rsid w:val="0087395D"/>
    <w:rsid w:val="00873982"/>
    <w:rsid w:val="008739AA"/>
    <w:rsid w:val="008739FC"/>
    <w:rsid w:val="00873A26"/>
    <w:rsid w:val="00873A93"/>
    <w:rsid w:val="00873B46"/>
    <w:rsid w:val="00873B4D"/>
    <w:rsid w:val="00873B78"/>
    <w:rsid w:val="00873C13"/>
    <w:rsid w:val="00873C56"/>
    <w:rsid w:val="00873DEC"/>
    <w:rsid w:val="00873E85"/>
    <w:rsid w:val="00873EBF"/>
    <w:rsid w:val="00874036"/>
    <w:rsid w:val="00874086"/>
    <w:rsid w:val="008740B5"/>
    <w:rsid w:val="008740D6"/>
    <w:rsid w:val="008740F8"/>
    <w:rsid w:val="008743E8"/>
    <w:rsid w:val="0087444D"/>
    <w:rsid w:val="008744DF"/>
    <w:rsid w:val="00874566"/>
    <w:rsid w:val="0087465F"/>
    <w:rsid w:val="00874690"/>
    <w:rsid w:val="008746AF"/>
    <w:rsid w:val="008746EF"/>
    <w:rsid w:val="008748EC"/>
    <w:rsid w:val="00874955"/>
    <w:rsid w:val="00874AF7"/>
    <w:rsid w:val="00874DA4"/>
    <w:rsid w:val="00874E75"/>
    <w:rsid w:val="00874F84"/>
    <w:rsid w:val="00874FBB"/>
    <w:rsid w:val="0087539A"/>
    <w:rsid w:val="00875430"/>
    <w:rsid w:val="00875438"/>
    <w:rsid w:val="00875451"/>
    <w:rsid w:val="008754A5"/>
    <w:rsid w:val="008754B3"/>
    <w:rsid w:val="00875538"/>
    <w:rsid w:val="00875580"/>
    <w:rsid w:val="0087567B"/>
    <w:rsid w:val="00875789"/>
    <w:rsid w:val="0087589D"/>
    <w:rsid w:val="00875913"/>
    <w:rsid w:val="00875974"/>
    <w:rsid w:val="008759AD"/>
    <w:rsid w:val="008759B3"/>
    <w:rsid w:val="00875A9E"/>
    <w:rsid w:val="00875BB5"/>
    <w:rsid w:val="00875C34"/>
    <w:rsid w:val="00875E2B"/>
    <w:rsid w:val="00875EB2"/>
    <w:rsid w:val="00876147"/>
    <w:rsid w:val="0087617D"/>
    <w:rsid w:val="0087622A"/>
    <w:rsid w:val="008762F5"/>
    <w:rsid w:val="008763CD"/>
    <w:rsid w:val="0087645E"/>
    <w:rsid w:val="008764A0"/>
    <w:rsid w:val="00876664"/>
    <w:rsid w:val="0087666F"/>
    <w:rsid w:val="008766B6"/>
    <w:rsid w:val="008766E5"/>
    <w:rsid w:val="008768A4"/>
    <w:rsid w:val="00876901"/>
    <w:rsid w:val="0087692E"/>
    <w:rsid w:val="00876960"/>
    <w:rsid w:val="0087698E"/>
    <w:rsid w:val="00876A5D"/>
    <w:rsid w:val="00876A74"/>
    <w:rsid w:val="00876D5C"/>
    <w:rsid w:val="00876E8E"/>
    <w:rsid w:val="00876EA2"/>
    <w:rsid w:val="00876FD5"/>
    <w:rsid w:val="008770CF"/>
    <w:rsid w:val="00877193"/>
    <w:rsid w:val="00877237"/>
    <w:rsid w:val="008772F2"/>
    <w:rsid w:val="00877388"/>
    <w:rsid w:val="0087746F"/>
    <w:rsid w:val="0087747A"/>
    <w:rsid w:val="008774EA"/>
    <w:rsid w:val="008774F7"/>
    <w:rsid w:val="00877520"/>
    <w:rsid w:val="00877577"/>
    <w:rsid w:val="008775AC"/>
    <w:rsid w:val="008775D6"/>
    <w:rsid w:val="0087762B"/>
    <w:rsid w:val="00877678"/>
    <w:rsid w:val="00877679"/>
    <w:rsid w:val="008776DA"/>
    <w:rsid w:val="008777A2"/>
    <w:rsid w:val="008777AC"/>
    <w:rsid w:val="008777EC"/>
    <w:rsid w:val="008778E1"/>
    <w:rsid w:val="008778FB"/>
    <w:rsid w:val="00877A70"/>
    <w:rsid w:val="00877AEE"/>
    <w:rsid w:val="00877B1A"/>
    <w:rsid w:val="00877B6F"/>
    <w:rsid w:val="00877BA6"/>
    <w:rsid w:val="00877C0C"/>
    <w:rsid w:val="00877C0E"/>
    <w:rsid w:val="00877CAB"/>
    <w:rsid w:val="00877D4B"/>
    <w:rsid w:val="00877D93"/>
    <w:rsid w:val="00877E1C"/>
    <w:rsid w:val="00877E29"/>
    <w:rsid w:val="00877E5E"/>
    <w:rsid w:val="00877E81"/>
    <w:rsid w:val="00880239"/>
    <w:rsid w:val="008802C9"/>
    <w:rsid w:val="0088036F"/>
    <w:rsid w:val="00880420"/>
    <w:rsid w:val="00880513"/>
    <w:rsid w:val="00880563"/>
    <w:rsid w:val="0088057A"/>
    <w:rsid w:val="0088063A"/>
    <w:rsid w:val="008806C9"/>
    <w:rsid w:val="00880728"/>
    <w:rsid w:val="008808A0"/>
    <w:rsid w:val="0088091A"/>
    <w:rsid w:val="0088091C"/>
    <w:rsid w:val="008809A3"/>
    <w:rsid w:val="008809DB"/>
    <w:rsid w:val="00880A4B"/>
    <w:rsid w:val="00880AE6"/>
    <w:rsid w:val="00880B42"/>
    <w:rsid w:val="00880B47"/>
    <w:rsid w:val="00880B49"/>
    <w:rsid w:val="00880C43"/>
    <w:rsid w:val="00880C70"/>
    <w:rsid w:val="00880CE0"/>
    <w:rsid w:val="00880F07"/>
    <w:rsid w:val="00880F16"/>
    <w:rsid w:val="00880F57"/>
    <w:rsid w:val="00880F63"/>
    <w:rsid w:val="0088102C"/>
    <w:rsid w:val="00881069"/>
    <w:rsid w:val="0088117A"/>
    <w:rsid w:val="0088146E"/>
    <w:rsid w:val="00881524"/>
    <w:rsid w:val="00881617"/>
    <w:rsid w:val="008816B0"/>
    <w:rsid w:val="0088179A"/>
    <w:rsid w:val="00881821"/>
    <w:rsid w:val="0088182D"/>
    <w:rsid w:val="0088196B"/>
    <w:rsid w:val="00881992"/>
    <w:rsid w:val="008819B4"/>
    <w:rsid w:val="008819C2"/>
    <w:rsid w:val="00881A04"/>
    <w:rsid w:val="00881B2E"/>
    <w:rsid w:val="00881DF8"/>
    <w:rsid w:val="00881E64"/>
    <w:rsid w:val="00881F02"/>
    <w:rsid w:val="00881F77"/>
    <w:rsid w:val="00881F90"/>
    <w:rsid w:val="00881FC8"/>
    <w:rsid w:val="0088201C"/>
    <w:rsid w:val="0088205D"/>
    <w:rsid w:val="0088212B"/>
    <w:rsid w:val="00882153"/>
    <w:rsid w:val="008821BA"/>
    <w:rsid w:val="0088233D"/>
    <w:rsid w:val="0088238C"/>
    <w:rsid w:val="008823CC"/>
    <w:rsid w:val="008823D2"/>
    <w:rsid w:val="0088245B"/>
    <w:rsid w:val="008825BA"/>
    <w:rsid w:val="00882601"/>
    <w:rsid w:val="0088264C"/>
    <w:rsid w:val="00882794"/>
    <w:rsid w:val="00882840"/>
    <w:rsid w:val="008828EA"/>
    <w:rsid w:val="0088297C"/>
    <w:rsid w:val="008829BB"/>
    <w:rsid w:val="00882A42"/>
    <w:rsid w:val="00882B68"/>
    <w:rsid w:val="00882BF3"/>
    <w:rsid w:val="00882CB1"/>
    <w:rsid w:val="00882CB6"/>
    <w:rsid w:val="00882D06"/>
    <w:rsid w:val="00882DC2"/>
    <w:rsid w:val="00882EF6"/>
    <w:rsid w:val="008830AA"/>
    <w:rsid w:val="00883186"/>
    <w:rsid w:val="008831A3"/>
    <w:rsid w:val="008831D5"/>
    <w:rsid w:val="0088328D"/>
    <w:rsid w:val="00883378"/>
    <w:rsid w:val="0088339C"/>
    <w:rsid w:val="00883476"/>
    <w:rsid w:val="00883622"/>
    <w:rsid w:val="0088363A"/>
    <w:rsid w:val="00883750"/>
    <w:rsid w:val="00883A6A"/>
    <w:rsid w:val="00883ABE"/>
    <w:rsid w:val="00883AC6"/>
    <w:rsid w:val="00883C19"/>
    <w:rsid w:val="00883CEA"/>
    <w:rsid w:val="00883D0A"/>
    <w:rsid w:val="00883D12"/>
    <w:rsid w:val="00883D7F"/>
    <w:rsid w:val="00883E53"/>
    <w:rsid w:val="00883EA0"/>
    <w:rsid w:val="00883EDE"/>
    <w:rsid w:val="00883F01"/>
    <w:rsid w:val="00883F55"/>
    <w:rsid w:val="00883F63"/>
    <w:rsid w:val="00884015"/>
    <w:rsid w:val="0088406F"/>
    <w:rsid w:val="00884083"/>
    <w:rsid w:val="0088415F"/>
    <w:rsid w:val="008841E9"/>
    <w:rsid w:val="00884313"/>
    <w:rsid w:val="00884363"/>
    <w:rsid w:val="0088452B"/>
    <w:rsid w:val="00884639"/>
    <w:rsid w:val="008846AD"/>
    <w:rsid w:val="00884766"/>
    <w:rsid w:val="008848A7"/>
    <w:rsid w:val="00884A70"/>
    <w:rsid w:val="00884BA5"/>
    <w:rsid w:val="00884BB1"/>
    <w:rsid w:val="00884BC1"/>
    <w:rsid w:val="00884C1E"/>
    <w:rsid w:val="00884C2D"/>
    <w:rsid w:val="00884C4B"/>
    <w:rsid w:val="00884D36"/>
    <w:rsid w:val="00884DFC"/>
    <w:rsid w:val="00884ECA"/>
    <w:rsid w:val="00884ED5"/>
    <w:rsid w:val="00884F64"/>
    <w:rsid w:val="00885034"/>
    <w:rsid w:val="008850C2"/>
    <w:rsid w:val="00885165"/>
    <w:rsid w:val="008851D5"/>
    <w:rsid w:val="00885252"/>
    <w:rsid w:val="00885285"/>
    <w:rsid w:val="00885299"/>
    <w:rsid w:val="008852FC"/>
    <w:rsid w:val="00885423"/>
    <w:rsid w:val="00885438"/>
    <w:rsid w:val="008854CF"/>
    <w:rsid w:val="00885500"/>
    <w:rsid w:val="0088565F"/>
    <w:rsid w:val="00885679"/>
    <w:rsid w:val="00885765"/>
    <w:rsid w:val="008857E0"/>
    <w:rsid w:val="008858D2"/>
    <w:rsid w:val="008858F6"/>
    <w:rsid w:val="00885920"/>
    <w:rsid w:val="0088597C"/>
    <w:rsid w:val="0088599E"/>
    <w:rsid w:val="008859AD"/>
    <w:rsid w:val="008859C5"/>
    <w:rsid w:val="00885A23"/>
    <w:rsid w:val="00885A3F"/>
    <w:rsid w:val="00885A6F"/>
    <w:rsid w:val="00885A8A"/>
    <w:rsid w:val="00885AD2"/>
    <w:rsid w:val="00885B7C"/>
    <w:rsid w:val="00885CF8"/>
    <w:rsid w:val="00885DD7"/>
    <w:rsid w:val="00885E7E"/>
    <w:rsid w:val="00885F62"/>
    <w:rsid w:val="00885F8C"/>
    <w:rsid w:val="00886009"/>
    <w:rsid w:val="00886043"/>
    <w:rsid w:val="008860D5"/>
    <w:rsid w:val="008861AA"/>
    <w:rsid w:val="008861F9"/>
    <w:rsid w:val="0088629C"/>
    <w:rsid w:val="008862B5"/>
    <w:rsid w:val="0088636E"/>
    <w:rsid w:val="00886455"/>
    <w:rsid w:val="008864BA"/>
    <w:rsid w:val="008864D5"/>
    <w:rsid w:val="00886562"/>
    <w:rsid w:val="00886682"/>
    <w:rsid w:val="0088668F"/>
    <w:rsid w:val="00886718"/>
    <w:rsid w:val="0088694F"/>
    <w:rsid w:val="00886951"/>
    <w:rsid w:val="00886A67"/>
    <w:rsid w:val="00886AAB"/>
    <w:rsid w:val="00886AD6"/>
    <w:rsid w:val="00886AF2"/>
    <w:rsid w:val="00886B01"/>
    <w:rsid w:val="00886B22"/>
    <w:rsid w:val="00886B78"/>
    <w:rsid w:val="00886DB1"/>
    <w:rsid w:val="00886E50"/>
    <w:rsid w:val="00887044"/>
    <w:rsid w:val="0088710A"/>
    <w:rsid w:val="0088712C"/>
    <w:rsid w:val="00887221"/>
    <w:rsid w:val="008872F8"/>
    <w:rsid w:val="00887446"/>
    <w:rsid w:val="00887451"/>
    <w:rsid w:val="008874B0"/>
    <w:rsid w:val="008874F0"/>
    <w:rsid w:val="008875EB"/>
    <w:rsid w:val="008878CC"/>
    <w:rsid w:val="00887A1D"/>
    <w:rsid w:val="00887A48"/>
    <w:rsid w:val="00887A70"/>
    <w:rsid w:val="00887B75"/>
    <w:rsid w:val="00887B77"/>
    <w:rsid w:val="00887B89"/>
    <w:rsid w:val="00887BC6"/>
    <w:rsid w:val="00887BD7"/>
    <w:rsid w:val="00887D7D"/>
    <w:rsid w:val="00887D7E"/>
    <w:rsid w:val="00887E97"/>
    <w:rsid w:val="00887EE0"/>
    <w:rsid w:val="00887F19"/>
    <w:rsid w:val="00887F60"/>
    <w:rsid w:val="008900AF"/>
    <w:rsid w:val="008900E4"/>
    <w:rsid w:val="00890129"/>
    <w:rsid w:val="00890230"/>
    <w:rsid w:val="0089023C"/>
    <w:rsid w:val="00890248"/>
    <w:rsid w:val="008902B7"/>
    <w:rsid w:val="00890372"/>
    <w:rsid w:val="008903D5"/>
    <w:rsid w:val="008903EA"/>
    <w:rsid w:val="00890418"/>
    <w:rsid w:val="008904ED"/>
    <w:rsid w:val="008905E7"/>
    <w:rsid w:val="008905F8"/>
    <w:rsid w:val="00890628"/>
    <w:rsid w:val="00890749"/>
    <w:rsid w:val="008907DC"/>
    <w:rsid w:val="00890883"/>
    <w:rsid w:val="00890A77"/>
    <w:rsid w:val="00890B91"/>
    <w:rsid w:val="00890C75"/>
    <w:rsid w:val="00890FEA"/>
    <w:rsid w:val="00891097"/>
    <w:rsid w:val="0089117A"/>
    <w:rsid w:val="00891206"/>
    <w:rsid w:val="00891490"/>
    <w:rsid w:val="008914BA"/>
    <w:rsid w:val="008914CE"/>
    <w:rsid w:val="00891538"/>
    <w:rsid w:val="00891571"/>
    <w:rsid w:val="008915D2"/>
    <w:rsid w:val="008916B4"/>
    <w:rsid w:val="00891794"/>
    <w:rsid w:val="00891864"/>
    <w:rsid w:val="008918DD"/>
    <w:rsid w:val="00891954"/>
    <w:rsid w:val="008919C0"/>
    <w:rsid w:val="008919D4"/>
    <w:rsid w:val="00891A15"/>
    <w:rsid w:val="00891A45"/>
    <w:rsid w:val="00891A94"/>
    <w:rsid w:val="00891AF9"/>
    <w:rsid w:val="00891B04"/>
    <w:rsid w:val="00891B08"/>
    <w:rsid w:val="00891B25"/>
    <w:rsid w:val="00891B51"/>
    <w:rsid w:val="00891CFE"/>
    <w:rsid w:val="00891D1E"/>
    <w:rsid w:val="00891D80"/>
    <w:rsid w:val="00891D84"/>
    <w:rsid w:val="00891D8E"/>
    <w:rsid w:val="00891E0C"/>
    <w:rsid w:val="00891E7D"/>
    <w:rsid w:val="00891E9E"/>
    <w:rsid w:val="00891F32"/>
    <w:rsid w:val="00891F7E"/>
    <w:rsid w:val="00891FF2"/>
    <w:rsid w:val="008920BF"/>
    <w:rsid w:val="008922C8"/>
    <w:rsid w:val="00892418"/>
    <w:rsid w:val="0089242F"/>
    <w:rsid w:val="0089247C"/>
    <w:rsid w:val="00892536"/>
    <w:rsid w:val="0089277D"/>
    <w:rsid w:val="0089280B"/>
    <w:rsid w:val="0089282B"/>
    <w:rsid w:val="00892A2A"/>
    <w:rsid w:val="00892BA2"/>
    <w:rsid w:val="00892C11"/>
    <w:rsid w:val="00892DE6"/>
    <w:rsid w:val="00892E50"/>
    <w:rsid w:val="00892EBE"/>
    <w:rsid w:val="00893038"/>
    <w:rsid w:val="008930BC"/>
    <w:rsid w:val="008932BF"/>
    <w:rsid w:val="0089330D"/>
    <w:rsid w:val="00893336"/>
    <w:rsid w:val="00893359"/>
    <w:rsid w:val="00893546"/>
    <w:rsid w:val="00893653"/>
    <w:rsid w:val="008936BE"/>
    <w:rsid w:val="008936DD"/>
    <w:rsid w:val="00893739"/>
    <w:rsid w:val="0089379D"/>
    <w:rsid w:val="0089385B"/>
    <w:rsid w:val="00893886"/>
    <w:rsid w:val="00893893"/>
    <w:rsid w:val="008938AD"/>
    <w:rsid w:val="008938D8"/>
    <w:rsid w:val="008939EC"/>
    <w:rsid w:val="00893A8A"/>
    <w:rsid w:val="00893B9F"/>
    <w:rsid w:val="00893BC7"/>
    <w:rsid w:val="00893BD0"/>
    <w:rsid w:val="00893BF5"/>
    <w:rsid w:val="00893D3B"/>
    <w:rsid w:val="00893D74"/>
    <w:rsid w:val="00893E6A"/>
    <w:rsid w:val="00893E93"/>
    <w:rsid w:val="00893EEE"/>
    <w:rsid w:val="00893F14"/>
    <w:rsid w:val="00893FBD"/>
    <w:rsid w:val="00893FDE"/>
    <w:rsid w:val="008941F6"/>
    <w:rsid w:val="0089428D"/>
    <w:rsid w:val="008942AD"/>
    <w:rsid w:val="0089434E"/>
    <w:rsid w:val="008943BE"/>
    <w:rsid w:val="008944FC"/>
    <w:rsid w:val="008945EF"/>
    <w:rsid w:val="00894637"/>
    <w:rsid w:val="008946AB"/>
    <w:rsid w:val="0089479C"/>
    <w:rsid w:val="008947C6"/>
    <w:rsid w:val="008947D2"/>
    <w:rsid w:val="00894881"/>
    <w:rsid w:val="008948E3"/>
    <w:rsid w:val="00894908"/>
    <w:rsid w:val="0089499A"/>
    <w:rsid w:val="00894A51"/>
    <w:rsid w:val="00894A77"/>
    <w:rsid w:val="00894BF6"/>
    <w:rsid w:val="00894C37"/>
    <w:rsid w:val="00894C5B"/>
    <w:rsid w:val="00894C75"/>
    <w:rsid w:val="00894CB8"/>
    <w:rsid w:val="00894CE2"/>
    <w:rsid w:val="00894D8F"/>
    <w:rsid w:val="00894DD9"/>
    <w:rsid w:val="00894FCC"/>
    <w:rsid w:val="0089502E"/>
    <w:rsid w:val="00895102"/>
    <w:rsid w:val="00895109"/>
    <w:rsid w:val="0089520B"/>
    <w:rsid w:val="00895236"/>
    <w:rsid w:val="008952AD"/>
    <w:rsid w:val="00895429"/>
    <w:rsid w:val="00895646"/>
    <w:rsid w:val="00895718"/>
    <w:rsid w:val="00895761"/>
    <w:rsid w:val="00895790"/>
    <w:rsid w:val="008957E5"/>
    <w:rsid w:val="00895819"/>
    <w:rsid w:val="008958D0"/>
    <w:rsid w:val="008959B7"/>
    <w:rsid w:val="008959F1"/>
    <w:rsid w:val="00895B97"/>
    <w:rsid w:val="00895BB3"/>
    <w:rsid w:val="00895C95"/>
    <w:rsid w:val="00895D40"/>
    <w:rsid w:val="00895D82"/>
    <w:rsid w:val="00895DA3"/>
    <w:rsid w:val="00895E56"/>
    <w:rsid w:val="00895E8C"/>
    <w:rsid w:val="00895FF4"/>
    <w:rsid w:val="0089603F"/>
    <w:rsid w:val="00896193"/>
    <w:rsid w:val="00896382"/>
    <w:rsid w:val="0089644F"/>
    <w:rsid w:val="00896463"/>
    <w:rsid w:val="0089653F"/>
    <w:rsid w:val="00896564"/>
    <w:rsid w:val="0089659C"/>
    <w:rsid w:val="00896642"/>
    <w:rsid w:val="00896650"/>
    <w:rsid w:val="00896719"/>
    <w:rsid w:val="00896723"/>
    <w:rsid w:val="008967B3"/>
    <w:rsid w:val="008967F0"/>
    <w:rsid w:val="0089684C"/>
    <w:rsid w:val="008968BD"/>
    <w:rsid w:val="008968F7"/>
    <w:rsid w:val="00896AEF"/>
    <w:rsid w:val="00896B36"/>
    <w:rsid w:val="00896C23"/>
    <w:rsid w:val="00896CA5"/>
    <w:rsid w:val="00896DE7"/>
    <w:rsid w:val="00896E46"/>
    <w:rsid w:val="00896F6D"/>
    <w:rsid w:val="008970AB"/>
    <w:rsid w:val="008970E1"/>
    <w:rsid w:val="008970FC"/>
    <w:rsid w:val="00897182"/>
    <w:rsid w:val="008971C8"/>
    <w:rsid w:val="008972D0"/>
    <w:rsid w:val="008972D3"/>
    <w:rsid w:val="00897447"/>
    <w:rsid w:val="008975BD"/>
    <w:rsid w:val="008975CA"/>
    <w:rsid w:val="008976F3"/>
    <w:rsid w:val="0089778A"/>
    <w:rsid w:val="00897796"/>
    <w:rsid w:val="008977C3"/>
    <w:rsid w:val="008977E9"/>
    <w:rsid w:val="008977F2"/>
    <w:rsid w:val="00897904"/>
    <w:rsid w:val="00897998"/>
    <w:rsid w:val="00897A1F"/>
    <w:rsid w:val="00897A85"/>
    <w:rsid w:val="00897AA7"/>
    <w:rsid w:val="00897AC9"/>
    <w:rsid w:val="00897AE6"/>
    <w:rsid w:val="00897B80"/>
    <w:rsid w:val="00897BA9"/>
    <w:rsid w:val="00897BB6"/>
    <w:rsid w:val="00897C32"/>
    <w:rsid w:val="00897C40"/>
    <w:rsid w:val="00897DC8"/>
    <w:rsid w:val="008A0053"/>
    <w:rsid w:val="008A0058"/>
    <w:rsid w:val="008A0061"/>
    <w:rsid w:val="008A00B3"/>
    <w:rsid w:val="008A00CA"/>
    <w:rsid w:val="008A015D"/>
    <w:rsid w:val="008A0182"/>
    <w:rsid w:val="008A01BA"/>
    <w:rsid w:val="008A01D9"/>
    <w:rsid w:val="008A01FB"/>
    <w:rsid w:val="008A024A"/>
    <w:rsid w:val="008A0271"/>
    <w:rsid w:val="008A0283"/>
    <w:rsid w:val="008A04C4"/>
    <w:rsid w:val="008A0514"/>
    <w:rsid w:val="008A052B"/>
    <w:rsid w:val="008A0559"/>
    <w:rsid w:val="008A06CC"/>
    <w:rsid w:val="008A073C"/>
    <w:rsid w:val="008A088D"/>
    <w:rsid w:val="008A091D"/>
    <w:rsid w:val="008A0988"/>
    <w:rsid w:val="008A0A25"/>
    <w:rsid w:val="008A0C4D"/>
    <w:rsid w:val="008A0D1D"/>
    <w:rsid w:val="008A0D3E"/>
    <w:rsid w:val="008A0E35"/>
    <w:rsid w:val="008A0E6C"/>
    <w:rsid w:val="008A0EA7"/>
    <w:rsid w:val="008A0EA8"/>
    <w:rsid w:val="008A0FC9"/>
    <w:rsid w:val="008A10E3"/>
    <w:rsid w:val="008A11CC"/>
    <w:rsid w:val="008A1207"/>
    <w:rsid w:val="008A133F"/>
    <w:rsid w:val="008A1357"/>
    <w:rsid w:val="008A14B2"/>
    <w:rsid w:val="008A1547"/>
    <w:rsid w:val="008A174C"/>
    <w:rsid w:val="008A1939"/>
    <w:rsid w:val="008A1B75"/>
    <w:rsid w:val="008A1B8B"/>
    <w:rsid w:val="008A1C1B"/>
    <w:rsid w:val="008A1CFA"/>
    <w:rsid w:val="008A1DCE"/>
    <w:rsid w:val="008A1E24"/>
    <w:rsid w:val="008A1E54"/>
    <w:rsid w:val="008A1F79"/>
    <w:rsid w:val="008A1FA0"/>
    <w:rsid w:val="008A21E6"/>
    <w:rsid w:val="008A2221"/>
    <w:rsid w:val="008A2258"/>
    <w:rsid w:val="008A228F"/>
    <w:rsid w:val="008A2295"/>
    <w:rsid w:val="008A2405"/>
    <w:rsid w:val="008A245F"/>
    <w:rsid w:val="008A249B"/>
    <w:rsid w:val="008A24AF"/>
    <w:rsid w:val="008A24E2"/>
    <w:rsid w:val="008A256C"/>
    <w:rsid w:val="008A2662"/>
    <w:rsid w:val="008A26A3"/>
    <w:rsid w:val="008A270B"/>
    <w:rsid w:val="008A2753"/>
    <w:rsid w:val="008A288C"/>
    <w:rsid w:val="008A291C"/>
    <w:rsid w:val="008A2AAF"/>
    <w:rsid w:val="008A2B2E"/>
    <w:rsid w:val="008A2C48"/>
    <w:rsid w:val="008A2D5C"/>
    <w:rsid w:val="008A2D5E"/>
    <w:rsid w:val="008A2DB0"/>
    <w:rsid w:val="008A2DB2"/>
    <w:rsid w:val="008A2E5B"/>
    <w:rsid w:val="008A2F06"/>
    <w:rsid w:val="008A2F24"/>
    <w:rsid w:val="008A30ED"/>
    <w:rsid w:val="008A3173"/>
    <w:rsid w:val="008A31EF"/>
    <w:rsid w:val="008A32B5"/>
    <w:rsid w:val="008A3350"/>
    <w:rsid w:val="008A33A0"/>
    <w:rsid w:val="008A3443"/>
    <w:rsid w:val="008A3471"/>
    <w:rsid w:val="008A347E"/>
    <w:rsid w:val="008A357C"/>
    <w:rsid w:val="008A358A"/>
    <w:rsid w:val="008A3597"/>
    <w:rsid w:val="008A3604"/>
    <w:rsid w:val="008A3626"/>
    <w:rsid w:val="008A3767"/>
    <w:rsid w:val="008A37BB"/>
    <w:rsid w:val="008A3838"/>
    <w:rsid w:val="008A3943"/>
    <w:rsid w:val="008A3962"/>
    <w:rsid w:val="008A3A17"/>
    <w:rsid w:val="008A3AD9"/>
    <w:rsid w:val="008A3C57"/>
    <w:rsid w:val="008A3CC0"/>
    <w:rsid w:val="008A3DF4"/>
    <w:rsid w:val="008A3DFA"/>
    <w:rsid w:val="008A3E3A"/>
    <w:rsid w:val="008A3E9B"/>
    <w:rsid w:val="008A3F1F"/>
    <w:rsid w:val="008A3F3E"/>
    <w:rsid w:val="008A4011"/>
    <w:rsid w:val="008A40DB"/>
    <w:rsid w:val="008A437D"/>
    <w:rsid w:val="008A448C"/>
    <w:rsid w:val="008A4620"/>
    <w:rsid w:val="008A47A1"/>
    <w:rsid w:val="008A47E0"/>
    <w:rsid w:val="008A48CE"/>
    <w:rsid w:val="008A49CC"/>
    <w:rsid w:val="008A4BA8"/>
    <w:rsid w:val="008A4BFB"/>
    <w:rsid w:val="008A4DB9"/>
    <w:rsid w:val="008A4E29"/>
    <w:rsid w:val="008A4EB5"/>
    <w:rsid w:val="008A4FC9"/>
    <w:rsid w:val="008A510A"/>
    <w:rsid w:val="008A51AF"/>
    <w:rsid w:val="008A528F"/>
    <w:rsid w:val="008A52C2"/>
    <w:rsid w:val="008A5306"/>
    <w:rsid w:val="008A5413"/>
    <w:rsid w:val="008A55B1"/>
    <w:rsid w:val="008A55B7"/>
    <w:rsid w:val="008A55FA"/>
    <w:rsid w:val="008A56D8"/>
    <w:rsid w:val="008A573B"/>
    <w:rsid w:val="008A57B1"/>
    <w:rsid w:val="008A57CF"/>
    <w:rsid w:val="008A57FA"/>
    <w:rsid w:val="008A581D"/>
    <w:rsid w:val="008A590D"/>
    <w:rsid w:val="008A5931"/>
    <w:rsid w:val="008A5C4B"/>
    <w:rsid w:val="008A5D21"/>
    <w:rsid w:val="008A5D8B"/>
    <w:rsid w:val="008A5DF4"/>
    <w:rsid w:val="008A5E0A"/>
    <w:rsid w:val="008A5E0E"/>
    <w:rsid w:val="008A5E9E"/>
    <w:rsid w:val="008A5F97"/>
    <w:rsid w:val="008A60D6"/>
    <w:rsid w:val="008A618D"/>
    <w:rsid w:val="008A61A3"/>
    <w:rsid w:val="008A61AC"/>
    <w:rsid w:val="008A61BD"/>
    <w:rsid w:val="008A6261"/>
    <w:rsid w:val="008A634B"/>
    <w:rsid w:val="008A63FA"/>
    <w:rsid w:val="008A640D"/>
    <w:rsid w:val="008A64EF"/>
    <w:rsid w:val="008A652F"/>
    <w:rsid w:val="008A6574"/>
    <w:rsid w:val="008A6597"/>
    <w:rsid w:val="008A66AB"/>
    <w:rsid w:val="008A6842"/>
    <w:rsid w:val="008A6896"/>
    <w:rsid w:val="008A689B"/>
    <w:rsid w:val="008A6918"/>
    <w:rsid w:val="008A694A"/>
    <w:rsid w:val="008A695D"/>
    <w:rsid w:val="008A69D9"/>
    <w:rsid w:val="008A6A77"/>
    <w:rsid w:val="008A6AB0"/>
    <w:rsid w:val="008A6B4B"/>
    <w:rsid w:val="008A6C74"/>
    <w:rsid w:val="008A6C99"/>
    <w:rsid w:val="008A6CD6"/>
    <w:rsid w:val="008A6E69"/>
    <w:rsid w:val="008A6E6D"/>
    <w:rsid w:val="008A6E88"/>
    <w:rsid w:val="008A6EAB"/>
    <w:rsid w:val="008A6EB2"/>
    <w:rsid w:val="008A6ECB"/>
    <w:rsid w:val="008A6F1F"/>
    <w:rsid w:val="008A6F31"/>
    <w:rsid w:val="008A6FBB"/>
    <w:rsid w:val="008A702F"/>
    <w:rsid w:val="008A708B"/>
    <w:rsid w:val="008A70FC"/>
    <w:rsid w:val="008A71A5"/>
    <w:rsid w:val="008A71F9"/>
    <w:rsid w:val="008A73CD"/>
    <w:rsid w:val="008A7484"/>
    <w:rsid w:val="008A74C6"/>
    <w:rsid w:val="008A7522"/>
    <w:rsid w:val="008A765D"/>
    <w:rsid w:val="008A76B9"/>
    <w:rsid w:val="008A7703"/>
    <w:rsid w:val="008A7717"/>
    <w:rsid w:val="008A77B6"/>
    <w:rsid w:val="008A77CA"/>
    <w:rsid w:val="008A77DD"/>
    <w:rsid w:val="008A77E6"/>
    <w:rsid w:val="008A793F"/>
    <w:rsid w:val="008A7AFD"/>
    <w:rsid w:val="008A7BA1"/>
    <w:rsid w:val="008A7C69"/>
    <w:rsid w:val="008A7D06"/>
    <w:rsid w:val="008A7D76"/>
    <w:rsid w:val="008A7E78"/>
    <w:rsid w:val="008A7F7B"/>
    <w:rsid w:val="008A7FC0"/>
    <w:rsid w:val="008A7FE1"/>
    <w:rsid w:val="008B0083"/>
    <w:rsid w:val="008B0207"/>
    <w:rsid w:val="008B022A"/>
    <w:rsid w:val="008B02D2"/>
    <w:rsid w:val="008B0399"/>
    <w:rsid w:val="008B03DD"/>
    <w:rsid w:val="008B0490"/>
    <w:rsid w:val="008B0611"/>
    <w:rsid w:val="008B068E"/>
    <w:rsid w:val="008B06EA"/>
    <w:rsid w:val="008B070B"/>
    <w:rsid w:val="008B073D"/>
    <w:rsid w:val="008B076C"/>
    <w:rsid w:val="008B0878"/>
    <w:rsid w:val="008B0949"/>
    <w:rsid w:val="008B09E8"/>
    <w:rsid w:val="008B0A9B"/>
    <w:rsid w:val="008B0AE0"/>
    <w:rsid w:val="008B0BC9"/>
    <w:rsid w:val="008B0C0B"/>
    <w:rsid w:val="008B0DC3"/>
    <w:rsid w:val="008B0E53"/>
    <w:rsid w:val="008B0E6F"/>
    <w:rsid w:val="008B0EA4"/>
    <w:rsid w:val="008B0ED4"/>
    <w:rsid w:val="008B0F28"/>
    <w:rsid w:val="008B1002"/>
    <w:rsid w:val="008B10E5"/>
    <w:rsid w:val="008B1179"/>
    <w:rsid w:val="008B11FC"/>
    <w:rsid w:val="008B12E4"/>
    <w:rsid w:val="008B1316"/>
    <w:rsid w:val="008B1327"/>
    <w:rsid w:val="008B1436"/>
    <w:rsid w:val="008B14DB"/>
    <w:rsid w:val="008B16FE"/>
    <w:rsid w:val="008B1764"/>
    <w:rsid w:val="008B1778"/>
    <w:rsid w:val="008B17C5"/>
    <w:rsid w:val="008B18D5"/>
    <w:rsid w:val="008B19DA"/>
    <w:rsid w:val="008B1B55"/>
    <w:rsid w:val="008B1B94"/>
    <w:rsid w:val="008B1C42"/>
    <w:rsid w:val="008B1CE5"/>
    <w:rsid w:val="008B1DDD"/>
    <w:rsid w:val="008B1E2B"/>
    <w:rsid w:val="008B1E44"/>
    <w:rsid w:val="008B1EA5"/>
    <w:rsid w:val="008B1EC7"/>
    <w:rsid w:val="008B1F75"/>
    <w:rsid w:val="008B2111"/>
    <w:rsid w:val="008B21BE"/>
    <w:rsid w:val="008B21EB"/>
    <w:rsid w:val="008B2357"/>
    <w:rsid w:val="008B2359"/>
    <w:rsid w:val="008B2387"/>
    <w:rsid w:val="008B24A5"/>
    <w:rsid w:val="008B2519"/>
    <w:rsid w:val="008B25F4"/>
    <w:rsid w:val="008B2613"/>
    <w:rsid w:val="008B2799"/>
    <w:rsid w:val="008B27BE"/>
    <w:rsid w:val="008B287B"/>
    <w:rsid w:val="008B291A"/>
    <w:rsid w:val="008B2943"/>
    <w:rsid w:val="008B29A5"/>
    <w:rsid w:val="008B29AC"/>
    <w:rsid w:val="008B29F2"/>
    <w:rsid w:val="008B2A66"/>
    <w:rsid w:val="008B2B44"/>
    <w:rsid w:val="008B2B60"/>
    <w:rsid w:val="008B2B9E"/>
    <w:rsid w:val="008B2BC9"/>
    <w:rsid w:val="008B2D3F"/>
    <w:rsid w:val="008B2D98"/>
    <w:rsid w:val="008B2DCB"/>
    <w:rsid w:val="008B2DD7"/>
    <w:rsid w:val="008B2E45"/>
    <w:rsid w:val="008B2E5E"/>
    <w:rsid w:val="008B2EA4"/>
    <w:rsid w:val="008B2F7C"/>
    <w:rsid w:val="008B2F8D"/>
    <w:rsid w:val="008B300F"/>
    <w:rsid w:val="008B315F"/>
    <w:rsid w:val="008B3160"/>
    <w:rsid w:val="008B3190"/>
    <w:rsid w:val="008B31F7"/>
    <w:rsid w:val="008B3209"/>
    <w:rsid w:val="008B3277"/>
    <w:rsid w:val="008B32AE"/>
    <w:rsid w:val="008B32FB"/>
    <w:rsid w:val="008B331D"/>
    <w:rsid w:val="008B3491"/>
    <w:rsid w:val="008B34AB"/>
    <w:rsid w:val="008B34B4"/>
    <w:rsid w:val="008B34CE"/>
    <w:rsid w:val="008B3500"/>
    <w:rsid w:val="008B3572"/>
    <w:rsid w:val="008B36C6"/>
    <w:rsid w:val="008B3753"/>
    <w:rsid w:val="008B375E"/>
    <w:rsid w:val="008B37BE"/>
    <w:rsid w:val="008B3980"/>
    <w:rsid w:val="008B39A2"/>
    <w:rsid w:val="008B3AD9"/>
    <w:rsid w:val="008B3AF9"/>
    <w:rsid w:val="008B3C87"/>
    <w:rsid w:val="008B3C98"/>
    <w:rsid w:val="008B3D0A"/>
    <w:rsid w:val="008B3D7D"/>
    <w:rsid w:val="008B3F17"/>
    <w:rsid w:val="008B4014"/>
    <w:rsid w:val="008B404C"/>
    <w:rsid w:val="008B40C0"/>
    <w:rsid w:val="008B40FF"/>
    <w:rsid w:val="008B410B"/>
    <w:rsid w:val="008B41A6"/>
    <w:rsid w:val="008B41F3"/>
    <w:rsid w:val="008B4243"/>
    <w:rsid w:val="008B4382"/>
    <w:rsid w:val="008B4386"/>
    <w:rsid w:val="008B4427"/>
    <w:rsid w:val="008B4439"/>
    <w:rsid w:val="008B44AC"/>
    <w:rsid w:val="008B44F2"/>
    <w:rsid w:val="008B45B4"/>
    <w:rsid w:val="008B4611"/>
    <w:rsid w:val="008B4643"/>
    <w:rsid w:val="008B4665"/>
    <w:rsid w:val="008B466C"/>
    <w:rsid w:val="008B47F4"/>
    <w:rsid w:val="008B484A"/>
    <w:rsid w:val="008B49A8"/>
    <w:rsid w:val="008B49C6"/>
    <w:rsid w:val="008B4A04"/>
    <w:rsid w:val="008B4A69"/>
    <w:rsid w:val="008B4AEF"/>
    <w:rsid w:val="008B4AF1"/>
    <w:rsid w:val="008B4BA5"/>
    <w:rsid w:val="008B4BE0"/>
    <w:rsid w:val="008B4C33"/>
    <w:rsid w:val="008B4CC1"/>
    <w:rsid w:val="008B4F6B"/>
    <w:rsid w:val="008B4F8A"/>
    <w:rsid w:val="008B5019"/>
    <w:rsid w:val="008B502E"/>
    <w:rsid w:val="008B5038"/>
    <w:rsid w:val="008B5122"/>
    <w:rsid w:val="008B518B"/>
    <w:rsid w:val="008B528A"/>
    <w:rsid w:val="008B5339"/>
    <w:rsid w:val="008B5355"/>
    <w:rsid w:val="008B5412"/>
    <w:rsid w:val="008B56C7"/>
    <w:rsid w:val="008B574F"/>
    <w:rsid w:val="008B57D0"/>
    <w:rsid w:val="008B583A"/>
    <w:rsid w:val="008B585E"/>
    <w:rsid w:val="008B5916"/>
    <w:rsid w:val="008B59E9"/>
    <w:rsid w:val="008B59FA"/>
    <w:rsid w:val="008B5AB2"/>
    <w:rsid w:val="008B5B01"/>
    <w:rsid w:val="008B5B48"/>
    <w:rsid w:val="008B5B50"/>
    <w:rsid w:val="008B5B53"/>
    <w:rsid w:val="008B5B61"/>
    <w:rsid w:val="008B5B6E"/>
    <w:rsid w:val="008B5BC4"/>
    <w:rsid w:val="008B5CA3"/>
    <w:rsid w:val="008B5CDF"/>
    <w:rsid w:val="008B5E6A"/>
    <w:rsid w:val="008B5FDB"/>
    <w:rsid w:val="008B6112"/>
    <w:rsid w:val="008B6214"/>
    <w:rsid w:val="008B63FE"/>
    <w:rsid w:val="008B6507"/>
    <w:rsid w:val="008B67DA"/>
    <w:rsid w:val="008B6810"/>
    <w:rsid w:val="008B6850"/>
    <w:rsid w:val="008B6902"/>
    <w:rsid w:val="008B6A8D"/>
    <w:rsid w:val="008B6B06"/>
    <w:rsid w:val="008B6B2B"/>
    <w:rsid w:val="008B6BEB"/>
    <w:rsid w:val="008B6C8B"/>
    <w:rsid w:val="008B6DAC"/>
    <w:rsid w:val="008B6E68"/>
    <w:rsid w:val="008B6E78"/>
    <w:rsid w:val="008B6ECA"/>
    <w:rsid w:val="008B6ED9"/>
    <w:rsid w:val="008B6EE3"/>
    <w:rsid w:val="008B7003"/>
    <w:rsid w:val="008B70F6"/>
    <w:rsid w:val="008B712C"/>
    <w:rsid w:val="008B714D"/>
    <w:rsid w:val="008B731A"/>
    <w:rsid w:val="008B73B8"/>
    <w:rsid w:val="008B740F"/>
    <w:rsid w:val="008B75C2"/>
    <w:rsid w:val="008B771A"/>
    <w:rsid w:val="008B777D"/>
    <w:rsid w:val="008B787C"/>
    <w:rsid w:val="008B78DD"/>
    <w:rsid w:val="008B7994"/>
    <w:rsid w:val="008B7A79"/>
    <w:rsid w:val="008B7A9E"/>
    <w:rsid w:val="008B7AEE"/>
    <w:rsid w:val="008B7B17"/>
    <w:rsid w:val="008B7B41"/>
    <w:rsid w:val="008B7B64"/>
    <w:rsid w:val="008B7BA0"/>
    <w:rsid w:val="008B7BA1"/>
    <w:rsid w:val="008B7D29"/>
    <w:rsid w:val="008B7DE0"/>
    <w:rsid w:val="008B7DF4"/>
    <w:rsid w:val="008B7E0B"/>
    <w:rsid w:val="008B7E24"/>
    <w:rsid w:val="008B7F47"/>
    <w:rsid w:val="008B7F6A"/>
    <w:rsid w:val="008C0003"/>
    <w:rsid w:val="008C00C1"/>
    <w:rsid w:val="008C0116"/>
    <w:rsid w:val="008C017C"/>
    <w:rsid w:val="008C02B3"/>
    <w:rsid w:val="008C02EA"/>
    <w:rsid w:val="008C0614"/>
    <w:rsid w:val="008C061E"/>
    <w:rsid w:val="008C0882"/>
    <w:rsid w:val="008C096E"/>
    <w:rsid w:val="008C0989"/>
    <w:rsid w:val="008C0A18"/>
    <w:rsid w:val="008C0A77"/>
    <w:rsid w:val="008C0BA7"/>
    <w:rsid w:val="008C0CF6"/>
    <w:rsid w:val="008C0D6C"/>
    <w:rsid w:val="008C0E38"/>
    <w:rsid w:val="008C0EBA"/>
    <w:rsid w:val="008C0EF4"/>
    <w:rsid w:val="008C0F37"/>
    <w:rsid w:val="008C0FEE"/>
    <w:rsid w:val="008C0FF0"/>
    <w:rsid w:val="008C105B"/>
    <w:rsid w:val="008C108E"/>
    <w:rsid w:val="008C1103"/>
    <w:rsid w:val="008C12A5"/>
    <w:rsid w:val="008C12CC"/>
    <w:rsid w:val="008C134E"/>
    <w:rsid w:val="008C1370"/>
    <w:rsid w:val="008C14D1"/>
    <w:rsid w:val="008C154C"/>
    <w:rsid w:val="008C165A"/>
    <w:rsid w:val="008C17A8"/>
    <w:rsid w:val="008C195B"/>
    <w:rsid w:val="008C199D"/>
    <w:rsid w:val="008C1A64"/>
    <w:rsid w:val="008C1AA5"/>
    <w:rsid w:val="008C1B24"/>
    <w:rsid w:val="008C1C08"/>
    <w:rsid w:val="008C1C38"/>
    <w:rsid w:val="008C1D88"/>
    <w:rsid w:val="008C1D9A"/>
    <w:rsid w:val="008C1DBD"/>
    <w:rsid w:val="008C1DFF"/>
    <w:rsid w:val="008C1E12"/>
    <w:rsid w:val="008C1EC6"/>
    <w:rsid w:val="008C206B"/>
    <w:rsid w:val="008C20D3"/>
    <w:rsid w:val="008C2196"/>
    <w:rsid w:val="008C21AC"/>
    <w:rsid w:val="008C21B9"/>
    <w:rsid w:val="008C2226"/>
    <w:rsid w:val="008C22D1"/>
    <w:rsid w:val="008C2512"/>
    <w:rsid w:val="008C254E"/>
    <w:rsid w:val="008C25B4"/>
    <w:rsid w:val="008C26CC"/>
    <w:rsid w:val="008C270F"/>
    <w:rsid w:val="008C275C"/>
    <w:rsid w:val="008C28A0"/>
    <w:rsid w:val="008C29A9"/>
    <w:rsid w:val="008C29E0"/>
    <w:rsid w:val="008C29E2"/>
    <w:rsid w:val="008C2B9E"/>
    <w:rsid w:val="008C2DC5"/>
    <w:rsid w:val="008C2E59"/>
    <w:rsid w:val="008C2EAE"/>
    <w:rsid w:val="008C2F69"/>
    <w:rsid w:val="008C2F8A"/>
    <w:rsid w:val="008C3058"/>
    <w:rsid w:val="008C3180"/>
    <w:rsid w:val="008C3186"/>
    <w:rsid w:val="008C31DD"/>
    <w:rsid w:val="008C32B2"/>
    <w:rsid w:val="008C336F"/>
    <w:rsid w:val="008C3460"/>
    <w:rsid w:val="008C348D"/>
    <w:rsid w:val="008C3533"/>
    <w:rsid w:val="008C355E"/>
    <w:rsid w:val="008C3590"/>
    <w:rsid w:val="008C36D2"/>
    <w:rsid w:val="008C3722"/>
    <w:rsid w:val="008C37C5"/>
    <w:rsid w:val="008C38B3"/>
    <w:rsid w:val="008C38FC"/>
    <w:rsid w:val="008C395D"/>
    <w:rsid w:val="008C39CF"/>
    <w:rsid w:val="008C3A1E"/>
    <w:rsid w:val="008C3A2F"/>
    <w:rsid w:val="008C3A44"/>
    <w:rsid w:val="008C3B0E"/>
    <w:rsid w:val="008C3B98"/>
    <w:rsid w:val="008C3BB1"/>
    <w:rsid w:val="008C3BC3"/>
    <w:rsid w:val="008C3D86"/>
    <w:rsid w:val="008C3E42"/>
    <w:rsid w:val="008C3EAF"/>
    <w:rsid w:val="008C409C"/>
    <w:rsid w:val="008C4175"/>
    <w:rsid w:val="008C41C2"/>
    <w:rsid w:val="008C4276"/>
    <w:rsid w:val="008C42D5"/>
    <w:rsid w:val="008C4327"/>
    <w:rsid w:val="008C44E3"/>
    <w:rsid w:val="008C4621"/>
    <w:rsid w:val="008C4669"/>
    <w:rsid w:val="008C46AF"/>
    <w:rsid w:val="008C4712"/>
    <w:rsid w:val="008C47BE"/>
    <w:rsid w:val="008C4880"/>
    <w:rsid w:val="008C48DA"/>
    <w:rsid w:val="008C4907"/>
    <w:rsid w:val="008C4975"/>
    <w:rsid w:val="008C49B4"/>
    <w:rsid w:val="008C4A7F"/>
    <w:rsid w:val="008C4A89"/>
    <w:rsid w:val="008C4BFD"/>
    <w:rsid w:val="008C4D31"/>
    <w:rsid w:val="008C4D52"/>
    <w:rsid w:val="008C4E2E"/>
    <w:rsid w:val="008C4E6E"/>
    <w:rsid w:val="008C4EA9"/>
    <w:rsid w:val="008C506D"/>
    <w:rsid w:val="008C5177"/>
    <w:rsid w:val="008C5185"/>
    <w:rsid w:val="008C5352"/>
    <w:rsid w:val="008C5377"/>
    <w:rsid w:val="008C53BE"/>
    <w:rsid w:val="008C549A"/>
    <w:rsid w:val="008C5545"/>
    <w:rsid w:val="008C56F6"/>
    <w:rsid w:val="008C5776"/>
    <w:rsid w:val="008C57F1"/>
    <w:rsid w:val="008C5862"/>
    <w:rsid w:val="008C588B"/>
    <w:rsid w:val="008C5A12"/>
    <w:rsid w:val="008C5A31"/>
    <w:rsid w:val="008C5A67"/>
    <w:rsid w:val="008C5B78"/>
    <w:rsid w:val="008C5C9C"/>
    <w:rsid w:val="008C5C9E"/>
    <w:rsid w:val="008C5D22"/>
    <w:rsid w:val="008C5D7F"/>
    <w:rsid w:val="008C5F9D"/>
    <w:rsid w:val="008C5FD5"/>
    <w:rsid w:val="008C5FF8"/>
    <w:rsid w:val="008C6009"/>
    <w:rsid w:val="008C6022"/>
    <w:rsid w:val="008C60C2"/>
    <w:rsid w:val="008C60D6"/>
    <w:rsid w:val="008C60DA"/>
    <w:rsid w:val="008C6146"/>
    <w:rsid w:val="008C6166"/>
    <w:rsid w:val="008C6273"/>
    <w:rsid w:val="008C6299"/>
    <w:rsid w:val="008C6371"/>
    <w:rsid w:val="008C6410"/>
    <w:rsid w:val="008C6454"/>
    <w:rsid w:val="008C66C3"/>
    <w:rsid w:val="008C672C"/>
    <w:rsid w:val="008C6805"/>
    <w:rsid w:val="008C6829"/>
    <w:rsid w:val="008C6850"/>
    <w:rsid w:val="008C6A30"/>
    <w:rsid w:val="008C6A78"/>
    <w:rsid w:val="008C6A90"/>
    <w:rsid w:val="008C6BB9"/>
    <w:rsid w:val="008C6D27"/>
    <w:rsid w:val="008C6D49"/>
    <w:rsid w:val="008C6D73"/>
    <w:rsid w:val="008C6DE7"/>
    <w:rsid w:val="008C6DFB"/>
    <w:rsid w:val="008C6DFE"/>
    <w:rsid w:val="008C6E15"/>
    <w:rsid w:val="008C6F1A"/>
    <w:rsid w:val="008C706B"/>
    <w:rsid w:val="008C70D1"/>
    <w:rsid w:val="008C7139"/>
    <w:rsid w:val="008C72F8"/>
    <w:rsid w:val="008C730C"/>
    <w:rsid w:val="008C738E"/>
    <w:rsid w:val="008C7436"/>
    <w:rsid w:val="008C74AB"/>
    <w:rsid w:val="008C751E"/>
    <w:rsid w:val="008C757C"/>
    <w:rsid w:val="008C75BD"/>
    <w:rsid w:val="008C770A"/>
    <w:rsid w:val="008C7733"/>
    <w:rsid w:val="008C77A3"/>
    <w:rsid w:val="008C7810"/>
    <w:rsid w:val="008C783C"/>
    <w:rsid w:val="008C788A"/>
    <w:rsid w:val="008C78B1"/>
    <w:rsid w:val="008C795C"/>
    <w:rsid w:val="008C7977"/>
    <w:rsid w:val="008C79DE"/>
    <w:rsid w:val="008C7A85"/>
    <w:rsid w:val="008C7ACC"/>
    <w:rsid w:val="008C7AD0"/>
    <w:rsid w:val="008C7E3C"/>
    <w:rsid w:val="008C7FC3"/>
    <w:rsid w:val="008C7FDE"/>
    <w:rsid w:val="008D0117"/>
    <w:rsid w:val="008D01D7"/>
    <w:rsid w:val="008D02A8"/>
    <w:rsid w:val="008D0398"/>
    <w:rsid w:val="008D03F4"/>
    <w:rsid w:val="008D046E"/>
    <w:rsid w:val="008D04F0"/>
    <w:rsid w:val="008D0515"/>
    <w:rsid w:val="008D05E9"/>
    <w:rsid w:val="008D072F"/>
    <w:rsid w:val="008D086D"/>
    <w:rsid w:val="008D0876"/>
    <w:rsid w:val="008D08FE"/>
    <w:rsid w:val="008D09B1"/>
    <w:rsid w:val="008D0A2A"/>
    <w:rsid w:val="008D0B96"/>
    <w:rsid w:val="008D0B9C"/>
    <w:rsid w:val="008D0BFE"/>
    <w:rsid w:val="008D0CC2"/>
    <w:rsid w:val="008D0D39"/>
    <w:rsid w:val="008D0D40"/>
    <w:rsid w:val="008D0D7B"/>
    <w:rsid w:val="008D0EBB"/>
    <w:rsid w:val="008D0F9A"/>
    <w:rsid w:val="008D0FB2"/>
    <w:rsid w:val="008D1014"/>
    <w:rsid w:val="008D109C"/>
    <w:rsid w:val="008D11AF"/>
    <w:rsid w:val="008D127F"/>
    <w:rsid w:val="008D12BD"/>
    <w:rsid w:val="008D12E4"/>
    <w:rsid w:val="008D145E"/>
    <w:rsid w:val="008D1462"/>
    <w:rsid w:val="008D14DD"/>
    <w:rsid w:val="008D16A0"/>
    <w:rsid w:val="008D17A4"/>
    <w:rsid w:val="008D1A2A"/>
    <w:rsid w:val="008D1A2D"/>
    <w:rsid w:val="008D1A56"/>
    <w:rsid w:val="008D1A96"/>
    <w:rsid w:val="008D1D5C"/>
    <w:rsid w:val="008D1D96"/>
    <w:rsid w:val="008D1DFE"/>
    <w:rsid w:val="008D1E0A"/>
    <w:rsid w:val="008D204F"/>
    <w:rsid w:val="008D20D2"/>
    <w:rsid w:val="008D20D8"/>
    <w:rsid w:val="008D215B"/>
    <w:rsid w:val="008D219D"/>
    <w:rsid w:val="008D21B7"/>
    <w:rsid w:val="008D21BE"/>
    <w:rsid w:val="008D227E"/>
    <w:rsid w:val="008D23E9"/>
    <w:rsid w:val="008D243A"/>
    <w:rsid w:val="008D24A8"/>
    <w:rsid w:val="008D2536"/>
    <w:rsid w:val="008D254C"/>
    <w:rsid w:val="008D25EF"/>
    <w:rsid w:val="008D26D2"/>
    <w:rsid w:val="008D2783"/>
    <w:rsid w:val="008D286B"/>
    <w:rsid w:val="008D29BA"/>
    <w:rsid w:val="008D29D8"/>
    <w:rsid w:val="008D2A05"/>
    <w:rsid w:val="008D2B5D"/>
    <w:rsid w:val="008D2C60"/>
    <w:rsid w:val="008D2C81"/>
    <w:rsid w:val="008D2D71"/>
    <w:rsid w:val="008D2D8C"/>
    <w:rsid w:val="008D2F82"/>
    <w:rsid w:val="008D2FBE"/>
    <w:rsid w:val="008D3010"/>
    <w:rsid w:val="008D301C"/>
    <w:rsid w:val="008D30DE"/>
    <w:rsid w:val="008D337B"/>
    <w:rsid w:val="008D3431"/>
    <w:rsid w:val="008D3449"/>
    <w:rsid w:val="008D34CB"/>
    <w:rsid w:val="008D3548"/>
    <w:rsid w:val="008D35F1"/>
    <w:rsid w:val="008D35FE"/>
    <w:rsid w:val="008D36DA"/>
    <w:rsid w:val="008D3864"/>
    <w:rsid w:val="008D393F"/>
    <w:rsid w:val="008D39CB"/>
    <w:rsid w:val="008D3DAD"/>
    <w:rsid w:val="008D3F08"/>
    <w:rsid w:val="008D3F63"/>
    <w:rsid w:val="008D4160"/>
    <w:rsid w:val="008D419A"/>
    <w:rsid w:val="008D41B4"/>
    <w:rsid w:val="008D4219"/>
    <w:rsid w:val="008D4256"/>
    <w:rsid w:val="008D435F"/>
    <w:rsid w:val="008D436E"/>
    <w:rsid w:val="008D4409"/>
    <w:rsid w:val="008D4458"/>
    <w:rsid w:val="008D447F"/>
    <w:rsid w:val="008D45A3"/>
    <w:rsid w:val="008D460A"/>
    <w:rsid w:val="008D46BF"/>
    <w:rsid w:val="008D47B6"/>
    <w:rsid w:val="008D47E0"/>
    <w:rsid w:val="008D4867"/>
    <w:rsid w:val="008D4918"/>
    <w:rsid w:val="008D496C"/>
    <w:rsid w:val="008D49D1"/>
    <w:rsid w:val="008D4ADA"/>
    <w:rsid w:val="008D4B01"/>
    <w:rsid w:val="008D4BA7"/>
    <w:rsid w:val="008D4CD1"/>
    <w:rsid w:val="008D4D82"/>
    <w:rsid w:val="008D4E9C"/>
    <w:rsid w:val="008D500E"/>
    <w:rsid w:val="008D503E"/>
    <w:rsid w:val="008D5042"/>
    <w:rsid w:val="008D5157"/>
    <w:rsid w:val="008D5198"/>
    <w:rsid w:val="008D51A6"/>
    <w:rsid w:val="008D5284"/>
    <w:rsid w:val="008D53E1"/>
    <w:rsid w:val="008D5545"/>
    <w:rsid w:val="008D560D"/>
    <w:rsid w:val="008D5616"/>
    <w:rsid w:val="008D56D6"/>
    <w:rsid w:val="008D5730"/>
    <w:rsid w:val="008D57AD"/>
    <w:rsid w:val="008D57BD"/>
    <w:rsid w:val="008D57EA"/>
    <w:rsid w:val="008D580A"/>
    <w:rsid w:val="008D5826"/>
    <w:rsid w:val="008D595F"/>
    <w:rsid w:val="008D5BBC"/>
    <w:rsid w:val="008D5CAE"/>
    <w:rsid w:val="008D5DB7"/>
    <w:rsid w:val="008D5ED9"/>
    <w:rsid w:val="008D606C"/>
    <w:rsid w:val="008D6074"/>
    <w:rsid w:val="008D60ED"/>
    <w:rsid w:val="008D616F"/>
    <w:rsid w:val="008D6173"/>
    <w:rsid w:val="008D62C5"/>
    <w:rsid w:val="008D6334"/>
    <w:rsid w:val="008D6343"/>
    <w:rsid w:val="008D6356"/>
    <w:rsid w:val="008D6370"/>
    <w:rsid w:val="008D64D7"/>
    <w:rsid w:val="008D6511"/>
    <w:rsid w:val="008D652E"/>
    <w:rsid w:val="008D665F"/>
    <w:rsid w:val="008D6755"/>
    <w:rsid w:val="008D6776"/>
    <w:rsid w:val="008D67BE"/>
    <w:rsid w:val="008D67E2"/>
    <w:rsid w:val="008D6810"/>
    <w:rsid w:val="008D6888"/>
    <w:rsid w:val="008D68E0"/>
    <w:rsid w:val="008D6919"/>
    <w:rsid w:val="008D69AD"/>
    <w:rsid w:val="008D69C5"/>
    <w:rsid w:val="008D6A60"/>
    <w:rsid w:val="008D6A8B"/>
    <w:rsid w:val="008D6ABE"/>
    <w:rsid w:val="008D6BD6"/>
    <w:rsid w:val="008D6D34"/>
    <w:rsid w:val="008D6DA8"/>
    <w:rsid w:val="008D6DB3"/>
    <w:rsid w:val="008D6DE9"/>
    <w:rsid w:val="008D6EA8"/>
    <w:rsid w:val="008D6EF4"/>
    <w:rsid w:val="008D6FBE"/>
    <w:rsid w:val="008D7119"/>
    <w:rsid w:val="008D7173"/>
    <w:rsid w:val="008D7197"/>
    <w:rsid w:val="008D719F"/>
    <w:rsid w:val="008D7287"/>
    <w:rsid w:val="008D7293"/>
    <w:rsid w:val="008D731D"/>
    <w:rsid w:val="008D74F2"/>
    <w:rsid w:val="008D76CA"/>
    <w:rsid w:val="008D76F1"/>
    <w:rsid w:val="008D7797"/>
    <w:rsid w:val="008D782C"/>
    <w:rsid w:val="008D7999"/>
    <w:rsid w:val="008D7A52"/>
    <w:rsid w:val="008D7AAA"/>
    <w:rsid w:val="008D7B76"/>
    <w:rsid w:val="008D7C9A"/>
    <w:rsid w:val="008D7EE6"/>
    <w:rsid w:val="008D7FC7"/>
    <w:rsid w:val="008E0030"/>
    <w:rsid w:val="008E009E"/>
    <w:rsid w:val="008E0113"/>
    <w:rsid w:val="008E02DC"/>
    <w:rsid w:val="008E02FA"/>
    <w:rsid w:val="008E038F"/>
    <w:rsid w:val="008E0459"/>
    <w:rsid w:val="008E04BB"/>
    <w:rsid w:val="008E04CF"/>
    <w:rsid w:val="008E05B1"/>
    <w:rsid w:val="008E060F"/>
    <w:rsid w:val="008E076D"/>
    <w:rsid w:val="008E0A41"/>
    <w:rsid w:val="008E0A6C"/>
    <w:rsid w:val="008E0A72"/>
    <w:rsid w:val="008E0A7C"/>
    <w:rsid w:val="008E0B83"/>
    <w:rsid w:val="008E0C35"/>
    <w:rsid w:val="008E0D88"/>
    <w:rsid w:val="008E0DED"/>
    <w:rsid w:val="008E0E29"/>
    <w:rsid w:val="008E0E73"/>
    <w:rsid w:val="008E0ECE"/>
    <w:rsid w:val="008E0EE0"/>
    <w:rsid w:val="008E0FD8"/>
    <w:rsid w:val="008E105E"/>
    <w:rsid w:val="008E10A6"/>
    <w:rsid w:val="008E10E4"/>
    <w:rsid w:val="008E1138"/>
    <w:rsid w:val="008E1149"/>
    <w:rsid w:val="008E133E"/>
    <w:rsid w:val="008E13F5"/>
    <w:rsid w:val="008E148D"/>
    <w:rsid w:val="008E14F7"/>
    <w:rsid w:val="008E15A3"/>
    <w:rsid w:val="008E1612"/>
    <w:rsid w:val="008E1624"/>
    <w:rsid w:val="008E163E"/>
    <w:rsid w:val="008E16CC"/>
    <w:rsid w:val="008E17B8"/>
    <w:rsid w:val="008E183B"/>
    <w:rsid w:val="008E189D"/>
    <w:rsid w:val="008E18BE"/>
    <w:rsid w:val="008E19B7"/>
    <w:rsid w:val="008E19F6"/>
    <w:rsid w:val="008E1B68"/>
    <w:rsid w:val="008E1BC3"/>
    <w:rsid w:val="008E1D1D"/>
    <w:rsid w:val="008E1DBE"/>
    <w:rsid w:val="008E1E0F"/>
    <w:rsid w:val="008E2241"/>
    <w:rsid w:val="008E224D"/>
    <w:rsid w:val="008E22C0"/>
    <w:rsid w:val="008E22FE"/>
    <w:rsid w:val="008E230F"/>
    <w:rsid w:val="008E2353"/>
    <w:rsid w:val="008E23C2"/>
    <w:rsid w:val="008E2595"/>
    <w:rsid w:val="008E25B4"/>
    <w:rsid w:val="008E263C"/>
    <w:rsid w:val="008E26B2"/>
    <w:rsid w:val="008E26F0"/>
    <w:rsid w:val="008E27D4"/>
    <w:rsid w:val="008E282B"/>
    <w:rsid w:val="008E2901"/>
    <w:rsid w:val="008E292B"/>
    <w:rsid w:val="008E2986"/>
    <w:rsid w:val="008E2A35"/>
    <w:rsid w:val="008E2AE7"/>
    <w:rsid w:val="008E2C7A"/>
    <w:rsid w:val="008E2C8C"/>
    <w:rsid w:val="008E2D06"/>
    <w:rsid w:val="008E2D0C"/>
    <w:rsid w:val="008E2E50"/>
    <w:rsid w:val="008E30DB"/>
    <w:rsid w:val="008E31AA"/>
    <w:rsid w:val="008E3216"/>
    <w:rsid w:val="008E32C4"/>
    <w:rsid w:val="008E335F"/>
    <w:rsid w:val="008E358C"/>
    <w:rsid w:val="008E3618"/>
    <w:rsid w:val="008E36A5"/>
    <w:rsid w:val="008E36D6"/>
    <w:rsid w:val="008E37C8"/>
    <w:rsid w:val="008E394B"/>
    <w:rsid w:val="008E395D"/>
    <w:rsid w:val="008E397B"/>
    <w:rsid w:val="008E39FF"/>
    <w:rsid w:val="008E3AEF"/>
    <w:rsid w:val="008E3B42"/>
    <w:rsid w:val="008E3BC8"/>
    <w:rsid w:val="008E3C6D"/>
    <w:rsid w:val="008E3CA7"/>
    <w:rsid w:val="008E3CF7"/>
    <w:rsid w:val="008E3DAE"/>
    <w:rsid w:val="008E3DD4"/>
    <w:rsid w:val="008E3DE7"/>
    <w:rsid w:val="008E4190"/>
    <w:rsid w:val="008E41A1"/>
    <w:rsid w:val="008E41A6"/>
    <w:rsid w:val="008E4241"/>
    <w:rsid w:val="008E42D8"/>
    <w:rsid w:val="008E43CE"/>
    <w:rsid w:val="008E4412"/>
    <w:rsid w:val="008E46D9"/>
    <w:rsid w:val="008E4733"/>
    <w:rsid w:val="008E4789"/>
    <w:rsid w:val="008E47C5"/>
    <w:rsid w:val="008E47CB"/>
    <w:rsid w:val="008E49DD"/>
    <w:rsid w:val="008E49F5"/>
    <w:rsid w:val="008E4B0C"/>
    <w:rsid w:val="008E4B4D"/>
    <w:rsid w:val="008E4C0A"/>
    <w:rsid w:val="008E4C3C"/>
    <w:rsid w:val="008E4C50"/>
    <w:rsid w:val="008E4C9C"/>
    <w:rsid w:val="008E4CA3"/>
    <w:rsid w:val="008E4D58"/>
    <w:rsid w:val="008E4D8A"/>
    <w:rsid w:val="008E4F55"/>
    <w:rsid w:val="008E4FCB"/>
    <w:rsid w:val="008E50D7"/>
    <w:rsid w:val="008E51E8"/>
    <w:rsid w:val="008E5236"/>
    <w:rsid w:val="008E529D"/>
    <w:rsid w:val="008E52DE"/>
    <w:rsid w:val="008E5381"/>
    <w:rsid w:val="008E53D5"/>
    <w:rsid w:val="008E5464"/>
    <w:rsid w:val="008E5468"/>
    <w:rsid w:val="008E549E"/>
    <w:rsid w:val="008E5567"/>
    <w:rsid w:val="008E55AC"/>
    <w:rsid w:val="008E579E"/>
    <w:rsid w:val="008E57F5"/>
    <w:rsid w:val="008E58BE"/>
    <w:rsid w:val="008E5920"/>
    <w:rsid w:val="008E598B"/>
    <w:rsid w:val="008E59A6"/>
    <w:rsid w:val="008E59C6"/>
    <w:rsid w:val="008E5A5D"/>
    <w:rsid w:val="008E5A97"/>
    <w:rsid w:val="008E5A9C"/>
    <w:rsid w:val="008E5B9E"/>
    <w:rsid w:val="008E5CD9"/>
    <w:rsid w:val="008E5CDF"/>
    <w:rsid w:val="008E5CE0"/>
    <w:rsid w:val="008E5D10"/>
    <w:rsid w:val="008E5D1B"/>
    <w:rsid w:val="008E5EE6"/>
    <w:rsid w:val="008E5F5C"/>
    <w:rsid w:val="008E5FA1"/>
    <w:rsid w:val="008E5FFC"/>
    <w:rsid w:val="008E60A1"/>
    <w:rsid w:val="008E610D"/>
    <w:rsid w:val="008E617D"/>
    <w:rsid w:val="008E620A"/>
    <w:rsid w:val="008E62A3"/>
    <w:rsid w:val="008E63E0"/>
    <w:rsid w:val="008E655E"/>
    <w:rsid w:val="008E6733"/>
    <w:rsid w:val="008E67F1"/>
    <w:rsid w:val="008E680C"/>
    <w:rsid w:val="008E6869"/>
    <w:rsid w:val="008E68D7"/>
    <w:rsid w:val="008E69CC"/>
    <w:rsid w:val="008E6A64"/>
    <w:rsid w:val="008E6B3F"/>
    <w:rsid w:val="008E6C69"/>
    <w:rsid w:val="008E6D3E"/>
    <w:rsid w:val="008E6D9B"/>
    <w:rsid w:val="008E6DB3"/>
    <w:rsid w:val="008E6DC7"/>
    <w:rsid w:val="008E6E9F"/>
    <w:rsid w:val="008E6FD4"/>
    <w:rsid w:val="008E70A1"/>
    <w:rsid w:val="008E70D2"/>
    <w:rsid w:val="008E7204"/>
    <w:rsid w:val="008E724B"/>
    <w:rsid w:val="008E72E5"/>
    <w:rsid w:val="008E7507"/>
    <w:rsid w:val="008E75E7"/>
    <w:rsid w:val="008E76C7"/>
    <w:rsid w:val="008E77B8"/>
    <w:rsid w:val="008E781E"/>
    <w:rsid w:val="008E7A97"/>
    <w:rsid w:val="008E7BD4"/>
    <w:rsid w:val="008E7C54"/>
    <w:rsid w:val="008E7CAA"/>
    <w:rsid w:val="008E7DD4"/>
    <w:rsid w:val="008E7EBA"/>
    <w:rsid w:val="008E7F51"/>
    <w:rsid w:val="008E7F96"/>
    <w:rsid w:val="008E7FFD"/>
    <w:rsid w:val="008F0146"/>
    <w:rsid w:val="008F01A2"/>
    <w:rsid w:val="008F01A7"/>
    <w:rsid w:val="008F01B3"/>
    <w:rsid w:val="008F0287"/>
    <w:rsid w:val="008F02D1"/>
    <w:rsid w:val="008F0308"/>
    <w:rsid w:val="008F0350"/>
    <w:rsid w:val="008F03D9"/>
    <w:rsid w:val="008F048D"/>
    <w:rsid w:val="008F04FD"/>
    <w:rsid w:val="008F0586"/>
    <w:rsid w:val="008F05D0"/>
    <w:rsid w:val="008F0692"/>
    <w:rsid w:val="008F06A7"/>
    <w:rsid w:val="008F070C"/>
    <w:rsid w:val="008F0743"/>
    <w:rsid w:val="008F07F8"/>
    <w:rsid w:val="008F096F"/>
    <w:rsid w:val="008F0995"/>
    <w:rsid w:val="008F0A09"/>
    <w:rsid w:val="008F0ABF"/>
    <w:rsid w:val="008F0BE0"/>
    <w:rsid w:val="008F0CAF"/>
    <w:rsid w:val="008F0CFF"/>
    <w:rsid w:val="008F0D49"/>
    <w:rsid w:val="008F0E37"/>
    <w:rsid w:val="008F0F39"/>
    <w:rsid w:val="008F0FB6"/>
    <w:rsid w:val="008F1034"/>
    <w:rsid w:val="008F106E"/>
    <w:rsid w:val="008F1125"/>
    <w:rsid w:val="008F1178"/>
    <w:rsid w:val="008F11D9"/>
    <w:rsid w:val="008F1223"/>
    <w:rsid w:val="008F127B"/>
    <w:rsid w:val="008F136C"/>
    <w:rsid w:val="008F14CC"/>
    <w:rsid w:val="008F1511"/>
    <w:rsid w:val="008F151F"/>
    <w:rsid w:val="008F1550"/>
    <w:rsid w:val="008F15B6"/>
    <w:rsid w:val="008F164F"/>
    <w:rsid w:val="008F184C"/>
    <w:rsid w:val="008F194B"/>
    <w:rsid w:val="008F198D"/>
    <w:rsid w:val="008F19B6"/>
    <w:rsid w:val="008F1A0C"/>
    <w:rsid w:val="008F1AD2"/>
    <w:rsid w:val="008F1C41"/>
    <w:rsid w:val="008F1C98"/>
    <w:rsid w:val="008F1CEB"/>
    <w:rsid w:val="008F1D3F"/>
    <w:rsid w:val="008F1DEA"/>
    <w:rsid w:val="008F1DEB"/>
    <w:rsid w:val="008F1DF1"/>
    <w:rsid w:val="008F1E15"/>
    <w:rsid w:val="008F1E51"/>
    <w:rsid w:val="008F1E97"/>
    <w:rsid w:val="008F1F2A"/>
    <w:rsid w:val="008F1F49"/>
    <w:rsid w:val="008F2123"/>
    <w:rsid w:val="008F214A"/>
    <w:rsid w:val="008F21D0"/>
    <w:rsid w:val="008F22AA"/>
    <w:rsid w:val="008F22DE"/>
    <w:rsid w:val="008F2450"/>
    <w:rsid w:val="008F24B8"/>
    <w:rsid w:val="008F251B"/>
    <w:rsid w:val="008F252F"/>
    <w:rsid w:val="008F2668"/>
    <w:rsid w:val="008F2690"/>
    <w:rsid w:val="008F279B"/>
    <w:rsid w:val="008F2915"/>
    <w:rsid w:val="008F29C7"/>
    <w:rsid w:val="008F2A5A"/>
    <w:rsid w:val="008F2B2E"/>
    <w:rsid w:val="008F2B98"/>
    <w:rsid w:val="008F2CD4"/>
    <w:rsid w:val="008F2CE0"/>
    <w:rsid w:val="008F2D22"/>
    <w:rsid w:val="008F2EBE"/>
    <w:rsid w:val="008F2F92"/>
    <w:rsid w:val="008F2FA9"/>
    <w:rsid w:val="008F2FC9"/>
    <w:rsid w:val="008F3071"/>
    <w:rsid w:val="008F3086"/>
    <w:rsid w:val="008F317F"/>
    <w:rsid w:val="008F3199"/>
    <w:rsid w:val="008F3261"/>
    <w:rsid w:val="008F32E9"/>
    <w:rsid w:val="008F34B4"/>
    <w:rsid w:val="008F3561"/>
    <w:rsid w:val="008F35B9"/>
    <w:rsid w:val="008F362B"/>
    <w:rsid w:val="008F3763"/>
    <w:rsid w:val="008F387A"/>
    <w:rsid w:val="008F38DC"/>
    <w:rsid w:val="008F39DC"/>
    <w:rsid w:val="008F39DD"/>
    <w:rsid w:val="008F3A02"/>
    <w:rsid w:val="008F3A76"/>
    <w:rsid w:val="008F3AEB"/>
    <w:rsid w:val="008F3B25"/>
    <w:rsid w:val="008F3B65"/>
    <w:rsid w:val="008F3BA7"/>
    <w:rsid w:val="008F3D34"/>
    <w:rsid w:val="008F3E0A"/>
    <w:rsid w:val="008F3E62"/>
    <w:rsid w:val="008F413B"/>
    <w:rsid w:val="008F418A"/>
    <w:rsid w:val="008F42F4"/>
    <w:rsid w:val="008F4304"/>
    <w:rsid w:val="008F446E"/>
    <w:rsid w:val="008F447E"/>
    <w:rsid w:val="008F4482"/>
    <w:rsid w:val="008F465D"/>
    <w:rsid w:val="008F46B5"/>
    <w:rsid w:val="008F4733"/>
    <w:rsid w:val="008F4817"/>
    <w:rsid w:val="008F4833"/>
    <w:rsid w:val="008F483A"/>
    <w:rsid w:val="008F4903"/>
    <w:rsid w:val="008F49A5"/>
    <w:rsid w:val="008F4AA8"/>
    <w:rsid w:val="008F4CC3"/>
    <w:rsid w:val="008F4CFD"/>
    <w:rsid w:val="008F4D09"/>
    <w:rsid w:val="008F4D0E"/>
    <w:rsid w:val="008F4D36"/>
    <w:rsid w:val="008F4D79"/>
    <w:rsid w:val="008F4DD8"/>
    <w:rsid w:val="008F4E0E"/>
    <w:rsid w:val="008F4F2F"/>
    <w:rsid w:val="008F4F94"/>
    <w:rsid w:val="008F4FB2"/>
    <w:rsid w:val="008F500A"/>
    <w:rsid w:val="008F515B"/>
    <w:rsid w:val="008F522F"/>
    <w:rsid w:val="008F52C4"/>
    <w:rsid w:val="008F531D"/>
    <w:rsid w:val="008F5545"/>
    <w:rsid w:val="008F55B2"/>
    <w:rsid w:val="008F56A0"/>
    <w:rsid w:val="008F578C"/>
    <w:rsid w:val="008F5793"/>
    <w:rsid w:val="008F5897"/>
    <w:rsid w:val="008F58E4"/>
    <w:rsid w:val="008F5923"/>
    <w:rsid w:val="008F59CA"/>
    <w:rsid w:val="008F5A28"/>
    <w:rsid w:val="008F5AC3"/>
    <w:rsid w:val="008F5B1A"/>
    <w:rsid w:val="008F5B65"/>
    <w:rsid w:val="008F5C01"/>
    <w:rsid w:val="008F5C20"/>
    <w:rsid w:val="008F5D13"/>
    <w:rsid w:val="008F5D37"/>
    <w:rsid w:val="008F5E24"/>
    <w:rsid w:val="008F5E57"/>
    <w:rsid w:val="008F5F1C"/>
    <w:rsid w:val="008F6138"/>
    <w:rsid w:val="008F6170"/>
    <w:rsid w:val="008F61D9"/>
    <w:rsid w:val="008F62CB"/>
    <w:rsid w:val="008F63B7"/>
    <w:rsid w:val="008F63FA"/>
    <w:rsid w:val="008F645C"/>
    <w:rsid w:val="008F64A0"/>
    <w:rsid w:val="008F657A"/>
    <w:rsid w:val="008F672C"/>
    <w:rsid w:val="008F6764"/>
    <w:rsid w:val="008F69CE"/>
    <w:rsid w:val="008F6AFF"/>
    <w:rsid w:val="008F6B08"/>
    <w:rsid w:val="008F6B54"/>
    <w:rsid w:val="008F6BC6"/>
    <w:rsid w:val="008F6C32"/>
    <w:rsid w:val="008F6C62"/>
    <w:rsid w:val="008F6ED6"/>
    <w:rsid w:val="008F70AC"/>
    <w:rsid w:val="008F70BE"/>
    <w:rsid w:val="008F70CC"/>
    <w:rsid w:val="008F712B"/>
    <w:rsid w:val="008F716D"/>
    <w:rsid w:val="008F717B"/>
    <w:rsid w:val="008F7267"/>
    <w:rsid w:val="008F7280"/>
    <w:rsid w:val="008F7332"/>
    <w:rsid w:val="008F73AA"/>
    <w:rsid w:val="008F73EC"/>
    <w:rsid w:val="008F740B"/>
    <w:rsid w:val="008F7420"/>
    <w:rsid w:val="008F7453"/>
    <w:rsid w:val="008F74FC"/>
    <w:rsid w:val="008F7602"/>
    <w:rsid w:val="008F760F"/>
    <w:rsid w:val="008F77C7"/>
    <w:rsid w:val="008F77D0"/>
    <w:rsid w:val="008F77D3"/>
    <w:rsid w:val="008F7AF1"/>
    <w:rsid w:val="008F7B0E"/>
    <w:rsid w:val="008F7C05"/>
    <w:rsid w:val="008F7C10"/>
    <w:rsid w:val="008F7C8E"/>
    <w:rsid w:val="008F7CC6"/>
    <w:rsid w:val="008F7D0D"/>
    <w:rsid w:val="008F7D54"/>
    <w:rsid w:val="008F7D77"/>
    <w:rsid w:val="008F7E83"/>
    <w:rsid w:val="008F7E86"/>
    <w:rsid w:val="0090008A"/>
    <w:rsid w:val="00900123"/>
    <w:rsid w:val="0090014A"/>
    <w:rsid w:val="0090037B"/>
    <w:rsid w:val="00900477"/>
    <w:rsid w:val="00900497"/>
    <w:rsid w:val="009004BF"/>
    <w:rsid w:val="009005E5"/>
    <w:rsid w:val="0090064F"/>
    <w:rsid w:val="00900661"/>
    <w:rsid w:val="00900768"/>
    <w:rsid w:val="00900A40"/>
    <w:rsid w:val="00900A73"/>
    <w:rsid w:val="00900B74"/>
    <w:rsid w:val="00900CA5"/>
    <w:rsid w:val="00900D65"/>
    <w:rsid w:val="00900E00"/>
    <w:rsid w:val="00900EAC"/>
    <w:rsid w:val="0090101C"/>
    <w:rsid w:val="0090104F"/>
    <w:rsid w:val="0090107F"/>
    <w:rsid w:val="009010F4"/>
    <w:rsid w:val="0090110C"/>
    <w:rsid w:val="00901112"/>
    <w:rsid w:val="00901134"/>
    <w:rsid w:val="00901188"/>
    <w:rsid w:val="009011B3"/>
    <w:rsid w:val="009011BD"/>
    <w:rsid w:val="00901256"/>
    <w:rsid w:val="009012B9"/>
    <w:rsid w:val="0090130F"/>
    <w:rsid w:val="0090151C"/>
    <w:rsid w:val="00901531"/>
    <w:rsid w:val="00901618"/>
    <w:rsid w:val="00901691"/>
    <w:rsid w:val="009016DC"/>
    <w:rsid w:val="009016DF"/>
    <w:rsid w:val="00901711"/>
    <w:rsid w:val="0090172C"/>
    <w:rsid w:val="009017D9"/>
    <w:rsid w:val="009018D6"/>
    <w:rsid w:val="0090199F"/>
    <w:rsid w:val="00901A4E"/>
    <w:rsid w:val="00901AF7"/>
    <w:rsid w:val="00901B0F"/>
    <w:rsid w:val="00901B37"/>
    <w:rsid w:val="00901B74"/>
    <w:rsid w:val="00901BDC"/>
    <w:rsid w:val="00901CB4"/>
    <w:rsid w:val="00901D77"/>
    <w:rsid w:val="00901EF3"/>
    <w:rsid w:val="00901EF5"/>
    <w:rsid w:val="00901F5D"/>
    <w:rsid w:val="0090201A"/>
    <w:rsid w:val="00902038"/>
    <w:rsid w:val="009021EA"/>
    <w:rsid w:val="0090223A"/>
    <w:rsid w:val="009023DA"/>
    <w:rsid w:val="00902492"/>
    <w:rsid w:val="0090298D"/>
    <w:rsid w:val="00902992"/>
    <w:rsid w:val="00902A7B"/>
    <w:rsid w:val="00902AAA"/>
    <w:rsid w:val="00902AB2"/>
    <w:rsid w:val="00902AD7"/>
    <w:rsid w:val="00902B84"/>
    <w:rsid w:val="00902C12"/>
    <w:rsid w:val="00902D35"/>
    <w:rsid w:val="00902DAF"/>
    <w:rsid w:val="00902E19"/>
    <w:rsid w:val="00902E36"/>
    <w:rsid w:val="00902F45"/>
    <w:rsid w:val="00902FC4"/>
    <w:rsid w:val="00903044"/>
    <w:rsid w:val="009030BC"/>
    <w:rsid w:val="00903100"/>
    <w:rsid w:val="0090310E"/>
    <w:rsid w:val="00903197"/>
    <w:rsid w:val="00903347"/>
    <w:rsid w:val="00903378"/>
    <w:rsid w:val="009035F5"/>
    <w:rsid w:val="0090372E"/>
    <w:rsid w:val="00903862"/>
    <w:rsid w:val="00903988"/>
    <w:rsid w:val="00903A73"/>
    <w:rsid w:val="00903AEE"/>
    <w:rsid w:val="00903B5F"/>
    <w:rsid w:val="00903BCF"/>
    <w:rsid w:val="00903C73"/>
    <w:rsid w:val="00903CAD"/>
    <w:rsid w:val="00903DFA"/>
    <w:rsid w:val="00903E10"/>
    <w:rsid w:val="00903FDC"/>
    <w:rsid w:val="009041CE"/>
    <w:rsid w:val="009041E0"/>
    <w:rsid w:val="009041EB"/>
    <w:rsid w:val="009042B5"/>
    <w:rsid w:val="00904486"/>
    <w:rsid w:val="00904566"/>
    <w:rsid w:val="009046F7"/>
    <w:rsid w:val="0090474F"/>
    <w:rsid w:val="00904779"/>
    <w:rsid w:val="009047D6"/>
    <w:rsid w:val="00904811"/>
    <w:rsid w:val="0090481B"/>
    <w:rsid w:val="0090481C"/>
    <w:rsid w:val="00904992"/>
    <w:rsid w:val="00904A2A"/>
    <w:rsid w:val="00904A72"/>
    <w:rsid w:val="00904AD9"/>
    <w:rsid w:val="00904B3C"/>
    <w:rsid w:val="00904B7A"/>
    <w:rsid w:val="00904B9D"/>
    <w:rsid w:val="00904BA1"/>
    <w:rsid w:val="00904BAF"/>
    <w:rsid w:val="00904BCD"/>
    <w:rsid w:val="00904C02"/>
    <w:rsid w:val="00904C52"/>
    <w:rsid w:val="00904C9C"/>
    <w:rsid w:val="00904CCC"/>
    <w:rsid w:val="00904CFB"/>
    <w:rsid w:val="00904D73"/>
    <w:rsid w:val="00904D74"/>
    <w:rsid w:val="00904D81"/>
    <w:rsid w:val="00904E39"/>
    <w:rsid w:val="00904EE4"/>
    <w:rsid w:val="00904FCB"/>
    <w:rsid w:val="00905067"/>
    <w:rsid w:val="009050BB"/>
    <w:rsid w:val="009052FA"/>
    <w:rsid w:val="00905333"/>
    <w:rsid w:val="0090533D"/>
    <w:rsid w:val="00905361"/>
    <w:rsid w:val="009053CA"/>
    <w:rsid w:val="0090542A"/>
    <w:rsid w:val="0090546C"/>
    <w:rsid w:val="00905727"/>
    <w:rsid w:val="00905803"/>
    <w:rsid w:val="00905972"/>
    <w:rsid w:val="00905A3D"/>
    <w:rsid w:val="00905A4D"/>
    <w:rsid w:val="00905B68"/>
    <w:rsid w:val="00905BC7"/>
    <w:rsid w:val="00905BF6"/>
    <w:rsid w:val="00905D7E"/>
    <w:rsid w:val="00905D82"/>
    <w:rsid w:val="00905ED6"/>
    <w:rsid w:val="00905F1B"/>
    <w:rsid w:val="00906002"/>
    <w:rsid w:val="0090600B"/>
    <w:rsid w:val="00906284"/>
    <w:rsid w:val="009062FA"/>
    <w:rsid w:val="009063B7"/>
    <w:rsid w:val="009063FC"/>
    <w:rsid w:val="00906463"/>
    <w:rsid w:val="0090650D"/>
    <w:rsid w:val="0090678D"/>
    <w:rsid w:val="009067CD"/>
    <w:rsid w:val="00906855"/>
    <w:rsid w:val="00906893"/>
    <w:rsid w:val="0090695E"/>
    <w:rsid w:val="00906976"/>
    <w:rsid w:val="009069AC"/>
    <w:rsid w:val="009069F4"/>
    <w:rsid w:val="00906A66"/>
    <w:rsid w:val="00906AB8"/>
    <w:rsid w:val="00906ADA"/>
    <w:rsid w:val="00906B53"/>
    <w:rsid w:val="00906BA6"/>
    <w:rsid w:val="00906BC1"/>
    <w:rsid w:val="00906BF6"/>
    <w:rsid w:val="00906ED9"/>
    <w:rsid w:val="00906EF5"/>
    <w:rsid w:val="00906F26"/>
    <w:rsid w:val="00907115"/>
    <w:rsid w:val="0090736F"/>
    <w:rsid w:val="009074B1"/>
    <w:rsid w:val="009074B2"/>
    <w:rsid w:val="00907548"/>
    <w:rsid w:val="009076E0"/>
    <w:rsid w:val="009076E9"/>
    <w:rsid w:val="00907853"/>
    <w:rsid w:val="009079DE"/>
    <w:rsid w:val="00907A7C"/>
    <w:rsid w:val="00907B0A"/>
    <w:rsid w:val="00907BC0"/>
    <w:rsid w:val="00907BF3"/>
    <w:rsid w:val="00907BFF"/>
    <w:rsid w:val="00907D9C"/>
    <w:rsid w:val="00907DD9"/>
    <w:rsid w:val="0091006C"/>
    <w:rsid w:val="009100A4"/>
    <w:rsid w:val="009100B7"/>
    <w:rsid w:val="0091011E"/>
    <w:rsid w:val="0091021C"/>
    <w:rsid w:val="009102A2"/>
    <w:rsid w:val="00910534"/>
    <w:rsid w:val="0091069C"/>
    <w:rsid w:val="0091096C"/>
    <w:rsid w:val="009109AD"/>
    <w:rsid w:val="009109D1"/>
    <w:rsid w:val="009109F6"/>
    <w:rsid w:val="00910AAC"/>
    <w:rsid w:val="00910B01"/>
    <w:rsid w:val="00910C52"/>
    <w:rsid w:val="00910F3A"/>
    <w:rsid w:val="00910F3F"/>
    <w:rsid w:val="00911004"/>
    <w:rsid w:val="00911036"/>
    <w:rsid w:val="009111B9"/>
    <w:rsid w:val="0091123A"/>
    <w:rsid w:val="00911242"/>
    <w:rsid w:val="0091133D"/>
    <w:rsid w:val="00911390"/>
    <w:rsid w:val="0091141F"/>
    <w:rsid w:val="00911521"/>
    <w:rsid w:val="0091156F"/>
    <w:rsid w:val="0091171F"/>
    <w:rsid w:val="0091178C"/>
    <w:rsid w:val="00911999"/>
    <w:rsid w:val="009119EF"/>
    <w:rsid w:val="00911ACB"/>
    <w:rsid w:val="00911B7E"/>
    <w:rsid w:val="00911BD6"/>
    <w:rsid w:val="00911BD9"/>
    <w:rsid w:val="00911C5A"/>
    <w:rsid w:val="00911C92"/>
    <w:rsid w:val="00911CBC"/>
    <w:rsid w:val="00911DB3"/>
    <w:rsid w:val="00911EC2"/>
    <w:rsid w:val="00912378"/>
    <w:rsid w:val="009123E9"/>
    <w:rsid w:val="0091241B"/>
    <w:rsid w:val="0091248F"/>
    <w:rsid w:val="009124B2"/>
    <w:rsid w:val="009124B4"/>
    <w:rsid w:val="00912534"/>
    <w:rsid w:val="00912576"/>
    <w:rsid w:val="009125C3"/>
    <w:rsid w:val="00912628"/>
    <w:rsid w:val="00912738"/>
    <w:rsid w:val="00912766"/>
    <w:rsid w:val="0091282F"/>
    <w:rsid w:val="0091286E"/>
    <w:rsid w:val="00912873"/>
    <w:rsid w:val="00912969"/>
    <w:rsid w:val="009129D4"/>
    <w:rsid w:val="00912A82"/>
    <w:rsid w:val="00912AB9"/>
    <w:rsid w:val="00912B5C"/>
    <w:rsid w:val="00912C68"/>
    <w:rsid w:val="00912CDE"/>
    <w:rsid w:val="00912D48"/>
    <w:rsid w:val="00912DBF"/>
    <w:rsid w:val="00912EF3"/>
    <w:rsid w:val="00912F13"/>
    <w:rsid w:val="00912F33"/>
    <w:rsid w:val="0091309D"/>
    <w:rsid w:val="009130A3"/>
    <w:rsid w:val="009130C7"/>
    <w:rsid w:val="009130F0"/>
    <w:rsid w:val="00913162"/>
    <w:rsid w:val="00913168"/>
    <w:rsid w:val="009131FA"/>
    <w:rsid w:val="00913268"/>
    <w:rsid w:val="0091338E"/>
    <w:rsid w:val="009135CE"/>
    <w:rsid w:val="00913678"/>
    <w:rsid w:val="009136CD"/>
    <w:rsid w:val="009136FF"/>
    <w:rsid w:val="009138E2"/>
    <w:rsid w:val="00913A72"/>
    <w:rsid w:val="00913B0F"/>
    <w:rsid w:val="00913B6F"/>
    <w:rsid w:val="00913BD1"/>
    <w:rsid w:val="00913CC1"/>
    <w:rsid w:val="00913E7C"/>
    <w:rsid w:val="00913E8A"/>
    <w:rsid w:val="00913FD2"/>
    <w:rsid w:val="00914166"/>
    <w:rsid w:val="00914196"/>
    <w:rsid w:val="0091424C"/>
    <w:rsid w:val="00914276"/>
    <w:rsid w:val="009144EC"/>
    <w:rsid w:val="00914514"/>
    <w:rsid w:val="00914672"/>
    <w:rsid w:val="00914711"/>
    <w:rsid w:val="0091475C"/>
    <w:rsid w:val="009148F8"/>
    <w:rsid w:val="00914924"/>
    <w:rsid w:val="00914991"/>
    <w:rsid w:val="009149F0"/>
    <w:rsid w:val="00914A1A"/>
    <w:rsid w:val="00914B29"/>
    <w:rsid w:val="00914C20"/>
    <w:rsid w:val="00914E1E"/>
    <w:rsid w:val="00914E7F"/>
    <w:rsid w:val="00914EAC"/>
    <w:rsid w:val="00914EBE"/>
    <w:rsid w:val="00914F07"/>
    <w:rsid w:val="00915016"/>
    <w:rsid w:val="00915027"/>
    <w:rsid w:val="00915051"/>
    <w:rsid w:val="009150E7"/>
    <w:rsid w:val="0091520B"/>
    <w:rsid w:val="00915212"/>
    <w:rsid w:val="00915284"/>
    <w:rsid w:val="00915392"/>
    <w:rsid w:val="009153EF"/>
    <w:rsid w:val="009154EF"/>
    <w:rsid w:val="00915525"/>
    <w:rsid w:val="00915580"/>
    <w:rsid w:val="009156DE"/>
    <w:rsid w:val="00915733"/>
    <w:rsid w:val="009157D1"/>
    <w:rsid w:val="00915931"/>
    <w:rsid w:val="009159EB"/>
    <w:rsid w:val="00915BBA"/>
    <w:rsid w:val="00915BCA"/>
    <w:rsid w:val="00915D75"/>
    <w:rsid w:val="00915DC3"/>
    <w:rsid w:val="00915DFA"/>
    <w:rsid w:val="00915E22"/>
    <w:rsid w:val="00915E92"/>
    <w:rsid w:val="00915EDE"/>
    <w:rsid w:val="00915F01"/>
    <w:rsid w:val="00915F63"/>
    <w:rsid w:val="00915F83"/>
    <w:rsid w:val="00916054"/>
    <w:rsid w:val="009160B1"/>
    <w:rsid w:val="00916112"/>
    <w:rsid w:val="009161F5"/>
    <w:rsid w:val="0091629B"/>
    <w:rsid w:val="009162D8"/>
    <w:rsid w:val="009162F7"/>
    <w:rsid w:val="0091637F"/>
    <w:rsid w:val="0091643D"/>
    <w:rsid w:val="009164AF"/>
    <w:rsid w:val="0091662E"/>
    <w:rsid w:val="0091663F"/>
    <w:rsid w:val="009166D9"/>
    <w:rsid w:val="00916827"/>
    <w:rsid w:val="0091684E"/>
    <w:rsid w:val="0091690C"/>
    <w:rsid w:val="00916977"/>
    <w:rsid w:val="009169F4"/>
    <w:rsid w:val="00916AF0"/>
    <w:rsid w:val="00916B66"/>
    <w:rsid w:val="00916C55"/>
    <w:rsid w:val="00916CB4"/>
    <w:rsid w:val="00916ED3"/>
    <w:rsid w:val="00916FD7"/>
    <w:rsid w:val="00917052"/>
    <w:rsid w:val="0091705C"/>
    <w:rsid w:val="0091718C"/>
    <w:rsid w:val="0091718E"/>
    <w:rsid w:val="009171F0"/>
    <w:rsid w:val="009172A2"/>
    <w:rsid w:val="0091734E"/>
    <w:rsid w:val="009173BD"/>
    <w:rsid w:val="009173C4"/>
    <w:rsid w:val="009173CD"/>
    <w:rsid w:val="009173DB"/>
    <w:rsid w:val="00917417"/>
    <w:rsid w:val="009176A2"/>
    <w:rsid w:val="00917768"/>
    <w:rsid w:val="009177B7"/>
    <w:rsid w:val="009177CA"/>
    <w:rsid w:val="0091786B"/>
    <w:rsid w:val="00917887"/>
    <w:rsid w:val="0091792E"/>
    <w:rsid w:val="00917976"/>
    <w:rsid w:val="00917A53"/>
    <w:rsid w:val="00917AC5"/>
    <w:rsid w:val="00917B26"/>
    <w:rsid w:val="00917BFA"/>
    <w:rsid w:val="00917C07"/>
    <w:rsid w:val="00917C11"/>
    <w:rsid w:val="00917C1A"/>
    <w:rsid w:val="00917C4A"/>
    <w:rsid w:val="00917D6D"/>
    <w:rsid w:val="00917DC0"/>
    <w:rsid w:val="00917F57"/>
    <w:rsid w:val="00920089"/>
    <w:rsid w:val="00920124"/>
    <w:rsid w:val="00920128"/>
    <w:rsid w:val="00920189"/>
    <w:rsid w:val="009201B0"/>
    <w:rsid w:val="009201D8"/>
    <w:rsid w:val="00920209"/>
    <w:rsid w:val="00920219"/>
    <w:rsid w:val="00920281"/>
    <w:rsid w:val="00920319"/>
    <w:rsid w:val="00920347"/>
    <w:rsid w:val="0092038B"/>
    <w:rsid w:val="00920514"/>
    <w:rsid w:val="00920547"/>
    <w:rsid w:val="009207FA"/>
    <w:rsid w:val="00920C47"/>
    <w:rsid w:val="00920DF0"/>
    <w:rsid w:val="00920E27"/>
    <w:rsid w:val="009211AF"/>
    <w:rsid w:val="0092120E"/>
    <w:rsid w:val="00921244"/>
    <w:rsid w:val="00921255"/>
    <w:rsid w:val="0092126C"/>
    <w:rsid w:val="009212E6"/>
    <w:rsid w:val="00921352"/>
    <w:rsid w:val="0092138F"/>
    <w:rsid w:val="009213C6"/>
    <w:rsid w:val="0092160C"/>
    <w:rsid w:val="009216B3"/>
    <w:rsid w:val="00921731"/>
    <w:rsid w:val="0092177C"/>
    <w:rsid w:val="0092181A"/>
    <w:rsid w:val="0092184E"/>
    <w:rsid w:val="00921886"/>
    <w:rsid w:val="00921888"/>
    <w:rsid w:val="009219B4"/>
    <w:rsid w:val="00921A06"/>
    <w:rsid w:val="00921A71"/>
    <w:rsid w:val="00921AD1"/>
    <w:rsid w:val="00921C00"/>
    <w:rsid w:val="00921C38"/>
    <w:rsid w:val="00921D25"/>
    <w:rsid w:val="00921D55"/>
    <w:rsid w:val="00921FE3"/>
    <w:rsid w:val="00921FE8"/>
    <w:rsid w:val="0092203E"/>
    <w:rsid w:val="0092220D"/>
    <w:rsid w:val="00922260"/>
    <w:rsid w:val="00922302"/>
    <w:rsid w:val="00922340"/>
    <w:rsid w:val="00922349"/>
    <w:rsid w:val="0092247F"/>
    <w:rsid w:val="009226CD"/>
    <w:rsid w:val="00922762"/>
    <w:rsid w:val="009227AC"/>
    <w:rsid w:val="009227EF"/>
    <w:rsid w:val="00922866"/>
    <w:rsid w:val="00922953"/>
    <w:rsid w:val="00922A3A"/>
    <w:rsid w:val="00922C73"/>
    <w:rsid w:val="00922CD9"/>
    <w:rsid w:val="00922E74"/>
    <w:rsid w:val="00922EBD"/>
    <w:rsid w:val="00922ECB"/>
    <w:rsid w:val="00922F28"/>
    <w:rsid w:val="00922F39"/>
    <w:rsid w:val="0092301F"/>
    <w:rsid w:val="009230DE"/>
    <w:rsid w:val="00923115"/>
    <w:rsid w:val="00923292"/>
    <w:rsid w:val="00923397"/>
    <w:rsid w:val="009233A5"/>
    <w:rsid w:val="00923447"/>
    <w:rsid w:val="009234B6"/>
    <w:rsid w:val="009234DA"/>
    <w:rsid w:val="00923509"/>
    <w:rsid w:val="009235C9"/>
    <w:rsid w:val="00923649"/>
    <w:rsid w:val="00923840"/>
    <w:rsid w:val="009239E2"/>
    <w:rsid w:val="00923AB3"/>
    <w:rsid w:val="00923B16"/>
    <w:rsid w:val="00923DD5"/>
    <w:rsid w:val="00923E6A"/>
    <w:rsid w:val="00923F67"/>
    <w:rsid w:val="00924010"/>
    <w:rsid w:val="00924116"/>
    <w:rsid w:val="009241A6"/>
    <w:rsid w:val="009241C1"/>
    <w:rsid w:val="009241FC"/>
    <w:rsid w:val="009243B1"/>
    <w:rsid w:val="009243E8"/>
    <w:rsid w:val="0092441A"/>
    <w:rsid w:val="0092446F"/>
    <w:rsid w:val="009244A3"/>
    <w:rsid w:val="00924552"/>
    <w:rsid w:val="009247EC"/>
    <w:rsid w:val="0092480A"/>
    <w:rsid w:val="00924823"/>
    <w:rsid w:val="00924887"/>
    <w:rsid w:val="0092491C"/>
    <w:rsid w:val="00924A42"/>
    <w:rsid w:val="00924A69"/>
    <w:rsid w:val="00924B67"/>
    <w:rsid w:val="00924CCB"/>
    <w:rsid w:val="00924D45"/>
    <w:rsid w:val="00924DBA"/>
    <w:rsid w:val="00924DEF"/>
    <w:rsid w:val="00924E7A"/>
    <w:rsid w:val="00924F2F"/>
    <w:rsid w:val="00924F89"/>
    <w:rsid w:val="0092508C"/>
    <w:rsid w:val="00925103"/>
    <w:rsid w:val="00925162"/>
    <w:rsid w:val="0092521D"/>
    <w:rsid w:val="009254BD"/>
    <w:rsid w:val="00925590"/>
    <w:rsid w:val="009255A7"/>
    <w:rsid w:val="009255AE"/>
    <w:rsid w:val="009255E0"/>
    <w:rsid w:val="009256D9"/>
    <w:rsid w:val="00925708"/>
    <w:rsid w:val="00925769"/>
    <w:rsid w:val="009257BB"/>
    <w:rsid w:val="009258B6"/>
    <w:rsid w:val="009259B6"/>
    <w:rsid w:val="00925A95"/>
    <w:rsid w:val="00925AD5"/>
    <w:rsid w:val="00925ADF"/>
    <w:rsid w:val="00925B84"/>
    <w:rsid w:val="00925CDD"/>
    <w:rsid w:val="00925CE0"/>
    <w:rsid w:val="00925D3A"/>
    <w:rsid w:val="00925E65"/>
    <w:rsid w:val="00925E84"/>
    <w:rsid w:val="00925F11"/>
    <w:rsid w:val="00926049"/>
    <w:rsid w:val="009260C0"/>
    <w:rsid w:val="009261A8"/>
    <w:rsid w:val="009262AA"/>
    <w:rsid w:val="009262FC"/>
    <w:rsid w:val="00926367"/>
    <w:rsid w:val="009263FE"/>
    <w:rsid w:val="00926412"/>
    <w:rsid w:val="009264E3"/>
    <w:rsid w:val="00926550"/>
    <w:rsid w:val="00926559"/>
    <w:rsid w:val="009265B9"/>
    <w:rsid w:val="00926611"/>
    <w:rsid w:val="00926619"/>
    <w:rsid w:val="00926629"/>
    <w:rsid w:val="009267B7"/>
    <w:rsid w:val="0092685C"/>
    <w:rsid w:val="0092693C"/>
    <w:rsid w:val="00926995"/>
    <w:rsid w:val="009269CB"/>
    <w:rsid w:val="00926A6C"/>
    <w:rsid w:val="00926A89"/>
    <w:rsid w:val="00926B23"/>
    <w:rsid w:val="00926BF7"/>
    <w:rsid w:val="00926D0B"/>
    <w:rsid w:val="00926D44"/>
    <w:rsid w:val="00926DD7"/>
    <w:rsid w:val="00926DDE"/>
    <w:rsid w:val="00926E76"/>
    <w:rsid w:val="00926F03"/>
    <w:rsid w:val="00927095"/>
    <w:rsid w:val="009270DD"/>
    <w:rsid w:val="0092711C"/>
    <w:rsid w:val="00927125"/>
    <w:rsid w:val="0092712D"/>
    <w:rsid w:val="0092727E"/>
    <w:rsid w:val="009273D9"/>
    <w:rsid w:val="0092740A"/>
    <w:rsid w:val="00927498"/>
    <w:rsid w:val="0092764B"/>
    <w:rsid w:val="009276D2"/>
    <w:rsid w:val="009276E5"/>
    <w:rsid w:val="009277C3"/>
    <w:rsid w:val="00927843"/>
    <w:rsid w:val="009278A1"/>
    <w:rsid w:val="009279E6"/>
    <w:rsid w:val="00927C1B"/>
    <w:rsid w:val="00927C1D"/>
    <w:rsid w:val="00927C52"/>
    <w:rsid w:val="00927D0F"/>
    <w:rsid w:val="00927E45"/>
    <w:rsid w:val="00927E8C"/>
    <w:rsid w:val="00927EEB"/>
    <w:rsid w:val="00927F65"/>
    <w:rsid w:val="00927FFE"/>
    <w:rsid w:val="0093003E"/>
    <w:rsid w:val="00930079"/>
    <w:rsid w:val="009300D7"/>
    <w:rsid w:val="00930102"/>
    <w:rsid w:val="0093013A"/>
    <w:rsid w:val="00930255"/>
    <w:rsid w:val="00930346"/>
    <w:rsid w:val="009305AD"/>
    <w:rsid w:val="009305D9"/>
    <w:rsid w:val="009305E0"/>
    <w:rsid w:val="009307FD"/>
    <w:rsid w:val="00930806"/>
    <w:rsid w:val="00930856"/>
    <w:rsid w:val="00930861"/>
    <w:rsid w:val="009308AB"/>
    <w:rsid w:val="009309F9"/>
    <w:rsid w:val="00930B36"/>
    <w:rsid w:val="00930BCC"/>
    <w:rsid w:val="00930C3C"/>
    <w:rsid w:val="00930CA1"/>
    <w:rsid w:val="00930E01"/>
    <w:rsid w:val="00930E6E"/>
    <w:rsid w:val="00930F55"/>
    <w:rsid w:val="00930FC3"/>
    <w:rsid w:val="00931065"/>
    <w:rsid w:val="009310BA"/>
    <w:rsid w:val="009310E5"/>
    <w:rsid w:val="009310E7"/>
    <w:rsid w:val="009310FA"/>
    <w:rsid w:val="0093111E"/>
    <w:rsid w:val="00931132"/>
    <w:rsid w:val="009311C9"/>
    <w:rsid w:val="00931290"/>
    <w:rsid w:val="009313A8"/>
    <w:rsid w:val="009313F5"/>
    <w:rsid w:val="00931648"/>
    <w:rsid w:val="00931679"/>
    <w:rsid w:val="00931697"/>
    <w:rsid w:val="009316AC"/>
    <w:rsid w:val="009316F7"/>
    <w:rsid w:val="0093173C"/>
    <w:rsid w:val="0093174E"/>
    <w:rsid w:val="00931805"/>
    <w:rsid w:val="00931815"/>
    <w:rsid w:val="009318D8"/>
    <w:rsid w:val="009318ED"/>
    <w:rsid w:val="00931912"/>
    <w:rsid w:val="00931936"/>
    <w:rsid w:val="0093197E"/>
    <w:rsid w:val="00931A28"/>
    <w:rsid w:val="00931A6A"/>
    <w:rsid w:val="00931A6B"/>
    <w:rsid w:val="00931B35"/>
    <w:rsid w:val="00931B74"/>
    <w:rsid w:val="00931CDC"/>
    <w:rsid w:val="00931D6F"/>
    <w:rsid w:val="00931D86"/>
    <w:rsid w:val="00931E04"/>
    <w:rsid w:val="00931E36"/>
    <w:rsid w:val="00931F5D"/>
    <w:rsid w:val="00931FA0"/>
    <w:rsid w:val="00931FDA"/>
    <w:rsid w:val="00931FFE"/>
    <w:rsid w:val="00932056"/>
    <w:rsid w:val="0093205D"/>
    <w:rsid w:val="009320FB"/>
    <w:rsid w:val="0093214A"/>
    <w:rsid w:val="009321EB"/>
    <w:rsid w:val="0093223E"/>
    <w:rsid w:val="0093224F"/>
    <w:rsid w:val="0093259E"/>
    <w:rsid w:val="00932639"/>
    <w:rsid w:val="009327FD"/>
    <w:rsid w:val="009328D1"/>
    <w:rsid w:val="00932A96"/>
    <w:rsid w:val="00932B8C"/>
    <w:rsid w:val="00932E55"/>
    <w:rsid w:val="00932E5B"/>
    <w:rsid w:val="00932FDE"/>
    <w:rsid w:val="0093310F"/>
    <w:rsid w:val="00933152"/>
    <w:rsid w:val="009331E1"/>
    <w:rsid w:val="00933230"/>
    <w:rsid w:val="00933274"/>
    <w:rsid w:val="009332AA"/>
    <w:rsid w:val="009332CE"/>
    <w:rsid w:val="00933308"/>
    <w:rsid w:val="00933439"/>
    <w:rsid w:val="009334AD"/>
    <w:rsid w:val="00933738"/>
    <w:rsid w:val="00933830"/>
    <w:rsid w:val="00933850"/>
    <w:rsid w:val="0093388C"/>
    <w:rsid w:val="00933AF2"/>
    <w:rsid w:val="00933BA2"/>
    <w:rsid w:val="00933D3E"/>
    <w:rsid w:val="00933E26"/>
    <w:rsid w:val="00933F79"/>
    <w:rsid w:val="00933FA7"/>
    <w:rsid w:val="00934038"/>
    <w:rsid w:val="0093415C"/>
    <w:rsid w:val="0093419E"/>
    <w:rsid w:val="0093423A"/>
    <w:rsid w:val="009342A9"/>
    <w:rsid w:val="00934328"/>
    <w:rsid w:val="0093433E"/>
    <w:rsid w:val="0093436C"/>
    <w:rsid w:val="00934386"/>
    <w:rsid w:val="009343F3"/>
    <w:rsid w:val="009345DD"/>
    <w:rsid w:val="00934638"/>
    <w:rsid w:val="00934769"/>
    <w:rsid w:val="009347FF"/>
    <w:rsid w:val="0093487C"/>
    <w:rsid w:val="00934931"/>
    <w:rsid w:val="00934988"/>
    <w:rsid w:val="00934D34"/>
    <w:rsid w:val="00934D79"/>
    <w:rsid w:val="00934E8D"/>
    <w:rsid w:val="00934E90"/>
    <w:rsid w:val="00934ED3"/>
    <w:rsid w:val="00934EFF"/>
    <w:rsid w:val="00934F13"/>
    <w:rsid w:val="00935014"/>
    <w:rsid w:val="0093501F"/>
    <w:rsid w:val="00935076"/>
    <w:rsid w:val="00935143"/>
    <w:rsid w:val="00935174"/>
    <w:rsid w:val="00935391"/>
    <w:rsid w:val="0093544A"/>
    <w:rsid w:val="00935464"/>
    <w:rsid w:val="009354DB"/>
    <w:rsid w:val="00935550"/>
    <w:rsid w:val="009355C6"/>
    <w:rsid w:val="009356D6"/>
    <w:rsid w:val="00935716"/>
    <w:rsid w:val="0093579E"/>
    <w:rsid w:val="0093598C"/>
    <w:rsid w:val="00935A1C"/>
    <w:rsid w:val="00935AC9"/>
    <w:rsid w:val="00935B15"/>
    <w:rsid w:val="00935B3C"/>
    <w:rsid w:val="00935C14"/>
    <w:rsid w:val="00935CA2"/>
    <w:rsid w:val="00935CA7"/>
    <w:rsid w:val="00935D12"/>
    <w:rsid w:val="00935EBA"/>
    <w:rsid w:val="00935F6D"/>
    <w:rsid w:val="00935FE9"/>
    <w:rsid w:val="0093606D"/>
    <w:rsid w:val="00936117"/>
    <w:rsid w:val="0093611A"/>
    <w:rsid w:val="00936156"/>
    <w:rsid w:val="00936216"/>
    <w:rsid w:val="00936227"/>
    <w:rsid w:val="00936292"/>
    <w:rsid w:val="00936298"/>
    <w:rsid w:val="009362C0"/>
    <w:rsid w:val="009363DA"/>
    <w:rsid w:val="00936401"/>
    <w:rsid w:val="00936552"/>
    <w:rsid w:val="00936633"/>
    <w:rsid w:val="0093664F"/>
    <w:rsid w:val="009366EB"/>
    <w:rsid w:val="00936745"/>
    <w:rsid w:val="0093683F"/>
    <w:rsid w:val="00936883"/>
    <w:rsid w:val="00936B52"/>
    <w:rsid w:val="00936C5C"/>
    <w:rsid w:val="00936F1A"/>
    <w:rsid w:val="00936F22"/>
    <w:rsid w:val="00936F2B"/>
    <w:rsid w:val="00936F30"/>
    <w:rsid w:val="0093717D"/>
    <w:rsid w:val="0093717F"/>
    <w:rsid w:val="009372FF"/>
    <w:rsid w:val="0093736E"/>
    <w:rsid w:val="00937389"/>
    <w:rsid w:val="00937406"/>
    <w:rsid w:val="00937428"/>
    <w:rsid w:val="0093753E"/>
    <w:rsid w:val="00937540"/>
    <w:rsid w:val="0093759F"/>
    <w:rsid w:val="00937636"/>
    <w:rsid w:val="0093768A"/>
    <w:rsid w:val="00937709"/>
    <w:rsid w:val="009379CE"/>
    <w:rsid w:val="009379D3"/>
    <w:rsid w:val="00937A62"/>
    <w:rsid w:val="00937AB0"/>
    <w:rsid w:val="00937B0A"/>
    <w:rsid w:val="00937B20"/>
    <w:rsid w:val="00937B78"/>
    <w:rsid w:val="00937B90"/>
    <w:rsid w:val="00937CA4"/>
    <w:rsid w:val="00937D2A"/>
    <w:rsid w:val="00937D3F"/>
    <w:rsid w:val="00937D55"/>
    <w:rsid w:val="00937D74"/>
    <w:rsid w:val="00937D78"/>
    <w:rsid w:val="00937E5D"/>
    <w:rsid w:val="00937F41"/>
    <w:rsid w:val="00937FC9"/>
    <w:rsid w:val="00940001"/>
    <w:rsid w:val="009400F7"/>
    <w:rsid w:val="0094010B"/>
    <w:rsid w:val="00940123"/>
    <w:rsid w:val="00940161"/>
    <w:rsid w:val="00940189"/>
    <w:rsid w:val="009401B1"/>
    <w:rsid w:val="00940267"/>
    <w:rsid w:val="009402B7"/>
    <w:rsid w:val="00940322"/>
    <w:rsid w:val="00940341"/>
    <w:rsid w:val="00940358"/>
    <w:rsid w:val="00940369"/>
    <w:rsid w:val="009404E3"/>
    <w:rsid w:val="009404F5"/>
    <w:rsid w:val="0094063B"/>
    <w:rsid w:val="009406D4"/>
    <w:rsid w:val="00940710"/>
    <w:rsid w:val="00940798"/>
    <w:rsid w:val="009407C7"/>
    <w:rsid w:val="00940889"/>
    <w:rsid w:val="00940906"/>
    <w:rsid w:val="0094099C"/>
    <w:rsid w:val="009409F7"/>
    <w:rsid w:val="00940BA9"/>
    <w:rsid w:val="00940BE5"/>
    <w:rsid w:val="00940C95"/>
    <w:rsid w:val="00940DD8"/>
    <w:rsid w:val="00940E50"/>
    <w:rsid w:val="00940F10"/>
    <w:rsid w:val="00940FEC"/>
    <w:rsid w:val="0094106A"/>
    <w:rsid w:val="009412BE"/>
    <w:rsid w:val="0094136B"/>
    <w:rsid w:val="00941390"/>
    <w:rsid w:val="0094146D"/>
    <w:rsid w:val="0094152B"/>
    <w:rsid w:val="00941596"/>
    <w:rsid w:val="0094164C"/>
    <w:rsid w:val="0094166E"/>
    <w:rsid w:val="009416EA"/>
    <w:rsid w:val="0094185D"/>
    <w:rsid w:val="009418B8"/>
    <w:rsid w:val="009418E0"/>
    <w:rsid w:val="00941972"/>
    <w:rsid w:val="00941988"/>
    <w:rsid w:val="009419A6"/>
    <w:rsid w:val="009419C7"/>
    <w:rsid w:val="00941A61"/>
    <w:rsid w:val="00941CB3"/>
    <w:rsid w:val="00941CC9"/>
    <w:rsid w:val="00941D80"/>
    <w:rsid w:val="00941DDB"/>
    <w:rsid w:val="00941E21"/>
    <w:rsid w:val="00941EA6"/>
    <w:rsid w:val="00941F8B"/>
    <w:rsid w:val="00941FCF"/>
    <w:rsid w:val="0094202D"/>
    <w:rsid w:val="009420D3"/>
    <w:rsid w:val="00942136"/>
    <w:rsid w:val="0094222D"/>
    <w:rsid w:val="0094224E"/>
    <w:rsid w:val="00942308"/>
    <w:rsid w:val="0094243D"/>
    <w:rsid w:val="009425A4"/>
    <w:rsid w:val="009427BA"/>
    <w:rsid w:val="009427C2"/>
    <w:rsid w:val="00942820"/>
    <w:rsid w:val="0094282E"/>
    <w:rsid w:val="009428F3"/>
    <w:rsid w:val="00942935"/>
    <w:rsid w:val="00942984"/>
    <w:rsid w:val="009429A1"/>
    <w:rsid w:val="009429DB"/>
    <w:rsid w:val="00942A0B"/>
    <w:rsid w:val="00942A66"/>
    <w:rsid w:val="00942A78"/>
    <w:rsid w:val="00942A95"/>
    <w:rsid w:val="00942AEA"/>
    <w:rsid w:val="00942B48"/>
    <w:rsid w:val="00942B83"/>
    <w:rsid w:val="00942C5E"/>
    <w:rsid w:val="00942CBD"/>
    <w:rsid w:val="00942DE8"/>
    <w:rsid w:val="0094300C"/>
    <w:rsid w:val="00943058"/>
    <w:rsid w:val="00943186"/>
    <w:rsid w:val="009434E3"/>
    <w:rsid w:val="0094353B"/>
    <w:rsid w:val="009435C5"/>
    <w:rsid w:val="00943675"/>
    <w:rsid w:val="0094372D"/>
    <w:rsid w:val="009437F7"/>
    <w:rsid w:val="009438E2"/>
    <w:rsid w:val="009439E1"/>
    <w:rsid w:val="00943A07"/>
    <w:rsid w:val="00943B3E"/>
    <w:rsid w:val="00943C3F"/>
    <w:rsid w:val="00943C5E"/>
    <w:rsid w:val="00943C79"/>
    <w:rsid w:val="00943CCA"/>
    <w:rsid w:val="00943D21"/>
    <w:rsid w:val="00943E66"/>
    <w:rsid w:val="00943EB1"/>
    <w:rsid w:val="00943FEE"/>
    <w:rsid w:val="00944137"/>
    <w:rsid w:val="009441E9"/>
    <w:rsid w:val="009444E8"/>
    <w:rsid w:val="00944530"/>
    <w:rsid w:val="0094457C"/>
    <w:rsid w:val="00944594"/>
    <w:rsid w:val="00944638"/>
    <w:rsid w:val="009446C6"/>
    <w:rsid w:val="00944866"/>
    <w:rsid w:val="00944AAE"/>
    <w:rsid w:val="00944B6F"/>
    <w:rsid w:val="00944C4A"/>
    <w:rsid w:val="00944C77"/>
    <w:rsid w:val="00944C9B"/>
    <w:rsid w:val="00944DC4"/>
    <w:rsid w:val="00944EFD"/>
    <w:rsid w:val="00945148"/>
    <w:rsid w:val="0094514F"/>
    <w:rsid w:val="00945151"/>
    <w:rsid w:val="009451A7"/>
    <w:rsid w:val="00945222"/>
    <w:rsid w:val="009452D6"/>
    <w:rsid w:val="009453A8"/>
    <w:rsid w:val="009453FB"/>
    <w:rsid w:val="009454EE"/>
    <w:rsid w:val="00945541"/>
    <w:rsid w:val="009455AB"/>
    <w:rsid w:val="009455C8"/>
    <w:rsid w:val="009456EE"/>
    <w:rsid w:val="0094575F"/>
    <w:rsid w:val="009457D5"/>
    <w:rsid w:val="009459E9"/>
    <w:rsid w:val="00945A5E"/>
    <w:rsid w:val="00945AC0"/>
    <w:rsid w:val="00945AE8"/>
    <w:rsid w:val="00945B24"/>
    <w:rsid w:val="00945B66"/>
    <w:rsid w:val="00945B91"/>
    <w:rsid w:val="00945C5A"/>
    <w:rsid w:val="00945D92"/>
    <w:rsid w:val="00945DCB"/>
    <w:rsid w:val="00945EAB"/>
    <w:rsid w:val="00945F1B"/>
    <w:rsid w:val="00945FAC"/>
    <w:rsid w:val="009460BD"/>
    <w:rsid w:val="009463DB"/>
    <w:rsid w:val="00946421"/>
    <w:rsid w:val="00946451"/>
    <w:rsid w:val="009465EC"/>
    <w:rsid w:val="00946684"/>
    <w:rsid w:val="009466C1"/>
    <w:rsid w:val="00946716"/>
    <w:rsid w:val="00946815"/>
    <w:rsid w:val="009468CB"/>
    <w:rsid w:val="00946938"/>
    <w:rsid w:val="00946B3C"/>
    <w:rsid w:val="00946C25"/>
    <w:rsid w:val="00946CA8"/>
    <w:rsid w:val="00946D40"/>
    <w:rsid w:val="00946D8D"/>
    <w:rsid w:val="00946F91"/>
    <w:rsid w:val="00946FDC"/>
    <w:rsid w:val="00947140"/>
    <w:rsid w:val="009471F9"/>
    <w:rsid w:val="00947450"/>
    <w:rsid w:val="00947466"/>
    <w:rsid w:val="00947467"/>
    <w:rsid w:val="0094761A"/>
    <w:rsid w:val="0094778F"/>
    <w:rsid w:val="00947888"/>
    <w:rsid w:val="009478E6"/>
    <w:rsid w:val="0094790E"/>
    <w:rsid w:val="00947A21"/>
    <w:rsid w:val="00947B3A"/>
    <w:rsid w:val="00947B80"/>
    <w:rsid w:val="00947BDF"/>
    <w:rsid w:val="00947CAE"/>
    <w:rsid w:val="00947DC8"/>
    <w:rsid w:val="00947ED6"/>
    <w:rsid w:val="00947EF2"/>
    <w:rsid w:val="00947FBC"/>
    <w:rsid w:val="009500B2"/>
    <w:rsid w:val="00950153"/>
    <w:rsid w:val="00950161"/>
    <w:rsid w:val="00950203"/>
    <w:rsid w:val="00950217"/>
    <w:rsid w:val="00950278"/>
    <w:rsid w:val="009502C2"/>
    <w:rsid w:val="009502F1"/>
    <w:rsid w:val="00950410"/>
    <w:rsid w:val="0095048A"/>
    <w:rsid w:val="00950496"/>
    <w:rsid w:val="009505F7"/>
    <w:rsid w:val="0095061B"/>
    <w:rsid w:val="0095061C"/>
    <w:rsid w:val="009506E7"/>
    <w:rsid w:val="00950770"/>
    <w:rsid w:val="0095095A"/>
    <w:rsid w:val="009509DB"/>
    <w:rsid w:val="00950A4D"/>
    <w:rsid w:val="00950B7E"/>
    <w:rsid w:val="00950C01"/>
    <w:rsid w:val="00950DED"/>
    <w:rsid w:val="00950DFF"/>
    <w:rsid w:val="00950E7C"/>
    <w:rsid w:val="00951235"/>
    <w:rsid w:val="00951361"/>
    <w:rsid w:val="009513B4"/>
    <w:rsid w:val="009513ED"/>
    <w:rsid w:val="00951488"/>
    <w:rsid w:val="009514EF"/>
    <w:rsid w:val="009516E6"/>
    <w:rsid w:val="00951800"/>
    <w:rsid w:val="00951851"/>
    <w:rsid w:val="0095187E"/>
    <w:rsid w:val="00951BFA"/>
    <w:rsid w:val="00951D39"/>
    <w:rsid w:val="00951D6F"/>
    <w:rsid w:val="00951E49"/>
    <w:rsid w:val="00951E60"/>
    <w:rsid w:val="00951EC4"/>
    <w:rsid w:val="00951EEF"/>
    <w:rsid w:val="00951F57"/>
    <w:rsid w:val="00951F5A"/>
    <w:rsid w:val="00951F5D"/>
    <w:rsid w:val="00951FE5"/>
    <w:rsid w:val="0095214D"/>
    <w:rsid w:val="00952210"/>
    <w:rsid w:val="009522DD"/>
    <w:rsid w:val="00952348"/>
    <w:rsid w:val="00952357"/>
    <w:rsid w:val="00952371"/>
    <w:rsid w:val="009523C7"/>
    <w:rsid w:val="00952450"/>
    <w:rsid w:val="009524ED"/>
    <w:rsid w:val="00952504"/>
    <w:rsid w:val="00952630"/>
    <w:rsid w:val="00952639"/>
    <w:rsid w:val="0095263B"/>
    <w:rsid w:val="00952668"/>
    <w:rsid w:val="00952764"/>
    <w:rsid w:val="009529B4"/>
    <w:rsid w:val="00952A5A"/>
    <w:rsid w:val="00952A74"/>
    <w:rsid w:val="00952B98"/>
    <w:rsid w:val="00952BB3"/>
    <w:rsid w:val="00952BEF"/>
    <w:rsid w:val="00952C42"/>
    <w:rsid w:val="00952CFD"/>
    <w:rsid w:val="00952D26"/>
    <w:rsid w:val="00953057"/>
    <w:rsid w:val="00953064"/>
    <w:rsid w:val="0095308D"/>
    <w:rsid w:val="009530AC"/>
    <w:rsid w:val="0095329C"/>
    <w:rsid w:val="009532C4"/>
    <w:rsid w:val="009532E8"/>
    <w:rsid w:val="00953388"/>
    <w:rsid w:val="009533C3"/>
    <w:rsid w:val="009535CA"/>
    <w:rsid w:val="009535D7"/>
    <w:rsid w:val="00953629"/>
    <w:rsid w:val="00953634"/>
    <w:rsid w:val="009536D9"/>
    <w:rsid w:val="00953723"/>
    <w:rsid w:val="00953795"/>
    <w:rsid w:val="009537BA"/>
    <w:rsid w:val="009537F6"/>
    <w:rsid w:val="0095386A"/>
    <w:rsid w:val="009538AE"/>
    <w:rsid w:val="0095393D"/>
    <w:rsid w:val="00953B11"/>
    <w:rsid w:val="00953B83"/>
    <w:rsid w:val="00953BB3"/>
    <w:rsid w:val="00953C68"/>
    <w:rsid w:val="00953CBF"/>
    <w:rsid w:val="00953D3E"/>
    <w:rsid w:val="00953D5D"/>
    <w:rsid w:val="00953D9F"/>
    <w:rsid w:val="00953DA7"/>
    <w:rsid w:val="00953E0F"/>
    <w:rsid w:val="00953EE0"/>
    <w:rsid w:val="00953FF5"/>
    <w:rsid w:val="00954076"/>
    <w:rsid w:val="009541E5"/>
    <w:rsid w:val="00954315"/>
    <w:rsid w:val="0095442F"/>
    <w:rsid w:val="009544C5"/>
    <w:rsid w:val="0095468B"/>
    <w:rsid w:val="009546DB"/>
    <w:rsid w:val="00954730"/>
    <w:rsid w:val="00954748"/>
    <w:rsid w:val="0095475E"/>
    <w:rsid w:val="00954763"/>
    <w:rsid w:val="00954804"/>
    <w:rsid w:val="0095480A"/>
    <w:rsid w:val="00954874"/>
    <w:rsid w:val="00954A79"/>
    <w:rsid w:val="00954AA9"/>
    <w:rsid w:val="00954B8A"/>
    <w:rsid w:val="00954B8B"/>
    <w:rsid w:val="00954BA5"/>
    <w:rsid w:val="00954C13"/>
    <w:rsid w:val="00954C60"/>
    <w:rsid w:val="00954DDF"/>
    <w:rsid w:val="00955071"/>
    <w:rsid w:val="009550A2"/>
    <w:rsid w:val="0095522A"/>
    <w:rsid w:val="009554BB"/>
    <w:rsid w:val="009554F3"/>
    <w:rsid w:val="009555F1"/>
    <w:rsid w:val="0095569F"/>
    <w:rsid w:val="009556AC"/>
    <w:rsid w:val="0095572D"/>
    <w:rsid w:val="009557F0"/>
    <w:rsid w:val="0095580B"/>
    <w:rsid w:val="009558CB"/>
    <w:rsid w:val="00955916"/>
    <w:rsid w:val="00955A10"/>
    <w:rsid w:val="00955A46"/>
    <w:rsid w:val="00955B07"/>
    <w:rsid w:val="00955B32"/>
    <w:rsid w:val="00955BB6"/>
    <w:rsid w:val="00955CA6"/>
    <w:rsid w:val="00955D31"/>
    <w:rsid w:val="00955DB5"/>
    <w:rsid w:val="00955E09"/>
    <w:rsid w:val="00955F3D"/>
    <w:rsid w:val="00955F59"/>
    <w:rsid w:val="0095605E"/>
    <w:rsid w:val="0095614E"/>
    <w:rsid w:val="00956264"/>
    <w:rsid w:val="00956273"/>
    <w:rsid w:val="009562AE"/>
    <w:rsid w:val="009564C5"/>
    <w:rsid w:val="009564CC"/>
    <w:rsid w:val="0095657F"/>
    <w:rsid w:val="009565BB"/>
    <w:rsid w:val="009565ED"/>
    <w:rsid w:val="009566CF"/>
    <w:rsid w:val="00956802"/>
    <w:rsid w:val="00956871"/>
    <w:rsid w:val="009568AC"/>
    <w:rsid w:val="009568DD"/>
    <w:rsid w:val="009569FE"/>
    <w:rsid w:val="00956A20"/>
    <w:rsid w:val="00956A78"/>
    <w:rsid w:val="00956A90"/>
    <w:rsid w:val="00956B68"/>
    <w:rsid w:val="00956B7E"/>
    <w:rsid w:val="00956BD0"/>
    <w:rsid w:val="00956D55"/>
    <w:rsid w:val="00956E1F"/>
    <w:rsid w:val="00956E2A"/>
    <w:rsid w:val="00956E97"/>
    <w:rsid w:val="00956EC9"/>
    <w:rsid w:val="00956EDE"/>
    <w:rsid w:val="00956F92"/>
    <w:rsid w:val="00957015"/>
    <w:rsid w:val="0095702A"/>
    <w:rsid w:val="00957119"/>
    <w:rsid w:val="00957130"/>
    <w:rsid w:val="0095717F"/>
    <w:rsid w:val="009571A6"/>
    <w:rsid w:val="00957232"/>
    <w:rsid w:val="0095723A"/>
    <w:rsid w:val="009572DC"/>
    <w:rsid w:val="00957506"/>
    <w:rsid w:val="00957514"/>
    <w:rsid w:val="00957534"/>
    <w:rsid w:val="00957654"/>
    <w:rsid w:val="009576FA"/>
    <w:rsid w:val="009577A9"/>
    <w:rsid w:val="009577E8"/>
    <w:rsid w:val="009579EE"/>
    <w:rsid w:val="009579F9"/>
    <w:rsid w:val="009579FB"/>
    <w:rsid w:val="00957A3B"/>
    <w:rsid w:val="00957A48"/>
    <w:rsid w:val="00957A68"/>
    <w:rsid w:val="00957ABD"/>
    <w:rsid w:val="00957AD6"/>
    <w:rsid w:val="00957CAE"/>
    <w:rsid w:val="00957D4F"/>
    <w:rsid w:val="00957E9F"/>
    <w:rsid w:val="00957F11"/>
    <w:rsid w:val="00957FB4"/>
    <w:rsid w:val="00960078"/>
    <w:rsid w:val="0096009D"/>
    <w:rsid w:val="009600D0"/>
    <w:rsid w:val="0096010C"/>
    <w:rsid w:val="0096019F"/>
    <w:rsid w:val="009601BB"/>
    <w:rsid w:val="009601D4"/>
    <w:rsid w:val="009602C0"/>
    <w:rsid w:val="009603C2"/>
    <w:rsid w:val="0096055B"/>
    <w:rsid w:val="009605DB"/>
    <w:rsid w:val="00960604"/>
    <w:rsid w:val="0096076E"/>
    <w:rsid w:val="009607AF"/>
    <w:rsid w:val="00960908"/>
    <w:rsid w:val="009609CA"/>
    <w:rsid w:val="009609DE"/>
    <w:rsid w:val="00960A93"/>
    <w:rsid w:val="00960ABD"/>
    <w:rsid w:val="00960B59"/>
    <w:rsid w:val="00960C0E"/>
    <w:rsid w:val="00960C8D"/>
    <w:rsid w:val="00960CEA"/>
    <w:rsid w:val="00960EB0"/>
    <w:rsid w:val="00960EED"/>
    <w:rsid w:val="00960EF2"/>
    <w:rsid w:val="00960F0F"/>
    <w:rsid w:val="00960F55"/>
    <w:rsid w:val="00960F64"/>
    <w:rsid w:val="00960FE9"/>
    <w:rsid w:val="00961026"/>
    <w:rsid w:val="00961139"/>
    <w:rsid w:val="009611C0"/>
    <w:rsid w:val="009611EF"/>
    <w:rsid w:val="009613B2"/>
    <w:rsid w:val="0096142C"/>
    <w:rsid w:val="009614AA"/>
    <w:rsid w:val="009614C0"/>
    <w:rsid w:val="00961554"/>
    <w:rsid w:val="009615BD"/>
    <w:rsid w:val="009616E9"/>
    <w:rsid w:val="00961703"/>
    <w:rsid w:val="00961936"/>
    <w:rsid w:val="00961937"/>
    <w:rsid w:val="00961957"/>
    <w:rsid w:val="00961B18"/>
    <w:rsid w:val="00961B8D"/>
    <w:rsid w:val="00961C38"/>
    <w:rsid w:val="00961C7D"/>
    <w:rsid w:val="00961EC8"/>
    <w:rsid w:val="00961F06"/>
    <w:rsid w:val="00961F1E"/>
    <w:rsid w:val="009620DC"/>
    <w:rsid w:val="0096213B"/>
    <w:rsid w:val="0096216F"/>
    <w:rsid w:val="009621F2"/>
    <w:rsid w:val="0096226D"/>
    <w:rsid w:val="009622A1"/>
    <w:rsid w:val="00962308"/>
    <w:rsid w:val="00962417"/>
    <w:rsid w:val="00962421"/>
    <w:rsid w:val="00962464"/>
    <w:rsid w:val="00962488"/>
    <w:rsid w:val="009624BD"/>
    <w:rsid w:val="00962542"/>
    <w:rsid w:val="0096289D"/>
    <w:rsid w:val="0096295D"/>
    <w:rsid w:val="0096297C"/>
    <w:rsid w:val="00962A6A"/>
    <w:rsid w:val="00962B24"/>
    <w:rsid w:val="00962B2D"/>
    <w:rsid w:val="00962B3C"/>
    <w:rsid w:val="00962BA4"/>
    <w:rsid w:val="00962BDC"/>
    <w:rsid w:val="00963008"/>
    <w:rsid w:val="00963026"/>
    <w:rsid w:val="0096315E"/>
    <w:rsid w:val="00963197"/>
    <w:rsid w:val="009633DE"/>
    <w:rsid w:val="00963497"/>
    <w:rsid w:val="009634D8"/>
    <w:rsid w:val="009634FE"/>
    <w:rsid w:val="009635D1"/>
    <w:rsid w:val="0096364D"/>
    <w:rsid w:val="0096365C"/>
    <w:rsid w:val="0096376F"/>
    <w:rsid w:val="00963773"/>
    <w:rsid w:val="00963837"/>
    <w:rsid w:val="0096385D"/>
    <w:rsid w:val="009638D5"/>
    <w:rsid w:val="00963902"/>
    <w:rsid w:val="009639D1"/>
    <w:rsid w:val="00963A32"/>
    <w:rsid w:val="00963A5E"/>
    <w:rsid w:val="00963B12"/>
    <w:rsid w:val="00963B48"/>
    <w:rsid w:val="00963D61"/>
    <w:rsid w:val="00963ED4"/>
    <w:rsid w:val="00963F0D"/>
    <w:rsid w:val="00963FE1"/>
    <w:rsid w:val="00964007"/>
    <w:rsid w:val="0096402B"/>
    <w:rsid w:val="00964095"/>
    <w:rsid w:val="009640CC"/>
    <w:rsid w:val="009640F4"/>
    <w:rsid w:val="00964220"/>
    <w:rsid w:val="00964278"/>
    <w:rsid w:val="009642B9"/>
    <w:rsid w:val="009643CC"/>
    <w:rsid w:val="00964429"/>
    <w:rsid w:val="00964437"/>
    <w:rsid w:val="0096443D"/>
    <w:rsid w:val="0096450D"/>
    <w:rsid w:val="0096452D"/>
    <w:rsid w:val="00964785"/>
    <w:rsid w:val="009647BB"/>
    <w:rsid w:val="009647C5"/>
    <w:rsid w:val="00964928"/>
    <w:rsid w:val="00964AD8"/>
    <w:rsid w:val="00964B44"/>
    <w:rsid w:val="00964B8A"/>
    <w:rsid w:val="00964B8F"/>
    <w:rsid w:val="00964BB5"/>
    <w:rsid w:val="00964BEC"/>
    <w:rsid w:val="00964DE5"/>
    <w:rsid w:val="00964E30"/>
    <w:rsid w:val="0096505B"/>
    <w:rsid w:val="00965135"/>
    <w:rsid w:val="00965142"/>
    <w:rsid w:val="0096519B"/>
    <w:rsid w:val="009651A5"/>
    <w:rsid w:val="00965235"/>
    <w:rsid w:val="009653B2"/>
    <w:rsid w:val="009653F7"/>
    <w:rsid w:val="00965569"/>
    <w:rsid w:val="009655AE"/>
    <w:rsid w:val="0096573C"/>
    <w:rsid w:val="009657EB"/>
    <w:rsid w:val="0096586D"/>
    <w:rsid w:val="00965911"/>
    <w:rsid w:val="009659E5"/>
    <w:rsid w:val="00965A39"/>
    <w:rsid w:val="00965A51"/>
    <w:rsid w:val="00965AAD"/>
    <w:rsid w:val="00965AC5"/>
    <w:rsid w:val="00965B30"/>
    <w:rsid w:val="00965B9F"/>
    <w:rsid w:val="00965BDA"/>
    <w:rsid w:val="00965BF7"/>
    <w:rsid w:val="00965D2B"/>
    <w:rsid w:val="009660E9"/>
    <w:rsid w:val="009661BB"/>
    <w:rsid w:val="00966258"/>
    <w:rsid w:val="009663F8"/>
    <w:rsid w:val="00966425"/>
    <w:rsid w:val="00966520"/>
    <w:rsid w:val="00966562"/>
    <w:rsid w:val="00966587"/>
    <w:rsid w:val="009665C4"/>
    <w:rsid w:val="00966631"/>
    <w:rsid w:val="0096666E"/>
    <w:rsid w:val="00966673"/>
    <w:rsid w:val="00966731"/>
    <w:rsid w:val="00966776"/>
    <w:rsid w:val="00966813"/>
    <w:rsid w:val="009668DF"/>
    <w:rsid w:val="00966B89"/>
    <w:rsid w:val="00966BF4"/>
    <w:rsid w:val="00966C35"/>
    <w:rsid w:val="00966C46"/>
    <w:rsid w:val="00966C8C"/>
    <w:rsid w:val="00966CFF"/>
    <w:rsid w:val="00966D29"/>
    <w:rsid w:val="00966E2D"/>
    <w:rsid w:val="00966ED6"/>
    <w:rsid w:val="00966F4F"/>
    <w:rsid w:val="00967091"/>
    <w:rsid w:val="00967097"/>
    <w:rsid w:val="009670CA"/>
    <w:rsid w:val="0096726A"/>
    <w:rsid w:val="00967280"/>
    <w:rsid w:val="009672B9"/>
    <w:rsid w:val="009672F5"/>
    <w:rsid w:val="00967450"/>
    <w:rsid w:val="009674D3"/>
    <w:rsid w:val="00967572"/>
    <w:rsid w:val="0096757E"/>
    <w:rsid w:val="00967658"/>
    <w:rsid w:val="009676F2"/>
    <w:rsid w:val="009676FF"/>
    <w:rsid w:val="00967779"/>
    <w:rsid w:val="009677E0"/>
    <w:rsid w:val="009678C4"/>
    <w:rsid w:val="00967915"/>
    <w:rsid w:val="0096799F"/>
    <w:rsid w:val="00967A50"/>
    <w:rsid w:val="00967AE3"/>
    <w:rsid w:val="00967B78"/>
    <w:rsid w:val="00967C19"/>
    <w:rsid w:val="00967C48"/>
    <w:rsid w:val="00967D41"/>
    <w:rsid w:val="00967E96"/>
    <w:rsid w:val="00967FCF"/>
    <w:rsid w:val="0097005F"/>
    <w:rsid w:val="0097008C"/>
    <w:rsid w:val="009701A9"/>
    <w:rsid w:val="009701BD"/>
    <w:rsid w:val="0097029F"/>
    <w:rsid w:val="00970315"/>
    <w:rsid w:val="00970347"/>
    <w:rsid w:val="009703DF"/>
    <w:rsid w:val="0097045C"/>
    <w:rsid w:val="009704E8"/>
    <w:rsid w:val="009704EC"/>
    <w:rsid w:val="00970517"/>
    <w:rsid w:val="00970590"/>
    <w:rsid w:val="009705BE"/>
    <w:rsid w:val="0097064C"/>
    <w:rsid w:val="00970668"/>
    <w:rsid w:val="0097073A"/>
    <w:rsid w:val="0097073C"/>
    <w:rsid w:val="0097074B"/>
    <w:rsid w:val="0097083B"/>
    <w:rsid w:val="00970874"/>
    <w:rsid w:val="00970958"/>
    <w:rsid w:val="00970994"/>
    <w:rsid w:val="009709DC"/>
    <w:rsid w:val="00970A8A"/>
    <w:rsid w:val="00970BB7"/>
    <w:rsid w:val="00970BEC"/>
    <w:rsid w:val="00970BF7"/>
    <w:rsid w:val="00970E41"/>
    <w:rsid w:val="00970F01"/>
    <w:rsid w:val="0097107F"/>
    <w:rsid w:val="009710AF"/>
    <w:rsid w:val="009711B7"/>
    <w:rsid w:val="009712BD"/>
    <w:rsid w:val="0097145A"/>
    <w:rsid w:val="0097159D"/>
    <w:rsid w:val="009715BB"/>
    <w:rsid w:val="0097160A"/>
    <w:rsid w:val="009717BC"/>
    <w:rsid w:val="009717FF"/>
    <w:rsid w:val="0097186C"/>
    <w:rsid w:val="00971B89"/>
    <w:rsid w:val="00971BAD"/>
    <w:rsid w:val="00971BDD"/>
    <w:rsid w:val="00971C01"/>
    <w:rsid w:val="00971C63"/>
    <w:rsid w:val="00971D42"/>
    <w:rsid w:val="00971EB5"/>
    <w:rsid w:val="00971F8D"/>
    <w:rsid w:val="0097213B"/>
    <w:rsid w:val="009721E2"/>
    <w:rsid w:val="00972306"/>
    <w:rsid w:val="009723BB"/>
    <w:rsid w:val="009723C1"/>
    <w:rsid w:val="00972486"/>
    <w:rsid w:val="00972515"/>
    <w:rsid w:val="0097256A"/>
    <w:rsid w:val="00972623"/>
    <w:rsid w:val="0097268D"/>
    <w:rsid w:val="00972884"/>
    <w:rsid w:val="009728CF"/>
    <w:rsid w:val="00972968"/>
    <w:rsid w:val="009729A0"/>
    <w:rsid w:val="009729F8"/>
    <w:rsid w:val="00972A44"/>
    <w:rsid w:val="00972ABC"/>
    <w:rsid w:val="00972AC9"/>
    <w:rsid w:val="00972AD4"/>
    <w:rsid w:val="00972BA3"/>
    <w:rsid w:val="00972CB6"/>
    <w:rsid w:val="00972DC0"/>
    <w:rsid w:val="00972DCE"/>
    <w:rsid w:val="00972E03"/>
    <w:rsid w:val="00972E2E"/>
    <w:rsid w:val="00972E6A"/>
    <w:rsid w:val="00972EB8"/>
    <w:rsid w:val="00972FD2"/>
    <w:rsid w:val="0097308B"/>
    <w:rsid w:val="00973252"/>
    <w:rsid w:val="00973264"/>
    <w:rsid w:val="009732ED"/>
    <w:rsid w:val="00973315"/>
    <w:rsid w:val="0097341F"/>
    <w:rsid w:val="00973638"/>
    <w:rsid w:val="0097373A"/>
    <w:rsid w:val="009737EA"/>
    <w:rsid w:val="00973879"/>
    <w:rsid w:val="009738BA"/>
    <w:rsid w:val="00973931"/>
    <w:rsid w:val="00973935"/>
    <w:rsid w:val="00973964"/>
    <w:rsid w:val="009739EC"/>
    <w:rsid w:val="00973A2E"/>
    <w:rsid w:val="00973B90"/>
    <w:rsid w:val="00973CDF"/>
    <w:rsid w:val="00973CE6"/>
    <w:rsid w:val="00973F51"/>
    <w:rsid w:val="00973F68"/>
    <w:rsid w:val="0097411B"/>
    <w:rsid w:val="00974232"/>
    <w:rsid w:val="0097424F"/>
    <w:rsid w:val="00974372"/>
    <w:rsid w:val="00974402"/>
    <w:rsid w:val="0097451F"/>
    <w:rsid w:val="00974590"/>
    <w:rsid w:val="009745D5"/>
    <w:rsid w:val="00974623"/>
    <w:rsid w:val="009747F7"/>
    <w:rsid w:val="0097489E"/>
    <w:rsid w:val="0097492A"/>
    <w:rsid w:val="00974963"/>
    <w:rsid w:val="00974B0E"/>
    <w:rsid w:val="00974B82"/>
    <w:rsid w:val="00974BBF"/>
    <w:rsid w:val="00974BD7"/>
    <w:rsid w:val="00974C10"/>
    <w:rsid w:val="00974D81"/>
    <w:rsid w:val="00974DF1"/>
    <w:rsid w:val="00974E06"/>
    <w:rsid w:val="00974E23"/>
    <w:rsid w:val="00974E6E"/>
    <w:rsid w:val="00974ED6"/>
    <w:rsid w:val="00974F62"/>
    <w:rsid w:val="00975116"/>
    <w:rsid w:val="0097516C"/>
    <w:rsid w:val="0097517F"/>
    <w:rsid w:val="0097531A"/>
    <w:rsid w:val="00975380"/>
    <w:rsid w:val="009753A9"/>
    <w:rsid w:val="00975423"/>
    <w:rsid w:val="00975448"/>
    <w:rsid w:val="0097550B"/>
    <w:rsid w:val="00975588"/>
    <w:rsid w:val="009755DB"/>
    <w:rsid w:val="0097570F"/>
    <w:rsid w:val="00975724"/>
    <w:rsid w:val="00975727"/>
    <w:rsid w:val="0097572C"/>
    <w:rsid w:val="009757C2"/>
    <w:rsid w:val="009757C3"/>
    <w:rsid w:val="00975800"/>
    <w:rsid w:val="00975864"/>
    <w:rsid w:val="0097586A"/>
    <w:rsid w:val="009758B5"/>
    <w:rsid w:val="00975939"/>
    <w:rsid w:val="00975A59"/>
    <w:rsid w:val="00975E51"/>
    <w:rsid w:val="00975F0E"/>
    <w:rsid w:val="00975F35"/>
    <w:rsid w:val="00975F9F"/>
    <w:rsid w:val="00975FBD"/>
    <w:rsid w:val="00975FC0"/>
    <w:rsid w:val="009761C1"/>
    <w:rsid w:val="00976276"/>
    <w:rsid w:val="00976346"/>
    <w:rsid w:val="00976378"/>
    <w:rsid w:val="009764A9"/>
    <w:rsid w:val="0097664C"/>
    <w:rsid w:val="00976746"/>
    <w:rsid w:val="009767AB"/>
    <w:rsid w:val="009767DA"/>
    <w:rsid w:val="00976818"/>
    <w:rsid w:val="0097695A"/>
    <w:rsid w:val="00976994"/>
    <w:rsid w:val="00976A4F"/>
    <w:rsid w:val="00976B62"/>
    <w:rsid w:val="00976B8A"/>
    <w:rsid w:val="00976C2D"/>
    <w:rsid w:val="00976C77"/>
    <w:rsid w:val="00976C9E"/>
    <w:rsid w:val="00976CA4"/>
    <w:rsid w:val="00976CC1"/>
    <w:rsid w:val="00976D73"/>
    <w:rsid w:val="00976DC1"/>
    <w:rsid w:val="00976E3C"/>
    <w:rsid w:val="00976E46"/>
    <w:rsid w:val="00976E6D"/>
    <w:rsid w:val="00976E92"/>
    <w:rsid w:val="00976F41"/>
    <w:rsid w:val="009770F6"/>
    <w:rsid w:val="00977180"/>
    <w:rsid w:val="009771A4"/>
    <w:rsid w:val="009771BC"/>
    <w:rsid w:val="00977237"/>
    <w:rsid w:val="00977254"/>
    <w:rsid w:val="00977274"/>
    <w:rsid w:val="0097728E"/>
    <w:rsid w:val="009772A8"/>
    <w:rsid w:val="009772E9"/>
    <w:rsid w:val="0097733F"/>
    <w:rsid w:val="009773DF"/>
    <w:rsid w:val="009774AE"/>
    <w:rsid w:val="009775BF"/>
    <w:rsid w:val="00977950"/>
    <w:rsid w:val="00977A17"/>
    <w:rsid w:val="00977A50"/>
    <w:rsid w:val="00977BD9"/>
    <w:rsid w:val="00977C42"/>
    <w:rsid w:val="00977C5B"/>
    <w:rsid w:val="00977D87"/>
    <w:rsid w:val="00977E4B"/>
    <w:rsid w:val="00977ECA"/>
    <w:rsid w:val="00977EFF"/>
    <w:rsid w:val="00980032"/>
    <w:rsid w:val="00980041"/>
    <w:rsid w:val="00980113"/>
    <w:rsid w:val="0098015B"/>
    <w:rsid w:val="00980164"/>
    <w:rsid w:val="009801AB"/>
    <w:rsid w:val="009802BE"/>
    <w:rsid w:val="00980334"/>
    <w:rsid w:val="0098033D"/>
    <w:rsid w:val="00980374"/>
    <w:rsid w:val="009803AF"/>
    <w:rsid w:val="00980447"/>
    <w:rsid w:val="009804E7"/>
    <w:rsid w:val="0098056C"/>
    <w:rsid w:val="00980573"/>
    <w:rsid w:val="00980599"/>
    <w:rsid w:val="009805A2"/>
    <w:rsid w:val="009805E9"/>
    <w:rsid w:val="009806C8"/>
    <w:rsid w:val="0098077E"/>
    <w:rsid w:val="00980784"/>
    <w:rsid w:val="0098088C"/>
    <w:rsid w:val="009808B9"/>
    <w:rsid w:val="009809A4"/>
    <w:rsid w:val="009809BC"/>
    <w:rsid w:val="00980AB7"/>
    <w:rsid w:val="00980AF7"/>
    <w:rsid w:val="00980BDD"/>
    <w:rsid w:val="00980C0D"/>
    <w:rsid w:val="00980C2F"/>
    <w:rsid w:val="00980C96"/>
    <w:rsid w:val="00980DE6"/>
    <w:rsid w:val="00980EB3"/>
    <w:rsid w:val="00981064"/>
    <w:rsid w:val="00981124"/>
    <w:rsid w:val="0098113A"/>
    <w:rsid w:val="0098125B"/>
    <w:rsid w:val="00981289"/>
    <w:rsid w:val="0098139F"/>
    <w:rsid w:val="009813C2"/>
    <w:rsid w:val="00981404"/>
    <w:rsid w:val="0098148E"/>
    <w:rsid w:val="009814BF"/>
    <w:rsid w:val="00981558"/>
    <w:rsid w:val="009815E4"/>
    <w:rsid w:val="009815EE"/>
    <w:rsid w:val="009816E0"/>
    <w:rsid w:val="00981734"/>
    <w:rsid w:val="0098174F"/>
    <w:rsid w:val="009817F9"/>
    <w:rsid w:val="00981800"/>
    <w:rsid w:val="0098193F"/>
    <w:rsid w:val="00981A0E"/>
    <w:rsid w:val="00981A44"/>
    <w:rsid w:val="00981B73"/>
    <w:rsid w:val="00981CEF"/>
    <w:rsid w:val="00981D37"/>
    <w:rsid w:val="00981DA4"/>
    <w:rsid w:val="00981E5A"/>
    <w:rsid w:val="00981EFA"/>
    <w:rsid w:val="00981F4C"/>
    <w:rsid w:val="009820C0"/>
    <w:rsid w:val="009821C9"/>
    <w:rsid w:val="0098226F"/>
    <w:rsid w:val="009824EF"/>
    <w:rsid w:val="009825BA"/>
    <w:rsid w:val="009825DE"/>
    <w:rsid w:val="009829E0"/>
    <w:rsid w:val="00982AC0"/>
    <w:rsid w:val="00982B59"/>
    <w:rsid w:val="00982DA3"/>
    <w:rsid w:val="0098301A"/>
    <w:rsid w:val="0098302F"/>
    <w:rsid w:val="00983095"/>
    <w:rsid w:val="00983124"/>
    <w:rsid w:val="00983158"/>
    <w:rsid w:val="0098320A"/>
    <w:rsid w:val="009832DD"/>
    <w:rsid w:val="009832FF"/>
    <w:rsid w:val="009833D6"/>
    <w:rsid w:val="00983487"/>
    <w:rsid w:val="009834A8"/>
    <w:rsid w:val="009834DE"/>
    <w:rsid w:val="009834E4"/>
    <w:rsid w:val="009834EE"/>
    <w:rsid w:val="00983616"/>
    <w:rsid w:val="00983742"/>
    <w:rsid w:val="009837C7"/>
    <w:rsid w:val="009839C0"/>
    <w:rsid w:val="00983A73"/>
    <w:rsid w:val="00983ADD"/>
    <w:rsid w:val="00983B10"/>
    <w:rsid w:val="00983B79"/>
    <w:rsid w:val="00983B9C"/>
    <w:rsid w:val="00983C49"/>
    <w:rsid w:val="00983C63"/>
    <w:rsid w:val="00983CED"/>
    <w:rsid w:val="00983D3C"/>
    <w:rsid w:val="00983EAF"/>
    <w:rsid w:val="00983ECE"/>
    <w:rsid w:val="00983F06"/>
    <w:rsid w:val="00983F70"/>
    <w:rsid w:val="00983FAB"/>
    <w:rsid w:val="00983FB0"/>
    <w:rsid w:val="00983FDA"/>
    <w:rsid w:val="0098410F"/>
    <w:rsid w:val="0098412D"/>
    <w:rsid w:val="0098416C"/>
    <w:rsid w:val="00984172"/>
    <w:rsid w:val="00984188"/>
    <w:rsid w:val="00984234"/>
    <w:rsid w:val="00984259"/>
    <w:rsid w:val="00984320"/>
    <w:rsid w:val="00984321"/>
    <w:rsid w:val="00984424"/>
    <w:rsid w:val="00984524"/>
    <w:rsid w:val="00984656"/>
    <w:rsid w:val="00984767"/>
    <w:rsid w:val="0098477A"/>
    <w:rsid w:val="0098478B"/>
    <w:rsid w:val="00984814"/>
    <w:rsid w:val="00984B5C"/>
    <w:rsid w:val="00984CAB"/>
    <w:rsid w:val="00984DB1"/>
    <w:rsid w:val="00984DF5"/>
    <w:rsid w:val="00984EA6"/>
    <w:rsid w:val="00984F99"/>
    <w:rsid w:val="00984FA8"/>
    <w:rsid w:val="009850C0"/>
    <w:rsid w:val="00985107"/>
    <w:rsid w:val="00985118"/>
    <w:rsid w:val="00985323"/>
    <w:rsid w:val="00985346"/>
    <w:rsid w:val="0098534B"/>
    <w:rsid w:val="0098543F"/>
    <w:rsid w:val="009854F5"/>
    <w:rsid w:val="00985683"/>
    <w:rsid w:val="0098569A"/>
    <w:rsid w:val="0098577E"/>
    <w:rsid w:val="0098585D"/>
    <w:rsid w:val="0098588C"/>
    <w:rsid w:val="009858D9"/>
    <w:rsid w:val="00985A2C"/>
    <w:rsid w:val="00985A70"/>
    <w:rsid w:val="00985AB3"/>
    <w:rsid w:val="00985B0C"/>
    <w:rsid w:val="00985BDE"/>
    <w:rsid w:val="00985E62"/>
    <w:rsid w:val="00985F5E"/>
    <w:rsid w:val="00985F76"/>
    <w:rsid w:val="009860A0"/>
    <w:rsid w:val="009860C9"/>
    <w:rsid w:val="009861ED"/>
    <w:rsid w:val="009862D9"/>
    <w:rsid w:val="00986333"/>
    <w:rsid w:val="00986355"/>
    <w:rsid w:val="00986480"/>
    <w:rsid w:val="00986481"/>
    <w:rsid w:val="00986515"/>
    <w:rsid w:val="00986637"/>
    <w:rsid w:val="0098667E"/>
    <w:rsid w:val="009866CE"/>
    <w:rsid w:val="00986715"/>
    <w:rsid w:val="009867E5"/>
    <w:rsid w:val="00986972"/>
    <w:rsid w:val="009869B9"/>
    <w:rsid w:val="00986A0A"/>
    <w:rsid w:val="00986B05"/>
    <w:rsid w:val="00986B6E"/>
    <w:rsid w:val="00986CF1"/>
    <w:rsid w:val="00986EA5"/>
    <w:rsid w:val="00986EE6"/>
    <w:rsid w:val="00986F27"/>
    <w:rsid w:val="00986F52"/>
    <w:rsid w:val="00986F79"/>
    <w:rsid w:val="00986FF9"/>
    <w:rsid w:val="00986FFA"/>
    <w:rsid w:val="00986FFF"/>
    <w:rsid w:val="00987035"/>
    <w:rsid w:val="009870FA"/>
    <w:rsid w:val="00987104"/>
    <w:rsid w:val="009872E4"/>
    <w:rsid w:val="00987321"/>
    <w:rsid w:val="0098732C"/>
    <w:rsid w:val="00987426"/>
    <w:rsid w:val="0098753A"/>
    <w:rsid w:val="00987646"/>
    <w:rsid w:val="009876C9"/>
    <w:rsid w:val="0098775E"/>
    <w:rsid w:val="0098776F"/>
    <w:rsid w:val="009877D3"/>
    <w:rsid w:val="009877FE"/>
    <w:rsid w:val="00987850"/>
    <w:rsid w:val="00987986"/>
    <w:rsid w:val="009879C5"/>
    <w:rsid w:val="009879D9"/>
    <w:rsid w:val="00987A23"/>
    <w:rsid w:val="00987AFD"/>
    <w:rsid w:val="00987B43"/>
    <w:rsid w:val="00987BB7"/>
    <w:rsid w:val="00987C08"/>
    <w:rsid w:val="00987C28"/>
    <w:rsid w:val="00987C69"/>
    <w:rsid w:val="00987CBD"/>
    <w:rsid w:val="00987D7F"/>
    <w:rsid w:val="00987DAF"/>
    <w:rsid w:val="00987E37"/>
    <w:rsid w:val="00987E44"/>
    <w:rsid w:val="00987EF7"/>
    <w:rsid w:val="0099004C"/>
    <w:rsid w:val="009900CE"/>
    <w:rsid w:val="009900E8"/>
    <w:rsid w:val="00990134"/>
    <w:rsid w:val="00990288"/>
    <w:rsid w:val="009902B5"/>
    <w:rsid w:val="00990365"/>
    <w:rsid w:val="0099037E"/>
    <w:rsid w:val="009903EC"/>
    <w:rsid w:val="0099044E"/>
    <w:rsid w:val="0099045D"/>
    <w:rsid w:val="00990501"/>
    <w:rsid w:val="0099052B"/>
    <w:rsid w:val="009905AE"/>
    <w:rsid w:val="009905BF"/>
    <w:rsid w:val="0099071C"/>
    <w:rsid w:val="00990785"/>
    <w:rsid w:val="00990977"/>
    <w:rsid w:val="009909BA"/>
    <w:rsid w:val="00990A30"/>
    <w:rsid w:val="00990C0F"/>
    <w:rsid w:val="00990E97"/>
    <w:rsid w:val="00990E99"/>
    <w:rsid w:val="00990F1C"/>
    <w:rsid w:val="00990F51"/>
    <w:rsid w:val="00990FA8"/>
    <w:rsid w:val="00990FD7"/>
    <w:rsid w:val="0099107F"/>
    <w:rsid w:val="009911A5"/>
    <w:rsid w:val="00991280"/>
    <w:rsid w:val="009912D0"/>
    <w:rsid w:val="009913C8"/>
    <w:rsid w:val="00991506"/>
    <w:rsid w:val="0099155F"/>
    <w:rsid w:val="00991718"/>
    <w:rsid w:val="009917C7"/>
    <w:rsid w:val="009917D9"/>
    <w:rsid w:val="00991826"/>
    <w:rsid w:val="0099186B"/>
    <w:rsid w:val="009919F4"/>
    <w:rsid w:val="00991A74"/>
    <w:rsid w:val="00991A81"/>
    <w:rsid w:val="00991B49"/>
    <w:rsid w:val="00991B71"/>
    <w:rsid w:val="00991C64"/>
    <w:rsid w:val="00991CCE"/>
    <w:rsid w:val="00991D17"/>
    <w:rsid w:val="00991DD9"/>
    <w:rsid w:val="00991E7E"/>
    <w:rsid w:val="00991E96"/>
    <w:rsid w:val="00991EBE"/>
    <w:rsid w:val="00991ED6"/>
    <w:rsid w:val="00991F66"/>
    <w:rsid w:val="00992185"/>
    <w:rsid w:val="0099218B"/>
    <w:rsid w:val="009921B2"/>
    <w:rsid w:val="00992266"/>
    <w:rsid w:val="009922F1"/>
    <w:rsid w:val="00992430"/>
    <w:rsid w:val="00992660"/>
    <w:rsid w:val="00992721"/>
    <w:rsid w:val="009927BB"/>
    <w:rsid w:val="009927CD"/>
    <w:rsid w:val="00992845"/>
    <w:rsid w:val="00992846"/>
    <w:rsid w:val="009928D2"/>
    <w:rsid w:val="00992922"/>
    <w:rsid w:val="00992AD2"/>
    <w:rsid w:val="00992B03"/>
    <w:rsid w:val="00992C1C"/>
    <w:rsid w:val="00992CA7"/>
    <w:rsid w:val="00992D8E"/>
    <w:rsid w:val="00992EB4"/>
    <w:rsid w:val="00992F32"/>
    <w:rsid w:val="00992FB2"/>
    <w:rsid w:val="00993195"/>
    <w:rsid w:val="009931E2"/>
    <w:rsid w:val="0099323A"/>
    <w:rsid w:val="0099333E"/>
    <w:rsid w:val="0099335D"/>
    <w:rsid w:val="009933A9"/>
    <w:rsid w:val="00993419"/>
    <w:rsid w:val="009934DB"/>
    <w:rsid w:val="00993533"/>
    <w:rsid w:val="0099365B"/>
    <w:rsid w:val="009936FA"/>
    <w:rsid w:val="0099381C"/>
    <w:rsid w:val="00993883"/>
    <w:rsid w:val="00993A15"/>
    <w:rsid w:val="00993A24"/>
    <w:rsid w:val="00993A73"/>
    <w:rsid w:val="00993B2D"/>
    <w:rsid w:val="00993B3D"/>
    <w:rsid w:val="00993BCE"/>
    <w:rsid w:val="00993CA6"/>
    <w:rsid w:val="00993E4F"/>
    <w:rsid w:val="00993E9B"/>
    <w:rsid w:val="00993F7E"/>
    <w:rsid w:val="0099403A"/>
    <w:rsid w:val="0099415C"/>
    <w:rsid w:val="00994199"/>
    <w:rsid w:val="009941CC"/>
    <w:rsid w:val="00994207"/>
    <w:rsid w:val="0099420B"/>
    <w:rsid w:val="00994260"/>
    <w:rsid w:val="00994279"/>
    <w:rsid w:val="009943B8"/>
    <w:rsid w:val="009943C0"/>
    <w:rsid w:val="009943D6"/>
    <w:rsid w:val="009944AF"/>
    <w:rsid w:val="0099450E"/>
    <w:rsid w:val="00994683"/>
    <w:rsid w:val="00994699"/>
    <w:rsid w:val="0099474F"/>
    <w:rsid w:val="00994834"/>
    <w:rsid w:val="009948A6"/>
    <w:rsid w:val="009948BF"/>
    <w:rsid w:val="009948EC"/>
    <w:rsid w:val="00994933"/>
    <w:rsid w:val="009949E1"/>
    <w:rsid w:val="00994AD8"/>
    <w:rsid w:val="00994B08"/>
    <w:rsid w:val="00994B17"/>
    <w:rsid w:val="00994B87"/>
    <w:rsid w:val="00994DD3"/>
    <w:rsid w:val="00994E9F"/>
    <w:rsid w:val="00994F3B"/>
    <w:rsid w:val="00994F86"/>
    <w:rsid w:val="00994FE7"/>
    <w:rsid w:val="009950A9"/>
    <w:rsid w:val="009951DC"/>
    <w:rsid w:val="00995205"/>
    <w:rsid w:val="00995207"/>
    <w:rsid w:val="00995209"/>
    <w:rsid w:val="0099525A"/>
    <w:rsid w:val="009952B8"/>
    <w:rsid w:val="009954AD"/>
    <w:rsid w:val="0099563C"/>
    <w:rsid w:val="0099565B"/>
    <w:rsid w:val="00995676"/>
    <w:rsid w:val="0099571B"/>
    <w:rsid w:val="00995826"/>
    <w:rsid w:val="0099582D"/>
    <w:rsid w:val="00995912"/>
    <w:rsid w:val="00995950"/>
    <w:rsid w:val="00995975"/>
    <w:rsid w:val="00995A75"/>
    <w:rsid w:val="00995B36"/>
    <w:rsid w:val="00995BE1"/>
    <w:rsid w:val="00995C50"/>
    <w:rsid w:val="00995C67"/>
    <w:rsid w:val="00995DCD"/>
    <w:rsid w:val="00995DEC"/>
    <w:rsid w:val="00995E6A"/>
    <w:rsid w:val="00995E7F"/>
    <w:rsid w:val="00995EF5"/>
    <w:rsid w:val="00996094"/>
    <w:rsid w:val="009961A3"/>
    <w:rsid w:val="00996260"/>
    <w:rsid w:val="009962F0"/>
    <w:rsid w:val="009962F2"/>
    <w:rsid w:val="009962F6"/>
    <w:rsid w:val="00996372"/>
    <w:rsid w:val="009964DA"/>
    <w:rsid w:val="00996581"/>
    <w:rsid w:val="00996649"/>
    <w:rsid w:val="0099664A"/>
    <w:rsid w:val="0099668F"/>
    <w:rsid w:val="00996775"/>
    <w:rsid w:val="0099688B"/>
    <w:rsid w:val="009968BD"/>
    <w:rsid w:val="00996B25"/>
    <w:rsid w:val="00996B28"/>
    <w:rsid w:val="00996E07"/>
    <w:rsid w:val="00996F8A"/>
    <w:rsid w:val="00996FB2"/>
    <w:rsid w:val="00996FE0"/>
    <w:rsid w:val="00997054"/>
    <w:rsid w:val="00997062"/>
    <w:rsid w:val="00997154"/>
    <w:rsid w:val="0099726E"/>
    <w:rsid w:val="0099740E"/>
    <w:rsid w:val="009974ED"/>
    <w:rsid w:val="00997567"/>
    <w:rsid w:val="00997647"/>
    <w:rsid w:val="009976F3"/>
    <w:rsid w:val="00997709"/>
    <w:rsid w:val="0099770A"/>
    <w:rsid w:val="0099788F"/>
    <w:rsid w:val="009978D9"/>
    <w:rsid w:val="009978F3"/>
    <w:rsid w:val="0099792F"/>
    <w:rsid w:val="00997952"/>
    <w:rsid w:val="00997977"/>
    <w:rsid w:val="00997A99"/>
    <w:rsid w:val="00997AF0"/>
    <w:rsid w:val="00997BF0"/>
    <w:rsid w:val="00997CC8"/>
    <w:rsid w:val="00997CE0"/>
    <w:rsid w:val="00997D5C"/>
    <w:rsid w:val="00997DC5"/>
    <w:rsid w:val="00997E23"/>
    <w:rsid w:val="00997FBA"/>
    <w:rsid w:val="00997FDC"/>
    <w:rsid w:val="009A0137"/>
    <w:rsid w:val="009A0268"/>
    <w:rsid w:val="009A0319"/>
    <w:rsid w:val="009A0391"/>
    <w:rsid w:val="009A04B3"/>
    <w:rsid w:val="009A04BF"/>
    <w:rsid w:val="009A051C"/>
    <w:rsid w:val="009A051F"/>
    <w:rsid w:val="009A053C"/>
    <w:rsid w:val="009A0578"/>
    <w:rsid w:val="009A0610"/>
    <w:rsid w:val="009A063F"/>
    <w:rsid w:val="009A0759"/>
    <w:rsid w:val="009A0868"/>
    <w:rsid w:val="009A09D6"/>
    <w:rsid w:val="009A0A04"/>
    <w:rsid w:val="009A0A2A"/>
    <w:rsid w:val="009A0C32"/>
    <w:rsid w:val="009A0CB9"/>
    <w:rsid w:val="009A0D70"/>
    <w:rsid w:val="009A0DF3"/>
    <w:rsid w:val="009A0E17"/>
    <w:rsid w:val="009A0E4A"/>
    <w:rsid w:val="009A0E57"/>
    <w:rsid w:val="009A0EDA"/>
    <w:rsid w:val="009A0FA3"/>
    <w:rsid w:val="009A1197"/>
    <w:rsid w:val="009A12FD"/>
    <w:rsid w:val="009A13B9"/>
    <w:rsid w:val="009A1417"/>
    <w:rsid w:val="009A14F3"/>
    <w:rsid w:val="009A155F"/>
    <w:rsid w:val="009A156D"/>
    <w:rsid w:val="009A160A"/>
    <w:rsid w:val="009A1648"/>
    <w:rsid w:val="009A165F"/>
    <w:rsid w:val="009A1728"/>
    <w:rsid w:val="009A175E"/>
    <w:rsid w:val="009A18AA"/>
    <w:rsid w:val="009A1914"/>
    <w:rsid w:val="009A194A"/>
    <w:rsid w:val="009A1C12"/>
    <w:rsid w:val="009A1C55"/>
    <w:rsid w:val="009A1E21"/>
    <w:rsid w:val="009A1F9F"/>
    <w:rsid w:val="009A1FA7"/>
    <w:rsid w:val="009A2027"/>
    <w:rsid w:val="009A2045"/>
    <w:rsid w:val="009A2357"/>
    <w:rsid w:val="009A23CC"/>
    <w:rsid w:val="009A2494"/>
    <w:rsid w:val="009A24C8"/>
    <w:rsid w:val="009A260D"/>
    <w:rsid w:val="009A2648"/>
    <w:rsid w:val="009A26A2"/>
    <w:rsid w:val="009A26E2"/>
    <w:rsid w:val="009A26EC"/>
    <w:rsid w:val="009A26F0"/>
    <w:rsid w:val="009A26FB"/>
    <w:rsid w:val="009A2785"/>
    <w:rsid w:val="009A28A6"/>
    <w:rsid w:val="009A28D3"/>
    <w:rsid w:val="009A2942"/>
    <w:rsid w:val="009A29FB"/>
    <w:rsid w:val="009A2B51"/>
    <w:rsid w:val="009A2B53"/>
    <w:rsid w:val="009A2BF3"/>
    <w:rsid w:val="009A2C6D"/>
    <w:rsid w:val="009A2CF9"/>
    <w:rsid w:val="009A2DB4"/>
    <w:rsid w:val="009A2DEF"/>
    <w:rsid w:val="009A2EAC"/>
    <w:rsid w:val="009A2F32"/>
    <w:rsid w:val="009A2F3C"/>
    <w:rsid w:val="009A2F75"/>
    <w:rsid w:val="009A2FAC"/>
    <w:rsid w:val="009A327D"/>
    <w:rsid w:val="009A32B4"/>
    <w:rsid w:val="009A32D7"/>
    <w:rsid w:val="009A3460"/>
    <w:rsid w:val="009A346C"/>
    <w:rsid w:val="009A3512"/>
    <w:rsid w:val="009A3576"/>
    <w:rsid w:val="009A35C2"/>
    <w:rsid w:val="009A36F5"/>
    <w:rsid w:val="009A3739"/>
    <w:rsid w:val="009A3766"/>
    <w:rsid w:val="009A3877"/>
    <w:rsid w:val="009A3A70"/>
    <w:rsid w:val="009A3AA6"/>
    <w:rsid w:val="009A3ADC"/>
    <w:rsid w:val="009A3AE5"/>
    <w:rsid w:val="009A3B0C"/>
    <w:rsid w:val="009A3D7F"/>
    <w:rsid w:val="009A3DD7"/>
    <w:rsid w:val="009A3E1E"/>
    <w:rsid w:val="009A3E50"/>
    <w:rsid w:val="009A3EEF"/>
    <w:rsid w:val="009A3EFD"/>
    <w:rsid w:val="009A3FC3"/>
    <w:rsid w:val="009A3FD7"/>
    <w:rsid w:val="009A4175"/>
    <w:rsid w:val="009A42FA"/>
    <w:rsid w:val="009A43DA"/>
    <w:rsid w:val="009A44D9"/>
    <w:rsid w:val="009A44DD"/>
    <w:rsid w:val="009A451A"/>
    <w:rsid w:val="009A4649"/>
    <w:rsid w:val="009A46AC"/>
    <w:rsid w:val="009A4765"/>
    <w:rsid w:val="009A47F3"/>
    <w:rsid w:val="009A4820"/>
    <w:rsid w:val="009A4842"/>
    <w:rsid w:val="009A4990"/>
    <w:rsid w:val="009A4996"/>
    <w:rsid w:val="009A4A70"/>
    <w:rsid w:val="009A4B31"/>
    <w:rsid w:val="009A4B67"/>
    <w:rsid w:val="009A4BC3"/>
    <w:rsid w:val="009A4C8D"/>
    <w:rsid w:val="009A4CE7"/>
    <w:rsid w:val="009A50F4"/>
    <w:rsid w:val="009A50F8"/>
    <w:rsid w:val="009A511F"/>
    <w:rsid w:val="009A52A8"/>
    <w:rsid w:val="009A5382"/>
    <w:rsid w:val="009A54BF"/>
    <w:rsid w:val="009A55B3"/>
    <w:rsid w:val="009A55DB"/>
    <w:rsid w:val="009A57E6"/>
    <w:rsid w:val="009A5967"/>
    <w:rsid w:val="009A596C"/>
    <w:rsid w:val="009A5989"/>
    <w:rsid w:val="009A598D"/>
    <w:rsid w:val="009A5AA4"/>
    <w:rsid w:val="009A5B36"/>
    <w:rsid w:val="009A5B60"/>
    <w:rsid w:val="009A5BDE"/>
    <w:rsid w:val="009A5C3A"/>
    <w:rsid w:val="009A5C9A"/>
    <w:rsid w:val="009A5CA3"/>
    <w:rsid w:val="009A5D8A"/>
    <w:rsid w:val="009A5E38"/>
    <w:rsid w:val="009A5F0D"/>
    <w:rsid w:val="009A5FCC"/>
    <w:rsid w:val="009A60AF"/>
    <w:rsid w:val="009A60DE"/>
    <w:rsid w:val="009A6162"/>
    <w:rsid w:val="009A618B"/>
    <w:rsid w:val="009A628B"/>
    <w:rsid w:val="009A62B2"/>
    <w:rsid w:val="009A62D0"/>
    <w:rsid w:val="009A6326"/>
    <w:rsid w:val="009A6393"/>
    <w:rsid w:val="009A63B8"/>
    <w:rsid w:val="009A643A"/>
    <w:rsid w:val="009A64AC"/>
    <w:rsid w:val="009A65CC"/>
    <w:rsid w:val="009A6614"/>
    <w:rsid w:val="009A6660"/>
    <w:rsid w:val="009A66E7"/>
    <w:rsid w:val="009A686E"/>
    <w:rsid w:val="009A688F"/>
    <w:rsid w:val="009A68E5"/>
    <w:rsid w:val="009A6B6A"/>
    <w:rsid w:val="009A6C08"/>
    <w:rsid w:val="009A6CA3"/>
    <w:rsid w:val="009A6CA4"/>
    <w:rsid w:val="009A6CF6"/>
    <w:rsid w:val="009A6EC9"/>
    <w:rsid w:val="009A6EE8"/>
    <w:rsid w:val="009A6F3A"/>
    <w:rsid w:val="009A6F9A"/>
    <w:rsid w:val="009A6FD2"/>
    <w:rsid w:val="009A704B"/>
    <w:rsid w:val="009A70B0"/>
    <w:rsid w:val="009A70CC"/>
    <w:rsid w:val="009A71C1"/>
    <w:rsid w:val="009A72DF"/>
    <w:rsid w:val="009A7393"/>
    <w:rsid w:val="009A74B0"/>
    <w:rsid w:val="009A7576"/>
    <w:rsid w:val="009A7661"/>
    <w:rsid w:val="009A7767"/>
    <w:rsid w:val="009A7798"/>
    <w:rsid w:val="009A78D0"/>
    <w:rsid w:val="009A79C1"/>
    <w:rsid w:val="009A7AC2"/>
    <w:rsid w:val="009A7ADB"/>
    <w:rsid w:val="009A7CB9"/>
    <w:rsid w:val="009A7D16"/>
    <w:rsid w:val="009A7D64"/>
    <w:rsid w:val="009A7D79"/>
    <w:rsid w:val="009A7F27"/>
    <w:rsid w:val="009B0009"/>
    <w:rsid w:val="009B013F"/>
    <w:rsid w:val="009B0251"/>
    <w:rsid w:val="009B02A7"/>
    <w:rsid w:val="009B034A"/>
    <w:rsid w:val="009B03D0"/>
    <w:rsid w:val="009B03E5"/>
    <w:rsid w:val="009B0597"/>
    <w:rsid w:val="009B05C7"/>
    <w:rsid w:val="009B05FC"/>
    <w:rsid w:val="009B06E1"/>
    <w:rsid w:val="009B0797"/>
    <w:rsid w:val="009B0869"/>
    <w:rsid w:val="009B08B3"/>
    <w:rsid w:val="009B098F"/>
    <w:rsid w:val="009B09DC"/>
    <w:rsid w:val="009B0A85"/>
    <w:rsid w:val="009B0AD2"/>
    <w:rsid w:val="009B0AD8"/>
    <w:rsid w:val="009B0B98"/>
    <w:rsid w:val="009B0BAD"/>
    <w:rsid w:val="009B0CEB"/>
    <w:rsid w:val="009B0DAB"/>
    <w:rsid w:val="009B0DC4"/>
    <w:rsid w:val="009B0E97"/>
    <w:rsid w:val="009B0F0A"/>
    <w:rsid w:val="009B0FF4"/>
    <w:rsid w:val="009B0FF8"/>
    <w:rsid w:val="009B1036"/>
    <w:rsid w:val="009B1046"/>
    <w:rsid w:val="009B1104"/>
    <w:rsid w:val="009B113A"/>
    <w:rsid w:val="009B11F2"/>
    <w:rsid w:val="009B1218"/>
    <w:rsid w:val="009B1240"/>
    <w:rsid w:val="009B12BF"/>
    <w:rsid w:val="009B132C"/>
    <w:rsid w:val="009B1422"/>
    <w:rsid w:val="009B142F"/>
    <w:rsid w:val="009B14E1"/>
    <w:rsid w:val="009B150A"/>
    <w:rsid w:val="009B1598"/>
    <w:rsid w:val="009B15B6"/>
    <w:rsid w:val="009B16B9"/>
    <w:rsid w:val="009B1721"/>
    <w:rsid w:val="009B17C4"/>
    <w:rsid w:val="009B1844"/>
    <w:rsid w:val="009B184C"/>
    <w:rsid w:val="009B1A04"/>
    <w:rsid w:val="009B1BE6"/>
    <w:rsid w:val="009B1D9E"/>
    <w:rsid w:val="009B1E5F"/>
    <w:rsid w:val="009B1EF5"/>
    <w:rsid w:val="009B1F4E"/>
    <w:rsid w:val="009B1F6F"/>
    <w:rsid w:val="009B20AA"/>
    <w:rsid w:val="009B20B1"/>
    <w:rsid w:val="009B20D7"/>
    <w:rsid w:val="009B2218"/>
    <w:rsid w:val="009B23BC"/>
    <w:rsid w:val="009B23BF"/>
    <w:rsid w:val="009B24D8"/>
    <w:rsid w:val="009B266C"/>
    <w:rsid w:val="009B2841"/>
    <w:rsid w:val="009B288D"/>
    <w:rsid w:val="009B2A17"/>
    <w:rsid w:val="009B2A37"/>
    <w:rsid w:val="009B2C33"/>
    <w:rsid w:val="009B2C58"/>
    <w:rsid w:val="009B2D2A"/>
    <w:rsid w:val="009B2DC2"/>
    <w:rsid w:val="009B2E91"/>
    <w:rsid w:val="009B3013"/>
    <w:rsid w:val="009B3042"/>
    <w:rsid w:val="009B3147"/>
    <w:rsid w:val="009B31A4"/>
    <w:rsid w:val="009B31AD"/>
    <w:rsid w:val="009B3346"/>
    <w:rsid w:val="009B3365"/>
    <w:rsid w:val="009B3374"/>
    <w:rsid w:val="009B349E"/>
    <w:rsid w:val="009B3582"/>
    <w:rsid w:val="009B3639"/>
    <w:rsid w:val="009B3640"/>
    <w:rsid w:val="009B3783"/>
    <w:rsid w:val="009B38F4"/>
    <w:rsid w:val="009B397A"/>
    <w:rsid w:val="009B3A8B"/>
    <w:rsid w:val="009B3AC5"/>
    <w:rsid w:val="009B3B84"/>
    <w:rsid w:val="009B3BB6"/>
    <w:rsid w:val="009B3C20"/>
    <w:rsid w:val="009B3D52"/>
    <w:rsid w:val="009B3E1F"/>
    <w:rsid w:val="009B3EE0"/>
    <w:rsid w:val="009B3F4A"/>
    <w:rsid w:val="009B4039"/>
    <w:rsid w:val="009B4082"/>
    <w:rsid w:val="009B40AD"/>
    <w:rsid w:val="009B4138"/>
    <w:rsid w:val="009B4176"/>
    <w:rsid w:val="009B41DB"/>
    <w:rsid w:val="009B42FF"/>
    <w:rsid w:val="009B4445"/>
    <w:rsid w:val="009B453B"/>
    <w:rsid w:val="009B453F"/>
    <w:rsid w:val="009B4636"/>
    <w:rsid w:val="009B4664"/>
    <w:rsid w:val="009B4703"/>
    <w:rsid w:val="009B475C"/>
    <w:rsid w:val="009B47A3"/>
    <w:rsid w:val="009B47BC"/>
    <w:rsid w:val="009B4827"/>
    <w:rsid w:val="009B4861"/>
    <w:rsid w:val="009B493D"/>
    <w:rsid w:val="009B49A5"/>
    <w:rsid w:val="009B49D3"/>
    <w:rsid w:val="009B4A05"/>
    <w:rsid w:val="009B4A13"/>
    <w:rsid w:val="009B4A16"/>
    <w:rsid w:val="009B4DBD"/>
    <w:rsid w:val="009B4F8D"/>
    <w:rsid w:val="009B5025"/>
    <w:rsid w:val="009B50BC"/>
    <w:rsid w:val="009B50C6"/>
    <w:rsid w:val="009B50E4"/>
    <w:rsid w:val="009B5108"/>
    <w:rsid w:val="009B51D4"/>
    <w:rsid w:val="009B51E9"/>
    <w:rsid w:val="009B528A"/>
    <w:rsid w:val="009B52D9"/>
    <w:rsid w:val="009B52E2"/>
    <w:rsid w:val="009B53C6"/>
    <w:rsid w:val="009B54E9"/>
    <w:rsid w:val="009B55A3"/>
    <w:rsid w:val="009B5620"/>
    <w:rsid w:val="009B56E5"/>
    <w:rsid w:val="009B5740"/>
    <w:rsid w:val="009B5809"/>
    <w:rsid w:val="009B595D"/>
    <w:rsid w:val="009B5961"/>
    <w:rsid w:val="009B59A1"/>
    <w:rsid w:val="009B5A64"/>
    <w:rsid w:val="009B5ADA"/>
    <w:rsid w:val="009B5AFC"/>
    <w:rsid w:val="009B5B13"/>
    <w:rsid w:val="009B5B2D"/>
    <w:rsid w:val="009B5BED"/>
    <w:rsid w:val="009B5CC4"/>
    <w:rsid w:val="009B5E28"/>
    <w:rsid w:val="009B5F01"/>
    <w:rsid w:val="009B5F35"/>
    <w:rsid w:val="009B6034"/>
    <w:rsid w:val="009B610E"/>
    <w:rsid w:val="009B61D2"/>
    <w:rsid w:val="009B62E1"/>
    <w:rsid w:val="009B6345"/>
    <w:rsid w:val="009B6347"/>
    <w:rsid w:val="009B6430"/>
    <w:rsid w:val="009B6490"/>
    <w:rsid w:val="009B6696"/>
    <w:rsid w:val="009B67D8"/>
    <w:rsid w:val="009B68AA"/>
    <w:rsid w:val="009B68C6"/>
    <w:rsid w:val="009B6995"/>
    <w:rsid w:val="009B69A9"/>
    <w:rsid w:val="009B69E0"/>
    <w:rsid w:val="009B6A3C"/>
    <w:rsid w:val="009B6A86"/>
    <w:rsid w:val="009B6AEB"/>
    <w:rsid w:val="009B6D24"/>
    <w:rsid w:val="009B6E5D"/>
    <w:rsid w:val="009B6EF2"/>
    <w:rsid w:val="009B6F44"/>
    <w:rsid w:val="009B6F9B"/>
    <w:rsid w:val="009B705C"/>
    <w:rsid w:val="009B7065"/>
    <w:rsid w:val="009B7099"/>
    <w:rsid w:val="009B70EA"/>
    <w:rsid w:val="009B710B"/>
    <w:rsid w:val="009B71F4"/>
    <w:rsid w:val="009B721F"/>
    <w:rsid w:val="009B7297"/>
    <w:rsid w:val="009B72E6"/>
    <w:rsid w:val="009B73C2"/>
    <w:rsid w:val="009B7430"/>
    <w:rsid w:val="009B7541"/>
    <w:rsid w:val="009B7549"/>
    <w:rsid w:val="009B768D"/>
    <w:rsid w:val="009B771E"/>
    <w:rsid w:val="009B7742"/>
    <w:rsid w:val="009B774F"/>
    <w:rsid w:val="009B776C"/>
    <w:rsid w:val="009B77AB"/>
    <w:rsid w:val="009B77C4"/>
    <w:rsid w:val="009B787E"/>
    <w:rsid w:val="009B794D"/>
    <w:rsid w:val="009B794E"/>
    <w:rsid w:val="009B7976"/>
    <w:rsid w:val="009B7AF3"/>
    <w:rsid w:val="009B7C0A"/>
    <w:rsid w:val="009B7C25"/>
    <w:rsid w:val="009B7C44"/>
    <w:rsid w:val="009B7C9C"/>
    <w:rsid w:val="009B7D89"/>
    <w:rsid w:val="009B7DF6"/>
    <w:rsid w:val="009B7DF7"/>
    <w:rsid w:val="009B7FA7"/>
    <w:rsid w:val="009C001C"/>
    <w:rsid w:val="009C014D"/>
    <w:rsid w:val="009C02DB"/>
    <w:rsid w:val="009C0418"/>
    <w:rsid w:val="009C048F"/>
    <w:rsid w:val="009C04B7"/>
    <w:rsid w:val="009C04D3"/>
    <w:rsid w:val="009C0540"/>
    <w:rsid w:val="009C063D"/>
    <w:rsid w:val="009C0643"/>
    <w:rsid w:val="009C06C3"/>
    <w:rsid w:val="009C06C5"/>
    <w:rsid w:val="009C0729"/>
    <w:rsid w:val="009C085A"/>
    <w:rsid w:val="009C08F0"/>
    <w:rsid w:val="009C097B"/>
    <w:rsid w:val="009C0980"/>
    <w:rsid w:val="009C09A2"/>
    <w:rsid w:val="009C09C2"/>
    <w:rsid w:val="009C0A5B"/>
    <w:rsid w:val="009C0A67"/>
    <w:rsid w:val="009C0A83"/>
    <w:rsid w:val="009C0AA7"/>
    <w:rsid w:val="009C0B04"/>
    <w:rsid w:val="009C0B0D"/>
    <w:rsid w:val="009C0B16"/>
    <w:rsid w:val="009C0BF7"/>
    <w:rsid w:val="009C0CAF"/>
    <w:rsid w:val="009C0DAF"/>
    <w:rsid w:val="009C0E9A"/>
    <w:rsid w:val="009C0EC9"/>
    <w:rsid w:val="009C0F6D"/>
    <w:rsid w:val="009C0FA7"/>
    <w:rsid w:val="009C0FC3"/>
    <w:rsid w:val="009C1033"/>
    <w:rsid w:val="009C1077"/>
    <w:rsid w:val="009C111D"/>
    <w:rsid w:val="009C1174"/>
    <w:rsid w:val="009C11CC"/>
    <w:rsid w:val="009C1239"/>
    <w:rsid w:val="009C1347"/>
    <w:rsid w:val="009C15A5"/>
    <w:rsid w:val="009C15BE"/>
    <w:rsid w:val="009C15C4"/>
    <w:rsid w:val="009C184D"/>
    <w:rsid w:val="009C185A"/>
    <w:rsid w:val="009C185C"/>
    <w:rsid w:val="009C18A5"/>
    <w:rsid w:val="009C18BF"/>
    <w:rsid w:val="009C1A04"/>
    <w:rsid w:val="009C1A2A"/>
    <w:rsid w:val="009C1A67"/>
    <w:rsid w:val="009C1AD0"/>
    <w:rsid w:val="009C1AFF"/>
    <w:rsid w:val="009C1B3A"/>
    <w:rsid w:val="009C1BAB"/>
    <w:rsid w:val="009C1BB9"/>
    <w:rsid w:val="009C1CDD"/>
    <w:rsid w:val="009C1D71"/>
    <w:rsid w:val="009C1D7F"/>
    <w:rsid w:val="009C1DB1"/>
    <w:rsid w:val="009C1ED6"/>
    <w:rsid w:val="009C1EF6"/>
    <w:rsid w:val="009C2168"/>
    <w:rsid w:val="009C21DC"/>
    <w:rsid w:val="009C220F"/>
    <w:rsid w:val="009C2342"/>
    <w:rsid w:val="009C2355"/>
    <w:rsid w:val="009C24D0"/>
    <w:rsid w:val="009C24F1"/>
    <w:rsid w:val="009C2682"/>
    <w:rsid w:val="009C2759"/>
    <w:rsid w:val="009C27F9"/>
    <w:rsid w:val="009C2811"/>
    <w:rsid w:val="009C283B"/>
    <w:rsid w:val="009C283F"/>
    <w:rsid w:val="009C2845"/>
    <w:rsid w:val="009C2848"/>
    <w:rsid w:val="009C285F"/>
    <w:rsid w:val="009C291E"/>
    <w:rsid w:val="009C2933"/>
    <w:rsid w:val="009C2987"/>
    <w:rsid w:val="009C29D3"/>
    <w:rsid w:val="009C2A03"/>
    <w:rsid w:val="009C2AD0"/>
    <w:rsid w:val="009C2B0D"/>
    <w:rsid w:val="009C2CA6"/>
    <w:rsid w:val="009C2D2F"/>
    <w:rsid w:val="009C2EC9"/>
    <w:rsid w:val="009C2F09"/>
    <w:rsid w:val="009C2F60"/>
    <w:rsid w:val="009C3069"/>
    <w:rsid w:val="009C30DF"/>
    <w:rsid w:val="009C31C4"/>
    <w:rsid w:val="009C32E1"/>
    <w:rsid w:val="009C331B"/>
    <w:rsid w:val="009C33AA"/>
    <w:rsid w:val="009C33CC"/>
    <w:rsid w:val="009C3456"/>
    <w:rsid w:val="009C3642"/>
    <w:rsid w:val="009C3652"/>
    <w:rsid w:val="009C36C7"/>
    <w:rsid w:val="009C36FE"/>
    <w:rsid w:val="009C372C"/>
    <w:rsid w:val="009C3734"/>
    <w:rsid w:val="009C37BA"/>
    <w:rsid w:val="009C37CE"/>
    <w:rsid w:val="009C38BF"/>
    <w:rsid w:val="009C3959"/>
    <w:rsid w:val="009C399F"/>
    <w:rsid w:val="009C39F9"/>
    <w:rsid w:val="009C3AD4"/>
    <w:rsid w:val="009C3B05"/>
    <w:rsid w:val="009C3B40"/>
    <w:rsid w:val="009C3BA2"/>
    <w:rsid w:val="009C3CE6"/>
    <w:rsid w:val="009C3D75"/>
    <w:rsid w:val="009C3D9A"/>
    <w:rsid w:val="009C3DB3"/>
    <w:rsid w:val="009C3F48"/>
    <w:rsid w:val="009C3F98"/>
    <w:rsid w:val="009C3FA2"/>
    <w:rsid w:val="009C401A"/>
    <w:rsid w:val="009C4058"/>
    <w:rsid w:val="009C4165"/>
    <w:rsid w:val="009C42AE"/>
    <w:rsid w:val="009C4351"/>
    <w:rsid w:val="009C435F"/>
    <w:rsid w:val="009C4407"/>
    <w:rsid w:val="009C4408"/>
    <w:rsid w:val="009C441A"/>
    <w:rsid w:val="009C44AE"/>
    <w:rsid w:val="009C4570"/>
    <w:rsid w:val="009C4646"/>
    <w:rsid w:val="009C4955"/>
    <w:rsid w:val="009C4A31"/>
    <w:rsid w:val="009C4BA9"/>
    <w:rsid w:val="009C4C4B"/>
    <w:rsid w:val="009C4C52"/>
    <w:rsid w:val="009C4D59"/>
    <w:rsid w:val="009C4DDD"/>
    <w:rsid w:val="009C4E79"/>
    <w:rsid w:val="009C4EDD"/>
    <w:rsid w:val="009C4EE6"/>
    <w:rsid w:val="009C4F71"/>
    <w:rsid w:val="009C5068"/>
    <w:rsid w:val="009C5074"/>
    <w:rsid w:val="009C50ED"/>
    <w:rsid w:val="009C50EE"/>
    <w:rsid w:val="009C50F1"/>
    <w:rsid w:val="009C515C"/>
    <w:rsid w:val="009C51A2"/>
    <w:rsid w:val="009C5273"/>
    <w:rsid w:val="009C53EC"/>
    <w:rsid w:val="009C5472"/>
    <w:rsid w:val="009C551E"/>
    <w:rsid w:val="009C5573"/>
    <w:rsid w:val="009C55E6"/>
    <w:rsid w:val="009C5694"/>
    <w:rsid w:val="009C56A4"/>
    <w:rsid w:val="009C56D3"/>
    <w:rsid w:val="009C5782"/>
    <w:rsid w:val="009C579D"/>
    <w:rsid w:val="009C57DE"/>
    <w:rsid w:val="009C5916"/>
    <w:rsid w:val="009C5957"/>
    <w:rsid w:val="009C5965"/>
    <w:rsid w:val="009C599D"/>
    <w:rsid w:val="009C59B4"/>
    <w:rsid w:val="009C5B31"/>
    <w:rsid w:val="009C5B9E"/>
    <w:rsid w:val="009C5BE9"/>
    <w:rsid w:val="009C5C68"/>
    <w:rsid w:val="009C5D2B"/>
    <w:rsid w:val="009C5D2F"/>
    <w:rsid w:val="009C5D84"/>
    <w:rsid w:val="009C5E31"/>
    <w:rsid w:val="009C5EC6"/>
    <w:rsid w:val="009C5EEB"/>
    <w:rsid w:val="009C5F2D"/>
    <w:rsid w:val="009C5FD6"/>
    <w:rsid w:val="009C6072"/>
    <w:rsid w:val="009C6147"/>
    <w:rsid w:val="009C6238"/>
    <w:rsid w:val="009C6348"/>
    <w:rsid w:val="009C64F4"/>
    <w:rsid w:val="009C6517"/>
    <w:rsid w:val="009C6591"/>
    <w:rsid w:val="009C65C4"/>
    <w:rsid w:val="009C65CA"/>
    <w:rsid w:val="009C6610"/>
    <w:rsid w:val="009C665F"/>
    <w:rsid w:val="009C66F1"/>
    <w:rsid w:val="009C6728"/>
    <w:rsid w:val="009C6756"/>
    <w:rsid w:val="009C697E"/>
    <w:rsid w:val="009C6A20"/>
    <w:rsid w:val="009C6AF8"/>
    <w:rsid w:val="009C6C2C"/>
    <w:rsid w:val="009C6CB7"/>
    <w:rsid w:val="009C6CCB"/>
    <w:rsid w:val="009C6CF1"/>
    <w:rsid w:val="009C6DD9"/>
    <w:rsid w:val="009C6E32"/>
    <w:rsid w:val="009C6EB8"/>
    <w:rsid w:val="009C6EBF"/>
    <w:rsid w:val="009C6EDB"/>
    <w:rsid w:val="009C6F2E"/>
    <w:rsid w:val="009C6FAE"/>
    <w:rsid w:val="009C6FCE"/>
    <w:rsid w:val="009C6FE7"/>
    <w:rsid w:val="009C70DC"/>
    <w:rsid w:val="009C70F5"/>
    <w:rsid w:val="009C70FB"/>
    <w:rsid w:val="009C7184"/>
    <w:rsid w:val="009C74BD"/>
    <w:rsid w:val="009C7549"/>
    <w:rsid w:val="009C75E3"/>
    <w:rsid w:val="009C76CC"/>
    <w:rsid w:val="009C76D8"/>
    <w:rsid w:val="009C7792"/>
    <w:rsid w:val="009C77C0"/>
    <w:rsid w:val="009C77C8"/>
    <w:rsid w:val="009C783D"/>
    <w:rsid w:val="009C78AE"/>
    <w:rsid w:val="009C78F4"/>
    <w:rsid w:val="009C7915"/>
    <w:rsid w:val="009C7917"/>
    <w:rsid w:val="009C79C3"/>
    <w:rsid w:val="009C7AFD"/>
    <w:rsid w:val="009C7B95"/>
    <w:rsid w:val="009C7EA1"/>
    <w:rsid w:val="009C7F9B"/>
    <w:rsid w:val="009D001E"/>
    <w:rsid w:val="009D009A"/>
    <w:rsid w:val="009D012B"/>
    <w:rsid w:val="009D018A"/>
    <w:rsid w:val="009D0195"/>
    <w:rsid w:val="009D01C2"/>
    <w:rsid w:val="009D024A"/>
    <w:rsid w:val="009D02DA"/>
    <w:rsid w:val="009D032F"/>
    <w:rsid w:val="009D0333"/>
    <w:rsid w:val="009D0377"/>
    <w:rsid w:val="009D03DD"/>
    <w:rsid w:val="009D048B"/>
    <w:rsid w:val="009D04BF"/>
    <w:rsid w:val="009D04E1"/>
    <w:rsid w:val="009D04EA"/>
    <w:rsid w:val="009D050D"/>
    <w:rsid w:val="009D0639"/>
    <w:rsid w:val="009D06BE"/>
    <w:rsid w:val="009D06EA"/>
    <w:rsid w:val="009D0738"/>
    <w:rsid w:val="009D076F"/>
    <w:rsid w:val="009D0781"/>
    <w:rsid w:val="009D078A"/>
    <w:rsid w:val="009D0919"/>
    <w:rsid w:val="009D0ABD"/>
    <w:rsid w:val="009D0B97"/>
    <w:rsid w:val="009D0D32"/>
    <w:rsid w:val="009D0E64"/>
    <w:rsid w:val="009D0EC8"/>
    <w:rsid w:val="009D0F08"/>
    <w:rsid w:val="009D101B"/>
    <w:rsid w:val="009D1140"/>
    <w:rsid w:val="009D115A"/>
    <w:rsid w:val="009D1177"/>
    <w:rsid w:val="009D11BE"/>
    <w:rsid w:val="009D11C9"/>
    <w:rsid w:val="009D1409"/>
    <w:rsid w:val="009D1420"/>
    <w:rsid w:val="009D1562"/>
    <w:rsid w:val="009D1575"/>
    <w:rsid w:val="009D1615"/>
    <w:rsid w:val="009D163B"/>
    <w:rsid w:val="009D1745"/>
    <w:rsid w:val="009D17CB"/>
    <w:rsid w:val="009D1836"/>
    <w:rsid w:val="009D18BF"/>
    <w:rsid w:val="009D1900"/>
    <w:rsid w:val="009D190B"/>
    <w:rsid w:val="009D1939"/>
    <w:rsid w:val="009D19C4"/>
    <w:rsid w:val="009D1A2A"/>
    <w:rsid w:val="009D1A64"/>
    <w:rsid w:val="009D1ABB"/>
    <w:rsid w:val="009D1ADE"/>
    <w:rsid w:val="009D1BCB"/>
    <w:rsid w:val="009D1BEF"/>
    <w:rsid w:val="009D1BF1"/>
    <w:rsid w:val="009D1C21"/>
    <w:rsid w:val="009D1CED"/>
    <w:rsid w:val="009D1D73"/>
    <w:rsid w:val="009D1DBA"/>
    <w:rsid w:val="009D1DFC"/>
    <w:rsid w:val="009D1E2E"/>
    <w:rsid w:val="009D1EF1"/>
    <w:rsid w:val="009D1F4D"/>
    <w:rsid w:val="009D1FA0"/>
    <w:rsid w:val="009D1FBC"/>
    <w:rsid w:val="009D1FEE"/>
    <w:rsid w:val="009D20E1"/>
    <w:rsid w:val="009D217E"/>
    <w:rsid w:val="009D219C"/>
    <w:rsid w:val="009D21F5"/>
    <w:rsid w:val="009D222F"/>
    <w:rsid w:val="009D2267"/>
    <w:rsid w:val="009D22F1"/>
    <w:rsid w:val="009D2358"/>
    <w:rsid w:val="009D2413"/>
    <w:rsid w:val="009D248F"/>
    <w:rsid w:val="009D251F"/>
    <w:rsid w:val="009D253B"/>
    <w:rsid w:val="009D255E"/>
    <w:rsid w:val="009D2591"/>
    <w:rsid w:val="009D2597"/>
    <w:rsid w:val="009D2609"/>
    <w:rsid w:val="009D26B8"/>
    <w:rsid w:val="009D26CB"/>
    <w:rsid w:val="009D2742"/>
    <w:rsid w:val="009D279C"/>
    <w:rsid w:val="009D296A"/>
    <w:rsid w:val="009D297C"/>
    <w:rsid w:val="009D297D"/>
    <w:rsid w:val="009D29C8"/>
    <w:rsid w:val="009D2AB3"/>
    <w:rsid w:val="009D2B27"/>
    <w:rsid w:val="009D2B91"/>
    <w:rsid w:val="009D2CCD"/>
    <w:rsid w:val="009D2E0A"/>
    <w:rsid w:val="009D2EBF"/>
    <w:rsid w:val="009D2ED8"/>
    <w:rsid w:val="009D2F67"/>
    <w:rsid w:val="009D30B4"/>
    <w:rsid w:val="009D30C6"/>
    <w:rsid w:val="009D31AB"/>
    <w:rsid w:val="009D3201"/>
    <w:rsid w:val="009D3318"/>
    <w:rsid w:val="009D3506"/>
    <w:rsid w:val="009D3507"/>
    <w:rsid w:val="009D35AA"/>
    <w:rsid w:val="009D3694"/>
    <w:rsid w:val="009D36D1"/>
    <w:rsid w:val="009D3778"/>
    <w:rsid w:val="009D37A0"/>
    <w:rsid w:val="009D37AC"/>
    <w:rsid w:val="009D38FD"/>
    <w:rsid w:val="009D396F"/>
    <w:rsid w:val="009D3978"/>
    <w:rsid w:val="009D39B2"/>
    <w:rsid w:val="009D3ADA"/>
    <w:rsid w:val="009D3BF0"/>
    <w:rsid w:val="009D3C24"/>
    <w:rsid w:val="009D3CAA"/>
    <w:rsid w:val="009D3CEC"/>
    <w:rsid w:val="009D3D3A"/>
    <w:rsid w:val="009D3D6F"/>
    <w:rsid w:val="009D3EEE"/>
    <w:rsid w:val="009D3F0B"/>
    <w:rsid w:val="009D3F30"/>
    <w:rsid w:val="009D4022"/>
    <w:rsid w:val="009D40E3"/>
    <w:rsid w:val="009D4124"/>
    <w:rsid w:val="009D4200"/>
    <w:rsid w:val="009D4206"/>
    <w:rsid w:val="009D422C"/>
    <w:rsid w:val="009D4236"/>
    <w:rsid w:val="009D433F"/>
    <w:rsid w:val="009D438D"/>
    <w:rsid w:val="009D444B"/>
    <w:rsid w:val="009D45E1"/>
    <w:rsid w:val="009D4609"/>
    <w:rsid w:val="009D46F8"/>
    <w:rsid w:val="009D48C0"/>
    <w:rsid w:val="009D48D7"/>
    <w:rsid w:val="009D48F4"/>
    <w:rsid w:val="009D49EB"/>
    <w:rsid w:val="009D4AC9"/>
    <w:rsid w:val="009D4B84"/>
    <w:rsid w:val="009D4F58"/>
    <w:rsid w:val="009D5075"/>
    <w:rsid w:val="009D507A"/>
    <w:rsid w:val="009D50B6"/>
    <w:rsid w:val="009D50E8"/>
    <w:rsid w:val="009D5107"/>
    <w:rsid w:val="009D5157"/>
    <w:rsid w:val="009D5253"/>
    <w:rsid w:val="009D5265"/>
    <w:rsid w:val="009D531F"/>
    <w:rsid w:val="009D537D"/>
    <w:rsid w:val="009D5443"/>
    <w:rsid w:val="009D5476"/>
    <w:rsid w:val="009D55AB"/>
    <w:rsid w:val="009D55C6"/>
    <w:rsid w:val="009D56A8"/>
    <w:rsid w:val="009D56DB"/>
    <w:rsid w:val="009D573D"/>
    <w:rsid w:val="009D5774"/>
    <w:rsid w:val="009D5909"/>
    <w:rsid w:val="009D5959"/>
    <w:rsid w:val="009D59B9"/>
    <w:rsid w:val="009D5A79"/>
    <w:rsid w:val="009D5AFA"/>
    <w:rsid w:val="009D5B39"/>
    <w:rsid w:val="009D5BC8"/>
    <w:rsid w:val="009D5C4D"/>
    <w:rsid w:val="009D5C64"/>
    <w:rsid w:val="009D5D4E"/>
    <w:rsid w:val="009D5D6E"/>
    <w:rsid w:val="009D5D8E"/>
    <w:rsid w:val="009D5DE5"/>
    <w:rsid w:val="009D5E02"/>
    <w:rsid w:val="009D5E44"/>
    <w:rsid w:val="009D5E56"/>
    <w:rsid w:val="009D5F4D"/>
    <w:rsid w:val="009D5FA8"/>
    <w:rsid w:val="009D604D"/>
    <w:rsid w:val="009D60F2"/>
    <w:rsid w:val="009D611E"/>
    <w:rsid w:val="009D616E"/>
    <w:rsid w:val="009D6490"/>
    <w:rsid w:val="009D6583"/>
    <w:rsid w:val="009D6630"/>
    <w:rsid w:val="009D6682"/>
    <w:rsid w:val="009D6714"/>
    <w:rsid w:val="009D6801"/>
    <w:rsid w:val="009D681E"/>
    <w:rsid w:val="009D684A"/>
    <w:rsid w:val="009D68CF"/>
    <w:rsid w:val="009D694D"/>
    <w:rsid w:val="009D698E"/>
    <w:rsid w:val="009D6A5F"/>
    <w:rsid w:val="009D6C03"/>
    <w:rsid w:val="009D6C48"/>
    <w:rsid w:val="009D6C9F"/>
    <w:rsid w:val="009D6CA6"/>
    <w:rsid w:val="009D6CFA"/>
    <w:rsid w:val="009D6D61"/>
    <w:rsid w:val="009D6DC3"/>
    <w:rsid w:val="009D6DF7"/>
    <w:rsid w:val="009D6E2E"/>
    <w:rsid w:val="009D6E83"/>
    <w:rsid w:val="009D6E8B"/>
    <w:rsid w:val="009D6EC3"/>
    <w:rsid w:val="009D6F34"/>
    <w:rsid w:val="009D6F86"/>
    <w:rsid w:val="009D6FBC"/>
    <w:rsid w:val="009D70A4"/>
    <w:rsid w:val="009D71BE"/>
    <w:rsid w:val="009D7327"/>
    <w:rsid w:val="009D7371"/>
    <w:rsid w:val="009D74AB"/>
    <w:rsid w:val="009D7566"/>
    <w:rsid w:val="009D7602"/>
    <w:rsid w:val="009D760A"/>
    <w:rsid w:val="009D762B"/>
    <w:rsid w:val="009D773B"/>
    <w:rsid w:val="009D7753"/>
    <w:rsid w:val="009D77F6"/>
    <w:rsid w:val="009D78DB"/>
    <w:rsid w:val="009D79A6"/>
    <w:rsid w:val="009D79B4"/>
    <w:rsid w:val="009D79BF"/>
    <w:rsid w:val="009D79CE"/>
    <w:rsid w:val="009D79DC"/>
    <w:rsid w:val="009D7B2C"/>
    <w:rsid w:val="009D7CA1"/>
    <w:rsid w:val="009D7CBD"/>
    <w:rsid w:val="009D7CC5"/>
    <w:rsid w:val="009D7D8F"/>
    <w:rsid w:val="009D7DF2"/>
    <w:rsid w:val="009D7F32"/>
    <w:rsid w:val="009D7F3C"/>
    <w:rsid w:val="009D7FAA"/>
    <w:rsid w:val="009D7FB8"/>
    <w:rsid w:val="009E007D"/>
    <w:rsid w:val="009E01A4"/>
    <w:rsid w:val="009E01BA"/>
    <w:rsid w:val="009E027D"/>
    <w:rsid w:val="009E0298"/>
    <w:rsid w:val="009E044D"/>
    <w:rsid w:val="009E047E"/>
    <w:rsid w:val="009E04FD"/>
    <w:rsid w:val="009E0529"/>
    <w:rsid w:val="009E057B"/>
    <w:rsid w:val="009E05F0"/>
    <w:rsid w:val="009E0606"/>
    <w:rsid w:val="009E0668"/>
    <w:rsid w:val="009E06BD"/>
    <w:rsid w:val="009E06C8"/>
    <w:rsid w:val="009E0713"/>
    <w:rsid w:val="009E0788"/>
    <w:rsid w:val="009E07C3"/>
    <w:rsid w:val="009E0902"/>
    <w:rsid w:val="009E0974"/>
    <w:rsid w:val="009E0ACA"/>
    <w:rsid w:val="009E0CD6"/>
    <w:rsid w:val="009E0D75"/>
    <w:rsid w:val="009E0FC1"/>
    <w:rsid w:val="009E0FFE"/>
    <w:rsid w:val="009E10AA"/>
    <w:rsid w:val="009E115C"/>
    <w:rsid w:val="009E1250"/>
    <w:rsid w:val="009E12F2"/>
    <w:rsid w:val="009E1381"/>
    <w:rsid w:val="009E138F"/>
    <w:rsid w:val="009E13F6"/>
    <w:rsid w:val="009E1551"/>
    <w:rsid w:val="009E1562"/>
    <w:rsid w:val="009E166B"/>
    <w:rsid w:val="009E1824"/>
    <w:rsid w:val="009E18CA"/>
    <w:rsid w:val="009E1AC5"/>
    <w:rsid w:val="009E1B0D"/>
    <w:rsid w:val="009E1BAD"/>
    <w:rsid w:val="009E1BC2"/>
    <w:rsid w:val="009E1C33"/>
    <w:rsid w:val="009E1DB3"/>
    <w:rsid w:val="009E1E98"/>
    <w:rsid w:val="009E1E9E"/>
    <w:rsid w:val="009E1ECF"/>
    <w:rsid w:val="009E1F3D"/>
    <w:rsid w:val="009E2009"/>
    <w:rsid w:val="009E2024"/>
    <w:rsid w:val="009E2062"/>
    <w:rsid w:val="009E20DF"/>
    <w:rsid w:val="009E21E1"/>
    <w:rsid w:val="009E223C"/>
    <w:rsid w:val="009E2243"/>
    <w:rsid w:val="009E2288"/>
    <w:rsid w:val="009E22F6"/>
    <w:rsid w:val="009E2340"/>
    <w:rsid w:val="009E2484"/>
    <w:rsid w:val="009E26B5"/>
    <w:rsid w:val="009E270D"/>
    <w:rsid w:val="009E274C"/>
    <w:rsid w:val="009E275E"/>
    <w:rsid w:val="009E27B6"/>
    <w:rsid w:val="009E2867"/>
    <w:rsid w:val="009E286C"/>
    <w:rsid w:val="009E2998"/>
    <w:rsid w:val="009E2AB8"/>
    <w:rsid w:val="009E2B1E"/>
    <w:rsid w:val="009E2B29"/>
    <w:rsid w:val="009E2BEC"/>
    <w:rsid w:val="009E2C01"/>
    <w:rsid w:val="009E2E0D"/>
    <w:rsid w:val="009E2E19"/>
    <w:rsid w:val="009E2F2D"/>
    <w:rsid w:val="009E2F88"/>
    <w:rsid w:val="009E31A3"/>
    <w:rsid w:val="009E323A"/>
    <w:rsid w:val="009E3262"/>
    <w:rsid w:val="009E330D"/>
    <w:rsid w:val="009E336C"/>
    <w:rsid w:val="009E33B3"/>
    <w:rsid w:val="009E34BA"/>
    <w:rsid w:val="009E34D5"/>
    <w:rsid w:val="009E34D9"/>
    <w:rsid w:val="009E3520"/>
    <w:rsid w:val="009E3554"/>
    <w:rsid w:val="009E35B1"/>
    <w:rsid w:val="009E35D0"/>
    <w:rsid w:val="009E3669"/>
    <w:rsid w:val="009E37C9"/>
    <w:rsid w:val="009E38FD"/>
    <w:rsid w:val="009E396E"/>
    <w:rsid w:val="009E3A0E"/>
    <w:rsid w:val="009E3A43"/>
    <w:rsid w:val="009E3AAD"/>
    <w:rsid w:val="009E3B83"/>
    <w:rsid w:val="009E3C28"/>
    <w:rsid w:val="009E3C40"/>
    <w:rsid w:val="009E3D36"/>
    <w:rsid w:val="009E3D48"/>
    <w:rsid w:val="009E3DFB"/>
    <w:rsid w:val="009E3E47"/>
    <w:rsid w:val="009E3E68"/>
    <w:rsid w:val="009E3EC6"/>
    <w:rsid w:val="009E3EF4"/>
    <w:rsid w:val="009E3F88"/>
    <w:rsid w:val="009E40A0"/>
    <w:rsid w:val="009E40FB"/>
    <w:rsid w:val="009E41F2"/>
    <w:rsid w:val="009E4252"/>
    <w:rsid w:val="009E4312"/>
    <w:rsid w:val="009E4334"/>
    <w:rsid w:val="009E4363"/>
    <w:rsid w:val="009E43D7"/>
    <w:rsid w:val="009E45FF"/>
    <w:rsid w:val="009E46A9"/>
    <w:rsid w:val="009E47D9"/>
    <w:rsid w:val="009E4802"/>
    <w:rsid w:val="009E484F"/>
    <w:rsid w:val="009E491F"/>
    <w:rsid w:val="009E49F6"/>
    <w:rsid w:val="009E4A07"/>
    <w:rsid w:val="009E4A13"/>
    <w:rsid w:val="009E4A76"/>
    <w:rsid w:val="009E4B6B"/>
    <w:rsid w:val="009E4BDC"/>
    <w:rsid w:val="009E4BF1"/>
    <w:rsid w:val="009E4BF7"/>
    <w:rsid w:val="009E4C2B"/>
    <w:rsid w:val="009E4C54"/>
    <w:rsid w:val="009E4CC6"/>
    <w:rsid w:val="009E4CE2"/>
    <w:rsid w:val="009E4D38"/>
    <w:rsid w:val="009E4D64"/>
    <w:rsid w:val="009E4D95"/>
    <w:rsid w:val="009E4DCA"/>
    <w:rsid w:val="009E4DE3"/>
    <w:rsid w:val="009E4F3E"/>
    <w:rsid w:val="009E50BB"/>
    <w:rsid w:val="009E50C7"/>
    <w:rsid w:val="009E51B5"/>
    <w:rsid w:val="009E5332"/>
    <w:rsid w:val="009E53C7"/>
    <w:rsid w:val="009E53DE"/>
    <w:rsid w:val="009E53F7"/>
    <w:rsid w:val="009E5475"/>
    <w:rsid w:val="009E559C"/>
    <w:rsid w:val="009E55C1"/>
    <w:rsid w:val="009E57EE"/>
    <w:rsid w:val="009E58EB"/>
    <w:rsid w:val="009E5921"/>
    <w:rsid w:val="009E5986"/>
    <w:rsid w:val="009E5988"/>
    <w:rsid w:val="009E59E7"/>
    <w:rsid w:val="009E5AC2"/>
    <w:rsid w:val="009E5B1A"/>
    <w:rsid w:val="009E5B67"/>
    <w:rsid w:val="009E5C76"/>
    <w:rsid w:val="009E5CAA"/>
    <w:rsid w:val="009E5DF1"/>
    <w:rsid w:val="009E5EFB"/>
    <w:rsid w:val="009E5F13"/>
    <w:rsid w:val="009E5F4F"/>
    <w:rsid w:val="009E5FCB"/>
    <w:rsid w:val="009E6019"/>
    <w:rsid w:val="009E602B"/>
    <w:rsid w:val="009E602F"/>
    <w:rsid w:val="009E60F6"/>
    <w:rsid w:val="009E613D"/>
    <w:rsid w:val="009E614C"/>
    <w:rsid w:val="009E61CF"/>
    <w:rsid w:val="009E6206"/>
    <w:rsid w:val="009E63C4"/>
    <w:rsid w:val="009E640E"/>
    <w:rsid w:val="009E647E"/>
    <w:rsid w:val="009E64A4"/>
    <w:rsid w:val="009E6502"/>
    <w:rsid w:val="009E6601"/>
    <w:rsid w:val="009E660B"/>
    <w:rsid w:val="009E6640"/>
    <w:rsid w:val="009E6650"/>
    <w:rsid w:val="009E669B"/>
    <w:rsid w:val="009E677A"/>
    <w:rsid w:val="009E679C"/>
    <w:rsid w:val="009E68B7"/>
    <w:rsid w:val="009E6914"/>
    <w:rsid w:val="009E6971"/>
    <w:rsid w:val="009E69A2"/>
    <w:rsid w:val="009E6AE0"/>
    <w:rsid w:val="009E6B3C"/>
    <w:rsid w:val="009E6BAB"/>
    <w:rsid w:val="009E6C8A"/>
    <w:rsid w:val="009E6D0A"/>
    <w:rsid w:val="009E6D63"/>
    <w:rsid w:val="009E6DC2"/>
    <w:rsid w:val="009E6E4F"/>
    <w:rsid w:val="009E6E6A"/>
    <w:rsid w:val="009E6F04"/>
    <w:rsid w:val="009E6F13"/>
    <w:rsid w:val="009E6F7A"/>
    <w:rsid w:val="009E7052"/>
    <w:rsid w:val="009E71DE"/>
    <w:rsid w:val="009E71E3"/>
    <w:rsid w:val="009E7217"/>
    <w:rsid w:val="009E72D3"/>
    <w:rsid w:val="009E7326"/>
    <w:rsid w:val="009E7374"/>
    <w:rsid w:val="009E74FA"/>
    <w:rsid w:val="009E7502"/>
    <w:rsid w:val="009E7548"/>
    <w:rsid w:val="009E75A0"/>
    <w:rsid w:val="009E76D0"/>
    <w:rsid w:val="009E76FE"/>
    <w:rsid w:val="009E78FE"/>
    <w:rsid w:val="009E7A0C"/>
    <w:rsid w:val="009E7A19"/>
    <w:rsid w:val="009E7A27"/>
    <w:rsid w:val="009E7AB5"/>
    <w:rsid w:val="009E7B35"/>
    <w:rsid w:val="009E7D16"/>
    <w:rsid w:val="009E7DAA"/>
    <w:rsid w:val="009E7E8B"/>
    <w:rsid w:val="009E7F81"/>
    <w:rsid w:val="009E7FC9"/>
    <w:rsid w:val="009E7FE4"/>
    <w:rsid w:val="009F000B"/>
    <w:rsid w:val="009F0061"/>
    <w:rsid w:val="009F00EB"/>
    <w:rsid w:val="009F0108"/>
    <w:rsid w:val="009F020A"/>
    <w:rsid w:val="009F022B"/>
    <w:rsid w:val="009F0276"/>
    <w:rsid w:val="009F02C9"/>
    <w:rsid w:val="009F0313"/>
    <w:rsid w:val="009F057B"/>
    <w:rsid w:val="009F057D"/>
    <w:rsid w:val="009F05AD"/>
    <w:rsid w:val="009F05BA"/>
    <w:rsid w:val="009F0648"/>
    <w:rsid w:val="009F06D2"/>
    <w:rsid w:val="009F07A9"/>
    <w:rsid w:val="009F09D5"/>
    <w:rsid w:val="009F0AE6"/>
    <w:rsid w:val="009F0B85"/>
    <w:rsid w:val="009F0C32"/>
    <w:rsid w:val="009F0CF9"/>
    <w:rsid w:val="009F0E88"/>
    <w:rsid w:val="009F0E9E"/>
    <w:rsid w:val="009F0EE6"/>
    <w:rsid w:val="009F0EE7"/>
    <w:rsid w:val="009F0F30"/>
    <w:rsid w:val="009F0F36"/>
    <w:rsid w:val="009F0F54"/>
    <w:rsid w:val="009F0FBF"/>
    <w:rsid w:val="009F0FEC"/>
    <w:rsid w:val="009F10F9"/>
    <w:rsid w:val="009F111A"/>
    <w:rsid w:val="009F116D"/>
    <w:rsid w:val="009F11AC"/>
    <w:rsid w:val="009F1241"/>
    <w:rsid w:val="009F127A"/>
    <w:rsid w:val="009F135B"/>
    <w:rsid w:val="009F13F0"/>
    <w:rsid w:val="009F14DB"/>
    <w:rsid w:val="009F1568"/>
    <w:rsid w:val="009F1847"/>
    <w:rsid w:val="009F18C9"/>
    <w:rsid w:val="009F1A25"/>
    <w:rsid w:val="009F1A4E"/>
    <w:rsid w:val="009F1B9D"/>
    <w:rsid w:val="009F1BDE"/>
    <w:rsid w:val="009F1C39"/>
    <w:rsid w:val="009F1CE7"/>
    <w:rsid w:val="009F1D24"/>
    <w:rsid w:val="009F1E63"/>
    <w:rsid w:val="009F1FD1"/>
    <w:rsid w:val="009F208C"/>
    <w:rsid w:val="009F2098"/>
    <w:rsid w:val="009F20C1"/>
    <w:rsid w:val="009F219C"/>
    <w:rsid w:val="009F2201"/>
    <w:rsid w:val="009F224E"/>
    <w:rsid w:val="009F22A4"/>
    <w:rsid w:val="009F234F"/>
    <w:rsid w:val="009F2426"/>
    <w:rsid w:val="009F2431"/>
    <w:rsid w:val="009F25D1"/>
    <w:rsid w:val="009F2741"/>
    <w:rsid w:val="009F28AB"/>
    <w:rsid w:val="009F28C2"/>
    <w:rsid w:val="009F299C"/>
    <w:rsid w:val="009F29A8"/>
    <w:rsid w:val="009F29DE"/>
    <w:rsid w:val="009F2A51"/>
    <w:rsid w:val="009F2CA3"/>
    <w:rsid w:val="009F2D5E"/>
    <w:rsid w:val="009F2E2C"/>
    <w:rsid w:val="009F2F16"/>
    <w:rsid w:val="009F2F8D"/>
    <w:rsid w:val="009F3049"/>
    <w:rsid w:val="009F3094"/>
    <w:rsid w:val="009F30C2"/>
    <w:rsid w:val="009F3103"/>
    <w:rsid w:val="009F3114"/>
    <w:rsid w:val="009F31CD"/>
    <w:rsid w:val="009F31CF"/>
    <w:rsid w:val="009F3364"/>
    <w:rsid w:val="009F33C6"/>
    <w:rsid w:val="009F3400"/>
    <w:rsid w:val="009F349F"/>
    <w:rsid w:val="009F36D3"/>
    <w:rsid w:val="009F37F7"/>
    <w:rsid w:val="009F3989"/>
    <w:rsid w:val="009F39CD"/>
    <w:rsid w:val="009F3A41"/>
    <w:rsid w:val="009F3A65"/>
    <w:rsid w:val="009F3ADF"/>
    <w:rsid w:val="009F3B30"/>
    <w:rsid w:val="009F3BD6"/>
    <w:rsid w:val="009F3C0A"/>
    <w:rsid w:val="009F3C45"/>
    <w:rsid w:val="009F3C9B"/>
    <w:rsid w:val="009F3CBD"/>
    <w:rsid w:val="009F3CD5"/>
    <w:rsid w:val="009F3CE7"/>
    <w:rsid w:val="009F3D4F"/>
    <w:rsid w:val="009F3F2F"/>
    <w:rsid w:val="009F4003"/>
    <w:rsid w:val="009F405E"/>
    <w:rsid w:val="009F41EA"/>
    <w:rsid w:val="009F42D2"/>
    <w:rsid w:val="009F4304"/>
    <w:rsid w:val="009F4423"/>
    <w:rsid w:val="009F46EE"/>
    <w:rsid w:val="009F4700"/>
    <w:rsid w:val="009F4750"/>
    <w:rsid w:val="009F479E"/>
    <w:rsid w:val="009F47FE"/>
    <w:rsid w:val="009F4805"/>
    <w:rsid w:val="009F4952"/>
    <w:rsid w:val="009F495F"/>
    <w:rsid w:val="009F49E7"/>
    <w:rsid w:val="009F4A97"/>
    <w:rsid w:val="009F4AD8"/>
    <w:rsid w:val="009F4B96"/>
    <w:rsid w:val="009F4BC7"/>
    <w:rsid w:val="009F4C01"/>
    <w:rsid w:val="009F4CD8"/>
    <w:rsid w:val="009F4DE4"/>
    <w:rsid w:val="009F4E3E"/>
    <w:rsid w:val="009F4E77"/>
    <w:rsid w:val="009F4F01"/>
    <w:rsid w:val="009F4FB8"/>
    <w:rsid w:val="009F4FDC"/>
    <w:rsid w:val="009F5038"/>
    <w:rsid w:val="009F5081"/>
    <w:rsid w:val="009F5119"/>
    <w:rsid w:val="009F522D"/>
    <w:rsid w:val="009F525E"/>
    <w:rsid w:val="009F538A"/>
    <w:rsid w:val="009F5455"/>
    <w:rsid w:val="009F54F4"/>
    <w:rsid w:val="009F556C"/>
    <w:rsid w:val="009F5584"/>
    <w:rsid w:val="009F562E"/>
    <w:rsid w:val="009F581F"/>
    <w:rsid w:val="009F5828"/>
    <w:rsid w:val="009F588E"/>
    <w:rsid w:val="009F59B7"/>
    <w:rsid w:val="009F59B9"/>
    <w:rsid w:val="009F59FF"/>
    <w:rsid w:val="009F5A11"/>
    <w:rsid w:val="009F5AC2"/>
    <w:rsid w:val="009F5B1F"/>
    <w:rsid w:val="009F5C29"/>
    <w:rsid w:val="009F5C9F"/>
    <w:rsid w:val="009F5D2C"/>
    <w:rsid w:val="009F5F5F"/>
    <w:rsid w:val="009F5F85"/>
    <w:rsid w:val="009F5FC3"/>
    <w:rsid w:val="009F6224"/>
    <w:rsid w:val="009F6266"/>
    <w:rsid w:val="009F631D"/>
    <w:rsid w:val="009F63E4"/>
    <w:rsid w:val="009F64B4"/>
    <w:rsid w:val="009F64FD"/>
    <w:rsid w:val="009F6562"/>
    <w:rsid w:val="009F65E0"/>
    <w:rsid w:val="009F65EF"/>
    <w:rsid w:val="009F6650"/>
    <w:rsid w:val="009F6655"/>
    <w:rsid w:val="009F6737"/>
    <w:rsid w:val="009F6782"/>
    <w:rsid w:val="009F67A1"/>
    <w:rsid w:val="009F6940"/>
    <w:rsid w:val="009F6A6D"/>
    <w:rsid w:val="009F6AD1"/>
    <w:rsid w:val="009F6AED"/>
    <w:rsid w:val="009F6AF6"/>
    <w:rsid w:val="009F6BA5"/>
    <w:rsid w:val="009F6CBF"/>
    <w:rsid w:val="009F6CF0"/>
    <w:rsid w:val="009F6D14"/>
    <w:rsid w:val="009F6D8B"/>
    <w:rsid w:val="009F6E7D"/>
    <w:rsid w:val="009F70C5"/>
    <w:rsid w:val="009F70EE"/>
    <w:rsid w:val="009F7146"/>
    <w:rsid w:val="009F7176"/>
    <w:rsid w:val="009F718F"/>
    <w:rsid w:val="009F71C5"/>
    <w:rsid w:val="009F71F4"/>
    <w:rsid w:val="009F7220"/>
    <w:rsid w:val="009F74AE"/>
    <w:rsid w:val="009F74B1"/>
    <w:rsid w:val="009F74BE"/>
    <w:rsid w:val="009F7518"/>
    <w:rsid w:val="009F75E2"/>
    <w:rsid w:val="009F763C"/>
    <w:rsid w:val="009F7682"/>
    <w:rsid w:val="009F773E"/>
    <w:rsid w:val="009F774D"/>
    <w:rsid w:val="009F7751"/>
    <w:rsid w:val="009F7764"/>
    <w:rsid w:val="009F77CE"/>
    <w:rsid w:val="009F7815"/>
    <w:rsid w:val="009F78CB"/>
    <w:rsid w:val="009F7958"/>
    <w:rsid w:val="009F79DF"/>
    <w:rsid w:val="009F7B07"/>
    <w:rsid w:val="009F7B1D"/>
    <w:rsid w:val="009F7C31"/>
    <w:rsid w:val="009F7CEF"/>
    <w:rsid w:val="009F7E73"/>
    <w:rsid w:val="009F7F1B"/>
    <w:rsid w:val="009F7F3D"/>
    <w:rsid w:val="009F7F58"/>
    <w:rsid w:val="00A000A4"/>
    <w:rsid w:val="00A000AB"/>
    <w:rsid w:val="00A0011B"/>
    <w:rsid w:val="00A001D4"/>
    <w:rsid w:val="00A00280"/>
    <w:rsid w:val="00A00347"/>
    <w:rsid w:val="00A003F7"/>
    <w:rsid w:val="00A00536"/>
    <w:rsid w:val="00A00627"/>
    <w:rsid w:val="00A0077D"/>
    <w:rsid w:val="00A008E1"/>
    <w:rsid w:val="00A008EC"/>
    <w:rsid w:val="00A009C8"/>
    <w:rsid w:val="00A009D5"/>
    <w:rsid w:val="00A00A9B"/>
    <w:rsid w:val="00A00BB3"/>
    <w:rsid w:val="00A00C29"/>
    <w:rsid w:val="00A00D43"/>
    <w:rsid w:val="00A00D93"/>
    <w:rsid w:val="00A00DC5"/>
    <w:rsid w:val="00A00DF2"/>
    <w:rsid w:val="00A00E72"/>
    <w:rsid w:val="00A00E91"/>
    <w:rsid w:val="00A00F1A"/>
    <w:rsid w:val="00A0108D"/>
    <w:rsid w:val="00A0115C"/>
    <w:rsid w:val="00A011E5"/>
    <w:rsid w:val="00A01373"/>
    <w:rsid w:val="00A01528"/>
    <w:rsid w:val="00A01564"/>
    <w:rsid w:val="00A01645"/>
    <w:rsid w:val="00A016B5"/>
    <w:rsid w:val="00A016CE"/>
    <w:rsid w:val="00A01758"/>
    <w:rsid w:val="00A017CD"/>
    <w:rsid w:val="00A0182E"/>
    <w:rsid w:val="00A018EF"/>
    <w:rsid w:val="00A018F9"/>
    <w:rsid w:val="00A01913"/>
    <w:rsid w:val="00A01927"/>
    <w:rsid w:val="00A01932"/>
    <w:rsid w:val="00A0195B"/>
    <w:rsid w:val="00A019EB"/>
    <w:rsid w:val="00A01A49"/>
    <w:rsid w:val="00A01CAB"/>
    <w:rsid w:val="00A01D06"/>
    <w:rsid w:val="00A01DDF"/>
    <w:rsid w:val="00A01DED"/>
    <w:rsid w:val="00A01DF7"/>
    <w:rsid w:val="00A01E1F"/>
    <w:rsid w:val="00A01E9F"/>
    <w:rsid w:val="00A01EE4"/>
    <w:rsid w:val="00A0201A"/>
    <w:rsid w:val="00A0202C"/>
    <w:rsid w:val="00A0214B"/>
    <w:rsid w:val="00A0215F"/>
    <w:rsid w:val="00A0229A"/>
    <w:rsid w:val="00A02400"/>
    <w:rsid w:val="00A024F9"/>
    <w:rsid w:val="00A02507"/>
    <w:rsid w:val="00A02586"/>
    <w:rsid w:val="00A026BF"/>
    <w:rsid w:val="00A0285E"/>
    <w:rsid w:val="00A0288B"/>
    <w:rsid w:val="00A028CF"/>
    <w:rsid w:val="00A029A7"/>
    <w:rsid w:val="00A02A7A"/>
    <w:rsid w:val="00A02ACF"/>
    <w:rsid w:val="00A02C71"/>
    <w:rsid w:val="00A02D14"/>
    <w:rsid w:val="00A02DC3"/>
    <w:rsid w:val="00A02DD6"/>
    <w:rsid w:val="00A02EA5"/>
    <w:rsid w:val="00A02EE0"/>
    <w:rsid w:val="00A02F81"/>
    <w:rsid w:val="00A02FA4"/>
    <w:rsid w:val="00A02FC4"/>
    <w:rsid w:val="00A032FE"/>
    <w:rsid w:val="00A0347E"/>
    <w:rsid w:val="00A034EB"/>
    <w:rsid w:val="00A0354B"/>
    <w:rsid w:val="00A03555"/>
    <w:rsid w:val="00A03569"/>
    <w:rsid w:val="00A03578"/>
    <w:rsid w:val="00A035A7"/>
    <w:rsid w:val="00A0362F"/>
    <w:rsid w:val="00A036BE"/>
    <w:rsid w:val="00A0373A"/>
    <w:rsid w:val="00A037E4"/>
    <w:rsid w:val="00A03857"/>
    <w:rsid w:val="00A038AA"/>
    <w:rsid w:val="00A038E6"/>
    <w:rsid w:val="00A03A0C"/>
    <w:rsid w:val="00A03AF6"/>
    <w:rsid w:val="00A03B00"/>
    <w:rsid w:val="00A03B68"/>
    <w:rsid w:val="00A03B8F"/>
    <w:rsid w:val="00A03BD7"/>
    <w:rsid w:val="00A03CC8"/>
    <w:rsid w:val="00A03EEE"/>
    <w:rsid w:val="00A03FAE"/>
    <w:rsid w:val="00A04077"/>
    <w:rsid w:val="00A0413D"/>
    <w:rsid w:val="00A04143"/>
    <w:rsid w:val="00A041E2"/>
    <w:rsid w:val="00A04205"/>
    <w:rsid w:val="00A0420B"/>
    <w:rsid w:val="00A0427D"/>
    <w:rsid w:val="00A04350"/>
    <w:rsid w:val="00A045B0"/>
    <w:rsid w:val="00A047F4"/>
    <w:rsid w:val="00A04867"/>
    <w:rsid w:val="00A04950"/>
    <w:rsid w:val="00A04A5B"/>
    <w:rsid w:val="00A04A9C"/>
    <w:rsid w:val="00A04B33"/>
    <w:rsid w:val="00A04C33"/>
    <w:rsid w:val="00A04C4E"/>
    <w:rsid w:val="00A04CCC"/>
    <w:rsid w:val="00A04CFC"/>
    <w:rsid w:val="00A04D70"/>
    <w:rsid w:val="00A04F58"/>
    <w:rsid w:val="00A0502E"/>
    <w:rsid w:val="00A0517F"/>
    <w:rsid w:val="00A051D2"/>
    <w:rsid w:val="00A05269"/>
    <w:rsid w:val="00A054FD"/>
    <w:rsid w:val="00A0552B"/>
    <w:rsid w:val="00A0556F"/>
    <w:rsid w:val="00A0564A"/>
    <w:rsid w:val="00A05695"/>
    <w:rsid w:val="00A056A0"/>
    <w:rsid w:val="00A057AD"/>
    <w:rsid w:val="00A057EC"/>
    <w:rsid w:val="00A05972"/>
    <w:rsid w:val="00A05A2D"/>
    <w:rsid w:val="00A05B8D"/>
    <w:rsid w:val="00A05B9F"/>
    <w:rsid w:val="00A05C0E"/>
    <w:rsid w:val="00A05D60"/>
    <w:rsid w:val="00A05D6C"/>
    <w:rsid w:val="00A05DA9"/>
    <w:rsid w:val="00A05DE0"/>
    <w:rsid w:val="00A05E0D"/>
    <w:rsid w:val="00A05E50"/>
    <w:rsid w:val="00A05E5D"/>
    <w:rsid w:val="00A05F62"/>
    <w:rsid w:val="00A05F66"/>
    <w:rsid w:val="00A05FA2"/>
    <w:rsid w:val="00A05FA5"/>
    <w:rsid w:val="00A05FBA"/>
    <w:rsid w:val="00A0633B"/>
    <w:rsid w:val="00A06401"/>
    <w:rsid w:val="00A06481"/>
    <w:rsid w:val="00A06506"/>
    <w:rsid w:val="00A06706"/>
    <w:rsid w:val="00A06708"/>
    <w:rsid w:val="00A06780"/>
    <w:rsid w:val="00A0692E"/>
    <w:rsid w:val="00A06A45"/>
    <w:rsid w:val="00A06AE0"/>
    <w:rsid w:val="00A06B11"/>
    <w:rsid w:val="00A06BAF"/>
    <w:rsid w:val="00A06CEE"/>
    <w:rsid w:val="00A06D51"/>
    <w:rsid w:val="00A06DD6"/>
    <w:rsid w:val="00A06E27"/>
    <w:rsid w:val="00A06E7A"/>
    <w:rsid w:val="00A0703F"/>
    <w:rsid w:val="00A0704B"/>
    <w:rsid w:val="00A0713C"/>
    <w:rsid w:val="00A07170"/>
    <w:rsid w:val="00A0723D"/>
    <w:rsid w:val="00A07500"/>
    <w:rsid w:val="00A075EB"/>
    <w:rsid w:val="00A078D0"/>
    <w:rsid w:val="00A078D2"/>
    <w:rsid w:val="00A07908"/>
    <w:rsid w:val="00A079B9"/>
    <w:rsid w:val="00A07A78"/>
    <w:rsid w:val="00A07AAB"/>
    <w:rsid w:val="00A07BAD"/>
    <w:rsid w:val="00A07C26"/>
    <w:rsid w:val="00A07C49"/>
    <w:rsid w:val="00A07CA6"/>
    <w:rsid w:val="00A07CFE"/>
    <w:rsid w:val="00A07D1E"/>
    <w:rsid w:val="00A07DA8"/>
    <w:rsid w:val="00A07F98"/>
    <w:rsid w:val="00A1008C"/>
    <w:rsid w:val="00A100B5"/>
    <w:rsid w:val="00A101E6"/>
    <w:rsid w:val="00A10225"/>
    <w:rsid w:val="00A10276"/>
    <w:rsid w:val="00A102DD"/>
    <w:rsid w:val="00A10373"/>
    <w:rsid w:val="00A10383"/>
    <w:rsid w:val="00A10536"/>
    <w:rsid w:val="00A105D6"/>
    <w:rsid w:val="00A1060E"/>
    <w:rsid w:val="00A106D6"/>
    <w:rsid w:val="00A1090A"/>
    <w:rsid w:val="00A10974"/>
    <w:rsid w:val="00A1099C"/>
    <w:rsid w:val="00A109D2"/>
    <w:rsid w:val="00A10A6E"/>
    <w:rsid w:val="00A10D20"/>
    <w:rsid w:val="00A10D32"/>
    <w:rsid w:val="00A10DCD"/>
    <w:rsid w:val="00A10DD3"/>
    <w:rsid w:val="00A10EAC"/>
    <w:rsid w:val="00A10EBC"/>
    <w:rsid w:val="00A10F27"/>
    <w:rsid w:val="00A10F2A"/>
    <w:rsid w:val="00A10F48"/>
    <w:rsid w:val="00A11051"/>
    <w:rsid w:val="00A11081"/>
    <w:rsid w:val="00A110A6"/>
    <w:rsid w:val="00A11502"/>
    <w:rsid w:val="00A11536"/>
    <w:rsid w:val="00A11570"/>
    <w:rsid w:val="00A1157B"/>
    <w:rsid w:val="00A115A7"/>
    <w:rsid w:val="00A1175B"/>
    <w:rsid w:val="00A1179B"/>
    <w:rsid w:val="00A117B2"/>
    <w:rsid w:val="00A11807"/>
    <w:rsid w:val="00A11885"/>
    <w:rsid w:val="00A11920"/>
    <w:rsid w:val="00A11992"/>
    <w:rsid w:val="00A11A8A"/>
    <w:rsid w:val="00A11AAC"/>
    <w:rsid w:val="00A11B54"/>
    <w:rsid w:val="00A11BC5"/>
    <w:rsid w:val="00A11BF9"/>
    <w:rsid w:val="00A11C2B"/>
    <w:rsid w:val="00A11CA0"/>
    <w:rsid w:val="00A11D4F"/>
    <w:rsid w:val="00A11DA3"/>
    <w:rsid w:val="00A11DBE"/>
    <w:rsid w:val="00A11DC9"/>
    <w:rsid w:val="00A11F6C"/>
    <w:rsid w:val="00A11FC2"/>
    <w:rsid w:val="00A12013"/>
    <w:rsid w:val="00A12059"/>
    <w:rsid w:val="00A12140"/>
    <w:rsid w:val="00A1214C"/>
    <w:rsid w:val="00A12152"/>
    <w:rsid w:val="00A12212"/>
    <w:rsid w:val="00A1223B"/>
    <w:rsid w:val="00A122F4"/>
    <w:rsid w:val="00A124AB"/>
    <w:rsid w:val="00A12514"/>
    <w:rsid w:val="00A1253E"/>
    <w:rsid w:val="00A12557"/>
    <w:rsid w:val="00A12585"/>
    <w:rsid w:val="00A125CF"/>
    <w:rsid w:val="00A12662"/>
    <w:rsid w:val="00A1270A"/>
    <w:rsid w:val="00A12780"/>
    <w:rsid w:val="00A127B0"/>
    <w:rsid w:val="00A127F8"/>
    <w:rsid w:val="00A1293D"/>
    <w:rsid w:val="00A12949"/>
    <w:rsid w:val="00A12951"/>
    <w:rsid w:val="00A12955"/>
    <w:rsid w:val="00A129C0"/>
    <w:rsid w:val="00A129F3"/>
    <w:rsid w:val="00A129FA"/>
    <w:rsid w:val="00A12AE6"/>
    <w:rsid w:val="00A12B2E"/>
    <w:rsid w:val="00A12B70"/>
    <w:rsid w:val="00A12C29"/>
    <w:rsid w:val="00A12C5A"/>
    <w:rsid w:val="00A12CCD"/>
    <w:rsid w:val="00A12D38"/>
    <w:rsid w:val="00A12DB2"/>
    <w:rsid w:val="00A12EFD"/>
    <w:rsid w:val="00A12F69"/>
    <w:rsid w:val="00A12F9E"/>
    <w:rsid w:val="00A13048"/>
    <w:rsid w:val="00A13112"/>
    <w:rsid w:val="00A131B9"/>
    <w:rsid w:val="00A1321F"/>
    <w:rsid w:val="00A1328E"/>
    <w:rsid w:val="00A132B0"/>
    <w:rsid w:val="00A13333"/>
    <w:rsid w:val="00A13427"/>
    <w:rsid w:val="00A1343F"/>
    <w:rsid w:val="00A1350A"/>
    <w:rsid w:val="00A1358B"/>
    <w:rsid w:val="00A135B5"/>
    <w:rsid w:val="00A1360F"/>
    <w:rsid w:val="00A13620"/>
    <w:rsid w:val="00A136D9"/>
    <w:rsid w:val="00A136EC"/>
    <w:rsid w:val="00A13786"/>
    <w:rsid w:val="00A137A9"/>
    <w:rsid w:val="00A1380E"/>
    <w:rsid w:val="00A1382B"/>
    <w:rsid w:val="00A1390C"/>
    <w:rsid w:val="00A13976"/>
    <w:rsid w:val="00A139EF"/>
    <w:rsid w:val="00A13A7A"/>
    <w:rsid w:val="00A13AA5"/>
    <w:rsid w:val="00A13AFB"/>
    <w:rsid w:val="00A13B63"/>
    <w:rsid w:val="00A13C07"/>
    <w:rsid w:val="00A13CAC"/>
    <w:rsid w:val="00A13D63"/>
    <w:rsid w:val="00A13D76"/>
    <w:rsid w:val="00A13DA1"/>
    <w:rsid w:val="00A13DCF"/>
    <w:rsid w:val="00A13E87"/>
    <w:rsid w:val="00A13EC5"/>
    <w:rsid w:val="00A13FED"/>
    <w:rsid w:val="00A14005"/>
    <w:rsid w:val="00A1402D"/>
    <w:rsid w:val="00A140BA"/>
    <w:rsid w:val="00A14212"/>
    <w:rsid w:val="00A142B5"/>
    <w:rsid w:val="00A14394"/>
    <w:rsid w:val="00A143B7"/>
    <w:rsid w:val="00A143E3"/>
    <w:rsid w:val="00A14499"/>
    <w:rsid w:val="00A144E4"/>
    <w:rsid w:val="00A14564"/>
    <w:rsid w:val="00A1477F"/>
    <w:rsid w:val="00A147E6"/>
    <w:rsid w:val="00A14808"/>
    <w:rsid w:val="00A14912"/>
    <w:rsid w:val="00A14944"/>
    <w:rsid w:val="00A1495E"/>
    <w:rsid w:val="00A1498B"/>
    <w:rsid w:val="00A14A2E"/>
    <w:rsid w:val="00A14B20"/>
    <w:rsid w:val="00A14C31"/>
    <w:rsid w:val="00A14D14"/>
    <w:rsid w:val="00A14DE6"/>
    <w:rsid w:val="00A14E2B"/>
    <w:rsid w:val="00A14F7C"/>
    <w:rsid w:val="00A14F8D"/>
    <w:rsid w:val="00A1502D"/>
    <w:rsid w:val="00A15079"/>
    <w:rsid w:val="00A150A9"/>
    <w:rsid w:val="00A150B9"/>
    <w:rsid w:val="00A152B1"/>
    <w:rsid w:val="00A152D2"/>
    <w:rsid w:val="00A153AC"/>
    <w:rsid w:val="00A1540F"/>
    <w:rsid w:val="00A15410"/>
    <w:rsid w:val="00A154A8"/>
    <w:rsid w:val="00A154B6"/>
    <w:rsid w:val="00A154EC"/>
    <w:rsid w:val="00A154F4"/>
    <w:rsid w:val="00A1564B"/>
    <w:rsid w:val="00A1568F"/>
    <w:rsid w:val="00A156DD"/>
    <w:rsid w:val="00A15854"/>
    <w:rsid w:val="00A159F2"/>
    <w:rsid w:val="00A15A43"/>
    <w:rsid w:val="00A15AE3"/>
    <w:rsid w:val="00A15BE7"/>
    <w:rsid w:val="00A15C67"/>
    <w:rsid w:val="00A15C7A"/>
    <w:rsid w:val="00A15D34"/>
    <w:rsid w:val="00A15DA0"/>
    <w:rsid w:val="00A15DC6"/>
    <w:rsid w:val="00A15E43"/>
    <w:rsid w:val="00A15E4B"/>
    <w:rsid w:val="00A15ED7"/>
    <w:rsid w:val="00A15EDC"/>
    <w:rsid w:val="00A15F7B"/>
    <w:rsid w:val="00A15FC4"/>
    <w:rsid w:val="00A160A7"/>
    <w:rsid w:val="00A160B0"/>
    <w:rsid w:val="00A1615A"/>
    <w:rsid w:val="00A161C4"/>
    <w:rsid w:val="00A16252"/>
    <w:rsid w:val="00A16317"/>
    <w:rsid w:val="00A16359"/>
    <w:rsid w:val="00A1644F"/>
    <w:rsid w:val="00A164F5"/>
    <w:rsid w:val="00A16554"/>
    <w:rsid w:val="00A165E7"/>
    <w:rsid w:val="00A16630"/>
    <w:rsid w:val="00A1671B"/>
    <w:rsid w:val="00A16779"/>
    <w:rsid w:val="00A1679D"/>
    <w:rsid w:val="00A167F9"/>
    <w:rsid w:val="00A168BD"/>
    <w:rsid w:val="00A1694C"/>
    <w:rsid w:val="00A1695B"/>
    <w:rsid w:val="00A1697D"/>
    <w:rsid w:val="00A16993"/>
    <w:rsid w:val="00A169FA"/>
    <w:rsid w:val="00A16A12"/>
    <w:rsid w:val="00A16B5B"/>
    <w:rsid w:val="00A16E38"/>
    <w:rsid w:val="00A16E42"/>
    <w:rsid w:val="00A16EBB"/>
    <w:rsid w:val="00A16F1E"/>
    <w:rsid w:val="00A17041"/>
    <w:rsid w:val="00A1706B"/>
    <w:rsid w:val="00A17071"/>
    <w:rsid w:val="00A1710D"/>
    <w:rsid w:val="00A172A2"/>
    <w:rsid w:val="00A1732A"/>
    <w:rsid w:val="00A17338"/>
    <w:rsid w:val="00A1733D"/>
    <w:rsid w:val="00A174A9"/>
    <w:rsid w:val="00A174DE"/>
    <w:rsid w:val="00A1758A"/>
    <w:rsid w:val="00A175B4"/>
    <w:rsid w:val="00A1769F"/>
    <w:rsid w:val="00A17853"/>
    <w:rsid w:val="00A1791D"/>
    <w:rsid w:val="00A17CBB"/>
    <w:rsid w:val="00A17CC4"/>
    <w:rsid w:val="00A17D0D"/>
    <w:rsid w:val="00A17E97"/>
    <w:rsid w:val="00A17F68"/>
    <w:rsid w:val="00A17F81"/>
    <w:rsid w:val="00A17F98"/>
    <w:rsid w:val="00A17FBA"/>
    <w:rsid w:val="00A17FFA"/>
    <w:rsid w:val="00A200E4"/>
    <w:rsid w:val="00A200E9"/>
    <w:rsid w:val="00A20135"/>
    <w:rsid w:val="00A2014D"/>
    <w:rsid w:val="00A20156"/>
    <w:rsid w:val="00A201E0"/>
    <w:rsid w:val="00A2022E"/>
    <w:rsid w:val="00A20233"/>
    <w:rsid w:val="00A20329"/>
    <w:rsid w:val="00A20385"/>
    <w:rsid w:val="00A2045E"/>
    <w:rsid w:val="00A20487"/>
    <w:rsid w:val="00A204FF"/>
    <w:rsid w:val="00A20549"/>
    <w:rsid w:val="00A20833"/>
    <w:rsid w:val="00A20908"/>
    <w:rsid w:val="00A20958"/>
    <w:rsid w:val="00A20A9D"/>
    <w:rsid w:val="00A20AD1"/>
    <w:rsid w:val="00A20B01"/>
    <w:rsid w:val="00A20B25"/>
    <w:rsid w:val="00A20CB4"/>
    <w:rsid w:val="00A20CEE"/>
    <w:rsid w:val="00A20D53"/>
    <w:rsid w:val="00A20D84"/>
    <w:rsid w:val="00A20DBB"/>
    <w:rsid w:val="00A20E56"/>
    <w:rsid w:val="00A20E98"/>
    <w:rsid w:val="00A20EA7"/>
    <w:rsid w:val="00A20ED1"/>
    <w:rsid w:val="00A20F87"/>
    <w:rsid w:val="00A20FD6"/>
    <w:rsid w:val="00A20FF5"/>
    <w:rsid w:val="00A2103C"/>
    <w:rsid w:val="00A21255"/>
    <w:rsid w:val="00A21380"/>
    <w:rsid w:val="00A213A0"/>
    <w:rsid w:val="00A21453"/>
    <w:rsid w:val="00A21564"/>
    <w:rsid w:val="00A217F2"/>
    <w:rsid w:val="00A21904"/>
    <w:rsid w:val="00A21922"/>
    <w:rsid w:val="00A219FB"/>
    <w:rsid w:val="00A21A79"/>
    <w:rsid w:val="00A21C67"/>
    <w:rsid w:val="00A21D5E"/>
    <w:rsid w:val="00A21D72"/>
    <w:rsid w:val="00A21DDA"/>
    <w:rsid w:val="00A21DE1"/>
    <w:rsid w:val="00A21F73"/>
    <w:rsid w:val="00A2212C"/>
    <w:rsid w:val="00A221B7"/>
    <w:rsid w:val="00A22258"/>
    <w:rsid w:val="00A22292"/>
    <w:rsid w:val="00A222A0"/>
    <w:rsid w:val="00A222FD"/>
    <w:rsid w:val="00A222FF"/>
    <w:rsid w:val="00A22396"/>
    <w:rsid w:val="00A2243C"/>
    <w:rsid w:val="00A2243E"/>
    <w:rsid w:val="00A22450"/>
    <w:rsid w:val="00A224DF"/>
    <w:rsid w:val="00A224FA"/>
    <w:rsid w:val="00A22525"/>
    <w:rsid w:val="00A22702"/>
    <w:rsid w:val="00A22735"/>
    <w:rsid w:val="00A2273D"/>
    <w:rsid w:val="00A227B0"/>
    <w:rsid w:val="00A22889"/>
    <w:rsid w:val="00A228BB"/>
    <w:rsid w:val="00A22945"/>
    <w:rsid w:val="00A2295E"/>
    <w:rsid w:val="00A22992"/>
    <w:rsid w:val="00A22A50"/>
    <w:rsid w:val="00A22B66"/>
    <w:rsid w:val="00A22C30"/>
    <w:rsid w:val="00A22C98"/>
    <w:rsid w:val="00A22CFD"/>
    <w:rsid w:val="00A22D53"/>
    <w:rsid w:val="00A22D85"/>
    <w:rsid w:val="00A22ECE"/>
    <w:rsid w:val="00A22FEA"/>
    <w:rsid w:val="00A23164"/>
    <w:rsid w:val="00A2322A"/>
    <w:rsid w:val="00A23377"/>
    <w:rsid w:val="00A23398"/>
    <w:rsid w:val="00A233C9"/>
    <w:rsid w:val="00A2361C"/>
    <w:rsid w:val="00A23626"/>
    <w:rsid w:val="00A23700"/>
    <w:rsid w:val="00A237B5"/>
    <w:rsid w:val="00A237BF"/>
    <w:rsid w:val="00A2382D"/>
    <w:rsid w:val="00A23894"/>
    <w:rsid w:val="00A238B1"/>
    <w:rsid w:val="00A239A3"/>
    <w:rsid w:val="00A23A6A"/>
    <w:rsid w:val="00A23B30"/>
    <w:rsid w:val="00A23B59"/>
    <w:rsid w:val="00A23B9F"/>
    <w:rsid w:val="00A23C4C"/>
    <w:rsid w:val="00A23C78"/>
    <w:rsid w:val="00A23C84"/>
    <w:rsid w:val="00A23CAF"/>
    <w:rsid w:val="00A23E2E"/>
    <w:rsid w:val="00A23E99"/>
    <w:rsid w:val="00A23EEB"/>
    <w:rsid w:val="00A23F45"/>
    <w:rsid w:val="00A24096"/>
    <w:rsid w:val="00A24200"/>
    <w:rsid w:val="00A24375"/>
    <w:rsid w:val="00A2437B"/>
    <w:rsid w:val="00A243D9"/>
    <w:rsid w:val="00A2445B"/>
    <w:rsid w:val="00A24542"/>
    <w:rsid w:val="00A245B3"/>
    <w:rsid w:val="00A246BE"/>
    <w:rsid w:val="00A24704"/>
    <w:rsid w:val="00A247A9"/>
    <w:rsid w:val="00A2486C"/>
    <w:rsid w:val="00A248EB"/>
    <w:rsid w:val="00A24A79"/>
    <w:rsid w:val="00A24AAB"/>
    <w:rsid w:val="00A24AAF"/>
    <w:rsid w:val="00A24BA5"/>
    <w:rsid w:val="00A24CBF"/>
    <w:rsid w:val="00A24CDD"/>
    <w:rsid w:val="00A24D60"/>
    <w:rsid w:val="00A24D93"/>
    <w:rsid w:val="00A24DAE"/>
    <w:rsid w:val="00A24E27"/>
    <w:rsid w:val="00A2509D"/>
    <w:rsid w:val="00A2511F"/>
    <w:rsid w:val="00A25120"/>
    <w:rsid w:val="00A25224"/>
    <w:rsid w:val="00A2522D"/>
    <w:rsid w:val="00A25582"/>
    <w:rsid w:val="00A2561B"/>
    <w:rsid w:val="00A25682"/>
    <w:rsid w:val="00A25701"/>
    <w:rsid w:val="00A25760"/>
    <w:rsid w:val="00A257F1"/>
    <w:rsid w:val="00A25908"/>
    <w:rsid w:val="00A25968"/>
    <w:rsid w:val="00A259F8"/>
    <w:rsid w:val="00A25C66"/>
    <w:rsid w:val="00A25D30"/>
    <w:rsid w:val="00A25DC5"/>
    <w:rsid w:val="00A26036"/>
    <w:rsid w:val="00A261B5"/>
    <w:rsid w:val="00A261BA"/>
    <w:rsid w:val="00A2626D"/>
    <w:rsid w:val="00A264BD"/>
    <w:rsid w:val="00A2650E"/>
    <w:rsid w:val="00A26579"/>
    <w:rsid w:val="00A265B6"/>
    <w:rsid w:val="00A2677C"/>
    <w:rsid w:val="00A267D0"/>
    <w:rsid w:val="00A267D3"/>
    <w:rsid w:val="00A26860"/>
    <w:rsid w:val="00A2686A"/>
    <w:rsid w:val="00A269A6"/>
    <w:rsid w:val="00A26A11"/>
    <w:rsid w:val="00A26A8C"/>
    <w:rsid w:val="00A26B0E"/>
    <w:rsid w:val="00A26C2E"/>
    <w:rsid w:val="00A26C78"/>
    <w:rsid w:val="00A26F18"/>
    <w:rsid w:val="00A26F1E"/>
    <w:rsid w:val="00A26F85"/>
    <w:rsid w:val="00A26FFB"/>
    <w:rsid w:val="00A27104"/>
    <w:rsid w:val="00A27167"/>
    <w:rsid w:val="00A2716E"/>
    <w:rsid w:val="00A27173"/>
    <w:rsid w:val="00A271F9"/>
    <w:rsid w:val="00A27216"/>
    <w:rsid w:val="00A27298"/>
    <w:rsid w:val="00A27334"/>
    <w:rsid w:val="00A27411"/>
    <w:rsid w:val="00A27435"/>
    <w:rsid w:val="00A2754C"/>
    <w:rsid w:val="00A27750"/>
    <w:rsid w:val="00A2777E"/>
    <w:rsid w:val="00A2778C"/>
    <w:rsid w:val="00A278E4"/>
    <w:rsid w:val="00A27A9A"/>
    <w:rsid w:val="00A27B32"/>
    <w:rsid w:val="00A27C58"/>
    <w:rsid w:val="00A27C5A"/>
    <w:rsid w:val="00A27C9A"/>
    <w:rsid w:val="00A27E4D"/>
    <w:rsid w:val="00A27F78"/>
    <w:rsid w:val="00A27FDF"/>
    <w:rsid w:val="00A27FE3"/>
    <w:rsid w:val="00A3000D"/>
    <w:rsid w:val="00A3005A"/>
    <w:rsid w:val="00A300B4"/>
    <w:rsid w:val="00A3012C"/>
    <w:rsid w:val="00A301B0"/>
    <w:rsid w:val="00A30241"/>
    <w:rsid w:val="00A302B8"/>
    <w:rsid w:val="00A30324"/>
    <w:rsid w:val="00A30366"/>
    <w:rsid w:val="00A303E9"/>
    <w:rsid w:val="00A303EC"/>
    <w:rsid w:val="00A303FC"/>
    <w:rsid w:val="00A305A0"/>
    <w:rsid w:val="00A3060B"/>
    <w:rsid w:val="00A307EE"/>
    <w:rsid w:val="00A30874"/>
    <w:rsid w:val="00A30960"/>
    <w:rsid w:val="00A30B5C"/>
    <w:rsid w:val="00A30D35"/>
    <w:rsid w:val="00A30D94"/>
    <w:rsid w:val="00A30E63"/>
    <w:rsid w:val="00A31043"/>
    <w:rsid w:val="00A3107E"/>
    <w:rsid w:val="00A312E5"/>
    <w:rsid w:val="00A313C0"/>
    <w:rsid w:val="00A314AF"/>
    <w:rsid w:val="00A31721"/>
    <w:rsid w:val="00A31754"/>
    <w:rsid w:val="00A318C3"/>
    <w:rsid w:val="00A31974"/>
    <w:rsid w:val="00A31ACF"/>
    <w:rsid w:val="00A31B02"/>
    <w:rsid w:val="00A31B36"/>
    <w:rsid w:val="00A31B4F"/>
    <w:rsid w:val="00A31CC8"/>
    <w:rsid w:val="00A31CC9"/>
    <w:rsid w:val="00A31D1F"/>
    <w:rsid w:val="00A31EF7"/>
    <w:rsid w:val="00A31F06"/>
    <w:rsid w:val="00A31FBE"/>
    <w:rsid w:val="00A32048"/>
    <w:rsid w:val="00A32138"/>
    <w:rsid w:val="00A3214E"/>
    <w:rsid w:val="00A32161"/>
    <w:rsid w:val="00A321C4"/>
    <w:rsid w:val="00A32201"/>
    <w:rsid w:val="00A322BC"/>
    <w:rsid w:val="00A32303"/>
    <w:rsid w:val="00A32345"/>
    <w:rsid w:val="00A323A5"/>
    <w:rsid w:val="00A323B6"/>
    <w:rsid w:val="00A324F4"/>
    <w:rsid w:val="00A3250B"/>
    <w:rsid w:val="00A325A7"/>
    <w:rsid w:val="00A325EA"/>
    <w:rsid w:val="00A3266C"/>
    <w:rsid w:val="00A3267C"/>
    <w:rsid w:val="00A326DF"/>
    <w:rsid w:val="00A326F0"/>
    <w:rsid w:val="00A3290D"/>
    <w:rsid w:val="00A32A3D"/>
    <w:rsid w:val="00A32C0F"/>
    <w:rsid w:val="00A32C94"/>
    <w:rsid w:val="00A32CDA"/>
    <w:rsid w:val="00A32CE2"/>
    <w:rsid w:val="00A32E3C"/>
    <w:rsid w:val="00A32E49"/>
    <w:rsid w:val="00A32E79"/>
    <w:rsid w:val="00A32EA6"/>
    <w:rsid w:val="00A32EAA"/>
    <w:rsid w:val="00A32EBE"/>
    <w:rsid w:val="00A32ED8"/>
    <w:rsid w:val="00A3303B"/>
    <w:rsid w:val="00A3311D"/>
    <w:rsid w:val="00A33124"/>
    <w:rsid w:val="00A3327F"/>
    <w:rsid w:val="00A332AE"/>
    <w:rsid w:val="00A333CD"/>
    <w:rsid w:val="00A333E4"/>
    <w:rsid w:val="00A333EB"/>
    <w:rsid w:val="00A3340E"/>
    <w:rsid w:val="00A3343F"/>
    <w:rsid w:val="00A33482"/>
    <w:rsid w:val="00A33496"/>
    <w:rsid w:val="00A334ED"/>
    <w:rsid w:val="00A3354C"/>
    <w:rsid w:val="00A335D8"/>
    <w:rsid w:val="00A336B2"/>
    <w:rsid w:val="00A33741"/>
    <w:rsid w:val="00A337F9"/>
    <w:rsid w:val="00A337FA"/>
    <w:rsid w:val="00A338A3"/>
    <w:rsid w:val="00A33C91"/>
    <w:rsid w:val="00A33D88"/>
    <w:rsid w:val="00A33D9B"/>
    <w:rsid w:val="00A33FC4"/>
    <w:rsid w:val="00A33FDC"/>
    <w:rsid w:val="00A34127"/>
    <w:rsid w:val="00A3418F"/>
    <w:rsid w:val="00A341D3"/>
    <w:rsid w:val="00A34333"/>
    <w:rsid w:val="00A3433D"/>
    <w:rsid w:val="00A343CB"/>
    <w:rsid w:val="00A3443E"/>
    <w:rsid w:val="00A34455"/>
    <w:rsid w:val="00A344BA"/>
    <w:rsid w:val="00A344BF"/>
    <w:rsid w:val="00A3462D"/>
    <w:rsid w:val="00A3479A"/>
    <w:rsid w:val="00A3480A"/>
    <w:rsid w:val="00A34868"/>
    <w:rsid w:val="00A348C0"/>
    <w:rsid w:val="00A34AC6"/>
    <w:rsid w:val="00A34BCC"/>
    <w:rsid w:val="00A34BE3"/>
    <w:rsid w:val="00A34D4F"/>
    <w:rsid w:val="00A34E03"/>
    <w:rsid w:val="00A34E9E"/>
    <w:rsid w:val="00A34EA4"/>
    <w:rsid w:val="00A34EAD"/>
    <w:rsid w:val="00A35008"/>
    <w:rsid w:val="00A350BD"/>
    <w:rsid w:val="00A35167"/>
    <w:rsid w:val="00A3522C"/>
    <w:rsid w:val="00A35256"/>
    <w:rsid w:val="00A35319"/>
    <w:rsid w:val="00A3537E"/>
    <w:rsid w:val="00A35409"/>
    <w:rsid w:val="00A3541C"/>
    <w:rsid w:val="00A3542E"/>
    <w:rsid w:val="00A3550A"/>
    <w:rsid w:val="00A3550D"/>
    <w:rsid w:val="00A355E0"/>
    <w:rsid w:val="00A35800"/>
    <w:rsid w:val="00A35868"/>
    <w:rsid w:val="00A3588C"/>
    <w:rsid w:val="00A35930"/>
    <w:rsid w:val="00A35983"/>
    <w:rsid w:val="00A35ABA"/>
    <w:rsid w:val="00A35CB8"/>
    <w:rsid w:val="00A35E51"/>
    <w:rsid w:val="00A35EBD"/>
    <w:rsid w:val="00A35ED8"/>
    <w:rsid w:val="00A35F38"/>
    <w:rsid w:val="00A35F7B"/>
    <w:rsid w:val="00A35F90"/>
    <w:rsid w:val="00A35F91"/>
    <w:rsid w:val="00A360DE"/>
    <w:rsid w:val="00A360E7"/>
    <w:rsid w:val="00A36115"/>
    <w:rsid w:val="00A3611C"/>
    <w:rsid w:val="00A362BB"/>
    <w:rsid w:val="00A3637B"/>
    <w:rsid w:val="00A36475"/>
    <w:rsid w:val="00A364C9"/>
    <w:rsid w:val="00A36626"/>
    <w:rsid w:val="00A36708"/>
    <w:rsid w:val="00A36797"/>
    <w:rsid w:val="00A367F2"/>
    <w:rsid w:val="00A367F3"/>
    <w:rsid w:val="00A368C7"/>
    <w:rsid w:val="00A36906"/>
    <w:rsid w:val="00A36910"/>
    <w:rsid w:val="00A3695E"/>
    <w:rsid w:val="00A3697D"/>
    <w:rsid w:val="00A36A59"/>
    <w:rsid w:val="00A36AD3"/>
    <w:rsid w:val="00A36B3B"/>
    <w:rsid w:val="00A36BCD"/>
    <w:rsid w:val="00A36BED"/>
    <w:rsid w:val="00A36C0C"/>
    <w:rsid w:val="00A36CE5"/>
    <w:rsid w:val="00A36CF6"/>
    <w:rsid w:val="00A36D04"/>
    <w:rsid w:val="00A36D86"/>
    <w:rsid w:val="00A36E43"/>
    <w:rsid w:val="00A36E93"/>
    <w:rsid w:val="00A36F7A"/>
    <w:rsid w:val="00A37044"/>
    <w:rsid w:val="00A37125"/>
    <w:rsid w:val="00A37463"/>
    <w:rsid w:val="00A3756C"/>
    <w:rsid w:val="00A37579"/>
    <w:rsid w:val="00A37642"/>
    <w:rsid w:val="00A37772"/>
    <w:rsid w:val="00A377EF"/>
    <w:rsid w:val="00A377FE"/>
    <w:rsid w:val="00A37919"/>
    <w:rsid w:val="00A37A85"/>
    <w:rsid w:val="00A37BF5"/>
    <w:rsid w:val="00A37C3D"/>
    <w:rsid w:val="00A37CEC"/>
    <w:rsid w:val="00A37D15"/>
    <w:rsid w:val="00A37E67"/>
    <w:rsid w:val="00A400A8"/>
    <w:rsid w:val="00A400C7"/>
    <w:rsid w:val="00A401B4"/>
    <w:rsid w:val="00A401E6"/>
    <w:rsid w:val="00A4021E"/>
    <w:rsid w:val="00A40250"/>
    <w:rsid w:val="00A403A1"/>
    <w:rsid w:val="00A403B6"/>
    <w:rsid w:val="00A4047A"/>
    <w:rsid w:val="00A40486"/>
    <w:rsid w:val="00A4048B"/>
    <w:rsid w:val="00A404CE"/>
    <w:rsid w:val="00A4054A"/>
    <w:rsid w:val="00A4054D"/>
    <w:rsid w:val="00A407B2"/>
    <w:rsid w:val="00A4092C"/>
    <w:rsid w:val="00A4098A"/>
    <w:rsid w:val="00A40A2C"/>
    <w:rsid w:val="00A40ACD"/>
    <w:rsid w:val="00A40C09"/>
    <w:rsid w:val="00A40C39"/>
    <w:rsid w:val="00A40CCB"/>
    <w:rsid w:val="00A40DB9"/>
    <w:rsid w:val="00A40DF8"/>
    <w:rsid w:val="00A40E7A"/>
    <w:rsid w:val="00A40E7F"/>
    <w:rsid w:val="00A40EF0"/>
    <w:rsid w:val="00A40F7F"/>
    <w:rsid w:val="00A40FFB"/>
    <w:rsid w:val="00A41128"/>
    <w:rsid w:val="00A41136"/>
    <w:rsid w:val="00A4114E"/>
    <w:rsid w:val="00A411CE"/>
    <w:rsid w:val="00A41295"/>
    <w:rsid w:val="00A413A6"/>
    <w:rsid w:val="00A41529"/>
    <w:rsid w:val="00A41882"/>
    <w:rsid w:val="00A418B0"/>
    <w:rsid w:val="00A418CA"/>
    <w:rsid w:val="00A4192F"/>
    <w:rsid w:val="00A4196C"/>
    <w:rsid w:val="00A41971"/>
    <w:rsid w:val="00A4198C"/>
    <w:rsid w:val="00A419BC"/>
    <w:rsid w:val="00A41BAF"/>
    <w:rsid w:val="00A41C27"/>
    <w:rsid w:val="00A41C4E"/>
    <w:rsid w:val="00A41C62"/>
    <w:rsid w:val="00A41C82"/>
    <w:rsid w:val="00A41C96"/>
    <w:rsid w:val="00A41CD5"/>
    <w:rsid w:val="00A41D36"/>
    <w:rsid w:val="00A41D60"/>
    <w:rsid w:val="00A41DE8"/>
    <w:rsid w:val="00A41F02"/>
    <w:rsid w:val="00A41F80"/>
    <w:rsid w:val="00A41FD2"/>
    <w:rsid w:val="00A420D5"/>
    <w:rsid w:val="00A420D7"/>
    <w:rsid w:val="00A42175"/>
    <w:rsid w:val="00A421AE"/>
    <w:rsid w:val="00A421E1"/>
    <w:rsid w:val="00A42364"/>
    <w:rsid w:val="00A4242A"/>
    <w:rsid w:val="00A4246A"/>
    <w:rsid w:val="00A42480"/>
    <w:rsid w:val="00A424C0"/>
    <w:rsid w:val="00A425EB"/>
    <w:rsid w:val="00A4260C"/>
    <w:rsid w:val="00A426AC"/>
    <w:rsid w:val="00A42764"/>
    <w:rsid w:val="00A427B1"/>
    <w:rsid w:val="00A4286A"/>
    <w:rsid w:val="00A4294C"/>
    <w:rsid w:val="00A429DE"/>
    <w:rsid w:val="00A42A14"/>
    <w:rsid w:val="00A42A6A"/>
    <w:rsid w:val="00A42A80"/>
    <w:rsid w:val="00A42AA6"/>
    <w:rsid w:val="00A42AB1"/>
    <w:rsid w:val="00A42AB5"/>
    <w:rsid w:val="00A42B08"/>
    <w:rsid w:val="00A42B15"/>
    <w:rsid w:val="00A42B50"/>
    <w:rsid w:val="00A42B57"/>
    <w:rsid w:val="00A42B5B"/>
    <w:rsid w:val="00A42C93"/>
    <w:rsid w:val="00A42CB7"/>
    <w:rsid w:val="00A42D42"/>
    <w:rsid w:val="00A42D55"/>
    <w:rsid w:val="00A42F9E"/>
    <w:rsid w:val="00A43024"/>
    <w:rsid w:val="00A430B8"/>
    <w:rsid w:val="00A432D0"/>
    <w:rsid w:val="00A43457"/>
    <w:rsid w:val="00A434B0"/>
    <w:rsid w:val="00A436AC"/>
    <w:rsid w:val="00A438AA"/>
    <w:rsid w:val="00A438ED"/>
    <w:rsid w:val="00A43AFA"/>
    <w:rsid w:val="00A43C32"/>
    <w:rsid w:val="00A43CE9"/>
    <w:rsid w:val="00A43DAB"/>
    <w:rsid w:val="00A43DB4"/>
    <w:rsid w:val="00A43E4E"/>
    <w:rsid w:val="00A43EB8"/>
    <w:rsid w:val="00A43FDE"/>
    <w:rsid w:val="00A4410D"/>
    <w:rsid w:val="00A44166"/>
    <w:rsid w:val="00A4416D"/>
    <w:rsid w:val="00A44192"/>
    <w:rsid w:val="00A441F5"/>
    <w:rsid w:val="00A44245"/>
    <w:rsid w:val="00A44255"/>
    <w:rsid w:val="00A442C0"/>
    <w:rsid w:val="00A4431B"/>
    <w:rsid w:val="00A44435"/>
    <w:rsid w:val="00A4443E"/>
    <w:rsid w:val="00A4468C"/>
    <w:rsid w:val="00A44721"/>
    <w:rsid w:val="00A44765"/>
    <w:rsid w:val="00A447BD"/>
    <w:rsid w:val="00A447CC"/>
    <w:rsid w:val="00A44834"/>
    <w:rsid w:val="00A4493A"/>
    <w:rsid w:val="00A449BB"/>
    <w:rsid w:val="00A449E2"/>
    <w:rsid w:val="00A44BAB"/>
    <w:rsid w:val="00A44BAD"/>
    <w:rsid w:val="00A44C12"/>
    <w:rsid w:val="00A44C25"/>
    <w:rsid w:val="00A44C7A"/>
    <w:rsid w:val="00A44CFF"/>
    <w:rsid w:val="00A44DCB"/>
    <w:rsid w:val="00A44F4A"/>
    <w:rsid w:val="00A45094"/>
    <w:rsid w:val="00A45116"/>
    <w:rsid w:val="00A4514F"/>
    <w:rsid w:val="00A45161"/>
    <w:rsid w:val="00A4516D"/>
    <w:rsid w:val="00A451D0"/>
    <w:rsid w:val="00A45260"/>
    <w:rsid w:val="00A4527D"/>
    <w:rsid w:val="00A45339"/>
    <w:rsid w:val="00A453FA"/>
    <w:rsid w:val="00A45467"/>
    <w:rsid w:val="00A454DF"/>
    <w:rsid w:val="00A45555"/>
    <w:rsid w:val="00A45581"/>
    <w:rsid w:val="00A455BC"/>
    <w:rsid w:val="00A4563E"/>
    <w:rsid w:val="00A456E2"/>
    <w:rsid w:val="00A4573D"/>
    <w:rsid w:val="00A4581E"/>
    <w:rsid w:val="00A45968"/>
    <w:rsid w:val="00A459CF"/>
    <w:rsid w:val="00A459E1"/>
    <w:rsid w:val="00A459F5"/>
    <w:rsid w:val="00A45B70"/>
    <w:rsid w:val="00A45C51"/>
    <w:rsid w:val="00A45C7D"/>
    <w:rsid w:val="00A45D51"/>
    <w:rsid w:val="00A45D85"/>
    <w:rsid w:val="00A45DCF"/>
    <w:rsid w:val="00A45EC8"/>
    <w:rsid w:val="00A45EE8"/>
    <w:rsid w:val="00A45F5C"/>
    <w:rsid w:val="00A45F9A"/>
    <w:rsid w:val="00A45F9E"/>
    <w:rsid w:val="00A46054"/>
    <w:rsid w:val="00A4619C"/>
    <w:rsid w:val="00A461A2"/>
    <w:rsid w:val="00A4624F"/>
    <w:rsid w:val="00A4627B"/>
    <w:rsid w:val="00A462A1"/>
    <w:rsid w:val="00A462CB"/>
    <w:rsid w:val="00A46332"/>
    <w:rsid w:val="00A463E5"/>
    <w:rsid w:val="00A464AB"/>
    <w:rsid w:val="00A466B9"/>
    <w:rsid w:val="00A46726"/>
    <w:rsid w:val="00A4680B"/>
    <w:rsid w:val="00A468A9"/>
    <w:rsid w:val="00A468D5"/>
    <w:rsid w:val="00A468DF"/>
    <w:rsid w:val="00A46923"/>
    <w:rsid w:val="00A46A4C"/>
    <w:rsid w:val="00A46D09"/>
    <w:rsid w:val="00A46E3F"/>
    <w:rsid w:val="00A4704A"/>
    <w:rsid w:val="00A47084"/>
    <w:rsid w:val="00A470FC"/>
    <w:rsid w:val="00A47178"/>
    <w:rsid w:val="00A4733A"/>
    <w:rsid w:val="00A47376"/>
    <w:rsid w:val="00A47465"/>
    <w:rsid w:val="00A474B2"/>
    <w:rsid w:val="00A47500"/>
    <w:rsid w:val="00A4751C"/>
    <w:rsid w:val="00A47603"/>
    <w:rsid w:val="00A47637"/>
    <w:rsid w:val="00A476CD"/>
    <w:rsid w:val="00A4771E"/>
    <w:rsid w:val="00A47845"/>
    <w:rsid w:val="00A478A2"/>
    <w:rsid w:val="00A478BA"/>
    <w:rsid w:val="00A47922"/>
    <w:rsid w:val="00A47978"/>
    <w:rsid w:val="00A479E5"/>
    <w:rsid w:val="00A47A17"/>
    <w:rsid w:val="00A47A43"/>
    <w:rsid w:val="00A47A83"/>
    <w:rsid w:val="00A47AF2"/>
    <w:rsid w:val="00A47B0B"/>
    <w:rsid w:val="00A47B6C"/>
    <w:rsid w:val="00A47B6E"/>
    <w:rsid w:val="00A47B94"/>
    <w:rsid w:val="00A50027"/>
    <w:rsid w:val="00A5006E"/>
    <w:rsid w:val="00A500E7"/>
    <w:rsid w:val="00A50111"/>
    <w:rsid w:val="00A5011E"/>
    <w:rsid w:val="00A5023F"/>
    <w:rsid w:val="00A5031E"/>
    <w:rsid w:val="00A5032E"/>
    <w:rsid w:val="00A50392"/>
    <w:rsid w:val="00A50475"/>
    <w:rsid w:val="00A504DD"/>
    <w:rsid w:val="00A505B6"/>
    <w:rsid w:val="00A50640"/>
    <w:rsid w:val="00A507D3"/>
    <w:rsid w:val="00A50814"/>
    <w:rsid w:val="00A508BD"/>
    <w:rsid w:val="00A509A5"/>
    <w:rsid w:val="00A50A25"/>
    <w:rsid w:val="00A50A34"/>
    <w:rsid w:val="00A50B4C"/>
    <w:rsid w:val="00A50BCE"/>
    <w:rsid w:val="00A50C07"/>
    <w:rsid w:val="00A50E13"/>
    <w:rsid w:val="00A50E3E"/>
    <w:rsid w:val="00A5100F"/>
    <w:rsid w:val="00A510BB"/>
    <w:rsid w:val="00A511B6"/>
    <w:rsid w:val="00A511C0"/>
    <w:rsid w:val="00A5124A"/>
    <w:rsid w:val="00A512EE"/>
    <w:rsid w:val="00A51439"/>
    <w:rsid w:val="00A5144E"/>
    <w:rsid w:val="00A514BC"/>
    <w:rsid w:val="00A51598"/>
    <w:rsid w:val="00A515C3"/>
    <w:rsid w:val="00A515FB"/>
    <w:rsid w:val="00A51645"/>
    <w:rsid w:val="00A51724"/>
    <w:rsid w:val="00A51763"/>
    <w:rsid w:val="00A51797"/>
    <w:rsid w:val="00A51900"/>
    <w:rsid w:val="00A51985"/>
    <w:rsid w:val="00A51A0E"/>
    <w:rsid w:val="00A51A46"/>
    <w:rsid w:val="00A51AB2"/>
    <w:rsid w:val="00A51E2B"/>
    <w:rsid w:val="00A51E47"/>
    <w:rsid w:val="00A51FDD"/>
    <w:rsid w:val="00A52055"/>
    <w:rsid w:val="00A521CC"/>
    <w:rsid w:val="00A52201"/>
    <w:rsid w:val="00A52204"/>
    <w:rsid w:val="00A5220F"/>
    <w:rsid w:val="00A522AA"/>
    <w:rsid w:val="00A522C5"/>
    <w:rsid w:val="00A5236F"/>
    <w:rsid w:val="00A52370"/>
    <w:rsid w:val="00A5242C"/>
    <w:rsid w:val="00A524A4"/>
    <w:rsid w:val="00A524AB"/>
    <w:rsid w:val="00A525EB"/>
    <w:rsid w:val="00A52603"/>
    <w:rsid w:val="00A52606"/>
    <w:rsid w:val="00A526E8"/>
    <w:rsid w:val="00A5271A"/>
    <w:rsid w:val="00A5274A"/>
    <w:rsid w:val="00A527C8"/>
    <w:rsid w:val="00A528D3"/>
    <w:rsid w:val="00A5296B"/>
    <w:rsid w:val="00A52A48"/>
    <w:rsid w:val="00A52A49"/>
    <w:rsid w:val="00A52B20"/>
    <w:rsid w:val="00A52B35"/>
    <w:rsid w:val="00A52BFE"/>
    <w:rsid w:val="00A52C31"/>
    <w:rsid w:val="00A52CD4"/>
    <w:rsid w:val="00A52E28"/>
    <w:rsid w:val="00A52EC3"/>
    <w:rsid w:val="00A52F2E"/>
    <w:rsid w:val="00A52F91"/>
    <w:rsid w:val="00A52FD2"/>
    <w:rsid w:val="00A5304C"/>
    <w:rsid w:val="00A530A4"/>
    <w:rsid w:val="00A5311B"/>
    <w:rsid w:val="00A5319C"/>
    <w:rsid w:val="00A53305"/>
    <w:rsid w:val="00A53317"/>
    <w:rsid w:val="00A5335B"/>
    <w:rsid w:val="00A53420"/>
    <w:rsid w:val="00A53486"/>
    <w:rsid w:val="00A5365F"/>
    <w:rsid w:val="00A537AA"/>
    <w:rsid w:val="00A5388F"/>
    <w:rsid w:val="00A539EE"/>
    <w:rsid w:val="00A539F5"/>
    <w:rsid w:val="00A53B2B"/>
    <w:rsid w:val="00A53C0E"/>
    <w:rsid w:val="00A53CD8"/>
    <w:rsid w:val="00A53CDD"/>
    <w:rsid w:val="00A53D00"/>
    <w:rsid w:val="00A53D0E"/>
    <w:rsid w:val="00A53EB1"/>
    <w:rsid w:val="00A53EC0"/>
    <w:rsid w:val="00A53F47"/>
    <w:rsid w:val="00A5405C"/>
    <w:rsid w:val="00A541C8"/>
    <w:rsid w:val="00A541E0"/>
    <w:rsid w:val="00A54206"/>
    <w:rsid w:val="00A5427A"/>
    <w:rsid w:val="00A543F7"/>
    <w:rsid w:val="00A54525"/>
    <w:rsid w:val="00A54590"/>
    <w:rsid w:val="00A545B7"/>
    <w:rsid w:val="00A547E8"/>
    <w:rsid w:val="00A54873"/>
    <w:rsid w:val="00A5489B"/>
    <w:rsid w:val="00A5496E"/>
    <w:rsid w:val="00A54A2F"/>
    <w:rsid w:val="00A54B08"/>
    <w:rsid w:val="00A54B8C"/>
    <w:rsid w:val="00A54C2E"/>
    <w:rsid w:val="00A54C5B"/>
    <w:rsid w:val="00A54CB5"/>
    <w:rsid w:val="00A54D2E"/>
    <w:rsid w:val="00A54D51"/>
    <w:rsid w:val="00A54D54"/>
    <w:rsid w:val="00A54D9E"/>
    <w:rsid w:val="00A54E25"/>
    <w:rsid w:val="00A54E96"/>
    <w:rsid w:val="00A54EB3"/>
    <w:rsid w:val="00A55065"/>
    <w:rsid w:val="00A550D1"/>
    <w:rsid w:val="00A550E3"/>
    <w:rsid w:val="00A552E9"/>
    <w:rsid w:val="00A55367"/>
    <w:rsid w:val="00A553AC"/>
    <w:rsid w:val="00A55439"/>
    <w:rsid w:val="00A5549D"/>
    <w:rsid w:val="00A554B0"/>
    <w:rsid w:val="00A555B5"/>
    <w:rsid w:val="00A5573F"/>
    <w:rsid w:val="00A55780"/>
    <w:rsid w:val="00A557B3"/>
    <w:rsid w:val="00A5582C"/>
    <w:rsid w:val="00A5583B"/>
    <w:rsid w:val="00A5589E"/>
    <w:rsid w:val="00A558A9"/>
    <w:rsid w:val="00A558D0"/>
    <w:rsid w:val="00A5590F"/>
    <w:rsid w:val="00A55950"/>
    <w:rsid w:val="00A559A6"/>
    <w:rsid w:val="00A559B3"/>
    <w:rsid w:val="00A55A49"/>
    <w:rsid w:val="00A55A53"/>
    <w:rsid w:val="00A55A7E"/>
    <w:rsid w:val="00A55CA7"/>
    <w:rsid w:val="00A55E03"/>
    <w:rsid w:val="00A55E23"/>
    <w:rsid w:val="00A55EB0"/>
    <w:rsid w:val="00A55ED3"/>
    <w:rsid w:val="00A55F1A"/>
    <w:rsid w:val="00A5609F"/>
    <w:rsid w:val="00A561BF"/>
    <w:rsid w:val="00A5625C"/>
    <w:rsid w:val="00A5638F"/>
    <w:rsid w:val="00A56422"/>
    <w:rsid w:val="00A56444"/>
    <w:rsid w:val="00A565FC"/>
    <w:rsid w:val="00A5665B"/>
    <w:rsid w:val="00A56688"/>
    <w:rsid w:val="00A5670F"/>
    <w:rsid w:val="00A56775"/>
    <w:rsid w:val="00A567A1"/>
    <w:rsid w:val="00A56A74"/>
    <w:rsid w:val="00A56ADC"/>
    <w:rsid w:val="00A56AF2"/>
    <w:rsid w:val="00A56B45"/>
    <w:rsid w:val="00A56BC3"/>
    <w:rsid w:val="00A56C55"/>
    <w:rsid w:val="00A56CCA"/>
    <w:rsid w:val="00A56D2E"/>
    <w:rsid w:val="00A56D71"/>
    <w:rsid w:val="00A56DEC"/>
    <w:rsid w:val="00A56F35"/>
    <w:rsid w:val="00A57033"/>
    <w:rsid w:val="00A570C4"/>
    <w:rsid w:val="00A570EA"/>
    <w:rsid w:val="00A5714D"/>
    <w:rsid w:val="00A572F6"/>
    <w:rsid w:val="00A574B5"/>
    <w:rsid w:val="00A574C4"/>
    <w:rsid w:val="00A5753A"/>
    <w:rsid w:val="00A57586"/>
    <w:rsid w:val="00A575D8"/>
    <w:rsid w:val="00A57717"/>
    <w:rsid w:val="00A57856"/>
    <w:rsid w:val="00A57947"/>
    <w:rsid w:val="00A57A72"/>
    <w:rsid w:val="00A57AF8"/>
    <w:rsid w:val="00A57C19"/>
    <w:rsid w:val="00A57C73"/>
    <w:rsid w:val="00A57D69"/>
    <w:rsid w:val="00A57E0F"/>
    <w:rsid w:val="00A57F47"/>
    <w:rsid w:val="00A57FC7"/>
    <w:rsid w:val="00A57FF7"/>
    <w:rsid w:val="00A60034"/>
    <w:rsid w:val="00A60073"/>
    <w:rsid w:val="00A60174"/>
    <w:rsid w:val="00A601A8"/>
    <w:rsid w:val="00A60268"/>
    <w:rsid w:val="00A602D4"/>
    <w:rsid w:val="00A60412"/>
    <w:rsid w:val="00A60463"/>
    <w:rsid w:val="00A60489"/>
    <w:rsid w:val="00A60581"/>
    <w:rsid w:val="00A60608"/>
    <w:rsid w:val="00A6068B"/>
    <w:rsid w:val="00A606C3"/>
    <w:rsid w:val="00A606C7"/>
    <w:rsid w:val="00A60777"/>
    <w:rsid w:val="00A60810"/>
    <w:rsid w:val="00A6081C"/>
    <w:rsid w:val="00A608E7"/>
    <w:rsid w:val="00A60985"/>
    <w:rsid w:val="00A60A67"/>
    <w:rsid w:val="00A60A8E"/>
    <w:rsid w:val="00A60B07"/>
    <w:rsid w:val="00A60B2E"/>
    <w:rsid w:val="00A60B88"/>
    <w:rsid w:val="00A60B8A"/>
    <w:rsid w:val="00A60BE9"/>
    <w:rsid w:val="00A60C96"/>
    <w:rsid w:val="00A60D94"/>
    <w:rsid w:val="00A60D98"/>
    <w:rsid w:val="00A60DAA"/>
    <w:rsid w:val="00A60E22"/>
    <w:rsid w:val="00A60E83"/>
    <w:rsid w:val="00A60EDB"/>
    <w:rsid w:val="00A60F22"/>
    <w:rsid w:val="00A60F48"/>
    <w:rsid w:val="00A61153"/>
    <w:rsid w:val="00A61169"/>
    <w:rsid w:val="00A6126A"/>
    <w:rsid w:val="00A61315"/>
    <w:rsid w:val="00A61394"/>
    <w:rsid w:val="00A614CD"/>
    <w:rsid w:val="00A6156E"/>
    <w:rsid w:val="00A61625"/>
    <w:rsid w:val="00A61628"/>
    <w:rsid w:val="00A61633"/>
    <w:rsid w:val="00A61694"/>
    <w:rsid w:val="00A616CE"/>
    <w:rsid w:val="00A61788"/>
    <w:rsid w:val="00A61862"/>
    <w:rsid w:val="00A61A43"/>
    <w:rsid w:val="00A61A56"/>
    <w:rsid w:val="00A61A86"/>
    <w:rsid w:val="00A61C05"/>
    <w:rsid w:val="00A61C72"/>
    <w:rsid w:val="00A61CC8"/>
    <w:rsid w:val="00A61CFE"/>
    <w:rsid w:val="00A61D08"/>
    <w:rsid w:val="00A61E32"/>
    <w:rsid w:val="00A61E72"/>
    <w:rsid w:val="00A61E78"/>
    <w:rsid w:val="00A61F52"/>
    <w:rsid w:val="00A61FF1"/>
    <w:rsid w:val="00A620D2"/>
    <w:rsid w:val="00A621D5"/>
    <w:rsid w:val="00A621F5"/>
    <w:rsid w:val="00A62245"/>
    <w:rsid w:val="00A6241D"/>
    <w:rsid w:val="00A6255C"/>
    <w:rsid w:val="00A62602"/>
    <w:rsid w:val="00A62A25"/>
    <w:rsid w:val="00A62AB7"/>
    <w:rsid w:val="00A62ACD"/>
    <w:rsid w:val="00A62B4A"/>
    <w:rsid w:val="00A62BFB"/>
    <w:rsid w:val="00A62D0C"/>
    <w:rsid w:val="00A62D3C"/>
    <w:rsid w:val="00A62D5C"/>
    <w:rsid w:val="00A62D62"/>
    <w:rsid w:val="00A62D75"/>
    <w:rsid w:val="00A62EEE"/>
    <w:rsid w:val="00A62F03"/>
    <w:rsid w:val="00A62F39"/>
    <w:rsid w:val="00A630F3"/>
    <w:rsid w:val="00A63184"/>
    <w:rsid w:val="00A63343"/>
    <w:rsid w:val="00A63474"/>
    <w:rsid w:val="00A63490"/>
    <w:rsid w:val="00A634B0"/>
    <w:rsid w:val="00A634E5"/>
    <w:rsid w:val="00A63667"/>
    <w:rsid w:val="00A63687"/>
    <w:rsid w:val="00A636FC"/>
    <w:rsid w:val="00A63714"/>
    <w:rsid w:val="00A6374C"/>
    <w:rsid w:val="00A637C6"/>
    <w:rsid w:val="00A63868"/>
    <w:rsid w:val="00A63877"/>
    <w:rsid w:val="00A6394B"/>
    <w:rsid w:val="00A6398F"/>
    <w:rsid w:val="00A639FD"/>
    <w:rsid w:val="00A63ADF"/>
    <w:rsid w:val="00A63AF8"/>
    <w:rsid w:val="00A63BB9"/>
    <w:rsid w:val="00A63BD9"/>
    <w:rsid w:val="00A63BE4"/>
    <w:rsid w:val="00A63CDC"/>
    <w:rsid w:val="00A63EA1"/>
    <w:rsid w:val="00A63F6C"/>
    <w:rsid w:val="00A64054"/>
    <w:rsid w:val="00A640DF"/>
    <w:rsid w:val="00A640F9"/>
    <w:rsid w:val="00A64156"/>
    <w:rsid w:val="00A641D0"/>
    <w:rsid w:val="00A64297"/>
    <w:rsid w:val="00A64421"/>
    <w:rsid w:val="00A64583"/>
    <w:rsid w:val="00A64792"/>
    <w:rsid w:val="00A647D4"/>
    <w:rsid w:val="00A64904"/>
    <w:rsid w:val="00A64976"/>
    <w:rsid w:val="00A649C9"/>
    <w:rsid w:val="00A64EB5"/>
    <w:rsid w:val="00A64ED9"/>
    <w:rsid w:val="00A64F86"/>
    <w:rsid w:val="00A650A2"/>
    <w:rsid w:val="00A650A8"/>
    <w:rsid w:val="00A65120"/>
    <w:rsid w:val="00A65214"/>
    <w:rsid w:val="00A6522A"/>
    <w:rsid w:val="00A6527E"/>
    <w:rsid w:val="00A6547D"/>
    <w:rsid w:val="00A65482"/>
    <w:rsid w:val="00A655D2"/>
    <w:rsid w:val="00A65635"/>
    <w:rsid w:val="00A656A5"/>
    <w:rsid w:val="00A6571E"/>
    <w:rsid w:val="00A657BF"/>
    <w:rsid w:val="00A657D9"/>
    <w:rsid w:val="00A659C5"/>
    <w:rsid w:val="00A65A11"/>
    <w:rsid w:val="00A65AB1"/>
    <w:rsid w:val="00A65C44"/>
    <w:rsid w:val="00A65C46"/>
    <w:rsid w:val="00A65C4E"/>
    <w:rsid w:val="00A65D21"/>
    <w:rsid w:val="00A65D29"/>
    <w:rsid w:val="00A65D4A"/>
    <w:rsid w:val="00A66000"/>
    <w:rsid w:val="00A660EE"/>
    <w:rsid w:val="00A661A8"/>
    <w:rsid w:val="00A66315"/>
    <w:rsid w:val="00A66379"/>
    <w:rsid w:val="00A66400"/>
    <w:rsid w:val="00A6648D"/>
    <w:rsid w:val="00A664F2"/>
    <w:rsid w:val="00A664F7"/>
    <w:rsid w:val="00A6650D"/>
    <w:rsid w:val="00A6656C"/>
    <w:rsid w:val="00A665A3"/>
    <w:rsid w:val="00A665F3"/>
    <w:rsid w:val="00A66645"/>
    <w:rsid w:val="00A66655"/>
    <w:rsid w:val="00A667E1"/>
    <w:rsid w:val="00A6696C"/>
    <w:rsid w:val="00A66978"/>
    <w:rsid w:val="00A669D7"/>
    <w:rsid w:val="00A66A46"/>
    <w:rsid w:val="00A66A8A"/>
    <w:rsid w:val="00A66C33"/>
    <w:rsid w:val="00A66CEA"/>
    <w:rsid w:val="00A66D42"/>
    <w:rsid w:val="00A66D54"/>
    <w:rsid w:val="00A66D60"/>
    <w:rsid w:val="00A66E0E"/>
    <w:rsid w:val="00A66EF6"/>
    <w:rsid w:val="00A66F75"/>
    <w:rsid w:val="00A66F81"/>
    <w:rsid w:val="00A670A0"/>
    <w:rsid w:val="00A670BC"/>
    <w:rsid w:val="00A67104"/>
    <w:rsid w:val="00A67127"/>
    <w:rsid w:val="00A6714D"/>
    <w:rsid w:val="00A672F4"/>
    <w:rsid w:val="00A673E5"/>
    <w:rsid w:val="00A67599"/>
    <w:rsid w:val="00A675BA"/>
    <w:rsid w:val="00A6766E"/>
    <w:rsid w:val="00A67670"/>
    <w:rsid w:val="00A676B2"/>
    <w:rsid w:val="00A67737"/>
    <w:rsid w:val="00A6782C"/>
    <w:rsid w:val="00A6788B"/>
    <w:rsid w:val="00A678E9"/>
    <w:rsid w:val="00A67947"/>
    <w:rsid w:val="00A67A0A"/>
    <w:rsid w:val="00A67AFC"/>
    <w:rsid w:val="00A67D34"/>
    <w:rsid w:val="00A67D61"/>
    <w:rsid w:val="00A67D64"/>
    <w:rsid w:val="00A67F37"/>
    <w:rsid w:val="00A67FCA"/>
    <w:rsid w:val="00A70115"/>
    <w:rsid w:val="00A70191"/>
    <w:rsid w:val="00A70200"/>
    <w:rsid w:val="00A7026E"/>
    <w:rsid w:val="00A702F8"/>
    <w:rsid w:val="00A703C8"/>
    <w:rsid w:val="00A70480"/>
    <w:rsid w:val="00A70529"/>
    <w:rsid w:val="00A70595"/>
    <w:rsid w:val="00A70597"/>
    <w:rsid w:val="00A70694"/>
    <w:rsid w:val="00A7075B"/>
    <w:rsid w:val="00A70769"/>
    <w:rsid w:val="00A70828"/>
    <w:rsid w:val="00A708D6"/>
    <w:rsid w:val="00A70924"/>
    <w:rsid w:val="00A709A4"/>
    <w:rsid w:val="00A70A8B"/>
    <w:rsid w:val="00A70B72"/>
    <w:rsid w:val="00A70C3C"/>
    <w:rsid w:val="00A70C3D"/>
    <w:rsid w:val="00A70C8B"/>
    <w:rsid w:val="00A70DE3"/>
    <w:rsid w:val="00A70DF4"/>
    <w:rsid w:val="00A70EB8"/>
    <w:rsid w:val="00A70ED9"/>
    <w:rsid w:val="00A711A1"/>
    <w:rsid w:val="00A7148B"/>
    <w:rsid w:val="00A715F1"/>
    <w:rsid w:val="00A7162B"/>
    <w:rsid w:val="00A716A3"/>
    <w:rsid w:val="00A71724"/>
    <w:rsid w:val="00A7173A"/>
    <w:rsid w:val="00A71757"/>
    <w:rsid w:val="00A71792"/>
    <w:rsid w:val="00A717CD"/>
    <w:rsid w:val="00A7180D"/>
    <w:rsid w:val="00A71868"/>
    <w:rsid w:val="00A718D3"/>
    <w:rsid w:val="00A7193A"/>
    <w:rsid w:val="00A7194B"/>
    <w:rsid w:val="00A7197C"/>
    <w:rsid w:val="00A71989"/>
    <w:rsid w:val="00A71AAD"/>
    <w:rsid w:val="00A71BE0"/>
    <w:rsid w:val="00A71D6E"/>
    <w:rsid w:val="00A71E0C"/>
    <w:rsid w:val="00A71E1D"/>
    <w:rsid w:val="00A71ECB"/>
    <w:rsid w:val="00A71FB0"/>
    <w:rsid w:val="00A71FBD"/>
    <w:rsid w:val="00A72075"/>
    <w:rsid w:val="00A72273"/>
    <w:rsid w:val="00A72312"/>
    <w:rsid w:val="00A7231D"/>
    <w:rsid w:val="00A72329"/>
    <w:rsid w:val="00A7256D"/>
    <w:rsid w:val="00A72778"/>
    <w:rsid w:val="00A7284B"/>
    <w:rsid w:val="00A72992"/>
    <w:rsid w:val="00A72C81"/>
    <w:rsid w:val="00A72F5E"/>
    <w:rsid w:val="00A72FBD"/>
    <w:rsid w:val="00A72FFB"/>
    <w:rsid w:val="00A7327A"/>
    <w:rsid w:val="00A732BB"/>
    <w:rsid w:val="00A73315"/>
    <w:rsid w:val="00A734CA"/>
    <w:rsid w:val="00A73519"/>
    <w:rsid w:val="00A7352C"/>
    <w:rsid w:val="00A735BA"/>
    <w:rsid w:val="00A735D1"/>
    <w:rsid w:val="00A73712"/>
    <w:rsid w:val="00A73752"/>
    <w:rsid w:val="00A737A2"/>
    <w:rsid w:val="00A73925"/>
    <w:rsid w:val="00A7393F"/>
    <w:rsid w:val="00A73973"/>
    <w:rsid w:val="00A73996"/>
    <w:rsid w:val="00A73A8C"/>
    <w:rsid w:val="00A73B14"/>
    <w:rsid w:val="00A73B4C"/>
    <w:rsid w:val="00A73CB3"/>
    <w:rsid w:val="00A73CD1"/>
    <w:rsid w:val="00A73D01"/>
    <w:rsid w:val="00A73D6B"/>
    <w:rsid w:val="00A73D96"/>
    <w:rsid w:val="00A73DDE"/>
    <w:rsid w:val="00A73DED"/>
    <w:rsid w:val="00A73E6D"/>
    <w:rsid w:val="00A73F2C"/>
    <w:rsid w:val="00A73FC2"/>
    <w:rsid w:val="00A74164"/>
    <w:rsid w:val="00A741C1"/>
    <w:rsid w:val="00A74249"/>
    <w:rsid w:val="00A7427F"/>
    <w:rsid w:val="00A7429D"/>
    <w:rsid w:val="00A74325"/>
    <w:rsid w:val="00A74366"/>
    <w:rsid w:val="00A743B1"/>
    <w:rsid w:val="00A74614"/>
    <w:rsid w:val="00A74805"/>
    <w:rsid w:val="00A74903"/>
    <w:rsid w:val="00A74985"/>
    <w:rsid w:val="00A74A12"/>
    <w:rsid w:val="00A74A28"/>
    <w:rsid w:val="00A74BAD"/>
    <w:rsid w:val="00A74BB0"/>
    <w:rsid w:val="00A74C2B"/>
    <w:rsid w:val="00A74C2E"/>
    <w:rsid w:val="00A74C77"/>
    <w:rsid w:val="00A74CBA"/>
    <w:rsid w:val="00A74D8E"/>
    <w:rsid w:val="00A74DBC"/>
    <w:rsid w:val="00A74DC3"/>
    <w:rsid w:val="00A74F19"/>
    <w:rsid w:val="00A74FA7"/>
    <w:rsid w:val="00A74FED"/>
    <w:rsid w:val="00A75007"/>
    <w:rsid w:val="00A750E7"/>
    <w:rsid w:val="00A750F5"/>
    <w:rsid w:val="00A75267"/>
    <w:rsid w:val="00A75297"/>
    <w:rsid w:val="00A752A1"/>
    <w:rsid w:val="00A7535B"/>
    <w:rsid w:val="00A753E5"/>
    <w:rsid w:val="00A7549F"/>
    <w:rsid w:val="00A75621"/>
    <w:rsid w:val="00A7565C"/>
    <w:rsid w:val="00A75724"/>
    <w:rsid w:val="00A75749"/>
    <w:rsid w:val="00A75A25"/>
    <w:rsid w:val="00A75B3C"/>
    <w:rsid w:val="00A75DA3"/>
    <w:rsid w:val="00A75DF8"/>
    <w:rsid w:val="00A75E0D"/>
    <w:rsid w:val="00A75F27"/>
    <w:rsid w:val="00A7601B"/>
    <w:rsid w:val="00A76060"/>
    <w:rsid w:val="00A760F7"/>
    <w:rsid w:val="00A76168"/>
    <w:rsid w:val="00A761E7"/>
    <w:rsid w:val="00A7628B"/>
    <w:rsid w:val="00A762A0"/>
    <w:rsid w:val="00A762D2"/>
    <w:rsid w:val="00A76337"/>
    <w:rsid w:val="00A7637E"/>
    <w:rsid w:val="00A763AB"/>
    <w:rsid w:val="00A7640B"/>
    <w:rsid w:val="00A76457"/>
    <w:rsid w:val="00A7655D"/>
    <w:rsid w:val="00A76839"/>
    <w:rsid w:val="00A76A45"/>
    <w:rsid w:val="00A76A48"/>
    <w:rsid w:val="00A76B28"/>
    <w:rsid w:val="00A76BC3"/>
    <w:rsid w:val="00A76BD5"/>
    <w:rsid w:val="00A76C21"/>
    <w:rsid w:val="00A76CBF"/>
    <w:rsid w:val="00A76D44"/>
    <w:rsid w:val="00A76E6D"/>
    <w:rsid w:val="00A76EE6"/>
    <w:rsid w:val="00A77073"/>
    <w:rsid w:val="00A772BB"/>
    <w:rsid w:val="00A7732F"/>
    <w:rsid w:val="00A77392"/>
    <w:rsid w:val="00A7745D"/>
    <w:rsid w:val="00A77508"/>
    <w:rsid w:val="00A77518"/>
    <w:rsid w:val="00A7767E"/>
    <w:rsid w:val="00A7770D"/>
    <w:rsid w:val="00A77734"/>
    <w:rsid w:val="00A77761"/>
    <w:rsid w:val="00A77795"/>
    <w:rsid w:val="00A777B2"/>
    <w:rsid w:val="00A777DE"/>
    <w:rsid w:val="00A77A68"/>
    <w:rsid w:val="00A77BAB"/>
    <w:rsid w:val="00A77BB9"/>
    <w:rsid w:val="00A77BCC"/>
    <w:rsid w:val="00A77CAE"/>
    <w:rsid w:val="00A77F2C"/>
    <w:rsid w:val="00A80217"/>
    <w:rsid w:val="00A80271"/>
    <w:rsid w:val="00A80476"/>
    <w:rsid w:val="00A80485"/>
    <w:rsid w:val="00A80600"/>
    <w:rsid w:val="00A80863"/>
    <w:rsid w:val="00A80AEF"/>
    <w:rsid w:val="00A80B50"/>
    <w:rsid w:val="00A80BB0"/>
    <w:rsid w:val="00A80D25"/>
    <w:rsid w:val="00A80D36"/>
    <w:rsid w:val="00A80D70"/>
    <w:rsid w:val="00A80E31"/>
    <w:rsid w:val="00A80F1D"/>
    <w:rsid w:val="00A80F2B"/>
    <w:rsid w:val="00A810EF"/>
    <w:rsid w:val="00A81109"/>
    <w:rsid w:val="00A811E0"/>
    <w:rsid w:val="00A81251"/>
    <w:rsid w:val="00A813AB"/>
    <w:rsid w:val="00A813EB"/>
    <w:rsid w:val="00A813F6"/>
    <w:rsid w:val="00A8152F"/>
    <w:rsid w:val="00A815E0"/>
    <w:rsid w:val="00A815E1"/>
    <w:rsid w:val="00A815FC"/>
    <w:rsid w:val="00A81695"/>
    <w:rsid w:val="00A817E8"/>
    <w:rsid w:val="00A8185D"/>
    <w:rsid w:val="00A818BD"/>
    <w:rsid w:val="00A819A3"/>
    <w:rsid w:val="00A81A05"/>
    <w:rsid w:val="00A81AD1"/>
    <w:rsid w:val="00A81B0B"/>
    <w:rsid w:val="00A81C98"/>
    <w:rsid w:val="00A81CD3"/>
    <w:rsid w:val="00A81D32"/>
    <w:rsid w:val="00A81D37"/>
    <w:rsid w:val="00A81E63"/>
    <w:rsid w:val="00A81E94"/>
    <w:rsid w:val="00A81F75"/>
    <w:rsid w:val="00A81FDB"/>
    <w:rsid w:val="00A82074"/>
    <w:rsid w:val="00A82077"/>
    <w:rsid w:val="00A820E5"/>
    <w:rsid w:val="00A82142"/>
    <w:rsid w:val="00A82213"/>
    <w:rsid w:val="00A8236C"/>
    <w:rsid w:val="00A823BA"/>
    <w:rsid w:val="00A82403"/>
    <w:rsid w:val="00A824ED"/>
    <w:rsid w:val="00A8258A"/>
    <w:rsid w:val="00A8259D"/>
    <w:rsid w:val="00A82730"/>
    <w:rsid w:val="00A82985"/>
    <w:rsid w:val="00A82A0B"/>
    <w:rsid w:val="00A82A4E"/>
    <w:rsid w:val="00A82ADF"/>
    <w:rsid w:val="00A82AFB"/>
    <w:rsid w:val="00A82B14"/>
    <w:rsid w:val="00A82B4B"/>
    <w:rsid w:val="00A82C99"/>
    <w:rsid w:val="00A82C9E"/>
    <w:rsid w:val="00A82CA0"/>
    <w:rsid w:val="00A82E43"/>
    <w:rsid w:val="00A82E5B"/>
    <w:rsid w:val="00A82ED3"/>
    <w:rsid w:val="00A82FB4"/>
    <w:rsid w:val="00A83023"/>
    <w:rsid w:val="00A831FC"/>
    <w:rsid w:val="00A832A1"/>
    <w:rsid w:val="00A832B6"/>
    <w:rsid w:val="00A83312"/>
    <w:rsid w:val="00A833D9"/>
    <w:rsid w:val="00A834DF"/>
    <w:rsid w:val="00A83507"/>
    <w:rsid w:val="00A83597"/>
    <w:rsid w:val="00A83634"/>
    <w:rsid w:val="00A8364E"/>
    <w:rsid w:val="00A83681"/>
    <w:rsid w:val="00A83761"/>
    <w:rsid w:val="00A8387C"/>
    <w:rsid w:val="00A838BC"/>
    <w:rsid w:val="00A838D8"/>
    <w:rsid w:val="00A839AA"/>
    <w:rsid w:val="00A83A11"/>
    <w:rsid w:val="00A83A5D"/>
    <w:rsid w:val="00A83AF3"/>
    <w:rsid w:val="00A83B08"/>
    <w:rsid w:val="00A83C3B"/>
    <w:rsid w:val="00A83C99"/>
    <w:rsid w:val="00A83E2C"/>
    <w:rsid w:val="00A83E87"/>
    <w:rsid w:val="00A83F66"/>
    <w:rsid w:val="00A84010"/>
    <w:rsid w:val="00A84063"/>
    <w:rsid w:val="00A840E4"/>
    <w:rsid w:val="00A8424C"/>
    <w:rsid w:val="00A842B1"/>
    <w:rsid w:val="00A84311"/>
    <w:rsid w:val="00A843FE"/>
    <w:rsid w:val="00A8450F"/>
    <w:rsid w:val="00A84568"/>
    <w:rsid w:val="00A846BF"/>
    <w:rsid w:val="00A846DC"/>
    <w:rsid w:val="00A84731"/>
    <w:rsid w:val="00A8478F"/>
    <w:rsid w:val="00A847D5"/>
    <w:rsid w:val="00A848C7"/>
    <w:rsid w:val="00A848D1"/>
    <w:rsid w:val="00A848DC"/>
    <w:rsid w:val="00A84901"/>
    <w:rsid w:val="00A8490D"/>
    <w:rsid w:val="00A84913"/>
    <w:rsid w:val="00A849F8"/>
    <w:rsid w:val="00A84A1C"/>
    <w:rsid w:val="00A84A4E"/>
    <w:rsid w:val="00A84B85"/>
    <w:rsid w:val="00A84C86"/>
    <w:rsid w:val="00A84F0F"/>
    <w:rsid w:val="00A850C0"/>
    <w:rsid w:val="00A850F6"/>
    <w:rsid w:val="00A8519F"/>
    <w:rsid w:val="00A8525A"/>
    <w:rsid w:val="00A85275"/>
    <w:rsid w:val="00A8535C"/>
    <w:rsid w:val="00A8537E"/>
    <w:rsid w:val="00A85424"/>
    <w:rsid w:val="00A85487"/>
    <w:rsid w:val="00A8548F"/>
    <w:rsid w:val="00A856ED"/>
    <w:rsid w:val="00A8572D"/>
    <w:rsid w:val="00A85767"/>
    <w:rsid w:val="00A857F9"/>
    <w:rsid w:val="00A85979"/>
    <w:rsid w:val="00A85A8F"/>
    <w:rsid w:val="00A85B49"/>
    <w:rsid w:val="00A85CDC"/>
    <w:rsid w:val="00A85D42"/>
    <w:rsid w:val="00A85EAA"/>
    <w:rsid w:val="00A85EDD"/>
    <w:rsid w:val="00A85F7C"/>
    <w:rsid w:val="00A85F94"/>
    <w:rsid w:val="00A86037"/>
    <w:rsid w:val="00A860BE"/>
    <w:rsid w:val="00A86142"/>
    <w:rsid w:val="00A86192"/>
    <w:rsid w:val="00A861A1"/>
    <w:rsid w:val="00A86212"/>
    <w:rsid w:val="00A862E1"/>
    <w:rsid w:val="00A862F4"/>
    <w:rsid w:val="00A86352"/>
    <w:rsid w:val="00A86414"/>
    <w:rsid w:val="00A86425"/>
    <w:rsid w:val="00A86528"/>
    <w:rsid w:val="00A86552"/>
    <w:rsid w:val="00A86572"/>
    <w:rsid w:val="00A8684A"/>
    <w:rsid w:val="00A868CA"/>
    <w:rsid w:val="00A869F7"/>
    <w:rsid w:val="00A86A5E"/>
    <w:rsid w:val="00A86B30"/>
    <w:rsid w:val="00A86C6B"/>
    <w:rsid w:val="00A86CAD"/>
    <w:rsid w:val="00A86D40"/>
    <w:rsid w:val="00A86E0C"/>
    <w:rsid w:val="00A86EF6"/>
    <w:rsid w:val="00A870C5"/>
    <w:rsid w:val="00A872AD"/>
    <w:rsid w:val="00A87336"/>
    <w:rsid w:val="00A873D9"/>
    <w:rsid w:val="00A87522"/>
    <w:rsid w:val="00A875A2"/>
    <w:rsid w:val="00A875F7"/>
    <w:rsid w:val="00A87613"/>
    <w:rsid w:val="00A87757"/>
    <w:rsid w:val="00A87774"/>
    <w:rsid w:val="00A87A6B"/>
    <w:rsid w:val="00A87A80"/>
    <w:rsid w:val="00A87AF5"/>
    <w:rsid w:val="00A87B58"/>
    <w:rsid w:val="00A87BB6"/>
    <w:rsid w:val="00A87C15"/>
    <w:rsid w:val="00A87C2C"/>
    <w:rsid w:val="00A87C3C"/>
    <w:rsid w:val="00A87DFB"/>
    <w:rsid w:val="00A87E08"/>
    <w:rsid w:val="00A87E1E"/>
    <w:rsid w:val="00A87E99"/>
    <w:rsid w:val="00A87FEE"/>
    <w:rsid w:val="00A90062"/>
    <w:rsid w:val="00A901A8"/>
    <w:rsid w:val="00A901ED"/>
    <w:rsid w:val="00A9020E"/>
    <w:rsid w:val="00A90399"/>
    <w:rsid w:val="00A9053F"/>
    <w:rsid w:val="00A90565"/>
    <w:rsid w:val="00A90619"/>
    <w:rsid w:val="00A90668"/>
    <w:rsid w:val="00A90782"/>
    <w:rsid w:val="00A908C9"/>
    <w:rsid w:val="00A90950"/>
    <w:rsid w:val="00A909E6"/>
    <w:rsid w:val="00A90B6B"/>
    <w:rsid w:val="00A90C3D"/>
    <w:rsid w:val="00A90CE1"/>
    <w:rsid w:val="00A90D29"/>
    <w:rsid w:val="00A90DAD"/>
    <w:rsid w:val="00A90E25"/>
    <w:rsid w:val="00A90E54"/>
    <w:rsid w:val="00A90EC1"/>
    <w:rsid w:val="00A91044"/>
    <w:rsid w:val="00A910BA"/>
    <w:rsid w:val="00A91103"/>
    <w:rsid w:val="00A9113B"/>
    <w:rsid w:val="00A91151"/>
    <w:rsid w:val="00A91178"/>
    <w:rsid w:val="00A9124C"/>
    <w:rsid w:val="00A9125E"/>
    <w:rsid w:val="00A91272"/>
    <w:rsid w:val="00A913FF"/>
    <w:rsid w:val="00A9143F"/>
    <w:rsid w:val="00A91464"/>
    <w:rsid w:val="00A914DD"/>
    <w:rsid w:val="00A916DA"/>
    <w:rsid w:val="00A91733"/>
    <w:rsid w:val="00A91897"/>
    <w:rsid w:val="00A918CC"/>
    <w:rsid w:val="00A918CE"/>
    <w:rsid w:val="00A9194F"/>
    <w:rsid w:val="00A9199B"/>
    <w:rsid w:val="00A91A17"/>
    <w:rsid w:val="00A91A7D"/>
    <w:rsid w:val="00A91B1A"/>
    <w:rsid w:val="00A91C7E"/>
    <w:rsid w:val="00A91D3A"/>
    <w:rsid w:val="00A91F4A"/>
    <w:rsid w:val="00A91FA1"/>
    <w:rsid w:val="00A91FD6"/>
    <w:rsid w:val="00A91FFD"/>
    <w:rsid w:val="00A92076"/>
    <w:rsid w:val="00A9218B"/>
    <w:rsid w:val="00A921C9"/>
    <w:rsid w:val="00A92302"/>
    <w:rsid w:val="00A92383"/>
    <w:rsid w:val="00A923D3"/>
    <w:rsid w:val="00A9248B"/>
    <w:rsid w:val="00A924FA"/>
    <w:rsid w:val="00A9255A"/>
    <w:rsid w:val="00A9263D"/>
    <w:rsid w:val="00A92667"/>
    <w:rsid w:val="00A926F7"/>
    <w:rsid w:val="00A92746"/>
    <w:rsid w:val="00A927E4"/>
    <w:rsid w:val="00A92942"/>
    <w:rsid w:val="00A92A0D"/>
    <w:rsid w:val="00A92AF0"/>
    <w:rsid w:val="00A92B12"/>
    <w:rsid w:val="00A92B56"/>
    <w:rsid w:val="00A92B59"/>
    <w:rsid w:val="00A92C23"/>
    <w:rsid w:val="00A92C27"/>
    <w:rsid w:val="00A92C8D"/>
    <w:rsid w:val="00A92CBF"/>
    <w:rsid w:val="00A92E42"/>
    <w:rsid w:val="00A92E4E"/>
    <w:rsid w:val="00A92F43"/>
    <w:rsid w:val="00A92F4E"/>
    <w:rsid w:val="00A92F54"/>
    <w:rsid w:val="00A92F9D"/>
    <w:rsid w:val="00A92FD2"/>
    <w:rsid w:val="00A92FDD"/>
    <w:rsid w:val="00A93078"/>
    <w:rsid w:val="00A9309D"/>
    <w:rsid w:val="00A93133"/>
    <w:rsid w:val="00A93151"/>
    <w:rsid w:val="00A9321B"/>
    <w:rsid w:val="00A932C2"/>
    <w:rsid w:val="00A933CF"/>
    <w:rsid w:val="00A933D8"/>
    <w:rsid w:val="00A93447"/>
    <w:rsid w:val="00A93485"/>
    <w:rsid w:val="00A934D2"/>
    <w:rsid w:val="00A934DD"/>
    <w:rsid w:val="00A93585"/>
    <w:rsid w:val="00A935E6"/>
    <w:rsid w:val="00A93618"/>
    <w:rsid w:val="00A9367C"/>
    <w:rsid w:val="00A936D9"/>
    <w:rsid w:val="00A937A4"/>
    <w:rsid w:val="00A939BF"/>
    <w:rsid w:val="00A93B50"/>
    <w:rsid w:val="00A93BF3"/>
    <w:rsid w:val="00A93CC8"/>
    <w:rsid w:val="00A93DC1"/>
    <w:rsid w:val="00A93E27"/>
    <w:rsid w:val="00A93F1E"/>
    <w:rsid w:val="00A93F84"/>
    <w:rsid w:val="00A940D0"/>
    <w:rsid w:val="00A940D2"/>
    <w:rsid w:val="00A94148"/>
    <w:rsid w:val="00A94170"/>
    <w:rsid w:val="00A942CF"/>
    <w:rsid w:val="00A9437D"/>
    <w:rsid w:val="00A94389"/>
    <w:rsid w:val="00A9441A"/>
    <w:rsid w:val="00A9445B"/>
    <w:rsid w:val="00A944AA"/>
    <w:rsid w:val="00A94552"/>
    <w:rsid w:val="00A94560"/>
    <w:rsid w:val="00A9463A"/>
    <w:rsid w:val="00A946FC"/>
    <w:rsid w:val="00A94721"/>
    <w:rsid w:val="00A947D7"/>
    <w:rsid w:val="00A948A2"/>
    <w:rsid w:val="00A94AF2"/>
    <w:rsid w:val="00A94B23"/>
    <w:rsid w:val="00A94B2D"/>
    <w:rsid w:val="00A94B35"/>
    <w:rsid w:val="00A94B78"/>
    <w:rsid w:val="00A94C1F"/>
    <w:rsid w:val="00A94C22"/>
    <w:rsid w:val="00A94C51"/>
    <w:rsid w:val="00A94CCE"/>
    <w:rsid w:val="00A94CD8"/>
    <w:rsid w:val="00A94D0F"/>
    <w:rsid w:val="00A94D63"/>
    <w:rsid w:val="00A94DD6"/>
    <w:rsid w:val="00A94E01"/>
    <w:rsid w:val="00A94F62"/>
    <w:rsid w:val="00A95021"/>
    <w:rsid w:val="00A950D9"/>
    <w:rsid w:val="00A9510B"/>
    <w:rsid w:val="00A95192"/>
    <w:rsid w:val="00A952DB"/>
    <w:rsid w:val="00A952E6"/>
    <w:rsid w:val="00A952EE"/>
    <w:rsid w:val="00A953C9"/>
    <w:rsid w:val="00A953CB"/>
    <w:rsid w:val="00A953E4"/>
    <w:rsid w:val="00A9546B"/>
    <w:rsid w:val="00A954CA"/>
    <w:rsid w:val="00A95682"/>
    <w:rsid w:val="00A9571F"/>
    <w:rsid w:val="00A95742"/>
    <w:rsid w:val="00A9585B"/>
    <w:rsid w:val="00A9590F"/>
    <w:rsid w:val="00A9594F"/>
    <w:rsid w:val="00A95A00"/>
    <w:rsid w:val="00A95A15"/>
    <w:rsid w:val="00A95A6D"/>
    <w:rsid w:val="00A95BAD"/>
    <w:rsid w:val="00A95BF0"/>
    <w:rsid w:val="00A95C65"/>
    <w:rsid w:val="00A95C9F"/>
    <w:rsid w:val="00A95F1B"/>
    <w:rsid w:val="00A95F96"/>
    <w:rsid w:val="00A96160"/>
    <w:rsid w:val="00A9622A"/>
    <w:rsid w:val="00A962E7"/>
    <w:rsid w:val="00A962EA"/>
    <w:rsid w:val="00A96378"/>
    <w:rsid w:val="00A96497"/>
    <w:rsid w:val="00A965C8"/>
    <w:rsid w:val="00A9677C"/>
    <w:rsid w:val="00A96926"/>
    <w:rsid w:val="00A96A82"/>
    <w:rsid w:val="00A96ADE"/>
    <w:rsid w:val="00A96AE9"/>
    <w:rsid w:val="00A96B30"/>
    <w:rsid w:val="00A96B97"/>
    <w:rsid w:val="00A96BED"/>
    <w:rsid w:val="00A96C58"/>
    <w:rsid w:val="00A96D16"/>
    <w:rsid w:val="00A96DB7"/>
    <w:rsid w:val="00A96E53"/>
    <w:rsid w:val="00A96ED6"/>
    <w:rsid w:val="00A96F67"/>
    <w:rsid w:val="00A96FE4"/>
    <w:rsid w:val="00A97243"/>
    <w:rsid w:val="00A972CE"/>
    <w:rsid w:val="00A973BD"/>
    <w:rsid w:val="00A973D5"/>
    <w:rsid w:val="00A973E9"/>
    <w:rsid w:val="00A9741B"/>
    <w:rsid w:val="00A97429"/>
    <w:rsid w:val="00A97452"/>
    <w:rsid w:val="00A97456"/>
    <w:rsid w:val="00A97478"/>
    <w:rsid w:val="00A9748D"/>
    <w:rsid w:val="00A974EB"/>
    <w:rsid w:val="00A9750E"/>
    <w:rsid w:val="00A97520"/>
    <w:rsid w:val="00A97583"/>
    <w:rsid w:val="00A97622"/>
    <w:rsid w:val="00A97625"/>
    <w:rsid w:val="00A97703"/>
    <w:rsid w:val="00A9781E"/>
    <w:rsid w:val="00A978FF"/>
    <w:rsid w:val="00A9797B"/>
    <w:rsid w:val="00A97B20"/>
    <w:rsid w:val="00A97C41"/>
    <w:rsid w:val="00A97CF7"/>
    <w:rsid w:val="00A97D1F"/>
    <w:rsid w:val="00A97F31"/>
    <w:rsid w:val="00A97F64"/>
    <w:rsid w:val="00A97FF5"/>
    <w:rsid w:val="00AA0105"/>
    <w:rsid w:val="00AA01FE"/>
    <w:rsid w:val="00AA0231"/>
    <w:rsid w:val="00AA02D1"/>
    <w:rsid w:val="00AA0340"/>
    <w:rsid w:val="00AA03EC"/>
    <w:rsid w:val="00AA03ED"/>
    <w:rsid w:val="00AA0434"/>
    <w:rsid w:val="00AA05D9"/>
    <w:rsid w:val="00AA07F2"/>
    <w:rsid w:val="00AA094C"/>
    <w:rsid w:val="00AA099D"/>
    <w:rsid w:val="00AA0A8E"/>
    <w:rsid w:val="00AA0B0B"/>
    <w:rsid w:val="00AA0B42"/>
    <w:rsid w:val="00AA0B51"/>
    <w:rsid w:val="00AA0E10"/>
    <w:rsid w:val="00AA0EC9"/>
    <w:rsid w:val="00AA0ED1"/>
    <w:rsid w:val="00AA0F57"/>
    <w:rsid w:val="00AA0FBE"/>
    <w:rsid w:val="00AA1054"/>
    <w:rsid w:val="00AA11AB"/>
    <w:rsid w:val="00AA11C4"/>
    <w:rsid w:val="00AA1407"/>
    <w:rsid w:val="00AA1440"/>
    <w:rsid w:val="00AA14D8"/>
    <w:rsid w:val="00AA158E"/>
    <w:rsid w:val="00AA15C1"/>
    <w:rsid w:val="00AA1609"/>
    <w:rsid w:val="00AA16F5"/>
    <w:rsid w:val="00AA1713"/>
    <w:rsid w:val="00AA174B"/>
    <w:rsid w:val="00AA1843"/>
    <w:rsid w:val="00AA19D2"/>
    <w:rsid w:val="00AA1B3A"/>
    <w:rsid w:val="00AA1B52"/>
    <w:rsid w:val="00AA1C64"/>
    <w:rsid w:val="00AA1D4F"/>
    <w:rsid w:val="00AA1DD7"/>
    <w:rsid w:val="00AA1DE0"/>
    <w:rsid w:val="00AA1E15"/>
    <w:rsid w:val="00AA1EDC"/>
    <w:rsid w:val="00AA1F22"/>
    <w:rsid w:val="00AA1F42"/>
    <w:rsid w:val="00AA1F4E"/>
    <w:rsid w:val="00AA1F57"/>
    <w:rsid w:val="00AA2002"/>
    <w:rsid w:val="00AA2065"/>
    <w:rsid w:val="00AA20AA"/>
    <w:rsid w:val="00AA213B"/>
    <w:rsid w:val="00AA2146"/>
    <w:rsid w:val="00AA2210"/>
    <w:rsid w:val="00AA2249"/>
    <w:rsid w:val="00AA2293"/>
    <w:rsid w:val="00AA23CC"/>
    <w:rsid w:val="00AA2537"/>
    <w:rsid w:val="00AA2544"/>
    <w:rsid w:val="00AA257C"/>
    <w:rsid w:val="00AA275C"/>
    <w:rsid w:val="00AA27A4"/>
    <w:rsid w:val="00AA2815"/>
    <w:rsid w:val="00AA28E2"/>
    <w:rsid w:val="00AA2A9E"/>
    <w:rsid w:val="00AA2BF3"/>
    <w:rsid w:val="00AA2D2C"/>
    <w:rsid w:val="00AA2F12"/>
    <w:rsid w:val="00AA2F65"/>
    <w:rsid w:val="00AA3356"/>
    <w:rsid w:val="00AA335A"/>
    <w:rsid w:val="00AA33F9"/>
    <w:rsid w:val="00AA353F"/>
    <w:rsid w:val="00AA360D"/>
    <w:rsid w:val="00AA3780"/>
    <w:rsid w:val="00AA3799"/>
    <w:rsid w:val="00AA379A"/>
    <w:rsid w:val="00AA3801"/>
    <w:rsid w:val="00AA3892"/>
    <w:rsid w:val="00AA38CB"/>
    <w:rsid w:val="00AA398A"/>
    <w:rsid w:val="00AA39F4"/>
    <w:rsid w:val="00AA3A5C"/>
    <w:rsid w:val="00AA3A5F"/>
    <w:rsid w:val="00AA3B09"/>
    <w:rsid w:val="00AA3B46"/>
    <w:rsid w:val="00AA3BC7"/>
    <w:rsid w:val="00AA3BCF"/>
    <w:rsid w:val="00AA3D35"/>
    <w:rsid w:val="00AA3ED8"/>
    <w:rsid w:val="00AA3EFB"/>
    <w:rsid w:val="00AA3FA4"/>
    <w:rsid w:val="00AA40BE"/>
    <w:rsid w:val="00AA4148"/>
    <w:rsid w:val="00AA4499"/>
    <w:rsid w:val="00AA449F"/>
    <w:rsid w:val="00AA451D"/>
    <w:rsid w:val="00AA452D"/>
    <w:rsid w:val="00AA4580"/>
    <w:rsid w:val="00AA46CC"/>
    <w:rsid w:val="00AA46DE"/>
    <w:rsid w:val="00AA4725"/>
    <w:rsid w:val="00AA47CD"/>
    <w:rsid w:val="00AA4837"/>
    <w:rsid w:val="00AA49DF"/>
    <w:rsid w:val="00AA4A0A"/>
    <w:rsid w:val="00AA4A77"/>
    <w:rsid w:val="00AA4AB4"/>
    <w:rsid w:val="00AA4B45"/>
    <w:rsid w:val="00AA4B52"/>
    <w:rsid w:val="00AA4B8F"/>
    <w:rsid w:val="00AA4D14"/>
    <w:rsid w:val="00AA5169"/>
    <w:rsid w:val="00AA5237"/>
    <w:rsid w:val="00AA526A"/>
    <w:rsid w:val="00AA537C"/>
    <w:rsid w:val="00AA53C9"/>
    <w:rsid w:val="00AA5432"/>
    <w:rsid w:val="00AA54B0"/>
    <w:rsid w:val="00AA54F5"/>
    <w:rsid w:val="00AA54FA"/>
    <w:rsid w:val="00AA5669"/>
    <w:rsid w:val="00AA5812"/>
    <w:rsid w:val="00AA584D"/>
    <w:rsid w:val="00AA592B"/>
    <w:rsid w:val="00AA59DE"/>
    <w:rsid w:val="00AA5AEE"/>
    <w:rsid w:val="00AA5B4E"/>
    <w:rsid w:val="00AA5BD0"/>
    <w:rsid w:val="00AA5C25"/>
    <w:rsid w:val="00AA5C2A"/>
    <w:rsid w:val="00AA5CEE"/>
    <w:rsid w:val="00AA5D28"/>
    <w:rsid w:val="00AA5FFF"/>
    <w:rsid w:val="00AA610B"/>
    <w:rsid w:val="00AA6340"/>
    <w:rsid w:val="00AA63FE"/>
    <w:rsid w:val="00AA64FE"/>
    <w:rsid w:val="00AA659F"/>
    <w:rsid w:val="00AA65D0"/>
    <w:rsid w:val="00AA6701"/>
    <w:rsid w:val="00AA67DF"/>
    <w:rsid w:val="00AA6987"/>
    <w:rsid w:val="00AA69C5"/>
    <w:rsid w:val="00AA69E1"/>
    <w:rsid w:val="00AA69E4"/>
    <w:rsid w:val="00AA6AA0"/>
    <w:rsid w:val="00AA6AB2"/>
    <w:rsid w:val="00AA6AB8"/>
    <w:rsid w:val="00AA6B9E"/>
    <w:rsid w:val="00AA6C30"/>
    <w:rsid w:val="00AA6C93"/>
    <w:rsid w:val="00AA6CA1"/>
    <w:rsid w:val="00AA6CA4"/>
    <w:rsid w:val="00AA6CD5"/>
    <w:rsid w:val="00AA6CEE"/>
    <w:rsid w:val="00AA6D60"/>
    <w:rsid w:val="00AA6D76"/>
    <w:rsid w:val="00AA6E49"/>
    <w:rsid w:val="00AA6E5B"/>
    <w:rsid w:val="00AA6EBE"/>
    <w:rsid w:val="00AA7081"/>
    <w:rsid w:val="00AA71BA"/>
    <w:rsid w:val="00AA71C0"/>
    <w:rsid w:val="00AA71D7"/>
    <w:rsid w:val="00AA71E0"/>
    <w:rsid w:val="00AA72F9"/>
    <w:rsid w:val="00AA73A6"/>
    <w:rsid w:val="00AA748D"/>
    <w:rsid w:val="00AA74E2"/>
    <w:rsid w:val="00AA752D"/>
    <w:rsid w:val="00AA75C0"/>
    <w:rsid w:val="00AA766A"/>
    <w:rsid w:val="00AA76B4"/>
    <w:rsid w:val="00AA79DD"/>
    <w:rsid w:val="00AA7A4B"/>
    <w:rsid w:val="00AA7BA0"/>
    <w:rsid w:val="00AA7BBB"/>
    <w:rsid w:val="00AA7BDF"/>
    <w:rsid w:val="00AA7E51"/>
    <w:rsid w:val="00AA7FFB"/>
    <w:rsid w:val="00AB0042"/>
    <w:rsid w:val="00AB00F6"/>
    <w:rsid w:val="00AB018C"/>
    <w:rsid w:val="00AB01DD"/>
    <w:rsid w:val="00AB01FD"/>
    <w:rsid w:val="00AB021E"/>
    <w:rsid w:val="00AB02CB"/>
    <w:rsid w:val="00AB0358"/>
    <w:rsid w:val="00AB0365"/>
    <w:rsid w:val="00AB03D6"/>
    <w:rsid w:val="00AB03EA"/>
    <w:rsid w:val="00AB0434"/>
    <w:rsid w:val="00AB04A2"/>
    <w:rsid w:val="00AB04C1"/>
    <w:rsid w:val="00AB0577"/>
    <w:rsid w:val="00AB05E2"/>
    <w:rsid w:val="00AB05E6"/>
    <w:rsid w:val="00AB05F5"/>
    <w:rsid w:val="00AB06FF"/>
    <w:rsid w:val="00AB08FC"/>
    <w:rsid w:val="00AB094E"/>
    <w:rsid w:val="00AB0981"/>
    <w:rsid w:val="00AB09D7"/>
    <w:rsid w:val="00AB0A18"/>
    <w:rsid w:val="00AB0A3B"/>
    <w:rsid w:val="00AB0A43"/>
    <w:rsid w:val="00AB0A92"/>
    <w:rsid w:val="00AB0C56"/>
    <w:rsid w:val="00AB0D99"/>
    <w:rsid w:val="00AB0F9A"/>
    <w:rsid w:val="00AB0FD2"/>
    <w:rsid w:val="00AB1040"/>
    <w:rsid w:val="00AB10F4"/>
    <w:rsid w:val="00AB1202"/>
    <w:rsid w:val="00AB125C"/>
    <w:rsid w:val="00AB12D9"/>
    <w:rsid w:val="00AB1313"/>
    <w:rsid w:val="00AB136C"/>
    <w:rsid w:val="00AB14B1"/>
    <w:rsid w:val="00AB14C8"/>
    <w:rsid w:val="00AB14FF"/>
    <w:rsid w:val="00AB1588"/>
    <w:rsid w:val="00AB15FC"/>
    <w:rsid w:val="00AB1668"/>
    <w:rsid w:val="00AB1684"/>
    <w:rsid w:val="00AB1773"/>
    <w:rsid w:val="00AB17EB"/>
    <w:rsid w:val="00AB180A"/>
    <w:rsid w:val="00AB1910"/>
    <w:rsid w:val="00AB1A64"/>
    <w:rsid w:val="00AB1ACB"/>
    <w:rsid w:val="00AB1B63"/>
    <w:rsid w:val="00AB1BE7"/>
    <w:rsid w:val="00AB1C0B"/>
    <w:rsid w:val="00AB1C68"/>
    <w:rsid w:val="00AB1C7B"/>
    <w:rsid w:val="00AB1D1A"/>
    <w:rsid w:val="00AB1DAE"/>
    <w:rsid w:val="00AB1DEE"/>
    <w:rsid w:val="00AB1EF8"/>
    <w:rsid w:val="00AB1FBF"/>
    <w:rsid w:val="00AB206B"/>
    <w:rsid w:val="00AB2199"/>
    <w:rsid w:val="00AB21DF"/>
    <w:rsid w:val="00AB2239"/>
    <w:rsid w:val="00AB224F"/>
    <w:rsid w:val="00AB22C8"/>
    <w:rsid w:val="00AB2382"/>
    <w:rsid w:val="00AB246B"/>
    <w:rsid w:val="00AB256D"/>
    <w:rsid w:val="00AB2580"/>
    <w:rsid w:val="00AB25C5"/>
    <w:rsid w:val="00AB25D3"/>
    <w:rsid w:val="00AB2602"/>
    <w:rsid w:val="00AB27A9"/>
    <w:rsid w:val="00AB28D6"/>
    <w:rsid w:val="00AB296E"/>
    <w:rsid w:val="00AB2ABD"/>
    <w:rsid w:val="00AB2B54"/>
    <w:rsid w:val="00AB2BC8"/>
    <w:rsid w:val="00AB2BCC"/>
    <w:rsid w:val="00AB2C23"/>
    <w:rsid w:val="00AB2C97"/>
    <w:rsid w:val="00AB2EB6"/>
    <w:rsid w:val="00AB2F9E"/>
    <w:rsid w:val="00AB2FF9"/>
    <w:rsid w:val="00AB3059"/>
    <w:rsid w:val="00AB305F"/>
    <w:rsid w:val="00AB30AF"/>
    <w:rsid w:val="00AB30EF"/>
    <w:rsid w:val="00AB3171"/>
    <w:rsid w:val="00AB330C"/>
    <w:rsid w:val="00AB3366"/>
    <w:rsid w:val="00AB33B4"/>
    <w:rsid w:val="00AB346A"/>
    <w:rsid w:val="00AB3493"/>
    <w:rsid w:val="00AB34A8"/>
    <w:rsid w:val="00AB34D3"/>
    <w:rsid w:val="00AB34E0"/>
    <w:rsid w:val="00AB3506"/>
    <w:rsid w:val="00AB3709"/>
    <w:rsid w:val="00AB3764"/>
    <w:rsid w:val="00AB37A8"/>
    <w:rsid w:val="00AB37BF"/>
    <w:rsid w:val="00AB37F0"/>
    <w:rsid w:val="00AB385D"/>
    <w:rsid w:val="00AB396F"/>
    <w:rsid w:val="00AB39C2"/>
    <w:rsid w:val="00AB3A30"/>
    <w:rsid w:val="00AB3AE5"/>
    <w:rsid w:val="00AB3BF5"/>
    <w:rsid w:val="00AB3C0B"/>
    <w:rsid w:val="00AB3D20"/>
    <w:rsid w:val="00AB3D3A"/>
    <w:rsid w:val="00AB3DB1"/>
    <w:rsid w:val="00AB3E8F"/>
    <w:rsid w:val="00AB3EC8"/>
    <w:rsid w:val="00AB3FAA"/>
    <w:rsid w:val="00AB3FE9"/>
    <w:rsid w:val="00AB4069"/>
    <w:rsid w:val="00AB4294"/>
    <w:rsid w:val="00AB429A"/>
    <w:rsid w:val="00AB4341"/>
    <w:rsid w:val="00AB4396"/>
    <w:rsid w:val="00AB43CA"/>
    <w:rsid w:val="00AB452B"/>
    <w:rsid w:val="00AB4590"/>
    <w:rsid w:val="00AB4698"/>
    <w:rsid w:val="00AB47DE"/>
    <w:rsid w:val="00AB480A"/>
    <w:rsid w:val="00AB480B"/>
    <w:rsid w:val="00AB4882"/>
    <w:rsid w:val="00AB4914"/>
    <w:rsid w:val="00AB4926"/>
    <w:rsid w:val="00AB4ABD"/>
    <w:rsid w:val="00AB4BC6"/>
    <w:rsid w:val="00AB4C0F"/>
    <w:rsid w:val="00AB4D12"/>
    <w:rsid w:val="00AB4F0B"/>
    <w:rsid w:val="00AB4F2F"/>
    <w:rsid w:val="00AB4FDB"/>
    <w:rsid w:val="00AB5007"/>
    <w:rsid w:val="00AB508C"/>
    <w:rsid w:val="00AB50CB"/>
    <w:rsid w:val="00AB51C7"/>
    <w:rsid w:val="00AB53FF"/>
    <w:rsid w:val="00AB5410"/>
    <w:rsid w:val="00AB5451"/>
    <w:rsid w:val="00AB563A"/>
    <w:rsid w:val="00AB5654"/>
    <w:rsid w:val="00AB5710"/>
    <w:rsid w:val="00AB572E"/>
    <w:rsid w:val="00AB57A2"/>
    <w:rsid w:val="00AB57B2"/>
    <w:rsid w:val="00AB584C"/>
    <w:rsid w:val="00AB588E"/>
    <w:rsid w:val="00AB591A"/>
    <w:rsid w:val="00AB59CB"/>
    <w:rsid w:val="00AB59F3"/>
    <w:rsid w:val="00AB5A63"/>
    <w:rsid w:val="00AB5ADF"/>
    <w:rsid w:val="00AB5AFE"/>
    <w:rsid w:val="00AB5B0D"/>
    <w:rsid w:val="00AB5B7E"/>
    <w:rsid w:val="00AB5BAB"/>
    <w:rsid w:val="00AB5BE7"/>
    <w:rsid w:val="00AB5BFE"/>
    <w:rsid w:val="00AB5D1E"/>
    <w:rsid w:val="00AB5D9E"/>
    <w:rsid w:val="00AB5E59"/>
    <w:rsid w:val="00AB5F22"/>
    <w:rsid w:val="00AB5FB1"/>
    <w:rsid w:val="00AB6090"/>
    <w:rsid w:val="00AB6186"/>
    <w:rsid w:val="00AB6221"/>
    <w:rsid w:val="00AB6389"/>
    <w:rsid w:val="00AB63CA"/>
    <w:rsid w:val="00AB63D2"/>
    <w:rsid w:val="00AB6608"/>
    <w:rsid w:val="00AB6790"/>
    <w:rsid w:val="00AB6810"/>
    <w:rsid w:val="00AB6811"/>
    <w:rsid w:val="00AB68D5"/>
    <w:rsid w:val="00AB6961"/>
    <w:rsid w:val="00AB69D7"/>
    <w:rsid w:val="00AB6A93"/>
    <w:rsid w:val="00AB6AD4"/>
    <w:rsid w:val="00AB6AF7"/>
    <w:rsid w:val="00AB6B44"/>
    <w:rsid w:val="00AB6D25"/>
    <w:rsid w:val="00AB6DB8"/>
    <w:rsid w:val="00AB6F35"/>
    <w:rsid w:val="00AB6FF4"/>
    <w:rsid w:val="00AB7037"/>
    <w:rsid w:val="00AB7103"/>
    <w:rsid w:val="00AB7339"/>
    <w:rsid w:val="00AB741B"/>
    <w:rsid w:val="00AB755D"/>
    <w:rsid w:val="00AB776B"/>
    <w:rsid w:val="00AB7889"/>
    <w:rsid w:val="00AB7ABF"/>
    <w:rsid w:val="00AB7BE2"/>
    <w:rsid w:val="00AB7C21"/>
    <w:rsid w:val="00AB7E30"/>
    <w:rsid w:val="00AB7EFC"/>
    <w:rsid w:val="00AB7F1E"/>
    <w:rsid w:val="00AB7FF5"/>
    <w:rsid w:val="00AC0030"/>
    <w:rsid w:val="00AC00B1"/>
    <w:rsid w:val="00AC0365"/>
    <w:rsid w:val="00AC0637"/>
    <w:rsid w:val="00AC064D"/>
    <w:rsid w:val="00AC06CD"/>
    <w:rsid w:val="00AC06D6"/>
    <w:rsid w:val="00AC0754"/>
    <w:rsid w:val="00AC09E6"/>
    <w:rsid w:val="00AC0CAD"/>
    <w:rsid w:val="00AC0CC7"/>
    <w:rsid w:val="00AC0DC9"/>
    <w:rsid w:val="00AC0DD2"/>
    <w:rsid w:val="00AC0E76"/>
    <w:rsid w:val="00AC0E94"/>
    <w:rsid w:val="00AC0F2F"/>
    <w:rsid w:val="00AC0F94"/>
    <w:rsid w:val="00AC0FBD"/>
    <w:rsid w:val="00AC1032"/>
    <w:rsid w:val="00AC1135"/>
    <w:rsid w:val="00AC121A"/>
    <w:rsid w:val="00AC1250"/>
    <w:rsid w:val="00AC13A2"/>
    <w:rsid w:val="00AC152A"/>
    <w:rsid w:val="00AC154D"/>
    <w:rsid w:val="00AC16A5"/>
    <w:rsid w:val="00AC16C0"/>
    <w:rsid w:val="00AC1793"/>
    <w:rsid w:val="00AC17E3"/>
    <w:rsid w:val="00AC1810"/>
    <w:rsid w:val="00AC182C"/>
    <w:rsid w:val="00AC18FD"/>
    <w:rsid w:val="00AC19FE"/>
    <w:rsid w:val="00AC1A60"/>
    <w:rsid w:val="00AC1ACD"/>
    <w:rsid w:val="00AC1AFE"/>
    <w:rsid w:val="00AC1B09"/>
    <w:rsid w:val="00AC1B42"/>
    <w:rsid w:val="00AC1B43"/>
    <w:rsid w:val="00AC1B50"/>
    <w:rsid w:val="00AC1B8D"/>
    <w:rsid w:val="00AC1C73"/>
    <w:rsid w:val="00AC1CFF"/>
    <w:rsid w:val="00AC1DE0"/>
    <w:rsid w:val="00AC1ED5"/>
    <w:rsid w:val="00AC2051"/>
    <w:rsid w:val="00AC20CE"/>
    <w:rsid w:val="00AC213F"/>
    <w:rsid w:val="00AC2211"/>
    <w:rsid w:val="00AC2216"/>
    <w:rsid w:val="00AC2350"/>
    <w:rsid w:val="00AC2373"/>
    <w:rsid w:val="00AC2512"/>
    <w:rsid w:val="00AC2658"/>
    <w:rsid w:val="00AC28AD"/>
    <w:rsid w:val="00AC292F"/>
    <w:rsid w:val="00AC2A3F"/>
    <w:rsid w:val="00AC2A43"/>
    <w:rsid w:val="00AC2B55"/>
    <w:rsid w:val="00AC2B84"/>
    <w:rsid w:val="00AC2C55"/>
    <w:rsid w:val="00AC2CEC"/>
    <w:rsid w:val="00AC2D15"/>
    <w:rsid w:val="00AC2D59"/>
    <w:rsid w:val="00AC2DDD"/>
    <w:rsid w:val="00AC2E06"/>
    <w:rsid w:val="00AC3003"/>
    <w:rsid w:val="00AC30AB"/>
    <w:rsid w:val="00AC30E1"/>
    <w:rsid w:val="00AC3187"/>
    <w:rsid w:val="00AC31B0"/>
    <w:rsid w:val="00AC3243"/>
    <w:rsid w:val="00AC3298"/>
    <w:rsid w:val="00AC3308"/>
    <w:rsid w:val="00AC3330"/>
    <w:rsid w:val="00AC337F"/>
    <w:rsid w:val="00AC33F7"/>
    <w:rsid w:val="00AC3424"/>
    <w:rsid w:val="00AC3716"/>
    <w:rsid w:val="00AC374F"/>
    <w:rsid w:val="00AC378A"/>
    <w:rsid w:val="00AC37BA"/>
    <w:rsid w:val="00AC3857"/>
    <w:rsid w:val="00AC38D6"/>
    <w:rsid w:val="00AC38FC"/>
    <w:rsid w:val="00AC3940"/>
    <w:rsid w:val="00AC399A"/>
    <w:rsid w:val="00AC39BD"/>
    <w:rsid w:val="00AC3A21"/>
    <w:rsid w:val="00AC3B00"/>
    <w:rsid w:val="00AC3B87"/>
    <w:rsid w:val="00AC3BB9"/>
    <w:rsid w:val="00AC3C6E"/>
    <w:rsid w:val="00AC3C92"/>
    <w:rsid w:val="00AC3ECA"/>
    <w:rsid w:val="00AC3F20"/>
    <w:rsid w:val="00AC3FD9"/>
    <w:rsid w:val="00AC4087"/>
    <w:rsid w:val="00AC40D0"/>
    <w:rsid w:val="00AC40FC"/>
    <w:rsid w:val="00AC411D"/>
    <w:rsid w:val="00AC419E"/>
    <w:rsid w:val="00AC41C2"/>
    <w:rsid w:val="00AC4206"/>
    <w:rsid w:val="00AC425E"/>
    <w:rsid w:val="00AC4315"/>
    <w:rsid w:val="00AC4331"/>
    <w:rsid w:val="00AC4373"/>
    <w:rsid w:val="00AC43E6"/>
    <w:rsid w:val="00AC443B"/>
    <w:rsid w:val="00AC44B5"/>
    <w:rsid w:val="00AC454E"/>
    <w:rsid w:val="00AC465C"/>
    <w:rsid w:val="00AC4690"/>
    <w:rsid w:val="00AC46CB"/>
    <w:rsid w:val="00AC4709"/>
    <w:rsid w:val="00AC4716"/>
    <w:rsid w:val="00AC47CC"/>
    <w:rsid w:val="00AC482A"/>
    <w:rsid w:val="00AC4886"/>
    <w:rsid w:val="00AC48CD"/>
    <w:rsid w:val="00AC496C"/>
    <w:rsid w:val="00AC4A7C"/>
    <w:rsid w:val="00AC4BB0"/>
    <w:rsid w:val="00AC4C5E"/>
    <w:rsid w:val="00AC4C78"/>
    <w:rsid w:val="00AC4E0B"/>
    <w:rsid w:val="00AC4F77"/>
    <w:rsid w:val="00AC4F83"/>
    <w:rsid w:val="00AC504E"/>
    <w:rsid w:val="00AC5220"/>
    <w:rsid w:val="00AC5223"/>
    <w:rsid w:val="00AC529C"/>
    <w:rsid w:val="00AC52D9"/>
    <w:rsid w:val="00AC5330"/>
    <w:rsid w:val="00AC53E0"/>
    <w:rsid w:val="00AC5408"/>
    <w:rsid w:val="00AC56C0"/>
    <w:rsid w:val="00AC56E7"/>
    <w:rsid w:val="00AC575A"/>
    <w:rsid w:val="00AC57C7"/>
    <w:rsid w:val="00AC580F"/>
    <w:rsid w:val="00AC58F2"/>
    <w:rsid w:val="00AC5BD1"/>
    <w:rsid w:val="00AC5C7F"/>
    <w:rsid w:val="00AC5CF7"/>
    <w:rsid w:val="00AC5D18"/>
    <w:rsid w:val="00AC5E0C"/>
    <w:rsid w:val="00AC5E49"/>
    <w:rsid w:val="00AC5F2B"/>
    <w:rsid w:val="00AC5FAA"/>
    <w:rsid w:val="00AC5FCA"/>
    <w:rsid w:val="00AC5FD4"/>
    <w:rsid w:val="00AC6007"/>
    <w:rsid w:val="00AC603E"/>
    <w:rsid w:val="00AC60BB"/>
    <w:rsid w:val="00AC612A"/>
    <w:rsid w:val="00AC619B"/>
    <w:rsid w:val="00AC61B0"/>
    <w:rsid w:val="00AC629B"/>
    <w:rsid w:val="00AC62AE"/>
    <w:rsid w:val="00AC62DD"/>
    <w:rsid w:val="00AC6362"/>
    <w:rsid w:val="00AC63A0"/>
    <w:rsid w:val="00AC63FC"/>
    <w:rsid w:val="00AC644F"/>
    <w:rsid w:val="00AC6511"/>
    <w:rsid w:val="00AC6558"/>
    <w:rsid w:val="00AC665D"/>
    <w:rsid w:val="00AC66B5"/>
    <w:rsid w:val="00AC66BE"/>
    <w:rsid w:val="00AC6726"/>
    <w:rsid w:val="00AC67FF"/>
    <w:rsid w:val="00AC6818"/>
    <w:rsid w:val="00AC6841"/>
    <w:rsid w:val="00AC68F8"/>
    <w:rsid w:val="00AC690F"/>
    <w:rsid w:val="00AC692D"/>
    <w:rsid w:val="00AC6B60"/>
    <w:rsid w:val="00AC6B97"/>
    <w:rsid w:val="00AC6C34"/>
    <w:rsid w:val="00AC6DE1"/>
    <w:rsid w:val="00AC6ECC"/>
    <w:rsid w:val="00AC6F64"/>
    <w:rsid w:val="00AC6F8B"/>
    <w:rsid w:val="00AC6FA5"/>
    <w:rsid w:val="00AC6FFF"/>
    <w:rsid w:val="00AC7052"/>
    <w:rsid w:val="00AC71E5"/>
    <w:rsid w:val="00AC7302"/>
    <w:rsid w:val="00AC730B"/>
    <w:rsid w:val="00AC743F"/>
    <w:rsid w:val="00AC7470"/>
    <w:rsid w:val="00AC7489"/>
    <w:rsid w:val="00AC75B8"/>
    <w:rsid w:val="00AC7612"/>
    <w:rsid w:val="00AC761C"/>
    <w:rsid w:val="00AC76A3"/>
    <w:rsid w:val="00AC76D9"/>
    <w:rsid w:val="00AC771C"/>
    <w:rsid w:val="00AC772B"/>
    <w:rsid w:val="00AC78BB"/>
    <w:rsid w:val="00AC79D9"/>
    <w:rsid w:val="00AC7A26"/>
    <w:rsid w:val="00AC7AA0"/>
    <w:rsid w:val="00AC7AA6"/>
    <w:rsid w:val="00AC7B85"/>
    <w:rsid w:val="00AC7CD3"/>
    <w:rsid w:val="00AC7D1B"/>
    <w:rsid w:val="00AC7D4C"/>
    <w:rsid w:val="00AC7E18"/>
    <w:rsid w:val="00AC7E5E"/>
    <w:rsid w:val="00AC7E7C"/>
    <w:rsid w:val="00AC7ED3"/>
    <w:rsid w:val="00AC7EDA"/>
    <w:rsid w:val="00AC7F08"/>
    <w:rsid w:val="00AC7F77"/>
    <w:rsid w:val="00AD00DE"/>
    <w:rsid w:val="00AD0107"/>
    <w:rsid w:val="00AD0284"/>
    <w:rsid w:val="00AD0506"/>
    <w:rsid w:val="00AD058E"/>
    <w:rsid w:val="00AD05BE"/>
    <w:rsid w:val="00AD0681"/>
    <w:rsid w:val="00AD06DD"/>
    <w:rsid w:val="00AD0757"/>
    <w:rsid w:val="00AD07E1"/>
    <w:rsid w:val="00AD08DE"/>
    <w:rsid w:val="00AD08F1"/>
    <w:rsid w:val="00AD0976"/>
    <w:rsid w:val="00AD0ABB"/>
    <w:rsid w:val="00AD0B6B"/>
    <w:rsid w:val="00AD0D41"/>
    <w:rsid w:val="00AD0DD1"/>
    <w:rsid w:val="00AD0E91"/>
    <w:rsid w:val="00AD0F8D"/>
    <w:rsid w:val="00AD1033"/>
    <w:rsid w:val="00AD1090"/>
    <w:rsid w:val="00AD1258"/>
    <w:rsid w:val="00AD12B2"/>
    <w:rsid w:val="00AD136F"/>
    <w:rsid w:val="00AD142F"/>
    <w:rsid w:val="00AD14D7"/>
    <w:rsid w:val="00AD14FE"/>
    <w:rsid w:val="00AD1612"/>
    <w:rsid w:val="00AD1836"/>
    <w:rsid w:val="00AD1852"/>
    <w:rsid w:val="00AD189E"/>
    <w:rsid w:val="00AD19DB"/>
    <w:rsid w:val="00AD19E9"/>
    <w:rsid w:val="00AD1AB7"/>
    <w:rsid w:val="00AD1B18"/>
    <w:rsid w:val="00AD1B49"/>
    <w:rsid w:val="00AD1B5E"/>
    <w:rsid w:val="00AD1D60"/>
    <w:rsid w:val="00AD1D9E"/>
    <w:rsid w:val="00AD1DDB"/>
    <w:rsid w:val="00AD1E25"/>
    <w:rsid w:val="00AD1E99"/>
    <w:rsid w:val="00AD1F90"/>
    <w:rsid w:val="00AD2124"/>
    <w:rsid w:val="00AD2136"/>
    <w:rsid w:val="00AD21F0"/>
    <w:rsid w:val="00AD225D"/>
    <w:rsid w:val="00AD227F"/>
    <w:rsid w:val="00AD2283"/>
    <w:rsid w:val="00AD22D2"/>
    <w:rsid w:val="00AD245A"/>
    <w:rsid w:val="00AD24DE"/>
    <w:rsid w:val="00AD264E"/>
    <w:rsid w:val="00AD2738"/>
    <w:rsid w:val="00AD2749"/>
    <w:rsid w:val="00AD275D"/>
    <w:rsid w:val="00AD278C"/>
    <w:rsid w:val="00AD27BC"/>
    <w:rsid w:val="00AD29C1"/>
    <w:rsid w:val="00AD2A12"/>
    <w:rsid w:val="00AD2E14"/>
    <w:rsid w:val="00AD2FF2"/>
    <w:rsid w:val="00AD30C9"/>
    <w:rsid w:val="00AD31D5"/>
    <w:rsid w:val="00AD33D8"/>
    <w:rsid w:val="00AD357E"/>
    <w:rsid w:val="00AD37F7"/>
    <w:rsid w:val="00AD39ED"/>
    <w:rsid w:val="00AD3BAB"/>
    <w:rsid w:val="00AD3BFA"/>
    <w:rsid w:val="00AD3C1C"/>
    <w:rsid w:val="00AD3D0C"/>
    <w:rsid w:val="00AD3E41"/>
    <w:rsid w:val="00AD3F28"/>
    <w:rsid w:val="00AD4043"/>
    <w:rsid w:val="00AD40BE"/>
    <w:rsid w:val="00AD4173"/>
    <w:rsid w:val="00AD419B"/>
    <w:rsid w:val="00AD41A3"/>
    <w:rsid w:val="00AD422A"/>
    <w:rsid w:val="00AD424B"/>
    <w:rsid w:val="00AD4293"/>
    <w:rsid w:val="00AD434E"/>
    <w:rsid w:val="00AD43D9"/>
    <w:rsid w:val="00AD4538"/>
    <w:rsid w:val="00AD458E"/>
    <w:rsid w:val="00AD46D0"/>
    <w:rsid w:val="00AD47AC"/>
    <w:rsid w:val="00AD47B4"/>
    <w:rsid w:val="00AD487E"/>
    <w:rsid w:val="00AD49F5"/>
    <w:rsid w:val="00AD4AE9"/>
    <w:rsid w:val="00AD4B3B"/>
    <w:rsid w:val="00AD4C1D"/>
    <w:rsid w:val="00AD4E76"/>
    <w:rsid w:val="00AD4F01"/>
    <w:rsid w:val="00AD4F63"/>
    <w:rsid w:val="00AD4F70"/>
    <w:rsid w:val="00AD4FB1"/>
    <w:rsid w:val="00AD5137"/>
    <w:rsid w:val="00AD5157"/>
    <w:rsid w:val="00AD5195"/>
    <w:rsid w:val="00AD51DE"/>
    <w:rsid w:val="00AD5249"/>
    <w:rsid w:val="00AD5407"/>
    <w:rsid w:val="00AD542E"/>
    <w:rsid w:val="00AD5475"/>
    <w:rsid w:val="00AD5485"/>
    <w:rsid w:val="00AD551A"/>
    <w:rsid w:val="00AD555C"/>
    <w:rsid w:val="00AD5593"/>
    <w:rsid w:val="00AD55FB"/>
    <w:rsid w:val="00AD5764"/>
    <w:rsid w:val="00AD57F6"/>
    <w:rsid w:val="00AD580C"/>
    <w:rsid w:val="00AD58AE"/>
    <w:rsid w:val="00AD58F0"/>
    <w:rsid w:val="00AD5924"/>
    <w:rsid w:val="00AD594F"/>
    <w:rsid w:val="00AD5A62"/>
    <w:rsid w:val="00AD5AB8"/>
    <w:rsid w:val="00AD5B58"/>
    <w:rsid w:val="00AD5C3E"/>
    <w:rsid w:val="00AD5D4A"/>
    <w:rsid w:val="00AD5E47"/>
    <w:rsid w:val="00AD5EE1"/>
    <w:rsid w:val="00AD5F0B"/>
    <w:rsid w:val="00AD5F30"/>
    <w:rsid w:val="00AD5F3E"/>
    <w:rsid w:val="00AD60C3"/>
    <w:rsid w:val="00AD60F1"/>
    <w:rsid w:val="00AD6101"/>
    <w:rsid w:val="00AD619F"/>
    <w:rsid w:val="00AD62E6"/>
    <w:rsid w:val="00AD62F0"/>
    <w:rsid w:val="00AD630C"/>
    <w:rsid w:val="00AD631C"/>
    <w:rsid w:val="00AD633C"/>
    <w:rsid w:val="00AD6351"/>
    <w:rsid w:val="00AD6590"/>
    <w:rsid w:val="00AD661B"/>
    <w:rsid w:val="00AD666A"/>
    <w:rsid w:val="00AD6702"/>
    <w:rsid w:val="00AD67E1"/>
    <w:rsid w:val="00AD68B4"/>
    <w:rsid w:val="00AD691E"/>
    <w:rsid w:val="00AD69DC"/>
    <w:rsid w:val="00AD6A3A"/>
    <w:rsid w:val="00AD6B4E"/>
    <w:rsid w:val="00AD6B57"/>
    <w:rsid w:val="00AD6C43"/>
    <w:rsid w:val="00AD6D1A"/>
    <w:rsid w:val="00AD6D57"/>
    <w:rsid w:val="00AD6DEE"/>
    <w:rsid w:val="00AD6E3A"/>
    <w:rsid w:val="00AD6E68"/>
    <w:rsid w:val="00AD6F9B"/>
    <w:rsid w:val="00AD7025"/>
    <w:rsid w:val="00AD7194"/>
    <w:rsid w:val="00AD71AA"/>
    <w:rsid w:val="00AD71FA"/>
    <w:rsid w:val="00AD726E"/>
    <w:rsid w:val="00AD72A1"/>
    <w:rsid w:val="00AD72B4"/>
    <w:rsid w:val="00AD7306"/>
    <w:rsid w:val="00AD7318"/>
    <w:rsid w:val="00AD7330"/>
    <w:rsid w:val="00AD7438"/>
    <w:rsid w:val="00AD7552"/>
    <w:rsid w:val="00AD756A"/>
    <w:rsid w:val="00AD75AB"/>
    <w:rsid w:val="00AD76D3"/>
    <w:rsid w:val="00AD77A9"/>
    <w:rsid w:val="00AD782B"/>
    <w:rsid w:val="00AD7835"/>
    <w:rsid w:val="00AD7A92"/>
    <w:rsid w:val="00AD7ADA"/>
    <w:rsid w:val="00AD7B03"/>
    <w:rsid w:val="00AD7B3C"/>
    <w:rsid w:val="00AD7B4C"/>
    <w:rsid w:val="00AD7BDE"/>
    <w:rsid w:val="00AD7D38"/>
    <w:rsid w:val="00AD7D46"/>
    <w:rsid w:val="00AD7DEC"/>
    <w:rsid w:val="00AD7E5D"/>
    <w:rsid w:val="00AD7F78"/>
    <w:rsid w:val="00AD7F96"/>
    <w:rsid w:val="00AE002D"/>
    <w:rsid w:val="00AE0064"/>
    <w:rsid w:val="00AE017A"/>
    <w:rsid w:val="00AE036B"/>
    <w:rsid w:val="00AE0397"/>
    <w:rsid w:val="00AE0486"/>
    <w:rsid w:val="00AE05F2"/>
    <w:rsid w:val="00AE0609"/>
    <w:rsid w:val="00AE065C"/>
    <w:rsid w:val="00AE06D1"/>
    <w:rsid w:val="00AE0792"/>
    <w:rsid w:val="00AE07A4"/>
    <w:rsid w:val="00AE07F9"/>
    <w:rsid w:val="00AE0823"/>
    <w:rsid w:val="00AE084E"/>
    <w:rsid w:val="00AE08C5"/>
    <w:rsid w:val="00AE0958"/>
    <w:rsid w:val="00AE0A98"/>
    <w:rsid w:val="00AE0DDB"/>
    <w:rsid w:val="00AE0F26"/>
    <w:rsid w:val="00AE0F42"/>
    <w:rsid w:val="00AE0F6F"/>
    <w:rsid w:val="00AE1083"/>
    <w:rsid w:val="00AE10D6"/>
    <w:rsid w:val="00AE111E"/>
    <w:rsid w:val="00AE117E"/>
    <w:rsid w:val="00AE1310"/>
    <w:rsid w:val="00AE1345"/>
    <w:rsid w:val="00AE1352"/>
    <w:rsid w:val="00AE15A7"/>
    <w:rsid w:val="00AE16B3"/>
    <w:rsid w:val="00AE1908"/>
    <w:rsid w:val="00AE19CC"/>
    <w:rsid w:val="00AE19EC"/>
    <w:rsid w:val="00AE1A33"/>
    <w:rsid w:val="00AE1A5F"/>
    <w:rsid w:val="00AE1A92"/>
    <w:rsid w:val="00AE1B42"/>
    <w:rsid w:val="00AE1D9E"/>
    <w:rsid w:val="00AE1DC2"/>
    <w:rsid w:val="00AE1E3E"/>
    <w:rsid w:val="00AE1E8E"/>
    <w:rsid w:val="00AE1F31"/>
    <w:rsid w:val="00AE1FF3"/>
    <w:rsid w:val="00AE2068"/>
    <w:rsid w:val="00AE2229"/>
    <w:rsid w:val="00AE2369"/>
    <w:rsid w:val="00AE23D4"/>
    <w:rsid w:val="00AE2464"/>
    <w:rsid w:val="00AE2538"/>
    <w:rsid w:val="00AE253E"/>
    <w:rsid w:val="00AE2721"/>
    <w:rsid w:val="00AE2743"/>
    <w:rsid w:val="00AE2795"/>
    <w:rsid w:val="00AE2862"/>
    <w:rsid w:val="00AE2878"/>
    <w:rsid w:val="00AE296C"/>
    <w:rsid w:val="00AE2994"/>
    <w:rsid w:val="00AE2A8A"/>
    <w:rsid w:val="00AE2AD6"/>
    <w:rsid w:val="00AE2AF4"/>
    <w:rsid w:val="00AE2BDA"/>
    <w:rsid w:val="00AE2EBC"/>
    <w:rsid w:val="00AE2F75"/>
    <w:rsid w:val="00AE3099"/>
    <w:rsid w:val="00AE30AC"/>
    <w:rsid w:val="00AE30C2"/>
    <w:rsid w:val="00AE30EA"/>
    <w:rsid w:val="00AE313B"/>
    <w:rsid w:val="00AE326D"/>
    <w:rsid w:val="00AE33AC"/>
    <w:rsid w:val="00AE33FE"/>
    <w:rsid w:val="00AE3410"/>
    <w:rsid w:val="00AE3465"/>
    <w:rsid w:val="00AE3654"/>
    <w:rsid w:val="00AE3696"/>
    <w:rsid w:val="00AE36AD"/>
    <w:rsid w:val="00AE36D3"/>
    <w:rsid w:val="00AE36EE"/>
    <w:rsid w:val="00AE376B"/>
    <w:rsid w:val="00AE3770"/>
    <w:rsid w:val="00AE37F0"/>
    <w:rsid w:val="00AE3875"/>
    <w:rsid w:val="00AE387C"/>
    <w:rsid w:val="00AE38BC"/>
    <w:rsid w:val="00AE38C8"/>
    <w:rsid w:val="00AE396C"/>
    <w:rsid w:val="00AE39D5"/>
    <w:rsid w:val="00AE3A8C"/>
    <w:rsid w:val="00AE3B5C"/>
    <w:rsid w:val="00AE3C57"/>
    <w:rsid w:val="00AE3D4D"/>
    <w:rsid w:val="00AE3E00"/>
    <w:rsid w:val="00AE3E20"/>
    <w:rsid w:val="00AE3E53"/>
    <w:rsid w:val="00AE3E7A"/>
    <w:rsid w:val="00AE3EED"/>
    <w:rsid w:val="00AE3FC1"/>
    <w:rsid w:val="00AE40A7"/>
    <w:rsid w:val="00AE40CF"/>
    <w:rsid w:val="00AE40D9"/>
    <w:rsid w:val="00AE414C"/>
    <w:rsid w:val="00AE42C6"/>
    <w:rsid w:val="00AE4333"/>
    <w:rsid w:val="00AE4548"/>
    <w:rsid w:val="00AE46EC"/>
    <w:rsid w:val="00AE4755"/>
    <w:rsid w:val="00AE4778"/>
    <w:rsid w:val="00AE4789"/>
    <w:rsid w:val="00AE47F5"/>
    <w:rsid w:val="00AE488B"/>
    <w:rsid w:val="00AE488F"/>
    <w:rsid w:val="00AE48D6"/>
    <w:rsid w:val="00AE4907"/>
    <w:rsid w:val="00AE492C"/>
    <w:rsid w:val="00AE4945"/>
    <w:rsid w:val="00AE49F0"/>
    <w:rsid w:val="00AE4A2F"/>
    <w:rsid w:val="00AE4AAF"/>
    <w:rsid w:val="00AE4B1D"/>
    <w:rsid w:val="00AE4CE7"/>
    <w:rsid w:val="00AE4D36"/>
    <w:rsid w:val="00AE4D69"/>
    <w:rsid w:val="00AE4DA8"/>
    <w:rsid w:val="00AE4DAF"/>
    <w:rsid w:val="00AE4DF6"/>
    <w:rsid w:val="00AE4E10"/>
    <w:rsid w:val="00AE4ED2"/>
    <w:rsid w:val="00AE4F63"/>
    <w:rsid w:val="00AE4F95"/>
    <w:rsid w:val="00AE5078"/>
    <w:rsid w:val="00AE5079"/>
    <w:rsid w:val="00AE5080"/>
    <w:rsid w:val="00AE517F"/>
    <w:rsid w:val="00AE5184"/>
    <w:rsid w:val="00AE51C2"/>
    <w:rsid w:val="00AE520A"/>
    <w:rsid w:val="00AE52F6"/>
    <w:rsid w:val="00AE52F7"/>
    <w:rsid w:val="00AE53CB"/>
    <w:rsid w:val="00AE545C"/>
    <w:rsid w:val="00AE548A"/>
    <w:rsid w:val="00AE560A"/>
    <w:rsid w:val="00AE5614"/>
    <w:rsid w:val="00AE56BB"/>
    <w:rsid w:val="00AE572E"/>
    <w:rsid w:val="00AE57DC"/>
    <w:rsid w:val="00AE59AE"/>
    <w:rsid w:val="00AE59DF"/>
    <w:rsid w:val="00AE5A2B"/>
    <w:rsid w:val="00AE5A65"/>
    <w:rsid w:val="00AE5A81"/>
    <w:rsid w:val="00AE5AFB"/>
    <w:rsid w:val="00AE5BD0"/>
    <w:rsid w:val="00AE5C06"/>
    <w:rsid w:val="00AE5C78"/>
    <w:rsid w:val="00AE5CC3"/>
    <w:rsid w:val="00AE5D3F"/>
    <w:rsid w:val="00AE5D80"/>
    <w:rsid w:val="00AE5DD3"/>
    <w:rsid w:val="00AE5DDA"/>
    <w:rsid w:val="00AE5E46"/>
    <w:rsid w:val="00AE5F13"/>
    <w:rsid w:val="00AE5FA3"/>
    <w:rsid w:val="00AE6022"/>
    <w:rsid w:val="00AE6062"/>
    <w:rsid w:val="00AE6113"/>
    <w:rsid w:val="00AE61DE"/>
    <w:rsid w:val="00AE62A9"/>
    <w:rsid w:val="00AE6325"/>
    <w:rsid w:val="00AE6360"/>
    <w:rsid w:val="00AE6447"/>
    <w:rsid w:val="00AE644B"/>
    <w:rsid w:val="00AE6459"/>
    <w:rsid w:val="00AE649C"/>
    <w:rsid w:val="00AE64B3"/>
    <w:rsid w:val="00AE6566"/>
    <w:rsid w:val="00AE663C"/>
    <w:rsid w:val="00AE6658"/>
    <w:rsid w:val="00AE689F"/>
    <w:rsid w:val="00AE69C4"/>
    <w:rsid w:val="00AE69D9"/>
    <w:rsid w:val="00AE6BCA"/>
    <w:rsid w:val="00AE6C01"/>
    <w:rsid w:val="00AE6CE7"/>
    <w:rsid w:val="00AE6D85"/>
    <w:rsid w:val="00AE6DFA"/>
    <w:rsid w:val="00AE6E2E"/>
    <w:rsid w:val="00AE6EF3"/>
    <w:rsid w:val="00AE6F7D"/>
    <w:rsid w:val="00AE7196"/>
    <w:rsid w:val="00AE7290"/>
    <w:rsid w:val="00AE732D"/>
    <w:rsid w:val="00AE7377"/>
    <w:rsid w:val="00AE73BE"/>
    <w:rsid w:val="00AE74BB"/>
    <w:rsid w:val="00AE7538"/>
    <w:rsid w:val="00AE76CC"/>
    <w:rsid w:val="00AE76D8"/>
    <w:rsid w:val="00AE7703"/>
    <w:rsid w:val="00AE7740"/>
    <w:rsid w:val="00AE77B2"/>
    <w:rsid w:val="00AE77EA"/>
    <w:rsid w:val="00AE7824"/>
    <w:rsid w:val="00AE7853"/>
    <w:rsid w:val="00AE786B"/>
    <w:rsid w:val="00AE788D"/>
    <w:rsid w:val="00AE7974"/>
    <w:rsid w:val="00AE7A11"/>
    <w:rsid w:val="00AE7AE0"/>
    <w:rsid w:val="00AE7B3D"/>
    <w:rsid w:val="00AE7B9A"/>
    <w:rsid w:val="00AE7DF6"/>
    <w:rsid w:val="00AE7E80"/>
    <w:rsid w:val="00AF0022"/>
    <w:rsid w:val="00AF002F"/>
    <w:rsid w:val="00AF008A"/>
    <w:rsid w:val="00AF009A"/>
    <w:rsid w:val="00AF00B0"/>
    <w:rsid w:val="00AF01E4"/>
    <w:rsid w:val="00AF029D"/>
    <w:rsid w:val="00AF02C4"/>
    <w:rsid w:val="00AF0302"/>
    <w:rsid w:val="00AF031E"/>
    <w:rsid w:val="00AF03CB"/>
    <w:rsid w:val="00AF04A7"/>
    <w:rsid w:val="00AF0518"/>
    <w:rsid w:val="00AF064C"/>
    <w:rsid w:val="00AF0802"/>
    <w:rsid w:val="00AF0A3B"/>
    <w:rsid w:val="00AF0A49"/>
    <w:rsid w:val="00AF0A8B"/>
    <w:rsid w:val="00AF0B33"/>
    <w:rsid w:val="00AF0B3E"/>
    <w:rsid w:val="00AF0BCC"/>
    <w:rsid w:val="00AF0BF5"/>
    <w:rsid w:val="00AF0CA0"/>
    <w:rsid w:val="00AF0D15"/>
    <w:rsid w:val="00AF0D64"/>
    <w:rsid w:val="00AF0DC0"/>
    <w:rsid w:val="00AF0EC4"/>
    <w:rsid w:val="00AF0F84"/>
    <w:rsid w:val="00AF0F85"/>
    <w:rsid w:val="00AF1006"/>
    <w:rsid w:val="00AF109E"/>
    <w:rsid w:val="00AF10C7"/>
    <w:rsid w:val="00AF10F7"/>
    <w:rsid w:val="00AF114F"/>
    <w:rsid w:val="00AF11FC"/>
    <w:rsid w:val="00AF1230"/>
    <w:rsid w:val="00AF1250"/>
    <w:rsid w:val="00AF1416"/>
    <w:rsid w:val="00AF142A"/>
    <w:rsid w:val="00AF144D"/>
    <w:rsid w:val="00AF150A"/>
    <w:rsid w:val="00AF1594"/>
    <w:rsid w:val="00AF17D7"/>
    <w:rsid w:val="00AF18D7"/>
    <w:rsid w:val="00AF1A74"/>
    <w:rsid w:val="00AF1AD2"/>
    <w:rsid w:val="00AF1B01"/>
    <w:rsid w:val="00AF1BB3"/>
    <w:rsid w:val="00AF1D0A"/>
    <w:rsid w:val="00AF1F30"/>
    <w:rsid w:val="00AF206C"/>
    <w:rsid w:val="00AF20F7"/>
    <w:rsid w:val="00AF21A9"/>
    <w:rsid w:val="00AF21B7"/>
    <w:rsid w:val="00AF21C0"/>
    <w:rsid w:val="00AF21F6"/>
    <w:rsid w:val="00AF221E"/>
    <w:rsid w:val="00AF24AA"/>
    <w:rsid w:val="00AF27BE"/>
    <w:rsid w:val="00AF2875"/>
    <w:rsid w:val="00AF2914"/>
    <w:rsid w:val="00AF29BB"/>
    <w:rsid w:val="00AF2A04"/>
    <w:rsid w:val="00AF2A4D"/>
    <w:rsid w:val="00AF2AB8"/>
    <w:rsid w:val="00AF2AED"/>
    <w:rsid w:val="00AF2B14"/>
    <w:rsid w:val="00AF2B46"/>
    <w:rsid w:val="00AF2C71"/>
    <w:rsid w:val="00AF2CF5"/>
    <w:rsid w:val="00AF2E78"/>
    <w:rsid w:val="00AF2E84"/>
    <w:rsid w:val="00AF2F36"/>
    <w:rsid w:val="00AF2F7A"/>
    <w:rsid w:val="00AF302C"/>
    <w:rsid w:val="00AF3030"/>
    <w:rsid w:val="00AF3057"/>
    <w:rsid w:val="00AF3072"/>
    <w:rsid w:val="00AF3088"/>
    <w:rsid w:val="00AF30F3"/>
    <w:rsid w:val="00AF30F9"/>
    <w:rsid w:val="00AF320A"/>
    <w:rsid w:val="00AF3246"/>
    <w:rsid w:val="00AF32F5"/>
    <w:rsid w:val="00AF3307"/>
    <w:rsid w:val="00AF33B6"/>
    <w:rsid w:val="00AF3424"/>
    <w:rsid w:val="00AF3432"/>
    <w:rsid w:val="00AF3485"/>
    <w:rsid w:val="00AF3498"/>
    <w:rsid w:val="00AF3636"/>
    <w:rsid w:val="00AF3669"/>
    <w:rsid w:val="00AF3820"/>
    <w:rsid w:val="00AF389B"/>
    <w:rsid w:val="00AF392D"/>
    <w:rsid w:val="00AF3935"/>
    <w:rsid w:val="00AF3943"/>
    <w:rsid w:val="00AF3A34"/>
    <w:rsid w:val="00AF3AE9"/>
    <w:rsid w:val="00AF3B63"/>
    <w:rsid w:val="00AF3C9D"/>
    <w:rsid w:val="00AF3D50"/>
    <w:rsid w:val="00AF3D9B"/>
    <w:rsid w:val="00AF3DE4"/>
    <w:rsid w:val="00AF3DFA"/>
    <w:rsid w:val="00AF3FDC"/>
    <w:rsid w:val="00AF4021"/>
    <w:rsid w:val="00AF4088"/>
    <w:rsid w:val="00AF40EF"/>
    <w:rsid w:val="00AF4102"/>
    <w:rsid w:val="00AF4341"/>
    <w:rsid w:val="00AF43F6"/>
    <w:rsid w:val="00AF444C"/>
    <w:rsid w:val="00AF44C2"/>
    <w:rsid w:val="00AF45A0"/>
    <w:rsid w:val="00AF45B9"/>
    <w:rsid w:val="00AF46A3"/>
    <w:rsid w:val="00AF46EA"/>
    <w:rsid w:val="00AF4701"/>
    <w:rsid w:val="00AF4748"/>
    <w:rsid w:val="00AF4828"/>
    <w:rsid w:val="00AF4944"/>
    <w:rsid w:val="00AF4948"/>
    <w:rsid w:val="00AF4AFB"/>
    <w:rsid w:val="00AF4C7A"/>
    <w:rsid w:val="00AF4D10"/>
    <w:rsid w:val="00AF4DE0"/>
    <w:rsid w:val="00AF4DFC"/>
    <w:rsid w:val="00AF4E83"/>
    <w:rsid w:val="00AF4ED7"/>
    <w:rsid w:val="00AF5034"/>
    <w:rsid w:val="00AF5141"/>
    <w:rsid w:val="00AF53D9"/>
    <w:rsid w:val="00AF5423"/>
    <w:rsid w:val="00AF543F"/>
    <w:rsid w:val="00AF5628"/>
    <w:rsid w:val="00AF5713"/>
    <w:rsid w:val="00AF57BB"/>
    <w:rsid w:val="00AF57C7"/>
    <w:rsid w:val="00AF57D3"/>
    <w:rsid w:val="00AF5815"/>
    <w:rsid w:val="00AF5834"/>
    <w:rsid w:val="00AF58C8"/>
    <w:rsid w:val="00AF58D2"/>
    <w:rsid w:val="00AF5A5B"/>
    <w:rsid w:val="00AF5B31"/>
    <w:rsid w:val="00AF5CB1"/>
    <w:rsid w:val="00AF5D7E"/>
    <w:rsid w:val="00AF5E1A"/>
    <w:rsid w:val="00AF5E76"/>
    <w:rsid w:val="00AF5EDD"/>
    <w:rsid w:val="00AF5FB3"/>
    <w:rsid w:val="00AF5FF5"/>
    <w:rsid w:val="00AF6128"/>
    <w:rsid w:val="00AF6333"/>
    <w:rsid w:val="00AF6428"/>
    <w:rsid w:val="00AF64BA"/>
    <w:rsid w:val="00AF6508"/>
    <w:rsid w:val="00AF65B3"/>
    <w:rsid w:val="00AF66F0"/>
    <w:rsid w:val="00AF6717"/>
    <w:rsid w:val="00AF696D"/>
    <w:rsid w:val="00AF6981"/>
    <w:rsid w:val="00AF6B01"/>
    <w:rsid w:val="00AF6B98"/>
    <w:rsid w:val="00AF6B9F"/>
    <w:rsid w:val="00AF6BA9"/>
    <w:rsid w:val="00AF6D65"/>
    <w:rsid w:val="00AF709D"/>
    <w:rsid w:val="00AF711A"/>
    <w:rsid w:val="00AF7386"/>
    <w:rsid w:val="00AF745F"/>
    <w:rsid w:val="00AF74A8"/>
    <w:rsid w:val="00AF7597"/>
    <w:rsid w:val="00AF75A6"/>
    <w:rsid w:val="00AF7609"/>
    <w:rsid w:val="00AF769D"/>
    <w:rsid w:val="00AF771D"/>
    <w:rsid w:val="00AF782B"/>
    <w:rsid w:val="00AF78B5"/>
    <w:rsid w:val="00AF78D0"/>
    <w:rsid w:val="00AF79AA"/>
    <w:rsid w:val="00AF79F5"/>
    <w:rsid w:val="00AF7A61"/>
    <w:rsid w:val="00AF7AFF"/>
    <w:rsid w:val="00AF7C80"/>
    <w:rsid w:val="00AF7D08"/>
    <w:rsid w:val="00AF7D41"/>
    <w:rsid w:val="00AF7EE7"/>
    <w:rsid w:val="00AF7FA7"/>
    <w:rsid w:val="00AF7FE9"/>
    <w:rsid w:val="00B0017A"/>
    <w:rsid w:val="00B0018F"/>
    <w:rsid w:val="00B002DC"/>
    <w:rsid w:val="00B003CC"/>
    <w:rsid w:val="00B00558"/>
    <w:rsid w:val="00B007DD"/>
    <w:rsid w:val="00B0091C"/>
    <w:rsid w:val="00B00930"/>
    <w:rsid w:val="00B009AB"/>
    <w:rsid w:val="00B009B0"/>
    <w:rsid w:val="00B00A5E"/>
    <w:rsid w:val="00B00A6F"/>
    <w:rsid w:val="00B00B00"/>
    <w:rsid w:val="00B00C43"/>
    <w:rsid w:val="00B00D21"/>
    <w:rsid w:val="00B00D6C"/>
    <w:rsid w:val="00B00F6C"/>
    <w:rsid w:val="00B01014"/>
    <w:rsid w:val="00B010FE"/>
    <w:rsid w:val="00B01203"/>
    <w:rsid w:val="00B01489"/>
    <w:rsid w:val="00B0151C"/>
    <w:rsid w:val="00B015A6"/>
    <w:rsid w:val="00B0169B"/>
    <w:rsid w:val="00B016B8"/>
    <w:rsid w:val="00B01718"/>
    <w:rsid w:val="00B01745"/>
    <w:rsid w:val="00B01766"/>
    <w:rsid w:val="00B017BC"/>
    <w:rsid w:val="00B017BF"/>
    <w:rsid w:val="00B01854"/>
    <w:rsid w:val="00B01905"/>
    <w:rsid w:val="00B0195B"/>
    <w:rsid w:val="00B01A47"/>
    <w:rsid w:val="00B01BA2"/>
    <w:rsid w:val="00B01C81"/>
    <w:rsid w:val="00B01CB6"/>
    <w:rsid w:val="00B01D40"/>
    <w:rsid w:val="00B01DEA"/>
    <w:rsid w:val="00B01E3A"/>
    <w:rsid w:val="00B01E9B"/>
    <w:rsid w:val="00B01ED0"/>
    <w:rsid w:val="00B01EE8"/>
    <w:rsid w:val="00B01EFE"/>
    <w:rsid w:val="00B01F0F"/>
    <w:rsid w:val="00B01F90"/>
    <w:rsid w:val="00B0217A"/>
    <w:rsid w:val="00B02183"/>
    <w:rsid w:val="00B02186"/>
    <w:rsid w:val="00B0218E"/>
    <w:rsid w:val="00B02544"/>
    <w:rsid w:val="00B0255C"/>
    <w:rsid w:val="00B026A0"/>
    <w:rsid w:val="00B026E1"/>
    <w:rsid w:val="00B026E2"/>
    <w:rsid w:val="00B02744"/>
    <w:rsid w:val="00B027DA"/>
    <w:rsid w:val="00B02902"/>
    <w:rsid w:val="00B029A6"/>
    <w:rsid w:val="00B02A54"/>
    <w:rsid w:val="00B02A67"/>
    <w:rsid w:val="00B02AC7"/>
    <w:rsid w:val="00B02AD7"/>
    <w:rsid w:val="00B02B03"/>
    <w:rsid w:val="00B02B63"/>
    <w:rsid w:val="00B02B77"/>
    <w:rsid w:val="00B02C20"/>
    <w:rsid w:val="00B02C41"/>
    <w:rsid w:val="00B02CF5"/>
    <w:rsid w:val="00B02DCC"/>
    <w:rsid w:val="00B02F57"/>
    <w:rsid w:val="00B0313F"/>
    <w:rsid w:val="00B03325"/>
    <w:rsid w:val="00B0332D"/>
    <w:rsid w:val="00B0339B"/>
    <w:rsid w:val="00B03419"/>
    <w:rsid w:val="00B03429"/>
    <w:rsid w:val="00B03434"/>
    <w:rsid w:val="00B03499"/>
    <w:rsid w:val="00B0349A"/>
    <w:rsid w:val="00B034B2"/>
    <w:rsid w:val="00B035C2"/>
    <w:rsid w:val="00B03657"/>
    <w:rsid w:val="00B0373D"/>
    <w:rsid w:val="00B03869"/>
    <w:rsid w:val="00B039E1"/>
    <w:rsid w:val="00B03A0C"/>
    <w:rsid w:val="00B03AE0"/>
    <w:rsid w:val="00B03BEF"/>
    <w:rsid w:val="00B03C61"/>
    <w:rsid w:val="00B03CAB"/>
    <w:rsid w:val="00B03F5B"/>
    <w:rsid w:val="00B04061"/>
    <w:rsid w:val="00B04099"/>
    <w:rsid w:val="00B04162"/>
    <w:rsid w:val="00B042C3"/>
    <w:rsid w:val="00B04449"/>
    <w:rsid w:val="00B044AC"/>
    <w:rsid w:val="00B04568"/>
    <w:rsid w:val="00B045DF"/>
    <w:rsid w:val="00B0462C"/>
    <w:rsid w:val="00B046B3"/>
    <w:rsid w:val="00B0474B"/>
    <w:rsid w:val="00B047C2"/>
    <w:rsid w:val="00B048ED"/>
    <w:rsid w:val="00B04B84"/>
    <w:rsid w:val="00B04CF7"/>
    <w:rsid w:val="00B04D71"/>
    <w:rsid w:val="00B04D77"/>
    <w:rsid w:val="00B04DFF"/>
    <w:rsid w:val="00B04E6A"/>
    <w:rsid w:val="00B04F1A"/>
    <w:rsid w:val="00B04F89"/>
    <w:rsid w:val="00B04FBA"/>
    <w:rsid w:val="00B05059"/>
    <w:rsid w:val="00B0506F"/>
    <w:rsid w:val="00B05131"/>
    <w:rsid w:val="00B05160"/>
    <w:rsid w:val="00B051A8"/>
    <w:rsid w:val="00B05231"/>
    <w:rsid w:val="00B0523C"/>
    <w:rsid w:val="00B05279"/>
    <w:rsid w:val="00B052F1"/>
    <w:rsid w:val="00B05393"/>
    <w:rsid w:val="00B053E8"/>
    <w:rsid w:val="00B054EA"/>
    <w:rsid w:val="00B0554A"/>
    <w:rsid w:val="00B056D5"/>
    <w:rsid w:val="00B0575C"/>
    <w:rsid w:val="00B05883"/>
    <w:rsid w:val="00B0589B"/>
    <w:rsid w:val="00B058AB"/>
    <w:rsid w:val="00B058BD"/>
    <w:rsid w:val="00B058EE"/>
    <w:rsid w:val="00B05954"/>
    <w:rsid w:val="00B05AA1"/>
    <w:rsid w:val="00B05BC2"/>
    <w:rsid w:val="00B05DC2"/>
    <w:rsid w:val="00B05EBA"/>
    <w:rsid w:val="00B05F30"/>
    <w:rsid w:val="00B05F38"/>
    <w:rsid w:val="00B05F51"/>
    <w:rsid w:val="00B060A0"/>
    <w:rsid w:val="00B061B8"/>
    <w:rsid w:val="00B06247"/>
    <w:rsid w:val="00B06249"/>
    <w:rsid w:val="00B062D0"/>
    <w:rsid w:val="00B064C3"/>
    <w:rsid w:val="00B064FF"/>
    <w:rsid w:val="00B0651F"/>
    <w:rsid w:val="00B06545"/>
    <w:rsid w:val="00B065CF"/>
    <w:rsid w:val="00B065F2"/>
    <w:rsid w:val="00B06659"/>
    <w:rsid w:val="00B06864"/>
    <w:rsid w:val="00B068C1"/>
    <w:rsid w:val="00B06946"/>
    <w:rsid w:val="00B06949"/>
    <w:rsid w:val="00B06999"/>
    <w:rsid w:val="00B06B52"/>
    <w:rsid w:val="00B06BED"/>
    <w:rsid w:val="00B06CD6"/>
    <w:rsid w:val="00B06D44"/>
    <w:rsid w:val="00B06EA9"/>
    <w:rsid w:val="00B0714B"/>
    <w:rsid w:val="00B071E6"/>
    <w:rsid w:val="00B072DB"/>
    <w:rsid w:val="00B07394"/>
    <w:rsid w:val="00B07481"/>
    <w:rsid w:val="00B075F3"/>
    <w:rsid w:val="00B07719"/>
    <w:rsid w:val="00B07876"/>
    <w:rsid w:val="00B07892"/>
    <w:rsid w:val="00B07BA8"/>
    <w:rsid w:val="00B07CB1"/>
    <w:rsid w:val="00B07E53"/>
    <w:rsid w:val="00B10039"/>
    <w:rsid w:val="00B101AD"/>
    <w:rsid w:val="00B1027F"/>
    <w:rsid w:val="00B1028A"/>
    <w:rsid w:val="00B1037A"/>
    <w:rsid w:val="00B1038E"/>
    <w:rsid w:val="00B103D2"/>
    <w:rsid w:val="00B10420"/>
    <w:rsid w:val="00B106C4"/>
    <w:rsid w:val="00B106D1"/>
    <w:rsid w:val="00B106E3"/>
    <w:rsid w:val="00B10997"/>
    <w:rsid w:val="00B109C2"/>
    <w:rsid w:val="00B109CE"/>
    <w:rsid w:val="00B10A1C"/>
    <w:rsid w:val="00B10A20"/>
    <w:rsid w:val="00B10B60"/>
    <w:rsid w:val="00B10C09"/>
    <w:rsid w:val="00B10C3C"/>
    <w:rsid w:val="00B10C66"/>
    <w:rsid w:val="00B10D2E"/>
    <w:rsid w:val="00B10D47"/>
    <w:rsid w:val="00B10EF3"/>
    <w:rsid w:val="00B10F24"/>
    <w:rsid w:val="00B11038"/>
    <w:rsid w:val="00B111DF"/>
    <w:rsid w:val="00B1123B"/>
    <w:rsid w:val="00B11335"/>
    <w:rsid w:val="00B11336"/>
    <w:rsid w:val="00B1135F"/>
    <w:rsid w:val="00B113BF"/>
    <w:rsid w:val="00B11540"/>
    <w:rsid w:val="00B11547"/>
    <w:rsid w:val="00B1157B"/>
    <w:rsid w:val="00B11593"/>
    <w:rsid w:val="00B11650"/>
    <w:rsid w:val="00B118AD"/>
    <w:rsid w:val="00B118C9"/>
    <w:rsid w:val="00B1190D"/>
    <w:rsid w:val="00B11926"/>
    <w:rsid w:val="00B1197D"/>
    <w:rsid w:val="00B119BD"/>
    <w:rsid w:val="00B119F8"/>
    <w:rsid w:val="00B11A52"/>
    <w:rsid w:val="00B11AD4"/>
    <w:rsid w:val="00B11AEE"/>
    <w:rsid w:val="00B11B57"/>
    <w:rsid w:val="00B11B76"/>
    <w:rsid w:val="00B11BFC"/>
    <w:rsid w:val="00B11BFD"/>
    <w:rsid w:val="00B11C8F"/>
    <w:rsid w:val="00B11D34"/>
    <w:rsid w:val="00B11DC3"/>
    <w:rsid w:val="00B11E12"/>
    <w:rsid w:val="00B11E63"/>
    <w:rsid w:val="00B11E65"/>
    <w:rsid w:val="00B11EC6"/>
    <w:rsid w:val="00B11ED2"/>
    <w:rsid w:val="00B11F1A"/>
    <w:rsid w:val="00B11F2D"/>
    <w:rsid w:val="00B1212C"/>
    <w:rsid w:val="00B1216D"/>
    <w:rsid w:val="00B1244A"/>
    <w:rsid w:val="00B125A4"/>
    <w:rsid w:val="00B1268C"/>
    <w:rsid w:val="00B1272B"/>
    <w:rsid w:val="00B12764"/>
    <w:rsid w:val="00B12787"/>
    <w:rsid w:val="00B127B9"/>
    <w:rsid w:val="00B128D1"/>
    <w:rsid w:val="00B129CD"/>
    <w:rsid w:val="00B12A92"/>
    <w:rsid w:val="00B12ABF"/>
    <w:rsid w:val="00B12B08"/>
    <w:rsid w:val="00B12BAF"/>
    <w:rsid w:val="00B12C06"/>
    <w:rsid w:val="00B12C76"/>
    <w:rsid w:val="00B12DDA"/>
    <w:rsid w:val="00B12E32"/>
    <w:rsid w:val="00B12F73"/>
    <w:rsid w:val="00B12FF4"/>
    <w:rsid w:val="00B13035"/>
    <w:rsid w:val="00B1321E"/>
    <w:rsid w:val="00B13277"/>
    <w:rsid w:val="00B132BA"/>
    <w:rsid w:val="00B13428"/>
    <w:rsid w:val="00B134AA"/>
    <w:rsid w:val="00B134B9"/>
    <w:rsid w:val="00B1363F"/>
    <w:rsid w:val="00B136AA"/>
    <w:rsid w:val="00B137FD"/>
    <w:rsid w:val="00B1381E"/>
    <w:rsid w:val="00B1391C"/>
    <w:rsid w:val="00B139AF"/>
    <w:rsid w:val="00B13A54"/>
    <w:rsid w:val="00B13B56"/>
    <w:rsid w:val="00B13C19"/>
    <w:rsid w:val="00B13C1F"/>
    <w:rsid w:val="00B13D30"/>
    <w:rsid w:val="00B13D32"/>
    <w:rsid w:val="00B13EB9"/>
    <w:rsid w:val="00B13EDA"/>
    <w:rsid w:val="00B13FD9"/>
    <w:rsid w:val="00B140F8"/>
    <w:rsid w:val="00B1412D"/>
    <w:rsid w:val="00B1425C"/>
    <w:rsid w:val="00B142FA"/>
    <w:rsid w:val="00B1435B"/>
    <w:rsid w:val="00B14464"/>
    <w:rsid w:val="00B14479"/>
    <w:rsid w:val="00B144D4"/>
    <w:rsid w:val="00B1453B"/>
    <w:rsid w:val="00B1457B"/>
    <w:rsid w:val="00B14589"/>
    <w:rsid w:val="00B145BA"/>
    <w:rsid w:val="00B145F3"/>
    <w:rsid w:val="00B1469E"/>
    <w:rsid w:val="00B14728"/>
    <w:rsid w:val="00B14751"/>
    <w:rsid w:val="00B147CA"/>
    <w:rsid w:val="00B1489B"/>
    <w:rsid w:val="00B148FA"/>
    <w:rsid w:val="00B1491F"/>
    <w:rsid w:val="00B149FC"/>
    <w:rsid w:val="00B14A0A"/>
    <w:rsid w:val="00B14BD1"/>
    <w:rsid w:val="00B14C52"/>
    <w:rsid w:val="00B14C5F"/>
    <w:rsid w:val="00B14CE6"/>
    <w:rsid w:val="00B14D72"/>
    <w:rsid w:val="00B14D89"/>
    <w:rsid w:val="00B14E14"/>
    <w:rsid w:val="00B14E9C"/>
    <w:rsid w:val="00B14EA9"/>
    <w:rsid w:val="00B14EEC"/>
    <w:rsid w:val="00B14F80"/>
    <w:rsid w:val="00B15014"/>
    <w:rsid w:val="00B15055"/>
    <w:rsid w:val="00B15065"/>
    <w:rsid w:val="00B1508C"/>
    <w:rsid w:val="00B15199"/>
    <w:rsid w:val="00B1522A"/>
    <w:rsid w:val="00B152C2"/>
    <w:rsid w:val="00B1547F"/>
    <w:rsid w:val="00B1549B"/>
    <w:rsid w:val="00B15506"/>
    <w:rsid w:val="00B1550C"/>
    <w:rsid w:val="00B1557C"/>
    <w:rsid w:val="00B15697"/>
    <w:rsid w:val="00B156BE"/>
    <w:rsid w:val="00B1582E"/>
    <w:rsid w:val="00B15845"/>
    <w:rsid w:val="00B15898"/>
    <w:rsid w:val="00B15933"/>
    <w:rsid w:val="00B159A7"/>
    <w:rsid w:val="00B159B8"/>
    <w:rsid w:val="00B159C5"/>
    <w:rsid w:val="00B15A1F"/>
    <w:rsid w:val="00B15CD5"/>
    <w:rsid w:val="00B15D0B"/>
    <w:rsid w:val="00B15D73"/>
    <w:rsid w:val="00B15D98"/>
    <w:rsid w:val="00B15F4F"/>
    <w:rsid w:val="00B15F7A"/>
    <w:rsid w:val="00B1624B"/>
    <w:rsid w:val="00B1625C"/>
    <w:rsid w:val="00B1625E"/>
    <w:rsid w:val="00B1629D"/>
    <w:rsid w:val="00B164D6"/>
    <w:rsid w:val="00B16524"/>
    <w:rsid w:val="00B1655E"/>
    <w:rsid w:val="00B165F5"/>
    <w:rsid w:val="00B1662A"/>
    <w:rsid w:val="00B16796"/>
    <w:rsid w:val="00B167EB"/>
    <w:rsid w:val="00B16902"/>
    <w:rsid w:val="00B16979"/>
    <w:rsid w:val="00B16987"/>
    <w:rsid w:val="00B16B06"/>
    <w:rsid w:val="00B16BD7"/>
    <w:rsid w:val="00B16C02"/>
    <w:rsid w:val="00B16D4E"/>
    <w:rsid w:val="00B16E81"/>
    <w:rsid w:val="00B16E91"/>
    <w:rsid w:val="00B17125"/>
    <w:rsid w:val="00B17199"/>
    <w:rsid w:val="00B17245"/>
    <w:rsid w:val="00B172BC"/>
    <w:rsid w:val="00B17324"/>
    <w:rsid w:val="00B17340"/>
    <w:rsid w:val="00B17375"/>
    <w:rsid w:val="00B17382"/>
    <w:rsid w:val="00B173C1"/>
    <w:rsid w:val="00B173E4"/>
    <w:rsid w:val="00B17509"/>
    <w:rsid w:val="00B1754B"/>
    <w:rsid w:val="00B1767F"/>
    <w:rsid w:val="00B17696"/>
    <w:rsid w:val="00B176D0"/>
    <w:rsid w:val="00B176D2"/>
    <w:rsid w:val="00B176FF"/>
    <w:rsid w:val="00B177F6"/>
    <w:rsid w:val="00B179A4"/>
    <w:rsid w:val="00B17A2A"/>
    <w:rsid w:val="00B17BA0"/>
    <w:rsid w:val="00B17C06"/>
    <w:rsid w:val="00B17C19"/>
    <w:rsid w:val="00B17D17"/>
    <w:rsid w:val="00B17D91"/>
    <w:rsid w:val="00B17E08"/>
    <w:rsid w:val="00B17F27"/>
    <w:rsid w:val="00B17F91"/>
    <w:rsid w:val="00B17FA5"/>
    <w:rsid w:val="00B17FF7"/>
    <w:rsid w:val="00B2005D"/>
    <w:rsid w:val="00B200AD"/>
    <w:rsid w:val="00B20180"/>
    <w:rsid w:val="00B2021E"/>
    <w:rsid w:val="00B2026E"/>
    <w:rsid w:val="00B20296"/>
    <w:rsid w:val="00B20298"/>
    <w:rsid w:val="00B20360"/>
    <w:rsid w:val="00B2048A"/>
    <w:rsid w:val="00B20542"/>
    <w:rsid w:val="00B20590"/>
    <w:rsid w:val="00B20603"/>
    <w:rsid w:val="00B20795"/>
    <w:rsid w:val="00B20864"/>
    <w:rsid w:val="00B20898"/>
    <w:rsid w:val="00B208CF"/>
    <w:rsid w:val="00B208D9"/>
    <w:rsid w:val="00B20A2C"/>
    <w:rsid w:val="00B20A47"/>
    <w:rsid w:val="00B20A68"/>
    <w:rsid w:val="00B20A6C"/>
    <w:rsid w:val="00B20AB8"/>
    <w:rsid w:val="00B20B46"/>
    <w:rsid w:val="00B20C44"/>
    <w:rsid w:val="00B20CFF"/>
    <w:rsid w:val="00B20D00"/>
    <w:rsid w:val="00B20ED6"/>
    <w:rsid w:val="00B20FB8"/>
    <w:rsid w:val="00B20FF7"/>
    <w:rsid w:val="00B210E7"/>
    <w:rsid w:val="00B211C2"/>
    <w:rsid w:val="00B212EF"/>
    <w:rsid w:val="00B21318"/>
    <w:rsid w:val="00B2133F"/>
    <w:rsid w:val="00B2134C"/>
    <w:rsid w:val="00B21357"/>
    <w:rsid w:val="00B2136D"/>
    <w:rsid w:val="00B213A7"/>
    <w:rsid w:val="00B213AF"/>
    <w:rsid w:val="00B213DB"/>
    <w:rsid w:val="00B213FF"/>
    <w:rsid w:val="00B21483"/>
    <w:rsid w:val="00B21751"/>
    <w:rsid w:val="00B21801"/>
    <w:rsid w:val="00B21818"/>
    <w:rsid w:val="00B21862"/>
    <w:rsid w:val="00B21868"/>
    <w:rsid w:val="00B218AD"/>
    <w:rsid w:val="00B21901"/>
    <w:rsid w:val="00B21968"/>
    <w:rsid w:val="00B21B7E"/>
    <w:rsid w:val="00B21BBA"/>
    <w:rsid w:val="00B21BED"/>
    <w:rsid w:val="00B21C3B"/>
    <w:rsid w:val="00B21E04"/>
    <w:rsid w:val="00B21ED0"/>
    <w:rsid w:val="00B21F32"/>
    <w:rsid w:val="00B22040"/>
    <w:rsid w:val="00B2206D"/>
    <w:rsid w:val="00B221EB"/>
    <w:rsid w:val="00B2222E"/>
    <w:rsid w:val="00B22311"/>
    <w:rsid w:val="00B22321"/>
    <w:rsid w:val="00B224F8"/>
    <w:rsid w:val="00B2250A"/>
    <w:rsid w:val="00B22534"/>
    <w:rsid w:val="00B22554"/>
    <w:rsid w:val="00B22693"/>
    <w:rsid w:val="00B22737"/>
    <w:rsid w:val="00B22760"/>
    <w:rsid w:val="00B22989"/>
    <w:rsid w:val="00B22A7A"/>
    <w:rsid w:val="00B22B7B"/>
    <w:rsid w:val="00B22C6D"/>
    <w:rsid w:val="00B22CF7"/>
    <w:rsid w:val="00B22D48"/>
    <w:rsid w:val="00B22DD7"/>
    <w:rsid w:val="00B22E0E"/>
    <w:rsid w:val="00B22E3A"/>
    <w:rsid w:val="00B22EFA"/>
    <w:rsid w:val="00B22F92"/>
    <w:rsid w:val="00B23068"/>
    <w:rsid w:val="00B2313B"/>
    <w:rsid w:val="00B231E0"/>
    <w:rsid w:val="00B23209"/>
    <w:rsid w:val="00B233CB"/>
    <w:rsid w:val="00B233E1"/>
    <w:rsid w:val="00B23406"/>
    <w:rsid w:val="00B2355A"/>
    <w:rsid w:val="00B23662"/>
    <w:rsid w:val="00B23872"/>
    <w:rsid w:val="00B238FA"/>
    <w:rsid w:val="00B23990"/>
    <w:rsid w:val="00B239ED"/>
    <w:rsid w:val="00B23A09"/>
    <w:rsid w:val="00B23A0F"/>
    <w:rsid w:val="00B23A94"/>
    <w:rsid w:val="00B23AF9"/>
    <w:rsid w:val="00B23D9A"/>
    <w:rsid w:val="00B23DE5"/>
    <w:rsid w:val="00B23E7B"/>
    <w:rsid w:val="00B23F6B"/>
    <w:rsid w:val="00B2405F"/>
    <w:rsid w:val="00B24186"/>
    <w:rsid w:val="00B24221"/>
    <w:rsid w:val="00B24248"/>
    <w:rsid w:val="00B242BA"/>
    <w:rsid w:val="00B242D8"/>
    <w:rsid w:val="00B2438F"/>
    <w:rsid w:val="00B244E8"/>
    <w:rsid w:val="00B24669"/>
    <w:rsid w:val="00B246AE"/>
    <w:rsid w:val="00B246D4"/>
    <w:rsid w:val="00B2478B"/>
    <w:rsid w:val="00B247CD"/>
    <w:rsid w:val="00B24843"/>
    <w:rsid w:val="00B24B98"/>
    <w:rsid w:val="00B24C75"/>
    <w:rsid w:val="00B24D37"/>
    <w:rsid w:val="00B24D86"/>
    <w:rsid w:val="00B24E9A"/>
    <w:rsid w:val="00B250D2"/>
    <w:rsid w:val="00B250D4"/>
    <w:rsid w:val="00B250E8"/>
    <w:rsid w:val="00B25241"/>
    <w:rsid w:val="00B25395"/>
    <w:rsid w:val="00B253FB"/>
    <w:rsid w:val="00B25400"/>
    <w:rsid w:val="00B254DC"/>
    <w:rsid w:val="00B25519"/>
    <w:rsid w:val="00B25776"/>
    <w:rsid w:val="00B257E0"/>
    <w:rsid w:val="00B25868"/>
    <w:rsid w:val="00B2588B"/>
    <w:rsid w:val="00B258CA"/>
    <w:rsid w:val="00B258F2"/>
    <w:rsid w:val="00B25962"/>
    <w:rsid w:val="00B25979"/>
    <w:rsid w:val="00B25A95"/>
    <w:rsid w:val="00B25B5F"/>
    <w:rsid w:val="00B25D44"/>
    <w:rsid w:val="00B25E12"/>
    <w:rsid w:val="00B25F33"/>
    <w:rsid w:val="00B26014"/>
    <w:rsid w:val="00B26039"/>
    <w:rsid w:val="00B26098"/>
    <w:rsid w:val="00B26142"/>
    <w:rsid w:val="00B261C7"/>
    <w:rsid w:val="00B262C8"/>
    <w:rsid w:val="00B262F7"/>
    <w:rsid w:val="00B263AD"/>
    <w:rsid w:val="00B264C1"/>
    <w:rsid w:val="00B2653F"/>
    <w:rsid w:val="00B2660B"/>
    <w:rsid w:val="00B26619"/>
    <w:rsid w:val="00B26735"/>
    <w:rsid w:val="00B268D1"/>
    <w:rsid w:val="00B26A40"/>
    <w:rsid w:val="00B26B4F"/>
    <w:rsid w:val="00B26B8D"/>
    <w:rsid w:val="00B26C1F"/>
    <w:rsid w:val="00B26CDC"/>
    <w:rsid w:val="00B26CF5"/>
    <w:rsid w:val="00B26D2A"/>
    <w:rsid w:val="00B26D94"/>
    <w:rsid w:val="00B26DA7"/>
    <w:rsid w:val="00B26EBB"/>
    <w:rsid w:val="00B26EC9"/>
    <w:rsid w:val="00B26EDE"/>
    <w:rsid w:val="00B26F96"/>
    <w:rsid w:val="00B26FC4"/>
    <w:rsid w:val="00B27049"/>
    <w:rsid w:val="00B271C4"/>
    <w:rsid w:val="00B272A2"/>
    <w:rsid w:val="00B273D5"/>
    <w:rsid w:val="00B273FC"/>
    <w:rsid w:val="00B274A5"/>
    <w:rsid w:val="00B274C1"/>
    <w:rsid w:val="00B27559"/>
    <w:rsid w:val="00B27665"/>
    <w:rsid w:val="00B278AE"/>
    <w:rsid w:val="00B279EA"/>
    <w:rsid w:val="00B27B53"/>
    <w:rsid w:val="00B27C4D"/>
    <w:rsid w:val="00B27D28"/>
    <w:rsid w:val="00B27E5B"/>
    <w:rsid w:val="00B27EE8"/>
    <w:rsid w:val="00B27F53"/>
    <w:rsid w:val="00B30058"/>
    <w:rsid w:val="00B30080"/>
    <w:rsid w:val="00B300E6"/>
    <w:rsid w:val="00B300F0"/>
    <w:rsid w:val="00B3014C"/>
    <w:rsid w:val="00B3017A"/>
    <w:rsid w:val="00B30243"/>
    <w:rsid w:val="00B3027B"/>
    <w:rsid w:val="00B3035A"/>
    <w:rsid w:val="00B3046C"/>
    <w:rsid w:val="00B30558"/>
    <w:rsid w:val="00B30589"/>
    <w:rsid w:val="00B305EC"/>
    <w:rsid w:val="00B305ED"/>
    <w:rsid w:val="00B306AF"/>
    <w:rsid w:val="00B30786"/>
    <w:rsid w:val="00B307EC"/>
    <w:rsid w:val="00B30886"/>
    <w:rsid w:val="00B30955"/>
    <w:rsid w:val="00B30A1F"/>
    <w:rsid w:val="00B30A3A"/>
    <w:rsid w:val="00B30B0C"/>
    <w:rsid w:val="00B30B5B"/>
    <w:rsid w:val="00B30BDE"/>
    <w:rsid w:val="00B30CC8"/>
    <w:rsid w:val="00B30D22"/>
    <w:rsid w:val="00B30DA5"/>
    <w:rsid w:val="00B30DDD"/>
    <w:rsid w:val="00B30EAF"/>
    <w:rsid w:val="00B30F57"/>
    <w:rsid w:val="00B3102C"/>
    <w:rsid w:val="00B3103F"/>
    <w:rsid w:val="00B310E7"/>
    <w:rsid w:val="00B31119"/>
    <w:rsid w:val="00B313E3"/>
    <w:rsid w:val="00B31618"/>
    <w:rsid w:val="00B31630"/>
    <w:rsid w:val="00B3173C"/>
    <w:rsid w:val="00B3175C"/>
    <w:rsid w:val="00B317F9"/>
    <w:rsid w:val="00B31839"/>
    <w:rsid w:val="00B318BD"/>
    <w:rsid w:val="00B318E7"/>
    <w:rsid w:val="00B319C9"/>
    <w:rsid w:val="00B31A19"/>
    <w:rsid w:val="00B31BC0"/>
    <w:rsid w:val="00B31BD2"/>
    <w:rsid w:val="00B31C8B"/>
    <w:rsid w:val="00B31CCD"/>
    <w:rsid w:val="00B31D3D"/>
    <w:rsid w:val="00B31E41"/>
    <w:rsid w:val="00B31ED7"/>
    <w:rsid w:val="00B31F99"/>
    <w:rsid w:val="00B32098"/>
    <w:rsid w:val="00B320F5"/>
    <w:rsid w:val="00B321C3"/>
    <w:rsid w:val="00B321F8"/>
    <w:rsid w:val="00B32260"/>
    <w:rsid w:val="00B32316"/>
    <w:rsid w:val="00B324B1"/>
    <w:rsid w:val="00B32579"/>
    <w:rsid w:val="00B325D8"/>
    <w:rsid w:val="00B32618"/>
    <w:rsid w:val="00B32652"/>
    <w:rsid w:val="00B326EF"/>
    <w:rsid w:val="00B32771"/>
    <w:rsid w:val="00B327ED"/>
    <w:rsid w:val="00B328B4"/>
    <w:rsid w:val="00B32A0A"/>
    <w:rsid w:val="00B32A16"/>
    <w:rsid w:val="00B32C23"/>
    <w:rsid w:val="00B32C41"/>
    <w:rsid w:val="00B32C61"/>
    <w:rsid w:val="00B32CA8"/>
    <w:rsid w:val="00B32CE6"/>
    <w:rsid w:val="00B32D4B"/>
    <w:rsid w:val="00B32DFA"/>
    <w:rsid w:val="00B32F48"/>
    <w:rsid w:val="00B32FB9"/>
    <w:rsid w:val="00B33072"/>
    <w:rsid w:val="00B3312D"/>
    <w:rsid w:val="00B33169"/>
    <w:rsid w:val="00B3318B"/>
    <w:rsid w:val="00B33191"/>
    <w:rsid w:val="00B331AD"/>
    <w:rsid w:val="00B3320D"/>
    <w:rsid w:val="00B332DD"/>
    <w:rsid w:val="00B332F0"/>
    <w:rsid w:val="00B33362"/>
    <w:rsid w:val="00B333B1"/>
    <w:rsid w:val="00B333B9"/>
    <w:rsid w:val="00B3345E"/>
    <w:rsid w:val="00B334FC"/>
    <w:rsid w:val="00B335FD"/>
    <w:rsid w:val="00B336FF"/>
    <w:rsid w:val="00B33781"/>
    <w:rsid w:val="00B3388A"/>
    <w:rsid w:val="00B3394F"/>
    <w:rsid w:val="00B3395E"/>
    <w:rsid w:val="00B33A30"/>
    <w:rsid w:val="00B33A38"/>
    <w:rsid w:val="00B33A94"/>
    <w:rsid w:val="00B33B1D"/>
    <w:rsid w:val="00B33B5C"/>
    <w:rsid w:val="00B33B81"/>
    <w:rsid w:val="00B33CFA"/>
    <w:rsid w:val="00B33F19"/>
    <w:rsid w:val="00B33FB8"/>
    <w:rsid w:val="00B34018"/>
    <w:rsid w:val="00B34022"/>
    <w:rsid w:val="00B3406A"/>
    <w:rsid w:val="00B3436B"/>
    <w:rsid w:val="00B34498"/>
    <w:rsid w:val="00B3458E"/>
    <w:rsid w:val="00B34595"/>
    <w:rsid w:val="00B34841"/>
    <w:rsid w:val="00B349B8"/>
    <w:rsid w:val="00B34A22"/>
    <w:rsid w:val="00B34AB0"/>
    <w:rsid w:val="00B34B07"/>
    <w:rsid w:val="00B34BB0"/>
    <w:rsid w:val="00B34C38"/>
    <w:rsid w:val="00B34D88"/>
    <w:rsid w:val="00B34D90"/>
    <w:rsid w:val="00B34DDB"/>
    <w:rsid w:val="00B34E4F"/>
    <w:rsid w:val="00B34E79"/>
    <w:rsid w:val="00B34E84"/>
    <w:rsid w:val="00B34E8E"/>
    <w:rsid w:val="00B34F24"/>
    <w:rsid w:val="00B34F98"/>
    <w:rsid w:val="00B35043"/>
    <w:rsid w:val="00B350D4"/>
    <w:rsid w:val="00B3512D"/>
    <w:rsid w:val="00B35175"/>
    <w:rsid w:val="00B351CE"/>
    <w:rsid w:val="00B351F2"/>
    <w:rsid w:val="00B3524F"/>
    <w:rsid w:val="00B35334"/>
    <w:rsid w:val="00B3534F"/>
    <w:rsid w:val="00B3539C"/>
    <w:rsid w:val="00B3543A"/>
    <w:rsid w:val="00B354CE"/>
    <w:rsid w:val="00B354D1"/>
    <w:rsid w:val="00B35789"/>
    <w:rsid w:val="00B35861"/>
    <w:rsid w:val="00B35877"/>
    <w:rsid w:val="00B3589C"/>
    <w:rsid w:val="00B35918"/>
    <w:rsid w:val="00B35931"/>
    <w:rsid w:val="00B359BC"/>
    <w:rsid w:val="00B359D1"/>
    <w:rsid w:val="00B35B53"/>
    <w:rsid w:val="00B35BB9"/>
    <w:rsid w:val="00B35C69"/>
    <w:rsid w:val="00B35C7E"/>
    <w:rsid w:val="00B35CBC"/>
    <w:rsid w:val="00B35D07"/>
    <w:rsid w:val="00B35D4D"/>
    <w:rsid w:val="00B35E34"/>
    <w:rsid w:val="00B3605B"/>
    <w:rsid w:val="00B36109"/>
    <w:rsid w:val="00B3617B"/>
    <w:rsid w:val="00B3618A"/>
    <w:rsid w:val="00B362D1"/>
    <w:rsid w:val="00B363E8"/>
    <w:rsid w:val="00B363FE"/>
    <w:rsid w:val="00B36437"/>
    <w:rsid w:val="00B36443"/>
    <w:rsid w:val="00B364B3"/>
    <w:rsid w:val="00B36517"/>
    <w:rsid w:val="00B365F6"/>
    <w:rsid w:val="00B3666F"/>
    <w:rsid w:val="00B366A0"/>
    <w:rsid w:val="00B366A3"/>
    <w:rsid w:val="00B36727"/>
    <w:rsid w:val="00B367EE"/>
    <w:rsid w:val="00B369BD"/>
    <w:rsid w:val="00B369DA"/>
    <w:rsid w:val="00B369EC"/>
    <w:rsid w:val="00B36A20"/>
    <w:rsid w:val="00B36BC5"/>
    <w:rsid w:val="00B36D90"/>
    <w:rsid w:val="00B36DB6"/>
    <w:rsid w:val="00B36F0B"/>
    <w:rsid w:val="00B36FA7"/>
    <w:rsid w:val="00B36FB4"/>
    <w:rsid w:val="00B370D0"/>
    <w:rsid w:val="00B371BB"/>
    <w:rsid w:val="00B37265"/>
    <w:rsid w:val="00B372C5"/>
    <w:rsid w:val="00B372E3"/>
    <w:rsid w:val="00B372ED"/>
    <w:rsid w:val="00B373DB"/>
    <w:rsid w:val="00B375EF"/>
    <w:rsid w:val="00B37621"/>
    <w:rsid w:val="00B37643"/>
    <w:rsid w:val="00B376BA"/>
    <w:rsid w:val="00B376D6"/>
    <w:rsid w:val="00B377E1"/>
    <w:rsid w:val="00B378A7"/>
    <w:rsid w:val="00B378B9"/>
    <w:rsid w:val="00B378C6"/>
    <w:rsid w:val="00B379EF"/>
    <w:rsid w:val="00B37AB6"/>
    <w:rsid w:val="00B37ABF"/>
    <w:rsid w:val="00B37B96"/>
    <w:rsid w:val="00B37BE8"/>
    <w:rsid w:val="00B37D67"/>
    <w:rsid w:val="00B37D78"/>
    <w:rsid w:val="00B37E2E"/>
    <w:rsid w:val="00B37EB0"/>
    <w:rsid w:val="00B37F93"/>
    <w:rsid w:val="00B37FB7"/>
    <w:rsid w:val="00B40001"/>
    <w:rsid w:val="00B4006C"/>
    <w:rsid w:val="00B4008D"/>
    <w:rsid w:val="00B40096"/>
    <w:rsid w:val="00B400EE"/>
    <w:rsid w:val="00B40201"/>
    <w:rsid w:val="00B40207"/>
    <w:rsid w:val="00B403FB"/>
    <w:rsid w:val="00B404F3"/>
    <w:rsid w:val="00B404FC"/>
    <w:rsid w:val="00B4053A"/>
    <w:rsid w:val="00B40807"/>
    <w:rsid w:val="00B40835"/>
    <w:rsid w:val="00B40982"/>
    <w:rsid w:val="00B40B31"/>
    <w:rsid w:val="00B40B63"/>
    <w:rsid w:val="00B40B6A"/>
    <w:rsid w:val="00B40BF1"/>
    <w:rsid w:val="00B40C41"/>
    <w:rsid w:val="00B40D48"/>
    <w:rsid w:val="00B40E11"/>
    <w:rsid w:val="00B40EB7"/>
    <w:rsid w:val="00B40FC3"/>
    <w:rsid w:val="00B41057"/>
    <w:rsid w:val="00B41064"/>
    <w:rsid w:val="00B41080"/>
    <w:rsid w:val="00B410D5"/>
    <w:rsid w:val="00B4140C"/>
    <w:rsid w:val="00B4146F"/>
    <w:rsid w:val="00B41524"/>
    <w:rsid w:val="00B4171C"/>
    <w:rsid w:val="00B41753"/>
    <w:rsid w:val="00B4180B"/>
    <w:rsid w:val="00B41853"/>
    <w:rsid w:val="00B41A3F"/>
    <w:rsid w:val="00B41AA0"/>
    <w:rsid w:val="00B41B63"/>
    <w:rsid w:val="00B41D9A"/>
    <w:rsid w:val="00B41DEF"/>
    <w:rsid w:val="00B41DF1"/>
    <w:rsid w:val="00B41E19"/>
    <w:rsid w:val="00B41E61"/>
    <w:rsid w:val="00B41E97"/>
    <w:rsid w:val="00B41EC8"/>
    <w:rsid w:val="00B41F9A"/>
    <w:rsid w:val="00B4201F"/>
    <w:rsid w:val="00B42081"/>
    <w:rsid w:val="00B42098"/>
    <w:rsid w:val="00B421F7"/>
    <w:rsid w:val="00B42231"/>
    <w:rsid w:val="00B423C1"/>
    <w:rsid w:val="00B42457"/>
    <w:rsid w:val="00B424AC"/>
    <w:rsid w:val="00B424EF"/>
    <w:rsid w:val="00B426F6"/>
    <w:rsid w:val="00B42715"/>
    <w:rsid w:val="00B42794"/>
    <w:rsid w:val="00B4279F"/>
    <w:rsid w:val="00B427F4"/>
    <w:rsid w:val="00B4298A"/>
    <w:rsid w:val="00B42A8F"/>
    <w:rsid w:val="00B42A9E"/>
    <w:rsid w:val="00B42AB0"/>
    <w:rsid w:val="00B42BB4"/>
    <w:rsid w:val="00B42BD1"/>
    <w:rsid w:val="00B42C82"/>
    <w:rsid w:val="00B42C97"/>
    <w:rsid w:val="00B42CAE"/>
    <w:rsid w:val="00B42DEC"/>
    <w:rsid w:val="00B42E24"/>
    <w:rsid w:val="00B42E94"/>
    <w:rsid w:val="00B42EA3"/>
    <w:rsid w:val="00B42EE9"/>
    <w:rsid w:val="00B42F22"/>
    <w:rsid w:val="00B42F71"/>
    <w:rsid w:val="00B42F83"/>
    <w:rsid w:val="00B430ED"/>
    <w:rsid w:val="00B4312D"/>
    <w:rsid w:val="00B43271"/>
    <w:rsid w:val="00B43322"/>
    <w:rsid w:val="00B43348"/>
    <w:rsid w:val="00B433A7"/>
    <w:rsid w:val="00B4349F"/>
    <w:rsid w:val="00B434D1"/>
    <w:rsid w:val="00B43653"/>
    <w:rsid w:val="00B437B3"/>
    <w:rsid w:val="00B43994"/>
    <w:rsid w:val="00B43997"/>
    <w:rsid w:val="00B439E8"/>
    <w:rsid w:val="00B43ABF"/>
    <w:rsid w:val="00B43B0B"/>
    <w:rsid w:val="00B43C2B"/>
    <w:rsid w:val="00B43CDB"/>
    <w:rsid w:val="00B43D31"/>
    <w:rsid w:val="00B43F97"/>
    <w:rsid w:val="00B4411C"/>
    <w:rsid w:val="00B441BB"/>
    <w:rsid w:val="00B44336"/>
    <w:rsid w:val="00B44419"/>
    <w:rsid w:val="00B44470"/>
    <w:rsid w:val="00B44529"/>
    <w:rsid w:val="00B445CB"/>
    <w:rsid w:val="00B4462D"/>
    <w:rsid w:val="00B44715"/>
    <w:rsid w:val="00B4480C"/>
    <w:rsid w:val="00B44887"/>
    <w:rsid w:val="00B44898"/>
    <w:rsid w:val="00B448CB"/>
    <w:rsid w:val="00B449D8"/>
    <w:rsid w:val="00B44AAC"/>
    <w:rsid w:val="00B44B40"/>
    <w:rsid w:val="00B44BC4"/>
    <w:rsid w:val="00B44C88"/>
    <w:rsid w:val="00B44DA3"/>
    <w:rsid w:val="00B45076"/>
    <w:rsid w:val="00B45083"/>
    <w:rsid w:val="00B4519D"/>
    <w:rsid w:val="00B4525A"/>
    <w:rsid w:val="00B452D7"/>
    <w:rsid w:val="00B45321"/>
    <w:rsid w:val="00B45354"/>
    <w:rsid w:val="00B454B0"/>
    <w:rsid w:val="00B45550"/>
    <w:rsid w:val="00B45627"/>
    <w:rsid w:val="00B456A1"/>
    <w:rsid w:val="00B456F9"/>
    <w:rsid w:val="00B45720"/>
    <w:rsid w:val="00B457C1"/>
    <w:rsid w:val="00B458FB"/>
    <w:rsid w:val="00B4591E"/>
    <w:rsid w:val="00B4596E"/>
    <w:rsid w:val="00B45A92"/>
    <w:rsid w:val="00B45B60"/>
    <w:rsid w:val="00B45CED"/>
    <w:rsid w:val="00B45D51"/>
    <w:rsid w:val="00B45D68"/>
    <w:rsid w:val="00B45D77"/>
    <w:rsid w:val="00B45E0C"/>
    <w:rsid w:val="00B45E8A"/>
    <w:rsid w:val="00B45F9E"/>
    <w:rsid w:val="00B46199"/>
    <w:rsid w:val="00B462A0"/>
    <w:rsid w:val="00B462CD"/>
    <w:rsid w:val="00B46376"/>
    <w:rsid w:val="00B46430"/>
    <w:rsid w:val="00B46740"/>
    <w:rsid w:val="00B46757"/>
    <w:rsid w:val="00B467A9"/>
    <w:rsid w:val="00B468D1"/>
    <w:rsid w:val="00B46981"/>
    <w:rsid w:val="00B469DF"/>
    <w:rsid w:val="00B469F9"/>
    <w:rsid w:val="00B46A43"/>
    <w:rsid w:val="00B46AA2"/>
    <w:rsid w:val="00B46C14"/>
    <w:rsid w:val="00B46C39"/>
    <w:rsid w:val="00B46C5A"/>
    <w:rsid w:val="00B46C5C"/>
    <w:rsid w:val="00B46DD7"/>
    <w:rsid w:val="00B46EFB"/>
    <w:rsid w:val="00B46F4C"/>
    <w:rsid w:val="00B46F58"/>
    <w:rsid w:val="00B46F6F"/>
    <w:rsid w:val="00B46FE7"/>
    <w:rsid w:val="00B4707F"/>
    <w:rsid w:val="00B470C7"/>
    <w:rsid w:val="00B47139"/>
    <w:rsid w:val="00B47188"/>
    <w:rsid w:val="00B471E9"/>
    <w:rsid w:val="00B47263"/>
    <w:rsid w:val="00B47315"/>
    <w:rsid w:val="00B473F5"/>
    <w:rsid w:val="00B47432"/>
    <w:rsid w:val="00B47465"/>
    <w:rsid w:val="00B4747A"/>
    <w:rsid w:val="00B47550"/>
    <w:rsid w:val="00B47665"/>
    <w:rsid w:val="00B4775E"/>
    <w:rsid w:val="00B4779D"/>
    <w:rsid w:val="00B47926"/>
    <w:rsid w:val="00B47AE2"/>
    <w:rsid w:val="00B47B55"/>
    <w:rsid w:val="00B47BD1"/>
    <w:rsid w:val="00B47DC7"/>
    <w:rsid w:val="00B47E3C"/>
    <w:rsid w:val="00B47E9A"/>
    <w:rsid w:val="00B50011"/>
    <w:rsid w:val="00B50047"/>
    <w:rsid w:val="00B500BB"/>
    <w:rsid w:val="00B501AB"/>
    <w:rsid w:val="00B50396"/>
    <w:rsid w:val="00B503D9"/>
    <w:rsid w:val="00B50400"/>
    <w:rsid w:val="00B50479"/>
    <w:rsid w:val="00B50522"/>
    <w:rsid w:val="00B50577"/>
    <w:rsid w:val="00B50619"/>
    <w:rsid w:val="00B506FC"/>
    <w:rsid w:val="00B507DF"/>
    <w:rsid w:val="00B50857"/>
    <w:rsid w:val="00B50A2E"/>
    <w:rsid w:val="00B50A7F"/>
    <w:rsid w:val="00B50A9D"/>
    <w:rsid w:val="00B50B0E"/>
    <w:rsid w:val="00B50B11"/>
    <w:rsid w:val="00B50B94"/>
    <w:rsid w:val="00B50BCF"/>
    <w:rsid w:val="00B50C96"/>
    <w:rsid w:val="00B50CB5"/>
    <w:rsid w:val="00B50CD2"/>
    <w:rsid w:val="00B50D5F"/>
    <w:rsid w:val="00B50DBA"/>
    <w:rsid w:val="00B50E1C"/>
    <w:rsid w:val="00B50EDA"/>
    <w:rsid w:val="00B50FB8"/>
    <w:rsid w:val="00B5105C"/>
    <w:rsid w:val="00B51227"/>
    <w:rsid w:val="00B512F9"/>
    <w:rsid w:val="00B51305"/>
    <w:rsid w:val="00B51316"/>
    <w:rsid w:val="00B513BC"/>
    <w:rsid w:val="00B5154B"/>
    <w:rsid w:val="00B516E4"/>
    <w:rsid w:val="00B5185E"/>
    <w:rsid w:val="00B51A0D"/>
    <w:rsid w:val="00B51A1C"/>
    <w:rsid w:val="00B51C3B"/>
    <w:rsid w:val="00B51C43"/>
    <w:rsid w:val="00B51DBC"/>
    <w:rsid w:val="00B51F47"/>
    <w:rsid w:val="00B51F68"/>
    <w:rsid w:val="00B521CA"/>
    <w:rsid w:val="00B521DE"/>
    <w:rsid w:val="00B521EC"/>
    <w:rsid w:val="00B5220F"/>
    <w:rsid w:val="00B52220"/>
    <w:rsid w:val="00B52231"/>
    <w:rsid w:val="00B52264"/>
    <w:rsid w:val="00B5229D"/>
    <w:rsid w:val="00B522A2"/>
    <w:rsid w:val="00B5243A"/>
    <w:rsid w:val="00B52450"/>
    <w:rsid w:val="00B52474"/>
    <w:rsid w:val="00B524C5"/>
    <w:rsid w:val="00B52536"/>
    <w:rsid w:val="00B52644"/>
    <w:rsid w:val="00B5273C"/>
    <w:rsid w:val="00B527BE"/>
    <w:rsid w:val="00B527C4"/>
    <w:rsid w:val="00B52830"/>
    <w:rsid w:val="00B528D0"/>
    <w:rsid w:val="00B529F5"/>
    <w:rsid w:val="00B52BE0"/>
    <w:rsid w:val="00B52DCF"/>
    <w:rsid w:val="00B52E06"/>
    <w:rsid w:val="00B52EB3"/>
    <w:rsid w:val="00B52F0A"/>
    <w:rsid w:val="00B52F2E"/>
    <w:rsid w:val="00B52FF1"/>
    <w:rsid w:val="00B53136"/>
    <w:rsid w:val="00B53151"/>
    <w:rsid w:val="00B53475"/>
    <w:rsid w:val="00B534EA"/>
    <w:rsid w:val="00B53562"/>
    <w:rsid w:val="00B53575"/>
    <w:rsid w:val="00B53589"/>
    <w:rsid w:val="00B535E9"/>
    <w:rsid w:val="00B53600"/>
    <w:rsid w:val="00B53602"/>
    <w:rsid w:val="00B53752"/>
    <w:rsid w:val="00B5382B"/>
    <w:rsid w:val="00B538E8"/>
    <w:rsid w:val="00B5391E"/>
    <w:rsid w:val="00B53971"/>
    <w:rsid w:val="00B53989"/>
    <w:rsid w:val="00B539AB"/>
    <w:rsid w:val="00B539E9"/>
    <w:rsid w:val="00B53B0B"/>
    <w:rsid w:val="00B53B25"/>
    <w:rsid w:val="00B53BBD"/>
    <w:rsid w:val="00B53CBE"/>
    <w:rsid w:val="00B53DAF"/>
    <w:rsid w:val="00B53FDE"/>
    <w:rsid w:val="00B53FF5"/>
    <w:rsid w:val="00B540D0"/>
    <w:rsid w:val="00B540FA"/>
    <w:rsid w:val="00B54365"/>
    <w:rsid w:val="00B543BD"/>
    <w:rsid w:val="00B543E4"/>
    <w:rsid w:val="00B54517"/>
    <w:rsid w:val="00B54594"/>
    <w:rsid w:val="00B546D3"/>
    <w:rsid w:val="00B546EA"/>
    <w:rsid w:val="00B5476B"/>
    <w:rsid w:val="00B547AC"/>
    <w:rsid w:val="00B547E3"/>
    <w:rsid w:val="00B547F7"/>
    <w:rsid w:val="00B5487F"/>
    <w:rsid w:val="00B548C1"/>
    <w:rsid w:val="00B548C6"/>
    <w:rsid w:val="00B5492E"/>
    <w:rsid w:val="00B5495D"/>
    <w:rsid w:val="00B54BD8"/>
    <w:rsid w:val="00B54C03"/>
    <w:rsid w:val="00B54C9B"/>
    <w:rsid w:val="00B54CE3"/>
    <w:rsid w:val="00B54D51"/>
    <w:rsid w:val="00B54DB5"/>
    <w:rsid w:val="00B54DF0"/>
    <w:rsid w:val="00B54E05"/>
    <w:rsid w:val="00B54E55"/>
    <w:rsid w:val="00B54F01"/>
    <w:rsid w:val="00B5503B"/>
    <w:rsid w:val="00B55125"/>
    <w:rsid w:val="00B55137"/>
    <w:rsid w:val="00B551A7"/>
    <w:rsid w:val="00B55202"/>
    <w:rsid w:val="00B55227"/>
    <w:rsid w:val="00B5525F"/>
    <w:rsid w:val="00B5529B"/>
    <w:rsid w:val="00B55393"/>
    <w:rsid w:val="00B553B1"/>
    <w:rsid w:val="00B553CA"/>
    <w:rsid w:val="00B55403"/>
    <w:rsid w:val="00B55447"/>
    <w:rsid w:val="00B5544F"/>
    <w:rsid w:val="00B55619"/>
    <w:rsid w:val="00B556BD"/>
    <w:rsid w:val="00B55804"/>
    <w:rsid w:val="00B558E2"/>
    <w:rsid w:val="00B5594D"/>
    <w:rsid w:val="00B55A75"/>
    <w:rsid w:val="00B55ACC"/>
    <w:rsid w:val="00B55B52"/>
    <w:rsid w:val="00B55C5D"/>
    <w:rsid w:val="00B55C63"/>
    <w:rsid w:val="00B55C85"/>
    <w:rsid w:val="00B55CB1"/>
    <w:rsid w:val="00B55CD6"/>
    <w:rsid w:val="00B55F09"/>
    <w:rsid w:val="00B55FE7"/>
    <w:rsid w:val="00B56146"/>
    <w:rsid w:val="00B56202"/>
    <w:rsid w:val="00B5638A"/>
    <w:rsid w:val="00B56426"/>
    <w:rsid w:val="00B565E0"/>
    <w:rsid w:val="00B56632"/>
    <w:rsid w:val="00B566C7"/>
    <w:rsid w:val="00B5674C"/>
    <w:rsid w:val="00B56785"/>
    <w:rsid w:val="00B56871"/>
    <w:rsid w:val="00B568B0"/>
    <w:rsid w:val="00B569E7"/>
    <w:rsid w:val="00B56A6B"/>
    <w:rsid w:val="00B56A85"/>
    <w:rsid w:val="00B56A9F"/>
    <w:rsid w:val="00B56AAA"/>
    <w:rsid w:val="00B56BAC"/>
    <w:rsid w:val="00B56C37"/>
    <w:rsid w:val="00B56D36"/>
    <w:rsid w:val="00B56D63"/>
    <w:rsid w:val="00B570E5"/>
    <w:rsid w:val="00B572B4"/>
    <w:rsid w:val="00B57389"/>
    <w:rsid w:val="00B574D3"/>
    <w:rsid w:val="00B5755E"/>
    <w:rsid w:val="00B57581"/>
    <w:rsid w:val="00B575B3"/>
    <w:rsid w:val="00B57712"/>
    <w:rsid w:val="00B578C2"/>
    <w:rsid w:val="00B5794D"/>
    <w:rsid w:val="00B579A2"/>
    <w:rsid w:val="00B57AF1"/>
    <w:rsid w:val="00B57ECC"/>
    <w:rsid w:val="00B57EDB"/>
    <w:rsid w:val="00B60028"/>
    <w:rsid w:val="00B600F0"/>
    <w:rsid w:val="00B6014F"/>
    <w:rsid w:val="00B601EF"/>
    <w:rsid w:val="00B60207"/>
    <w:rsid w:val="00B602CC"/>
    <w:rsid w:val="00B602EA"/>
    <w:rsid w:val="00B6035D"/>
    <w:rsid w:val="00B6036B"/>
    <w:rsid w:val="00B604C8"/>
    <w:rsid w:val="00B604CD"/>
    <w:rsid w:val="00B6056C"/>
    <w:rsid w:val="00B60627"/>
    <w:rsid w:val="00B6074D"/>
    <w:rsid w:val="00B609D6"/>
    <w:rsid w:val="00B609E1"/>
    <w:rsid w:val="00B60A1D"/>
    <w:rsid w:val="00B60AB2"/>
    <w:rsid w:val="00B60B7F"/>
    <w:rsid w:val="00B60BDB"/>
    <w:rsid w:val="00B60C07"/>
    <w:rsid w:val="00B60CC1"/>
    <w:rsid w:val="00B60CDA"/>
    <w:rsid w:val="00B60DDA"/>
    <w:rsid w:val="00B60E1F"/>
    <w:rsid w:val="00B61105"/>
    <w:rsid w:val="00B61109"/>
    <w:rsid w:val="00B611A8"/>
    <w:rsid w:val="00B61258"/>
    <w:rsid w:val="00B61388"/>
    <w:rsid w:val="00B61395"/>
    <w:rsid w:val="00B613FD"/>
    <w:rsid w:val="00B615C6"/>
    <w:rsid w:val="00B615C9"/>
    <w:rsid w:val="00B616B4"/>
    <w:rsid w:val="00B616EC"/>
    <w:rsid w:val="00B61702"/>
    <w:rsid w:val="00B61767"/>
    <w:rsid w:val="00B617DF"/>
    <w:rsid w:val="00B619AF"/>
    <w:rsid w:val="00B619F9"/>
    <w:rsid w:val="00B619FD"/>
    <w:rsid w:val="00B61B10"/>
    <w:rsid w:val="00B61B35"/>
    <w:rsid w:val="00B61BEE"/>
    <w:rsid w:val="00B61C76"/>
    <w:rsid w:val="00B61D16"/>
    <w:rsid w:val="00B61D31"/>
    <w:rsid w:val="00B61F81"/>
    <w:rsid w:val="00B61F8C"/>
    <w:rsid w:val="00B61FAD"/>
    <w:rsid w:val="00B61FE9"/>
    <w:rsid w:val="00B61FFE"/>
    <w:rsid w:val="00B62160"/>
    <w:rsid w:val="00B622E5"/>
    <w:rsid w:val="00B62419"/>
    <w:rsid w:val="00B62484"/>
    <w:rsid w:val="00B6253D"/>
    <w:rsid w:val="00B62577"/>
    <w:rsid w:val="00B625E7"/>
    <w:rsid w:val="00B626D8"/>
    <w:rsid w:val="00B62808"/>
    <w:rsid w:val="00B6290D"/>
    <w:rsid w:val="00B6293B"/>
    <w:rsid w:val="00B629C9"/>
    <w:rsid w:val="00B62A12"/>
    <w:rsid w:val="00B62A81"/>
    <w:rsid w:val="00B62B36"/>
    <w:rsid w:val="00B62B46"/>
    <w:rsid w:val="00B62C8A"/>
    <w:rsid w:val="00B62C94"/>
    <w:rsid w:val="00B62CCE"/>
    <w:rsid w:val="00B62D65"/>
    <w:rsid w:val="00B62DC4"/>
    <w:rsid w:val="00B62EE0"/>
    <w:rsid w:val="00B62F7E"/>
    <w:rsid w:val="00B62F8C"/>
    <w:rsid w:val="00B63000"/>
    <w:rsid w:val="00B6300C"/>
    <w:rsid w:val="00B6301A"/>
    <w:rsid w:val="00B63088"/>
    <w:rsid w:val="00B630B1"/>
    <w:rsid w:val="00B631F4"/>
    <w:rsid w:val="00B63355"/>
    <w:rsid w:val="00B633CE"/>
    <w:rsid w:val="00B633DA"/>
    <w:rsid w:val="00B63413"/>
    <w:rsid w:val="00B63441"/>
    <w:rsid w:val="00B63484"/>
    <w:rsid w:val="00B63569"/>
    <w:rsid w:val="00B635BD"/>
    <w:rsid w:val="00B638DE"/>
    <w:rsid w:val="00B63A5D"/>
    <w:rsid w:val="00B63BC3"/>
    <w:rsid w:val="00B63D2F"/>
    <w:rsid w:val="00B63DD8"/>
    <w:rsid w:val="00B63F4D"/>
    <w:rsid w:val="00B63FC8"/>
    <w:rsid w:val="00B640D0"/>
    <w:rsid w:val="00B64303"/>
    <w:rsid w:val="00B6458F"/>
    <w:rsid w:val="00B647CF"/>
    <w:rsid w:val="00B6496E"/>
    <w:rsid w:val="00B649FF"/>
    <w:rsid w:val="00B64A3C"/>
    <w:rsid w:val="00B64A46"/>
    <w:rsid w:val="00B64A50"/>
    <w:rsid w:val="00B64BAC"/>
    <w:rsid w:val="00B64BFA"/>
    <w:rsid w:val="00B64C2B"/>
    <w:rsid w:val="00B64C3F"/>
    <w:rsid w:val="00B64CD5"/>
    <w:rsid w:val="00B64E58"/>
    <w:rsid w:val="00B64E84"/>
    <w:rsid w:val="00B64F0E"/>
    <w:rsid w:val="00B64F10"/>
    <w:rsid w:val="00B64FFD"/>
    <w:rsid w:val="00B650AE"/>
    <w:rsid w:val="00B650AF"/>
    <w:rsid w:val="00B650E3"/>
    <w:rsid w:val="00B65186"/>
    <w:rsid w:val="00B65222"/>
    <w:rsid w:val="00B65368"/>
    <w:rsid w:val="00B654B7"/>
    <w:rsid w:val="00B65800"/>
    <w:rsid w:val="00B658B0"/>
    <w:rsid w:val="00B658C8"/>
    <w:rsid w:val="00B658EC"/>
    <w:rsid w:val="00B659AB"/>
    <w:rsid w:val="00B659DD"/>
    <w:rsid w:val="00B659DE"/>
    <w:rsid w:val="00B65B20"/>
    <w:rsid w:val="00B65C5E"/>
    <w:rsid w:val="00B65D25"/>
    <w:rsid w:val="00B65D8A"/>
    <w:rsid w:val="00B65DDC"/>
    <w:rsid w:val="00B65F2C"/>
    <w:rsid w:val="00B65F4E"/>
    <w:rsid w:val="00B65FAA"/>
    <w:rsid w:val="00B65FAB"/>
    <w:rsid w:val="00B65FF6"/>
    <w:rsid w:val="00B66061"/>
    <w:rsid w:val="00B66075"/>
    <w:rsid w:val="00B660A6"/>
    <w:rsid w:val="00B66200"/>
    <w:rsid w:val="00B66351"/>
    <w:rsid w:val="00B66488"/>
    <w:rsid w:val="00B66491"/>
    <w:rsid w:val="00B664DE"/>
    <w:rsid w:val="00B66685"/>
    <w:rsid w:val="00B666AB"/>
    <w:rsid w:val="00B666D1"/>
    <w:rsid w:val="00B666DA"/>
    <w:rsid w:val="00B667E5"/>
    <w:rsid w:val="00B66844"/>
    <w:rsid w:val="00B668A7"/>
    <w:rsid w:val="00B668B8"/>
    <w:rsid w:val="00B66A3D"/>
    <w:rsid w:val="00B66A53"/>
    <w:rsid w:val="00B66B87"/>
    <w:rsid w:val="00B66B8C"/>
    <w:rsid w:val="00B66BBD"/>
    <w:rsid w:val="00B66D84"/>
    <w:rsid w:val="00B67066"/>
    <w:rsid w:val="00B67174"/>
    <w:rsid w:val="00B671B3"/>
    <w:rsid w:val="00B671D7"/>
    <w:rsid w:val="00B672C6"/>
    <w:rsid w:val="00B67457"/>
    <w:rsid w:val="00B6749A"/>
    <w:rsid w:val="00B67686"/>
    <w:rsid w:val="00B676A2"/>
    <w:rsid w:val="00B67707"/>
    <w:rsid w:val="00B67788"/>
    <w:rsid w:val="00B6793C"/>
    <w:rsid w:val="00B67A40"/>
    <w:rsid w:val="00B67A47"/>
    <w:rsid w:val="00B67A72"/>
    <w:rsid w:val="00B67AB8"/>
    <w:rsid w:val="00B67B60"/>
    <w:rsid w:val="00B67C40"/>
    <w:rsid w:val="00B67CDD"/>
    <w:rsid w:val="00B67D1A"/>
    <w:rsid w:val="00B67D61"/>
    <w:rsid w:val="00B67E5B"/>
    <w:rsid w:val="00B67E78"/>
    <w:rsid w:val="00B67EA1"/>
    <w:rsid w:val="00B67FA1"/>
    <w:rsid w:val="00B67FF8"/>
    <w:rsid w:val="00B70090"/>
    <w:rsid w:val="00B700C8"/>
    <w:rsid w:val="00B70189"/>
    <w:rsid w:val="00B70416"/>
    <w:rsid w:val="00B7046F"/>
    <w:rsid w:val="00B704AC"/>
    <w:rsid w:val="00B70626"/>
    <w:rsid w:val="00B70669"/>
    <w:rsid w:val="00B706C5"/>
    <w:rsid w:val="00B70785"/>
    <w:rsid w:val="00B70824"/>
    <w:rsid w:val="00B70A31"/>
    <w:rsid w:val="00B70D01"/>
    <w:rsid w:val="00B70F34"/>
    <w:rsid w:val="00B70F8F"/>
    <w:rsid w:val="00B70F92"/>
    <w:rsid w:val="00B70FC2"/>
    <w:rsid w:val="00B71017"/>
    <w:rsid w:val="00B71473"/>
    <w:rsid w:val="00B714C9"/>
    <w:rsid w:val="00B71503"/>
    <w:rsid w:val="00B716E3"/>
    <w:rsid w:val="00B71868"/>
    <w:rsid w:val="00B7188A"/>
    <w:rsid w:val="00B718B5"/>
    <w:rsid w:val="00B7190F"/>
    <w:rsid w:val="00B71B44"/>
    <w:rsid w:val="00B71B62"/>
    <w:rsid w:val="00B71BF1"/>
    <w:rsid w:val="00B71BF4"/>
    <w:rsid w:val="00B71CCC"/>
    <w:rsid w:val="00B71CE1"/>
    <w:rsid w:val="00B71D12"/>
    <w:rsid w:val="00B71D59"/>
    <w:rsid w:val="00B71DB3"/>
    <w:rsid w:val="00B71E8D"/>
    <w:rsid w:val="00B71EDF"/>
    <w:rsid w:val="00B72039"/>
    <w:rsid w:val="00B720C9"/>
    <w:rsid w:val="00B721E7"/>
    <w:rsid w:val="00B7221A"/>
    <w:rsid w:val="00B722E5"/>
    <w:rsid w:val="00B723DC"/>
    <w:rsid w:val="00B724AB"/>
    <w:rsid w:val="00B724C8"/>
    <w:rsid w:val="00B724E2"/>
    <w:rsid w:val="00B7256E"/>
    <w:rsid w:val="00B726C8"/>
    <w:rsid w:val="00B726D0"/>
    <w:rsid w:val="00B726FE"/>
    <w:rsid w:val="00B72763"/>
    <w:rsid w:val="00B727B8"/>
    <w:rsid w:val="00B72878"/>
    <w:rsid w:val="00B72A18"/>
    <w:rsid w:val="00B72A3D"/>
    <w:rsid w:val="00B72A7E"/>
    <w:rsid w:val="00B72B03"/>
    <w:rsid w:val="00B72BB9"/>
    <w:rsid w:val="00B72BFB"/>
    <w:rsid w:val="00B72CE0"/>
    <w:rsid w:val="00B72D08"/>
    <w:rsid w:val="00B72DB7"/>
    <w:rsid w:val="00B72EF8"/>
    <w:rsid w:val="00B72F76"/>
    <w:rsid w:val="00B72FA0"/>
    <w:rsid w:val="00B730DB"/>
    <w:rsid w:val="00B73106"/>
    <w:rsid w:val="00B73130"/>
    <w:rsid w:val="00B733D2"/>
    <w:rsid w:val="00B733F6"/>
    <w:rsid w:val="00B7346D"/>
    <w:rsid w:val="00B73478"/>
    <w:rsid w:val="00B734F1"/>
    <w:rsid w:val="00B736EA"/>
    <w:rsid w:val="00B736F2"/>
    <w:rsid w:val="00B7370D"/>
    <w:rsid w:val="00B73734"/>
    <w:rsid w:val="00B7382C"/>
    <w:rsid w:val="00B73894"/>
    <w:rsid w:val="00B7394B"/>
    <w:rsid w:val="00B73E1B"/>
    <w:rsid w:val="00B73F67"/>
    <w:rsid w:val="00B73FCE"/>
    <w:rsid w:val="00B74076"/>
    <w:rsid w:val="00B74127"/>
    <w:rsid w:val="00B7415B"/>
    <w:rsid w:val="00B74307"/>
    <w:rsid w:val="00B74349"/>
    <w:rsid w:val="00B743C7"/>
    <w:rsid w:val="00B743CB"/>
    <w:rsid w:val="00B74407"/>
    <w:rsid w:val="00B74457"/>
    <w:rsid w:val="00B745E6"/>
    <w:rsid w:val="00B7463A"/>
    <w:rsid w:val="00B74646"/>
    <w:rsid w:val="00B74799"/>
    <w:rsid w:val="00B74911"/>
    <w:rsid w:val="00B74932"/>
    <w:rsid w:val="00B74A3F"/>
    <w:rsid w:val="00B74C94"/>
    <w:rsid w:val="00B74D71"/>
    <w:rsid w:val="00B74F22"/>
    <w:rsid w:val="00B74F4F"/>
    <w:rsid w:val="00B74FCB"/>
    <w:rsid w:val="00B74FE0"/>
    <w:rsid w:val="00B74FEE"/>
    <w:rsid w:val="00B75000"/>
    <w:rsid w:val="00B75002"/>
    <w:rsid w:val="00B7504E"/>
    <w:rsid w:val="00B751E2"/>
    <w:rsid w:val="00B751E4"/>
    <w:rsid w:val="00B752A1"/>
    <w:rsid w:val="00B7536C"/>
    <w:rsid w:val="00B754A2"/>
    <w:rsid w:val="00B75523"/>
    <w:rsid w:val="00B756D0"/>
    <w:rsid w:val="00B7578D"/>
    <w:rsid w:val="00B757AE"/>
    <w:rsid w:val="00B757E3"/>
    <w:rsid w:val="00B75820"/>
    <w:rsid w:val="00B75826"/>
    <w:rsid w:val="00B75875"/>
    <w:rsid w:val="00B759AC"/>
    <w:rsid w:val="00B75A1B"/>
    <w:rsid w:val="00B75B69"/>
    <w:rsid w:val="00B75C6D"/>
    <w:rsid w:val="00B75C9C"/>
    <w:rsid w:val="00B75CBC"/>
    <w:rsid w:val="00B75CD2"/>
    <w:rsid w:val="00B75D45"/>
    <w:rsid w:val="00B75D61"/>
    <w:rsid w:val="00B75DE2"/>
    <w:rsid w:val="00B75E92"/>
    <w:rsid w:val="00B75EA1"/>
    <w:rsid w:val="00B75EC4"/>
    <w:rsid w:val="00B75F18"/>
    <w:rsid w:val="00B75F77"/>
    <w:rsid w:val="00B7602C"/>
    <w:rsid w:val="00B7607F"/>
    <w:rsid w:val="00B7611F"/>
    <w:rsid w:val="00B76166"/>
    <w:rsid w:val="00B7619A"/>
    <w:rsid w:val="00B761C9"/>
    <w:rsid w:val="00B761FC"/>
    <w:rsid w:val="00B762AB"/>
    <w:rsid w:val="00B7637F"/>
    <w:rsid w:val="00B7638C"/>
    <w:rsid w:val="00B76406"/>
    <w:rsid w:val="00B7662A"/>
    <w:rsid w:val="00B76644"/>
    <w:rsid w:val="00B76677"/>
    <w:rsid w:val="00B766D5"/>
    <w:rsid w:val="00B76836"/>
    <w:rsid w:val="00B76998"/>
    <w:rsid w:val="00B76A37"/>
    <w:rsid w:val="00B76B79"/>
    <w:rsid w:val="00B76C49"/>
    <w:rsid w:val="00B76CC8"/>
    <w:rsid w:val="00B76D4E"/>
    <w:rsid w:val="00B76E08"/>
    <w:rsid w:val="00B76E14"/>
    <w:rsid w:val="00B76E51"/>
    <w:rsid w:val="00B76EB3"/>
    <w:rsid w:val="00B76EC3"/>
    <w:rsid w:val="00B76EE2"/>
    <w:rsid w:val="00B76EF4"/>
    <w:rsid w:val="00B76F90"/>
    <w:rsid w:val="00B76F94"/>
    <w:rsid w:val="00B76FB5"/>
    <w:rsid w:val="00B770F6"/>
    <w:rsid w:val="00B77155"/>
    <w:rsid w:val="00B7718F"/>
    <w:rsid w:val="00B77190"/>
    <w:rsid w:val="00B77208"/>
    <w:rsid w:val="00B773BF"/>
    <w:rsid w:val="00B774C9"/>
    <w:rsid w:val="00B774DB"/>
    <w:rsid w:val="00B77758"/>
    <w:rsid w:val="00B777E1"/>
    <w:rsid w:val="00B77843"/>
    <w:rsid w:val="00B77896"/>
    <w:rsid w:val="00B778A3"/>
    <w:rsid w:val="00B77B45"/>
    <w:rsid w:val="00B77BD9"/>
    <w:rsid w:val="00B77D90"/>
    <w:rsid w:val="00B77DE1"/>
    <w:rsid w:val="00B77E50"/>
    <w:rsid w:val="00B77E5A"/>
    <w:rsid w:val="00B77EB1"/>
    <w:rsid w:val="00B77EE4"/>
    <w:rsid w:val="00B77FBD"/>
    <w:rsid w:val="00B80091"/>
    <w:rsid w:val="00B80209"/>
    <w:rsid w:val="00B802F1"/>
    <w:rsid w:val="00B80311"/>
    <w:rsid w:val="00B803A9"/>
    <w:rsid w:val="00B80447"/>
    <w:rsid w:val="00B8048B"/>
    <w:rsid w:val="00B80492"/>
    <w:rsid w:val="00B805C1"/>
    <w:rsid w:val="00B80642"/>
    <w:rsid w:val="00B80645"/>
    <w:rsid w:val="00B80698"/>
    <w:rsid w:val="00B80764"/>
    <w:rsid w:val="00B807CD"/>
    <w:rsid w:val="00B8080B"/>
    <w:rsid w:val="00B8086E"/>
    <w:rsid w:val="00B80969"/>
    <w:rsid w:val="00B809D1"/>
    <w:rsid w:val="00B80A4A"/>
    <w:rsid w:val="00B80A66"/>
    <w:rsid w:val="00B80B05"/>
    <w:rsid w:val="00B80B79"/>
    <w:rsid w:val="00B80BBD"/>
    <w:rsid w:val="00B80CB7"/>
    <w:rsid w:val="00B80D05"/>
    <w:rsid w:val="00B80D9E"/>
    <w:rsid w:val="00B80DE7"/>
    <w:rsid w:val="00B80F16"/>
    <w:rsid w:val="00B80FD1"/>
    <w:rsid w:val="00B810B2"/>
    <w:rsid w:val="00B8122A"/>
    <w:rsid w:val="00B81268"/>
    <w:rsid w:val="00B81365"/>
    <w:rsid w:val="00B813D4"/>
    <w:rsid w:val="00B81460"/>
    <w:rsid w:val="00B8146C"/>
    <w:rsid w:val="00B814BC"/>
    <w:rsid w:val="00B8159C"/>
    <w:rsid w:val="00B816A5"/>
    <w:rsid w:val="00B8187E"/>
    <w:rsid w:val="00B818EC"/>
    <w:rsid w:val="00B81A62"/>
    <w:rsid w:val="00B81A9C"/>
    <w:rsid w:val="00B81B13"/>
    <w:rsid w:val="00B81C56"/>
    <w:rsid w:val="00B81C95"/>
    <w:rsid w:val="00B81DDE"/>
    <w:rsid w:val="00B81EAE"/>
    <w:rsid w:val="00B81EC9"/>
    <w:rsid w:val="00B81F09"/>
    <w:rsid w:val="00B81FD4"/>
    <w:rsid w:val="00B8212B"/>
    <w:rsid w:val="00B82175"/>
    <w:rsid w:val="00B8220C"/>
    <w:rsid w:val="00B8222A"/>
    <w:rsid w:val="00B82310"/>
    <w:rsid w:val="00B82330"/>
    <w:rsid w:val="00B8268B"/>
    <w:rsid w:val="00B8271C"/>
    <w:rsid w:val="00B8274C"/>
    <w:rsid w:val="00B82785"/>
    <w:rsid w:val="00B828C2"/>
    <w:rsid w:val="00B82B15"/>
    <w:rsid w:val="00B82BAF"/>
    <w:rsid w:val="00B82D08"/>
    <w:rsid w:val="00B82EF6"/>
    <w:rsid w:val="00B82F0B"/>
    <w:rsid w:val="00B82F8C"/>
    <w:rsid w:val="00B82FBC"/>
    <w:rsid w:val="00B83050"/>
    <w:rsid w:val="00B8309D"/>
    <w:rsid w:val="00B830A8"/>
    <w:rsid w:val="00B830F2"/>
    <w:rsid w:val="00B8310B"/>
    <w:rsid w:val="00B831E8"/>
    <w:rsid w:val="00B831EF"/>
    <w:rsid w:val="00B83228"/>
    <w:rsid w:val="00B8324B"/>
    <w:rsid w:val="00B834F9"/>
    <w:rsid w:val="00B83696"/>
    <w:rsid w:val="00B83744"/>
    <w:rsid w:val="00B8375A"/>
    <w:rsid w:val="00B837A8"/>
    <w:rsid w:val="00B83837"/>
    <w:rsid w:val="00B838E8"/>
    <w:rsid w:val="00B83932"/>
    <w:rsid w:val="00B83950"/>
    <w:rsid w:val="00B839C1"/>
    <w:rsid w:val="00B83A2A"/>
    <w:rsid w:val="00B83B8C"/>
    <w:rsid w:val="00B83BC0"/>
    <w:rsid w:val="00B83BFB"/>
    <w:rsid w:val="00B83C6A"/>
    <w:rsid w:val="00B83D70"/>
    <w:rsid w:val="00B83D8B"/>
    <w:rsid w:val="00B83DC7"/>
    <w:rsid w:val="00B83E1D"/>
    <w:rsid w:val="00B83F6F"/>
    <w:rsid w:val="00B83F8D"/>
    <w:rsid w:val="00B840EB"/>
    <w:rsid w:val="00B840ED"/>
    <w:rsid w:val="00B84129"/>
    <w:rsid w:val="00B841E7"/>
    <w:rsid w:val="00B84240"/>
    <w:rsid w:val="00B84372"/>
    <w:rsid w:val="00B84398"/>
    <w:rsid w:val="00B84462"/>
    <w:rsid w:val="00B84572"/>
    <w:rsid w:val="00B8465D"/>
    <w:rsid w:val="00B84661"/>
    <w:rsid w:val="00B84760"/>
    <w:rsid w:val="00B847DD"/>
    <w:rsid w:val="00B847F2"/>
    <w:rsid w:val="00B84BC6"/>
    <w:rsid w:val="00B84C3B"/>
    <w:rsid w:val="00B84CDD"/>
    <w:rsid w:val="00B84DD9"/>
    <w:rsid w:val="00B84E29"/>
    <w:rsid w:val="00B84EF0"/>
    <w:rsid w:val="00B84F73"/>
    <w:rsid w:val="00B85093"/>
    <w:rsid w:val="00B85095"/>
    <w:rsid w:val="00B85183"/>
    <w:rsid w:val="00B851A4"/>
    <w:rsid w:val="00B85200"/>
    <w:rsid w:val="00B85260"/>
    <w:rsid w:val="00B852F7"/>
    <w:rsid w:val="00B85402"/>
    <w:rsid w:val="00B8543F"/>
    <w:rsid w:val="00B854E0"/>
    <w:rsid w:val="00B855E8"/>
    <w:rsid w:val="00B85668"/>
    <w:rsid w:val="00B8590C"/>
    <w:rsid w:val="00B85958"/>
    <w:rsid w:val="00B8597F"/>
    <w:rsid w:val="00B85AC7"/>
    <w:rsid w:val="00B85C4B"/>
    <w:rsid w:val="00B85CBE"/>
    <w:rsid w:val="00B85D1F"/>
    <w:rsid w:val="00B85D72"/>
    <w:rsid w:val="00B85DD2"/>
    <w:rsid w:val="00B85E0E"/>
    <w:rsid w:val="00B85F8C"/>
    <w:rsid w:val="00B8605D"/>
    <w:rsid w:val="00B86068"/>
    <w:rsid w:val="00B861A7"/>
    <w:rsid w:val="00B86363"/>
    <w:rsid w:val="00B86425"/>
    <w:rsid w:val="00B865AA"/>
    <w:rsid w:val="00B8667F"/>
    <w:rsid w:val="00B866A9"/>
    <w:rsid w:val="00B8673C"/>
    <w:rsid w:val="00B8673F"/>
    <w:rsid w:val="00B869A2"/>
    <w:rsid w:val="00B869FE"/>
    <w:rsid w:val="00B86ACC"/>
    <w:rsid w:val="00B86BA9"/>
    <w:rsid w:val="00B86DCC"/>
    <w:rsid w:val="00B86DD5"/>
    <w:rsid w:val="00B86E6C"/>
    <w:rsid w:val="00B87195"/>
    <w:rsid w:val="00B871D8"/>
    <w:rsid w:val="00B87215"/>
    <w:rsid w:val="00B872B8"/>
    <w:rsid w:val="00B87611"/>
    <w:rsid w:val="00B8761E"/>
    <w:rsid w:val="00B877FA"/>
    <w:rsid w:val="00B87803"/>
    <w:rsid w:val="00B87805"/>
    <w:rsid w:val="00B87831"/>
    <w:rsid w:val="00B87877"/>
    <w:rsid w:val="00B878FD"/>
    <w:rsid w:val="00B8791B"/>
    <w:rsid w:val="00B87929"/>
    <w:rsid w:val="00B87988"/>
    <w:rsid w:val="00B87A4C"/>
    <w:rsid w:val="00B87BAB"/>
    <w:rsid w:val="00B87C28"/>
    <w:rsid w:val="00B87C9C"/>
    <w:rsid w:val="00B87DB3"/>
    <w:rsid w:val="00B87E16"/>
    <w:rsid w:val="00B87FA4"/>
    <w:rsid w:val="00B90025"/>
    <w:rsid w:val="00B900BE"/>
    <w:rsid w:val="00B900EB"/>
    <w:rsid w:val="00B9013B"/>
    <w:rsid w:val="00B90197"/>
    <w:rsid w:val="00B90259"/>
    <w:rsid w:val="00B90264"/>
    <w:rsid w:val="00B90304"/>
    <w:rsid w:val="00B9039C"/>
    <w:rsid w:val="00B90470"/>
    <w:rsid w:val="00B90471"/>
    <w:rsid w:val="00B90516"/>
    <w:rsid w:val="00B9054F"/>
    <w:rsid w:val="00B905E5"/>
    <w:rsid w:val="00B90613"/>
    <w:rsid w:val="00B90749"/>
    <w:rsid w:val="00B9086A"/>
    <w:rsid w:val="00B90919"/>
    <w:rsid w:val="00B909C3"/>
    <w:rsid w:val="00B909F5"/>
    <w:rsid w:val="00B90A42"/>
    <w:rsid w:val="00B90B39"/>
    <w:rsid w:val="00B90B91"/>
    <w:rsid w:val="00B90BB8"/>
    <w:rsid w:val="00B90E46"/>
    <w:rsid w:val="00B90E84"/>
    <w:rsid w:val="00B90FCA"/>
    <w:rsid w:val="00B91010"/>
    <w:rsid w:val="00B91182"/>
    <w:rsid w:val="00B911A6"/>
    <w:rsid w:val="00B91210"/>
    <w:rsid w:val="00B91211"/>
    <w:rsid w:val="00B91262"/>
    <w:rsid w:val="00B9134D"/>
    <w:rsid w:val="00B91459"/>
    <w:rsid w:val="00B914A6"/>
    <w:rsid w:val="00B91515"/>
    <w:rsid w:val="00B91595"/>
    <w:rsid w:val="00B916C3"/>
    <w:rsid w:val="00B91702"/>
    <w:rsid w:val="00B9172C"/>
    <w:rsid w:val="00B917B9"/>
    <w:rsid w:val="00B917D7"/>
    <w:rsid w:val="00B91814"/>
    <w:rsid w:val="00B9192D"/>
    <w:rsid w:val="00B919F4"/>
    <w:rsid w:val="00B91A24"/>
    <w:rsid w:val="00B91A71"/>
    <w:rsid w:val="00B91C2B"/>
    <w:rsid w:val="00B91C40"/>
    <w:rsid w:val="00B91C98"/>
    <w:rsid w:val="00B91E4C"/>
    <w:rsid w:val="00B91E5F"/>
    <w:rsid w:val="00B91E60"/>
    <w:rsid w:val="00B91FCB"/>
    <w:rsid w:val="00B92035"/>
    <w:rsid w:val="00B920BD"/>
    <w:rsid w:val="00B9213C"/>
    <w:rsid w:val="00B92253"/>
    <w:rsid w:val="00B922DE"/>
    <w:rsid w:val="00B92313"/>
    <w:rsid w:val="00B9239A"/>
    <w:rsid w:val="00B924A0"/>
    <w:rsid w:val="00B925A9"/>
    <w:rsid w:val="00B925B1"/>
    <w:rsid w:val="00B925CB"/>
    <w:rsid w:val="00B925CC"/>
    <w:rsid w:val="00B9270A"/>
    <w:rsid w:val="00B9275D"/>
    <w:rsid w:val="00B92765"/>
    <w:rsid w:val="00B928EE"/>
    <w:rsid w:val="00B928F0"/>
    <w:rsid w:val="00B92918"/>
    <w:rsid w:val="00B92B6D"/>
    <w:rsid w:val="00B92BDE"/>
    <w:rsid w:val="00B92BF3"/>
    <w:rsid w:val="00B92C6B"/>
    <w:rsid w:val="00B92D17"/>
    <w:rsid w:val="00B92D31"/>
    <w:rsid w:val="00B92E5B"/>
    <w:rsid w:val="00B92F48"/>
    <w:rsid w:val="00B92F5B"/>
    <w:rsid w:val="00B92FC2"/>
    <w:rsid w:val="00B9303D"/>
    <w:rsid w:val="00B9310D"/>
    <w:rsid w:val="00B93135"/>
    <w:rsid w:val="00B9318A"/>
    <w:rsid w:val="00B9318B"/>
    <w:rsid w:val="00B931F2"/>
    <w:rsid w:val="00B932C0"/>
    <w:rsid w:val="00B932C7"/>
    <w:rsid w:val="00B93481"/>
    <w:rsid w:val="00B934F6"/>
    <w:rsid w:val="00B9361B"/>
    <w:rsid w:val="00B93748"/>
    <w:rsid w:val="00B9374E"/>
    <w:rsid w:val="00B93765"/>
    <w:rsid w:val="00B938A8"/>
    <w:rsid w:val="00B93924"/>
    <w:rsid w:val="00B93976"/>
    <w:rsid w:val="00B939AA"/>
    <w:rsid w:val="00B93A7A"/>
    <w:rsid w:val="00B93B31"/>
    <w:rsid w:val="00B93B5E"/>
    <w:rsid w:val="00B93C8A"/>
    <w:rsid w:val="00B93F55"/>
    <w:rsid w:val="00B93FDE"/>
    <w:rsid w:val="00B94021"/>
    <w:rsid w:val="00B940E3"/>
    <w:rsid w:val="00B94185"/>
    <w:rsid w:val="00B941C1"/>
    <w:rsid w:val="00B94212"/>
    <w:rsid w:val="00B9433F"/>
    <w:rsid w:val="00B9434D"/>
    <w:rsid w:val="00B94352"/>
    <w:rsid w:val="00B943A7"/>
    <w:rsid w:val="00B943D9"/>
    <w:rsid w:val="00B9457A"/>
    <w:rsid w:val="00B9458C"/>
    <w:rsid w:val="00B94603"/>
    <w:rsid w:val="00B94654"/>
    <w:rsid w:val="00B9466A"/>
    <w:rsid w:val="00B9467A"/>
    <w:rsid w:val="00B946AF"/>
    <w:rsid w:val="00B946E3"/>
    <w:rsid w:val="00B94755"/>
    <w:rsid w:val="00B9484F"/>
    <w:rsid w:val="00B94992"/>
    <w:rsid w:val="00B94A03"/>
    <w:rsid w:val="00B94ACD"/>
    <w:rsid w:val="00B94AEC"/>
    <w:rsid w:val="00B94B84"/>
    <w:rsid w:val="00B94BFA"/>
    <w:rsid w:val="00B94CA2"/>
    <w:rsid w:val="00B94D59"/>
    <w:rsid w:val="00B94D62"/>
    <w:rsid w:val="00B94E4B"/>
    <w:rsid w:val="00B94E95"/>
    <w:rsid w:val="00B94F66"/>
    <w:rsid w:val="00B94FD2"/>
    <w:rsid w:val="00B94FE6"/>
    <w:rsid w:val="00B94FEE"/>
    <w:rsid w:val="00B9500A"/>
    <w:rsid w:val="00B950D2"/>
    <w:rsid w:val="00B9510C"/>
    <w:rsid w:val="00B95234"/>
    <w:rsid w:val="00B95268"/>
    <w:rsid w:val="00B95276"/>
    <w:rsid w:val="00B95321"/>
    <w:rsid w:val="00B95403"/>
    <w:rsid w:val="00B9572C"/>
    <w:rsid w:val="00B958AD"/>
    <w:rsid w:val="00B958BD"/>
    <w:rsid w:val="00B958E4"/>
    <w:rsid w:val="00B95C14"/>
    <w:rsid w:val="00B95D0D"/>
    <w:rsid w:val="00B95E3F"/>
    <w:rsid w:val="00B95F29"/>
    <w:rsid w:val="00B95FD4"/>
    <w:rsid w:val="00B95FE3"/>
    <w:rsid w:val="00B96019"/>
    <w:rsid w:val="00B96101"/>
    <w:rsid w:val="00B961C2"/>
    <w:rsid w:val="00B961EC"/>
    <w:rsid w:val="00B96277"/>
    <w:rsid w:val="00B96356"/>
    <w:rsid w:val="00B965BC"/>
    <w:rsid w:val="00B965F1"/>
    <w:rsid w:val="00B9668F"/>
    <w:rsid w:val="00B96AB2"/>
    <w:rsid w:val="00B96B7F"/>
    <w:rsid w:val="00B96C72"/>
    <w:rsid w:val="00B96D3F"/>
    <w:rsid w:val="00B96E03"/>
    <w:rsid w:val="00B96E1F"/>
    <w:rsid w:val="00B96E40"/>
    <w:rsid w:val="00B96E9D"/>
    <w:rsid w:val="00B96EAB"/>
    <w:rsid w:val="00B96F9E"/>
    <w:rsid w:val="00B96FD9"/>
    <w:rsid w:val="00B96FDE"/>
    <w:rsid w:val="00B971C3"/>
    <w:rsid w:val="00B9725E"/>
    <w:rsid w:val="00B9727C"/>
    <w:rsid w:val="00B9730E"/>
    <w:rsid w:val="00B97378"/>
    <w:rsid w:val="00B973A6"/>
    <w:rsid w:val="00B974DA"/>
    <w:rsid w:val="00B97579"/>
    <w:rsid w:val="00B9757A"/>
    <w:rsid w:val="00B975DA"/>
    <w:rsid w:val="00B976ED"/>
    <w:rsid w:val="00B97811"/>
    <w:rsid w:val="00B978FB"/>
    <w:rsid w:val="00B97936"/>
    <w:rsid w:val="00B97B40"/>
    <w:rsid w:val="00B97B67"/>
    <w:rsid w:val="00B97D45"/>
    <w:rsid w:val="00B97EA0"/>
    <w:rsid w:val="00B97EDC"/>
    <w:rsid w:val="00BA0015"/>
    <w:rsid w:val="00BA0061"/>
    <w:rsid w:val="00BA008D"/>
    <w:rsid w:val="00BA01D4"/>
    <w:rsid w:val="00BA020F"/>
    <w:rsid w:val="00BA02BA"/>
    <w:rsid w:val="00BA02DE"/>
    <w:rsid w:val="00BA0336"/>
    <w:rsid w:val="00BA033E"/>
    <w:rsid w:val="00BA056E"/>
    <w:rsid w:val="00BA0676"/>
    <w:rsid w:val="00BA071C"/>
    <w:rsid w:val="00BA096F"/>
    <w:rsid w:val="00BA0992"/>
    <w:rsid w:val="00BA0B04"/>
    <w:rsid w:val="00BA0B87"/>
    <w:rsid w:val="00BA0C3B"/>
    <w:rsid w:val="00BA0E25"/>
    <w:rsid w:val="00BA0E30"/>
    <w:rsid w:val="00BA0E63"/>
    <w:rsid w:val="00BA0EC8"/>
    <w:rsid w:val="00BA0F99"/>
    <w:rsid w:val="00BA0FA2"/>
    <w:rsid w:val="00BA0FAA"/>
    <w:rsid w:val="00BA1030"/>
    <w:rsid w:val="00BA1035"/>
    <w:rsid w:val="00BA1038"/>
    <w:rsid w:val="00BA114C"/>
    <w:rsid w:val="00BA121D"/>
    <w:rsid w:val="00BA1273"/>
    <w:rsid w:val="00BA12D7"/>
    <w:rsid w:val="00BA144C"/>
    <w:rsid w:val="00BA1476"/>
    <w:rsid w:val="00BA1494"/>
    <w:rsid w:val="00BA14A6"/>
    <w:rsid w:val="00BA1527"/>
    <w:rsid w:val="00BA15F5"/>
    <w:rsid w:val="00BA1687"/>
    <w:rsid w:val="00BA16AA"/>
    <w:rsid w:val="00BA1761"/>
    <w:rsid w:val="00BA1769"/>
    <w:rsid w:val="00BA1783"/>
    <w:rsid w:val="00BA1864"/>
    <w:rsid w:val="00BA189C"/>
    <w:rsid w:val="00BA192F"/>
    <w:rsid w:val="00BA1A35"/>
    <w:rsid w:val="00BA1A3F"/>
    <w:rsid w:val="00BA1A46"/>
    <w:rsid w:val="00BA1AE5"/>
    <w:rsid w:val="00BA1B78"/>
    <w:rsid w:val="00BA1C2E"/>
    <w:rsid w:val="00BA1D22"/>
    <w:rsid w:val="00BA1D45"/>
    <w:rsid w:val="00BA1DCC"/>
    <w:rsid w:val="00BA1DE6"/>
    <w:rsid w:val="00BA1DED"/>
    <w:rsid w:val="00BA1E0A"/>
    <w:rsid w:val="00BA1F35"/>
    <w:rsid w:val="00BA1F45"/>
    <w:rsid w:val="00BA20B1"/>
    <w:rsid w:val="00BA21DC"/>
    <w:rsid w:val="00BA21FC"/>
    <w:rsid w:val="00BA2236"/>
    <w:rsid w:val="00BA22A8"/>
    <w:rsid w:val="00BA23A8"/>
    <w:rsid w:val="00BA2569"/>
    <w:rsid w:val="00BA27E6"/>
    <w:rsid w:val="00BA2862"/>
    <w:rsid w:val="00BA28EE"/>
    <w:rsid w:val="00BA29A2"/>
    <w:rsid w:val="00BA29D6"/>
    <w:rsid w:val="00BA2A1A"/>
    <w:rsid w:val="00BA2A6D"/>
    <w:rsid w:val="00BA2A88"/>
    <w:rsid w:val="00BA2B5D"/>
    <w:rsid w:val="00BA2C8A"/>
    <w:rsid w:val="00BA2EEB"/>
    <w:rsid w:val="00BA2F14"/>
    <w:rsid w:val="00BA2F73"/>
    <w:rsid w:val="00BA30F1"/>
    <w:rsid w:val="00BA30F4"/>
    <w:rsid w:val="00BA31EA"/>
    <w:rsid w:val="00BA3207"/>
    <w:rsid w:val="00BA3225"/>
    <w:rsid w:val="00BA3333"/>
    <w:rsid w:val="00BA3375"/>
    <w:rsid w:val="00BA33AD"/>
    <w:rsid w:val="00BA3415"/>
    <w:rsid w:val="00BA3709"/>
    <w:rsid w:val="00BA37BD"/>
    <w:rsid w:val="00BA38A4"/>
    <w:rsid w:val="00BA38A6"/>
    <w:rsid w:val="00BA3976"/>
    <w:rsid w:val="00BA3A0F"/>
    <w:rsid w:val="00BA3A5D"/>
    <w:rsid w:val="00BA3C1D"/>
    <w:rsid w:val="00BA3C78"/>
    <w:rsid w:val="00BA3CAC"/>
    <w:rsid w:val="00BA3DD8"/>
    <w:rsid w:val="00BA3FDD"/>
    <w:rsid w:val="00BA40E4"/>
    <w:rsid w:val="00BA4190"/>
    <w:rsid w:val="00BA41FC"/>
    <w:rsid w:val="00BA4375"/>
    <w:rsid w:val="00BA4392"/>
    <w:rsid w:val="00BA4495"/>
    <w:rsid w:val="00BA44E3"/>
    <w:rsid w:val="00BA4504"/>
    <w:rsid w:val="00BA466B"/>
    <w:rsid w:val="00BA477B"/>
    <w:rsid w:val="00BA47BD"/>
    <w:rsid w:val="00BA47ED"/>
    <w:rsid w:val="00BA484C"/>
    <w:rsid w:val="00BA492D"/>
    <w:rsid w:val="00BA496A"/>
    <w:rsid w:val="00BA496F"/>
    <w:rsid w:val="00BA49FF"/>
    <w:rsid w:val="00BA4AFD"/>
    <w:rsid w:val="00BA4B1E"/>
    <w:rsid w:val="00BA4CBF"/>
    <w:rsid w:val="00BA4DB2"/>
    <w:rsid w:val="00BA4DC7"/>
    <w:rsid w:val="00BA4E0D"/>
    <w:rsid w:val="00BA4EBD"/>
    <w:rsid w:val="00BA4F3F"/>
    <w:rsid w:val="00BA4F71"/>
    <w:rsid w:val="00BA4F74"/>
    <w:rsid w:val="00BA503D"/>
    <w:rsid w:val="00BA516E"/>
    <w:rsid w:val="00BA5245"/>
    <w:rsid w:val="00BA5290"/>
    <w:rsid w:val="00BA52AB"/>
    <w:rsid w:val="00BA52CF"/>
    <w:rsid w:val="00BA52D9"/>
    <w:rsid w:val="00BA54A9"/>
    <w:rsid w:val="00BA54B9"/>
    <w:rsid w:val="00BA55EB"/>
    <w:rsid w:val="00BA565B"/>
    <w:rsid w:val="00BA5664"/>
    <w:rsid w:val="00BA57CA"/>
    <w:rsid w:val="00BA58F1"/>
    <w:rsid w:val="00BA5AA5"/>
    <w:rsid w:val="00BA5AE0"/>
    <w:rsid w:val="00BA5B6F"/>
    <w:rsid w:val="00BA5C38"/>
    <w:rsid w:val="00BA5C5C"/>
    <w:rsid w:val="00BA5D2C"/>
    <w:rsid w:val="00BA5D2E"/>
    <w:rsid w:val="00BA5EAD"/>
    <w:rsid w:val="00BA5F9F"/>
    <w:rsid w:val="00BA605C"/>
    <w:rsid w:val="00BA60AA"/>
    <w:rsid w:val="00BA60E2"/>
    <w:rsid w:val="00BA615F"/>
    <w:rsid w:val="00BA61C8"/>
    <w:rsid w:val="00BA62D0"/>
    <w:rsid w:val="00BA62DD"/>
    <w:rsid w:val="00BA63B4"/>
    <w:rsid w:val="00BA6626"/>
    <w:rsid w:val="00BA662B"/>
    <w:rsid w:val="00BA6634"/>
    <w:rsid w:val="00BA690D"/>
    <w:rsid w:val="00BA69A9"/>
    <w:rsid w:val="00BA6AFE"/>
    <w:rsid w:val="00BA6BB6"/>
    <w:rsid w:val="00BA6BE2"/>
    <w:rsid w:val="00BA6CD6"/>
    <w:rsid w:val="00BA6DD4"/>
    <w:rsid w:val="00BA6E52"/>
    <w:rsid w:val="00BA6F0B"/>
    <w:rsid w:val="00BA6F79"/>
    <w:rsid w:val="00BA708F"/>
    <w:rsid w:val="00BA70E8"/>
    <w:rsid w:val="00BA71AC"/>
    <w:rsid w:val="00BA73AB"/>
    <w:rsid w:val="00BA74E7"/>
    <w:rsid w:val="00BA7587"/>
    <w:rsid w:val="00BA75EF"/>
    <w:rsid w:val="00BA7615"/>
    <w:rsid w:val="00BA762D"/>
    <w:rsid w:val="00BA7698"/>
    <w:rsid w:val="00BA7762"/>
    <w:rsid w:val="00BA77A6"/>
    <w:rsid w:val="00BA77AA"/>
    <w:rsid w:val="00BA7A40"/>
    <w:rsid w:val="00BA7C4C"/>
    <w:rsid w:val="00BA7D42"/>
    <w:rsid w:val="00BA7D73"/>
    <w:rsid w:val="00BA7D77"/>
    <w:rsid w:val="00BA7D80"/>
    <w:rsid w:val="00BA7DC3"/>
    <w:rsid w:val="00BA7DC6"/>
    <w:rsid w:val="00BA7EF8"/>
    <w:rsid w:val="00BA7F3C"/>
    <w:rsid w:val="00BB005C"/>
    <w:rsid w:val="00BB013E"/>
    <w:rsid w:val="00BB01FF"/>
    <w:rsid w:val="00BB0280"/>
    <w:rsid w:val="00BB0286"/>
    <w:rsid w:val="00BB02B8"/>
    <w:rsid w:val="00BB02DA"/>
    <w:rsid w:val="00BB032C"/>
    <w:rsid w:val="00BB03B4"/>
    <w:rsid w:val="00BB03B9"/>
    <w:rsid w:val="00BB03D0"/>
    <w:rsid w:val="00BB03E6"/>
    <w:rsid w:val="00BB03EF"/>
    <w:rsid w:val="00BB0415"/>
    <w:rsid w:val="00BB0422"/>
    <w:rsid w:val="00BB05B7"/>
    <w:rsid w:val="00BB0735"/>
    <w:rsid w:val="00BB07A2"/>
    <w:rsid w:val="00BB07B6"/>
    <w:rsid w:val="00BB0851"/>
    <w:rsid w:val="00BB0892"/>
    <w:rsid w:val="00BB0893"/>
    <w:rsid w:val="00BB08E4"/>
    <w:rsid w:val="00BB0AA0"/>
    <w:rsid w:val="00BB0AED"/>
    <w:rsid w:val="00BB0C4E"/>
    <w:rsid w:val="00BB0D1A"/>
    <w:rsid w:val="00BB0D92"/>
    <w:rsid w:val="00BB0F04"/>
    <w:rsid w:val="00BB0F1B"/>
    <w:rsid w:val="00BB0F36"/>
    <w:rsid w:val="00BB10C5"/>
    <w:rsid w:val="00BB11C5"/>
    <w:rsid w:val="00BB126A"/>
    <w:rsid w:val="00BB12A5"/>
    <w:rsid w:val="00BB130D"/>
    <w:rsid w:val="00BB1358"/>
    <w:rsid w:val="00BB14B7"/>
    <w:rsid w:val="00BB1706"/>
    <w:rsid w:val="00BB17E5"/>
    <w:rsid w:val="00BB1854"/>
    <w:rsid w:val="00BB18D7"/>
    <w:rsid w:val="00BB196B"/>
    <w:rsid w:val="00BB1A3D"/>
    <w:rsid w:val="00BB1AAC"/>
    <w:rsid w:val="00BB1B15"/>
    <w:rsid w:val="00BB1B9F"/>
    <w:rsid w:val="00BB1C1A"/>
    <w:rsid w:val="00BB1C6F"/>
    <w:rsid w:val="00BB1CB4"/>
    <w:rsid w:val="00BB1CEF"/>
    <w:rsid w:val="00BB1D60"/>
    <w:rsid w:val="00BB1F08"/>
    <w:rsid w:val="00BB1F74"/>
    <w:rsid w:val="00BB1F82"/>
    <w:rsid w:val="00BB2003"/>
    <w:rsid w:val="00BB2192"/>
    <w:rsid w:val="00BB22E6"/>
    <w:rsid w:val="00BB2302"/>
    <w:rsid w:val="00BB23AA"/>
    <w:rsid w:val="00BB23F0"/>
    <w:rsid w:val="00BB2533"/>
    <w:rsid w:val="00BB2665"/>
    <w:rsid w:val="00BB26CB"/>
    <w:rsid w:val="00BB26FD"/>
    <w:rsid w:val="00BB2728"/>
    <w:rsid w:val="00BB2780"/>
    <w:rsid w:val="00BB27C3"/>
    <w:rsid w:val="00BB27C7"/>
    <w:rsid w:val="00BB28E7"/>
    <w:rsid w:val="00BB2905"/>
    <w:rsid w:val="00BB2A3A"/>
    <w:rsid w:val="00BB2CA7"/>
    <w:rsid w:val="00BB2D9F"/>
    <w:rsid w:val="00BB2DC1"/>
    <w:rsid w:val="00BB2F99"/>
    <w:rsid w:val="00BB2F9D"/>
    <w:rsid w:val="00BB3017"/>
    <w:rsid w:val="00BB3025"/>
    <w:rsid w:val="00BB3034"/>
    <w:rsid w:val="00BB3049"/>
    <w:rsid w:val="00BB324A"/>
    <w:rsid w:val="00BB3460"/>
    <w:rsid w:val="00BB361C"/>
    <w:rsid w:val="00BB379B"/>
    <w:rsid w:val="00BB3904"/>
    <w:rsid w:val="00BB3944"/>
    <w:rsid w:val="00BB3ABC"/>
    <w:rsid w:val="00BB3AC5"/>
    <w:rsid w:val="00BB3B0C"/>
    <w:rsid w:val="00BB3B1A"/>
    <w:rsid w:val="00BB3B23"/>
    <w:rsid w:val="00BB3BB0"/>
    <w:rsid w:val="00BB3BBA"/>
    <w:rsid w:val="00BB3BFE"/>
    <w:rsid w:val="00BB3C05"/>
    <w:rsid w:val="00BB3C87"/>
    <w:rsid w:val="00BB3DA8"/>
    <w:rsid w:val="00BB3E2E"/>
    <w:rsid w:val="00BB3E71"/>
    <w:rsid w:val="00BB3EC3"/>
    <w:rsid w:val="00BB3FB8"/>
    <w:rsid w:val="00BB3FFD"/>
    <w:rsid w:val="00BB4012"/>
    <w:rsid w:val="00BB4037"/>
    <w:rsid w:val="00BB4095"/>
    <w:rsid w:val="00BB4156"/>
    <w:rsid w:val="00BB41AB"/>
    <w:rsid w:val="00BB41F9"/>
    <w:rsid w:val="00BB4218"/>
    <w:rsid w:val="00BB42C7"/>
    <w:rsid w:val="00BB439D"/>
    <w:rsid w:val="00BB43AC"/>
    <w:rsid w:val="00BB4428"/>
    <w:rsid w:val="00BB4443"/>
    <w:rsid w:val="00BB44D0"/>
    <w:rsid w:val="00BB45A5"/>
    <w:rsid w:val="00BB4635"/>
    <w:rsid w:val="00BB4644"/>
    <w:rsid w:val="00BB467B"/>
    <w:rsid w:val="00BB4850"/>
    <w:rsid w:val="00BB487E"/>
    <w:rsid w:val="00BB4923"/>
    <w:rsid w:val="00BB493F"/>
    <w:rsid w:val="00BB4970"/>
    <w:rsid w:val="00BB497F"/>
    <w:rsid w:val="00BB4BDC"/>
    <w:rsid w:val="00BB4C21"/>
    <w:rsid w:val="00BB4C3F"/>
    <w:rsid w:val="00BB4C84"/>
    <w:rsid w:val="00BB4DD7"/>
    <w:rsid w:val="00BB4DF8"/>
    <w:rsid w:val="00BB50A7"/>
    <w:rsid w:val="00BB50C3"/>
    <w:rsid w:val="00BB5147"/>
    <w:rsid w:val="00BB51CC"/>
    <w:rsid w:val="00BB52B5"/>
    <w:rsid w:val="00BB5352"/>
    <w:rsid w:val="00BB54BA"/>
    <w:rsid w:val="00BB552C"/>
    <w:rsid w:val="00BB556B"/>
    <w:rsid w:val="00BB55B2"/>
    <w:rsid w:val="00BB5666"/>
    <w:rsid w:val="00BB5945"/>
    <w:rsid w:val="00BB59E7"/>
    <w:rsid w:val="00BB5A92"/>
    <w:rsid w:val="00BB5C7E"/>
    <w:rsid w:val="00BB5D79"/>
    <w:rsid w:val="00BB5DDE"/>
    <w:rsid w:val="00BB5E22"/>
    <w:rsid w:val="00BB5FEE"/>
    <w:rsid w:val="00BB5FF6"/>
    <w:rsid w:val="00BB625E"/>
    <w:rsid w:val="00BB6310"/>
    <w:rsid w:val="00BB6329"/>
    <w:rsid w:val="00BB638E"/>
    <w:rsid w:val="00BB6434"/>
    <w:rsid w:val="00BB666A"/>
    <w:rsid w:val="00BB66A1"/>
    <w:rsid w:val="00BB67E3"/>
    <w:rsid w:val="00BB6816"/>
    <w:rsid w:val="00BB6A0C"/>
    <w:rsid w:val="00BB6A2A"/>
    <w:rsid w:val="00BB6B49"/>
    <w:rsid w:val="00BB6B98"/>
    <w:rsid w:val="00BB6C00"/>
    <w:rsid w:val="00BB6CBD"/>
    <w:rsid w:val="00BB6D32"/>
    <w:rsid w:val="00BB6F8C"/>
    <w:rsid w:val="00BB7097"/>
    <w:rsid w:val="00BB70FD"/>
    <w:rsid w:val="00BB7181"/>
    <w:rsid w:val="00BB719C"/>
    <w:rsid w:val="00BB72A3"/>
    <w:rsid w:val="00BB72E4"/>
    <w:rsid w:val="00BB7379"/>
    <w:rsid w:val="00BB7422"/>
    <w:rsid w:val="00BB7479"/>
    <w:rsid w:val="00BB75CE"/>
    <w:rsid w:val="00BB7688"/>
    <w:rsid w:val="00BB76CE"/>
    <w:rsid w:val="00BB776F"/>
    <w:rsid w:val="00BB77E0"/>
    <w:rsid w:val="00BB7868"/>
    <w:rsid w:val="00BB7A6D"/>
    <w:rsid w:val="00BB7C1E"/>
    <w:rsid w:val="00BB7C44"/>
    <w:rsid w:val="00BB7D1A"/>
    <w:rsid w:val="00BB7DF1"/>
    <w:rsid w:val="00BB7E90"/>
    <w:rsid w:val="00BB7F01"/>
    <w:rsid w:val="00BB7FB8"/>
    <w:rsid w:val="00BC017A"/>
    <w:rsid w:val="00BC0197"/>
    <w:rsid w:val="00BC0243"/>
    <w:rsid w:val="00BC02AE"/>
    <w:rsid w:val="00BC0331"/>
    <w:rsid w:val="00BC0417"/>
    <w:rsid w:val="00BC0452"/>
    <w:rsid w:val="00BC049F"/>
    <w:rsid w:val="00BC0552"/>
    <w:rsid w:val="00BC069B"/>
    <w:rsid w:val="00BC0733"/>
    <w:rsid w:val="00BC0901"/>
    <w:rsid w:val="00BC094C"/>
    <w:rsid w:val="00BC09E2"/>
    <w:rsid w:val="00BC0A1F"/>
    <w:rsid w:val="00BC0A23"/>
    <w:rsid w:val="00BC0A3B"/>
    <w:rsid w:val="00BC0A90"/>
    <w:rsid w:val="00BC0B36"/>
    <w:rsid w:val="00BC0C14"/>
    <w:rsid w:val="00BC0C23"/>
    <w:rsid w:val="00BC0C2B"/>
    <w:rsid w:val="00BC0C68"/>
    <w:rsid w:val="00BC0CD1"/>
    <w:rsid w:val="00BC0D30"/>
    <w:rsid w:val="00BC0DFD"/>
    <w:rsid w:val="00BC0EC1"/>
    <w:rsid w:val="00BC0F1B"/>
    <w:rsid w:val="00BC0F24"/>
    <w:rsid w:val="00BC107D"/>
    <w:rsid w:val="00BC10AA"/>
    <w:rsid w:val="00BC1149"/>
    <w:rsid w:val="00BC11B1"/>
    <w:rsid w:val="00BC11EE"/>
    <w:rsid w:val="00BC11EF"/>
    <w:rsid w:val="00BC127A"/>
    <w:rsid w:val="00BC1280"/>
    <w:rsid w:val="00BC135F"/>
    <w:rsid w:val="00BC13F9"/>
    <w:rsid w:val="00BC1411"/>
    <w:rsid w:val="00BC144E"/>
    <w:rsid w:val="00BC14AF"/>
    <w:rsid w:val="00BC152D"/>
    <w:rsid w:val="00BC15C0"/>
    <w:rsid w:val="00BC16F8"/>
    <w:rsid w:val="00BC17A1"/>
    <w:rsid w:val="00BC19C1"/>
    <w:rsid w:val="00BC1A17"/>
    <w:rsid w:val="00BC1A6B"/>
    <w:rsid w:val="00BC1AD8"/>
    <w:rsid w:val="00BC1B0D"/>
    <w:rsid w:val="00BC1B2B"/>
    <w:rsid w:val="00BC1B54"/>
    <w:rsid w:val="00BC1B9C"/>
    <w:rsid w:val="00BC1BC1"/>
    <w:rsid w:val="00BC1BE8"/>
    <w:rsid w:val="00BC1BFA"/>
    <w:rsid w:val="00BC1D08"/>
    <w:rsid w:val="00BC1DAD"/>
    <w:rsid w:val="00BC1F48"/>
    <w:rsid w:val="00BC1F6D"/>
    <w:rsid w:val="00BC204F"/>
    <w:rsid w:val="00BC212E"/>
    <w:rsid w:val="00BC223F"/>
    <w:rsid w:val="00BC227B"/>
    <w:rsid w:val="00BC2381"/>
    <w:rsid w:val="00BC23A7"/>
    <w:rsid w:val="00BC23C2"/>
    <w:rsid w:val="00BC23D5"/>
    <w:rsid w:val="00BC2515"/>
    <w:rsid w:val="00BC2527"/>
    <w:rsid w:val="00BC2580"/>
    <w:rsid w:val="00BC25D6"/>
    <w:rsid w:val="00BC2694"/>
    <w:rsid w:val="00BC269B"/>
    <w:rsid w:val="00BC26BF"/>
    <w:rsid w:val="00BC276E"/>
    <w:rsid w:val="00BC27C0"/>
    <w:rsid w:val="00BC28CD"/>
    <w:rsid w:val="00BC2939"/>
    <w:rsid w:val="00BC2973"/>
    <w:rsid w:val="00BC29B7"/>
    <w:rsid w:val="00BC29CF"/>
    <w:rsid w:val="00BC2A29"/>
    <w:rsid w:val="00BC2C7C"/>
    <w:rsid w:val="00BC2CAC"/>
    <w:rsid w:val="00BC2DBA"/>
    <w:rsid w:val="00BC2DD1"/>
    <w:rsid w:val="00BC2E39"/>
    <w:rsid w:val="00BC2E57"/>
    <w:rsid w:val="00BC2E86"/>
    <w:rsid w:val="00BC2FAE"/>
    <w:rsid w:val="00BC30F9"/>
    <w:rsid w:val="00BC316C"/>
    <w:rsid w:val="00BC3209"/>
    <w:rsid w:val="00BC33D4"/>
    <w:rsid w:val="00BC3512"/>
    <w:rsid w:val="00BC3558"/>
    <w:rsid w:val="00BC355C"/>
    <w:rsid w:val="00BC35D8"/>
    <w:rsid w:val="00BC3699"/>
    <w:rsid w:val="00BC37E4"/>
    <w:rsid w:val="00BC3813"/>
    <w:rsid w:val="00BC3882"/>
    <w:rsid w:val="00BC38E7"/>
    <w:rsid w:val="00BC38E9"/>
    <w:rsid w:val="00BC390D"/>
    <w:rsid w:val="00BC398A"/>
    <w:rsid w:val="00BC39BA"/>
    <w:rsid w:val="00BC3ACB"/>
    <w:rsid w:val="00BC3D0C"/>
    <w:rsid w:val="00BC3D6A"/>
    <w:rsid w:val="00BC3D75"/>
    <w:rsid w:val="00BC3E1B"/>
    <w:rsid w:val="00BC3EBD"/>
    <w:rsid w:val="00BC3F48"/>
    <w:rsid w:val="00BC4114"/>
    <w:rsid w:val="00BC41B4"/>
    <w:rsid w:val="00BC4204"/>
    <w:rsid w:val="00BC427A"/>
    <w:rsid w:val="00BC42C5"/>
    <w:rsid w:val="00BC43A9"/>
    <w:rsid w:val="00BC442E"/>
    <w:rsid w:val="00BC445E"/>
    <w:rsid w:val="00BC44D5"/>
    <w:rsid w:val="00BC4576"/>
    <w:rsid w:val="00BC45A8"/>
    <w:rsid w:val="00BC45D5"/>
    <w:rsid w:val="00BC465F"/>
    <w:rsid w:val="00BC4767"/>
    <w:rsid w:val="00BC47AC"/>
    <w:rsid w:val="00BC4813"/>
    <w:rsid w:val="00BC486B"/>
    <w:rsid w:val="00BC48AB"/>
    <w:rsid w:val="00BC49AC"/>
    <w:rsid w:val="00BC4B3F"/>
    <w:rsid w:val="00BC4DE0"/>
    <w:rsid w:val="00BC4DED"/>
    <w:rsid w:val="00BC4E9B"/>
    <w:rsid w:val="00BC4F2B"/>
    <w:rsid w:val="00BC4FF1"/>
    <w:rsid w:val="00BC5018"/>
    <w:rsid w:val="00BC5048"/>
    <w:rsid w:val="00BC509A"/>
    <w:rsid w:val="00BC50A2"/>
    <w:rsid w:val="00BC50D7"/>
    <w:rsid w:val="00BC522F"/>
    <w:rsid w:val="00BC5277"/>
    <w:rsid w:val="00BC53B2"/>
    <w:rsid w:val="00BC5454"/>
    <w:rsid w:val="00BC554F"/>
    <w:rsid w:val="00BC560E"/>
    <w:rsid w:val="00BC561F"/>
    <w:rsid w:val="00BC5734"/>
    <w:rsid w:val="00BC5869"/>
    <w:rsid w:val="00BC5928"/>
    <w:rsid w:val="00BC59B3"/>
    <w:rsid w:val="00BC59F5"/>
    <w:rsid w:val="00BC5A77"/>
    <w:rsid w:val="00BC5AE7"/>
    <w:rsid w:val="00BC5BA4"/>
    <w:rsid w:val="00BC5C10"/>
    <w:rsid w:val="00BC5C33"/>
    <w:rsid w:val="00BC5CDD"/>
    <w:rsid w:val="00BC5D59"/>
    <w:rsid w:val="00BC5EDE"/>
    <w:rsid w:val="00BC5EF3"/>
    <w:rsid w:val="00BC5F16"/>
    <w:rsid w:val="00BC605C"/>
    <w:rsid w:val="00BC60CA"/>
    <w:rsid w:val="00BC6291"/>
    <w:rsid w:val="00BC63B1"/>
    <w:rsid w:val="00BC63F9"/>
    <w:rsid w:val="00BC642C"/>
    <w:rsid w:val="00BC64AF"/>
    <w:rsid w:val="00BC651A"/>
    <w:rsid w:val="00BC6520"/>
    <w:rsid w:val="00BC6587"/>
    <w:rsid w:val="00BC65F4"/>
    <w:rsid w:val="00BC6864"/>
    <w:rsid w:val="00BC696E"/>
    <w:rsid w:val="00BC6985"/>
    <w:rsid w:val="00BC69D6"/>
    <w:rsid w:val="00BC69F3"/>
    <w:rsid w:val="00BC6A20"/>
    <w:rsid w:val="00BC6ABE"/>
    <w:rsid w:val="00BC6B56"/>
    <w:rsid w:val="00BC6B6F"/>
    <w:rsid w:val="00BC6CC2"/>
    <w:rsid w:val="00BC6D38"/>
    <w:rsid w:val="00BC6D57"/>
    <w:rsid w:val="00BC6D5A"/>
    <w:rsid w:val="00BC6DD4"/>
    <w:rsid w:val="00BC6E01"/>
    <w:rsid w:val="00BC6EB8"/>
    <w:rsid w:val="00BC6F72"/>
    <w:rsid w:val="00BC6F8D"/>
    <w:rsid w:val="00BC701B"/>
    <w:rsid w:val="00BC7054"/>
    <w:rsid w:val="00BC7091"/>
    <w:rsid w:val="00BC70EF"/>
    <w:rsid w:val="00BC71CB"/>
    <w:rsid w:val="00BC71E8"/>
    <w:rsid w:val="00BC72B9"/>
    <w:rsid w:val="00BC72C9"/>
    <w:rsid w:val="00BC731B"/>
    <w:rsid w:val="00BC73C4"/>
    <w:rsid w:val="00BC73F2"/>
    <w:rsid w:val="00BC7424"/>
    <w:rsid w:val="00BC748C"/>
    <w:rsid w:val="00BC75C3"/>
    <w:rsid w:val="00BC75CE"/>
    <w:rsid w:val="00BC75D3"/>
    <w:rsid w:val="00BC7636"/>
    <w:rsid w:val="00BC772A"/>
    <w:rsid w:val="00BC773E"/>
    <w:rsid w:val="00BC7768"/>
    <w:rsid w:val="00BC77BB"/>
    <w:rsid w:val="00BC77D2"/>
    <w:rsid w:val="00BC7817"/>
    <w:rsid w:val="00BC782C"/>
    <w:rsid w:val="00BC794A"/>
    <w:rsid w:val="00BC7982"/>
    <w:rsid w:val="00BC7ABA"/>
    <w:rsid w:val="00BC7B37"/>
    <w:rsid w:val="00BC7B98"/>
    <w:rsid w:val="00BC7D03"/>
    <w:rsid w:val="00BC7D2F"/>
    <w:rsid w:val="00BC7EBE"/>
    <w:rsid w:val="00BC7EE9"/>
    <w:rsid w:val="00BC7F42"/>
    <w:rsid w:val="00BC7F74"/>
    <w:rsid w:val="00BC7F7B"/>
    <w:rsid w:val="00BC7FC8"/>
    <w:rsid w:val="00BD003C"/>
    <w:rsid w:val="00BD0047"/>
    <w:rsid w:val="00BD00CB"/>
    <w:rsid w:val="00BD0137"/>
    <w:rsid w:val="00BD0216"/>
    <w:rsid w:val="00BD02A2"/>
    <w:rsid w:val="00BD04C3"/>
    <w:rsid w:val="00BD04E1"/>
    <w:rsid w:val="00BD06E5"/>
    <w:rsid w:val="00BD078E"/>
    <w:rsid w:val="00BD07D6"/>
    <w:rsid w:val="00BD08A0"/>
    <w:rsid w:val="00BD08FC"/>
    <w:rsid w:val="00BD0AF0"/>
    <w:rsid w:val="00BD0CC9"/>
    <w:rsid w:val="00BD0D2E"/>
    <w:rsid w:val="00BD0F6A"/>
    <w:rsid w:val="00BD0FBB"/>
    <w:rsid w:val="00BD0FE7"/>
    <w:rsid w:val="00BD1028"/>
    <w:rsid w:val="00BD1103"/>
    <w:rsid w:val="00BD11E5"/>
    <w:rsid w:val="00BD1255"/>
    <w:rsid w:val="00BD12D4"/>
    <w:rsid w:val="00BD13D3"/>
    <w:rsid w:val="00BD13FC"/>
    <w:rsid w:val="00BD1493"/>
    <w:rsid w:val="00BD14B7"/>
    <w:rsid w:val="00BD1586"/>
    <w:rsid w:val="00BD1780"/>
    <w:rsid w:val="00BD18C3"/>
    <w:rsid w:val="00BD1A32"/>
    <w:rsid w:val="00BD1A84"/>
    <w:rsid w:val="00BD1AA7"/>
    <w:rsid w:val="00BD1ABA"/>
    <w:rsid w:val="00BD1C01"/>
    <w:rsid w:val="00BD1C56"/>
    <w:rsid w:val="00BD1D0D"/>
    <w:rsid w:val="00BD1D22"/>
    <w:rsid w:val="00BD1D4C"/>
    <w:rsid w:val="00BD1D79"/>
    <w:rsid w:val="00BD1DB7"/>
    <w:rsid w:val="00BD1DF9"/>
    <w:rsid w:val="00BD1F6D"/>
    <w:rsid w:val="00BD2192"/>
    <w:rsid w:val="00BD21E2"/>
    <w:rsid w:val="00BD22CD"/>
    <w:rsid w:val="00BD23AE"/>
    <w:rsid w:val="00BD2576"/>
    <w:rsid w:val="00BD25A9"/>
    <w:rsid w:val="00BD25AA"/>
    <w:rsid w:val="00BD270A"/>
    <w:rsid w:val="00BD27D1"/>
    <w:rsid w:val="00BD27FC"/>
    <w:rsid w:val="00BD2B0C"/>
    <w:rsid w:val="00BD2B59"/>
    <w:rsid w:val="00BD2B5F"/>
    <w:rsid w:val="00BD2BA1"/>
    <w:rsid w:val="00BD2C7B"/>
    <w:rsid w:val="00BD2CAF"/>
    <w:rsid w:val="00BD2D50"/>
    <w:rsid w:val="00BD2D62"/>
    <w:rsid w:val="00BD2DE1"/>
    <w:rsid w:val="00BD2DF8"/>
    <w:rsid w:val="00BD3053"/>
    <w:rsid w:val="00BD3061"/>
    <w:rsid w:val="00BD3136"/>
    <w:rsid w:val="00BD318A"/>
    <w:rsid w:val="00BD3300"/>
    <w:rsid w:val="00BD333F"/>
    <w:rsid w:val="00BD3360"/>
    <w:rsid w:val="00BD34A3"/>
    <w:rsid w:val="00BD34F7"/>
    <w:rsid w:val="00BD3711"/>
    <w:rsid w:val="00BD374B"/>
    <w:rsid w:val="00BD37C5"/>
    <w:rsid w:val="00BD3865"/>
    <w:rsid w:val="00BD3870"/>
    <w:rsid w:val="00BD3ACF"/>
    <w:rsid w:val="00BD3B8C"/>
    <w:rsid w:val="00BD3C22"/>
    <w:rsid w:val="00BD3C28"/>
    <w:rsid w:val="00BD3CE5"/>
    <w:rsid w:val="00BD3CF6"/>
    <w:rsid w:val="00BD3D3F"/>
    <w:rsid w:val="00BD3D53"/>
    <w:rsid w:val="00BD3D57"/>
    <w:rsid w:val="00BD3E6F"/>
    <w:rsid w:val="00BD4065"/>
    <w:rsid w:val="00BD4069"/>
    <w:rsid w:val="00BD40C7"/>
    <w:rsid w:val="00BD40DC"/>
    <w:rsid w:val="00BD4216"/>
    <w:rsid w:val="00BD4438"/>
    <w:rsid w:val="00BD464B"/>
    <w:rsid w:val="00BD46D7"/>
    <w:rsid w:val="00BD48CA"/>
    <w:rsid w:val="00BD4A97"/>
    <w:rsid w:val="00BD4BFC"/>
    <w:rsid w:val="00BD4D99"/>
    <w:rsid w:val="00BD4E76"/>
    <w:rsid w:val="00BD4E88"/>
    <w:rsid w:val="00BD4FC5"/>
    <w:rsid w:val="00BD5006"/>
    <w:rsid w:val="00BD5189"/>
    <w:rsid w:val="00BD51B4"/>
    <w:rsid w:val="00BD5321"/>
    <w:rsid w:val="00BD55B0"/>
    <w:rsid w:val="00BD5604"/>
    <w:rsid w:val="00BD5707"/>
    <w:rsid w:val="00BD57D7"/>
    <w:rsid w:val="00BD57F3"/>
    <w:rsid w:val="00BD583D"/>
    <w:rsid w:val="00BD59D2"/>
    <w:rsid w:val="00BD5A40"/>
    <w:rsid w:val="00BD5A75"/>
    <w:rsid w:val="00BD5AA8"/>
    <w:rsid w:val="00BD5C84"/>
    <w:rsid w:val="00BD5CE3"/>
    <w:rsid w:val="00BD5DC4"/>
    <w:rsid w:val="00BD6104"/>
    <w:rsid w:val="00BD61FC"/>
    <w:rsid w:val="00BD62D2"/>
    <w:rsid w:val="00BD63F0"/>
    <w:rsid w:val="00BD6466"/>
    <w:rsid w:val="00BD651D"/>
    <w:rsid w:val="00BD65F6"/>
    <w:rsid w:val="00BD6603"/>
    <w:rsid w:val="00BD672A"/>
    <w:rsid w:val="00BD6993"/>
    <w:rsid w:val="00BD69BD"/>
    <w:rsid w:val="00BD6AD2"/>
    <w:rsid w:val="00BD6B02"/>
    <w:rsid w:val="00BD6C85"/>
    <w:rsid w:val="00BD6CB6"/>
    <w:rsid w:val="00BD6CBF"/>
    <w:rsid w:val="00BD6CE8"/>
    <w:rsid w:val="00BD6E1D"/>
    <w:rsid w:val="00BD6E25"/>
    <w:rsid w:val="00BD6F06"/>
    <w:rsid w:val="00BD6F79"/>
    <w:rsid w:val="00BD7503"/>
    <w:rsid w:val="00BD751A"/>
    <w:rsid w:val="00BD7572"/>
    <w:rsid w:val="00BD76F7"/>
    <w:rsid w:val="00BD7706"/>
    <w:rsid w:val="00BD7768"/>
    <w:rsid w:val="00BD7869"/>
    <w:rsid w:val="00BD7870"/>
    <w:rsid w:val="00BD79AD"/>
    <w:rsid w:val="00BD7AB5"/>
    <w:rsid w:val="00BD7B1F"/>
    <w:rsid w:val="00BD7D4D"/>
    <w:rsid w:val="00BD7D7C"/>
    <w:rsid w:val="00BD7D8D"/>
    <w:rsid w:val="00BD7F0B"/>
    <w:rsid w:val="00BD7FE6"/>
    <w:rsid w:val="00BE009E"/>
    <w:rsid w:val="00BE00CF"/>
    <w:rsid w:val="00BE01A4"/>
    <w:rsid w:val="00BE01B5"/>
    <w:rsid w:val="00BE01DA"/>
    <w:rsid w:val="00BE026B"/>
    <w:rsid w:val="00BE0404"/>
    <w:rsid w:val="00BE048C"/>
    <w:rsid w:val="00BE04FC"/>
    <w:rsid w:val="00BE0535"/>
    <w:rsid w:val="00BE0556"/>
    <w:rsid w:val="00BE08BC"/>
    <w:rsid w:val="00BE08C4"/>
    <w:rsid w:val="00BE0909"/>
    <w:rsid w:val="00BE09B1"/>
    <w:rsid w:val="00BE0B7B"/>
    <w:rsid w:val="00BE0C31"/>
    <w:rsid w:val="00BE0C34"/>
    <w:rsid w:val="00BE0D4D"/>
    <w:rsid w:val="00BE0D66"/>
    <w:rsid w:val="00BE0E0B"/>
    <w:rsid w:val="00BE0E10"/>
    <w:rsid w:val="00BE0E66"/>
    <w:rsid w:val="00BE0F32"/>
    <w:rsid w:val="00BE104E"/>
    <w:rsid w:val="00BE1109"/>
    <w:rsid w:val="00BE11A9"/>
    <w:rsid w:val="00BE124A"/>
    <w:rsid w:val="00BE14C6"/>
    <w:rsid w:val="00BE1562"/>
    <w:rsid w:val="00BE15BF"/>
    <w:rsid w:val="00BE1659"/>
    <w:rsid w:val="00BE167B"/>
    <w:rsid w:val="00BE1680"/>
    <w:rsid w:val="00BE1698"/>
    <w:rsid w:val="00BE18A6"/>
    <w:rsid w:val="00BE1972"/>
    <w:rsid w:val="00BE1997"/>
    <w:rsid w:val="00BE19CA"/>
    <w:rsid w:val="00BE19D0"/>
    <w:rsid w:val="00BE1A9D"/>
    <w:rsid w:val="00BE1B99"/>
    <w:rsid w:val="00BE1C6C"/>
    <w:rsid w:val="00BE1C81"/>
    <w:rsid w:val="00BE1C8C"/>
    <w:rsid w:val="00BE1CD3"/>
    <w:rsid w:val="00BE1D67"/>
    <w:rsid w:val="00BE1E13"/>
    <w:rsid w:val="00BE1E6A"/>
    <w:rsid w:val="00BE1F7D"/>
    <w:rsid w:val="00BE204E"/>
    <w:rsid w:val="00BE2063"/>
    <w:rsid w:val="00BE208D"/>
    <w:rsid w:val="00BE2271"/>
    <w:rsid w:val="00BE2284"/>
    <w:rsid w:val="00BE22A1"/>
    <w:rsid w:val="00BE24CA"/>
    <w:rsid w:val="00BE258E"/>
    <w:rsid w:val="00BE25DB"/>
    <w:rsid w:val="00BE2606"/>
    <w:rsid w:val="00BE268B"/>
    <w:rsid w:val="00BE2877"/>
    <w:rsid w:val="00BE290A"/>
    <w:rsid w:val="00BE298A"/>
    <w:rsid w:val="00BE2A85"/>
    <w:rsid w:val="00BE2AA3"/>
    <w:rsid w:val="00BE2BEA"/>
    <w:rsid w:val="00BE2C54"/>
    <w:rsid w:val="00BE2CB5"/>
    <w:rsid w:val="00BE2CDD"/>
    <w:rsid w:val="00BE2D31"/>
    <w:rsid w:val="00BE2D39"/>
    <w:rsid w:val="00BE2E2C"/>
    <w:rsid w:val="00BE2F0D"/>
    <w:rsid w:val="00BE2FDF"/>
    <w:rsid w:val="00BE3046"/>
    <w:rsid w:val="00BE30D3"/>
    <w:rsid w:val="00BE31A5"/>
    <w:rsid w:val="00BE32BA"/>
    <w:rsid w:val="00BE32EB"/>
    <w:rsid w:val="00BE339E"/>
    <w:rsid w:val="00BE33C8"/>
    <w:rsid w:val="00BE33DC"/>
    <w:rsid w:val="00BE33EF"/>
    <w:rsid w:val="00BE34F6"/>
    <w:rsid w:val="00BE35DD"/>
    <w:rsid w:val="00BE3600"/>
    <w:rsid w:val="00BE3684"/>
    <w:rsid w:val="00BE372A"/>
    <w:rsid w:val="00BE37E2"/>
    <w:rsid w:val="00BE37F3"/>
    <w:rsid w:val="00BE3853"/>
    <w:rsid w:val="00BE3916"/>
    <w:rsid w:val="00BE3949"/>
    <w:rsid w:val="00BE3957"/>
    <w:rsid w:val="00BE3A13"/>
    <w:rsid w:val="00BE3A87"/>
    <w:rsid w:val="00BE3ABD"/>
    <w:rsid w:val="00BE3B07"/>
    <w:rsid w:val="00BE3B4C"/>
    <w:rsid w:val="00BE3C61"/>
    <w:rsid w:val="00BE3CEE"/>
    <w:rsid w:val="00BE3D51"/>
    <w:rsid w:val="00BE3D9E"/>
    <w:rsid w:val="00BE3ED8"/>
    <w:rsid w:val="00BE40CB"/>
    <w:rsid w:val="00BE40D0"/>
    <w:rsid w:val="00BE416D"/>
    <w:rsid w:val="00BE41B7"/>
    <w:rsid w:val="00BE4201"/>
    <w:rsid w:val="00BE4239"/>
    <w:rsid w:val="00BE4386"/>
    <w:rsid w:val="00BE440D"/>
    <w:rsid w:val="00BE485B"/>
    <w:rsid w:val="00BE4B98"/>
    <w:rsid w:val="00BE4B9D"/>
    <w:rsid w:val="00BE4BB7"/>
    <w:rsid w:val="00BE4CE4"/>
    <w:rsid w:val="00BE4DBD"/>
    <w:rsid w:val="00BE4E79"/>
    <w:rsid w:val="00BE4E8A"/>
    <w:rsid w:val="00BE4EEF"/>
    <w:rsid w:val="00BE4F6F"/>
    <w:rsid w:val="00BE4F87"/>
    <w:rsid w:val="00BE5146"/>
    <w:rsid w:val="00BE51E2"/>
    <w:rsid w:val="00BE531E"/>
    <w:rsid w:val="00BE5405"/>
    <w:rsid w:val="00BE5422"/>
    <w:rsid w:val="00BE5445"/>
    <w:rsid w:val="00BE5495"/>
    <w:rsid w:val="00BE5497"/>
    <w:rsid w:val="00BE562A"/>
    <w:rsid w:val="00BE570E"/>
    <w:rsid w:val="00BE57A9"/>
    <w:rsid w:val="00BE5913"/>
    <w:rsid w:val="00BE5935"/>
    <w:rsid w:val="00BE5977"/>
    <w:rsid w:val="00BE5C21"/>
    <w:rsid w:val="00BE5D67"/>
    <w:rsid w:val="00BE5DE5"/>
    <w:rsid w:val="00BE5E29"/>
    <w:rsid w:val="00BE5E32"/>
    <w:rsid w:val="00BE5E6B"/>
    <w:rsid w:val="00BE5EC2"/>
    <w:rsid w:val="00BE6013"/>
    <w:rsid w:val="00BE60AC"/>
    <w:rsid w:val="00BE6308"/>
    <w:rsid w:val="00BE6346"/>
    <w:rsid w:val="00BE6370"/>
    <w:rsid w:val="00BE63B0"/>
    <w:rsid w:val="00BE63EE"/>
    <w:rsid w:val="00BE6406"/>
    <w:rsid w:val="00BE640A"/>
    <w:rsid w:val="00BE6423"/>
    <w:rsid w:val="00BE6448"/>
    <w:rsid w:val="00BE6474"/>
    <w:rsid w:val="00BE65DD"/>
    <w:rsid w:val="00BE666E"/>
    <w:rsid w:val="00BE66EE"/>
    <w:rsid w:val="00BE6805"/>
    <w:rsid w:val="00BE6821"/>
    <w:rsid w:val="00BE6850"/>
    <w:rsid w:val="00BE6898"/>
    <w:rsid w:val="00BE6943"/>
    <w:rsid w:val="00BE6965"/>
    <w:rsid w:val="00BE69E1"/>
    <w:rsid w:val="00BE6ADD"/>
    <w:rsid w:val="00BE6BF4"/>
    <w:rsid w:val="00BE6CBA"/>
    <w:rsid w:val="00BE6CC6"/>
    <w:rsid w:val="00BE6E7F"/>
    <w:rsid w:val="00BE7044"/>
    <w:rsid w:val="00BE709B"/>
    <w:rsid w:val="00BE718D"/>
    <w:rsid w:val="00BE7290"/>
    <w:rsid w:val="00BE7335"/>
    <w:rsid w:val="00BE736F"/>
    <w:rsid w:val="00BE7377"/>
    <w:rsid w:val="00BE7422"/>
    <w:rsid w:val="00BE75A9"/>
    <w:rsid w:val="00BE7651"/>
    <w:rsid w:val="00BE76B5"/>
    <w:rsid w:val="00BE76CC"/>
    <w:rsid w:val="00BE79EA"/>
    <w:rsid w:val="00BE7B23"/>
    <w:rsid w:val="00BE7C13"/>
    <w:rsid w:val="00BE7CA6"/>
    <w:rsid w:val="00BE7E69"/>
    <w:rsid w:val="00BE7EA2"/>
    <w:rsid w:val="00BE7EC2"/>
    <w:rsid w:val="00BE7F2B"/>
    <w:rsid w:val="00BE7F43"/>
    <w:rsid w:val="00BE7F48"/>
    <w:rsid w:val="00BE7FC3"/>
    <w:rsid w:val="00BF004F"/>
    <w:rsid w:val="00BF00B5"/>
    <w:rsid w:val="00BF0133"/>
    <w:rsid w:val="00BF0184"/>
    <w:rsid w:val="00BF018C"/>
    <w:rsid w:val="00BF01C0"/>
    <w:rsid w:val="00BF020E"/>
    <w:rsid w:val="00BF0211"/>
    <w:rsid w:val="00BF02EE"/>
    <w:rsid w:val="00BF0350"/>
    <w:rsid w:val="00BF0498"/>
    <w:rsid w:val="00BF06BE"/>
    <w:rsid w:val="00BF0752"/>
    <w:rsid w:val="00BF07F1"/>
    <w:rsid w:val="00BF08D1"/>
    <w:rsid w:val="00BF090F"/>
    <w:rsid w:val="00BF0B0C"/>
    <w:rsid w:val="00BF0B5C"/>
    <w:rsid w:val="00BF0BA4"/>
    <w:rsid w:val="00BF0C64"/>
    <w:rsid w:val="00BF0CEE"/>
    <w:rsid w:val="00BF0CF9"/>
    <w:rsid w:val="00BF0D64"/>
    <w:rsid w:val="00BF0DB0"/>
    <w:rsid w:val="00BF1027"/>
    <w:rsid w:val="00BF1109"/>
    <w:rsid w:val="00BF111A"/>
    <w:rsid w:val="00BF12CE"/>
    <w:rsid w:val="00BF1370"/>
    <w:rsid w:val="00BF1438"/>
    <w:rsid w:val="00BF14C0"/>
    <w:rsid w:val="00BF1528"/>
    <w:rsid w:val="00BF155E"/>
    <w:rsid w:val="00BF156D"/>
    <w:rsid w:val="00BF1627"/>
    <w:rsid w:val="00BF166E"/>
    <w:rsid w:val="00BF172F"/>
    <w:rsid w:val="00BF18A2"/>
    <w:rsid w:val="00BF18C9"/>
    <w:rsid w:val="00BF191C"/>
    <w:rsid w:val="00BF19E2"/>
    <w:rsid w:val="00BF1A3E"/>
    <w:rsid w:val="00BF1A73"/>
    <w:rsid w:val="00BF1C3F"/>
    <w:rsid w:val="00BF1CE4"/>
    <w:rsid w:val="00BF1DD9"/>
    <w:rsid w:val="00BF1E5E"/>
    <w:rsid w:val="00BF1E6C"/>
    <w:rsid w:val="00BF1F35"/>
    <w:rsid w:val="00BF1F71"/>
    <w:rsid w:val="00BF2048"/>
    <w:rsid w:val="00BF2099"/>
    <w:rsid w:val="00BF20C7"/>
    <w:rsid w:val="00BF20D7"/>
    <w:rsid w:val="00BF20F3"/>
    <w:rsid w:val="00BF214B"/>
    <w:rsid w:val="00BF219A"/>
    <w:rsid w:val="00BF21AE"/>
    <w:rsid w:val="00BF21B4"/>
    <w:rsid w:val="00BF21C2"/>
    <w:rsid w:val="00BF2208"/>
    <w:rsid w:val="00BF2264"/>
    <w:rsid w:val="00BF22AA"/>
    <w:rsid w:val="00BF23E5"/>
    <w:rsid w:val="00BF2552"/>
    <w:rsid w:val="00BF26CC"/>
    <w:rsid w:val="00BF2719"/>
    <w:rsid w:val="00BF27E7"/>
    <w:rsid w:val="00BF288E"/>
    <w:rsid w:val="00BF28D5"/>
    <w:rsid w:val="00BF28E4"/>
    <w:rsid w:val="00BF294D"/>
    <w:rsid w:val="00BF299C"/>
    <w:rsid w:val="00BF29A5"/>
    <w:rsid w:val="00BF2A78"/>
    <w:rsid w:val="00BF2AA5"/>
    <w:rsid w:val="00BF2B7A"/>
    <w:rsid w:val="00BF2BC7"/>
    <w:rsid w:val="00BF2BE0"/>
    <w:rsid w:val="00BF2D77"/>
    <w:rsid w:val="00BF2DC4"/>
    <w:rsid w:val="00BF2E65"/>
    <w:rsid w:val="00BF2EBD"/>
    <w:rsid w:val="00BF2EC9"/>
    <w:rsid w:val="00BF2EDD"/>
    <w:rsid w:val="00BF2EFE"/>
    <w:rsid w:val="00BF3002"/>
    <w:rsid w:val="00BF3111"/>
    <w:rsid w:val="00BF3168"/>
    <w:rsid w:val="00BF327D"/>
    <w:rsid w:val="00BF328A"/>
    <w:rsid w:val="00BF3346"/>
    <w:rsid w:val="00BF33D1"/>
    <w:rsid w:val="00BF33FB"/>
    <w:rsid w:val="00BF369B"/>
    <w:rsid w:val="00BF36AF"/>
    <w:rsid w:val="00BF375A"/>
    <w:rsid w:val="00BF3851"/>
    <w:rsid w:val="00BF38B6"/>
    <w:rsid w:val="00BF3923"/>
    <w:rsid w:val="00BF3951"/>
    <w:rsid w:val="00BF395E"/>
    <w:rsid w:val="00BF39FE"/>
    <w:rsid w:val="00BF3A6E"/>
    <w:rsid w:val="00BF3BEE"/>
    <w:rsid w:val="00BF3D28"/>
    <w:rsid w:val="00BF3D42"/>
    <w:rsid w:val="00BF3E5E"/>
    <w:rsid w:val="00BF3EB8"/>
    <w:rsid w:val="00BF3F9A"/>
    <w:rsid w:val="00BF3FB3"/>
    <w:rsid w:val="00BF4102"/>
    <w:rsid w:val="00BF4147"/>
    <w:rsid w:val="00BF414B"/>
    <w:rsid w:val="00BF41A0"/>
    <w:rsid w:val="00BF41A6"/>
    <w:rsid w:val="00BF4227"/>
    <w:rsid w:val="00BF44DC"/>
    <w:rsid w:val="00BF4511"/>
    <w:rsid w:val="00BF4525"/>
    <w:rsid w:val="00BF45E1"/>
    <w:rsid w:val="00BF46A0"/>
    <w:rsid w:val="00BF46C9"/>
    <w:rsid w:val="00BF471C"/>
    <w:rsid w:val="00BF47D2"/>
    <w:rsid w:val="00BF4860"/>
    <w:rsid w:val="00BF488B"/>
    <w:rsid w:val="00BF49B0"/>
    <w:rsid w:val="00BF49EB"/>
    <w:rsid w:val="00BF49FA"/>
    <w:rsid w:val="00BF49FE"/>
    <w:rsid w:val="00BF4A2E"/>
    <w:rsid w:val="00BF4AFC"/>
    <w:rsid w:val="00BF4B16"/>
    <w:rsid w:val="00BF4D9F"/>
    <w:rsid w:val="00BF4E6D"/>
    <w:rsid w:val="00BF4EE3"/>
    <w:rsid w:val="00BF4F7D"/>
    <w:rsid w:val="00BF4FBD"/>
    <w:rsid w:val="00BF505E"/>
    <w:rsid w:val="00BF50A8"/>
    <w:rsid w:val="00BF51D6"/>
    <w:rsid w:val="00BF534F"/>
    <w:rsid w:val="00BF53B7"/>
    <w:rsid w:val="00BF53F1"/>
    <w:rsid w:val="00BF54C6"/>
    <w:rsid w:val="00BF56BC"/>
    <w:rsid w:val="00BF57E5"/>
    <w:rsid w:val="00BF584F"/>
    <w:rsid w:val="00BF5868"/>
    <w:rsid w:val="00BF5880"/>
    <w:rsid w:val="00BF58CC"/>
    <w:rsid w:val="00BF58EF"/>
    <w:rsid w:val="00BF5995"/>
    <w:rsid w:val="00BF5A16"/>
    <w:rsid w:val="00BF5ABB"/>
    <w:rsid w:val="00BF5D2E"/>
    <w:rsid w:val="00BF5E78"/>
    <w:rsid w:val="00BF5EDF"/>
    <w:rsid w:val="00BF5FFB"/>
    <w:rsid w:val="00BF609B"/>
    <w:rsid w:val="00BF610F"/>
    <w:rsid w:val="00BF6170"/>
    <w:rsid w:val="00BF61FD"/>
    <w:rsid w:val="00BF62B9"/>
    <w:rsid w:val="00BF6333"/>
    <w:rsid w:val="00BF6350"/>
    <w:rsid w:val="00BF636F"/>
    <w:rsid w:val="00BF6486"/>
    <w:rsid w:val="00BF65A5"/>
    <w:rsid w:val="00BF6725"/>
    <w:rsid w:val="00BF6773"/>
    <w:rsid w:val="00BF677C"/>
    <w:rsid w:val="00BF6795"/>
    <w:rsid w:val="00BF684E"/>
    <w:rsid w:val="00BF686E"/>
    <w:rsid w:val="00BF6922"/>
    <w:rsid w:val="00BF695F"/>
    <w:rsid w:val="00BF696E"/>
    <w:rsid w:val="00BF6A1C"/>
    <w:rsid w:val="00BF6AE9"/>
    <w:rsid w:val="00BF6BFB"/>
    <w:rsid w:val="00BF6D47"/>
    <w:rsid w:val="00BF6D4F"/>
    <w:rsid w:val="00BF6E73"/>
    <w:rsid w:val="00BF6E80"/>
    <w:rsid w:val="00BF6EEF"/>
    <w:rsid w:val="00BF6F08"/>
    <w:rsid w:val="00BF6F19"/>
    <w:rsid w:val="00BF7013"/>
    <w:rsid w:val="00BF703C"/>
    <w:rsid w:val="00BF7050"/>
    <w:rsid w:val="00BF72A5"/>
    <w:rsid w:val="00BF73A7"/>
    <w:rsid w:val="00BF73DE"/>
    <w:rsid w:val="00BF7485"/>
    <w:rsid w:val="00BF74B7"/>
    <w:rsid w:val="00BF753E"/>
    <w:rsid w:val="00BF75BA"/>
    <w:rsid w:val="00BF75EC"/>
    <w:rsid w:val="00BF76B0"/>
    <w:rsid w:val="00BF77C6"/>
    <w:rsid w:val="00BF77FD"/>
    <w:rsid w:val="00BF7875"/>
    <w:rsid w:val="00BF79A3"/>
    <w:rsid w:val="00BF79FA"/>
    <w:rsid w:val="00BF7AB7"/>
    <w:rsid w:val="00BF7C6A"/>
    <w:rsid w:val="00BF7CBB"/>
    <w:rsid w:val="00BF7DDA"/>
    <w:rsid w:val="00BF7DDB"/>
    <w:rsid w:val="00BF7E76"/>
    <w:rsid w:val="00BF7F4E"/>
    <w:rsid w:val="00BF7FB9"/>
    <w:rsid w:val="00BF7FF1"/>
    <w:rsid w:val="00C00105"/>
    <w:rsid w:val="00C00153"/>
    <w:rsid w:val="00C004AB"/>
    <w:rsid w:val="00C004E9"/>
    <w:rsid w:val="00C00512"/>
    <w:rsid w:val="00C0057F"/>
    <w:rsid w:val="00C00594"/>
    <w:rsid w:val="00C00665"/>
    <w:rsid w:val="00C007C7"/>
    <w:rsid w:val="00C008D8"/>
    <w:rsid w:val="00C00961"/>
    <w:rsid w:val="00C00A74"/>
    <w:rsid w:val="00C00AB3"/>
    <w:rsid w:val="00C00C37"/>
    <w:rsid w:val="00C00C45"/>
    <w:rsid w:val="00C00CFD"/>
    <w:rsid w:val="00C00D1C"/>
    <w:rsid w:val="00C00D81"/>
    <w:rsid w:val="00C00E5A"/>
    <w:rsid w:val="00C00EFB"/>
    <w:rsid w:val="00C00F05"/>
    <w:rsid w:val="00C00F52"/>
    <w:rsid w:val="00C00F8C"/>
    <w:rsid w:val="00C011DA"/>
    <w:rsid w:val="00C012AB"/>
    <w:rsid w:val="00C01390"/>
    <w:rsid w:val="00C0139E"/>
    <w:rsid w:val="00C013E8"/>
    <w:rsid w:val="00C014EA"/>
    <w:rsid w:val="00C01561"/>
    <w:rsid w:val="00C01592"/>
    <w:rsid w:val="00C015EE"/>
    <w:rsid w:val="00C01691"/>
    <w:rsid w:val="00C0190E"/>
    <w:rsid w:val="00C019E3"/>
    <w:rsid w:val="00C01A97"/>
    <w:rsid w:val="00C01B09"/>
    <w:rsid w:val="00C01C1A"/>
    <w:rsid w:val="00C01DDB"/>
    <w:rsid w:val="00C01E78"/>
    <w:rsid w:val="00C01F46"/>
    <w:rsid w:val="00C01F4C"/>
    <w:rsid w:val="00C01F84"/>
    <w:rsid w:val="00C01FF0"/>
    <w:rsid w:val="00C02001"/>
    <w:rsid w:val="00C0213A"/>
    <w:rsid w:val="00C0239E"/>
    <w:rsid w:val="00C023A8"/>
    <w:rsid w:val="00C023F7"/>
    <w:rsid w:val="00C026A0"/>
    <w:rsid w:val="00C02781"/>
    <w:rsid w:val="00C0282C"/>
    <w:rsid w:val="00C02838"/>
    <w:rsid w:val="00C02964"/>
    <w:rsid w:val="00C029B1"/>
    <w:rsid w:val="00C02A88"/>
    <w:rsid w:val="00C02ADD"/>
    <w:rsid w:val="00C02C07"/>
    <w:rsid w:val="00C02C92"/>
    <w:rsid w:val="00C02C9E"/>
    <w:rsid w:val="00C02D08"/>
    <w:rsid w:val="00C02E10"/>
    <w:rsid w:val="00C02E19"/>
    <w:rsid w:val="00C02FDF"/>
    <w:rsid w:val="00C02FEB"/>
    <w:rsid w:val="00C03085"/>
    <w:rsid w:val="00C030DE"/>
    <w:rsid w:val="00C030E8"/>
    <w:rsid w:val="00C03171"/>
    <w:rsid w:val="00C032AC"/>
    <w:rsid w:val="00C032CC"/>
    <w:rsid w:val="00C032F0"/>
    <w:rsid w:val="00C03387"/>
    <w:rsid w:val="00C033C1"/>
    <w:rsid w:val="00C033C6"/>
    <w:rsid w:val="00C033CD"/>
    <w:rsid w:val="00C03579"/>
    <w:rsid w:val="00C035BF"/>
    <w:rsid w:val="00C03627"/>
    <w:rsid w:val="00C0368D"/>
    <w:rsid w:val="00C0370D"/>
    <w:rsid w:val="00C03754"/>
    <w:rsid w:val="00C03779"/>
    <w:rsid w:val="00C039AA"/>
    <w:rsid w:val="00C03AA6"/>
    <w:rsid w:val="00C03C37"/>
    <w:rsid w:val="00C03CAD"/>
    <w:rsid w:val="00C03D30"/>
    <w:rsid w:val="00C03D37"/>
    <w:rsid w:val="00C03D73"/>
    <w:rsid w:val="00C03E62"/>
    <w:rsid w:val="00C03FA1"/>
    <w:rsid w:val="00C03FE1"/>
    <w:rsid w:val="00C040F4"/>
    <w:rsid w:val="00C042FA"/>
    <w:rsid w:val="00C04419"/>
    <w:rsid w:val="00C0469B"/>
    <w:rsid w:val="00C046D9"/>
    <w:rsid w:val="00C0487C"/>
    <w:rsid w:val="00C04964"/>
    <w:rsid w:val="00C04CBE"/>
    <w:rsid w:val="00C04E46"/>
    <w:rsid w:val="00C04EEB"/>
    <w:rsid w:val="00C04F49"/>
    <w:rsid w:val="00C04F9D"/>
    <w:rsid w:val="00C05060"/>
    <w:rsid w:val="00C0507B"/>
    <w:rsid w:val="00C0509A"/>
    <w:rsid w:val="00C050EF"/>
    <w:rsid w:val="00C0529B"/>
    <w:rsid w:val="00C05394"/>
    <w:rsid w:val="00C053FA"/>
    <w:rsid w:val="00C056A1"/>
    <w:rsid w:val="00C0576D"/>
    <w:rsid w:val="00C057EC"/>
    <w:rsid w:val="00C05822"/>
    <w:rsid w:val="00C058DE"/>
    <w:rsid w:val="00C05958"/>
    <w:rsid w:val="00C05993"/>
    <w:rsid w:val="00C059BF"/>
    <w:rsid w:val="00C059EF"/>
    <w:rsid w:val="00C05A54"/>
    <w:rsid w:val="00C05B1F"/>
    <w:rsid w:val="00C05B38"/>
    <w:rsid w:val="00C05B93"/>
    <w:rsid w:val="00C05C69"/>
    <w:rsid w:val="00C05CDD"/>
    <w:rsid w:val="00C05D03"/>
    <w:rsid w:val="00C05D9E"/>
    <w:rsid w:val="00C05DB8"/>
    <w:rsid w:val="00C05DF3"/>
    <w:rsid w:val="00C05E38"/>
    <w:rsid w:val="00C05E87"/>
    <w:rsid w:val="00C05EC8"/>
    <w:rsid w:val="00C05EEE"/>
    <w:rsid w:val="00C05F09"/>
    <w:rsid w:val="00C05F90"/>
    <w:rsid w:val="00C06182"/>
    <w:rsid w:val="00C061F2"/>
    <w:rsid w:val="00C0620A"/>
    <w:rsid w:val="00C062DC"/>
    <w:rsid w:val="00C0638C"/>
    <w:rsid w:val="00C06449"/>
    <w:rsid w:val="00C064B5"/>
    <w:rsid w:val="00C064FC"/>
    <w:rsid w:val="00C065DB"/>
    <w:rsid w:val="00C06627"/>
    <w:rsid w:val="00C066B3"/>
    <w:rsid w:val="00C066DC"/>
    <w:rsid w:val="00C0678E"/>
    <w:rsid w:val="00C067BE"/>
    <w:rsid w:val="00C0689C"/>
    <w:rsid w:val="00C068B8"/>
    <w:rsid w:val="00C0692F"/>
    <w:rsid w:val="00C069B0"/>
    <w:rsid w:val="00C069CD"/>
    <w:rsid w:val="00C06A5E"/>
    <w:rsid w:val="00C06AF8"/>
    <w:rsid w:val="00C06B16"/>
    <w:rsid w:val="00C06D58"/>
    <w:rsid w:val="00C06EC4"/>
    <w:rsid w:val="00C0703B"/>
    <w:rsid w:val="00C07056"/>
    <w:rsid w:val="00C070E2"/>
    <w:rsid w:val="00C071F7"/>
    <w:rsid w:val="00C0739D"/>
    <w:rsid w:val="00C07418"/>
    <w:rsid w:val="00C07436"/>
    <w:rsid w:val="00C0746A"/>
    <w:rsid w:val="00C07548"/>
    <w:rsid w:val="00C0760A"/>
    <w:rsid w:val="00C076A8"/>
    <w:rsid w:val="00C077CA"/>
    <w:rsid w:val="00C0780B"/>
    <w:rsid w:val="00C0788D"/>
    <w:rsid w:val="00C079BB"/>
    <w:rsid w:val="00C07A26"/>
    <w:rsid w:val="00C07B5E"/>
    <w:rsid w:val="00C07C2C"/>
    <w:rsid w:val="00C07C3A"/>
    <w:rsid w:val="00C07C42"/>
    <w:rsid w:val="00C07CAA"/>
    <w:rsid w:val="00C07E0F"/>
    <w:rsid w:val="00C07E14"/>
    <w:rsid w:val="00C07E67"/>
    <w:rsid w:val="00C07ECF"/>
    <w:rsid w:val="00C07F07"/>
    <w:rsid w:val="00C07F3D"/>
    <w:rsid w:val="00C10113"/>
    <w:rsid w:val="00C10193"/>
    <w:rsid w:val="00C101A8"/>
    <w:rsid w:val="00C10319"/>
    <w:rsid w:val="00C103F5"/>
    <w:rsid w:val="00C1041A"/>
    <w:rsid w:val="00C10445"/>
    <w:rsid w:val="00C1048A"/>
    <w:rsid w:val="00C10490"/>
    <w:rsid w:val="00C10702"/>
    <w:rsid w:val="00C10889"/>
    <w:rsid w:val="00C108D8"/>
    <w:rsid w:val="00C10914"/>
    <w:rsid w:val="00C109C4"/>
    <w:rsid w:val="00C109E4"/>
    <w:rsid w:val="00C10A7C"/>
    <w:rsid w:val="00C10AE2"/>
    <w:rsid w:val="00C10B28"/>
    <w:rsid w:val="00C10B9D"/>
    <w:rsid w:val="00C10CC4"/>
    <w:rsid w:val="00C10CD8"/>
    <w:rsid w:val="00C10D6E"/>
    <w:rsid w:val="00C10DCA"/>
    <w:rsid w:val="00C10DE3"/>
    <w:rsid w:val="00C10E44"/>
    <w:rsid w:val="00C10EF5"/>
    <w:rsid w:val="00C10F65"/>
    <w:rsid w:val="00C10FF7"/>
    <w:rsid w:val="00C11055"/>
    <w:rsid w:val="00C11066"/>
    <w:rsid w:val="00C110AD"/>
    <w:rsid w:val="00C1120E"/>
    <w:rsid w:val="00C11230"/>
    <w:rsid w:val="00C1125F"/>
    <w:rsid w:val="00C112C3"/>
    <w:rsid w:val="00C1133C"/>
    <w:rsid w:val="00C113A2"/>
    <w:rsid w:val="00C1147B"/>
    <w:rsid w:val="00C11538"/>
    <w:rsid w:val="00C11750"/>
    <w:rsid w:val="00C117D8"/>
    <w:rsid w:val="00C1180F"/>
    <w:rsid w:val="00C11865"/>
    <w:rsid w:val="00C1190A"/>
    <w:rsid w:val="00C1197E"/>
    <w:rsid w:val="00C11A23"/>
    <w:rsid w:val="00C11A34"/>
    <w:rsid w:val="00C11A4A"/>
    <w:rsid w:val="00C11C48"/>
    <w:rsid w:val="00C11C6A"/>
    <w:rsid w:val="00C11E0F"/>
    <w:rsid w:val="00C11E33"/>
    <w:rsid w:val="00C11E50"/>
    <w:rsid w:val="00C11F36"/>
    <w:rsid w:val="00C11F54"/>
    <w:rsid w:val="00C11FDE"/>
    <w:rsid w:val="00C12023"/>
    <w:rsid w:val="00C120E5"/>
    <w:rsid w:val="00C1210C"/>
    <w:rsid w:val="00C12141"/>
    <w:rsid w:val="00C12172"/>
    <w:rsid w:val="00C121BC"/>
    <w:rsid w:val="00C1228C"/>
    <w:rsid w:val="00C12316"/>
    <w:rsid w:val="00C1233C"/>
    <w:rsid w:val="00C1234A"/>
    <w:rsid w:val="00C123D4"/>
    <w:rsid w:val="00C1241A"/>
    <w:rsid w:val="00C12497"/>
    <w:rsid w:val="00C124A9"/>
    <w:rsid w:val="00C124B0"/>
    <w:rsid w:val="00C124DD"/>
    <w:rsid w:val="00C12657"/>
    <w:rsid w:val="00C1267F"/>
    <w:rsid w:val="00C12795"/>
    <w:rsid w:val="00C128D1"/>
    <w:rsid w:val="00C128DE"/>
    <w:rsid w:val="00C12ADE"/>
    <w:rsid w:val="00C12BE7"/>
    <w:rsid w:val="00C12D6C"/>
    <w:rsid w:val="00C12D75"/>
    <w:rsid w:val="00C12DC6"/>
    <w:rsid w:val="00C12E98"/>
    <w:rsid w:val="00C12EE0"/>
    <w:rsid w:val="00C12F0B"/>
    <w:rsid w:val="00C12F25"/>
    <w:rsid w:val="00C12F2B"/>
    <w:rsid w:val="00C13009"/>
    <w:rsid w:val="00C13131"/>
    <w:rsid w:val="00C13195"/>
    <w:rsid w:val="00C1327C"/>
    <w:rsid w:val="00C132D8"/>
    <w:rsid w:val="00C13324"/>
    <w:rsid w:val="00C13331"/>
    <w:rsid w:val="00C133DC"/>
    <w:rsid w:val="00C13461"/>
    <w:rsid w:val="00C135FF"/>
    <w:rsid w:val="00C13642"/>
    <w:rsid w:val="00C13681"/>
    <w:rsid w:val="00C136D7"/>
    <w:rsid w:val="00C1370D"/>
    <w:rsid w:val="00C13752"/>
    <w:rsid w:val="00C13761"/>
    <w:rsid w:val="00C1386F"/>
    <w:rsid w:val="00C139B0"/>
    <w:rsid w:val="00C139B4"/>
    <w:rsid w:val="00C13AFD"/>
    <w:rsid w:val="00C13B2E"/>
    <w:rsid w:val="00C13C8D"/>
    <w:rsid w:val="00C13DED"/>
    <w:rsid w:val="00C13E03"/>
    <w:rsid w:val="00C13E6C"/>
    <w:rsid w:val="00C13F3A"/>
    <w:rsid w:val="00C13FEC"/>
    <w:rsid w:val="00C14006"/>
    <w:rsid w:val="00C141A0"/>
    <w:rsid w:val="00C141B8"/>
    <w:rsid w:val="00C1427F"/>
    <w:rsid w:val="00C142EA"/>
    <w:rsid w:val="00C14411"/>
    <w:rsid w:val="00C144A7"/>
    <w:rsid w:val="00C14502"/>
    <w:rsid w:val="00C145BB"/>
    <w:rsid w:val="00C1462E"/>
    <w:rsid w:val="00C14696"/>
    <w:rsid w:val="00C146C9"/>
    <w:rsid w:val="00C14722"/>
    <w:rsid w:val="00C14780"/>
    <w:rsid w:val="00C14808"/>
    <w:rsid w:val="00C14951"/>
    <w:rsid w:val="00C1498B"/>
    <w:rsid w:val="00C149C0"/>
    <w:rsid w:val="00C14A18"/>
    <w:rsid w:val="00C14AF6"/>
    <w:rsid w:val="00C14B1B"/>
    <w:rsid w:val="00C14BC9"/>
    <w:rsid w:val="00C14C94"/>
    <w:rsid w:val="00C14D4C"/>
    <w:rsid w:val="00C14EBC"/>
    <w:rsid w:val="00C14F1C"/>
    <w:rsid w:val="00C151A0"/>
    <w:rsid w:val="00C1523E"/>
    <w:rsid w:val="00C1538A"/>
    <w:rsid w:val="00C15438"/>
    <w:rsid w:val="00C1544D"/>
    <w:rsid w:val="00C15471"/>
    <w:rsid w:val="00C1569E"/>
    <w:rsid w:val="00C156E4"/>
    <w:rsid w:val="00C15747"/>
    <w:rsid w:val="00C15771"/>
    <w:rsid w:val="00C15839"/>
    <w:rsid w:val="00C15869"/>
    <w:rsid w:val="00C15881"/>
    <w:rsid w:val="00C159A0"/>
    <w:rsid w:val="00C15AEC"/>
    <w:rsid w:val="00C15B39"/>
    <w:rsid w:val="00C15C97"/>
    <w:rsid w:val="00C15CF4"/>
    <w:rsid w:val="00C15DD3"/>
    <w:rsid w:val="00C15ECE"/>
    <w:rsid w:val="00C15F87"/>
    <w:rsid w:val="00C15FA6"/>
    <w:rsid w:val="00C15FBF"/>
    <w:rsid w:val="00C160DD"/>
    <w:rsid w:val="00C16159"/>
    <w:rsid w:val="00C1619E"/>
    <w:rsid w:val="00C163B2"/>
    <w:rsid w:val="00C16460"/>
    <w:rsid w:val="00C164FB"/>
    <w:rsid w:val="00C165DC"/>
    <w:rsid w:val="00C1664F"/>
    <w:rsid w:val="00C167A4"/>
    <w:rsid w:val="00C16862"/>
    <w:rsid w:val="00C168EA"/>
    <w:rsid w:val="00C16979"/>
    <w:rsid w:val="00C16C25"/>
    <w:rsid w:val="00C16CC5"/>
    <w:rsid w:val="00C16D6F"/>
    <w:rsid w:val="00C16DE2"/>
    <w:rsid w:val="00C16E9C"/>
    <w:rsid w:val="00C16EAB"/>
    <w:rsid w:val="00C16F3F"/>
    <w:rsid w:val="00C16F61"/>
    <w:rsid w:val="00C16F89"/>
    <w:rsid w:val="00C16FB0"/>
    <w:rsid w:val="00C17025"/>
    <w:rsid w:val="00C17080"/>
    <w:rsid w:val="00C170DE"/>
    <w:rsid w:val="00C17123"/>
    <w:rsid w:val="00C1713F"/>
    <w:rsid w:val="00C17194"/>
    <w:rsid w:val="00C1731B"/>
    <w:rsid w:val="00C17345"/>
    <w:rsid w:val="00C173AD"/>
    <w:rsid w:val="00C173B0"/>
    <w:rsid w:val="00C17445"/>
    <w:rsid w:val="00C175D6"/>
    <w:rsid w:val="00C1761D"/>
    <w:rsid w:val="00C1762E"/>
    <w:rsid w:val="00C1764D"/>
    <w:rsid w:val="00C1767A"/>
    <w:rsid w:val="00C17682"/>
    <w:rsid w:val="00C1769C"/>
    <w:rsid w:val="00C176D7"/>
    <w:rsid w:val="00C1772F"/>
    <w:rsid w:val="00C179E9"/>
    <w:rsid w:val="00C17A96"/>
    <w:rsid w:val="00C17BF6"/>
    <w:rsid w:val="00C17C27"/>
    <w:rsid w:val="00C17C5C"/>
    <w:rsid w:val="00C17C7C"/>
    <w:rsid w:val="00C17CE2"/>
    <w:rsid w:val="00C17D14"/>
    <w:rsid w:val="00C17D42"/>
    <w:rsid w:val="00C17DD0"/>
    <w:rsid w:val="00C17E56"/>
    <w:rsid w:val="00C17EA3"/>
    <w:rsid w:val="00C17EFE"/>
    <w:rsid w:val="00C17F37"/>
    <w:rsid w:val="00C17F92"/>
    <w:rsid w:val="00C20046"/>
    <w:rsid w:val="00C20075"/>
    <w:rsid w:val="00C20167"/>
    <w:rsid w:val="00C20181"/>
    <w:rsid w:val="00C201BF"/>
    <w:rsid w:val="00C201F2"/>
    <w:rsid w:val="00C20259"/>
    <w:rsid w:val="00C203FC"/>
    <w:rsid w:val="00C20582"/>
    <w:rsid w:val="00C205D0"/>
    <w:rsid w:val="00C20615"/>
    <w:rsid w:val="00C20734"/>
    <w:rsid w:val="00C20774"/>
    <w:rsid w:val="00C207FC"/>
    <w:rsid w:val="00C20812"/>
    <w:rsid w:val="00C2081A"/>
    <w:rsid w:val="00C208F4"/>
    <w:rsid w:val="00C20A2B"/>
    <w:rsid w:val="00C20AB1"/>
    <w:rsid w:val="00C20BE4"/>
    <w:rsid w:val="00C20C4C"/>
    <w:rsid w:val="00C20DCE"/>
    <w:rsid w:val="00C20E92"/>
    <w:rsid w:val="00C20F8D"/>
    <w:rsid w:val="00C21187"/>
    <w:rsid w:val="00C212B1"/>
    <w:rsid w:val="00C213F3"/>
    <w:rsid w:val="00C21475"/>
    <w:rsid w:val="00C214E3"/>
    <w:rsid w:val="00C214F0"/>
    <w:rsid w:val="00C21529"/>
    <w:rsid w:val="00C2157C"/>
    <w:rsid w:val="00C215A8"/>
    <w:rsid w:val="00C21616"/>
    <w:rsid w:val="00C216A6"/>
    <w:rsid w:val="00C21755"/>
    <w:rsid w:val="00C2180B"/>
    <w:rsid w:val="00C2180D"/>
    <w:rsid w:val="00C21848"/>
    <w:rsid w:val="00C2184E"/>
    <w:rsid w:val="00C218A5"/>
    <w:rsid w:val="00C219FB"/>
    <w:rsid w:val="00C21A69"/>
    <w:rsid w:val="00C21AA9"/>
    <w:rsid w:val="00C21AEF"/>
    <w:rsid w:val="00C21B24"/>
    <w:rsid w:val="00C21BF3"/>
    <w:rsid w:val="00C21BF8"/>
    <w:rsid w:val="00C21C31"/>
    <w:rsid w:val="00C21C55"/>
    <w:rsid w:val="00C21CA0"/>
    <w:rsid w:val="00C21E7F"/>
    <w:rsid w:val="00C21E8F"/>
    <w:rsid w:val="00C21F0E"/>
    <w:rsid w:val="00C21F15"/>
    <w:rsid w:val="00C21FFF"/>
    <w:rsid w:val="00C220EA"/>
    <w:rsid w:val="00C22195"/>
    <w:rsid w:val="00C221F8"/>
    <w:rsid w:val="00C223FC"/>
    <w:rsid w:val="00C2240F"/>
    <w:rsid w:val="00C224DC"/>
    <w:rsid w:val="00C2251A"/>
    <w:rsid w:val="00C22524"/>
    <w:rsid w:val="00C226A6"/>
    <w:rsid w:val="00C227D4"/>
    <w:rsid w:val="00C227D5"/>
    <w:rsid w:val="00C227EA"/>
    <w:rsid w:val="00C22A79"/>
    <w:rsid w:val="00C22A94"/>
    <w:rsid w:val="00C22B2E"/>
    <w:rsid w:val="00C22C99"/>
    <w:rsid w:val="00C22EF8"/>
    <w:rsid w:val="00C22F33"/>
    <w:rsid w:val="00C22F62"/>
    <w:rsid w:val="00C2309B"/>
    <w:rsid w:val="00C230FE"/>
    <w:rsid w:val="00C231C0"/>
    <w:rsid w:val="00C231E0"/>
    <w:rsid w:val="00C23268"/>
    <w:rsid w:val="00C23301"/>
    <w:rsid w:val="00C233FD"/>
    <w:rsid w:val="00C23552"/>
    <w:rsid w:val="00C23597"/>
    <w:rsid w:val="00C236CC"/>
    <w:rsid w:val="00C23788"/>
    <w:rsid w:val="00C2384F"/>
    <w:rsid w:val="00C2387C"/>
    <w:rsid w:val="00C2388D"/>
    <w:rsid w:val="00C238FA"/>
    <w:rsid w:val="00C2391D"/>
    <w:rsid w:val="00C23942"/>
    <w:rsid w:val="00C2399E"/>
    <w:rsid w:val="00C23A0B"/>
    <w:rsid w:val="00C23AD7"/>
    <w:rsid w:val="00C23B4E"/>
    <w:rsid w:val="00C23BDC"/>
    <w:rsid w:val="00C23C41"/>
    <w:rsid w:val="00C23C53"/>
    <w:rsid w:val="00C23CFB"/>
    <w:rsid w:val="00C23CFC"/>
    <w:rsid w:val="00C23D9F"/>
    <w:rsid w:val="00C23DE6"/>
    <w:rsid w:val="00C23E55"/>
    <w:rsid w:val="00C23E7E"/>
    <w:rsid w:val="00C23ED8"/>
    <w:rsid w:val="00C242A1"/>
    <w:rsid w:val="00C242CE"/>
    <w:rsid w:val="00C242FE"/>
    <w:rsid w:val="00C24310"/>
    <w:rsid w:val="00C24357"/>
    <w:rsid w:val="00C24369"/>
    <w:rsid w:val="00C243C0"/>
    <w:rsid w:val="00C2458A"/>
    <w:rsid w:val="00C246AB"/>
    <w:rsid w:val="00C246DD"/>
    <w:rsid w:val="00C24754"/>
    <w:rsid w:val="00C24789"/>
    <w:rsid w:val="00C24969"/>
    <w:rsid w:val="00C24A67"/>
    <w:rsid w:val="00C24A99"/>
    <w:rsid w:val="00C24BDE"/>
    <w:rsid w:val="00C24BFD"/>
    <w:rsid w:val="00C24C91"/>
    <w:rsid w:val="00C24CA4"/>
    <w:rsid w:val="00C24D93"/>
    <w:rsid w:val="00C24E03"/>
    <w:rsid w:val="00C24E5E"/>
    <w:rsid w:val="00C24E6D"/>
    <w:rsid w:val="00C24F76"/>
    <w:rsid w:val="00C24F93"/>
    <w:rsid w:val="00C2512B"/>
    <w:rsid w:val="00C252CB"/>
    <w:rsid w:val="00C25326"/>
    <w:rsid w:val="00C25330"/>
    <w:rsid w:val="00C254FC"/>
    <w:rsid w:val="00C25517"/>
    <w:rsid w:val="00C25568"/>
    <w:rsid w:val="00C255C1"/>
    <w:rsid w:val="00C255D1"/>
    <w:rsid w:val="00C255E7"/>
    <w:rsid w:val="00C2562F"/>
    <w:rsid w:val="00C2571A"/>
    <w:rsid w:val="00C25764"/>
    <w:rsid w:val="00C25848"/>
    <w:rsid w:val="00C2587F"/>
    <w:rsid w:val="00C25883"/>
    <w:rsid w:val="00C25A04"/>
    <w:rsid w:val="00C25A65"/>
    <w:rsid w:val="00C25BBE"/>
    <w:rsid w:val="00C25C9D"/>
    <w:rsid w:val="00C25CED"/>
    <w:rsid w:val="00C25D19"/>
    <w:rsid w:val="00C25DFA"/>
    <w:rsid w:val="00C25E2D"/>
    <w:rsid w:val="00C25E9B"/>
    <w:rsid w:val="00C25EC8"/>
    <w:rsid w:val="00C25FD7"/>
    <w:rsid w:val="00C2606F"/>
    <w:rsid w:val="00C26230"/>
    <w:rsid w:val="00C26250"/>
    <w:rsid w:val="00C26288"/>
    <w:rsid w:val="00C2628C"/>
    <w:rsid w:val="00C2629F"/>
    <w:rsid w:val="00C26400"/>
    <w:rsid w:val="00C26464"/>
    <w:rsid w:val="00C264D3"/>
    <w:rsid w:val="00C26522"/>
    <w:rsid w:val="00C265F7"/>
    <w:rsid w:val="00C26625"/>
    <w:rsid w:val="00C26687"/>
    <w:rsid w:val="00C2668D"/>
    <w:rsid w:val="00C26768"/>
    <w:rsid w:val="00C268F4"/>
    <w:rsid w:val="00C2696D"/>
    <w:rsid w:val="00C2696E"/>
    <w:rsid w:val="00C26988"/>
    <w:rsid w:val="00C26AF1"/>
    <w:rsid w:val="00C26C73"/>
    <w:rsid w:val="00C26C98"/>
    <w:rsid w:val="00C26CD3"/>
    <w:rsid w:val="00C26E0B"/>
    <w:rsid w:val="00C26E9B"/>
    <w:rsid w:val="00C27032"/>
    <w:rsid w:val="00C27038"/>
    <w:rsid w:val="00C270AA"/>
    <w:rsid w:val="00C2711F"/>
    <w:rsid w:val="00C27168"/>
    <w:rsid w:val="00C27260"/>
    <w:rsid w:val="00C272CF"/>
    <w:rsid w:val="00C2749C"/>
    <w:rsid w:val="00C274A8"/>
    <w:rsid w:val="00C274BB"/>
    <w:rsid w:val="00C27571"/>
    <w:rsid w:val="00C2759C"/>
    <w:rsid w:val="00C275A2"/>
    <w:rsid w:val="00C27673"/>
    <w:rsid w:val="00C2767B"/>
    <w:rsid w:val="00C2770C"/>
    <w:rsid w:val="00C2774B"/>
    <w:rsid w:val="00C27785"/>
    <w:rsid w:val="00C277FE"/>
    <w:rsid w:val="00C27842"/>
    <w:rsid w:val="00C278AA"/>
    <w:rsid w:val="00C278E9"/>
    <w:rsid w:val="00C279DC"/>
    <w:rsid w:val="00C279E1"/>
    <w:rsid w:val="00C279FD"/>
    <w:rsid w:val="00C27A1B"/>
    <w:rsid w:val="00C27A79"/>
    <w:rsid w:val="00C27A86"/>
    <w:rsid w:val="00C27AC6"/>
    <w:rsid w:val="00C27ACC"/>
    <w:rsid w:val="00C27CC2"/>
    <w:rsid w:val="00C27DF8"/>
    <w:rsid w:val="00C27E06"/>
    <w:rsid w:val="00C27EFA"/>
    <w:rsid w:val="00C27F03"/>
    <w:rsid w:val="00C27F5A"/>
    <w:rsid w:val="00C27FFD"/>
    <w:rsid w:val="00C30233"/>
    <w:rsid w:val="00C302E2"/>
    <w:rsid w:val="00C30328"/>
    <w:rsid w:val="00C3036E"/>
    <w:rsid w:val="00C30488"/>
    <w:rsid w:val="00C304AE"/>
    <w:rsid w:val="00C30528"/>
    <w:rsid w:val="00C307F9"/>
    <w:rsid w:val="00C3086B"/>
    <w:rsid w:val="00C308CB"/>
    <w:rsid w:val="00C3096A"/>
    <w:rsid w:val="00C30990"/>
    <w:rsid w:val="00C309CE"/>
    <w:rsid w:val="00C30A8E"/>
    <w:rsid w:val="00C30AFA"/>
    <w:rsid w:val="00C30AFD"/>
    <w:rsid w:val="00C30BF0"/>
    <w:rsid w:val="00C30F05"/>
    <w:rsid w:val="00C30F5D"/>
    <w:rsid w:val="00C31201"/>
    <w:rsid w:val="00C312F9"/>
    <w:rsid w:val="00C3131F"/>
    <w:rsid w:val="00C31437"/>
    <w:rsid w:val="00C31451"/>
    <w:rsid w:val="00C314BD"/>
    <w:rsid w:val="00C314DD"/>
    <w:rsid w:val="00C314F6"/>
    <w:rsid w:val="00C3153C"/>
    <w:rsid w:val="00C31663"/>
    <w:rsid w:val="00C3170A"/>
    <w:rsid w:val="00C31748"/>
    <w:rsid w:val="00C317B7"/>
    <w:rsid w:val="00C317B9"/>
    <w:rsid w:val="00C31805"/>
    <w:rsid w:val="00C318C7"/>
    <w:rsid w:val="00C31980"/>
    <w:rsid w:val="00C31A49"/>
    <w:rsid w:val="00C31C13"/>
    <w:rsid w:val="00C31C30"/>
    <w:rsid w:val="00C31CD1"/>
    <w:rsid w:val="00C31D63"/>
    <w:rsid w:val="00C31DDE"/>
    <w:rsid w:val="00C31E59"/>
    <w:rsid w:val="00C31E8A"/>
    <w:rsid w:val="00C3205F"/>
    <w:rsid w:val="00C320E5"/>
    <w:rsid w:val="00C3211A"/>
    <w:rsid w:val="00C321E1"/>
    <w:rsid w:val="00C3224C"/>
    <w:rsid w:val="00C3238F"/>
    <w:rsid w:val="00C32492"/>
    <w:rsid w:val="00C324A7"/>
    <w:rsid w:val="00C325FE"/>
    <w:rsid w:val="00C32643"/>
    <w:rsid w:val="00C326D9"/>
    <w:rsid w:val="00C32855"/>
    <w:rsid w:val="00C328AA"/>
    <w:rsid w:val="00C32949"/>
    <w:rsid w:val="00C32972"/>
    <w:rsid w:val="00C3298F"/>
    <w:rsid w:val="00C329F0"/>
    <w:rsid w:val="00C32B30"/>
    <w:rsid w:val="00C32C9A"/>
    <w:rsid w:val="00C32CC6"/>
    <w:rsid w:val="00C32CED"/>
    <w:rsid w:val="00C32E60"/>
    <w:rsid w:val="00C32E61"/>
    <w:rsid w:val="00C32F65"/>
    <w:rsid w:val="00C32FFB"/>
    <w:rsid w:val="00C331D1"/>
    <w:rsid w:val="00C332CB"/>
    <w:rsid w:val="00C33395"/>
    <w:rsid w:val="00C33586"/>
    <w:rsid w:val="00C335AA"/>
    <w:rsid w:val="00C336E5"/>
    <w:rsid w:val="00C33768"/>
    <w:rsid w:val="00C337E4"/>
    <w:rsid w:val="00C3389B"/>
    <w:rsid w:val="00C33912"/>
    <w:rsid w:val="00C339F3"/>
    <w:rsid w:val="00C33ACD"/>
    <w:rsid w:val="00C33ADF"/>
    <w:rsid w:val="00C33B07"/>
    <w:rsid w:val="00C33BC8"/>
    <w:rsid w:val="00C33C69"/>
    <w:rsid w:val="00C33C90"/>
    <w:rsid w:val="00C33CF4"/>
    <w:rsid w:val="00C33CF8"/>
    <w:rsid w:val="00C33D00"/>
    <w:rsid w:val="00C33D46"/>
    <w:rsid w:val="00C33D4A"/>
    <w:rsid w:val="00C33D4D"/>
    <w:rsid w:val="00C33D6B"/>
    <w:rsid w:val="00C33DE1"/>
    <w:rsid w:val="00C33DF5"/>
    <w:rsid w:val="00C33FA7"/>
    <w:rsid w:val="00C33FBC"/>
    <w:rsid w:val="00C33FE3"/>
    <w:rsid w:val="00C34197"/>
    <w:rsid w:val="00C342AC"/>
    <w:rsid w:val="00C3430F"/>
    <w:rsid w:val="00C3431D"/>
    <w:rsid w:val="00C3438E"/>
    <w:rsid w:val="00C343F3"/>
    <w:rsid w:val="00C34486"/>
    <w:rsid w:val="00C34596"/>
    <w:rsid w:val="00C345EE"/>
    <w:rsid w:val="00C346C7"/>
    <w:rsid w:val="00C346E0"/>
    <w:rsid w:val="00C34804"/>
    <w:rsid w:val="00C348C7"/>
    <w:rsid w:val="00C3492B"/>
    <w:rsid w:val="00C34BB1"/>
    <w:rsid w:val="00C34BC7"/>
    <w:rsid w:val="00C34C17"/>
    <w:rsid w:val="00C34CD9"/>
    <w:rsid w:val="00C34CF0"/>
    <w:rsid w:val="00C34D1D"/>
    <w:rsid w:val="00C34E1C"/>
    <w:rsid w:val="00C34EAA"/>
    <w:rsid w:val="00C35073"/>
    <w:rsid w:val="00C35079"/>
    <w:rsid w:val="00C350F0"/>
    <w:rsid w:val="00C353E2"/>
    <w:rsid w:val="00C35497"/>
    <w:rsid w:val="00C3555C"/>
    <w:rsid w:val="00C3556C"/>
    <w:rsid w:val="00C355DE"/>
    <w:rsid w:val="00C355EE"/>
    <w:rsid w:val="00C35689"/>
    <w:rsid w:val="00C3568B"/>
    <w:rsid w:val="00C3568E"/>
    <w:rsid w:val="00C35713"/>
    <w:rsid w:val="00C3585E"/>
    <w:rsid w:val="00C3587B"/>
    <w:rsid w:val="00C35969"/>
    <w:rsid w:val="00C35977"/>
    <w:rsid w:val="00C35BB3"/>
    <w:rsid w:val="00C35C57"/>
    <w:rsid w:val="00C35CB0"/>
    <w:rsid w:val="00C35D40"/>
    <w:rsid w:val="00C35DC4"/>
    <w:rsid w:val="00C35E4D"/>
    <w:rsid w:val="00C35E93"/>
    <w:rsid w:val="00C35EA2"/>
    <w:rsid w:val="00C36182"/>
    <w:rsid w:val="00C3630B"/>
    <w:rsid w:val="00C363EB"/>
    <w:rsid w:val="00C363EF"/>
    <w:rsid w:val="00C36447"/>
    <w:rsid w:val="00C36498"/>
    <w:rsid w:val="00C366DD"/>
    <w:rsid w:val="00C366EC"/>
    <w:rsid w:val="00C3671D"/>
    <w:rsid w:val="00C36736"/>
    <w:rsid w:val="00C3677D"/>
    <w:rsid w:val="00C368CB"/>
    <w:rsid w:val="00C368FD"/>
    <w:rsid w:val="00C36AA2"/>
    <w:rsid w:val="00C36B89"/>
    <w:rsid w:val="00C36C65"/>
    <w:rsid w:val="00C36D8C"/>
    <w:rsid w:val="00C36E0C"/>
    <w:rsid w:val="00C36FA8"/>
    <w:rsid w:val="00C36FD9"/>
    <w:rsid w:val="00C37054"/>
    <w:rsid w:val="00C37065"/>
    <w:rsid w:val="00C370DA"/>
    <w:rsid w:val="00C370E8"/>
    <w:rsid w:val="00C3710E"/>
    <w:rsid w:val="00C3716B"/>
    <w:rsid w:val="00C37176"/>
    <w:rsid w:val="00C3719D"/>
    <w:rsid w:val="00C371BC"/>
    <w:rsid w:val="00C371C0"/>
    <w:rsid w:val="00C37543"/>
    <w:rsid w:val="00C3760A"/>
    <w:rsid w:val="00C3769D"/>
    <w:rsid w:val="00C37771"/>
    <w:rsid w:val="00C378AC"/>
    <w:rsid w:val="00C378E6"/>
    <w:rsid w:val="00C3792F"/>
    <w:rsid w:val="00C37932"/>
    <w:rsid w:val="00C37960"/>
    <w:rsid w:val="00C3798F"/>
    <w:rsid w:val="00C37B6C"/>
    <w:rsid w:val="00C37B8B"/>
    <w:rsid w:val="00C37CA1"/>
    <w:rsid w:val="00C37CDB"/>
    <w:rsid w:val="00C37D60"/>
    <w:rsid w:val="00C37D71"/>
    <w:rsid w:val="00C37E53"/>
    <w:rsid w:val="00C37E6B"/>
    <w:rsid w:val="00C37F2D"/>
    <w:rsid w:val="00C37F99"/>
    <w:rsid w:val="00C4001C"/>
    <w:rsid w:val="00C400DD"/>
    <w:rsid w:val="00C400FF"/>
    <w:rsid w:val="00C401A6"/>
    <w:rsid w:val="00C401BC"/>
    <w:rsid w:val="00C401FC"/>
    <w:rsid w:val="00C4022A"/>
    <w:rsid w:val="00C402C3"/>
    <w:rsid w:val="00C40314"/>
    <w:rsid w:val="00C40494"/>
    <w:rsid w:val="00C404B2"/>
    <w:rsid w:val="00C405B1"/>
    <w:rsid w:val="00C4061C"/>
    <w:rsid w:val="00C40630"/>
    <w:rsid w:val="00C40654"/>
    <w:rsid w:val="00C40689"/>
    <w:rsid w:val="00C40717"/>
    <w:rsid w:val="00C4071A"/>
    <w:rsid w:val="00C4076E"/>
    <w:rsid w:val="00C4086A"/>
    <w:rsid w:val="00C40893"/>
    <w:rsid w:val="00C408A5"/>
    <w:rsid w:val="00C4091D"/>
    <w:rsid w:val="00C40920"/>
    <w:rsid w:val="00C40947"/>
    <w:rsid w:val="00C409AC"/>
    <w:rsid w:val="00C40A19"/>
    <w:rsid w:val="00C40A69"/>
    <w:rsid w:val="00C40C2B"/>
    <w:rsid w:val="00C40CFC"/>
    <w:rsid w:val="00C40D80"/>
    <w:rsid w:val="00C40E2F"/>
    <w:rsid w:val="00C40E7E"/>
    <w:rsid w:val="00C40F5F"/>
    <w:rsid w:val="00C40FFA"/>
    <w:rsid w:val="00C41013"/>
    <w:rsid w:val="00C410CC"/>
    <w:rsid w:val="00C411FF"/>
    <w:rsid w:val="00C41210"/>
    <w:rsid w:val="00C4121F"/>
    <w:rsid w:val="00C41262"/>
    <w:rsid w:val="00C412C4"/>
    <w:rsid w:val="00C413F9"/>
    <w:rsid w:val="00C4150C"/>
    <w:rsid w:val="00C4151F"/>
    <w:rsid w:val="00C415B9"/>
    <w:rsid w:val="00C415BF"/>
    <w:rsid w:val="00C41654"/>
    <w:rsid w:val="00C41657"/>
    <w:rsid w:val="00C41749"/>
    <w:rsid w:val="00C4178D"/>
    <w:rsid w:val="00C417F9"/>
    <w:rsid w:val="00C41829"/>
    <w:rsid w:val="00C41A4B"/>
    <w:rsid w:val="00C41AA3"/>
    <w:rsid w:val="00C41B07"/>
    <w:rsid w:val="00C41C8D"/>
    <w:rsid w:val="00C41CE9"/>
    <w:rsid w:val="00C41D6D"/>
    <w:rsid w:val="00C41D98"/>
    <w:rsid w:val="00C41DFC"/>
    <w:rsid w:val="00C41E56"/>
    <w:rsid w:val="00C41ECA"/>
    <w:rsid w:val="00C41EFC"/>
    <w:rsid w:val="00C41F7F"/>
    <w:rsid w:val="00C41FF1"/>
    <w:rsid w:val="00C42036"/>
    <w:rsid w:val="00C42056"/>
    <w:rsid w:val="00C42090"/>
    <w:rsid w:val="00C42144"/>
    <w:rsid w:val="00C421E6"/>
    <w:rsid w:val="00C4220F"/>
    <w:rsid w:val="00C4236B"/>
    <w:rsid w:val="00C42401"/>
    <w:rsid w:val="00C425A5"/>
    <w:rsid w:val="00C42612"/>
    <w:rsid w:val="00C4279C"/>
    <w:rsid w:val="00C4287F"/>
    <w:rsid w:val="00C428BD"/>
    <w:rsid w:val="00C42B0E"/>
    <w:rsid w:val="00C42BC2"/>
    <w:rsid w:val="00C42D1C"/>
    <w:rsid w:val="00C42E46"/>
    <w:rsid w:val="00C42E5B"/>
    <w:rsid w:val="00C42EFD"/>
    <w:rsid w:val="00C42F2C"/>
    <w:rsid w:val="00C4300E"/>
    <w:rsid w:val="00C4304D"/>
    <w:rsid w:val="00C43283"/>
    <w:rsid w:val="00C43303"/>
    <w:rsid w:val="00C433D3"/>
    <w:rsid w:val="00C43407"/>
    <w:rsid w:val="00C43505"/>
    <w:rsid w:val="00C435B2"/>
    <w:rsid w:val="00C436BE"/>
    <w:rsid w:val="00C436C5"/>
    <w:rsid w:val="00C436C8"/>
    <w:rsid w:val="00C43772"/>
    <w:rsid w:val="00C43822"/>
    <w:rsid w:val="00C4384D"/>
    <w:rsid w:val="00C43852"/>
    <w:rsid w:val="00C4392A"/>
    <w:rsid w:val="00C43A7B"/>
    <w:rsid w:val="00C43B5D"/>
    <w:rsid w:val="00C43C1E"/>
    <w:rsid w:val="00C43CBB"/>
    <w:rsid w:val="00C43D21"/>
    <w:rsid w:val="00C43DC9"/>
    <w:rsid w:val="00C43DCD"/>
    <w:rsid w:val="00C43DF3"/>
    <w:rsid w:val="00C43DF8"/>
    <w:rsid w:val="00C43EF1"/>
    <w:rsid w:val="00C43F45"/>
    <w:rsid w:val="00C43FE7"/>
    <w:rsid w:val="00C43FEB"/>
    <w:rsid w:val="00C4400E"/>
    <w:rsid w:val="00C44039"/>
    <w:rsid w:val="00C4412C"/>
    <w:rsid w:val="00C4416C"/>
    <w:rsid w:val="00C441F2"/>
    <w:rsid w:val="00C44394"/>
    <w:rsid w:val="00C443A4"/>
    <w:rsid w:val="00C443F6"/>
    <w:rsid w:val="00C443FC"/>
    <w:rsid w:val="00C44406"/>
    <w:rsid w:val="00C44407"/>
    <w:rsid w:val="00C44451"/>
    <w:rsid w:val="00C44474"/>
    <w:rsid w:val="00C444A7"/>
    <w:rsid w:val="00C4469E"/>
    <w:rsid w:val="00C446C0"/>
    <w:rsid w:val="00C44761"/>
    <w:rsid w:val="00C4478C"/>
    <w:rsid w:val="00C447B7"/>
    <w:rsid w:val="00C44847"/>
    <w:rsid w:val="00C44906"/>
    <w:rsid w:val="00C44949"/>
    <w:rsid w:val="00C44B51"/>
    <w:rsid w:val="00C44C4E"/>
    <w:rsid w:val="00C44CE3"/>
    <w:rsid w:val="00C44D12"/>
    <w:rsid w:val="00C44D63"/>
    <w:rsid w:val="00C44E1A"/>
    <w:rsid w:val="00C4508C"/>
    <w:rsid w:val="00C45191"/>
    <w:rsid w:val="00C451F2"/>
    <w:rsid w:val="00C451F6"/>
    <w:rsid w:val="00C452BE"/>
    <w:rsid w:val="00C45373"/>
    <w:rsid w:val="00C4539B"/>
    <w:rsid w:val="00C4545F"/>
    <w:rsid w:val="00C4551F"/>
    <w:rsid w:val="00C45576"/>
    <w:rsid w:val="00C455C8"/>
    <w:rsid w:val="00C45613"/>
    <w:rsid w:val="00C4566A"/>
    <w:rsid w:val="00C45676"/>
    <w:rsid w:val="00C45768"/>
    <w:rsid w:val="00C457C9"/>
    <w:rsid w:val="00C45818"/>
    <w:rsid w:val="00C458AB"/>
    <w:rsid w:val="00C459A5"/>
    <w:rsid w:val="00C45A46"/>
    <w:rsid w:val="00C45AB9"/>
    <w:rsid w:val="00C45ACF"/>
    <w:rsid w:val="00C45AD2"/>
    <w:rsid w:val="00C45B46"/>
    <w:rsid w:val="00C45C4C"/>
    <w:rsid w:val="00C45E64"/>
    <w:rsid w:val="00C4603A"/>
    <w:rsid w:val="00C46114"/>
    <w:rsid w:val="00C461E9"/>
    <w:rsid w:val="00C46327"/>
    <w:rsid w:val="00C46392"/>
    <w:rsid w:val="00C463E0"/>
    <w:rsid w:val="00C46415"/>
    <w:rsid w:val="00C46443"/>
    <w:rsid w:val="00C464CE"/>
    <w:rsid w:val="00C464D1"/>
    <w:rsid w:val="00C46549"/>
    <w:rsid w:val="00C46662"/>
    <w:rsid w:val="00C467BD"/>
    <w:rsid w:val="00C467CF"/>
    <w:rsid w:val="00C4680A"/>
    <w:rsid w:val="00C46840"/>
    <w:rsid w:val="00C468A2"/>
    <w:rsid w:val="00C468A9"/>
    <w:rsid w:val="00C46940"/>
    <w:rsid w:val="00C46A20"/>
    <w:rsid w:val="00C46B34"/>
    <w:rsid w:val="00C46B54"/>
    <w:rsid w:val="00C46C62"/>
    <w:rsid w:val="00C46CE2"/>
    <w:rsid w:val="00C46D36"/>
    <w:rsid w:val="00C46E78"/>
    <w:rsid w:val="00C47010"/>
    <w:rsid w:val="00C4708A"/>
    <w:rsid w:val="00C4708B"/>
    <w:rsid w:val="00C4709E"/>
    <w:rsid w:val="00C471B5"/>
    <w:rsid w:val="00C471D3"/>
    <w:rsid w:val="00C4732B"/>
    <w:rsid w:val="00C47484"/>
    <w:rsid w:val="00C474B6"/>
    <w:rsid w:val="00C474EE"/>
    <w:rsid w:val="00C4755B"/>
    <w:rsid w:val="00C4764D"/>
    <w:rsid w:val="00C477E2"/>
    <w:rsid w:val="00C47872"/>
    <w:rsid w:val="00C47A74"/>
    <w:rsid w:val="00C47A86"/>
    <w:rsid w:val="00C47BD2"/>
    <w:rsid w:val="00C47C06"/>
    <w:rsid w:val="00C47C38"/>
    <w:rsid w:val="00C47C82"/>
    <w:rsid w:val="00C47D0E"/>
    <w:rsid w:val="00C47D74"/>
    <w:rsid w:val="00C47D7B"/>
    <w:rsid w:val="00C47D96"/>
    <w:rsid w:val="00C47DB6"/>
    <w:rsid w:val="00C47E10"/>
    <w:rsid w:val="00C47E27"/>
    <w:rsid w:val="00C47EA7"/>
    <w:rsid w:val="00C47EB8"/>
    <w:rsid w:val="00C47EE3"/>
    <w:rsid w:val="00C47F1E"/>
    <w:rsid w:val="00C47FEE"/>
    <w:rsid w:val="00C50102"/>
    <w:rsid w:val="00C5010F"/>
    <w:rsid w:val="00C50141"/>
    <w:rsid w:val="00C5014B"/>
    <w:rsid w:val="00C50194"/>
    <w:rsid w:val="00C5019D"/>
    <w:rsid w:val="00C50228"/>
    <w:rsid w:val="00C502C7"/>
    <w:rsid w:val="00C50330"/>
    <w:rsid w:val="00C50358"/>
    <w:rsid w:val="00C50359"/>
    <w:rsid w:val="00C50446"/>
    <w:rsid w:val="00C50490"/>
    <w:rsid w:val="00C5069C"/>
    <w:rsid w:val="00C5069E"/>
    <w:rsid w:val="00C5090A"/>
    <w:rsid w:val="00C50B05"/>
    <w:rsid w:val="00C50C79"/>
    <w:rsid w:val="00C50CCA"/>
    <w:rsid w:val="00C50CD5"/>
    <w:rsid w:val="00C50D55"/>
    <w:rsid w:val="00C50F79"/>
    <w:rsid w:val="00C50F94"/>
    <w:rsid w:val="00C510A5"/>
    <w:rsid w:val="00C51186"/>
    <w:rsid w:val="00C5120C"/>
    <w:rsid w:val="00C5124C"/>
    <w:rsid w:val="00C51311"/>
    <w:rsid w:val="00C513A3"/>
    <w:rsid w:val="00C513BA"/>
    <w:rsid w:val="00C5144A"/>
    <w:rsid w:val="00C5145A"/>
    <w:rsid w:val="00C51531"/>
    <w:rsid w:val="00C5157B"/>
    <w:rsid w:val="00C5158B"/>
    <w:rsid w:val="00C51710"/>
    <w:rsid w:val="00C5183B"/>
    <w:rsid w:val="00C5188D"/>
    <w:rsid w:val="00C51979"/>
    <w:rsid w:val="00C5198C"/>
    <w:rsid w:val="00C51A34"/>
    <w:rsid w:val="00C51AA1"/>
    <w:rsid w:val="00C51B65"/>
    <w:rsid w:val="00C51BE5"/>
    <w:rsid w:val="00C51BE7"/>
    <w:rsid w:val="00C51C92"/>
    <w:rsid w:val="00C51D2C"/>
    <w:rsid w:val="00C51F35"/>
    <w:rsid w:val="00C52121"/>
    <w:rsid w:val="00C52207"/>
    <w:rsid w:val="00C52231"/>
    <w:rsid w:val="00C52250"/>
    <w:rsid w:val="00C52269"/>
    <w:rsid w:val="00C52325"/>
    <w:rsid w:val="00C5233C"/>
    <w:rsid w:val="00C523A1"/>
    <w:rsid w:val="00C523AA"/>
    <w:rsid w:val="00C523AE"/>
    <w:rsid w:val="00C5246B"/>
    <w:rsid w:val="00C524FA"/>
    <w:rsid w:val="00C525A3"/>
    <w:rsid w:val="00C52600"/>
    <w:rsid w:val="00C5260D"/>
    <w:rsid w:val="00C52688"/>
    <w:rsid w:val="00C526DC"/>
    <w:rsid w:val="00C526ED"/>
    <w:rsid w:val="00C527B3"/>
    <w:rsid w:val="00C52908"/>
    <w:rsid w:val="00C52982"/>
    <w:rsid w:val="00C52996"/>
    <w:rsid w:val="00C529AC"/>
    <w:rsid w:val="00C52A8C"/>
    <w:rsid w:val="00C52B95"/>
    <w:rsid w:val="00C52C64"/>
    <w:rsid w:val="00C52D16"/>
    <w:rsid w:val="00C52D80"/>
    <w:rsid w:val="00C52E93"/>
    <w:rsid w:val="00C52EBA"/>
    <w:rsid w:val="00C52F05"/>
    <w:rsid w:val="00C52F07"/>
    <w:rsid w:val="00C52F79"/>
    <w:rsid w:val="00C5309C"/>
    <w:rsid w:val="00C530BF"/>
    <w:rsid w:val="00C530F5"/>
    <w:rsid w:val="00C5312A"/>
    <w:rsid w:val="00C5319B"/>
    <w:rsid w:val="00C531E2"/>
    <w:rsid w:val="00C53301"/>
    <w:rsid w:val="00C53316"/>
    <w:rsid w:val="00C5337F"/>
    <w:rsid w:val="00C533CB"/>
    <w:rsid w:val="00C53400"/>
    <w:rsid w:val="00C53402"/>
    <w:rsid w:val="00C53586"/>
    <w:rsid w:val="00C5361A"/>
    <w:rsid w:val="00C53675"/>
    <w:rsid w:val="00C53676"/>
    <w:rsid w:val="00C536B5"/>
    <w:rsid w:val="00C53734"/>
    <w:rsid w:val="00C53827"/>
    <w:rsid w:val="00C539C5"/>
    <w:rsid w:val="00C53AB1"/>
    <w:rsid w:val="00C53B99"/>
    <w:rsid w:val="00C53BB1"/>
    <w:rsid w:val="00C53BF3"/>
    <w:rsid w:val="00C53C3E"/>
    <w:rsid w:val="00C53C62"/>
    <w:rsid w:val="00C53D6B"/>
    <w:rsid w:val="00C53D8C"/>
    <w:rsid w:val="00C53E38"/>
    <w:rsid w:val="00C53EA6"/>
    <w:rsid w:val="00C54131"/>
    <w:rsid w:val="00C54349"/>
    <w:rsid w:val="00C544A9"/>
    <w:rsid w:val="00C544FC"/>
    <w:rsid w:val="00C5469A"/>
    <w:rsid w:val="00C547A8"/>
    <w:rsid w:val="00C54892"/>
    <w:rsid w:val="00C549E9"/>
    <w:rsid w:val="00C54A2F"/>
    <w:rsid w:val="00C54B77"/>
    <w:rsid w:val="00C54BD5"/>
    <w:rsid w:val="00C54C55"/>
    <w:rsid w:val="00C54C72"/>
    <w:rsid w:val="00C54CF6"/>
    <w:rsid w:val="00C54DB9"/>
    <w:rsid w:val="00C54DE8"/>
    <w:rsid w:val="00C54F4E"/>
    <w:rsid w:val="00C54F92"/>
    <w:rsid w:val="00C55034"/>
    <w:rsid w:val="00C55049"/>
    <w:rsid w:val="00C5520E"/>
    <w:rsid w:val="00C552C6"/>
    <w:rsid w:val="00C55434"/>
    <w:rsid w:val="00C5543B"/>
    <w:rsid w:val="00C55440"/>
    <w:rsid w:val="00C55554"/>
    <w:rsid w:val="00C55586"/>
    <w:rsid w:val="00C55633"/>
    <w:rsid w:val="00C5573C"/>
    <w:rsid w:val="00C557FD"/>
    <w:rsid w:val="00C55801"/>
    <w:rsid w:val="00C5583B"/>
    <w:rsid w:val="00C55856"/>
    <w:rsid w:val="00C558BF"/>
    <w:rsid w:val="00C55904"/>
    <w:rsid w:val="00C55958"/>
    <w:rsid w:val="00C559AC"/>
    <w:rsid w:val="00C55B36"/>
    <w:rsid w:val="00C55C99"/>
    <w:rsid w:val="00C55D08"/>
    <w:rsid w:val="00C55DBE"/>
    <w:rsid w:val="00C55E25"/>
    <w:rsid w:val="00C55E44"/>
    <w:rsid w:val="00C55EB4"/>
    <w:rsid w:val="00C55EE8"/>
    <w:rsid w:val="00C55FF4"/>
    <w:rsid w:val="00C5603B"/>
    <w:rsid w:val="00C561FA"/>
    <w:rsid w:val="00C5621B"/>
    <w:rsid w:val="00C56365"/>
    <w:rsid w:val="00C564FE"/>
    <w:rsid w:val="00C56501"/>
    <w:rsid w:val="00C5657F"/>
    <w:rsid w:val="00C565EF"/>
    <w:rsid w:val="00C5660B"/>
    <w:rsid w:val="00C566F8"/>
    <w:rsid w:val="00C5670F"/>
    <w:rsid w:val="00C56725"/>
    <w:rsid w:val="00C5674C"/>
    <w:rsid w:val="00C5678D"/>
    <w:rsid w:val="00C569CB"/>
    <w:rsid w:val="00C56A0B"/>
    <w:rsid w:val="00C56A7C"/>
    <w:rsid w:val="00C56B43"/>
    <w:rsid w:val="00C56B5A"/>
    <w:rsid w:val="00C56B7E"/>
    <w:rsid w:val="00C56C1C"/>
    <w:rsid w:val="00C56D47"/>
    <w:rsid w:val="00C56D7F"/>
    <w:rsid w:val="00C56EB0"/>
    <w:rsid w:val="00C56F7D"/>
    <w:rsid w:val="00C56FBA"/>
    <w:rsid w:val="00C56FCD"/>
    <w:rsid w:val="00C56FD1"/>
    <w:rsid w:val="00C57218"/>
    <w:rsid w:val="00C57242"/>
    <w:rsid w:val="00C572F1"/>
    <w:rsid w:val="00C572FF"/>
    <w:rsid w:val="00C5735E"/>
    <w:rsid w:val="00C57385"/>
    <w:rsid w:val="00C57521"/>
    <w:rsid w:val="00C57526"/>
    <w:rsid w:val="00C57584"/>
    <w:rsid w:val="00C57704"/>
    <w:rsid w:val="00C57721"/>
    <w:rsid w:val="00C5776B"/>
    <w:rsid w:val="00C577E7"/>
    <w:rsid w:val="00C578BC"/>
    <w:rsid w:val="00C57930"/>
    <w:rsid w:val="00C57A1F"/>
    <w:rsid w:val="00C57A7C"/>
    <w:rsid w:val="00C57A83"/>
    <w:rsid w:val="00C57AFD"/>
    <w:rsid w:val="00C57C04"/>
    <w:rsid w:val="00C57DA8"/>
    <w:rsid w:val="00C57DF1"/>
    <w:rsid w:val="00C57E0A"/>
    <w:rsid w:val="00C57E4F"/>
    <w:rsid w:val="00C57F53"/>
    <w:rsid w:val="00C57FF0"/>
    <w:rsid w:val="00C600DA"/>
    <w:rsid w:val="00C6022B"/>
    <w:rsid w:val="00C6026C"/>
    <w:rsid w:val="00C602D0"/>
    <w:rsid w:val="00C60427"/>
    <w:rsid w:val="00C6076F"/>
    <w:rsid w:val="00C6079E"/>
    <w:rsid w:val="00C607AF"/>
    <w:rsid w:val="00C60848"/>
    <w:rsid w:val="00C60849"/>
    <w:rsid w:val="00C60A41"/>
    <w:rsid w:val="00C60B2D"/>
    <w:rsid w:val="00C60B74"/>
    <w:rsid w:val="00C60B78"/>
    <w:rsid w:val="00C60BD6"/>
    <w:rsid w:val="00C60D26"/>
    <w:rsid w:val="00C60DC1"/>
    <w:rsid w:val="00C60E4B"/>
    <w:rsid w:val="00C60E51"/>
    <w:rsid w:val="00C60E7B"/>
    <w:rsid w:val="00C60E81"/>
    <w:rsid w:val="00C60F19"/>
    <w:rsid w:val="00C60F96"/>
    <w:rsid w:val="00C60FDB"/>
    <w:rsid w:val="00C61031"/>
    <w:rsid w:val="00C61080"/>
    <w:rsid w:val="00C61097"/>
    <w:rsid w:val="00C610AD"/>
    <w:rsid w:val="00C61212"/>
    <w:rsid w:val="00C61255"/>
    <w:rsid w:val="00C612C3"/>
    <w:rsid w:val="00C61492"/>
    <w:rsid w:val="00C61561"/>
    <w:rsid w:val="00C6162A"/>
    <w:rsid w:val="00C61636"/>
    <w:rsid w:val="00C616B8"/>
    <w:rsid w:val="00C616E4"/>
    <w:rsid w:val="00C6170C"/>
    <w:rsid w:val="00C617F9"/>
    <w:rsid w:val="00C6185B"/>
    <w:rsid w:val="00C6194C"/>
    <w:rsid w:val="00C61B3B"/>
    <w:rsid w:val="00C61B55"/>
    <w:rsid w:val="00C61B9F"/>
    <w:rsid w:val="00C61CAE"/>
    <w:rsid w:val="00C61CE5"/>
    <w:rsid w:val="00C61D04"/>
    <w:rsid w:val="00C61D0C"/>
    <w:rsid w:val="00C61D15"/>
    <w:rsid w:val="00C61D20"/>
    <w:rsid w:val="00C61F40"/>
    <w:rsid w:val="00C620C9"/>
    <w:rsid w:val="00C62144"/>
    <w:rsid w:val="00C621B9"/>
    <w:rsid w:val="00C622D7"/>
    <w:rsid w:val="00C6233E"/>
    <w:rsid w:val="00C624E3"/>
    <w:rsid w:val="00C625CC"/>
    <w:rsid w:val="00C62767"/>
    <w:rsid w:val="00C629C9"/>
    <w:rsid w:val="00C62A18"/>
    <w:rsid w:val="00C62AAB"/>
    <w:rsid w:val="00C62B30"/>
    <w:rsid w:val="00C62BAC"/>
    <w:rsid w:val="00C62C2B"/>
    <w:rsid w:val="00C62C7E"/>
    <w:rsid w:val="00C62CE5"/>
    <w:rsid w:val="00C62D61"/>
    <w:rsid w:val="00C62DFC"/>
    <w:rsid w:val="00C62E07"/>
    <w:rsid w:val="00C62E43"/>
    <w:rsid w:val="00C62E8A"/>
    <w:rsid w:val="00C62FF3"/>
    <w:rsid w:val="00C6303B"/>
    <w:rsid w:val="00C63061"/>
    <w:rsid w:val="00C630BA"/>
    <w:rsid w:val="00C630FE"/>
    <w:rsid w:val="00C63375"/>
    <w:rsid w:val="00C6340E"/>
    <w:rsid w:val="00C63443"/>
    <w:rsid w:val="00C6351C"/>
    <w:rsid w:val="00C6355D"/>
    <w:rsid w:val="00C63565"/>
    <w:rsid w:val="00C63570"/>
    <w:rsid w:val="00C635CE"/>
    <w:rsid w:val="00C6377F"/>
    <w:rsid w:val="00C63886"/>
    <w:rsid w:val="00C63939"/>
    <w:rsid w:val="00C63A2E"/>
    <w:rsid w:val="00C63A82"/>
    <w:rsid w:val="00C63B2A"/>
    <w:rsid w:val="00C63BA1"/>
    <w:rsid w:val="00C63C76"/>
    <w:rsid w:val="00C63C8A"/>
    <w:rsid w:val="00C63C8F"/>
    <w:rsid w:val="00C63D03"/>
    <w:rsid w:val="00C63D64"/>
    <w:rsid w:val="00C63DC6"/>
    <w:rsid w:val="00C63E80"/>
    <w:rsid w:val="00C63F55"/>
    <w:rsid w:val="00C640D2"/>
    <w:rsid w:val="00C640EA"/>
    <w:rsid w:val="00C64128"/>
    <w:rsid w:val="00C64197"/>
    <w:rsid w:val="00C64308"/>
    <w:rsid w:val="00C64461"/>
    <w:rsid w:val="00C6449A"/>
    <w:rsid w:val="00C644C0"/>
    <w:rsid w:val="00C644EB"/>
    <w:rsid w:val="00C64749"/>
    <w:rsid w:val="00C647FA"/>
    <w:rsid w:val="00C64867"/>
    <w:rsid w:val="00C64942"/>
    <w:rsid w:val="00C649FE"/>
    <w:rsid w:val="00C64A3A"/>
    <w:rsid w:val="00C64A3C"/>
    <w:rsid w:val="00C64A68"/>
    <w:rsid w:val="00C64BA0"/>
    <w:rsid w:val="00C64C57"/>
    <w:rsid w:val="00C64CAE"/>
    <w:rsid w:val="00C64D06"/>
    <w:rsid w:val="00C64FDB"/>
    <w:rsid w:val="00C6512A"/>
    <w:rsid w:val="00C651B7"/>
    <w:rsid w:val="00C651E1"/>
    <w:rsid w:val="00C65257"/>
    <w:rsid w:val="00C653D7"/>
    <w:rsid w:val="00C65415"/>
    <w:rsid w:val="00C65569"/>
    <w:rsid w:val="00C655B1"/>
    <w:rsid w:val="00C655FF"/>
    <w:rsid w:val="00C656C2"/>
    <w:rsid w:val="00C65702"/>
    <w:rsid w:val="00C65789"/>
    <w:rsid w:val="00C657B4"/>
    <w:rsid w:val="00C658CA"/>
    <w:rsid w:val="00C658EF"/>
    <w:rsid w:val="00C65973"/>
    <w:rsid w:val="00C659CA"/>
    <w:rsid w:val="00C65A9B"/>
    <w:rsid w:val="00C65B15"/>
    <w:rsid w:val="00C65D17"/>
    <w:rsid w:val="00C65D32"/>
    <w:rsid w:val="00C65D8E"/>
    <w:rsid w:val="00C65E25"/>
    <w:rsid w:val="00C66054"/>
    <w:rsid w:val="00C66082"/>
    <w:rsid w:val="00C66099"/>
    <w:rsid w:val="00C660AE"/>
    <w:rsid w:val="00C660F5"/>
    <w:rsid w:val="00C661FB"/>
    <w:rsid w:val="00C6628B"/>
    <w:rsid w:val="00C66404"/>
    <w:rsid w:val="00C6640B"/>
    <w:rsid w:val="00C66426"/>
    <w:rsid w:val="00C66553"/>
    <w:rsid w:val="00C66570"/>
    <w:rsid w:val="00C66626"/>
    <w:rsid w:val="00C666E8"/>
    <w:rsid w:val="00C66738"/>
    <w:rsid w:val="00C66782"/>
    <w:rsid w:val="00C66788"/>
    <w:rsid w:val="00C6679C"/>
    <w:rsid w:val="00C66900"/>
    <w:rsid w:val="00C66919"/>
    <w:rsid w:val="00C66975"/>
    <w:rsid w:val="00C6699D"/>
    <w:rsid w:val="00C669B7"/>
    <w:rsid w:val="00C669BD"/>
    <w:rsid w:val="00C66A7E"/>
    <w:rsid w:val="00C66AAC"/>
    <w:rsid w:val="00C66B11"/>
    <w:rsid w:val="00C66E16"/>
    <w:rsid w:val="00C66F9B"/>
    <w:rsid w:val="00C67155"/>
    <w:rsid w:val="00C671DA"/>
    <w:rsid w:val="00C6720B"/>
    <w:rsid w:val="00C67246"/>
    <w:rsid w:val="00C67334"/>
    <w:rsid w:val="00C6738D"/>
    <w:rsid w:val="00C673EF"/>
    <w:rsid w:val="00C67456"/>
    <w:rsid w:val="00C674C9"/>
    <w:rsid w:val="00C67550"/>
    <w:rsid w:val="00C6762C"/>
    <w:rsid w:val="00C67639"/>
    <w:rsid w:val="00C6766B"/>
    <w:rsid w:val="00C676DA"/>
    <w:rsid w:val="00C677A8"/>
    <w:rsid w:val="00C67916"/>
    <w:rsid w:val="00C6796F"/>
    <w:rsid w:val="00C679F5"/>
    <w:rsid w:val="00C67A51"/>
    <w:rsid w:val="00C67A6F"/>
    <w:rsid w:val="00C67ABB"/>
    <w:rsid w:val="00C67C7E"/>
    <w:rsid w:val="00C67D24"/>
    <w:rsid w:val="00C67D78"/>
    <w:rsid w:val="00C67DBE"/>
    <w:rsid w:val="00C67DF9"/>
    <w:rsid w:val="00C67F04"/>
    <w:rsid w:val="00C67F8B"/>
    <w:rsid w:val="00C67F9D"/>
    <w:rsid w:val="00C700D0"/>
    <w:rsid w:val="00C701D5"/>
    <w:rsid w:val="00C702D4"/>
    <w:rsid w:val="00C70345"/>
    <w:rsid w:val="00C70493"/>
    <w:rsid w:val="00C704CE"/>
    <w:rsid w:val="00C7057A"/>
    <w:rsid w:val="00C70683"/>
    <w:rsid w:val="00C70699"/>
    <w:rsid w:val="00C70891"/>
    <w:rsid w:val="00C7097E"/>
    <w:rsid w:val="00C70992"/>
    <w:rsid w:val="00C70999"/>
    <w:rsid w:val="00C70A7A"/>
    <w:rsid w:val="00C70A8B"/>
    <w:rsid w:val="00C70D0B"/>
    <w:rsid w:val="00C70D25"/>
    <w:rsid w:val="00C70D43"/>
    <w:rsid w:val="00C70E62"/>
    <w:rsid w:val="00C70F9A"/>
    <w:rsid w:val="00C70FFB"/>
    <w:rsid w:val="00C711D4"/>
    <w:rsid w:val="00C71270"/>
    <w:rsid w:val="00C71328"/>
    <w:rsid w:val="00C71502"/>
    <w:rsid w:val="00C71525"/>
    <w:rsid w:val="00C717BE"/>
    <w:rsid w:val="00C71802"/>
    <w:rsid w:val="00C71895"/>
    <w:rsid w:val="00C719A9"/>
    <w:rsid w:val="00C71A29"/>
    <w:rsid w:val="00C71B05"/>
    <w:rsid w:val="00C71B3C"/>
    <w:rsid w:val="00C71C3F"/>
    <w:rsid w:val="00C71C48"/>
    <w:rsid w:val="00C71C54"/>
    <w:rsid w:val="00C71E20"/>
    <w:rsid w:val="00C71E5B"/>
    <w:rsid w:val="00C71F5A"/>
    <w:rsid w:val="00C71FAA"/>
    <w:rsid w:val="00C71FF4"/>
    <w:rsid w:val="00C72059"/>
    <w:rsid w:val="00C72065"/>
    <w:rsid w:val="00C720C5"/>
    <w:rsid w:val="00C721B9"/>
    <w:rsid w:val="00C721BD"/>
    <w:rsid w:val="00C721C2"/>
    <w:rsid w:val="00C721F8"/>
    <w:rsid w:val="00C722E2"/>
    <w:rsid w:val="00C722FC"/>
    <w:rsid w:val="00C7231E"/>
    <w:rsid w:val="00C72332"/>
    <w:rsid w:val="00C723B7"/>
    <w:rsid w:val="00C72490"/>
    <w:rsid w:val="00C724C3"/>
    <w:rsid w:val="00C72537"/>
    <w:rsid w:val="00C72608"/>
    <w:rsid w:val="00C72624"/>
    <w:rsid w:val="00C7275E"/>
    <w:rsid w:val="00C728AE"/>
    <w:rsid w:val="00C72933"/>
    <w:rsid w:val="00C729DC"/>
    <w:rsid w:val="00C72BE0"/>
    <w:rsid w:val="00C72D98"/>
    <w:rsid w:val="00C73026"/>
    <w:rsid w:val="00C7303C"/>
    <w:rsid w:val="00C73059"/>
    <w:rsid w:val="00C730F9"/>
    <w:rsid w:val="00C73182"/>
    <w:rsid w:val="00C73200"/>
    <w:rsid w:val="00C7322B"/>
    <w:rsid w:val="00C732AE"/>
    <w:rsid w:val="00C733AC"/>
    <w:rsid w:val="00C73609"/>
    <w:rsid w:val="00C73660"/>
    <w:rsid w:val="00C736EE"/>
    <w:rsid w:val="00C73802"/>
    <w:rsid w:val="00C7394C"/>
    <w:rsid w:val="00C73950"/>
    <w:rsid w:val="00C73975"/>
    <w:rsid w:val="00C73A5B"/>
    <w:rsid w:val="00C73C4E"/>
    <w:rsid w:val="00C73C66"/>
    <w:rsid w:val="00C73D25"/>
    <w:rsid w:val="00C73D30"/>
    <w:rsid w:val="00C73D8C"/>
    <w:rsid w:val="00C74037"/>
    <w:rsid w:val="00C741FB"/>
    <w:rsid w:val="00C741FE"/>
    <w:rsid w:val="00C7423B"/>
    <w:rsid w:val="00C74242"/>
    <w:rsid w:val="00C74343"/>
    <w:rsid w:val="00C7439A"/>
    <w:rsid w:val="00C74428"/>
    <w:rsid w:val="00C7446F"/>
    <w:rsid w:val="00C7447E"/>
    <w:rsid w:val="00C744F5"/>
    <w:rsid w:val="00C74576"/>
    <w:rsid w:val="00C745FE"/>
    <w:rsid w:val="00C7470F"/>
    <w:rsid w:val="00C74819"/>
    <w:rsid w:val="00C7490A"/>
    <w:rsid w:val="00C7492D"/>
    <w:rsid w:val="00C74AB0"/>
    <w:rsid w:val="00C74AF4"/>
    <w:rsid w:val="00C74B9A"/>
    <w:rsid w:val="00C74C43"/>
    <w:rsid w:val="00C74C84"/>
    <w:rsid w:val="00C74CAC"/>
    <w:rsid w:val="00C74CDD"/>
    <w:rsid w:val="00C74D29"/>
    <w:rsid w:val="00C74E1E"/>
    <w:rsid w:val="00C74F5C"/>
    <w:rsid w:val="00C74F71"/>
    <w:rsid w:val="00C74FDB"/>
    <w:rsid w:val="00C7508B"/>
    <w:rsid w:val="00C751D7"/>
    <w:rsid w:val="00C75210"/>
    <w:rsid w:val="00C75281"/>
    <w:rsid w:val="00C752BC"/>
    <w:rsid w:val="00C752D4"/>
    <w:rsid w:val="00C7530C"/>
    <w:rsid w:val="00C7532D"/>
    <w:rsid w:val="00C753D3"/>
    <w:rsid w:val="00C75473"/>
    <w:rsid w:val="00C7548D"/>
    <w:rsid w:val="00C754B2"/>
    <w:rsid w:val="00C755E4"/>
    <w:rsid w:val="00C75710"/>
    <w:rsid w:val="00C75766"/>
    <w:rsid w:val="00C7579F"/>
    <w:rsid w:val="00C7588F"/>
    <w:rsid w:val="00C7593C"/>
    <w:rsid w:val="00C75B31"/>
    <w:rsid w:val="00C75B5B"/>
    <w:rsid w:val="00C75CEF"/>
    <w:rsid w:val="00C75D35"/>
    <w:rsid w:val="00C75E6E"/>
    <w:rsid w:val="00C75E9E"/>
    <w:rsid w:val="00C75EAA"/>
    <w:rsid w:val="00C7603E"/>
    <w:rsid w:val="00C76087"/>
    <w:rsid w:val="00C760A0"/>
    <w:rsid w:val="00C760DF"/>
    <w:rsid w:val="00C7610F"/>
    <w:rsid w:val="00C7627D"/>
    <w:rsid w:val="00C762DB"/>
    <w:rsid w:val="00C7631B"/>
    <w:rsid w:val="00C76389"/>
    <w:rsid w:val="00C764E7"/>
    <w:rsid w:val="00C7654B"/>
    <w:rsid w:val="00C7655F"/>
    <w:rsid w:val="00C76560"/>
    <w:rsid w:val="00C76570"/>
    <w:rsid w:val="00C7659F"/>
    <w:rsid w:val="00C765E8"/>
    <w:rsid w:val="00C7660F"/>
    <w:rsid w:val="00C76728"/>
    <w:rsid w:val="00C7674A"/>
    <w:rsid w:val="00C76789"/>
    <w:rsid w:val="00C7678F"/>
    <w:rsid w:val="00C76790"/>
    <w:rsid w:val="00C767C4"/>
    <w:rsid w:val="00C7690C"/>
    <w:rsid w:val="00C769A0"/>
    <w:rsid w:val="00C76BD7"/>
    <w:rsid w:val="00C76BE9"/>
    <w:rsid w:val="00C76C16"/>
    <w:rsid w:val="00C76C73"/>
    <w:rsid w:val="00C76C75"/>
    <w:rsid w:val="00C76E0F"/>
    <w:rsid w:val="00C76EBD"/>
    <w:rsid w:val="00C76ED7"/>
    <w:rsid w:val="00C76FB5"/>
    <w:rsid w:val="00C76FC4"/>
    <w:rsid w:val="00C76FF1"/>
    <w:rsid w:val="00C7701C"/>
    <w:rsid w:val="00C77024"/>
    <w:rsid w:val="00C770C5"/>
    <w:rsid w:val="00C771B3"/>
    <w:rsid w:val="00C7722C"/>
    <w:rsid w:val="00C77409"/>
    <w:rsid w:val="00C77532"/>
    <w:rsid w:val="00C77541"/>
    <w:rsid w:val="00C7788B"/>
    <w:rsid w:val="00C77A3B"/>
    <w:rsid w:val="00C77A43"/>
    <w:rsid w:val="00C77A4B"/>
    <w:rsid w:val="00C77AF3"/>
    <w:rsid w:val="00C77B18"/>
    <w:rsid w:val="00C77B20"/>
    <w:rsid w:val="00C77BF5"/>
    <w:rsid w:val="00C77CF9"/>
    <w:rsid w:val="00C77D52"/>
    <w:rsid w:val="00C77E1E"/>
    <w:rsid w:val="00C77EEC"/>
    <w:rsid w:val="00C77FA1"/>
    <w:rsid w:val="00C800DF"/>
    <w:rsid w:val="00C80171"/>
    <w:rsid w:val="00C80206"/>
    <w:rsid w:val="00C80277"/>
    <w:rsid w:val="00C80288"/>
    <w:rsid w:val="00C8030A"/>
    <w:rsid w:val="00C80377"/>
    <w:rsid w:val="00C80508"/>
    <w:rsid w:val="00C80523"/>
    <w:rsid w:val="00C80596"/>
    <w:rsid w:val="00C80682"/>
    <w:rsid w:val="00C80734"/>
    <w:rsid w:val="00C8093C"/>
    <w:rsid w:val="00C80980"/>
    <w:rsid w:val="00C80A65"/>
    <w:rsid w:val="00C80AA6"/>
    <w:rsid w:val="00C80B13"/>
    <w:rsid w:val="00C80B7F"/>
    <w:rsid w:val="00C80CC4"/>
    <w:rsid w:val="00C80DAF"/>
    <w:rsid w:val="00C80F03"/>
    <w:rsid w:val="00C8102A"/>
    <w:rsid w:val="00C810E6"/>
    <w:rsid w:val="00C812A4"/>
    <w:rsid w:val="00C81682"/>
    <w:rsid w:val="00C816BF"/>
    <w:rsid w:val="00C8171E"/>
    <w:rsid w:val="00C8177D"/>
    <w:rsid w:val="00C817C3"/>
    <w:rsid w:val="00C8198E"/>
    <w:rsid w:val="00C81AB5"/>
    <w:rsid w:val="00C81AC8"/>
    <w:rsid w:val="00C81B4D"/>
    <w:rsid w:val="00C81B5B"/>
    <w:rsid w:val="00C81BB3"/>
    <w:rsid w:val="00C81D29"/>
    <w:rsid w:val="00C81E3C"/>
    <w:rsid w:val="00C81F97"/>
    <w:rsid w:val="00C81FA9"/>
    <w:rsid w:val="00C8204C"/>
    <w:rsid w:val="00C82117"/>
    <w:rsid w:val="00C82169"/>
    <w:rsid w:val="00C822D8"/>
    <w:rsid w:val="00C823F7"/>
    <w:rsid w:val="00C8241F"/>
    <w:rsid w:val="00C824DF"/>
    <w:rsid w:val="00C824F1"/>
    <w:rsid w:val="00C82510"/>
    <w:rsid w:val="00C827AA"/>
    <w:rsid w:val="00C827B9"/>
    <w:rsid w:val="00C827E7"/>
    <w:rsid w:val="00C828D4"/>
    <w:rsid w:val="00C8295C"/>
    <w:rsid w:val="00C82960"/>
    <w:rsid w:val="00C829BA"/>
    <w:rsid w:val="00C82A81"/>
    <w:rsid w:val="00C82C30"/>
    <w:rsid w:val="00C82D57"/>
    <w:rsid w:val="00C82DAD"/>
    <w:rsid w:val="00C82E01"/>
    <w:rsid w:val="00C82E60"/>
    <w:rsid w:val="00C82ED7"/>
    <w:rsid w:val="00C82F13"/>
    <w:rsid w:val="00C82F86"/>
    <w:rsid w:val="00C831E5"/>
    <w:rsid w:val="00C832B3"/>
    <w:rsid w:val="00C83318"/>
    <w:rsid w:val="00C833D8"/>
    <w:rsid w:val="00C83422"/>
    <w:rsid w:val="00C834C0"/>
    <w:rsid w:val="00C834C2"/>
    <w:rsid w:val="00C834D4"/>
    <w:rsid w:val="00C83544"/>
    <w:rsid w:val="00C835F9"/>
    <w:rsid w:val="00C83671"/>
    <w:rsid w:val="00C836A0"/>
    <w:rsid w:val="00C83831"/>
    <w:rsid w:val="00C8386E"/>
    <w:rsid w:val="00C838DB"/>
    <w:rsid w:val="00C839A5"/>
    <w:rsid w:val="00C839C8"/>
    <w:rsid w:val="00C839F3"/>
    <w:rsid w:val="00C83A69"/>
    <w:rsid w:val="00C83B96"/>
    <w:rsid w:val="00C83C80"/>
    <w:rsid w:val="00C83E78"/>
    <w:rsid w:val="00C83EEC"/>
    <w:rsid w:val="00C83FB6"/>
    <w:rsid w:val="00C8408E"/>
    <w:rsid w:val="00C840C1"/>
    <w:rsid w:val="00C840D9"/>
    <w:rsid w:val="00C8414C"/>
    <w:rsid w:val="00C84284"/>
    <w:rsid w:val="00C8438E"/>
    <w:rsid w:val="00C843FA"/>
    <w:rsid w:val="00C844B2"/>
    <w:rsid w:val="00C846C2"/>
    <w:rsid w:val="00C846D3"/>
    <w:rsid w:val="00C848B6"/>
    <w:rsid w:val="00C848DB"/>
    <w:rsid w:val="00C849E7"/>
    <w:rsid w:val="00C84B26"/>
    <w:rsid w:val="00C84BEA"/>
    <w:rsid w:val="00C84C7B"/>
    <w:rsid w:val="00C84D0C"/>
    <w:rsid w:val="00C84FF5"/>
    <w:rsid w:val="00C85019"/>
    <w:rsid w:val="00C85055"/>
    <w:rsid w:val="00C85127"/>
    <w:rsid w:val="00C851CB"/>
    <w:rsid w:val="00C85211"/>
    <w:rsid w:val="00C85221"/>
    <w:rsid w:val="00C85245"/>
    <w:rsid w:val="00C852CD"/>
    <w:rsid w:val="00C852EB"/>
    <w:rsid w:val="00C853B9"/>
    <w:rsid w:val="00C853FD"/>
    <w:rsid w:val="00C85417"/>
    <w:rsid w:val="00C8541E"/>
    <w:rsid w:val="00C854AD"/>
    <w:rsid w:val="00C854FE"/>
    <w:rsid w:val="00C856FC"/>
    <w:rsid w:val="00C85744"/>
    <w:rsid w:val="00C8577B"/>
    <w:rsid w:val="00C8586B"/>
    <w:rsid w:val="00C85881"/>
    <w:rsid w:val="00C85888"/>
    <w:rsid w:val="00C858C8"/>
    <w:rsid w:val="00C859FD"/>
    <w:rsid w:val="00C85B21"/>
    <w:rsid w:val="00C85BAC"/>
    <w:rsid w:val="00C85C4F"/>
    <w:rsid w:val="00C85CA2"/>
    <w:rsid w:val="00C85CD7"/>
    <w:rsid w:val="00C85F61"/>
    <w:rsid w:val="00C85F74"/>
    <w:rsid w:val="00C860C4"/>
    <w:rsid w:val="00C860E5"/>
    <w:rsid w:val="00C861B5"/>
    <w:rsid w:val="00C86265"/>
    <w:rsid w:val="00C8632B"/>
    <w:rsid w:val="00C86342"/>
    <w:rsid w:val="00C8637A"/>
    <w:rsid w:val="00C8656E"/>
    <w:rsid w:val="00C8658E"/>
    <w:rsid w:val="00C865C3"/>
    <w:rsid w:val="00C86654"/>
    <w:rsid w:val="00C86662"/>
    <w:rsid w:val="00C8666D"/>
    <w:rsid w:val="00C86675"/>
    <w:rsid w:val="00C866A5"/>
    <w:rsid w:val="00C8671C"/>
    <w:rsid w:val="00C8672B"/>
    <w:rsid w:val="00C8674D"/>
    <w:rsid w:val="00C86781"/>
    <w:rsid w:val="00C867F4"/>
    <w:rsid w:val="00C868A7"/>
    <w:rsid w:val="00C8693F"/>
    <w:rsid w:val="00C86A43"/>
    <w:rsid w:val="00C86A64"/>
    <w:rsid w:val="00C86BD9"/>
    <w:rsid w:val="00C86C4A"/>
    <w:rsid w:val="00C86C53"/>
    <w:rsid w:val="00C86CF8"/>
    <w:rsid w:val="00C86D53"/>
    <w:rsid w:val="00C86D76"/>
    <w:rsid w:val="00C86DB4"/>
    <w:rsid w:val="00C86DF9"/>
    <w:rsid w:val="00C86E14"/>
    <w:rsid w:val="00C86EB7"/>
    <w:rsid w:val="00C86EC7"/>
    <w:rsid w:val="00C86FCF"/>
    <w:rsid w:val="00C8708A"/>
    <w:rsid w:val="00C87169"/>
    <w:rsid w:val="00C871A3"/>
    <w:rsid w:val="00C871C7"/>
    <w:rsid w:val="00C872A0"/>
    <w:rsid w:val="00C87337"/>
    <w:rsid w:val="00C875AA"/>
    <w:rsid w:val="00C875C3"/>
    <w:rsid w:val="00C87705"/>
    <w:rsid w:val="00C87768"/>
    <w:rsid w:val="00C878CE"/>
    <w:rsid w:val="00C87924"/>
    <w:rsid w:val="00C879B7"/>
    <w:rsid w:val="00C87AA3"/>
    <w:rsid w:val="00C87B47"/>
    <w:rsid w:val="00C87C7A"/>
    <w:rsid w:val="00C87D1B"/>
    <w:rsid w:val="00C87E5F"/>
    <w:rsid w:val="00C87F53"/>
    <w:rsid w:val="00C90111"/>
    <w:rsid w:val="00C9011F"/>
    <w:rsid w:val="00C901DF"/>
    <w:rsid w:val="00C90278"/>
    <w:rsid w:val="00C90339"/>
    <w:rsid w:val="00C903CF"/>
    <w:rsid w:val="00C9050E"/>
    <w:rsid w:val="00C9051E"/>
    <w:rsid w:val="00C9068E"/>
    <w:rsid w:val="00C906C6"/>
    <w:rsid w:val="00C9083C"/>
    <w:rsid w:val="00C90846"/>
    <w:rsid w:val="00C90872"/>
    <w:rsid w:val="00C908BB"/>
    <w:rsid w:val="00C908C9"/>
    <w:rsid w:val="00C908CB"/>
    <w:rsid w:val="00C90A35"/>
    <w:rsid w:val="00C90BC0"/>
    <w:rsid w:val="00C90BDA"/>
    <w:rsid w:val="00C90C7B"/>
    <w:rsid w:val="00C90CD6"/>
    <w:rsid w:val="00C90D01"/>
    <w:rsid w:val="00C90DED"/>
    <w:rsid w:val="00C90E3A"/>
    <w:rsid w:val="00C90ECB"/>
    <w:rsid w:val="00C90F79"/>
    <w:rsid w:val="00C90FD6"/>
    <w:rsid w:val="00C90FD8"/>
    <w:rsid w:val="00C91007"/>
    <w:rsid w:val="00C91103"/>
    <w:rsid w:val="00C91147"/>
    <w:rsid w:val="00C91186"/>
    <w:rsid w:val="00C911CF"/>
    <w:rsid w:val="00C9122F"/>
    <w:rsid w:val="00C9123E"/>
    <w:rsid w:val="00C91464"/>
    <w:rsid w:val="00C914B6"/>
    <w:rsid w:val="00C914C8"/>
    <w:rsid w:val="00C91619"/>
    <w:rsid w:val="00C91651"/>
    <w:rsid w:val="00C9165D"/>
    <w:rsid w:val="00C91726"/>
    <w:rsid w:val="00C9178B"/>
    <w:rsid w:val="00C917B0"/>
    <w:rsid w:val="00C91830"/>
    <w:rsid w:val="00C918DA"/>
    <w:rsid w:val="00C918F7"/>
    <w:rsid w:val="00C91926"/>
    <w:rsid w:val="00C919CC"/>
    <w:rsid w:val="00C919D0"/>
    <w:rsid w:val="00C91B34"/>
    <w:rsid w:val="00C91B65"/>
    <w:rsid w:val="00C91CB9"/>
    <w:rsid w:val="00C91E3C"/>
    <w:rsid w:val="00C92093"/>
    <w:rsid w:val="00C92174"/>
    <w:rsid w:val="00C921B9"/>
    <w:rsid w:val="00C9233E"/>
    <w:rsid w:val="00C92386"/>
    <w:rsid w:val="00C923BF"/>
    <w:rsid w:val="00C924DD"/>
    <w:rsid w:val="00C92686"/>
    <w:rsid w:val="00C92698"/>
    <w:rsid w:val="00C9269F"/>
    <w:rsid w:val="00C928C9"/>
    <w:rsid w:val="00C928EF"/>
    <w:rsid w:val="00C92AEA"/>
    <w:rsid w:val="00C92B4D"/>
    <w:rsid w:val="00C92B6F"/>
    <w:rsid w:val="00C92B9E"/>
    <w:rsid w:val="00C92DA4"/>
    <w:rsid w:val="00C92E31"/>
    <w:rsid w:val="00C92E6C"/>
    <w:rsid w:val="00C93133"/>
    <w:rsid w:val="00C931E7"/>
    <w:rsid w:val="00C9321F"/>
    <w:rsid w:val="00C93303"/>
    <w:rsid w:val="00C93413"/>
    <w:rsid w:val="00C93444"/>
    <w:rsid w:val="00C93449"/>
    <w:rsid w:val="00C9352E"/>
    <w:rsid w:val="00C93678"/>
    <w:rsid w:val="00C93688"/>
    <w:rsid w:val="00C936DB"/>
    <w:rsid w:val="00C936E9"/>
    <w:rsid w:val="00C9371F"/>
    <w:rsid w:val="00C93726"/>
    <w:rsid w:val="00C93737"/>
    <w:rsid w:val="00C93765"/>
    <w:rsid w:val="00C937C0"/>
    <w:rsid w:val="00C937F2"/>
    <w:rsid w:val="00C937FF"/>
    <w:rsid w:val="00C938A6"/>
    <w:rsid w:val="00C939B3"/>
    <w:rsid w:val="00C93A07"/>
    <w:rsid w:val="00C93BFD"/>
    <w:rsid w:val="00C93CE3"/>
    <w:rsid w:val="00C93D1A"/>
    <w:rsid w:val="00C93D1D"/>
    <w:rsid w:val="00C93D22"/>
    <w:rsid w:val="00C93D2B"/>
    <w:rsid w:val="00C93D72"/>
    <w:rsid w:val="00C93E58"/>
    <w:rsid w:val="00C940D6"/>
    <w:rsid w:val="00C94101"/>
    <w:rsid w:val="00C9411E"/>
    <w:rsid w:val="00C941C8"/>
    <w:rsid w:val="00C942BB"/>
    <w:rsid w:val="00C94342"/>
    <w:rsid w:val="00C94347"/>
    <w:rsid w:val="00C943CF"/>
    <w:rsid w:val="00C945F0"/>
    <w:rsid w:val="00C94671"/>
    <w:rsid w:val="00C94784"/>
    <w:rsid w:val="00C9483C"/>
    <w:rsid w:val="00C9485A"/>
    <w:rsid w:val="00C94988"/>
    <w:rsid w:val="00C949AC"/>
    <w:rsid w:val="00C94A9F"/>
    <w:rsid w:val="00C94B0E"/>
    <w:rsid w:val="00C94B9B"/>
    <w:rsid w:val="00C94CA4"/>
    <w:rsid w:val="00C94CBF"/>
    <w:rsid w:val="00C94F0A"/>
    <w:rsid w:val="00C94FF0"/>
    <w:rsid w:val="00C9527C"/>
    <w:rsid w:val="00C952D2"/>
    <w:rsid w:val="00C953DB"/>
    <w:rsid w:val="00C95442"/>
    <w:rsid w:val="00C9545C"/>
    <w:rsid w:val="00C955B9"/>
    <w:rsid w:val="00C955BB"/>
    <w:rsid w:val="00C9570F"/>
    <w:rsid w:val="00C9596B"/>
    <w:rsid w:val="00C959D5"/>
    <w:rsid w:val="00C95A26"/>
    <w:rsid w:val="00C95A63"/>
    <w:rsid w:val="00C95BDF"/>
    <w:rsid w:val="00C95C0E"/>
    <w:rsid w:val="00C95C51"/>
    <w:rsid w:val="00C95CB2"/>
    <w:rsid w:val="00C95D55"/>
    <w:rsid w:val="00C960D4"/>
    <w:rsid w:val="00C96157"/>
    <w:rsid w:val="00C9616D"/>
    <w:rsid w:val="00C962F8"/>
    <w:rsid w:val="00C96304"/>
    <w:rsid w:val="00C96386"/>
    <w:rsid w:val="00C9638F"/>
    <w:rsid w:val="00C963FA"/>
    <w:rsid w:val="00C9641C"/>
    <w:rsid w:val="00C96565"/>
    <w:rsid w:val="00C96604"/>
    <w:rsid w:val="00C966B5"/>
    <w:rsid w:val="00C96728"/>
    <w:rsid w:val="00C9677F"/>
    <w:rsid w:val="00C967CE"/>
    <w:rsid w:val="00C9693C"/>
    <w:rsid w:val="00C96966"/>
    <w:rsid w:val="00C96997"/>
    <w:rsid w:val="00C96A03"/>
    <w:rsid w:val="00C96A49"/>
    <w:rsid w:val="00C96AB2"/>
    <w:rsid w:val="00C96CE7"/>
    <w:rsid w:val="00C96E9D"/>
    <w:rsid w:val="00C96ECD"/>
    <w:rsid w:val="00C97083"/>
    <w:rsid w:val="00C970B2"/>
    <w:rsid w:val="00C970BE"/>
    <w:rsid w:val="00C97335"/>
    <w:rsid w:val="00C97389"/>
    <w:rsid w:val="00C973C1"/>
    <w:rsid w:val="00C973C9"/>
    <w:rsid w:val="00C9742F"/>
    <w:rsid w:val="00C974BB"/>
    <w:rsid w:val="00C974D5"/>
    <w:rsid w:val="00C9751C"/>
    <w:rsid w:val="00C9764A"/>
    <w:rsid w:val="00C97749"/>
    <w:rsid w:val="00C9785E"/>
    <w:rsid w:val="00C978C0"/>
    <w:rsid w:val="00C979B1"/>
    <w:rsid w:val="00C97A2F"/>
    <w:rsid w:val="00C97A62"/>
    <w:rsid w:val="00C97B67"/>
    <w:rsid w:val="00C97C70"/>
    <w:rsid w:val="00C97D55"/>
    <w:rsid w:val="00C97E4C"/>
    <w:rsid w:val="00C97E5C"/>
    <w:rsid w:val="00CA0018"/>
    <w:rsid w:val="00CA0050"/>
    <w:rsid w:val="00CA014F"/>
    <w:rsid w:val="00CA0179"/>
    <w:rsid w:val="00CA01AE"/>
    <w:rsid w:val="00CA0268"/>
    <w:rsid w:val="00CA02B9"/>
    <w:rsid w:val="00CA0404"/>
    <w:rsid w:val="00CA04C3"/>
    <w:rsid w:val="00CA0527"/>
    <w:rsid w:val="00CA05EA"/>
    <w:rsid w:val="00CA06E8"/>
    <w:rsid w:val="00CA0734"/>
    <w:rsid w:val="00CA0759"/>
    <w:rsid w:val="00CA0798"/>
    <w:rsid w:val="00CA07AF"/>
    <w:rsid w:val="00CA07C8"/>
    <w:rsid w:val="00CA07D5"/>
    <w:rsid w:val="00CA07EB"/>
    <w:rsid w:val="00CA0885"/>
    <w:rsid w:val="00CA08B5"/>
    <w:rsid w:val="00CA096C"/>
    <w:rsid w:val="00CA0A21"/>
    <w:rsid w:val="00CA0A87"/>
    <w:rsid w:val="00CA0A9C"/>
    <w:rsid w:val="00CA0CF3"/>
    <w:rsid w:val="00CA0D7A"/>
    <w:rsid w:val="00CA0EE9"/>
    <w:rsid w:val="00CA0F13"/>
    <w:rsid w:val="00CA0FF4"/>
    <w:rsid w:val="00CA1032"/>
    <w:rsid w:val="00CA1079"/>
    <w:rsid w:val="00CA10D6"/>
    <w:rsid w:val="00CA1145"/>
    <w:rsid w:val="00CA1225"/>
    <w:rsid w:val="00CA1252"/>
    <w:rsid w:val="00CA1319"/>
    <w:rsid w:val="00CA1475"/>
    <w:rsid w:val="00CA1556"/>
    <w:rsid w:val="00CA15BB"/>
    <w:rsid w:val="00CA15F3"/>
    <w:rsid w:val="00CA1630"/>
    <w:rsid w:val="00CA16DE"/>
    <w:rsid w:val="00CA184F"/>
    <w:rsid w:val="00CA1957"/>
    <w:rsid w:val="00CA1AD7"/>
    <w:rsid w:val="00CA1B26"/>
    <w:rsid w:val="00CA1B27"/>
    <w:rsid w:val="00CA1BCA"/>
    <w:rsid w:val="00CA1BFA"/>
    <w:rsid w:val="00CA1C6A"/>
    <w:rsid w:val="00CA1CCE"/>
    <w:rsid w:val="00CA1D2A"/>
    <w:rsid w:val="00CA1E2D"/>
    <w:rsid w:val="00CA1ED8"/>
    <w:rsid w:val="00CA1FAE"/>
    <w:rsid w:val="00CA1FF6"/>
    <w:rsid w:val="00CA2396"/>
    <w:rsid w:val="00CA25C0"/>
    <w:rsid w:val="00CA2610"/>
    <w:rsid w:val="00CA268B"/>
    <w:rsid w:val="00CA281E"/>
    <w:rsid w:val="00CA28C4"/>
    <w:rsid w:val="00CA2A4B"/>
    <w:rsid w:val="00CA2A81"/>
    <w:rsid w:val="00CA2BA4"/>
    <w:rsid w:val="00CA2BC3"/>
    <w:rsid w:val="00CA2CA3"/>
    <w:rsid w:val="00CA2DC6"/>
    <w:rsid w:val="00CA2DC7"/>
    <w:rsid w:val="00CA2EC8"/>
    <w:rsid w:val="00CA2F93"/>
    <w:rsid w:val="00CA3036"/>
    <w:rsid w:val="00CA30FE"/>
    <w:rsid w:val="00CA31E1"/>
    <w:rsid w:val="00CA325C"/>
    <w:rsid w:val="00CA32D7"/>
    <w:rsid w:val="00CA3304"/>
    <w:rsid w:val="00CA33ED"/>
    <w:rsid w:val="00CA3479"/>
    <w:rsid w:val="00CA3566"/>
    <w:rsid w:val="00CA35C1"/>
    <w:rsid w:val="00CA3753"/>
    <w:rsid w:val="00CA3894"/>
    <w:rsid w:val="00CA395A"/>
    <w:rsid w:val="00CA3973"/>
    <w:rsid w:val="00CA39C4"/>
    <w:rsid w:val="00CA3A0A"/>
    <w:rsid w:val="00CA3A7A"/>
    <w:rsid w:val="00CA3AEF"/>
    <w:rsid w:val="00CA3AF7"/>
    <w:rsid w:val="00CA3AFA"/>
    <w:rsid w:val="00CA3B97"/>
    <w:rsid w:val="00CA3BE4"/>
    <w:rsid w:val="00CA3C26"/>
    <w:rsid w:val="00CA3C62"/>
    <w:rsid w:val="00CA3D80"/>
    <w:rsid w:val="00CA3DB5"/>
    <w:rsid w:val="00CA3DCE"/>
    <w:rsid w:val="00CA3E14"/>
    <w:rsid w:val="00CA3E5D"/>
    <w:rsid w:val="00CA3F7C"/>
    <w:rsid w:val="00CA4016"/>
    <w:rsid w:val="00CA4056"/>
    <w:rsid w:val="00CA406C"/>
    <w:rsid w:val="00CA419A"/>
    <w:rsid w:val="00CA41D8"/>
    <w:rsid w:val="00CA4276"/>
    <w:rsid w:val="00CA42CA"/>
    <w:rsid w:val="00CA42ED"/>
    <w:rsid w:val="00CA43F8"/>
    <w:rsid w:val="00CA4545"/>
    <w:rsid w:val="00CA480C"/>
    <w:rsid w:val="00CA48F5"/>
    <w:rsid w:val="00CA496B"/>
    <w:rsid w:val="00CA4BD0"/>
    <w:rsid w:val="00CA4DB5"/>
    <w:rsid w:val="00CA4E06"/>
    <w:rsid w:val="00CA4ECA"/>
    <w:rsid w:val="00CA4F15"/>
    <w:rsid w:val="00CA5034"/>
    <w:rsid w:val="00CA5148"/>
    <w:rsid w:val="00CA52E4"/>
    <w:rsid w:val="00CA5307"/>
    <w:rsid w:val="00CA53CE"/>
    <w:rsid w:val="00CA53F4"/>
    <w:rsid w:val="00CA5446"/>
    <w:rsid w:val="00CA5513"/>
    <w:rsid w:val="00CA5533"/>
    <w:rsid w:val="00CA5562"/>
    <w:rsid w:val="00CA562C"/>
    <w:rsid w:val="00CA5670"/>
    <w:rsid w:val="00CA56AB"/>
    <w:rsid w:val="00CA56F0"/>
    <w:rsid w:val="00CA5762"/>
    <w:rsid w:val="00CA57C1"/>
    <w:rsid w:val="00CA57CB"/>
    <w:rsid w:val="00CA57D6"/>
    <w:rsid w:val="00CA57EA"/>
    <w:rsid w:val="00CA5908"/>
    <w:rsid w:val="00CA5A64"/>
    <w:rsid w:val="00CA5AE7"/>
    <w:rsid w:val="00CA5B44"/>
    <w:rsid w:val="00CA5B68"/>
    <w:rsid w:val="00CA5C9E"/>
    <w:rsid w:val="00CA5D81"/>
    <w:rsid w:val="00CA5EE2"/>
    <w:rsid w:val="00CA5F7A"/>
    <w:rsid w:val="00CA5FDD"/>
    <w:rsid w:val="00CA6048"/>
    <w:rsid w:val="00CA6049"/>
    <w:rsid w:val="00CA60C8"/>
    <w:rsid w:val="00CA6165"/>
    <w:rsid w:val="00CA6208"/>
    <w:rsid w:val="00CA625F"/>
    <w:rsid w:val="00CA62B4"/>
    <w:rsid w:val="00CA62F9"/>
    <w:rsid w:val="00CA6321"/>
    <w:rsid w:val="00CA6399"/>
    <w:rsid w:val="00CA65D5"/>
    <w:rsid w:val="00CA65EC"/>
    <w:rsid w:val="00CA66B8"/>
    <w:rsid w:val="00CA66E1"/>
    <w:rsid w:val="00CA6723"/>
    <w:rsid w:val="00CA685F"/>
    <w:rsid w:val="00CA6877"/>
    <w:rsid w:val="00CA6933"/>
    <w:rsid w:val="00CA695B"/>
    <w:rsid w:val="00CA6988"/>
    <w:rsid w:val="00CA69CF"/>
    <w:rsid w:val="00CA69DF"/>
    <w:rsid w:val="00CA6A65"/>
    <w:rsid w:val="00CA6A8C"/>
    <w:rsid w:val="00CA6AAD"/>
    <w:rsid w:val="00CA6BB9"/>
    <w:rsid w:val="00CA6BC7"/>
    <w:rsid w:val="00CA6BF5"/>
    <w:rsid w:val="00CA6C15"/>
    <w:rsid w:val="00CA6C24"/>
    <w:rsid w:val="00CA6D3C"/>
    <w:rsid w:val="00CA6D60"/>
    <w:rsid w:val="00CA6E75"/>
    <w:rsid w:val="00CA6EF7"/>
    <w:rsid w:val="00CA6F33"/>
    <w:rsid w:val="00CA6F63"/>
    <w:rsid w:val="00CA6FA0"/>
    <w:rsid w:val="00CA70AF"/>
    <w:rsid w:val="00CA718B"/>
    <w:rsid w:val="00CA72F9"/>
    <w:rsid w:val="00CA7334"/>
    <w:rsid w:val="00CA7437"/>
    <w:rsid w:val="00CA747E"/>
    <w:rsid w:val="00CA74AB"/>
    <w:rsid w:val="00CA74C4"/>
    <w:rsid w:val="00CA74ED"/>
    <w:rsid w:val="00CA751F"/>
    <w:rsid w:val="00CA7532"/>
    <w:rsid w:val="00CA75C8"/>
    <w:rsid w:val="00CA763E"/>
    <w:rsid w:val="00CA768E"/>
    <w:rsid w:val="00CA76AF"/>
    <w:rsid w:val="00CA7718"/>
    <w:rsid w:val="00CA7754"/>
    <w:rsid w:val="00CA781C"/>
    <w:rsid w:val="00CA78C9"/>
    <w:rsid w:val="00CA79AB"/>
    <w:rsid w:val="00CA7A52"/>
    <w:rsid w:val="00CA7B75"/>
    <w:rsid w:val="00CA7C3D"/>
    <w:rsid w:val="00CA7C6B"/>
    <w:rsid w:val="00CA7D6C"/>
    <w:rsid w:val="00CA7D76"/>
    <w:rsid w:val="00CA7EB9"/>
    <w:rsid w:val="00CA7F78"/>
    <w:rsid w:val="00CA7F90"/>
    <w:rsid w:val="00CA7FAA"/>
    <w:rsid w:val="00CB0096"/>
    <w:rsid w:val="00CB00ED"/>
    <w:rsid w:val="00CB0145"/>
    <w:rsid w:val="00CB019D"/>
    <w:rsid w:val="00CB0499"/>
    <w:rsid w:val="00CB04FF"/>
    <w:rsid w:val="00CB050A"/>
    <w:rsid w:val="00CB0599"/>
    <w:rsid w:val="00CB05F5"/>
    <w:rsid w:val="00CB06E1"/>
    <w:rsid w:val="00CB0721"/>
    <w:rsid w:val="00CB0796"/>
    <w:rsid w:val="00CB07DE"/>
    <w:rsid w:val="00CB098B"/>
    <w:rsid w:val="00CB09FA"/>
    <w:rsid w:val="00CB0A81"/>
    <w:rsid w:val="00CB0B31"/>
    <w:rsid w:val="00CB0B49"/>
    <w:rsid w:val="00CB0C69"/>
    <w:rsid w:val="00CB0CA3"/>
    <w:rsid w:val="00CB0D14"/>
    <w:rsid w:val="00CB0D6F"/>
    <w:rsid w:val="00CB0DEE"/>
    <w:rsid w:val="00CB0FAB"/>
    <w:rsid w:val="00CB104F"/>
    <w:rsid w:val="00CB109A"/>
    <w:rsid w:val="00CB10CB"/>
    <w:rsid w:val="00CB124A"/>
    <w:rsid w:val="00CB12AA"/>
    <w:rsid w:val="00CB12D1"/>
    <w:rsid w:val="00CB1315"/>
    <w:rsid w:val="00CB1491"/>
    <w:rsid w:val="00CB14E1"/>
    <w:rsid w:val="00CB156F"/>
    <w:rsid w:val="00CB16BB"/>
    <w:rsid w:val="00CB1722"/>
    <w:rsid w:val="00CB1794"/>
    <w:rsid w:val="00CB1834"/>
    <w:rsid w:val="00CB1853"/>
    <w:rsid w:val="00CB189D"/>
    <w:rsid w:val="00CB18F5"/>
    <w:rsid w:val="00CB1979"/>
    <w:rsid w:val="00CB1A1A"/>
    <w:rsid w:val="00CB1AB2"/>
    <w:rsid w:val="00CB1B16"/>
    <w:rsid w:val="00CB1B1D"/>
    <w:rsid w:val="00CB1BB3"/>
    <w:rsid w:val="00CB1BF2"/>
    <w:rsid w:val="00CB1E90"/>
    <w:rsid w:val="00CB1ECF"/>
    <w:rsid w:val="00CB1EE0"/>
    <w:rsid w:val="00CB20E4"/>
    <w:rsid w:val="00CB213F"/>
    <w:rsid w:val="00CB2161"/>
    <w:rsid w:val="00CB224E"/>
    <w:rsid w:val="00CB24A5"/>
    <w:rsid w:val="00CB2720"/>
    <w:rsid w:val="00CB2728"/>
    <w:rsid w:val="00CB2730"/>
    <w:rsid w:val="00CB273A"/>
    <w:rsid w:val="00CB2753"/>
    <w:rsid w:val="00CB2757"/>
    <w:rsid w:val="00CB276B"/>
    <w:rsid w:val="00CB284B"/>
    <w:rsid w:val="00CB285B"/>
    <w:rsid w:val="00CB295A"/>
    <w:rsid w:val="00CB298E"/>
    <w:rsid w:val="00CB2A59"/>
    <w:rsid w:val="00CB2A9A"/>
    <w:rsid w:val="00CB2B14"/>
    <w:rsid w:val="00CB2C18"/>
    <w:rsid w:val="00CB2C6F"/>
    <w:rsid w:val="00CB2DC7"/>
    <w:rsid w:val="00CB2DD9"/>
    <w:rsid w:val="00CB2DED"/>
    <w:rsid w:val="00CB2E04"/>
    <w:rsid w:val="00CB2EF4"/>
    <w:rsid w:val="00CB2F7B"/>
    <w:rsid w:val="00CB3033"/>
    <w:rsid w:val="00CB313F"/>
    <w:rsid w:val="00CB3153"/>
    <w:rsid w:val="00CB31B8"/>
    <w:rsid w:val="00CB321B"/>
    <w:rsid w:val="00CB326E"/>
    <w:rsid w:val="00CB32AD"/>
    <w:rsid w:val="00CB347A"/>
    <w:rsid w:val="00CB36C0"/>
    <w:rsid w:val="00CB36E5"/>
    <w:rsid w:val="00CB3728"/>
    <w:rsid w:val="00CB37F3"/>
    <w:rsid w:val="00CB38F7"/>
    <w:rsid w:val="00CB38FD"/>
    <w:rsid w:val="00CB3994"/>
    <w:rsid w:val="00CB39C9"/>
    <w:rsid w:val="00CB3A3F"/>
    <w:rsid w:val="00CB3A90"/>
    <w:rsid w:val="00CB3AF9"/>
    <w:rsid w:val="00CB3BD7"/>
    <w:rsid w:val="00CB3C09"/>
    <w:rsid w:val="00CB3C27"/>
    <w:rsid w:val="00CB3C5F"/>
    <w:rsid w:val="00CB3C7A"/>
    <w:rsid w:val="00CB3C9C"/>
    <w:rsid w:val="00CB3CC1"/>
    <w:rsid w:val="00CB3CCD"/>
    <w:rsid w:val="00CB3D67"/>
    <w:rsid w:val="00CB3D77"/>
    <w:rsid w:val="00CB3E2C"/>
    <w:rsid w:val="00CB3EA9"/>
    <w:rsid w:val="00CB3F15"/>
    <w:rsid w:val="00CB3F51"/>
    <w:rsid w:val="00CB3FBB"/>
    <w:rsid w:val="00CB40F6"/>
    <w:rsid w:val="00CB4275"/>
    <w:rsid w:val="00CB427A"/>
    <w:rsid w:val="00CB42CC"/>
    <w:rsid w:val="00CB4327"/>
    <w:rsid w:val="00CB4381"/>
    <w:rsid w:val="00CB43CB"/>
    <w:rsid w:val="00CB442D"/>
    <w:rsid w:val="00CB4484"/>
    <w:rsid w:val="00CB44E3"/>
    <w:rsid w:val="00CB44FC"/>
    <w:rsid w:val="00CB4514"/>
    <w:rsid w:val="00CB4543"/>
    <w:rsid w:val="00CB45C1"/>
    <w:rsid w:val="00CB4668"/>
    <w:rsid w:val="00CB46A3"/>
    <w:rsid w:val="00CB4894"/>
    <w:rsid w:val="00CB4957"/>
    <w:rsid w:val="00CB4B12"/>
    <w:rsid w:val="00CB4C23"/>
    <w:rsid w:val="00CB4D1B"/>
    <w:rsid w:val="00CB4E60"/>
    <w:rsid w:val="00CB4F90"/>
    <w:rsid w:val="00CB5091"/>
    <w:rsid w:val="00CB512A"/>
    <w:rsid w:val="00CB5183"/>
    <w:rsid w:val="00CB5203"/>
    <w:rsid w:val="00CB5383"/>
    <w:rsid w:val="00CB5440"/>
    <w:rsid w:val="00CB5456"/>
    <w:rsid w:val="00CB5458"/>
    <w:rsid w:val="00CB5574"/>
    <w:rsid w:val="00CB56E5"/>
    <w:rsid w:val="00CB57B1"/>
    <w:rsid w:val="00CB584D"/>
    <w:rsid w:val="00CB5900"/>
    <w:rsid w:val="00CB5956"/>
    <w:rsid w:val="00CB5A20"/>
    <w:rsid w:val="00CB5A59"/>
    <w:rsid w:val="00CB5AA9"/>
    <w:rsid w:val="00CB5CE9"/>
    <w:rsid w:val="00CB5D69"/>
    <w:rsid w:val="00CB5DA0"/>
    <w:rsid w:val="00CB5F51"/>
    <w:rsid w:val="00CB5F5D"/>
    <w:rsid w:val="00CB5F69"/>
    <w:rsid w:val="00CB5FD4"/>
    <w:rsid w:val="00CB6114"/>
    <w:rsid w:val="00CB616B"/>
    <w:rsid w:val="00CB61EB"/>
    <w:rsid w:val="00CB61EC"/>
    <w:rsid w:val="00CB6413"/>
    <w:rsid w:val="00CB64BC"/>
    <w:rsid w:val="00CB659B"/>
    <w:rsid w:val="00CB66B6"/>
    <w:rsid w:val="00CB67E7"/>
    <w:rsid w:val="00CB67FA"/>
    <w:rsid w:val="00CB6873"/>
    <w:rsid w:val="00CB68C3"/>
    <w:rsid w:val="00CB69C2"/>
    <w:rsid w:val="00CB69D5"/>
    <w:rsid w:val="00CB6A1E"/>
    <w:rsid w:val="00CB6A88"/>
    <w:rsid w:val="00CB6DEF"/>
    <w:rsid w:val="00CB6E1B"/>
    <w:rsid w:val="00CB6E9F"/>
    <w:rsid w:val="00CB6F2F"/>
    <w:rsid w:val="00CB6F55"/>
    <w:rsid w:val="00CB700D"/>
    <w:rsid w:val="00CB7022"/>
    <w:rsid w:val="00CB7043"/>
    <w:rsid w:val="00CB70E2"/>
    <w:rsid w:val="00CB7126"/>
    <w:rsid w:val="00CB7136"/>
    <w:rsid w:val="00CB71A5"/>
    <w:rsid w:val="00CB72CD"/>
    <w:rsid w:val="00CB743D"/>
    <w:rsid w:val="00CB7466"/>
    <w:rsid w:val="00CB7610"/>
    <w:rsid w:val="00CB762D"/>
    <w:rsid w:val="00CB763A"/>
    <w:rsid w:val="00CB7669"/>
    <w:rsid w:val="00CB772A"/>
    <w:rsid w:val="00CB77AB"/>
    <w:rsid w:val="00CB7822"/>
    <w:rsid w:val="00CB78D1"/>
    <w:rsid w:val="00CB7904"/>
    <w:rsid w:val="00CB7922"/>
    <w:rsid w:val="00CB79F1"/>
    <w:rsid w:val="00CB7A29"/>
    <w:rsid w:val="00CB7A9D"/>
    <w:rsid w:val="00CB7ABE"/>
    <w:rsid w:val="00CB7B3D"/>
    <w:rsid w:val="00CB7BA3"/>
    <w:rsid w:val="00CB7BE4"/>
    <w:rsid w:val="00CB7CAC"/>
    <w:rsid w:val="00CC0014"/>
    <w:rsid w:val="00CC0083"/>
    <w:rsid w:val="00CC018A"/>
    <w:rsid w:val="00CC021C"/>
    <w:rsid w:val="00CC0239"/>
    <w:rsid w:val="00CC02E4"/>
    <w:rsid w:val="00CC034C"/>
    <w:rsid w:val="00CC03CE"/>
    <w:rsid w:val="00CC040E"/>
    <w:rsid w:val="00CC050C"/>
    <w:rsid w:val="00CC0608"/>
    <w:rsid w:val="00CC06C6"/>
    <w:rsid w:val="00CC0711"/>
    <w:rsid w:val="00CC078C"/>
    <w:rsid w:val="00CC07CB"/>
    <w:rsid w:val="00CC07E2"/>
    <w:rsid w:val="00CC07FB"/>
    <w:rsid w:val="00CC08A6"/>
    <w:rsid w:val="00CC08BC"/>
    <w:rsid w:val="00CC08F0"/>
    <w:rsid w:val="00CC0908"/>
    <w:rsid w:val="00CC0A30"/>
    <w:rsid w:val="00CC0A36"/>
    <w:rsid w:val="00CC0B7C"/>
    <w:rsid w:val="00CC0B9B"/>
    <w:rsid w:val="00CC0BB6"/>
    <w:rsid w:val="00CC0C3C"/>
    <w:rsid w:val="00CC0C4A"/>
    <w:rsid w:val="00CC0D8D"/>
    <w:rsid w:val="00CC0E5C"/>
    <w:rsid w:val="00CC0E83"/>
    <w:rsid w:val="00CC0F9B"/>
    <w:rsid w:val="00CC108B"/>
    <w:rsid w:val="00CC10AF"/>
    <w:rsid w:val="00CC114C"/>
    <w:rsid w:val="00CC1207"/>
    <w:rsid w:val="00CC130E"/>
    <w:rsid w:val="00CC1348"/>
    <w:rsid w:val="00CC13A1"/>
    <w:rsid w:val="00CC14EF"/>
    <w:rsid w:val="00CC1552"/>
    <w:rsid w:val="00CC1657"/>
    <w:rsid w:val="00CC1750"/>
    <w:rsid w:val="00CC1AAA"/>
    <w:rsid w:val="00CC1B00"/>
    <w:rsid w:val="00CC1B2B"/>
    <w:rsid w:val="00CC1B2F"/>
    <w:rsid w:val="00CC1BED"/>
    <w:rsid w:val="00CC1D9D"/>
    <w:rsid w:val="00CC1DA2"/>
    <w:rsid w:val="00CC1E36"/>
    <w:rsid w:val="00CC1FDC"/>
    <w:rsid w:val="00CC2073"/>
    <w:rsid w:val="00CC2244"/>
    <w:rsid w:val="00CC2277"/>
    <w:rsid w:val="00CC2396"/>
    <w:rsid w:val="00CC249B"/>
    <w:rsid w:val="00CC2607"/>
    <w:rsid w:val="00CC263C"/>
    <w:rsid w:val="00CC266C"/>
    <w:rsid w:val="00CC26A1"/>
    <w:rsid w:val="00CC271A"/>
    <w:rsid w:val="00CC28BD"/>
    <w:rsid w:val="00CC290A"/>
    <w:rsid w:val="00CC29C5"/>
    <w:rsid w:val="00CC2A70"/>
    <w:rsid w:val="00CC2ABD"/>
    <w:rsid w:val="00CC2B4F"/>
    <w:rsid w:val="00CC2B81"/>
    <w:rsid w:val="00CC2CAC"/>
    <w:rsid w:val="00CC3068"/>
    <w:rsid w:val="00CC315F"/>
    <w:rsid w:val="00CC317D"/>
    <w:rsid w:val="00CC32CC"/>
    <w:rsid w:val="00CC32DF"/>
    <w:rsid w:val="00CC3363"/>
    <w:rsid w:val="00CC33D1"/>
    <w:rsid w:val="00CC3477"/>
    <w:rsid w:val="00CC348D"/>
    <w:rsid w:val="00CC34CC"/>
    <w:rsid w:val="00CC3537"/>
    <w:rsid w:val="00CC364E"/>
    <w:rsid w:val="00CC3656"/>
    <w:rsid w:val="00CC37DD"/>
    <w:rsid w:val="00CC3814"/>
    <w:rsid w:val="00CC3922"/>
    <w:rsid w:val="00CC39FE"/>
    <w:rsid w:val="00CC3A4C"/>
    <w:rsid w:val="00CC3AB2"/>
    <w:rsid w:val="00CC3B63"/>
    <w:rsid w:val="00CC3D5B"/>
    <w:rsid w:val="00CC3DE7"/>
    <w:rsid w:val="00CC3E1A"/>
    <w:rsid w:val="00CC3E34"/>
    <w:rsid w:val="00CC3E50"/>
    <w:rsid w:val="00CC3F94"/>
    <w:rsid w:val="00CC3FB7"/>
    <w:rsid w:val="00CC401B"/>
    <w:rsid w:val="00CC4030"/>
    <w:rsid w:val="00CC41E8"/>
    <w:rsid w:val="00CC426B"/>
    <w:rsid w:val="00CC4374"/>
    <w:rsid w:val="00CC4413"/>
    <w:rsid w:val="00CC443D"/>
    <w:rsid w:val="00CC44A7"/>
    <w:rsid w:val="00CC44CC"/>
    <w:rsid w:val="00CC4508"/>
    <w:rsid w:val="00CC4515"/>
    <w:rsid w:val="00CC4534"/>
    <w:rsid w:val="00CC465A"/>
    <w:rsid w:val="00CC4821"/>
    <w:rsid w:val="00CC482C"/>
    <w:rsid w:val="00CC487D"/>
    <w:rsid w:val="00CC48A4"/>
    <w:rsid w:val="00CC4947"/>
    <w:rsid w:val="00CC4AAA"/>
    <w:rsid w:val="00CC4AED"/>
    <w:rsid w:val="00CC4B15"/>
    <w:rsid w:val="00CC4B92"/>
    <w:rsid w:val="00CC4C41"/>
    <w:rsid w:val="00CC4D53"/>
    <w:rsid w:val="00CC4E63"/>
    <w:rsid w:val="00CC4EDF"/>
    <w:rsid w:val="00CC4FF8"/>
    <w:rsid w:val="00CC4FFC"/>
    <w:rsid w:val="00CC500F"/>
    <w:rsid w:val="00CC5133"/>
    <w:rsid w:val="00CC5164"/>
    <w:rsid w:val="00CC51A9"/>
    <w:rsid w:val="00CC51B3"/>
    <w:rsid w:val="00CC51F9"/>
    <w:rsid w:val="00CC5221"/>
    <w:rsid w:val="00CC522C"/>
    <w:rsid w:val="00CC5385"/>
    <w:rsid w:val="00CC538A"/>
    <w:rsid w:val="00CC5439"/>
    <w:rsid w:val="00CC5486"/>
    <w:rsid w:val="00CC54F3"/>
    <w:rsid w:val="00CC569D"/>
    <w:rsid w:val="00CC56E3"/>
    <w:rsid w:val="00CC5810"/>
    <w:rsid w:val="00CC5834"/>
    <w:rsid w:val="00CC58A8"/>
    <w:rsid w:val="00CC58F8"/>
    <w:rsid w:val="00CC597C"/>
    <w:rsid w:val="00CC59E4"/>
    <w:rsid w:val="00CC5A06"/>
    <w:rsid w:val="00CC5A5C"/>
    <w:rsid w:val="00CC5A85"/>
    <w:rsid w:val="00CC5AFA"/>
    <w:rsid w:val="00CC5B45"/>
    <w:rsid w:val="00CC5B67"/>
    <w:rsid w:val="00CC5BCB"/>
    <w:rsid w:val="00CC5CB2"/>
    <w:rsid w:val="00CC5D2B"/>
    <w:rsid w:val="00CC5D4A"/>
    <w:rsid w:val="00CC5DA4"/>
    <w:rsid w:val="00CC5DB2"/>
    <w:rsid w:val="00CC5DF8"/>
    <w:rsid w:val="00CC5E36"/>
    <w:rsid w:val="00CC5EB4"/>
    <w:rsid w:val="00CC5F06"/>
    <w:rsid w:val="00CC5F34"/>
    <w:rsid w:val="00CC5FFA"/>
    <w:rsid w:val="00CC6149"/>
    <w:rsid w:val="00CC6278"/>
    <w:rsid w:val="00CC6335"/>
    <w:rsid w:val="00CC634A"/>
    <w:rsid w:val="00CC6420"/>
    <w:rsid w:val="00CC6421"/>
    <w:rsid w:val="00CC648A"/>
    <w:rsid w:val="00CC64C7"/>
    <w:rsid w:val="00CC64E9"/>
    <w:rsid w:val="00CC64FD"/>
    <w:rsid w:val="00CC6782"/>
    <w:rsid w:val="00CC6821"/>
    <w:rsid w:val="00CC68FE"/>
    <w:rsid w:val="00CC69AB"/>
    <w:rsid w:val="00CC69C6"/>
    <w:rsid w:val="00CC6A8E"/>
    <w:rsid w:val="00CC6AC0"/>
    <w:rsid w:val="00CC6BB6"/>
    <w:rsid w:val="00CC6E85"/>
    <w:rsid w:val="00CC6EA0"/>
    <w:rsid w:val="00CC6F13"/>
    <w:rsid w:val="00CC6FE8"/>
    <w:rsid w:val="00CC702D"/>
    <w:rsid w:val="00CC7096"/>
    <w:rsid w:val="00CC70FF"/>
    <w:rsid w:val="00CC7136"/>
    <w:rsid w:val="00CC7139"/>
    <w:rsid w:val="00CC713D"/>
    <w:rsid w:val="00CC7241"/>
    <w:rsid w:val="00CC7271"/>
    <w:rsid w:val="00CC733C"/>
    <w:rsid w:val="00CC7422"/>
    <w:rsid w:val="00CC7455"/>
    <w:rsid w:val="00CC745E"/>
    <w:rsid w:val="00CC74C3"/>
    <w:rsid w:val="00CC76AD"/>
    <w:rsid w:val="00CC7786"/>
    <w:rsid w:val="00CC7878"/>
    <w:rsid w:val="00CC789B"/>
    <w:rsid w:val="00CC790B"/>
    <w:rsid w:val="00CC791F"/>
    <w:rsid w:val="00CC7A5A"/>
    <w:rsid w:val="00CC7A87"/>
    <w:rsid w:val="00CC7ABE"/>
    <w:rsid w:val="00CC7B63"/>
    <w:rsid w:val="00CC7D20"/>
    <w:rsid w:val="00CC7E1C"/>
    <w:rsid w:val="00CC7F81"/>
    <w:rsid w:val="00CD006B"/>
    <w:rsid w:val="00CD0317"/>
    <w:rsid w:val="00CD031F"/>
    <w:rsid w:val="00CD036E"/>
    <w:rsid w:val="00CD0377"/>
    <w:rsid w:val="00CD03E0"/>
    <w:rsid w:val="00CD0455"/>
    <w:rsid w:val="00CD04B8"/>
    <w:rsid w:val="00CD0574"/>
    <w:rsid w:val="00CD0736"/>
    <w:rsid w:val="00CD073E"/>
    <w:rsid w:val="00CD0747"/>
    <w:rsid w:val="00CD0896"/>
    <w:rsid w:val="00CD08AF"/>
    <w:rsid w:val="00CD08BD"/>
    <w:rsid w:val="00CD092C"/>
    <w:rsid w:val="00CD0949"/>
    <w:rsid w:val="00CD09FB"/>
    <w:rsid w:val="00CD0BC1"/>
    <w:rsid w:val="00CD0C43"/>
    <w:rsid w:val="00CD0CDA"/>
    <w:rsid w:val="00CD1094"/>
    <w:rsid w:val="00CD10EB"/>
    <w:rsid w:val="00CD10F6"/>
    <w:rsid w:val="00CD1107"/>
    <w:rsid w:val="00CD1184"/>
    <w:rsid w:val="00CD1198"/>
    <w:rsid w:val="00CD11B3"/>
    <w:rsid w:val="00CD122A"/>
    <w:rsid w:val="00CD1285"/>
    <w:rsid w:val="00CD1503"/>
    <w:rsid w:val="00CD1562"/>
    <w:rsid w:val="00CD1602"/>
    <w:rsid w:val="00CD16B0"/>
    <w:rsid w:val="00CD170D"/>
    <w:rsid w:val="00CD175D"/>
    <w:rsid w:val="00CD187A"/>
    <w:rsid w:val="00CD1AFF"/>
    <w:rsid w:val="00CD1B0B"/>
    <w:rsid w:val="00CD1B9B"/>
    <w:rsid w:val="00CD1C55"/>
    <w:rsid w:val="00CD1D09"/>
    <w:rsid w:val="00CD1D7F"/>
    <w:rsid w:val="00CD1F23"/>
    <w:rsid w:val="00CD1F60"/>
    <w:rsid w:val="00CD1FC2"/>
    <w:rsid w:val="00CD2184"/>
    <w:rsid w:val="00CD21D0"/>
    <w:rsid w:val="00CD2201"/>
    <w:rsid w:val="00CD2223"/>
    <w:rsid w:val="00CD222E"/>
    <w:rsid w:val="00CD23EE"/>
    <w:rsid w:val="00CD240A"/>
    <w:rsid w:val="00CD2572"/>
    <w:rsid w:val="00CD2583"/>
    <w:rsid w:val="00CD25C4"/>
    <w:rsid w:val="00CD25FD"/>
    <w:rsid w:val="00CD27BF"/>
    <w:rsid w:val="00CD27C3"/>
    <w:rsid w:val="00CD2882"/>
    <w:rsid w:val="00CD29C0"/>
    <w:rsid w:val="00CD2A59"/>
    <w:rsid w:val="00CD2A61"/>
    <w:rsid w:val="00CD2A69"/>
    <w:rsid w:val="00CD2A77"/>
    <w:rsid w:val="00CD2A96"/>
    <w:rsid w:val="00CD2B97"/>
    <w:rsid w:val="00CD2BE2"/>
    <w:rsid w:val="00CD2C22"/>
    <w:rsid w:val="00CD2C52"/>
    <w:rsid w:val="00CD2CB6"/>
    <w:rsid w:val="00CD2D33"/>
    <w:rsid w:val="00CD2D4A"/>
    <w:rsid w:val="00CD2D70"/>
    <w:rsid w:val="00CD2DAB"/>
    <w:rsid w:val="00CD2E2F"/>
    <w:rsid w:val="00CD2E85"/>
    <w:rsid w:val="00CD3005"/>
    <w:rsid w:val="00CD30E0"/>
    <w:rsid w:val="00CD30E8"/>
    <w:rsid w:val="00CD332A"/>
    <w:rsid w:val="00CD3417"/>
    <w:rsid w:val="00CD34EB"/>
    <w:rsid w:val="00CD36E0"/>
    <w:rsid w:val="00CD371A"/>
    <w:rsid w:val="00CD3750"/>
    <w:rsid w:val="00CD3873"/>
    <w:rsid w:val="00CD38AB"/>
    <w:rsid w:val="00CD3915"/>
    <w:rsid w:val="00CD394F"/>
    <w:rsid w:val="00CD3A73"/>
    <w:rsid w:val="00CD3A82"/>
    <w:rsid w:val="00CD3A95"/>
    <w:rsid w:val="00CD3AA4"/>
    <w:rsid w:val="00CD3AF5"/>
    <w:rsid w:val="00CD3B22"/>
    <w:rsid w:val="00CD3BD0"/>
    <w:rsid w:val="00CD3BF4"/>
    <w:rsid w:val="00CD3CFC"/>
    <w:rsid w:val="00CD4027"/>
    <w:rsid w:val="00CD4039"/>
    <w:rsid w:val="00CD40CE"/>
    <w:rsid w:val="00CD40DA"/>
    <w:rsid w:val="00CD4118"/>
    <w:rsid w:val="00CD4188"/>
    <w:rsid w:val="00CD429A"/>
    <w:rsid w:val="00CD42D5"/>
    <w:rsid w:val="00CD4328"/>
    <w:rsid w:val="00CD4422"/>
    <w:rsid w:val="00CD4475"/>
    <w:rsid w:val="00CD44D6"/>
    <w:rsid w:val="00CD44F3"/>
    <w:rsid w:val="00CD459E"/>
    <w:rsid w:val="00CD45FA"/>
    <w:rsid w:val="00CD4649"/>
    <w:rsid w:val="00CD4655"/>
    <w:rsid w:val="00CD4673"/>
    <w:rsid w:val="00CD46FA"/>
    <w:rsid w:val="00CD4723"/>
    <w:rsid w:val="00CD4725"/>
    <w:rsid w:val="00CD478A"/>
    <w:rsid w:val="00CD479A"/>
    <w:rsid w:val="00CD4842"/>
    <w:rsid w:val="00CD48BE"/>
    <w:rsid w:val="00CD48DD"/>
    <w:rsid w:val="00CD4948"/>
    <w:rsid w:val="00CD4A18"/>
    <w:rsid w:val="00CD4A47"/>
    <w:rsid w:val="00CD4B72"/>
    <w:rsid w:val="00CD4B9D"/>
    <w:rsid w:val="00CD4C41"/>
    <w:rsid w:val="00CD4E28"/>
    <w:rsid w:val="00CD4E8D"/>
    <w:rsid w:val="00CD4F00"/>
    <w:rsid w:val="00CD4FCE"/>
    <w:rsid w:val="00CD4FDD"/>
    <w:rsid w:val="00CD5097"/>
    <w:rsid w:val="00CD51CF"/>
    <w:rsid w:val="00CD5238"/>
    <w:rsid w:val="00CD528D"/>
    <w:rsid w:val="00CD52BD"/>
    <w:rsid w:val="00CD52D1"/>
    <w:rsid w:val="00CD52D8"/>
    <w:rsid w:val="00CD5312"/>
    <w:rsid w:val="00CD543E"/>
    <w:rsid w:val="00CD54B4"/>
    <w:rsid w:val="00CD552E"/>
    <w:rsid w:val="00CD55A7"/>
    <w:rsid w:val="00CD571A"/>
    <w:rsid w:val="00CD57EE"/>
    <w:rsid w:val="00CD586E"/>
    <w:rsid w:val="00CD5910"/>
    <w:rsid w:val="00CD59D3"/>
    <w:rsid w:val="00CD5A01"/>
    <w:rsid w:val="00CD5A65"/>
    <w:rsid w:val="00CD5A9B"/>
    <w:rsid w:val="00CD5AE1"/>
    <w:rsid w:val="00CD5B0F"/>
    <w:rsid w:val="00CD5B17"/>
    <w:rsid w:val="00CD5CB5"/>
    <w:rsid w:val="00CD5DF9"/>
    <w:rsid w:val="00CD5F2D"/>
    <w:rsid w:val="00CD5F65"/>
    <w:rsid w:val="00CD61B4"/>
    <w:rsid w:val="00CD621C"/>
    <w:rsid w:val="00CD6253"/>
    <w:rsid w:val="00CD627C"/>
    <w:rsid w:val="00CD62BF"/>
    <w:rsid w:val="00CD62E3"/>
    <w:rsid w:val="00CD62E4"/>
    <w:rsid w:val="00CD6399"/>
    <w:rsid w:val="00CD63C7"/>
    <w:rsid w:val="00CD651A"/>
    <w:rsid w:val="00CD65FE"/>
    <w:rsid w:val="00CD6682"/>
    <w:rsid w:val="00CD6806"/>
    <w:rsid w:val="00CD6826"/>
    <w:rsid w:val="00CD6832"/>
    <w:rsid w:val="00CD68F0"/>
    <w:rsid w:val="00CD6918"/>
    <w:rsid w:val="00CD693B"/>
    <w:rsid w:val="00CD69E5"/>
    <w:rsid w:val="00CD6BC2"/>
    <w:rsid w:val="00CD6BC9"/>
    <w:rsid w:val="00CD6CB1"/>
    <w:rsid w:val="00CD6CE2"/>
    <w:rsid w:val="00CD6D50"/>
    <w:rsid w:val="00CD6E43"/>
    <w:rsid w:val="00CD6E73"/>
    <w:rsid w:val="00CD6ECB"/>
    <w:rsid w:val="00CD6F5D"/>
    <w:rsid w:val="00CD6F7F"/>
    <w:rsid w:val="00CD6FAE"/>
    <w:rsid w:val="00CD6FDE"/>
    <w:rsid w:val="00CD70D9"/>
    <w:rsid w:val="00CD7168"/>
    <w:rsid w:val="00CD72DD"/>
    <w:rsid w:val="00CD734C"/>
    <w:rsid w:val="00CD7374"/>
    <w:rsid w:val="00CD7493"/>
    <w:rsid w:val="00CD759C"/>
    <w:rsid w:val="00CD75BA"/>
    <w:rsid w:val="00CD767D"/>
    <w:rsid w:val="00CD76A6"/>
    <w:rsid w:val="00CD76A7"/>
    <w:rsid w:val="00CD76C2"/>
    <w:rsid w:val="00CD7701"/>
    <w:rsid w:val="00CD7725"/>
    <w:rsid w:val="00CD7753"/>
    <w:rsid w:val="00CD789D"/>
    <w:rsid w:val="00CD78B6"/>
    <w:rsid w:val="00CD793A"/>
    <w:rsid w:val="00CD7A4C"/>
    <w:rsid w:val="00CD7AC2"/>
    <w:rsid w:val="00CD7D20"/>
    <w:rsid w:val="00CD7D52"/>
    <w:rsid w:val="00CD7D89"/>
    <w:rsid w:val="00CD7DBB"/>
    <w:rsid w:val="00CD7F2C"/>
    <w:rsid w:val="00CD7F7F"/>
    <w:rsid w:val="00CD7FD0"/>
    <w:rsid w:val="00CE006C"/>
    <w:rsid w:val="00CE0246"/>
    <w:rsid w:val="00CE0383"/>
    <w:rsid w:val="00CE0426"/>
    <w:rsid w:val="00CE0505"/>
    <w:rsid w:val="00CE06AF"/>
    <w:rsid w:val="00CE0715"/>
    <w:rsid w:val="00CE077E"/>
    <w:rsid w:val="00CE07CA"/>
    <w:rsid w:val="00CE0803"/>
    <w:rsid w:val="00CE0A0E"/>
    <w:rsid w:val="00CE0AF0"/>
    <w:rsid w:val="00CE0BF6"/>
    <w:rsid w:val="00CE0C20"/>
    <w:rsid w:val="00CE0CDD"/>
    <w:rsid w:val="00CE0CFE"/>
    <w:rsid w:val="00CE0DAF"/>
    <w:rsid w:val="00CE0DFE"/>
    <w:rsid w:val="00CE1048"/>
    <w:rsid w:val="00CE1094"/>
    <w:rsid w:val="00CE1257"/>
    <w:rsid w:val="00CE1283"/>
    <w:rsid w:val="00CE138D"/>
    <w:rsid w:val="00CE1392"/>
    <w:rsid w:val="00CE13C7"/>
    <w:rsid w:val="00CE1427"/>
    <w:rsid w:val="00CE1493"/>
    <w:rsid w:val="00CE14F4"/>
    <w:rsid w:val="00CE1565"/>
    <w:rsid w:val="00CE1584"/>
    <w:rsid w:val="00CE15F1"/>
    <w:rsid w:val="00CE16D0"/>
    <w:rsid w:val="00CE16F5"/>
    <w:rsid w:val="00CE1727"/>
    <w:rsid w:val="00CE1756"/>
    <w:rsid w:val="00CE185A"/>
    <w:rsid w:val="00CE18C7"/>
    <w:rsid w:val="00CE1A32"/>
    <w:rsid w:val="00CE1BB4"/>
    <w:rsid w:val="00CE1C68"/>
    <w:rsid w:val="00CE1CB7"/>
    <w:rsid w:val="00CE1DF7"/>
    <w:rsid w:val="00CE1E52"/>
    <w:rsid w:val="00CE20BA"/>
    <w:rsid w:val="00CE21A0"/>
    <w:rsid w:val="00CE22C5"/>
    <w:rsid w:val="00CE239A"/>
    <w:rsid w:val="00CE24D2"/>
    <w:rsid w:val="00CE2544"/>
    <w:rsid w:val="00CE25D6"/>
    <w:rsid w:val="00CE2697"/>
    <w:rsid w:val="00CE2AD7"/>
    <w:rsid w:val="00CE2B4F"/>
    <w:rsid w:val="00CE2B58"/>
    <w:rsid w:val="00CE2BB5"/>
    <w:rsid w:val="00CE2C34"/>
    <w:rsid w:val="00CE2D50"/>
    <w:rsid w:val="00CE2DBB"/>
    <w:rsid w:val="00CE2E37"/>
    <w:rsid w:val="00CE2F63"/>
    <w:rsid w:val="00CE300C"/>
    <w:rsid w:val="00CE303E"/>
    <w:rsid w:val="00CE31D1"/>
    <w:rsid w:val="00CE3265"/>
    <w:rsid w:val="00CE3274"/>
    <w:rsid w:val="00CE33CA"/>
    <w:rsid w:val="00CE340F"/>
    <w:rsid w:val="00CE34E6"/>
    <w:rsid w:val="00CE352C"/>
    <w:rsid w:val="00CE3538"/>
    <w:rsid w:val="00CE3611"/>
    <w:rsid w:val="00CE3670"/>
    <w:rsid w:val="00CE372A"/>
    <w:rsid w:val="00CE37D4"/>
    <w:rsid w:val="00CE37D6"/>
    <w:rsid w:val="00CE380C"/>
    <w:rsid w:val="00CE3916"/>
    <w:rsid w:val="00CE3B2C"/>
    <w:rsid w:val="00CE3C45"/>
    <w:rsid w:val="00CE3CE4"/>
    <w:rsid w:val="00CE3D37"/>
    <w:rsid w:val="00CE3D4C"/>
    <w:rsid w:val="00CE3DF3"/>
    <w:rsid w:val="00CE3E4F"/>
    <w:rsid w:val="00CE3F2C"/>
    <w:rsid w:val="00CE3FD6"/>
    <w:rsid w:val="00CE4097"/>
    <w:rsid w:val="00CE4142"/>
    <w:rsid w:val="00CE419C"/>
    <w:rsid w:val="00CE427B"/>
    <w:rsid w:val="00CE4290"/>
    <w:rsid w:val="00CE42B8"/>
    <w:rsid w:val="00CE444F"/>
    <w:rsid w:val="00CE4504"/>
    <w:rsid w:val="00CE458E"/>
    <w:rsid w:val="00CE45AC"/>
    <w:rsid w:val="00CE46A4"/>
    <w:rsid w:val="00CE4719"/>
    <w:rsid w:val="00CE4725"/>
    <w:rsid w:val="00CE4807"/>
    <w:rsid w:val="00CE481A"/>
    <w:rsid w:val="00CE494B"/>
    <w:rsid w:val="00CE4A41"/>
    <w:rsid w:val="00CE4B40"/>
    <w:rsid w:val="00CE4B77"/>
    <w:rsid w:val="00CE4C7D"/>
    <w:rsid w:val="00CE4D08"/>
    <w:rsid w:val="00CE4D39"/>
    <w:rsid w:val="00CE4D54"/>
    <w:rsid w:val="00CE4E45"/>
    <w:rsid w:val="00CE4E68"/>
    <w:rsid w:val="00CE4E73"/>
    <w:rsid w:val="00CE4F6A"/>
    <w:rsid w:val="00CE4FA6"/>
    <w:rsid w:val="00CE4FAB"/>
    <w:rsid w:val="00CE4FB3"/>
    <w:rsid w:val="00CE4FF5"/>
    <w:rsid w:val="00CE5297"/>
    <w:rsid w:val="00CE52B8"/>
    <w:rsid w:val="00CE52EF"/>
    <w:rsid w:val="00CE5360"/>
    <w:rsid w:val="00CE54B9"/>
    <w:rsid w:val="00CE553A"/>
    <w:rsid w:val="00CE5540"/>
    <w:rsid w:val="00CE5566"/>
    <w:rsid w:val="00CE55B8"/>
    <w:rsid w:val="00CE55C6"/>
    <w:rsid w:val="00CE5608"/>
    <w:rsid w:val="00CE5619"/>
    <w:rsid w:val="00CE5651"/>
    <w:rsid w:val="00CE5896"/>
    <w:rsid w:val="00CE58E9"/>
    <w:rsid w:val="00CE5965"/>
    <w:rsid w:val="00CE5A0D"/>
    <w:rsid w:val="00CE5A32"/>
    <w:rsid w:val="00CE5B43"/>
    <w:rsid w:val="00CE5B80"/>
    <w:rsid w:val="00CE5CF3"/>
    <w:rsid w:val="00CE5D63"/>
    <w:rsid w:val="00CE5D7C"/>
    <w:rsid w:val="00CE5D96"/>
    <w:rsid w:val="00CE5DC0"/>
    <w:rsid w:val="00CE5DF2"/>
    <w:rsid w:val="00CE5E35"/>
    <w:rsid w:val="00CE5EE5"/>
    <w:rsid w:val="00CE6185"/>
    <w:rsid w:val="00CE61FC"/>
    <w:rsid w:val="00CE63EA"/>
    <w:rsid w:val="00CE6401"/>
    <w:rsid w:val="00CE6459"/>
    <w:rsid w:val="00CE64AD"/>
    <w:rsid w:val="00CE64BD"/>
    <w:rsid w:val="00CE6582"/>
    <w:rsid w:val="00CE660D"/>
    <w:rsid w:val="00CE6720"/>
    <w:rsid w:val="00CE6794"/>
    <w:rsid w:val="00CE67EE"/>
    <w:rsid w:val="00CE681C"/>
    <w:rsid w:val="00CE696B"/>
    <w:rsid w:val="00CE697E"/>
    <w:rsid w:val="00CE69FA"/>
    <w:rsid w:val="00CE6AB6"/>
    <w:rsid w:val="00CE6B78"/>
    <w:rsid w:val="00CE6B7E"/>
    <w:rsid w:val="00CE6C0E"/>
    <w:rsid w:val="00CE6EC0"/>
    <w:rsid w:val="00CE6F17"/>
    <w:rsid w:val="00CE71F1"/>
    <w:rsid w:val="00CE726E"/>
    <w:rsid w:val="00CE7335"/>
    <w:rsid w:val="00CE736C"/>
    <w:rsid w:val="00CE7418"/>
    <w:rsid w:val="00CE741A"/>
    <w:rsid w:val="00CE743C"/>
    <w:rsid w:val="00CE7453"/>
    <w:rsid w:val="00CE7584"/>
    <w:rsid w:val="00CE758D"/>
    <w:rsid w:val="00CE7603"/>
    <w:rsid w:val="00CE766A"/>
    <w:rsid w:val="00CE76FE"/>
    <w:rsid w:val="00CE7711"/>
    <w:rsid w:val="00CE7777"/>
    <w:rsid w:val="00CE77FD"/>
    <w:rsid w:val="00CE7944"/>
    <w:rsid w:val="00CE7ABD"/>
    <w:rsid w:val="00CE7B00"/>
    <w:rsid w:val="00CE7C28"/>
    <w:rsid w:val="00CE7C82"/>
    <w:rsid w:val="00CE7CB2"/>
    <w:rsid w:val="00CE7CE1"/>
    <w:rsid w:val="00CE7D73"/>
    <w:rsid w:val="00CF00EF"/>
    <w:rsid w:val="00CF02AF"/>
    <w:rsid w:val="00CF04A6"/>
    <w:rsid w:val="00CF04AA"/>
    <w:rsid w:val="00CF05F8"/>
    <w:rsid w:val="00CF064F"/>
    <w:rsid w:val="00CF07A2"/>
    <w:rsid w:val="00CF07A6"/>
    <w:rsid w:val="00CF081D"/>
    <w:rsid w:val="00CF08A9"/>
    <w:rsid w:val="00CF0951"/>
    <w:rsid w:val="00CF09E0"/>
    <w:rsid w:val="00CF0A08"/>
    <w:rsid w:val="00CF0AD1"/>
    <w:rsid w:val="00CF0AF5"/>
    <w:rsid w:val="00CF0BC1"/>
    <w:rsid w:val="00CF0C97"/>
    <w:rsid w:val="00CF0E62"/>
    <w:rsid w:val="00CF0E8E"/>
    <w:rsid w:val="00CF1047"/>
    <w:rsid w:val="00CF10AA"/>
    <w:rsid w:val="00CF10C3"/>
    <w:rsid w:val="00CF10CB"/>
    <w:rsid w:val="00CF117E"/>
    <w:rsid w:val="00CF12B4"/>
    <w:rsid w:val="00CF1362"/>
    <w:rsid w:val="00CF1409"/>
    <w:rsid w:val="00CF1508"/>
    <w:rsid w:val="00CF154E"/>
    <w:rsid w:val="00CF155B"/>
    <w:rsid w:val="00CF1586"/>
    <w:rsid w:val="00CF15A6"/>
    <w:rsid w:val="00CF15DB"/>
    <w:rsid w:val="00CF15ED"/>
    <w:rsid w:val="00CF16C8"/>
    <w:rsid w:val="00CF174C"/>
    <w:rsid w:val="00CF17DB"/>
    <w:rsid w:val="00CF1889"/>
    <w:rsid w:val="00CF18E3"/>
    <w:rsid w:val="00CF1A0B"/>
    <w:rsid w:val="00CF1A6A"/>
    <w:rsid w:val="00CF1A86"/>
    <w:rsid w:val="00CF1B36"/>
    <w:rsid w:val="00CF1C9B"/>
    <w:rsid w:val="00CF1D02"/>
    <w:rsid w:val="00CF1D31"/>
    <w:rsid w:val="00CF1D44"/>
    <w:rsid w:val="00CF1DC7"/>
    <w:rsid w:val="00CF1DF5"/>
    <w:rsid w:val="00CF1E36"/>
    <w:rsid w:val="00CF1E53"/>
    <w:rsid w:val="00CF1E76"/>
    <w:rsid w:val="00CF1EA6"/>
    <w:rsid w:val="00CF1F3C"/>
    <w:rsid w:val="00CF1F4B"/>
    <w:rsid w:val="00CF1FD7"/>
    <w:rsid w:val="00CF202B"/>
    <w:rsid w:val="00CF21F3"/>
    <w:rsid w:val="00CF2268"/>
    <w:rsid w:val="00CF2445"/>
    <w:rsid w:val="00CF25E0"/>
    <w:rsid w:val="00CF25FA"/>
    <w:rsid w:val="00CF26EC"/>
    <w:rsid w:val="00CF270D"/>
    <w:rsid w:val="00CF272A"/>
    <w:rsid w:val="00CF282E"/>
    <w:rsid w:val="00CF2AF9"/>
    <w:rsid w:val="00CF2C42"/>
    <w:rsid w:val="00CF2C79"/>
    <w:rsid w:val="00CF2E88"/>
    <w:rsid w:val="00CF2E9C"/>
    <w:rsid w:val="00CF2E9E"/>
    <w:rsid w:val="00CF30B4"/>
    <w:rsid w:val="00CF30F2"/>
    <w:rsid w:val="00CF318C"/>
    <w:rsid w:val="00CF318E"/>
    <w:rsid w:val="00CF31B5"/>
    <w:rsid w:val="00CF3364"/>
    <w:rsid w:val="00CF3498"/>
    <w:rsid w:val="00CF3556"/>
    <w:rsid w:val="00CF3565"/>
    <w:rsid w:val="00CF37B6"/>
    <w:rsid w:val="00CF37F0"/>
    <w:rsid w:val="00CF380F"/>
    <w:rsid w:val="00CF3941"/>
    <w:rsid w:val="00CF3A38"/>
    <w:rsid w:val="00CF3A46"/>
    <w:rsid w:val="00CF3A72"/>
    <w:rsid w:val="00CF3B7C"/>
    <w:rsid w:val="00CF3B80"/>
    <w:rsid w:val="00CF3C54"/>
    <w:rsid w:val="00CF3E01"/>
    <w:rsid w:val="00CF3E21"/>
    <w:rsid w:val="00CF3E9A"/>
    <w:rsid w:val="00CF3F25"/>
    <w:rsid w:val="00CF3F54"/>
    <w:rsid w:val="00CF3F57"/>
    <w:rsid w:val="00CF424D"/>
    <w:rsid w:val="00CF43E2"/>
    <w:rsid w:val="00CF44E0"/>
    <w:rsid w:val="00CF4516"/>
    <w:rsid w:val="00CF4534"/>
    <w:rsid w:val="00CF4604"/>
    <w:rsid w:val="00CF46C4"/>
    <w:rsid w:val="00CF4766"/>
    <w:rsid w:val="00CF47A2"/>
    <w:rsid w:val="00CF497E"/>
    <w:rsid w:val="00CF49B5"/>
    <w:rsid w:val="00CF49D4"/>
    <w:rsid w:val="00CF4A6F"/>
    <w:rsid w:val="00CF4B4A"/>
    <w:rsid w:val="00CF4CFC"/>
    <w:rsid w:val="00CF4D03"/>
    <w:rsid w:val="00CF5076"/>
    <w:rsid w:val="00CF5133"/>
    <w:rsid w:val="00CF51E9"/>
    <w:rsid w:val="00CF5322"/>
    <w:rsid w:val="00CF533B"/>
    <w:rsid w:val="00CF53D9"/>
    <w:rsid w:val="00CF5462"/>
    <w:rsid w:val="00CF546A"/>
    <w:rsid w:val="00CF5491"/>
    <w:rsid w:val="00CF561C"/>
    <w:rsid w:val="00CF561F"/>
    <w:rsid w:val="00CF5634"/>
    <w:rsid w:val="00CF5677"/>
    <w:rsid w:val="00CF56AC"/>
    <w:rsid w:val="00CF5715"/>
    <w:rsid w:val="00CF593E"/>
    <w:rsid w:val="00CF59B4"/>
    <w:rsid w:val="00CF5A65"/>
    <w:rsid w:val="00CF5A91"/>
    <w:rsid w:val="00CF5B7B"/>
    <w:rsid w:val="00CF5BA8"/>
    <w:rsid w:val="00CF5CAB"/>
    <w:rsid w:val="00CF5DA6"/>
    <w:rsid w:val="00CF5E0F"/>
    <w:rsid w:val="00CF5F7D"/>
    <w:rsid w:val="00CF5FE5"/>
    <w:rsid w:val="00CF60E0"/>
    <w:rsid w:val="00CF610A"/>
    <w:rsid w:val="00CF6179"/>
    <w:rsid w:val="00CF625A"/>
    <w:rsid w:val="00CF631F"/>
    <w:rsid w:val="00CF6381"/>
    <w:rsid w:val="00CF640A"/>
    <w:rsid w:val="00CF6429"/>
    <w:rsid w:val="00CF6526"/>
    <w:rsid w:val="00CF6531"/>
    <w:rsid w:val="00CF65E3"/>
    <w:rsid w:val="00CF65ED"/>
    <w:rsid w:val="00CF6628"/>
    <w:rsid w:val="00CF6653"/>
    <w:rsid w:val="00CF6832"/>
    <w:rsid w:val="00CF68A3"/>
    <w:rsid w:val="00CF6A3B"/>
    <w:rsid w:val="00CF6B2A"/>
    <w:rsid w:val="00CF6B56"/>
    <w:rsid w:val="00CF6BA1"/>
    <w:rsid w:val="00CF6D1E"/>
    <w:rsid w:val="00CF6D2E"/>
    <w:rsid w:val="00CF6EA2"/>
    <w:rsid w:val="00CF6F32"/>
    <w:rsid w:val="00CF704C"/>
    <w:rsid w:val="00CF7079"/>
    <w:rsid w:val="00CF7165"/>
    <w:rsid w:val="00CF72BB"/>
    <w:rsid w:val="00CF72DA"/>
    <w:rsid w:val="00CF73F3"/>
    <w:rsid w:val="00CF7459"/>
    <w:rsid w:val="00CF7460"/>
    <w:rsid w:val="00CF7599"/>
    <w:rsid w:val="00CF75E6"/>
    <w:rsid w:val="00CF761B"/>
    <w:rsid w:val="00CF7665"/>
    <w:rsid w:val="00CF7714"/>
    <w:rsid w:val="00CF77AC"/>
    <w:rsid w:val="00CF78F8"/>
    <w:rsid w:val="00CF790F"/>
    <w:rsid w:val="00CF7972"/>
    <w:rsid w:val="00CF7A19"/>
    <w:rsid w:val="00CF7A7D"/>
    <w:rsid w:val="00CF7AA6"/>
    <w:rsid w:val="00CF7C12"/>
    <w:rsid w:val="00CF7C3F"/>
    <w:rsid w:val="00CF7CF6"/>
    <w:rsid w:val="00CF7D87"/>
    <w:rsid w:val="00CF7DF6"/>
    <w:rsid w:val="00CF7F3F"/>
    <w:rsid w:val="00CF7FB5"/>
    <w:rsid w:val="00D0004A"/>
    <w:rsid w:val="00D00091"/>
    <w:rsid w:val="00D00203"/>
    <w:rsid w:val="00D00226"/>
    <w:rsid w:val="00D00272"/>
    <w:rsid w:val="00D00292"/>
    <w:rsid w:val="00D00293"/>
    <w:rsid w:val="00D002BD"/>
    <w:rsid w:val="00D002CD"/>
    <w:rsid w:val="00D00306"/>
    <w:rsid w:val="00D0037E"/>
    <w:rsid w:val="00D003A7"/>
    <w:rsid w:val="00D003BE"/>
    <w:rsid w:val="00D00439"/>
    <w:rsid w:val="00D00441"/>
    <w:rsid w:val="00D0044C"/>
    <w:rsid w:val="00D00515"/>
    <w:rsid w:val="00D005A6"/>
    <w:rsid w:val="00D0079B"/>
    <w:rsid w:val="00D0087B"/>
    <w:rsid w:val="00D00A3A"/>
    <w:rsid w:val="00D00A8E"/>
    <w:rsid w:val="00D00B6C"/>
    <w:rsid w:val="00D00C8B"/>
    <w:rsid w:val="00D00CAE"/>
    <w:rsid w:val="00D00DEB"/>
    <w:rsid w:val="00D00E68"/>
    <w:rsid w:val="00D00ECA"/>
    <w:rsid w:val="00D00EF5"/>
    <w:rsid w:val="00D00F46"/>
    <w:rsid w:val="00D00F5C"/>
    <w:rsid w:val="00D0102F"/>
    <w:rsid w:val="00D0129D"/>
    <w:rsid w:val="00D013C6"/>
    <w:rsid w:val="00D01453"/>
    <w:rsid w:val="00D01529"/>
    <w:rsid w:val="00D0179D"/>
    <w:rsid w:val="00D01875"/>
    <w:rsid w:val="00D018AC"/>
    <w:rsid w:val="00D018B2"/>
    <w:rsid w:val="00D018B5"/>
    <w:rsid w:val="00D01959"/>
    <w:rsid w:val="00D019BF"/>
    <w:rsid w:val="00D01A68"/>
    <w:rsid w:val="00D01C0C"/>
    <w:rsid w:val="00D01C57"/>
    <w:rsid w:val="00D01CF5"/>
    <w:rsid w:val="00D01DC7"/>
    <w:rsid w:val="00D01E50"/>
    <w:rsid w:val="00D01E78"/>
    <w:rsid w:val="00D01EB2"/>
    <w:rsid w:val="00D01F03"/>
    <w:rsid w:val="00D01F10"/>
    <w:rsid w:val="00D01F59"/>
    <w:rsid w:val="00D01FD5"/>
    <w:rsid w:val="00D0204B"/>
    <w:rsid w:val="00D0211C"/>
    <w:rsid w:val="00D02182"/>
    <w:rsid w:val="00D0238D"/>
    <w:rsid w:val="00D02479"/>
    <w:rsid w:val="00D02528"/>
    <w:rsid w:val="00D02547"/>
    <w:rsid w:val="00D02593"/>
    <w:rsid w:val="00D02601"/>
    <w:rsid w:val="00D02631"/>
    <w:rsid w:val="00D02686"/>
    <w:rsid w:val="00D0281F"/>
    <w:rsid w:val="00D0282A"/>
    <w:rsid w:val="00D02867"/>
    <w:rsid w:val="00D0293B"/>
    <w:rsid w:val="00D02971"/>
    <w:rsid w:val="00D02A5D"/>
    <w:rsid w:val="00D02BF1"/>
    <w:rsid w:val="00D02CB2"/>
    <w:rsid w:val="00D02D3D"/>
    <w:rsid w:val="00D02D8E"/>
    <w:rsid w:val="00D02DD7"/>
    <w:rsid w:val="00D02DEE"/>
    <w:rsid w:val="00D02E6C"/>
    <w:rsid w:val="00D02E9F"/>
    <w:rsid w:val="00D02EEB"/>
    <w:rsid w:val="00D02EFE"/>
    <w:rsid w:val="00D03036"/>
    <w:rsid w:val="00D03064"/>
    <w:rsid w:val="00D03298"/>
    <w:rsid w:val="00D032A7"/>
    <w:rsid w:val="00D03470"/>
    <w:rsid w:val="00D0353A"/>
    <w:rsid w:val="00D035D8"/>
    <w:rsid w:val="00D035E6"/>
    <w:rsid w:val="00D037FA"/>
    <w:rsid w:val="00D0395F"/>
    <w:rsid w:val="00D03A23"/>
    <w:rsid w:val="00D03B0F"/>
    <w:rsid w:val="00D03BD5"/>
    <w:rsid w:val="00D03DFA"/>
    <w:rsid w:val="00D03ED8"/>
    <w:rsid w:val="00D03EDE"/>
    <w:rsid w:val="00D03EF5"/>
    <w:rsid w:val="00D03F00"/>
    <w:rsid w:val="00D03FA2"/>
    <w:rsid w:val="00D03FC5"/>
    <w:rsid w:val="00D04029"/>
    <w:rsid w:val="00D04084"/>
    <w:rsid w:val="00D04135"/>
    <w:rsid w:val="00D0423B"/>
    <w:rsid w:val="00D04292"/>
    <w:rsid w:val="00D043FE"/>
    <w:rsid w:val="00D044F5"/>
    <w:rsid w:val="00D0451E"/>
    <w:rsid w:val="00D04528"/>
    <w:rsid w:val="00D04586"/>
    <w:rsid w:val="00D0459C"/>
    <w:rsid w:val="00D0460C"/>
    <w:rsid w:val="00D04629"/>
    <w:rsid w:val="00D0462A"/>
    <w:rsid w:val="00D046A6"/>
    <w:rsid w:val="00D0477A"/>
    <w:rsid w:val="00D047EF"/>
    <w:rsid w:val="00D04851"/>
    <w:rsid w:val="00D04950"/>
    <w:rsid w:val="00D0498E"/>
    <w:rsid w:val="00D049D1"/>
    <w:rsid w:val="00D04A25"/>
    <w:rsid w:val="00D04AD4"/>
    <w:rsid w:val="00D04B33"/>
    <w:rsid w:val="00D04C8F"/>
    <w:rsid w:val="00D04D65"/>
    <w:rsid w:val="00D04DA0"/>
    <w:rsid w:val="00D04DB7"/>
    <w:rsid w:val="00D04DB9"/>
    <w:rsid w:val="00D04F0E"/>
    <w:rsid w:val="00D04FDE"/>
    <w:rsid w:val="00D04FED"/>
    <w:rsid w:val="00D05002"/>
    <w:rsid w:val="00D05270"/>
    <w:rsid w:val="00D053B0"/>
    <w:rsid w:val="00D0541D"/>
    <w:rsid w:val="00D054B1"/>
    <w:rsid w:val="00D0559E"/>
    <w:rsid w:val="00D055C5"/>
    <w:rsid w:val="00D05614"/>
    <w:rsid w:val="00D05685"/>
    <w:rsid w:val="00D05738"/>
    <w:rsid w:val="00D05861"/>
    <w:rsid w:val="00D0588D"/>
    <w:rsid w:val="00D0593C"/>
    <w:rsid w:val="00D05983"/>
    <w:rsid w:val="00D05A27"/>
    <w:rsid w:val="00D05A2B"/>
    <w:rsid w:val="00D05AEA"/>
    <w:rsid w:val="00D05B20"/>
    <w:rsid w:val="00D05DEF"/>
    <w:rsid w:val="00D06056"/>
    <w:rsid w:val="00D061F8"/>
    <w:rsid w:val="00D062F5"/>
    <w:rsid w:val="00D0637A"/>
    <w:rsid w:val="00D06419"/>
    <w:rsid w:val="00D0642E"/>
    <w:rsid w:val="00D06492"/>
    <w:rsid w:val="00D065A9"/>
    <w:rsid w:val="00D066A2"/>
    <w:rsid w:val="00D06788"/>
    <w:rsid w:val="00D0679A"/>
    <w:rsid w:val="00D067FC"/>
    <w:rsid w:val="00D06A56"/>
    <w:rsid w:val="00D06C10"/>
    <w:rsid w:val="00D06C77"/>
    <w:rsid w:val="00D06C9A"/>
    <w:rsid w:val="00D06CC8"/>
    <w:rsid w:val="00D06D8E"/>
    <w:rsid w:val="00D06DF7"/>
    <w:rsid w:val="00D06E0B"/>
    <w:rsid w:val="00D06F13"/>
    <w:rsid w:val="00D06F36"/>
    <w:rsid w:val="00D06F8E"/>
    <w:rsid w:val="00D06FB5"/>
    <w:rsid w:val="00D07036"/>
    <w:rsid w:val="00D0705F"/>
    <w:rsid w:val="00D070EB"/>
    <w:rsid w:val="00D07162"/>
    <w:rsid w:val="00D0716E"/>
    <w:rsid w:val="00D071C5"/>
    <w:rsid w:val="00D07227"/>
    <w:rsid w:val="00D07293"/>
    <w:rsid w:val="00D072F8"/>
    <w:rsid w:val="00D07320"/>
    <w:rsid w:val="00D07386"/>
    <w:rsid w:val="00D073FD"/>
    <w:rsid w:val="00D074B4"/>
    <w:rsid w:val="00D074C2"/>
    <w:rsid w:val="00D074D1"/>
    <w:rsid w:val="00D0754E"/>
    <w:rsid w:val="00D07550"/>
    <w:rsid w:val="00D07555"/>
    <w:rsid w:val="00D0758D"/>
    <w:rsid w:val="00D07647"/>
    <w:rsid w:val="00D07805"/>
    <w:rsid w:val="00D07856"/>
    <w:rsid w:val="00D07893"/>
    <w:rsid w:val="00D0789E"/>
    <w:rsid w:val="00D07900"/>
    <w:rsid w:val="00D07AF6"/>
    <w:rsid w:val="00D07BC4"/>
    <w:rsid w:val="00D07BE7"/>
    <w:rsid w:val="00D07EB0"/>
    <w:rsid w:val="00D07F1C"/>
    <w:rsid w:val="00D07FD6"/>
    <w:rsid w:val="00D100AA"/>
    <w:rsid w:val="00D10103"/>
    <w:rsid w:val="00D102B1"/>
    <w:rsid w:val="00D102DA"/>
    <w:rsid w:val="00D102FC"/>
    <w:rsid w:val="00D1031B"/>
    <w:rsid w:val="00D103A8"/>
    <w:rsid w:val="00D103C0"/>
    <w:rsid w:val="00D104E6"/>
    <w:rsid w:val="00D106A1"/>
    <w:rsid w:val="00D106AF"/>
    <w:rsid w:val="00D10721"/>
    <w:rsid w:val="00D10723"/>
    <w:rsid w:val="00D10758"/>
    <w:rsid w:val="00D107AC"/>
    <w:rsid w:val="00D10893"/>
    <w:rsid w:val="00D108CA"/>
    <w:rsid w:val="00D10917"/>
    <w:rsid w:val="00D10A6C"/>
    <w:rsid w:val="00D10B19"/>
    <w:rsid w:val="00D10B7F"/>
    <w:rsid w:val="00D10CF9"/>
    <w:rsid w:val="00D10D8D"/>
    <w:rsid w:val="00D10DE4"/>
    <w:rsid w:val="00D10F23"/>
    <w:rsid w:val="00D10FC0"/>
    <w:rsid w:val="00D110E7"/>
    <w:rsid w:val="00D11268"/>
    <w:rsid w:val="00D1134D"/>
    <w:rsid w:val="00D115A1"/>
    <w:rsid w:val="00D115B1"/>
    <w:rsid w:val="00D1161D"/>
    <w:rsid w:val="00D11788"/>
    <w:rsid w:val="00D11794"/>
    <w:rsid w:val="00D117DF"/>
    <w:rsid w:val="00D11804"/>
    <w:rsid w:val="00D118B9"/>
    <w:rsid w:val="00D118F3"/>
    <w:rsid w:val="00D11953"/>
    <w:rsid w:val="00D119CD"/>
    <w:rsid w:val="00D11A0D"/>
    <w:rsid w:val="00D11A1B"/>
    <w:rsid w:val="00D11A43"/>
    <w:rsid w:val="00D11A9E"/>
    <w:rsid w:val="00D11AE7"/>
    <w:rsid w:val="00D11B1A"/>
    <w:rsid w:val="00D11B25"/>
    <w:rsid w:val="00D11C5C"/>
    <w:rsid w:val="00D11C79"/>
    <w:rsid w:val="00D11D5D"/>
    <w:rsid w:val="00D11E30"/>
    <w:rsid w:val="00D11E5F"/>
    <w:rsid w:val="00D11EB0"/>
    <w:rsid w:val="00D11F8F"/>
    <w:rsid w:val="00D1209F"/>
    <w:rsid w:val="00D120AD"/>
    <w:rsid w:val="00D120C0"/>
    <w:rsid w:val="00D1221A"/>
    <w:rsid w:val="00D122F2"/>
    <w:rsid w:val="00D1237F"/>
    <w:rsid w:val="00D12413"/>
    <w:rsid w:val="00D12530"/>
    <w:rsid w:val="00D12557"/>
    <w:rsid w:val="00D125A8"/>
    <w:rsid w:val="00D127DC"/>
    <w:rsid w:val="00D12A68"/>
    <w:rsid w:val="00D12BA8"/>
    <w:rsid w:val="00D12C3C"/>
    <w:rsid w:val="00D12C41"/>
    <w:rsid w:val="00D12C73"/>
    <w:rsid w:val="00D12D13"/>
    <w:rsid w:val="00D12D87"/>
    <w:rsid w:val="00D12E64"/>
    <w:rsid w:val="00D131D6"/>
    <w:rsid w:val="00D131F3"/>
    <w:rsid w:val="00D13203"/>
    <w:rsid w:val="00D1338C"/>
    <w:rsid w:val="00D13414"/>
    <w:rsid w:val="00D13467"/>
    <w:rsid w:val="00D13575"/>
    <w:rsid w:val="00D135E7"/>
    <w:rsid w:val="00D136AA"/>
    <w:rsid w:val="00D137C7"/>
    <w:rsid w:val="00D137DC"/>
    <w:rsid w:val="00D13AFA"/>
    <w:rsid w:val="00D13B23"/>
    <w:rsid w:val="00D13D61"/>
    <w:rsid w:val="00D13D63"/>
    <w:rsid w:val="00D13DCB"/>
    <w:rsid w:val="00D13E54"/>
    <w:rsid w:val="00D13E75"/>
    <w:rsid w:val="00D13EC9"/>
    <w:rsid w:val="00D13F3A"/>
    <w:rsid w:val="00D14031"/>
    <w:rsid w:val="00D14074"/>
    <w:rsid w:val="00D1407C"/>
    <w:rsid w:val="00D14092"/>
    <w:rsid w:val="00D140F0"/>
    <w:rsid w:val="00D141BC"/>
    <w:rsid w:val="00D142ED"/>
    <w:rsid w:val="00D14305"/>
    <w:rsid w:val="00D14344"/>
    <w:rsid w:val="00D1439D"/>
    <w:rsid w:val="00D143FD"/>
    <w:rsid w:val="00D1446D"/>
    <w:rsid w:val="00D14678"/>
    <w:rsid w:val="00D146F6"/>
    <w:rsid w:val="00D147A2"/>
    <w:rsid w:val="00D1484F"/>
    <w:rsid w:val="00D1486E"/>
    <w:rsid w:val="00D14875"/>
    <w:rsid w:val="00D14A81"/>
    <w:rsid w:val="00D14B41"/>
    <w:rsid w:val="00D14BB0"/>
    <w:rsid w:val="00D14C24"/>
    <w:rsid w:val="00D14C3E"/>
    <w:rsid w:val="00D14E1D"/>
    <w:rsid w:val="00D14F2C"/>
    <w:rsid w:val="00D14F41"/>
    <w:rsid w:val="00D14FC9"/>
    <w:rsid w:val="00D15006"/>
    <w:rsid w:val="00D1506B"/>
    <w:rsid w:val="00D1511E"/>
    <w:rsid w:val="00D15133"/>
    <w:rsid w:val="00D1520B"/>
    <w:rsid w:val="00D153D4"/>
    <w:rsid w:val="00D15450"/>
    <w:rsid w:val="00D1548B"/>
    <w:rsid w:val="00D1556C"/>
    <w:rsid w:val="00D1573C"/>
    <w:rsid w:val="00D15749"/>
    <w:rsid w:val="00D1575C"/>
    <w:rsid w:val="00D15779"/>
    <w:rsid w:val="00D157A6"/>
    <w:rsid w:val="00D15889"/>
    <w:rsid w:val="00D15900"/>
    <w:rsid w:val="00D15982"/>
    <w:rsid w:val="00D15B75"/>
    <w:rsid w:val="00D15B9B"/>
    <w:rsid w:val="00D15BE7"/>
    <w:rsid w:val="00D15BE9"/>
    <w:rsid w:val="00D15D3A"/>
    <w:rsid w:val="00D15EB6"/>
    <w:rsid w:val="00D15FF7"/>
    <w:rsid w:val="00D1607E"/>
    <w:rsid w:val="00D1615D"/>
    <w:rsid w:val="00D1637A"/>
    <w:rsid w:val="00D164BB"/>
    <w:rsid w:val="00D165E4"/>
    <w:rsid w:val="00D16626"/>
    <w:rsid w:val="00D16769"/>
    <w:rsid w:val="00D1683D"/>
    <w:rsid w:val="00D16853"/>
    <w:rsid w:val="00D1688D"/>
    <w:rsid w:val="00D16A02"/>
    <w:rsid w:val="00D16A77"/>
    <w:rsid w:val="00D16B62"/>
    <w:rsid w:val="00D16BCA"/>
    <w:rsid w:val="00D16EB3"/>
    <w:rsid w:val="00D16EC6"/>
    <w:rsid w:val="00D16F3C"/>
    <w:rsid w:val="00D16FA3"/>
    <w:rsid w:val="00D16FDD"/>
    <w:rsid w:val="00D17075"/>
    <w:rsid w:val="00D17178"/>
    <w:rsid w:val="00D17197"/>
    <w:rsid w:val="00D171C2"/>
    <w:rsid w:val="00D171F9"/>
    <w:rsid w:val="00D17251"/>
    <w:rsid w:val="00D172AC"/>
    <w:rsid w:val="00D17335"/>
    <w:rsid w:val="00D1733D"/>
    <w:rsid w:val="00D17362"/>
    <w:rsid w:val="00D1760B"/>
    <w:rsid w:val="00D17817"/>
    <w:rsid w:val="00D17839"/>
    <w:rsid w:val="00D17A25"/>
    <w:rsid w:val="00D17A7C"/>
    <w:rsid w:val="00D17AFD"/>
    <w:rsid w:val="00D17BF9"/>
    <w:rsid w:val="00D17C3E"/>
    <w:rsid w:val="00D17C70"/>
    <w:rsid w:val="00D17C73"/>
    <w:rsid w:val="00D17D1A"/>
    <w:rsid w:val="00D17D5A"/>
    <w:rsid w:val="00D17D85"/>
    <w:rsid w:val="00D17E30"/>
    <w:rsid w:val="00D17E49"/>
    <w:rsid w:val="00D17EBA"/>
    <w:rsid w:val="00D17EFF"/>
    <w:rsid w:val="00D17FB0"/>
    <w:rsid w:val="00D2005F"/>
    <w:rsid w:val="00D200A1"/>
    <w:rsid w:val="00D2013B"/>
    <w:rsid w:val="00D20185"/>
    <w:rsid w:val="00D20305"/>
    <w:rsid w:val="00D20335"/>
    <w:rsid w:val="00D20358"/>
    <w:rsid w:val="00D2039A"/>
    <w:rsid w:val="00D2048F"/>
    <w:rsid w:val="00D204B6"/>
    <w:rsid w:val="00D20583"/>
    <w:rsid w:val="00D205D2"/>
    <w:rsid w:val="00D20623"/>
    <w:rsid w:val="00D207A1"/>
    <w:rsid w:val="00D208A3"/>
    <w:rsid w:val="00D209C0"/>
    <w:rsid w:val="00D20AE5"/>
    <w:rsid w:val="00D20B64"/>
    <w:rsid w:val="00D20BD9"/>
    <w:rsid w:val="00D20BE3"/>
    <w:rsid w:val="00D20C06"/>
    <w:rsid w:val="00D20C26"/>
    <w:rsid w:val="00D20D18"/>
    <w:rsid w:val="00D20DCA"/>
    <w:rsid w:val="00D20DCE"/>
    <w:rsid w:val="00D20DE9"/>
    <w:rsid w:val="00D20E21"/>
    <w:rsid w:val="00D20EB6"/>
    <w:rsid w:val="00D20ECE"/>
    <w:rsid w:val="00D20F81"/>
    <w:rsid w:val="00D20FC9"/>
    <w:rsid w:val="00D2103B"/>
    <w:rsid w:val="00D21085"/>
    <w:rsid w:val="00D2114B"/>
    <w:rsid w:val="00D211A6"/>
    <w:rsid w:val="00D21260"/>
    <w:rsid w:val="00D212C5"/>
    <w:rsid w:val="00D2135D"/>
    <w:rsid w:val="00D213CF"/>
    <w:rsid w:val="00D213F1"/>
    <w:rsid w:val="00D21413"/>
    <w:rsid w:val="00D215E7"/>
    <w:rsid w:val="00D21642"/>
    <w:rsid w:val="00D217A5"/>
    <w:rsid w:val="00D217D9"/>
    <w:rsid w:val="00D218F2"/>
    <w:rsid w:val="00D21A0D"/>
    <w:rsid w:val="00D21AFE"/>
    <w:rsid w:val="00D21B6C"/>
    <w:rsid w:val="00D21BA0"/>
    <w:rsid w:val="00D21DDB"/>
    <w:rsid w:val="00D21EFC"/>
    <w:rsid w:val="00D21F27"/>
    <w:rsid w:val="00D21F66"/>
    <w:rsid w:val="00D22023"/>
    <w:rsid w:val="00D22030"/>
    <w:rsid w:val="00D222FA"/>
    <w:rsid w:val="00D2237F"/>
    <w:rsid w:val="00D22600"/>
    <w:rsid w:val="00D226EA"/>
    <w:rsid w:val="00D22760"/>
    <w:rsid w:val="00D22882"/>
    <w:rsid w:val="00D22892"/>
    <w:rsid w:val="00D2295F"/>
    <w:rsid w:val="00D229D9"/>
    <w:rsid w:val="00D22B87"/>
    <w:rsid w:val="00D22BE6"/>
    <w:rsid w:val="00D22CE0"/>
    <w:rsid w:val="00D22D84"/>
    <w:rsid w:val="00D22D9B"/>
    <w:rsid w:val="00D22DC6"/>
    <w:rsid w:val="00D22DF3"/>
    <w:rsid w:val="00D22E14"/>
    <w:rsid w:val="00D22E28"/>
    <w:rsid w:val="00D22E2C"/>
    <w:rsid w:val="00D22E9A"/>
    <w:rsid w:val="00D22F7A"/>
    <w:rsid w:val="00D2302E"/>
    <w:rsid w:val="00D23092"/>
    <w:rsid w:val="00D230B3"/>
    <w:rsid w:val="00D230EC"/>
    <w:rsid w:val="00D230F5"/>
    <w:rsid w:val="00D23264"/>
    <w:rsid w:val="00D232F0"/>
    <w:rsid w:val="00D232F4"/>
    <w:rsid w:val="00D2333E"/>
    <w:rsid w:val="00D233B9"/>
    <w:rsid w:val="00D233DC"/>
    <w:rsid w:val="00D23425"/>
    <w:rsid w:val="00D2345D"/>
    <w:rsid w:val="00D234C4"/>
    <w:rsid w:val="00D23552"/>
    <w:rsid w:val="00D23565"/>
    <w:rsid w:val="00D235B8"/>
    <w:rsid w:val="00D23713"/>
    <w:rsid w:val="00D23741"/>
    <w:rsid w:val="00D237B1"/>
    <w:rsid w:val="00D238AA"/>
    <w:rsid w:val="00D238C0"/>
    <w:rsid w:val="00D238F1"/>
    <w:rsid w:val="00D23A86"/>
    <w:rsid w:val="00D23CDD"/>
    <w:rsid w:val="00D23D1F"/>
    <w:rsid w:val="00D23D7E"/>
    <w:rsid w:val="00D23DF9"/>
    <w:rsid w:val="00D23F5C"/>
    <w:rsid w:val="00D23F72"/>
    <w:rsid w:val="00D240B6"/>
    <w:rsid w:val="00D24170"/>
    <w:rsid w:val="00D2417C"/>
    <w:rsid w:val="00D241E1"/>
    <w:rsid w:val="00D242C7"/>
    <w:rsid w:val="00D242CB"/>
    <w:rsid w:val="00D24313"/>
    <w:rsid w:val="00D243B4"/>
    <w:rsid w:val="00D243DB"/>
    <w:rsid w:val="00D243F7"/>
    <w:rsid w:val="00D24423"/>
    <w:rsid w:val="00D244CF"/>
    <w:rsid w:val="00D2459C"/>
    <w:rsid w:val="00D245B7"/>
    <w:rsid w:val="00D245DA"/>
    <w:rsid w:val="00D2466E"/>
    <w:rsid w:val="00D24689"/>
    <w:rsid w:val="00D246B0"/>
    <w:rsid w:val="00D246F5"/>
    <w:rsid w:val="00D247CA"/>
    <w:rsid w:val="00D249D0"/>
    <w:rsid w:val="00D24A1A"/>
    <w:rsid w:val="00D24C3F"/>
    <w:rsid w:val="00D24CA4"/>
    <w:rsid w:val="00D24E55"/>
    <w:rsid w:val="00D24F28"/>
    <w:rsid w:val="00D24FA7"/>
    <w:rsid w:val="00D2507B"/>
    <w:rsid w:val="00D2508C"/>
    <w:rsid w:val="00D25162"/>
    <w:rsid w:val="00D251B5"/>
    <w:rsid w:val="00D25271"/>
    <w:rsid w:val="00D252FD"/>
    <w:rsid w:val="00D25309"/>
    <w:rsid w:val="00D2530E"/>
    <w:rsid w:val="00D25387"/>
    <w:rsid w:val="00D253D3"/>
    <w:rsid w:val="00D25427"/>
    <w:rsid w:val="00D25477"/>
    <w:rsid w:val="00D254D2"/>
    <w:rsid w:val="00D2565C"/>
    <w:rsid w:val="00D256B2"/>
    <w:rsid w:val="00D256FC"/>
    <w:rsid w:val="00D25784"/>
    <w:rsid w:val="00D25832"/>
    <w:rsid w:val="00D258BE"/>
    <w:rsid w:val="00D258D3"/>
    <w:rsid w:val="00D258E3"/>
    <w:rsid w:val="00D25971"/>
    <w:rsid w:val="00D2598A"/>
    <w:rsid w:val="00D25C02"/>
    <w:rsid w:val="00D25C31"/>
    <w:rsid w:val="00D25CF9"/>
    <w:rsid w:val="00D25E41"/>
    <w:rsid w:val="00D25E67"/>
    <w:rsid w:val="00D261C4"/>
    <w:rsid w:val="00D261DC"/>
    <w:rsid w:val="00D26330"/>
    <w:rsid w:val="00D2634D"/>
    <w:rsid w:val="00D2635E"/>
    <w:rsid w:val="00D26388"/>
    <w:rsid w:val="00D263FF"/>
    <w:rsid w:val="00D26538"/>
    <w:rsid w:val="00D26595"/>
    <w:rsid w:val="00D26604"/>
    <w:rsid w:val="00D26745"/>
    <w:rsid w:val="00D2678F"/>
    <w:rsid w:val="00D267EF"/>
    <w:rsid w:val="00D268EA"/>
    <w:rsid w:val="00D26940"/>
    <w:rsid w:val="00D26A0F"/>
    <w:rsid w:val="00D26C2C"/>
    <w:rsid w:val="00D26C7C"/>
    <w:rsid w:val="00D26CD4"/>
    <w:rsid w:val="00D26D75"/>
    <w:rsid w:val="00D26E33"/>
    <w:rsid w:val="00D26E8F"/>
    <w:rsid w:val="00D26FFB"/>
    <w:rsid w:val="00D27039"/>
    <w:rsid w:val="00D2704D"/>
    <w:rsid w:val="00D27054"/>
    <w:rsid w:val="00D27057"/>
    <w:rsid w:val="00D27157"/>
    <w:rsid w:val="00D27256"/>
    <w:rsid w:val="00D2727B"/>
    <w:rsid w:val="00D272D0"/>
    <w:rsid w:val="00D272E2"/>
    <w:rsid w:val="00D2730D"/>
    <w:rsid w:val="00D273C0"/>
    <w:rsid w:val="00D2740C"/>
    <w:rsid w:val="00D27483"/>
    <w:rsid w:val="00D274A6"/>
    <w:rsid w:val="00D274C6"/>
    <w:rsid w:val="00D2762E"/>
    <w:rsid w:val="00D276A8"/>
    <w:rsid w:val="00D27750"/>
    <w:rsid w:val="00D2775B"/>
    <w:rsid w:val="00D27931"/>
    <w:rsid w:val="00D27A21"/>
    <w:rsid w:val="00D27AE8"/>
    <w:rsid w:val="00D27BAB"/>
    <w:rsid w:val="00D27C0E"/>
    <w:rsid w:val="00D27C30"/>
    <w:rsid w:val="00D27C76"/>
    <w:rsid w:val="00D27C97"/>
    <w:rsid w:val="00D27D4E"/>
    <w:rsid w:val="00D27DFC"/>
    <w:rsid w:val="00D27E11"/>
    <w:rsid w:val="00D27F3C"/>
    <w:rsid w:val="00D30015"/>
    <w:rsid w:val="00D30069"/>
    <w:rsid w:val="00D30081"/>
    <w:rsid w:val="00D30235"/>
    <w:rsid w:val="00D303A2"/>
    <w:rsid w:val="00D303B8"/>
    <w:rsid w:val="00D304DB"/>
    <w:rsid w:val="00D30546"/>
    <w:rsid w:val="00D30616"/>
    <w:rsid w:val="00D307BC"/>
    <w:rsid w:val="00D307FA"/>
    <w:rsid w:val="00D3080F"/>
    <w:rsid w:val="00D30815"/>
    <w:rsid w:val="00D3083A"/>
    <w:rsid w:val="00D30879"/>
    <w:rsid w:val="00D308DF"/>
    <w:rsid w:val="00D3096D"/>
    <w:rsid w:val="00D30A08"/>
    <w:rsid w:val="00D30B5E"/>
    <w:rsid w:val="00D30C72"/>
    <w:rsid w:val="00D30C9C"/>
    <w:rsid w:val="00D30D8F"/>
    <w:rsid w:val="00D30DCF"/>
    <w:rsid w:val="00D30EBB"/>
    <w:rsid w:val="00D310D6"/>
    <w:rsid w:val="00D3115A"/>
    <w:rsid w:val="00D312B7"/>
    <w:rsid w:val="00D313F3"/>
    <w:rsid w:val="00D314E2"/>
    <w:rsid w:val="00D3157A"/>
    <w:rsid w:val="00D3159F"/>
    <w:rsid w:val="00D31610"/>
    <w:rsid w:val="00D31627"/>
    <w:rsid w:val="00D31662"/>
    <w:rsid w:val="00D316A4"/>
    <w:rsid w:val="00D316A8"/>
    <w:rsid w:val="00D316F5"/>
    <w:rsid w:val="00D31904"/>
    <w:rsid w:val="00D31970"/>
    <w:rsid w:val="00D3199A"/>
    <w:rsid w:val="00D31AD3"/>
    <w:rsid w:val="00D31B0F"/>
    <w:rsid w:val="00D31B4E"/>
    <w:rsid w:val="00D31B7C"/>
    <w:rsid w:val="00D31C8C"/>
    <w:rsid w:val="00D31D72"/>
    <w:rsid w:val="00D31E62"/>
    <w:rsid w:val="00D31EFA"/>
    <w:rsid w:val="00D31FBB"/>
    <w:rsid w:val="00D32106"/>
    <w:rsid w:val="00D322B3"/>
    <w:rsid w:val="00D32342"/>
    <w:rsid w:val="00D32481"/>
    <w:rsid w:val="00D324BC"/>
    <w:rsid w:val="00D32563"/>
    <w:rsid w:val="00D325C1"/>
    <w:rsid w:val="00D32733"/>
    <w:rsid w:val="00D327AF"/>
    <w:rsid w:val="00D327B9"/>
    <w:rsid w:val="00D327D5"/>
    <w:rsid w:val="00D328CB"/>
    <w:rsid w:val="00D32957"/>
    <w:rsid w:val="00D32B48"/>
    <w:rsid w:val="00D32BBA"/>
    <w:rsid w:val="00D32CA9"/>
    <w:rsid w:val="00D32D2C"/>
    <w:rsid w:val="00D32D43"/>
    <w:rsid w:val="00D32D4D"/>
    <w:rsid w:val="00D32D85"/>
    <w:rsid w:val="00D32DE0"/>
    <w:rsid w:val="00D32FB5"/>
    <w:rsid w:val="00D32FDB"/>
    <w:rsid w:val="00D33030"/>
    <w:rsid w:val="00D3305C"/>
    <w:rsid w:val="00D33097"/>
    <w:rsid w:val="00D33104"/>
    <w:rsid w:val="00D3313B"/>
    <w:rsid w:val="00D331F6"/>
    <w:rsid w:val="00D33212"/>
    <w:rsid w:val="00D3323E"/>
    <w:rsid w:val="00D3342B"/>
    <w:rsid w:val="00D33465"/>
    <w:rsid w:val="00D334E0"/>
    <w:rsid w:val="00D33559"/>
    <w:rsid w:val="00D3369C"/>
    <w:rsid w:val="00D336AE"/>
    <w:rsid w:val="00D33755"/>
    <w:rsid w:val="00D337F3"/>
    <w:rsid w:val="00D33833"/>
    <w:rsid w:val="00D33918"/>
    <w:rsid w:val="00D33A6B"/>
    <w:rsid w:val="00D33ACD"/>
    <w:rsid w:val="00D33B83"/>
    <w:rsid w:val="00D33C76"/>
    <w:rsid w:val="00D33C7B"/>
    <w:rsid w:val="00D33CE3"/>
    <w:rsid w:val="00D33D30"/>
    <w:rsid w:val="00D33DA7"/>
    <w:rsid w:val="00D33DB3"/>
    <w:rsid w:val="00D33E39"/>
    <w:rsid w:val="00D33E3C"/>
    <w:rsid w:val="00D33EAD"/>
    <w:rsid w:val="00D33F53"/>
    <w:rsid w:val="00D33FA2"/>
    <w:rsid w:val="00D3406D"/>
    <w:rsid w:val="00D34081"/>
    <w:rsid w:val="00D340A7"/>
    <w:rsid w:val="00D340BB"/>
    <w:rsid w:val="00D34170"/>
    <w:rsid w:val="00D341FB"/>
    <w:rsid w:val="00D3423D"/>
    <w:rsid w:val="00D3431E"/>
    <w:rsid w:val="00D343AC"/>
    <w:rsid w:val="00D343ED"/>
    <w:rsid w:val="00D3457C"/>
    <w:rsid w:val="00D34857"/>
    <w:rsid w:val="00D348C0"/>
    <w:rsid w:val="00D348C2"/>
    <w:rsid w:val="00D3494A"/>
    <w:rsid w:val="00D349C1"/>
    <w:rsid w:val="00D34A2C"/>
    <w:rsid w:val="00D34BC9"/>
    <w:rsid w:val="00D34C2A"/>
    <w:rsid w:val="00D34CAE"/>
    <w:rsid w:val="00D34DDA"/>
    <w:rsid w:val="00D34DE6"/>
    <w:rsid w:val="00D34E85"/>
    <w:rsid w:val="00D34EAF"/>
    <w:rsid w:val="00D34EE5"/>
    <w:rsid w:val="00D34EEF"/>
    <w:rsid w:val="00D34F70"/>
    <w:rsid w:val="00D34FB9"/>
    <w:rsid w:val="00D3514D"/>
    <w:rsid w:val="00D3537C"/>
    <w:rsid w:val="00D35435"/>
    <w:rsid w:val="00D35458"/>
    <w:rsid w:val="00D35485"/>
    <w:rsid w:val="00D35493"/>
    <w:rsid w:val="00D354D0"/>
    <w:rsid w:val="00D3557A"/>
    <w:rsid w:val="00D3561D"/>
    <w:rsid w:val="00D3570E"/>
    <w:rsid w:val="00D35737"/>
    <w:rsid w:val="00D35768"/>
    <w:rsid w:val="00D3578F"/>
    <w:rsid w:val="00D35837"/>
    <w:rsid w:val="00D35852"/>
    <w:rsid w:val="00D358CB"/>
    <w:rsid w:val="00D358D5"/>
    <w:rsid w:val="00D358E8"/>
    <w:rsid w:val="00D359DE"/>
    <w:rsid w:val="00D35A32"/>
    <w:rsid w:val="00D35A38"/>
    <w:rsid w:val="00D35AEF"/>
    <w:rsid w:val="00D35E4F"/>
    <w:rsid w:val="00D35EB8"/>
    <w:rsid w:val="00D3607B"/>
    <w:rsid w:val="00D360EA"/>
    <w:rsid w:val="00D36391"/>
    <w:rsid w:val="00D3646F"/>
    <w:rsid w:val="00D364D7"/>
    <w:rsid w:val="00D36527"/>
    <w:rsid w:val="00D36562"/>
    <w:rsid w:val="00D367F2"/>
    <w:rsid w:val="00D36837"/>
    <w:rsid w:val="00D368DD"/>
    <w:rsid w:val="00D36A1B"/>
    <w:rsid w:val="00D36AD2"/>
    <w:rsid w:val="00D36C27"/>
    <w:rsid w:val="00D36D02"/>
    <w:rsid w:val="00D36F0B"/>
    <w:rsid w:val="00D36FE0"/>
    <w:rsid w:val="00D370DB"/>
    <w:rsid w:val="00D370FD"/>
    <w:rsid w:val="00D37191"/>
    <w:rsid w:val="00D371BD"/>
    <w:rsid w:val="00D37247"/>
    <w:rsid w:val="00D373AE"/>
    <w:rsid w:val="00D3740D"/>
    <w:rsid w:val="00D3746B"/>
    <w:rsid w:val="00D374AA"/>
    <w:rsid w:val="00D374FA"/>
    <w:rsid w:val="00D3758A"/>
    <w:rsid w:val="00D375B0"/>
    <w:rsid w:val="00D375C1"/>
    <w:rsid w:val="00D37601"/>
    <w:rsid w:val="00D37651"/>
    <w:rsid w:val="00D376A0"/>
    <w:rsid w:val="00D376A8"/>
    <w:rsid w:val="00D3773D"/>
    <w:rsid w:val="00D3778F"/>
    <w:rsid w:val="00D377A0"/>
    <w:rsid w:val="00D37814"/>
    <w:rsid w:val="00D3783E"/>
    <w:rsid w:val="00D3796E"/>
    <w:rsid w:val="00D3798F"/>
    <w:rsid w:val="00D37B88"/>
    <w:rsid w:val="00D37BAE"/>
    <w:rsid w:val="00D37BDE"/>
    <w:rsid w:val="00D37CE9"/>
    <w:rsid w:val="00D37E3E"/>
    <w:rsid w:val="00D37E45"/>
    <w:rsid w:val="00D37EA0"/>
    <w:rsid w:val="00D37F30"/>
    <w:rsid w:val="00D37F85"/>
    <w:rsid w:val="00D40063"/>
    <w:rsid w:val="00D400E0"/>
    <w:rsid w:val="00D401CE"/>
    <w:rsid w:val="00D401EC"/>
    <w:rsid w:val="00D403C8"/>
    <w:rsid w:val="00D403E8"/>
    <w:rsid w:val="00D40444"/>
    <w:rsid w:val="00D404E0"/>
    <w:rsid w:val="00D40714"/>
    <w:rsid w:val="00D407B2"/>
    <w:rsid w:val="00D40917"/>
    <w:rsid w:val="00D40972"/>
    <w:rsid w:val="00D409D8"/>
    <w:rsid w:val="00D40B13"/>
    <w:rsid w:val="00D40BFD"/>
    <w:rsid w:val="00D40C29"/>
    <w:rsid w:val="00D40D0B"/>
    <w:rsid w:val="00D40D83"/>
    <w:rsid w:val="00D41022"/>
    <w:rsid w:val="00D41206"/>
    <w:rsid w:val="00D4133D"/>
    <w:rsid w:val="00D413B3"/>
    <w:rsid w:val="00D413BF"/>
    <w:rsid w:val="00D413FF"/>
    <w:rsid w:val="00D41478"/>
    <w:rsid w:val="00D4148E"/>
    <w:rsid w:val="00D41551"/>
    <w:rsid w:val="00D415A7"/>
    <w:rsid w:val="00D41816"/>
    <w:rsid w:val="00D41825"/>
    <w:rsid w:val="00D41868"/>
    <w:rsid w:val="00D41869"/>
    <w:rsid w:val="00D418EB"/>
    <w:rsid w:val="00D419BB"/>
    <w:rsid w:val="00D41A8A"/>
    <w:rsid w:val="00D41AB1"/>
    <w:rsid w:val="00D41AD4"/>
    <w:rsid w:val="00D41B78"/>
    <w:rsid w:val="00D41BE6"/>
    <w:rsid w:val="00D41CC7"/>
    <w:rsid w:val="00D41D06"/>
    <w:rsid w:val="00D41D5D"/>
    <w:rsid w:val="00D41DA6"/>
    <w:rsid w:val="00D41E84"/>
    <w:rsid w:val="00D41F06"/>
    <w:rsid w:val="00D42013"/>
    <w:rsid w:val="00D4214B"/>
    <w:rsid w:val="00D421CF"/>
    <w:rsid w:val="00D42222"/>
    <w:rsid w:val="00D42270"/>
    <w:rsid w:val="00D422D0"/>
    <w:rsid w:val="00D4236F"/>
    <w:rsid w:val="00D423A5"/>
    <w:rsid w:val="00D423AB"/>
    <w:rsid w:val="00D423D8"/>
    <w:rsid w:val="00D4240B"/>
    <w:rsid w:val="00D42427"/>
    <w:rsid w:val="00D42656"/>
    <w:rsid w:val="00D42705"/>
    <w:rsid w:val="00D4270A"/>
    <w:rsid w:val="00D42729"/>
    <w:rsid w:val="00D42737"/>
    <w:rsid w:val="00D4276D"/>
    <w:rsid w:val="00D427FF"/>
    <w:rsid w:val="00D429F0"/>
    <w:rsid w:val="00D42A63"/>
    <w:rsid w:val="00D42AF0"/>
    <w:rsid w:val="00D42B6B"/>
    <w:rsid w:val="00D42B89"/>
    <w:rsid w:val="00D42C63"/>
    <w:rsid w:val="00D42CF0"/>
    <w:rsid w:val="00D42D35"/>
    <w:rsid w:val="00D42D55"/>
    <w:rsid w:val="00D42E64"/>
    <w:rsid w:val="00D430C3"/>
    <w:rsid w:val="00D430F5"/>
    <w:rsid w:val="00D43195"/>
    <w:rsid w:val="00D43208"/>
    <w:rsid w:val="00D43235"/>
    <w:rsid w:val="00D43407"/>
    <w:rsid w:val="00D4342C"/>
    <w:rsid w:val="00D4349E"/>
    <w:rsid w:val="00D4356C"/>
    <w:rsid w:val="00D43677"/>
    <w:rsid w:val="00D436D7"/>
    <w:rsid w:val="00D436D8"/>
    <w:rsid w:val="00D4379C"/>
    <w:rsid w:val="00D437FF"/>
    <w:rsid w:val="00D43A47"/>
    <w:rsid w:val="00D43A4A"/>
    <w:rsid w:val="00D43AB8"/>
    <w:rsid w:val="00D43B56"/>
    <w:rsid w:val="00D43B9E"/>
    <w:rsid w:val="00D43BD0"/>
    <w:rsid w:val="00D43C87"/>
    <w:rsid w:val="00D43D5D"/>
    <w:rsid w:val="00D43D67"/>
    <w:rsid w:val="00D43DE8"/>
    <w:rsid w:val="00D43E35"/>
    <w:rsid w:val="00D43E77"/>
    <w:rsid w:val="00D43EDC"/>
    <w:rsid w:val="00D43EFE"/>
    <w:rsid w:val="00D43F6B"/>
    <w:rsid w:val="00D43F8A"/>
    <w:rsid w:val="00D43FC8"/>
    <w:rsid w:val="00D43FCF"/>
    <w:rsid w:val="00D4407C"/>
    <w:rsid w:val="00D44274"/>
    <w:rsid w:val="00D443D1"/>
    <w:rsid w:val="00D444D6"/>
    <w:rsid w:val="00D445C9"/>
    <w:rsid w:val="00D4461E"/>
    <w:rsid w:val="00D4463B"/>
    <w:rsid w:val="00D4465D"/>
    <w:rsid w:val="00D446D2"/>
    <w:rsid w:val="00D44713"/>
    <w:rsid w:val="00D4487D"/>
    <w:rsid w:val="00D448FD"/>
    <w:rsid w:val="00D44BE7"/>
    <w:rsid w:val="00D44CB0"/>
    <w:rsid w:val="00D44CC8"/>
    <w:rsid w:val="00D44E55"/>
    <w:rsid w:val="00D44F66"/>
    <w:rsid w:val="00D45189"/>
    <w:rsid w:val="00D452A3"/>
    <w:rsid w:val="00D45596"/>
    <w:rsid w:val="00D45620"/>
    <w:rsid w:val="00D45642"/>
    <w:rsid w:val="00D45667"/>
    <w:rsid w:val="00D456F9"/>
    <w:rsid w:val="00D45713"/>
    <w:rsid w:val="00D45721"/>
    <w:rsid w:val="00D45741"/>
    <w:rsid w:val="00D4581F"/>
    <w:rsid w:val="00D4583C"/>
    <w:rsid w:val="00D4584A"/>
    <w:rsid w:val="00D4589B"/>
    <w:rsid w:val="00D459B7"/>
    <w:rsid w:val="00D45A8D"/>
    <w:rsid w:val="00D45B4C"/>
    <w:rsid w:val="00D45B74"/>
    <w:rsid w:val="00D45B7A"/>
    <w:rsid w:val="00D45BBC"/>
    <w:rsid w:val="00D45BC5"/>
    <w:rsid w:val="00D45D7D"/>
    <w:rsid w:val="00D45DC8"/>
    <w:rsid w:val="00D45EA3"/>
    <w:rsid w:val="00D45EC5"/>
    <w:rsid w:val="00D45F07"/>
    <w:rsid w:val="00D45FD5"/>
    <w:rsid w:val="00D460ED"/>
    <w:rsid w:val="00D4611E"/>
    <w:rsid w:val="00D46236"/>
    <w:rsid w:val="00D464D0"/>
    <w:rsid w:val="00D46518"/>
    <w:rsid w:val="00D4657F"/>
    <w:rsid w:val="00D4659E"/>
    <w:rsid w:val="00D4674F"/>
    <w:rsid w:val="00D46762"/>
    <w:rsid w:val="00D4677E"/>
    <w:rsid w:val="00D467FB"/>
    <w:rsid w:val="00D46824"/>
    <w:rsid w:val="00D468BB"/>
    <w:rsid w:val="00D46902"/>
    <w:rsid w:val="00D46A23"/>
    <w:rsid w:val="00D46A94"/>
    <w:rsid w:val="00D46B17"/>
    <w:rsid w:val="00D46D81"/>
    <w:rsid w:val="00D46E57"/>
    <w:rsid w:val="00D46EA9"/>
    <w:rsid w:val="00D46ED8"/>
    <w:rsid w:val="00D46EE9"/>
    <w:rsid w:val="00D46FB8"/>
    <w:rsid w:val="00D4703F"/>
    <w:rsid w:val="00D4717F"/>
    <w:rsid w:val="00D47182"/>
    <w:rsid w:val="00D471DB"/>
    <w:rsid w:val="00D47354"/>
    <w:rsid w:val="00D4735F"/>
    <w:rsid w:val="00D47379"/>
    <w:rsid w:val="00D473B0"/>
    <w:rsid w:val="00D473B8"/>
    <w:rsid w:val="00D47471"/>
    <w:rsid w:val="00D47516"/>
    <w:rsid w:val="00D4760F"/>
    <w:rsid w:val="00D47616"/>
    <w:rsid w:val="00D47636"/>
    <w:rsid w:val="00D476F3"/>
    <w:rsid w:val="00D4770E"/>
    <w:rsid w:val="00D4787D"/>
    <w:rsid w:val="00D478B0"/>
    <w:rsid w:val="00D478F7"/>
    <w:rsid w:val="00D47A75"/>
    <w:rsid w:val="00D47B01"/>
    <w:rsid w:val="00D47B15"/>
    <w:rsid w:val="00D47B99"/>
    <w:rsid w:val="00D47B9B"/>
    <w:rsid w:val="00D47BF8"/>
    <w:rsid w:val="00D47C04"/>
    <w:rsid w:val="00D47C29"/>
    <w:rsid w:val="00D47C83"/>
    <w:rsid w:val="00D47CDD"/>
    <w:rsid w:val="00D47D83"/>
    <w:rsid w:val="00D47DD8"/>
    <w:rsid w:val="00D47DE2"/>
    <w:rsid w:val="00D47DE7"/>
    <w:rsid w:val="00D47E65"/>
    <w:rsid w:val="00D47E72"/>
    <w:rsid w:val="00D47EF2"/>
    <w:rsid w:val="00D47F04"/>
    <w:rsid w:val="00D50051"/>
    <w:rsid w:val="00D500CE"/>
    <w:rsid w:val="00D501D7"/>
    <w:rsid w:val="00D501F6"/>
    <w:rsid w:val="00D5026F"/>
    <w:rsid w:val="00D502D7"/>
    <w:rsid w:val="00D5047B"/>
    <w:rsid w:val="00D504FE"/>
    <w:rsid w:val="00D505A3"/>
    <w:rsid w:val="00D5060B"/>
    <w:rsid w:val="00D506EB"/>
    <w:rsid w:val="00D507FB"/>
    <w:rsid w:val="00D5097E"/>
    <w:rsid w:val="00D5099D"/>
    <w:rsid w:val="00D50AE2"/>
    <w:rsid w:val="00D50B48"/>
    <w:rsid w:val="00D50BA2"/>
    <w:rsid w:val="00D50BD2"/>
    <w:rsid w:val="00D50C48"/>
    <w:rsid w:val="00D50D26"/>
    <w:rsid w:val="00D50EE3"/>
    <w:rsid w:val="00D50EFA"/>
    <w:rsid w:val="00D50F08"/>
    <w:rsid w:val="00D50F6E"/>
    <w:rsid w:val="00D50F93"/>
    <w:rsid w:val="00D510BB"/>
    <w:rsid w:val="00D510ED"/>
    <w:rsid w:val="00D51156"/>
    <w:rsid w:val="00D51191"/>
    <w:rsid w:val="00D51249"/>
    <w:rsid w:val="00D51289"/>
    <w:rsid w:val="00D512C0"/>
    <w:rsid w:val="00D512D5"/>
    <w:rsid w:val="00D5134D"/>
    <w:rsid w:val="00D5143C"/>
    <w:rsid w:val="00D514C9"/>
    <w:rsid w:val="00D515DD"/>
    <w:rsid w:val="00D5168D"/>
    <w:rsid w:val="00D5169E"/>
    <w:rsid w:val="00D51748"/>
    <w:rsid w:val="00D51768"/>
    <w:rsid w:val="00D517B9"/>
    <w:rsid w:val="00D519A6"/>
    <w:rsid w:val="00D51AE1"/>
    <w:rsid w:val="00D51AE6"/>
    <w:rsid w:val="00D51E31"/>
    <w:rsid w:val="00D51EAB"/>
    <w:rsid w:val="00D51F16"/>
    <w:rsid w:val="00D51FE8"/>
    <w:rsid w:val="00D52004"/>
    <w:rsid w:val="00D52005"/>
    <w:rsid w:val="00D5202E"/>
    <w:rsid w:val="00D520E7"/>
    <w:rsid w:val="00D52161"/>
    <w:rsid w:val="00D5225D"/>
    <w:rsid w:val="00D522FB"/>
    <w:rsid w:val="00D522FE"/>
    <w:rsid w:val="00D52339"/>
    <w:rsid w:val="00D52371"/>
    <w:rsid w:val="00D523ED"/>
    <w:rsid w:val="00D52481"/>
    <w:rsid w:val="00D52496"/>
    <w:rsid w:val="00D524C2"/>
    <w:rsid w:val="00D5250C"/>
    <w:rsid w:val="00D52587"/>
    <w:rsid w:val="00D52606"/>
    <w:rsid w:val="00D52828"/>
    <w:rsid w:val="00D52867"/>
    <w:rsid w:val="00D528B0"/>
    <w:rsid w:val="00D52A13"/>
    <w:rsid w:val="00D52A77"/>
    <w:rsid w:val="00D52B19"/>
    <w:rsid w:val="00D52BD2"/>
    <w:rsid w:val="00D52D0E"/>
    <w:rsid w:val="00D52D12"/>
    <w:rsid w:val="00D52DA6"/>
    <w:rsid w:val="00D52E4A"/>
    <w:rsid w:val="00D52E75"/>
    <w:rsid w:val="00D5305B"/>
    <w:rsid w:val="00D5312E"/>
    <w:rsid w:val="00D5314E"/>
    <w:rsid w:val="00D53157"/>
    <w:rsid w:val="00D531F7"/>
    <w:rsid w:val="00D53206"/>
    <w:rsid w:val="00D5325B"/>
    <w:rsid w:val="00D53293"/>
    <w:rsid w:val="00D53376"/>
    <w:rsid w:val="00D533BE"/>
    <w:rsid w:val="00D5346D"/>
    <w:rsid w:val="00D5357C"/>
    <w:rsid w:val="00D535F0"/>
    <w:rsid w:val="00D53623"/>
    <w:rsid w:val="00D53656"/>
    <w:rsid w:val="00D536E5"/>
    <w:rsid w:val="00D537BE"/>
    <w:rsid w:val="00D53888"/>
    <w:rsid w:val="00D53998"/>
    <w:rsid w:val="00D53ADB"/>
    <w:rsid w:val="00D53B4E"/>
    <w:rsid w:val="00D53B9C"/>
    <w:rsid w:val="00D53CAD"/>
    <w:rsid w:val="00D53CC9"/>
    <w:rsid w:val="00D53D0F"/>
    <w:rsid w:val="00D53D2D"/>
    <w:rsid w:val="00D53D62"/>
    <w:rsid w:val="00D53D8C"/>
    <w:rsid w:val="00D53F2D"/>
    <w:rsid w:val="00D53F66"/>
    <w:rsid w:val="00D53F95"/>
    <w:rsid w:val="00D540B3"/>
    <w:rsid w:val="00D5427F"/>
    <w:rsid w:val="00D5429E"/>
    <w:rsid w:val="00D54366"/>
    <w:rsid w:val="00D5438F"/>
    <w:rsid w:val="00D54481"/>
    <w:rsid w:val="00D544DA"/>
    <w:rsid w:val="00D54587"/>
    <w:rsid w:val="00D54651"/>
    <w:rsid w:val="00D54666"/>
    <w:rsid w:val="00D5468B"/>
    <w:rsid w:val="00D546E6"/>
    <w:rsid w:val="00D547F7"/>
    <w:rsid w:val="00D548E4"/>
    <w:rsid w:val="00D5496F"/>
    <w:rsid w:val="00D54A97"/>
    <w:rsid w:val="00D54AD9"/>
    <w:rsid w:val="00D54B78"/>
    <w:rsid w:val="00D54D77"/>
    <w:rsid w:val="00D54DED"/>
    <w:rsid w:val="00D54F3A"/>
    <w:rsid w:val="00D5503C"/>
    <w:rsid w:val="00D5504E"/>
    <w:rsid w:val="00D550AD"/>
    <w:rsid w:val="00D5516A"/>
    <w:rsid w:val="00D551F8"/>
    <w:rsid w:val="00D55261"/>
    <w:rsid w:val="00D552FF"/>
    <w:rsid w:val="00D5530B"/>
    <w:rsid w:val="00D553DF"/>
    <w:rsid w:val="00D5542E"/>
    <w:rsid w:val="00D554D4"/>
    <w:rsid w:val="00D555BE"/>
    <w:rsid w:val="00D55726"/>
    <w:rsid w:val="00D55960"/>
    <w:rsid w:val="00D55A1E"/>
    <w:rsid w:val="00D55AC9"/>
    <w:rsid w:val="00D55B76"/>
    <w:rsid w:val="00D55BBD"/>
    <w:rsid w:val="00D55BC3"/>
    <w:rsid w:val="00D55BC8"/>
    <w:rsid w:val="00D55BCD"/>
    <w:rsid w:val="00D55C15"/>
    <w:rsid w:val="00D55CC9"/>
    <w:rsid w:val="00D55DE3"/>
    <w:rsid w:val="00D55E02"/>
    <w:rsid w:val="00D55F6B"/>
    <w:rsid w:val="00D55FAC"/>
    <w:rsid w:val="00D55FEA"/>
    <w:rsid w:val="00D56051"/>
    <w:rsid w:val="00D56108"/>
    <w:rsid w:val="00D56197"/>
    <w:rsid w:val="00D561B1"/>
    <w:rsid w:val="00D56204"/>
    <w:rsid w:val="00D5623D"/>
    <w:rsid w:val="00D56361"/>
    <w:rsid w:val="00D56391"/>
    <w:rsid w:val="00D563A2"/>
    <w:rsid w:val="00D5678D"/>
    <w:rsid w:val="00D5679D"/>
    <w:rsid w:val="00D567C5"/>
    <w:rsid w:val="00D567D5"/>
    <w:rsid w:val="00D5682D"/>
    <w:rsid w:val="00D56978"/>
    <w:rsid w:val="00D56BDF"/>
    <w:rsid w:val="00D56D09"/>
    <w:rsid w:val="00D56E09"/>
    <w:rsid w:val="00D56EAC"/>
    <w:rsid w:val="00D56F4E"/>
    <w:rsid w:val="00D56FC3"/>
    <w:rsid w:val="00D570EA"/>
    <w:rsid w:val="00D5717A"/>
    <w:rsid w:val="00D5718C"/>
    <w:rsid w:val="00D5718F"/>
    <w:rsid w:val="00D571AB"/>
    <w:rsid w:val="00D57246"/>
    <w:rsid w:val="00D5747D"/>
    <w:rsid w:val="00D5751C"/>
    <w:rsid w:val="00D5759F"/>
    <w:rsid w:val="00D575EF"/>
    <w:rsid w:val="00D5773F"/>
    <w:rsid w:val="00D5783A"/>
    <w:rsid w:val="00D578B2"/>
    <w:rsid w:val="00D578EC"/>
    <w:rsid w:val="00D579F5"/>
    <w:rsid w:val="00D57A76"/>
    <w:rsid w:val="00D57AD2"/>
    <w:rsid w:val="00D57B35"/>
    <w:rsid w:val="00D57B89"/>
    <w:rsid w:val="00D57BA1"/>
    <w:rsid w:val="00D57D61"/>
    <w:rsid w:val="00D57E38"/>
    <w:rsid w:val="00D60133"/>
    <w:rsid w:val="00D60219"/>
    <w:rsid w:val="00D6023F"/>
    <w:rsid w:val="00D6024C"/>
    <w:rsid w:val="00D6029D"/>
    <w:rsid w:val="00D603FA"/>
    <w:rsid w:val="00D60403"/>
    <w:rsid w:val="00D6048B"/>
    <w:rsid w:val="00D604F7"/>
    <w:rsid w:val="00D6050B"/>
    <w:rsid w:val="00D60581"/>
    <w:rsid w:val="00D605A5"/>
    <w:rsid w:val="00D605CC"/>
    <w:rsid w:val="00D6069D"/>
    <w:rsid w:val="00D6079C"/>
    <w:rsid w:val="00D60882"/>
    <w:rsid w:val="00D608D8"/>
    <w:rsid w:val="00D608E6"/>
    <w:rsid w:val="00D608E9"/>
    <w:rsid w:val="00D60A07"/>
    <w:rsid w:val="00D60A4B"/>
    <w:rsid w:val="00D60A76"/>
    <w:rsid w:val="00D60BCC"/>
    <w:rsid w:val="00D60D7D"/>
    <w:rsid w:val="00D61088"/>
    <w:rsid w:val="00D610AC"/>
    <w:rsid w:val="00D610F6"/>
    <w:rsid w:val="00D6117C"/>
    <w:rsid w:val="00D611C7"/>
    <w:rsid w:val="00D611EB"/>
    <w:rsid w:val="00D61204"/>
    <w:rsid w:val="00D61225"/>
    <w:rsid w:val="00D61242"/>
    <w:rsid w:val="00D61327"/>
    <w:rsid w:val="00D61399"/>
    <w:rsid w:val="00D614C4"/>
    <w:rsid w:val="00D615C1"/>
    <w:rsid w:val="00D617AA"/>
    <w:rsid w:val="00D617D2"/>
    <w:rsid w:val="00D61832"/>
    <w:rsid w:val="00D618B0"/>
    <w:rsid w:val="00D6190C"/>
    <w:rsid w:val="00D61A5D"/>
    <w:rsid w:val="00D61ABA"/>
    <w:rsid w:val="00D61C70"/>
    <w:rsid w:val="00D61D3D"/>
    <w:rsid w:val="00D61D61"/>
    <w:rsid w:val="00D61D75"/>
    <w:rsid w:val="00D61E68"/>
    <w:rsid w:val="00D61ED9"/>
    <w:rsid w:val="00D61F91"/>
    <w:rsid w:val="00D61FC7"/>
    <w:rsid w:val="00D61FE7"/>
    <w:rsid w:val="00D6206E"/>
    <w:rsid w:val="00D6227D"/>
    <w:rsid w:val="00D6235D"/>
    <w:rsid w:val="00D62390"/>
    <w:rsid w:val="00D623E1"/>
    <w:rsid w:val="00D623F4"/>
    <w:rsid w:val="00D6240A"/>
    <w:rsid w:val="00D62482"/>
    <w:rsid w:val="00D62651"/>
    <w:rsid w:val="00D6265D"/>
    <w:rsid w:val="00D626AD"/>
    <w:rsid w:val="00D626BB"/>
    <w:rsid w:val="00D626E3"/>
    <w:rsid w:val="00D6273B"/>
    <w:rsid w:val="00D627C2"/>
    <w:rsid w:val="00D627E0"/>
    <w:rsid w:val="00D62885"/>
    <w:rsid w:val="00D628C3"/>
    <w:rsid w:val="00D6290D"/>
    <w:rsid w:val="00D629AF"/>
    <w:rsid w:val="00D62C02"/>
    <w:rsid w:val="00D62C0C"/>
    <w:rsid w:val="00D62C69"/>
    <w:rsid w:val="00D630B6"/>
    <w:rsid w:val="00D630EB"/>
    <w:rsid w:val="00D63138"/>
    <w:rsid w:val="00D631B0"/>
    <w:rsid w:val="00D631F7"/>
    <w:rsid w:val="00D632FD"/>
    <w:rsid w:val="00D63360"/>
    <w:rsid w:val="00D63364"/>
    <w:rsid w:val="00D63429"/>
    <w:rsid w:val="00D63567"/>
    <w:rsid w:val="00D6366A"/>
    <w:rsid w:val="00D636B7"/>
    <w:rsid w:val="00D63711"/>
    <w:rsid w:val="00D637A7"/>
    <w:rsid w:val="00D637EF"/>
    <w:rsid w:val="00D63888"/>
    <w:rsid w:val="00D6388B"/>
    <w:rsid w:val="00D63928"/>
    <w:rsid w:val="00D63A92"/>
    <w:rsid w:val="00D63A95"/>
    <w:rsid w:val="00D63BCB"/>
    <w:rsid w:val="00D63D4C"/>
    <w:rsid w:val="00D63DCB"/>
    <w:rsid w:val="00D63EB9"/>
    <w:rsid w:val="00D63FA8"/>
    <w:rsid w:val="00D6405A"/>
    <w:rsid w:val="00D6405D"/>
    <w:rsid w:val="00D64098"/>
    <w:rsid w:val="00D640FD"/>
    <w:rsid w:val="00D64145"/>
    <w:rsid w:val="00D64263"/>
    <w:rsid w:val="00D642D0"/>
    <w:rsid w:val="00D64568"/>
    <w:rsid w:val="00D645D2"/>
    <w:rsid w:val="00D646D8"/>
    <w:rsid w:val="00D646FF"/>
    <w:rsid w:val="00D64787"/>
    <w:rsid w:val="00D648A0"/>
    <w:rsid w:val="00D648FC"/>
    <w:rsid w:val="00D649A8"/>
    <w:rsid w:val="00D64B36"/>
    <w:rsid w:val="00D64B59"/>
    <w:rsid w:val="00D64B6A"/>
    <w:rsid w:val="00D64BDF"/>
    <w:rsid w:val="00D64BF3"/>
    <w:rsid w:val="00D64C0E"/>
    <w:rsid w:val="00D64C1F"/>
    <w:rsid w:val="00D64D40"/>
    <w:rsid w:val="00D64DE0"/>
    <w:rsid w:val="00D64E5C"/>
    <w:rsid w:val="00D64F1A"/>
    <w:rsid w:val="00D64F73"/>
    <w:rsid w:val="00D6514A"/>
    <w:rsid w:val="00D651C2"/>
    <w:rsid w:val="00D651EF"/>
    <w:rsid w:val="00D651F9"/>
    <w:rsid w:val="00D65478"/>
    <w:rsid w:val="00D654F9"/>
    <w:rsid w:val="00D65542"/>
    <w:rsid w:val="00D65592"/>
    <w:rsid w:val="00D65621"/>
    <w:rsid w:val="00D6562E"/>
    <w:rsid w:val="00D65634"/>
    <w:rsid w:val="00D6568A"/>
    <w:rsid w:val="00D6569E"/>
    <w:rsid w:val="00D65762"/>
    <w:rsid w:val="00D6580A"/>
    <w:rsid w:val="00D6598C"/>
    <w:rsid w:val="00D659E6"/>
    <w:rsid w:val="00D65A8C"/>
    <w:rsid w:val="00D65ADE"/>
    <w:rsid w:val="00D65B05"/>
    <w:rsid w:val="00D65BD7"/>
    <w:rsid w:val="00D65D20"/>
    <w:rsid w:val="00D65D67"/>
    <w:rsid w:val="00D65D99"/>
    <w:rsid w:val="00D65F0E"/>
    <w:rsid w:val="00D6608A"/>
    <w:rsid w:val="00D660BC"/>
    <w:rsid w:val="00D660CB"/>
    <w:rsid w:val="00D660D8"/>
    <w:rsid w:val="00D661D6"/>
    <w:rsid w:val="00D662A9"/>
    <w:rsid w:val="00D6633A"/>
    <w:rsid w:val="00D663C7"/>
    <w:rsid w:val="00D66495"/>
    <w:rsid w:val="00D66500"/>
    <w:rsid w:val="00D66596"/>
    <w:rsid w:val="00D665A2"/>
    <w:rsid w:val="00D666F0"/>
    <w:rsid w:val="00D66712"/>
    <w:rsid w:val="00D66733"/>
    <w:rsid w:val="00D66860"/>
    <w:rsid w:val="00D669E3"/>
    <w:rsid w:val="00D66B13"/>
    <w:rsid w:val="00D66B1A"/>
    <w:rsid w:val="00D66B8C"/>
    <w:rsid w:val="00D66BEC"/>
    <w:rsid w:val="00D66C41"/>
    <w:rsid w:val="00D66D07"/>
    <w:rsid w:val="00D66D76"/>
    <w:rsid w:val="00D66E58"/>
    <w:rsid w:val="00D66FB2"/>
    <w:rsid w:val="00D67023"/>
    <w:rsid w:val="00D67085"/>
    <w:rsid w:val="00D670FB"/>
    <w:rsid w:val="00D67220"/>
    <w:rsid w:val="00D67293"/>
    <w:rsid w:val="00D674D4"/>
    <w:rsid w:val="00D67609"/>
    <w:rsid w:val="00D67723"/>
    <w:rsid w:val="00D678AB"/>
    <w:rsid w:val="00D67907"/>
    <w:rsid w:val="00D67994"/>
    <w:rsid w:val="00D679B7"/>
    <w:rsid w:val="00D679D6"/>
    <w:rsid w:val="00D67A16"/>
    <w:rsid w:val="00D67A9F"/>
    <w:rsid w:val="00D67B9B"/>
    <w:rsid w:val="00D67CC8"/>
    <w:rsid w:val="00D67D6C"/>
    <w:rsid w:val="00D67E69"/>
    <w:rsid w:val="00D67F00"/>
    <w:rsid w:val="00D67F31"/>
    <w:rsid w:val="00D7002F"/>
    <w:rsid w:val="00D701E9"/>
    <w:rsid w:val="00D70268"/>
    <w:rsid w:val="00D702C3"/>
    <w:rsid w:val="00D702C9"/>
    <w:rsid w:val="00D70300"/>
    <w:rsid w:val="00D7043D"/>
    <w:rsid w:val="00D70445"/>
    <w:rsid w:val="00D70463"/>
    <w:rsid w:val="00D7073D"/>
    <w:rsid w:val="00D70764"/>
    <w:rsid w:val="00D707CB"/>
    <w:rsid w:val="00D70801"/>
    <w:rsid w:val="00D708B2"/>
    <w:rsid w:val="00D708F3"/>
    <w:rsid w:val="00D7095B"/>
    <w:rsid w:val="00D7097F"/>
    <w:rsid w:val="00D709B6"/>
    <w:rsid w:val="00D709C2"/>
    <w:rsid w:val="00D70A6C"/>
    <w:rsid w:val="00D70A9F"/>
    <w:rsid w:val="00D70B61"/>
    <w:rsid w:val="00D70C98"/>
    <w:rsid w:val="00D70CB1"/>
    <w:rsid w:val="00D70CDD"/>
    <w:rsid w:val="00D70D57"/>
    <w:rsid w:val="00D70D8A"/>
    <w:rsid w:val="00D70E26"/>
    <w:rsid w:val="00D70E37"/>
    <w:rsid w:val="00D70EC3"/>
    <w:rsid w:val="00D70ECA"/>
    <w:rsid w:val="00D70FD0"/>
    <w:rsid w:val="00D71028"/>
    <w:rsid w:val="00D710FA"/>
    <w:rsid w:val="00D7114C"/>
    <w:rsid w:val="00D71201"/>
    <w:rsid w:val="00D7125C"/>
    <w:rsid w:val="00D7129E"/>
    <w:rsid w:val="00D712DE"/>
    <w:rsid w:val="00D71355"/>
    <w:rsid w:val="00D7143E"/>
    <w:rsid w:val="00D714B1"/>
    <w:rsid w:val="00D71528"/>
    <w:rsid w:val="00D71545"/>
    <w:rsid w:val="00D7154D"/>
    <w:rsid w:val="00D716A9"/>
    <w:rsid w:val="00D716AB"/>
    <w:rsid w:val="00D71702"/>
    <w:rsid w:val="00D71753"/>
    <w:rsid w:val="00D71803"/>
    <w:rsid w:val="00D71821"/>
    <w:rsid w:val="00D718F6"/>
    <w:rsid w:val="00D718FE"/>
    <w:rsid w:val="00D71A28"/>
    <w:rsid w:val="00D71A59"/>
    <w:rsid w:val="00D71A66"/>
    <w:rsid w:val="00D71B35"/>
    <w:rsid w:val="00D71C49"/>
    <w:rsid w:val="00D71CC1"/>
    <w:rsid w:val="00D71CFF"/>
    <w:rsid w:val="00D71DF3"/>
    <w:rsid w:val="00D71E7B"/>
    <w:rsid w:val="00D71F1F"/>
    <w:rsid w:val="00D71F4D"/>
    <w:rsid w:val="00D71F6C"/>
    <w:rsid w:val="00D71F9C"/>
    <w:rsid w:val="00D71FFA"/>
    <w:rsid w:val="00D72027"/>
    <w:rsid w:val="00D7207F"/>
    <w:rsid w:val="00D721A3"/>
    <w:rsid w:val="00D72250"/>
    <w:rsid w:val="00D72333"/>
    <w:rsid w:val="00D72392"/>
    <w:rsid w:val="00D723A1"/>
    <w:rsid w:val="00D723E6"/>
    <w:rsid w:val="00D7245D"/>
    <w:rsid w:val="00D7248F"/>
    <w:rsid w:val="00D72515"/>
    <w:rsid w:val="00D72519"/>
    <w:rsid w:val="00D726EB"/>
    <w:rsid w:val="00D72728"/>
    <w:rsid w:val="00D72737"/>
    <w:rsid w:val="00D7290F"/>
    <w:rsid w:val="00D72A4C"/>
    <w:rsid w:val="00D72AE7"/>
    <w:rsid w:val="00D72B1B"/>
    <w:rsid w:val="00D72B1F"/>
    <w:rsid w:val="00D72B66"/>
    <w:rsid w:val="00D72D73"/>
    <w:rsid w:val="00D72DC5"/>
    <w:rsid w:val="00D7303A"/>
    <w:rsid w:val="00D73084"/>
    <w:rsid w:val="00D73090"/>
    <w:rsid w:val="00D730AB"/>
    <w:rsid w:val="00D730DF"/>
    <w:rsid w:val="00D73138"/>
    <w:rsid w:val="00D731AA"/>
    <w:rsid w:val="00D731D7"/>
    <w:rsid w:val="00D7336C"/>
    <w:rsid w:val="00D733BC"/>
    <w:rsid w:val="00D733F8"/>
    <w:rsid w:val="00D73494"/>
    <w:rsid w:val="00D734BB"/>
    <w:rsid w:val="00D735CA"/>
    <w:rsid w:val="00D7362B"/>
    <w:rsid w:val="00D73659"/>
    <w:rsid w:val="00D73695"/>
    <w:rsid w:val="00D736D9"/>
    <w:rsid w:val="00D736DA"/>
    <w:rsid w:val="00D73710"/>
    <w:rsid w:val="00D7371B"/>
    <w:rsid w:val="00D73771"/>
    <w:rsid w:val="00D737E7"/>
    <w:rsid w:val="00D73820"/>
    <w:rsid w:val="00D7396D"/>
    <w:rsid w:val="00D73AC3"/>
    <w:rsid w:val="00D73ADF"/>
    <w:rsid w:val="00D73AF3"/>
    <w:rsid w:val="00D73BCF"/>
    <w:rsid w:val="00D73C09"/>
    <w:rsid w:val="00D73C88"/>
    <w:rsid w:val="00D73DB0"/>
    <w:rsid w:val="00D73DC4"/>
    <w:rsid w:val="00D73E23"/>
    <w:rsid w:val="00D73F1B"/>
    <w:rsid w:val="00D740C2"/>
    <w:rsid w:val="00D7419A"/>
    <w:rsid w:val="00D7419E"/>
    <w:rsid w:val="00D7427A"/>
    <w:rsid w:val="00D74330"/>
    <w:rsid w:val="00D74387"/>
    <w:rsid w:val="00D7442A"/>
    <w:rsid w:val="00D74652"/>
    <w:rsid w:val="00D747DD"/>
    <w:rsid w:val="00D7480B"/>
    <w:rsid w:val="00D7489A"/>
    <w:rsid w:val="00D748D3"/>
    <w:rsid w:val="00D74909"/>
    <w:rsid w:val="00D74A4B"/>
    <w:rsid w:val="00D74ACB"/>
    <w:rsid w:val="00D74AD4"/>
    <w:rsid w:val="00D74B22"/>
    <w:rsid w:val="00D74B81"/>
    <w:rsid w:val="00D74BD7"/>
    <w:rsid w:val="00D74C9C"/>
    <w:rsid w:val="00D74D47"/>
    <w:rsid w:val="00D74D68"/>
    <w:rsid w:val="00D74DE2"/>
    <w:rsid w:val="00D74EA9"/>
    <w:rsid w:val="00D74F36"/>
    <w:rsid w:val="00D75075"/>
    <w:rsid w:val="00D75099"/>
    <w:rsid w:val="00D75137"/>
    <w:rsid w:val="00D752B3"/>
    <w:rsid w:val="00D752F9"/>
    <w:rsid w:val="00D75438"/>
    <w:rsid w:val="00D754D1"/>
    <w:rsid w:val="00D75547"/>
    <w:rsid w:val="00D756ED"/>
    <w:rsid w:val="00D757DE"/>
    <w:rsid w:val="00D757FC"/>
    <w:rsid w:val="00D758D1"/>
    <w:rsid w:val="00D758DB"/>
    <w:rsid w:val="00D759D5"/>
    <w:rsid w:val="00D75A23"/>
    <w:rsid w:val="00D75B59"/>
    <w:rsid w:val="00D75B68"/>
    <w:rsid w:val="00D75B73"/>
    <w:rsid w:val="00D75BA4"/>
    <w:rsid w:val="00D75D06"/>
    <w:rsid w:val="00D75D4E"/>
    <w:rsid w:val="00D75D6B"/>
    <w:rsid w:val="00D75DFF"/>
    <w:rsid w:val="00D75F16"/>
    <w:rsid w:val="00D75F26"/>
    <w:rsid w:val="00D75F75"/>
    <w:rsid w:val="00D75F9A"/>
    <w:rsid w:val="00D75FA4"/>
    <w:rsid w:val="00D75FEC"/>
    <w:rsid w:val="00D760B2"/>
    <w:rsid w:val="00D761B9"/>
    <w:rsid w:val="00D7624F"/>
    <w:rsid w:val="00D76267"/>
    <w:rsid w:val="00D762AC"/>
    <w:rsid w:val="00D762B2"/>
    <w:rsid w:val="00D76344"/>
    <w:rsid w:val="00D76371"/>
    <w:rsid w:val="00D76396"/>
    <w:rsid w:val="00D76446"/>
    <w:rsid w:val="00D7648E"/>
    <w:rsid w:val="00D764DC"/>
    <w:rsid w:val="00D7658C"/>
    <w:rsid w:val="00D7660B"/>
    <w:rsid w:val="00D7669F"/>
    <w:rsid w:val="00D7677A"/>
    <w:rsid w:val="00D768F7"/>
    <w:rsid w:val="00D76AA4"/>
    <w:rsid w:val="00D76B12"/>
    <w:rsid w:val="00D76BEE"/>
    <w:rsid w:val="00D76BF3"/>
    <w:rsid w:val="00D76D47"/>
    <w:rsid w:val="00D76D75"/>
    <w:rsid w:val="00D76D80"/>
    <w:rsid w:val="00D76EE8"/>
    <w:rsid w:val="00D770E5"/>
    <w:rsid w:val="00D770F1"/>
    <w:rsid w:val="00D7718F"/>
    <w:rsid w:val="00D7721F"/>
    <w:rsid w:val="00D7729D"/>
    <w:rsid w:val="00D7745F"/>
    <w:rsid w:val="00D774AB"/>
    <w:rsid w:val="00D7762B"/>
    <w:rsid w:val="00D776E7"/>
    <w:rsid w:val="00D777DE"/>
    <w:rsid w:val="00D7780F"/>
    <w:rsid w:val="00D778F3"/>
    <w:rsid w:val="00D7795F"/>
    <w:rsid w:val="00D779A8"/>
    <w:rsid w:val="00D779D5"/>
    <w:rsid w:val="00D77B5C"/>
    <w:rsid w:val="00D77D59"/>
    <w:rsid w:val="00D77D96"/>
    <w:rsid w:val="00D77ED9"/>
    <w:rsid w:val="00D77F5F"/>
    <w:rsid w:val="00D77F72"/>
    <w:rsid w:val="00D80064"/>
    <w:rsid w:val="00D80146"/>
    <w:rsid w:val="00D80162"/>
    <w:rsid w:val="00D801C1"/>
    <w:rsid w:val="00D8022D"/>
    <w:rsid w:val="00D80246"/>
    <w:rsid w:val="00D80449"/>
    <w:rsid w:val="00D80470"/>
    <w:rsid w:val="00D804A8"/>
    <w:rsid w:val="00D804EB"/>
    <w:rsid w:val="00D80635"/>
    <w:rsid w:val="00D80770"/>
    <w:rsid w:val="00D80803"/>
    <w:rsid w:val="00D80806"/>
    <w:rsid w:val="00D808B1"/>
    <w:rsid w:val="00D80941"/>
    <w:rsid w:val="00D80B17"/>
    <w:rsid w:val="00D80B61"/>
    <w:rsid w:val="00D80BC5"/>
    <w:rsid w:val="00D80C86"/>
    <w:rsid w:val="00D80D27"/>
    <w:rsid w:val="00D80DCE"/>
    <w:rsid w:val="00D80E6D"/>
    <w:rsid w:val="00D80F01"/>
    <w:rsid w:val="00D80F47"/>
    <w:rsid w:val="00D80F6F"/>
    <w:rsid w:val="00D8108D"/>
    <w:rsid w:val="00D81293"/>
    <w:rsid w:val="00D813E2"/>
    <w:rsid w:val="00D814F4"/>
    <w:rsid w:val="00D8153D"/>
    <w:rsid w:val="00D815A8"/>
    <w:rsid w:val="00D815CC"/>
    <w:rsid w:val="00D81622"/>
    <w:rsid w:val="00D8162E"/>
    <w:rsid w:val="00D81649"/>
    <w:rsid w:val="00D81664"/>
    <w:rsid w:val="00D81685"/>
    <w:rsid w:val="00D816CF"/>
    <w:rsid w:val="00D816F6"/>
    <w:rsid w:val="00D8176C"/>
    <w:rsid w:val="00D8180C"/>
    <w:rsid w:val="00D8181E"/>
    <w:rsid w:val="00D81A96"/>
    <w:rsid w:val="00D81B1D"/>
    <w:rsid w:val="00D81C06"/>
    <w:rsid w:val="00D81C5C"/>
    <w:rsid w:val="00D81D87"/>
    <w:rsid w:val="00D81E7E"/>
    <w:rsid w:val="00D81F57"/>
    <w:rsid w:val="00D8203D"/>
    <w:rsid w:val="00D820C1"/>
    <w:rsid w:val="00D82179"/>
    <w:rsid w:val="00D821C4"/>
    <w:rsid w:val="00D821F6"/>
    <w:rsid w:val="00D82211"/>
    <w:rsid w:val="00D8228D"/>
    <w:rsid w:val="00D822EE"/>
    <w:rsid w:val="00D823DD"/>
    <w:rsid w:val="00D8247E"/>
    <w:rsid w:val="00D82554"/>
    <w:rsid w:val="00D82693"/>
    <w:rsid w:val="00D8277B"/>
    <w:rsid w:val="00D827BD"/>
    <w:rsid w:val="00D82913"/>
    <w:rsid w:val="00D829CC"/>
    <w:rsid w:val="00D829EE"/>
    <w:rsid w:val="00D82A0E"/>
    <w:rsid w:val="00D82A31"/>
    <w:rsid w:val="00D82ACE"/>
    <w:rsid w:val="00D82B2E"/>
    <w:rsid w:val="00D82E13"/>
    <w:rsid w:val="00D82EDF"/>
    <w:rsid w:val="00D82F00"/>
    <w:rsid w:val="00D831FC"/>
    <w:rsid w:val="00D8335F"/>
    <w:rsid w:val="00D83388"/>
    <w:rsid w:val="00D8340E"/>
    <w:rsid w:val="00D83445"/>
    <w:rsid w:val="00D834B5"/>
    <w:rsid w:val="00D83556"/>
    <w:rsid w:val="00D835BC"/>
    <w:rsid w:val="00D83697"/>
    <w:rsid w:val="00D83704"/>
    <w:rsid w:val="00D8388D"/>
    <w:rsid w:val="00D8393F"/>
    <w:rsid w:val="00D8394C"/>
    <w:rsid w:val="00D8394F"/>
    <w:rsid w:val="00D839CE"/>
    <w:rsid w:val="00D839D2"/>
    <w:rsid w:val="00D83A5B"/>
    <w:rsid w:val="00D83A9C"/>
    <w:rsid w:val="00D83BAF"/>
    <w:rsid w:val="00D83BBD"/>
    <w:rsid w:val="00D83BCD"/>
    <w:rsid w:val="00D83C0F"/>
    <w:rsid w:val="00D83D41"/>
    <w:rsid w:val="00D83E61"/>
    <w:rsid w:val="00D83F2E"/>
    <w:rsid w:val="00D8401E"/>
    <w:rsid w:val="00D84049"/>
    <w:rsid w:val="00D8404A"/>
    <w:rsid w:val="00D84072"/>
    <w:rsid w:val="00D840B9"/>
    <w:rsid w:val="00D84325"/>
    <w:rsid w:val="00D8433A"/>
    <w:rsid w:val="00D843D2"/>
    <w:rsid w:val="00D843E1"/>
    <w:rsid w:val="00D844C3"/>
    <w:rsid w:val="00D845A8"/>
    <w:rsid w:val="00D8469C"/>
    <w:rsid w:val="00D84742"/>
    <w:rsid w:val="00D84794"/>
    <w:rsid w:val="00D8488B"/>
    <w:rsid w:val="00D84932"/>
    <w:rsid w:val="00D84A3E"/>
    <w:rsid w:val="00D84AAB"/>
    <w:rsid w:val="00D84B2D"/>
    <w:rsid w:val="00D84B92"/>
    <w:rsid w:val="00D84BB7"/>
    <w:rsid w:val="00D84D19"/>
    <w:rsid w:val="00D84DED"/>
    <w:rsid w:val="00D84E2E"/>
    <w:rsid w:val="00D84E42"/>
    <w:rsid w:val="00D84EC0"/>
    <w:rsid w:val="00D84EF6"/>
    <w:rsid w:val="00D84F19"/>
    <w:rsid w:val="00D84F90"/>
    <w:rsid w:val="00D84FAF"/>
    <w:rsid w:val="00D84FF8"/>
    <w:rsid w:val="00D850C8"/>
    <w:rsid w:val="00D8510E"/>
    <w:rsid w:val="00D85171"/>
    <w:rsid w:val="00D85204"/>
    <w:rsid w:val="00D85312"/>
    <w:rsid w:val="00D85352"/>
    <w:rsid w:val="00D8548D"/>
    <w:rsid w:val="00D856FA"/>
    <w:rsid w:val="00D85721"/>
    <w:rsid w:val="00D85728"/>
    <w:rsid w:val="00D85746"/>
    <w:rsid w:val="00D8587E"/>
    <w:rsid w:val="00D85897"/>
    <w:rsid w:val="00D85B6C"/>
    <w:rsid w:val="00D85C9C"/>
    <w:rsid w:val="00D85D50"/>
    <w:rsid w:val="00D85DD7"/>
    <w:rsid w:val="00D85DFC"/>
    <w:rsid w:val="00D85E5A"/>
    <w:rsid w:val="00D85EC0"/>
    <w:rsid w:val="00D85EEE"/>
    <w:rsid w:val="00D85FB2"/>
    <w:rsid w:val="00D86030"/>
    <w:rsid w:val="00D8604E"/>
    <w:rsid w:val="00D86052"/>
    <w:rsid w:val="00D86084"/>
    <w:rsid w:val="00D8621A"/>
    <w:rsid w:val="00D8627B"/>
    <w:rsid w:val="00D8627F"/>
    <w:rsid w:val="00D86298"/>
    <w:rsid w:val="00D862A3"/>
    <w:rsid w:val="00D862B7"/>
    <w:rsid w:val="00D862D2"/>
    <w:rsid w:val="00D8630E"/>
    <w:rsid w:val="00D8634E"/>
    <w:rsid w:val="00D86423"/>
    <w:rsid w:val="00D86689"/>
    <w:rsid w:val="00D86702"/>
    <w:rsid w:val="00D86883"/>
    <w:rsid w:val="00D8698B"/>
    <w:rsid w:val="00D86A1A"/>
    <w:rsid w:val="00D86A21"/>
    <w:rsid w:val="00D86AC2"/>
    <w:rsid w:val="00D86B68"/>
    <w:rsid w:val="00D86B92"/>
    <w:rsid w:val="00D86D58"/>
    <w:rsid w:val="00D86FEA"/>
    <w:rsid w:val="00D8700B"/>
    <w:rsid w:val="00D8704C"/>
    <w:rsid w:val="00D870F8"/>
    <w:rsid w:val="00D87173"/>
    <w:rsid w:val="00D87261"/>
    <w:rsid w:val="00D873D4"/>
    <w:rsid w:val="00D873FC"/>
    <w:rsid w:val="00D87419"/>
    <w:rsid w:val="00D87651"/>
    <w:rsid w:val="00D8777B"/>
    <w:rsid w:val="00D87904"/>
    <w:rsid w:val="00D879BD"/>
    <w:rsid w:val="00D87CC0"/>
    <w:rsid w:val="00D87D1B"/>
    <w:rsid w:val="00D87D33"/>
    <w:rsid w:val="00D87D65"/>
    <w:rsid w:val="00D87EF8"/>
    <w:rsid w:val="00D90174"/>
    <w:rsid w:val="00D901B4"/>
    <w:rsid w:val="00D9031D"/>
    <w:rsid w:val="00D90351"/>
    <w:rsid w:val="00D90375"/>
    <w:rsid w:val="00D90503"/>
    <w:rsid w:val="00D90519"/>
    <w:rsid w:val="00D9055C"/>
    <w:rsid w:val="00D90567"/>
    <w:rsid w:val="00D905B1"/>
    <w:rsid w:val="00D905B2"/>
    <w:rsid w:val="00D90626"/>
    <w:rsid w:val="00D906A6"/>
    <w:rsid w:val="00D9070F"/>
    <w:rsid w:val="00D90722"/>
    <w:rsid w:val="00D90763"/>
    <w:rsid w:val="00D90B2D"/>
    <w:rsid w:val="00D90C1D"/>
    <w:rsid w:val="00D90C3B"/>
    <w:rsid w:val="00D90DB7"/>
    <w:rsid w:val="00D90E6B"/>
    <w:rsid w:val="00D90EE9"/>
    <w:rsid w:val="00D90F26"/>
    <w:rsid w:val="00D91205"/>
    <w:rsid w:val="00D91264"/>
    <w:rsid w:val="00D912CD"/>
    <w:rsid w:val="00D9139E"/>
    <w:rsid w:val="00D91411"/>
    <w:rsid w:val="00D91573"/>
    <w:rsid w:val="00D91705"/>
    <w:rsid w:val="00D9177C"/>
    <w:rsid w:val="00D917AD"/>
    <w:rsid w:val="00D917DF"/>
    <w:rsid w:val="00D917F9"/>
    <w:rsid w:val="00D91831"/>
    <w:rsid w:val="00D91868"/>
    <w:rsid w:val="00D91874"/>
    <w:rsid w:val="00D918AC"/>
    <w:rsid w:val="00D918F6"/>
    <w:rsid w:val="00D91959"/>
    <w:rsid w:val="00D919B4"/>
    <w:rsid w:val="00D919FC"/>
    <w:rsid w:val="00D919FF"/>
    <w:rsid w:val="00D91A69"/>
    <w:rsid w:val="00D91B68"/>
    <w:rsid w:val="00D91BD3"/>
    <w:rsid w:val="00D91E48"/>
    <w:rsid w:val="00D91EE9"/>
    <w:rsid w:val="00D91F39"/>
    <w:rsid w:val="00D91F6B"/>
    <w:rsid w:val="00D91FE9"/>
    <w:rsid w:val="00D9202F"/>
    <w:rsid w:val="00D920A3"/>
    <w:rsid w:val="00D92114"/>
    <w:rsid w:val="00D921DF"/>
    <w:rsid w:val="00D92253"/>
    <w:rsid w:val="00D922D8"/>
    <w:rsid w:val="00D92406"/>
    <w:rsid w:val="00D9242E"/>
    <w:rsid w:val="00D92491"/>
    <w:rsid w:val="00D9259C"/>
    <w:rsid w:val="00D925DB"/>
    <w:rsid w:val="00D9261A"/>
    <w:rsid w:val="00D9269A"/>
    <w:rsid w:val="00D926B0"/>
    <w:rsid w:val="00D92726"/>
    <w:rsid w:val="00D927D8"/>
    <w:rsid w:val="00D927D9"/>
    <w:rsid w:val="00D928DF"/>
    <w:rsid w:val="00D92930"/>
    <w:rsid w:val="00D9295E"/>
    <w:rsid w:val="00D929EE"/>
    <w:rsid w:val="00D929F6"/>
    <w:rsid w:val="00D92AAF"/>
    <w:rsid w:val="00D92D3A"/>
    <w:rsid w:val="00D92DA2"/>
    <w:rsid w:val="00D92E5E"/>
    <w:rsid w:val="00D92F23"/>
    <w:rsid w:val="00D93058"/>
    <w:rsid w:val="00D93062"/>
    <w:rsid w:val="00D93093"/>
    <w:rsid w:val="00D930E7"/>
    <w:rsid w:val="00D93170"/>
    <w:rsid w:val="00D93263"/>
    <w:rsid w:val="00D932CA"/>
    <w:rsid w:val="00D9340C"/>
    <w:rsid w:val="00D93560"/>
    <w:rsid w:val="00D9359E"/>
    <w:rsid w:val="00D936CC"/>
    <w:rsid w:val="00D936E6"/>
    <w:rsid w:val="00D93788"/>
    <w:rsid w:val="00D938CA"/>
    <w:rsid w:val="00D93AEF"/>
    <w:rsid w:val="00D93B42"/>
    <w:rsid w:val="00D93BF0"/>
    <w:rsid w:val="00D93BFE"/>
    <w:rsid w:val="00D93C21"/>
    <w:rsid w:val="00D93C75"/>
    <w:rsid w:val="00D93D8F"/>
    <w:rsid w:val="00D93DC6"/>
    <w:rsid w:val="00D93E21"/>
    <w:rsid w:val="00D93EF1"/>
    <w:rsid w:val="00D93F38"/>
    <w:rsid w:val="00D93F8F"/>
    <w:rsid w:val="00D93FB3"/>
    <w:rsid w:val="00D940AE"/>
    <w:rsid w:val="00D9412E"/>
    <w:rsid w:val="00D94165"/>
    <w:rsid w:val="00D9421F"/>
    <w:rsid w:val="00D9427A"/>
    <w:rsid w:val="00D942A9"/>
    <w:rsid w:val="00D94301"/>
    <w:rsid w:val="00D94319"/>
    <w:rsid w:val="00D943B1"/>
    <w:rsid w:val="00D94400"/>
    <w:rsid w:val="00D94429"/>
    <w:rsid w:val="00D9458D"/>
    <w:rsid w:val="00D945BF"/>
    <w:rsid w:val="00D947F5"/>
    <w:rsid w:val="00D948C6"/>
    <w:rsid w:val="00D94A91"/>
    <w:rsid w:val="00D94B20"/>
    <w:rsid w:val="00D94B5B"/>
    <w:rsid w:val="00D94C73"/>
    <w:rsid w:val="00D94D65"/>
    <w:rsid w:val="00D94E93"/>
    <w:rsid w:val="00D951B8"/>
    <w:rsid w:val="00D95283"/>
    <w:rsid w:val="00D95336"/>
    <w:rsid w:val="00D95389"/>
    <w:rsid w:val="00D953C7"/>
    <w:rsid w:val="00D95453"/>
    <w:rsid w:val="00D9545B"/>
    <w:rsid w:val="00D95512"/>
    <w:rsid w:val="00D9552C"/>
    <w:rsid w:val="00D9557B"/>
    <w:rsid w:val="00D95660"/>
    <w:rsid w:val="00D9575E"/>
    <w:rsid w:val="00D958BF"/>
    <w:rsid w:val="00D958F5"/>
    <w:rsid w:val="00D9594A"/>
    <w:rsid w:val="00D959BF"/>
    <w:rsid w:val="00D95AA2"/>
    <w:rsid w:val="00D95AEE"/>
    <w:rsid w:val="00D95C7F"/>
    <w:rsid w:val="00D95D6B"/>
    <w:rsid w:val="00D95E6F"/>
    <w:rsid w:val="00D95E83"/>
    <w:rsid w:val="00D96182"/>
    <w:rsid w:val="00D9618A"/>
    <w:rsid w:val="00D963D1"/>
    <w:rsid w:val="00D963EC"/>
    <w:rsid w:val="00D96453"/>
    <w:rsid w:val="00D96587"/>
    <w:rsid w:val="00D965F4"/>
    <w:rsid w:val="00D96752"/>
    <w:rsid w:val="00D9680E"/>
    <w:rsid w:val="00D9688B"/>
    <w:rsid w:val="00D968DB"/>
    <w:rsid w:val="00D96967"/>
    <w:rsid w:val="00D96992"/>
    <w:rsid w:val="00D96B1C"/>
    <w:rsid w:val="00D96B5A"/>
    <w:rsid w:val="00D96C2C"/>
    <w:rsid w:val="00D96C30"/>
    <w:rsid w:val="00D96D17"/>
    <w:rsid w:val="00D96D2D"/>
    <w:rsid w:val="00D96E2C"/>
    <w:rsid w:val="00D96E43"/>
    <w:rsid w:val="00D97037"/>
    <w:rsid w:val="00D97100"/>
    <w:rsid w:val="00D971F8"/>
    <w:rsid w:val="00D97221"/>
    <w:rsid w:val="00D97233"/>
    <w:rsid w:val="00D97267"/>
    <w:rsid w:val="00D972A8"/>
    <w:rsid w:val="00D9738C"/>
    <w:rsid w:val="00D97451"/>
    <w:rsid w:val="00D97452"/>
    <w:rsid w:val="00D974CB"/>
    <w:rsid w:val="00D97539"/>
    <w:rsid w:val="00D97604"/>
    <w:rsid w:val="00D976E7"/>
    <w:rsid w:val="00D9776E"/>
    <w:rsid w:val="00D978BD"/>
    <w:rsid w:val="00D978BE"/>
    <w:rsid w:val="00D97A34"/>
    <w:rsid w:val="00D97A74"/>
    <w:rsid w:val="00D97B9F"/>
    <w:rsid w:val="00D97BD8"/>
    <w:rsid w:val="00D97C19"/>
    <w:rsid w:val="00D97CAA"/>
    <w:rsid w:val="00D97E5F"/>
    <w:rsid w:val="00D97E86"/>
    <w:rsid w:val="00DA005A"/>
    <w:rsid w:val="00DA00EA"/>
    <w:rsid w:val="00DA035E"/>
    <w:rsid w:val="00DA0412"/>
    <w:rsid w:val="00DA06A2"/>
    <w:rsid w:val="00DA06D1"/>
    <w:rsid w:val="00DA07DC"/>
    <w:rsid w:val="00DA08C8"/>
    <w:rsid w:val="00DA0928"/>
    <w:rsid w:val="00DA092B"/>
    <w:rsid w:val="00DA0AA2"/>
    <w:rsid w:val="00DA0AF2"/>
    <w:rsid w:val="00DA0B04"/>
    <w:rsid w:val="00DA0B12"/>
    <w:rsid w:val="00DA0B77"/>
    <w:rsid w:val="00DA0C06"/>
    <w:rsid w:val="00DA0C71"/>
    <w:rsid w:val="00DA0D03"/>
    <w:rsid w:val="00DA0DB9"/>
    <w:rsid w:val="00DA0EC3"/>
    <w:rsid w:val="00DA0F83"/>
    <w:rsid w:val="00DA1016"/>
    <w:rsid w:val="00DA110C"/>
    <w:rsid w:val="00DA11C4"/>
    <w:rsid w:val="00DA12E7"/>
    <w:rsid w:val="00DA131A"/>
    <w:rsid w:val="00DA1365"/>
    <w:rsid w:val="00DA1492"/>
    <w:rsid w:val="00DA1495"/>
    <w:rsid w:val="00DA1504"/>
    <w:rsid w:val="00DA152B"/>
    <w:rsid w:val="00DA172D"/>
    <w:rsid w:val="00DA1945"/>
    <w:rsid w:val="00DA198E"/>
    <w:rsid w:val="00DA1BAE"/>
    <w:rsid w:val="00DA1BD5"/>
    <w:rsid w:val="00DA1BD8"/>
    <w:rsid w:val="00DA1BE5"/>
    <w:rsid w:val="00DA1C91"/>
    <w:rsid w:val="00DA1CF1"/>
    <w:rsid w:val="00DA1E2B"/>
    <w:rsid w:val="00DA1F68"/>
    <w:rsid w:val="00DA1F74"/>
    <w:rsid w:val="00DA1FE5"/>
    <w:rsid w:val="00DA20A4"/>
    <w:rsid w:val="00DA2189"/>
    <w:rsid w:val="00DA2219"/>
    <w:rsid w:val="00DA222D"/>
    <w:rsid w:val="00DA226D"/>
    <w:rsid w:val="00DA2272"/>
    <w:rsid w:val="00DA22A1"/>
    <w:rsid w:val="00DA22F3"/>
    <w:rsid w:val="00DA23FA"/>
    <w:rsid w:val="00DA2435"/>
    <w:rsid w:val="00DA25A1"/>
    <w:rsid w:val="00DA26B4"/>
    <w:rsid w:val="00DA26D2"/>
    <w:rsid w:val="00DA277F"/>
    <w:rsid w:val="00DA28BA"/>
    <w:rsid w:val="00DA28F6"/>
    <w:rsid w:val="00DA2933"/>
    <w:rsid w:val="00DA29D7"/>
    <w:rsid w:val="00DA2A48"/>
    <w:rsid w:val="00DA2BB7"/>
    <w:rsid w:val="00DA2CF6"/>
    <w:rsid w:val="00DA2D36"/>
    <w:rsid w:val="00DA2DD8"/>
    <w:rsid w:val="00DA2DFB"/>
    <w:rsid w:val="00DA2F71"/>
    <w:rsid w:val="00DA3053"/>
    <w:rsid w:val="00DA3246"/>
    <w:rsid w:val="00DA32B6"/>
    <w:rsid w:val="00DA3398"/>
    <w:rsid w:val="00DA339A"/>
    <w:rsid w:val="00DA3436"/>
    <w:rsid w:val="00DA3449"/>
    <w:rsid w:val="00DA346F"/>
    <w:rsid w:val="00DA355C"/>
    <w:rsid w:val="00DA361F"/>
    <w:rsid w:val="00DA36AC"/>
    <w:rsid w:val="00DA36E3"/>
    <w:rsid w:val="00DA37DA"/>
    <w:rsid w:val="00DA37DB"/>
    <w:rsid w:val="00DA37DD"/>
    <w:rsid w:val="00DA37E9"/>
    <w:rsid w:val="00DA38D5"/>
    <w:rsid w:val="00DA38DE"/>
    <w:rsid w:val="00DA3A26"/>
    <w:rsid w:val="00DA3A4D"/>
    <w:rsid w:val="00DA3AD5"/>
    <w:rsid w:val="00DA3B4A"/>
    <w:rsid w:val="00DA3C8E"/>
    <w:rsid w:val="00DA3CAE"/>
    <w:rsid w:val="00DA3CCF"/>
    <w:rsid w:val="00DA3D49"/>
    <w:rsid w:val="00DA3D5A"/>
    <w:rsid w:val="00DA3DAC"/>
    <w:rsid w:val="00DA3DB3"/>
    <w:rsid w:val="00DA3DF2"/>
    <w:rsid w:val="00DA3E83"/>
    <w:rsid w:val="00DA3E85"/>
    <w:rsid w:val="00DA3E86"/>
    <w:rsid w:val="00DA3EE5"/>
    <w:rsid w:val="00DA3F06"/>
    <w:rsid w:val="00DA3F44"/>
    <w:rsid w:val="00DA3F4D"/>
    <w:rsid w:val="00DA3F4F"/>
    <w:rsid w:val="00DA3FE7"/>
    <w:rsid w:val="00DA403A"/>
    <w:rsid w:val="00DA40BE"/>
    <w:rsid w:val="00DA4184"/>
    <w:rsid w:val="00DA41A4"/>
    <w:rsid w:val="00DA4363"/>
    <w:rsid w:val="00DA4377"/>
    <w:rsid w:val="00DA4428"/>
    <w:rsid w:val="00DA4510"/>
    <w:rsid w:val="00DA4592"/>
    <w:rsid w:val="00DA4918"/>
    <w:rsid w:val="00DA49A2"/>
    <w:rsid w:val="00DA49D2"/>
    <w:rsid w:val="00DA4AEE"/>
    <w:rsid w:val="00DA4BB2"/>
    <w:rsid w:val="00DA4C03"/>
    <w:rsid w:val="00DA4C2F"/>
    <w:rsid w:val="00DA4CD5"/>
    <w:rsid w:val="00DA4DF8"/>
    <w:rsid w:val="00DA4EB8"/>
    <w:rsid w:val="00DA4F99"/>
    <w:rsid w:val="00DA505F"/>
    <w:rsid w:val="00DA51BB"/>
    <w:rsid w:val="00DA5228"/>
    <w:rsid w:val="00DA52C3"/>
    <w:rsid w:val="00DA532F"/>
    <w:rsid w:val="00DA53F5"/>
    <w:rsid w:val="00DA5502"/>
    <w:rsid w:val="00DA5539"/>
    <w:rsid w:val="00DA5560"/>
    <w:rsid w:val="00DA5609"/>
    <w:rsid w:val="00DA561E"/>
    <w:rsid w:val="00DA5655"/>
    <w:rsid w:val="00DA5948"/>
    <w:rsid w:val="00DA5975"/>
    <w:rsid w:val="00DA5C49"/>
    <w:rsid w:val="00DA5DE0"/>
    <w:rsid w:val="00DA5E9E"/>
    <w:rsid w:val="00DA5EE4"/>
    <w:rsid w:val="00DA5FD8"/>
    <w:rsid w:val="00DA6020"/>
    <w:rsid w:val="00DA6083"/>
    <w:rsid w:val="00DA60A9"/>
    <w:rsid w:val="00DA6267"/>
    <w:rsid w:val="00DA6292"/>
    <w:rsid w:val="00DA62EF"/>
    <w:rsid w:val="00DA6340"/>
    <w:rsid w:val="00DA63A2"/>
    <w:rsid w:val="00DA659A"/>
    <w:rsid w:val="00DA65D8"/>
    <w:rsid w:val="00DA65E8"/>
    <w:rsid w:val="00DA6633"/>
    <w:rsid w:val="00DA66CD"/>
    <w:rsid w:val="00DA67FE"/>
    <w:rsid w:val="00DA6908"/>
    <w:rsid w:val="00DA6998"/>
    <w:rsid w:val="00DA6A1D"/>
    <w:rsid w:val="00DA6A88"/>
    <w:rsid w:val="00DA6A8C"/>
    <w:rsid w:val="00DA6BB3"/>
    <w:rsid w:val="00DA6BE0"/>
    <w:rsid w:val="00DA6C87"/>
    <w:rsid w:val="00DA6EF1"/>
    <w:rsid w:val="00DA6F07"/>
    <w:rsid w:val="00DA6F8A"/>
    <w:rsid w:val="00DA70FA"/>
    <w:rsid w:val="00DA7133"/>
    <w:rsid w:val="00DA71E3"/>
    <w:rsid w:val="00DA7200"/>
    <w:rsid w:val="00DA726F"/>
    <w:rsid w:val="00DA7364"/>
    <w:rsid w:val="00DA74BF"/>
    <w:rsid w:val="00DA7579"/>
    <w:rsid w:val="00DA75B6"/>
    <w:rsid w:val="00DA75EF"/>
    <w:rsid w:val="00DA7621"/>
    <w:rsid w:val="00DA7712"/>
    <w:rsid w:val="00DA772E"/>
    <w:rsid w:val="00DA7740"/>
    <w:rsid w:val="00DA77D4"/>
    <w:rsid w:val="00DA7875"/>
    <w:rsid w:val="00DA78B2"/>
    <w:rsid w:val="00DA7A0B"/>
    <w:rsid w:val="00DA7A42"/>
    <w:rsid w:val="00DA7A76"/>
    <w:rsid w:val="00DA7A8E"/>
    <w:rsid w:val="00DA7AA0"/>
    <w:rsid w:val="00DA7B7F"/>
    <w:rsid w:val="00DA7C08"/>
    <w:rsid w:val="00DA7C15"/>
    <w:rsid w:val="00DA7DB2"/>
    <w:rsid w:val="00DA7F4A"/>
    <w:rsid w:val="00DB0068"/>
    <w:rsid w:val="00DB0087"/>
    <w:rsid w:val="00DB00FF"/>
    <w:rsid w:val="00DB0108"/>
    <w:rsid w:val="00DB038A"/>
    <w:rsid w:val="00DB03DA"/>
    <w:rsid w:val="00DB0426"/>
    <w:rsid w:val="00DB0430"/>
    <w:rsid w:val="00DB05A3"/>
    <w:rsid w:val="00DB0666"/>
    <w:rsid w:val="00DB07D8"/>
    <w:rsid w:val="00DB07E6"/>
    <w:rsid w:val="00DB0869"/>
    <w:rsid w:val="00DB091A"/>
    <w:rsid w:val="00DB0954"/>
    <w:rsid w:val="00DB0A71"/>
    <w:rsid w:val="00DB0B97"/>
    <w:rsid w:val="00DB0BC2"/>
    <w:rsid w:val="00DB0C04"/>
    <w:rsid w:val="00DB0C0A"/>
    <w:rsid w:val="00DB0D9A"/>
    <w:rsid w:val="00DB0E40"/>
    <w:rsid w:val="00DB0EC3"/>
    <w:rsid w:val="00DB0ECF"/>
    <w:rsid w:val="00DB0ED2"/>
    <w:rsid w:val="00DB0EFA"/>
    <w:rsid w:val="00DB0F0F"/>
    <w:rsid w:val="00DB11B1"/>
    <w:rsid w:val="00DB11BC"/>
    <w:rsid w:val="00DB1244"/>
    <w:rsid w:val="00DB1245"/>
    <w:rsid w:val="00DB12C7"/>
    <w:rsid w:val="00DB1343"/>
    <w:rsid w:val="00DB13A6"/>
    <w:rsid w:val="00DB13B9"/>
    <w:rsid w:val="00DB1447"/>
    <w:rsid w:val="00DB1498"/>
    <w:rsid w:val="00DB1558"/>
    <w:rsid w:val="00DB15AC"/>
    <w:rsid w:val="00DB15DE"/>
    <w:rsid w:val="00DB15E9"/>
    <w:rsid w:val="00DB15FD"/>
    <w:rsid w:val="00DB1639"/>
    <w:rsid w:val="00DB181D"/>
    <w:rsid w:val="00DB1894"/>
    <w:rsid w:val="00DB18ED"/>
    <w:rsid w:val="00DB19D5"/>
    <w:rsid w:val="00DB1C85"/>
    <w:rsid w:val="00DB1D3B"/>
    <w:rsid w:val="00DB1EB9"/>
    <w:rsid w:val="00DB1FE3"/>
    <w:rsid w:val="00DB20CD"/>
    <w:rsid w:val="00DB215C"/>
    <w:rsid w:val="00DB217D"/>
    <w:rsid w:val="00DB2201"/>
    <w:rsid w:val="00DB2280"/>
    <w:rsid w:val="00DB2405"/>
    <w:rsid w:val="00DB2442"/>
    <w:rsid w:val="00DB2468"/>
    <w:rsid w:val="00DB2574"/>
    <w:rsid w:val="00DB25A1"/>
    <w:rsid w:val="00DB25B1"/>
    <w:rsid w:val="00DB264C"/>
    <w:rsid w:val="00DB2678"/>
    <w:rsid w:val="00DB2769"/>
    <w:rsid w:val="00DB282D"/>
    <w:rsid w:val="00DB2831"/>
    <w:rsid w:val="00DB285C"/>
    <w:rsid w:val="00DB28CD"/>
    <w:rsid w:val="00DB293C"/>
    <w:rsid w:val="00DB296F"/>
    <w:rsid w:val="00DB2A13"/>
    <w:rsid w:val="00DB2A17"/>
    <w:rsid w:val="00DB2A63"/>
    <w:rsid w:val="00DB2AA3"/>
    <w:rsid w:val="00DB2B40"/>
    <w:rsid w:val="00DB2BA4"/>
    <w:rsid w:val="00DB2BA8"/>
    <w:rsid w:val="00DB2BFD"/>
    <w:rsid w:val="00DB2C33"/>
    <w:rsid w:val="00DB2C4F"/>
    <w:rsid w:val="00DB2DC0"/>
    <w:rsid w:val="00DB2E00"/>
    <w:rsid w:val="00DB2F80"/>
    <w:rsid w:val="00DB2F96"/>
    <w:rsid w:val="00DB2FAD"/>
    <w:rsid w:val="00DB2FC1"/>
    <w:rsid w:val="00DB3039"/>
    <w:rsid w:val="00DB30CA"/>
    <w:rsid w:val="00DB3151"/>
    <w:rsid w:val="00DB317E"/>
    <w:rsid w:val="00DB3241"/>
    <w:rsid w:val="00DB3266"/>
    <w:rsid w:val="00DB32BF"/>
    <w:rsid w:val="00DB3342"/>
    <w:rsid w:val="00DB335D"/>
    <w:rsid w:val="00DB3437"/>
    <w:rsid w:val="00DB3498"/>
    <w:rsid w:val="00DB375A"/>
    <w:rsid w:val="00DB3771"/>
    <w:rsid w:val="00DB37A2"/>
    <w:rsid w:val="00DB37D4"/>
    <w:rsid w:val="00DB3822"/>
    <w:rsid w:val="00DB3989"/>
    <w:rsid w:val="00DB3AD7"/>
    <w:rsid w:val="00DB3AFF"/>
    <w:rsid w:val="00DB3B54"/>
    <w:rsid w:val="00DB3D19"/>
    <w:rsid w:val="00DB3D47"/>
    <w:rsid w:val="00DB3F3D"/>
    <w:rsid w:val="00DB3FA0"/>
    <w:rsid w:val="00DB402D"/>
    <w:rsid w:val="00DB404C"/>
    <w:rsid w:val="00DB40FD"/>
    <w:rsid w:val="00DB4242"/>
    <w:rsid w:val="00DB424C"/>
    <w:rsid w:val="00DB4426"/>
    <w:rsid w:val="00DB44F8"/>
    <w:rsid w:val="00DB45D1"/>
    <w:rsid w:val="00DB45D2"/>
    <w:rsid w:val="00DB4796"/>
    <w:rsid w:val="00DB479D"/>
    <w:rsid w:val="00DB47EB"/>
    <w:rsid w:val="00DB4832"/>
    <w:rsid w:val="00DB4944"/>
    <w:rsid w:val="00DB4A4D"/>
    <w:rsid w:val="00DB4BB0"/>
    <w:rsid w:val="00DB4C02"/>
    <w:rsid w:val="00DB4DA4"/>
    <w:rsid w:val="00DB4DD5"/>
    <w:rsid w:val="00DB5011"/>
    <w:rsid w:val="00DB5063"/>
    <w:rsid w:val="00DB5324"/>
    <w:rsid w:val="00DB5413"/>
    <w:rsid w:val="00DB5464"/>
    <w:rsid w:val="00DB5474"/>
    <w:rsid w:val="00DB54B2"/>
    <w:rsid w:val="00DB5556"/>
    <w:rsid w:val="00DB56C6"/>
    <w:rsid w:val="00DB571C"/>
    <w:rsid w:val="00DB589C"/>
    <w:rsid w:val="00DB58CB"/>
    <w:rsid w:val="00DB592C"/>
    <w:rsid w:val="00DB5A0C"/>
    <w:rsid w:val="00DB5A6B"/>
    <w:rsid w:val="00DB5A9F"/>
    <w:rsid w:val="00DB5B79"/>
    <w:rsid w:val="00DB5B96"/>
    <w:rsid w:val="00DB5BD2"/>
    <w:rsid w:val="00DB5D6B"/>
    <w:rsid w:val="00DB5DAA"/>
    <w:rsid w:val="00DB5E6F"/>
    <w:rsid w:val="00DB5EF3"/>
    <w:rsid w:val="00DB5F53"/>
    <w:rsid w:val="00DB623F"/>
    <w:rsid w:val="00DB639D"/>
    <w:rsid w:val="00DB6409"/>
    <w:rsid w:val="00DB64B0"/>
    <w:rsid w:val="00DB6584"/>
    <w:rsid w:val="00DB65EB"/>
    <w:rsid w:val="00DB66A9"/>
    <w:rsid w:val="00DB671D"/>
    <w:rsid w:val="00DB678E"/>
    <w:rsid w:val="00DB6848"/>
    <w:rsid w:val="00DB6873"/>
    <w:rsid w:val="00DB690D"/>
    <w:rsid w:val="00DB691B"/>
    <w:rsid w:val="00DB6948"/>
    <w:rsid w:val="00DB6952"/>
    <w:rsid w:val="00DB699E"/>
    <w:rsid w:val="00DB6A53"/>
    <w:rsid w:val="00DB6ABE"/>
    <w:rsid w:val="00DB6B28"/>
    <w:rsid w:val="00DB6B44"/>
    <w:rsid w:val="00DB6B7D"/>
    <w:rsid w:val="00DB6E0F"/>
    <w:rsid w:val="00DB6EDF"/>
    <w:rsid w:val="00DB700C"/>
    <w:rsid w:val="00DB712F"/>
    <w:rsid w:val="00DB7425"/>
    <w:rsid w:val="00DB7486"/>
    <w:rsid w:val="00DB74EE"/>
    <w:rsid w:val="00DB7526"/>
    <w:rsid w:val="00DB7587"/>
    <w:rsid w:val="00DB7601"/>
    <w:rsid w:val="00DB764A"/>
    <w:rsid w:val="00DB765E"/>
    <w:rsid w:val="00DB77D2"/>
    <w:rsid w:val="00DB7836"/>
    <w:rsid w:val="00DB7903"/>
    <w:rsid w:val="00DB7947"/>
    <w:rsid w:val="00DB7A0C"/>
    <w:rsid w:val="00DB7A5A"/>
    <w:rsid w:val="00DB7A81"/>
    <w:rsid w:val="00DB7D5A"/>
    <w:rsid w:val="00DB7E0D"/>
    <w:rsid w:val="00DB7E43"/>
    <w:rsid w:val="00DB7ED6"/>
    <w:rsid w:val="00DB7FAC"/>
    <w:rsid w:val="00DC003F"/>
    <w:rsid w:val="00DC00DB"/>
    <w:rsid w:val="00DC0123"/>
    <w:rsid w:val="00DC01D8"/>
    <w:rsid w:val="00DC02A4"/>
    <w:rsid w:val="00DC0390"/>
    <w:rsid w:val="00DC03CD"/>
    <w:rsid w:val="00DC0428"/>
    <w:rsid w:val="00DC042F"/>
    <w:rsid w:val="00DC045F"/>
    <w:rsid w:val="00DC0535"/>
    <w:rsid w:val="00DC0551"/>
    <w:rsid w:val="00DC0577"/>
    <w:rsid w:val="00DC0579"/>
    <w:rsid w:val="00DC05C4"/>
    <w:rsid w:val="00DC061D"/>
    <w:rsid w:val="00DC07C2"/>
    <w:rsid w:val="00DC0843"/>
    <w:rsid w:val="00DC08C7"/>
    <w:rsid w:val="00DC09A4"/>
    <w:rsid w:val="00DC0A98"/>
    <w:rsid w:val="00DC0B1A"/>
    <w:rsid w:val="00DC0B57"/>
    <w:rsid w:val="00DC0B8B"/>
    <w:rsid w:val="00DC0B9B"/>
    <w:rsid w:val="00DC0B9C"/>
    <w:rsid w:val="00DC0BA2"/>
    <w:rsid w:val="00DC0C3B"/>
    <w:rsid w:val="00DC0CEB"/>
    <w:rsid w:val="00DC0DB5"/>
    <w:rsid w:val="00DC0DF9"/>
    <w:rsid w:val="00DC0E84"/>
    <w:rsid w:val="00DC0F09"/>
    <w:rsid w:val="00DC0F9C"/>
    <w:rsid w:val="00DC0FCA"/>
    <w:rsid w:val="00DC0FE5"/>
    <w:rsid w:val="00DC10A0"/>
    <w:rsid w:val="00DC1123"/>
    <w:rsid w:val="00DC1170"/>
    <w:rsid w:val="00DC11F1"/>
    <w:rsid w:val="00DC1358"/>
    <w:rsid w:val="00DC144C"/>
    <w:rsid w:val="00DC1502"/>
    <w:rsid w:val="00DC1614"/>
    <w:rsid w:val="00DC1631"/>
    <w:rsid w:val="00DC1671"/>
    <w:rsid w:val="00DC1801"/>
    <w:rsid w:val="00DC190C"/>
    <w:rsid w:val="00DC1A0A"/>
    <w:rsid w:val="00DC1AE6"/>
    <w:rsid w:val="00DC1B70"/>
    <w:rsid w:val="00DC1C16"/>
    <w:rsid w:val="00DC1C9D"/>
    <w:rsid w:val="00DC1D0A"/>
    <w:rsid w:val="00DC1D53"/>
    <w:rsid w:val="00DC1D55"/>
    <w:rsid w:val="00DC1D73"/>
    <w:rsid w:val="00DC1DEC"/>
    <w:rsid w:val="00DC1E5E"/>
    <w:rsid w:val="00DC1F3F"/>
    <w:rsid w:val="00DC1F44"/>
    <w:rsid w:val="00DC202F"/>
    <w:rsid w:val="00DC2061"/>
    <w:rsid w:val="00DC20EB"/>
    <w:rsid w:val="00DC210A"/>
    <w:rsid w:val="00DC2131"/>
    <w:rsid w:val="00DC2289"/>
    <w:rsid w:val="00DC232F"/>
    <w:rsid w:val="00DC24A1"/>
    <w:rsid w:val="00DC2551"/>
    <w:rsid w:val="00DC25C9"/>
    <w:rsid w:val="00DC26C9"/>
    <w:rsid w:val="00DC2720"/>
    <w:rsid w:val="00DC2866"/>
    <w:rsid w:val="00DC28DF"/>
    <w:rsid w:val="00DC28FF"/>
    <w:rsid w:val="00DC2B0F"/>
    <w:rsid w:val="00DC2C66"/>
    <w:rsid w:val="00DC2D44"/>
    <w:rsid w:val="00DC2E38"/>
    <w:rsid w:val="00DC2E4E"/>
    <w:rsid w:val="00DC2F3D"/>
    <w:rsid w:val="00DC2F88"/>
    <w:rsid w:val="00DC301F"/>
    <w:rsid w:val="00DC30EA"/>
    <w:rsid w:val="00DC3108"/>
    <w:rsid w:val="00DC3150"/>
    <w:rsid w:val="00DC319E"/>
    <w:rsid w:val="00DC3262"/>
    <w:rsid w:val="00DC327E"/>
    <w:rsid w:val="00DC3371"/>
    <w:rsid w:val="00DC346D"/>
    <w:rsid w:val="00DC3474"/>
    <w:rsid w:val="00DC3550"/>
    <w:rsid w:val="00DC3580"/>
    <w:rsid w:val="00DC3665"/>
    <w:rsid w:val="00DC378F"/>
    <w:rsid w:val="00DC3833"/>
    <w:rsid w:val="00DC3854"/>
    <w:rsid w:val="00DC392D"/>
    <w:rsid w:val="00DC3A28"/>
    <w:rsid w:val="00DC3A9B"/>
    <w:rsid w:val="00DC3B69"/>
    <w:rsid w:val="00DC3BAA"/>
    <w:rsid w:val="00DC3C06"/>
    <w:rsid w:val="00DC3C16"/>
    <w:rsid w:val="00DC3E31"/>
    <w:rsid w:val="00DC3E9E"/>
    <w:rsid w:val="00DC3EF6"/>
    <w:rsid w:val="00DC3FBD"/>
    <w:rsid w:val="00DC3FC3"/>
    <w:rsid w:val="00DC400B"/>
    <w:rsid w:val="00DC40AE"/>
    <w:rsid w:val="00DC4155"/>
    <w:rsid w:val="00DC4201"/>
    <w:rsid w:val="00DC420A"/>
    <w:rsid w:val="00DC421D"/>
    <w:rsid w:val="00DC4227"/>
    <w:rsid w:val="00DC4271"/>
    <w:rsid w:val="00DC4374"/>
    <w:rsid w:val="00DC445E"/>
    <w:rsid w:val="00DC45B3"/>
    <w:rsid w:val="00DC4803"/>
    <w:rsid w:val="00DC484D"/>
    <w:rsid w:val="00DC4A6A"/>
    <w:rsid w:val="00DC4AA6"/>
    <w:rsid w:val="00DC4AD5"/>
    <w:rsid w:val="00DC4AE4"/>
    <w:rsid w:val="00DC4B41"/>
    <w:rsid w:val="00DC4BCF"/>
    <w:rsid w:val="00DC4CA5"/>
    <w:rsid w:val="00DC4D7E"/>
    <w:rsid w:val="00DC4EDA"/>
    <w:rsid w:val="00DC4F7C"/>
    <w:rsid w:val="00DC504A"/>
    <w:rsid w:val="00DC506C"/>
    <w:rsid w:val="00DC5076"/>
    <w:rsid w:val="00DC50E3"/>
    <w:rsid w:val="00DC512F"/>
    <w:rsid w:val="00DC515C"/>
    <w:rsid w:val="00DC515F"/>
    <w:rsid w:val="00DC5165"/>
    <w:rsid w:val="00DC523A"/>
    <w:rsid w:val="00DC53B1"/>
    <w:rsid w:val="00DC542E"/>
    <w:rsid w:val="00DC5559"/>
    <w:rsid w:val="00DC5606"/>
    <w:rsid w:val="00DC5610"/>
    <w:rsid w:val="00DC56DB"/>
    <w:rsid w:val="00DC5868"/>
    <w:rsid w:val="00DC589C"/>
    <w:rsid w:val="00DC597A"/>
    <w:rsid w:val="00DC59B0"/>
    <w:rsid w:val="00DC5B99"/>
    <w:rsid w:val="00DC5BE8"/>
    <w:rsid w:val="00DC5CB4"/>
    <w:rsid w:val="00DC5CF5"/>
    <w:rsid w:val="00DC5D38"/>
    <w:rsid w:val="00DC5DD0"/>
    <w:rsid w:val="00DC5EBD"/>
    <w:rsid w:val="00DC5FE1"/>
    <w:rsid w:val="00DC5FE7"/>
    <w:rsid w:val="00DC613C"/>
    <w:rsid w:val="00DC6444"/>
    <w:rsid w:val="00DC646D"/>
    <w:rsid w:val="00DC64A3"/>
    <w:rsid w:val="00DC64A5"/>
    <w:rsid w:val="00DC64E6"/>
    <w:rsid w:val="00DC6701"/>
    <w:rsid w:val="00DC6730"/>
    <w:rsid w:val="00DC676D"/>
    <w:rsid w:val="00DC6852"/>
    <w:rsid w:val="00DC6893"/>
    <w:rsid w:val="00DC68AA"/>
    <w:rsid w:val="00DC68D7"/>
    <w:rsid w:val="00DC68DD"/>
    <w:rsid w:val="00DC6970"/>
    <w:rsid w:val="00DC69F8"/>
    <w:rsid w:val="00DC6A18"/>
    <w:rsid w:val="00DC6A77"/>
    <w:rsid w:val="00DC6C3B"/>
    <w:rsid w:val="00DC6CB0"/>
    <w:rsid w:val="00DC6DC7"/>
    <w:rsid w:val="00DC6E9A"/>
    <w:rsid w:val="00DC7054"/>
    <w:rsid w:val="00DC70D6"/>
    <w:rsid w:val="00DC716F"/>
    <w:rsid w:val="00DC7199"/>
    <w:rsid w:val="00DC7244"/>
    <w:rsid w:val="00DC72F3"/>
    <w:rsid w:val="00DC7327"/>
    <w:rsid w:val="00DC73E1"/>
    <w:rsid w:val="00DC7406"/>
    <w:rsid w:val="00DC759C"/>
    <w:rsid w:val="00DC75E1"/>
    <w:rsid w:val="00DC765F"/>
    <w:rsid w:val="00DC7716"/>
    <w:rsid w:val="00DC77A3"/>
    <w:rsid w:val="00DC7854"/>
    <w:rsid w:val="00DC78DE"/>
    <w:rsid w:val="00DC792B"/>
    <w:rsid w:val="00DC7966"/>
    <w:rsid w:val="00DC79FF"/>
    <w:rsid w:val="00DC7B4A"/>
    <w:rsid w:val="00DC7B95"/>
    <w:rsid w:val="00DC7BDF"/>
    <w:rsid w:val="00DC7C29"/>
    <w:rsid w:val="00DC7DBB"/>
    <w:rsid w:val="00DC7DC4"/>
    <w:rsid w:val="00DC7DFB"/>
    <w:rsid w:val="00DC7ED3"/>
    <w:rsid w:val="00DC7FCE"/>
    <w:rsid w:val="00DD0049"/>
    <w:rsid w:val="00DD005D"/>
    <w:rsid w:val="00DD00EA"/>
    <w:rsid w:val="00DD011C"/>
    <w:rsid w:val="00DD0133"/>
    <w:rsid w:val="00DD0192"/>
    <w:rsid w:val="00DD01C4"/>
    <w:rsid w:val="00DD01F6"/>
    <w:rsid w:val="00DD02CF"/>
    <w:rsid w:val="00DD047D"/>
    <w:rsid w:val="00DD051A"/>
    <w:rsid w:val="00DD057A"/>
    <w:rsid w:val="00DD067B"/>
    <w:rsid w:val="00DD0759"/>
    <w:rsid w:val="00DD07E6"/>
    <w:rsid w:val="00DD086C"/>
    <w:rsid w:val="00DD0884"/>
    <w:rsid w:val="00DD0A26"/>
    <w:rsid w:val="00DD0A61"/>
    <w:rsid w:val="00DD0AD6"/>
    <w:rsid w:val="00DD0B52"/>
    <w:rsid w:val="00DD0BF9"/>
    <w:rsid w:val="00DD0C87"/>
    <w:rsid w:val="00DD0D1B"/>
    <w:rsid w:val="00DD0D2D"/>
    <w:rsid w:val="00DD0D47"/>
    <w:rsid w:val="00DD0D78"/>
    <w:rsid w:val="00DD0E13"/>
    <w:rsid w:val="00DD0E93"/>
    <w:rsid w:val="00DD0F89"/>
    <w:rsid w:val="00DD1007"/>
    <w:rsid w:val="00DD109B"/>
    <w:rsid w:val="00DD11AC"/>
    <w:rsid w:val="00DD128E"/>
    <w:rsid w:val="00DD12AE"/>
    <w:rsid w:val="00DD13DD"/>
    <w:rsid w:val="00DD140A"/>
    <w:rsid w:val="00DD142A"/>
    <w:rsid w:val="00DD14E6"/>
    <w:rsid w:val="00DD1743"/>
    <w:rsid w:val="00DD18C2"/>
    <w:rsid w:val="00DD18C7"/>
    <w:rsid w:val="00DD18CC"/>
    <w:rsid w:val="00DD19A1"/>
    <w:rsid w:val="00DD1A07"/>
    <w:rsid w:val="00DD1B15"/>
    <w:rsid w:val="00DD1B59"/>
    <w:rsid w:val="00DD1B89"/>
    <w:rsid w:val="00DD1BBA"/>
    <w:rsid w:val="00DD1C8A"/>
    <w:rsid w:val="00DD1CF5"/>
    <w:rsid w:val="00DD1D11"/>
    <w:rsid w:val="00DD1F2B"/>
    <w:rsid w:val="00DD1FA4"/>
    <w:rsid w:val="00DD1FAB"/>
    <w:rsid w:val="00DD221A"/>
    <w:rsid w:val="00DD223D"/>
    <w:rsid w:val="00DD226E"/>
    <w:rsid w:val="00DD229F"/>
    <w:rsid w:val="00DD2360"/>
    <w:rsid w:val="00DD23E2"/>
    <w:rsid w:val="00DD2402"/>
    <w:rsid w:val="00DD247F"/>
    <w:rsid w:val="00DD2715"/>
    <w:rsid w:val="00DD2741"/>
    <w:rsid w:val="00DD2748"/>
    <w:rsid w:val="00DD2755"/>
    <w:rsid w:val="00DD27BC"/>
    <w:rsid w:val="00DD28F4"/>
    <w:rsid w:val="00DD2989"/>
    <w:rsid w:val="00DD2A14"/>
    <w:rsid w:val="00DD2A4B"/>
    <w:rsid w:val="00DD2A5F"/>
    <w:rsid w:val="00DD2A7A"/>
    <w:rsid w:val="00DD2ABF"/>
    <w:rsid w:val="00DD2B20"/>
    <w:rsid w:val="00DD2B75"/>
    <w:rsid w:val="00DD2BF7"/>
    <w:rsid w:val="00DD2C83"/>
    <w:rsid w:val="00DD2CD0"/>
    <w:rsid w:val="00DD2DAB"/>
    <w:rsid w:val="00DD2E23"/>
    <w:rsid w:val="00DD2F58"/>
    <w:rsid w:val="00DD306F"/>
    <w:rsid w:val="00DD3076"/>
    <w:rsid w:val="00DD314C"/>
    <w:rsid w:val="00DD3152"/>
    <w:rsid w:val="00DD3200"/>
    <w:rsid w:val="00DD3231"/>
    <w:rsid w:val="00DD3238"/>
    <w:rsid w:val="00DD3275"/>
    <w:rsid w:val="00DD32CD"/>
    <w:rsid w:val="00DD33C3"/>
    <w:rsid w:val="00DD3428"/>
    <w:rsid w:val="00DD3451"/>
    <w:rsid w:val="00DD3481"/>
    <w:rsid w:val="00DD35AF"/>
    <w:rsid w:val="00DD36D2"/>
    <w:rsid w:val="00DD37A4"/>
    <w:rsid w:val="00DD3844"/>
    <w:rsid w:val="00DD38CE"/>
    <w:rsid w:val="00DD3901"/>
    <w:rsid w:val="00DD3945"/>
    <w:rsid w:val="00DD39EB"/>
    <w:rsid w:val="00DD3B9A"/>
    <w:rsid w:val="00DD3C70"/>
    <w:rsid w:val="00DD3D35"/>
    <w:rsid w:val="00DD3F0B"/>
    <w:rsid w:val="00DD3F4A"/>
    <w:rsid w:val="00DD4002"/>
    <w:rsid w:val="00DD41FC"/>
    <w:rsid w:val="00DD4384"/>
    <w:rsid w:val="00DD4412"/>
    <w:rsid w:val="00DD44B1"/>
    <w:rsid w:val="00DD4613"/>
    <w:rsid w:val="00DD4647"/>
    <w:rsid w:val="00DD46DD"/>
    <w:rsid w:val="00DD4760"/>
    <w:rsid w:val="00DD47B5"/>
    <w:rsid w:val="00DD4815"/>
    <w:rsid w:val="00DD485C"/>
    <w:rsid w:val="00DD48D7"/>
    <w:rsid w:val="00DD48FB"/>
    <w:rsid w:val="00DD4AB4"/>
    <w:rsid w:val="00DD4AC2"/>
    <w:rsid w:val="00DD4B41"/>
    <w:rsid w:val="00DD4D72"/>
    <w:rsid w:val="00DD4DBB"/>
    <w:rsid w:val="00DD4F1A"/>
    <w:rsid w:val="00DD4FDD"/>
    <w:rsid w:val="00DD506C"/>
    <w:rsid w:val="00DD50B8"/>
    <w:rsid w:val="00DD5152"/>
    <w:rsid w:val="00DD518B"/>
    <w:rsid w:val="00DD51DC"/>
    <w:rsid w:val="00DD524E"/>
    <w:rsid w:val="00DD52A4"/>
    <w:rsid w:val="00DD530B"/>
    <w:rsid w:val="00DD5396"/>
    <w:rsid w:val="00DD53FC"/>
    <w:rsid w:val="00DD5480"/>
    <w:rsid w:val="00DD54D2"/>
    <w:rsid w:val="00DD5500"/>
    <w:rsid w:val="00DD5583"/>
    <w:rsid w:val="00DD574F"/>
    <w:rsid w:val="00DD5752"/>
    <w:rsid w:val="00DD5832"/>
    <w:rsid w:val="00DD5882"/>
    <w:rsid w:val="00DD589A"/>
    <w:rsid w:val="00DD58F1"/>
    <w:rsid w:val="00DD59F4"/>
    <w:rsid w:val="00DD5B97"/>
    <w:rsid w:val="00DD5C69"/>
    <w:rsid w:val="00DD5CA5"/>
    <w:rsid w:val="00DD5D06"/>
    <w:rsid w:val="00DD5D46"/>
    <w:rsid w:val="00DD5E9A"/>
    <w:rsid w:val="00DD5F68"/>
    <w:rsid w:val="00DD6069"/>
    <w:rsid w:val="00DD60F9"/>
    <w:rsid w:val="00DD616E"/>
    <w:rsid w:val="00DD624D"/>
    <w:rsid w:val="00DD6302"/>
    <w:rsid w:val="00DD6314"/>
    <w:rsid w:val="00DD6432"/>
    <w:rsid w:val="00DD64F9"/>
    <w:rsid w:val="00DD65ED"/>
    <w:rsid w:val="00DD6614"/>
    <w:rsid w:val="00DD6704"/>
    <w:rsid w:val="00DD681F"/>
    <w:rsid w:val="00DD6918"/>
    <w:rsid w:val="00DD6A66"/>
    <w:rsid w:val="00DD6AD6"/>
    <w:rsid w:val="00DD6B43"/>
    <w:rsid w:val="00DD6B72"/>
    <w:rsid w:val="00DD6B82"/>
    <w:rsid w:val="00DD6BAF"/>
    <w:rsid w:val="00DD6C3C"/>
    <w:rsid w:val="00DD6C49"/>
    <w:rsid w:val="00DD6C69"/>
    <w:rsid w:val="00DD6D8E"/>
    <w:rsid w:val="00DD6E2B"/>
    <w:rsid w:val="00DD6E47"/>
    <w:rsid w:val="00DD6E4E"/>
    <w:rsid w:val="00DD6E62"/>
    <w:rsid w:val="00DD6E9F"/>
    <w:rsid w:val="00DD6ED7"/>
    <w:rsid w:val="00DD6F25"/>
    <w:rsid w:val="00DD6FCE"/>
    <w:rsid w:val="00DD7033"/>
    <w:rsid w:val="00DD713B"/>
    <w:rsid w:val="00DD7144"/>
    <w:rsid w:val="00DD72BB"/>
    <w:rsid w:val="00DD7333"/>
    <w:rsid w:val="00DD7391"/>
    <w:rsid w:val="00DD73B3"/>
    <w:rsid w:val="00DD750E"/>
    <w:rsid w:val="00DD7529"/>
    <w:rsid w:val="00DD752B"/>
    <w:rsid w:val="00DD7610"/>
    <w:rsid w:val="00DD7674"/>
    <w:rsid w:val="00DD7717"/>
    <w:rsid w:val="00DD77E4"/>
    <w:rsid w:val="00DD78E2"/>
    <w:rsid w:val="00DD7A09"/>
    <w:rsid w:val="00DD7A5C"/>
    <w:rsid w:val="00DD7BEA"/>
    <w:rsid w:val="00DD7C4E"/>
    <w:rsid w:val="00DD7CCD"/>
    <w:rsid w:val="00DD7D30"/>
    <w:rsid w:val="00DD7D3B"/>
    <w:rsid w:val="00DD7D97"/>
    <w:rsid w:val="00DD7E51"/>
    <w:rsid w:val="00DD7E74"/>
    <w:rsid w:val="00DE0252"/>
    <w:rsid w:val="00DE0262"/>
    <w:rsid w:val="00DE056B"/>
    <w:rsid w:val="00DE0577"/>
    <w:rsid w:val="00DE0593"/>
    <w:rsid w:val="00DE069C"/>
    <w:rsid w:val="00DE0744"/>
    <w:rsid w:val="00DE0812"/>
    <w:rsid w:val="00DE0887"/>
    <w:rsid w:val="00DE0969"/>
    <w:rsid w:val="00DE0AA1"/>
    <w:rsid w:val="00DE0BC6"/>
    <w:rsid w:val="00DE0C74"/>
    <w:rsid w:val="00DE0C9E"/>
    <w:rsid w:val="00DE0CF5"/>
    <w:rsid w:val="00DE0D3A"/>
    <w:rsid w:val="00DE0D3E"/>
    <w:rsid w:val="00DE0DAB"/>
    <w:rsid w:val="00DE0DEB"/>
    <w:rsid w:val="00DE0DF6"/>
    <w:rsid w:val="00DE0E18"/>
    <w:rsid w:val="00DE0E3A"/>
    <w:rsid w:val="00DE0E70"/>
    <w:rsid w:val="00DE0F38"/>
    <w:rsid w:val="00DE0F50"/>
    <w:rsid w:val="00DE0FD2"/>
    <w:rsid w:val="00DE0FF2"/>
    <w:rsid w:val="00DE1006"/>
    <w:rsid w:val="00DE1017"/>
    <w:rsid w:val="00DE118C"/>
    <w:rsid w:val="00DE1192"/>
    <w:rsid w:val="00DE12AE"/>
    <w:rsid w:val="00DE1303"/>
    <w:rsid w:val="00DE137D"/>
    <w:rsid w:val="00DE1430"/>
    <w:rsid w:val="00DE1454"/>
    <w:rsid w:val="00DE16B0"/>
    <w:rsid w:val="00DE16FB"/>
    <w:rsid w:val="00DE171B"/>
    <w:rsid w:val="00DE1736"/>
    <w:rsid w:val="00DE17C4"/>
    <w:rsid w:val="00DE17CE"/>
    <w:rsid w:val="00DE17E7"/>
    <w:rsid w:val="00DE187F"/>
    <w:rsid w:val="00DE18EA"/>
    <w:rsid w:val="00DE1940"/>
    <w:rsid w:val="00DE1985"/>
    <w:rsid w:val="00DE1AAF"/>
    <w:rsid w:val="00DE1B41"/>
    <w:rsid w:val="00DE1BEF"/>
    <w:rsid w:val="00DE1CF6"/>
    <w:rsid w:val="00DE1D3F"/>
    <w:rsid w:val="00DE1D51"/>
    <w:rsid w:val="00DE1D84"/>
    <w:rsid w:val="00DE1E29"/>
    <w:rsid w:val="00DE1EAA"/>
    <w:rsid w:val="00DE1ED1"/>
    <w:rsid w:val="00DE1FAC"/>
    <w:rsid w:val="00DE20CB"/>
    <w:rsid w:val="00DE21AC"/>
    <w:rsid w:val="00DE21EB"/>
    <w:rsid w:val="00DE223A"/>
    <w:rsid w:val="00DE2368"/>
    <w:rsid w:val="00DE2382"/>
    <w:rsid w:val="00DE249A"/>
    <w:rsid w:val="00DE25B6"/>
    <w:rsid w:val="00DE26B2"/>
    <w:rsid w:val="00DE26E6"/>
    <w:rsid w:val="00DE27A5"/>
    <w:rsid w:val="00DE283A"/>
    <w:rsid w:val="00DE28EE"/>
    <w:rsid w:val="00DE28F7"/>
    <w:rsid w:val="00DE29D1"/>
    <w:rsid w:val="00DE2AFA"/>
    <w:rsid w:val="00DE2B59"/>
    <w:rsid w:val="00DE2BE7"/>
    <w:rsid w:val="00DE2CF0"/>
    <w:rsid w:val="00DE2DD0"/>
    <w:rsid w:val="00DE2DF9"/>
    <w:rsid w:val="00DE2EA3"/>
    <w:rsid w:val="00DE2ED6"/>
    <w:rsid w:val="00DE2F2A"/>
    <w:rsid w:val="00DE2F53"/>
    <w:rsid w:val="00DE3081"/>
    <w:rsid w:val="00DE30DF"/>
    <w:rsid w:val="00DE3104"/>
    <w:rsid w:val="00DE3220"/>
    <w:rsid w:val="00DE327B"/>
    <w:rsid w:val="00DE32BD"/>
    <w:rsid w:val="00DE32BE"/>
    <w:rsid w:val="00DE3382"/>
    <w:rsid w:val="00DE33B8"/>
    <w:rsid w:val="00DE33D5"/>
    <w:rsid w:val="00DE3429"/>
    <w:rsid w:val="00DE35D2"/>
    <w:rsid w:val="00DE364C"/>
    <w:rsid w:val="00DE367B"/>
    <w:rsid w:val="00DE36BB"/>
    <w:rsid w:val="00DE379C"/>
    <w:rsid w:val="00DE3826"/>
    <w:rsid w:val="00DE3909"/>
    <w:rsid w:val="00DE3920"/>
    <w:rsid w:val="00DE39BA"/>
    <w:rsid w:val="00DE3A68"/>
    <w:rsid w:val="00DE3B25"/>
    <w:rsid w:val="00DE3BAB"/>
    <w:rsid w:val="00DE3BE0"/>
    <w:rsid w:val="00DE3BE1"/>
    <w:rsid w:val="00DE3C60"/>
    <w:rsid w:val="00DE3C8D"/>
    <w:rsid w:val="00DE3D06"/>
    <w:rsid w:val="00DE3D2C"/>
    <w:rsid w:val="00DE3D61"/>
    <w:rsid w:val="00DE3F0F"/>
    <w:rsid w:val="00DE3FF3"/>
    <w:rsid w:val="00DE4080"/>
    <w:rsid w:val="00DE4086"/>
    <w:rsid w:val="00DE41E9"/>
    <w:rsid w:val="00DE42EC"/>
    <w:rsid w:val="00DE4327"/>
    <w:rsid w:val="00DE435A"/>
    <w:rsid w:val="00DE4591"/>
    <w:rsid w:val="00DE45B8"/>
    <w:rsid w:val="00DE45CC"/>
    <w:rsid w:val="00DE45F7"/>
    <w:rsid w:val="00DE4656"/>
    <w:rsid w:val="00DE483E"/>
    <w:rsid w:val="00DE48AA"/>
    <w:rsid w:val="00DE492C"/>
    <w:rsid w:val="00DE4948"/>
    <w:rsid w:val="00DE4997"/>
    <w:rsid w:val="00DE4A3D"/>
    <w:rsid w:val="00DE4ACA"/>
    <w:rsid w:val="00DE4AFB"/>
    <w:rsid w:val="00DE4B54"/>
    <w:rsid w:val="00DE4B96"/>
    <w:rsid w:val="00DE4C20"/>
    <w:rsid w:val="00DE4C23"/>
    <w:rsid w:val="00DE4C40"/>
    <w:rsid w:val="00DE4D47"/>
    <w:rsid w:val="00DE4DE2"/>
    <w:rsid w:val="00DE4E0B"/>
    <w:rsid w:val="00DE4F13"/>
    <w:rsid w:val="00DE4F66"/>
    <w:rsid w:val="00DE4F81"/>
    <w:rsid w:val="00DE4F9E"/>
    <w:rsid w:val="00DE4FFE"/>
    <w:rsid w:val="00DE50B3"/>
    <w:rsid w:val="00DE50E7"/>
    <w:rsid w:val="00DE5133"/>
    <w:rsid w:val="00DE51E9"/>
    <w:rsid w:val="00DE53E6"/>
    <w:rsid w:val="00DE54B4"/>
    <w:rsid w:val="00DE5642"/>
    <w:rsid w:val="00DE5735"/>
    <w:rsid w:val="00DE57AB"/>
    <w:rsid w:val="00DE57C1"/>
    <w:rsid w:val="00DE57CB"/>
    <w:rsid w:val="00DE5872"/>
    <w:rsid w:val="00DE59F0"/>
    <w:rsid w:val="00DE5AE5"/>
    <w:rsid w:val="00DE5B29"/>
    <w:rsid w:val="00DE5D65"/>
    <w:rsid w:val="00DE5E99"/>
    <w:rsid w:val="00DE6034"/>
    <w:rsid w:val="00DE6228"/>
    <w:rsid w:val="00DE64EB"/>
    <w:rsid w:val="00DE662F"/>
    <w:rsid w:val="00DE6630"/>
    <w:rsid w:val="00DE666F"/>
    <w:rsid w:val="00DE669F"/>
    <w:rsid w:val="00DE672A"/>
    <w:rsid w:val="00DE6865"/>
    <w:rsid w:val="00DE686E"/>
    <w:rsid w:val="00DE68D9"/>
    <w:rsid w:val="00DE6905"/>
    <w:rsid w:val="00DE6A47"/>
    <w:rsid w:val="00DE6AE6"/>
    <w:rsid w:val="00DE6C9C"/>
    <w:rsid w:val="00DE6F55"/>
    <w:rsid w:val="00DE6FB5"/>
    <w:rsid w:val="00DE70EC"/>
    <w:rsid w:val="00DE720F"/>
    <w:rsid w:val="00DE7250"/>
    <w:rsid w:val="00DE72F7"/>
    <w:rsid w:val="00DE731D"/>
    <w:rsid w:val="00DE733D"/>
    <w:rsid w:val="00DE73FD"/>
    <w:rsid w:val="00DE7492"/>
    <w:rsid w:val="00DE74B8"/>
    <w:rsid w:val="00DE751A"/>
    <w:rsid w:val="00DE7555"/>
    <w:rsid w:val="00DE7678"/>
    <w:rsid w:val="00DE768B"/>
    <w:rsid w:val="00DE777E"/>
    <w:rsid w:val="00DE778E"/>
    <w:rsid w:val="00DE77D4"/>
    <w:rsid w:val="00DE789F"/>
    <w:rsid w:val="00DE7A91"/>
    <w:rsid w:val="00DE7AA3"/>
    <w:rsid w:val="00DE7B19"/>
    <w:rsid w:val="00DE7D91"/>
    <w:rsid w:val="00DE7E25"/>
    <w:rsid w:val="00DE7E86"/>
    <w:rsid w:val="00DE7EDB"/>
    <w:rsid w:val="00DE7F1B"/>
    <w:rsid w:val="00DE7F82"/>
    <w:rsid w:val="00DF0099"/>
    <w:rsid w:val="00DF00A3"/>
    <w:rsid w:val="00DF00BA"/>
    <w:rsid w:val="00DF012D"/>
    <w:rsid w:val="00DF018B"/>
    <w:rsid w:val="00DF0244"/>
    <w:rsid w:val="00DF03C8"/>
    <w:rsid w:val="00DF049D"/>
    <w:rsid w:val="00DF052F"/>
    <w:rsid w:val="00DF06A9"/>
    <w:rsid w:val="00DF0756"/>
    <w:rsid w:val="00DF0849"/>
    <w:rsid w:val="00DF08A2"/>
    <w:rsid w:val="00DF0940"/>
    <w:rsid w:val="00DF0AB5"/>
    <w:rsid w:val="00DF0ACA"/>
    <w:rsid w:val="00DF0B24"/>
    <w:rsid w:val="00DF0C19"/>
    <w:rsid w:val="00DF0C2A"/>
    <w:rsid w:val="00DF0CCA"/>
    <w:rsid w:val="00DF0FF4"/>
    <w:rsid w:val="00DF10B9"/>
    <w:rsid w:val="00DF10F6"/>
    <w:rsid w:val="00DF111F"/>
    <w:rsid w:val="00DF1392"/>
    <w:rsid w:val="00DF13D7"/>
    <w:rsid w:val="00DF1443"/>
    <w:rsid w:val="00DF144D"/>
    <w:rsid w:val="00DF15DA"/>
    <w:rsid w:val="00DF1663"/>
    <w:rsid w:val="00DF1667"/>
    <w:rsid w:val="00DF169D"/>
    <w:rsid w:val="00DF16B9"/>
    <w:rsid w:val="00DF17DC"/>
    <w:rsid w:val="00DF1831"/>
    <w:rsid w:val="00DF184E"/>
    <w:rsid w:val="00DF189D"/>
    <w:rsid w:val="00DF18EE"/>
    <w:rsid w:val="00DF1A71"/>
    <w:rsid w:val="00DF1A91"/>
    <w:rsid w:val="00DF1A93"/>
    <w:rsid w:val="00DF1AC3"/>
    <w:rsid w:val="00DF1B5F"/>
    <w:rsid w:val="00DF1B9C"/>
    <w:rsid w:val="00DF1BB6"/>
    <w:rsid w:val="00DF1CAC"/>
    <w:rsid w:val="00DF1CB7"/>
    <w:rsid w:val="00DF1D0D"/>
    <w:rsid w:val="00DF1D3C"/>
    <w:rsid w:val="00DF1DAA"/>
    <w:rsid w:val="00DF1E04"/>
    <w:rsid w:val="00DF1E18"/>
    <w:rsid w:val="00DF1E59"/>
    <w:rsid w:val="00DF1E94"/>
    <w:rsid w:val="00DF1EF2"/>
    <w:rsid w:val="00DF2035"/>
    <w:rsid w:val="00DF21E9"/>
    <w:rsid w:val="00DF2203"/>
    <w:rsid w:val="00DF23E0"/>
    <w:rsid w:val="00DF2439"/>
    <w:rsid w:val="00DF2472"/>
    <w:rsid w:val="00DF24ED"/>
    <w:rsid w:val="00DF2512"/>
    <w:rsid w:val="00DF263A"/>
    <w:rsid w:val="00DF26E3"/>
    <w:rsid w:val="00DF277A"/>
    <w:rsid w:val="00DF2880"/>
    <w:rsid w:val="00DF28A9"/>
    <w:rsid w:val="00DF28C8"/>
    <w:rsid w:val="00DF29E7"/>
    <w:rsid w:val="00DF2AFE"/>
    <w:rsid w:val="00DF2B26"/>
    <w:rsid w:val="00DF2B43"/>
    <w:rsid w:val="00DF2B5F"/>
    <w:rsid w:val="00DF2BC4"/>
    <w:rsid w:val="00DF2CB5"/>
    <w:rsid w:val="00DF2E67"/>
    <w:rsid w:val="00DF2EB4"/>
    <w:rsid w:val="00DF3102"/>
    <w:rsid w:val="00DF32B9"/>
    <w:rsid w:val="00DF3333"/>
    <w:rsid w:val="00DF33AC"/>
    <w:rsid w:val="00DF3403"/>
    <w:rsid w:val="00DF349B"/>
    <w:rsid w:val="00DF34C7"/>
    <w:rsid w:val="00DF3533"/>
    <w:rsid w:val="00DF3538"/>
    <w:rsid w:val="00DF363F"/>
    <w:rsid w:val="00DF375C"/>
    <w:rsid w:val="00DF37A6"/>
    <w:rsid w:val="00DF37BB"/>
    <w:rsid w:val="00DF37EA"/>
    <w:rsid w:val="00DF37F2"/>
    <w:rsid w:val="00DF38F2"/>
    <w:rsid w:val="00DF394F"/>
    <w:rsid w:val="00DF3967"/>
    <w:rsid w:val="00DF39E0"/>
    <w:rsid w:val="00DF3AAE"/>
    <w:rsid w:val="00DF3AFF"/>
    <w:rsid w:val="00DF3B2C"/>
    <w:rsid w:val="00DF3B9A"/>
    <w:rsid w:val="00DF3C13"/>
    <w:rsid w:val="00DF3C47"/>
    <w:rsid w:val="00DF3C6F"/>
    <w:rsid w:val="00DF3DDB"/>
    <w:rsid w:val="00DF3DE7"/>
    <w:rsid w:val="00DF3E3E"/>
    <w:rsid w:val="00DF3F15"/>
    <w:rsid w:val="00DF401F"/>
    <w:rsid w:val="00DF4029"/>
    <w:rsid w:val="00DF41D1"/>
    <w:rsid w:val="00DF433D"/>
    <w:rsid w:val="00DF4411"/>
    <w:rsid w:val="00DF446B"/>
    <w:rsid w:val="00DF4495"/>
    <w:rsid w:val="00DF468F"/>
    <w:rsid w:val="00DF469B"/>
    <w:rsid w:val="00DF476F"/>
    <w:rsid w:val="00DF479B"/>
    <w:rsid w:val="00DF4916"/>
    <w:rsid w:val="00DF49C0"/>
    <w:rsid w:val="00DF4A09"/>
    <w:rsid w:val="00DF4A69"/>
    <w:rsid w:val="00DF4ABE"/>
    <w:rsid w:val="00DF4CE9"/>
    <w:rsid w:val="00DF4DA6"/>
    <w:rsid w:val="00DF4F53"/>
    <w:rsid w:val="00DF4FF1"/>
    <w:rsid w:val="00DF5167"/>
    <w:rsid w:val="00DF5177"/>
    <w:rsid w:val="00DF51E6"/>
    <w:rsid w:val="00DF52B4"/>
    <w:rsid w:val="00DF52B8"/>
    <w:rsid w:val="00DF5315"/>
    <w:rsid w:val="00DF5388"/>
    <w:rsid w:val="00DF53EC"/>
    <w:rsid w:val="00DF5515"/>
    <w:rsid w:val="00DF5538"/>
    <w:rsid w:val="00DF553B"/>
    <w:rsid w:val="00DF553E"/>
    <w:rsid w:val="00DF55F8"/>
    <w:rsid w:val="00DF564E"/>
    <w:rsid w:val="00DF5675"/>
    <w:rsid w:val="00DF573C"/>
    <w:rsid w:val="00DF577D"/>
    <w:rsid w:val="00DF57E3"/>
    <w:rsid w:val="00DF592B"/>
    <w:rsid w:val="00DF5975"/>
    <w:rsid w:val="00DF5A0D"/>
    <w:rsid w:val="00DF5A2F"/>
    <w:rsid w:val="00DF5C8E"/>
    <w:rsid w:val="00DF5CFA"/>
    <w:rsid w:val="00DF5D2D"/>
    <w:rsid w:val="00DF5D3B"/>
    <w:rsid w:val="00DF5D7E"/>
    <w:rsid w:val="00DF5D83"/>
    <w:rsid w:val="00DF5E01"/>
    <w:rsid w:val="00DF5E94"/>
    <w:rsid w:val="00DF5EDA"/>
    <w:rsid w:val="00DF5F80"/>
    <w:rsid w:val="00DF5FAE"/>
    <w:rsid w:val="00DF60DD"/>
    <w:rsid w:val="00DF60F6"/>
    <w:rsid w:val="00DF6286"/>
    <w:rsid w:val="00DF648D"/>
    <w:rsid w:val="00DF65E2"/>
    <w:rsid w:val="00DF6600"/>
    <w:rsid w:val="00DF660C"/>
    <w:rsid w:val="00DF67AD"/>
    <w:rsid w:val="00DF6861"/>
    <w:rsid w:val="00DF6899"/>
    <w:rsid w:val="00DF693D"/>
    <w:rsid w:val="00DF69A1"/>
    <w:rsid w:val="00DF6A17"/>
    <w:rsid w:val="00DF6B03"/>
    <w:rsid w:val="00DF6B92"/>
    <w:rsid w:val="00DF6C54"/>
    <w:rsid w:val="00DF6D16"/>
    <w:rsid w:val="00DF6E43"/>
    <w:rsid w:val="00DF6EC2"/>
    <w:rsid w:val="00DF6ECB"/>
    <w:rsid w:val="00DF6FBB"/>
    <w:rsid w:val="00DF7025"/>
    <w:rsid w:val="00DF70C5"/>
    <w:rsid w:val="00DF710D"/>
    <w:rsid w:val="00DF71BD"/>
    <w:rsid w:val="00DF729B"/>
    <w:rsid w:val="00DF738A"/>
    <w:rsid w:val="00DF739A"/>
    <w:rsid w:val="00DF73EC"/>
    <w:rsid w:val="00DF7460"/>
    <w:rsid w:val="00DF7489"/>
    <w:rsid w:val="00DF7577"/>
    <w:rsid w:val="00DF7656"/>
    <w:rsid w:val="00DF7787"/>
    <w:rsid w:val="00DF77D0"/>
    <w:rsid w:val="00DF77F2"/>
    <w:rsid w:val="00DF77F9"/>
    <w:rsid w:val="00DF78FD"/>
    <w:rsid w:val="00DF7A69"/>
    <w:rsid w:val="00DF7C1C"/>
    <w:rsid w:val="00DF7C41"/>
    <w:rsid w:val="00DF7C5E"/>
    <w:rsid w:val="00DF7C69"/>
    <w:rsid w:val="00DF7C6E"/>
    <w:rsid w:val="00DF7CBA"/>
    <w:rsid w:val="00DF7E01"/>
    <w:rsid w:val="00DF7E5F"/>
    <w:rsid w:val="00DF7F93"/>
    <w:rsid w:val="00DF7FA5"/>
    <w:rsid w:val="00E0000C"/>
    <w:rsid w:val="00E0005A"/>
    <w:rsid w:val="00E000DC"/>
    <w:rsid w:val="00E002B2"/>
    <w:rsid w:val="00E002D8"/>
    <w:rsid w:val="00E002EB"/>
    <w:rsid w:val="00E0038D"/>
    <w:rsid w:val="00E0048D"/>
    <w:rsid w:val="00E007BE"/>
    <w:rsid w:val="00E007CD"/>
    <w:rsid w:val="00E008F0"/>
    <w:rsid w:val="00E0092B"/>
    <w:rsid w:val="00E00948"/>
    <w:rsid w:val="00E00978"/>
    <w:rsid w:val="00E00A4F"/>
    <w:rsid w:val="00E00A86"/>
    <w:rsid w:val="00E00A9C"/>
    <w:rsid w:val="00E00AC9"/>
    <w:rsid w:val="00E00AE9"/>
    <w:rsid w:val="00E00B05"/>
    <w:rsid w:val="00E00B1B"/>
    <w:rsid w:val="00E00C40"/>
    <w:rsid w:val="00E00C56"/>
    <w:rsid w:val="00E00CC2"/>
    <w:rsid w:val="00E00D61"/>
    <w:rsid w:val="00E00E10"/>
    <w:rsid w:val="00E00F7F"/>
    <w:rsid w:val="00E00FA4"/>
    <w:rsid w:val="00E010FC"/>
    <w:rsid w:val="00E01117"/>
    <w:rsid w:val="00E014E7"/>
    <w:rsid w:val="00E015EA"/>
    <w:rsid w:val="00E01619"/>
    <w:rsid w:val="00E0167D"/>
    <w:rsid w:val="00E016F6"/>
    <w:rsid w:val="00E017B3"/>
    <w:rsid w:val="00E017B6"/>
    <w:rsid w:val="00E01899"/>
    <w:rsid w:val="00E018B5"/>
    <w:rsid w:val="00E01916"/>
    <w:rsid w:val="00E0199A"/>
    <w:rsid w:val="00E01AB8"/>
    <w:rsid w:val="00E01AEB"/>
    <w:rsid w:val="00E01AFC"/>
    <w:rsid w:val="00E01C5B"/>
    <w:rsid w:val="00E01CBB"/>
    <w:rsid w:val="00E01D5B"/>
    <w:rsid w:val="00E01EF7"/>
    <w:rsid w:val="00E01F26"/>
    <w:rsid w:val="00E0202B"/>
    <w:rsid w:val="00E02066"/>
    <w:rsid w:val="00E0206E"/>
    <w:rsid w:val="00E02086"/>
    <w:rsid w:val="00E020B6"/>
    <w:rsid w:val="00E02117"/>
    <w:rsid w:val="00E02141"/>
    <w:rsid w:val="00E02170"/>
    <w:rsid w:val="00E0221F"/>
    <w:rsid w:val="00E022FB"/>
    <w:rsid w:val="00E0236D"/>
    <w:rsid w:val="00E024AD"/>
    <w:rsid w:val="00E0252F"/>
    <w:rsid w:val="00E025A5"/>
    <w:rsid w:val="00E0265D"/>
    <w:rsid w:val="00E02672"/>
    <w:rsid w:val="00E026B8"/>
    <w:rsid w:val="00E0280D"/>
    <w:rsid w:val="00E0287B"/>
    <w:rsid w:val="00E02902"/>
    <w:rsid w:val="00E029B8"/>
    <w:rsid w:val="00E029C6"/>
    <w:rsid w:val="00E029C9"/>
    <w:rsid w:val="00E02A7F"/>
    <w:rsid w:val="00E02A80"/>
    <w:rsid w:val="00E02A85"/>
    <w:rsid w:val="00E02B98"/>
    <w:rsid w:val="00E02C2C"/>
    <w:rsid w:val="00E02D80"/>
    <w:rsid w:val="00E02F2B"/>
    <w:rsid w:val="00E02F38"/>
    <w:rsid w:val="00E02FB8"/>
    <w:rsid w:val="00E030C2"/>
    <w:rsid w:val="00E0319B"/>
    <w:rsid w:val="00E03215"/>
    <w:rsid w:val="00E0335D"/>
    <w:rsid w:val="00E03368"/>
    <w:rsid w:val="00E033F4"/>
    <w:rsid w:val="00E0342A"/>
    <w:rsid w:val="00E034CB"/>
    <w:rsid w:val="00E03516"/>
    <w:rsid w:val="00E0362B"/>
    <w:rsid w:val="00E0362F"/>
    <w:rsid w:val="00E036A2"/>
    <w:rsid w:val="00E036CB"/>
    <w:rsid w:val="00E03710"/>
    <w:rsid w:val="00E03763"/>
    <w:rsid w:val="00E0384A"/>
    <w:rsid w:val="00E03A65"/>
    <w:rsid w:val="00E03AA6"/>
    <w:rsid w:val="00E03CDC"/>
    <w:rsid w:val="00E03D13"/>
    <w:rsid w:val="00E03D1C"/>
    <w:rsid w:val="00E03D90"/>
    <w:rsid w:val="00E03E3D"/>
    <w:rsid w:val="00E03EE0"/>
    <w:rsid w:val="00E0409A"/>
    <w:rsid w:val="00E0429A"/>
    <w:rsid w:val="00E04408"/>
    <w:rsid w:val="00E0444E"/>
    <w:rsid w:val="00E0445C"/>
    <w:rsid w:val="00E044A8"/>
    <w:rsid w:val="00E04623"/>
    <w:rsid w:val="00E04630"/>
    <w:rsid w:val="00E04664"/>
    <w:rsid w:val="00E04738"/>
    <w:rsid w:val="00E04785"/>
    <w:rsid w:val="00E047BB"/>
    <w:rsid w:val="00E04873"/>
    <w:rsid w:val="00E048C5"/>
    <w:rsid w:val="00E0498F"/>
    <w:rsid w:val="00E04A70"/>
    <w:rsid w:val="00E04BBE"/>
    <w:rsid w:val="00E04C39"/>
    <w:rsid w:val="00E04C71"/>
    <w:rsid w:val="00E04C9E"/>
    <w:rsid w:val="00E04CE6"/>
    <w:rsid w:val="00E04D73"/>
    <w:rsid w:val="00E04E26"/>
    <w:rsid w:val="00E04F0E"/>
    <w:rsid w:val="00E0513C"/>
    <w:rsid w:val="00E051DF"/>
    <w:rsid w:val="00E051FA"/>
    <w:rsid w:val="00E051FE"/>
    <w:rsid w:val="00E0521D"/>
    <w:rsid w:val="00E052DC"/>
    <w:rsid w:val="00E05395"/>
    <w:rsid w:val="00E05469"/>
    <w:rsid w:val="00E054A4"/>
    <w:rsid w:val="00E05574"/>
    <w:rsid w:val="00E05645"/>
    <w:rsid w:val="00E0567C"/>
    <w:rsid w:val="00E056F1"/>
    <w:rsid w:val="00E05721"/>
    <w:rsid w:val="00E05735"/>
    <w:rsid w:val="00E05864"/>
    <w:rsid w:val="00E05A38"/>
    <w:rsid w:val="00E05A94"/>
    <w:rsid w:val="00E05B04"/>
    <w:rsid w:val="00E05D72"/>
    <w:rsid w:val="00E05DE6"/>
    <w:rsid w:val="00E05DF5"/>
    <w:rsid w:val="00E05F26"/>
    <w:rsid w:val="00E05FBA"/>
    <w:rsid w:val="00E06043"/>
    <w:rsid w:val="00E060EE"/>
    <w:rsid w:val="00E06103"/>
    <w:rsid w:val="00E06178"/>
    <w:rsid w:val="00E061CB"/>
    <w:rsid w:val="00E062AC"/>
    <w:rsid w:val="00E062C1"/>
    <w:rsid w:val="00E06311"/>
    <w:rsid w:val="00E06388"/>
    <w:rsid w:val="00E064A7"/>
    <w:rsid w:val="00E06559"/>
    <w:rsid w:val="00E06596"/>
    <w:rsid w:val="00E0661C"/>
    <w:rsid w:val="00E066C9"/>
    <w:rsid w:val="00E06868"/>
    <w:rsid w:val="00E0693C"/>
    <w:rsid w:val="00E069AC"/>
    <w:rsid w:val="00E06A57"/>
    <w:rsid w:val="00E06A91"/>
    <w:rsid w:val="00E06AE7"/>
    <w:rsid w:val="00E06AF9"/>
    <w:rsid w:val="00E06DA8"/>
    <w:rsid w:val="00E06DF0"/>
    <w:rsid w:val="00E06E20"/>
    <w:rsid w:val="00E06E39"/>
    <w:rsid w:val="00E06E75"/>
    <w:rsid w:val="00E06EAA"/>
    <w:rsid w:val="00E06EF3"/>
    <w:rsid w:val="00E07041"/>
    <w:rsid w:val="00E07070"/>
    <w:rsid w:val="00E07079"/>
    <w:rsid w:val="00E070EA"/>
    <w:rsid w:val="00E07177"/>
    <w:rsid w:val="00E07388"/>
    <w:rsid w:val="00E07464"/>
    <w:rsid w:val="00E07466"/>
    <w:rsid w:val="00E0749C"/>
    <w:rsid w:val="00E074C7"/>
    <w:rsid w:val="00E0753D"/>
    <w:rsid w:val="00E0756A"/>
    <w:rsid w:val="00E075E4"/>
    <w:rsid w:val="00E0764D"/>
    <w:rsid w:val="00E07927"/>
    <w:rsid w:val="00E07C06"/>
    <w:rsid w:val="00E07C3E"/>
    <w:rsid w:val="00E07CC3"/>
    <w:rsid w:val="00E07CF2"/>
    <w:rsid w:val="00E07D41"/>
    <w:rsid w:val="00E07E09"/>
    <w:rsid w:val="00E07EBF"/>
    <w:rsid w:val="00E07FEA"/>
    <w:rsid w:val="00E1010C"/>
    <w:rsid w:val="00E101A9"/>
    <w:rsid w:val="00E10303"/>
    <w:rsid w:val="00E10445"/>
    <w:rsid w:val="00E1054B"/>
    <w:rsid w:val="00E105EE"/>
    <w:rsid w:val="00E1075F"/>
    <w:rsid w:val="00E1078C"/>
    <w:rsid w:val="00E107AB"/>
    <w:rsid w:val="00E108AF"/>
    <w:rsid w:val="00E10907"/>
    <w:rsid w:val="00E10941"/>
    <w:rsid w:val="00E10B04"/>
    <w:rsid w:val="00E10B82"/>
    <w:rsid w:val="00E10C04"/>
    <w:rsid w:val="00E10C0E"/>
    <w:rsid w:val="00E10C4E"/>
    <w:rsid w:val="00E10D99"/>
    <w:rsid w:val="00E10E03"/>
    <w:rsid w:val="00E10E05"/>
    <w:rsid w:val="00E10F70"/>
    <w:rsid w:val="00E10F71"/>
    <w:rsid w:val="00E10FCA"/>
    <w:rsid w:val="00E11028"/>
    <w:rsid w:val="00E11056"/>
    <w:rsid w:val="00E1105D"/>
    <w:rsid w:val="00E110AB"/>
    <w:rsid w:val="00E110E2"/>
    <w:rsid w:val="00E111B8"/>
    <w:rsid w:val="00E112DD"/>
    <w:rsid w:val="00E1131D"/>
    <w:rsid w:val="00E11445"/>
    <w:rsid w:val="00E11449"/>
    <w:rsid w:val="00E11484"/>
    <w:rsid w:val="00E11491"/>
    <w:rsid w:val="00E114C8"/>
    <w:rsid w:val="00E115C6"/>
    <w:rsid w:val="00E115D4"/>
    <w:rsid w:val="00E11604"/>
    <w:rsid w:val="00E11621"/>
    <w:rsid w:val="00E11750"/>
    <w:rsid w:val="00E117BD"/>
    <w:rsid w:val="00E1181D"/>
    <w:rsid w:val="00E11875"/>
    <w:rsid w:val="00E1191D"/>
    <w:rsid w:val="00E11B29"/>
    <w:rsid w:val="00E11BE3"/>
    <w:rsid w:val="00E11C23"/>
    <w:rsid w:val="00E11CBE"/>
    <w:rsid w:val="00E11CD0"/>
    <w:rsid w:val="00E11CD9"/>
    <w:rsid w:val="00E11DA2"/>
    <w:rsid w:val="00E11FE7"/>
    <w:rsid w:val="00E12113"/>
    <w:rsid w:val="00E121BB"/>
    <w:rsid w:val="00E12220"/>
    <w:rsid w:val="00E12339"/>
    <w:rsid w:val="00E12382"/>
    <w:rsid w:val="00E12408"/>
    <w:rsid w:val="00E124DD"/>
    <w:rsid w:val="00E12530"/>
    <w:rsid w:val="00E1255F"/>
    <w:rsid w:val="00E125EA"/>
    <w:rsid w:val="00E1266F"/>
    <w:rsid w:val="00E127F6"/>
    <w:rsid w:val="00E12864"/>
    <w:rsid w:val="00E12894"/>
    <w:rsid w:val="00E1295D"/>
    <w:rsid w:val="00E1298C"/>
    <w:rsid w:val="00E129BE"/>
    <w:rsid w:val="00E12B3B"/>
    <w:rsid w:val="00E12B52"/>
    <w:rsid w:val="00E12DBF"/>
    <w:rsid w:val="00E12E21"/>
    <w:rsid w:val="00E12F00"/>
    <w:rsid w:val="00E12FC6"/>
    <w:rsid w:val="00E130BB"/>
    <w:rsid w:val="00E131C0"/>
    <w:rsid w:val="00E133D9"/>
    <w:rsid w:val="00E1351C"/>
    <w:rsid w:val="00E135D8"/>
    <w:rsid w:val="00E135ED"/>
    <w:rsid w:val="00E1360B"/>
    <w:rsid w:val="00E13651"/>
    <w:rsid w:val="00E13686"/>
    <w:rsid w:val="00E136C3"/>
    <w:rsid w:val="00E13814"/>
    <w:rsid w:val="00E13842"/>
    <w:rsid w:val="00E13865"/>
    <w:rsid w:val="00E138B4"/>
    <w:rsid w:val="00E13922"/>
    <w:rsid w:val="00E1393D"/>
    <w:rsid w:val="00E13ACE"/>
    <w:rsid w:val="00E13B48"/>
    <w:rsid w:val="00E13E2F"/>
    <w:rsid w:val="00E13E87"/>
    <w:rsid w:val="00E13EDB"/>
    <w:rsid w:val="00E13EF8"/>
    <w:rsid w:val="00E13F69"/>
    <w:rsid w:val="00E14078"/>
    <w:rsid w:val="00E14181"/>
    <w:rsid w:val="00E141B2"/>
    <w:rsid w:val="00E142A3"/>
    <w:rsid w:val="00E142E6"/>
    <w:rsid w:val="00E14358"/>
    <w:rsid w:val="00E1439B"/>
    <w:rsid w:val="00E143E7"/>
    <w:rsid w:val="00E1448B"/>
    <w:rsid w:val="00E14520"/>
    <w:rsid w:val="00E1455E"/>
    <w:rsid w:val="00E14577"/>
    <w:rsid w:val="00E1462D"/>
    <w:rsid w:val="00E146BE"/>
    <w:rsid w:val="00E14723"/>
    <w:rsid w:val="00E147FD"/>
    <w:rsid w:val="00E14900"/>
    <w:rsid w:val="00E14905"/>
    <w:rsid w:val="00E14A9F"/>
    <w:rsid w:val="00E14B07"/>
    <w:rsid w:val="00E14C0A"/>
    <w:rsid w:val="00E14CE3"/>
    <w:rsid w:val="00E14CEA"/>
    <w:rsid w:val="00E14D8E"/>
    <w:rsid w:val="00E14E98"/>
    <w:rsid w:val="00E14EC0"/>
    <w:rsid w:val="00E14EE5"/>
    <w:rsid w:val="00E14F26"/>
    <w:rsid w:val="00E1503C"/>
    <w:rsid w:val="00E1505D"/>
    <w:rsid w:val="00E15142"/>
    <w:rsid w:val="00E152B5"/>
    <w:rsid w:val="00E1534D"/>
    <w:rsid w:val="00E1536F"/>
    <w:rsid w:val="00E153C3"/>
    <w:rsid w:val="00E153E3"/>
    <w:rsid w:val="00E156E0"/>
    <w:rsid w:val="00E156F9"/>
    <w:rsid w:val="00E156FE"/>
    <w:rsid w:val="00E15851"/>
    <w:rsid w:val="00E1589B"/>
    <w:rsid w:val="00E158E7"/>
    <w:rsid w:val="00E15965"/>
    <w:rsid w:val="00E15985"/>
    <w:rsid w:val="00E15A20"/>
    <w:rsid w:val="00E15A50"/>
    <w:rsid w:val="00E15AB5"/>
    <w:rsid w:val="00E15AC2"/>
    <w:rsid w:val="00E15B47"/>
    <w:rsid w:val="00E15B4F"/>
    <w:rsid w:val="00E15B6C"/>
    <w:rsid w:val="00E15C02"/>
    <w:rsid w:val="00E15D05"/>
    <w:rsid w:val="00E15D85"/>
    <w:rsid w:val="00E15DE6"/>
    <w:rsid w:val="00E160D7"/>
    <w:rsid w:val="00E1612D"/>
    <w:rsid w:val="00E1616D"/>
    <w:rsid w:val="00E16174"/>
    <w:rsid w:val="00E1619B"/>
    <w:rsid w:val="00E161C4"/>
    <w:rsid w:val="00E16234"/>
    <w:rsid w:val="00E162CA"/>
    <w:rsid w:val="00E16355"/>
    <w:rsid w:val="00E16492"/>
    <w:rsid w:val="00E16674"/>
    <w:rsid w:val="00E166C8"/>
    <w:rsid w:val="00E16728"/>
    <w:rsid w:val="00E16745"/>
    <w:rsid w:val="00E167F7"/>
    <w:rsid w:val="00E1680C"/>
    <w:rsid w:val="00E16849"/>
    <w:rsid w:val="00E168A3"/>
    <w:rsid w:val="00E1694F"/>
    <w:rsid w:val="00E169A9"/>
    <w:rsid w:val="00E169DC"/>
    <w:rsid w:val="00E16B7E"/>
    <w:rsid w:val="00E16D6A"/>
    <w:rsid w:val="00E16DC9"/>
    <w:rsid w:val="00E16E62"/>
    <w:rsid w:val="00E16E66"/>
    <w:rsid w:val="00E16EDE"/>
    <w:rsid w:val="00E1705B"/>
    <w:rsid w:val="00E1707F"/>
    <w:rsid w:val="00E170B9"/>
    <w:rsid w:val="00E17198"/>
    <w:rsid w:val="00E17287"/>
    <w:rsid w:val="00E17295"/>
    <w:rsid w:val="00E172E5"/>
    <w:rsid w:val="00E1732A"/>
    <w:rsid w:val="00E173A0"/>
    <w:rsid w:val="00E17461"/>
    <w:rsid w:val="00E175DC"/>
    <w:rsid w:val="00E1768A"/>
    <w:rsid w:val="00E176D6"/>
    <w:rsid w:val="00E1773B"/>
    <w:rsid w:val="00E17788"/>
    <w:rsid w:val="00E177F6"/>
    <w:rsid w:val="00E178FE"/>
    <w:rsid w:val="00E17992"/>
    <w:rsid w:val="00E179CB"/>
    <w:rsid w:val="00E17A30"/>
    <w:rsid w:val="00E17A92"/>
    <w:rsid w:val="00E17AD0"/>
    <w:rsid w:val="00E17BDD"/>
    <w:rsid w:val="00E17C26"/>
    <w:rsid w:val="00E17D66"/>
    <w:rsid w:val="00E17D84"/>
    <w:rsid w:val="00E17E1A"/>
    <w:rsid w:val="00E17E6E"/>
    <w:rsid w:val="00E20103"/>
    <w:rsid w:val="00E201BF"/>
    <w:rsid w:val="00E201CA"/>
    <w:rsid w:val="00E2039B"/>
    <w:rsid w:val="00E203C0"/>
    <w:rsid w:val="00E20445"/>
    <w:rsid w:val="00E20467"/>
    <w:rsid w:val="00E20473"/>
    <w:rsid w:val="00E204B4"/>
    <w:rsid w:val="00E204E2"/>
    <w:rsid w:val="00E2050D"/>
    <w:rsid w:val="00E2057A"/>
    <w:rsid w:val="00E206A0"/>
    <w:rsid w:val="00E20710"/>
    <w:rsid w:val="00E20725"/>
    <w:rsid w:val="00E207A2"/>
    <w:rsid w:val="00E207B5"/>
    <w:rsid w:val="00E207F6"/>
    <w:rsid w:val="00E2091F"/>
    <w:rsid w:val="00E2097A"/>
    <w:rsid w:val="00E209BD"/>
    <w:rsid w:val="00E20A15"/>
    <w:rsid w:val="00E20A38"/>
    <w:rsid w:val="00E20ABB"/>
    <w:rsid w:val="00E20B46"/>
    <w:rsid w:val="00E20B4F"/>
    <w:rsid w:val="00E20B9D"/>
    <w:rsid w:val="00E20BB1"/>
    <w:rsid w:val="00E20BCB"/>
    <w:rsid w:val="00E20BD6"/>
    <w:rsid w:val="00E20C08"/>
    <w:rsid w:val="00E20C35"/>
    <w:rsid w:val="00E20E5E"/>
    <w:rsid w:val="00E20E85"/>
    <w:rsid w:val="00E20EB4"/>
    <w:rsid w:val="00E20F07"/>
    <w:rsid w:val="00E20F3E"/>
    <w:rsid w:val="00E20F60"/>
    <w:rsid w:val="00E2116C"/>
    <w:rsid w:val="00E2132D"/>
    <w:rsid w:val="00E2144C"/>
    <w:rsid w:val="00E214DF"/>
    <w:rsid w:val="00E2152A"/>
    <w:rsid w:val="00E2153F"/>
    <w:rsid w:val="00E2154E"/>
    <w:rsid w:val="00E2156E"/>
    <w:rsid w:val="00E21584"/>
    <w:rsid w:val="00E215C1"/>
    <w:rsid w:val="00E215DC"/>
    <w:rsid w:val="00E2179C"/>
    <w:rsid w:val="00E2184A"/>
    <w:rsid w:val="00E218AA"/>
    <w:rsid w:val="00E21A0C"/>
    <w:rsid w:val="00E21A82"/>
    <w:rsid w:val="00E21BC7"/>
    <w:rsid w:val="00E21BDE"/>
    <w:rsid w:val="00E21BE0"/>
    <w:rsid w:val="00E21C1D"/>
    <w:rsid w:val="00E21C30"/>
    <w:rsid w:val="00E21EA8"/>
    <w:rsid w:val="00E21EB7"/>
    <w:rsid w:val="00E21F00"/>
    <w:rsid w:val="00E22008"/>
    <w:rsid w:val="00E2203D"/>
    <w:rsid w:val="00E2205A"/>
    <w:rsid w:val="00E221AE"/>
    <w:rsid w:val="00E22201"/>
    <w:rsid w:val="00E223CD"/>
    <w:rsid w:val="00E22492"/>
    <w:rsid w:val="00E224AD"/>
    <w:rsid w:val="00E2253F"/>
    <w:rsid w:val="00E22606"/>
    <w:rsid w:val="00E2273D"/>
    <w:rsid w:val="00E22773"/>
    <w:rsid w:val="00E227D5"/>
    <w:rsid w:val="00E2293D"/>
    <w:rsid w:val="00E22AEB"/>
    <w:rsid w:val="00E22C74"/>
    <w:rsid w:val="00E22CBC"/>
    <w:rsid w:val="00E22CF8"/>
    <w:rsid w:val="00E22D71"/>
    <w:rsid w:val="00E22D81"/>
    <w:rsid w:val="00E22DD4"/>
    <w:rsid w:val="00E22E23"/>
    <w:rsid w:val="00E22F1E"/>
    <w:rsid w:val="00E23184"/>
    <w:rsid w:val="00E231A6"/>
    <w:rsid w:val="00E23222"/>
    <w:rsid w:val="00E2326D"/>
    <w:rsid w:val="00E2331E"/>
    <w:rsid w:val="00E2338F"/>
    <w:rsid w:val="00E233CC"/>
    <w:rsid w:val="00E233FC"/>
    <w:rsid w:val="00E234CA"/>
    <w:rsid w:val="00E234D5"/>
    <w:rsid w:val="00E234DB"/>
    <w:rsid w:val="00E234DF"/>
    <w:rsid w:val="00E2357C"/>
    <w:rsid w:val="00E235DA"/>
    <w:rsid w:val="00E2372F"/>
    <w:rsid w:val="00E2378A"/>
    <w:rsid w:val="00E23827"/>
    <w:rsid w:val="00E23841"/>
    <w:rsid w:val="00E2384A"/>
    <w:rsid w:val="00E238B1"/>
    <w:rsid w:val="00E238CC"/>
    <w:rsid w:val="00E23A99"/>
    <w:rsid w:val="00E23BB8"/>
    <w:rsid w:val="00E23BC9"/>
    <w:rsid w:val="00E23C01"/>
    <w:rsid w:val="00E23C4E"/>
    <w:rsid w:val="00E23D18"/>
    <w:rsid w:val="00E23D6C"/>
    <w:rsid w:val="00E23EC1"/>
    <w:rsid w:val="00E23EED"/>
    <w:rsid w:val="00E23F0E"/>
    <w:rsid w:val="00E23F9B"/>
    <w:rsid w:val="00E23FF5"/>
    <w:rsid w:val="00E240BF"/>
    <w:rsid w:val="00E24250"/>
    <w:rsid w:val="00E24274"/>
    <w:rsid w:val="00E242A5"/>
    <w:rsid w:val="00E242C5"/>
    <w:rsid w:val="00E24386"/>
    <w:rsid w:val="00E243A6"/>
    <w:rsid w:val="00E244D5"/>
    <w:rsid w:val="00E2450E"/>
    <w:rsid w:val="00E24575"/>
    <w:rsid w:val="00E245FF"/>
    <w:rsid w:val="00E24713"/>
    <w:rsid w:val="00E2480E"/>
    <w:rsid w:val="00E2489B"/>
    <w:rsid w:val="00E24936"/>
    <w:rsid w:val="00E249B5"/>
    <w:rsid w:val="00E24A94"/>
    <w:rsid w:val="00E24B4A"/>
    <w:rsid w:val="00E24BA6"/>
    <w:rsid w:val="00E24C31"/>
    <w:rsid w:val="00E24C9D"/>
    <w:rsid w:val="00E24CE1"/>
    <w:rsid w:val="00E24D42"/>
    <w:rsid w:val="00E24E60"/>
    <w:rsid w:val="00E24EA3"/>
    <w:rsid w:val="00E24EBD"/>
    <w:rsid w:val="00E250B4"/>
    <w:rsid w:val="00E250F6"/>
    <w:rsid w:val="00E25202"/>
    <w:rsid w:val="00E25251"/>
    <w:rsid w:val="00E252C0"/>
    <w:rsid w:val="00E25331"/>
    <w:rsid w:val="00E255FD"/>
    <w:rsid w:val="00E25621"/>
    <w:rsid w:val="00E25668"/>
    <w:rsid w:val="00E25678"/>
    <w:rsid w:val="00E2567B"/>
    <w:rsid w:val="00E25758"/>
    <w:rsid w:val="00E257DE"/>
    <w:rsid w:val="00E25868"/>
    <w:rsid w:val="00E25898"/>
    <w:rsid w:val="00E2591D"/>
    <w:rsid w:val="00E2596C"/>
    <w:rsid w:val="00E259F0"/>
    <w:rsid w:val="00E25A26"/>
    <w:rsid w:val="00E25B33"/>
    <w:rsid w:val="00E25B44"/>
    <w:rsid w:val="00E25C01"/>
    <w:rsid w:val="00E25C2D"/>
    <w:rsid w:val="00E25C3F"/>
    <w:rsid w:val="00E25C90"/>
    <w:rsid w:val="00E25CA8"/>
    <w:rsid w:val="00E25D93"/>
    <w:rsid w:val="00E25D94"/>
    <w:rsid w:val="00E25DBA"/>
    <w:rsid w:val="00E25E55"/>
    <w:rsid w:val="00E26053"/>
    <w:rsid w:val="00E260A1"/>
    <w:rsid w:val="00E26117"/>
    <w:rsid w:val="00E26136"/>
    <w:rsid w:val="00E26159"/>
    <w:rsid w:val="00E261A2"/>
    <w:rsid w:val="00E261EA"/>
    <w:rsid w:val="00E2650D"/>
    <w:rsid w:val="00E26576"/>
    <w:rsid w:val="00E265F0"/>
    <w:rsid w:val="00E267F3"/>
    <w:rsid w:val="00E26831"/>
    <w:rsid w:val="00E268A3"/>
    <w:rsid w:val="00E268A7"/>
    <w:rsid w:val="00E269DC"/>
    <w:rsid w:val="00E26A5A"/>
    <w:rsid w:val="00E26A5F"/>
    <w:rsid w:val="00E26AA8"/>
    <w:rsid w:val="00E26ABB"/>
    <w:rsid w:val="00E26BAE"/>
    <w:rsid w:val="00E26BCF"/>
    <w:rsid w:val="00E26BEE"/>
    <w:rsid w:val="00E26BFD"/>
    <w:rsid w:val="00E26C76"/>
    <w:rsid w:val="00E26D0C"/>
    <w:rsid w:val="00E26DC1"/>
    <w:rsid w:val="00E26E4C"/>
    <w:rsid w:val="00E26F36"/>
    <w:rsid w:val="00E27213"/>
    <w:rsid w:val="00E2725F"/>
    <w:rsid w:val="00E27323"/>
    <w:rsid w:val="00E2739A"/>
    <w:rsid w:val="00E273E6"/>
    <w:rsid w:val="00E2745A"/>
    <w:rsid w:val="00E2745D"/>
    <w:rsid w:val="00E27503"/>
    <w:rsid w:val="00E2766D"/>
    <w:rsid w:val="00E27771"/>
    <w:rsid w:val="00E27798"/>
    <w:rsid w:val="00E27811"/>
    <w:rsid w:val="00E27862"/>
    <w:rsid w:val="00E278A4"/>
    <w:rsid w:val="00E278C4"/>
    <w:rsid w:val="00E27908"/>
    <w:rsid w:val="00E27958"/>
    <w:rsid w:val="00E27A2C"/>
    <w:rsid w:val="00E27B2E"/>
    <w:rsid w:val="00E27CC1"/>
    <w:rsid w:val="00E27D60"/>
    <w:rsid w:val="00E27D69"/>
    <w:rsid w:val="00E27D78"/>
    <w:rsid w:val="00E27DEA"/>
    <w:rsid w:val="00E27E03"/>
    <w:rsid w:val="00E27EC3"/>
    <w:rsid w:val="00E27F39"/>
    <w:rsid w:val="00E27F75"/>
    <w:rsid w:val="00E27FF3"/>
    <w:rsid w:val="00E27FF4"/>
    <w:rsid w:val="00E30028"/>
    <w:rsid w:val="00E302CD"/>
    <w:rsid w:val="00E3035C"/>
    <w:rsid w:val="00E30406"/>
    <w:rsid w:val="00E30419"/>
    <w:rsid w:val="00E304B2"/>
    <w:rsid w:val="00E304DD"/>
    <w:rsid w:val="00E306A3"/>
    <w:rsid w:val="00E3083F"/>
    <w:rsid w:val="00E308BD"/>
    <w:rsid w:val="00E308E1"/>
    <w:rsid w:val="00E308F2"/>
    <w:rsid w:val="00E30928"/>
    <w:rsid w:val="00E309B6"/>
    <w:rsid w:val="00E309D1"/>
    <w:rsid w:val="00E309DB"/>
    <w:rsid w:val="00E30B54"/>
    <w:rsid w:val="00E30B7E"/>
    <w:rsid w:val="00E30BD0"/>
    <w:rsid w:val="00E30C3F"/>
    <w:rsid w:val="00E30DB8"/>
    <w:rsid w:val="00E30ECD"/>
    <w:rsid w:val="00E30FB3"/>
    <w:rsid w:val="00E30FE4"/>
    <w:rsid w:val="00E3111F"/>
    <w:rsid w:val="00E3122C"/>
    <w:rsid w:val="00E31255"/>
    <w:rsid w:val="00E3128D"/>
    <w:rsid w:val="00E312DA"/>
    <w:rsid w:val="00E3132E"/>
    <w:rsid w:val="00E3147E"/>
    <w:rsid w:val="00E31494"/>
    <w:rsid w:val="00E314BB"/>
    <w:rsid w:val="00E314E4"/>
    <w:rsid w:val="00E31589"/>
    <w:rsid w:val="00E3173E"/>
    <w:rsid w:val="00E31766"/>
    <w:rsid w:val="00E31777"/>
    <w:rsid w:val="00E3180E"/>
    <w:rsid w:val="00E31896"/>
    <w:rsid w:val="00E31936"/>
    <w:rsid w:val="00E3199F"/>
    <w:rsid w:val="00E319A7"/>
    <w:rsid w:val="00E319AB"/>
    <w:rsid w:val="00E31A40"/>
    <w:rsid w:val="00E31AD3"/>
    <w:rsid w:val="00E31B0F"/>
    <w:rsid w:val="00E31B40"/>
    <w:rsid w:val="00E31C48"/>
    <w:rsid w:val="00E31D20"/>
    <w:rsid w:val="00E31D2B"/>
    <w:rsid w:val="00E31D6F"/>
    <w:rsid w:val="00E31DB4"/>
    <w:rsid w:val="00E31DF5"/>
    <w:rsid w:val="00E31EC6"/>
    <w:rsid w:val="00E31ECB"/>
    <w:rsid w:val="00E31F75"/>
    <w:rsid w:val="00E31FAE"/>
    <w:rsid w:val="00E31FC0"/>
    <w:rsid w:val="00E31FC6"/>
    <w:rsid w:val="00E3208E"/>
    <w:rsid w:val="00E3215E"/>
    <w:rsid w:val="00E3219A"/>
    <w:rsid w:val="00E32220"/>
    <w:rsid w:val="00E3232F"/>
    <w:rsid w:val="00E32392"/>
    <w:rsid w:val="00E32396"/>
    <w:rsid w:val="00E323EB"/>
    <w:rsid w:val="00E32477"/>
    <w:rsid w:val="00E32527"/>
    <w:rsid w:val="00E325B8"/>
    <w:rsid w:val="00E325CC"/>
    <w:rsid w:val="00E325D1"/>
    <w:rsid w:val="00E326BC"/>
    <w:rsid w:val="00E326DE"/>
    <w:rsid w:val="00E327DB"/>
    <w:rsid w:val="00E328A1"/>
    <w:rsid w:val="00E32989"/>
    <w:rsid w:val="00E329D8"/>
    <w:rsid w:val="00E32A30"/>
    <w:rsid w:val="00E32A7C"/>
    <w:rsid w:val="00E32AF4"/>
    <w:rsid w:val="00E32AFD"/>
    <w:rsid w:val="00E32CB1"/>
    <w:rsid w:val="00E32CB7"/>
    <w:rsid w:val="00E32E1D"/>
    <w:rsid w:val="00E32E83"/>
    <w:rsid w:val="00E32F6B"/>
    <w:rsid w:val="00E32F6C"/>
    <w:rsid w:val="00E33061"/>
    <w:rsid w:val="00E33079"/>
    <w:rsid w:val="00E33082"/>
    <w:rsid w:val="00E330AC"/>
    <w:rsid w:val="00E33164"/>
    <w:rsid w:val="00E331A0"/>
    <w:rsid w:val="00E331A6"/>
    <w:rsid w:val="00E331D2"/>
    <w:rsid w:val="00E33463"/>
    <w:rsid w:val="00E3349F"/>
    <w:rsid w:val="00E3356B"/>
    <w:rsid w:val="00E3361D"/>
    <w:rsid w:val="00E336E8"/>
    <w:rsid w:val="00E336F8"/>
    <w:rsid w:val="00E337C8"/>
    <w:rsid w:val="00E337ED"/>
    <w:rsid w:val="00E3392D"/>
    <w:rsid w:val="00E339E3"/>
    <w:rsid w:val="00E339F8"/>
    <w:rsid w:val="00E33AC3"/>
    <w:rsid w:val="00E33AEB"/>
    <w:rsid w:val="00E33BD7"/>
    <w:rsid w:val="00E33C8A"/>
    <w:rsid w:val="00E33CA8"/>
    <w:rsid w:val="00E33CD8"/>
    <w:rsid w:val="00E33D0B"/>
    <w:rsid w:val="00E33D1D"/>
    <w:rsid w:val="00E33DAC"/>
    <w:rsid w:val="00E33DCB"/>
    <w:rsid w:val="00E33E80"/>
    <w:rsid w:val="00E33E88"/>
    <w:rsid w:val="00E33E93"/>
    <w:rsid w:val="00E33F0C"/>
    <w:rsid w:val="00E33F62"/>
    <w:rsid w:val="00E34012"/>
    <w:rsid w:val="00E3404B"/>
    <w:rsid w:val="00E340B3"/>
    <w:rsid w:val="00E3417B"/>
    <w:rsid w:val="00E34486"/>
    <w:rsid w:val="00E344A7"/>
    <w:rsid w:val="00E34512"/>
    <w:rsid w:val="00E34555"/>
    <w:rsid w:val="00E345DF"/>
    <w:rsid w:val="00E34623"/>
    <w:rsid w:val="00E347E8"/>
    <w:rsid w:val="00E3480C"/>
    <w:rsid w:val="00E34997"/>
    <w:rsid w:val="00E34A92"/>
    <w:rsid w:val="00E34A9B"/>
    <w:rsid w:val="00E34AC3"/>
    <w:rsid w:val="00E34B9F"/>
    <w:rsid w:val="00E34C0B"/>
    <w:rsid w:val="00E34C62"/>
    <w:rsid w:val="00E34E3E"/>
    <w:rsid w:val="00E34E73"/>
    <w:rsid w:val="00E34EF8"/>
    <w:rsid w:val="00E34F92"/>
    <w:rsid w:val="00E35419"/>
    <w:rsid w:val="00E35582"/>
    <w:rsid w:val="00E355D8"/>
    <w:rsid w:val="00E356C9"/>
    <w:rsid w:val="00E356E7"/>
    <w:rsid w:val="00E3577D"/>
    <w:rsid w:val="00E357B3"/>
    <w:rsid w:val="00E357E7"/>
    <w:rsid w:val="00E3585C"/>
    <w:rsid w:val="00E358D1"/>
    <w:rsid w:val="00E35984"/>
    <w:rsid w:val="00E35997"/>
    <w:rsid w:val="00E35A4B"/>
    <w:rsid w:val="00E35AA1"/>
    <w:rsid w:val="00E35C06"/>
    <w:rsid w:val="00E35DF7"/>
    <w:rsid w:val="00E35EA7"/>
    <w:rsid w:val="00E35F1D"/>
    <w:rsid w:val="00E35F57"/>
    <w:rsid w:val="00E35FF5"/>
    <w:rsid w:val="00E36015"/>
    <w:rsid w:val="00E3610F"/>
    <w:rsid w:val="00E3613E"/>
    <w:rsid w:val="00E3616F"/>
    <w:rsid w:val="00E36179"/>
    <w:rsid w:val="00E3620C"/>
    <w:rsid w:val="00E3624D"/>
    <w:rsid w:val="00E36255"/>
    <w:rsid w:val="00E3625C"/>
    <w:rsid w:val="00E362DC"/>
    <w:rsid w:val="00E3631B"/>
    <w:rsid w:val="00E36410"/>
    <w:rsid w:val="00E36525"/>
    <w:rsid w:val="00E365AF"/>
    <w:rsid w:val="00E3663C"/>
    <w:rsid w:val="00E3677D"/>
    <w:rsid w:val="00E367D1"/>
    <w:rsid w:val="00E367F1"/>
    <w:rsid w:val="00E36830"/>
    <w:rsid w:val="00E36847"/>
    <w:rsid w:val="00E3684C"/>
    <w:rsid w:val="00E368BF"/>
    <w:rsid w:val="00E368C2"/>
    <w:rsid w:val="00E36955"/>
    <w:rsid w:val="00E369E1"/>
    <w:rsid w:val="00E36ABB"/>
    <w:rsid w:val="00E36E9D"/>
    <w:rsid w:val="00E36FD8"/>
    <w:rsid w:val="00E37064"/>
    <w:rsid w:val="00E37213"/>
    <w:rsid w:val="00E372B3"/>
    <w:rsid w:val="00E37307"/>
    <w:rsid w:val="00E373BD"/>
    <w:rsid w:val="00E374F9"/>
    <w:rsid w:val="00E37588"/>
    <w:rsid w:val="00E37641"/>
    <w:rsid w:val="00E3764F"/>
    <w:rsid w:val="00E37654"/>
    <w:rsid w:val="00E376E0"/>
    <w:rsid w:val="00E376F3"/>
    <w:rsid w:val="00E37740"/>
    <w:rsid w:val="00E37741"/>
    <w:rsid w:val="00E377B5"/>
    <w:rsid w:val="00E377C2"/>
    <w:rsid w:val="00E37B3E"/>
    <w:rsid w:val="00E37BCB"/>
    <w:rsid w:val="00E37BF8"/>
    <w:rsid w:val="00E37CA5"/>
    <w:rsid w:val="00E37CE7"/>
    <w:rsid w:val="00E37DBF"/>
    <w:rsid w:val="00E37DC0"/>
    <w:rsid w:val="00E37FFE"/>
    <w:rsid w:val="00E40028"/>
    <w:rsid w:val="00E4003A"/>
    <w:rsid w:val="00E40184"/>
    <w:rsid w:val="00E40296"/>
    <w:rsid w:val="00E402F0"/>
    <w:rsid w:val="00E40316"/>
    <w:rsid w:val="00E40382"/>
    <w:rsid w:val="00E403FA"/>
    <w:rsid w:val="00E4042E"/>
    <w:rsid w:val="00E40477"/>
    <w:rsid w:val="00E4055A"/>
    <w:rsid w:val="00E40673"/>
    <w:rsid w:val="00E40866"/>
    <w:rsid w:val="00E40930"/>
    <w:rsid w:val="00E40D09"/>
    <w:rsid w:val="00E40DB3"/>
    <w:rsid w:val="00E40DFD"/>
    <w:rsid w:val="00E40E6D"/>
    <w:rsid w:val="00E40FAB"/>
    <w:rsid w:val="00E41019"/>
    <w:rsid w:val="00E41145"/>
    <w:rsid w:val="00E41179"/>
    <w:rsid w:val="00E411DA"/>
    <w:rsid w:val="00E41203"/>
    <w:rsid w:val="00E41208"/>
    <w:rsid w:val="00E41272"/>
    <w:rsid w:val="00E4128E"/>
    <w:rsid w:val="00E41343"/>
    <w:rsid w:val="00E413EB"/>
    <w:rsid w:val="00E4142B"/>
    <w:rsid w:val="00E414F8"/>
    <w:rsid w:val="00E4179A"/>
    <w:rsid w:val="00E417F9"/>
    <w:rsid w:val="00E41816"/>
    <w:rsid w:val="00E41884"/>
    <w:rsid w:val="00E418E1"/>
    <w:rsid w:val="00E41ADA"/>
    <w:rsid w:val="00E41BB7"/>
    <w:rsid w:val="00E41BD3"/>
    <w:rsid w:val="00E41D99"/>
    <w:rsid w:val="00E41DD4"/>
    <w:rsid w:val="00E41E10"/>
    <w:rsid w:val="00E41E3F"/>
    <w:rsid w:val="00E41E5F"/>
    <w:rsid w:val="00E41EA2"/>
    <w:rsid w:val="00E41FDF"/>
    <w:rsid w:val="00E420B2"/>
    <w:rsid w:val="00E42148"/>
    <w:rsid w:val="00E421B2"/>
    <w:rsid w:val="00E4229A"/>
    <w:rsid w:val="00E42385"/>
    <w:rsid w:val="00E4242D"/>
    <w:rsid w:val="00E4252E"/>
    <w:rsid w:val="00E42572"/>
    <w:rsid w:val="00E42811"/>
    <w:rsid w:val="00E42862"/>
    <w:rsid w:val="00E428F1"/>
    <w:rsid w:val="00E4291E"/>
    <w:rsid w:val="00E4295F"/>
    <w:rsid w:val="00E42985"/>
    <w:rsid w:val="00E42AA2"/>
    <w:rsid w:val="00E42B2B"/>
    <w:rsid w:val="00E42C40"/>
    <w:rsid w:val="00E42CA1"/>
    <w:rsid w:val="00E42E0C"/>
    <w:rsid w:val="00E42F29"/>
    <w:rsid w:val="00E4300B"/>
    <w:rsid w:val="00E431BA"/>
    <w:rsid w:val="00E431D0"/>
    <w:rsid w:val="00E43247"/>
    <w:rsid w:val="00E432CC"/>
    <w:rsid w:val="00E432E8"/>
    <w:rsid w:val="00E43368"/>
    <w:rsid w:val="00E433DE"/>
    <w:rsid w:val="00E433ED"/>
    <w:rsid w:val="00E43405"/>
    <w:rsid w:val="00E434A3"/>
    <w:rsid w:val="00E434B4"/>
    <w:rsid w:val="00E43532"/>
    <w:rsid w:val="00E43549"/>
    <w:rsid w:val="00E435AE"/>
    <w:rsid w:val="00E435BB"/>
    <w:rsid w:val="00E435E3"/>
    <w:rsid w:val="00E435E7"/>
    <w:rsid w:val="00E4364A"/>
    <w:rsid w:val="00E43654"/>
    <w:rsid w:val="00E436C2"/>
    <w:rsid w:val="00E436D5"/>
    <w:rsid w:val="00E437B8"/>
    <w:rsid w:val="00E43807"/>
    <w:rsid w:val="00E43984"/>
    <w:rsid w:val="00E43A57"/>
    <w:rsid w:val="00E43AC9"/>
    <w:rsid w:val="00E43AD9"/>
    <w:rsid w:val="00E43BE6"/>
    <w:rsid w:val="00E43C41"/>
    <w:rsid w:val="00E43C70"/>
    <w:rsid w:val="00E43CA8"/>
    <w:rsid w:val="00E43CDC"/>
    <w:rsid w:val="00E4414E"/>
    <w:rsid w:val="00E442DA"/>
    <w:rsid w:val="00E44394"/>
    <w:rsid w:val="00E44498"/>
    <w:rsid w:val="00E445FC"/>
    <w:rsid w:val="00E446E5"/>
    <w:rsid w:val="00E446EB"/>
    <w:rsid w:val="00E447CB"/>
    <w:rsid w:val="00E4484F"/>
    <w:rsid w:val="00E4487E"/>
    <w:rsid w:val="00E448A0"/>
    <w:rsid w:val="00E44930"/>
    <w:rsid w:val="00E4494B"/>
    <w:rsid w:val="00E44A5A"/>
    <w:rsid w:val="00E44B40"/>
    <w:rsid w:val="00E44C1C"/>
    <w:rsid w:val="00E44C4F"/>
    <w:rsid w:val="00E44C63"/>
    <w:rsid w:val="00E44CC0"/>
    <w:rsid w:val="00E44CD0"/>
    <w:rsid w:val="00E44E60"/>
    <w:rsid w:val="00E44E93"/>
    <w:rsid w:val="00E44ECA"/>
    <w:rsid w:val="00E44F97"/>
    <w:rsid w:val="00E451FF"/>
    <w:rsid w:val="00E45242"/>
    <w:rsid w:val="00E45298"/>
    <w:rsid w:val="00E4535B"/>
    <w:rsid w:val="00E4543C"/>
    <w:rsid w:val="00E45480"/>
    <w:rsid w:val="00E455BD"/>
    <w:rsid w:val="00E45847"/>
    <w:rsid w:val="00E458F5"/>
    <w:rsid w:val="00E4594E"/>
    <w:rsid w:val="00E45957"/>
    <w:rsid w:val="00E459B1"/>
    <w:rsid w:val="00E459D4"/>
    <w:rsid w:val="00E45A4B"/>
    <w:rsid w:val="00E45AE2"/>
    <w:rsid w:val="00E45AF5"/>
    <w:rsid w:val="00E45B4F"/>
    <w:rsid w:val="00E45B6D"/>
    <w:rsid w:val="00E45BED"/>
    <w:rsid w:val="00E45C08"/>
    <w:rsid w:val="00E45C21"/>
    <w:rsid w:val="00E45C30"/>
    <w:rsid w:val="00E45C8A"/>
    <w:rsid w:val="00E45CC9"/>
    <w:rsid w:val="00E45D6D"/>
    <w:rsid w:val="00E45DD6"/>
    <w:rsid w:val="00E45FC5"/>
    <w:rsid w:val="00E46080"/>
    <w:rsid w:val="00E4611B"/>
    <w:rsid w:val="00E461FB"/>
    <w:rsid w:val="00E46211"/>
    <w:rsid w:val="00E462A2"/>
    <w:rsid w:val="00E462C7"/>
    <w:rsid w:val="00E463A8"/>
    <w:rsid w:val="00E46523"/>
    <w:rsid w:val="00E468D3"/>
    <w:rsid w:val="00E468E1"/>
    <w:rsid w:val="00E4690C"/>
    <w:rsid w:val="00E46928"/>
    <w:rsid w:val="00E46930"/>
    <w:rsid w:val="00E469CC"/>
    <w:rsid w:val="00E469E1"/>
    <w:rsid w:val="00E46ABC"/>
    <w:rsid w:val="00E46C0A"/>
    <w:rsid w:val="00E46C69"/>
    <w:rsid w:val="00E46CE5"/>
    <w:rsid w:val="00E46D95"/>
    <w:rsid w:val="00E46D9B"/>
    <w:rsid w:val="00E46F28"/>
    <w:rsid w:val="00E46F49"/>
    <w:rsid w:val="00E47073"/>
    <w:rsid w:val="00E47162"/>
    <w:rsid w:val="00E47204"/>
    <w:rsid w:val="00E472DB"/>
    <w:rsid w:val="00E473CD"/>
    <w:rsid w:val="00E47449"/>
    <w:rsid w:val="00E474A6"/>
    <w:rsid w:val="00E475E8"/>
    <w:rsid w:val="00E476AC"/>
    <w:rsid w:val="00E4775F"/>
    <w:rsid w:val="00E477A8"/>
    <w:rsid w:val="00E47808"/>
    <w:rsid w:val="00E4788D"/>
    <w:rsid w:val="00E478A7"/>
    <w:rsid w:val="00E478C5"/>
    <w:rsid w:val="00E478F6"/>
    <w:rsid w:val="00E47D4C"/>
    <w:rsid w:val="00E47D90"/>
    <w:rsid w:val="00E47DA5"/>
    <w:rsid w:val="00E47F33"/>
    <w:rsid w:val="00E47FE6"/>
    <w:rsid w:val="00E5012B"/>
    <w:rsid w:val="00E502B8"/>
    <w:rsid w:val="00E502F8"/>
    <w:rsid w:val="00E5046A"/>
    <w:rsid w:val="00E50521"/>
    <w:rsid w:val="00E50589"/>
    <w:rsid w:val="00E5078F"/>
    <w:rsid w:val="00E508B6"/>
    <w:rsid w:val="00E508BE"/>
    <w:rsid w:val="00E50903"/>
    <w:rsid w:val="00E50ABF"/>
    <w:rsid w:val="00E50B3F"/>
    <w:rsid w:val="00E50B8E"/>
    <w:rsid w:val="00E50D4E"/>
    <w:rsid w:val="00E50E83"/>
    <w:rsid w:val="00E50EEB"/>
    <w:rsid w:val="00E50F31"/>
    <w:rsid w:val="00E50F45"/>
    <w:rsid w:val="00E50F97"/>
    <w:rsid w:val="00E50F9A"/>
    <w:rsid w:val="00E51034"/>
    <w:rsid w:val="00E511BA"/>
    <w:rsid w:val="00E512BD"/>
    <w:rsid w:val="00E5130E"/>
    <w:rsid w:val="00E51511"/>
    <w:rsid w:val="00E515AC"/>
    <w:rsid w:val="00E515C3"/>
    <w:rsid w:val="00E515DF"/>
    <w:rsid w:val="00E51644"/>
    <w:rsid w:val="00E5166B"/>
    <w:rsid w:val="00E516AB"/>
    <w:rsid w:val="00E51716"/>
    <w:rsid w:val="00E51779"/>
    <w:rsid w:val="00E51B2D"/>
    <w:rsid w:val="00E51B89"/>
    <w:rsid w:val="00E51C97"/>
    <w:rsid w:val="00E51D63"/>
    <w:rsid w:val="00E51D72"/>
    <w:rsid w:val="00E51DCD"/>
    <w:rsid w:val="00E51E33"/>
    <w:rsid w:val="00E51E54"/>
    <w:rsid w:val="00E51E57"/>
    <w:rsid w:val="00E51EF0"/>
    <w:rsid w:val="00E51F3B"/>
    <w:rsid w:val="00E5200A"/>
    <w:rsid w:val="00E52138"/>
    <w:rsid w:val="00E5214D"/>
    <w:rsid w:val="00E5218B"/>
    <w:rsid w:val="00E5222D"/>
    <w:rsid w:val="00E52293"/>
    <w:rsid w:val="00E52351"/>
    <w:rsid w:val="00E5240D"/>
    <w:rsid w:val="00E52491"/>
    <w:rsid w:val="00E52502"/>
    <w:rsid w:val="00E52529"/>
    <w:rsid w:val="00E52560"/>
    <w:rsid w:val="00E525B7"/>
    <w:rsid w:val="00E52683"/>
    <w:rsid w:val="00E52746"/>
    <w:rsid w:val="00E528B2"/>
    <w:rsid w:val="00E5296C"/>
    <w:rsid w:val="00E52A82"/>
    <w:rsid w:val="00E52AB2"/>
    <w:rsid w:val="00E52B8E"/>
    <w:rsid w:val="00E52C14"/>
    <w:rsid w:val="00E52CAF"/>
    <w:rsid w:val="00E52E32"/>
    <w:rsid w:val="00E52E8A"/>
    <w:rsid w:val="00E52EB1"/>
    <w:rsid w:val="00E52EC1"/>
    <w:rsid w:val="00E52EC2"/>
    <w:rsid w:val="00E52FD8"/>
    <w:rsid w:val="00E5324D"/>
    <w:rsid w:val="00E53314"/>
    <w:rsid w:val="00E533D6"/>
    <w:rsid w:val="00E533ED"/>
    <w:rsid w:val="00E53423"/>
    <w:rsid w:val="00E5344F"/>
    <w:rsid w:val="00E5346E"/>
    <w:rsid w:val="00E534ED"/>
    <w:rsid w:val="00E5359F"/>
    <w:rsid w:val="00E535CB"/>
    <w:rsid w:val="00E535EB"/>
    <w:rsid w:val="00E536E8"/>
    <w:rsid w:val="00E53737"/>
    <w:rsid w:val="00E537CB"/>
    <w:rsid w:val="00E53853"/>
    <w:rsid w:val="00E53877"/>
    <w:rsid w:val="00E538A5"/>
    <w:rsid w:val="00E538B6"/>
    <w:rsid w:val="00E5393D"/>
    <w:rsid w:val="00E53941"/>
    <w:rsid w:val="00E53A11"/>
    <w:rsid w:val="00E53B9B"/>
    <w:rsid w:val="00E53BB3"/>
    <w:rsid w:val="00E53C74"/>
    <w:rsid w:val="00E53D8D"/>
    <w:rsid w:val="00E53DB0"/>
    <w:rsid w:val="00E53E23"/>
    <w:rsid w:val="00E53E95"/>
    <w:rsid w:val="00E53ED9"/>
    <w:rsid w:val="00E53F39"/>
    <w:rsid w:val="00E53FCB"/>
    <w:rsid w:val="00E53FE5"/>
    <w:rsid w:val="00E54330"/>
    <w:rsid w:val="00E5450E"/>
    <w:rsid w:val="00E54544"/>
    <w:rsid w:val="00E54554"/>
    <w:rsid w:val="00E545A0"/>
    <w:rsid w:val="00E5460C"/>
    <w:rsid w:val="00E54652"/>
    <w:rsid w:val="00E54669"/>
    <w:rsid w:val="00E546A6"/>
    <w:rsid w:val="00E5477F"/>
    <w:rsid w:val="00E547C3"/>
    <w:rsid w:val="00E54817"/>
    <w:rsid w:val="00E54871"/>
    <w:rsid w:val="00E549D5"/>
    <w:rsid w:val="00E549E6"/>
    <w:rsid w:val="00E54B3C"/>
    <w:rsid w:val="00E54BF5"/>
    <w:rsid w:val="00E54BF8"/>
    <w:rsid w:val="00E54D95"/>
    <w:rsid w:val="00E54DEB"/>
    <w:rsid w:val="00E54F99"/>
    <w:rsid w:val="00E54FFC"/>
    <w:rsid w:val="00E55090"/>
    <w:rsid w:val="00E5510D"/>
    <w:rsid w:val="00E55420"/>
    <w:rsid w:val="00E55438"/>
    <w:rsid w:val="00E55478"/>
    <w:rsid w:val="00E55608"/>
    <w:rsid w:val="00E5560D"/>
    <w:rsid w:val="00E55627"/>
    <w:rsid w:val="00E5569B"/>
    <w:rsid w:val="00E556D9"/>
    <w:rsid w:val="00E55752"/>
    <w:rsid w:val="00E55778"/>
    <w:rsid w:val="00E55825"/>
    <w:rsid w:val="00E55845"/>
    <w:rsid w:val="00E55863"/>
    <w:rsid w:val="00E559DE"/>
    <w:rsid w:val="00E55A1F"/>
    <w:rsid w:val="00E55AA8"/>
    <w:rsid w:val="00E55C65"/>
    <w:rsid w:val="00E55D57"/>
    <w:rsid w:val="00E55D5A"/>
    <w:rsid w:val="00E55EA5"/>
    <w:rsid w:val="00E55F0F"/>
    <w:rsid w:val="00E55F7E"/>
    <w:rsid w:val="00E55F91"/>
    <w:rsid w:val="00E5604B"/>
    <w:rsid w:val="00E56172"/>
    <w:rsid w:val="00E5617D"/>
    <w:rsid w:val="00E56200"/>
    <w:rsid w:val="00E56223"/>
    <w:rsid w:val="00E56229"/>
    <w:rsid w:val="00E56233"/>
    <w:rsid w:val="00E562FE"/>
    <w:rsid w:val="00E563F6"/>
    <w:rsid w:val="00E56632"/>
    <w:rsid w:val="00E5663D"/>
    <w:rsid w:val="00E5665D"/>
    <w:rsid w:val="00E566A6"/>
    <w:rsid w:val="00E5676E"/>
    <w:rsid w:val="00E56838"/>
    <w:rsid w:val="00E5686F"/>
    <w:rsid w:val="00E568C6"/>
    <w:rsid w:val="00E56913"/>
    <w:rsid w:val="00E569D1"/>
    <w:rsid w:val="00E569E1"/>
    <w:rsid w:val="00E56ABC"/>
    <w:rsid w:val="00E56AF3"/>
    <w:rsid w:val="00E56B6E"/>
    <w:rsid w:val="00E56C2E"/>
    <w:rsid w:val="00E56C31"/>
    <w:rsid w:val="00E56C4C"/>
    <w:rsid w:val="00E56CEA"/>
    <w:rsid w:val="00E56D19"/>
    <w:rsid w:val="00E56DEA"/>
    <w:rsid w:val="00E56E86"/>
    <w:rsid w:val="00E56EEF"/>
    <w:rsid w:val="00E56F1C"/>
    <w:rsid w:val="00E56F55"/>
    <w:rsid w:val="00E56F66"/>
    <w:rsid w:val="00E56F6C"/>
    <w:rsid w:val="00E56F87"/>
    <w:rsid w:val="00E56FAE"/>
    <w:rsid w:val="00E56FB6"/>
    <w:rsid w:val="00E570CF"/>
    <w:rsid w:val="00E5712D"/>
    <w:rsid w:val="00E57130"/>
    <w:rsid w:val="00E57178"/>
    <w:rsid w:val="00E5723A"/>
    <w:rsid w:val="00E572AD"/>
    <w:rsid w:val="00E572B3"/>
    <w:rsid w:val="00E572C8"/>
    <w:rsid w:val="00E57398"/>
    <w:rsid w:val="00E5754E"/>
    <w:rsid w:val="00E575AD"/>
    <w:rsid w:val="00E576C1"/>
    <w:rsid w:val="00E57717"/>
    <w:rsid w:val="00E57778"/>
    <w:rsid w:val="00E577F2"/>
    <w:rsid w:val="00E5785E"/>
    <w:rsid w:val="00E57A88"/>
    <w:rsid w:val="00E57AF4"/>
    <w:rsid w:val="00E57B7E"/>
    <w:rsid w:val="00E57C1E"/>
    <w:rsid w:val="00E57DB5"/>
    <w:rsid w:val="00E57F1D"/>
    <w:rsid w:val="00E57F2F"/>
    <w:rsid w:val="00E57F86"/>
    <w:rsid w:val="00E6005A"/>
    <w:rsid w:val="00E600DF"/>
    <w:rsid w:val="00E60202"/>
    <w:rsid w:val="00E6020E"/>
    <w:rsid w:val="00E6031C"/>
    <w:rsid w:val="00E60345"/>
    <w:rsid w:val="00E6043D"/>
    <w:rsid w:val="00E60482"/>
    <w:rsid w:val="00E604D6"/>
    <w:rsid w:val="00E6053A"/>
    <w:rsid w:val="00E605D3"/>
    <w:rsid w:val="00E60632"/>
    <w:rsid w:val="00E60688"/>
    <w:rsid w:val="00E606B4"/>
    <w:rsid w:val="00E606C8"/>
    <w:rsid w:val="00E6072A"/>
    <w:rsid w:val="00E6080A"/>
    <w:rsid w:val="00E60879"/>
    <w:rsid w:val="00E608AA"/>
    <w:rsid w:val="00E60949"/>
    <w:rsid w:val="00E609FD"/>
    <w:rsid w:val="00E60B2F"/>
    <w:rsid w:val="00E60B36"/>
    <w:rsid w:val="00E60BDB"/>
    <w:rsid w:val="00E60BE6"/>
    <w:rsid w:val="00E60D80"/>
    <w:rsid w:val="00E60DCC"/>
    <w:rsid w:val="00E60E00"/>
    <w:rsid w:val="00E60E03"/>
    <w:rsid w:val="00E60E9E"/>
    <w:rsid w:val="00E60EC1"/>
    <w:rsid w:val="00E60EEC"/>
    <w:rsid w:val="00E60FF1"/>
    <w:rsid w:val="00E6112D"/>
    <w:rsid w:val="00E6114C"/>
    <w:rsid w:val="00E611AA"/>
    <w:rsid w:val="00E61391"/>
    <w:rsid w:val="00E614C3"/>
    <w:rsid w:val="00E61517"/>
    <w:rsid w:val="00E61539"/>
    <w:rsid w:val="00E6171E"/>
    <w:rsid w:val="00E61820"/>
    <w:rsid w:val="00E618B4"/>
    <w:rsid w:val="00E61970"/>
    <w:rsid w:val="00E61A28"/>
    <w:rsid w:val="00E61A4F"/>
    <w:rsid w:val="00E61AC7"/>
    <w:rsid w:val="00E61B01"/>
    <w:rsid w:val="00E61B04"/>
    <w:rsid w:val="00E61BCB"/>
    <w:rsid w:val="00E61BFC"/>
    <w:rsid w:val="00E61C50"/>
    <w:rsid w:val="00E61C6E"/>
    <w:rsid w:val="00E61DB2"/>
    <w:rsid w:val="00E61E2E"/>
    <w:rsid w:val="00E61EAB"/>
    <w:rsid w:val="00E62087"/>
    <w:rsid w:val="00E6209C"/>
    <w:rsid w:val="00E620FE"/>
    <w:rsid w:val="00E621B2"/>
    <w:rsid w:val="00E62227"/>
    <w:rsid w:val="00E62288"/>
    <w:rsid w:val="00E62314"/>
    <w:rsid w:val="00E623F4"/>
    <w:rsid w:val="00E62449"/>
    <w:rsid w:val="00E6248A"/>
    <w:rsid w:val="00E62617"/>
    <w:rsid w:val="00E6269D"/>
    <w:rsid w:val="00E62800"/>
    <w:rsid w:val="00E628DB"/>
    <w:rsid w:val="00E629B3"/>
    <w:rsid w:val="00E62A99"/>
    <w:rsid w:val="00E62AD7"/>
    <w:rsid w:val="00E62B97"/>
    <w:rsid w:val="00E62B9E"/>
    <w:rsid w:val="00E62BCA"/>
    <w:rsid w:val="00E62C07"/>
    <w:rsid w:val="00E62C95"/>
    <w:rsid w:val="00E62D0D"/>
    <w:rsid w:val="00E62D28"/>
    <w:rsid w:val="00E62F1B"/>
    <w:rsid w:val="00E62F2F"/>
    <w:rsid w:val="00E62F78"/>
    <w:rsid w:val="00E62FA7"/>
    <w:rsid w:val="00E62FAE"/>
    <w:rsid w:val="00E63020"/>
    <w:rsid w:val="00E6303C"/>
    <w:rsid w:val="00E6305D"/>
    <w:rsid w:val="00E631A1"/>
    <w:rsid w:val="00E6327C"/>
    <w:rsid w:val="00E63302"/>
    <w:rsid w:val="00E633FD"/>
    <w:rsid w:val="00E63469"/>
    <w:rsid w:val="00E634EA"/>
    <w:rsid w:val="00E634FF"/>
    <w:rsid w:val="00E63545"/>
    <w:rsid w:val="00E6358B"/>
    <w:rsid w:val="00E63648"/>
    <w:rsid w:val="00E6367C"/>
    <w:rsid w:val="00E6370A"/>
    <w:rsid w:val="00E637A1"/>
    <w:rsid w:val="00E637A3"/>
    <w:rsid w:val="00E637B2"/>
    <w:rsid w:val="00E637B7"/>
    <w:rsid w:val="00E637C4"/>
    <w:rsid w:val="00E63827"/>
    <w:rsid w:val="00E638B3"/>
    <w:rsid w:val="00E639E7"/>
    <w:rsid w:val="00E63A41"/>
    <w:rsid w:val="00E63A60"/>
    <w:rsid w:val="00E63A9D"/>
    <w:rsid w:val="00E63BAA"/>
    <w:rsid w:val="00E63BC6"/>
    <w:rsid w:val="00E63CE6"/>
    <w:rsid w:val="00E63D5B"/>
    <w:rsid w:val="00E63D69"/>
    <w:rsid w:val="00E63E30"/>
    <w:rsid w:val="00E63EAC"/>
    <w:rsid w:val="00E63ED8"/>
    <w:rsid w:val="00E63FA1"/>
    <w:rsid w:val="00E63FC4"/>
    <w:rsid w:val="00E63FEC"/>
    <w:rsid w:val="00E63FFB"/>
    <w:rsid w:val="00E64059"/>
    <w:rsid w:val="00E641B4"/>
    <w:rsid w:val="00E6425C"/>
    <w:rsid w:val="00E642DC"/>
    <w:rsid w:val="00E64323"/>
    <w:rsid w:val="00E643BC"/>
    <w:rsid w:val="00E644AB"/>
    <w:rsid w:val="00E6451D"/>
    <w:rsid w:val="00E6453D"/>
    <w:rsid w:val="00E6469C"/>
    <w:rsid w:val="00E64703"/>
    <w:rsid w:val="00E6476C"/>
    <w:rsid w:val="00E647D1"/>
    <w:rsid w:val="00E647E2"/>
    <w:rsid w:val="00E6487A"/>
    <w:rsid w:val="00E64936"/>
    <w:rsid w:val="00E64937"/>
    <w:rsid w:val="00E64A13"/>
    <w:rsid w:val="00E64B89"/>
    <w:rsid w:val="00E64BA2"/>
    <w:rsid w:val="00E64BC2"/>
    <w:rsid w:val="00E64D7A"/>
    <w:rsid w:val="00E64D84"/>
    <w:rsid w:val="00E64DF8"/>
    <w:rsid w:val="00E64E4A"/>
    <w:rsid w:val="00E64E72"/>
    <w:rsid w:val="00E64F70"/>
    <w:rsid w:val="00E65039"/>
    <w:rsid w:val="00E6509C"/>
    <w:rsid w:val="00E65222"/>
    <w:rsid w:val="00E652A8"/>
    <w:rsid w:val="00E652C2"/>
    <w:rsid w:val="00E652D1"/>
    <w:rsid w:val="00E65463"/>
    <w:rsid w:val="00E655D4"/>
    <w:rsid w:val="00E655D9"/>
    <w:rsid w:val="00E65660"/>
    <w:rsid w:val="00E65753"/>
    <w:rsid w:val="00E6580B"/>
    <w:rsid w:val="00E6580E"/>
    <w:rsid w:val="00E6597B"/>
    <w:rsid w:val="00E65AC8"/>
    <w:rsid w:val="00E65B0F"/>
    <w:rsid w:val="00E65B5B"/>
    <w:rsid w:val="00E65C00"/>
    <w:rsid w:val="00E65C60"/>
    <w:rsid w:val="00E65C69"/>
    <w:rsid w:val="00E65C6B"/>
    <w:rsid w:val="00E65CEF"/>
    <w:rsid w:val="00E65D32"/>
    <w:rsid w:val="00E65DE6"/>
    <w:rsid w:val="00E65E32"/>
    <w:rsid w:val="00E65E4B"/>
    <w:rsid w:val="00E65E57"/>
    <w:rsid w:val="00E65E6A"/>
    <w:rsid w:val="00E65EF9"/>
    <w:rsid w:val="00E65F2D"/>
    <w:rsid w:val="00E6617C"/>
    <w:rsid w:val="00E6625A"/>
    <w:rsid w:val="00E663AF"/>
    <w:rsid w:val="00E663B3"/>
    <w:rsid w:val="00E663F1"/>
    <w:rsid w:val="00E664A7"/>
    <w:rsid w:val="00E66516"/>
    <w:rsid w:val="00E6665C"/>
    <w:rsid w:val="00E66695"/>
    <w:rsid w:val="00E66816"/>
    <w:rsid w:val="00E6684E"/>
    <w:rsid w:val="00E6688B"/>
    <w:rsid w:val="00E668D8"/>
    <w:rsid w:val="00E66A08"/>
    <w:rsid w:val="00E66AC7"/>
    <w:rsid w:val="00E66AE2"/>
    <w:rsid w:val="00E66B2B"/>
    <w:rsid w:val="00E66C4B"/>
    <w:rsid w:val="00E66C66"/>
    <w:rsid w:val="00E66CFE"/>
    <w:rsid w:val="00E66E73"/>
    <w:rsid w:val="00E66F60"/>
    <w:rsid w:val="00E67073"/>
    <w:rsid w:val="00E67074"/>
    <w:rsid w:val="00E67085"/>
    <w:rsid w:val="00E670D8"/>
    <w:rsid w:val="00E671A9"/>
    <w:rsid w:val="00E671C7"/>
    <w:rsid w:val="00E671F9"/>
    <w:rsid w:val="00E67260"/>
    <w:rsid w:val="00E673D6"/>
    <w:rsid w:val="00E673F2"/>
    <w:rsid w:val="00E67411"/>
    <w:rsid w:val="00E675E7"/>
    <w:rsid w:val="00E6766E"/>
    <w:rsid w:val="00E676A6"/>
    <w:rsid w:val="00E677C7"/>
    <w:rsid w:val="00E6783B"/>
    <w:rsid w:val="00E67866"/>
    <w:rsid w:val="00E67869"/>
    <w:rsid w:val="00E6787B"/>
    <w:rsid w:val="00E67952"/>
    <w:rsid w:val="00E679D2"/>
    <w:rsid w:val="00E67A58"/>
    <w:rsid w:val="00E67AAD"/>
    <w:rsid w:val="00E67ADF"/>
    <w:rsid w:val="00E67B2A"/>
    <w:rsid w:val="00E67BCC"/>
    <w:rsid w:val="00E67C6E"/>
    <w:rsid w:val="00E67CE3"/>
    <w:rsid w:val="00E67DA3"/>
    <w:rsid w:val="00E67E76"/>
    <w:rsid w:val="00E67F42"/>
    <w:rsid w:val="00E67F5F"/>
    <w:rsid w:val="00E67F8C"/>
    <w:rsid w:val="00E67FCC"/>
    <w:rsid w:val="00E67FFB"/>
    <w:rsid w:val="00E70227"/>
    <w:rsid w:val="00E70229"/>
    <w:rsid w:val="00E70294"/>
    <w:rsid w:val="00E702A5"/>
    <w:rsid w:val="00E703AD"/>
    <w:rsid w:val="00E703EB"/>
    <w:rsid w:val="00E70623"/>
    <w:rsid w:val="00E70653"/>
    <w:rsid w:val="00E7066B"/>
    <w:rsid w:val="00E706C3"/>
    <w:rsid w:val="00E706D1"/>
    <w:rsid w:val="00E706EC"/>
    <w:rsid w:val="00E70772"/>
    <w:rsid w:val="00E709A4"/>
    <w:rsid w:val="00E70AFA"/>
    <w:rsid w:val="00E70BAA"/>
    <w:rsid w:val="00E70BF3"/>
    <w:rsid w:val="00E70C0A"/>
    <w:rsid w:val="00E70D18"/>
    <w:rsid w:val="00E70D35"/>
    <w:rsid w:val="00E70EBA"/>
    <w:rsid w:val="00E70F71"/>
    <w:rsid w:val="00E70FCE"/>
    <w:rsid w:val="00E71136"/>
    <w:rsid w:val="00E711B1"/>
    <w:rsid w:val="00E711FB"/>
    <w:rsid w:val="00E712CA"/>
    <w:rsid w:val="00E71307"/>
    <w:rsid w:val="00E71630"/>
    <w:rsid w:val="00E717A4"/>
    <w:rsid w:val="00E71968"/>
    <w:rsid w:val="00E71978"/>
    <w:rsid w:val="00E71A80"/>
    <w:rsid w:val="00E71A87"/>
    <w:rsid w:val="00E71ABE"/>
    <w:rsid w:val="00E71AE5"/>
    <w:rsid w:val="00E71B4B"/>
    <w:rsid w:val="00E71D2B"/>
    <w:rsid w:val="00E71D9B"/>
    <w:rsid w:val="00E71DAF"/>
    <w:rsid w:val="00E71E52"/>
    <w:rsid w:val="00E71E72"/>
    <w:rsid w:val="00E71F14"/>
    <w:rsid w:val="00E71F88"/>
    <w:rsid w:val="00E71FA6"/>
    <w:rsid w:val="00E72074"/>
    <w:rsid w:val="00E720C2"/>
    <w:rsid w:val="00E720E2"/>
    <w:rsid w:val="00E72138"/>
    <w:rsid w:val="00E72235"/>
    <w:rsid w:val="00E722F8"/>
    <w:rsid w:val="00E72395"/>
    <w:rsid w:val="00E72560"/>
    <w:rsid w:val="00E7259C"/>
    <w:rsid w:val="00E7267D"/>
    <w:rsid w:val="00E726A7"/>
    <w:rsid w:val="00E72758"/>
    <w:rsid w:val="00E7275A"/>
    <w:rsid w:val="00E72781"/>
    <w:rsid w:val="00E72989"/>
    <w:rsid w:val="00E729EB"/>
    <w:rsid w:val="00E72A6D"/>
    <w:rsid w:val="00E72AD4"/>
    <w:rsid w:val="00E72B44"/>
    <w:rsid w:val="00E72B4C"/>
    <w:rsid w:val="00E72C08"/>
    <w:rsid w:val="00E72C15"/>
    <w:rsid w:val="00E73049"/>
    <w:rsid w:val="00E7305D"/>
    <w:rsid w:val="00E730ED"/>
    <w:rsid w:val="00E730F8"/>
    <w:rsid w:val="00E73160"/>
    <w:rsid w:val="00E73230"/>
    <w:rsid w:val="00E732EA"/>
    <w:rsid w:val="00E73338"/>
    <w:rsid w:val="00E7333E"/>
    <w:rsid w:val="00E733B9"/>
    <w:rsid w:val="00E73498"/>
    <w:rsid w:val="00E73501"/>
    <w:rsid w:val="00E73594"/>
    <w:rsid w:val="00E73602"/>
    <w:rsid w:val="00E73789"/>
    <w:rsid w:val="00E737E6"/>
    <w:rsid w:val="00E73896"/>
    <w:rsid w:val="00E738DC"/>
    <w:rsid w:val="00E7391A"/>
    <w:rsid w:val="00E739FC"/>
    <w:rsid w:val="00E73A4E"/>
    <w:rsid w:val="00E73AD5"/>
    <w:rsid w:val="00E73AE0"/>
    <w:rsid w:val="00E73B5E"/>
    <w:rsid w:val="00E73B81"/>
    <w:rsid w:val="00E73C09"/>
    <w:rsid w:val="00E73CDC"/>
    <w:rsid w:val="00E73D23"/>
    <w:rsid w:val="00E73DCB"/>
    <w:rsid w:val="00E73EA6"/>
    <w:rsid w:val="00E73EC8"/>
    <w:rsid w:val="00E74050"/>
    <w:rsid w:val="00E74069"/>
    <w:rsid w:val="00E740C9"/>
    <w:rsid w:val="00E740E7"/>
    <w:rsid w:val="00E74115"/>
    <w:rsid w:val="00E74117"/>
    <w:rsid w:val="00E7411D"/>
    <w:rsid w:val="00E741A3"/>
    <w:rsid w:val="00E7425A"/>
    <w:rsid w:val="00E743AB"/>
    <w:rsid w:val="00E743D1"/>
    <w:rsid w:val="00E744F8"/>
    <w:rsid w:val="00E74501"/>
    <w:rsid w:val="00E74516"/>
    <w:rsid w:val="00E7457F"/>
    <w:rsid w:val="00E7490C"/>
    <w:rsid w:val="00E74975"/>
    <w:rsid w:val="00E74A93"/>
    <w:rsid w:val="00E74C52"/>
    <w:rsid w:val="00E74D41"/>
    <w:rsid w:val="00E74D69"/>
    <w:rsid w:val="00E74DA9"/>
    <w:rsid w:val="00E74E77"/>
    <w:rsid w:val="00E74EAE"/>
    <w:rsid w:val="00E74EB3"/>
    <w:rsid w:val="00E74EE2"/>
    <w:rsid w:val="00E74F1A"/>
    <w:rsid w:val="00E74FFA"/>
    <w:rsid w:val="00E75244"/>
    <w:rsid w:val="00E75265"/>
    <w:rsid w:val="00E75295"/>
    <w:rsid w:val="00E7532C"/>
    <w:rsid w:val="00E7547B"/>
    <w:rsid w:val="00E75585"/>
    <w:rsid w:val="00E755D3"/>
    <w:rsid w:val="00E755F1"/>
    <w:rsid w:val="00E756B2"/>
    <w:rsid w:val="00E75709"/>
    <w:rsid w:val="00E75737"/>
    <w:rsid w:val="00E757B5"/>
    <w:rsid w:val="00E758F7"/>
    <w:rsid w:val="00E75903"/>
    <w:rsid w:val="00E7590F"/>
    <w:rsid w:val="00E7595A"/>
    <w:rsid w:val="00E7596F"/>
    <w:rsid w:val="00E75997"/>
    <w:rsid w:val="00E759EE"/>
    <w:rsid w:val="00E75A0A"/>
    <w:rsid w:val="00E75A5E"/>
    <w:rsid w:val="00E75A80"/>
    <w:rsid w:val="00E75BE8"/>
    <w:rsid w:val="00E75C19"/>
    <w:rsid w:val="00E75C4C"/>
    <w:rsid w:val="00E75CAF"/>
    <w:rsid w:val="00E75D00"/>
    <w:rsid w:val="00E75D73"/>
    <w:rsid w:val="00E75D86"/>
    <w:rsid w:val="00E75DAF"/>
    <w:rsid w:val="00E75E2C"/>
    <w:rsid w:val="00E75E4F"/>
    <w:rsid w:val="00E75E6E"/>
    <w:rsid w:val="00E75EAF"/>
    <w:rsid w:val="00E75F5C"/>
    <w:rsid w:val="00E75F78"/>
    <w:rsid w:val="00E75FDA"/>
    <w:rsid w:val="00E76014"/>
    <w:rsid w:val="00E760F3"/>
    <w:rsid w:val="00E76181"/>
    <w:rsid w:val="00E761FA"/>
    <w:rsid w:val="00E7620A"/>
    <w:rsid w:val="00E764E5"/>
    <w:rsid w:val="00E76586"/>
    <w:rsid w:val="00E765A8"/>
    <w:rsid w:val="00E765B8"/>
    <w:rsid w:val="00E765D1"/>
    <w:rsid w:val="00E76600"/>
    <w:rsid w:val="00E76667"/>
    <w:rsid w:val="00E767A4"/>
    <w:rsid w:val="00E76816"/>
    <w:rsid w:val="00E76971"/>
    <w:rsid w:val="00E76AB4"/>
    <w:rsid w:val="00E76B2B"/>
    <w:rsid w:val="00E76C53"/>
    <w:rsid w:val="00E76C80"/>
    <w:rsid w:val="00E76C96"/>
    <w:rsid w:val="00E76CFD"/>
    <w:rsid w:val="00E76DA8"/>
    <w:rsid w:val="00E76DCE"/>
    <w:rsid w:val="00E76EA9"/>
    <w:rsid w:val="00E76FBF"/>
    <w:rsid w:val="00E77011"/>
    <w:rsid w:val="00E77016"/>
    <w:rsid w:val="00E77044"/>
    <w:rsid w:val="00E770B0"/>
    <w:rsid w:val="00E770E8"/>
    <w:rsid w:val="00E77131"/>
    <w:rsid w:val="00E77140"/>
    <w:rsid w:val="00E771D4"/>
    <w:rsid w:val="00E77211"/>
    <w:rsid w:val="00E77281"/>
    <w:rsid w:val="00E77408"/>
    <w:rsid w:val="00E7741E"/>
    <w:rsid w:val="00E776A4"/>
    <w:rsid w:val="00E776C5"/>
    <w:rsid w:val="00E776DB"/>
    <w:rsid w:val="00E77771"/>
    <w:rsid w:val="00E778B2"/>
    <w:rsid w:val="00E7793D"/>
    <w:rsid w:val="00E77999"/>
    <w:rsid w:val="00E779CC"/>
    <w:rsid w:val="00E77A69"/>
    <w:rsid w:val="00E77A80"/>
    <w:rsid w:val="00E77AE9"/>
    <w:rsid w:val="00E77B06"/>
    <w:rsid w:val="00E77B0B"/>
    <w:rsid w:val="00E77C03"/>
    <w:rsid w:val="00E77C7F"/>
    <w:rsid w:val="00E77C9F"/>
    <w:rsid w:val="00E77CDA"/>
    <w:rsid w:val="00E77D5A"/>
    <w:rsid w:val="00E77DD0"/>
    <w:rsid w:val="00E77DFC"/>
    <w:rsid w:val="00E77E94"/>
    <w:rsid w:val="00E77FB9"/>
    <w:rsid w:val="00E77FD5"/>
    <w:rsid w:val="00E80046"/>
    <w:rsid w:val="00E800A2"/>
    <w:rsid w:val="00E800E6"/>
    <w:rsid w:val="00E802DE"/>
    <w:rsid w:val="00E8033A"/>
    <w:rsid w:val="00E8034F"/>
    <w:rsid w:val="00E803C9"/>
    <w:rsid w:val="00E80415"/>
    <w:rsid w:val="00E80424"/>
    <w:rsid w:val="00E80498"/>
    <w:rsid w:val="00E804C6"/>
    <w:rsid w:val="00E80546"/>
    <w:rsid w:val="00E80555"/>
    <w:rsid w:val="00E8055B"/>
    <w:rsid w:val="00E80579"/>
    <w:rsid w:val="00E805E8"/>
    <w:rsid w:val="00E805FE"/>
    <w:rsid w:val="00E80795"/>
    <w:rsid w:val="00E80942"/>
    <w:rsid w:val="00E80961"/>
    <w:rsid w:val="00E80AA2"/>
    <w:rsid w:val="00E80AEE"/>
    <w:rsid w:val="00E80CBD"/>
    <w:rsid w:val="00E80D73"/>
    <w:rsid w:val="00E80E31"/>
    <w:rsid w:val="00E80E5F"/>
    <w:rsid w:val="00E80EDD"/>
    <w:rsid w:val="00E80F09"/>
    <w:rsid w:val="00E80FDC"/>
    <w:rsid w:val="00E810EC"/>
    <w:rsid w:val="00E811A6"/>
    <w:rsid w:val="00E811C2"/>
    <w:rsid w:val="00E81260"/>
    <w:rsid w:val="00E8131E"/>
    <w:rsid w:val="00E813E2"/>
    <w:rsid w:val="00E814EC"/>
    <w:rsid w:val="00E81536"/>
    <w:rsid w:val="00E81581"/>
    <w:rsid w:val="00E8158D"/>
    <w:rsid w:val="00E815CB"/>
    <w:rsid w:val="00E81621"/>
    <w:rsid w:val="00E81646"/>
    <w:rsid w:val="00E8164E"/>
    <w:rsid w:val="00E81761"/>
    <w:rsid w:val="00E819D8"/>
    <w:rsid w:val="00E819E3"/>
    <w:rsid w:val="00E81AC4"/>
    <w:rsid w:val="00E81B26"/>
    <w:rsid w:val="00E81BA7"/>
    <w:rsid w:val="00E81C62"/>
    <w:rsid w:val="00E81D31"/>
    <w:rsid w:val="00E81D5A"/>
    <w:rsid w:val="00E81D6E"/>
    <w:rsid w:val="00E81D86"/>
    <w:rsid w:val="00E81D8E"/>
    <w:rsid w:val="00E81E79"/>
    <w:rsid w:val="00E81ECC"/>
    <w:rsid w:val="00E81F38"/>
    <w:rsid w:val="00E81FA1"/>
    <w:rsid w:val="00E82073"/>
    <w:rsid w:val="00E820CA"/>
    <w:rsid w:val="00E82114"/>
    <w:rsid w:val="00E8221C"/>
    <w:rsid w:val="00E822A5"/>
    <w:rsid w:val="00E822B1"/>
    <w:rsid w:val="00E82336"/>
    <w:rsid w:val="00E824F5"/>
    <w:rsid w:val="00E8251E"/>
    <w:rsid w:val="00E827C9"/>
    <w:rsid w:val="00E828F8"/>
    <w:rsid w:val="00E82932"/>
    <w:rsid w:val="00E829B6"/>
    <w:rsid w:val="00E82A5F"/>
    <w:rsid w:val="00E82B0A"/>
    <w:rsid w:val="00E82B3C"/>
    <w:rsid w:val="00E82BC9"/>
    <w:rsid w:val="00E82D44"/>
    <w:rsid w:val="00E82DE3"/>
    <w:rsid w:val="00E82DF9"/>
    <w:rsid w:val="00E82E39"/>
    <w:rsid w:val="00E82E43"/>
    <w:rsid w:val="00E82EE3"/>
    <w:rsid w:val="00E82F11"/>
    <w:rsid w:val="00E82FB6"/>
    <w:rsid w:val="00E831A1"/>
    <w:rsid w:val="00E8321B"/>
    <w:rsid w:val="00E83229"/>
    <w:rsid w:val="00E83283"/>
    <w:rsid w:val="00E832CC"/>
    <w:rsid w:val="00E83326"/>
    <w:rsid w:val="00E8337D"/>
    <w:rsid w:val="00E833B0"/>
    <w:rsid w:val="00E833D2"/>
    <w:rsid w:val="00E833FE"/>
    <w:rsid w:val="00E8346A"/>
    <w:rsid w:val="00E83479"/>
    <w:rsid w:val="00E834C5"/>
    <w:rsid w:val="00E83578"/>
    <w:rsid w:val="00E83678"/>
    <w:rsid w:val="00E836C6"/>
    <w:rsid w:val="00E836C8"/>
    <w:rsid w:val="00E83727"/>
    <w:rsid w:val="00E837CA"/>
    <w:rsid w:val="00E8390A"/>
    <w:rsid w:val="00E839BD"/>
    <w:rsid w:val="00E83A21"/>
    <w:rsid w:val="00E83A2D"/>
    <w:rsid w:val="00E83AF5"/>
    <w:rsid w:val="00E83B4A"/>
    <w:rsid w:val="00E83CD9"/>
    <w:rsid w:val="00E83CDA"/>
    <w:rsid w:val="00E83CEF"/>
    <w:rsid w:val="00E83D23"/>
    <w:rsid w:val="00E83E5A"/>
    <w:rsid w:val="00E83FA1"/>
    <w:rsid w:val="00E841DA"/>
    <w:rsid w:val="00E84323"/>
    <w:rsid w:val="00E8453F"/>
    <w:rsid w:val="00E845FB"/>
    <w:rsid w:val="00E8469F"/>
    <w:rsid w:val="00E846BF"/>
    <w:rsid w:val="00E8478F"/>
    <w:rsid w:val="00E84955"/>
    <w:rsid w:val="00E849BE"/>
    <w:rsid w:val="00E84ACE"/>
    <w:rsid w:val="00E84B15"/>
    <w:rsid w:val="00E84B4E"/>
    <w:rsid w:val="00E84B4F"/>
    <w:rsid w:val="00E84BE3"/>
    <w:rsid w:val="00E84D07"/>
    <w:rsid w:val="00E84E70"/>
    <w:rsid w:val="00E84F09"/>
    <w:rsid w:val="00E84F40"/>
    <w:rsid w:val="00E850BB"/>
    <w:rsid w:val="00E85150"/>
    <w:rsid w:val="00E852BA"/>
    <w:rsid w:val="00E852C5"/>
    <w:rsid w:val="00E852D1"/>
    <w:rsid w:val="00E853CE"/>
    <w:rsid w:val="00E85406"/>
    <w:rsid w:val="00E85448"/>
    <w:rsid w:val="00E85466"/>
    <w:rsid w:val="00E85589"/>
    <w:rsid w:val="00E856C9"/>
    <w:rsid w:val="00E856E2"/>
    <w:rsid w:val="00E85748"/>
    <w:rsid w:val="00E85852"/>
    <w:rsid w:val="00E85907"/>
    <w:rsid w:val="00E8597A"/>
    <w:rsid w:val="00E85A4F"/>
    <w:rsid w:val="00E85C0D"/>
    <w:rsid w:val="00E85C28"/>
    <w:rsid w:val="00E85C68"/>
    <w:rsid w:val="00E85CF3"/>
    <w:rsid w:val="00E85D34"/>
    <w:rsid w:val="00E85EF8"/>
    <w:rsid w:val="00E85F52"/>
    <w:rsid w:val="00E85F6E"/>
    <w:rsid w:val="00E86000"/>
    <w:rsid w:val="00E86158"/>
    <w:rsid w:val="00E861A3"/>
    <w:rsid w:val="00E861C1"/>
    <w:rsid w:val="00E861E5"/>
    <w:rsid w:val="00E86245"/>
    <w:rsid w:val="00E86335"/>
    <w:rsid w:val="00E86339"/>
    <w:rsid w:val="00E86352"/>
    <w:rsid w:val="00E86357"/>
    <w:rsid w:val="00E863A3"/>
    <w:rsid w:val="00E86515"/>
    <w:rsid w:val="00E865C2"/>
    <w:rsid w:val="00E86783"/>
    <w:rsid w:val="00E86941"/>
    <w:rsid w:val="00E86B20"/>
    <w:rsid w:val="00E86C5D"/>
    <w:rsid w:val="00E86D24"/>
    <w:rsid w:val="00E86E3C"/>
    <w:rsid w:val="00E86E8D"/>
    <w:rsid w:val="00E86F46"/>
    <w:rsid w:val="00E86F7C"/>
    <w:rsid w:val="00E86F93"/>
    <w:rsid w:val="00E87050"/>
    <w:rsid w:val="00E87076"/>
    <w:rsid w:val="00E87097"/>
    <w:rsid w:val="00E8709A"/>
    <w:rsid w:val="00E870B3"/>
    <w:rsid w:val="00E870F6"/>
    <w:rsid w:val="00E8710D"/>
    <w:rsid w:val="00E8712A"/>
    <w:rsid w:val="00E871FF"/>
    <w:rsid w:val="00E87208"/>
    <w:rsid w:val="00E87226"/>
    <w:rsid w:val="00E87285"/>
    <w:rsid w:val="00E872A3"/>
    <w:rsid w:val="00E8734B"/>
    <w:rsid w:val="00E873BF"/>
    <w:rsid w:val="00E873CC"/>
    <w:rsid w:val="00E87488"/>
    <w:rsid w:val="00E87617"/>
    <w:rsid w:val="00E87658"/>
    <w:rsid w:val="00E876B1"/>
    <w:rsid w:val="00E87743"/>
    <w:rsid w:val="00E87777"/>
    <w:rsid w:val="00E877E8"/>
    <w:rsid w:val="00E87889"/>
    <w:rsid w:val="00E878FA"/>
    <w:rsid w:val="00E879E4"/>
    <w:rsid w:val="00E87B73"/>
    <w:rsid w:val="00E87B95"/>
    <w:rsid w:val="00E87BBF"/>
    <w:rsid w:val="00E87BC2"/>
    <w:rsid w:val="00E87C11"/>
    <w:rsid w:val="00E87D78"/>
    <w:rsid w:val="00E87D7D"/>
    <w:rsid w:val="00E87E0C"/>
    <w:rsid w:val="00E87F1B"/>
    <w:rsid w:val="00E90070"/>
    <w:rsid w:val="00E900CD"/>
    <w:rsid w:val="00E90161"/>
    <w:rsid w:val="00E9017C"/>
    <w:rsid w:val="00E902B7"/>
    <w:rsid w:val="00E9030D"/>
    <w:rsid w:val="00E903B7"/>
    <w:rsid w:val="00E9053D"/>
    <w:rsid w:val="00E90601"/>
    <w:rsid w:val="00E906A3"/>
    <w:rsid w:val="00E90721"/>
    <w:rsid w:val="00E90914"/>
    <w:rsid w:val="00E90A02"/>
    <w:rsid w:val="00E90A60"/>
    <w:rsid w:val="00E90B99"/>
    <w:rsid w:val="00E90BFD"/>
    <w:rsid w:val="00E90D0F"/>
    <w:rsid w:val="00E90D4A"/>
    <w:rsid w:val="00E90F5F"/>
    <w:rsid w:val="00E9109F"/>
    <w:rsid w:val="00E9127A"/>
    <w:rsid w:val="00E91292"/>
    <w:rsid w:val="00E9146B"/>
    <w:rsid w:val="00E914B9"/>
    <w:rsid w:val="00E914E8"/>
    <w:rsid w:val="00E9155A"/>
    <w:rsid w:val="00E91593"/>
    <w:rsid w:val="00E9162D"/>
    <w:rsid w:val="00E918FE"/>
    <w:rsid w:val="00E9193C"/>
    <w:rsid w:val="00E91965"/>
    <w:rsid w:val="00E91A1A"/>
    <w:rsid w:val="00E91C19"/>
    <w:rsid w:val="00E91C58"/>
    <w:rsid w:val="00E91CC6"/>
    <w:rsid w:val="00E91CFA"/>
    <w:rsid w:val="00E91D19"/>
    <w:rsid w:val="00E91FD6"/>
    <w:rsid w:val="00E91FF5"/>
    <w:rsid w:val="00E92024"/>
    <w:rsid w:val="00E92093"/>
    <w:rsid w:val="00E920FB"/>
    <w:rsid w:val="00E9212D"/>
    <w:rsid w:val="00E92137"/>
    <w:rsid w:val="00E92185"/>
    <w:rsid w:val="00E92252"/>
    <w:rsid w:val="00E92339"/>
    <w:rsid w:val="00E92350"/>
    <w:rsid w:val="00E92425"/>
    <w:rsid w:val="00E924DD"/>
    <w:rsid w:val="00E92594"/>
    <w:rsid w:val="00E926EA"/>
    <w:rsid w:val="00E9270C"/>
    <w:rsid w:val="00E929BE"/>
    <w:rsid w:val="00E929C0"/>
    <w:rsid w:val="00E92A85"/>
    <w:rsid w:val="00E92B73"/>
    <w:rsid w:val="00E92B99"/>
    <w:rsid w:val="00E92BD3"/>
    <w:rsid w:val="00E92D9D"/>
    <w:rsid w:val="00E92EDC"/>
    <w:rsid w:val="00E92F2F"/>
    <w:rsid w:val="00E93054"/>
    <w:rsid w:val="00E9305B"/>
    <w:rsid w:val="00E93063"/>
    <w:rsid w:val="00E9307F"/>
    <w:rsid w:val="00E93080"/>
    <w:rsid w:val="00E930A5"/>
    <w:rsid w:val="00E93236"/>
    <w:rsid w:val="00E932F9"/>
    <w:rsid w:val="00E93311"/>
    <w:rsid w:val="00E934A8"/>
    <w:rsid w:val="00E9358F"/>
    <w:rsid w:val="00E935C6"/>
    <w:rsid w:val="00E93608"/>
    <w:rsid w:val="00E93699"/>
    <w:rsid w:val="00E936AA"/>
    <w:rsid w:val="00E93AA0"/>
    <w:rsid w:val="00E93AE2"/>
    <w:rsid w:val="00E93B33"/>
    <w:rsid w:val="00E93CB1"/>
    <w:rsid w:val="00E93D4A"/>
    <w:rsid w:val="00E93F3E"/>
    <w:rsid w:val="00E941AC"/>
    <w:rsid w:val="00E941C8"/>
    <w:rsid w:val="00E9426E"/>
    <w:rsid w:val="00E94288"/>
    <w:rsid w:val="00E942B8"/>
    <w:rsid w:val="00E9433F"/>
    <w:rsid w:val="00E943C2"/>
    <w:rsid w:val="00E943DF"/>
    <w:rsid w:val="00E9450A"/>
    <w:rsid w:val="00E945D8"/>
    <w:rsid w:val="00E9460E"/>
    <w:rsid w:val="00E9468C"/>
    <w:rsid w:val="00E946D2"/>
    <w:rsid w:val="00E946E9"/>
    <w:rsid w:val="00E946FB"/>
    <w:rsid w:val="00E94705"/>
    <w:rsid w:val="00E9479A"/>
    <w:rsid w:val="00E94812"/>
    <w:rsid w:val="00E949B5"/>
    <w:rsid w:val="00E94A9A"/>
    <w:rsid w:val="00E94E3F"/>
    <w:rsid w:val="00E94EA7"/>
    <w:rsid w:val="00E950AC"/>
    <w:rsid w:val="00E95166"/>
    <w:rsid w:val="00E951D5"/>
    <w:rsid w:val="00E9529A"/>
    <w:rsid w:val="00E952BE"/>
    <w:rsid w:val="00E952F6"/>
    <w:rsid w:val="00E952F7"/>
    <w:rsid w:val="00E95380"/>
    <w:rsid w:val="00E953E4"/>
    <w:rsid w:val="00E953FD"/>
    <w:rsid w:val="00E95431"/>
    <w:rsid w:val="00E95476"/>
    <w:rsid w:val="00E95489"/>
    <w:rsid w:val="00E95509"/>
    <w:rsid w:val="00E955CD"/>
    <w:rsid w:val="00E95637"/>
    <w:rsid w:val="00E9569D"/>
    <w:rsid w:val="00E957DE"/>
    <w:rsid w:val="00E958BB"/>
    <w:rsid w:val="00E9596F"/>
    <w:rsid w:val="00E95A04"/>
    <w:rsid w:val="00E95A3B"/>
    <w:rsid w:val="00E95A50"/>
    <w:rsid w:val="00E95C08"/>
    <w:rsid w:val="00E95CB4"/>
    <w:rsid w:val="00E95D5F"/>
    <w:rsid w:val="00E95DC8"/>
    <w:rsid w:val="00E95E32"/>
    <w:rsid w:val="00E95E56"/>
    <w:rsid w:val="00E95F99"/>
    <w:rsid w:val="00E95FB1"/>
    <w:rsid w:val="00E95FBE"/>
    <w:rsid w:val="00E9606D"/>
    <w:rsid w:val="00E960A6"/>
    <w:rsid w:val="00E960BA"/>
    <w:rsid w:val="00E9619C"/>
    <w:rsid w:val="00E961EA"/>
    <w:rsid w:val="00E9621C"/>
    <w:rsid w:val="00E9621F"/>
    <w:rsid w:val="00E96361"/>
    <w:rsid w:val="00E9637E"/>
    <w:rsid w:val="00E963B5"/>
    <w:rsid w:val="00E96493"/>
    <w:rsid w:val="00E9659A"/>
    <w:rsid w:val="00E965B5"/>
    <w:rsid w:val="00E966FA"/>
    <w:rsid w:val="00E96723"/>
    <w:rsid w:val="00E96725"/>
    <w:rsid w:val="00E96753"/>
    <w:rsid w:val="00E96760"/>
    <w:rsid w:val="00E9693B"/>
    <w:rsid w:val="00E969DA"/>
    <w:rsid w:val="00E96A36"/>
    <w:rsid w:val="00E96B14"/>
    <w:rsid w:val="00E96B36"/>
    <w:rsid w:val="00E96B9F"/>
    <w:rsid w:val="00E96BCC"/>
    <w:rsid w:val="00E96CA3"/>
    <w:rsid w:val="00E96CB7"/>
    <w:rsid w:val="00E96CEC"/>
    <w:rsid w:val="00E96D20"/>
    <w:rsid w:val="00E96DCA"/>
    <w:rsid w:val="00E96EBF"/>
    <w:rsid w:val="00E96EF5"/>
    <w:rsid w:val="00E96FCF"/>
    <w:rsid w:val="00E9701D"/>
    <w:rsid w:val="00E9704E"/>
    <w:rsid w:val="00E970B3"/>
    <w:rsid w:val="00E970DA"/>
    <w:rsid w:val="00E97143"/>
    <w:rsid w:val="00E9716E"/>
    <w:rsid w:val="00E97224"/>
    <w:rsid w:val="00E97252"/>
    <w:rsid w:val="00E972A0"/>
    <w:rsid w:val="00E972A1"/>
    <w:rsid w:val="00E973C2"/>
    <w:rsid w:val="00E974A0"/>
    <w:rsid w:val="00E97595"/>
    <w:rsid w:val="00E97777"/>
    <w:rsid w:val="00E9782E"/>
    <w:rsid w:val="00E978AA"/>
    <w:rsid w:val="00E97909"/>
    <w:rsid w:val="00E97970"/>
    <w:rsid w:val="00E9797E"/>
    <w:rsid w:val="00E9798A"/>
    <w:rsid w:val="00E979B3"/>
    <w:rsid w:val="00E97A58"/>
    <w:rsid w:val="00E97C5D"/>
    <w:rsid w:val="00E97CD5"/>
    <w:rsid w:val="00E97CDE"/>
    <w:rsid w:val="00E97D6D"/>
    <w:rsid w:val="00E97EA4"/>
    <w:rsid w:val="00E97F54"/>
    <w:rsid w:val="00E97FAE"/>
    <w:rsid w:val="00EA002D"/>
    <w:rsid w:val="00EA003F"/>
    <w:rsid w:val="00EA017A"/>
    <w:rsid w:val="00EA021D"/>
    <w:rsid w:val="00EA0249"/>
    <w:rsid w:val="00EA03AD"/>
    <w:rsid w:val="00EA0410"/>
    <w:rsid w:val="00EA0421"/>
    <w:rsid w:val="00EA0485"/>
    <w:rsid w:val="00EA0593"/>
    <w:rsid w:val="00EA05E3"/>
    <w:rsid w:val="00EA0678"/>
    <w:rsid w:val="00EA06DC"/>
    <w:rsid w:val="00EA0767"/>
    <w:rsid w:val="00EA07A6"/>
    <w:rsid w:val="00EA07D2"/>
    <w:rsid w:val="00EA0854"/>
    <w:rsid w:val="00EA08FA"/>
    <w:rsid w:val="00EA08FE"/>
    <w:rsid w:val="00EA09A1"/>
    <w:rsid w:val="00EA0A01"/>
    <w:rsid w:val="00EA0A79"/>
    <w:rsid w:val="00EA0ACA"/>
    <w:rsid w:val="00EA0AFB"/>
    <w:rsid w:val="00EA0CD5"/>
    <w:rsid w:val="00EA0D6E"/>
    <w:rsid w:val="00EA0D85"/>
    <w:rsid w:val="00EA0EF8"/>
    <w:rsid w:val="00EA0F14"/>
    <w:rsid w:val="00EA0F22"/>
    <w:rsid w:val="00EA105E"/>
    <w:rsid w:val="00EA1089"/>
    <w:rsid w:val="00EA121B"/>
    <w:rsid w:val="00EA124F"/>
    <w:rsid w:val="00EA12EF"/>
    <w:rsid w:val="00EA1322"/>
    <w:rsid w:val="00EA1358"/>
    <w:rsid w:val="00EA1442"/>
    <w:rsid w:val="00EA1529"/>
    <w:rsid w:val="00EA1535"/>
    <w:rsid w:val="00EA160C"/>
    <w:rsid w:val="00EA1624"/>
    <w:rsid w:val="00EA169B"/>
    <w:rsid w:val="00EA1735"/>
    <w:rsid w:val="00EA1790"/>
    <w:rsid w:val="00EA17F3"/>
    <w:rsid w:val="00EA1838"/>
    <w:rsid w:val="00EA18FD"/>
    <w:rsid w:val="00EA19C2"/>
    <w:rsid w:val="00EA1A29"/>
    <w:rsid w:val="00EA1A5F"/>
    <w:rsid w:val="00EA1B3D"/>
    <w:rsid w:val="00EA1B5C"/>
    <w:rsid w:val="00EA1C38"/>
    <w:rsid w:val="00EA1E97"/>
    <w:rsid w:val="00EA1F74"/>
    <w:rsid w:val="00EA1F97"/>
    <w:rsid w:val="00EA1FB8"/>
    <w:rsid w:val="00EA2007"/>
    <w:rsid w:val="00EA2047"/>
    <w:rsid w:val="00EA20DE"/>
    <w:rsid w:val="00EA20F5"/>
    <w:rsid w:val="00EA2117"/>
    <w:rsid w:val="00EA2212"/>
    <w:rsid w:val="00EA2219"/>
    <w:rsid w:val="00EA23CE"/>
    <w:rsid w:val="00EA2410"/>
    <w:rsid w:val="00EA2481"/>
    <w:rsid w:val="00EA252B"/>
    <w:rsid w:val="00EA25B9"/>
    <w:rsid w:val="00EA25D6"/>
    <w:rsid w:val="00EA25EA"/>
    <w:rsid w:val="00EA2644"/>
    <w:rsid w:val="00EA2829"/>
    <w:rsid w:val="00EA2869"/>
    <w:rsid w:val="00EA2873"/>
    <w:rsid w:val="00EA28BE"/>
    <w:rsid w:val="00EA29C6"/>
    <w:rsid w:val="00EA2A5F"/>
    <w:rsid w:val="00EA2AEA"/>
    <w:rsid w:val="00EA2B29"/>
    <w:rsid w:val="00EA2BD1"/>
    <w:rsid w:val="00EA2D10"/>
    <w:rsid w:val="00EA2E02"/>
    <w:rsid w:val="00EA2E11"/>
    <w:rsid w:val="00EA2E73"/>
    <w:rsid w:val="00EA2F7D"/>
    <w:rsid w:val="00EA3105"/>
    <w:rsid w:val="00EA3282"/>
    <w:rsid w:val="00EA3316"/>
    <w:rsid w:val="00EA333F"/>
    <w:rsid w:val="00EA3466"/>
    <w:rsid w:val="00EA350C"/>
    <w:rsid w:val="00EA35E3"/>
    <w:rsid w:val="00EA3750"/>
    <w:rsid w:val="00EA3804"/>
    <w:rsid w:val="00EA3839"/>
    <w:rsid w:val="00EA396D"/>
    <w:rsid w:val="00EA39EB"/>
    <w:rsid w:val="00EA3A11"/>
    <w:rsid w:val="00EA3A22"/>
    <w:rsid w:val="00EA3A29"/>
    <w:rsid w:val="00EA3A59"/>
    <w:rsid w:val="00EA3A6B"/>
    <w:rsid w:val="00EA3B00"/>
    <w:rsid w:val="00EA3B12"/>
    <w:rsid w:val="00EA3B75"/>
    <w:rsid w:val="00EA3BFF"/>
    <w:rsid w:val="00EA3C1D"/>
    <w:rsid w:val="00EA3C33"/>
    <w:rsid w:val="00EA3CDB"/>
    <w:rsid w:val="00EA3CE3"/>
    <w:rsid w:val="00EA3DC7"/>
    <w:rsid w:val="00EA3E57"/>
    <w:rsid w:val="00EA402D"/>
    <w:rsid w:val="00EA40B5"/>
    <w:rsid w:val="00EA4499"/>
    <w:rsid w:val="00EA4689"/>
    <w:rsid w:val="00EA4715"/>
    <w:rsid w:val="00EA47AD"/>
    <w:rsid w:val="00EA48E2"/>
    <w:rsid w:val="00EA490F"/>
    <w:rsid w:val="00EA4934"/>
    <w:rsid w:val="00EA4958"/>
    <w:rsid w:val="00EA4972"/>
    <w:rsid w:val="00EA49A6"/>
    <w:rsid w:val="00EA49FD"/>
    <w:rsid w:val="00EA4A50"/>
    <w:rsid w:val="00EA4A99"/>
    <w:rsid w:val="00EA4B05"/>
    <w:rsid w:val="00EA4B1B"/>
    <w:rsid w:val="00EA4C1B"/>
    <w:rsid w:val="00EA4DE7"/>
    <w:rsid w:val="00EA4E47"/>
    <w:rsid w:val="00EA4EB9"/>
    <w:rsid w:val="00EA4EF9"/>
    <w:rsid w:val="00EA4EFA"/>
    <w:rsid w:val="00EA4F06"/>
    <w:rsid w:val="00EA4F72"/>
    <w:rsid w:val="00EA4FC6"/>
    <w:rsid w:val="00EA5019"/>
    <w:rsid w:val="00EA502C"/>
    <w:rsid w:val="00EA5117"/>
    <w:rsid w:val="00EA521A"/>
    <w:rsid w:val="00EA528E"/>
    <w:rsid w:val="00EA52BE"/>
    <w:rsid w:val="00EA5334"/>
    <w:rsid w:val="00EA534B"/>
    <w:rsid w:val="00EA54CA"/>
    <w:rsid w:val="00EA5651"/>
    <w:rsid w:val="00EA56B8"/>
    <w:rsid w:val="00EA58BD"/>
    <w:rsid w:val="00EA590F"/>
    <w:rsid w:val="00EA5981"/>
    <w:rsid w:val="00EA5A7C"/>
    <w:rsid w:val="00EA5AC4"/>
    <w:rsid w:val="00EA5B66"/>
    <w:rsid w:val="00EA5BD3"/>
    <w:rsid w:val="00EA5BDB"/>
    <w:rsid w:val="00EA5C9E"/>
    <w:rsid w:val="00EA5CEE"/>
    <w:rsid w:val="00EA5E07"/>
    <w:rsid w:val="00EA5E6D"/>
    <w:rsid w:val="00EA5EC9"/>
    <w:rsid w:val="00EA5F06"/>
    <w:rsid w:val="00EA5F09"/>
    <w:rsid w:val="00EA6016"/>
    <w:rsid w:val="00EA602E"/>
    <w:rsid w:val="00EA608D"/>
    <w:rsid w:val="00EA6143"/>
    <w:rsid w:val="00EA6210"/>
    <w:rsid w:val="00EA6253"/>
    <w:rsid w:val="00EA6264"/>
    <w:rsid w:val="00EA6280"/>
    <w:rsid w:val="00EA629C"/>
    <w:rsid w:val="00EA6382"/>
    <w:rsid w:val="00EA6476"/>
    <w:rsid w:val="00EA64C6"/>
    <w:rsid w:val="00EA651C"/>
    <w:rsid w:val="00EA6520"/>
    <w:rsid w:val="00EA6632"/>
    <w:rsid w:val="00EA6765"/>
    <w:rsid w:val="00EA67CC"/>
    <w:rsid w:val="00EA683C"/>
    <w:rsid w:val="00EA6881"/>
    <w:rsid w:val="00EA6903"/>
    <w:rsid w:val="00EA699D"/>
    <w:rsid w:val="00EA6A4E"/>
    <w:rsid w:val="00EA6A7F"/>
    <w:rsid w:val="00EA6A97"/>
    <w:rsid w:val="00EA6AE2"/>
    <w:rsid w:val="00EA6B3D"/>
    <w:rsid w:val="00EA6C36"/>
    <w:rsid w:val="00EA6CB4"/>
    <w:rsid w:val="00EA6CCB"/>
    <w:rsid w:val="00EA6EBC"/>
    <w:rsid w:val="00EA6F0C"/>
    <w:rsid w:val="00EA6F58"/>
    <w:rsid w:val="00EA6F9F"/>
    <w:rsid w:val="00EA7063"/>
    <w:rsid w:val="00EA727B"/>
    <w:rsid w:val="00EA7325"/>
    <w:rsid w:val="00EA737C"/>
    <w:rsid w:val="00EA747E"/>
    <w:rsid w:val="00EA74E6"/>
    <w:rsid w:val="00EA74EB"/>
    <w:rsid w:val="00EA7560"/>
    <w:rsid w:val="00EA75CD"/>
    <w:rsid w:val="00EA75DC"/>
    <w:rsid w:val="00EA77FF"/>
    <w:rsid w:val="00EA7830"/>
    <w:rsid w:val="00EA793F"/>
    <w:rsid w:val="00EA7988"/>
    <w:rsid w:val="00EA79E1"/>
    <w:rsid w:val="00EA7A7E"/>
    <w:rsid w:val="00EA7B1F"/>
    <w:rsid w:val="00EA7B5B"/>
    <w:rsid w:val="00EA7BF0"/>
    <w:rsid w:val="00EA7CB3"/>
    <w:rsid w:val="00EA7CC3"/>
    <w:rsid w:val="00EA7D3E"/>
    <w:rsid w:val="00EA7E02"/>
    <w:rsid w:val="00EA7E3A"/>
    <w:rsid w:val="00EA7E93"/>
    <w:rsid w:val="00EA7F10"/>
    <w:rsid w:val="00EA7FDB"/>
    <w:rsid w:val="00EB0001"/>
    <w:rsid w:val="00EB029B"/>
    <w:rsid w:val="00EB0419"/>
    <w:rsid w:val="00EB0468"/>
    <w:rsid w:val="00EB047E"/>
    <w:rsid w:val="00EB048E"/>
    <w:rsid w:val="00EB0496"/>
    <w:rsid w:val="00EB049E"/>
    <w:rsid w:val="00EB053D"/>
    <w:rsid w:val="00EB05AA"/>
    <w:rsid w:val="00EB062A"/>
    <w:rsid w:val="00EB0672"/>
    <w:rsid w:val="00EB06BA"/>
    <w:rsid w:val="00EB070F"/>
    <w:rsid w:val="00EB072B"/>
    <w:rsid w:val="00EB0753"/>
    <w:rsid w:val="00EB0778"/>
    <w:rsid w:val="00EB07D4"/>
    <w:rsid w:val="00EB090F"/>
    <w:rsid w:val="00EB097D"/>
    <w:rsid w:val="00EB0AB5"/>
    <w:rsid w:val="00EB0ABF"/>
    <w:rsid w:val="00EB0AFA"/>
    <w:rsid w:val="00EB0B47"/>
    <w:rsid w:val="00EB0B86"/>
    <w:rsid w:val="00EB0B9F"/>
    <w:rsid w:val="00EB0BA7"/>
    <w:rsid w:val="00EB0CA3"/>
    <w:rsid w:val="00EB0D2C"/>
    <w:rsid w:val="00EB0EDB"/>
    <w:rsid w:val="00EB0F55"/>
    <w:rsid w:val="00EB0F76"/>
    <w:rsid w:val="00EB0FB0"/>
    <w:rsid w:val="00EB10B9"/>
    <w:rsid w:val="00EB10BD"/>
    <w:rsid w:val="00EB112B"/>
    <w:rsid w:val="00EB1147"/>
    <w:rsid w:val="00EB11D3"/>
    <w:rsid w:val="00EB121E"/>
    <w:rsid w:val="00EB12D0"/>
    <w:rsid w:val="00EB1434"/>
    <w:rsid w:val="00EB1480"/>
    <w:rsid w:val="00EB15B4"/>
    <w:rsid w:val="00EB169C"/>
    <w:rsid w:val="00EB17B8"/>
    <w:rsid w:val="00EB18B4"/>
    <w:rsid w:val="00EB1975"/>
    <w:rsid w:val="00EB19AC"/>
    <w:rsid w:val="00EB19C5"/>
    <w:rsid w:val="00EB1AD6"/>
    <w:rsid w:val="00EB1D05"/>
    <w:rsid w:val="00EB1D68"/>
    <w:rsid w:val="00EB1DCE"/>
    <w:rsid w:val="00EB1E57"/>
    <w:rsid w:val="00EB2043"/>
    <w:rsid w:val="00EB2061"/>
    <w:rsid w:val="00EB212E"/>
    <w:rsid w:val="00EB2167"/>
    <w:rsid w:val="00EB21D9"/>
    <w:rsid w:val="00EB2216"/>
    <w:rsid w:val="00EB227C"/>
    <w:rsid w:val="00EB2330"/>
    <w:rsid w:val="00EB242E"/>
    <w:rsid w:val="00EB2462"/>
    <w:rsid w:val="00EB2648"/>
    <w:rsid w:val="00EB2649"/>
    <w:rsid w:val="00EB26F2"/>
    <w:rsid w:val="00EB27C1"/>
    <w:rsid w:val="00EB28A6"/>
    <w:rsid w:val="00EB2907"/>
    <w:rsid w:val="00EB2908"/>
    <w:rsid w:val="00EB2949"/>
    <w:rsid w:val="00EB2A7F"/>
    <w:rsid w:val="00EB2AD7"/>
    <w:rsid w:val="00EB2B1C"/>
    <w:rsid w:val="00EB2B45"/>
    <w:rsid w:val="00EB2B9C"/>
    <w:rsid w:val="00EB2BA1"/>
    <w:rsid w:val="00EB2C4D"/>
    <w:rsid w:val="00EB2D1C"/>
    <w:rsid w:val="00EB2DD8"/>
    <w:rsid w:val="00EB2E03"/>
    <w:rsid w:val="00EB2E38"/>
    <w:rsid w:val="00EB300F"/>
    <w:rsid w:val="00EB30DA"/>
    <w:rsid w:val="00EB315B"/>
    <w:rsid w:val="00EB3407"/>
    <w:rsid w:val="00EB342D"/>
    <w:rsid w:val="00EB34C0"/>
    <w:rsid w:val="00EB3547"/>
    <w:rsid w:val="00EB3569"/>
    <w:rsid w:val="00EB35B1"/>
    <w:rsid w:val="00EB360A"/>
    <w:rsid w:val="00EB36B7"/>
    <w:rsid w:val="00EB36F7"/>
    <w:rsid w:val="00EB3707"/>
    <w:rsid w:val="00EB3784"/>
    <w:rsid w:val="00EB37A2"/>
    <w:rsid w:val="00EB37B7"/>
    <w:rsid w:val="00EB3847"/>
    <w:rsid w:val="00EB3988"/>
    <w:rsid w:val="00EB3B85"/>
    <w:rsid w:val="00EB3BB3"/>
    <w:rsid w:val="00EB3C15"/>
    <w:rsid w:val="00EB3CD2"/>
    <w:rsid w:val="00EB3CE4"/>
    <w:rsid w:val="00EB3DFA"/>
    <w:rsid w:val="00EB3E31"/>
    <w:rsid w:val="00EB3E41"/>
    <w:rsid w:val="00EB3EDD"/>
    <w:rsid w:val="00EB3EE6"/>
    <w:rsid w:val="00EB3F3A"/>
    <w:rsid w:val="00EB3F9A"/>
    <w:rsid w:val="00EB3FC4"/>
    <w:rsid w:val="00EB4092"/>
    <w:rsid w:val="00EB40BA"/>
    <w:rsid w:val="00EB4175"/>
    <w:rsid w:val="00EB419D"/>
    <w:rsid w:val="00EB41B5"/>
    <w:rsid w:val="00EB41DB"/>
    <w:rsid w:val="00EB4232"/>
    <w:rsid w:val="00EB42BA"/>
    <w:rsid w:val="00EB43B1"/>
    <w:rsid w:val="00EB4520"/>
    <w:rsid w:val="00EB4636"/>
    <w:rsid w:val="00EB4639"/>
    <w:rsid w:val="00EB4643"/>
    <w:rsid w:val="00EB46E8"/>
    <w:rsid w:val="00EB472A"/>
    <w:rsid w:val="00EB47A7"/>
    <w:rsid w:val="00EB4895"/>
    <w:rsid w:val="00EB4897"/>
    <w:rsid w:val="00EB49B0"/>
    <w:rsid w:val="00EB49CD"/>
    <w:rsid w:val="00EB4A84"/>
    <w:rsid w:val="00EB4A9B"/>
    <w:rsid w:val="00EB4BE2"/>
    <w:rsid w:val="00EB4BF1"/>
    <w:rsid w:val="00EB4C4B"/>
    <w:rsid w:val="00EB4C83"/>
    <w:rsid w:val="00EB4D14"/>
    <w:rsid w:val="00EB4DBC"/>
    <w:rsid w:val="00EB4DF0"/>
    <w:rsid w:val="00EB4E21"/>
    <w:rsid w:val="00EB4F55"/>
    <w:rsid w:val="00EB4F56"/>
    <w:rsid w:val="00EB4F72"/>
    <w:rsid w:val="00EB4FF3"/>
    <w:rsid w:val="00EB500A"/>
    <w:rsid w:val="00EB5102"/>
    <w:rsid w:val="00EB51A8"/>
    <w:rsid w:val="00EB51D1"/>
    <w:rsid w:val="00EB51E3"/>
    <w:rsid w:val="00EB51F1"/>
    <w:rsid w:val="00EB51F4"/>
    <w:rsid w:val="00EB524F"/>
    <w:rsid w:val="00EB5310"/>
    <w:rsid w:val="00EB5485"/>
    <w:rsid w:val="00EB54D8"/>
    <w:rsid w:val="00EB550D"/>
    <w:rsid w:val="00EB561F"/>
    <w:rsid w:val="00EB56D1"/>
    <w:rsid w:val="00EB5939"/>
    <w:rsid w:val="00EB5A32"/>
    <w:rsid w:val="00EB5A62"/>
    <w:rsid w:val="00EB5A77"/>
    <w:rsid w:val="00EB5B2E"/>
    <w:rsid w:val="00EB5B33"/>
    <w:rsid w:val="00EB5BC5"/>
    <w:rsid w:val="00EB5C21"/>
    <w:rsid w:val="00EB5C2E"/>
    <w:rsid w:val="00EB5C6E"/>
    <w:rsid w:val="00EB5D05"/>
    <w:rsid w:val="00EB5DD7"/>
    <w:rsid w:val="00EB5E08"/>
    <w:rsid w:val="00EB5F04"/>
    <w:rsid w:val="00EB5F2D"/>
    <w:rsid w:val="00EB5F80"/>
    <w:rsid w:val="00EB608D"/>
    <w:rsid w:val="00EB6124"/>
    <w:rsid w:val="00EB6167"/>
    <w:rsid w:val="00EB62F2"/>
    <w:rsid w:val="00EB6379"/>
    <w:rsid w:val="00EB63C0"/>
    <w:rsid w:val="00EB6534"/>
    <w:rsid w:val="00EB65A2"/>
    <w:rsid w:val="00EB665E"/>
    <w:rsid w:val="00EB66A0"/>
    <w:rsid w:val="00EB66A3"/>
    <w:rsid w:val="00EB670C"/>
    <w:rsid w:val="00EB672C"/>
    <w:rsid w:val="00EB6796"/>
    <w:rsid w:val="00EB67B6"/>
    <w:rsid w:val="00EB6821"/>
    <w:rsid w:val="00EB6851"/>
    <w:rsid w:val="00EB6947"/>
    <w:rsid w:val="00EB69E0"/>
    <w:rsid w:val="00EB6AF3"/>
    <w:rsid w:val="00EB6B6D"/>
    <w:rsid w:val="00EB6B8B"/>
    <w:rsid w:val="00EB6BA2"/>
    <w:rsid w:val="00EB6CB5"/>
    <w:rsid w:val="00EB6CD0"/>
    <w:rsid w:val="00EB6ECC"/>
    <w:rsid w:val="00EB6EDF"/>
    <w:rsid w:val="00EB70C0"/>
    <w:rsid w:val="00EB70DB"/>
    <w:rsid w:val="00EB7174"/>
    <w:rsid w:val="00EB71D9"/>
    <w:rsid w:val="00EB72DB"/>
    <w:rsid w:val="00EB73CA"/>
    <w:rsid w:val="00EB73EC"/>
    <w:rsid w:val="00EB7566"/>
    <w:rsid w:val="00EB75ED"/>
    <w:rsid w:val="00EB7619"/>
    <w:rsid w:val="00EB768B"/>
    <w:rsid w:val="00EB7709"/>
    <w:rsid w:val="00EB782C"/>
    <w:rsid w:val="00EB78C9"/>
    <w:rsid w:val="00EB78E0"/>
    <w:rsid w:val="00EB7908"/>
    <w:rsid w:val="00EB79B2"/>
    <w:rsid w:val="00EB7A26"/>
    <w:rsid w:val="00EB7A28"/>
    <w:rsid w:val="00EB7B10"/>
    <w:rsid w:val="00EB7B52"/>
    <w:rsid w:val="00EB7B6A"/>
    <w:rsid w:val="00EB7C49"/>
    <w:rsid w:val="00EB7C62"/>
    <w:rsid w:val="00EB7C99"/>
    <w:rsid w:val="00EB7CB1"/>
    <w:rsid w:val="00EB7DA4"/>
    <w:rsid w:val="00EB7E54"/>
    <w:rsid w:val="00EB7EC2"/>
    <w:rsid w:val="00EB7EE3"/>
    <w:rsid w:val="00EB7FF0"/>
    <w:rsid w:val="00EC0006"/>
    <w:rsid w:val="00EC0015"/>
    <w:rsid w:val="00EC006F"/>
    <w:rsid w:val="00EC007E"/>
    <w:rsid w:val="00EC03E5"/>
    <w:rsid w:val="00EC062A"/>
    <w:rsid w:val="00EC076C"/>
    <w:rsid w:val="00EC07E3"/>
    <w:rsid w:val="00EC09A8"/>
    <w:rsid w:val="00EC0A8D"/>
    <w:rsid w:val="00EC0AA2"/>
    <w:rsid w:val="00EC0B92"/>
    <w:rsid w:val="00EC0BB6"/>
    <w:rsid w:val="00EC0BB7"/>
    <w:rsid w:val="00EC0C31"/>
    <w:rsid w:val="00EC0C3E"/>
    <w:rsid w:val="00EC0CBE"/>
    <w:rsid w:val="00EC0CD6"/>
    <w:rsid w:val="00EC0CDC"/>
    <w:rsid w:val="00EC0D3C"/>
    <w:rsid w:val="00EC0D67"/>
    <w:rsid w:val="00EC0E16"/>
    <w:rsid w:val="00EC0E42"/>
    <w:rsid w:val="00EC0E92"/>
    <w:rsid w:val="00EC1074"/>
    <w:rsid w:val="00EC10B6"/>
    <w:rsid w:val="00EC10CC"/>
    <w:rsid w:val="00EC12A5"/>
    <w:rsid w:val="00EC1312"/>
    <w:rsid w:val="00EC1340"/>
    <w:rsid w:val="00EC1447"/>
    <w:rsid w:val="00EC1452"/>
    <w:rsid w:val="00EC148F"/>
    <w:rsid w:val="00EC1760"/>
    <w:rsid w:val="00EC187E"/>
    <w:rsid w:val="00EC191B"/>
    <w:rsid w:val="00EC195B"/>
    <w:rsid w:val="00EC196E"/>
    <w:rsid w:val="00EC1BF5"/>
    <w:rsid w:val="00EC1C6E"/>
    <w:rsid w:val="00EC1D5B"/>
    <w:rsid w:val="00EC1EAE"/>
    <w:rsid w:val="00EC208D"/>
    <w:rsid w:val="00EC20D1"/>
    <w:rsid w:val="00EC217F"/>
    <w:rsid w:val="00EC2250"/>
    <w:rsid w:val="00EC225B"/>
    <w:rsid w:val="00EC24A4"/>
    <w:rsid w:val="00EC268B"/>
    <w:rsid w:val="00EC27AF"/>
    <w:rsid w:val="00EC286D"/>
    <w:rsid w:val="00EC289B"/>
    <w:rsid w:val="00EC29AA"/>
    <w:rsid w:val="00EC2A24"/>
    <w:rsid w:val="00EC2C6E"/>
    <w:rsid w:val="00EC2D14"/>
    <w:rsid w:val="00EC2DCD"/>
    <w:rsid w:val="00EC2E65"/>
    <w:rsid w:val="00EC2E6D"/>
    <w:rsid w:val="00EC2EAF"/>
    <w:rsid w:val="00EC2F34"/>
    <w:rsid w:val="00EC2FCC"/>
    <w:rsid w:val="00EC3108"/>
    <w:rsid w:val="00EC32EE"/>
    <w:rsid w:val="00EC3399"/>
    <w:rsid w:val="00EC3450"/>
    <w:rsid w:val="00EC3586"/>
    <w:rsid w:val="00EC35E5"/>
    <w:rsid w:val="00EC369C"/>
    <w:rsid w:val="00EC36A9"/>
    <w:rsid w:val="00EC3980"/>
    <w:rsid w:val="00EC3B53"/>
    <w:rsid w:val="00EC3B68"/>
    <w:rsid w:val="00EC3BAC"/>
    <w:rsid w:val="00EC3CC4"/>
    <w:rsid w:val="00EC3D9E"/>
    <w:rsid w:val="00EC3DA1"/>
    <w:rsid w:val="00EC3DCD"/>
    <w:rsid w:val="00EC3EA5"/>
    <w:rsid w:val="00EC3EA6"/>
    <w:rsid w:val="00EC3F6C"/>
    <w:rsid w:val="00EC3FBF"/>
    <w:rsid w:val="00EC4053"/>
    <w:rsid w:val="00EC40B9"/>
    <w:rsid w:val="00EC40D3"/>
    <w:rsid w:val="00EC412F"/>
    <w:rsid w:val="00EC416A"/>
    <w:rsid w:val="00EC422B"/>
    <w:rsid w:val="00EC424F"/>
    <w:rsid w:val="00EC42B7"/>
    <w:rsid w:val="00EC436A"/>
    <w:rsid w:val="00EC4431"/>
    <w:rsid w:val="00EC4447"/>
    <w:rsid w:val="00EC4471"/>
    <w:rsid w:val="00EC44D5"/>
    <w:rsid w:val="00EC451E"/>
    <w:rsid w:val="00EC454B"/>
    <w:rsid w:val="00EC457C"/>
    <w:rsid w:val="00EC460E"/>
    <w:rsid w:val="00EC460F"/>
    <w:rsid w:val="00EC4652"/>
    <w:rsid w:val="00EC472E"/>
    <w:rsid w:val="00EC4773"/>
    <w:rsid w:val="00EC47D3"/>
    <w:rsid w:val="00EC484B"/>
    <w:rsid w:val="00EC4852"/>
    <w:rsid w:val="00EC492C"/>
    <w:rsid w:val="00EC4978"/>
    <w:rsid w:val="00EC49DE"/>
    <w:rsid w:val="00EC4A20"/>
    <w:rsid w:val="00EC4A45"/>
    <w:rsid w:val="00EC4B19"/>
    <w:rsid w:val="00EC4BAE"/>
    <w:rsid w:val="00EC4CB2"/>
    <w:rsid w:val="00EC4E30"/>
    <w:rsid w:val="00EC4F05"/>
    <w:rsid w:val="00EC4F20"/>
    <w:rsid w:val="00EC4F42"/>
    <w:rsid w:val="00EC51C4"/>
    <w:rsid w:val="00EC5227"/>
    <w:rsid w:val="00EC5263"/>
    <w:rsid w:val="00EC527B"/>
    <w:rsid w:val="00EC52A5"/>
    <w:rsid w:val="00EC5354"/>
    <w:rsid w:val="00EC5397"/>
    <w:rsid w:val="00EC54CC"/>
    <w:rsid w:val="00EC5524"/>
    <w:rsid w:val="00EC552F"/>
    <w:rsid w:val="00EC559F"/>
    <w:rsid w:val="00EC56D4"/>
    <w:rsid w:val="00EC5744"/>
    <w:rsid w:val="00EC579F"/>
    <w:rsid w:val="00EC5910"/>
    <w:rsid w:val="00EC592F"/>
    <w:rsid w:val="00EC595D"/>
    <w:rsid w:val="00EC597E"/>
    <w:rsid w:val="00EC59C9"/>
    <w:rsid w:val="00EC5AD5"/>
    <w:rsid w:val="00EC5B12"/>
    <w:rsid w:val="00EC5B65"/>
    <w:rsid w:val="00EC5BD5"/>
    <w:rsid w:val="00EC5BE5"/>
    <w:rsid w:val="00EC5C3C"/>
    <w:rsid w:val="00EC5CB9"/>
    <w:rsid w:val="00EC5DAF"/>
    <w:rsid w:val="00EC5E60"/>
    <w:rsid w:val="00EC5E8C"/>
    <w:rsid w:val="00EC5F93"/>
    <w:rsid w:val="00EC6015"/>
    <w:rsid w:val="00EC6081"/>
    <w:rsid w:val="00EC611E"/>
    <w:rsid w:val="00EC6147"/>
    <w:rsid w:val="00EC625B"/>
    <w:rsid w:val="00EC6300"/>
    <w:rsid w:val="00EC63B8"/>
    <w:rsid w:val="00EC63C9"/>
    <w:rsid w:val="00EC63D4"/>
    <w:rsid w:val="00EC6466"/>
    <w:rsid w:val="00EC647E"/>
    <w:rsid w:val="00EC654A"/>
    <w:rsid w:val="00EC65A5"/>
    <w:rsid w:val="00EC65D5"/>
    <w:rsid w:val="00EC65EC"/>
    <w:rsid w:val="00EC66D3"/>
    <w:rsid w:val="00EC6723"/>
    <w:rsid w:val="00EC67DD"/>
    <w:rsid w:val="00EC67E0"/>
    <w:rsid w:val="00EC6866"/>
    <w:rsid w:val="00EC6953"/>
    <w:rsid w:val="00EC69A2"/>
    <w:rsid w:val="00EC69EF"/>
    <w:rsid w:val="00EC6A10"/>
    <w:rsid w:val="00EC6A8A"/>
    <w:rsid w:val="00EC6B61"/>
    <w:rsid w:val="00EC6D70"/>
    <w:rsid w:val="00EC6E10"/>
    <w:rsid w:val="00EC6EDC"/>
    <w:rsid w:val="00EC7146"/>
    <w:rsid w:val="00EC71F3"/>
    <w:rsid w:val="00EC721D"/>
    <w:rsid w:val="00EC74C2"/>
    <w:rsid w:val="00EC74F5"/>
    <w:rsid w:val="00EC7660"/>
    <w:rsid w:val="00EC7695"/>
    <w:rsid w:val="00EC76F9"/>
    <w:rsid w:val="00EC780E"/>
    <w:rsid w:val="00EC78CA"/>
    <w:rsid w:val="00EC79F5"/>
    <w:rsid w:val="00EC7A02"/>
    <w:rsid w:val="00EC7A5B"/>
    <w:rsid w:val="00EC7E91"/>
    <w:rsid w:val="00EC7F52"/>
    <w:rsid w:val="00EC7F6C"/>
    <w:rsid w:val="00EC7FA1"/>
    <w:rsid w:val="00EC7FF9"/>
    <w:rsid w:val="00ED008C"/>
    <w:rsid w:val="00ED015A"/>
    <w:rsid w:val="00ED0218"/>
    <w:rsid w:val="00ED0222"/>
    <w:rsid w:val="00ED0291"/>
    <w:rsid w:val="00ED02B1"/>
    <w:rsid w:val="00ED037D"/>
    <w:rsid w:val="00ED05D1"/>
    <w:rsid w:val="00ED05F7"/>
    <w:rsid w:val="00ED0636"/>
    <w:rsid w:val="00ED063D"/>
    <w:rsid w:val="00ED0782"/>
    <w:rsid w:val="00ED081B"/>
    <w:rsid w:val="00ED0878"/>
    <w:rsid w:val="00ED0A28"/>
    <w:rsid w:val="00ED0B4B"/>
    <w:rsid w:val="00ED0B7C"/>
    <w:rsid w:val="00ED0BC2"/>
    <w:rsid w:val="00ED0CD8"/>
    <w:rsid w:val="00ED0F11"/>
    <w:rsid w:val="00ED0F99"/>
    <w:rsid w:val="00ED0FC2"/>
    <w:rsid w:val="00ED1033"/>
    <w:rsid w:val="00ED1067"/>
    <w:rsid w:val="00ED1080"/>
    <w:rsid w:val="00ED10B4"/>
    <w:rsid w:val="00ED10FC"/>
    <w:rsid w:val="00ED11C9"/>
    <w:rsid w:val="00ED127B"/>
    <w:rsid w:val="00ED130E"/>
    <w:rsid w:val="00ED134E"/>
    <w:rsid w:val="00ED1475"/>
    <w:rsid w:val="00ED1489"/>
    <w:rsid w:val="00ED1504"/>
    <w:rsid w:val="00ED155B"/>
    <w:rsid w:val="00ED1746"/>
    <w:rsid w:val="00ED17E0"/>
    <w:rsid w:val="00ED17F8"/>
    <w:rsid w:val="00ED185F"/>
    <w:rsid w:val="00ED18D4"/>
    <w:rsid w:val="00ED18EA"/>
    <w:rsid w:val="00ED1A65"/>
    <w:rsid w:val="00ED1C70"/>
    <w:rsid w:val="00ED1C7A"/>
    <w:rsid w:val="00ED1D5E"/>
    <w:rsid w:val="00ED1E39"/>
    <w:rsid w:val="00ED1F94"/>
    <w:rsid w:val="00ED1FAC"/>
    <w:rsid w:val="00ED201D"/>
    <w:rsid w:val="00ED2061"/>
    <w:rsid w:val="00ED20FF"/>
    <w:rsid w:val="00ED215A"/>
    <w:rsid w:val="00ED2177"/>
    <w:rsid w:val="00ED21A0"/>
    <w:rsid w:val="00ED21B1"/>
    <w:rsid w:val="00ED2446"/>
    <w:rsid w:val="00ED252A"/>
    <w:rsid w:val="00ED2539"/>
    <w:rsid w:val="00ED2662"/>
    <w:rsid w:val="00ED278F"/>
    <w:rsid w:val="00ED27D3"/>
    <w:rsid w:val="00ED280A"/>
    <w:rsid w:val="00ED2813"/>
    <w:rsid w:val="00ED2834"/>
    <w:rsid w:val="00ED2863"/>
    <w:rsid w:val="00ED2874"/>
    <w:rsid w:val="00ED28D8"/>
    <w:rsid w:val="00ED2906"/>
    <w:rsid w:val="00ED2956"/>
    <w:rsid w:val="00ED2A32"/>
    <w:rsid w:val="00ED2A75"/>
    <w:rsid w:val="00ED2B23"/>
    <w:rsid w:val="00ED2B80"/>
    <w:rsid w:val="00ED2CC1"/>
    <w:rsid w:val="00ED2CDA"/>
    <w:rsid w:val="00ED2D89"/>
    <w:rsid w:val="00ED2DB4"/>
    <w:rsid w:val="00ED2ECB"/>
    <w:rsid w:val="00ED2F8A"/>
    <w:rsid w:val="00ED2FE5"/>
    <w:rsid w:val="00ED30F5"/>
    <w:rsid w:val="00ED3117"/>
    <w:rsid w:val="00ED316C"/>
    <w:rsid w:val="00ED31F3"/>
    <w:rsid w:val="00ED32A5"/>
    <w:rsid w:val="00ED3414"/>
    <w:rsid w:val="00ED35F8"/>
    <w:rsid w:val="00ED36FD"/>
    <w:rsid w:val="00ED370B"/>
    <w:rsid w:val="00ED371C"/>
    <w:rsid w:val="00ED37C3"/>
    <w:rsid w:val="00ED380E"/>
    <w:rsid w:val="00ED38DC"/>
    <w:rsid w:val="00ED392A"/>
    <w:rsid w:val="00ED39CD"/>
    <w:rsid w:val="00ED3A38"/>
    <w:rsid w:val="00ED3B76"/>
    <w:rsid w:val="00ED3BCB"/>
    <w:rsid w:val="00ED3C15"/>
    <w:rsid w:val="00ED3C97"/>
    <w:rsid w:val="00ED3D8E"/>
    <w:rsid w:val="00ED3D8F"/>
    <w:rsid w:val="00ED3DAD"/>
    <w:rsid w:val="00ED3E97"/>
    <w:rsid w:val="00ED3F4A"/>
    <w:rsid w:val="00ED3F75"/>
    <w:rsid w:val="00ED3FE1"/>
    <w:rsid w:val="00ED40A8"/>
    <w:rsid w:val="00ED4174"/>
    <w:rsid w:val="00ED41B2"/>
    <w:rsid w:val="00ED4235"/>
    <w:rsid w:val="00ED43AE"/>
    <w:rsid w:val="00ED45AD"/>
    <w:rsid w:val="00ED463D"/>
    <w:rsid w:val="00ED4711"/>
    <w:rsid w:val="00ED48C9"/>
    <w:rsid w:val="00ED494F"/>
    <w:rsid w:val="00ED4962"/>
    <w:rsid w:val="00ED496A"/>
    <w:rsid w:val="00ED49EB"/>
    <w:rsid w:val="00ED49F9"/>
    <w:rsid w:val="00ED4A49"/>
    <w:rsid w:val="00ED4B1D"/>
    <w:rsid w:val="00ED4CF8"/>
    <w:rsid w:val="00ED4DE0"/>
    <w:rsid w:val="00ED4E57"/>
    <w:rsid w:val="00ED4F91"/>
    <w:rsid w:val="00ED5012"/>
    <w:rsid w:val="00ED5118"/>
    <w:rsid w:val="00ED5125"/>
    <w:rsid w:val="00ED519F"/>
    <w:rsid w:val="00ED5296"/>
    <w:rsid w:val="00ED52EA"/>
    <w:rsid w:val="00ED541D"/>
    <w:rsid w:val="00ED5536"/>
    <w:rsid w:val="00ED553C"/>
    <w:rsid w:val="00ED562E"/>
    <w:rsid w:val="00ED56A3"/>
    <w:rsid w:val="00ED579B"/>
    <w:rsid w:val="00ED5848"/>
    <w:rsid w:val="00ED58FC"/>
    <w:rsid w:val="00ED595F"/>
    <w:rsid w:val="00ED596B"/>
    <w:rsid w:val="00ED59ED"/>
    <w:rsid w:val="00ED5A05"/>
    <w:rsid w:val="00ED5A33"/>
    <w:rsid w:val="00ED5AA6"/>
    <w:rsid w:val="00ED5C03"/>
    <w:rsid w:val="00ED5C73"/>
    <w:rsid w:val="00ED5C83"/>
    <w:rsid w:val="00ED5CD1"/>
    <w:rsid w:val="00ED5DD3"/>
    <w:rsid w:val="00ED5EF1"/>
    <w:rsid w:val="00ED5F02"/>
    <w:rsid w:val="00ED5F4B"/>
    <w:rsid w:val="00ED6076"/>
    <w:rsid w:val="00ED60DC"/>
    <w:rsid w:val="00ED6161"/>
    <w:rsid w:val="00ED6184"/>
    <w:rsid w:val="00ED6225"/>
    <w:rsid w:val="00ED6232"/>
    <w:rsid w:val="00ED6253"/>
    <w:rsid w:val="00ED6294"/>
    <w:rsid w:val="00ED62D7"/>
    <w:rsid w:val="00ED62DF"/>
    <w:rsid w:val="00ED6416"/>
    <w:rsid w:val="00ED6554"/>
    <w:rsid w:val="00ED655F"/>
    <w:rsid w:val="00ED66B6"/>
    <w:rsid w:val="00ED66EE"/>
    <w:rsid w:val="00ED67B8"/>
    <w:rsid w:val="00ED67D7"/>
    <w:rsid w:val="00ED6A0E"/>
    <w:rsid w:val="00ED6AA6"/>
    <w:rsid w:val="00ED6AB7"/>
    <w:rsid w:val="00ED6C29"/>
    <w:rsid w:val="00ED6D0A"/>
    <w:rsid w:val="00ED6F65"/>
    <w:rsid w:val="00ED6FCC"/>
    <w:rsid w:val="00ED7054"/>
    <w:rsid w:val="00ED706A"/>
    <w:rsid w:val="00ED707D"/>
    <w:rsid w:val="00ED7122"/>
    <w:rsid w:val="00ED727F"/>
    <w:rsid w:val="00ED7297"/>
    <w:rsid w:val="00ED72AB"/>
    <w:rsid w:val="00ED73A3"/>
    <w:rsid w:val="00ED7403"/>
    <w:rsid w:val="00ED745A"/>
    <w:rsid w:val="00ED7502"/>
    <w:rsid w:val="00ED75B0"/>
    <w:rsid w:val="00ED75E1"/>
    <w:rsid w:val="00ED766F"/>
    <w:rsid w:val="00ED7673"/>
    <w:rsid w:val="00ED76FA"/>
    <w:rsid w:val="00ED779F"/>
    <w:rsid w:val="00ED77AB"/>
    <w:rsid w:val="00ED77DC"/>
    <w:rsid w:val="00ED7823"/>
    <w:rsid w:val="00ED785F"/>
    <w:rsid w:val="00ED7880"/>
    <w:rsid w:val="00ED79C7"/>
    <w:rsid w:val="00ED7ABC"/>
    <w:rsid w:val="00ED7B33"/>
    <w:rsid w:val="00ED7BC3"/>
    <w:rsid w:val="00ED7BF8"/>
    <w:rsid w:val="00ED7CE8"/>
    <w:rsid w:val="00ED7D72"/>
    <w:rsid w:val="00ED7DDD"/>
    <w:rsid w:val="00ED7E0B"/>
    <w:rsid w:val="00ED7E35"/>
    <w:rsid w:val="00ED7EFD"/>
    <w:rsid w:val="00ED7F1E"/>
    <w:rsid w:val="00ED7F78"/>
    <w:rsid w:val="00ED7FCB"/>
    <w:rsid w:val="00EE018D"/>
    <w:rsid w:val="00EE019C"/>
    <w:rsid w:val="00EE01CF"/>
    <w:rsid w:val="00EE030B"/>
    <w:rsid w:val="00EE05C3"/>
    <w:rsid w:val="00EE067D"/>
    <w:rsid w:val="00EE06E7"/>
    <w:rsid w:val="00EE0782"/>
    <w:rsid w:val="00EE07C7"/>
    <w:rsid w:val="00EE0883"/>
    <w:rsid w:val="00EE0896"/>
    <w:rsid w:val="00EE08DF"/>
    <w:rsid w:val="00EE0A36"/>
    <w:rsid w:val="00EE0A77"/>
    <w:rsid w:val="00EE0B60"/>
    <w:rsid w:val="00EE0B73"/>
    <w:rsid w:val="00EE0C48"/>
    <w:rsid w:val="00EE0D3C"/>
    <w:rsid w:val="00EE0E4F"/>
    <w:rsid w:val="00EE0E8D"/>
    <w:rsid w:val="00EE0F68"/>
    <w:rsid w:val="00EE102F"/>
    <w:rsid w:val="00EE111C"/>
    <w:rsid w:val="00EE11EF"/>
    <w:rsid w:val="00EE1208"/>
    <w:rsid w:val="00EE125B"/>
    <w:rsid w:val="00EE1316"/>
    <w:rsid w:val="00EE1331"/>
    <w:rsid w:val="00EE135F"/>
    <w:rsid w:val="00EE1426"/>
    <w:rsid w:val="00EE14FF"/>
    <w:rsid w:val="00EE1581"/>
    <w:rsid w:val="00EE1628"/>
    <w:rsid w:val="00EE16B0"/>
    <w:rsid w:val="00EE175B"/>
    <w:rsid w:val="00EE179E"/>
    <w:rsid w:val="00EE17E0"/>
    <w:rsid w:val="00EE180E"/>
    <w:rsid w:val="00EE18AE"/>
    <w:rsid w:val="00EE1900"/>
    <w:rsid w:val="00EE1974"/>
    <w:rsid w:val="00EE199E"/>
    <w:rsid w:val="00EE19D3"/>
    <w:rsid w:val="00EE1B48"/>
    <w:rsid w:val="00EE1BCE"/>
    <w:rsid w:val="00EE1C8A"/>
    <w:rsid w:val="00EE1CE1"/>
    <w:rsid w:val="00EE1E56"/>
    <w:rsid w:val="00EE1EED"/>
    <w:rsid w:val="00EE1FBB"/>
    <w:rsid w:val="00EE1FF3"/>
    <w:rsid w:val="00EE2081"/>
    <w:rsid w:val="00EE213B"/>
    <w:rsid w:val="00EE217F"/>
    <w:rsid w:val="00EE2185"/>
    <w:rsid w:val="00EE2263"/>
    <w:rsid w:val="00EE22C1"/>
    <w:rsid w:val="00EE233A"/>
    <w:rsid w:val="00EE2402"/>
    <w:rsid w:val="00EE241D"/>
    <w:rsid w:val="00EE2447"/>
    <w:rsid w:val="00EE24B0"/>
    <w:rsid w:val="00EE24DB"/>
    <w:rsid w:val="00EE2573"/>
    <w:rsid w:val="00EE2623"/>
    <w:rsid w:val="00EE26FA"/>
    <w:rsid w:val="00EE2743"/>
    <w:rsid w:val="00EE2777"/>
    <w:rsid w:val="00EE28AA"/>
    <w:rsid w:val="00EE28AB"/>
    <w:rsid w:val="00EE28DC"/>
    <w:rsid w:val="00EE2DAF"/>
    <w:rsid w:val="00EE2E75"/>
    <w:rsid w:val="00EE2ECC"/>
    <w:rsid w:val="00EE2F1E"/>
    <w:rsid w:val="00EE2F2E"/>
    <w:rsid w:val="00EE2FE5"/>
    <w:rsid w:val="00EE3048"/>
    <w:rsid w:val="00EE30AF"/>
    <w:rsid w:val="00EE32C7"/>
    <w:rsid w:val="00EE32DE"/>
    <w:rsid w:val="00EE336B"/>
    <w:rsid w:val="00EE337E"/>
    <w:rsid w:val="00EE3395"/>
    <w:rsid w:val="00EE343A"/>
    <w:rsid w:val="00EE348A"/>
    <w:rsid w:val="00EE3668"/>
    <w:rsid w:val="00EE368B"/>
    <w:rsid w:val="00EE369D"/>
    <w:rsid w:val="00EE36A4"/>
    <w:rsid w:val="00EE38EF"/>
    <w:rsid w:val="00EE392A"/>
    <w:rsid w:val="00EE39D9"/>
    <w:rsid w:val="00EE39EB"/>
    <w:rsid w:val="00EE3AAE"/>
    <w:rsid w:val="00EE3B2B"/>
    <w:rsid w:val="00EE3B2E"/>
    <w:rsid w:val="00EE3B3A"/>
    <w:rsid w:val="00EE3B6D"/>
    <w:rsid w:val="00EE3B8E"/>
    <w:rsid w:val="00EE3C35"/>
    <w:rsid w:val="00EE3CA6"/>
    <w:rsid w:val="00EE3CC4"/>
    <w:rsid w:val="00EE3E7E"/>
    <w:rsid w:val="00EE3EF4"/>
    <w:rsid w:val="00EE3F5E"/>
    <w:rsid w:val="00EE402C"/>
    <w:rsid w:val="00EE4445"/>
    <w:rsid w:val="00EE4494"/>
    <w:rsid w:val="00EE472B"/>
    <w:rsid w:val="00EE47FB"/>
    <w:rsid w:val="00EE481B"/>
    <w:rsid w:val="00EE4846"/>
    <w:rsid w:val="00EE4893"/>
    <w:rsid w:val="00EE48B6"/>
    <w:rsid w:val="00EE48DE"/>
    <w:rsid w:val="00EE499B"/>
    <w:rsid w:val="00EE4AEA"/>
    <w:rsid w:val="00EE4B0A"/>
    <w:rsid w:val="00EE4C13"/>
    <w:rsid w:val="00EE4CC3"/>
    <w:rsid w:val="00EE4DAC"/>
    <w:rsid w:val="00EE4DF0"/>
    <w:rsid w:val="00EE4EAE"/>
    <w:rsid w:val="00EE4F44"/>
    <w:rsid w:val="00EE4F78"/>
    <w:rsid w:val="00EE4FB4"/>
    <w:rsid w:val="00EE5080"/>
    <w:rsid w:val="00EE50B8"/>
    <w:rsid w:val="00EE523C"/>
    <w:rsid w:val="00EE52D9"/>
    <w:rsid w:val="00EE52FC"/>
    <w:rsid w:val="00EE532E"/>
    <w:rsid w:val="00EE543C"/>
    <w:rsid w:val="00EE5498"/>
    <w:rsid w:val="00EE5620"/>
    <w:rsid w:val="00EE56F3"/>
    <w:rsid w:val="00EE5709"/>
    <w:rsid w:val="00EE5920"/>
    <w:rsid w:val="00EE599B"/>
    <w:rsid w:val="00EE59C3"/>
    <w:rsid w:val="00EE5AED"/>
    <w:rsid w:val="00EE5BA3"/>
    <w:rsid w:val="00EE5C42"/>
    <w:rsid w:val="00EE5E81"/>
    <w:rsid w:val="00EE5EE8"/>
    <w:rsid w:val="00EE5F20"/>
    <w:rsid w:val="00EE5F99"/>
    <w:rsid w:val="00EE605C"/>
    <w:rsid w:val="00EE6060"/>
    <w:rsid w:val="00EE60DF"/>
    <w:rsid w:val="00EE6310"/>
    <w:rsid w:val="00EE6469"/>
    <w:rsid w:val="00EE660B"/>
    <w:rsid w:val="00EE669B"/>
    <w:rsid w:val="00EE66D3"/>
    <w:rsid w:val="00EE673F"/>
    <w:rsid w:val="00EE67BE"/>
    <w:rsid w:val="00EE6823"/>
    <w:rsid w:val="00EE6903"/>
    <w:rsid w:val="00EE6905"/>
    <w:rsid w:val="00EE6977"/>
    <w:rsid w:val="00EE69A0"/>
    <w:rsid w:val="00EE6A71"/>
    <w:rsid w:val="00EE6A79"/>
    <w:rsid w:val="00EE6AD5"/>
    <w:rsid w:val="00EE6B7E"/>
    <w:rsid w:val="00EE6C24"/>
    <w:rsid w:val="00EE6D7B"/>
    <w:rsid w:val="00EE6EBD"/>
    <w:rsid w:val="00EE7024"/>
    <w:rsid w:val="00EE7082"/>
    <w:rsid w:val="00EE70D3"/>
    <w:rsid w:val="00EE712A"/>
    <w:rsid w:val="00EE71DE"/>
    <w:rsid w:val="00EE7236"/>
    <w:rsid w:val="00EE7359"/>
    <w:rsid w:val="00EE752B"/>
    <w:rsid w:val="00EE75C2"/>
    <w:rsid w:val="00EE75C3"/>
    <w:rsid w:val="00EE7632"/>
    <w:rsid w:val="00EE768F"/>
    <w:rsid w:val="00EE7762"/>
    <w:rsid w:val="00EE7778"/>
    <w:rsid w:val="00EE777A"/>
    <w:rsid w:val="00EE77F4"/>
    <w:rsid w:val="00EE78CB"/>
    <w:rsid w:val="00EE793B"/>
    <w:rsid w:val="00EE7A02"/>
    <w:rsid w:val="00EE7B8F"/>
    <w:rsid w:val="00EE7BF4"/>
    <w:rsid w:val="00EE7BF5"/>
    <w:rsid w:val="00EE7C0A"/>
    <w:rsid w:val="00EE7C74"/>
    <w:rsid w:val="00EE7CA1"/>
    <w:rsid w:val="00EE7D10"/>
    <w:rsid w:val="00EE7E86"/>
    <w:rsid w:val="00EE7EFC"/>
    <w:rsid w:val="00EE7F62"/>
    <w:rsid w:val="00EF007D"/>
    <w:rsid w:val="00EF017C"/>
    <w:rsid w:val="00EF018C"/>
    <w:rsid w:val="00EF0209"/>
    <w:rsid w:val="00EF02F5"/>
    <w:rsid w:val="00EF03B0"/>
    <w:rsid w:val="00EF048A"/>
    <w:rsid w:val="00EF04C8"/>
    <w:rsid w:val="00EF050A"/>
    <w:rsid w:val="00EF0666"/>
    <w:rsid w:val="00EF0759"/>
    <w:rsid w:val="00EF079D"/>
    <w:rsid w:val="00EF08E5"/>
    <w:rsid w:val="00EF09D6"/>
    <w:rsid w:val="00EF0A4E"/>
    <w:rsid w:val="00EF0A64"/>
    <w:rsid w:val="00EF0A90"/>
    <w:rsid w:val="00EF0B2F"/>
    <w:rsid w:val="00EF0B72"/>
    <w:rsid w:val="00EF0C01"/>
    <w:rsid w:val="00EF0C62"/>
    <w:rsid w:val="00EF0D55"/>
    <w:rsid w:val="00EF0DFA"/>
    <w:rsid w:val="00EF0ED4"/>
    <w:rsid w:val="00EF0ED9"/>
    <w:rsid w:val="00EF102C"/>
    <w:rsid w:val="00EF1096"/>
    <w:rsid w:val="00EF1164"/>
    <w:rsid w:val="00EF1183"/>
    <w:rsid w:val="00EF1219"/>
    <w:rsid w:val="00EF1424"/>
    <w:rsid w:val="00EF1458"/>
    <w:rsid w:val="00EF146C"/>
    <w:rsid w:val="00EF1476"/>
    <w:rsid w:val="00EF1524"/>
    <w:rsid w:val="00EF152A"/>
    <w:rsid w:val="00EF15A3"/>
    <w:rsid w:val="00EF15CA"/>
    <w:rsid w:val="00EF16D1"/>
    <w:rsid w:val="00EF1717"/>
    <w:rsid w:val="00EF171F"/>
    <w:rsid w:val="00EF18B1"/>
    <w:rsid w:val="00EF1928"/>
    <w:rsid w:val="00EF1D73"/>
    <w:rsid w:val="00EF1F84"/>
    <w:rsid w:val="00EF1FD9"/>
    <w:rsid w:val="00EF1FFB"/>
    <w:rsid w:val="00EF203F"/>
    <w:rsid w:val="00EF217A"/>
    <w:rsid w:val="00EF21EC"/>
    <w:rsid w:val="00EF22FC"/>
    <w:rsid w:val="00EF2304"/>
    <w:rsid w:val="00EF23D8"/>
    <w:rsid w:val="00EF2447"/>
    <w:rsid w:val="00EF252E"/>
    <w:rsid w:val="00EF25A0"/>
    <w:rsid w:val="00EF2748"/>
    <w:rsid w:val="00EF27F0"/>
    <w:rsid w:val="00EF298D"/>
    <w:rsid w:val="00EF29A8"/>
    <w:rsid w:val="00EF29B5"/>
    <w:rsid w:val="00EF2AB8"/>
    <w:rsid w:val="00EF2C28"/>
    <w:rsid w:val="00EF2C40"/>
    <w:rsid w:val="00EF2C44"/>
    <w:rsid w:val="00EF2F51"/>
    <w:rsid w:val="00EF30B1"/>
    <w:rsid w:val="00EF31AA"/>
    <w:rsid w:val="00EF328E"/>
    <w:rsid w:val="00EF348F"/>
    <w:rsid w:val="00EF34A8"/>
    <w:rsid w:val="00EF35D1"/>
    <w:rsid w:val="00EF3691"/>
    <w:rsid w:val="00EF378A"/>
    <w:rsid w:val="00EF37CF"/>
    <w:rsid w:val="00EF387F"/>
    <w:rsid w:val="00EF3968"/>
    <w:rsid w:val="00EF39C3"/>
    <w:rsid w:val="00EF3AA1"/>
    <w:rsid w:val="00EF3AC8"/>
    <w:rsid w:val="00EF3AF6"/>
    <w:rsid w:val="00EF3C97"/>
    <w:rsid w:val="00EF3EE9"/>
    <w:rsid w:val="00EF3EFC"/>
    <w:rsid w:val="00EF3F17"/>
    <w:rsid w:val="00EF3F28"/>
    <w:rsid w:val="00EF4067"/>
    <w:rsid w:val="00EF406E"/>
    <w:rsid w:val="00EF413A"/>
    <w:rsid w:val="00EF42D3"/>
    <w:rsid w:val="00EF4373"/>
    <w:rsid w:val="00EF43ED"/>
    <w:rsid w:val="00EF45C3"/>
    <w:rsid w:val="00EF45DE"/>
    <w:rsid w:val="00EF45FA"/>
    <w:rsid w:val="00EF461C"/>
    <w:rsid w:val="00EF4791"/>
    <w:rsid w:val="00EF47B7"/>
    <w:rsid w:val="00EF49F0"/>
    <w:rsid w:val="00EF4AC8"/>
    <w:rsid w:val="00EF4B63"/>
    <w:rsid w:val="00EF4C81"/>
    <w:rsid w:val="00EF4C99"/>
    <w:rsid w:val="00EF4D13"/>
    <w:rsid w:val="00EF4DAD"/>
    <w:rsid w:val="00EF4E84"/>
    <w:rsid w:val="00EF4EAD"/>
    <w:rsid w:val="00EF4FE9"/>
    <w:rsid w:val="00EF50E8"/>
    <w:rsid w:val="00EF5122"/>
    <w:rsid w:val="00EF5571"/>
    <w:rsid w:val="00EF55BD"/>
    <w:rsid w:val="00EF56CB"/>
    <w:rsid w:val="00EF5704"/>
    <w:rsid w:val="00EF57B3"/>
    <w:rsid w:val="00EF5809"/>
    <w:rsid w:val="00EF58BD"/>
    <w:rsid w:val="00EF5987"/>
    <w:rsid w:val="00EF59BD"/>
    <w:rsid w:val="00EF59E9"/>
    <w:rsid w:val="00EF5A4C"/>
    <w:rsid w:val="00EF5C27"/>
    <w:rsid w:val="00EF5D3B"/>
    <w:rsid w:val="00EF5D94"/>
    <w:rsid w:val="00EF5DA3"/>
    <w:rsid w:val="00EF5E70"/>
    <w:rsid w:val="00EF5EBB"/>
    <w:rsid w:val="00EF5F13"/>
    <w:rsid w:val="00EF5F26"/>
    <w:rsid w:val="00EF5FF6"/>
    <w:rsid w:val="00EF6056"/>
    <w:rsid w:val="00EF60FD"/>
    <w:rsid w:val="00EF6173"/>
    <w:rsid w:val="00EF6192"/>
    <w:rsid w:val="00EF61C4"/>
    <w:rsid w:val="00EF62E1"/>
    <w:rsid w:val="00EF63B7"/>
    <w:rsid w:val="00EF6404"/>
    <w:rsid w:val="00EF6501"/>
    <w:rsid w:val="00EF6528"/>
    <w:rsid w:val="00EF65C6"/>
    <w:rsid w:val="00EF6618"/>
    <w:rsid w:val="00EF6659"/>
    <w:rsid w:val="00EF67A7"/>
    <w:rsid w:val="00EF67CD"/>
    <w:rsid w:val="00EF6801"/>
    <w:rsid w:val="00EF68A6"/>
    <w:rsid w:val="00EF68D4"/>
    <w:rsid w:val="00EF68DF"/>
    <w:rsid w:val="00EF6A8F"/>
    <w:rsid w:val="00EF6A90"/>
    <w:rsid w:val="00EF6B4C"/>
    <w:rsid w:val="00EF6CE3"/>
    <w:rsid w:val="00EF6D22"/>
    <w:rsid w:val="00EF6DAB"/>
    <w:rsid w:val="00EF6DC1"/>
    <w:rsid w:val="00EF6F5C"/>
    <w:rsid w:val="00EF6F77"/>
    <w:rsid w:val="00EF6F7C"/>
    <w:rsid w:val="00EF700B"/>
    <w:rsid w:val="00EF701C"/>
    <w:rsid w:val="00EF70E0"/>
    <w:rsid w:val="00EF71A7"/>
    <w:rsid w:val="00EF72B6"/>
    <w:rsid w:val="00EF7380"/>
    <w:rsid w:val="00EF73CD"/>
    <w:rsid w:val="00EF7594"/>
    <w:rsid w:val="00EF759E"/>
    <w:rsid w:val="00EF7698"/>
    <w:rsid w:val="00EF78B1"/>
    <w:rsid w:val="00EF791B"/>
    <w:rsid w:val="00EF7943"/>
    <w:rsid w:val="00EF797E"/>
    <w:rsid w:val="00EF79A9"/>
    <w:rsid w:val="00EF7A4F"/>
    <w:rsid w:val="00EF7A8C"/>
    <w:rsid w:val="00EF7A98"/>
    <w:rsid w:val="00EF7C88"/>
    <w:rsid w:val="00EF7C8D"/>
    <w:rsid w:val="00EF7DE8"/>
    <w:rsid w:val="00F00107"/>
    <w:rsid w:val="00F00127"/>
    <w:rsid w:val="00F0016A"/>
    <w:rsid w:val="00F001C8"/>
    <w:rsid w:val="00F001F9"/>
    <w:rsid w:val="00F00278"/>
    <w:rsid w:val="00F003F2"/>
    <w:rsid w:val="00F0048A"/>
    <w:rsid w:val="00F004FF"/>
    <w:rsid w:val="00F00575"/>
    <w:rsid w:val="00F005AA"/>
    <w:rsid w:val="00F00699"/>
    <w:rsid w:val="00F006CC"/>
    <w:rsid w:val="00F007BC"/>
    <w:rsid w:val="00F007FD"/>
    <w:rsid w:val="00F00882"/>
    <w:rsid w:val="00F008D1"/>
    <w:rsid w:val="00F0097B"/>
    <w:rsid w:val="00F00A94"/>
    <w:rsid w:val="00F00B20"/>
    <w:rsid w:val="00F00BF9"/>
    <w:rsid w:val="00F00CB9"/>
    <w:rsid w:val="00F00DE0"/>
    <w:rsid w:val="00F00F3B"/>
    <w:rsid w:val="00F01039"/>
    <w:rsid w:val="00F0104E"/>
    <w:rsid w:val="00F010FF"/>
    <w:rsid w:val="00F0126A"/>
    <w:rsid w:val="00F013E1"/>
    <w:rsid w:val="00F013FD"/>
    <w:rsid w:val="00F014D2"/>
    <w:rsid w:val="00F01502"/>
    <w:rsid w:val="00F015A6"/>
    <w:rsid w:val="00F01605"/>
    <w:rsid w:val="00F01632"/>
    <w:rsid w:val="00F017D4"/>
    <w:rsid w:val="00F01985"/>
    <w:rsid w:val="00F0198E"/>
    <w:rsid w:val="00F01A58"/>
    <w:rsid w:val="00F01B06"/>
    <w:rsid w:val="00F01B77"/>
    <w:rsid w:val="00F01E70"/>
    <w:rsid w:val="00F01F5B"/>
    <w:rsid w:val="00F01F85"/>
    <w:rsid w:val="00F02063"/>
    <w:rsid w:val="00F021AD"/>
    <w:rsid w:val="00F021C4"/>
    <w:rsid w:val="00F0226A"/>
    <w:rsid w:val="00F022BE"/>
    <w:rsid w:val="00F022D8"/>
    <w:rsid w:val="00F022DA"/>
    <w:rsid w:val="00F022E4"/>
    <w:rsid w:val="00F0231C"/>
    <w:rsid w:val="00F0232A"/>
    <w:rsid w:val="00F024A5"/>
    <w:rsid w:val="00F02554"/>
    <w:rsid w:val="00F025C9"/>
    <w:rsid w:val="00F02662"/>
    <w:rsid w:val="00F02671"/>
    <w:rsid w:val="00F026C6"/>
    <w:rsid w:val="00F0285F"/>
    <w:rsid w:val="00F028E7"/>
    <w:rsid w:val="00F0298D"/>
    <w:rsid w:val="00F029F3"/>
    <w:rsid w:val="00F02B54"/>
    <w:rsid w:val="00F02B63"/>
    <w:rsid w:val="00F02D33"/>
    <w:rsid w:val="00F02E5A"/>
    <w:rsid w:val="00F02F27"/>
    <w:rsid w:val="00F02F32"/>
    <w:rsid w:val="00F02F8A"/>
    <w:rsid w:val="00F0302D"/>
    <w:rsid w:val="00F030A9"/>
    <w:rsid w:val="00F031B9"/>
    <w:rsid w:val="00F03499"/>
    <w:rsid w:val="00F035F2"/>
    <w:rsid w:val="00F03637"/>
    <w:rsid w:val="00F0372A"/>
    <w:rsid w:val="00F0379D"/>
    <w:rsid w:val="00F037C2"/>
    <w:rsid w:val="00F03835"/>
    <w:rsid w:val="00F03841"/>
    <w:rsid w:val="00F03886"/>
    <w:rsid w:val="00F038DB"/>
    <w:rsid w:val="00F03AF1"/>
    <w:rsid w:val="00F03B1D"/>
    <w:rsid w:val="00F03B33"/>
    <w:rsid w:val="00F03B76"/>
    <w:rsid w:val="00F03B7D"/>
    <w:rsid w:val="00F03BC3"/>
    <w:rsid w:val="00F03C87"/>
    <w:rsid w:val="00F03D7D"/>
    <w:rsid w:val="00F03DE9"/>
    <w:rsid w:val="00F03DF5"/>
    <w:rsid w:val="00F03DF6"/>
    <w:rsid w:val="00F03E12"/>
    <w:rsid w:val="00F040F6"/>
    <w:rsid w:val="00F04107"/>
    <w:rsid w:val="00F041C0"/>
    <w:rsid w:val="00F041D1"/>
    <w:rsid w:val="00F042CA"/>
    <w:rsid w:val="00F042F8"/>
    <w:rsid w:val="00F043C1"/>
    <w:rsid w:val="00F0445D"/>
    <w:rsid w:val="00F04460"/>
    <w:rsid w:val="00F04505"/>
    <w:rsid w:val="00F04530"/>
    <w:rsid w:val="00F04532"/>
    <w:rsid w:val="00F04545"/>
    <w:rsid w:val="00F04646"/>
    <w:rsid w:val="00F04651"/>
    <w:rsid w:val="00F046A8"/>
    <w:rsid w:val="00F046AD"/>
    <w:rsid w:val="00F046C0"/>
    <w:rsid w:val="00F04780"/>
    <w:rsid w:val="00F04788"/>
    <w:rsid w:val="00F04806"/>
    <w:rsid w:val="00F048BA"/>
    <w:rsid w:val="00F0497C"/>
    <w:rsid w:val="00F04998"/>
    <w:rsid w:val="00F049E2"/>
    <w:rsid w:val="00F04A4B"/>
    <w:rsid w:val="00F04AB6"/>
    <w:rsid w:val="00F04AD9"/>
    <w:rsid w:val="00F04C75"/>
    <w:rsid w:val="00F04CC8"/>
    <w:rsid w:val="00F04E0A"/>
    <w:rsid w:val="00F05020"/>
    <w:rsid w:val="00F050BE"/>
    <w:rsid w:val="00F05140"/>
    <w:rsid w:val="00F05252"/>
    <w:rsid w:val="00F0526C"/>
    <w:rsid w:val="00F052BC"/>
    <w:rsid w:val="00F052D8"/>
    <w:rsid w:val="00F0531D"/>
    <w:rsid w:val="00F05467"/>
    <w:rsid w:val="00F054DF"/>
    <w:rsid w:val="00F05557"/>
    <w:rsid w:val="00F055EA"/>
    <w:rsid w:val="00F05962"/>
    <w:rsid w:val="00F05A37"/>
    <w:rsid w:val="00F05AB9"/>
    <w:rsid w:val="00F05B60"/>
    <w:rsid w:val="00F05BB9"/>
    <w:rsid w:val="00F05CCB"/>
    <w:rsid w:val="00F05D21"/>
    <w:rsid w:val="00F05DBA"/>
    <w:rsid w:val="00F05DE5"/>
    <w:rsid w:val="00F05E4E"/>
    <w:rsid w:val="00F05EF2"/>
    <w:rsid w:val="00F06067"/>
    <w:rsid w:val="00F061E6"/>
    <w:rsid w:val="00F0622C"/>
    <w:rsid w:val="00F06285"/>
    <w:rsid w:val="00F06394"/>
    <w:rsid w:val="00F063F1"/>
    <w:rsid w:val="00F0656C"/>
    <w:rsid w:val="00F065CC"/>
    <w:rsid w:val="00F06614"/>
    <w:rsid w:val="00F06631"/>
    <w:rsid w:val="00F06669"/>
    <w:rsid w:val="00F06670"/>
    <w:rsid w:val="00F0667A"/>
    <w:rsid w:val="00F066A8"/>
    <w:rsid w:val="00F066AB"/>
    <w:rsid w:val="00F06753"/>
    <w:rsid w:val="00F06786"/>
    <w:rsid w:val="00F06788"/>
    <w:rsid w:val="00F06797"/>
    <w:rsid w:val="00F0687C"/>
    <w:rsid w:val="00F068AF"/>
    <w:rsid w:val="00F068BD"/>
    <w:rsid w:val="00F06966"/>
    <w:rsid w:val="00F06B1C"/>
    <w:rsid w:val="00F06B4F"/>
    <w:rsid w:val="00F06C08"/>
    <w:rsid w:val="00F06C4C"/>
    <w:rsid w:val="00F06CA0"/>
    <w:rsid w:val="00F06D40"/>
    <w:rsid w:val="00F06E4F"/>
    <w:rsid w:val="00F07064"/>
    <w:rsid w:val="00F070BD"/>
    <w:rsid w:val="00F071A1"/>
    <w:rsid w:val="00F0732F"/>
    <w:rsid w:val="00F0752B"/>
    <w:rsid w:val="00F075AA"/>
    <w:rsid w:val="00F0765C"/>
    <w:rsid w:val="00F07677"/>
    <w:rsid w:val="00F0767B"/>
    <w:rsid w:val="00F076BC"/>
    <w:rsid w:val="00F0774A"/>
    <w:rsid w:val="00F07775"/>
    <w:rsid w:val="00F0779F"/>
    <w:rsid w:val="00F077A9"/>
    <w:rsid w:val="00F07812"/>
    <w:rsid w:val="00F07888"/>
    <w:rsid w:val="00F078BA"/>
    <w:rsid w:val="00F0792D"/>
    <w:rsid w:val="00F07996"/>
    <w:rsid w:val="00F07999"/>
    <w:rsid w:val="00F07A56"/>
    <w:rsid w:val="00F07ACD"/>
    <w:rsid w:val="00F07B2D"/>
    <w:rsid w:val="00F07BFE"/>
    <w:rsid w:val="00F07C7E"/>
    <w:rsid w:val="00F07E92"/>
    <w:rsid w:val="00F07EC9"/>
    <w:rsid w:val="00F07F47"/>
    <w:rsid w:val="00F10036"/>
    <w:rsid w:val="00F1007D"/>
    <w:rsid w:val="00F1020D"/>
    <w:rsid w:val="00F10230"/>
    <w:rsid w:val="00F10266"/>
    <w:rsid w:val="00F102A3"/>
    <w:rsid w:val="00F102B9"/>
    <w:rsid w:val="00F10311"/>
    <w:rsid w:val="00F103B4"/>
    <w:rsid w:val="00F10484"/>
    <w:rsid w:val="00F104BB"/>
    <w:rsid w:val="00F1051E"/>
    <w:rsid w:val="00F10556"/>
    <w:rsid w:val="00F10667"/>
    <w:rsid w:val="00F1077B"/>
    <w:rsid w:val="00F1083D"/>
    <w:rsid w:val="00F10A09"/>
    <w:rsid w:val="00F10A7F"/>
    <w:rsid w:val="00F10AB0"/>
    <w:rsid w:val="00F10ADA"/>
    <w:rsid w:val="00F10B45"/>
    <w:rsid w:val="00F10B7A"/>
    <w:rsid w:val="00F10B7B"/>
    <w:rsid w:val="00F10B9E"/>
    <w:rsid w:val="00F10C67"/>
    <w:rsid w:val="00F10CBF"/>
    <w:rsid w:val="00F10CF7"/>
    <w:rsid w:val="00F10DC6"/>
    <w:rsid w:val="00F10FE9"/>
    <w:rsid w:val="00F10FF4"/>
    <w:rsid w:val="00F110CE"/>
    <w:rsid w:val="00F111B2"/>
    <w:rsid w:val="00F1120B"/>
    <w:rsid w:val="00F11271"/>
    <w:rsid w:val="00F112BC"/>
    <w:rsid w:val="00F11327"/>
    <w:rsid w:val="00F11351"/>
    <w:rsid w:val="00F1137E"/>
    <w:rsid w:val="00F11384"/>
    <w:rsid w:val="00F114FA"/>
    <w:rsid w:val="00F1151F"/>
    <w:rsid w:val="00F11597"/>
    <w:rsid w:val="00F115BF"/>
    <w:rsid w:val="00F115C9"/>
    <w:rsid w:val="00F115FA"/>
    <w:rsid w:val="00F11641"/>
    <w:rsid w:val="00F1172C"/>
    <w:rsid w:val="00F11843"/>
    <w:rsid w:val="00F119D5"/>
    <w:rsid w:val="00F11ABE"/>
    <w:rsid w:val="00F11B8A"/>
    <w:rsid w:val="00F11C3F"/>
    <w:rsid w:val="00F11C5F"/>
    <w:rsid w:val="00F11C86"/>
    <w:rsid w:val="00F11C99"/>
    <w:rsid w:val="00F11CFE"/>
    <w:rsid w:val="00F11D3E"/>
    <w:rsid w:val="00F11DDC"/>
    <w:rsid w:val="00F11DDE"/>
    <w:rsid w:val="00F11E76"/>
    <w:rsid w:val="00F11E7D"/>
    <w:rsid w:val="00F1205E"/>
    <w:rsid w:val="00F12173"/>
    <w:rsid w:val="00F122DE"/>
    <w:rsid w:val="00F122F9"/>
    <w:rsid w:val="00F12336"/>
    <w:rsid w:val="00F1254F"/>
    <w:rsid w:val="00F12603"/>
    <w:rsid w:val="00F12630"/>
    <w:rsid w:val="00F12642"/>
    <w:rsid w:val="00F1266C"/>
    <w:rsid w:val="00F126DF"/>
    <w:rsid w:val="00F12774"/>
    <w:rsid w:val="00F127E3"/>
    <w:rsid w:val="00F128A5"/>
    <w:rsid w:val="00F128DC"/>
    <w:rsid w:val="00F12A5E"/>
    <w:rsid w:val="00F12B2C"/>
    <w:rsid w:val="00F12B3C"/>
    <w:rsid w:val="00F12DCB"/>
    <w:rsid w:val="00F12DF8"/>
    <w:rsid w:val="00F12E83"/>
    <w:rsid w:val="00F12ED5"/>
    <w:rsid w:val="00F12EFE"/>
    <w:rsid w:val="00F12F2C"/>
    <w:rsid w:val="00F12FB0"/>
    <w:rsid w:val="00F13067"/>
    <w:rsid w:val="00F13114"/>
    <w:rsid w:val="00F131F6"/>
    <w:rsid w:val="00F13218"/>
    <w:rsid w:val="00F132F1"/>
    <w:rsid w:val="00F13330"/>
    <w:rsid w:val="00F1335E"/>
    <w:rsid w:val="00F1345C"/>
    <w:rsid w:val="00F13598"/>
    <w:rsid w:val="00F135A7"/>
    <w:rsid w:val="00F1371F"/>
    <w:rsid w:val="00F137DB"/>
    <w:rsid w:val="00F138F1"/>
    <w:rsid w:val="00F139F5"/>
    <w:rsid w:val="00F13AC3"/>
    <w:rsid w:val="00F13B47"/>
    <w:rsid w:val="00F13B86"/>
    <w:rsid w:val="00F13B88"/>
    <w:rsid w:val="00F13B93"/>
    <w:rsid w:val="00F13B96"/>
    <w:rsid w:val="00F13C81"/>
    <w:rsid w:val="00F13D69"/>
    <w:rsid w:val="00F13D6F"/>
    <w:rsid w:val="00F13F91"/>
    <w:rsid w:val="00F140FF"/>
    <w:rsid w:val="00F14175"/>
    <w:rsid w:val="00F141C8"/>
    <w:rsid w:val="00F1424C"/>
    <w:rsid w:val="00F1425C"/>
    <w:rsid w:val="00F1426A"/>
    <w:rsid w:val="00F14322"/>
    <w:rsid w:val="00F143E6"/>
    <w:rsid w:val="00F14477"/>
    <w:rsid w:val="00F144AD"/>
    <w:rsid w:val="00F145B3"/>
    <w:rsid w:val="00F14636"/>
    <w:rsid w:val="00F1463E"/>
    <w:rsid w:val="00F14651"/>
    <w:rsid w:val="00F146A8"/>
    <w:rsid w:val="00F146C0"/>
    <w:rsid w:val="00F1490C"/>
    <w:rsid w:val="00F14AFF"/>
    <w:rsid w:val="00F14B27"/>
    <w:rsid w:val="00F14B5D"/>
    <w:rsid w:val="00F14BA1"/>
    <w:rsid w:val="00F14BA3"/>
    <w:rsid w:val="00F14D6F"/>
    <w:rsid w:val="00F14DC8"/>
    <w:rsid w:val="00F14F9F"/>
    <w:rsid w:val="00F15064"/>
    <w:rsid w:val="00F1506F"/>
    <w:rsid w:val="00F150C4"/>
    <w:rsid w:val="00F15297"/>
    <w:rsid w:val="00F152D6"/>
    <w:rsid w:val="00F154E1"/>
    <w:rsid w:val="00F1554B"/>
    <w:rsid w:val="00F155DF"/>
    <w:rsid w:val="00F156D2"/>
    <w:rsid w:val="00F15807"/>
    <w:rsid w:val="00F158DB"/>
    <w:rsid w:val="00F1593B"/>
    <w:rsid w:val="00F15A06"/>
    <w:rsid w:val="00F15A26"/>
    <w:rsid w:val="00F15D31"/>
    <w:rsid w:val="00F15F89"/>
    <w:rsid w:val="00F16153"/>
    <w:rsid w:val="00F16232"/>
    <w:rsid w:val="00F16297"/>
    <w:rsid w:val="00F162A4"/>
    <w:rsid w:val="00F16378"/>
    <w:rsid w:val="00F1648D"/>
    <w:rsid w:val="00F164FB"/>
    <w:rsid w:val="00F1650F"/>
    <w:rsid w:val="00F16544"/>
    <w:rsid w:val="00F1661A"/>
    <w:rsid w:val="00F1668A"/>
    <w:rsid w:val="00F16811"/>
    <w:rsid w:val="00F1691A"/>
    <w:rsid w:val="00F169F1"/>
    <w:rsid w:val="00F16A0F"/>
    <w:rsid w:val="00F16A4C"/>
    <w:rsid w:val="00F16A6C"/>
    <w:rsid w:val="00F16ADB"/>
    <w:rsid w:val="00F16B75"/>
    <w:rsid w:val="00F16CE7"/>
    <w:rsid w:val="00F16CE8"/>
    <w:rsid w:val="00F16DB7"/>
    <w:rsid w:val="00F16E8B"/>
    <w:rsid w:val="00F16E9F"/>
    <w:rsid w:val="00F16ED6"/>
    <w:rsid w:val="00F16F8F"/>
    <w:rsid w:val="00F16FAC"/>
    <w:rsid w:val="00F16FCD"/>
    <w:rsid w:val="00F170AF"/>
    <w:rsid w:val="00F1714C"/>
    <w:rsid w:val="00F17150"/>
    <w:rsid w:val="00F17184"/>
    <w:rsid w:val="00F171B2"/>
    <w:rsid w:val="00F173A1"/>
    <w:rsid w:val="00F174A6"/>
    <w:rsid w:val="00F1750E"/>
    <w:rsid w:val="00F1750F"/>
    <w:rsid w:val="00F17604"/>
    <w:rsid w:val="00F1765F"/>
    <w:rsid w:val="00F1767D"/>
    <w:rsid w:val="00F176B3"/>
    <w:rsid w:val="00F17766"/>
    <w:rsid w:val="00F17799"/>
    <w:rsid w:val="00F1780F"/>
    <w:rsid w:val="00F178CB"/>
    <w:rsid w:val="00F179B1"/>
    <w:rsid w:val="00F17AA0"/>
    <w:rsid w:val="00F17BFD"/>
    <w:rsid w:val="00F17E8B"/>
    <w:rsid w:val="00F17EA4"/>
    <w:rsid w:val="00F17EB7"/>
    <w:rsid w:val="00F17FAD"/>
    <w:rsid w:val="00F2019A"/>
    <w:rsid w:val="00F2019B"/>
    <w:rsid w:val="00F201D8"/>
    <w:rsid w:val="00F20254"/>
    <w:rsid w:val="00F202AF"/>
    <w:rsid w:val="00F20339"/>
    <w:rsid w:val="00F20380"/>
    <w:rsid w:val="00F203F1"/>
    <w:rsid w:val="00F20465"/>
    <w:rsid w:val="00F20552"/>
    <w:rsid w:val="00F205E2"/>
    <w:rsid w:val="00F20614"/>
    <w:rsid w:val="00F20778"/>
    <w:rsid w:val="00F207C4"/>
    <w:rsid w:val="00F208DB"/>
    <w:rsid w:val="00F20A69"/>
    <w:rsid w:val="00F20A6F"/>
    <w:rsid w:val="00F20B60"/>
    <w:rsid w:val="00F20C10"/>
    <w:rsid w:val="00F20C2B"/>
    <w:rsid w:val="00F20C5B"/>
    <w:rsid w:val="00F20E00"/>
    <w:rsid w:val="00F20F9D"/>
    <w:rsid w:val="00F210CA"/>
    <w:rsid w:val="00F21192"/>
    <w:rsid w:val="00F211EE"/>
    <w:rsid w:val="00F21237"/>
    <w:rsid w:val="00F212A1"/>
    <w:rsid w:val="00F212FD"/>
    <w:rsid w:val="00F2131F"/>
    <w:rsid w:val="00F2139F"/>
    <w:rsid w:val="00F213E4"/>
    <w:rsid w:val="00F214A6"/>
    <w:rsid w:val="00F214C9"/>
    <w:rsid w:val="00F21591"/>
    <w:rsid w:val="00F2163D"/>
    <w:rsid w:val="00F2163F"/>
    <w:rsid w:val="00F21651"/>
    <w:rsid w:val="00F21729"/>
    <w:rsid w:val="00F2179C"/>
    <w:rsid w:val="00F2179E"/>
    <w:rsid w:val="00F217A3"/>
    <w:rsid w:val="00F218D1"/>
    <w:rsid w:val="00F21B0B"/>
    <w:rsid w:val="00F21B27"/>
    <w:rsid w:val="00F21BCB"/>
    <w:rsid w:val="00F21BED"/>
    <w:rsid w:val="00F21CB7"/>
    <w:rsid w:val="00F21D9F"/>
    <w:rsid w:val="00F21E13"/>
    <w:rsid w:val="00F21E5C"/>
    <w:rsid w:val="00F21FCE"/>
    <w:rsid w:val="00F22055"/>
    <w:rsid w:val="00F22186"/>
    <w:rsid w:val="00F2225D"/>
    <w:rsid w:val="00F22268"/>
    <w:rsid w:val="00F2231C"/>
    <w:rsid w:val="00F22481"/>
    <w:rsid w:val="00F224AF"/>
    <w:rsid w:val="00F2256F"/>
    <w:rsid w:val="00F22619"/>
    <w:rsid w:val="00F2263C"/>
    <w:rsid w:val="00F2265D"/>
    <w:rsid w:val="00F22776"/>
    <w:rsid w:val="00F22820"/>
    <w:rsid w:val="00F2287C"/>
    <w:rsid w:val="00F22944"/>
    <w:rsid w:val="00F22A5E"/>
    <w:rsid w:val="00F22A6D"/>
    <w:rsid w:val="00F22AD5"/>
    <w:rsid w:val="00F22B77"/>
    <w:rsid w:val="00F22C6F"/>
    <w:rsid w:val="00F22CE0"/>
    <w:rsid w:val="00F22E47"/>
    <w:rsid w:val="00F22E64"/>
    <w:rsid w:val="00F22EA0"/>
    <w:rsid w:val="00F22F08"/>
    <w:rsid w:val="00F22FE7"/>
    <w:rsid w:val="00F23082"/>
    <w:rsid w:val="00F23090"/>
    <w:rsid w:val="00F23115"/>
    <w:rsid w:val="00F23261"/>
    <w:rsid w:val="00F23284"/>
    <w:rsid w:val="00F232AB"/>
    <w:rsid w:val="00F232CF"/>
    <w:rsid w:val="00F2332B"/>
    <w:rsid w:val="00F2348C"/>
    <w:rsid w:val="00F23494"/>
    <w:rsid w:val="00F234D7"/>
    <w:rsid w:val="00F234D8"/>
    <w:rsid w:val="00F23527"/>
    <w:rsid w:val="00F235E2"/>
    <w:rsid w:val="00F23619"/>
    <w:rsid w:val="00F236A9"/>
    <w:rsid w:val="00F2373F"/>
    <w:rsid w:val="00F237A7"/>
    <w:rsid w:val="00F238CF"/>
    <w:rsid w:val="00F2393B"/>
    <w:rsid w:val="00F239CB"/>
    <w:rsid w:val="00F23A6F"/>
    <w:rsid w:val="00F23B4C"/>
    <w:rsid w:val="00F23B9D"/>
    <w:rsid w:val="00F23C15"/>
    <w:rsid w:val="00F23C3D"/>
    <w:rsid w:val="00F23CC4"/>
    <w:rsid w:val="00F23D55"/>
    <w:rsid w:val="00F23DDD"/>
    <w:rsid w:val="00F23F99"/>
    <w:rsid w:val="00F24009"/>
    <w:rsid w:val="00F240D4"/>
    <w:rsid w:val="00F24115"/>
    <w:rsid w:val="00F24264"/>
    <w:rsid w:val="00F24307"/>
    <w:rsid w:val="00F2435D"/>
    <w:rsid w:val="00F24506"/>
    <w:rsid w:val="00F2458A"/>
    <w:rsid w:val="00F2461D"/>
    <w:rsid w:val="00F246DC"/>
    <w:rsid w:val="00F247CC"/>
    <w:rsid w:val="00F24829"/>
    <w:rsid w:val="00F24853"/>
    <w:rsid w:val="00F24858"/>
    <w:rsid w:val="00F249D2"/>
    <w:rsid w:val="00F24A70"/>
    <w:rsid w:val="00F24AD1"/>
    <w:rsid w:val="00F24C42"/>
    <w:rsid w:val="00F24D59"/>
    <w:rsid w:val="00F24D9A"/>
    <w:rsid w:val="00F24DA9"/>
    <w:rsid w:val="00F24E7F"/>
    <w:rsid w:val="00F24F7D"/>
    <w:rsid w:val="00F24F93"/>
    <w:rsid w:val="00F24FE0"/>
    <w:rsid w:val="00F25126"/>
    <w:rsid w:val="00F2514D"/>
    <w:rsid w:val="00F25156"/>
    <w:rsid w:val="00F2515A"/>
    <w:rsid w:val="00F25163"/>
    <w:rsid w:val="00F25180"/>
    <w:rsid w:val="00F251C1"/>
    <w:rsid w:val="00F251E6"/>
    <w:rsid w:val="00F25201"/>
    <w:rsid w:val="00F25411"/>
    <w:rsid w:val="00F254B3"/>
    <w:rsid w:val="00F255F8"/>
    <w:rsid w:val="00F2579A"/>
    <w:rsid w:val="00F25B39"/>
    <w:rsid w:val="00F25B96"/>
    <w:rsid w:val="00F25BB9"/>
    <w:rsid w:val="00F25C91"/>
    <w:rsid w:val="00F25E4A"/>
    <w:rsid w:val="00F25EDE"/>
    <w:rsid w:val="00F25F1D"/>
    <w:rsid w:val="00F25FB1"/>
    <w:rsid w:val="00F2602C"/>
    <w:rsid w:val="00F260B4"/>
    <w:rsid w:val="00F260DC"/>
    <w:rsid w:val="00F26176"/>
    <w:rsid w:val="00F261CD"/>
    <w:rsid w:val="00F261F8"/>
    <w:rsid w:val="00F26215"/>
    <w:rsid w:val="00F26253"/>
    <w:rsid w:val="00F26483"/>
    <w:rsid w:val="00F26607"/>
    <w:rsid w:val="00F2664A"/>
    <w:rsid w:val="00F26689"/>
    <w:rsid w:val="00F26715"/>
    <w:rsid w:val="00F26924"/>
    <w:rsid w:val="00F2696F"/>
    <w:rsid w:val="00F26A2A"/>
    <w:rsid w:val="00F26A37"/>
    <w:rsid w:val="00F26AD4"/>
    <w:rsid w:val="00F26BC3"/>
    <w:rsid w:val="00F26BFF"/>
    <w:rsid w:val="00F26C03"/>
    <w:rsid w:val="00F26CBE"/>
    <w:rsid w:val="00F26CC4"/>
    <w:rsid w:val="00F26D1F"/>
    <w:rsid w:val="00F26D42"/>
    <w:rsid w:val="00F26D64"/>
    <w:rsid w:val="00F26EB1"/>
    <w:rsid w:val="00F26F01"/>
    <w:rsid w:val="00F27183"/>
    <w:rsid w:val="00F27193"/>
    <w:rsid w:val="00F2745C"/>
    <w:rsid w:val="00F27527"/>
    <w:rsid w:val="00F2757E"/>
    <w:rsid w:val="00F2759F"/>
    <w:rsid w:val="00F27838"/>
    <w:rsid w:val="00F2788B"/>
    <w:rsid w:val="00F278C0"/>
    <w:rsid w:val="00F27930"/>
    <w:rsid w:val="00F279BD"/>
    <w:rsid w:val="00F27A10"/>
    <w:rsid w:val="00F27ADE"/>
    <w:rsid w:val="00F27C25"/>
    <w:rsid w:val="00F27C59"/>
    <w:rsid w:val="00F27C99"/>
    <w:rsid w:val="00F27CBF"/>
    <w:rsid w:val="00F27CD2"/>
    <w:rsid w:val="00F27D24"/>
    <w:rsid w:val="00F27D98"/>
    <w:rsid w:val="00F27E6F"/>
    <w:rsid w:val="00F27FED"/>
    <w:rsid w:val="00F3007C"/>
    <w:rsid w:val="00F301F5"/>
    <w:rsid w:val="00F3037C"/>
    <w:rsid w:val="00F3042A"/>
    <w:rsid w:val="00F306F4"/>
    <w:rsid w:val="00F308BB"/>
    <w:rsid w:val="00F308F8"/>
    <w:rsid w:val="00F3096A"/>
    <w:rsid w:val="00F30A0E"/>
    <w:rsid w:val="00F30ADB"/>
    <w:rsid w:val="00F30B39"/>
    <w:rsid w:val="00F30BF9"/>
    <w:rsid w:val="00F30C02"/>
    <w:rsid w:val="00F30C1B"/>
    <w:rsid w:val="00F30CAE"/>
    <w:rsid w:val="00F30DBD"/>
    <w:rsid w:val="00F30E18"/>
    <w:rsid w:val="00F30EE5"/>
    <w:rsid w:val="00F30EE7"/>
    <w:rsid w:val="00F30FA6"/>
    <w:rsid w:val="00F30FDA"/>
    <w:rsid w:val="00F31016"/>
    <w:rsid w:val="00F31025"/>
    <w:rsid w:val="00F3103D"/>
    <w:rsid w:val="00F310F2"/>
    <w:rsid w:val="00F31384"/>
    <w:rsid w:val="00F314AE"/>
    <w:rsid w:val="00F315A8"/>
    <w:rsid w:val="00F31617"/>
    <w:rsid w:val="00F31633"/>
    <w:rsid w:val="00F31672"/>
    <w:rsid w:val="00F316B9"/>
    <w:rsid w:val="00F31717"/>
    <w:rsid w:val="00F3173C"/>
    <w:rsid w:val="00F3176B"/>
    <w:rsid w:val="00F3179D"/>
    <w:rsid w:val="00F317F9"/>
    <w:rsid w:val="00F31931"/>
    <w:rsid w:val="00F319DE"/>
    <w:rsid w:val="00F31A15"/>
    <w:rsid w:val="00F31A36"/>
    <w:rsid w:val="00F31A65"/>
    <w:rsid w:val="00F31B18"/>
    <w:rsid w:val="00F31B1E"/>
    <w:rsid w:val="00F31C66"/>
    <w:rsid w:val="00F31E4C"/>
    <w:rsid w:val="00F31E7B"/>
    <w:rsid w:val="00F31FE0"/>
    <w:rsid w:val="00F32027"/>
    <w:rsid w:val="00F3208C"/>
    <w:rsid w:val="00F320B9"/>
    <w:rsid w:val="00F320F7"/>
    <w:rsid w:val="00F3210F"/>
    <w:rsid w:val="00F32131"/>
    <w:rsid w:val="00F32161"/>
    <w:rsid w:val="00F321BA"/>
    <w:rsid w:val="00F321F9"/>
    <w:rsid w:val="00F32258"/>
    <w:rsid w:val="00F3230B"/>
    <w:rsid w:val="00F32315"/>
    <w:rsid w:val="00F32320"/>
    <w:rsid w:val="00F3234A"/>
    <w:rsid w:val="00F3241F"/>
    <w:rsid w:val="00F32431"/>
    <w:rsid w:val="00F32490"/>
    <w:rsid w:val="00F32771"/>
    <w:rsid w:val="00F327A5"/>
    <w:rsid w:val="00F327AC"/>
    <w:rsid w:val="00F32952"/>
    <w:rsid w:val="00F329D4"/>
    <w:rsid w:val="00F32A65"/>
    <w:rsid w:val="00F32A7B"/>
    <w:rsid w:val="00F32B4E"/>
    <w:rsid w:val="00F32C9E"/>
    <w:rsid w:val="00F32CD6"/>
    <w:rsid w:val="00F32F68"/>
    <w:rsid w:val="00F32FD9"/>
    <w:rsid w:val="00F32FF4"/>
    <w:rsid w:val="00F331D3"/>
    <w:rsid w:val="00F3322E"/>
    <w:rsid w:val="00F3325B"/>
    <w:rsid w:val="00F33297"/>
    <w:rsid w:val="00F332E4"/>
    <w:rsid w:val="00F33419"/>
    <w:rsid w:val="00F335A5"/>
    <w:rsid w:val="00F33889"/>
    <w:rsid w:val="00F338F9"/>
    <w:rsid w:val="00F33916"/>
    <w:rsid w:val="00F3393E"/>
    <w:rsid w:val="00F33BDF"/>
    <w:rsid w:val="00F33C1D"/>
    <w:rsid w:val="00F33C9E"/>
    <w:rsid w:val="00F33D13"/>
    <w:rsid w:val="00F33DC8"/>
    <w:rsid w:val="00F33E75"/>
    <w:rsid w:val="00F33F2F"/>
    <w:rsid w:val="00F34069"/>
    <w:rsid w:val="00F34106"/>
    <w:rsid w:val="00F34110"/>
    <w:rsid w:val="00F341C1"/>
    <w:rsid w:val="00F341DE"/>
    <w:rsid w:val="00F343F8"/>
    <w:rsid w:val="00F34622"/>
    <w:rsid w:val="00F34630"/>
    <w:rsid w:val="00F34667"/>
    <w:rsid w:val="00F34686"/>
    <w:rsid w:val="00F347DA"/>
    <w:rsid w:val="00F3488B"/>
    <w:rsid w:val="00F34B99"/>
    <w:rsid w:val="00F34BD9"/>
    <w:rsid w:val="00F34BE8"/>
    <w:rsid w:val="00F34D5E"/>
    <w:rsid w:val="00F34ED6"/>
    <w:rsid w:val="00F35128"/>
    <w:rsid w:val="00F351A7"/>
    <w:rsid w:val="00F35224"/>
    <w:rsid w:val="00F3532F"/>
    <w:rsid w:val="00F35421"/>
    <w:rsid w:val="00F3544C"/>
    <w:rsid w:val="00F35490"/>
    <w:rsid w:val="00F354AB"/>
    <w:rsid w:val="00F354ED"/>
    <w:rsid w:val="00F35545"/>
    <w:rsid w:val="00F355AE"/>
    <w:rsid w:val="00F355D0"/>
    <w:rsid w:val="00F358DE"/>
    <w:rsid w:val="00F35ADE"/>
    <w:rsid w:val="00F35B5F"/>
    <w:rsid w:val="00F35CE9"/>
    <w:rsid w:val="00F35D0A"/>
    <w:rsid w:val="00F35FD2"/>
    <w:rsid w:val="00F36037"/>
    <w:rsid w:val="00F36067"/>
    <w:rsid w:val="00F36097"/>
    <w:rsid w:val="00F3615A"/>
    <w:rsid w:val="00F36208"/>
    <w:rsid w:val="00F36246"/>
    <w:rsid w:val="00F36282"/>
    <w:rsid w:val="00F3628F"/>
    <w:rsid w:val="00F362D1"/>
    <w:rsid w:val="00F36358"/>
    <w:rsid w:val="00F3637D"/>
    <w:rsid w:val="00F363F0"/>
    <w:rsid w:val="00F36477"/>
    <w:rsid w:val="00F3647D"/>
    <w:rsid w:val="00F36515"/>
    <w:rsid w:val="00F3668D"/>
    <w:rsid w:val="00F368C9"/>
    <w:rsid w:val="00F36919"/>
    <w:rsid w:val="00F36A7E"/>
    <w:rsid w:val="00F36AFE"/>
    <w:rsid w:val="00F36BEC"/>
    <w:rsid w:val="00F36CC6"/>
    <w:rsid w:val="00F36CF7"/>
    <w:rsid w:val="00F36E28"/>
    <w:rsid w:val="00F36E4B"/>
    <w:rsid w:val="00F36EF3"/>
    <w:rsid w:val="00F36F26"/>
    <w:rsid w:val="00F36F71"/>
    <w:rsid w:val="00F36FB9"/>
    <w:rsid w:val="00F370A0"/>
    <w:rsid w:val="00F370E8"/>
    <w:rsid w:val="00F370EE"/>
    <w:rsid w:val="00F37260"/>
    <w:rsid w:val="00F37342"/>
    <w:rsid w:val="00F3734C"/>
    <w:rsid w:val="00F37369"/>
    <w:rsid w:val="00F37396"/>
    <w:rsid w:val="00F3744C"/>
    <w:rsid w:val="00F374B7"/>
    <w:rsid w:val="00F374DA"/>
    <w:rsid w:val="00F3753A"/>
    <w:rsid w:val="00F375AC"/>
    <w:rsid w:val="00F375E0"/>
    <w:rsid w:val="00F375F7"/>
    <w:rsid w:val="00F37621"/>
    <w:rsid w:val="00F376A4"/>
    <w:rsid w:val="00F376BC"/>
    <w:rsid w:val="00F37741"/>
    <w:rsid w:val="00F377E1"/>
    <w:rsid w:val="00F37854"/>
    <w:rsid w:val="00F378A9"/>
    <w:rsid w:val="00F378FE"/>
    <w:rsid w:val="00F379E1"/>
    <w:rsid w:val="00F37BE8"/>
    <w:rsid w:val="00F37BFB"/>
    <w:rsid w:val="00F37C5E"/>
    <w:rsid w:val="00F37D83"/>
    <w:rsid w:val="00F37D86"/>
    <w:rsid w:val="00F37DFB"/>
    <w:rsid w:val="00F37EAD"/>
    <w:rsid w:val="00F37F94"/>
    <w:rsid w:val="00F37FBA"/>
    <w:rsid w:val="00F40146"/>
    <w:rsid w:val="00F40186"/>
    <w:rsid w:val="00F40226"/>
    <w:rsid w:val="00F4030A"/>
    <w:rsid w:val="00F403F4"/>
    <w:rsid w:val="00F40479"/>
    <w:rsid w:val="00F404DB"/>
    <w:rsid w:val="00F40595"/>
    <w:rsid w:val="00F4061B"/>
    <w:rsid w:val="00F4065B"/>
    <w:rsid w:val="00F406CE"/>
    <w:rsid w:val="00F4071F"/>
    <w:rsid w:val="00F40741"/>
    <w:rsid w:val="00F407BA"/>
    <w:rsid w:val="00F407E9"/>
    <w:rsid w:val="00F408FF"/>
    <w:rsid w:val="00F40989"/>
    <w:rsid w:val="00F409B5"/>
    <w:rsid w:val="00F40C25"/>
    <w:rsid w:val="00F40C8D"/>
    <w:rsid w:val="00F40CCC"/>
    <w:rsid w:val="00F40CED"/>
    <w:rsid w:val="00F40E7E"/>
    <w:rsid w:val="00F40F29"/>
    <w:rsid w:val="00F40FB1"/>
    <w:rsid w:val="00F40FB8"/>
    <w:rsid w:val="00F40FF8"/>
    <w:rsid w:val="00F41016"/>
    <w:rsid w:val="00F411D7"/>
    <w:rsid w:val="00F41385"/>
    <w:rsid w:val="00F414A6"/>
    <w:rsid w:val="00F415F7"/>
    <w:rsid w:val="00F415FF"/>
    <w:rsid w:val="00F4165A"/>
    <w:rsid w:val="00F41670"/>
    <w:rsid w:val="00F4170D"/>
    <w:rsid w:val="00F41934"/>
    <w:rsid w:val="00F41AB1"/>
    <w:rsid w:val="00F41BEB"/>
    <w:rsid w:val="00F41C05"/>
    <w:rsid w:val="00F41CA9"/>
    <w:rsid w:val="00F41D9B"/>
    <w:rsid w:val="00F41E34"/>
    <w:rsid w:val="00F41EBE"/>
    <w:rsid w:val="00F41F16"/>
    <w:rsid w:val="00F41F42"/>
    <w:rsid w:val="00F41FFF"/>
    <w:rsid w:val="00F42195"/>
    <w:rsid w:val="00F4227A"/>
    <w:rsid w:val="00F422A7"/>
    <w:rsid w:val="00F422D9"/>
    <w:rsid w:val="00F422E7"/>
    <w:rsid w:val="00F42353"/>
    <w:rsid w:val="00F423B8"/>
    <w:rsid w:val="00F42425"/>
    <w:rsid w:val="00F42448"/>
    <w:rsid w:val="00F424C9"/>
    <w:rsid w:val="00F42663"/>
    <w:rsid w:val="00F426AD"/>
    <w:rsid w:val="00F42738"/>
    <w:rsid w:val="00F427C5"/>
    <w:rsid w:val="00F42824"/>
    <w:rsid w:val="00F42872"/>
    <w:rsid w:val="00F428B7"/>
    <w:rsid w:val="00F428FB"/>
    <w:rsid w:val="00F42A3A"/>
    <w:rsid w:val="00F42B0B"/>
    <w:rsid w:val="00F42B0F"/>
    <w:rsid w:val="00F42B1D"/>
    <w:rsid w:val="00F42CA6"/>
    <w:rsid w:val="00F42CAE"/>
    <w:rsid w:val="00F42D70"/>
    <w:rsid w:val="00F42D76"/>
    <w:rsid w:val="00F42DF2"/>
    <w:rsid w:val="00F42E0C"/>
    <w:rsid w:val="00F42EE1"/>
    <w:rsid w:val="00F42F28"/>
    <w:rsid w:val="00F42FDE"/>
    <w:rsid w:val="00F43100"/>
    <w:rsid w:val="00F43179"/>
    <w:rsid w:val="00F43212"/>
    <w:rsid w:val="00F433B1"/>
    <w:rsid w:val="00F433F4"/>
    <w:rsid w:val="00F433FE"/>
    <w:rsid w:val="00F43401"/>
    <w:rsid w:val="00F4340A"/>
    <w:rsid w:val="00F4345C"/>
    <w:rsid w:val="00F43533"/>
    <w:rsid w:val="00F43580"/>
    <w:rsid w:val="00F435AF"/>
    <w:rsid w:val="00F43706"/>
    <w:rsid w:val="00F43834"/>
    <w:rsid w:val="00F438C1"/>
    <w:rsid w:val="00F43940"/>
    <w:rsid w:val="00F439B4"/>
    <w:rsid w:val="00F43ACD"/>
    <w:rsid w:val="00F43B84"/>
    <w:rsid w:val="00F43C75"/>
    <w:rsid w:val="00F43D3A"/>
    <w:rsid w:val="00F43E7B"/>
    <w:rsid w:val="00F43F20"/>
    <w:rsid w:val="00F43F2D"/>
    <w:rsid w:val="00F4403A"/>
    <w:rsid w:val="00F44293"/>
    <w:rsid w:val="00F442B8"/>
    <w:rsid w:val="00F44338"/>
    <w:rsid w:val="00F443F5"/>
    <w:rsid w:val="00F443FB"/>
    <w:rsid w:val="00F446B0"/>
    <w:rsid w:val="00F446E1"/>
    <w:rsid w:val="00F4477A"/>
    <w:rsid w:val="00F44783"/>
    <w:rsid w:val="00F448EE"/>
    <w:rsid w:val="00F4490B"/>
    <w:rsid w:val="00F44977"/>
    <w:rsid w:val="00F449CE"/>
    <w:rsid w:val="00F44A3E"/>
    <w:rsid w:val="00F44A76"/>
    <w:rsid w:val="00F44B54"/>
    <w:rsid w:val="00F44C94"/>
    <w:rsid w:val="00F44E06"/>
    <w:rsid w:val="00F44EB9"/>
    <w:rsid w:val="00F44FDA"/>
    <w:rsid w:val="00F45034"/>
    <w:rsid w:val="00F45061"/>
    <w:rsid w:val="00F4506F"/>
    <w:rsid w:val="00F450C8"/>
    <w:rsid w:val="00F450CA"/>
    <w:rsid w:val="00F45136"/>
    <w:rsid w:val="00F4518C"/>
    <w:rsid w:val="00F451B3"/>
    <w:rsid w:val="00F4531B"/>
    <w:rsid w:val="00F45415"/>
    <w:rsid w:val="00F454C5"/>
    <w:rsid w:val="00F455D0"/>
    <w:rsid w:val="00F455F6"/>
    <w:rsid w:val="00F45619"/>
    <w:rsid w:val="00F456FA"/>
    <w:rsid w:val="00F4579E"/>
    <w:rsid w:val="00F4581D"/>
    <w:rsid w:val="00F45846"/>
    <w:rsid w:val="00F458E4"/>
    <w:rsid w:val="00F45944"/>
    <w:rsid w:val="00F45A47"/>
    <w:rsid w:val="00F45A72"/>
    <w:rsid w:val="00F45A88"/>
    <w:rsid w:val="00F45B0A"/>
    <w:rsid w:val="00F45C3D"/>
    <w:rsid w:val="00F45CFD"/>
    <w:rsid w:val="00F45D04"/>
    <w:rsid w:val="00F45E1B"/>
    <w:rsid w:val="00F45E6C"/>
    <w:rsid w:val="00F45E90"/>
    <w:rsid w:val="00F45EF5"/>
    <w:rsid w:val="00F45F14"/>
    <w:rsid w:val="00F45F1E"/>
    <w:rsid w:val="00F46056"/>
    <w:rsid w:val="00F46225"/>
    <w:rsid w:val="00F46249"/>
    <w:rsid w:val="00F462BD"/>
    <w:rsid w:val="00F462DE"/>
    <w:rsid w:val="00F46361"/>
    <w:rsid w:val="00F46386"/>
    <w:rsid w:val="00F463EE"/>
    <w:rsid w:val="00F463EF"/>
    <w:rsid w:val="00F4649A"/>
    <w:rsid w:val="00F46546"/>
    <w:rsid w:val="00F46612"/>
    <w:rsid w:val="00F46756"/>
    <w:rsid w:val="00F467C8"/>
    <w:rsid w:val="00F4686A"/>
    <w:rsid w:val="00F469E2"/>
    <w:rsid w:val="00F46B5F"/>
    <w:rsid w:val="00F46B72"/>
    <w:rsid w:val="00F46BC8"/>
    <w:rsid w:val="00F46D14"/>
    <w:rsid w:val="00F46D1B"/>
    <w:rsid w:val="00F46E57"/>
    <w:rsid w:val="00F46F50"/>
    <w:rsid w:val="00F46F8C"/>
    <w:rsid w:val="00F46FC9"/>
    <w:rsid w:val="00F46FDA"/>
    <w:rsid w:val="00F47031"/>
    <w:rsid w:val="00F4706E"/>
    <w:rsid w:val="00F470C8"/>
    <w:rsid w:val="00F471A2"/>
    <w:rsid w:val="00F471D2"/>
    <w:rsid w:val="00F471D6"/>
    <w:rsid w:val="00F471EE"/>
    <w:rsid w:val="00F47202"/>
    <w:rsid w:val="00F47247"/>
    <w:rsid w:val="00F472AD"/>
    <w:rsid w:val="00F4733E"/>
    <w:rsid w:val="00F473CA"/>
    <w:rsid w:val="00F47455"/>
    <w:rsid w:val="00F474CE"/>
    <w:rsid w:val="00F47515"/>
    <w:rsid w:val="00F4751B"/>
    <w:rsid w:val="00F47551"/>
    <w:rsid w:val="00F47622"/>
    <w:rsid w:val="00F4765E"/>
    <w:rsid w:val="00F476B8"/>
    <w:rsid w:val="00F476FE"/>
    <w:rsid w:val="00F47707"/>
    <w:rsid w:val="00F477F8"/>
    <w:rsid w:val="00F4785B"/>
    <w:rsid w:val="00F47885"/>
    <w:rsid w:val="00F478B8"/>
    <w:rsid w:val="00F4793C"/>
    <w:rsid w:val="00F47942"/>
    <w:rsid w:val="00F47955"/>
    <w:rsid w:val="00F479C3"/>
    <w:rsid w:val="00F47A4E"/>
    <w:rsid w:val="00F47AA8"/>
    <w:rsid w:val="00F47ABE"/>
    <w:rsid w:val="00F47B20"/>
    <w:rsid w:val="00F47B62"/>
    <w:rsid w:val="00F47C06"/>
    <w:rsid w:val="00F47C14"/>
    <w:rsid w:val="00F47C45"/>
    <w:rsid w:val="00F47C5E"/>
    <w:rsid w:val="00F47D23"/>
    <w:rsid w:val="00F47E31"/>
    <w:rsid w:val="00F47EE2"/>
    <w:rsid w:val="00F47F5D"/>
    <w:rsid w:val="00F50286"/>
    <w:rsid w:val="00F50289"/>
    <w:rsid w:val="00F505D8"/>
    <w:rsid w:val="00F505E2"/>
    <w:rsid w:val="00F5065C"/>
    <w:rsid w:val="00F5072A"/>
    <w:rsid w:val="00F507DE"/>
    <w:rsid w:val="00F508D2"/>
    <w:rsid w:val="00F50A10"/>
    <w:rsid w:val="00F50A36"/>
    <w:rsid w:val="00F50BEC"/>
    <w:rsid w:val="00F50C4A"/>
    <w:rsid w:val="00F50C9D"/>
    <w:rsid w:val="00F50D92"/>
    <w:rsid w:val="00F50EE3"/>
    <w:rsid w:val="00F50FDA"/>
    <w:rsid w:val="00F5101E"/>
    <w:rsid w:val="00F51142"/>
    <w:rsid w:val="00F511DF"/>
    <w:rsid w:val="00F5120F"/>
    <w:rsid w:val="00F513E2"/>
    <w:rsid w:val="00F514D0"/>
    <w:rsid w:val="00F51657"/>
    <w:rsid w:val="00F516B7"/>
    <w:rsid w:val="00F516D6"/>
    <w:rsid w:val="00F51717"/>
    <w:rsid w:val="00F51747"/>
    <w:rsid w:val="00F51862"/>
    <w:rsid w:val="00F518B1"/>
    <w:rsid w:val="00F51AC8"/>
    <w:rsid w:val="00F51AE9"/>
    <w:rsid w:val="00F51B84"/>
    <w:rsid w:val="00F51D18"/>
    <w:rsid w:val="00F51D7A"/>
    <w:rsid w:val="00F51D87"/>
    <w:rsid w:val="00F51E06"/>
    <w:rsid w:val="00F51EF5"/>
    <w:rsid w:val="00F52084"/>
    <w:rsid w:val="00F52091"/>
    <w:rsid w:val="00F520DE"/>
    <w:rsid w:val="00F52109"/>
    <w:rsid w:val="00F5210E"/>
    <w:rsid w:val="00F52227"/>
    <w:rsid w:val="00F52262"/>
    <w:rsid w:val="00F52484"/>
    <w:rsid w:val="00F524CA"/>
    <w:rsid w:val="00F524CC"/>
    <w:rsid w:val="00F524DC"/>
    <w:rsid w:val="00F524FF"/>
    <w:rsid w:val="00F525B0"/>
    <w:rsid w:val="00F52682"/>
    <w:rsid w:val="00F5269F"/>
    <w:rsid w:val="00F526D6"/>
    <w:rsid w:val="00F52732"/>
    <w:rsid w:val="00F528CF"/>
    <w:rsid w:val="00F528D4"/>
    <w:rsid w:val="00F52954"/>
    <w:rsid w:val="00F52A94"/>
    <w:rsid w:val="00F52B84"/>
    <w:rsid w:val="00F52D15"/>
    <w:rsid w:val="00F52D51"/>
    <w:rsid w:val="00F52D9E"/>
    <w:rsid w:val="00F52E5C"/>
    <w:rsid w:val="00F52E5E"/>
    <w:rsid w:val="00F52EC3"/>
    <w:rsid w:val="00F52EFA"/>
    <w:rsid w:val="00F52F28"/>
    <w:rsid w:val="00F52F74"/>
    <w:rsid w:val="00F53062"/>
    <w:rsid w:val="00F5313C"/>
    <w:rsid w:val="00F5322A"/>
    <w:rsid w:val="00F532C1"/>
    <w:rsid w:val="00F532E9"/>
    <w:rsid w:val="00F5331F"/>
    <w:rsid w:val="00F533AB"/>
    <w:rsid w:val="00F5343B"/>
    <w:rsid w:val="00F53461"/>
    <w:rsid w:val="00F53520"/>
    <w:rsid w:val="00F53570"/>
    <w:rsid w:val="00F53612"/>
    <w:rsid w:val="00F53683"/>
    <w:rsid w:val="00F5369A"/>
    <w:rsid w:val="00F53715"/>
    <w:rsid w:val="00F537AF"/>
    <w:rsid w:val="00F538B6"/>
    <w:rsid w:val="00F5392C"/>
    <w:rsid w:val="00F53B4A"/>
    <w:rsid w:val="00F53CCA"/>
    <w:rsid w:val="00F53D5B"/>
    <w:rsid w:val="00F53E7F"/>
    <w:rsid w:val="00F53F45"/>
    <w:rsid w:val="00F5401F"/>
    <w:rsid w:val="00F5403E"/>
    <w:rsid w:val="00F54054"/>
    <w:rsid w:val="00F5414B"/>
    <w:rsid w:val="00F5416E"/>
    <w:rsid w:val="00F54206"/>
    <w:rsid w:val="00F5429D"/>
    <w:rsid w:val="00F542BF"/>
    <w:rsid w:val="00F542FC"/>
    <w:rsid w:val="00F54395"/>
    <w:rsid w:val="00F5439E"/>
    <w:rsid w:val="00F544D4"/>
    <w:rsid w:val="00F54565"/>
    <w:rsid w:val="00F54597"/>
    <w:rsid w:val="00F545CD"/>
    <w:rsid w:val="00F5469B"/>
    <w:rsid w:val="00F546F5"/>
    <w:rsid w:val="00F54740"/>
    <w:rsid w:val="00F54759"/>
    <w:rsid w:val="00F547D9"/>
    <w:rsid w:val="00F54831"/>
    <w:rsid w:val="00F5484D"/>
    <w:rsid w:val="00F548B8"/>
    <w:rsid w:val="00F548C7"/>
    <w:rsid w:val="00F548CB"/>
    <w:rsid w:val="00F54948"/>
    <w:rsid w:val="00F54960"/>
    <w:rsid w:val="00F549AA"/>
    <w:rsid w:val="00F54A17"/>
    <w:rsid w:val="00F54C26"/>
    <w:rsid w:val="00F54D4A"/>
    <w:rsid w:val="00F54DD6"/>
    <w:rsid w:val="00F54EEB"/>
    <w:rsid w:val="00F54FA2"/>
    <w:rsid w:val="00F5518A"/>
    <w:rsid w:val="00F552C4"/>
    <w:rsid w:val="00F55345"/>
    <w:rsid w:val="00F55384"/>
    <w:rsid w:val="00F5551B"/>
    <w:rsid w:val="00F556BB"/>
    <w:rsid w:val="00F5575D"/>
    <w:rsid w:val="00F557B5"/>
    <w:rsid w:val="00F557E8"/>
    <w:rsid w:val="00F55852"/>
    <w:rsid w:val="00F558EC"/>
    <w:rsid w:val="00F559D9"/>
    <w:rsid w:val="00F55ABC"/>
    <w:rsid w:val="00F55B64"/>
    <w:rsid w:val="00F55BF6"/>
    <w:rsid w:val="00F55D11"/>
    <w:rsid w:val="00F55E2C"/>
    <w:rsid w:val="00F55F31"/>
    <w:rsid w:val="00F56011"/>
    <w:rsid w:val="00F56054"/>
    <w:rsid w:val="00F5608C"/>
    <w:rsid w:val="00F560DB"/>
    <w:rsid w:val="00F5617F"/>
    <w:rsid w:val="00F561F0"/>
    <w:rsid w:val="00F56300"/>
    <w:rsid w:val="00F5636E"/>
    <w:rsid w:val="00F56392"/>
    <w:rsid w:val="00F5644F"/>
    <w:rsid w:val="00F5655B"/>
    <w:rsid w:val="00F56595"/>
    <w:rsid w:val="00F56619"/>
    <w:rsid w:val="00F56632"/>
    <w:rsid w:val="00F567A3"/>
    <w:rsid w:val="00F5683A"/>
    <w:rsid w:val="00F56AC7"/>
    <w:rsid w:val="00F56BF6"/>
    <w:rsid w:val="00F56BFE"/>
    <w:rsid w:val="00F56C50"/>
    <w:rsid w:val="00F56C7C"/>
    <w:rsid w:val="00F56CA3"/>
    <w:rsid w:val="00F56D0D"/>
    <w:rsid w:val="00F56D93"/>
    <w:rsid w:val="00F56DEA"/>
    <w:rsid w:val="00F56E3C"/>
    <w:rsid w:val="00F56E41"/>
    <w:rsid w:val="00F56EB8"/>
    <w:rsid w:val="00F56ED7"/>
    <w:rsid w:val="00F57006"/>
    <w:rsid w:val="00F571F5"/>
    <w:rsid w:val="00F572CC"/>
    <w:rsid w:val="00F5730C"/>
    <w:rsid w:val="00F57454"/>
    <w:rsid w:val="00F5757E"/>
    <w:rsid w:val="00F5758A"/>
    <w:rsid w:val="00F576D0"/>
    <w:rsid w:val="00F577B7"/>
    <w:rsid w:val="00F5780B"/>
    <w:rsid w:val="00F57906"/>
    <w:rsid w:val="00F57930"/>
    <w:rsid w:val="00F57A25"/>
    <w:rsid w:val="00F57A3D"/>
    <w:rsid w:val="00F57A56"/>
    <w:rsid w:val="00F57C3F"/>
    <w:rsid w:val="00F57C66"/>
    <w:rsid w:val="00F57DC1"/>
    <w:rsid w:val="00F57DEF"/>
    <w:rsid w:val="00F57EFF"/>
    <w:rsid w:val="00F57F37"/>
    <w:rsid w:val="00F57F7B"/>
    <w:rsid w:val="00F57FE5"/>
    <w:rsid w:val="00F57FF0"/>
    <w:rsid w:val="00F600E9"/>
    <w:rsid w:val="00F601EE"/>
    <w:rsid w:val="00F60316"/>
    <w:rsid w:val="00F603D9"/>
    <w:rsid w:val="00F604CA"/>
    <w:rsid w:val="00F605D9"/>
    <w:rsid w:val="00F60683"/>
    <w:rsid w:val="00F6086F"/>
    <w:rsid w:val="00F60A2C"/>
    <w:rsid w:val="00F60A92"/>
    <w:rsid w:val="00F60B8F"/>
    <w:rsid w:val="00F60C2F"/>
    <w:rsid w:val="00F60D37"/>
    <w:rsid w:val="00F60F27"/>
    <w:rsid w:val="00F60F29"/>
    <w:rsid w:val="00F6115D"/>
    <w:rsid w:val="00F611B1"/>
    <w:rsid w:val="00F61290"/>
    <w:rsid w:val="00F612F8"/>
    <w:rsid w:val="00F61349"/>
    <w:rsid w:val="00F6136A"/>
    <w:rsid w:val="00F61544"/>
    <w:rsid w:val="00F61593"/>
    <w:rsid w:val="00F616AD"/>
    <w:rsid w:val="00F61731"/>
    <w:rsid w:val="00F6179F"/>
    <w:rsid w:val="00F617CC"/>
    <w:rsid w:val="00F6187C"/>
    <w:rsid w:val="00F618A0"/>
    <w:rsid w:val="00F618C7"/>
    <w:rsid w:val="00F618E3"/>
    <w:rsid w:val="00F61949"/>
    <w:rsid w:val="00F61ACE"/>
    <w:rsid w:val="00F61C67"/>
    <w:rsid w:val="00F61D3E"/>
    <w:rsid w:val="00F61F04"/>
    <w:rsid w:val="00F61F1F"/>
    <w:rsid w:val="00F61F39"/>
    <w:rsid w:val="00F61F89"/>
    <w:rsid w:val="00F62144"/>
    <w:rsid w:val="00F621ED"/>
    <w:rsid w:val="00F62347"/>
    <w:rsid w:val="00F623AD"/>
    <w:rsid w:val="00F623C5"/>
    <w:rsid w:val="00F6240D"/>
    <w:rsid w:val="00F62584"/>
    <w:rsid w:val="00F62623"/>
    <w:rsid w:val="00F62716"/>
    <w:rsid w:val="00F627FC"/>
    <w:rsid w:val="00F6280F"/>
    <w:rsid w:val="00F62933"/>
    <w:rsid w:val="00F629C9"/>
    <w:rsid w:val="00F62A2A"/>
    <w:rsid w:val="00F62A7C"/>
    <w:rsid w:val="00F62E12"/>
    <w:rsid w:val="00F62EFD"/>
    <w:rsid w:val="00F62F91"/>
    <w:rsid w:val="00F62FE0"/>
    <w:rsid w:val="00F63095"/>
    <w:rsid w:val="00F630FA"/>
    <w:rsid w:val="00F631C5"/>
    <w:rsid w:val="00F63271"/>
    <w:rsid w:val="00F632CA"/>
    <w:rsid w:val="00F632F3"/>
    <w:rsid w:val="00F63307"/>
    <w:rsid w:val="00F63367"/>
    <w:rsid w:val="00F63403"/>
    <w:rsid w:val="00F634CF"/>
    <w:rsid w:val="00F63510"/>
    <w:rsid w:val="00F635AA"/>
    <w:rsid w:val="00F635E4"/>
    <w:rsid w:val="00F63631"/>
    <w:rsid w:val="00F63918"/>
    <w:rsid w:val="00F6392F"/>
    <w:rsid w:val="00F639DB"/>
    <w:rsid w:val="00F639DC"/>
    <w:rsid w:val="00F639E1"/>
    <w:rsid w:val="00F63B6B"/>
    <w:rsid w:val="00F63C29"/>
    <w:rsid w:val="00F63C78"/>
    <w:rsid w:val="00F63CBF"/>
    <w:rsid w:val="00F63ECD"/>
    <w:rsid w:val="00F63F02"/>
    <w:rsid w:val="00F63F35"/>
    <w:rsid w:val="00F64034"/>
    <w:rsid w:val="00F64053"/>
    <w:rsid w:val="00F64132"/>
    <w:rsid w:val="00F6419C"/>
    <w:rsid w:val="00F64269"/>
    <w:rsid w:val="00F643D2"/>
    <w:rsid w:val="00F643D9"/>
    <w:rsid w:val="00F643F2"/>
    <w:rsid w:val="00F644CC"/>
    <w:rsid w:val="00F6453F"/>
    <w:rsid w:val="00F64542"/>
    <w:rsid w:val="00F6463A"/>
    <w:rsid w:val="00F646CA"/>
    <w:rsid w:val="00F64730"/>
    <w:rsid w:val="00F64741"/>
    <w:rsid w:val="00F6477D"/>
    <w:rsid w:val="00F649AA"/>
    <w:rsid w:val="00F649C4"/>
    <w:rsid w:val="00F64A0F"/>
    <w:rsid w:val="00F64B30"/>
    <w:rsid w:val="00F64CD5"/>
    <w:rsid w:val="00F64CF1"/>
    <w:rsid w:val="00F64D6A"/>
    <w:rsid w:val="00F64DBD"/>
    <w:rsid w:val="00F64EF6"/>
    <w:rsid w:val="00F64F0A"/>
    <w:rsid w:val="00F64F3E"/>
    <w:rsid w:val="00F64FC7"/>
    <w:rsid w:val="00F65002"/>
    <w:rsid w:val="00F650CB"/>
    <w:rsid w:val="00F65147"/>
    <w:rsid w:val="00F65250"/>
    <w:rsid w:val="00F652C8"/>
    <w:rsid w:val="00F652F3"/>
    <w:rsid w:val="00F65308"/>
    <w:rsid w:val="00F65433"/>
    <w:rsid w:val="00F654BB"/>
    <w:rsid w:val="00F65716"/>
    <w:rsid w:val="00F65759"/>
    <w:rsid w:val="00F6590A"/>
    <w:rsid w:val="00F6594E"/>
    <w:rsid w:val="00F65AA0"/>
    <w:rsid w:val="00F65AB2"/>
    <w:rsid w:val="00F65AD3"/>
    <w:rsid w:val="00F65C0A"/>
    <w:rsid w:val="00F65C90"/>
    <w:rsid w:val="00F65C99"/>
    <w:rsid w:val="00F65D29"/>
    <w:rsid w:val="00F65DD3"/>
    <w:rsid w:val="00F65DDF"/>
    <w:rsid w:val="00F65E16"/>
    <w:rsid w:val="00F65E3E"/>
    <w:rsid w:val="00F65FE0"/>
    <w:rsid w:val="00F6603C"/>
    <w:rsid w:val="00F6604E"/>
    <w:rsid w:val="00F662C9"/>
    <w:rsid w:val="00F662D2"/>
    <w:rsid w:val="00F662E8"/>
    <w:rsid w:val="00F6639E"/>
    <w:rsid w:val="00F663B0"/>
    <w:rsid w:val="00F663DA"/>
    <w:rsid w:val="00F664AC"/>
    <w:rsid w:val="00F664D3"/>
    <w:rsid w:val="00F66553"/>
    <w:rsid w:val="00F66732"/>
    <w:rsid w:val="00F667D1"/>
    <w:rsid w:val="00F66883"/>
    <w:rsid w:val="00F668B5"/>
    <w:rsid w:val="00F66919"/>
    <w:rsid w:val="00F6691C"/>
    <w:rsid w:val="00F669B2"/>
    <w:rsid w:val="00F66B10"/>
    <w:rsid w:val="00F66B1E"/>
    <w:rsid w:val="00F66BBF"/>
    <w:rsid w:val="00F66D4D"/>
    <w:rsid w:val="00F66F9D"/>
    <w:rsid w:val="00F671D2"/>
    <w:rsid w:val="00F671D5"/>
    <w:rsid w:val="00F6720E"/>
    <w:rsid w:val="00F672C1"/>
    <w:rsid w:val="00F673BE"/>
    <w:rsid w:val="00F67460"/>
    <w:rsid w:val="00F675AA"/>
    <w:rsid w:val="00F675EF"/>
    <w:rsid w:val="00F67603"/>
    <w:rsid w:val="00F67668"/>
    <w:rsid w:val="00F679B6"/>
    <w:rsid w:val="00F67ACD"/>
    <w:rsid w:val="00F67AD7"/>
    <w:rsid w:val="00F67B6C"/>
    <w:rsid w:val="00F67BA6"/>
    <w:rsid w:val="00F67D62"/>
    <w:rsid w:val="00F67E67"/>
    <w:rsid w:val="00F67E6F"/>
    <w:rsid w:val="00F67E76"/>
    <w:rsid w:val="00F67EED"/>
    <w:rsid w:val="00F67FB3"/>
    <w:rsid w:val="00F67FB6"/>
    <w:rsid w:val="00F7006C"/>
    <w:rsid w:val="00F70124"/>
    <w:rsid w:val="00F7015C"/>
    <w:rsid w:val="00F70198"/>
    <w:rsid w:val="00F70218"/>
    <w:rsid w:val="00F7022C"/>
    <w:rsid w:val="00F7029C"/>
    <w:rsid w:val="00F7034A"/>
    <w:rsid w:val="00F703B0"/>
    <w:rsid w:val="00F703EA"/>
    <w:rsid w:val="00F704C2"/>
    <w:rsid w:val="00F7050B"/>
    <w:rsid w:val="00F70543"/>
    <w:rsid w:val="00F706DB"/>
    <w:rsid w:val="00F706DF"/>
    <w:rsid w:val="00F70743"/>
    <w:rsid w:val="00F707CC"/>
    <w:rsid w:val="00F7082A"/>
    <w:rsid w:val="00F70854"/>
    <w:rsid w:val="00F70978"/>
    <w:rsid w:val="00F70A17"/>
    <w:rsid w:val="00F70A2D"/>
    <w:rsid w:val="00F70B35"/>
    <w:rsid w:val="00F70B39"/>
    <w:rsid w:val="00F70B80"/>
    <w:rsid w:val="00F70D07"/>
    <w:rsid w:val="00F70D90"/>
    <w:rsid w:val="00F70DD8"/>
    <w:rsid w:val="00F70EA6"/>
    <w:rsid w:val="00F70F6F"/>
    <w:rsid w:val="00F70F88"/>
    <w:rsid w:val="00F70FDB"/>
    <w:rsid w:val="00F71021"/>
    <w:rsid w:val="00F71074"/>
    <w:rsid w:val="00F7110D"/>
    <w:rsid w:val="00F71126"/>
    <w:rsid w:val="00F7114F"/>
    <w:rsid w:val="00F711C6"/>
    <w:rsid w:val="00F71210"/>
    <w:rsid w:val="00F7139A"/>
    <w:rsid w:val="00F713EA"/>
    <w:rsid w:val="00F7144A"/>
    <w:rsid w:val="00F714A7"/>
    <w:rsid w:val="00F71559"/>
    <w:rsid w:val="00F716EF"/>
    <w:rsid w:val="00F7183B"/>
    <w:rsid w:val="00F71896"/>
    <w:rsid w:val="00F71993"/>
    <w:rsid w:val="00F7199C"/>
    <w:rsid w:val="00F71A66"/>
    <w:rsid w:val="00F71ACD"/>
    <w:rsid w:val="00F71BD4"/>
    <w:rsid w:val="00F71C47"/>
    <w:rsid w:val="00F71C60"/>
    <w:rsid w:val="00F71D61"/>
    <w:rsid w:val="00F71D7E"/>
    <w:rsid w:val="00F71E15"/>
    <w:rsid w:val="00F71E8A"/>
    <w:rsid w:val="00F72176"/>
    <w:rsid w:val="00F7217E"/>
    <w:rsid w:val="00F721B7"/>
    <w:rsid w:val="00F7220A"/>
    <w:rsid w:val="00F7222C"/>
    <w:rsid w:val="00F722E6"/>
    <w:rsid w:val="00F722EB"/>
    <w:rsid w:val="00F723CA"/>
    <w:rsid w:val="00F72428"/>
    <w:rsid w:val="00F7244F"/>
    <w:rsid w:val="00F72488"/>
    <w:rsid w:val="00F72549"/>
    <w:rsid w:val="00F72611"/>
    <w:rsid w:val="00F72612"/>
    <w:rsid w:val="00F7275F"/>
    <w:rsid w:val="00F72783"/>
    <w:rsid w:val="00F727BE"/>
    <w:rsid w:val="00F72820"/>
    <w:rsid w:val="00F7290C"/>
    <w:rsid w:val="00F72948"/>
    <w:rsid w:val="00F729E5"/>
    <w:rsid w:val="00F72A31"/>
    <w:rsid w:val="00F72ADF"/>
    <w:rsid w:val="00F72B7B"/>
    <w:rsid w:val="00F72D61"/>
    <w:rsid w:val="00F72DA4"/>
    <w:rsid w:val="00F72EAD"/>
    <w:rsid w:val="00F72F18"/>
    <w:rsid w:val="00F72F48"/>
    <w:rsid w:val="00F73030"/>
    <w:rsid w:val="00F7311E"/>
    <w:rsid w:val="00F73194"/>
    <w:rsid w:val="00F731E6"/>
    <w:rsid w:val="00F7321F"/>
    <w:rsid w:val="00F73247"/>
    <w:rsid w:val="00F73272"/>
    <w:rsid w:val="00F73341"/>
    <w:rsid w:val="00F73366"/>
    <w:rsid w:val="00F7337C"/>
    <w:rsid w:val="00F733FA"/>
    <w:rsid w:val="00F73457"/>
    <w:rsid w:val="00F73479"/>
    <w:rsid w:val="00F73489"/>
    <w:rsid w:val="00F734C1"/>
    <w:rsid w:val="00F7353B"/>
    <w:rsid w:val="00F735BF"/>
    <w:rsid w:val="00F736AA"/>
    <w:rsid w:val="00F737AD"/>
    <w:rsid w:val="00F73883"/>
    <w:rsid w:val="00F73A6F"/>
    <w:rsid w:val="00F73B11"/>
    <w:rsid w:val="00F73B6B"/>
    <w:rsid w:val="00F73C45"/>
    <w:rsid w:val="00F73CB5"/>
    <w:rsid w:val="00F73CE3"/>
    <w:rsid w:val="00F73E73"/>
    <w:rsid w:val="00F73E89"/>
    <w:rsid w:val="00F74023"/>
    <w:rsid w:val="00F74281"/>
    <w:rsid w:val="00F74292"/>
    <w:rsid w:val="00F74353"/>
    <w:rsid w:val="00F743BF"/>
    <w:rsid w:val="00F744F1"/>
    <w:rsid w:val="00F74569"/>
    <w:rsid w:val="00F746CD"/>
    <w:rsid w:val="00F746F2"/>
    <w:rsid w:val="00F74777"/>
    <w:rsid w:val="00F74791"/>
    <w:rsid w:val="00F74853"/>
    <w:rsid w:val="00F74924"/>
    <w:rsid w:val="00F74A7D"/>
    <w:rsid w:val="00F74B08"/>
    <w:rsid w:val="00F74BDA"/>
    <w:rsid w:val="00F74CDC"/>
    <w:rsid w:val="00F74DF8"/>
    <w:rsid w:val="00F74E83"/>
    <w:rsid w:val="00F74EC8"/>
    <w:rsid w:val="00F752DC"/>
    <w:rsid w:val="00F752F5"/>
    <w:rsid w:val="00F75325"/>
    <w:rsid w:val="00F7544C"/>
    <w:rsid w:val="00F75492"/>
    <w:rsid w:val="00F7551F"/>
    <w:rsid w:val="00F75637"/>
    <w:rsid w:val="00F756C9"/>
    <w:rsid w:val="00F757D4"/>
    <w:rsid w:val="00F758D2"/>
    <w:rsid w:val="00F75C82"/>
    <w:rsid w:val="00F75D54"/>
    <w:rsid w:val="00F75EA3"/>
    <w:rsid w:val="00F75F76"/>
    <w:rsid w:val="00F75FDF"/>
    <w:rsid w:val="00F76148"/>
    <w:rsid w:val="00F761D8"/>
    <w:rsid w:val="00F761E1"/>
    <w:rsid w:val="00F76205"/>
    <w:rsid w:val="00F7632D"/>
    <w:rsid w:val="00F76352"/>
    <w:rsid w:val="00F7640C"/>
    <w:rsid w:val="00F76576"/>
    <w:rsid w:val="00F7664D"/>
    <w:rsid w:val="00F76745"/>
    <w:rsid w:val="00F76864"/>
    <w:rsid w:val="00F7689C"/>
    <w:rsid w:val="00F768E1"/>
    <w:rsid w:val="00F768F3"/>
    <w:rsid w:val="00F768FA"/>
    <w:rsid w:val="00F769C5"/>
    <w:rsid w:val="00F76A78"/>
    <w:rsid w:val="00F76BA1"/>
    <w:rsid w:val="00F76BE4"/>
    <w:rsid w:val="00F76C1F"/>
    <w:rsid w:val="00F76C7E"/>
    <w:rsid w:val="00F76D3E"/>
    <w:rsid w:val="00F76D4E"/>
    <w:rsid w:val="00F76DB9"/>
    <w:rsid w:val="00F76ED3"/>
    <w:rsid w:val="00F76FD8"/>
    <w:rsid w:val="00F7704C"/>
    <w:rsid w:val="00F77089"/>
    <w:rsid w:val="00F77253"/>
    <w:rsid w:val="00F77265"/>
    <w:rsid w:val="00F77286"/>
    <w:rsid w:val="00F77366"/>
    <w:rsid w:val="00F773F2"/>
    <w:rsid w:val="00F7747E"/>
    <w:rsid w:val="00F774FD"/>
    <w:rsid w:val="00F77554"/>
    <w:rsid w:val="00F77664"/>
    <w:rsid w:val="00F7772F"/>
    <w:rsid w:val="00F7781A"/>
    <w:rsid w:val="00F7787E"/>
    <w:rsid w:val="00F778F8"/>
    <w:rsid w:val="00F77AB5"/>
    <w:rsid w:val="00F77BB5"/>
    <w:rsid w:val="00F77C91"/>
    <w:rsid w:val="00F77ED7"/>
    <w:rsid w:val="00F77F49"/>
    <w:rsid w:val="00F77F5E"/>
    <w:rsid w:val="00F80052"/>
    <w:rsid w:val="00F800C2"/>
    <w:rsid w:val="00F80114"/>
    <w:rsid w:val="00F8038B"/>
    <w:rsid w:val="00F803DD"/>
    <w:rsid w:val="00F80483"/>
    <w:rsid w:val="00F80524"/>
    <w:rsid w:val="00F80533"/>
    <w:rsid w:val="00F80640"/>
    <w:rsid w:val="00F80736"/>
    <w:rsid w:val="00F80794"/>
    <w:rsid w:val="00F80810"/>
    <w:rsid w:val="00F809BD"/>
    <w:rsid w:val="00F80A79"/>
    <w:rsid w:val="00F80B16"/>
    <w:rsid w:val="00F80CAC"/>
    <w:rsid w:val="00F80CC7"/>
    <w:rsid w:val="00F80D29"/>
    <w:rsid w:val="00F80FE5"/>
    <w:rsid w:val="00F81094"/>
    <w:rsid w:val="00F8113F"/>
    <w:rsid w:val="00F811FD"/>
    <w:rsid w:val="00F81292"/>
    <w:rsid w:val="00F812AA"/>
    <w:rsid w:val="00F812C7"/>
    <w:rsid w:val="00F814EE"/>
    <w:rsid w:val="00F81620"/>
    <w:rsid w:val="00F81695"/>
    <w:rsid w:val="00F819B7"/>
    <w:rsid w:val="00F819D6"/>
    <w:rsid w:val="00F819DE"/>
    <w:rsid w:val="00F81A25"/>
    <w:rsid w:val="00F81AD9"/>
    <w:rsid w:val="00F81BA1"/>
    <w:rsid w:val="00F81C70"/>
    <w:rsid w:val="00F81CC7"/>
    <w:rsid w:val="00F81D30"/>
    <w:rsid w:val="00F81D3A"/>
    <w:rsid w:val="00F81D4D"/>
    <w:rsid w:val="00F81E94"/>
    <w:rsid w:val="00F81EBC"/>
    <w:rsid w:val="00F81ECA"/>
    <w:rsid w:val="00F81F14"/>
    <w:rsid w:val="00F81F30"/>
    <w:rsid w:val="00F81F37"/>
    <w:rsid w:val="00F81FBA"/>
    <w:rsid w:val="00F81FBF"/>
    <w:rsid w:val="00F82181"/>
    <w:rsid w:val="00F82236"/>
    <w:rsid w:val="00F82313"/>
    <w:rsid w:val="00F823EA"/>
    <w:rsid w:val="00F823F1"/>
    <w:rsid w:val="00F824C2"/>
    <w:rsid w:val="00F824D3"/>
    <w:rsid w:val="00F824F8"/>
    <w:rsid w:val="00F82620"/>
    <w:rsid w:val="00F8265D"/>
    <w:rsid w:val="00F826B1"/>
    <w:rsid w:val="00F82764"/>
    <w:rsid w:val="00F8295B"/>
    <w:rsid w:val="00F82A37"/>
    <w:rsid w:val="00F82AFF"/>
    <w:rsid w:val="00F82B1A"/>
    <w:rsid w:val="00F82CBA"/>
    <w:rsid w:val="00F82CD1"/>
    <w:rsid w:val="00F82D7D"/>
    <w:rsid w:val="00F82DB4"/>
    <w:rsid w:val="00F82E13"/>
    <w:rsid w:val="00F82F35"/>
    <w:rsid w:val="00F82F4B"/>
    <w:rsid w:val="00F830E2"/>
    <w:rsid w:val="00F831C4"/>
    <w:rsid w:val="00F831F8"/>
    <w:rsid w:val="00F8324C"/>
    <w:rsid w:val="00F83305"/>
    <w:rsid w:val="00F8337F"/>
    <w:rsid w:val="00F83444"/>
    <w:rsid w:val="00F835A2"/>
    <w:rsid w:val="00F83622"/>
    <w:rsid w:val="00F83626"/>
    <w:rsid w:val="00F83632"/>
    <w:rsid w:val="00F83754"/>
    <w:rsid w:val="00F8378E"/>
    <w:rsid w:val="00F83790"/>
    <w:rsid w:val="00F8389B"/>
    <w:rsid w:val="00F838AA"/>
    <w:rsid w:val="00F8392A"/>
    <w:rsid w:val="00F839B9"/>
    <w:rsid w:val="00F83A06"/>
    <w:rsid w:val="00F83AE8"/>
    <w:rsid w:val="00F83B40"/>
    <w:rsid w:val="00F83BA3"/>
    <w:rsid w:val="00F83BCD"/>
    <w:rsid w:val="00F83C55"/>
    <w:rsid w:val="00F83CE7"/>
    <w:rsid w:val="00F83DD9"/>
    <w:rsid w:val="00F83EB1"/>
    <w:rsid w:val="00F83EBE"/>
    <w:rsid w:val="00F83ECA"/>
    <w:rsid w:val="00F83FC5"/>
    <w:rsid w:val="00F8401E"/>
    <w:rsid w:val="00F84045"/>
    <w:rsid w:val="00F840F1"/>
    <w:rsid w:val="00F841D3"/>
    <w:rsid w:val="00F84470"/>
    <w:rsid w:val="00F84584"/>
    <w:rsid w:val="00F8459D"/>
    <w:rsid w:val="00F84609"/>
    <w:rsid w:val="00F84626"/>
    <w:rsid w:val="00F8472D"/>
    <w:rsid w:val="00F84809"/>
    <w:rsid w:val="00F8481B"/>
    <w:rsid w:val="00F84840"/>
    <w:rsid w:val="00F84859"/>
    <w:rsid w:val="00F8488F"/>
    <w:rsid w:val="00F84910"/>
    <w:rsid w:val="00F8494F"/>
    <w:rsid w:val="00F849BD"/>
    <w:rsid w:val="00F84B3F"/>
    <w:rsid w:val="00F84B66"/>
    <w:rsid w:val="00F84B7E"/>
    <w:rsid w:val="00F84C9D"/>
    <w:rsid w:val="00F84CB1"/>
    <w:rsid w:val="00F84CFB"/>
    <w:rsid w:val="00F84D0A"/>
    <w:rsid w:val="00F84D78"/>
    <w:rsid w:val="00F8504C"/>
    <w:rsid w:val="00F850A1"/>
    <w:rsid w:val="00F85191"/>
    <w:rsid w:val="00F85215"/>
    <w:rsid w:val="00F853B1"/>
    <w:rsid w:val="00F8544E"/>
    <w:rsid w:val="00F85458"/>
    <w:rsid w:val="00F8552D"/>
    <w:rsid w:val="00F85558"/>
    <w:rsid w:val="00F8559C"/>
    <w:rsid w:val="00F855CD"/>
    <w:rsid w:val="00F8564A"/>
    <w:rsid w:val="00F8564D"/>
    <w:rsid w:val="00F856A4"/>
    <w:rsid w:val="00F856FB"/>
    <w:rsid w:val="00F85738"/>
    <w:rsid w:val="00F857AB"/>
    <w:rsid w:val="00F8593B"/>
    <w:rsid w:val="00F8595F"/>
    <w:rsid w:val="00F85983"/>
    <w:rsid w:val="00F85A10"/>
    <w:rsid w:val="00F85AAD"/>
    <w:rsid w:val="00F85B2B"/>
    <w:rsid w:val="00F85C50"/>
    <w:rsid w:val="00F85C7D"/>
    <w:rsid w:val="00F85CC8"/>
    <w:rsid w:val="00F85DCE"/>
    <w:rsid w:val="00F85DDA"/>
    <w:rsid w:val="00F85DEC"/>
    <w:rsid w:val="00F85EA0"/>
    <w:rsid w:val="00F85EC6"/>
    <w:rsid w:val="00F85F00"/>
    <w:rsid w:val="00F8600D"/>
    <w:rsid w:val="00F8606F"/>
    <w:rsid w:val="00F860BD"/>
    <w:rsid w:val="00F860F0"/>
    <w:rsid w:val="00F86193"/>
    <w:rsid w:val="00F861C8"/>
    <w:rsid w:val="00F86225"/>
    <w:rsid w:val="00F8622B"/>
    <w:rsid w:val="00F862B6"/>
    <w:rsid w:val="00F86328"/>
    <w:rsid w:val="00F863F6"/>
    <w:rsid w:val="00F8642B"/>
    <w:rsid w:val="00F86574"/>
    <w:rsid w:val="00F86597"/>
    <w:rsid w:val="00F865EC"/>
    <w:rsid w:val="00F86646"/>
    <w:rsid w:val="00F867A0"/>
    <w:rsid w:val="00F867AE"/>
    <w:rsid w:val="00F86BD6"/>
    <w:rsid w:val="00F86CCC"/>
    <w:rsid w:val="00F86CEE"/>
    <w:rsid w:val="00F86CF6"/>
    <w:rsid w:val="00F86D39"/>
    <w:rsid w:val="00F86D3F"/>
    <w:rsid w:val="00F86D7C"/>
    <w:rsid w:val="00F86DF2"/>
    <w:rsid w:val="00F86E2B"/>
    <w:rsid w:val="00F86F15"/>
    <w:rsid w:val="00F87140"/>
    <w:rsid w:val="00F8716B"/>
    <w:rsid w:val="00F87232"/>
    <w:rsid w:val="00F87288"/>
    <w:rsid w:val="00F872B9"/>
    <w:rsid w:val="00F87328"/>
    <w:rsid w:val="00F873D2"/>
    <w:rsid w:val="00F874AC"/>
    <w:rsid w:val="00F874B2"/>
    <w:rsid w:val="00F874CC"/>
    <w:rsid w:val="00F875FF"/>
    <w:rsid w:val="00F876F5"/>
    <w:rsid w:val="00F87747"/>
    <w:rsid w:val="00F877EB"/>
    <w:rsid w:val="00F8788A"/>
    <w:rsid w:val="00F87902"/>
    <w:rsid w:val="00F8792E"/>
    <w:rsid w:val="00F87AA3"/>
    <w:rsid w:val="00F87ABC"/>
    <w:rsid w:val="00F87C6A"/>
    <w:rsid w:val="00F87D2E"/>
    <w:rsid w:val="00F87DBF"/>
    <w:rsid w:val="00F87E3B"/>
    <w:rsid w:val="00F87E71"/>
    <w:rsid w:val="00F87F04"/>
    <w:rsid w:val="00F87F12"/>
    <w:rsid w:val="00F90264"/>
    <w:rsid w:val="00F90295"/>
    <w:rsid w:val="00F902BC"/>
    <w:rsid w:val="00F902FB"/>
    <w:rsid w:val="00F903CA"/>
    <w:rsid w:val="00F90578"/>
    <w:rsid w:val="00F90644"/>
    <w:rsid w:val="00F9068C"/>
    <w:rsid w:val="00F9071F"/>
    <w:rsid w:val="00F907F0"/>
    <w:rsid w:val="00F90801"/>
    <w:rsid w:val="00F90819"/>
    <w:rsid w:val="00F909B5"/>
    <w:rsid w:val="00F90AC0"/>
    <w:rsid w:val="00F90ADB"/>
    <w:rsid w:val="00F90CD9"/>
    <w:rsid w:val="00F90D84"/>
    <w:rsid w:val="00F90DF0"/>
    <w:rsid w:val="00F90E69"/>
    <w:rsid w:val="00F90F72"/>
    <w:rsid w:val="00F90F83"/>
    <w:rsid w:val="00F90F8E"/>
    <w:rsid w:val="00F90FA1"/>
    <w:rsid w:val="00F90FED"/>
    <w:rsid w:val="00F9102B"/>
    <w:rsid w:val="00F9103E"/>
    <w:rsid w:val="00F91055"/>
    <w:rsid w:val="00F9113B"/>
    <w:rsid w:val="00F91249"/>
    <w:rsid w:val="00F912B5"/>
    <w:rsid w:val="00F9146F"/>
    <w:rsid w:val="00F914F0"/>
    <w:rsid w:val="00F91540"/>
    <w:rsid w:val="00F91553"/>
    <w:rsid w:val="00F915CA"/>
    <w:rsid w:val="00F9172D"/>
    <w:rsid w:val="00F91764"/>
    <w:rsid w:val="00F91788"/>
    <w:rsid w:val="00F91852"/>
    <w:rsid w:val="00F9191F"/>
    <w:rsid w:val="00F9198E"/>
    <w:rsid w:val="00F9198F"/>
    <w:rsid w:val="00F91A74"/>
    <w:rsid w:val="00F91A83"/>
    <w:rsid w:val="00F91AD4"/>
    <w:rsid w:val="00F91C6E"/>
    <w:rsid w:val="00F91CE2"/>
    <w:rsid w:val="00F91E12"/>
    <w:rsid w:val="00F91EF7"/>
    <w:rsid w:val="00F91F06"/>
    <w:rsid w:val="00F91F78"/>
    <w:rsid w:val="00F91F89"/>
    <w:rsid w:val="00F9210D"/>
    <w:rsid w:val="00F921AD"/>
    <w:rsid w:val="00F9221B"/>
    <w:rsid w:val="00F9229E"/>
    <w:rsid w:val="00F92304"/>
    <w:rsid w:val="00F923C0"/>
    <w:rsid w:val="00F923EC"/>
    <w:rsid w:val="00F924AE"/>
    <w:rsid w:val="00F924CD"/>
    <w:rsid w:val="00F924E3"/>
    <w:rsid w:val="00F92566"/>
    <w:rsid w:val="00F92711"/>
    <w:rsid w:val="00F928A2"/>
    <w:rsid w:val="00F928D5"/>
    <w:rsid w:val="00F92AC8"/>
    <w:rsid w:val="00F92C7B"/>
    <w:rsid w:val="00F92C86"/>
    <w:rsid w:val="00F92DA2"/>
    <w:rsid w:val="00F92DA6"/>
    <w:rsid w:val="00F92F3A"/>
    <w:rsid w:val="00F92F72"/>
    <w:rsid w:val="00F93020"/>
    <w:rsid w:val="00F93100"/>
    <w:rsid w:val="00F93141"/>
    <w:rsid w:val="00F9319B"/>
    <w:rsid w:val="00F931C6"/>
    <w:rsid w:val="00F93229"/>
    <w:rsid w:val="00F93553"/>
    <w:rsid w:val="00F93574"/>
    <w:rsid w:val="00F935D9"/>
    <w:rsid w:val="00F93616"/>
    <w:rsid w:val="00F93665"/>
    <w:rsid w:val="00F9367E"/>
    <w:rsid w:val="00F93861"/>
    <w:rsid w:val="00F938B4"/>
    <w:rsid w:val="00F938BD"/>
    <w:rsid w:val="00F93911"/>
    <w:rsid w:val="00F93947"/>
    <w:rsid w:val="00F93949"/>
    <w:rsid w:val="00F93995"/>
    <w:rsid w:val="00F939DD"/>
    <w:rsid w:val="00F93B06"/>
    <w:rsid w:val="00F93B24"/>
    <w:rsid w:val="00F93BC3"/>
    <w:rsid w:val="00F93CDD"/>
    <w:rsid w:val="00F93DAD"/>
    <w:rsid w:val="00F93FB8"/>
    <w:rsid w:val="00F94361"/>
    <w:rsid w:val="00F94364"/>
    <w:rsid w:val="00F9437A"/>
    <w:rsid w:val="00F94447"/>
    <w:rsid w:val="00F94500"/>
    <w:rsid w:val="00F94534"/>
    <w:rsid w:val="00F9459E"/>
    <w:rsid w:val="00F945F9"/>
    <w:rsid w:val="00F9470F"/>
    <w:rsid w:val="00F94722"/>
    <w:rsid w:val="00F94942"/>
    <w:rsid w:val="00F94A6C"/>
    <w:rsid w:val="00F94AF0"/>
    <w:rsid w:val="00F94B6D"/>
    <w:rsid w:val="00F94B8E"/>
    <w:rsid w:val="00F94BB1"/>
    <w:rsid w:val="00F94BEE"/>
    <w:rsid w:val="00F94C20"/>
    <w:rsid w:val="00F94C24"/>
    <w:rsid w:val="00F94C5A"/>
    <w:rsid w:val="00F94C70"/>
    <w:rsid w:val="00F94D57"/>
    <w:rsid w:val="00F94DD6"/>
    <w:rsid w:val="00F94E61"/>
    <w:rsid w:val="00F94ECB"/>
    <w:rsid w:val="00F94F09"/>
    <w:rsid w:val="00F94F1C"/>
    <w:rsid w:val="00F94F38"/>
    <w:rsid w:val="00F95065"/>
    <w:rsid w:val="00F95086"/>
    <w:rsid w:val="00F95157"/>
    <w:rsid w:val="00F95241"/>
    <w:rsid w:val="00F952D4"/>
    <w:rsid w:val="00F95348"/>
    <w:rsid w:val="00F953BB"/>
    <w:rsid w:val="00F9541E"/>
    <w:rsid w:val="00F9551C"/>
    <w:rsid w:val="00F9559E"/>
    <w:rsid w:val="00F95728"/>
    <w:rsid w:val="00F95866"/>
    <w:rsid w:val="00F958A0"/>
    <w:rsid w:val="00F95A4D"/>
    <w:rsid w:val="00F95A50"/>
    <w:rsid w:val="00F95B78"/>
    <w:rsid w:val="00F95CEC"/>
    <w:rsid w:val="00F95CF7"/>
    <w:rsid w:val="00F95D05"/>
    <w:rsid w:val="00F95D26"/>
    <w:rsid w:val="00F95D44"/>
    <w:rsid w:val="00F95D6D"/>
    <w:rsid w:val="00F95E77"/>
    <w:rsid w:val="00F95ED1"/>
    <w:rsid w:val="00F95F01"/>
    <w:rsid w:val="00F960B3"/>
    <w:rsid w:val="00F9625E"/>
    <w:rsid w:val="00F9628C"/>
    <w:rsid w:val="00F962D6"/>
    <w:rsid w:val="00F96393"/>
    <w:rsid w:val="00F963C0"/>
    <w:rsid w:val="00F96431"/>
    <w:rsid w:val="00F964F9"/>
    <w:rsid w:val="00F965CD"/>
    <w:rsid w:val="00F96715"/>
    <w:rsid w:val="00F967A3"/>
    <w:rsid w:val="00F967CC"/>
    <w:rsid w:val="00F96A2A"/>
    <w:rsid w:val="00F96AA7"/>
    <w:rsid w:val="00F96B91"/>
    <w:rsid w:val="00F96C11"/>
    <w:rsid w:val="00F96C14"/>
    <w:rsid w:val="00F96C66"/>
    <w:rsid w:val="00F96ECC"/>
    <w:rsid w:val="00F96F53"/>
    <w:rsid w:val="00F96FDF"/>
    <w:rsid w:val="00F9700A"/>
    <w:rsid w:val="00F9706B"/>
    <w:rsid w:val="00F97130"/>
    <w:rsid w:val="00F97196"/>
    <w:rsid w:val="00F971AE"/>
    <w:rsid w:val="00F97255"/>
    <w:rsid w:val="00F972A6"/>
    <w:rsid w:val="00F972F0"/>
    <w:rsid w:val="00F97341"/>
    <w:rsid w:val="00F973CF"/>
    <w:rsid w:val="00F975BA"/>
    <w:rsid w:val="00F975F8"/>
    <w:rsid w:val="00F9764F"/>
    <w:rsid w:val="00F97693"/>
    <w:rsid w:val="00F9772A"/>
    <w:rsid w:val="00F977C4"/>
    <w:rsid w:val="00F979B5"/>
    <w:rsid w:val="00F979E8"/>
    <w:rsid w:val="00F97AFD"/>
    <w:rsid w:val="00F97B35"/>
    <w:rsid w:val="00F97B58"/>
    <w:rsid w:val="00F97B6A"/>
    <w:rsid w:val="00F97B7F"/>
    <w:rsid w:val="00F97B94"/>
    <w:rsid w:val="00F97C6E"/>
    <w:rsid w:val="00F97C99"/>
    <w:rsid w:val="00F97D45"/>
    <w:rsid w:val="00F97D57"/>
    <w:rsid w:val="00F97E23"/>
    <w:rsid w:val="00F97F15"/>
    <w:rsid w:val="00FA0056"/>
    <w:rsid w:val="00FA00E7"/>
    <w:rsid w:val="00FA0260"/>
    <w:rsid w:val="00FA0274"/>
    <w:rsid w:val="00FA02AF"/>
    <w:rsid w:val="00FA02E2"/>
    <w:rsid w:val="00FA032A"/>
    <w:rsid w:val="00FA0693"/>
    <w:rsid w:val="00FA06CA"/>
    <w:rsid w:val="00FA074A"/>
    <w:rsid w:val="00FA07D7"/>
    <w:rsid w:val="00FA0870"/>
    <w:rsid w:val="00FA0B28"/>
    <w:rsid w:val="00FA0BA5"/>
    <w:rsid w:val="00FA0C33"/>
    <w:rsid w:val="00FA0CA9"/>
    <w:rsid w:val="00FA0D41"/>
    <w:rsid w:val="00FA0D60"/>
    <w:rsid w:val="00FA0DAC"/>
    <w:rsid w:val="00FA0DAF"/>
    <w:rsid w:val="00FA0E99"/>
    <w:rsid w:val="00FA1118"/>
    <w:rsid w:val="00FA1119"/>
    <w:rsid w:val="00FA1127"/>
    <w:rsid w:val="00FA12D3"/>
    <w:rsid w:val="00FA13C1"/>
    <w:rsid w:val="00FA143D"/>
    <w:rsid w:val="00FA152B"/>
    <w:rsid w:val="00FA16E0"/>
    <w:rsid w:val="00FA181B"/>
    <w:rsid w:val="00FA1881"/>
    <w:rsid w:val="00FA188D"/>
    <w:rsid w:val="00FA1A3A"/>
    <w:rsid w:val="00FA1D28"/>
    <w:rsid w:val="00FA1D54"/>
    <w:rsid w:val="00FA1D6D"/>
    <w:rsid w:val="00FA1D9A"/>
    <w:rsid w:val="00FA1D9F"/>
    <w:rsid w:val="00FA1DDF"/>
    <w:rsid w:val="00FA1E19"/>
    <w:rsid w:val="00FA1F66"/>
    <w:rsid w:val="00FA2135"/>
    <w:rsid w:val="00FA2183"/>
    <w:rsid w:val="00FA237A"/>
    <w:rsid w:val="00FA23AE"/>
    <w:rsid w:val="00FA24C3"/>
    <w:rsid w:val="00FA2505"/>
    <w:rsid w:val="00FA25A6"/>
    <w:rsid w:val="00FA25D7"/>
    <w:rsid w:val="00FA2692"/>
    <w:rsid w:val="00FA2761"/>
    <w:rsid w:val="00FA27DE"/>
    <w:rsid w:val="00FA28EA"/>
    <w:rsid w:val="00FA2906"/>
    <w:rsid w:val="00FA292F"/>
    <w:rsid w:val="00FA295E"/>
    <w:rsid w:val="00FA29B0"/>
    <w:rsid w:val="00FA2B56"/>
    <w:rsid w:val="00FA2B71"/>
    <w:rsid w:val="00FA2C29"/>
    <w:rsid w:val="00FA2C86"/>
    <w:rsid w:val="00FA2D35"/>
    <w:rsid w:val="00FA2D5D"/>
    <w:rsid w:val="00FA2E0F"/>
    <w:rsid w:val="00FA3039"/>
    <w:rsid w:val="00FA31C5"/>
    <w:rsid w:val="00FA31CC"/>
    <w:rsid w:val="00FA31CF"/>
    <w:rsid w:val="00FA31E8"/>
    <w:rsid w:val="00FA32C3"/>
    <w:rsid w:val="00FA3380"/>
    <w:rsid w:val="00FA350E"/>
    <w:rsid w:val="00FA36BB"/>
    <w:rsid w:val="00FA36F3"/>
    <w:rsid w:val="00FA3758"/>
    <w:rsid w:val="00FA37B4"/>
    <w:rsid w:val="00FA37EF"/>
    <w:rsid w:val="00FA38C2"/>
    <w:rsid w:val="00FA399C"/>
    <w:rsid w:val="00FA39F5"/>
    <w:rsid w:val="00FA3C7E"/>
    <w:rsid w:val="00FA3D6E"/>
    <w:rsid w:val="00FA3DC0"/>
    <w:rsid w:val="00FA3EC0"/>
    <w:rsid w:val="00FA40E3"/>
    <w:rsid w:val="00FA447F"/>
    <w:rsid w:val="00FA44B7"/>
    <w:rsid w:val="00FA4549"/>
    <w:rsid w:val="00FA45E2"/>
    <w:rsid w:val="00FA474B"/>
    <w:rsid w:val="00FA4758"/>
    <w:rsid w:val="00FA486E"/>
    <w:rsid w:val="00FA4987"/>
    <w:rsid w:val="00FA4998"/>
    <w:rsid w:val="00FA4B07"/>
    <w:rsid w:val="00FA4BF8"/>
    <w:rsid w:val="00FA4C48"/>
    <w:rsid w:val="00FA4D20"/>
    <w:rsid w:val="00FA4D67"/>
    <w:rsid w:val="00FA4DA1"/>
    <w:rsid w:val="00FA4F39"/>
    <w:rsid w:val="00FA4F86"/>
    <w:rsid w:val="00FA505C"/>
    <w:rsid w:val="00FA505E"/>
    <w:rsid w:val="00FA50E2"/>
    <w:rsid w:val="00FA518D"/>
    <w:rsid w:val="00FA5277"/>
    <w:rsid w:val="00FA531C"/>
    <w:rsid w:val="00FA539E"/>
    <w:rsid w:val="00FA5402"/>
    <w:rsid w:val="00FA5549"/>
    <w:rsid w:val="00FA554B"/>
    <w:rsid w:val="00FA5567"/>
    <w:rsid w:val="00FA55C0"/>
    <w:rsid w:val="00FA5601"/>
    <w:rsid w:val="00FA5671"/>
    <w:rsid w:val="00FA568C"/>
    <w:rsid w:val="00FA56B5"/>
    <w:rsid w:val="00FA5847"/>
    <w:rsid w:val="00FA587B"/>
    <w:rsid w:val="00FA596D"/>
    <w:rsid w:val="00FA598B"/>
    <w:rsid w:val="00FA5A92"/>
    <w:rsid w:val="00FA5B31"/>
    <w:rsid w:val="00FA5C29"/>
    <w:rsid w:val="00FA5CD7"/>
    <w:rsid w:val="00FA5D7A"/>
    <w:rsid w:val="00FA5E6F"/>
    <w:rsid w:val="00FA5ED2"/>
    <w:rsid w:val="00FA5F11"/>
    <w:rsid w:val="00FA5FBD"/>
    <w:rsid w:val="00FA60AB"/>
    <w:rsid w:val="00FA6133"/>
    <w:rsid w:val="00FA620A"/>
    <w:rsid w:val="00FA6290"/>
    <w:rsid w:val="00FA642B"/>
    <w:rsid w:val="00FA643B"/>
    <w:rsid w:val="00FA64A6"/>
    <w:rsid w:val="00FA64AD"/>
    <w:rsid w:val="00FA660A"/>
    <w:rsid w:val="00FA6804"/>
    <w:rsid w:val="00FA68B8"/>
    <w:rsid w:val="00FA6A31"/>
    <w:rsid w:val="00FA6C75"/>
    <w:rsid w:val="00FA6CEE"/>
    <w:rsid w:val="00FA6DDC"/>
    <w:rsid w:val="00FA6E35"/>
    <w:rsid w:val="00FA6EC9"/>
    <w:rsid w:val="00FA6F33"/>
    <w:rsid w:val="00FA6F79"/>
    <w:rsid w:val="00FA6FA1"/>
    <w:rsid w:val="00FA704F"/>
    <w:rsid w:val="00FA70FD"/>
    <w:rsid w:val="00FA718C"/>
    <w:rsid w:val="00FA71D8"/>
    <w:rsid w:val="00FA720D"/>
    <w:rsid w:val="00FA731E"/>
    <w:rsid w:val="00FA73DF"/>
    <w:rsid w:val="00FA74C4"/>
    <w:rsid w:val="00FA74DF"/>
    <w:rsid w:val="00FA7538"/>
    <w:rsid w:val="00FA75DE"/>
    <w:rsid w:val="00FA7604"/>
    <w:rsid w:val="00FA7619"/>
    <w:rsid w:val="00FA76A8"/>
    <w:rsid w:val="00FA7850"/>
    <w:rsid w:val="00FA7906"/>
    <w:rsid w:val="00FA7964"/>
    <w:rsid w:val="00FA7A3A"/>
    <w:rsid w:val="00FA7AAC"/>
    <w:rsid w:val="00FA7AC2"/>
    <w:rsid w:val="00FA7ACA"/>
    <w:rsid w:val="00FA7C22"/>
    <w:rsid w:val="00FA7C65"/>
    <w:rsid w:val="00FA7F5A"/>
    <w:rsid w:val="00FB00AB"/>
    <w:rsid w:val="00FB0251"/>
    <w:rsid w:val="00FB02A4"/>
    <w:rsid w:val="00FB02D1"/>
    <w:rsid w:val="00FB0354"/>
    <w:rsid w:val="00FB0369"/>
    <w:rsid w:val="00FB0374"/>
    <w:rsid w:val="00FB03C5"/>
    <w:rsid w:val="00FB03F3"/>
    <w:rsid w:val="00FB04C9"/>
    <w:rsid w:val="00FB055D"/>
    <w:rsid w:val="00FB0564"/>
    <w:rsid w:val="00FB056F"/>
    <w:rsid w:val="00FB0570"/>
    <w:rsid w:val="00FB05C4"/>
    <w:rsid w:val="00FB0767"/>
    <w:rsid w:val="00FB079D"/>
    <w:rsid w:val="00FB07CD"/>
    <w:rsid w:val="00FB07DB"/>
    <w:rsid w:val="00FB0820"/>
    <w:rsid w:val="00FB082B"/>
    <w:rsid w:val="00FB0959"/>
    <w:rsid w:val="00FB0964"/>
    <w:rsid w:val="00FB0A55"/>
    <w:rsid w:val="00FB0AA3"/>
    <w:rsid w:val="00FB0C55"/>
    <w:rsid w:val="00FB0C65"/>
    <w:rsid w:val="00FB0D69"/>
    <w:rsid w:val="00FB0DFC"/>
    <w:rsid w:val="00FB0F6F"/>
    <w:rsid w:val="00FB0F98"/>
    <w:rsid w:val="00FB0F9D"/>
    <w:rsid w:val="00FB108A"/>
    <w:rsid w:val="00FB10A3"/>
    <w:rsid w:val="00FB11D5"/>
    <w:rsid w:val="00FB11E3"/>
    <w:rsid w:val="00FB1222"/>
    <w:rsid w:val="00FB122F"/>
    <w:rsid w:val="00FB127B"/>
    <w:rsid w:val="00FB12F6"/>
    <w:rsid w:val="00FB1343"/>
    <w:rsid w:val="00FB143C"/>
    <w:rsid w:val="00FB1449"/>
    <w:rsid w:val="00FB173E"/>
    <w:rsid w:val="00FB17F5"/>
    <w:rsid w:val="00FB189B"/>
    <w:rsid w:val="00FB1945"/>
    <w:rsid w:val="00FB19AB"/>
    <w:rsid w:val="00FB1A7C"/>
    <w:rsid w:val="00FB1B1D"/>
    <w:rsid w:val="00FB1B91"/>
    <w:rsid w:val="00FB1D28"/>
    <w:rsid w:val="00FB1D42"/>
    <w:rsid w:val="00FB1D81"/>
    <w:rsid w:val="00FB1D8A"/>
    <w:rsid w:val="00FB1DEA"/>
    <w:rsid w:val="00FB1E66"/>
    <w:rsid w:val="00FB1E6F"/>
    <w:rsid w:val="00FB1F66"/>
    <w:rsid w:val="00FB1FAE"/>
    <w:rsid w:val="00FB1FB2"/>
    <w:rsid w:val="00FB20C6"/>
    <w:rsid w:val="00FB21C9"/>
    <w:rsid w:val="00FB2239"/>
    <w:rsid w:val="00FB2251"/>
    <w:rsid w:val="00FB2259"/>
    <w:rsid w:val="00FB23AB"/>
    <w:rsid w:val="00FB23AD"/>
    <w:rsid w:val="00FB23CF"/>
    <w:rsid w:val="00FB248C"/>
    <w:rsid w:val="00FB24E1"/>
    <w:rsid w:val="00FB25C5"/>
    <w:rsid w:val="00FB271E"/>
    <w:rsid w:val="00FB27F6"/>
    <w:rsid w:val="00FB2824"/>
    <w:rsid w:val="00FB2A11"/>
    <w:rsid w:val="00FB2A8C"/>
    <w:rsid w:val="00FB2B74"/>
    <w:rsid w:val="00FB2C97"/>
    <w:rsid w:val="00FB2E22"/>
    <w:rsid w:val="00FB2F13"/>
    <w:rsid w:val="00FB2F2F"/>
    <w:rsid w:val="00FB2F5B"/>
    <w:rsid w:val="00FB2FAA"/>
    <w:rsid w:val="00FB2FC1"/>
    <w:rsid w:val="00FB313C"/>
    <w:rsid w:val="00FB322F"/>
    <w:rsid w:val="00FB3248"/>
    <w:rsid w:val="00FB3282"/>
    <w:rsid w:val="00FB33D1"/>
    <w:rsid w:val="00FB34B7"/>
    <w:rsid w:val="00FB3703"/>
    <w:rsid w:val="00FB389B"/>
    <w:rsid w:val="00FB3B21"/>
    <w:rsid w:val="00FB3BE0"/>
    <w:rsid w:val="00FB3C31"/>
    <w:rsid w:val="00FB3C8A"/>
    <w:rsid w:val="00FB3CCA"/>
    <w:rsid w:val="00FB3D38"/>
    <w:rsid w:val="00FB3E5B"/>
    <w:rsid w:val="00FB3F34"/>
    <w:rsid w:val="00FB3FEB"/>
    <w:rsid w:val="00FB402B"/>
    <w:rsid w:val="00FB40FE"/>
    <w:rsid w:val="00FB4173"/>
    <w:rsid w:val="00FB417B"/>
    <w:rsid w:val="00FB4188"/>
    <w:rsid w:val="00FB419E"/>
    <w:rsid w:val="00FB4261"/>
    <w:rsid w:val="00FB42CE"/>
    <w:rsid w:val="00FB4307"/>
    <w:rsid w:val="00FB4312"/>
    <w:rsid w:val="00FB4327"/>
    <w:rsid w:val="00FB435C"/>
    <w:rsid w:val="00FB43CB"/>
    <w:rsid w:val="00FB43DC"/>
    <w:rsid w:val="00FB43EF"/>
    <w:rsid w:val="00FB44B3"/>
    <w:rsid w:val="00FB4570"/>
    <w:rsid w:val="00FB45CF"/>
    <w:rsid w:val="00FB45D7"/>
    <w:rsid w:val="00FB46BB"/>
    <w:rsid w:val="00FB46BC"/>
    <w:rsid w:val="00FB49C2"/>
    <w:rsid w:val="00FB4AB2"/>
    <w:rsid w:val="00FB4B63"/>
    <w:rsid w:val="00FB4BAD"/>
    <w:rsid w:val="00FB4BC4"/>
    <w:rsid w:val="00FB4BE0"/>
    <w:rsid w:val="00FB4C7A"/>
    <w:rsid w:val="00FB4CA9"/>
    <w:rsid w:val="00FB4D0F"/>
    <w:rsid w:val="00FB4D55"/>
    <w:rsid w:val="00FB4DA0"/>
    <w:rsid w:val="00FB4E76"/>
    <w:rsid w:val="00FB4ED9"/>
    <w:rsid w:val="00FB500B"/>
    <w:rsid w:val="00FB5025"/>
    <w:rsid w:val="00FB505B"/>
    <w:rsid w:val="00FB50CF"/>
    <w:rsid w:val="00FB5139"/>
    <w:rsid w:val="00FB5175"/>
    <w:rsid w:val="00FB51D3"/>
    <w:rsid w:val="00FB5208"/>
    <w:rsid w:val="00FB520A"/>
    <w:rsid w:val="00FB5227"/>
    <w:rsid w:val="00FB538B"/>
    <w:rsid w:val="00FB541A"/>
    <w:rsid w:val="00FB547F"/>
    <w:rsid w:val="00FB54E2"/>
    <w:rsid w:val="00FB55AB"/>
    <w:rsid w:val="00FB55B6"/>
    <w:rsid w:val="00FB55C4"/>
    <w:rsid w:val="00FB5611"/>
    <w:rsid w:val="00FB5629"/>
    <w:rsid w:val="00FB564B"/>
    <w:rsid w:val="00FB56F5"/>
    <w:rsid w:val="00FB5751"/>
    <w:rsid w:val="00FB57A8"/>
    <w:rsid w:val="00FB57AD"/>
    <w:rsid w:val="00FB5988"/>
    <w:rsid w:val="00FB5BB7"/>
    <w:rsid w:val="00FB5BBE"/>
    <w:rsid w:val="00FB5C76"/>
    <w:rsid w:val="00FB5D33"/>
    <w:rsid w:val="00FB5E03"/>
    <w:rsid w:val="00FB5E5F"/>
    <w:rsid w:val="00FB5ECE"/>
    <w:rsid w:val="00FB5EDF"/>
    <w:rsid w:val="00FB6088"/>
    <w:rsid w:val="00FB6205"/>
    <w:rsid w:val="00FB638D"/>
    <w:rsid w:val="00FB6390"/>
    <w:rsid w:val="00FB662F"/>
    <w:rsid w:val="00FB6676"/>
    <w:rsid w:val="00FB66B9"/>
    <w:rsid w:val="00FB66E0"/>
    <w:rsid w:val="00FB677C"/>
    <w:rsid w:val="00FB68A4"/>
    <w:rsid w:val="00FB696A"/>
    <w:rsid w:val="00FB6A9D"/>
    <w:rsid w:val="00FB6B63"/>
    <w:rsid w:val="00FB6C01"/>
    <w:rsid w:val="00FB6CBF"/>
    <w:rsid w:val="00FB6D44"/>
    <w:rsid w:val="00FB6D4D"/>
    <w:rsid w:val="00FB6D89"/>
    <w:rsid w:val="00FB6DB5"/>
    <w:rsid w:val="00FB6E07"/>
    <w:rsid w:val="00FB6F31"/>
    <w:rsid w:val="00FB7023"/>
    <w:rsid w:val="00FB7199"/>
    <w:rsid w:val="00FB71EC"/>
    <w:rsid w:val="00FB723D"/>
    <w:rsid w:val="00FB730D"/>
    <w:rsid w:val="00FB734B"/>
    <w:rsid w:val="00FB7445"/>
    <w:rsid w:val="00FB7449"/>
    <w:rsid w:val="00FB754C"/>
    <w:rsid w:val="00FB758E"/>
    <w:rsid w:val="00FB77A3"/>
    <w:rsid w:val="00FB77C7"/>
    <w:rsid w:val="00FB77DE"/>
    <w:rsid w:val="00FB78B1"/>
    <w:rsid w:val="00FB7912"/>
    <w:rsid w:val="00FB796E"/>
    <w:rsid w:val="00FB7977"/>
    <w:rsid w:val="00FB797B"/>
    <w:rsid w:val="00FB798D"/>
    <w:rsid w:val="00FB7B17"/>
    <w:rsid w:val="00FB7BAF"/>
    <w:rsid w:val="00FB7BE2"/>
    <w:rsid w:val="00FB7C4F"/>
    <w:rsid w:val="00FB7D2B"/>
    <w:rsid w:val="00FB7D8D"/>
    <w:rsid w:val="00FB7DD7"/>
    <w:rsid w:val="00FB7E38"/>
    <w:rsid w:val="00FB7F2C"/>
    <w:rsid w:val="00FB7F94"/>
    <w:rsid w:val="00FB7FAD"/>
    <w:rsid w:val="00FC0043"/>
    <w:rsid w:val="00FC00C5"/>
    <w:rsid w:val="00FC00D4"/>
    <w:rsid w:val="00FC018A"/>
    <w:rsid w:val="00FC032A"/>
    <w:rsid w:val="00FC0390"/>
    <w:rsid w:val="00FC03AD"/>
    <w:rsid w:val="00FC03B0"/>
    <w:rsid w:val="00FC03E5"/>
    <w:rsid w:val="00FC03FF"/>
    <w:rsid w:val="00FC0482"/>
    <w:rsid w:val="00FC0559"/>
    <w:rsid w:val="00FC057E"/>
    <w:rsid w:val="00FC0610"/>
    <w:rsid w:val="00FC0646"/>
    <w:rsid w:val="00FC0736"/>
    <w:rsid w:val="00FC0794"/>
    <w:rsid w:val="00FC0799"/>
    <w:rsid w:val="00FC08A6"/>
    <w:rsid w:val="00FC0945"/>
    <w:rsid w:val="00FC0964"/>
    <w:rsid w:val="00FC09E0"/>
    <w:rsid w:val="00FC0A4A"/>
    <w:rsid w:val="00FC0A4C"/>
    <w:rsid w:val="00FC0AAC"/>
    <w:rsid w:val="00FC0B1D"/>
    <w:rsid w:val="00FC0B9D"/>
    <w:rsid w:val="00FC0B9E"/>
    <w:rsid w:val="00FC0BBA"/>
    <w:rsid w:val="00FC0C32"/>
    <w:rsid w:val="00FC0CE7"/>
    <w:rsid w:val="00FC0D1A"/>
    <w:rsid w:val="00FC0E87"/>
    <w:rsid w:val="00FC0EB7"/>
    <w:rsid w:val="00FC0F58"/>
    <w:rsid w:val="00FC0FE9"/>
    <w:rsid w:val="00FC115D"/>
    <w:rsid w:val="00FC1342"/>
    <w:rsid w:val="00FC1447"/>
    <w:rsid w:val="00FC14C8"/>
    <w:rsid w:val="00FC1514"/>
    <w:rsid w:val="00FC15F1"/>
    <w:rsid w:val="00FC1622"/>
    <w:rsid w:val="00FC1898"/>
    <w:rsid w:val="00FC190F"/>
    <w:rsid w:val="00FC191B"/>
    <w:rsid w:val="00FC19C4"/>
    <w:rsid w:val="00FC1A25"/>
    <w:rsid w:val="00FC1A44"/>
    <w:rsid w:val="00FC1A51"/>
    <w:rsid w:val="00FC1A60"/>
    <w:rsid w:val="00FC1B98"/>
    <w:rsid w:val="00FC1BF1"/>
    <w:rsid w:val="00FC1C61"/>
    <w:rsid w:val="00FC1D45"/>
    <w:rsid w:val="00FC1E29"/>
    <w:rsid w:val="00FC1E6C"/>
    <w:rsid w:val="00FC2183"/>
    <w:rsid w:val="00FC2263"/>
    <w:rsid w:val="00FC22DB"/>
    <w:rsid w:val="00FC22EB"/>
    <w:rsid w:val="00FC2383"/>
    <w:rsid w:val="00FC23B5"/>
    <w:rsid w:val="00FC25B2"/>
    <w:rsid w:val="00FC26C1"/>
    <w:rsid w:val="00FC2759"/>
    <w:rsid w:val="00FC278C"/>
    <w:rsid w:val="00FC2818"/>
    <w:rsid w:val="00FC292E"/>
    <w:rsid w:val="00FC299A"/>
    <w:rsid w:val="00FC29F4"/>
    <w:rsid w:val="00FC2BCA"/>
    <w:rsid w:val="00FC2CCD"/>
    <w:rsid w:val="00FC2D33"/>
    <w:rsid w:val="00FC2D4B"/>
    <w:rsid w:val="00FC2D83"/>
    <w:rsid w:val="00FC2E14"/>
    <w:rsid w:val="00FC2F64"/>
    <w:rsid w:val="00FC306B"/>
    <w:rsid w:val="00FC3094"/>
    <w:rsid w:val="00FC3168"/>
    <w:rsid w:val="00FC316B"/>
    <w:rsid w:val="00FC31FD"/>
    <w:rsid w:val="00FC326C"/>
    <w:rsid w:val="00FC33AB"/>
    <w:rsid w:val="00FC3404"/>
    <w:rsid w:val="00FC3502"/>
    <w:rsid w:val="00FC3552"/>
    <w:rsid w:val="00FC362E"/>
    <w:rsid w:val="00FC385E"/>
    <w:rsid w:val="00FC386F"/>
    <w:rsid w:val="00FC3890"/>
    <w:rsid w:val="00FC38CC"/>
    <w:rsid w:val="00FC3980"/>
    <w:rsid w:val="00FC39A1"/>
    <w:rsid w:val="00FC3A68"/>
    <w:rsid w:val="00FC3AC3"/>
    <w:rsid w:val="00FC3B12"/>
    <w:rsid w:val="00FC3B55"/>
    <w:rsid w:val="00FC3BA4"/>
    <w:rsid w:val="00FC3D6A"/>
    <w:rsid w:val="00FC40C2"/>
    <w:rsid w:val="00FC41B8"/>
    <w:rsid w:val="00FC4299"/>
    <w:rsid w:val="00FC4341"/>
    <w:rsid w:val="00FC44BB"/>
    <w:rsid w:val="00FC451C"/>
    <w:rsid w:val="00FC453E"/>
    <w:rsid w:val="00FC45DF"/>
    <w:rsid w:val="00FC4683"/>
    <w:rsid w:val="00FC469B"/>
    <w:rsid w:val="00FC46F7"/>
    <w:rsid w:val="00FC47ED"/>
    <w:rsid w:val="00FC48E5"/>
    <w:rsid w:val="00FC492F"/>
    <w:rsid w:val="00FC49D0"/>
    <w:rsid w:val="00FC4A4E"/>
    <w:rsid w:val="00FC4AB3"/>
    <w:rsid w:val="00FC4B55"/>
    <w:rsid w:val="00FC4C90"/>
    <w:rsid w:val="00FC4D17"/>
    <w:rsid w:val="00FC4D40"/>
    <w:rsid w:val="00FC4EDD"/>
    <w:rsid w:val="00FC505E"/>
    <w:rsid w:val="00FC50BB"/>
    <w:rsid w:val="00FC5210"/>
    <w:rsid w:val="00FC5256"/>
    <w:rsid w:val="00FC52F4"/>
    <w:rsid w:val="00FC5335"/>
    <w:rsid w:val="00FC5436"/>
    <w:rsid w:val="00FC5512"/>
    <w:rsid w:val="00FC5558"/>
    <w:rsid w:val="00FC555F"/>
    <w:rsid w:val="00FC557D"/>
    <w:rsid w:val="00FC56CF"/>
    <w:rsid w:val="00FC56D6"/>
    <w:rsid w:val="00FC5700"/>
    <w:rsid w:val="00FC5713"/>
    <w:rsid w:val="00FC573A"/>
    <w:rsid w:val="00FC575A"/>
    <w:rsid w:val="00FC5791"/>
    <w:rsid w:val="00FC57A4"/>
    <w:rsid w:val="00FC58A0"/>
    <w:rsid w:val="00FC5962"/>
    <w:rsid w:val="00FC5A15"/>
    <w:rsid w:val="00FC5AB2"/>
    <w:rsid w:val="00FC5BE3"/>
    <w:rsid w:val="00FC5C60"/>
    <w:rsid w:val="00FC5CEA"/>
    <w:rsid w:val="00FC5DBD"/>
    <w:rsid w:val="00FC5DCC"/>
    <w:rsid w:val="00FC5DEF"/>
    <w:rsid w:val="00FC5E4F"/>
    <w:rsid w:val="00FC5F22"/>
    <w:rsid w:val="00FC5FC8"/>
    <w:rsid w:val="00FC6024"/>
    <w:rsid w:val="00FC6056"/>
    <w:rsid w:val="00FC6099"/>
    <w:rsid w:val="00FC619F"/>
    <w:rsid w:val="00FC61A2"/>
    <w:rsid w:val="00FC61AA"/>
    <w:rsid w:val="00FC61B8"/>
    <w:rsid w:val="00FC61E2"/>
    <w:rsid w:val="00FC6202"/>
    <w:rsid w:val="00FC62C6"/>
    <w:rsid w:val="00FC6328"/>
    <w:rsid w:val="00FC649C"/>
    <w:rsid w:val="00FC64DB"/>
    <w:rsid w:val="00FC6573"/>
    <w:rsid w:val="00FC66FB"/>
    <w:rsid w:val="00FC6815"/>
    <w:rsid w:val="00FC6829"/>
    <w:rsid w:val="00FC688F"/>
    <w:rsid w:val="00FC68FC"/>
    <w:rsid w:val="00FC68FE"/>
    <w:rsid w:val="00FC6919"/>
    <w:rsid w:val="00FC69A5"/>
    <w:rsid w:val="00FC6A24"/>
    <w:rsid w:val="00FC6A53"/>
    <w:rsid w:val="00FC6B95"/>
    <w:rsid w:val="00FC6CD0"/>
    <w:rsid w:val="00FC6CE0"/>
    <w:rsid w:val="00FC6F52"/>
    <w:rsid w:val="00FC704E"/>
    <w:rsid w:val="00FC7083"/>
    <w:rsid w:val="00FC716F"/>
    <w:rsid w:val="00FC71A4"/>
    <w:rsid w:val="00FC71BD"/>
    <w:rsid w:val="00FC720A"/>
    <w:rsid w:val="00FC73A5"/>
    <w:rsid w:val="00FC7408"/>
    <w:rsid w:val="00FC747F"/>
    <w:rsid w:val="00FC76C0"/>
    <w:rsid w:val="00FC7805"/>
    <w:rsid w:val="00FC78CA"/>
    <w:rsid w:val="00FC7969"/>
    <w:rsid w:val="00FC7A76"/>
    <w:rsid w:val="00FC7ACC"/>
    <w:rsid w:val="00FC7B90"/>
    <w:rsid w:val="00FC7BAF"/>
    <w:rsid w:val="00FC7C46"/>
    <w:rsid w:val="00FC7CA0"/>
    <w:rsid w:val="00FC7FC7"/>
    <w:rsid w:val="00FD0005"/>
    <w:rsid w:val="00FD0093"/>
    <w:rsid w:val="00FD038F"/>
    <w:rsid w:val="00FD03F3"/>
    <w:rsid w:val="00FD06DE"/>
    <w:rsid w:val="00FD07ED"/>
    <w:rsid w:val="00FD08E9"/>
    <w:rsid w:val="00FD0A75"/>
    <w:rsid w:val="00FD0AE9"/>
    <w:rsid w:val="00FD0BF8"/>
    <w:rsid w:val="00FD0E19"/>
    <w:rsid w:val="00FD0EF7"/>
    <w:rsid w:val="00FD0F74"/>
    <w:rsid w:val="00FD1095"/>
    <w:rsid w:val="00FD115A"/>
    <w:rsid w:val="00FD11EE"/>
    <w:rsid w:val="00FD1247"/>
    <w:rsid w:val="00FD1270"/>
    <w:rsid w:val="00FD1296"/>
    <w:rsid w:val="00FD1350"/>
    <w:rsid w:val="00FD140F"/>
    <w:rsid w:val="00FD14B0"/>
    <w:rsid w:val="00FD14FF"/>
    <w:rsid w:val="00FD150B"/>
    <w:rsid w:val="00FD157B"/>
    <w:rsid w:val="00FD1602"/>
    <w:rsid w:val="00FD1668"/>
    <w:rsid w:val="00FD172F"/>
    <w:rsid w:val="00FD1761"/>
    <w:rsid w:val="00FD18CD"/>
    <w:rsid w:val="00FD1A3D"/>
    <w:rsid w:val="00FD1B55"/>
    <w:rsid w:val="00FD1B7D"/>
    <w:rsid w:val="00FD1BB4"/>
    <w:rsid w:val="00FD1BDC"/>
    <w:rsid w:val="00FD1D71"/>
    <w:rsid w:val="00FD1F5F"/>
    <w:rsid w:val="00FD1F60"/>
    <w:rsid w:val="00FD2030"/>
    <w:rsid w:val="00FD2055"/>
    <w:rsid w:val="00FD2189"/>
    <w:rsid w:val="00FD22A3"/>
    <w:rsid w:val="00FD2325"/>
    <w:rsid w:val="00FD24BA"/>
    <w:rsid w:val="00FD26AC"/>
    <w:rsid w:val="00FD283E"/>
    <w:rsid w:val="00FD284B"/>
    <w:rsid w:val="00FD28A0"/>
    <w:rsid w:val="00FD28BA"/>
    <w:rsid w:val="00FD28FD"/>
    <w:rsid w:val="00FD2A53"/>
    <w:rsid w:val="00FD2B11"/>
    <w:rsid w:val="00FD2B48"/>
    <w:rsid w:val="00FD2BDF"/>
    <w:rsid w:val="00FD2BED"/>
    <w:rsid w:val="00FD2BF5"/>
    <w:rsid w:val="00FD2C6C"/>
    <w:rsid w:val="00FD2CA7"/>
    <w:rsid w:val="00FD2CE6"/>
    <w:rsid w:val="00FD2D02"/>
    <w:rsid w:val="00FD2DCC"/>
    <w:rsid w:val="00FD2DD8"/>
    <w:rsid w:val="00FD2E12"/>
    <w:rsid w:val="00FD2E42"/>
    <w:rsid w:val="00FD2EAA"/>
    <w:rsid w:val="00FD2F84"/>
    <w:rsid w:val="00FD302F"/>
    <w:rsid w:val="00FD3192"/>
    <w:rsid w:val="00FD31ED"/>
    <w:rsid w:val="00FD31FD"/>
    <w:rsid w:val="00FD3244"/>
    <w:rsid w:val="00FD325C"/>
    <w:rsid w:val="00FD327F"/>
    <w:rsid w:val="00FD332B"/>
    <w:rsid w:val="00FD33AF"/>
    <w:rsid w:val="00FD3440"/>
    <w:rsid w:val="00FD3477"/>
    <w:rsid w:val="00FD349A"/>
    <w:rsid w:val="00FD35E0"/>
    <w:rsid w:val="00FD3638"/>
    <w:rsid w:val="00FD3650"/>
    <w:rsid w:val="00FD375E"/>
    <w:rsid w:val="00FD38A6"/>
    <w:rsid w:val="00FD3935"/>
    <w:rsid w:val="00FD39F1"/>
    <w:rsid w:val="00FD3B6D"/>
    <w:rsid w:val="00FD3C34"/>
    <w:rsid w:val="00FD3CEC"/>
    <w:rsid w:val="00FD3D21"/>
    <w:rsid w:val="00FD3D2C"/>
    <w:rsid w:val="00FD3E77"/>
    <w:rsid w:val="00FD3EBE"/>
    <w:rsid w:val="00FD3ECE"/>
    <w:rsid w:val="00FD3F01"/>
    <w:rsid w:val="00FD3FC3"/>
    <w:rsid w:val="00FD4040"/>
    <w:rsid w:val="00FD420C"/>
    <w:rsid w:val="00FD4256"/>
    <w:rsid w:val="00FD42D9"/>
    <w:rsid w:val="00FD4364"/>
    <w:rsid w:val="00FD4487"/>
    <w:rsid w:val="00FD44F7"/>
    <w:rsid w:val="00FD4546"/>
    <w:rsid w:val="00FD462D"/>
    <w:rsid w:val="00FD4771"/>
    <w:rsid w:val="00FD4A11"/>
    <w:rsid w:val="00FD4A21"/>
    <w:rsid w:val="00FD4A77"/>
    <w:rsid w:val="00FD4AF3"/>
    <w:rsid w:val="00FD4BE1"/>
    <w:rsid w:val="00FD4CCE"/>
    <w:rsid w:val="00FD4D7C"/>
    <w:rsid w:val="00FD4DB2"/>
    <w:rsid w:val="00FD4EEA"/>
    <w:rsid w:val="00FD4F64"/>
    <w:rsid w:val="00FD4FB8"/>
    <w:rsid w:val="00FD4FD4"/>
    <w:rsid w:val="00FD5012"/>
    <w:rsid w:val="00FD5071"/>
    <w:rsid w:val="00FD5176"/>
    <w:rsid w:val="00FD517F"/>
    <w:rsid w:val="00FD5196"/>
    <w:rsid w:val="00FD532F"/>
    <w:rsid w:val="00FD5363"/>
    <w:rsid w:val="00FD5494"/>
    <w:rsid w:val="00FD54EF"/>
    <w:rsid w:val="00FD5689"/>
    <w:rsid w:val="00FD5700"/>
    <w:rsid w:val="00FD574A"/>
    <w:rsid w:val="00FD5828"/>
    <w:rsid w:val="00FD5882"/>
    <w:rsid w:val="00FD592F"/>
    <w:rsid w:val="00FD5953"/>
    <w:rsid w:val="00FD5979"/>
    <w:rsid w:val="00FD5994"/>
    <w:rsid w:val="00FD59C2"/>
    <w:rsid w:val="00FD5B57"/>
    <w:rsid w:val="00FD5B74"/>
    <w:rsid w:val="00FD5D65"/>
    <w:rsid w:val="00FD5D6E"/>
    <w:rsid w:val="00FD5E06"/>
    <w:rsid w:val="00FD5E4B"/>
    <w:rsid w:val="00FD601A"/>
    <w:rsid w:val="00FD6059"/>
    <w:rsid w:val="00FD607E"/>
    <w:rsid w:val="00FD609A"/>
    <w:rsid w:val="00FD60A3"/>
    <w:rsid w:val="00FD6197"/>
    <w:rsid w:val="00FD623D"/>
    <w:rsid w:val="00FD62CC"/>
    <w:rsid w:val="00FD6496"/>
    <w:rsid w:val="00FD651B"/>
    <w:rsid w:val="00FD6526"/>
    <w:rsid w:val="00FD659A"/>
    <w:rsid w:val="00FD65C0"/>
    <w:rsid w:val="00FD6641"/>
    <w:rsid w:val="00FD6652"/>
    <w:rsid w:val="00FD66C1"/>
    <w:rsid w:val="00FD6790"/>
    <w:rsid w:val="00FD67FE"/>
    <w:rsid w:val="00FD6886"/>
    <w:rsid w:val="00FD6B26"/>
    <w:rsid w:val="00FD6B43"/>
    <w:rsid w:val="00FD6BA0"/>
    <w:rsid w:val="00FD6BF7"/>
    <w:rsid w:val="00FD6C56"/>
    <w:rsid w:val="00FD6C7B"/>
    <w:rsid w:val="00FD6CBB"/>
    <w:rsid w:val="00FD6D7B"/>
    <w:rsid w:val="00FD6D8B"/>
    <w:rsid w:val="00FD6D98"/>
    <w:rsid w:val="00FD6EA3"/>
    <w:rsid w:val="00FD6EB6"/>
    <w:rsid w:val="00FD6EBB"/>
    <w:rsid w:val="00FD6F46"/>
    <w:rsid w:val="00FD6FF5"/>
    <w:rsid w:val="00FD7028"/>
    <w:rsid w:val="00FD716D"/>
    <w:rsid w:val="00FD718B"/>
    <w:rsid w:val="00FD729F"/>
    <w:rsid w:val="00FD73CC"/>
    <w:rsid w:val="00FD74A4"/>
    <w:rsid w:val="00FD74CF"/>
    <w:rsid w:val="00FD7644"/>
    <w:rsid w:val="00FD76C5"/>
    <w:rsid w:val="00FD789C"/>
    <w:rsid w:val="00FD7986"/>
    <w:rsid w:val="00FD79E8"/>
    <w:rsid w:val="00FD7A22"/>
    <w:rsid w:val="00FD7B41"/>
    <w:rsid w:val="00FD7BD2"/>
    <w:rsid w:val="00FE0005"/>
    <w:rsid w:val="00FE002F"/>
    <w:rsid w:val="00FE00D6"/>
    <w:rsid w:val="00FE0147"/>
    <w:rsid w:val="00FE036A"/>
    <w:rsid w:val="00FE03A6"/>
    <w:rsid w:val="00FE03FA"/>
    <w:rsid w:val="00FE042F"/>
    <w:rsid w:val="00FE0475"/>
    <w:rsid w:val="00FE04FC"/>
    <w:rsid w:val="00FE054E"/>
    <w:rsid w:val="00FE063E"/>
    <w:rsid w:val="00FE0643"/>
    <w:rsid w:val="00FE0707"/>
    <w:rsid w:val="00FE070F"/>
    <w:rsid w:val="00FE0786"/>
    <w:rsid w:val="00FE0795"/>
    <w:rsid w:val="00FE08E6"/>
    <w:rsid w:val="00FE0993"/>
    <w:rsid w:val="00FE09B5"/>
    <w:rsid w:val="00FE0B08"/>
    <w:rsid w:val="00FE0C70"/>
    <w:rsid w:val="00FE0CDB"/>
    <w:rsid w:val="00FE0EF9"/>
    <w:rsid w:val="00FE0F42"/>
    <w:rsid w:val="00FE0FFA"/>
    <w:rsid w:val="00FE1003"/>
    <w:rsid w:val="00FE10AB"/>
    <w:rsid w:val="00FE10FD"/>
    <w:rsid w:val="00FE1120"/>
    <w:rsid w:val="00FE11E0"/>
    <w:rsid w:val="00FE11E9"/>
    <w:rsid w:val="00FE123C"/>
    <w:rsid w:val="00FE12AD"/>
    <w:rsid w:val="00FE1356"/>
    <w:rsid w:val="00FE1665"/>
    <w:rsid w:val="00FE16E5"/>
    <w:rsid w:val="00FE17AE"/>
    <w:rsid w:val="00FE1896"/>
    <w:rsid w:val="00FE1B1E"/>
    <w:rsid w:val="00FE1BF9"/>
    <w:rsid w:val="00FE1CE1"/>
    <w:rsid w:val="00FE1D93"/>
    <w:rsid w:val="00FE1EEC"/>
    <w:rsid w:val="00FE1F9A"/>
    <w:rsid w:val="00FE20C6"/>
    <w:rsid w:val="00FE21D8"/>
    <w:rsid w:val="00FE2251"/>
    <w:rsid w:val="00FE22D1"/>
    <w:rsid w:val="00FE2386"/>
    <w:rsid w:val="00FE24AE"/>
    <w:rsid w:val="00FE2522"/>
    <w:rsid w:val="00FE253F"/>
    <w:rsid w:val="00FE2569"/>
    <w:rsid w:val="00FE25E3"/>
    <w:rsid w:val="00FE25F3"/>
    <w:rsid w:val="00FE266F"/>
    <w:rsid w:val="00FE26F3"/>
    <w:rsid w:val="00FE272E"/>
    <w:rsid w:val="00FE27DB"/>
    <w:rsid w:val="00FE2817"/>
    <w:rsid w:val="00FE2956"/>
    <w:rsid w:val="00FE297C"/>
    <w:rsid w:val="00FE29CB"/>
    <w:rsid w:val="00FE2A12"/>
    <w:rsid w:val="00FE2F69"/>
    <w:rsid w:val="00FE3076"/>
    <w:rsid w:val="00FE30B0"/>
    <w:rsid w:val="00FE3110"/>
    <w:rsid w:val="00FE3313"/>
    <w:rsid w:val="00FE3325"/>
    <w:rsid w:val="00FE3348"/>
    <w:rsid w:val="00FE347C"/>
    <w:rsid w:val="00FE3492"/>
    <w:rsid w:val="00FE35DA"/>
    <w:rsid w:val="00FE3607"/>
    <w:rsid w:val="00FE368E"/>
    <w:rsid w:val="00FE3702"/>
    <w:rsid w:val="00FE37A0"/>
    <w:rsid w:val="00FE37AC"/>
    <w:rsid w:val="00FE37B3"/>
    <w:rsid w:val="00FE37F8"/>
    <w:rsid w:val="00FE3813"/>
    <w:rsid w:val="00FE3830"/>
    <w:rsid w:val="00FE3887"/>
    <w:rsid w:val="00FE39A6"/>
    <w:rsid w:val="00FE39E1"/>
    <w:rsid w:val="00FE3A69"/>
    <w:rsid w:val="00FE3AA2"/>
    <w:rsid w:val="00FE3B07"/>
    <w:rsid w:val="00FE3B91"/>
    <w:rsid w:val="00FE3B97"/>
    <w:rsid w:val="00FE3C35"/>
    <w:rsid w:val="00FE3D08"/>
    <w:rsid w:val="00FE3DD4"/>
    <w:rsid w:val="00FE3DDF"/>
    <w:rsid w:val="00FE3F70"/>
    <w:rsid w:val="00FE40C9"/>
    <w:rsid w:val="00FE4134"/>
    <w:rsid w:val="00FE4331"/>
    <w:rsid w:val="00FE43A7"/>
    <w:rsid w:val="00FE44BA"/>
    <w:rsid w:val="00FE4576"/>
    <w:rsid w:val="00FE4645"/>
    <w:rsid w:val="00FE4736"/>
    <w:rsid w:val="00FE477C"/>
    <w:rsid w:val="00FE4786"/>
    <w:rsid w:val="00FE47BA"/>
    <w:rsid w:val="00FE47D5"/>
    <w:rsid w:val="00FE4853"/>
    <w:rsid w:val="00FE4880"/>
    <w:rsid w:val="00FE494D"/>
    <w:rsid w:val="00FE496F"/>
    <w:rsid w:val="00FE49B9"/>
    <w:rsid w:val="00FE49DC"/>
    <w:rsid w:val="00FE4AC8"/>
    <w:rsid w:val="00FE4AF4"/>
    <w:rsid w:val="00FE4AFD"/>
    <w:rsid w:val="00FE4B85"/>
    <w:rsid w:val="00FE4DA7"/>
    <w:rsid w:val="00FE4E4A"/>
    <w:rsid w:val="00FE4E9F"/>
    <w:rsid w:val="00FE4ECC"/>
    <w:rsid w:val="00FE4EFA"/>
    <w:rsid w:val="00FE4F9C"/>
    <w:rsid w:val="00FE501E"/>
    <w:rsid w:val="00FE5023"/>
    <w:rsid w:val="00FE5115"/>
    <w:rsid w:val="00FE518B"/>
    <w:rsid w:val="00FE5285"/>
    <w:rsid w:val="00FE52A2"/>
    <w:rsid w:val="00FE52D7"/>
    <w:rsid w:val="00FE53DC"/>
    <w:rsid w:val="00FE550B"/>
    <w:rsid w:val="00FE55CF"/>
    <w:rsid w:val="00FE5687"/>
    <w:rsid w:val="00FE56C7"/>
    <w:rsid w:val="00FE5727"/>
    <w:rsid w:val="00FE5866"/>
    <w:rsid w:val="00FE5889"/>
    <w:rsid w:val="00FE5960"/>
    <w:rsid w:val="00FE59AF"/>
    <w:rsid w:val="00FE5A46"/>
    <w:rsid w:val="00FE5A4C"/>
    <w:rsid w:val="00FE5B33"/>
    <w:rsid w:val="00FE5B8B"/>
    <w:rsid w:val="00FE5BCC"/>
    <w:rsid w:val="00FE5C74"/>
    <w:rsid w:val="00FE5D6F"/>
    <w:rsid w:val="00FE5EDC"/>
    <w:rsid w:val="00FE5F22"/>
    <w:rsid w:val="00FE5F24"/>
    <w:rsid w:val="00FE5F2A"/>
    <w:rsid w:val="00FE5F7F"/>
    <w:rsid w:val="00FE605F"/>
    <w:rsid w:val="00FE609E"/>
    <w:rsid w:val="00FE6142"/>
    <w:rsid w:val="00FE61D3"/>
    <w:rsid w:val="00FE6250"/>
    <w:rsid w:val="00FE62B8"/>
    <w:rsid w:val="00FE6308"/>
    <w:rsid w:val="00FE640C"/>
    <w:rsid w:val="00FE6484"/>
    <w:rsid w:val="00FE6542"/>
    <w:rsid w:val="00FE6597"/>
    <w:rsid w:val="00FE6610"/>
    <w:rsid w:val="00FE677E"/>
    <w:rsid w:val="00FE6858"/>
    <w:rsid w:val="00FE68D7"/>
    <w:rsid w:val="00FE6B0F"/>
    <w:rsid w:val="00FE6B55"/>
    <w:rsid w:val="00FE6B89"/>
    <w:rsid w:val="00FE6BAC"/>
    <w:rsid w:val="00FE6BB0"/>
    <w:rsid w:val="00FE6C21"/>
    <w:rsid w:val="00FE6C84"/>
    <w:rsid w:val="00FE6CAE"/>
    <w:rsid w:val="00FE6D72"/>
    <w:rsid w:val="00FE6E4B"/>
    <w:rsid w:val="00FE6E6E"/>
    <w:rsid w:val="00FE6F4C"/>
    <w:rsid w:val="00FE70AA"/>
    <w:rsid w:val="00FE7145"/>
    <w:rsid w:val="00FE719E"/>
    <w:rsid w:val="00FE73C6"/>
    <w:rsid w:val="00FE73EA"/>
    <w:rsid w:val="00FE7425"/>
    <w:rsid w:val="00FE747A"/>
    <w:rsid w:val="00FE75EA"/>
    <w:rsid w:val="00FE7674"/>
    <w:rsid w:val="00FE7729"/>
    <w:rsid w:val="00FE7874"/>
    <w:rsid w:val="00FE78A5"/>
    <w:rsid w:val="00FE795A"/>
    <w:rsid w:val="00FE7BE0"/>
    <w:rsid w:val="00FE7BE7"/>
    <w:rsid w:val="00FE7C0F"/>
    <w:rsid w:val="00FE7C5C"/>
    <w:rsid w:val="00FE7CCF"/>
    <w:rsid w:val="00FE7DE3"/>
    <w:rsid w:val="00FE7E49"/>
    <w:rsid w:val="00FF0011"/>
    <w:rsid w:val="00FF0113"/>
    <w:rsid w:val="00FF014C"/>
    <w:rsid w:val="00FF0186"/>
    <w:rsid w:val="00FF0381"/>
    <w:rsid w:val="00FF0383"/>
    <w:rsid w:val="00FF05BA"/>
    <w:rsid w:val="00FF0604"/>
    <w:rsid w:val="00FF0642"/>
    <w:rsid w:val="00FF065F"/>
    <w:rsid w:val="00FF06E9"/>
    <w:rsid w:val="00FF082E"/>
    <w:rsid w:val="00FF09A1"/>
    <w:rsid w:val="00FF09E0"/>
    <w:rsid w:val="00FF0AD4"/>
    <w:rsid w:val="00FF0B2F"/>
    <w:rsid w:val="00FF0B60"/>
    <w:rsid w:val="00FF0C8E"/>
    <w:rsid w:val="00FF0CA8"/>
    <w:rsid w:val="00FF0CAA"/>
    <w:rsid w:val="00FF0D0C"/>
    <w:rsid w:val="00FF0DB5"/>
    <w:rsid w:val="00FF0E17"/>
    <w:rsid w:val="00FF0F8A"/>
    <w:rsid w:val="00FF0FD5"/>
    <w:rsid w:val="00FF107A"/>
    <w:rsid w:val="00FF1082"/>
    <w:rsid w:val="00FF10F1"/>
    <w:rsid w:val="00FF117D"/>
    <w:rsid w:val="00FF1192"/>
    <w:rsid w:val="00FF1224"/>
    <w:rsid w:val="00FF1296"/>
    <w:rsid w:val="00FF1301"/>
    <w:rsid w:val="00FF1391"/>
    <w:rsid w:val="00FF13E5"/>
    <w:rsid w:val="00FF13F1"/>
    <w:rsid w:val="00FF1449"/>
    <w:rsid w:val="00FF1522"/>
    <w:rsid w:val="00FF168E"/>
    <w:rsid w:val="00FF1810"/>
    <w:rsid w:val="00FF1943"/>
    <w:rsid w:val="00FF1A44"/>
    <w:rsid w:val="00FF1A4E"/>
    <w:rsid w:val="00FF1A6F"/>
    <w:rsid w:val="00FF1B27"/>
    <w:rsid w:val="00FF1C54"/>
    <w:rsid w:val="00FF1CA9"/>
    <w:rsid w:val="00FF1DB3"/>
    <w:rsid w:val="00FF1E40"/>
    <w:rsid w:val="00FF1F1C"/>
    <w:rsid w:val="00FF1F32"/>
    <w:rsid w:val="00FF200C"/>
    <w:rsid w:val="00FF2029"/>
    <w:rsid w:val="00FF204A"/>
    <w:rsid w:val="00FF205B"/>
    <w:rsid w:val="00FF2098"/>
    <w:rsid w:val="00FF210E"/>
    <w:rsid w:val="00FF212B"/>
    <w:rsid w:val="00FF21E7"/>
    <w:rsid w:val="00FF22B1"/>
    <w:rsid w:val="00FF23B0"/>
    <w:rsid w:val="00FF23C6"/>
    <w:rsid w:val="00FF2400"/>
    <w:rsid w:val="00FF2415"/>
    <w:rsid w:val="00FF2448"/>
    <w:rsid w:val="00FF26A7"/>
    <w:rsid w:val="00FF26D1"/>
    <w:rsid w:val="00FF26F6"/>
    <w:rsid w:val="00FF2738"/>
    <w:rsid w:val="00FF2745"/>
    <w:rsid w:val="00FF277F"/>
    <w:rsid w:val="00FF280E"/>
    <w:rsid w:val="00FF2889"/>
    <w:rsid w:val="00FF2962"/>
    <w:rsid w:val="00FF2975"/>
    <w:rsid w:val="00FF2A49"/>
    <w:rsid w:val="00FF2BF3"/>
    <w:rsid w:val="00FF2D45"/>
    <w:rsid w:val="00FF2D51"/>
    <w:rsid w:val="00FF2E76"/>
    <w:rsid w:val="00FF2EE3"/>
    <w:rsid w:val="00FF3000"/>
    <w:rsid w:val="00FF3091"/>
    <w:rsid w:val="00FF30AF"/>
    <w:rsid w:val="00FF30BA"/>
    <w:rsid w:val="00FF30DE"/>
    <w:rsid w:val="00FF315E"/>
    <w:rsid w:val="00FF316C"/>
    <w:rsid w:val="00FF324D"/>
    <w:rsid w:val="00FF3378"/>
    <w:rsid w:val="00FF33D4"/>
    <w:rsid w:val="00FF3404"/>
    <w:rsid w:val="00FF3432"/>
    <w:rsid w:val="00FF34B7"/>
    <w:rsid w:val="00FF354E"/>
    <w:rsid w:val="00FF3623"/>
    <w:rsid w:val="00FF371A"/>
    <w:rsid w:val="00FF373D"/>
    <w:rsid w:val="00FF3747"/>
    <w:rsid w:val="00FF37C7"/>
    <w:rsid w:val="00FF37C8"/>
    <w:rsid w:val="00FF38DF"/>
    <w:rsid w:val="00FF3918"/>
    <w:rsid w:val="00FF393A"/>
    <w:rsid w:val="00FF3A1B"/>
    <w:rsid w:val="00FF3B6F"/>
    <w:rsid w:val="00FF3B9A"/>
    <w:rsid w:val="00FF3B9C"/>
    <w:rsid w:val="00FF3D97"/>
    <w:rsid w:val="00FF3E9E"/>
    <w:rsid w:val="00FF3F1A"/>
    <w:rsid w:val="00FF414A"/>
    <w:rsid w:val="00FF4279"/>
    <w:rsid w:val="00FF4306"/>
    <w:rsid w:val="00FF4331"/>
    <w:rsid w:val="00FF43A7"/>
    <w:rsid w:val="00FF43FB"/>
    <w:rsid w:val="00FF45D9"/>
    <w:rsid w:val="00FF46AE"/>
    <w:rsid w:val="00FF4759"/>
    <w:rsid w:val="00FF47C2"/>
    <w:rsid w:val="00FF47CE"/>
    <w:rsid w:val="00FF481A"/>
    <w:rsid w:val="00FF4965"/>
    <w:rsid w:val="00FF4975"/>
    <w:rsid w:val="00FF49FB"/>
    <w:rsid w:val="00FF4B0D"/>
    <w:rsid w:val="00FF4BB2"/>
    <w:rsid w:val="00FF4C19"/>
    <w:rsid w:val="00FF4C24"/>
    <w:rsid w:val="00FF4C94"/>
    <w:rsid w:val="00FF504C"/>
    <w:rsid w:val="00FF5192"/>
    <w:rsid w:val="00FF5278"/>
    <w:rsid w:val="00FF5280"/>
    <w:rsid w:val="00FF5358"/>
    <w:rsid w:val="00FF5441"/>
    <w:rsid w:val="00FF5623"/>
    <w:rsid w:val="00FF5648"/>
    <w:rsid w:val="00FF5660"/>
    <w:rsid w:val="00FF5691"/>
    <w:rsid w:val="00FF56FA"/>
    <w:rsid w:val="00FF56FD"/>
    <w:rsid w:val="00FF5785"/>
    <w:rsid w:val="00FF580A"/>
    <w:rsid w:val="00FF580B"/>
    <w:rsid w:val="00FF590C"/>
    <w:rsid w:val="00FF59DA"/>
    <w:rsid w:val="00FF5C39"/>
    <w:rsid w:val="00FF5D60"/>
    <w:rsid w:val="00FF5D77"/>
    <w:rsid w:val="00FF5E0B"/>
    <w:rsid w:val="00FF5EC3"/>
    <w:rsid w:val="00FF5F51"/>
    <w:rsid w:val="00FF600E"/>
    <w:rsid w:val="00FF608B"/>
    <w:rsid w:val="00FF60A6"/>
    <w:rsid w:val="00FF610E"/>
    <w:rsid w:val="00FF6254"/>
    <w:rsid w:val="00FF6279"/>
    <w:rsid w:val="00FF633B"/>
    <w:rsid w:val="00FF635D"/>
    <w:rsid w:val="00FF6426"/>
    <w:rsid w:val="00FF6631"/>
    <w:rsid w:val="00FF665C"/>
    <w:rsid w:val="00FF667D"/>
    <w:rsid w:val="00FF677C"/>
    <w:rsid w:val="00FF683E"/>
    <w:rsid w:val="00FF68A9"/>
    <w:rsid w:val="00FF68FA"/>
    <w:rsid w:val="00FF69A4"/>
    <w:rsid w:val="00FF6A07"/>
    <w:rsid w:val="00FF6A3E"/>
    <w:rsid w:val="00FF6A59"/>
    <w:rsid w:val="00FF6CDD"/>
    <w:rsid w:val="00FF6DAC"/>
    <w:rsid w:val="00FF6F91"/>
    <w:rsid w:val="00FF704F"/>
    <w:rsid w:val="00FF7162"/>
    <w:rsid w:val="00FF7169"/>
    <w:rsid w:val="00FF717A"/>
    <w:rsid w:val="00FF7281"/>
    <w:rsid w:val="00FF72AE"/>
    <w:rsid w:val="00FF7392"/>
    <w:rsid w:val="00FF73AF"/>
    <w:rsid w:val="00FF741E"/>
    <w:rsid w:val="00FF754F"/>
    <w:rsid w:val="00FF7551"/>
    <w:rsid w:val="00FF757B"/>
    <w:rsid w:val="00FF7634"/>
    <w:rsid w:val="00FF77A2"/>
    <w:rsid w:val="00FF77E1"/>
    <w:rsid w:val="00FF7871"/>
    <w:rsid w:val="00FF7903"/>
    <w:rsid w:val="00FF7A4A"/>
    <w:rsid w:val="00FF7AA4"/>
    <w:rsid w:val="00FF7B6E"/>
    <w:rsid w:val="00FF7B82"/>
    <w:rsid w:val="00FF7C44"/>
    <w:rsid w:val="00FF7CB6"/>
    <w:rsid w:val="00FF7D02"/>
    <w:rsid w:val="00FF7D69"/>
    <w:rsid w:val="00FF7D91"/>
    <w:rsid w:val="00FF7D96"/>
    <w:rsid w:val="00FF7DED"/>
    <w:rsid w:val="00FF7E23"/>
    <w:rsid w:val="00FF7E82"/>
    <w:rsid w:val="00FF7EA6"/>
    <w:rsid w:val="00FF7EBF"/>
    <w:rsid w:val="00FF7F3E"/>
    <w:rsid w:val="00FF7F6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colormru v:ext="edit" colors="#33c,#33f,#006,#00c"/>
    </o:shapedefaults>
    <o:shapelayout v:ext="edit">
      <o:idmap v:ext="edit" data="1"/>
    </o:shapelayout>
  </w:shapeDefaults>
  <w:decimalSymbol w:val="."/>
  <w:listSeparator w:val=","/>
  <w14:docId w14:val="0F42C22B"/>
  <w15:docId w15:val="{0BFA3DCF-5A7B-4B36-87B5-4E9E0907F6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s-MX" w:eastAsia="es-MX"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nhideWhenUsed="1"/>
    <w:lsdException w:name="Message Header" w:semiHidden="1" w:uiPriority="99" w:unhideWhenUsed="1"/>
    <w:lsdException w:name="Subtitle" w:uiPriority="99" w:qFormat="1"/>
    <w:lsdException w:name="Salutation" w:uiPriority="99"/>
    <w:lsdException w:name="Date" w:uiPriority="99"/>
    <w:lsdException w:name="Body Text First Indent"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1157B"/>
    <w:rPr>
      <w:sz w:val="24"/>
      <w:szCs w:val="24"/>
      <w:lang w:eastAsia="es-ES"/>
    </w:rPr>
  </w:style>
  <w:style w:type="paragraph" w:styleId="Ttulo1">
    <w:name w:val="heading 1"/>
    <w:aliases w:val="num.                          1"/>
    <w:basedOn w:val="Normal"/>
    <w:link w:val="Ttulo1Car"/>
    <w:uiPriority w:val="9"/>
    <w:qFormat/>
    <w:rsid w:val="00412ED0"/>
    <w:pPr>
      <w:spacing w:before="100" w:beforeAutospacing="1" w:after="100" w:afterAutospacing="1"/>
      <w:outlineLvl w:val="0"/>
    </w:pPr>
    <w:rPr>
      <w:rFonts w:ascii="Arial" w:hAnsi="Arial" w:cs="Arial"/>
      <w:b/>
      <w:bCs/>
      <w:kern w:val="36"/>
      <w:sz w:val="48"/>
      <w:szCs w:val="48"/>
      <w:lang w:eastAsia="es-MX"/>
    </w:rPr>
  </w:style>
  <w:style w:type="paragraph" w:styleId="Ttulo2">
    <w:name w:val="heading 2"/>
    <w:basedOn w:val="Normal"/>
    <w:next w:val="Normal"/>
    <w:link w:val="Ttulo2Car"/>
    <w:uiPriority w:val="9"/>
    <w:qFormat/>
    <w:rsid w:val="002B0452"/>
    <w:pPr>
      <w:keepNext/>
      <w:spacing w:before="60" w:after="60"/>
      <w:jc w:val="center"/>
      <w:outlineLvl w:val="1"/>
    </w:pPr>
    <w:rPr>
      <w:b/>
      <w:bCs/>
      <w:sz w:val="16"/>
      <w:szCs w:val="26"/>
      <w:lang w:val="es-ES"/>
    </w:rPr>
  </w:style>
  <w:style w:type="paragraph" w:styleId="Ttulo3">
    <w:name w:val="heading 3"/>
    <w:aliases w:val="num.                                              3"/>
    <w:basedOn w:val="Normal"/>
    <w:next w:val="Normal"/>
    <w:link w:val="Ttulo3Car"/>
    <w:uiPriority w:val="9"/>
    <w:qFormat/>
    <w:rsid w:val="002B0452"/>
    <w:pPr>
      <w:keepNext/>
      <w:spacing w:after="120"/>
      <w:jc w:val="center"/>
      <w:outlineLvl w:val="2"/>
    </w:pPr>
    <w:rPr>
      <w:b/>
      <w:bCs/>
      <w:sz w:val="22"/>
      <w:szCs w:val="22"/>
      <w:lang w:val="es-ES"/>
    </w:rPr>
  </w:style>
  <w:style w:type="paragraph" w:styleId="Ttulo4">
    <w:name w:val="heading 4"/>
    <w:aliases w:val="num.                                               4"/>
    <w:basedOn w:val="Normal"/>
    <w:next w:val="Normal"/>
    <w:link w:val="Ttulo4Car"/>
    <w:uiPriority w:val="9"/>
    <w:qFormat/>
    <w:rsid w:val="002B0452"/>
    <w:pPr>
      <w:keepNext/>
      <w:jc w:val="center"/>
      <w:outlineLvl w:val="3"/>
    </w:pPr>
    <w:rPr>
      <w:b/>
      <w:bCs/>
      <w:caps/>
      <w:sz w:val="18"/>
      <w:szCs w:val="26"/>
      <w:lang w:val="es-ES"/>
    </w:rPr>
  </w:style>
  <w:style w:type="paragraph" w:styleId="Ttulo5">
    <w:name w:val="heading 5"/>
    <w:aliases w:val="num.                                       5"/>
    <w:basedOn w:val="Normal"/>
    <w:next w:val="Normal"/>
    <w:link w:val="Ttulo5Car"/>
    <w:uiPriority w:val="9"/>
    <w:qFormat/>
    <w:rsid w:val="002B0452"/>
    <w:pPr>
      <w:keepNext/>
      <w:jc w:val="center"/>
      <w:outlineLvl w:val="4"/>
    </w:pPr>
    <w:rPr>
      <w:b/>
      <w:bCs/>
      <w:sz w:val="20"/>
      <w:szCs w:val="22"/>
      <w:lang w:val="es-ES"/>
    </w:rPr>
  </w:style>
  <w:style w:type="paragraph" w:styleId="Ttulo6">
    <w:name w:val="heading 6"/>
    <w:basedOn w:val="Normal"/>
    <w:next w:val="Normal"/>
    <w:link w:val="Ttulo6Car"/>
    <w:uiPriority w:val="9"/>
    <w:qFormat/>
    <w:rsid w:val="002B0452"/>
    <w:pPr>
      <w:keepNext/>
      <w:spacing w:after="120"/>
      <w:jc w:val="center"/>
      <w:outlineLvl w:val="5"/>
    </w:pPr>
    <w:rPr>
      <w:b/>
      <w:sz w:val="26"/>
      <w:szCs w:val="26"/>
      <w:lang w:val="es-ES"/>
    </w:rPr>
  </w:style>
  <w:style w:type="paragraph" w:styleId="Ttulo7">
    <w:name w:val="heading 7"/>
    <w:basedOn w:val="Normal"/>
    <w:next w:val="Normal"/>
    <w:link w:val="Ttulo7Car"/>
    <w:uiPriority w:val="99"/>
    <w:qFormat/>
    <w:rsid w:val="002B0452"/>
    <w:pPr>
      <w:keepNext/>
      <w:spacing w:before="60"/>
      <w:jc w:val="center"/>
      <w:outlineLvl w:val="6"/>
    </w:pPr>
    <w:rPr>
      <w:b/>
      <w:bCs/>
      <w:sz w:val="14"/>
      <w:szCs w:val="26"/>
      <w:lang w:val="es-ES"/>
    </w:rPr>
  </w:style>
  <w:style w:type="paragraph" w:styleId="Ttulo8">
    <w:name w:val="heading 8"/>
    <w:basedOn w:val="Normal"/>
    <w:next w:val="Normal"/>
    <w:link w:val="Ttulo8Car"/>
    <w:uiPriority w:val="99"/>
    <w:qFormat/>
    <w:rsid w:val="00E74EAE"/>
    <w:pPr>
      <w:tabs>
        <w:tab w:val="num" w:pos="1440"/>
      </w:tabs>
      <w:spacing w:before="240" w:after="60"/>
      <w:ind w:left="1440" w:hanging="1440"/>
      <w:outlineLvl w:val="7"/>
    </w:pPr>
    <w:rPr>
      <w:i/>
      <w:iCs/>
    </w:rPr>
  </w:style>
  <w:style w:type="paragraph" w:styleId="Ttulo9">
    <w:name w:val="heading 9"/>
    <w:basedOn w:val="Normal"/>
    <w:next w:val="Normal"/>
    <w:link w:val="Ttulo9Car"/>
    <w:uiPriority w:val="99"/>
    <w:qFormat/>
    <w:rsid w:val="00E74EAE"/>
    <w:pPr>
      <w:tabs>
        <w:tab w:val="num" w:pos="1584"/>
      </w:tabs>
      <w:spacing w:before="240" w:after="60"/>
      <w:ind w:left="1584" w:hanging="1584"/>
      <w:outlineLvl w:val="8"/>
    </w:pPr>
    <w:rPr>
      <w:rFonts w:ascii="Arial" w:hAnsi="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59"/>
    <w:rsid w:val="00F103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rsid w:val="00F6477D"/>
    <w:pPr>
      <w:tabs>
        <w:tab w:val="center" w:pos="4252"/>
        <w:tab w:val="right" w:pos="8504"/>
      </w:tabs>
    </w:pPr>
  </w:style>
  <w:style w:type="paragraph" w:styleId="Piedepgina">
    <w:name w:val="footer"/>
    <w:basedOn w:val="Normal"/>
    <w:link w:val="PiedepginaCar"/>
    <w:uiPriority w:val="99"/>
    <w:rsid w:val="00F6477D"/>
    <w:pPr>
      <w:tabs>
        <w:tab w:val="center" w:pos="4252"/>
        <w:tab w:val="right" w:pos="8504"/>
      </w:tabs>
    </w:pPr>
  </w:style>
  <w:style w:type="character" w:styleId="Nmerodepgina">
    <w:name w:val="page number"/>
    <w:basedOn w:val="Fuentedeprrafopredeter"/>
    <w:rsid w:val="00F6477D"/>
  </w:style>
  <w:style w:type="paragraph" w:styleId="Textonotapie">
    <w:name w:val="footnote text"/>
    <w:aliases w:val="Footnote Text Char1,Footnote Text Char1 Char,Footnote Text Char Char Char"/>
    <w:basedOn w:val="Normal"/>
    <w:link w:val="TextonotapieCar"/>
    <w:uiPriority w:val="99"/>
    <w:rsid w:val="00242B75"/>
    <w:rPr>
      <w:sz w:val="20"/>
      <w:szCs w:val="20"/>
      <w:lang w:val="es-ES"/>
    </w:rPr>
  </w:style>
  <w:style w:type="character" w:customStyle="1" w:styleId="TextonotapieCar">
    <w:name w:val="Texto nota pie Car"/>
    <w:aliases w:val="Footnote Text Char1 Car1,Footnote Text Char1 Char Car1,Footnote Text Char Char Char Car"/>
    <w:basedOn w:val="Fuentedeprrafopredeter"/>
    <w:link w:val="Textonotapie"/>
    <w:uiPriority w:val="99"/>
    <w:rsid w:val="00242B75"/>
    <w:rPr>
      <w:lang w:val="es-ES" w:eastAsia="es-ES" w:bidi="ar-SA"/>
    </w:rPr>
  </w:style>
  <w:style w:type="character" w:styleId="Refdenotaalpie">
    <w:name w:val="footnote reference"/>
    <w:aliases w:val="Ref,de nota al pie,註腳內容,de nota al pie + (Asian) MS Mincho,11 pt"/>
    <w:basedOn w:val="Fuentedeprrafopredeter"/>
    <w:uiPriority w:val="99"/>
    <w:rsid w:val="00242B75"/>
    <w:rPr>
      <w:vertAlign w:val="superscript"/>
    </w:rPr>
  </w:style>
  <w:style w:type="character" w:styleId="Hipervnculo">
    <w:name w:val="Hyperlink"/>
    <w:basedOn w:val="Fuentedeprrafopredeter"/>
    <w:uiPriority w:val="99"/>
    <w:rsid w:val="00242B75"/>
    <w:rPr>
      <w:color w:val="0000FF"/>
      <w:u w:val="single"/>
    </w:rPr>
  </w:style>
  <w:style w:type="table" w:customStyle="1" w:styleId="Tablaconcuadrcula160">
    <w:name w:val="Tabla con cuadrícula160"/>
    <w:basedOn w:val="Tablanormal"/>
    <w:next w:val="Tablaconcuadrcula"/>
    <w:rsid w:val="0011623A"/>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
    <w:name w:val="Tabla con cuadrícula1"/>
    <w:basedOn w:val="Tablanormal"/>
    <w:next w:val="Tablaconcuadrcula"/>
    <w:uiPriority w:val="59"/>
    <w:rsid w:val="008B2BC9"/>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visitado">
    <w:name w:val="FollowedHyperlink"/>
    <w:basedOn w:val="Fuentedeprrafopredeter"/>
    <w:uiPriority w:val="99"/>
    <w:rsid w:val="00A426AC"/>
    <w:rPr>
      <w:color w:val="800080"/>
      <w:u w:val="single"/>
    </w:rPr>
  </w:style>
  <w:style w:type="table" w:customStyle="1" w:styleId="Tablaconcuadrcula2">
    <w:name w:val="Tabla con cuadrícula2"/>
    <w:basedOn w:val="Tablanormal"/>
    <w:next w:val="Tablaconcuadrcula"/>
    <w:rsid w:val="004D2A7C"/>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
    <w:name w:val="Body Text"/>
    <w:aliases w:val=" Car Car Car Car Car Car,Car Car Car Car Car Car"/>
    <w:basedOn w:val="Normal"/>
    <w:link w:val="TextoindependienteCar"/>
    <w:rsid w:val="00A63EA1"/>
    <w:pPr>
      <w:jc w:val="center"/>
    </w:pPr>
    <w:rPr>
      <w:sz w:val="20"/>
    </w:rPr>
  </w:style>
  <w:style w:type="paragraph" w:styleId="Textoindependiente2">
    <w:name w:val="Body Text 2"/>
    <w:basedOn w:val="Normal"/>
    <w:link w:val="Textoindependiente2Car"/>
    <w:uiPriority w:val="99"/>
    <w:rsid w:val="00A63EA1"/>
    <w:pPr>
      <w:spacing w:after="360" w:line="360" w:lineRule="auto"/>
      <w:ind w:right="-159"/>
      <w:jc w:val="both"/>
    </w:pPr>
    <w:rPr>
      <w:sz w:val="26"/>
    </w:rPr>
  </w:style>
  <w:style w:type="table" w:customStyle="1" w:styleId="Tablaconcuadrcula21">
    <w:name w:val="Tabla con cuadrícula21"/>
    <w:basedOn w:val="Tablanormal"/>
    <w:next w:val="Tablaconcuadrcula"/>
    <w:rsid w:val="00A432D0"/>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A432D0"/>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874955"/>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
    <w:name w:val="Sin lista1"/>
    <w:next w:val="Sinlista"/>
    <w:semiHidden/>
    <w:unhideWhenUsed/>
    <w:rsid w:val="00412ED0"/>
  </w:style>
  <w:style w:type="character" w:customStyle="1" w:styleId="Ttulo1Car">
    <w:name w:val="Título 1 Car"/>
    <w:aliases w:val="num.                          1 Car"/>
    <w:basedOn w:val="Fuentedeprrafopredeter"/>
    <w:link w:val="Ttulo1"/>
    <w:uiPriority w:val="9"/>
    <w:rsid w:val="00412ED0"/>
    <w:rPr>
      <w:rFonts w:ascii="Arial" w:hAnsi="Arial" w:cs="Arial"/>
      <w:b/>
      <w:bCs/>
      <w:kern w:val="36"/>
      <w:sz w:val="48"/>
      <w:szCs w:val="48"/>
      <w:lang w:val="es-MX" w:eastAsia="es-MX" w:bidi="ar-SA"/>
    </w:rPr>
  </w:style>
  <w:style w:type="table" w:customStyle="1" w:styleId="Tablaconcuadrcula3">
    <w:name w:val="Tabla con cuadrícula3"/>
    <w:basedOn w:val="Tablanormal"/>
    <w:next w:val="Tablaconcuadrcula"/>
    <w:rsid w:val="00412ED0"/>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
    <w:name w:val="Sin lista2"/>
    <w:next w:val="Sinlista"/>
    <w:semiHidden/>
    <w:unhideWhenUsed/>
    <w:rsid w:val="00A81FDB"/>
  </w:style>
  <w:style w:type="table" w:customStyle="1" w:styleId="Tablaconcuadrcula4">
    <w:name w:val="Tabla con cuadrícula4"/>
    <w:basedOn w:val="Tablanormal"/>
    <w:next w:val="Tablaconcuadrcula"/>
    <w:rsid w:val="00A81FDB"/>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absica1">
    <w:name w:val="Table Simple 1"/>
    <w:basedOn w:val="Tablanormal"/>
    <w:rsid w:val="00A81FDB"/>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
    <w:name w:val="Sin lista11"/>
    <w:next w:val="Sinlista"/>
    <w:semiHidden/>
    <w:rsid w:val="00A81FDB"/>
  </w:style>
  <w:style w:type="table" w:customStyle="1" w:styleId="Tablaconcuadrcula11">
    <w:name w:val="Tabla con cuadrícula11"/>
    <w:basedOn w:val="Tablanormal"/>
    <w:next w:val="Tablaconcuadrcula"/>
    <w:rsid w:val="00A81FD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rsid w:val="008B7994"/>
    <w:rPr>
      <w:rFonts w:ascii="Tahoma" w:hAnsi="Tahoma" w:cs="Tahoma"/>
      <w:sz w:val="16"/>
      <w:szCs w:val="16"/>
    </w:rPr>
  </w:style>
  <w:style w:type="paragraph" w:styleId="NormalWeb">
    <w:name w:val="Normal (Web)"/>
    <w:basedOn w:val="Normal"/>
    <w:rsid w:val="00C219FB"/>
    <w:pPr>
      <w:spacing w:before="100" w:beforeAutospacing="1" w:after="100" w:afterAutospacing="1"/>
    </w:pPr>
    <w:rPr>
      <w:color w:val="000000"/>
      <w:lang w:val="es-ES"/>
    </w:rPr>
  </w:style>
  <w:style w:type="table" w:styleId="Tablaconcuadrcula10">
    <w:name w:val="Table Grid 1"/>
    <w:basedOn w:val="Tablanormal"/>
    <w:rsid w:val="00C219FB"/>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Mapadeldocumento">
    <w:name w:val="Document Map"/>
    <w:basedOn w:val="Normal"/>
    <w:link w:val="MapadeldocumentoCar"/>
    <w:uiPriority w:val="99"/>
    <w:semiHidden/>
    <w:rsid w:val="00F10036"/>
    <w:pPr>
      <w:shd w:val="clear" w:color="auto" w:fill="000080"/>
    </w:pPr>
    <w:rPr>
      <w:rFonts w:ascii="Tahoma" w:hAnsi="Tahoma" w:cs="Tahoma"/>
      <w:sz w:val="20"/>
      <w:szCs w:val="20"/>
    </w:rPr>
  </w:style>
  <w:style w:type="paragraph" w:styleId="Textoindependiente3">
    <w:name w:val="Body Text 3"/>
    <w:basedOn w:val="Normal"/>
    <w:link w:val="Textoindependiente3Car"/>
    <w:uiPriority w:val="99"/>
    <w:rsid w:val="002B0452"/>
    <w:pPr>
      <w:spacing w:after="120"/>
      <w:jc w:val="both"/>
    </w:pPr>
    <w:rPr>
      <w:sz w:val="16"/>
      <w:szCs w:val="26"/>
      <w:lang w:val="es-ES"/>
    </w:rPr>
  </w:style>
  <w:style w:type="table" w:customStyle="1" w:styleId="Tablaconcuadrcula190">
    <w:name w:val="Tabla con cuadrícula190"/>
    <w:basedOn w:val="Tablanormal"/>
    <w:next w:val="Tablaconcuadrcula"/>
    <w:rsid w:val="005A74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ncabezadoCar">
    <w:name w:val="Encabezado Car"/>
    <w:basedOn w:val="Fuentedeprrafopredeter"/>
    <w:link w:val="Encabezado"/>
    <w:uiPriority w:val="99"/>
    <w:rsid w:val="0018776F"/>
    <w:rPr>
      <w:sz w:val="24"/>
      <w:szCs w:val="24"/>
      <w:lang w:val="es-MX" w:eastAsia="es-ES" w:bidi="ar-SA"/>
    </w:rPr>
  </w:style>
  <w:style w:type="table" w:customStyle="1" w:styleId="Tablaconcuadrcula293">
    <w:name w:val="Tabla con cuadrícula293"/>
    <w:basedOn w:val="Tablanormal"/>
    <w:next w:val="Tablaconcuadrcula"/>
    <w:rsid w:val="000C68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esidenciasubseccion">
    <w:name w:val="presidencia_subseccion"/>
    <w:basedOn w:val="Normal"/>
    <w:uiPriority w:val="99"/>
    <w:rsid w:val="00CA76AF"/>
    <w:rPr>
      <w:rFonts w:ascii="Verdana" w:hAnsi="Verdana"/>
      <w:b/>
      <w:bCs/>
      <w:color w:val="909179"/>
      <w:sz w:val="19"/>
      <w:szCs w:val="19"/>
      <w:lang w:val="es-ES"/>
    </w:rPr>
  </w:style>
  <w:style w:type="character" w:styleId="Textoennegrita">
    <w:name w:val="Strong"/>
    <w:basedOn w:val="Fuentedeprrafopredeter"/>
    <w:qFormat/>
    <w:rsid w:val="00CE3D4C"/>
    <w:rPr>
      <w:b/>
      <w:bCs/>
    </w:rPr>
  </w:style>
  <w:style w:type="table" w:customStyle="1" w:styleId="Tablaconcuadrcula5">
    <w:name w:val="Tabla con cuadrícula5"/>
    <w:basedOn w:val="Tablanormal"/>
    <w:next w:val="Tablaconcuadrcula"/>
    <w:rsid w:val="0076787A"/>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imes">
    <w:name w:val="times"/>
    <w:basedOn w:val="Normal"/>
    <w:uiPriority w:val="99"/>
    <w:rsid w:val="00AB3DB1"/>
    <w:pPr>
      <w:spacing w:before="100" w:beforeAutospacing="1" w:after="100" w:afterAutospacing="1"/>
    </w:pPr>
    <w:rPr>
      <w:lang w:val="es-ES"/>
    </w:rPr>
  </w:style>
  <w:style w:type="paragraph" w:customStyle="1" w:styleId="Texto">
    <w:name w:val="Texto"/>
    <w:basedOn w:val="Normal"/>
    <w:link w:val="TextoCar"/>
    <w:rsid w:val="002B2D6F"/>
    <w:pPr>
      <w:spacing w:after="101" w:line="216" w:lineRule="exact"/>
      <w:ind w:firstLine="288"/>
      <w:jc w:val="both"/>
    </w:pPr>
    <w:rPr>
      <w:rFonts w:ascii="Arial" w:hAnsi="Arial" w:cs="Arial"/>
      <w:sz w:val="18"/>
      <w:szCs w:val="18"/>
      <w:lang w:eastAsia="es-MX"/>
    </w:rPr>
  </w:style>
  <w:style w:type="character" w:customStyle="1" w:styleId="CarCar3">
    <w:name w:val="Car Car3"/>
    <w:basedOn w:val="Fuentedeprrafopredeter"/>
    <w:rsid w:val="003C0183"/>
    <w:rPr>
      <w:b/>
      <w:bCs/>
      <w:sz w:val="16"/>
      <w:szCs w:val="24"/>
      <w:lang w:eastAsia="es-ES"/>
    </w:rPr>
  </w:style>
  <w:style w:type="table" w:customStyle="1" w:styleId="Tablaconcuadrcula6">
    <w:name w:val="Tabla con cuadrícula6"/>
    <w:basedOn w:val="Tablanormal"/>
    <w:next w:val="Tablaconcuadrcula"/>
    <w:rsid w:val="003C018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nfasis">
    <w:name w:val="Emphasis"/>
    <w:basedOn w:val="Fuentedeprrafopredeter"/>
    <w:uiPriority w:val="20"/>
    <w:qFormat/>
    <w:rsid w:val="003C0183"/>
    <w:rPr>
      <w:i/>
      <w:iCs/>
    </w:rPr>
  </w:style>
  <w:style w:type="paragraph" w:customStyle="1" w:styleId="Default">
    <w:name w:val="Default"/>
    <w:rsid w:val="00715D2D"/>
    <w:pPr>
      <w:autoSpaceDE w:val="0"/>
      <w:autoSpaceDN w:val="0"/>
      <w:adjustRightInd w:val="0"/>
    </w:pPr>
    <w:rPr>
      <w:color w:val="000000"/>
      <w:sz w:val="24"/>
      <w:szCs w:val="24"/>
      <w:lang w:val="es-ES" w:eastAsia="es-ES"/>
    </w:rPr>
  </w:style>
  <w:style w:type="numbering" w:customStyle="1" w:styleId="Sinlista3">
    <w:name w:val="Sin lista3"/>
    <w:next w:val="Sinlista"/>
    <w:semiHidden/>
    <w:unhideWhenUsed/>
    <w:rsid w:val="00020328"/>
  </w:style>
  <w:style w:type="table" w:customStyle="1" w:styleId="Tablaconcuadrcula7">
    <w:name w:val="Tabla con cuadrícula7"/>
    <w:basedOn w:val="Tablanormal"/>
    <w:next w:val="Tablaconcuadrcula"/>
    <w:rsid w:val="00020328"/>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ilite">
    <w:name w:val="hilite"/>
    <w:basedOn w:val="Fuentedeprrafopredeter"/>
    <w:rsid w:val="00F75492"/>
  </w:style>
  <w:style w:type="character" w:customStyle="1" w:styleId="TextoCar">
    <w:name w:val="Texto Car"/>
    <w:basedOn w:val="Fuentedeprrafopredeter"/>
    <w:link w:val="Texto"/>
    <w:rsid w:val="00983C63"/>
    <w:rPr>
      <w:rFonts w:ascii="Arial" w:hAnsi="Arial" w:cs="Arial"/>
      <w:sz w:val="18"/>
      <w:szCs w:val="18"/>
      <w:lang w:val="es-MX" w:eastAsia="es-MX" w:bidi="ar-SA"/>
    </w:rPr>
  </w:style>
  <w:style w:type="table" w:customStyle="1" w:styleId="Tablaconcuadrcula182">
    <w:name w:val="Tabla con cuadrícula182"/>
    <w:basedOn w:val="Tablanormal"/>
    <w:next w:val="Tablaconcuadrcula"/>
    <w:rsid w:val="00E74E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loque">
    <w:name w:val="Block Text"/>
    <w:basedOn w:val="Normal"/>
    <w:uiPriority w:val="99"/>
    <w:rsid w:val="00E74EAE"/>
    <w:pPr>
      <w:spacing w:after="360" w:line="360" w:lineRule="auto"/>
      <w:ind w:left="397" w:right="-159" w:hanging="397"/>
      <w:jc w:val="both"/>
    </w:pPr>
    <w:rPr>
      <w:sz w:val="26"/>
      <w:szCs w:val="26"/>
    </w:rPr>
  </w:style>
  <w:style w:type="table" w:customStyle="1" w:styleId="Tablaconcuadrcula51">
    <w:name w:val="Tabla con cuadrícula51"/>
    <w:basedOn w:val="Tablanormal"/>
    <w:next w:val="Tablaconcuadrcula"/>
    <w:rsid w:val="00C677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
    <w:name w:val="Sin lista4"/>
    <w:next w:val="Sinlista"/>
    <w:semiHidden/>
    <w:rsid w:val="000E1F88"/>
  </w:style>
  <w:style w:type="table" w:customStyle="1" w:styleId="Tablaconcuadrcula1901">
    <w:name w:val="Tabla con cuadrícula1901"/>
    <w:basedOn w:val="Tablanormal"/>
    <w:next w:val="Tablaconcuadrcula"/>
    <w:rsid w:val="000E1F88"/>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
    <w:name w:val="Tabla con cuadrícula8"/>
    <w:basedOn w:val="Tablanormal"/>
    <w:next w:val="Tablaconcuadrcula"/>
    <w:rsid w:val="000E1F88"/>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31">
    <w:name w:val="f31"/>
    <w:basedOn w:val="Fuentedeprrafopredeter"/>
    <w:rsid w:val="00675BAE"/>
    <w:rPr>
      <w:rFonts w:ascii="Verdana" w:hAnsi="Verdana" w:hint="default"/>
      <w:sz w:val="18"/>
      <w:szCs w:val="18"/>
    </w:rPr>
  </w:style>
  <w:style w:type="paragraph" w:styleId="Puesto">
    <w:name w:val="Title"/>
    <w:aliases w:val="maripaz"/>
    <w:basedOn w:val="Normal"/>
    <w:link w:val="PuestoCar"/>
    <w:qFormat/>
    <w:rsid w:val="00AF6B01"/>
    <w:pPr>
      <w:spacing w:before="240" w:after="60"/>
      <w:jc w:val="center"/>
      <w:outlineLvl w:val="0"/>
    </w:pPr>
    <w:rPr>
      <w:rFonts w:ascii="Arial" w:hAnsi="Arial" w:cs="Arial"/>
      <w:b/>
      <w:bCs/>
      <w:kern w:val="28"/>
      <w:sz w:val="32"/>
      <w:szCs w:val="32"/>
    </w:rPr>
  </w:style>
  <w:style w:type="paragraph" w:customStyle="1" w:styleId="texto0">
    <w:name w:val="texto"/>
    <w:basedOn w:val="Normal"/>
    <w:link w:val="textoCar0"/>
    <w:rsid w:val="00375242"/>
    <w:pPr>
      <w:autoSpaceDE w:val="0"/>
      <w:autoSpaceDN w:val="0"/>
      <w:spacing w:line="360" w:lineRule="auto"/>
      <w:ind w:right="-232"/>
      <w:jc w:val="both"/>
    </w:pPr>
    <w:rPr>
      <w:sz w:val="26"/>
      <w:szCs w:val="26"/>
      <w:lang w:val="es-ES_tradnl"/>
    </w:rPr>
  </w:style>
  <w:style w:type="paragraph" w:styleId="Listaconvietas2">
    <w:name w:val="List Bullet 2"/>
    <w:basedOn w:val="Normal"/>
    <w:autoRedefine/>
    <w:uiPriority w:val="99"/>
    <w:rsid w:val="00375242"/>
    <w:pPr>
      <w:numPr>
        <w:numId w:val="2"/>
      </w:numPr>
    </w:pPr>
    <w:rPr>
      <w:lang w:val="es-ES"/>
    </w:rPr>
  </w:style>
  <w:style w:type="paragraph" w:styleId="Sangradetextonormal">
    <w:name w:val="Body Text Indent"/>
    <w:basedOn w:val="Normal"/>
    <w:link w:val="SangradetextonormalCar"/>
    <w:uiPriority w:val="99"/>
    <w:rsid w:val="00375242"/>
    <w:pPr>
      <w:spacing w:after="120"/>
      <w:ind w:left="360"/>
    </w:pPr>
    <w:rPr>
      <w:lang w:val="es-ES"/>
    </w:rPr>
  </w:style>
  <w:style w:type="paragraph" w:styleId="Sangranormal">
    <w:name w:val="Normal Indent"/>
    <w:basedOn w:val="Normal"/>
    <w:uiPriority w:val="99"/>
    <w:rsid w:val="00375242"/>
    <w:pPr>
      <w:ind w:left="708"/>
    </w:pPr>
    <w:rPr>
      <w:lang w:val="es-ES"/>
    </w:rPr>
  </w:style>
  <w:style w:type="paragraph" w:styleId="Sangra2detindependiente">
    <w:name w:val="Body Text Indent 2"/>
    <w:basedOn w:val="Normal"/>
    <w:link w:val="Sangra2detindependienteCar"/>
    <w:uiPriority w:val="99"/>
    <w:rsid w:val="00375242"/>
    <w:pPr>
      <w:spacing w:after="120" w:line="480" w:lineRule="auto"/>
      <w:ind w:left="360"/>
    </w:pPr>
    <w:rPr>
      <w:lang w:val="es-ES"/>
    </w:rPr>
  </w:style>
  <w:style w:type="paragraph" w:customStyle="1" w:styleId="ROMANOS">
    <w:name w:val="ROMANOS"/>
    <w:basedOn w:val="Normal"/>
    <w:link w:val="ROMANOSCar"/>
    <w:rsid w:val="006D745B"/>
    <w:pPr>
      <w:tabs>
        <w:tab w:val="left" w:pos="720"/>
      </w:tabs>
      <w:spacing w:after="101" w:line="216" w:lineRule="exact"/>
      <w:ind w:left="720" w:hanging="432"/>
      <w:jc w:val="both"/>
    </w:pPr>
    <w:rPr>
      <w:rFonts w:ascii="Arial" w:hAnsi="Arial" w:cs="Arial"/>
      <w:sz w:val="18"/>
      <w:szCs w:val="18"/>
      <w:lang w:eastAsia="es-MX"/>
    </w:rPr>
  </w:style>
  <w:style w:type="paragraph" w:customStyle="1" w:styleId="INCISO">
    <w:name w:val="INCISO"/>
    <w:basedOn w:val="Normal"/>
    <w:uiPriority w:val="99"/>
    <w:rsid w:val="006D745B"/>
    <w:pPr>
      <w:tabs>
        <w:tab w:val="left" w:pos="1080"/>
      </w:tabs>
      <w:spacing w:after="101" w:line="216" w:lineRule="exact"/>
      <w:ind w:left="1080" w:hanging="360"/>
      <w:jc w:val="both"/>
    </w:pPr>
    <w:rPr>
      <w:rFonts w:ascii="Arial" w:hAnsi="Arial" w:cs="Arial"/>
      <w:sz w:val="18"/>
      <w:szCs w:val="18"/>
      <w:lang w:eastAsia="es-MX"/>
    </w:rPr>
  </w:style>
  <w:style w:type="paragraph" w:customStyle="1" w:styleId="Titulo1">
    <w:name w:val="Titulo 1"/>
    <w:basedOn w:val="Normal"/>
    <w:uiPriority w:val="99"/>
    <w:rsid w:val="006D745B"/>
    <w:pPr>
      <w:pBdr>
        <w:bottom w:val="single" w:sz="12" w:space="1" w:color="auto"/>
      </w:pBdr>
      <w:spacing w:before="120"/>
      <w:jc w:val="both"/>
      <w:outlineLvl w:val="0"/>
    </w:pPr>
    <w:rPr>
      <w:b/>
      <w:sz w:val="18"/>
      <w:szCs w:val="18"/>
      <w:lang w:eastAsia="es-MX"/>
    </w:rPr>
  </w:style>
  <w:style w:type="paragraph" w:customStyle="1" w:styleId="Titulo2">
    <w:name w:val="Titulo 2"/>
    <w:basedOn w:val="Normal"/>
    <w:uiPriority w:val="99"/>
    <w:rsid w:val="006D745B"/>
    <w:pPr>
      <w:pBdr>
        <w:top w:val="double" w:sz="6" w:space="1" w:color="auto"/>
      </w:pBdr>
      <w:spacing w:after="101"/>
      <w:jc w:val="both"/>
      <w:outlineLvl w:val="1"/>
    </w:pPr>
    <w:rPr>
      <w:rFonts w:ascii="Arial" w:hAnsi="Arial" w:cs="Arial"/>
      <w:sz w:val="18"/>
      <w:szCs w:val="18"/>
      <w:lang w:eastAsia="es-MX"/>
    </w:rPr>
  </w:style>
  <w:style w:type="paragraph" w:customStyle="1" w:styleId="ANOTACION">
    <w:name w:val="ANOTACION"/>
    <w:basedOn w:val="Normal"/>
    <w:link w:val="ANOTACIONCar"/>
    <w:rsid w:val="006D745B"/>
    <w:pPr>
      <w:spacing w:before="101" w:after="101"/>
      <w:jc w:val="center"/>
    </w:pPr>
    <w:rPr>
      <w:b/>
      <w:sz w:val="18"/>
      <w:szCs w:val="18"/>
      <w:lang w:eastAsia="es-MX"/>
    </w:rPr>
  </w:style>
  <w:style w:type="paragraph" w:customStyle="1" w:styleId="Fechas">
    <w:name w:val="Fechas"/>
    <w:basedOn w:val="Normal"/>
    <w:uiPriority w:val="99"/>
    <w:rsid w:val="006D745B"/>
    <w:pPr>
      <w:pBdr>
        <w:bottom w:val="double" w:sz="6" w:space="1" w:color="auto"/>
      </w:pBdr>
      <w:tabs>
        <w:tab w:val="center" w:pos="4464"/>
        <w:tab w:val="right" w:pos="8582"/>
      </w:tabs>
      <w:ind w:left="288" w:right="288"/>
      <w:jc w:val="both"/>
    </w:pPr>
    <w:rPr>
      <w:sz w:val="18"/>
      <w:szCs w:val="18"/>
      <w:lang w:eastAsia="es-MX"/>
    </w:rPr>
  </w:style>
  <w:style w:type="paragraph" w:customStyle="1" w:styleId="CABEZA">
    <w:name w:val="CABEZA"/>
    <w:basedOn w:val="Normal"/>
    <w:uiPriority w:val="99"/>
    <w:rsid w:val="006D745B"/>
    <w:pPr>
      <w:jc w:val="center"/>
    </w:pPr>
    <w:rPr>
      <w:b/>
      <w:sz w:val="28"/>
      <w:szCs w:val="28"/>
      <w:lang w:eastAsia="es-MX"/>
    </w:rPr>
  </w:style>
  <w:style w:type="paragraph" w:customStyle="1" w:styleId="Textonormal">
    <w:name w:val="Texto normal"/>
    <w:basedOn w:val="Normal"/>
    <w:uiPriority w:val="99"/>
    <w:rsid w:val="006D745B"/>
    <w:pPr>
      <w:jc w:val="both"/>
    </w:pPr>
    <w:rPr>
      <w:rFonts w:ascii="Arial" w:hAnsi="Arial" w:cs="Arial"/>
      <w:sz w:val="22"/>
      <w:szCs w:val="20"/>
      <w:lang w:val="es-ES_tradnl"/>
    </w:rPr>
  </w:style>
  <w:style w:type="paragraph" w:customStyle="1" w:styleId="Textoindependiente31">
    <w:name w:val="Texto independiente 31"/>
    <w:basedOn w:val="Normal"/>
    <w:uiPriority w:val="99"/>
    <w:rsid w:val="006D745B"/>
    <w:pPr>
      <w:spacing w:after="480"/>
      <w:jc w:val="both"/>
    </w:pPr>
    <w:rPr>
      <w:rFonts w:ascii="Arial" w:hAnsi="Arial" w:cs="Arial"/>
      <w:color w:val="000000"/>
      <w:sz w:val="22"/>
      <w:szCs w:val="20"/>
      <w:lang w:val="es-ES_tradnl"/>
    </w:rPr>
  </w:style>
  <w:style w:type="paragraph" w:styleId="Prrafodelista">
    <w:name w:val="List Paragraph"/>
    <w:basedOn w:val="Normal"/>
    <w:uiPriority w:val="34"/>
    <w:qFormat/>
    <w:rsid w:val="006D745B"/>
    <w:pPr>
      <w:ind w:left="708"/>
    </w:pPr>
    <w:rPr>
      <w:rFonts w:ascii="Century Gothic" w:hAnsi="Century Gothic" w:cs="Century Gothic"/>
      <w:szCs w:val="20"/>
      <w:lang w:val="es-ES_tradnl"/>
    </w:rPr>
  </w:style>
  <w:style w:type="paragraph" w:customStyle="1" w:styleId="SUBIN">
    <w:name w:val="SUBIN"/>
    <w:basedOn w:val="Texto"/>
    <w:uiPriority w:val="99"/>
    <w:rsid w:val="006D745B"/>
    <w:pPr>
      <w:ind w:left="1987" w:hanging="720"/>
    </w:pPr>
    <w:rPr>
      <w:szCs w:val="20"/>
      <w:lang w:eastAsia="es-ES"/>
    </w:rPr>
  </w:style>
  <w:style w:type="paragraph" w:customStyle="1" w:styleId="tt">
    <w:name w:val="tt"/>
    <w:basedOn w:val="Texto"/>
    <w:uiPriority w:val="99"/>
    <w:rsid w:val="006D745B"/>
    <w:pPr>
      <w:tabs>
        <w:tab w:val="left" w:pos="1320"/>
        <w:tab w:val="left" w:pos="1629"/>
      </w:tabs>
      <w:ind w:left="1647" w:hanging="1440"/>
    </w:pPr>
    <w:rPr>
      <w:szCs w:val="20"/>
      <w:lang w:val="es-ES_tradnl" w:eastAsia="es-ES"/>
    </w:rPr>
  </w:style>
  <w:style w:type="paragraph" w:customStyle="1" w:styleId="sum">
    <w:name w:val="sum"/>
    <w:basedOn w:val="Texto"/>
    <w:uiPriority w:val="99"/>
    <w:rsid w:val="006D745B"/>
    <w:pPr>
      <w:tabs>
        <w:tab w:val="right" w:leader="dot" w:pos="8100"/>
        <w:tab w:val="right" w:pos="8640"/>
      </w:tabs>
      <w:spacing w:after="0" w:line="266" w:lineRule="exact"/>
      <w:ind w:left="274" w:right="749" w:firstLine="0"/>
    </w:pPr>
    <w:rPr>
      <w:rFonts w:ascii="Times New Roman" w:hAnsi="Times New Roman"/>
      <w:b/>
      <w:sz w:val="20"/>
      <w:szCs w:val="20"/>
      <w:u w:val="single"/>
      <w:lang w:val="es-ES_tradnl" w:eastAsia="es-ES"/>
    </w:rPr>
  </w:style>
  <w:style w:type="paragraph" w:customStyle="1" w:styleId="EstilotextoPrimeralnea0">
    <w:name w:val="Estilo texto + Primera línea:  0&quot;"/>
    <w:basedOn w:val="Normal"/>
    <w:uiPriority w:val="99"/>
    <w:rsid w:val="006D745B"/>
    <w:pPr>
      <w:spacing w:after="101" w:line="216" w:lineRule="exact"/>
      <w:jc w:val="both"/>
    </w:pPr>
    <w:rPr>
      <w:rFonts w:ascii="Arial" w:hAnsi="Arial"/>
      <w:sz w:val="18"/>
      <w:szCs w:val="20"/>
      <w:lang w:eastAsia="es-MX"/>
    </w:rPr>
  </w:style>
  <w:style w:type="paragraph" w:customStyle="1" w:styleId="xl28">
    <w:name w:val="xl28"/>
    <w:basedOn w:val="Normal"/>
    <w:uiPriority w:val="99"/>
    <w:rsid w:val="006D745B"/>
    <w:pPr>
      <w:shd w:val="clear" w:color="auto" w:fill="FFFFFF"/>
      <w:spacing w:before="100" w:beforeAutospacing="1" w:after="100" w:afterAutospacing="1"/>
      <w:jc w:val="right"/>
    </w:pPr>
    <w:rPr>
      <w:rFonts w:ascii="Arial" w:eastAsia="Arial Unicode MS" w:hAnsi="Arial" w:cs="Arial"/>
      <w:lang w:val="es-ES"/>
    </w:rPr>
  </w:style>
  <w:style w:type="paragraph" w:customStyle="1" w:styleId="Sumario">
    <w:name w:val="Sumario"/>
    <w:basedOn w:val="Normal"/>
    <w:uiPriority w:val="99"/>
    <w:rsid w:val="006D745B"/>
    <w:pPr>
      <w:tabs>
        <w:tab w:val="right" w:leader="dot" w:pos="8107"/>
        <w:tab w:val="right" w:pos="8640"/>
      </w:tabs>
      <w:spacing w:line="260" w:lineRule="exact"/>
      <w:ind w:left="274" w:right="749"/>
      <w:jc w:val="both"/>
    </w:pPr>
    <w:rPr>
      <w:rFonts w:ascii="Arial" w:hAnsi="Arial"/>
      <w:sz w:val="18"/>
      <w:szCs w:val="18"/>
      <w:lang w:val="es-ES"/>
    </w:rPr>
  </w:style>
  <w:style w:type="numbering" w:customStyle="1" w:styleId="Sinlista5">
    <w:name w:val="Sin lista5"/>
    <w:next w:val="Sinlista"/>
    <w:semiHidden/>
    <w:unhideWhenUsed/>
    <w:rsid w:val="004A06CE"/>
  </w:style>
  <w:style w:type="numbering" w:customStyle="1" w:styleId="Sinlista12">
    <w:name w:val="Sin lista12"/>
    <w:next w:val="Sinlista"/>
    <w:semiHidden/>
    <w:rsid w:val="004A06CE"/>
  </w:style>
  <w:style w:type="character" w:customStyle="1" w:styleId="titulonoticia1">
    <w:name w:val="titulonoticia1"/>
    <w:basedOn w:val="Fuentedeprrafopredeter"/>
    <w:rsid w:val="00B558E2"/>
    <w:rPr>
      <w:b/>
      <w:bCs/>
      <w:color w:val="000000"/>
      <w:sz w:val="27"/>
      <w:szCs w:val="27"/>
    </w:rPr>
  </w:style>
  <w:style w:type="character" w:customStyle="1" w:styleId="fechaylugar1">
    <w:name w:val="fechaylugar1"/>
    <w:basedOn w:val="Fuentedeprrafopredeter"/>
    <w:rsid w:val="00B558E2"/>
    <w:rPr>
      <w:b w:val="0"/>
      <w:bCs w:val="0"/>
      <w:color w:val="666666"/>
      <w:sz w:val="17"/>
      <w:szCs w:val="17"/>
    </w:rPr>
  </w:style>
  <w:style w:type="paragraph" w:customStyle="1" w:styleId="Subtit">
    <w:name w:val="Subtit"/>
    <w:basedOn w:val="Normal"/>
    <w:uiPriority w:val="99"/>
    <w:rsid w:val="003020DA"/>
    <w:pPr>
      <w:spacing w:line="320" w:lineRule="exact"/>
      <w:ind w:right="-232"/>
      <w:jc w:val="both"/>
    </w:pPr>
    <w:rPr>
      <w:rFonts w:ascii="Arial" w:hAnsi="Arial" w:cs="Arial"/>
      <w:b/>
      <w:bCs/>
      <w:lang w:val="es-ES"/>
    </w:rPr>
  </w:style>
  <w:style w:type="paragraph" w:customStyle="1" w:styleId="Sangradetextonormal1">
    <w:name w:val="Sangría de texto normal1"/>
    <w:basedOn w:val="Normal"/>
    <w:uiPriority w:val="99"/>
    <w:rsid w:val="003020DA"/>
    <w:pPr>
      <w:spacing w:after="120" w:line="480" w:lineRule="auto"/>
    </w:pPr>
    <w:rPr>
      <w:sz w:val="20"/>
      <w:szCs w:val="20"/>
    </w:rPr>
  </w:style>
  <w:style w:type="character" w:customStyle="1" w:styleId="titu1">
    <w:name w:val="titu1"/>
    <w:basedOn w:val="Fuentedeprrafopredeter"/>
    <w:rsid w:val="003020DA"/>
    <w:rPr>
      <w:rFonts w:ascii="Verdana" w:hAnsi="Verdana" w:hint="default"/>
      <w:color w:val="000000"/>
      <w:sz w:val="18"/>
      <w:szCs w:val="18"/>
    </w:rPr>
  </w:style>
  <w:style w:type="character" w:customStyle="1" w:styleId="tit1">
    <w:name w:val="tit1"/>
    <w:basedOn w:val="Fuentedeprrafopredeter"/>
    <w:rsid w:val="003020DA"/>
    <w:rPr>
      <w:rFonts w:ascii="Verdana" w:hAnsi="Verdana" w:hint="default"/>
      <w:strike w:val="0"/>
      <w:dstrike w:val="0"/>
      <w:color w:val="000000"/>
      <w:sz w:val="16"/>
      <w:szCs w:val="16"/>
      <w:u w:val="none"/>
      <w:effect w:val="none"/>
    </w:rPr>
  </w:style>
  <w:style w:type="paragraph" w:styleId="Sangra3detindependiente">
    <w:name w:val="Body Text Indent 3"/>
    <w:basedOn w:val="Normal"/>
    <w:link w:val="Sangra3detindependienteCar"/>
    <w:uiPriority w:val="99"/>
    <w:rsid w:val="003020DA"/>
    <w:pPr>
      <w:widowControl w:val="0"/>
      <w:adjustRightInd w:val="0"/>
      <w:spacing w:after="120" w:line="360" w:lineRule="atLeast"/>
      <w:ind w:left="283"/>
      <w:jc w:val="both"/>
      <w:textAlignment w:val="baseline"/>
    </w:pPr>
    <w:rPr>
      <w:sz w:val="16"/>
      <w:szCs w:val="16"/>
      <w:lang w:val="en-GB" w:eastAsia="en-US"/>
    </w:rPr>
  </w:style>
  <w:style w:type="paragraph" w:customStyle="1" w:styleId="Fuente">
    <w:name w:val="Fuente"/>
    <w:basedOn w:val="Normal"/>
    <w:uiPriority w:val="99"/>
    <w:rsid w:val="003020DA"/>
    <w:pPr>
      <w:widowControl w:val="0"/>
      <w:adjustRightInd w:val="0"/>
      <w:spacing w:line="360" w:lineRule="auto"/>
      <w:jc w:val="both"/>
      <w:textAlignment w:val="baseline"/>
    </w:pPr>
    <w:rPr>
      <w:rFonts w:ascii="Garamond" w:hAnsi="Garamond"/>
      <w:sz w:val="22"/>
      <w:szCs w:val="20"/>
      <w:lang w:val="es-ES"/>
    </w:rPr>
  </w:style>
  <w:style w:type="paragraph" w:customStyle="1" w:styleId="2">
    <w:name w:val="2"/>
    <w:basedOn w:val="Normal"/>
    <w:next w:val="Sangradetextonormal"/>
    <w:uiPriority w:val="99"/>
    <w:rsid w:val="003020DA"/>
    <w:pPr>
      <w:widowControl w:val="0"/>
      <w:adjustRightInd w:val="0"/>
      <w:spacing w:line="360" w:lineRule="auto"/>
      <w:ind w:left="420"/>
      <w:jc w:val="both"/>
      <w:textAlignment w:val="baseline"/>
    </w:pPr>
    <w:rPr>
      <w:rFonts w:ascii="Garamond" w:hAnsi="Garamond"/>
      <w:szCs w:val="20"/>
      <w:lang w:val="es-ES"/>
    </w:rPr>
  </w:style>
  <w:style w:type="paragraph" w:customStyle="1" w:styleId="Textoindependiente21">
    <w:name w:val="Texto independiente 21"/>
    <w:basedOn w:val="Normal"/>
    <w:uiPriority w:val="99"/>
    <w:rsid w:val="003020DA"/>
    <w:pPr>
      <w:widowControl w:val="0"/>
      <w:adjustRightInd w:val="0"/>
      <w:spacing w:after="360" w:line="300" w:lineRule="exact"/>
      <w:ind w:firstLine="709"/>
      <w:jc w:val="both"/>
      <w:textAlignment w:val="baseline"/>
    </w:pPr>
    <w:rPr>
      <w:rFonts w:ascii="Arial" w:hAnsi="Arial"/>
      <w:sz w:val="22"/>
      <w:szCs w:val="20"/>
      <w:lang w:val="es-ES_tradnl"/>
    </w:rPr>
  </w:style>
  <w:style w:type="paragraph" w:customStyle="1" w:styleId="1">
    <w:name w:val="1"/>
    <w:basedOn w:val="Normal"/>
    <w:next w:val="Sangradetextonormal"/>
    <w:uiPriority w:val="99"/>
    <w:rsid w:val="003020DA"/>
    <w:pPr>
      <w:widowControl w:val="0"/>
      <w:autoSpaceDE w:val="0"/>
      <w:autoSpaceDN w:val="0"/>
      <w:adjustRightInd w:val="0"/>
      <w:spacing w:after="360" w:line="360" w:lineRule="atLeast"/>
      <w:ind w:left="454"/>
      <w:jc w:val="both"/>
      <w:textAlignment w:val="baseline"/>
    </w:pPr>
    <w:rPr>
      <w:sz w:val="26"/>
      <w:szCs w:val="26"/>
      <w:lang w:val="es-ES" w:eastAsia="en-US"/>
    </w:rPr>
  </w:style>
  <w:style w:type="paragraph" w:customStyle="1" w:styleId="dinamicostxtchico">
    <w:name w:val="dinamicos_txtchico"/>
    <w:basedOn w:val="Normal"/>
    <w:uiPriority w:val="99"/>
    <w:rsid w:val="003020DA"/>
    <w:pPr>
      <w:widowControl w:val="0"/>
      <w:adjustRightInd w:val="0"/>
      <w:spacing w:before="100" w:beforeAutospacing="1" w:after="100" w:afterAutospacing="1" w:line="360" w:lineRule="atLeast"/>
      <w:jc w:val="both"/>
      <w:textAlignment w:val="baseline"/>
    </w:pPr>
    <w:rPr>
      <w:rFonts w:ascii="Arial" w:eastAsia="Arial Unicode MS" w:hAnsi="Arial" w:cs="Arial"/>
      <w:color w:val="000000"/>
      <w:sz w:val="18"/>
      <w:szCs w:val="18"/>
      <w:lang w:val="es-ES"/>
    </w:rPr>
  </w:style>
  <w:style w:type="paragraph" w:customStyle="1" w:styleId="titulografica">
    <w:name w:val="titulo grafica"/>
    <w:basedOn w:val="Normal"/>
    <w:uiPriority w:val="99"/>
    <w:rsid w:val="003020DA"/>
    <w:pPr>
      <w:keepNext/>
      <w:widowControl w:val="0"/>
      <w:adjustRightInd w:val="0"/>
      <w:spacing w:line="360" w:lineRule="atLeast"/>
      <w:jc w:val="both"/>
      <w:textAlignment w:val="baseline"/>
    </w:pPr>
    <w:rPr>
      <w:rFonts w:ascii="Arial" w:hAnsi="Arial"/>
      <w:b/>
      <w:sz w:val="18"/>
      <w:szCs w:val="20"/>
      <w:lang w:val="es-ES"/>
    </w:rPr>
  </w:style>
  <w:style w:type="paragraph" w:customStyle="1" w:styleId="subtitulografica">
    <w:name w:val="subtitulo grafica"/>
    <w:basedOn w:val="Normal"/>
    <w:uiPriority w:val="99"/>
    <w:rsid w:val="003020DA"/>
    <w:pPr>
      <w:keepNext/>
      <w:widowControl w:val="0"/>
      <w:adjustRightInd w:val="0"/>
      <w:spacing w:line="360" w:lineRule="atLeast"/>
      <w:jc w:val="both"/>
      <w:textAlignment w:val="baseline"/>
    </w:pPr>
    <w:rPr>
      <w:rFonts w:ascii="Arial" w:hAnsi="Arial"/>
      <w:b/>
      <w:color w:val="0000FF"/>
      <w:sz w:val="16"/>
      <w:szCs w:val="20"/>
      <w:lang w:val="es-ES"/>
    </w:rPr>
  </w:style>
  <w:style w:type="paragraph" w:customStyle="1" w:styleId="sangra3detindependiente0">
    <w:name w:val="sangra3detindependiente"/>
    <w:basedOn w:val="Normal"/>
    <w:uiPriority w:val="99"/>
    <w:rsid w:val="003020DA"/>
    <w:pPr>
      <w:widowControl w:val="0"/>
      <w:adjustRightInd w:val="0"/>
      <w:spacing w:before="100" w:beforeAutospacing="1" w:after="100" w:afterAutospacing="1" w:line="360" w:lineRule="atLeast"/>
      <w:jc w:val="both"/>
      <w:textAlignment w:val="baseline"/>
    </w:pPr>
    <w:rPr>
      <w:rFonts w:ascii="Arial Unicode MS" w:eastAsia="Arial Unicode MS" w:hAnsi="Arial Unicode MS" w:cs="Arial Unicode MS"/>
      <w:color w:val="000000"/>
      <w:lang w:val="es-ES"/>
    </w:rPr>
  </w:style>
  <w:style w:type="paragraph" w:styleId="Descripcin">
    <w:name w:val="caption"/>
    <w:basedOn w:val="Normal"/>
    <w:next w:val="Normal"/>
    <w:uiPriority w:val="99"/>
    <w:qFormat/>
    <w:rsid w:val="003020DA"/>
    <w:pPr>
      <w:widowControl w:val="0"/>
      <w:autoSpaceDE w:val="0"/>
      <w:autoSpaceDN w:val="0"/>
      <w:adjustRightInd w:val="0"/>
      <w:spacing w:after="240" w:line="360" w:lineRule="auto"/>
      <w:jc w:val="both"/>
      <w:textAlignment w:val="baseline"/>
    </w:pPr>
    <w:rPr>
      <w:b/>
      <w:bCs/>
      <w:sz w:val="26"/>
      <w:szCs w:val="41"/>
      <w:lang w:val="es-ES"/>
    </w:rPr>
  </w:style>
  <w:style w:type="paragraph" w:customStyle="1" w:styleId="BodyText21">
    <w:name w:val="Body Text 21"/>
    <w:basedOn w:val="Normal"/>
    <w:uiPriority w:val="99"/>
    <w:rsid w:val="003020DA"/>
    <w:pPr>
      <w:widowControl w:val="0"/>
      <w:adjustRightInd w:val="0"/>
      <w:spacing w:line="360" w:lineRule="atLeast"/>
      <w:jc w:val="both"/>
      <w:textAlignment w:val="baseline"/>
    </w:pPr>
    <w:rPr>
      <w:rFonts w:ascii="Arial" w:hAnsi="Arial"/>
      <w:szCs w:val="20"/>
      <w:lang w:val="es-ES"/>
    </w:rPr>
  </w:style>
  <w:style w:type="paragraph" w:styleId="Lista">
    <w:name w:val="List"/>
    <w:basedOn w:val="Normal"/>
    <w:uiPriority w:val="99"/>
    <w:rsid w:val="003020DA"/>
    <w:pPr>
      <w:widowControl w:val="0"/>
      <w:adjustRightInd w:val="0"/>
      <w:spacing w:line="360" w:lineRule="atLeast"/>
      <w:ind w:left="283" w:hanging="283"/>
      <w:jc w:val="both"/>
      <w:textAlignment w:val="baseline"/>
    </w:pPr>
    <w:rPr>
      <w:lang w:val="en-GB" w:eastAsia="en-US"/>
    </w:rPr>
  </w:style>
  <w:style w:type="paragraph" w:styleId="Lista2">
    <w:name w:val="List 2"/>
    <w:basedOn w:val="Normal"/>
    <w:uiPriority w:val="99"/>
    <w:rsid w:val="003020DA"/>
    <w:pPr>
      <w:widowControl w:val="0"/>
      <w:adjustRightInd w:val="0"/>
      <w:spacing w:line="360" w:lineRule="atLeast"/>
      <w:ind w:left="566" w:hanging="283"/>
      <w:jc w:val="both"/>
      <w:textAlignment w:val="baseline"/>
    </w:pPr>
    <w:rPr>
      <w:lang w:val="en-GB" w:eastAsia="en-US"/>
    </w:rPr>
  </w:style>
  <w:style w:type="paragraph" w:styleId="Lista3">
    <w:name w:val="List 3"/>
    <w:basedOn w:val="Normal"/>
    <w:uiPriority w:val="99"/>
    <w:rsid w:val="003020DA"/>
    <w:pPr>
      <w:widowControl w:val="0"/>
      <w:adjustRightInd w:val="0"/>
      <w:spacing w:line="360" w:lineRule="atLeast"/>
      <w:ind w:left="849" w:hanging="283"/>
      <w:jc w:val="both"/>
      <w:textAlignment w:val="baseline"/>
    </w:pPr>
    <w:rPr>
      <w:lang w:val="en-GB" w:eastAsia="en-US"/>
    </w:rPr>
  </w:style>
  <w:style w:type="paragraph" w:styleId="Saludo">
    <w:name w:val="Salutation"/>
    <w:basedOn w:val="Normal"/>
    <w:next w:val="Normal"/>
    <w:link w:val="SaludoCar"/>
    <w:uiPriority w:val="99"/>
    <w:rsid w:val="003020DA"/>
    <w:pPr>
      <w:widowControl w:val="0"/>
      <w:adjustRightInd w:val="0"/>
      <w:spacing w:line="360" w:lineRule="atLeast"/>
      <w:jc w:val="both"/>
      <w:textAlignment w:val="baseline"/>
    </w:pPr>
    <w:rPr>
      <w:lang w:val="en-GB" w:eastAsia="en-US"/>
    </w:rPr>
  </w:style>
  <w:style w:type="paragraph" w:styleId="Fecha">
    <w:name w:val="Date"/>
    <w:basedOn w:val="Normal"/>
    <w:next w:val="Normal"/>
    <w:link w:val="FechaCar"/>
    <w:uiPriority w:val="99"/>
    <w:rsid w:val="003020DA"/>
    <w:pPr>
      <w:widowControl w:val="0"/>
      <w:adjustRightInd w:val="0"/>
      <w:spacing w:line="360" w:lineRule="atLeast"/>
      <w:jc w:val="both"/>
      <w:textAlignment w:val="baseline"/>
    </w:pPr>
    <w:rPr>
      <w:lang w:val="en-GB" w:eastAsia="en-US"/>
    </w:rPr>
  </w:style>
  <w:style w:type="paragraph" w:styleId="Listaconvietas">
    <w:name w:val="List Bullet"/>
    <w:basedOn w:val="Normal"/>
    <w:autoRedefine/>
    <w:uiPriority w:val="99"/>
    <w:rsid w:val="003020DA"/>
    <w:pPr>
      <w:widowControl w:val="0"/>
      <w:numPr>
        <w:numId w:val="3"/>
      </w:numPr>
      <w:adjustRightInd w:val="0"/>
      <w:spacing w:line="360" w:lineRule="atLeast"/>
      <w:jc w:val="both"/>
      <w:textAlignment w:val="baseline"/>
    </w:pPr>
    <w:rPr>
      <w:lang w:val="en-GB" w:eastAsia="en-US"/>
    </w:rPr>
  </w:style>
  <w:style w:type="paragraph" w:styleId="Continuarlista2">
    <w:name w:val="List Continue 2"/>
    <w:basedOn w:val="Normal"/>
    <w:uiPriority w:val="99"/>
    <w:rsid w:val="003020DA"/>
    <w:pPr>
      <w:widowControl w:val="0"/>
      <w:adjustRightInd w:val="0"/>
      <w:spacing w:after="120" w:line="360" w:lineRule="atLeast"/>
      <w:ind w:left="566"/>
      <w:jc w:val="both"/>
      <w:textAlignment w:val="baseline"/>
    </w:pPr>
    <w:rPr>
      <w:lang w:val="en-GB" w:eastAsia="en-US"/>
    </w:rPr>
  </w:style>
  <w:style w:type="paragraph" w:customStyle="1" w:styleId="Remiteabreviado">
    <w:name w:val="Remite abreviado"/>
    <w:basedOn w:val="Normal"/>
    <w:uiPriority w:val="99"/>
    <w:rsid w:val="003020DA"/>
    <w:pPr>
      <w:widowControl w:val="0"/>
      <w:adjustRightInd w:val="0"/>
      <w:spacing w:line="360" w:lineRule="atLeast"/>
      <w:jc w:val="both"/>
      <w:textAlignment w:val="baseline"/>
    </w:pPr>
    <w:rPr>
      <w:lang w:val="en-GB" w:eastAsia="en-US"/>
    </w:rPr>
  </w:style>
  <w:style w:type="paragraph" w:customStyle="1" w:styleId="Anotacion0">
    <w:name w:val="Anotacion"/>
    <w:basedOn w:val="Normal"/>
    <w:uiPriority w:val="99"/>
    <w:rsid w:val="003020DA"/>
    <w:pPr>
      <w:widowControl w:val="0"/>
      <w:adjustRightInd w:val="0"/>
      <w:spacing w:before="101" w:after="101" w:line="360" w:lineRule="atLeast"/>
      <w:jc w:val="center"/>
      <w:textAlignment w:val="baseline"/>
    </w:pPr>
    <w:rPr>
      <w:rFonts w:cs="Arial"/>
      <w:b/>
      <w:sz w:val="18"/>
      <w:szCs w:val="18"/>
      <w:lang w:val="es-ES"/>
    </w:rPr>
  </w:style>
  <w:style w:type="character" w:customStyle="1" w:styleId="INCISOCar">
    <w:name w:val="INCISO Car"/>
    <w:basedOn w:val="Fuentedeprrafopredeter"/>
    <w:rsid w:val="003020DA"/>
    <w:rPr>
      <w:rFonts w:ascii="Arial" w:hAnsi="Arial" w:cs="Arial"/>
      <w:sz w:val="18"/>
      <w:szCs w:val="18"/>
      <w:lang w:val="es-ES" w:eastAsia="es-ES" w:bidi="ar-SA"/>
    </w:rPr>
  </w:style>
  <w:style w:type="paragraph" w:customStyle="1" w:styleId="Cuadros">
    <w:name w:val="Cuadros"/>
    <w:basedOn w:val="texto0"/>
    <w:uiPriority w:val="99"/>
    <w:rsid w:val="003020DA"/>
    <w:pPr>
      <w:widowControl w:val="0"/>
      <w:autoSpaceDE/>
      <w:autoSpaceDN/>
      <w:adjustRightInd w:val="0"/>
      <w:spacing w:line="240" w:lineRule="auto"/>
      <w:ind w:right="-374"/>
      <w:jc w:val="left"/>
      <w:textAlignment w:val="baseline"/>
    </w:pPr>
    <w:rPr>
      <w:sz w:val="20"/>
      <w:szCs w:val="20"/>
    </w:rPr>
  </w:style>
  <w:style w:type="paragraph" w:customStyle="1" w:styleId="cuadro">
    <w:name w:val="cuadro"/>
    <w:basedOn w:val="texto0"/>
    <w:uiPriority w:val="99"/>
    <w:rsid w:val="003020DA"/>
    <w:pPr>
      <w:widowControl w:val="0"/>
      <w:autoSpaceDE/>
      <w:autoSpaceDN/>
      <w:adjustRightInd w:val="0"/>
      <w:spacing w:line="240" w:lineRule="auto"/>
      <w:textAlignment w:val="baseline"/>
    </w:pPr>
    <w:rPr>
      <w:sz w:val="18"/>
      <w:szCs w:val="20"/>
    </w:rPr>
  </w:style>
  <w:style w:type="paragraph" w:customStyle="1" w:styleId="xl24">
    <w:name w:val="xl24"/>
    <w:basedOn w:val="Normal"/>
    <w:uiPriority w:val="99"/>
    <w:rsid w:val="003020DA"/>
    <w:pPr>
      <w:widowControl w:val="0"/>
      <w:adjustRightInd w:val="0"/>
      <w:spacing w:before="100" w:beforeAutospacing="1" w:after="100" w:afterAutospacing="1" w:line="360" w:lineRule="atLeast"/>
      <w:jc w:val="both"/>
      <w:textAlignment w:val="baseline"/>
    </w:pPr>
    <w:rPr>
      <w:sz w:val="18"/>
      <w:szCs w:val="18"/>
      <w:lang w:val="es-ES"/>
    </w:rPr>
  </w:style>
  <w:style w:type="paragraph" w:customStyle="1" w:styleId="NotaGrfico">
    <w:name w:val="Nota Gráfico"/>
    <w:uiPriority w:val="99"/>
    <w:rsid w:val="003020DA"/>
    <w:pPr>
      <w:widowControl w:val="0"/>
      <w:adjustRightInd w:val="0"/>
      <w:spacing w:line="360" w:lineRule="atLeast"/>
      <w:jc w:val="both"/>
      <w:textAlignment w:val="baseline"/>
    </w:pPr>
    <w:rPr>
      <w:rFonts w:ascii="Arial" w:hAnsi="Arial"/>
      <w:sz w:val="14"/>
      <w:lang w:eastAsia="es-ES"/>
    </w:rPr>
  </w:style>
  <w:style w:type="paragraph" w:customStyle="1" w:styleId="Grfico">
    <w:name w:val="Gráfico"/>
    <w:basedOn w:val="Normal"/>
    <w:next w:val="Normal"/>
    <w:uiPriority w:val="99"/>
    <w:rsid w:val="003020DA"/>
    <w:pPr>
      <w:widowControl w:val="0"/>
      <w:adjustRightInd w:val="0"/>
      <w:spacing w:line="360" w:lineRule="auto"/>
      <w:jc w:val="both"/>
      <w:textAlignment w:val="baseline"/>
    </w:pPr>
    <w:rPr>
      <w:noProof/>
      <w:szCs w:val="20"/>
      <w:lang w:val="es-ES"/>
    </w:rPr>
  </w:style>
  <w:style w:type="paragraph" w:customStyle="1" w:styleId="paralargetext">
    <w:name w:val="paralarge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lang w:val="es-ES"/>
    </w:rPr>
  </w:style>
  <w:style w:type="paragraph" w:customStyle="1" w:styleId="paranormaltext">
    <w:name w:val="paranormal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sz w:val="20"/>
      <w:szCs w:val="20"/>
      <w:lang w:val="es-ES"/>
    </w:rPr>
  </w:style>
  <w:style w:type="paragraph" w:customStyle="1" w:styleId="paraboldtext">
    <w:name w:val="parabold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b/>
      <w:bCs/>
      <w:sz w:val="20"/>
      <w:szCs w:val="20"/>
      <w:lang w:val="es-ES"/>
    </w:rPr>
  </w:style>
  <w:style w:type="character" w:customStyle="1" w:styleId="parasmallcolourtext1">
    <w:name w:val="parasmallcolourtext1"/>
    <w:basedOn w:val="Fuentedeprrafopredeter"/>
    <w:rsid w:val="003020DA"/>
    <w:rPr>
      <w:rFonts w:ascii="Trebuchet MS" w:hAnsi="Trebuchet MS" w:hint="default"/>
      <w:b w:val="0"/>
      <w:bCs w:val="0"/>
      <w:i w:val="0"/>
      <w:iCs w:val="0"/>
      <w:color w:val="0080FF"/>
      <w:sz w:val="16"/>
      <w:szCs w:val="16"/>
    </w:rPr>
  </w:style>
  <w:style w:type="paragraph" w:styleId="Textonotaalfinal">
    <w:name w:val="endnote text"/>
    <w:basedOn w:val="Normal"/>
    <w:link w:val="TextonotaalfinalCar"/>
    <w:uiPriority w:val="99"/>
    <w:semiHidden/>
    <w:rsid w:val="003020DA"/>
    <w:pPr>
      <w:widowControl w:val="0"/>
      <w:adjustRightInd w:val="0"/>
      <w:spacing w:line="360" w:lineRule="atLeast"/>
      <w:jc w:val="both"/>
      <w:textAlignment w:val="baseline"/>
    </w:pPr>
    <w:rPr>
      <w:sz w:val="20"/>
      <w:szCs w:val="20"/>
      <w:lang w:val="es-ES"/>
    </w:rPr>
  </w:style>
  <w:style w:type="paragraph" w:customStyle="1" w:styleId="p0">
    <w:name w:val="p0"/>
    <w:basedOn w:val="Normal"/>
    <w:uiPriority w:val="99"/>
    <w:rsid w:val="003020DA"/>
    <w:pPr>
      <w:widowControl w:val="0"/>
      <w:adjustRightInd w:val="0"/>
      <w:spacing w:before="240" w:line="360" w:lineRule="atLeast"/>
      <w:ind w:left="1417" w:right="23" w:hanging="709"/>
      <w:jc w:val="both"/>
      <w:textAlignment w:val="baseline"/>
    </w:pPr>
    <w:rPr>
      <w:rFonts w:ascii="Arial" w:hAnsi="Arial"/>
      <w:color w:val="0000FF"/>
      <w:szCs w:val="20"/>
    </w:rPr>
  </w:style>
  <w:style w:type="paragraph" w:customStyle="1" w:styleId="subtit-1">
    <w:name w:val="subtit-1"/>
    <w:basedOn w:val="Normal"/>
    <w:uiPriority w:val="99"/>
    <w:rsid w:val="003020DA"/>
    <w:pPr>
      <w:widowControl w:val="0"/>
      <w:autoSpaceDE w:val="0"/>
      <w:autoSpaceDN w:val="0"/>
      <w:adjustRightInd w:val="0"/>
      <w:spacing w:line="360" w:lineRule="atLeast"/>
      <w:jc w:val="both"/>
      <w:textAlignment w:val="baseline"/>
    </w:pPr>
    <w:rPr>
      <w:bCs/>
      <w:spacing w:val="-4"/>
      <w:sz w:val="26"/>
      <w:szCs w:val="26"/>
      <w:lang w:val="es-ES_tradnl"/>
    </w:rPr>
  </w:style>
  <w:style w:type="paragraph" w:styleId="Subttulo">
    <w:name w:val="Subtitle"/>
    <w:basedOn w:val="Normal"/>
    <w:link w:val="SubttuloCar"/>
    <w:uiPriority w:val="99"/>
    <w:qFormat/>
    <w:rsid w:val="003020DA"/>
    <w:pPr>
      <w:widowControl w:val="0"/>
      <w:adjustRightInd w:val="0"/>
      <w:spacing w:before="60" w:after="60" w:line="360" w:lineRule="atLeast"/>
      <w:jc w:val="center"/>
      <w:textAlignment w:val="baseline"/>
    </w:pPr>
    <w:rPr>
      <w:b/>
      <w:bCs/>
      <w:sz w:val="20"/>
      <w:lang w:val="es-ES"/>
    </w:rPr>
  </w:style>
  <w:style w:type="paragraph" w:customStyle="1" w:styleId="kickertext">
    <w:name w:val="kickertext"/>
    <w:basedOn w:val="Normal"/>
    <w:uiPriority w:val="99"/>
    <w:rsid w:val="003020DA"/>
    <w:pPr>
      <w:widowControl w:val="0"/>
      <w:adjustRightInd w:val="0"/>
      <w:spacing w:before="100" w:beforeAutospacing="1" w:line="360" w:lineRule="atLeast"/>
      <w:jc w:val="both"/>
      <w:textAlignment w:val="baseline"/>
    </w:pPr>
    <w:rPr>
      <w:rFonts w:ascii="Trebuchet MS" w:hAnsi="Trebuchet MS"/>
      <w:sz w:val="20"/>
      <w:szCs w:val="20"/>
      <w:lang w:val="es-ES"/>
    </w:rPr>
  </w:style>
  <w:style w:type="paragraph" w:customStyle="1" w:styleId="pagetitletext">
    <w:name w:val="pagetitletext"/>
    <w:basedOn w:val="Normal"/>
    <w:uiPriority w:val="99"/>
    <w:rsid w:val="003020DA"/>
    <w:pPr>
      <w:widowControl w:val="0"/>
      <w:adjustRightInd w:val="0"/>
      <w:spacing w:after="100" w:afterAutospacing="1" w:line="360" w:lineRule="atLeast"/>
      <w:jc w:val="both"/>
      <w:textAlignment w:val="baseline"/>
    </w:pPr>
    <w:rPr>
      <w:rFonts w:ascii="Trebuchet MS" w:hAnsi="Trebuchet MS"/>
      <w:b/>
      <w:bCs/>
      <w:color w:val="0080FF"/>
      <w:sz w:val="36"/>
      <w:szCs w:val="36"/>
      <w:lang w:val="es-ES"/>
    </w:rPr>
  </w:style>
  <w:style w:type="paragraph" w:customStyle="1" w:styleId="paraboldcolourtext">
    <w:name w:val="parabold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b/>
      <w:bCs/>
      <w:color w:val="0080FF"/>
      <w:sz w:val="20"/>
      <w:szCs w:val="20"/>
      <w:lang w:val="es-ES"/>
    </w:rPr>
  </w:style>
  <w:style w:type="paragraph" w:customStyle="1" w:styleId="paracolourtext">
    <w:name w:val="para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color w:val="0080FF"/>
      <w:sz w:val="20"/>
      <w:szCs w:val="20"/>
      <w:lang w:val="es-ES"/>
    </w:rPr>
  </w:style>
  <w:style w:type="paragraph" w:customStyle="1" w:styleId="parasmallcolourtext">
    <w:name w:val="parasmall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color w:val="0080FF"/>
      <w:sz w:val="16"/>
      <w:szCs w:val="16"/>
      <w:lang w:val="es-ES"/>
    </w:rPr>
  </w:style>
  <w:style w:type="character" w:customStyle="1" w:styleId="paraboldcolourtext1">
    <w:name w:val="paraboldcolourtext1"/>
    <w:basedOn w:val="Fuentedeprrafopredeter"/>
    <w:rsid w:val="003020DA"/>
    <w:rPr>
      <w:rFonts w:ascii="Trebuchet MS" w:hAnsi="Trebuchet MS" w:hint="default"/>
      <w:b/>
      <w:bCs/>
      <w:i w:val="0"/>
      <w:iCs w:val="0"/>
      <w:color w:val="0080FF"/>
      <w:sz w:val="20"/>
      <w:szCs w:val="20"/>
    </w:rPr>
  </w:style>
  <w:style w:type="paragraph" w:customStyle="1" w:styleId="parasmalltext">
    <w:name w:val="parasmall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sz w:val="16"/>
      <w:szCs w:val="16"/>
      <w:lang w:val="es-ES"/>
    </w:rPr>
  </w:style>
  <w:style w:type="character" w:customStyle="1" w:styleId="parasmalltext1">
    <w:name w:val="parasmalltext1"/>
    <w:basedOn w:val="Fuentedeprrafopredeter"/>
    <w:rsid w:val="003020DA"/>
    <w:rPr>
      <w:rFonts w:ascii="Trebuchet MS" w:hAnsi="Trebuchet MS" w:hint="default"/>
      <w:b w:val="0"/>
      <w:bCs w:val="0"/>
      <w:i w:val="0"/>
      <w:iCs w:val="0"/>
      <w:sz w:val="16"/>
      <w:szCs w:val="16"/>
    </w:rPr>
  </w:style>
  <w:style w:type="paragraph" w:styleId="z-Principiodelformulario">
    <w:name w:val="HTML Top of Form"/>
    <w:basedOn w:val="Normal"/>
    <w:next w:val="Normal"/>
    <w:link w:val="z-PrincipiodelformularioCar"/>
    <w:hidden/>
    <w:uiPriority w:val="99"/>
    <w:rsid w:val="003020DA"/>
    <w:pPr>
      <w:widowControl w:val="0"/>
      <w:pBdr>
        <w:bottom w:val="single" w:sz="6" w:space="1" w:color="auto"/>
      </w:pBdr>
      <w:adjustRightInd w:val="0"/>
      <w:spacing w:line="360" w:lineRule="atLeast"/>
      <w:jc w:val="center"/>
      <w:textAlignment w:val="baseline"/>
    </w:pPr>
    <w:rPr>
      <w:rFonts w:ascii="Arial" w:hAnsi="Arial" w:cs="Arial"/>
      <w:vanish/>
      <w:sz w:val="16"/>
      <w:szCs w:val="16"/>
      <w:lang w:val="es-ES"/>
    </w:rPr>
  </w:style>
  <w:style w:type="paragraph" w:styleId="z-Finaldelformulario">
    <w:name w:val="HTML Bottom of Form"/>
    <w:basedOn w:val="Normal"/>
    <w:next w:val="Normal"/>
    <w:link w:val="z-FinaldelformularioCar"/>
    <w:hidden/>
    <w:uiPriority w:val="99"/>
    <w:rsid w:val="003020DA"/>
    <w:pPr>
      <w:widowControl w:val="0"/>
      <w:pBdr>
        <w:top w:val="single" w:sz="6" w:space="1" w:color="auto"/>
      </w:pBdr>
      <w:adjustRightInd w:val="0"/>
      <w:spacing w:line="360" w:lineRule="atLeast"/>
      <w:jc w:val="center"/>
      <w:textAlignment w:val="baseline"/>
    </w:pPr>
    <w:rPr>
      <w:rFonts w:ascii="Arial" w:hAnsi="Arial" w:cs="Arial"/>
      <w:vanish/>
      <w:sz w:val="16"/>
      <w:szCs w:val="16"/>
      <w:lang w:val="es-ES"/>
    </w:rPr>
  </w:style>
  <w:style w:type="character" w:customStyle="1" w:styleId="parasmallgreytext1">
    <w:name w:val="parasmallgreytext1"/>
    <w:basedOn w:val="Fuentedeprrafopredeter"/>
    <w:rsid w:val="003020DA"/>
    <w:rPr>
      <w:rFonts w:ascii="Trebuchet MS" w:hAnsi="Trebuchet MS" w:hint="default"/>
      <w:b w:val="0"/>
      <w:bCs w:val="0"/>
      <w:i w:val="0"/>
      <w:iCs w:val="0"/>
      <w:color w:val="808080"/>
      <w:sz w:val="16"/>
      <w:szCs w:val="16"/>
    </w:rPr>
  </w:style>
  <w:style w:type="paragraph" w:styleId="HTMLconformatoprevio">
    <w:name w:val="HTML Preformatted"/>
    <w:basedOn w:val="Normal"/>
    <w:link w:val="HTMLconformatoprevioCar"/>
    <w:uiPriority w:val="99"/>
    <w:rsid w:val="003020D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360" w:lineRule="atLeast"/>
      <w:jc w:val="both"/>
      <w:textAlignment w:val="baseline"/>
    </w:pPr>
    <w:rPr>
      <w:rFonts w:ascii="Courier New" w:hAnsi="Courier New" w:cs="Courier New"/>
      <w:sz w:val="20"/>
      <w:szCs w:val="20"/>
      <w:lang w:val="es-ES"/>
    </w:rPr>
  </w:style>
  <w:style w:type="paragraph" w:customStyle="1" w:styleId="news1bodytext">
    <w:name w:val="news1bodytext"/>
    <w:basedOn w:val="Normal"/>
    <w:uiPriority w:val="99"/>
    <w:rsid w:val="003020DA"/>
    <w:pPr>
      <w:widowControl w:val="0"/>
      <w:adjustRightInd w:val="0"/>
      <w:spacing w:after="100" w:afterAutospacing="1" w:line="360" w:lineRule="atLeast"/>
      <w:jc w:val="both"/>
      <w:textAlignment w:val="baseline"/>
    </w:pPr>
    <w:rPr>
      <w:rFonts w:ascii="Trebuchet MS" w:hAnsi="Trebuchet MS"/>
      <w:lang w:val="es-ES"/>
    </w:rPr>
  </w:style>
  <w:style w:type="paragraph" w:customStyle="1" w:styleId="news1headlinetext">
    <w:name w:val="news1headlinetext"/>
    <w:basedOn w:val="Normal"/>
    <w:uiPriority w:val="99"/>
    <w:rsid w:val="003020DA"/>
    <w:pPr>
      <w:widowControl w:val="0"/>
      <w:adjustRightInd w:val="0"/>
      <w:spacing w:before="100" w:beforeAutospacing="1" w:line="360" w:lineRule="atLeast"/>
      <w:jc w:val="both"/>
      <w:textAlignment w:val="baseline"/>
    </w:pPr>
    <w:rPr>
      <w:rFonts w:ascii="Trebuchet MS" w:hAnsi="Trebuchet MS"/>
      <w:b/>
      <w:bCs/>
      <w:color w:val="0080FF"/>
      <w:sz w:val="36"/>
      <w:szCs w:val="36"/>
      <w:lang w:val="es-ES"/>
    </w:rPr>
  </w:style>
  <w:style w:type="paragraph" w:customStyle="1" w:styleId="Estilo3">
    <w:name w:val="Estilo3"/>
    <w:basedOn w:val="Ttulo1"/>
    <w:uiPriority w:val="99"/>
    <w:rsid w:val="003020DA"/>
    <w:pPr>
      <w:keepNext/>
      <w:widowControl w:val="0"/>
      <w:tabs>
        <w:tab w:val="num" w:pos="360"/>
      </w:tabs>
      <w:adjustRightInd w:val="0"/>
      <w:spacing w:before="240" w:beforeAutospacing="0" w:after="60" w:afterAutospacing="0" w:line="360" w:lineRule="atLeast"/>
      <w:jc w:val="both"/>
      <w:textAlignment w:val="baseline"/>
    </w:pPr>
    <w:rPr>
      <w:rFonts w:ascii="Lucida Sans Unicode" w:hAnsi="Lucida Sans Unicode"/>
      <w:color w:val="FF6600"/>
      <w:kern w:val="32"/>
      <w:sz w:val="28"/>
      <w:szCs w:val="28"/>
      <w:lang w:val="es-ES" w:eastAsia="es-ES"/>
    </w:rPr>
  </w:style>
  <w:style w:type="paragraph" w:customStyle="1" w:styleId="Estilo4">
    <w:name w:val="Estilo4"/>
    <w:basedOn w:val="Ttulo1"/>
    <w:uiPriority w:val="99"/>
    <w:rsid w:val="003020DA"/>
    <w:pPr>
      <w:keepNext/>
      <w:widowControl w:val="0"/>
      <w:tabs>
        <w:tab w:val="num" w:pos="360"/>
      </w:tabs>
      <w:adjustRightInd w:val="0"/>
      <w:spacing w:before="240" w:beforeAutospacing="0" w:after="60" w:afterAutospacing="0" w:line="360" w:lineRule="atLeast"/>
      <w:textAlignment w:val="baseline"/>
    </w:pPr>
    <w:rPr>
      <w:rFonts w:ascii="Lucida Sans Unicode" w:hAnsi="Lucida Sans Unicode"/>
      <w:kern w:val="32"/>
      <w:sz w:val="32"/>
      <w:szCs w:val="28"/>
      <w:lang w:val="es-ES" w:eastAsia="es-ES"/>
    </w:rPr>
  </w:style>
  <w:style w:type="paragraph" w:customStyle="1" w:styleId="Ttulo10">
    <w:name w:val="Tìtulo 1"/>
    <w:basedOn w:val="Normal"/>
    <w:uiPriority w:val="99"/>
    <w:rsid w:val="003020DA"/>
    <w:pPr>
      <w:keepNext/>
      <w:widowControl w:val="0"/>
      <w:adjustRightInd w:val="0"/>
      <w:spacing w:before="240" w:after="60" w:line="360" w:lineRule="atLeast"/>
      <w:jc w:val="both"/>
      <w:textAlignment w:val="baseline"/>
      <w:outlineLvl w:val="0"/>
    </w:pPr>
    <w:rPr>
      <w:rFonts w:ascii="Lucida Sans Unicode" w:hAnsi="Lucida Sans Unicode" w:cs="Arial"/>
      <w:bCs/>
      <w:color w:val="00FFFF"/>
      <w:kern w:val="32"/>
      <w:sz w:val="28"/>
      <w:szCs w:val="28"/>
      <w:lang w:val="es-ES"/>
    </w:rPr>
  </w:style>
  <w:style w:type="character" w:customStyle="1" w:styleId="copy1">
    <w:name w:val="copy1"/>
    <w:rsid w:val="003020DA"/>
    <w:rPr>
      <w:i/>
      <w:iCs/>
      <w:color w:val="000000"/>
      <w:sz w:val="22"/>
      <w:szCs w:val="22"/>
    </w:rPr>
  </w:style>
  <w:style w:type="paragraph" w:customStyle="1" w:styleId="cabeza0">
    <w:name w:val="cabeza"/>
    <w:basedOn w:val="Normal"/>
    <w:uiPriority w:val="99"/>
    <w:rsid w:val="003020DA"/>
    <w:pPr>
      <w:widowControl w:val="0"/>
      <w:adjustRightInd w:val="0"/>
      <w:spacing w:before="100" w:beforeAutospacing="1" w:after="100" w:afterAutospacing="1" w:line="360" w:lineRule="atLeast"/>
      <w:jc w:val="both"/>
      <w:textAlignment w:val="baseline"/>
    </w:pPr>
    <w:rPr>
      <w:rFonts w:ascii="Verdana" w:hAnsi="Verdana"/>
      <w:b/>
      <w:bCs/>
      <w:spacing w:val="-10"/>
      <w:sz w:val="31"/>
      <w:szCs w:val="31"/>
      <w:lang w:val="es-ES"/>
    </w:rPr>
  </w:style>
  <w:style w:type="character" w:customStyle="1" w:styleId="texto1">
    <w:name w:val="texto1"/>
    <w:basedOn w:val="Fuentedeprrafopredeter"/>
    <w:rsid w:val="003020DA"/>
    <w:rPr>
      <w:rFonts w:ascii="Arial" w:hAnsi="Arial" w:cs="Arial" w:hint="default"/>
      <w:color w:val="000000"/>
      <w:sz w:val="20"/>
      <w:szCs w:val="20"/>
    </w:rPr>
  </w:style>
  <w:style w:type="paragraph" w:customStyle="1" w:styleId="SubttuloGrfico">
    <w:name w:val="Subtítulo Gráfico"/>
    <w:basedOn w:val="Normal"/>
    <w:next w:val="Normal"/>
    <w:uiPriority w:val="99"/>
    <w:rsid w:val="003020DA"/>
    <w:pPr>
      <w:keepNext/>
      <w:widowControl w:val="0"/>
      <w:adjustRightInd w:val="0"/>
      <w:spacing w:line="360" w:lineRule="atLeast"/>
      <w:ind w:firstLine="1560"/>
      <w:jc w:val="both"/>
      <w:textAlignment w:val="baseline"/>
    </w:pPr>
    <w:rPr>
      <w:rFonts w:ascii="Arial" w:hAnsi="Arial"/>
      <w:color w:val="000080"/>
      <w:sz w:val="20"/>
      <w:szCs w:val="20"/>
    </w:rPr>
  </w:style>
  <w:style w:type="character" w:customStyle="1" w:styleId="paraboldgreytext1">
    <w:name w:val="paraboldgreytext1"/>
    <w:basedOn w:val="Fuentedeprrafopredeter"/>
    <w:rsid w:val="003020DA"/>
    <w:rPr>
      <w:rFonts w:ascii="Trebuchet MS" w:hAnsi="Trebuchet MS" w:hint="default"/>
      <w:b/>
      <w:bCs/>
      <w:i w:val="0"/>
      <w:iCs w:val="0"/>
      <w:color w:val="808080"/>
      <w:sz w:val="20"/>
      <w:szCs w:val="20"/>
    </w:rPr>
  </w:style>
  <w:style w:type="character" w:customStyle="1" w:styleId="CarCarCarCarCarCarCarCar">
    <w:name w:val="Car Car Car Car Car Car Car Car"/>
    <w:basedOn w:val="Fuentedeprrafopredeter"/>
    <w:rsid w:val="003020DA"/>
    <w:rPr>
      <w:rFonts w:ascii="Arial" w:hAnsi="Arial" w:cs="Arial"/>
      <w:sz w:val="26"/>
      <w:szCs w:val="26"/>
      <w:lang w:val="es-ES" w:eastAsia="es-ES" w:bidi="ar-SA"/>
    </w:rPr>
  </w:style>
  <w:style w:type="paragraph" w:styleId="Listaconvietas3">
    <w:name w:val="List Bullet 3"/>
    <w:basedOn w:val="Normal"/>
    <w:autoRedefine/>
    <w:uiPriority w:val="99"/>
    <w:rsid w:val="003020DA"/>
    <w:pPr>
      <w:widowControl w:val="0"/>
      <w:numPr>
        <w:numId w:val="4"/>
      </w:numPr>
      <w:adjustRightInd w:val="0"/>
      <w:spacing w:line="360" w:lineRule="atLeast"/>
      <w:jc w:val="both"/>
      <w:textAlignment w:val="baseline"/>
    </w:pPr>
    <w:rPr>
      <w:lang w:val="es-ES"/>
    </w:rPr>
  </w:style>
  <w:style w:type="paragraph" w:customStyle="1" w:styleId="Imagen">
    <w:name w:val="Imagen"/>
    <w:basedOn w:val="Normal"/>
    <w:uiPriority w:val="99"/>
    <w:rsid w:val="003020DA"/>
    <w:pPr>
      <w:widowControl w:val="0"/>
      <w:adjustRightInd w:val="0"/>
      <w:spacing w:line="360" w:lineRule="atLeast"/>
      <w:jc w:val="both"/>
      <w:textAlignment w:val="baseline"/>
    </w:pPr>
    <w:rPr>
      <w:lang w:val="es-ES"/>
    </w:rPr>
  </w:style>
  <w:style w:type="paragraph" w:customStyle="1" w:styleId="3">
    <w:name w:val="3"/>
    <w:basedOn w:val="Normal"/>
    <w:next w:val="Sangradetextonormal"/>
    <w:uiPriority w:val="99"/>
    <w:rsid w:val="003020DA"/>
    <w:pPr>
      <w:widowControl w:val="0"/>
      <w:adjustRightInd w:val="0"/>
      <w:spacing w:after="120" w:line="360" w:lineRule="atLeast"/>
      <w:ind w:left="283"/>
      <w:jc w:val="both"/>
      <w:textAlignment w:val="baseline"/>
    </w:pPr>
    <w:rPr>
      <w:rFonts w:ascii="Arial" w:hAnsi="Arial"/>
      <w:lang w:val="es-ES"/>
    </w:rPr>
  </w:style>
  <w:style w:type="character" w:customStyle="1" w:styleId="style5">
    <w:name w:val="style5"/>
    <w:basedOn w:val="Fuentedeprrafopredeter"/>
    <w:rsid w:val="003020DA"/>
  </w:style>
  <w:style w:type="paragraph" w:styleId="Continuarlista">
    <w:name w:val="List Continue"/>
    <w:basedOn w:val="Normal"/>
    <w:uiPriority w:val="99"/>
    <w:rsid w:val="003020DA"/>
    <w:pPr>
      <w:widowControl w:val="0"/>
      <w:adjustRightInd w:val="0"/>
      <w:spacing w:after="120" w:line="360" w:lineRule="atLeast"/>
      <w:ind w:left="283"/>
      <w:jc w:val="both"/>
      <w:textAlignment w:val="baseline"/>
    </w:pPr>
    <w:rPr>
      <w:lang w:val="es-ES"/>
    </w:rPr>
  </w:style>
  <w:style w:type="paragraph" w:customStyle="1" w:styleId="Direccininterior">
    <w:name w:val="Dirección interior"/>
    <w:basedOn w:val="Normal"/>
    <w:uiPriority w:val="99"/>
    <w:rsid w:val="003020DA"/>
    <w:pPr>
      <w:widowControl w:val="0"/>
      <w:adjustRightInd w:val="0"/>
      <w:spacing w:line="360" w:lineRule="atLeast"/>
      <w:jc w:val="both"/>
      <w:textAlignment w:val="baseline"/>
    </w:pPr>
    <w:rPr>
      <w:lang w:val="es-ES"/>
    </w:rPr>
  </w:style>
  <w:style w:type="paragraph" w:customStyle="1" w:styleId="Lneadeasunto">
    <w:name w:val="Línea de asunto"/>
    <w:basedOn w:val="Normal"/>
    <w:uiPriority w:val="99"/>
    <w:rsid w:val="003020DA"/>
    <w:pPr>
      <w:widowControl w:val="0"/>
      <w:adjustRightInd w:val="0"/>
      <w:spacing w:line="360" w:lineRule="atLeast"/>
      <w:jc w:val="both"/>
      <w:textAlignment w:val="baseline"/>
    </w:pPr>
    <w:rPr>
      <w:lang w:val="es-ES"/>
    </w:rPr>
  </w:style>
  <w:style w:type="paragraph" w:styleId="Textoindependienteprimerasangra2">
    <w:name w:val="Body Text First Indent 2"/>
    <w:basedOn w:val="Sangradetextonormal"/>
    <w:link w:val="Textoindependienteprimerasangra2Car"/>
    <w:uiPriority w:val="99"/>
    <w:rsid w:val="003020DA"/>
    <w:pPr>
      <w:widowControl w:val="0"/>
      <w:adjustRightInd w:val="0"/>
      <w:spacing w:line="360" w:lineRule="atLeast"/>
      <w:ind w:left="283" w:firstLine="210"/>
      <w:jc w:val="both"/>
      <w:textAlignment w:val="baseline"/>
    </w:pPr>
  </w:style>
  <w:style w:type="paragraph" w:customStyle="1" w:styleId="paralargecolourtext">
    <w:name w:val="paralarge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color w:val="0080FF"/>
      <w:lang w:val="es-ES"/>
    </w:rPr>
  </w:style>
  <w:style w:type="paragraph" w:customStyle="1" w:styleId="subtitlecolourtext">
    <w:name w:val="subtitle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b/>
      <w:bCs/>
      <w:color w:val="008080"/>
      <w:lang w:val="es-ES"/>
    </w:rPr>
  </w:style>
  <w:style w:type="character" w:customStyle="1" w:styleId="TextoCar1">
    <w:name w:val="Texto Car1"/>
    <w:basedOn w:val="Fuentedeprrafopredeter"/>
    <w:rsid w:val="003020DA"/>
    <w:rPr>
      <w:rFonts w:ascii="Arial" w:hAnsi="Arial" w:cs="Arial"/>
      <w:sz w:val="18"/>
      <w:szCs w:val="18"/>
      <w:lang w:val="es-ES" w:eastAsia="es-ES" w:bidi="ar-SA"/>
    </w:rPr>
  </w:style>
  <w:style w:type="paragraph" w:customStyle="1" w:styleId="menudefaulttext">
    <w:name w:val="menudefaulttext"/>
    <w:basedOn w:val="Normal"/>
    <w:uiPriority w:val="99"/>
    <w:rsid w:val="003020DA"/>
    <w:pPr>
      <w:spacing w:before="100" w:beforeAutospacing="1" w:after="100" w:afterAutospacing="1"/>
    </w:pPr>
    <w:rPr>
      <w:b/>
      <w:bCs/>
      <w:color w:val="808080"/>
      <w:sz w:val="16"/>
      <w:szCs w:val="16"/>
      <w:lang w:val="es-ES"/>
    </w:rPr>
  </w:style>
  <w:style w:type="paragraph" w:customStyle="1" w:styleId="menubelongstext">
    <w:name w:val="menubelongstext"/>
    <w:basedOn w:val="Normal"/>
    <w:uiPriority w:val="99"/>
    <w:rsid w:val="003020DA"/>
    <w:pPr>
      <w:spacing w:before="100" w:beforeAutospacing="1" w:after="100" w:afterAutospacing="1"/>
    </w:pPr>
    <w:rPr>
      <w:b/>
      <w:bCs/>
      <w:color w:val="0080FF"/>
      <w:sz w:val="16"/>
      <w:szCs w:val="16"/>
      <w:lang w:val="es-ES"/>
    </w:rPr>
  </w:style>
  <w:style w:type="paragraph" w:customStyle="1" w:styleId="menulanguagetext">
    <w:name w:val="menulanguagetext"/>
    <w:basedOn w:val="Normal"/>
    <w:uiPriority w:val="99"/>
    <w:rsid w:val="003020DA"/>
    <w:pPr>
      <w:spacing w:before="100" w:beforeAutospacing="1" w:after="100" w:afterAutospacing="1"/>
    </w:pPr>
    <w:rPr>
      <w:color w:val="000080"/>
      <w:sz w:val="18"/>
      <w:szCs w:val="18"/>
      <w:lang w:val="es-ES"/>
    </w:rPr>
  </w:style>
  <w:style w:type="paragraph" w:customStyle="1" w:styleId="menuredtext">
    <w:name w:val="menuredtext"/>
    <w:basedOn w:val="Normal"/>
    <w:uiPriority w:val="99"/>
    <w:rsid w:val="003020DA"/>
    <w:pPr>
      <w:spacing w:before="100" w:beforeAutospacing="1" w:after="100" w:afterAutospacing="1"/>
    </w:pPr>
    <w:rPr>
      <w:b/>
      <w:bCs/>
      <w:color w:val="FF8040"/>
      <w:sz w:val="18"/>
      <w:szCs w:val="18"/>
      <w:lang w:val="es-ES"/>
    </w:rPr>
  </w:style>
  <w:style w:type="paragraph" w:customStyle="1" w:styleId="menubluetext">
    <w:name w:val="menubluetext"/>
    <w:basedOn w:val="Normal"/>
    <w:uiPriority w:val="99"/>
    <w:rsid w:val="003020DA"/>
    <w:pPr>
      <w:spacing w:before="100" w:beforeAutospacing="1" w:after="100" w:afterAutospacing="1"/>
    </w:pPr>
    <w:rPr>
      <w:b/>
      <w:bCs/>
      <w:color w:val="0080C0"/>
      <w:sz w:val="18"/>
      <w:szCs w:val="18"/>
      <w:lang w:val="es-ES"/>
    </w:rPr>
  </w:style>
  <w:style w:type="paragraph" w:customStyle="1" w:styleId="maintitletext">
    <w:name w:val="maintitletext"/>
    <w:basedOn w:val="Normal"/>
    <w:uiPriority w:val="99"/>
    <w:rsid w:val="003020DA"/>
    <w:pPr>
      <w:spacing w:before="100" w:beforeAutospacing="1" w:after="100" w:afterAutospacing="1"/>
    </w:pPr>
    <w:rPr>
      <w:b/>
      <w:bCs/>
      <w:color w:val="0080FF"/>
      <w:sz w:val="36"/>
      <w:szCs w:val="36"/>
      <w:lang w:val="es-ES"/>
    </w:rPr>
  </w:style>
  <w:style w:type="paragraph" w:customStyle="1" w:styleId="dropdownboxtext">
    <w:name w:val="dropdownboxtext"/>
    <w:basedOn w:val="Normal"/>
    <w:uiPriority w:val="99"/>
    <w:rsid w:val="003020DA"/>
    <w:pPr>
      <w:spacing w:before="100" w:beforeAutospacing="1" w:after="100" w:afterAutospacing="1"/>
    </w:pPr>
    <w:rPr>
      <w:color w:val="000000"/>
      <w:sz w:val="18"/>
      <w:szCs w:val="18"/>
      <w:lang w:val="es-ES"/>
    </w:rPr>
  </w:style>
  <w:style w:type="paragraph" w:customStyle="1" w:styleId="paragreytext">
    <w:name w:val="paragreytext"/>
    <w:basedOn w:val="Normal"/>
    <w:uiPriority w:val="99"/>
    <w:rsid w:val="003020DA"/>
    <w:pPr>
      <w:spacing w:before="100" w:beforeAutospacing="1" w:after="100" w:afterAutospacing="1"/>
    </w:pPr>
    <w:rPr>
      <w:color w:val="808080"/>
      <w:sz w:val="20"/>
      <w:szCs w:val="20"/>
      <w:lang w:val="es-ES"/>
    </w:rPr>
  </w:style>
  <w:style w:type="paragraph" w:customStyle="1" w:styleId="boldwhitetext">
    <w:name w:val="boldwhitetext"/>
    <w:basedOn w:val="Normal"/>
    <w:uiPriority w:val="99"/>
    <w:rsid w:val="003020DA"/>
    <w:pPr>
      <w:spacing w:before="100" w:beforeAutospacing="1" w:after="100" w:afterAutospacing="1"/>
    </w:pPr>
    <w:rPr>
      <w:b/>
      <w:bCs/>
      <w:color w:val="FFFFFF"/>
      <w:sz w:val="20"/>
      <w:szCs w:val="20"/>
      <w:lang w:val="es-ES"/>
    </w:rPr>
  </w:style>
  <w:style w:type="paragraph" w:customStyle="1" w:styleId="paraorangetext">
    <w:name w:val="paraorangetext"/>
    <w:basedOn w:val="Normal"/>
    <w:uiPriority w:val="99"/>
    <w:rsid w:val="003020DA"/>
    <w:pPr>
      <w:spacing w:before="100" w:beforeAutospacing="1" w:after="100" w:afterAutospacing="1"/>
    </w:pPr>
    <w:rPr>
      <w:color w:val="FF8040"/>
      <w:sz w:val="20"/>
      <w:szCs w:val="20"/>
      <w:lang w:val="es-ES"/>
    </w:rPr>
  </w:style>
  <w:style w:type="paragraph" w:customStyle="1" w:styleId="parasmallgreytext">
    <w:name w:val="parasmallgreytext"/>
    <w:basedOn w:val="Normal"/>
    <w:uiPriority w:val="99"/>
    <w:rsid w:val="003020DA"/>
    <w:pPr>
      <w:spacing w:before="100" w:beforeAutospacing="1" w:after="100" w:afterAutospacing="1"/>
    </w:pPr>
    <w:rPr>
      <w:color w:val="808080"/>
      <w:sz w:val="16"/>
      <w:szCs w:val="16"/>
      <w:lang w:val="es-ES"/>
    </w:rPr>
  </w:style>
  <w:style w:type="paragraph" w:customStyle="1" w:styleId="highlighttext">
    <w:name w:val="highlighttext"/>
    <w:basedOn w:val="Normal"/>
    <w:uiPriority w:val="99"/>
    <w:rsid w:val="003020DA"/>
    <w:pPr>
      <w:shd w:val="clear" w:color="auto" w:fill="FFFFFF"/>
      <w:spacing w:before="100" w:beforeAutospacing="1" w:after="100" w:afterAutospacing="1"/>
    </w:pPr>
    <w:rPr>
      <w:color w:val="000000"/>
      <w:sz w:val="20"/>
      <w:szCs w:val="20"/>
      <w:lang w:val="es-ES"/>
    </w:rPr>
  </w:style>
  <w:style w:type="paragraph" w:customStyle="1" w:styleId="parasmallredtext">
    <w:name w:val="parasmallredtext"/>
    <w:basedOn w:val="Normal"/>
    <w:uiPriority w:val="99"/>
    <w:rsid w:val="003020DA"/>
    <w:pPr>
      <w:spacing w:before="100" w:beforeAutospacing="1" w:after="100" w:afterAutospacing="1"/>
    </w:pPr>
    <w:rPr>
      <w:color w:val="FF0000"/>
      <w:sz w:val="16"/>
      <w:szCs w:val="16"/>
      <w:lang w:val="es-ES"/>
    </w:rPr>
  </w:style>
  <w:style w:type="paragraph" w:customStyle="1" w:styleId="parawhitetext">
    <w:name w:val="parawhitetext"/>
    <w:basedOn w:val="Normal"/>
    <w:uiPriority w:val="99"/>
    <w:rsid w:val="003020DA"/>
    <w:pPr>
      <w:spacing w:before="100" w:beforeAutospacing="1" w:after="100" w:afterAutospacing="1"/>
    </w:pPr>
    <w:rPr>
      <w:color w:val="FFFFFF"/>
      <w:sz w:val="20"/>
      <w:szCs w:val="20"/>
      <w:lang w:val="es-ES"/>
    </w:rPr>
  </w:style>
  <w:style w:type="paragraph" w:customStyle="1" w:styleId="paralargeboldtext">
    <w:name w:val="paralargeboldtext"/>
    <w:basedOn w:val="Normal"/>
    <w:uiPriority w:val="99"/>
    <w:rsid w:val="003020DA"/>
    <w:pPr>
      <w:spacing w:before="100" w:beforeAutospacing="1" w:after="100" w:afterAutospacing="1"/>
    </w:pPr>
    <w:rPr>
      <w:b/>
      <w:bCs/>
      <w:color w:val="000000"/>
      <w:lang w:val="es-ES"/>
    </w:rPr>
  </w:style>
  <w:style w:type="paragraph" w:customStyle="1" w:styleId="parasmallboldcolourtext">
    <w:name w:val="parasmallboldcolourtext"/>
    <w:basedOn w:val="Normal"/>
    <w:uiPriority w:val="99"/>
    <w:rsid w:val="003020DA"/>
    <w:pPr>
      <w:spacing w:before="100" w:beforeAutospacing="1" w:after="100" w:afterAutospacing="1"/>
    </w:pPr>
    <w:rPr>
      <w:b/>
      <w:bCs/>
      <w:color w:val="0080FF"/>
      <w:sz w:val="16"/>
      <w:szCs w:val="16"/>
      <w:lang w:val="es-ES"/>
    </w:rPr>
  </w:style>
  <w:style w:type="paragraph" w:customStyle="1" w:styleId="paraboldgreytext">
    <w:name w:val="paraboldgreytext"/>
    <w:basedOn w:val="Normal"/>
    <w:uiPriority w:val="99"/>
    <w:rsid w:val="003020DA"/>
    <w:pPr>
      <w:spacing w:before="100" w:beforeAutospacing="1" w:after="100" w:afterAutospacing="1"/>
    </w:pPr>
    <w:rPr>
      <w:b/>
      <w:bCs/>
      <w:color w:val="808080"/>
      <w:sz w:val="20"/>
      <w:szCs w:val="20"/>
      <w:lang w:val="es-ES"/>
    </w:rPr>
  </w:style>
  <w:style w:type="paragraph" w:customStyle="1" w:styleId="parasmalldarkredtext">
    <w:name w:val="parasmalldarkredtext"/>
    <w:basedOn w:val="Normal"/>
    <w:uiPriority w:val="99"/>
    <w:rsid w:val="003020DA"/>
    <w:pPr>
      <w:spacing w:before="100" w:beforeAutospacing="1" w:after="100" w:afterAutospacing="1"/>
    </w:pPr>
    <w:rPr>
      <w:color w:val="800000"/>
      <w:sz w:val="16"/>
      <w:szCs w:val="16"/>
      <w:lang w:val="es-ES"/>
    </w:rPr>
  </w:style>
  <w:style w:type="paragraph" w:customStyle="1" w:styleId="pararedtext">
    <w:name w:val="pararedtext"/>
    <w:basedOn w:val="Normal"/>
    <w:uiPriority w:val="99"/>
    <w:rsid w:val="003020DA"/>
    <w:pPr>
      <w:spacing w:before="100" w:beforeAutospacing="1" w:after="100" w:afterAutospacing="1"/>
    </w:pPr>
    <w:rPr>
      <w:color w:val="FF0000"/>
      <w:sz w:val="20"/>
      <w:szCs w:val="20"/>
      <w:lang w:val="es-ES"/>
    </w:rPr>
  </w:style>
  <w:style w:type="paragraph" w:customStyle="1" w:styleId="paradarkredtext">
    <w:name w:val="paradarkredtext"/>
    <w:basedOn w:val="Normal"/>
    <w:uiPriority w:val="99"/>
    <w:rsid w:val="003020DA"/>
    <w:pPr>
      <w:spacing w:before="100" w:beforeAutospacing="1" w:after="100" w:afterAutospacing="1"/>
    </w:pPr>
    <w:rPr>
      <w:color w:val="800000"/>
      <w:sz w:val="20"/>
      <w:szCs w:val="20"/>
      <w:lang w:val="es-ES"/>
    </w:rPr>
  </w:style>
  <w:style w:type="paragraph" w:customStyle="1" w:styleId="newsbodytext">
    <w:name w:val="newsbodytext"/>
    <w:basedOn w:val="Normal"/>
    <w:uiPriority w:val="99"/>
    <w:rsid w:val="003020DA"/>
    <w:pPr>
      <w:spacing w:after="100" w:afterAutospacing="1"/>
    </w:pPr>
    <w:rPr>
      <w:color w:val="000000"/>
      <w:sz w:val="20"/>
      <w:szCs w:val="20"/>
      <w:lang w:val="es-ES"/>
    </w:rPr>
  </w:style>
  <w:style w:type="paragraph" w:customStyle="1" w:styleId="newsheadlinetext">
    <w:name w:val="newsheadlinetext"/>
    <w:basedOn w:val="Normal"/>
    <w:uiPriority w:val="99"/>
    <w:rsid w:val="003020DA"/>
    <w:pPr>
      <w:spacing w:before="100" w:beforeAutospacing="1"/>
    </w:pPr>
    <w:rPr>
      <w:b/>
      <w:bCs/>
      <w:color w:val="0080FF"/>
      <w:sz w:val="20"/>
      <w:szCs w:val="20"/>
      <w:lang w:val="es-ES"/>
    </w:rPr>
  </w:style>
  <w:style w:type="paragraph" w:customStyle="1" w:styleId="docsonline">
    <w:name w:val="docsonline"/>
    <w:basedOn w:val="Normal"/>
    <w:uiPriority w:val="99"/>
    <w:rsid w:val="003020DA"/>
    <w:pPr>
      <w:shd w:val="clear" w:color="auto" w:fill="FDF7E3"/>
      <w:spacing w:before="100" w:beforeAutospacing="1" w:after="100" w:afterAutospacing="1"/>
    </w:pPr>
    <w:rPr>
      <w:b/>
      <w:bCs/>
      <w:color w:val="800000"/>
      <w:sz w:val="20"/>
      <w:szCs w:val="20"/>
      <w:lang w:val="es-ES"/>
    </w:rPr>
  </w:style>
  <w:style w:type="paragraph" w:customStyle="1" w:styleId="paradarkbluetext">
    <w:name w:val="paradarkbluetext"/>
    <w:basedOn w:val="Normal"/>
    <w:uiPriority w:val="99"/>
    <w:rsid w:val="003020DA"/>
    <w:pPr>
      <w:spacing w:before="100" w:beforeAutospacing="1" w:after="100" w:afterAutospacing="1"/>
    </w:pPr>
    <w:rPr>
      <w:color w:val="000080"/>
      <w:sz w:val="20"/>
      <w:szCs w:val="20"/>
      <w:lang w:val="es-ES"/>
    </w:rPr>
  </w:style>
  <w:style w:type="paragraph" w:customStyle="1" w:styleId="parasmalldarkbluetext">
    <w:name w:val="parasmalldarkbluetext"/>
    <w:basedOn w:val="Normal"/>
    <w:uiPriority w:val="99"/>
    <w:rsid w:val="003020DA"/>
    <w:pPr>
      <w:spacing w:before="100" w:beforeAutospacing="1" w:after="100" w:afterAutospacing="1"/>
    </w:pPr>
    <w:rPr>
      <w:color w:val="000080"/>
      <w:sz w:val="16"/>
      <w:szCs w:val="16"/>
      <w:lang w:val="es-ES"/>
    </w:rPr>
  </w:style>
  <w:style w:type="paragraph" w:customStyle="1" w:styleId="strippednormaltext">
    <w:name w:val="strippednormaltext"/>
    <w:basedOn w:val="Normal"/>
    <w:uiPriority w:val="99"/>
    <w:rsid w:val="003020DA"/>
    <w:rPr>
      <w:color w:val="000000"/>
      <w:sz w:val="20"/>
      <w:szCs w:val="20"/>
      <w:lang w:val="es-ES"/>
    </w:rPr>
  </w:style>
  <w:style w:type="paragraph" w:customStyle="1" w:styleId="strippedindent1text">
    <w:name w:val="strippedindent1text"/>
    <w:basedOn w:val="Normal"/>
    <w:uiPriority w:val="99"/>
    <w:rsid w:val="003020DA"/>
    <w:pPr>
      <w:ind w:left="198"/>
    </w:pPr>
    <w:rPr>
      <w:color w:val="000000"/>
      <w:sz w:val="20"/>
      <w:szCs w:val="20"/>
      <w:lang w:val="es-ES"/>
    </w:rPr>
  </w:style>
  <w:style w:type="paragraph" w:customStyle="1" w:styleId="paralargedarkredtext">
    <w:name w:val="paralargedarkredtext"/>
    <w:basedOn w:val="Normal"/>
    <w:uiPriority w:val="99"/>
    <w:rsid w:val="003020DA"/>
    <w:pPr>
      <w:spacing w:before="100" w:beforeAutospacing="1" w:after="100" w:afterAutospacing="1"/>
    </w:pPr>
    <w:rPr>
      <w:color w:val="800000"/>
      <w:lang w:val="es-ES"/>
    </w:rPr>
  </w:style>
  <w:style w:type="paragraph" w:customStyle="1" w:styleId="greaterlistitem">
    <w:name w:val="greaterlistitem"/>
    <w:basedOn w:val="Normal"/>
    <w:uiPriority w:val="99"/>
    <w:rsid w:val="003020DA"/>
    <w:pPr>
      <w:ind w:left="79" w:hanging="79"/>
    </w:pPr>
    <w:rPr>
      <w:color w:val="000000"/>
      <w:sz w:val="20"/>
      <w:szCs w:val="20"/>
      <w:lang w:val="es-ES"/>
    </w:rPr>
  </w:style>
  <w:style w:type="paragraph" w:customStyle="1" w:styleId="strippedgreytext">
    <w:name w:val="strippedgreytext"/>
    <w:basedOn w:val="Normal"/>
    <w:uiPriority w:val="99"/>
    <w:rsid w:val="003020DA"/>
    <w:rPr>
      <w:color w:val="808080"/>
      <w:sz w:val="20"/>
      <w:szCs w:val="20"/>
      <w:lang w:val="es-ES"/>
    </w:rPr>
  </w:style>
  <w:style w:type="paragraph" w:customStyle="1" w:styleId="paralargeorangetext">
    <w:name w:val="paralargeorangetext"/>
    <w:basedOn w:val="Normal"/>
    <w:uiPriority w:val="99"/>
    <w:rsid w:val="003020DA"/>
    <w:pPr>
      <w:spacing w:before="100" w:beforeAutospacing="1" w:after="100" w:afterAutospacing="1"/>
    </w:pPr>
    <w:rPr>
      <w:color w:val="FF8040"/>
      <w:lang w:val="es-ES"/>
    </w:rPr>
  </w:style>
  <w:style w:type="paragraph" w:customStyle="1" w:styleId="parasmallthewtobluetext">
    <w:name w:val="parasmallthewtobluetext"/>
    <w:basedOn w:val="Normal"/>
    <w:uiPriority w:val="99"/>
    <w:rsid w:val="003020DA"/>
    <w:pPr>
      <w:spacing w:before="100" w:beforeAutospacing="1" w:after="100" w:afterAutospacing="1"/>
    </w:pPr>
    <w:rPr>
      <w:color w:val="0080C0"/>
      <w:sz w:val="16"/>
      <w:szCs w:val="16"/>
      <w:lang w:val="es-ES"/>
    </w:rPr>
  </w:style>
  <w:style w:type="paragraph" w:customStyle="1" w:styleId="graytd">
    <w:name w:val="graytd"/>
    <w:basedOn w:val="Normal"/>
    <w:uiPriority w:val="99"/>
    <w:rsid w:val="003020DA"/>
    <w:pPr>
      <w:shd w:val="clear" w:color="auto" w:fill="E5E5E5"/>
      <w:spacing w:before="100" w:beforeAutospacing="1" w:after="100" w:afterAutospacing="1"/>
    </w:pPr>
    <w:rPr>
      <w:sz w:val="20"/>
      <w:szCs w:val="20"/>
      <w:lang w:val="es-ES"/>
    </w:rPr>
  </w:style>
  <w:style w:type="paragraph" w:customStyle="1" w:styleId="tocindent1">
    <w:name w:val="tocindent1"/>
    <w:basedOn w:val="Normal"/>
    <w:uiPriority w:val="99"/>
    <w:rsid w:val="003020DA"/>
    <w:pPr>
      <w:ind w:left="79"/>
    </w:pPr>
    <w:rPr>
      <w:sz w:val="20"/>
      <w:szCs w:val="20"/>
      <w:lang w:val="es-ES"/>
    </w:rPr>
  </w:style>
  <w:style w:type="paragraph" w:customStyle="1" w:styleId="tocindent2">
    <w:name w:val="tocindent2"/>
    <w:basedOn w:val="Normal"/>
    <w:uiPriority w:val="99"/>
    <w:rsid w:val="003020DA"/>
    <w:pPr>
      <w:ind w:left="158"/>
    </w:pPr>
    <w:rPr>
      <w:sz w:val="20"/>
      <w:szCs w:val="20"/>
      <w:lang w:val="es-ES"/>
    </w:rPr>
  </w:style>
  <w:style w:type="paragraph" w:customStyle="1" w:styleId="tocindent3">
    <w:name w:val="tocindent3"/>
    <w:basedOn w:val="Normal"/>
    <w:uiPriority w:val="99"/>
    <w:rsid w:val="003020DA"/>
    <w:pPr>
      <w:ind w:left="237"/>
    </w:pPr>
    <w:rPr>
      <w:sz w:val="20"/>
      <w:szCs w:val="20"/>
      <w:lang w:val="es-ES"/>
    </w:rPr>
  </w:style>
  <w:style w:type="paragraph" w:customStyle="1" w:styleId="tocindent4">
    <w:name w:val="tocindent4"/>
    <w:basedOn w:val="Normal"/>
    <w:uiPriority w:val="99"/>
    <w:rsid w:val="003020DA"/>
    <w:pPr>
      <w:ind w:left="316"/>
    </w:pPr>
    <w:rPr>
      <w:sz w:val="20"/>
      <w:szCs w:val="20"/>
      <w:lang w:val="es-ES"/>
    </w:rPr>
  </w:style>
  <w:style w:type="paragraph" w:customStyle="1" w:styleId="tocindent5">
    <w:name w:val="tocindent5"/>
    <w:basedOn w:val="Normal"/>
    <w:uiPriority w:val="99"/>
    <w:rsid w:val="003020DA"/>
    <w:pPr>
      <w:ind w:left="396"/>
    </w:pPr>
    <w:rPr>
      <w:sz w:val="20"/>
      <w:szCs w:val="20"/>
      <w:lang w:val="es-ES"/>
    </w:rPr>
  </w:style>
  <w:style w:type="paragraph" w:customStyle="1" w:styleId="tocindent6">
    <w:name w:val="tocindent6"/>
    <w:basedOn w:val="Normal"/>
    <w:uiPriority w:val="99"/>
    <w:rsid w:val="003020DA"/>
    <w:pPr>
      <w:ind w:left="475"/>
    </w:pPr>
    <w:rPr>
      <w:sz w:val="20"/>
      <w:szCs w:val="20"/>
      <w:lang w:val="es-ES"/>
    </w:rPr>
  </w:style>
  <w:style w:type="paragraph" w:customStyle="1" w:styleId="tocindent7">
    <w:name w:val="tocindent7"/>
    <w:basedOn w:val="Normal"/>
    <w:uiPriority w:val="99"/>
    <w:rsid w:val="003020DA"/>
    <w:pPr>
      <w:ind w:left="554"/>
    </w:pPr>
    <w:rPr>
      <w:sz w:val="20"/>
      <w:szCs w:val="20"/>
      <w:lang w:val="es-ES"/>
    </w:rPr>
  </w:style>
  <w:style w:type="paragraph" w:customStyle="1" w:styleId="tocindent8">
    <w:name w:val="tocindent8"/>
    <w:basedOn w:val="Normal"/>
    <w:uiPriority w:val="99"/>
    <w:rsid w:val="003020DA"/>
    <w:pPr>
      <w:ind w:left="633"/>
    </w:pPr>
    <w:rPr>
      <w:sz w:val="20"/>
      <w:szCs w:val="20"/>
      <w:lang w:val="es-ES"/>
    </w:rPr>
  </w:style>
  <w:style w:type="paragraph" w:customStyle="1" w:styleId="tocindent9">
    <w:name w:val="tocindent9"/>
    <w:basedOn w:val="Normal"/>
    <w:uiPriority w:val="99"/>
    <w:rsid w:val="003020DA"/>
    <w:pPr>
      <w:ind w:left="712"/>
    </w:pPr>
    <w:rPr>
      <w:sz w:val="20"/>
      <w:szCs w:val="20"/>
      <w:lang w:val="es-ES"/>
    </w:rPr>
  </w:style>
  <w:style w:type="paragraph" w:customStyle="1" w:styleId="tocindent10">
    <w:name w:val="tocindent10"/>
    <w:basedOn w:val="Normal"/>
    <w:uiPriority w:val="99"/>
    <w:rsid w:val="003020DA"/>
    <w:pPr>
      <w:ind w:left="791"/>
    </w:pPr>
    <w:rPr>
      <w:sz w:val="20"/>
      <w:szCs w:val="20"/>
      <w:lang w:val="es-ES"/>
    </w:rPr>
  </w:style>
  <w:style w:type="paragraph" w:customStyle="1" w:styleId="greaterlistitemindent1">
    <w:name w:val="greaterlistitemindent1"/>
    <w:basedOn w:val="Normal"/>
    <w:uiPriority w:val="99"/>
    <w:rsid w:val="003020DA"/>
    <w:pPr>
      <w:ind w:left="158" w:hanging="79"/>
    </w:pPr>
    <w:rPr>
      <w:sz w:val="20"/>
      <w:szCs w:val="20"/>
      <w:lang w:val="es-ES"/>
    </w:rPr>
  </w:style>
  <w:style w:type="paragraph" w:customStyle="1" w:styleId="scheduleweek">
    <w:name w:val="scheduleweek"/>
    <w:basedOn w:val="Normal"/>
    <w:uiPriority w:val="99"/>
    <w:rsid w:val="003020DA"/>
    <w:pPr>
      <w:spacing w:before="100" w:beforeAutospacing="1" w:after="100" w:afterAutospacing="1"/>
    </w:pPr>
    <w:rPr>
      <w:b/>
      <w:bCs/>
      <w:color w:val="0080FF"/>
      <w:sz w:val="16"/>
      <w:szCs w:val="16"/>
      <w:lang w:val="es-ES"/>
    </w:rPr>
  </w:style>
  <w:style w:type="paragraph" w:customStyle="1" w:styleId="schedulenote">
    <w:name w:val="schedulenote"/>
    <w:basedOn w:val="Normal"/>
    <w:uiPriority w:val="99"/>
    <w:rsid w:val="003020DA"/>
    <w:pPr>
      <w:spacing w:after="100" w:afterAutospacing="1"/>
    </w:pPr>
    <w:rPr>
      <w:color w:val="000000"/>
      <w:sz w:val="16"/>
      <w:szCs w:val="16"/>
      <w:lang w:val="es-ES"/>
    </w:rPr>
  </w:style>
  <w:style w:type="paragraph" w:customStyle="1" w:styleId="scheduleday">
    <w:name w:val="scheduleday"/>
    <w:basedOn w:val="Normal"/>
    <w:uiPriority w:val="99"/>
    <w:rsid w:val="003020DA"/>
    <w:pPr>
      <w:spacing w:before="100" w:beforeAutospacing="1"/>
    </w:pPr>
    <w:rPr>
      <w:color w:val="0080FF"/>
      <w:sz w:val="16"/>
      <w:szCs w:val="16"/>
      <w:lang w:val="es-ES"/>
    </w:rPr>
  </w:style>
  <w:style w:type="paragraph" w:customStyle="1" w:styleId="scheduletime">
    <w:name w:val="scheduletime"/>
    <w:basedOn w:val="Normal"/>
    <w:uiPriority w:val="99"/>
    <w:rsid w:val="003020DA"/>
    <w:rPr>
      <w:b/>
      <w:bCs/>
      <w:color w:val="000000"/>
      <w:sz w:val="16"/>
      <w:szCs w:val="16"/>
      <w:lang w:val="es-ES"/>
    </w:rPr>
  </w:style>
  <w:style w:type="paragraph" w:customStyle="1" w:styleId="schedulemeeting">
    <w:name w:val="schedulemeeting"/>
    <w:basedOn w:val="Normal"/>
    <w:uiPriority w:val="99"/>
    <w:rsid w:val="003020DA"/>
    <w:rPr>
      <w:color w:val="000000"/>
      <w:sz w:val="16"/>
      <w:szCs w:val="16"/>
      <w:lang w:val="es-ES"/>
    </w:rPr>
  </w:style>
  <w:style w:type="paragraph" w:customStyle="1" w:styleId="tooltiptext">
    <w:name w:val="tooltiptext"/>
    <w:basedOn w:val="Normal"/>
    <w:uiPriority w:val="99"/>
    <w:rsid w:val="003020DA"/>
    <w:pPr>
      <w:pBdr>
        <w:top w:val="single" w:sz="2" w:space="0" w:color="808080"/>
        <w:left w:val="single" w:sz="2" w:space="0" w:color="808080"/>
        <w:bottom w:val="single" w:sz="2" w:space="0" w:color="808080"/>
        <w:right w:val="single" w:sz="2" w:space="0" w:color="808080"/>
      </w:pBdr>
      <w:shd w:val="clear" w:color="auto" w:fill="FFFFE8"/>
      <w:spacing w:before="100" w:beforeAutospacing="1" w:after="100" w:afterAutospacing="1"/>
    </w:pPr>
    <w:rPr>
      <w:color w:val="808080"/>
      <w:sz w:val="16"/>
      <w:szCs w:val="16"/>
      <w:lang w:val="es-ES"/>
    </w:rPr>
  </w:style>
  <w:style w:type="paragraph" w:customStyle="1" w:styleId="colourtable">
    <w:name w:val="colourtable"/>
    <w:basedOn w:val="Normal"/>
    <w:uiPriority w:val="99"/>
    <w:rsid w:val="003020DA"/>
    <w:pPr>
      <w:shd w:val="clear" w:color="auto" w:fill="E5E5E5"/>
      <w:spacing w:before="100" w:beforeAutospacing="1" w:after="100" w:afterAutospacing="1"/>
    </w:pPr>
    <w:rPr>
      <w:rFonts w:ascii="Trebuchet MS" w:hAnsi="Trebuchet MS"/>
      <w:sz w:val="20"/>
      <w:szCs w:val="20"/>
      <w:lang w:val="es-ES"/>
    </w:rPr>
  </w:style>
  <w:style w:type="paragraph" w:customStyle="1" w:styleId="smallgreaterlistitem">
    <w:name w:val="smallgreaterlistitem"/>
    <w:basedOn w:val="Normal"/>
    <w:uiPriority w:val="99"/>
    <w:rsid w:val="003020DA"/>
    <w:pPr>
      <w:ind w:left="79" w:hanging="79"/>
    </w:pPr>
    <w:rPr>
      <w:rFonts w:ascii="Trebuchet MS" w:hAnsi="Trebuchet MS"/>
      <w:sz w:val="16"/>
      <w:szCs w:val="16"/>
      <w:lang w:val="es-ES"/>
    </w:rPr>
  </w:style>
  <w:style w:type="paragraph" w:customStyle="1" w:styleId="cellheadingblacktext">
    <w:name w:val="cellheadingblacktext"/>
    <w:basedOn w:val="Normal"/>
    <w:uiPriority w:val="99"/>
    <w:rsid w:val="003020DA"/>
    <w:pPr>
      <w:spacing w:line="180" w:lineRule="atLeast"/>
    </w:pPr>
    <w:rPr>
      <w:b/>
      <w:bCs/>
      <w:color w:val="000000"/>
      <w:sz w:val="18"/>
      <w:szCs w:val="18"/>
      <w:lang w:val="es-ES"/>
    </w:rPr>
  </w:style>
  <w:style w:type="paragraph" w:customStyle="1" w:styleId="cellheadingwhitetext">
    <w:name w:val="cellheadingwhitetext"/>
    <w:basedOn w:val="Normal"/>
    <w:uiPriority w:val="99"/>
    <w:rsid w:val="003020DA"/>
    <w:pPr>
      <w:shd w:val="clear" w:color="auto" w:fill="0080FF"/>
      <w:spacing w:line="180" w:lineRule="atLeast"/>
    </w:pPr>
    <w:rPr>
      <w:b/>
      <w:bCs/>
      <w:color w:val="FFFFFF"/>
      <w:sz w:val="18"/>
      <w:szCs w:val="18"/>
      <w:lang w:val="es-ES"/>
    </w:rPr>
  </w:style>
  <w:style w:type="paragraph" w:customStyle="1" w:styleId="subnormalboldcolourtext">
    <w:name w:val="subnormalboldcolourtext"/>
    <w:basedOn w:val="Normal"/>
    <w:uiPriority w:val="99"/>
    <w:rsid w:val="003020DA"/>
    <w:pPr>
      <w:spacing w:before="100" w:beforeAutospacing="1"/>
    </w:pPr>
    <w:rPr>
      <w:b/>
      <w:bCs/>
      <w:color w:val="0080FF"/>
      <w:sz w:val="18"/>
      <w:szCs w:val="18"/>
      <w:lang w:val="es-ES"/>
    </w:rPr>
  </w:style>
  <w:style w:type="paragraph" w:customStyle="1" w:styleId="4">
    <w:name w:val="4"/>
    <w:basedOn w:val="Normal"/>
    <w:next w:val="Sangradetextonormal"/>
    <w:uiPriority w:val="99"/>
    <w:rsid w:val="003020DA"/>
    <w:pPr>
      <w:spacing w:after="120"/>
      <w:ind w:left="283"/>
    </w:pPr>
    <w:rPr>
      <w:rFonts w:ascii="Arial" w:hAnsi="Arial"/>
      <w:lang w:val="es-ES"/>
    </w:rPr>
  </w:style>
  <w:style w:type="paragraph" w:styleId="Revisin">
    <w:name w:val="Revision"/>
    <w:hidden/>
    <w:uiPriority w:val="99"/>
    <w:semiHidden/>
    <w:rsid w:val="003020DA"/>
    <w:rPr>
      <w:sz w:val="24"/>
      <w:szCs w:val="24"/>
      <w:lang w:val="es-ES" w:eastAsia="es-ES"/>
    </w:rPr>
  </w:style>
  <w:style w:type="character" w:customStyle="1" w:styleId="FootnoteCharacters">
    <w:name w:val="Footnote Characters"/>
    <w:rsid w:val="003020DA"/>
    <w:rPr>
      <w:vertAlign w:val="superscript"/>
    </w:rPr>
  </w:style>
  <w:style w:type="character" w:customStyle="1" w:styleId="NumberingSymbols">
    <w:name w:val="Numbering Symbols"/>
    <w:rsid w:val="003020DA"/>
  </w:style>
  <w:style w:type="character" w:customStyle="1" w:styleId="Bullets">
    <w:name w:val="Bullets"/>
    <w:rsid w:val="003020DA"/>
    <w:rPr>
      <w:rFonts w:ascii="StarSymbol" w:eastAsia="StarSymbol" w:hAnsi="StarSymbol" w:cs="Helvetica"/>
      <w:sz w:val="18"/>
      <w:szCs w:val="18"/>
    </w:rPr>
  </w:style>
  <w:style w:type="character" w:customStyle="1" w:styleId="EndnoteCharacters">
    <w:name w:val="Endnote Characters"/>
    <w:rsid w:val="003020DA"/>
    <w:rPr>
      <w:vertAlign w:val="superscript"/>
    </w:rPr>
  </w:style>
  <w:style w:type="character" w:customStyle="1" w:styleId="WW8Num2z0">
    <w:name w:val="WW8Num2z0"/>
    <w:rsid w:val="003020DA"/>
    <w:rPr>
      <w:rFonts w:ascii="Symbol" w:hAnsi="Symbol"/>
    </w:rPr>
  </w:style>
  <w:style w:type="character" w:customStyle="1" w:styleId="WW8Num2z1">
    <w:name w:val="WW8Num2z1"/>
    <w:rsid w:val="003020DA"/>
    <w:rPr>
      <w:rFonts w:ascii="Courier New" w:hAnsi="Courier New"/>
    </w:rPr>
  </w:style>
  <w:style w:type="character" w:customStyle="1" w:styleId="WW8Num2z2">
    <w:name w:val="WW8Num2z2"/>
    <w:rsid w:val="003020DA"/>
    <w:rPr>
      <w:rFonts w:ascii="Wingdings" w:hAnsi="Wingdings"/>
    </w:rPr>
  </w:style>
  <w:style w:type="character" w:customStyle="1" w:styleId="WW8Num2z3">
    <w:name w:val="WW8Num2z3"/>
    <w:rsid w:val="003020DA"/>
    <w:rPr>
      <w:rFonts w:ascii="Wingdings" w:hAnsi="Wingdings" w:cs="Helvetica"/>
      <w:sz w:val="18"/>
      <w:szCs w:val="18"/>
    </w:rPr>
  </w:style>
  <w:style w:type="character" w:customStyle="1" w:styleId="DefaultParagraphFont1">
    <w:name w:val="Default Paragraph Font1"/>
    <w:rsid w:val="003020DA"/>
  </w:style>
  <w:style w:type="character" w:customStyle="1" w:styleId="WW-DefaultParagraphFont">
    <w:name w:val="WW-Default Paragraph Font"/>
    <w:rsid w:val="003020DA"/>
  </w:style>
  <w:style w:type="character" w:customStyle="1" w:styleId="WW-DefaultParagraphFont1">
    <w:name w:val="WW-Default Paragraph Font1"/>
    <w:rsid w:val="003020DA"/>
  </w:style>
  <w:style w:type="character" w:customStyle="1" w:styleId="WW-FootnoteReference">
    <w:name w:val="WW-Footnote Reference"/>
    <w:rsid w:val="003020DA"/>
    <w:rPr>
      <w:vertAlign w:val="superscript"/>
    </w:rPr>
  </w:style>
  <w:style w:type="character" w:styleId="Refdenotaalfinal">
    <w:name w:val="endnote reference"/>
    <w:uiPriority w:val="99"/>
    <w:semiHidden/>
    <w:rsid w:val="003020DA"/>
    <w:rPr>
      <w:vertAlign w:val="superscript"/>
    </w:rPr>
  </w:style>
  <w:style w:type="character" w:customStyle="1" w:styleId="Absatz-Standardschriftart">
    <w:name w:val="Absatz-Standardschriftart"/>
    <w:rsid w:val="003020DA"/>
  </w:style>
  <w:style w:type="character" w:customStyle="1" w:styleId="WW-Absatz-Standardschriftart">
    <w:name w:val="WW-Absatz-Standardschriftart"/>
    <w:rsid w:val="003020DA"/>
  </w:style>
  <w:style w:type="character" w:customStyle="1" w:styleId="WW-Absatz-Standardschriftart1">
    <w:name w:val="WW-Absatz-Standardschriftart1"/>
    <w:rsid w:val="003020DA"/>
  </w:style>
  <w:style w:type="character" w:customStyle="1" w:styleId="WW-Absatz-Standardschriftart11">
    <w:name w:val="WW-Absatz-Standardschriftart11"/>
    <w:rsid w:val="003020DA"/>
  </w:style>
  <w:style w:type="character" w:customStyle="1" w:styleId="WW-DefaultParagraphFont11">
    <w:name w:val="WW-Default Paragraph Font11"/>
    <w:rsid w:val="003020DA"/>
  </w:style>
  <w:style w:type="character" w:customStyle="1" w:styleId="WW-FootnoteReference1">
    <w:name w:val="WW-Footnote Reference1"/>
    <w:rsid w:val="003020DA"/>
    <w:rPr>
      <w:vertAlign w:val="superscript"/>
    </w:rPr>
  </w:style>
  <w:style w:type="character" w:customStyle="1" w:styleId="WW8Num2z4">
    <w:name w:val="WW8Num2z4"/>
    <w:rsid w:val="003020DA"/>
    <w:rPr>
      <w:rFonts w:ascii="Courier New" w:hAnsi="Courier New" w:cs="Courier New"/>
    </w:rPr>
  </w:style>
  <w:style w:type="character" w:customStyle="1" w:styleId="WW8Num3z0">
    <w:name w:val="WW8Num3z0"/>
    <w:rsid w:val="003020DA"/>
    <w:rPr>
      <w:rFonts w:ascii="Courier New" w:hAnsi="Courier New"/>
    </w:rPr>
  </w:style>
  <w:style w:type="character" w:customStyle="1" w:styleId="WW8Num3z1">
    <w:name w:val="WW8Num3z1"/>
    <w:rsid w:val="003020DA"/>
    <w:rPr>
      <w:rFonts w:ascii="Courier New" w:hAnsi="Courier New" w:cs="Helvetica"/>
    </w:rPr>
  </w:style>
  <w:style w:type="character" w:customStyle="1" w:styleId="WW8Num3z2">
    <w:name w:val="WW8Num3z2"/>
    <w:rsid w:val="003020DA"/>
    <w:rPr>
      <w:rFonts w:ascii="Wingdings" w:hAnsi="Wingdings"/>
    </w:rPr>
  </w:style>
  <w:style w:type="character" w:customStyle="1" w:styleId="WW8Num4z0">
    <w:name w:val="WW8Num4z0"/>
    <w:rsid w:val="003020DA"/>
    <w:rPr>
      <w:rFonts w:ascii="Symbol" w:hAnsi="Symbol"/>
      <w:color w:val="000000"/>
    </w:rPr>
  </w:style>
  <w:style w:type="character" w:customStyle="1" w:styleId="WW8Num4z1">
    <w:name w:val="WW8Num4z1"/>
    <w:rsid w:val="003020DA"/>
    <w:rPr>
      <w:rFonts w:ascii="Courier New" w:hAnsi="Courier New" w:cs="Courier New"/>
    </w:rPr>
  </w:style>
  <w:style w:type="character" w:customStyle="1" w:styleId="WW8Num4z2">
    <w:name w:val="WW8Num4z2"/>
    <w:rsid w:val="003020DA"/>
    <w:rPr>
      <w:rFonts w:ascii="Wingdings" w:hAnsi="Wingdings"/>
    </w:rPr>
  </w:style>
  <w:style w:type="character" w:customStyle="1" w:styleId="WW8Num4z3">
    <w:name w:val="WW8Num4z3"/>
    <w:rsid w:val="003020DA"/>
    <w:rPr>
      <w:rFonts w:ascii="Symbol" w:hAnsi="Symbol"/>
    </w:rPr>
  </w:style>
  <w:style w:type="character" w:customStyle="1" w:styleId="WW8Num5z0">
    <w:name w:val="WW8Num5z0"/>
    <w:rsid w:val="003020DA"/>
    <w:rPr>
      <w:rFonts w:ascii="Wingdings" w:hAnsi="Wingdings"/>
      <w:color w:val="000000"/>
    </w:rPr>
  </w:style>
  <w:style w:type="character" w:customStyle="1" w:styleId="WW8Num5z1">
    <w:name w:val="WW8Num5z1"/>
    <w:rsid w:val="003020DA"/>
    <w:rPr>
      <w:rFonts w:ascii="Courier New" w:hAnsi="Courier New" w:cs="Courier New"/>
    </w:rPr>
  </w:style>
  <w:style w:type="character" w:customStyle="1" w:styleId="WW8Num5z2">
    <w:name w:val="WW8Num5z2"/>
    <w:rsid w:val="003020DA"/>
    <w:rPr>
      <w:rFonts w:ascii="Wingdings" w:hAnsi="Wingdings"/>
    </w:rPr>
  </w:style>
  <w:style w:type="character" w:customStyle="1" w:styleId="WW8Num5z3">
    <w:name w:val="WW8Num5z3"/>
    <w:rsid w:val="003020DA"/>
    <w:rPr>
      <w:rFonts w:ascii="Symbol" w:hAnsi="Symbol"/>
    </w:rPr>
  </w:style>
  <w:style w:type="character" w:customStyle="1" w:styleId="WW8Num6z0">
    <w:name w:val="WW8Num6z0"/>
    <w:rsid w:val="003020DA"/>
    <w:rPr>
      <w:rFonts w:ascii="Symbol" w:hAnsi="Symbol"/>
      <w:color w:val="000000"/>
    </w:rPr>
  </w:style>
  <w:style w:type="character" w:customStyle="1" w:styleId="WW8Num6z1">
    <w:name w:val="WW8Num6z1"/>
    <w:rsid w:val="003020DA"/>
    <w:rPr>
      <w:rFonts w:ascii="Courier New" w:hAnsi="Courier New" w:cs="Courier New"/>
    </w:rPr>
  </w:style>
  <w:style w:type="character" w:customStyle="1" w:styleId="WW8Num6z2">
    <w:name w:val="WW8Num6z2"/>
    <w:rsid w:val="003020DA"/>
    <w:rPr>
      <w:rFonts w:ascii="Wingdings" w:hAnsi="Wingdings"/>
    </w:rPr>
  </w:style>
  <w:style w:type="character" w:customStyle="1" w:styleId="WW8Num6z3">
    <w:name w:val="WW8Num6z3"/>
    <w:rsid w:val="003020DA"/>
    <w:rPr>
      <w:rFonts w:ascii="Symbol" w:hAnsi="Symbol"/>
    </w:rPr>
  </w:style>
  <w:style w:type="character" w:customStyle="1" w:styleId="WW8Num7z0">
    <w:name w:val="WW8Num7z0"/>
    <w:rsid w:val="003020DA"/>
    <w:rPr>
      <w:sz w:val="14"/>
    </w:rPr>
  </w:style>
  <w:style w:type="character" w:customStyle="1" w:styleId="WW8Num8z0">
    <w:name w:val="WW8Num8z0"/>
    <w:rsid w:val="003020DA"/>
    <w:rPr>
      <w:rFonts w:ascii="Symbol" w:hAnsi="Symbol"/>
    </w:rPr>
  </w:style>
  <w:style w:type="character" w:customStyle="1" w:styleId="WW8Num11z0">
    <w:name w:val="WW8Num11z0"/>
    <w:rsid w:val="003020DA"/>
    <w:rPr>
      <w:rFonts w:ascii="Wingdings" w:hAnsi="Wingdings"/>
      <w:color w:val="000000"/>
    </w:rPr>
  </w:style>
  <w:style w:type="character" w:customStyle="1" w:styleId="WW8Num11z1">
    <w:name w:val="WW8Num11z1"/>
    <w:rsid w:val="003020DA"/>
    <w:rPr>
      <w:rFonts w:ascii="Courier New" w:hAnsi="Courier New" w:cs="Courier New"/>
    </w:rPr>
  </w:style>
  <w:style w:type="character" w:customStyle="1" w:styleId="WW8Num11z2">
    <w:name w:val="WW8Num11z2"/>
    <w:rsid w:val="003020DA"/>
    <w:rPr>
      <w:rFonts w:ascii="Wingdings" w:hAnsi="Wingdings"/>
    </w:rPr>
  </w:style>
  <w:style w:type="character" w:customStyle="1" w:styleId="WW8Num11z3">
    <w:name w:val="WW8Num11z3"/>
    <w:rsid w:val="003020DA"/>
    <w:rPr>
      <w:rFonts w:ascii="Symbol" w:hAnsi="Symbol"/>
    </w:rPr>
  </w:style>
  <w:style w:type="character" w:customStyle="1" w:styleId="WW8Num12z0">
    <w:name w:val="WW8Num12z0"/>
    <w:rsid w:val="003020DA"/>
    <w:rPr>
      <w:rFonts w:ascii="Symbol" w:hAnsi="Symbol"/>
    </w:rPr>
  </w:style>
  <w:style w:type="character" w:customStyle="1" w:styleId="WW8Num12z1">
    <w:name w:val="WW8Num12z1"/>
    <w:rsid w:val="003020DA"/>
    <w:rPr>
      <w:rFonts w:ascii="Courier New" w:hAnsi="Courier New" w:cs="Courier New"/>
    </w:rPr>
  </w:style>
  <w:style w:type="character" w:customStyle="1" w:styleId="WW8Num12z2">
    <w:name w:val="WW8Num12z2"/>
    <w:rsid w:val="003020DA"/>
    <w:rPr>
      <w:rFonts w:ascii="Wingdings" w:hAnsi="Wingdings"/>
    </w:rPr>
  </w:style>
  <w:style w:type="character" w:customStyle="1" w:styleId="WW8Num14z0">
    <w:name w:val="WW8Num14z0"/>
    <w:rsid w:val="003020DA"/>
    <w:rPr>
      <w:rFonts w:ascii="Symbol" w:hAnsi="Symbol"/>
      <w:color w:val="000000"/>
    </w:rPr>
  </w:style>
  <w:style w:type="character" w:customStyle="1" w:styleId="WW8Num14z1">
    <w:name w:val="WW8Num14z1"/>
    <w:rsid w:val="003020DA"/>
    <w:rPr>
      <w:rFonts w:ascii="Courier New" w:hAnsi="Courier New" w:cs="Courier New"/>
    </w:rPr>
  </w:style>
  <w:style w:type="character" w:customStyle="1" w:styleId="WW8Num14z2">
    <w:name w:val="WW8Num14z2"/>
    <w:rsid w:val="003020DA"/>
    <w:rPr>
      <w:rFonts w:ascii="Wingdings" w:hAnsi="Wingdings"/>
    </w:rPr>
  </w:style>
  <w:style w:type="character" w:customStyle="1" w:styleId="WW8Num14z3">
    <w:name w:val="WW8Num14z3"/>
    <w:rsid w:val="003020DA"/>
    <w:rPr>
      <w:rFonts w:ascii="Symbol" w:hAnsi="Symbol"/>
    </w:rPr>
  </w:style>
  <w:style w:type="character" w:customStyle="1" w:styleId="WW8Num17z0">
    <w:name w:val="WW8Num17z0"/>
    <w:rsid w:val="003020DA"/>
    <w:rPr>
      <w:sz w:val="14"/>
    </w:rPr>
  </w:style>
  <w:style w:type="character" w:customStyle="1" w:styleId="WW8Num20z0">
    <w:name w:val="WW8Num20z0"/>
    <w:rsid w:val="003020DA"/>
    <w:rPr>
      <w:rFonts w:ascii="Symbol" w:hAnsi="Symbol"/>
    </w:rPr>
  </w:style>
  <w:style w:type="character" w:customStyle="1" w:styleId="WW8Num20z1">
    <w:name w:val="WW8Num20z1"/>
    <w:rsid w:val="003020DA"/>
    <w:rPr>
      <w:rFonts w:ascii="Courier New" w:hAnsi="Courier New" w:cs="Tahoma"/>
    </w:rPr>
  </w:style>
  <w:style w:type="character" w:customStyle="1" w:styleId="WW8Num20z2">
    <w:name w:val="WW8Num20z2"/>
    <w:rsid w:val="003020DA"/>
    <w:rPr>
      <w:rFonts w:ascii="Wingdings" w:hAnsi="Wingdings"/>
    </w:rPr>
  </w:style>
  <w:style w:type="character" w:customStyle="1" w:styleId="WW8Num21z0">
    <w:name w:val="WW8Num21z0"/>
    <w:rsid w:val="003020DA"/>
    <w:rPr>
      <w:rFonts w:ascii="Symbol" w:hAnsi="Symbol"/>
    </w:rPr>
  </w:style>
  <w:style w:type="character" w:customStyle="1" w:styleId="WW8Num21z2">
    <w:name w:val="WW8Num21z2"/>
    <w:rsid w:val="003020DA"/>
    <w:rPr>
      <w:rFonts w:ascii="Wingdings" w:hAnsi="Wingdings"/>
    </w:rPr>
  </w:style>
  <w:style w:type="character" w:customStyle="1" w:styleId="WW8Num21z4">
    <w:name w:val="WW8Num21z4"/>
    <w:rsid w:val="003020DA"/>
    <w:rPr>
      <w:rFonts w:ascii="Courier New" w:hAnsi="Courier New" w:cs="Courier New"/>
    </w:rPr>
  </w:style>
  <w:style w:type="character" w:customStyle="1" w:styleId="WW8Num22z0">
    <w:name w:val="WW8Num22z0"/>
    <w:rsid w:val="003020DA"/>
    <w:rPr>
      <w:rFonts w:ascii="Symbol" w:hAnsi="Symbol"/>
    </w:rPr>
  </w:style>
  <w:style w:type="character" w:customStyle="1" w:styleId="WW8Num22z2">
    <w:name w:val="WW8Num22z2"/>
    <w:rsid w:val="003020DA"/>
    <w:rPr>
      <w:rFonts w:ascii="Wingdings" w:hAnsi="Wingdings"/>
    </w:rPr>
  </w:style>
  <w:style w:type="character" w:customStyle="1" w:styleId="WW8Num22z4">
    <w:name w:val="WW8Num22z4"/>
    <w:rsid w:val="003020DA"/>
    <w:rPr>
      <w:rFonts w:ascii="Courier New" w:hAnsi="Courier New" w:cs="Courier New"/>
    </w:rPr>
  </w:style>
  <w:style w:type="character" w:customStyle="1" w:styleId="WW8Num23z0">
    <w:name w:val="WW8Num23z0"/>
    <w:rsid w:val="003020DA"/>
    <w:rPr>
      <w:rFonts w:ascii="Symbol" w:hAnsi="Symbol"/>
      <w:color w:val="000000"/>
    </w:rPr>
  </w:style>
  <w:style w:type="character" w:customStyle="1" w:styleId="WW8Num23z1">
    <w:name w:val="WW8Num23z1"/>
    <w:rsid w:val="003020DA"/>
    <w:rPr>
      <w:rFonts w:ascii="Courier New" w:hAnsi="Courier New" w:cs="Courier New"/>
    </w:rPr>
  </w:style>
  <w:style w:type="character" w:customStyle="1" w:styleId="WW8Num23z2">
    <w:name w:val="WW8Num23z2"/>
    <w:rsid w:val="003020DA"/>
    <w:rPr>
      <w:rFonts w:ascii="Wingdings" w:hAnsi="Wingdings"/>
    </w:rPr>
  </w:style>
  <w:style w:type="character" w:customStyle="1" w:styleId="WW8Num23z3">
    <w:name w:val="WW8Num23z3"/>
    <w:rsid w:val="003020DA"/>
    <w:rPr>
      <w:rFonts w:ascii="Symbol" w:hAnsi="Symbol"/>
    </w:rPr>
  </w:style>
  <w:style w:type="character" w:customStyle="1" w:styleId="WW8Num24z0">
    <w:name w:val="WW8Num24z0"/>
    <w:rsid w:val="003020DA"/>
    <w:rPr>
      <w:rFonts w:ascii="Symbol" w:hAnsi="Symbol"/>
      <w:color w:val="000000"/>
    </w:rPr>
  </w:style>
  <w:style w:type="character" w:customStyle="1" w:styleId="WW8Num24z1">
    <w:name w:val="WW8Num24z1"/>
    <w:rsid w:val="003020DA"/>
    <w:rPr>
      <w:rFonts w:ascii="Courier New" w:hAnsi="Courier New" w:cs="Courier New"/>
    </w:rPr>
  </w:style>
  <w:style w:type="character" w:customStyle="1" w:styleId="WW8Num24z2">
    <w:name w:val="WW8Num24z2"/>
    <w:rsid w:val="003020DA"/>
    <w:rPr>
      <w:rFonts w:ascii="Wingdings" w:hAnsi="Wingdings"/>
    </w:rPr>
  </w:style>
  <w:style w:type="character" w:customStyle="1" w:styleId="WW8Num24z3">
    <w:name w:val="WW8Num24z3"/>
    <w:rsid w:val="003020DA"/>
    <w:rPr>
      <w:rFonts w:ascii="Symbol" w:hAnsi="Symbol"/>
    </w:rPr>
  </w:style>
  <w:style w:type="character" w:customStyle="1" w:styleId="WW-FootnoteReference11">
    <w:name w:val="WW-Footnote Reference11"/>
    <w:rsid w:val="003020DA"/>
    <w:rPr>
      <w:vertAlign w:val="superscript"/>
    </w:rPr>
  </w:style>
  <w:style w:type="character" w:customStyle="1" w:styleId="WW8Num3z3">
    <w:name w:val="WW8Num3z3"/>
    <w:rsid w:val="003020DA"/>
    <w:rPr>
      <w:rFonts w:ascii="Symbol" w:hAnsi="Symbol"/>
    </w:rPr>
  </w:style>
  <w:style w:type="character" w:customStyle="1" w:styleId="WW-DefaultParagraphFont111">
    <w:name w:val="WW-Default Paragraph Font111"/>
    <w:rsid w:val="003020DA"/>
  </w:style>
  <w:style w:type="character" w:customStyle="1" w:styleId="FootnoteReference1">
    <w:name w:val="Footnote Reference1"/>
    <w:rsid w:val="003020DA"/>
    <w:rPr>
      <w:vertAlign w:val="superscript"/>
    </w:rPr>
  </w:style>
  <w:style w:type="character" w:customStyle="1" w:styleId="WW-FootnoteReference111">
    <w:name w:val="WW-Footnote Reference111"/>
    <w:rsid w:val="003020DA"/>
    <w:rPr>
      <w:vertAlign w:val="superscript"/>
    </w:rPr>
  </w:style>
  <w:style w:type="character" w:customStyle="1" w:styleId="WW8Dropcap0">
    <w:name w:val="WW8Dropcap0"/>
    <w:rsid w:val="003020DA"/>
    <w:rPr>
      <w:color w:val="CC9900"/>
      <w:sz w:val="123"/>
    </w:rPr>
  </w:style>
  <w:style w:type="character" w:customStyle="1" w:styleId="WW-EndnoteCharacters">
    <w:name w:val="WW-Endnote Characters"/>
    <w:rsid w:val="003020DA"/>
  </w:style>
  <w:style w:type="character" w:customStyle="1" w:styleId="WW-EndnoteReference">
    <w:name w:val="WW-Endnote Reference"/>
    <w:rsid w:val="003020DA"/>
    <w:rPr>
      <w:vertAlign w:val="superscript"/>
    </w:rPr>
  </w:style>
  <w:style w:type="character" w:customStyle="1" w:styleId="BulletlistshortChar">
    <w:name w:val="Bullet list (short) Char"/>
    <w:basedOn w:val="WW-DefaultParagraphFont"/>
    <w:rsid w:val="003020DA"/>
    <w:rPr>
      <w:sz w:val="22"/>
      <w:szCs w:val="24"/>
      <w:lang w:val="en-US" w:eastAsia="ar-SA" w:bidi="ar-SA"/>
    </w:rPr>
  </w:style>
  <w:style w:type="character" w:customStyle="1" w:styleId="ReferencesChar">
    <w:name w:val="References Char"/>
    <w:basedOn w:val="WW-DefaultParagraphFont"/>
    <w:rsid w:val="003020DA"/>
    <w:rPr>
      <w:sz w:val="22"/>
      <w:szCs w:val="24"/>
      <w:lang w:val="en-US" w:eastAsia="ar-SA" w:bidi="ar-SA"/>
    </w:rPr>
  </w:style>
  <w:style w:type="character" w:customStyle="1" w:styleId="BodycopyChar">
    <w:name w:val="Body copy Char"/>
    <w:basedOn w:val="WW-DefaultParagraphFont"/>
    <w:rsid w:val="003020DA"/>
    <w:rPr>
      <w:sz w:val="22"/>
      <w:lang w:val="en-US" w:eastAsia="ar-SA" w:bidi="ar-SA"/>
    </w:rPr>
  </w:style>
  <w:style w:type="character" w:customStyle="1" w:styleId="BodycopyChar1">
    <w:name w:val="Body copy Char1"/>
    <w:basedOn w:val="WW-DefaultParagraphFont"/>
    <w:rsid w:val="003020DA"/>
    <w:rPr>
      <w:sz w:val="22"/>
      <w:lang w:val="en-US" w:eastAsia="ar-SA" w:bidi="ar-SA"/>
    </w:rPr>
  </w:style>
  <w:style w:type="character" w:customStyle="1" w:styleId="FootnotetextChar">
    <w:name w:val="Footnote text Char"/>
    <w:basedOn w:val="WW-DefaultParagraphFont"/>
    <w:rsid w:val="003020DA"/>
    <w:rPr>
      <w:sz w:val="22"/>
      <w:lang w:val="en-US" w:eastAsia="ar-SA" w:bidi="ar-SA"/>
    </w:rPr>
  </w:style>
  <w:style w:type="character" w:customStyle="1" w:styleId="medium-bold">
    <w:name w:val="medium-bold"/>
    <w:basedOn w:val="WW-DefaultParagraphFont"/>
    <w:rsid w:val="003020DA"/>
  </w:style>
  <w:style w:type="character" w:customStyle="1" w:styleId="medium-normal">
    <w:name w:val="medium-normal"/>
    <w:basedOn w:val="WW-DefaultParagraphFont"/>
    <w:rsid w:val="003020DA"/>
  </w:style>
  <w:style w:type="character" w:customStyle="1" w:styleId="CaptionChar">
    <w:name w:val="Caption Char"/>
    <w:basedOn w:val="WW-DefaultParagraphFont"/>
    <w:rsid w:val="003020DA"/>
    <w:rPr>
      <w:rFonts w:ascii="Arial Black" w:hAnsi="Arial Black"/>
      <w:sz w:val="18"/>
      <w:lang w:val="en-US" w:eastAsia="ar-SA" w:bidi="ar-SA"/>
    </w:rPr>
  </w:style>
  <w:style w:type="character" w:customStyle="1" w:styleId="CaptionChar1">
    <w:name w:val="Caption Char1"/>
    <w:basedOn w:val="WW-DefaultParagraphFont"/>
    <w:rsid w:val="003020DA"/>
    <w:rPr>
      <w:rFonts w:ascii="Arial Black" w:hAnsi="Arial Black"/>
      <w:sz w:val="18"/>
      <w:lang w:val="en-US" w:eastAsia="ar-SA" w:bidi="ar-SA"/>
    </w:rPr>
  </w:style>
  <w:style w:type="character" w:customStyle="1" w:styleId="WW8Dropcap1">
    <w:name w:val="WW8Dropcap1"/>
    <w:rsid w:val="003020DA"/>
    <w:rPr>
      <w:color w:val="CC9900"/>
      <w:sz w:val="118"/>
    </w:rPr>
  </w:style>
  <w:style w:type="character" w:customStyle="1" w:styleId="WW8Dropcap2">
    <w:name w:val="WW8Dropcap2"/>
    <w:rsid w:val="003020DA"/>
    <w:rPr>
      <w:color w:val="CC9900"/>
      <w:sz w:val="112"/>
    </w:rPr>
  </w:style>
  <w:style w:type="character" w:customStyle="1" w:styleId="WW8Dropcap3">
    <w:name w:val="WW8Dropcap3"/>
    <w:rsid w:val="003020DA"/>
    <w:rPr>
      <w:color w:val="CC9900"/>
      <w:sz w:val="118"/>
    </w:rPr>
  </w:style>
  <w:style w:type="character" w:customStyle="1" w:styleId="WW8Dropcap4">
    <w:name w:val="WW8Dropcap4"/>
    <w:rsid w:val="003020DA"/>
    <w:rPr>
      <w:color w:val="CC9900"/>
      <w:sz w:val="118"/>
    </w:rPr>
  </w:style>
  <w:style w:type="character" w:customStyle="1" w:styleId="WW-EndnoteReference1">
    <w:name w:val="WW-Endnote Reference1"/>
    <w:rsid w:val="003020DA"/>
    <w:rPr>
      <w:vertAlign w:val="superscript"/>
    </w:rPr>
  </w:style>
  <w:style w:type="character" w:customStyle="1" w:styleId="INS">
    <w:name w:val="INS"/>
    <w:rsid w:val="003020DA"/>
  </w:style>
  <w:style w:type="character" w:customStyle="1" w:styleId="RTFNum21">
    <w:name w:val="RTF_Num 2 1"/>
    <w:rsid w:val="003020DA"/>
    <w:rPr>
      <w:rFonts w:cs="Times New Roman"/>
      <w:b w:val="0"/>
      <w:bCs w:val="0"/>
      <w:i w:val="0"/>
      <w:iCs w:val="0"/>
      <w:sz w:val="16"/>
      <w:szCs w:val="16"/>
    </w:rPr>
  </w:style>
  <w:style w:type="character" w:customStyle="1" w:styleId="RTFNum22">
    <w:name w:val="RTF_Num 2 2"/>
    <w:rsid w:val="003020DA"/>
    <w:rPr>
      <w:rFonts w:ascii="Symbol" w:eastAsia="Symbol" w:hAnsi="Symbol" w:cs="Symbol"/>
      <w:sz w:val="16"/>
      <w:szCs w:val="16"/>
    </w:rPr>
  </w:style>
  <w:style w:type="character" w:customStyle="1" w:styleId="RTFNum23">
    <w:name w:val="RTF_Num 2 3"/>
    <w:rsid w:val="003020DA"/>
    <w:rPr>
      <w:rFonts w:cs="Times New Roman"/>
      <w:b w:val="0"/>
      <w:bCs w:val="0"/>
      <w:i w:val="0"/>
      <w:iCs w:val="0"/>
      <w:sz w:val="16"/>
      <w:szCs w:val="16"/>
    </w:rPr>
  </w:style>
  <w:style w:type="character" w:customStyle="1" w:styleId="RTFNum24">
    <w:name w:val="RTF_Num 2 4"/>
    <w:rsid w:val="003020DA"/>
    <w:rPr>
      <w:rFonts w:cs="Times New Roman"/>
    </w:rPr>
  </w:style>
  <w:style w:type="character" w:customStyle="1" w:styleId="RTFNum25">
    <w:name w:val="RTF_Num 2 5"/>
    <w:rsid w:val="003020DA"/>
    <w:rPr>
      <w:rFonts w:cs="Times New Roman"/>
    </w:rPr>
  </w:style>
  <w:style w:type="character" w:customStyle="1" w:styleId="RTFNum26">
    <w:name w:val="RTF_Num 2 6"/>
    <w:rsid w:val="003020DA"/>
    <w:rPr>
      <w:rFonts w:cs="Times New Roman"/>
    </w:rPr>
  </w:style>
  <w:style w:type="character" w:customStyle="1" w:styleId="RTFNum27">
    <w:name w:val="RTF_Num 2 7"/>
    <w:rsid w:val="003020DA"/>
    <w:rPr>
      <w:rFonts w:cs="Times New Roman"/>
    </w:rPr>
  </w:style>
  <w:style w:type="character" w:customStyle="1" w:styleId="RTFNum28">
    <w:name w:val="RTF_Num 2 8"/>
    <w:rsid w:val="003020DA"/>
    <w:rPr>
      <w:rFonts w:cs="Times New Roman"/>
    </w:rPr>
  </w:style>
  <w:style w:type="character" w:customStyle="1" w:styleId="RTFNum29">
    <w:name w:val="RTF_Num 2 9"/>
    <w:rsid w:val="003020DA"/>
    <w:rPr>
      <w:rFonts w:cs="Times New Roman"/>
    </w:rPr>
  </w:style>
  <w:style w:type="character" w:customStyle="1" w:styleId="Refdenotaalfinal1">
    <w:name w:val="Ref. de nota al final1"/>
    <w:rsid w:val="003020DA"/>
    <w:rPr>
      <w:position w:val="1"/>
      <w:sz w:val="14"/>
    </w:rPr>
  </w:style>
  <w:style w:type="character" w:customStyle="1" w:styleId="Heading2Char">
    <w:name w:val="Heading 2 Char"/>
    <w:basedOn w:val="WW-DefaultParagraphFont1"/>
    <w:rsid w:val="003020DA"/>
    <w:rPr>
      <w:rFonts w:ascii="Arial Black" w:hAnsi="Arial Black"/>
      <w:sz w:val="22"/>
      <w:szCs w:val="24"/>
      <w:lang w:val="en-US" w:eastAsia="ar-SA" w:bidi="ar-SA"/>
    </w:rPr>
  </w:style>
  <w:style w:type="character" w:customStyle="1" w:styleId="WW8Dropcap5">
    <w:name w:val="WW8Dropcap5"/>
    <w:rsid w:val="003020DA"/>
    <w:rPr>
      <w:color w:val="0066CC"/>
      <w:sz w:val="74"/>
    </w:rPr>
  </w:style>
  <w:style w:type="character" w:customStyle="1" w:styleId="WW-EndnoteReference12">
    <w:name w:val="WW-Endnote Reference12"/>
    <w:rsid w:val="003020DA"/>
    <w:rPr>
      <w:vertAlign w:val="superscript"/>
    </w:rPr>
  </w:style>
  <w:style w:type="paragraph" w:customStyle="1" w:styleId="Heading">
    <w:name w:val="Heading"/>
    <w:basedOn w:val="Normal"/>
    <w:next w:val="Textoindependiente"/>
    <w:uiPriority w:val="99"/>
    <w:rsid w:val="003020DA"/>
    <w:pPr>
      <w:keepNext/>
      <w:widowControl w:val="0"/>
      <w:suppressAutoHyphens/>
      <w:spacing w:before="240" w:after="120"/>
    </w:pPr>
    <w:rPr>
      <w:rFonts w:ascii="Arial" w:eastAsia="MS Mincho" w:hAnsi="Arial" w:cs="Arial Unicode MS"/>
      <w:sz w:val="28"/>
      <w:szCs w:val="28"/>
      <w:lang w:val="es-ES_tradnl" w:eastAsia="ar-SA"/>
    </w:rPr>
  </w:style>
  <w:style w:type="paragraph" w:customStyle="1" w:styleId="TableContents">
    <w:name w:val="Table Contents"/>
    <w:basedOn w:val="Normal"/>
    <w:uiPriority w:val="99"/>
    <w:rsid w:val="003020DA"/>
    <w:pPr>
      <w:widowControl w:val="0"/>
      <w:suppressLineNumbers/>
      <w:suppressAutoHyphens/>
    </w:pPr>
    <w:rPr>
      <w:rFonts w:eastAsia="Arial Unicode MS"/>
      <w:lang w:val="es-ES_tradnl" w:eastAsia="ar-SA"/>
    </w:rPr>
  </w:style>
  <w:style w:type="paragraph" w:customStyle="1" w:styleId="TableHeading">
    <w:name w:val="Table Heading"/>
    <w:basedOn w:val="TableContents"/>
    <w:uiPriority w:val="99"/>
    <w:rsid w:val="003020DA"/>
    <w:pPr>
      <w:jc w:val="center"/>
    </w:pPr>
    <w:rPr>
      <w:b/>
      <w:bCs/>
      <w:i/>
      <w:iCs/>
    </w:rPr>
  </w:style>
  <w:style w:type="paragraph" w:customStyle="1" w:styleId="Framecontents">
    <w:name w:val="Frame contents"/>
    <w:basedOn w:val="Textoindependiente"/>
    <w:uiPriority w:val="99"/>
    <w:rsid w:val="003020DA"/>
    <w:pPr>
      <w:widowControl w:val="0"/>
      <w:suppressAutoHyphens/>
      <w:spacing w:after="120" w:line="288" w:lineRule="auto"/>
      <w:ind w:firstLine="720"/>
      <w:jc w:val="both"/>
    </w:pPr>
    <w:rPr>
      <w:rFonts w:eastAsia="Arial Unicode MS"/>
      <w:sz w:val="24"/>
      <w:lang w:val="es-ES_tradnl" w:eastAsia="ar-SA"/>
    </w:rPr>
  </w:style>
  <w:style w:type="paragraph" w:customStyle="1" w:styleId="Index">
    <w:name w:val="Index"/>
    <w:basedOn w:val="Normal"/>
    <w:uiPriority w:val="99"/>
    <w:rsid w:val="003020DA"/>
    <w:pPr>
      <w:widowControl w:val="0"/>
      <w:suppressLineNumbers/>
      <w:suppressAutoHyphens/>
    </w:pPr>
    <w:rPr>
      <w:rFonts w:eastAsia="Arial Unicode MS" w:cs="Arial Unicode MS"/>
      <w:lang w:val="es-ES_tradnl" w:eastAsia="ar-SA"/>
    </w:rPr>
  </w:style>
  <w:style w:type="paragraph" w:customStyle="1" w:styleId="Bibliography1">
    <w:name w:val="Bibliography 1"/>
    <w:basedOn w:val="Normal"/>
    <w:uiPriority w:val="99"/>
    <w:rsid w:val="003020DA"/>
    <w:pPr>
      <w:widowControl w:val="0"/>
      <w:suppressLineNumbers/>
      <w:tabs>
        <w:tab w:val="right" w:leader="dot" w:pos="10404"/>
      </w:tabs>
      <w:suppressAutoHyphens/>
      <w:spacing w:before="173"/>
      <w:ind w:left="432" w:hanging="432"/>
    </w:pPr>
    <w:rPr>
      <w:rFonts w:eastAsia="Arial Unicode MS" w:cs="Arial Unicode MS"/>
      <w:lang w:val="es-ES_tradnl" w:eastAsia="ar-SA"/>
    </w:rPr>
  </w:style>
  <w:style w:type="paragraph" w:customStyle="1" w:styleId="-subsectionheader">
    <w:name w:val="- subsection header"/>
    <w:basedOn w:val="Normal"/>
    <w:uiPriority w:val="99"/>
    <w:rsid w:val="003020DA"/>
    <w:pPr>
      <w:widowControl w:val="0"/>
      <w:suppressAutoHyphens/>
      <w:spacing w:before="86" w:after="43"/>
    </w:pPr>
    <w:rPr>
      <w:rFonts w:eastAsia="Arial Unicode MS"/>
      <w:b/>
      <w:bCs/>
      <w:i/>
      <w:sz w:val="22"/>
      <w:szCs w:val="22"/>
      <w:lang w:val="es-ES_tradnl" w:eastAsia="ar-SA"/>
    </w:rPr>
  </w:style>
  <w:style w:type="paragraph" w:customStyle="1" w:styleId="-subsectionheaderII">
    <w:name w:val="- subsection header II"/>
    <w:basedOn w:val="-subsectionheader"/>
    <w:uiPriority w:val="99"/>
    <w:rsid w:val="003020DA"/>
    <w:rPr>
      <w:b w:val="0"/>
      <w:bCs w:val="0"/>
    </w:rPr>
  </w:style>
  <w:style w:type="paragraph" w:customStyle="1" w:styleId="-subheading">
    <w:name w:val="- subheading"/>
    <w:basedOn w:val="Textoindependiente"/>
    <w:uiPriority w:val="99"/>
    <w:rsid w:val="003020DA"/>
    <w:pPr>
      <w:widowControl w:val="0"/>
      <w:suppressAutoHyphens/>
      <w:spacing w:after="29" w:line="288" w:lineRule="auto"/>
      <w:ind w:firstLine="720"/>
      <w:jc w:val="both"/>
    </w:pPr>
    <w:rPr>
      <w:rFonts w:ascii="Arial Black" w:eastAsia="Arial Unicode MS" w:hAnsi="Arial Black"/>
      <w:bCs/>
      <w:i/>
      <w:iCs/>
      <w:sz w:val="22"/>
      <w:szCs w:val="22"/>
      <w:lang w:val="es-ES_tradnl" w:eastAsia="ar-SA"/>
    </w:rPr>
  </w:style>
  <w:style w:type="paragraph" w:customStyle="1" w:styleId="Bodycopy">
    <w:name w:val="Body copy"/>
    <w:basedOn w:val="Normal"/>
    <w:uiPriority w:val="99"/>
    <w:rsid w:val="003020DA"/>
    <w:pPr>
      <w:spacing w:before="120" w:after="120" w:line="100" w:lineRule="atLeast"/>
      <w:ind w:firstLine="360"/>
      <w:jc w:val="both"/>
    </w:pPr>
    <w:rPr>
      <w:sz w:val="22"/>
      <w:lang w:val="es-ES_tradnl" w:eastAsia="ar-SA"/>
    </w:rPr>
  </w:style>
  <w:style w:type="paragraph" w:customStyle="1" w:styleId="Bulletlistshort">
    <w:name w:val="Bullet list (short)"/>
    <w:basedOn w:val="Bodycopy"/>
    <w:next w:val="Bodycopy"/>
    <w:uiPriority w:val="99"/>
    <w:rsid w:val="003020DA"/>
    <w:pPr>
      <w:ind w:firstLine="0"/>
    </w:pPr>
  </w:style>
  <w:style w:type="paragraph" w:customStyle="1" w:styleId="Bulletsublist">
    <w:name w:val="Bullet sublist"/>
    <w:basedOn w:val="Bulletlistshort"/>
    <w:uiPriority w:val="99"/>
    <w:rsid w:val="003020DA"/>
  </w:style>
  <w:style w:type="paragraph" w:customStyle="1" w:styleId="Firstparagraph">
    <w:name w:val="First paragraph"/>
    <w:basedOn w:val="Bodycopy"/>
    <w:next w:val="Bodycopy"/>
    <w:uiPriority w:val="99"/>
    <w:rsid w:val="003020DA"/>
    <w:pPr>
      <w:ind w:firstLine="0"/>
    </w:pPr>
  </w:style>
  <w:style w:type="paragraph" w:customStyle="1" w:styleId="Textonotapie1">
    <w:name w:val="Texto nota pie1"/>
    <w:basedOn w:val="Firstparagraph"/>
    <w:uiPriority w:val="99"/>
    <w:rsid w:val="003020DA"/>
    <w:pPr>
      <w:spacing w:before="0" w:after="60"/>
    </w:pPr>
    <w:rPr>
      <w:sz w:val="20"/>
    </w:rPr>
  </w:style>
  <w:style w:type="paragraph" w:customStyle="1" w:styleId="Tabletext">
    <w:name w:val="Table text"/>
    <w:basedOn w:val="Bodycopy"/>
    <w:uiPriority w:val="99"/>
    <w:rsid w:val="003020DA"/>
    <w:pPr>
      <w:tabs>
        <w:tab w:val="left" w:pos="360"/>
        <w:tab w:val="left" w:pos="720"/>
      </w:tabs>
      <w:spacing w:before="40" w:after="40"/>
      <w:ind w:firstLine="0"/>
    </w:pPr>
    <w:rPr>
      <w:sz w:val="20"/>
    </w:rPr>
  </w:style>
  <w:style w:type="paragraph" w:customStyle="1" w:styleId="Sourcenotes">
    <w:name w:val="Source/notes"/>
    <w:basedOn w:val="Tabletext"/>
    <w:next w:val="Normal"/>
    <w:uiPriority w:val="99"/>
    <w:rsid w:val="003020DA"/>
    <w:pPr>
      <w:spacing w:before="80" w:after="0"/>
    </w:pPr>
  </w:style>
  <w:style w:type="paragraph" w:customStyle="1" w:styleId="Tablecellcaption">
    <w:name w:val="Table cell caption"/>
    <w:basedOn w:val="Tabletext"/>
    <w:uiPriority w:val="99"/>
    <w:rsid w:val="003020DA"/>
    <w:rPr>
      <w:rFonts w:ascii="Arial Black" w:hAnsi="Arial Black"/>
      <w:sz w:val="18"/>
      <w:lang w:val="en-GB"/>
    </w:rPr>
  </w:style>
  <w:style w:type="paragraph" w:customStyle="1" w:styleId="Tabletextindent">
    <w:name w:val="Table text indent"/>
    <w:basedOn w:val="Tabletext"/>
    <w:uiPriority w:val="99"/>
    <w:rsid w:val="003020DA"/>
    <w:pPr>
      <w:ind w:firstLine="360"/>
    </w:pPr>
  </w:style>
  <w:style w:type="paragraph" w:customStyle="1" w:styleId="References">
    <w:name w:val="References"/>
    <w:basedOn w:val="Firstparagraph"/>
    <w:uiPriority w:val="99"/>
    <w:rsid w:val="003020DA"/>
    <w:pPr>
      <w:ind w:left="720" w:hanging="720"/>
      <w:jc w:val="left"/>
    </w:pPr>
  </w:style>
  <w:style w:type="paragraph" w:customStyle="1" w:styleId="Boxtext">
    <w:name w:val="Box text"/>
    <w:basedOn w:val="Normal"/>
    <w:uiPriority w:val="99"/>
    <w:rsid w:val="003020DA"/>
    <w:pPr>
      <w:keepLines/>
      <w:spacing w:after="120"/>
    </w:pPr>
    <w:rPr>
      <w:sz w:val="20"/>
      <w:szCs w:val="20"/>
      <w:lang w:val="es-ES_tradnl" w:eastAsia="ar-SA"/>
    </w:rPr>
  </w:style>
  <w:style w:type="paragraph" w:customStyle="1" w:styleId="Chapterhead">
    <w:name w:val="Chapter head"/>
    <w:basedOn w:val="Normal"/>
    <w:uiPriority w:val="99"/>
    <w:rsid w:val="003020DA"/>
    <w:pPr>
      <w:spacing w:before="480" w:after="240"/>
      <w:jc w:val="center"/>
    </w:pPr>
    <w:rPr>
      <w:rFonts w:ascii="Arial Black" w:hAnsi="Arial Black"/>
      <w:sz w:val="44"/>
      <w:szCs w:val="20"/>
      <w:lang w:val="es-ES_tradnl" w:eastAsia="ar-SA"/>
    </w:rPr>
  </w:style>
  <w:style w:type="paragraph" w:customStyle="1" w:styleId="ChapterTitle">
    <w:name w:val="Chapter Title"/>
    <w:basedOn w:val="Normal"/>
    <w:uiPriority w:val="99"/>
    <w:rsid w:val="003020DA"/>
    <w:pPr>
      <w:spacing w:before="240" w:after="60"/>
      <w:jc w:val="center"/>
    </w:pPr>
    <w:rPr>
      <w:rFonts w:ascii="Arial" w:hAnsi="Arial" w:cs="Arial"/>
      <w:color w:val="CC9900"/>
      <w:kern w:val="1"/>
      <w:sz w:val="44"/>
      <w:szCs w:val="32"/>
      <w:lang w:val="es-ES_tradnl" w:eastAsia="ar-SA"/>
    </w:rPr>
  </w:style>
  <w:style w:type="paragraph" w:customStyle="1" w:styleId="Textonotaalfinal1">
    <w:name w:val="Texto nota al final1"/>
    <w:basedOn w:val="Normal"/>
    <w:uiPriority w:val="99"/>
    <w:rsid w:val="003020DA"/>
    <w:pPr>
      <w:widowControl w:val="0"/>
      <w:suppressAutoHyphens/>
    </w:pPr>
    <w:rPr>
      <w:rFonts w:eastAsia="Arial Unicode MS"/>
      <w:sz w:val="20"/>
      <w:szCs w:val="20"/>
      <w:lang w:val="es-ES_tradnl" w:eastAsia="ar-SA"/>
    </w:rPr>
  </w:style>
  <w:style w:type="paragraph" w:customStyle="1" w:styleId="Comment">
    <w:name w:val="Comment"/>
    <w:basedOn w:val="Ttulo2"/>
    <w:uiPriority w:val="99"/>
    <w:rsid w:val="003020DA"/>
    <w:pPr>
      <w:tabs>
        <w:tab w:val="left" w:pos="0"/>
      </w:tabs>
      <w:spacing w:before="0" w:after="187"/>
      <w:jc w:val="left"/>
    </w:pPr>
    <w:rPr>
      <w:rFonts w:ascii="Arial Narrow" w:hAnsi="Arial Narrow"/>
      <w:b w:val="0"/>
      <w:bCs w:val="0"/>
      <w:i/>
      <w:iCs/>
      <w:sz w:val="22"/>
      <w:szCs w:val="24"/>
      <w:lang w:val="en-US" w:eastAsia="ar-SA"/>
    </w:rPr>
  </w:style>
  <w:style w:type="paragraph" w:customStyle="1" w:styleId="Heading2wComment">
    <w:name w:val="Heading 2 w Comment"/>
    <w:basedOn w:val="Ttulo2"/>
    <w:uiPriority w:val="99"/>
    <w:rsid w:val="003020DA"/>
    <w:pPr>
      <w:tabs>
        <w:tab w:val="left" w:pos="0"/>
      </w:tabs>
      <w:spacing w:before="245" w:after="0"/>
      <w:jc w:val="left"/>
    </w:pPr>
    <w:rPr>
      <w:rFonts w:ascii="Arial Black" w:hAnsi="Arial Black"/>
      <w:b w:val="0"/>
      <w:bCs w:val="0"/>
      <w:sz w:val="22"/>
      <w:szCs w:val="24"/>
      <w:lang w:val="en-US" w:eastAsia="ar-SA"/>
    </w:rPr>
  </w:style>
  <w:style w:type="paragraph" w:customStyle="1" w:styleId="Bigletterpara">
    <w:name w:val="Big letter para"/>
    <w:basedOn w:val="Firstparagraph"/>
    <w:uiPriority w:val="99"/>
    <w:rsid w:val="003020DA"/>
    <w:pPr>
      <w:spacing w:before="240"/>
    </w:pPr>
  </w:style>
  <w:style w:type="character" w:styleId="Refdecomentario">
    <w:name w:val="annotation reference"/>
    <w:basedOn w:val="Fuentedeprrafopredeter"/>
    <w:uiPriority w:val="99"/>
    <w:semiHidden/>
    <w:rsid w:val="003020DA"/>
    <w:rPr>
      <w:sz w:val="16"/>
      <w:szCs w:val="16"/>
    </w:rPr>
  </w:style>
  <w:style w:type="paragraph" w:styleId="Textocomentario">
    <w:name w:val="annotation text"/>
    <w:basedOn w:val="Normal"/>
    <w:link w:val="TextocomentarioCar"/>
    <w:uiPriority w:val="99"/>
    <w:rsid w:val="003020DA"/>
    <w:pPr>
      <w:widowControl w:val="0"/>
      <w:suppressAutoHyphens/>
    </w:pPr>
    <w:rPr>
      <w:rFonts w:eastAsia="Arial Unicode MS"/>
      <w:sz w:val="20"/>
      <w:szCs w:val="20"/>
      <w:lang w:val="es-ES_tradnl" w:eastAsia="ar-SA"/>
    </w:rPr>
  </w:style>
  <w:style w:type="paragraph" w:styleId="Asuntodelcomentario">
    <w:name w:val="annotation subject"/>
    <w:basedOn w:val="Textocomentario"/>
    <w:next w:val="Textocomentario"/>
    <w:link w:val="AsuntodelcomentarioCar"/>
    <w:uiPriority w:val="99"/>
    <w:semiHidden/>
    <w:rsid w:val="003020DA"/>
    <w:rPr>
      <w:b/>
      <w:bCs/>
    </w:rPr>
  </w:style>
  <w:style w:type="character" w:customStyle="1" w:styleId="contenido1">
    <w:name w:val="contenido1"/>
    <w:basedOn w:val="Fuentedeprrafopredeter"/>
    <w:rsid w:val="003020DA"/>
    <w:rPr>
      <w:rFonts w:ascii="Verdana" w:hAnsi="Verdana" w:hint="default"/>
      <w:color w:val="333333"/>
      <w:sz w:val="9"/>
      <w:szCs w:val="9"/>
    </w:rPr>
  </w:style>
  <w:style w:type="paragraph" w:customStyle="1" w:styleId="contenido">
    <w:name w:val="contenido"/>
    <w:basedOn w:val="Normal"/>
    <w:uiPriority w:val="99"/>
    <w:rsid w:val="003020DA"/>
    <w:pPr>
      <w:spacing w:before="100" w:beforeAutospacing="1" w:after="100" w:afterAutospacing="1"/>
    </w:pPr>
    <w:rPr>
      <w:rFonts w:ascii="Verdana" w:hAnsi="Verdana"/>
      <w:color w:val="333333"/>
      <w:sz w:val="9"/>
      <w:szCs w:val="9"/>
      <w:lang w:val="es-ES"/>
    </w:rPr>
  </w:style>
  <w:style w:type="numbering" w:customStyle="1" w:styleId="Sinlista6">
    <w:name w:val="Sin lista6"/>
    <w:next w:val="Sinlista"/>
    <w:semiHidden/>
    <w:unhideWhenUsed/>
    <w:rsid w:val="00B83D8B"/>
  </w:style>
  <w:style w:type="paragraph" w:customStyle="1" w:styleId="CarCarCarCarCarCarCar">
    <w:name w:val="Car Car Car Car Car Car Car"/>
    <w:basedOn w:val="Normal"/>
    <w:rsid w:val="00B83D8B"/>
    <w:pPr>
      <w:spacing w:after="160" w:line="240" w:lineRule="exact"/>
    </w:pPr>
    <w:rPr>
      <w:rFonts w:ascii="Tahoma" w:hAnsi="Tahoma"/>
      <w:sz w:val="20"/>
      <w:szCs w:val="20"/>
      <w:lang w:val="en-US" w:eastAsia="en-US"/>
    </w:rPr>
  </w:style>
  <w:style w:type="table" w:customStyle="1" w:styleId="Tablaconcuadrcula9">
    <w:name w:val="Tabla con cuadrícula9"/>
    <w:basedOn w:val="Tablanormal"/>
    <w:next w:val="Tablaconcuadrcula"/>
    <w:rsid w:val="00B83D8B"/>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7">
    <w:name w:val="Sin lista7"/>
    <w:next w:val="Sinlista"/>
    <w:semiHidden/>
    <w:unhideWhenUsed/>
    <w:rsid w:val="000D4BB7"/>
  </w:style>
  <w:style w:type="table" w:customStyle="1" w:styleId="Tablaconcuadrcula100">
    <w:name w:val="Tabla con cuadrícula10"/>
    <w:basedOn w:val="Tablanormal"/>
    <w:next w:val="Tablaconcuadrcula"/>
    <w:rsid w:val="000D4BB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2">
    <w:name w:val="Tabla con cuadrícula12"/>
    <w:basedOn w:val="Tablanormal"/>
    <w:next w:val="Tablaconcuadrcula"/>
    <w:rsid w:val="000D4B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
    <w:name w:val="Tabla con cuadrícula13"/>
    <w:basedOn w:val="Tablanormal"/>
    <w:next w:val="Tablaconcuadrcula"/>
    <w:rsid w:val="00D87419"/>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
    <w:name w:val="Sin lista8"/>
    <w:next w:val="Sinlista"/>
    <w:semiHidden/>
    <w:unhideWhenUsed/>
    <w:rsid w:val="00A51645"/>
  </w:style>
  <w:style w:type="table" w:customStyle="1" w:styleId="Tablaconcuadrcula14">
    <w:name w:val="Tabla con cuadrícula14"/>
    <w:basedOn w:val="Tablanormal"/>
    <w:next w:val="Tablaconcuadrcula"/>
    <w:rsid w:val="00A51645"/>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9">
    <w:name w:val="Sin lista9"/>
    <w:next w:val="Sinlista"/>
    <w:semiHidden/>
    <w:rsid w:val="00EF6A8F"/>
  </w:style>
  <w:style w:type="paragraph" w:customStyle="1" w:styleId="WebHeadline">
    <w:name w:val="_WebHeadline"/>
    <w:basedOn w:val="Normal"/>
    <w:next w:val="Normal"/>
    <w:uiPriority w:val="99"/>
    <w:rsid w:val="00336F7F"/>
    <w:pPr>
      <w:autoSpaceDE w:val="0"/>
      <w:autoSpaceDN w:val="0"/>
      <w:adjustRightInd w:val="0"/>
      <w:spacing w:after="240"/>
    </w:pPr>
    <w:rPr>
      <w:rFonts w:ascii="Arial" w:hAnsi="Arial"/>
      <w:lang w:val="es-ES"/>
    </w:rPr>
  </w:style>
  <w:style w:type="character" w:customStyle="1" w:styleId="A1">
    <w:name w:val="A1"/>
    <w:rsid w:val="0085605D"/>
    <w:rPr>
      <w:rFonts w:cs="Frutiger LT Std 45 Light"/>
      <w:b/>
      <w:bCs/>
      <w:color w:val="000000"/>
      <w:sz w:val="20"/>
      <w:szCs w:val="20"/>
    </w:rPr>
  </w:style>
  <w:style w:type="character" w:customStyle="1" w:styleId="A18">
    <w:name w:val="A18"/>
    <w:rsid w:val="0085605D"/>
    <w:rPr>
      <w:rFonts w:cs="Frutiger LT Std 45 Light"/>
      <w:color w:val="000000"/>
    </w:rPr>
  </w:style>
  <w:style w:type="numbering" w:customStyle="1" w:styleId="Sinlista10">
    <w:name w:val="Sin lista10"/>
    <w:next w:val="Sinlista"/>
    <w:semiHidden/>
    <w:unhideWhenUsed/>
    <w:rsid w:val="00447456"/>
  </w:style>
  <w:style w:type="numbering" w:customStyle="1" w:styleId="Sinlista13">
    <w:name w:val="Sin lista13"/>
    <w:next w:val="Sinlista"/>
    <w:semiHidden/>
    <w:rsid w:val="00447456"/>
  </w:style>
  <w:style w:type="table" w:customStyle="1" w:styleId="Tablaconcuadrcula52">
    <w:name w:val="Tabla con cuadrícula52"/>
    <w:basedOn w:val="Tablanormal"/>
    <w:next w:val="Tablaconcuadrcula"/>
    <w:rsid w:val="005158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
    <w:name w:val="Tabla con cuadrícula15"/>
    <w:basedOn w:val="Tablanormal"/>
    <w:next w:val="Tablaconcuadrcula"/>
    <w:rsid w:val="0048699B"/>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
    <w:name w:val="Sin lista14"/>
    <w:next w:val="Sinlista"/>
    <w:semiHidden/>
    <w:rsid w:val="00D117DF"/>
  </w:style>
  <w:style w:type="table" w:customStyle="1" w:styleId="Tablaconcuadrcula16">
    <w:name w:val="Tabla con cuadrícula16"/>
    <w:basedOn w:val="Tablanormal"/>
    <w:next w:val="Tablaconcuadrcula"/>
    <w:rsid w:val="00D117D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
    <w:name w:val="Sin lista15"/>
    <w:next w:val="Sinlista"/>
    <w:semiHidden/>
    <w:rsid w:val="00F571F5"/>
  </w:style>
  <w:style w:type="table" w:customStyle="1" w:styleId="Tablaconcuadrcula17">
    <w:name w:val="Tabla con cuadrícula17"/>
    <w:basedOn w:val="Tablanormal"/>
    <w:next w:val="Tablaconcuadrcula"/>
    <w:rsid w:val="00F571F5"/>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6">
    <w:name w:val="Sin lista16"/>
    <w:next w:val="Sinlista"/>
    <w:semiHidden/>
    <w:rsid w:val="00236012"/>
  </w:style>
  <w:style w:type="table" w:customStyle="1" w:styleId="Tablaconcuadrcula18">
    <w:name w:val="Tabla con cuadrícula18"/>
    <w:basedOn w:val="Tablanormal"/>
    <w:next w:val="Tablaconcuadrcula"/>
    <w:rsid w:val="00236012"/>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
    <w:name w:val="Tabla con cuadrícula19"/>
    <w:basedOn w:val="Tablanormal"/>
    <w:next w:val="Tablaconcuadrcula"/>
    <w:rsid w:val="00B246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07">
    <w:name w:val="Pa0+7"/>
    <w:basedOn w:val="Normal"/>
    <w:next w:val="Normal"/>
    <w:uiPriority w:val="99"/>
    <w:rsid w:val="006B6EB3"/>
    <w:pPr>
      <w:autoSpaceDE w:val="0"/>
      <w:autoSpaceDN w:val="0"/>
      <w:adjustRightInd w:val="0"/>
      <w:spacing w:line="241" w:lineRule="atLeast"/>
    </w:pPr>
    <w:rPr>
      <w:rFonts w:ascii="Lucida Sans" w:hAnsi="Lucida Sans"/>
      <w:lang w:val="es-ES"/>
    </w:rPr>
  </w:style>
  <w:style w:type="character" w:customStyle="1" w:styleId="A07">
    <w:name w:val="A0+7"/>
    <w:rsid w:val="006B6EB3"/>
    <w:rPr>
      <w:rFonts w:cs="Lucida Sans"/>
      <w:b/>
      <w:bCs/>
      <w:color w:val="000000"/>
      <w:sz w:val="32"/>
      <w:szCs w:val="32"/>
    </w:rPr>
  </w:style>
  <w:style w:type="character" w:customStyle="1" w:styleId="A17">
    <w:name w:val="A1+7"/>
    <w:rsid w:val="006B6EB3"/>
    <w:rPr>
      <w:rFonts w:cs="Lucida Sans"/>
      <w:color w:val="000000"/>
      <w:sz w:val="28"/>
      <w:szCs w:val="28"/>
    </w:rPr>
  </w:style>
  <w:style w:type="paragraph" w:customStyle="1" w:styleId="Pa91">
    <w:name w:val="Pa9+1"/>
    <w:basedOn w:val="Normal"/>
    <w:next w:val="Normal"/>
    <w:uiPriority w:val="99"/>
    <w:rsid w:val="006B6EB3"/>
    <w:pPr>
      <w:autoSpaceDE w:val="0"/>
      <w:autoSpaceDN w:val="0"/>
      <w:adjustRightInd w:val="0"/>
      <w:spacing w:line="241" w:lineRule="atLeast"/>
    </w:pPr>
    <w:rPr>
      <w:rFonts w:ascii="Lucida Sans" w:hAnsi="Lucida Sans"/>
      <w:lang w:val="es-ES"/>
    </w:rPr>
  </w:style>
  <w:style w:type="character" w:customStyle="1" w:styleId="A01">
    <w:name w:val="A0+1"/>
    <w:rsid w:val="006B6EB3"/>
    <w:rPr>
      <w:rFonts w:cs="Lucida Sans"/>
      <w:b/>
      <w:bCs/>
      <w:color w:val="000000"/>
      <w:sz w:val="32"/>
      <w:szCs w:val="32"/>
    </w:rPr>
  </w:style>
  <w:style w:type="paragraph" w:customStyle="1" w:styleId="waiarticlechapeau1">
    <w:name w:val="wai_article_chapeau1"/>
    <w:basedOn w:val="Normal"/>
    <w:uiPriority w:val="99"/>
    <w:rsid w:val="00F75F76"/>
    <w:pPr>
      <w:spacing w:before="100" w:beforeAutospacing="1" w:after="100" w:afterAutospacing="1"/>
    </w:pPr>
    <w:rPr>
      <w:b/>
      <w:bCs/>
      <w:lang w:val="es-ES"/>
    </w:rPr>
  </w:style>
  <w:style w:type="paragraph" w:customStyle="1" w:styleId="Ttulo11">
    <w:name w:val="Título1"/>
    <w:basedOn w:val="Normal"/>
    <w:uiPriority w:val="99"/>
    <w:rsid w:val="00896463"/>
    <w:pPr>
      <w:spacing w:before="100" w:beforeAutospacing="1" w:after="100" w:afterAutospacing="1"/>
    </w:pPr>
    <w:rPr>
      <w:color w:val="000000"/>
      <w:lang w:val="es-ES"/>
    </w:rPr>
  </w:style>
  <w:style w:type="paragraph" w:customStyle="1" w:styleId="separadorherramientas">
    <w:name w:val="separador_herramientas"/>
    <w:basedOn w:val="Normal"/>
    <w:uiPriority w:val="99"/>
    <w:rsid w:val="00C60E4B"/>
    <w:pPr>
      <w:spacing w:before="100" w:beforeAutospacing="1" w:after="100" w:afterAutospacing="1"/>
    </w:pPr>
    <w:rPr>
      <w:rFonts w:ascii="Verdana" w:hAnsi="Verdana"/>
      <w:b/>
      <w:bCs/>
      <w:color w:val="00B5CC"/>
      <w:sz w:val="9"/>
      <w:szCs w:val="9"/>
      <w:lang w:val="es-ES"/>
    </w:rPr>
  </w:style>
  <w:style w:type="paragraph" w:customStyle="1" w:styleId="formobservaciones">
    <w:name w:val="form_observaciones"/>
    <w:basedOn w:val="Normal"/>
    <w:uiPriority w:val="99"/>
    <w:rsid w:val="00C60E4B"/>
    <w:pPr>
      <w:spacing w:before="100" w:beforeAutospacing="1" w:after="100" w:afterAutospacing="1"/>
    </w:pPr>
    <w:rPr>
      <w:lang w:val="es-ES"/>
    </w:rPr>
  </w:style>
  <w:style w:type="paragraph" w:customStyle="1" w:styleId="menuprincipal">
    <w:name w:val="menu_principal"/>
    <w:basedOn w:val="Normal"/>
    <w:uiPriority w:val="99"/>
    <w:rsid w:val="00C60E4B"/>
    <w:pPr>
      <w:shd w:val="clear" w:color="auto" w:fill="C7DBF3"/>
    </w:pPr>
    <w:rPr>
      <w:lang w:val="es-ES"/>
    </w:rPr>
  </w:style>
  <w:style w:type="paragraph" w:customStyle="1" w:styleId="titulonotasecundaria1">
    <w:name w:val="titulo_notasecundaria1"/>
    <w:basedOn w:val="Normal"/>
    <w:uiPriority w:val="99"/>
    <w:rsid w:val="00C60E4B"/>
    <w:pPr>
      <w:spacing w:before="100" w:beforeAutospacing="1" w:after="100" w:afterAutospacing="1"/>
    </w:pPr>
    <w:rPr>
      <w:rFonts w:ascii="Verdana" w:hAnsi="Verdana"/>
      <w:b/>
      <w:bCs/>
      <w:color w:val="5D98D3"/>
      <w:sz w:val="12"/>
      <w:szCs w:val="12"/>
      <w:lang w:val="es-ES"/>
    </w:rPr>
  </w:style>
  <w:style w:type="paragraph" w:customStyle="1" w:styleId="tituloseccioninterior">
    <w:name w:val="titulo_seccioninterior"/>
    <w:basedOn w:val="Normal"/>
    <w:uiPriority w:val="99"/>
    <w:rsid w:val="00C60E4B"/>
    <w:pPr>
      <w:spacing w:before="100" w:beforeAutospacing="1" w:after="100" w:afterAutospacing="1"/>
    </w:pPr>
    <w:rPr>
      <w:rFonts w:ascii="Verdana" w:hAnsi="Verdana"/>
      <w:b/>
      <w:bCs/>
      <w:color w:val="00B5CC"/>
      <w:sz w:val="14"/>
      <w:szCs w:val="14"/>
      <w:lang w:val="es-ES"/>
    </w:rPr>
  </w:style>
  <w:style w:type="paragraph" w:customStyle="1" w:styleId="subtituloseccioninterior">
    <w:name w:val="subtitulo_seccioninterior"/>
    <w:basedOn w:val="Normal"/>
    <w:uiPriority w:val="99"/>
    <w:rsid w:val="00C60E4B"/>
    <w:pPr>
      <w:spacing w:before="100" w:beforeAutospacing="1" w:after="100" w:afterAutospacing="1"/>
    </w:pPr>
    <w:rPr>
      <w:rFonts w:ascii="Verdana" w:hAnsi="Verdana"/>
      <w:b/>
      <w:bCs/>
      <w:color w:val="0768A9"/>
      <w:sz w:val="12"/>
      <w:szCs w:val="12"/>
      <w:lang w:val="es-ES"/>
    </w:rPr>
  </w:style>
  <w:style w:type="paragraph" w:customStyle="1" w:styleId="enlaceslabel">
    <w:name w:val="enlaceslabel"/>
    <w:basedOn w:val="Normal"/>
    <w:uiPriority w:val="99"/>
    <w:rsid w:val="00C60E4B"/>
    <w:pPr>
      <w:spacing w:before="100" w:beforeAutospacing="1" w:after="100" w:afterAutospacing="1"/>
    </w:pPr>
    <w:rPr>
      <w:rFonts w:ascii="Verdana" w:hAnsi="Verdana"/>
      <w:color w:val="595959"/>
      <w:sz w:val="10"/>
      <w:szCs w:val="10"/>
      <w:lang w:val="es-ES"/>
    </w:rPr>
  </w:style>
  <w:style w:type="paragraph" w:customStyle="1" w:styleId="fechaportal">
    <w:name w:val="fecha_portal"/>
    <w:basedOn w:val="Normal"/>
    <w:uiPriority w:val="99"/>
    <w:rsid w:val="00C60E4B"/>
    <w:pPr>
      <w:spacing w:before="100" w:beforeAutospacing="1" w:after="100" w:afterAutospacing="1"/>
    </w:pPr>
    <w:rPr>
      <w:rFonts w:ascii="Verdana" w:hAnsi="Verdana"/>
      <w:color w:val="FFFFFF"/>
      <w:sz w:val="10"/>
      <w:szCs w:val="10"/>
      <w:lang w:val="es-ES"/>
    </w:rPr>
  </w:style>
  <w:style w:type="paragraph" w:customStyle="1" w:styleId="fechanoticias">
    <w:name w:val="fecha_noticias"/>
    <w:basedOn w:val="Normal"/>
    <w:uiPriority w:val="99"/>
    <w:rsid w:val="00C60E4B"/>
    <w:pPr>
      <w:spacing w:before="100" w:beforeAutospacing="1" w:after="100" w:afterAutospacing="1"/>
    </w:pPr>
    <w:rPr>
      <w:rFonts w:ascii="Verdana" w:hAnsi="Verdana"/>
      <w:b/>
      <w:bCs/>
      <w:color w:val="595959"/>
      <w:sz w:val="11"/>
      <w:szCs w:val="11"/>
      <w:lang w:val="es-ES"/>
    </w:rPr>
  </w:style>
  <w:style w:type="paragraph" w:customStyle="1" w:styleId="imprimirenviar">
    <w:name w:val="imprimir_enviar"/>
    <w:basedOn w:val="Normal"/>
    <w:uiPriority w:val="99"/>
    <w:rsid w:val="00C60E4B"/>
    <w:pPr>
      <w:spacing w:before="100" w:beforeAutospacing="1" w:after="100" w:afterAutospacing="1"/>
    </w:pPr>
    <w:rPr>
      <w:rFonts w:ascii="Verdana" w:hAnsi="Verdana"/>
      <w:b/>
      <w:bCs/>
      <w:color w:val="595959"/>
      <w:sz w:val="11"/>
      <w:szCs w:val="11"/>
      <w:lang w:val="es-ES"/>
    </w:rPr>
  </w:style>
  <w:style w:type="paragraph" w:customStyle="1" w:styleId="separador">
    <w:name w:val="separador"/>
    <w:basedOn w:val="Normal"/>
    <w:uiPriority w:val="99"/>
    <w:rsid w:val="00C60E4B"/>
    <w:pPr>
      <w:spacing w:before="100" w:beforeAutospacing="1" w:after="100" w:afterAutospacing="1"/>
    </w:pPr>
    <w:rPr>
      <w:rFonts w:ascii="Verdana" w:hAnsi="Verdana"/>
      <w:b/>
      <w:bCs/>
      <w:color w:val="00B5CC"/>
      <w:sz w:val="11"/>
      <w:szCs w:val="11"/>
      <w:lang w:val="es-ES"/>
    </w:rPr>
  </w:style>
  <w:style w:type="paragraph" w:customStyle="1" w:styleId="breadcrumb">
    <w:name w:val="breadcrumb"/>
    <w:basedOn w:val="Normal"/>
    <w:uiPriority w:val="99"/>
    <w:rsid w:val="00C60E4B"/>
    <w:pPr>
      <w:spacing w:before="100" w:beforeAutospacing="1" w:after="100" w:afterAutospacing="1"/>
    </w:pPr>
    <w:rPr>
      <w:rFonts w:ascii="Verdana" w:hAnsi="Verdana"/>
      <w:b/>
      <w:bCs/>
      <w:color w:val="00B5CC"/>
      <w:sz w:val="11"/>
      <w:szCs w:val="11"/>
      <w:lang w:val="es-ES"/>
    </w:rPr>
  </w:style>
  <w:style w:type="paragraph" w:customStyle="1" w:styleId="txt">
    <w:name w:val="txt"/>
    <w:basedOn w:val="Normal"/>
    <w:uiPriority w:val="99"/>
    <w:rsid w:val="00C60E4B"/>
    <w:pPr>
      <w:spacing w:before="100" w:beforeAutospacing="1" w:after="100" w:afterAutospacing="1"/>
    </w:pPr>
    <w:rPr>
      <w:rFonts w:ascii="Verdana" w:hAnsi="Verdana"/>
      <w:color w:val="595959"/>
      <w:sz w:val="10"/>
      <w:szCs w:val="10"/>
      <w:lang w:val="es-ES"/>
    </w:rPr>
  </w:style>
  <w:style w:type="paragraph" w:customStyle="1" w:styleId="txtgab">
    <w:name w:val="txtgab"/>
    <w:basedOn w:val="Normal"/>
    <w:uiPriority w:val="99"/>
    <w:rsid w:val="00C60E4B"/>
    <w:pPr>
      <w:spacing w:before="100" w:beforeAutospacing="1" w:after="100" w:afterAutospacing="1"/>
      <w:ind w:firstLine="100"/>
    </w:pPr>
    <w:rPr>
      <w:rFonts w:ascii="Verdana" w:hAnsi="Verdana"/>
      <w:color w:val="595959"/>
      <w:sz w:val="10"/>
      <w:szCs w:val="10"/>
      <w:lang w:val="es-ES"/>
    </w:rPr>
  </w:style>
  <w:style w:type="paragraph" w:customStyle="1" w:styleId="txtblanco">
    <w:name w:val="txt_blanco"/>
    <w:basedOn w:val="Normal"/>
    <w:uiPriority w:val="99"/>
    <w:rsid w:val="00C60E4B"/>
    <w:pPr>
      <w:spacing w:before="100" w:beforeAutospacing="1" w:after="100" w:afterAutospacing="1"/>
    </w:pPr>
    <w:rPr>
      <w:rFonts w:ascii="Verdana" w:hAnsi="Verdana"/>
      <w:b/>
      <w:bCs/>
      <w:color w:val="FFFFFF"/>
      <w:sz w:val="12"/>
      <w:szCs w:val="12"/>
      <w:lang w:val="es-ES"/>
    </w:rPr>
  </w:style>
  <w:style w:type="paragraph" w:customStyle="1" w:styleId="txtblanco2">
    <w:name w:val="txt_blanco2"/>
    <w:basedOn w:val="Normal"/>
    <w:uiPriority w:val="99"/>
    <w:rsid w:val="00C60E4B"/>
    <w:pPr>
      <w:spacing w:before="100" w:beforeAutospacing="1" w:after="100" w:afterAutospacing="1"/>
    </w:pPr>
    <w:rPr>
      <w:rFonts w:ascii="Verdana" w:hAnsi="Verdana"/>
      <w:b/>
      <w:bCs/>
      <w:color w:val="FFFFFF"/>
      <w:sz w:val="10"/>
      <w:szCs w:val="10"/>
      <w:lang w:val="es-ES"/>
    </w:rPr>
  </w:style>
  <w:style w:type="paragraph" w:customStyle="1" w:styleId="txtazul">
    <w:name w:val="txt_azul"/>
    <w:basedOn w:val="Normal"/>
    <w:uiPriority w:val="99"/>
    <w:rsid w:val="00C60E4B"/>
    <w:pPr>
      <w:spacing w:before="100" w:beforeAutospacing="1" w:after="100" w:afterAutospacing="1"/>
    </w:pPr>
    <w:rPr>
      <w:rFonts w:ascii="Verdana" w:hAnsi="Verdana"/>
      <w:color w:val="1E6AC2"/>
      <w:sz w:val="10"/>
      <w:szCs w:val="10"/>
      <w:lang w:val="es-ES"/>
    </w:rPr>
  </w:style>
  <w:style w:type="paragraph" w:customStyle="1" w:styleId="titleazul">
    <w:name w:val="title_azul"/>
    <w:basedOn w:val="Normal"/>
    <w:uiPriority w:val="99"/>
    <w:rsid w:val="00C60E4B"/>
    <w:pPr>
      <w:spacing w:before="100" w:beforeAutospacing="1" w:after="100" w:afterAutospacing="1"/>
    </w:pPr>
    <w:rPr>
      <w:rFonts w:ascii="Verdana" w:hAnsi="Verdana"/>
      <w:b/>
      <w:bCs/>
      <w:color w:val="1E6AC2"/>
      <w:sz w:val="12"/>
      <w:szCs w:val="12"/>
      <w:lang w:val="es-ES"/>
    </w:rPr>
  </w:style>
  <w:style w:type="paragraph" w:customStyle="1" w:styleId="subtitleazul">
    <w:name w:val="subtitle_azul"/>
    <w:basedOn w:val="Normal"/>
    <w:uiPriority w:val="99"/>
    <w:rsid w:val="00C60E4B"/>
    <w:pPr>
      <w:spacing w:before="100" w:beforeAutospacing="1" w:after="100" w:afterAutospacing="1"/>
    </w:pPr>
    <w:rPr>
      <w:rFonts w:ascii="Verdana" w:hAnsi="Verdana"/>
      <w:b/>
      <w:bCs/>
      <w:color w:val="1E6AC2"/>
      <w:sz w:val="10"/>
      <w:szCs w:val="10"/>
      <w:lang w:val="es-ES"/>
    </w:rPr>
  </w:style>
  <w:style w:type="paragraph" w:customStyle="1" w:styleId="txtgral">
    <w:name w:val="txt_gral"/>
    <w:basedOn w:val="Normal"/>
    <w:uiPriority w:val="99"/>
    <w:rsid w:val="00C60E4B"/>
    <w:pPr>
      <w:spacing w:before="100" w:beforeAutospacing="1" w:after="100" w:afterAutospacing="1"/>
    </w:pPr>
    <w:rPr>
      <w:rFonts w:ascii="Verdana" w:hAnsi="Verdana"/>
      <w:color w:val="595959"/>
      <w:sz w:val="11"/>
      <w:szCs w:val="11"/>
      <w:lang w:val="es-ES"/>
    </w:rPr>
  </w:style>
  <w:style w:type="paragraph" w:customStyle="1" w:styleId="actualizacion">
    <w:name w:val="actualizacion"/>
    <w:basedOn w:val="Normal"/>
    <w:uiPriority w:val="99"/>
    <w:rsid w:val="00C60E4B"/>
    <w:pPr>
      <w:spacing w:before="100" w:beforeAutospacing="1" w:after="100" w:afterAutospacing="1"/>
    </w:pPr>
    <w:rPr>
      <w:rFonts w:ascii="Verdana" w:hAnsi="Verdana"/>
      <w:color w:val="808080"/>
      <w:sz w:val="9"/>
      <w:szCs w:val="9"/>
      <w:lang w:val="es-ES"/>
    </w:rPr>
  </w:style>
  <w:style w:type="paragraph" w:customStyle="1" w:styleId="Piedepgina1">
    <w:name w:val="Pie de página1"/>
    <w:basedOn w:val="Normal"/>
    <w:rsid w:val="00C60E4B"/>
    <w:pPr>
      <w:spacing w:before="100" w:beforeAutospacing="1" w:after="100" w:afterAutospacing="1"/>
    </w:pPr>
    <w:rPr>
      <w:rFonts w:ascii="Verdana" w:hAnsi="Verdana"/>
      <w:color w:val="FFFFFF"/>
      <w:sz w:val="9"/>
      <w:szCs w:val="9"/>
      <w:lang w:val="es-ES"/>
    </w:rPr>
  </w:style>
  <w:style w:type="paragraph" w:customStyle="1" w:styleId="footer2">
    <w:name w:val="footer2"/>
    <w:basedOn w:val="Normal"/>
    <w:rsid w:val="00C60E4B"/>
    <w:pPr>
      <w:spacing w:before="100" w:beforeAutospacing="1" w:after="100" w:afterAutospacing="1"/>
    </w:pPr>
    <w:rPr>
      <w:rFonts w:ascii="Verdana" w:hAnsi="Verdana"/>
      <w:color w:val="BABABA"/>
      <w:sz w:val="9"/>
      <w:szCs w:val="9"/>
      <w:lang w:val="es-ES"/>
    </w:rPr>
  </w:style>
  <w:style w:type="paragraph" w:customStyle="1" w:styleId="menusuperiorinicio">
    <w:name w:val="menu_superior_inicio"/>
    <w:basedOn w:val="Normal"/>
    <w:uiPriority w:val="99"/>
    <w:rsid w:val="00C60E4B"/>
    <w:pPr>
      <w:spacing w:before="100" w:beforeAutospacing="1" w:after="100" w:afterAutospacing="1"/>
    </w:pPr>
    <w:rPr>
      <w:lang w:val="es-ES"/>
    </w:rPr>
  </w:style>
  <w:style w:type="paragraph" w:customStyle="1" w:styleId="menusuperiormapadelsitio">
    <w:name w:val="menu_superior_mapadelsitio"/>
    <w:basedOn w:val="Normal"/>
    <w:uiPriority w:val="99"/>
    <w:rsid w:val="00C60E4B"/>
    <w:pPr>
      <w:spacing w:before="100" w:beforeAutospacing="1" w:after="100" w:afterAutospacing="1"/>
    </w:pPr>
    <w:rPr>
      <w:lang w:val="es-ES"/>
    </w:rPr>
  </w:style>
  <w:style w:type="paragraph" w:customStyle="1" w:styleId="menusuperiorcontacto">
    <w:name w:val="menu_superior_contacto"/>
    <w:basedOn w:val="Normal"/>
    <w:uiPriority w:val="99"/>
    <w:rsid w:val="00C60E4B"/>
    <w:pPr>
      <w:spacing w:before="100" w:beforeAutospacing="1" w:after="100" w:afterAutospacing="1"/>
    </w:pPr>
    <w:rPr>
      <w:lang w:val="es-ES"/>
    </w:rPr>
  </w:style>
  <w:style w:type="paragraph" w:customStyle="1" w:styleId="menusuperiorespaniol">
    <w:name w:val="menu_superior_espaniol"/>
    <w:basedOn w:val="Normal"/>
    <w:uiPriority w:val="99"/>
    <w:rsid w:val="00C60E4B"/>
    <w:pPr>
      <w:spacing w:before="100" w:beforeAutospacing="1" w:after="100" w:afterAutospacing="1"/>
    </w:pPr>
    <w:rPr>
      <w:lang w:val="es-ES"/>
    </w:rPr>
  </w:style>
  <w:style w:type="paragraph" w:customStyle="1" w:styleId="menusuperioringles">
    <w:name w:val="menu_superior_ingles"/>
    <w:basedOn w:val="Normal"/>
    <w:uiPriority w:val="99"/>
    <w:rsid w:val="00C60E4B"/>
    <w:pPr>
      <w:spacing w:before="100" w:beforeAutospacing="1" w:after="100" w:afterAutospacing="1"/>
    </w:pPr>
    <w:rPr>
      <w:lang w:val="es-ES"/>
    </w:rPr>
  </w:style>
  <w:style w:type="paragraph" w:customStyle="1" w:styleId="form">
    <w:name w:val="form"/>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2">
    <w:name w:val="form2"/>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3">
    <w:name w:val="form3"/>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4">
    <w:name w:val="form4"/>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5">
    <w:name w:val="form5"/>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6">
    <w:name w:val="form6"/>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7">
    <w:name w:val="form7"/>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8">
    <w:name w:val="form8"/>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combo">
    <w:name w:val="combo"/>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breadcrum">
    <w:name w:val="breadcrum"/>
    <w:basedOn w:val="Normal"/>
    <w:uiPriority w:val="99"/>
    <w:rsid w:val="00C60E4B"/>
    <w:pPr>
      <w:spacing w:before="100" w:beforeAutospacing="1" w:after="100" w:afterAutospacing="1"/>
    </w:pPr>
    <w:rPr>
      <w:rFonts w:ascii="Verdana" w:hAnsi="Verdana"/>
      <w:color w:val="67A7D7"/>
      <w:sz w:val="10"/>
      <w:szCs w:val="10"/>
      <w:lang w:val="es-ES"/>
    </w:rPr>
  </w:style>
  <w:style w:type="paragraph" w:customStyle="1" w:styleId="titulo20">
    <w:name w:val="titulo_2"/>
    <w:basedOn w:val="Normal"/>
    <w:uiPriority w:val="99"/>
    <w:rsid w:val="00C60E4B"/>
    <w:pPr>
      <w:pBdr>
        <w:top w:val="single" w:sz="6" w:space="0" w:color="000000"/>
      </w:pBdr>
      <w:spacing w:before="100" w:beforeAutospacing="1" w:after="101"/>
      <w:jc w:val="both"/>
    </w:pPr>
    <w:rPr>
      <w:rFonts w:ascii="Arial" w:hAnsi="Arial" w:cs="Arial"/>
      <w:sz w:val="18"/>
      <w:szCs w:val="18"/>
      <w:lang w:val="es-ES"/>
    </w:rPr>
  </w:style>
  <w:style w:type="paragraph" w:customStyle="1" w:styleId="romanos0">
    <w:name w:val="romanos"/>
    <w:basedOn w:val="Normal"/>
    <w:uiPriority w:val="99"/>
    <w:rsid w:val="00C60E4B"/>
    <w:pPr>
      <w:spacing w:before="100" w:beforeAutospacing="1" w:after="101"/>
      <w:ind w:left="720" w:hanging="432"/>
      <w:jc w:val="both"/>
    </w:pPr>
    <w:rPr>
      <w:rFonts w:ascii="Arial" w:hAnsi="Arial" w:cs="Arial"/>
      <w:sz w:val="18"/>
      <w:szCs w:val="18"/>
      <w:lang w:val="es-ES"/>
    </w:rPr>
  </w:style>
  <w:style w:type="paragraph" w:customStyle="1" w:styleId="fechas0">
    <w:name w:val="fechas"/>
    <w:basedOn w:val="Normal"/>
    <w:uiPriority w:val="99"/>
    <w:rsid w:val="00C60E4B"/>
    <w:pPr>
      <w:pBdr>
        <w:bottom w:val="single" w:sz="6" w:space="0" w:color="000000"/>
      </w:pBdr>
      <w:spacing w:before="100" w:beforeAutospacing="1" w:after="101"/>
      <w:ind w:left="288" w:right="288"/>
      <w:jc w:val="both"/>
    </w:pPr>
    <w:rPr>
      <w:rFonts w:ascii="Arial" w:hAnsi="Arial" w:cs="Arial"/>
      <w:sz w:val="18"/>
      <w:szCs w:val="18"/>
      <w:lang w:val="es-ES"/>
    </w:rPr>
  </w:style>
  <w:style w:type="paragraph" w:customStyle="1" w:styleId="inciso0">
    <w:name w:val="inciso"/>
    <w:basedOn w:val="Normal"/>
    <w:uiPriority w:val="99"/>
    <w:rsid w:val="00C60E4B"/>
    <w:pPr>
      <w:spacing w:before="100" w:beforeAutospacing="1" w:after="101"/>
      <w:ind w:left="1080" w:hanging="360"/>
      <w:jc w:val="both"/>
    </w:pPr>
    <w:rPr>
      <w:rFonts w:ascii="Arial" w:hAnsi="Arial" w:cs="Arial"/>
      <w:sz w:val="18"/>
      <w:szCs w:val="18"/>
      <w:lang w:val="es-ES"/>
    </w:rPr>
  </w:style>
  <w:style w:type="paragraph" w:customStyle="1" w:styleId="titulo10">
    <w:name w:val="titulo_1"/>
    <w:basedOn w:val="Normal"/>
    <w:uiPriority w:val="99"/>
    <w:rsid w:val="00C60E4B"/>
    <w:pPr>
      <w:pBdr>
        <w:bottom w:val="single" w:sz="12" w:space="0" w:color="000000"/>
      </w:pBdr>
      <w:spacing w:before="120"/>
      <w:jc w:val="both"/>
    </w:pPr>
    <w:rPr>
      <w:b/>
      <w:bCs/>
      <w:sz w:val="18"/>
      <w:szCs w:val="18"/>
      <w:lang w:val="es-ES"/>
    </w:rPr>
  </w:style>
  <w:style w:type="paragraph" w:customStyle="1" w:styleId="anotacion1">
    <w:name w:val="anotacion"/>
    <w:basedOn w:val="Normal"/>
    <w:uiPriority w:val="99"/>
    <w:rsid w:val="00C60E4B"/>
    <w:pPr>
      <w:spacing w:before="101" w:after="101"/>
      <w:jc w:val="center"/>
    </w:pPr>
    <w:rPr>
      <w:b/>
      <w:bCs/>
      <w:sz w:val="18"/>
      <w:szCs w:val="18"/>
      <w:lang w:val="es-ES"/>
    </w:rPr>
  </w:style>
  <w:style w:type="paragraph" w:customStyle="1" w:styleId="Normal1">
    <w:name w:val="Normal1"/>
    <w:basedOn w:val="Normal"/>
    <w:uiPriority w:val="99"/>
    <w:rsid w:val="00C60E4B"/>
    <w:pPr>
      <w:spacing w:before="100" w:beforeAutospacing="1" w:after="100" w:afterAutospacing="1"/>
    </w:pPr>
    <w:rPr>
      <w:lang w:val="es-ES"/>
    </w:rPr>
  </w:style>
  <w:style w:type="paragraph" w:customStyle="1" w:styleId="Encabezado1">
    <w:name w:val="Encabezado1"/>
    <w:basedOn w:val="Normal"/>
    <w:rsid w:val="00C60E4B"/>
    <w:pPr>
      <w:spacing w:before="100" w:beforeAutospacing="1" w:after="100" w:afterAutospacing="1"/>
    </w:pPr>
    <w:rPr>
      <w:lang w:val="es-ES"/>
    </w:rPr>
  </w:style>
  <w:style w:type="paragraph" w:customStyle="1" w:styleId="combos">
    <w:name w:val="combos"/>
    <w:basedOn w:val="Normal"/>
    <w:uiPriority w:val="99"/>
    <w:rsid w:val="00C60E4B"/>
    <w:pPr>
      <w:spacing w:before="100" w:beforeAutospacing="1" w:after="100" w:afterAutospacing="1"/>
    </w:pPr>
    <w:rPr>
      <w:lang w:val="es-ES"/>
    </w:rPr>
  </w:style>
  <w:style w:type="paragraph" w:customStyle="1" w:styleId="previousdays">
    <w:name w:val="previousdays"/>
    <w:basedOn w:val="Normal"/>
    <w:uiPriority w:val="99"/>
    <w:rsid w:val="00C60E4B"/>
    <w:pPr>
      <w:spacing w:before="100" w:beforeAutospacing="1" w:after="100" w:afterAutospacing="1"/>
    </w:pPr>
    <w:rPr>
      <w:lang w:val="es-ES"/>
    </w:rPr>
  </w:style>
  <w:style w:type="paragraph" w:customStyle="1" w:styleId="actualdays">
    <w:name w:val="actualdays"/>
    <w:basedOn w:val="Normal"/>
    <w:uiPriority w:val="99"/>
    <w:rsid w:val="00C60E4B"/>
    <w:pPr>
      <w:spacing w:before="100" w:beforeAutospacing="1" w:after="100" w:afterAutospacing="1"/>
    </w:pPr>
    <w:rPr>
      <w:lang w:val="es-ES"/>
    </w:rPr>
  </w:style>
  <w:style w:type="paragraph" w:customStyle="1" w:styleId="actualdayslink">
    <w:name w:val="actualdayslink"/>
    <w:basedOn w:val="Normal"/>
    <w:uiPriority w:val="99"/>
    <w:rsid w:val="00C60E4B"/>
    <w:pPr>
      <w:spacing w:before="100" w:beforeAutospacing="1" w:after="100" w:afterAutospacing="1"/>
    </w:pPr>
    <w:rPr>
      <w:lang w:val="es-ES"/>
    </w:rPr>
  </w:style>
  <w:style w:type="paragraph" w:customStyle="1" w:styleId="today">
    <w:name w:val="today"/>
    <w:basedOn w:val="Normal"/>
    <w:uiPriority w:val="99"/>
    <w:rsid w:val="00C60E4B"/>
    <w:pPr>
      <w:spacing w:before="100" w:beforeAutospacing="1" w:after="100" w:afterAutospacing="1"/>
    </w:pPr>
    <w:rPr>
      <w:lang w:val="es-ES"/>
    </w:rPr>
  </w:style>
  <w:style w:type="paragraph" w:customStyle="1" w:styleId="nextdays">
    <w:name w:val="nextdays"/>
    <w:basedOn w:val="Normal"/>
    <w:uiPriority w:val="99"/>
    <w:rsid w:val="00C60E4B"/>
    <w:pPr>
      <w:spacing w:before="100" w:beforeAutospacing="1" w:after="100" w:afterAutospacing="1"/>
    </w:pPr>
    <w:rPr>
      <w:lang w:val="es-ES"/>
    </w:rPr>
  </w:style>
  <w:style w:type="paragraph" w:customStyle="1" w:styleId="header1">
    <w:name w:val="header1"/>
    <w:basedOn w:val="Normal"/>
    <w:rsid w:val="00C60E4B"/>
    <w:pPr>
      <w:shd w:val="clear" w:color="auto" w:fill="7D8184"/>
      <w:spacing w:before="100" w:beforeAutospacing="1" w:after="100" w:afterAutospacing="1"/>
      <w:jc w:val="center"/>
    </w:pPr>
    <w:rPr>
      <w:rFonts w:ascii="Verdana" w:hAnsi="Verdana"/>
      <w:b/>
      <w:bCs/>
      <w:color w:val="FFFFFF"/>
      <w:sz w:val="10"/>
      <w:szCs w:val="10"/>
      <w:lang w:val="es-ES"/>
    </w:rPr>
  </w:style>
  <w:style w:type="paragraph" w:customStyle="1" w:styleId="combos1">
    <w:name w:val="combos1"/>
    <w:basedOn w:val="Normal"/>
    <w:uiPriority w:val="99"/>
    <w:rsid w:val="00C60E4B"/>
    <w:pPr>
      <w:shd w:val="clear" w:color="auto" w:fill="7D8184"/>
      <w:spacing w:before="100" w:beforeAutospacing="1" w:after="100" w:afterAutospacing="1"/>
      <w:jc w:val="center"/>
    </w:pPr>
    <w:rPr>
      <w:rFonts w:ascii="Verdana" w:hAnsi="Verdana"/>
      <w:b/>
      <w:bCs/>
      <w:color w:val="FFFFFF"/>
      <w:sz w:val="10"/>
      <w:szCs w:val="10"/>
      <w:lang w:val="es-ES"/>
    </w:rPr>
  </w:style>
  <w:style w:type="paragraph" w:customStyle="1" w:styleId="previousdays1">
    <w:name w:val="previousdays1"/>
    <w:basedOn w:val="Normal"/>
    <w:uiPriority w:val="99"/>
    <w:rsid w:val="00C60E4B"/>
    <w:pPr>
      <w:spacing w:before="100" w:beforeAutospacing="1" w:after="100" w:afterAutospacing="1"/>
      <w:jc w:val="center"/>
    </w:pPr>
    <w:rPr>
      <w:rFonts w:ascii="Verdana" w:hAnsi="Verdana"/>
      <w:color w:val="A3A3A3"/>
      <w:sz w:val="10"/>
      <w:szCs w:val="10"/>
      <w:lang w:val="es-ES"/>
    </w:rPr>
  </w:style>
  <w:style w:type="paragraph" w:customStyle="1" w:styleId="actualdays1">
    <w:name w:val="actualdays1"/>
    <w:basedOn w:val="Normal"/>
    <w:uiPriority w:val="99"/>
    <w:rsid w:val="00C60E4B"/>
    <w:pPr>
      <w:spacing w:before="100" w:beforeAutospacing="1" w:after="100" w:afterAutospacing="1"/>
      <w:jc w:val="center"/>
    </w:pPr>
    <w:rPr>
      <w:rFonts w:ascii="Verdana" w:hAnsi="Verdana"/>
      <w:color w:val="58595A"/>
      <w:sz w:val="10"/>
      <w:szCs w:val="10"/>
      <w:lang w:val="es-ES"/>
    </w:rPr>
  </w:style>
  <w:style w:type="paragraph" w:customStyle="1" w:styleId="actualdayslink1">
    <w:name w:val="actualdayslink1"/>
    <w:basedOn w:val="Normal"/>
    <w:uiPriority w:val="99"/>
    <w:rsid w:val="00C60E4B"/>
    <w:pPr>
      <w:spacing w:before="100" w:beforeAutospacing="1" w:after="100" w:afterAutospacing="1"/>
      <w:jc w:val="center"/>
    </w:pPr>
    <w:rPr>
      <w:rFonts w:ascii="Verdana" w:hAnsi="Verdana"/>
      <w:sz w:val="10"/>
      <w:szCs w:val="10"/>
      <w:lang w:val="es-ES"/>
    </w:rPr>
  </w:style>
  <w:style w:type="paragraph" w:customStyle="1" w:styleId="today1">
    <w:name w:val="today1"/>
    <w:basedOn w:val="Normal"/>
    <w:uiPriority w:val="99"/>
    <w:rsid w:val="00C60E4B"/>
    <w:pPr>
      <w:shd w:val="clear" w:color="auto" w:fill="E9E9E9"/>
      <w:spacing w:before="100" w:beforeAutospacing="1" w:after="100" w:afterAutospacing="1"/>
      <w:jc w:val="center"/>
    </w:pPr>
    <w:rPr>
      <w:rFonts w:ascii="Verdana" w:hAnsi="Verdana"/>
      <w:b/>
      <w:bCs/>
      <w:color w:val="FF0000"/>
      <w:sz w:val="10"/>
      <w:szCs w:val="10"/>
      <w:lang w:val="es-ES"/>
    </w:rPr>
  </w:style>
  <w:style w:type="paragraph" w:customStyle="1" w:styleId="nextdays1">
    <w:name w:val="nextdays1"/>
    <w:basedOn w:val="Normal"/>
    <w:uiPriority w:val="99"/>
    <w:rsid w:val="00C60E4B"/>
    <w:pPr>
      <w:spacing w:before="100" w:beforeAutospacing="1" w:after="100" w:afterAutospacing="1"/>
      <w:jc w:val="center"/>
    </w:pPr>
    <w:rPr>
      <w:rFonts w:ascii="Verdana" w:hAnsi="Verdana"/>
      <w:color w:val="A3A3A3"/>
      <w:sz w:val="10"/>
      <w:szCs w:val="10"/>
      <w:lang w:val="es-ES"/>
    </w:rPr>
  </w:style>
  <w:style w:type="numbering" w:customStyle="1" w:styleId="Sinlista17">
    <w:name w:val="Sin lista17"/>
    <w:next w:val="Sinlista"/>
    <w:semiHidden/>
    <w:rsid w:val="002A4BE1"/>
  </w:style>
  <w:style w:type="table" w:customStyle="1" w:styleId="Tablaconcuadrcula20">
    <w:name w:val="Tabla con cuadrícula20"/>
    <w:basedOn w:val="Tablanormal"/>
    <w:next w:val="Tablaconcuadrcula"/>
    <w:rsid w:val="002A4BE1"/>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
    <w:name w:val="Sin lista18"/>
    <w:next w:val="Sinlista"/>
    <w:semiHidden/>
    <w:rsid w:val="002A4BE1"/>
  </w:style>
  <w:style w:type="table" w:customStyle="1" w:styleId="Tablaconcuadrcula110">
    <w:name w:val="Tabla con cuadrícula110"/>
    <w:basedOn w:val="Tablanormal"/>
    <w:next w:val="Tablaconcuadrcula"/>
    <w:rsid w:val="002A4B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basedOn w:val="Sinlista"/>
    <w:rsid w:val="002A4BE1"/>
  </w:style>
  <w:style w:type="numbering" w:customStyle="1" w:styleId="Sinlista19">
    <w:name w:val="Sin lista19"/>
    <w:next w:val="Sinlista"/>
    <w:semiHidden/>
    <w:unhideWhenUsed/>
    <w:rsid w:val="008E5F5C"/>
  </w:style>
  <w:style w:type="table" w:customStyle="1" w:styleId="Tablaconcuadrcula207">
    <w:name w:val="Tabla con cuadrícula207"/>
    <w:basedOn w:val="Tablanormal"/>
    <w:next w:val="Tablaconcuadrcula"/>
    <w:rsid w:val="008E5F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
    <w:name w:val="Tabla con cuadrícula24"/>
    <w:basedOn w:val="Tablanormal"/>
    <w:next w:val="Tablaconcuadrcula"/>
    <w:rsid w:val="008E5F5C"/>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pskipnav">
    <w:name w:val="ep_skipnav"/>
    <w:basedOn w:val="Normal"/>
    <w:uiPriority w:val="99"/>
    <w:rsid w:val="005900B0"/>
    <w:pPr>
      <w:spacing w:before="100" w:beforeAutospacing="1" w:after="100" w:afterAutospacing="1"/>
    </w:pPr>
    <w:rPr>
      <w:vanish/>
      <w:sz w:val="31"/>
      <w:szCs w:val="31"/>
      <w:lang w:val="es-ES"/>
    </w:rPr>
  </w:style>
  <w:style w:type="character" w:customStyle="1" w:styleId="Ttulo2Car">
    <w:name w:val="Título 2 Car"/>
    <w:basedOn w:val="Fuentedeprrafopredeter"/>
    <w:link w:val="Ttulo2"/>
    <w:uiPriority w:val="9"/>
    <w:rsid w:val="00413240"/>
    <w:rPr>
      <w:b/>
      <w:bCs/>
      <w:sz w:val="16"/>
      <w:szCs w:val="26"/>
      <w:lang w:val="es-ES" w:eastAsia="es-ES" w:bidi="ar-SA"/>
    </w:rPr>
  </w:style>
  <w:style w:type="table" w:customStyle="1" w:styleId="Tablaconcuadrcula25">
    <w:name w:val="Tabla con cuadrícula25"/>
    <w:basedOn w:val="Tablanormal"/>
    <w:next w:val="Tablaconcuadrcula"/>
    <w:rsid w:val="0043085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
    <w:name w:val="Tabla con cuadrícula26"/>
    <w:basedOn w:val="Tablanormal"/>
    <w:next w:val="Tablaconcuadrcula"/>
    <w:rsid w:val="006C4C3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PR1stpagetitle">
    <w:name w:val="TPR1st page title"/>
    <w:basedOn w:val="Normal"/>
    <w:uiPriority w:val="99"/>
    <w:rsid w:val="002418CB"/>
    <w:pPr>
      <w:tabs>
        <w:tab w:val="left" w:pos="720"/>
      </w:tabs>
      <w:jc w:val="center"/>
    </w:pPr>
    <w:rPr>
      <w:b/>
      <w:kern w:val="36"/>
      <w:sz w:val="36"/>
      <w:szCs w:val="20"/>
      <w:lang w:val="es-ES" w:eastAsia="en-US"/>
    </w:rPr>
  </w:style>
  <w:style w:type="paragraph" w:customStyle="1" w:styleId="bodytext">
    <w:name w:val="bodytext"/>
    <w:basedOn w:val="Normal"/>
    <w:uiPriority w:val="99"/>
    <w:rsid w:val="004E651E"/>
    <w:pPr>
      <w:spacing w:before="100" w:beforeAutospacing="1" w:after="100" w:afterAutospacing="1"/>
    </w:pPr>
    <w:rPr>
      <w:lang w:val="es-ES"/>
    </w:rPr>
  </w:style>
  <w:style w:type="table" w:customStyle="1" w:styleId="Tablaconcuadrcula27">
    <w:name w:val="Tabla con cuadrícula27"/>
    <w:basedOn w:val="Tablanormal"/>
    <w:next w:val="Tablaconcuadrcula"/>
    <w:rsid w:val="0073496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
    <w:name w:val="Tabla con cuadrícula28"/>
    <w:basedOn w:val="Tablanormal"/>
    <w:next w:val="Tablaconcuadrcula"/>
    <w:rsid w:val="008B10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
    <w:name w:val="Sin lista20"/>
    <w:next w:val="Sinlista"/>
    <w:semiHidden/>
    <w:rsid w:val="004900C9"/>
  </w:style>
  <w:style w:type="character" w:customStyle="1" w:styleId="red1">
    <w:name w:val="red1"/>
    <w:basedOn w:val="Fuentedeprrafopredeter"/>
    <w:rsid w:val="004900C9"/>
    <w:rPr>
      <w:color w:val="993300"/>
    </w:rPr>
  </w:style>
  <w:style w:type="table" w:customStyle="1" w:styleId="Tablaconcuadrcula29">
    <w:name w:val="Tabla con cuadrícula29"/>
    <w:basedOn w:val="Tablanormal"/>
    <w:next w:val="Tablaconcuadrcula"/>
    <w:rsid w:val="004900C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
    <w:name w:val="Tabla con cuadrícula30"/>
    <w:basedOn w:val="Tablanormal"/>
    <w:next w:val="Tablaconcuadrcula"/>
    <w:rsid w:val="00E07F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 11"/>
    <w:basedOn w:val="Tablanormal"/>
    <w:next w:val="Tablaconcuadrcula10"/>
    <w:rsid w:val="00025A3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21">
    <w:name w:val="Sin lista21"/>
    <w:next w:val="Sinlista"/>
    <w:semiHidden/>
    <w:rsid w:val="00EA6632"/>
  </w:style>
  <w:style w:type="table" w:customStyle="1" w:styleId="Tablaconcuadrcula120">
    <w:name w:val="Tabla con cuadrícula 12"/>
    <w:basedOn w:val="Tablanormal"/>
    <w:next w:val="Tablaconcuadrcula10"/>
    <w:rsid w:val="00EA663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30">
    <w:name w:val="Tabla con cuadrícula 13"/>
    <w:basedOn w:val="Tablanormal"/>
    <w:next w:val="Tablaconcuadrcula10"/>
    <w:rsid w:val="00E27798"/>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1">
    <w:name w:val="Tabla con cuadrícula31"/>
    <w:basedOn w:val="Tablanormal"/>
    <w:next w:val="Tablaconcuadrcula"/>
    <w:rsid w:val="0049673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
    <w:name w:val="Tabla con cuadrícula32"/>
    <w:basedOn w:val="Tablanormal"/>
    <w:next w:val="Tablaconcuadrcula"/>
    <w:rsid w:val="00B67B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
    <w:name w:val="Tabla con cuadrícula33"/>
    <w:basedOn w:val="Tablanormal"/>
    <w:next w:val="Tablaconcuadrcula"/>
    <w:rsid w:val="002B6DE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0">
    <w:name w:val="Tabla con cuadrícula 14"/>
    <w:basedOn w:val="Tablanormal"/>
    <w:next w:val="Tablaconcuadrcula10"/>
    <w:rsid w:val="002B6DED"/>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4">
    <w:name w:val="Tabla con cuadrícula34"/>
    <w:basedOn w:val="Tablanormal"/>
    <w:next w:val="Tablaconcuadrcula"/>
    <w:rsid w:val="009D681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0">
    <w:name w:val="Tabla con cuadrícula 15"/>
    <w:basedOn w:val="Tablanormal"/>
    <w:next w:val="Tablaconcuadrcula10"/>
    <w:rsid w:val="005E0A4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5">
    <w:name w:val="Tabla con cuadrícula35"/>
    <w:basedOn w:val="Tablanormal"/>
    <w:next w:val="Tablaconcuadrcula"/>
    <w:rsid w:val="002E77D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
    <w:name w:val="Tabla con cuadrícula36"/>
    <w:basedOn w:val="Tablanormal"/>
    <w:next w:val="Tablaconcuadrcula"/>
    <w:rsid w:val="00A53CD8"/>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
    <w:name w:val="Tabla con cuadrícula37"/>
    <w:basedOn w:val="Tablanormal"/>
    <w:next w:val="Tablaconcuadrcula"/>
    <w:rsid w:val="005F670C"/>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
    <w:name w:val="Sin lista22"/>
    <w:next w:val="Sinlista"/>
    <w:semiHidden/>
    <w:rsid w:val="00FA0260"/>
  </w:style>
  <w:style w:type="numbering" w:customStyle="1" w:styleId="Sinlista23">
    <w:name w:val="Sin lista23"/>
    <w:next w:val="Sinlista"/>
    <w:semiHidden/>
    <w:rsid w:val="001972BE"/>
  </w:style>
  <w:style w:type="table" w:customStyle="1" w:styleId="Tablaconcuadrcula38">
    <w:name w:val="Tabla con cuadrícula38"/>
    <w:basedOn w:val="Tablanormal"/>
    <w:next w:val="Tablaconcuadrcula"/>
    <w:rsid w:val="001972B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
    <w:name w:val="Tabla con cuadrícula39"/>
    <w:basedOn w:val="Tablanormal"/>
    <w:next w:val="Tablaconcuadrcula"/>
    <w:rsid w:val="00D437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
    <w:name w:val="Sin lista24"/>
    <w:next w:val="Sinlista"/>
    <w:semiHidden/>
    <w:rsid w:val="004A5C94"/>
  </w:style>
  <w:style w:type="numbering" w:customStyle="1" w:styleId="Sinlista25">
    <w:name w:val="Sin lista25"/>
    <w:next w:val="Sinlista"/>
    <w:semiHidden/>
    <w:rsid w:val="0022559F"/>
  </w:style>
  <w:style w:type="numbering" w:customStyle="1" w:styleId="Sinlista26">
    <w:name w:val="Sin lista26"/>
    <w:next w:val="Sinlista"/>
    <w:semiHidden/>
    <w:rsid w:val="00A601A8"/>
  </w:style>
  <w:style w:type="table" w:customStyle="1" w:styleId="Tablaconcuadrcula40">
    <w:name w:val="Tabla con cuadrícula40"/>
    <w:basedOn w:val="Tablanormal"/>
    <w:next w:val="Tablaconcuadrcula"/>
    <w:rsid w:val="00A601A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
    <w:name w:val="Sin lista27"/>
    <w:next w:val="Sinlista"/>
    <w:semiHidden/>
    <w:rsid w:val="004F6E1D"/>
  </w:style>
  <w:style w:type="table" w:customStyle="1" w:styleId="Tablaconcuadrcula41">
    <w:name w:val="Tabla con cuadrícula41"/>
    <w:basedOn w:val="Tablanormal"/>
    <w:next w:val="Tablaconcuadrcula"/>
    <w:rsid w:val="004F6E1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
    <w:name w:val="Tabla con cuadrícula42"/>
    <w:basedOn w:val="Tablanormal"/>
    <w:next w:val="Tablaconcuadrcula"/>
    <w:rsid w:val="000778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
    <w:name w:val="Tabla con cuadrícula43"/>
    <w:basedOn w:val="Tablanormal"/>
    <w:next w:val="Tablaconcuadrcula"/>
    <w:rsid w:val="009D048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
    <w:name w:val="Tabla con cuadrícula44"/>
    <w:basedOn w:val="Tablanormal"/>
    <w:next w:val="Tablaconcuadrcula"/>
    <w:rsid w:val="002F0F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1">
    <w:name w:val="Tabla con cuadrícula 16"/>
    <w:basedOn w:val="Tablanormal"/>
    <w:next w:val="Tablaconcuadrcula10"/>
    <w:rsid w:val="0071070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5">
    <w:name w:val="Tabla con cuadrícula45"/>
    <w:basedOn w:val="Tablanormal"/>
    <w:next w:val="Tablaconcuadrcula"/>
    <w:rsid w:val="00087A49"/>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
    <w:name w:val="Tabla con cuadrícula46"/>
    <w:basedOn w:val="Tablanormal"/>
    <w:next w:val="Tablaconcuadrcula"/>
    <w:rsid w:val="00EC2DC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
    <w:name w:val="Tabla con cuadrícula47"/>
    <w:basedOn w:val="Tablanormal"/>
    <w:next w:val="Tablaconcuadrcula"/>
    <w:rsid w:val="00F13B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
    <w:name w:val="Tabla con cuadrícula48"/>
    <w:basedOn w:val="Tablanormal"/>
    <w:next w:val="Tablaconcuadrcula"/>
    <w:rsid w:val="004A737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
    <w:name w:val="Tabla con cuadrícula49"/>
    <w:basedOn w:val="Tablanormal"/>
    <w:next w:val="Tablaconcuadrcula"/>
    <w:rsid w:val="003B3D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
    <w:name w:val="Sin lista28"/>
    <w:next w:val="Sinlista"/>
    <w:semiHidden/>
    <w:rsid w:val="003924DE"/>
  </w:style>
  <w:style w:type="paragraph" w:customStyle="1" w:styleId="Textoindependiente4">
    <w:name w:val="Texto independiente 4"/>
    <w:basedOn w:val="Normal"/>
    <w:uiPriority w:val="99"/>
    <w:rsid w:val="003924DE"/>
    <w:pPr>
      <w:tabs>
        <w:tab w:val="num" w:pos="2160"/>
      </w:tabs>
      <w:spacing w:after="240"/>
      <w:ind w:left="2160" w:hanging="720"/>
      <w:jc w:val="both"/>
    </w:pPr>
    <w:rPr>
      <w:rFonts w:eastAsia="Times New Roman"/>
      <w:sz w:val="22"/>
      <w:szCs w:val="22"/>
      <w:lang w:val="es-ES"/>
    </w:rPr>
  </w:style>
  <w:style w:type="table" w:customStyle="1" w:styleId="Tablaconcuadrcula50">
    <w:name w:val="Tabla con cuadrícula50"/>
    <w:basedOn w:val="Tablanormal"/>
    <w:next w:val="Tablaconcuadrcula"/>
    <w:rsid w:val="003924DE"/>
    <w:pPr>
      <w:tabs>
        <w:tab w:val="left" w:pos="720"/>
      </w:tabs>
      <w:jc w:val="both"/>
    </w:pPr>
    <w:rPr>
      <w:rFonts w:eastAsia="Times New Roman"/>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1">
    <w:name w:val="Tabla con cuadrícula501"/>
    <w:basedOn w:val="Tablanormal"/>
    <w:next w:val="Tablaconcuadrcula"/>
    <w:rsid w:val="00C80B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0">
    <w:name w:val="Tabla con cuadrícula 17"/>
    <w:basedOn w:val="Tablanormal"/>
    <w:next w:val="Tablaconcuadrcula10"/>
    <w:rsid w:val="00C80B1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0">
    <w:name w:val="Tabla con cuadrícula 18"/>
    <w:basedOn w:val="Tablanormal"/>
    <w:next w:val="Tablaconcuadrcula10"/>
    <w:rsid w:val="00C80B1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3">
    <w:name w:val="Tabla con cuadrícula53"/>
    <w:basedOn w:val="Tablanormal"/>
    <w:next w:val="Tablaconcuadrcula"/>
    <w:rsid w:val="00C80B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2">
    <w:name w:val="Tabla con cuadrícula502"/>
    <w:basedOn w:val="Tablanormal"/>
    <w:next w:val="Tablaconcuadrcula"/>
    <w:rsid w:val="00C80B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
    <w:name w:val="Sin lista29"/>
    <w:next w:val="Sinlista"/>
    <w:semiHidden/>
    <w:rsid w:val="000A5FF6"/>
  </w:style>
  <w:style w:type="table" w:customStyle="1" w:styleId="Tablaconcuadrcula54">
    <w:name w:val="Tabla con cuadrícula54"/>
    <w:basedOn w:val="Tablanormal"/>
    <w:next w:val="Tablaconcuadrcula"/>
    <w:rsid w:val="00BB59E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uiestudiosfecha">
    <w:name w:val="data ui_estudios_fecha"/>
    <w:basedOn w:val="Normal"/>
    <w:uiPriority w:val="99"/>
    <w:rsid w:val="003B6C44"/>
    <w:pPr>
      <w:spacing w:before="100" w:beforeAutospacing="1" w:after="100" w:afterAutospacing="1"/>
    </w:pPr>
    <w:rPr>
      <w:rFonts w:eastAsia="Times New Roman"/>
      <w:lang w:val="es-ES"/>
    </w:rPr>
  </w:style>
  <w:style w:type="table" w:customStyle="1" w:styleId="Tablaconcuadrcula55">
    <w:name w:val="Tabla con cuadrícula55"/>
    <w:basedOn w:val="Tablanormal"/>
    <w:next w:val="Tablaconcuadrcula"/>
    <w:rsid w:val="003B6C4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
    <w:name w:val="Tabla con cuadrícula 19"/>
    <w:basedOn w:val="Tablanormal"/>
    <w:next w:val="Tablaconcuadrcula10"/>
    <w:rsid w:val="00842580"/>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6">
    <w:name w:val="Tabla con cuadrícula56"/>
    <w:basedOn w:val="Tablanormal"/>
    <w:next w:val="Tablaconcuadrcula"/>
    <w:rsid w:val="00C44761"/>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
    <w:name w:val="Sin lista30"/>
    <w:next w:val="Sinlista"/>
    <w:semiHidden/>
    <w:rsid w:val="00E945D8"/>
  </w:style>
  <w:style w:type="table" w:customStyle="1" w:styleId="Tablaconcuadrcula1100">
    <w:name w:val="Tabla con cuadrícula 110"/>
    <w:basedOn w:val="Tablanormal"/>
    <w:next w:val="Tablaconcuadrcula10"/>
    <w:rsid w:val="00F0097B"/>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1">
    <w:name w:val="Sin lista31"/>
    <w:next w:val="Sinlista"/>
    <w:semiHidden/>
    <w:rsid w:val="00CA7C6B"/>
  </w:style>
  <w:style w:type="table" w:customStyle="1" w:styleId="Tablaconcuadrcula57">
    <w:name w:val="Tabla con cuadrícula57"/>
    <w:basedOn w:val="Tablanormal"/>
    <w:next w:val="Tablaconcuadrcula"/>
    <w:rsid w:val="00CA7C6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
    <w:name w:val="Tabla con cuadrícula58"/>
    <w:basedOn w:val="Tablanormal"/>
    <w:next w:val="Tablaconcuadrcula"/>
    <w:rsid w:val="008C4E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
    <w:name w:val="Tabla con cuadrícula59"/>
    <w:basedOn w:val="Tablanormal"/>
    <w:next w:val="Tablaconcuadrcula"/>
    <w:rsid w:val="009C23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
    <w:name w:val="Tabla con cuadrícula60"/>
    <w:basedOn w:val="Tablanormal"/>
    <w:next w:val="Tablaconcuadrcula"/>
    <w:rsid w:val="00E3677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
    <w:name w:val="Tabla con cuadrícula61"/>
    <w:basedOn w:val="Tablanormal"/>
    <w:next w:val="Tablaconcuadrcula"/>
    <w:rsid w:val="00A83A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
    <w:name w:val="Tabla con cuadrícula62"/>
    <w:basedOn w:val="Tablanormal"/>
    <w:next w:val="Tablaconcuadrcula"/>
    <w:rsid w:val="002F1B7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
    <w:name w:val="Sin lista32"/>
    <w:next w:val="Sinlista"/>
    <w:semiHidden/>
    <w:rsid w:val="001B51E5"/>
  </w:style>
  <w:style w:type="table" w:customStyle="1" w:styleId="Tablaconcuadrcula63">
    <w:name w:val="Tabla con cuadrícula63"/>
    <w:basedOn w:val="Tablanormal"/>
    <w:next w:val="Tablaconcuadrcula"/>
    <w:rsid w:val="001B51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
    <w:name w:val="Tabla con cuadrícula64"/>
    <w:basedOn w:val="Tablanormal"/>
    <w:next w:val="Tablaconcuadrcula"/>
    <w:rsid w:val="00100D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
    <w:name w:val="Sin lista33"/>
    <w:next w:val="Sinlista"/>
    <w:semiHidden/>
    <w:unhideWhenUsed/>
    <w:rsid w:val="00E878FA"/>
  </w:style>
  <w:style w:type="table" w:customStyle="1" w:styleId="Tablaconcuadrcula65">
    <w:name w:val="Tabla con cuadrícula65"/>
    <w:basedOn w:val="Tablanormal"/>
    <w:next w:val="Tablaconcuadrcula"/>
    <w:rsid w:val="00E878FA"/>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4">
    <w:name w:val="Sin lista34"/>
    <w:next w:val="Sinlista"/>
    <w:semiHidden/>
    <w:rsid w:val="00D84E42"/>
  </w:style>
  <w:style w:type="numbering" w:customStyle="1" w:styleId="Sinlista35">
    <w:name w:val="Sin lista35"/>
    <w:next w:val="Sinlista"/>
    <w:semiHidden/>
    <w:rsid w:val="004475AF"/>
  </w:style>
  <w:style w:type="table" w:customStyle="1" w:styleId="Tablaconcuadrcula66">
    <w:name w:val="Tabla con cuadrícula66"/>
    <w:basedOn w:val="Tablanormal"/>
    <w:next w:val="Tablaconcuadrcula"/>
    <w:rsid w:val="004475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
    <w:name w:val="Sin lista36"/>
    <w:next w:val="Sinlista"/>
    <w:semiHidden/>
    <w:rsid w:val="00731ED8"/>
  </w:style>
  <w:style w:type="table" w:customStyle="1" w:styleId="Tablaconcuadrcula67">
    <w:name w:val="Tabla con cuadrícula67"/>
    <w:basedOn w:val="Tablanormal"/>
    <w:next w:val="Tablaconcuadrcula"/>
    <w:rsid w:val="00731ED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
    <w:name w:val="Sin lista37"/>
    <w:next w:val="Sinlista"/>
    <w:semiHidden/>
    <w:rsid w:val="00CB70E2"/>
  </w:style>
  <w:style w:type="table" w:customStyle="1" w:styleId="Tablaconcuadrcula68">
    <w:name w:val="Tabla con cuadrícula68"/>
    <w:basedOn w:val="Tablanormal"/>
    <w:next w:val="Tablaconcuadrcula"/>
    <w:rsid w:val="00CB70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
    <w:name w:val="Sin lista38"/>
    <w:next w:val="Sinlista"/>
    <w:semiHidden/>
    <w:rsid w:val="00DD7E51"/>
  </w:style>
  <w:style w:type="table" w:customStyle="1" w:styleId="Tablaconcuadrcula69">
    <w:name w:val="Tabla con cuadrícula69"/>
    <w:basedOn w:val="Tablanormal"/>
    <w:next w:val="Tablaconcuadrcula"/>
    <w:rsid w:val="00DD7E5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
    <w:name w:val="Sin lista39"/>
    <w:next w:val="Sinlista"/>
    <w:semiHidden/>
    <w:rsid w:val="001A050E"/>
  </w:style>
  <w:style w:type="table" w:customStyle="1" w:styleId="Tablaconcuadrcula70">
    <w:name w:val="Tabla con cuadrícula70"/>
    <w:basedOn w:val="Tablanormal"/>
    <w:next w:val="Tablaconcuadrcula"/>
    <w:rsid w:val="001A05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
    <w:name w:val="Tabla con cuadrícula71"/>
    <w:basedOn w:val="Tablanormal"/>
    <w:next w:val="Tablaconcuadrcula"/>
    <w:rsid w:val="007725F5"/>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
    <w:name w:val="Sin lista40"/>
    <w:next w:val="Sinlista"/>
    <w:semiHidden/>
    <w:rsid w:val="0045343E"/>
  </w:style>
  <w:style w:type="table" w:customStyle="1" w:styleId="Tablaconcuadrcula72">
    <w:name w:val="Tabla con cuadrícula72"/>
    <w:basedOn w:val="Tablanormal"/>
    <w:next w:val="Tablaconcuadrcula"/>
    <w:rsid w:val="004534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
    <w:name w:val="Sin lista41"/>
    <w:next w:val="Sinlista"/>
    <w:semiHidden/>
    <w:rsid w:val="00186AC2"/>
  </w:style>
  <w:style w:type="table" w:customStyle="1" w:styleId="Tablaconcuadrcula73">
    <w:name w:val="Tabla con cuadrícula73"/>
    <w:basedOn w:val="Tablanormal"/>
    <w:next w:val="Tablaconcuadrcula"/>
    <w:rsid w:val="00186AC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
    <w:name w:val="Tabla con cuadrícula74"/>
    <w:basedOn w:val="Tablanormal"/>
    <w:next w:val="Tablaconcuadrcula"/>
    <w:rsid w:val="005371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
    <w:name w:val="Tabla con cuadrícula75"/>
    <w:basedOn w:val="Tablanormal"/>
    <w:next w:val="Tablaconcuadrcula"/>
    <w:rsid w:val="003C171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
    <w:name w:val="Sin lista42"/>
    <w:next w:val="Sinlista"/>
    <w:semiHidden/>
    <w:rsid w:val="008D09B1"/>
  </w:style>
  <w:style w:type="table" w:customStyle="1" w:styleId="Tablaconcuadrcula76">
    <w:name w:val="Tabla con cuadrícula76"/>
    <w:basedOn w:val="Tablanormal"/>
    <w:next w:val="Tablaconcuadrcula"/>
    <w:rsid w:val="002A7B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
    <w:name w:val="Tabla con cuadrícula77"/>
    <w:basedOn w:val="Tablanormal"/>
    <w:next w:val="Tablaconcuadrcula"/>
    <w:rsid w:val="00862C1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
    <w:name w:val="Sin lista43"/>
    <w:next w:val="Sinlista"/>
    <w:semiHidden/>
    <w:rsid w:val="009672B9"/>
  </w:style>
  <w:style w:type="table" w:customStyle="1" w:styleId="Tablaconcuadrcula78">
    <w:name w:val="Tabla con cuadrícula78"/>
    <w:basedOn w:val="Tablanormal"/>
    <w:next w:val="Tablaconcuadrcula"/>
    <w:rsid w:val="009672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
    <w:name w:val="Tabla con cuadrícula79"/>
    <w:basedOn w:val="Tablanormal"/>
    <w:next w:val="Tablaconcuadrcula"/>
    <w:rsid w:val="00451B4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
    <w:name w:val="Tabla con cuadrícula80"/>
    <w:basedOn w:val="Tablanormal"/>
    <w:next w:val="Tablaconcuadrcula"/>
    <w:rsid w:val="00FB1D8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
    <w:name w:val="Sin lista44"/>
    <w:next w:val="Sinlista"/>
    <w:semiHidden/>
    <w:rsid w:val="00E52E8A"/>
  </w:style>
  <w:style w:type="table" w:customStyle="1" w:styleId="Tablaconcuadrcula81">
    <w:name w:val="Tabla con cuadrícula81"/>
    <w:basedOn w:val="Tablanormal"/>
    <w:next w:val="Tablaconcuadrcula"/>
    <w:rsid w:val="00E52E8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
    <w:name w:val="Tabla con cuadrícula82"/>
    <w:basedOn w:val="Tablanormal"/>
    <w:next w:val="Tablaconcuadrcula"/>
    <w:rsid w:val="00AE5A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
    <w:name w:val="Sin lista45"/>
    <w:next w:val="Sinlista"/>
    <w:semiHidden/>
    <w:rsid w:val="00AB2382"/>
  </w:style>
  <w:style w:type="table" w:customStyle="1" w:styleId="Tablaconcuadrcula83">
    <w:name w:val="Tabla con cuadrícula83"/>
    <w:basedOn w:val="Tablanormal"/>
    <w:next w:val="Tablaconcuadrcula"/>
    <w:rsid w:val="00AB23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
    <w:name w:val="Sin lista46"/>
    <w:next w:val="Sinlista"/>
    <w:semiHidden/>
    <w:rsid w:val="00CF064F"/>
  </w:style>
  <w:style w:type="table" w:customStyle="1" w:styleId="Tablaconcuadrcula84">
    <w:name w:val="Tabla con cuadrícula84"/>
    <w:basedOn w:val="Tablanormal"/>
    <w:next w:val="Tablaconcuadrcula"/>
    <w:rsid w:val="00CF06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
    <w:name w:val="Tabla con cuadrícula85"/>
    <w:basedOn w:val="Tablanormal"/>
    <w:next w:val="Tablaconcuadrcula"/>
    <w:rsid w:val="007666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
    <w:name w:val="Tabla con cuadrícula86"/>
    <w:basedOn w:val="Tablanormal"/>
    <w:next w:val="Tablaconcuadrcula"/>
    <w:rsid w:val="006D299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
    <w:name w:val="Sin lista47"/>
    <w:next w:val="Sinlista"/>
    <w:semiHidden/>
    <w:rsid w:val="008C25B4"/>
  </w:style>
  <w:style w:type="table" w:customStyle="1" w:styleId="Tablaconcuadrcula87">
    <w:name w:val="Tabla con cuadrícula87"/>
    <w:basedOn w:val="Tablanormal"/>
    <w:next w:val="Tablaconcuadrcula"/>
    <w:rsid w:val="00E34A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
    <w:name w:val="Tabla con cuadrícula88"/>
    <w:basedOn w:val="Tablanormal"/>
    <w:next w:val="Tablaconcuadrcula"/>
    <w:rsid w:val="003F23C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
    <w:name w:val="Sin lista48"/>
    <w:next w:val="Sinlista"/>
    <w:semiHidden/>
    <w:rsid w:val="00420F12"/>
  </w:style>
  <w:style w:type="table" w:customStyle="1" w:styleId="Tablaconcuadrcula89">
    <w:name w:val="Tabla con cuadrícula89"/>
    <w:basedOn w:val="Tablanormal"/>
    <w:next w:val="Tablaconcuadrcula"/>
    <w:rsid w:val="00420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
    <w:name w:val="Tabla con cuadrícula90"/>
    <w:basedOn w:val="Tablanormal"/>
    <w:next w:val="Tablaconcuadrcula"/>
    <w:rsid w:val="00CD716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
    <w:name w:val="Tabla con cuadrícula91"/>
    <w:basedOn w:val="Tablanormal"/>
    <w:next w:val="Tablaconcuadrcula"/>
    <w:rsid w:val="006850C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
    <w:name w:val="Sin lista49"/>
    <w:next w:val="Sinlista"/>
    <w:semiHidden/>
    <w:rsid w:val="00A50640"/>
  </w:style>
  <w:style w:type="table" w:customStyle="1" w:styleId="Tablaconcuadrcula92">
    <w:name w:val="Tabla con cuadrícula92"/>
    <w:basedOn w:val="Tablanormal"/>
    <w:next w:val="Tablaconcuadrcula"/>
    <w:rsid w:val="007323E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gress1">
    <w:name w:val="ingress1"/>
    <w:basedOn w:val="Normal"/>
    <w:uiPriority w:val="99"/>
    <w:rsid w:val="009D78DB"/>
    <w:pPr>
      <w:spacing w:before="100" w:beforeAutospacing="1" w:after="180"/>
    </w:pPr>
    <w:rPr>
      <w:rFonts w:eastAsia="Times New Roman"/>
      <w:b/>
      <w:bCs/>
      <w:color w:val="333333"/>
      <w:lang w:val="es-ES"/>
    </w:rPr>
  </w:style>
  <w:style w:type="numbering" w:customStyle="1" w:styleId="Sinlista50">
    <w:name w:val="Sin lista50"/>
    <w:next w:val="Sinlista"/>
    <w:semiHidden/>
    <w:rsid w:val="00B8080B"/>
  </w:style>
  <w:style w:type="table" w:customStyle="1" w:styleId="Tablaconcuadrcula93">
    <w:name w:val="Tabla con cuadrícula93"/>
    <w:basedOn w:val="Tablanormal"/>
    <w:next w:val="Tablaconcuadrcula"/>
    <w:rsid w:val="00B8080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
    <w:name w:val="Tabla con cuadrícula94"/>
    <w:basedOn w:val="Tablanormal"/>
    <w:next w:val="Tablaconcuadrcula"/>
    <w:rsid w:val="005E4C5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
    <w:name w:val="Sin lista51"/>
    <w:next w:val="Sinlista"/>
    <w:semiHidden/>
    <w:rsid w:val="00202DB4"/>
  </w:style>
  <w:style w:type="table" w:customStyle="1" w:styleId="Tablaconcuadrcula95">
    <w:name w:val="Tabla con cuadrícula95"/>
    <w:basedOn w:val="Tablanormal"/>
    <w:next w:val="Tablaconcuadrcula"/>
    <w:rsid w:val="00202DB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
    <w:name w:val="Tabla con cuadrícula96"/>
    <w:basedOn w:val="Tablanormal"/>
    <w:next w:val="Tablaconcuadrcula"/>
    <w:rsid w:val="008542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
    <w:name w:val="Sin lista52"/>
    <w:next w:val="Sinlista"/>
    <w:semiHidden/>
    <w:rsid w:val="00AD691E"/>
  </w:style>
  <w:style w:type="numbering" w:customStyle="1" w:styleId="Sinlista53">
    <w:name w:val="Sin lista53"/>
    <w:next w:val="Sinlista"/>
    <w:semiHidden/>
    <w:rsid w:val="00F9628C"/>
  </w:style>
  <w:style w:type="table" w:customStyle="1" w:styleId="Tablaconcuadrcula97">
    <w:name w:val="Tabla con cuadrícula97"/>
    <w:basedOn w:val="Tablanormal"/>
    <w:next w:val="Tablaconcuadrcula"/>
    <w:rsid w:val="00732FD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
    <w:name w:val="Sin lista54"/>
    <w:next w:val="Sinlista"/>
    <w:semiHidden/>
    <w:rsid w:val="00B96C72"/>
  </w:style>
  <w:style w:type="table" w:customStyle="1" w:styleId="Tablaconcuadrcula98">
    <w:name w:val="Tabla con cuadrícula98"/>
    <w:basedOn w:val="Tablanormal"/>
    <w:next w:val="Tablaconcuadrcula"/>
    <w:rsid w:val="006106E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
    <w:name w:val="Tabla con cuadrícula99"/>
    <w:basedOn w:val="Tablanormal"/>
    <w:next w:val="Tablaconcuadrcula"/>
    <w:rsid w:val="009A3A7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
    <w:name w:val="Sin lista55"/>
    <w:next w:val="Sinlista"/>
    <w:semiHidden/>
    <w:rsid w:val="005C23F4"/>
  </w:style>
  <w:style w:type="table" w:customStyle="1" w:styleId="Tablaconcuadrcula1000">
    <w:name w:val="Tabla con cuadrícula100"/>
    <w:basedOn w:val="Tablanormal"/>
    <w:next w:val="Tablaconcuadrcula"/>
    <w:rsid w:val="00E33DC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0">
    <w:name w:val="Tabla con cuadrícula 111"/>
    <w:basedOn w:val="Tablanormal"/>
    <w:next w:val="Tablaconcuadrcula10"/>
    <w:rsid w:val="000E775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56">
    <w:name w:val="Sin lista56"/>
    <w:next w:val="Sinlista"/>
    <w:semiHidden/>
    <w:rsid w:val="00392B76"/>
  </w:style>
  <w:style w:type="table" w:customStyle="1" w:styleId="Tablaconcuadrcula101">
    <w:name w:val="Tabla con cuadrícula101"/>
    <w:basedOn w:val="Tablanormal"/>
    <w:next w:val="Tablaconcuadrcula"/>
    <w:rsid w:val="00392B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oogle-src-text1">
    <w:name w:val="google-src-text1"/>
    <w:basedOn w:val="Fuentedeprrafopredeter"/>
    <w:rsid w:val="00392B76"/>
    <w:rPr>
      <w:vanish/>
      <w:webHidden w:val="0"/>
      <w:specVanish w:val="0"/>
    </w:rPr>
  </w:style>
  <w:style w:type="table" w:customStyle="1" w:styleId="Tablaconcuadrcula102">
    <w:name w:val="Tabla con cuadrícula102"/>
    <w:basedOn w:val="Tablanormal"/>
    <w:next w:val="Tablaconcuadrcula"/>
    <w:rsid w:val="00392B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
    <w:name w:val="Tabla con cuadrícula103"/>
    <w:basedOn w:val="Tablanormal"/>
    <w:next w:val="Tablaconcuadrcula"/>
    <w:rsid w:val="0060458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
    <w:name w:val="Sin lista57"/>
    <w:next w:val="Sinlista"/>
    <w:semiHidden/>
    <w:rsid w:val="002E0702"/>
  </w:style>
  <w:style w:type="table" w:customStyle="1" w:styleId="Tablaconcuadrcula112">
    <w:name w:val="Tabla con cuadrícula 112"/>
    <w:basedOn w:val="Tablanormal"/>
    <w:next w:val="Tablaconcuadrcula10"/>
    <w:rsid w:val="006827C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04">
    <w:name w:val="Tabla con cuadrícula104"/>
    <w:basedOn w:val="Tablanormal"/>
    <w:next w:val="Tablaconcuadrcula"/>
    <w:rsid w:val="007E32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
    <w:name w:val="Sin lista58"/>
    <w:next w:val="Sinlista"/>
    <w:semiHidden/>
    <w:rsid w:val="00DA3F44"/>
  </w:style>
  <w:style w:type="table" w:customStyle="1" w:styleId="Tablaconcuadrcula105">
    <w:name w:val="Tabla con cuadrícula105"/>
    <w:basedOn w:val="Tablanormal"/>
    <w:next w:val="Tablaconcuadrcula"/>
    <w:rsid w:val="00DA3F4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
    <w:name w:val="Sin lista59"/>
    <w:next w:val="Sinlista"/>
    <w:semiHidden/>
    <w:rsid w:val="000255E0"/>
  </w:style>
  <w:style w:type="table" w:customStyle="1" w:styleId="Tablaconcuadrcula106">
    <w:name w:val="Tabla con cuadrícula106"/>
    <w:basedOn w:val="Tablanormal"/>
    <w:next w:val="Tablaconcuadrcula"/>
    <w:rsid w:val="0055173E"/>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
    <w:name w:val="Tabla con cuadrícula107"/>
    <w:basedOn w:val="Tablanormal"/>
    <w:next w:val="Tablaconcuadrcula"/>
    <w:rsid w:val="007E1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
    <w:name w:val="Tabla con cuadrícula108"/>
    <w:basedOn w:val="Tablanormal"/>
    <w:next w:val="Tablaconcuadrcula"/>
    <w:rsid w:val="009343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
    <w:name w:val="Tabla con cuadrícula109"/>
    <w:basedOn w:val="Tablanormal"/>
    <w:next w:val="Tablaconcuadrcula"/>
    <w:rsid w:val="009343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
    <w:name w:val="Tabla con cuadrícula111"/>
    <w:basedOn w:val="Tablanormal"/>
    <w:next w:val="Tablaconcuadrcula"/>
    <w:rsid w:val="00104A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0">
    <w:name w:val="Tabla con cuadrícula112"/>
    <w:basedOn w:val="Tablanormal"/>
    <w:next w:val="Tablaconcuadrcula"/>
    <w:rsid w:val="00104A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
    <w:name w:val="Sin lista60"/>
    <w:next w:val="Sinlista"/>
    <w:semiHidden/>
    <w:rsid w:val="00475800"/>
  </w:style>
  <w:style w:type="table" w:customStyle="1" w:styleId="Tablaconcuadrcula113">
    <w:name w:val="Tabla con cuadrícula113"/>
    <w:basedOn w:val="Tablanormal"/>
    <w:next w:val="Tablaconcuadrcula"/>
    <w:rsid w:val="0047580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
    <w:name w:val="Sin lista61"/>
    <w:next w:val="Sinlista"/>
    <w:semiHidden/>
    <w:rsid w:val="00232E03"/>
  </w:style>
  <w:style w:type="table" w:customStyle="1" w:styleId="Tablaconcuadrcula114">
    <w:name w:val="Tabla con cuadrícula114"/>
    <w:basedOn w:val="Tablanormal"/>
    <w:next w:val="Tablaconcuadrcula"/>
    <w:rsid w:val="00232E0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
    <w:name w:val="Tabla con cuadrícula115"/>
    <w:basedOn w:val="Tablanormal"/>
    <w:next w:val="Tablaconcuadrcula"/>
    <w:rsid w:val="009E3C28"/>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62">
    <w:name w:val="Sin lista62"/>
    <w:next w:val="Sinlista"/>
    <w:semiHidden/>
    <w:rsid w:val="006D6FD6"/>
  </w:style>
  <w:style w:type="table" w:customStyle="1" w:styleId="Tablaconcuadrcula116">
    <w:name w:val="Tabla con cuadrícula116"/>
    <w:basedOn w:val="Tablanormal"/>
    <w:next w:val="Tablaconcuadrcula"/>
    <w:rsid w:val="006D6FD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0">
    <w:name w:val="Tabla con cuadrícula 113"/>
    <w:basedOn w:val="Tablanormal"/>
    <w:next w:val="Tablaconcuadrcula10"/>
    <w:rsid w:val="0061162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63">
    <w:name w:val="Sin lista63"/>
    <w:next w:val="Sinlista"/>
    <w:semiHidden/>
    <w:rsid w:val="00544AC2"/>
  </w:style>
  <w:style w:type="paragraph" w:customStyle="1" w:styleId="xl66">
    <w:name w:val="xl66"/>
    <w:basedOn w:val="Normal"/>
    <w:uiPriority w:val="99"/>
    <w:rsid w:val="001A41F9"/>
    <w:pPr>
      <w:spacing w:before="100" w:beforeAutospacing="1" w:after="100" w:afterAutospacing="1"/>
      <w:jc w:val="center"/>
    </w:pPr>
    <w:rPr>
      <w:rFonts w:ascii="Arial" w:eastAsia="Times New Roman" w:hAnsi="Arial" w:cs="Arial"/>
      <w:sz w:val="16"/>
      <w:szCs w:val="16"/>
      <w:lang w:val="es-ES"/>
    </w:rPr>
  </w:style>
  <w:style w:type="paragraph" w:customStyle="1" w:styleId="xl67">
    <w:name w:val="xl67"/>
    <w:basedOn w:val="Normal"/>
    <w:uiPriority w:val="99"/>
    <w:rsid w:val="001A41F9"/>
    <w:pPr>
      <w:spacing w:before="100" w:beforeAutospacing="1" w:after="100" w:afterAutospacing="1"/>
    </w:pPr>
    <w:rPr>
      <w:rFonts w:ascii="Arial" w:eastAsia="Times New Roman" w:hAnsi="Arial" w:cs="Arial"/>
      <w:sz w:val="16"/>
      <w:szCs w:val="16"/>
      <w:lang w:val="es-ES"/>
    </w:rPr>
  </w:style>
  <w:style w:type="paragraph" w:customStyle="1" w:styleId="xl68">
    <w:name w:val="xl68"/>
    <w:basedOn w:val="Normal"/>
    <w:uiPriority w:val="99"/>
    <w:rsid w:val="001A41F9"/>
    <w:pPr>
      <w:spacing w:before="100" w:beforeAutospacing="1" w:after="100" w:afterAutospacing="1"/>
      <w:jc w:val="center"/>
    </w:pPr>
    <w:rPr>
      <w:rFonts w:ascii="Arial" w:eastAsia="Times New Roman" w:hAnsi="Arial" w:cs="Arial"/>
      <w:b/>
      <w:bCs/>
      <w:sz w:val="16"/>
      <w:szCs w:val="16"/>
      <w:lang w:val="es-ES"/>
    </w:rPr>
  </w:style>
  <w:style w:type="paragraph" w:customStyle="1" w:styleId="xl69">
    <w:name w:val="xl69"/>
    <w:basedOn w:val="Normal"/>
    <w:uiPriority w:val="99"/>
    <w:rsid w:val="001A41F9"/>
    <w:pPr>
      <w:spacing w:before="100" w:beforeAutospacing="1" w:after="100" w:afterAutospacing="1"/>
    </w:pPr>
    <w:rPr>
      <w:rFonts w:ascii="Arial" w:eastAsia="Times New Roman" w:hAnsi="Arial" w:cs="Arial"/>
      <w:b/>
      <w:bCs/>
      <w:sz w:val="16"/>
      <w:szCs w:val="16"/>
      <w:lang w:val="es-ES"/>
    </w:rPr>
  </w:style>
  <w:style w:type="paragraph" w:customStyle="1" w:styleId="xl70">
    <w:name w:val="xl70"/>
    <w:basedOn w:val="Normal"/>
    <w:uiPriority w:val="99"/>
    <w:rsid w:val="001A41F9"/>
    <w:pPr>
      <w:spacing w:before="100" w:beforeAutospacing="1" w:after="100" w:afterAutospacing="1"/>
    </w:pPr>
    <w:rPr>
      <w:rFonts w:ascii="Arial" w:eastAsia="Times New Roman" w:hAnsi="Arial" w:cs="Arial"/>
      <w:lang w:val="es-ES"/>
    </w:rPr>
  </w:style>
  <w:style w:type="paragraph" w:customStyle="1" w:styleId="xl71">
    <w:name w:val="xl71"/>
    <w:basedOn w:val="Normal"/>
    <w:uiPriority w:val="99"/>
    <w:rsid w:val="001A41F9"/>
    <w:pPr>
      <w:spacing w:before="100" w:beforeAutospacing="1" w:after="100" w:afterAutospacing="1"/>
    </w:pPr>
    <w:rPr>
      <w:rFonts w:ascii="Arial" w:eastAsia="Times New Roman" w:hAnsi="Arial" w:cs="Arial"/>
      <w:sz w:val="16"/>
      <w:szCs w:val="16"/>
      <w:lang w:val="es-ES"/>
    </w:rPr>
  </w:style>
  <w:style w:type="paragraph" w:customStyle="1" w:styleId="xl72">
    <w:name w:val="xl72"/>
    <w:basedOn w:val="Normal"/>
    <w:uiPriority w:val="99"/>
    <w:rsid w:val="001A41F9"/>
    <w:pPr>
      <w:spacing w:before="100" w:beforeAutospacing="1" w:after="100" w:afterAutospacing="1"/>
      <w:jc w:val="center"/>
    </w:pPr>
    <w:rPr>
      <w:rFonts w:ascii="Arial" w:eastAsia="Times New Roman" w:hAnsi="Arial" w:cs="Arial"/>
      <w:b/>
      <w:bCs/>
      <w:sz w:val="14"/>
      <w:szCs w:val="14"/>
      <w:lang w:val="es-ES"/>
    </w:rPr>
  </w:style>
  <w:style w:type="paragraph" w:customStyle="1" w:styleId="xl73">
    <w:name w:val="xl73"/>
    <w:basedOn w:val="Normal"/>
    <w:uiPriority w:val="99"/>
    <w:rsid w:val="001A41F9"/>
    <w:pPr>
      <w:spacing w:before="100" w:beforeAutospacing="1" w:after="100" w:afterAutospacing="1"/>
      <w:jc w:val="center"/>
    </w:pPr>
    <w:rPr>
      <w:rFonts w:ascii="Arial" w:eastAsia="Times New Roman" w:hAnsi="Arial" w:cs="Arial"/>
      <w:sz w:val="16"/>
      <w:szCs w:val="16"/>
      <w:lang w:val="es-ES"/>
    </w:rPr>
  </w:style>
  <w:style w:type="paragraph" w:customStyle="1" w:styleId="xl74">
    <w:name w:val="xl74"/>
    <w:basedOn w:val="Normal"/>
    <w:uiPriority w:val="99"/>
    <w:rsid w:val="001A41F9"/>
    <w:pPr>
      <w:pBdr>
        <w:top w:val="single" w:sz="8" w:space="0" w:color="auto"/>
        <w:left w:val="single" w:sz="8" w:space="0" w:color="auto"/>
        <w:bottom w:val="single" w:sz="8" w:space="0" w:color="auto"/>
      </w:pBdr>
      <w:spacing w:before="100" w:beforeAutospacing="1" w:after="100" w:afterAutospacing="1"/>
      <w:jc w:val="center"/>
    </w:pPr>
    <w:rPr>
      <w:rFonts w:ascii="Arial" w:eastAsia="Times New Roman" w:hAnsi="Arial" w:cs="Arial"/>
      <w:b/>
      <w:bCs/>
      <w:lang w:val="es-ES"/>
    </w:rPr>
  </w:style>
  <w:style w:type="paragraph" w:customStyle="1" w:styleId="xl75">
    <w:name w:val="xl75"/>
    <w:basedOn w:val="Normal"/>
    <w:uiPriority w:val="99"/>
    <w:rsid w:val="001A41F9"/>
    <w:pPr>
      <w:pBdr>
        <w:top w:val="single" w:sz="8" w:space="0" w:color="auto"/>
        <w:bottom w:val="single" w:sz="8" w:space="0" w:color="auto"/>
      </w:pBdr>
      <w:spacing w:before="100" w:beforeAutospacing="1" w:after="100" w:afterAutospacing="1"/>
      <w:jc w:val="center"/>
    </w:pPr>
    <w:rPr>
      <w:rFonts w:eastAsia="Times New Roman"/>
      <w:lang w:val="es-ES"/>
    </w:rPr>
  </w:style>
  <w:style w:type="paragraph" w:customStyle="1" w:styleId="xl76">
    <w:name w:val="xl76"/>
    <w:basedOn w:val="Normal"/>
    <w:uiPriority w:val="99"/>
    <w:rsid w:val="001A41F9"/>
    <w:pPr>
      <w:pBdr>
        <w:top w:val="single" w:sz="8" w:space="0" w:color="auto"/>
        <w:bottom w:val="single" w:sz="8" w:space="0" w:color="auto"/>
        <w:right w:val="single" w:sz="8" w:space="0" w:color="auto"/>
      </w:pBdr>
      <w:spacing w:before="100" w:beforeAutospacing="1" w:after="100" w:afterAutospacing="1"/>
      <w:jc w:val="center"/>
    </w:pPr>
    <w:rPr>
      <w:rFonts w:eastAsia="Times New Roman"/>
      <w:lang w:val="es-ES"/>
    </w:rPr>
  </w:style>
  <w:style w:type="table" w:customStyle="1" w:styleId="Tablaconcuadrcula117">
    <w:name w:val="Tabla con cuadrícula117"/>
    <w:basedOn w:val="Tablanormal"/>
    <w:next w:val="Tablaconcuadrcula"/>
    <w:rsid w:val="006E68A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
    <w:name w:val="Sin lista64"/>
    <w:next w:val="Sinlista"/>
    <w:semiHidden/>
    <w:rsid w:val="00021617"/>
  </w:style>
  <w:style w:type="table" w:customStyle="1" w:styleId="Tablaconcuadrcula118">
    <w:name w:val="Tabla con cuadrícula118"/>
    <w:basedOn w:val="Tablanormal"/>
    <w:next w:val="Tablaconcuadrcula"/>
    <w:rsid w:val="0002161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
    <w:name w:val="Sin lista65"/>
    <w:next w:val="Sinlista"/>
    <w:semiHidden/>
    <w:rsid w:val="000718D5"/>
  </w:style>
  <w:style w:type="table" w:customStyle="1" w:styleId="Tablaconcuadrcula119">
    <w:name w:val="Tabla con cuadrícula119"/>
    <w:basedOn w:val="Tablanormal"/>
    <w:next w:val="Tablaconcuadrcula"/>
    <w:rsid w:val="001131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
    <w:name w:val="Sin lista66"/>
    <w:next w:val="Sinlista"/>
    <w:semiHidden/>
    <w:rsid w:val="002008A7"/>
  </w:style>
  <w:style w:type="table" w:customStyle="1" w:styleId="Tablaconcuadrcula1200">
    <w:name w:val="Tabla con cuadrícula120"/>
    <w:basedOn w:val="Tablanormal"/>
    <w:next w:val="Tablaconcuadrcula"/>
    <w:rsid w:val="002008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
    <w:name w:val="Sin lista67"/>
    <w:next w:val="Sinlista"/>
    <w:semiHidden/>
    <w:rsid w:val="00353D07"/>
  </w:style>
  <w:style w:type="numbering" w:customStyle="1" w:styleId="Sinlista68">
    <w:name w:val="Sin lista68"/>
    <w:next w:val="Sinlista"/>
    <w:semiHidden/>
    <w:rsid w:val="000A0412"/>
  </w:style>
  <w:style w:type="table" w:customStyle="1" w:styleId="Tablaconcuadrcula121">
    <w:name w:val="Tabla con cuadrícula121"/>
    <w:basedOn w:val="Tablanormal"/>
    <w:next w:val="Tablaconcuadrcula"/>
    <w:rsid w:val="000A04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
    <w:name w:val="Tabla con cuadrícula122"/>
    <w:basedOn w:val="Tablanormal"/>
    <w:next w:val="Tablaconcuadrcula"/>
    <w:rsid w:val="008D68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
    <w:name w:val="Tabla con cuadrícula123"/>
    <w:basedOn w:val="Tablanormal"/>
    <w:next w:val="Tablaconcuadrcula"/>
    <w:rsid w:val="00CC06C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
    <w:name w:val="Sin lista69"/>
    <w:next w:val="Sinlista"/>
    <w:semiHidden/>
    <w:rsid w:val="009F0276"/>
  </w:style>
  <w:style w:type="table" w:customStyle="1" w:styleId="Tablaconcuadrcula124">
    <w:name w:val="Tabla con cuadrícula124"/>
    <w:basedOn w:val="Tablanormal"/>
    <w:next w:val="Tablaconcuadrcula"/>
    <w:rsid w:val="002178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
    <w:name w:val="Tabla con cuadrícula125"/>
    <w:basedOn w:val="Tablanormal"/>
    <w:next w:val="Tablaconcuadrcula"/>
    <w:rsid w:val="00A956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
    <w:name w:val="Tabla con cuadrícula126"/>
    <w:basedOn w:val="Tablanormal"/>
    <w:next w:val="Tablaconcuadrcula"/>
    <w:rsid w:val="00DA7DB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
    <w:name w:val="Tabla con cuadrícula127"/>
    <w:basedOn w:val="Tablanormal"/>
    <w:next w:val="Tablaconcuadrcula"/>
    <w:rsid w:val="002D59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8">
    <w:name w:val="Tabla con cuadrícula128"/>
    <w:basedOn w:val="Tablanormal"/>
    <w:next w:val="Tablaconcuadrcula"/>
    <w:rsid w:val="00C124B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
    <w:name w:val="Sin lista70"/>
    <w:next w:val="Sinlista"/>
    <w:semiHidden/>
    <w:rsid w:val="00C124B0"/>
  </w:style>
  <w:style w:type="numbering" w:customStyle="1" w:styleId="Sinlista71">
    <w:name w:val="Sin lista71"/>
    <w:next w:val="Sinlista"/>
    <w:semiHidden/>
    <w:rsid w:val="002C60C0"/>
  </w:style>
  <w:style w:type="table" w:customStyle="1" w:styleId="Tablaconcuadrcula129">
    <w:name w:val="Tabla con cuadrícula129"/>
    <w:basedOn w:val="Tablanormal"/>
    <w:next w:val="Tablaconcuadrcula"/>
    <w:rsid w:val="002C60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
    <w:name w:val="Sin lista72"/>
    <w:next w:val="Sinlista"/>
    <w:semiHidden/>
    <w:rsid w:val="00CB4B12"/>
  </w:style>
  <w:style w:type="table" w:customStyle="1" w:styleId="Tablaconcuadrcula1300">
    <w:name w:val="Tabla con cuadrícula130"/>
    <w:basedOn w:val="Tablanormal"/>
    <w:next w:val="Tablaconcuadrcula"/>
    <w:rsid w:val="00CB4B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
    <w:name w:val="Tabla con cuadrícula131"/>
    <w:basedOn w:val="Tablanormal"/>
    <w:next w:val="Tablaconcuadrcula"/>
    <w:rsid w:val="00A40F7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
    <w:name w:val="Tabla con cuadrícula132"/>
    <w:basedOn w:val="Tablanormal"/>
    <w:next w:val="Tablaconcuadrcula"/>
    <w:rsid w:val="00D160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
    <w:name w:val="Sin lista73"/>
    <w:next w:val="Sinlista"/>
    <w:semiHidden/>
    <w:rsid w:val="00D1607E"/>
  </w:style>
  <w:style w:type="table" w:customStyle="1" w:styleId="Tablaconcuadrcula133">
    <w:name w:val="Tabla con cuadrícula133"/>
    <w:basedOn w:val="Tablanormal"/>
    <w:next w:val="Tablaconcuadrcula"/>
    <w:rsid w:val="00D160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4">
    <w:name w:val="Tabla con cuadrícula134"/>
    <w:basedOn w:val="Tablanormal"/>
    <w:next w:val="Tablaconcuadrcula"/>
    <w:rsid w:val="00FA598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5">
    <w:name w:val="Tabla con cuadrícula135"/>
    <w:basedOn w:val="Tablanormal"/>
    <w:next w:val="Tablaconcuadrcula"/>
    <w:rsid w:val="00A25D3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
    <w:name w:val="Sin lista74"/>
    <w:next w:val="Sinlista"/>
    <w:semiHidden/>
    <w:rsid w:val="00D85EC0"/>
  </w:style>
  <w:style w:type="table" w:customStyle="1" w:styleId="Tablaconcuadrcula136">
    <w:name w:val="Tabla con cuadrícula136"/>
    <w:basedOn w:val="Tablanormal"/>
    <w:next w:val="Tablaconcuadrcula"/>
    <w:rsid w:val="00D85E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7">
    <w:name w:val="Tabla con cuadrícula137"/>
    <w:basedOn w:val="Tablanormal"/>
    <w:next w:val="Tablaconcuadrcula"/>
    <w:rsid w:val="00D85EC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8">
    <w:name w:val="Tabla con cuadrícula138"/>
    <w:basedOn w:val="Tablanormal"/>
    <w:next w:val="Tablaconcuadrcula"/>
    <w:rsid w:val="00D85E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9">
    <w:name w:val="Tabla con cuadrícula139"/>
    <w:basedOn w:val="Tablanormal"/>
    <w:next w:val="Tablaconcuadrcula"/>
    <w:rsid w:val="00D85E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00">
    <w:name w:val="Tabla con cuadrícula140"/>
    <w:basedOn w:val="Tablanormal"/>
    <w:next w:val="Tablaconcuadrcula"/>
    <w:rsid w:val="007D0A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
    <w:name w:val="Tabla con cuadrícula141"/>
    <w:basedOn w:val="Tablanormal"/>
    <w:next w:val="Tablaconcuadrcula"/>
    <w:rsid w:val="00FB734B"/>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2">
    <w:name w:val="Tabla con cuadrícula142"/>
    <w:basedOn w:val="Tablanormal"/>
    <w:next w:val="Tablaconcuadrcula"/>
    <w:rsid w:val="002749F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3">
    <w:name w:val="Tabla con cuadrícula143"/>
    <w:basedOn w:val="Tablanormal"/>
    <w:next w:val="Tablaconcuadrcula"/>
    <w:rsid w:val="006A5F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4">
    <w:name w:val="Tabla con cuadrícula144"/>
    <w:basedOn w:val="Tablanormal"/>
    <w:next w:val="Tablaconcuadrcula"/>
    <w:rsid w:val="006A5FEE"/>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
    <w:name w:val="Sin lista75"/>
    <w:next w:val="Sinlista"/>
    <w:semiHidden/>
    <w:rsid w:val="006616BE"/>
  </w:style>
  <w:style w:type="table" w:customStyle="1" w:styleId="Tablaconcuadrcula145">
    <w:name w:val="Tabla con cuadrícula145"/>
    <w:basedOn w:val="Tablanormal"/>
    <w:next w:val="Tablaconcuadrcula"/>
    <w:rsid w:val="006616B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6">
    <w:name w:val="Sin lista76"/>
    <w:next w:val="Sinlista"/>
    <w:semiHidden/>
    <w:rsid w:val="00A16993"/>
  </w:style>
  <w:style w:type="table" w:customStyle="1" w:styleId="Tablaconcuadrcula146">
    <w:name w:val="Tabla con cuadrícula146"/>
    <w:basedOn w:val="Tablanormal"/>
    <w:next w:val="Tablaconcuadrcula"/>
    <w:rsid w:val="00A169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
    <w:name w:val="Tabla con cuadrícula511"/>
    <w:basedOn w:val="Tablanormal"/>
    <w:next w:val="Tablaconcuadrcula"/>
    <w:rsid w:val="00A169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0">
    <w:name w:val="Tabla con cuadrícula 114"/>
    <w:basedOn w:val="Tablanormal"/>
    <w:next w:val="Tablaconcuadrcula10"/>
    <w:rsid w:val="006A438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7">
    <w:name w:val="Tabla con cuadrícula147"/>
    <w:basedOn w:val="Tablanormal"/>
    <w:next w:val="Tablaconcuadrcula"/>
    <w:rsid w:val="002833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0">
    <w:name w:val="Tabla con cuadrícula 115"/>
    <w:basedOn w:val="Tablanormal"/>
    <w:next w:val="Tablaconcuadrcula10"/>
    <w:rsid w:val="007F120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8">
    <w:name w:val="Tabla con cuadrícula148"/>
    <w:basedOn w:val="Tablanormal"/>
    <w:next w:val="Tablaconcuadrcula"/>
    <w:rsid w:val="000816F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9">
    <w:name w:val="Tabla con cuadrícula149"/>
    <w:basedOn w:val="Tablanormal"/>
    <w:next w:val="Tablaconcuadrcula"/>
    <w:rsid w:val="0068613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00">
    <w:name w:val="Tabla con cuadrícula150"/>
    <w:basedOn w:val="Tablanormal"/>
    <w:next w:val="Tablaconcuadrcula"/>
    <w:rsid w:val="004A325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
    <w:name w:val="Sin lista77"/>
    <w:next w:val="Sinlista"/>
    <w:semiHidden/>
    <w:rsid w:val="00AF04A7"/>
  </w:style>
  <w:style w:type="table" w:customStyle="1" w:styleId="Tablaconcuadrcula151">
    <w:name w:val="Tabla con cuadrícula151"/>
    <w:basedOn w:val="Tablanormal"/>
    <w:next w:val="Tablaconcuadrcula"/>
    <w:rsid w:val="00AF04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2">
    <w:name w:val="Tabla con cuadrícula152"/>
    <w:basedOn w:val="Tablanormal"/>
    <w:next w:val="Tablaconcuadrcula"/>
    <w:rsid w:val="00C52D16"/>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3">
    <w:name w:val="Tabla con cuadrícula153"/>
    <w:basedOn w:val="Tablanormal"/>
    <w:next w:val="Tablaconcuadrcula"/>
    <w:rsid w:val="00DE130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4">
    <w:name w:val="Tabla con cuadrícula154"/>
    <w:basedOn w:val="Tablanormal"/>
    <w:next w:val="Tablaconcuadrcula"/>
    <w:rsid w:val="003779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ulonoticia">
    <w:name w:val="titulonoticia"/>
    <w:basedOn w:val="Normal"/>
    <w:uiPriority w:val="99"/>
    <w:rsid w:val="000D35D2"/>
    <w:pPr>
      <w:spacing w:before="100" w:beforeAutospacing="1" w:after="100" w:afterAutospacing="1"/>
      <w:jc w:val="both"/>
    </w:pPr>
    <w:rPr>
      <w:rFonts w:ascii="Arial" w:eastAsia="Times New Roman" w:hAnsi="Arial" w:cs="Arial"/>
      <w:b/>
      <w:bCs/>
      <w:color w:val="285480"/>
      <w:sz w:val="27"/>
      <w:szCs w:val="27"/>
      <w:lang w:val="es-ES"/>
    </w:rPr>
  </w:style>
  <w:style w:type="numbering" w:customStyle="1" w:styleId="Sinlista78">
    <w:name w:val="Sin lista78"/>
    <w:next w:val="Sinlista"/>
    <w:semiHidden/>
    <w:rsid w:val="00C02A88"/>
  </w:style>
  <w:style w:type="table" w:customStyle="1" w:styleId="Tablaconcuadrcula1160">
    <w:name w:val="Tabla con cuadrícula 116"/>
    <w:basedOn w:val="Tablanormal"/>
    <w:next w:val="Tablaconcuadrcula10"/>
    <w:rsid w:val="004A1FA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70">
    <w:name w:val="Tabla con cuadrícula 117"/>
    <w:basedOn w:val="Tablanormal"/>
    <w:next w:val="Tablaconcuadrcula10"/>
    <w:rsid w:val="00E74115"/>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80">
    <w:name w:val="Tabla con cuadrícula 118"/>
    <w:basedOn w:val="Tablanormal"/>
    <w:next w:val="Tablaconcuadrcula10"/>
    <w:rsid w:val="00376C5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79">
    <w:name w:val="Sin lista79"/>
    <w:next w:val="Sinlista"/>
    <w:semiHidden/>
    <w:rsid w:val="005D5F76"/>
  </w:style>
  <w:style w:type="table" w:customStyle="1" w:styleId="Tablaconcuadrcula155">
    <w:name w:val="Tabla con cuadrícula155"/>
    <w:basedOn w:val="Tablanormal"/>
    <w:next w:val="Tablaconcuadrcula"/>
    <w:rsid w:val="005D5F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0">
    <w:name w:val="Sin lista80"/>
    <w:next w:val="Sinlista"/>
    <w:semiHidden/>
    <w:rsid w:val="001F1386"/>
  </w:style>
  <w:style w:type="table" w:customStyle="1" w:styleId="Tablaconcuadrcula156">
    <w:name w:val="Tabla con cuadrícula156"/>
    <w:basedOn w:val="Tablanormal"/>
    <w:next w:val="Tablaconcuadrcula"/>
    <w:rsid w:val="001F13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7">
    <w:name w:val="Tabla con cuadrícula157"/>
    <w:basedOn w:val="Tablanormal"/>
    <w:next w:val="Tablaconcuadrcula"/>
    <w:rsid w:val="00E7701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
    <w:name w:val="Sin lista81"/>
    <w:next w:val="Sinlista"/>
    <w:semiHidden/>
    <w:rsid w:val="006427BF"/>
  </w:style>
  <w:style w:type="table" w:customStyle="1" w:styleId="Tablaconcuadrcula158">
    <w:name w:val="Tabla con cuadrícula158"/>
    <w:basedOn w:val="Tablanormal"/>
    <w:next w:val="Tablaconcuadrcula"/>
    <w:rsid w:val="006427B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2">
    <w:name w:val="Sin lista82"/>
    <w:next w:val="Sinlista"/>
    <w:semiHidden/>
    <w:rsid w:val="00510851"/>
  </w:style>
  <w:style w:type="table" w:customStyle="1" w:styleId="Tablaconcuadrcula159">
    <w:name w:val="Tabla con cuadrícula159"/>
    <w:basedOn w:val="Tablanormal"/>
    <w:next w:val="Tablaconcuadrcula"/>
    <w:rsid w:val="0051085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3">
    <w:name w:val="Sin lista83"/>
    <w:next w:val="Sinlista"/>
    <w:semiHidden/>
    <w:rsid w:val="00267A81"/>
  </w:style>
  <w:style w:type="table" w:customStyle="1" w:styleId="Tablaconcuadrcula1610">
    <w:name w:val="Tabla con cuadrícula161"/>
    <w:basedOn w:val="Tablanormal"/>
    <w:next w:val="Tablaconcuadrcula"/>
    <w:rsid w:val="00267A8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2">
    <w:name w:val="Tabla con cuadrícula162"/>
    <w:basedOn w:val="Tablanormal"/>
    <w:next w:val="Tablaconcuadrcula"/>
    <w:rsid w:val="00652C0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3">
    <w:name w:val="Tabla con cuadrícula163"/>
    <w:basedOn w:val="Tablanormal"/>
    <w:next w:val="Tablaconcuadrcula"/>
    <w:rsid w:val="00A7082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4">
    <w:name w:val="Tabla con cuadrícula164"/>
    <w:basedOn w:val="Tablanormal"/>
    <w:next w:val="Tablaconcuadrcula"/>
    <w:rsid w:val="004466A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a4">
    <w:name w:val="List 4"/>
    <w:basedOn w:val="Normal"/>
    <w:uiPriority w:val="99"/>
    <w:rsid w:val="00F92304"/>
    <w:pPr>
      <w:ind w:left="1132" w:hanging="283"/>
    </w:pPr>
  </w:style>
  <w:style w:type="paragraph" w:styleId="Lista5">
    <w:name w:val="List 5"/>
    <w:basedOn w:val="Normal"/>
    <w:uiPriority w:val="99"/>
    <w:rsid w:val="00F92304"/>
    <w:pPr>
      <w:ind w:left="1415" w:hanging="283"/>
    </w:pPr>
  </w:style>
  <w:style w:type="paragraph" w:styleId="Listaconvietas4">
    <w:name w:val="List Bullet 4"/>
    <w:basedOn w:val="Normal"/>
    <w:uiPriority w:val="99"/>
    <w:rsid w:val="00F92304"/>
    <w:pPr>
      <w:numPr>
        <w:numId w:val="8"/>
      </w:numPr>
    </w:pPr>
  </w:style>
  <w:style w:type="paragraph" w:styleId="Continuarlista3">
    <w:name w:val="List Continue 3"/>
    <w:basedOn w:val="Normal"/>
    <w:uiPriority w:val="99"/>
    <w:rsid w:val="00F92304"/>
    <w:pPr>
      <w:spacing w:after="120"/>
      <w:ind w:left="849"/>
    </w:pPr>
  </w:style>
  <w:style w:type="paragraph" w:styleId="Continuarlista4">
    <w:name w:val="List Continue 4"/>
    <w:basedOn w:val="Normal"/>
    <w:uiPriority w:val="99"/>
    <w:rsid w:val="00F92304"/>
    <w:pPr>
      <w:spacing w:after="120"/>
      <w:ind w:left="1132"/>
    </w:pPr>
  </w:style>
  <w:style w:type="paragraph" w:styleId="Textoindependienteprimerasangra">
    <w:name w:val="Body Text First Indent"/>
    <w:basedOn w:val="Textoindependiente"/>
    <w:link w:val="TextoindependienteprimerasangraCar"/>
    <w:uiPriority w:val="99"/>
    <w:rsid w:val="00F92304"/>
    <w:pPr>
      <w:spacing w:after="120"/>
      <w:ind w:firstLine="210"/>
      <w:jc w:val="left"/>
    </w:pPr>
    <w:rPr>
      <w:sz w:val="24"/>
    </w:rPr>
  </w:style>
  <w:style w:type="numbering" w:customStyle="1" w:styleId="Sinlista84">
    <w:name w:val="Sin lista84"/>
    <w:next w:val="Sinlista"/>
    <w:semiHidden/>
    <w:rsid w:val="00F92304"/>
  </w:style>
  <w:style w:type="table" w:customStyle="1" w:styleId="Tablaconcuadrcula165">
    <w:name w:val="Tabla con cuadrícula165"/>
    <w:basedOn w:val="Tablanormal"/>
    <w:next w:val="Tablaconcuadrcula"/>
    <w:rsid w:val="00F9230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6">
    <w:name w:val="Tabla con cuadrícula166"/>
    <w:basedOn w:val="Tablanormal"/>
    <w:next w:val="Tablaconcuadrcula"/>
    <w:rsid w:val="00F9230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5">
    <w:name w:val="Sin lista85"/>
    <w:next w:val="Sinlista"/>
    <w:semiHidden/>
    <w:rsid w:val="003133EA"/>
  </w:style>
  <w:style w:type="table" w:customStyle="1" w:styleId="Tablaconcuadrcula167">
    <w:name w:val="Tabla con cuadrícula167"/>
    <w:basedOn w:val="Tablanormal"/>
    <w:next w:val="Tablaconcuadrcula"/>
    <w:rsid w:val="007978DB"/>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6">
    <w:name w:val="Sin lista86"/>
    <w:next w:val="Sinlista"/>
    <w:semiHidden/>
    <w:rsid w:val="00F03DE9"/>
  </w:style>
  <w:style w:type="table" w:customStyle="1" w:styleId="Tablaconcuadrcula168">
    <w:name w:val="Tabla con cuadrícula168"/>
    <w:basedOn w:val="Tablanormal"/>
    <w:next w:val="Tablaconcuadrcula"/>
    <w:rsid w:val="00F03DE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9">
    <w:name w:val="Tabla con cuadrícula169"/>
    <w:basedOn w:val="Tablanormal"/>
    <w:next w:val="Tablaconcuadrcula"/>
    <w:rsid w:val="00A539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00">
    <w:name w:val="Tabla con cuadrícula170"/>
    <w:basedOn w:val="Tablanormal"/>
    <w:next w:val="Tablaconcuadrcula"/>
    <w:rsid w:val="002D66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1">
    <w:name w:val="Tabla con cuadrícula171"/>
    <w:basedOn w:val="Tablanormal"/>
    <w:next w:val="Tablaconcuadrcula"/>
    <w:rsid w:val="00B10B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7">
    <w:name w:val="Sin lista87"/>
    <w:next w:val="Sinlista"/>
    <w:semiHidden/>
    <w:rsid w:val="00CF6179"/>
  </w:style>
  <w:style w:type="table" w:customStyle="1" w:styleId="Tablaconcuadrcula172">
    <w:name w:val="Tabla con cuadrícula172"/>
    <w:basedOn w:val="Tablanormal"/>
    <w:next w:val="Tablaconcuadrcula"/>
    <w:rsid w:val="00CF6179"/>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8">
    <w:name w:val="Sin lista88"/>
    <w:next w:val="Sinlista"/>
    <w:semiHidden/>
    <w:rsid w:val="00D17197"/>
  </w:style>
  <w:style w:type="table" w:customStyle="1" w:styleId="Tablaconcuadrcula173">
    <w:name w:val="Tabla con cuadrícula173"/>
    <w:basedOn w:val="Tablanormal"/>
    <w:next w:val="Tablaconcuadrcula"/>
    <w:rsid w:val="00D171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4">
    <w:name w:val="Tabla con cuadrícula174"/>
    <w:basedOn w:val="Tablanormal"/>
    <w:next w:val="Tablaconcuadrcula"/>
    <w:rsid w:val="009607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9">
    <w:name w:val="Sin lista89"/>
    <w:next w:val="Sinlista"/>
    <w:semiHidden/>
    <w:rsid w:val="00337B64"/>
  </w:style>
  <w:style w:type="table" w:customStyle="1" w:styleId="Tablaconcuadrcula175">
    <w:name w:val="Tabla con cuadrícula175"/>
    <w:basedOn w:val="Tablanormal"/>
    <w:next w:val="Tablaconcuadrcula"/>
    <w:rsid w:val="000D218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6">
    <w:name w:val="Tabla con cuadrícula176"/>
    <w:basedOn w:val="Tablanormal"/>
    <w:next w:val="Tablaconcuadrcula"/>
    <w:rsid w:val="00DC337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0">
    <w:name w:val="Sin lista90"/>
    <w:next w:val="Sinlista"/>
    <w:semiHidden/>
    <w:rsid w:val="00B17245"/>
  </w:style>
  <w:style w:type="character" w:customStyle="1" w:styleId="publicationtitle1">
    <w:name w:val="publication_title1"/>
    <w:basedOn w:val="Fuentedeprrafopredeter"/>
    <w:rsid w:val="00B17245"/>
    <w:rPr>
      <w:b/>
      <w:bCs/>
      <w:i w:val="0"/>
      <w:iCs w:val="0"/>
      <w:color w:val="990000"/>
      <w:sz w:val="21"/>
      <w:szCs w:val="21"/>
    </w:rPr>
  </w:style>
  <w:style w:type="table" w:customStyle="1" w:styleId="Tablaconcuadrcula177">
    <w:name w:val="Tabla con cuadrícula177"/>
    <w:basedOn w:val="Tablanormal"/>
    <w:next w:val="Tablaconcuadrcula"/>
    <w:rsid w:val="00EB56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8">
    <w:name w:val="Tabla con cuadrícula178"/>
    <w:basedOn w:val="Tablanormal"/>
    <w:next w:val="Tablaconcuadrcula"/>
    <w:rsid w:val="00D16A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9">
    <w:name w:val="Tabla con cuadrícula179"/>
    <w:basedOn w:val="Tablanormal"/>
    <w:next w:val="Tablaconcuadrcula"/>
    <w:rsid w:val="00D16A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00">
    <w:name w:val="Tabla con cuadrícula180"/>
    <w:basedOn w:val="Tablanormal"/>
    <w:next w:val="Tablaconcuadrcula"/>
    <w:rsid w:val="000326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1">
    <w:name w:val="Sin lista91"/>
    <w:next w:val="Sinlista"/>
    <w:semiHidden/>
    <w:rsid w:val="00771FED"/>
  </w:style>
  <w:style w:type="table" w:customStyle="1" w:styleId="Tablaconcuadrcula181">
    <w:name w:val="Tabla con cuadrícula181"/>
    <w:basedOn w:val="Tablanormal"/>
    <w:next w:val="Tablaconcuadrcula"/>
    <w:rsid w:val="00771FE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2">
    <w:name w:val="Sin lista92"/>
    <w:next w:val="Sinlista"/>
    <w:semiHidden/>
    <w:rsid w:val="00DE41E9"/>
  </w:style>
  <w:style w:type="numbering" w:customStyle="1" w:styleId="Sinlista93">
    <w:name w:val="Sin lista93"/>
    <w:next w:val="Sinlista"/>
    <w:semiHidden/>
    <w:rsid w:val="00620CD5"/>
  </w:style>
  <w:style w:type="table" w:customStyle="1" w:styleId="Tablaconcuadrcula183">
    <w:name w:val="Tabla con cuadrícula183"/>
    <w:basedOn w:val="Tablanormal"/>
    <w:next w:val="Tablaconcuadrcula"/>
    <w:rsid w:val="00F07A5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4">
    <w:name w:val="Sin lista94"/>
    <w:next w:val="Sinlista"/>
    <w:semiHidden/>
    <w:rsid w:val="009F4003"/>
  </w:style>
  <w:style w:type="numbering" w:customStyle="1" w:styleId="Sinlista95">
    <w:name w:val="Sin lista95"/>
    <w:next w:val="Sinlista"/>
    <w:semiHidden/>
    <w:rsid w:val="008B40C0"/>
  </w:style>
  <w:style w:type="table" w:customStyle="1" w:styleId="Tablaconcuadrcula184">
    <w:name w:val="Tabla con cuadrícula184"/>
    <w:basedOn w:val="Tablanormal"/>
    <w:next w:val="Tablaconcuadrcula"/>
    <w:rsid w:val="008B40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90">
    <w:name w:val="Tabla con cuadrícula 119"/>
    <w:basedOn w:val="Tablanormal"/>
    <w:next w:val="Tablaconcuadrcula10"/>
    <w:rsid w:val="008B40C0"/>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5">
    <w:name w:val="Tabla con cuadrícula185"/>
    <w:basedOn w:val="Tablanormal"/>
    <w:next w:val="Tablaconcuadrcula"/>
    <w:rsid w:val="00C805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6">
    <w:name w:val="Sin lista96"/>
    <w:next w:val="Sinlista"/>
    <w:semiHidden/>
    <w:rsid w:val="00F140FF"/>
  </w:style>
  <w:style w:type="table" w:customStyle="1" w:styleId="Tablaconcuadrcula186">
    <w:name w:val="Tabla con cuadrícula186"/>
    <w:basedOn w:val="Tablanormal"/>
    <w:next w:val="Tablaconcuadrcula"/>
    <w:rsid w:val="00F140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01">
    <w:name w:val="Tabla con cuadrícula 120"/>
    <w:basedOn w:val="Tablanormal"/>
    <w:next w:val="Tablaconcuadrcula10"/>
    <w:rsid w:val="00ED266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210">
    <w:name w:val="Tabla con cuadrícula 121"/>
    <w:basedOn w:val="Tablanormal"/>
    <w:next w:val="Tablaconcuadrcula10"/>
    <w:rsid w:val="00DE0D3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97">
    <w:name w:val="Sin lista97"/>
    <w:next w:val="Sinlista"/>
    <w:semiHidden/>
    <w:rsid w:val="00B10C66"/>
  </w:style>
  <w:style w:type="table" w:customStyle="1" w:styleId="Tablaconcuadrcula187">
    <w:name w:val="Tabla con cuadrícula187"/>
    <w:basedOn w:val="Tablanormal"/>
    <w:next w:val="Tablaconcuadrcula"/>
    <w:rsid w:val="00B10C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8">
    <w:name w:val="Sin lista98"/>
    <w:next w:val="Sinlista"/>
    <w:semiHidden/>
    <w:rsid w:val="004E177E"/>
  </w:style>
  <w:style w:type="table" w:customStyle="1" w:styleId="Tablaconcuadrcula188">
    <w:name w:val="Tabla con cuadrícula188"/>
    <w:basedOn w:val="Tablanormal"/>
    <w:next w:val="Tablaconcuadrcula"/>
    <w:rsid w:val="004E17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9">
    <w:name w:val="Sin lista99"/>
    <w:next w:val="Sinlista"/>
    <w:semiHidden/>
    <w:rsid w:val="00750BCC"/>
  </w:style>
  <w:style w:type="table" w:customStyle="1" w:styleId="Tablaconcuadrcula189">
    <w:name w:val="Tabla con cuadrícula189"/>
    <w:basedOn w:val="Tablanormal"/>
    <w:next w:val="Tablaconcuadrcula"/>
    <w:rsid w:val="00750B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0">
    <w:name w:val="Sin lista100"/>
    <w:next w:val="Sinlista"/>
    <w:semiHidden/>
    <w:rsid w:val="00C15F87"/>
  </w:style>
  <w:style w:type="numbering" w:customStyle="1" w:styleId="Sinlista101">
    <w:name w:val="Sin lista101"/>
    <w:next w:val="Sinlista"/>
    <w:semiHidden/>
    <w:rsid w:val="00AF002F"/>
  </w:style>
  <w:style w:type="table" w:customStyle="1" w:styleId="Tablaconcuadrcula1910">
    <w:name w:val="Tabla con cuadrícula191"/>
    <w:basedOn w:val="Tablanormal"/>
    <w:next w:val="Tablaconcuadrcula"/>
    <w:rsid w:val="00AF002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
    <w:name w:val="Sin lista102"/>
    <w:next w:val="Sinlista"/>
    <w:semiHidden/>
    <w:rsid w:val="00B145F3"/>
  </w:style>
  <w:style w:type="table" w:customStyle="1" w:styleId="Tablaconcuadrcula192">
    <w:name w:val="Tabla con cuadrícula192"/>
    <w:basedOn w:val="Tablanormal"/>
    <w:next w:val="Tablaconcuadrcula"/>
    <w:rsid w:val="00B145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3">
    <w:name w:val="Sin lista103"/>
    <w:next w:val="Sinlista"/>
    <w:semiHidden/>
    <w:rsid w:val="00E8734B"/>
  </w:style>
  <w:style w:type="table" w:customStyle="1" w:styleId="Tablaconcuadrcula193">
    <w:name w:val="Tabla con cuadrícula193"/>
    <w:basedOn w:val="Tablanormal"/>
    <w:next w:val="Tablaconcuadrcula"/>
    <w:rsid w:val="00E873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4">
    <w:name w:val="Tabla con cuadrícula194"/>
    <w:basedOn w:val="Tablanormal"/>
    <w:next w:val="Tablaconcuadrcula"/>
    <w:rsid w:val="00EE213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5">
    <w:name w:val="Tabla con cuadrícula195"/>
    <w:basedOn w:val="Tablanormal"/>
    <w:next w:val="Tablaconcuadrcula"/>
    <w:rsid w:val="00D7272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4">
    <w:name w:val="Sin lista104"/>
    <w:next w:val="Sinlista"/>
    <w:semiHidden/>
    <w:rsid w:val="00B8310B"/>
  </w:style>
  <w:style w:type="table" w:customStyle="1" w:styleId="Tablaconcuadrcula196">
    <w:name w:val="Tabla con cuadrícula196"/>
    <w:basedOn w:val="Tablanormal"/>
    <w:next w:val="Tablaconcuadrcula"/>
    <w:rsid w:val="00B8310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7">
    <w:name w:val="Tabla con cuadrícula197"/>
    <w:basedOn w:val="Tablanormal"/>
    <w:next w:val="Tablaconcuadrcula"/>
    <w:rsid w:val="00F473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5">
    <w:name w:val="Sin lista105"/>
    <w:next w:val="Sinlista"/>
    <w:semiHidden/>
    <w:rsid w:val="00C54DB9"/>
  </w:style>
  <w:style w:type="table" w:customStyle="1" w:styleId="Tablaconcuadrcula198">
    <w:name w:val="Tabla con cuadrícula198"/>
    <w:basedOn w:val="Tablanormal"/>
    <w:next w:val="Tablaconcuadrcula"/>
    <w:rsid w:val="00C54D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6">
    <w:name w:val="Sin lista106"/>
    <w:next w:val="Sinlista"/>
    <w:semiHidden/>
    <w:rsid w:val="00362B64"/>
  </w:style>
  <w:style w:type="table" w:customStyle="1" w:styleId="Tablaconcuadrcula199">
    <w:name w:val="Tabla con cuadrícula199"/>
    <w:basedOn w:val="Tablanormal"/>
    <w:next w:val="Tablaconcuadrcula"/>
    <w:rsid w:val="00362B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7">
    <w:name w:val="Sin lista107"/>
    <w:next w:val="Sinlista"/>
    <w:semiHidden/>
    <w:rsid w:val="0082460B"/>
  </w:style>
  <w:style w:type="paragraph" w:styleId="Encabezadodemensaje">
    <w:name w:val="Message Header"/>
    <w:basedOn w:val="Normal"/>
    <w:link w:val="EncabezadodemensajeCar"/>
    <w:uiPriority w:val="99"/>
    <w:rsid w:val="00987C69"/>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table" w:customStyle="1" w:styleId="Tablaconcuadrcula200">
    <w:name w:val="Tabla con cuadrícula200"/>
    <w:basedOn w:val="Tablanormal"/>
    <w:next w:val="Tablaconcuadrcula"/>
    <w:rsid w:val="006B658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1">
    <w:name w:val="Tabla con cuadrícula201"/>
    <w:basedOn w:val="Tablanormal"/>
    <w:next w:val="Tablaconcuadrcula"/>
    <w:rsid w:val="00DA602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2">
    <w:name w:val="Tabla con cuadrícula202"/>
    <w:basedOn w:val="Tablanormal"/>
    <w:next w:val="Tablaconcuadrcula"/>
    <w:rsid w:val="00BA6DD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3">
    <w:name w:val="Tabla con cuadrícula203"/>
    <w:basedOn w:val="Tablanormal"/>
    <w:next w:val="Tablaconcuadrcula"/>
    <w:rsid w:val="00AC1B5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8">
    <w:name w:val="Sin lista108"/>
    <w:next w:val="Sinlista"/>
    <w:semiHidden/>
    <w:rsid w:val="00324F0F"/>
  </w:style>
  <w:style w:type="table" w:customStyle="1" w:styleId="Tablaconcuadrcula204">
    <w:name w:val="Tabla con cuadrícula204"/>
    <w:basedOn w:val="Tablanormal"/>
    <w:next w:val="Tablaconcuadrcula"/>
    <w:rsid w:val="00324F0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9">
    <w:name w:val="Sin lista109"/>
    <w:next w:val="Sinlista"/>
    <w:semiHidden/>
    <w:rsid w:val="00B02B63"/>
  </w:style>
  <w:style w:type="table" w:customStyle="1" w:styleId="Tablaconcuadrcula205">
    <w:name w:val="Tabla con cuadrícula205"/>
    <w:basedOn w:val="Tablanormal"/>
    <w:next w:val="Tablaconcuadrcula"/>
    <w:rsid w:val="00B02B6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
    <w:name w:val="Sin lista110"/>
    <w:next w:val="Sinlista"/>
    <w:semiHidden/>
    <w:rsid w:val="00370036"/>
  </w:style>
  <w:style w:type="table" w:customStyle="1" w:styleId="Tablaconcuadrcula206">
    <w:name w:val="Tabla con cuadrícula206"/>
    <w:basedOn w:val="Tablanormal"/>
    <w:next w:val="Tablaconcuadrcula"/>
    <w:rsid w:val="0037003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8">
    <w:name w:val="Tabla con cuadrícula208"/>
    <w:basedOn w:val="Tablanormal"/>
    <w:next w:val="Tablaconcuadrcula"/>
    <w:rsid w:val="00555B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9">
    <w:name w:val="Tabla con cuadrícula209"/>
    <w:basedOn w:val="Tablanormal"/>
    <w:next w:val="Tablaconcuadrcula"/>
    <w:rsid w:val="00555B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0">
    <w:name w:val="Tabla con cuadrícula 122"/>
    <w:basedOn w:val="Tablanormal"/>
    <w:next w:val="Tablaconcuadrcula10"/>
    <w:rsid w:val="00317915"/>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11">
    <w:name w:val="Sin lista111"/>
    <w:next w:val="Sinlista"/>
    <w:semiHidden/>
    <w:rsid w:val="00F7217E"/>
  </w:style>
  <w:style w:type="table" w:customStyle="1" w:styleId="Tablaconcuadrcula210">
    <w:name w:val="Tabla con cuadrícula210"/>
    <w:basedOn w:val="Tablanormal"/>
    <w:next w:val="Tablaconcuadrcula"/>
    <w:rsid w:val="00F721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2">
    <w:name w:val="Sin lista112"/>
    <w:next w:val="Sinlista"/>
    <w:semiHidden/>
    <w:rsid w:val="00F85738"/>
  </w:style>
  <w:style w:type="table" w:customStyle="1" w:styleId="Tablaconcuadrcula211">
    <w:name w:val="Tabla con cuadrícula211"/>
    <w:basedOn w:val="Tablanormal"/>
    <w:next w:val="Tablaconcuadrcula"/>
    <w:rsid w:val="00F857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2">
    <w:name w:val="Tabla con cuadrícula212"/>
    <w:basedOn w:val="Tablanormal"/>
    <w:next w:val="Tablaconcuadrcula"/>
    <w:rsid w:val="00486B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3">
    <w:name w:val="Tabla con cuadrícula213"/>
    <w:basedOn w:val="Tablanormal"/>
    <w:next w:val="Tablaconcuadrcula"/>
    <w:rsid w:val="003C50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
    <w:name w:val="Sin lista113"/>
    <w:next w:val="Sinlista"/>
    <w:semiHidden/>
    <w:rsid w:val="00164211"/>
  </w:style>
  <w:style w:type="table" w:customStyle="1" w:styleId="Tablaconcuadrcula214">
    <w:name w:val="Tabla con cuadrícula214"/>
    <w:basedOn w:val="Tablanormal"/>
    <w:next w:val="Tablaconcuadrcula"/>
    <w:rsid w:val="0016421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5">
    <w:name w:val="Style 15"/>
    <w:basedOn w:val="Normal"/>
    <w:uiPriority w:val="99"/>
    <w:rsid w:val="00164211"/>
    <w:pPr>
      <w:widowControl w:val="0"/>
      <w:autoSpaceDE w:val="0"/>
      <w:autoSpaceDN w:val="0"/>
      <w:spacing w:before="72"/>
    </w:pPr>
    <w:rPr>
      <w:rFonts w:eastAsia="Times New Roman"/>
      <w:lang w:val="en-US"/>
    </w:rPr>
  </w:style>
  <w:style w:type="table" w:customStyle="1" w:styleId="Tablaconcuadrcula1230">
    <w:name w:val="Tabla con cuadrícula 123"/>
    <w:basedOn w:val="Tablanormal"/>
    <w:next w:val="Tablaconcuadrcula10"/>
    <w:rsid w:val="0016421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Style20">
    <w:name w:val="Style 20"/>
    <w:basedOn w:val="Normal"/>
    <w:uiPriority w:val="99"/>
    <w:rsid w:val="00164211"/>
    <w:pPr>
      <w:widowControl w:val="0"/>
      <w:autoSpaceDE w:val="0"/>
      <w:autoSpaceDN w:val="0"/>
      <w:spacing w:before="72"/>
      <w:ind w:right="792"/>
      <w:jc w:val="right"/>
    </w:pPr>
    <w:rPr>
      <w:rFonts w:eastAsia="Times New Roman"/>
      <w:lang w:val="en-US"/>
    </w:rPr>
  </w:style>
  <w:style w:type="paragraph" w:customStyle="1" w:styleId="Style39">
    <w:name w:val="Style 39"/>
    <w:basedOn w:val="Normal"/>
    <w:uiPriority w:val="99"/>
    <w:rsid w:val="00164211"/>
    <w:pPr>
      <w:widowControl w:val="0"/>
      <w:autoSpaceDE w:val="0"/>
      <w:autoSpaceDN w:val="0"/>
      <w:spacing w:before="252"/>
      <w:ind w:left="1512" w:hanging="432"/>
      <w:jc w:val="both"/>
    </w:pPr>
    <w:rPr>
      <w:rFonts w:eastAsia="Times New Roman"/>
      <w:lang w:val="en-US"/>
    </w:rPr>
  </w:style>
  <w:style w:type="paragraph" w:customStyle="1" w:styleId="Style48">
    <w:name w:val="Style 48"/>
    <w:basedOn w:val="Normal"/>
    <w:uiPriority w:val="99"/>
    <w:rsid w:val="00164211"/>
    <w:pPr>
      <w:widowControl w:val="0"/>
      <w:autoSpaceDE w:val="0"/>
      <w:autoSpaceDN w:val="0"/>
      <w:spacing w:before="108"/>
      <w:ind w:left="1584" w:hanging="504"/>
      <w:jc w:val="both"/>
    </w:pPr>
    <w:rPr>
      <w:rFonts w:eastAsia="Times New Roman"/>
      <w:lang w:val="en-US"/>
    </w:rPr>
  </w:style>
  <w:style w:type="paragraph" w:customStyle="1" w:styleId="Style26">
    <w:name w:val="Style 26"/>
    <w:basedOn w:val="Normal"/>
    <w:uiPriority w:val="99"/>
    <w:rsid w:val="00164211"/>
    <w:pPr>
      <w:widowControl w:val="0"/>
      <w:tabs>
        <w:tab w:val="decimal" w:pos="792"/>
      </w:tabs>
      <w:autoSpaceDE w:val="0"/>
      <w:autoSpaceDN w:val="0"/>
      <w:spacing w:before="72"/>
    </w:pPr>
    <w:rPr>
      <w:rFonts w:eastAsia="Times New Roman"/>
      <w:lang w:val="en-US"/>
    </w:rPr>
  </w:style>
  <w:style w:type="paragraph" w:customStyle="1" w:styleId="Style27">
    <w:name w:val="Style 27"/>
    <w:basedOn w:val="Normal"/>
    <w:uiPriority w:val="99"/>
    <w:rsid w:val="00164211"/>
    <w:pPr>
      <w:widowControl w:val="0"/>
      <w:tabs>
        <w:tab w:val="decimal" w:pos="684"/>
      </w:tabs>
      <w:autoSpaceDE w:val="0"/>
      <w:autoSpaceDN w:val="0"/>
      <w:spacing w:before="108" w:after="72"/>
    </w:pPr>
    <w:rPr>
      <w:rFonts w:eastAsia="Times New Roman"/>
      <w:lang w:val="en-US"/>
    </w:rPr>
  </w:style>
  <w:style w:type="paragraph" w:customStyle="1" w:styleId="Style28">
    <w:name w:val="Style 28"/>
    <w:basedOn w:val="Normal"/>
    <w:uiPriority w:val="99"/>
    <w:rsid w:val="00164211"/>
    <w:pPr>
      <w:widowControl w:val="0"/>
      <w:tabs>
        <w:tab w:val="decimal" w:pos="684"/>
      </w:tabs>
      <w:autoSpaceDE w:val="0"/>
      <w:autoSpaceDN w:val="0"/>
      <w:spacing w:before="72" w:after="72"/>
    </w:pPr>
    <w:rPr>
      <w:rFonts w:eastAsia="Times New Roman"/>
      <w:lang w:val="en-US"/>
    </w:rPr>
  </w:style>
  <w:style w:type="paragraph" w:customStyle="1" w:styleId="Style30">
    <w:name w:val="Style 30"/>
    <w:basedOn w:val="Normal"/>
    <w:uiPriority w:val="99"/>
    <w:rsid w:val="00164211"/>
    <w:pPr>
      <w:widowControl w:val="0"/>
      <w:tabs>
        <w:tab w:val="decimal" w:pos="252"/>
      </w:tabs>
      <w:autoSpaceDE w:val="0"/>
      <w:autoSpaceDN w:val="0"/>
      <w:spacing w:before="72" w:after="72"/>
    </w:pPr>
    <w:rPr>
      <w:rFonts w:eastAsia="Times New Roman"/>
      <w:lang w:val="en-US"/>
    </w:rPr>
  </w:style>
  <w:style w:type="paragraph" w:customStyle="1" w:styleId="Style29">
    <w:name w:val="Style 29"/>
    <w:basedOn w:val="Normal"/>
    <w:uiPriority w:val="99"/>
    <w:rsid w:val="00164211"/>
    <w:pPr>
      <w:widowControl w:val="0"/>
      <w:autoSpaceDE w:val="0"/>
      <w:autoSpaceDN w:val="0"/>
      <w:spacing w:before="72" w:after="72"/>
      <w:ind w:right="216"/>
      <w:jc w:val="right"/>
    </w:pPr>
    <w:rPr>
      <w:rFonts w:eastAsia="Times New Roman"/>
      <w:lang w:val="en-US"/>
    </w:rPr>
  </w:style>
  <w:style w:type="paragraph" w:customStyle="1" w:styleId="Style32">
    <w:name w:val="Style 32"/>
    <w:basedOn w:val="Normal"/>
    <w:uiPriority w:val="99"/>
    <w:rsid w:val="00164211"/>
    <w:pPr>
      <w:widowControl w:val="0"/>
      <w:autoSpaceDE w:val="0"/>
      <w:autoSpaceDN w:val="0"/>
      <w:adjustRightInd w:val="0"/>
    </w:pPr>
    <w:rPr>
      <w:rFonts w:eastAsia="Times New Roman"/>
      <w:lang w:val="en-US"/>
    </w:rPr>
  </w:style>
  <w:style w:type="paragraph" w:customStyle="1" w:styleId="Style33">
    <w:name w:val="Style 33"/>
    <w:basedOn w:val="Normal"/>
    <w:uiPriority w:val="99"/>
    <w:rsid w:val="00164211"/>
    <w:pPr>
      <w:widowControl w:val="0"/>
      <w:tabs>
        <w:tab w:val="left" w:pos="720"/>
      </w:tabs>
      <w:autoSpaceDE w:val="0"/>
      <w:autoSpaceDN w:val="0"/>
      <w:spacing w:line="360" w:lineRule="auto"/>
    </w:pPr>
    <w:rPr>
      <w:rFonts w:eastAsia="Times New Roman"/>
      <w:lang w:val="en-US"/>
    </w:rPr>
  </w:style>
  <w:style w:type="character" w:customStyle="1" w:styleId="titularesestilo5">
    <w:name w:val="titulares estilo5"/>
    <w:basedOn w:val="Fuentedeprrafopredeter"/>
    <w:rsid w:val="0070456B"/>
  </w:style>
  <w:style w:type="numbering" w:customStyle="1" w:styleId="Sinlista114">
    <w:name w:val="Sin lista114"/>
    <w:next w:val="Sinlista"/>
    <w:semiHidden/>
    <w:rsid w:val="0070752D"/>
  </w:style>
  <w:style w:type="paragraph" w:customStyle="1" w:styleId="Estilo1">
    <w:name w:val="Estilo1"/>
    <w:basedOn w:val="Textonotapie"/>
    <w:uiPriority w:val="99"/>
    <w:rsid w:val="0070752D"/>
    <w:pPr>
      <w:autoSpaceDE w:val="0"/>
      <w:autoSpaceDN w:val="0"/>
      <w:adjustRightInd w:val="0"/>
      <w:jc w:val="both"/>
    </w:pPr>
    <w:rPr>
      <w:rFonts w:eastAsia="Times New Roman"/>
    </w:rPr>
  </w:style>
  <w:style w:type="table" w:customStyle="1" w:styleId="Tablaconcuadrcula215">
    <w:name w:val="Tabla con cuadrícula215"/>
    <w:basedOn w:val="Tablanormal"/>
    <w:next w:val="Tablaconcuadrcula"/>
    <w:rsid w:val="007075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5">
    <w:name w:val="Sin lista115"/>
    <w:next w:val="Sinlista"/>
    <w:semiHidden/>
    <w:rsid w:val="00AD142F"/>
  </w:style>
  <w:style w:type="numbering" w:customStyle="1" w:styleId="Sinlista116">
    <w:name w:val="Sin lista116"/>
    <w:next w:val="Sinlista"/>
    <w:semiHidden/>
    <w:rsid w:val="00E23BB8"/>
  </w:style>
  <w:style w:type="table" w:customStyle="1" w:styleId="Tablaconcuadrcula216">
    <w:name w:val="Tabla con cuadrícula216"/>
    <w:basedOn w:val="Tablanormal"/>
    <w:next w:val="Tablaconcuadrcula"/>
    <w:rsid w:val="00E23BB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7">
    <w:name w:val="Tabla con cuadrícula217"/>
    <w:basedOn w:val="Tablanormal"/>
    <w:next w:val="Tablaconcuadrcula"/>
    <w:rsid w:val="003A135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7">
    <w:name w:val="Sin lista117"/>
    <w:next w:val="Sinlista"/>
    <w:semiHidden/>
    <w:rsid w:val="00B9303D"/>
  </w:style>
  <w:style w:type="table" w:customStyle="1" w:styleId="Tablaconcuadrcula218">
    <w:name w:val="Tabla con cuadrícula218"/>
    <w:basedOn w:val="Tablanormal"/>
    <w:next w:val="Tablaconcuadrcula"/>
    <w:rsid w:val="00B9303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8">
    <w:name w:val="Sin lista118"/>
    <w:next w:val="Sinlista"/>
    <w:semiHidden/>
    <w:rsid w:val="00377A24"/>
  </w:style>
  <w:style w:type="table" w:customStyle="1" w:styleId="Tablaconcuadrcula219">
    <w:name w:val="Tabla con cuadrícula219"/>
    <w:basedOn w:val="Tablanormal"/>
    <w:next w:val="Tablaconcuadrcula"/>
    <w:rsid w:val="00377A2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0">
    <w:name w:val="Tabla con cuadrícula220"/>
    <w:basedOn w:val="Tablanormal"/>
    <w:next w:val="Tablaconcuadrcula"/>
    <w:rsid w:val="00167E5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9">
    <w:name w:val="Sin lista119"/>
    <w:next w:val="Sinlista"/>
    <w:semiHidden/>
    <w:rsid w:val="009635D1"/>
  </w:style>
  <w:style w:type="table" w:customStyle="1" w:styleId="Tablaconcuadrcula221">
    <w:name w:val="Tabla con cuadrícula221"/>
    <w:basedOn w:val="Tablanormal"/>
    <w:next w:val="Tablaconcuadrcula"/>
    <w:rsid w:val="009635D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40">
    <w:name w:val="Style 40"/>
    <w:basedOn w:val="Normal"/>
    <w:uiPriority w:val="99"/>
    <w:rsid w:val="009635D1"/>
    <w:pPr>
      <w:widowControl w:val="0"/>
      <w:autoSpaceDE w:val="0"/>
      <w:autoSpaceDN w:val="0"/>
      <w:jc w:val="right"/>
    </w:pPr>
    <w:rPr>
      <w:rFonts w:eastAsia="Times New Roman"/>
      <w:lang w:val="en-US"/>
    </w:rPr>
  </w:style>
  <w:style w:type="table" w:customStyle="1" w:styleId="Tablaconcuadrcula222">
    <w:name w:val="Tabla con cuadrícula222"/>
    <w:basedOn w:val="Tablanormal"/>
    <w:next w:val="Tablaconcuadrcula"/>
    <w:rsid w:val="008A00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
    <w:name w:val="Sin lista120"/>
    <w:next w:val="Sinlista"/>
    <w:semiHidden/>
    <w:rsid w:val="003336F0"/>
  </w:style>
  <w:style w:type="numbering" w:customStyle="1" w:styleId="Sinlista121">
    <w:name w:val="Sin lista121"/>
    <w:next w:val="Sinlista"/>
    <w:semiHidden/>
    <w:rsid w:val="00E312DA"/>
  </w:style>
  <w:style w:type="table" w:customStyle="1" w:styleId="Tablaconcuadrcula223">
    <w:name w:val="Tabla con cuadrícula223"/>
    <w:basedOn w:val="Tablanormal"/>
    <w:next w:val="Tablaconcuadrcula"/>
    <w:rsid w:val="00E312D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
    <w:name w:val="Sin lista122"/>
    <w:next w:val="Sinlista"/>
    <w:semiHidden/>
    <w:rsid w:val="00E10B82"/>
  </w:style>
  <w:style w:type="table" w:customStyle="1" w:styleId="Tablaconcuadrcula224">
    <w:name w:val="Tabla con cuadrícula224"/>
    <w:basedOn w:val="Tablanormal"/>
    <w:next w:val="Tablaconcuadrcula"/>
    <w:rsid w:val="00E10B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
    <w:name w:val="Sin lista123"/>
    <w:next w:val="Sinlista"/>
    <w:semiHidden/>
    <w:rsid w:val="00CD2583"/>
  </w:style>
  <w:style w:type="paragraph" w:customStyle="1" w:styleId="xl32">
    <w:name w:val="xl32"/>
    <w:basedOn w:val="Normal"/>
    <w:uiPriority w:val="99"/>
    <w:rsid w:val="00CD2583"/>
    <w:pPr>
      <w:pBdr>
        <w:bottom w:val="single" w:sz="8" w:space="0" w:color="auto"/>
      </w:pBdr>
      <w:spacing w:before="100" w:beforeAutospacing="1" w:after="100" w:afterAutospacing="1"/>
    </w:pPr>
    <w:rPr>
      <w:rFonts w:ascii="Arial" w:eastAsia="Times New Roman" w:hAnsi="Arial" w:cs="Arial"/>
      <w:b/>
      <w:bCs/>
      <w:color w:val="000080"/>
      <w:sz w:val="16"/>
      <w:szCs w:val="16"/>
      <w:lang w:val="es-ES"/>
    </w:rPr>
  </w:style>
  <w:style w:type="paragraph" w:customStyle="1" w:styleId="xl33">
    <w:name w:val="xl33"/>
    <w:basedOn w:val="Normal"/>
    <w:uiPriority w:val="99"/>
    <w:rsid w:val="00CD2583"/>
    <w:pPr>
      <w:pBdr>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34">
    <w:name w:val="xl34"/>
    <w:basedOn w:val="Normal"/>
    <w:uiPriority w:val="99"/>
    <w:rsid w:val="00CD2583"/>
    <w:pPr>
      <w:pBdr>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35">
    <w:name w:val="xl35"/>
    <w:basedOn w:val="Normal"/>
    <w:uiPriority w:val="99"/>
    <w:rsid w:val="00CD2583"/>
    <w:pPr>
      <w:pBdr>
        <w:bottom w:val="single" w:sz="8" w:space="0" w:color="auto"/>
      </w:pBdr>
      <w:spacing w:before="100" w:beforeAutospacing="1" w:after="100" w:afterAutospacing="1"/>
      <w:jc w:val="center"/>
    </w:pPr>
    <w:rPr>
      <w:rFonts w:eastAsia="Times New Roman"/>
      <w:b/>
      <w:bCs/>
      <w:color w:val="000080"/>
      <w:sz w:val="16"/>
      <w:szCs w:val="16"/>
      <w:lang w:val="es-ES"/>
    </w:rPr>
  </w:style>
  <w:style w:type="paragraph" w:customStyle="1" w:styleId="xl36">
    <w:name w:val="xl36"/>
    <w:basedOn w:val="Normal"/>
    <w:uiPriority w:val="99"/>
    <w:rsid w:val="00CD2583"/>
    <w:pPr>
      <w:spacing w:before="100" w:beforeAutospacing="1" w:after="100" w:afterAutospacing="1"/>
    </w:pPr>
    <w:rPr>
      <w:rFonts w:eastAsia="Times New Roman"/>
      <w:sz w:val="16"/>
      <w:szCs w:val="16"/>
      <w:lang w:val="es-ES"/>
    </w:rPr>
  </w:style>
  <w:style w:type="paragraph" w:customStyle="1" w:styleId="xl37">
    <w:name w:val="xl37"/>
    <w:basedOn w:val="Normal"/>
    <w:uiPriority w:val="99"/>
    <w:rsid w:val="00CD2583"/>
    <w:pPr>
      <w:spacing w:before="100" w:beforeAutospacing="1" w:after="100" w:afterAutospacing="1"/>
      <w:jc w:val="center"/>
    </w:pPr>
    <w:rPr>
      <w:rFonts w:eastAsia="Times New Roman"/>
      <w:sz w:val="16"/>
      <w:szCs w:val="16"/>
      <w:lang w:val="es-ES"/>
    </w:rPr>
  </w:style>
  <w:style w:type="paragraph" w:customStyle="1" w:styleId="xl38">
    <w:name w:val="xl38"/>
    <w:basedOn w:val="Normal"/>
    <w:uiPriority w:val="99"/>
    <w:rsid w:val="00CD2583"/>
    <w:pPr>
      <w:spacing w:before="100" w:beforeAutospacing="1" w:after="100" w:afterAutospacing="1"/>
    </w:pPr>
    <w:rPr>
      <w:rFonts w:eastAsia="Times New Roman"/>
      <w:sz w:val="16"/>
      <w:szCs w:val="16"/>
      <w:lang w:val="es-ES"/>
    </w:rPr>
  </w:style>
  <w:style w:type="paragraph" w:customStyle="1" w:styleId="xl39">
    <w:name w:val="xl39"/>
    <w:basedOn w:val="Normal"/>
    <w:uiPriority w:val="99"/>
    <w:rsid w:val="00CD2583"/>
    <w:pPr>
      <w:spacing w:before="100" w:beforeAutospacing="1" w:after="100" w:afterAutospacing="1"/>
      <w:jc w:val="center"/>
      <w:textAlignment w:val="top"/>
    </w:pPr>
    <w:rPr>
      <w:rFonts w:eastAsia="Times New Roman"/>
      <w:sz w:val="16"/>
      <w:szCs w:val="16"/>
      <w:lang w:val="es-ES"/>
    </w:rPr>
  </w:style>
  <w:style w:type="paragraph" w:customStyle="1" w:styleId="xl40">
    <w:name w:val="xl40"/>
    <w:basedOn w:val="Normal"/>
    <w:uiPriority w:val="99"/>
    <w:rsid w:val="00CD2583"/>
    <w:pPr>
      <w:spacing w:before="100" w:beforeAutospacing="1" w:after="100" w:afterAutospacing="1"/>
      <w:jc w:val="center"/>
      <w:textAlignment w:val="top"/>
    </w:pPr>
    <w:rPr>
      <w:rFonts w:eastAsia="Times New Roman"/>
      <w:sz w:val="16"/>
      <w:szCs w:val="16"/>
      <w:lang w:val="es-ES"/>
    </w:rPr>
  </w:style>
  <w:style w:type="paragraph" w:customStyle="1" w:styleId="xl41">
    <w:name w:val="xl41"/>
    <w:basedOn w:val="Normal"/>
    <w:uiPriority w:val="99"/>
    <w:rsid w:val="00CD2583"/>
    <w:pPr>
      <w:spacing w:before="100" w:beforeAutospacing="1" w:after="100" w:afterAutospacing="1"/>
      <w:jc w:val="center"/>
    </w:pPr>
    <w:rPr>
      <w:rFonts w:eastAsia="Times New Roman"/>
      <w:sz w:val="16"/>
      <w:szCs w:val="16"/>
      <w:lang w:val="es-ES"/>
    </w:rPr>
  </w:style>
  <w:style w:type="paragraph" w:customStyle="1" w:styleId="xl42">
    <w:name w:val="xl42"/>
    <w:basedOn w:val="Normal"/>
    <w:uiPriority w:val="99"/>
    <w:rsid w:val="00CD2583"/>
    <w:pPr>
      <w:spacing w:before="100" w:beforeAutospacing="1" w:after="100" w:afterAutospacing="1"/>
      <w:jc w:val="center"/>
      <w:textAlignment w:val="top"/>
    </w:pPr>
    <w:rPr>
      <w:rFonts w:eastAsia="Times New Roman"/>
      <w:sz w:val="16"/>
      <w:szCs w:val="16"/>
      <w:lang w:val="es-ES"/>
    </w:rPr>
  </w:style>
  <w:style w:type="paragraph" w:customStyle="1" w:styleId="xl43">
    <w:name w:val="xl43"/>
    <w:basedOn w:val="Normal"/>
    <w:uiPriority w:val="99"/>
    <w:rsid w:val="00CD2583"/>
    <w:pPr>
      <w:spacing w:before="100" w:beforeAutospacing="1" w:after="100" w:afterAutospacing="1"/>
      <w:jc w:val="center"/>
    </w:pPr>
    <w:rPr>
      <w:rFonts w:eastAsia="Times New Roman"/>
      <w:sz w:val="16"/>
      <w:szCs w:val="16"/>
      <w:lang w:val="es-ES"/>
    </w:rPr>
  </w:style>
  <w:style w:type="paragraph" w:customStyle="1" w:styleId="xl44">
    <w:name w:val="xl44"/>
    <w:basedOn w:val="Normal"/>
    <w:uiPriority w:val="99"/>
    <w:rsid w:val="00CD2583"/>
    <w:pPr>
      <w:shd w:val="clear" w:color="auto" w:fill="C0C0C0"/>
      <w:spacing w:before="100" w:beforeAutospacing="1" w:after="100" w:afterAutospacing="1"/>
    </w:pPr>
    <w:rPr>
      <w:rFonts w:eastAsia="Times New Roman"/>
      <w:sz w:val="16"/>
      <w:szCs w:val="16"/>
      <w:lang w:val="es-ES"/>
    </w:rPr>
  </w:style>
  <w:style w:type="paragraph" w:customStyle="1" w:styleId="xl45">
    <w:name w:val="xl45"/>
    <w:basedOn w:val="Normal"/>
    <w:uiPriority w:val="99"/>
    <w:rsid w:val="00CD2583"/>
    <w:pPr>
      <w:shd w:val="clear" w:color="auto" w:fill="C0C0C0"/>
      <w:spacing w:before="100" w:beforeAutospacing="1" w:after="100" w:afterAutospacing="1"/>
      <w:jc w:val="center"/>
    </w:pPr>
    <w:rPr>
      <w:rFonts w:eastAsia="Times New Roman"/>
      <w:sz w:val="16"/>
      <w:szCs w:val="16"/>
      <w:lang w:val="es-ES"/>
    </w:rPr>
  </w:style>
  <w:style w:type="paragraph" w:customStyle="1" w:styleId="xl46">
    <w:name w:val="xl46"/>
    <w:basedOn w:val="Normal"/>
    <w:uiPriority w:val="99"/>
    <w:rsid w:val="00CD2583"/>
    <w:pPr>
      <w:shd w:val="clear" w:color="auto" w:fill="C0C0C0"/>
      <w:spacing w:before="100" w:beforeAutospacing="1" w:after="100" w:afterAutospacing="1"/>
    </w:pPr>
    <w:rPr>
      <w:rFonts w:eastAsia="Times New Roman"/>
      <w:sz w:val="16"/>
      <w:szCs w:val="16"/>
      <w:lang w:val="es-ES"/>
    </w:rPr>
  </w:style>
  <w:style w:type="paragraph" w:customStyle="1" w:styleId="xl47">
    <w:name w:val="xl47"/>
    <w:basedOn w:val="Normal"/>
    <w:uiPriority w:val="99"/>
    <w:rsid w:val="00CD2583"/>
    <w:pPr>
      <w:shd w:val="clear" w:color="auto" w:fill="C0C0C0"/>
      <w:spacing w:before="100" w:beforeAutospacing="1" w:after="100" w:afterAutospacing="1"/>
      <w:jc w:val="center"/>
      <w:textAlignment w:val="top"/>
    </w:pPr>
    <w:rPr>
      <w:rFonts w:eastAsia="Times New Roman"/>
      <w:sz w:val="16"/>
      <w:szCs w:val="16"/>
      <w:lang w:val="es-ES"/>
    </w:rPr>
  </w:style>
  <w:style w:type="paragraph" w:customStyle="1" w:styleId="xl48">
    <w:name w:val="xl48"/>
    <w:basedOn w:val="Normal"/>
    <w:uiPriority w:val="99"/>
    <w:rsid w:val="00CD2583"/>
    <w:pPr>
      <w:shd w:val="clear" w:color="auto" w:fill="C0C0C0"/>
      <w:spacing w:before="100" w:beforeAutospacing="1" w:after="100" w:afterAutospacing="1"/>
      <w:jc w:val="center"/>
      <w:textAlignment w:val="top"/>
    </w:pPr>
    <w:rPr>
      <w:rFonts w:eastAsia="Times New Roman"/>
      <w:sz w:val="16"/>
      <w:szCs w:val="16"/>
      <w:lang w:val="es-ES"/>
    </w:rPr>
  </w:style>
  <w:style w:type="paragraph" w:customStyle="1" w:styleId="xl49">
    <w:name w:val="xl49"/>
    <w:basedOn w:val="Normal"/>
    <w:uiPriority w:val="99"/>
    <w:rsid w:val="00CD2583"/>
    <w:pPr>
      <w:shd w:val="clear" w:color="auto" w:fill="C0C0C0"/>
      <w:spacing w:before="100" w:beforeAutospacing="1" w:after="100" w:afterAutospacing="1"/>
      <w:jc w:val="center"/>
    </w:pPr>
    <w:rPr>
      <w:rFonts w:eastAsia="Times New Roman"/>
      <w:sz w:val="16"/>
      <w:szCs w:val="16"/>
      <w:lang w:val="es-ES"/>
    </w:rPr>
  </w:style>
  <w:style w:type="paragraph" w:customStyle="1" w:styleId="xl50">
    <w:name w:val="xl50"/>
    <w:basedOn w:val="Normal"/>
    <w:uiPriority w:val="99"/>
    <w:rsid w:val="00CD2583"/>
    <w:pPr>
      <w:shd w:val="clear" w:color="auto" w:fill="C0C0C0"/>
      <w:spacing w:before="100" w:beforeAutospacing="1" w:after="100" w:afterAutospacing="1"/>
      <w:jc w:val="center"/>
      <w:textAlignment w:val="top"/>
    </w:pPr>
    <w:rPr>
      <w:rFonts w:eastAsia="Times New Roman"/>
      <w:sz w:val="16"/>
      <w:szCs w:val="16"/>
      <w:lang w:val="es-ES"/>
    </w:rPr>
  </w:style>
  <w:style w:type="paragraph" w:customStyle="1" w:styleId="xl51">
    <w:name w:val="xl51"/>
    <w:basedOn w:val="Normal"/>
    <w:uiPriority w:val="99"/>
    <w:rsid w:val="00CD2583"/>
    <w:pPr>
      <w:shd w:val="clear" w:color="auto" w:fill="C0C0C0"/>
      <w:spacing w:before="100" w:beforeAutospacing="1" w:after="100" w:afterAutospacing="1"/>
      <w:jc w:val="center"/>
    </w:pPr>
    <w:rPr>
      <w:rFonts w:eastAsia="Times New Roman"/>
      <w:sz w:val="16"/>
      <w:szCs w:val="16"/>
      <w:lang w:val="es-ES"/>
    </w:rPr>
  </w:style>
  <w:style w:type="paragraph" w:customStyle="1" w:styleId="xl52">
    <w:name w:val="xl52"/>
    <w:basedOn w:val="Normal"/>
    <w:uiPriority w:val="99"/>
    <w:rsid w:val="00CD2583"/>
    <w:pPr>
      <w:shd w:val="clear" w:color="auto" w:fill="C0C0C0"/>
      <w:spacing w:before="100" w:beforeAutospacing="1" w:after="100" w:afterAutospacing="1"/>
      <w:jc w:val="center"/>
    </w:pPr>
    <w:rPr>
      <w:rFonts w:eastAsia="Times New Roman"/>
      <w:sz w:val="16"/>
      <w:szCs w:val="16"/>
      <w:lang w:val="es-ES"/>
    </w:rPr>
  </w:style>
  <w:style w:type="paragraph" w:customStyle="1" w:styleId="xl53">
    <w:name w:val="xl53"/>
    <w:basedOn w:val="Normal"/>
    <w:uiPriority w:val="99"/>
    <w:rsid w:val="00CD2583"/>
    <w:pPr>
      <w:spacing w:before="100" w:beforeAutospacing="1" w:after="100" w:afterAutospacing="1"/>
      <w:jc w:val="center"/>
    </w:pPr>
    <w:rPr>
      <w:rFonts w:eastAsia="Times New Roman"/>
      <w:sz w:val="16"/>
      <w:szCs w:val="16"/>
      <w:lang w:val="es-ES"/>
    </w:rPr>
  </w:style>
  <w:style w:type="paragraph" w:customStyle="1" w:styleId="xl54">
    <w:name w:val="xl54"/>
    <w:basedOn w:val="Normal"/>
    <w:uiPriority w:val="99"/>
    <w:rsid w:val="00CD2583"/>
    <w:pPr>
      <w:pBdr>
        <w:top w:val="single" w:sz="8" w:space="0" w:color="auto"/>
        <w:bottom w:val="single" w:sz="8" w:space="0" w:color="auto"/>
      </w:pBdr>
      <w:spacing w:before="100" w:beforeAutospacing="1" w:after="100" w:afterAutospacing="1"/>
    </w:pPr>
    <w:rPr>
      <w:rFonts w:ascii="Arial" w:eastAsia="Times New Roman" w:hAnsi="Arial" w:cs="Arial"/>
      <w:b/>
      <w:bCs/>
      <w:color w:val="000080"/>
      <w:sz w:val="16"/>
      <w:szCs w:val="16"/>
      <w:lang w:val="es-ES"/>
    </w:rPr>
  </w:style>
  <w:style w:type="paragraph" w:customStyle="1" w:styleId="xl55">
    <w:name w:val="xl55"/>
    <w:basedOn w:val="Normal"/>
    <w:uiPriority w:val="99"/>
    <w:rsid w:val="00CD2583"/>
    <w:pPr>
      <w:pBdr>
        <w:top w:val="single" w:sz="8" w:space="0" w:color="auto"/>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56">
    <w:name w:val="xl56"/>
    <w:basedOn w:val="Normal"/>
    <w:uiPriority w:val="99"/>
    <w:rsid w:val="00CD2583"/>
    <w:pPr>
      <w:pBdr>
        <w:top w:val="single" w:sz="8" w:space="0" w:color="auto"/>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57">
    <w:name w:val="xl57"/>
    <w:basedOn w:val="Normal"/>
    <w:uiPriority w:val="99"/>
    <w:rsid w:val="00CD2583"/>
    <w:pPr>
      <w:pBdr>
        <w:top w:val="single" w:sz="8" w:space="0" w:color="auto"/>
        <w:bottom w:val="single" w:sz="8" w:space="0" w:color="auto"/>
      </w:pBdr>
      <w:spacing w:before="100" w:beforeAutospacing="1" w:after="100" w:afterAutospacing="1"/>
      <w:jc w:val="center"/>
    </w:pPr>
    <w:rPr>
      <w:rFonts w:eastAsia="Times New Roman"/>
      <w:b/>
      <w:bCs/>
      <w:color w:val="000080"/>
      <w:sz w:val="16"/>
      <w:szCs w:val="16"/>
      <w:lang w:val="es-ES"/>
    </w:rPr>
  </w:style>
  <w:style w:type="table" w:customStyle="1" w:styleId="Tablaconcuadrcula1240">
    <w:name w:val="Tabla con cuadrícula 124"/>
    <w:basedOn w:val="Tablanormal"/>
    <w:next w:val="Tablaconcuadrcula10"/>
    <w:rsid w:val="00CD258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25">
    <w:name w:val="Tabla con cuadrícula225"/>
    <w:basedOn w:val="Tablanormal"/>
    <w:next w:val="Tablaconcuadrcula"/>
    <w:rsid w:val="00CD258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6">
    <w:name w:val="Tabla con cuadrícula226"/>
    <w:basedOn w:val="Tablanormal"/>
    <w:next w:val="Tablaconcuadrcula"/>
    <w:rsid w:val="00AA6C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7">
    <w:name w:val="Tabla con cuadrícula227"/>
    <w:basedOn w:val="Tablanormal"/>
    <w:next w:val="Tablaconcuadrcula"/>
    <w:rsid w:val="00AA6C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8">
    <w:name w:val="Tabla con cuadrícula228"/>
    <w:basedOn w:val="Tablanormal"/>
    <w:next w:val="Tablaconcuadrcula"/>
    <w:rsid w:val="00032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9">
    <w:name w:val="Tabla con cuadrícula229"/>
    <w:basedOn w:val="Tablanormal"/>
    <w:next w:val="Tablaconcuadrcula"/>
    <w:rsid w:val="00032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0">
    <w:name w:val="Tabla con cuadrícula230"/>
    <w:basedOn w:val="Tablanormal"/>
    <w:next w:val="Tablaconcuadrcula"/>
    <w:rsid w:val="00032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4">
    <w:name w:val="Sin lista124"/>
    <w:next w:val="Sinlista"/>
    <w:semiHidden/>
    <w:rsid w:val="00D30EBB"/>
  </w:style>
  <w:style w:type="table" w:customStyle="1" w:styleId="Tablaconcuadrcula231">
    <w:name w:val="Tabla con cuadrícula231"/>
    <w:basedOn w:val="Tablanormal"/>
    <w:next w:val="Tablaconcuadrcula"/>
    <w:rsid w:val="00D30EB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0">
    <w:name w:val="Tabla con cuadrícula 125"/>
    <w:basedOn w:val="Tablanormal"/>
    <w:next w:val="Tablaconcuadrcula10"/>
    <w:rsid w:val="00A449BB"/>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25">
    <w:name w:val="Sin lista125"/>
    <w:next w:val="Sinlista"/>
    <w:semiHidden/>
    <w:rsid w:val="00976D73"/>
  </w:style>
  <w:style w:type="table" w:customStyle="1" w:styleId="Tablaconcuadrcula232">
    <w:name w:val="Tabla con cuadrícula232"/>
    <w:basedOn w:val="Tablanormal"/>
    <w:next w:val="Tablaconcuadrcula"/>
    <w:rsid w:val="00976D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3">
    <w:name w:val="Tabla con cuadrícula233"/>
    <w:basedOn w:val="Tablanormal"/>
    <w:next w:val="Tablaconcuadrcula"/>
    <w:rsid w:val="0092276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0">
    <w:name w:val="Tabla con cuadrícula 126"/>
    <w:basedOn w:val="Tablanormal"/>
    <w:next w:val="Tablaconcuadrcula10"/>
    <w:rsid w:val="00EC29AA"/>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34">
    <w:name w:val="Tabla con cuadrícula234"/>
    <w:basedOn w:val="Tablanormal"/>
    <w:next w:val="Tablaconcuadrcula"/>
    <w:rsid w:val="00B45E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2">
    <w:name w:val="Tabla con cuadrícula512"/>
    <w:basedOn w:val="Tablanormal"/>
    <w:next w:val="Tablaconcuadrcula"/>
    <w:rsid w:val="00B45E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5">
    <w:name w:val="Tabla con cuadrícula235"/>
    <w:basedOn w:val="Tablanormal"/>
    <w:next w:val="Tablaconcuadrcula"/>
    <w:rsid w:val="0022203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noticias">
    <w:name w:val="textonoticias"/>
    <w:basedOn w:val="Normal"/>
    <w:uiPriority w:val="99"/>
    <w:rsid w:val="00226AE9"/>
    <w:pPr>
      <w:spacing w:before="100" w:beforeAutospacing="1" w:after="100" w:afterAutospacing="1"/>
    </w:pPr>
    <w:rPr>
      <w:rFonts w:ascii="Verdana" w:eastAsia="Times New Roman" w:hAnsi="Verdana"/>
      <w:color w:val="000000"/>
      <w:sz w:val="21"/>
      <w:szCs w:val="21"/>
      <w:lang w:val="es-ES"/>
    </w:rPr>
  </w:style>
  <w:style w:type="table" w:customStyle="1" w:styleId="Tablaconcuadrcula236">
    <w:name w:val="Tabla con cuadrícula236"/>
    <w:basedOn w:val="Tablanormal"/>
    <w:next w:val="Tablaconcuadrcula"/>
    <w:rsid w:val="000508D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6">
    <w:name w:val="Sin lista126"/>
    <w:next w:val="Sinlista"/>
    <w:semiHidden/>
    <w:rsid w:val="00643F24"/>
  </w:style>
  <w:style w:type="table" w:customStyle="1" w:styleId="Tablaconcuadrcula237">
    <w:name w:val="Tabla con cuadrícula237"/>
    <w:basedOn w:val="Tablanormal"/>
    <w:next w:val="Tablaconcuadrcula"/>
    <w:rsid w:val="00643F2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0">
    <w:name w:val="Tabla con cuadrícula 127"/>
    <w:basedOn w:val="Tablanormal"/>
    <w:next w:val="Tablaconcuadrcula10"/>
    <w:rsid w:val="00643F2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Style8">
    <w:name w:val="Style 8"/>
    <w:basedOn w:val="Normal"/>
    <w:uiPriority w:val="99"/>
    <w:rsid w:val="00643F24"/>
    <w:pPr>
      <w:widowControl w:val="0"/>
      <w:autoSpaceDE w:val="0"/>
      <w:autoSpaceDN w:val="0"/>
      <w:spacing w:before="288"/>
      <w:ind w:right="396"/>
      <w:jc w:val="right"/>
    </w:pPr>
    <w:rPr>
      <w:rFonts w:eastAsia="Times New Roman"/>
      <w:lang w:val="en-US"/>
    </w:rPr>
  </w:style>
  <w:style w:type="table" w:customStyle="1" w:styleId="Tablaconcuadrcula238">
    <w:name w:val="Tabla con cuadrícula238"/>
    <w:basedOn w:val="Tablanormal"/>
    <w:next w:val="Tablaconcuadrcula"/>
    <w:rsid w:val="00CD4C4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9">
    <w:name w:val="Tabla con cuadrícula239"/>
    <w:basedOn w:val="Tablanormal"/>
    <w:next w:val="Tablaconcuadrcula"/>
    <w:rsid w:val="00C05E8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0">
    <w:name w:val="Tabla con cuadrícula240"/>
    <w:basedOn w:val="Tablanormal"/>
    <w:next w:val="Tablaconcuadrcula"/>
    <w:rsid w:val="004761F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7">
    <w:name w:val="Sin lista127"/>
    <w:next w:val="Sinlista"/>
    <w:semiHidden/>
    <w:rsid w:val="00A25582"/>
  </w:style>
  <w:style w:type="table" w:customStyle="1" w:styleId="Tablaconcuadrcula241">
    <w:name w:val="Tabla con cuadrícula241"/>
    <w:basedOn w:val="Tablanormal"/>
    <w:next w:val="Tablaconcuadrcula"/>
    <w:rsid w:val="00A255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8">
    <w:name w:val="Sin lista128"/>
    <w:next w:val="Sinlista"/>
    <w:semiHidden/>
    <w:rsid w:val="00DD485C"/>
  </w:style>
  <w:style w:type="paragraph" w:customStyle="1" w:styleId="feedbackbox">
    <w:name w:val="feedbackbox"/>
    <w:basedOn w:val="Normal"/>
    <w:uiPriority w:val="99"/>
    <w:rsid w:val="00DD485C"/>
    <w:pPr>
      <w:spacing w:before="100" w:beforeAutospacing="1" w:after="100" w:afterAutospacing="1"/>
    </w:pPr>
    <w:rPr>
      <w:rFonts w:eastAsia="Times New Roman"/>
      <w:color w:val="FFFFFF"/>
      <w:lang w:val="es-ES"/>
    </w:rPr>
  </w:style>
  <w:style w:type="paragraph" w:customStyle="1" w:styleId="feedbackinputline">
    <w:name w:val="feedbackinputline"/>
    <w:basedOn w:val="Normal"/>
    <w:uiPriority w:val="99"/>
    <w:rsid w:val="00DD485C"/>
    <w:pPr>
      <w:shd w:val="clear" w:color="auto" w:fill="FFFFFF"/>
      <w:spacing w:before="100" w:beforeAutospacing="1" w:after="100" w:afterAutospacing="1" w:line="210" w:lineRule="atLeast"/>
      <w:textAlignment w:val="center"/>
    </w:pPr>
    <w:rPr>
      <w:rFonts w:eastAsia="Times New Roman"/>
      <w:color w:val="333333"/>
      <w:lang w:val="es-ES"/>
    </w:rPr>
  </w:style>
  <w:style w:type="paragraph" w:customStyle="1" w:styleId="feedbackinputbox">
    <w:name w:val="feedbackinputbox"/>
    <w:basedOn w:val="Normal"/>
    <w:uiPriority w:val="99"/>
    <w:rsid w:val="00DD485C"/>
    <w:pPr>
      <w:shd w:val="clear" w:color="auto" w:fill="FFFFFF"/>
      <w:spacing w:before="100" w:beforeAutospacing="1" w:after="100" w:afterAutospacing="1"/>
    </w:pPr>
    <w:rPr>
      <w:rFonts w:eastAsia="Times New Roman"/>
      <w:color w:val="333333"/>
      <w:sz w:val="29"/>
      <w:szCs w:val="29"/>
      <w:lang w:val="es-ES"/>
    </w:rPr>
  </w:style>
  <w:style w:type="paragraph" w:customStyle="1" w:styleId="sendform">
    <w:name w:val="sendform"/>
    <w:basedOn w:val="Normal"/>
    <w:uiPriority w:val="99"/>
    <w:rsid w:val="00DD485C"/>
    <w:pPr>
      <w:pBdr>
        <w:top w:val="single" w:sz="6" w:space="0" w:color="666666"/>
        <w:left w:val="single" w:sz="6" w:space="0" w:color="666666"/>
        <w:bottom w:val="single" w:sz="6" w:space="0" w:color="666666"/>
        <w:right w:val="single" w:sz="6" w:space="0" w:color="666666"/>
      </w:pBdr>
      <w:spacing w:before="100" w:beforeAutospacing="1" w:after="100" w:afterAutospacing="1"/>
    </w:pPr>
    <w:rPr>
      <w:rFonts w:eastAsia="Times New Roman"/>
      <w:sz w:val="17"/>
      <w:szCs w:val="17"/>
      <w:lang w:val="es-ES"/>
    </w:rPr>
  </w:style>
  <w:style w:type="paragraph" w:customStyle="1" w:styleId="orgname">
    <w:name w:val="orgname"/>
    <w:basedOn w:val="Normal"/>
    <w:uiPriority w:val="99"/>
    <w:rsid w:val="00DD485C"/>
    <w:pPr>
      <w:spacing w:before="100" w:beforeAutospacing="1" w:after="100" w:afterAutospacing="1"/>
    </w:pPr>
    <w:rPr>
      <w:rFonts w:ascii="Arial" w:eastAsia="Times New Roman" w:hAnsi="Arial" w:cs="Arial"/>
      <w:b/>
      <w:bCs/>
      <w:color w:val="000000"/>
      <w:sz w:val="17"/>
      <w:szCs w:val="17"/>
      <w:lang w:val="es-ES"/>
    </w:rPr>
  </w:style>
  <w:style w:type="paragraph" w:customStyle="1" w:styleId="contact">
    <w:name w:val="contact"/>
    <w:basedOn w:val="Normal"/>
    <w:uiPriority w:val="99"/>
    <w:rsid w:val="00DD485C"/>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contactname">
    <w:name w:val="contactname"/>
    <w:basedOn w:val="Normal"/>
    <w:uiPriority w:val="99"/>
    <w:rsid w:val="00DD485C"/>
    <w:pPr>
      <w:spacing w:before="100" w:beforeAutospacing="1" w:after="100" w:afterAutospacing="1"/>
    </w:pPr>
    <w:rPr>
      <w:rFonts w:ascii="Arial" w:eastAsia="Times New Roman" w:hAnsi="Arial" w:cs="Arial"/>
      <w:color w:val="000000"/>
      <w:sz w:val="17"/>
      <w:szCs w:val="17"/>
      <w:lang w:val="es-ES"/>
    </w:rPr>
  </w:style>
  <w:style w:type="paragraph" w:customStyle="1" w:styleId="country">
    <w:name w:val="country"/>
    <w:basedOn w:val="Normal"/>
    <w:uiPriority w:val="99"/>
    <w:rsid w:val="00DD485C"/>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typo">
    <w:name w:val="typo"/>
    <w:basedOn w:val="Normal"/>
    <w:uiPriority w:val="99"/>
    <w:rsid w:val="00DD485C"/>
    <w:pPr>
      <w:spacing w:before="100" w:beforeAutospacing="1" w:after="100" w:afterAutospacing="1"/>
    </w:pPr>
    <w:rPr>
      <w:rFonts w:ascii="Arial" w:eastAsia="Times New Roman" w:hAnsi="Arial" w:cs="Arial"/>
      <w:b/>
      <w:bCs/>
      <w:color w:val="000000"/>
      <w:sz w:val="17"/>
      <w:szCs w:val="17"/>
      <w:lang w:val="es-ES"/>
    </w:rPr>
  </w:style>
  <w:style w:type="paragraph" w:customStyle="1" w:styleId="address">
    <w:name w:val="address"/>
    <w:basedOn w:val="Normal"/>
    <w:rsid w:val="00DD485C"/>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addressname">
    <w:name w:val="addressname"/>
    <w:basedOn w:val="Normal"/>
    <w:uiPriority w:val="99"/>
    <w:rsid w:val="00DD485C"/>
    <w:pPr>
      <w:spacing w:before="100" w:beforeAutospacing="1" w:after="100" w:afterAutospacing="1"/>
    </w:pPr>
    <w:rPr>
      <w:rFonts w:ascii="Arial" w:eastAsia="Times New Roman" w:hAnsi="Arial" w:cs="Arial"/>
      <w:color w:val="000000"/>
      <w:sz w:val="17"/>
      <w:szCs w:val="17"/>
      <w:lang w:val="es-ES"/>
    </w:rPr>
  </w:style>
  <w:style w:type="paragraph" w:customStyle="1" w:styleId="website">
    <w:name w:val="website"/>
    <w:basedOn w:val="Normal"/>
    <w:uiPriority w:val="99"/>
    <w:rsid w:val="00DD485C"/>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websitename">
    <w:name w:val="websitename"/>
    <w:basedOn w:val="Normal"/>
    <w:uiPriority w:val="99"/>
    <w:rsid w:val="00DD485C"/>
    <w:pPr>
      <w:spacing w:before="100" w:beforeAutospacing="1" w:after="100" w:afterAutospacing="1"/>
    </w:pPr>
    <w:rPr>
      <w:rFonts w:ascii="Arial" w:eastAsia="Times New Roman" w:hAnsi="Arial" w:cs="Arial"/>
      <w:color w:val="000000"/>
      <w:sz w:val="17"/>
      <w:szCs w:val="17"/>
      <w:lang w:val="es-ES"/>
    </w:rPr>
  </w:style>
  <w:style w:type="paragraph" w:customStyle="1" w:styleId="email">
    <w:name w:val="email"/>
    <w:basedOn w:val="Normal"/>
    <w:uiPriority w:val="99"/>
    <w:rsid w:val="00DD485C"/>
    <w:pPr>
      <w:spacing w:before="100" w:beforeAutospacing="1" w:after="100" w:afterAutospacing="1"/>
    </w:pPr>
    <w:rPr>
      <w:rFonts w:ascii="Arial" w:eastAsia="Times New Roman" w:hAnsi="Arial" w:cs="Arial"/>
      <w:b/>
      <w:bCs/>
      <w:color w:val="000000"/>
      <w:sz w:val="17"/>
      <w:szCs w:val="17"/>
      <w:lang w:val="es-ES"/>
    </w:rPr>
  </w:style>
  <w:style w:type="paragraph" w:customStyle="1" w:styleId="countryname">
    <w:name w:val="countryname"/>
    <w:basedOn w:val="Normal"/>
    <w:uiPriority w:val="99"/>
    <w:rsid w:val="00DD485C"/>
    <w:pPr>
      <w:spacing w:before="100" w:beforeAutospacing="1" w:after="100" w:afterAutospacing="1"/>
    </w:pPr>
    <w:rPr>
      <w:rFonts w:ascii="Arial" w:eastAsia="Times New Roman" w:hAnsi="Arial" w:cs="Arial"/>
      <w:b/>
      <w:bCs/>
      <w:color w:val="000000"/>
      <w:sz w:val="20"/>
      <w:szCs w:val="20"/>
      <w:lang w:val="es-ES"/>
    </w:rPr>
  </w:style>
  <w:style w:type="paragraph" w:customStyle="1" w:styleId="selectedtop">
    <w:name w:val="selected_top"/>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nr">
    <w:name w:val="selected_nr"/>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gp">
    <w:name w:val="selected_gp"/>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rp">
    <w:name w:val="selected_rp"/>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pr">
    <w:name w:val="selected_pr"/>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tools">
    <w:name w:val="selected_tools"/>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pubs">
    <w:name w:val="selected_pubs"/>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su">
    <w:name w:val="selected_su"/>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firstlevelbuttonsright">
    <w:name w:val="firstlevelbuttonsright"/>
    <w:basedOn w:val="Normal"/>
    <w:uiPriority w:val="99"/>
    <w:rsid w:val="00DD485C"/>
    <w:pPr>
      <w:shd w:val="clear" w:color="auto" w:fill="336699"/>
      <w:spacing w:before="100" w:beforeAutospacing="1" w:after="100" w:afterAutospacing="1" w:line="240" w:lineRule="atLeast"/>
    </w:pPr>
    <w:rPr>
      <w:rFonts w:eastAsia="Times New Roman"/>
      <w:b/>
      <w:bCs/>
      <w:color w:val="FFFFFF"/>
      <w:lang w:val="es-ES"/>
    </w:rPr>
  </w:style>
  <w:style w:type="paragraph" w:customStyle="1" w:styleId="topmenuinputbox">
    <w:name w:val="topmenuinputbox"/>
    <w:basedOn w:val="Normal"/>
    <w:uiPriority w:val="99"/>
    <w:rsid w:val="00DD485C"/>
    <w:pPr>
      <w:pBdr>
        <w:top w:val="single" w:sz="6" w:space="0" w:color="000000"/>
        <w:left w:val="single" w:sz="6" w:space="0" w:color="000000"/>
        <w:bottom w:val="single" w:sz="6" w:space="0" w:color="000000"/>
        <w:right w:val="single" w:sz="6" w:space="0" w:color="000000"/>
      </w:pBdr>
      <w:shd w:val="clear" w:color="auto" w:fill="FFFFFF"/>
      <w:ind w:left="150" w:right="75"/>
      <w:textAlignment w:val="top"/>
    </w:pPr>
    <w:rPr>
      <w:rFonts w:eastAsia="Times New Roman"/>
      <w:color w:val="336699"/>
      <w:sz w:val="15"/>
      <w:szCs w:val="15"/>
      <w:lang w:val="es-ES"/>
    </w:rPr>
  </w:style>
  <w:style w:type="paragraph" w:customStyle="1" w:styleId="logobanner">
    <w:name w:val="logobanner"/>
    <w:basedOn w:val="Normal"/>
    <w:uiPriority w:val="99"/>
    <w:rsid w:val="00DD485C"/>
    <w:pPr>
      <w:pBdr>
        <w:top w:val="single" w:sz="6" w:space="0" w:color="FFFFFF"/>
        <w:bottom w:val="single" w:sz="6" w:space="0" w:color="FFFFFF"/>
        <w:right w:val="single" w:sz="6" w:space="0" w:color="FFFFFF"/>
      </w:pBdr>
      <w:shd w:val="clear" w:color="auto" w:fill="D9EBF9"/>
      <w:spacing w:before="100" w:beforeAutospacing="1" w:after="100" w:afterAutospacing="1"/>
    </w:pPr>
    <w:rPr>
      <w:rFonts w:eastAsia="Times New Roman"/>
      <w:lang w:val="es-ES"/>
    </w:rPr>
  </w:style>
  <w:style w:type="paragraph" w:customStyle="1" w:styleId="secondlevel">
    <w:name w:val="secondlevel"/>
    <w:basedOn w:val="Normal"/>
    <w:uiPriority w:val="99"/>
    <w:rsid w:val="00DD485C"/>
    <w:pPr>
      <w:pBdr>
        <w:top w:val="single" w:sz="6" w:space="0" w:color="FFFFFF"/>
      </w:pBdr>
      <w:shd w:val="clear" w:color="auto" w:fill="336699"/>
      <w:spacing w:before="100" w:beforeAutospacing="1" w:after="100" w:afterAutospacing="1"/>
    </w:pPr>
    <w:rPr>
      <w:rFonts w:eastAsia="Times New Roman"/>
      <w:color w:val="FFFFFF"/>
      <w:lang w:val="es-ES"/>
    </w:rPr>
  </w:style>
  <w:style w:type="paragraph" w:customStyle="1" w:styleId="crumbtrailnr">
    <w:name w:val="crumbtrail_nr"/>
    <w:basedOn w:val="Normal"/>
    <w:uiPriority w:val="99"/>
    <w:rsid w:val="00DD485C"/>
    <w:pPr>
      <w:spacing w:before="100" w:beforeAutospacing="1" w:after="100" w:afterAutospacing="1"/>
    </w:pPr>
    <w:rPr>
      <w:rFonts w:eastAsia="Times New Roman"/>
      <w:lang w:val="es-ES"/>
    </w:rPr>
  </w:style>
  <w:style w:type="paragraph" w:customStyle="1" w:styleId="crumbtrailgp">
    <w:name w:val="crumbtrail_gp"/>
    <w:basedOn w:val="Normal"/>
    <w:uiPriority w:val="99"/>
    <w:rsid w:val="00DD485C"/>
    <w:pPr>
      <w:spacing w:before="100" w:beforeAutospacing="1" w:after="100" w:afterAutospacing="1"/>
    </w:pPr>
    <w:rPr>
      <w:rFonts w:eastAsia="Times New Roman"/>
      <w:lang w:val="es-ES"/>
    </w:rPr>
  </w:style>
  <w:style w:type="paragraph" w:customStyle="1" w:styleId="crumbtrailrp">
    <w:name w:val="crumbtrail_rp"/>
    <w:basedOn w:val="Normal"/>
    <w:uiPriority w:val="99"/>
    <w:rsid w:val="00DD485C"/>
    <w:pPr>
      <w:spacing w:before="100" w:beforeAutospacing="1" w:after="100" w:afterAutospacing="1"/>
    </w:pPr>
    <w:rPr>
      <w:rFonts w:eastAsia="Times New Roman"/>
      <w:lang w:val="es-ES"/>
    </w:rPr>
  </w:style>
  <w:style w:type="paragraph" w:customStyle="1" w:styleId="crumbtrailpr">
    <w:name w:val="crumbtrail_pr"/>
    <w:basedOn w:val="Normal"/>
    <w:uiPriority w:val="99"/>
    <w:rsid w:val="00DD485C"/>
    <w:pPr>
      <w:spacing w:before="100" w:beforeAutospacing="1" w:after="100" w:afterAutospacing="1"/>
    </w:pPr>
    <w:rPr>
      <w:rFonts w:eastAsia="Times New Roman"/>
      <w:lang w:val="es-ES"/>
    </w:rPr>
  </w:style>
  <w:style w:type="paragraph" w:customStyle="1" w:styleId="crumbtrailtools">
    <w:name w:val="crumbtrail_tools"/>
    <w:basedOn w:val="Normal"/>
    <w:uiPriority w:val="99"/>
    <w:rsid w:val="00DD485C"/>
    <w:pPr>
      <w:spacing w:before="100" w:beforeAutospacing="1" w:after="100" w:afterAutospacing="1"/>
    </w:pPr>
    <w:rPr>
      <w:rFonts w:eastAsia="Times New Roman"/>
      <w:lang w:val="es-ES"/>
    </w:rPr>
  </w:style>
  <w:style w:type="paragraph" w:customStyle="1" w:styleId="crumbtrailpubs">
    <w:name w:val="crumbtrail_pubs"/>
    <w:basedOn w:val="Normal"/>
    <w:uiPriority w:val="99"/>
    <w:rsid w:val="00DD485C"/>
    <w:pPr>
      <w:spacing w:before="100" w:beforeAutospacing="1" w:after="100" w:afterAutospacing="1"/>
    </w:pPr>
    <w:rPr>
      <w:rFonts w:eastAsia="Times New Roman"/>
      <w:lang w:val="es-ES"/>
    </w:rPr>
  </w:style>
  <w:style w:type="paragraph" w:customStyle="1" w:styleId="crumbtrailau">
    <w:name w:val="crumbtrail_au"/>
    <w:basedOn w:val="Normal"/>
    <w:uiPriority w:val="99"/>
    <w:rsid w:val="00DD485C"/>
    <w:pPr>
      <w:spacing w:before="100" w:beforeAutospacing="1" w:after="100" w:afterAutospacing="1"/>
    </w:pPr>
    <w:rPr>
      <w:rFonts w:eastAsia="Times New Roman"/>
      <w:lang w:val="es-ES"/>
    </w:rPr>
  </w:style>
  <w:style w:type="paragraph" w:customStyle="1" w:styleId="crumbtrailcu">
    <w:name w:val="crumbtrail_cu"/>
    <w:basedOn w:val="Normal"/>
    <w:uiPriority w:val="99"/>
    <w:rsid w:val="00DD485C"/>
    <w:pPr>
      <w:spacing w:before="100" w:beforeAutospacing="1" w:after="100" w:afterAutospacing="1"/>
    </w:pPr>
    <w:rPr>
      <w:rFonts w:eastAsia="Times New Roman"/>
      <w:lang w:val="es-ES"/>
    </w:rPr>
  </w:style>
  <w:style w:type="paragraph" w:customStyle="1" w:styleId="crumbtrailsu">
    <w:name w:val="crumbtrail_su"/>
    <w:basedOn w:val="Normal"/>
    <w:uiPriority w:val="99"/>
    <w:rsid w:val="00DD485C"/>
    <w:pPr>
      <w:spacing w:before="100" w:beforeAutospacing="1" w:after="100" w:afterAutospacing="1"/>
    </w:pPr>
    <w:rPr>
      <w:rFonts w:eastAsia="Times New Roman"/>
      <w:lang w:val="es-ES"/>
    </w:rPr>
  </w:style>
  <w:style w:type="paragraph" w:customStyle="1" w:styleId="contenttitle">
    <w:name w:val="content_title"/>
    <w:basedOn w:val="Normal"/>
    <w:uiPriority w:val="99"/>
    <w:rsid w:val="00DD485C"/>
    <w:pPr>
      <w:spacing w:before="100" w:beforeAutospacing="1" w:after="100" w:afterAutospacing="1" w:line="255" w:lineRule="atLeast"/>
    </w:pPr>
    <w:rPr>
      <w:rFonts w:eastAsia="Times New Roman"/>
      <w:b/>
      <w:bCs/>
      <w:color w:val="333333"/>
      <w:lang w:val="es-ES"/>
    </w:rPr>
  </w:style>
  <w:style w:type="paragraph" w:customStyle="1" w:styleId="contentprintme">
    <w:name w:val="content_printme"/>
    <w:basedOn w:val="Normal"/>
    <w:uiPriority w:val="99"/>
    <w:rsid w:val="00DD485C"/>
    <w:pPr>
      <w:spacing w:before="100" w:beforeAutospacing="1" w:after="100" w:afterAutospacing="1" w:line="225" w:lineRule="atLeast"/>
    </w:pPr>
    <w:rPr>
      <w:rFonts w:eastAsia="Times New Roman"/>
      <w:color w:val="333333"/>
      <w:lang w:val="es-ES"/>
    </w:rPr>
  </w:style>
  <w:style w:type="paragraph" w:customStyle="1" w:styleId="headlinetxtnr">
    <w:name w:val="headline_txt_nr"/>
    <w:basedOn w:val="Normal"/>
    <w:uiPriority w:val="99"/>
    <w:rsid w:val="00DD485C"/>
    <w:pPr>
      <w:shd w:val="clear" w:color="auto" w:fill="CC0000"/>
      <w:spacing w:before="100" w:beforeAutospacing="1" w:after="100" w:afterAutospacing="1" w:line="255" w:lineRule="atLeast"/>
      <w:jc w:val="center"/>
    </w:pPr>
    <w:rPr>
      <w:rFonts w:eastAsia="Times New Roman"/>
      <w:b/>
      <w:bCs/>
      <w:color w:val="FFFFFF"/>
      <w:lang w:val="es-ES"/>
    </w:rPr>
  </w:style>
  <w:style w:type="paragraph" w:customStyle="1" w:styleId="headlinetxtgp">
    <w:name w:val="headline_txt_gp"/>
    <w:basedOn w:val="Normal"/>
    <w:uiPriority w:val="99"/>
    <w:rsid w:val="00DD485C"/>
    <w:pPr>
      <w:shd w:val="clear" w:color="auto" w:fill="FF9933"/>
      <w:spacing w:before="100" w:beforeAutospacing="1" w:after="100" w:afterAutospacing="1" w:line="255" w:lineRule="atLeast"/>
      <w:jc w:val="center"/>
    </w:pPr>
    <w:rPr>
      <w:rFonts w:eastAsia="Times New Roman"/>
      <w:b/>
      <w:bCs/>
      <w:color w:val="FFFFFF"/>
      <w:lang w:val="es-ES"/>
    </w:rPr>
  </w:style>
  <w:style w:type="paragraph" w:customStyle="1" w:styleId="headlinetxtrp">
    <w:name w:val="headline_txt_rp"/>
    <w:basedOn w:val="Normal"/>
    <w:uiPriority w:val="99"/>
    <w:rsid w:val="00DD485C"/>
    <w:pPr>
      <w:shd w:val="clear" w:color="auto" w:fill="66CC66"/>
      <w:spacing w:before="100" w:beforeAutospacing="1" w:after="100" w:afterAutospacing="1" w:line="255" w:lineRule="atLeast"/>
      <w:jc w:val="center"/>
    </w:pPr>
    <w:rPr>
      <w:rFonts w:eastAsia="Times New Roman"/>
      <w:b/>
      <w:bCs/>
      <w:color w:val="FFFFFF"/>
      <w:lang w:val="es-ES"/>
    </w:rPr>
  </w:style>
  <w:style w:type="paragraph" w:customStyle="1" w:styleId="headlinetxtpr">
    <w:name w:val="headline_txt_pr"/>
    <w:basedOn w:val="Normal"/>
    <w:uiPriority w:val="99"/>
    <w:rsid w:val="00DD485C"/>
    <w:pPr>
      <w:shd w:val="clear" w:color="auto" w:fill="339999"/>
      <w:spacing w:before="100" w:beforeAutospacing="1" w:after="100" w:afterAutospacing="1" w:line="255" w:lineRule="atLeast"/>
      <w:jc w:val="center"/>
    </w:pPr>
    <w:rPr>
      <w:rFonts w:eastAsia="Times New Roman"/>
      <w:b/>
      <w:bCs/>
      <w:color w:val="FFFFFF"/>
      <w:lang w:val="es-ES"/>
    </w:rPr>
  </w:style>
  <w:style w:type="paragraph" w:customStyle="1" w:styleId="headlinetxttools">
    <w:name w:val="headline_txt_tools"/>
    <w:basedOn w:val="Normal"/>
    <w:uiPriority w:val="99"/>
    <w:rsid w:val="00DD485C"/>
    <w:pPr>
      <w:shd w:val="clear" w:color="auto" w:fill="CCCC99"/>
      <w:spacing w:before="100" w:beforeAutospacing="1" w:after="100" w:afterAutospacing="1" w:line="255" w:lineRule="atLeast"/>
      <w:jc w:val="center"/>
    </w:pPr>
    <w:rPr>
      <w:rFonts w:eastAsia="Times New Roman"/>
      <w:b/>
      <w:bCs/>
      <w:color w:val="FFFFFF"/>
      <w:lang w:val="es-ES"/>
    </w:rPr>
  </w:style>
  <w:style w:type="paragraph" w:customStyle="1" w:styleId="headlinetxtpubs">
    <w:name w:val="headline_txt_pubs"/>
    <w:basedOn w:val="Normal"/>
    <w:uiPriority w:val="99"/>
    <w:rsid w:val="00DD485C"/>
    <w:pPr>
      <w:shd w:val="clear" w:color="auto" w:fill="996699"/>
      <w:spacing w:before="100" w:beforeAutospacing="1" w:after="100" w:afterAutospacing="1" w:line="255" w:lineRule="atLeast"/>
      <w:jc w:val="center"/>
    </w:pPr>
    <w:rPr>
      <w:rFonts w:eastAsia="Times New Roman"/>
      <w:b/>
      <w:bCs/>
      <w:color w:val="FFFFFF"/>
      <w:lang w:val="es-ES"/>
    </w:rPr>
  </w:style>
  <w:style w:type="paragraph" w:customStyle="1" w:styleId="headlinetxtsu">
    <w:name w:val="headline_txt_su"/>
    <w:basedOn w:val="Normal"/>
    <w:uiPriority w:val="99"/>
    <w:rsid w:val="00DD485C"/>
    <w:pPr>
      <w:shd w:val="clear" w:color="auto" w:fill="6699CC"/>
      <w:spacing w:before="100" w:beforeAutospacing="1" w:after="100" w:afterAutospacing="1" w:line="255" w:lineRule="atLeast"/>
      <w:jc w:val="center"/>
    </w:pPr>
    <w:rPr>
      <w:rFonts w:eastAsia="Times New Roman"/>
      <w:b/>
      <w:bCs/>
      <w:color w:val="FFFFFF"/>
      <w:lang w:val="es-ES"/>
    </w:rPr>
  </w:style>
  <w:style w:type="paragraph" w:customStyle="1" w:styleId="headline">
    <w:name w:val="headline"/>
    <w:basedOn w:val="Normal"/>
    <w:uiPriority w:val="99"/>
    <w:rsid w:val="00DD485C"/>
    <w:pPr>
      <w:spacing w:before="100" w:beforeAutospacing="1" w:after="100" w:afterAutospacing="1"/>
    </w:pPr>
    <w:rPr>
      <w:rFonts w:eastAsia="Times New Roman"/>
      <w:lang w:val="es-ES"/>
    </w:rPr>
  </w:style>
  <w:style w:type="paragraph" w:customStyle="1" w:styleId="infoboxblue">
    <w:name w:val="infobox_blue"/>
    <w:basedOn w:val="Normal"/>
    <w:uiPriority w:val="99"/>
    <w:rsid w:val="00DD485C"/>
    <w:pPr>
      <w:pBdr>
        <w:bottom w:val="single" w:sz="6" w:space="0" w:color="003366"/>
      </w:pBdr>
      <w:shd w:val="clear" w:color="auto" w:fill="D9EBF9"/>
      <w:spacing w:before="100" w:beforeAutospacing="1" w:after="100" w:afterAutospacing="1"/>
    </w:pPr>
    <w:rPr>
      <w:rFonts w:eastAsia="Times New Roman"/>
      <w:color w:val="003366"/>
      <w:lang w:val="es-ES"/>
    </w:rPr>
  </w:style>
  <w:style w:type="paragraph" w:customStyle="1" w:styleId="infoboxgrey">
    <w:name w:val="infobox_grey"/>
    <w:basedOn w:val="Normal"/>
    <w:uiPriority w:val="99"/>
    <w:rsid w:val="00DD485C"/>
    <w:pPr>
      <w:shd w:val="clear" w:color="auto" w:fill="D9EBF9"/>
      <w:spacing w:before="100" w:beforeAutospacing="1" w:after="100" w:afterAutospacing="1"/>
    </w:pPr>
    <w:rPr>
      <w:rFonts w:eastAsia="Times New Roman"/>
      <w:color w:val="003366"/>
      <w:lang w:val="es-ES"/>
    </w:rPr>
  </w:style>
  <w:style w:type="paragraph" w:customStyle="1" w:styleId="infoboxred">
    <w:name w:val="infobox_red"/>
    <w:basedOn w:val="Normal"/>
    <w:uiPriority w:val="99"/>
    <w:rsid w:val="00DD485C"/>
    <w:pPr>
      <w:shd w:val="clear" w:color="auto" w:fill="D9EBF9"/>
      <w:spacing w:before="100" w:beforeAutospacing="1" w:after="100" w:afterAutospacing="1"/>
    </w:pPr>
    <w:rPr>
      <w:rFonts w:eastAsia="Times New Roman"/>
      <w:color w:val="003366"/>
      <w:lang w:val="es-ES"/>
    </w:rPr>
  </w:style>
  <w:style w:type="paragraph" w:customStyle="1" w:styleId="infoboxsi">
    <w:name w:val="infobox_si"/>
    <w:basedOn w:val="Normal"/>
    <w:uiPriority w:val="99"/>
    <w:rsid w:val="00DD485C"/>
    <w:pPr>
      <w:spacing w:before="100" w:beforeAutospacing="1" w:after="100" w:afterAutospacing="1"/>
    </w:pPr>
    <w:rPr>
      <w:rFonts w:eastAsia="Times New Roman"/>
      <w:color w:val="003366"/>
      <w:lang w:val="es-ES"/>
    </w:rPr>
  </w:style>
  <w:style w:type="paragraph" w:customStyle="1" w:styleId="infoboxsitop">
    <w:name w:val="infobox_si_top"/>
    <w:basedOn w:val="Normal"/>
    <w:uiPriority w:val="99"/>
    <w:rsid w:val="00DD485C"/>
    <w:pPr>
      <w:shd w:val="clear" w:color="auto" w:fill="D9EBF9"/>
      <w:spacing w:before="100" w:beforeAutospacing="1" w:after="100" w:afterAutospacing="1"/>
    </w:pPr>
    <w:rPr>
      <w:rFonts w:eastAsia="Times New Roman"/>
      <w:lang w:val="es-ES"/>
    </w:rPr>
  </w:style>
  <w:style w:type="paragraph" w:customStyle="1" w:styleId="infoboxsibottom">
    <w:name w:val="infobox_si_bottom"/>
    <w:basedOn w:val="Normal"/>
    <w:uiPriority w:val="99"/>
    <w:rsid w:val="00DD485C"/>
    <w:pPr>
      <w:shd w:val="clear" w:color="auto" w:fill="D9EBF9"/>
      <w:spacing w:before="100" w:beforeAutospacing="1" w:after="100" w:afterAutospacing="1"/>
    </w:pPr>
    <w:rPr>
      <w:rFonts w:eastAsia="Times New Roman"/>
      <w:lang w:val="es-ES"/>
    </w:rPr>
  </w:style>
  <w:style w:type="paragraph" w:customStyle="1" w:styleId="infoboxcatwtop">
    <w:name w:val="infobox_catw_top"/>
    <w:basedOn w:val="Normal"/>
    <w:uiPriority w:val="99"/>
    <w:rsid w:val="00DD485C"/>
    <w:pPr>
      <w:shd w:val="clear" w:color="auto" w:fill="336699"/>
      <w:spacing w:before="100" w:beforeAutospacing="1" w:after="100" w:afterAutospacing="1"/>
    </w:pPr>
    <w:rPr>
      <w:rFonts w:eastAsia="Times New Roman"/>
      <w:lang w:val="es-ES"/>
    </w:rPr>
  </w:style>
  <w:style w:type="paragraph" w:customStyle="1" w:styleId="infoboxcatwbottom">
    <w:name w:val="infobox_catw_bottom"/>
    <w:basedOn w:val="Normal"/>
    <w:uiPriority w:val="99"/>
    <w:rsid w:val="00DD485C"/>
    <w:pPr>
      <w:shd w:val="clear" w:color="auto" w:fill="336699"/>
      <w:spacing w:before="100" w:beforeAutospacing="1" w:after="100" w:afterAutospacing="1"/>
    </w:pPr>
    <w:rPr>
      <w:rFonts w:eastAsia="Times New Roman"/>
      <w:lang w:val="es-ES"/>
    </w:rPr>
  </w:style>
  <w:style w:type="paragraph" w:customStyle="1" w:styleId="naviboxnewsletter">
    <w:name w:val="navibox_newsletter"/>
    <w:basedOn w:val="Normal"/>
    <w:uiPriority w:val="99"/>
    <w:rsid w:val="00DD485C"/>
    <w:pPr>
      <w:pBdr>
        <w:top w:val="single" w:sz="6" w:space="0" w:color="666666"/>
        <w:left w:val="single" w:sz="6" w:space="0" w:color="666666"/>
        <w:bottom w:val="single" w:sz="6" w:space="0" w:color="666666"/>
        <w:right w:val="single" w:sz="6" w:space="0" w:color="666666"/>
      </w:pBdr>
      <w:spacing w:line="288" w:lineRule="atLeast"/>
    </w:pPr>
    <w:rPr>
      <w:rFonts w:eastAsia="Times New Roman"/>
      <w:color w:val="333333"/>
      <w:lang w:val="es-ES"/>
    </w:rPr>
  </w:style>
  <w:style w:type="paragraph" w:customStyle="1" w:styleId="navibox">
    <w:name w:val="navibox"/>
    <w:basedOn w:val="Normal"/>
    <w:uiPriority w:val="99"/>
    <w:rsid w:val="00DD485C"/>
    <w:pPr>
      <w:pBdr>
        <w:top w:val="single" w:sz="6" w:space="4" w:color="666666"/>
        <w:left w:val="single" w:sz="6" w:space="4" w:color="666666"/>
        <w:bottom w:val="single" w:sz="6" w:space="4" w:color="666666"/>
        <w:right w:val="single" w:sz="6" w:space="4" w:color="666666"/>
      </w:pBdr>
      <w:spacing w:before="100" w:beforeAutospacing="1" w:after="100" w:afterAutospacing="1" w:line="288" w:lineRule="atLeast"/>
    </w:pPr>
    <w:rPr>
      <w:rFonts w:eastAsia="Times New Roman"/>
      <w:color w:val="333333"/>
      <w:lang w:val="es-ES"/>
    </w:rPr>
  </w:style>
  <w:style w:type="paragraph" w:customStyle="1" w:styleId="thirdlevelulnr">
    <w:name w:val="thirdlevel_ul_nr"/>
    <w:basedOn w:val="Normal"/>
    <w:uiPriority w:val="99"/>
    <w:rsid w:val="00DD485C"/>
    <w:rPr>
      <w:rFonts w:eastAsia="Times New Roman"/>
      <w:lang w:val="es-ES"/>
    </w:rPr>
  </w:style>
  <w:style w:type="paragraph" w:customStyle="1" w:styleId="thirdlevelulgp">
    <w:name w:val="thirdlevel_ul_gp"/>
    <w:basedOn w:val="Normal"/>
    <w:uiPriority w:val="99"/>
    <w:rsid w:val="00DD485C"/>
    <w:rPr>
      <w:rFonts w:eastAsia="Times New Roman"/>
      <w:lang w:val="es-ES"/>
    </w:rPr>
  </w:style>
  <w:style w:type="paragraph" w:customStyle="1" w:styleId="thirdlevelulrp">
    <w:name w:val="thirdlevel_ul_rp"/>
    <w:basedOn w:val="Normal"/>
    <w:uiPriority w:val="99"/>
    <w:rsid w:val="00DD485C"/>
    <w:rPr>
      <w:rFonts w:eastAsia="Times New Roman"/>
      <w:lang w:val="es-ES"/>
    </w:rPr>
  </w:style>
  <w:style w:type="paragraph" w:customStyle="1" w:styleId="thirdlevelulpr">
    <w:name w:val="thirdlevel_ul_pr"/>
    <w:basedOn w:val="Normal"/>
    <w:uiPriority w:val="99"/>
    <w:rsid w:val="00DD485C"/>
    <w:rPr>
      <w:rFonts w:eastAsia="Times New Roman"/>
      <w:lang w:val="es-ES"/>
    </w:rPr>
  </w:style>
  <w:style w:type="paragraph" w:customStyle="1" w:styleId="thirdlevelultools">
    <w:name w:val="thirdlevel_ul_tools"/>
    <w:basedOn w:val="Normal"/>
    <w:uiPriority w:val="99"/>
    <w:rsid w:val="00DD485C"/>
    <w:rPr>
      <w:rFonts w:eastAsia="Times New Roman"/>
      <w:lang w:val="es-ES"/>
    </w:rPr>
  </w:style>
  <w:style w:type="paragraph" w:customStyle="1" w:styleId="thirdlevelulpubs">
    <w:name w:val="thirdlevel_ul_pubs"/>
    <w:basedOn w:val="Normal"/>
    <w:uiPriority w:val="99"/>
    <w:rsid w:val="00DD485C"/>
    <w:rPr>
      <w:rFonts w:eastAsia="Times New Roman"/>
      <w:lang w:val="es-ES"/>
    </w:rPr>
  </w:style>
  <w:style w:type="paragraph" w:customStyle="1" w:styleId="thirdlevelulsu">
    <w:name w:val="thirdlevel_ul_su"/>
    <w:basedOn w:val="Normal"/>
    <w:uiPriority w:val="99"/>
    <w:rsid w:val="00DD485C"/>
    <w:rPr>
      <w:rFonts w:eastAsia="Times New Roman"/>
      <w:lang w:val="es-ES"/>
    </w:rPr>
  </w:style>
  <w:style w:type="paragraph" w:customStyle="1" w:styleId="fourthlevelulnr">
    <w:name w:val="fourthlevel_ul_nr"/>
    <w:basedOn w:val="Normal"/>
    <w:uiPriority w:val="99"/>
    <w:rsid w:val="00DD485C"/>
    <w:rPr>
      <w:rFonts w:eastAsia="Times New Roman"/>
      <w:lang w:val="es-ES"/>
    </w:rPr>
  </w:style>
  <w:style w:type="paragraph" w:customStyle="1" w:styleId="fourthlevelulgp">
    <w:name w:val="fourthlevel_ul_gp"/>
    <w:basedOn w:val="Normal"/>
    <w:uiPriority w:val="99"/>
    <w:rsid w:val="00DD485C"/>
    <w:rPr>
      <w:rFonts w:eastAsia="Times New Roman"/>
      <w:lang w:val="es-ES"/>
    </w:rPr>
  </w:style>
  <w:style w:type="paragraph" w:customStyle="1" w:styleId="fourthlevelulrp">
    <w:name w:val="fourthlevel_ul_rp"/>
    <w:basedOn w:val="Normal"/>
    <w:uiPriority w:val="99"/>
    <w:rsid w:val="00DD485C"/>
    <w:rPr>
      <w:rFonts w:eastAsia="Times New Roman"/>
      <w:lang w:val="es-ES"/>
    </w:rPr>
  </w:style>
  <w:style w:type="paragraph" w:customStyle="1" w:styleId="fourthlevelulpr">
    <w:name w:val="fourthlevel_ul_pr"/>
    <w:basedOn w:val="Normal"/>
    <w:uiPriority w:val="99"/>
    <w:rsid w:val="00DD485C"/>
    <w:rPr>
      <w:rFonts w:eastAsia="Times New Roman"/>
      <w:lang w:val="es-ES"/>
    </w:rPr>
  </w:style>
  <w:style w:type="paragraph" w:customStyle="1" w:styleId="fourthlevelultools">
    <w:name w:val="fourthlevel_ul_tools"/>
    <w:basedOn w:val="Normal"/>
    <w:uiPriority w:val="99"/>
    <w:rsid w:val="00DD485C"/>
    <w:rPr>
      <w:rFonts w:eastAsia="Times New Roman"/>
      <w:lang w:val="es-ES"/>
    </w:rPr>
  </w:style>
  <w:style w:type="paragraph" w:customStyle="1" w:styleId="fourthlevelulpubs">
    <w:name w:val="fourthlevel_ul_pubs"/>
    <w:basedOn w:val="Normal"/>
    <w:uiPriority w:val="99"/>
    <w:rsid w:val="00DD485C"/>
    <w:rPr>
      <w:rFonts w:eastAsia="Times New Roman"/>
      <w:lang w:val="es-ES"/>
    </w:rPr>
  </w:style>
  <w:style w:type="paragraph" w:customStyle="1" w:styleId="fourthlevelulsu">
    <w:name w:val="fourthlevel_ul_su"/>
    <w:basedOn w:val="Normal"/>
    <w:uiPriority w:val="99"/>
    <w:rsid w:val="00DD485C"/>
    <w:rPr>
      <w:rFonts w:eastAsia="Times New Roman"/>
      <w:lang w:val="es-ES"/>
    </w:rPr>
  </w:style>
  <w:style w:type="paragraph" w:customStyle="1" w:styleId="fifthlevelulnr">
    <w:name w:val="fifthlevel_ul_nr"/>
    <w:basedOn w:val="Normal"/>
    <w:uiPriority w:val="99"/>
    <w:rsid w:val="00DD485C"/>
    <w:rPr>
      <w:rFonts w:eastAsia="Times New Roman"/>
      <w:lang w:val="es-ES"/>
    </w:rPr>
  </w:style>
  <w:style w:type="paragraph" w:customStyle="1" w:styleId="fifthlevelulgp">
    <w:name w:val="fifthlevel_ul_gp"/>
    <w:basedOn w:val="Normal"/>
    <w:uiPriority w:val="99"/>
    <w:rsid w:val="00DD485C"/>
    <w:rPr>
      <w:rFonts w:eastAsia="Times New Roman"/>
      <w:lang w:val="es-ES"/>
    </w:rPr>
  </w:style>
  <w:style w:type="paragraph" w:customStyle="1" w:styleId="fifthlevelulrp">
    <w:name w:val="fifthlevel_ul_rp"/>
    <w:basedOn w:val="Normal"/>
    <w:uiPriority w:val="99"/>
    <w:rsid w:val="00DD485C"/>
    <w:rPr>
      <w:rFonts w:eastAsia="Times New Roman"/>
      <w:lang w:val="es-ES"/>
    </w:rPr>
  </w:style>
  <w:style w:type="paragraph" w:customStyle="1" w:styleId="fifthlevelulpr">
    <w:name w:val="fifthlevel_ul_pr"/>
    <w:basedOn w:val="Normal"/>
    <w:uiPriority w:val="99"/>
    <w:rsid w:val="00DD485C"/>
    <w:rPr>
      <w:rFonts w:eastAsia="Times New Roman"/>
      <w:lang w:val="es-ES"/>
    </w:rPr>
  </w:style>
  <w:style w:type="paragraph" w:customStyle="1" w:styleId="fifthlevelultools">
    <w:name w:val="fifthlevel_ul_tools"/>
    <w:basedOn w:val="Normal"/>
    <w:uiPriority w:val="99"/>
    <w:rsid w:val="00DD485C"/>
    <w:rPr>
      <w:rFonts w:eastAsia="Times New Roman"/>
      <w:lang w:val="es-ES"/>
    </w:rPr>
  </w:style>
  <w:style w:type="paragraph" w:customStyle="1" w:styleId="fifthlevelulpubs">
    <w:name w:val="fifthlevel_ul_pubs"/>
    <w:basedOn w:val="Normal"/>
    <w:uiPriority w:val="99"/>
    <w:rsid w:val="00DD485C"/>
    <w:rPr>
      <w:rFonts w:eastAsia="Times New Roman"/>
      <w:lang w:val="es-ES"/>
    </w:rPr>
  </w:style>
  <w:style w:type="paragraph" w:customStyle="1" w:styleId="fifthlevelulsu">
    <w:name w:val="fifthlevel_ul_su"/>
    <w:basedOn w:val="Normal"/>
    <w:uiPriority w:val="99"/>
    <w:rsid w:val="00DD485C"/>
    <w:rPr>
      <w:rFonts w:eastAsia="Times New Roman"/>
      <w:lang w:val="es-ES"/>
    </w:rPr>
  </w:style>
  <w:style w:type="paragraph" w:customStyle="1" w:styleId="thirdlevellistnr">
    <w:name w:val="thirdlevel_list_n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nr">
    <w:name w:val="fourthlevel_list_n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nr">
    <w:name w:val="thirdlevel_list_active_ns_n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nr">
    <w:name w:val="fourthlevel_list_active_ns_n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nr">
    <w:name w:val="thirdlevel_list_active_ws_n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nr">
    <w:name w:val="fourthlevel_list_active_ws_n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gp">
    <w:name w:val="thirdlevel_list_g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gp">
    <w:name w:val="fourthlevel_list_g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gp">
    <w:name w:val="thirdlevel_list_active_ns_g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gp">
    <w:name w:val="fourthlevel_list_active_ns_g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gp">
    <w:name w:val="thirdlevel_list_active_ws_g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gp">
    <w:name w:val="fourthlevel_list_active_ws_g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rp">
    <w:name w:val="thirdlevel_list_r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rp">
    <w:name w:val="fourthlevel_list_r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rp">
    <w:name w:val="thirdlevel_list_active_ns_r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rp">
    <w:name w:val="fourthlevel_list_active_ns_r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rp">
    <w:name w:val="thirdlevel_list_active_ws_r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rp">
    <w:name w:val="fourthlevel_list_active_ws_r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pr">
    <w:name w:val="thirdlevel_list_p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pr">
    <w:name w:val="fourthlevel_list_p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pr">
    <w:name w:val="thirdlevel_list_active_ns_p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pr">
    <w:name w:val="fourthlevel_list_active_ns_p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pr">
    <w:name w:val="thirdlevel_list_active_ws_p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pr">
    <w:name w:val="fourthlevel_list_active_ws_p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tools">
    <w:name w:val="thirdlevel_list_tool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tools">
    <w:name w:val="fourthlevel_list_tool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tools">
    <w:name w:val="thirdlevel_list_active_ns_tool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tools">
    <w:name w:val="fourthlevel_list_active_ns_tool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tools">
    <w:name w:val="thirdlevel_list_active_ws_tool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tools">
    <w:name w:val="fourthlevel_list_active_ws_tool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pubs">
    <w:name w:val="thirdlevel_list_pub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pubs">
    <w:name w:val="fourthlevel_list_pub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pubs">
    <w:name w:val="thirdlevel_list_active_ns_pub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pubs">
    <w:name w:val="fourthlevel_list_active_ns_pub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pubs">
    <w:name w:val="thirdlevel_list_active_ws_pub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pubs">
    <w:name w:val="fourthlevel_list_active_ws_pub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su">
    <w:name w:val="thirdlevel_list_su"/>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su">
    <w:name w:val="fourthlevel_list_su"/>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su">
    <w:name w:val="thirdlevel_list_active_ns_su"/>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su">
    <w:name w:val="fourthlevel_list_active_ns_su"/>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su">
    <w:name w:val="thirdlevel_list_active_ws_su"/>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su">
    <w:name w:val="fourthlevel_list_active_ws_su"/>
    <w:basedOn w:val="Normal"/>
    <w:uiPriority w:val="99"/>
    <w:rsid w:val="00DD485C"/>
    <w:pPr>
      <w:spacing w:before="100" w:beforeAutospacing="1" w:after="100" w:afterAutospacing="1"/>
    </w:pPr>
    <w:rPr>
      <w:rFonts w:eastAsia="Times New Roman"/>
      <w:color w:val="333333"/>
      <w:lang w:val="es-ES"/>
    </w:rPr>
  </w:style>
  <w:style w:type="paragraph" w:customStyle="1" w:styleId="fifthlevellistnr">
    <w:name w:val="fifthlevel_list_nr"/>
    <w:basedOn w:val="Normal"/>
    <w:uiPriority w:val="99"/>
    <w:rsid w:val="00DD485C"/>
    <w:pPr>
      <w:spacing w:before="100" w:beforeAutospacing="1" w:after="100" w:afterAutospacing="1"/>
    </w:pPr>
    <w:rPr>
      <w:rFonts w:eastAsia="Times New Roman"/>
      <w:color w:val="333333"/>
      <w:lang w:val="es-ES"/>
    </w:rPr>
  </w:style>
  <w:style w:type="paragraph" w:customStyle="1" w:styleId="fifthlevellistgp">
    <w:name w:val="fifthlevel_list_gp"/>
    <w:basedOn w:val="Normal"/>
    <w:uiPriority w:val="99"/>
    <w:rsid w:val="00DD485C"/>
    <w:pPr>
      <w:spacing w:before="100" w:beforeAutospacing="1" w:after="100" w:afterAutospacing="1"/>
    </w:pPr>
    <w:rPr>
      <w:rFonts w:eastAsia="Times New Roman"/>
      <w:color w:val="333333"/>
      <w:lang w:val="es-ES"/>
    </w:rPr>
  </w:style>
  <w:style w:type="paragraph" w:customStyle="1" w:styleId="fifthlevellistrp">
    <w:name w:val="fifthlevel_list_rp"/>
    <w:basedOn w:val="Normal"/>
    <w:uiPriority w:val="99"/>
    <w:rsid w:val="00DD485C"/>
    <w:pPr>
      <w:spacing w:before="100" w:beforeAutospacing="1" w:after="100" w:afterAutospacing="1"/>
    </w:pPr>
    <w:rPr>
      <w:rFonts w:eastAsia="Times New Roman"/>
      <w:color w:val="333333"/>
      <w:lang w:val="es-ES"/>
    </w:rPr>
  </w:style>
  <w:style w:type="paragraph" w:customStyle="1" w:styleId="fifthlevellistpr">
    <w:name w:val="fifthlevel_list_pr"/>
    <w:basedOn w:val="Normal"/>
    <w:uiPriority w:val="99"/>
    <w:rsid w:val="00DD485C"/>
    <w:pPr>
      <w:spacing w:before="100" w:beforeAutospacing="1" w:after="100" w:afterAutospacing="1"/>
    </w:pPr>
    <w:rPr>
      <w:rFonts w:eastAsia="Times New Roman"/>
      <w:color w:val="333333"/>
      <w:lang w:val="es-ES"/>
    </w:rPr>
  </w:style>
  <w:style w:type="paragraph" w:customStyle="1" w:styleId="fifthlevellisttools">
    <w:name w:val="fifthlevel_list_tools"/>
    <w:basedOn w:val="Normal"/>
    <w:uiPriority w:val="99"/>
    <w:rsid w:val="00DD485C"/>
    <w:pPr>
      <w:spacing w:before="100" w:beforeAutospacing="1" w:after="100" w:afterAutospacing="1"/>
    </w:pPr>
    <w:rPr>
      <w:rFonts w:eastAsia="Times New Roman"/>
      <w:color w:val="333333"/>
      <w:lang w:val="es-ES"/>
    </w:rPr>
  </w:style>
  <w:style w:type="paragraph" w:customStyle="1" w:styleId="fifthlevellistpubs">
    <w:name w:val="fifthlevel_list_pubs"/>
    <w:basedOn w:val="Normal"/>
    <w:uiPriority w:val="99"/>
    <w:rsid w:val="00DD485C"/>
    <w:pPr>
      <w:spacing w:before="100" w:beforeAutospacing="1" w:after="100" w:afterAutospacing="1"/>
    </w:pPr>
    <w:rPr>
      <w:rFonts w:eastAsia="Times New Roman"/>
      <w:color w:val="333333"/>
      <w:lang w:val="es-ES"/>
    </w:rPr>
  </w:style>
  <w:style w:type="paragraph" w:customStyle="1" w:styleId="fifthlevellistsu">
    <w:name w:val="fifthlevel_list_su"/>
    <w:basedOn w:val="Normal"/>
    <w:uiPriority w:val="99"/>
    <w:rsid w:val="00DD485C"/>
    <w:pPr>
      <w:spacing w:before="100" w:beforeAutospacing="1" w:after="100" w:afterAutospacing="1"/>
    </w:pPr>
    <w:rPr>
      <w:rFonts w:eastAsia="Times New Roman"/>
      <w:color w:val="333333"/>
      <w:lang w:val="es-ES"/>
    </w:rPr>
  </w:style>
  <w:style w:type="paragraph" w:customStyle="1" w:styleId="fifthlevellistactivenr">
    <w:name w:val="fifthlevel_list_active_nr"/>
    <w:basedOn w:val="Normal"/>
    <w:uiPriority w:val="99"/>
    <w:rsid w:val="00DD485C"/>
    <w:pPr>
      <w:shd w:val="clear" w:color="auto" w:fill="FACBCF"/>
      <w:spacing w:before="100" w:beforeAutospacing="1" w:after="100" w:afterAutospacing="1"/>
    </w:pPr>
    <w:rPr>
      <w:rFonts w:eastAsia="Times New Roman"/>
      <w:color w:val="333333"/>
      <w:lang w:val="es-ES"/>
    </w:rPr>
  </w:style>
  <w:style w:type="paragraph" w:customStyle="1" w:styleId="fifthlevellistactivegp">
    <w:name w:val="fifthlevel_list_active_gp"/>
    <w:basedOn w:val="Normal"/>
    <w:uiPriority w:val="99"/>
    <w:rsid w:val="00DD485C"/>
    <w:pPr>
      <w:shd w:val="clear" w:color="auto" w:fill="F5EAC8"/>
      <w:spacing w:before="100" w:beforeAutospacing="1" w:after="100" w:afterAutospacing="1"/>
    </w:pPr>
    <w:rPr>
      <w:rFonts w:eastAsia="Times New Roman"/>
      <w:color w:val="333333"/>
      <w:lang w:val="es-ES"/>
    </w:rPr>
  </w:style>
  <w:style w:type="paragraph" w:customStyle="1" w:styleId="fifthlevellistactiverp">
    <w:name w:val="fifthlevel_list_active_rp"/>
    <w:basedOn w:val="Normal"/>
    <w:uiPriority w:val="99"/>
    <w:rsid w:val="00DD485C"/>
    <w:pPr>
      <w:shd w:val="clear" w:color="auto" w:fill="CCE4CB"/>
      <w:spacing w:before="100" w:beforeAutospacing="1" w:after="100" w:afterAutospacing="1"/>
    </w:pPr>
    <w:rPr>
      <w:rFonts w:eastAsia="Times New Roman"/>
      <w:color w:val="333333"/>
      <w:lang w:val="es-ES"/>
    </w:rPr>
  </w:style>
  <w:style w:type="paragraph" w:customStyle="1" w:styleId="fifthlevellistactivepr">
    <w:name w:val="fifthlevel_list_active_pr"/>
    <w:basedOn w:val="Normal"/>
    <w:uiPriority w:val="99"/>
    <w:rsid w:val="00DD485C"/>
    <w:pPr>
      <w:shd w:val="clear" w:color="auto" w:fill="C7D9D8"/>
      <w:spacing w:before="100" w:beforeAutospacing="1" w:after="100" w:afterAutospacing="1"/>
    </w:pPr>
    <w:rPr>
      <w:rFonts w:eastAsia="Times New Roman"/>
      <w:color w:val="333333"/>
      <w:lang w:val="es-ES"/>
    </w:rPr>
  </w:style>
  <w:style w:type="paragraph" w:customStyle="1" w:styleId="fifthlevellistactivetools">
    <w:name w:val="fifthlevel_list_active_tools"/>
    <w:basedOn w:val="Normal"/>
    <w:uiPriority w:val="99"/>
    <w:rsid w:val="00DD485C"/>
    <w:pPr>
      <w:shd w:val="clear" w:color="auto" w:fill="E2E2CB"/>
      <w:spacing w:before="100" w:beforeAutospacing="1" w:after="100" w:afterAutospacing="1"/>
    </w:pPr>
    <w:rPr>
      <w:rFonts w:eastAsia="Times New Roman"/>
      <w:color w:val="333333"/>
      <w:lang w:val="es-ES"/>
    </w:rPr>
  </w:style>
  <w:style w:type="paragraph" w:customStyle="1" w:styleId="fifthlevellistactivepubs">
    <w:name w:val="fifthlevel_list_active_pubs"/>
    <w:basedOn w:val="Normal"/>
    <w:uiPriority w:val="99"/>
    <w:rsid w:val="00DD485C"/>
    <w:pPr>
      <w:shd w:val="clear" w:color="auto" w:fill="DDCFDC"/>
      <w:spacing w:before="100" w:beforeAutospacing="1" w:after="100" w:afterAutospacing="1"/>
    </w:pPr>
    <w:rPr>
      <w:rFonts w:eastAsia="Times New Roman"/>
      <w:color w:val="333333"/>
      <w:lang w:val="es-ES"/>
    </w:rPr>
  </w:style>
  <w:style w:type="paragraph" w:customStyle="1" w:styleId="fifthlevellistactivesu">
    <w:name w:val="fifthlevel_list_active_su"/>
    <w:basedOn w:val="Normal"/>
    <w:uiPriority w:val="99"/>
    <w:rsid w:val="00DD485C"/>
    <w:pPr>
      <w:shd w:val="clear" w:color="auto" w:fill="E1ECF3"/>
      <w:spacing w:before="100" w:beforeAutospacing="1" w:after="100" w:afterAutospacing="1"/>
    </w:pPr>
    <w:rPr>
      <w:rFonts w:eastAsia="Times New Roman"/>
      <w:color w:val="333333"/>
      <w:lang w:val="es-ES"/>
    </w:rPr>
  </w:style>
  <w:style w:type="paragraph" w:customStyle="1" w:styleId="titledividelevel3nr">
    <w:name w:val="titledivide_level3_nr"/>
    <w:basedOn w:val="Normal"/>
    <w:uiPriority w:val="99"/>
    <w:rsid w:val="00DD485C"/>
    <w:pPr>
      <w:shd w:val="clear" w:color="auto" w:fill="CC0000"/>
      <w:spacing w:before="45" w:after="45"/>
    </w:pPr>
    <w:rPr>
      <w:rFonts w:eastAsia="Times New Roman"/>
      <w:b/>
      <w:bCs/>
      <w:color w:val="FFFFFF"/>
      <w:lang w:val="es-ES"/>
    </w:rPr>
  </w:style>
  <w:style w:type="paragraph" w:customStyle="1" w:styleId="titledividelevel4nr">
    <w:name w:val="titledivide_level4_nr"/>
    <w:basedOn w:val="Normal"/>
    <w:uiPriority w:val="99"/>
    <w:rsid w:val="00DD485C"/>
    <w:pPr>
      <w:shd w:val="clear" w:color="auto" w:fill="CC0000"/>
      <w:spacing w:before="45" w:after="45"/>
    </w:pPr>
    <w:rPr>
      <w:rFonts w:eastAsia="Times New Roman"/>
      <w:b/>
      <w:bCs/>
      <w:color w:val="FFFFFF"/>
      <w:lang w:val="es-ES"/>
    </w:rPr>
  </w:style>
  <w:style w:type="paragraph" w:customStyle="1" w:styleId="titledividelevel5nr">
    <w:name w:val="titledivide_level5_nr"/>
    <w:basedOn w:val="Normal"/>
    <w:uiPriority w:val="99"/>
    <w:rsid w:val="00DD485C"/>
    <w:pPr>
      <w:shd w:val="clear" w:color="auto" w:fill="CC0000"/>
      <w:spacing w:before="45" w:after="45"/>
    </w:pPr>
    <w:rPr>
      <w:rFonts w:eastAsia="Times New Roman"/>
      <w:b/>
      <w:bCs/>
      <w:color w:val="FFFFFF"/>
      <w:lang w:val="es-ES"/>
    </w:rPr>
  </w:style>
  <w:style w:type="paragraph" w:customStyle="1" w:styleId="titledividelevel3gp">
    <w:name w:val="titledivide_level3_gp"/>
    <w:basedOn w:val="Normal"/>
    <w:uiPriority w:val="99"/>
    <w:rsid w:val="00DD485C"/>
    <w:pPr>
      <w:shd w:val="clear" w:color="auto" w:fill="FF9933"/>
      <w:spacing w:before="45" w:after="45"/>
    </w:pPr>
    <w:rPr>
      <w:rFonts w:eastAsia="Times New Roman"/>
      <w:b/>
      <w:bCs/>
      <w:color w:val="FFFFFF"/>
      <w:lang w:val="es-ES"/>
    </w:rPr>
  </w:style>
  <w:style w:type="paragraph" w:customStyle="1" w:styleId="titledividelevel4gp">
    <w:name w:val="titledivide_level4_gp"/>
    <w:basedOn w:val="Normal"/>
    <w:uiPriority w:val="99"/>
    <w:rsid w:val="00DD485C"/>
    <w:pPr>
      <w:shd w:val="clear" w:color="auto" w:fill="FF9933"/>
      <w:spacing w:before="45" w:after="45"/>
    </w:pPr>
    <w:rPr>
      <w:rFonts w:eastAsia="Times New Roman"/>
      <w:b/>
      <w:bCs/>
      <w:color w:val="FFFFFF"/>
      <w:lang w:val="es-ES"/>
    </w:rPr>
  </w:style>
  <w:style w:type="paragraph" w:customStyle="1" w:styleId="titledividelevel5gp">
    <w:name w:val="titledivide_level5_gp"/>
    <w:basedOn w:val="Normal"/>
    <w:uiPriority w:val="99"/>
    <w:rsid w:val="00DD485C"/>
    <w:pPr>
      <w:shd w:val="clear" w:color="auto" w:fill="FF9933"/>
      <w:spacing w:before="45" w:after="45"/>
    </w:pPr>
    <w:rPr>
      <w:rFonts w:eastAsia="Times New Roman"/>
      <w:b/>
      <w:bCs/>
      <w:color w:val="FFFFFF"/>
      <w:lang w:val="es-ES"/>
    </w:rPr>
  </w:style>
  <w:style w:type="paragraph" w:customStyle="1" w:styleId="titledividelevel3rp">
    <w:name w:val="titledivide_level3_rp"/>
    <w:basedOn w:val="Normal"/>
    <w:uiPriority w:val="99"/>
    <w:rsid w:val="00DD485C"/>
    <w:pPr>
      <w:shd w:val="clear" w:color="auto" w:fill="66CC66"/>
      <w:spacing w:before="45" w:after="45"/>
    </w:pPr>
    <w:rPr>
      <w:rFonts w:eastAsia="Times New Roman"/>
      <w:b/>
      <w:bCs/>
      <w:color w:val="FFFFFF"/>
      <w:lang w:val="es-ES"/>
    </w:rPr>
  </w:style>
  <w:style w:type="paragraph" w:customStyle="1" w:styleId="titledividelevel4rp">
    <w:name w:val="titledivide_level4_rp"/>
    <w:basedOn w:val="Normal"/>
    <w:uiPriority w:val="99"/>
    <w:rsid w:val="00DD485C"/>
    <w:pPr>
      <w:shd w:val="clear" w:color="auto" w:fill="66CC66"/>
      <w:spacing w:before="45" w:after="45"/>
    </w:pPr>
    <w:rPr>
      <w:rFonts w:eastAsia="Times New Roman"/>
      <w:b/>
      <w:bCs/>
      <w:color w:val="FFFFFF"/>
      <w:lang w:val="es-ES"/>
    </w:rPr>
  </w:style>
  <w:style w:type="paragraph" w:customStyle="1" w:styleId="titledividelevel5rp">
    <w:name w:val="titledivide_level5_rp"/>
    <w:basedOn w:val="Normal"/>
    <w:uiPriority w:val="99"/>
    <w:rsid w:val="00DD485C"/>
    <w:pPr>
      <w:shd w:val="clear" w:color="auto" w:fill="66CC66"/>
      <w:spacing w:before="45" w:after="45"/>
    </w:pPr>
    <w:rPr>
      <w:rFonts w:eastAsia="Times New Roman"/>
      <w:b/>
      <w:bCs/>
      <w:color w:val="FFFFFF"/>
      <w:lang w:val="es-ES"/>
    </w:rPr>
  </w:style>
  <w:style w:type="paragraph" w:customStyle="1" w:styleId="titledividelevel3pr">
    <w:name w:val="titledivide_level3_pr"/>
    <w:basedOn w:val="Normal"/>
    <w:uiPriority w:val="99"/>
    <w:rsid w:val="00DD485C"/>
    <w:pPr>
      <w:shd w:val="clear" w:color="auto" w:fill="339999"/>
      <w:spacing w:before="45" w:after="45"/>
    </w:pPr>
    <w:rPr>
      <w:rFonts w:eastAsia="Times New Roman"/>
      <w:b/>
      <w:bCs/>
      <w:color w:val="FFFFFF"/>
      <w:lang w:val="es-ES"/>
    </w:rPr>
  </w:style>
  <w:style w:type="paragraph" w:customStyle="1" w:styleId="titledividelevel4pr">
    <w:name w:val="titledivide_level4_pr"/>
    <w:basedOn w:val="Normal"/>
    <w:uiPriority w:val="99"/>
    <w:rsid w:val="00DD485C"/>
    <w:pPr>
      <w:shd w:val="clear" w:color="auto" w:fill="339999"/>
      <w:spacing w:before="45" w:after="45"/>
    </w:pPr>
    <w:rPr>
      <w:rFonts w:eastAsia="Times New Roman"/>
      <w:b/>
      <w:bCs/>
      <w:color w:val="FFFFFF"/>
      <w:lang w:val="es-ES"/>
    </w:rPr>
  </w:style>
  <w:style w:type="paragraph" w:customStyle="1" w:styleId="titledividelevel5pr">
    <w:name w:val="titledivide_level5_pr"/>
    <w:basedOn w:val="Normal"/>
    <w:uiPriority w:val="99"/>
    <w:rsid w:val="00DD485C"/>
    <w:pPr>
      <w:shd w:val="clear" w:color="auto" w:fill="339999"/>
      <w:spacing w:before="45" w:after="45"/>
    </w:pPr>
    <w:rPr>
      <w:rFonts w:eastAsia="Times New Roman"/>
      <w:b/>
      <w:bCs/>
      <w:color w:val="FFFFFF"/>
      <w:lang w:val="es-ES"/>
    </w:rPr>
  </w:style>
  <w:style w:type="paragraph" w:customStyle="1" w:styleId="titledividelevel3tools">
    <w:name w:val="titledivide_level3_tools"/>
    <w:basedOn w:val="Normal"/>
    <w:uiPriority w:val="99"/>
    <w:rsid w:val="00DD485C"/>
    <w:pPr>
      <w:shd w:val="clear" w:color="auto" w:fill="CCCC99"/>
      <w:spacing w:before="45" w:after="45"/>
    </w:pPr>
    <w:rPr>
      <w:rFonts w:eastAsia="Times New Roman"/>
      <w:b/>
      <w:bCs/>
      <w:color w:val="FFFFFF"/>
      <w:lang w:val="es-ES"/>
    </w:rPr>
  </w:style>
  <w:style w:type="paragraph" w:customStyle="1" w:styleId="titledividelevel4tools">
    <w:name w:val="titledivide_level4_tools"/>
    <w:basedOn w:val="Normal"/>
    <w:uiPriority w:val="99"/>
    <w:rsid w:val="00DD485C"/>
    <w:pPr>
      <w:shd w:val="clear" w:color="auto" w:fill="CCCC99"/>
      <w:spacing w:before="45" w:after="45"/>
    </w:pPr>
    <w:rPr>
      <w:rFonts w:eastAsia="Times New Roman"/>
      <w:b/>
      <w:bCs/>
      <w:color w:val="FFFFFF"/>
      <w:lang w:val="es-ES"/>
    </w:rPr>
  </w:style>
  <w:style w:type="paragraph" w:customStyle="1" w:styleId="titledividelevel5tools">
    <w:name w:val="titledivide_level5_tools"/>
    <w:basedOn w:val="Normal"/>
    <w:uiPriority w:val="99"/>
    <w:rsid w:val="00DD485C"/>
    <w:pPr>
      <w:shd w:val="clear" w:color="auto" w:fill="CCCC99"/>
      <w:spacing w:before="45" w:after="45"/>
    </w:pPr>
    <w:rPr>
      <w:rFonts w:eastAsia="Times New Roman"/>
      <w:b/>
      <w:bCs/>
      <w:color w:val="FFFFFF"/>
      <w:lang w:val="es-ES"/>
    </w:rPr>
  </w:style>
  <w:style w:type="paragraph" w:customStyle="1" w:styleId="titledividelevel3pubs">
    <w:name w:val="titledivide_level3_pubs"/>
    <w:basedOn w:val="Normal"/>
    <w:uiPriority w:val="99"/>
    <w:rsid w:val="00DD485C"/>
    <w:pPr>
      <w:shd w:val="clear" w:color="auto" w:fill="996699"/>
      <w:spacing w:before="45" w:after="45"/>
    </w:pPr>
    <w:rPr>
      <w:rFonts w:eastAsia="Times New Roman"/>
      <w:b/>
      <w:bCs/>
      <w:color w:val="FFFFFF"/>
      <w:lang w:val="es-ES"/>
    </w:rPr>
  </w:style>
  <w:style w:type="paragraph" w:customStyle="1" w:styleId="titledividelevel4pubs">
    <w:name w:val="titledivide_level4_pubs"/>
    <w:basedOn w:val="Normal"/>
    <w:uiPriority w:val="99"/>
    <w:rsid w:val="00DD485C"/>
    <w:pPr>
      <w:shd w:val="clear" w:color="auto" w:fill="996699"/>
      <w:spacing w:before="45" w:after="45"/>
    </w:pPr>
    <w:rPr>
      <w:rFonts w:eastAsia="Times New Roman"/>
      <w:b/>
      <w:bCs/>
      <w:color w:val="FFFFFF"/>
      <w:lang w:val="es-ES"/>
    </w:rPr>
  </w:style>
  <w:style w:type="paragraph" w:customStyle="1" w:styleId="titledividelevel5pubs">
    <w:name w:val="titledivide_level5_pubs"/>
    <w:basedOn w:val="Normal"/>
    <w:uiPriority w:val="99"/>
    <w:rsid w:val="00DD485C"/>
    <w:pPr>
      <w:shd w:val="clear" w:color="auto" w:fill="996699"/>
      <w:spacing w:before="45" w:after="45"/>
    </w:pPr>
    <w:rPr>
      <w:rFonts w:eastAsia="Times New Roman"/>
      <w:b/>
      <w:bCs/>
      <w:color w:val="FFFFFF"/>
      <w:lang w:val="es-ES"/>
    </w:rPr>
  </w:style>
  <w:style w:type="paragraph" w:customStyle="1" w:styleId="titledividelevel3su">
    <w:name w:val="titledivide_level3_su"/>
    <w:basedOn w:val="Normal"/>
    <w:uiPriority w:val="99"/>
    <w:rsid w:val="00DD485C"/>
    <w:pPr>
      <w:shd w:val="clear" w:color="auto" w:fill="6699CC"/>
      <w:spacing w:before="45" w:after="45"/>
    </w:pPr>
    <w:rPr>
      <w:rFonts w:eastAsia="Times New Roman"/>
      <w:b/>
      <w:bCs/>
      <w:color w:val="FFFFFF"/>
      <w:lang w:val="es-ES"/>
    </w:rPr>
  </w:style>
  <w:style w:type="paragraph" w:customStyle="1" w:styleId="titledividelevel4su">
    <w:name w:val="titledivide_level4_su"/>
    <w:basedOn w:val="Normal"/>
    <w:uiPriority w:val="99"/>
    <w:rsid w:val="00DD485C"/>
    <w:pPr>
      <w:shd w:val="clear" w:color="auto" w:fill="6699CC"/>
      <w:spacing w:before="45" w:after="45"/>
    </w:pPr>
    <w:rPr>
      <w:rFonts w:eastAsia="Times New Roman"/>
      <w:b/>
      <w:bCs/>
      <w:color w:val="FFFFFF"/>
      <w:lang w:val="es-ES"/>
    </w:rPr>
  </w:style>
  <w:style w:type="paragraph" w:customStyle="1" w:styleId="titledividelevel5su">
    <w:name w:val="titledivide_level5_su"/>
    <w:basedOn w:val="Normal"/>
    <w:uiPriority w:val="99"/>
    <w:rsid w:val="00DD485C"/>
    <w:pPr>
      <w:shd w:val="clear" w:color="auto" w:fill="6699CC"/>
      <w:spacing w:before="45" w:after="45"/>
    </w:pPr>
    <w:rPr>
      <w:rFonts w:eastAsia="Times New Roman"/>
      <w:b/>
      <w:bCs/>
      <w:color w:val="FFFFFF"/>
      <w:lang w:val="es-ES"/>
    </w:rPr>
  </w:style>
  <w:style w:type="paragraph" w:customStyle="1" w:styleId="searchinputbox">
    <w:name w:val="searchinputbox"/>
    <w:basedOn w:val="Normal"/>
    <w:uiPriority w:val="99"/>
    <w:rsid w:val="00DD485C"/>
    <w:pPr>
      <w:pBdr>
        <w:top w:val="single" w:sz="6" w:space="0" w:color="666666"/>
        <w:left w:val="single" w:sz="6" w:space="2" w:color="666666"/>
        <w:bottom w:val="single" w:sz="6" w:space="0" w:color="666666"/>
        <w:right w:val="single" w:sz="6" w:space="0" w:color="666666"/>
      </w:pBdr>
      <w:shd w:val="clear" w:color="auto" w:fill="E7E7E7"/>
      <w:spacing w:before="100" w:beforeAutospacing="1" w:after="100" w:afterAutospacing="1"/>
      <w:textAlignment w:val="center"/>
    </w:pPr>
    <w:rPr>
      <w:rFonts w:eastAsia="Times New Roman"/>
      <w:color w:val="333333"/>
      <w:lang w:val="es-ES"/>
    </w:rPr>
  </w:style>
  <w:style w:type="paragraph" w:customStyle="1" w:styleId="leftnavboxnr">
    <w:name w:val="leftnavbox_nr"/>
    <w:basedOn w:val="Normal"/>
    <w:uiPriority w:val="99"/>
    <w:rsid w:val="00DD485C"/>
    <w:pPr>
      <w:shd w:val="clear" w:color="auto" w:fill="CC0000"/>
      <w:spacing w:before="100" w:beforeAutospacing="1" w:after="100" w:afterAutospacing="1"/>
    </w:pPr>
    <w:rPr>
      <w:rFonts w:eastAsia="Times New Roman"/>
      <w:lang w:val="es-ES"/>
    </w:rPr>
  </w:style>
  <w:style w:type="paragraph" w:customStyle="1" w:styleId="leftnavboxgp">
    <w:name w:val="leftnavbox_gp"/>
    <w:basedOn w:val="Normal"/>
    <w:uiPriority w:val="99"/>
    <w:rsid w:val="00DD485C"/>
    <w:pPr>
      <w:shd w:val="clear" w:color="auto" w:fill="FF9933"/>
      <w:spacing w:before="100" w:beforeAutospacing="1" w:after="100" w:afterAutospacing="1"/>
    </w:pPr>
    <w:rPr>
      <w:rFonts w:eastAsia="Times New Roman"/>
      <w:lang w:val="es-ES"/>
    </w:rPr>
  </w:style>
  <w:style w:type="paragraph" w:customStyle="1" w:styleId="leftnavboxrp">
    <w:name w:val="leftnavbox_rp"/>
    <w:basedOn w:val="Normal"/>
    <w:uiPriority w:val="99"/>
    <w:rsid w:val="00DD485C"/>
    <w:pPr>
      <w:shd w:val="clear" w:color="auto" w:fill="66CC66"/>
      <w:spacing w:before="100" w:beforeAutospacing="1" w:after="100" w:afterAutospacing="1"/>
    </w:pPr>
    <w:rPr>
      <w:rFonts w:eastAsia="Times New Roman"/>
      <w:lang w:val="es-ES"/>
    </w:rPr>
  </w:style>
  <w:style w:type="paragraph" w:customStyle="1" w:styleId="leftnavboxpr">
    <w:name w:val="leftnavbox_pr"/>
    <w:basedOn w:val="Normal"/>
    <w:uiPriority w:val="99"/>
    <w:rsid w:val="00DD485C"/>
    <w:pPr>
      <w:shd w:val="clear" w:color="auto" w:fill="669999"/>
      <w:spacing w:before="100" w:beforeAutospacing="1" w:after="100" w:afterAutospacing="1"/>
    </w:pPr>
    <w:rPr>
      <w:rFonts w:eastAsia="Times New Roman"/>
      <w:lang w:val="es-ES"/>
    </w:rPr>
  </w:style>
  <w:style w:type="paragraph" w:customStyle="1" w:styleId="leftnavboxtools">
    <w:name w:val="leftnavbox_tools"/>
    <w:basedOn w:val="Normal"/>
    <w:uiPriority w:val="99"/>
    <w:rsid w:val="00DD485C"/>
    <w:pPr>
      <w:shd w:val="clear" w:color="auto" w:fill="CCCC99"/>
      <w:spacing w:before="100" w:beforeAutospacing="1" w:after="100" w:afterAutospacing="1"/>
    </w:pPr>
    <w:rPr>
      <w:rFonts w:eastAsia="Times New Roman"/>
      <w:lang w:val="es-ES"/>
    </w:rPr>
  </w:style>
  <w:style w:type="paragraph" w:customStyle="1" w:styleId="leftnavboxpubs">
    <w:name w:val="leftnavbox_pubs"/>
    <w:basedOn w:val="Normal"/>
    <w:uiPriority w:val="99"/>
    <w:rsid w:val="00DD485C"/>
    <w:pPr>
      <w:shd w:val="clear" w:color="auto" w:fill="996699"/>
      <w:spacing w:before="100" w:beforeAutospacing="1" w:after="100" w:afterAutospacing="1"/>
    </w:pPr>
    <w:rPr>
      <w:rFonts w:eastAsia="Times New Roman"/>
      <w:lang w:val="es-ES"/>
    </w:rPr>
  </w:style>
  <w:style w:type="paragraph" w:customStyle="1" w:styleId="leftnavboxsu">
    <w:name w:val="leftnavbox_su"/>
    <w:basedOn w:val="Normal"/>
    <w:uiPriority w:val="99"/>
    <w:rsid w:val="00DD485C"/>
    <w:pPr>
      <w:shd w:val="clear" w:color="auto" w:fill="6699CC"/>
      <w:spacing w:before="100" w:beforeAutospacing="1" w:after="100" w:afterAutospacing="1"/>
    </w:pPr>
    <w:rPr>
      <w:rFonts w:eastAsia="Times New Roman"/>
      <w:lang w:val="es-ES"/>
    </w:rPr>
  </w:style>
  <w:style w:type="paragraph" w:customStyle="1" w:styleId="intropicboxnr">
    <w:name w:val="intropicbox_nr"/>
    <w:basedOn w:val="Normal"/>
    <w:uiPriority w:val="99"/>
    <w:rsid w:val="00DD485C"/>
    <w:pPr>
      <w:pBdr>
        <w:left w:val="single" w:sz="6" w:space="0" w:color="CC0000"/>
        <w:bottom w:val="single" w:sz="6" w:space="0" w:color="CC0000"/>
      </w:pBdr>
      <w:spacing w:before="100" w:beforeAutospacing="1" w:after="100" w:afterAutospacing="1"/>
    </w:pPr>
    <w:rPr>
      <w:rFonts w:eastAsia="Times New Roman"/>
      <w:lang w:val="es-ES"/>
    </w:rPr>
  </w:style>
  <w:style w:type="paragraph" w:customStyle="1" w:styleId="intropicboxgp">
    <w:name w:val="intropicbox_gp"/>
    <w:basedOn w:val="Normal"/>
    <w:uiPriority w:val="99"/>
    <w:rsid w:val="00DD485C"/>
    <w:pPr>
      <w:pBdr>
        <w:left w:val="single" w:sz="6" w:space="0" w:color="FF9933"/>
        <w:bottom w:val="single" w:sz="6" w:space="0" w:color="FF9933"/>
      </w:pBdr>
      <w:spacing w:before="100" w:beforeAutospacing="1" w:after="100" w:afterAutospacing="1"/>
    </w:pPr>
    <w:rPr>
      <w:rFonts w:eastAsia="Times New Roman"/>
      <w:lang w:val="es-ES"/>
    </w:rPr>
  </w:style>
  <w:style w:type="paragraph" w:customStyle="1" w:styleId="intropicboxrp">
    <w:name w:val="intropicbox_rp"/>
    <w:basedOn w:val="Normal"/>
    <w:uiPriority w:val="99"/>
    <w:rsid w:val="00DD485C"/>
    <w:pPr>
      <w:pBdr>
        <w:left w:val="single" w:sz="6" w:space="0" w:color="66CC66"/>
        <w:bottom w:val="single" w:sz="6" w:space="0" w:color="66CC66"/>
      </w:pBdr>
      <w:spacing w:before="100" w:beforeAutospacing="1" w:after="100" w:afterAutospacing="1"/>
    </w:pPr>
    <w:rPr>
      <w:rFonts w:eastAsia="Times New Roman"/>
      <w:lang w:val="es-ES"/>
    </w:rPr>
  </w:style>
  <w:style w:type="paragraph" w:customStyle="1" w:styleId="intropicboxpr">
    <w:name w:val="intropicbox_pr"/>
    <w:basedOn w:val="Normal"/>
    <w:uiPriority w:val="99"/>
    <w:rsid w:val="00DD485C"/>
    <w:pPr>
      <w:pBdr>
        <w:left w:val="single" w:sz="6" w:space="0" w:color="339999"/>
        <w:bottom w:val="single" w:sz="6" w:space="0" w:color="339999"/>
      </w:pBdr>
      <w:spacing w:before="100" w:beforeAutospacing="1" w:after="100" w:afterAutospacing="1"/>
    </w:pPr>
    <w:rPr>
      <w:rFonts w:eastAsia="Times New Roman"/>
      <w:lang w:val="es-ES"/>
    </w:rPr>
  </w:style>
  <w:style w:type="paragraph" w:customStyle="1" w:styleId="intropicboxtools">
    <w:name w:val="intropicbox_tools"/>
    <w:basedOn w:val="Normal"/>
    <w:uiPriority w:val="99"/>
    <w:rsid w:val="00DD485C"/>
    <w:pPr>
      <w:pBdr>
        <w:left w:val="single" w:sz="6" w:space="0" w:color="CCCC99"/>
        <w:bottom w:val="single" w:sz="6" w:space="0" w:color="CCCC99"/>
      </w:pBdr>
      <w:spacing w:before="100" w:beforeAutospacing="1" w:after="100" w:afterAutospacing="1"/>
    </w:pPr>
    <w:rPr>
      <w:rFonts w:eastAsia="Times New Roman"/>
      <w:lang w:val="es-ES"/>
    </w:rPr>
  </w:style>
  <w:style w:type="paragraph" w:customStyle="1" w:styleId="intropicboxpubs">
    <w:name w:val="intropicbox_pubs"/>
    <w:basedOn w:val="Normal"/>
    <w:uiPriority w:val="99"/>
    <w:rsid w:val="00DD485C"/>
    <w:pPr>
      <w:pBdr>
        <w:left w:val="single" w:sz="6" w:space="0" w:color="996699"/>
        <w:bottom w:val="single" w:sz="6" w:space="0" w:color="996699"/>
      </w:pBdr>
      <w:spacing w:before="100" w:beforeAutospacing="1" w:after="100" w:afterAutospacing="1"/>
    </w:pPr>
    <w:rPr>
      <w:rFonts w:eastAsia="Times New Roman"/>
      <w:lang w:val="es-ES"/>
    </w:rPr>
  </w:style>
  <w:style w:type="paragraph" w:customStyle="1" w:styleId="intropicboxsu">
    <w:name w:val="intropicbox_su"/>
    <w:basedOn w:val="Normal"/>
    <w:uiPriority w:val="99"/>
    <w:rsid w:val="00DD485C"/>
    <w:pPr>
      <w:pBdr>
        <w:left w:val="single" w:sz="6" w:space="0" w:color="6699CC"/>
        <w:bottom w:val="single" w:sz="6" w:space="0" w:color="6699CC"/>
      </w:pBdr>
      <w:spacing w:before="100" w:beforeAutospacing="1" w:after="100" w:afterAutospacing="1"/>
    </w:pPr>
    <w:rPr>
      <w:rFonts w:eastAsia="Times New Roman"/>
      <w:lang w:val="es-ES"/>
    </w:rPr>
  </w:style>
  <w:style w:type="paragraph" w:customStyle="1" w:styleId="nlintrotext">
    <w:name w:val="nl_introtext"/>
    <w:basedOn w:val="Normal"/>
    <w:uiPriority w:val="99"/>
    <w:rsid w:val="00DD485C"/>
    <w:pPr>
      <w:spacing w:before="100" w:beforeAutospacing="1" w:after="100" w:afterAutospacing="1"/>
    </w:pPr>
    <w:rPr>
      <w:rFonts w:eastAsia="Times New Roman"/>
      <w:i/>
      <w:iCs/>
      <w:color w:val="333333"/>
      <w:lang w:val="es-ES"/>
    </w:rPr>
  </w:style>
  <w:style w:type="paragraph" w:customStyle="1" w:styleId="introtext">
    <w:name w:val="introtext"/>
    <w:basedOn w:val="Normal"/>
    <w:uiPriority w:val="99"/>
    <w:rsid w:val="00DD485C"/>
    <w:pPr>
      <w:spacing w:before="100" w:beforeAutospacing="1" w:after="100" w:afterAutospacing="1"/>
    </w:pPr>
    <w:rPr>
      <w:rFonts w:eastAsia="Times New Roman"/>
      <w:i/>
      <w:iCs/>
      <w:color w:val="333333"/>
      <w:lang w:val="es-ES"/>
    </w:rPr>
  </w:style>
  <w:style w:type="paragraph" w:customStyle="1" w:styleId="contenttxt">
    <w:name w:val="content_txt"/>
    <w:basedOn w:val="Normal"/>
    <w:uiPriority w:val="99"/>
    <w:rsid w:val="00DD485C"/>
    <w:pPr>
      <w:spacing w:before="100" w:beforeAutospacing="1" w:after="100" w:afterAutospacing="1"/>
    </w:pPr>
    <w:rPr>
      <w:rFonts w:eastAsia="Times New Roman"/>
      <w:lang w:val="es-ES"/>
    </w:rPr>
  </w:style>
  <w:style w:type="paragraph" w:customStyle="1" w:styleId="nlcontenttxt">
    <w:name w:val="nl_content_txt"/>
    <w:basedOn w:val="Normal"/>
    <w:uiPriority w:val="99"/>
    <w:rsid w:val="00DD485C"/>
    <w:pPr>
      <w:spacing w:before="100" w:beforeAutospacing="1" w:after="100" w:afterAutospacing="1" w:line="288" w:lineRule="atLeast"/>
    </w:pPr>
    <w:rPr>
      <w:rFonts w:eastAsia="Times New Roman"/>
      <w:lang w:val="es-ES"/>
    </w:rPr>
  </w:style>
  <w:style w:type="paragraph" w:customStyle="1" w:styleId="contentheadernr">
    <w:name w:val="contentheader_nr"/>
    <w:basedOn w:val="Normal"/>
    <w:uiPriority w:val="99"/>
    <w:rsid w:val="00DD485C"/>
    <w:pPr>
      <w:shd w:val="clear" w:color="auto" w:fill="CC0000"/>
      <w:spacing w:before="100" w:beforeAutospacing="1" w:after="105"/>
    </w:pPr>
    <w:rPr>
      <w:rFonts w:eastAsia="Times New Roman"/>
      <w:b/>
      <w:bCs/>
      <w:color w:val="FFFFFF"/>
      <w:lang w:val="es-ES"/>
    </w:rPr>
  </w:style>
  <w:style w:type="paragraph" w:customStyle="1" w:styleId="contentheadernr2">
    <w:name w:val="contentheader_nr2"/>
    <w:basedOn w:val="Normal"/>
    <w:uiPriority w:val="99"/>
    <w:rsid w:val="00DD485C"/>
    <w:pPr>
      <w:shd w:val="clear" w:color="auto" w:fill="CC4A4C"/>
      <w:spacing w:before="100" w:beforeAutospacing="1" w:after="105"/>
    </w:pPr>
    <w:rPr>
      <w:rFonts w:eastAsia="Times New Roman"/>
      <w:b/>
      <w:bCs/>
      <w:color w:val="FFFFFF"/>
      <w:lang w:val="es-ES"/>
    </w:rPr>
  </w:style>
  <w:style w:type="paragraph" w:customStyle="1" w:styleId="contentheadergp">
    <w:name w:val="contentheader_gp"/>
    <w:basedOn w:val="Normal"/>
    <w:uiPriority w:val="99"/>
    <w:rsid w:val="00DD485C"/>
    <w:pPr>
      <w:shd w:val="clear" w:color="auto" w:fill="FF9933"/>
      <w:spacing w:before="100" w:beforeAutospacing="1" w:after="105"/>
    </w:pPr>
    <w:rPr>
      <w:rFonts w:eastAsia="Times New Roman"/>
      <w:b/>
      <w:bCs/>
      <w:color w:val="FFFFFF"/>
      <w:lang w:val="es-ES"/>
    </w:rPr>
  </w:style>
  <w:style w:type="paragraph" w:customStyle="1" w:styleId="contentheadergp2">
    <w:name w:val="contentheader_gp2"/>
    <w:basedOn w:val="Normal"/>
    <w:uiPriority w:val="99"/>
    <w:rsid w:val="00DD485C"/>
    <w:pPr>
      <w:shd w:val="clear" w:color="auto" w:fill="FFCC99"/>
      <w:spacing w:before="100" w:beforeAutospacing="1" w:after="105"/>
    </w:pPr>
    <w:rPr>
      <w:rFonts w:eastAsia="Times New Roman"/>
      <w:b/>
      <w:bCs/>
      <w:color w:val="FFFFFF"/>
      <w:lang w:val="es-ES"/>
    </w:rPr>
  </w:style>
  <w:style w:type="paragraph" w:customStyle="1" w:styleId="contentheaderrp">
    <w:name w:val="contentheader_rp"/>
    <w:basedOn w:val="Normal"/>
    <w:uiPriority w:val="99"/>
    <w:rsid w:val="00DD485C"/>
    <w:pPr>
      <w:shd w:val="clear" w:color="auto" w:fill="66CC66"/>
      <w:spacing w:before="100" w:beforeAutospacing="1" w:after="105"/>
    </w:pPr>
    <w:rPr>
      <w:rFonts w:eastAsia="Times New Roman"/>
      <w:b/>
      <w:bCs/>
      <w:color w:val="FFFFFF"/>
      <w:lang w:val="es-ES"/>
    </w:rPr>
  </w:style>
  <w:style w:type="paragraph" w:customStyle="1" w:styleId="contentheaderrp2">
    <w:name w:val="contentheader_rp2"/>
    <w:basedOn w:val="Normal"/>
    <w:uiPriority w:val="99"/>
    <w:rsid w:val="00DD485C"/>
    <w:pPr>
      <w:shd w:val="clear" w:color="auto" w:fill="99CC99"/>
      <w:spacing w:before="100" w:beforeAutospacing="1" w:after="105"/>
    </w:pPr>
    <w:rPr>
      <w:rFonts w:eastAsia="Times New Roman"/>
      <w:b/>
      <w:bCs/>
      <w:color w:val="FFFFFF"/>
      <w:lang w:val="es-ES"/>
    </w:rPr>
  </w:style>
  <w:style w:type="paragraph" w:customStyle="1" w:styleId="contentheaderpr">
    <w:name w:val="contentheader_pr"/>
    <w:basedOn w:val="Normal"/>
    <w:uiPriority w:val="99"/>
    <w:rsid w:val="00DD485C"/>
    <w:pPr>
      <w:shd w:val="clear" w:color="auto" w:fill="339999"/>
      <w:spacing w:before="100" w:beforeAutospacing="1" w:after="105"/>
    </w:pPr>
    <w:rPr>
      <w:rFonts w:eastAsia="Times New Roman"/>
      <w:b/>
      <w:bCs/>
      <w:color w:val="FFFFFF"/>
      <w:lang w:val="es-ES"/>
    </w:rPr>
  </w:style>
  <w:style w:type="paragraph" w:customStyle="1" w:styleId="contentheaderpr2">
    <w:name w:val="contentheader_pr2"/>
    <w:basedOn w:val="Normal"/>
    <w:uiPriority w:val="99"/>
    <w:rsid w:val="00DD485C"/>
    <w:pPr>
      <w:shd w:val="clear" w:color="auto" w:fill="99CCCC"/>
      <w:spacing w:before="100" w:beforeAutospacing="1" w:after="105"/>
    </w:pPr>
    <w:rPr>
      <w:rFonts w:eastAsia="Times New Roman"/>
      <w:b/>
      <w:bCs/>
      <w:color w:val="FFFFFF"/>
      <w:lang w:val="es-ES"/>
    </w:rPr>
  </w:style>
  <w:style w:type="paragraph" w:customStyle="1" w:styleId="contentheadertools">
    <w:name w:val="contentheader_tools"/>
    <w:basedOn w:val="Normal"/>
    <w:uiPriority w:val="99"/>
    <w:rsid w:val="00DD485C"/>
    <w:pPr>
      <w:shd w:val="clear" w:color="auto" w:fill="CCCC99"/>
      <w:spacing w:before="100" w:beforeAutospacing="1" w:after="105"/>
    </w:pPr>
    <w:rPr>
      <w:rFonts w:eastAsia="Times New Roman"/>
      <w:b/>
      <w:bCs/>
      <w:color w:val="FFFFFF"/>
      <w:lang w:val="es-ES"/>
    </w:rPr>
  </w:style>
  <w:style w:type="paragraph" w:customStyle="1" w:styleId="contentheadertools2">
    <w:name w:val="contentheader_tools2"/>
    <w:basedOn w:val="Normal"/>
    <w:uiPriority w:val="99"/>
    <w:rsid w:val="00DD485C"/>
    <w:pPr>
      <w:shd w:val="clear" w:color="auto" w:fill="EFEECF"/>
      <w:spacing w:before="100" w:beforeAutospacing="1" w:after="105"/>
    </w:pPr>
    <w:rPr>
      <w:rFonts w:eastAsia="Times New Roman"/>
      <w:b/>
      <w:bCs/>
      <w:color w:val="FFFFFF"/>
      <w:lang w:val="es-ES"/>
    </w:rPr>
  </w:style>
  <w:style w:type="paragraph" w:customStyle="1" w:styleId="contentheaderpubs">
    <w:name w:val="contentheader_pubs"/>
    <w:basedOn w:val="Normal"/>
    <w:uiPriority w:val="99"/>
    <w:rsid w:val="00DD485C"/>
    <w:pPr>
      <w:shd w:val="clear" w:color="auto" w:fill="996699"/>
      <w:spacing w:before="100" w:beforeAutospacing="1" w:after="105"/>
    </w:pPr>
    <w:rPr>
      <w:rFonts w:eastAsia="Times New Roman"/>
      <w:b/>
      <w:bCs/>
      <w:color w:val="FFFFFF"/>
      <w:lang w:val="es-ES"/>
    </w:rPr>
  </w:style>
  <w:style w:type="paragraph" w:customStyle="1" w:styleId="contentheaderpubs2">
    <w:name w:val="contentheader_pubs2"/>
    <w:basedOn w:val="Normal"/>
    <w:uiPriority w:val="99"/>
    <w:rsid w:val="00DD485C"/>
    <w:pPr>
      <w:shd w:val="clear" w:color="auto" w:fill="CC99CC"/>
      <w:spacing w:before="100" w:beforeAutospacing="1" w:after="105"/>
    </w:pPr>
    <w:rPr>
      <w:rFonts w:eastAsia="Times New Roman"/>
      <w:b/>
      <w:bCs/>
      <w:color w:val="FFFFFF"/>
      <w:lang w:val="es-ES"/>
    </w:rPr>
  </w:style>
  <w:style w:type="paragraph" w:customStyle="1" w:styleId="contentheadersu">
    <w:name w:val="contentheader_su"/>
    <w:basedOn w:val="Normal"/>
    <w:uiPriority w:val="99"/>
    <w:rsid w:val="00DD485C"/>
    <w:pPr>
      <w:shd w:val="clear" w:color="auto" w:fill="336699"/>
      <w:spacing w:before="100" w:beforeAutospacing="1" w:after="105"/>
    </w:pPr>
    <w:rPr>
      <w:rFonts w:eastAsia="Times New Roman"/>
      <w:b/>
      <w:bCs/>
      <w:color w:val="FFFFFF"/>
      <w:lang w:val="es-ES"/>
    </w:rPr>
  </w:style>
  <w:style w:type="paragraph" w:customStyle="1" w:styleId="contentheadersu2">
    <w:name w:val="contentheader_su2"/>
    <w:basedOn w:val="Normal"/>
    <w:uiPriority w:val="99"/>
    <w:rsid w:val="00DD485C"/>
    <w:pPr>
      <w:shd w:val="clear" w:color="auto" w:fill="6699CC"/>
      <w:spacing w:before="100" w:beforeAutospacing="1" w:after="105"/>
    </w:pPr>
    <w:rPr>
      <w:rFonts w:eastAsia="Times New Roman"/>
      <w:b/>
      <w:bCs/>
      <w:color w:val="FFFFFF"/>
      <w:lang w:val="es-ES"/>
    </w:rPr>
  </w:style>
  <w:style w:type="paragraph" w:customStyle="1" w:styleId="contentheaderus">
    <w:name w:val="contentheader_us"/>
    <w:basedOn w:val="Normal"/>
    <w:uiPriority w:val="99"/>
    <w:rsid w:val="00DD485C"/>
    <w:pPr>
      <w:shd w:val="clear" w:color="auto" w:fill="336699"/>
      <w:spacing w:before="100" w:beforeAutospacing="1" w:after="105"/>
    </w:pPr>
    <w:rPr>
      <w:rFonts w:eastAsia="Times New Roman"/>
      <w:b/>
      <w:bCs/>
      <w:color w:val="FFFFFF"/>
      <w:lang w:val="es-ES"/>
    </w:rPr>
  </w:style>
  <w:style w:type="paragraph" w:customStyle="1" w:styleId="contentheaderus2">
    <w:name w:val="contentheader_us2"/>
    <w:basedOn w:val="Normal"/>
    <w:uiPriority w:val="99"/>
    <w:rsid w:val="00DD485C"/>
    <w:pPr>
      <w:shd w:val="clear" w:color="auto" w:fill="6699CC"/>
      <w:spacing w:before="100" w:beforeAutospacing="1" w:after="105"/>
    </w:pPr>
    <w:rPr>
      <w:rFonts w:eastAsia="Times New Roman"/>
      <w:b/>
      <w:bCs/>
      <w:color w:val="FFFFFF"/>
      <w:lang w:val="es-ES"/>
    </w:rPr>
  </w:style>
  <w:style w:type="paragraph" w:customStyle="1" w:styleId="infocusiaheader">
    <w:name w:val="infocus_ia_header"/>
    <w:basedOn w:val="Normal"/>
    <w:uiPriority w:val="99"/>
    <w:rsid w:val="00DD485C"/>
    <w:pPr>
      <w:shd w:val="clear" w:color="auto" w:fill="852714"/>
      <w:spacing w:before="100" w:beforeAutospacing="1" w:after="105"/>
    </w:pPr>
    <w:rPr>
      <w:rFonts w:eastAsia="Times New Roman"/>
      <w:b/>
      <w:bCs/>
      <w:color w:val="FFFFFF"/>
      <w:lang w:val="es-ES"/>
    </w:rPr>
  </w:style>
  <w:style w:type="paragraph" w:customStyle="1" w:styleId="contentheaderblue">
    <w:name w:val="contentheader_blue"/>
    <w:basedOn w:val="Normal"/>
    <w:uiPriority w:val="99"/>
    <w:rsid w:val="00DD485C"/>
    <w:pPr>
      <w:shd w:val="clear" w:color="auto" w:fill="6699CC"/>
      <w:spacing w:before="100" w:beforeAutospacing="1" w:after="105"/>
    </w:pPr>
    <w:rPr>
      <w:rFonts w:eastAsia="Times New Roman"/>
      <w:b/>
      <w:bCs/>
      <w:color w:val="FFFFFF"/>
      <w:lang w:val="es-ES"/>
    </w:rPr>
  </w:style>
  <w:style w:type="paragraph" w:customStyle="1" w:styleId="contenttextboxcream">
    <w:name w:val="contenttextbox_cream"/>
    <w:basedOn w:val="Normal"/>
    <w:uiPriority w:val="99"/>
    <w:rsid w:val="00DD485C"/>
    <w:pPr>
      <w:pBdr>
        <w:top w:val="single" w:sz="6" w:space="0" w:color="666666"/>
        <w:left w:val="single" w:sz="6" w:space="4" w:color="666666"/>
        <w:bottom w:val="single" w:sz="6" w:space="0" w:color="666666"/>
        <w:right w:val="single" w:sz="6" w:space="0" w:color="666666"/>
      </w:pBdr>
      <w:shd w:val="clear" w:color="auto" w:fill="F6F7E7"/>
      <w:spacing w:before="100" w:beforeAutospacing="1" w:after="105"/>
    </w:pPr>
    <w:rPr>
      <w:rFonts w:eastAsia="Times New Roman"/>
      <w:color w:val="003366"/>
      <w:lang w:val="es-ES"/>
    </w:rPr>
  </w:style>
  <w:style w:type="paragraph" w:customStyle="1" w:styleId="contenttextboxgrey">
    <w:name w:val="contenttextbox_grey"/>
    <w:basedOn w:val="Normal"/>
    <w:uiPriority w:val="99"/>
    <w:rsid w:val="00DD485C"/>
    <w:pPr>
      <w:pBdr>
        <w:top w:val="single" w:sz="6" w:space="0" w:color="666666"/>
        <w:left w:val="single" w:sz="6" w:space="4" w:color="666666"/>
        <w:bottom w:val="single" w:sz="6" w:space="0" w:color="666666"/>
        <w:right w:val="single" w:sz="6" w:space="0" w:color="666666"/>
      </w:pBdr>
      <w:shd w:val="clear" w:color="auto" w:fill="E7E7E7"/>
      <w:spacing w:before="100" w:beforeAutospacing="1" w:after="105"/>
    </w:pPr>
    <w:rPr>
      <w:rFonts w:eastAsia="Times New Roman"/>
      <w:color w:val="003366"/>
      <w:lang w:val="es-ES"/>
    </w:rPr>
  </w:style>
  <w:style w:type="paragraph" w:customStyle="1" w:styleId="contenttextboxblue">
    <w:name w:val="contenttextbox_blue"/>
    <w:basedOn w:val="Normal"/>
    <w:uiPriority w:val="99"/>
    <w:rsid w:val="00DD485C"/>
    <w:pPr>
      <w:pBdr>
        <w:top w:val="single" w:sz="6" w:space="0" w:color="666666"/>
        <w:left w:val="single" w:sz="6" w:space="4" w:color="666666"/>
        <w:bottom w:val="single" w:sz="6" w:space="0" w:color="666666"/>
        <w:right w:val="single" w:sz="6" w:space="0" w:color="666666"/>
      </w:pBdr>
      <w:shd w:val="clear" w:color="auto" w:fill="D9EBF9"/>
      <w:spacing w:before="100" w:beforeAutospacing="1" w:after="105"/>
    </w:pPr>
    <w:rPr>
      <w:rFonts w:eastAsia="Times New Roman"/>
      <w:color w:val="003366"/>
      <w:lang w:val="es-ES"/>
    </w:rPr>
  </w:style>
  <w:style w:type="paragraph" w:customStyle="1" w:styleId="contenttextboxnr">
    <w:name w:val="contenttextbox_nr"/>
    <w:basedOn w:val="Normal"/>
    <w:uiPriority w:val="99"/>
    <w:rsid w:val="00DD485C"/>
    <w:pPr>
      <w:pBdr>
        <w:top w:val="single" w:sz="6" w:space="0" w:color="CC0000"/>
        <w:left w:val="single" w:sz="6" w:space="4" w:color="CC0000"/>
        <w:bottom w:val="single" w:sz="6" w:space="0" w:color="CC0000"/>
        <w:right w:val="single" w:sz="6" w:space="0" w:color="CC0000"/>
      </w:pBdr>
      <w:shd w:val="clear" w:color="auto" w:fill="CC4A4C"/>
      <w:spacing w:before="100" w:beforeAutospacing="1" w:after="105"/>
    </w:pPr>
    <w:rPr>
      <w:rFonts w:eastAsia="Times New Roman"/>
      <w:color w:val="FFFFFF"/>
      <w:lang w:val="es-ES"/>
    </w:rPr>
  </w:style>
  <w:style w:type="paragraph" w:customStyle="1" w:styleId="contenttextboxgp">
    <w:name w:val="contenttextbox_gp"/>
    <w:basedOn w:val="Normal"/>
    <w:uiPriority w:val="99"/>
    <w:rsid w:val="00DD485C"/>
    <w:pPr>
      <w:pBdr>
        <w:top w:val="single" w:sz="6" w:space="0" w:color="FF6600"/>
        <w:left w:val="single" w:sz="6" w:space="4" w:color="FF6600"/>
        <w:bottom w:val="single" w:sz="6" w:space="0" w:color="FF6600"/>
        <w:right w:val="single" w:sz="6" w:space="0" w:color="FF6600"/>
      </w:pBdr>
      <w:shd w:val="clear" w:color="auto" w:fill="FF9933"/>
      <w:spacing w:before="100" w:beforeAutospacing="1" w:after="105"/>
    </w:pPr>
    <w:rPr>
      <w:rFonts w:eastAsia="Times New Roman"/>
      <w:color w:val="FF6600"/>
      <w:lang w:val="es-ES"/>
    </w:rPr>
  </w:style>
  <w:style w:type="paragraph" w:customStyle="1" w:styleId="contenttextboxrp">
    <w:name w:val="contenttextbox_rp"/>
    <w:basedOn w:val="Normal"/>
    <w:uiPriority w:val="99"/>
    <w:rsid w:val="00DD485C"/>
    <w:pPr>
      <w:pBdr>
        <w:top w:val="single" w:sz="6" w:space="0" w:color="009966"/>
        <w:left w:val="single" w:sz="6" w:space="4" w:color="009966"/>
        <w:bottom w:val="single" w:sz="6" w:space="0" w:color="009966"/>
        <w:right w:val="single" w:sz="6" w:space="0" w:color="009966"/>
      </w:pBdr>
      <w:shd w:val="clear" w:color="auto" w:fill="CCFFCC"/>
      <w:spacing w:before="100" w:beforeAutospacing="1" w:after="105"/>
    </w:pPr>
    <w:rPr>
      <w:rFonts w:eastAsia="Times New Roman"/>
      <w:color w:val="009966"/>
      <w:lang w:val="es-ES"/>
    </w:rPr>
  </w:style>
  <w:style w:type="paragraph" w:customStyle="1" w:styleId="contenttextboxpr">
    <w:name w:val="contenttextbox_pr"/>
    <w:basedOn w:val="Normal"/>
    <w:uiPriority w:val="99"/>
    <w:rsid w:val="00DD485C"/>
    <w:pPr>
      <w:pBdr>
        <w:top w:val="single" w:sz="6" w:space="0" w:color="006666"/>
        <w:left w:val="single" w:sz="6" w:space="4" w:color="006666"/>
        <w:bottom w:val="single" w:sz="6" w:space="0" w:color="006666"/>
        <w:right w:val="single" w:sz="6" w:space="0" w:color="006666"/>
      </w:pBdr>
      <w:shd w:val="clear" w:color="auto" w:fill="CCFFFF"/>
      <w:spacing w:before="100" w:beforeAutospacing="1" w:after="105"/>
    </w:pPr>
    <w:rPr>
      <w:rFonts w:eastAsia="Times New Roman"/>
      <w:color w:val="006666"/>
      <w:lang w:val="es-ES"/>
    </w:rPr>
  </w:style>
  <w:style w:type="paragraph" w:customStyle="1" w:styleId="contenttextboxtools">
    <w:name w:val="contenttextbox_tools"/>
    <w:basedOn w:val="Normal"/>
    <w:uiPriority w:val="99"/>
    <w:rsid w:val="00DD485C"/>
    <w:pPr>
      <w:pBdr>
        <w:top w:val="single" w:sz="6" w:space="0" w:color="999966"/>
        <w:left w:val="single" w:sz="6" w:space="4" w:color="999966"/>
        <w:bottom w:val="single" w:sz="6" w:space="0" w:color="999966"/>
        <w:right w:val="single" w:sz="6" w:space="0" w:color="999966"/>
      </w:pBdr>
      <w:shd w:val="clear" w:color="auto" w:fill="EFEECF"/>
      <w:spacing w:before="100" w:beforeAutospacing="1" w:after="105"/>
    </w:pPr>
    <w:rPr>
      <w:rFonts w:eastAsia="Times New Roman"/>
      <w:color w:val="999966"/>
      <w:lang w:val="es-ES"/>
    </w:rPr>
  </w:style>
  <w:style w:type="paragraph" w:customStyle="1" w:styleId="contenttextboxpubs">
    <w:name w:val="contenttextbox_pubs"/>
    <w:basedOn w:val="Normal"/>
    <w:uiPriority w:val="99"/>
    <w:rsid w:val="00DD485C"/>
    <w:pPr>
      <w:pBdr>
        <w:top w:val="single" w:sz="6" w:space="0" w:color="660000"/>
        <w:left w:val="single" w:sz="6" w:space="4" w:color="660000"/>
        <w:bottom w:val="single" w:sz="6" w:space="0" w:color="660000"/>
        <w:right w:val="single" w:sz="6" w:space="0" w:color="660000"/>
      </w:pBdr>
      <w:shd w:val="clear" w:color="auto" w:fill="F7E7F7"/>
      <w:spacing w:before="100" w:beforeAutospacing="1" w:after="105"/>
    </w:pPr>
    <w:rPr>
      <w:rFonts w:eastAsia="Times New Roman"/>
      <w:color w:val="660000"/>
      <w:lang w:val="es-ES"/>
    </w:rPr>
  </w:style>
  <w:style w:type="paragraph" w:customStyle="1" w:styleId="contenttextboxsu">
    <w:name w:val="contenttextbox_su"/>
    <w:basedOn w:val="Normal"/>
    <w:uiPriority w:val="99"/>
    <w:rsid w:val="00DD485C"/>
    <w:pPr>
      <w:pBdr>
        <w:top w:val="single" w:sz="6" w:space="0" w:color="333366"/>
        <w:left w:val="single" w:sz="6" w:space="4" w:color="333366"/>
        <w:bottom w:val="single" w:sz="6" w:space="0" w:color="333366"/>
        <w:right w:val="single" w:sz="6" w:space="0" w:color="333366"/>
      </w:pBdr>
      <w:shd w:val="clear" w:color="auto" w:fill="99CCFF"/>
      <w:spacing w:before="100" w:beforeAutospacing="1" w:after="105"/>
    </w:pPr>
    <w:rPr>
      <w:rFonts w:eastAsia="Times New Roman"/>
      <w:color w:val="333366"/>
      <w:lang w:val="es-ES"/>
    </w:rPr>
  </w:style>
  <w:style w:type="paragraph" w:customStyle="1" w:styleId="clr">
    <w:name w:val="clr"/>
    <w:basedOn w:val="Normal"/>
    <w:uiPriority w:val="99"/>
    <w:rsid w:val="00DD485C"/>
    <w:pPr>
      <w:spacing w:before="100" w:beforeAutospacing="1" w:after="100" w:afterAutospacing="1"/>
    </w:pPr>
    <w:rPr>
      <w:rFonts w:eastAsia="Times New Roman"/>
      <w:lang w:val="es-ES"/>
    </w:rPr>
  </w:style>
  <w:style w:type="paragraph" w:customStyle="1" w:styleId="clr-left">
    <w:name w:val="clr-left"/>
    <w:basedOn w:val="Normal"/>
    <w:uiPriority w:val="99"/>
    <w:rsid w:val="00DD485C"/>
    <w:pPr>
      <w:spacing w:before="100" w:beforeAutospacing="1" w:after="100" w:afterAutospacing="1"/>
    </w:pPr>
    <w:rPr>
      <w:rFonts w:eastAsia="Times New Roman"/>
      <w:lang w:val="es-ES"/>
    </w:rPr>
  </w:style>
  <w:style w:type="paragraph" w:customStyle="1" w:styleId="topnewsbox">
    <w:name w:val="topnews_box"/>
    <w:basedOn w:val="Normal"/>
    <w:uiPriority w:val="99"/>
    <w:rsid w:val="00DD485C"/>
    <w:pPr>
      <w:spacing w:before="100" w:beforeAutospacing="1" w:after="100" w:afterAutospacing="1"/>
    </w:pPr>
    <w:rPr>
      <w:rFonts w:eastAsia="Times New Roman"/>
      <w:lang w:val="es-ES"/>
    </w:rPr>
  </w:style>
  <w:style w:type="paragraph" w:customStyle="1" w:styleId="topnewsline">
    <w:name w:val="topnews_line"/>
    <w:basedOn w:val="Normal"/>
    <w:uiPriority w:val="99"/>
    <w:rsid w:val="00DD485C"/>
    <w:pPr>
      <w:spacing w:before="48" w:after="48"/>
      <w:jc w:val="center"/>
    </w:pPr>
    <w:rPr>
      <w:rFonts w:eastAsia="Times New Roman"/>
      <w:lang w:val="es-ES"/>
    </w:rPr>
  </w:style>
  <w:style w:type="paragraph" w:customStyle="1" w:styleId="faveventsline">
    <w:name w:val="favevents_line"/>
    <w:basedOn w:val="Normal"/>
    <w:uiPriority w:val="99"/>
    <w:rsid w:val="00DD485C"/>
    <w:pPr>
      <w:spacing w:before="48" w:after="48"/>
      <w:jc w:val="center"/>
    </w:pPr>
    <w:rPr>
      <w:rFonts w:eastAsia="Times New Roman"/>
      <w:lang w:val="es-ES"/>
    </w:rPr>
  </w:style>
  <w:style w:type="paragraph" w:customStyle="1" w:styleId="faveventsbox">
    <w:name w:val="favevents_box"/>
    <w:basedOn w:val="Normal"/>
    <w:uiPriority w:val="99"/>
    <w:rsid w:val="00DD485C"/>
    <w:pPr>
      <w:spacing w:before="100" w:beforeAutospacing="1" w:after="100" w:afterAutospacing="1"/>
    </w:pPr>
    <w:rPr>
      <w:rFonts w:eastAsia="Times New Roman"/>
      <w:lang w:val="es-ES"/>
    </w:rPr>
  </w:style>
  <w:style w:type="paragraph" w:customStyle="1" w:styleId="hrindex">
    <w:name w:val="hr_index"/>
    <w:basedOn w:val="Normal"/>
    <w:uiPriority w:val="99"/>
    <w:rsid w:val="00DD485C"/>
    <w:pPr>
      <w:shd w:val="clear" w:color="auto" w:fill="336699"/>
      <w:spacing w:before="100" w:beforeAutospacing="1" w:after="100" w:afterAutospacing="1"/>
    </w:pPr>
    <w:rPr>
      <w:rFonts w:eastAsia="Times New Roman"/>
      <w:lang w:val="es-ES"/>
    </w:rPr>
  </w:style>
  <w:style w:type="paragraph" w:customStyle="1" w:styleId="indexinfoboxradiobox">
    <w:name w:val="indexinfo_box_radiobox"/>
    <w:basedOn w:val="Normal"/>
    <w:uiPriority w:val="99"/>
    <w:rsid w:val="00DD485C"/>
    <w:pPr>
      <w:spacing w:before="100" w:beforeAutospacing="1" w:after="100" w:afterAutospacing="1"/>
    </w:pPr>
    <w:rPr>
      <w:rFonts w:eastAsia="Times New Roman"/>
      <w:lang w:val="es-ES"/>
    </w:rPr>
  </w:style>
  <w:style w:type="paragraph" w:customStyle="1" w:styleId="indexinfopolltitle">
    <w:name w:val="indexinfo_poll_title"/>
    <w:basedOn w:val="Normal"/>
    <w:uiPriority w:val="99"/>
    <w:rsid w:val="00DD485C"/>
    <w:pPr>
      <w:spacing w:before="100" w:beforeAutospacing="1" w:after="100" w:afterAutospacing="1"/>
    </w:pPr>
    <w:rPr>
      <w:rFonts w:eastAsia="Times New Roman"/>
      <w:b/>
      <w:bCs/>
      <w:lang w:val="es-ES"/>
    </w:rPr>
  </w:style>
  <w:style w:type="paragraph" w:customStyle="1" w:styleId="indexinfoboxvote">
    <w:name w:val="indexinfo_box_vote"/>
    <w:basedOn w:val="Normal"/>
    <w:uiPriority w:val="99"/>
    <w:rsid w:val="00DD485C"/>
    <w:pPr>
      <w:shd w:val="clear" w:color="auto" w:fill="336699"/>
      <w:spacing w:before="100" w:beforeAutospacing="1" w:after="100" w:afterAutospacing="1"/>
      <w:jc w:val="center"/>
    </w:pPr>
    <w:rPr>
      <w:rFonts w:eastAsia="Times New Roman"/>
      <w:b/>
      <w:bCs/>
      <w:color w:val="FFFFFF"/>
      <w:lang w:val="es-ES"/>
    </w:rPr>
  </w:style>
  <w:style w:type="paragraph" w:customStyle="1" w:styleId="newsletterpdfdownload">
    <w:name w:val="newsletter_pdf_download"/>
    <w:basedOn w:val="Normal"/>
    <w:uiPriority w:val="99"/>
    <w:rsid w:val="00DD485C"/>
    <w:pPr>
      <w:spacing w:before="100" w:beforeAutospacing="1" w:after="100" w:afterAutospacing="1"/>
      <w:jc w:val="right"/>
    </w:pPr>
    <w:rPr>
      <w:rFonts w:eastAsia="Times New Roman"/>
      <w:lang w:val="es-ES"/>
    </w:rPr>
  </w:style>
  <w:style w:type="paragraph" w:customStyle="1" w:styleId="newsletterdatebox">
    <w:name w:val="newsletter_datebox"/>
    <w:basedOn w:val="Normal"/>
    <w:uiPriority w:val="99"/>
    <w:rsid w:val="00DD485C"/>
    <w:pPr>
      <w:spacing w:before="100" w:beforeAutospacing="1" w:after="100" w:afterAutospacing="1"/>
      <w:jc w:val="right"/>
    </w:pPr>
    <w:rPr>
      <w:rFonts w:eastAsia="Times New Roman"/>
      <w:caps/>
      <w:lang w:val="es-ES"/>
    </w:rPr>
  </w:style>
  <w:style w:type="paragraph" w:customStyle="1" w:styleId="newsletterheadline">
    <w:name w:val="newsletter_headline"/>
    <w:basedOn w:val="Normal"/>
    <w:uiPriority w:val="99"/>
    <w:rsid w:val="00DD485C"/>
    <w:pPr>
      <w:spacing w:before="100" w:beforeAutospacing="1" w:after="100" w:afterAutospacing="1"/>
    </w:pPr>
    <w:rPr>
      <w:rFonts w:eastAsia="Times New Roman"/>
      <w:b/>
      <w:bCs/>
      <w:caps/>
      <w:lang w:val="es-ES"/>
    </w:rPr>
  </w:style>
  <w:style w:type="paragraph" w:customStyle="1" w:styleId="newsletterheadlineqa">
    <w:name w:val="newsletter_headline_qa"/>
    <w:basedOn w:val="Normal"/>
    <w:uiPriority w:val="99"/>
    <w:rsid w:val="00DD485C"/>
    <w:pPr>
      <w:pBdr>
        <w:left w:val="single" w:sz="48" w:space="0" w:color="FFFFFF"/>
      </w:pBdr>
      <w:shd w:val="clear" w:color="auto" w:fill="0179B6"/>
      <w:spacing w:before="100" w:beforeAutospacing="1" w:after="100" w:afterAutospacing="1"/>
      <w:jc w:val="right"/>
    </w:pPr>
    <w:rPr>
      <w:rFonts w:eastAsia="Times New Roman"/>
      <w:b/>
      <w:bCs/>
      <w:caps/>
      <w:color w:val="FFFFFF"/>
      <w:lang w:val="es-ES"/>
    </w:rPr>
  </w:style>
  <w:style w:type="paragraph" w:customStyle="1" w:styleId="newsletterheadlinetiand">
    <w:name w:val="newsletter_headline_ti_and"/>
    <w:basedOn w:val="Normal"/>
    <w:uiPriority w:val="99"/>
    <w:rsid w:val="00DD485C"/>
    <w:pPr>
      <w:spacing w:before="100" w:beforeAutospacing="1" w:after="100" w:afterAutospacing="1"/>
    </w:pPr>
    <w:rPr>
      <w:rFonts w:eastAsia="Times New Roman"/>
      <w:caps/>
      <w:color w:val="996699"/>
      <w:lang w:val="es-ES"/>
    </w:rPr>
  </w:style>
  <w:style w:type="paragraph" w:customStyle="1" w:styleId="newslettertitlebox">
    <w:name w:val="newsletter_titlebox"/>
    <w:basedOn w:val="Normal"/>
    <w:uiPriority w:val="99"/>
    <w:rsid w:val="00DD485C"/>
    <w:pPr>
      <w:shd w:val="clear" w:color="auto" w:fill="E4F1FA"/>
      <w:spacing w:before="100" w:beforeAutospacing="1" w:after="100" w:afterAutospacing="1"/>
    </w:pPr>
    <w:rPr>
      <w:rFonts w:eastAsia="Times New Roman"/>
      <w:lang w:val="es-ES"/>
    </w:rPr>
  </w:style>
  <w:style w:type="paragraph" w:customStyle="1" w:styleId="newsletterteaser01">
    <w:name w:val="newsletter_teaser_01"/>
    <w:basedOn w:val="Normal"/>
    <w:uiPriority w:val="99"/>
    <w:rsid w:val="00DD485C"/>
    <w:pPr>
      <w:spacing w:before="100" w:beforeAutospacing="1" w:after="100" w:afterAutospacing="1"/>
    </w:pPr>
    <w:rPr>
      <w:rFonts w:eastAsia="Times New Roman"/>
      <w:lang w:val="es-ES"/>
    </w:rPr>
  </w:style>
  <w:style w:type="paragraph" w:customStyle="1" w:styleId="newsletterttxtbox01">
    <w:name w:val="newsletter_ttxtbox_01"/>
    <w:basedOn w:val="Normal"/>
    <w:uiPriority w:val="99"/>
    <w:rsid w:val="00DD485C"/>
    <w:pPr>
      <w:spacing w:before="100" w:beforeAutospacing="1" w:after="100" w:afterAutospacing="1"/>
    </w:pPr>
    <w:rPr>
      <w:rFonts w:eastAsia="Times New Roman"/>
      <w:lang w:val="es-ES"/>
    </w:rPr>
  </w:style>
  <w:style w:type="paragraph" w:customStyle="1" w:styleId="newsletterttxt01">
    <w:name w:val="newsletter_ttxt_01"/>
    <w:basedOn w:val="Normal"/>
    <w:uiPriority w:val="99"/>
    <w:rsid w:val="00DD485C"/>
    <w:pPr>
      <w:pBdr>
        <w:left w:val="single" w:sz="6" w:space="8" w:color="CCCCCC"/>
      </w:pBdr>
      <w:spacing w:before="100" w:beforeAutospacing="1" w:after="100" w:afterAutospacing="1"/>
    </w:pPr>
    <w:rPr>
      <w:rFonts w:eastAsia="Times New Roman"/>
      <w:lang w:val="es-ES"/>
    </w:rPr>
  </w:style>
  <w:style w:type="paragraph" w:customStyle="1" w:styleId="newsletterttxttiand">
    <w:name w:val="newsletter_ttxt_ti_and"/>
    <w:basedOn w:val="Normal"/>
    <w:uiPriority w:val="99"/>
    <w:rsid w:val="00DD485C"/>
    <w:pPr>
      <w:shd w:val="clear" w:color="auto" w:fill="98788D"/>
      <w:spacing w:before="100" w:beforeAutospacing="1" w:after="100" w:afterAutospacing="1" w:line="288" w:lineRule="atLeast"/>
    </w:pPr>
    <w:rPr>
      <w:rFonts w:eastAsia="Times New Roman"/>
      <w:color w:val="FFFFFF"/>
      <w:lang w:val="es-ES"/>
    </w:rPr>
  </w:style>
  <w:style w:type="paragraph" w:customStyle="1" w:styleId="newsletterttxtqa">
    <w:name w:val="newsletter_ttxt_qa"/>
    <w:basedOn w:val="Normal"/>
    <w:uiPriority w:val="99"/>
    <w:rsid w:val="00DD485C"/>
    <w:pPr>
      <w:pBdr>
        <w:left w:val="single" w:sz="48" w:space="4" w:color="FFFFFF"/>
      </w:pBdr>
      <w:shd w:val="clear" w:color="auto" w:fill="98788D"/>
      <w:spacing w:before="100" w:beforeAutospacing="1" w:after="100" w:afterAutospacing="1" w:line="288" w:lineRule="atLeast"/>
    </w:pPr>
    <w:rPr>
      <w:rFonts w:eastAsia="Times New Roman"/>
      <w:color w:val="FFFFFF"/>
      <w:lang w:val="es-ES"/>
    </w:rPr>
  </w:style>
  <w:style w:type="paragraph" w:customStyle="1" w:styleId="newsletterteasertiand">
    <w:name w:val="newsletter_teaser_ti_and"/>
    <w:basedOn w:val="Normal"/>
    <w:uiPriority w:val="99"/>
    <w:rsid w:val="00DD485C"/>
    <w:pPr>
      <w:spacing w:before="100" w:beforeAutospacing="1" w:after="100" w:afterAutospacing="1"/>
    </w:pPr>
    <w:rPr>
      <w:rFonts w:eastAsia="Times New Roman"/>
      <w:lang w:val="es-ES"/>
    </w:rPr>
  </w:style>
  <w:style w:type="paragraph" w:customStyle="1" w:styleId="newsletteracw">
    <w:name w:val="newsletter_acw"/>
    <w:basedOn w:val="Normal"/>
    <w:uiPriority w:val="99"/>
    <w:rsid w:val="00DD485C"/>
    <w:pPr>
      <w:pBdr>
        <w:right w:val="single" w:sz="6" w:space="0" w:color="CCCCCC"/>
      </w:pBdr>
      <w:spacing w:before="100" w:beforeAutospacing="1" w:after="100" w:afterAutospacing="1"/>
    </w:pPr>
    <w:rPr>
      <w:rFonts w:eastAsia="Times New Roman"/>
      <w:lang w:val="es-ES"/>
    </w:rPr>
  </w:style>
  <w:style w:type="paragraph" w:customStyle="1" w:styleId="newslettercnews">
    <w:name w:val="newsletter_cnews"/>
    <w:basedOn w:val="Normal"/>
    <w:uiPriority w:val="99"/>
    <w:rsid w:val="00DD485C"/>
    <w:pPr>
      <w:spacing w:before="100" w:beforeAutospacing="1" w:after="100" w:afterAutospacing="1"/>
    </w:pPr>
    <w:rPr>
      <w:rFonts w:eastAsia="Times New Roman"/>
      <w:lang w:val="es-ES"/>
    </w:rPr>
  </w:style>
  <w:style w:type="paragraph" w:customStyle="1" w:styleId="newsletteracwimg">
    <w:name w:val="newsletter_acw_img"/>
    <w:basedOn w:val="Normal"/>
    <w:uiPriority w:val="99"/>
    <w:rsid w:val="00DD485C"/>
    <w:pPr>
      <w:pBdr>
        <w:top w:val="single" w:sz="6" w:space="0" w:color="000000"/>
        <w:left w:val="single" w:sz="6" w:space="0" w:color="000000"/>
        <w:bottom w:val="single" w:sz="6" w:space="0" w:color="000000"/>
        <w:right w:val="single" w:sz="6" w:space="0" w:color="000000"/>
      </w:pBdr>
      <w:spacing w:after="75"/>
      <w:ind w:right="75"/>
    </w:pPr>
    <w:rPr>
      <w:rFonts w:eastAsia="Times New Roman"/>
      <w:lang w:val="es-ES"/>
    </w:rPr>
  </w:style>
  <w:style w:type="paragraph" w:customStyle="1" w:styleId="newslettercnewsimg">
    <w:name w:val="newsletter_cnews_img"/>
    <w:basedOn w:val="Normal"/>
    <w:uiPriority w:val="99"/>
    <w:rsid w:val="00DD485C"/>
    <w:pPr>
      <w:pBdr>
        <w:top w:val="single" w:sz="6" w:space="0" w:color="000000"/>
        <w:left w:val="single" w:sz="6" w:space="0" w:color="000000"/>
        <w:bottom w:val="single" w:sz="6" w:space="0" w:color="000000"/>
        <w:right w:val="single" w:sz="6" w:space="0" w:color="000000"/>
      </w:pBdr>
      <w:spacing w:after="75"/>
      <w:ind w:right="75"/>
    </w:pPr>
    <w:rPr>
      <w:rFonts w:eastAsia="Times New Roman"/>
      <w:lang w:val="es-ES"/>
    </w:rPr>
  </w:style>
  <w:style w:type="paragraph" w:customStyle="1" w:styleId="newsletterbottomteaser">
    <w:name w:val="newsletter_bottom_teaser"/>
    <w:basedOn w:val="Normal"/>
    <w:uiPriority w:val="99"/>
    <w:rsid w:val="00DD485C"/>
    <w:pPr>
      <w:pBdr>
        <w:left w:val="single" w:sz="6" w:space="19" w:color="CCCCCC"/>
      </w:pBdr>
      <w:spacing w:before="100" w:beforeAutospacing="1" w:after="100" w:afterAutospacing="1"/>
    </w:pPr>
    <w:rPr>
      <w:rFonts w:eastAsia="Times New Roman"/>
      <w:lang w:val="es-ES"/>
    </w:rPr>
  </w:style>
  <w:style w:type="paragraph" w:customStyle="1" w:styleId="newsletterheadlinebottomteaser">
    <w:name w:val="newsletter_headline_bottom_teaser"/>
    <w:basedOn w:val="Normal"/>
    <w:uiPriority w:val="99"/>
    <w:rsid w:val="00DD485C"/>
    <w:pPr>
      <w:spacing w:before="100" w:beforeAutospacing="1" w:after="100" w:afterAutospacing="1"/>
    </w:pPr>
    <w:rPr>
      <w:rFonts w:eastAsia="Times New Roman"/>
      <w:b/>
      <w:bCs/>
      <w:caps/>
      <w:color w:val="996699"/>
      <w:lang w:val="es-ES"/>
    </w:rPr>
  </w:style>
  <w:style w:type="paragraph" w:customStyle="1" w:styleId="headlinenewsletter">
    <w:name w:val="headline_newsletter"/>
    <w:basedOn w:val="Normal"/>
    <w:uiPriority w:val="99"/>
    <w:rsid w:val="00DD485C"/>
    <w:pPr>
      <w:shd w:val="clear" w:color="auto" w:fill="996699"/>
      <w:spacing w:line="225" w:lineRule="atLeast"/>
      <w:jc w:val="center"/>
    </w:pPr>
    <w:rPr>
      <w:rFonts w:eastAsia="Times New Roman"/>
      <w:b/>
      <w:bCs/>
      <w:color w:val="FFFFFF"/>
      <w:lang w:val="es-ES"/>
    </w:rPr>
  </w:style>
  <w:style w:type="paragraph" w:customStyle="1" w:styleId="newsletterimgph">
    <w:name w:val="newsletter_img_ph"/>
    <w:basedOn w:val="Normal"/>
    <w:uiPriority w:val="99"/>
    <w:rsid w:val="00DD485C"/>
    <w:pPr>
      <w:spacing w:before="100" w:beforeAutospacing="1" w:after="100" w:afterAutospacing="1"/>
    </w:pPr>
    <w:rPr>
      <w:rFonts w:eastAsia="Times New Roman"/>
      <w:lang w:val="es-ES"/>
    </w:rPr>
  </w:style>
  <w:style w:type="paragraph" w:customStyle="1" w:styleId="newsletterlogobanner">
    <w:name w:val="newsletter_logobanner"/>
    <w:basedOn w:val="Normal"/>
    <w:uiPriority w:val="99"/>
    <w:rsid w:val="00DD485C"/>
    <w:pPr>
      <w:spacing w:before="100" w:beforeAutospacing="1" w:after="100" w:afterAutospacing="1"/>
    </w:pPr>
    <w:rPr>
      <w:rFonts w:eastAsia="Times New Roman"/>
      <w:lang w:val="es-ES"/>
    </w:rPr>
  </w:style>
  <w:style w:type="paragraph" w:customStyle="1" w:styleId="newslettercontent">
    <w:name w:val="newsletter_content"/>
    <w:basedOn w:val="Normal"/>
    <w:uiPriority w:val="99"/>
    <w:rsid w:val="00DD485C"/>
    <w:pPr>
      <w:spacing w:before="100" w:beforeAutospacing="1" w:after="100" w:afterAutospacing="1"/>
    </w:pPr>
    <w:rPr>
      <w:rFonts w:eastAsia="Times New Roman"/>
      <w:lang w:val="es-ES"/>
    </w:rPr>
  </w:style>
  <w:style w:type="paragraph" w:customStyle="1" w:styleId="donatebox">
    <w:name w:val="donatebox"/>
    <w:basedOn w:val="Normal"/>
    <w:uiPriority w:val="99"/>
    <w:rsid w:val="00DD485C"/>
    <w:pPr>
      <w:shd w:val="clear" w:color="auto" w:fill="D9EBF9"/>
      <w:spacing w:before="100" w:beforeAutospacing="1" w:after="100" w:afterAutospacing="1"/>
    </w:pPr>
    <w:rPr>
      <w:rFonts w:eastAsia="Times New Roman"/>
      <w:color w:val="000000"/>
      <w:lang w:val="es-ES"/>
    </w:rPr>
  </w:style>
  <w:style w:type="paragraph" w:customStyle="1" w:styleId="donateinputbox">
    <w:name w:val="donateinputbox"/>
    <w:basedOn w:val="Normal"/>
    <w:uiPriority w:val="99"/>
    <w:rsid w:val="00DD485C"/>
    <w:pPr>
      <w:shd w:val="clear" w:color="auto" w:fill="FFFFFF"/>
      <w:spacing w:before="100" w:beforeAutospacing="1" w:after="100" w:afterAutospacing="1"/>
      <w:textAlignment w:val="center"/>
    </w:pPr>
    <w:rPr>
      <w:rFonts w:eastAsia="Times New Roman"/>
      <w:color w:val="333333"/>
      <w:lang w:val="es-ES"/>
    </w:rPr>
  </w:style>
  <w:style w:type="paragraph" w:customStyle="1" w:styleId="donateinputline">
    <w:name w:val="donateinputline"/>
    <w:basedOn w:val="Normal"/>
    <w:uiPriority w:val="99"/>
    <w:rsid w:val="00DD485C"/>
    <w:pPr>
      <w:shd w:val="clear" w:color="auto" w:fill="FFFFFF"/>
      <w:spacing w:before="100" w:beforeAutospacing="1" w:after="100" w:afterAutospacing="1" w:line="180" w:lineRule="atLeast"/>
      <w:textAlignment w:val="center"/>
    </w:pPr>
    <w:rPr>
      <w:rFonts w:eastAsia="Times New Roman"/>
      <w:color w:val="333333"/>
      <w:lang w:val="es-ES"/>
    </w:rPr>
  </w:style>
  <w:style w:type="paragraph" w:customStyle="1" w:styleId="next">
    <w:name w:val="next"/>
    <w:basedOn w:val="Normal"/>
    <w:uiPriority w:val="99"/>
    <w:rsid w:val="00DD485C"/>
    <w:pPr>
      <w:pBdr>
        <w:top w:val="single" w:sz="6" w:space="0" w:color="666666"/>
        <w:left w:val="single" w:sz="6" w:space="0" w:color="666666"/>
        <w:bottom w:val="single" w:sz="6" w:space="0" w:color="666666"/>
        <w:right w:val="single" w:sz="6" w:space="0" w:color="666666"/>
      </w:pBdr>
      <w:shd w:val="clear" w:color="auto" w:fill="D9EBF9"/>
      <w:spacing w:before="100" w:beforeAutospacing="1" w:after="100" w:afterAutospacing="1"/>
    </w:pPr>
    <w:rPr>
      <w:rFonts w:eastAsia="Times New Roman"/>
      <w:lang w:val="es-ES"/>
    </w:rPr>
  </w:style>
  <w:style w:type="paragraph" w:customStyle="1" w:styleId="useinfocusspace">
    <w:name w:val="use_infocus_space"/>
    <w:basedOn w:val="Normal"/>
    <w:uiPriority w:val="99"/>
    <w:rsid w:val="00DD485C"/>
    <w:pPr>
      <w:shd w:val="clear" w:color="auto" w:fill="D9EBF8"/>
      <w:spacing w:before="100" w:beforeAutospacing="1" w:after="100" w:afterAutospacing="1"/>
    </w:pPr>
    <w:rPr>
      <w:rFonts w:eastAsia="Times New Roman"/>
      <w:lang w:val="es-ES"/>
    </w:rPr>
  </w:style>
  <w:style w:type="paragraph" w:customStyle="1" w:styleId="infocusbox">
    <w:name w:val="infocus_box"/>
    <w:basedOn w:val="Normal"/>
    <w:uiPriority w:val="99"/>
    <w:rsid w:val="00DD485C"/>
    <w:pPr>
      <w:spacing w:before="100" w:beforeAutospacing="1" w:after="100" w:afterAutospacing="1"/>
    </w:pPr>
    <w:rPr>
      <w:rFonts w:eastAsia="Times New Roman"/>
      <w:b/>
      <w:bCs/>
      <w:color w:val="FFFFFF"/>
      <w:sz w:val="18"/>
      <w:szCs w:val="18"/>
      <w:lang w:val="es-ES"/>
    </w:rPr>
  </w:style>
  <w:style w:type="paragraph" w:customStyle="1" w:styleId="infocus2box">
    <w:name w:val="infocus2_box"/>
    <w:basedOn w:val="Normal"/>
    <w:uiPriority w:val="99"/>
    <w:rsid w:val="00DD485C"/>
    <w:pPr>
      <w:shd w:val="clear" w:color="auto" w:fill="FFFFFF"/>
      <w:spacing w:before="100" w:beforeAutospacing="1" w:after="100" w:afterAutospacing="1"/>
    </w:pPr>
    <w:rPr>
      <w:rFonts w:eastAsia="Times New Roman"/>
      <w:color w:val="FFFFFF"/>
      <w:lang w:val="es-ES"/>
    </w:rPr>
  </w:style>
  <w:style w:type="paragraph" w:customStyle="1" w:styleId="infocusboxtxt">
    <w:name w:val="infocus_box_txt"/>
    <w:basedOn w:val="Normal"/>
    <w:uiPriority w:val="99"/>
    <w:rsid w:val="00DD485C"/>
    <w:pPr>
      <w:spacing w:before="100" w:beforeAutospacing="1" w:after="100" w:afterAutospacing="1" w:line="288" w:lineRule="atLeast"/>
    </w:pPr>
    <w:rPr>
      <w:rFonts w:eastAsia="Times New Roman"/>
      <w:lang w:val="es-ES"/>
    </w:rPr>
  </w:style>
  <w:style w:type="paragraph" w:customStyle="1" w:styleId="infocus2txt">
    <w:name w:val="infocus2_txt"/>
    <w:basedOn w:val="Normal"/>
    <w:uiPriority w:val="99"/>
    <w:rsid w:val="00DD485C"/>
    <w:pPr>
      <w:spacing w:before="100" w:beforeAutospacing="1" w:after="100" w:afterAutospacing="1"/>
    </w:pPr>
    <w:rPr>
      <w:rFonts w:eastAsia="Times New Roman"/>
      <w:lang w:val="es-ES"/>
    </w:rPr>
  </w:style>
  <w:style w:type="paragraph" w:customStyle="1" w:styleId="infocus2boxtxt">
    <w:name w:val="infocus2_box_txt"/>
    <w:basedOn w:val="Normal"/>
    <w:uiPriority w:val="99"/>
    <w:rsid w:val="00DD485C"/>
    <w:pPr>
      <w:shd w:val="clear" w:color="auto" w:fill="000000"/>
      <w:spacing w:before="100" w:beforeAutospacing="1" w:after="100" w:afterAutospacing="1" w:line="288" w:lineRule="atLeast"/>
    </w:pPr>
    <w:rPr>
      <w:rFonts w:eastAsia="Times New Roman"/>
      <w:color w:val="FFFFFF"/>
      <w:lang w:val="es-ES"/>
    </w:rPr>
  </w:style>
  <w:style w:type="paragraph" w:customStyle="1" w:styleId="newsteaser">
    <w:name w:val="news_teaser"/>
    <w:basedOn w:val="Normal"/>
    <w:uiPriority w:val="99"/>
    <w:rsid w:val="00DD485C"/>
    <w:pPr>
      <w:pBdr>
        <w:top w:val="single" w:sz="12" w:space="0" w:color="CC0000"/>
        <w:left w:val="single" w:sz="12" w:space="0" w:color="CC0000"/>
        <w:bottom w:val="single" w:sz="12" w:space="0" w:color="CC0000"/>
        <w:right w:val="single" w:sz="12" w:space="0" w:color="CC0000"/>
      </w:pBdr>
      <w:shd w:val="clear" w:color="auto" w:fill="CC4A4C"/>
      <w:spacing w:before="100" w:beforeAutospacing="1" w:after="240" w:line="264" w:lineRule="atLeast"/>
    </w:pPr>
    <w:rPr>
      <w:rFonts w:eastAsia="Times New Roman"/>
      <w:color w:val="FFFFFF"/>
      <w:sz w:val="15"/>
      <w:szCs w:val="15"/>
      <w:lang w:val="es-ES"/>
    </w:rPr>
  </w:style>
  <w:style w:type="paragraph" w:customStyle="1" w:styleId="linkbox">
    <w:name w:val="link_box"/>
    <w:basedOn w:val="Normal"/>
    <w:uiPriority w:val="99"/>
    <w:rsid w:val="00DD485C"/>
    <w:pPr>
      <w:pBdr>
        <w:top w:val="single" w:sz="6" w:space="11" w:color="auto"/>
        <w:left w:val="single" w:sz="6" w:space="4" w:color="auto"/>
        <w:bottom w:val="single" w:sz="6" w:space="4" w:color="auto"/>
        <w:right w:val="single" w:sz="6" w:space="4" w:color="auto"/>
      </w:pBdr>
      <w:spacing w:before="100" w:beforeAutospacing="1" w:after="100" w:afterAutospacing="1"/>
    </w:pPr>
    <w:rPr>
      <w:rFonts w:eastAsia="Times New Roman"/>
      <w:lang w:val="es-ES"/>
    </w:rPr>
  </w:style>
  <w:style w:type="paragraph" w:customStyle="1" w:styleId="linkboxtitle">
    <w:name w:val="link_box_title"/>
    <w:basedOn w:val="Normal"/>
    <w:uiPriority w:val="99"/>
    <w:rsid w:val="00DD485C"/>
    <w:pPr>
      <w:spacing w:before="100" w:beforeAutospacing="1" w:after="100" w:afterAutospacing="1"/>
    </w:pPr>
    <w:rPr>
      <w:rFonts w:eastAsia="Times New Roman"/>
      <w:b/>
      <w:bCs/>
      <w:color w:val="FFFFFF"/>
      <w:lang w:val="es-ES"/>
    </w:rPr>
  </w:style>
  <w:style w:type="paragraph" w:customStyle="1" w:styleId="indexinfobox">
    <w:name w:val="indexinfo_box"/>
    <w:basedOn w:val="Normal"/>
    <w:uiPriority w:val="99"/>
    <w:rsid w:val="00DD485C"/>
    <w:pPr>
      <w:spacing w:before="100" w:beforeAutospacing="1" w:after="100" w:afterAutospacing="1"/>
      <w:ind w:right="300"/>
    </w:pPr>
    <w:rPr>
      <w:rFonts w:eastAsia="Times New Roman"/>
      <w:lang w:val="es-ES"/>
    </w:rPr>
  </w:style>
  <w:style w:type="paragraph" w:customStyle="1" w:styleId="indexinfoboxtitle">
    <w:name w:val="indexinfo_box_title"/>
    <w:basedOn w:val="Normal"/>
    <w:uiPriority w:val="99"/>
    <w:rsid w:val="00DD485C"/>
    <w:pPr>
      <w:shd w:val="clear" w:color="auto" w:fill="336699"/>
      <w:spacing w:before="100" w:beforeAutospacing="1" w:after="100" w:afterAutospacing="1" w:line="264" w:lineRule="atLeast"/>
    </w:pPr>
    <w:rPr>
      <w:rFonts w:eastAsia="Times New Roman"/>
      <w:color w:val="FFFFFF"/>
      <w:lang w:val="es-ES"/>
    </w:rPr>
  </w:style>
  <w:style w:type="paragraph" w:customStyle="1" w:styleId="indexinfoboxtxtclr">
    <w:name w:val="indexinfo_box_txtclr"/>
    <w:basedOn w:val="Normal"/>
    <w:uiPriority w:val="99"/>
    <w:rsid w:val="00DD485C"/>
    <w:pPr>
      <w:spacing w:before="100" w:beforeAutospacing="1" w:after="100" w:afterAutospacing="1"/>
    </w:pPr>
    <w:rPr>
      <w:rFonts w:eastAsia="Times New Roman"/>
      <w:color w:val="6699CC"/>
      <w:lang w:val="es-ES"/>
    </w:rPr>
  </w:style>
  <w:style w:type="paragraph" w:customStyle="1" w:styleId="votebutton">
    <w:name w:val="votebutton"/>
    <w:basedOn w:val="Normal"/>
    <w:uiPriority w:val="99"/>
    <w:rsid w:val="00DD485C"/>
    <w:pPr>
      <w:pBdr>
        <w:top w:val="single" w:sz="6" w:space="2" w:color="FFFFFF"/>
        <w:left w:val="single" w:sz="6" w:space="0" w:color="FFFFFF"/>
        <w:bottom w:val="single" w:sz="6" w:space="0" w:color="FFFFFF"/>
        <w:right w:val="single" w:sz="6" w:space="0" w:color="FFFFFF"/>
      </w:pBdr>
      <w:shd w:val="clear" w:color="auto" w:fill="336699"/>
      <w:spacing w:before="45" w:after="45"/>
    </w:pPr>
    <w:rPr>
      <w:rFonts w:ascii="Arial" w:eastAsia="Times New Roman" w:hAnsi="Arial" w:cs="Arial"/>
      <w:b/>
      <w:bCs/>
      <w:color w:val="FFFFFF"/>
      <w:sz w:val="17"/>
      <w:szCs w:val="17"/>
      <w:lang w:val="es-ES"/>
    </w:rPr>
  </w:style>
  <w:style w:type="paragraph" w:customStyle="1" w:styleId="actionbox">
    <w:name w:val="actionbox"/>
    <w:basedOn w:val="Normal"/>
    <w:uiPriority w:val="99"/>
    <w:rsid w:val="00DD485C"/>
    <w:pPr>
      <w:spacing w:before="100" w:beforeAutospacing="1" w:after="100" w:afterAutospacing="1" w:line="264" w:lineRule="atLeast"/>
    </w:pPr>
    <w:rPr>
      <w:rFonts w:eastAsia="Times New Roman"/>
      <w:color w:val="FFFFFF"/>
      <w:sz w:val="23"/>
      <w:szCs w:val="23"/>
      <w:lang w:val="es-ES"/>
    </w:rPr>
  </w:style>
  <w:style w:type="paragraph" w:customStyle="1" w:styleId="infocusdate">
    <w:name w:val="infocus_date"/>
    <w:basedOn w:val="Normal"/>
    <w:uiPriority w:val="99"/>
    <w:rsid w:val="00DD485C"/>
    <w:pPr>
      <w:spacing w:before="100" w:beforeAutospacing="1" w:after="100" w:afterAutospacing="1"/>
    </w:pPr>
    <w:rPr>
      <w:rFonts w:eastAsia="Times New Roman"/>
      <w:lang w:val="es-ES"/>
    </w:rPr>
  </w:style>
  <w:style w:type="paragraph" w:customStyle="1" w:styleId="subscribeheadline">
    <w:name w:val="subscribe_headline"/>
    <w:basedOn w:val="Normal"/>
    <w:uiPriority w:val="99"/>
    <w:rsid w:val="00DD485C"/>
    <w:pPr>
      <w:spacing w:before="100" w:beforeAutospacing="1" w:after="100" w:afterAutospacing="1"/>
    </w:pPr>
    <w:rPr>
      <w:rFonts w:eastAsia="Times New Roman"/>
      <w:lang w:val="es-ES"/>
    </w:rPr>
  </w:style>
  <w:style w:type="paragraph" w:customStyle="1" w:styleId="infocusdate1">
    <w:name w:val="infocus_date1"/>
    <w:basedOn w:val="Normal"/>
    <w:uiPriority w:val="99"/>
    <w:rsid w:val="00DD485C"/>
    <w:pPr>
      <w:jc w:val="right"/>
    </w:pPr>
    <w:rPr>
      <w:rFonts w:eastAsia="Times New Roman"/>
      <w:i/>
      <w:iCs/>
      <w:sz w:val="15"/>
      <w:szCs w:val="15"/>
      <w:lang w:val="es-ES"/>
    </w:rPr>
  </w:style>
  <w:style w:type="paragraph" w:customStyle="1" w:styleId="subscribeheadline1">
    <w:name w:val="subscribe_headline1"/>
    <w:basedOn w:val="Normal"/>
    <w:uiPriority w:val="99"/>
    <w:rsid w:val="00DD485C"/>
    <w:rPr>
      <w:rFonts w:eastAsia="Times New Roman"/>
      <w:b/>
      <w:bCs/>
      <w:color w:val="6699CC"/>
      <w:lang w:val="es-ES"/>
    </w:rPr>
  </w:style>
  <w:style w:type="paragraph" w:customStyle="1" w:styleId="infocusdate2">
    <w:name w:val="infocus_date2"/>
    <w:basedOn w:val="Normal"/>
    <w:uiPriority w:val="99"/>
    <w:rsid w:val="00DD485C"/>
    <w:pPr>
      <w:jc w:val="right"/>
    </w:pPr>
    <w:rPr>
      <w:rFonts w:eastAsia="Times New Roman"/>
      <w:i/>
      <w:iCs/>
      <w:sz w:val="15"/>
      <w:szCs w:val="15"/>
      <w:lang w:val="es-ES"/>
    </w:rPr>
  </w:style>
  <w:style w:type="paragraph" w:customStyle="1" w:styleId="subscribeheadline2">
    <w:name w:val="subscribe_headline2"/>
    <w:basedOn w:val="Normal"/>
    <w:uiPriority w:val="99"/>
    <w:rsid w:val="00DD485C"/>
    <w:rPr>
      <w:rFonts w:eastAsia="Times New Roman"/>
      <w:b/>
      <w:bCs/>
      <w:color w:val="6699CC"/>
      <w:lang w:val="es-ES"/>
    </w:rPr>
  </w:style>
  <w:style w:type="table" w:customStyle="1" w:styleId="Tablaconcuadrcula1280">
    <w:name w:val="Tabla con cuadrícula 128"/>
    <w:basedOn w:val="Tablanormal"/>
    <w:next w:val="Tablaconcuadrcula10"/>
    <w:rsid w:val="00DD485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42">
    <w:name w:val="Tabla con cuadrícula242"/>
    <w:basedOn w:val="Tablanormal"/>
    <w:next w:val="Tablaconcuadrcula"/>
    <w:rsid w:val="00DD485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9">
    <w:name w:val="Sin lista129"/>
    <w:next w:val="Sinlista"/>
    <w:semiHidden/>
    <w:rsid w:val="006B23D1"/>
  </w:style>
  <w:style w:type="table" w:customStyle="1" w:styleId="Tablaconcuadrcula243">
    <w:name w:val="Tabla con cuadrícula243"/>
    <w:basedOn w:val="Tablanormal"/>
    <w:next w:val="Tablaconcuadrcula"/>
    <w:rsid w:val="006B23D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0">
    <w:name w:val="Sin lista130"/>
    <w:next w:val="Sinlista"/>
    <w:semiHidden/>
    <w:rsid w:val="004E4F81"/>
  </w:style>
  <w:style w:type="table" w:customStyle="1" w:styleId="Tablaconcuadrcula244">
    <w:name w:val="Tabla con cuadrícula244"/>
    <w:basedOn w:val="Tablanormal"/>
    <w:next w:val="Tablaconcuadrcula"/>
    <w:rsid w:val="008B591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1">
    <w:name w:val="Sin lista131"/>
    <w:next w:val="Sinlista"/>
    <w:semiHidden/>
    <w:rsid w:val="00525E61"/>
  </w:style>
  <w:style w:type="table" w:customStyle="1" w:styleId="Tablaconcuadrcula245">
    <w:name w:val="Tabla con cuadrícula245"/>
    <w:basedOn w:val="Tablanormal"/>
    <w:next w:val="Tablaconcuadrcula"/>
    <w:rsid w:val="00525E61"/>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32">
    <w:name w:val="Sin lista132"/>
    <w:next w:val="Sinlista"/>
    <w:semiHidden/>
    <w:rsid w:val="00F96B91"/>
  </w:style>
  <w:style w:type="numbering" w:customStyle="1" w:styleId="Sinlista133">
    <w:name w:val="Sin lista133"/>
    <w:next w:val="Sinlista"/>
    <w:semiHidden/>
    <w:rsid w:val="000E2ED1"/>
  </w:style>
  <w:style w:type="table" w:customStyle="1" w:styleId="Tablaconcuadrcula246">
    <w:name w:val="Tabla con cuadrícula246"/>
    <w:basedOn w:val="Tablanormal"/>
    <w:next w:val="Tablaconcuadrcula"/>
    <w:rsid w:val="000E2ED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4">
    <w:name w:val="Sin lista134"/>
    <w:next w:val="Sinlista"/>
    <w:semiHidden/>
    <w:rsid w:val="008E55AC"/>
  </w:style>
  <w:style w:type="table" w:customStyle="1" w:styleId="Tablaconcuadrcula247">
    <w:name w:val="Tabla con cuadrícula247"/>
    <w:basedOn w:val="Tablanormal"/>
    <w:next w:val="Tablaconcuadrcula"/>
    <w:rsid w:val="008E55A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5">
    <w:name w:val="Sin lista135"/>
    <w:next w:val="Sinlista"/>
    <w:semiHidden/>
    <w:rsid w:val="00750288"/>
  </w:style>
  <w:style w:type="table" w:customStyle="1" w:styleId="Tablaconcuadrcula248">
    <w:name w:val="Tabla con cuadrícula248"/>
    <w:basedOn w:val="Tablanormal"/>
    <w:next w:val="Tablaconcuadrcula"/>
    <w:rsid w:val="007502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6">
    <w:name w:val="Sin lista136"/>
    <w:next w:val="Sinlista"/>
    <w:semiHidden/>
    <w:rsid w:val="00356302"/>
  </w:style>
  <w:style w:type="table" w:customStyle="1" w:styleId="Tablaconcuadrcula249">
    <w:name w:val="Tabla con cuadrícula249"/>
    <w:basedOn w:val="Tablanormal"/>
    <w:next w:val="Tablaconcuadrcula"/>
    <w:rsid w:val="0035630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0">
    <w:name w:val="Tabla con cuadrícula250"/>
    <w:basedOn w:val="Tablanormal"/>
    <w:next w:val="Tablaconcuadrcula"/>
    <w:rsid w:val="003362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7">
    <w:name w:val="Sin lista137"/>
    <w:next w:val="Sinlista"/>
    <w:semiHidden/>
    <w:rsid w:val="00B85DD2"/>
  </w:style>
  <w:style w:type="table" w:customStyle="1" w:styleId="Tablaconcuadrcula251">
    <w:name w:val="Tabla con cuadrícula251"/>
    <w:basedOn w:val="Tablanormal"/>
    <w:next w:val="Tablaconcuadrcula"/>
    <w:rsid w:val="00B85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
    <w:name w:val="Sin lista138"/>
    <w:next w:val="Sinlista"/>
    <w:semiHidden/>
    <w:rsid w:val="00B85DD2"/>
  </w:style>
  <w:style w:type="table" w:customStyle="1" w:styleId="Tablaconcuadrcula11000">
    <w:name w:val="Tabla con cuadrícula1100"/>
    <w:basedOn w:val="Tablanormal"/>
    <w:next w:val="Tablaconcuadrcula"/>
    <w:rsid w:val="00B85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Car0">
    <w:name w:val="texto Car"/>
    <w:basedOn w:val="Fuentedeprrafopredeter"/>
    <w:link w:val="texto0"/>
    <w:rsid w:val="00B85DD2"/>
    <w:rPr>
      <w:rFonts w:eastAsia="SimSun"/>
      <w:sz w:val="26"/>
      <w:szCs w:val="26"/>
      <w:lang w:val="es-ES_tradnl" w:eastAsia="es-ES" w:bidi="ar-SA"/>
    </w:rPr>
  </w:style>
  <w:style w:type="table" w:customStyle="1" w:styleId="Tablaconcuadrcula252">
    <w:name w:val="Tabla con cuadrícula252"/>
    <w:basedOn w:val="Tablanormal"/>
    <w:next w:val="Tablaconcuadrcula"/>
    <w:rsid w:val="006544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3">
    <w:name w:val="Tabla con cuadrícula253"/>
    <w:basedOn w:val="Tablanormal"/>
    <w:next w:val="Tablaconcuadrcula"/>
    <w:rsid w:val="006544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4">
    <w:name w:val="Tabla con cuadrícula254"/>
    <w:basedOn w:val="Tablanormal"/>
    <w:next w:val="Tablaconcuadrcula"/>
    <w:rsid w:val="00AD6C4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5">
    <w:name w:val="Tabla con cuadrícula255"/>
    <w:basedOn w:val="Tablanormal"/>
    <w:next w:val="Tablaconcuadrcula"/>
    <w:rsid w:val="00E513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9">
    <w:name w:val="Sin lista139"/>
    <w:next w:val="Sinlista"/>
    <w:semiHidden/>
    <w:rsid w:val="009603C2"/>
  </w:style>
  <w:style w:type="table" w:customStyle="1" w:styleId="Tablaconcuadrcula256">
    <w:name w:val="Tabla con cuadrícula256"/>
    <w:basedOn w:val="Tablanormal"/>
    <w:next w:val="Tablaconcuadrcula"/>
    <w:rsid w:val="009603C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0">
    <w:name w:val="Sin lista140"/>
    <w:next w:val="Sinlista"/>
    <w:semiHidden/>
    <w:rsid w:val="008E0113"/>
  </w:style>
  <w:style w:type="table" w:customStyle="1" w:styleId="Tablaconcuadrcula257">
    <w:name w:val="Tabla con cuadrícula257"/>
    <w:basedOn w:val="Tablanormal"/>
    <w:next w:val="Tablaconcuadrcula"/>
    <w:rsid w:val="009E69A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8">
    <w:name w:val="Tabla con cuadrícula258"/>
    <w:basedOn w:val="Tablanormal"/>
    <w:next w:val="Tablaconcuadrcula"/>
    <w:rsid w:val="003E7B0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1">
    <w:name w:val="Sin lista141"/>
    <w:next w:val="Sinlista"/>
    <w:semiHidden/>
    <w:rsid w:val="00DD1A07"/>
  </w:style>
  <w:style w:type="table" w:customStyle="1" w:styleId="Tablaconcuadrcula259">
    <w:name w:val="Tabla con cuadrícula259"/>
    <w:basedOn w:val="Tablanormal"/>
    <w:next w:val="Tablaconcuadrcula"/>
    <w:rsid w:val="00DD1A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2">
    <w:name w:val="Sin lista142"/>
    <w:next w:val="Sinlista"/>
    <w:semiHidden/>
    <w:rsid w:val="00387BD2"/>
  </w:style>
  <w:style w:type="numbering" w:customStyle="1" w:styleId="Sinlista143">
    <w:name w:val="Sin lista143"/>
    <w:next w:val="Sinlista"/>
    <w:semiHidden/>
    <w:rsid w:val="003476CC"/>
  </w:style>
  <w:style w:type="table" w:customStyle="1" w:styleId="Tablaconcuadrcula260">
    <w:name w:val="Tabla con cuadrícula260"/>
    <w:basedOn w:val="Tablanormal"/>
    <w:next w:val="Tablaconcuadrcula"/>
    <w:rsid w:val="003476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1">
    <w:name w:val="Tabla con cuadrícula261"/>
    <w:basedOn w:val="Tablanormal"/>
    <w:next w:val="Tablaconcuadrcula"/>
    <w:rsid w:val="00102CA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2">
    <w:name w:val="Tabla con cuadrícula262"/>
    <w:basedOn w:val="Tablanormal"/>
    <w:next w:val="Tablaconcuadrcula"/>
    <w:rsid w:val="00B47E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3">
    <w:name w:val="Tabla con cuadrícula263"/>
    <w:basedOn w:val="Tablanormal"/>
    <w:next w:val="Tablaconcuadrcula"/>
    <w:rsid w:val="00DC112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4">
    <w:name w:val="Tabla con cuadrícula264"/>
    <w:basedOn w:val="Tablanormal"/>
    <w:next w:val="Tablaconcuadrcula"/>
    <w:rsid w:val="009B6F4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5">
    <w:name w:val="Tabla con cuadrícula265"/>
    <w:basedOn w:val="Tablanormal"/>
    <w:next w:val="Tablaconcuadrcula"/>
    <w:rsid w:val="00724E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
    <w:name w:val="Sin lista144"/>
    <w:next w:val="Sinlista"/>
    <w:semiHidden/>
    <w:rsid w:val="00A81D32"/>
  </w:style>
  <w:style w:type="table" w:customStyle="1" w:styleId="Tablaconcuadrcula266">
    <w:name w:val="Tabla con cuadrícula266"/>
    <w:basedOn w:val="Tablanormal"/>
    <w:next w:val="Tablaconcuadrcula"/>
    <w:rsid w:val="00C50F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5">
    <w:name w:val="Sin lista145"/>
    <w:next w:val="Sinlista"/>
    <w:semiHidden/>
    <w:rsid w:val="00954A79"/>
  </w:style>
  <w:style w:type="paragraph" w:customStyle="1" w:styleId="font5">
    <w:name w:val="font5"/>
    <w:basedOn w:val="Normal"/>
    <w:uiPriority w:val="99"/>
    <w:rsid w:val="00954A79"/>
    <w:pPr>
      <w:spacing w:before="100" w:beforeAutospacing="1" w:after="100" w:afterAutospacing="1"/>
    </w:pPr>
    <w:rPr>
      <w:rFonts w:eastAsia="Times New Roman"/>
      <w:sz w:val="20"/>
      <w:szCs w:val="20"/>
      <w:lang w:val="es-ES"/>
    </w:rPr>
  </w:style>
  <w:style w:type="paragraph" w:customStyle="1" w:styleId="font6">
    <w:name w:val="font6"/>
    <w:basedOn w:val="Normal"/>
    <w:uiPriority w:val="99"/>
    <w:rsid w:val="00954A79"/>
    <w:pPr>
      <w:spacing w:before="100" w:beforeAutospacing="1" w:after="100" w:afterAutospacing="1"/>
    </w:pPr>
    <w:rPr>
      <w:rFonts w:eastAsia="Times New Roman"/>
      <w:i/>
      <w:iCs/>
      <w:sz w:val="20"/>
      <w:szCs w:val="20"/>
      <w:lang w:val="es-ES"/>
    </w:rPr>
  </w:style>
  <w:style w:type="paragraph" w:customStyle="1" w:styleId="font7">
    <w:name w:val="font7"/>
    <w:basedOn w:val="Normal"/>
    <w:uiPriority w:val="99"/>
    <w:rsid w:val="00954A79"/>
    <w:pPr>
      <w:spacing w:before="100" w:beforeAutospacing="1" w:after="100" w:afterAutospacing="1"/>
    </w:pPr>
    <w:rPr>
      <w:rFonts w:eastAsia="Times New Roman"/>
      <w:i/>
      <w:iCs/>
      <w:color w:val="000000"/>
      <w:sz w:val="20"/>
      <w:szCs w:val="20"/>
      <w:lang w:val="es-ES"/>
    </w:rPr>
  </w:style>
  <w:style w:type="paragraph" w:customStyle="1" w:styleId="xl25">
    <w:name w:val="xl25"/>
    <w:basedOn w:val="Normal"/>
    <w:uiPriority w:val="99"/>
    <w:rsid w:val="00954A79"/>
    <w:pPr>
      <w:spacing w:before="100" w:beforeAutospacing="1" w:after="100" w:afterAutospacing="1"/>
    </w:pPr>
    <w:rPr>
      <w:rFonts w:eastAsia="Times New Roman"/>
      <w:b/>
      <w:bCs/>
      <w:color w:val="000000"/>
      <w:lang w:val="es-ES"/>
    </w:rPr>
  </w:style>
  <w:style w:type="paragraph" w:customStyle="1" w:styleId="xl26">
    <w:name w:val="xl26"/>
    <w:basedOn w:val="Normal"/>
    <w:uiPriority w:val="99"/>
    <w:rsid w:val="00954A79"/>
    <w:pPr>
      <w:spacing w:before="100" w:beforeAutospacing="1" w:after="100" w:afterAutospacing="1"/>
    </w:pPr>
    <w:rPr>
      <w:rFonts w:eastAsia="Times New Roman"/>
      <w:color w:val="000000"/>
      <w:lang w:val="es-ES"/>
    </w:rPr>
  </w:style>
  <w:style w:type="paragraph" w:customStyle="1" w:styleId="xl27">
    <w:name w:val="xl27"/>
    <w:basedOn w:val="Normal"/>
    <w:uiPriority w:val="99"/>
    <w:rsid w:val="00954A79"/>
    <w:pPr>
      <w:spacing w:before="100" w:beforeAutospacing="1" w:after="100" w:afterAutospacing="1"/>
    </w:pPr>
    <w:rPr>
      <w:rFonts w:eastAsia="Times New Roman"/>
      <w:color w:val="000000"/>
      <w:lang w:val="es-ES"/>
    </w:rPr>
  </w:style>
  <w:style w:type="paragraph" w:customStyle="1" w:styleId="xl29">
    <w:name w:val="xl29"/>
    <w:basedOn w:val="Normal"/>
    <w:uiPriority w:val="99"/>
    <w:rsid w:val="00954A79"/>
    <w:pPr>
      <w:pBdr>
        <w:bottom w:val="single" w:sz="4" w:space="0" w:color="auto"/>
      </w:pBdr>
      <w:spacing w:before="100" w:beforeAutospacing="1" w:after="100" w:afterAutospacing="1"/>
    </w:pPr>
    <w:rPr>
      <w:rFonts w:eastAsia="Times New Roman"/>
      <w:color w:val="000000"/>
      <w:lang w:val="es-ES"/>
    </w:rPr>
  </w:style>
  <w:style w:type="paragraph" w:customStyle="1" w:styleId="xl30">
    <w:name w:val="xl30"/>
    <w:basedOn w:val="Normal"/>
    <w:uiPriority w:val="99"/>
    <w:rsid w:val="00954A79"/>
    <w:pPr>
      <w:pBdr>
        <w:bottom w:val="single" w:sz="4" w:space="0" w:color="auto"/>
      </w:pBdr>
      <w:spacing w:before="100" w:beforeAutospacing="1" w:after="100" w:afterAutospacing="1"/>
    </w:pPr>
    <w:rPr>
      <w:rFonts w:eastAsia="Times New Roman"/>
      <w:lang w:val="es-ES"/>
    </w:rPr>
  </w:style>
  <w:style w:type="paragraph" w:customStyle="1" w:styleId="xl31">
    <w:name w:val="xl31"/>
    <w:basedOn w:val="Normal"/>
    <w:uiPriority w:val="99"/>
    <w:rsid w:val="00954A79"/>
    <w:pPr>
      <w:pBdr>
        <w:bottom w:val="single" w:sz="4" w:space="0" w:color="auto"/>
      </w:pBdr>
      <w:spacing w:before="100" w:beforeAutospacing="1" w:after="100" w:afterAutospacing="1"/>
      <w:jc w:val="right"/>
    </w:pPr>
    <w:rPr>
      <w:rFonts w:eastAsia="Times New Roman"/>
      <w:lang w:val="es-ES"/>
    </w:rPr>
  </w:style>
  <w:style w:type="paragraph" w:customStyle="1" w:styleId="xl22">
    <w:name w:val="xl22"/>
    <w:basedOn w:val="Normal"/>
    <w:uiPriority w:val="99"/>
    <w:rsid w:val="00954A79"/>
    <w:pPr>
      <w:spacing w:before="100" w:beforeAutospacing="1" w:after="100" w:afterAutospacing="1"/>
    </w:pPr>
    <w:rPr>
      <w:rFonts w:eastAsia="Times New Roman"/>
      <w:lang w:val="es-ES"/>
    </w:rPr>
  </w:style>
  <w:style w:type="paragraph" w:customStyle="1" w:styleId="xl23">
    <w:name w:val="xl23"/>
    <w:basedOn w:val="Normal"/>
    <w:uiPriority w:val="99"/>
    <w:rsid w:val="00954A79"/>
    <w:pPr>
      <w:spacing w:before="100" w:beforeAutospacing="1" w:after="100" w:afterAutospacing="1"/>
    </w:pPr>
    <w:rPr>
      <w:rFonts w:eastAsia="Times New Roman"/>
      <w:lang w:val="es-ES"/>
    </w:rPr>
  </w:style>
  <w:style w:type="numbering" w:customStyle="1" w:styleId="Sinlista146">
    <w:name w:val="Sin lista146"/>
    <w:next w:val="Sinlista"/>
    <w:semiHidden/>
    <w:rsid w:val="00954A79"/>
  </w:style>
  <w:style w:type="table" w:customStyle="1" w:styleId="Tablaconcuadrcula267">
    <w:name w:val="Tabla con cuadrícula267"/>
    <w:basedOn w:val="Tablanormal"/>
    <w:next w:val="Tablaconcuadrcula"/>
    <w:rsid w:val="00954A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1">
    <w:name w:val="short_text1"/>
    <w:basedOn w:val="Fuentedeprrafopredeter"/>
    <w:rsid w:val="00954A79"/>
    <w:rPr>
      <w:sz w:val="19"/>
      <w:szCs w:val="19"/>
    </w:rPr>
  </w:style>
  <w:style w:type="table" w:customStyle="1" w:styleId="Tablaconcuadrcula1290">
    <w:name w:val="Tabla con cuadrícula 129"/>
    <w:basedOn w:val="Tablanormal"/>
    <w:next w:val="Tablaconcuadrcula10"/>
    <w:rsid w:val="00B34F2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47">
    <w:name w:val="Sin lista147"/>
    <w:next w:val="Sinlista"/>
    <w:semiHidden/>
    <w:rsid w:val="00DA172D"/>
  </w:style>
  <w:style w:type="table" w:customStyle="1" w:styleId="Tablaconcuadrcula268">
    <w:name w:val="Tabla con cuadrícula268"/>
    <w:basedOn w:val="Tablanormal"/>
    <w:next w:val="Tablaconcuadrcula"/>
    <w:rsid w:val="00DA17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9">
    <w:name w:val="Style 9"/>
    <w:basedOn w:val="Normal"/>
    <w:uiPriority w:val="99"/>
    <w:rsid w:val="00DA172D"/>
    <w:pPr>
      <w:widowControl w:val="0"/>
      <w:autoSpaceDE w:val="0"/>
      <w:autoSpaceDN w:val="0"/>
      <w:spacing w:before="108"/>
      <w:ind w:right="144"/>
      <w:jc w:val="both"/>
    </w:pPr>
    <w:rPr>
      <w:rFonts w:eastAsia="Times New Roman"/>
      <w:lang w:val="en-US"/>
    </w:rPr>
  </w:style>
  <w:style w:type="paragraph" w:customStyle="1" w:styleId="Style13">
    <w:name w:val="Style 13"/>
    <w:basedOn w:val="Normal"/>
    <w:uiPriority w:val="99"/>
    <w:rsid w:val="00DA172D"/>
    <w:pPr>
      <w:widowControl w:val="0"/>
      <w:autoSpaceDE w:val="0"/>
      <w:autoSpaceDN w:val="0"/>
      <w:spacing w:before="252" w:after="216"/>
    </w:pPr>
    <w:rPr>
      <w:rFonts w:eastAsia="Times New Roman"/>
      <w:lang w:val="en-US"/>
    </w:rPr>
  </w:style>
  <w:style w:type="paragraph" w:customStyle="1" w:styleId="Style14">
    <w:name w:val="Style 14"/>
    <w:basedOn w:val="Normal"/>
    <w:uiPriority w:val="99"/>
    <w:rsid w:val="00DA172D"/>
    <w:pPr>
      <w:widowControl w:val="0"/>
      <w:autoSpaceDE w:val="0"/>
      <w:autoSpaceDN w:val="0"/>
      <w:adjustRightInd w:val="0"/>
    </w:pPr>
    <w:rPr>
      <w:rFonts w:eastAsia="Times New Roman"/>
      <w:lang w:val="en-US"/>
    </w:rPr>
  </w:style>
  <w:style w:type="paragraph" w:customStyle="1" w:styleId="Style1">
    <w:name w:val="Style 1"/>
    <w:basedOn w:val="Normal"/>
    <w:uiPriority w:val="99"/>
    <w:rsid w:val="00DA172D"/>
    <w:pPr>
      <w:widowControl w:val="0"/>
      <w:tabs>
        <w:tab w:val="decimal" w:pos="360"/>
      </w:tabs>
      <w:autoSpaceDE w:val="0"/>
      <w:autoSpaceDN w:val="0"/>
      <w:spacing w:before="36"/>
    </w:pPr>
    <w:rPr>
      <w:rFonts w:eastAsia="Times New Roman"/>
      <w:lang w:val="en-US"/>
    </w:rPr>
  </w:style>
  <w:style w:type="paragraph" w:customStyle="1" w:styleId="Style11">
    <w:name w:val="Style 11"/>
    <w:basedOn w:val="Normal"/>
    <w:uiPriority w:val="99"/>
    <w:rsid w:val="00DA172D"/>
    <w:pPr>
      <w:widowControl w:val="0"/>
      <w:autoSpaceDE w:val="0"/>
      <w:autoSpaceDN w:val="0"/>
      <w:spacing w:before="360"/>
      <w:jc w:val="both"/>
    </w:pPr>
    <w:rPr>
      <w:rFonts w:eastAsia="Times New Roman"/>
      <w:lang w:val="en-US"/>
    </w:rPr>
  </w:style>
  <w:style w:type="paragraph" w:customStyle="1" w:styleId="Style16">
    <w:name w:val="Style 16"/>
    <w:basedOn w:val="Normal"/>
    <w:uiPriority w:val="99"/>
    <w:rsid w:val="00DA172D"/>
    <w:pPr>
      <w:widowControl w:val="0"/>
      <w:autoSpaceDE w:val="0"/>
      <w:autoSpaceDN w:val="0"/>
      <w:spacing w:before="108"/>
      <w:jc w:val="both"/>
    </w:pPr>
    <w:rPr>
      <w:rFonts w:eastAsia="Times New Roman"/>
      <w:lang w:val="en-US"/>
    </w:rPr>
  </w:style>
  <w:style w:type="paragraph" w:customStyle="1" w:styleId="Style17">
    <w:name w:val="Style 17"/>
    <w:basedOn w:val="Normal"/>
    <w:uiPriority w:val="99"/>
    <w:rsid w:val="00DA172D"/>
    <w:pPr>
      <w:widowControl w:val="0"/>
      <w:autoSpaceDE w:val="0"/>
      <w:autoSpaceDN w:val="0"/>
      <w:adjustRightInd w:val="0"/>
    </w:pPr>
    <w:rPr>
      <w:rFonts w:eastAsia="Times New Roman"/>
      <w:lang w:val="en-US"/>
    </w:rPr>
  </w:style>
  <w:style w:type="paragraph" w:customStyle="1" w:styleId="Style18">
    <w:name w:val="Style 18"/>
    <w:basedOn w:val="Normal"/>
    <w:uiPriority w:val="99"/>
    <w:rsid w:val="00DA172D"/>
    <w:pPr>
      <w:widowControl w:val="0"/>
      <w:tabs>
        <w:tab w:val="decimal" w:pos="3888"/>
        <w:tab w:val="decimal" w:pos="4896"/>
        <w:tab w:val="left" w:pos="5652"/>
        <w:tab w:val="right" w:pos="6804"/>
        <w:tab w:val="decimal" w:pos="7920"/>
      </w:tabs>
      <w:autoSpaceDE w:val="0"/>
      <w:autoSpaceDN w:val="0"/>
      <w:spacing w:line="360" w:lineRule="auto"/>
      <w:ind w:left="288"/>
    </w:pPr>
    <w:rPr>
      <w:rFonts w:eastAsia="Times New Roman"/>
      <w:lang w:val="en-US"/>
    </w:rPr>
  </w:style>
  <w:style w:type="paragraph" w:customStyle="1" w:styleId="Style19">
    <w:name w:val="Style 19"/>
    <w:basedOn w:val="Normal"/>
    <w:uiPriority w:val="99"/>
    <w:rsid w:val="00DA172D"/>
    <w:pPr>
      <w:widowControl w:val="0"/>
      <w:autoSpaceDE w:val="0"/>
      <w:autoSpaceDN w:val="0"/>
      <w:ind w:left="324"/>
    </w:pPr>
    <w:rPr>
      <w:rFonts w:eastAsia="Times New Roman"/>
      <w:lang w:val="en-US"/>
    </w:rPr>
  </w:style>
  <w:style w:type="paragraph" w:customStyle="1" w:styleId="Style12">
    <w:name w:val="Style 12"/>
    <w:basedOn w:val="Normal"/>
    <w:uiPriority w:val="99"/>
    <w:rsid w:val="00DA172D"/>
    <w:pPr>
      <w:widowControl w:val="0"/>
      <w:autoSpaceDE w:val="0"/>
      <w:autoSpaceDN w:val="0"/>
      <w:spacing w:before="108" w:after="10224"/>
      <w:jc w:val="both"/>
    </w:pPr>
    <w:rPr>
      <w:rFonts w:eastAsia="Times New Roman"/>
      <w:lang w:val="en-US"/>
    </w:rPr>
  </w:style>
  <w:style w:type="paragraph" w:customStyle="1" w:styleId="Style10">
    <w:name w:val="Style 10"/>
    <w:basedOn w:val="Normal"/>
    <w:uiPriority w:val="99"/>
    <w:rsid w:val="00DA172D"/>
    <w:pPr>
      <w:widowControl w:val="0"/>
      <w:autoSpaceDE w:val="0"/>
      <w:autoSpaceDN w:val="0"/>
      <w:jc w:val="both"/>
    </w:pPr>
    <w:rPr>
      <w:rFonts w:eastAsia="Times New Roman"/>
      <w:lang w:val="en-US"/>
    </w:rPr>
  </w:style>
  <w:style w:type="table" w:styleId="Tablaconcuadrcula2a">
    <w:name w:val="Table Grid 2"/>
    <w:basedOn w:val="Tablanormal"/>
    <w:rsid w:val="00DA172D"/>
    <w:pPr>
      <w:widowControl w:val="0"/>
      <w:autoSpaceDE w:val="0"/>
      <w:autoSpaceDN w:val="0"/>
    </w:pPr>
    <w:rPr>
      <w:rFonts w:eastAsia="Times New Roman"/>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Tablaconcuadrcula269">
    <w:name w:val="Tabla con cuadrícula269"/>
    <w:basedOn w:val="Tablanormal"/>
    <w:next w:val="Tablaconcuadrcula"/>
    <w:rsid w:val="00A642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0">
    <w:name w:val="Tabla con cuadrícula270"/>
    <w:basedOn w:val="Tablanormal"/>
    <w:next w:val="Tablaconcuadrcula"/>
    <w:rsid w:val="00A642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1">
    <w:name w:val="Tabla con cuadrícula271"/>
    <w:basedOn w:val="Tablanormal"/>
    <w:next w:val="Tablaconcuadrcula"/>
    <w:rsid w:val="00A642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
    <w:name w:val="Sin lista148"/>
    <w:next w:val="Sinlista"/>
    <w:semiHidden/>
    <w:rsid w:val="00CA6BF5"/>
  </w:style>
  <w:style w:type="table" w:customStyle="1" w:styleId="Tablaconcuadrcula1301">
    <w:name w:val="Tabla con cuadrícula 130"/>
    <w:basedOn w:val="Tablanormal"/>
    <w:next w:val="Tablaconcuadrcula10"/>
    <w:rsid w:val="00CA6BF5"/>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49">
    <w:name w:val="Sin lista149"/>
    <w:next w:val="Sinlista"/>
    <w:semiHidden/>
    <w:rsid w:val="00DE74B8"/>
  </w:style>
  <w:style w:type="table" w:customStyle="1" w:styleId="Tablaconcuadrcula272">
    <w:name w:val="Tabla con cuadrícula272"/>
    <w:basedOn w:val="Tablanormal"/>
    <w:next w:val="Tablaconcuadrcula"/>
    <w:rsid w:val="00DE74B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0">
    <w:name w:val="Sin lista150"/>
    <w:next w:val="Sinlista"/>
    <w:semiHidden/>
    <w:rsid w:val="008B7A9E"/>
  </w:style>
  <w:style w:type="table" w:customStyle="1" w:styleId="Tablaconcuadrcula273">
    <w:name w:val="Tabla con cuadrícula273"/>
    <w:basedOn w:val="Tablanormal"/>
    <w:next w:val="Tablaconcuadrcula"/>
    <w:rsid w:val="008B7A9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4">
    <w:name w:val="Tabla con cuadrícula274"/>
    <w:basedOn w:val="Tablanormal"/>
    <w:next w:val="Tablaconcuadrcula"/>
    <w:rsid w:val="00CA0C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5">
    <w:name w:val="Tabla con cuadrícula275"/>
    <w:basedOn w:val="Tablanormal"/>
    <w:next w:val="Tablaconcuadrcula"/>
    <w:rsid w:val="00CA0C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1">
    <w:name w:val="Sin lista151"/>
    <w:next w:val="Sinlista"/>
    <w:semiHidden/>
    <w:rsid w:val="00B23A94"/>
  </w:style>
  <w:style w:type="numbering" w:customStyle="1" w:styleId="Sinlista152">
    <w:name w:val="Sin lista152"/>
    <w:next w:val="Sinlista"/>
    <w:semiHidden/>
    <w:rsid w:val="00511A66"/>
  </w:style>
  <w:style w:type="table" w:customStyle="1" w:styleId="Tablaconcuadrcula276">
    <w:name w:val="Tabla con cuadrícula276"/>
    <w:basedOn w:val="Tablanormal"/>
    <w:next w:val="Tablaconcuadrcula"/>
    <w:rsid w:val="00511A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3">
    <w:name w:val="Sin lista153"/>
    <w:next w:val="Sinlista"/>
    <w:semiHidden/>
    <w:rsid w:val="004272E4"/>
  </w:style>
  <w:style w:type="character" w:customStyle="1" w:styleId="longtext1">
    <w:name w:val="long_text1"/>
    <w:basedOn w:val="Fuentedeprrafopredeter"/>
    <w:rsid w:val="004272E4"/>
    <w:rPr>
      <w:sz w:val="20"/>
      <w:szCs w:val="20"/>
    </w:rPr>
  </w:style>
  <w:style w:type="character" w:customStyle="1" w:styleId="normaltext1">
    <w:name w:val="normaltext1"/>
    <w:basedOn w:val="Fuentedeprrafopredeter"/>
    <w:rsid w:val="004272E4"/>
    <w:rPr>
      <w:b/>
      <w:bCs/>
    </w:rPr>
  </w:style>
  <w:style w:type="character" w:customStyle="1" w:styleId="goog-zippy-collapsed">
    <w:name w:val="goog-zippy-collapsed"/>
    <w:basedOn w:val="Fuentedeprrafopredeter"/>
    <w:rsid w:val="004272E4"/>
  </w:style>
  <w:style w:type="table" w:customStyle="1" w:styleId="Tablaconcuadrcula1310">
    <w:name w:val="Tabla con cuadrícula 131"/>
    <w:basedOn w:val="Tablanormal"/>
    <w:next w:val="Tablaconcuadrcula10"/>
    <w:rsid w:val="005E7D47"/>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77">
    <w:name w:val="Tabla con cuadrícula277"/>
    <w:basedOn w:val="Tablanormal"/>
    <w:next w:val="Tablaconcuadrcula"/>
    <w:rsid w:val="003B4F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4">
    <w:name w:val="Sin lista154"/>
    <w:next w:val="Sinlista"/>
    <w:semiHidden/>
    <w:rsid w:val="00AA1609"/>
  </w:style>
  <w:style w:type="table" w:customStyle="1" w:styleId="Tablaconcuadrcula278">
    <w:name w:val="Tabla con cuadrícula278"/>
    <w:basedOn w:val="Tablanormal"/>
    <w:next w:val="Tablaconcuadrcula"/>
    <w:rsid w:val="00AA160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9">
    <w:name w:val="Tabla con cuadrícula279"/>
    <w:basedOn w:val="Tablanormal"/>
    <w:next w:val="Tablaconcuadrcula"/>
    <w:rsid w:val="00AB5BE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5">
    <w:name w:val="Sin lista155"/>
    <w:next w:val="Sinlista"/>
    <w:semiHidden/>
    <w:rsid w:val="007D6E87"/>
  </w:style>
  <w:style w:type="table" w:customStyle="1" w:styleId="Tablaconcuadrcula280">
    <w:name w:val="Tabla con cuadrícula280"/>
    <w:basedOn w:val="Tablanormal"/>
    <w:next w:val="Tablaconcuadrcula"/>
    <w:rsid w:val="007D6E8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1">
    <w:name w:val="Tabla con cuadrícula281"/>
    <w:basedOn w:val="Tablanormal"/>
    <w:next w:val="Tablaconcuadrcula"/>
    <w:rsid w:val="000D431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0">
    <w:name w:val="Tabla con cuadrícula 132"/>
    <w:basedOn w:val="Tablanormal"/>
    <w:next w:val="Tablaconcuadrcula10"/>
    <w:rsid w:val="00AC38D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82">
    <w:name w:val="Tabla con cuadrícula282"/>
    <w:basedOn w:val="Tablanormal"/>
    <w:next w:val="Tablaconcuadrcula"/>
    <w:rsid w:val="0057624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3">
    <w:name w:val="Tabla con cuadrícula283"/>
    <w:basedOn w:val="Tablanormal"/>
    <w:next w:val="Tablaconcuadrcula"/>
    <w:rsid w:val="006C5A7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1">
    <w:name w:val="Tabla con cuadrícula1101"/>
    <w:basedOn w:val="Tablanormal"/>
    <w:next w:val="Tablaconcuadrcula"/>
    <w:rsid w:val="006C5A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6">
    <w:name w:val="Sin lista156"/>
    <w:next w:val="Sinlista"/>
    <w:semiHidden/>
    <w:rsid w:val="00C17A96"/>
  </w:style>
  <w:style w:type="table" w:customStyle="1" w:styleId="Tablaconcuadrcula284">
    <w:name w:val="Tabla con cuadrícula284"/>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1Car">
    <w:name w:val="Footnote Text Char1 Car"/>
    <w:aliases w:val="Footnote Text Char1 Char Car,Footnote Text Char Char Char Car Car,Texto nota pie Car1,Footnote Text Char Char Char Car1"/>
    <w:basedOn w:val="Fuentedeprrafopredeter"/>
    <w:uiPriority w:val="99"/>
    <w:rsid w:val="00C17A96"/>
    <w:rPr>
      <w:lang w:val="es-ES" w:eastAsia="es-ES" w:bidi="ar-SA"/>
    </w:rPr>
  </w:style>
  <w:style w:type="table" w:customStyle="1" w:styleId="Tablaconcuadrcula1601">
    <w:name w:val="Tabla con cuadrícula1601"/>
    <w:basedOn w:val="Tablanormal"/>
    <w:next w:val="Tablaconcuadrcula"/>
    <w:rsid w:val="00C17A96"/>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0">
    <w:name w:val="Tabla con cuadrícula2110"/>
    <w:basedOn w:val="Tablanormal"/>
    <w:next w:val="Tablaconcuadrcula"/>
    <w:rsid w:val="00C17A96"/>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0">
    <w:name w:val="Tabla con cuadrícula2210"/>
    <w:basedOn w:val="Tablanormal"/>
    <w:next w:val="Tablaconcuadrcula"/>
    <w:rsid w:val="00C17A96"/>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0">
    <w:name w:val="Tabla con cuadrícula2310"/>
    <w:basedOn w:val="Tablanormal"/>
    <w:next w:val="Tablaconcuadrcula"/>
    <w:rsid w:val="00C17A96"/>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7">
    <w:name w:val="Sin lista157"/>
    <w:next w:val="Sinlista"/>
    <w:semiHidden/>
    <w:unhideWhenUsed/>
    <w:rsid w:val="00C17A96"/>
  </w:style>
  <w:style w:type="character" w:customStyle="1" w:styleId="num1CarCar">
    <w:name w:val="num.                          1 Car Car"/>
    <w:basedOn w:val="Fuentedeprrafopredeter"/>
    <w:rsid w:val="00C17A96"/>
    <w:rPr>
      <w:rFonts w:ascii="Arial" w:hAnsi="Arial" w:cs="Arial"/>
      <w:b/>
      <w:bCs/>
      <w:kern w:val="36"/>
      <w:sz w:val="48"/>
      <w:szCs w:val="48"/>
      <w:lang w:val="es-MX" w:eastAsia="es-MX" w:bidi="ar-SA"/>
    </w:rPr>
  </w:style>
  <w:style w:type="numbering" w:customStyle="1" w:styleId="Sinlista210">
    <w:name w:val="Sin lista210"/>
    <w:next w:val="Sinlista"/>
    <w:semiHidden/>
    <w:unhideWhenUsed/>
    <w:rsid w:val="00C17A96"/>
  </w:style>
  <w:style w:type="table" w:customStyle="1" w:styleId="Tablabsica11">
    <w:name w:val="Tabla básica 11"/>
    <w:basedOn w:val="Tablanormal"/>
    <w:next w:val="Tablabsica1"/>
    <w:rsid w:val="00C17A96"/>
    <w:rPr>
      <w:rFonts w:eastAsia="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0">
    <w:name w:val="Sin lista1110"/>
    <w:next w:val="Sinlista"/>
    <w:semiHidden/>
    <w:rsid w:val="00C17A96"/>
  </w:style>
  <w:style w:type="table" w:customStyle="1" w:styleId="Tablaconcuadrcula11100">
    <w:name w:val="Tabla con cuadrícula1110"/>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30">
    <w:name w:val="Tabla con cuadrícula 133"/>
    <w:basedOn w:val="Tablanormal"/>
    <w:next w:val="Tablaconcuadrcula10"/>
    <w:rsid w:val="00C17A9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
    <w:name w:val="Tabla con cuadrícula1902"/>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
    <w:name w:val="Tabla con cuadrícula293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0">
    <w:name w:val="Tabla con cuadrícula6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0">
    <w:name w:val="Sin lista310"/>
    <w:next w:val="Sinlista"/>
    <w:semiHidden/>
    <w:unhideWhenUsed/>
    <w:rsid w:val="00C17A96"/>
  </w:style>
  <w:style w:type="table" w:customStyle="1" w:styleId="Tablaconcuadrcula1821">
    <w:name w:val="Tabla con cuadrícula182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3">
    <w:name w:val="Tabla con cuadrícula513"/>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0">
    <w:name w:val="Sin lista410"/>
    <w:next w:val="Sinlista"/>
    <w:semiHidden/>
    <w:rsid w:val="00C17A96"/>
  </w:style>
  <w:style w:type="numbering" w:customStyle="1" w:styleId="Sinlista510">
    <w:name w:val="Sin lista510"/>
    <w:next w:val="Sinlista"/>
    <w:semiHidden/>
    <w:unhideWhenUsed/>
    <w:rsid w:val="00C17A96"/>
  </w:style>
  <w:style w:type="numbering" w:customStyle="1" w:styleId="Sinlista1210">
    <w:name w:val="Sin lista1210"/>
    <w:next w:val="Sinlista"/>
    <w:semiHidden/>
    <w:rsid w:val="00C17A96"/>
  </w:style>
  <w:style w:type="numbering" w:customStyle="1" w:styleId="Sinlista610">
    <w:name w:val="Sin lista610"/>
    <w:next w:val="Sinlista"/>
    <w:semiHidden/>
    <w:unhideWhenUsed/>
    <w:rsid w:val="00C17A96"/>
  </w:style>
  <w:style w:type="numbering" w:customStyle="1" w:styleId="Sinlista710">
    <w:name w:val="Sin lista710"/>
    <w:next w:val="Sinlista"/>
    <w:semiHidden/>
    <w:unhideWhenUsed/>
    <w:rsid w:val="00C17A96"/>
  </w:style>
  <w:style w:type="table" w:customStyle="1" w:styleId="Tablaconcuadrcula12100">
    <w:name w:val="Tabla con cuadrícula1210"/>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0">
    <w:name w:val="Sin lista810"/>
    <w:next w:val="Sinlista"/>
    <w:semiHidden/>
    <w:unhideWhenUsed/>
    <w:rsid w:val="00C17A96"/>
  </w:style>
  <w:style w:type="numbering" w:customStyle="1" w:styleId="Sinlista910">
    <w:name w:val="Sin lista910"/>
    <w:next w:val="Sinlista"/>
    <w:semiHidden/>
    <w:rsid w:val="00C17A96"/>
  </w:style>
  <w:style w:type="numbering" w:customStyle="1" w:styleId="Sinlista1010">
    <w:name w:val="Sin lista1010"/>
    <w:next w:val="Sinlista"/>
    <w:semiHidden/>
    <w:unhideWhenUsed/>
    <w:rsid w:val="00C17A96"/>
  </w:style>
  <w:style w:type="numbering" w:customStyle="1" w:styleId="Sinlista1310">
    <w:name w:val="Sin lista1310"/>
    <w:next w:val="Sinlista"/>
    <w:semiHidden/>
    <w:rsid w:val="00C17A96"/>
  </w:style>
  <w:style w:type="table" w:customStyle="1" w:styleId="Tablaconcuadrcula521">
    <w:name w:val="Tabla con cuadrícula52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0">
    <w:name w:val="Tabla con cuadrícula15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0">
    <w:name w:val="Sin lista1410"/>
    <w:next w:val="Sinlista"/>
    <w:semiHidden/>
    <w:rsid w:val="00C17A96"/>
  </w:style>
  <w:style w:type="numbering" w:customStyle="1" w:styleId="Sinlista158">
    <w:name w:val="Sin lista158"/>
    <w:next w:val="Sinlista"/>
    <w:semiHidden/>
    <w:rsid w:val="00C17A96"/>
  </w:style>
  <w:style w:type="numbering" w:customStyle="1" w:styleId="Sinlista161">
    <w:name w:val="Sin lista161"/>
    <w:next w:val="Sinlista"/>
    <w:semiHidden/>
    <w:rsid w:val="00C17A96"/>
  </w:style>
  <w:style w:type="table" w:customStyle="1" w:styleId="Tablaconcuadrcula19100">
    <w:name w:val="Tabla con cuadrícula19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
    <w:name w:val="Sin lista171"/>
    <w:next w:val="Sinlista"/>
    <w:semiHidden/>
    <w:rsid w:val="00C17A96"/>
  </w:style>
  <w:style w:type="numbering" w:customStyle="1" w:styleId="Sinlista181">
    <w:name w:val="Sin lista181"/>
    <w:next w:val="Sinlista"/>
    <w:semiHidden/>
    <w:rsid w:val="00C17A96"/>
  </w:style>
  <w:style w:type="table" w:customStyle="1" w:styleId="Tablaconcuadrcula1102">
    <w:name w:val="Tabla con cuadrícula1102"/>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
    <w:name w:val="1 / 1.1 / 1.1.11"/>
    <w:basedOn w:val="Sinlista"/>
    <w:next w:val="111111"/>
    <w:rsid w:val="00C17A96"/>
  </w:style>
  <w:style w:type="numbering" w:customStyle="1" w:styleId="Sinlista191">
    <w:name w:val="Sin lista191"/>
    <w:next w:val="Sinlista"/>
    <w:semiHidden/>
    <w:unhideWhenUsed/>
    <w:rsid w:val="00C17A96"/>
  </w:style>
  <w:style w:type="table" w:customStyle="1" w:styleId="Tablaconcuadrcula2071">
    <w:name w:val="Tabla con cuadrícula207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
    <w:name w:val="1 / 1.1 / 1.1.111"/>
    <w:basedOn w:val="Sinlista"/>
    <w:next w:val="111111"/>
    <w:rsid w:val="00C17A96"/>
  </w:style>
  <w:style w:type="table" w:customStyle="1" w:styleId="Tablaconcuadrcula2510">
    <w:name w:val="Tabla con cuadrícula25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0">
    <w:name w:val="Tabla con cuadrícula26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01">
    <w:name w:val="Sin lista201"/>
    <w:next w:val="Sinlista"/>
    <w:semiHidden/>
    <w:rsid w:val="00C17A96"/>
  </w:style>
  <w:style w:type="table" w:customStyle="1" w:styleId="Tablaconcuadrcula2710">
    <w:name w:val="Tabla con cuadrícula2710"/>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1">
    <w:name w:val="Tabla con cuadrícula16011"/>
    <w:basedOn w:val="Tablanormal"/>
    <w:next w:val="Tablaconcuadrcula"/>
    <w:rsid w:val="00C17A96"/>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1">
    <w:name w:val="Tabla con cuadrícula2111"/>
    <w:basedOn w:val="Tablanormal"/>
    <w:next w:val="Tablaconcuadrcula"/>
    <w:rsid w:val="00C17A96"/>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1">
    <w:name w:val="Tabla con cuadrícula2211"/>
    <w:basedOn w:val="Tablanormal"/>
    <w:next w:val="Tablaconcuadrcula"/>
    <w:rsid w:val="00C17A96"/>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1">
    <w:name w:val="Tabla con cuadrícula2311"/>
    <w:basedOn w:val="Tablanormal"/>
    <w:next w:val="Tablaconcuadrcula"/>
    <w:rsid w:val="00C17A96"/>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1">
    <w:name w:val="Sin lista1101"/>
    <w:next w:val="Sinlista"/>
    <w:semiHidden/>
    <w:unhideWhenUsed/>
    <w:rsid w:val="00C17A96"/>
  </w:style>
  <w:style w:type="numbering" w:customStyle="1" w:styleId="Sinlista211">
    <w:name w:val="Sin lista211"/>
    <w:next w:val="Sinlista"/>
    <w:semiHidden/>
    <w:unhideWhenUsed/>
    <w:rsid w:val="00C17A96"/>
  </w:style>
  <w:style w:type="table" w:customStyle="1" w:styleId="Tablabsica111">
    <w:name w:val="Tabla básica 111"/>
    <w:basedOn w:val="Tablanormal"/>
    <w:next w:val="Tablabsica1"/>
    <w:rsid w:val="00C17A96"/>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1">
    <w:name w:val="Sin lista1111"/>
    <w:next w:val="Sinlista"/>
    <w:semiHidden/>
    <w:rsid w:val="00C17A96"/>
  </w:style>
  <w:style w:type="table" w:customStyle="1" w:styleId="Tablaconcuadrcula11110">
    <w:name w:val="Tabla con cuadrícula11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01">
    <w:name w:val="Tabla con cuadrícula 1110"/>
    <w:basedOn w:val="Tablanormal"/>
    <w:next w:val="Tablaconcuadrcula10"/>
    <w:rsid w:val="00C17A9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1">
    <w:name w:val="Tabla con cuadrícula1902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1">
    <w:name w:val="Tabla con cuadrícula293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
    <w:name w:val="Tabla con cuadrícula6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1">
    <w:name w:val="Sin lista311"/>
    <w:next w:val="Sinlista"/>
    <w:semiHidden/>
    <w:unhideWhenUsed/>
    <w:rsid w:val="00C17A96"/>
  </w:style>
  <w:style w:type="table" w:customStyle="1" w:styleId="Tablaconcuadrcula18211">
    <w:name w:val="Tabla con cuadrícula182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1">
    <w:name w:val="Tabla con cuadrícula51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1">
    <w:name w:val="Sin lista411"/>
    <w:next w:val="Sinlista"/>
    <w:semiHidden/>
    <w:rsid w:val="00C17A96"/>
  </w:style>
  <w:style w:type="numbering" w:customStyle="1" w:styleId="Sinlista511">
    <w:name w:val="Sin lista511"/>
    <w:next w:val="Sinlista"/>
    <w:semiHidden/>
    <w:unhideWhenUsed/>
    <w:rsid w:val="00C17A96"/>
  </w:style>
  <w:style w:type="numbering" w:customStyle="1" w:styleId="Sinlista1211">
    <w:name w:val="Sin lista1211"/>
    <w:next w:val="Sinlista"/>
    <w:semiHidden/>
    <w:rsid w:val="00C17A96"/>
  </w:style>
  <w:style w:type="numbering" w:customStyle="1" w:styleId="Sinlista611">
    <w:name w:val="Sin lista611"/>
    <w:next w:val="Sinlista"/>
    <w:semiHidden/>
    <w:unhideWhenUsed/>
    <w:rsid w:val="00C17A96"/>
  </w:style>
  <w:style w:type="numbering" w:customStyle="1" w:styleId="Sinlista711">
    <w:name w:val="Sin lista711"/>
    <w:next w:val="Sinlista"/>
    <w:semiHidden/>
    <w:unhideWhenUsed/>
    <w:rsid w:val="00C17A96"/>
  </w:style>
  <w:style w:type="table" w:customStyle="1" w:styleId="Tablaconcuadrcula1211">
    <w:name w:val="Tabla con cuadrícula12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1">
    <w:name w:val="Sin lista811"/>
    <w:next w:val="Sinlista"/>
    <w:semiHidden/>
    <w:unhideWhenUsed/>
    <w:rsid w:val="00C17A96"/>
  </w:style>
  <w:style w:type="numbering" w:customStyle="1" w:styleId="Sinlista911">
    <w:name w:val="Sin lista911"/>
    <w:next w:val="Sinlista"/>
    <w:semiHidden/>
    <w:rsid w:val="00C17A96"/>
  </w:style>
  <w:style w:type="numbering" w:customStyle="1" w:styleId="Sinlista1011">
    <w:name w:val="Sin lista1011"/>
    <w:next w:val="Sinlista"/>
    <w:semiHidden/>
    <w:unhideWhenUsed/>
    <w:rsid w:val="00C17A96"/>
  </w:style>
  <w:style w:type="numbering" w:customStyle="1" w:styleId="Sinlista1311">
    <w:name w:val="Sin lista1311"/>
    <w:next w:val="Sinlista"/>
    <w:semiHidden/>
    <w:rsid w:val="00C17A96"/>
  </w:style>
  <w:style w:type="table" w:customStyle="1" w:styleId="Tablaconcuadrcula5211">
    <w:name w:val="Tabla con cuadrícula52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1">
    <w:name w:val="Tabla con cuadrícula15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1">
    <w:name w:val="Sin lista1411"/>
    <w:next w:val="Sinlista"/>
    <w:semiHidden/>
    <w:rsid w:val="00C17A96"/>
  </w:style>
  <w:style w:type="numbering" w:customStyle="1" w:styleId="Sinlista1511">
    <w:name w:val="Sin lista1511"/>
    <w:next w:val="Sinlista"/>
    <w:semiHidden/>
    <w:rsid w:val="00C17A96"/>
  </w:style>
  <w:style w:type="numbering" w:customStyle="1" w:styleId="Sinlista1611">
    <w:name w:val="Sin lista1611"/>
    <w:next w:val="Sinlista"/>
    <w:semiHidden/>
    <w:rsid w:val="00C17A96"/>
  </w:style>
  <w:style w:type="table" w:customStyle="1" w:styleId="Tablaconcuadrcula1911">
    <w:name w:val="Tabla con cuadrícula19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1">
    <w:name w:val="Sin lista1711"/>
    <w:next w:val="Sinlista"/>
    <w:semiHidden/>
    <w:rsid w:val="00C17A96"/>
  </w:style>
  <w:style w:type="numbering" w:customStyle="1" w:styleId="Sinlista1811">
    <w:name w:val="Sin lista1811"/>
    <w:next w:val="Sinlista"/>
    <w:semiHidden/>
    <w:rsid w:val="00C17A96"/>
  </w:style>
  <w:style w:type="numbering" w:customStyle="1" w:styleId="1111112">
    <w:name w:val="1 / 1.1 / 1.1.12"/>
    <w:basedOn w:val="Sinlista"/>
    <w:next w:val="111111"/>
    <w:rsid w:val="00C17A96"/>
    <w:pPr>
      <w:numPr>
        <w:numId w:val="9"/>
      </w:numPr>
    </w:pPr>
  </w:style>
  <w:style w:type="numbering" w:customStyle="1" w:styleId="Sinlista1911">
    <w:name w:val="Sin lista1911"/>
    <w:next w:val="Sinlista"/>
    <w:semiHidden/>
    <w:unhideWhenUsed/>
    <w:rsid w:val="00C17A96"/>
  </w:style>
  <w:style w:type="table" w:customStyle="1" w:styleId="Tablaconcuadrcula20711">
    <w:name w:val="Tabla con cuadrícula207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1">
    <w:name w:val="Tabla con cuadrícula25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1">
    <w:name w:val="Tabla con cuadrícula26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1">
    <w:name w:val="Tabla con cuadrícula2711"/>
    <w:basedOn w:val="Tablanormal"/>
    <w:next w:val="Tablaconcuadrcula"/>
    <w:rsid w:val="00C17A96"/>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1">
    <w:name w:val="Sin lista2011"/>
    <w:next w:val="Sinlista"/>
    <w:semiHidden/>
    <w:rsid w:val="00C17A96"/>
  </w:style>
  <w:style w:type="numbering" w:customStyle="1" w:styleId="Sinlista2111">
    <w:name w:val="Sin lista2111"/>
    <w:next w:val="Sinlista"/>
    <w:semiHidden/>
    <w:rsid w:val="00C17A96"/>
  </w:style>
  <w:style w:type="numbering" w:customStyle="1" w:styleId="Sinlista221">
    <w:name w:val="Sin lista221"/>
    <w:next w:val="Sinlista"/>
    <w:semiHidden/>
    <w:rsid w:val="00C17A96"/>
  </w:style>
  <w:style w:type="numbering" w:customStyle="1" w:styleId="Sinlista231">
    <w:name w:val="Sin lista231"/>
    <w:next w:val="Sinlista"/>
    <w:semiHidden/>
    <w:rsid w:val="00C17A96"/>
  </w:style>
  <w:style w:type="numbering" w:customStyle="1" w:styleId="Sinlista241">
    <w:name w:val="Sin lista241"/>
    <w:next w:val="Sinlista"/>
    <w:semiHidden/>
    <w:rsid w:val="00C17A96"/>
  </w:style>
  <w:style w:type="numbering" w:customStyle="1" w:styleId="Sinlista251">
    <w:name w:val="Sin lista251"/>
    <w:next w:val="Sinlista"/>
    <w:semiHidden/>
    <w:rsid w:val="00C17A96"/>
  </w:style>
  <w:style w:type="numbering" w:customStyle="1" w:styleId="Sinlista261">
    <w:name w:val="Sin lista261"/>
    <w:next w:val="Sinlista"/>
    <w:semiHidden/>
    <w:rsid w:val="00C17A96"/>
  </w:style>
  <w:style w:type="numbering" w:customStyle="1" w:styleId="Sinlista271">
    <w:name w:val="Sin lista271"/>
    <w:next w:val="Sinlista"/>
    <w:semiHidden/>
    <w:rsid w:val="00C17A96"/>
  </w:style>
  <w:style w:type="numbering" w:customStyle="1" w:styleId="Sinlista281">
    <w:name w:val="Sin lista281"/>
    <w:next w:val="Sinlista"/>
    <w:semiHidden/>
    <w:rsid w:val="00C17A96"/>
  </w:style>
  <w:style w:type="numbering" w:customStyle="1" w:styleId="Sinlista291">
    <w:name w:val="Sin lista291"/>
    <w:next w:val="Sinlista"/>
    <w:semiHidden/>
    <w:rsid w:val="00C17A96"/>
  </w:style>
  <w:style w:type="numbering" w:customStyle="1" w:styleId="Sinlista301">
    <w:name w:val="Sin lista301"/>
    <w:next w:val="Sinlista"/>
    <w:semiHidden/>
    <w:rsid w:val="00C17A96"/>
  </w:style>
  <w:style w:type="numbering" w:customStyle="1" w:styleId="Sinlista3111">
    <w:name w:val="Sin lista3111"/>
    <w:next w:val="Sinlista"/>
    <w:semiHidden/>
    <w:rsid w:val="00C17A96"/>
  </w:style>
  <w:style w:type="table" w:customStyle="1" w:styleId="Tablaconcuadrcula6111">
    <w:name w:val="Tabla con cuadrícula6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1">
    <w:name w:val="Sin lista321"/>
    <w:next w:val="Sinlista"/>
    <w:semiHidden/>
    <w:rsid w:val="00C17A96"/>
  </w:style>
  <w:style w:type="numbering" w:customStyle="1" w:styleId="Sinlista331">
    <w:name w:val="Sin lista331"/>
    <w:next w:val="Sinlista"/>
    <w:semiHidden/>
    <w:unhideWhenUsed/>
    <w:rsid w:val="00C17A96"/>
  </w:style>
  <w:style w:type="numbering" w:customStyle="1" w:styleId="Sinlista341">
    <w:name w:val="Sin lista341"/>
    <w:next w:val="Sinlista"/>
    <w:semiHidden/>
    <w:rsid w:val="00C17A96"/>
  </w:style>
  <w:style w:type="numbering" w:customStyle="1" w:styleId="Sinlista351">
    <w:name w:val="Sin lista351"/>
    <w:next w:val="Sinlista"/>
    <w:semiHidden/>
    <w:rsid w:val="00C17A96"/>
  </w:style>
  <w:style w:type="numbering" w:customStyle="1" w:styleId="Sinlista361">
    <w:name w:val="Sin lista361"/>
    <w:next w:val="Sinlista"/>
    <w:semiHidden/>
    <w:rsid w:val="00C17A96"/>
  </w:style>
  <w:style w:type="numbering" w:customStyle="1" w:styleId="Sinlista371">
    <w:name w:val="Sin lista371"/>
    <w:next w:val="Sinlista"/>
    <w:semiHidden/>
    <w:rsid w:val="00C17A96"/>
  </w:style>
  <w:style w:type="numbering" w:customStyle="1" w:styleId="Sinlista381">
    <w:name w:val="Sin lista381"/>
    <w:next w:val="Sinlista"/>
    <w:semiHidden/>
    <w:rsid w:val="00C17A96"/>
  </w:style>
  <w:style w:type="numbering" w:customStyle="1" w:styleId="Sinlista391">
    <w:name w:val="Sin lista391"/>
    <w:next w:val="Sinlista"/>
    <w:semiHidden/>
    <w:rsid w:val="00C17A96"/>
  </w:style>
  <w:style w:type="numbering" w:customStyle="1" w:styleId="Sinlista401">
    <w:name w:val="Sin lista401"/>
    <w:next w:val="Sinlista"/>
    <w:semiHidden/>
    <w:rsid w:val="00C17A96"/>
  </w:style>
  <w:style w:type="numbering" w:customStyle="1" w:styleId="Sinlista4111">
    <w:name w:val="Sin lista4111"/>
    <w:next w:val="Sinlista"/>
    <w:semiHidden/>
    <w:rsid w:val="00C17A96"/>
  </w:style>
  <w:style w:type="numbering" w:customStyle="1" w:styleId="Sinlista421">
    <w:name w:val="Sin lista421"/>
    <w:next w:val="Sinlista"/>
    <w:semiHidden/>
    <w:rsid w:val="00C17A96"/>
  </w:style>
  <w:style w:type="numbering" w:customStyle="1" w:styleId="Sinlista431">
    <w:name w:val="Sin lista431"/>
    <w:next w:val="Sinlista"/>
    <w:semiHidden/>
    <w:rsid w:val="00C17A96"/>
  </w:style>
  <w:style w:type="numbering" w:customStyle="1" w:styleId="Sinlista441">
    <w:name w:val="Sin lista441"/>
    <w:next w:val="Sinlista"/>
    <w:semiHidden/>
    <w:rsid w:val="00C17A96"/>
  </w:style>
  <w:style w:type="numbering" w:customStyle="1" w:styleId="Sinlista451">
    <w:name w:val="Sin lista451"/>
    <w:next w:val="Sinlista"/>
    <w:semiHidden/>
    <w:rsid w:val="00C17A96"/>
  </w:style>
  <w:style w:type="numbering" w:customStyle="1" w:styleId="Sinlista461">
    <w:name w:val="Sin lista461"/>
    <w:next w:val="Sinlista"/>
    <w:semiHidden/>
    <w:rsid w:val="00C17A96"/>
  </w:style>
  <w:style w:type="numbering" w:customStyle="1" w:styleId="Sinlista471">
    <w:name w:val="Sin lista471"/>
    <w:next w:val="Sinlista"/>
    <w:semiHidden/>
    <w:rsid w:val="00C17A96"/>
  </w:style>
  <w:style w:type="numbering" w:customStyle="1" w:styleId="Sinlista481">
    <w:name w:val="Sin lista481"/>
    <w:next w:val="Sinlista"/>
    <w:semiHidden/>
    <w:rsid w:val="00C17A96"/>
  </w:style>
  <w:style w:type="numbering" w:customStyle="1" w:styleId="Sinlista491">
    <w:name w:val="Sin lista491"/>
    <w:next w:val="Sinlista"/>
    <w:semiHidden/>
    <w:rsid w:val="00C17A96"/>
  </w:style>
  <w:style w:type="numbering" w:customStyle="1" w:styleId="Sinlista501">
    <w:name w:val="Sin lista501"/>
    <w:next w:val="Sinlista"/>
    <w:semiHidden/>
    <w:rsid w:val="00C17A96"/>
  </w:style>
  <w:style w:type="numbering" w:customStyle="1" w:styleId="Sinlista5111">
    <w:name w:val="Sin lista5111"/>
    <w:next w:val="Sinlista"/>
    <w:semiHidden/>
    <w:rsid w:val="00C17A96"/>
  </w:style>
  <w:style w:type="numbering" w:customStyle="1" w:styleId="Sinlista521">
    <w:name w:val="Sin lista521"/>
    <w:next w:val="Sinlista"/>
    <w:semiHidden/>
    <w:rsid w:val="00C17A96"/>
  </w:style>
  <w:style w:type="numbering" w:customStyle="1" w:styleId="Sinlista531">
    <w:name w:val="Sin lista531"/>
    <w:next w:val="Sinlista"/>
    <w:semiHidden/>
    <w:rsid w:val="00C17A96"/>
  </w:style>
  <w:style w:type="numbering" w:customStyle="1" w:styleId="Sinlista541">
    <w:name w:val="Sin lista541"/>
    <w:next w:val="Sinlista"/>
    <w:semiHidden/>
    <w:rsid w:val="00C17A96"/>
  </w:style>
  <w:style w:type="numbering" w:customStyle="1" w:styleId="Sinlista551">
    <w:name w:val="Sin lista551"/>
    <w:next w:val="Sinlista"/>
    <w:semiHidden/>
    <w:rsid w:val="00C17A96"/>
  </w:style>
  <w:style w:type="numbering" w:customStyle="1" w:styleId="Sinlista561">
    <w:name w:val="Sin lista561"/>
    <w:next w:val="Sinlista"/>
    <w:semiHidden/>
    <w:rsid w:val="00C17A96"/>
  </w:style>
  <w:style w:type="numbering" w:customStyle="1" w:styleId="Sinlista571">
    <w:name w:val="Sin lista571"/>
    <w:next w:val="Sinlista"/>
    <w:semiHidden/>
    <w:rsid w:val="00C17A96"/>
  </w:style>
  <w:style w:type="numbering" w:customStyle="1" w:styleId="Sinlista581">
    <w:name w:val="Sin lista581"/>
    <w:next w:val="Sinlista"/>
    <w:semiHidden/>
    <w:rsid w:val="00C17A96"/>
  </w:style>
  <w:style w:type="numbering" w:customStyle="1" w:styleId="Sinlista591">
    <w:name w:val="Sin lista591"/>
    <w:next w:val="Sinlista"/>
    <w:semiHidden/>
    <w:rsid w:val="00C17A96"/>
  </w:style>
  <w:style w:type="table" w:customStyle="1" w:styleId="Tablaconcuadrcula11111">
    <w:name w:val="Tabla con cuadrícula11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1">
    <w:name w:val="Sin lista601"/>
    <w:next w:val="Sinlista"/>
    <w:semiHidden/>
    <w:rsid w:val="00C17A96"/>
  </w:style>
  <w:style w:type="numbering" w:customStyle="1" w:styleId="Sinlista6111">
    <w:name w:val="Sin lista6111"/>
    <w:next w:val="Sinlista"/>
    <w:semiHidden/>
    <w:rsid w:val="00C17A96"/>
  </w:style>
  <w:style w:type="numbering" w:customStyle="1" w:styleId="Sinlista621">
    <w:name w:val="Sin lista621"/>
    <w:next w:val="Sinlista"/>
    <w:semiHidden/>
    <w:rsid w:val="00C17A96"/>
  </w:style>
  <w:style w:type="numbering" w:customStyle="1" w:styleId="Sinlista631">
    <w:name w:val="Sin lista631"/>
    <w:next w:val="Sinlista"/>
    <w:semiHidden/>
    <w:rsid w:val="00C17A96"/>
  </w:style>
  <w:style w:type="numbering" w:customStyle="1" w:styleId="Sinlista641">
    <w:name w:val="Sin lista641"/>
    <w:next w:val="Sinlista"/>
    <w:semiHidden/>
    <w:rsid w:val="00C17A96"/>
  </w:style>
  <w:style w:type="numbering" w:customStyle="1" w:styleId="Sinlista651">
    <w:name w:val="Sin lista651"/>
    <w:next w:val="Sinlista"/>
    <w:semiHidden/>
    <w:rsid w:val="00C17A96"/>
  </w:style>
  <w:style w:type="numbering" w:customStyle="1" w:styleId="Sinlista661">
    <w:name w:val="Sin lista661"/>
    <w:next w:val="Sinlista"/>
    <w:semiHidden/>
    <w:rsid w:val="00C17A96"/>
  </w:style>
  <w:style w:type="numbering" w:customStyle="1" w:styleId="Sinlista671">
    <w:name w:val="Sin lista671"/>
    <w:next w:val="Sinlista"/>
    <w:semiHidden/>
    <w:rsid w:val="00C17A96"/>
  </w:style>
  <w:style w:type="numbering" w:customStyle="1" w:styleId="Sinlista681">
    <w:name w:val="Sin lista681"/>
    <w:next w:val="Sinlista"/>
    <w:semiHidden/>
    <w:rsid w:val="00C17A96"/>
  </w:style>
  <w:style w:type="table" w:customStyle="1" w:styleId="Tablaconcuadrcula12111">
    <w:name w:val="Tabla con cuadrícula12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1">
    <w:name w:val="Sin lista691"/>
    <w:next w:val="Sinlista"/>
    <w:semiHidden/>
    <w:rsid w:val="00C17A96"/>
  </w:style>
  <w:style w:type="numbering" w:customStyle="1" w:styleId="Sinlista701">
    <w:name w:val="Sin lista701"/>
    <w:next w:val="Sinlista"/>
    <w:semiHidden/>
    <w:rsid w:val="00C17A96"/>
  </w:style>
  <w:style w:type="numbering" w:customStyle="1" w:styleId="Sinlista7111">
    <w:name w:val="Sin lista7111"/>
    <w:next w:val="Sinlista"/>
    <w:semiHidden/>
    <w:rsid w:val="00C17A96"/>
  </w:style>
  <w:style w:type="numbering" w:customStyle="1" w:styleId="Sinlista721">
    <w:name w:val="Sin lista721"/>
    <w:next w:val="Sinlista"/>
    <w:semiHidden/>
    <w:rsid w:val="00C17A96"/>
  </w:style>
  <w:style w:type="numbering" w:customStyle="1" w:styleId="Sinlista731">
    <w:name w:val="Sin lista731"/>
    <w:next w:val="Sinlista"/>
    <w:semiHidden/>
    <w:rsid w:val="00C17A96"/>
  </w:style>
  <w:style w:type="numbering" w:customStyle="1" w:styleId="Sinlista741">
    <w:name w:val="Sin lista741"/>
    <w:next w:val="Sinlista"/>
    <w:semiHidden/>
    <w:rsid w:val="00C17A96"/>
  </w:style>
  <w:style w:type="numbering" w:customStyle="1" w:styleId="Sinlista751">
    <w:name w:val="Sin lista751"/>
    <w:next w:val="Sinlista"/>
    <w:semiHidden/>
    <w:rsid w:val="00C17A96"/>
  </w:style>
  <w:style w:type="numbering" w:customStyle="1" w:styleId="Sinlista761">
    <w:name w:val="Sin lista761"/>
    <w:next w:val="Sinlista"/>
    <w:semiHidden/>
    <w:rsid w:val="00C17A96"/>
  </w:style>
  <w:style w:type="table" w:customStyle="1" w:styleId="Tablaconcuadrcula51111">
    <w:name w:val="Tabla con cuadrícula51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1">
    <w:name w:val="Sin lista771"/>
    <w:next w:val="Sinlista"/>
    <w:semiHidden/>
    <w:rsid w:val="00C17A96"/>
  </w:style>
  <w:style w:type="table" w:customStyle="1" w:styleId="Tablaconcuadrcula15111">
    <w:name w:val="Tabla con cuadrícula15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1">
    <w:name w:val="Sin lista781"/>
    <w:next w:val="Sinlista"/>
    <w:semiHidden/>
    <w:rsid w:val="00C17A96"/>
  </w:style>
  <w:style w:type="numbering" w:customStyle="1" w:styleId="Sinlista791">
    <w:name w:val="Sin lista791"/>
    <w:next w:val="Sinlista"/>
    <w:semiHidden/>
    <w:rsid w:val="00C17A96"/>
  </w:style>
  <w:style w:type="numbering" w:customStyle="1" w:styleId="Sinlista801">
    <w:name w:val="Sin lista801"/>
    <w:next w:val="Sinlista"/>
    <w:semiHidden/>
    <w:rsid w:val="00C17A96"/>
  </w:style>
  <w:style w:type="numbering" w:customStyle="1" w:styleId="Sinlista8111">
    <w:name w:val="Sin lista8111"/>
    <w:next w:val="Sinlista"/>
    <w:semiHidden/>
    <w:rsid w:val="00C17A96"/>
  </w:style>
  <w:style w:type="numbering" w:customStyle="1" w:styleId="Sinlista821">
    <w:name w:val="Sin lista821"/>
    <w:next w:val="Sinlista"/>
    <w:semiHidden/>
    <w:rsid w:val="00C17A96"/>
  </w:style>
  <w:style w:type="numbering" w:customStyle="1" w:styleId="Sinlista831">
    <w:name w:val="Sin lista831"/>
    <w:next w:val="Sinlista"/>
    <w:semiHidden/>
    <w:rsid w:val="00C17A96"/>
  </w:style>
  <w:style w:type="numbering" w:customStyle="1" w:styleId="Sinlista841">
    <w:name w:val="Sin lista841"/>
    <w:next w:val="Sinlista"/>
    <w:semiHidden/>
    <w:rsid w:val="00C17A96"/>
  </w:style>
  <w:style w:type="numbering" w:customStyle="1" w:styleId="Sinlista851">
    <w:name w:val="Sin lista851"/>
    <w:next w:val="Sinlista"/>
    <w:semiHidden/>
    <w:rsid w:val="00C17A96"/>
  </w:style>
  <w:style w:type="numbering" w:customStyle="1" w:styleId="Sinlista861">
    <w:name w:val="Sin lista861"/>
    <w:next w:val="Sinlista"/>
    <w:semiHidden/>
    <w:rsid w:val="00C17A96"/>
  </w:style>
  <w:style w:type="numbering" w:customStyle="1" w:styleId="Sinlista871">
    <w:name w:val="Sin lista871"/>
    <w:next w:val="Sinlista"/>
    <w:semiHidden/>
    <w:rsid w:val="00C17A96"/>
  </w:style>
  <w:style w:type="numbering" w:customStyle="1" w:styleId="Sinlista881">
    <w:name w:val="Sin lista881"/>
    <w:next w:val="Sinlista"/>
    <w:semiHidden/>
    <w:rsid w:val="00C17A96"/>
  </w:style>
  <w:style w:type="numbering" w:customStyle="1" w:styleId="Sinlista891">
    <w:name w:val="Sin lista891"/>
    <w:next w:val="Sinlista"/>
    <w:semiHidden/>
    <w:rsid w:val="00C17A96"/>
  </w:style>
  <w:style w:type="numbering" w:customStyle="1" w:styleId="Sinlista901">
    <w:name w:val="Sin lista901"/>
    <w:next w:val="Sinlista"/>
    <w:semiHidden/>
    <w:rsid w:val="00C17A96"/>
  </w:style>
  <w:style w:type="numbering" w:customStyle="1" w:styleId="Sinlista9111">
    <w:name w:val="Sin lista9111"/>
    <w:next w:val="Sinlista"/>
    <w:semiHidden/>
    <w:rsid w:val="00C17A96"/>
  </w:style>
  <w:style w:type="numbering" w:customStyle="1" w:styleId="Sinlista921">
    <w:name w:val="Sin lista921"/>
    <w:next w:val="Sinlista"/>
    <w:semiHidden/>
    <w:rsid w:val="00C17A96"/>
  </w:style>
  <w:style w:type="numbering" w:customStyle="1" w:styleId="Sinlista931">
    <w:name w:val="Sin lista931"/>
    <w:next w:val="Sinlista"/>
    <w:semiHidden/>
    <w:rsid w:val="00C17A96"/>
  </w:style>
  <w:style w:type="numbering" w:customStyle="1" w:styleId="Sinlista941">
    <w:name w:val="Sin lista941"/>
    <w:next w:val="Sinlista"/>
    <w:semiHidden/>
    <w:rsid w:val="00C17A96"/>
  </w:style>
  <w:style w:type="numbering" w:customStyle="1" w:styleId="Sinlista951">
    <w:name w:val="Sin lista951"/>
    <w:next w:val="Sinlista"/>
    <w:semiHidden/>
    <w:rsid w:val="00C17A96"/>
  </w:style>
  <w:style w:type="numbering" w:customStyle="1" w:styleId="Sinlista961">
    <w:name w:val="Sin lista961"/>
    <w:next w:val="Sinlista"/>
    <w:semiHidden/>
    <w:rsid w:val="00C17A96"/>
  </w:style>
  <w:style w:type="numbering" w:customStyle="1" w:styleId="Sinlista971">
    <w:name w:val="Sin lista971"/>
    <w:next w:val="Sinlista"/>
    <w:semiHidden/>
    <w:rsid w:val="00C17A96"/>
  </w:style>
  <w:style w:type="numbering" w:customStyle="1" w:styleId="Sinlista981">
    <w:name w:val="Sin lista981"/>
    <w:next w:val="Sinlista"/>
    <w:semiHidden/>
    <w:rsid w:val="00C17A96"/>
  </w:style>
  <w:style w:type="numbering" w:customStyle="1" w:styleId="Sinlista991">
    <w:name w:val="Sin lista991"/>
    <w:next w:val="Sinlista"/>
    <w:semiHidden/>
    <w:rsid w:val="00C17A96"/>
  </w:style>
  <w:style w:type="numbering" w:customStyle="1" w:styleId="Sinlista1001">
    <w:name w:val="Sin lista1001"/>
    <w:next w:val="Sinlista"/>
    <w:semiHidden/>
    <w:rsid w:val="00C17A96"/>
  </w:style>
  <w:style w:type="numbering" w:customStyle="1" w:styleId="Sinlista10111">
    <w:name w:val="Sin lista10111"/>
    <w:next w:val="Sinlista"/>
    <w:semiHidden/>
    <w:rsid w:val="00C17A96"/>
  </w:style>
  <w:style w:type="table" w:customStyle="1" w:styleId="Tablaconcuadrcula19111">
    <w:name w:val="Tabla con cuadrícula19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1">
    <w:name w:val="Sin lista1021"/>
    <w:next w:val="Sinlista"/>
    <w:semiHidden/>
    <w:rsid w:val="00C17A96"/>
  </w:style>
  <w:style w:type="numbering" w:customStyle="1" w:styleId="Sinlista1031">
    <w:name w:val="Sin lista1031"/>
    <w:next w:val="Sinlista"/>
    <w:semiHidden/>
    <w:rsid w:val="00C17A96"/>
  </w:style>
  <w:style w:type="numbering" w:customStyle="1" w:styleId="Sinlista1041">
    <w:name w:val="Sin lista1041"/>
    <w:next w:val="Sinlista"/>
    <w:semiHidden/>
    <w:rsid w:val="00C17A96"/>
  </w:style>
  <w:style w:type="numbering" w:customStyle="1" w:styleId="Sinlista1051">
    <w:name w:val="Sin lista1051"/>
    <w:next w:val="Sinlista"/>
    <w:semiHidden/>
    <w:rsid w:val="00C17A96"/>
  </w:style>
  <w:style w:type="numbering" w:customStyle="1" w:styleId="Sinlista1061">
    <w:name w:val="Sin lista1061"/>
    <w:next w:val="Sinlista"/>
    <w:semiHidden/>
    <w:rsid w:val="00C17A96"/>
  </w:style>
  <w:style w:type="numbering" w:customStyle="1" w:styleId="Sinlista1071">
    <w:name w:val="Sin lista1071"/>
    <w:next w:val="Sinlista"/>
    <w:semiHidden/>
    <w:rsid w:val="00C17A96"/>
  </w:style>
  <w:style w:type="numbering" w:customStyle="1" w:styleId="Sinlista1081">
    <w:name w:val="Sin lista1081"/>
    <w:next w:val="Sinlista"/>
    <w:semiHidden/>
    <w:rsid w:val="00C17A96"/>
  </w:style>
  <w:style w:type="numbering" w:customStyle="1" w:styleId="Sinlista1091">
    <w:name w:val="Sin lista1091"/>
    <w:next w:val="Sinlista"/>
    <w:semiHidden/>
    <w:rsid w:val="00C17A96"/>
  </w:style>
  <w:style w:type="numbering" w:customStyle="1" w:styleId="Sinlista11011">
    <w:name w:val="Sin lista11011"/>
    <w:next w:val="Sinlista"/>
    <w:semiHidden/>
    <w:rsid w:val="00C17A96"/>
  </w:style>
  <w:style w:type="numbering" w:customStyle="1" w:styleId="Sinlista11111">
    <w:name w:val="Sin lista11111"/>
    <w:next w:val="Sinlista"/>
    <w:semiHidden/>
    <w:rsid w:val="00C17A96"/>
  </w:style>
  <w:style w:type="numbering" w:customStyle="1" w:styleId="Sinlista1121">
    <w:name w:val="Sin lista1121"/>
    <w:next w:val="Sinlista"/>
    <w:semiHidden/>
    <w:rsid w:val="00C17A96"/>
  </w:style>
  <w:style w:type="table" w:customStyle="1" w:styleId="Tablaconcuadrcula21111">
    <w:name w:val="Tabla con cuadrícula21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1">
    <w:name w:val="Sin lista1131"/>
    <w:next w:val="Sinlista"/>
    <w:semiHidden/>
    <w:rsid w:val="00C17A96"/>
  </w:style>
  <w:style w:type="numbering" w:customStyle="1" w:styleId="Sinlista1141">
    <w:name w:val="Sin lista1141"/>
    <w:next w:val="Sinlista"/>
    <w:semiHidden/>
    <w:rsid w:val="00C17A96"/>
  </w:style>
  <w:style w:type="numbering" w:customStyle="1" w:styleId="Sinlista1151">
    <w:name w:val="Sin lista1151"/>
    <w:next w:val="Sinlista"/>
    <w:semiHidden/>
    <w:rsid w:val="00C17A96"/>
  </w:style>
  <w:style w:type="numbering" w:customStyle="1" w:styleId="Sinlista1161">
    <w:name w:val="Sin lista1161"/>
    <w:next w:val="Sinlista"/>
    <w:semiHidden/>
    <w:rsid w:val="00C17A96"/>
  </w:style>
  <w:style w:type="numbering" w:customStyle="1" w:styleId="Sinlista1171">
    <w:name w:val="Sin lista1171"/>
    <w:next w:val="Sinlista"/>
    <w:semiHidden/>
    <w:rsid w:val="00C17A96"/>
  </w:style>
  <w:style w:type="numbering" w:customStyle="1" w:styleId="Sinlista1181">
    <w:name w:val="Sin lista1181"/>
    <w:next w:val="Sinlista"/>
    <w:semiHidden/>
    <w:rsid w:val="00C17A96"/>
  </w:style>
  <w:style w:type="numbering" w:customStyle="1" w:styleId="Sinlista1191">
    <w:name w:val="Sin lista1191"/>
    <w:next w:val="Sinlista"/>
    <w:semiHidden/>
    <w:rsid w:val="00C17A96"/>
  </w:style>
  <w:style w:type="table" w:customStyle="1" w:styleId="Tablaconcuadrcula22111">
    <w:name w:val="Tabla con cuadrícula22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1">
    <w:name w:val="Sin lista1201"/>
    <w:next w:val="Sinlista"/>
    <w:semiHidden/>
    <w:rsid w:val="00C17A96"/>
  </w:style>
  <w:style w:type="numbering" w:customStyle="1" w:styleId="Sinlista12111">
    <w:name w:val="Sin lista12111"/>
    <w:next w:val="Sinlista"/>
    <w:semiHidden/>
    <w:rsid w:val="00C17A96"/>
  </w:style>
  <w:style w:type="numbering" w:customStyle="1" w:styleId="Sinlista1221">
    <w:name w:val="Sin lista1221"/>
    <w:next w:val="Sinlista"/>
    <w:semiHidden/>
    <w:rsid w:val="00C17A96"/>
  </w:style>
  <w:style w:type="numbering" w:customStyle="1" w:styleId="Sinlista1231">
    <w:name w:val="Sin lista1231"/>
    <w:next w:val="Sinlista"/>
    <w:semiHidden/>
    <w:rsid w:val="00C17A96"/>
  </w:style>
  <w:style w:type="numbering" w:customStyle="1" w:styleId="Sinlista1241">
    <w:name w:val="Sin lista1241"/>
    <w:next w:val="Sinlista"/>
    <w:semiHidden/>
    <w:rsid w:val="00C17A96"/>
  </w:style>
  <w:style w:type="table" w:customStyle="1" w:styleId="Tablaconcuadrcula23111">
    <w:name w:val="Tabla con cuadrícula23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51">
    <w:name w:val="Sin lista1251"/>
    <w:next w:val="Sinlista"/>
    <w:semiHidden/>
    <w:rsid w:val="00C17A96"/>
  </w:style>
  <w:style w:type="numbering" w:customStyle="1" w:styleId="Sinlista1261">
    <w:name w:val="Sin lista1261"/>
    <w:next w:val="Sinlista"/>
    <w:semiHidden/>
    <w:rsid w:val="00C17A96"/>
  </w:style>
  <w:style w:type="numbering" w:customStyle="1" w:styleId="Sinlista1271">
    <w:name w:val="Sin lista1271"/>
    <w:next w:val="Sinlista"/>
    <w:semiHidden/>
    <w:rsid w:val="00C17A96"/>
  </w:style>
  <w:style w:type="numbering" w:customStyle="1" w:styleId="Sinlista1281">
    <w:name w:val="Sin lista1281"/>
    <w:next w:val="Sinlista"/>
    <w:semiHidden/>
    <w:rsid w:val="00C17A96"/>
  </w:style>
  <w:style w:type="numbering" w:customStyle="1" w:styleId="Sinlista1291">
    <w:name w:val="Sin lista1291"/>
    <w:next w:val="Sinlista"/>
    <w:semiHidden/>
    <w:rsid w:val="00C17A96"/>
  </w:style>
  <w:style w:type="numbering" w:customStyle="1" w:styleId="Sinlista1301">
    <w:name w:val="Sin lista1301"/>
    <w:next w:val="Sinlista"/>
    <w:semiHidden/>
    <w:rsid w:val="00C17A96"/>
  </w:style>
  <w:style w:type="numbering" w:customStyle="1" w:styleId="Sinlista13111">
    <w:name w:val="Sin lista13111"/>
    <w:next w:val="Sinlista"/>
    <w:semiHidden/>
    <w:rsid w:val="00C17A96"/>
  </w:style>
  <w:style w:type="numbering" w:customStyle="1" w:styleId="Sinlista1321">
    <w:name w:val="Sin lista1321"/>
    <w:next w:val="Sinlista"/>
    <w:semiHidden/>
    <w:rsid w:val="00C17A96"/>
  </w:style>
  <w:style w:type="numbering" w:customStyle="1" w:styleId="Sinlista1331">
    <w:name w:val="Sin lista1331"/>
    <w:next w:val="Sinlista"/>
    <w:semiHidden/>
    <w:rsid w:val="00C17A96"/>
  </w:style>
  <w:style w:type="numbering" w:customStyle="1" w:styleId="Sinlista1341">
    <w:name w:val="Sin lista1341"/>
    <w:next w:val="Sinlista"/>
    <w:semiHidden/>
    <w:rsid w:val="00C17A96"/>
  </w:style>
  <w:style w:type="numbering" w:customStyle="1" w:styleId="Sinlista1351">
    <w:name w:val="Sin lista1351"/>
    <w:next w:val="Sinlista"/>
    <w:semiHidden/>
    <w:rsid w:val="00C17A96"/>
  </w:style>
  <w:style w:type="numbering" w:customStyle="1" w:styleId="Sinlista1361">
    <w:name w:val="Sin lista1361"/>
    <w:next w:val="Sinlista"/>
    <w:semiHidden/>
    <w:rsid w:val="00C17A96"/>
  </w:style>
  <w:style w:type="numbering" w:customStyle="1" w:styleId="Sinlista1371">
    <w:name w:val="Sin lista1371"/>
    <w:next w:val="Sinlista"/>
    <w:semiHidden/>
    <w:rsid w:val="00C17A96"/>
  </w:style>
  <w:style w:type="table" w:customStyle="1" w:styleId="Tablaconcuadrcula25111">
    <w:name w:val="Tabla con cuadrícula25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1">
    <w:name w:val="Sin lista1381"/>
    <w:next w:val="Sinlista"/>
    <w:semiHidden/>
    <w:rsid w:val="00C17A96"/>
  </w:style>
  <w:style w:type="numbering" w:customStyle="1" w:styleId="Sinlista1391">
    <w:name w:val="Sin lista1391"/>
    <w:next w:val="Sinlista"/>
    <w:semiHidden/>
    <w:rsid w:val="00C17A96"/>
  </w:style>
  <w:style w:type="numbering" w:customStyle="1" w:styleId="Sinlista1401">
    <w:name w:val="Sin lista1401"/>
    <w:next w:val="Sinlista"/>
    <w:semiHidden/>
    <w:rsid w:val="00C17A96"/>
  </w:style>
  <w:style w:type="numbering" w:customStyle="1" w:styleId="Sinlista14111">
    <w:name w:val="Sin lista14111"/>
    <w:next w:val="Sinlista"/>
    <w:semiHidden/>
    <w:rsid w:val="00C17A96"/>
  </w:style>
  <w:style w:type="numbering" w:customStyle="1" w:styleId="Sinlista1421">
    <w:name w:val="Sin lista1421"/>
    <w:next w:val="Sinlista"/>
    <w:semiHidden/>
    <w:rsid w:val="00C17A96"/>
  </w:style>
  <w:style w:type="numbering" w:customStyle="1" w:styleId="Sinlista1431">
    <w:name w:val="Sin lista1431"/>
    <w:next w:val="Sinlista"/>
    <w:semiHidden/>
    <w:rsid w:val="00C17A96"/>
  </w:style>
  <w:style w:type="table" w:customStyle="1" w:styleId="Tablaconcuadrcula26111">
    <w:name w:val="Tabla con cuadrícula26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1">
    <w:name w:val="Sin lista1441"/>
    <w:next w:val="Sinlista"/>
    <w:semiHidden/>
    <w:rsid w:val="00C17A96"/>
  </w:style>
  <w:style w:type="numbering" w:customStyle="1" w:styleId="Sinlista1451">
    <w:name w:val="Sin lista1451"/>
    <w:next w:val="Sinlista"/>
    <w:semiHidden/>
    <w:rsid w:val="00C17A96"/>
  </w:style>
  <w:style w:type="numbering" w:customStyle="1" w:styleId="Sinlista1461">
    <w:name w:val="Sin lista1461"/>
    <w:next w:val="Sinlista"/>
    <w:semiHidden/>
    <w:rsid w:val="00C17A96"/>
  </w:style>
  <w:style w:type="numbering" w:customStyle="1" w:styleId="Sinlista1471">
    <w:name w:val="Sin lista1471"/>
    <w:next w:val="Sinlista"/>
    <w:semiHidden/>
    <w:rsid w:val="00C17A96"/>
  </w:style>
  <w:style w:type="table" w:customStyle="1" w:styleId="Tablaconcuadrcula27111">
    <w:name w:val="Tabla con cuadrícula27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1">
    <w:name w:val="Sin lista1481"/>
    <w:next w:val="Sinlista"/>
    <w:semiHidden/>
    <w:rsid w:val="00C17A96"/>
  </w:style>
  <w:style w:type="numbering" w:customStyle="1" w:styleId="Sinlista1491">
    <w:name w:val="Sin lista1491"/>
    <w:next w:val="Sinlista"/>
    <w:semiHidden/>
    <w:rsid w:val="00C17A96"/>
  </w:style>
  <w:style w:type="numbering" w:customStyle="1" w:styleId="Sinlista1501">
    <w:name w:val="Sin lista1501"/>
    <w:next w:val="Sinlista"/>
    <w:semiHidden/>
    <w:rsid w:val="00C17A96"/>
  </w:style>
  <w:style w:type="numbering" w:customStyle="1" w:styleId="Sinlista15111">
    <w:name w:val="Sin lista15111"/>
    <w:next w:val="Sinlista"/>
    <w:semiHidden/>
    <w:rsid w:val="00C17A96"/>
  </w:style>
  <w:style w:type="numbering" w:customStyle="1" w:styleId="Sinlista1521">
    <w:name w:val="Sin lista1521"/>
    <w:next w:val="Sinlista"/>
    <w:semiHidden/>
    <w:rsid w:val="00C17A96"/>
  </w:style>
  <w:style w:type="numbering" w:customStyle="1" w:styleId="Sinlista1531">
    <w:name w:val="Sin lista1531"/>
    <w:next w:val="Sinlista"/>
    <w:semiHidden/>
    <w:rsid w:val="00C17A96"/>
  </w:style>
  <w:style w:type="numbering" w:customStyle="1" w:styleId="Sinlista1541">
    <w:name w:val="Sin lista1541"/>
    <w:next w:val="Sinlista"/>
    <w:semiHidden/>
    <w:rsid w:val="00C17A96"/>
  </w:style>
  <w:style w:type="numbering" w:customStyle="1" w:styleId="Sinlista1551">
    <w:name w:val="Sin lista1551"/>
    <w:next w:val="Sinlista"/>
    <w:semiHidden/>
    <w:rsid w:val="00C17A96"/>
  </w:style>
  <w:style w:type="numbering" w:customStyle="1" w:styleId="Sinlista159">
    <w:name w:val="Sin lista159"/>
    <w:next w:val="Sinlista"/>
    <w:semiHidden/>
    <w:rsid w:val="00804DD2"/>
  </w:style>
  <w:style w:type="table" w:customStyle="1" w:styleId="Tablaconcuadrcula285">
    <w:name w:val="Tabla con cuadrícula285"/>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2">
    <w:name w:val="Tabla con cuadrícula1602"/>
    <w:basedOn w:val="Tablanormal"/>
    <w:next w:val="Tablaconcuadrcula"/>
    <w:rsid w:val="00804DD2"/>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2">
    <w:name w:val="Tabla con cuadrícula2112"/>
    <w:basedOn w:val="Tablanormal"/>
    <w:next w:val="Tablaconcuadrcula"/>
    <w:rsid w:val="00804DD2"/>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2">
    <w:name w:val="Tabla con cuadrícula2212"/>
    <w:basedOn w:val="Tablanormal"/>
    <w:next w:val="Tablaconcuadrcula"/>
    <w:rsid w:val="00804DD2"/>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2">
    <w:name w:val="Tabla con cuadrícula2312"/>
    <w:basedOn w:val="Tablanormal"/>
    <w:next w:val="Tablaconcuadrcula"/>
    <w:rsid w:val="00804DD2"/>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0">
    <w:name w:val="Sin lista160"/>
    <w:next w:val="Sinlista"/>
    <w:semiHidden/>
    <w:unhideWhenUsed/>
    <w:rsid w:val="00804DD2"/>
  </w:style>
  <w:style w:type="numbering" w:customStyle="1" w:styleId="Sinlista212">
    <w:name w:val="Sin lista212"/>
    <w:next w:val="Sinlista"/>
    <w:semiHidden/>
    <w:unhideWhenUsed/>
    <w:rsid w:val="00804DD2"/>
  </w:style>
  <w:style w:type="table" w:customStyle="1" w:styleId="Tablabsica12">
    <w:name w:val="Tabla básica 12"/>
    <w:basedOn w:val="Tablanormal"/>
    <w:next w:val="Tablabsica1"/>
    <w:rsid w:val="00804DD2"/>
    <w:rPr>
      <w:rFonts w:eastAsia="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2">
    <w:name w:val="Sin lista1112"/>
    <w:next w:val="Sinlista"/>
    <w:semiHidden/>
    <w:rsid w:val="00804DD2"/>
  </w:style>
  <w:style w:type="table" w:customStyle="1" w:styleId="Tablaconcuadrcula1112">
    <w:name w:val="Tabla con cuadrícula1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40">
    <w:name w:val="Tabla con cuadrícula 134"/>
    <w:basedOn w:val="Tablanormal"/>
    <w:next w:val="Tablaconcuadrcula10"/>
    <w:rsid w:val="00804DD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3">
    <w:name w:val="Tabla con cuadrícula1903"/>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2">
    <w:name w:val="Tabla con cuadrícula293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2">
    <w:name w:val="Tabla con cuadrícula6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2">
    <w:name w:val="Sin lista312"/>
    <w:next w:val="Sinlista"/>
    <w:semiHidden/>
    <w:unhideWhenUsed/>
    <w:rsid w:val="00804DD2"/>
  </w:style>
  <w:style w:type="table" w:customStyle="1" w:styleId="Tablaconcuadrcula1822">
    <w:name w:val="Tabla con cuadrícula182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4">
    <w:name w:val="Tabla con cuadrícula514"/>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2">
    <w:name w:val="Sin lista412"/>
    <w:next w:val="Sinlista"/>
    <w:semiHidden/>
    <w:rsid w:val="00804DD2"/>
  </w:style>
  <w:style w:type="numbering" w:customStyle="1" w:styleId="Sinlista512">
    <w:name w:val="Sin lista512"/>
    <w:next w:val="Sinlista"/>
    <w:semiHidden/>
    <w:unhideWhenUsed/>
    <w:rsid w:val="00804DD2"/>
  </w:style>
  <w:style w:type="numbering" w:customStyle="1" w:styleId="Sinlista1212">
    <w:name w:val="Sin lista1212"/>
    <w:next w:val="Sinlista"/>
    <w:semiHidden/>
    <w:rsid w:val="00804DD2"/>
  </w:style>
  <w:style w:type="numbering" w:customStyle="1" w:styleId="Sinlista612">
    <w:name w:val="Sin lista612"/>
    <w:next w:val="Sinlista"/>
    <w:semiHidden/>
    <w:unhideWhenUsed/>
    <w:rsid w:val="00804DD2"/>
  </w:style>
  <w:style w:type="numbering" w:customStyle="1" w:styleId="Sinlista712">
    <w:name w:val="Sin lista712"/>
    <w:next w:val="Sinlista"/>
    <w:semiHidden/>
    <w:unhideWhenUsed/>
    <w:rsid w:val="00804DD2"/>
  </w:style>
  <w:style w:type="table" w:customStyle="1" w:styleId="Tablaconcuadrcula1212">
    <w:name w:val="Tabla con cuadrícula12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2">
    <w:name w:val="Sin lista812"/>
    <w:next w:val="Sinlista"/>
    <w:semiHidden/>
    <w:unhideWhenUsed/>
    <w:rsid w:val="00804DD2"/>
  </w:style>
  <w:style w:type="numbering" w:customStyle="1" w:styleId="Sinlista912">
    <w:name w:val="Sin lista912"/>
    <w:next w:val="Sinlista"/>
    <w:semiHidden/>
    <w:rsid w:val="00804DD2"/>
  </w:style>
  <w:style w:type="numbering" w:customStyle="1" w:styleId="Sinlista1012">
    <w:name w:val="Sin lista1012"/>
    <w:next w:val="Sinlista"/>
    <w:semiHidden/>
    <w:unhideWhenUsed/>
    <w:rsid w:val="00804DD2"/>
  </w:style>
  <w:style w:type="numbering" w:customStyle="1" w:styleId="Sinlista1312">
    <w:name w:val="Sin lista1312"/>
    <w:next w:val="Sinlista"/>
    <w:semiHidden/>
    <w:rsid w:val="00804DD2"/>
  </w:style>
  <w:style w:type="table" w:customStyle="1" w:styleId="Tablaconcuadrcula522">
    <w:name w:val="Tabla con cuadrícula52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2">
    <w:name w:val="Tabla con cuadrícula15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2">
    <w:name w:val="Sin lista1412"/>
    <w:next w:val="Sinlista"/>
    <w:semiHidden/>
    <w:rsid w:val="00804DD2"/>
  </w:style>
  <w:style w:type="numbering" w:customStyle="1" w:styleId="Sinlista1510">
    <w:name w:val="Sin lista1510"/>
    <w:next w:val="Sinlista"/>
    <w:semiHidden/>
    <w:rsid w:val="00804DD2"/>
  </w:style>
  <w:style w:type="numbering" w:customStyle="1" w:styleId="Sinlista162">
    <w:name w:val="Sin lista162"/>
    <w:next w:val="Sinlista"/>
    <w:semiHidden/>
    <w:rsid w:val="00804DD2"/>
  </w:style>
  <w:style w:type="table" w:customStyle="1" w:styleId="Tablaconcuadrcula1912">
    <w:name w:val="Tabla con cuadrícula19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2">
    <w:name w:val="Sin lista172"/>
    <w:next w:val="Sinlista"/>
    <w:semiHidden/>
    <w:rsid w:val="00804DD2"/>
  </w:style>
  <w:style w:type="numbering" w:customStyle="1" w:styleId="Sinlista182">
    <w:name w:val="Sin lista182"/>
    <w:next w:val="Sinlista"/>
    <w:semiHidden/>
    <w:rsid w:val="00804DD2"/>
  </w:style>
  <w:style w:type="table" w:customStyle="1" w:styleId="Tablaconcuadrcula1103">
    <w:name w:val="Tabla con cuadrícula1103"/>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
    <w:name w:val="1 / 1.1 / 1.1.13"/>
    <w:basedOn w:val="Sinlista"/>
    <w:next w:val="111111"/>
    <w:rsid w:val="00804DD2"/>
  </w:style>
  <w:style w:type="numbering" w:customStyle="1" w:styleId="Sinlista192">
    <w:name w:val="Sin lista192"/>
    <w:next w:val="Sinlista"/>
    <w:semiHidden/>
    <w:unhideWhenUsed/>
    <w:rsid w:val="00804DD2"/>
  </w:style>
  <w:style w:type="table" w:customStyle="1" w:styleId="Tablaconcuadrcula2072">
    <w:name w:val="Tabla con cuadrícula207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2">
    <w:name w:val="1 / 1.1 / 1.1.112"/>
    <w:basedOn w:val="Sinlista"/>
    <w:next w:val="111111"/>
    <w:rsid w:val="00804DD2"/>
  </w:style>
  <w:style w:type="table" w:customStyle="1" w:styleId="Tablaconcuadrcula2512">
    <w:name w:val="Tabla con cuadrícula25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2">
    <w:name w:val="Tabla con cuadrícula26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02">
    <w:name w:val="Sin lista202"/>
    <w:next w:val="Sinlista"/>
    <w:semiHidden/>
    <w:rsid w:val="00804DD2"/>
  </w:style>
  <w:style w:type="table" w:customStyle="1" w:styleId="Tablaconcuadrcula2712">
    <w:name w:val="Tabla con cuadrícula27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2">
    <w:name w:val="Tabla con cuadrícula16012"/>
    <w:basedOn w:val="Tablanormal"/>
    <w:next w:val="Tablaconcuadrcula"/>
    <w:rsid w:val="00804DD2"/>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3">
    <w:name w:val="Tabla con cuadrícula2113"/>
    <w:basedOn w:val="Tablanormal"/>
    <w:next w:val="Tablaconcuadrcula"/>
    <w:rsid w:val="00804DD2"/>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3">
    <w:name w:val="Tabla con cuadrícula2213"/>
    <w:basedOn w:val="Tablanormal"/>
    <w:next w:val="Tablaconcuadrcula"/>
    <w:rsid w:val="00804DD2"/>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3">
    <w:name w:val="Tabla con cuadrícula2313"/>
    <w:basedOn w:val="Tablanormal"/>
    <w:next w:val="Tablaconcuadrcula"/>
    <w:rsid w:val="00804DD2"/>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2">
    <w:name w:val="Sin lista1102"/>
    <w:next w:val="Sinlista"/>
    <w:semiHidden/>
    <w:unhideWhenUsed/>
    <w:rsid w:val="00804DD2"/>
  </w:style>
  <w:style w:type="numbering" w:customStyle="1" w:styleId="Sinlista213">
    <w:name w:val="Sin lista213"/>
    <w:next w:val="Sinlista"/>
    <w:semiHidden/>
    <w:unhideWhenUsed/>
    <w:rsid w:val="00804DD2"/>
  </w:style>
  <w:style w:type="table" w:customStyle="1" w:styleId="Tablabsica112">
    <w:name w:val="Tabla básica 112"/>
    <w:basedOn w:val="Tablanormal"/>
    <w:next w:val="Tablabsica1"/>
    <w:rsid w:val="00804DD2"/>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3">
    <w:name w:val="Sin lista1113"/>
    <w:next w:val="Sinlista"/>
    <w:semiHidden/>
    <w:rsid w:val="00804DD2"/>
  </w:style>
  <w:style w:type="table" w:customStyle="1" w:styleId="Tablaconcuadrcula1113">
    <w:name w:val="Tabla con cuadrícula1113"/>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2">
    <w:name w:val="Tabla con cuadrícula 1111"/>
    <w:basedOn w:val="Tablanormal"/>
    <w:next w:val="Tablaconcuadrcula10"/>
    <w:rsid w:val="00804DD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2">
    <w:name w:val="Tabla con cuadrícula1902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2">
    <w:name w:val="Tabla con cuadrícula293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3">
    <w:name w:val="Tabla con cuadrícula6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3">
    <w:name w:val="Sin lista313"/>
    <w:next w:val="Sinlista"/>
    <w:semiHidden/>
    <w:unhideWhenUsed/>
    <w:rsid w:val="00804DD2"/>
  </w:style>
  <w:style w:type="table" w:customStyle="1" w:styleId="Tablaconcuadrcula18212">
    <w:name w:val="Tabla con cuadrícula182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2">
    <w:name w:val="Tabla con cuadrícula51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3">
    <w:name w:val="Sin lista413"/>
    <w:next w:val="Sinlista"/>
    <w:semiHidden/>
    <w:rsid w:val="00804DD2"/>
  </w:style>
  <w:style w:type="numbering" w:customStyle="1" w:styleId="Sinlista513">
    <w:name w:val="Sin lista513"/>
    <w:next w:val="Sinlista"/>
    <w:semiHidden/>
    <w:unhideWhenUsed/>
    <w:rsid w:val="00804DD2"/>
  </w:style>
  <w:style w:type="numbering" w:customStyle="1" w:styleId="Sinlista1213">
    <w:name w:val="Sin lista1213"/>
    <w:next w:val="Sinlista"/>
    <w:semiHidden/>
    <w:rsid w:val="00804DD2"/>
  </w:style>
  <w:style w:type="numbering" w:customStyle="1" w:styleId="Sinlista613">
    <w:name w:val="Sin lista613"/>
    <w:next w:val="Sinlista"/>
    <w:semiHidden/>
    <w:unhideWhenUsed/>
    <w:rsid w:val="00804DD2"/>
  </w:style>
  <w:style w:type="numbering" w:customStyle="1" w:styleId="Sinlista713">
    <w:name w:val="Sin lista713"/>
    <w:next w:val="Sinlista"/>
    <w:semiHidden/>
    <w:unhideWhenUsed/>
    <w:rsid w:val="00804DD2"/>
  </w:style>
  <w:style w:type="table" w:customStyle="1" w:styleId="Tablaconcuadrcula1213">
    <w:name w:val="Tabla con cuadrícula1213"/>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3">
    <w:name w:val="Sin lista813"/>
    <w:next w:val="Sinlista"/>
    <w:semiHidden/>
    <w:unhideWhenUsed/>
    <w:rsid w:val="00804DD2"/>
  </w:style>
  <w:style w:type="numbering" w:customStyle="1" w:styleId="Sinlista913">
    <w:name w:val="Sin lista913"/>
    <w:next w:val="Sinlista"/>
    <w:semiHidden/>
    <w:rsid w:val="00804DD2"/>
  </w:style>
  <w:style w:type="numbering" w:customStyle="1" w:styleId="Sinlista1013">
    <w:name w:val="Sin lista1013"/>
    <w:next w:val="Sinlista"/>
    <w:semiHidden/>
    <w:unhideWhenUsed/>
    <w:rsid w:val="00804DD2"/>
  </w:style>
  <w:style w:type="numbering" w:customStyle="1" w:styleId="Sinlista1313">
    <w:name w:val="Sin lista1313"/>
    <w:next w:val="Sinlista"/>
    <w:semiHidden/>
    <w:rsid w:val="00804DD2"/>
  </w:style>
  <w:style w:type="table" w:customStyle="1" w:styleId="Tablaconcuadrcula5212">
    <w:name w:val="Tabla con cuadrícula52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3">
    <w:name w:val="Tabla con cuadrícula15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3">
    <w:name w:val="Sin lista1413"/>
    <w:next w:val="Sinlista"/>
    <w:semiHidden/>
    <w:rsid w:val="00804DD2"/>
  </w:style>
  <w:style w:type="numbering" w:customStyle="1" w:styleId="Sinlista1512">
    <w:name w:val="Sin lista1512"/>
    <w:next w:val="Sinlista"/>
    <w:semiHidden/>
    <w:rsid w:val="00804DD2"/>
  </w:style>
  <w:style w:type="numbering" w:customStyle="1" w:styleId="Sinlista1612">
    <w:name w:val="Sin lista1612"/>
    <w:next w:val="Sinlista"/>
    <w:semiHidden/>
    <w:rsid w:val="00804DD2"/>
  </w:style>
  <w:style w:type="table" w:customStyle="1" w:styleId="Tablaconcuadrcula1913">
    <w:name w:val="Tabla con cuadrícula19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2">
    <w:name w:val="Sin lista1712"/>
    <w:next w:val="Sinlista"/>
    <w:semiHidden/>
    <w:rsid w:val="00804DD2"/>
  </w:style>
  <w:style w:type="numbering" w:customStyle="1" w:styleId="Sinlista1812">
    <w:name w:val="Sin lista1812"/>
    <w:next w:val="Sinlista"/>
    <w:semiHidden/>
    <w:rsid w:val="00804DD2"/>
  </w:style>
  <w:style w:type="numbering" w:customStyle="1" w:styleId="11111121">
    <w:name w:val="1 / 1.1 / 1.1.121"/>
    <w:basedOn w:val="Sinlista"/>
    <w:next w:val="111111"/>
    <w:rsid w:val="00804DD2"/>
  </w:style>
  <w:style w:type="numbering" w:customStyle="1" w:styleId="Sinlista1912">
    <w:name w:val="Sin lista1912"/>
    <w:next w:val="Sinlista"/>
    <w:semiHidden/>
    <w:unhideWhenUsed/>
    <w:rsid w:val="00804DD2"/>
  </w:style>
  <w:style w:type="table" w:customStyle="1" w:styleId="Tablaconcuadrcula20712">
    <w:name w:val="Tabla con cuadrícula207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3">
    <w:name w:val="Tabla con cuadrícula25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3">
    <w:name w:val="Tabla con cuadrícula26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3">
    <w:name w:val="Tabla con cuadrícula2713"/>
    <w:basedOn w:val="Tablanormal"/>
    <w:next w:val="Tablaconcuadrcula"/>
    <w:rsid w:val="00804DD2"/>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2">
    <w:name w:val="Sin lista2012"/>
    <w:next w:val="Sinlista"/>
    <w:semiHidden/>
    <w:rsid w:val="00804DD2"/>
  </w:style>
  <w:style w:type="numbering" w:customStyle="1" w:styleId="Sinlista2112">
    <w:name w:val="Sin lista2112"/>
    <w:next w:val="Sinlista"/>
    <w:semiHidden/>
    <w:rsid w:val="00804DD2"/>
  </w:style>
  <w:style w:type="numbering" w:customStyle="1" w:styleId="Sinlista222">
    <w:name w:val="Sin lista222"/>
    <w:next w:val="Sinlista"/>
    <w:semiHidden/>
    <w:rsid w:val="00804DD2"/>
  </w:style>
  <w:style w:type="numbering" w:customStyle="1" w:styleId="Sinlista232">
    <w:name w:val="Sin lista232"/>
    <w:next w:val="Sinlista"/>
    <w:semiHidden/>
    <w:rsid w:val="00804DD2"/>
  </w:style>
  <w:style w:type="numbering" w:customStyle="1" w:styleId="Sinlista242">
    <w:name w:val="Sin lista242"/>
    <w:next w:val="Sinlista"/>
    <w:semiHidden/>
    <w:rsid w:val="00804DD2"/>
  </w:style>
  <w:style w:type="numbering" w:customStyle="1" w:styleId="Sinlista252">
    <w:name w:val="Sin lista252"/>
    <w:next w:val="Sinlista"/>
    <w:semiHidden/>
    <w:rsid w:val="00804DD2"/>
  </w:style>
  <w:style w:type="numbering" w:customStyle="1" w:styleId="Sinlista262">
    <w:name w:val="Sin lista262"/>
    <w:next w:val="Sinlista"/>
    <w:semiHidden/>
    <w:rsid w:val="00804DD2"/>
  </w:style>
  <w:style w:type="numbering" w:customStyle="1" w:styleId="Sinlista272">
    <w:name w:val="Sin lista272"/>
    <w:next w:val="Sinlista"/>
    <w:semiHidden/>
    <w:rsid w:val="00804DD2"/>
  </w:style>
  <w:style w:type="numbering" w:customStyle="1" w:styleId="Sinlista282">
    <w:name w:val="Sin lista282"/>
    <w:next w:val="Sinlista"/>
    <w:semiHidden/>
    <w:rsid w:val="00804DD2"/>
  </w:style>
  <w:style w:type="numbering" w:customStyle="1" w:styleId="Sinlista292">
    <w:name w:val="Sin lista292"/>
    <w:next w:val="Sinlista"/>
    <w:semiHidden/>
    <w:rsid w:val="00804DD2"/>
  </w:style>
  <w:style w:type="numbering" w:customStyle="1" w:styleId="Sinlista302">
    <w:name w:val="Sin lista302"/>
    <w:next w:val="Sinlista"/>
    <w:semiHidden/>
    <w:rsid w:val="00804DD2"/>
  </w:style>
  <w:style w:type="numbering" w:customStyle="1" w:styleId="Sinlista3112">
    <w:name w:val="Sin lista3112"/>
    <w:next w:val="Sinlista"/>
    <w:semiHidden/>
    <w:rsid w:val="00804DD2"/>
  </w:style>
  <w:style w:type="table" w:customStyle="1" w:styleId="Tablaconcuadrcula6112">
    <w:name w:val="Tabla con cuadrícula6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2">
    <w:name w:val="Sin lista322"/>
    <w:next w:val="Sinlista"/>
    <w:semiHidden/>
    <w:rsid w:val="00804DD2"/>
  </w:style>
  <w:style w:type="numbering" w:customStyle="1" w:styleId="Sinlista332">
    <w:name w:val="Sin lista332"/>
    <w:next w:val="Sinlista"/>
    <w:semiHidden/>
    <w:unhideWhenUsed/>
    <w:rsid w:val="00804DD2"/>
  </w:style>
  <w:style w:type="numbering" w:customStyle="1" w:styleId="Sinlista342">
    <w:name w:val="Sin lista342"/>
    <w:next w:val="Sinlista"/>
    <w:semiHidden/>
    <w:rsid w:val="00804DD2"/>
  </w:style>
  <w:style w:type="numbering" w:customStyle="1" w:styleId="Sinlista352">
    <w:name w:val="Sin lista352"/>
    <w:next w:val="Sinlista"/>
    <w:semiHidden/>
    <w:rsid w:val="00804DD2"/>
  </w:style>
  <w:style w:type="numbering" w:customStyle="1" w:styleId="Sinlista362">
    <w:name w:val="Sin lista362"/>
    <w:next w:val="Sinlista"/>
    <w:semiHidden/>
    <w:rsid w:val="00804DD2"/>
  </w:style>
  <w:style w:type="numbering" w:customStyle="1" w:styleId="Sinlista372">
    <w:name w:val="Sin lista372"/>
    <w:next w:val="Sinlista"/>
    <w:semiHidden/>
    <w:rsid w:val="00804DD2"/>
  </w:style>
  <w:style w:type="numbering" w:customStyle="1" w:styleId="Sinlista382">
    <w:name w:val="Sin lista382"/>
    <w:next w:val="Sinlista"/>
    <w:semiHidden/>
    <w:rsid w:val="00804DD2"/>
  </w:style>
  <w:style w:type="numbering" w:customStyle="1" w:styleId="Sinlista392">
    <w:name w:val="Sin lista392"/>
    <w:next w:val="Sinlista"/>
    <w:semiHidden/>
    <w:rsid w:val="00804DD2"/>
  </w:style>
  <w:style w:type="numbering" w:customStyle="1" w:styleId="Sinlista402">
    <w:name w:val="Sin lista402"/>
    <w:next w:val="Sinlista"/>
    <w:semiHidden/>
    <w:rsid w:val="00804DD2"/>
  </w:style>
  <w:style w:type="numbering" w:customStyle="1" w:styleId="Sinlista4112">
    <w:name w:val="Sin lista4112"/>
    <w:next w:val="Sinlista"/>
    <w:semiHidden/>
    <w:rsid w:val="00804DD2"/>
  </w:style>
  <w:style w:type="numbering" w:customStyle="1" w:styleId="Sinlista422">
    <w:name w:val="Sin lista422"/>
    <w:next w:val="Sinlista"/>
    <w:semiHidden/>
    <w:rsid w:val="00804DD2"/>
  </w:style>
  <w:style w:type="numbering" w:customStyle="1" w:styleId="Sinlista432">
    <w:name w:val="Sin lista432"/>
    <w:next w:val="Sinlista"/>
    <w:semiHidden/>
    <w:rsid w:val="00804DD2"/>
  </w:style>
  <w:style w:type="numbering" w:customStyle="1" w:styleId="Sinlista442">
    <w:name w:val="Sin lista442"/>
    <w:next w:val="Sinlista"/>
    <w:semiHidden/>
    <w:rsid w:val="00804DD2"/>
  </w:style>
  <w:style w:type="numbering" w:customStyle="1" w:styleId="Sinlista452">
    <w:name w:val="Sin lista452"/>
    <w:next w:val="Sinlista"/>
    <w:semiHidden/>
    <w:rsid w:val="00804DD2"/>
  </w:style>
  <w:style w:type="numbering" w:customStyle="1" w:styleId="Sinlista462">
    <w:name w:val="Sin lista462"/>
    <w:next w:val="Sinlista"/>
    <w:semiHidden/>
    <w:rsid w:val="00804DD2"/>
  </w:style>
  <w:style w:type="numbering" w:customStyle="1" w:styleId="Sinlista472">
    <w:name w:val="Sin lista472"/>
    <w:next w:val="Sinlista"/>
    <w:semiHidden/>
    <w:rsid w:val="00804DD2"/>
  </w:style>
  <w:style w:type="numbering" w:customStyle="1" w:styleId="Sinlista482">
    <w:name w:val="Sin lista482"/>
    <w:next w:val="Sinlista"/>
    <w:semiHidden/>
    <w:rsid w:val="00804DD2"/>
  </w:style>
  <w:style w:type="numbering" w:customStyle="1" w:styleId="Sinlista492">
    <w:name w:val="Sin lista492"/>
    <w:next w:val="Sinlista"/>
    <w:semiHidden/>
    <w:rsid w:val="00804DD2"/>
  </w:style>
  <w:style w:type="numbering" w:customStyle="1" w:styleId="Sinlista502">
    <w:name w:val="Sin lista502"/>
    <w:next w:val="Sinlista"/>
    <w:semiHidden/>
    <w:rsid w:val="00804DD2"/>
  </w:style>
  <w:style w:type="numbering" w:customStyle="1" w:styleId="Sinlista5112">
    <w:name w:val="Sin lista5112"/>
    <w:next w:val="Sinlista"/>
    <w:semiHidden/>
    <w:rsid w:val="00804DD2"/>
  </w:style>
  <w:style w:type="numbering" w:customStyle="1" w:styleId="Sinlista522">
    <w:name w:val="Sin lista522"/>
    <w:next w:val="Sinlista"/>
    <w:semiHidden/>
    <w:rsid w:val="00804DD2"/>
  </w:style>
  <w:style w:type="numbering" w:customStyle="1" w:styleId="Sinlista532">
    <w:name w:val="Sin lista532"/>
    <w:next w:val="Sinlista"/>
    <w:semiHidden/>
    <w:rsid w:val="00804DD2"/>
  </w:style>
  <w:style w:type="numbering" w:customStyle="1" w:styleId="Sinlista542">
    <w:name w:val="Sin lista542"/>
    <w:next w:val="Sinlista"/>
    <w:semiHidden/>
    <w:rsid w:val="00804DD2"/>
  </w:style>
  <w:style w:type="numbering" w:customStyle="1" w:styleId="Sinlista552">
    <w:name w:val="Sin lista552"/>
    <w:next w:val="Sinlista"/>
    <w:semiHidden/>
    <w:rsid w:val="00804DD2"/>
  </w:style>
  <w:style w:type="numbering" w:customStyle="1" w:styleId="Sinlista562">
    <w:name w:val="Sin lista562"/>
    <w:next w:val="Sinlista"/>
    <w:semiHidden/>
    <w:rsid w:val="00804DD2"/>
  </w:style>
  <w:style w:type="numbering" w:customStyle="1" w:styleId="Sinlista572">
    <w:name w:val="Sin lista572"/>
    <w:next w:val="Sinlista"/>
    <w:semiHidden/>
    <w:rsid w:val="00804DD2"/>
  </w:style>
  <w:style w:type="numbering" w:customStyle="1" w:styleId="Sinlista582">
    <w:name w:val="Sin lista582"/>
    <w:next w:val="Sinlista"/>
    <w:semiHidden/>
    <w:rsid w:val="00804DD2"/>
  </w:style>
  <w:style w:type="numbering" w:customStyle="1" w:styleId="Sinlista592">
    <w:name w:val="Sin lista592"/>
    <w:next w:val="Sinlista"/>
    <w:semiHidden/>
    <w:rsid w:val="00804DD2"/>
  </w:style>
  <w:style w:type="table" w:customStyle="1" w:styleId="Tablaconcuadrcula111120">
    <w:name w:val="Tabla con cuadrícula11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2">
    <w:name w:val="Sin lista602"/>
    <w:next w:val="Sinlista"/>
    <w:semiHidden/>
    <w:rsid w:val="00804DD2"/>
  </w:style>
  <w:style w:type="numbering" w:customStyle="1" w:styleId="Sinlista6112">
    <w:name w:val="Sin lista6112"/>
    <w:next w:val="Sinlista"/>
    <w:semiHidden/>
    <w:rsid w:val="00804DD2"/>
  </w:style>
  <w:style w:type="numbering" w:customStyle="1" w:styleId="Sinlista622">
    <w:name w:val="Sin lista622"/>
    <w:next w:val="Sinlista"/>
    <w:semiHidden/>
    <w:rsid w:val="00804DD2"/>
  </w:style>
  <w:style w:type="numbering" w:customStyle="1" w:styleId="Sinlista632">
    <w:name w:val="Sin lista632"/>
    <w:next w:val="Sinlista"/>
    <w:semiHidden/>
    <w:rsid w:val="00804DD2"/>
  </w:style>
  <w:style w:type="numbering" w:customStyle="1" w:styleId="Sinlista642">
    <w:name w:val="Sin lista642"/>
    <w:next w:val="Sinlista"/>
    <w:semiHidden/>
    <w:rsid w:val="00804DD2"/>
  </w:style>
  <w:style w:type="numbering" w:customStyle="1" w:styleId="Sinlista652">
    <w:name w:val="Sin lista652"/>
    <w:next w:val="Sinlista"/>
    <w:semiHidden/>
    <w:rsid w:val="00804DD2"/>
  </w:style>
  <w:style w:type="numbering" w:customStyle="1" w:styleId="Sinlista662">
    <w:name w:val="Sin lista662"/>
    <w:next w:val="Sinlista"/>
    <w:semiHidden/>
    <w:rsid w:val="00804DD2"/>
  </w:style>
  <w:style w:type="numbering" w:customStyle="1" w:styleId="Sinlista672">
    <w:name w:val="Sin lista672"/>
    <w:next w:val="Sinlista"/>
    <w:semiHidden/>
    <w:rsid w:val="00804DD2"/>
  </w:style>
  <w:style w:type="numbering" w:customStyle="1" w:styleId="Sinlista682">
    <w:name w:val="Sin lista682"/>
    <w:next w:val="Sinlista"/>
    <w:semiHidden/>
    <w:rsid w:val="00804DD2"/>
  </w:style>
  <w:style w:type="table" w:customStyle="1" w:styleId="Tablaconcuadrcula12112">
    <w:name w:val="Tabla con cuadrícula12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2">
    <w:name w:val="Sin lista692"/>
    <w:next w:val="Sinlista"/>
    <w:semiHidden/>
    <w:rsid w:val="00804DD2"/>
  </w:style>
  <w:style w:type="numbering" w:customStyle="1" w:styleId="Sinlista702">
    <w:name w:val="Sin lista702"/>
    <w:next w:val="Sinlista"/>
    <w:semiHidden/>
    <w:rsid w:val="00804DD2"/>
  </w:style>
  <w:style w:type="numbering" w:customStyle="1" w:styleId="Sinlista7112">
    <w:name w:val="Sin lista7112"/>
    <w:next w:val="Sinlista"/>
    <w:semiHidden/>
    <w:rsid w:val="00804DD2"/>
  </w:style>
  <w:style w:type="numbering" w:customStyle="1" w:styleId="Sinlista722">
    <w:name w:val="Sin lista722"/>
    <w:next w:val="Sinlista"/>
    <w:semiHidden/>
    <w:rsid w:val="00804DD2"/>
  </w:style>
  <w:style w:type="numbering" w:customStyle="1" w:styleId="Sinlista732">
    <w:name w:val="Sin lista732"/>
    <w:next w:val="Sinlista"/>
    <w:semiHidden/>
    <w:rsid w:val="00804DD2"/>
  </w:style>
  <w:style w:type="numbering" w:customStyle="1" w:styleId="Sinlista742">
    <w:name w:val="Sin lista742"/>
    <w:next w:val="Sinlista"/>
    <w:semiHidden/>
    <w:rsid w:val="00804DD2"/>
  </w:style>
  <w:style w:type="numbering" w:customStyle="1" w:styleId="Sinlista752">
    <w:name w:val="Sin lista752"/>
    <w:next w:val="Sinlista"/>
    <w:semiHidden/>
    <w:rsid w:val="00804DD2"/>
  </w:style>
  <w:style w:type="numbering" w:customStyle="1" w:styleId="Sinlista762">
    <w:name w:val="Sin lista762"/>
    <w:next w:val="Sinlista"/>
    <w:semiHidden/>
    <w:rsid w:val="00804DD2"/>
  </w:style>
  <w:style w:type="table" w:customStyle="1" w:styleId="Tablaconcuadrcula51112">
    <w:name w:val="Tabla con cuadrícula51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2">
    <w:name w:val="Sin lista772"/>
    <w:next w:val="Sinlista"/>
    <w:semiHidden/>
    <w:rsid w:val="00804DD2"/>
  </w:style>
  <w:style w:type="table" w:customStyle="1" w:styleId="Tablaconcuadrcula15112">
    <w:name w:val="Tabla con cuadrícula15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2">
    <w:name w:val="Sin lista782"/>
    <w:next w:val="Sinlista"/>
    <w:semiHidden/>
    <w:rsid w:val="00804DD2"/>
  </w:style>
  <w:style w:type="numbering" w:customStyle="1" w:styleId="Sinlista792">
    <w:name w:val="Sin lista792"/>
    <w:next w:val="Sinlista"/>
    <w:semiHidden/>
    <w:rsid w:val="00804DD2"/>
  </w:style>
  <w:style w:type="numbering" w:customStyle="1" w:styleId="Sinlista802">
    <w:name w:val="Sin lista802"/>
    <w:next w:val="Sinlista"/>
    <w:semiHidden/>
    <w:rsid w:val="00804DD2"/>
  </w:style>
  <w:style w:type="numbering" w:customStyle="1" w:styleId="Sinlista8112">
    <w:name w:val="Sin lista8112"/>
    <w:next w:val="Sinlista"/>
    <w:semiHidden/>
    <w:rsid w:val="00804DD2"/>
  </w:style>
  <w:style w:type="numbering" w:customStyle="1" w:styleId="Sinlista822">
    <w:name w:val="Sin lista822"/>
    <w:next w:val="Sinlista"/>
    <w:semiHidden/>
    <w:rsid w:val="00804DD2"/>
  </w:style>
  <w:style w:type="numbering" w:customStyle="1" w:styleId="Sinlista832">
    <w:name w:val="Sin lista832"/>
    <w:next w:val="Sinlista"/>
    <w:semiHidden/>
    <w:rsid w:val="00804DD2"/>
  </w:style>
  <w:style w:type="numbering" w:customStyle="1" w:styleId="Sinlista842">
    <w:name w:val="Sin lista842"/>
    <w:next w:val="Sinlista"/>
    <w:semiHidden/>
    <w:rsid w:val="00804DD2"/>
  </w:style>
  <w:style w:type="numbering" w:customStyle="1" w:styleId="Sinlista852">
    <w:name w:val="Sin lista852"/>
    <w:next w:val="Sinlista"/>
    <w:semiHidden/>
    <w:rsid w:val="00804DD2"/>
  </w:style>
  <w:style w:type="numbering" w:customStyle="1" w:styleId="Sinlista862">
    <w:name w:val="Sin lista862"/>
    <w:next w:val="Sinlista"/>
    <w:semiHidden/>
    <w:rsid w:val="00804DD2"/>
  </w:style>
  <w:style w:type="numbering" w:customStyle="1" w:styleId="Sinlista872">
    <w:name w:val="Sin lista872"/>
    <w:next w:val="Sinlista"/>
    <w:semiHidden/>
    <w:rsid w:val="00804DD2"/>
  </w:style>
  <w:style w:type="numbering" w:customStyle="1" w:styleId="Sinlista882">
    <w:name w:val="Sin lista882"/>
    <w:next w:val="Sinlista"/>
    <w:semiHidden/>
    <w:rsid w:val="00804DD2"/>
  </w:style>
  <w:style w:type="numbering" w:customStyle="1" w:styleId="Sinlista892">
    <w:name w:val="Sin lista892"/>
    <w:next w:val="Sinlista"/>
    <w:semiHidden/>
    <w:rsid w:val="00804DD2"/>
  </w:style>
  <w:style w:type="numbering" w:customStyle="1" w:styleId="Sinlista902">
    <w:name w:val="Sin lista902"/>
    <w:next w:val="Sinlista"/>
    <w:semiHidden/>
    <w:rsid w:val="00804DD2"/>
  </w:style>
  <w:style w:type="numbering" w:customStyle="1" w:styleId="Sinlista9112">
    <w:name w:val="Sin lista9112"/>
    <w:next w:val="Sinlista"/>
    <w:semiHidden/>
    <w:rsid w:val="00804DD2"/>
  </w:style>
  <w:style w:type="numbering" w:customStyle="1" w:styleId="Sinlista922">
    <w:name w:val="Sin lista922"/>
    <w:next w:val="Sinlista"/>
    <w:semiHidden/>
    <w:rsid w:val="00804DD2"/>
  </w:style>
  <w:style w:type="numbering" w:customStyle="1" w:styleId="Sinlista932">
    <w:name w:val="Sin lista932"/>
    <w:next w:val="Sinlista"/>
    <w:semiHidden/>
    <w:rsid w:val="00804DD2"/>
  </w:style>
  <w:style w:type="numbering" w:customStyle="1" w:styleId="Sinlista942">
    <w:name w:val="Sin lista942"/>
    <w:next w:val="Sinlista"/>
    <w:semiHidden/>
    <w:rsid w:val="00804DD2"/>
  </w:style>
  <w:style w:type="numbering" w:customStyle="1" w:styleId="Sinlista952">
    <w:name w:val="Sin lista952"/>
    <w:next w:val="Sinlista"/>
    <w:semiHidden/>
    <w:rsid w:val="00804DD2"/>
  </w:style>
  <w:style w:type="numbering" w:customStyle="1" w:styleId="Sinlista962">
    <w:name w:val="Sin lista962"/>
    <w:next w:val="Sinlista"/>
    <w:semiHidden/>
    <w:rsid w:val="00804DD2"/>
  </w:style>
  <w:style w:type="numbering" w:customStyle="1" w:styleId="Sinlista972">
    <w:name w:val="Sin lista972"/>
    <w:next w:val="Sinlista"/>
    <w:semiHidden/>
    <w:rsid w:val="00804DD2"/>
  </w:style>
  <w:style w:type="numbering" w:customStyle="1" w:styleId="Sinlista982">
    <w:name w:val="Sin lista982"/>
    <w:next w:val="Sinlista"/>
    <w:semiHidden/>
    <w:rsid w:val="00804DD2"/>
  </w:style>
  <w:style w:type="numbering" w:customStyle="1" w:styleId="Sinlista992">
    <w:name w:val="Sin lista992"/>
    <w:next w:val="Sinlista"/>
    <w:semiHidden/>
    <w:rsid w:val="00804DD2"/>
  </w:style>
  <w:style w:type="numbering" w:customStyle="1" w:styleId="Sinlista1002">
    <w:name w:val="Sin lista1002"/>
    <w:next w:val="Sinlista"/>
    <w:semiHidden/>
    <w:rsid w:val="00804DD2"/>
  </w:style>
  <w:style w:type="numbering" w:customStyle="1" w:styleId="Sinlista10112">
    <w:name w:val="Sin lista10112"/>
    <w:next w:val="Sinlista"/>
    <w:semiHidden/>
    <w:rsid w:val="00804DD2"/>
  </w:style>
  <w:style w:type="table" w:customStyle="1" w:styleId="Tablaconcuadrcula19112">
    <w:name w:val="Tabla con cuadrícula19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2">
    <w:name w:val="Sin lista1022"/>
    <w:next w:val="Sinlista"/>
    <w:semiHidden/>
    <w:rsid w:val="00804DD2"/>
  </w:style>
  <w:style w:type="numbering" w:customStyle="1" w:styleId="Sinlista1032">
    <w:name w:val="Sin lista1032"/>
    <w:next w:val="Sinlista"/>
    <w:semiHidden/>
    <w:rsid w:val="00804DD2"/>
  </w:style>
  <w:style w:type="numbering" w:customStyle="1" w:styleId="Sinlista1042">
    <w:name w:val="Sin lista1042"/>
    <w:next w:val="Sinlista"/>
    <w:semiHidden/>
    <w:rsid w:val="00804DD2"/>
  </w:style>
  <w:style w:type="numbering" w:customStyle="1" w:styleId="Sinlista1052">
    <w:name w:val="Sin lista1052"/>
    <w:next w:val="Sinlista"/>
    <w:semiHidden/>
    <w:rsid w:val="00804DD2"/>
  </w:style>
  <w:style w:type="numbering" w:customStyle="1" w:styleId="Sinlista1062">
    <w:name w:val="Sin lista1062"/>
    <w:next w:val="Sinlista"/>
    <w:semiHidden/>
    <w:rsid w:val="00804DD2"/>
  </w:style>
  <w:style w:type="numbering" w:customStyle="1" w:styleId="Sinlista1072">
    <w:name w:val="Sin lista1072"/>
    <w:next w:val="Sinlista"/>
    <w:semiHidden/>
    <w:rsid w:val="00804DD2"/>
  </w:style>
  <w:style w:type="numbering" w:customStyle="1" w:styleId="Sinlista1082">
    <w:name w:val="Sin lista1082"/>
    <w:next w:val="Sinlista"/>
    <w:semiHidden/>
    <w:rsid w:val="00804DD2"/>
  </w:style>
  <w:style w:type="numbering" w:customStyle="1" w:styleId="Sinlista1092">
    <w:name w:val="Sin lista1092"/>
    <w:next w:val="Sinlista"/>
    <w:semiHidden/>
    <w:rsid w:val="00804DD2"/>
  </w:style>
  <w:style w:type="numbering" w:customStyle="1" w:styleId="Sinlista11012">
    <w:name w:val="Sin lista11012"/>
    <w:next w:val="Sinlista"/>
    <w:semiHidden/>
    <w:rsid w:val="00804DD2"/>
  </w:style>
  <w:style w:type="numbering" w:customStyle="1" w:styleId="Sinlista11112">
    <w:name w:val="Sin lista11112"/>
    <w:next w:val="Sinlista"/>
    <w:semiHidden/>
    <w:rsid w:val="00804DD2"/>
  </w:style>
  <w:style w:type="numbering" w:customStyle="1" w:styleId="Sinlista1122">
    <w:name w:val="Sin lista1122"/>
    <w:next w:val="Sinlista"/>
    <w:semiHidden/>
    <w:rsid w:val="00804DD2"/>
  </w:style>
  <w:style w:type="table" w:customStyle="1" w:styleId="Tablaconcuadrcula21112">
    <w:name w:val="Tabla con cuadrícula21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2">
    <w:name w:val="Sin lista1132"/>
    <w:next w:val="Sinlista"/>
    <w:semiHidden/>
    <w:rsid w:val="00804DD2"/>
  </w:style>
  <w:style w:type="numbering" w:customStyle="1" w:styleId="Sinlista1142">
    <w:name w:val="Sin lista1142"/>
    <w:next w:val="Sinlista"/>
    <w:semiHidden/>
    <w:rsid w:val="00804DD2"/>
  </w:style>
  <w:style w:type="numbering" w:customStyle="1" w:styleId="Sinlista1152">
    <w:name w:val="Sin lista1152"/>
    <w:next w:val="Sinlista"/>
    <w:semiHidden/>
    <w:rsid w:val="00804DD2"/>
  </w:style>
  <w:style w:type="numbering" w:customStyle="1" w:styleId="Sinlista1162">
    <w:name w:val="Sin lista1162"/>
    <w:next w:val="Sinlista"/>
    <w:semiHidden/>
    <w:rsid w:val="00804DD2"/>
  </w:style>
  <w:style w:type="numbering" w:customStyle="1" w:styleId="Sinlista1172">
    <w:name w:val="Sin lista1172"/>
    <w:next w:val="Sinlista"/>
    <w:semiHidden/>
    <w:rsid w:val="00804DD2"/>
  </w:style>
  <w:style w:type="numbering" w:customStyle="1" w:styleId="Sinlista1182">
    <w:name w:val="Sin lista1182"/>
    <w:next w:val="Sinlista"/>
    <w:semiHidden/>
    <w:rsid w:val="00804DD2"/>
  </w:style>
  <w:style w:type="numbering" w:customStyle="1" w:styleId="Sinlista1192">
    <w:name w:val="Sin lista1192"/>
    <w:next w:val="Sinlista"/>
    <w:semiHidden/>
    <w:rsid w:val="00804DD2"/>
  </w:style>
  <w:style w:type="table" w:customStyle="1" w:styleId="Tablaconcuadrcula22112">
    <w:name w:val="Tabla con cuadrícula22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2">
    <w:name w:val="Sin lista1202"/>
    <w:next w:val="Sinlista"/>
    <w:semiHidden/>
    <w:rsid w:val="00804DD2"/>
  </w:style>
  <w:style w:type="numbering" w:customStyle="1" w:styleId="Sinlista12112">
    <w:name w:val="Sin lista12112"/>
    <w:next w:val="Sinlista"/>
    <w:semiHidden/>
    <w:rsid w:val="00804DD2"/>
  </w:style>
  <w:style w:type="numbering" w:customStyle="1" w:styleId="Sinlista1222">
    <w:name w:val="Sin lista1222"/>
    <w:next w:val="Sinlista"/>
    <w:semiHidden/>
    <w:rsid w:val="00804DD2"/>
  </w:style>
  <w:style w:type="numbering" w:customStyle="1" w:styleId="Sinlista1232">
    <w:name w:val="Sin lista1232"/>
    <w:next w:val="Sinlista"/>
    <w:semiHidden/>
    <w:rsid w:val="00804DD2"/>
  </w:style>
  <w:style w:type="numbering" w:customStyle="1" w:styleId="Sinlista1242">
    <w:name w:val="Sin lista1242"/>
    <w:next w:val="Sinlista"/>
    <w:semiHidden/>
    <w:rsid w:val="00804DD2"/>
  </w:style>
  <w:style w:type="table" w:customStyle="1" w:styleId="Tablaconcuadrcula23112">
    <w:name w:val="Tabla con cuadrícula23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52">
    <w:name w:val="Sin lista1252"/>
    <w:next w:val="Sinlista"/>
    <w:semiHidden/>
    <w:rsid w:val="00804DD2"/>
  </w:style>
  <w:style w:type="numbering" w:customStyle="1" w:styleId="Sinlista1262">
    <w:name w:val="Sin lista1262"/>
    <w:next w:val="Sinlista"/>
    <w:semiHidden/>
    <w:rsid w:val="00804DD2"/>
  </w:style>
  <w:style w:type="numbering" w:customStyle="1" w:styleId="Sinlista1272">
    <w:name w:val="Sin lista1272"/>
    <w:next w:val="Sinlista"/>
    <w:semiHidden/>
    <w:rsid w:val="00804DD2"/>
  </w:style>
  <w:style w:type="numbering" w:customStyle="1" w:styleId="Sinlista1282">
    <w:name w:val="Sin lista1282"/>
    <w:next w:val="Sinlista"/>
    <w:semiHidden/>
    <w:rsid w:val="00804DD2"/>
  </w:style>
  <w:style w:type="numbering" w:customStyle="1" w:styleId="Sinlista1292">
    <w:name w:val="Sin lista1292"/>
    <w:next w:val="Sinlista"/>
    <w:semiHidden/>
    <w:rsid w:val="00804DD2"/>
  </w:style>
  <w:style w:type="numbering" w:customStyle="1" w:styleId="Sinlista1302">
    <w:name w:val="Sin lista1302"/>
    <w:next w:val="Sinlista"/>
    <w:semiHidden/>
    <w:rsid w:val="00804DD2"/>
  </w:style>
  <w:style w:type="numbering" w:customStyle="1" w:styleId="Sinlista13112">
    <w:name w:val="Sin lista13112"/>
    <w:next w:val="Sinlista"/>
    <w:semiHidden/>
    <w:rsid w:val="00804DD2"/>
  </w:style>
  <w:style w:type="numbering" w:customStyle="1" w:styleId="Sinlista1322">
    <w:name w:val="Sin lista1322"/>
    <w:next w:val="Sinlista"/>
    <w:semiHidden/>
    <w:rsid w:val="00804DD2"/>
  </w:style>
  <w:style w:type="numbering" w:customStyle="1" w:styleId="Sinlista1332">
    <w:name w:val="Sin lista1332"/>
    <w:next w:val="Sinlista"/>
    <w:semiHidden/>
    <w:rsid w:val="00804DD2"/>
  </w:style>
  <w:style w:type="numbering" w:customStyle="1" w:styleId="Sinlista1342">
    <w:name w:val="Sin lista1342"/>
    <w:next w:val="Sinlista"/>
    <w:semiHidden/>
    <w:rsid w:val="00804DD2"/>
  </w:style>
  <w:style w:type="numbering" w:customStyle="1" w:styleId="Sinlista1352">
    <w:name w:val="Sin lista1352"/>
    <w:next w:val="Sinlista"/>
    <w:semiHidden/>
    <w:rsid w:val="00804DD2"/>
  </w:style>
  <w:style w:type="numbering" w:customStyle="1" w:styleId="Sinlista1362">
    <w:name w:val="Sin lista1362"/>
    <w:next w:val="Sinlista"/>
    <w:semiHidden/>
    <w:rsid w:val="00804DD2"/>
  </w:style>
  <w:style w:type="numbering" w:customStyle="1" w:styleId="Sinlista1372">
    <w:name w:val="Sin lista1372"/>
    <w:next w:val="Sinlista"/>
    <w:semiHidden/>
    <w:rsid w:val="00804DD2"/>
  </w:style>
  <w:style w:type="table" w:customStyle="1" w:styleId="Tablaconcuadrcula25112">
    <w:name w:val="Tabla con cuadrícula25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2">
    <w:name w:val="Sin lista1382"/>
    <w:next w:val="Sinlista"/>
    <w:semiHidden/>
    <w:rsid w:val="00804DD2"/>
  </w:style>
  <w:style w:type="numbering" w:customStyle="1" w:styleId="Sinlista1392">
    <w:name w:val="Sin lista1392"/>
    <w:next w:val="Sinlista"/>
    <w:semiHidden/>
    <w:rsid w:val="00804DD2"/>
  </w:style>
  <w:style w:type="numbering" w:customStyle="1" w:styleId="Sinlista1402">
    <w:name w:val="Sin lista1402"/>
    <w:next w:val="Sinlista"/>
    <w:semiHidden/>
    <w:rsid w:val="00804DD2"/>
  </w:style>
  <w:style w:type="numbering" w:customStyle="1" w:styleId="Sinlista14112">
    <w:name w:val="Sin lista14112"/>
    <w:next w:val="Sinlista"/>
    <w:semiHidden/>
    <w:rsid w:val="00804DD2"/>
  </w:style>
  <w:style w:type="numbering" w:customStyle="1" w:styleId="Sinlista1422">
    <w:name w:val="Sin lista1422"/>
    <w:next w:val="Sinlista"/>
    <w:semiHidden/>
    <w:rsid w:val="00804DD2"/>
  </w:style>
  <w:style w:type="numbering" w:customStyle="1" w:styleId="Sinlista1432">
    <w:name w:val="Sin lista1432"/>
    <w:next w:val="Sinlista"/>
    <w:semiHidden/>
    <w:rsid w:val="00804DD2"/>
  </w:style>
  <w:style w:type="table" w:customStyle="1" w:styleId="Tablaconcuadrcula26112">
    <w:name w:val="Tabla con cuadrícula26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2">
    <w:name w:val="Sin lista1442"/>
    <w:next w:val="Sinlista"/>
    <w:semiHidden/>
    <w:rsid w:val="00804DD2"/>
  </w:style>
  <w:style w:type="numbering" w:customStyle="1" w:styleId="Sinlista1452">
    <w:name w:val="Sin lista1452"/>
    <w:next w:val="Sinlista"/>
    <w:semiHidden/>
    <w:rsid w:val="00804DD2"/>
  </w:style>
  <w:style w:type="numbering" w:customStyle="1" w:styleId="Sinlista1462">
    <w:name w:val="Sin lista1462"/>
    <w:next w:val="Sinlista"/>
    <w:semiHidden/>
    <w:rsid w:val="00804DD2"/>
  </w:style>
  <w:style w:type="numbering" w:customStyle="1" w:styleId="Sinlista1472">
    <w:name w:val="Sin lista1472"/>
    <w:next w:val="Sinlista"/>
    <w:semiHidden/>
    <w:rsid w:val="00804DD2"/>
  </w:style>
  <w:style w:type="table" w:customStyle="1" w:styleId="Tablaconcuadrcula27112">
    <w:name w:val="Tabla con cuadrícula27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2">
    <w:name w:val="Sin lista1482"/>
    <w:next w:val="Sinlista"/>
    <w:semiHidden/>
    <w:rsid w:val="00804DD2"/>
  </w:style>
  <w:style w:type="numbering" w:customStyle="1" w:styleId="Sinlista1492">
    <w:name w:val="Sin lista1492"/>
    <w:next w:val="Sinlista"/>
    <w:semiHidden/>
    <w:rsid w:val="00804DD2"/>
  </w:style>
  <w:style w:type="numbering" w:customStyle="1" w:styleId="Sinlista1502">
    <w:name w:val="Sin lista1502"/>
    <w:next w:val="Sinlista"/>
    <w:semiHidden/>
    <w:rsid w:val="00804DD2"/>
  </w:style>
  <w:style w:type="numbering" w:customStyle="1" w:styleId="Sinlista15112">
    <w:name w:val="Sin lista15112"/>
    <w:next w:val="Sinlista"/>
    <w:semiHidden/>
    <w:rsid w:val="00804DD2"/>
  </w:style>
  <w:style w:type="numbering" w:customStyle="1" w:styleId="Sinlista1522">
    <w:name w:val="Sin lista1522"/>
    <w:next w:val="Sinlista"/>
    <w:semiHidden/>
    <w:rsid w:val="00804DD2"/>
  </w:style>
  <w:style w:type="numbering" w:customStyle="1" w:styleId="Sinlista1532">
    <w:name w:val="Sin lista1532"/>
    <w:next w:val="Sinlista"/>
    <w:semiHidden/>
    <w:rsid w:val="00804DD2"/>
  </w:style>
  <w:style w:type="numbering" w:customStyle="1" w:styleId="Sinlista1542">
    <w:name w:val="Sin lista1542"/>
    <w:next w:val="Sinlista"/>
    <w:semiHidden/>
    <w:rsid w:val="00804DD2"/>
  </w:style>
  <w:style w:type="numbering" w:customStyle="1" w:styleId="Sinlista1552">
    <w:name w:val="Sin lista1552"/>
    <w:next w:val="Sinlista"/>
    <w:semiHidden/>
    <w:rsid w:val="00804DD2"/>
  </w:style>
  <w:style w:type="numbering" w:customStyle="1" w:styleId="Sinlista163">
    <w:name w:val="Sin lista163"/>
    <w:next w:val="Sinlista"/>
    <w:semiHidden/>
    <w:rsid w:val="00904BA1"/>
  </w:style>
  <w:style w:type="table" w:customStyle="1" w:styleId="Tablaconcuadrcula286">
    <w:name w:val="Tabla con cuadrícula286"/>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3">
    <w:name w:val="Tabla con cuadrícula1603"/>
    <w:basedOn w:val="Tablanormal"/>
    <w:next w:val="Tablaconcuadrcula"/>
    <w:rsid w:val="00904BA1"/>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4">
    <w:name w:val="Tabla con cuadrícula2114"/>
    <w:basedOn w:val="Tablanormal"/>
    <w:next w:val="Tablaconcuadrcula"/>
    <w:rsid w:val="00904BA1"/>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4">
    <w:name w:val="Tabla con cuadrícula2214"/>
    <w:basedOn w:val="Tablanormal"/>
    <w:next w:val="Tablaconcuadrcula"/>
    <w:rsid w:val="00904BA1"/>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4">
    <w:name w:val="Tabla con cuadrícula2314"/>
    <w:basedOn w:val="Tablanormal"/>
    <w:next w:val="Tablaconcuadrcula"/>
    <w:rsid w:val="00904BA1"/>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4">
    <w:name w:val="Sin lista164"/>
    <w:next w:val="Sinlista"/>
    <w:semiHidden/>
    <w:unhideWhenUsed/>
    <w:rsid w:val="00904BA1"/>
  </w:style>
  <w:style w:type="numbering" w:customStyle="1" w:styleId="Sinlista214">
    <w:name w:val="Sin lista214"/>
    <w:next w:val="Sinlista"/>
    <w:semiHidden/>
    <w:unhideWhenUsed/>
    <w:rsid w:val="00904BA1"/>
  </w:style>
  <w:style w:type="table" w:customStyle="1" w:styleId="Tablabsica13">
    <w:name w:val="Tabla básica 13"/>
    <w:basedOn w:val="Tablanormal"/>
    <w:next w:val="Tablabsica1"/>
    <w:rsid w:val="00904BA1"/>
    <w:rPr>
      <w:rFonts w:eastAsia="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4">
    <w:name w:val="Sin lista1114"/>
    <w:next w:val="Sinlista"/>
    <w:semiHidden/>
    <w:rsid w:val="00904BA1"/>
  </w:style>
  <w:style w:type="table" w:customStyle="1" w:styleId="Tablaconcuadrcula1114">
    <w:name w:val="Tabla con cuadrícula1114"/>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50">
    <w:name w:val="Tabla con cuadrícula 135"/>
    <w:basedOn w:val="Tablanormal"/>
    <w:next w:val="Tablaconcuadrcula10"/>
    <w:rsid w:val="00904BA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4">
    <w:name w:val="Tabla con cuadrícula1904"/>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3">
    <w:name w:val="Tabla con cuadrícula293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4">
    <w:name w:val="Tabla con cuadrícula6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4">
    <w:name w:val="Sin lista314"/>
    <w:next w:val="Sinlista"/>
    <w:semiHidden/>
    <w:unhideWhenUsed/>
    <w:rsid w:val="00904BA1"/>
  </w:style>
  <w:style w:type="table" w:customStyle="1" w:styleId="Tablaconcuadrcula1823">
    <w:name w:val="Tabla con cuadrícula182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5">
    <w:name w:val="Tabla con cuadrícula515"/>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4">
    <w:name w:val="Sin lista414"/>
    <w:next w:val="Sinlista"/>
    <w:semiHidden/>
    <w:rsid w:val="00904BA1"/>
  </w:style>
  <w:style w:type="numbering" w:customStyle="1" w:styleId="Sinlista514">
    <w:name w:val="Sin lista514"/>
    <w:next w:val="Sinlista"/>
    <w:semiHidden/>
    <w:unhideWhenUsed/>
    <w:rsid w:val="00904BA1"/>
  </w:style>
  <w:style w:type="numbering" w:customStyle="1" w:styleId="Sinlista1214">
    <w:name w:val="Sin lista1214"/>
    <w:next w:val="Sinlista"/>
    <w:semiHidden/>
    <w:rsid w:val="00904BA1"/>
  </w:style>
  <w:style w:type="numbering" w:customStyle="1" w:styleId="Sinlista614">
    <w:name w:val="Sin lista614"/>
    <w:next w:val="Sinlista"/>
    <w:semiHidden/>
    <w:unhideWhenUsed/>
    <w:rsid w:val="00904BA1"/>
  </w:style>
  <w:style w:type="numbering" w:customStyle="1" w:styleId="Sinlista714">
    <w:name w:val="Sin lista714"/>
    <w:next w:val="Sinlista"/>
    <w:semiHidden/>
    <w:unhideWhenUsed/>
    <w:rsid w:val="00904BA1"/>
  </w:style>
  <w:style w:type="table" w:customStyle="1" w:styleId="Tablaconcuadrcula1214">
    <w:name w:val="Tabla con cuadrícula1214"/>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4">
    <w:name w:val="Sin lista814"/>
    <w:next w:val="Sinlista"/>
    <w:semiHidden/>
    <w:unhideWhenUsed/>
    <w:rsid w:val="00904BA1"/>
  </w:style>
  <w:style w:type="numbering" w:customStyle="1" w:styleId="Sinlista914">
    <w:name w:val="Sin lista914"/>
    <w:next w:val="Sinlista"/>
    <w:semiHidden/>
    <w:rsid w:val="00904BA1"/>
  </w:style>
  <w:style w:type="numbering" w:customStyle="1" w:styleId="Sinlista1014">
    <w:name w:val="Sin lista1014"/>
    <w:next w:val="Sinlista"/>
    <w:semiHidden/>
    <w:unhideWhenUsed/>
    <w:rsid w:val="00904BA1"/>
  </w:style>
  <w:style w:type="numbering" w:customStyle="1" w:styleId="Sinlista1314">
    <w:name w:val="Sin lista1314"/>
    <w:next w:val="Sinlista"/>
    <w:semiHidden/>
    <w:rsid w:val="00904BA1"/>
  </w:style>
  <w:style w:type="table" w:customStyle="1" w:styleId="Tablaconcuadrcula523">
    <w:name w:val="Tabla con cuadrícula52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4">
    <w:name w:val="Tabla con cuadrícula15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4">
    <w:name w:val="Sin lista1414"/>
    <w:next w:val="Sinlista"/>
    <w:semiHidden/>
    <w:rsid w:val="00904BA1"/>
  </w:style>
  <w:style w:type="numbering" w:customStyle="1" w:styleId="Sinlista1513">
    <w:name w:val="Sin lista1513"/>
    <w:next w:val="Sinlista"/>
    <w:semiHidden/>
    <w:rsid w:val="00904BA1"/>
  </w:style>
  <w:style w:type="numbering" w:customStyle="1" w:styleId="Sinlista165">
    <w:name w:val="Sin lista165"/>
    <w:next w:val="Sinlista"/>
    <w:semiHidden/>
    <w:rsid w:val="00904BA1"/>
  </w:style>
  <w:style w:type="table" w:customStyle="1" w:styleId="Tablaconcuadrcula1914">
    <w:name w:val="Tabla con cuadrícula19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3">
    <w:name w:val="Sin lista173"/>
    <w:next w:val="Sinlista"/>
    <w:semiHidden/>
    <w:rsid w:val="00904BA1"/>
  </w:style>
  <w:style w:type="numbering" w:customStyle="1" w:styleId="Sinlista183">
    <w:name w:val="Sin lista183"/>
    <w:next w:val="Sinlista"/>
    <w:semiHidden/>
    <w:rsid w:val="00904BA1"/>
  </w:style>
  <w:style w:type="table" w:customStyle="1" w:styleId="Tablaconcuadrcula1104">
    <w:name w:val="Tabla con cuadrícula1104"/>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4">
    <w:name w:val="1 / 1.1 / 1.1.14"/>
    <w:basedOn w:val="Sinlista"/>
    <w:next w:val="111111"/>
    <w:rsid w:val="00904BA1"/>
  </w:style>
  <w:style w:type="numbering" w:customStyle="1" w:styleId="Sinlista193">
    <w:name w:val="Sin lista193"/>
    <w:next w:val="Sinlista"/>
    <w:semiHidden/>
    <w:unhideWhenUsed/>
    <w:rsid w:val="00904BA1"/>
  </w:style>
  <w:style w:type="table" w:customStyle="1" w:styleId="Tablaconcuadrcula2073">
    <w:name w:val="Tabla con cuadrícula207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3">
    <w:name w:val="1 / 1.1 / 1.1.113"/>
    <w:basedOn w:val="Sinlista"/>
    <w:next w:val="111111"/>
    <w:rsid w:val="00904BA1"/>
  </w:style>
  <w:style w:type="table" w:customStyle="1" w:styleId="Tablaconcuadrcula2514">
    <w:name w:val="Tabla con cuadrícula25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4">
    <w:name w:val="Tabla con cuadrícula26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11">
    <w:name w:val="1 / 1.1 / 1.1.1111"/>
    <w:basedOn w:val="Sinlista"/>
    <w:next w:val="111111"/>
    <w:rsid w:val="00904BA1"/>
  </w:style>
  <w:style w:type="numbering" w:customStyle="1" w:styleId="Sinlista203">
    <w:name w:val="Sin lista203"/>
    <w:next w:val="Sinlista"/>
    <w:semiHidden/>
    <w:rsid w:val="00904BA1"/>
  </w:style>
  <w:style w:type="table" w:customStyle="1" w:styleId="Tablaconcuadrcula2714">
    <w:name w:val="Tabla con cuadrícula2714"/>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3">
    <w:name w:val="Tabla con cuadrícula16013"/>
    <w:basedOn w:val="Tablanormal"/>
    <w:next w:val="Tablaconcuadrcula"/>
    <w:rsid w:val="00904BA1"/>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5">
    <w:name w:val="Tabla con cuadrícula2115"/>
    <w:basedOn w:val="Tablanormal"/>
    <w:next w:val="Tablaconcuadrcula"/>
    <w:rsid w:val="00904BA1"/>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5">
    <w:name w:val="Tabla con cuadrícula2215"/>
    <w:basedOn w:val="Tablanormal"/>
    <w:next w:val="Tablaconcuadrcula"/>
    <w:rsid w:val="00904BA1"/>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5">
    <w:name w:val="Tabla con cuadrícula2315"/>
    <w:basedOn w:val="Tablanormal"/>
    <w:next w:val="Tablaconcuadrcula"/>
    <w:rsid w:val="00904BA1"/>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3">
    <w:name w:val="Sin lista1103"/>
    <w:next w:val="Sinlista"/>
    <w:semiHidden/>
    <w:unhideWhenUsed/>
    <w:rsid w:val="00904BA1"/>
  </w:style>
  <w:style w:type="numbering" w:customStyle="1" w:styleId="Sinlista215">
    <w:name w:val="Sin lista215"/>
    <w:next w:val="Sinlista"/>
    <w:semiHidden/>
    <w:unhideWhenUsed/>
    <w:rsid w:val="00904BA1"/>
  </w:style>
  <w:style w:type="table" w:customStyle="1" w:styleId="Tablabsica113">
    <w:name w:val="Tabla básica 113"/>
    <w:basedOn w:val="Tablanormal"/>
    <w:next w:val="Tablabsica1"/>
    <w:rsid w:val="00904BA1"/>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5">
    <w:name w:val="Sin lista1115"/>
    <w:next w:val="Sinlista"/>
    <w:semiHidden/>
    <w:rsid w:val="00904BA1"/>
  </w:style>
  <w:style w:type="table" w:customStyle="1" w:styleId="Tablaconcuadrcula1115">
    <w:name w:val="Tabla con cuadrícula1115"/>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20">
    <w:name w:val="Tabla con cuadrícula 1112"/>
    <w:basedOn w:val="Tablanormal"/>
    <w:next w:val="Tablaconcuadrcula10"/>
    <w:rsid w:val="00904BA1"/>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3">
    <w:name w:val="Tabla con cuadrícula1902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3">
    <w:name w:val="Tabla con cuadrícula293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5">
    <w:name w:val="Tabla con cuadrícula6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5">
    <w:name w:val="Sin lista315"/>
    <w:next w:val="Sinlista"/>
    <w:semiHidden/>
    <w:unhideWhenUsed/>
    <w:rsid w:val="00904BA1"/>
  </w:style>
  <w:style w:type="table" w:customStyle="1" w:styleId="Tablaconcuadrcula18213">
    <w:name w:val="Tabla con cuadrícula182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3">
    <w:name w:val="Tabla con cuadrícula51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5">
    <w:name w:val="Sin lista415"/>
    <w:next w:val="Sinlista"/>
    <w:semiHidden/>
    <w:rsid w:val="00904BA1"/>
  </w:style>
  <w:style w:type="numbering" w:customStyle="1" w:styleId="Sinlista515">
    <w:name w:val="Sin lista515"/>
    <w:next w:val="Sinlista"/>
    <w:semiHidden/>
    <w:unhideWhenUsed/>
    <w:rsid w:val="00904BA1"/>
  </w:style>
  <w:style w:type="numbering" w:customStyle="1" w:styleId="Sinlista1215">
    <w:name w:val="Sin lista1215"/>
    <w:next w:val="Sinlista"/>
    <w:semiHidden/>
    <w:rsid w:val="00904BA1"/>
  </w:style>
  <w:style w:type="numbering" w:customStyle="1" w:styleId="Sinlista615">
    <w:name w:val="Sin lista615"/>
    <w:next w:val="Sinlista"/>
    <w:semiHidden/>
    <w:unhideWhenUsed/>
    <w:rsid w:val="00904BA1"/>
  </w:style>
  <w:style w:type="numbering" w:customStyle="1" w:styleId="Sinlista715">
    <w:name w:val="Sin lista715"/>
    <w:next w:val="Sinlista"/>
    <w:semiHidden/>
    <w:unhideWhenUsed/>
    <w:rsid w:val="00904BA1"/>
  </w:style>
  <w:style w:type="table" w:customStyle="1" w:styleId="Tablaconcuadrcula1215">
    <w:name w:val="Tabla con cuadrícula1215"/>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5">
    <w:name w:val="Sin lista815"/>
    <w:next w:val="Sinlista"/>
    <w:semiHidden/>
    <w:unhideWhenUsed/>
    <w:rsid w:val="00904BA1"/>
  </w:style>
  <w:style w:type="numbering" w:customStyle="1" w:styleId="Sinlista915">
    <w:name w:val="Sin lista915"/>
    <w:next w:val="Sinlista"/>
    <w:semiHidden/>
    <w:rsid w:val="00904BA1"/>
  </w:style>
  <w:style w:type="numbering" w:customStyle="1" w:styleId="Sinlista1015">
    <w:name w:val="Sin lista1015"/>
    <w:next w:val="Sinlista"/>
    <w:semiHidden/>
    <w:unhideWhenUsed/>
    <w:rsid w:val="00904BA1"/>
  </w:style>
  <w:style w:type="numbering" w:customStyle="1" w:styleId="Sinlista1315">
    <w:name w:val="Sin lista1315"/>
    <w:next w:val="Sinlista"/>
    <w:semiHidden/>
    <w:rsid w:val="00904BA1"/>
  </w:style>
  <w:style w:type="table" w:customStyle="1" w:styleId="Tablaconcuadrcula5213">
    <w:name w:val="Tabla con cuadrícula52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5">
    <w:name w:val="Tabla con cuadrícula15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5">
    <w:name w:val="Sin lista1415"/>
    <w:next w:val="Sinlista"/>
    <w:semiHidden/>
    <w:rsid w:val="00904BA1"/>
  </w:style>
  <w:style w:type="numbering" w:customStyle="1" w:styleId="Sinlista1514">
    <w:name w:val="Sin lista1514"/>
    <w:next w:val="Sinlista"/>
    <w:semiHidden/>
    <w:rsid w:val="00904BA1"/>
  </w:style>
  <w:style w:type="numbering" w:customStyle="1" w:styleId="Sinlista1613">
    <w:name w:val="Sin lista1613"/>
    <w:next w:val="Sinlista"/>
    <w:semiHidden/>
    <w:rsid w:val="00904BA1"/>
  </w:style>
  <w:style w:type="table" w:customStyle="1" w:styleId="Tablaconcuadrcula1915">
    <w:name w:val="Tabla con cuadrícula19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3">
    <w:name w:val="Sin lista1713"/>
    <w:next w:val="Sinlista"/>
    <w:semiHidden/>
    <w:rsid w:val="00904BA1"/>
  </w:style>
  <w:style w:type="numbering" w:customStyle="1" w:styleId="Sinlista1813">
    <w:name w:val="Sin lista1813"/>
    <w:next w:val="Sinlista"/>
    <w:semiHidden/>
    <w:rsid w:val="00904BA1"/>
  </w:style>
  <w:style w:type="numbering" w:customStyle="1" w:styleId="11111122">
    <w:name w:val="1 / 1.1 / 1.1.122"/>
    <w:basedOn w:val="Sinlista"/>
    <w:next w:val="111111"/>
    <w:rsid w:val="00904BA1"/>
  </w:style>
  <w:style w:type="numbering" w:customStyle="1" w:styleId="Sinlista1913">
    <w:name w:val="Sin lista1913"/>
    <w:next w:val="Sinlista"/>
    <w:semiHidden/>
    <w:unhideWhenUsed/>
    <w:rsid w:val="00904BA1"/>
  </w:style>
  <w:style w:type="table" w:customStyle="1" w:styleId="Tablaconcuadrcula20713">
    <w:name w:val="Tabla con cuadrícula207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5">
    <w:name w:val="Tabla con cuadrícula25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5">
    <w:name w:val="Tabla con cuadrícula26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5">
    <w:name w:val="Tabla con cuadrícula2715"/>
    <w:basedOn w:val="Tablanormal"/>
    <w:next w:val="Tablaconcuadrcula"/>
    <w:rsid w:val="00904BA1"/>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3">
    <w:name w:val="Sin lista2013"/>
    <w:next w:val="Sinlista"/>
    <w:semiHidden/>
    <w:rsid w:val="00904BA1"/>
  </w:style>
  <w:style w:type="numbering" w:customStyle="1" w:styleId="Sinlista2113">
    <w:name w:val="Sin lista2113"/>
    <w:next w:val="Sinlista"/>
    <w:semiHidden/>
    <w:rsid w:val="00904BA1"/>
  </w:style>
  <w:style w:type="numbering" w:customStyle="1" w:styleId="Sinlista223">
    <w:name w:val="Sin lista223"/>
    <w:next w:val="Sinlista"/>
    <w:semiHidden/>
    <w:rsid w:val="00904BA1"/>
  </w:style>
  <w:style w:type="numbering" w:customStyle="1" w:styleId="Sinlista233">
    <w:name w:val="Sin lista233"/>
    <w:next w:val="Sinlista"/>
    <w:semiHidden/>
    <w:rsid w:val="00904BA1"/>
  </w:style>
  <w:style w:type="numbering" w:customStyle="1" w:styleId="Sinlista243">
    <w:name w:val="Sin lista243"/>
    <w:next w:val="Sinlista"/>
    <w:semiHidden/>
    <w:rsid w:val="00904BA1"/>
  </w:style>
  <w:style w:type="numbering" w:customStyle="1" w:styleId="Sinlista253">
    <w:name w:val="Sin lista253"/>
    <w:next w:val="Sinlista"/>
    <w:semiHidden/>
    <w:rsid w:val="00904BA1"/>
  </w:style>
  <w:style w:type="numbering" w:customStyle="1" w:styleId="Sinlista263">
    <w:name w:val="Sin lista263"/>
    <w:next w:val="Sinlista"/>
    <w:semiHidden/>
    <w:rsid w:val="00904BA1"/>
  </w:style>
  <w:style w:type="numbering" w:customStyle="1" w:styleId="Sinlista273">
    <w:name w:val="Sin lista273"/>
    <w:next w:val="Sinlista"/>
    <w:semiHidden/>
    <w:rsid w:val="00904BA1"/>
  </w:style>
  <w:style w:type="numbering" w:customStyle="1" w:styleId="Sinlista283">
    <w:name w:val="Sin lista283"/>
    <w:next w:val="Sinlista"/>
    <w:semiHidden/>
    <w:rsid w:val="00904BA1"/>
  </w:style>
  <w:style w:type="numbering" w:customStyle="1" w:styleId="Sinlista293">
    <w:name w:val="Sin lista293"/>
    <w:next w:val="Sinlista"/>
    <w:semiHidden/>
    <w:rsid w:val="00904BA1"/>
  </w:style>
  <w:style w:type="numbering" w:customStyle="1" w:styleId="Sinlista303">
    <w:name w:val="Sin lista303"/>
    <w:next w:val="Sinlista"/>
    <w:semiHidden/>
    <w:rsid w:val="00904BA1"/>
  </w:style>
  <w:style w:type="numbering" w:customStyle="1" w:styleId="Sinlista3113">
    <w:name w:val="Sin lista3113"/>
    <w:next w:val="Sinlista"/>
    <w:semiHidden/>
    <w:rsid w:val="00904BA1"/>
  </w:style>
  <w:style w:type="table" w:customStyle="1" w:styleId="Tablaconcuadrcula6113">
    <w:name w:val="Tabla con cuadrícula6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3">
    <w:name w:val="Sin lista323"/>
    <w:next w:val="Sinlista"/>
    <w:semiHidden/>
    <w:rsid w:val="00904BA1"/>
  </w:style>
  <w:style w:type="numbering" w:customStyle="1" w:styleId="Sinlista333">
    <w:name w:val="Sin lista333"/>
    <w:next w:val="Sinlista"/>
    <w:semiHidden/>
    <w:unhideWhenUsed/>
    <w:rsid w:val="00904BA1"/>
  </w:style>
  <w:style w:type="numbering" w:customStyle="1" w:styleId="Sinlista343">
    <w:name w:val="Sin lista343"/>
    <w:next w:val="Sinlista"/>
    <w:semiHidden/>
    <w:rsid w:val="00904BA1"/>
  </w:style>
  <w:style w:type="numbering" w:customStyle="1" w:styleId="Sinlista353">
    <w:name w:val="Sin lista353"/>
    <w:next w:val="Sinlista"/>
    <w:semiHidden/>
    <w:rsid w:val="00904BA1"/>
  </w:style>
  <w:style w:type="numbering" w:customStyle="1" w:styleId="Sinlista363">
    <w:name w:val="Sin lista363"/>
    <w:next w:val="Sinlista"/>
    <w:semiHidden/>
    <w:rsid w:val="00904BA1"/>
  </w:style>
  <w:style w:type="numbering" w:customStyle="1" w:styleId="Sinlista373">
    <w:name w:val="Sin lista373"/>
    <w:next w:val="Sinlista"/>
    <w:semiHidden/>
    <w:rsid w:val="00904BA1"/>
  </w:style>
  <w:style w:type="numbering" w:customStyle="1" w:styleId="Sinlista383">
    <w:name w:val="Sin lista383"/>
    <w:next w:val="Sinlista"/>
    <w:semiHidden/>
    <w:rsid w:val="00904BA1"/>
  </w:style>
  <w:style w:type="numbering" w:customStyle="1" w:styleId="Sinlista393">
    <w:name w:val="Sin lista393"/>
    <w:next w:val="Sinlista"/>
    <w:semiHidden/>
    <w:rsid w:val="00904BA1"/>
  </w:style>
  <w:style w:type="numbering" w:customStyle="1" w:styleId="Sinlista403">
    <w:name w:val="Sin lista403"/>
    <w:next w:val="Sinlista"/>
    <w:semiHidden/>
    <w:rsid w:val="00904BA1"/>
  </w:style>
  <w:style w:type="numbering" w:customStyle="1" w:styleId="Sinlista4113">
    <w:name w:val="Sin lista4113"/>
    <w:next w:val="Sinlista"/>
    <w:semiHidden/>
    <w:rsid w:val="00904BA1"/>
  </w:style>
  <w:style w:type="numbering" w:customStyle="1" w:styleId="Sinlista423">
    <w:name w:val="Sin lista423"/>
    <w:next w:val="Sinlista"/>
    <w:semiHidden/>
    <w:rsid w:val="00904BA1"/>
  </w:style>
  <w:style w:type="numbering" w:customStyle="1" w:styleId="Sinlista433">
    <w:name w:val="Sin lista433"/>
    <w:next w:val="Sinlista"/>
    <w:semiHidden/>
    <w:rsid w:val="00904BA1"/>
  </w:style>
  <w:style w:type="numbering" w:customStyle="1" w:styleId="Sinlista443">
    <w:name w:val="Sin lista443"/>
    <w:next w:val="Sinlista"/>
    <w:semiHidden/>
    <w:rsid w:val="00904BA1"/>
  </w:style>
  <w:style w:type="numbering" w:customStyle="1" w:styleId="Sinlista453">
    <w:name w:val="Sin lista453"/>
    <w:next w:val="Sinlista"/>
    <w:semiHidden/>
    <w:rsid w:val="00904BA1"/>
  </w:style>
  <w:style w:type="numbering" w:customStyle="1" w:styleId="Sinlista463">
    <w:name w:val="Sin lista463"/>
    <w:next w:val="Sinlista"/>
    <w:semiHidden/>
    <w:rsid w:val="00904BA1"/>
  </w:style>
  <w:style w:type="numbering" w:customStyle="1" w:styleId="Sinlista473">
    <w:name w:val="Sin lista473"/>
    <w:next w:val="Sinlista"/>
    <w:semiHidden/>
    <w:rsid w:val="00904BA1"/>
  </w:style>
  <w:style w:type="numbering" w:customStyle="1" w:styleId="Sinlista483">
    <w:name w:val="Sin lista483"/>
    <w:next w:val="Sinlista"/>
    <w:semiHidden/>
    <w:rsid w:val="00904BA1"/>
  </w:style>
  <w:style w:type="numbering" w:customStyle="1" w:styleId="Sinlista493">
    <w:name w:val="Sin lista493"/>
    <w:next w:val="Sinlista"/>
    <w:semiHidden/>
    <w:rsid w:val="00904BA1"/>
  </w:style>
  <w:style w:type="numbering" w:customStyle="1" w:styleId="Sinlista503">
    <w:name w:val="Sin lista503"/>
    <w:next w:val="Sinlista"/>
    <w:semiHidden/>
    <w:rsid w:val="00904BA1"/>
  </w:style>
  <w:style w:type="numbering" w:customStyle="1" w:styleId="Sinlista5113">
    <w:name w:val="Sin lista5113"/>
    <w:next w:val="Sinlista"/>
    <w:semiHidden/>
    <w:rsid w:val="00904BA1"/>
  </w:style>
  <w:style w:type="numbering" w:customStyle="1" w:styleId="Sinlista523">
    <w:name w:val="Sin lista523"/>
    <w:next w:val="Sinlista"/>
    <w:semiHidden/>
    <w:rsid w:val="00904BA1"/>
  </w:style>
  <w:style w:type="numbering" w:customStyle="1" w:styleId="Sinlista533">
    <w:name w:val="Sin lista533"/>
    <w:next w:val="Sinlista"/>
    <w:semiHidden/>
    <w:rsid w:val="00904BA1"/>
  </w:style>
  <w:style w:type="numbering" w:customStyle="1" w:styleId="Sinlista543">
    <w:name w:val="Sin lista543"/>
    <w:next w:val="Sinlista"/>
    <w:semiHidden/>
    <w:rsid w:val="00904BA1"/>
  </w:style>
  <w:style w:type="numbering" w:customStyle="1" w:styleId="Sinlista553">
    <w:name w:val="Sin lista553"/>
    <w:next w:val="Sinlista"/>
    <w:semiHidden/>
    <w:rsid w:val="00904BA1"/>
  </w:style>
  <w:style w:type="numbering" w:customStyle="1" w:styleId="Sinlista563">
    <w:name w:val="Sin lista563"/>
    <w:next w:val="Sinlista"/>
    <w:semiHidden/>
    <w:rsid w:val="00904BA1"/>
  </w:style>
  <w:style w:type="numbering" w:customStyle="1" w:styleId="Sinlista573">
    <w:name w:val="Sin lista573"/>
    <w:next w:val="Sinlista"/>
    <w:semiHidden/>
    <w:rsid w:val="00904BA1"/>
  </w:style>
  <w:style w:type="numbering" w:customStyle="1" w:styleId="Sinlista583">
    <w:name w:val="Sin lista583"/>
    <w:next w:val="Sinlista"/>
    <w:semiHidden/>
    <w:rsid w:val="00904BA1"/>
  </w:style>
  <w:style w:type="numbering" w:customStyle="1" w:styleId="Sinlista593">
    <w:name w:val="Sin lista593"/>
    <w:next w:val="Sinlista"/>
    <w:semiHidden/>
    <w:rsid w:val="00904BA1"/>
  </w:style>
  <w:style w:type="table" w:customStyle="1" w:styleId="Tablaconcuadrcula11113">
    <w:name w:val="Tabla con cuadrícula11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3">
    <w:name w:val="Sin lista603"/>
    <w:next w:val="Sinlista"/>
    <w:semiHidden/>
    <w:rsid w:val="00904BA1"/>
  </w:style>
  <w:style w:type="numbering" w:customStyle="1" w:styleId="Sinlista6113">
    <w:name w:val="Sin lista6113"/>
    <w:next w:val="Sinlista"/>
    <w:semiHidden/>
    <w:rsid w:val="00904BA1"/>
  </w:style>
  <w:style w:type="numbering" w:customStyle="1" w:styleId="Sinlista623">
    <w:name w:val="Sin lista623"/>
    <w:next w:val="Sinlista"/>
    <w:semiHidden/>
    <w:rsid w:val="00904BA1"/>
  </w:style>
  <w:style w:type="numbering" w:customStyle="1" w:styleId="Sinlista633">
    <w:name w:val="Sin lista633"/>
    <w:next w:val="Sinlista"/>
    <w:semiHidden/>
    <w:rsid w:val="00904BA1"/>
  </w:style>
  <w:style w:type="numbering" w:customStyle="1" w:styleId="Sinlista643">
    <w:name w:val="Sin lista643"/>
    <w:next w:val="Sinlista"/>
    <w:semiHidden/>
    <w:rsid w:val="00904BA1"/>
  </w:style>
  <w:style w:type="numbering" w:customStyle="1" w:styleId="Sinlista653">
    <w:name w:val="Sin lista653"/>
    <w:next w:val="Sinlista"/>
    <w:semiHidden/>
    <w:rsid w:val="00904BA1"/>
  </w:style>
  <w:style w:type="numbering" w:customStyle="1" w:styleId="Sinlista663">
    <w:name w:val="Sin lista663"/>
    <w:next w:val="Sinlista"/>
    <w:semiHidden/>
    <w:rsid w:val="00904BA1"/>
  </w:style>
  <w:style w:type="numbering" w:customStyle="1" w:styleId="Sinlista673">
    <w:name w:val="Sin lista673"/>
    <w:next w:val="Sinlista"/>
    <w:semiHidden/>
    <w:rsid w:val="00904BA1"/>
  </w:style>
  <w:style w:type="numbering" w:customStyle="1" w:styleId="Sinlista683">
    <w:name w:val="Sin lista683"/>
    <w:next w:val="Sinlista"/>
    <w:semiHidden/>
    <w:rsid w:val="00904BA1"/>
  </w:style>
  <w:style w:type="table" w:customStyle="1" w:styleId="Tablaconcuadrcula12113">
    <w:name w:val="Tabla con cuadrícula12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3">
    <w:name w:val="Sin lista693"/>
    <w:next w:val="Sinlista"/>
    <w:semiHidden/>
    <w:rsid w:val="00904BA1"/>
  </w:style>
  <w:style w:type="numbering" w:customStyle="1" w:styleId="Sinlista703">
    <w:name w:val="Sin lista703"/>
    <w:next w:val="Sinlista"/>
    <w:semiHidden/>
    <w:rsid w:val="00904BA1"/>
  </w:style>
  <w:style w:type="numbering" w:customStyle="1" w:styleId="Sinlista7113">
    <w:name w:val="Sin lista7113"/>
    <w:next w:val="Sinlista"/>
    <w:semiHidden/>
    <w:rsid w:val="00904BA1"/>
  </w:style>
  <w:style w:type="numbering" w:customStyle="1" w:styleId="Sinlista723">
    <w:name w:val="Sin lista723"/>
    <w:next w:val="Sinlista"/>
    <w:semiHidden/>
    <w:rsid w:val="00904BA1"/>
  </w:style>
  <w:style w:type="numbering" w:customStyle="1" w:styleId="Sinlista733">
    <w:name w:val="Sin lista733"/>
    <w:next w:val="Sinlista"/>
    <w:semiHidden/>
    <w:rsid w:val="00904BA1"/>
  </w:style>
  <w:style w:type="numbering" w:customStyle="1" w:styleId="Sinlista743">
    <w:name w:val="Sin lista743"/>
    <w:next w:val="Sinlista"/>
    <w:semiHidden/>
    <w:rsid w:val="00904BA1"/>
  </w:style>
  <w:style w:type="numbering" w:customStyle="1" w:styleId="Sinlista753">
    <w:name w:val="Sin lista753"/>
    <w:next w:val="Sinlista"/>
    <w:semiHidden/>
    <w:rsid w:val="00904BA1"/>
  </w:style>
  <w:style w:type="numbering" w:customStyle="1" w:styleId="Sinlista763">
    <w:name w:val="Sin lista763"/>
    <w:next w:val="Sinlista"/>
    <w:semiHidden/>
    <w:rsid w:val="00904BA1"/>
  </w:style>
  <w:style w:type="table" w:customStyle="1" w:styleId="Tablaconcuadrcula51113">
    <w:name w:val="Tabla con cuadrícula51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3">
    <w:name w:val="Sin lista773"/>
    <w:next w:val="Sinlista"/>
    <w:semiHidden/>
    <w:rsid w:val="00904BA1"/>
  </w:style>
  <w:style w:type="table" w:customStyle="1" w:styleId="Tablaconcuadrcula15113">
    <w:name w:val="Tabla con cuadrícula15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3">
    <w:name w:val="Sin lista783"/>
    <w:next w:val="Sinlista"/>
    <w:semiHidden/>
    <w:rsid w:val="00904BA1"/>
  </w:style>
  <w:style w:type="numbering" w:customStyle="1" w:styleId="Sinlista793">
    <w:name w:val="Sin lista793"/>
    <w:next w:val="Sinlista"/>
    <w:semiHidden/>
    <w:rsid w:val="00904BA1"/>
  </w:style>
  <w:style w:type="numbering" w:customStyle="1" w:styleId="Sinlista803">
    <w:name w:val="Sin lista803"/>
    <w:next w:val="Sinlista"/>
    <w:semiHidden/>
    <w:rsid w:val="00904BA1"/>
  </w:style>
  <w:style w:type="numbering" w:customStyle="1" w:styleId="Sinlista8113">
    <w:name w:val="Sin lista8113"/>
    <w:next w:val="Sinlista"/>
    <w:semiHidden/>
    <w:rsid w:val="00904BA1"/>
  </w:style>
  <w:style w:type="numbering" w:customStyle="1" w:styleId="Sinlista823">
    <w:name w:val="Sin lista823"/>
    <w:next w:val="Sinlista"/>
    <w:semiHidden/>
    <w:rsid w:val="00904BA1"/>
  </w:style>
  <w:style w:type="numbering" w:customStyle="1" w:styleId="Sinlista833">
    <w:name w:val="Sin lista833"/>
    <w:next w:val="Sinlista"/>
    <w:semiHidden/>
    <w:rsid w:val="00904BA1"/>
  </w:style>
  <w:style w:type="numbering" w:customStyle="1" w:styleId="Sinlista843">
    <w:name w:val="Sin lista843"/>
    <w:next w:val="Sinlista"/>
    <w:semiHidden/>
    <w:rsid w:val="00904BA1"/>
  </w:style>
  <w:style w:type="numbering" w:customStyle="1" w:styleId="Sinlista853">
    <w:name w:val="Sin lista853"/>
    <w:next w:val="Sinlista"/>
    <w:semiHidden/>
    <w:rsid w:val="00904BA1"/>
  </w:style>
  <w:style w:type="numbering" w:customStyle="1" w:styleId="Sinlista863">
    <w:name w:val="Sin lista863"/>
    <w:next w:val="Sinlista"/>
    <w:semiHidden/>
    <w:rsid w:val="00904BA1"/>
  </w:style>
  <w:style w:type="numbering" w:customStyle="1" w:styleId="Sinlista873">
    <w:name w:val="Sin lista873"/>
    <w:next w:val="Sinlista"/>
    <w:semiHidden/>
    <w:rsid w:val="00904BA1"/>
  </w:style>
  <w:style w:type="numbering" w:customStyle="1" w:styleId="Sinlista883">
    <w:name w:val="Sin lista883"/>
    <w:next w:val="Sinlista"/>
    <w:semiHidden/>
    <w:rsid w:val="00904BA1"/>
  </w:style>
  <w:style w:type="numbering" w:customStyle="1" w:styleId="Sinlista893">
    <w:name w:val="Sin lista893"/>
    <w:next w:val="Sinlista"/>
    <w:semiHidden/>
    <w:rsid w:val="00904BA1"/>
  </w:style>
  <w:style w:type="numbering" w:customStyle="1" w:styleId="Sinlista903">
    <w:name w:val="Sin lista903"/>
    <w:next w:val="Sinlista"/>
    <w:semiHidden/>
    <w:rsid w:val="00904BA1"/>
  </w:style>
  <w:style w:type="numbering" w:customStyle="1" w:styleId="Sinlista9113">
    <w:name w:val="Sin lista9113"/>
    <w:next w:val="Sinlista"/>
    <w:semiHidden/>
    <w:rsid w:val="00904BA1"/>
  </w:style>
  <w:style w:type="numbering" w:customStyle="1" w:styleId="Sinlista923">
    <w:name w:val="Sin lista923"/>
    <w:next w:val="Sinlista"/>
    <w:semiHidden/>
    <w:rsid w:val="00904BA1"/>
  </w:style>
  <w:style w:type="numbering" w:customStyle="1" w:styleId="Sinlista933">
    <w:name w:val="Sin lista933"/>
    <w:next w:val="Sinlista"/>
    <w:semiHidden/>
    <w:rsid w:val="00904BA1"/>
  </w:style>
  <w:style w:type="numbering" w:customStyle="1" w:styleId="Sinlista943">
    <w:name w:val="Sin lista943"/>
    <w:next w:val="Sinlista"/>
    <w:semiHidden/>
    <w:rsid w:val="00904BA1"/>
  </w:style>
  <w:style w:type="numbering" w:customStyle="1" w:styleId="Sinlista953">
    <w:name w:val="Sin lista953"/>
    <w:next w:val="Sinlista"/>
    <w:semiHidden/>
    <w:rsid w:val="00904BA1"/>
  </w:style>
  <w:style w:type="numbering" w:customStyle="1" w:styleId="Sinlista963">
    <w:name w:val="Sin lista963"/>
    <w:next w:val="Sinlista"/>
    <w:semiHidden/>
    <w:rsid w:val="00904BA1"/>
  </w:style>
  <w:style w:type="numbering" w:customStyle="1" w:styleId="Sinlista973">
    <w:name w:val="Sin lista973"/>
    <w:next w:val="Sinlista"/>
    <w:semiHidden/>
    <w:rsid w:val="00904BA1"/>
  </w:style>
  <w:style w:type="numbering" w:customStyle="1" w:styleId="Sinlista983">
    <w:name w:val="Sin lista983"/>
    <w:next w:val="Sinlista"/>
    <w:semiHidden/>
    <w:rsid w:val="00904BA1"/>
  </w:style>
  <w:style w:type="numbering" w:customStyle="1" w:styleId="Sinlista993">
    <w:name w:val="Sin lista993"/>
    <w:next w:val="Sinlista"/>
    <w:semiHidden/>
    <w:rsid w:val="00904BA1"/>
  </w:style>
  <w:style w:type="numbering" w:customStyle="1" w:styleId="Sinlista1003">
    <w:name w:val="Sin lista1003"/>
    <w:next w:val="Sinlista"/>
    <w:semiHidden/>
    <w:rsid w:val="00904BA1"/>
  </w:style>
  <w:style w:type="numbering" w:customStyle="1" w:styleId="Sinlista10113">
    <w:name w:val="Sin lista10113"/>
    <w:next w:val="Sinlista"/>
    <w:semiHidden/>
    <w:rsid w:val="00904BA1"/>
  </w:style>
  <w:style w:type="table" w:customStyle="1" w:styleId="Tablaconcuadrcula19113">
    <w:name w:val="Tabla con cuadrícula19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3">
    <w:name w:val="Sin lista1023"/>
    <w:next w:val="Sinlista"/>
    <w:semiHidden/>
    <w:rsid w:val="00904BA1"/>
  </w:style>
  <w:style w:type="numbering" w:customStyle="1" w:styleId="Sinlista1033">
    <w:name w:val="Sin lista1033"/>
    <w:next w:val="Sinlista"/>
    <w:semiHidden/>
    <w:rsid w:val="00904BA1"/>
  </w:style>
  <w:style w:type="numbering" w:customStyle="1" w:styleId="Sinlista1043">
    <w:name w:val="Sin lista1043"/>
    <w:next w:val="Sinlista"/>
    <w:semiHidden/>
    <w:rsid w:val="00904BA1"/>
  </w:style>
  <w:style w:type="numbering" w:customStyle="1" w:styleId="Sinlista1053">
    <w:name w:val="Sin lista1053"/>
    <w:next w:val="Sinlista"/>
    <w:semiHidden/>
    <w:rsid w:val="00904BA1"/>
  </w:style>
  <w:style w:type="numbering" w:customStyle="1" w:styleId="Sinlista1063">
    <w:name w:val="Sin lista1063"/>
    <w:next w:val="Sinlista"/>
    <w:semiHidden/>
    <w:rsid w:val="00904BA1"/>
  </w:style>
  <w:style w:type="numbering" w:customStyle="1" w:styleId="Sinlista1073">
    <w:name w:val="Sin lista1073"/>
    <w:next w:val="Sinlista"/>
    <w:semiHidden/>
    <w:rsid w:val="00904BA1"/>
  </w:style>
  <w:style w:type="numbering" w:customStyle="1" w:styleId="Sinlista1083">
    <w:name w:val="Sin lista1083"/>
    <w:next w:val="Sinlista"/>
    <w:semiHidden/>
    <w:rsid w:val="00904BA1"/>
  </w:style>
  <w:style w:type="numbering" w:customStyle="1" w:styleId="Sinlista1093">
    <w:name w:val="Sin lista1093"/>
    <w:next w:val="Sinlista"/>
    <w:semiHidden/>
    <w:rsid w:val="00904BA1"/>
  </w:style>
  <w:style w:type="numbering" w:customStyle="1" w:styleId="Sinlista11013">
    <w:name w:val="Sin lista11013"/>
    <w:next w:val="Sinlista"/>
    <w:semiHidden/>
    <w:rsid w:val="00904BA1"/>
  </w:style>
  <w:style w:type="numbering" w:customStyle="1" w:styleId="Sinlista11113">
    <w:name w:val="Sin lista11113"/>
    <w:next w:val="Sinlista"/>
    <w:semiHidden/>
    <w:rsid w:val="00904BA1"/>
  </w:style>
  <w:style w:type="numbering" w:customStyle="1" w:styleId="Sinlista1123">
    <w:name w:val="Sin lista1123"/>
    <w:next w:val="Sinlista"/>
    <w:semiHidden/>
    <w:rsid w:val="00904BA1"/>
  </w:style>
  <w:style w:type="table" w:customStyle="1" w:styleId="Tablaconcuadrcula21113">
    <w:name w:val="Tabla con cuadrícula21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3">
    <w:name w:val="Sin lista1133"/>
    <w:next w:val="Sinlista"/>
    <w:semiHidden/>
    <w:rsid w:val="00904BA1"/>
  </w:style>
  <w:style w:type="numbering" w:customStyle="1" w:styleId="Sinlista1143">
    <w:name w:val="Sin lista1143"/>
    <w:next w:val="Sinlista"/>
    <w:semiHidden/>
    <w:rsid w:val="00904BA1"/>
  </w:style>
  <w:style w:type="numbering" w:customStyle="1" w:styleId="Sinlista1153">
    <w:name w:val="Sin lista1153"/>
    <w:next w:val="Sinlista"/>
    <w:semiHidden/>
    <w:rsid w:val="00904BA1"/>
  </w:style>
  <w:style w:type="numbering" w:customStyle="1" w:styleId="Sinlista1163">
    <w:name w:val="Sin lista1163"/>
    <w:next w:val="Sinlista"/>
    <w:semiHidden/>
    <w:rsid w:val="00904BA1"/>
  </w:style>
  <w:style w:type="numbering" w:customStyle="1" w:styleId="Sinlista1173">
    <w:name w:val="Sin lista1173"/>
    <w:next w:val="Sinlista"/>
    <w:semiHidden/>
    <w:rsid w:val="00904BA1"/>
  </w:style>
  <w:style w:type="numbering" w:customStyle="1" w:styleId="Sinlista1183">
    <w:name w:val="Sin lista1183"/>
    <w:next w:val="Sinlista"/>
    <w:semiHidden/>
    <w:rsid w:val="00904BA1"/>
  </w:style>
  <w:style w:type="numbering" w:customStyle="1" w:styleId="Sinlista1193">
    <w:name w:val="Sin lista1193"/>
    <w:next w:val="Sinlista"/>
    <w:semiHidden/>
    <w:rsid w:val="00904BA1"/>
  </w:style>
  <w:style w:type="table" w:customStyle="1" w:styleId="Tablaconcuadrcula22113">
    <w:name w:val="Tabla con cuadrícula22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3">
    <w:name w:val="Sin lista1203"/>
    <w:next w:val="Sinlista"/>
    <w:semiHidden/>
    <w:rsid w:val="00904BA1"/>
  </w:style>
  <w:style w:type="numbering" w:customStyle="1" w:styleId="Sinlista12113">
    <w:name w:val="Sin lista12113"/>
    <w:next w:val="Sinlista"/>
    <w:semiHidden/>
    <w:rsid w:val="00904BA1"/>
  </w:style>
  <w:style w:type="numbering" w:customStyle="1" w:styleId="Sinlista1223">
    <w:name w:val="Sin lista1223"/>
    <w:next w:val="Sinlista"/>
    <w:semiHidden/>
    <w:rsid w:val="00904BA1"/>
  </w:style>
  <w:style w:type="numbering" w:customStyle="1" w:styleId="Sinlista1233">
    <w:name w:val="Sin lista1233"/>
    <w:next w:val="Sinlista"/>
    <w:semiHidden/>
    <w:rsid w:val="00904BA1"/>
  </w:style>
  <w:style w:type="numbering" w:customStyle="1" w:styleId="Sinlista1243">
    <w:name w:val="Sin lista1243"/>
    <w:next w:val="Sinlista"/>
    <w:semiHidden/>
    <w:rsid w:val="00904BA1"/>
  </w:style>
  <w:style w:type="table" w:customStyle="1" w:styleId="Tablaconcuadrcula23113">
    <w:name w:val="Tabla con cuadrícula23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53">
    <w:name w:val="Sin lista1253"/>
    <w:next w:val="Sinlista"/>
    <w:semiHidden/>
    <w:rsid w:val="00904BA1"/>
  </w:style>
  <w:style w:type="numbering" w:customStyle="1" w:styleId="Sinlista1263">
    <w:name w:val="Sin lista1263"/>
    <w:next w:val="Sinlista"/>
    <w:semiHidden/>
    <w:rsid w:val="00904BA1"/>
  </w:style>
  <w:style w:type="numbering" w:customStyle="1" w:styleId="Sinlista1273">
    <w:name w:val="Sin lista1273"/>
    <w:next w:val="Sinlista"/>
    <w:semiHidden/>
    <w:rsid w:val="00904BA1"/>
  </w:style>
  <w:style w:type="numbering" w:customStyle="1" w:styleId="Sinlista1283">
    <w:name w:val="Sin lista1283"/>
    <w:next w:val="Sinlista"/>
    <w:semiHidden/>
    <w:rsid w:val="00904BA1"/>
  </w:style>
  <w:style w:type="numbering" w:customStyle="1" w:styleId="Sinlista1293">
    <w:name w:val="Sin lista1293"/>
    <w:next w:val="Sinlista"/>
    <w:semiHidden/>
    <w:rsid w:val="00904BA1"/>
  </w:style>
  <w:style w:type="numbering" w:customStyle="1" w:styleId="Sinlista1303">
    <w:name w:val="Sin lista1303"/>
    <w:next w:val="Sinlista"/>
    <w:semiHidden/>
    <w:rsid w:val="00904BA1"/>
  </w:style>
  <w:style w:type="numbering" w:customStyle="1" w:styleId="Sinlista13113">
    <w:name w:val="Sin lista13113"/>
    <w:next w:val="Sinlista"/>
    <w:semiHidden/>
    <w:rsid w:val="00904BA1"/>
  </w:style>
  <w:style w:type="numbering" w:customStyle="1" w:styleId="Sinlista1323">
    <w:name w:val="Sin lista1323"/>
    <w:next w:val="Sinlista"/>
    <w:semiHidden/>
    <w:rsid w:val="00904BA1"/>
  </w:style>
  <w:style w:type="numbering" w:customStyle="1" w:styleId="Sinlista1333">
    <w:name w:val="Sin lista1333"/>
    <w:next w:val="Sinlista"/>
    <w:semiHidden/>
    <w:rsid w:val="00904BA1"/>
  </w:style>
  <w:style w:type="numbering" w:customStyle="1" w:styleId="Sinlista1343">
    <w:name w:val="Sin lista1343"/>
    <w:next w:val="Sinlista"/>
    <w:semiHidden/>
    <w:rsid w:val="00904BA1"/>
  </w:style>
  <w:style w:type="numbering" w:customStyle="1" w:styleId="Sinlista1353">
    <w:name w:val="Sin lista1353"/>
    <w:next w:val="Sinlista"/>
    <w:semiHidden/>
    <w:rsid w:val="00904BA1"/>
  </w:style>
  <w:style w:type="numbering" w:customStyle="1" w:styleId="Sinlista1363">
    <w:name w:val="Sin lista1363"/>
    <w:next w:val="Sinlista"/>
    <w:semiHidden/>
    <w:rsid w:val="00904BA1"/>
  </w:style>
  <w:style w:type="numbering" w:customStyle="1" w:styleId="Sinlista1373">
    <w:name w:val="Sin lista1373"/>
    <w:next w:val="Sinlista"/>
    <w:semiHidden/>
    <w:rsid w:val="00904BA1"/>
  </w:style>
  <w:style w:type="table" w:customStyle="1" w:styleId="Tablaconcuadrcula25113">
    <w:name w:val="Tabla con cuadrícula25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3">
    <w:name w:val="Sin lista1383"/>
    <w:next w:val="Sinlista"/>
    <w:semiHidden/>
    <w:rsid w:val="00904BA1"/>
  </w:style>
  <w:style w:type="numbering" w:customStyle="1" w:styleId="Sinlista1393">
    <w:name w:val="Sin lista1393"/>
    <w:next w:val="Sinlista"/>
    <w:semiHidden/>
    <w:rsid w:val="00904BA1"/>
  </w:style>
  <w:style w:type="numbering" w:customStyle="1" w:styleId="Sinlista1403">
    <w:name w:val="Sin lista1403"/>
    <w:next w:val="Sinlista"/>
    <w:semiHidden/>
    <w:rsid w:val="00904BA1"/>
  </w:style>
  <w:style w:type="numbering" w:customStyle="1" w:styleId="Sinlista14113">
    <w:name w:val="Sin lista14113"/>
    <w:next w:val="Sinlista"/>
    <w:semiHidden/>
    <w:rsid w:val="00904BA1"/>
  </w:style>
  <w:style w:type="numbering" w:customStyle="1" w:styleId="Sinlista1423">
    <w:name w:val="Sin lista1423"/>
    <w:next w:val="Sinlista"/>
    <w:semiHidden/>
    <w:rsid w:val="00904BA1"/>
  </w:style>
  <w:style w:type="numbering" w:customStyle="1" w:styleId="Sinlista1433">
    <w:name w:val="Sin lista1433"/>
    <w:next w:val="Sinlista"/>
    <w:semiHidden/>
    <w:rsid w:val="00904BA1"/>
  </w:style>
  <w:style w:type="table" w:customStyle="1" w:styleId="Tablaconcuadrcula26113">
    <w:name w:val="Tabla con cuadrícula26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3">
    <w:name w:val="Sin lista1443"/>
    <w:next w:val="Sinlista"/>
    <w:semiHidden/>
    <w:rsid w:val="00904BA1"/>
  </w:style>
  <w:style w:type="numbering" w:customStyle="1" w:styleId="Sinlista1453">
    <w:name w:val="Sin lista1453"/>
    <w:next w:val="Sinlista"/>
    <w:semiHidden/>
    <w:rsid w:val="00904BA1"/>
  </w:style>
  <w:style w:type="numbering" w:customStyle="1" w:styleId="Sinlista1463">
    <w:name w:val="Sin lista1463"/>
    <w:next w:val="Sinlista"/>
    <w:semiHidden/>
    <w:rsid w:val="00904BA1"/>
  </w:style>
  <w:style w:type="numbering" w:customStyle="1" w:styleId="Sinlista1473">
    <w:name w:val="Sin lista1473"/>
    <w:next w:val="Sinlista"/>
    <w:semiHidden/>
    <w:rsid w:val="00904BA1"/>
  </w:style>
  <w:style w:type="table" w:customStyle="1" w:styleId="Tablaconcuadrcula27113">
    <w:name w:val="Tabla con cuadrícula27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3">
    <w:name w:val="Sin lista1483"/>
    <w:next w:val="Sinlista"/>
    <w:semiHidden/>
    <w:rsid w:val="00904BA1"/>
  </w:style>
  <w:style w:type="numbering" w:customStyle="1" w:styleId="Sinlista1493">
    <w:name w:val="Sin lista1493"/>
    <w:next w:val="Sinlista"/>
    <w:semiHidden/>
    <w:rsid w:val="00904BA1"/>
  </w:style>
  <w:style w:type="numbering" w:customStyle="1" w:styleId="Sinlista1503">
    <w:name w:val="Sin lista1503"/>
    <w:next w:val="Sinlista"/>
    <w:semiHidden/>
    <w:rsid w:val="00904BA1"/>
  </w:style>
  <w:style w:type="numbering" w:customStyle="1" w:styleId="Sinlista15113">
    <w:name w:val="Sin lista15113"/>
    <w:next w:val="Sinlista"/>
    <w:semiHidden/>
    <w:rsid w:val="00904BA1"/>
  </w:style>
  <w:style w:type="numbering" w:customStyle="1" w:styleId="Sinlista1523">
    <w:name w:val="Sin lista1523"/>
    <w:next w:val="Sinlista"/>
    <w:semiHidden/>
    <w:rsid w:val="00904BA1"/>
  </w:style>
  <w:style w:type="numbering" w:customStyle="1" w:styleId="Sinlista1533">
    <w:name w:val="Sin lista1533"/>
    <w:next w:val="Sinlista"/>
    <w:semiHidden/>
    <w:rsid w:val="00904BA1"/>
  </w:style>
  <w:style w:type="numbering" w:customStyle="1" w:styleId="Sinlista1543">
    <w:name w:val="Sin lista1543"/>
    <w:next w:val="Sinlista"/>
    <w:semiHidden/>
    <w:rsid w:val="00904BA1"/>
  </w:style>
  <w:style w:type="numbering" w:customStyle="1" w:styleId="Sinlista1553">
    <w:name w:val="Sin lista1553"/>
    <w:next w:val="Sinlista"/>
    <w:semiHidden/>
    <w:rsid w:val="00904BA1"/>
  </w:style>
  <w:style w:type="numbering" w:customStyle="1" w:styleId="111111121">
    <w:name w:val="1 / 1.1 / 1.1.1121"/>
    <w:basedOn w:val="Sinlista"/>
    <w:next w:val="111111"/>
    <w:rsid w:val="00904BA1"/>
  </w:style>
  <w:style w:type="numbering" w:customStyle="1" w:styleId="111111211">
    <w:name w:val="1 / 1.1 / 1.1.1211"/>
    <w:basedOn w:val="Sinlista"/>
    <w:next w:val="111111"/>
    <w:rsid w:val="00904BA1"/>
    <w:pPr>
      <w:numPr>
        <w:numId w:val="10"/>
      </w:numPr>
    </w:pPr>
  </w:style>
  <w:style w:type="table" w:customStyle="1" w:styleId="Tablaconcuadrcula11011">
    <w:name w:val="Tabla con cuadrícula11011"/>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
    <w:name w:val="1 / 1.1 / 1.1.114"/>
    <w:basedOn w:val="Sinlista"/>
    <w:next w:val="111111"/>
    <w:rsid w:val="00904BA1"/>
    <w:pPr>
      <w:numPr>
        <w:numId w:val="5"/>
      </w:numPr>
    </w:pPr>
  </w:style>
  <w:style w:type="numbering" w:customStyle="1" w:styleId="111111112">
    <w:name w:val="1 / 1.1 / 1.1.1112"/>
    <w:basedOn w:val="Sinlista"/>
    <w:next w:val="111111"/>
    <w:rsid w:val="00904BA1"/>
  </w:style>
  <w:style w:type="table" w:customStyle="1" w:styleId="Tablaconcuadrcula2541">
    <w:name w:val="Tabla con cuadrícula2541"/>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6">
    <w:name w:val="Tabla con cuadrícula2616"/>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111">
    <w:name w:val="1 / 1.1 / 1.1.11111"/>
    <w:basedOn w:val="Sinlista"/>
    <w:next w:val="111111"/>
    <w:rsid w:val="00904BA1"/>
    <w:pPr>
      <w:numPr>
        <w:numId w:val="7"/>
      </w:numPr>
    </w:pPr>
  </w:style>
  <w:style w:type="table" w:customStyle="1" w:styleId="Tablaconcuadrcula2716">
    <w:name w:val="Tabla con cuadrícula2716"/>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111">
    <w:name w:val="Tabla con cuadrícula110111"/>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3">
    <w:name w:val="1 / 1.1 / 1.1.123"/>
    <w:basedOn w:val="Sinlista"/>
    <w:next w:val="111111"/>
    <w:rsid w:val="00904BA1"/>
  </w:style>
  <w:style w:type="table" w:customStyle="1" w:styleId="Tablaconcuadrcula25411">
    <w:name w:val="Tabla con cuadrícula25411"/>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22">
    <w:name w:val="1 / 1.1 / 1.1.1122"/>
    <w:basedOn w:val="Sinlista"/>
    <w:next w:val="111111"/>
    <w:rsid w:val="00904BA1"/>
    <w:pPr>
      <w:numPr>
        <w:numId w:val="4"/>
      </w:numPr>
    </w:pPr>
  </w:style>
  <w:style w:type="numbering" w:customStyle="1" w:styleId="111111212">
    <w:name w:val="1 / 1.1 / 1.1.1212"/>
    <w:basedOn w:val="Sinlista"/>
    <w:next w:val="111111"/>
    <w:rsid w:val="00904BA1"/>
    <w:pPr>
      <w:numPr>
        <w:numId w:val="6"/>
      </w:numPr>
    </w:pPr>
  </w:style>
  <w:style w:type="numbering" w:customStyle="1" w:styleId="Sinlista166">
    <w:name w:val="Sin lista166"/>
    <w:next w:val="Sinlista"/>
    <w:semiHidden/>
    <w:rsid w:val="0018011E"/>
  </w:style>
  <w:style w:type="table" w:customStyle="1" w:styleId="Tablaconcuadrcula287">
    <w:name w:val="Tabla con cuadrícula287"/>
    <w:basedOn w:val="Tablanormal"/>
    <w:next w:val="Tablaconcuadrcula"/>
    <w:rsid w:val="00AE34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8">
    <w:name w:val="Tabla con cuadrícula288"/>
    <w:basedOn w:val="Tablanormal"/>
    <w:next w:val="Tablaconcuadrcula"/>
    <w:rsid w:val="00B213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7">
    <w:name w:val="Sin lista167"/>
    <w:next w:val="Sinlista"/>
    <w:semiHidden/>
    <w:rsid w:val="0018317D"/>
  </w:style>
  <w:style w:type="table" w:customStyle="1" w:styleId="Tablaconcuadrcula289">
    <w:name w:val="Tabla con cuadrícula289"/>
    <w:basedOn w:val="Tablanormal"/>
    <w:next w:val="Tablaconcuadrcula"/>
    <w:rsid w:val="0018317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0">
    <w:name w:val="Tabla con cuadrícula290"/>
    <w:basedOn w:val="Tablanormal"/>
    <w:next w:val="Tablaconcuadrcula"/>
    <w:rsid w:val="003B135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1">
    <w:name w:val="Tabla con cuadrícula291"/>
    <w:basedOn w:val="Tablanormal"/>
    <w:next w:val="Tablaconcuadrcula"/>
    <w:rsid w:val="003B135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2">
    <w:name w:val="Tabla con cuadrícula292"/>
    <w:basedOn w:val="Tablanormal"/>
    <w:next w:val="Tablaconcuadrcula"/>
    <w:rsid w:val="00E525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4">
    <w:name w:val="Tabla con cuadrícula294"/>
    <w:basedOn w:val="Tablanormal"/>
    <w:next w:val="Tablaconcuadrcula"/>
    <w:rsid w:val="005106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8">
    <w:name w:val="Sin lista168"/>
    <w:next w:val="Sinlista"/>
    <w:semiHidden/>
    <w:rsid w:val="00BA1038"/>
  </w:style>
  <w:style w:type="table" w:customStyle="1" w:styleId="Tablaconcuadrcula295">
    <w:name w:val="Tabla con cuadrícula295"/>
    <w:basedOn w:val="Tablanormal"/>
    <w:next w:val="Tablaconcuadrcula"/>
    <w:rsid w:val="00BA10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9">
    <w:name w:val="Sin lista169"/>
    <w:next w:val="Sinlista"/>
    <w:semiHidden/>
    <w:rsid w:val="00242136"/>
  </w:style>
  <w:style w:type="table" w:customStyle="1" w:styleId="Tablaconcuadrcula296">
    <w:name w:val="Tabla con cuadrícula296"/>
    <w:basedOn w:val="Tablanormal"/>
    <w:next w:val="Tablaconcuadrcula"/>
    <w:rsid w:val="0024213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60">
    <w:name w:val="Tabla con cuadrícula 136"/>
    <w:basedOn w:val="Tablanormal"/>
    <w:next w:val="Tablaconcuadrcula10"/>
    <w:rsid w:val="00C661FB"/>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97">
    <w:name w:val="Tabla con cuadrícula297"/>
    <w:basedOn w:val="Tablanormal"/>
    <w:next w:val="Tablaconcuadrcula"/>
    <w:rsid w:val="0017706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8">
    <w:name w:val="Tabla con cuadrícula298"/>
    <w:basedOn w:val="Tablanormal"/>
    <w:next w:val="Tablaconcuadrcula"/>
    <w:rsid w:val="000220B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70">
    <w:name w:val="Sin lista170"/>
    <w:next w:val="Sinlista"/>
    <w:semiHidden/>
    <w:rsid w:val="009A0A04"/>
  </w:style>
  <w:style w:type="numbering" w:customStyle="1" w:styleId="Sinlista174">
    <w:name w:val="Sin lista174"/>
    <w:next w:val="Sinlista"/>
    <w:semiHidden/>
    <w:rsid w:val="00FB3E5B"/>
  </w:style>
  <w:style w:type="table" w:customStyle="1" w:styleId="Tablaconcuadrcula299">
    <w:name w:val="Tabla con cuadrícula299"/>
    <w:basedOn w:val="Tablanormal"/>
    <w:next w:val="Tablaconcuadrcula"/>
    <w:rsid w:val="00FB3E5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75">
    <w:name w:val="Sin lista175"/>
    <w:next w:val="Sinlista"/>
    <w:semiHidden/>
    <w:rsid w:val="00653B9E"/>
  </w:style>
  <w:style w:type="paragraph" w:customStyle="1" w:styleId="titpuntos">
    <w:name w:val="tit_puntos"/>
    <w:basedOn w:val="Normal"/>
    <w:uiPriority w:val="99"/>
    <w:rsid w:val="00653B9E"/>
    <w:pPr>
      <w:spacing w:before="100" w:beforeAutospacing="1" w:after="100" w:afterAutospacing="1"/>
    </w:pPr>
    <w:rPr>
      <w:rFonts w:eastAsia="Times New Roman"/>
      <w:lang w:val="es-ES"/>
    </w:rPr>
  </w:style>
  <w:style w:type="table" w:customStyle="1" w:styleId="Tablaconcuadrcula300">
    <w:name w:val="Tabla con cuadrícula300"/>
    <w:basedOn w:val="Tablanormal"/>
    <w:next w:val="Tablaconcuadrcula"/>
    <w:rsid w:val="00420A1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70">
    <w:name w:val="Tabla con cuadrícula 137"/>
    <w:basedOn w:val="Tablanormal"/>
    <w:next w:val="Tablaconcuadrcula10"/>
    <w:rsid w:val="00C47FE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01">
    <w:name w:val="Tabla con cuadrícula301"/>
    <w:basedOn w:val="Tablanormal"/>
    <w:next w:val="Tablaconcuadrcula"/>
    <w:rsid w:val="0011108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76">
    <w:name w:val="Sin lista176"/>
    <w:next w:val="Sinlista"/>
    <w:semiHidden/>
    <w:rsid w:val="00C05CDD"/>
  </w:style>
  <w:style w:type="numbering" w:customStyle="1" w:styleId="Sinlista177">
    <w:name w:val="Sin lista177"/>
    <w:next w:val="Sinlista"/>
    <w:semiHidden/>
    <w:rsid w:val="00961703"/>
  </w:style>
  <w:style w:type="paragraph" w:styleId="TDC2">
    <w:name w:val="toc 2"/>
    <w:basedOn w:val="Normal"/>
    <w:next w:val="Normal"/>
    <w:autoRedefine/>
    <w:uiPriority w:val="99"/>
    <w:rsid w:val="006626D3"/>
    <w:pPr>
      <w:tabs>
        <w:tab w:val="left" w:pos="660"/>
        <w:tab w:val="right" w:leader="dot" w:pos="8494"/>
      </w:tabs>
      <w:spacing w:before="60"/>
      <w:ind w:left="709" w:hanging="709"/>
      <w:jc w:val="both"/>
    </w:pPr>
    <w:rPr>
      <w:rFonts w:ascii="Arial" w:eastAsia="Times New Roman" w:hAnsi="Arial"/>
      <w:sz w:val="22"/>
      <w:lang w:val="es-ES"/>
    </w:rPr>
  </w:style>
  <w:style w:type="paragraph" w:styleId="TDC1">
    <w:name w:val="toc 1"/>
    <w:basedOn w:val="Normal"/>
    <w:next w:val="Normal"/>
    <w:autoRedefine/>
    <w:uiPriority w:val="99"/>
    <w:rsid w:val="006626D3"/>
    <w:pPr>
      <w:spacing w:before="240"/>
      <w:jc w:val="both"/>
    </w:pPr>
    <w:rPr>
      <w:rFonts w:ascii="Arial" w:eastAsia="Times New Roman" w:hAnsi="Arial"/>
      <w:b/>
      <w:sz w:val="22"/>
      <w:lang w:val="es-ES"/>
    </w:rPr>
  </w:style>
  <w:style w:type="paragraph" w:styleId="TDC3">
    <w:name w:val="toc 3"/>
    <w:basedOn w:val="Normal"/>
    <w:next w:val="Normal"/>
    <w:autoRedefine/>
    <w:uiPriority w:val="99"/>
    <w:rsid w:val="006626D3"/>
    <w:pPr>
      <w:jc w:val="both"/>
    </w:pPr>
    <w:rPr>
      <w:rFonts w:ascii="Arial" w:eastAsia="Times New Roman" w:hAnsi="Arial"/>
      <w:sz w:val="22"/>
      <w:lang w:val="es-ES"/>
    </w:rPr>
  </w:style>
  <w:style w:type="paragraph" w:customStyle="1" w:styleId="EstiloTtulo214pt">
    <w:name w:val="Estilo Título 2 + 14 pt"/>
    <w:basedOn w:val="Ttulo2"/>
    <w:uiPriority w:val="99"/>
    <w:rsid w:val="006626D3"/>
    <w:pPr>
      <w:tabs>
        <w:tab w:val="num" w:pos="709"/>
      </w:tabs>
      <w:spacing w:after="240"/>
      <w:ind w:left="709" w:hanging="709"/>
      <w:jc w:val="both"/>
    </w:pPr>
    <w:rPr>
      <w:rFonts w:ascii="Arial" w:eastAsia="Times New Roman" w:hAnsi="Arial" w:cs="Arial"/>
      <w:sz w:val="28"/>
      <w:szCs w:val="22"/>
    </w:rPr>
  </w:style>
  <w:style w:type="numbering" w:customStyle="1" w:styleId="Sinlista178">
    <w:name w:val="Sin lista178"/>
    <w:next w:val="Sinlista"/>
    <w:semiHidden/>
    <w:rsid w:val="00D92F23"/>
  </w:style>
  <w:style w:type="table" w:customStyle="1" w:styleId="Tablaconcuadrcula302">
    <w:name w:val="Tabla con cuadrícula302"/>
    <w:basedOn w:val="Tablanormal"/>
    <w:next w:val="Tablaconcuadrcula"/>
    <w:rsid w:val="00D92F2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79">
    <w:name w:val="Sin lista179"/>
    <w:next w:val="Sinlista"/>
    <w:semiHidden/>
    <w:rsid w:val="006A7FF5"/>
  </w:style>
  <w:style w:type="numbering" w:customStyle="1" w:styleId="Sinlista180">
    <w:name w:val="Sin lista180"/>
    <w:next w:val="Sinlista"/>
    <w:semiHidden/>
    <w:rsid w:val="00F03841"/>
  </w:style>
  <w:style w:type="paragraph" w:customStyle="1" w:styleId="Style50">
    <w:name w:val="Style 5"/>
    <w:basedOn w:val="Normal"/>
    <w:uiPriority w:val="99"/>
    <w:rsid w:val="00F03841"/>
    <w:pPr>
      <w:widowControl w:val="0"/>
      <w:spacing w:before="252"/>
      <w:jc w:val="both"/>
    </w:pPr>
    <w:rPr>
      <w:rFonts w:eastAsia="Times New Roman"/>
      <w:sz w:val="22"/>
      <w:szCs w:val="22"/>
      <w:lang w:val="en-US"/>
    </w:rPr>
  </w:style>
  <w:style w:type="paragraph" w:customStyle="1" w:styleId="Style6">
    <w:name w:val="Style 6"/>
    <w:basedOn w:val="Normal"/>
    <w:uiPriority w:val="99"/>
    <w:rsid w:val="00F03841"/>
    <w:pPr>
      <w:widowControl w:val="0"/>
    </w:pPr>
    <w:rPr>
      <w:rFonts w:eastAsia="Times New Roman"/>
      <w:sz w:val="6"/>
      <w:szCs w:val="6"/>
      <w:lang w:val="en-US"/>
    </w:rPr>
  </w:style>
  <w:style w:type="paragraph" w:customStyle="1" w:styleId="Style4">
    <w:name w:val="Style 4"/>
    <w:basedOn w:val="Normal"/>
    <w:uiPriority w:val="99"/>
    <w:rsid w:val="00F03841"/>
    <w:pPr>
      <w:widowControl w:val="0"/>
    </w:pPr>
    <w:rPr>
      <w:rFonts w:eastAsia="Times New Roman"/>
      <w:sz w:val="20"/>
      <w:szCs w:val="20"/>
      <w:lang w:val="en-US"/>
    </w:rPr>
  </w:style>
  <w:style w:type="paragraph" w:customStyle="1" w:styleId="Style3">
    <w:name w:val="Style 3"/>
    <w:basedOn w:val="Normal"/>
    <w:uiPriority w:val="99"/>
    <w:rsid w:val="00F03841"/>
    <w:pPr>
      <w:widowControl w:val="0"/>
      <w:ind w:left="72"/>
      <w:jc w:val="both"/>
    </w:pPr>
    <w:rPr>
      <w:rFonts w:eastAsia="Times New Roman"/>
      <w:lang w:val="en-US"/>
    </w:rPr>
  </w:style>
  <w:style w:type="paragraph" w:customStyle="1" w:styleId="Style2">
    <w:name w:val="Style 2"/>
    <w:basedOn w:val="Normal"/>
    <w:uiPriority w:val="99"/>
    <w:rsid w:val="00F03841"/>
    <w:pPr>
      <w:widowControl w:val="0"/>
    </w:pPr>
    <w:rPr>
      <w:rFonts w:eastAsia="Times New Roman"/>
      <w:lang w:val="en-US"/>
    </w:rPr>
  </w:style>
  <w:style w:type="paragraph" w:customStyle="1" w:styleId="Style21">
    <w:name w:val="Style 21"/>
    <w:basedOn w:val="Normal"/>
    <w:uiPriority w:val="99"/>
    <w:rsid w:val="00F03841"/>
    <w:pPr>
      <w:widowControl w:val="0"/>
      <w:spacing w:line="96" w:lineRule="exact"/>
    </w:pPr>
    <w:rPr>
      <w:rFonts w:eastAsia="Times New Roman"/>
      <w:lang w:val="en-US"/>
    </w:rPr>
  </w:style>
  <w:style w:type="character" w:customStyle="1" w:styleId="CharacterStyle1">
    <w:name w:val="Character Style 1"/>
    <w:uiPriority w:val="99"/>
    <w:rsid w:val="00F03841"/>
    <w:rPr>
      <w:rFonts w:ascii="Times New Roman" w:hAnsi="Times New Roman" w:cs="Times New Roman"/>
      <w:sz w:val="22"/>
      <w:szCs w:val="22"/>
    </w:rPr>
  </w:style>
  <w:style w:type="character" w:customStyle="1" w:styleId="CharacterStyle17">
    <w:name w:val="Character Style 17"/>
    <w:uiPriority w:val="99"/>
    <w:rsid w:val="00F03841"/>
    <w:rPr>
      <w:rFonts w:ascii="Times New Roman" w:hAnsi="Times New Roman" w:cs="Times New Roman"/>
      <w:sz w:val="6"/>
      <w:szCs w:val="6"/>
    </w:rPr>
  </w:style>
  <w:style w:type="character" w:customStyle="1" w:styleId="CharacterStyle19">
    <w:name w:val="Character Style 19"/>
    <w:rsid w:val="00F03841"/>
    <w:rPr>
      <w:rFonts w:ascii="Times New Roman" w:hAnsi="Times New Roman" w:cs="Times New Roman"/>
      <w:sz w:val="20"/>
      <w:szCs w:val="20"/>
    </w:rPr>
  </w:style>
  <w:style w:type="character" w:customStyle="1" w:styleId="CharacterStyle3">
    <w:name w:val="Character Style 3"/>
    <w:uiPriority w:val="99"/>
    <w:rsid w:val="00F03841"/>
    <w:rPr>
      <w:rFonts w:ascii="Times New Roman" w:hAnsi="Times New Roman" w:cs="Times New Roman"/>
      <w:sz w:val="20"/>
      <w:szCs w:val="20"/>
    </w:rPr>
  </w:style>
  <w:style w:type="character" w:customStyle="1" w:styleId="CharacterStyle10">
    <w:name w:val="Character Style 10"/>
    <w:uiPriority w:val="99"/>
    <w:rsid w:val="00F03841"/>
    <w:rPr>
      <w:rFonts w:ascii="Times New Roman" w:hAnsi="Times New Roman" w:cs="Times New Roman"/>
      <w:b/>
      <w:sz w:val="20"/>
      <w:szCs w:val="20"/>
    </w:rPr>
  </w:style>
  <w:style w:type="character" w:customStyle="1" w:styleId="CharacterStyle23">
    <w:name w:val="Character Style 23"/>
    <w:uiPriority w:val="99"/>
    <w:rsid w:val="00F03841"/>
    <w:rPr>
      <w:rFonts w:ascii="Times New Roman" w:hAnsi="Times New Roman" w:cs="Times New Roman"/>
      <w:sz w:val="18"/>
      <w:szCs w:val="18"/>
    </w:rPr>
  </w:style>
  <w:style w:type="table" w:customStyle="1" w:styleId="Tablaconcuadrcula303">
    <w:name w:val="Tabla con cuadrícula303"/>
    <w:basedOn w:val="Tablanormal"/>
    <w:next w:val="Tablaconcuadrcula"/>
    <w:rsid w:val="00F03841"/>
    <w:pPr>
      <w:widowControl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4">
    <w:name w:val="Sin lista184"/>
    <w:next w:val="Sinlista"/>
    <w:semiHidden/>
    <w:rsid w:val="003F78D9"/>
  </w:style>
  <w:style w:type="table" w:customStyle="1" w:styleId="Tablaconcuadrcula304">
    <w:name w:val="Tabla con cuadrícula304"/>
    <w:basedOn w:val="Tablanormal"/>
    <w:next w:val="Tablaconcuadrcula"/>
    <w:rsid w:val="00E019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5">
    <w:name w:val="Tabla con cuadrícula305"/>
    <w:basedOn w:val="Tablanormal"/>
    <w:next w:val="Tablaconcuadrcula"/>
    <w:rsid w:val="00B30E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6">
    <w:name w:val="Tabla con cuadrícula306"/>
    <w:basedOn w:val="Tablanormal"/>
    <w:next w:val="Tablaconcuadrcula"/>
    <w:rsid w:val="007222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5">
    <w:name w:val="Sin lista185"/>
    <w:next w:val="Sinlista"/>
    <w:semiHidden/>
    <w:rsid w:val="009C3B05"/>
  </w:style>
  <w:style w:type="numbering" w:customStyle="1" w:styleId="Sinlista186">
    <w:name w:val="Sin lista186"/>
    <w:next w:val="Sinlista"/>
    <w:semiHidden/>
    <w:rsid w:val="000A562F"/>
  </w:style>
  <w:style w:type="character" w:customStyle="1" w:styleId="Ttulo4Car">
    <w:name w:val="Título 4 Car"/>
    <w:aliases w:val="num.                                               4 Car"/>
    <w:basedOn w:val="Fuentedeprrafopredeter"/>
    <w:link w:val="Ttulo4"/>
    <w:uiPriority w:val="9"/>
    <w:locked/>
    <w:rsid w:val="000A562F"/>
    <w:rPr>
      <w:rFonts w:eastAsia="SimSun"/>
      <w:b/>
      <w:bCs/>
      <w:caps/>
      <w:sz w:val="18"/>
      <w:szCs w:val="26"/>
      <w:lang w:val="es-ES" w:eastAsia="es-ES" w:bidi="ar-SA"/>
    </w:rPr>
  </w:style>
  <w:style w:type="character" w:customStyle="1" w:styleId="Ttulo5Car">
    <w:name w:val="Título 5 Car"/>
    <w:aliases w:val="num.                                       5 Car"/>
    <w:basedOn w:val="Fuentedeprrafopredeter"/>
    <w:link w:val="Ttulo5"/>
    <w:uiPriority w:val="9"/>
    <w:locked/>
    <w:rsid w:val="000A562F"/>
    <w:rPr>
      <w:rFonts w:eastAsia="SimSun"/>
      <w:b/>
      <w:bCs/>
      <w:szCs w:val="22"/>
      <w:lang w:val="es-ES" w:eastAsia="es-ES" w:bidi="ar-SA"/>
    </w:rPr>
  </w:style>
  <w:style w:type="character" w:customStyle="1" w:styleId="CarCar">
    <w:name w:val="Car Car"/>
    <w:basedOn w:val="Fuentedeprrafopredeter"/>
    <w:locked/>
    <w:rsid w:val="000A562F"/>
    <w:rPr>
      <w:lang w:val="es-ES" w:eastAsia="es-ES" w:bidi="ar-SA"/>
    </w:rPr>
  </w:style>
  <w:style w:type="character" w:customStyle="1" w:styleId="parasmallboldcolourtext1">
    <w:name w:val="parasmallboldcolourtext1"/>
    <w:basedOn w:val="Fuentedeprrafopredeter"/>
    <w:rsid w:val="000A562F"/>
    <w:rPr>
      <w:b/>
      <w:bCs/>
      <w:color w:val="0080FF"/>
      <w:sz w:val="16"/>
      <w:szCs w:val="16"/>
    </w:rPr>
  </w:style>
  <w:style w:type="character" w:customStyle="1" w:styleId="paranormaltext1">
    <w:name w:val="paranormaltext1"/>
    <w:basedOn w:val="Fuentedeprrafopredeter"/>
    <w:rsid w:val="000A562F"/>
    <w:rPr>
      <w:b w:val="0"/>
      <w:bCs w:val="0"/>
      <w:color w:val="000000"/>
      <w:sz w:val="20"/>
      <w:szCs w:val="20"/>
    </w:rPr>
  </w:style>
  <w:style w:type="table" w:customStyle="1" w:styleId="Tablaconcuadrcula307">
    <w:name w:val="Tabla con cuadrícula307"/>
    <w:basedOn w:val="Tablanormal"/>
    <w:next w:val="Tablaconcuadrcula"/>
    <w:rsid w:val="000A562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08">
    <w:name w:val="Tabla con cuadrícula308"/>
    <w:basedOn w:val="Tablanormal"/>
    <w:next w:val="Tablaconcuadrcula"/>
    <w:rsid w:val="00B97D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9">
    <w:name w:val="Tabla con cuadrícula309"/>
    <w:basedOn w:val="Tablanormal"/>
    <w:next w:val="Tablaconcuadrcula"/>
    <w:rsid w:val="0065132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0">
    <w:name w:val="Tabla con cuadrícula310"/>
    <w:basedOn w:val="Tablanormal"/>
    <w:next w:val="Tablaconcuadrcula"/>
    <w:rsid w:val="002E54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1">
    <w:name w:val="Tabla con cuadrícula311"/>
    <w:basedOn w:val="Tablanormal"/>
    <w:next w:val="Tablaconcuadrcula"/>
    <w:rsid w:val="00DA52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7">
    <w:name w:val="Sin lista187"/>
    <w:next w:val="Sinlista"/>
    <w:semiHidden/>
    <w:rsid w:val="00210D3D"/>
  </w:style>
  <w:style w:type="table" w:customStyle="1" w:styleId="Tablaconcuadrcula312">
    <w:name w:val="Tabla con cuadrícula312"/>
    <w:basedOn w:val="Tablanormal"/>
    <w:next w:val="Tablaconcuadrcula"/>
    <w:rsid w:val="00210D3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3">
    <w:name w:val="Tabla con cuadrícula313"/>
    <w:basedOn w:val="Tablanormal"/>
    <w:next w:val="Tablaconcuadrcula"/>
    <w:rsid w:val="006734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8">
    <w:name w:val="Sin lista188"/>
    <w:next w:val="Sinlista"/>
    <w:semiHidden/>
    <w:rsid w:val="00155473"/>
  </w:style>
  <w:style w:type="table" w:customStyle="1" w:styleId="Tablaconcuadrcula314">
    <w:name w:val="Tabla con cuadrícula314"/>
    <w:basedOn w:val="Tablanormal"/>
    <w:next w:val="Tablaconcuadrcula"/>
    <w:rsid w:val="001554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5">
    <w:name w:val="Tabla con cuadrícula315"/>
    <w:basedOn w:val="Tablanormal"/>
    <w:next w:val="Tablaconcuadrcula"/>
    <w:rsid w:val="0059613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9">
    <w:name w:val="Sin lista189"/>
    <w:next w:val="Sinlista"/>
    <w:semiHidden/>
    <w:rsid w:val="00751597"/>
  </w:style>
  <w:style w:type="table" w:customStyle="1" w:styleId="Tablaconcuadrcula316">
    <w:name w:val="Tabla con cuadrícula316"/>
    <w:basedOn w:val="Tablanormal"/>
    <w:next w:val="Tablaconcuadrcula"/>
    <w:rsid w:val="007515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7">
    <w:name w:val="Tabla con cuadrícula317"/>
    <w:basedOn w:val="Tablanormal"/>
    <w:next w:val="Tablaconcuadrcula"/>
    <w:rsid w:val="006024F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8">
    <w:name w:val="Tabla con cuadrícula318"/>
    <w:basedOn w:val="Tablanormal"/>
    <w:next w:val="Tablaconcuadrcula"/>
    <w:rsid w:val="000A691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0">
    <w:name w:val="Sin lista190"/>
    <w:next w:val="Sinlista"/>
    <w:semiHidden/>
    <w:rsid w:val="000A691E"/>
  </w:style>
  <w:style w:type="table" w:customStyle="1" w:styleId="Tablaconcuadrcula1380">
    <w:name w:val="Tabla con cuadrícula 138"/>
    <w:basedOn w:val="Tablanormal"/>
    <w:next w:val="Tablaconcuadrcula10"/>
    <w:rsid w:val="000A691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19">
    <w:name w:val="Tabla con cuadrícula319"/>
    <w:basedOn w:val="Tablanormal"/>
    <w:next w:val="Tablaconcuadrcula"/>
    <w:rsid w:val="001F7C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4">
    <w:name w:val="Sin lista194"/>
    <w:next w:val="Sinlista"/>
    <w:semiHidden/>
    <w:rsid w:val="0056162E"/>
  </w:style>
  <w:style w:type="numbering" w:customStyle="1" w:styleId="Sinlista195">
    <w:name w:val="Sin lista195"/>
    <w:next w:val="Sinlista"/>
    <w:semiHidden/>
    <w:rsid w:val="00C71328"/>
  </w:style>
  <w:style w:type="table" w:customStyle="1" w:styleId="Tablaconcuadrcula320">
    <w:name w:val="Tabla con cuadrícula320"/>
    <w:basedOn w:val="Tablanormal"/>
    <w:next w:val="Tablaconcuadrcula"/>
    <w:rsid w:val="00EA5C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90">
    <w:name w:val="Tabla con cuadrícula 139"/>
    <w:basedOn w:val="Tablanormal"/>
    <w:next w:val="Tablaconcuadrcula10"/>
    <w:rsid w:val="00FC1E6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21">
    <w:name w:val="Tabla con cuadrícula321"/>
    <w:basedOn w:val="Tablanormal"/>
    <w:next w:val="Tablaconcuadrcula"/>
    <w:rsid w:val="00A1358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2">
    <w:name w:val="Tabla con cuadrícula322"/>
    <w:basedOn w:val="Tablanormal"/>
    <w:next w:val="Tablaconcuadrcula"/>
    <w:rsid w:val="00DD630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6">
    <w:name w:val="Sin lista196"/>
    <w:next w:val="Sinlista"/>
    <w:semiHidden/>
    <w:rsid w:val="001E1CAA"/>
  </w:style>
  <w:style w:type="table" w:customStyle="1" w:styleId="Tablaconcuadrcula323">
    <w:name w:val="Tabla con cuadrícula323"/>
    <w:basedOn w:val="Tablanormal"/>
    <w:next w:val="Tablaconcuadrcula"/>
    <w:rsid w:val="008D254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4">
    <w:name w:val="Tabla con cuadrícula324"/>
    <w:basedOn w:val="Tablanormal"/>
    <w:next w:val="Tablaconcuadrcula"/>
    <w:rsid w:val="00414F8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5">
    <w:name w:val="Tabla con cuadrícula325"/>
    <w:basedOn w:val="Tablanormal"/>
    <w:next w:val="Tablaconcuadrcula"/>
    <w:rsid w:val="005341A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7">
    <w:name w:val="Sin lista197"/>
    <w:next w:val="Sinlista"/>
    <w:semiHidden/>
    <w:rsid w:val="00155B7C"/>
  </w:style>
  <w:style w:type="table" w:customStyle="1" w:styleId="Tablaconcuadrcula326">
    <w:name w:val="Tabla con cuadrícula326"/>
    <w:basedOn w:val="Tablanormal"/>
    <w:next w:val="Tablaconcuadrcula"/>
    <w:rsid w:val="00155B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7">
    <w:name w:val="Tabla con cuadrícula327"/>
    <w:basedOn w:val="Tablanormal"/>
    <w:next w:val="Tablaconcuadrcula"/>
    <w:rsid w:val="00A008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8">
    <w:name w:val="Sin lista198"/>
    <w:next w:val="Sinlista"/>
    <w:semiHidden/>
    <w:rsid w:val="001952E4"/>
  </w:style>
  <w:style w:type="table" w:customStyle="1" w:styleId="Tablaconcuadrcula328">
    <w:name w:val="Tabla con cuadrícula328"/>
    <w:basedOn w:val="Tablanormal"/>
    <w:next w:val="Tablaconcuadrcula"/>
    <w:rsid w:val="001952E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9">
    <w:name w:val="Tabla con cuadrícula329"/>
    <w:basedOn w:val="Tablanormal"/>
    <w:next w:val="Tablaconcuadrcula"/>
    <w:rsid w:val="00327A3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9">
    <w:name w:val="Sin lista199"/>
    <w:next w:val="Sinlista"/>
    <w:semiHidden/>
    <w:rsid w:val="00CC266C"/>
  </w:style>
  <w:style w:type="table" w:customStyle="1" w:styleId="Tablaconcuadrcula330">
    <w:name w:val="Tabla con cuadrícula330"/>
    <w:basedOn w:val="Tablanormal"/>
    <w:next w:val="Tablaconcuadrcula"/>
    <w:rsid w:val="00CC26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1">
    <w:name w:val="Tabla con cuadrícula331"/>
    <w:basedOn w:val="Tablanormal"/>
    <w:next w:val="Tablaconcuadrcula"/>
    <w:rsid w:val="000D47D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0">
    <w:name w:val="Sin lista200"/>
    <w:next w:val="Sinlista"/>
    <w:semiHidden/>
    <w:rsid w:val="0011468D"/>
  </w:style>
  <w:style w:type="table" w:customStyle="1" w:styleId="Tablaconcuadrcula332">
    <w:name w:val="Tabla con cuadrícula332"/>
    <w:basedOn w:val="Tablanormal"/>
    <w:next w:val="Tablaconcuadrcula"/>
    <w:rsid w:val="00B96E4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4">
    <w:name w:val="Sin lista204"/>
    <w:next w:val="Sinlista"/>
    <w:semiHidden/>
    <w:rsid w:val="00C20181"/>
  </w:style>
  <w:style w:type="numbering" w:customStyle="1" w:styleId="Sinlista205">
    <w:name w:val="Sin lista205"/>
    <w:next w:val="Sinlista"/>
    <w:semiHidden/>
    <w:rsid w:val="002B64A8"/>
  </w:style>
  <w:style w:type="numbering" w:customStyle="1" w:styleId="Sinlista206">
    <w:name w:val="Sin lista206"/>
    <w:next w:val="Sinlista"/>
    <w:semiHidden/>
    <w:rsid w:val="0028710F"/>
  </w:style>
  <w:style w:type="table" w:customStyle="1" w:styleId="Tablaconcuadrcula333">
    <w:name w:val="Tabla con cuadrícula333"/>
    <w:basedOn w:val="Tablanormal"/>
    <w:next w:val="Tablaconcuadrcula"/>
    <w:rsid w:val="0028710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4">
    <w:name w:val="Tabla con cuadrícula334"/>
    <w:basedOn w:val="Tablanormal"/>
    <w:next w:val="Tablaconcuadrcula"/>
    <w:rsid w:val="006674A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5">
    <w:name w:val="Tabla con cuadrícula335"/>
    <w:basedOn w:val="Tablanormal"/>
    <w:next w:val="Tablaconcuadrcula"/>
    <w:rsid w:val="009D460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7">
    <w:name w:val="Sin lista207"/>
    <w:next w:val="Sinlista"/>
    <w:semiHidden/>
    <w:rsid w:val="00F40FB1"/>
  </w:style>
  <w:style w:type="table" w:customStyle="1" w:styleId="Tablaconcuadrcula336">
    <w:name w:val="Tabla con cuadrícula336"/>
    <w:basedOn w:val="Tablanormal"/>
    <w:next w:val="Tablaconcuadrcula"/>
    <w:rsid w:val="003B2DF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8">
    <w:name w:val="Sin lista208"/>
    <w:next w:val="Sinlista"/>
    <w:semiHidden/>
    <w:rsid w:val="00186DF1"/>
  </w:style>
  <w:style w:type="table" w:customStyle="1" w:styleId="Tablaconcuadrcula337">
    <w:name w:val="Tabla con cuadrícula337"/>
    <w:basedOn w:val="Tablanormal"/>
    <w:next w:val="Tablaconcuadrcula"/>
    <w:rsid w:val="00186DF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8">
    <w:name w:val="Tabla con cuadrícula338"/>
    <w:basedOn w:val="Tablanormal"/>
    <w:next w:val="Tablaconcuadrcula"/>
    <w:rsid w:val="00D127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9">
    <w:name w:val="Sin lista209"/>
    <w:next w:val="Sinlista"/>
    <w:semiHidden/>
    <w:rsid w:val="00E41272"/>
  </w:style>
  <w:style w:type="table" w:customStyle="1" w:styleId="Tablaconcuadrcula339">
    <w:name w:val="Tabla con cuadrícula339"/>
    <w:basedOn w:val="Tablanormal"/>
    <w:next w:val="Tablaconcuadrcula"/>
    <w:rsid w:val="008443B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0">
    <w:name w:val="Tabla con cuadrícula340"/>
    <w:basedOn w:val="Tablanormal"/>
    <w:next w:val="Tablaconcuadrcula"/>
    <w:rsid w:val="008443B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6">
    <w:name w:val="Sin lista216"/>
    <w:next w:val="Sinlista"/>
    <w:semiHidden/>
    <w:rsid w:val="00953D5D"/>
  </w:style>
  <w:style w:type="table" w:customStyle="1" w:styleId="Tablaconcuadrcula341">
    <w:name w:val="Tabla con cuadrícula341"/>
    <w:basedOn w:val="Tablanormal"/>
    <w:next w:val="Tablaconcuadrcula"/>
    <w:rsid w:val="00953D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2">
    <w:name w:val="Tabla con cuadrícula342"/>
    <w:basedOn w:val="Tablanormal"/>
    <w:next w:val="Tablaconcuadrcula"/>
    <w:rsid w:val="001372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3">
    <w:name w:val="Tabla con cuadrícula343"/>
    <w:basedOn w:val="Tablanormal"/>
    <w:next w:val="Tablaconcuadrcula"/>
    <w:rsid w:val="0002180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121">
    <w:name w:val="1 / 1.1 / 1.1.12121"/>
    <w:basedOn w:val="Sinlista"/>
    <w:next w:val="111111"/>
    <w:rsid w:val="00EE7D10"/>
    <w:pPr>
      <w:numPr>
        <w:numId w:val="2"/>
      </w:numPr>
    </w:pPr>
  </w:style>
  <w:style w:type="table" w:customStyle="1" w:styleId="Tablaconcuadrcula344">
    <w:name w:val="Tabla con cuadrícula344"/>
    <w:basedOn w:val="Tablanormal"/>
    <w:next w:val="Tablaconcuadrcula"/>
    <w:rsid w:val="000354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7">
    <w:name w:val="Sin lista217"/>
    <w:next w:val="Sinlista"/>
    <w:semiHidden/>
    <w:rsid w:val="00ED7D72"/>
  </w:style>
  <w:style w:type="table" w:customStyle="1" w:styleId="Tablaconcuadrcula345">
    <w:name w:val="Tabla con cuadrícula345"/>
    <w:basedOn w:val="Tablanormal"/>
    <w:next w:val="Tablaconcuadrcula"/>
    <w:rsid w:val="00ED7D7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8">
    <w:name w:val="Sin lista218"/>
    <w:next w:val="Sinlista"/>
    <w:semiHidden/>
    <w:rsid w:val="00D76BEE"/>
  </w:style>
  <w:style w:type="table" w:customStyle="1" w:styleId="Tablaconcuadrcula346">
    <w:name w:val="Tabla con cuadrícula346"/>
    <w:basedOn w:val="Tablanormal"/>
    <w:next w:val="Tablaconcuadrcula"/>
    <w:rsid w:val="00D76B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6">
    <w:name w:val="Tabla con cuadrícula516"/>
    <w:basedOn w:val="Tablanormal"/>
    <w:next w:val="Tablaconcuadrcula"/>
    <w:rsid w:val="00D76B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9">
    <w:name w:val="Sin lista219"/>
    <w:next w:val="Sinlista"/>
    <w:semiHidden/>
    <w:rsid w:val="00B83050"/>
  </w:style>
  <w:style w:type="table" w:customStyle="1" w:styleId="Tablaconcuadrcula347">
    <w:name w:val="Tabla con cuadrícula347"/>
    <w:basedOn w:val="Tablanormal"/>
    <w:next w:val="Tablaconcuadrcula"/>
    <w:rsid w:val="00B8305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8">
    <w:name w:val="Tabla con cuadrícula348"/>
    <w:basedOn w:val="Tablanormal"/>
    <w:next w:val="Tablaconcuadrcula"/>
    <w:rsid w:val="001505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0">
    <w:name w:val="Sin lista220"/>
    <w:next w:val="Sinlista"/>
    <w:semiHidden/>
    <w:rsid w:val="000A368B"/>
  </w:style>
  <w:style w:type="table" w:customStyle="1" w:styleId="Tablaconcuadrcula1401">
    <w:name w:val="Tabla con cuadrícula 140"/>
    <w:basedOn w:val="Tablanormal"/>
    <w:next w:val="Tablaconcuadrcula10"/>
    <w:rsid w:val="000A368B"/>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49">
    <w:name w:val="Tabla con cuadrícula349"/>
    <w:basedOn w:val="Tablanormal"/>
    <w:next w:val="Tablaconcuadrcula"/>
    <w:rsid w:val="000A368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0">
    <w:name w:val="Tabla con cuadrícula 141"/>
    <w:basedOn w:val="Tablanormal"/>
    <w:next w:val="Tablaconcuadrcula10"/>
    <w:rsid w:val="00B82330"/>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50">
    <w:name w:val="Tabla con cuadrícula350"/>
    <w:basedOn w:val="Tablanormal"/>
    <w:next w:val="Tablaconcuadrcula"/>
    <w:rsid w:val="002E79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4">
    <w:name w:val="Sin lista224"/>
    <w:next w:val="Sinlista"/>
    <w:semiHidden/>
    <w:rsid w:val="008D2536"/>
  </w:style>
  <w:style w:type="table" w:customStyle="1" w:styleId="Tablaconcuadrcula351">
    <w:name w:val="Tabla con cuadrícula351"/>
    <w:basedOn w:val="Tablanormal"/>
    <w:next w:val="Tablaconcuadrcula"/>
    <w:rsid w:val="008D253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5">
    <w:name w:val="Sin lista225"/>
    <w:next w:val="Sinlista"/>
    <w:semiHidden/>
    <w:rsid w:val="0015067C"/>
  </w:style>
  <w:style w:type="table" w:customStyle="1" w:styleId="Tablaconcuadrcula352">
    <w:name w:val="Tabla con cuadrícula352"/>
    <w:basedOn w:val="Tablanormal"/>
    <w:next w:val="Tablaconcuadrcula"/>
    <w:rsid w:val="001506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6">
    <w:name w:val="Sin lista226"/>
    <w:next w:val="Sinlista"/>
    <w:semiHidden/>
    <w:rsid w:val="00FD6C56"/>
  </w:style>
  <w:style w:type="table" w:customStyle="1" w:styleId="Tablaconcuadrcula353">
    <w:name w:val="Tabla con cuadrícula353"/>
    <w:basedOn w:val="Tablanormal"/>
    <w:next w:val="Tablaconcuadrcula"/>
    <w:rsid w:val="00FD6C5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7">
    <w:name w:val="Sin lista227"/>
    <w:next w:val="Sinlista"/>
    <w:semiHidden/>
    <w:rsid w:val="00BB2905"/>
  </w:style>
  <w:style w:type="table" w:customStyle="1" w:styleId="Tablaconcuadrcula354">
    <w:name w:val="Tabla con cuadrícula354"/>
    <w:basedOn w:val="Tablanormal"/>
    <w:next w:val="Tablaconcuadrcula"/>
    <w:rsid w:val="00AE1A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5">
    <w:name w:val="Tabla con cuadrícula355"/>
    <w:basedOn w:val="Tablanormal"/>
    <w:next w:val="Tablaconcuadrcula"/>
    <w:rsid w:val="00AD6A3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6">
    <w:name w:val="Tabla con cuadrícula356"/>
    <w:basedOn w:val="Tablanormal"/>
    <w:next w:val="Tablaconcuadrcula"/>
    <w:rsid w:val="005329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7">
    <w:name w:val="Tabla con cuadrícula357"/>
    <w:basedOn w:val="Tablanormal"/>
    <w:next w:val="Tablaconcuadrcula"/>
    <w:rsid w:val="007F5E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8">
    <w:name w:val="Tabla con cuadrícula358"/>
    <w:basedOn w:val="Tablanormal"/>
    <w:next w:val="Tablaconcuadrcula"/>
    <w:rsid w:val="00DB690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9">
    <w:name w:val="Tabla con cuadrícula359"/>
    <w:basedOn w:val="Tablanormal"/>
    <w:next w:val="Tablaconcuadrcula"/>
    <w:rsid w:val="001E549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8">
    <w:name w:val="Sin lista228"/>
    <w:next w:val="Sinlista"/>
    <w:semiHidden/>
    <w:rsid w:val="00390FB0"/>
  </w:style>
  <w:style w:type="numbering" w:customStyle="1" w:styleId="Sinlista229">
    <w:name w:val="Sin lista229"/>
    <w:next w:val="Sinlista"/>
    <w:semiHidden/>
    <w:rsid w:val="00ED2177"/>
  </w:style>
  <w:style w:type="table" w:customStyle="1" w:styleId="Tablaconcuadrcula360">
    <w:name w:val="Tabla con cuadrícula360"/>
    <w:basedOn w:val="Tablanormal"/>
    <w:next w:val="Tablaconcuadrcula"/>
    <w:rsid w:val="00ED21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0">
    <w:name w:val="Sin lista230"/>
    <w:next w:val="Sinlista"/>
    <w:semiHidden/>
    <w:rsid w:val="00054668"/>
  </w:style>
  <w:style w:type="table" w:customStyle="1" w:styleId="Tablaconcuadrcula361">
    <w:name w:val="Tabla con cuadrícula361"/>
    <w:basedOn w:val="Tablanormal"/>
    <w:next w:val="Tablaconcuadrcula"/>
    <w:rsid w:val="0005466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4">
    <w:name w:val="Sin lista234"/>
    <w:next w:val="Sinlista"/>
    <w:semiHidden/>
    <w:rsid w:val="00A61315"/>
  </w:style>
  <w:style w:type="numbering" w:customStyle="1" w:styleId="Sinlista235">
    <w:name w:val="Sin lista235"/>
    <w:next w:val="Sinlista"/>
    <w:semiHidden/>
    <w:rsid w:val="00C3798F"/>
  </w:style>
  <w:style w:type="table" w:customStyle="1" w:styleId="Tablaconcuadrcula362">
    <w:name w:val="Tabla con cuadrícula362"/>
    <w:basedOn w:val="Tablanormal"/>
    <w:next w:val="Tablaconcuadrcula"/>
    <w:rsid w:val="00C379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3">
    <w:name w:val="Tabla con cuadrícula363"/>
    <w:basedOn w:val="Tablanormal"/>
    <w:next w:val="Tablaconcuadrcula"/>
    <w:rsid w:val="00C379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6">
    <w:name w:val="Sin lista236"/>
    <w:next w:val="Sinlista"/>
    <w:semiHidden/>
    <w:rsid w:val="00DF710D"/>
  </w:style>
  <w:style w:type="paragraph" w:customStyle="1" w:styleId="bajadas">
    <w:name w:val="bajadas"/>
    <w:basedOn w:val="Normal"/>
    <w:uiPriority w:val="99"/>
    <w:rsid w:val="00DF710D"/>
    <w:rPr>
      <w:rFonts w:ascii="Georgia, Times" w:eastAsia="Times New Roman" w:hAnsi="Georgia, Times"/>
      <w:color w:val="3B4646"/>
      <w:sz w:val="21"/>
      <w:szCs w:val="21"/>
      <w:lang w:val="es-ES"/>
    </w:rPr>
  </w:style>
  <w:style w:type="paragraph" w:customStyle="1" w:styleId="fotorankinghome">
    <w:name w:val="foto_ranking_home"/>
    <w:basedOn w:val="Normal"/>
    <w:uiPriority w:val="99"/>
    <w:rsid w:val="00DF710D"/>
    <w:pPr>
      <w:spacing w:before="150"/>
    </w:pPr>
    <w:rPr>
      <w:rFonts w:ascii="Georgia, Times" w:eastAsia="Times New Roman" w:hAnsi="Georgia, Times"/>
      <w:color w:val="3A4646"/>
      <w:sz w:val="21"/>
      <w:szCs w:val="21"/>
      <w:lang w:val="es-ES"/>
    </w:rPr>
  </w:style>
  <w:style w:type="paragraph" w:customStyle="1" w:styleId="fotoizquierda">
    <w:name w:val="foto_izquierda"/>
    <w:basedOn w:val="Normal"/>
    <w:uiPriority w:val="99"/>
    <w:rsid w:val="00DF710D"/>
    <w:rPr>
      <w:rFonts w:ascii="Georgia, Times" w:eastAsia="Times New Roman" w:hAnsi="Georgia, Times"/>
      <w:color w:val="3A4646"/>
      <w:sz w:val="21"/>
      <w:szCs w:val="21"/>
      <w:lang w:val="es-ES"/>
    </w:rPr>
  </w:style>
  <w:style w:type="paragraph" w:customStyle="1" w:styleId="fotoizquierda2">
    <w:name w:val="foto_izquierda2"/>
    <w:basedOn w:val="Normal"/>
    <w:uiPriority w:val="99"/>
    <w:rsid w:val="00DF710D"/>
    <w:rPr>
      <w:rFonts w:ascii="Georgia, Times" w:eastAsia="Times New Roman" w:hAnsi="Georgia, Times"/>
      <w:color w:val="3A4646"/>
      <w:sz w:val="21"/>
      <w:szCs w:val="21"/>
      <w:lang w:val="es-ES"/>
    </w:rPr>
  </w:style>
  <w:style w:type="paragraph" w:customStyle="1" w:styleId="fotocentro">
    <w:name w:val="foto_centro"/>
    <w:basedOn w:val="Normal"/>
    <w:uiPriority w:val="99"/>
    <w:rsid w:val="00DF710D"/>
    <w:pPr>
      <w:spacing w:before="100" w:beforeAutospacing="1" w:after="100" w:afterAutospacing="1"/>
      <w:jc w:val="center"/>
    </w:pPr>
    <w:rPr>
      <w:rFonts w:ascii="Georgia, Times" w:eastAsia="Times New Roman" w:hAnsi="Georgia, Times"/>
      <w:color w:val="3A4646"/>
      <w:sz w:val="21"/>
      <w:szCs w:val="21"/>
      <w:lang w:val="es-ES"/>
    </w:rPr>
  </w:style>
  <w:style w:type="paragraph" w:customStyle="1" w:styleId="separacionart">
    <w:name w:val="separacion_art"/>
    <w:basedOn w:val="Normal"/>
    <w:uiPriority w:val="99"/>
    <w:rsid w:val="00DF710D"/>
    <w:pPr>
      <w:spacing w:before="150" w:after="150"/>
    </w:pPr>
    <w:rPr>
      <w:rFonts w:ascii="Georgia, Times" w:eastAsia="Times New Roman" w:hAnsi="Georgia, Times"/>
      <w:color w:val="3A4646"/>
      <w:sz w:val="21"/>
      <w:szCs w:val="21"/>
      <w:lang w:val="es-ES"/>
    </w:rPr>
  </w:style>
  <w:style w:type="paragraph" w:customStyle="1" w:styleId="separacionlinkfooter">
    <w:name w:val="separacion_link_footer"/>
    <w:basedOn w:val="Normal"/>
    <w:uiPriority w:val="99"/>
    <w:rsid w:val="00DF710D"/>
    <w:pPr>
      <w:ind w:left="750" w:right="750"/>
    </w:pPr>
    <w:rPr>
      <w:rFonts w:ascii="Georgia, Times" w:eastAsia="Times New Roman" w:hAnsi="Georgia, Times"/>
      <w:color w:val="3A4646"/>
      <w:sz w:val="21"/>
      <w:szCs w:val="21"/>
      <w:lang w:val="es-ES"/>
    </w:rPr>
  </w:style>
  <w:style w:type="paragraph" w:customStyle="1" w:styleId="texto25blanco">
    <w:name w:val="texto_25_blanco"/>
    <w:basedOn w:val="Normal"/>
    <w:uiPriority w:val="99"/>
    <w:rsid w:val="00DF710D"/>
    <w:rPr>
      <w:rFonts w:ascii="Georgia, Times, serif" w:eastAsia="Times New Roman" w:hAnsi="Georgia, Times, serif"/>
      <w:color w:val="FFFFFF"/>
      <w:sz w:val="38"/>
      <w:szCs w:val="38"/>
      <w:lang w:val="es-ES"/>
    </w:rPr>
  </w:style>
  <w:style w:type="paragraph" w:customStyle="1" w:styleId="texto18blanco">
    <w:name w:val="texto_18_blanco"/>
    <w:basedOn w:val="Normal"/>
    <w:uiPriority w:val="99"/>
    <w:rsid w:val="00DF710D"/>
    <w:pPr>
      <w:spacing w:before="150" w:after="150"/>
      <w:ind w:left="150" w:right="150"/>
    </w:pPr>
    <w:rPr>
      <w:rFonts w:ascii="Georgia, Times" w:eastAsia="Times New Roman" w:hAnsi="Georgia, Times"/>
      <w:color w:val="FFFFFF"/>
      <w:sz w:val="27"/>
      <w:szCs w:val="27"/>
      <w:lang w:val="es-ES"/>
    </w:rPr>
  </w:style>
  <w:style w:type="paragraph" w:customStyle="1" w:styleId="texto14blanco">
    <w:name w:val="texto_14_blanco"/>
    <w:basedOn w:val="Normal"/>
    <w:uiPriority w:val="99"/>
    <w:rsid w:val="00DF710D"/>
    <w:rPr>
      <w:rFonts w:ascii="Georgia, Times" w:eastAsia="Times New Roman" w:hAnsi="Georgia, Times"/>
      <w:color w:val="FFFFFF"/>
      <w:sz w:val="21"/>
      <w:szCs w:val="21"/>
      <w:lang w:val="es-ES"/>
    </w:rPr>
  </w:style>
  <w:style w:type="paragraph" w:customStyle="1" w:styleId="texto14azul">
    <w:name w:val="texto_14_azul"/>
    <w:basedOn w:val="Normal"/>
    <w:uiPriority w:val="99"/>
    <w:rsid w:val="00DF710D"/>
    <w:rPr>
      <w:rFonts w:ascii="Georgia, Times" w:eastAsia="Times New Roman" w:hAnsi="Georgia, Times"/>
      <w:color w:val="105586"/>
      <w:sz w:val="21"/>
      <w:szCs w:val="21"/>
      <w:lang w:val="es-ES"/>
    </w:rPr>
  </w:style>
  <w:style w:type="paragraph" w:customStyle="1" w:styleId="texto14blancoizq">
    <w:name w:val="texto_14_blanco_izq"/>
    <w:basedOn w:val="Normal"/>
    <w:uiPriority w:val="99"/>
    <w:rsid w:val="00DF710D"/>
    <w:rPr>
      <w:rFonts w:ascii="Georgia, Times" w:eastAsia="Times New Roman" w:hAnsi="Georgia, Times"/>
      <w:color w:val="FFFFFF"/>
      <w:sz w:val="21"/>
      <w:szCs w:val="21"/>
      <w:lang w:val="es-ES"/>
    </w:rPr>
  </w:style>
  <w:style w:type="paragraph" w:customStyle="1" w:styleId="titprinhome">
    <w:name w:val="tit_prin_home"/>
    <w:basedOn w:val="Normal"/>
    <w:uiPriority w:val="99"/>
    <w:rsid w:val="00DF710D"/>
    <w:rPr>
      <w:rFonts w:ascii="Georgia, Times" w:eastAsia="Times New Roman" w:hAnsi="Georgia, Times"/>
      <w:color w:val="3A4646"/>
      <w:sz w:val="21"/>
      <w:szCs w:val="21"/>
      <w:lang w:val="es-ES"/>
    </w:rPr>
  </w:style>
  <w:style w:type="paragraph" w:customStyle="1" w:styleId="tit18blanco">
    <w:name w:val="tit_18_blanco"/>
    <w:basedOn w:val="Normal"/>
    <w:uiPriority w:val="99"/>
    <w:rsid w:val="00DF710D"/>
    <w:pPr>
      <w:jc w:val="center"/>
    </w:pPr>
    <w:rPr>
      <w:rFonts w:ascii="Georgia, Times" w:eastAsia="Times New Roman" w:hAnsi="Georgia, Times"/>
      <w:color w:val="FFFFFF"/>
      <w:sz w:val="27"/>
      <w:szCs w:val="27"/>
      <w:lang w:val="es-ES"/>
    </w:rPr>
  </w:style>
  <w:style w:type="paragraph" w:customStyle="1" w:styleId="logotipo">
    <w:name w:val="logotipo"/>
    <w:basedOn w:val="Normal"/>
    <w:uiPriority w:val="99"/>
    <w:rsid w:val="00DF710D"/>
    <w:pPr>
      <w:spacing w:before="100" w:beforeAutospacing="1" w:after="100" w:afterAutospacing="1"/>
    </w:pPr>
    <w:rPr>
      <w:rFonts w:ascii="Georgia, Times" w:eastAsia="Times New Roman" w:hAnsi="Georgia, Times"/>
      <w:color w:val="3A4646"/>
      <w:sz w:val="21"/>
      <w:szCs w:val="21"/>
      <w:lang w:val="es-ES"/>
    </w:rPr>
  </w:style>
  <w:style w:type="paragraph" w:customStyle="1" w:styleId="botonera">
    <w:name w:val="botonera"/>
    <w:basedOn w:val="Normal"/>
    <w:uiPriority w:val="99"/>
    <w:rsid w:val="00DF710D"/>
    <w:pPr>
      <w:spacing w:before="100" w:beforeAutospacing="1" w:after="100" w:afterAutospacing="1"/>
    </w:pPr>
    <w:rPr>
      <w:rFonts w:ascii="Georgia, Times" w:eastAsia="Times New Roman" w:hAnsi="Georgia, Times"/>
      <w:color w:val="3A4646"/>
      <w:sz w:val="21"/>
      <w:szCs w:val="21"/>
      <w:lang w:val="es-ES"/>
    </w:rPr>
  </w:style>
  <w:style w:type="paragraph" w:customStyle="1" w:styleId="contenedorhome">
    <w:name w:val="contenedor_home"/>
    <w:basedOn w:val="Normal"/>
    <w:uiPriority w:val="99"/>
    <w:rsid w:val="00DF710D"/>
    <w:pPr>
      <w:spacing w:before="100" w:beforeAutospacing="1" w:after="100" w:afterAutospacing="1"/>
    </w:pPr>
    <w:rPr>
      <w:rFonts w:ascii="Georgia, Times" w:eastAsia="Times New Roman" w:hAnsi="Georgia, Times"/>
      <w:color w:val="3A4646"/>
      <w:sz w:val="21"/>
      <w:szCs w:val="21"/>
      <w:lang w:val="es-ES"/>
    </w:rPr>
  </w:style>
  <w:style w:type="paragraph" w:customStyle="1" w:styleId="menuderecho">
    <w:name w:val="menu_derecho"/>
    <w:basedOn w:val="Normal"/>
    <w:uiPriority w:val="99"/>
    <w:rsid w:val="00DF710D"/>
    <w:pPr>
      <w:spacing w:before="150"/>
    </w:pPr>
    <w:rPr>
      <w:rFonts w:ascii="Georgia, Times" w:eastAsia="Times New Roman" w:hAnsi="Georgia, Times"/>
      <w:color w:val="3A4646"/>
      <w:sz w:val="21"/>
      <w:szCs w:val="21"/>
      <w:lang w:val="es-ES"/>
    </w:rPr>
  </w:style>
  <w:style w:type="paragraph" w:customStyle="1" w:styleId="menuizquierdo">
    <w:name w:val="menu_izquierdo"/>
    <w:basedOn w:val="Normal"/>
    <w:uiPriority w:val="99"/>
    <w:rsid w:val="00DF710D"/>
    <w:pPr>
      <w:spacing w:before="150"/>
    </w:pPr>
    <w:rPr>
      <w:rFonts w:ascii="Georgia, Times" w:eastAsia="Times New Roman" w:hAnsi="Georgia, Times"/>
      <w:color w:val="3A4646"/>
      <w:sz w:val="21"/>
      <w:szCs w:val="21"/>
      <w:lang w:val="es-ES"/>
    </w:rPr>
  </w:style>
  <w:style w:type="paragraph" w:customStyle="1" w:styleId="despliegues">
    <w:name w:val="despliegues"/>
    <w:basedOn w:val="Normal"/>
    <w:uiPriority w:val="99"/>
    <w:rsid w:val="00DF710D"/>
    <w:pPr>
      <w:spacing w:before="150"/>
    </w:pPr>
    <w:rPr>
      <w:rFonts w:ascii="Georgia, Times" w:eastAsia="Times New Roman" w:hAnsi="Georgia, Times"/>
      <w:color w:val="3A4646"/>
      <w:sz w:val="21"/>
      <w:szCs w:val="21"/>
      <w:lang w:val="es-ES"/>
    </w:rPr>
  </w:style>
  <w:style w:type="paragraph" w:customStyle="1" w:styleId="desplieguesinternos">
    <w:name w:val="despliegues_internos"/>
    <w:basedOn w:val="Normal"/>
    <w:uiPriority w:val="99"/>
    <w:rsid w:val="00DF710D"/>
    <w:rPr>
      <w:rFonts w:ascii="Georgia, Times" w:eastAsia="Times New Roman" w:hAnsi="Georgia, Times"/>
      <w:color w:val="3A4646"/>
      <w:sz w:val="21"/>
      <w:szCs w:val="21"/>
      <w:lang w:val="es-ES"/>
    </w:rPr>
  </w:style>
  <w:style w:type="paragraph" w:customStyle="1" w:styleId="tablaranking">
    <w:name w:val="tabla_ranking"/>
    <w:basedOn w:val="Normal"/>
    <w:uiPriority w:val="99"/>
    <w:rsid w:val="00DF710D"/>
    <w:rPr>
      <w:rFonts w:ascii="Georgia, Times" w:eastAsia="Times New Roman" w:hAnsi="Georgia, Times"/>
      <w:color w:val="3A4646"/>
      <w:sz w:val="21"/>
      <w:szCs w:val="21"/>
      <w:lang w:val="es-ES"/>
    </w:rPr>
  </w:style>
  <w:style w:type="paragraph" w:customStyle="1" w:styleId="tablatits">
    <w:name w:val="tabla_tits"/>
    <w:basedOn w:val="Normal"/>
    <w:uiPriority w:val="99"/>
    <w:rsid w:val="00DF710D"/>
    <w:pPr>
      <w:shd w:val="clear" w:color="auto" w:fill="ABCBDA"/>
      <w:jc w:val="center"/>
    </w:pPr>
    <w:rPr>
      <w:rFonts w:ascii="Arial" w:eastAsia="Times New Roman" w:hAnsi="Arial" w:cs="Arial"/>
      <w:b/>
      <w:bCs/>
      <w:color w:val="3A4646"/>
      <w:sz w:val="17"/>
      <w:szCs w:val="17"/>
      <w:lang w:val="es-ES"/>
    </w:rPr>
  </w:style>
  <w:style w:type="paragraph" w:customStyle="1" w:styleId="lineaclara">
    <w:name w:val="linea_clara"/>
    <w:basedOn w:val="Normal"/>
    <w:uiPriority w:val="99"/>
    <w:rsid w:val="00DF710D"/>
    <w:pPr>
      <w:shd w:val="clear" w:color="auto" w:fill="E5EEF3"/>
    </w:pPr>
    <w:rPr>
      <w:rFonts w:ascii="Georgia, Times" w:eastAsia="Times New Roman" w:hAnsi="Georgia, Times"/>
      <w:color w:val="3A4646"/>
      <w:sz w:val="21"/>
      <w:szCs w:val="21"/>
      <w:lang w:val="es-ES"/>
    </w:rPr>
  </w:style>
  <w:style w:type="paragraph" w:customStyle="1" w:styleId="lineaclararight">
    <w:name w:val="linea_clara_right"/>
    <w:basedOn w:val="Normal"/>
    <w:uiPriority w:val="99"/>
    <w:rsid w:val="00DF710D"/>
    <w:pPr>
      <w:shd w:val="clear" w:color="auto" w:fill="E5EEF3"/>
      <w:jc w:val="right"/>
    </w:pPr>
    <w:rPr>
      <w:rFonts w:ascii="Georgia, Times" w:eastAsia="Times New Roman" w:hAnsi="Georgia, Times"/>
      <w:color w:val="3A4646"/>
      <w:sz w:val="21"/>
      <w:szCs w:val="21"/>
      <w:lang w:val="es-ES"/>
    </w:rPr>
  </w:style>
  <w:style w:type="paragraph" w:customStyle="1" w:styleId="submenurankings">
    <w:name w:val="submenu_rankings"/>
    <w:basedOn w:val="Normal"/>
    <w:uiPriority w:val="99"/>
    <w:rsid w:val="00DF710D"/>
    <w:pPr>
      <w:spacing w:after="300"/>
    </w:pPr>
    <w:rPr>
      <w:rFonts w:ascii="Georgia, Times" w:eastAsia="Times New Roman" w:hAnsi="Georgia, Times"/>
      <w:color w:val="3A4646"/>
      <w:sz w:val="21"/>
      <w:szCs w:val="21"/>
      <w:lang w:val="es-ES"/>
    </w:rPr>
  </w:style>
  <w:style w:type="paragraph" w:customStyle="1" w:styleId="imagenprincipal">
    <w:name w:val="imagen_principal"/>
    <w:basedOn w:val="Normal"/>
    <w:uiPriority w:val="99"/>
    <w:rsid w:val="00DF710D"/>
    <w:rPr>
      <w:rFonts w:ascii="Georgia, Times" w:eastAsia="Times New Roman" w:hAnsi="Georgia, Times"/>
      <w:color w:val="3A4646"/>
      <w:sz w:val="21"/>
      <w:szCs w:val="21"/>
      <w:lang w:val="es-ES"/>
    </w:rPr>
  </w:style>
  <w:style w:type="paragraph" w:customStyle="1" w:styleId="artprincipal">
    <w:name w:val="art_principal"/>
    <w:basedOn w:val="Normal"/>
    <w:uiPriority w:val="99"/>
    <w:rsid w:val="00DF710D"/>
    <w:pPr>
      <w:spacing w:before="450"/>
    </w:pPr>
    <w:rPr>
      <w:rFonts w:ascii="Georgia, Times" w:eastAsia="Times New Roman" w:hAnsi="Georgia, Times"/>
      <w:color w:val="3A4646"/>
      <w:sz w:val="21"/>
      <w:szCs w:val="21"/>
      <w:lang w:val="es-ES"/>
    </w:rPr>
  </w:style>
  <w:style w:type="paragraph" w:customStyle="1" w:styleId="artsecundario">
    <w:name w:val="art_secundario"/>
    <w:basedOn w:val="Normal"/>
    <w:uiPriority w:val="99"/>
    <w:rsid w:val="00DF710D"/>
    <w:pPr>
      <w:spacing w:before="450"/>
      <w:ind w:left="300"/>
    </w:pPr>
    <w:rPr>
      <w:rFonts w:ascii="Georgia, Times" w:eastAsia="Times New Roman" w:hAnsi="Georgia, Times"/>
      <w:color w:val="3A4646"/>
      <w:sz w:val="21"/>
      <w:szCs w:val="21"/>
      <w:lang w:val="es-ES"/>
    </w:rPr>
  </w:style>
  <w:style w:type="paragraph" w:customStyle="1" w:styleId="cajaranking">
    <w:name w:val="caja_ranking"/>
    <w:basedOn w:val="Normal"/>
    <w:uiPriority w:val="99"/>
    <w:rsid w:val="00DF710D"/>
    <w:pPr>
      <w:shd w:val="clear" w:color="auto" w:fill="FFFFFF"/>
      <w:spacing w:after="150"/>
    </w:pPr>
    <w:rPr>
      <w:rFonts w:ascii="Georgia, Times" w:eastAsia="Times New Roman" w:hAnsi="Georgia, Times"/>
      <w:color w:val="3A4646"/>
      <w:sz w:val="21"/>
      <w:szCs w:val="21"/>
      <w:lang w:val="es-ES"/>
    </w:rPr>
  </w:style>
  <w:style w:type="paragraph" w:customStyle="1" w:styleId="titrankinghome">
    <w:name w:val="tit_ranking_home"/>
    <w:basedOn w:val="Normal"/>
    <w:uiPriority w:val="99"/>
    <w:rsid w:val="00DF710D"/>
    <w:pPr>
      <w:pBdr>
        <w:bottom w:val="dotted" w:sz="6" w:space="0" w:color="105586"/>
      </w:pBdr>
    </w:pPr>
    <w:rPr>
      <w:rFonts w:ascii="Georgia, Times" w:eastAsia="Times New Roman" w:hAnsi="Georgia, Times"/>
      <w:color w:val="105586"/>
      <w:sz w:val="27"/>
      <w:szCs w:val="27"/>
      <w:lang w:val="es-ES"/>
    </w:rPr>
  </w:style>
  <w:style w:type="paragraph" w:customStyle="1" w:styleId="titotrosrankings">
    <w:name w:val="tit_otros_rankings"/>
    <w:basedOn w:val="Normal"/>
    <w:uiPriority w:val="99"/>
    <w:rsid w:val="00DF710D"/>
    <w:pPr>
      <w:pBdr>
        <w:bottom w:val="dotted" w:sz="6" w:space="0" w:color="105586"/>
      </w:pBdr>
      <w:spacing w:after="75"/>
    </w:pPr>
    <w:rPr>
      <w:rFonts w:ascii="Georgia, Times" w:eastAsia="Times New Roman" w:hAnsi="Georgia, Times"/>
      <w:color w:val="105586"/>
      <w:lang w:val="es-ES"/>
    </w:rPr>
  </w:style>
  <w:style w:type="paragraph" w:customStyle="1" w:styleId="titgraficoshome">
    <w:name w:val="tit_graficos_home"/>
    <w:basedOn w:val="Normal"/>
    <w:uiPriority w:val="99"/>
    <w:rsid w:val="00DF710D"/>
    <w:pPr>
      <w:pBdr>
        <w:bottom w:val="dotted" w:sz="6" w:space="0" w:color="FFFFFF"/>
      </w:pBdr>
      <w:spacing w:after="150"/>
    </w:pPr>
    <w:rPr>
      <w:rFonts w:ascii="Georgia, Times" w:eastAsia="Times New Roman" w:hAnsi="Georgia, Times"/>
      <w:color w:val="FFFFFF"/>
      <w:sz w:val="33"/>
      <w:szCs w:val="33"/>
      <w:lang w:val="es-ES"/>
    </w:rPr>
  </w:style>
  <w:style w:type="paragraph" w:customStyle="1" w:styleId="cajaarticulos">
    <w:name w:val="caja_articulos"/>
    <w:basedOn w:val="Normal"/>
    <w:uiPriority w:val="99"/>
    <w:rsid w:val="00DF710D"/>
    <w:rPr>
      <w:rFonts w:ascii="Georgia, Times" w:eastAsia="Times New Roman" w:hAnsi="Georgia, Times"/>
      <w:color w:val="3A4646"/>
      <w:sz w:val="21"/>
      <w:szCs w:val="21"/>
      <w:lang w:val="es-ES"/>
    </w:rPr>
  </w:style>
  <w:style w:type="paragraph" w:customStyle="1" w:styleId="footercent">
    <w:name w:val="footer_cent"/>
    <w:basedOn w:val="Normal"/>
    <w:uiPriority w:val="99"/>
    <w:rsid w:val="00DF710D"/>
    <w:pPr>
      <w:spacing w:before="100" w:beforeAutospacing="1" w:after="100" w:afterAutospacing="1"/>
    </w:pPr>
    <w:rPr>
      <w:rFonts w:ascii="Georgia, Times" w:eastAsia="Times New Roman" w:hAnsi="Georgia, Times"/>
      <w:color w:val="3A4646"/>
      <w:sz w:val="21"/>
      <w:szCs w:val="21"/>
      <w:lang w:val="es-ES"/>
    </w:rPr>
  </w:style>
  <w:style w:type="paragraph" w:customStyle="1" w:styleId="top">
    <w:name w:val="top"/>
    <w:basedOn w:val="Normal"/>
    <w:uiPriority w:val="99"/>
    <w:rsid w:val="00DF710D"/>
    <w:rPr>
      <w:rFonts w:ascii="Georgia, Times" w:eastAsia="Times New Roman" w:hAnsi="Georgia, Times"/>
      <w:color w:val="3A4646"/>
      <w:sz w:val="21"/>
      <w:szCs w:val="21"/>
      <w:lang w:val="es-ES"/>
    </w:rPr>
  </w:style>
  <w:style w:type="paragraph" w:customStyle="1" w:styleId="cent">
    <w:name w:val="cent"/>
    <w:basedOn w:val="Normal"/>
    <w:uiPriority w:val="99"/>
    <w:rsid w:val="00DF710D"/>
    <w:rPr>
      <w:rFonts w:ascii="Georgia, Times" w:eastAsia="Times New Roman" w:hAnsi="Georgia, Times"/>
      <w:color w:val="3A4646"/>
      <w:sz w:val="21"/>
      <w:szCs w:val="21"/>
      <w:lang w:val="es-ES"/>
    </w:rPr>
  </w:style>
  <w:style w:type="paragraph" w:customStyle="1" w:styleId="bot">
    <w:name w:val="bot"/>
    <w:basedOn w:val="Normal"/>
    <w:uiPriority w:val="99"/>
    <w:rsid w:val="00DF710D"/>
    <w:rPr>
      <w:rFonts w:ascii="Georgia, Times" w:eastAsia="Times New Roman" w:hAnsi="Georgia, Times"/>
      <w:color w:val="3A4646"/>
      <w:sz w:val="21"/>
      <w:szCs w:val="21"/>
      <w:lang w:val="es-ES"/>
    </w:rPr>
  </w:style>
  <w:style w:type="paragraph" w:customStyle="1" w:styleId="footeraccdirectos">
    <w:name w:val="footer_acc_directos"/>
    <w:basedOn w:val="Normal"/>
    <w:uiPriority w:val="99"/>
    <w:rsid w:val="00DF710D"/>
    <w:rPr>
      <w:rFonts w:ascii="Georgia, Times" w:eastAsia="Times New Roman" w:hAnsi="Georgia, Times"/>
      <w:color w:val="3A4646"/>
      <w:sz w:val="21"/>
      <w:szCs w:val="21"/>
      <w:lang w:val="es-ES"/>
    </w:rPr>
  </w:style>
  <w:style w:type="paragraph" w:customStyle="1" w:styleId="logoaefooter">
    <w:name w:val="logo_ae_footer"/>
    <w:basedOn w:val="Normal"/>
    <w:uiPriority w:val="99"/>
    <w:rsid w:val="00DF710D"/>
    <w:rPr>
      <w:rFonts w:ascii="Georgia, Times" w:eastAsia="Times New Roman" w:hAnsi="Georgia, Times"/>
      <w:color w:val="3A4646"/>
      <w:sz w:val="21"/>
      <w:szCs w:val="21"/>
      <w:lang w:val="es-ES"/>
    </w:rPr>
  </w:style>
  <w:style w:type="paragraph" w:customStyle="1" w:styleId="top1">
    <w:name w:val="top1"/>
    <w:basedOn w:val="Normal"/>
    <w:uiPriority w:val="99"/>
    <w:rsid w:val="00DF710D"/>
    <w:rPr>
      <w:rFonts w:ascii="Georgia, Times" w:eastAsia="Times New Roman" w:hAnsi="Georgia, Times"/>
      <w:color w:val="3A4646"/>
      <w:sz w:val="21"/>
      <w:szCs w:val="21"/>
      <w:lang w:val="es-ES"/>
    </w:rPr>
  </w:style>
  <w:style w:type="paragraph" w:customStyle="1" w:styleId="cent1">
    <w:name w:val="cent1"/>
    <w:basedOn w:val="Normal"/>
    <w:uiPriority w:val="99"/>
    <w:rsid w:val="00DF710D"/>
    <w:rPr>
      <w:rFonts w:ascii="Georgia, Times" w:eastAsia="Times New Roman" w:hAnsi="Georgia, Times"/>
      <w:color w:val="3A4646"/>
      <w:sz w:val="21"/>
      <w:szCs w:val="21"/>
      <w:lang w:val="es-ES"/>
    </w:rPr>
  </w:style>
  <w:style w:type="paragraph" w:customStyle="1" w:styleId="bot1">
    <w:name w:val="bot1"/>
    <w:basedOn w:val="Normal"/>
    <w:uiPriority w:val="99"/>
    <w:rsid w:val="00DF710D"/>
    <w:rPr>
      <w:rFonts w:ascii="Georgia, Times" w:eastAsia="Times New Roman" w:hAnsi="Georgia, Times"/>
      <w:color w:val="3A4646"/>
      <w:sz w:val="21"/>
      <w:szCs w:val="21"/>
      <w:lang w:val="es-ES"/>
    </w:rPr>
  </w:style>
  <w:style w:type="paragraph" w:customStyle="1" w:styleId="footeraccdirectos1">
    <w:name w:val="footer_acc_directos1"/>
    <w:basedOn w:val="Normal"/>
    <w:uiPriority w:val="99"/>
    <w:rsid w:val="00DF710D"/>
    <w:pPr>
      <w:pBdr>
        <w:top w:val="dotted" w:sz="6" w:space="4" w:color="FFFFFF"/>
        <w:bottom w:val="dotted" w:sz="6" w:space="4" w:color="FFFFFF"/>
      </w:pBdr>
    </w:pPr>
    <w:rPr>
      <w:rFonts w:ascii="Georgia, Times" w:eastAsia="Times New Roman" w:hAnsi="Georgia, Times"/>
      <w:color w:val="3A4646"/>
      <w:sz w:val="21"/>
      <w:szCs w:val="21"/>
      <w:lang w:val="es-ES"/>
    </w:rPr>
  </w:style>
  <w:style w:type="paragraph" w:customStyle="1" w:styleId="logoaefooter1">
    <w:name w:val="logo_ae_footer1"/>
    <w:basedOn w:val="Normal"/>
    <w:uiPriority w:val="99"/>
    <w:rsid w:val="00DF710D"/>
    <w:pPr>
      <w:jc w:val="right"/>
    </w:pPr>
    <w:rPr>
      <w:rFonts w:ascii="Georgia, Times" w:eastAsia="Times New Roman" w:hAnsi="Georgia, Times"/>
      <w:color w:val="3A4646"/>
      <w:sz w:val="21"/>
      <w:szCs w:val="21"/>
      <w:lang w:val="es-ES"/>
    </w:rPr>
  </w:style>
  <w:style w:type="table" w:customStyle="1" w:styleId="Tablaconcuadrcula1420">
    <w:name w:val="Tabla con cuadrícula 142"/>
    <w:basedOn w:val="Tablanormal"/>
    <w:next w:val="Tablaconcuadrcula10"/>
    <w:rsid w:val="00DF710D"/>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64">
    <w:name w:val="Tabla con cuadrícula364"/>
    <w:basedOn w:val="Tablanormal"/>
    <w:next w:val="Tablaconcuadrcula"/>
    <w:rsid w:val="00E7411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7">
    <w:name w:val="Sin lista237"/>
    <w:next w:val="Sinlista"/>
    <w:semiHidden/>
    <w:rsid w:val="000811A3"/>
  </w:style>
  <w:style w:type="table" w:customStyle="1" w:styleId="Tablaconcuadrcula365">
    <w:name w:val="Tabla con cuadrícula365"/>
    <w:basedOn w:val="Tablanormal"/>
    <w:next w:val="Tablaconcuadrcula"/>
    <w:rsid w:val="000811A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6">
    <w:name w:val="Tabla con cuadrícula366"/>
    <w:basedOn w:val="Tablanormal"/>
    <w:next w:val="Tablaconcuadrcula"/>
    <w:rsid w:val="006C7C1A"/>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38">
    <w:name w:val="Sin lista238"/>
    <w:next w:val="Sinlista"/>
    <w:semiHidden/>
    <w:rsid w:val="00917A53"/>
  </w:style>
  <w:style w:type="table" w:customStyle="1" w:styleId="Tablaconcuadrcula367">
    <w:name w:val="Tabla con cuadrícula367"/>
    <w:basedOn w:val="Tablanormal"/>
    <w:next w:val="Tablaconcuadrcula"/>
    <w:rsid w:val="001B52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8">
    <w:name w:val="Tabla con cuadrícula368"/>
    <w:basedOn w:val="Tablanormal"/>
    <w:next w:val="Tablaconcuadrcula"/>
    <w:rsid w:val="000A00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9">
    <w:name w:val="Tabla con cuadrícula369"/>
    <w:basedOn w:val="Tablanormal"/>
    <w:next w:val="Tablaconcuadrcula"/>
    <w:rsid w:val="009704E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9">
    <w:name w:val="Sin lista239"/>
    <w:next w:val="Sinlista"/>
    <w:semiHidden/>
    <w:rsid w:val="003A1963"/>
  </w:style>
  <w:style w:type="table" w:customStyle="1" w:styleId="Tablaconcuadrcula370">
    <w:name w:val="Tabla con cuadrícula370"/>
    <w:basedOn w:val="Tablanormal"/>
    <w:next w:val="Tablaconcuadrcula"/>
    <w:rsid w:val="00B94D6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1">
    <w:name w:val="Tabla con cuadrícula371"/>
    <w:basedOn w:val="Tablanormal"/>
    <w:next w:val="Tablaconcuadrcula"/>
    <w:rsid w:val="00A44BA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0">
    <w:name w:val="Sin lista240"/>
    <w:next w:val="Sinlista"/>
    <w:semiHidden/>
    <w:rsid w:val="006F0382"/>
  </w:style>
  <w:style w:type="character" w:customStyle="1" w:styleId="mediumtext1">
    <w:name w:val="medium_text1"/>
    <w:basedOn w:val="Fuentedeprrafopredeter"/>
    <w:rsid w:val="006F0382"/>
    <w:rPr>
      <w:sz w:val="16"/>
      <w:szCs w:val="16"/>
    </w:rPr>
  </w:style>
  <w:style w:type="table" w:customStyle="1" w:styleId="Tablaconcuadrcula372">
    <w:name w:val="Tabla con cuadrícula372"/>
    <w:basedOn w:val="Tablanormal"/>
    <w:next w:val="Tablaconcuadrcula"/>
    <w:rsid w:val="006F03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3">
    <w:name w:val="Tabla con cuadrícula373"/>
    <w:basedOn w:val="Tablanormal"/>
    <w:next w:val="Tablaconcuadrcula"/>
    <w:rsid w:val="00C20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4">
    <w:name w:val="Tabla con cuadrícula374"/>
    <w:basedOn w:val="Tablanormal"/>
    <w:next w:val="Tablaconcuadrcula"/>
    <w:rsid w:val="001A12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5">
    <w:name w:val="Tabla con cuadrícula375"/>
    <w:basedOn w:val="Tablanormal"/>
    <w:next w:val="Tablaconcuadrcula"/>
    <w:rsid w:val="001341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30">
    <w:name w:val="Tabla con cuadrícula 143"/>
    <w:basedOn w:val="Tablanormal"/>
    <w:next w:val="Tablaconcuadrcula10"/>
    <w:rsid w:val="0013418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40">
    <w:name w:val="Tabla con cuadrícula 144"/>
    <w:basedOn w:val="Tablanormal"/>
    <w:next w:val="Tablaconcuadrcula10"/>
    <w:rsid w:val="00B6768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76">
    <w:name w:val="Tabla con cuadrícula376"/>
    <w:basedOn w:val="Tablanormal"/>
    <w:next w:val="Tablaconcuadrcula"/>
    <w:rsid w:val="008A5E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4">
    <w:name w:val="Sin lista244"/>
    <w:next w:val="Sinlista"/>
    <w:semiHidden/>
    <w:rsid w:val="002B023C"/>
  </w:style>
  <w:style w:type="paragraph" w:customStyle="1" w:styleId="bajada">
    <w:name w:val="bajada"/>
    <w:basedOn w:val="Normal"/>
    <w:uiPriority w:val="99"/>
    <w:rsid w:val="002B023C"/>
    <w:pPr>
      <w:spacing w:after="150" w:line="288" w:lineRule="auto"/>
    </w:pPr>
    <w:rPr>
      <w:rFonts w:eastAsia="Times New Roman"/>
      <w:b/>
      <w:bCs/>
      <w:sz w:val="23"/>
      <w:szCs w:val="23"/>
      <w:lang w:val="es-ES"/>
    </w:rPr>
  </w:style>
  <w:style w:type="table" w:customStyle="1" w:styleId="Tablaconcuadrcula1450">
    <w:name w:val="Tabla con cuadrícula 145"/>
    <w:basedOn w:val="Tablanormal"/>
    <w:next w:val="Tablaconcuadrcula10"/>
    <w:rsid w:val="002B023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77">
    <w:name w:val="Tabla con cuadrícula377"/>
    <w:basedOn w:val="Tablanormal"/>
    <w:next w:val="Tablaconcuadrcula"/>
    <w:rsid w:val="002B023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ro">
    <w:name w:val="intro"/>
    <w:basedOn w:val="Normal"/>
    <w:rsid w:val="002B023C"/>
    <w:pPr>
      <w:spacing w:after="150" w:line="288" w:lineRule="auto"/>
    </w:pPr>
    <w:rPr>
      <w:rFonts w:eastAsia="Times New Roman"/>
      <w:sz w:val="23"/>
      <w:szCs w:val="23"/>
      <w:lang w:val="es-ES"/>
    </w:rPr>
  </w:style>
  <w:style w:type="paragraph" w:customStyle="1" w:styleId="futbol">
    <w:name w:val="futbol"/>
    <w:basedOn w:val="Normal"/>
    <w:uiPriority w:val="99"/>
    <w:rsid w:val="002B023C"/>
    <w:pPr>
      <w:pBdr>
        <w:top w:val="single" w:sz="6" w:space="4" w:color="C2C1A5"/>
        <w:left w:val="single" w:sz="6" w:space="4" w:color="C2C1A5"/>
        <w:bottom w:val="single" w:sz="6" w:space="4" w:color="C2C1A5"/>
        <w:right w:val="single" w:sz="6" w:space="4" w:color="C2C1A5"/>
      </w:pBdr>
      <w:shd w:val="clear" w:color="auto" w:fill="F4EBD2"/>
      <w:spacing w:before="300" w:line="288" w:lineRule="auto"/>
      <w:ind w:left="300"/>
    </w:pPr>
    <w:rPr>
      <w:rFonts w:eastAsia="Times New Roman"/>
      <w:sz w:val="23"/>
      <w:szCs w:val="23"/>
      <w:lang w:val="es-ES"/>
    </w:rPr>
  </w:style>
  <w:style w:type="paragraph" w:customStyle="1" w:styleId="referencias">
    <w:name w:val="referencias"/>
    <w:basedOn w:val="Normal"/>
    <w:uiPriority w:val="99"/>
    <w:rsid w:val="002B023C"/>
    <w:pPr>
      <w:pBdr>
        <w:top w:val="single" w:sz="6" w:space="2" w:color="CCCCCC"/>
        <w:left w:val="single" w:sz="6" w:space="2" w:color="CCCCCC"/>
        <w:bottom w:val="single" w:sz="6" w:space="2" w:color="CCCCCC"/>
        <w:right w:val="single" w:sz="6" w:space="2" w:color="CCCCCC"/>
      </w:pBdr>
      <w:shd w:val="clear" w:color="auto" w:fill="EFEFEF"/>
      <w:spacing w:before="150" w:after="150" w:line="288" w:lineRule="auto"/>
      <w:ind w:left="300" w:right="300"/>
    </w:pPr>
    <w:rPr>
      <w:rFonts w:eastAsia="Times New Roman"/>
      <w:sz w:val="20"/>
      <w:szCs w:val="20"/>
      <w:lang w:val="es-ES"/>
    </w:rPr>
  </w:style>
  <w:style w:type="paragraph" w:customStyle="1" w:styleId="destacado">
    <w:name w:val="destacado"/>
    <w:basedOn w:val="Normal"/>
    <w:uiPriority w:val="99"/>
    <w:rsid w:val="002B023C"/>
    <w:pPr>
      <w:pBdr>
        <w:top w:val="single" w:sz="18" w:space="4" w:color="999999"/>
        <w:bottom w:val="single" w:sz="18" w:space="4" w:color="999999"/>
      </w:pBdr>
      <w:spacing w:after="150" w:line="288" w:lineRule="auto"/>
    </w:pPr>
    <w:rPr>
      <w:rFonts w:eastAsia="Times New Roman"/>
      <w:sz w:val="23"/>
      <w:szCs w:val="23"/>
      <w:lang w:val="es-ES"/>
    </w:rPr>
  </w:style>
  <w:style w:type="paragraph" w:customStyle="1" w:styleId="align-iz">
    <w:name w:val="align-iz"/>
    <w:basedOn w:val="Normal"/>
    <w:uiPriority w:val="99"/>
    <w:rsid w:val="002B023C"/>
    <w:pPr>
      <w:spacing w:before="75" w:after="75" w:line="288" w:lineRule="auto"/>
      <w:ind w:right="150"/>
    </w:pPr>
    <w:rPr>
      <w:rFonts w:eastAsia="Times New Roman"/>
      <w:sz w:val="23"/>
      <w:szCs w:val="23"/>
      <w:lang w:val="es-ES"/>
    </w:rPr>
  </w:style>
  <w:style w:type="paragraph" w:customStyle="1" w:styleId="align-de">
    <w:name w:val="align-de"/>
    <w:basedOn w:val="Normal"/>
    <w:uiPriority w:val="99"/>
    <w:rsid w:val="002B023C"/>
    <w:pPr>
      <w:spacing w:before="75" w:after="75" w:line="288" w:lineRule="auto"/>
      <w:ind w:left="150"/>
    </w:pPr>
    <w:rPr>
      <w:rFonts w:eastAsia="Times New Roman"/>
      <w:sz w:val="23"/>
      <w:szCs w:val="23"/>
      <w:lang w:val="es-ES"/>
    </w:rPr>
  </w:style>
  <w:style w:type="paragraph" w:customStyle="1" w:styleId="actualice">
    <w:name w:val="actualice"/>
    <w:basedOn w:val="Normal"/>
    <w:uiPriority w:val="99"/>
    <w:rsid w:val="002B023C"/>
    <w:pPr>
      <w:pBdr>
        <w:top w:val="single" w:sz="6" w:space="4" w:color="999999"/>
        <w:left w:val="single" w:sz="6" w:space="4" w:color="999999"/>
        <w:bottom w:val="single" w:sz="6" w:space="4" w:color="999999"/>
        <w:right w:val="single" w:sz="6" w:space="4" w:color="999999"/>
      </w:pBdr>
      <w:shd w:val="clear" w:color="auto" w:fill="CCCCCC"/>
      <w:spacing w:before="150" w:after="150" w:line="288" w:lineRule="auto"/>
      <w:jc w:val="center"/>
    </w:pPr>
    <w:rPr>
      <w:rFonts w:eastAsia="Times New Roman"/>
      <w:sz w:val="23"/>
      <w:szCs w:val="23"/>
      <w:lang w:val="es-ES"/>
    </w:rPr>
  </w:style>
  <w:style w:type="paragraph" w:customStyle="1" w:styleId="tablaicur">
    <w:name w:val="tabla_icur"/>
    <w:basedOn w:val="Normal"/>
    <w:uiPriority w:val="99"/>
    <w:rsid w:val="002B023C"/>
    <w:pPr>
      <w:pBdr>
        <w:top w:val="single" w:sz="6" w:space="0" w:color="C2C1A5"/>
        <w:left w:val="single" w:sz="6" w:space="0" w:color="C2C1A5"/>
        <w:bottom w:val="single" w:sz="6" w:space="0" w:color="C2C1A5"/>
        <w:right w:val="single" w:sz="6" w:space="0" w:color="C2C1A5"/>
      </w:pBdr>
      <w:spacing w:before="225" w:after="225" w:line="288" w:lineRule="auto"/>
    </w:pPr>
    <w:rPr>
      <w:rFonts w:eastAsia="Times New Roman"/>
      <w:sz w:val="23"/>
      <w:szCs w:val="23"/>
      <w:lang w:val="es-ES"/>
    </w:rPr>
  </w:style>
  <w:style w:type="paragraph" w:customStyle="1" w:styleId="titdatosrelevantes">
    <w:name w:val="tit_datos_relevantes"/>
    <w:basedOn w:val="Normal"/>
    <w:uiPriority w:val="99"/>
    <w:rsid w:val="002B023C"/>
    <w:pPr>
      <w:spacing w:before="225" w:after="225" w:line="288" w:lineRule="auto"/>
      <w:ind w:left="225" w:right="225"/>
    </w:pPr>
    <w:rPr>
      <w:rFonts w:eastAsia="Times New Roman"/>
      <w:color w:val="999999"/>
      <w:sz w:val="30"/>
      <w:szCs w:val="30"/>
      <w:lang w:val="es-ES"/>
    </w:rPr>
  </w:style>
  <w:style w:type="paragraph" w:customStyle="1" w:styleId="datosrelevantes">
    <w:name w:val="datos_relevantes"/>
    <w:basedOn w:val="Normal"/>
    <w:uiPriority w:val="99"/>
    <w:rsid w:val="002B023C"/>
    <w:pPr>
      <w:spacing w:line="288" w:lineRule="auto"/>
    </w:pPr>
    <w:rPr>
      <w:rFonts w:eastAsia="Times New Roman"/>
      <w:sz w:val="23"/>
      <w:szCs w:val="23"/>
      <w:lang w:val="es-ES"/>
    </w:rPr>
  </w:style>
  <w:style w:type="paragraph" w:customStyle="1" w:styleId="separadordatos">
    <w:name w:val="separador_datos"/>
    <w:basedOn w:val="Normal"/>
    <w:uiPriority w:val="99"/>
    <w:rsid w:val="002B023C"/>
    <w:pPr>
      <w:spacing w:after="150" w:line="288" w:lineRule="auto"/>
    </w:pPr>
    <w:rPr>
      <w:rFonts w:eastAsia="Times New Roman"/>
      <w:sz w:val="23"/>
      <w:szCs w:val="23"/>
      <w:lang w:val="es-ES"/>
    </w:rPr>
  </w:style>
  <w:style w:type="paragraph" w:customStyle="1" w:styleId="ranking">
    <w:name w:val="ranking"/>
    <w:basedOn w:val="Normal"/>
    <w:uiPriority w:val="99"/>
    <w:rsid w:val="002B023C"/>
    <w:pPr>
      <w:pBdr>
        <w:top w:val="single" w:sz="6" w:space="0" w:color="C2C1A5"/>
        <w:left w:val="single" w:sz="6" w:space="0" w:color="C2C1A5"/>
        <w:bottom w:val="single" w:sz="6" w:space="0" w:color="C2C1A5"/>
        <w:right w:val="single" w:sz="6" w:space="0" w:color="C2C1A5"/>
      </w:pBdr>
      <w:spacing w:after="150" w:line="288" w:lineRule="auto"/>
    </w:pPr>
    <w:rPr>
      <w:rFonts w:eastAsia="Times New Roman"/>
      <w:sz w:val="20"/>
      <w:szCs w:val="20"/>
      <w:lang w:val="es-ES"/>
    </w:rPr>
  </w:style>
  <w:style w:type="paragraph" w:customStyle="1" w:styleId="caja">
    <w:name w:val="caja"/>
    <w:basedOn w:val="Normal"/>
    <w:uiPriority w:val="99"/>
    <w:rsid w:val="002B023C"/>
    <w:pPr>
      <w:pBdr>
        <w:top w:val="single" w:sz="6" w:space="4" w:color="C2C1A5"/>
        <w:left w:val="single" w:sz="6" w:space="8" w:color="C2C1A5"/>
        <w:bottom w:val="single" w:sz="6" w:space="8" w:color="C2C1A5"/>
        <w:right w:val="single" w:sz="6" w:space="8" w:color="C2C1A5"/>
      </w:pBdr>
      <w:shd w:val="clear" w:color="auto" w:fill="FFFFFF"/>
      <w:spacing w:after="375" w:line="288" w:lineRule="auto"/>
    </w:pPr>
    <w:rPr>
      <w:rFonts w:eastAsia="Times New Roman"/>
      <w:sz w:val="23"/>
      <w:szCs w:val="23"/>
      <w:lang w:val="es-ES"/>
    </w:rPr>
  </w:style>
  <w:style w:type="paragraph" w:customStyle="1" w:styleId="metodologia">
    <w:name w:val="metodologia"/>
    <w:basedOn w:val="Normal"/>
    <w:uiPriority w:val="99"/>
    <w:rsid w:val="002B023C"/>
    <w:pPr>
      <w:spacing w:before="300" w:after="300" w:line="288" w:lineRule="auto"/>
      <w:ind w:left="150"/>
    </w:pPr>
    <w:rPr>
      <w:rFonts w:eastAsia="Times New Roman"/>
      <w:sz w:val="23"/>
      <w:szCs w:val="23"/>
      <w:lang w:val="es-ES"/>
    </w:rPr>
  </w:style>
  <w:style w:type="paragraph" w:customStyle="1" w:styleId="graficos">
    <w:name w:val="graficos"/>
    <w:basedOn w:val="Normal"/>
    <w:uiPriority w:val="99"/>
    <w:rsid w:val="002B023C"/>
    <w:pPr>
      <w:spacing w:after="150" w:line="288" w:lineRule="auto"/>
    </w:pPr>
    <w:rPr>
      <w:rFonts w:eastAsia="Times New Roman"/>
      <w:sz w:val="23"/>
      <w:szCs w:val="23"/>
      <w:lang w:val="es-ES"/>
    </w:rPr>
  </w:style>
  <w:style w:type="paragraph" w:customStyle="1" w:styleId="fin">
    <w:name w:val="fin"/>
    <w:basedOn w:val="Normal"/>
    <w:uiPriority w:val="99"/>
    <w:rsid w:val="002B023C"/>
    <w:pPr>
      <w:spacing w:after="150" w:line="288" w:lineRule="auto"/>
    </w:pPr>
    <w:rPr>
      <w:rFonts w:eastAsia="Times New Roman"/>
      <w:sz w:val="23"/>
      <w:szCs w:val="23"/>
      <w:lang w:val="es-ES"/>
    </w:rPr>
  </w:style>
  <w:style w:type="paragraph" w:customStyle="1" w:styleId="footerbotdirectos">
    <w:name w:val="footer_bot_directos"/>
    <w:basedOn w:val="Normal"/>
    <w:uiPriority w:val="99"/>
    <w:rsid w:val="002B023C"/>
    <w:pPr>
      <w:spacing w:after="150" w:line="288" w:lineRule="auto"/>
    </w:pPr>
    <w:rPr>
      <w:rFonts w:eastAsia="Times New Roman"/>
      <w:sz w:val="23"/>
      <w:szCs w:val="23"/>
      <w:lang w:val="es-ES"/>
    </w:rPr>
  </w:style>
  <w:style w:type="paragraph" w:customStyle="1" w:styleId="ui-slider-handle">
    <w:name w:val="ui-slider-handle"/>
    <w:basedOn w:val="Normal"/>
    <w:uiPriority w:val="99"/>
    <w:rsid w:val="002B023C"/>
    <w:pPr>
      <w:pBdr>
        <w:top w:val="single" w:sz="6" w:space="0" w:color="CCCCCC"/>
        <w:left w:val="single" w:sz="6" w:space="0" w:color="CCCCCC"/>
        <w:bottom w:val="single" w:sz="6" w:space="0" w:color="CCCCCC"/>
        <w:right w:val="single" w:sz="6" w:space="0" w:color="CCCCCC"/>
      </w:pBdr>
      <w:shd w:val="clear" w:color="auto" w:fill="FF6600"/>
      <w:spacing w:after="150" w:line="288" w:lineRule="auto"/>
    </w:pPr>
    <w:rPr>
      <w:rFonts w:eastAsia="Times New Roman"/>
      <w:sz w:val="23"/>
      <w:szCs w:val="23"/>
      <w:lang w:val="es-ES"/>
    </w:rPr>
  </w:style>
  <w:style w:type="paragraph" w:customStyle="1" w:styleId="paginador">
    <w:name w:val="paginador"/>
    <w:basedOn w:val="Normal"/>
    <w:uiPriority w:val="99"/>
    <w:rsid w:val="002B023C"/>
    <w:pPr>
      <w:spacing w:after="150" w:line="288" w:lineRule="auto"/>
    </w:pPr>
    <w:rPr>
      <w:rFonts w:eastAsia="Times New Roman"/>
      <w:sz w:val="23"/>
      <w:szCs w:val="23"/>
      <w:lang w:val="es-ES"/>
    </w:rPr>
  </w:style>
  <w:style w:type="paragraph" w:customStyle="1" w:styleId="sub">
    <w:name w:val="sub"/>
    <w:basedOn w:val="Normal"/>
    <w:uiPriority w:val="99"/>
    <w:rsid w:val="002B023C"/>
    <w:pPr>
      <w:spacing w:after="150" w:line="288" w:lineRule="auto"/>
    </w:pPr>
    <w:rPr>
      <w:rFonts w:eastAsia="Times New Roman"/>
      <w:sz w:val="23"/>
      <w:szCs w:val="23"/>
      <w:lang w:val="es-ES"/>
    </w:rPr>
  </w:style>
  <w:style w:type="paragraph" w:customStyle="1" w:styleId="rank">
    <w:name w:val="rank"/>
    <w:basedOn w:val="Normal"/>
    <w:uiPriority w:val="99"/>
    <w:rsid w:val="002B023C"/>
    <w:pPr>
      <w:spacing w:after="150" w:line="288" w:lineRule="auto"/>
    </w:pPr>
    <w:rPr>
      <w:rFonts w:eastAsia="Times New Roman"/>
      <w:sz w:val="23"/>
      <w:szCs w:val="23"/>
      <w:lang w:val="es-ES"/>
    </w:rPr>
  </w:style>
  <w:style w:type="paragraph" w:customStyle="1" w:styleId="columna">
    <w:name w:val="columna"/>
    <w:basedOn w:val="Normal"/>
    <w:uiPriority w:val="99"/>
    <w:rsid w:val="002B023C"/>
    <w:pPr>
      <w:spacing w:after="150" w:line="288" w:lineRule="auto"/>
    </w:pPr>
    <w:rPr>
      <w:rFonts w:eastAsia="Times New Roman"/>
      <w:sz w:val="23"/>
      <w:szCs w:val="23"/>
      <w:lang w:val="es-ES"/>
    </w:rPr>
  </w:style>
  <w:style w:type="paragraph" w:customStyle="1" w:styleId="col">
    <w:name w:val="col"/>
    <w:basedOn w:val="Normal"/>
    <w:uiPriority w:val="99"/>
    <w:rsid w:val="002B023C"/>
    <w:pPr>
      <w:spacing w:after="150" w:line="288" w:lineRule="auto"/>
    </w:pPr>
    <w:rPr>
      <w:rFonts w:eastAsia="Times New Roman"/>
      <w:sz w:val="23"/>
      <w:szCs w:val="23"/>
      <w:lang w:val="es-ES"/>
    </w:rPr>
  </w:style>
  <w:style w:type="paragraph" w:customStyle="1" w:styleId="espaciado">
    <w:name w:val="espaciado"/>
    <w:basedOn w:val="Normal"/>
    <w:uiPriority w:val="99"/>
    <w:rsid w:val="002B023C"/>
    <w:pPr>
      <w:spacing w:after="150" w:line="288" w:lineRule="auto"/>
    </w:pPr>
    <w:rPr>
      <w:rFonts w:eastAsia="Times New Roman"/>
      <w:sz w:val="23"/>
      <w:szCs w:val="23"/>
      <w:lang w:val="es-ES"/>
    </w:rPr>
  </w:style>
  <w:style w:type="paragraph" w:customStyle="1" w:styleId="icur">
    <w:name w:val="icur"/>
    <w:basedOn w:val="Normal"/>
    <w:uiPriority w:val="99"/>
    <w:rsid w:val="002B023C"/>
    <w:pPr>
      <w:spacing w:after="150" w:line="288" w:lineRule="auto"/>
    </w:pPr>
    <w:rPr>
      <w:rFonts w:eastAsia="Times New Roman"/>
      <w:sz w:val="23"/>
      <w:szCs w:val="23"/>
      <w:lang w:val="es-ES"/>
    </w:rPr>
  </w:style>
  <w:style w:type="paragraph" w:customStyle="1" w:styleId="colfinal">
    <w:name w:val="col_final"/>
    <w:basedOn w:val="Normal"/>
    <w:uiPriority w:val="99"/>
    <w:rsid w:val="002B023C"/>
    <w:pPr>
      <w:spacing w:after="150" w:line="288" w:lineRule="auto"/>
    </w:pPr>
    <w:rPr>
      <w:rFonts w:eastAsia="Times New Roman"/>
      <w:sz w:val="23"/>
      <w:szCs w:val="23"/>
      <w:lang w:val="es-ES"/>
    </w:rPr>
  </w:style>
  <w:style w:type="paragraph" w:customStyle="1" w:styleId="sub1">
    <w:name w:val="sub1"/>
    <w:basedOn w:val="Normal"/>
    <w:uiPriority w:val="99"/>
    <w:rsid w:val="002B023C"/>
    <w:pPr>
      <w:spacing w:after="375" w:line="288" w:lineRule="auto"/>
      <w:ind w:left="150"/>
    </w:pPr>
    <w:rPr>
      <w:rFonts w:eastAsia="Times New Roman"/>
      <w:sz w:val="20"/>
      <w:szCs w:val="20"/>
      <w:lang w:val="es-ES"/>
    </w:rPr>
  </w:style>
  <w:style w:type="paragraph" w:customStyle="1" w:styleId="rank1">
    <w:name w:val="rank1"/>
    <w:basedOn w:val="Normal"/>
    <w:uiPriority w:val="99"/>
    <w:rsid w:val="002B023C"/>
    <w:pPr>
      <w:spacing w:before="150" w:line="288" w:lineRule="auto"/>
      <w:ind w:left="225" w:right="225"/>
    </w:pPr>
    <w:rPr>
      <w:rFonts w:eastAsia="Times New Roman"/>
      <w:sz w:val="23"/>
      <w:szCs w:val="23"/>
      <w:lang w:val="es-ES"/>
    </w:rPr>
  </w:style>
  <w:style w:type="paragraph" w:customStyle="1" w:styleId="intro1">
    <w:name w:val="intro1"/>
    <w:basedOn w:val="Normal"/>
    <w:rsid w:val="002B023C"/>
    <w:pPr>
      <w:spacing w:after="150" w:line="288" w:lineRule="auto"/>
    </w:pPr>
    <w:rPr>
      <w:rFonts w:eastAsia="Times New Roman"/>
      <w:sz w:val="23"/>
      <w:szCs w:val="23"/>
      <w:lang w:val="es-ES"/>
    </w:rPr>
  </w:style>
  <w:style w:type="paragraph" w:customStyle="1" w:styleId="col1">
    <w:name w:val="col1"/>
    <w:basedOn w:val="Normal"/>
    <w:uiPriority w:val="99"/>
    <w:rsid w:val="002B023C"/>
    <w:pPr>
      <w:spacing w:after="150" w:line="288" w:lineRule="auto"/>
    </w:pPr>
    <w:rPr>
      <w:rFonts w:eastAsia="Times New Roman"/>
      <w:sz w:val="23"/>
      <w:szCs w:val="23"/>
      <w:lang w:val="es-ES"/>
    </w:rPr>
  </w:style>
  <w:style w:type="paragraph" w:customStyle="1" w:styleId="espaciado1">
    <w:name w:val="espaciado1"/>
    <w:basedOn w:val="Normal"/>
    <w:uiPriority w:val="99"/>
    <w:rsid w:val="002B023C"/>
    <w:pPr>
      <w:pBdr>
        <w:left w:val="single" w:sz="6" w:space="15" w:color="C2C1A5"/>
      </w:pBdr>
      <w:spacing w:after="150" w:line="288" w:lineRule="auto"/>
    </w:pPr>
    <w:rPr>
      <w:rFonts w:eastAsia="Times New Roman"/>
      <w:sz w:val="23"/>
      <w:szCs w:val="23"/>
      <w:lang w:val="es-ES"/>
    </w:rPr>
  </w:style>
  <w:style w:type="paragraph" w:customStyle="1" w:styleId="icur1">
    <w:name w:val="icur1"/>
    <w:basedOn w:val="Normal"/>
    <w:uiPriority w:val="99"/>
    <w:rsid w:val="002B023C"/>
    <w:pPr>
      <w:spacing w:after="150" w:line="288" w:lineRule="auto"/>
      <w:ind w:left="450"/>
    </w:pPr>
    <w:rPr>
      <w:rFonts w:eastAsia="Times New Roman"/>
      <w:sz w:val="23"/>
      <w:szCs w:val="23"/>
      <w:lang w:val="es-ES"/>
    </w:rPr>
  </w:style>
  <w:style w:type="paragraph" w:customStyle="1" w:styleId="colfinal1">
    <w:name w:val="col_final1"/>
    <w:basedOn w:val="Normal"/>
    <w:uiPriority w:val="99"/>
    <w:rsid w:val="002B023C"/>
    <w:pPr>
      <w:pBdr>
        <w:top w:val="single" w:sz="6" w:space="15" w:color="C2C1A5"/>
      </w:pBdr>
      <w:spacing w:after="150" w:line="288" w:lineRule="auto"/>
    </w:pPr>
    <w:rPr>
      <w:rFonts w:eastAsia="Times New Roman"/>
      <w:sz w:val="23"/>
      <w:szCs w:val="23"/>
      <w:lang w:val="es-ES"/>
    </w:rPr>
  </w:style>
  <w:style w:type="paragraph" w:customStyle="1" w:styleId="paginador1">
    <w:name w:val="paginador1"/>
    <w:basedOn w:val="Normal"/>
    <w:uiPriority w:val="99"/>
    <w:rsid w:val="002B023C"/>
    <w:pPr>
      <w:spacing w:before="450" w:after="450" w:line="288" w:lineRule="auto"/>
      <w:jc w:val="center"/>
    </w:pPr>
    <w:rPr>
      <w:rFonts w:eastAsia="Times New Roman"/>
      <w:b/>
      <w:bCs/>
      <w:sz w:val="23"/>
      <w:szCs w:val="23"/>
      <w:lang w:val="es-ES"/>
    </w:rPr>
  </w:style>
  <w:style w:type="paragraph" w:customStyle="1" w:styleId="separadordatos1">
    <w:name w:val="separador_datos1"/>
    <w:basedOn w:val="Normal"/>
    <w:uiPriority w:val="99"/>
    <w:rsid w:val="002B023C"/>
    <w:pPr>
      <w:shd w:val="clear" w:color="auto" w:fill="FFFFFF"/>
      <w:spacing w:after="150" w:line="288" w:lineRule="auto"/>
    </w:pPr>
    <w:rPr>
      <w:rFonts w:eastAsia="Times New Roman"/>
      <w:sz w:val="23"/>
      <w:szCs w:val="23"/>
      <w:lang w:val="es-ES"/>
    </w:rPr>
  </w:style>
  <w:style w:type="paragraph" w:customStyle="1" w:styleId="separador1">
    <w:name w:val="separador1"/>
    <w:basedOn w:val="Normal"/>
    <w:uiPriority w:val="99"/>
    <w:rsid w:val="002B023C"/>
    <w:pPr>
      <w:shd w:val="clear" w:color="auto" w:fill="FFF4DC"/>
      <w:spacing w:after="150" w:line="288" w:lineRule="auto"/>
    </w:pPr>
    <w:rPr>
      <w:rFonts w:eastAsia="Times New Roman"/>
      <w:sz w:val="23"/>
      <w:szCs w:val="23"/>
      <w:lang w:val="es-ES"/>
    </w:rPr>
  </w:style>
  <w:style w:type="paragraph" w:customStyle="1" w:styleId="columna1">
    <w:name w:val="columna1"/>
    <w:basedOn w:val="Normal"/>
    <w:uiPriority w:val="99"/>
    <w:rsid w:val="002B023C"/>
    <w:pPr>
      <w:spacing w:before="150" w:line="288" w:lineRule="auto"/>
      <w:ind w:left="225"/>
    </w:pPr>
    <w:rPr>
      <w:rFonts w:eastAsia="Times New Roman"/>
      <w:sz w:val="23"/>
      <w:szCs w:val="23"/>
      <w:lang w:val="es-ES"/>
    </w:rPr>
  </w:style>
  <w:style w:type="table" w:customStyle="1" w:styleId="Tablaconcuadrcula378">
    <w:name w:val="Tabla con cuadrícula378"/>
    <w:basedOn w:val="Tablanormal"/>
    <w:next w:val="Tablaconcuadrcula"/>
    <w:rsid w:val="0042237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5">
    <w:name w:val="Sin lista245"/>
    <w:next w:val="Sinlista"/>
    <w:semiHidden/>
    <w:rsid w:val="00110D1F"/>
  </w:style>
  <w:style w:type="table" w:customStyle="1" w:styleId="Tablaconcuadrcula379">
    <w:name w:val="Tabla con cuadrícula379"/>
    <w:basedOn w:val="Tablanormal"/>
    <w:next w:val="Tablaconcuadrcula"/>
    <w:rsid w:val="00110D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6">
    <w:name w:val="Sin lista246"/>
    <w:next w:val="Sinlista"/>
    <w:semiHidden/>
    <w:rsid w:val="00767BB9"/>
  </w:style>
  <w:style w:type="table" w:customStyle="1" w:styleId="Tablaconcuadrcula380">
    <w:name w:val="Tabla con cuadrícula380"/>
    <w:basedOn w:val="Tablanormal"/>
    <w:next w:val="Tablaconcuadrcula"/>
    <w:rsid w:val="00767B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7">
    <w:name w:val="Sin lista247"/>
    <w:next w:val="Sinlista"/>
    <w:semiHidden/>
    <w:rsid w:val="00590D83"/>
  </w:style>
  <w:style w:type="table" w:customStyle="1" w:styleId="Tablaconcuadrcula1460">
    <w:name w:val="Tabla con cuadrícula 146"/>
    <w:basedOn w:val="Tablanormal"/>
    <w:next w:val="Tablaconcuadrcula10"/>
    <w:rsid w:val="00590D8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Listaconnmeros2">
    <w:name w:val="List Number 2"/>
    <w:basedOn w:val="Normal"/>
    <w:uiPriority w:val="99"/>
    <w:rsid w:val="00590D83"/>
    <w:pPr>
      <w:numPr>
        <w:numId w:val="11"/>
      </w:numPr>
      <w:tabs>
        <w:tab w:val="clear" w:pos="643"/>
        <w:tab w:val="left" w:pos="720"/>
      </w:tabs>
      <w:ind w:left="1440" w:hanging="720"/>
      <w:jc w:val="both"/>
    </w:pPr>
    <w:rPr>
      <w:rFonts w:eastAsia="Times New Roman"/>
      <w:sz w:val="22"/>
      <w:szCs w:val="20"/>
      <w:lang w:val="es-ES" w:eastAsia="en-GB"/>
    </w:rPr>
  </w:style>
  <w:style w:type="table" w:customStyle="1" w:styleId="Tablaconcuadrcula381">
    <w:name w:val="Tabla con cuadrícula381"/>
    <w:basedOn w:val="Tablanormal"/>
    <w:next w:val="Tablaconcuadrcula"/>
    <w:rsid w:val="00D7490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8">
    <w:name w:val="Sin lista248"/>
    <w:next w:val="Sinlista"/>
    <w:semiHidden/>
    <w:rsid w:val="00980C2F"/>
  </w:style>
  <w:style w:type="table" w:customStyle="1" w:styleId="Tablaconcuadrcula1470">
    <w:name w:val="Tabla con cuadrícula 147"/>
    <w:basedOn w:val="Tablanormal"/>
    <w:next w:val="Tablaconcuadrcula10"/>
    <w:rsid w:val="00980C2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footnote3">
    <w:name w:val="footnote3"/>
    <w:basedOn w:val="Normal"/>
    <w:uiPriority w:val="99"/>
    <w:rsid w:val="00A53EC0"/>
    <w:pPr>
      <w:spacing w:after="312" w:line="312" w:lineRule="atLeast"/>
    </w:pPr>
    <w:rPr>
      <w:rFonts w:ascii="Verdana" w:eastAsia="Times New Roman" w:hAnsi="Verdana"/>
      <w:sz w:val="22"/>
      <w:szCs w:val="22"/>
      <w:lang w:val="es-ES"/>
    </w:rPr>
  </w:style>
  <w:style w:type="numbering" w:customStyle="1" w:styleId="Sinlista249">
    <w:name w:val="Sin lista249"/>
    <w:next w:val="Sinlista"/>
    <w:semiHidden/>
    <w:rsid w:val="00957534"/>
  </w:style>
  <w:style w:type="table" w:customStyle="1" w:styleId="Tablaconcuadrcula382">
    <w:name w:val="Tabla con cuadrícula382"/>
    <w:basedOn w:val="Tablanormal"/>
    <w:next w:val="Tablaconcuadrcula"/>
    <w:rsid w:val="009575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3">
    <w:name w:val="Tabla con cuadrícula383"/>
    <w:basedOn w:val="Tablanormal"/>
    <w:next w:val="Tablaconcuadrcula"/>
    <w:rsid w:val="00642F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4">
    <w:name w:val="Tabla con cuadrícula384"/>
    <w:basedOn w:val="Tablanormal"/>
    <w:next w:val="Tablaconcuadrcula"/>
    <w:rsid w:val="0059329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0">
    <w:name w:val="Sin lista250"/>
    <w:next w:val="Sinlista"/>
    <w:semiHidden/>
    <w:rsid w:val="00FB055D"/>
  </w:style>
  <w:style w:type="table" w:customStyle="1" w:styleId="Tablaconcuadrcula385">
    <w:name w:val="Tabla con cuadrícula385"/>
    <w:basedOn w:val="Tablanormal"/>
    <w:next w:val="Tablaconcuadrcula"/>
    <w:rsid w:val="00FB05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6">
    <w:name w:val="Tabla con cuadrícula386"/>
    <w:basedOn w:val="Tablanormal"/>
    <w:next w:val="Tablaconcuadrcula"/>
    <w:rsid w:val="001C253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4">
    <w:name w:val="Sin lista254"/>
    <w:next w:val="Sinlista"/>
    <w:semiHidden/>
    <w:rsid w:val="00A5100F"/>
  </w:style>
  <w:style w:type="table" w:customStyle="1" w:styleId="Tablaconcuadrcula387">
    <w:name w:val="Tabla con cuadrícula387"/>
    <w:basedOn w:val="Tablanormal"/>
    <w:next w:val="Tablaconcuadrcula"/>
    <w:rsid w:val="00C5772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80">
    <w:name w:val="Tabla con cuadrícula 148"/>
    <w:basedOn w:val="Tablanormal"/>
    <w:next w:val="Tablaconcuadrcula10"/>
    <w:rsid w:val="003947DA"/>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88">
    <w:name w:val="Tabla con cuadrícula388"/>
    <w:basedOn w:val="Tablanormal"/>
    <w:next w:val="Tablaconcuadrcula"/>
    <w:rsid w:val="002D316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5">
    <w:name w:val="Sin lista255"/>
    <w:next w:val="Sinlista"/>
    <w:semiHidden/>
    <w:rsid w:val="00D1615D"/>
  </w:style>
  <w:style w:type="paragraph" w:customStyle="1" w:styleId="msonospacing0">
    <w:name w:val="msonospacing"/>
    <w:basedOn w:val="Normal"/>
    <w:rsid w:val="00D1615D"/>
    <w:pPr>
      <w:spacing w:before="100" w:beforeAutospacing="1" w:after="100" w:afterAutospacing="1"/>
    </w:pPr>
    <w:rPr>
      <w:rFonts w:eastAsia="Times New Roman"/>
      <w:lang w:val="es-ES"/>
    </w:rPr>
  </w:style>
  <w:style w:type="table" w:customStyle="1" w:styleId="Tablaconcuadrcula389">
    <w:name w:val="Tabla con cuadrícula389"/>
    <w:basedOn w:val="Tablanormal"/>
    <w:next w:val="Tablaconcuadrcula"/>
    <w:rsid w:val="00D161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0">
    <w:name w:val="Tabla con cuadrícula390"/>
    <w:basedOn w:val="Tablanormal"/>
    <w:next w:val="Tablaconcuadrcula"/>
    <w:rsid w:val="006441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6">
    <w:name w:val="Sin lista256"/>
    <w:next w:val="Sinlista"/>
    <w:semiHidden/>
    <w:rsid w:val="003563C3"/>
  </w:style>
  <w:style w:type="numbering" w:customStyle="1" w:styleId="Sinlista257">
    <w:name w:val="Sin lista257"/>
    <w:next w:val="Sinlista"/>
    <w:semiHidden/>
    <w:rsid w:val="003237A0"/>
  </w:style>
  <w:style w:type="table" w:customStyle="1" w:styleId="Tablaconcuadrcula391">
    <w:name w:val="Tabla con cuadrícula391"/>
    <w:basedOn w:val="Tablanormal"/>
    <w:next w:val="Tablaconcuadrcula"/>
    <w:rsid w:val="006F21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2">
    <w:name w:val="Tabla con cuadrícula392"/>
    <w:basedOn w:val="Tablanormal"/>
    <w:next w:val="Tablaconcuadrcula"/>
    <w:rsid w:val="008B7F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3">
    <w:name w:val="Tabla con cuadrícula393"/>
    <w:basedOn w:val="Tablanormal"/>
    <w:next w:val="Tablaconcuadrcula"/>
    <w:rsid w:val="007B621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4">
    <w:name w:val="Tabla con cuadrícula394"/>
    <w:basedOn w:val="Tablanormal"/>
    <w:next w:val="Tablaconcuadrcula"/>
    <w:rsid w:val="000B5FF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8">
    <w:name w:val="Sin lista258"/>
    <w:next w:val="Sinlista"/>
    <w:semiHidden/>
    <w:rsid w:val="001862AE"/>
  </w:style>
  <w:style w:type="table" w:customStyle="1" w:styleId="Tablaconcuadrcula395">
    <w:name w:val="Tabla con cuadrícula395"/>
    <w:basedOn w:val="Tablanormal"/>
    <w:next w:val="Tablaconcuadrcula"/>
    <w:rsid w:val="002C17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9">
    <w:name w:val="Sin lista259"/>
    <w:next w:val="Sinlista"/>
    <w:semiHidden/>
    <w:rsid w:val="00C60BD6"/>
  </w:style>
  <w:style w:type="table" w:customStyle="1" w:styleId="Tablaconcuadrcula396">
    <w:name w:val="Tabla con cuadrícula396"/>
    <w:basedOn w:val="Tablanormal"/>
    <w:next w:val="Tablaconcuadrcula"/>
    <w:rsid w:val="00C60BD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0">
    <w:name w:val="Sin lista260"/>
    <w:next w:val="Sinlista"/>
    <w:semiHidden/>
    <w:rsid w:val="00384FDC"/>
  </w:style>
  <w:style w:type="character" w:customStyle="1" w:styleId="noteinfo1">
    <w:name w:val="noteinfo1"/>
    <w:basedOn w:val="Fuentedeprrafopredeter"/>
    <w:rsid w:val="00384FDC"/>
    <w:rPr>
      <w:vanish w:val="0"/>
      <w:webHidden w:val="0"/>
      <w:color w:val="969696"/>
      <w:specVanish w:val="0"/>
    </w:rPr>
  </w:style>
  <w:style w:type="character" w:customStyle="1" w:styleId="noteintro1">
    <w:name w:val="noteintro1"/>
    <w:basedOn w:val="Fuentedeprrafopredeter"/>
    <w:rsid w:val="00384FDC"/>
    <w:rPr>
      <w:color w:val="000000"/>
      <w:sz w:val="23"/>
      <w:szCs w:val="23"/>
    </w:rPr>
  </w:style>
  <w:style w:type="table" w:customStyle="1" w:styleId="Tablaconcuadrcula397">
    <w:name w:val="Tabla con cuadrícula397"/>
    <w:basedOn w:val="Tablanormal"/>
    <w:next w:val="Tablaconcuadrcula"/>
    <w:rsid w:val="00384F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4">
    <w:name w:val="Sin lista264"/>
    <w:next w:val="Sinlista"/>
    <w:semiHidden/>
    <w:rsid w:val="005E1DD2"/>
  </w:style>
  <w:style w:type="numbering" w:customStyle="1" w:styleId="Sinlista265">
    <w:name w:val="Sin lista265"/>
    <w:next w:val="Sinlista"/>
    <w:semiHidden/>
    <w:rsid w:val="00EC76F9"/>
  </w:style>
  <w:style w:type="numbering" w:customStyle="1" w:styleId="Sinlista266">
    <w:name w:val="Sin lista266"/>
    <w:next w:val="Sinlista"/>
    <w:semiHidden/>
    <w:rsid w:val="00EC76F9"/>
  </w:style>
  <w:style w:type="table" w:customStyle="1" w:styleId="Tablaconcuadrcula398">
    <w:name w:val="Tabla con cuadrícula398"/>
    <w:basedOn w:val="Tablanormal"/>
    <w:next w:val="Tablaconcuadrcula"/>
    <w:rsid w:val="00EC76F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9">
    <w:name w:val="Tabla con cuadrícula399"/>
    <w:basedOn w:val="Tablanormal"/>
    <w:next w:val="Tablaconcuadrcula"/>
    <w:rsid w:val="00BA41F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0">
    <w:name w:val="Tabla con cuadrícula400"/>
    <w:basedOn w:val="Tablanormal"/>
    <w:next w:val="Tablaconcuadrcula"/>
    <w:rsid w:val="00E534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7">
    <w:name w:val="Sin lista267"/>
    <w:next w:val="Sinlista"/>
    <w:semiHidden/>
    <w:rsid w:val="00BF2EBD"/>
  </w:style>
  <w:style w:type="numbering" w:customStyle="1" w:styleId="Sinlista268">
    <w:name w:val="Sin lista268"/>
    <w:next w:val="Sinlista"/>
    <w:semiHidden/>
    <w:rsid w:val="00883CEA"/>
  </w:style>
  <w:style w:type="paragraph" w:customStyle="1" w:styleId="Style22">
    <w:name w:val="Style 22"/>
    <w:basedOn w:val="Normal"/>
    <w:uiPriority w:val="99"/>
    <w:rsid w:val="00883CEA"/>
    <w:pPr>
      <w:widowControl w:val="0"/>
      <w:autoSpaceDE w:val="0"/>
      <w:autoSpaceDN w:val="0"/>
      <w:ind w:left="108"/>
    </w:pPr>
    <w:rPr>
      <w:rFonts w:eastAsia="Times New Roman"/>
      <w:lang w:val="en-US"/>
    </w:rPr>
  </w:style>
  <w:style w:type="table" w:customStyle="1" w:styleId="Tablaconcuadrcula401">
    <w:name w:val="Tabla con cuadrícula401"/>
    <w:basedOn w:val="Tablanormal"/>
    <w:next w:val="Tablaconcuadrcula"/>
    <w:rsid w:val="00883C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2">
    <w:name w:val="Tabla con cuadrícula402"/>
    <w:basedOn w:val="Tablanormal"/>
    <w:next w:val="Tablaconcuadrcula"/>
    <w:rsid w:val="00F601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9">
    <w:name w:val="Sin lista269"/>
    <w:next w:val="Sinlista"/>
    <w:semiHidden/>
    <w:rsid w:val="00010413"/>
  </w:style>
  <w:style w:type="table" w:customStyle="1" w:styleId="Tablaconcuadrcula403">
    <w:name w:val="Tabla con cuadrícula403"/>
    <w:basedOn w:val="Tablanormal"/>
    <w:next w:val="Tablaconcuadrcula"/>
    <w:rsid w:val="005174D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4">
    <w:name w:val="Tabla con cuadrícula404"/>
    <w:basedOn w:val="Tablanormal"/>
    <w:next w:val="Tablaconcuadrcula"/>
    <w:rsid w:val="001D089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490">
    <w:name w:val="Tabla con cuadrícula 149"/>
    <w:basedOn w:val="Tablanormal"/>
    <w:next w:val="Tablaconcuadrcula10"/>
    <w:rsid w:val="00A1704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270">
    <w:name w:val="Sin lista270"/>
    <w:next w:val="Sinlista"/>
    <w:semiHidden/>
    <w:rsid w:val="00892EBE"/>
  </w:style>
  <w:style w:type="table" w:customStyle="1" w:styleId="Tablaconcuadrcula1501">
    <w:name w:val="Tabla con cuadrícula 150"/>
    <w:basedOn w:val="Tablanormal"/>
    <w:next w:val="Tablaconcuadrcula10"/>
    <w:rsid w:val="00BB3DA8"/>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05">
    <w:name w:val="Tabla con cuadrícula405"/>
    <w:basedOn w:val="Tablanormal"/>
    <w:next w:val="Tablaconcuadrcula"/>
    <w:rsid w:val="00FD59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4">
    <w:name w:val="Sin lista274"/>
    <w:next w:val="Sinlista"/>
    <w:semiHidden/>
    <w:rsid w:val="001C6D47"/>
  </w:style>
  <w:style w:type="table" w:customStyle="1" w:styleId="Tablaconcuadrcula406">
    <w:name w:val="Tabla con cuadrícula406"/>
    <w:basedOn w:val="Tablanormal"/>
    <w:next w:val="Tablaconcuadrcula"/>
    <w:rsid w:val="001C6D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5">
    <w:name w:val="Sin lista275"/>
    <w:next w:val="Sinlista"/>
    <w:semiHidden/>
    <w:rsid w:val="00AC612A"/>
  </w:style>
  <w:style w:type="table" w:customStyle="1" w:styleId="Tablaconcuadrcula407">
    <w:name w:val="Tabla con cuadrícula407"/>
    <w:basedOn w:val="Tablanormal"/>
    <w:next w:val="Tablaconcuadrcula"/>
    <w:rsid w:val="00AC612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8">
    <w:name w:val="Tabla con cuadrícula408"/>
    <w:basedOn w:val="Tablanormal"/>
    <w:next w:val="Tablaconcuadrcula"/>
    <w:rsid w:val="00B757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9">
    <w:name w:val="Tabla con cuadrícula409"/>
    <w:basedOn w:val="Tablanormal"/>
    <w:next w:val="Tablaconcuadrcula"/>
    <w:rsid w:val="00035D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6">
    <w:name w:val="Sin lista276"/>
    <w:next w:val="Sinlista"/>
    <w:semiHidden/>
    <w:rsid w:val="00121CB4"/>
  </w:style>
  <w:style w:type="table" w:customStyle="1" w:styleId="Tablaconcuadrcula410">
    <w:name w:val="Tabla con cuadrícula410"/>
    <w:basedOn w:val="Tablanormal"/>
    <w:next w:val="Tablaconcuadrcula"/>
    <w:rsid w:val="00121CB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
    <w:name w:val="Tabla con cuadrícula411"/>
    <w:basedOn w:val="Tablanormal"/>
    <w:next w:val="Tablaconcuadrcula"/>
    <w:rsid w:val="0056205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
    <w:name w:val="Tabla con cuadrícula412"/>
    <w:basedOn w:val="Tablanormal"/>
    <w:next w:val="Tablaconcuadrcula"/>
    <w:rsid w:val="0072100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7">
    <w:name w:val="Sin lista277"/>
    <w:next w:val="Sinlista"/>
    <w:semiHidden/>
    <w:rsid w:val="00A94C1F"/>
  </w:style>
  <w:style w:type="table" w:customStyle="1" w:styleId="Tablaconcuadrcula413">
    <w:name w:val="Tabla con cuadrícula413"/>
    <w:basedOn w:val="Tablanormal"/>
    <w:next w:val="Tablaconcuadrcula"/>
    <w:rsid w:val="00A94C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8">
    <w:name w:val="Sin lista278"/>
    <w:next w:val="Sinlista"/>
    <w:semiHidden/>
    <w:rsid w:val="006E3CC2"/>
  </w:style>
  <w:style w:type="table" w:customStyle="1" w:styleId="Tablaconcuadrcula414">
    <w:name w:val="Tabla con cuadrícula414"/>
    <w:basedOn w:val="Tablanormal"/>
    <w:next w:val="Tablaconcuadrcula"/>
    <w:rsid w:val="006E3CC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9">
    <w:name w:val="Sin lista279"/>
    <w:next w:val="Sinlista"/>
    <w:semiHidden/>
    <w:rsid w:val="006E1899"/>
  </w:style>
  <w:style w:type="table" w:customStyle="1" w:styleId="Tablaconcuadrcula415">
    <w:name w:val="Tabla con cuadrícula415"/>
    <w:basedOn w:val="Tablanormal"/>
    <w:next w:val="Tablaconcuadrcula"/>
    <w:rsid w:val="006E189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0">
    <w:name w:val="Sin lista280"/>
    <w:next w:val="Sinlista"/>
    <w:semiHidden/>
    <w:rsid w:val="00D215E7"/>
  </w:style>
  <w:style w:type="table" w:customStyle="1" w:styleId="Tablaconcuadrcula416">
    <w:name w:val="Tabla con cuadrícula416"/>
    <w:basedOn w:val="Tablanormal"/>
    <w:next w:val="Tablaconcuadrcula"/>
    <w:rsid w:val="00D215E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4">
    <w:name w:val="Sin lista284"/>
    <w:next w:val="Sinlista"/>
    <w:semiHidden/>
    <w:rsid w:val="00FA295E"/>
  </w:style>
  <w:style w:type="table" w:customStyle="1" w:styleId="Tablaconcuadrcula417">
    <w:name w:val="Tabla con cuadrícula417"/>
    <w:basedOn w:val="Tablanormal"/>
    <w:next w:val="Tablaconcuadrcula"/>
    <w:rsid w:val="00FA295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6">
    <w:name w:val="Tabla con cuadrícula 151"/>
    <w:basedOn w:val="Tablanormal"/>
    <w:next w:val="Tablaconcuadrcula10"/>
    <w:rsid w:val="00057ED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285">
    <w:name w:val="Sin lista285"/>
    <w:next w:val="Sinlista"/>
    <w:semiHidden/>
    <w:rsid w:val="002B5A3B"/>
  </w:style>
  <w:style w:type="table" w:customStyle="1" w:styleId="Tablaconcuadrcula418">
    <w:name w:val="Tabla con cuadrícula418"/>
    <w:basedOn w:val="Tablanormal"/>
    <w:next w:val="Tablaconcuadrcula"/>
    <w:rsid w:val="002B5A3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6">
    <w:name w:val="Sin lista286"/>
    <w:next w:val="Sinlista"/>
    <w:semiHidden/>
    <w:rsid w:val="00A377EF"/>
  </w:style>
  <w:style w:type="table" w:customStyle="1" w:styleId="Tablaconcuadrcula419">
    <w:name w:val="Tabla con cuadrícula419"/>
    <w:basedOn w:val="Tablanormal"/>
    <w:next w:val="Tablaconcuadrcula"/>
    <w:rsid w:val="00A377E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7">
    <w:name w:val="Sin lista287"/>
    <w:next w:val="Sinlista"/>
    <w:semiHidden/>
    <w:rsid w:val="008676DE"/>
  </w:style>
  <w:style w:type="table" w:customStyle="1" w:styleId="Tablaconcuadrcula420">
    <w:name w:val="Tabla con cuadrícula420"/>
    <w:basedOn w:val="Tablanormal"/>
    <w:next w:val="Tablaconcuadrcula"/>
    <w:rsid w:val="008676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8">
    <w:name w:val="Sin lista288"/>
    <w:next w:val="Sinlista"/>
    <w:semiHidden/>
    <w:rsid w:val="009173C4"/>
  </w:style>
  <w:style w:type="table" w:customStyle="1" w:styleId="Tablaconcuadrcula421">
    <w:name w:val="Tabla con cuadrícula421"/>
    <w:basedOn w:val="Tablanormal"/>
    <w:next w:val="Tablaconcuadrcula"/>
    <w:rsid w:val="009173C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9">
    <w:name w:val="Sin lista289"/>
    <w:next w:val="Sinlista"/>
    <w:semiHidden/>
    <w:rsid w:val="00127795"/>
  </w:style>
  <w:style w:type="table" w:customStyle="1" w:styleId="Tablaconcuadrcula422">
    <w:name w:val="Tabla con cuadrícula422"/>
    <w:basedOn w:val="Tablanormal"/>
    <w:next w:val="Tablaconcuadrcula"/>
    <w:rsid w:val="001277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3">
    <w:name w:val="Tabla con cuadrícula423"/>
    <w:basedOn w:val="Tablanormal"/>
    <w:next w:val="Tablaconcuadrcula"/>
    <w:rsid w:val="00243BC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90">
    <w:name w:val="Sin lista290"/>
    <w:next w:val="Sinlista"/>
    <w:semiHidden/>
    <w:rsid w:val="008B0611"/>
  </w:style>
  <w:style w:type="table" w:customStyle="1" w:styleId="Tablaconcuadrcula424">
    <w:name w:val="Tabla con cuadrícula424"/>
    <w:basedOn w:val="Tablanormal"/>
    <w:next w:val="Tablaconcuadrcula"/>
    <w:rsid w:val="008B061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5">
    <w:name w:val="Tabla con cuadrícula425"/>
    <w:basedOn w:val="Tablanormal"/>
    <w:next w:val="Tablaconcuadrcula"/>
    <w:rsid w:val="00FE11E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20">
    <w:name w:val="Tabla con cuadrícula 152"/>
    <w:basedOn w:val="Tablanormal"/>
    <w:next w:val="Tablaconcuadrcula10"/>
    <w:rsid w:val="009E76F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26">
    <w:name w:val="Tabla con cuadrícula426"/>
    <w:basedOn w:val="Tablanormal"/>
    <w:next w:val="Tablaconcuadrcula"/>
    <w:rsid w:val="00B7101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4">
    <w:name w:val="Sin lista294"/>
    <w:next w:val="Sinlista"/>
    <w:semiHidden/>
    <w:rsid w:val="00576B47"/>
  </w:style>
  <w:style w:type="table" w:customStyle="1" w:styleId="Tablaconcuadrcula427">
    <w:name w:val="Tabla con cuadrícula427"/>
    <w:basedOn w:val="Tablanormal"/>
    <w:next w:val="Tablaconcuadrcula"/>
    <w:rsid w:val="00576B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5">
    <w:name w:val="Sin lista295"/>
    <w:next w:val="Sinlista"/>
    <w:semiHidden/>
    <w:rsid w:val="00956EDE"/>
  </w:style>
  <w:style w:type="table" w:customStyle="1" w:styleId="Tablaconcuadrcula428">
    <w:name w:val="Tabla con cuadrícula428"/>
    <w:basedOn w:val="Tablanormal"/>
    <w:next w:val="Tablaconcuadrcula"/>
    <w:rsid w:val="00956E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6">
    <w:name w:val="Sin lista296"/>
    <w:next w:val="Sinlista"/>
    <w:semiHidden/>
    <w:rsid w:val="0048716F"/>
  </w:style>
  <w:style w:type="table" w:customStyle="1" w:styleId="Tablaconcuadrcula429">
    <w:name w:val="Tabla con cuadrícula429"/>
    <w:basedOn w:val="Tablanormal"/>
    <w:next w:val="Tablaconcuadrcula"/>
    <w:rsid w:val="004871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0">
    <w:name w:val="Tabla con cuadrícula430"/>
    <w:basedOn w:val="Tablanormal"/>
    <w:next w:val="Tablaconcuadrcula"/>
    <w:rsid w:val="006E48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7">
    <w:name w:val="Sin lista297"/>
    <w:next w:val="Sinlista"/>
    <w:semiHidden/>
    <w:rsid w:val="005A5817"/>
  </w:style>
  <w:style w:type="table" w:customStyle="1" w:styleId="Tablaconcuadrcula431">
    <w:name w:val="Tabla con cuadrícula431"/>
    <w:basedOn w:val="Tablanormal"/>
    <w:next w:val="Tablaconcuadrcula"/>
    <w:rsid w:val="00D308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2">
    <w:name w:val="Tabla con cuadrícula432"/>
    <w:basedOn w:val="Tablanormal"/>
    <w:next w:val="Tablaconcuadrcula"/>
    <w:rsid w:val="002E72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3">
    <w:name w:val="Tabla con cuadrícula433"/>
    <w:basedOn w:val="Tablanormal"/>
    <w:next w:val="Tablaconcuadrcula"/>
    <w:rsid w:val="000238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8">
    <w:name w:val="Sin lista298"/>
    <w:next w:val="Sinlista"/>
    <w:semiHidden/>
    <w:rsid w:val="00B527C4"/>
  </w:style>
  <w:style w:type="table" w:customStyle="1" w:styleId="Tablaconcuadrcula434">
    <w:name w:val="Tabla con cuadrícula434"/>
    <w:basedOn w:val="Tablanormal"/>
    <w:next w:val="Tablaconcuadrcula"/>
    <w:rsid w:val="00B527C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5">
    <w:name w:val="Tabla con cuadrícula435"/>
    <w:basedOn w:val="Tablanormal"/>
    <w:next w:val="Tablaconcuadrcula"/>
    <w:rsid w:val="00B90E4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9">
    <w:name w:val="Sin lista299"/>
    <w:next w:val="Sinlista"/>
    <w:semiHidden/>
    <w:rsid w:val="002F5D4A"/>
  </w:style>
  <w:style w:type="table" w:customStyle="1" w:styleId="Tablaconcuadrcula436">
    <w:name w:val="Tabla con cuadrícula436"/>
    <w:basedOn w:val="Tablanormal"/>
    <w:next w:val="Tablaconcuadrcula"/>
    <w:rsid w:val="002F5D4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7">
    <w:name w:val="Tabla con cuadrícula437"/>
    <w:basedOn w:val="Tablanormal"/>
    <w:next w:val="Tablaconcuadrcula"/>
    <w:rsid w:val="00E96B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8">
    <w:name w:val="Tabla con cuadrícula438"/>
    <w:basedOn w:val="Tablanormal"/>
    <w:next w:val="Tablaconcuadrcula"/>
    <w:rsid w:val="003614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0">
    <w:name w:val="Sin lista300"/>
    <w:next w:val="Sinlista"/>
    <w:semiHidden/>
    <w:rsid w:val="00C655B1"/>
  </w:style>
  <w:style w:type="table" w:customStyle="1" w:styleId="Tablaconcuadrcula439">
    <w:name w:val="Tabla con cuadrícula439"/>
    <w:basedOn w:val="Tablanormal"/>
    <w:next w:val="Tablaconcuadrcula"/>
    <w:rsid w:val="00D021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4">
    <w:name w:val="Sin lista304"/>
    <w:next w:val="Sinlista"/>
    <w:semiHidden/>
    <w:rsid w:val="00D02182"/>
  </w:style>
  <w:style w:type="table" w:customStyle="1" w:styleId="Tablaconcuadrcula440">
    <w:name w:val="Tabla con cuadrícula440"/>
    <w:basedOn w:val="Tablanormal"/>
    <w:next w:val="Tablaconcuadrcula"/>
    <w:rsid w:val="00D021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1">
    <w:name w:val="Tabla con cuadrícula441"/>
    <w:basedOn w:val="Tablanormal"/>
    <w:next w:val="Tablaconcuadrcula"/>
    <w:rsid w:val="00BA47B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5">
    <w:name w:val="Sin lista305"/>
    <w:next w:val="Sinlista"/>
    <w:semiHidden/>
    <w:rsid w:val="005818B8"/>
  </w:style>
  <w:style w:type="table" w:customStyle="1" w:styleId="Tablaconcuadrcula442">
    <w:name w:val="Tabla con cuadrícula442"/>
    <w:basedOn w:val="Tablanormal"/>
    <w:next w:val="Tablaconcuadrcula"/>
    <w:rsid w:val="005818B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6">
    <w:name w:val="Sin lista306"/>
    <w:next w:val="Sinlista"/>
    <w:semiHidden/>
    <w:rsid w:val="007600C7"/>
  </w:style>
  <w:style w:type="table" w:customStyle="1" w:styleId="Tablaconcuadrcula443">
    <w:name w:val="Tabla con cuadrícula443"/>
    <w:basedOn w:val="Tablanormal"/>
    <w:next w:val="Tablaconcuadrcula"/>
    <w:rsid w:val="007600C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4">
    <w:name w:val="Tabla con cuadrícula444"/>
    <w:basedOn w:val="Tablanormal"/>
    <w:next w:val="Tablaconcuadrcula"/>
    <w:rsid w:val="007D60C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7">
    <w:name w:val="Sin lista307"/>
    <w:next w:val="Sinlista"/>
    <w:semiHidden/>
    <w:rsid w:val="00E86245"/>
  </w:style>
  <w:style w:type="table" w:customStyle="1" w:styleId="Tablaconcuadrcula445">
    <w:name w:val="Tabla con cuadrícula445"/>
    <w:basedOn w:val="Tablanormal"/>
    <w:next w:val="Tablaconcuadrcula"/>
    <w:rsid w:val="00E862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6">
    <w:name w:val="Tabla con cuadrícula446"/>
    <w:basedOn w:val="Tablanormal"/>
    <w:next w:val="Tablaconcuadrcula"/>
    <w:rsid w:val="00B134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7">
    <w:name w:val="Tabla con cuadrícula447"/>
    <w:basedOn w:val="Tablanormal"/>
    <w:next w:val="Tablaconcuadrcula"/>
    <w:rsid w:val="006160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8">
    <w:name w:val="Tabla con cuadrícula448"/>
    <w:basedOn w:val="Tablanormal"/>
    <w:next w:val="Tablaconcuadrcula"/>
    <w:rsid w:val="00FB11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30">
    <w:name w:val="Tabla con cuadrícula 153"/>
    <w:basedOn w:val="Tablanormal"/>
    <w:next w:val="Tablaconcuadrcula10"/>
    <w:rsid w:val="0099037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08">
    <w:name w:val="Sin lista308"/>
    <w:next w:val="Sinlista"/>
    <w:semiHidden/>
    <w:rsid w:val="0076440E"/>
  </w:style>
  <w:style w:type="table" w:customStyle="1" w:styleId="Tablaconcuadrcula449">
    <w:name w:val="Tabla con cuadrícula449"/>
    <w:basedOn w:val="Tablanormal"/>
    <w:next w:val="Tablaconcuadrcula"/>
    <w:rsid w:val="007644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9">
    <w:name w:val="Sin lista309"/>
    <w:next w:val="Sinlista"/>
    <w:semiHidden/>
    <w:rsid w:val="006B3542"/>
  </w:style>
  <w:style w:type="numbering" w:customStyle="1" w:styleId="Sinlista316">
    <w:name w:val="Sin lista316"/>
    <w:next w:val="Sinlista"/>
    <w:semiHidden/>
    <w:rsid w:val="00643404"/>
  </w:style>
  <w:style w:type="table" w:customStyle="1" w:styleId="Tablaconcuadrcula450">
    <w:name w:val="Tabla con cuadrícula450"/>
    <w:basedOn w:val="Tablanormal"/>
    <w:next w:val="Tablaconcuadrcula"/>
    <w:rsid w:val="0064340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17">
    <w:name w:val="Sin lista317"/>
    <w:next w:val="Sinlista"/>
    <w:semiHidden/>
    <w:rsid w:val="00DA6F07"/>
  </w:style>
  <w:style w:type="table" w:customStyle="1" w:styleId="Tablaconcuadrcula451">
    <w:name w:val="Tabla con cuadrícula451"/>
    <w:basedOn w:val="Tablanormal"/>
    <w:next w:val="Tablaconcuadrcula"/>
    <w:rsid w:val="00DA6F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60">
    <w:name w:val="Character Style 60"/>
    <w:rsid w:val="00DA6F07"/>
    <w:rPr>
      <w:color w:val="000000"/>
      <w:sz w:val="6"/>
      <w:szCs w:val="6"/>
      <w:shd w:val="clear" w:color="auto" w:fill="DFDFDF"/>
    </w:rPr>
  </w:style>
  <w:style w:type="table" w:customStyle="1" w:styleId="Tablaconcuadrcula1540">
    <w:name w:val="Tabla con cuadrícula 154"/>
    <w:basedOn w:val="Tablanormal"/>
    <w:next w:val="Tablaconcuadrcula10"/>
    <w:rsid w:val="00DA6F07"/>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Style7">
    <w:name w:val="Style 7"/>
    <w:basedOn w:val="Normal"/>
    <w:uiPriority w:val="99"/>
    <w:rsid w:val="00DA6F07"/>
    <w:pPr>
      <w:widowControl w:val="0"/>
      <w:autoSpaceDE w:val="0"/>
      <w:autoSpaceDN w:val="0"/>
      <w:ind w:firstLine="288"/>
      <w:jc w:val="both"/>
    </w:pPr>
    <w:rPr>
      <w:rFonts w:eastAsia="Times New Roman"/>
      <w:sz w:val="21"/>
      <w:szCs w:val="21"/>
      <w:lang w:val="en-US"/>
    </w:rPr>
  </w:style>
  <w:style w:type="numbering" w:customStyle="1" w:styleId="Sinlista318">
    <w:name w:val="Sin lista318"/>
    <w:next w:val="Sinlista"/>
    <w:semiHidden/>
    <w:rsid w:val="009B69A9"/>
  </w:style>
  <w:style w:type="table" w:customStyle="1" w:styleId="Tablaconcuadrcula452">
    <w:name w:val="Tabla con cuadrícula452"/>
    <w:basedOn w:val="Tablanormal"/>
    <w:next w:val="Tablaconcuadrcula"/>
    <w:rsid w:val="009B69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1">
    <w:name w:val="1 / 1.1 / 1.1.1141"/>
    <w:basedOn w:val="Sinlista"/>
    <w:next w:val="111111"/>
    <w:rsid w:val="00101047"/>
  </w:style>
  <w:style w:type="table" w:customStyle="1" w:styleId="Tablaconcuadrcula453">
    <w:name w:val="Tabla con cuadrícula453"/>
    <w:basedOn w:val="Tablanormal"/>
    <w:next w:val="Tablaconcuadrcula"/>
    <w:rsid w:val="001010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5">
    <w:name w:val="1 / 1.1 / 1.1.15"/>
    <w:basedOn w:val="Sinlista"/>
    <w:next w:val="111111"/>
    <w:rsid w:val="00101047"/>
  </w:style>
  <w:style w:type="numbering" w:customStyle="1" w:styleId="Sinlista319">
    <w:name w:val="Sin lista319"/>
    <w:next w:val="Sinlista"/>
    <w:semiHidden/>
    <w:rsid w:val="004B43B6"/>
  </w:style>
  <w:style w:type="table" w:customStyle="1" w:styleId="Tablaconcuadrcula454">
    <w:name w:val="Tabla con cuadrícula454"/>
    <w:basedOn w:val="Tablanormal"/>
    <w:next w:val="Tablaconcuadrcula"/>
    <w:rsid w:val="00A61C7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0">
    <w:name w:val="Sin lista320"/>
    <w:next w:val="Sinlista"/>
    <w:semiHidden/>
    <w:rsid w:val="0019748F"/>
  </w:style>
  <w:style w:type="character" w:customStyle="1" w:styleId="CarCar18">
    <w:name w:val="Car Car18"/>
    <w:rsid w:val="0019748F"/>
    <w:rPr>
      <w:rFonts w:cs="CG Palacio (WN)"/>
      <w:b/>
      <w:sz w:val="18"/>
      <w:szCs w:val="24"/>
      <w:lang w:val="es-ES" w:eastAsia="es-ES" w:bidi="ar-SA"/>
    </w:rPr>
  </w:style>
  <w:style w:type="character" w:customStyle="1" w:styleId="CarCar17">
    <w:name w:val="Car Car17"/>
    <w:rsid w:val="0019748F"/>
    <w:rPr>
      <w:rFonts w:ascii="Arial" w:hAnsi="Arial" w:cs="Helv"/>
      <w:sz w:val="18"/>
      <w:lang w:val="es-ES_tradnl" w:eastAsia="es-MX" w:bidi="ar-SA"/>
    </w:rPr>
  </w:style>
  <w:style w:type="character" w:customStyle="1" w:styleId="Ttulo3Car">
    <w:name w:val="Título 3 Car"/>
    <w:aliases w:val="num.                                              3 Car"/>
    <w:link w:val="Ttulo3"/>
    <w:uiPriority w:val="9"/>
    <w:rsid w:val="0019748F"/>
    <w:rPr>
      <w:rFonts w:eastAsia="SimSun"/>
      <w:b/>
      <w:bCs/>
      <w:sz w:val="22"/>
      <w:szCs w:val="22"/>
      <w:lang w:val="es-ES" w:eastAsia="es-ES" w:bidi="ar-SA"/>
    </w:rPr>
  </w:style>
  <w:style w:type="character" w:customStyle="1" w:styleId="CarCar15">
    <w:name w:val="Car Car15"/>
    <w:rsid w:val="0019748F"/>
    <w:rPr>
      <w:sz w:val="24"/>
      <w:lang w:val="es-ES" w:eastAsia="es-ES" w:bidi="ar-SA"/>
    </w:rPr>
  </w:style>
  <w:style w:type="character" w:customStyle="1" w:styleId="CarCar14">
    <w:name w:val="Car Car14"/>
    <w:rsid w:val="0019748F"/>
    <w:rPr>
      <w:rFonts w:ascii="Arial" w:hAnsi="Arial"/>
      <w:b/>
      <w:sz w:val="24"/>
      <w:lang w:val="es-ES" w:eastAsia="es-ES" w:bidi="ar-SA"/>
    </w:rPr>
  </w:style>
  <w:style w:type="character" w:customStyle="1" w:styleId="Ttulo6Car">
    <w:name w:val="Título 6 Car"/>
    <w:link w:val="Ttulo6"/>
    <w:uiPriority w:val="9"/>
    <w:rsid w:val="0019748F"/>
    <w:rPr>
      <w:rFonts w:eastAsia="SimSun"/>
      <w:b/>
      <w:sz w:val="26"/>
      <w:szCs w:val="26"/>
      <w:lang w:val="es-ES" w:eastAsia="es-ES" w:bidi="ar-SA"/>
    </w:rPr>
  </w:style>
  <w:style w:type="character" w:customStyle="1" w:styleId="Ttulo7Car">
    <w:name w:val="Título 7 Car"/>
    <w:link w:val="Ttulo7"/>
    <w:uiPriority w:val="99"/>
    <w:rsid w:val="0019748F"/>
    <w:rPr>
      <w:rFonts w:eastAsia="SimSun"/>
      <w:b/>
      <w:bCs/>
      <w:sz w:val="14"/>
      <w:szCs w:val="26"/>
      <w:lang w:val="es-ES" w:eastAsia="es-ES" w:bidi="ar-SA"/>
    </w:rPr>
  </w:style>
  <w:style w:type="character" w:customStyle="1" w:styleId="Ttulo8Car">
    <w:name w:val="Título 8 Car"/>
    <w:link w:val="Ttulo8"/>
    <w:uiPriority w:val="99"/>
    <w:rsid w:val="0019748F"/>
    <w:rPr>
      <w:rFonts w:eastAsia="SimSun"/>
      <w:i/>
      <w:iCs/>
      <w:sz w:val="24"/>
      <w:szCs w:val="24"/>
      <w:lang w:val="es-MX" w:eastAsia="es-ES" w:bidi="ar-SA"/>
    </w:rPr>
  </w:style>
  <w:style w:type="character" w:customStyle="1" w:styleId="Ttulo9Car">
    <w:name w:val="Título 9 Car"/>
    <w:link w:val="Ttulo9"/>
    <w:uiPriority w:val="99"/>
    <w:rsid w:val="0019748F"/>
    <w:rPr>
      <w:rFonts w:ascii="Arial" w:eastAsia="SimSun" w:hAnsi="Arial"/>
      <w:sz w:val="22"/>
      <w:szCs w:val="22"/>
      <w:lang w:val="es-MX" w:eastAsia="es-ES" w:bidi="ar-SA"/>
    </w:rPr>
  </w:style>
  <w:style w:type="character" w:customStyle="1" w:styleId="SangradetextonormalCar">
    <w:name w:val="Sangría de texto normal Car"/>
    <w:link w:val="Sangradetextonormal"/>
    <w:uiPriority w:val="99"/>
    <w:rsid w:val="0019748F"/>
    <w:rPr>
      <w:rFonts w:eastAsia="SimSun"/>
      <w:sz w:val="24"/>
      <w:szCs w:val="24"/>
      <w:lang w:val="es-ES" w:eastAsia="es-ES" w:bidi="ar-SA"/>
    </w:rPr>
  </w:style>
  <w:style w:type="character" w:customStyle="1" w:styleId="Sangra2detindependienteCar">
    <w:name w:val="Sangría 2 de t. independiente Car"/>
    <w:link w:val="Sangra2detindependiente"/>
    <w:uiPriority w:val="99"/>
    <w:rsid w:val="0019748F"/>
    <w:rPr>
      <w:rFonts w:eastAsia="SimSun"/>
      <w:sz w:val="24"/>
      <w:szCs w:val="24"/>
      <w:lang w:val="es-ES" w:eastAsia="es-ES" w:bidi="ar-SA"/>
    </w:rPr>
  </w:style>
  <w:style w:type="character" w:customStyle="1" w:styleId="CarCar7">
    <w:name w:val="Car Car7"/>
    <w:rsid w:val="0019748F"/>
    <w:rPr>
      <w:lang w:val="es-ES" w:eastAsia="es-ES" w:bidi="ar-SA"/>
    </w:rPr>
  </w:style>
  <w:style w:type="character" w:customStyle="1" w:styleId="PiedepginaCar">
    <w:name w:val="Pie de página Car"/>
    <w:link w:val="Piedepgina"/>
    <w:uiPriority w:val="99"/>
    <w:rsid w:val="0019748F"/>
    <w:rPr>
      <w:rFonts w:eastAsia="SimSun"/>
      <w:sz w:val="24"/>
      <w:szCs w:val="24"/>
      <w:lang w:val="es-MX" w:eastAsia="es-ES" w:bidi="ar-SA"/>
    </w:rPr>
  </w:style>
  <w:style w:type="character" w:customStyle="1" w:styleId="TextoindependienteCar">
    <w:name w:val="Texto independiente Car"/>
    <w:aliases w:val=" Car Car Car Car Car Car Car,Car Car Car Car Car Car Car1"/>
    <w:link w:val="Textoindependiente"/>
    <w:rsid w:val="0019748F"/>
    <w:rPr>
      <w:rFonts w:eastAsia="SimSun"/>
      <w:szCs w:val="24"/>
      <w:lang w:val="es-MX" w:eastAsia="es-ES" w:bidi="ar-SA"/>
    </w:rPr>
  </w:style>
  <w:style w:type="character" w:customStyle="1" w:styleId="Textoindependiente2Car">
    <w:name w:val="Texto independiente 2 Car"/>
    <w:link w:val="Textoindependiente2"/>
    <w:uiPriority w:val="99"/>
    <w:rsid w:val="0019748F"/>
    <w:rPr>
      <w:rFonts w:eastAsia="SimSun"/>
      <w:sz w:val="26"/>
      <w:szCs w:val="24"/>
      <w:lang w:val="es-MX" w:eastAsia="es-ES" w:bidi="ar-SA"/>
    </w:rPr>
  </w:style>
  <w:style w:type="paragraph" w:customStyle="1" w:styleId="xl114">
    <w:name w:val="xl114"/>
    <w:basedOn w:val="Normal"/>
    <w:uiPriority w:val="99"/>
    <w:rsid w:val="0019748F"/>
    <w:pPr>
      <w:shd w:val="clear" w:color="000000" w:fill="FFFFFF"/>
      <w:spacing w:before="100" w:beforeAutospacing="1" w:after="100" w:afterAutospacing="1"/>
      <w:jc w:val="center"/>
    </w:pPr>
    <w:rPr>
      <w:rFonts w:eastAsia="Times New Roman"/>
      <w:lang w:eastAsia="es-MX"/>
    </w:rPr>
  </w:style>
  <w:style w:type="paragraph" w:customStyle="1" w:styleId="xl128">
    <w:name w:val="xl128"/>
    <w:basedOn w:val="Normal"/>
    <w:uiPriority w:val="99"/>
    <w:rsid w:val="0019748F"/>
    <w:pPr>
      <w:shd w:val="clear" w:color="000000" w:fill="FFFFFF"/>
      <w:spacing w:before="100" w:beforeAutospacing="1" w:after="100" w:afterAutospacing="1"/>
      <w:jc w:val="center"/>
    </w:pPr>
    <w:rPr>
      <w:rFonts w:ascii="Arial" w:eastAsia="Times New Roman" w:hAnsi="Arial" w:cs="Arial"/>
      <w:sz w:val="22"/>
      <w:szCs w:val="22"/>
      <w:lang w:eastAsia="es-MX"/>
    </w:rPr>
  </w:style>
  <w:style w:type="paragraph" w:customStyle="1" w:styleId="Secreta">
    <w:name w:val="Secreta"/>
    <w:basedOn w:val="Normal"/>
    <w:autoRedefine/>
    <w:uiPriority w:val="99"/>
    <w:rsid w:val="0019748F"/>
    <w:pPr>
      <w:tabs>
        <w:tab w:val="right" w:leader="dot" w:pos="8100"/>
        <w:tab w:val="right" w:pos="8640"/>
      </w:tabs>
      <w:spacing w:line="334" w:lineRule="exact"/>
      <w:ind w:left="274" w:right="749"/>
      <w:jc w:val="both"/>
    </w:pPr>
    <w:rPr>
      <w:rFonts w:eastAsia="Times New Roman"/>
      <w:b/>
      <w:sz w:val="20"/>
      <w:szCs w:val="20"/>
      <w:u w:val="single"/>
      <w:lang w:val="es-ES_tradnl"/>
    </w:rPr>
  </w:style>
  <w:style w:type="table" w:customStyle="1" w:styleId="Tablaconcuadrcula455">
    <w:name w:val="Tabla con cuadrícula455"/>
    <w:basedOn w:val="Tablanormal"/>
    <w:next w:val="Tablaconcuadrcula"/>
    <w:rsid w:val="000C1D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6">
    <w:name w:val="Tabla con cuadrícula456"/>
    <w:basedOn w:val="Tablanormal"/>
    <w:next w:val="Tablaconcuadrcula"/>
    <w:rsid w:val="003F0E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7">
    <w:name w:val="Tabla con cuadrícula457"/>
    <w:basedOn w:val="Tablanormal"/>
    <w:next w:val="Tablaconcuadrcula"/>
    <w:rsid w:val="000F334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4">
    <w:name w:val="Sin lista324"/>
    <w:next w:val="Sinlista"/>
    <w:semiHidden/>
    <w:rsid w:val="0073114E"/>
  </w:style>
  <w:style w:type="table" w:customStyle="1" w:styleId="Tablaconcuadrcula458">
    <w:name w:val="Tabla con cuadrícula458"/>
    <w:basedOn w:val="Tablanormal"/>
    <w:next w:val="Tablaconcuadrcula"/>
    <w:rsid w:val="00AD77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9">
    <w:name w:val="Tabla con cuadrícula459"/>
    <w:basedOn w:val="Tablanormal"/>
    <w:next w:val="Tablaconcuadrcula"/>
    <w:rsid w:val="005D68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0">
    <w:name w:val="Tabla con cuadrícula460"/>
    <w:basedOn w:val="Tablanormal"/>
    <w:next w:val="Tablaconcuadrcula"/>
    <w:rsid w:val="003107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5">
    <w:name w:val="Sin lista325"/>
    <w:next w:val="Sinlista"/>
    <w:semiHidden/>
    <w:rsid w:val="004E20F6"/>
  </w:style>
  <w:style w:type="table" w:customStyle="1" w:styleId="Tablaconcuadrcula461">
    <w:name w:val="Tabla con cuadrícula461"/>
    <w:basedOn w:val="Tablanormal"/>
    <w:next w:val="Tablaconcuadrcula"/>
    <w:rsid w:val="004E20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2">
    <w:name w:val="Tabla con cuadrícula462"/>
    <w:basedOn w:val="Tablanormal"/>
    <w:next w:val="Tablaconcuadrcula"/>
    <w:rsid w:val="005D11C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3">
    <w:name w:val="Tabla con cuadrícula463"/>
    <w:basedOn w:val="Tablanormal"/>
    <w:next w:val="Tablaconcuadrcula"/>
    <w:rsid w:val="00473E0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6">
    <w:name w:val="Sin lista326"/>
    <w:next w:val="Sinlista"/>
    <w:semiHidden/>
    <w:rsid w:val="007D6242"/>
  </w:style>
  <w:style w:type="table" w:customStyle="1" w:styleId="Tablaconcuadrcula464">
    <w:name w:val="Tabla con cuadrícula464"/>
    <w:basedOn w:val="Tablanormal"/>
    <w:next w:val="Tablaconcuadrcula"/>
    <w:rsid w:val="007D62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50">
    <w:name w:val="Tabla con cuadrícula 155"/>
    <w:basedOn w:val="Tablanormal"/>
    <w:next w:val="Tablaconcuadrcula10"/>
    <w:rsid w:val="00ED7BC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27">
    <w:name w:val="Sin lista327"/>
    <w:next w:val="Sinlista"/>
    <w:semiHidden/>
    <w:rsid w:val="00C66900"/>
  </w:style>
  <w:style w:type="table" w:customStyle="1" w:styleId="Tablaconcuadrcula465">
    <w:name w:val="Tabla con cuadrícula465"/>
    <w:basedOn w:val="Tablanormal"/>
    <w:next w:val="Tablaconcuadrcula"/>
    <w:rsid w:val="00C6690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8">
    <w:name w:val="Sin lista328"/>
    <w:next w:val="Sinlista"/>
    <w:semiHidden/>
    <w:rsid w:val="00322D90"/>
  </w:style>
  <w:style w:type="table" w:customStyle="1" w:styleId="Tablaconcuadrcula466">
    <w:name w:val="Tabla con cuadrícula466"/>
    <w:basedOn w:val="Tablanormal"/>
    <w:next w:val="Tablaconcuadrcula"/>
    <w:rsid w:val="00322D9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9">
    <w:name w:val="Sin lista329"/>
    <w:next w:val="Sinlista"/>
    <w:semiHidden/>
    <w:rsid w:val="00E832CC"/>
  </w:style>
  <w:style w:type="table" w:customStyle="1" w:styleId="Tablaconcuadrcula467">
    <w:name w:val="Tabla con cuadrícula467"/>
    <w:basedOn w:val="Tablanormal"/>
    <w:next w:val="Tablaconcuadrcula"/>
    <w:rsid w:val="00E832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8">
    <w:name w:val="Tabla con cuadrícula468"/>
    <w:basedOn w:val="Tablanormal"/>
    <w:next w:val="Tablaconcuadrcula"/>
    <w:rsid w:val="000B2E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0">
    <w:name w:val="Sin lista330"/>
    <w:next w:val="Sinlista"/>
    <w:semiHidden/>
    <w:rsid w:val="00933439"/>
  </w:style>
  <w:style w:type="table" w:customStyle="1" w:styleId="Tablaconcuadrcula469">
    <w:name w:val="Tabla con cuadrícula469"/>
    <w:basedOn w:val="Tablanormal"/>
    <w:next w:val="Tablaconcuadrcula"/>
    <w:rsid w:val="00C615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4">
    <w:name w:val="Sin lista334"/>
    <w:next w:val="Sinlista"/>
    <w:semiHidden/>
    <w:rsid w:val="0091338E"/>
  </w:style>
  <w:style w:type="table" w:customStyle="1" w:styleId="Tablaconcuadrcula1560">
    <w:name w:val="Tabla con cuadrícula 156"/>
    <w:basedOn w:val="Tablanormal"/>
    <w:next w:val="Tablaconcuadrcula10"/>
    <w:rsid w:val="0091338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35">
    <w:name w:val="Sin lista335"/>
    <w:next w:val="Sinlista"/>
    <w:semiHidden/>
    <w:rsid w:val="000860BC"/>
  </w:style>
  <w:style w:type="table" w:customStyle="1" w:styleId="Tablaconcuadrcula470">
    <w:name w:val="Tabla con cuadrícula470"/>
    <w:basedOn w:val="Tablanormal"/>
    <w:next w:val="Tablaconcuadrcula"/>
    <w:rsid w:val="000860B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1">
    <w:name w:val="Tabla con cuadrícula471"/>
    <w:basedOn w:val="Tablanormal"/>
    <w:next w:val="Tablaconcuadrcula"/>
    <w:rsid w:val="00EA652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2">
    <w:name w:val="Tabla con cuadrícula472"/>
    <w:basedOn w:val="Tablanormal"/>
    <w:next w:val="Tablaconcuadrcula"/>
    <w:rsid w:val="00FA505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3">
    <w:name w:val="Tabla con cuadrícula473"/>
    <w:basedOn w:val="Tablanormal"/>
    <w:next w:val="Tablaconcuadrcula"/>
    <w:rsid w:val="00C8658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4">
    <w:name w:val="Tabla con cuadrícula474"/>
    <w:basedOn w:val="Tablanormal"/>
    <w:next w:val="Tablaconcuadrcula"/>
    <w:rsid w:val="00395B6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6">
    <w:name w:val="Sin lista336"/>
    <w:next w:val="Sinlista"/>
    <w:semiHidden/>
    <w:rsid w:val="006C7C31"/>
  </w:style>
  <w:style w:type="table" w:customStyle="1" w:styleId="Tablaconcuadrcula475">
    <w:name w:val="Tabla con cuadrícula475"/>
    <w:basedOn w:val="Tablanormal"/>
    <w:next w:val="Tablaconcuadrcula"/>
    <w:rsid w:val="006C7C3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7">
    <w:name w:val="Sin lista337"/>
    <w:next w:val="Sinlista"/>
    <w:semiHidden/>
    <w:rsid w:val="004745F4"/>
  </w:style>
  <w:style w:type="numbering" w:customStyle="1" w:styleId="Sinlista338">
    <w:name w:val="Sin lista338"/>
    <w:next w:val="Sinlista"/>
    <w:semiHidden/>
    <w:rsid w:val="00727106"/>
  </w:style>
  <w:style w:type="table" w:customStyle="1" w:styleId="Tablaconcuadrcula476">
    <w:name w:val="Tabla con cuadrícula476"/>
    <w:basedOn w:val="Tablanormal"/>
    <w:next w:val="Tablaconcuadrcula"/>
    <w:rsid w:val="0072710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2">
    <w:name w:val="1 / 1.1 / 1.1.1142"/>
    <w:basedOn w:val="Sinlista"/>
    <w:next w:val="111111"/>
    <w:rsid w:val="00776874"/>
    <w:pPr>
      <w:numPr>
        <w:numId w:val="1"/>
      </w:numPr>
    </w:pPr>
  </w:style>
  <w:style w:type="table" w:customStyle="1" w:styleId="Tablaconcuadrcula477">
    <w:name w:val="Tabla con cuadrícula477"/>
    <w:basedOn w:val="Tablanormal"/>
    <w:next w:val="Tablaconcuadrcula"/>
    <w:rsid w:val="005373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8">
    <w:name w:val="Tabla con cuadrícula478"/>
    <w:basedOn w:val="Tablanormal"/>
    <w:next w:val="Tablaconcuadrcula"/>
    <w:rsid w:val="00E549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9">
    <w:name w:val="Tabla con cuadrícula479"/>
    <w:basedOn w:val="Tablanormal"/>
    <w:next w:val="Tablaconcuadrcula"/>
    <w:rsid w:val="007129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9">
    <w:name w:val="Sin lista339"/>
    <w:next w:val="Sinlista"/>
    <w:semiHidden/>
    <w:rsid w:val="0080080D"/>
  </w:style>
  <w:style w:type="numbering" w:customStyle="1" w:styleId="Sinlista340">
    <w:name w:val="Sin lista340"/>
    <w:next w:val="Sinlista"/>
    <w:semiHidden/>
    <w:rsid w:val="003B17A9"/>
  </w:style>
  <w:style w:type="table" w:customStyle="1" w:styleId="Tablaconcuadrcula480">
    <w:name w:val="Tabla con cuadrícula480"/>
    <w:basedOn w:val="Tablanormal"/>
    <w:next w:val="Tablaconcuadrcula"/>
    <w:rsid w:val="003B17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1">
    <w:name w:val="Tabla con cuadrícula481"/>
    <w:basedOn w:val="Tablanormal"/>
    <w:next w:val="Tablaconcuadrcula"/>
    <w:rsid w:val="004D74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2">
    <w:name w:val="Tabla con cuadrícula482"/>
    <w:basedOn w:val="Tablanormal"/>
    <w:next w:val="Tablaconcuadrcula"/>
    <w:rsid w:val="00965A5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4">
    <w:name w:val="Sin lista344"/>
    <w:next w:val="Sinlista"/>
    <w:semiHidden/>
    <w:rsid w:val="006577E9"/>
  </w:style>
  <w:style w:type="table" w:customStyle="1" w:styleId="Tablaconcuadrcula1570">
    <w:name w:val="Tabla con cuadrícula 157"/>
    <w:basedOn w:val="Tablanormal"/>
    <w:next w:val="Tablaconcuadrcula10"/>
    <w:rsid w:val="006577E9"/>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83">
    <w:name w:val="Tabla con cuadrícula483"/>
    <w:basedOn w:val="Tablanormal"/>
    <w:next w:val="Tablaconcuadrcula"/>
    <w:rsid w:val="006577E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5">
    <w:name w:val="Sin lista345"/>
    <w:next w:val="Sinlista"/>
    <w:semiHidden/>
    <w:rsid w:val="00F86BD6"/>
  </w:style>
  <w:style w:type="table" w:customStyle="1" w:styleId="Tablaconcuadrcula1105">
    <w:name w:val="Tabla con cuadrícula1105"/>
    <w:basedOn w:val="Tablanormal"/>
    <w:next w:val="Tablaconcuadrcula"/>
    <w:rsid w:val="00F86BD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4">
    <w:name w:val="Tabla con cuadrícula484"/>
    <w:basedOn w:val="Tablanormal"/>
    <w:next w:val="Tablaconcuadrcula"/>
    <w:rsid w:val="00415D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5">
    <w:name w:val="Tabla con cuadrícula485"/>
    <w:basedOn w:val="Tablanormal"/>
    <w:next w:val="Tablaconcuadrcula"/>
    <w:rsid w:val="00415D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6">
    <w:name w:val="Tabla con cuadrícula486"/>
    <w:basedOn w:val="Tablanormal"/>
    <w:next w:val="Tablaconcuadrcula"/>
    <w:rsid w:val="00415D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7">
    <w:name w:val="Tabla con cuadrícula487"/>
    <w:basedOn w:val="Tablanormal"/>
    <w:next w:val="Tablaconcuadrcula"/>
    <w:rsid w:val="0038485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6">
    <w:name w:val="Sin lista346"/>
    <w:next w:val="Sinlista"/>
    <w:semiHidden/>
    <w:rsid w:val="006B7453"/>
  </w:style>
  <w:style w:type="table" w:customStyle="1" w:styleId="Tablaconcuadrcula488">
    <w:name w:val="Tabla con cuadrícula488"/>
    <w:basedOn w:val="Tablanormal"/>
    <w:next w:val="Tablaconcuadrcula"/>
    <w:rsid w:val="006B745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9">
    <w:name w:val="Tabla con cuadrícula489"/>
    <w:basedOn w:val="Tablanormal"/>
    <w:next w:val="Tablaconcuadrcula"/>
    <w:rsid w:val="00D80F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80">
    <w:name w:val="Tabla con cuadrícula 158"/>
    <w:basedOn w:val="Tablanormal"/>
    <w:next w:val="Tablaconcuadrcula10"/>
    <w:rsid w:val="00D3383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90">
    <w:name w:val="Tabla con cuadrícula490"/>
    <w:basedOn w:val="Tablanormal"/>
    <w:next w:val="Tablaconcuadrcula"/>
    <w:rsid w:val="00687DD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90">
    <w:name w:val="Tabla con cuadrícula 159"/>
    <w:basedOn w:val="Tablanormal"/>
    <w:next w:val="Tablaconcuadrcula10"/>
    <w:rsid w:val="00BC6985"/>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47">
    <w:name w:val="Sin lista347"/>
    <w:next w:val="Sinlista"/>
    <w:semiHidden/>
    <w:rsid w:val="003F5F23"/>
  </w:style>
  <w:style w:type="table" w:customStyle="1" w:styleId="Tablaconcuadrcula491">
    <w:name w:val="Tabla con cuadrícula491"/>
    <w:basedOn w:val="Tablanormal"/>
    <w:next w:val="Tablaconcuadrcula"/>
    <w:rsid w:val="003F5F2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8">
    <w:name w:val="Sin lista348"/>
    <w:next w:val="Sinlista"/>
    <w:semiHidden/>
    <w:rsid w:val="002D25D0"/>
  </w:style>
  <w:style w:type="numbering" w:customStyle="1" w:styleId="Sinlista349">
    <w:name w:val="Sin lista349"/>
    <w:next w:val="Sinlista"/>
    <w:semiHidden/>
    <w:rsid w:val="00853D07"/>
  </w:style>
  <w:style w:type="table" w:customStyle="1" w:styleId="Tablaconcuadrcula492">
    <w:name w:val="Tabla con cuadrícula492"/>
    <w:basedOn w:val="Tablanormal"/>
    <w:next w:val="Tablaconcuadrcula"/>
    <w:rsid w:val="00853D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0">
    <w:name w:val="Sin lista350"/>
    <w:next w:val="Sinlista"/>
    <w:semiHidden/>
    <w:rsid w:val="00180B2F"/>
  </w:style>
  <w:style w:type="table" w:customStyle="1" w:styleId="Tablaconcuadrcula1600">
    <w:name w:val="Tabla con cuadrícula 160"/>
    <w:basedOn w:val="Tablanormal"/>
    <w:next w:val="Tablaconcuadrcula10"/>
    <w:rsid w:val="00180B2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93">
    <w:name w:val="Tabla con cuadrícula493"/>
    <w:basedOn w:val="Tablanormal"/>
    <w:next w:val="Tablaconcuadrcula"/>
    <w:rsid w:val="00DA55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4">
    <w:name w:val="Sin lista354"/>
    <w:next w:val="Sinlista"/>
    <w:semiHidden/>
    <w:rsid w:val="00B61BEE"/>
  </w:style>
  <w:style w:type="numbering" w:customStyle="1" w:styleId="Sinlista355">
    <w:name w:val="Sin lista355"/>
    <w:next w:val="Sinlista"/>
    <w:semiHidden/>
    <w:rsid w:val="000F5B37"/>
  </w:style>
  <w:style w:type="table" w:customStyle="1" w:styleId="Tablaconcuadrcula494">
    <w:name w:val="Tabla con cuadrícula494"/>
    <w:basedOn w:val="Tablanormal"/>
    <w:next w:val="Tablaconcuadrcula"/>
    <w:rsid w:val="000F5B3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6">
    <w:name w:val="Sin lista356"/>
    <w:next w:val="Sinlista"/>
    <w:semiHidden/>
    <w:rsid w:val="0014404F"/>
  </w:style>
  <w:style w:type="character" w:customStyle="1" w:styleId="EstiloCorreo24501">
    <w:name w:val="EstiloCorreo24501"/>
    <w:basedOn w:val="Fuentedeprrafopredeter"/>
    <w:semiHidden/>
    <w:rsid w:val="0014404F"/>
    <w:rPr>
      <w:rFonts w:ascii="Arial" w:hAnsi="Arial" w:cs="Arial"/>
      <w:color w:val="auto"/>
      <w:sz w:val="20"/>
      <w:szCs w:val="20"/>
    </w:rPr>
  </w:style>
  <w:style w:type="table" w:customStyle="1" w:styleId="Tablaconcuadrcula495">
    <w:name w:val="Tabla con cuadrícula495"/>
    <w:basedOn w:val="Tablanormal"/>
    <w:next w:val="Tablaconcuadrcula"/>
    <w:rsid w:val="00E478C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7">
    <w:name w:val="Sin lista357"/>
    <w:next w:val="Sinlista"/>
    <w:semiHidden/>
    <w:rsid w:val="00E26576"/>
  </w:style>
  <w:style w:type="table" w:customStyle="1" w:styleId="Tablaconcuadrcula496">
    <w:name w:val="Tabla con cuadrícula496"/>
    <w:basedOn w:val="Tablanormal"/>
    <w:next w:val="Tablaconcuadrcula"/>
    <w:rsid w:val="00E265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7">
    <w:name w:val="Tabla con cuadrícula497"/>
    <w:basedOn w:val="Tablanormal"/>
    <w:next w:val="Tablaconcuadrcula"/>
    <w:rsid w:val="001D72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8">
    <w:name w:val="Tabla con cuadrícula498"/>
    <w:basedOn w:val="Tablanormal"/>
    <w:next w:val="Tablaconcuadrcula"/>
    <w:rsid w:val="00A85F9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8">
    <w:name w:val="Sin lista358"/>
    <w:next w:val="Sinlista"/>
    <w:semiHidden/>
    <w:rsid w:val="00794ADA"/>
  </w:style>
  <w:style w:type="table" w:customStyle="1" w:styleId="Tablaconcuadrcula499">
    <w:name w:val="Tabla con cuadrícula499"/>
    <w:basedOn w:val="Tablanormal"/>
    <w:next w:val="Tablaconcuadrcula"/>
    <w:rsid w:val="00794AD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9">
    <w:name w:val="Sin lista359"/>
    <w:next w:val="Sinlista"/>
    <w:semiHidden/>
    <w:rsid w:val="008D1A96"/>
  </w:style>
  <w:style w:type="table" w:customStyle="1" w:styleId="Tablaconcuadrcula500">
    <w:name w:val="Tabla con cuadrícula500"/>
    <w:basedOn w:val="Tablanormal"/>
    <w:next w:val="Tablaconcuadrcula"/>
    <w:rsid w:val="008D1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a">
    <w:name w:val="Tabla con cuadrícula 21"/>
    <w:basedOn w:val="Tablanormal"/>
    <w:next w:val="Tablaconcuadrcula2a"/>
    <w:rsid w:val="008D1A96"/>
    <w:rPr>
      <w:rFonts w:eastAsia="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aconcuadrcula1611">
    <w:name w:val="Tabla con cuadrícula 161"/>
    <w:basedOn w:val="Tablanormal"/>
    <w:next w:val="Tablaconcuadrcula10"/>
    <w:rsid w:val="008D1A9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03">
    <w:name w:val="Tabla con cuadrícula503"/>
    <w:basedOn w:val="Tablanormal"/>
    <w:next w:val="Tablaconcuadrcula"/>
    <w:rsid w:val="00A0182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4">
    <w:name w:val="Tabla con cuadrícula504"/>
    <w:basedOn w:val="Tablanormal"/>
    <w:next w:val="Tablaconcuadrcula"/>
    <w:rsid w:val="00361B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5">
    <w:name w:val="Tabla con cuadrícula505"/>
    <w:basedOn w:val="Tablanormal"/>
    <w:next w:val="Tablaconcuadrcula"/>
    <w:rsid w:val="0072168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0">
    <w:name w:val="Sin lista360"/>
    <w:next w:val="Sinlista"/>
    <w:semiHidden/>
    <w:rsid w:val="00ED4174"/>
  </w:style>
  <w:style w:type="table" w:customStyle="1" w:styleId="Tablaconcuadrcula506">
    <w:name w:val="Tabla con cuadrícula506"/>
    <w:basedOn w:val="Tablanormal"/>
    <w:next w:val="Tablaconcuadrcula"/>
    <w:rsid w:val="00ED417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20">
    <w:name w:val="Tabla con cuadrícula 162"/>
    <w:basedOn w:val="Tablanormal"/>
    <w:next w:val="Tablaconcuadrcula10"/>
    <w:rsid w:val="00ED417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07">
    <w:name w:val="Tabla con cuadrícula507"/>
    <w:basedOn w:val="Tablanormal"/>
    <w:next w:val="Tablaconcuadrcula"/>
    <w:rsid w:val="00C87C7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8">
    <w:name w:val="Tabla con cuadrícula508"/>
    <w:basedOn w:val="Tablanormal"/>
    <w:next w:val="Tablaconcuadrcula"/>
    <w:rsid w:val="006255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9">
    <w:name w:val="Tabla con cuadrícula509"/>
    <w:basedOn w:val="Tablanormal"/>
    <w:next w:val="Tablaconcuadrcula"/>
    <w:rsid w:val="009834E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
    <w:name w:val="Tabla con cuadrícula510"/>
    <w:basedOn w:val="Tablanormal"/>
    <w:next w:val="Tablaconcuadrcula"/>
    <w:rsid w:val="003275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7">
    <w:name w:val="Tabla con cuadrícula517"/>
    <w:basedOn w:val="Tablanormal"/>
    <w:next w:val="Tablaconcuadrcula"/>
    <w:rsid w:val="0059760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8">
    <w:name w:val="Tabla con cuadrícula518"/>
    <w:basedOn w:val="Tablanormal"/>
    <w:next w:val="Tablaconcuadrcula"/>
    <w:rsid w:val="00DC697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4">
    <w:name w:val="Sin lista364"/>
    <w:next w:val="Sinlista"/>
    <w:semiHidden/>
    <w:rsid w:val="0034733D"/>
  </w:style>
  <w:style w:type="table" w:customStyle="1" w:styleId="Tablaconcuadrcula519">
    <w:name w:val="Tabla con cuadrícula519"/>
    <w:basedOn w:val="Tablanormal"/>
    <w:next w:val="Tablaconcuadrcula"/>
    <w:rsid w:val="0034733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5">
    <w:name w:val="Sin lista365"/>
    <w:next w:val="Sinlista"/>
    <w:semiHidden/>
    <w:rsid w:val="00777382"/>
  </w:style>
  <w:style w:type="table" w:customStyle="1" w:styleId="Tablaconcuadrcula520">
    <w:name w:val="Tabla con cuadrícula520"/>
    <w:basedOn w:val="Tablanormal"/>
    <w:next w:val="Tablaconcuadrcula"/>
    <w:rsid w:val="001D170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6">
    <w:name w:val="Sin lista366"/>
    <w:next w:val="Sinlista"/>
    <w:semiHidden/>
    <w:rsid w:val="00BB0286"/>
  </w:style>
  <w:style w:type="table" w:customStyle="1" w:styleId="Tablaconcuadrcula524">
    <w:name w:val="Tabla con cuadrícula524"/>
    <w:basedOn w:val="Tablanormal"/>
    <w:next w:val="Tablaconcuadrcula"/>
    <w:rsid w:val="00BB02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5">
    <w:name w:val="Tabla con cuadrícula525"/>
    <w:basedOn w:val="Tablanormal"/>
    <w:next w:val="Tablaconcuadrcula"/>
    <w:rsid w:val="00C82E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6">
    <w:name w:val="Tabla con cuadrícula526"/>
    <w:basedOn w:val="Tablanormal"/>
    <w:next w:val="Tablaconcuadrcula"/>
    <w:rsid w:val="00E406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7">
    <w:name w:val="Tabla con cuadrícula527"/>
    <w:basedOn w:val="Tablanormal"/>
    <w:next w:val="Tablaconcuadrcula"/>
    <w:rsid w:val="00DB684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8">
    <w:name w:val="Tabla con cuadrícula528"/>
    <w:basedOn w:val="Tablanormal"/>
    <w:next w:val="Tablaconcuadrcula"/>
    <w:rsid w:val="00860B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9">
    <w:name w:val="Tabla con cuadrícula529"/>
    <w:basedOn w:val="Tablanormal"/>
    <w:next w:val="Tablaconcuadrcula"/>
    <w:rsid w:val="00C75D3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0">
    <w:name w:val="Tabla con cuadrícula530"/>
    <w:basedOn w:val="Tablanormal"/>
    <w:next w:val="Tablaconcuadrcula"/>
    <w:rsid w:val="00084A9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7">
    <w:name w:val="Sin lista367"/>
    <w:next w:val="Sinlista"/>
    <w:semiHidden/>
    <w:rsid w:val="005327B1"/>
  </w:style>
  <w:style w:type="numbering" w:customStyle="1" w:styleId="Sinlista368">
    <w:name w:val="Sin lista368"/>
    <w:next w:val="Sinlista"/>
    <w:semiHidden/>
    <w:rsid w:val="007935A8"/>
  </w:style>
  <w:style w:type="numbering" w:customStyle="1" w:styleId="Sinlista369">
    <w:name w:val="Sin lista369"/>
    <w:next w:val="Sinlista"/>
    <w:semiHidden/>
    <w:rsid w:val="00AF0F84"/>
  </w:style>
  <w:style w:type="table" w:customStyle="1" w:styleId="Tablaconcuadrcula531">
    <w:name w:val="Tabla con cuadrícula531"/>
    <w:basedOn w:val="Tablanormal"/>
    <w:next w:val="Tablaconcuadrcula"/>
    <w:rsid w:val="00AF0F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0">
    <w:name w:val="Sin lista370"/>
    <w:next w:val="Sinlista"/>
    <w:semiHidden/>
    <w:rsid w:val="003B575D"/>
  </w:style>
  <w:style w:type="table" w:customStyle="1" w:styleId="Tablaconcuadrcula532">
    <w:name w:val="Tabla con cuadrícula532"/>
    <w:basedOn w:val="Tablanormal"/>
    <w:next w:val="Tablaconcuadrcula"/>
    <w:rsid w:val="003B57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4">
    <w:name w:val="Sin lista374"/>
    <w:next w:val="Sinlista"/>
    <w:semiHidden/>
    <w:rsid w:val="00D637A7"/>
  </w:style>
  <w:style w:type="table" w:customStyle="1" w:styleId="Tablaconcuadrcula533">
    <w:name w:val="Tabla con cuadrícula533"/>
    <w:basedOn w:val="Tablanormal"/>
    <w:next w:val="Tablaconcuadrcula"/>
    <w:rsid w:val="00D637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5">
    <w:name w:val="Sin lista375"/>
    <w:next w:val="Sinlista"/>
    <w:semiHidden/>
    <w:rsid w:val="007924E0"/>
  </w:style>
  <w:style w:type="table" w:customStyle="1" w:styleId="Tablaconcuadrcula534">
    <w:name w:val="Tabla con cuadrícula534"/>
    <w:basedOn w:val="Tablanormal"/>
    <w:next w:val="Tablaconcuadrcula"/>
    <w:rsid w:val="007924E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6">
    <w:name w:val="Sin lista376"/>
    <w:next w:val="Sinlista"/>
    <w:semiHidden/>
    <w:rsid w:val="00A034EB"/>
  </w:style>
  <w:style w:type="table" w:customStyle="1" w:styleId="Tablaconcuadrcula535">
    <w:name w:val="Tabla con cuadrícula535"/>
    <w:basedOn w:val="Tablanormal"/>
    <w:next w:val="Tablaconcuadrcula"/>
    <w:rsid w:val="00A034E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7">
    <w:name w:val="Sin lista377"/>
    <w:next w:val="Sinlista"/>
    <w:semiHidden/>
    <w:rsid w:val="0026239B"/>
  </w:style>
  <w:style w:type="table" w:customStyle="1" w:styleId="Tablaconcuadrcula536">
    <w:name w:val="Tabla con cuadrícula536"/>
    <w:basedOn w:val="Tablanormal"/>
    <w:next w:val="Tablaconcuadrcula"/>
    <w:rsid w:val="002623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30">
    <w:name w:val="Tabla con cuadrícula 163"/>
    <w:basedOn w:val="Tablanormal"/>
    <w:next w:val="Tablaconcuadrcula10"/>
    <w:rsid w:val="001E29B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37">
    <w:name w:val="Tabla con cuadrícula537"/>
    <w:basedOn w:val="Tablanormal"/>
    <w:next w:val="Tablaconcuadrcula"/>
    <w:rsid w:val="00B154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8">
    <w:name w:val="Tabla con cuadrícula538"/>
    <w:basedOn w:val="Tablanormal"/>
    <w:next w:val="Tablaconcuadrcula"/>
    <w:rsid w:val="006A237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9">
    <w:name w:val="Tabla con cuadrícula539"/>
    <w:basedOn w:val="Tablanormal"/>
    <w:next w:val="Tablaconcuadrcula"/>
    <w:rsid w:val="00F2393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8">
    <w:name w:val="Sin lista378"/>
    <w:next w:val="Sinlista"/>
    <w:semiHidden/>
    <w:rsid w:val="00C163B2"/>
  </w:style>
  <w:style w:type="table" w:customStyle="1" w:styleId="Tablaconcuadrcula1640">
    <w:name w:val="Tabla con cuadrícula 164"/>
    <w:basedOn w:val="Tablanormal"/>
    <w:next w:val="Tablaconcuadrcula10"/>
    <w:rsid w:val="00C163B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40">
    <w:name w:val="Tabla con cuadrícula540"/>
    <w:basedOn w:val="Tablanormal"/>
    <w:next w:val="Tablaconcuadrcula"/>
    <w:rsid w:val="00FE4AF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1">
    <w:name w:val="Tabla con cuadrícula541"/>
    <w:basedOn w:val="Tablanormal"/>
    <w:next w:val="Tablaconcuadrcula"/>
    <w:rsid w:val="00811E8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79">
    <w:name w:val="Sin lista379"/>
    <w:next w:val="Sinlista"/>
    <w:semiHidden/>
    <w:rsid w:val="00EB3E41"/>
  </w:style>
  <w:style w:type="table" w:customStyle="1" w:styleId="Tablaconcuadrcula542">
    <w:name w:val="Tabla con cuadrícula542"/>
    <w:basedOn w:val="Tablanormal"/>
    <w:next w:val="Tablaconcuadrcula"/>
    <w:rsid w:val="00EB3E4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3">
    <w:name w:val="Tabla con cuadrícula543"/>
    <w:basedOn w:val="Tablanormal"/>
    <w:next w:val="Tablaconcuadrcula"/>
    <w:rsid w:val="00C468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4">
    <w:name w:val="Tabla con cuadrícula544"/>
    <w:basedOn w:val="Tablanormal"/>
    <w:next w:val="Tablaconcuadrcula"/>
    <w:rsid w:val="006F11D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5">
    <w:name w:val="Tabla con cuadrícula545"/>
    <w:basedOn w:val="Tablanormal"/>
    <w:next w:val="Tablaconcuadrcula"/>
    <w:rsid w:val="00CA01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6">
    <w:name w:val="Tabla con cuadrícula546"/>
    <w:basedOn w:val="Tablanormal"/>
    <w:next w:val="Tablaconcuadrcula"/>
    <w:rsid w:val="00C1441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0">
    <w:name w:val="Sin lista380"/>
    <w:next w:val="Sinlista"/>
    <w:semiHidden/>
    <w:rsid w:val="00710A09"/>
  </w:style>
  <w:style w:type="numbering" w:customStyle="1" w:styleId="Sinlista384">
    <w:name w:val="Sin lista384"/>
    <w:next w:val="Sinlista"/>
    <w:semiHidden/>
    <w:rsid w:val="00FC6B95"/>
  </w:style>
  <w:style w:type="table" w:customStyle="1" w:styleId="Tablaconcuadrcula547">
    <w:name w:val="Tabla con cuadrícula547"/>
    <w:basedOn w:val="Tablanormal"/>
    <w:next w:val="Tablaconcuadrcula"/>
    <w:rsid w:val="00FC6B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8">
    <w:name w:val="Tabla con cuadrícula548"/>
    <w:basedOn w:val="Tablanormal"/>
    <w:next w:val="Tablaconcuadrcula"/>
    <w:rsid w:val="0081081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5">
    <w:name w:val="Sin lista385"/>
    <w:next w:val="Sinlista"/>
    <w:semiHidden/>
    <w:rsid w:val="007C140A"/>
  </w:style>
  <w:style w:type="table" w:customStyle="1" w:styleId="Tablaconcuadrcula549">
    <w:name w:val="Tabla con cuadrícula549"/>
    <w:basedOn w:val="Tablanormal"/>
    <w:next w:val="Tablaconcuadrcula"/>
    <w:rsid w:val="007970F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0">
    <w:name w:val="Tabla con cuadrícula550"/>
    <w:basedOn w:val="Tablanormal"/>
    <w:next w:val="Tablaconcuadrcula"/>
    <w:rsid w:val="00797B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6">
    <w:name w:val="Sin lista386"/>
    <w:next w:val="Sinlista"/>
    <w:semiHidden/>
    <w:rsid w:val="001661DA"/>
  </w:style>
  <w:style w:type="table" w:customStyle="1" w:styleId="Tablaconcuadrcula551">
    <w:name w:val="Tabla con cuadrícula551"/>
    <w:basedOn w:val="Tablanormal"/>
    <w:next w:val="Tablaconcuadrcula"/>
    <w:rsid w:val="001661D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7">
    <w:name w:val="Sin lista387"/>
    <w:next w:val="Sinlista"/>
    <w:semiHidden/>
    <w:rsid w:val="00002FEA"/>
  </w:style>
  <w:style w:type="table" w:customStyle="1" w:styleId="Tablaconcuadrcula552">
    <w:name w:val="Tabla con cuadrícula552"/>
    <w:basedOn w:val="Tablanormal"/>
    <w:next w:val="Tablaconcuadrcula"/>
    <w:rsid w:val="00002F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8">
    <w:name w:val="Sin lista388"/>
    <w:next w:val="Sinlista"/>
    <w:semiHidden/>
    <w:rsid w:val="00DB3342"/>
  </w:style>
  <w:style w:type="table" w:customStyle="1" w:styleId="Tablaconcuadrcula553">
    <w:name w:val="Tabla con cuadrícula553"/>
    <w:basedOn w:val="Tablanormal"/>
    <w:next w:val="Tablaconcuadrcula"/>
    <w:rsid w:val="00DB33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4">
    <w:name w:val="Tabla con cuadrícula554"/>
    <w:basedOn w:val="Tablanormal"/>
    <w:next w:val="Tablaconcuadrcula"/>
    <w:rsid w:val="00AF32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9">
    <w:name w:val="Sin lista389"/>
    <w:next w:val="Sinlista"/>
    <w:semiHidden/>
    <w:rsid w:val="0053744D"/>
  </w:style>
  <w:style w:type="table" w:customStyle="1" w:styleId="Tablaconcuadrcula555">
    <w:name w:val="Tabla con cuadrícula555"/>
    <w:basedOn w:val="Tablanormal"/>
    <w:next w:val="Tablaconcuadrcula"/>
    <w:rsid w:val="005374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6">
    <w:name w:val="Tabla con cuadrícula556"/>
    <w:basedOn w:val="Tablanormal"/>
    <w:next w:val="Tablaconcuadrcula"/>
    <w:rsid w:val="00F038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7">
    <w:name w:val="Tabla con cuadrícula557"/>
    <w:basedOn w:val="Tablanormal"/>
    <w:next w:val="Tablaconcuadrcula"/>
    <w:rsid w:val="00C407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8">
    <w:name w:val="Tabla con cuadrícula558"/>
    <w:basedOn w:val="Tablanormal"/>
    <w:next w:val="Tablaconcuadrcula"/>
    <w:rsid w:val="006E10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9">
    <w:name w:val="Tabla con cuadrícula559"/>
    <w:basedOn w:val="Tablanormal"/>
    <w:next w:val="Tablaconcuadrcula"/>
    <w:rsid w:val="00C73C4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0">
    <w:name w:val="Tabla con cuadrícula560"/>
    <w:basedOn w:val="Tablanormal"/>
    <w:next w:val="Tablaconcuadrcula"/>
    <w:rsid w:val="008F1A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1">
    <w:name w:val="Tabla con cuadrícula561"/>
    <w:basedOn w:val="Tablanormal"/>
    <w:next w:val="Tablaconcuadrcula"/>
    <w:rsid w:val="005F28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0">
    <w:name w:val="Sin lista390"/>
    <w:next w:val="Sinlista"/>
    <w:semiHidden/>
    <w:rsid w:val="0057105D"/>
  </w:style>
  <w:style w:type="table" w:customStyle="1" w:styleId="Tablaconcuadrcula562">
    <w:name w:val="Tabla con cuadrícula562"/>
    <w:basedOn w:val="Tablanormal"/>
    <w:next w:val="Tablaconcuadrcula"/>
    <w:rsid w:val="005710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3">
    <w:name w:val="Tabla con cuadrícula563"/>
    <w:basedOn w:val="Tablanormal"/>
    <w:next w:val="Tablaconcuadrcula"/>
    <w:rsid w:val="0022637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94">
    <w:name w:val="Sin lista394"/>
    <w:next w:val="Sinlista"/>
    <w:semiHidden/>
    <w:rsid w:val="009A1C55"/>
  </w:style>
  <w:style w:type="table" w:customStyle="1" w:styleId="Tablaconcuadrcula564">
    <w:name w:val="Tabla con cuadrícula564"/>
    <w:basedOn w:val="Tablanormal"/>
    <w:next w:val="Tablaconcuadrcula"/>
    <w:rsid w:val="009A1C5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5">
    <w:name w:val="Tabla con cuadrícula565"/>
    <w:basedOn w:val="Tablanormal"/>
    <w:next w:val="Tablaconcuadrcula"/>
    <w:rsid w:val="0037280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5">
    <w:name w:val="Sin lista395"/>
    <w:next w:val="Sinlista"/>
    <w:semiHidden/>
    <w:rsid w:val="00F520DE"/>
  </w:style>
  <w:style w:type="table" w:customStyle="1" w:styleId="Tablaconcuadrcula566">
    <w:name w:val="Tabla con cuadrícula566"/>
    <w:basedOn w:val="Tablanormal"/>
    <w:next w:val="Tablaconcuadrcula"/>
    <w:rsid w:val="00F520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7">
    <w:name w:val="Tabla con cuadrícula567"/>
    <w:basedOn w:val="Tablanormal"/>
    <w:next w:val="Tablaconcuadrcula"/>
    <w:rsid w:val="00C335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8">
    <w:name w:val="Tabla con cuadrícula568"/>
    <w:basedOn w:val="Tablanormal"/>
    <w:next w:val="Tablaconcuadrcula"/>
    <w:rsid w:val="00135E1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6">
    <w:name w:val="Sin lista396"/>
    <w:next w:val="Sinlista"/>
    <w:semiHidden/>
    <w:rsid w:val="00B61388"/>
  </w:style>
  <w:style w:type="table" w:customStyle="1" w:styleId="Tablaconcuadrcula569">
    <w:name w:val="Tabla con cuadrícula569"/>
    <w:basedOn w:val="Tablanormal"/>
    <w:next w:val="Tablaconcuadrcula"/>
    <w:rsid w:val="00B613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0">
    <w:name w:val="Tabla con cuadrícula570"/>
    <w:basedOn w:val="Tablanormal"/>
    <w:next w:val="Tablaconcuadrcula"/>
    <w:rsid w:val="00F774F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1">
    <w:name w:val="Tabla con cuadrícula571"/>
    <w:basedOn w:val="Tablanormal"/>
    <w:next w:val="Tablaconcuadrcula"/>
    <w:rsid w:val="001D445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2">
    <w:name w:val="Tabla con cuadrícula572"/>
    <w:basedOn w:val="Tablanormal"/>
    <w:next w:val="Tablaconcuadrcula"/>
    <w:rsid w:val="00B80BB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3">
    <w:name w:val="Tabla con cuadrícula573"/>
    <w:basedOn w:val="Tablanormal"/>
    <w:next w:val="Tablaconcuadrcula"/>
    <w:rsid w:val="00054A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4">
    <w:name w:val="Tabla con cuadrícula574"/>
    <w:basedOn w:val="Tablanormal"/>
    <w:next w:val="Tablaconcuadrcula"/>
    <w:rsid w:val="00AD719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5">
    <w:name w:val="Tabla con cuadrícula575"/>
    <w:basedOn w:val="Tablanormal"/>
    <w:next w:val="Tablaconcuadrcula"/>
    <w:rsid w:val="00871C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6">
    <w:name w:val="Tabla con cuadrícula576"/>
    <w:basedOn w:val="Tablanormal"/>
    <w:next w:val="Tablaconcuadrcula"/>
    <w:rsid w:val="00871C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7">
    <w:name w:val="Sin lista397"/>
    <w:next w:val="Sinlista"/>
    <w:semiHidden/>
    <w:rsid w:val="008E3AEF"/>
  </w:style>
  <w:style w:type="table" w:customStyle="1" w:styleId="Tablaconcuadrcula577">
    <w:name w:val="Tabla con cuadrícula577"/>
    <w:basedOn w:val="Tablanormal"/>
    <w:next w:val="Tablaconcuadrcula"/>
    <w:rsid w:val="00BC6E0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8">
    <w:name w:val="Sin lista398"/>
    <w:next w:val="Sinlista"/>
    <w:semiHidden/>
    <w:rsid w:val="00857EA9"/>
  </w:style>
  <w:style w:type="table" w:customStyle="1" w:styleId="Tablaconcuadrcula578">
    <w:name w:val="Tabla con cuadrícula578"/>
    <w:basedOn w:val="Tablanormal"/>
    <w:next w:val="Tablaconcuadrcula"/>
    <w:rsid w:val="00857E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9">
    <w:name w:val="Tabla con cuadrícula579"/>
    <w:basedOn w:val="Tablanormal"/>
    <w:next w:val="Tablaconcuadrcula"/>
    <w:rsid w:val="002C154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0">
    <w:name w:val="Tabla con cuadrícula580"/>
    <w:basedOn w:val="Tablanormal"/>
    <w:next w:val="Tablaconcuadrcula"/>
    <w:rsid w:val="005E20A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9">
    <w:name w:val="Sin lista399"/>
    <w:next w:val="Sinlista"/>
    <w:semiHidden/>
    <w:rsid w:val="00DA75B6"/>
  </w:style>
  <w:style w:type="table" w:customStyle="1" w:styleId="Tablaconcuadrcula581">
    <w:name w:val="Tabla con cuadrícula581"/>
    <w:basedOn w:val="Tablanormal"/>
    <w:next w:val="Tablaconcuadrcula"/>
    <w:rsid w:val="00DA75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2">
    <w:name w:val="Tabla con cuadrícula582"/>
    <w:basedOn w:val="Tablanormal"/>
    <w:next w:val="Tablaconcuadrcula"/>
    <w:rsid w:val="00F404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3">
    <w:name w:val="Tabla con cuadrícula583"/>
    <w:basedOn w:val="Tablanormal"/>
    <w:next w:val="Tablaconcuadrcula"/>
    <w:rsid w:val="008B0AE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4">
    <w:name w:val="Tabla con cuadrícula584"/>
    <w:basedOn w:val="Tablanormal"/>
    <w:next w:val="Tablaconcuadrcula"/>
    <w:rsid w:val="00FC7A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5">
    <w:name w:val="Tabla con cuadrícula585"/>
    <w:basedOn w:val="Tablanormal"/>
    <w:next w:val="Tablaconcuadrcula"/>
    <w:rsid w:val="00C205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6">
    <w:name w:val="Tabla con cuadrícula586"/>
    <w:basedOn w:val="Tablanormal"/>
    <w:next w:val="Tablaconcuadrcula"/>
    <w:rsid w:val="00EC28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7">
    <w:name w:val="Tabla con cuadrícula587"/>
    <w:basedOn w:val="Tablanormal"/>
    <w:next w:val="Tablaconcuadrcula"/>
    <w:rsid w:val="002F4B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8">
    <w:name w:val="Tabla con cuadrícula588"/>
    <w:basedOn w:val="Tablanormal"/>
    <w:next w:val="Tablaconcuadrcula"/>
    <w:rsid w:val="005F3B4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0">
    <w:name w:val="Sin lista400"/>
    <w:next w:val="Sinlista"/>
    <w:semiHidden/>
    <w:rsid w:val="00AD555C"/>
  </w:style>
  <w:style w:type="numbering" w:customStyle="1" w:styleId="Sinlista404">
    <w:name w:val="Sin lista404"/>
    <w:next w:val="Sinlista"/>
    <w:semiHidden/>
    <w:rsid w:val="00223825"/>
  </w:style>
  <w:style w:type="table" w:customStyle="1" w:styleId="Tablaconcuadrcula589">
    <w:name w:val="Tabla con cuadrícula589"/>
    <w:basedOn w:val="Tablanormal"/>
    <w:next w:val="Tablaconcuadrcula"/>
    <w:rsid w:val="0022382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5">
    <w:name w:val="Sin lista405"/>
    <w:next w:val="Sinlista"/>
    <w:semiHidden/>
    <w:rsid w:val="00FE2A12"/>
  </w:style>
  <w:style w:type="table" w:customStyle="1" w:styleId="Tablaconcuadrcula590">
    <w:name w:val="Tabla con cuadrícula590"/>
    <w:basedOn w:val="Tablanormal"/>
    <w:next w:val="Tablaconcuadrcula"/>
    <w:rsid w:val="001202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1">
    <w:name w:val="Tabla con cuadrícula591"/>
    <w:basedOn w:val="Tablanormal"/>
    <w:next w:val="Tablaconcuadrcula"/>
    <w:rsid w:val="00147E9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2">
    <w:name w:val="Tabla con cuadrícula592"/>
    <w:basedOn w:val="Tablanormal"/>
    <w:next w:val="Tablaconcuadrcula"/>
    <w:rsid w:val="00F2400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6">
    <w:name w:val="Sin lista406"/>
    <w:next w:val="Sinlista"/>
    <w:semiHidden/>
    <w:rsid w:val="005E2FF4"/>
  </w:style>
  <w:style w:type="table" w:customStyle="1" w:styleId="Tablaconcuadrcula593">
    <w:name w:val="Tabla con cuadrícula593"/>
    <w:basedOn w:val="Tablanormal"/>
    <w:next w:val="Tablaconcuadrcula"/>
    <w:rsid w:val="005E2FF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4">
    <w:name w:val="Tabla con cuadrícula594"/>
    <w:basedOn w:val="Tablanormal"/>
    <w:next w:val="Tablaconcuadrcula"/>
    <w:rsid w:val="001D63E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7">
    <w:name w:val="Sin lista407"/>
    <w:next w:val="Sinlista"/>
    <w:semiHidden/>
    <w:rsid w:val="00CD62E3"/>
  </w:style>
  <w:style w:type="table" w:customStyle="1" w:styleId="Tablaconcuadrcula595">
    <w:name w:val="Tabla con cuadrícula595"/>
    <w:basedOn w:val="Tablanormal"/>
    <w:next w:val="Tablaconcuadrcula"/>
    <w:rsid w:val="00CD62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8">
    <w:name w:val="Sin lista408"/>
    <w:next w:val="Sinlista"/>
    <w:semiHidden/>
    <w:rsid w:val="00987EF7"/>
  </w:style>
  <w:style w:type="table" w:customStyle="1" w:styleId="Tablaconcuadrcula596">
    <w:name w:val="Tabla con cuadrícula596"/>
    <w:basedOn w:val="Tablanormal"/>
    <w:next w:val="Tablaconcuadrcula"/>
    <w:rsid w:val="00987EF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pip">
    <w:name w:val="spip"/>
    <w:basedOn w:val="Normal"/>
    <w:uiPriority w:val="99"/>
    <w:rsid w:val="00DF052F"/>
    <w:pPr>
      <w:spacing w:before="100" w:beforeAutospacing="1" w:after="100" w:afterAutospacing="1"/>
    </w:pPr>
    <w:rPr>
      <w:rFonts w:eastAsia="Times New Roman"/>
      <w:lang w:val="es-ES"/>
    </w:rPr>
  </w:style>
  <w:style w:type="table" w:customStyle="1" w:styleId="Tablaconcuadrcula597">
    <w:name w:val="Tabla con cuadrícula597"/>
    <w:basedOn w:val="Tablanormal"/>
    <w:next w:val="Tablaconcuadrcula"/>
    <w:rsid w:val="00EE06E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8">
    <w:name w:val="Tabla con cuadrícula598"/>
    <w:basedOn w:val="Tablanormal"/>
    <w:next w:val="Tablaconcuadrcula"/>
    <w:rsid w:val="00592F3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9">
    <w:name w:val="Tabla con cuadrícula599"/>
    <w:basedOn w:val="Tablanormal"/>
    <w:next w:val="Tablaconcuadrcula"/>
    <w:rsid w:val="004734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0">
    <w:name w:val="Tabla con cuadrícula600"/>
    <w:basedOn w:val="Tablanormal"/>
    <w:next w:val="Tablaconcuadrcula"/>
    <w:rsid w:val="004C24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1">
    <w:name w:val="Tabla con cuadrícula601"/>
    <w:basedOn w:val="Tablanormal"/>
    <w:next w:val="Tablaconcuadrcula"/>
    <w:rsid w:val="004C24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9">
    <w:name w:val="Sin lista409"/>
    <w:next w:val="Sinlista"/>
    <w:semiHidden/>
    <w:rsid w:val="003B529A"/>
  </w:style>
  <w:style w:type="table" w:customStyle="1" w:styleId="Tablaconcuadrcula602">
    <w:name w:val="Tabla con cuadrícula602"/>
    <w:basedOn w:val="Tablanormal"/>
    <w:next w:val="Tablaconcuadrcula"/>
    <w:rsid w:val="003B52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3">
    <w:name w:val="Tabla con cuadrícula603"/>
    <w:basedOn w:val="Tablanormal"/>
    <w:next w:val="Tablaconcuadrcula"/>
    <w:rsid w:val="003175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4">
    <w:name w:val="Tabla con cuadrícula604"/>
    <w:basedOn w:val="Tablanormal"/>
    <w:next w:val="Tablaconcuadrcula"/>
    <w:rsid w:val="00D372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5">
    <w:name w:val="Tabla con cuadrícula605"/>
    <w:basedOn w:val="Tablanormal"/>
    <w:next w:val="Tablaconcuadrcula"/>
    <w:rsid w:val="00EF4E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6">
    <w:name w:val="Sin lista416"/>
    <w:next w:val="Sinlista"/>
    <w:semiHidden/>
    <w:rsid w:val="00E01CBB"/>
  </w:style>
  <w:style w:type="table" w:customStyle="1" w:styleId="Tablaconcuadrcula606">
    <w:name w:val="Tabla con cuadrícula606"/>
    <w:basedOn w:val="Tablanormal"/>
    <w:next w:val="Tablaconcuadrcula"/>
    <w:rsid w:val="00E01CB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7">
    <w:name w:val="Sin lista417"/>
    <w:next w:val="Sinlista"/>
    <w:semiHidden/>
    <w:rsid w:val="00960F64"/>
  </w:style>
  <w:style w:type="table" w:customStyle="1" w:styleId="Tablaconcuadrcula607">
    <w:name w:val="Tabla con cuadrícula607"/>
    <w:basedOn w:val="Tablanormal"/>
    <w:next w:val="Tablaconcuadrcula"/>
    <w:rsid w:val="00960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8">
    <w:name w:val="Sin lista418"/>
    <w:next w:val="Sinlista"/>
    <w:semiHidden/>
    <w:rsid w:val="005B2D60"/>
  </w:style>
  <w:style w:type="table" w:customStyle="1" w:styleId="Tablaconcuadrcula608">
    <w:name w:val="Tabla con cuadrícula608"/>
    <w:basedOn w:val="Tablanormal"/>
    <w:next w:val="Tablaconcuadrcula"/>
    <w:rsid w:val="005B2D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9">
    <w:name w:val="Tabla con cuadrícula609"/>
    <w:basedOn w:val="Tablanormal"/>
    <w:next w:val="Tablaconcuadrcula"/>
    <w:rsid w:val="00D26E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6">
    <w:name w:val="Tabla con cuadrícula616"/>
    <w:basedOn w:val="Tablanormal"/>
    <w:next w:val="Tablaconcuadrcula"/>
    <w:rsid w:val="00026EA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9">
    <w:name w:val="Sin lista419"/>
    <w:next w:val="Sinlista"/>
    <w:semiHidden/>
    <w:rsid w:val="00490B4B"/>
  </w:style>
  <w:style w:type="table" w:customStyle="1" w:styleId="Tablaconcuadrcula617">
    <w:name w:val="Tabla con cuadrícula617"/>
    <w:basedOn w:val="Tablanormal"/>
    <w:next w:val="Tablaconcuadrcula"/>
    <w:rsid w:val="00490B4B"/>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106">
    <w:name w:val="Tabla con cuadrícula1106"/>
    <w:basedOn w:val="Tablanormal"/>
    <w:next w:val="Tablaconcuadrcula"/>
    <w:rsid w:val="00490B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0">
    <w:name w:val="Tabla con cuadrícula2100"/>
    <w:basedOn w:val="Tablanormal"/>
    <w:next w:val="Tablaconcuadrcula"/>
    <w:rsid w:val="00490B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0">
    <w:name w:val="Sin lista420"/>
    <w:next w:val="Sinlista"/>
    <w:semiHidden/>
    <w:rsid w:val="00136901"/>
  </w:style>
  <w:style w:type="table" w:customStyle="1" w:styleId="Tablaconcuadrcula618">
    <w:name w:val="Tabla con cuadrícula618"/>
    <w:basedOn w:val="Tablanormal"/>
    <w:next w:val="Tablaconcuadrcula"/>
    <w:rsid w:val="006B31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9">
    <w:name w:val="Tabla con cuadrícula619"/>
    <w:basedOn w:val="Tablanormal"/>
    <w:next w:val="Tablaconcuadrcula"/>
    <w:rsid w:val="00C23E5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0">
    <w:name w:val="Tabla con cuadrícula620"/>
    <w:basedOn w:val="Tablanormal"/>
    <w:next w:val="Tablaconcuadrcula"/>
    <w:rsid w:val="005158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4">
    <w:name w:val="Sin lista424"/>
    <w:next w:val="Sinlista"/>
    <w:semiHidden/>
    <w:rsid w:val="00B15CD5"/>
  </w:style>
  <w:style w:type="table" w:customStyle="1" w:styleId="Tablaconcuadrcula621">
    <w:name w:val="Tabla con cuadrícula621"/>
    <w:basedOn w:val="Tablanormal"/>
    <w:next w:val="Tablaconcuadrcula"/>
    <w:rsid w:val="00B15CD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5">
    <w:name w:val="Sin lista425"/>
    <w:next w:val="Sinlista"/>
    <w:semiHidden/>
    <w:rsid w:val="006B6E18"/>
  </w:style>
  <w:style w:type="table" w:customStyle="1" w:styleId="Tablaconcuadrcula622">
    <w:name w:val="Tabla con cuadrícula622"/>
    <w:basedOn w:val="Tablanormal"/>
    <w:next w:val="Tablaconcuadrcula"/>
    <w:rsid w:val="006B6E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3">
    <w:name w:val="Tabla con cuadrícula623"/>
    <w:basedOn w:val="Tablanormal"/>
    <w:next w:val="Tablaconcuadrcula"/>
    <w:rsid w:val="00950B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4">
    <w:name w:val="Tabla con cuadrícula624"/>
    <w:basedOn w:val="Tablanormal"/>
    <w:next w:val="Tablaconcuadrcula"/>
    <w:rsid w:val="00164EC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5">
    <w:name w:val="Tabla con cuadrícula625"/>
    <w:basedOn w:val="Tablanormal"/>
    <w:next w:val="Tablaconcuadrcula"/>
    <w:rsid w:val="003972E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6">
    <w:name w:val="Sin lista426"/>
    <w:next w:val="Sinlista"/>
    <w:semiHidden/>
    <w:rsid w:val="00FE5889"/>
  </w:style>
  <w:style w:type="table" w:customStyle="1" w:styleId="Tablaconcuadrcula626">
    <w:name w:val="Tabla con cuadrícula626"/>
    <w:basedOn w:val="Tablanormal"/>
    <w:next w:val="Tablaconcuadrcula"/>
    <w:rsid w:val="00FE588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0">
    <w:name w:val="Footnote Text Char"/>
    <w:aliases w:val="Footnote Text Char1 Char1,Footnote Text Char1 Char Char,Footnote Text Char Char Char Char"/>
    <w:basedOn w:val="Fuentedeprrafopredeter"/>
    <w:semiHidden/>
    <w:locked/>
    <w:rsid w:val="0091248F"/>
    <w:rPr>
      <w:rFonts w:eastAsia="SimSun"/>
      <w:lang w:val="es-MX" w:eastAsia="es-ES" w:bidi="ar-SA"/>
    </w:rPr>
  </w:style>
  <w:style w:type="numbering" w:customStyle="1" w:styleId="Sinlista427">
    <w:name w:val="Sin lista427"/>
    <w:next w:val="Sinlista"/>
    <w:semiHidden/>
    <w:rsid w:val="000B5902"/>
  </w:style>
  <w:style w:type="table" w:customStyle="1" w:styleId="Tablaconcuadrcula627">
    <w:name w:val="Tabla con cuadrícula627"/>
    <w:basedOn w:val="Tablanormal"/>
    <w:next w:val="Tablaconcuadrcula"/>
    <w:rsid w:val="000B590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8">
    <w:name w:val="Sin lista428"/>
    <w:next w:val="Sinlista"/>
    <w:semiHidden/>
    <w:rsid w:val="007014A5"/>
  </w:style>
  <w:style w:type="table" w:customStyle="1" w:styleId="Tablaconcuadrcula628">
    <w:name w:val="Tabla con cuadrícula628"/>
    <w:basedOn w:val="Tablanormal"/>
    <w:next w:val="Tablaconcuadrcula"/>
    <w:rsid w:val="007014A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9">
    <w:name w:val="Sin lista429"/>
    <w:next w:val="Sinlista"/>
    <w:semiHidden/>
    <w:rsid w:val="001473D2"/>
  </w:style>
  <w:style w:type="table" w:customStyle="1" w:styleId="Tablaconcuadrcula629">
    <w:name w:val="Tabla con cuadrícula629"/>
    <w:basedOn w:val="Tablanormal"/>
    <w:next w:val="Tablaconcuadrcula"/>
    <w:rsid w:val="001473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0">
    <w:name w:val="Sin lista430"/>
    <w:next w:val="Sinlista"/>
    <w:semiHidden/>
    <w:rsid w:val="00BE2D39"/>
  </w:style>
  <w:style w:type="table" w:customStyle="1" w:styleId="Tablaconcuadrcula630">
    <w:name w:val="Tabla con cuadrícula630"/>
    <w:basedOn w:val="Tablanormal"/>
    <w:next w:val="Tablaconcuadrcula"/>
    <w:rsid w:val="00BE2D3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1">
    <w:name w:val="Tabla con cuadrícula631"/>
    <w:basedOn w:val="Tablanormal"/>
    <w:next w:val="Tablaconcuadrcula"/>
    <w:rsid w:val="00DF648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4">
    <w:name w:val="Sin lista434"/>
    <w:next w:val="Sinlista"/>
    <w:semiHidden/>
    <w:rsid w:val="000C0064"/>
  </w:style>
  <w:style w:type="table" w:customStyle="1" w:styleId="Tablaconcuadrcula632">
    <w:name w:val="Tabla con cuadrícula632"/>
    <w:basedOn w:val="Tablanormal"/>
    <w:next w:val="Tablaconcuadrcula"/>
    <w:rsid w:val="000C00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5">
    <w:name w:val="Sin lista435"/>
    <w:next w:val="Sinlista"/>
    <w:semiHidden/>
    <w:rsid w:val="00EC4773"/>
  </w:style>
  <w:style w:type="table" w:customStyle="1" w:styleId="Tablaconcuadrcula633">
    <w:name w:val="Tabla con cuadrícula633"/>
    <w:basedOn w:val="Tablanormal"/>
    <w:next w:val="Tablaconcuadrcula"/>
    <w:rsid w:val="00EC47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6">
    <w:name w:val="Sin lista436"/>
    <w:next w:val="Sinlista"/>
    <w:semiHidden/>
    <w:rsid w:val="006F1F64"/>
  </w:style>
  <w:style w:type="table" w:customStyle="1" w:styleId="Tablaconcuadrcula634">
    <w:name w:val="Tabla con cuadrícula634"/>
    <w:basedOn w:val="Tablanormal"/>
    <w:next w:val="Tablaconcuadrcula"/>
    <w:rsid w:val="006F1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7">
    <w:name w:val="Sin lista437"/>
    <w:next w:val="Sinlista"/>
    <w:semiHidden/>
    <w:rsid w:val="00DB3241"/>
  </w:style>
  <w:style w:type="table" w:customStyle="1" w:styleId="Tablaconcuadrcula635">
    <w:name w:val="Tabla con cuadrícula635"/>
    <w:basedOn w:val="Tablanormal"/>
    <w:next w:val="Tablaconcuadrcula"/>
    <w:rsid w:val="00DB324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8">
    <w:name w:val="Sin lista438"/>
    <w:next w:val="Sinlista"/>
    <w:semiHidden/>
    <w:rsid w:val="00CF16C8"/>
  </w:style>
  <w:style w:type="table" w:customStyle="1" w:styleId="Tablaconcuadrcula636">
    <w:name w:val="Tabla con cuadrícula636"/>
    <w:basedOn w:val="Tablanormal"/>
    <w:next w:val="Tablaconcuadrcula"/>
    <w:rsid w:val="00CF16C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9">
    <w:name w:val="Sin lista439"/>
    <w:next w:val="Sinlista"/>
    <w:semiHidden/>
    <w:rsid w:val="00FD6D7B"/>
  </w:style>
  <w:style w:type="table" w:customStyle="1" w:styleId="Tablaconcuadrcula637">
    <w:name w:val="Tabla con cuadrícula637"/>
    <w:basedOn w:val="Tablanormal"/>
    <w:next w:val="Tablaconcuadrcula"/>
    <w:rsid w:val="00FD6D7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0">
    <w:name w:val="Sin lista440"/>
    <w:next w:val="Sinlista"/>
    <w:semiHidden/>
    <w:rsid w:val="00D971F8"/>
  </w:style>
  <w:style w:type="table" w:customStyle="1" w:styleId="Tablaconcuadrcula638">
    <w:name w:val="Tabla con cuadrícula638"/>
    <w:basedOn w:val="Tablanormal"/>
    <w:next w:val="Tablaconcuadrcula"/>
    <w:rsid w:val="00D971F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9">
    <w:name w:val="Tabla con cuadrícula639"/>
    <w:basedOn w:val="Tablanormal"/>
    <w:next w:val="Tablaconcuadrcula"/>
    <w:rsid w:val="00A45EE8"/>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640">
    <w:name w:val="Tabla con cuadrícula640"/>
    <w:basedOn w:val="Tablanormal"/>
    <w:next w:val="Tablaconcuadrcula"/>
    <w:rsid w:val="00F247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1">
    <w:name w:val="Tabla con cuadrícula641"/>
    <w:basedOn w:val="Tablanormal"/>
    <w:next w:val="Tablaconcuadrcula"/>
    <w:rsid w:val="009D219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4">
    <w:name w:val="Sin lista444"/>
    <w:next w:val="Sinlista"/>
    <w:semiHidden/>
    <w:rsid w:val="00033B15"/>
  </w:style>
  <w:style w:type="table" w:customStyle="1" w:styleId="Tablaconcuadrcula642">
    <w:name w:val="Tabla con cuadrícula642"/>
    <w:basedOn w:val="Tablanormal"/>
    <w:next w:val="Tablaconcuadrcula"/>
    <w:rsid w:val="00033B1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5">
    <w:name w:val="Sin lista445"/>
    <w:next w:val="Sinlista"/>
    <w:semiHidden/>
    <w:rsid w:val="000E5B81"/>
  </w:style>
  <w:style w:type="table" w:customStyle="1" w:styleId="Tablaconcuadrcula643">
    <w:name w:val="Tabla con cuadrícula643"/>
    <w:basedOn w:val="Tablanormal"/>
    <w:next w:val="Tablaconcuadrcula"/>
    <w:rsid w:val="000E5B8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4">
    <w:name w:val="Tabla con cuadrícula644"/>
    <w:basedOn w:val="Tablanormal"/>
    <w:next w:val="Tablaconcuadrcula"/>
    <w:rsid w:val="006255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5">
    <w:name w:val="Tabla con cuadrícula645"/>
    <w:basedOn w:val="Tablanormal"/>
    <w:next w:val="Tablaconcuadrcula"/>
    <w:rsid w:val="00EB169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6">
    <w:name w:val="Sin lista446"/>
    <w:next w:val="Sinlista"/>
    <w:semiHidden/>
    <w:rsid w:val="00A161C4"/>
  </w:style>
  <w:style w:type="table" w:customStyle="1" w:styleId="Tablaconcuadrcula646">
    <w:name w:val="Tabla con cuadrícula646"/>
    <w:basedOn w:val="Tablanormal"/>
    <w:next w:val="Tablaconcuadrcula"/>
    <w:rsid w:val="00A161C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7">
    <w:name w:val="Sin lista447"/>
    <w:next w:val="Sinlista"/>
    <w:semiHidden/>
    <w:rsid w:val="008B1DDD"/>
  </w:style>
  <w:style w:type="numbering" w:customStyle="1" w:styleId="Sinlista448">
    <w:name w:val="Sin lista448"/>
    <w:next w:val="Sinlista"/>
    <w:semiHidden/>
    <w:rsid w:val="00877C0E"/>
  </w:style>
  <w:style w:type="table" w:customStyle="1" w:styleId="Tablaconcuadrcula647">
    <w:name w:val="Tabla con cuadrícula647"/>
    <w:basedOn w:val="Tablanormal"/>
    <w:next w:val="Tablaconcuadrcula"/>
    <w:rsid w:val="003D7C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8">
    <w:name w:val="Tabla con cuadrícula648"/>
    <w:basedOn w:val="Tablanormal"/>
    <w:next w:val="Tablaconcuadrcula"/>
    <w:rsid w:val="00D11D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9">
    <w:name w:val="Tabla con cuadrícula649"/>
    <w:basedOn w:val="Tablanormal"/>
    <w:next w:val="Tablaconcuadrcula"/>
    <w:rsid w:val="006576C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9">
    <w:name w:val="Sin lista449"/>
    <w:next w:val="Sinlista"/>
    <w:semiHidden/>
    <w:rsid w:val="001738F6"/>
  </w:style>
  <w:style w:type="table" w:customStyle="1" w:styleId="Tablaconcuadrcula650">
    <w:name w:val="Tabla con cuadrícula650"/>
    <w:basedOn w:val="Tablanormal"/>
    <w:next w:val="Tablaconcuadrcula"/>
    <w:rsid w:val="001738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0">
    <w:name w:val="Sin lista450"/>
    <w:next w:val="Sinlista"/>
    <w:semiHidden/>
    <w:rsid w:val="00227EDD"/>
  </w:style>
  <w:style w:type="table" w:customStyle="1" w:styleId="Tablaconcuadrcula651">
    <w:name w:val="Tabla con cuadrícula651"/>
    <w:basedOn w:val="Tablanormal"/>
    <w:next w:val="Tablaconcuadrcula"/>
    <w:rsid w:val="00227ED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2">
    <w:name w:val="Tabla con cuadrícula652"/>
    <w:basedOn w:val="Tablanormal"/>
    <w:next w:val="Tablaconcuadrcula"/>
    <w:rsid w:val="00B148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stiloCorreo26651">
    <w:name w:val="EstiloCorreo26651"/>
    <w:basedOn w:val="Fuentedeprrafopredeter"/>
    <w:semiHidden/>
    <w:rsid w:val="003B2825"/>
    <w:rPr>
      <w:rFonts w:ascii="Arial" w:hAnsi="Arial" w:cs="Arial"/>
      <w:color w:val="auto"/>
      <w:sz w:val="20"/>
      <w:szCs w:val="20"/>
    </w:rPr>
  </w:style>
  <w:style w:type="table" w:customStyle="1" w:styleId="Tablaconcuadrcula653">
    <w:name w:val="Tabla con cuadrícula653"/>
    <w:basedOn w:val="Tablanormal"/>
    <w:next w:val="Tablaconcuadrcula"/>
    <w:rsid w:val="00BC69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4">
    <w:name w:val="Tabla con cuadrícula654"/>
    <w:basedOn w:val="Tablanormal"/>
    <w:next w:val="Tablaconcuadrcula"/>
    <w:rsid w:val="00EB419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5">
    <w:name w:val="Tabla con cuadrícula655"/>
    <w:basedOn w:val="Tablanormal"/>
    <w:next w:val="Tablaconcuadrcula"/>
    <w:rsid w:val="00D536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6">
    <w:name w:val="Tabla con cuadrícula656"/>
    <w:basedOn w:val="Tablanormal"/>
    <w:next w:val="Tablaconcuadrcula"/>
    <w:rsid w:val="001922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4">
    <w:name w:val="Sin lista454"/>
    <w:next w:val="Sinlista"/>
    <w:semiHidden/>
    <w:rsid w:val="00A73A8C"/>
  </w:style>
  <w:style w:type="table" w:customStyle="1" w:styleId="Tablaconcuadrcula657">
    <w:name w:val="Tabla con cuadrícula657"/>
    <w:basedOn w:val="Tablanormal"/>
    <w:next w:val="Tablaconcuadrcula"/>
    <w:rsid w:val="00A73A8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5">
    <w:name w:val="Sin lista455"/>
    <w:next w:val="Sinlista"/>
    <w:semiHidden/>
    <w:rsid w:val="00DB7A0C"/>
  </w:style>
  <w:style w:type="numbering" w:customStyle="1" w:styleId="Sinlista456">
    <w:name w:val="Sin lista456"/>
    <w:next w:val="Sinlista"/>
    <w:semiHidden/>
    <w:rsid w:val="009D297D"/>
  </w:style>
  <w:style w:type="table" w:customStyle="1" w:styleId="Tablaconcuadrcula658">
    <w:name w:val="Tabla con cuadrícula658"/>
    <w:basedOn w:val="Tablanormal"/>
    <w:next w:val="Tablaconcuadrcula"/>
    <w:rsid w:val="009D297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9">
    <w:name w:val="Tabla con cuadrícula659"/>
    <w:basedOn w:val="Tablanormal"/>
    <w:next w:val="Tablaconcuadrcula"/>
    <w:rsid w:val="009D297D"/>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457">
    <w:name w:val="Sin lista457"/>
    <w:next w:val="Sinlista"/>
    <w:semiHidden/>
    <w:rsid w:val="001A68F3"/>
  </w:style>
  <w:style w:type="table" w:customStyle="1" w:styleId="Tablaconcuadrcula660">
    <w:name w:val="Tabla con cuadrícula660"/>
    <w:basedOn w:val="Tablanormal"/>
    <w:next w:val="Tablaconcuadrcula"/>
    <w:rsid w:val="001A68F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458">
    <w:name w:val="Sin lista458"/>
    <w:next w:val="Sinlista"/>
    <w:semiHidden/>
    <w:rsid w:val="003A37B7"/>
  </w:style>
  <w:style w:type="table" w:customStyle="1" w:styleId="Tablaconcuadrcula661">
    <w:name w:val="Tabla con cuadrícula661"/>
    <w:basedOn w:val="Tablanormal"/>
    <w:next w:val="Tablaconcuadrcula"/>
    <w:rsid w:val="003A37B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9">
    <w:name w:val="Sin lista459"/>
    <w:next w:val="Sinlista"/>
    <w:semiHidden/>
    <w:rsid w:val="00F17AA0"/>
  </w:style>
  <w:style w:type="numbering" w:customStyle="1" w:styleId="Sinlista460">
    <w:name w:val="Sin lista460"/>
    <w:next w:val="Sinlista"/>
    <w:semiHidden/>
    <w:rsid w:val="00E03516"/>
  </w:style>
  <w:style w:type="paragraph" w:customStyle="1" w:styleId="txtnegro">
    <w:name w:val="txt_negro"/>
    <w:basedOn w:val="Normal"/>
    <w:uiPriority w:val="99"/>
    <w:rsid w:val="00E03516"/>
    <w:pPr>
      <w:spacing w:before="100" w:beforeAutospacing="1" w:after="100" w:afterAutospacing="1"/>
    </w:pPr>
    <w:rPr>
      <w:rFonts w:ascii="Verdana" w:eastAsia="Times New Roman" w:hAnsi="Verdana"/>
      <w:color w:val="595959"/>
      <w:sz w:val="15"/>
      <w:szCs w:val="15"/>
      <w:lang w:val="es-ES"/>
    </w:rPr>
  </w:style>
  <w:style w:type="table" w:customStyle="1" w:styleId="Tablaconcuadrcula662">
    <w:name w:val="Tabla con cuadrícula662"/>
    <w:basedOn w:val="Tablanormal"/>
    <w:next w:val="Tablaconcuadrcula"/>
    <w:rsid w:val="00A174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3">
    <w:name w:val="Tabla con cuadrícula663"/>
    <w:basedOn w:val="Tablanormal"/>
    <w:next w:val="Tablaconcuadrcula"/>
    <w:rsid w:val="000F66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4">
    <w:name w:val="Tabla con cuadrícula664"/>
    <w:basedOn w:val="Tablanormal"/>
    <w:next w:val="Tablaconcuadrcula"/>
    <w:rsid w:val="000F66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5">
    <w:name w:val="Tabla con cuadrícula665"/>
    <w:basedOn w:val="Tablanormal"/>
    <w:next w:val="Tablaconcuadrcula"/>
    <w:rsid w:val="007462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4">
    <w:name w:val="Sin lista464"/>
    <w:next w:val="Sinlista"/>
    <w:semiHidden/>
    <w:rsid w:val="00F31B18"/>
  </w:style>
  <w:style w:type="table" w:customStyle="1" w:styleId="Tablaconcuadrcula666">
    <w:name w:val="Tabla con cuadrícula666"/>
    <w:basedOn w:val="Tablanormal"/>
    <w:next w:val="Tablaconcuadrcula"/>
    <w:rsid w:val="00F31B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5">
    <w:name w:val="Sin lista465"/>
    <w:next w:val="Sinlista"/>
    <w:semiHidden/>
    <w:rsid w:val="00823263"/>
  </w:style>
  <w:style w:type="table" w:customStyle="1" w:styleId="Tablaconcuadrcula667">
    <w:name w:val="Tabla con cuadrícula667"/>
    <w:basedOn w:val="Tablanormal"/>
    <w:next w:val="Tablaconcuadrcula"/>
    <w:rsid w:val="0082326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6">
    <w:name w:val="Sin lista466"/>
    <w:next w:val="Sinlista"/>
    <w:semiHidden/>
    <w:rsid w:val="00743EC4"/>
  </w:style>
  <w:style w:type="table" w:customStyle="1" w:styleId="Tablaconcuadrcula668">
    <w:name w:val="Tabla con cuadrícula668"/>
    <w:basedOn w:val="Tablanormal"/>
    <w:next w:val="Tablaconcuadrcula"/>
    <w:rsid w:val="00743EC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7">
    <w:name w:val="Sin lista467"/>
    <w:next w:val="Sinlista"/>
    <w:semiHidden/>
    <w:rsid w:val="002E16DD"/>
  </w:style>
  <w:style w:type="table" w:customStyle="1" w:styleId="Tablaconcuadrcula669">
    <w:name w:val="Tabla con cuadrícula669"/>
    <w:basedOn w:val="Tablanormal"/>
    <w:next w:val="Tablaconcuadrcula"/>
    <w:rsid w:val="002E16D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0">
    <w:name w:val="Tabla con cuadrícula670"/>
    <w:basedOn w:val="Tablanormal"/>
    <w:next w:val="Tablaconcuadrcula"/>
    <w:rsid w:val="00E162C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1">
    <w:name w:val="Tabla con cuadrícula671"/>
    <w:basedOn w:val="Tablanormal"/>
    <w:next w:val="Tablaconcuadrcula"/>
    <w:rsid w:val="005A5D0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8">
    <w:name w:val="Sin lista468"/>
    <w:next w:val="Sinlista"/>
    <w:semiHidden/>
    <w:rsid w:val="00F47C45"/>
  </w:style>
  <w:style w:type="table" w:customStyle="1" w:styleId="Tablaconcuadrcula672">
    <w:name w:val="Tabla con cuadrícula672"/>
    <w:basedOn w:val="Tablanormal"/>
    <w:next w:val="Tablaconcuadrcula"/>
    <w:rsid w:val="00F47C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9">
    <w:name w:val="Sin lista469"/>
    <w:next w:val="Sinlista"/>
    <w:semiHidden/>
    <w:rsid w:val="000E0FF1"/>
  </w:style>
  <w:style w:type="table" w:customStyle="1" w:styleId="Tablaconcuadrcula673">
    <w:name w:val="Tabla con cuadrícula673"/>
    <w:basedOn w:val="Tablanormal"/>
    <w:next w:val="Tablaconcuadrcula"/>
    <w:rsid w:val="000E0FF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0">
    <w:name w:val="Sin lista470"/>
    <w:next w:val="Sinlista"/>
    <w:semiHidden/>
    <w:rsid w:val="00B04CF7"/>
  </w:style>
  <w:style w:type="table" w:customStyle="1" w:styleId="Tablaconcuadrcula674">
    <w:name w:val="Tabla con cuadrícula674"/>
    <w:basedOn w:val="Tablanormal"/>
    <w:next w:val="Tablaconcuadrcula"/>
    <w:rsid w:val="00B04CF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5">
    <w:name w:val="Tabla con cuadrícula675"/>
    <w:basedOn w:val="Tablanormal"/>
    <w:next w:val="Tablaconcuadrcula"/>
    <w:rsid w:val="00A975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4">
    <w:name w:val="Sin lista474"/>
    <w:next w:val="Sinlista"/>
    <w:semiHidden/>
    <w:rsid w:val="00707839"/>
  </w:style>
  <w:style w:type="table" w:customStyle="1" w:styleId="Tablaconcuadrcula676">
    <w:name w:val="Tabla con cuadrícula676"/>
    <w:basedOn w:val="Tablanormal"/>
    <w:next w:val="Tablaconcuadrcula"/>
    <w:rsid w:val="0070783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9">
    <w:name w:val="A9"/>
    <w:uiPriority w:val="99"/>
    <w:rsid w:val="00707839"/>
    <w:rPr>
      <w:rFonts w:cs="Frutiger LT Std 55 Roman"/>
      <w:color w:val="000000"/>
      <w:sz w:val="12"/>
      <w:szCs w:val="12"/>
    </w:rPr>
  </w:style>
  <w:style w:type="paragraph" w:customStyle="1" w:styleId="Pa92">
    <w:name w:val="Pa9+2"/>
    <w:basedOn w:val="Normal"/>
    <w:next w:val="Normal"/>
    <w:uiPriority w:val="99"/>
    <w:rsid w:val="00707839"/>
    <w:pPr>
      <w:autoSpaceDE w:val="0"/>
      <w:autoSpaceDN w:val="0"/>
      <w:adjustRightInd w:val="0"/>
      <w:spacing w:line="241" w:lineRule="atLeast"/>
    </w:pPr>
    <w:rPr>
      <w:rFonts w:ascii="Frutiger LT Std 47 Light Cn" w:eastAsia="Times New Roman" w:hAnsi="Frutiger LT Std 47 Light Cn"/>
      <w:lang w:eastAsia="es-MX"/>
    </w:rPr>
  </w:style>
  <w:style w:type="character" w:customStyle="1" w:styleId="A72">
    <w:name w:val="A7+2"/>
    <w:rsid w:val="00707839"/>
    <w:rPr>
      <w:rFonts w:cs="Frutiger LT Std 47 Light Cn"/>
      <w:b/>
      <w:bCs/>
      <w:color w:val="000000"/>
      <w:sz w:val="16"/>
      <w:szCs w:val="16"/>
    </w:rPr>
  </w:style>
  <w:style w:type="paragraph" w:customStyle="1" w:styleId="Pa02">
    <w:name w:val="Pa0+2"/>
    <w:basedOn w:val="Normal"/>
    <w:next w:val="Normal"/>
    <w:uiPriority w:val="99"/>
    <w:rsid w:val="00707839"/>
    <w:pPr>
      <w:autoSpaceDE w:val="0"/>
      <w:autoSpaceDN w:val="0"/>
      <w:adjustRightInd w:val="0"/>
      <w:spacing w:line="241" w:lineRule="atLeast"/>
    </w:pPr>
    <w:rPr>
      <w:rFonts w:ascii="Frutiger LT Std 57 Cn" w:eastAsia="Times New Roman" w:hAnsi="Frutiger LT Std 57 Cn"/>
      <w:lang w:eastAsia="es-MX"/>
    </w:rPr>
  </w:style>
  <w:style w:type="character" w:customStyle="1" w:styleId="A81">
    <w:name w:val="A8+1"/>
    <w:rsid w:val="00707839"/>
    <w:rPr>
      <w:rFonts w:cs="Frutiger LT Std 57 Cn"/>
      <w:color w:val="000000"/>
      <w:sz w:val="12"/>
      <w:szCs w:val="12"/>
    </w:rPr>
  </w:style>
  <w:style w:type="character" w:customStyle="1" w:styleId="A131">
    <w:name w:val="A13+1"/>
    <w:rsid w:val="00707839"/>
    <w:rPr>
      <w:rFonts w:cs="Frutiger LT Std 47 Light Cn"/>
      <w:b/>
      <w:bCs/>
      <w:color w:val="000000"/>
      <w:sz w:val="18"/>
      <w:szCs w:val="18"/>
    </w:rPr>
  </w:style>
  <w:style w:type="numbering" w:customStyle="1" w:styleId="Sinlista475">
    <w:name w:val="Sin lista475"/>
    <w:next w:val="Sinlista"/>
    <w:semiHidden/>
    <w:rsid w:val="00523BCC"/>
  </w:style>
  <w:style w:type="numbering" w:customStyle="1" w:styleId="Sinlista476">
    <w:name w:val="Sin lista476"/>
    <w:next w:val="Sinlista"/>
    <w:semiHidden/>
    <w:rsid w:val="004248D1"/>
  </w:style>
  <w:style w:type="table" w:customStyle="1" w:styleId="Tablaconcuadrcula677">
    <w:name w:val="Tabla con cuadrícula677"/>
    <w:basedOn w:val="Tablanormal"/>
    <w:next w:val="Tablaconcuadrcula"/>
    <w:rsid w:val="004248D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8">
    <w:name w:val="Tabla con cuadrícula678"/>
    <w:basedOn w:val="Tablanormal"/>
    <w:next w:val="Tablaconcuadrcula"/>
    <w:rsid w:val="007F72C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9">
    <w:name w:val="Tabla con cuadrícula679"/>
    <w:basedOn w:val="Tablanormal"/>
    <w:next w:val="Tablaconcuadrcula"/>
    <w:rsid w:val="003E3E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0">
    <w:name w:val="Tabla con cuadrícula680"/>
    <w:basedOn w:val="Tablanormal"/>
    <w:next w:val="Tablaconcuadrcula"/>
    <w:rsid w:val="0000105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1">
    <w:name w:val="Tabla con cuadrícula681"/>
    <w:basedOn w:val="Tablanormal"/>
    <w:next w:val="Tablaconcuadrcula"/>
    <w:rsid w:val="006F36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7">
    <w:name w:val="Sin lista477"/>
    <w:next w:val="Sinlista"/>
    <w:semiHidden/>
    <w:rsid w:val="001324FF"/>
  </w:style>
  <w:style w:type="table" w:customStyle="1" w:styleId="Tablaconcuadrcula682">
    <w:name w:val="Tabla con cuadrícula682"/>
    <w:basedOn w:val="Tablanormal"/>
    <w:next w:val="Tablaconcuadrcula"/>
    <w:rsid w:val="001324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3">
    <w:name w:val="Tabla con cuadrícula683"/>
    <w:basedOn w:val="Tablanormal"/>
    <w:next w:val="Tablaconcuadrcula"/>
    <w:rsid w:val="00CD52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4">
    <w:name w:val="Tabla con cuadrícula684"/>
    <w:basedOn w:val="Tablanormal"/>
    <w:next w:val="Tablaconcuadrcula"/>
    <w:rsid w:val="00046F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8">
    <w:name w:val="Sin lista478"/>
    <w:next w:val="Sinlista"/>
    <w:semiHidden/>
    <w:rsid w:val="004A1626"/>
  </w:style>
  <w:style w:type="numbering" w:customStyle="1" w:styleId="Sinlista479">
    <w:name w:val="Sin lista479"/>
    <w:next w:val="Sinlista"/>
    <w:semiHidden/>
    <w:rsid w:val="00BF4147"/>
  </w:style>
  <w:style w:type="table" w:customStyle="1" w:styleId="Tablaconcuadrcula685">
    <w:name w:val="Tabla con cuadrícula685"/>
    <w:basedOn w:val="Tablanormal"/>
    <w:next w:val="Tablaconcuadrcula"/>
    <w:rsid w:val="00E75E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6">
    <w:name w:val="Tabla con cuadrícula686"/>
    <w:basedOn w:val="Tablanormal"/>
    <w:next w:val="Tablaconcuadrcula"/>
    <w:rsid w:val="00F049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0">
    <w:name w:val="Sin lista480"/>
    <w:next w:val="Sinlista"/>
    <w:semiHidden/>
    <w:rsid w:val="00A24D93"/>
  </w:style>
  <w:style w:type="table" w:customStyle="1" w:styleId="Tablaconcuadrcula687">
    <w:name w:val="Tabla con cuadrícula687"/>
    <w:basedOn w:val="Tablanormal"/>
    <w:next w:val="Tablaconcuadrcula"/>
    <w:rsid w:val="00A24D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4">
    <w:name w:val="Sin lista484"/>
    <w:next w:val="Sinlista"/>
    <w:semiHidden/>
    <w:rsid w:val="00E82932"/>
  </w:style>
  <w:style w:type="table" w:customStyle="1" w:styleId="Tablaconcuadrcula688">
    <w:name w:val="Tabla con cuadrícula688"/>
    <w:basedOn w:val="Tablanormal"/>
    <w:next w:val="Tablaconcuadrcula"/>
    <w:rsid w:val="00E8293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9">
    <w:name w:val="Tabla con cuadrícula689"/>
    <w:basedOn w:val="Tablanormal"/>
    <w:next w:val="Tablaconcuadrcula"/>
    <w:rsid w:val="001F61D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5">
    <w:name w:val="Sin lista485"/>
    <w:next w:val="Sinlista"/>
    <w:semiHidden/>
    <w:rsid w:val="00D240B6"/>
  </w:style>
  <w:style w:type="table" w:customStyle="1" w:styleId="Tablaconcuadrcula690">
    <w:name w:val="Tabla con cuadrícula690"/>
    <w:basedOn w:val="Tablanormal"/>
    <w:next w:val="Tablaconcuadrcula"/>
    <w:rsid w:val="0009035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1">
    <w:name w:val="Tabla con cuadrícula691"/>
    <w:basedOn w:val="Tablanormal"/>
    <w:next w:val="Tablaconcuadrcula"/>
    <w:rsid w:val="00DD14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6">
    <w:name w:val="Sin lista486"/>
    <w:next w:val="Sinlista"/>
    <w:semiHidden/>
    <w:rsid w:val="00893BF5"/>
  </w:style>
  <w:style w:type="table" w:customStyle="1" w:styleId="Tablaconcuadrcula692">
    <w:name w:val="Tabla con cuadrícula692"/>
    <w:basedOn w:val="Tablanormal"/>
    <w:next w:val="Tablaconcuadrcula"/>
    <w:rsid w:val="00893B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ticletext">
    <w:name w:val="articletext"/>
    <w:basedOn w:val="Normal"/>
    <w:uiPriority w:val="99"/>
    <w:rsid w:val="00893BF5"/>
    <w:pPr>
      <w:spacing w:before="100" w:beforeAutospacing="1" w:after="100" w:afterAutospacing="1"/>
    </w:pPr>
    <w:rPr>
      <w:rFonts w:eastAsia="Times New Roman"/>
      <w:lang w:val="es-ES"/>
    </w:rPr>
  </w:style>
  <w:style w:type="table" w:customStyle="1" w:styleId="Tablaconcuadrcula693">
    <w:name w:val="Tabla con cuadrícula693"/>
    <w:basedOn w:val="Tablanormal"/>
    <w:next w:val="Tablaconcuadrcula"/>
    <w:rsid w:val="00807B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7">
    <w:name w:val="Sin lista487"/>
    <w:next w:val="Sinlista"/>
    <w:semiHidden/>
    <w:rsid w:val="00002AE6"/>
  </w:style>
  <w:style w:type="table" w:customStyle="1" w:styleId="Tablaconcuadrcula694">
    <w:name w:val="Tabla con cuadrícula694"/>
    <w:basedOn w:val="Tablanormal"/>
    <w:next w:val="Tablaconcuadrcula"/>
    <w:rsid w:val="00002A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5">
    <w:name w:val="Tabla con cuadrícula695"/>
    <w:basedOn w:val="Tablanormal"/>
    <w:next w:val="Tablaconcuadrcula"/>
    <w:rsid w:val="009F495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8">
    <w:name w:val="Sin lista488"/>
    <w:next w:val="Sinlista"/>
    <w:semiHidden/>
    <w:rsid w:val="00370232"/>
  </w:style>
  <w:style w:type="table" w:customStyle="1" w:styleId="Tablaconcuadrcula696">
    <w:name w:val="Tabla con cuadrícula696"/>
    <w:basedOn w:val="Tablanormal"/>
    <w:next w:val="Tablaconcuadrcula"/>
    <w:rsid w:val="0037023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0">
    <w:name w:val="Sin lista1100"/>
    <w:next w:val="Sinlista"/>
    <w:semiHidden/>
    <w:rsid w:val="00370232"/>
  </w:style>
  <w:style w:type="table" w:customStyle="1" w:styleId="Tablaconcuadrcula1107">
    <w:name w:val="Tabla con cuadrícula1107"/>
    <w:basedOn w:val="Tablanormal"/>
    <w:next w:val="Tablaconcuadrcula"/>
    <w:rsid w:val="00370232"/>
    <w:pPr>
      <w:widowControl w:val="0"/>
      <w:autoSpaceDE w:val="0"/>
      <w:autoSpaceDN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9">
    <w:name w:val="Sin lista489"/>
    <w:next w:val="Sinlista"/>
    <w:semiHidden/>
    <w:rsid w:val="002C0288"/>
  </w:style>
  <w:style w:type="numbering" w:customStyle="1" w:styleId="Sinlista490">
    <w:name w:val="Sin lista490"/>
    <w:next w:val="Sinlista"/>
    <w:semiHidden/>
    <w:rsid w:val="00E80795"/>
  </w:style>
  <w:style w:type="table" w:customStyle="1" w:styleId="Tablaconcuadrcula697">
    <w:name w:val="Tabla con cuadrícula697"/>
    <w:basedOn w:val="Tablanormal"/>
    <w:next w:val="Tablaconcuadrcula"/>
    <w:rsid w:val="00E807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8">
    <w:name w:val="Tabla con cuadrícula698"/>
    <w:basedOn w:val="Tablanormal"/>
    <w:next w:val="Tablaconcuadrcula"/>
    <w:rsid w:val="004864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9">
    <w:name w:val="Tabla con cuadrícula699"/>
    <w:basedOn w:val="Tablanormal"/>
    <w:next w:val="Tablaconcuadrcula"/>
    <w:rsid w:val="004A081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4">
    <w:name w:val="Sin lista494"/>
    <w:next w:val="Sinlista"/>
    <w:semiHidden/>
    <w:rsid w:val="00662C0A"/>
  </w:style>
  <w:style w:type="table" w:customStyle="1" w:styleId="Tablaconcuadrcula700">
    <w:name w:val="Tabla con cuadrícula700"/>
    <w:basedOn w:val="Tablanormal"/>
    <w:next w:val="Tablaconcuadrcula"/>
    <w:rsid w:val="00662C0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5">
    <w:name w:val="Sin lista495"/>
    <w:next w:val="Sinlista"/>
    <w:semiHidden/>
    <w:rsid w:val="009A5989"/>
  </w:style>
  <w:style w:type="table" w:customStyle="1" w:styleId="Tablaconcuadrcula701">
    <w:name w:val="Tabla con cuadrícula701"/>
    <w:basedOn w:val="Tablanormal"/>
    <w:next w:val="Tablaconcuadrcula"/>
    <w:rsid w:val="009A598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2">
    <w:name w:val="Tabla con cuadrícula702"/>
    <w:basedOn w:val="Tablanormal"/>
    <w:next w:val="Tablaconcuadrcula"/>
    <w:rsid w:val="000579B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3">
    <w:name w:val="Tabla con cuadrícula703"/>
    <w:basedOn w:val="Tablanormal"/>
    <w:next w:val="Tablaconcuadrcula"/>
    <w:rsid w:val="00D6559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6">
    <w:name w:val="Sin lista496"/>
    <w:next w:val="Sinlista"/>
    <w:semiHidden/>
    <w:rsid w:val="00005DC2"/>
  </w:style>
  <w:style w:type="numbering" w:customStyle="1" w:styleId="Sinlista497">
    <w:name w:val="Sin lista497"/>
    <w:next w:val="Sinlista"/>
    <w:semiHidden/>
    <w:rsid w:val="0007687F"/>
  </w:style>
  <w:style w:type="table" w:customStyle="1" w:styleId="Tablaconcuadrcula704">
    <w:name w:val="Tabla con cuadrícula704"/>
    <w:basedOn w:val="Tablanormal"/>
    <w:next w:val="Tablaconcuadrcula"/>
    <w:rsid w:val="0007687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5">
    <w:name w:val="Tabla con cuadrícula705"/>
    <w:basedOn w:val="Tablanormal"/>
    <w:next w:val="Tablaconcuadrcula"/>
    <w:rsid w:val="003C76B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6">
    <w:name w:val="Tabla con cuadrícula706"/>
    <w:basedOn w:val="Tablanormal"/>
    <w:next w:val="Tablaconcuadrcula"/>
    <w:rsid w:val="002C73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8">
    <w:name w:val="Sin lista498"/>
    <w:next w:val="Sinlista"/>
    <w:semiHidden/>
    <w:rsid w:val="00D96587"/>
  </w:style>
  <w:style w:type="character" w:customStyle="1" w:styleId="apple-style-spanfirst-childlast-child">
    <w:name w:val="apple-style-span first-child last-child"/>
    <w:basedOn w:val="Fuentedeprrafopredeter"/>
    <w:rsid w:val="00D96587"/>
  </w:style>
  <w:style w:type="table" w:customStyle="1" w:styleId="Tablaconcuadrcula707">
    <w:name w:val="Tabla con cuadrícula707"/>
    <w:basedOn w:val="Tablanormal"/>
    <w:next w:val="Tablaconcuadrcula"/>
    <w:rsid w:val="00D9658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8">
    <w:name w:val="Tabla con cuadrícula708"/>
    <w:basedOn w:val="Tablanormal"/>
    <w:next w:val="Tablaconcuadrcula"/>
    <w:rsid w:val="006E7AB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9">
    <w:name w:val="Tabla con cuadrícula709"/>
    <w:basedOn w:val="Tablanormal"/>
    <w:next w:val="Tablaconcuadrcula"/>
    <w:rsid w:val="00ED5C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0">
    <w:name w:val="Tabla con cuadrícula710"/>
    <w:basedOn w:val="Tablanormal"/>
    <w:next w:val="Tablaconcuadrcula"/>
    <w:rsid w:val="0042674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1">
    <w:name w:val="Tabla con cuadrícula711"/>
    <w:basedOn w:val="Tablanormal"/>
    <w:next w:val="Tablaconcuadrcula"/>
    <w:rsid w:val="006802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9">
    <w:name w:val="Sin lista499"/>
    <w:next w:val="Sinlista"/>
    <w:semiHidden/>
    <w:rsid w:val="0028454B"/>
  </w:style>
  <w:style w:type="table" w:customStyle="1" w:styleId="Tablaconcuadrcula712">
    <w:name w:val="Tabla con cuadrícula712"/>
    <w:basedOn w:val="Tablanormal"/>
    <w:next w:val="Tablaconcuadrcula"/>
    <w:rsid w:val="002845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3">
    <w:name w:val="Tabla con cuadrícula713"/>
    <w:basedOn w:val="Tablanormal"/>
    <w:next w:val="Tablaconcuadrcula"/>
    <w:rsid w:val="00BE01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0">
    <w:name w:val="Sin lista500"/>
    <w:next w:val="Sinlista"/>
    <w:semiHidden/>
    <w:rsid w:val="006C75F2"/>
  </w:style>
  <w:style w:type="table" w:customStyle="1" w:styleId="Tablaconcuadrcula714">
    <w:name w:val="Tabla con cuadrícula714"/>
    <w:basedOn w:val="Tablanormal"/>
    <w:next w:val="Tablaconcuadrcula"/>
    <w:rsid w:val="006C75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5">
    <w:name w:val="Tabla con cuadrícula715"/>
    <w:basedOn w:val="Tablanormal"/>
    <w:next w:val="Tablaconcuadrcula"/>
    <w:rsid w:val="00077B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6">
    <w:name w:val="Tabla con cuadrícula716"/>
    <w:basedOn w:val="Tablanormal"/>
    <w:next w:val="Tablaconcuadrcula"/>
    <w:rsid w:val="008B442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7">
    <w:name w:val="Tabla con cuadrícula717"/>
    <w:basedOn w:val="Tablanormal"/>
    <w:next w:val="Tablaconcuadrcula"/>
    <w:rsid w:val="00BB0D9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8">
    <w:name w:val="Tabla con cuadrícula718"/>
    <w:basedOn w:val="Tablanormal"/>
    <w:next w:val="Tablaconcuadrcula"/>
    <w:rsid w:val="002E603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4">
    <w:name w:val="Sin lista504"/>
    <w:next w:val="Sinlista"/>
    <w:semiHidden/>
    <w:rsid w:val="000D0E0A"/>
  </w:style>
  <w:style w:type="table" w:customStyle="1" w:styleId="Tablaconcuadrcula719">
    <w:name w:val="Tabla con cuadrícula719"/>
    <w:basedOn w:val="Tablanormal"/>
    <w:next w:val="Tablaconcuadrcula"/>
    <w:rsid w:val="000D0E0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0">
    <w:name w:val="Tabla con cuadrícula720"/>
    <w:basedOn w:val="Tablanormal"/>
    <w:next w:val="Tablaconcuadrcula"/>
    <w:rsid w:val="007271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1">
    <w:name w:val="Tabla con cuadrícula721"/>
    <w:basedOn w:val="Tablanormal"/>
    <w:next w:val="Tablaconcuadrcula"/>
    <w:rsid w:val="00283B2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2">
    <w:name w:val="Tabla con cuadrícula722"/>
    <w:basedOn w:val="Tablanormal"/>
    <w:next w:val="Tablaconcuadrcula"/>
    <w:rsid w:val="00F536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3">
    <w:name w:val="Tabla con cuadrícula723"/>
    <w:basedOn w:val="Tablanormal"/>
    <w:next w:val="Tablaconcuadrcula"/>
    <w:rsid w:val="00FF497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4">
    <w:name w:val="Tabla con cuadrícula724"/>
    <w:basedOn w:val="Tablanormal"/>
    <w:next w:val="Tablaconcuadrcula"/>
    <w:rsid w:val="006B45F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5">
    <w:name w:val="Tabla con cuadrícula725"/>
    <w:basedOn w:val="Tablanormal"/>
    <w:next w:val="Tablaconcuadrcula"/>
    <w:rsid w:val="005479D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6">
    <w:name w:val="Tabla con cuadrícula726"/>
    <w:basedOn w:val="Tablanormal"/>
    <w:next w:val="Tablaconcuadrcula"/>
    <w:rsid w:val="00E8651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5">
    <w:name w:val="Sin lista505"/>
    <w:next w:val="Sinlista"/>
    <w:semiHidden/>
    <w:rsid w:val="002A2A2C"/>
  </w:style>
  <w:style w:type="table" w:customStyle="1" w:styleId="Tablaconcuadrcula727">
    <w:name w:val="Tabla con cuadrícula727"/>
    <w:basedOn w:val="Tablanormal"/>
    <w:next w:val="Tablaconcuadrcula"/>
    <w:rsid w:val="002A2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8">
    <w:name w:val="Tabla con cuadrícula728"/>
    <w:basedOn w:val="Tablanormal"/>
    <w:next w:val="Tablaconcuadrcula"/>
    <w:rsid w:val="00371FE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6">
    <w:name w:val="Sin lista506"/>
    <w:next w:val="Sinlista"/>
    <w:semiHidden/>
    <w:rsid w:val="00F9221B"/>
  </w:style>
  <w:style w:type="table" w:customStyle="1" w:styleId="Tablaconcuadrcula729">
    <w:name w:val="Tabla con cuadrícula729"/>
    <w:basedOn w:val="Tablanormal"/>
    <w:next w:val="Tablaconcuadrcula"/>
    <w:rsid w:val="00F9221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0">
    <w:name w:val="Tabla con cuadrícula730"/>
    <w:basedOn w:val="Tablanormal"/>
    <w:next w:val="Tablaconcuadrcula"/>
    <w:rsid w:val="00C536B5"/>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731">
    <w:name w:val="Tabla con cuadrícula731"/>
    <w:basedOn w:val="Tablanormal"/>
    <w:next w:val="Tablaconcuadrcula"/>
    <w:rsid w:val="004C09B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2">
    <w:name w:val="Tabla con cuadrícula732"/>
    <w:basedOn w:val="Tablanormal"/>
    <w:next w:val="Tablaconcuadrcula"/>
    <w:rsid w:val="001E133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7">
    <w:name w:val="Sin lista507"/>
    <w:next w:val="Sinlista"/>
    <w:semiHidden/>
    <w:rsid w:val="006B1843"/>
  </w:style>
  <w:style w:type="table" w:customStyle="1" w:styleId="Tablaconcuadrcula733">
    <w:name w:val="Tabla con cuadrícula733"/>
    <w:basedOn w:val="Tablanormal"/>
    <w:next w:val="Tablaconcuadrcula"/>
    <w:rsid w:val="006B184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4">
    <w:name w:val="Tabla con cuadrícula734"/>
    <w:basedOn w:val="Tablanormal"/>
    <w:next w:val="Tablaconcuadrcula"/>
    <w:rsid w:val="009926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5">
    <w:name w:val="Tabla con cuadrícula735"/>
    <w:basedOn w:val="Tablanormal"/>
    <w:next w:val="Tablaconcuadrcula"/>
    <w:rsid w:val="008E2D0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8">
    <w:name w:val="Sin lista508"/>
    <w:next w:val="Sinlista"/>
    <w:semiHidden/>
    <w:rsid w:val="00C00E5A"/>
  </w:style>
  <w:style w:type="table" w:customStyle="1" w:styleId="Tablaconcuadrcula736">
    <w:name w:val="Tabla con cuadrícula736"/>
    <w:basedOn w:val="Tablanormal"/>
    <w:next w:val="Tablaconcuadrcula"/>
    <w:rsid w:val="00C00E5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7">
    <w:name w:val="Tabla con cuadrícula737"/>
    <w:basedOn w:val="Tablanormal"/>
    <w:next w:val="Tablaconcuadrcula"/>
    <w:rsid w:val="00AF159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9">
    <w:name w:val="Sin lista509"/>
    <w:next w:val="Sinlista"/>
    <w:semiHidden/>
    <w:rsid w:val="00E278C4"/>
  </w:style>
  <w:style w:type="character" w:customStyle="1" w:styleId="ROMANOSCar">
    <w:name w:val="ROMANOS Car"/>
    <w:link w:val="ROMANOS"/>
    <w:locked/>
    <w:rsid w:val="00E278C4"/>
    <w:rPr>
      <w:rFonts w:ascii="Arial" w:eastAsia="SimSun" w:hAnsi="Arial" w:cs="Arial"/>
      <w:sz w:val="18"/>
      <w:szCs w:val="18"/>
      <w:lang w:val="es-MX" w:eastAsia="es-MX" w:bidi="ar-SA"/>
    </w:rPr>
  </w:style>
  <w:style w:type="character" w:customStyle="1" w:styleId="ANOTACIONCar">
    <w:name w:val="ANOTACION Car"/>
    <w:link w:val="ANOTACION"/>
    <w:locked/>
    <w:rsid w:val="00E278C4"/>
    <w:rPr>
      <w:rFonts w:eastAsia="SimSun"/>
      <w:b/>
      <w:sz w:val="18"/>
      <w:szCs w:val="18"/>
      <w:lang w:val="es-MX" w:eastAsia="es-MX" w:bidi="ar-SA"/>
    </w:rPr>
  </w:style>
  <w:style w:type="paragraph" w:customStyle="1" w:styleId="Sangra2detindependiente1">
    <w:name w:val="Sangría 2 de t. independiente1"/>
    <w:basedOn w:val="Normal"/>
    <w:uiPriority w:val="99"/>
    <w:rsid w:val="00E278C4"/>
    <w:pPr>
      <w:ind w:left="3969"/>
      <w:jc w:val="both"/>
    </w:pPr>
    <w:rPr>
      <w:rFonts w:ascii="Arial" w:eastAsia="Times New Roman" w:hAnsi="Arial" w:cs="Arial"/>
      <w:sz w:val="20"/>
      <w:szCs w:val="20"/>
      <w:lang w:val="es-ES" w:eastAsia="es-MX"/>
    </w:rPr>
  </w:style>
  <w:style w:type="paragraph" w:customStyle="1" w:styleId="Textodeglobo1">
    <w:name w:val="Texto de globo1"/>
    <w:basedOn w:val="Normal"/>
    <w:uiPriority w:val="99"/>
    <w:rsid w:val="00E278C4"/>
    <w:rPr>
      <w:rFonts w:ascii="Tahoma" w:eastAsia="Times New Roman" w:hAnsi="Tahoma" w:cs="Tahoma"/>
      <w:sz w:val="16"/>
      <w:szCs w:val="20"/>
      <w:lang w:val="es-ES" w:eastAsia="es-MX"/>
    </w:rPr>
  </w:style>
  <w:style w:type="paragraph" w:customStyle="1" w:styleId="ColorfulShadingAccent">
    <w:name w:val="Colorful Shading Accent"/>
    <w:uiPriority w:val="99"/>
    <w:rsid w:val="00E278C4"/>
    <w:rPr>
      <w:rFonts w:eastAsia="Times New Roman"/>
      <w:lang w:val="es-ES"/>
    </w:rPr>
  </w:style>
  <w:style w:type="paragraph" w:customStyle="1" w:styleId="xl110">
    <w:name w:val="xl110"/>
    <w:basedOn w:val="Normal"/>
    <w:uiPriority w:val="99"/>
    <w:rsid w:val="00E278C4"/>
    <w:pPr>
      <w:shd w:val="clear" w:color="000000" w:fill="FFFFFF"/>
      <w:spacing w:before="100" w:after="100"/>
      <w:jc w:val="right"/>
    </w:pPr>
    <w:rPr>
      <w:rFonts w:eastAsia="Times New Roman"/>
      <w:szCs w:val="20"/>
      <w:lang w:eastAsia="es-MX"/>
    </w:rPr>
  </w:style>
  <w:style w:type="paragraph" w:customStyle="1" w:styleId="xl111">
    <w:name w:val="xl111"/>
    <w:basedOn w:val="Normal"/>
    <w:uiPriority w:val="99"/>
    <w:rsid w:val="00E278C4"/>
    <w:pPr>
      <w:shd w:val="clear" w:color="000000" w:fill="FFFFFF"/>
      <w:spacing w:before="100" w:after="100"/>
    </w:pPr>
    <w:rPr>
      <w:rFonts w:eastAsia="Times New Roman"/>
      <w:szCs w:val="20"/>
      <w:lang w:eastAsia="es-MX"/>
    </w:rPr>
  </w:style>
  <w:style w:type="paragraph" w:customStyle="1" w:styleId="xl112">
    <w:name w:val="xl112"/>
    <w:basedOn w:val="Normal"/>
    <w:uiPriority w:val="99"/>
    <w:rsid w:val="00E278C4"/>
    <w:pPr>
      <w:shd w:val="clear" w:color="000000" w:fill="FFFFFF"/>
      <w:spacing w:before="100" w:after="100"/>
      <w:jc w:val="center"/>
    </w:pPr>
    <w:rPr>
      <w:rFonts w:eastAsia="Times New Roman"/>
      <w:szCs w:val="20"/>
      <w:lang w:eastAsia="es-MX"/>
    </w:rPr>
  </w:style>
  <w:style w:type="paragraph" w:customStyle="1" w:styleId="xl113">
    <w:name w:val="xl113"/>
    <w:basedOn w:val="Normal"/>
    <w:uiPriority w:val="99"/>
    <w:rsid w:val="00E278C4"/>
    <w:pPr>
      <w:shd w:val="clear" w:color="000000" w:fill="FFFFFF"/>
      <w:spacing w:before="100" w:after="100"/>
    </w:pPr>
    <w:rPr>
      <w:rFonts w:eastAsia="Times New Roman"/>
      <w:szCs w:val="20"/>
      <w:lang w:eastAsia="es-MX"/>
    </w:rPr>
  </w:style>
  <w:style w:type="paragraph" w:customStyle="1" w:styleId="xl115">
    <w:name w:val="xl115"/>
    <w:basedOn w:val="Normal"/>
    <w:uiPriority w:val="99"/>
    <w:rsid w:val="00E278C4"/>
    <w:pPr>
      <w:shd w:val="clear" w:color="000000" w:fill="FFFFFF"/>
      <w:spacing w:before="100" w:after="100"/>
    </w:pPr>
    <w:rPr>
      <w:rFonts w:ascii="Arial" w:eastAsia="Times New Roman" w:hAnsi="Arial" w:cs="Arial"/>
      <w:color w:val="FFFFFF"/>
      <w:szCs w:val="20"/>
      <w:lang w:eastAsia="es-MX"/>
    </w:rPr>
  </w:style>
  <w:style w:type="paragraph" w:customStyle="1" w:styleId="xl116">
    <w:name w:val="xl116"/>
    <w:basedOn w:val="Normal"/>
    <w:uiPriority w:val="99"/>
    <w:rsid w:val="00E278C4"/>
    <w:pPr>
      <w:shd w:val="clear" w:color="000000" w:fill="FFFFFF"/>
      <w:spacing w:before="100" w:after="100"/>
      <w:jc w:val="right"/>
    </w:pPr>
    <w:rPr>
      <w:rFonts w:ascii="Arial" w:eastAsia="Times New Roman" w:hAnsi="Arial" w:cs="Arial"/>
      <w:color w:val="0000FF"/>
      <w:szCs w:val="20"/>
      <w:lang w:eastAsia="es-MX"/>
    </w:rPr>
  </w:style>
  <w:style w:type="paragraph" w:customStyle="1" w:styleId="xl117">
    <w:name w:val="xl117"/>
    <w:basedOn w:val="Normal"/>
    <w:uiPriority w:val="99"/>
    <w:rsid w:val="00E278C4"/>
    <w:pPr>
      <w:shd w:val="clear" w:color="000000" w:fill="FFFFFF"/>
      <w:spacing w:before="100" w:after="100"/>
    </w:pPr>
    <w:rPr>
      <w:rFonts w:ascii="Arial" w:eastAsia="Times New Roman" w:hAnsi="Arial" w:cs="Arial"/>
      <w:color w:val="0000FF"/>
      <w:szCs w:val="20"/>
      <w:lang w:eastAsia="es-MX"/>
    </w:rPr>
  </w:style>
  <w:style w:type="paragraph" w:customStyle="1" w:styleId="xl118">
    <w:name w:val="xl118"/>
    <w:basedOn w:val="Normal"/>
    <w:uiPriority w:val="99"/>
    <w:rsid w:val="00E278C4"/>
    <w:pPr>
      <w:shd w:val="clear" w:color="000000" w:fill="FFFFFF"/>
      <w:spacing w:before="100" w:after="100"/>
      <w:jc w:val="center"/>
    </w:pPr>
    <w:rPr>
      <w:rFonts w:ascii="Arial" w:eastAsia="Times New Roman" w:hAnsi="Arial" w:cs="Arial"/>
      <w:color w:val="0000FF"/>
      <w:szCs w:val="20"/>
      <w:lang w:eastAsia="es-MX"/>
    </w:rPr>
  </w:style>
  <w:style w:type="paragraph" w:customStyle="1" w:styleId="xl119">
    <w:name w:val="xl119"/>
    <w:basedOn w:val="Normal"/>
    <w:uiPriority w:val="99"/>
    <w:rsid w:val="00E278C4"/>
    <w:pPr>
      <w:shd w:val="clear" w:color="000000" w:fill="FFFFFF"/>
      <w:spacing w:before="100" w:after="100"/>
      <w:jc w:val="center"/>
    </w:pPr>
    <w:rPr>
      <w:rFonts w:ascii="Arial" w:eastAsia="Times New Roman" w:hAnsi="Arial" w:cs="Arial"/>
      <w:b/>
      <w:sz w:val="22"/>
      <w:szCs w:val="20"/>
      <w:lang w:eastAsia="es-MX"/>
    </w:rPr>
  </w:style>
  <w:style w:type="paragraph" w:customStyle="1" w:styleId="xl120">
    <w:name w:val="xl120"/>
    <w:basedOn w:val="Normal"/>
    <w:uiPriority w:val="99"/>
    <w:rsid w:val="00E278C4"/>
    <w:pPr>
      <w:shd w:val="clear" w:color="000000" w:fill="FFFFFF"/>
      <w:spacing w:before="100" w:after="100"/>
    </w:pPr>
    <w:rPr>
      <w:rFonts w:ascii="Arial MT" w:eastAsia="Times New Roman" w:hAnsi="Arial MT" w:cs="Arial MT"/>
      <w:b/>
      <w:szCs w:val="20"/>
      <w:lang w:eastAsia="es-MX"/>
    </w:rPr>
  </w:style>
  <w:style w:type="paragraph" w:customStyle="1" w:styleId="xl121">
    <w:name w:val="xl121"/>
    <w:basedOn w:val="Normal"/>
    <w:uiPriority w:val="99"/>
    <w:rsid w:val="00E278C4"/>
    <w:pPr>
      <w:pBdr>
        <w:bottom w:val="single" w:sz="6" w:space="0" w:color="auto"/>
      </w:pBdr>
      <w:shd w:val="clear" w:color="000000" w:fill="FFFFFF"/>
      <w:spacing w:before="100" w:after="100"/>
    </w:pPr>
    <w:rPr>
      <w:rFonts w:ascii="Arial" w:eastAsia="Times New Roman" w:hAnsi="Arial" w:cs="Arial"/>
      <w:b/>
      <w:szCs w:val="20"/>
      <w:lang w:eastAsia="es-MX"/>
    </w:rPr>
  </w:style>
  <w:style w:type="paragraph" w:customStyle="1" w:styleId="xl122">
    <w:name w:val="xl122"/>
    <w:basedOn w:val="Normal"/>
    <w:uiPriority w:val="99"/>
    <w:rsid w:val="00E278C4"/>
    <w:pPr>
      <w:pBdr>
        <w:bottom w:val="single" w:sz="6" w:space="0" w:color="auto"/>
      </w:pBdr>
      <w:shd w:val="clear" w:color="000000" w:fill="FFFFFF"/>
      <w:spacing w:before="100" w:after="100"/>
      <w:jc w:val="center"/>
    </w:pPr>
    <w:rPr>
      <w:rFonts w:ascii="Arial" w:eastAsia="Times New Roman" w:hAnsi="Arial" w:cs="Arial"/>
      <w:b/>
      <w:szCs w:val="20"/>
      <w:lang w:eastAsia="es-MX"/>
    </w:rPr>
  </w:style>
  <w:style w:type="paragraph" w:customStyle="1" w:styleId="xl123">
    <w:name w:val="xl123"/>
    <w:basedOn w:val="Normal"/>
    <w:uiPriority w:val="99"/>
    <w:rsid w:val="00E278C4"/>
    <w:pPr>
      <w:pBdr>
        <w:bottom w:val="single" w:sz="6" w:space="0" w:color="auto"/>
      </w:pBdr>
      <w:shd w:val="clear" w:color="000000" w:fill="FFFFFF"/>
      <w:spacing w:before="100" w:after="100"/>
      <w:jc w:val="center"/>
    </w:pPr>
    <w:rPr>
      <w:rFonts w:ascii="Arial" w:eastAsia="Times New Roman" w:hAnsi="Arial" w:cs="Arial"/>
      <w:b/>
      <w:sz w:val="18"/>
      <w:szCs w:val="20"/>
      <w:lang w:eastAsia="es-MX"/>
    </w:rPr>
  </w:style>
  <w:style w:type="paragraph" w:customStyle="1" w:styleId="xl124">
    <w:name w:val="xl124"/>
    <w:basedOn w:val="Normal"/>
    <w:uiPriority w:val="99"/>
    <w:rsid w:val="00E278C4"/>
    <w:pPr>
      <w:pBdr>
        <w:bottom w:val="single" w:sz="6" w:space="0" w:color="auto"/>
      </w:pBdr>
      <w:shd w:val="clear" w:color="000000" w:fill="FFFFFF"/>
      <w:spacing w:before="100" w:after="100"/>
      <w:jc w:val="center"/>
    </w:pPr>
    <w:rPr>
      <w:rFonts w:ascii="Arial" w:eastAsia="Times New Roman" w:hAnsi="Arial" w:cs="Arial"/>
      <w:b/>
      <w:szCs w:val="20"/>
      <w:lang w:eastAsia="es-MX"/>
    </w:rPr>
  </w:style>
  <w:style w:type="paragraph" w:customStyle="1" w:styleId="xl125">
    <w:name w:val="xl125"/>
    <w:basedOn w:val="Normal"/>
    <w:uiPriority w:val="99"/>
    <w:rsid w:val="00E278C4"/>
    <w:pPr>
      <w:shd w:val="clear" w:color="000000" w:fill="FFFFFF"/>
      <w:spacing w:before="100" w:after="100"/>
      <w:jc w:val="right"/>
    </w:pPr>
    <w:rPr>
      <w:rFonts w:ascii="Arial" w:eastAsia="Times New Roman" w:hAnsi="Arial" w:cs="Arial"/>
      <w:szCs w:val="20"/>
      <w:lang w:eastAsia="es-MX"/>
    </w:rPr>
  </w:style>
  <w:style w:type="paragraph" w:customStyle="1" w:styleId="xl126">
    <w:name w:val="xl126"/>
    <w:basedOn w:val="Normal"/>
    <w:uiPriority w:val="99"/>
    <w:rsid w:val="00E278C4"/>
    <w:pPr>
      <w:shd w:val="clear" w:color="000000" w:fill="FFFFFF"/>
      <w:spacing w:before="100" w:after="100"/>
      <w:jc w:val="right"/>
    </w:pPr>
    <w:rPr>
      <w:rFonts w:ascii="Arial" w:eastAsia="Times New Roman" w:hAnsi="Arial" w:cs="Arial"/>
      <w:szCs w:val="20"/>
      <w:lang w:eastAsia="es-MX"/>
    </w:rPr>
  </w:style>
  <w:style w:type="paragraph" w:customStyle="1" w:styleId="xl127">
    <w:name w:val="xl127"/>
    <w:basedOn w:val="Normal"/>
    <w:uiPriority w:val="99"/>
    <w:rsid w:val="00E278C4"/>
    <w:pPr>
      <w:shd w:val="clear" w:color="000000" w:fill="FFFFFF"/>
      <w:spacing w:before="100" w:after="100"/>
    </w:pPr>
    <w:rPr>
      <w:rFonts w:eastAsia="Times New Roman"/>
      <w:szCs w:val="20"/>
      <w:lang w:eastAsia="es-MX"/>
    </w:rPr>
  </w:style>
  <w:style w:type="paragraph" w:customStyle="1" w:styleId="xl129">
    <w:name w:val="xl129"/>
    <w:basedOn w:val="Normal"/>
    <w:uiPriority w:val="99"/>
    <w:rsid w:val="00E278C4"/>
    <w:pPr>
      <w:shd w:val="clear" w:color="000000" w:fill="FFFFFF"/>
      <w:spacing w:before="100" w:after="100"/>
      <w:jc w:val="center"/>
    </w:pPr>
    <w:rPr>
      <w:rFonts w:ascii="Arial" w:eastAsia="Times New Roman" w:hAnsi="Arial" w:cs="Arial"/>
      <w:szCs w:val="20"/>
      <w:lang w:eastAsia="es-MX"/>
    </w:rPr>
  </w:style>
  <w:style w:type="paragraph" w:customStyle="1" w:styleId="xl130">
    <w:name w:val="xl130"/>
    <w:basedOn w:val="Normal"/>
    <w:uiPriority w:val="99"/>
    <w:rsid w:val="00E278C4"/>
    <w:pPr>
      <w:shd w:val="clear" w:color="000000" w:fill="FFFFFF"/>
      <w:spacing w:before="100" w:after="100"/>
    </w:pPr>
    <w:rPr>
      <w:rFonts w:ascii="Arial" w:eastAsia="Times New Roman" w:hAnsi="Arial" w:cs="Arial"/>
      <w:szCs w:val="20"/>
      <w:lang w:eastAsia="es-MX"/>
    </w:rPr>
  </w:style>
  <w:style w:type="paragraph" w:customStyle="1" w:styleId="xl131">
    <w:name w:val="xl131"/>
    <w:basedOn w:val="Normal"/>
    <w:uiPriority w:val="99"/>
    <w:rsid w:val="00E278C4"/>
    <w:pPr>
      <w:shd w:val="clear" w:color="000000" w:fill="FFFFFF"/>
      <w:spacing w:before="100" w:after="100"/>
      <w:jc w:val="center"/>
    </w:pPr>
    <w:rPr>
      <w:rFonts w:ascii="Arial" w:eastAsia="Times New Roman" w:hAnsi="Arial" w:cs="Arial"/>
      <w:color w:val="FFFFFF"/>
      <w:szCs w:val="20"/>
      <w:lang w:eastAsia="es-MX"/>
    </w:rPr>
  </w:style>
  <w:style w:type="paragraph" w:customStyle="1" w:styleId="xl132">
    <w:name w:val="xl132"/>
    <w:basedOn w:val="Normal"/>
    <w:uiPriority w:val="99"/>
    <w:rsid w:val="00E278C4"/>
    <w:pPr>
      <w:shd w:val="clear" w:color="000000" w:fill="FFFFFF"/>
      <w:spacing w:before="100" w:after="100"/>
      <w:jc w:val="right"/>
    </w:pPr>
    <w:rPr>
      <w:rFonts w:eastAsia="Times New Roman"/>
      <w:szCs w:val="20"/>
      <w:lang w:eastAsia="es-MX"/>
    </w:rPr>
  </w:style>
  <w:style w:type="paragraph" w:customStyle="1" w:styleId="xl133">
    <w:name w:val="xl133"/>
    <w:basedOn w:val="Normal"/>
    <w:uiPriority w:val="99"/>
    <w:rsid w:val="00E278C4"/>
    <w:pPr>
      <w:shd w:val="clear" w:color="000000" w:fill="FFFFFF"/>
      <w:spacing w:before="100" w:after="100"/>
    </w:pPr>
    <w:rPr>
      <w:rFonts w:eastAsia="Times New Roman"/>
      <w:szCs w:val="20"/>
      <w:lang w:eastAsia="es-MX"/>
    </w:rPr>
  </w:style>
  <w:style w:type="paragraph" w:customStyle="1" w:styleId="xl134">
    <w:name w:val="xl134"/>
    <w:basedOn w:val="Normal"/>
    <w:uiPriority w:val="99"/>
    <w:rsid w:val="00E278C4"/>
    <w:pPr>
      <w:shd w:val="clear" w:color="000000" w:fill="FFFFFF"/>
      <w:spacing w:before="100" w:after="100"/>
      <w:jc w:val="center"/>
    </w:pPr>
    <w:rPr>
      <w:rFonts w:ascii="Arial" w:eastAsia="Times New Roman" w:hAnsi="Arial" w:cs="Arial"/>
      <w:szCs w:val="20"/>
      <w:lang w:eastAsia="es-MX"/>
    </w:rPr>
  </w:style>
  <w:style w:type="paragraph" w:customStyle="1" w:styleId="xl135">
    <w:name w:val="xl135"/>
    <w:basedOn w:val="Normal"/>
    <w:uiPriority w:val="99"/>
    <w:rsid w:val="00E278C4"/>
    <w:pPr>
      <w:pBdr>
        <w:bottom w:val="single" w:sz="6" w:space="0" w:color="auto"/>
      </w:pBdr>
      <w:shd w:val="clear" w:color="000000" w:fill="FFFFFF"/>
      <w:spacing w:before="100" w:after="100"/>
      <w:jc w:val="right"/>
    </w:pPr>
    <w:rPr>
      <w:rFonts w:ascii="Arial" w:eastAsia="Times New Roman" w:hAnsi="Arial" w:cs="Arial"/>
      <w:b/>
      <w:szCs w:val="20"/>
      <w:lang w:eastAsia="es-MX"/>
    </w:rPr>
  </w:style>
  <w:style w:type="paragraph" w:customStyle="1" w:styleId="xl136">
    <w:name w:val="xl136"/>
    <w:basedOn w:val="Normal"/>
    <w:uiPriority w:val="99"/>
    <w:rsid w:val="00E278C4"/>
    <w:pPr>
      <w:shd w:val="clear" w:color="000000" w:fill="FFFFFF"/>
      <w:spacing w:before="100" w:after="100"/>
      <w:jc w:val="center"/>
    </w:pPr>
    <w:rPr>
      <w:rFonts w:ascii="Arial" w:eastAsia="Times New Roman" w:hAnsi="Arial" w:cs="Arial"/>
      <w:b/>
      <w:color w:val="0000FF"/>
      <w:szCs w:val="20"/>
      <w:lang w:eastAsia="es-MX"/>
    </w:rPr>
  </w:style>
  <w:style w:type="paragraph" w:customStyle="1" w:styleId="xl137">
    <w:name w:val="xl137"/>
    <w:basedOn w:val="Normal"/>
    <w:uiPriority w:val="99"/>
    <w:rsid w:val="00E278C4"/>
    <w:pPr>
      <w:shd w:val="clear" w:color="000000" w:fill="FFFFFF"/>
      <w:spacing w:before="100" w:after="100"/>
      <w:jc w:val="center"/>
    </w:pPr>
    <w:rPr>
      <w:rFonts w:ascii="Arial" w:eastAsia="Times New Roman" w:hAnsi="Arial" w:cs="Arial"/>
      <w:b/>
      <w:szCs w:val="20"/>
      <w:lang w:eastAsia="es-MX"/>
    </w:rPr>
  </w:style>
  <w:style w:type="paragraph" w:customStyle="1" w:styleId="xl138">
    <w:name w:val="xl138"/>
    <w:basedOn w:val="Normal"/>
    <w:uiPriority w:val="99"/>
    <w:rsid w:val="00E278C4"/>
    <w:pPr>
      <w:shd w:val="clear" w:color="000000" w:fill="FFFFFF"/>
      <w:spacing w:before="100" w:after="100"/>
      <w:jc w:val="center"/>
    </w:pPr>
    <w:rPr>
      <w:rFonts w:ascii="Arial" w:eastAsia="Times New Roman" w:hAnsi="Arial" w:cs="Arial"/>
      <w:b/>
      <w:szCs w:val="20"/>
      <w:lang w:eastAsia="es-MX"/>
    </w:rPr>
  </w:style>
  <w:style w:type="paragraph" w:customStyle="1" w:styleId="xl139">
    <w:name w:val="xl139"/>
    <w:basedOn w:val="Normal"/>
    <w:uiPriority w:val="99"/>
    <w:rsid w:val="00E278C4"/>
    <w:pPr>
      <w:shd w:val="clear" w:color="000000" w:fill="FFFFFF"/>
      <w:spacing w:before="100" w:after="100"/>
      <w:jc w:val="center"/>
    </w:pPr>
    <w:rPr>
      <w:rFonts w:ascii="Arial" w:eastAsia="Times New Roman" w:hAnsi="Arial" w:cs="Arial"/>
      <w:b/>
      <w:szCs w:val="20"/>
      <w:lang w:eastAsia="es-MX"/>
    </w:rPr>
  </w:style>
  <w:style w:type="paragraph" w:customStyle="1" w:styleId="Mapadeldocumento1">
    <w:name w:val="Mapa del documento1"/>
    <w:basedOn w:val="Normal"/>
    <w:uiPriority w:val="99"/>
    <w:rsid w:val="00E278C4"/>
    <w:pPr>
      <w:shd w:val="clear" w:color="auto" w:fill="000080"/>
    </w:pPr>
    <w:rPr>
      <w:rFonts w:ascii="Tahoma" w:eastAsia="Times New Roman" w:hAnsi="Tahoma" w:cs="Tahoma"/>
      <w:sz w:val="20"/>
      <w:szCs w:val="20"/>
      <w:lang w:eastAsia="es-MX"/>
    </w:rPr>
  </w:style>
  <w:style w:type="paragraph" w:customStyle="1" w:styleId="EstilotextoPrimeral">
    <w:name w:val="Estilo texto + Primera l"/>
    <w:basedOn w:val="texto0"/>
    <w:uiPriority w:val="99"/>
    <w:rsid w:val="00E278C4"/>
    <w:pPr>
      <w:autoSpaceDE/>
      <w:autoSpaceDN/>
      <w:spacing w:after="101" w:line="216" w:lineRule="exact"/>
      <w:ind w:right="0"/>
    </w:pPr>
    <w:rPr>
      <w:rFonts w:ascii="Arial" w:eastAsia="Times New Roman" w:hAnsi="Arial" w:cs="Arial"/>
      <w:sz w:val="18"/>
      <w:szCs w:val="20"/>
      <w:lang w:val="es-MX" w:eastAsia="es-MX"/>
    </w:rPr>
  </w:style>
  <w:style w:type="paragraph" w:customStyle="1" w:styleId="Listavistosa-nfasis11">
    <w:name w:val="Lista vistosa - Énfasis 11"/>
    <w:basedOn w:val="Normal"/>
    <w:uiPriority w:val="99"/>
    <w:rsid w:val="00E278C4"/>
    <w:pPr>
      <w:spacing w:after="200" w:line="276" w:lineRule="atLeast"/>
      <w:ind w:left="720"/>
    </w:pPr>
    <w:rPr>
      <w:rFonts w:ascii="Calibri" w:eastAsia="Times New Roman" w:hAnsi="Calibri" w:cs="Calibri"/>
      <w:sz w:val="22"/>
      <w:szCs w:val="20"/>
      <w:lang w:val="es-ES" w:eastAsia="es-MX"/>
    </w:rPr>
  </w:style>
  <w:style w:type="numbering" w:customStyle="1" w:styleId="Sinlista516">
    <w:name w:val="Sin lista516"/>
    <w:next w:val="Sinlista"/>
    <w:semiHidden/>
    <w:rsid w:val="0099726E"/>
  </w:style>
  <w:style w:type="table" w:customStyle="1" w:styleId="Tablaconcuadrcula738">
    <w:name w:val="Tabla con cuadrícula738"/>
    <w:basedOn w:val="Tablanormal"/>
    <w:next w:val="Tablaconcuadrcula"/>
    <w:rsid w:val="009972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9">
    <w:name w:val="Tabla con cuadrícula739"/>
    <w:basedOn w:val="Tablanormal"/>
    <w:next w:val="Tablaconcuadrcula"/>
    <w:rsid w:val="00C13F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7">
    <w:name w:val="Sin lista517"/>
    <w:next w:val="Sinlista"/>
    <w:semiHidden/>
    <w:rsid w:val="00841BAF"/>
  </w:style>
  <w:style w:type="table" w:customStyle="1" w:styleId="Tablaconcuadrcula740">
    <w:name w:val="Tabla con cuadrícula740"/>
    <w:basedOn w:val="Tablanormal"/>
    <w:next w:val="Tablaconcuadrcula"/>
    <w:rsid w:val="00841B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7">
    <w:name w:val="Tabla con cuadrícula747"/>
    <w:basedOn w:val="Tablanormal"/>
    <w:next w:val="Tablaconcuadrcula"/>
    <w:rsid w:val="002A6C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1">
    <w:name w:val="Tabla con cuadrícula741"/>
    <w:basedOn w:val="Tablanormal"/>
    <w:next w:val="Tablaconcuadrcula"/>
    <w:rsid w:val="00D04F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2">
    <w:name w:val="Tabla con cuadrícula742"/>
    <w:basedOn w:val="Tablanormal"/>
    <w:next w:val="Tablaconcuadrcula"/>
    <w:rsid w:val="00D04F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8">
    <w:name w:val="Sin lista518"/>
    <w:next w:val="Sinlista"/>
    <w:semiHidden/>
    <w:rsid w:val="006C5CE6"/>
  </w:style>
  <w:style w:type="numbering" w:customStyle="1" w:styleId="Sinlista519">
    <w:name w:val="Sin lista519"/>
    <w:next w:val="Sinlista"/>
    <w:semiHidden/>
    <w:rsid w:val="006C5CE6"/>
  </w:style>
  <w:style w:type="table" w:customStyle="1" w:styleId="Tablaconcuadrcula743">
    <w:name w:val="Tabla con cuadrícula743"/>
    <w:basedOn w:val="Tablanormal"/>
    <w:next w:val="Tablaconcuadrcula"/>
    <w:rsid w:val="006C5C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0">
    <w:name w:val="Sin lista520"/>
    <w:next w:val="Sinlista"/>
    <w:semiHidden/>
    <w:rsid w:val="006C5CE6"/>
  </w:style>
  <w:style w:type="table" w:customStyle="1" w:styleId="Tablaconcuadrcula744">
    <w:name w:val="Tabla con cuadrícula744"/>
    <w:basedOn w:val="Tablanormal"/>
    <w:next w:val="Tablaconcuadrcula"/>
    <w:rsid w:val="006C5C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4">
    <w:name w:val="Sin lista524"/>
    <w:next w:val="Sinlista"/>
    <w:semiHidden/>
    <w:rsid w:val="006C5CE6"/>
  </w:style>
  <w:style w:type="table" w:customStyle="1" w:styleId="Tablaconcuadrcula745">
    <w:name w:val="Tabla con cuadrícula745"/>
    <w:basedOn w:val="Tablanormal"/>
    <w:next w:val="Tablaconcuadrcula"/>
    <w:rsid w:val="006C5C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5">
    <w:name w:val="Sin lista525"/>
    <w:next w:val="Sinlista"/>
    <w:semiHidden/>
    <w:rsid w:val="006C5CE6"/>
  </w:style>
  <w:style w:type="table" w:customStyle="1" w:styleId="Tablaconcuadrcula746">
    <w:name w:val="Tabla con cuadrícula746"/>
    <w:basedOn w:val="Tablanormal"/>
    <w:next w:val="Tablaconcuadrcula"/>
    <w:rsid w:val="006C5C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6">
    <w:name w:val="Sin lista526"/>
    <w:next w:val="Sinlista"/>
    <w:semiHidden/>
    <w:rsid w:val="006C5CE6"/>
  </w:style>
  <w:style w:type="numbering" w:customStyle="1" w:styleId="Sinlista527">
    <w:name w:val="Sin lista527"/>
    <w:next w:val="Sinlista"/>
    <w:semiHidden/>
    <w:rsid w:val="009E4D95"/>
  </w:style>
  <w:style w:type="table" w:customStyle="1" w:styleId="Tablaconcuadrcula748">
    <w:name w:val="Tabla con cuadrícula748"/>
    <w:basedOn w:val="Tablanormal"/>
    <w:next w:val="Tablaconcuadrcula"/>
    <w:rsid w:val="004A2D0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9">
    <w:name w:val="Tabla con cuadrícula749"/>
    <w:basedOn w:val="Tablanormal"/>
    <w:next w:val="Tablaconcuadrcula"/>
    <w:rsid w:val="00716B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0">
    <w:name w:val="Tabla con cuadrícula750"/>
    <w:basedOn w:val="Tablanormal"/>
    <w:next w:val="Tablaconcuadrcula"/>
    <w:rsid w:val="004D393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1">
    <w:name w:val="Tabla con cuadrícula751"/>
    <w:basedOn w:val="Tablanormal"/>
    <w:next w:val="Tablaconcuadrcula"/>
    <w:rsid w:val="008662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2">
    <w:name w:val="Tabla con cuadrícula752"/>
    <w:basedOn w:val="Tablanormal"/>
    <w:next w:val="Tablaconcuadrcula"/>
    <w:rsid w:val="00AA73A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3">
    <w:name w:val="Tabla con cuadrícula753"/>
    <w:basedOn w:val="Tablanormal"/>
    <w:next w:val="Tablaconcuadrcula"/>
    <w:rsid w:val="00430EB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4">
    <w:name w:val="Tabla con cuadrícula754"/>
    <w:basedOn w:val="Tablanormal"/>
    <w:next w:val="Tablaconcuadrcula"/>
    <w:rsid w:val="007F64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5">
    <w:name w:val="Tabla con cuadrícula755"/>
    <w:basedOn w:val="Tablanormal"/>
    <w:next w:val="Tablaconcuadrcula"/>
    <w:rsid w:val="003460F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8">
    <w:name w:val="Sin lista528"/>
    <w:next w:val="Sinlista"/>
    <w:semiHidden/>
    <w:rsid w:val="00FA45E2"/>
  </w:style>
  <w:style w:type="table" w:customStyle="1" w:styleId="Tablaconcuadrcula756">
    <w:name w:val="Tabla con cuadrícula756"/>
    <w:basedOn w:val="Tablanormal"/>
    <w:next w:val="Tablaconcuadrcula"/>
    <w:rsid w:val="00FA45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9">
    <w:name w:val="Sin lista529"/>
    <w:next w:val="Sinlista"/>
    <w:semiHidden/>
    <w:rsid w:val="00E515DF"/>
  </w:style>
  <w:style w:type="character" w:customStyle="1" w:styleId="hps">
    <w:name w:val="hps"/>
    <w:basedOn w:val="Fuentedeprrafopredeter"/>
    <w:rsid w:val="00E515DF"/>
  </w:style>
  <w:style w:type="character" w:customStyle="1" w:styleId="hpsatn">
    <w:name w:val="hps atn"/>
    <w:basedOn w:val="Fuentedeprrafopredeter"/>
    <w:rsid w:val="00E515DF"/>
  </w:style>
  <w:style w:type="numbering" w:customStyle="1" w:styleId="Sinlista530">
    <w:name w:val="Sin lista530"/>
    <w:next w:val="Sinlista"/>
    <w:semiHidden/>
    <w:rsid w:val="00F1490C"/>
  </w:style>
  <w:style w:type="table" w:customStyle="1" w:styleId="Tablaconcuadrcula757">
    <w:name w:val="Tabla con cuadrícula757"/>
    <w:basedOn w:val="Tablanormal"/>
    <w:next w:val="Tablaconcuadrcula"/>
    <w:rsid w:val="00F149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34">
    <w:name w:val="Sin lista534"/>
    <w:next w:val="Sinlista"/>
    <w:semiHidden/>
    <w:rsid w:val="00532686"/>
  </w:style>
  <w:style w:type="table" w:customStyle="1" w:styleId="Tablaconcuadrcula758">
    <w:name w:val="Tabla con cuadrícula758"/>
    <w:basedOn w:val="Tablanormal"/>
    <w:next w:val="Tablaconcuadrcula"/>
    <w:rsid w:val="005326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9">
    <w:name w:val="Tabla con cuadrícula759"/>
    <w:basedOn w:val="Tablanormal"/>
    <w:next w:val="Tablaconcuadrcula"/>
    <w:rsid w:val="007D72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0">
    <w:name w:val="Tabla con cuadrícula760"/>
    <w:basedOn w:val="Tablanormal"/>
    <w:next w:val="Tablaconcuadrcula"/>
    <w:rsid w:val="000E505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1">
    <w:name w:val="Tabla con cuadrícula761"/>
    <w:basedOn w:val="Tablanormal"/>
    <w:next w:val="Tablaconcuadrcula"/>
    <w:rsid w:val="00B770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2">
    <w:name w:val="Tabla con cuadrícula762"/>
    <w:basedOn w:val="Tablanormal"/>
    <w:next w:val="Tablaconcuadrcula"/>
    <w:rsid w:val="00B770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35">
    <w:name w:val="Sin lista535"/>
    <w:next w:val="Sinlista"/>
    <w:semiHidden/>
    <w:rsid w:val="00A57FF7"/>
  </w:style>
  <w:style w:type="numbering" w:customStyle="1" w:styleId="Sinlista536">
    <w:name w:val="Sin lista536"/>
    <w:next w:val="Sinlista"/>
    <w:semiHidden/>
    <w:rsid w:val="00C67639"/>
  </w:style>
  <w:style w:type="table" w:customStyle="1" w:styleId="Tablaconcuadrcula763">
    <w:name w:val="Tabla con cuadrícula763"/>
    <w:basedOn w:val="Tablanormal"/>
    <w:next w:val="Tablaconcuadrcula"/>
    <w:rsid w:val="00C6763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37">
    <w:name w:val="Sin lista537"/>
    <w:next w:val="Sinlista"/>
    <w:semiHidden/>
    <w:rsid w:val="002B6117"/>
  </w:style>
  <w:style w:type="table" w:customStyle="1" w:styleId="Tablaconcuadrcula764">
    <w:name w:val="Tabla con cuadrícula764"/>
    <w:basedOn w:val="Tablanormal"/>
    <w:next w:val="Tablaconcuadrcula"/>
    <w:rsid w:val="00BF7C6A"/>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538">
    <w:name w:val="Sin lista538"/>
    <w:next w:val="Sinlista"/>
    <w:semiHidden/>
    <w:rsid w:val="00211834"/>
  </w:style>
  <w:style w:type="table" w:customStyle="1" w:styleId="Tablaconcuadrcula765">
    <w:name w:val="Tabla con cuadrícula765"/>
    <w:basedOn w:val="Tablanormal"/>
    <w:next w:val="Tablaconcuadrcula"/>
    <w:rsid w:val="002118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39">
    <w:name w:val="Sin lista539"/>
    <w:next w:val="Sinlista"/>
    <w:semiHidden/>
    <w:rsid w:val="000F3AE2"/>
  </w:style>
  <w:style w:type="table" w:customStyle="1" w:styleId="Tablaconcuadrcula766">
    <w:name w:val="Tabla con cuadrícula766"/>
    <w:basedOn w:val="Tablanormal"/>
    <w:next w:val="Tablaconcuadrcula"/>
    <w:rsid w:val="000F3A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0">
    <w:name w:val="Sin lista540"/>
    <w:next w:val="Sinlista"/>
    <w:semiHidden/>
    <w:rsid w:val="000F5384"/>
  </w:style>
  <w:style w:type="table" w:customStyle="1" w:styleId="Tablaconcuadrcula767">
    <w:name w:val="Tabla con cuadrícula767"/>
    <w:basedOn w:val="Tablanormal"/>
    <w:next w:val="Tablaconcuadrcula"/>
    <w:rsid w:val="000F53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4">
    <w:name w:val="Sin lista544"/>
    <w:next w:val="Sinlista"/>
    <w:semiHidden/>
    <w:rsid w:val="00886718"/>
  </w:style>
  <w:style w:type="table" w:customStyle="1" w:styleId="Tablaconcuadrcula768">
    <w:name w:val="Tabla con cuadrícula768"/>
    <w:basedOn w:val="Tablanormal"/>
    <w:next w:val="Tablaconcuadrcula"/>
    <w:rsid w:val="008867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9">
    <w:name w:val="Tabla con cuadrícula769"/>
    <w:basedOn w:val="Tablanormal"/>
    <w:next w:val="Tablaconcuadrcula"/>
    <w:rsid w:val="00005B3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0">
    <w:name w:val="Tabla con cuadrícula770"/>
    <w:basedOn w:val="Tablanormal"/>
    <w:next w:val="Tablaconcuadrcula"/>
    <w:rsid w:val="009227A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5">
    <w:name w:val="Sin lista545"/>
    <w:next w:val="Sinlista"/>
    <w:semiHidden/>
    <w:rsid w:val="005C0CFA"/>
  </w:style>
  <w:style w:type="table" w:customStyle="1" w:styleId="Tablaconcuadrcula771">
    <w:name w:val="Tabla con cuadrícula771"/>
    <w:basedOn w:val="Tablanormal"/>
    <w:next w:val="Tablaconcuadrcula"/>
    <w:rsid w:val="005C0CF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6">
    <w:name w:val="Sin lista546"/>
    <w:next w:val="Sinlista"/>
    <w:semiHidden/>
    <w:rsid w:val="00023E48"/>
  </w:style>
  <w:style w:type="table" w:customStyle="1" w:styleId="Tablaconcuadrcula772">
    <w:name w:val="Tabla con cuadrícula772"/>
    <w:basedOn w:val="Tablanormal"/>
    <w:next w:val="Tablaconcuadrcula"/>
    <w:rsid w:val="00023E4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7">
    <w:name w:val="Sin lista547"/>
    <w:next w:val="Sinlista"/>
    <w:semiHidden/>
    <w:rsid w:val="00DF5E01"/>
  </w:style>
  <w:style w:type="table" w:customStyle="1" w:styleId="Tablaconcuadrcula773">
    <w:name w:val="Tabla con cuadrícula773"/>
    <w:basedOn w:val="Tablanormal"/>
    <w:next w:val="Tablaconcuadrcula"/>
    <w:rsid w:val="00DF5E0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8">
    <w:name w:val="Sin lista548"/>
    <w:next w:val="Sinlista"/>
    <w:semiHidden/>
    <w:rsid w:val="00EF45DE"/>
  </w:style>
  <w:style w:type="table" w:customStyle="1" w:styleId="Tablaconcuadrcula774">
    <w:name w:val="Tabla con cuadrícula774"/>
    <w:basedOn w:val="Tablanormal"/>
    <w:next w:val="Tablaconcuadrcula"/>
    <w:rsid w:val="00EF3C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5">
    <w:name w:val="Tabla con cuadrícula775"/>
    <w:basedOn w:val="Tablanormal"/>
    <w:next w:val="Tablaconcuadrcula"/>
    <w:rsid w:val="00767FC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9">
    <w:name w:val="Sin lista549"/>
    <w:next w:val="Sinlista"/>
    <w:semiHidden/>
    <w:rsid w:val="009A1F9F"/>
  </w:style>
  <w:style w:type="table" w:customStyle="1" w:styleId="Tablaconcuadrcula776">
    <w:name w:val="Tabla con cuadrícula776"/>
    <w:basedOn w:val="Tablanormal"/>
    <w:next w:val="Tablaconcuadrcula"/>
    <w:rsid w:val="009A1F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7">
    <w:name w:val="Tabla con cuadrícula777"/>
    <w:basedOn w:val="Tablanormal"/>
    <w:next w:val="Tablaconcuadrcula"/>
    <w:rsid w:val="007E42D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0">
    <w:name w:val="Sin lista550"/>
    <w:next w:val="Sinlista"/>
    <w:semiHidden/>
    <w:rsid w:val="00D978BD"/>
  </w:style>
  <w:style w:type="table" w:customStyle="1" w:styleId="Tablaconcuadrcula778">
    <w:name w:val="Tabla con cuadrícula778"/>
    <w:basedOn w:val="Tablanormal"/>
    <w:next w:val="Tablaconcuadrcula"/>
    <w:rsid w:val="00D978B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9">
    <w:name w:val="Tabla con cuadrícula779"/>
    <w:basedOn w:val="Tablanormal"/>
    <w:next w:val="Tablaconcuadrcula"/>
    <w:uiPriority w:val="59"/>
    <w:rsid w:val="00D9680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0">
    <w:name w:val="Tabla con cuadrícula780"/>
    <w:basedOn w:val="Tablanormal"/>
    <w:next w:val="Tablaconcuadrcula"/>
    <w:rsid w:val="00785C6B"/>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781">
    <w:name w:val="Tabla con cuadrícula781"/>
    <w:basedOn w:val="Tablanormal"/>
    <w:next w:val="Tablaconcuadrcula"/>
    <w:rsid w:val="00EE14F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554">
    <w:name w:val="Sin lista554"/>
    <w:next w:val="Sinlista"/>
    <w:semiHidden/>
    <w:unhideWhenUsed/>
    <w:rsid w:val="006E7E47"/>
  </w:style>
  <w:style w:type="table" w:customStyle="1" w:styleId="Tablaconcuadrcula782">
    <w:name w:val="Tabla con cuadrícula782"/>
    <w:basedOn w:val="Tablanormal"/>
    <w:next w:val="Tablaconcuadrcula"/>
    <w:rsid w:val="006E7E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5">
    <w:name w:val="Sin lista555"/>
    <w:next w:val="Sinlista"/>
    <w:semiHidden/>
    <w:unhideWhenUsed/>
    <w:rsid w:val="00930E01"/>
  </w:style>
  <w:style w:type="character" w:customStyle="1" w:styleId="TextodegloboCar">
    <w:name w:val="Texto de globo Car"/>
    <w:basedOn w:val="Fuentedeprrafopredeter"/>
    <w:link w:val="Textodeglobo"/>
    <w:uiPriority w:val="99"/>
    <w:rsid w:val="00930E01"/>
    <w:rPr>
      <w:rFonts w:ascii="Tahoma" w:hAnsi="Tahoma" w:cs="Tahoma"/>
      <w:sz w:val="16"/>
      <w:szCs w:val="16"/>
      <w:lang w:eastAsia="es-ES"/>
    </w:rPr>
  </w:style>
  <w:style w:type="table" w:customStyle="1" w:styleId="Tablaconcuadrcula783">
    <w:name w:val="Tabla con cuadrícula783"/>
    <w:basedOn w:val="Tablanormal"/>
    <w:next w:val="Tablaconcuadrcula"/>
    <w:rsid w:val="00930E0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784">
    <w:name w:val="Tabla con cuadrícula784"/>
    <w:basedOn w:val="Tablanormal"/>
    <w:next w:val="Tablaconcuadrcula"/>
    <w:rsid w:val="00904B7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5">
    <w:name w:val="Tabla con cuadrícula785"/>
    <w:basedOn w:val="Tablanormal"/>
    <w:next w:val="Tablaconcuadrcula"/>
    <w:rsid w:val="00385B5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6">
    <w:name w:val="Tabla con cuadrícula786"/>
    <w:basedOn w:val="Tablanormal"/>
    <w:next w:val="Tablaconcuadrcula"/>
    <w:uiPriority w:val="59"/>
    <w:rsid w:val="00AF5B3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6">
    <w:name w:val="Sin lista556"/>
    <w:next w:val="Sinlista"/>
    <w:uiPriority w:val="99"/>
    <w:semiHidden/>
    <w:unhideWhenUsed/>
    <w:rsid w:val="003E3852"/>
  </w:style>
  <w:style w:type="table" w:customStyle="1" w:styleId="Tablaconcuadrcula787">
    <w:name w:val="Tabla con cuadrícula787"/>
    <w:basedOn w:val="Tablanormal"/>
    <w:next w:val="Tablaconcuadrcula"/>
    <w:rsid w:val="003E385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557">
    <w:name w:val="Sin lista557"/>
    <w:next w:val="Sinlista"/>
    <w:semiHidden/>
    <w:unhideWhenUsed/>
    <w:rsid w:val="00612D4F"/>
  </w:style>
  <w:style w:type="table" w:customStyle="1" w:styleId="Tablaconcuadrcula788">
    <w:name w:val="Tabla con cuadrícula788"/>
    <w:basedOn w:val="Tablanormal"/>
    <w:next w:val="Tablaconcuadrcula"/>
    <w:rsid w:val="00612D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9">
    <w:name w:val="Tabla con cuadrícula789"/>
    <w:basedOn w:val="Tablanormal"/>
    <w:next w:val="Tablaconcuadrcula"/>
    <w:rsid w:val="00E46F2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8">
    <w:name w:val="Sin lista558"/>
    <w:next w:val="Sinlista"/>
    <w:semiHidden/>
    <w:unhideWhenUsed/>
    <w:rsid w:val="003F3357"/>
  </w:style>
  <w:style w:type="table" w:customStyle="1" w:styleId="Tablaconcuadrcula790">
    <w:name w:val="Tabla con cuadrícula790"/>
    <w:basedOn w:val="Tablanormal"/>
    <w:next w:val="Tablaconcuadrcula"/>
    <w:rsid w:val="003F335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fodocumentosadjuntos">
    <w:name w:val="Info documentos adjuntos"/>
    <w:basedOn w:val="Normal"/>
    <w:uiPriority w:val="99"/>
    <w:rsid w:val="00465231"/>
  </w:style>
  <w:style w:type="numbering" w:customStyle="1" w:styleId="Sinlista559">
    <w:name w:val="Sin lista559"/>
    <w:next w:val="Sinlista"/>
    <w:uiPriority w:val="99"/>
    <w:semiHidden/>
    <w:unhideWhenUsed/>
    <w:rsid w:val="00C12F25"/>
  </w:style>
  <w:style w:type="table" w:customStyle="1" w:styleId="Tablaconcuadrcula791">
    <w:name w:val="Tabla con cuadrícula791"/>
    <w:basedOn w:val="Tablanormal"/>
    <w:next w:val="Tablaconcuadrcula"/>
    <w:rsid w:val="00C12F25"/>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oat-left">
    <w:name w:val="float-left"/>
    <w:basedOn w:val="Normal"/>
    <w:uiPriority w:val="99"/>
    <w:rsid w:val="00C12F25"/>
    <w:pPr>
      <w:spacing w:before="100" w:beforeAutospacing="1" w:after="100" w:afterAutospacing="1" w:line="300" w:lineRule="atLeast"/>
      <w:ind w:left="709" w:hanging="709"/>
      <w:jc w:val="both"/>
    </w:pPr>
    <w:rPr>
      <w:rFonts w:eastAsia="Times New Roman"/>
      <w:sz w:val="26"/>
      <w:lang w:val="es-ES"/>
    </w:rPr>
  </w:style>
  <w:style w:type="character" w:customStyle="1" w:styleId="orden">
    <w:name w:val="orden"/>
    <w:basedOn w:val="Fuentedeprrafopredeter"/>
    <w:rsid w:val="00C12F25"/>
  </w:style>
  <w:style w:type="character" w:customStyle="1" w:styleId="seleccionado1">
    <w:name w:val="seleccionado1"/>
    <w:basedOn w:val="Fuentedeprrafopredeter"/>
    <w:rsid w:val="00C12F25"/>
    <w:rPr>
      <w:vanish w:val="0"/>
      <w:webHidden w:val="0"/>
      <w:bdr w:val="single" w:sz="4" w:space="1" w:color="C1C7C7" w:frame="1"/>
      <w:shd w:val="clear" w:color="auto" w:fill="F0F1F3"/>
      <w:specVanish w:val="0"/>
    </w:rPr>
  </w:style>
  <w:style w:type="character" w:customStyle="1" w:styleId="date5">
    <w:name w:val="date5"/>
    <w:basedOn w:val="Fuentedeprrafopredeter"/>
    <w:rsid w:val="00C12F25"/>
  </w:style>
  <w:style w:type="paragraph" w:customStyle="1" w:styleId="float-right4">
    <w:name w:val="float-right4"/>
    <w:basedOn w:val="Normal"/>
    <w:uiPriority w:val="99"/>
    <w:rsid w:val="00C12F25"/>
    <w:pPr>
      <w:spacing w:before="100" w:beforeAutospacing="1" w:after="100" w:afterAutospacing="1" w:line="300" w:lineRule="atLeast"/>
      <w:ind w:left="709" w:hanging="709"/>
      <w:jc w:val="both"/>
    </w:pPr>
    <w:rPr>
      <w:rFonts w:eastAsia="Times New Roman"/>
      <w:sz w:val="26"/>
      <w:lang w:val="es-ES"/>
    </w:rPr>
  </w:style>
  <w:style w:type="paragraph" w:customStyle="1" w:styleId="bottomfoot2">
    <w:name w:val="bottom_foot2"/>
    <w:basedOn w:val="Normal"/>
    <w:uiPriority w:val="99"/>
    <w:rsid w:val="00C12F25"/>
    <w:pPr>
      <w:spacing w:before="100" w:beforeAutospacing="1" w:after="100" w:afterAutospacing="1" w:line="300" w:lineRule="atLeast"/>
      <w:ind w:left="709" w:hanging="709"/>
      <w:jc w:val="both"/>
    </w:pPr>
    <w:rPr>
      <w:rFonts w:eastAsia="Times New Roman"/>
      <w:color w:val="666666"/>
      <w:sz w:val="26"/>
      <w:lang w:val="es-ES"/>
    </w:rPr>
  </w:style>
  <w:style w:type="paragraph" w:styleId="Sinespaciado">
    <w:name w:val="No Spacing"/>
    <w:aliases w:val="Fuente de cuadros y gráficas,Sin espaciado1"/>
    <w:uiPriority w:val="1"/>
    <w:qFormat/>
    <w:rsid w:val="00C12F25"/>
    <w:pPr>
      <w:ind w:left="709" w:hanging="709"/>
    </w:pPr>
    <w:rPr>
      <w:rFonts w:eastAsia="Times New Roman"/>
      <w:szCs w:val="24"/>
      <w:lang w:val="es-ES" w:eastAsia="es-ES"/>
    </w:rPr>
  </w:style>
  <w:style w:type="table" w:customStyle="1" w:styleId="Tablaconcuadrcula792">
    <w:name w:val="Tabla con cuadrícula792"/>
    <w:basedOn w:val="Tablanormal"/>
    <w:next w:val="Tablaconcuadrcula"/>
    <w:rsid w:val="001C58A6"/>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3">
    <w:name w:val="Tabla con cuadrícula793"/>
    <w:basedOn w:val="Tablanormal"/>
    <w:next w:val="Tablaconcuadrcula"/>
    <w:rsid w:val="00D324B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4">
    <w:name w:val="Tabla con cuadrícula794"/>
    <w:basedOn w:val="Tablanormal"/>
    <w:next w:val="Tablaconcuadrcula"/>
    <w:rsid w:val="00FA0C3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0">
    <w:name w:val="Sin lista560"/>
    <w:next w:val="Sinlista"/>
    <w:uiPriority w:val="99"/>
    <w:semiHidden/>
    <w:unhideWhenUsed/>
    <w:rsid w:val="00AC0030"/>
  </w:style>
  <w:style w:type="table" w:customStyle="1" w:styleId="Tablaconcuadrcula795">
    <w:name w:val="Tabla con cuadrícula795"/>
    <w:basedOn w:val="Tablanormal"/>
    <w:next w:val="Tablaconcuadrcula"/>
    <w:rsid w:val="00AC003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4">
    <w:name w:val="Sin lista1104"/>
    <w:next w:val="Sinlista"/>
    <w:semiHidden/>
    <w:rsid w:val="00AC0030"/>
  </w:style>
  <w:style w:type="table" w:customStyle="1" w:styleId="Tablaconcuadrcula1108">
    <w:name w:val="Tabla con cuadrícula1108"/>
    <w:basedOn w:val="Tablanormal"/>
    <w:next w:val="Tablaconcuadrcula"/>
    <w:rsid w:val="00AC003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1">
    <w:name w:val="Tabla con cuadrícula2101"/>
    <w:basedOn w:val="Tablanormal"/>
    <w:next w:val="Tablaconcuadrcula"/>
    <w:rsid w:val="00AC0030"/>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00">
    <w:name w:val="Tabla con cuadrícula3100"/>
    <w:basedOn w:val="Tablanormal"/>
    <w:next w:val="Tablaconcuadrcula"/>
    <w:rsid w:val="00AC0030"/>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00">
    <w:name w:val="Tabla con cuadrícula4100"/>
    <w:basedOn w:val="Tablanormal"/>
    <w:next w:val="Tablaconcuadrcula"/>
    <w:rsid w:val="00AC0030"/>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0">
    <w:name w:val="Tabla con cuadrícula5100"/>
    <w:basedOn w:val="Tablanormal"/>
    <w:next w:val="Tablaconcuadrcula"/>
    <w:rsid w:val="00AC0030"/>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6">
    <w:name w:val="Tabla con cuadrícula796"/>
    <w:basedOn w:val="Tablanormal"/>
    <w:next w:val="Tablaconcuadrcula"/>
    <w:rsid w:val="009E6F04"/>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4">
    <w:name w:val="Sin lista564"/>
    <w:next w:val="Sinlista"/>
    <w:semiHidden/>
    <w:unhideWhenUsed/>
    <w:rsid w:val="00DD5D06"/>
  </w:style>
  <w:style w:type="table" w:customStyle="1" w:styleId="Tablaconcuadrcula797">
    <w:name w:val="Tabla con cuadrícula797"/>
    <w:basedOn w:val="Tablanormal"/>
    <w:next w:val="Tablaconcuadrcula"/>
    <w:rsid w:val="00DD5D0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5">
    <w:name w:val="Sin lista565"/>
    <w:next w:val="Sinlista"/>
    <w:uiPriority w:val="99"/>
    <w:semiHidden/>
    <w:unhideWhenUsed/>
    <w:rsid w:val="00496822"/>
  </w:style>
  <w:style w:type="table" w:customStyle="1" w:styleId="Tablaconcuadrcula798">
    <w:name w:val="Tabla con cuadrícula798"/>
    <w:basedOn w:val="Tablanormal"/>
    <w:next w:val="Tablaconcuadrcula"/>
    <w:rsid w:val="00496822"/>
    <w:pPr>
      <w:ind w:left="709" w:hanging="709"/>
      <w:jc w:val="both"/>
    </w:pPr>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tuloCar">
    <w:name w:val="Subtítulo Car"/>
    <w:basedOn w:val="Fuentedeprrafopredeter"/>
    <w:link w:val="Subttulo"/>
    <w:uiPriority w:val="99"/>
    <w:rsid w:val="00496822"/>
    <w:rPr>
      <w:b/>
      <w:bCs/>
      <w:szCs w:val="24"/>
      <w:lang w:val="es-ES" w:eastAsia="es-ES"/>
    </w:rPr>
  </w:style>
  <w:style w:type="character" w:customStyle="1" w:styleId="PuestoCar">
    <w:name w:val="Puesto Car"/>
    <w:aliases w:val="maripaz Car"/>
    <w:basedOn w:val="Fuentedeprrafopredeter"/>
    <w:link w:val="Puesto"/>
    <w:rsid w:val="00496822"/>
    <w:rPr>
      <w:rFonts w:ascii="Arial" w:hAnsi="Arial" w:cs="Arial"/>
      <w:b/>
      <w:bCs/>
      <w:kern w:val="28"/>
      <w:sz w:val="32"/>
      <w:szCs w:val="32"/>
      <w:lang w:eastAsia="es-ES"/>
    </w:rPr>
  </w:style>
  <w:style w:type="numbering" w:customStyle="1" w:styleId="Sinlista566">
    <w:name w:val="Sin lista566"/>
    <w:next w:val="Sinlista"/>
    <w:uiPriority w:val="99"/>
    <w:semiHidden/>
    <w:unhideWhenUsed/>
    <w:rsid w:val="00C54349"/>
  </w:style>
  <w:style w:type="table" w:customStyle="1" w:styleId="Tablaconcuadrcula799">
    <w:name w:val="Tabla con cuadrícula799"/>
    <w:basedOn w:val="Tablanormal"/>
    <w:next w:val="Tablaconcuadrcula"/>
    <w:uiPriority w:val="59"/>
    <w:rsid w:val="00C54349"/>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7">
    <w:name w:val="Sin lista567"/>
    <w:next w:val="Sinlista"/>
    <w:semiHidden/>
    <w:rsid w:val="008B2EA4"/>
  </w:style>
  <w:style w:type="table" w:customStyle="1" w:styleId="Tablaconcuadrcula800">
    <w:name w:val="Tabla con cuadrícula800"/>
    <w:basedOn w:val="Tablanormal"/>
    <w:next w:val="Tablaconcuadrcula"/>
    <w:rsid w:val="008B2EA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1">
    <w:name w:val="Tabla con cuadrícula801"/>
    <w:basedOn w:val="Tablanormal"/>
    <w:next w:val="Tablaconcuadrcula"/>
    <w:rsid w:val="006D2DE1"/>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2">
    <w:name w:val="Tabla con cuadrícula802"/>
    <w:basedOn w:val="Tablanormal"/>
    <w:next w:val="Tablaconcuadrcula"/>
    <w:uiPriority w:val="59"/>
    <w:rsid w:val="00C33BC8"/>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3">
    <w:name w:val="Tabla con cuadrícula803"/>
    <w:basedOn w:val="Tablanormal"/>
    <w:next w:val="Tablaconcuadrcula"/>
    <w:rsid w:val="001463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8">
    <w:name w:val="Sin lista568"/>
    <w:next w:val="Sinlista"/>
    <w:uiPriority w:val="99"/>
    <w:semiHidden/>
    <w:unhideWhenUsed/>
    <w:rsid w:val="00856B5A"/>
  </w:style>
  <w:style w:type="table" w:customStyle="1" w:styleId="Tablaconcuadrcula804">
    <w:name w:val="Tabla con cuadrícula804"/>
    <w:basedOn w:val="Tablanormal"/>
    <w:next w:val="Tablaconcuadrcula"/>
    <w:uiPriority w:val="59"/>
    <w:rsid w:val="00856B5A"/>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5">
    <w:name w:val="Tabla con cuadrícula805"/>
    <w:basedOn w:val="Tablanormal"/>
    <w:next w:val="Tablaconcuadrcula"/>
    <w:rsid w:val="00CA1E2D"/>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6">
    <w:name w:val="Tabla con cuadrícula806"/>
    <w:basedOn w:val="Tablanormal"/>
    <w:next w:val="Tablaconcuadrcula"/>
    <w:rsid w:val="00DC04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7">
    <w:name w:val="Tabla con cuadrícula807"/>
    <w:basedOn w:val="Tablanormal"/>
    <w:next w:val="Tablaconcuadrcula"/>
    <w:rsid w:val="004E7D5F"/>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8">
    <w:name w:val="Tabla con cuadrícula808"/>
    <w:basedOn w:val="Tablanormal"/>
    <w:next w:val="Tablaconcuadrcula"/>
    <w:uiPriority w:val="59"/>
    <w:rsid w:val="0049202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9">
    <w:name w:val="Sin lista569"/>
    <w:next w:val="Sinlista"/>
    <w:uiPriority w:val="99"/>
    <w:semiHidden/>
    <w:unhideWhenUsed/>
    <w:rsid w:val="00D102FC"/>
  </w:style>
  <w:style w:type="numbering" w:customStyle="1" w:styleId="Sinlista570">
    <w:name w:val="Sin lista570"/>
    <w:next w:val="Sinlista"/>
    <w:uiPriority w:val="99"/>
    <w:semiHidden/>
    <w:unhideWhenUsed/>
    <w:rsid w:val="00657385"/>
  </w:style>
  <w:style w:type="table" w:customStyle="1" w:styleId="Tablaconcuadrcula809">
    <w:name w:val="Tabla con cuadrícula809"/>
    <w:basedOn w:val="Tablanormal"/>
    <w:next w:val="Tablaconcuadrcula"/>
    <w:rsid w:val="00657385"/>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4">
    <w:name w:val="Sin lista574"/>
    <w:next w:val="Sinlista"/>
    <w:uiPriority w:val="99"/>
    <w:semiHidden/>
    <w:unhideWhenUsed/>
    <w:rsid w:val="00F422D9"/>
  </w:style>
  <w:style w:type="table" w:customStyle="1" w:styleId="Tablaconcuadrcula810">
    <w:name w:val="Tabla con cuadrícula810"/>
    <w:basedOn w:val="Tablanormal"/>
    <w:next w:val="Tablaconcuadrcula"/>
    <w:uiPriority w:val="59"/>
    <w:rsid w:val="00F422D9"/>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5">
    <w:name w:val="Sin lista575"/>
    <w:next w:val="Sinlista"/>
    <w:uiPriority w:val="99"/>
    <w:semiHidden/>
    <w:unhideWhenUsed/>
    <w:rsid w:val="004F31D7"/>
  </w:style>
  <w:style w:type="table" w:customStyle="1" w:styleId="Tablaconcuadrcula811">
    <w:name w:val="Tabla con cuadrícula811"/>
    <w:basedOn w:val="Tablanormal"/>
    <w:next w:val="Tablaconcuadrcula"/>
    <w:rsid w:val="004F31D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2">
    <w:name w:val="Tabla con cuadrícula812"/>
    <w:basedOn w:val="Tablanormal"/>
    <w:next w:val="Tablaconcuadrcula"/>
    <w:rsid w:val="00664E2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6">
    <w:name w:val="Sin lista576"/>
    <w:next w:val="Sinlista"/>
    <w:uiPriority w:val="99"/>
    <w:semiHidden/>
    <w:unhideWhenUsed/>
    <w:rsid w:val="00492BCD"/>
  </w:style>
  <w:style w:type="table" w:customStyle="1" w:styleId="Tablaconcuadrcula813">
    <w:name w:val="Tabla con cuadrícula813"/>
    <w:basedOn w:val="Tablanormal"/>
    <w:next w:val="Tablaconcuadrcula"/>
    <w:rsid w:val="00492BC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7">
    <w:name w:val="Sin lista577"/>
    <w:next w:val="Sinlista"/>
    <w:uiPriority w:val="99"/>
    <w:semiHidden/>
    <w:unhideWhenUsed/>
    <w:rsid w:val="003D29D6"/>
  </w:style>
  <w:style w:type="table" w:customStyle="1" w:styleId="Tablaconcuadrcula814">
    <w:name w:val="Tabla con cuadrícula814"/>
    <w:basedOn w:val="Tablanormal"/>
    <w:next w:val="Tablaconcuadrcula"/>
    <w:uiPriority w:val="59"/>
    <w:rsid w:val="003D29D6"/>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notaalfinalCar">
    <w:name w:val="Texto nota al final Car"/>
    <w:basedOn w:val="Fuentedeprrafopredeter"/>
    <w:link w:val="Textonotaalfinal"/>
    <w:uiPriority w:val="99"/>
    <w:semiHidden/>
    <w:rsid w:val="003D29D6"/>
    <w:rPr>
      <w:lang w:val="es-ES" w:eastAsia="es-ES"/>
    </w:rPr>
  </w:style>
  <w:style w:type="numbering" w:customStyle="1" w:styleId="Sinlista578">
    <w:name w:val="Sin lista578"/>
    <w:next w:val="Sinlista"/>
    <w:uiPriority w:val="99"/>
    <w:semiHidden/>
    <w:unhideWhenUsed/>
    <w:rsid w:val="002654E2"/>
  </w:style>
  <w:style w:type="table" w:customStyle="1" w:styleId="Tablaconcuadrcula815">
    <w:name w:val="Tabla con cuadrícula815"/>
    <w:basedOn w:val="Tablanormal"/>
    <w:next w:val="Tablaconcuadrcula"/>
    <w:rsid w:val="002654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9">
    <w:name w:val="Sin lista579"/>
    <w:next w:val="Sinlista"/>
    <w:semiHidden/>
    <w:rsid w:val="005930B3"/>
  </w:style>
  <w:style w:type="table" w:customStyle="1" w:styleId="Tablaconcuadrcula816">
    <w:name w:val="Tabla con cuadrícula816"/>
    <w:basedOn w:val="Tablanormal"/>
    <w:next w:val="Tablaconcuadrcula"/>
    <w:rsid w:val="005930B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0">
    <w:name w:val="Sin lista580"/>
    <w:next w:val="Sinlista"/>
    <w:uiPriority w:val="99"/>
    <w:semiHidden/>
    <w:unhideWhenUsed/>
    <w:rsid w:val="00BC5018"/>
  </w:style>
  <w:style w:type="numbering" w:customStyle="1" w:styleId="Sinlista584">
    <w:name w:val="Sin lista584"/>
    <w:next w:val="Sinlista"/>
    <w:uiPriority w:val="99"/>
    <w:semiHidden/>
    <w:unhideWhenUsed/>
    <w:rsid w:val="00DE2ED6"/>
  </w:style>
  <w:style w:type="table" w:customStyle="1" w:styleId="Tablaconcuadrcula817">
    <w:name w:val="Tabla con cuadrícula817"/>
    <w:basedOn w:val="Tablanormal"/>
    <w:next w:val="Tablaconcuadrcula"/>
    <w:rsid w:val="00DE2ED6"/>
    <w:pPr>
      <w:ind w:left="709" w:hanging="709"/>
      <w:jc w:val="both"/>
    </w:pPr>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8">
    <w:name w:val="Tabla con cuadrícula818"/>
    <w:basedOn w:val="Tablanormal"/>
    <w:next w:val="Tablaconcuadrcula"/>
    <w:rsid w:val="0052416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5">
    <w:name w:val="Sin lista585"/>
    <w:next w:val="Sinlista"/>
    <w:uiPriority w:val="99"/>
    <w:semiHidden/>
    <w:unhideWhenUsed/>
    <w:rsid w:val="002159CD"/>
  </w:style>
  <w:style w:type="table" w:customStyle="1" w:styleId="Tablaconcuadrcula819">
    <w:name w:val="Tabla con cuadrícula819"/>
    <w:basedOn w:val="Tablanormal"/>
    <w:next w:val="Tablaconcuadrcula"/>
    <w:rsid w:val="002159CD"/>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6">
    <w:name w:val="Sin lista586"/>
    <w:next w:val="Sinlista"/>
    <w:uiPriority w:val="99"/>
    <w:semiHidden/>
    <w:unhideWhenUsed/>
    <w:rsid w:val="00580977"/>
  </w:style>
  <w:style w:type="table" w:customStyle="1" w:styleId="Tablaconcuadrcula820">
    <w:name w:val="Tabla con cuadrícula820"/>
    <w:basedOn w:val="Tablanormal"/>
    <w:next w:val="Tablaconcuadrcula"/>
    <w:rsid w:val="00D25E67"/>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7">
    <w:name w:val="Sin lista587"/>
    <w:next w:val="Sinlista"/>
    <w:uiPriority w:val="99"/>
    <w:semiHidden/>
    <w:unhideWhenUsed/>
    <w:rsid w:val="0027639C"/>
  </w:style>
  <w:style w:type="numbering" w:customStyle="1" w:styleId="Sinlista588">
    <w:name w:val="Sin lista588"/>
    <w:next w:val="Sinlista"/>
    <w:uiPriority w:val="99"/>
    <w:semiHidden/>
    <w:unhideWhenUsed/>
    <w:rsid w:val="00656CBD"/>
  </w:style>
  <w:style w:type="table" w:customStyle="1" w:styleId="Tablaconcuadrcula821">
    <w:name w:val="Tabla con cuadrícula821"/>
    <w:basedOn w:val="Tablanormal"/>
    <w:next w:val="Tablaconcuadrcula"/>
    <w:rsid w:val="00656CB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2">
    <w:name w:val="Tabla con cuadrícula822"/>
    <w:basedOn w:val="Tablanormal"/>
    <w:next w:val="Tablaconcuadrcula"/>
    <w:uiPriority w:val="59"/>
    <w:rsid w:val="00C058DE"/>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3">
    <w:name w:val="Tabla con cuadrícula823"/>
    <w:basedOn w:val="Tablanormal"/>
    <w:next w:val="Tablaconcuadrcula"/>
    <w:rsid w:val="009A60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4">
    <w:name w:val="Tabla con cuadrícula824"/>
    <w:basedOn w:val="Tablanormal"/>
    <w:next w:val="Tablaconcuadrcula"/>
    <w:rsid w:val="001E42B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5">
    <w:name w:val="Tabla con cuadrícula825"/>
    <w:basedOn w:val="Tablanormal"/>
    <w:next w:val="Tablaconcuadrcula"/>
    <w:rsid w:val="00E1075F"/>
    <w:pPr>
      <w:ind w:left="709" w:hanging="709"/>
      <w:jc w:val="both"/>
    </w:pPr>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6">
    <w:name w:val="Tabla con cuadrícula826"/>
    <w:basedOn w:val="Tablanormal"/>
    <w:next w:val="Tablaconcuadrcula"/>
    <w:rsid w:val="0039434A"/>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7">
    <w:name w:val="Tabla con cuadrícula827"/>
    <w:basedOn w:val="Tablanormal"/>
    <w:next w:val="Tablaconcuadrcula"/>
    <w:rsid w:val="0039434A"/>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8">
    <w:name w:val="Tabla con cuadrícula828"/>
    <w:basedOn w:val="Tablanormal"/>
    <w:next w:val="Tablaconcuadrcula"/>
    <w:rsid w:val="0039434A"/>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9">
    <w:name w:val="Tabla con cuadrícula829"/>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0">
    <w:name w:val="Tabla con cuadrícula830"/>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1">
    <w:name w:val="Tabla con cuadrícula831"/>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2">
    <w:name w:val="Tabla con cuadrícula832"/>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3">
    <w:name w:val="Tabla con cuadrícula833"/>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4">
    <w:name w:val="Tabla con cuadrícula834"/>
    <w:basedOn w:val="Tablanormal"/>
    <w:next w:val="Tablaconcuadrcula"/>
    <w:rsid w:val="00145AD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5">
    <w:name w:val="Tabla con cuadrícula835"/>
    <w:basedOn w:val="Tablanormal"/>
    <w:next w:val="Tablaconcuadrcula"/>
    <w:rsid w:val="00145AD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6">
    <w:name w:val="Tabla con cuadrícula836"/>
    <w:basedOn w:val="Tablanormal"/>
    <w:next w:val="Tablaconcuadrcula"/>
    <w:rsid w:val="009734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7">
    <w:name w:val="Tabla con cuadrícula837"/>
    <w:basedOn w:val="Tablanormal"/>
    <w:next w:val="Tablaconcuadrcula"/>
    <w:rsid w:val="009C33C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8">
    <w:name w:val="Tabla con cuadrícula838"/>
    <w:basedOn w:val="Tablanormal"/>
    <w:next w:val="Tablaconcuadrcula"/>
    <w:uiPriority w:val="59"/>
    <w:rsid w:val="008A5C4B"/>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9">
    <w:name w:val="Sin lista589"/>
    <w:next w:val="Sinlista"/>
    <w:uiPriority w:val="99"/>
    <w:semiHidden/>
    <w:unhideWhenUsed/>
    <w:rsid w:val="008E6D9B"/>
  </w:style>
  <w:style w:type="table" w:customStyle="1" w:styleId="Tablaconcuadrcula839">
    <w:name w:val="Tabla con cuadrícula839"/>
    <w:basedOn w:val="Tablanormal"/>
    <w:next w:val="Tablaconcuadrcula"/>
    <w:rsid w:val="008E6D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0">
    <w:name w:val="Tabla con cuadrícula840"/>
    <w:basedOn w:val="Tablanormal"/>
    <w:next w:val="Tablaconcuadrcula"/>
    <w:uiPriority w:val="59"/>
    <w:rsid w:val="00BA189C"/>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0">
    <w:name w:val="Sin lista590"/>
    <w:next w:val="Sinlista"/>
    <w:semiHidden/>
    <w:unhideWhenUsed/>
    <w:rsid w:val="00402C96"/>
  </w:style>
  <w:style w:type="table" w:customStyle="1" w:styleId="Tablaconcuadrcula841">
    <w:name w:val="Tabla con cuadrícula841"/>
    <w:basedOn w:val="Tablanormal"/>
    <w:next w:val="Tablaconcuadrcula"/>
    <w:uiPriority w:val="59"/>
    <w:rsid w:val="003A411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4">
    <w:name w:val="Sin lista594"/>
    <w:next w:val="Sinlista"/>
    <w:uiPriority w:val="99"/>
    <w:semiHidden/>
    <w:unhideWhenUsed/>
    <w:rsid w:val="00285896"/>
  </w:style>
  <w:style w:type="table" w:customStyle="1" w:styleId="Tablaconcuadrcula842">
    <w:name w:val="Tabla con cuadrícula842"/>
    <w:basedOn w:val="Tablanormal"/>
    <w:next w:val="Tablaconcuadrcula"/>
    <w:rsid w:val="00285896"/>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5">
    <w:name w:val="Sin lista595"/>
    <w:next w:val="Sinlista"/>
    <w:uiPriority w:val="99"/>
    <w:semiHidden/>
    <w:unhideWhenUsed/>
    <w:rsid w:val="007654A9"/>
  </w:style>
  <w:style w:type="table" w:customStyle="1" w:styleId="Tablaconcuadrcula843">
    <w:name w:val="Tabla con cuadrícula843"/>
    <w:basedOn w:val="Tablanormal"/>
    <w:next w:val="Tablaconcuadrcula"/>
    <w:rsid w:val="007654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6">
    <w:name w:val="Sin lista596"/>
    <w:next w:val="Sinlista"/>
    <w:uiPriority w:val="99"/>
    <w:semiHidden/>
    <w:unhideWhenUsed/>
    <w:rsid w:val="00AC62DD"/>
  </w:style>
  <w:style w:type="numbering" w:customStyle="1" w:styleId="Sinlista597">
    <w:name w:val="Sin lista597"/>
    <w:next w:val="Sinlista"/>
    <w:semiHidden/>
    <w:rsid w:val="006E754B"/>
  </w:style>
  <w:style w:type="table" w:customStyle="1" w:styleId="Tablaconcuadrcula844">
    <w:name w:val="Tabla con cuadrícula844"/>
    <w:basedOn w:val="Tablanormal"/>
    <w:next w:val="Tablaconcuadrcula"/>
    <w:rsid w:val="006E75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justificado">
    <w:name w:val="textojustificado"/>
    <w:basedOn w:val="Normal"/>
    <w:uiPriority w:val="99"/>
    <w:rsid w:val="00EA4FC6"/>
    <w:pPr>
      <w:spacing w:before="100" w:beforeAutospacing="1" w:after="100" w:afterAutospacing="1"/>
    </w:pPr>
    <w:rPr>
      <w:rFonts w:eastAsia="Times New Roman"/>
      <w:lang w:eastAsia="es-MX"/>
    </w:rPr>
  </w:style>
  <w:style w:type="table" w:customStyle="1" w:styleId="Tablaconcuadrcula845">
    <w:name w:val="Tabla con cuadrícula845"/>
    <w:basedOn w:val="Tablanormal"/>
    <w:next w:val="Tablaconcuadrcula"/>
    <w:uiPriority w:val="59"/>
    <w:rsid w:val="00DE4997"/>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6">
    <w:name w:val="Tabla con cuadrícula846"/>
    <w:basedOn w:val="Tablanormal"/>
    <w:next w:val="Tablaconcuadrcula"/>
    <w:rsid w:val="00FF316C"/>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8">
    <w:name w:val="Sin lista598"/>
    <w:next w:val="Sinlista"/>
    <w:uiPriority w:val="99"/>
    <w:semiHidden/>
    <w:unhideWhenUsed/>
    <w:rsid w:val="004E5C18"/>
  </w:style>
  <w:style w:type="table" w:customStyle="1" w:styleId="Tablaconcuadrcula847">
    <w:name w:val="Tabla con cuadrícula847"/>
    <w:basedOn w:val="Tablanormal"/>
    <w:next w:val="Tablaconcuadrcula"/>
    <w:rsid w:val="004E5C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9">
    <w:name w:val="Sin lista599"/>
    <w:next w:val="Sinlista"/>
    <w:uiPriority w:val="99"/>
    <w:semiHidden/>
    <w:unhideWhenUsed/>
    <w:rsid w:val="00EE7A02"/>
  </w:style>
  <w:style w:type="table" w:customStyle="1" w:styleId="Tablaconcuadrcula848">
    <w:name w:val="Tabla con cuadrícula848"/>
    <w:basedOn w:val="Tablanormal"/>
    <w:next w:val="Tablaconcuadrcula"/>
    <w:uiPriority w:val="59"/>
    <w:rsid w:val="00EE7A02"/>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0">
    <w:name w:val="Sin lista600"/>
    <w:next w:val="Sinlista"/>
    <w:uiPriority w:val="99"/>
    <w:semiHidden/>
    <w:unhideWhenUsed/>
    <w:rsid w:val="00B37EB0"/>
  </w:style>
  <w:style w:type="table" w:customStyle="1" w:styleId="Tablaconcuadrcula849">
    <w:name w:val="Tabla con cuadrícula849"/>
    <w:basedOn w:val="Tablanormal"/>
    <w:next w:val="Tablaconcuadrcula"/>
    <w:uiPriority w:val="59"/>
    <w:rsid w:val="00B37EB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4">
    <w:name w:val="Sin lista604"/>
    <w:next w:val="Sinlista"/>
    <w:semiHidden/>
    <w:rsid w:val="004A7F09"/>
  </w:style>
  <w:style w:type="table" w:customStyle="1" w:styleId="Tablaconcuadrcula850">
    <w:name w:val="Tabla con cuadrícula850"/>
    <w:basedOn w:val="Tablanormal"/>
    <w:next w:val="Tablaconcuadrcula"/>
    <w:uiPriority w:val="59"/>
    <w:rsid w:val="006F6360"/>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1">
    <w:name w:val="Tabla con cuadrícula851"/>
    <w:basedOn w:val="Tablanormal"/>
    <w:next w:val="Tablaconcuadrcula"/>
    <w:uiPriority w:val="59"/>
    <w:rsid w:val="006B46D4"/>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2">
    <w:name w:val="Tabla con cuadrícula852"/>
    <w:basedOn w:val="Tablanormal"/>
    <w:next w:val="Tablaconcuadrcula"/>
    <w:rsid w:val="001024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3">
    <w:name w:val="Tabla con cuadrícula853"/>
    <w:basedOn w:val="Tablanormal"/>
    <w:next w:val="Tablaconcuadrcula"/>
    <w:uiPriority w:val="59"/>
    <w:rsid w:val="00676B0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4">
    <w:name w:val="Tabla con cuadrícula854"/>
    <w:basedOn w:val="Tablanormal"/>
    <w:next w:val="Tablaconcuadrcula"/>
    <w:uiPriority w:val="59"/>
    <w:rsid w:val="007A105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5">
    <w:name w:val="Tabla con cuadrícula855"/>
    <w:basedOn w:val="Tablanormal"/>
    <w:next w:val="Tablaconcuadrcula"/>
    <w:uiPriority w:val="59"/>
    <w:rsid w:val="009745D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6">
    <w:name w:val="Tabla con cuadrícula856"/>
    <w:basedOn w:val="Tablanormal"/>
    <w:next w:val="Tablaconcuadrcula"/>
    <w:uiPriority w:val="59"/>
    <w:rsid w:val="00B41DE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7">
    <w:name w:val="Tabla con cuadrícula857"/>
    <w:basedOn w:val="Tablanormal"/>
    <w:next w:val="Tablaconcuadrcula"/>
    <w:uiPriority w:val="59"/>
    <w:rsid w:val="00707A5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5">
    <w:name w:val="Sin lista605"/>
    <w:next w:val="Sinlista"/>
    <w:uiPriority w:val="99"/>
    <w:semiHidden/>
    <w:unhideWhenUsed/>
    <w:rsid w:val="00407520"/>
  </w:style>
  <w:style w:type="numbering" w:customStyle="1" w:styleId="Sinlista606">
    <w:name w:val="Sin lista606"/>
    <w:next w:val="Sinlista"/>
    <w:semiHidden/>
    <w:unhideWhenUsed/>
    <w:rsid w:val="004A3CAC"/>
  </w:style>
  <w:style w:type="table" w:customStyle="1" w:styleId="Tablaconcuadrcula858">
    <w:name w:val="Tabla con cuadrícula858"/>
    <w:basedOn w:val="Tablanormal"/>
    <w:next w:val="Tablaconcuadrcula"/>
    <w:rsid w:val="004A3CA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9">
    <w:name w:val="Tabla con cuadrícula859"/>
    <w:basedOn w:val="Tablanormal"/>
    <w:next w:val="Tablaconcuadrcula"/>
    <w:uiPriority w:val="59"/>
    <w:rsid w:val="00F44783"/>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7">
    <w:name w:val="Sin lista607"/>
    <w:next w:val="Sinlista"/>
    <w:uiPriority w:val="99"/>
    <w:semiHidden/>
    <w:unhideWhenUsed/>
    <w:rsid w:val="00C033C1"/>
  </w:style>
  <w:style w:type="table" w:customStyle="1" w:styleId="Tablaconcuadrcula860">
    <w:name w:val="Tabla con cuadrícula860"/>
    <w:basedOn w:val="Tablanormal"/>
    <w:next w:val="Tablaconcuadrcula"/>
    <w:uiPriority w:val="59"/>
    <w:rsid w:val="00C033C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1">
    <w:name w:val="Tabla con cuadrícula861"/>
    <w:basedOn w:val="Tablanormal"/>
    <w:next w:val="Tablaconcuadrcula"/>
    <w:uiPriority w:val="59"/>
    <w:rsid w:val="007D2A9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2">
    <w:name w:val="Tabla con cuadrícula862"/>
    <w:basedOn w:val="Tablanormal"/>
    <w:next w:val="Tablaconcuadrcula"/>
    <w:uiPriority w:val="59"/>
    <w:rsid w:val="001906D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3">
    <w:name w:val="Tabla con cuadrícula863"/>
    <w:basedOn w:val="Tablanormal"/>
    <w:next w:val="Tablaconcuadrcula"/>
    <w:rsid w:val="00F713EA"/>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864">
    <w:name w:val="Tabla con cuadrícula864"/>
    <w:basedOn w:val="Tablanormal"/>
    <w:next w:val="Tablaconcuadrcula"/>
    <w:uiPriority w:val="59"/>
    <w:rsid w:val="00E819D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8">
    <w:name w:val="Sin lista608"/>
    <w:next w:val="Sinlista"/>
    <w:uiPriority w:val="99"/>
    <w:semiHidden/>
    <w:unhideWhenUsed/>
    <w:rsid w:val="00C63D03"/>
  </w:style>
  <w:style w:type="table" w:customStyle="1" w:styleId="Tablaconcuadrcula865">
    <w:name w:val="Tabla con cuadrícula865"/>
    <w:basedOn w:val="Tablanormal"/>
    <w:next w:val="Tablaconcuadrcula"/>
    <w:rsid w:val="00C63D03"/>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9">
    <w:name w:val="Sin lista609"/>
    <w:next w:val="Sinlista"/>
    <w:uiPriority w:val="99"/>
    <w:semiHidden/>
    <w:unhideWhenUsed/>
    <w:rsid w:val="004F7698"/>
  </w:style>
  <w:style w:type="table" w:customStyle="1" w:styleId="Tablaconcuadrcula866">
    <w:name w:val="Tabla con cuadrícula866"/>
    <w:basedOn w:val="Tablanormal"/>
    <w:next w:val="Tablaconcuadrcula"/>
    <w:rsid w:val="004F769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6">
    <w:name w:val="Sin lista616"/>
    <w:next w:val="Sinlista"/>
    <w:uiPriority w:val="99"/>
    <w:semiHidden/>
    <w:unhideWhenUsed/>
    <w:rsid w:val="002742B3"/>
  </w:style>
  <w:style w:type="table" w:customStyle="1" w:styleId="Tablaconcuadrcula867">
    <w:name w:val="Tabla con cuadrícula867"/>
    <w:basedOn w:val="Tablanormal"/>
    <w:next w:val="Tablaconcuadrcula"/>
    <w:rsid w:val="002742B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8">
    <w:name w:val="Tabla con cuadrícula868"/>
    <w:basedOn w:val="Tablanormal"/>
    <w:next w:val="Tablaconcuadrcula"/>
    <w:uiPriority w:val="59"/>
    <w:rsid w:val="002D0E0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9">
    <w:name w:val="Tabla con cuadrícula869"/>
    <w:basedOn w:val="Tablanormal"/>
    <w:next w:val="Tablaconcuadrcula"/>
    <w:rsid w:val="000257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0">
    <w:name w:val="Tabla con cuadrícula870"/>
    <w:basedOn w:val="Tablanormal"/>
    <w:next w:val="Tablaconcuadrcula"/>
    <w:uiPriority w:val="59"/>
    <w:rsid w:val="00EA2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1">
    <w:name w:val="Tabla con cuadrícula871"/>
    <w:basedOn w:val="Tablanormal"/>
    <w:next w:val="Tablaconcuadrcula"/>
    <w:uiPriority w:val="59"/>
    <w:rsid w:val="007F052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7">
    <w:name w:val="Sin lista617"/>
    <w:next w:val="Sinlista"/>
    <w:uiPriority w:val="99"/>
    <w:semiHidden/>
    <w:unhideWhenUsed/>
    <w:rsid w:val="00DF2CB5"/>
  </w:style>
  <w:style w:type="table" w:customStyle="1" w:styleId="Tablaconcuadrcula872">
    <w:name w:val="Tabla con cuadrícula872"/>
    <w:basedOn w:val="Tablanormal"/>
    <w:next w:val="Tablaconcuadrcula"/>
    <w:rsid w:val="00DF2CB5"/>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Fuentedeprrafopredeter"/>
    <w:rsid w:val="00DF2CB5"/>
  </w:style>
  <w:style w:type="table" w:customStyle="1" w:styleId="Tablaconcuadrcula873">
    <w:name w:val="Tabla con cuadrícula873"/>
    <w:basedOn w:val="Tablanormal"/>
    <w:next w:val="Tablaconcuadrcula"/>
    <w:rsid w:val="00672B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4">
    <w:name w:val="Tabla con cuadrícula874"/>
    <w:basedOn w:val="Tablanormal"/>
    <w:next w:val="Tablaconcuadrcula"/>
    <w:rsid w:val="00AE61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8">
    <w:name w:val="Sin lista618"/>
    <w:next w:val="Sinlista"/>
    <w:semiHidden/>
    <w:unhideWhenUsed/>
    <w:rsid w:val="007938F2"/>
  </w:style>
  <w:style w:type="table" w:customStyle="1" w:styleId="Tablaconcuadrcula875">
    <w:name w:val="Tabla con cuadrícula875"/>
    <w:basedOn w:val="Tablanormal"/>
    <w:next w:val="Tablaconcuadrcula"/>
    <w:rsid w:val="00B41E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9">
    <w:name w:val="Sin lista619"/>
    <w:next w:val="Sinlista"/>
    <w:semiHidden/>
    <w:rsid w:val="00A438ED"/>
  </w:style>
  <w:style w:type="table" w:customStyle="1" w:styleId="Tablaconcuadrcula876">
    <w:name w:val="Tabla con cuadrícula876"/>
    <w:basedOn w:val="Tablanormal"/>
    <w:next w:val="Tablaconcuadrcula"/>
    <w:rsid w:val="00A438E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0">
    <w:name w:val="Sin lista620"/>
    <w:next w:val="Sinlista"/>
    <w:uiPriority w:val="99"/>
    <w:semiHidden/>
    <w:unhideWhenUsed/>
    <w:rsid w:val="00734CE0"/>
  </w:style>
  <w:style w:type="table" w:customStyle="1" w:styleId="Tablaconcuadrcula877">
    <w:name w:val="Tabla con cuadrícula877"/>
    <w:basedOn w:val="Tablanormal"/>
    <w:next w:val="Tablaconcuadrcula"/>
    <w:uiPriority w:val="59"/>
    <w:rsid w:val="00734CE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5">
    <w:name w:val="Sin lista1105"/>
    <w:next w:val="Sinlista"/>
    <w:uiPriority w:val="99"/>
    <w:semiHidden/>
    <w:unhideWhenUsed/>
    <w:rsid w:val="00734CE0"/>
  </w:style>
  <w:style w:type="table" w:customStyle="1" w:styleId="Tablaconcuadrcula1109">
    <w:name w:val="Tabla con cuadrícula1109"/>
    <w:basedOn w:val="Tablanormal"/>
    <w:next w:val="Tablaconcuadrcula"/>
    <w:rsid w:val="00734CE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6">
    <w:name w:val="Tabla con cuadrícula1116"/>
    <w:basedOn w:val="Tablanormal"/>
    <w:next w:val="Tablaconcuadrcula"/>
    <w:rsid w:val="00734CE0"/>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8">
    <w:name w:val="Tabla con cuadrícula878"/>
    <w:basedOn w:val="Tablanormal"/>
    <w:next w:val="Tablaconcuadrcula"/>
    <w:rsid w:val="00295A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4">
    <w:name w:val="Sin lista624"/>
    <w:next w:val="Sinlista"/>
    <w:uiPriority w:val="99"/>
    <w:semiHidden/>
    <w:unhideWhenUsed/>
    <w:rsid w:val="00BD3ACF"/>
  </w:style>
  <w:style w:type="table" w:customStyle="1" w:styleId="Tablaconcuadrcula879">
    <w:name w:val="Tabla con cuadrícula879"/>
    <w:basedOn w:val="Tablanormal"/>
    <w:next w:val="Tablaconcuadrcula"/>
    <w:rsid w:val="00BD3AC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5">
    <w:name w:val="Sin lista625"/>
    <w:next w:val="Sinlista"/>
    <w:uiPriority w:val="99"/>
    <w:semiHidden/>
    <w:unhideWhenUsed/>
    <w:rsid w:val="00E2725F"/>
  </w:style>
  <w:style w:type="table" w:customStyle="1" w:styleId="Tablaconcuadrcula880">
    <w:name w:val="Tabla con cuadrícula880"/>
    <w:basedOn w:val="Tablanormal"/>
    <w:next w:val="Tablaconcuadrcula"/>
    <w:uiPriority w:val="59"/>
    <w:rsid w:val="00E2725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1">
    <w:name w:val="Tabla con cuadrícula881"/>
    <w:basedOn w:val="Tablanormal"/>
    <w:next w:val="Tablaconcuadrcula"/>
    <w:rsid w:val="001322F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6">
    <w:name w:val="Sin lista626"/>
    <w:next w:val="Sinlista"/>
    <w:uiPriority w:val="99"/>
    <w:semiHidden/>
    <w:unhideWhenUsed/>
    <w:rsid w:val="00B21357"/>
  </w:style>
  <w:style w:type="table" w:customStyle="1" w:styleId="Tablaconcuadrcula882">
    <w:name w:val="Tabla con cuadrícula882"/>
    <w:basedOn w:val="Tablanormal"/>
    <w:next w:val="Tablaconcuadrcula"/>
    <w:rsid w:val="00B2135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3">
    <w:name w:val="Tabla con cuadrícula883"/>
    <w:basedOn w:val="Tablanormal"/>
    <w:next w:val="Tablaconcuadrcula"/>
    <w:uiPriority w:val="59"/>
    <w:rsid w:val="0024532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4">
    <w:name w:val="Tabla con cuadrícula884"/>
    <w:basedOn w:val="Tablanormal"/>
    <w:next w:val="Tablaconcuadrcula"/>
    <w:uiPriority w:val="59"/>
    <w:rsid w:val="00B92F5B"/>
    <w:pPr>
      <w:ind w:right="-159"/>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7">
    <w:name w:val="Sin lista627"/>
    <w:next w:val="Sinlista"/>
    <w:uiPriority w:val="99"/>
    <w:semiHidden/>
    <w:unhideWhenUsed/>
    <w:rsid w:val="00A70595"/>
  </w:style>
  <w:style w:type="table" w:customStyle="1" w:styleId="Tablaconcuadrcula885">
    <w:name w:val="Tabla con cuadrícula885"/>
    <w:basedOn w:val="Tablanormal"/>
    <w:next w:val="Tablaconcuadrcula"/>
    <w:uiPriority w:val="59"/>
    <w:rsid w:val="00A7059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8">
    <w:name w:val="Sin lista628"/>
    <w:next w:val="Sinlista"/>
    <w:semiHidden/>
    <w:unhideWhenUsed/>
    <w:rsid w:val="00543FEF"/>
  </w:style>
  <w:style w:type="table" w:customStyle="1" w:styleId="Tablaconcuadrcula886">
    <w:name w:val="Tabla con cuadrícula886"/>
    <w:basedOn w:val="Tablanormal"/>
    <w:next w:val="Tablaconcuadrcula"/>
    <w:rsid w:val="00543FE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7">
    <w:name w:val="Tabla con cuadrícula887"/>
    <w:basedOn w:val="Tablanormal"/>
    <w:next w:val="Tablaconcuadrcula"/>
    <w:rsid w:val="000C146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9">
    <w:name w:val="Sin lista629"/>
    <w:next w:val="Sinlista"/>
    <w:uiPriority w:val="99"/>
    <w:semiHidden/>
    <w:unhideWhenUsed/>
    <w:rsid w:val="005B5C8D"/>
  </w:style>
  <w:style w:type="table" w:customStyle="1" w:styleId="Tablaconcuadrcula888">
    <w:name w:val="Tabla con cuadrícula888"/>
    <w:basedOn w:val="Tablanormal"/>
    <w:next w:val="Tablaconcuadrcula"/>
    <w:rsid w:val="005B5C8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7">
    <w:name w:val="Tabla con cuadrícula1117"/>
    <w:basedOn w:val="Tablanormal"/>
    <w:next w:val="Tablaconcuadrcula"/>
    <w:rsid w:val="005B5C8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0">
    <w:name w:val="Sin lista630"/>
    <w:next w:val="Sinlista"/>
    <w:semiHidden/>
    <w:unhideWhenUsed/>
    <w:rsid w:val="00490B6B"/>
  </w:style>
  <w:style w:type="table" w:customStyle="1" w:styleId="Tablaconcuadrcula889">
    <w:name w:val="Tabla con cuadrícula889"/>
    <w:basedOn w:val="Tablanormal"/>
    <w:next w:val="Tablaconcuadrcula"/>
    <w:rsid w:val="00490B6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0">
    <w:name w:val="Tabla con cuadrícula890"/>
    <w:basedOn w:val="Tablanormal"/>
    <w:next w:val="Tablaconcuadrcula"/>
    <w:uiPriority w:val="59"/>
    <w:rsid w:val="00902E19"/>
    <w:pPr>
      <w:ind w:right="-159"/>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1">
    <w:name w:val="Tabla con cuadrícula891"/>
    <w:basedOn w:val="Tablanormal"/>
    <w:next w:val="Tablaconcuadrcula"/>
    <w:rsid w:val="00C7293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2">
    <w:name w:val="Tabla con cuadrícula892"/>
    <w:basedOn w:val="Tablanormal"/>
    <w:next w:val="Tablaconcuadrcula"/>
    <w:rsid w:val="008F07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4">
    <w:name w:val="Sin lista634"/>
    <w:next w:val="Sinlista"/>
    <w:uiPriority w:val="99"/>
    <w:semiHidden/>
    <w:unhideWhenUsed/>
    <w:rsid w:val="00AB09D7"/>
  </w:style>
  <w:style w:type="table" w:customStyle="1" w:styleId="Tablaconcuadrcula893">
    <w:name w:val="Tabla con cuadrícula893"/>
    <w:basedOn w:val="Tablanormal"/>
    <w:next w:val="Tablaconcuadrcula"/>
    <w:uiPriority w:val="59"/>
    <w:rsid w:val="00AB09D7"/>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13">
    <w:name w:val="Pa13"/>
    <w:basedOn w:val="Normal"/>
    <w:next w:val="Normal"/>
    <w:uiPriority w:val="99"/>
    <w:rsid w:val="00AB09D7"/>
    <w:pPr>
      <w:autoSpaceDE w:val="0"/>
      <w:autoSpaceDN w:val="0"/>
      <w:adjustRightInd w:val="0"/>
      <w:spacing w:line="201" w:lineRule="atLeast"/>
    </w:pPr>
    <w:rPr>
      <w:rFonts w:ascii="Stag Sans Light" w:eastAsiaTheme="minorHAnsi" w:hAnsi="Stag Sans Light" w:cstheme="minorBidi"/>
      <w:lang w:eastAsia="en-US"/>
    </w:rPr>
  </w:style>
  <w:style w:type="paragraph" w:customStyle="1" w:styleId="Pa16">
    <w:name w:val="Pa16"/>
    <w:basedOn w:val="Normal"/>
    <w:next w:val="Normal"/>
    <w:uiPriority w:val="99"/>
    <w:rsid w:val="00AB09D7"/>
    <w:pPr>
      <w:autoSpaceDE w:val="0"/>
      <w:autoSpaceDN w:val="0"/>
      <w:adjustRightInd w:val="0"/>
      <w:spacing w:line="141" w:lineRule="atLeast"/>
    </w:pPr>
    <w:rPr>
      <w:rFonts w:ascii="Stag Sans Light" w:eastAsiaTheme="minorHAnsi" w:hAnsi="Stag Sans Light" w:cstheme="minorBidi"/>
      <w:lang w:eastAsia="en-US"/>
    </w:rPr>
  </w:style>
  <w:style w:type="table" w:customStyle="1" w:styleId="Tablaconcuadrcula894">
    <w:name w:val="Tabla con cuadrícula894"/>
    <w:basedOn w:val="Tablanormal"/>
    <w:next w:val="Tablaconcuadrcula"/>
    <w:rsid w:val="0095627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635">
    <w:name w:val="Sin lista635"/>
    <w:next w:val="Sinlista"/>
    <w:uiPriority w:val="99"/>
    <w:semiHidden/>
    <w:unhideWhenUsed/>
    <w:rsid w:val="00275042"/>
  </w:style>
  <w:style w:type="table" w:customStyle="1" w:styleId="Tablaconcuadrcula895">
    <w:name w:val="Tabla con cuadrícula895"/>
    <w:basedOn w:val="Tablanormal"/>
    <w:next w:val="Tablaconcuadrcula"/>
    <w:rsid w:val="002750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6">
    <w:name w:val="Tabla con cuadrícula896"/>
    <w:basedOn w:val="Tablanormal"/>
    <w:next w:val="Tablaconcuadrcula"/>
    <w:rsid w:val="00802E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7">
    <w:name w:val="Tabla con cuadrícula897"/>
    <w:basedOn w:val="Tablanormal"/>
    <w:next w:val="Tablaconcuadrcula"/>
    <w:rsid w:val="000419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8">
    <w:name w:val="Tabla con cuadrícula898"/>
    <w:basedOn w:val="Tablanormal"/>
    <w:next w:val="Tablaconcuadrcula"/>
    <w:rsid w:val="002C1E87"/>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9">
    <w:name w:val="Tabla con cuadrícula899"/>
    <w:basedOn w:val="Tablanormal"/>
    <w:next w:val="Tablaconcuadrcula"/>
    <w:rsid w:val="009A34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0">
    <w:name w:val="Tabla con cuadrícula900"/>
    <w:basedOn w:val="Tablanormal"/>
    <w:next w:val="Tablaconcuadrcula"/>
    <w:uiPriority w:val="59"/>
    <w:rsid w:val="00553BBA"/>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1">
    <w:name w:val="Tabla con cuadrícula901"/>
    <w:basedOn w:val="Tablanormal"/>
    <w:next w:val="Tablaconcuadrcula"/>
    <w:rsid w:val="00964B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2">
    <w:name w:val="Tabla con cuadrícula902"/>
    <w:basedOn w:val="Tablanormal"/>
    <w:next w:val="Tablaconcuadrcula"/>
    <w:uiPriority w:val="59"/>
    <w:rsid w:val="006C058C"/>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6">
    <w:name w:val="Sin lista636"/>
    <w:next w:val="Sinlista"/>
    <w:uiPriority w:val="99"/>
    <w:semiHidden/>
    <w:unhideWhenUsed/>
    <w:rsid w:val="00967AE3"/>
  </w:style>
  <w:style w:type="paragraph" w:customStyle="1" w:styleId="Sangradetextonormal2">
    <w:name w:val="Sangría de texto normal2"/>
    <w:basedOn w:val="Normal"/>
    <w:uiPriority w:val="99"/>
    <w:rsid w:val="00FC7B90"/>
    <w:pPr>
      <w:spacing w:after="120" w:line="480" w:lineRule="auto"/>
    </w:pPr>
    <w:rPr>
      <w:rFonts w:eastAsia="Times New Roman"/>
      <w:sz w:val="20"/>
      <w:szCs w:val="20"/>
    </w:rPr>
  </w:style>
  <w:style w:type="table" w:customStyle="1" w:styleId="Tablaconcuadrcula903">
    <w:name w:val="Tabla con cuadrícula903"/>
    <w:basedOn w:val="Tablanormal"/>
    <w:next w:val="Tablaconcuadrcula"/>
    <w:rsid w:val="00D9722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7">
    <w:name w:val="Sin lista637"/>
    <w:next w:val="Sinlista"/>
    <w:uiPriority w:val="99"/>
    <w:semiHidden/>
    <w:unhideWhenUsed/>
    <w:rsid w:val="003F4C3C"/>
  </w:style>
  <w:style w:type="table" w:customStyle="1" w:styleId="Tablaconcuadrcula904">
    <w:name w:val="Tabla con cuadrícula904"/>
    <w:basedOn w:val="Tablanormal"/>
    <w:next w:val="Tablaconcuadrcula"/>
    <w:uiPriority w:val="59"/>
    <w:rsid w:val="003F4C3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5">
    <w:name w:val="Tabla con cuadrícula905"/>
    <w:basedOn w:val="Tablanormal"/>
    <w:next w:val="Tablaconcuadrcula"/>
    <w:rsid w:val="00CF3E2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6">
    <w:name w:val="Tabla con cuadrícula906"/>
    <w:basedOn w:val="Tablanormal"/>
    <w:next w:val="Tablaconcuadrcula"/>
    <w:uiPriority w:val="59"/>
    <w:rsid w:val="00B56202"/>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8">
    <w:name w:val="Sin lista638"/>
    <w:next w:val="Sinlista"/>
    <w:uiPriority w:val="99"/>
    <w:semiHidden/>
    <w:unhideWhenUsed/>
    <w:rsid w:val="00650E40"/>
  </w:style>
  <w:style w:type="table" w:customStyle="1" w:styleId="Tablaconcuadrcula907">
    <w:name w:val="Tabla con cuadrícula907"/>
    <w:basedOn w:val="Tablanormal"/>
    <w:next w:val="Tablaconcuadrcula"/>
    <w:rsid w:val="00650E4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8">
    <w:name w:val="Tabla con cuadrícula908"/>
    <w:basedOn w:val="Tablanormal"/>
    <w:next w:val="Tablaconcuadrcula"/>
    <w:uiPriority w:val="59"/>
    <w:rsid w:val="00D415A7"/>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9">
    <w:name w:val="Sin lista639"/>
    <w:next w:val="Sinlista"/>
    <w:semiHidden/>
    <w:unhideWhenUsed/>
    <w:rsid w:val="00523E4E"/>
  </w:style>
  <w:style w:type="numbering" w:customStyle="1" w:styleId="Sinlista640">
    <w:name w:val="Sin lista640"/>
    <w:next w:val="Sinlista"/>
    <w:uiPriority w:val="99"/>
    <w:semiHidden/>
    <w:unhideWhenUsed/>
    <w:rsid w:val="00361647"/>
  </w:style>
  <w:style w:type="table" w:customStyle="1" w:styleId="Tablaconcuadrcula909">
    <w:name w:val="Tabla con cuadrícula909"/>
    <w:basedOn w:val="Tablanormal"/>
    <w:next w:val="Tablaconcuadrcula"/>
    <w:uiPriority w:val="59"/>
    <w:rsid w:val="0036164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0">
    <w:name w:val="Tabla con cuadrícula910"/>
    <w:basedOn w:val="Tablanormal"/>
    <w:next w:val="Tablaconcuadrcula"/>
    <w:rsid w:val="003B480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4">
    <w:name w:val="Sin lista644"/>
    <w:next w:val="Sinlista"/>
    <w:uiPriority w:val="99"/>
    <w:semiHidden/>
    <w:unhideWhenUsed/>
    <w:rsid w:val="008C3D86"/>
  </w:style>
  <w:style w:type="table" w:customStyle="1" w:styleId="Tablaconcuadrcula911">
    <w:name w:val="Tabla con cuadrícula911"/>
    <w:basedOn w:val="Tablanormal"/>
    <w:next w:val="Tablaconcuadrcula"/>
    <w:uiPriority w:val="59"/>
    <w:rsid w:val="00A12DB2"/>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2">
    <w:name w:val="Tabla con cuadrícula912"/>
    <w:basedOn w:val="Tablanormal"/>
    <w:next w:val="Tablaconcuadrcula"/>
    <w:uiPriority w:val="59"/>
    <w:rsid w:val="008A6ECB"/>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3">
    <w:name w:val="Tabla con cuadrícula913"/>
    <w:basedOn w:val="Tablanormal"/>
    <w:next w:val="Tablaconcuadrcula"/>
    <w:rsid w:val="00742757"/>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5">
    <w:name w:val="Sin lista645"/>
    <w:next w:val="Sinlista"/>
    <w:uiPriority w:val="99"/>
    <w:semiHidden/>
    <w:unhideWhenUsed/>
    <w:rsid w:val="00A105D6"/>
  </w:style>
  <w:style w:type="table" w:customStyle="1" w:styleId="Tablaconcuadrcula914">
    <w:name w:val="Tabla con cuadrícula914"/>
    <w:basedOn w:val="Tablanormal"/>
    <w:next w:val="Tablaconcuadrcula"/>
    <w:rsid w:val="00A105D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6">
    <w:name w:val="Sin lista646"/>
    <w:next w:val="Sinlista"/>
    <w:uiPriority w:val="99"/>
    <w:semiHidden/>
    <w:unhideWhenUsed/>
    <w:rsid w:val="008302B1"/>
  </w:style>
  <w:style w:type="table" w:customStyle="1" w:styleId="Tablaconcuadrcula915">
    <w:name w:val="Tabla con cuadrícula915"/>
    <w:basedOn w:val="Tablanormal"/>
    <w:next w:val="Tablaconcuadrcula"/>
    <w:rsid w:val="008302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6">
    <w:name w:val="Tabla con cuadrícula916"/>
    <w:basedOn w:val="Tablanormal"/>
    <w:next w:val="Tablaconcuadrcula"/>
    <w:rsid w:val="0033520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7">
    <w:name w:val="Sin lista647"/>
    <w:next w:val="Sinlista"/>
    <w:uiPriority w:val="99"/>
    <w:semiHidden/>
    <w:unhideWhenUsed/>
    <w:rsid w:val="00740F8B"/>
  </w:style>
  <w:style w:type="numbering" w:customStyle="1" w:styleId="Sinlista648">
    <w:name w:val="Sin lista648"/>
    <w:next w:val="Sinlista"/>
    <w:uiPriority w:val="99"/>
    <w:semiHidden/>
    <w:unhideWhenUsed/>
    <w:rsid w:val="00FF2EE3"/>
  </w:style>
  <w:style w:type="numbering" w:customStyle="1" w:styleId="Sinlista649">
    <w:name w:val="Sin lista649"/>
    <w:next w:val="Sinlista"/>
    <w:uiPriority w:val="99"/>
    <w:semiHidden/>
    <w:unhideWhenUsed/>
    <w:rsid w:val="00315E3B"/>
  </w:style>
  <w:style w:type="numbering" w:customStyle="1" w:styleId="Sinlista1106">
    <w:name w:val="Sin lista1106"/>
    <w:next w:val="Sinlista"/>
    <w:semiHidden/>
    <w:rsid w:val="00315E3B"/>
  </w:style>
  <w:style w:type="table" w:customStyle="1" w:styleId="Tablaconcuadrcula917">
    <w:name w:val="Tabla con cuadrícula917"/>
    <w:basedOn w:val="Tablanormal"/>
    <w:next w:val="Tablaconcuadrcula"/>
    <w:uiPriority w:val="59"/>
    <w:rsid w:val="00315E3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8">
    <w:name w:val="Tabla con cuadrícula918"/>
    <w:basedOn w:val="Tablanormal"/>
    <w:next w:val="Tablaconcuadrcula"/>
    <w:uiPriority w:val="59"/>
    <w:rsid w:val="00331BD7"/>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9">
    <w:name w:val="Tabla con cuadrícula919"/>
    <w:basedOn w:val="Tablanormal"/>
    <w:next w:val="Tablaconcuadrcula"/>
    <w:rsid w:val="009841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0">
    <w:name w:val="Sin lista650"/>
    <w:next w:val="Sinlista"/>
    <w:uiPriority w:val="99"/>
    <w:semiHidden/>
    <w:unhideWhenUsed/>
    <w:rsid w:val="00272B7B"/>
  </w:style>
  <w:style w:type="table" w:customStyle="1" w:styleId="Tablaconcuadrcula920">
    <w:name w:val="Tabla con cuadrícula920"/>
    <w:basedOn w:val="Tablanormal"/>
    <w:next w:val="Tablaconcuadrcula"/>
    <w:uiPriority w:val="59"/>
    <w:rsid w:val="00272B7B"/>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pple-converted-space">
    <w:name w:val="apple-converted-space"/>
    <w:basedOn w:val="Fuentedeprrafopredeter"/>
    <w:rsid w:val="00272B7B"/>
  </w:style>
  <w:style w:type="table" w:customStyle="1" w:styleId="Tablaconcuadrcula921">
    <w:name w:val="Tabla con cuadrícula921"/>
    <w:basedOn w:val="Tablanormal"/>
    <w:next w:val="Tablaconcuadrcula"/>
    <w:rsid w:val="00EC69E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2">
    <w:name w:val="Tabla con cuadrícula922"/>
    <w:basedOn w:val="Tablanormal"/>
    <w:next w:val="Tablaconcuadrcula"/>
    <w:uiPriority w:val="59"/>
    <w:rsid w:val="00110B6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4">
    <w:name w:val="Sin lista654"/>
    <w:next w:val="Sinlista"/>
    <w:uiPriority w:val="99"/>
    <w:semiHidden/>
    <w:unhideWhenUsed/>
    <w:rsid w:val="00111E5F"/>
  </w:style>
  <w:style w:type="table" w:customStyle="1" w:styleId="Tablaconcuadrcula923">
    <w:name w:val="Tabla con cuadrícula923"/>
    <w:basedOn w:val="Tablanormal"/>
    <w:next w:val="Tablaconcuadrcula"/>
    <w:uiPriority w:val="59"/>
    <w:rsid w:val="00111E5F"/>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8">
    <w:name w:val="Tabla con cuadrícula1118"/>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2">
    <w:name w:val="Tabla con cuadrícula2102"/>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01">
    <w:name w:val="Tabla con cuadrícula3101"/>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01">
    <w:name w:val="Tabla con cuadrícula4101"/>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1">
    <w:name w:val="Tabla con cuadrícula5101"/>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00">
    <w:name w:val="Tabla con cuadrícula6100"/>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4">
    <w:name w:val="Tabla con cuadrícula924"/>
    <w:basedOn w:val="Tablanormal"/>
    <w:next w:val="Tablaconcuadrcula"/>
    <w:rsid w:val="00A80F2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5">
    <w:name w:val="Sin lista655"/>
    <w:next w:val="Sinlista"/>
    <w:uiPriority w:val="99"/>
    <w:semiHidden/>
    <w:unhideWhenUsed/>
    <w:rsid w:val="001D5D04"/>
  </w:style>
  <w:style w:type="numbering" w:customStyle="1" w:styleId="Sinlista656">
    <w:name w:val="Sin lista656"/>
    <w:next w:val="Sinlista"/>
    <w:uiPriority w:val="99"/>
    <w:semiHidden/>
    <w:unhideWhenUsed/>
    <w:rsid w:val="009C1BAB"/>
  </w:style>
  <w:style w:type="table" w:customStyle="1" w:styleId="Tablaconcuadrcula925">
    <w:name w:val="Tabla con cuadrícula925"/>
    <w:basedOn w:val="Tablanormal"/>
    <w:next w:val="Tablaconcuadrcula"/>
    <w:rsid w:val="009C1BA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6">
    <w:name w:val="Tabla con cuadrícula926"/>
    <w:basedOn w:val="Tablanormal"/>
    <w:next w:val="Tablaconcuadrcula"/>
    <w:uiPriority w:val="59"/>
    <w:rsid w:val="00F0027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7">
    <w:name w:val="Sin lista657"/>
    <w:next w:val="Sinlista"/>
    <w:uiPriority w:val="99"/>
    <w:semiHidden/>
    <w:unhideWhenUsed/>
    <w:rsid w:val="00617915"/>
  </w:style>
  <w:style w:type="table" w:customStyle="1" w:styleId="Tablaconcuadrcula927">
    <w:name w:val="Tabla con cuadrícula927"/>
    <w:basedOn w:val="Tablanormal"/>
    <w:next w:val="Tablaconcuadrcula"/>
    <w:uiPriority w:val="59"/>
    <w:rsid w:val="00617915"/>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928">
    <w:name w:val="Tabla con cuadrícula928"/>
    <w:basedOn w:val="Tablanormal"/>
    <w:next w:val="Tablaconcuadrcula"/>
    <w:rsid w:val="0008588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658">
    <w:name w:val="Sin lista658"/>
    <w:next w:val="Sinlista"/>
    <w:uiPriority w:val="99"/>
    <w:semiHidden/>
    <w:unhideWhenUsed/>
    <w:rsid w:val="00DA6633"/>
  </w:style>
  <w:style w:type="table" w:customStyle="1" w:styleId="Tablaconcuadrcula929">
    <w:name w:val="Tabla con cuadrícula929"/>
    <w:basedOn w:val="Tablanormal"/>
    <w:next w:val="Tablaconcuadrcula"/>
    <w:uiPriority w:val="59"/>
    <w:rsid w:val="00DA663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0">
    <w:name w:val="Tabla con cuadrícula930"/>
    <w:basedOn w:val="Tablanormal"/>
    <w:next w:val="Tablaconcuadrcula"/>
    <w:rsid w:val="000E377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9">
    <w:name w:val="Sin lista659"/>
    <w:next w:val="Sinlista"/>
    <w:uiPriority w:val="99"/>
    <w:semiHidden/>
    <w:unhideWhenUsed/>
    <w:rsid w:val="001A5B51"/>
  </w:style>
  <w:style w:type="table" w:customStyle="1" w:styleId="Tablaconcuadrcula931">
    <w:name w:val="Tabla con cuadrícula931"/>
    <w:basedOn w:val="Tablanormal"/>
    <w:next w:val="Tablaconcuadrcula"/>
    <w:rsid w:val="001A5B5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2">
    <w:name w:val="Tabla con cuadrícula932"/>
    <w:basedOn w:val="Tablanormal"/>
    <w:next w:val="Tablaconcuadrcula"/>
    <w:uiPriority w:val="59"/>
    <w:rsid w:val="00361E46"/>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933">
    <w:name w:val="Tabla con cuadrícula933"/>
    <w:basedOn w:val="Tablanormal"/>
    <w:next w:val="Tablaconcuadrcula"/>
    <w:uiPriority w:val="59"/>
    <w:rsid w:val="00102EC6"/>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4">
    <w:name w:val="Tabla con cuadrícula934"/>
    <w:basedOn w:val="Tablanormal"/>
    <w:next w:val="Tablaconcuadrcula"/>
    <w:rsid w:val="003270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5">
    <w:name w:val="Tabla con cuadrícula935"/>
    <w:basedOn w:val="Tablanormal"/>
    <w:next w:val="Tablaconcuadrcula"/>
    <w:uiPriority w:val="59"/>
    <w:rsid w:val="00111BE6"/>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6">
    <w:name w:val="Tabla con cuadrícula936"/>
    <w:basedOn w:val="Tablanormal"/>
    <w:next w:val="Tablaconcuadrcula"/>
    <w:rsid w:val="002347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7">
    <w:name w:val="Tabla con cuadrícula937"/>
    <w:basedOn w:val="Tablanormal"/>
    <w:next w:val="Tablaconcuadrcula"/>
    <w:rsid w:val="005C26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8">
    <w:name w:val="Tabla con cuadrícula938"/>
    <w:basedOn w:val="Tablanormal"/>
    <w:next w:val="Tablaconcuadrcula"/>
    <w:rsid w:val="009636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0">
    <w:name w:val="Sin lista660"/>
    <w:next w:val="Sinlista"/>
    <w:uiPriority w:val="99"/>
    <w:semiHidden/>
    <w:unhideWhenUsed/>
    <w:rsid w:val="00803CC4"/>
  </w:style>
  <w:style w:type="numbering" w:customStyle="1" w:styleId="Sinlista1107">
    <w:name w:val="Sin lista1107"/>
    <w:next w:val="Sinlista"/>
    <w:semiHidden/>
    <w:rsid w:val="00803CC4"/>
  </w:style>
  <w:style w:type="table" w:customStyle="1" w:styleId="Tablaconcuadrcula939">
    <w:name w:val="Tabla con cuadrícula939"/>
    <w:basedOn w:val="Tablanormal"/>
    <w:next w:val="Tablaconcuadrcula"/>
    <w:uiPriority w:val="59"/>
    <w:rsid w:val="00803CC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4">
    <w:name w:val="Sin lista664"/>
    <w:next w:val="Sinlista"/>
    <w:uiPriority w:val="99"/>
    <w:semiHidden/>
    <w:unhideWhenUsed/>
    <w:rsid w:val="006F1D14"/>
  </w:style>
  <w:style w:type="table" w:customStyle="1" w:styleId="Tablaconcuadrcula940">
    <w:name w:val="Tabla con cuadrícula940"/>
    <w:basedOn w:val="Tablanormal"/>
    <w:next w:val="Tablaconcuadrcula"/>
    <w:rsid w:val="006F1D1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18">
    <w:name w:val="Pa18"/>
    <w:basedOn w:val="Normal"/>
    <w:next w:val="Normal"/>
    <w:uiPriority w:val="99"/>
    <w:rsid w:val="006F1D14"/>
    <w:pPr>
      <w:autoSpaceDE w:val="0"/>
      <w:autoSpaceDN w:val="0"/>
      <w:adjustRightInd w:val="0"/>
      <w:spacing w:line="221" w:lineRule="atLeast"/>
    </w:pPr>
    <w:rPr>
      <w:rFonts w:ascii="MetroflexUniBold" w:eastAsia="Times New Roman" w:hAnsi="MetroflexUniBold"/>
      <w:lang w:eastAsia="es-MX"/>
    </w:rPr>
  </w:style>
  <w:style w:type="paragraph" w:customStyle="1" w:styleId="Pa22">
    <w:name w:val="Pa22"/>
    <w:basedOn w:val="Normal"/>
    <w:next w:val="Normal"/>
    <w:uiPriority w:val="99"/>
    <w:rsid w:val="006F1D14"/>
    <w:pPr>
      <w:autoSpaceDE w:val="0"/>
      <w:autoSpaceDN w:val="0"/>
      <w:adjustRightInd w:val="0"/>
      <w:spacing w:line="221" w:lineRule="atLeast"/>
    </w:pPr>
    <w:rPr>
      <w:rFonts w:ascii="MetroflexUniBold" w:eastAsia="Times New Roman" w:hAnsi="MetroflexUniBold"/>
      <w:lang w:eastAsia="es-MX"/>
    </w:rPr>
  </w:style>
  <w:style w:type="character" w:customStyle="1" w:styleId="A10">
    <w:name w:val="A10"/>
    <w:uiPriority w:val="99"/>
    <w:rsid w:val="006F1D14"/>
    <w:rPr>
      <w:rFonts w:cs="MetroflexUniBold"/>
      <w:color w:val="000000"/>
      <w:sz w:val="18"/>
      <w:szCs w:val="18"/>
    </w:rPr>
  </w:style>
  <w:style w:type="table" w:customStyle="1" w:styleId="Tablaconcuadrcula941">
    <w:name w:val="Tabla con cuadrícula941"/>
    <w:basedOn w:val="Tablanormal"/>
    <w:next w:val="Tablaconcuadrcula"/>
    <w:uiPriority w:val="59"/>
    <w:rsid w:val="00C43FEB"/>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5">
    <w:name w:val="Sin lista665"/>
    <w:next w:val="Sinlista"/>
    <w:uiPriority w:val="99"/>
    <w:semiHidden/>
    <w:unhideWhenUsed/>
    <w:rsid w:val="00EA23CE"/>
  </w:style>
  <w:style w:type="table" w:customStyle="1" w:styleId="Tablaconcuadrcula942">
    <w:name w:val="Tabla con cuadrícula942"/>
    <w:basedOn w:val="Tablanormal"/>
    <w:next w:val="Tablaconcuadrcula"/>
    <w:rsid w:val="00EA23C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3">
    <w:name w:val="Tabla con cuadrícula943"/>
    <w:basedOn w:val="Tablanormal"/>
    <w:next w:val="Tablaconcuadrcula"/>
    <w:uiPriority w:val="59"/>
    <w:rsid w:val="00342F6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4">
    <w:name w:val="Tabla con cuadrícula944"/>
    <w:basedOn w:val="Tablanormal"/>
    <w:next w:val="Tablaconcuadrcula"/>
    <w:uiPriority w:val="59"/>
    <w:rsid w:val="002045B1"/>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6">
    <w:name w:val="Sin lista666"/>
    <w:next w:val="Sinlista"/>
    <w:uiPriority w:val="99"/>
    <w:semiHidden/>
    <w:unhideWhenUsed/>
    <w:rsid w:val="00FE795A"/>
  </w:style>
  <w:style w:type="table" w:customStyle="1" w:styleId="Tablaconcuadrcula945">
    <w:name w:val="Tabla con cuadrícula945"/>
    <w:basedOn w:val="Tablanormal"/>
    <w:next w:val="Tablaconcuadrcula"/>
    <w:uiPriority w:val="59"/>
    <w:rsid w:val="00FE795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7">
    <w:name w:val="Sin lista667"/>
    <w:next w:val="Sinlista"/>
    <w:uiPriority w:val="99"/>
    <w:semiHidden/>
    <w:unhideWhenUsed/>
    <w:rsid w:val="003F3CBB"/>
  </w:style>
  <w:style w:type="table" w:customStyle="1" w:styleId="Tablaconcuadrcula946">
    <w:name w:val="Tabla con cuadrícula946"/>
    <w:basedOn w:val="Tablanormal"/>
    <w:next w:val="Tablaconcuadrcula"/>
    <w:uiPriority w:val="59"/>
    <w:rsid w:val="003F3CB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8">
    <w:name w:val="Sin lista668"/>
    <w:next w:val="Sinlista"/>
    <w:uiPriority w:val="99"/>
    <w:semiHidden/>
    <w:unhideWhenUsed/>
    <w:rsid w:val="008B5355"/>
  </w:style>
  <w:style w:type="numbering" w:customStyle="1" w:styleId="Sinlista669">
    <w:name w:val="Sin lista669"/>
    <w:next w:val="Sinlista"/>
    <w:uiPriority w:val="99"/>
    <w:semiHidden/>
    <w:unhideWhenUsed/>
    <w:rsid w:val="00B305EC"/>
  </w:style>
  <w:style w:type="table" w:customStyle="1" w:styleId="Tablaconcuadrcula947">
    <w:name w:val="Tabla con cuadrícula947"/>
    <w:basedOn w:val="Tablanormal"/>
    <w:next w:val="Tablaconcuadrcula"/>
    <w:rsid w:val="00B305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elmarcadordeposicin">
    <w:name w:val="Placeholder Text"/>
    <w:basedOn w:val="Fuentedeprrafopredeter"/>
    <w:uiPriority w:val="99"/>
    <w:semiHidden/>
    <w:rsid w:val="00B305EC"/>
    <w:rPr>
      <w:color w:val="808080"/>
    </w:rPr>
  </w:style>
  <w:style w:type="numbering" w:customStyle="1" w:styleId="Sinlista670">
    <w:name w:val="Sin lista670"/>
    <w:next w:val="Sinlista"/>
    <w:uiPriority w:val="99"/>
    <w:semiHidden/>
    <w:unhideWhenUsed/>
    <w:rsid w:val="004775C6"/>
  </w:style>
  <w:style w:type="table" w:customStyle="1" w:styleId="Tablaconcuadrcula948">
    <w:name w:val="Tabla con cuadrícula948"/>
    <w:basedOn w:val="Tablanormal"/>
    <w:next w:val="Tablaconcuadrcula"/>
    <w:rsid w:val="004775C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9">
    <w:name w:val="Tabla con cuadrícula949"/>
    <w:basedOn w:val="Tablanormal"/>
    <w:next w:val="Tablaconcuadrcula"/>
    <w:rsid w:val="00B730DB"/>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0">
    <w:name w:val="Tabla con cuadrícula950"/>
    <w:basedOn w:val="Tablanormal"/>
    <w:next w:val="Tablaconcuadrcula"/>
    <w:rsid w:val="009161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4">
    <w:name w:val="Sin lista674"/>
    <w:next w:val="Sinlista"/>
    <w:uiPriority w:val="99"/>
    <w:semiHidden/>
    <w:unhideWhenUsed/>
    <w:rsid w:val="004112FD"/>
  </w:style>
  <w:style w:type="table" w:customStyle="1" w:styleId="Tablaconcuadrcula951">
    <w:name w:val="Tabla con cuadrícula951"/>
    <w:basedOn w:val="Tablanormal"/>
    <w:next w:val="Tablaconcuadrcula"/>
    <w:uiPriority w:val="59"/>
    <w:rsid w:val="004112FD"/>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952">
    <w:name w:val="Tabla con cuadrícula952"/>
    <w:basedOn w:val="Tablanormal"/>
    <w:next w:val="Tablaconcuadrcula"/>
    <w:uiPriority w:val="59"/>
    <w:rsid w:val="005044F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5">
    <w:name w:val="Sin lista675"/>
    <w:next w:val="Sinlista"/>
    <w:semiHidden/>
    <w:rsid w:val="00973A2E"/>
  </w:style>
  <w:style w:type="table" w:customStyle="1" w:styleId="Tablaconcuadrcula953">
    <w:name w:val="Tabla con cuadrícula953"/>
    <w:basedOn w:val="Tablanormal"/>
    <w:next w:val="Tablaconcuadrcula"/>
    <w:rsid w:val="00973A2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6">
    <w:name w:val="Sin lista676"/>
    <w:next w:val="Sinlista"/>
    <w:uiPriority w:val="99"/>
    <w:semiHidden/>
    <w:unhideWhenUsed/>
    <w:rsid w:val="00042EF9"/>
  </w:style>
  <w:style w:type="table" w:customStyle="1" w:styleId="Tablaconcuadrcula954">
    <w:name w:val="Tabla con cuadrícula954"/>
    <w:basedOn w:val="Tablanormal"/>
    <w:next w:val="Tablaconcuadrcula"/>
    <w:uiPriority w:val="59"/>
    <w:rsid w:val="00042EF9"/>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7">
    <w:name w:val="Sin lista677"/>
    <w:next w:val="Sinlista"/>
    <w:uiPriority w:val="99"/>
    <w:semiHidden/>
    <w:unhideWhenUsed/>
    <w:rsid w:val="00BA0336"/>
  </w:style>
  <w:style w:type="numbering" w:customStyle="1" w:styleId="Sinlista1108">
    <w:name w:val="Sin lista1108"/>
    <w:next w:val="Sinlista"/>
    <w:semiHidden/>
    <w:rsid w:val="00BA0336"/>
  </w:style>
  <w:style w:type="numbering" w:customStyle="1" w:styleId="Sinlista678">
    <w:name w:val="Sin lista678"/>
    <w:next w:val="Sinlista"/>
    <w:uiPriority w:val="99"/>
    <w:semiHidden/>
    <w:unhideWhenUsed/>
    <w:rsid w:val="00121ED4"/>
  </w:style>
  <w:style w:type="table" w:customStyle="1" w:styleId="Tablaconcuadrcula955">
    <w:name w:val="Tabla con cuadrícula955"/>
    <w:basedOn w:val="Tablanormal"/>
    <w:next w:val="Tablaconcuadrcula"/>
    <w:rsid w:val="00121ED4"/>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6">
    <w:name w:val="Tabla con cuadrícula956"/>
    <w:basedOn w:val="Tablanormal"/>
    <w:next w:val="Tablaconcuadrcula"/>
    <w:uiPriority w:val="59"/>
    <w:rsid w:val="001D05C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7">
    <w:name w:val="Tabla con cuadrícula957"/>
    <w:basedOn w:val="Tablanormal"/>
    <w:next w:val="Tablaconcuadrcula"/>
    <w:rsid w:val="00564E1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9">
    <w:name w:val="Sin lista679"/>
    <w:next w:val="Sinlista"/>
    <w:uiPriority w:val="99"/>
    <w:semiHidden/>
    <w:unhideWhenUsed/>
    <w:rsid w:val="006B11F3"/>
  </w:style>
  <w:style w:type="table" w:customStyle="1" w:styleId="Tablaconcuadrcula958">
    <w:name w:val="Tabla con cuadrícula958"/>
    <w:basedOn w:val="Tablanormal"/>
    <w:next w:val="Tablaconcuadrcula"/>
    <w:uiPriority w:val="59"/>
    <w:rsid w:val="006B11F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0">
    <w:name w:val="Sin lista680"/>
    <w:next w:val="Sinlista"/>
    <w:semiHidden/>
    <w:unhideWhenUsed/>
    <w:rsid w:val="009869B9"/>
  </w:style>
  <w:style w:type="table" w:customStyle="1" w:styleId="Tablaconcuadrcula959">
    <w:name w:val="Tabla con cuadrícula959"/>
    <w:basedOn w:val="Tablanormal"/>
    <w:next w:val="Tablaconcuadrcula"/>
    <w:rsid w:val="009869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0">
    <w:name w:val="Tabla con cuadrícula960"/>
    <w:basedOn w:val="Tablanormal"/>
    <w:next w:val="Tablaconcuadrcula"/>
    <w:uiPriority w:val="59"/>
    <w:rsid w:val="00BD23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1">
    <w:name w:val="Tabla con cuadrícula961"/>
    <w:basedOn w:val="Tablanormal"/>
    <w:next w:val="Tablaconcuadrcula"/>
    <w:uiPriority w:val="59"/>
    <w:rsid w:val="00BD23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2">
    <w:name w:val="Tabla con cuadrícula962"/>
    <w:basedOn w:val="Tablanormal"/>
    <w:next w:val="Tablaconcuadrcula"/>
    <w:uiPriority w:val="59"/>
    <w:rsid w:val="00BD23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3">
    <w:name w:val="Tabla con cuadrícula963"/>
    <w:basedOn w:val="Tablanormal"/>
    <w:next w:val="Tablaconcuadrcula"/>
    <w:uiPriority w:val="59"/>
    <w:rsid w:val="00BD23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4">
    <w:name w:val="Sin lista684"/>
    <w:next w:val="Sinlista"/>
    <w:uiPriority w:val="99"/>
    <w:semiHidden/>
    <w:unhideWhenUsed/>
    <w:rsid w:val="006D2E96"/>
  </w:style>
  <w:style w:type="table" w:customStyle="1" w:styleId="Tablaconcuadrcula964">
    <w:name w:val="Tabla con cuadrícula964"/>
    <w:basedOn w:val="Tablanormal"/>
    <w:next w:val="Tablaconcuadrcula"/>
    <w:uiPriority w:val="59"/>
    <w:rsid w:val="006D2E96"/>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5">
    <w:name w:val="Sin lista685"/>
    <w:next w:val="Sinlista"/>
    <w:uiPriority w:val="99"/>
    <w:semiHidden/>
    <w:unhideWhenUsed/>
    <w:rsid w:val="00425036"/>
  </w:style>
  <w:style w:type="paragraph" w:customStyle="1" w:styleId="Prrafodelista1">
    <w:name w:val="Párrafo de lista1"/>
    <w:basedOn w:val="Normal"/>
    <w:uiPriority w:val="99"/>
    <w:rsid w:val="00425036"/>
    <w:pPr>
      <w:spacing w:after="200" w:line="276" w:lineRule="auto"/>
      <w:ind w:left="720"/>
      <w:contextualSpacing/>
    </w:pPr>
    <w:rPr>
      <w:rFonts w:ascii="Calibri" w:eastAsia="Times New Roman" w:hAnsi="Calibri"/>
      <w:sz w:val="22"/>
      <w:szCs w:val="22"/>
      <w:lang w:eastAsia="en-US"/>
    </w:rPr>
  </w:style>
  <w:style w:type="table" w:customStyle="1" w:styleId="Tablaconcuadrcula965">
    <w:name w:val="Tabla con cuadrícula965"/>
    <w:basedOn w:val="Tablanormal"/>
    <w:next w:val="Tablaconcuadrcula"/>
    <w:rsid w:val="0042503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650">
    <w:name w:val="Tabla con cuadrícula 165"/>
    <w:basedOn w:val="Tablanormal"/>
    <w:next w:val="Tablaconcuadrcula10"/>
    <w:rsid w:val="0042503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CarCar4">
    <w:name w:val="Car Car4"/>
    <w:basedOn w:val="Fuentedeprrafopredeter"/>
    <w:locked/>
    <w:rsid w:val="00425036"/>
    <w:rPr>
      <w:rFonts w:cs="Times New Roman"/>
      <w:sz w:val="24"/>
      <w:szCs w:val="24"/>
    </w:rPr>
  </w:style>
  <w:style w:type="numbering" w:customStyle="1" w:styleId="Sinlista686">
    <w:name w:val="Sin lista686"/>
    <w:next w:val="Sinlista"/>
    <w:uiPriority w:val="99"/>
    <w:semiHidden/>
    <w:unhideWhenUsed/>
    <w:rsid w:val="001E339D"/>
  </w:style>
  <w:style w:type="table" w:customStyle="1" w:styleId="Tablaconcuadrcula966">
    <w:name w:val="Tabla con cuadrícula966"/>
    <w:basedOn w:val="Tablanormal"/>
    <w:next w:val="Tablaconcuadrcula"/>
    <w:rsid w:val="001E339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7">
    <w:name w:val="Sin lista687"/>
    <w:next w:val="Sinlista"/>
    <w:semiHidden/>
    <w:unhideWhenUsed/>
    <w:rsid w:val="0045712C"/>
  </w:style>
  <w:style w:type="table" w:customStyle="1" w:styleId="Tablaconcuadrcula967">
    <w:name w:val="Tabla con cuadrícula967"/>
    <w:basedOn w:val="Tablanormal"/>
    <w:next w:val="Tablaconcuadrcula"/>
    <w:rsid w:val="004571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8">
    <w:name w:val="Tabla con cuadrícula968"/>
    <w:basedOn w:val="Tablanormal"/>
    <w:next w:val="Tablaconcuadrcula"/>
    <w:uiPriority w:val="59"/>
    <w:rsid w:val="00A3107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8">
    <w:name w:val="Sin lista688"/>
    <w:next w:val="Sinlista"/>
    <w:uiPriority w:val="99"/>
    <w:semiHidden/>
    <w:unhideWhenUsed/>
    <w:rsid w:val="00F54597"/>
  </w:style>
  <w:style w:type="table" w:customStyle="1" w:styleId="Tablaconcuadrcula969">
    <w:name w:val="Tabla con cuadrícula969"/>
    <w:basedOn w:val="Tablanormal"/>
    <w:next w:val="Tablaconcuadrcula"/>
    <w:rsid w:val="00F54597"/>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0">
    <w:name w:val="Tabla con cuadrícula970"/>
    <w:basedOn w:val="Tablanormal"/>
    <w:next w:val="Tablaconcuadrcula"/>
    <w:uiPriority w:val="59"/>
    <w:rsid w:val="00C1462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1">
    <w:name w:val="Tabla con cuadrícula971"/>
    <w:basedOn w:val="Tablanormal"/>
    <w:next w:val="Tablaconcuadrcula"/>
    <w:rsid w:val="00FF73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9">
    <w:name w:val="Sin lista689"/>
    <w:next w:val="Sinlista"/>
    <w:semiHidden/>
    <w:unhideWhenUsed/>
    <w:rsid w:val="003226AD"/>
  </w:style>
  <w:style w:type="table" w:customStyle="1" w:styleId="Tablaconcuadrcula972">
    <w:name w:val="Tabla con cuadrícula972"/>
    <w:basedOn w:val="Tablanormal"/>
    <w:next w:val="Tablaconcuadrcula"/>
    <w:rsid w:val="003226A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152">
    <w:name w:val="Pa15+2"/>
    <w:basedOn w:val="Default"/>
    <w:next w:val="Default"/>
    <w:uiPriority w:val="99"/>
    <w:rsid w:val="003226AD"/>
    <w:pPr>
      <w:spacing w:line="161" w:lineRule="atLeast"/>
    </w:pPr>
    <w:rPr>
      <w:rFonts w:ascii="HelveticaNeue Condensed" w:eastAsia="Times New Roman" w:hAnsi="HelveticaNeue Condensed"/>
      <w:color w:val="auto"/>
    </w:rPr>
  </w:style>
  <w:style w:type="paragraph" w:customStyle="1" w:styleId="Pa332">
    <w:name w:val="Pa33+2"/>
    <w:basedOn w:val="Default"/>
    <w:next w:val="Default"/>
    <w:uiPriority w:val="99"/>
    <w:rsid w:val="003226AD"/>
    <w:pPr>
      <w:spacing w:line="161" w:lineRule="atLeast"/>
    </w:pPr>
    <w:rPr>
      <w:rFonts w:ascii="HelveticaNeue Condensed" w:eastAsia="Times New Roman" w:hAnsi="HelveticaNeue Condensed"/>
      <w:color w:val="auto"/>
    </w:rPr>
  </w:style>
  <w:style w:type="character" w:customStyle="1" w:styleId="A102">
    <w:name w:val="A10+2"/>
    <w:rsid w:val="003226AD"/>
    <w:rPr>
      <w:rFonts w:cs="HelveticaNeue Condensed"/>
      <w:color w:val="000000"/>
      <w:sz w:val="11"/>
      <w:szCs w:val="11"/>
    </w:rPr>
  </w:style>
  <w:style w:type="paragraph" w:customStyle="1" w:styleId="Pa162">
    <w:name w:val="Pa16+2"/>
    <w:basedOn w:val="Default"/>
    <w:next w:val="Default"/>
    <w:uiPriority w:val="99"/>
    <w:rsid w:val="003226AD"/>
    <w:pPr>
      <w:spacing w:line="161" w:lineRule="atLeast"/>
    </w:pPr>
    <w:rPr>
      <w:rFonts w:ascii="HelveticaNeue Condensed" w:eastAsia="Times New Roman" w:hAnsi="HelveticaNeue Condensed"/>
      <w:color w:val="auto"/>
    </w:rPr>
  </w:style>
  <w:style w:type="table" w:customStyle="1" w:styleId="Tablaconcuadrcula973">
    <w:name w:val="Tabla con cuadrícula973"/>
    <w:basedOn w:val="Tablanormal"/>
    <w:next w:val="Tablaconcuadrcula"/>
    <w:uiPriority w:val="59"/>
    <w:rsid w:val="006D6CD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4">
    <w:name w:val="Tabla con cuadrícula974"/>
    <w:basedOn w:val="Tablanormal"/>
    <w:next w:val="Tablaconcuadrcula"/>
    <w:uiPriority w:val="59"/>
    <w:rsid w:val="00CE3916"/>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5">
    <w:name w:val="Tabla con cuadrícula975"/>
    <w:basedOn w:val="Tablanormal"/>
    <w:next w:val="Tablaconcuadrcula"/>
    <w:uiPriority w:val="59"/>
    <w:rsid w:val="00ED2B8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6">
    <w:name w:val="Tabla con cuadrícula976"/>
    <w:basedOn w:val="Tablanormal"/>
    <w:next w:val="Tablaconcuadrcula"/>
    <w:rsid w:val="00EB02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7">
    <w:name w:val="Tabla con cuadrícula977"/>
    <w:basedOn w:val="Tablanormal"/>
    <w:next w:val="Tablaconcuadrcula"/>
    <w:uiPriority w:val="59"/>
    <w:rsid w:val="001A60D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0">
    <w:name w:val="Sin lista690"/>
    <w:next w:val="Sinlista"/>
    <w:uiPriority w:val="99"/>
    <w:semiHidden/>
    <w:unhideWhenUsed/>
    <w:rsid w:val="001C3BF9"/>
  </w:style>
  <w:style w:type="table" w:customStyle="1" w:styleId="Tablaconcuadrcula978">
    <w:name w:val="Tabla con cuadrícula978"/>
    <w:basedOn w:val="Tablanormal"/>
    <w:next w:val="Tablaconcuadrcula"/>
    <w:uiPriority w:val="59"/>
    <w:rsid w:val="001C3BF9"/>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9">
    <w:name w:val="Tabla con cuadrícula979"/>
    <w:basedOn w:val="Tablanormal"/>
    <w:next w:val="Tablaconcuadrcula"/>
    <w:uiPriority w:val="59"/>
    <w:rsid w:val="006C2584"/>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Sinlista694">
    <w:name w:val="Sin lista694"/>
    <w:next w:val="Sinlista"/>
    <w:uiPriority w:val="99"/>
    <w:semiHidden/>
    <w:unhideWhenUsed/>
    <w:rsid w:val="00500E03"/>
  </w:style>
  <w:style w:type="table" w:customStyle="1" w:styleId="Tablaconcuadrcula980">
    <w:name w:val="Tabla con cuadrícula980"/>
    <w:basedOn w:val="Tablanormal"/>
    <w:next w:val="Tablaconcuadrcula"/>
    <w:uiPriority w:val="59"/>
    <w:rsid w:val="00500E0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5">
    <w:name w:val="Sin lista695"/>
    <w:next w:val="Sinlista"/>
    <w:uiPriority w:val="99"/>
    <w:semiHidden/>
    <w:unhideWhenUsed/>
    <w:rsid w:val="00A52B35"/>
  </w:style>
  <w:style w:type="table" w:customStyle="1" w:styleId="Tablaconcuadrcula981">
    <w:name w:val="Tabla con cuadrícula981"/>
    <w:basedOn w:val="Tablanormal"/>
    <w:next w:val="Tablaconcuadrcula"/>
    <w:uiPriority w:val="59"/>
    <w:rsid w:val="00A52B35"/>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ongtext">
    <w:name w:val="long_text"/>
    <w:basedOn w:val="Fuentedeprrafopredeter"/>
    <w:rsid w:val="00A52B35"/>
  </w:style>
  <w:style w:type="numbering" w:customStyle="1" w:styleId="Sinlista696">
    <w:name w:val="Sin lista696"/>
    <w:next w:val="Sinlista"/>
    <w:uiPriority w:val="99"/>
    <w:semiHidden/>
    <w:unhideWhenUsed/>
    <w:rsid w:val="00B52536"/>
  </w:style>
  <w:style w:type="table" w:customStyle="1" w:styleId="Tablaconcuadrcula982">
    <w:name w:val="Tabla con cuadrícula982"/>
    <w:basedOn w:val="Tablanormal"/>
    <w:next w:val="Tablaconcuadrcula"/>
    <w:uiPriority w:val="59"/>
    <w:rsid w:val="00B5253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7">
    <w:name w:val="Sin lista697"/>
    <w:next w:val="Sinlista"/>
    <w:uiPriority w:val="99"/>
    <w:semiHidden/>
    <w:unhideWhenUsed/>
    <w:rsid w:val="00CA1225"/>
  </w:style>
  <w:style w:type="table" w:customStyle="1" w:styleId="Tablaconcuadrcula983">
    <w:name w:val="Tabla con cuadrícula983"/>
    <w:basedOn w:val="Tablanormal"/>
    <w:next w:val="Tablaconcuadrcula"/>
    <w:uiPriority w:val="59"/>
    <w:rsid w:val="00CA1225"/>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8">
    <w:name w:val="Sin lista698"/>
    <w:next w:val="Sinlista"/>
    <w:uiPriority w:val="99"/>
    <w:semiHidden/>
    <w:unhideWhenUsed/>
    <w:rsid w:val="00477DCF"/>
  </w:style>
  <w:style w:type="table" w:customStyle="1" w:styleId="Tablaconcuadrcula984">
    <w:name w:val="Tabla con cuadrícula984"/>
    <w:basedOn w:val="Tablanormal"/>
    <w:next w:val="Tablaconcuadrcula"/>
    <w:rsid w:val="00477DCF"/>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5">
    <w:name w:val="Tabla con cuadrícula985"/>
    <w:basedOn w:val="Tablanormal"/>
    <w:next w:val="Tablaconcuadrcula"/>
    <w:rsid w:val="00DC3A28"/>
    <w:rPr>
      <w:rFonts w:asciiTheme="minorHAnsi" w:eastAsia="Times New Roman"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6">
    <w:name w:val="Tabla con cuadrícula986"/>
    <w:basedOn w:val="Tablanormal"/>
    <w:next w:val="Tablaconcuadrcula"/>
    <w:rsid w:val="00CC26A1"/>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7">
    <w:name w:val="Tabla con cuadrícula987"/>
    <w:basedOn w:val="Tablanormal"/>
    <w:next w:val="Tablaconcuadrcula"/>
    <w:uiPriority w:val="59"/>
    <w:rsid w:val="0078342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8">
    <w:name w:val="Tabla con cuadrícula988"/>
    <w:basedOn w:val="Tablanormal"/>
    <w:next w:val="Tablaconcuadrcula"/>
    <w:uiPriority w:val="59"/>
    <w:rsid w:val="00667F8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9">
    <w:name w:val="Sin lista699"/>
    <w:next w:val="Sinlista"/>
    <w:uiPriority w:val="99"/>
    <w:semiHidden/>
    <w:unhideWhenUsed/>
    <w:rsid w:val="00E06EAA"/>
  </w:style>
  <w:style w:type="table" w:customStyle="1" w:styleId="Tablaconcuadrcula989">
    <w:name w:val="Tabla con cuadrícula989"/>
    <w:basedOn w:val="Tablanormal"/>
    <w:next w:val="Tablaconcuadrcula"/>
    <w:uiPriority w:val="59"/>
    <w:rsid w:val="00E06EA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0">
    <w:name w:val="Tabla con cuadrícula990"/>
    <w:basedOn w:val="Tablanormal"/>
    <w:next w:val="Tablaconcuadrcula"/>
    <w:uiPriority w:val="59"/>
    <w:rsid w:val="001A4F7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1">
    <w:name w:val="Tabla con cuadrícula991"/>
    <w:basedOn w:val="Tablanormal"/>
    <w:next w:val="Tablaconcuadrcula"/>
    <w:uiPriority w:val="59"/>
    <w:rsid w:val="00172F6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2">
    <w:name w:val="Tabla con cuadrícula992"/>
    <w:basedOn w:val="Tablanormal"/>
    <w:next w:val="Tablaconcuadrcula"/>
    <w:uiPriority w:val="59"/>
    <w:rsid w:val="009C6CCB"/>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3">
    <w:name w:val="Tabla con cuadrícula993"/>
    <w:basedOn w:val="Tablanormal"/>
    <w:next w:val="Tablaconcuadrcula"/>
    <w:uiPriority w:val="59"/>
    <w:rsid w:val="00965235"/>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4">
    <w:name w:val="Tabla con cuadrícula994"/>
    <w:basedOn w:val="Tablanormal"/>
    <w:next w:val="Tablaconcuadrcula"/>
    <w:uiPriority w:val="59"/>
    <w:rsid w:val="002A483C"/>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5">
    <w:name w:val="Tabla con cuadrícula995"/>
    <w:basedOn w:val="Tablanormal"/>
    <w:next w:val="Tablaconcuadrcula"/>
    <w:uiPriority w:val="59"/>
    <w:rsid w:val="00E56233"/>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6">
    <w:name w:val="Tabla con cuadrícula996"/>
    <w:basedOn w:val="Tablanormal"/>
    <w:next w:val="Tablaconcuadrcula"/>
    <w:rsid w:val="00CC5FF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0">
    <w:name w:val="Sin lista700"/>
    <w:next w:val="Sinlista"/>
    <w:uiPriority w:val="99"/>
    <w:semiHidden/>
    <w:unhideWhenUsed/>
    <w:rsid w:val="00D47F04"/>
  </w:style>
  <w:style w:type="table" w:customStyle="1" w:styleId="Tablaconcuadrcula997">
    <w:name w:val="Tabla con cuadrícula997"/>
    <w:basedOn w:val="Tablanormal"/>
    <w:next w:val="Tablaconcuadrcula"/>
    <w:rsid w:val="00D47F0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4">
    <w:name w:val="Sin lista704"/>
    <w:next w:val="Sinlista"/>
    <w:uiPriority w:val="99"/>
    <w:semiHidden/>
    <w:unhideWhenUsed/>
    <w:rsid w:val="00D6023F"/>
  </w:style>
  <w:style w:type="table" w:customStyle="1" w:styleId="Tablaconcuadrcula998">
    <w:name w:val="Tabla con cuadrícula998"/>
    <w:basedOn w:val="Tablanormal"/>
    <w:next w:val="Tablaconcuadrcula"/>
    <w:rsid w:val="00D6023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9">
    <w:name w:val="Tabla con cuadrícula1119"/>
    <w:basedOn w:val="Tablanormal"/>
    <w:next w:val="Tablaconcuadrcula"/>
    <w:rsid w:val="00D6023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5">
    <w:name w:val="Sin lista705"/>
    <w:next w:val="Sinlista"/>
    <w:uiPriority w:val="99"/>
    <w:semiHidden/>
    <w:unhideWhenUsed/>
    <w:rsid w:val="00B666DA"/>
  </w:style>
  <w:style w:type="table" w:customStyle="1" w:styleId="Tablaconcuadrcula999">
    <w:name w:val="Tabla con cuadrícula999"/>
    <w:basedOn w:val="Tablanormal"/>
    <w:next w:val="Tablaconcuadrcula"/>
    <w:uiPriority w:val="59"/>
    <w:rsid w:val="00B666DA"/>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00">
    <w:name w:val="Tabla con cuadrícula1000"/>
    <w:basedOn w:val="Tablanormal"/>
    <w:next w:val="Tablaconcuadrcula"/>
    <w:uiPriority w:val="59"/>
    <w:rsid w:val="00486C5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1">
    <w:name w:val="Tabla con cuadrícula1001"/>
    <w:basedOn w:val="Tablanormal"/>
    <w:next w:val="Tablaconcuadrcula"/>
    <w:rsid w:val="00E34F92"/>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2">
    <w:name w:val="Tabla con cuadrícula1002"/>
    <w:basedOn w:val="Tablanormal"/>
    <w:next w:val="Tablaconcuadrcula"/>
    <w:rsid w:val="00227DB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6">
    <w:name w:val="Sin lista706"/>
    <w:next w:val="Sinlista"/>
    <w:uiPriority w:val="99"/>
    <w:semiHidden/>
    <w:unhideWhenUsed/>
    <w:rsid w:val="00FB5E5F"/>
  </w:style>
  <w:style w:type="table" w:customStyle="1" w:styleId="Tablaconcuadrcula1003">
    <w:name w:val="Tabla con cuadrícula1003"/>
    <w:basedOn w:val="Tablanormal"/>
    <w:next w:val="Tablaconcuadrcula"/>
    <w:uiPriority w:val="59"/>
    <w:rsid w:val="00183CCD"/>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7">
    <w:name w:val="Sin lista707"/>
    <w:next w:val="Sinlista"/>
    <w:uiPriority w:val="99"/>
    <w:semiHidden/>
    <w:unhideWhenUsed/>
    <w:rsid w:val="00136C91"/>
  </w:style>
  <w:style w:type="table" w:customStyle="1" w:styleId="Tablaconcuadrcula1004">
    <w:name w:val="Tabla con cuadrícula1004"/>
    <w:basedOn w:val="Tablanormal"/>
    <w:next w:val="Tablaconcuadrcula"/>
    <w:uiPriority w:val="59"/>
    <w:rsid w:val="00F30EE7"/>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5">
    <w:name w:val="Tabla con cuadrícula1005"/>
    <w:basedOn w:val="Tablanormal"/>
    <w:next w:val="Tablaconcuadrcula"/>
    <w:uiPriority w:val="59"/>
    <w:rsid w:val="00EB71D9"/>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8">
    <w:name w:val="Sin lista708"/>
    <w:next w:val="Sinlista"/>
    <w:uiPriority w:val="99"/>
    <w:semiHidden/>
    <w:unhideWhenUsed/>
    <w:rsid w:val="00D626E3"/>
  </w:style>
  <w:style w:type="table" w:customStyle="1" w:styleId="Tablaconcuadrcula1006">
    <w:name w:val="Tabla con cuadrícula1006"/>
    <w:basedOn w:val="Tablanormal"/>
    <w:next w:val="Tablaconcuadrcula"/>
    <w:uiPriority w:val="59"/>
    <w:rsid w:val="00D626E3"/>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Sinlista709">
    <w:name w:val="Sin lista709"/>
    <w:next w:val="Sinlista"/>
    <w:uiPriority w:val="99"/>
    <w:semiHidden/>
    <w:unhideWhenUsed/>
    <w:rsid w:val="00F61D3E"/>
  </w:style>
  <w:style w:type="table" w:customStyle="1" w:styleId="Tablaconcuadrcula1007">
    <w:name w:val="Tabla con cuadrícula1007"/>
    <w:basedOn w:val="Tablanormal"/>
    <w:next w:val="Tablaconcuadrcula"/>
    <w:rsid w:val="00F61D3E"/>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660">
    <w:name w:val="Tabla con cuadrícula 166"/>
    <w:basedOn w:val="Tablanormal"/>
    <w:next w:val="Tablaconcuadrcula10"/>
    <w:rsid w:val="00F61D3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716">
    <w:name w:val="Sin lista716"/>
    <w:next w:val="Sinlista"/>
    <w:uiPriority w:val="99"/>
    <w:semiHidden/>
    <w:unhideWhenUsed/>
    <w:rsid w:val="00CA74ED"/>
  </w:style>
  <w:style w:type="table" w:customStyle="1" w:styleId="Tablaconcuadrcula1008">
    <w:name w:val="Tabla con cuadrícula1008"/>
    <w:basedOn w:val="Tablanormal"/>
    <w:next w:val="Tablaconcuadrcula"/>
    <w:rsid w:val="00CA74E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01">
    <w:name w:val="p01"/>
    <w:basedOn w:val="Normal"/>
    <w:next w:val="p0"/>
    <w:uiPriority w:val="99"/>
    <w:rsid w:val="00182BC6"/>
    <w:pPr>
      <w:keepLines/>
      <w:spacing w:before="240"/>
      <w:jc w:val="both"/>
    </w:pPr>
    <w:rPr>
      <w:rFonts w:ascii="Univers" w:eastAsia="Times New Roman" w:hAnsi="Univers"/>
      <w:color w:val="0000FF"/>
      <w:szCs w:val="20"/>
      <w:lang w:val="es-ES_tradnl"/>
    </w:rPr>
  </w:style>
  <w:style w:type="numbering" w:customStyle="1" w:styleId="Sinlista717">
    <w:name w:val="Sin lista717"/>
    <w:next w:val="Sinlista"/>
    <w:uiPriority w:val="99"/>
    <w:semiHidden/>
    <w:unhideWhenUsed/>
    <w:rsid w:val="00A7180D"/>
  </w:style>
  <w:style w:type="table" w:customStyle="1" w:styleId="Tablaconcuadrcula1009">
    <w:name w:val="Tabla con cuadrícula1009"/>
    <w:basedOn w:val="Tablanormal"/>
    <w:next w:val="Tablaconcuadrcula"/>
    <w:rsid w:val="00A7180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18">
    <w:name w:val="Sin lista718"/>
    <w:next w:val="Sinlista"/>
    <w:uiPriority w:val="99"/>
    <w:semiHidden/>
    <w:unhideWhenUsed/>
    <w:rsid w:val="007A5777"/>
  </w:style>
  <w:style w:type="table" w:customStyle="1" w:styleId="Tablaconcuadrcula1010">
    <w:name w:val="Tabla con cuadrícula1010"/>
    <w:basedOn w:val="Tablanormal"/>
    <w:next w:val="Tablaconcuadrcula"/>
    <w:uiPriority w:val="59"/>
    <w:rsid w:val="007A5777"/>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1">
    <w:name w:val="Tabla con cuadrícula1011"/>
    <w:basedOn w:val="Tablanormal"/>
    <w:next w:val="Tablaconcuadrcula"/>
    <w:rsid w:val="00AF6128"/>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2">
    <w:name w:val="Tabla con cuadrícula1012"/>
    <w:basedOn w:val="Tablanormal"/>
    <w:next w:val="Tablaconcuadrcula"/>
    <w:rsid w:val="00AF612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3">
    <w:name w:val="Tabla con cuadrícula1013"/>
    <w:basedOn w:val="Tablanormal"/>
    <w:next w:val="Tablaconcuadrcula"/>
    <w:uiPriority w:val="59"/>
    <w:rsid w:val="001D03E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19">
    <w:name w:val="Sin lista719"/>
    <w:next w:val="Sinlista"/>
    <w:uiPriority w:val="99"/>
    <w:semiHidden/>
    <w:unhideWhenUsed/>
    <w:rsid w:val="00BB50C3"/>
  </w:style>
  <w:style w:type="numbering" w:customStyle="1" w:styleId="Sinlista720">
    <w:name w:val="Sin lista720"/>
    <w:next w:val="Sinlista"/>
    <w:uiPriority w:val="99"/>
    <w:semiHidden/>
    <w:unhideWhenUsed/>
    <w:rsid w:val="0067630D"/>
  </w:style>
  <w:style w:type="table" w:customStyle="1" w:styleId="Tablaconcuadrcula1014">
    <w:name w:val="Tabla con cuadrícula1014"/>
    <w:basedOn w:val="Tablanormal"/>
    <w:next w:val="Tablaconcuadrcula"/>
    <w:uiPriority w:val="59"/>
    <w:rsid w:val="0067630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4">
    <w:name w:val="Sin lista724"/>
    <w:next w:val="Sinlista"/>
    <w:uiPriority w:val="99"/>
    <w:semiHidden/>
    <w:unhideWhenUsed/>
    <w:rsid w:val="00C7439A"/>
  </w:style>
  <w:style w:type="table" w:customStyle="1" w:styleId="Tablaconcuadrcula1015">
    <w:name w:val="Tabla con cuadrícula1015"/>
    <w:basedOn w:val="Tablanormal"/>
    <w:next w:val="Tablaconcuadrcula"/>
    <w:uiPriority w:val="59"/>
    <w:rsid w:val="00C7439A"/>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6">
    <w:name w:val="Tabla con cuadrícula1016"/>
    <w:basedOn w:val="Tablanormal"/>
    <w:next w:val="Tablaconcuadrcula"/>
    <w:rsid w:val="001867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5">
    <w:name w:val="Sin lista725"/>
    <w:next w:val="Sinlista"/>
    <w:uiPriority w:val="99"/>
    <w:semiHidden/>
    <w:unhideWhenUsed/>
    <w:rsid w:val="00223A5B"/>
  </w:style>
  <w:style w:type="table" w:customStyle="1" w:styleId="Tablaconcuadrcula1017">
    <w:name w:val="Tabla con cuadrícula1017"/>
    <w:basedOn w:val="Tablanormal"/>
    <w:next w:val="Tablaconcuadrcula"/>
    <w:rsid w:val="00223A5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6">
    <w:name w:val="Sin lista726"/>
    <w:next w:val="Sinlista"/>
    <w:uiPriority w:val="99"/>
    <w:semiHidden/>
    <w:unhideWhenUsed/>
    <w:rsid w:val="0025326F"/>
  </w:style>
  <w:style w:type="table" w:customStyle="1" w:styleId="Tablaconcuadrcula1018">
    <w:name w:val="Tabla con cuadrícula1018"/>
    <w:basedOn w:val="Tablanormal"/>
    <w:next w:val="Tablaconcuadrcula"/>
    <w:uiPriority w:val="59"/>
    <w:rsid w:val="0025326F"/>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7">
    <w:name w:val="Sin lista727"/>
    <w:next w:val="Sinlista"/>
    <w:uiPriority w:val="99"/>
    <w:semiHidden/>
    <w:unhideWhenUsed/>
    <w:rsid w:val="001F1917"/>
  </w:style>
  <w:style w:type="table" w:customStyle="1" w:styleId="Tablaconcuadrcula1019">
    <w:name w:val="Tabla con cuadrícula1019"/>
    <w:basedOn w:val="Tablanormal"/>
    <w:next w:val="Tablaconcuadrcula"/>
    <w:uiPriority w:val="59"/>
    <w:rsid w:val="001F191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8">
    <w:name w:val="Sin lista728"/>
    <w:next w:val="Sinlista"/>
    <w:uiPriority w:val="99"/>
    <w:semiHidden/>
    <w:unhideWhenUsed/>
    <w:rsid w:val="006952FF"/>
  </w:style>
  <w:style w:type="table" w:customStyle="1" w:styleId="Tablaconcuadrcula1020">
    <w:name w:val="Tabla con cuadrícula1020"/>
    <w:basedOn w:val="Tablanormal"/>
    <w:next w:val="Tablaconcuadrcula"/>
    <w:uiPriority w:val="59"/>
    <w:rsid w:val="006952F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1">
    <w:name w:val="Tabla con cuadrícula1021"/>
    <w:basedOn w:val="Tablanormal"/>
    <w:next w:val="Tablaconcuadrcula"/>
    <w:uiPriority w:val="59"/>
    <w:rsid w:val="001B723D"/>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9">
    <w:name w:val="Sin lista729"/>
    <w:next w:val="Sinlista"/>
    <w:uiPriority w:val="99"/>
    <w:semiHidden/>
    <w:unhideWhenUsed/>
    <w:rsid w:val="004D60EA"/>
  </w:style>
  <w:style w:type="table" w:customStyle="1" w:styleId="Tablaconcuadrcula1022">
    <w:name w:val="Tabla con cuadrícula1022"/>
    <w:basedOn w:val="Tablanormal"/>
    <w:next w:val="Tablaconcuadrcula"/>
    <w:rsid w:val="004D60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3">
    <w:name w:val="Tabla con cuadrícula1023"/>
    <w:basedOn w:val="Tablanormal"/>
    <w:next w:val="Tablaconcuadrcula"/>
    <w:uiPriority w:val="59"/>
    <w:rsid w:val="00267F7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4">
    <w:name w:val="Tabla con cuadrícula1024"/>
    <w:basedOn w:val="Tablanormal"/>
    <w:next w:val="Tablaconcuadrcula"/>
    <w:uiPriority w:val="59"/>
    <w:rsid w:val="00D478F7"/>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5">
    <w:name w:val="Tabla con cuadrícula1025"/>
    <w:basedOn w:val="Tablanormal"/>
    <w:next w:val="Tablaconcuadrcula"/>
    <w:rsid w:val="001968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6">
    <w:name w:val="Tabla con cuadrícula1026"/>
    <w:basedOn w:val="Tablanormal"/>
    <w:next w:val="Tablaconcuadrcula"/>
    <w:rsid w:val="006F08B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0">
    <w:name w:val="Sin lista730"/>
    <w:next w:val="Sinlista"/>
    <w:semiHidden/>
    <w:unhideWhenUsed/>
    <w:rsid w:val="00D46ED8"/>
  </w:style>
  <w:style w:type="paragraph" w:customStyle="1" w:styleId="date1">
    <w:name w:val="date1"/>
    <w:basedOn w:val="Normal"/>
    <w:rsid w:val="00D46ED8"/>
    <w:rPr>
      <w:rFonts w:eastAsia="Times New Roman"/>
      <w:color w:val="E27626"/>
      <w:sz w:val="9"/>
      <w:szCs w:val="9"/>
      <w:lang w:eastAsia="es-MX"/>
    </w:rPr>
  </w:style>
  <w:style w:type="table" w:customStyle="1" w:styleId="Tablaconcuadrcula1027">
    <w:name w:val="Tabla con cuadrícula1027"/>
    <w:basedOn w:val="Tablanormal"/>
    <w:next w:val="Tablaconcuadrcula"/>
    <w:rsid w:val="00D46ED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8">
    <w:name w:val="Tabla con cuadrícula1028"/>
    <w:basedOn w:val="Tablanormal"/>
    <w:next w:val="Tablaconcuadrcula"/>
    <w:uiPriority w:val="59"/>
    <w:rsid w:val="00C5124C"/>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4">
    <w:name w:val="Sin lista734"/>
    <w:next w:val="Sinlista"/>
    <w:uiPriority w:val="99"/>
    <w:semiHidden/>
    <w:unhideWhenUsed/>
    <w:rsid w:val="004B1BE8"/>
  </w:style>
  <w:style w:type="table" w:customStyle="1" w:styleId="Tablaconcuadrcula1029">
    <w:name w:val="Tabla con cuadrícula1029"/>
    <w:basedOn w:val="Tablanormal"/>
    <w:next w:val="Tablaconcuadrcula"/>
    <w:uiPriority w:val="59"/>
    <w:rsid w:val="004B1BE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0">
    <w:name w:val="Tabla con cuadrícula1030"/>
    <w:basedOn w:val="Tablanormal"/>
    <w:next w:val="Tablaconcuadrcula"/>
    <w:uiPriority w:val="59"/>
    <w:rsid w:val="00740798"/>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1">
    <w:name w:val="Tabla con cuadrícula1031"/>
    <w:basedOn w:val="Tablanormal"/>
    <w:next w:val="Tablaconcuadrcula"/>
    <w:uiPriority w:val="59"/>
    <w:rsid w:val="0024757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5">
    <w:name w:val="Sin lista735"/>
    <w:next w:val="Sinlista"/>
    <w:uiPriority w:val="99"/>
    <w:semiHidden/>
    <w:unhideWhenUsed/>
    <w:rsid w:val="002B7839"/>
  </w:style>
  <w:style w:type="table" w:customStyle="1" w:styleId="Tablaconcuadrcula1032">
    <w:name w:val="Tabla con cuadrícula1032"/>
    <w:basedOn w:val="Tablanormal"/>
    <w:next w:val="Tablaconcuadrcula"/>
    <w:uiPriority w:val="59"/>
    <w:rsid w:val="002B7839"/>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3">
    <w:name w:val="Tabla con cuadrícula1033"/>
    <w:basedOn w:val="Tablanormal"/>
    <w:next w:val="Tablaconcuadrcula"/>
    <w:uiPriority w:val="59"/>
    <w:rsid w:val="0034064D"/>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6">
    <w:name w:val="Sin lista736"/>
    <w:next w:val="Sinlista"/>
    <w:uiPriority w:val="99"/>
    <w:semiHidden/>
    <w:unhideWhenUsed/>
    <w:rsid w:val="00660393"/>
  </w:style>
  <w:style w:type="table" w:customStyle="1" w:styleId="Tablaconcuadrcula1034">
    <w:name w:val="Tabla con cuadrícula1034"/>
    <w:basedOn w:val="Tablanormal"/>
    <w:next w:val="Tablaconcuadrcula"/>
    <w:uiPriority w:val="59"/>
    <w:rsid w:val="0066039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5">
    <w:name w:val="Tabla con cuadrícula1035"/>
    <w:basedOn w:val="Tablanormal"/>
    <w:next w:val="Tablaconcuadrcula"/>
    <w:rsid w:val="00E75C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6">
    <w:name w:val="Tabla con cuadrícula1036"/>
    <w:basedOn w:val="Tablanormal"/>
    <w:next w:val="Tablaconcuadrcula"/>
    <w:uiPriority w:val="59"/>
    <w:rsid w:val="00F33C9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7">
    <w:name w:val="Tabla con cuadrícula1037"/>
    <w:basedOn w:val="Tablanormal"/>
    <w:next w:val="Tablaconcuadrcula"/>
    <w:rsid w:val="008A7484"/>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038">
    <w:name w:val="Tabla con cuadrícula1038"/>
    <w:basedOn w:val="Tablanormal"/>
    <w:next w:val="Tablaconcuadrcula"/>
    <w:uiPriority w:val="59"/>
    <w:rsid w:val="006F04B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7">
    <w:name w:val="Sin lista737"/>
    <w:next w:val="Sinlista"/>
    <w:uiPriority w:val="99"/>
    <w:semiHidden/>
    <w:unhideWhenUsed/>
    <w:rsid w:val="00D066A2"/>
  </w:style>
  <w:style w:type="table" w:customStyle="1" w:styleId="Tablaconcuadrcula1039">
    <w:name w:val="Tabla con cuadrícula1039"/>
    <w:basedOn w:val="Tablanormal"/>
    <w:next w:val="Tablaconcuadrcula"/>
    <w:rsid w:val="00D066A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8">
    <w:name w:val="Sin lista738"/>
    <w:next w:val="Sinlista"/>
    <w:uiPriority w:val="99"/>
    <w:semiHidden/>
    <w:unhideWhenUsed/>
    <w:rsid w:val="00240109"/>
  </w:style>
  <w:style w:type="table" w:customStyle="1" w:styleId="Tablaconcuadrcula1040">
    <w:name w:val="Tabla con cuadrícula1040"/>
    <w:basedOn w:val="Tablanormal"/>
    <w:next w:val="Tablaconcuadrcula"/>
    <w:uiPriority w:val="59"/>
    <w:rsid w:val="00240109"/>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1">
    <w:name w:val="Tabla con cuadrícula1041"/>
    <w:basedOn w:val="Tablanormal"/>
    <w:next w:val="Tablaconcuadrcula"/>
    <w:uiPriority w:val="59"/>
    <w:rsid w:val="00D512D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9">
    <w:name w:val="Sin lista739"/>
    <w:next w:val="Sinlista"/>
    <w:uiPriority w:val="99"/>
    <w:semiHidden/>
    <w:unhideWhenUsed/>
    <w:rsid w:val="002D374F"/>
  </w:style>
  <w:style w:type="table" w:customStyle="1" w:styleId="Tablaconcuadrcula1042">
    <w:name w:val="Tabla con cuadrícula1042"/>
    <w:basedOn w:val="Tablanormal"/>
    <w:next w:val="Tablaconcuadrcula"/>
    <w:uiPriority w:val="59"/>
    <w:rsid w:val="002D374F"/>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3">
    <w:name w:val="Tabla con cuadrícula1043"/>
    <w:basedOn w:val="Tablanormal"/>
    <w:next w:val="Tablaconcuadrcula"/>
    <w:uiPriority w:val="59"/>
    <w:rsid w:val="00851756"/>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4">
    <w:name w:val="Tabla con cuadrícula1044"/>
    <w:basedOn w:val="Tablanormal"/>
    <w:next w:val="Tablaconcuadrcula"/>
    <w:rsid w:val="00356A1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5">
    <w:name w:val="Tabla con cuadrícula1045"/>
    <w:basedOn w:val="Tablanormal"/>
    <w:next w:val="Tablaconcuadrcula"/>
    <w:uiPriority w:val="59"/>
    <w:rsid w:val="00AD225D"/>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6">
    <w:name w:val="Tabla con cuadrícula1046"/>
    <w:basedOn w:val="Tablanormal"/>
    <w:next w:val="Tablaconcuadrcula"/>
    <w:uiPriority w:val="59"/>
    <w:rsid w:val="00AD225D"/>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7">
    <w:name w:val="Tabla con cuadrícula1047"/>
    <w:basedOn w:val="Tablanormal"/>
    <w:next w:val="Tablaconcuadrcula"/>
    <w:uiPriority w:val="59"/>
    <w:rsid w:val="009B3F4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3">
    <w:name w:val="1 / 1.1 / 1.1.1143"/>
    <w:basedOn w:val="Sinlista"/>
    <w:next w:val="111111"/>
    <w:rsid w:val="00A77BB9"/>
  </w:style>
  <w:style w:type="table" w:customStyle="1" w:styleId="Tablaconcuadrcula10331">
    <w:name w:val="Tabla con cuadrícula10331"/>
    <w:basedOn w:val="Tablanormal"/>
    <w:next w:val="Tablaconcuadrcula3"/>
    <w:uiPriority w:val="59"/>
    <w:rsid w:val="00A77BB9"/>
    <w:pPr>
      <w:ind w:right="170"/>
      <w:jc w:val="right"/>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11">
    <w:name w:val="Tabla con cuadrícula10411"/>
    <w:basedOn w:val="Tablanormal"/>
    <w:uiPriority w:val="59"/>
    <w:rsid w:val="00A77BB9"/>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0">
    <w:name w:val="Sin lista740"/>
    <w:next w:val="Sinlista"/>
    <w:uiPriority w:val="99"/>
    <w:semiHidden/>
    <w:unhideWhenUsed/>
    <w:rsid w:val="00B208D9"/>
  </w:style>
  <w:style w:type="table" w:customStyle="1" w:styleId="Tablaconcuadrcula1048">
    <w:name w:val="Tabla con cuadrícula1048"/>
    <w:basedOn w:val="Tablanormal"/>
    <w:next w:val="Tablaconcuadrcula"/>
    <w:uiPriority w:val="59"/>
    <w:rsid w:val="00B208D9"/>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4">
    <w:name w:val="Sin lista744"/>
    <w:next w:val="Sinlista"/>
    <w:uiPriority w:val="99"/>
    <w:semiHidden/>
    <w:unhideWhenUsed/>
    <w:rsid w:val="00336652"/>
  </w:style>
  <w:style w:type="table" w:customStyle="1" w:styleId="Tablaconcuadrcula1049">
    <w:name w:val="Tabla con cuadrícula1049"/>
    <w:basedOn w:val="Tablanormal"/>
    <w:next w:val="Tablaconcuadrcula"/>
    <w:uiPriority w:val="59"/>
    <w:rsid w:val="00336652"/>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5">
    <w:name w:val="Sin lista745"/>
    <w:next w:val="Sinlista"/>
    <w:uiPriority w:val="99"/>
    <w:semiHidden/>
    <w:unhideWhenUsed/>
    <w:rsid w:val="00BE3853"/>
  </w:style>
  <w:style w:type="table" w:customStyle="1" w:styleId="Tablaconcuadrcula1050">
    <w:name w:val="Tabla con cuadrícula1050"/>
    <w:basedOn w:val="Tablanormal"/>
    <w:next w:val="Tablaconcuadrcula"/>
    <w:uiPriority w:val="59"/>
    <w:rsid w:val="00BE3853"/>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1">
    <w:name w:val="Tabla con cuadrícula1051"/>
    <w:basedOn w:val="Tablanormal"/>
    <w:next w:val="Tablaconcuadrcula"/>
    <w:uiPriority w:val="59"/>
    <w:rsid w:val="0096519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2">
    <w:name w:val="Tabla con cuadrícula1052"/>
    <w:basedOn w:val="Tablanormal"/>
    <w:next w:val="Tablaconcuadrcula"/>
    <w:uiPriority w:val="59"/>
    <w:rsid w:val="004A36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71">
    <w:name w:val="Tabla con cuadrícula9371"/>
    <w:basedOn w:val="Tablanormal"/>
    <w:next w:val="Tablaconcuadrcula"/>
    <w:rsid w:val="004A36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81">
    <w:name w:val="Tabla con cuadrícula9381"/>
    <w:basedOn w:val="Tablanormal"/>
    <w:next w:val="Tablaconcuadrcula"/>
    <w:rsid w:val="004A36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3">
    <w:name w:val="Tabla con cuadrícula1053"/>
    <w:basedOn w:val="Tablanormal"/>
    <w:next w:val="Tablaconcuadrcula"/>
    <w:uiPriority w:val="59"/>
    <w:rsid w:val="00E9672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4">
    <w:name w:val="Tabla con cuadrícula1054"/>
    <w:basedOn w:val="Tablanormal"/>
    <w:next w:val="Tablaconcuadrcula"/>
    <w:uiPriority w:val="59"/>
    <w:rsid w:val="00E9672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5">
    <w:name w:val="Tabla con cuadrícula1055"/>
    <w:basedOn w:val="Tablanormal"/>
    <w:next w:val="Tablaconcuadrcula"/>
    <w:uiPriority w:val="59"/>
    <w:rsid w:val="0061426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6">
    <w:name w:val="Tabla con cuadrícula1056"/>
    <w:basedOn w:val="Tablanormal"/>
    <w:next w:val="Tablaconcuadrcula"/>
    <w:uiPriority w:val="59"/>
    <w:rsid w:val="00C919D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7">
    <w:name w:val="Tabla con cuadrícula1057"/>
    <w:basedOn w:val="Tablanormal"/>
    <w:next w:val="Tablaconcuadrcula"/>
    <w:uiPriority w:val="59"/>
    <w:rsid w:val="004B70A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8">
    <w:name w:val="Tabla con cuadrícula1058"/>
    <w:basedOn w:val="Tablanormal"/>
    <w:next w:val="Tablaconcuadrcula"/>
    <w:rsid w:val="00EF118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9">
    <w:name w:val="Tabla con cuadrícula1059"/>
    <w:basedOn w:val="Tablanormal"/>
    <w:next w:val="Tablaconcuadrcula"/>
    <w:uiPriority w:val="59"/>
    <w:rsid w:val="001C4D2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0">
    <w:name w:val="Tabla con cuadrícula1060"/>
    <w:basedOn w:val="Tablanormal"/>
    <w:next w:val="Tablaconcuadrcula"/>
    <w:rsid w:val="00C4178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6">
    <w:name w:val="Sin lista746"/>
    <w:next w:val="Sinlista"/>
    <w:uiPriority w:val="99"/>
    <w:semiHidden/>
    <w:unhideWhenUsed/>
    <w:rsid w:val="005F5DD4"/>
  </w:style>
  <w:style w:type="table" w:customStyle="1" w:styleId="Tablaconcuadrcula1061">
    <w:name w:val="Tabla con cuadrícula1061"/>
    <w:basedOn w:val="Tablanormal"/>
    <w:next w:val="Tablaconcuadrcula"/>
    <w:uiPriority w:val="59"/>
    <w:rsid w:val="00BA147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2">
    <w:name w:val="Tabla con cuadrícula1062"/>
    <w:basedOn w:val="Tablanormal"/>
    <w:next w:val="Tablaconcuadrcula"/>
    <w:uiPriority w:val="59"/>
    <w:rsid w:val="009D2E0A"/>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1063">
    <w:name w:val="Tabla con cuadrícula1063"/>
    <w:basedOn w:val="Tablanormal"/>
    <w:next w:val="Tablaconcuadrcula"/>
    <w:uiPriority w:val="59"/>
    <w:rsid w:val="009D2E0A"/>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1064">
    <w:name w:val="Tabla con cuadrícula1064"/>
    <w:basedOn w:val="Tablanormal"/>
    <w:next w:val="Tablaconcuadrcula"/>
    <w:uiPriority w:val="59"/>
    <w:rsid w:val="0000391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5">
    <w:name w:val="Tabla con cuadrícula1065"/>
    <w:basedOn w:val="Tablanormal"/>
    <w:next w:val="Tablaconcuadrcula"/>
    <w:uiPriority w:val="59"/>
    <w:rsid w:val="008B6B0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6">
    <w:name w:val="Tabla con cuadrícula1066"/>
    <w:basedOn w:val="Tablanormal"/>
    <w:next w:val="Tablaconcuadrcula"/>
    <w:uiPriority w:val="59"/>
    <w:rsid w:val="006508B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7">
    <w:name w:val="Tabla con cuadrícula1067"/>
    <w:basedOn w:val="Tablanormal"/>
    <w:next w:val="Tablaconcuadrcula"/>
    <w:uiPriority w:val="59"/>
    <w:rsid w:val="00BD583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7">
    <w:name w:val="Sin lista747"/>
    <w:next w:val="Sinlista"/>
    <w:uiPriority w:val="99"/>
    <w:semiHidden/>
    <w:unhideWhenUsed/>
    <w:rsid w:val="00797820"/>
  </w:style>
  <w:style w:type="table" w:customStyle="1" w:styleId="Tablaconcuadrcula1068">
    <w:name w:val="Tabla con cuadrícula1068"/>
    <w:basedOn w:val="Tablanormal"/>
    <w:next w:val="Tablaconcuadrcula"/>
    <w:uiPriority w:val="59"/>
    <w:rsid w:val="0079782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9">
    <w:name w:val="Tabla con cuadrícula1069"/>
    <w:basedOn w:val="Tablanormal"/>
    <w:next w:val="Tablaconcuadrcula"/>
    <w:uiPriority w:val="59"/>
    <w:rsid w:val="005F208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8">
    <w:name w:val="Sin lista748"/>
    <w:next w:val="Sinlista"/>
    <w:uiPriority w:val="99"/>
    <w:semiHidden/>
    <w:unhideWhenUsed/>
    <w:rsid w:val="006B3051"/>
  </w:style>
  <w:style w:type="table" w:customStyle="1" w:styleId="Tablaconcuadrcula1070">
    <w:name w:val="Tabla con cuadrícula1070"/>
    <w:basedOn w:val="Tablanormal"/>
    <w:next w:val="Tablaconcuadrcula"/>
    <w:rsid w:val="006B305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670">
    <w:name w:val="Tabla con cuadrícula 167"/>
    <w:basedOn w:val="Tablanormal"/>
    <w:next w:val="Tablaconcuadrcula10"/>
    <w:rsid w:val="006B305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071">
    <w:name w:val="Tabla con cuadrícula1071"/>
    <w:basedOn w:val="Tablanormal"/>
    <w:next w:val="Tablaconcuadrcula"/>
    <w:uiPriority w:val="59"/>
    <w:rsid w:val="00F3624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2">
    <w:name w:val="Tabla con cuadrícula1072"/>
    <w:basedOn w:val="Tablanormal"/>
    <w:next w:val="Tablaconcuadrcula"/>
    <w:uiPriority w:val="59"/>
    <w:rsid w:val="00EC225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9">
    <w:name w:val="Sin lista749"/>
    <w:next w:val="Sinlista"/>
    <w:uiPriority w:val="99"/>
    <w:semiHidden/>
    <w:unhideWhenUsed/>
    <w:rsid w:val="007B0BDD"/>
  </w:style>
  <w:style w:type="table" w:customStyle="1" w:styleId="Tablaconcuadrcula1073">
    <w:name w:val="Tabla con cuadrícula1073"/>
    <w:basedOn w:val="Tablanormal"/>
    <w:next w:val="Tablaconcuadrcula"/>
    <w:rsid w:val="007B0BD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4">
    <w:name w:val="Tabla con cuadrícula1074"/>
    <w:basedOn w:val="Tablanormal"/>
    <w:next w:val="Tablaconcuadrcula"/>
    <w:uiPriority w:val="59"/>
    <w:rsid w:val="001D45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00">
    <w:name w:val="Tabla con cuadrícula1120"/>
    <w:basedOn w:val="Tablanormal"/>
    <w:next w:val="Tablaconcuadrcula"/>
    <w:uiPriority w:val="59"/>
    <w:rsid w:val="001D459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0">
    <w:name w:val="Sin lista750"/>
    <w:next w:val="Sinlista"/>
    <w:uiPriority w:val="99"/>
    <w:semiHidden/>
    <w:unhideWhenUsed/>
    <w:rsid w:val="008A2D5E"/>
  </w:style>
  <w:style w:type="table" w:customStyle="1" w:styleId="Tablaconcuadrcula1075">
    <w:name w:val="Tabla con cuadrícula1075"/>
    <w:basedOn w:val="Tablanormal"/>
    <w:next w:val="Tablaconcuadrcula"/>
    <w:rsid w:val="008A2D5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2">
    <w:name w:val="Character Style 2"/>
    <w:uiPriority w:val="99"/>
    <w:rsid w:val="008A2D5E"/>
    <w:rPr>
      <w:sz w:val="20"/>
      <w:szCs w:val="20"/>
    </w:rPr>
  </w:style>
  <w:style w:type="numbering" w:customStyle="1" w:styleId="Sinlista1109">
    <w:name w:val="Sin lista1109"/>
    <w:next w:val="Sinlista"/>
    <w:semiHidden/>
    <w:rsid w:val="008A2D5E"/>
  </w:style>
  <w:style w:type="table" w:customStyle="1" w:styleId="Tablaconcuadrcula1076">
    <w:name w:val="Tabla con cuadrícula1076"/>
    <w:basedOn w:val="Tablanormal"/>
    <w:next w:val="Tablaconcuadrcula"/>
    <w:rsid w:val="0070352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7">
    <w:name w:val="Tabla con cuadrícula1077"/>
    <w:basedOn w:val="Tablanormal"/>
    <w:next w:val="Tablaconcuadrcula"/>
    <w:uiPriority w:val="59"/>
    <w:rsid w:val="007810C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8">
    <w:name w:val="Tabla con cuadrícula1078"/>
    <w:basedOn w:val="Tablanormal"/>
    <w:next w:val="Tablaconcuadrcula"/>
    <w:rsid w:val="000E531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9">
    <w:name w:val="Tabla con cuadrícula1079"/>
    <w:basedOn w:val="Tablanormal"/>
    <w:next w:val="Tablaconcuadrcula"/>
    <w:rsid w:val="001800E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0">
    <w:name w:val="Tabla con cuadrícula1080"/>
    <w:basedOn w:val="Tablanormal"/>
    <w:next w:val="Tablaconcuadrcula"/>
    <w:rsid w:val="00A8657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1">
    <w:name w:val="Tabla con cuadrícula1081"/>
    <w:basedOn w:val="Tablanormal"/>
    <w:next w:val="Tablaconcuadrcula"/>
    <w:uiPriority w:val="59"/>
    <w:rsid w:val="0039406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4">
    <w:name w:val="Sin lista754"/>
    <w:next w:val="Sinlista"/>
    <w:uiPriority w:val="99"/>
    <w:semiHidden/>
    <w:unhideWhenUsed/>
    <w:rsid w:val="00275B34"/>
  </w:style>
  <w:style w:type="table" w:customStyle="1" w:styleId="Tablaconcuadrcula1082">
    <w:name w:val="Tabla con cuadrícula1082"/>
    <w:basedOn w:val="Tablanormal"/>
    <w:next w:val="Tablaconcuadrcula"/>
    <w:uiPriority w:val="59"/>
    <w:rsid w:val="00275B3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5">
    <w:name w:val="Sin lista755"/>
    <w:next w:val="Sinlista"/>
    <w:uiPriority w:val="99"/>
    <w:semiHidden/>
    <w:unhideWhenUsed/>
    <w:rsid w:val="00193BBE"/>
  </w:style>
  <w:style w:type="table" w:customStyle="1" w:styleId="Tablaconcuadrcula1083">
    <w:name w:val="Tabla con cuadrícula1083"/>
    <w:basedOn w:val="Tablanormal"/>
    <w:next w:val="Tablaconcuadrcula"/>
    <w:uiPriority w:val="59"/>
    <w:rsid w:val="00193BB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1">
    <w:name w:val="Tabla con cuadrícula1121"/>
    <w:basedOn w:val="Tablanormal"/>
    <w:rsid w:val="00193BBE"/>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4">
    <w:name w:val="Tabla con cuadrícula1084"/>
    <w:basedOn w:val="Tablanormal"/>
    <w:next w:val="Tablaconcuadrcula"/>
    <w:rsid w:val="00A4410D"/>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2">
    <w:name w:val="Tabla con cuadrícula1122"/>
    <w:basedOn w:val="Tablanormal"/>
    <w:uiPriority w:val="59"/>
    <w:rsid w:val="00A4410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5">
    <w:name w:val="Tabla con cuadrícula1085"/>
    <w:basedOn w:val="Tablanormal"/>
    <w:next w:val="Tablaconcuadrcula"/>
    <w:uiPriority w:val="59"/>
    <w:rsid w:val="00F76C7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6">
    <w:name w:val="Sin lista756"/>
    <w:next w:val="Sinlista"/>
    <w:uiPriority w:val="99"/>
    <w:semiHidden/>
    <w:unhideWhenUsed/>
    <w:rsid w:val="00F54759"/>
  </w:style>
  <w:style w:type="table" w:customStyle="1" w:styleId="Tablaconcuadrcula1086">
    <w:name w:val="Tabla con cuadrícula1086"/>
    <w:basedOn w:val="Tablanormal"/>
    <w:next w:val="Tablaconcuadrcula"/>
    <w:uiPriority w:val="59"/>
    <w:rsid w:val="00F5475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7">
    <w:name w:val="Sin lista757"/>
    <w:next w:val="Sinlista"/>
    <w:uiPriority w:val="99"/>
    <w:semiHidden/>
    <w:unhideWhenUsed/>
    <w:rsid w:val="00195739"/>
  </w:style>
  <w:style w:type="table" w:customStyle="1" w:styleId="Tablaconcuadrcula1087">
    <w:name w:val="Tabla con cuadrícula1087"/>
    <w:basedOn w:val="Tablanormal"/>
    <w:next w:val="Tablaconcuadrcula"/>
    <w:uiPriority w:val="59"/>
    <w:rsid w:val="0019573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8">
    <w:name w:val="Tabla con cuadrícula1088"/>
    <w:basedOn w:val="Tablanormal"/>
    <w:next w:val="Tablaconcuadrcula"/>
    <w:uiPriority w:val="59"/>
    <w:rsid w:val="0010166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9">
    <w:name w:val="Tabla con cuadrícula1089"/>
    <w:basedOn w:val="Tablanormal"/>
    <w:next w:val="Tablaconcuadrcula"/>
    <w:uiPriority w:val="59"/>
    <w:rsid w:val="00C93D2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0">
    <w:name w:val="Tabla con cuadrícula1090"/>
    <w:basedOn w:val="Tablanormal"/>
    <w:next w:val="Tablaconcuadrcula"/>
    <w:uiPriority w:val="59"/>
    <w:rsid w:val="00E525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1">
    <w:name w:val="Tabla con cuadrícula1091"/>
    <w:basedOn w:val="Tablanormal"/>
    <w:next w:val="Tablaconcuadrcula"/>
    <w:uiPriority w:val="59"/>
    <w:rsid w:val="00E525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2">
    <w:name w:val="Tabla con cuadrícula1092"/>
    <w:basedOn w:val="Tablanormal"/>
    <w:next w:val="Tablaconcuadrcula"/>
    <w:uiPriority w:val="59"/>
    <w:rsid w:val="00E525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3">
    <w:name w:val="Tabla con cuadrícula1093"/>
    <w:basedOn w:val="Tablanormal"/>
    <w:next w:val="Tablaconcuadrcula"/>
    <w:uiPriority w:val="59"/>
    <w:rsid w:val="00A57C73"/>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4">
    <w:name w:val="Tabla con cuadrícula1094"/>
    <w:basedOn w:val="Tablanormal"/>
    <w:next w:val="Tablaconcuadrcula"/>
    <w:uiPriority w:val="59"/>
    <w:rsid w:val="00B01DE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72">
    <w:name w:val="Tabla con cuadrícula9372"/>
    <w:basedOn w:val="Tablanormal"/>
    <w:next w:val="Tablaconcuadrcula"/>
    <w:rsid w:val="00B01D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82">
    <w:name w:val="Tabla con cuadrícula9382"/>
    <w:basedOn w:val="Tablanormal"/>
    <w:next w:val="Tablaconcuadrcula"/>
    <w:rsid w:val="00B01D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5">
    <w:name w:val="Tabla con cuadrícula1095"/>
    <w:basedOn w:val="Tablanormal"/>
    <w:next w:val="Tablaconcuadrcula"/>
    <w:uiPriority w:val="59"/>
    <w:rsid w:val="00527AE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8">
    <w:name w:val="Sin lista758"/>
    <w:next w:val="Sinlista"/>
    <w:uiPriority w:val="99"/>
    <w:semiHidden/>
    <w:unhideWhenUsed/>
    <w:rsid w:val="006D239F"/>
  </w:style>
  <w:style w:type="numbering" w:customStyle="1" w:styleId="Sinlista1116">
    <w:name w:val="Sin lista1116"/>
    <w:next w:val="Sinlista"/>
    <w:uiPriority w:val="99"/>
    <w:semiHidden/>
    <w:unhideWhenUsed/>
    <w:rsid w:val="006D239F"/>
  </w:style>
  <w:style w:type="table" w:customStyle="1" w:styleId="Tablaconcuadrcula1096">
    <w:name w:val="Tabla con cuadrícula1096"/>
    <w:basedOn w:val="Tablanormal"/>
    <w:next w:val="Tablaconcuadrcula"/>
    <w:uiPriority w:val="59"/>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4">
    <w:name w:val="Tabla con cuadrícula1604"/>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3">
    <w:name w:val="Tabla con cuadrícula1123"/>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3">
    <w:name w:val="Tabla con cuadrícula2103"/>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6">
    <w:name w:val="Tabla con cuadrícula2116"/>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6">
    <w:name w:val="Tabla con cuadrícula2216"/>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6">
    <w:name w:val="Tabla con cuadrícula2316"/>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17">
    <w:name w:val="Sin lista1117"/>
    <w:next w:val="Sinlista"/>
    <w:semiHidden/>
    <w:unhideWhenUsed/>
    <w:rsid w:val="006D239F"/>
  </w:style>
  <w:style w:type="table" w:customStyle="1" w:styleId="Tablaconcuadrcula3102">
    <w:name w:val="Tabla con cuadrícula3102"/>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100">
    <w:name w:val="Sin lista2100"/>
    <w:next w:val="Sinlista"/>
    <w:semiHidden/>
    <w:unhideWhenUsed/>
    <w:rsid w:val="006D239F"/>
  </w:style>
  <w:style w:type="table" w:customStyle="1" w:styleId="Tablaconcuadrcula4102">
    <w:name w:val="Tabla con cuadrícula4102"/>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bsica14">
    <w:name w:val="Tabla básica 14"/>
    <w:basedOn w:val="Tablanormal"/>
    <w:next w:val="Tablabsica1"/>
    <w:rsid w:val="006D239F"/>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8">
    <w:name w:val="Sin lista1118"/>
    <w:next w:val="Sinlista"/>
    <w:semiHidden/>
    <w:rsid w:val="006D239F"/>
  </w:style>
  <w:style w:type="table" w:customStyle="1" w:styleId="Tablaconcuadrcula1124">
    <w:name w:val="Tabla con cuadrícula112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80">
    <w:name w:val="Tabla con cuadrícula 168"/>
    <w:basedOn w:val="Tablanormal"/>
    <w:next w:val="Tablaconcuadrcula10"/>
    <w:rsid w:val="006D239F"/>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MapadeldocumentoCar">
    <w:name w:val="Mapa del documento Car"/>
    <w:basedOn w:val="Fuentedeprrafopredeter"/>
    <w:link w:val="Mapadeldocumento"/>
    <w:uiPriority w:val="99"/>
    <w:semiHidden/>
    <w:rsid w:val="006D239F"/>
    <w:rPr>
      <w:rFonts w:ascii="Tahoma" w:hAnsi="Tahoma" w:cs="Tahoma"/>
      <w:shd w:val="clear" w:color="auto" w:fill="000080"/>
      <w:lang w:eastAsia="es-ES"/>
    </w:rPr>
  </w:style>
  <w:style w:type="character" w:customStyle="1" w:styleId="Textoindependiente3Car">
    <w:name w:val="Texto independiente 3 Car"/>
    <w:basedOn w:val="Fuentedeprrafopredeter"/>
    <w:link w:val="Textoindependiente3"/>
    <w:uiPriority w:val="99"/>
    <w:rsid w:val="006D239F"/>
    <w:rPr>
      <w:sz w:val="16"/>
      <w:szCs w:val="26"/>
      <w:lang w:val="es-ES" w:eastAsia="es-ES"/>
    </w:rPr>
  </w:style>
  <w:style w:type="table" w:customStyle="1" w:styleId="Tablaconcuadrcula1905">
    <w:name w:val="Tabla con cuadrícula1905"/>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4">
    <w:name w:val="Tabla con cuadrícula293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2">
    <w:name w:val="Tabla con cuadrícula5102"/>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6101">
    <w:name w:val="Tabla con cuadrícula6101"/>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00">
    <w:name w:val="Sin lista3100"/>
    <w:next w:val="Sinlista"/>
    <w:semiHidden/>
    <w:unhideWhenUsed/>
    <w:rsid w:val="006D239F"/>
  </w:style>
  <w:style w:type="table" w:customStyle="1" w:styleId="Tablaconcuadrcula7100">
    <w:name w:val="Tabla con cuadrícula710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824">
    <w:name w:val="Tabla con cuadrícula182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0">
    <w:name w:val="Tabla con cuadrícula5110"/>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00">
    <w:name w:val="Sin lista4100"/>
    <w:next w:val="Sinlista"/>
    <w:semiHidden/>
    <w:rsid w:val="006D239F"/>
  </w:style>
  <w:style w:type="table" w:customStyle="1" w:styleId="Tablaconcuadrcula19011">
    <w:name w:val="Tabla con cuadrícula19011"/>
    <w:basedOn w:val="Tablanormal"/>
    <w:next w:val="Tablaconcuadrcula"/>
    <w:rsid w:val="006D239F"/>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00">
    <w:name w:val="Tabla con cuadrícula8100"/>
    <w:basedOn w:val="Tablanormal"/>
    <w:next w:val="Tablaconcuadrcula"/>
    <w:rsid w:val="006D239F"/>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00">
    <w:name w:val="Sin lista5100"/>
    <w:next w:val="Sinlista"/>
    <w:semiHidden/>
    <w:unhideWhenUsed/>
    <w:rsid w:val="006D239F"/>
  </w:style>
  <w:style w:type="numbering" w:customStyle="1" w:styleId="Sinlista1216">
    <w:name w:val="Sin lista1216"/>
    <w:next w:val="Sinlista"/>
    <w:semiHidden/>
    <w:rsid w:val="006D239F"/>
  </w:style>
  <w:style w:type="character" w:customStyle="1" w:styleId="Sangra3detindependienteCar">
    <w:name w:val="Sangría 3 de t. independiente Car"/>
    <w:basedOn w:val="Fuentedeprrafopredeter"/>
    <w:link w:val="Sangra3detindependiente"/>
    <w:uiPriority w:val="99"/>
    <w:rsid w:val="006D239F"/>
    <w:rPr>
      <w:sz w:val="16"/>
      <w:szCs w:val="16"/>
      <w:lang w:val="en-GB" w:eastAsia="en-US"/>
    </w:rPr>
  </w:style>
  <w:style w:type="character" w:customStyle="1" w:styleId="SaludoCar">
    <w:name w:val="Saludo Car"/>
    <w:basedOn w:val="Fuentedeprrafopredeter"/>
    <w:link w:val="Saludo"/>
    <w:uiPriority w:val="99"/>
    <w:rsid w:val="006D239F"/>
    <w:rPr>
      <w:sz w:val="24"/>
      <w:szCs w:val="24"/>
      <w:lang w:val="en-GB" w:eastAsia="en-US"/>
    </w:rPr>
  </w:style>
  <w:style w:type="character" w:customStyle="1" w:styleId="FechaCar">
    <w:name w:val="Fecha Car"/>
    <w:basedOn w:val="Fuentedeprrafopredeter"/>
    <w:link w:val="Fecha"/>
    <w:uiPriority w:val="99"/>
    <w:rsid w:val="006D239F"/>
    <w:rPr>
      <w:sz w:val="24"/>
      <w:szCs w:val="24"/>
      <w:lang w:val="en-GB" w:eastAsia="en-US"/>
    </w:rPr>
  </w:style>
  <w:style w:type="character" w:customStyle="1" w:styleId="z-PrincipiodelformularioCar">
    <w:name w:val="z-Principio del formulario Car"/>
    <w:basedOn w:val="Fuentedeprrafopredeter"/>
    <w:link w:val="z-Principiodelformulario"/>
    <w:uiPriority w:val="99"/>
    <w:rsid w:val="006D239F"/>
    <w:rPr>
      <w:rFonts w:ascii="Arial" w:hAnsi="Arial" w:cs="Arial"/>
      <w:vanish/>
      <w:sz w:val="16"/>
      <w:szCs w:val="16"/>
      <w:lang w:val="es-ES" w:eastAsia="es-ES"/>
    </w:rPr>
  </w:style>
  <w:style w:type="character" w:customStyle="1" w:styleId="z-FinaldelformularioCar">
    <w:name w:val="z-Final del formulario Car"/>
    <w:basedOn w:val="Fuentedeprrafopredeter"/>
    <w:link w:val="z-Finaldelformulario"/>
    <w:uiPriority w:val="99"/>
    <w:rsid w:val="006D239F"/>
    <w:rPr>
      <w:rFonts w:ascii="Arial" w:hAnsi="Arial" w:cs="Arial"/>
      <w:vanish/>
      <w:sz w:val="16"/>
      <w:szCs w:val="16"/>
      <w:lang w:val="es-ES" w:eastAsia="es-ES"/>
    </w:rPr>
  </w:style>
  <w:style w:type="character" w:customStyle="1" w:styleId="HTMLconformatoprevioCar">
    <w:name w:val="HTML con formato previo Car"/>
    <w:basedOn w:val="Fuentedeprrafopredeter"/>
    <w:link w:val="HTMLconformatoprevio"/>
    <w:uiPriority w:val="99"/>
    <w:rsid w:val="006D239F"/>
    <w:rPr>
      <w:rFonts w:ascii="Courier New" w:hAnsi="Courier New" w:cs="Courier New"/>
      <w:lang w:val="es-ES" w:eastAsia="es-ES"/>
    </w:rPr>
  </w:style>
  <w:style w:type="character" w:customStyle="1" w:styleId="Textoindependienteprimerasangra2Car">
    <w:name w:val="Texto independiente primera sangría 2 Car"/>
    <w:basedOn w:val="SangradetextonormalCar"/>
    <w:link w:val="Textoindependienteprimerasangra2"/>
    <w:uiPriority w:val="99"/>
    <w:rsid w:val="006D239F"/>
    <w:rPr>
      <w:rFonts w:eastAsia="SimSun"/>
      <w:sz w:val="24"/>
      <w:szCs w:val="24"/>
      <w:lang w:val="es-ES" w:eastAsia="es-ES" w:bidi="ar-SA"/>
    </w:rPr>
  </w:style>
  <w:style w:type="character" w:customStyle="1" w:styleId="TextocomentarioCar">
    <w:name w:val="Texto comentario Car"/>
    <w:basedOn w:val="Fuentedeprrafopredeter"/>
    <w:link w:val="Textocomentario"/>
    <w:uiPriority w:val="99"/>
    <w:rsid w:val="006D239F"/>
    <w:rPr>
      <w:rFonts w:eastAsia="Arial Unicode MS"/>
      <w:lang w:val="es-ES_tradnl" w:eastAsia="ar-SA"/>
    </w:rPr>
  </w:style>
  <w:style w:type="character" w:customStyle="1" w:styleId="AsuntodelcomentarioCar">
    <w:name w:val="Asunto del comentario Car"/>
    <w:basedOn w:val="TextocomentarioCar"/>
    <w:link w:val="Asuntodelcomentario"/>
    <w:uiPriority w:val="99"/>
    <w:semiHidden/>
    <w:rsid w:val="006D239F"/>
    <w:rPr>
      <w:rFonts w:eastAsia="Arial Unicode MS"/>
      <w:b/>
      <w:bCs/>
      <w:lang w:val="es-ES_tradnl" w:eastAsia="ar-SA"/>
    </w:rPr>
  </w:style>
  <w:style w:type="numbering" w:customStyle="1" w:styleId="Sinlista6100">
    <w:name w:val="Sin lista6100"/>
    <w:next w:val="Sinlista"/>
    <w:semiHidden/>
    <w:unhideWhenUsed/>
    <w:rsid w:val="006D239F"/>
  </w:style>
  <w:style w:type="table" w:customStyle="1" w:styleId="Tablaconcuadrcula9100">
    <w:name w:val="Tabla con cuadrícula910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759">
    <w:name w:val="Sin lista759"/>
    <w:next w:val="Sinlista"/>
    <w:semiHidden/>
    <w:unhideWhenUsed/>
    <w:rsid w:val="006D239F"/>
  </w:style>
  <w:style w:type="table" w:customStyle="1" w:styleId="Tablaconcuadrcula1097">
    <w:name w:val="Tabla con cuadrícula1097"/>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216">
    <w:name w:val="Tabla con cuadrícula1216"/>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00">
    <w:name w:val="Tabla con cuadrícula13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6">
    <w:name w:val="Sin lista816"/>
    <w:next w:val="Sinlista"/>
    <w:semiHidden/>
    <w:unhideWhenUsed/>
    <w:rsid w:val="006D239F"/>
  </w:style>
  <w:style w:type="table" w:customStyle="1" w:styleId="Tablaconcuadrcula14100">
    <w:name w:val="Tabla con cuadrícula141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916">
    <w:name w:val="Sin lista916"/>
    <w:next w:val="Sinlista"/>
    <w:semiHidden/>
    <w:rsid w:val="006D239F"/>
  </w:style>
  <w:style w:type="numbering" w:customStyle="1" w:styleId="Sinlista1016">
    <w:name w:val="Sin lista1016"/>
    <w:next w:val="Sinlista"/>
    <w:semiHidden/>
    <w:unhideWhenUsed/>
    <w:rsid w:val="006D239F"/>
  </w:style>
  <w:style w:type="numbering" w:customStyle="1" w:styleId="Sinlista1316">
    <w:name w:val="Sin lista1316"/>
    <w:next w:val="Sinlista"/>
    <w:semiHidden/>
    <w:rsid w:val="006D239F"/>
  </w:style>
  <w:style w:type="table" w:customStyle="1" w:styleId="Tablaconcuadrcula5210">
    <w:name w:val="Tabla con cuadrícula5210"/>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60">
    <w:name w:val="Tabla con cuadrícula1516"/>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6">
    <w:name w:val="Sin lista1416"/>
    <w:next w:val="Sinlista"/>
    <w:semiHidden/>
    <w:rsid w:val="006D239F"/>
  </w:style>
  <w:style w:type="table" w:customStyle="1" w:styleId="Tablaconcuadrcula16100">
    <w:name w:val="Tabla con cuadrícula16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15">
    <w:name w:val="Sin lista1515"/>
    <w:next w:val="Sinlista"/>
    <w:semiHidden/>
    <w:rsid w:val="006D239F"/>
  </w:style>
  <w:style w:type="table" w:customStyle="1" w:styleId="Tablaconcuadrcula1710">
    <w:name w:val="Tabla con cuadrícula171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610">
    <w:name w:val="Sin lista1610"/>
    <w:next w:val="Sinlista"/>
    <w:semiHidden/>
    <w:rsid w:val="006D239F"/>
  </w:style>
  <w:style w:type="table" w:customStyle="1" w:styleId="Tablaconcuadrcula1810">
    <w:name w:val="Tabla con cuadrícula18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6">
    <w:name w:val="Tabla con cuadrícula1916"/>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0">
    <w:name w:val="Sin lista1710"/>
    <w:next w:val="Sinlista"/>
    <w:semiHidden/>
    <w:rsid w:val="006D239F"/>
  </w:style>
  <w:style w:type="table" w:customStyle="1" w:styleId="Tablaconcuadrcula2010">
    <w:name w:val="Tabla con cuadrícula20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10">
    <w:name w:val="Sin lista1810"/>
    <w:next w:val="Sinlista"/>
    <w:semiHidden/>
    <w:rsid w:val="006D239F"/>
  </w:style>
  <w:style w:type="table" w:customStyle="1" w:styleId="Tablaconcuadrcula11010">
    <w:name w:val="Tabla con cuadrícula11010"/>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6">
    <w:name w:val="1 / 1.1 / 1.1.16"/>
    <w:basedOn w:val="Sinlista"/>
    <w:next w:val="111111"/>
    <w:rsid w:val="006D239F"/>
  </w:style>
  <w:style w:type="numbering" w:customStyle="1" w:styleId="Sinlista1910">
    <w:name w:val="Sin lista1910"/>
    <w:next w:val="Sinlista"/>
    <w:semiHidden/>
    <w:unhideWhenUsed/>
    <w:rsid w:val="006D239F"/>
  </w:style>
  <w:style w:type="table" w:customStyle="1" w:styleId="Tablaconcuadrcula2074">
    <w:name w:val="Tabla con cuadrícula207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10">
    <w:name w:val="Tabla con cuadrícula24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6">
    <w:name w:val="Tabla con cuadrícula2516"/>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7">
    <w:name w:val="Tabla con cuadrícula2617"/>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7">
    <w:name w:val="Tabla con cuadrícula2717"/>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10">
    <w:name w:val="Tabla con cuadrícula2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0">
    <w:name w:val="Sin lista2010"/>
    <w:next w:val="Sinlista"/>
    <w:semiHidden/>
    <w:rsid w:val="006D239F"/>
  </w:style>
  <w:style w:type="table" w:customStyle="1" w:styleId="Tablaconcuadrcula2910">
    <w:name w:val="Tabla con cuadrícula2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10">
    <w:name w:val="Tabla con cuadrícula3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30">
    <w:name w:val="Tabla con cuadrícula 1113"/>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2110">
    <w:name w:val="Sin lista2110"/>
    <w:next w:val="Sinlista"/>
    <w:semiHidden/>
    <w:rsid w:val="006D239F"/>
  </w:style>
  <w:style w:type="table" w:customStyle="1" w:styleId="Tablaconcuadrcula12101">
    <w:name w:val="Tabla con cuadrícula 1210"/>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3101">
    <w:name w:val="Tabla con cuadrícula 1310"/>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110">
    <w:name w:val="Tabla con cuadrícula3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10">
    <w:name w:val="Tabla con cuadrícula3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10">
    <w:name w:val="Tabla con cuadrícula3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01">
    <w:name w:val="Tabla con cuadrícula 1410"/>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410">
    <w:name w:val="Tabla con cuadrícula3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00">
    <w:name w:val="Tabla con cuadrícula 1510"/>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510">
    <w:name w:val="Tabla con cuadrícula3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10">
    <w:name w:val="Tabla con cuadrícula36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10">
    <w:name w:val="Tabla con cuadrícula37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10">
    <w:name w:val="Sin lista2210"/>
    <w:next w:val="Sinlista"/>
    <w:semiHidden/>
    <w:rsid w:val="006D239F"/>
  </w:style>
  <w:style w:type="numbering" w:customStyle="1" w:styleId="Sinlista2310">
    <w:name w:val="Sin lista2310"/>
    <w:next w:val="Sinlista"/>
    <w:semiHidden/>
    <w:rsid w:val="006D239F"/>
  </w:style>
  <w:style w:type="table" w:customStyle="1" w:styleId="Tablaconcuadrcula3810">
    <w:name w:val="Tabla con cuadrícula3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10">
    <w:name w:val="Tabla con cuadrícula3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10">
    <w:name w:val="Sin lista2410"/>
    <w:next w:val="Sinlista"/>
    <w:semiHidden/>
    <w:rsid w:val="006D239F"/>
  </w:style>
  <w:style w:type="numbering" w:customStyle="1" w:styleId="Sinlista2510">
    <w:name w:val="Sin lista2510"/>
    <w:next w:val="Sinlista"/>
    <w:semiHidden/>
    <w:rsid w:val="006D239F"/>
  </w:style>
  <w:style w:type="numbering" w:customStyle="1" w:styleId="Sinlista2610">
    <w:name w:val="Sin lista2610"/>
    <w:next w:val="Sinlista"/>
    <w:semiHidden/>
    <w:rsid w:val="006D239F"/>
  </w:style>
  <w:style w:type="table" w:customStyle="1" w:styleId="Tablaconcuadrcula4010">
    <w:name w:val="Tabla con cuadrícula4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10">
    <w:name w:val="Sin lista2710"/>
    <w:next w:val="Sinlista"/>
    <w:semiHidden/>
    <w:rsid w:val="006D239F"/>
  </w:style>
  <w:style w:type="table" w:customStyle="1" w:styleId="Tablaconcuadrcula4110">
    <w:name w:val="Tabla con cuadrícula4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10">
    <w:name w:val="Tabla con cuadrícula4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10">
    <w:name w:val="Tabla con cuadrícula4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10">
    <w:name w:val="Tabla con cuadrícula4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90">
    <w:name w:val="Tabla con cuadrícula 169"/>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510">
    <w:name w:val="Tabla con cuadrícula45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10">
    <w:name w:val="Tabla con cuadrícula4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10">
    <w:name w:val="Tabla con cuadrícula4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10">
    <w:name w:val="Tabla con cuadrícula4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10">
    <w:name w:val="Tabla con cuadrícula49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10">
    <w:name w:val="Sin lista2810"/>
    <w:next w:val="Sinlista"/>
    <w:semiHidden/>
    <w:rsid w:val="006D239F"/>
  </w:style>
  <w:style w:type="table" w:customStyle="1" w:styleId="Tablaconcuadrcula5010">
    <w:name w:val="Tabla con cuadrícula5010"/>
    <w:basedOn w:val="Tablanormal"/>
    <w:next w:val="Tablaconcuadrcula"/>
    <w:rsid w:val="006D239F"/>
    <w:pPr>
      <w:tabs>
        <w:tab w:val="left" w:pos="720"/>
      </w:tabs>
      <w:jc w:val="both"/>
    </w:pPr>
    <w:rPr>
      <w:rFonts w:eastAsia="Times New Roman"/>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11">
    <w:name w:val="Tabla con cuadrícula50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11">
    <w:name w:val="Tabla con cuadrícula 17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11">
    <w:name w:val="Tabla con cuadrícula 18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310">
    <w:name w:val="Tabla con cuadrícula5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21">
    <w:name w:val="Tabla con cuadrícula50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10">
    <w:name w:val="Sin lista2910"/>
    <w:next w:val="Sinlista"/>
    <w:semiHidden/>
    <w:rsid w:val="006D239F"/>
  </w:style>
  <w:style w:type="table" w:customStyle="1" w:styleId="Tablaconcuadrcula5410">
    <w:name w:val="Tabla con cuadrícula5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10">
    <w:name w:val="Tabla con cuadrícula5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7">
    <w:name w:val="Tabla con cuadrícula 19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610">
    <w:name w:val="Tabla con cuadrícula56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10">
    <w:name w:val="Sin lista3010"/>
    <w:next w:val="Sinlista"/>
    <w:semiHidden/>
    <w:rsid w:val="006D239F"/>
  </w:style>
  <w:style w:type="table" w:customStyle="1" w:styleId="Tablaconcuadrcula11012">
    <w:name w:val="Tabla con cuadrícula 110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110">
    <w:name w:val="Sin lista3110"/>
    <w:next w:val="Sinlista"/>
    <w:semiHidden/>
    <w:rsid w:val="006D239F"/>
  </w:style>
  <w:style w:type="table" w:customStyle="1" w:styleId="Tablaconcuadrcula5710">
    <w:name w:val="Tabla con cuadrícula5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10">
    <w:name w:val="Tabla con cuadrícula5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10">
    <w:name w:val="Tabla con cuadrícula5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10">
    <w:name w:val="Tabla con cuadrícula6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0">
    <w:name w:val="Tabla con cuadrícula6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10">
    <w:name w:val="Tabla con cuadrícula6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10">
    <w:name w:val="Sin lista3210"/>
    <w:next w:val="Sinlista"/>
    <w:semiHidden/>
    <w:rsid w:val="006D239F"/>
  </w:style>
  <w:style w:type="table" w:customStyle="1" w:styleId="Tablaconcuadrcula6310">
    <w:name w:val="Tabla con cuadrícula6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10">
    <w:name w:val="Tabla con cuadrícula6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10">
    <w:name w:val="Sin lista3310"/>
    <w:next w:val="Sinlista"/>
    <w:semiHidden/>
    <w:unhideWhenUsed/>
    <w:rsid w:val="006D239F"/>
  </w:style>
  <w:style w:type="table" w:customStyle="1" w:styleId="Tablaconcuadrcula6510">
    <w:name w:val="Tabla con cuadrícula651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410">
    <w:name w:val="Sin lista3410"/>
    <w:next w:val="Sinlista"/>
    <w:semiHidden/>
    <w:rsid w:val="006D239F"/>
  </w:style>
  <w:style w:type="numbering" w:customStyle="1" w:styleId="Sinlista3510">
    <w:name w:val="Sin lista3510"/>
    <w:next w:val="Sinlista"/>
    <w:semiHidden/>
    <w:rsid w:val="006D239F"/>
  </w:style>
  <w:style w:type="table" w:customStyle="1" w:styleId="Tablaconcuadrcula6610">
    <w:name w:val="Tabla con cuadrícula6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10">
    <w:name w:val="Sin lista3610"/>
    <w:next w:val="Sinlista"/>
    <w:semiHidden/>
    <w:rsid w:val="006D239F"/>
  </w:style>
  <w:style w:type="table" w:customStyle="1" w:styleId="Tablaconcuadrcula6710">
    <w:name w:val="Tabla con cuadrícula6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10">
    <w:name w:val="Sin lista3710"/>
    <w:next w:val="Sinlista"/>
    <w:semiHidden/>
    <w:rsid w:val="006D239F"/>
  </w:style>
  <w:style w:type="table" w:customStyle="1" w:styleId="Tablaconcuadrcula6810">
    <w:name w:val="Tabla con cuadrícula6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10">
    <w:name w:val="Sin lista3810"/>
    <w:next w:val="Sinlista"/>
    <w:semiHidden/>
    <w:rsid w:val="006D239F"/>
  </w:style>
  <w:style w:type="table" w:customStyle="1" w:styleId="Tablaconcuadrcula6910">
    <w:name w:val="Tabla con cuadrícula6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10">
    <w:name w:val="Sin lista3910"/>
    <w:next w:val="Sinlista"/>
    <w:semiHidden/>
    <w:rsid w:val="006D239F"/>
  </w:style>
  <w:style w:type="table" w:customStyle="1" w:styleId="Tablaconcuadrcula7010">
    <w:name w:val="Tabla con cuadrícula7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10">
    <w:name w:val="Tabla con cuadrícula71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10">
    <w:name w:val="Sin lista4010"/>
    <w:next w:val="Sinlista"/>
    <w:semiHidden/>
    <w:rsid w:val="006D239F"/>
  </w:style>
  <w:style w:type="table" w:customStyle="1" w:styleId="Tablaconcuadrcula7210">
    <w:name w:val="Tabla con cuadrícula7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10">
    <w:name w:val="Sin lista4110"/>
    <w:next w:val="Sinlista"/>
    <w:semiHidden/>
    <w:rsid w:val="006D239F"/>
  </w:style>
  <w:style w:type="table" w:customStyle="1" w:styleId="Tablaconcuadrcula7310">
    <w:name w:val="Tabla con cuadrícula7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10">
    <w:name w:val="Tabla con cuadrícula7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10">
    <w:name w:val="Tabla con cuadrícula7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10">
    <w:name w:val="Sin lista4210"/>
    <w:next w:val="Sinlista"/>
    <w:semiHidden/>
    <w:rsid w:val="006D239F"/>
  </w:style>
  <w:style w:type="table" w:customStyle="1" w:styleId="Tablaconcuadrcula7610">
    <w:name w:val="Tabla con cuadrícula7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10">
    <w:name w:val="Tabla con cuadrícula7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10">
    <w:name w:val="Sin lista4310"/>
    <w:next w:val="Sinlista"/>
    <w:semiHidden/>
    <w:rsid w:val="006D239F"/>
  </w:style>
  <w:style w:type="table" w:customStyle="1" w:styleId="Tablaconcuadrcula7810">
    <w:name w:val="Tabla con cuadrícula7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10">
    <w:name w:val="Tabla con cuadrícula7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10">
    <w:name w:val="Tabla con cuadrícula8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10">
    <w:name w:val="Sin lista4410"/>
    <w:next w:val="Sinlista"/>
    <w:semiHidden/>
    <w:rsid w:val="006D239F"/>
  </w:style>
  <w:style w:type="table" w:customStyle="1" w:styleId="Tablaconcuadrcula8110">
    <w:name w:val="Tabla con cuadrícula8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10">
    <w:name w:val="Tabla con cuadrícula8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10">
    <w:name w:val="Sin lista4510"/>
    <w:next w:val="Sinlista"/>
    <w:semiHidden/>
    <w:rsid w:val="006D239F"/>
  </w:style>
  <w:style w:type="table" w:customStyle="1" w:styleId="Tablaconcuadrcula8310">
    <w:name w:val="Tabla con cuadrícula8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10">
    <w:name w:val="Sin lista4610"/>
    <w:next w:val="Sinlista"/>
    <w:semiHidden/>
    <w:rsid w:val="006D239F"/>
  </w:style>
  <w:style w:type="table" w:customStyle="1" w:styleId="Tablaconcuadrcula8410">
    <w:name w:val="Tabla con cuadrícula8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10">
    <w:name w:val="Tabla con cuadrícula8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10">
    <w:name w:val="Tabla con cuadrícula8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10">
    <w:name w:val="Sin lista4710"/>
    <w:next w:val="Sinlista"/>
    <w:semiHidden/>
    <w:rsid w:val="006D239F"/>
  </w:style>
  <w:style w:type="table" w:customStyle="1" w:styleId="Tablaconcuadrcula8710">
    <w:name w:val="Tabla con cuadrícula8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10">
    <w:name w:val="Tabla con cuadrícula8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10">
    <w:name w:val="Sin lista4810"/>
    <w:next w:val="Sinlista"/>
    <w:semiHidden/>
    <w:rsid w:val="006D239F"/>
  </w:style>
  <w:style w:type="table" w:customStyle="1" w:styleId="Tablaconcuadrcula8910">
    <w:name w:val="Tabla con cuadrícula8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10">
    <w:name w:val="Tabla con cuadrícula9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10">
    <w:name w:val="Tabla con cuadrícula9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10">
    <w:name w:val="Sin lista4910"/>
    <w:next w:val="Sinlista"/>
    <w:semiHidden/>
    <w:rsid w:val="006D239F"/>
  </w:style>
  <w:style w:type="table" w:customStyle="1" w:styleId="Tablaconcuadrcula9210">
    <w:name w:val="Tabla con cuadrícula9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10">
    <w:name w:val="Sin lista5010"/>
    <w:next w:val="Sinlista"/>
    <w:semiHidden/>
    <w:rsid w:val="006D239F"/>
  </w:style>
  <w:style w:type="table" w:customStyle="1" w:styleId="Tablaconcuadrcula9310">
    <w:name w:val="Tabla con cuadrícula9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10">
    <w:name w:val="Tabla con cuadrícula9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10">
    <w:name w:val="Sin lista5110"/>
    <w:next w:val="Sinlista"/>
    <w:semiHidden/>
    <w:rsid w:val="006D239F"/>
  </w:style>
  <w:style w:type="table" w:customStyle="1" w:styleId="Tablaconcuadrcula9510">
    <w:name w:val="Tabla con cuadrícula9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10">
    <w:name w:val="Tabla con cuadrícula9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10">
    <w:name w:val="Sin lista5210"/>
    <w:next w:val="Sinlista"/>
    <w:semiHidden/>
    <w:rsid w:val="006D239F"/>
  </w:style>
  <w:style w:type="numbering" w:customStyle="1" w:styleId="Sinlista5310">
    <w:name w:val="Sin lista5310"/>
    <w:next w:val="Sinlista"/>
    <w:semiHidden/>
    <w:rsid w:val="006D239F"/>
  </w:style>
  <w:style w:type="table" w:customStyle="1" w:styleId="Tablaconcuadrcula9710">
    <w:name w:val="Tabla con cuadrícula9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10">
    <w:name w:val="Sin lista5410"/>
    <w:next w:val="Sinlista"/>
    <w:semiHidden/>
    <w:rsid w:val="006D239F"/>
  </w:style>
  <w:style w:type="table" w:customStyle="1" w:styleId="Tablaconcuadrcula9810">
    <w:name w:val="Tabla con cuadrícula9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10">
    <w:name w:val="Tabla con cuadrícula9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10">
    <w:name w:val="Sin lista5510"/>
    <w:next w:val="Sinlista"/>
    <w:semiHidden/>
    <w:rsid w:val="006D239F"/>
  </w:style>
  <w:style w:type="table" w:customStyle="1" w:styleId="Tablaconcuadrcula10010">
    <w:name w:val="Tabla con cuadrícula10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40">
    <w:name w:val="Tabla con cuadrícula 1114"/>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5610">
    <w:name w:val="Sin lista5610"/>
    <w:next w:val="Sinlista"/>
    <w:semiHidden/>
    <w:rsid w:val="006D239F"/>
  </w:style>
  <w:style w:type="table" w:customStyle="1" w:styleId="Tablaconcuadrcula10110">
    <w:name w:val="Tabla con cuadrícula10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10">
    <w:name w:val="Tabla con cuadrícula10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10">
    <w:name w:val="Tabla con cuadrícula10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10">
    <w:name w:val="Sin lista5710"/>
    <w:next w:val="Sinlista"/>
    <w:semiHidden/>
    <w:rsid w:val="006D239F"/>
  </w:style>
  <w:style w:type="table" w:customStyle="1" w:styleId="Tablaconcuadrcula11210">
    <w:name w:val="Tabla con cuadrícula 112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0410">
    <w:name w:val="Tabla con cuadrícula10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10">
    <w:name w:val="Sin lista5810"/>
    <w:next w:val="Sinlista"/>
    <w:semiHidden/>
    <w:rsid w:val="006D239F"/>
  </w:style>
  <w:style w:type="table" w:customStyle="1" w:styleId="Tablaconcuadrcula10510">
    <w:name w:val="Tabla con cuadrícula10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10">
    <w:name w:val="Sin lista5910"/>
    <w:next w:val="Sinlista"/>
    <w:semiHidden/>
    <w:rsid w:val="006D239F"/>
  </w:style>
  <w:style w:type="table" w:customStyle="1" w:styleId="Tablaconcuadrcula10610">
    <w:name w:val="Tabla con cuadrícula106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10">
    <w:name w:val="Tabla con cuadrícula10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10">
    <w:name w:val="Tabla con cuadrícula10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8">
    <w:name w:val="Tabla con cuadrícula1098"/>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00">
    <w:name w:val="Tabla con cuadrícula11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5">
    <w:name w:val="Tabla con cuadrícula1125"/>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10">
    <w:name w:val="Sin lista6010"/>
    <w:next w:val="Sinlista"/>
    <w:semiHidden/>
    <w:rsid w:val="006D239F"/>
  </w:style>
  <w:style w:type="table" w:customStyle="1" w:styleId="Tablaconcuadrcula1131">
    <w:name w:val="Tabla con cuadrícula11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10">
    <w:name w:val="Sin lista6110"/>
    <w:next w:val="Sinlista"/>
    <w:semiHidden/>
    <w:rsid w:val="006D239F"/>
  </w:style>
  <w:style w:type="table" w:customStyle="1" w:styleId="Tablaconcuadrcula1141">
    <w:name w:val="Tabla con cuadrícula11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1">
    <w:name w:val="Tabla con cuadrícula1151"/>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6210">
    <w:name w:val="Sin lista6210"/>
    <w:next w:val="Sinlista"/>
    <w:semiHidden/>
    <w:rsid w:val="006D239F"/>
  </w:style>
  <w:style w:type="table" w:customStyle="1" w:styleId="Tablaconcuadrcula1161">
    <w:name w:val="Tabla con cuadrícula11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10">
    <w:name w:val="Tabla con cuadrícula 113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6310">
    <w:name w:val="Sin lista6310"/>
    <w:next w:val="Sinlista"/>
    <w:semiHidden/>
    <w:rsid w:val="006D239F"/>
  </w:style>
  <w:style w:type="table" w:customStyle="1" w:styleId="Tablaconcuadrcula1171">
    <w:name w:val="Tabla con cuadrícula11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10">
    <w:name w:val="Sin lista6410"/>
    <w:next w:val="Sinlista"/>
    <w:semiHidden/>
    <w:rsid w:val="006D239F"/>
  </w:style>
  <w:style w:type="table" w:customStyle="1" w:styleId="Tablaconcuadrcula1181">
    <w:name w:val="Tabla con cuadrícula11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10">
    <w:name w:val="Sin lista6510"/>
    <w:next w:val="Sinlista"/>
    <w:semiHidden/>
    <w:rsid w:val="006D239F"/>
  </w:style>
  <w:style w:type="table" w:customStyle="1" w:styleId="Tablaconcuadrcula1191">
    <w:name w:val="Tabla con cuadrícula11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10">
    <w:name w:val="Sin lista6610"/>
    <w:next w:val="Sinlista"/>
    <w:semiHidden/>
    <w:rsid w:val="006D239F"/>
  </w:style>
  <w:style w:type="table" w:customStyle="1" w:styleId="Tablaconcuadrcula12010">
    <w:name w:val="Tabla con cuadrícula12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10">
    <w:name w:val="Sin lista6710"/>
    <w:next w:val="Sinlista"/>
    <w:semiHidden/>
    <w:rsid w:val="006D239F"/>
  </w:style>
  <w:style w:type="numbering" w:customStyle="1" w:styleId="Sinlista6810">
    <w:name w:val="Sin lista6810"/>
    <w:next w:val="Sinlista"/>
    <w:semiHidden/>
    <w:rsid w:val="006D239F"/>
  </w:style>
  <w:style w:type="table" w:customStyle="1" w:styleId="Tablaconcuadrcula1217">
    <w:name w:val="Tabla con cuadrícula12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1">
    <w:name w:val="Tabla con cuadrícula12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1">
    <w:name w:val="Tabla con cuadrícula12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10">
    <w:name w:val="Sin lista6910"/>
    <w:next w:val="Sinlista"/>
    <w:semiHidden/>
    <w:rsid w:val="006D239F"/>
  </w:style>
  <w:style w:type="table" w:customStyle="1" w:styleId="Tablaconcuadrcula1241">
    <w:name w:val="Tabla con cuadrícula12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1">
    <w:name w:val="Tabla con cuadrícula12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1">
    <w:name w:val="Tabla con cuadrícula12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1">
    <w:name w:val="Tabla con cuadrícula12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81">
    <w:name w:val="Tabla con cuadrícula12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10">
    <w:name w:val="Sin lista7010"/>
    <w:next w:val="Sinlista"/>
    <w:semiHidden/>
    <w:rsid w:val="006D239F"/>
  </w:style>
  <w:style w:type="numbering" w:customStyle="1" w:styleId="Sinlista7110">
    <w:name w:val="Sin lista7110"/>
    <w:next w:val="Sinlista"/>
    <w:semiHidden/>
    <w:rsid w:val="006D239F"/>
  </w:style>
  <w:style w:type="table" w:customStyle="1" w:styleId="Tablaconcuadrcula1291">
    <w:name w:val="Tabla con cuadrícula12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10">
    <w:name w:val="Sin lista7210"/>
    <w:next w:val="Sinlista"/>
    <w:semiHidden/>
    <w:rsid w:val="006D239F"/>
  </w:style>
  <w:style w:type="table" w:customStyle="1" w:styleId="Tablaconcuadrcula13010">
    <w:name w:val="Tabla con cuadrícula13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1">
    <w:name w:val="Tabla con cuadrícula13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1">
    <w:name w:val="Tabla con cuadrícula13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10">
    <w:name w:val="Sin lista7310"/>
    <w:next w:val="Sinlista"/>
    <w:semiHidden/>
    <w:rsid w:val="006D239F"/>
  </w:style>
  <w:style w:type="table" w:customStyle="1" w:styleId="Tablaconcuadrcula1331">
    <w:name w:val="Tabla con cuadrícula13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41">
    <w:name w:val="Tabla con cuadrícula13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51">
    <w:name w:val="Tabla con cuadrícula135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10">
    <w:name w:val="Sin lista7410"/>
    <w:next w:val="Sinlista"/>
    <w:semiHidden/>
    <w:rsid w:val="006D239F"/>
  </w:style>
  <w:style w:type="table" w:customStyle="1" w:styleId="Tablaconcuadrcula1361">
    <w:name w:val="Tabla con cuadrícula13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71">
    <w:name w:val="Tabla con cuadrícula137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81">
    <w:name w:val="Tabla con cuadrícula13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91">
    <w:name w:val="Tabla con cuadrícula13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010">
    <w:name w:val="Tabla con cuadrícula14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1">
    <w:name w:val="Tabla con cuadrícula141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21">
    <w:name w:val="Tabla con cuadrícula142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31">
    <w:name w:val="Tabla con cuadrícula14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41">
    <w:name w:val="Tabla con cuadrícula144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10">
    <w:name w:val="Sin lista7510"/>
    <w:next w:val="Sinlista"/>
    <w:semiHidden/>
    <w:rsid w:val="006D239F"/>
  </w:style>
  <w:style w:type="table" w:customStyle="1" w:styleId="Tablaconcuadrcula1451">
    <w:name w:val="Tabla con cuadrícula14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64">
    <w:name w:val="Sin lista764"/>
    <w:next w:val="Sinlista"/>
    <w:semiHidden/>
    <w:rsid w:val="006D239F"/>
  </w:style>
  <w:style w:type="table" w:customStyle="1" w:styleId="Tablaconcuadrcula1461">
    <w:name w:val="Tabla con cuadrícula14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4">
    <w:name w:val="Tabla con cuadrícula51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10">
    <w:name w:val="Tabla con cuadrícula 114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71">
    <w:name w:val="Tabla con cuadrícula14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10">
    <w:name w:val="Tabla con cuadrícula 115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81">
    <w:name w:val="Tabla con cuadrícula14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91">
    <w:name w:val="Tabla con cuadrícula14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010">
    <w:name w:val="Tabla con cuadrícula150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4">
    <w:name w:val="Sin lista774"/>
    <w:next w:val="Sinlista"/>
    <w:semiHidden/>
    <w:rsid w:val="006D239F"/>
  </w:style>
  <w:style w:type="table" w:customStyle="1" w:styleId="Tablaconcuadrcula1517">
    <w:name w:val="Tabla con cuadrícula15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21">
    <w:name w:val="Tabla con cuadrícula152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31">
    <w:name w:val="Tabla con cuadrícula15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41">
    <w:name w:val="Tabla con cuadrícula15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4">
    <w:name w:val="Sin lista784"/>
    <w:next w:val="Sinlista"/>
    <w:semiHidden/>
    <w:rsid w:val="006D239F"/>
  </w:style>
  <w:style w:type="table" w:customStyle="1" w:styleId="Tablaconcuadrcula11610">
    <w:name w:val="Tabla con cuadrícula 116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710">
    <w:name w:val="Tabla con cuadrícula 117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810">
    <w:name w:val="Tabla con cuadrícula 118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794">
    <w:name w:val="Sin lista794"/>
    <w:next w:val="Sinlista"/>
    <w:semiHidden/>
    <w:rsid w:val="006D239F"/>
  </w:style>
  <w:style w:type="table" w:customStyle="1" w:styleId="Tablaconcuadrcula1551">
    <w:name w:val="Tabla con cuadrícula15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04">
    <w:name w:val="Sin lista804"/>
    <w:next w:val="Sinlista"/>
    <w:semiHidden/>
    <w:rsid w:val="006D239F"/>
  </w:style>
  <w:style w:type="table" w:customStyle="1" w:styleId="Tablaconcuadrcula1561">
    <w:name w:val="Tabla con cuadrícula15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71">
    <w:name w:val="Tabla con cuadrícula15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7">
    <w:name w:val="Sin lista817"/>
    <w:next w:val="Sinlista"/>
    <w:semiHidden/>
    <w:rsid w:val="006D239F"/>
  </w:style>
  <w:style w:type="table" w:customStyle="1" w:styleId="Tablaconcuadrcula1581">
    <w:name w:val="Tabla con cuadrícula15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24">
    <w:name w:val="Sin lista824"/>
    <w:next w:val="Sinlista"/>
    <w:semiHidden/>
    <w:rsid w:val="006D239F"/>
  </w:style>
  <w:style w:type="table" w:customStyle="1" w:styleId="Tablaconcuadrcula1591">
    <w:name w:val="Tabla con cuadrícula15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34">
    <w:name w:val="Sin lista834"/>
    <w:next w:val="Sinlista"/>
    <w:semiHidden/>
    <w:rsid w:val="006D239F"/>
  </w:style>
  <w:style w:type="table" w:customStyle="1" w:styleId="Tablaconcuadrcula16110">
    <w:name w:val="Tabla con cuadrícula16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21">
    <w:name w:val="Tabla con cuadrícula16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31">
    <w:name w:val="Tabla con cuadrícula16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41">
    <w:name w:val="Tabla con cuadrícula16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independienteprimerasangraCar">
    <w:name w:val="Texto independiente primera sangría Car"/>
    <w:basedOn w:val="TextoindependienteCar"/>
    <w:link w:val="Textoindependienteprimerasangra"/>
    <w:uiPriority w:val="99"/>
    <w:rsid w:val="006D239F"/>
    <w:rPr>
      <w:rFonts w:eastAsia="SimSun"/>
      <w:sz w:val="24"/>
      <w:szCs w:val="24"/>
      <w:lang w:val="es-MX" w:eastAsia="es-ES" w:bidi="ar-SA"/>
    </w:rPr>
  </w:style>
  <w:style w:type="numbering" w:customStyle="1" w:styleId="Sinlista844">
    <w:name w:val="Sin lista844"/>
    <w:next w:val="Sinlista"/>
    <w:semiHidden/>
    <w:rsid w:val="006D239F"/>
  </w:style>
  <w:style w:type="table" w:customStyle="1" w:styleId="Tablaconcuadrcula1651">
    <w:name w:val="Tabla con cuadrícula16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61">
    <w:name w:val="Tabla con cuadrícula16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54">
    <w:name w:val="Sin lista854"/>
    <w:next w:val="Sinlista"/>
    <w:semiHidden/>
    <w:rsid w:val="006D239F"/>
  </w:style>
  <w:style w:type="table" w:customStyle="1" w:styleId="Tablaconcuadrcula1671">
    <w:name w:val="Tabla con cuadrícula167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64">
    <w:name w:val="Sin lista864"/>
    <w:next w:val="Sinlista"/>
    <w:semiHidden/>
    <w:rsid w:val="006D239F"/>
  </w:style>
  <w:style w:type="table" w:customStyle="1" w:styleId="Tablaconcuadrcula1681">
    <w:name w:val="Tabla con cuadrícula16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91">
    <w:name w:val="Tabla con cuadrícula16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01">
    <w:name w:val="Tabla con cuadrícula17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110">
    <w:name w:val="Tabla con cuadrícula17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74">
    <w:name w:val="Sin lista874"/>
    <w:next w:val="Sinlista"/>
    <w:semiHidden/>
    <w:rsid w:val="006D239F"/>
  </w:style>
  <w:style w:type="table" w:customStyle="1" w:styleId="Tablaconcuadrcula1721">
    <w:name w:val="Tabla con cuadrícula172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84">
    <w:name w:val="Sin lista884"/>
    <w:next w:val="Sinlista"/>
    <w:semiHidden/>
    <w:rsid w:val="006D239F"/>
  </w:style>
  <w:style w:type="table" w:customStyle="1" w:styleId="Tablaconcuadrcula1731">
    <w:name w:val="Tabla con cuadrícula17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41">
    <w:name w:val="Tabla con cuadrícula17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94">
    <w:name w:val="Sin lista894"/>
    <w:next w:val="Sinlista"/>
    <w:semiHidden/>
    <w:rsid w:val="006D239F"/>
  </w:style>
  <w:style w:type="table" w:customStyle="1" w:styleId="Tablaconcuadrcula1751">
    <w:name w:val="Tabla con cuadrícula17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61">
    <w:name w:val="Tabla con cuadrícula17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04">
    <w:name w:val="Sin lista904"/>
    <w:next w:val="Sinlista"/>
    <w:semiHidden/>
    <w:rsid w:val="006D239F"/>
  </w:style>
  <w:style w:type="table" w:customStyle="1" w:styleId="Tablaconcuadrcula1771">
    <w:name w:val="Tabla con cuadrícula17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81">
    <w:name w:val="Tabla con cuadrícula17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91">
    <w:name w:val="Tabla con cuadrícula17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01">
    <w:name w:val="Tabla con cuadrícula18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17">
    <w:name w:val="Sin lista917"/>
    <w:next w:val="Sinlista"/>
    <w:semiHidden/>
    <w:rsid w:val="006D239F"/>
  </w:style>
  <w:style w:type="table" w:customStyle="1" w:styleId="Tablaconcuadrcula18110">
    <w:name w:val="Tabla con cuadrícula18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24">
    <w:name w:val="Sin lista924"/>
    <w:next w:val="Sinlista"/>
    <w:semiHidden/>
    <w:rsid w:val="006D239F"/>
  </w:style>
  <w:style w:type="numbering" w:customStyle="1" w:styleId="Sinlista934">
    <w:name w:val="Sin lista934"/>
    <w:next w:val="Sinlista"/>
    <w:semiHidden/>
    <w:rsid w:val="006D239F"/>
  </w:style>
  <w:style w:type="table" w:customStyle="1" w:styleId="Tablaconcuadrcula1831">
    <w:name w:val="Tabla con cuadrícula18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44">
    <w:name w:val="Sin lista944"/>
    <w:next w:val="Sinlista"/>
    <w:semiHidden/>
    <w:rsid w:val="006D239F"/>
  </w:style>
  <w:style w:type="numbering" w:customStyle="1" w:styleId="Sinlista954">
    <w:name w:val="Sin lista954"/>
    <w:next w:val="Sinlista"/>
    <w:semiHidden/>
    <w:rsid w:val="006D239F"/>
  </w:style>
  <w:style w:type="table" w:customStyle="1" w:styleId="Tablaconcuadrcula1841">
    <w:name w:val="Tabla con cuadrícula18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910">
    <w:name w:val="Tabla con cuadrícula 119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51">
    <w:name w:val="Tabla con cuadrícula18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64">
    <w:name w:val="Sin lista964"/>
    <w:next w:val="Sinlista"/>
    <w:semiHidden/>
    <w:rsid w:val="006D239F"/>
  </w:style>
  <w:style w:type="table" w:customStyle="1" w:styleId="Tablaconcuadrcula1861">
    <w:name w:val="Tabla con cuadrícula18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011">
    <w:name w:val="Tabla con cuadrícula 120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2110">
    <w:name w:val="Tabla con cuadrícula 121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974">
    <w:name w:val="Sin lista974"/>
    <w:next w:val="Sinlista"/>
    <w:semiHidden/>
    <w:rsid w:val="006D239F"/>
  </w:style>
  <w:style w:type="table" w:customStyle="1" w:styleId="Tablaconcuadrcula1871">
    <w:name w:val="Tabla con cuadrícula18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84">
    <w:name w:val="Sin lista984"/>
    <w:next w:val="Sinlista"/>
    <w:semiHidden/>
    <w:rsid w:val="006D239F"/>
  </w:style>
  <w:style w:type="table" w:customStyle="1" w:styleId="Tablaconcuadrcula1881">
    <w:name w:val="Tabla con cuadrícula18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94">
    <w:name w:val="Sin lista994"/>
    <w:next w:val="Sinlista"/>
    <w:semiHidden/>
    <w:rsid w:val="006D239F"/>
  </w:style>
  <w:style w:type="table" w:customStyle="1" w:styleId="Tablaconcuadrcula1891">
    <w:name w:val="Tabla con cuadrícula18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04">
    <w:name w:val="Sin lista1004"/>
    <w:next w:val="Sinlista"/>
    <w:semiHidden/>
    <w:rsid w:val="006D239F"/>
  </w:style>
  <w:style w:type="numbering" w:customStyle="1" w:styleId="Sinlista1017">
    <w:name w:val="Sin lista1017"/>
    <w:next w:val="Sinlista"/>
    <w:semiHidden/>
    <w:rsid w:val="006D239F"/>
  </w:style>
  <w:style w:type="table" w:customStyle="1" w:styleId="Tablaconcuadrcula19170">
    <w:name w:val="Tabla con cuadrícula19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4">
    <w:name w:val="Sin lista1024"/>
    <w:next w:val="Sinlista"/>
    <w:semiHidden/>
    <w:rsid w:val="006D239F"/>
  </w:style>
  <w:style w:type="table" w:customStyle="1" w:styleId="Tablaconcuadrcula1921">
    <w:name w:val="Tabla con cuadrícula19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34">
    <w:name w:val="Sin lista1034"/>
    <w:next w:val="Sinlista"/>
    <w:semiHidden/>
    <w:rsid w:val="006D239F"/>
  </w:style>
  <w:style w:type="table" w:customStyle="1" w:styleId="Tablaconcuadrcula1931">
    <w:name w:val="Tabla con cuadrícula19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41">
    <w:name w:val="Tabla con cuadrícula19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51">
    <w:name w:val="Tabla con cuadrícula19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44">
    <w:name w:val="Sin lista1044"/>
    <w:next w:val="Sinlista"/>
    <w:semiHidden/>
    <w:rsid w:val="006D239F"/>
  </w:style>
  <w:style w:type="table" w:customStyle="1" w:styleId="Tablaconcuadrcula1961">
    <w:name w:val="Tabla con cuadrícula19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71">
    <w:name w:val="Tabla con cuadrícula19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54">
    <w:name w:val="Sin lista1054"/>
    <w:next w:val="Sinlista"/>
    <w:semiHidden/>
    <w:rsid w:val="006D239F"/>
  </w:style>
  <w:style w:type="table" w:customStyle="1" w:styleId="Tablaconcuadrcula1981">
    <w:name w:val="Tabla con cuadrícula19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64">
    <w:name w:val="Sin lista1064"/>
    <w:next w:val="Sinlista"/>
    <w:semiHidden/>
    <w:rsid w:val="006D239F"/>
  </w:style>
  <w:style w:type="table" w:customStyle="1" w:styleId="Tablaconcuadrcula1991">
    <w:name w:val="Tabla con cuadrícula19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74">
    <w:name w:val="Sin lista1074"/>
    <w:next w:val="Sinlista"/>
    <w:semiHidden/>
    <w:rsid w:val="006D239F"/>
  </w:style>
  <w:style w:type="character" w:customStyle="1" w:styleId="EncabezadodemensajeCar">
    <w:name w:val="Encabezado de mensaje Car"/>
    <w:basedOn w:val="Fuentedeprrafopredeter"/>
    <w:link w:val="Encabezadodemensaje"/>
    <w:uiPriority w:val="99"/>
    <w:rsid w:val="006D239F"/>
    <w:rPr>
      <w:rFonts w:ascii="Arial" w:hAnsi="Arial" w:cs="Arial"/>
      <w:sz w:val="24"/>
      <w:szCs w:val="24"/>
      <w:shd w:val="pct20" w:color="auto" w:fill="auto"/>
      <w:lang w:eastAsia="es-ES"/>
    </w:rPr>
  </w:style>
  <w:style w:type="table" w:customStyle="1" w:styleId="Tablaconcuadrcula2001">
    <w:name w:val="Tabla con cuadrícula20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11">
    <w:name w:val="Tabla con cuadrícula20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21">
    <w:name w:val="Tabla con cuadrícula20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31">
    <w:name w:val="Tabla con cuadrícula20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84">
    <w:name w:val="Sin lista1084"/>
    <w:next w:val="Sinlista"/>
    <w:semiHidden/>
    <w:rsid w:val="006D239F"/>
  </w:style>
  <w:style w:type="table" w:customStyle="1" w:styleId="Tablaconcuadrcula2041">
    <w:name w:val="Tabla con cuadrícula20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94">
    <w:name w:val="Sin lista1094"/>
    <w:next w:val="Sinlista"/>
    <w:semiHidden/>
    <w:rsid w:val="006D239F"/>
  </w:style>
  <w:style w:type="table" w:customStyle="1" w:styleId="Tablaconcuadrcula2051">
    <w:name w:val="Tabla con cuadrícula20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10">
    <w:name w:val="Sin lista11010"/>
    <w:next w:val="Sinlista"/>
    <w:semiHidden/>
    <w:rsid w:val="006D239F"/>
  </w:style>
  <w:style w:type="table" w:customStyle="1" w:styleId="Tablaconcuadrcula2061">
    <w:name w:val="Tabla con cuadrícula20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81">
    <w:name w:val="Tabla con cuadrícula20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91">
    <w:name w:val="Tabla con cuadrícula20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10">
    <w:name w:val="Tabla con cuadrícula 122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1114">
    <w:name w:val="Sin lista11114"/>
    <w:next w:val="Sinlista"/>
    <w:semiHidden/>
    <w:rsid w:val="006D239F"/>
  </w:style>
  <w:style w:type="table" w:customStyle="1" w:styleId="Tablaconcuadrcula2104">
    <w:name w:val="Tabla con cuadrícula210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24">
    <w:name w:val="Sin lista1124"/>
    <w:next w:val="Sinlista"/>
    <w:semiHidden/>
    <w:rsid w:val="006D239F"/>
  </w:style>
  <w:style w:type="table" w:customStyle="1" w:styleId="Tablaconcuadrcula2117">
    <w:name w:val="Tabla con cuadrícula21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21">
    <w:name w:val="Tabla con cuadrícula21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31">
    <w:name w:val="Tabla con cuadrícula21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4">
    <w:name w:val="Sin lista1134"/>
    <w:next w:val="Sinlista"/>
    <w:semiHidden/>
    <w:rsid w:val="006D239F"/>
  </w:style>
  <w:style w:type="table" w:customStyle="1" w:styleId="Tablaconcuadrcula2141">
    <w:name w:val="Tabla con cuadrícula21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10">
    <w:name w:val="Tabla con cuadrícula 123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144">
    <w:name w:val="Sin lista1144"/>
    <w:next w:val="Sinlista"/>
    <w:semiHidden/>
    <w:rsid w:val="006D239F"/>
  </w:style>
  <w:style w:type="table" w:customStyle="1" w:styleId="Tablaconcuadrcula2151">
    <w:name w:val="Tabla con cuadrícula21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54">
    <w:name w:val="Sin lista1154"/>
    <w:next w:val="Sinlista"/>
    <w:semiHidden/>
    <w:rsid w:val="006D239F"/>
  </w:style>
  <w:style w:type="numbering" w:customStyle="1" w:styleId="Sinlista1164">
    <w:name w:val="Sin lista1164"/>
    <w:next w:val="Sinlista"/>
    <w:semiHidden/>
    <w:rsid w:val="006D239F"/>
  </w:style>
  <w:style w:type="table" w:customStyle="1" w:styleId="Tablaconcuadrcula2161">
    <w:name w:val="Tabla con cuadrícula21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71">
    <w:name w:val="Tabla con cuadrícula21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74">
    <w:name w:val="Sin lista1174"/>
    <w:next w:val="Sinlista"/>
    <w:semiHidden/>
    <w:rsid w:val="006D239F"/>
  </w:style>
  <w:style w:type="table" w:customStyle="1" w:styleId="Tablaconcuadrcula2181">
    <w:name w:val="Tabla con cuadrícula21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84">
    <w:name w:val="Sin lista1184"/>
    <w:next w:val="Sinlista"/>
    <w:semiHidden/>
    <w:rsid w:val="006D239F"/>
  </w:style>
  <w:style w:type="table" w:customStyle="1" w:styleId="Tablaconcuadrcula2191">
    <w:name w:val="Tabla con cuadrícula21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01">
    <w:name w:val="Tabla con cuadrícula22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94">
    <w:name w:val="Sin lista1194"/>
    <w:next w:val="Sinlista"/>
    <w:semiHidden/>
    <w:rsid w:val="006D239F"/>
  </w:style>
  <w:style w:type="table" w:customStyle="1" w:styleId="Tablaconcuadrcula2217">
    <w:name w:val="Tabla con cuadrícula22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21">
    <w:name w:val="Tabla con cuadrícula22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4">
    <w:name w:val="Sin lista1204"/>
    <w:next w:val="Sinlista"/>
    <w:semiHidden/>
    <w:rsid w:val="006D239F"/>
  </w:style>
  <w:style w:type="numbering" w:customStyle="1" w:styleId="Sinlista1217">
    <w:name w:val="Sin lista1217"/>
    <w:next w:val="Sinlista"/>
    <w:semiHidden/>
    <w:rsid w:val="006D239F"/>
  </w:style>
  <w:style w:type="table" w:customStyle="1" w:styleId="Tablaconcuadrcula2231">
    <w:name w:val="Tabla con cuadrícula22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4">
    <w:name w:val="Sin lista1224"/>
    <w:next w:val="Sinlista"/>
    <w:semiHidden/>
    <w:rsid w:val="006D239F"/>
  </w:style>
  <w:style w:type="table" w:customStyle="1" w:styleId="Tablaconcuadrcula2241">
    <w:name w:val="Tabla con cuadrícula22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4">
    <w:name w:val="Sin lista1234"/>
    <w:next w:val="Sinlista"/>
    <w:semiHidden/>
    <w:rsid w:val="006D239F"/>
  </w:style>
  <w:style w:type="table" w:customStyle="1" w:styleId="Tablaconcuadrcula12410">
    <w:name w:val="Tabla con cuadrícula 124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251">
    <w:name w:val="Tabla con cuadrícula22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61">
    <w:name w:val="Tabla con cuadrícula22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71">
    <w:name w:val="Tabla con cuadrícula22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81">
    <w:name w:val="Tabla con cuadrícula22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91">
    <w:name w:val="Tabla con cuadrícula22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01">
    <w:name w:val="Tabla con cuadrícula23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44">
    <w:name w:val="Sin lista1244"/>
    <w:next w:val="Sinlista"/>
    <w:semiHidden/>
    <w:rsid w:val="006D239F"/>
  </w:style>
  <w:style w:type="table" w:customStyle="1" w:styleId="Tablaconcuadrcula2317">
    <w:name w:val="Tabla con cuadrícula23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10">
    <w:name w:val="Tabla con cuadrícula 125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254">
    <w:name w:val="Sin lista1254"/>
    <w:next w:val="Sinlista"/>
    <w:semiHidden/>
    <w:rsid w:val="006D239F"/>
  </w:style>
  <w:style w:type="table" w:customStyle="1" w:styleId="Tablaconcuadrcula2321">
    <w:name w:val="Tabla con cuadrícula23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31">
    <w:name w:val="Tabla con cuadrícula23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10">
    <w:name w:val="Tabla con cuadrícula 126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341">
    <w:name w:val="Tabla con cuadrícula23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21">
    <w:name w:val="Tabla con cuadrícula51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51">
    <w:name w:val="Tabla con cuadrícula23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61">
    <w:name w:val="Tabla con cuadrícula23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64">
    <w:name w:val="Sin lista1264"/>
    <w:next w:val="Sinlista"/>
    <w:semiHidden/>
    <w:rsid w:val="006D239F"/>
  </w:style>
  <w:style w:type="table" w:customStyle="1" w:styleId="Tablaconcuadrcula2371">
    <w:name w:val="Tabla con cuadrícula23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10">
    <w:name w:val="Tabla con cuadrícula 127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381">
    <w:name w:val="Tabla con cuadrícula23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91">
    <w:name w:val="Tabla con cuadrícula23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01">
    <w:name w:val="Tabla con cuadrícula24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74">
    <w:name w:val="Sin lista1274"/>
    <w:next w:val="Sinlista"/>
    <w:semiHidden/>
    <w:rsid w:val="006D239F"/>
  </w:style>
  <w:style w:type="table" w:customStyle="1" w:styleId="Tablaconcuadrcula2411">
    <w:name w:val="Tabla con cuadrícula24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84">
    <w:name w:val="Sin lista1284"/>
    <w:next w:val="Sinlista"/>
    <w:semiHidden/>
    <w:rsid w:val="006D239F"/>
  </w:style>
  <w:style w:type="table" w:customStyle="1" w:styleId="Tablaconcuadrcula12810">
    <w:name w:val="Tabla con cuadrícula 128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421">
    <w:name w:val="Tabla con cuadrícula24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94">
    <w:name w:val="Sin lista1294"/>
    <w:next w:val="Sinlista"/>
    <w:semiHidden/>
    <w:rsid w:val="006D239F"/>
  </w:style>
  <w:style w:type="table" w:customStyle="1" w:styleId="Tablaconcuadrcula2431">
    <w:name w:val="Tabla con cuadrícula24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04">
    <w:name w:val="Sin lista1304"/>
    <w:next w:val="Sinlista"/>
    <w:semiHidden/>
    <w:rsid w:val="006D239F"/>
  </w:style>
  <w:style w:type="table" w:customStyle="1" w:styleId="Tablaconcuadrcula2441">
    <w:name w:val="Tabla con cuadrícula24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17">
    <w:name w:val="Sin lista1317"/>
    <w:next w:val="Sinlista"/>
    <w:semiHidden/>
    <w:rsid w:val="006D239F"/>
  </w:style>
  <w:style w:type="table" w:customStyle="1" w:styleId="Tablaconcuadrcula2451">
    <w:name w:val="Tabla con cuadrícula2451"/>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324">
    <w:name w:val="Sin lista1324"/>
    <w:next w:val="Sinlista"/>
    <w:semiHidden/>
    <w:rsid w:val="006D239F"/>
  </w:style>
  <w:style w:type="numbering" w:customStyle="1" w:styleId="Sinlista1334">
    <w:name w:val="Sin lista1334"/>
    <w:next w:val="Sinlista"/>
    <w:semiHidden/>
    <w:rsid w:val="006D239F"/>
  </w:style>
  <w:style w:type="table" w:customStyle="1" w:styleId="Tablaconcuadrcula2461">
    <w:name w:val="Tabla con cuadrícula24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44">
    <w:name w:val="Sin lista1344"/>
    <w:next w:val="Sinlista"/>
    <w:semiHidden/>
    <w:rsid w:val="006D239F"/>
  </w:style>
  <w:style w:type="table" w:customStyle="1" w:styleId="Tablaconcuadrcula2471">
    <w:name w:val="Tabla con cuadrícula24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54">
    <w:name w:val="Sin lista1354"/>
    <w:next w:val="Sinlista"/>
    <w:semiHidden/>
    <w:rsid w:val="006D239F"/>
  </w:style>
  <w:style w:type="table" w:customStyle="1" w:styleId="Tablaconcuadrcula2481">
    <w:name w:val="Tabla con cuadrícula24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64">
    <w:name w:val="Sin lista1364"/>
    <w:next w:val="Sinlista"/>
    <w:semiHidden/>
    <w:rsid w:val="006D239F"/>
  </w:style>
  <w:style w:type="table" w:customStyle="1" w:styleId="Tablaconcuadrcula2491">
    <w:name w:val="Tabla con cuadrícula24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01">
    <w:name w:val="Tabla con cuadrícula25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74">
    <w:name w:val="Sin lista1374"/>
    <w:next w:val="Sinlista"/>
    <w:semiHidden/>
    <w:rsid w:val="006D239F"/>
  </w:style>
  <w:style w:type="table" w:customStyle="1" w:styleId="Tablaconcuadrcula2517">
    <w:name w:val="Tabla con cuadrícula25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4">
    <w:name w:val="Sin lista1384"/>
    <w:next w:val="Sinlista"/>
    <w:semiHidden/>
    <w:rsid w:val="006D239F"/>
  </w:style>
  <w:style w:type="table" w:customStyle="1" w:styleId="Tablaconcuadrcula11001">
    <w:name w:val="Tabla con cuadrícula1100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21">
    <w:name w:val="Tabla con cuadrícula25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31">
    <w:name w:val="Tabla con cuadrícula25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42">
    <w:name w:val="Tabla con cuadrícula2542"/>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51">
    <w:name w:val="Tabla con cuadrícula25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94">
    <w:name w:val="Sin lista1394"/>
    <w:next w:val="Sinlista"/>
    <w:semiHidden/>
    <w:rsid w:val="006D239F"/>
  </w:style>
  <w:style w:type="table" w:customStyle="1" w:styleId="Tablaconcuadrcula2561">
    <w:name w:val="Tabla con cuadrícula25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04">
    <w:name w:val="Sin lista1404"/>
    <w:next w:val="Sinlista"/>
    <w:semiHidden/>
    <w:rsid w:val="006D239F"/>
  </w:style>
  <w:style w:type="table" w:customStyle="1" w:styleId="Tablaconcuadrcula2571">
    <w:name w:val="Tabla con cuadrícula25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81">
    <w:name w:val="Tabla con cuadrícula25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17">
    <w:name w:val="Sin lista1417"/>
    <w:next w:val="Sinlista"/>
    <w:semiHidden/>
    <w:rsid w:val="006D239F"/>
  </w:style>
  <w:style w:type="table" w:customStyle="1" w:styleId="Tablaconcuadrcula2591">
    <w:name w:val="Tabla con cuadrícula25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24">
    <w:name w:val="Sin lista1424"/>
    <w:next w:val="Sinlista"/>
    <w:semiHidden/>
    <w:rsid w:val="006D239F"/>
  </w:style>
  <w:style w:type="numbering" w:customStyle="1" w:styleId="Sinlista1434">
    <w:name w:val="Sin lista1434"/>
    <w:next w:val="Sinlista"/>
    <w:semiHidden/>
    <w:rsid w:val="006D239F"/>
  </w:style>
  <w:style w:type="table" w:customStyle="1" w:styleId="Tablaconcuadrcula2601">
    <w:name w:val="Tabla con cuadrícula26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18">
    <w:name w:val="Tabla con cuadrícula2618"/>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21">
    <w:name w:val="Tabla con cuadrícula26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31">
    <w:name w:val="Tabla con cuadrícula26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41">
    <w:name w:val="Tabla con cuadrícula26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51">
    <w:name w:val="Tabla con cuadrícula26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4">
    <w:name w:val="Sin lista1444"/>
    <w:next w:val="Sinlista"/>
    <w:semiHidden/>
    <w:rsid w:val="006D239F"/>
  </w:style>
  <w:style w:type="table" w:customStyle="1" w:styleId="Tablaconcuadrcula2661">
    <w:name w:val="Tabla con cuadrícula26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54">
    <w:name w:val="Sin lista1454"/>
    <w:next w:val="Sinlista"/>
    <w:semiHidden/>
    <w:rsid w:val="006D239F"/>
  </w:style>
  <w:style w:type="numbering" w:customStyle="1" w:styleId="Sinlista1464">
    <w:name w:val="Sin lista1464"/>
    <w:next w:val="Sinlista"/>
    <w:semiHidden/>
    <w:rsid w:val="006D239F"/>
  </w:style>
  <w:style w:type="table" w:customStyle="1" w:styleId="Tablaconcuadrcula2671">
    <w:name w:val="Tabla con cuadrícula26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910">
    <w:name w:val="Tabla con cuadrícula 129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474">
    <w:name w:val="Sin lista1474"/>
    <w:next w:val="Sinlista"/>
    <w:semiHidden/>
    <w:rsid w:val="006D239F"/>
  </w:style>
  <w:style w:type="table" w:customStyle="1" w:styleId="Tablaconcuadrcula2681">
    <w:name w:val="Tabla con cuadrícula26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a">
    <w:name w:val="Tabla con cuadrícula 22"/>
    <w:basedOn w:val="Tablanormal"/>
    <w:next w:val="Tablaconcuadrcula2a"/>
    <w:rsid w:val="006D239F"/>
    <w:pPr>
      <w:widowControl w:val="0"/>
      <w:autoSpaceDE w:val="0"/>
      <w:autoSpaceDN w:val="0"/>
    </w:pPr>
    <w:rPr>
      <w:rFonts w:eastAsia="Times New Roman"/>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Tablaconcuadrcula2691">
    <w:name w:val="Tabla con cuadrícula26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01">
    <w:name w:val="Tabla con cuadrícula27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18">
    <w:name w:val="Tabla con cuadrícula2718"/>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4">
    <w:name w:val="Sin lista1484"/>
    <w:next w:val="Sinlista"/>
    <w:semiHidden/>
    <w:rsid w:val="006D239F"/>
  </w:style>
  <w:style w:type="table" w:customStyle="1" w:styleId="Tablaconcuadrcula13011">
    <w:name w:val="Tabla con cuadrícula 130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494">
    <w:name w:val="Sin lista1494"/>
    <w:next w:val="Sinlista"/>
    <w:semiHidden/>
    <w:rsid w:val="006D239F"/>
  </w:style>
  <w:style w:type="table" w:customStyle="1" w:styleId="Tablaconcuadrcula2721">
    <w:name w:val="Tabla con cuadrícula27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04">
    <w:name w:val="Sin lista1504"/>
    <w:next w:val="Sinlista"/>
    <w:semiHidden/>
    <w:rsid w:val="006D239F"/>
  </w:style>
  <w:style w:type="table" w:customStyle="1" w:styleId="Tablaconcuadrcula2731">
    <w:name w:val="Tabla con cuadrícula27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41">
    <w:name w:val="Tabla con cuadrícula27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51">
    <w:name w:val="Tabla con cuadrícula27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16">
    <w:name w:val="Sin lista1516"/>
    <w:next w:val="Sinlista"/>
    <w:semiHidden/>
    <w:rsid w:val="006D239F"/>
  </w:style>
  <w:style w:type="numbering" w:customStyle="1" w:styleId="Sinlista1524">
    <w:name w:val="Sin lista1524"/>
    <w:next w:val="Sinlista"/>
    <w:semiHidden/>
    <w:rsid w:val="006D239F"/>
  </w:style>
  <w:style w:type="table" w:customStyle="1" w:styleId="Tablaconcuadrcula2761">
    <w:name w:val="Tabla con cuadrícula27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34">
    <w:name w:val="Sin lista1534"/>
    <w:next w:val="Sinlista"/>
    <w:semiHidden/>
    <w:rsid w:val="006D239F"/>
  </w:style>
  <w:style w:type="table" w:customStyle="1" w:styleId="Tablaconcuadrcula13110">
    <w:name w:val="Tabla con cuadrícula 131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771">
    <w:name w:val="Tabla con cuadrícula27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44">
    <w:name w:val="Sin lista1544"/>
    <w:next w:val="Sinlista"/>
    <w:semiHidden/>
    <w:rsid w:val="006D239F"/>
  </w:style>
  <w:style w:type="table" w:customStyle="1" w:styleId="Tablaconcuadrcula2781">
    <w:name w:val="Tabla con cuadrícula27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91">
    <w:name w:val="Tabla con cuadrícula27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54">
    <w:name w:val="Sin lista1554"/>
    <w:next w:val="Sinlista"/>
    <w:semiHidden/>
    <w:rsid w:val="006D239F"/>
  </w:style>
  <w:style w:type="table" w:customStyle="1" w:styleId="Tablaconcuadrcula2801">
    <w:name w:val="Tabla con cuadrícula28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11">
    <w:name w:val="Tabla con cuadrícula28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10">
    <w:name w:val="Tabla con cuadrícula 132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821">
    <w:name w:val="Tabla con cuadrícula28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31">
    <w:name w:val="Tabla con cuadrícula28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120">
    <w:name w:val="Tabla con cuadrícula11012"/>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61">
    <w:name w:val="Sin lista1561"/>
    <w:next w:val="Sinlista"/>
    <w:semiHidden/>
    <w:rsid w:val="006D239F"/>
  </w:style>
  <w:style w:type="table" w:customStyle="1" w:styleId="Tablaconcuadrcula2841">
    <w:name w:val="Tabla con cuadrícula28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4">
    <w:name w:val="Tabla con cuadrícula16014"/>
    <w:basedOn w:val="Tablanormal"/>
    <w:next w:val="Tablaconcuadrcula"/>
    <w:rsid w:val="006D239F"/>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01">
    <w:name w:val="Tabla con cuadrícula21101"/>
    <w:basedOn w:val="Tablanormal"/>
    <w:next w:val="Tablaconcuadrcula"/>
    <w:rsid w:val="006D239F"/>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01">
    <w:name w:val="Tabla con cuadrícula22101"/>
    <w:basedOn w:val="Tablanormal"/>
    <w:next w:val="Tablaconcuadrcula"/>
    <w:rsid w:val="006D239F"/>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01">
    <w:name w:val="Tabla con cuadrícula23101"/>
    <w:basedOn w:val="Tablanormal"/>
    <w:next w:val="Tablaconcuadrcula"/>
    <w:rsid w:val="006D239F"/>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71">
    <w:name w:val="Sin lista1571"/>
    <w:next w:val="Sinlista"/>
    <w:semiHidden/>
    <w:unhideWhenUsed/>
    <w:rsid w:val="006D239F"/>
  </w:style>
  <w:style w:type="numbering" w:customStyle="1" w:styleId="Sinlista2101">
    <w:name w:val="Sin lista2101"/>
    <w:next w:val="Sinlista"/>
    <w:semiHidden/>
    <w:unhideWhenUsed/>
    <w:rsid w:val="006D239F"/>
  </w:style>
  <w:style w:type="table" w:customStyle="1" w:styleId="Tablabsica114">
    <w:name w:val="Tabla básica 114"/>
    <w:basedOn w:val="Tablanormal"/>
    <w:next w:val="Tablabsica1"/>
    <w:rsid w:val="006D239F"/>
    <w:rPr>
      <w:rFonts w:eastAsia="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01">
    <w:name w:val="Sin lista11101"/>
    <w:next w:val="Sinlista"/>
    <w:semiHidden/>
    <w:rsid w:val="006D239F"/>
  </w:style>
  <w:style w:type="table" w:customStyle="1" w:styleId="Tablaconcuadrcula111010">
    <w:name w:val="Tabla con cuadrícula111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310">
    <w:name w:val="Tabla con cuadrícula 133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4">
    <w:name w:val="Tabla con cuadrícula1902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4">
    <w:name w:val="Tabla con cuadrícula293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02">
    <w:name w:val="Tabla con cuadrícula6102"/>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01">
    <w:name w:val="Sin lista3101"/>
    <w:next w:val="Sinlista"/>
    <w:semiHidden/>
    <w:unhideWhenUsed/>
    <w:rsid w:val="006D239F"/>
  </w:style>
  <w:style w:type="table" w:customStyle="1" w:styleId="Tablaconcuadrcula18214">
    <w:name w:val="Tabla con cuadrícula182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31">
    <w:name w:val="Tabla con cuadrícula51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01">
    <w:name w:val="Sin lista4101"/>
    <w:next w:val="Sinlista"/>
    <w:semiHidden/>
    <w:rsid w:val="006D239F"/>
  </w:style>
  <w:style w:type="numbering" w:customStyle="1" w:styleId="Sinlista5101">
    <w:name w:val="Sin lista5101"/>
    <w:next w:val="Sinlista"/>
    <w:semiHidden/>
    <w:unhideWhenUsed/>
    <w:rsid w:val="006D239F"/>
  </w:style>
  <w:style w:type="numbering" w:customStyle="1" w:styleId="Sinlista12101">
    <w:name w:val="Sin lista12101"/>
    <w:next w:val="Sinlista"/>
    <w:semiHidden/>
    <w:rsid w:val="006D239F"/>
  </w:style>
  <w:style w:type="numbering" w:customStyle="1" w:styleId="Sinlista6101">
    <w:name w:val="Sin lista6101"/>
    <w:next w:val="Sinlista"/>
    <w:semiHidden/>
    <w:unhideWhenUsed/>
    <w:rsid w:val="006D239F"/>
  </w:style>
  <w:style w:type="numbering" w:customStyle="1" w:styleId="Sinlista7101">
    <w:name w:val="Sin lista7101"/>
    <w:next w:val="Sinlista"/>
    <w:semiHidden/>
    <w:unhideWhenUsed/>
    <w:rsid w:val="006D239F"/>
  </w:style>
  <w:style w:type="table" w:customStyle="1" w:styleId="Tablaconcuadrcula121010">
    <w:name w:val="Tabla con cuadrícula121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01">
    <w:name w:val="Sin lista8101"/>
    <w:next w:val="Sinlista"/>
    <w:semiHidden/>
    <w:unhideWhenUsed/>
    <w:rsid w:val="006D239F"/>
  </w:style>
  <w:style w:type="numbering" w:customStyle="1" w:styleId="Sinlista9101">
    <w:name w:val="Sin lista9101"/>
    <w:next w:val="Sinlista"/>
    <w:semiHidden/>
    <w:rsid w:val="006D239F"/>
  </w:style>
  <w:style w:type="numbering" w:customStyle="1" w:styleId="Sinlista10101">
    <w:name w:val="Sin lista10101"/>
    <w:next w:val="Sinlista"/>
    <w:semiHidden/>
    <w:unhideWhenUsed/>
    <w:rsid w:val="006D239F"/>
  </w:style>
  <w:style w:type="numbering" w:customStyle="1" w:styleId="Sinlista13101">
    <w:name w:val="Sin lista13101"/>
    <w:next w:val="Sinlista"/>
    <w:semiHidden/>
    <w:rsid w:val="006D239F"/>
  </w:style>
  <w:style w:type="table" w:customStyle="1" w:styleId="Tablaconcuadrcula5214">
    <w:name w:val="Tabla con cuadrícula52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01">
    <w:name w:val="Tabla con cuadrícula15101"/>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01">
    <w:name w:val="Sin lista14101"/>
    <w:next w:val="Sinlista"/>
    <w:semiHidden/>
    <w:rsid w:val="006D239F"/>
  </w:style>
  <w:style w:type="numbering" w:customStyle="1" w:styleId="Sinlista1581">
    <w:name w:val="Sin lista1581"/>
    <w:next w:val="Sinlista"/>
    <w:semiHidden/>
    <w:rsid w:val="006D239F"/>
  </w:style>
  <w:style w:type="numbering" w:customStyle="1" w:styleId="Sinlista1614">
    <w:name w:val="Sin lista1614"/>
    <w:next w:val="Sinlista"/>
    <w:semiHidden/>
    <w:rsid w:val="006D239F"/>
  </w:style>
  <w:style w:type="table" w:customStyle="1" w:styleId="Tablaconcuadrcula19101">
    <w:name w:val="Tabla con cuadrícula19101"/>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4">
    <w:name w:val="Sin lista1714"/>
    <w:next w:val="Sinlista"/>
    <w:semiHidden/>
    <w:rsid w:val="006D239F"/>
  </w:style>
  <w:style w:type="numbering" w:customStyle="1" w:styleId="Sinlista1814">
    <w:name w:val="Sin lista1814"/>
    <w:next w:val="Sinlista"/>
    <w:semiHidden/>
    <w:rsid w:val="006D239F"/>
  </w:style>
  <w:style w:type="table" w:customStyle="1" w:styleId="Tablaconcuadrcula11021">
    <w:name w:val="Tabla con cuadrícula110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5">
    <w:name w:val="1 / 1.1 / 1.1.115"/>
    <w:basedOn w:val="Sinlista"/>
    <w:next w:val="111111"/>
    <w:rsid w:val="006D239F"/>
  </w:style>
  <w:style w:type="numbering" w:customStyle="1" w:styleId="Sinlista1914">
    <w:name w:val="Sin lista1914"/>
    <w:next w:val="Sinlista"/>
    <w:semiHidden/>
    <w:unhideWhenUsed/>
    <w:rsid w:val="006D239F"/>
  </w:style>
  <w:style w:type="table" w:customStyle="1" w:styleId="Tablaconcuadrcula20714">
    <w:name w:val="Tabla con cuadrícula207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3">
    <w:name w:val="1 / 1.1 / 1.1.1113"/>
    <w:basedOn w:val="Sinlista"/>
    <w:next w:val="111111"/>
    <w:rsid w:val="006D239F"/>
  </w:style>
  <w:style w:type="table" w:customStyle="1" w:styleId="Tablaconcuadrcula25101">
    <w:name w:val="Tabla con cuadrícula25101"/>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01">
    <w:name w:val="Tabla con cuadrícula26101"/>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014">
    <w:name w:val="Sin lista2014"/>
    <w:next w:val="Sinlista"/>
    <w:semiHidden/>
    <w:rsid w:val="006D239F"/>
  </w:style>
  <w:style w:type="table" w:customStyle="1" w:styleId="Tablaconcuadrcula27101">
    <w:name w:val="Tabla con cuadrícula2710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11">
    <w:name w:val="Tabla con cuadrícula160111"/>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14">
    <w:name w:val="Tabla con cuadrícula21114"/>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14">
    <w:name w:val="Tabla con cuadrícula22114"/>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14">
    <w:name w:val="Tabla con cuadrícula23114"/>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14">
    <w:name w:val="Sin lista11014"/>
    <w:next w:val="Sinlista"/>
    <w:semiHidden/>
    <w:unhideWhenUsed/>
    <w:rsid w:val="006D239F"/>
  </w:style>
  <w:style w:type="numbering" w:customStyle="1" w:styleId="Sinlista2114">
    <w:name w:val="Sin lista2114"/>
    <w:next w:val="Sinlista"/>
    <w:semiHidden/>
    <w:unhideWhenUsed/>
    <w:rsid w:val="006D239F"/>
  </w:style>
  <w:style w:type="table" w:customStyle="1" w:styleId="Tablabsica1111">
    <w:name w:val="Tabla básica 1111"/>
    <w:basedOn w:val="Tablanormal"/>
    <w:next w:val="Tablabsica1"/>
    <w:rsid w:val="006D239F"/>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111">
    <w:name w:val="Sin lista111111"/>
    <w:next w:val="Sinlista"/>
    <w:semiHidden/>
    <w:rsid w:val="006D239F"/>
  </w:style>
  <w:style w:type="table" w:customStyle="1" w:styleId="Tablaconcuadrcula11114">
    <w:name w:val="Tabla con cuadrícula1111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011">
    <w:name w:val="Tabla con cuadrícula 11101"/>
    <w:basedOn w:val="Tablanormal"/>
    <w:next w:val="Tablaconcuadrcula10"/>
    <w:rsid w:val="006D239F"/>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11">
    <w:name w:val="Tabla con cuadrícula1902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11">
    <w:name w:val="Tabla con cuadrícula2931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4">
    <w:name w:val="Tabla con cuadrícula6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14">
    <w:name w:val="Sin lista3114"/>
    <w:next w:val="Sinlista"/>
    <w:semiHidden/>
    <w:unhideWhenUsed/>
    <w:rsid w:val="006D239F"/>
  </w:style>
  <w:style w:type="table" w:customStyle="1" w:styleId="Tablaconcuadrcula182111">
    <w:name w:val="Tabla con cuadrícula1821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14">
    <w:name w:val="Tabla con cuadrícula5111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14">
    <w:name w:val="Sin lista4114"/>
    <w:next w:val="Sinlista"/>
    <w:semiHidden/>
    <w:rsid w:val="006D239F"/>
  </w:style>
  <w:style w:type="numbering" w:customStyle="1" w:styleId="Sinlista5114">
    <w:name w:val="Sin lista5114"/>
    <w:next w:val="Sinlista"/>
    <w:semiHidden/>
    <w:unhideWhenUsed/>
    <w:rsid w:val="006D239F"/>
  </w:style>
  <w:style w:type="numbering" w:customStyle="1" w:styleId="Sinlista12114">
    <w:name w:val="Sin lista12114"/>
    <w:next w:val="Sinlista"/>
    <w:semiHidden/>
    <w:rsid w:val="006D239F"/>
  </w:style>
  <w:style w:type="numbering" w:customStyle="1" w:styleId="Sinlista6114">
    <w:name w:val="Sin lista6114"/>
    <w:next w:val="Sinlista"/>
    <w:semiHidden/>
    <w:unhideWhenUsed/>
    <w:rsid w:val="006D239F"/>
  </w:style>
  <w:style w:type="numbering" w:customStyle="1" w:styleId="Sinlista7114">
    <w:name w:val="Sin lista7114"/>
    <w:next w:val="Sinlista"/>
    <w:semiHidden/>
    <w:unhideWhenUsed/>
    <w:rsid w:val="006D239F"/>
  </w:style>
  <w:style w:type="table" w:customStyle="1" w:styleId="Tablaconcuadrcula12114">
    <w:name w:val="Tabla con cuadrícula1211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14">
    <w:name w:val="Sin lista8114"/>
    <w:next w:val="Sinlista"/>
    <w:semiHidden/>
    <w:unhideWhenUsed/>
    <w:rsid w:val="006D239F"/>
  </w:style>
  <w:style w:type="numbering" w:customStyle="1" w:styleId="Sinlista9114">
    <w:name w:val="Sin lista9114"/>
    <w:next w:val="Sinlista"/>
    <w:semiHidden/>
    <w:rsid w:val="006D239F"/>
  </w:style>
  <w:style w:type="numbering" w:customStyle="1" w:styleId="Sinlista10114">
    <w:name w:val="Sin lista10114"/>
    <w:next w:val="Sinlista"/>
    <w:semiHidden/>
    <w:unhideWhenUsed/>
    <w:rsid w:val="006D239F"/>
  </w:style>
  <w:style w:type="numbering" w:customStyle="1" w:styleId="Sinlista13114">
    <w:name w:val="Sin lista13114"/>
    <w:next w:val="Sinlista"/>
    <w:semiHidden/>
    <w:rsid w:val="006D239F"/>
  </w:style>
  <w:style w:type="table" w:customStyle="1" w:styleId="Tablaconcuadrcula52111">
    <w:name w:val="Tabla con cuadrícula521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14">
    <w:name w:val="Tabla con cuadrícula15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14">
    <w:name w:val="Sin lista14114"/>
    <w:next w:val="Sinlista"/>
    <w:semiHidden/>
    <w:rsid w:val="006D239F"/>
  </w:style>
  <w:style w:type="numbering" w:customStyle="1" w:styleId="Sinlista15114">
    <w:name w:val="Sin lista15114"/>
    <w:next w:val="Sinlista"/>
    <w:semiHidden/>
    <w:rsid w:val="006D239F"/>
  </w:style>
  <w:style w:type="numbering" w:customStyle="1" w:styleId="Sinlista16111">
    <w:name w:val="Sin lista16111"/>
    <w:next w:val="Sinlista"/>
    <w:semiHidden/>
    <w:rsid w:val="006D239F"/>
  </w:style>
  <w:style w:type="table" w:customStyle="1" w:styleId="Tablaconcuadrcula19114">
    <w:name w:val="Tabla con cuadrícula19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11">
    <w:name w:val="Sin lista17111"/>
    <w:next w:val="Sinlista"/>
    <w:semiHidden/>
    <w:rsid w:val="006D239F"/>
  </w:style>
  <w:style w:type="numbering" w:customStyle="1" w:styleId="Sinlista18111">
    <w:name w:val="Sin lista18111"/>
    <w:next w:val="Sinlista"/>
    <w:semiHidden/>
    <w:rsid w:val="006D239F"/>
  </w:style>
  <w:style w:type="numbering" w:customStyle="1" w:styleId="11111124">
    <w:name w:val="1 / 1.1 / 1.1.124"/>
    <w:basedOn w:val="Sinlista"/>
    <w:next w:val="111111"/>
    <w:rsid w:val="006D239F"/>
    <w:pPr>
      <w:numPr>
        <w:numId w:val="13"/>
      </w:numPr>
    </w:pPr>
  </w:style>
  <w:style w:type="numbering" w:customStyle="1" w:styleId="Sinlista19111">
    <w:name w:val="Sin lista19111"/>
    <w:next w:val="Sinlista"/>
    <w:semiHidden/>
    <w:unhideWhenUsed/>
    <w:rsid w:val="006D239F"/>
  </w:style>
  <w:style w:type="table" w:customStyle="1" w:styleId="Tablaconcuadrcula207111">
    <w:name w:val="Tabla con cuadrícula2071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14">
    <w:name w:val="Tabla con cuadrícula25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14">
    <w:name w:val="Tabla con cuadrícula26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14">
    <w:name w:val="Tabla con cuadrícula27114"/>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11">
    <w:name w:val="Sin lista20111"/>
    <w:next w:val="Sinlista"/>
    <w:semiHidden/>
    <w:rsid w:val="006D239F"/>
  </w:style>
  <w:style w:type="numbering" w:customStyle="1" w:styleId="Sinlista21111">
    <w:name w:val="Sin lista21111"/>
    <w:next w:val="Sinlista"/>
    <w:semiHidden/>
    <w:rsid w:val="006D239F"/>
  </w:style>
  <w:style w:type="numbering" w:customStyle="1" w:styleId="Sinlista2211">
    <w:name w:val="Sin lista2211"/>
    <w:next w:val="Sinlista"/>
    <w:semiHidden/>
    <w:rsid w:val="006D239F"/>
  </w:style>
  <w:style w:type="numbering" w:customStyle="1" w:styleId="Sinlista2311">
    <w:name w:val="Sin lista2311"/>
    <w:next w:val="Sinlista"/>
    <w:semiHidden/>
    <w:rsid w:val="006D239F"/>
  </w:style>
  <w:style w:type="numbering" w:customStyle="1" w:styleId="Sinlista2411">
    <w:name w:val="Sin lista2411"/>
    <w:next w:val="Sinlista"/>
    <w:semiHidden/>
    <w:rsid w:val="006D239F"/>
  </w:style>
  <w:style w:type="numbering" w:customStyle="1" w:styleId="Sinlista2511">
    <w:name w:val="Sin lista2511"/>
    <w:next w:val="Sinlista"/>
    <w:semiHidden/>
    <w:rsid w:val="006D239F"/>
  </w:style>
  <w:style w:type="numbering" w:customStyle="1" w:styleId="Sinlista2611">
    <w:name w:val="Sin lista2611"/>
    <w:next w:val="Sinlista"/>
    <w:semiHidden/>
    <w:rsid w:val="006D239F"/>
  </w:style>
  <w:style w:type="numbering" w:customStyle="1" w:styleId="Sinlista2711">
    <w:name w:val="Sin lista2711"/>
    <w:next w:val="Sinlista"/>
    <w:semiHidden/>
    <w:rsid w:val="006D239F"/>
  </w:style>
  <w:style w:type="numbering" w:customStyle="1" w:styleId="Sinlista2811">
    <w:name w:val="Sin lista2811"/>
    <w:next w:val="Sinlista"/>
    <w:semiHidden/>
    <w:rsid w:val="006D239F"/>
  </w:style>
  <w:style w:type="numbering" w:customStyle="1" w:styleId="Sinlista2911">
    <w:name w:val="Sin lista2911"/>
    <w:next w:val="Sinlista"/>
    <w:semiHidden/>
    <w:rsid w:val="006D239F"/>
  </w:style>
  <w:style w:type="numbering" w:customStyle="1" w:styleId="Sinlista3011">
    <w:name w:val="Sin lista3011"/>
    <w:next w:val="Sinlista"/>
    <w:semiHidden/>
    <w:rsid w:val="006D239F"/>
  </w:style>
  <w:style w:type="numbering" w:customStyle="1" w:styleId="Sinlista31111">
    <w:name w:val="Sin lista31111"/>
    <w:next w:val="Sinlista"/>
    <w:semiHidden/>
    <w:rsid w:val="006D239F"/>
  </w:style>
  <w:style w:type="table" w:customStyle="1" w:styleId="Tablaconcuadrcula61111">
    <w:name w:val="Tabla con cuadrícula6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11">
    <w:name w:val="Sin lista3211"/>
    <w:next w:val="Sinlista"/>
    <w:semiHidden/>
    <w:rsid w:val="006D239F"/>
  </w:style>
  <w:style w:type="numbering" w:customStyle="1" w:styleId="Sinlista3311">
    <w:name w:val="Sin lista3311"/>
    <w:next w:val="Sinlista"/>
    <w:semiHidden/>
    <w:unhideWhenUsed/>
    <w:rsid w:val="006D239F"/>
  </w:style>
  <w:style w:type="numbering" w:customStyle="1" w:styleId="Sinlista3411">
    <w:name w:val="Sin lista3411"/>
    <w:next w:val="Sinlista"/>
    <w:semiHidden/>
    <w:rsid w:val="006D239F"/>
  </w:style>
  <w:style w:type="numbering" w:customStyle="1" w:styleId="Sinlista3511">
    <w:name w:val="Sin lista3511"/>
    <w:next w:val="Sinlista"/>
    <w:semiHidden/>
    <w:rsid w:val="006D239F"/>
  </w:style>
  <w:style w:type="numbering" w:customStyle="1" w:styleId="Sinlista3611">
    <w:name w:val="Sin lista3611"/>
    <w:next w:val="Sinlista"/>
    <w:semiHidden/>
    <w:rsid w:val="006D239F"/>
  </w:style>
  <w:style w:type="numbering" w:customStyle="1" w:styleId="Sinlista3711">
    <w:name w:val="Sin lista3711"/>
    <w:next w:val="Sinlista"/>
    <w:semiHidden/>
    <w:rsid w:val="006D239F"/>
  </w:style>
  <w:style w:type="numbering" w:customStyle="1" w:styleId="Sinlista3811">
    <w:name w:val="Sin lista3811"/>
    <w:next w:val="Sinlista"/>
    <w:semiHidden/>
    <w:rsid w:val="006D239F"/>
  </w:style>
  <w:style w:type="numbering" w:customStyle="1" w:styleId="Sinlista3911">
    <w:name w:val="Sin lista3911"/>
    <w:next w:val="Sinlista"/>
    <w:semiHidden/>
    <w:rsid w:val="006D239F"/>
  </w:style>
  <w:style w:type="numbering" w:customStyle="1" w:styleId="Sinlista4011">
    <w:name w:val="Sin lista4011"/>
    <w:next w:val="Sinlista"/>
    <w:semiHidden/>
    <w:rsid w:val="006D239F"/>
  </w:style>
  <w:style w:type="numbering" w:customStyle="1" w:styleId="Sinlista41111">
    <w:name w:val="Sin lista41111"/>
    <w:next w:val="Sinlista"/>
    <w:semiHidden/>
    <w:rsid w:val="006D239F"/>
  </w:style>
  <w:style w:type="numbering" w:customStyle="1" w:styleId="Sinlista4211">
    <w:name w:val="Sin lista4211"/>
    <w:next w:val="Sinlista"/>
    <w:semiHidden/>
    <w:rsid w:val="006D239F"/>
  </w:style>
  <w:style w:type="numbering" w:customStyle="1" w:styleId="Sinlista4311">
    <w:name w:val="Sin lista4311"/>
    <w:next w:val="Sinlista"/>
    <w:semiHidden/>
    <w:rsid w:val="006D239F"/>
  </w:style>
  <w:style w:type="numbering" w:customStyle="1" w:styleId="Sinlista4411">
    <w:name w:val="Sin lista4411"/>
    <w:next w:val="Sinlista"/>
    <w:semiHidden/>
    <w:rsid w:val="006D239F"/>
  </w:style>
  <w:style w:type="numbering" w:customStyle="1" w:styleId="Sinlista4511">
    <w:name w:val="Sin lista4511"/>
    <w:next w:val="Sinlista"/>
    <w:semiHidden/>
    <w:rsid w:val="006D239F"/>
  </w:style>
  <w:style w:type="numbering" w:customStyle="1" w:styleId="Sinlista4611">
    <w:name w:val="Sin lista4611"/>
    <w:next w:val="Sinlista"/>
    <w:semiHidden/>
    <w:rsid w:val="006D239F"/>
  </w:style>
  <w:style w:type="numbering" w:customStyle="1" w:styleId="Sinlista4711">
    <w:name w:val="Sin lista4711"/>
    <w:next w:val="Sinlista"/>
    <w:semiHidden/>
    <w:rsid w:val="006D239F"/>
  </w:style>
  <w:style w:type="numbering" w:customStyle="1" w:styleId="Sinlista4811">
    <w:name w:val="Sin lista4811"/>
    <w:next w:val="Sinlista"/>
    <w:semiHidden/>
    <w:rsid w:val="006D239F"/>
  </w:style>
  <w:style w:type="numbering" w:customStyle="1" w:styleId="Sinlista4911">
    <w:name w:val="Sin lista4911"/>
    <w:next w:val="Sinlista"/>
    <w:semiHidden/>
    <w:rsid w:val="006D239F"/>
  </w:style>
  <w:style w:type="numbering" w:customStyle="1" w:styleId="Sinlista5011">
    <w:name w:val="Sin lista5011"/>
    <w:next w:val="Sinlista"/>
    <w:semiHidden/>
    <w:rsid w:val="006D239F"/>
  </w:style>
  <w:style w:type="numbering" w:customStyle="1" w:styleId="Sinlista51111">
    <w:name w:val="Sin lista51111"/>
    <w:next w:val="Sinlista"/>
    <w:semiHidden/>
    <w:rsid w:val="006D239F"/>
  </w:style>
  <w:style w:type="numbering" w:customStyle="1" w:styleId="Sinlista5211">
    <w:name w:val="Sin lista5211"/>
    <w:next w:val="Sinlista"/>
    <w:semiHidden/>
    <w:rsid w:val="006D239F"/>
  </w:style>
  <w:style w:type="numbering" w:customStyle="1" w:styleId="Sinlista5311">
    <w:name w:val="Sin lista5311"/>
    <w:next w:val="Sinlista"/>
    <w:semiHidden/>
    <w:rsid w:val="006D239F"/>
  </w:style>
  <w:style w:type="numbering" w:customStyle="1" w:styleId="Sinlista5411">
    <w:name w:val="Sin lista5411"/>
    <w:next w:val="Sinlista"/>
    <w:semiHidden/>
    <w:rsid w:val="006D239F"/>
  </w:style>
  <w:style w:type="numbering" w:customStyle="1" w:styleId="Sinlista5511">
    <w:name w:val="Sin lista5511"/>
    <w:next w:val="Sinlista"/>
    <w:semiHidden/>
    <w:rsid w:val="006D239F"/>
  </w:style>
  <w:style w:type="numbering" w:customStyle="1" w:styleId="Sinlista5611">
    <w:name w:val="Sin lista5611"/>
    <w:next w:val="Sinlista"/>
    <w:semiHidden/>
    <w:rsid w:val="006D239F"/>
  </w:style>
  <w:style w:type="numbering" w:customStyle="1" w:styleId="Sinlista5711">
    <w:name w:val="Sin lista5711"/>
    <w:next w:val="Sinlista"/>
    <w:semiHidden/>
    <w:rsid w:val="006D239F"/>
  </w:style>
  <w:style w:type="numbering" w:customStyle="1" w:styleId="Sinlista5811">
    <w:name w:val="Sin lista5811"/>
    <w:next w:val="Sinlista"/>
    <w:semiHidden/>
    <w:rsid w:val="006D239F"/>
  </w:style>
  <w:style w:type="numbering" w:customStyle="1" w:styleId="Sinlista5911">
    <w:name w:val="Sin lista5911"/>
    <w:next w:val="Sinlista"/>
    <w:semiHidden/>
    <w:rsid w:val="006D239F"/>
  </w:style>
  <w:style w:type="table" w:customStyle="1" w:styleId="Tablaconcuadrcula111111">
    <w:name w:val="Tabla con cuadrícula11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11">
    <w:name w:val="Sin lista6011"/>
    <w:next w:val="Sinlista"/>
    <w:semiHidden/>
    <w:rsid w:val="006D239F"/>
  </w:style>
  <w:style w:type="numbering" w:customStyle="1" w:styleId="Sinlista61111">
    <w:name w:val="Sin lista61111"/>
    <w:next w:val="Sinlista"/>
    <w:semiHidden/>
    <w:rsid w:val="006D239F"/>
  </w:style>
  <w:style w:type="numbering" w:customStyle="1" w:styleId="Sinlista6211">
    <w:name w:val="Sin lista6211"/>
    <w:next w:val="Sinlista"/>
    <w:semiHidden/>
    <w:rsid w:val="006D239F"/>
  </w:style>
  <w:style w:type="numbering" w:customStyle="1" w:styleId="Sinlista6311">
    <w:name w:val="Sin lista6311"/>
    <w:next w:val="Sinlista"/>
    <w:semiHidden/>
    <w:rsid w:val="006D239F"/>
  </w:style>
  <w:style w:type="numbering" w:customStyle="1" w:styleId="Sinlista6411">
    <w:name w:val="Sin lista6411"/>
    <w:next w:val="Sinlista"/>
    <w:semiHidden/>
    <w:rsid w:val="006D239F"/>
  </w:style>
  <w:style w:type="numbering" w:customStyle="1" w:styleId="Sinlista6511">
    <w:name w:val="Sin lista6511"/>
    <w:next w:val="Sinlista"/>
    <w:semiHidden/>
    <w:rsid w:val="006D239F"/>
  </w:style>
  <w:style w:type="numbering" w:customStyle="1" w:styleId="Sinlista6611">
    <w:name w:val="Sin lista6611"/>
    <w:next w:val="Sinlista"/>
    <w:semiHidden/>
    <w:rsid w:val="006D239F"/>
  </w:style>
  <w:style w:type="numbering" w:customStyle="1" w:styleId="Sinlista6711">
    <w:name w:val="Sin lista6711"/>
    <w:next w:val="Sinlista"/>
    <w:semiHidden/>
    <w:rsid w:val="006D239F"/>
  </w:style>
  <w:style w:type="numbering" w:customStyle="1" w:styleId="Sinlista6811">
    <w:name w:val="Sin lista6811"/>
    <w:next w:val="Sinlista"/>
    <w:semiHidden/>
    <w:rsid w:val="006D239F"/>
  </w:style>
  <w:style w:type="table" w:customStyle="1" w:styleId="Tablaconcuadrcula121111">
    <w:name w:val="Tabla con cuadrícula12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11">
    <w:name w:val="Sin lista6911"/>
    <w:next w:val="Sinlista"/>
    <w:semiHidden/>
    <w:rsid w:val="006D239F"/>
  </w:style>
  <w:style w:type="numbering" w:customStyle="1" w:styleId="Sinlista7011">
    <w:name w:val="Sin lista7011"/>
    <w:next w:val="Sinlista"/>
    <w:semiHidden/>
    <w:rsid w:val="006D239F"/>
  </w:style>
  <w:style w:type="numbering" w:customStyle="1" w:styleId="Sinlista71111">
    <w:name w:val="Sin lista71111"/>
    <w:next w:val="Sinlista"/>
    <w:semiHidden/>
    <w:rsid w:val="006D239F"/>
  </w:style>
  <w:style w:type="numbering" w:customStyle="1" w:styleId="Sinlista7211">
    <w:name w:val="Sin lista7211"/>
    <w:next w:val="Sinlista"/>
    <w:semiHidden/>
    <w:rsid w:val="006D239F"/>
  </w:style>
  <w:style w:type="numbering" w:customStyle="1" w:styleId="Sinlista7311">
    <w:name w:val="Sin lista7311"/>
    <w:next w:val="Sinlista"/>
    <w:semiHidden/>
    <w:rsid w:val="006D239F"/>
  </w:style>
  <w:style w:type="numbering" w:customStyle="1" w:styleId="Sinlista7411">
    <w:name w:val="Sin lista7411"/>
    <w:next w:val="Sinlista"/>
    <w:semiHidden/>
    <w:rsid w:val="006D239F"/>
  </w:style>
  <w:style w:type="numbering" w:customStyle="1" w:styleId="Sinlista7511">
    <w:name w:val="Sin lista7511"/>
    <w:next w:val="Sinlista"/>
    <w:semiHidden/>
    <w:rsid w:val="006D239F"/>
  </w:style>
  <w:style w:type="numbering" w:customStyle="1" w:styleId="Sinlista7611">
    <w:name w:val="Sin lista7611"/>
    <w:next w:val="Sinlista"/>
    <w:semiHidden/>
    <w:rsid w:val="006D239F"/>
  </w:style>
  <w:style w:type="table" w:customStyle="1" w:styleId="Tablaconcuadrcula511111">
    <w:name w:val="Tabla con cuadrícula51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11">
    <w:name w:val="Sin lista7711"/>
    <w:next w:val="Sinlista"/>
    <w:semiHidden/>
    <w:rsid w:val="006D239F"/>
  </w:style>
  <w:style w:type="table" w:customStyle="1" w:styleId="Tablaconcuadrcula151111">
    <w:name w:val="Tabla con cuadrícula15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11">
    <w:name w:val="Sin lista7811"/>
    <w:next w:val="Sinlista"/>
    <w:semiHidden/>
    <w:rsid w:val="006D239F"/>
  </w:style>
  <w:style w:type="numbering" w:customStyle="1" w:styleId="Sinlista7911">
    <w:name w:val="Sin lista7911"/>
    <w:next w:val="Sinlista"/>
    <w:semiHidden/>
    <w:rsid w:val="006D239F"/>
  </w:style>
  <w:style w:type="numbering" w:customStyle="1" w:styleId="Sinlista8011">
    <w:name w:val="Sin lista8011"/>
    <w:next w:val="Sinlista"/>
    <w:semiHidden/>
    <w:rsid w:val="006D239F"/>
  </w:style>
  <w:style w:type="numbering" w:customStyle="1" w:styleId="Sinlista81111">
    <w:name w:val="Sin lista81111"/>
    <w:next w:val="Sinlista"/>
    <w:semiHidden/>
    <w:rsid w:val="006D239F"/>
  </w:style>
  <w:style w:type="numbering" w:customStyle="1" w:styleId="Sinlista8211">
    <w:name w:val="Sin lista8211"/>
    <w:next w:val="Sinlista"/>
    <w:semiHidden/>
    <w:rsid w:val="006D239F"/>
  </w:style>
  <w:style w:type="numbering" w:customStyle="1" w:styleId="Sinlista8311">
    <w:name w:val="Sin lista8311"/>
    <w:next w:val="Sinlista"/>
    <w:semiHidden/>
    <w:rsid w:val="006D239F"/>
  </w:style>
  <w:style w:type="numbering" w:customStyle="1" w:styleId="Sinlista8411">
    <w:name w:val="Sin lista8411"/>
    <w:next w:val="Sinlista"/>
    <w:semiHidden/>
    <w:rsid w:val="006D239F"/>
  </w:style>
  <w:style w:type="numbering" w:customStyle="1" w:styleId="Sinlista8511">
    <w:name w:val="Sin lista8511"/>
    <w:next w:val="Sinlista"/>
    <w:semiHidden/>
    <w:rsid w:val="006D239F"/>
  </w:style>
  <w:style w:type="numbering" w:customStyle="1" w:styleId="Sinlista8611">
    <w:name w:val="Sin lista8611"/>
    <w:next w:val="Sinlista"/>
    <w:semiHidden/>
    <w:rsid w:val="006D239F"/>
  </w:style>
  <w:style w:type="numbering" w:customStyle="1" w:styleId="Sinlista8711">
    <w:name w:val="Sin lista8711"/>
    <w:next w:val="Sinlista"/>
    <w:semiHidden/>
    <w:rsid w:val="006D239F"/>
  </w:style>
  <w:style w:type="numbering" w:customStyle="1" w:styleId="Sinlista8811">
    <w:name w:val="Sin lista8811"/>
    <w:next w:val="Sinlista"/>
    <w:semiHidden/>
    <w:rsid w:val="006D239F"/>
  </w:style>
  <w:style w:type="numbering" w:customStyle="1" w:styleId="Sinlista8911">
    <w:name w:val="Sin lista8911"/>
    <w:next w:val="Sinlista"/>
    <w:semiHidden/>
    <w:rsid w:val="006D239F"/>
  </w:style>
  <w:style w:type="numbering" w:customStyle="1" w:styleId="Sinlista9011">
    <w:name w:val="Sin lista9011"/>
    <w:next w:val="Sinlista"/>
    <w:semiHidden/>
    <w:rsid w:val="006D239F"/>
  </w:style>
  <w:style w:type="numbering" w:customStyle="1" w:styleId="Sinlista91111">
    <w:name w:val="Sin lista91111"/>
    <w:next w:val="Sinlista"/>
    <w:semiHidden/>
    <w:rsid w:val="006D239F"/>
  </w:style>
  <w:style w:type="numbering" w:customStyle="1" w:styleId="Sinlista9211">
    <w:name w:val="Sin lista9211"/>
    <w:next w:val="Sinlista"/>
    <w:semiHidden/>
    <w:rsid w:val="006D239F"/>
  </w:style>
  <w:style w:type="numbering" w:customStyle="1" w:styleId="Sinlista9311">
    <w:name w:val="Sin lista9311"/>
    <w:next w:val="Sinlista"/>
    <w:semiHidden/>
    <w:rsid w:val="006D239F"/>
  </w:style>
  <w:style w:type="numbering" w:customStyle="1" w:styleId="Sinlista9411">
    <w:name w:val="Sin lista9411"/>
    <w:next w:val="Sinlista"/>
    <w:semiHidden/>
    <w:rsid w:val="006D239F"/>
  </w:style>
  <w:style w:type="numbering" w:customStyle="1" w:styleId="Sinlista9511">
    <w:name w:val="Sin lista9511"/>
    <w:next w:val="Sinlista"/>
    <w:semiHidden/>
    <w:rsid w:val="006D239F"/>
  </w:style>
  <w:style w:type="table" w:customStyle="1" w:styleId="Tablaconcuadrcula1099">
    <w:name w:val="Tabla con cuadrícula1099"/>
    <w:basedOn w:val="Tablanormal"/>
    <w:next w:val="Tablaconcuadrcula"/>
    <w:uiPriority w:val="59"/>
    <w:rsid w:val="0043163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578163">
      <w:bodyDiv w:val="1"/>
      <w:marLeft w:val="0"/>
      <w:marRight w:val="0"/>
      <w:marTop w:val="0"/>
      <w:marBottom w:val="0"/>
      <w:divBdr>
        <w:top w:val="none" w:sz="0" w:space="0" w:color="auto"/>
        <w:left w:val="none" w:sz="0" w:space="0" w:color="auto"/>
        <w:bottom w:val="none" w:sz="0" w:space="0" w:color="auto"/>
        <w:right w:val="none" w:sz="0" w:space="0" w:color="auto"/>
      </w:divBdr>
      <w:divsChild>
        <w:div w:id="973484287">
          <w:marLeft w:val="0"/>
          <w:marRight w:val="0"/>
          <w:marTop w:val="0"/>
          <w:marBottom w:val="0"/>
          <w:divBdr>
            <w:top w:val="none" w:sz="0" w:space="0" w:color="auto"/>
            <w:left w:val="none" w:sz="0" w:space="0" w:color="auto"/>
            <w:bottom w:val="none" w:sz="0" w:space="0" w:color="auto"/>
            <w:right w:val="none" w:sz="0" w:space="0" w:color="auto"/>
          </w:divBdr>
          <w:divsChild>
            <w:div w:id="41564519">
              <w:marLeft w:val="0"/>
              <w:marRight w:val="0"/>
              <w:marTop w:val="0"/>
              <w:marBottom w:val="0"/>
              <w:divBdr>
                <w:top w:val="none" w:sz="0" w:space="0" w:color="auto"/>
                <w:left w:val="none" w:sz="0" w:space="0" w:color="auto"/>
                <w:bottom w:val="none" w:sz="0" w:space="0" w:color="auto"/>
                <w:right w:val="none" w:sz="0" w:space="0" w:color="auto"/>
              </w:divBdr>
            </w:div>
            <w:div w:id="131093760">
              <w:marLeft w:val="0"/>
              <w:marRight w:val="0"/>
              <w:marTop w:val="0"/>
              <w:marBottom w:val="0"/>
              <w:divBdr>
                <w:top w:val="none" w:sz="0" w:space="0" w:color="auto"/>
                <w:left w:val="none" w:sz="0" w:space="0" w:color="auto"/>
                <w:bottom w:val="none" w:sz="0" w:space="0" w:color="auto"/>
                <w:right w:val="none" w:sz="0" w:space="0" w:color="auto"/>
              </w:divBdr>
            </w:div>
            <w:div w:id="189681957">
              <w:marLeft w:val="0"/>
              <w:marRight w:val="0"/>
              <w:marTop w:val="0"/>
              <w:marBottom w:val="0"/>
              <w:divBdr>
                <w:top w:val="none" w:sz="0" w:space="0" w:color="auto"/>
                <w:left w:val="none" w:sz="0" w:space="0" w:color="auto"/>
                <w:bottom w:val="none" w:sz="0" w:space="0" w:color="auto"/>
                <w:right w:val="none" w:sz="0" w:space="0" w:color="auto"/>
              </w:divBdr>
            </w:div>
            <w:div w:id="298731966">
              <w:marLeft w:val="0"/>
              <w:marRight w:val="0"/>
              <w:marTop w:val="0"/>
              <w:marBottom w:val="0"/>
              <w:divBdr>
                <w:top w:val="none" w:sz="0" w:space="0" w:color="auto"/>
                <w:left w:val="none" w:sz="0" w:space="0" w:color="auto"/>
                <w:bottom w:val="none" w:sz="0" w:space="0" w:color="auto"/>
                <w:right w:val="none" w:sz="0" w:space="0" w:color="auto"/>
              </w:divBdr>
            </w:div>
            <w:div w:id="342514959">
              <w:marLeft w:val="0"/>
              <w:marRight w:val="0"/>
              <w:marTop w:val="0"/>
              <w:marBottom w:val="0"/>
              <w:divBdr>
                <w:top w:val="none" w:sz="0" w:space="0" w:color="auto"/>
                <w:left w:val="none" w:sz="0" w:space="0" w:color="auto"/>
                <w:bottom w:val="none" w:sz="0" w:space="0" w:color="auto"/>
                <w:right w:val="none" w:sz="0" w:space="0" w:color="auto"/>
              </w:divBdr>
            </w:div>
            <w:div w:id="370375806">
              <w:marLeft w:val="0"/>
              <w:marRight w:val="0"/>
              <w:marTop w:val="0"/>
              <w:marBottom w:val="0"/>
              <w:divBdr>
                <w:top w:val="none" w:sz="0" w:space="0" w:color="auto"/>
                <w:left w:val="none" w:sz="0" w:space="0" w:color="auto"/>
                <w:bottom w:val="none" w:sz="0" w:space="0" w:color="auto"/>
                <w:right w:val="none" w:sz="0" w:space="0" w:color="auto"/>
              </w:divBdr>
            </w:div>
            <w:div w:id="487936823">
              <w:marLeft w:val="0"/>
              <w:marRight w:val="0"/>
              <w:marTop w:val="0"/>
              <w:marBottom w:val="0"/>
              <w:divBdr>
                <w:top w:val="none" w:sz="0" w:space="0" w:color="auto"/>
                <w:left w:val="none" w:sz="0" w:space="0" w:color="auto"/>
                <w:bottom w:val="none" w:sz="0" w:space="0" w:color="auto"/>
                <w:right w:val="none" w:sz="0" w:space="0" w:color="auto"/>
              </w:divBdr>
            </w:div>
            <w:div w:id="514156643">
              <w:marLeft w:val="0"/>
              <w:marRight w:val="0"/>
              <w:marTop w:val="0"/>
              <w:marBottom w:val="0"/>
              <w:divBdr>
                <w:top w:val="none" w:sz="0" w:space="0" w:color="auto"/>
                <w:left w:val="none" w:sz="0" w:space="0" w:color="auto"/>
                <w:bottom w:val="none" w:sz="0" w:space="0" w:color="auto"/>
                <w:right w:val="none" w:sz="0" w:space="0" w:color="auto"/>
              </w:divBdr>
            </w:div>
            <w:div w:id="554001139">
              <w:marLeft w:val="0"/>
              <w:marRight w:val="0"/>
              <w:marTop w:val="0"/>
              <w:marBottom w:val="0"/>
              <w:divBdr>
                <w:top w:val="none" w:sz="0" w:space="0" w:color="auto"/>
                <w:left w:val="none" w:sz="0" w:space="0" w:color="auto"/>
                <w:bottom w:val="none" w:sz="0" w:space="0" w:color="auto"/>
                <w:right w:val="none" w:sz="0" w:space="0" w:color="auto"/>
              </w:divBdr>
            </w:div>
            <w:div w:id="798961929">
              <w:marLeft w:val="0"/>
              <w:marRight w:val="0"/>
              <w:marTop w:val="0"/>
              <w:marBottom w:val="0"/>
              <w:divBdr>
                <w:top w:val="none" w:sz="0" w:space="0" w:color="auto"/>
                <w:left w:val="none" w:sz="0" w:space="0" w:color="auto"/>
                <w:bottom w:val="none" w:sz="0" w:space="0" w:color="auto"/>
                <w:right w:val="none" w:sz="0" w:space="0" w:color="auto"/>
              </w:divBdr>
            </w:div>
            <w:div w:id="808283219">
              <w:marLeft w:val="0"/>
              <w:marRight w:val="0"/>
              <w:marTop w:val="0"/>
              <w:marBottom w:val="0"/>
              <w:divBdr>
                <w:top w:val="none" w:sz="0" w:space="0" w:color="auto"/>
                <w:left w:val="none" w:sz="0" w:space="0" w:color="auto"/>
                <w:bottom w:val="none" w:sz="0" w:space="0" w:color="auto"/>
                <w:right w:val="none" w:sz="0" w:space="0" w:color="auto"/>
              </w:divBdr>
            </w:div>
            <w:div w:id="820193410">
              <w:marLeft w:val="0"/>
              <w:marRight w:val="0"/>
              <w:marTop w:val="0"/>
              <w:marBottom w:val="0"/>
              <w:divBdr>
                <w:top w:val="none" w:sz="0" w:space="0" w:color="auto"/>
                <w:left w:val="none" w:sz="0" w:space="0" w:color="auto"/>
                <w:bottom w:val="none" w:sz="0" w:space="0" w:color="auto"/>
                <w:right w:val="none" w:sz="0" w:space="0" w:color="auto"/>
              </w:divBdr>
            </w:div>
            <w:div w:id="1017120399">
              <w:marLeft w:val="0"/>
              <w:marRight w:val="0"/>
              <w:marTop w:val="0"/>
              <w:marBottom w:val="0"/>
              <w:divBdr>
                <w:top w:val="none" w:sz="0" w:space="0" w:color="auto"/>
                <w:left w:val="none" w:sz="0" w:space="0" w:color="auto"/>
                <w:bottom w:val="none" w:sz="0" w:space="0" w:color="auto"/>
                <w:right w:val="none" w:sz="0" w:space="0" w:color="auto"/>
              </w:divBdr>
            </w:div>
            <w:div w:id="1038161467">
              <w:marLeft w:val="0"/>
              <w:marRight w:val="0"/>
              <w:marTop w:val="0"/>
              <w:marBottom w:val="0"/>
              <w:divBdr>
                <w:top w:val="none" w:sz="0" w:space="0" w:color="auto"/>
                <w:left w:val="none" w:sz="0" w:space="0" w:color="auto"/>
                <w:bottom w:val="none" w:sz="0" w:space="0" w:color="auto"/>
                <w:right w:val="none" w:sz="0" w:space="0" w:color="auto"/>
              </w:divBdr>
            </w:div>
            <w:div w:id="1087383139">
              <w:marLeft w:val="0"/>
              <w:marRight w:val="0"/>
              <w:marTop w:val="0"/>
              <w:marBottom w:val="0"/>
              <w:divBdr>
                <w:top w:val="none" w:sz="0" w:space="0" w:color="auto"/>
                <w:left w:val="none" w:sz="0" w:space="0" w:color="auto"/>
                <w:bottom w:val="none" w:sz="0" w:space="0" w:color="auto"/>
                <w:right w:val="none" w:sz="0" w:space="0" w:color="auto"/>
              </w:divBdr>
            </w:div>
            <w:div w:id="1314750259">
              <w:marLeft w:val="0"/>
              <w:marRight w:val="0"/>
              <w:marTop w:val="0"/>
              <w:marBottom w:val="0"/>
              <w:divBdr>
                <w:top w:val="none" w:sz="0" w:space="0" w:color="auto"/>
                <w:left w:val="none" w:sz="0" w:space="0" w:color="auto"/>
                <w:bottom w:val="none" w:sz="0" w:space="0" w:color="auto"/>
                <w:right w:val="none" w:sz="0" w:space="0" w:color="auto"/>
              </w:divBdr>
            </w:div>
            <w:div w:id="1421440787">
              <w:marLeft w:val="0"/>
              <w:marRight w:val="0"/>
              <w:marTop w:val="0"/>
              <w:marBottom w:val="0"/>
              <w:divBdr>
                <w:top w:val="none" w:sz="0" w:space="0" w:color="auto"/>
                <w:left w:val="none" w:sz="0" w:space="0" w:color="auto"/>
                <w:bottom w:val="none" w:sz="0" w:space="0" w:color="auto"/>
                <w:right w:val="none" w:sz="0" w:space="0" w:color="auto"/>
              </w:divBdr>
            </w:div>
            <w:div w:id="1503005837">
              <w:marLeft w:val="0"/>
              <w:marRight w:val="0"/>
              <w:marTop w:val="0"/>
              <w:marBottom w:val="0"/>
              <w:divBdr>
                <w:top w:val="none" w:sz="0" w:space="0" w:color="auto"/>
                <w:left w:val="none" w:sz="0" w:space="0" w:color="auto"/>
                <w:bottom w:val="none" w:sz="0" w:space="0" w:color="auto"/>
                <w:right w:val="none" w:sz="0" w:space="0" w:color="auto"/>
              </w:divBdr>
            </w:div>
            <w:div w:id="1658924668">
              <w:marLeft w:val="0"/>
              <w:marRight w:val="0"/>
              <w:marTop w:val="0"/>
              <w:marBottom w:val="0"/>
              <w:divBdr>
                <w:top w:val="none" w:sz="0" w:space="0" w:color="auto"/>
                <w:left w:val="none" w:sz="0" w:space="0" w:color="auto"/>
                <w:bottom w:val="none" w:sz="0" w:space="0" w:color="auto"/>
                <w:right w:val="none" w:sz="0" w:space="0" w:color="auto"/>
              </w:divBdr>
            </w:div>
            <w:div w:id="1813209298">
              <w:marLeft w:val="0"/>
              <w:marRight w:val="0"/>
              <w:marTop w:val="0"/>
              <w:marBottom w:val="0"/>
              <w:divBdr>
                <w:top w:val="none" w:sz="0" w:space="0" w:color="auto"/>
                <w:left w:val="none" w:sz="0" w:space="0" w:color="auto"/>
                <w:bottom w:val="none" w:sz="0" w:space="0" w:color="auto"/>
                <w:right w:val="none" w:sz="0" w:space="0" w:color="auto"/>
              </w:divBdr>
            </w:div>
            <w:div w:id="1875077418">
              <w:marLeft w:val="0"/>
              <w:marRight w:val="0"/>
              <w:marTop w:val="0"/>
              <w:marBottom w:val="0"/>
              <w:divBdr>
                <w:top w:val="none" w:sz="0" w:space="0" w:color="auto"/>
                <w:left w:val="none" w:sz="0" w:space="0" w:color="auto"/>
                <w:bottom w:val="none" w:sz="0" w:space="0" w:color="auto"/>
                <w:right w:val="none" w:sz="0" w:space="0" w:color="auto"/>
              </w:divBdr>
            </w:div>
          </w:divsChild>
        </w:div>
        <w:div w:id="1248881601">
          <w:marLeft w:val="0"/>
          <w:marRight w:val="0"/>
          <w:marTop w:val="0"/>
          <w:marBottom w:val="0"/>
          <w:divBdr>
            <w:top w:val="none" w:sz="0" w:space="0" w:color="auto"/>
            <w:left w:val="none" w:sz="0" w:space="0" w:color="auto"/>
            <w:bottom w:val="none" w:sz="0" w:space="0" w:color="auto"/>
            <w:right w:val="none" w:sz="0" w:space="0" w:color="auto"/>
          </w:divBdr>
          <w:divsChild>
            <w:div w:id="2055887647">
              <w:marLeft w:val="0"/>
              <w:marRight w:val="0"/>
              <w:marTop w:val="0"/>
              <w:marBottom w:val="0"/>
              <w:divBdr>
                <w:top w:val="none" w:sz="0" w:space="0" w:color="auto"/>
                <w:left w:val="none" w:sz="0" w:space="0" w:color="auto"/>
                <w:bottom w:val="none" w:sz="0" w:space="0" w:color="auto"/>
                <w:right w:val="none" w:sz="0" w:space="0" w:color="auto"/>
              </w:divBdr>
              <w:divsChild>
                <w:div w:id="839392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803117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549586">
      <w:bodyDiv w:val="1"/>
      <w:marLeft w:val="0"/>
      <w:marRight w:val="0"/>
      <w:marTop w:val="0"/>
      <w:marBottom w:val="0"/>
      <w:divBdr>
        <w:top w:val="none" w:sz="0" w:space="0" w:color="auto"/>
        <w:left w:val="none" w:sz="0" w:space="0" w:color="auto"/>
        <w:bottom w:val="none" w:sz="0" w:space="0" w:color="auto"/>
        <w:right w:val="none" w:sz="0" w:space="0" w:color="auto"/>
      </w:divBdr>
    </w:div>
    <w:div w:id="16125322">
      <w:bodyDiv w:val="1"/>
      <w:marLeft w:val="0"/>
      <w:marRight w:val="0"/>
      <w:marTop w:val="0"/>
      <w:marBottom w:val="0"/>
      <w:divBdr>
        <w:top w:val="none" w:sz="0" w:space="0" w:color="auto"/>
        <w:left w:val="none" w:sz="0" w:space="0" w:color="auto"/>
        <w:bottom w:val="none" w:sz="0" w:space="0" w:color="auto"/>
        <w:right w:val="none" w:sz="0" w:space="0" w:color="auto"/>
      </w:divBdr>
    </w:div>
    <w:div w:id="26835422">
      <w:bodyDiv w:val="1"/>
      <w:marLeft w:val="0"/>
      <w:marRight w:val="0"/>
      <w:marTop w:val="0"/>
      <w:marBottom w:val="0"/>
      <w:divBdr>
        <w:top w:val="none" w:sz="0" w:space="0" w:color="auto"/>
        <w:left w:val="none" w:sz="0" w:space="0" w:color="auto"/>
        <w:bottom w:val="none" w:sz="0" w:space="0" w:color="auto"/>
        <w:right w:val="none" w:sz="0" w:space="0" w:color="auto"/>
      </w:divBdr>
    </w:div>
    <w:div w:id="37706207">
      <w:bodyDiv w:val="1"/>
      <w:marLeft w:val="0"/>
      <w:marRight w:val="0"/>
      <w:marTop w:val="0"/>
      <w:marBottom w:val="0"/>
      <w:divBdr>
        <w:top w:val="none" w:sz="0" w:space="0" w:color="auto"/>
        <w:left w:val="none" w:sz="0" w:space="0" w:color="auto"/>
        <w:bottom w:val="none" w:sz="0" w:space="0" w:color="auto"/>
        <w:right w:val="none" w:sz="0" w:space="0" w:color="auto"/>
      </w:divBdr>
    </w:div>
    <w:div w:id="39131455">
      <w:bodyDiv w:val="1"/>
      <w:marLeft w:val="0"/>
      <w:marRight w:val="0"/>
      <w:marTop w:val="0"/>
      <w:marBottom w:val="0"/>
      <w:divBdr>
        <w:top w:val="none" w:sz="0" w:space="0" w:color="auto"/>
        <w:left w:val="none" w:sz="0" w:space="0" w:color="auto"/>
        <w:bottom w:val="none" w:sz="0" w:space="0" w:color="auto"/>
        <w:right w:val="none" w:sz="0" w:space="0" w:color="auto"/>
      </w:divBdr>
    </w:div>
    <w:div w:id="70156022">
      <w:bodyDiv w:val="1"/>
      <w:marLeft w:val="0"/>
      <w:marRight w:val="0"/>
      <w:marTop w:val="0"/>
      <w:marBottom w:val="0"/>
      <w:divBdr>
        <w:top w:val="none" w:sz="0" w:space="0" w:color="auto"/>
        <w:left w:val="none" w:sz="0" w:space="0" w:color="auto"/>
        <w:bottom w:val="none" w:sz="0" w:space="0" w:color="auto"/>
        <w:right w:val="none" w:sz="0" w:space="0" w:color="auto"/>
      </w:divBdr>
    </w:div>
    <w:div w:id="71127360">
      <w:bodyDiv w:val="1"/>
      <w:marLeft w:val="0"/>
      <w:marRight w:val="0"/>
      <w:marTop w:val="0"/>
      <w:marBottom w:val="0"/>
      <w:divBdr>
        <w:top w:val="none" w:sz="0" w:space="0" w:color="auto"/>
        <w:left w:val="none" w:sz="0" w:space="0" w:color="auto"/>
        <w:bottom w:val="none" w:sz="0" w:space="0" w:color="auto"/>
        <w:right w:val="none" w:sz="0" w:space="0" w:color="auto"/>
      </w:divBdr>
    </w:div>
    <w:div w:id="75447338">
      <w:bodyDiv w:val="1"/>
      <w:marLeft w:val="0"/>
      <w:marRight w:val="0"/>
      <w:marTop w:val="0"/>
      <w:marBottom w:val="0"/>
      <w:divBdr>
        <w:top w:val="none" w:sz="0" w:space="0" w:color="auto"/>
        <w:left w:val="none" w:sz="0" w:space="0" w:color="auto"/>
        <w:bottom w:val="none" w:sz="0" w:space="0" w:color="auto"/>
        <w:right w:val="none" w:sz="0" w:space="0" w:color="auto"/>
      </w:divBdr>
    </w:div>
    <w:div w:id="78842056">
      <w:bodyDiv w:val="1"/>
      <w:marLeft w:val="0"/>
      <w:marRight w:val="0"/>
      <w:marTop w:val="0"/>
      <w:marBottom w:val="0"/>
      <w:divBdr>
        <w:top w:val="none" w:sz="0" w:space="0" w:color="auto"/>
        <w:left w:val="none" w:sz="0" w:space="0" w:color="auto"/>
        <w:bottom w:val="none" w:sz="0" w:space="0" w:color="auto"/>
        <w:right w:val="none" w:sz="0" w:space="0" w:color="auto"/>
      </w:divBdr>
    </w:div>
    <w:div w:id="88083276">
      <w:bodyDiv w:val="1"/>
      <w:marLeft w:val="0"/>
      <w:marRight w:val="0"/>
      <w:marTop w:val="0"/>
      <w:marBottom w:val="0"/>
      <w:divBdr>
        <w:top w:val="none" w:sz="0" w:space="0" w:color="auto"/>
        <w:left w:val="none" w:sz="0" w:space="0" w:color="auto"/>
        <w:bottom w:val="none" w:sz="0" w:space="0" w:color="auto"/>
        <w:right w:val="none" w:sz="0" w:space="0" w:color="auto"/>
      </w:divBdr>
    </w:div>
    <w:div w:id="116723441">
      <w:bodyDiv w:val="1"/>
      <w:marLeft w:val="0"/>
      <w:marRight w:val="0"/>
      <w:marTop w:val="0"/>
      <w:marBottom w:val="0"/>
      <w:divBdr>
        <w:top w:val="none" w:sz="0" w:space="0" w:color="auto"/>
        <w:left w:val="none" w:sz="0" w:space="0" w:color="auto"/>
        <w:bottom w:val="none" w:sz="0" w:space="0" w:color="auto"/>
        <w:right w:val="none" w:sz="0" w:space="0" w:color="auto"/>
      </w:divBdr>
    </w:div>
    <w:div w:id="132410450">
      <w:bodyDiv w:val="1"/>
      <w:marLeft w:val="0"/>
      <w:marRight w:val="0"/>
      <w:marTop w:val="0"/>
      <w:marBottom w:val="0"/>
      <w:divBdr>
        <w:top w:val="none" w:sz="0" w:space="0" w:color="auto"/>
        <w:left w:val="none" w:sz="0" w:space="0" w:color="auto"/>
        <w:bottom w:val="none" w:sz="0" w:space="0" w:color="auto"/>
        <w:right w:val="none" w:sz="0" w:space="0" w:color="auto"/>
      </w:divBdr>
      <w:divsChild>
        <w:div w:id="1051802174">
          <w:marLeft w:val="0"/>
          <w:marRight w:val="0"/>
          <w:marTop w:val="0"/>
          <w:marBottom w:val="0"/>
          <w:divBdr>
            <w:top w:val="none" w:sz="0" w:space="0" w:color="auto"/>
            <w:left w:val="none" w:sz="0" w:space="0" w:color="auto"/>
            <w:bottom w:val="none" w:sz="0" w:space="0" w:color="auto"/>
            <w:right w:val="none" w:sz="0" w:space="0" w:color="auto"/>
          </w:divBdr>
          <w:divsChild>
            <w:div w:id="432820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71766">
      <w:bodyDiv w:val="1"/>
      <w:marLeft w:val="0"/>
      <w:marRight w:val="0"/>
      <w:marTop w:val="0"/>
      <w:marBottom w:val="0"/>
      <w:divBdr>
        <w:top w:val="none" w:sz="0" w:space="0" w:color="auto"/>
        <w:left w:val="none" w:sz="0" w:space="0" w:color="auto"/>
        <w:bottom w:val="none" w:sz="0" w:space="0" w:color="auto"/>
        <w:right w:val="none" w:sz="0" w:space="0" w:color="auto"/>
      </w:divBdr>
    </w:div>
    <w:div w:id="135032699">
      <w:bodyDiv w:val="1"/>
      <w:marLeft w:val="0"/>
      <w:marRight w:val="0"/>
      <w:marTop w:val="0"/>
      <w:marBottom w:val="0"/>
      <w:divBdr>
        <w:top w:val="none" w:sz="0" w:space="0" w:color="auto"/>
        <w:left w:val="none" w:sz="0" w:space="0" w:color="auto"/>
        <w:bottom w:val="none" w:sz="0" w:space="0" w:color="auto"/>
        <w:right w:val="none" w:sz="0" w:space="0" w:color="auto"/>
      </w:divBdr>
    </w:div>
    <w:div w:id="186413181">
      <w:bodyDiv w:val="1"/>
      <w:marLeft w:val="0"/>
      <w:marRight w:val="0"/>
      <w:marTop w:val="0"/>
      <w:marBottom w:val="0"/>
      <w:divBdr>
        <w:top w:val="none" w:sz="0" w:space="0" w:color="auto"/>
        <w:left w:val="none" w:sz="0" w:space="0" w:color="auto"/>
        <w:bottom w:val="none" w:sz="0" w:space="0" w:color="auto"/>
        <w:right w:val="none" w:sz="0" w:space="0" w:color="auto"/>
      </w:divBdr>
    </w:div>
    <w:div w:id="208222800">
      <w:bodyDiv w:val="1"/>
      <w:marLeft w:val="0"/>
      <w:marRight w:val="0"/>
      <w:marTop w:val="0"/>
      <w:marBottom w:val="0"/>
      <w:divBdr>
        <w:top w:val="none" w:sz="0" w:space="0" w:color="auto"/>
        <w:left w:val="none" w:sz="0" w:space="0" w:color="auto"/>
        <w:bottom w:val="none" w:sz="0" w:space="0" w:color="auto"/>
        <w:right w:val="none" w:sz="0" w:space="0" w:color="auto"/>
      </w:divBdr>
    </w:div>
    <w:div w:id="210657560">
      <w:bodyDiv w:val="1"/>
      <w:marLeft w:val="0"/>
      <w:marRight w:val="0"/>
      <w:marTop w:val="0"/>
      <w:marBottom w:val="0"/>
      <w:divBdr>
        <w:top w:val="none" w:sz="0" w:space="0" w:color="auto"/>
        <w:left w:val="none" w:sz="0" w:space="0" w:color="auto"/>
        <w:bottom w:val="none" w:sz="0" w:space="0" w:color="auto"/>
        <w:right w:val="none" w:sz="0" w:space="0" w:color="auto"/>
      </w:divBdr>
    </w:div>
    <w:div w:id="243076595">
      <w:bodyDiv w:val="1"/>
      <w:marLeft w:val="0"/>
      <w:marRight w:val="0"/>
      <w:marTop w:val="0"/>
      <w:marBottom w:val="0"/>
      <w:divBdr>
        <w:top w:val="none" w:sz="0" w:space="0" w:color="auto"/>
        <w:left w:val="none" w:sz="0" w:space="0" w:color="auto"/>
        <w:bottom w:val="none" w:sz="0" w:space="0" w:color="auto"/>
        <w:right w:val="none" w:sz="0" w:space="0" w:color="auto"/>
      </w:divBdr>
    </w:div>
    <w:div w:id="257715608">
      <w:bodyDiv w:val="1"/>
      <w:marLeft w:val="0"/>
      <w:marRight w:val="0"/>
      <w:marTop w:val="0"/>
      <w:marBottom w:val="0"/>
      <w:divBdr>
        <w:top w:val="none" w:sz="0" w:space="0" w:color="auto"/>
        <w:left w:val="none" w:sz="0" w:space="0" w:color="auto"/>
        <w:bottom w:val="none" w:sz="0" w:space="0" w:color="auto"/>
        <w:right w:val="none" w:sz="0" w:space="0" w:color="auto"/>
      </w:divBdr>
    </w:div>
    <w:div w:id="261036803">
      <w:bodyDiv w:val="1"/>
      <w:marLeft w:val="0"/>
      <w:marRight w:val="0"/>
      <w:marTop w:val="0"/>
      <w:marBottom w:val="0"/>
      <w:divBdr>
        <w:top w:val="none" w:sz="0" w:space="0" w:color="auto"/>
        <w:left w:val="none" w:sz="0" w:space="0" w:color="auto"/>
        <w:bottom w:val="none" w:sz="0" w:space="0" w:color="auto"/>
        <w:right w:val="none" w:sz="0" w:space="0" w:color="auto"/>
      </w:divBdr>
    </w:div>
    <w:div w:id="265432974">
      <w:bodyDiv w:val="1"/>
      <w:marLeft w:val="0"/>
      <w:marRight w:val="0"/>
      <w:marTop w:val="0"/>
      <w:marBottom w:val="0"/>
      <w:divBdr>
        <w:top w:val="none" w:sz="0" w:space="0" w:color="auto"/>
        <w:left w:val="none" w:sz="0" w:space="0" w:color="auto"/>
        <w:bottom w:val="none" w:sz="0" w:space="0" w:color="auto"/>
        <w:right w:val="none" w:sz="0" w:space="0" w:color="auto"/>
      </w:divBdr>
    </w:div>
    <w:div w:id="289820912">
      <w:bodyDiv w:val="1"/>
      <w:marLeft w:val="0"/>
      <w:marRight w:val="0"/>
      <w:marTop w:val="0"/>
      <w:marBottom w:val="0"/>
      <w:divBdr>
        <w:top w:val="none" w:sz="0" w:space="0" w:color="auto"/>
        <w:left w:val="none" w:sz="0" w:space="0" w:color="auto"/>
        <w:bottom w:val="none" w:sz="0" w:space="0" w:color="auto"/>
        <w:right w:val="none" w:sz="0" w:space="0" w:color="auto"/>
      </w:divBdr>
    </w:div>
    <w:div w:id="297498540">
      <w:bodyDiv w:val="1"/>
      <w:marLeft w:val="0"/>
      <w:marRight w:val="0"/>
      <w:marTop w:val="0"/>
      <w:marBottom w:val="0"/>
      <w:divBdr>
        <w:top w:val="none" w:sz="0" w:space="0" w:color="auto"/>
        <w:left w:val="none" w:sz="0" w:space="0" w:color="auto"/>
        <w:bottom w:val="none" w:sz="0" w:space="0" w:color="auto"/>
        <w:right w:val="none" w:sz="0" w:space="0" w:color="auto"/>
      </w:divBdr>
    </w:div>
    <w:div w:id="310789198">
      <w:bodyDiv w:val="1"/>
      <w:marLeft w:val="0"/>
      <w:marRight w:val="0"/>
      <w:marTop w:val="0"/>
      <w:marBottom w:val="0"/>
      <w:divBdr>
        <w:top w:val="none" w:sz="0" w:space="0" w:color="auto"/>
        <w:left w:val="none" w:sz="0" w:space="0" w:color="auto"/>
        <w:bottom w:val="none" w:sz="0" w:space="0" w:color="auto"/>
        <w:right w:val="none" w:sz="0" w:space="0" w:color="auto"/>
      </w:divBdr>
      <w:divsChild>
        <w:div w:id="1543245625">
          <w:marLeft w:val="0"/>
          <w:marRight w:val="0"/>
          <w:marTop w:val="0"/>
          <w:marBottom w:val="0"/>
          <w:divBdr>
            <w:top w:val="none" w:sz="0" w:space="0" w:color="auto"/>
            <w:left w:val="none" w:sz="0" w:space="0" w:color="auto"/>
            <w:bottom w:val="none" w:sz="0" w:space="0" w:color="auto"/>
            <w:right w:val="none" w:sz="0" w:space="0" w:color="auto"/>
          </w:divBdr>
        </w:div>
      </w:divsChild>
    </w:div>
    <w:div w:id="314645297">
      <w:bodyDiv w:val="1"/>
      <w:marLeft w:val="0"/>
      <w:marRight w:val="0"/>
      <w:marTop w:val="0"/>
      <w:marBottom w:val="0"/>
      <w:divBdr>
        <w:top w:val="none" w:sz="0" w:space="0" w:color="auto"/>
        <w:left w:val="none" w:sz="0" w:space="0" w:color="auto"/>
        <w:bottom w:val="none" w:sz="0" w:space="0" w:color="auto"/>
        <w:right w:val="none" w:sz="0" w:space="0" w:color="auto"/>
      </w:divBdr>
    </w:div>
    <w:div w:id="323900449">
      <w:bodyDiv w:val="1"/>
      <w:marLeft w:val="0"/>
      <w:marRight w:val="0"/>
      <w:marTop w:val="0"/>
      <w:marBottom w:val="0"/>
      <w:divBdr>
        <w:top w:val="none" w:sz="0" w:space="0" w:color="auto"/>
        <w:left w:val="none" w:sz="0" w:space="0" w:color="auto"/>
        <w:bottom w:val="none" w:sz="0" w:space="0" w:color="auto"/>
        <w:right w:val="none" w:sz="0" w:space="0" w:color="auto"/>
      </w:divBdr>
    </w:div>
    <w:div w:id="325405431">
      <w:bodyDiv w:val="1"/>
      <w:marLeft w:val="0"/>
      <w:marRight w:val="0"/>
      <w:marTop w:val="0"/>
      <w:marBottom w:val="0"/>
      <w:divBdr>
        <w:top w:val="none" w:sz="0" w:space="0" w:color="auto"/>
        <w:left w:val="none" w:sz="0" w:space="0" w:color="auto"/>
        <w:bottom w:val="none" w:sz="0" w:space="0" w:color="auto"/>
        <w:right w:val="none" w:sz="0" w:space="0" w:color="auto"/>
      </w:divBdr>
    </w:div>
    <w:div w:id="345640035">
      <w:bodyDiv w:val="1"/>
      <w:marLeft w:val="0"/>
      <w:marRight w:val="0"/>
      <w:marTop w:val="0"/>
      <w:marBottom w:val="0"/>
      <w:divBdr>
        <w:top w:val="none" w:sz="0" w:space="0" w:color="auto"/>
        <w:left w:val="none" w:sz="0" w:space="0" w:color="auto"/>
        <w:bottom w:val="none" w:sz="0" w:space="0" w:color="auto"/>
        <w:right w:val="none" w:sz="0" w:space="0" w:color="auto"/>
      </w:divBdr>
    </w:div>
    <w:div w:id="350227336">
      <w:bodyDiv w:val="1"/>
      <w:marLeft w:val="0"/>
      <w:marRight w:val="0"/>
      <w:marTop w:val="0"/>
      <w:marBottom w:val="0"/>
      <w:divBdr>
        <w:top w:val="none" w:sz="0" w:space="0" w:color="auto"/>
        <w:left w:val="none" w:sz="0" w:space="0" w:color="auto"/>
        <w:bottom w:val="none" w:sz="0" w:space="0" w:color="auto"/>
        <w:right w:val="none" w:sz="0" w:space="0" w:color="auto"/>
      </w:divBdr>
    </w:div>
    <w:div w:id="358042697">
      <w:bodyDiv w:val="1"/>
      <w:marLeft w:val="0"/>
      <w:marRight w:val="0"/>
      <w:marTop w:val="0"/>
      <w:marBottom w:val="0"/>
      <w:divBdr>
        <w:top w:val="none" w:sz="0" w:space="0" w:color="auto"/>
        <w:left w:val="none" w:sz="0" w:space="0" w:color="auto"/>
        <w:bottom w:val="none" w:sz="0" w:space="0" w:color="auto"/>
        <w:right w:val="none" w:sz="0" w:space="0" w:color="auto"/>
      </w:divBdr>
      <w:divsChild>
        <w:div w:id="300765877">
          <w:marLeft w:val="0"/>
          <w:marRight w:val="0"/>
          <w:marTop w:val="0"/>
          <w:marBottom w:val="0"/>
          <w:divBdr>
            <w:top w:val="none" w:sz="0" w:space="0" w:color="auto"/>
            <w:left w:val="none" w:sz="0" w:space="0" w:color="auto"/>
            <w:bottom w:val="none" w:sz="0" w:space="0" w:color="auto"/>
            <w:right w:val="none" w:sz="0" w:space="0" w:color="auto"/>
          </w:divBdr>
        </w:div>
      </w:divsChild>
    </w:div>
    <w:div w:id="362436686">
      <w:bodyDiv w:val="1"/>
      <w:marLeft w:val="0"/>
      <w:marRight w:val="0"/>
      <w:marTop w:val="0"/>
      <w:marBottom w:val="0"/>
      <w:divBdr>
        <w:top w:val="none" w:sz="0" w:space="0" w:color="auto"/>
        <w:left w:val="none" w:sz="0" w:space="0" w:color="auto"/>
        <w:bottom w:val="none" w:sz="0" w:space="0" w:color="auto"/>
        <w:right w:val="none" w:sz="0" w:space="0" w:color="auto"/>
      </w:divBdr>
      <w:divsChild>
        <w:div w:id="390469047">
          <w:marLeft w:val="0"/>
          <w:marRight w:val="0"/>
          <w:marTop w:val="0"/>
          <w:marBottom w:val="0"/>
          <w:divBdr>
            <w:top w:val="none" w:sz="0" w:space="0" w:color="auto"/>
            <w:left w:val="none" w:sz="0" w:space="0" w:color="auto"/>
            <w:bottom w:val="none" w:sz="0" w:space="0" w:color="auto"/>
            <w:right w:val="none" w:sz="0" w:space="0" w:color="auto"/>
          </w:divBdr>
          <w:divsChild>
            <w:div w:id="2138135152">
              <w:marLeft w:val="0"/>
              <w:marRight w:val="0"/>
              <w:marTop w:val="0"/>
              <w:marBottom w:val="0"/>
              <w:divBdr>
                <w:top w:val="none" w:sz="0" w:space="0" w:color="auto"/>
                <w:left w:val="none" w:sz="0" w:space="0" w:color="auto"/>
                <w:bottom w:val="none" w:sz="0" w:space="0" w:color="auto"/>
                <w:right w:val="none" w:sz="0" w:space="0" w:color="auto"/>
              </w:divBdr>
              <w:divsChild>
                <w:div w:id="364985148">
                  <w:marLeft w:val="0"/>
                  <w:marRight w:val="0"/>
                  <w:marTop w:val="0"/>
                  <w:marBottom w:val="0"/>
                  <w:divBdr>
                    <w:top w:val="none" w:sz="0" w:space="0" w:color="auto"/>
                    <w:left w:val="none" w:sz="0" w:space="0" w:color="auto"/>
                    <w:bottom w:val="none" w:sz="0" w:space="0" w:color="auto"/>
                    <w:right w:val="none" w:sz="0" w:space="0" w:color="auto"/>
                  </w:divBdr>
                  <w:divsChild>
                    <w:div w:id="361714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8530966">
      <w:bodyDiv w:val="1"/>
      <w:marLeft w:val="0"/>
      <w:marRight w:val="0"/>
      <w:marTop w:val="0"/>
      <w:marBottom w:val="0"/>
      <w:divBdr>
        <w:top w:val="none" w:sz="0" w:space="0" w:color="auto"/>
        <w:left w:val="none" w:sz="0" w:space="0" w:color="auto"/>
        <w:bottom w:val="none" w:sz="0" w:space="0" w:color="auto"/>
        <w:right w:val="none" w:sz="0" w:space="0" w:color="auto"/>
      </w:divBdr>
    </w:div>
    <w:div w:id="385643864">
      <w:bodyDiv w:val="1"/>
      <w:marLeft w:val="0"/>
      <w:marRight w:val="0"/>
      <w:marTop w:val="0"/>
      <w:marBottom w:val="0"/>
      <w:divBdr>
        <w:top w:val="none" w:sz="0" w:space="0" w:color="auto"/>
        <w:left w:val="none" w:sz="0" w:space="0" w:color="auto"/>
        <w:bottom w:val="none" w:sz="0" w:space="0" w:color="auto"/>
        <w:right w:val="none" w:sz="0" w:space="0" w:color="auto"/>
      </w:divBdr>
    </w:div>
    <w:div w:id="400954339">
      <w:bodyDiv w:val="1"/>
      <w:marLeft w:val="0"/>
      <w:marRight w:val="0"/>
      <w:marTop w:val="0"/>
      <w:marBottom w:val="0"/>
      <w:divBdr>
        <w:top w:val="none" w:sz="0" w:space="0" w:color="auto"/>
        <w:left w:val="none" w:sz="0" w:space="0" w:color="auto"/>
        <w:bottom w:val="none" w:sz="0" w:space="0" w:color="auto"/>
        <w:right w:val="none" w:sz="0" w:space="0" w:color="auto"/>
      </w:divBdr>
    </w:div>
    <w:div w:id="402335387">
      <w:bodyDiv w:val="1"/>
      <w:marLeft w:val="0"/>
      <w:marRight w:val="0"/>
      <w:marTop w:val="0"/>
      <w:marBottom w:val="0"/>
      <w:divBdr>
        <w:top w:val="none" w:sz="0" w:space="0" w:color="auto"/>
        <w:left w:val="none" w:sz="0" w:space="0" w:color="auto"/>
        <w:bottom w:val="none" w:sz="0" w:space="0" w:color="auto"/>
        <w:right w:val="none" w:sz="0" w:space="0" w:color="auto"/>
      </w:divBdr>
    </w:div>
    <w:div w:id="406652472">
      <w:bodyDiv w:val="1"/>
      <w:marLeft w:val="0"/>
      <w:marRight w:val="0"/>
      <w:marTop w:val="0"/>
      <w:marBottom w:val="0"/>
      <w:divBdr>
        <w:top w:val="none" w:sz="0" w:space="0" w:color="auto"/>
        <w:left w:val="none" w:sz="0" w:space="0" w:color="auto"/>
        <w:bottom w:val="none" w:sz="0" w:space="0" w:color="auto"/>
        <w:right w:val="none" w:sz="0" w:space="0" w:color="auto"/>
      </w:divBdr>
      <w:divsChild>
        <w:div w:id="1382560635">
          <w:marLeft w:val="0"/>
          <w:marRight w:val="0"/>
          <w:marTop w:val="100"/>
          <w:marBottom w:val="100"/>
          <w:divBdr>
            <w:top w:val="none" w:sz="0" w:space="0" w:color="auto"/>
            <w:left w:val="none" w:sz="0" w:space="0" w:color="auto"/>
            <w:bottom w:val="none" w:sz="0" w:space="0" w:color="auto"/>
            <w:right w:val="none" w:sz="0" w:space="0" w:color="auto"/>
          </w:divBdr>
          <w:divsChild>
            <w:div w:id="651064547">
              <w:marLeft w:val="0"/>
              <w:marRight w:val="0"/>
              <w:marTop w:val="100"/>
              <w:marBottom w:val="100"/>
              <w:divBdr>
                <w:top w:val="none" w:sz="0" w:space="0" w:color="auto"/>
                <w:left w:val="none" w:sz="0" w:space="0" w:color="auto"/>
                <w:bottom w:val="none" w:sz="0" w:space="0" w:color="auto"/>
                <w:right w:val="none" w:sz="0" w:space="0" w:color="auto"/>
              </w:divBdr>
              <w:divsChild>
                <w:div w:id="342904471">
                  <w:marLeft w:val="0"/>
                  <w:marRight w:val="0"/>
                  <w:marTop w:val="0"/>
                  <w:marBottom w:val="0"/>
                  <w:divBdr>
                    <w:top w:val="none" w:sz="0" w:space="0" w:color="auto"/>
                    <w:left w:val="none" w:sz="0" w:space="0" w:color="auto"/>
                    <w:bottom w:val="none" w:sz="0" w:space="0" w:color="auto"/>
                    <w:right w:val="none" w:sz="0" w:space="0" w:color="auto"/>
                  </w:divBdr>
                  <w:divsChild>
                    <w:div w:id="291903216">
                      <w:marLeft w:val="0"/>
                      <w:marRight w:val="0"/>
                      <w:marTop w:val="0"/>
                      <w:marBottom w:val="0"/>
                      <w:divBdr>
                        <w:top w:val="none" w:sz="0" w:space="0" w:color="auto"/>
                        <w:left w:val="none" w:sz="0" w:space="0" w:color="auto"/>
                        <w:bottom w:val="none" w:sz="0" w:space="0" w:color="auto"/>
                        <w:right w:val="none" w:sz="0" w:space="0" w:color="auto"/>
                      </w:divBdr>
                      <w:divsChild>
                        <w:div w:id="2020504654">
                          <w:marLeft w:val="0"/>
                          <w:marRight w:val="0"/>
                          <w:marTop w:val="0"/>
                          <w:marBottom w:val="0"/>
                          <w:divBdr>
                            <w:top w:val="none" w:sz="0" w:space="0" w:color="auto"/>
                            <w:left w:val="none" w:sz="0" w:space="0" w:color="auto"/>
                            <w:bottom w:val="none" w:sz="0" w:space="0" w:color="auto"/>
                            <w:right w:val="none" w:sz="0" w:space="0" w:color="auto"/>
                          </w:divBdr>
                          <w:divsChild>
                            <w:div w:id="814100526">
                              <w:marLeft w:val="69"/>
                              <w:marRight w:val="69"/>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39758501">
      <w:bodyDiv w:val="1"/>
      <w:marLeft w:val="0"/>
      <w:marRight w:val="0"/>
      <w:marTop w:val="0"/>
      <w:marBottom w:val="0"/>
      <w:divBdr>
        <w:top w:val="none" w:sz="0" w:space="0" w:color="auto"/>
        <w:left w:val="none" w:sz="0" w:space="0" w:color="auto"/>
        <w:bottom w:val="none" w:sz="0" w:space="0" w:color="auto"/>
        <w:right w:val="none" w:sz="0" w:space="0" w:color="auto"/>
      </w:divBdr>
    </w:div>
    <w:div w:id="462430730">
      <w:bodyDiv w:val="1"/>
      <w:marLeft w:val="0"/>
      <w:marRight w:val="0"/>
      <w:marTop w:val="0"/>
      <w:marBottom w:val="0"/>
      <w:divBdr>
        <w:top w:val="none" w:sz="0" w:space="0" w:color="auto"/>
        <w:left w:val="none" w:sz="0" w:space="0" w:color="auto"/>
        <w:bottom w:val="none" w:sz="0" w:space="0" w:color="auto"/>
        <w:right w:val="none" w:sz="0" w:space="0" w:color="auto"/>
      </w:divBdr>
    </w:div>
    <w:div w:id="473060068">
      <w:bodyDiv w:val="1"/>
      <w:marLeft w:val="0"/>
      <w:marRight w:val="0"/>
      <w:marTop w:val="0"/>
      <w:marBottom w:val="0"/>
      <w:divBdr>
        <w:top w:val="none" w:sz="0" w:space="0" w:color="auto"/>
        <w:left w:val="none" w:sz="0" w:space="0" w:color="auto"/>
        <w:bottom w:val="none" w:sz="0" w:space="0" w:color="auto"/>
        <w:right w:val="none" w:sz="0" w:space="0" w:color="auto"/>
      </w:divBdr>
      <w:divsChild>
        <w:div w:id="252862431">
          <w:marLeft w:val="0"/>
          <w:marRight w:val="0"/>
          <w:marTop w:val="0"/>
          <w:marBottom w:val="0"/>
          <w:divBdr>
            <w:top w:val="none" w:sz="0" w:space="0" w:color="auto"/>
            <w:left w:val="none" w:sz="0" w:space="0" w:color="auto"/>
            <w:bottom w:val="none" w:sz="0" w:space="0" w:color="auto"/>
            <w:right w:val="none" w:sz="0" w:space="0" w:color="auto"/>
          </w:divBdr>
          <w:divsChild>
            <w:div w:id="1922174117">
              <w:marLeft w:val="0"/>
              <w:marRight w:val="0"/>
              <w:marTop w:val="0"/>
              <w:marBottom w:val="0"/>
              <w:divBdr>
                <w:top w:val="none" w:sz="0" w:space="0" w:color="auto"/>
                <w:left w:val="none" w:sz="0" w:space="0" w:color="auto"/>
                <w:bottom w:val="none" w:sz="0" w:space="0" w:color="auto"/>
                <w:right w:val="none" w:sz="0" w:space="0" w:color="auto"/>
              </w:divBdr>
              <w:divsChild>
                <w:div w:id="206576268">
                  <w:marLeft w:val="0"/>
                  <w:marRight w:val="0"/>
                  <w:marTop w:val="0"/>
                  <w:marBottom w:val="0"/>
                  <w:divBdr>
                    <w:top w:val="none" w:sz="0" w:space="0" w:color="auto"/>
                    <w:left w:val="none" w:sz="0" w:space="0" w:color="auto"/>
                    <w:bottom w:val="none" w:sz="0" w:space="0" w:color="auto"/>
                    <w:right w:val="none" w:sz="0" w:space="0" w:color="auto"/>
                  </w:divBdr>
                  <w:divsChild>
                    <w:div w:id="332489909">
                      <w:marLeft w:val="0"/>
                      <w:marRight w:val="0"/>
                      <w:marTop w:val="0"/>
                      <w:marBottom w:val="0"/>
                      <w:divBdr>
                        <w:top w:val="none" w:sz="0" w:space="0" w:color="auto"/>
                        <w:left w:val="none" w:sz="0" w:space="0" w:color="auto"/>
                        <w:bottom w:val="none" w:sz="0" w:space="0" w:color="auto"/>
                        <w:right w:val="none" w:sz="0" w:space="0" w:color="auto"/>
                      </w:divBdr>
                      <w:divsChild>
                        <w:div w:id="1368719928">
                          <w:marLeft w:val="0"/>
                          <w:marRight w:val="0"/>
                          <w:marTop w:val="0"/>
                          <w:marBottom w:val="0"/>
                          <w:divBdr>
                            <w:top w:val="none" w:sz="0" w:space="0" w:color="auto"/>
                            <w:left w:val="none" w:sz="0" w:space="0" w:color="auto"/>
                            <w:bottom w:val="none" w:sz="0" w:space="0" w:color="auto"/>
                            <w:right w:val="none" w:sz="0" w:space="0" w:color="auto"/>
                          </w:divBdr>
                          <w:divsChild>
                            <w:div w:id="768429050">
                              <w:marLeft w:val="0"/>
                              <w:marRight w:val="0"/>
                              <w:marTop w:val="0"/>
                              <w:marBottom w:val="0"/>
                              <w:divBdr>
                                <w:top w:val="none" w:sz="0" w:space="0" w:color="auto"/>
                                <w:left w:val="none" w:sz="0" w:space="0" w:color="auto"/>
                                <w:bottom w:val="none" w:sz="0" w:space="0" w:color="auto"/>
                                <w:right w:val="none" w:sz="0" w:space="0" w:color="auto"/>
                              </w:divBdr>
                              <w:divsChild>
                                <w:div w:id="1797210848">
                                  <w:marLeft w:val="0"/>
                                  <w:marRight w:val="0"/>
                                  <w:marTop w:val="240"/>
                                  <w:marBottom w:val="240"/>
                                  <w:divBdr>
                                    <w:top w:val="none" w:sz="0" w:space="0" w:color="auto"/>
                                    <w:left w:val="none" w:sz="0" w:space="0" w:color="auto"/>
                                    <w:bottom w:val="none" w:sz="0" w:space="0" w:color="auto"/>
                                    <w:right w:val="none" w:sz="0" w:space="0" w:color="auto"/>
                                  </w:divBdr>
                                  <w:divsChild>
                                    <w:div w:id="260139982">
                                      <w:marLeft w:val="0"/>
                                      <w:marRight w:val="0"/>
                                      <w:marTop w:val="0"/>
                                      <w:marBottom w:val="0"/>
                                      <w:divBdr>
                                        <w:top w:val="none" w:sz="0" w:space="0" w:color="auto"/>
                                        <w:left w:val="none" w:sz="0" w:space="0" w:color="auto"/>
                                        <w:bottom w:val="none" w:sz="0" w:space="0" w:color="auto"/>
                                        <w:right w:val="none" w:sz="0" w:space="0" w:color="auto"/>
                                      </w:divBdr>
                                      <w:divsChild>
                                        <w:div w:id="2111663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28690005">
      <w:bodyDiv w:val="1"/>
      <w:marLeft w:val="0"/>
      <w:marRight w:val="0"/>
      <w:marTop w:val="0"/>
      <w:marBottom w:val="0"/>
      <w:divBdr>
        <w:top w:val="none" w:sz="0" w:space="0" w:color="auto"/>
        <w:left w:val="none" w:sz="0" w:space="0" w:color="auto"/>
        <w:bottom w:val="none" w:sz="0" w:space="0" w:color="auto"/>
        <w:right w:val="none" w:sz="0" w:space="0" w:color="auto"/>
      </w:divBdr>
      <w:divsChild>
        <w:div w:id="607195925">
          <w:marLeft w:val="0"/>
          <w:marRight w:val="0"/>
          <w:marTop w:val="0"/>
          <w:marBottom w:val="0"/>
          <w:divBdr>
            <w:top w:val="none" w:sz="0" w:space="0" w:color="auto"/>
            <w:left w:val="none" w:sz="0" w:space="0" w:color="auto"/>
            <w:bottom w:val="none" w:sz="0" w:space="0" w:color="auto"/>
            <w:right w:val="none" w:sz="0" w:space="0" w:color="auto"/>
          </w:divBdr>
          <w:divsChild>
            <w:div w:id="857813934">
              <w:marLeft w:val="0"/>
              <w:marRight w:val="0"/>
              <w:marTop w:val="0"/>
              <w:marBottom w:val="0"/>
              <w:divBdr>
                <w:top w:val="none" w:sz="0" w:space="0" w:color="auto"/>
                <w:left w:val="none" w:sz="0" w:space="0" w:color="auto"/>
                <w:bottom w:val="none" w:sz="0" w:space="0" w:color="auto"/>
                <w:right w:val="none" w:sz="0" w:space="0" w:color="auto"/>
              </w:divBdr>
              <w:divsChild>
                <w:div w:id="1089499515">
                  <w:marLeft w:val="0"/>
                  <w:marRight w:val="0"/>
                  <w:marTop w:val="0"/>
                  <w:marBottom w:val="0"/>
                  <w:divBdr>
                    <w:top w:val="none" w:sz="0" w:space="0" w:color="auto"/>
                    <w:left w:val="none" w:sz="0" w:space="0" w:color="auto"/>
                    <w:bottom w:val="none" w:sz="0" w:space="0" w:color="auto"/>
                    <w:right w:val="none" w:sz="0" w:space="0" w:color="auto"/>
                  </w:divBdr>
                  <w:divsChild>
                    <w:div w:id="1096054894">
                      <w:marLeft w:val="0"/>
                      <w:marRight w:val="0"/>
                      <w:marTop w:val="0"/>
                      <w:marBottom w:val="0"/>
                      <w:divBdr>
                        <w:top w:val="none" w:sz="0" w:space="0" w:color="auto"/>
                        <w:left w:val="none" w:sz="0" w:space="0" w:color="auto"/>
                        <w:bottom w:val="none" w:sz="0" w:space="0" w:color="auto"/>
                        <w:right w:val="none" w:sz="0" w:space="0" w:color="auto"/>
                      </w:divBdr>
                      <w:divsChild>
                        <w:div w:id="1581526888">
                          <w:marLeft w:val="0"/>
                          <w:marRight w:val="0"/>
                          <w:marTop w:val="0"/>
                          <w:marBottom w:val="0"/>
                          <w:divBdr>
                            <w:top w:val="none" w:sz="0" w:space="0" w:color="auto"/>
                            <w:left w:val="none" w:sz="0" w:space="0" w:color="auto"/>
                            <w:bottom w:val="none" w:sz="0" w:space="0" w:color="auto"/>
                            <w:right w:val="none" w:sz="0" w:space="0" w:color="auto"/>
                          </w:divBdr>
                          <w:divsChild>
                            <w:div w:id="430979382">
                              <w:marLeft w:val="0"/>
                              <w:marRight w:val="0"/>
                              <w:marTop w:val="0"/>
                              <w:marBottom w:val="0"/>
                              <w:divBdr>
                                <w:top w:val="none" w:sz="0" w:space="0" w:color="auto"/>
                                <w:left w:val="none" w:sz="0" w:space="0" w:color="auto"/>
                                <w:bottom w:val="none" w:sz="0" w:space="0" w:color="auto"/>
                                <w:right w:val="none" w:sz="0" w:space="0" w:color="auto"/>
                              </w:divBdr>
                              <w:divsChild>
                                <w:div w:id="99840856">
                                  <w:marLeft w:val="0"/>
                                  <w:marRight w:val="0"/>
                                  <w:marTop w:val="240"/>
                                  <w:marBottom w:val="240"/>
                                  <w:divBdr>
                                    <w:top w:val="none" w:sz="0" w:space="0" w:color="auto"/>
                                    <w:left w:val="none" w:sz="0" w:space="0" w:color="auto"/>
                                    <w:bottom w:val="none" w:sz="0" w:space="0" w:color="auto"/>
                                    <w:right w:val="none" w:sz="0" w:space="0" w:color="auto"/>
                                  </w:divBdr>
                                  <w:divsChild>
                                    <w:div w:id="451636589">
                                      <w:marLeft w:val="0"/>
                                      <w:marRight w:val="0"/>
                                      <w:marTop w:val="0"/>
                                      <w:marBottom w:val="0"/>
                                      <w:divBdr>
                                        <w:top w:val="none" w:sz="0" w:space="0" w:color="auto"/>
                                        <w:left w:val="none" w:sz="0" w:space="0" w:color="auto"/>
                                        <w:bottom w:val="none" w:sz="0" w:space="0" w:color="auto"/>
                                        <w:right w:val="none" w:sz="0" w:space="0" w:color="auto"/>
                                      </w:divBdr>
                                      <w:divsChild>
                                        <w:div w:id="31660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31723268">
      <w:bodyDiv w:val="1"/>
      <w:marLeft w:val="0"/>
      <w:marRight w:val="0"/>
      <w:marTop w:val="0"/>
      <w:marBottom w:val="0"/>
      <w:divBdr>
        <w:top w:val="none" w:sz="0" w:space="0" w:color="auto"/>
        <w:left w:val="none" w:sz="0" w:space="0" w:color="auto"/>
        <w:bottom w:val="none" w:sz="0" w:space="0" w:color="auto"/>
        <w:right w:val="none" w:sz="0" w:space="0" w:color="auto"/>
      </w:divBdr>
    </w:div>
    <w:div w:id="564921703">
      <w:bodyDiv w:val="1"/>
      <w:marLeft w:val="0"/>
      <w:marRight w:val="0"/>
      <w:marTop w:val="0"/>
      <w:marBottom w:val="0"/>
      <w:divBdr>
        <w:top w:val="none" w:sz="0" w:space="0" w:color="auto"/>
        <w:left w:val="none" w:sz="0" w:space="0" w:color="auto"/>
        <w:bottom w:val="none" w:sz="0" w:space="0" w:color="auto"/>
        <w:right w:val="none" w:sz="0" w:space="0" w:color="auto"/>
      </w:divBdr>
    </w:div>
    <w:div w:id="568853260">
      <w:bodyDiv w:val="1"/>
      <w:marLeft w:val="0"/>
      <w:marRight w:val="0"/>
      <w:marTop w:val="0"/>
      <w:marBottom w:val="0"/>
      <w:divBdr>
        <w:top w:val="none" w:sz="0" w:space="0" w:color="auto"/>
        <w:left w:val="none" w:sz="0" w:space="0" w:color="auto"/>
        <w:bottom w:val="none" w:sz="0" w:space="0" w:color="auto"/>
        <w:right w:val="none" w:sz="0" w:space="0" w:color="auto"/>
      </w:divBdr>
    </w:div>
    <w:div w:id="582185202">
      <w:bodyDiv w:val="1"/>
      <w:marLeft w:val="0"/>
      <w:marRight w:val="0"/>
      <w:marTop w:val="0"/>
      <w:marBottom w:val="0"/>
      <w:divBdr>
        <w:top w:val="none" w:sz="0" w:space="0" w:color="auto"/>
        <w:left w:val="none" w:sz="0" w:space="0" w:color="auto"/>
        <w:bottom w:val="none" w:sz="0" w:space="0" w:color="auto"/>
        <w:right w:val="none" w:sz="0" w:space="0" w:color="auto"/>
      </w:divBdr>
    </w:div>
    <w:div w:id="602570632">
      <w:bodyDiv w:val="1"/>
      <w:marLeft w:val="0"/>
      <w:marRight w:val="0"/>
      <w:marTop w:val="0"/>
      <w:marBottom w:val="0"/>
      <w:divBdr>
        <w:top w:val="none" w:sz="0" w:space="0" w:color="auto"/>
        <w:left w:val="none" w:sz="0" w:space="0" w:color="auto"/>
        <w:bottom w:val="none" w:sz="0" w:space="0" w:color="auto"/>
        <w:right w:val="none" w:sz="0" w:space="0" w:color="auto"/>
      </w:divBdr>
    </w:div>
    <w:div w:id="604733115">
      <w:bodyDiv w:val="1"/>
      <w:marLeft w:val="0"/>
      <w:marRight w:val="0"/>
      <w:marTop w:val="0"/>
      <w:marBottom w:val="0"/>
      <w:divBdr>
        <w:top w:val="none" w:sz="0" w:space="0" w:color="auto"/>
        <w:left w:val="none" w:sz="0" w:space="0" w:color="auto"/>
        <w:bottom w:val="none" w:sz="0" w:space="0" w:color="auto"/>
        <w:right w:val="none" w:sz="0" w:space="0" w:color="auto"/>
      </w:divBdr>
    </w:div>
    <w:div w:id="607392862">
      <w:bodyDiv w:val="1"/>
      <w:marLeft w:val="0"/>
      <w:marRight w:val="0"/>
      <w:marTop w:val="0"/>
      <w:marBottom w:val="0"/>
      <w:divBdr>
        <w:top w:val="none" w:sz="0" w:space="0" w:color="auto"/>
        <w:left w:val="none" w:sz="0" w:space="0" w:color="auto"/>
        <w:bottom w:val="none" w:sz="0" w:space="0" w:color="auto"/>
        <w:right w:val="none" w:sz="0" w:space="0" w:color="auto"/>
      </w:divBdr>
      <w:divsChild>
        <w:div w:id="951476585">
          <w:marLeft w:val="0"/>
          <w:marRight w:val="0"/>
          <w:marTop w:val="0"/>
          <w:marBottom w:val="0"/>
          <w:divBdr>
            <w:top w:val="none" w:sz="0" w:space="0" w:color="auto"/>
            <w:left w:val="none" w:sz="0" w:space="0" w:color="auto"/>
            <w:bottom w:val="none" w:sz="0" w:space="0" w:color="auto"/>
            <w:right w:val="none" w:sz="0" w:space="0" w:color="auto"/>
          </w:divBdr>
          <w:divsChild>
            <w:div w:id="1749230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3442643">
      <w:bodyDiv w:val="1"/>
      <w:marLeft w:val="0"/>
      <w:marRight w:val="0"/>
      <w:marTop w:val="0"/>
      <w:marBottom w:val="0"/>
      <w:divBdr>
        <w:top w:val="none" w:sz="0" w:space="0" w:color="auto"/>
        <w:left w:val="none" w:sz="0" w:space="0" w:color="auto"/>
        <w:bottom w:val="none" w:sz="0" w:space="0" w:color="auto"/>
        <w:right w:val="none" w:sz="0" w:space="0" w:color="auto"/>
      </w:divBdr>
    </w:div>
    <w:div w:id="616179716">
      <w:bodyDiv w:val="1"/>
      <w:marLeft w:val="0"/>
      <w:marRight w:val="0"/>
      <w:marTop w:val="0"/>
      <w:marBottom w:val="0"/>
      <w:divBdr>
        <w:top w:val="none" w:sz="0" w:space="0" w:color="auto"/>
        <w:left w:val="none" w:sz="0" w:space="0" w:color="auto"/>
        <w:bottom w:val="none" w:sz="0" w:space="0" w:color="auto"/>
        <w:right w:val="none" w:sz="0" w:space="0" w:color="auto"/>
      </w:divBdr>
    </w:div>
    <w:div w:id="621109644">
      <w:bodyDiv w:val="1"/>
      <w:marLeft w:val="0"/>
      <w:marRight w:val="0"/>
      <w:marTop w:val="0"/>
      <w:marBottom w:val="0"/>
      <w:divBdr>
        <w:top w:val="none" w:sz="0" w:space="0" w:color="auto"/>
        <w:left w:val="none" w:sz="0" w:space="0" w:color="auto"/>
        <w:bottom w:val="none" w:sz="0" w:space="0" w:color="auto"/>
        <w:right w:val="none" w:sz="0" w:space="0" w:color="auto"/>
      </w:divBdr>
      <w:divsChild>
        <w:div w:id="512304231">
          <w:marLeft w:val="0"/>
          <w:marRight w:val="0"/>
          <w:marTop w:val="0"/>
          <w:marBottom w:val="0"/>
          <w:divBdr>
            <w:top w:val="none" w:sz="0" w:space="0" w:color="auto"/>
            <w:left w:val="none" w:sz="0" w:space="0" w:color="auto"/>
            <w:bottom w:val="none" w:sz="0" w:space="0" w:color="auto"/>
            <w:right w:val="none" w:sz="0" w:space="0" w:color="auto"/>
          </w:divBdr>
          <w:divsChild>
            <w:div w:id="805859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8899032">
      <w:bodyDiv w:val="1"/>
      <w:marLeft w:val="0"/>
      <w:marRight w:val="0"/>
      <w:marTop w:val="0"/>
      <w:marBottom w:val="0"/>
      <w:divBdr>
        <w:top w:val="none" w:sz="0" w:space="0" w:color="auto"/>
        <w:left w:val="none" w:sz="0" w:space="0" w:color="auto"/>
        <w:bottom w:val="none" w:sz="0" w:space="0" w:color="auto"/>
        <w:right w:val="none" w:sz="0" w:space="0" w:color="auto"/>
      </w:divBdr>
    </w:div>
    <w:div w:id="671028547">
      <w:bodyDiv w:val="1"/>
      <w:marLeft w:val="0"/>
      <w:marRight w:val="0"/>
      <w:marTop w:val="0"/>
      <w:marBottom w:val="0"/>
      <w:divBdr>
        <w:top w:val="none" w:sz="0" w:space="0" w:color="auto"/>
        <w:left w:val="none" w:sz="0" w:space="0" w:color="auto"/>
        <w:bottom w:val="none" w:sz="0" w:space="0" w:color="auto"/>
        <w:right w:val="none" w:sz="0" w:space="0" w:color="auto"/>
      </w:divBdr>
    </w:div>
    <w:div w:id="682125763">
      <w:bodyDiv w:val="1"/>
      <w:marLeft w:val="0"/>
      <w:marRight w:val="0"/>
      <w:marTop w:val="0"/>
      <w:marBottom w:val="0"/>
      <w:divBdr>
        <w:top w:val="none" w:sz="0" w:space="0" w:color="auto"/>
        <w:left w:val="none" w:sz="0" w:space="0" w:color="auto"/>
        <w:bottom w:val="none" w:sz="0" w:space="0" w:color="auto"/>
        <w:right w:val="none" w:sz="0" w:space="0" w:color="auto"/>
      </w:divBdr>
    </w:div>
    <w:div w:id="690648882">
      <w:bodyDiv w:val="1"/>
      <w:marLeft w:val="0"/>
      <w:marRight w:val="0"/>
      <w:marTop w:val="0"/>
      <w:marBottom w:val="0"/>
      <w:divBdr>
        <w:top w:val="none" w:sz="0" w:space="0" w:color="auto"/>
        <w:left w:val="none" w:sz="0" w:space="0" w:color="auto"/>
        <w:bottom w:val="none" w:sz="0" w:space="0" w:color="auto"/>
        <w:right w:val="none" w:sz="0" w:space="0" w:color="auto"/>
      </w:divBdr>
    </w:div>
    <w:div w:id="704520355">
      <w:bodyDiv w:val="1"/>
      <w:marLeft w:val="0"/>
      <w:marRight w:val="0"/>
      <w:marTop w:val="0"/>
      <w:marBottom w:val="0"/>
      <w:divBdr>
        <w:top w:val="none" w:sz="0" w:space="0" w:color="auto"/>
        <w:left w:val="none" w:sz="0" w:space="0" w:color="auto"/>
        <w:bottom w:val="none" w:sz="0" w:space="0" w:color="auto"/>
        <w:right w:val="none" w:sz="0" w:space="0" w:color="auto"/>
      </w:divBdr>
    </w:div>
    <w:div w:id="710302417">
      <w:bodyDiv w:val="1"/>
      <w:marLeft w:val="0"/>
      <w:marRight w:val="0"/>
      <w:marTop w:val="0"/>
      <w:marBottom w:val="0"/>
      <w:divBdr>
        <w:top w:val="none" w:sz="0" w:space="0" w:color="auto"/>
        <w:left w:val="none" w:sz="0" w:space="0" w:color="auto"/>
        <w:bottom w:val="none" w:sz="0" w:space="0" w:color="auto"/>
        <w:right w:val="none" w:sz="0" w:space="0" w:color="auto"/>
      </w:divBdr>
    </w:div>
    <w:div w:id="714546892">
      <w:bodyDiv w:val="1"/>
      <w:marLeft w:val="0"/>
      <w:marRight w:val="0"/>
      <w:marTop w:val="0"/>
      <w:marBottom w:val="0"/>
      <w:divBdr>
        <w:top w:val="none" w:sz="0" w:space="0" w:color="auto"/>
        <w:left w:val="none" w:sz="0" w:space="0" w:color="auto"/>
        <w:bottom w:val="none" w:sz="0" w:space="0" w:color="auto"/>
        <w:right w:val="none" w:sz="0" w:space="0" w:color="auto"/>
      </w:divBdr>
    </w:div>
    <w:div w:id="733554249">
      <w:bodyDiv w:val="1"/>
      <w:marLeft w:val="0"/>
      <w:marRight w:val="0"/>
      <w:marTop w:val="0"/>
      <w:marBottom w:val="0"/>
      <w:divBdr>
        <w:top w:val="none" w:sz="0" w:space="0" w:color="auto"/>
        <w:left w:val="none" w:sz="0" w:space="0" w:color="auto"/>
        <w:bottom w:val="none" w:sz="0" w:space="0" w:color="auto"/>
        <w:right w:val="none" w:sz="0" w:space="0" w:color="auto"/>
      </w:divBdr>
      <w:divsChild>
        <w:div w:id="621157449">
          <w:marLeft w:val="0"/>
          <w:marRight w:val="0"/>
          <w:marTop w:val="0"/>
          <w:marBottom w:val="0"/>
          <w:divBdr>
            <w:top w:val="none" w:sz="0" w:space="0" w:color="auto"/>
            <w:left w:val="none" w:sz="0" w:space="0" w:color="auto"/>
            <w:bottom w:val="none" w:sz="0" w:space="0" w:color="auto"/>
            <w:right w:val="none" w:sz="0" w:space="0" w:color="auto"/>
          </w:divBdr>
          <w:divsChild>
            <w:div w:id="1301955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1295132">
      <w:bodyDiv w:val="1"/>
      <w:marLeft w:val="0"/>
      <w:marRight w:val="0"/>
      <w:marTop w:val="0"/>
      <w:marBottom w:val="0"/>
      <w:divBdr>
        <w:top w:val="none" w:sz="0" w:space="0" w:color="auto"/>
        <w:left w:val="none" w:sz="0" w:space="0" w:color="auto"/>
        <w:bottom w:val="none" w:sz="0" w:space="0" w:color="auto"/>
        <w:right w:val="none" w:sz="0" w:space="0" w:color="auto"/>
      </w:divBdr>
    </w:div>
    <w:div w:id="745885047">
      <w:bodyDiv w:val="1"/>
      <w:marLeft w:val="0"/>
      <w:marRight w:val="0"/>
      <w:marTop w:val="0"/>
      <w:marBottom w:val="0"/>
      <w:divBdr>
        <w:top w:val="none" w:sz="0" w:space="0" w:color="auto"/>
        <w:left w:val="none" w:sz="0" w:space="0" w:color="auto"/>
        <w:bottom w:val="none" w:sz="0" w:space="0" w:color="auto"/>
        <w:right w:val="none" w:sz="0" w:space="0" w:color="auto"/>
      </w:divBdr>
    </w:div>
    <w:div w:id="770709711">
      <w:bodyDiv w:val="1"/>
      <w:marLeft w:val="0"/>
      <w:marRight w:val="0"/>
      <w:marTop w:val="0"/>
      <w:marBottom w:val="0"/>
      <w:divBdr>
        <w:top w:val="none" w:sz="0" w:space="0" w:color="auto"/>
        <w:left w:val="none" w:sz="0" w:space="0" w:color="auto"/>
        <w:bottom w:val="none" w:sz="0" w:space="0" w:color="auto"/>
        <w:right w:val="none" w:sz="0" w:space="0" w:color="auto"/>
      </w:divBdr>
    </w:div>
    <w:div w:id="778838616">
      <w:bodyDiv w:val="1"/>
      <w:marLeft w:val="0"/>
      <w:marRight w:val="0"/>
      <w:marTop w:val="72"/>
      <w:marBottom w:val="0"/>
      <w:divBdr>
        <w:top w:val="none" w:sz="0" w:space="0" w:color="auto"/>
        <w:left w:val="none" w:sz="0" w:space="0" w:color="auto"/>
        <w:bottom w:val="none" w:sz="0" w:space="0" w:color="auto"/>
        <w:right w:val="none" w:sz="0" w:space="0" w:color="auto"/>
      </w:divBdr>
      <w:divsChild>
        <w:div w:id="822965090">
          <w:marLeft w:val="0"/>
          <w:marRight w:val="0"/>
          <w:marTop w:val="0"/>
          <w:marBottom w:val="0"/>
          <w:divBdr>
            <w:top w:val="none" w:sz="0" w:space="0" w:color="auto"/>
            <w:left w:val="none" w:sz="0" w:space="0" w:color="auto"/>
            <w:bottom w:val="none" w:sz="0" w:space="0" w:color="auto"/>
            <w:right w:val="none" w:sz="0" w:space="0" w:color="auto"/>
          </w:divBdr>
          <w:divsChild>
            <w:div w:id="755171990">
              <w:marLeft w:val="1725"/>
              <w:marRight w:val="0"/>
              <w:marTop w:val="0"/>
              <w:marBottom w:val="0"/>
              <w:divBdr>
                <w:top w:val="none" w:sz="0" w:space="0" w:color="auto"/>
                <w:left w:val="none" w:sz="0" w:space="0" w:color="auto"/>
                <w:bottom w:val="none" w:sz="0" w:space="0" w:color="auto"/>
                <w:right w:val="none" w:sz="0" w:space="0" w:color="auto"/>
              </w:divBdr>
              <w:divsChild>
                <w:div w:id="1450473698">
                  <w:marLeft w:val="120"/>
                  <w:marRight w:val="0"/>
                  <w:marTop w:val="120"/>
                  <w:marBottom w:val="0"/>
                  <w:divBdr>
                    <w:top w:val="none" w:sz="0" w:space="0" w:color="auto"/>
                    <w:left w:val="none" w:sz="0" w:space="0" w:color="auto"/>
                    <w:bottom w:val="none" w:sz="0" w:space="0" w:color="auto"/>
                    <w:right w:val="none" w:sz="0" w:space="0" w:color="auto"/>
                  </w:divBdr>
                  <w:divsChild>
                    <w:div w:id="977803688">
                      <w:marLeft w:val="0"/>
                      <w:marRight w:val="0"/>
                      <w:marTop w:val="0"/>
                      <w:marBottom w:val="0"/>
                      <w:divBdr>
                        <w:top w:val="none" w:sz="0" w:space="0" w:color="auto"/>
                        <w:left w:val="none" w:sz="0" w:space="0" w:color="auto"/>
                        <w:bottom w:val="none" w:sz="0" w:space="0" w:color="auto"/>
                        <w:right w:val="none" w:sz="0" w:space="0" w:color="auto"/>
                      </w:divBdr>
                      <w:divsChild>
                        <w:div w:id="1004281392">
                          <w:marLeft w:val="0"/>
                          <w:marRight w:val="0"/>
                          <w:marTop w:val="0"/>
                          <w:marBottom w:val="0"/>
                          <w:divBdr>
                            <w:top w:val="none" w:sz="0" w:space="0" w:color="auto"/>
                            <w:left w:val="none" w:sz="0" w:space="0" w:color="auto"/>
                            <w:bottom w:val="none" w:sz="0" w:space="0" w:color="auto"/>
                            <w:right w:val="none" w:sz="0" w:space="0" w:color="auto"/>
                          </w:divBdr>
                          <w:divsChild>
                            <w:div w:id="864171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85199505">
      <w:bodyDiv w:val="1"/>
      <w:marLeft w:val="0"/>
      <w:marRight w:val="0"/>
      <w:marTop w:val="0"/>
      <w:marBottom w:val="0"/>
      <w:divBdr>
        <w:top w:val="none" w:sz="0" w:space="0" w:color="auto"/>
        <w:left w:val="none" w:sz="0" w:space="0" w:color="auto"/>
        <w:bottom w:val="none" w:sz="0" w:space="0" w:color="auto"/>
        <w:right w:val="none" w:sz="0" w:space="0" w:color="auto"/>
      </w:divBdr>
    </w:div>
    <w:div w:id="794786215">
      <w:bodyDiv w:val="1"/>
      <w:marLeft w:val="0"/>
      <w:marRight w:val="0"/>
      <w:marTop w:val="0"/>
      <w:marBottom w:val="0"/>
      <w:divBdr>
        <w:top w:val="none" w:sz="0" w:space="0" w:color="auto"/>
        <w:left w:val="none" w:sz="0" w:space="0" w:color="auto"/>
        <w:bottom w:val="none" w:sz="0" w:space="0" w:color="auto"/>
        <w:right w:val="none" w:sz="0" w:space="0" w:color="auto"/>
      </w:divBdr>
    </w:div>
    <w:div w:id="803962585">
      <w:bodyDiv w:val="1"/>
      <w:marLeft w:val="0"/>
      <w:marRight w:val="0"/>
      <w:marTop w:val="0"/>
      <w:marBottom w:val="0"/>
      <w:divBdr>
        <w:top w:val="none" w:sz="0" w:space="0" w:color="auto"/>
        <w:left w:val="none" w:sz="0" w:space="0" w:color="auto"/>
        <w:bottom w:val="none" w:sz="0" w:space="0" w:color="auto"/>
        <w:right w:val="none" w:sz="0" w:space="0" w:color="auto"/>
      </w:divBdr>
    </w:div>
    <w:div w:id="812261848">
      <w:bodyDiv w:val="1"/>
      <w:marLeft w:val="0"/>
      <w:marRight w:val="0"/>
      <w:marTop w:val="0"/>
      <w:marBottom w:val="0"/>
      <w:divBdr>
        <w:top w:val="none" w:sz="0" w:space="0" w:color="auto"/>
        <w:left w:val="none" w:sz="0" w:space="0" w:color="auto"/>
        <w:bottom w:val="none" w:sz="0" w:space="0" w:color="auto"/>
        <w:right w:val="none" w:sz="0" w:space="0" w:color="auto"/>
      </w:divBdr>
    </w:div>
    <w:div w:id="838929284">
      <w:bodyDiv w:val="1"/>
      <w:marLeft w:val="0"/>
      <w:marRight w:val="0"/>
      <w:marTop w:val="0"/>
      <w:marBottom w:val="0"/>
      <w:divBdr>
        <w:top w:val="none" w:sz="0" w:space="0" w:color="auto"/>
        <w:left w:val="none" w:sz="0" w:space="0" w:color="auto"/>
        <w:bottom w:val="none" w:sz="0" w:space="0" w:color="auto"/>
        <w:right w:val="none" w:sz="0" w:space="0" w:color="auto"/>
      </w:divBdr>
    </w:div>
    <w:div w:id="848060961">
      <w:bodyDiv w:val="1"/>
      <w:marLeft w:val="0"/>
      <w:marRight w:val="0"/>
      <w:marTop w:val="0"/>
      <w:marBottom w:val="0"/>
      <w:divBdr>
        <w:top w:val="none" w:sz="0" w:space="0" w:color="auto"/>
        <w:left w:val="none" w:sz="0" w:space="0" w:color="auto"/>
        <w:bottom w:val="none" w:sz="0" w:space="0" w:color="auto"/>
        <w:right w:val="none" w:sz="0" w:space="0" w:color="auto"/>
      </w:divBdr>
    </w:div>
    <w:div w:id="879324920">
      <w:bodyDiv w:val="1"/>
      <w:marLeft w:val="0"/>
      <w:marRight w:val="0"/>
      <w:marTop w:val="0"/>
      <w:marBottom w:val="0"/>
      <w:divBdr>
        <w:top w:val="none" w:sz="0" w:space="0" w:color="auto"/>
        <w:left w:val="none" w:sz="0" w:space="0" w:color="auto"/>
        <w:bottom w:val="none" w:sz="0" w:space="0" w:color="auto"/>
        <w:right w:val="none" w:sz="0" w:space="0" w:color="auto"/>
      </w:divBdr>
    </w:div>
    <w:div w:id="900747520">
      <w:bodyDiv w:val="1"/>
      <w:marLeft w:val="0"/>
      <w:marRight w:val="0"/>
      <w:marTop w:val="0"/>
      <w:marBottom w:val="0"/>
      <w:divBdr>
        <w:top w:val="none" w:sz="0" w:space="0" w:color="auto"/>
        <w:left w:val="none" w:sz="0" w:space="0" w:color="auto"/>
        <w:bottom w:val="none" w:sz="0" w:space="0" w:color="auto"/>
        <w:right w:val="none" w:sz="0" w:space="0" w:color="auto"/>
      </w:divBdr>
    </w:div>
    <w:div w:id="903566359">
      <w:bodyDiv w:val="1"/>
      <w:marLeft w:val="0"/>
      <w:marRight w:val="0"/>
      <w:marTop w:val="0"/>
      <w:marBottom w:val="0"/>
      <w:divBdr>
        <w:top w:val="none" w:sz="0" w:space="0" w:color="auto"/>
        <w:left w:val="none" w:sz="0" w:space="0" w:color="auto"/>
        <w:bottom w:val="none" w:sz="0" w:space="0" w:color="auto"/>
        <w:right w:val="none" w:sz="0" w:space="0" w:color="auto"/>
      </w:divBdr>
    </w:div>
    <w:div w:id="976881918">
      <w:bodyDiv w:val="1"/>
      <w:marLeft w:val="0"/>
      <w:marRight w:val="0"/>
      <w:marTop w:val="0"/>
      <w:marBottom w:val="0"/>
      <w:divBdr>
        <w:top w:val="none" w:sz="0" w:space="0" w:color="auto"/>
        <w:left w:val="none" w:sz="0" w:space="0" w:color="auto"/>
        <w:bottom w:val="none" w:sz="0" w:space="0" w:color="auto"/>
        <w:right w:val="none" w:sz="0" w:space="0" w:color="auto"/>
      </w:divBdr>
      <w:divsChild>
        <w:div w:id="833448488">
          <w:marLeft w:val="0"/>
          <w:marRight w:val="0"/>
          <w:marTop w:val="100"/>
          <w:marBottom w:val="100"/>
          <w:divBdr>
            <w:top w:val="none" w:sz="0" w:space="0" w:color="auto"/>
            <w:left w:val="none" w:sz="0" w:space="0" w:color="auto"/>
            <w:bottom w:val="none" w:sz="0" w:space="0" w:color="auto"/>
            <w:right w:val="none" w:sz="0" w:space="0" w:color="auto"/>
          </w:divBdr>
          <w:divsChild>
            <w:div w:id="368797985">
              <w:marLeft w:val="0"/>
              <w:marRight w:val="0"/>
              <w:marTop w:val="77"/>
              <w:marBottom w:val="0"/>
              <w:divBdr>
                <w:top w:val="none" w:sz="0" w:space="0" w:color="auto"/>
                <w:left w:val="none" w:sz="0" w:space="0" w:color="auto"/>
                <w:bottom w:val="none" w:sz="0" w:space="0" w:color="auto"/>
                <w:right w:val="none" w:sz="0" w:space="0" w:color="auto"/>
              </w:divBdr>
              <w:divsChild>
                <w:div w:id="935291779">
                  <w:marLeft w:val="0"/>
                  <w:marRight w:val="-6000"/>
                  <w:marTop w:val="0"/>
                  <w:marBottom w:val="0"/>
                  <w:divBdr>
                    <w:top w:val="none" w:sz="0" w:space="0" w:color="auto"/>
                    <w:left w:val="none" w:sz="0" w:space="0" w:color="auto"/>
                    <w:bottom w:val="none" w:sz="0" w:space="0" w:color="auto"/>
                    <w:right w:val="none" w:sz="0" w:space="0" w:color="auto"/>
                  </w:divBdr>
                  <w:divsChild>
                    <w:div w:id="892153550">
                      <w:marLeft w:val="0"/>
                      <w:marRight w:val="5778"/>
                      <w:marTop w:val="0"/>
                      <w:marBottom w:val="0"/>
                      <w:divBdr>
                        <w:top w:val="none" w:sz="0" w:space="0" w:color="auto"/>
                        <w:left w:val="none" w:sz="0" w:space="0" w:color="auto"/>
                        <w:bottom w:val="none" w:sz="0" w:space="0" w:color="auto"/>
                        <w:right w:val="none" w:sz="0" w:space="0" w:color="auto"/>
                      </w:divBdr>
                      <w:divsChild>
                        <w:div w:id="1027681428">
                          <w:marLeft w:val="0"/>
                          <w:marRight w:val="0"/>
                          <w:marTop w:val="0"/>
                          <w:marBottom w:val="0"/>
                          <w:divBdr>
                            <w:top w:val="none" w:sz="0" w:space="0" w:color="auto"/>
                            <w:left w:val="none" w:sz="0" w:space="0" w:color="auto"/>
                            <w:bottom w:val="none" w:sz="0" w:space="0" w:color="auto"/>
                            <w:right w:val="none" w:sz="0" w:space="0" w:color="auto"/>
                          </w:divBdr>
                          <w:divsChild>
                            <w:div w:id="510683478">
                              <w:marLeft w:val="0"/>
                              <w:marRight w:val="0"/>
                              <w:marTop w:val="240"/>
                              <w:marBottom w:val="0"/>
                              <w:divBdr>
                                <w:top w:val="none" w:sz="0" w:space="0" w:color="auto"/>
                                <w:left w:val="none" w:sz="0" w:space="0" w:color="auto"/>
                                <w:bottom w:val="none" w:sz="0" w:space="0" w:color="auto"/>
                                <w:right w:val="none" w:sz="0" w:space="0" w:color="auto"/>
                              </w:divBdr>
                              <w:divsChild>
                                <w:div w:id="695353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2849990">
      <w:bodyDiv w:val="1"/>
      <w:marLeft w:val="0"/>
      <w:marRight w:val="0"/>
      <w:marTop w:val="0"/>
      <w:marBottom w:val="0"/>
      <w:divBdr>
        <w:top w:val="none" w:sz="0" w:space="0" w:color="auto"/>
        <w:left w:val="none" w:sz="0" w:space="0" w:color="auto"/>
        <w:bottom w:val="none" w:sz="0" w:space="0" w:color="auto"/>
        <w:right w:val="none" w:sz="0" w:space="0" w:color="auto"/>
      </w:divBdr>
    </w:div>
    <w:div w:id="1001467238">
      <w:bodyDiv w:val="1"/>
      <w:marLeft w:val="0"/>
      <w:marRight w:val="0"/>
      <w:marTop w:val="0"/>
      <w:marBottom w:val="0"/>
      <w:divBdr>
        <w:top w:val="none" w:sz="0" w:space="0" w:color="auto"/>
        <w:left w:val="none" w:sz="0" w:space="0" w:color="auto"/>
        <w:bottom w:val="none" w:sz="0" w:space="0" w:color="auto"/>
        <w:right w:val="none" w:sz="0" w:space="0" w:color="auto"/>
      </w:divBdr>
    </w:div>
    <w:div w:id="1001929168">
      <w:bodyDiv w:val="1"/>
      <w:marLeft w:val="0"/>
      <w:marRight w:val="0"/>
      <w:marTop w:val="0"/>
      <w:marBottom w:val="0"/>
      <w:divBdr>
        <w:top w:val="none" w:sz="0" w:space="0" w:color="auto"/>
        <w:left w:val="none" w:sz="0" w:space="0" w:color="auto"/>
        <w:bottom w:val="none" w:sz="0" w:space="0" w:color="auto"/>
        <w:right w:val="none" w:sz="0" w:space="0" w:color="auto"/>
      </w:divBdr>
    </w:div>
    <w:div w:id="1005399962">
      <w:bodyDiv w:val="1"/>
      <w:marLeft w:val="0"/>
      <w:marRight w:val="0"/>
      <w:marTop w:val="0"/>
      <w:marBottom w:val="0"/>
      <w:divBdr>
        <w:top w:val="none" w:sz="0" w:space="0" w:color="auto"/>
        <w:left w:val="none" w:sz="0" w:space="0" w:color="auto"/>
        <w:bottom w:val="none" w:sz="0" w:space="0" w:color="auto"/>
        <w:right w:val="none" w:sz="0" w:space="0" w:color="auto"/>
      </w:divBdr>
    </w:div>
    <w:div w:id="1016350876">
      <w:bodyDiv w:val="1"/>
      <w:marLeft w:val="0"/>
      <w:marRight w:val="0"/>
      <w:marTop w:val="0"/>
      <w:marBottom w:val="0"/>
      <w:divBdr>
        <w:top w:val="none" w:sz="0" w:space="0" w:color="auto"/>
        <w:left w:val="none" w:sz="0" w:space="0" w:color="auto"/>
        <w:bottom w:val="none" w:sz="0" w:space="0" w:color="auto"/>
        <w:right w:val="none" w:sz="0" w:space="0" w:color="auto"/>
      </w:divBdr>
    </w:div>
    <w:div w:id="1024747524">
      <w:bodyDiv w:val="1"/>
      <w:marLeft w:val="0"/>
      <w:marRight w:val="0"/>
      <w:marTop w:val="0"/>
      <w:marBottom w:val="0"/>
      <w:divBdr>
        <w:top w:val="none" w:sz="0" w:space="0" w:color="auto"/>
        <w:left w:val="none" w:sz="0" w:space="0" w:color="auto"/>
        <w:bottom w:val="none" w:sz="0" w:space="0" w:color="auto"/>
        <w:right w:val="none" w:sz="0" w:space="0" w:color="auto"/>
      </w:divBdr>
    </w:div>
    <w:div w:id="1042053528">
      <w:bodyDiv w:val="1"/>
      <w:marLeft w:val="0"/>
      <w:marRight w:val="0"/>
      <w:marTop w:val="0"/>
      <w:marBottom w:val="0"/>
      <w:divBdr>
        <w:top w:val="none" w:sz="0" w:space="0" w:color="auto"/>
        <w:left w:val="none" w:sz="0" w:space="0" w:color="auto"/>
        <w:bottom w:val="none" w:sz="0" w:space="0" w:color="auto"/>
        <w:right w:val="none" w:sz="0" w:space="0" w:color="auto"/>
      </w:divBdr>
    </w:div>
    <w:div w:id="1043797023">
      <w:bodyDiv w:val="1"/>
      <w:marLeft w:val="0"/>
      <w:marRight w:val="0"/>
      <w:marTop w:val="0"/>
      <w:marBottom w:val="0"/>
      <w:divBdr>
        <w:top w:val="none" w:sz="0" w:space="0" w:color="auto"/>
        <w:left w:val="none" w:sz="0" w:space="0" w:color="auto"/>
        <w:bottom w:val="none" w:sz="0" w:space="0" w:color="auto"/>
        <w:right w:val="none" w:sz="0" w:space="0" w:color="auto"/>
      </w:divBdr>
    </w:div>
    <w:div w:id="1051659422">
      <w:bodyDiv w:val="1"/>
      <w:marLeft w:val="0"/>
      <w:marRight w:val="0"/>
      <w:marTop w:val="0"/>
      <w:marBottom w:val="0"/>
      <w:divBdr>
        <w:top w:val="none" w:sz="0" w:space="0" w:color="auto"/>
        <w:left w:val="none" w:sz="0" w:space="0" w:color="auto"/>
        <w:bottom w:val="none" w:sz="0" w:space="0" w:color="auto"/>
        <w:right w:val="none" w:sz="0" w:space="0" w:color="auto"/>
      </w:divBdr>
      <w:divsChild>
        <w:div w:id="1031607572">
          <w:marLeft w:val="0"/>
          <w:marRight w:val="0"/>
          <w:marTop w:val="100"/>
          <w:marBottom w:val="100"/>
          <w:divBdr>
            <w:top w:val="none" w:sz="0" w:space="0" w:color="auto"/>
            <w:left w:val="none" w:sz="0" w:space="0" w:color="auto"/>
            <w:bottom w:val="none" w:sz="0" w:space="0" w:color="auto"/>
            <w:right w:val="none" w:sz="0" w:space="0" w:color="auto"/>
          </w:divBdr>
          <w:divsChild>
            <w:div w:id="626470977">
              <w:marLeft w:val="0"/>
              <w:marRight w:val="0"/>
              <w:marTop w:val="77"/>
              <w:marBottom w:val="0"/>
              <w:divBdr>
                <w:top w:val="none" w:sz="0" w:space="0" w:color="auto"/>
                <w:left w:val="none" w:sz="0" w:space="0" w:color="auto"/>
                <w:bottom w:val="none" w:sz="0" w:space="0" w:color="auto"/>
                <w:right w:val="none" w:sz="0" w:space="0" w:color="auto"/>
              </w:divBdr>
              <w:divsChild>
                <w:div w:id="157885844">
                  <w:marLeft w:val="0"/>
                  <w:marRight w:val="-6000"/>
                  <w:marTop w:val="0"/>
                  <w:marBottom w:val="0"/>
                  <w:divBdr>
                    <w:top w:val="none" w:sz="0" w:space="0" w:color="auto"/>
                    <w:left w:val="none" w:sz="0" w:space="0" w:color="auto"/>
                    <w:bottom w:val="none" w:sz="0" w:space="0" w:color="auto"/>
                    <w:right w:val="none" w:sz="0" w:space="0" w:color="auto"/>
                  </w:divBdr>
                  <w:divsChild>
                    <w:div w:id="1043166256">
                      <w:marLeft w:val="0"/>
                      <w:marRight w:val="5778"/>
                      <w:marTop w:val="0"/>
                      <w:marBottom w:val="0"/>
                      <w:divBdr>
                        <w:top w:val="none" w:sz="0" w:space="0" w:color="auto"/>
                        <w:left w:val="none" w:sz="0" w:space="0" w:color="auto"/>
                        <w:bottom w:val="none" w:sz="0" w:space="0" w:color="auto"/>
                        <w:right w:val="none" w:sz="0" w:space="0" w:color="auto"/>
                      </w:divBdr>
                      <w:divsChild>
                        <w:div w:id="1536382980">
                          <w:marLeft w:val="0"/>
                          <w:marRight w:val="0"/>
                          <w:marTop w:val="0"/>
                          <w:marBottom w:val="0"/>
                          <w:divBdr>
                            <w:top w:val="none" w:sz="0" w:space="0" w:color="auto"/>
                            <w:left w:val="none" w:sz="0" w:space="0" w:color="auto"/>
                            <w:bottom w:val="none" w:sz="0" w:space="0" w:color="auto"/>
                            <w:right w:val="none" w:sz="0" w:space="0" w:color="auto"/>
                          </w:divBdr>
                          <w:divsChild>
                            <w:div w:id="1440756168">
                              <w:marLeft w:val="0"/>
                              <w:marRight w:val="0"/>
                              <w:marTop w:val="240"/>
                              <w:marBottom w:val="0"/>
                              <w:divBdr>
                                <w:top w:val="none" w:sz="0" w:space="0" w:color="auto"/>
                                <w:left w:val="none" w:sz="0" w:space="0" w:color="auto"/>
                                <w:bottom w:val="none" w:sz="0" w:space="0" w:color="auto"/>
                                <w:right w:val="none" w:sz="0" w:space="0" w:color="auto"/>
                              </w:divBdr>
                              <w:divsChild>
                                <w:div w:id="1105811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55009921">
      <w:bodyDiv w:val="1"/>
      <w:marLeft w:val="0"/>
      <w:marRight w:val="0"/>
      <w:marTop w:val="0"/>
      <w:marBottom w:val="0"/>
      <w:divBdr>
        <w:top w:val="none" w:sz="0" w:space="0" w:color="auto"/>
        <w:left w:val="none" w:sz="0" w:space="0" w:color="auto"/>
        <w:bottom w:val="none" w:sz="0" w:space="0" w:color="auto"/>
        <w:right w:val="none" w:sz="0" w:space="0" w:color="auto"/>
      </w:divBdr>
    </w:div>
    <w:div w:id="1104426575">
      <w:bodyDiv w:val="1"/>
      <w:marLeft w:val="0"/>
      <w:marRight w:val="0"/>
      <w:marTop w:val="0"/>
      <w:marBottom w:val="0"/>
      <w:divBdr>
        <w:top w:val="none" w:sz="0" w:space="0" w:color="auto"/>
        <w:left w:val="none" w:sz="0" w:space="0" w:color="auto"/>
        <w:bottom w:val="none" w:sz="0" w:space="0" w:color="auto"/>
        <w:right w:val="none" w:sz="0" w:space="0" w:color="auto"/>
      </w:divBdr>
    </w:div>
    <w:div w:id="1153377309">
      <w:bodyDiv w:val="1"/>
      <w:marLeft w:val="0"/>
      <w:marRight w:val="0"/>
      <w:marTop w:val="0"/>
      <w:marBottom w:val="0"/>
      <w:divBdr>
        <w:top w:val="none" w:sz="0" w:space="0" w:color="auto"/>
        <w:left w:val="none" w:sz="0" w:space="0" w:color="auto"/>
        <w:bottom w:val="none" w:sz="0" w:space="0" w:color="auto"/>
        <w:right w:val="none" w:sz="0" w:space="0" w:color="auto"/>
      </w:divBdr>
    </w:div>
    <w:div w:id="1177186547">
      <w:bodyDiv w:val="1"/>
      <w:marLeft w:val="0"/>
      <w:marRight w:val="0"/>
      <w:marTop w:val="0"/>
      <w:marBottom w:val="0"/>
      <w:divBdr>
        <w:top w:val="none" w:sz="0" w:space="0" w:color="auto"/>
        <w:left w:val="none" w:sz="0" w:space="0" w:color="auto"/>
        <w:bottom w:val="none" w:sz="0" w:space="0" w:color="auto"/>
        <w:right w:val="none" w:sz="0" w:space="0" w:color="auto"/>
      </w:divBdr>
      <w:divsChild>
        <w:div w:id="733359522">
          <w:marLeft w:val="0"/>
          <w:marRight w:val="0"/>
          <w:marTop w:val="0"/>
          <w:marBottom w:val="0"/>
          <w:divBdr>
            <w:top w:val="none" w:sz="0" w:space="0" w:color="auto"/>
            <w:left w:val="none" w:sz="0" w:space="0" w:color="auto"/>
            <w:bottom w:val="none" w:sz="0" w:space="0" w:color="auto"/>
            <w:right w:val="none" w:sz="0" w:space="0" w:color="auto"/>
          </w:divBdr>
          <w:divsChild>
            <w:div w:id="71633395">
              <w:marLeft w:val="0"/>
              <w:marRight w:val="0"/>
              <w:marTop w:val="0"/>
              <w:marBottom w:val="0"/>
              <w:divBdr>
                <w:top w:val="none" w:sz="0" w:space="0" w:color="auto"/>
                <w:left w:val="none" w:sz="0" w:space="0" w:color="auto"/>
                <w:bottom w:val="none" w:sz="0" w:space="0" w:color="auto"/>
                <w:right w:val="none" w:sz="0" w:space="0" w:color="auto"/>
              </w:divBdr>
              <w:divsChild>
                <w:div w:id="327943162">
                  <w:marLeft w:val="0"/>
                  <w:marRight w:val="0"/>
                  <w:marTop w:val="0"/>
                  <w:marBottom w:val="0"/>
                  <w:divBdr>
                    <w:top w:val="none" w:sz="0" w:space="0" w:color="auto"/>
                    <w:left w:val="none" w:sz="0" w:space="0" w:color="auto"/>
                    <w:bottom w:val="none" w:sz="0" w:space="0" w:color="auto"/>
                    <w:right w:val="none" w:sz="0" w:space="0" w:color="auto"/>
                  </w:divBdr>
                  <w:divsChild>
                    <w:div w:id="1278177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3594730">
      <w:bodyDiv w:val="1"/>
      <w:marLeft w:val="0"/>
      <w:marRight w:val="0"/>
      <w:marTop w:val="0"/>
      <w:marBottom w:val="0"/>
      <w:divBdr>
        <w:top w:val="none" w:sz="0" w:space="0" w:color="auto"/>
        <w:left w:val="none" w:sz="0" w:space="0" w:color="auto"/>
        <w:bottom w:val="none" w:sz="0" w:space="0" w:color="auto"/>
        <w:right w:val="none" w:sz="0" w:space="0" w:color="auto"/>
      </w:divBdr>
    </w:div>
    <w:div w:id="1208687362">
      <w:bodyDiv w:val="1"/>
      <w:marLeft w:val="0"/>
      <w:marRight w:val="0"/>
      <w:marTop w:val="0"/>
      <w:marBottom w:val="0"/>
      <w:divBdr>
        <w:top w:val="none" w:sz="0" w:space="0" w:color="auto"/>
        <w:left w:val="none" w:sz="0" w:space="0" w:color="auto"/>
        <w:bottom w:val="none" w:sz="0" w:space="0" w:color="auto"/>
        <w:right w:val="none" w:sz="0" w:space="0" w:color="auto"/>
      </w:divBdr>
    </w:div>
    <w:div w:id="1230650618">
      <w:bodyDiv w:val="1"/>
      <w:marLeft w:val="0"/>
      <w:marRight w:val="0"/>
      <w:marTop w:val="0"/>
      <w:marBottom w:val="0"/>
      <w:divBdr>
        <w:top w:val="none" w:sz="0" w:space="0" w:color="auto"/>
        <w:left w:val="none" w:sz="0" w:space="0" w:color="auto"/>
        <w:bottom w:val="none" w:sz="0" w:space="0" w:color="auto"/>
        <w:right w:val="none" w:sz="0" w:space="0" w:color="auto"/>
      </w:divBdr>
    </w:div>
    <w:div w:id="1233615343">
      <w:bodyDiv w:val="1"/>
      <w:marLeft w:val="0"/>
      <w:marRight w:val="0"/>
      <w:marTop w:val="0"/>
      <w:marBottom w:val="0"/>
      <w:divBdr>
        <w:top w:val="none" w:sz="0" w:space="0" w:color="auto"/>
        <w:left w:val="none" w:sz="0" w:space="0" w:color="auto"/>
        <w:bottom w:val="none" w:sz="0" w:space="0" w:color="auto"/>
        <w:right w:val="none" w:sz="0" w:space="0" w:color="auto"/>
      </w:divBdr>
    </w:div>
    <w:div w:id="1235360419">
      <w:bodyDiv w:val="1"/>
      <w:marLeft w:val="0"/>
      <w:marRight w:val="0"/>
      <w:marTop w:val="0"/>
      <w:marBottom w:val="0"/>
      <w:divBdr>
        <w:top w:val="none" w:sz="0" w:space="0" w:color="auto"/>
        <w:left w:val="none" w:sz="0" w:space="0" w:color="auto"/>
        <w:bottom w:val="none" w:sz="0" w:space="0" w:color="auto"/>
        <w:right w:val="none" w:sz="0" w:space="0" w:color="auto"/>
      </w:divBdr>
    </w:div>
    <w:div w:id="1240361686">
      <w:bodyDiv w:val="1"/>
      <w:marLeft w:val="0"/>
      <w:marRight w:val="0"/>
      <w:marTop w:val="0"/>
      <w:marBottom w:val="0"/>
      <w:divBdr>
        <w:top w:val="none" w:sz="0" w:space="0" w:color="auto"/>
        <w:left w:val="none" w:sz="0" w:space="0" w:color="auto"/>
        <w:bottom w:val="none" w:sz="0" w:space="0" w:color="auto"/>
        <w:right w:val="none" w:sz="0" w:space="0" w:color="auto"/>
      </w:divBdr>
    </w:div>
    <w:div w:id="1248466480">
      <w:bodyDiv w:val="1"/>
      <w:marLeft w:val="0"/>
      <w:marRight w:val="0"/>
      <w:marTop w:val="0"/>
      <w:marBottom w:val="0"/>
      <w:divBdr>
        <w:top w:val="none" w:sz="0" w:space="0" w:color="auto"/>
        <w:left w:val="none" w:sz="0" w:space="0" w:color="auto"/>
        <w:bottom w:val="none" w:sz="0" w:space="0" w:color="auto"/>
        <w:right w:val="none" w:sz="0" w:space="0" w:color="auto"/>
      </w:divBdr>
    </w:div>
    <w:div w:id="1271620885">
      <w:bodyDiv w:val="1"/>
      <w:marLeft w:val="0"/>
      <w:marRight w:val="0"/>
      <w:marTop w:val="0"/>
      <w:marBottom w:val="0"/>
      <w:divBdr>
        <w:top w:val="none" w:sz="0" w:space="0" w:color="auto"/>
        <w:left w:val="none" w:sz="0" w:space="0" w:color="auto"/>
        <w:bottom w:val="none" w:sz="0" w:space="0" w:color="auto"/>
        <w:right w:val="none" w:sz="0" w:space="0" w:color="auto"/>
      </w:divBdr>
    </w:div>
    <w:div w:id="1299917559">
      <w:bodyDiv w:val="1"/>
      <w:marLeft w:val="0"/>
      <w:marRight w:val="0"/>
      <w:marTop w:val="0"/>
      <w:marBottom w:val="0"/>
      <w:divBdr>
        <w:top w:val="none" w:sz="0" w:space="0" w:color="auto"/>
        <w:left w:val="none" w:sz="0" w:space="0" w:color="auto"/>
        <w:bottom w:val="none" w:sz="0" w:space="0" w:color="auto"/>
        <w:right w:val="none" w:sz="0" w:space="0" w:color="auto"/>
      </w:divBdr>
    </w:div>
    <w:div w:id="1303459150">
      <w:bodyDiv w:val="1"/>
      <w:marLeft w:val="0"/>
      <w:marRight w:val="0"/>
      <w:marTop w:val="0"/>
      <w:marBottom w:val="0"/>
      <w:divBdr>
        <w:top w:val="none" w:sz="0" w:space="0" w:color="auto"/>
        <w:left w:val="none" w:sz="0" w:space="0" w:color="auto"/>
        <w:bottom w:val="none" w:sz="0" w:space="0" w:color="auto"/>
        <w:right w:val="none" w:sz="0" w:space="0" w:color="auto"/>
      </w:divBdr>
    </w:div>
    <w:div w:id="1304697107">
      <w:bodyDiv w:val="1"/>
      <w:marLeft w:val="0"/>
      <w:marRight w:val="0"/>
      <w:marTop w:val="0"/>
      <w:marBottom w:val="0"/>
      <w:divBdr>
        <w:top w:val="none" w:sz="0" w:space="0" w:color="auto"/>
        <w:left w:val="none" w:sz="0" w:space="0" w:color="auto"/>
        <w:bottom w:val="none" w:sz="0" w:space="0" w:color="auto"/>
        <w:right w:val="none" w:sz="0" w:space="0" w:color="auto"/>
      </w:divBdr>
    </w:div>
    <w:div w:id="1330057582">
      <w:bodyDiv w:val="1"/>
      <w:marLeft w:val="0"/>
      <w:marRight w:val="0"/>
      <w:marTop w:val="0"/>
      <w:marBottom w:val="0"/>
      <w:divBdr>
        <w:top w:val="none" w:sz="0" w:space="0" w:color="auto"/>
        <w:left w:val="none" w:sz="0" w:space="0" w:color="auto"/>
        <w:bottom w:val="none" w:sz="0" w:space="0" w:color="auto"/>
        <w:right w:val="none" w:sz="0" w:space="0" w:color="auto"/>
      </w:divBdr>
    </w:div>
    <w:div w:id="1347056257">
      <w:bodyDiv w:val="1"/>
      <w:marLeft w:val="0"/>
      <w:marRight w:val="0"/>
      <w:marTop w:val="0"/>
      <w:marBottom w:val="0"/>
      <w:divBdr>
        <w:top w:val="none" w:sz="0" w:space="0" w:color="auto"/>
        <w:left w:val="none" w:sz="0" w:space="0" w:color="auto"/>
        <w:bottom w:val="none" w:sz="0" w:space="0" w:color="auto"/>
        <w:right w:val="none" w:sz="0" w:space="0" w:color="auto"/>
      </w:divBdr>
    </w:div>
    <w:div w:id="1359357250">
      <w:bodyDiv w:val="1"/>
      <w:marLeft w:val="0"/>
      <w:marRight w:val="0"/>
      <w:marTop w:val="0"/>
      <w:marBottom w:val="0"/>
      <w:divBdr>
        <w:top w:val="none" w:sz="0" w:space="0" w:color="auto"/>
        <w:left w:val="none" w:sz="0" w:space="0" w:color="auto"/>
        <w:bottom w:val="none" w:sz="0" w:space="0" w:color="auto"/>
        <w:right w:val="none" w:sz="0" w:space="0" w:color="auto"/>
      </w:divBdr>
      <w:divsChild>
        <w:div w:id="87970584">
          <w:marLeft w:val="0"/>
          <w:marRight w:val="0"/>
          <w:marTop w:val="0"/>
          <w:marBottom w:val="0"/>
          <w:divBdr>
            <w:top w:val="none" w:sz="0" w:space="0" w:color="auto"/>
            <w:left w:val="none" w:sz="0" w:space="0" w:color="auto"/>
            <w:bottom w:val="none" w:sz="0" w:space="0" w:color="auto"/>
            <w:right w:val="none" w:sz="0" w:space="0" w:color="auto"/>
          </w:divBdr>
          <w:divsChild>
            <w:div w:id="625043410">
              <w:marLeft w:val="0"/>
              <w:marRight w:val="0"/>
              <w:marTop w:val="100"/>
              <w:marBottom w:val="100"/>
              <w:divBdr>
                <w:top w:val="none" w:sz="0" w:space="0" w:color="auto"/>
                <w:left w:val="none" w:sz="0" w:space="0" w:color="auto"/>
                <w:bottom w:val="none" w:sz="0" w:space="0" w:color="auto"/>
                <w:right w:val="none" w:sz="0" w:space="0" w:color="auto"/>
              </w:divBdr>
              <w:divsChild>
                <w:div w:id="1883596298">
                  <w:marLeft w:val="0"/>
                  <w:marRight w:val="0"/>
                  <w:marTop w:val="100"/>
                  <w:marBottom w:val="100"/>
                  <w:divBdr>
                    <w:top w:val="none" w:sz="0" w:space="0" w:color="auto"/>
                    <w:left w:val="none" w:sz="0" w:space="0" w:color="auto"/>
                    <w:bottom w:val="none" w:sz="0" w:space="0" w:color="auto"/>
                    <w:right w:val="none" w:sz="0" w:space="0" w:color="auto"/>
                  </w:divBdr>
                  <w:divsChild>
                    <w:div w:id="813448766">
                      <w:marLeft w:val="79"/>
                      <w:marRight w:val="0"/>
                      <w:marTop w:val="79"/>
                      <w:marBottom w:val="0"/>
                      <w:divBdr>
                        <w:top w:val="none" w:sz="0" w:space="0" w:color="auto"/>
                        <w:left w:val="none" w:sz="0" w:space="0" w:color="auto"/>
                        <w:bottom w:val="none" w:sz="0" w:space="0" w:color="auto"/>
                        <w:right w:val="none" w:sz="0" w:space="0" w:color="auto"/>
                      </w:divBdr>
                      <w:divsChild>
                        <w:div w:id="994458396">
                          <w:marLeft w:val="0"/>
                          <w:marRight w:val="0"/>
                          <w:marTop w:val="79"/>
                          <w:marBottom w:val="0"/>
                          <w:divBdr>
                            <w:top w:val="none" w:sz="0" w:space="0" w:color="auto"/>
                            <w:left w:val="none" w:sz="0" w:space="0" w:color="auto"/>
                            <w:bottom w:val="none" w:sz="0" w:space="0" w:color="auto"/>
                            <w:right w:val="none" w:sz="0" w:space="0" w:color="auto"/>
                          </w:divBdr>
                          <w:divsChild>
                            <w:div w:id="435752579">
                              <w:marLeft w:val="0"/>
                              <w:marRight w:val="0"/>
                              <w:marTop w:val="0"/>
                              <w:marBottom w:val="0"/>
                              <w:divBdr>
                                <w:top w:val="none" w:sz="0" w:space="0" w:color="auto"/>
                                <w:left w:val="none" w:sz="0" w:space="0" w:color="auto"/>
                                <w:bottom w:val="none" w:sz="0" w:space="0" w:color="auto"/>
                                <w:right w:val="none" w:sz="0" w:space="0" w:color="auto"/>
                              </w:divBdr>
                              <w:divsChild>
                                <w:div w:id="437406225">
                                  <w:marLeft w:val="0"/>
                                  <w:marRight w:val="0"/>
                                  <w:marTop w:val="0"/>
                                  <w:marBottom w:val="0"/>
                                  <w:divBdr>
                                    <w:top w:val="none" w:sz="0" w:space="0" w:color="auto"/>
                                    <w:left w:val="none" w:sz="0" w:space="0" w:color="auto"/>
                                    <w:bottom w:val="none" w:sz="0" w:space="0" w:color="auto"/>
                                    <w:right w:val="none" w:sz="0" w:space="0" w:color="auto"/>
                                  </w:divBdr>
                                  <w:divsChild>
                                    <w:div w:id="1587764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64285984">
      <w:bodyDiv w:val="1"/>
      <w:marLeft w:val="0"/>
      <w:marRight w:val="0"/>
      <w:marTop w:val="0"/>
      <w:marBottom w:val="0"/>
      <w:divBdr>
        <w:top w:val="none" w:sz="0" w:space="0" w:color="auto"/>
        <w:left w:val="none" w:sz="0" w:space="0" w:color="auto"/>
        <w:bottom w:val="none" w:sz="0" w:space="0" w:color="auto"/>
        <w:right w:val="none" w:sz="0" w:space="0" w:color="auto"/>
      </w:divBdr>
    </w:div>
    <w:div w:id="1384401983">
      <w:bodyDiv w:val="1"/>
      <w:marLeft w:val="0"/>
      <w:marRight w:val="0"/>
      <w:marTop w:val="0"/>
      <w:marBottom w:val="0"/>
      <w:divBdr>
        <w:top w:val="none" w:sz="0" w:space="0" w:color="auto"/>
        <w:left w:val="none" w:sz="0" w:space="0" w:color="auto"/>
        <w:bottom w:val="none" w:sz="0" w:space="0" w:color="auto"/>
        <w:right w:val="none" w:sz="0" w:space="0" w:color="auto"/>
      </w:divBdr>
      <w:divsChild>
        <w:div w:id="1738547034">
          <w:marLeft w:val="0"/>
          <w:marRight w:val="0"/>
          <w:marTop w:val="0"/>
          <w:marBottom w:val="0"/>
          <w:divBdr>
            <w:top w:val="none" w:sz="0" w:space="0" w:color="auto"/>
            <w:left w:val="none" w:sz="0" w:space="0" w:color="auto"/>
            <w:bottom w:val="none" w:sz="0" w:space="0" w:color="auto"/>
            <w:right w:val="none" w:sz="0" w:space="0" w:color="auto"/>
          </w:divBdr>
          <w:divsChild>
            <w:div w:id="1275138829">
              <w:marLeft w:val="0"/>
              <w:marRight w:val="0"/>
              <w:marTop w:val="0"/>
              <w:marBottom w:val="0"/>
              <w:divBdr>
                <w:top w:val="none" w:sz="0" w:space="0" w:color="auto"/>
                <w:left w:val="none" w:sz="0" w:space="0" w:color="auto"/>
                <w:bottom w:val="none" w:sz="0" w:space="0" w:color="auto"/>
                <w:right w:val="none" w:sz="0" w:space="0" w:color="auto"/>
              </w:divBdr>
              <w:divsChild>
                <w:div w:id="93937836">
                  <w:marLeft w:val="0"/>
                  <w:marRight w:val="0"/>
                  <w:marTop w:val="0"/>
                  <w:marBottom w:val="0"/>
                  <w:divBdr>
                    <w:top w:val="none" w:sz="0" w:space="0" w:color="auto"/>
                    <w:left w:val="none" w:sz="0" w:space="0" w:color="auto"/>
                    <w:bottom w:val="none" w:sz="0" w:space="0" w:color="auto"/>
                    <w:right w:val="none" w:sz="0" w:space="0" w:color="auto"/>
                  </w:divBdr>
                  <w:divsChild>
                    <w:div w:id="847327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4521069">
      <w:bodyDiv w:val="1"/>
      <w:marLeft w:val="0"/>
      <w:marRight w:val="0"/>
      <w:marTop w:val="0"/>
      <w:marBottom w:val="0"/>
      <w:divBdr>
        <w:top w:val="none" w:sz="0" w:space="0" w:color="auto"/>
        <w:left w:val="none" w:sz="0" w:space="0" w:color="auto"/>
        <w:bottom w:val="none" w:sz="0" w:space="0" w:color="auto"/>
        <w:right w:val="none" w:sz="0" w:space="0" w:color="auto"/>
      </w:divBdr>
    </w:div>
    <w:div w:id="1388649445">
      <w:bodyDiv w:val="1"/>
      <w:marLeft w:val="0"/>
      <w:marRight w:val="0"/>
      <w:marTop w:val="0"/>
      <w:marBottom w:val="0"/>
      <w:divBdr>
        <w:top w:val="none" w:sz="0" w:space="0" w:color="auto"/>
        <w:left w:val="none" w:sz="0" w:space="0" w:color="auto"/>
        <w:bottom w:val="none" w:sz="0" w:space="0" w:color="auto"/>
        <w:right w:val="none" w:sz="0" w:space="0" w:color="auto"/>
      </w:divBdr>
    </w:div>
    <w:div w:id="1392192003">
      <w:bodyDiv w:val="1"/>
      <w:marLeft w:val="0"/>
      <w:marRight w:val="0"/>
      <w:marTop w:val="0"/>
      <w:marBottom w:val="0"/>
      <w:divBdr>
        <w:top w:val="none" w:sz="0" w:space="0" w:color="auto"/>
        <w:left w:val="none" w:sz="0" w:space="0" w:color="auto"/>
        <w:bottom w:val="none" w:sz="0" w:space="0" w:color="auto"/>
        <w:right w:val="none" w:sz="0" w:space="0" w:color="auto"/>
      </w:divBdr>
    </w:div>
    <w:div w:id="1426923567">
      <w:bodyDiv w:val="1"/>
      <w:marLeft w:val="0"/>
      <w:marRight w:val="0"/>
      <w:marTop w:val="0"/>
      <w:marBottom w:val="0"/>
      <w:divBdr>
        <w:top w:val="none" w:sz="0" w:space="0" w:color="auto"/>
        <w:left w:val="none" w:sz="0" w:space="0" w:color="auto"/>
        <w:bottom w:val="none" w:sz="0" w:space="0" w:color="auto"/>
        <w:right w:val="none" w:sz="0" w:space="0" w:color="auto"/>
      </w:divBdr>
      <w:divsChild>
        <w:div w:id="1203253677">
          <w:marLeft w:val="0"/>
          <w:marRight w:val="0"/>
          <w:marTop w:val="0"/>
          <w:marBottom w:val="0"/>
          <w:divBdr>
            <w:top w:val="none" w:sz="0" w:space="0" w:color="auto"/>
            <w:left w:val="none" w:sz="0" w:space="0" w:color="auto"/>
            <w:bottom w:val="none" w:sz="0" w:space="0" w:color="auto"/>
            <w:right w:val="none" w:sz="0" w:space="0" w:color="auto"/>
          </w:divBdr>
          <w:divsChild>
            <w:div w:id="295526165">
              <w:marLeft w:val="0"/>
              <w:marRight w:val="0"/>
              <w:marTop w:val="0"/>
              <w:marBottom w:val="0"/>
              <w:divBdr>
                <w:top w:val="none" w:sz="0" w:space="0" w:color="auto"/>
                <w:left w:val="none" w:sz="0" w:space="0" w:color="auto"/>
                <w:bottom w:val="none" w:sz="0" w:space="0" w:color="auto"/>
                <w:right w:val="none" w:sz="0" w:space="0" w:color="auto"/>
              </w:divBdr>
              <w:divsChild>
                <w:div w:id="1625648259">
                  <w:marLeft w:val="0"/>
                  <w:marRight w:val="0"/>
                  <w:marTop w:val="0"/>
                  <w:marBottom w:val="0"/>
                  <w:divBdr>
                    <w:top w:val="none" w:sz="0" w:space="0" w:color="auto"/>
                    <w:left w:val="none" w:sz="0" w:space="0" w:color="auto"/>
                    <w:bottom w:val="none" w:sz="0" w:space="0" w:color="auto"/>
                    <w:right w:val="none" w:sz="0" w:space="0" w:color="auto"/>
                  </w:divBdr>
                  <w:divsChild>
                    <w:div w:id="1647661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0158163">
      <w:bodyDiv w:val="1"/>
      <w:marLeft w:val="0"/>
      <w:marRight w:val="0"/>
      <w:marTop w:val="0"/>
      <w:marBottom w:val="0"/>
      <w:divBdr>
        <w:top w:val="none" w:sz="0" w:space="0" w:color="auto"/>
        <w:left w:val="none" w:sz="0" w:space="0" w:color="auto"/>
        <w:bottom w:val="none" w:sz="0" w:space="0" w:color="auto"/>
        <w:right w:val="none" w:sz="0" w:space="0" w:color="auto"/>
      </w:divBdr>
    </w:div>
    <w:div w:id="1436052302">
      <w:bodyDiv w:val="1"/>
      <w:marLeft w:val="0"/>
      <w:marRight w:val="0"/>
      <w:marTop w:val="0"/>
      <w:marBottom w:val="0"/>
      <w:divBdr>
        <w:top w:val="none" w:sz="0" w:space="0" w:color="auto"/>
        <w:left w:val="none" w:sz="0" w:space="0" w:color="auto"/>
        <w:bottom w:val="none" w:sz="0" w:space="0" w:color="auto"/>
        <w:right w:val="none" w:sz="0" w:space="0" w:color="auto"/>
      </w:divBdr>
      <w:divsChild>
        <w:div w:id="636836329">
          <w:marLeft w:val="0"/>
          <w:marRight w:val="0"/>
          <w:marTop w:val="0"/>
          <w:marBottom w:val="0"/>
          <w:divBdr>
            <w:top w:val="none" w:sz="0" w:space="0" w:color="auto"/>
            <w:left w:val="none" w:sz="0" w:space="0" w:color="auto"/>
            <w:bottom w:val="none" w:sz="0" w:space="0" w:color="auto"/>
            <w:right w:val="none" w:sz="0" w:space="0" w:color="auto"/>
          </w:divBdr>
        </w:div>
      </w:divsChild>
    </w:div>
    <w:div w:id="1444226465">
      <w:bodyDiv w:val="1"/>
      <w:marLeft w:val="0"/>
      <w:marRight w:val="0"/>
      <w:marTop w:val="0"/>
      <w:marBottom w:val="0"/>
      <w:divBdr>
        <w:top w:val="none" w:sz="0" w:space="0" w:color="auto"/>
        <w:left w:val="none" w:sz="0" w:space="0" w:color="auto"/>
        <w:bottom w:val="none" w:sz="0" w:space="0" w:color="auto"/>
        <w:right w:val="none" w:sz="0" w:space="0" w:color="auto"/>
      </w:divBdr>
      <w:divsChild>
        <w:div w:id="1400785340">
          <w:marLeft w:val="0"/>
          <w:marRight w:val="0"/>
          <w:marTop w:val="0"/>
          <w:marBottom w:val="0"/>
          <w:divBdr>
            <w:top w:val="none" w:sz="0" w:space="0" w:color="auto"/>
            <w:left w:val="none" w:sz="0" w:space="0" w:color="auto"/>
            <w:bottom w:val="none" w:sz="0" w:space="0" w:color="auto"/>
            <w:right w:val="none" w:sz="0" w:space="0" w:color="auto"/>
          </w:divBdr>
          <w:divsChild>
            <w:div w:id="1921330575">
              <w:marLeft w:val="0"/>
              <w:marRight w:val="0"/>
              <w:marTop w:val="0"/>
              <w:marBottom w:val="0"/>
              <w:divBdr>
                <w:top w:val="none" w:sz="0" w:space="0" w:color="auto"/>
                <w:left w:val="none" w:sz="0" w:space="0" w:color="auto"/>
                <w:bottom w:val="none" w:sz="0" w:space="0" w:color="auto"/>
                <w:right w:val="none" w:sz="0" w:space="0" w:color="auto"/>
              </w:divBdr>
              <w:divsChild>
                <w:div w:id="187183948">
                  <w:marLeft w:val="0"/>
                  <w:marRight w:val="0"/>
                  <w:marTop w:val="0"/>
                  <w:marBottom w:val="0"/>
                  <w:divBdr>
                    <w:top w:val="none" w:sz="0" w:space="0" w:color="auto"/>
                    <w:left w:val="none" w:sz="0" w:space="0" w:color="auto"/>
                    <w:bottom w:val="none" w:sz="0" w:space="0" w:color="auto"/>
                    <w:right w:val="none" w:sz="0" w:space="0" w:color="auto"/>
                  </w:divBdr>
                  <w:divsChild>
                    <w:div w:id="748691188">
                      <w:marLeft w:val="0"/>
                      <w:marRight w:val="0"/>
                      <w:marTop w:val="0"/>
                      <w:marBottom w:val="0"/>
                      <w:divBdr>
                        <w:top w:val="none" w:sz="0" w:space="0" w:color="auto"/>
                        <w:left w:val="none" w:sz="0" w:space="0" w:color="auto"/>
                        <w:bottom w:val="none" w:sz="0" w:space="0" w:color="auto"/>
                        <w:right w:val="none" w:sz="0" w:space="0" w:color="auto"/>
                      </w:divBdr>
                      <w:divsChild>
                        <w:div w:id="162465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18614347">
      <w:bodyDiv w:val="1"/>
      <w:marLeft w:val="0"/>
      <w:marRight w:val="0"/>
      <w:marTop w:val="0"/>
      <w:marBottom w:val="0"/>
      <w:divBdr>
        <w:top w:val="none" w:sz="0" w:space="0" w:color="auto"/>
        <w:left w:val="none" w:sz="0" w:space="0" w:color="auto"/>
        <w:bottom w:val="none" w:sz="0" w:space="0" w:color="auto"/>
        <w:right w:val="none" w:sz="0" w:space="0" w:color="auto"/>
      </w:divBdr>
    </w:div>
    <w:div w:id="1523861612">
      <w:bodyDiv w:val="1"/>
      <w:marLeft w:val="0"/>
      <w:marRight w:val="0"/>
      <w:marTop w:val="0"/>
      <w:marBottom w:val="0"/>
      <w:divBdr>
        <w:top w:val="none" w:sz="0" w:space="0" w:color="auto"/>
        <w:left w:val="none" w:sz="0" w:space="0" w:color="auto"/>
        <w:bottom w:val="none" w:sz="0" w:space="0" w:color="auto"/>
        <w:right w:val="none" w:sz="0" w:space="0" w:color="auto"/>
      </w:divBdr>
    </w:div>
    <w:div w:id="1529179170">
      <w:bodyDiv w:val="1"/>
      <w:marLeft w:val="0"/>
      <w:marRight w:val="0"/>
      <w:marTop w:val="0"/>
      <w:marBottom w:val="0"/>
      <w:divBdr>
        <w:top w:val="none" w:sz="0" w:space="0" w:color="auto"/>
        <w:left w:val="none" w:sz="0" w:space="0" w:color="auto"/>
        <w:bottom w:val="none" w:sz="0" w:space="0" w:color="auto"/>
        <w:right w:val="none" w:sz="0" w:space="0" w:color="auto"/>
      </w:divBdr>
    </w:div>
    <w:div w:id="1543514023">
      <w:bodyDiv w:val="1"/>
      <w:marLeft w:val="0"/>
      <w:marRight w:val="0"/>
      <w:marTop w:val="0"/>
      <w:marBottom w:val="0"/>
      <w:divBdr>
        <w:top w:val="none" w:sz="0" w:space="0" w:color="auto"/>
        <w:left w:val="none" w:sz="0" w:space="0" w:color="auto"/>
        <w:bottom w:val="none" w:sz="0" w:space="0" w:color="auto"/>
        <w:right w:val="none" w:sz="0" w:space="0" w:color="auto"/>
      </w:divBdr>
    </w:div>
    <w:div w:id="1559975068">
      <w:bodyDiv w:val="1"/>
      <w:marLeft w:val="0"/>
      <w:marRight w:val="0"/>
      <w:marTop w:val="0"/>
      <w:marBottom w:val="0"/>
      <w:divBdr>
        <w:top w:val="none" w:sz="0" w:space="0" w:color="auto"/>
        <w:left w:val="none" w:sz="0" w:space="0" w:color="auto"/>
        <w:bottom w:val="none" w:sz="0" w:space="0" w:color="auto"/>
        <w:right w:val="none" w:sz="0" w:space="0" w:color="auto"/>
      </w:divBdr>
    </w:div>
    <w:div w:id="1606578064">
      <w:bodyDiv w:val="1"/>
      <w:marLeft w:val="0"/>
      <w:marRight w:val="0"/>
      <w:marTop w:val="0"/>
      <w:marBottom w:val="0"/>
      <w:divBdr>
        <w:top w:val="none" w:sz="0" w:space="0" w:color="auto"/>
        <w:left w:val="none" w:sz="0" w:space="0" w:color="auto"/>
        <w:bottom w:val="none" w:sz="0" w:space="0" w:color="auto"/>
        <w:right w:val="none" w:sz="0" w:space="0" w:color="auto"/>
      </w:divBdr>
    </w:div>
    <w:div w:id="1609695934">
      <w:bodyDiv w:val="1"/>
      <w:marLeft w:val="0"/>
      <w:marRight w:val="0"/>
      <w:marTop w:val="0"/>
      <w:marBottom w:val="0"/>
      <w:divBdr>
        <w:top w:val="none" w:sz="0" w:space="0" w:color="auto"/>
        <w:left w:val="none" w:sz="0" w:space="0" w:color="auto"/>
        <w:bottom w:val="none" w:sz="0" w:space="0" w:color="auto"/>
        <w:right w:val="none" w:sz="0" w:space="0" w:color="auto"/>
      </w:divBdr>
    </w:div>
    <w:div w:id="1621303731">
      <w:bodyDiv w:val="1"/>
      <w:marLeft w:val="0"/>
      <w:marRight w:val="0"/>
      <w:marTop w:val="0"/>
      <w:marBottom w:val="0"/>
      <w:divBdr>
        <w:top w:val="none" w:sz="0" w:space="0" w:color="auto"/>
        <w:left w:val="none" w:sz="0" w:space="0" w:color="auto"/>
        <w:bottom w:val="none" w:sz="0" w:space="0" w:color="auto"/>
        <w:right w:val="none" w:sz="0" w:space="0" w:color="auto"/>
      </w:divBdr>
    </w:div>
    <w:div w:id="1631328503">
      <w:bodyDiv w:val="1"/>
      <w:marLeft w:val="0"/>
      <w:marRight w:val="0"/>
      <w:marTop w:val="0"/>
      <w:marBottom w:val="0"/>
      <w:divBdr>
        <w:top w:val="none" w:sz="0" w:space="0" w:color="auto"/>
        <w:left w:val="none" w:sz="0" w:space="0" w:color="auto"/>
        <w:bottom w:val="none" w:sz="0" w:space="0" w:color="auto"/>
        <w:right w:val="none" w:sz="0" w:space="0" w:color="auto"/>
      </w:divBdr>
    </w:div>
    <w:div w:id="1732388998">
      <w:bodyDiv w:val="1"/>
      <w:marLeft w:val="0"/>
      <w:marRight w:val="0"/>
      <w:marTop w:val="0"/>
      <w:marBottom w:val="0"/>
      <w:divBdr>
        <w:top w:val="none" w:sz="0" w:space="0" w:color="auto"/>
        <w:left w:val="none" w:sz="0" w:space="0" w:color="auto"/>
        <w:bottom w:val="none" w:sz="0" w:space="0" w:color="auto"/>
        <w:right w:val="none" w:sz="0" w:space="0" w:color="auto"/>
      </w:divBdr>
    </w:div>
    <w:div w:id="1736708940">
      <w:bodyDiv w:val="1"/>
      <w:marLeft w:val="0"/>
      <w:marRight w:val="0"/>
      <w:marTop w:val="0"/>
      <w:marBottom w:val="0"/>
      <w:divBdr>
        <w:top w:val="none" w:sz="0" w:space="0" w:color="auto"/>
        <w:left w:val="none" w:sz="0" w:space="0" w:color="auto"/>
        <w:bottom w:val="none" w:sz="0" w:space="0" w:color="auto"/>
        <w:right w:val="none" w:sz="0" w:space="0" w:color="auto"/>
      </w:divBdr>
      <w:divsChild>
        <w:div w:id="742996321">
          <w:marLeft w:val="0"/>
          <w:marRight w:val="0"/>
          <w:marTop w:val="0"/>
          <w:marBottom w:val="0"/>
          <w:divBdr>
            <w:top w:val="none" w:sz="0" w:space="0" w:color="auto"/>
            <w:left w:val="none" w:sz="0" w:space="0" w:color="auto"/>
            <w:bottom w:val="none" w:sz="0" w:space="0" w:color="auto"/>
            <w:right w:val="none" w:sz="0" w:space="0" w:color="auto"/>
          </w:divBdr>
          <w:divsChild>
            <w:div w:id="697202998">
              <w:marLeft w:val="0"/>
              <w:marRight w:val="0"/>
              <w:marTop w:val="0"/>
              <w:marBottom w:val="0"/>
              <w:divBdr>
                <w:top w:val="none" w:sz="0" w:space="0" w:color="auto"/>
                <w:left w:val="none" w:sz="0" w:space="0" w:color="auto"/>
                <w:bottom w:val="none" w:sz="0" w:space="0" w:color="auto"/>
                <w:right w:val="none" w:sz="0" w:space="0" w:color="auto"/>
              </w:divBdr>
              <w:divsChild>
                <w:div w:id="1489445454">
                  <w:marLeft w:val="0"/>
                  <w:marRight w:val="0"/>
                  <w:marTop w:val="0"/>
                  <w:marBottom w:val="0"/>
                  <w:divBdr>
                    <w:top w:val="none" w:sz="0" w:space="0" w:color="auto"/>
                    <w:left w:val="none" w:sz="0" w:space="0" w:color="auto"/>
                    <w:bottom w:val="none" w:sz="0" w:space="0" w:color="auto"/>
                    <w:right w:val="none" w:sz="0" w:space="0" w:color="auto"/>
                  </w:divBdr>
                  <w:divsChild>
                    <w:div w:id="1208646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0076899">
      <w:bodyDiv w:val="1"/>
      <w:marLeft w:val="0"/>
      <w:marRight w:val="0"/>
      <w:marTop w:val="0"/>
      <w:marBottom w:val="0"/>
      <w:divBdr>
        <w:top w:val="none" w:sz="0" w:space="0" w:color="auto"/>
        <w:left w:val="none" w:sz="0" w:space="0" w:color="auto"/>
        <w:bottom w:val="none" w:sz="0" w:space="0" w:color="auto"/>
        <w:right w:val="none" w:sz="0" w:space="0" w:color="auto"/>
      </w:divBdr>
    </w:div>
    <w:div w:id="1767845190">
      <w:bodyDiv w:val="1"/>
      <w:marLeft w:val="0"/>
      <w:marRight w:val="0"/>
      <w:marTop w:val="0"/>
      <w:marBottom w:val="0"/>
      <w:divBdr>
        <w:top w:val="none" w:sz="0" w:space="0" w:color="auto"/>
        <w:left w:val="none" w:sz="0" w:space="0" w:color="auto"/>
        <w:bottom w:val="none" w:sz="0" w:space="0" w:color="auto"/>
        <w:right w:val="none" w:sz="0" w:space="0" w:color="auto"/>
      </w:divBdr>
    </w:div>
    <w:div w:id="1810780425">
      <w:bodyDiv w:val="1"/>
      <w:marLeft w:val="0"/>
      <w:marRight w:val="0"/>
      <w:marTop w:val="0"/>
      <w:marBottom w:val="0"/>
      <w:divBdr>
        <w:top w:val="none" w:sz="0" w:space="0" w:color="auto"/>
        <w:left w:val="none" w:sz="0" w:space="0" w:color="auto"/>
        <w:bottom w:val="none" w:sz="0" w:space="0" w:color="auto"/>
        <w:right w:val="none" w:sz="0" w:space="0" w:color="auto"/>
      </w:divBdr>
    </w:div>
    <w:div w:id="1819298760">
      <w:bodyDiv w:val="1"/>
      <w:marLeft w:val="0"/>
      <w:marRight w:val="0"/>
      <w:marTop w:val="0"/>
      <w:marBottom w:val="0"/>
      <w:divBdr>
        <w:top w:val="none" w:sz="0" w:space="0" w:color="auto"/>
        <w:left w:val="none" w:sz="0" w:space="0" w:color="auto"/>
        <w:bottom w:val="none" w:sz="0" w:space="0" w:color="auto"/>
        <w:right w:val="none" w:sz="0" w:space="0" w:color="auto"/>
      </w:divBdr>
    </w:div>
    <w:div w:id="1827236000">
      <w:bodyDiv w:val="1"/>
      <w:marLeft w:val="0"/>
      <w:marRight w:val="0"/>
      <w:marTop w:val="0"/>
      <w:marBottom w:val="0"/>
      <w:divBdr>
        <w:top w:val="none" w:sz="0" w:space="0" w:color="auto"/>
        <w:left w:val="none" w:sz="0" w:space="0" w:color="auto"/>
        <w:bottom w:val="none" w:sz="0" w:space="0" w:color="auto"/>
        <w:right w:val="none" w:sz="0" w:space="0" w:color="auto"/>
      </w:divBdr>
    </w:div>
    <w:div w:id="1833836342">
      <w:bodyDiv w:val="1"/>
      <w:marLeft w:val="0"/>
      <w:marRight w:val="0"/>
      <w:marTop w:val="0"/>
      <w:marBottom w:val="0"/>
      <w:divBdr>
        <w:top w:val="none" w:sz="0" w:space="0" w:color="auto"/>
        <w:left w:val="none" w:sz="0" w:space="0" w:color="auto"/>
        <w:bottom w:val="none" w:sz="0" w:space="0" w:color="auto"/>
        <w:right w:val="none" w:sz="0" w:space="0" w:color="auto"/>
      </w:divBdr>
    </w:div>
    <w:div w:id="1848670764">
      <w:bodyDiv w:val="1"/>
      <w:marLeft w:val="0"/>
      <w:marRight w:val="0"/>
      <w:marTop w:val="0"/>
      <w:marBottom w:val="0"/>
      <w:divBdr>
        <w:top w:val="none" w:sz="0" w:space="0" w:color="auto"/>
        <w:left w:val="none" w:sz="0" w:space="0" w:color="auto"/>
        <w:bottom w:val="none" w:sz="0" w:space="0" w:color="auto"/>
        <w:right w:val="none" w:sz="0" w:space="0" w:color="auto"/>
      </w:divBdr>
    </w:div>
    <w:div w:id="1851337754">
      <w:bodyDiv w:val="1"/>
      <w:marLeft w:val="0"/>
      <w:marRight w:val="0"/>
      <w:marTop w:val="0"/>
      <w:marBottom w:val="0"/>
      <w:divBdr>
        <w:top w:val="none" w:sz="0" w:space="0" w:color="auto"/>
        <w:left w:val="none" w:sz="0" w:space="0" w:color="auto"/>
        <w:bottom w:val="none" w:sz="0" w:space="0" w:color="auto"/>
        <w:right w:val="none" w:sz="0" w:space="0" w:color="auto"/>
      </w:divBdr>
    </w:div>
    <w:div w:id="1876891903">
      <w:bodyDiv w:val="1"/>
      <w:marLeft w:val="0"/>
      <w:marRight w:val="0"/>
      <w:marTop w:val="0"/>
      <w:marBottom w:val="0"/>
      <w:divBdr>
        <w:top w:val="none" w:sz="0" w:space="0" w:color="auto"/>
        <w:left w:val="none" w:sz="0" w:space="0" w:color="auto"/>
        <w:bottom w:val="none" w:sz="0" w:space="0" w:color="auto"/>
        <w:right w:val="none" w:sz="0" w:space="0" w:color="auto"/>
      </w:divBdr>
    </w:div>
    <w:div w:id="1900283541">
      <w:bodyDiv w:val="1"/>
      <w:marLeft w:val="0"/>
      <w:marRight w:val="0"/>
      <w:marTop w:val="0"/>
      <w:marBottom w:val="0"/>
      <w:divBdr>
        <w:top w:val="none" w:sz="0" w:space="0" w:color="auto"/>
        <w:left w:val="none" w:sz="0" w:space="0" w:color="auto"/>
        <w:bottom w:val="none" w:sz="0" w:space="0" w:color="auto"/>
        <w:right w:val="none" w:sz="0" w:space="0" w:color="auto"/>
      </w:divBdr>
      <w:divsChild>
        <w:div w:id="529607275">
          <w:marLeft w:val="0"/>
          <w:marRight w:val="0"/>
          <w:marTop w:val="0"/>
          <w:marBottom w:val="0"/>
          <w:divBdr>
            <w:top w:val="none" w:sz="0" w:space="0" w:color="auto"/>
            <w:left w:val="none" w:sz="0" w:space="0" w:color="auto"/>
            <w:bottom w:val="none" w:sz="0" w:space="0" w:color="auto"/>
            <w:right w:val="none" w:sz="0" w:space="0" w:color="auto"/>
          </w:divBdr>
          <w:divsChild>
            <w:div w:id="1536231806">
              <w:marLeft w:val="0"/>
              <w:marRight w:val="0"/>
              <w:marTop w:val="0"/>
              <w:marBottom w:val="0"/>
              <w:divBdr>
                <w:top w:val="none" w:sz="0" w:space="0" w:color="auto"/>
                <w:left w:val="none" w:sz="0" w:space="0" w:color="auto"/>
                <w:bottom w:val="none" w:sz="0" w:space="0" w:color="auto"/>
                <w:right w:val="none" w:sz="0" w:space="0" w:color="auto"/>
              </w:divBdr>
              <w:divsChild>
                <w:div w:id="1974092780">
                  <w:marLeft w:val="0"/>
                  <w:marRight w:val="0"/>
                  <w:marTop w:val="0"/>
                  <w:marBottom w:val="0"/>
                  <w:divBdr>
                    <w:top w:val="none" w:sz="0" w:space="0" w:color="auto"/>
                    <w:left w:val="none" w:sz="0" w:space="0" w:color="auto"/>
                    <w:bottom w:val="none" w:sz="0" w:space="0" w:color="auto"/>
                    <w:right w:val="none" w:sz="0" w:space="0" w:color="auto"/>
                  </w:divBdr>
                  <w:divsChild>
                    <w:div w:id="2030400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3633536">
      <w:bodyDiv w:val="1"/>
      <w:marLeft w:val="0"/>
      <w:marRight w:val="0"/>
      <w:marTop w:val="0"/>
      <w:marBottom w:val="0"/>
      <w:divBdr>
        <w:top w:val="none" w:sz="0" w:space="0" w:color="auto"/>
        <w:left w:val="none" w:sz="0" w:space="0" w:color="auto"/>
        <w:bottom w:val="none" w:sz="0" w:space="0" w:color="auto"/>
        <w:right w:val="none" w:sz="0" w:space="0" w:color="auto"/>
      </w:divBdr>
    </w:div>
    <w:div w:id="1910533830">
      <w:bodyDiv w:val="1"/>
      <w:marLeft w:val="0"/>
      <w:marRight w:val="0"/>
      <w:marTop w:val="0"/>
      <w:marBottom w:val="0"/>
      <w:divBdr>
        <w:top w:val="none" w:sz="0" w:space="0" w:color="auto"/>
        <w:left w:val="none" w:sz="0" w:space="0" w:color="auto"/>
        <w:bottom w:val="none" w:sz="0" w:space="0" w:color="auto"/>
        <w:right w:val="none" w:sz="0" w:space="0" w:color="auto"/>
      </w:divBdr>
    </w:div>
    <w:div w:id="1985887733">
      <w:bodyDiv w:val="1"/>
      <w:marLeft w:val="0"/>
      <w:marRight w:val="0"/>
      <w:marTop w:val="0"/>
      <w:marBottom w:val="0"/>
      <w:divBdr>
        <w:top w:val="none" w:sz="0" w:space="0" w:color="auto"/>
        <w:left w:val="none" w:sz="0" w:space="0" w:color="auto"/>
        <w:bottom w:val="none" w:sz="0" w:space="0" w:color="auto"/>
        <w:right w:val="none" w:sz="0" w:space="0" w:color="auto"/>
      </w:divBdr>
      <w:divsChild>
        <w:div w:id="198858678">
          <w:marLeft w:val="0"/>
          <w:marRight w:val="0"/>
          <w:marTop w:val="0"/>
          <w:marBottom w:val="0"/>
          <w:divBdr>
            <w:top w:val="none" w:sz="0" w:space="0" w:color="auto"/>
            <w:left w:val="none" w:sz="0" w:space="0" w:color="auto"/>
            <w:bottom w:val="none" w:sz="0" w:space="0" w:color="auto"/>
            <w:right w:val="none" w:sz="0" w:space="0" w:color="auto"/>
          </w:divBdr>
          <w:divsChild>
            <w:div w:id="2139444430">
              <w:marLeft w:val="0"/>
              <w:marRight w:val="0"/>
              <w:marTop w:val="0"/>
              <w:marBottom w:val="0"/>
              <w:divBdr>
                <w:top w:val="none" w:sz="0" w:space="0" w:color="auto"/>
                <w:left w:val="none" w:sz="0" w:space="0" w:color="auto"/>
                <w:bottom w:val="none" w:sz="0" w:space="0" w:color="auto"/>
                <w:right w:val="none" w:sz="0" w:space="0" w:color="auto"/>
              </w:divBdr>
              <w:divsChild>
                <w:div w:id="349795169">
                  <w:marLeft w:val="0"/>
                  <w:marRight w:val="0"/>
                  <w:marTop w:val="0"/>
                  <w:marBottom w:val="0"/>
                  <w:divBdr>
                    <w:top w:val="none" w:sz="0" w:space="0" w:color="auto"/>
                    <w:left w:val="none" w:sz="0" w:space="0" w:color="auto"/>
                    <w:bottom w:val="none" w:sz="0" w:space="0" w:color="auto"/>
                    <w:right w:val="none" w:sz="0" w:space="0" w:color="auto"/>
                  </w:divBdr>
                  <w:divsChild>
                    <w:div w:id="665132865">
                      <w:marLeft w:val="0"/>
                      <w:marRight w:val="0"/>
                      <w:marTop w:val="0"/>
                      <w:marBottom w:val="0"/>
                      <w:divBdr>
                        <w:top w:val="none" w:sz="0" w:space="0" w:color="auto"/>
                        <w:left w:val="none" w:sz="0" w:space="0" w:color="auto"/>
                        <w:bottom w:val="none" w:sz="0" w:space="0" w:color="auto"/>
                        <w:right w:val="none" w:sz="0" w:space="0" w:color="auto"/>
                      </w:divBdr>
                      <w:divsChild>
                        <w:div w:id="290719989">
                          <w:marLeft w:val="0"/>
                          <w:marRight w:val="0"/>
                          <w:marTop w:val="0"/>
                          <w:marBottom w:val="0"/>
                          <w:divBdr>
                            <w:top w:val="none" w:sz="0" w:space="0" w:color="auto"/>
                            <w:left w:val="none" w:sz="0" w:space="0" w:color="auto"/>
                            <w:bottom w:val="none" w:sz="0" w:space="0" w:color="auto"/>
                            <w:right w:val="none" w:sz="0" w:space="0" w:color="auto"/>
                          </w:divBdr>
                          <w:divsChild>
                            <w:div w:id="811293225">
                              <w:marLeft w:val="0"/>
                              <w:marRight w:val="0"/>
                              <w:marTop w:val="0"/>
                              <w:marBottom w:val="0"/>
                              <w:divBdr>
                                <w:top w:val="none" w:sz="0" w:space="0" w:color="auto"/>
                                <w:left w:val="none" w:sz="0" w:space="0" w:color="auto"/>
                                <w:bottom w:val="none" w:sz="0" w:space="0" w:color="auto"/>
                                <w:right w:val="none" w:sz="0" w:space="0" w:color="auto"/>
                              </w:divBdr>
                            </w:div>
                            <w:div w:id="1644313231">
                              <w:marLeft w:val="0"/>
                              <w:marRight w:val="0"/>
                              <w:marTop w:val="0"/>
                              <w:marBottom w:val="0"/>
                              <w:divBdr>
                                <w:top w:val="none" w:sz="0" w:space="0" w:color="auto"/>
                                <w:left w:val="none" w:sz="0" w:space="0" w:color="auto"/>
                                <w:bottom w:val="none" w:sz="0" w:space="0" w:color="auto"/>
                                <w:right w:val="none" w:sz="0" w:space="0" w:color="auto"/>
                              </w:divBdr>
                              <w:divsChild>
                                <w:div w:id="1515338125">
                                  <w:marLeft w:val="0"/>
                                  <w:marRight w:val="0"/>
                                  <w:marTop w:val="0"/>
                                  <w:marBottom w:val="0"/>
                                  <w:divBdr>
                                    <w:top w:val="none" w:sz="0" w:space="0" w:color="auto"/>
                                    <w:left w:val="none" w:sz="0" w:space="0" w:color="auto"/>
                                    <w:bottom w:val="none" w:sz="0" w:space="0" w:color="auto"/>
                                    <w:right w:val="none" w:sz="0" w:space="0" w:color="auto"/>
                                  </w:divBdr>
                                  <w:divsChild>
                                    <w:div w:id="1829591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94486179">
      <w:bodyDiv w:val="1"/>
      <w:marLeft w:val="0"/>
      <w:marRight w:val="0"/>
      <w:marTop w:val="0"/>
      <w:marBottom w:val="0"/>
      <w:divBdr>
        <w:top w:val="none" w:sz="0" w:space="0" w:color="auto"/>
        <w:left w:val="none" w:sz="0" w:space="0" w:color="auto"/>
        <w:bottom w:val="none" w:sz="0" w:space="0" w:color="auto"/>
        <w:right w:val="none" w:sz="0" w:space="0" w:color="auto"/>
      </w:divBdr>
    </w:div>
    <w:div w:id="2033919264">
      <w:bodyDiv w:val="1"/>
      <w:marLeft w:val="0"/>
      <w:marRight w:val="0"/>
      <w:marTop w:val="0"/>
      <w:marBottom w:val="0"/>
      <w:divBdr>
        <w:top w:val="none" w:sz="0" w:space="0" w:color="auto"/>
        <w:left w:val="none" w:sz="0" w:space="0" w:color="auto"/>
        <w:bottom w:val="none" w:sz="0" w:space="0" w:color="auto"/>
        <w:right w:val="none" w:sz="0" w:space="0" w:color="auto"/>
      </w:divBdr>
    </w:div>
    <w:div w:id="2034257789">
      <w:bodyDiv w:val="1"/>
      <w:marLeft w:val="0"/>
      <w:marRight w:val="0"/>
      <w:marTop w:val="0"/>
      <w:marBottom w:val="0"/>
      <w:divBdr>
        <w:top w:val="none" w:sz="0" w:space="0" w:color="auto"/>
        <w:left w:val="none" w:sz="0" w:space="0" w:color="auto"/>
        <w:bottom w:val="none" w:sz="0" w:space="0" w:color="auto"/>
        <w:right w:val="none" w:sz="0" w:space="0" w:color="auto"/>
      </w:divBdr>
    </w:div>
    <w:div w:id="2039041220">
      <w:bodyDiv w:val="1"/>
      <w:marLeft w:val="0"/>
      <w:marRight w:val="0"/>
      <w:marTop w:val="0"/>
      <w:marBottom w:val="0"/>
      <w:divBdr>
        <w:top w:val="none" w:sz="0" w:space="0" w:color="auto"/>
        <w:left w:val="none" w:sz="0" w:space="0" w:color="auto"/>
        <w:bottom w:val="none" w:sz="0" w:space="0" w:color="auto"/>
        <w:right w:val="none" w:sz="0" w:space="0" w:color="auto"/>
      </w:divBdr>
    </w:div>
    <w:div w:id="2046634585">
      <w:bodyDiv w:val="1"/>
      <w:marLeft w:val="0"/>
      <w:marRight w:val="0"/>
      <w:marTop w:val="0"/>
      <w:marBottom w:val="0"/>
      <w:divBdr>
        <w:top w:val="none" w:sz="0" w:space="0" w:color="auto"/>
        <w:left w:val="none" w:sz="0" w:space="0" w:color="auto"/>
        <w:bottom w:val="none" w:sz="0" w:space="0" w:color="auto"/>
        <w:right w:val="none" w:sz="0" w:space="0" w:color="auto"/>
      </w:divBdr>
    </w:div>
    <w:div w:id="2052537950">
      <w:bodyDiv w:val="1"/>
      <w:marLeft w:val="0"/>
      <w:marRight w:val="0"/>
      <w:marTop w:val="0"/>
      <w:marBottom w:val="0"/>
      <w:divBdr>
        <w:top w:val="none" w:sz="0" w:space="0" w:color="auto"/>
        <w:left w:val="none" w:sz="0" w:space="0" w:color="auto"/>
        <w:bottom w:val="none" w:sz="0" w:space="0" w:color="auto"/>
        <w:right w:val="none" w:sz="0" w:space="0" w:color="auto"/>
      </w:divBdr>
    </w:div>
    <w:div w:id="2057777176">
      <w:bodyDiv w:val="1"/>
      <w:marLeft w:val="0"/>
      <w:marRight w:val="0"/>
      <w:marTop w:val="0"/>
      <w:marBottom w:val="0"/>
      <w:divBdr>
        <w:top w:val="none" w:sz="0" w:space="0" w:color="auto"/>
        <w:left w:val="none" w:sz="0" w:space="0" w:color="auto"/>
        <w:bottom w:val="none" w:sz="0" w:space="0" w:color="auto"/>
        <w:right w:val="none" w:sz="0" w:space="0" w:color="auto"/>
      </w:divBdr>
    </w:div>
    <w:div w:id="2074231683">
      <w:bodyDiv w:val="1"/>
      <w:marLeft w:val="0"/>
      <w:marRight w:val="0"/>
      <w:marTop w:val="0"/>
      <w:marBottom w:val="0"/>
      <w:divBdr>
        <w:top w:val="none" w:sz="0" w:space="0" w:color="auto"/>
        <w:left w:val="none" w:sz="0" w:space="0" w:color="auto"/>
        <w:bottom w:val="none" w:sz="0" w:space="0" w:color="auto"/>
        <w:right w:val="none" w:sz="0" w:space="0" w:color="auto"/>
      </w:divBdr>
    </w:div>
    <w:div w:id="2102993143">
      <w:bodyDiv w:val="1"/>
      <w:marLeft w:val="0"/>
      <w:marRight w:val="0"/>
      <w:marTop w:val="0"/>
      <w:marBottom w:val="0"/>
      <w:divBdr>
        <w:top w:val="none" w:sz="0" w:space="0" w:color="auto"/>
        <w:left w:val="none" w:sz="0" w:space="0" w:color="auto"/>
        <w:bottom w:val="none" w:sz="0" w:space="0" w:color="auto"/>
        <w:right w:val="none" w:sz="0" w:space="0" w:color="auto"/>
      </w:divBdr>
    </w:div>
    <w:div w:id="2105179720">
      <w:bodyDiv w:val="1"/>
      <w:marLeft w:val="0"/>
      <w:marRight w:val="0"/>
      <w:marTop w:val="0"/>
      <w:marBottom w:val="0"/>
      <w:divBdr>
        <w:top w:val="none" w:sz="0" w:space="0" w:color="auto"/>
        <w:left w:val="none" w:sz="0" w:space="0" w:color="auto"/>
        <w:bottom w:val="none" w:sz="0" w:space="0" w:color="auto"/>
        <w:right w:val="none" w:sz="0" w:space="0" w:color="auto"/>
      </w:divBdr>
    </w:div>
    <w:div w:id="2113627713">
      <w:bodyDiv w:val="1"/>
      <w:marLeft w:val="0"/>
      <w:marRight w:val="0"/>
      <w:marTop w:val="0"/>
      <w:marBottom w:val="0"/>
      <w:divBdr>
        <w:top w:val="none" w:sz="0" w:space="0" w:color="auto"/>
        <w:left w:val="none" w:sz="0" w:space="0" w:color="auto"/>
        <w:bottom w:val="none" w:sz="0" w:space="0" w:color="auto"/>
        <w:right w:val="none" w:sz="0" w:space="0" w:color="auto"/>
      </w:divBdr>
    </w:div>
    <w:div w:id="2118987939">
      <w:bodyDiv w:val="1"/>
      <w:marLeft w:val="0"/>
      <w:marRight w:val="0"/>
      <w:marTop w:val="0"/>
      <w:marBottom w:val="0"/>
      <w:divBdr>
        <w:top w:val="none" w:sz="0" w:space="0" w:color="auto"/>
        <w:left w:val="none" w:sz="0" w:space="0" w:color="auto"/>
        <w:bottom w:val="none" w:sz="0" w:space="0" w:color="auto"/>
        <w:right w:val="none" w:sz="0" w:space="0" w:color="auto"/>
      </w:divBdr>
    </w:div>
    <w:div w:id="2141653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9.emf"/><Relationship Id="rId299" Type="http://schemas.openxmlformats.org/officeDocument/2006/relationships/hyperlink" Target="http://imcp.org.mx/wp-content/uploads/2015/02/Fiscoactualidades-febrero_n%C3%BAm-04.pdf" TargetMode="External"/><Relationship Id="rId21" Type="http://schemas.openxmlformats.org/officeDocument/2006/relationships/image" Target="media/image13.emf"/><Relationship Id="rId63" Type="http://schemas.openxmlformats.org/officeDocument/2006/relationships/image" Target="media/image52.emf"/><Relationship Id="rId159" Type="http://schemas.openxmlformats.org/officeDocument/2006/relationships/image" Target="media/image106.emf"/><Relationship Id="rId324" Type="http://schemas.openxmlformats.org/officeDocument/2006/relationships/hyperlink" Target="http://www.ipab.org.mx/docs/prensa/el-cesf-actualiza-su-balance-de-riesgos-y-aprueba-su-cuarto-informe-anual.pdf" TargetMode="External"/><Relationship Id="rId366" Type="http://schemas.openxmlformats.org/officeDocument/2006/relationships/image" Target="media/image231.emf"/><Relationship Id="rId170" Type="http://schemas.openxmlformats.org/officeDocument/2006/relationships/image" Target="media/image116.emf"/><Relationship Id="rId226" Type="http://schemas.openxmlformats.org/officeDocument/2006/relationships/image" Target="media/image148.emf"/><Relationship Id="rId433" Type="http://schemas.openxmlformats.org/officeDocument/2006/relationships/image" Target="media/image264.emf"/><Relationship Id="rId268" Type="http://schemas.openxmlformats.org/officeDocument/2006/relationships/image" Target="media/image188.emf"/><Relationship Id="rId32" Type="http://schemas.openxmlformats.org/officeDocument/2006/relationships/image" Target="media/image24.emf"/><Relationship Id="rId74" Type="http://schemas.openxmlformats.org/officeDocument/2006/relationships/image" Target="media/image63.emf"/><Relationship Id="rId128" Type="http://schemas.openxmlformats.org/officeDocument/2006/relationships/hyperlink" Target="http://www.sedatu.gob.mx/sraweb/noticias/noticias-2015/febrero-2015/21044/" TargetMode="External"/><Relationship Id="rId335" Type="http://schemas.openxmlformats.org/officeDocument/2006/relationships/hyperlink" Target="http://www.banxico.org.mx/informacion-para-la-prensa/comunicados/sector-financiero/financiamiento-empresas/%7B176F9E2A-D7BF-DED9-1AA1-2C3C2CB2835C%7D.pdf" TargetMode="External"/><Relationship Id="rId377" Type="http://schemas.openxmlformats.org/officeDocument/2006/relationships/hyperlink" Target="http://www.consar.gob.mx/sala_prensa/PDF/boletines/BP-10-2015.pdf" TargetMode="External"/><Relationship Id="rId5" Type="http://schemas.openxmlformats.org/officeDocument/2006/relationships/webSettings" Target="webSettings.xml"/><Relationship Id="rId181" Type="http://schemas.openxmlformats.org/officeDocument/2006/relationships/image" Target="media/image126.emf"/><Relationship Id="rId237" Type="http://schemas.openxmlformats.org/officeDocument/2006/relationships/image" Target="media/image158.emf"/><Relationship Id="rId402" Type="http://schemas.openxmlformats.org/officeDocument/2006/relationships/image" Target="media/image250.emf"/><Relationship Id="rId279" Type="http://schemas.openxmlformats.org/officeDocument/2006/relationships/image" Target="media/image199.emf"/><Relationship Id="rId444" Type="http://schemas.openxmlformats.org/officeDocument/2006/relationships/hyperlink" Target="http://www.banxico.org.mx/publicaciones-y-discursos/discursos-y-presentaciones/discursos/%7bB11BF5F4-8DE2-DC2D-8FE0-5E787EC54C56%7d.pdf" TargetMode="External"/><Relationship Id="rId43" Type="http://schemas.openxmlformats.org/officeDocument/2006/relationships/hyperlink" Target="http://www.fitchratings.mx/ArchivosHTML/Com_13821.pdf" TargetMode="External"/><Relationship Id="rId139" Type="http://schemas.openxmlformats.org/officeDocument/2006/relationships/hyperlink" Target="http://www.sentidocomun.com.mx/articulo.phtml?id=18322" TargetMode="External"/><Relationship Id="rId290" Type="http://schemas.openxmlformats.org/officeDocument/2006/relationships/hyperlink" Target="http://www.shcp.gob.mx/Biblioteca_noticias_home/comunicado_018_2015.pdf" TargetMode="External"/><Relationship Id="rId304" Type="http://schemas.openxmlformats.org/officeDocument/2006/relationships/image" Target="media/image212.emf"/><Relationship Id="rId346" Type="http://schemas.openxmlformats.org/officeDocument/2006/relationships/hyperlink" Target="http://www.condusef.gob.mx/index.php/prensa/comunicados-2015/1160-detecta-el-redeco-115-despachos-que-sin-estar-registrados-ejercen-acciones-de-cobranza-a-nombre-de-instituciones-financieras-condusef" TargetMode="External"/><Relationship Id="rId388" Type="http://schemas.openxmlformats.org/officeDocument/2006/relationships/image" Target="media/image236.png"/><Relationship Id="rId85" Type="http://schemas.openxmlformats.org/officeDocument/2006/relationships/image" Target="media/image73.emf"/><Relationship Id="rId150" Type="http://schemas.openxmlformats.org/officeDocument/2006/relationships/image" Target="media/image99.emf"/><Relationship Id="rId192" Type="http://schemas.openxmlformats.org/officeDocument/2006/relationships/hyperlink" Target="http://www.economia.gob.mx/eventos-noticias/sala-de-prensa/comunicados/10931-comunicado-conjunto15-0304" TargetMode="External"/><Relationship Id="rId206" Type="http://schemas.openxmlformats.org/officeDocument/2006/relationships/image" Target="media/image137.emf"/><Relationship Id="rId413" Type="http://schemas.openxmlformats.org/officeDocument/2006/relationships/hyperlink" Target="http://www.banxico.org.mx/informacion-para-la-prensa/comunicados/banco-de-mexico/edo-cuenta-semanal/%7B734B0101-FOEO-2475-81AO-C7372OACD828%70.pdf" TargetMode="External"/><Relationship Id="rId248" Type="http://schemas.openxmlformats.org/officeDocument/2006/relationships/image" Target="media/image168.emf"/><Relationship Id="rId455" Type="http://schemas.openxmlformats.org/officeDocument/2006/relationships/fontTable" Target="fontTable.xml"/><Relationship Id="rId12" Type="http://schemas.openxmlformats.org/officeDocument/2006/relationships/image" Target="media/image4.emf"/><Relationship Id="rId108" Type="http://schemas.openxmlformats.org/officeDocument/2006/relationships/image" Target="media/image80.emf"/><Relationship Id="rId315" Type="http://schemas.openxmlformats.org/officeDocument/2006/relationships/hyperlink" Target="http://www.inegi.org.mx/saladeprensa/boletines/2015/especiales/especiales2015_03_3.pdf" TargetMode="External"/><Relationship Id="rId357" Type="http://schemas.openxmlformats.org/officeDocument/2006/relationships/hyperlink" Target="http://www.fitchratings.mx/ArchivosHTML/ComRE_13801.html" TargetMode="External"/><Relationship Id="rId54" Type="http://schemas.openxmlformats.org/officeDocument/2006/relationships/image" Target="media/image44.emf"/><Relationship Id="rId96" Type="http://schemas.openxmlformats.org/officeDocument/2006/relationships/hyperlink" Target="http://www.sct.gob.mx/despliega-noticias/article/palabras-del-srio-gerardo-ruiz-esparza-durante-la-inauguracion-del-distribuidor-vial-5-de-mayo-pr/" TargetMode="External"/><Relationship Id="rId161" Type="http://schemas.openxmlformats.org/officeDocument/2006/relationships/image" Target="media/image108.emf"/><Relationship Id="rId217" Type="http://schemas.openxmlformats.org/officeDocument/2006/relationships/image" Target="media/image146.emf"/><Relationship Id="rId399" Type="http://schemas.openxmlformats.org/officeDocument/2006/relationships/image" Target="media/image247.png"/><Relationship Id="rId259" Type="http://schemas.openxmlformats.org/officeDocument/2006/relationships/image" Target="media/image179.emf"/><Relationship Id="rId424" Type="http://schemas.openxmlformats.org/officeDocument/2006/relationships/image" Target="media/image259.emf"/><Relationship Id="rId23" Type="http://schemas.openxmlformats.org/officeDocument/2006/relationships/image" Target="media/image15.emf"/><Relationship Id="rId119" Type="http://schemas.openxmlformats.org/officeDocument/2006/relationships/hyperlink" Target="http://www.inegi.org.mx/saladeprensa/boletines/2015/actind/actind2015_03.pdf" TargetMode="External"/><Relationship Id="rId270" Type="http://schemas.openxmlformats.org/officeDocument/2006/relationships/image" Target="media/image190.emf"/><Relationship Id="rId326" Type="http://schemas.openxmlformats.org/officeDocument/2006/relationships/hyperlink" Target="http://www.cnbv.gob.mx/SECTORES-SUPERVISADOS/BANCA-MULTIPLE/Prensa%20%20Sector%20Bancario/20150304_BM%20_Comunicado_de_Prensa_Ene_15.pdf" TargetMode="External"/><Relationship Id="rId65" Type="http://schemas.openxmlformats.org/officeDocument/2006/relationships/image" Target="media/image54.emf"/><Relationship Id="rId130" Type="http://schemas.openxmlformats.org/officeDocument/2006/relationships/image" Target="media/image92.emf"/><Relationship Id="rId368" Type="http://schemas.openxmlformats.org/officeDocument/2006/relationships/hyperlink" Target="https://www.bbvaresearch.com/wp-content/uploads/2015/02/Situacion-Banca-Febrero-20151.pdf" TargetMode="External"/><Relationship Id="rId172" Type="http://schemas.openxmlformats.org/officeDocument/2006/relationships/image" Target="media/image118.emf"/><Relationship Id="rId228" Type="http://schemas.openxmlformats.org/officeDocument/2006/relationships/image" Target="media/image150.emf"/><Relationship Id="rId435" Type="http://schemas.openxmlformats.org/officeDocument/2006/relationships/image" Target="media/image266.emf"/><Relationship Id="rId281" Type="http://schemas.openxmlformats.org/officeDocument/2006/relationships/image" Target="media/image201.emf"/><Relationship Id="rId337" Type="http://schemas.openxmlformats.org/officeDocument/2006/relationships/hyperlink" Target="http://www.cnbv,gob.mx" TargetMode="External"/><Relationship Id="rId34" Type="http://schemas.openxmlformats.org/officeDocument/2006/relationships/image" Target="media/image26.emf"/><Relationship Id="rId76" Type="http://schemas.openxmlformats.org/officeDocument/2006/relationships/image" Target="media/image65.emf"/><Relationship Id="rId141" Type="http://schemas.openxmlformats.org/officeDocument/2006/relationships/image" Target="media/image94.emf"/><Relationship Id="rId379" Type="http://schemas.openxmlformats.org/officeDocument/2006/relationships/hyperlink" Target="http://www.consar.gob.mx/panorama_sar/cuentas_administrados.aspx" TargetMode="External"/><Relationship Id="rId7" Type="http://schemas.openxmlformats.org/officeDocument/2006/relationships/endnotes" Target="endnotes.xml"/><Relationship Id="rId183" Type="http://schemas.openxmlformats.org/officeDocument/2006/relationships/image" Target="media/image128.emf"/><Relationship Id="rId239" Type="http://schemas.openxmlformats.org/officeDocument/2006/relationships/image" Target="media/image159.emf"/><Relationship Id="rId390" Type="http://schemas.openxmlformats.org/officeDocument/2006/relationships/image" Target="media/image238.png"/><Relationship Id="rId404" Type="http://schemas.openxmlformats.org/officeDocument/2006/relationships/hyperlink" Target="http://www.banxico.org.mx/publicaciones-y-discursos/discursos-y-presentaciones/presentaciones/%7BBD7FAA33-1F8F-00AF-C0C8-C6EAAC2E3B34%7D.pdf" TargetMode="External"/><Relationship Id="rId446" Type="http://schemas.openxmlformats.org/officeDocument/2006/relationships/image" Target="media/image272.emf"/><Relationship Id="rId250" Type="http://schemas.openxmlformats.org/officeDocument/2006/relationships/image" Target="media/image170.emf"/><Relationship Id="rId292" Type="http://schemas.openxmlformats.org/officeDocument/2006/relationships/image" Target="media/image208.emf"/><Relationship Id="rId306" Type="http://schemas.openxmlformats.org/officeDocument/2006/relationships/image" Target="media/image214.emf"/><Relationship Id="rId45" Type="http://schemas.openxmlformats.org/officeDocument/2006/relationships/image" Target="media/image35.emf"/><Relationship Id="rId87" Type="http://schemas.openxmlformats.org/officeDocument/2006/relationships/image" Target="media/image75.emf"/><Relationship Id="rId110" Type="http://schemas.openxmlformats.org/officeDocument/2006/relationships/image" Target="media/image82.emf"/><Relationship Id="rId348" Type="http://schemas.openxmlformats.org/officeDocument/2006/relationships/image" Target="media/image223.emf"/><Relationship Id="rId152" Type="http://schemas.openxmlformats.org/officeDocument/2006/relationships/image" Target="media/image101.emf"/><Relationship Id="rId194" Type="http://schemas.openxmlformats.org/officeDocument/2006/relationships/hyperlink" Target="http://www.coparmex.org.mx/index.php?option=com_content&amp;view=article&amp;id=1048:senal-coparmex-solidaridad-con-venezuela&amp;catid=22:senal-coparmex&amp;Itemid=226" TargetMode="External"/><Relationship Id="rId208" Type="http://schemas.openxmlformats.org/officeDocument/2006/relationships/image" Target="media/image139.emf"/><Relationship Id="rId415" Type="http://schemas.openxmlformats.org/officeDocument/2006/relationships/hyperlink" Target="http://www.banxico.org.mx/informacion-para-la-prensa/comunicados/sector-financiero/agregados-monetarios/%7BD8BAB71F-BE7D-7BF1-0608-2DFC39011CD7%7D.pdf" TargetMode="External"/><Relationship Id="rId261" Type="http://schemas.openxmlformats.org/officeDocument/2006/relationships/image" Target="media/image181.emf"/><Relationship Id="rId14" Type="http://schemas.openxmlformats.org/officeDocument/2006/relationships/image" Target="media/image6.emf"/><Relationship Id="rId56" Type="http://schemas.openxmlformats.org/officeDocument/2006/relationships/image" Target="media/image46.emf"/><Relationship Id="rId317" Type="http://schemas.openxmlformats.org/officeDocument/2006/relationships/hyperlink" Target="http://www.shcp.gob.mx/Biblioteca_noticias_home/comunicado_022_2015.pdf" TargetMode="External"/><Relationship Id="rId359" Type="http://schemas.openxmlformats.org/officeDocument/2006/relationships/hyperlink" Target="http://www.fitchratings.mx/ArchivosHTML/RepEsp_13800.pdf" TargetMode="External"/><Relationship Id="rId98" Type="http://schemas.openxmlformats.org/officeDocument/2006/relationships/hyperlink" Target="http://www.sagarpa.gob.mx/saladeprensa/2012/Paginas/2015D003.aspx" TargetMode="External"/><Relationship Id="rId121" Type="http://schemas.openxmlformats.org/officeDocument/2006/relationships/hyperlink" Target="http://www.sct.gob.mx/despliega-noticias/article/la-reforma-de-telecomunicaciones-ya-genera-beneficios/" TargetMode="External"/><Relationship Id="rId163" Type="http://schemas.openxmlformats.org/officeDocument/2006/relationships/image" Target="media/image110.emf"/><Relationship Id="rId219" Type="http://schemas.openxmlformats.org/officeDocument/2006/relationships/hyperlink" Target="http://www.amia.com.mx/" TargetMode="External"/><Relationship Id="rId370" Type="http://schemas.openxmlformats.org/officeDocument/2006/relationships/image" Target="media/image233.emf"/><Relationship Id="rId426" Type="http://schemas.openxmlformats.org/officeDocument/2006/relationships/image" Target="media/image260.emf"/><Relationship Id="rId230" Type="http://schemas.openxmlformats.org/officeDocument/2006/relationships/image" Target="media/image152.emf"/><Relationship Id="rId25" Type="http://schemas.openxmlformats.org/officeDocument/2006/relationships/image" Target="media/image17.emf"/><Relationship Id="rId67" Type="http://schemas.openxmlformats.org/officeDocument/2006/relationships/image" Target="media/image56.emf"/><Relationship Id="rId272" Type="http://schemas.openxmlformats.org/officeDocument/2006/relationships/image" Target="media/image192.emf"/><Relationship Id="rId328" Type="http://schemas.openxmlformats.org/officeDocument/2006/relationships/hyperlink" Target="http://www.hacienda.gob.mx/SALAPRENSA/doc_informe_vocero/2015/vocero_09_2015.pdf" TargetMode="External"/><Relationship Id="rId132" Type="http://schemas.openxmlformats.org/officeDocument/2006/relationships/hyperlink" Target="http://www.inegi.org.mx/inegi/contenidos/notasinformativas/ind_miner/NI-IM.pdf" TargetMode="External"/><Relationship Id="rId174" Type="http://schemas.openxmlformats.org/officeDocument/2006/relationships/image" Target="media/image119.emf"/><Relationship Id="rId381" Type="http://schemas.openxmlformats.org/officeDocument/2006/relationships/hyperlink" Target="http://www.fitchratings.mx/ArchivosHTML/Com_13843.html" TargetMode="External"/><Relationship Id="rId241" Type="http://schemas.openxmlformats.org/officeDocument/2006/relationships/image" Target="media/image161.emf"/><Relationship Id="rId437" Type="http://schemas.openxmlformats.org/officeDocument/2006/relationships/hyperlink" Target="http://www.bmv.com.mx/" TargetMode="External"/><Relationship Id="rId36" Type="http://schemas.openxmlformats.org/officeDocument/2006/relationships/image" Target="media/image28.emf"/><Relationship Id="rId283" Type="http://schemas.openxmlformats.org/officeDocument/2006/relationships/image" Target="media/image203.emf"/><Relationship Id="rId339" Type="http://schemas.openxmlformats.org/officeDocument/2006/relationships/hyperlink" Target="http://www.cnbv.gob.mx/SECTORES-SUPERVISADOS/SECTOR-POPULAR/Difusi&#243;n/Prensa%20%20Sociedades%20Financieras%20Populares/Comunicado%20de%20proceso%20de%20liquidaci&#243;n%20Ficrea%20mar6.pdf" TargetMode="External"/><Relationship Id="rId78" Type="http://schemas.openxmlformats.org/officeDocument/2006/relationships/image" Target="media/image67.emf"/><Relationship Id="rId101" Type="http://schemas.openxmlformats.org/officeDocument/2006/relationships/hyperlink" Target="http://www.sagarpa.gob.mx/saladeprensa/2012/Paginas/2015B181.aspx" TargetMode="External"/><Relationship Id="rId143" Type="http://schemas.openxmlformats.org/officeDocument/2006/relationships/image" Target="media/image96.emf"/><Relationship Id="rId185" Type="http://schemas.openxmlformats.org/officeDocument/2006/relationships/hyperlink" Target="http://www.impi.gob.mx/QuienesSomos/COMUNICADOSPRENSA/IMPI_2015_008.pdf" TargetMode="External"/><Relationship Id="rId350" Type="http://schemas.openxmlformats.org/officeDocument/2006/relationships/image" Target="media/image225.emf"/><Relationship Id="rId406" Type="http://schemas.openxmlformats.org/officeDocument/2006/relationships/hyperlink" Target="http://www.sentidocomun.com.mx/articulo.phtml?id=18110" TargetMode="External"/><Relationship Id="rId9" Type="http://schemas.openxmlformats.org/officeDocument/2006/relationships/image" Target="media/image1.emf"/><Relationship Id="rId210" Type="http://schemas.openxmlformats.org/officeDocument/2006/relationships/image" Target="media/image141.emf"/><Relationship Id="rId392" Type="http://schemas.openxmlformats.org/officeDocument/2006/relationships/image" Target="media/image240.png"/><Relationship Id="rId448" Type="http://schemas.openxmlformats.org/officeDocument/2006/relationships/hyperlink" Target="http://www.banxico.org.mx/SieInternet/consultarDirectorioInternetAction.do?accion=consultarCuadroAnalitico&amp;idCuadro=CA91&amp;sector=6&amp;locale=es" TargetMode="External"/><Relationship Id="rId252" Type="http://schemas.openxmlformats.org/officeDocument/2006/relationships/image" Target="media/image172.emf"/><Relationship Id="rId294" Type="http://schemas.openxmlformats.org/officeDocument/2006/relationships/hyperlink" Target="http://www2.sat.gob.mx/sitio_internet/informe_tributario/informe2014t4/Entrada.pdf" TargetMode="External"/><Relationship Id="rId308" Type="http://schemas.openxmlformats.org/officeDocument/2006/relationships/image" Target="media/image216.emf"/><Relationship Id="rId47" Type="http://schemas.openxmlformats.org/officeDocument/2006/relationships/image" Target="media/image37.emf"/><Relationship Id="rId89" Type="http://schemas.openxmlformats.org/officeDocument/2006/relationships/image" Target="media/image77.emf"/><Relationship Id="rId112" Type="http://schemas.openxmlformats.org/officeDocument/2006/relationships/image" Target="media/image84.emf"/><Relationship Id="rId154" Type="http://schemas.openxmlformats.org/officeDocument/2006/relationships/hyperlink" Target="http://www.inegi.org.mx/saladeprensa/boletines/2015/invfibu/invfibu2015_03.pdf" TargetMode="External"/><Relationship Id="rId361" Type="http://schemas.openxmlformats.org/officeDocument/2006/relationships/hyperlink" Target="http://www.fitchratings.mx/ArchivosHTML/Coment_13834.pdf" TargetMode="External"/><Relationship Id="rId196" Type="http://schemas.openxmlformats.org/officeDocument/2006/relationships/image" Target="media/image133.emf"/><Relationship Id="rId417" Type="http://schemas.openxmlformats.org/officeDocument/2006/relationships/hyperlink" Target="http://www.banxico.org.mx/informacion-para-la-prensa/comunicados/sector-financiero/agregados-monetarios/%7BD8BAB71F-BE7D-7BF1-0608-2DFC39011CD7%7D.pdf" TargetMode="External"/><Relationship Id="rId16" Type="http://schemas.openxmlformats.org/officeDocument/2006/relationships/image" Target="media/image8.emf"/><Relationship Id="rId221" Type="http://schemas.openxmlformats.org/officeDocument/2006/relationships/hyperlink" Target="http://www.economia.gob.mx/eventos-noticias/sala-de-prensa/comunicados/10945-comunicado15-023" TargetMode="External"/><Relationship Id="rId263" Type="http://schemas.openxmlformats.org/officeDocument/2006/relationships/image" Target="media/image183.emf"/><Relationship Id="rId319" Type="http://schemas.openxmlformats.org/officeDocument/2006/relationships/hyperlink" Target="http://www.cnbv.gob.mx/SECTORES-SUPERVISADOS/BANCA-MULTIPLE/Prensa%20%20Sector%20Bancario/Comunicado_de_Prensa_Basilea_Alta_Calificacion.pdf" TargetMode="External"/><Relationship Id="rId58" Type="http://schemas.openxmlformats.org/officeDocument/2006/relationships/hyperlink" Target="http://www.inegi.org.mx/saladeprensa/boletines/2015/sic_cya/sic_cya2015_03.pdf" TargetMode="External"/><Relationship Id="rId123" Type="http://schemas.openxmlformats.org/officeDocument/2006/relationships/hyperlink" Target="http://www.sct.gob.mx/despliega-noticias/article/pasos-firmes-de-mexico-hacia-el-futuro-con-la-reforma-de-telecomunicaciones-gre/" TargetMode="External"/><Relationship Id="rId330" Type="http://schemas.openxmlformats.org/officeDocument/2006/relationships/hyperlink" Target="http://www.banxico.org.mx/informacion-para-la-prensa/comunicados/sector-financiero/agregados-monetarios/%7BD8BAB71F-BE7D-7BF1-0608-2DFC39011CD7%7D.pdf" TargetMode="External"/><Relationship Id="rId165" Type="http://schemas.openxmlformats.org/officeDocument/2006/relationships/image" Target="media/image112.emf"/><Relationship Id="rId372" Type="http://schemas.openxmlformats.org/officeDocument/2006/relationships/hyperlink" Target="http://www.latam.mercer.com/content/mercer/latin-america-and-caribbean/mx/es/newsroom/mercer-calidad-de-vida-internacional-2015.html" TargetMode="External"/><Relationship Id="rId428" Type="http://schemas.openxmlformats.org/officeDocument/2006/relationships/image" Target="media/image261.emf"/><Relationship Id="rId232" Type="http://schemas.openxmlformats.org/officeDocument/2006/relationships/image" Target="media/image154.emf"/><Relationship Id="rId274" Type="http://schemas.openxmlformats.org/officeDocument/2006/relationships/image" Target="media/image194.emf"/><Relationship Id="rId27" Type="http://schemas.openxmlformats.org/officeDocument/2006/relationships/image" Target="media/image19.emf"/><Relationship Id="rId69" Type="http://schemas.openxmlformats.org/officeDocument/2006/relationships/image" Target="media/image58.emf"/><Relationship Id="rId134" Type="http://schemas.openxmlformats.org/officeDocument/2006/relationships/hyperlink" Target="http://www.sct.gob.mx/despliega-noticias/article/avanzan-proyectos-de-reforma-en-telecomunicaciones-primeros-beneficios-a-la-vista/" TargetMode="External"/><Relationship Id="rId80" Type="http://schemas.openxmlformats.org/officeDocument/2006/relationships/image" Target="media/image69.emf"/><Relationship Id="rId176" Type="http://schemas.openxmlformats.org/officeDocument/2006/relationships/image" Target="media/image121.emf"/><Relationship Id="rId341" Type="http://schemas.openxmlformats.org/officeDocument/2006/relationships/hyperlink" Target="http://www.condusef.gob.mx/index.php/prensa/comunicados-2015/1161-conoce-el-comportamiento-de-las-sofomes-enr-durante-el-2014" TargetMode="External"/><Relationship Id="rId383" Type="http://schemas.openxmlformats.org/officeDocument/2006/relationships/hyperlink" Target="http://www.fitchratings.mx/ArchivosHTML/Com_13869.pdf" TargetMode="External"/><Relationship Id="rId439" Type="http://schemas.openxmlformats.org/officeDocument/2006/relationships/image" Target="media/image269.emf"/><Relationship Id="rId201" Type="http://schemas.openxmlformats.org/officeDocument/2006/relationships/hyperlink" Target="http://www.asf.gob.mx/trans/Informes/IR2010i/Grupos/Desarrollo_Economico/2010_0753.pdf" TargetMode="External"/><Relationship Id="rId243" Type="http://schemas.openxmlformats.org/officeDocument/2006/relationships/image" Target="media/image163.emf"/><Relationship Id="rId285" Type="http://schemas.openxmlformats.org/officeDocument/2006/relationships/image" Target="media/image205.emf"/><Relationship Id="rId450" Type="http://schemas.openxmlformats.org/officeDocument/2006/relationships/hyperlink" Target="http://economy.blogs.ie.edu/archives/2015/03/la-depreciacion-del-euro-anima-la-economia-europea.php" TargetMode="External"/><Relationship Id="rId38" Type="http://schemas.openxmlformats.org/officeDocument/2006/relationships/image" Target="media/image30.emf"/><Relationship Id="rId103" Type="http://schemas.openxmlformats.org/officeDocument/2006/relationships/hyperlink" Target="http://www.sagarpa.gob.mx/saladeprensa/2012/Paginas/2015B172.aspx" TargetMode="External"/><Relationship Id="rId310" Type="http://schemas.openxmlformats.org/officeDocument/2006/relationships/hyperlink" Target="http://repositorio.cepal.org/bitstream/handle/11362/37747/S1500053_es.pdf?sequence=1" TargetMode="External"/><Relationship Id="rId91" Type="http://schemas.openxmlformats.org/officeDocument/2006/relationships/image" Target="media/image79.emf"/><Relationship Id="rId145" Type="http://schemas.openxmlformats.org/officeDocument/2006/relationships/hyperlink" Target="http://www.inegi.org.mx/prod_serv/contenidos/espanol/bvinegi/productos/metodologias/ajus_estacional/Metodajustestacional.pdf" TargetMode="External"/><Relationship Id="rId187" Type="http://schemas.openxmlformats.org/officeDocument/2006/relationships/image" Target="media/image129.emf"/><Relationship Id="rId352" Type="http://schemas.openxmlformats.org/officeDocument/2006/relationships/image" Target="media/image227.emf"/><Relationship Id="rId394" Type="http://schemas.openxmlformats.org/officeDocument/2006/relationships/image" Target="media/image242.png"/><Relationship Id="rId408" Type="http://schemas.openxmlformats.org/officeDocument/2006/relationships/image" Target="media/image252.emf"/><Relationship Id="rId212" Type="http://schemas.openxmlformats.org/officeDocument/2006/relationships/image" Target="media/image143.emf"/><Relationship Id="rId254" Type="http://schemas.openxmlformats.org/officeDocument/2006/relationships/image" Target="media/image174.emf"/><Relationship Id="rId49" Type="http://schemas.openxmlformats.org/officeDocument/2006/relationships/image" Target="media/image39.emf"/><Relationship Id="rId114" Type="http://schemas.openxmlformats.org/officeDocument/2006/relationships/image" Target="media/image86.emf"/><Relationship Id="rId296" Type="http://schemas.openxmlformats.org/officeDocument/2006/relationships/hyperlink" Target="http://www.sat.gob.mx/sala_prensa/comunicados_nacionales/Paginas/com2015_026.aspx" TargetMode="External"/><Relationship Id="rId60" Type="http://schemas.openxmlformats.org/officeDocument/2006/relationships/image" Target="media/image49.emf"/><Relationship Id="rId156" Type="http://schemas.openxmlformats.org/officeDocument/2006/relationships/image" Target="media/image104.emf"/><Relationship Id="rId198" Type="http://schemas.openxmlformats.org/officeDocument/2006/relationships/hyperlink" Target="http://www.conacyt.gob.mx/siicyt/index.php/publicaciones/informe-general-del-estado-de-la-ciencia-y-la-tecnologia-2010/2044-2-informe-2010-capi/file" TargetMode="External"/><Relationship Id="rId321" Type="http://schemas.openxmlformats.org/officeDocument/2006/relationships/hyperlink" Target="http://www.shcp.gob.mx/SALAPRENSA/doc_discurso_funcionarios/secretarioSHCP/2015/intervenciones_avance_reforma_financiera_11032015.pdf" TargetMode="External"/><Relationship Id="rId363" Type="http://schemas.openxmlformats.org/officeDocument/2006/relationships/hyperlink" Target="http://www.ilo.org/global/topics/labour-migration/news-statements/WCMS_329343/lang--es/index.htm" TargetMode="External"/><Relationship Id="rId419" Type="http://schemas.openxmlformats.org/officeDocument/2006/relationships/hyperlink" Target="http://www.banxico.org.mx/stdview.html?url=/portal-mercado-valores/informacion-oportuna/subasta-y-colocacion-de-valores/resultados/primarias-de-valores-gubernamentales/ResuSubaPrimaNew-1.html" TargetMode="External"/><Relationship Id="rId223" Type="http://schemas.openxmlformats.org/officeDocument/2006/relationships/hyperlink" Target="http://www.economia.gob.mx/eventos-noticias/sala-de-prensa/comunicados/10898-comunicado15-012" TargetMode="External"/><Relationship Id="rId430" Type="http://schemas.openxmlformats.org/officeDocument/2006/relationships/image" Target="media/image262.emf"/><Relationship Id="rId18" Type="http://schemas.openxmlformats.org/officeDocument/2006/relationships/image" Target="media/image10.emf"/><Relationship Id="rId265" Type="http://schemas.openxmlformats.org/officeDocument/2006/relationships/image" Target="media/image185.emf"/><Relationship Id="rId125" Type="http://schemas.openxmlformats.org/officeDocument/2006/relationships/hyperlink" Target="http://www.fitchratings.mx/ArchivosHTML/Com_13822.html" TargetMode="External"/><Relationship Id="rId167" Type="http://schemas.openxmlformats.org/officeDocument/2006/relationships/hyperlink" Target="http://www.inegi.org.mx/saladeprensa/boletines/2015/ice/ice2015_03.pdf" TargetMode="External"/><Relationship Id="rId332" Type="http://schemas.openxmlformats.org/officeDocument/2006/relationships/image" Target="media/image220.emf"/><Relationship Id="rId374" Type="http://schemas.openxmlformats.org/officeDocument/2006/relationships/image" Target="media/image234.png"/><Relationship Id="rId71" Type="http://schemas.openxmlformats.org/officeDocument/2006/relationships/image" Target="media/image60.emf"/><Relationship Id="rId92" Type="http://schemas.openxmlformats.org/officeDocument/2006/relationships/hyperlink" Target="http://www.ceesp.org.mx/aeje/AEJE_16Mar2015.pdf" TargetMode="External"/><Relationship Id="rId213" Type="http://schemas.openxmlformats.org/officeDocument/2006/relationships/image" Target="media/image144.emf"/><Relationship Id="rId234" Type="http://schemas.openxmlformats.org/officeDocument/2006/relationships/image" Target="media/image156.emf"/><Relationship Id="rId420" Type="http://schemas.openxmlformats.org/officeDocument/2006/relationships/image" Target="media/image257.emf"/><Relationship Id="rId2" Type="http://schemas.openxmlformats.org/officeDocument/2006/relationships/numbering" Target="numbering.xml"/><Relationship Id="rId29" Type="http://schemas.openxmlformats.org/officeDocument/2006/relationships/image" Target="media/image21.emf"/><Relationship Id="rId255" Type="http://schemas.openxmlformats.org/officeDocument/2006/relationships/image" Target="media/image175.emf"/><Relationship Id="rId276" Type="http://schemas.openxmlformats.org/officeDocument/2006/relationships/image" Target="media/image196.emf"/><Relationship Id="rId297" Type="http://schemas.openxmlformats.org/officeDocument/2006/relationships/hyperlink" Target="http://imcp.org.mx/wp-content/uploads/2015/03/ANEXO-NOTICIAS-FISCALES-65.pdf" TargetMode="External"/><Relationship Id="rId441" Type="http://schemas.openxmlformats.org/officeDocument/2006/relationships/hyperlink" Target="http://lat.wsj.com/articles/SB11689363469961823294104580510162055766230?tesla=y" TargetMode="External"/><Relationship Id="rId40" Type="http://schemas.openxmlformats.org/officeDocument/2006/relationships/image" Target="media/image32.emf"/><Relationship Id="rId115" Type="http://schemas.openxmlformats.org/officeDocument/2006/relationships/image" Target="media/image87.emf"/><Relationship Id="rId136" Type="http://schemas.openxmlformats.org/officeDocument/2006/relationships/hyperlink" Target="http://www.promexico.gob.mx/documentos/boletines-prensa/Boletin-Prensa-10-15.pdf" TargetMode="External"/><Relationship Id="rId157" Type="http://schemas.openxmlformats.org/officeDocument/2006/relationships/image" Target="media/image105.emf"/><Relationship Id="rId178" Type="http://schemas.openxmlformats.org/officeDocument/2006/relationships/image" Target="media/image123.emf"/><Relationship Id="rId301" Type="http://schemas.openxmlformats.org/officeDocument/2006/relationships/image" Target="media/image210.emf"/><Relationship Id="rId322" Type="http://schemas.openxmlformats.org/officeDocument/2006/relationships/hyperlink" Target="http://www.banxico.org.mx/informacion-para-la-prensa/comunicados/miscelaneos/boletines/%7b4D59FAD1-B11F-852A-9BAA-47993999B5D6%7d.pdf" TargetMode="External"/><Relationship Id="rId343" Type="http://schemas.openxmlformats.org/officeDocument/2006/relationships/hyperlink" Target="http://www.condusef.gob.mx/index.php/prensa/comunicados-2015/1159-conoce-las-calificaciones-del-credito-de-nomina-que-ofrece-las-sofom-e-n-r" TargetMode="External"/><Relationship Id="rId364" Type="http://schemas.openxmlformats.org/officeDocument/2006/relationships/hyperlink" Target="http://cts.businesswire.com/ct/CT?id=smartlink&amp;url=http%3A%2F%2Fwww.fitchratings.com%2Fcreditdesk%2Freports%2Freport_frame.cfm%3Frpt_id%3D862587&amp;esheet=51048466&amp;newsitemid=20150226006285&amp;lan=en-US&amp;anchor=http%3A%2F%2Fwww.fitchratings.com%2Fcreditdesk%2Freports%2Freport_frame.cfm%3Frpt_id%3D862587&amp;index=2&amp;md5=d9f20383b093845a122b20dc9f91f6f8" TargetMode="External"/><Relationship Id="rId61" Type="http://schemas.openxmlformats.org/officeDocument/2006/relationships/image" Target="media/image50.emf"/><Relationship Id="rId82" Type="http://schemas.openxmlformats.org/officeDocument/2006/relationships/image" Target="media/image71.emf"/><Relationship Id="rId199" Type="http://schemas.openxmlformats.org/officeDocument/2006/relationships/hyperlink" Target="http://dx.doi.org/10.1787/9789264180109-en" TargetMode="External"/><Relationship Id="rId203" Type="http://schemas.openxmlformats.org/officeDocument/2006/relationships/hyperlink" Target="http://www.dof.gob.mx/nota_detalle.php?codigo=5354626&amp;fecha=30/07/2014" TargetMode="External"/><Relationship Id="rId385" Type="http://schemas.openxmlformats.org/officeDocument/2006/relationships/hyperlink" Target="http://www.banxico.org.mx/informacion-para-la-prensa/comunicados/miscelaneos/boletines/%7B790B9FB1-76A1-1AF0-90A4-492CDB063DE2%7D.pdf" TargetMode="External"/><Relationship Id="rId19" Type="http://schemas.openxmlformats.org/officeDocument/2006/relationships/image" Target="media/image11.emf"/><Relationship Id="rId224" Type="http://schemas.openxmlformats.org/officeDocument/2006/relationships/hyperlink" Target="http://www.latam.mercer.com/content/mercer/latin-america-and-caribbean/mx/es/newsroom/mercer-calidad-de-vida-internacional-2015.html" TargetMode="External"/><Relationship Id="rId245" Type="http://schemas.openxmlformats.org/officeDocument/2006/relationships/image" Target="media/image165.emf"/><Relationship Id="rId266" Type="http://schemas.openxmlformats.org/officeDocument/2006/relationships/image" Target="media/image186.emf"/><Relationship Id="rId287" Type="http://schemas.openxmlformats.org/officeDocument/2006/relationships/hyperlink" Target="http://www.banxico.org.mx/informacion-para-la-prensa/comunicados/resultados-de-encuestas/expectativas-de-los-especialistas/%7BD795F12E-B364-3607-F859-1A86C869B07E%7D.pdf" TargetMode="External"/><Relationship Id="rId410" Type="http://schemas.openxmlformats.org/officeDocument/2006/relationships/hyperlink" Target="http://www.project-syndicate.org/commentary/frontier-market-economy-fad-by-dani-rodrik-2015-03/spanish" TargetMode="External"/><Relationship Id="rId431" Type="http://schemas.openxmlformats.org/officeDocument/2006/relationships/image" Target="media/image263.emf"/><Relationship Id="rId452" Type="http://schemas.openxmlformats.org/officeDocument/2006/relationships/hyperlink" Target="https://www.bbvaresearch.com/wp-content/uploads/2015/03/descalce_cambiario_america_latina.pdf" TargetMode="External"/><Relationship Id="rId30" Type="http://schemas.openxmlformats.org/officeDocument/2006/relationships/image" Target="media/image22.emf"/><Relationship Id="rId105" Type="http://schemas.openxmlformats.org/officeDocument/2006/relationships/hyperlink" Target="http://www.siap.gob.mx/ganaderia-avance-comparativo/" TargetMode="External"/><Relationship Id="rId126" Type="http://schemas.openxmlformats.org/officeDocument/2006/relationships/hyperlink" Target="http://www.fitchratings.mx/ArchivosHTML/Com_13822.pdf" TargetMode="External"/><Relationship Id="rId147" Type="http://schemas.openxmlformats.org/officeDocument/2006/relationships/hyperlink" Target="http://www.inegi.org.mx/est/contenidos/proyectos/graficas_temas/economia/Graficas/imcpmi/cptotal1.htm?s=est&amp;c=34000" TargetMode="External"/><Relationship Id="rId168" Type="http://schemas.openxmlformats.org/officeDocument/2006/relationships/image" Target="media/image114.emf"/><Relationship Id="rId312" Type="http://schemas.openxmlformats.org/officeDocument/2006/relationships/hyperlink" Target="http://www.latameconomy.org/en/revenue-statistics/" TargetMode="External"/><Relationship Id="rId333" Type="http://schemas.openxmlformats.org/officeDocument/2006/relationships/image" Target="media/image221.emf"/><Relationship Id="rId354" Type="http://schemas.openxmlformats.org/officeDocument/2006/relationships/image" Target="media/image229.emf"/><Relationship Id="rId51" Type="http://schemas.openxmlformats.org/officeDocument/2006/relationships/image" Target="media/image41.emf"/><Relationship Id="rId72" Type="http://schemas.openxmlformats.org/officeDocument/2006/relationships/image" Target="media/image61.emf"/><Relationship Id="rId93" Type="http://schemas.openxmlformats.org/officeDocument/2006/relationships/hyperlink" Target="http://www.stps.gob.mx/bp/secciones/sala_prensa/boletines/2015/marzo/pronunciamiento_conjunto.pdf" TargetMode="External"/><Relationship Id="rId189" Type="http://schemas.openxmlformats.org/officeDocument/2006/relationships/image" Target="media/image131.emf"/><Relationship Id="rId375" Type="http://schemas.openxmlformats.org/officeDocument/2006/relationships/hyperlink" Target="http://www.consar.gob.mx/sala_prensa/PDF/boletines/BP-09-2015.pdf" TargetMode="External"/><Relationship Id="rId396" Type="http://schemas.openxmlformats.org/officeDocument/2006/relationships/image" Target="media/image244.png"/><Relationship Id="rId3" Type="http://schemas.openxmlformats.org/officeDocument/2006/relationships/styles" Target="styles.xml"/><Relationship Id="rId214" Type="http://schemas.openxmlformats.org/officeDocument/2006/relationships/hyperlink" Target="http://imco.org.mx/wp-content/uploads/2015/03/2015_Cleantech_DocumentoCompleto.pdf" TargetMode="External"/><Relationship Id="rId235" Type="http://schemas.openxmlformats.org/officeDocument/2006/relationships/hyperlink" Target="http://www.amda.mx/images/stories/estadisticas/coyuntura/2015/ventas/1502Reporte_Mercado_Automotor.pdf" TargetMode="External"/><Relationship Id="rId256" Type="http://schemas.openxmlformats.org/officeDocument/2006/relationships/image" Target="media/image176.emf"/><Relationship Id="rId277" Type="http://schemas.openxmlformats.org/officeDocument/2006/relationships/image" Target="media/image197.emf"/><Relationship Id="rId298" Type="http://schemas.openxmlformats.org/officeDocument/2006/relationships/hyperlink" Target="http://www.sat.gob.mx/sala_prensa/comunicados_nacionales/Paginas/com2015_022.aspx" TargetMode="External"/><Relationship Id="rId400" Type="http://schemas.openxmlformats.org/officeDocument/2006/relationships/image" Target="media/image248.png"/><Relationship Id="rId421" Type="http://schemas.openxmlformats.org/officeDocument/2006/relationships/hyperlink" Target="http://www.banxico.org.mx/SieInternet/consultarDirectorioInternetAction.do?accion=consultarCuadro&amp;idCuadro=CF101&amp;sector=18&amp;locale=es" TargetMode="External"/><Relationship Id="rId442" Type="http://schemas.openxmlformats.org/officeDocument/2006/relationships/hyperlink" Target="http://www.project-syndicate.org/commentary/equity-low-interest-rates-by-kenneth-rogoff-2015-03/spanish" TargetMode="External"/><Relationship Id="rId116" Type="http://schemas.openxmlformats.org/officeDocument/2006/relationships/image" Target="media/image88.emf"/><Relationship Id="rId137" Type="http://schemas.openxmlformats.org/officeDocument/2006/relationships/hyperlink" Target="http://www.promexico.gob.mx/es/mx/boletin-prensa-10-15" TargetMode="External"/><Relationship Id="rId158" Type="http://schemas.openxmlformats.org/officeDocument/2006/relationships/hyperlink" Target="http://www.inegi.org.mx/saladeprensa/boletines/2015/ee/ee2015_03.pdf" TargetMode="External"/><Relationship Id="rId302" Type="http://schemas.openxmlformats.org/officeDocument/2006/relationships/image" Target="media/image211.emf"/><Relationship Id="rId323" Type="http://schemas.openxmlformats.org/officeDocument/2006/relationships/hyperlink" Target="http://www.cesf.gob.mx/work/models/CESF/docs/comunicados/Decimo_novena_sesion_CESF.pdf" TargetMode="External"/><Relationship Id="rId344" Type="http://schemas.openxmlformats.org/officeDocument/2006/relationships/hyperlink" Target="http://www.condusef.gob.mx" TargetMode="External"/><Relationship Id="rId20" Type="http://schemas.openxmlformats.org/officeDocument/2006/relationships/image" Target="media/image12.emf"/><Relationship Id="rId41" Type="http://schemas.openxmlformats.org/officeDocument/2006/relationships/image" Target="media/image33.emf"/><Relationship Id="rId62" Type="http://schemas.openxmlformats.org/officeDocument/2006/relationships/image" Target="media/image51.emf"/><Relationship Id="rId83" Type="http://schemas.openxmlformats.org/officeDocument/2006/relationships/image" Target="media/image72.emf"/><Relationship Id="rId179" Type="http://schemas.openxmlformats.org/officeDocument/2006/relationships/image" Target="media/image124.emf"/><Relationship Id="rId365" Type="http://schemas.openxmlformats.org/officeDocument/2006/relationships/hyperlink" Target="http://lat.wsj.com/articles/SB11235758984163043989104580496503189945186?tesla=y" TargetMode="External"/><Relationship Id="rId386" Type="http://schemas.openxmlformats.org/officeDocument/2006/relationships/hyperlink" Target="http://www.shcp.gob.mx/Biblioteca_noticias_home/comunicado_014_2015.pdf" TargetMode="External"/><Relationship Id="rId190" Type="http://schemas.openxmlformats.org/officeDocument/2006/relationships/hyperlink" Target="http://www.iieem.org.mx/Boletin.pdf?submit=Bolet%C3%ADn+T%C3%A9cnico+del+Mes" TargetMode="External"/><Relationship Id="rId204" Type="http://schemas.openxmlformats.org/officeDocument/2006/relationships/image" Target="media/image135.emf"/><Relationship Id="rId225" Type="http://schemas.openxmlformats.org/officeDocument/2006/relationships/hyperlink" Target="http://www.bulletins-electroniques.com/actualites/78054.htm" TargetMode="External"/><Relationship Id="rId246" Type="http://schemas.openxmlformats.org/officeDocument/2006/relationships/image" Target="media/image166.emf"/><Relationship Id="rId267" Type="http://schemas.openxmlformats.org/officeDocument/2006/relationships/image" Target="media/image187.emf"/><Relationship Id="rId288" Type="http://schemas.openxmlformats.org/officeDocument/2006/relationships/hyperlink" Target="http://bit.ly/1o7pG8v" TargetMode="External"/><Relationship Id="rId411" Type="http://schemas.openxmlformats.org/officeDocument/2006/relationships/hyperlink" Target="http://www.banxico.org.mx/informacion-para-la-prensa/comunicados/banco-de-mexico/edo-cuenta-semanal/%7B734B0101-FOEO-2475-81AO-C7372OACD828%70.pdf" TargetMode="External"/><Relationship Id="rId432" Type="http://schemas.openxmlformats.org/officeDocument/2006/relationships/hyperlink" Target="https://www.bbvaresearch.com/wp-content/uploads/2015/03/subida_interes_flujos_capitales_Fed_america_latina1.pdf" TargetMode="External"/><Relationship Id="rId453" Type="http://schemas.openxmlformats.org/officeDocument/2006/relationships/header" Target="header1.xml"/><Relationship Id="rId106" Type="http://schemas.openxmlformats.org/officeDocument/2006/relationships/hyperlink" Target="http://www.sagarpa.gob.mx/saladeprensa/2012/Paginas/2015B178.aspx" TargetMode="External"/><Relationship Id="rId127" Type="http://schemas.openxmlformats.org/officeDocument/2006/relationships/hyperlink" Target="http://www.ilo.org/global/topics/labour-migration/news-statements/WCMS_329343/lang--es/index.htm" TargetMode="External"/><Relationship Id="rId313" Type="http://schemas.openxmlformats.org/officeDocument/2006/relationships/hyperlink" Target="http://www.OCDE.org/tax/lacfiscal" TargetMode="External"/><Relationship Id="rId10" Type="http://schemas.openxmlformats.org/officeDocument/2006/relationships/image" Target="media/image2.emf"/><Relationship Id="rId31" Type="http://schemas.openxmlformats.org/officeDocument/2006/relationships/image" Target="media/image23.emf"/><Relationship Id="rId52" Type="http://schemas.openxmlformats.org/officeDocument/2006/relationships/image" Target="media/image42.emf"/><Relationship Id="rId73" Type="http://schemas.openxmlformats.org/officeDocument/2006/relationships/image" Target="media/image62.emf"/><Relationship Id="rId94" Type="http://schemas.openxmlformats.org/officeDocument/2006/relationships/hyperlink" Target="http://www.stps.gob.mx/bp/secciones/sala_prensa/boletines/2015/marzo/pronunciamiento.html" TargetMode="External"/><Relationship Id="rId148" Type="http://schemas.openxmlformats.org/officeDocument/2006/relationships/image" Target="media/image97.emf"/><Relationship Id="rId169" Type="http://schemas.openxmlformats.org/officeDocument/2006/relationships/image" Target="media/image115.emf"/><Relationship Id="rId334" Type="http://schemas.openxmlformats.org/officeDocument/2006/relationships/image" Target="media/image222.emf"/><Relationship Id="rId355" Type="http://schemas.openxmlformats.org/officeDocument/2006/relationships/image" Target="media/image230.emf"/><Relationship Id="rId376" Type="http://schemas.openxmlformats.org/officeDocument/2006/relationships/hyperlink" Target="http://www.amafore.org/sites/default/files/BP%2004-2015%20%288%20marzo%202015%29.pdf" TargetMode="External"/><Relationship Id="rId397" Type="http://schemas.openxmlformats.org/officeDocument/2006/relationships/image" Target="media/image245.png"/><Relationship Id="rId4" Type="http://schemas.openxmlformats.org/officeDocument/2006/relationships/settings" Target="settings.xml"/><Relationship Id="rId180" Type="http://schemas.openxmlformats.org/officeDocument/2006/relationships/image" Target="media/image125.emf"/><Relationship Id="rId215" Type="http://schemas.openxmlformats.org/officeDocument/2006/relationships/hyperlink" Target="http://www.forbes.com.mx/las-10-marcas-mas-poderosas-de-2015/" TargetMode="External"/><Relationship Id="rId236" Type="http://schemas.openxmlformats.org/officeDocument/2006/relationships/image" Target="media/image157.emf"/><Relationship Id="rId257" Type="http://schemas.openxmlformats.org/officeDocument/2006/relationships/image" Target="media/image177.emf"/><Relationship Id="rId278" Type="http://schemas.openxmlformats.org/officeDocument/2006/relationships/image" Target="media/image198.emf"/><Relationship Id="rId401" Type="http://schemas.openxmlformats.org/officeDocument/2006/relationships/image" Target="media/image249.emf"/><Relationship Id="rId422" Type="http://schemas.openxmlformats.org/officeDocument/2006/relationships/image" Target="media/image258.emf"/><Relationship Id="rId443" Type="http://schemas.openxmlformats.org/officeDocument/2006/relationships/image" Target="media/image271.emf"/><Relationship Id="rId303" Type="http://schemas.openxmlformats.org/officeDocument/2006/relationships/hyperlink" Target="http://blog-dialogoafondo.org/?p=4984" TargetMode="External"/><Relationship Id="rId42" Type="http://schemas.openxmlformats.org/officeDocument/2006/relationships/hyperlink" Target="https://www.bbvaresearch.com/wp-content/uploads/2015/02/1502_SituacionMexico_1T15.pdf" TargetMode="External"/><Relationship Id="rId84" Type="http://schemas.openxmlformats.org/officeDocument/2006/relationships/hyperlink" Target="http://www.banxico.org.mx/publicaciones-y-discursos/publicaciones/informes-periodicos/reportes-sobre-las-economias-regionales/%7BFE0349BD-B3E7-40D0-2CB1-4F41F319933F%7D.pdf" TargetMode="External"/><Relationship Id="rId138" Type="http://schemas.openxmlformats.org/officeDocument/2006/relationships/hyperlink" Target="http://www.presidencia.gob.mx/articulos-prensa/palabras-del-presidente-de-los-estados-unidos-mexicanos-licenciado-enrique-pena-nieto-durante-el-anuncio-de-inversion-de-heineken/" TargetMode="External"/><Relationship Id="rId345" Type="http://schemas.openxmlformats.org/officeDocument/2006/relationships/hyperlink" Target="http://www.condusef.gob.mx/index.php/prensa/comunicados-2015/1163-disminuye-tasa-y-aumenta-el-plazo-de-los-creditos-de-nomina-de-la-banca-multiple" TargetMode="External"/><Relationship Id="rId387" Type="http://schemas.openxmlformats.org/officeDocument/2006/relationships/image" Target="media/image235.png"/><Relationship Id="rId191" Type="http://schemas.openxmlformats.org/officeDocument/2006/relationships/hyperlink" Target="http://www.cce.org.mx/?p=11107" TargetMode="External"/><Relationship Id="rId205" Type="http://schemas.openxmlformats.org/officeDocument/2006/relationships/image" Target="media/image136.emf"/><Relationship Id="rId247" Type="http://schemas.openxmlformats.org/officeDocument/2006/relationships/image" Target="media/image167.emf"/><Relationship Id="rId412" Type="http://schemas.openxmlformats.org/officeDocument/2006/relationships/image" Target="media/image253.emf"/><Relationship Id="rId107" Type="http://schemas.openxmlformats.org/officeDocument/2006/relationships/hyperlink" Target="http://www.sagarpa.gob.mx/saladeprensa/2012/Paginas/2015B180.aspx" TargetMode="External"/><Relationship Id="rId289" Type="http://schemas.openxmlformats.org/officeDocument/2006/relationships/hyperlink" Target="http://www.shcp.gob.mx/Biblioteca_noticias_home/comunicado_015_2015.pdf" TargetMode="External"/><Relationship Id="rId454" Type="http://schemas.openxmlformats.org/officeDocument/2006/relationships/header" Target="header2.xml"/><Relationship Id="rId11" Type="http://schemas.openxmlformats.org/officeDocument/2006/relationships/image" Target="media/image3.emf"/><Relationship Id="rId53" Type="http://schemas.openxmlformats.org/officeDocument/2006/relationships/image" Target="media/image43.emf"/><Relationship Id="rId149" Type="http://schemas.openxmlformats.org/officeDocument/2006/relationships/image" Target="media/image98.emf"/><Relationship Id="rId314" Type="http://schemas.openxmlformats.org/officeDocument/2006/relationships/hyperlink" Target="http://www.iadb.org/es/noticias/comunicados-de-prensa/2015-03-10/estadisticas-tributarias-en-america-latina-y-el-caribe,11082.html" TargetMode="External"/><Relationship Id="rId356" Type="http://schemas.openxmlformats.org/officeDocument/2006/relationships/hyperlink" Target="http://www.fitchratings.mx/ArchivosHTML/RepEsp_13800.pdf" TargetMode="External"/><Relationship Id="rId398" Type="http://schemas.openxmlformats.org/officeDocument/2006/relationships/image" Target="media/image246.png"/><Relationship Id="rId95" Type="http://schemas.openxmlformats.org/officeDocument/2006/relationships/hyperlink" Target="http://www.presidencia.gob.mx/articulos-prensa/se-destinaran-al-campo-mas-de-10-mil-400-millones-de-pesos-enrique-pena-nieto/" TargetMode="External"/><Relationship Id="rId160" Type="http://schemas.openxmlformats.org/officeDocument/2006/relationships/image" Target="media/image107.emf"/><Relationship Id="rId216" Type="http://schemas.openxmlformats.org/officeDocument/2006/relationships/image" Target="media/image145.emf"/><Relationship Id="rId423" Type="http://schemas.openxmlformats.org/officeDocument/2006/relationships/hyperlink" Target="http://www.banxico.org.mx/SieInternet/consultarDirectorioInternetAction.do?accion=consultarCuadro&amp;idCuadro=CF112&amp;sector=18&amp;locale=es" TargetMode="External"/><Relationship Id="rId258" Type="http://schemas.openxmlformats.org/officeDocument/2006/relationships/image" Target="media/image178.emf"/><Relationship Id="rId22" Type="http://schemas.openxmlformats.org/officeDocument/2006/relationships/image" Target="media/image14.emf"/><Relationship Id="rId64" Type="http://schemas.openxmlformats.org/officeDocument/2006/relationships/image" Target="media/image53.emf"/><Relationship Id="rId118" Type="http://schemas.openxmlformats.org/officeDocument/2006/relationships/image" Target="media/image90.emf"/><Relationship Id="rId325" Type="http://schemas.openxmlformats.org/officeDocument/2006/relationships/hyperlink" Target="http://www.cnbv.gob.mx/SECTORES-SUPERVISADOS/BANCA-MULTIPLE/Prensa%20%20Sector%20Bancario/Comunicado_Prensa_%20BM_Dic_14.pdf" TargetMode="External"/><Relationship Id="rId367" Type="http://schemas.openxmlformats.org/officeDocument/2006/relationships/image" Target="media/image232.emf"/><Relationship Id="rId171" Type="http://schemas.openxmlformats.org/officeDocument/2006/relationships/image" Target="media/image117.emf"/><Relationship Id="rId227" Type="http://schemas.openxmlformats.org/officeDocument/2006/relationships/image" Target="media/image149.emf"/><Relationship Id="rId269" Type="http://schemas.openxmlformats.org/officeDocument/2006/relationships/image" Target="media/image189.emf"/><Relationship Id="rId434" Type="http://schemas.openxmlformats.org/officeDocument/2006/relationships/image" Target="media/image265.emf"/><Relationship Id="rId33" Type="http://schemas.openxmlformats.org/officeDocument/2006/relationships/image" Target="media/image25.emf"/><Relationship Id="rId129" Type="http://schemas.openxmlformats.org/officeDocument/2006/relationships/image" Target="media/image91.emf"/><Relationship Id="rId280" Type="http://schemas.openxmlformats.org/officeDocument/2006/relationships/image" Target="media/image200.emf"/><Relationship Id="rId336" Type="http://schemas.openxmlformats.org/officeDocument/2006/relationships/hyperlink" Target="http://www.ficrea.com.mx" TargetMode="External"/><Relationship Id="rId75" Type="http://schemas.openxmlformats.org/officeDocument/2006/relationships/image" Target="media/image64.emf"/><Relationship Id="rId140" Type="http://schemas.openxmlformats.org/officeDocument/2006/relationships/hyperlink" Target="http://www.project-syndicate.org/commentary/public-investment-economic-growth-by-michael-spence-2015-02/spanish" TargetMode="External"/><Relationship Id="rId182" Type="http://schemas.openxmlformats.org/officeDocument/2006/relationships/image" Target="media/image127.emf"/><Relationship Id="rId378" Type="http://schemas.openxmlformats.org/officeDocument/2006/relationships/hyperlink" Target="http://www.consar.gob.mx/rendimiento_neto/rendimiento_neto_promedio.aspx" TargetMode="External"/><Relationship Id="rId403" Type="http://schemas.openxmlformats.org/officeDocument/2006/relationships/image" Target="media/image251.emf"/><Relationship Id="rId6" Type="http://schemas.openxmlformats.org/officeDocument/2006/relationships/footnotes" Target="footnotes.xml"/><Relationship Id="rId238" Type="http://schemas.openxmlformats.org/officeDocument/2006/relationships/hyperlink" Target="http://lat.wsj.com/articles/SB10884764161162954107804580524621302959094?tesla=y" TargetMode="External"/><Relationship Id="rId445" Type="http://schemas.openxmlformats.org/officeDocument/2006/relationships/hyperlink" Target="http://www.banxico.org.mx/informacion-para-la-prensa/comunicados/politica-cambiaria/comision-de-cambios/%7BF0793066-927C-5B11-5180-E6905D18B4B1%7D.pdf" TargetMode="External"/><Relationship Id="rId291" Type="http://schemas.openxmlformats.org/officeDocument/2006/relationships/image" Target="media/image207.emf"/><Relationship Id="rId305" Type="http://schemas.openxmlformats.org/officeDocument/2006/relationships/image" Target="media/image213.emf"/><Relationship Id="rId347" Type="http://schemas.openxmlformats.org/officeDocument/2006/relationships/hyperlink" Target="http://www.condusef.gob.mx/index.php/prensa/comunicados-2015/1162-sabes-cuanto-te-cobra-tu-banco-por-emision-de-cheque-adicional-y-cual-es-la-comision-por-sobregiro" TargetMode="External"/><Relationship Id="rId44" Type="http://schemas.openxmlformats.org/officeDocument/2006/relationships/image" Target="media/image34.emf"/><Relationship Id="rId86" Type="http://schemas.openxmlformats.org/officeDocument/2006/relationships/image" Target="media/image74.emf"/><Relationship Id="rId151" Type="http://schemas.openxmlformats.org/officeDocument/2006/relationships/image" Target="media/image100.emf"/><Relationship Id="rId389" Type="http://schemas.openxmlformats.org/officeDocument/2006/relationships/image" Target="media/image237.png"/><Relationship Id="rId193" Type="http://schemas.openxmlformats.org/officeDocument/2006/relationships/hyperlink" Target="http://www.femia.com.mx/index.php" TargetMode="External"/><Relationship Id="rId207" Type="http://schemas.openxmlformats.org/officeDocument/2006/relationships/image" Target="media/image138.emf"/><Relationship Id="rId249" Type="http://schemas.openxmlformats.org/officeDocument/2006/relationships/image" Target="media/image169.emf"/><Relationship Id="rId414" Type="http://schemas.openxmlformats.org/officeDocument/2006/relationships/image" Target="media/image254.emf"/><Relationship Id="rId456" Type="http://schemas.openxmlformats.org/officeDocument/2006/relationships/theme" Target="theme/theme1.xml"/><Relationship Id="rId13" Type="http://schemas.openxmlformats.org/officeDocument/2006/relationships/image" Target="media/image5.emf"/><Relationship Id="rId109" Type="http://schemas.openxmlformats.org/officeDocument/2006/relationships/image" Target="media/image81.emf"/><Relationship Id="rId260" Type="http://schemas.openxmlformats.org/officeDocument/2006/relationships/image" Target="media/image180.emf"/><Relationship Id="rId316" Type="http://schemas.openxmlformats.org/officeDocument/2006/relationships/hyperlink" Target="http://www.shcp.gob.mx/SALAPRENSA/doc_discurso_funcionarios/secretarioSHCP/2015/lvc_inauguracion_convencion_bancaria_19032015.pdf" TargetMode="External"/><Relationship Id="rId55" Type="http://schemas.openxmlformats.org/officeDocument/2006/relationships/image" Target="media/image45.emf"/><Relationship Id="rId97" Type="http://schemas.openxmlformats.org/officeDocument/2006/relationships/hyperlink" Target="http://www.sct.gob.mx/despliega-noticias/article/soluciona-sct-congestion-vehicular-en-el-valle-de-toluca/" TargetMode="External"/><Relationship Id="rId120" Type="http://schemas.openxmlformats.org/officeDocument/2006/relationships/hyperlink" Target="http://www.sct.gob.mx/despliega-noticias/article/palabras-del-srio-gerardo-ruiz-esparza-durante-el-informe-de-avances-de-la-reforma-en-materia-de-t/" TargetMode="External"/><Relationship Id="rId358" Type="http://schemas.openxmlformats.org/officeDocument/2006/relationships/hyperlink" Target="http://www.fitchratings.mx/ArchivosHTML/ComRE_13801.pdf" TargetMode="External"/><Relationship Id="rId162" Type="http://schemas.openxmlformats.org/officeDocument/2006/relationships/image" Target="media/image109.emf"/><Relationship Id="rId218" Type="http://schemas.openxmlformats.org/officeDocument/2006/relationships/image" Target="media/image147.emf"/><Relationship Id="rId425" Type="http://schemas.openxmlformats.org/officeDocument/2006/relationships/hyperlink" Target="http://www.banxico.org.mx/SieInternet/consultarDirectorioInternetAction.do?accion=consultarCuadro&amp;idCuadro=CF112&amp;sector=18&amp;locale=es" TargetMode="External"/><Relationship Id="rId271" Type="http://schemas.openxmlformats.org/officeDocument/2006/relationships/image" Target="media/image191.emf"/><Relationship Id="rId24" Type="http://schemas.openxmlformats.org/officeDocument/2006/relationships/image" Target="media/image16.emf"/><Relationship Id="rId66" Type="http://schemas.openxmlformats.org/officeDocument/2006/relationships/image" Target="media/image55.emf"/><Relationship Id="rId131" Type="http://schemas.openxmlformats.org/officeDocument/2006/relationships/image" Target="media/image93.emf"/><Relationship Id="rId327" Type="http://schemas.openxmlformats.org/officeDocument/2006/relationships/hyperlink" Target="http://portafoliodeinformacion.cnbv.gob.mx/bm1/Paginas/infosituacion.aspx" TargetMode="External"/><Relationship Id="rId369" Type="http://schemas.openxmlformats.org/officeDocument/2006/relationships/hyperlink" Target="http://repositorio.cepal.org/bitstream/handle/11362/37767/S1500127_es.pdf?sequence=1" TargetMode="External"/><Relationship Id="rId173" Type="http://schemas.openxmlformats.org/officeDocument/2006/relationships/hyperlink" Target="http://www.inegi.org.mx/saladeprensa/boletines/2015/ipm/ipm2015_03.pdf" TargetMode="External"/><Relationship Id="rId229" Type="http://schemas.openxmlformats.org/officeDocument/2006/relationships/image" Target="media/image151.emf"/><Relationship Id="rId380" Type="http://schemas.openxmlformats.org/officeDocument/2006/relationships/hyperlink" Target="http://www.consar.gob.mx/SeriesTiempo/CuadroInicial.aspx?md=2" TargetMode="External"/><Relationship Id="rId436" Type="http://schemas.openxmlformats.org/officeDocument/2006/relationships/image" Target="media/image267.emf"/><Relationship Id="rId240" Type="http://schemas.openxmlformats.org/officeDocument/2006/relationships/image" Target="media/image160.emf"/><Relationship Id="rId35" Type="http://schemas.openxmlformats.org/officeDocument/2006/relationships/image" Target="media/image27.emf"/><Relationship Id="rId77" Type="http://schemas.openxmlformats.org/officeDocument/2006/relationships/image" Target="media/image66.emf"/><Relationship Id="rId100" Type="http://schemas.openxmlformats.org/officeDocument/2006/relationships/hyperlink" Target="http://www.sagarpa.gob.mx/saladeprensa/2012/Paginas/2015B142.aspx" TargetMode="External"/><Relationship Id="rId282" Type="http://schemas.openxmlformats.org/officeDocument/2006/relationships/image" Target="media/image202.emf"/><Relationship Id="rId338" Type="http://schemas.openxmlformats.org/officeDocument/2006/relationships/hyperlink" Target="http://www.condusef.gob.mx" TargetMode="External"/><Relationship Id="rId8" Type="http://schemas.openxmlformats.org/officeDocument/2006/relationships/hyperlink" Target="http://www.presidencia.gob.mx/articulos-prensa/el-crecimiento-del-pib-nacional-en-2014-es-superior-a-las-estimaciones-para-otras-economia-de-la-region-o-del-mundo-enrique-pena-nieto/" TargetMode="External"/><Relationship Id="rId142" Type="http://schemas.openxmlformats.org/officeDocument/2006/relationships/image" Target="media/image95.emf"/><Relationship Id="rId184" Type="http://schemas.openxmlformats.org/officeDocument/2006/relationships/hyperlink" Target="http://www.inegi.org.mx/saladeprensa/boletines/2015/concon/concon2015_03.pdf" TargetMode="External"/><Relationship Id="rId391" Type="http://schemas.openxmlformats.org/officeDocument/2006/relationships/image" Target="media/image239.png"/><Relationship Id="rId405" Type="http://schemas.openxmlformats.org/officeDocument/2006/relationships/hyperlink" Target="http://dof.gob.mx/nota_detalle.php?codigo=5383916&amp;fecha=02/03/2015" TargetMode="External"/><Relationship Id="rId447" Type="http://schemas.openxmlformats.org/officeDocument/2006/relationships/image" Target="media/image273.emf"/><Relationship Id="rId251" Type="http://schemas.openxmlformats.org/officeDocument/2006/relationships/image" Target="media/image171.emf"/><Relationship Id="rId46" Type="http://schemas.openxmlformats.org/officeDocument/2006/relationships/image" Target="media/image36.emf"/><Relationship Id="rId293" Type="http://schemas.openxmlformats.org/officeDocument/2006/relationships/hyperlink" Target="http://www.sat.gob.mx/sala_prensa/comunicados_nacionales/Paginas/com2015_024.aspx" TargetMode="External"/><Relationship Id="rId307" Type="http://schemas.openxmlformats.org/officeDocument/2006/relationships/image" Target="media/image215.emf"/><Relationship Id="rId349" Type="http://schemas.openxmlformats.org/officeDocument/2006/relationships/image" Target="media/image224.emf"/><Relationship Id="rId88" Type="http://schemas.openxmlformats.org/officeDocument/2006/relationships/image" Target="media/image76.emf"/><Relationship Id="rId111" Type="http://schemas.openxmlformats.org/officeDocument/2006/relationships/image" Target="media/image83.emf"/><Relationship Id="rId153" Type="http://schemas.openxmlformats.org/officeDocument/2006/relationships/image" Target="media/image102.emf"/><Relationship Id="rId195" Type="http://schemas.openxmlformats.org/officeDocument/2006/relationships/image" Target="media/image132.emf"/><Relationship Id="rId209" Type="http://schemas.openxmlformats.org/officeDocument/2006/relationships/image" Target="media/image140.emf"/><Relationship Id="rId360" Type="http://schemas.openxmlformats.org/officeDocument/2006/relationships/hyperlink" Target="http://www.ilo.org/global/topics/labour-migration/news-statements/WCMS_329343/lang--es/index.htm" TargetMode="External"/><Relationship Id="rId416" Type="http://schemas.openxmlformats.org/officeDocument/2006/relationships/image" Target="media/image255.emf"/><Relationship Id="rId220" Type="http://schemas.openxmlformats.org/officeDocument/2006/relationships/hyperlink" Target="http://www.economia.gob.mx/eventos-noticias/sala-de-prensa/comunicados/10922-comunicado15-019" TargetMode="External"/><Relationship Id="rId15" Type="http://schemas.openxmlformats.org/officeDocument/2006/relationships/image" Target="media/image7.emf"/><Relationship Id="rId57" Type="http://schemas.openxmlformats.org/officeDocument/2006/relationships/image" Target="media/image47.emf"/><Relationship Id="rId262" Type="http://schemas.openxmlformats.org/officeDocument/2006/relationships/image" Target="media/image182.emf"/><Relationship Id="rId318" Type="http://schemas.openxmlformats.org/officeDocument/2006/relationships/hyperlink" Target="http://www.banxico.org.mx/publicaciones-y-discursos/discursos-y-presentaciones/discursos/%7BA6BAAB2C-7927-2ADA-7C6F-9997789AC707%7D.pdf" TargetMode="External"/><Relationship Id="rId99" Type="http://schemas.openxmlformats.org/officeDocument/2006/relationships/hyperlink" Target="http://www.presidencia.gob.mx/gira-de-trabajo-por-el-estado-de-mexico/" TargetMode="External"/><Relationship Id="rId122" Type="http://schemas.openxmlformats.org/officeDocument/2006/relationships/hyperlink" Target="http://www.sct.gob.mx/despliega-noticias/article/reforma-de-telecomunicaciones-mas-productividad-y-crecimiento-con-mayor-equidad-social/" TargetMode="External"/><Relationship Id="rId164" Type="http://schemas.openxmlformats.org/officeDocument/2006/relationships/image" Target="media/image111.emf"/><Relationship Id="rId371" Type="http://schemas.openxmlformats.org/officeDocument/2006/relationships/hyperlink" Target="http://blog-dialogoafondo.org/?p=4934" TargetMode="External"/><Relationship Id="rId427" Type="http://schemas.openxmlformats.org/officeDocument/2006/relationships/hyperlink" Target="http://www.banxico.org.mx/SieInternet/consultarDirectorioInternetAction.do?accion=consultarCuadro&amp;idCuadro=CF112&amp;sector=18&amp;locale=es" TargetMode="External"/><Relationship Id="rId26" Type="http://schemas.openxmlformats.org/officeDocument/2006/relationships/image" Target="media/image18.emf"/><Relationship Id="rId231" Type="http://schemas.openxmlformats.org/officeDocument/2006/relationships/image" Target="media/image153.emf"/><Relationship Id="rId273" Type="http://schemas.openxmlformats.org/officeDocument/2006/relationships/image" Target="media/image193.emf"/><Relationship Id="rId329" Type="http://schemas.openxmlformats.org/officeDocument/2006/relationships/hyperlink" Target="http://www.ilo.org/global/topics/labour-migration/news-statements/WCMS_329343/lang--es/index.htm" TargetMode="External"/><Relationship Id="rId68" Type="http://schemas.openxmlformats.org/officeDocument/2006/relationships/image" Target="media/image57.emf"/><Relationship Id="rId133" Type="http://schemas.openxmlformats.org/officeDocument/2006/relationships/hyperlink" Target="http://www.sct.gob.mx/despliega-noticias/article/inversion-y-empleos-prioridad-de-la-presente-administracion-guillermo-ruiz-de-teresa/" TargetMode="External"/><Relationship Id="rId175" Type="http://schemas.openxmlformats.org/officeDocument/2006/relationships/image" Target="media/image120.emf"/><Relationship Id="rId340" Type="http://schemas.openxmlformats.org/officeDocument/2006/relationships/hyperlink" Target="http://www.buro.gob.mx" TargetMode="External"/><Relationship Id="rId200" Type="http://schemas.openxmlformats.org/officeDocument/2006/relationships/hyperlink" Target="http://www.conacyt.gob.mx/siicyt/index.php/publicaciones/informe-general-del-estado-de-la-ciencia-y-la-tecnologia-2010/2044-2-informe-2010-capi/file" TargetMode="External"/><Relationship Id="rId382" Type="http://schemas.openxmlformats.org/officeDocument/2006/relationships/hyperlink" Target="http://www.fitchratings.mx/ArchivosHTML/Com_13843.pdf" TargetMode="External"/><Relationship Id="rId438" Type="http://schemas.openxmlformats.org/officeDocument/2006/relationships/image" Target="media/image268.emf"/><Relationship Id="rId242" Type="http://schemas.openxmlformats.org/officeDocument/2006/relationships/image" Target="media/image162.emf"/><Relationship Id="rId284" Type="http://schemas.openxmlformats.org/officeDocument/2006/relationships/image" Target="media/image204.emf"/><Relationship Id="rId37" Type="http://schemas.openxmlformats.org/officeDocument/2006/relationships/image" Target="media/image29.emf"/><Relationship Id="rId79" Type="http://schemas.openxmlformats.org/officeDocument/2006/relationships/image" Target="media/image68.emf"/><Relationship Id="rId102" Type="http://schemas.openxmlformats.org/officeDocument/2006/relationships/hyperlink" Target="https://www.wto.org/spanish/tratop_s/tpr_s/tp410_s.htm" TargetMode="External"/><Relationship Id="rId144" Type="http://schemas.openxmlformats.org/officeDocument/2006/relationships/hyperlink" Target="http://www.inegi.org.mx/saladeprensa/boletines/2015/imcpmi/imcpmi2015_03.pdf" TargetMode="External"/><Relationship Id="rId90" Type="http://schemas.openxmlformats.org/officeDocument/2006/relationships/image" Target="media/image78.emf"/><Relationship Id="rId186" Type="http://schemas.openxmlformats.org/officeDocument/2006/relationships/hyperlink" Target="http://www.jornada.unam.mx/2015/03/06/opinion/033n1eco" TargetMode="External"/><Relationship Id="rId351" Type="http://schemas.openxmlformats.org/officeDocument/2006/relationships/image" Target="media/image226.emf"/><Relationship Id="rId393" Type="http://schemas.openxmlformats.org/officeDocument/2006/relationships/image" Target="media/image241.png"/><Relationship Id="rId407" Type="http://schemas.openxmlformats.org/officeDocument/2006/relationships/hyperlink" Target="http://www.bde.es/f/webbde/GAP/Secciones/SalaPrensa/ComunicadosBCE/DecisionesPoliticaMonetaria/15/Arc/Fic/is150305es.pdf" TargetMode="External"/><Relationship Id="rId449" Type="http://schemas.openxmlformats.org/officeDocument/2006/relationships/hyperlink" Target="http://lat.wsj.com/articles/SB11689363469961823294104580509941661245072?tesla=y" TargetMode="External"/><Relationship Id="rId211" Type="http://schemas.openxmlformats.org/officeDocument/2006/relationships/image" Target="media/image142.emf"/><Relationship Id="rId253" Type="http://schemas.openxmlformats.org/officeDocument/2006/relationships/image" Target="media/image173.emf"/><Relationship Id="rId295" Type="http://schemas.openxmlformats.org/officeDocument/2006/relationships/hyperlink" Target="http://www2.sat.gob.mx/sitio_internet/informe_tributario/informe2014t4/Informe%20Ejecutivo.pdf" TargetMode="External"/><Relationship Id="rId309" Type="http://schemas.openxmlformats.org/officeDocument/2006/relationships/image" Target="media/image217.emf"/><Relationship Id="rId48" Type="http://schemas.openxmlformats.org/officeDocument/2006/relationships/image" Target="media/image38.emf"/><Relationship Id="rId113" Type="http://schemas.openxmlformats.org/officeDocument/2006/relationships/image" Target="media/image85.emf"/><Relationship Id="rId320" Type="http://schemas.openxmlformats.org/officeDocument/2006/relationships/hyperlink" Target="http://www.banxico.org.mx/informacion-para-la-prensa/comunicados/politica-cambiaria/comision-de-cambios/%7bF0793066-927C-5B11-5180-E6905D18B4B1%7d.pdf" TargetMode="External"/><Relationship Id="rId155" Type="http://schemas.openxmlformats.org/officeDocument/2006/relationships/image" Target="media/image103.emf"/><Relationship Id="rId197" Type="http://schemas.openxmlformats.org/officeDocument/2006/relationships/image" Target="media/image134.emf"/><Relationship Id="rId362" Type="http://schemas.openxmlformats.org/officeDocument/2006/relationships/hyperlink" Target="http://www.fitchratings.mx/ArchivosHTML/Coment_13834.html" TargetMode="External"/><Relationship Id="rId418" Type="http://schemas.openxmlformats.org/officeDocument/2006/relationships/image" Target="media/image256.emf"/><Relationship Id="rId222" Type="http://schemas.openxmlformats.org/officeDocument/2006/relationships/hyperlink" Target="http://www.inegi.org.mx/sistemas/bie/" TargetMode="External"/><Relationship Id="rId264" Type="http://schemas.openxmlformats.org/officeDocument/2006/relationships/image" Target="media/image184.emf"/><Relationship Id="rId17" Type="http://schemas.openxmlformats.org/officeDocument/2006/relationships/image" Target="media/image9.emf"/><Relationship Id="rId59" Type="http://schemas.openxmlformats.org/officeDocument/2006/relationships/image" Target="media/image48.emf"/><Relationship Id="rId124" Type="http://schemas.openxmlformats.org/officeDocument/2006/relationships/hyperlink" Target="http://www.sct.gob.mx/despliega-noticias/article/logra-sct-inversion-extranjera-directa-por-seis-mil-mdd-producto-de-la-reforma-de-telecomunicacion/" TargetMode="External"/><Relationship Id="rId70" Type="http://schemas.openxmlformats.org/officeDocument/2006/relationships/image" Target="media/image59.emf"/><Relationship Id="rId166" Type="http://schemas.openxmlformats.org/officeDocument/2006/relationships/image" Target="media/image113.emf"/><Relationship Id="rId331" Type="http://schemas.openxmlformats.org/officeDocument/2006/relationships/image" Target="media/image219.emf"/><Relationship Id="rId373" Type="http://schemas.openxmlformats.org/officeDocument/2006/relationships/hyperlink" Target="http://www.consar.gob.mx/sala_prensa/PDF/boletines/BP-08-2015.pdf" TargetMode="External"/><Relationship Id="rId429" Type="http://schemas.openxmlformats.org/officeDocument/2006/relationships/hyperlink" Target="http://www.banxico.org.mx/SieInternet/consultarDirectorioInternetAction.do?accion=consultarCuadro&amp;idCuadro=CF112&amp;sector=18&amp;locale=es" TargetMode="External"/><Relationship Id="rId1" Type="http://schemas.openxmlformats.org/officeDocument/2006/relationships/customXml" Target="../customXml/item1.xml"/><Relationship Id="rId233" Type="http://schemas.openxmlformats.org/officeDocument/2006/relationships/image" Target="media/image155.emf"/><Relationship Id="rId440" Type="http://schemas.openxmlformats.org/officeDocument/2006/relationships/image" Target="media/image270.emf"/><Relationship Id="rId28" Type="http://schemas.openxmlformats.org/officeDocument/2006/relationships/image" Target="media/image20.emf"/><Relationship Id="rId275" Type="http://schemas.openxmlformats.org/officeDocument/2006/relationships/image" Target="media/image195.emf"/><Relationship Id="rId300" Type="http://schemas.openxmlformats.org/officeDocument/2006/relationships/image" Target="media/image209.emf"/><Relationship Id="rId81" Type="http://schemas.openxmlformats.org/officeDocument/2006/relationships/image" Target="media/image70.emf"/><Relationship Id="rId135" Type="http://schemas.openxmlformats.org/officeDocument/2006/relationships/hyperlink" Target="http://www.sct.gob.mx/despliega-noticias/article/logra-sct-inversion-extranjera-directa-por-seis-mil-mdd-producto-de-la-reforma-de-telecomunicacion/" TargetMode="External"/><Relationship Id="rId177" Type="http://schemas.openxmlformats.org/officeDocument/2006/relationships/image" Target="media/image122.emf"/><Relationship Id="rId342" Type="http://schemas.openxmlformats.org/officeDocument/2006/relationships/hyperlink" Target="http://www.buro.gob.mx" TargetMode="External"/><Relationship Id="rId384" Type="http://schemas.openxmlformats.org/officeDocument/2006/relationships/hyperlink" Target="http://www.fitchratings.mx/ArchivosHTML/Com_13869.html" TargetMode="External"/><Relationship Id="rId202" Type="http://schemas.openxmlformats.org/officeDocument/2006/relationships/hyperlink" Target="http://www.conacyt.gob.mx/siicyt/index.php/publicaciones/informe-general-del-estado-de-la-ciencia-y-la-tecnologia-2010/2044-2-informe-2010-capi/file" TargetMode="External"/><Relationship Id="rId244" Type="http://schemas.openxmlformats.org/officeDocument/2006/relationships/image" Target="media/image164.emf"/><Relationship Id="rId39" Type="http://schemas.openxmlformats.org/officeDocument/2006/relationships/image" Target="media/image31.emf"/><Relationship Id="rId286" Type="http://schemas.openxmlformats.org/officeDocument/2006/relationships/image" Target="media/image206.emf"/><Relationship Id="rId451" Type="http://schemas.openxmlformats.org/officeDocument/2006/relationships/hyperlink" Target="https://www.bbvaresearch.com/wp-content/uploads/pdf/67403_68394.pdf" TargetMode="External"/><Relationship Id="rId50" Type="http://schemas.openxmlformats.org/officeDocument/2006/relationships/image" Target="media/image40.emf"/><Relationship Id="rId104" Type="http://schemas.openxmlformats.org/officeDocument/2006/relationships/hyperlink" Target="http://www.fao.org/news/story/es/item/279611/icode/" TargetMode="External"/><Relationship Id="rId146" Type="http://schemas.openxmlformats.org/officeDocument/2006/relationships/hyperlink" Target="http://www.inegi.org.mx/saladeprensa/boletines/2015/imcpmi/imcpmi2015_03.xls" TargetMode="External"/><Relationship Id="rId188" Type="http://schemas.openxmlformats.org/officeDocument/2006/relationships/image" Target="media/image130.emf"/><Relationship Id="rId311" Type="http://schemas.openxmlformats.org/officeDocument/2006/relationships/image" Target="media/image218.emf"/><Relationship Id="rId353" Type="http://schemas.openxmlformats.org/officeDocument/2006/relationships/image" Target="media/image228.emf"/><Relationship Id="rId395" Type="http://schemas.openxmlformats.org/officeDocument/2006/relationships/image" Target="media/image243.png"/><Relationship Id="rId409" Type="http://schemas.openxmlformats.org/officeDocument/2006/relationships/hyperlink" Target="http://www.bde.es/f/webbde/GAP/Secciones/SalaPrensa/NotasInformativas/15/Arc/Fic/presbe2015_08.pdf" TargetMode="External"/></Relationships>
</file>

<file path=word/_rels/footnotes.xml.rels><?xml version="1.0" encoding="UTF-8" standalone="yes"?>
<Relationships xmlns="http://schemas.openxmlformats.org/package/2006/relationships"><Relationship Id="rId13" Type="http://schemas.openxmlformats.org/officeDocument/2006/relationships/hyperlink" Target="https://www.globalinnovationindex.org/content.aspx?page=GII-Home" TargetMode="External"/><Relationship Id="rId18" Type="http://schemas.openxmlformats.org/officeDocument/2006/relationships/hyperlink" Target="http://www.wipo.int/classifications/ipc/en/est/index.html" TargetMode="External"/><Relationship Id="rId26" Type="http://schemas.openxmlformats.org/officeDocument/2006/relationships/hyperlink" Target="http://dx.doi.org/10.1787/9789264167742-en" TargetMode="External"/><Relationship Id="rId3" Type="http://schemas.openxmlformats.org/officeDocument/2006/relationships/hyperlink" Target="http://www.sagarpa.gob.mx/saladeprensa/2012/Paginas/2015D003.aspx" TargetMode="External"/><Relationship Id="rId21" Type="http://schemas.openxmlformats.org/officeDocument/2006/relationships/hyperlink" Target="http://www.ey.com/GL/en/Services/Strategic-Growth-Markets/Global-VC-insights-and-trends-report-2013" TargetMode="External"/><Relationship Id="rId7" Type="http://schemas.openxmlformats.org/officeDocument/2006/relationships/hyperlink" Target="http://awsassets.wwf.org.za/downloads/wwf_reportglobal_cleantech_innovation_index_2014final_.pdf" TargetMode="External"/><Relationship Id="rId12" Type="http://schemas.openxmlformats.org/officeDocument/2006/relationships/hyperlink" Target="http://www.thegedi.org/global-entrepreneurship-and-development-index-2014-report/" TargetMode="External"/><Relationship Id="rId17" Type="http://schemas.openxmlformats.org/officeDocument/2006/relationships/hyperlink" Target="http://stats.oecd.org" TargetMode="External"/><Relationship Id="rId25" Type="http://schemas.openxmlformats.org/officeDocument/2006/relationships/hyperlink" Target="http://www.mexican-tp.org/" TargetMode="External"/><Relationship Id="rId33" Type="http://schemas.openxmlformats.org/officeDocument/2006/relationships/hyperlink" Target="http://app.bde.es/gnt/clientebanca/calculo_diferencial.jsp" TargetMode="External"/><Relationship Id="rId2" Type="http://schemas.openxmlformats.org/officeDocument/2006/relationships/hyperlink" Target="http://www.sct.gob.mx/despliega-noticias/article/gira-de-trabajo-por-el-estado-de-mexico/" TargetMode="External"/><Relationship Id="rId16" Type="http://schemas.openxmlformats.org/officeDocument/2006/relationships/hyperlink" Target="http://www.inegi.org.mx/est/contenidos/proyectos/accesomicrodatos/esidet/default.aspx" TargetMode="External"/><Relationship Id="rId20" Type="http://schemas.openxmlformats.org/officeDocument/2006/relationships/hyperlink" Target="http://www.impi.gob.mx/wb/IMPI/impi_en_cifras2" TargetMode="External"/><Relationship Id="rId29" Type="http://schemas.openxmlformats.org/officeDocument/2006/relationships/hyperlink" Target="http://www.cnbv.gob.mx/SECTORES-SUPERVISADOS/BANCA-MULTIPLE/Prensa%20%20Sector%20Bancario/Comunicado_de_Prensa_Basilea_Alta_Calificacion.pdf" TargetMode="External"/><Relationship Id="rId1" Type="http://schemas.openxmlformats.org/officeDocument/2006/relationships/hyperlink" Target="http://www.presidencia.gob.mx/gira-de-trabajo-por-el-estado-de-mexico/" TargetMode="External"/><Relationship Id="rId6" Type="http://schemas.openxmlformats.org/officeDocument/2006/relationships/hyperlink" Target="http://blogs.worldbank.org/climatechange/low-carbon-growth-only-sustainable-way-overcome-world-poverty" TargetMode="External"/><Relationship Id="rId11" Type="http://schemas.openxmlformats.org/officeDocument/2006/relationships/hyperlink" Target="http://www.cepal.org/publicaciones/xml/4/49524/RVE109FujiiCervantes.pdf" TargetMode="External"/><Relationship Id="rId24" Type="http://schemas.openxmlformats.org/officeDocument/2006/relationships/hyperlink" Target="http://www.state.gov/e/eb/cba/entrepreneurship/museic/" TargetMode="External"/><Relationship Id="rId32" Type="http://schemas.openxmlformats.org/officeDocument/2006/relationships/hyperlink" Target="http://www.bde.es/webbde/es/estadis/infoest/a1901.pdf" TargetMode="External"/><Relationship Id="rId5" Type="http://schemas.openxmlformats.org/officeDocument/2006/relationships/hyperlink" Target="http://www.promexico.gob.mx" TargetMode="External"/><Relationship Id="rId15" Type="http://schemas.openxmlformats.org/officeDocument/2006/relationships/hyperlink" Target="http://www.dof.gob.mx/nota_detalle.php?codigo=5354626&amp;fecha=30/07/2014" TargetMode="External"/><Relationship Id="rId23" Type="http://schemas.openxmlformats.org/officeDocument/2006/relationships/hyperlink" Target="http://mim.promexico.gob.mx/wb/mim/cluster_mapping" TargetMode="External"/><Relationship Id="rId28" Type="http://schemas.openxmlformats.org/officeDocument/2006/relationships/hyperlink" Target="http://www2.sat.gob.mx/sitio_internet/informe_tributario/informe2014t4/" TargetMode="External"/><Relationship Id="rId10" Type="http://schemas.openxmlformats.org/officeDocument/2006/relationships/hyperlink" Target="http://www.infodev.org/infodev-files/green-industries.pdf" TargetMode="External"/><Relationship Id="rId19" Type="http://schemas.openxmlformats.org/officeDocument/2006/relationships/hyperlink" Target="http://web.mit.edu/tlo/www/index.html" TargetMode="External"/><Relationship Id="rId31" Type="http://schemas.openxmlformats.org/officeDocument/2006/relationships/hyperlink" Target="http://www.fitchratings.com" TargetMode="External"/><Relationship Id="rId4" Type="http://schemas.openxmlformats.org/officeDocument/2006/relationships/hyperlink" Target="http://www.sct.gob.mx/despliega-noticias/article/logra-sct-inversion-extranjera-directa-por-seis-mil-mdd-producto-de-la-reforma-de-telecomunicacion/" TargetMode="External"/><Relationship Id="rId9" Type="http://schemas.openxmlformats.org/officeDocument/2006/relationships/hyperlink" Target="http://www.infodev.org/infodev-files/green-industries.pdf" TargetMode="External"/><Relationship Id="rId14" Type="http://schemas.openxmlformats.org/officeDocument/2006/relationships/hyperlink" Target="http://www.oecd.org/sti/inno/Note_MSTI2013_2.pdf" TargetMode="External"/><Relationship Id="rId22" Type="http://schemas.openxmlformats.org/officeDocument/2006/relationships/hyperlink" Target="http://www.cleantechcluster.fi" TargetMode="External"/><Relationship Id="rId27" Type="http://schemas.openxmlformats.org/officeDocument/2006/relationships/hyperlink" Target="http://dx.doi.org/10.1787/9789264167742-en" TargetMode="External"/><Relationship Id="rId30" Type="http://schemas.openxmlformats.org/officeDocument/2006/relationships/hyperlink" Target="http://www.banxico.org.mx/informacion-para-la-prensa/comunicados/politica-cambiaria/comision-de-cambios/%7bF0793066-927C-5B11-5180-E6905D18B4B1%7d.pdf" TargetMode="External"/><Relationship Id="rId8" Type="http://schemas.openxmlformats.org/officeDocument/2006/relationships/hyperlink" Target="http://www.wwfchina.org/content/press/publication/clean-economy-living-%20planet.pdf" TargetMode="External"/></Relationships>
</file>

<file path=word/theme/theme1.xml><?xml version="1.0" encoding="utf-8"?>
<a:theme xmlns:a="http://schemas.openxmlformats.org/drawingml/2006/main" name="Tema de Office">
  <a:themeElements>
    <a:clrScheme name="Rojo naranja">
      <a:dk1>
        <a:sysClr val="windowText" lastClr="000000"/>
      </a:dk1>
      <a:lt1>
        <a:sysClr val="window" lastClr="FFFFFF"/>
      </a:lt1>
      <a:dk2>
        <a:srgbClr val="505046"/>
      </a:dk2>
      <a:lt2>
        <a:srgbClr val="EEECE1"/>
      </a:lt2>
      <a:accent1>
        <a:srgbClr val="E84C22"/>
      </a:accent1>
      <a:accent2>
        <a:srgbClr val="FFBD47"/>
      </a:accent2>
      <a:accent3>
        <a:srgbClr val="B64926"/>
      </a:accent3>
      <a:accent4>
        <a:srgbClr val="FF8427"/>
      </a:accent4>
      <a:accent5>
        <a:srgbClr val="CC9900"/>
      </a:accent5>
      <a:accent6>
        <a:srgbClr val="B22600"/>
      </a:accent6>
      <a:hlink>
        <a:srgbClr val="CC9900"/>
      </a:hlink>
      <a:folHlink>
        <a:srgbClr val="666699"/>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A98A23-CD07-4C3F-941D-5BC3DF114B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515</TotalTime>
  <Pages>756</Pages>
  <Words>170723</Words>
  <Characters>938979</Characters>
  <Application>Microsoft Office Word</Application>
  <DocSecurity>0</DocSecurity>
  <Lines>7824</Lines>
  <Paragraphs>2214</Paragraphs>
  <ScaleCrop>false</ScaleCrop>
  <HeadingPairs>
    <vt:vector size="2" baseType="variant">
      <vt:variant>
        <vt:lpstr>Título</vt:lpstr>
      </vt:variant>
      <vt:variant>
        <vt:i4>1</vt:i4>
      </vt:variant>
    </vt:vector>
  </HeadingPairs>
  <TitlesOfParts>
    <vt:vector size="1" baseType="lpstr">
      <vt:lpstr>I</vt:lpstr>
    </vt:vector>
  </TitlesOfParts>
  <Company>CONASAMI</Company>
  <LinksUpToDate>false</LinksUpToDate>
  <CharactersWithSpaces>1107488</CharactersWithSpaces>
  <SharedDoc>false</SharedDoc>
  <HLinks>
    <vt:vector size="1194" baseType="variant">
      <vt:variant>
        <vt:i4>2359407</vt:i4>
      </vt:variant>
      <vt:variant>
        <vt:i4>653</vt:i4>
      </vt:variant>
      <vt:variant>
        <vt:i4>0</vt:i4>
      </vt:variant>
      <vt:variant>
        <vt:i4>5</vt:i4>
      </vt:variant>
      <vt:variant>
        <vt:lpwstr>http://economy.blogs.ie.edu/archives/2012/02/perspectivas-economicas-riesgos-y-sorpresas-para-2012.php</vt:lpwstr>
      </vt:variant>
      <vt:variant>
        <vt:lpwstr/>
      </vt:variant>
      <vt:variant>
        <vt:i4>131164</vt:i4>
      </vt:variant>
      <vt:variant>
        <vt:i4>650</vt:i4>
      </vt:variant>
      <vt:variant>
        <vt:i4>0</vt:i4>
      </vt:variant>
      <vt:variant>
        <vt:i4>5</vt:i4>
      </vt:variant>
      <vt:variant>
        <vt:lpwstr>http://blog-dialogoafondo.org/?p=1637</vt:lpwstr>
      </vt:variant>
      <vt:variant>
        <vt:lpwstr/>
      </vt:variant>
      <vt:variant>
        <vt:i4>2293876</vt:i4>
      </vt:variant>
      <vt:variant>
        <vt:i4>647</vt:i4>
      </vt:variant>
      <vt:variant>
        <vt:i4>0</vt:i4>
      </vt:variant>
      <vt:variant>
        <vt:i4>5</vt:i4>
      </vt:variant>
      <vt:variant>
        <vt:lpwstr>http://www.felaban.com/</vt:lpwstr>
      </vt:variant>
      <vt:variant>
        <vt:lpwstr/>
      </vt:variant>
      <vt:variant>
        <vt:i4>5832730</vt:i4>
      </vt:variant>
      <vt:variant>
        <vt:i4>644</vt:i4>
      </vt:variant>
      <vt:variant>
        <vt:i4>0</vt:i4>
      </vt:variant>
      <vt:variant>
        <vt:i4>5</vt:i4>
      </vt:variant>
      <vt:variant>
        <vt:lpwstr>http://www.felaban.com/noticia.php?id=36</vt:lpwstr>
      </vt:variant>
      <vt:variant>
        <vt:lpwstr/>
      </vt:variant>
      <vt:variant>
        <vt:i4>65593</vt:i4>
      </vt:variant>
      <vt:variant>
        <vt:i4>641</vt:i4>
      </vt:variant>
      <vt:variant>
        <vt:i4>0</vt:i4>
      </vt:variant>
      <vt:variant>
        <vt:i4>5</vt:i4>
      </vt:variant>
      <vt:variant>
        <vt:lpwstr>http://www.felaban.com/archivos_noticias/Enero 30 - DISMINUCION DEL CRECIMIENTO PRONOSTICA FELABAN.pdf</vt:lpwstr>
      </vt:variant>
      <vt:variant>
        <vt:lpwstr/>
      </vt:variant>
      <vt:variant>
        <vt:i4>5046358</vt:i4>
      </vt:variant>
      <vt:variant>
        <vt:i4>638</vt:i4>
      </vt:variant>
      <vt:variant>
        <vt:i4>0</vt:i4>
      </vt:variant>
      <vt:variant>
        <vt:i4>5</vt:i4>
      </vt:variant>
      <vt:variant>
        <vt:lpwstr>http://www.imf.org/external/spanish/pubs/ft/weo/2012/update/01/pdf/0112s.pdf</vt:lpwstr>
      </vt:variant>
      <vt:variant>
        <vt:lpwstr/>
      </vt:variant>
      <vt:variant>
        <vt:i4>8257582</vt:i4>
      </vt:variant>
      <vt:variant>
        <vt:i4>596</vt:i4>
      </vt:variant>
      <vt:variant>
        <vt:i4>0</vt:i4>
      </vt:variant>
      <vt:variant>
        <vt:i4>5</vt:i4>
      </vt:variant>
      <vt:variant>
        <vt:lpwstr>http://www.oecd.org/dataoecd/35/8/49363879.pdf</vt:lpwstr>
      </vt:variant>
      <vt:variant>
        <vt:lpwstr/>
      </vt:variant>
      <vt:variant>
        <vt:i4>131139</vt:i4>
      </vt:variant>
      <vt:variant>
        <vt:i4>593</vt:i4>
      </vt:variant>
      <vt:variant>
        <vt:i4>0</vt:i4>
      </vt:variant>
      <vt:variant>
        <vt:i4>5</vt:i4>
      </vt:variant>
      <vt:variant>
        <vt:lpwstr>http://www.oecd.org/regreform/indicators</vt:lpwstr>
      </vt:variant>
      <vt:variant>
        <vt:lpwstr/>
      </vt:variant>
      <vt:variant>
        <vt:i4>6946868</vt:i4>
      </vt:variant>
      <vt:variant>
        <vt:i4>590</vt:i4>
      </vt:variant>
      <vt:variant>
        <vt:i4>0</vt:i4>
      </vt:variant>
      <vt:variant>
        <vt:i4>5</vt:i4>
      </vt:variant>
      <vt:variant>
        <vt:lpwstr>http://www.project-syndicate.org/commentary/soros76/Spanish</vt:lpwstr>
      </vt:variant>
      <vt:variant>
        <vt:lpwstr/>
      </vt:variant>
      <vt:variant>
        <vt:i4>4522007</vt:i4>
      </vt:variant>
      <vt:variant>
        <vt:i4>587</vt:i4>
      </vt:variant>
      <vt:variant>
        <vt:i4>0</vt:i4>
      </vt:variant>
      <vt:variant>
        <vt:i4>5</vt:i4>
      </vt:variant>
      <vt:variant>
        <vt:lpwstr>http://economy.blogs.ie.edu/</vt:lpwstr>
      </vt:variant>
      <vt:variant>
        <vt:lpwstr/>
      </vt:variant>
      <vt:variant>
        <vt:i4>6881403</vt:i4>
      </vt:variant>
      <vt:variant>
        <vt:i4>584</vt:i4>
      </vt:variant>
      <vt:variant>
        <vt:i4>0</vt:i4>
      </vt:variant>
      <vt:variant>
        <vt:i4>5</vt:i4>
      </vt:variant>
      <vt:variant>
        <vt:lpwstr>http://www.project-syndicate.org/commentary/stiglitz148/Spanish</vt:lpwstr>
      </vt:variant>
      <vt:variant>
        <vt:lpwstr/>
      </vt:variant>
      <vt:variant>
        <vt:i4>1835011</vt:i4>
      </vt:variant>
      <vt:variant>
        <vt:i4>581</vt:i4>
      </vt:variant>
      <vt:variant>
        <vt:i4>0</vt:i4>
      </vt:variant>
      <vt:variant>
        <vt:i4>5</vt:i4>
      </vt:variant>
      <vt:variant>
        <vt:lpwstr>http://www.comfin.com.mx/comunicados/fitch/12/feb/07informela.pdf</vt:lpwstr>
      </vt:variant>
      <vt:variant>
        <vt:lpwstr/>
      </vt:variant>
      <vt:variant>
        <vt:i4>3211274</vt:i4>
      </vt:variant>
      <vt:variant>
        <vt:i4>578</vt:i4>
      </vt:variant>
      <vt:variant>
        <vt:i4>0</vt:i4>
      </vt:variant>
      <vt:variant>
        <vt:i4>5</vt:i4>
      </vt:variant>
      <vt:variant>
        <vt:lpwstr>http://www.fitchmexico.com/ArchivosHTML/Com_9722.pdf</vt:lpwstr>
      </vt:variant>
      <vt:variant>
        <vt:lpwstr/>
      </vt:variant>
      <vt:variant>
        <vt:i4>2752533</vt:i4>
      </vt:variant>
      <vt:variant>
        <vt:i4>575</vt:i4>
      </vt:variant>
      <vt:variant>
        <vt:i4>0</vt:i4>
      </vt:variant>
      <vt:variant>
        <vt:i4>5</vt:i4>
      </vt:variant>
      <vt:variant>
        <vt:lpwstr>http://www.sela.org/attach/258/default/Canada_Politicas_Programas_Cooperacion_Internacional_para_el_Desarrollo-Oportunidades_para_ALC.pdf</vt:lpwstr>
      </vt:variant>
      <vt:variant>
        <vt:lpwstr/>
      </vt:variant>
      <vt:variant>
        <vt:i4>7864395</vt:i4>
      </vt:variant>
      <vt:variant>
        <vt:i4>572</vt:i4>
      </vt:variant>
      <vt:variant>
        <vt:i4>0</vt:i4>
      </vt:variant>
      <vt:variant>
        <vt:i4>5</vt:i4>
      </vt:variant>
      <vt:variant>
        <vt:lpwstr>http://www.sela.org/view/index.asp?ms=258&amp;pageMs=75192&amp;new_id=98107</vt:lpwstr>
      </vt:variant>
      <vt:variant>
        <vt:lpwstr/>
      </vt:variant>
      <vt:variant>
        <vt:i4>983058</vt:i4>
      </vt:variant>
      <vt:variant>
        <vt:i4>569</vt:i4>
      </vt:variant>
      <vt:variant>
        <vt:i4>0</vt:i4>
      </vt:variant>
      <vt:variant>
        <vt:i4>5</vt:i4>
      </vt:variant>
      <vt:variant>
        <vt:lpwstr>http://www.acdi-cida.gc.ca/acdi-cida/acdi-CIDA.nsf/eng/CAR-616135752-P3Q</vt:lpwstr>
      </vt:variant>
      <vt:variant>
        <vt:lpwstr/>
      </vt:variant>
      <vt:variant>
        <vt:i4>983058</vt:i4>
      </vt:variant>
      <vt:variant>
        <vt:i4>566</vt:i4>
      </vt:variant>
      <vt:variant>
        <vt:i4>0</vt:i4>
      </vt:variant>
      <vt:variant>
        <vt:i4>5</vt:i4>
      </vt:variant>
      <vt:variant>
        <vt:lpwstr>http://www.acdi-cida.gc.ca/acdi-cida/acdi-CIDA.nsf/eng/CAR-616135752-P3Q</vt:lpwstr>
      </vt:variant>
      <vt:variant>
        <vt:lpwstr/>
      </vt:variant>
      <vt:variant>
        <vt:i4>6160417</vt:i4>
      </vt:variant>
      <vt:variant>
        <vt:i4>563</vt:i4>
      </vt:variant>
      <vt:variant>
        <vt:i4>0</vt:i4>
      </vt:variant>
      <vt:variant>
        <vt:i4>5</vt:i4>
      </vt:variant>
      <vt:variant>
        <vt:lpwstr>http://files.shareholder.com/downloads/MAN/1350367079x0x535838/7071e568-457d-455e-b273-3a2eac7d290d/MAN_News_2012_1_24_General.pdf</vt:lpwstr>
      </vt:variant>
      <vt:variant>
        <vt:lpwstr/>
      </vt:variant>
      <vt:variant>
        <vt:i4>3080246</vt:i4>
      </vt:variant>
      <vt:variant>
        <vt:i4>560</vt:i4>
      </vt:variant>
      <vt:variant>
        <vt:i4>0</vt:i4>
      </vt:variant>
      <vt:variant>
        <vt:i4>5</vt:i4>
      </vt:variant>
      <vt:variant>
        <vt:lpwstr>http://www.revistasculturales.com/xrevistas/PDF/13/1480.pdf</vt:lpwstr>
      </vt:variant>
      <vt:variant>
        <vt:lpwstr/>
      </vt:variant>
      <vt:variant>
        <vt:i4>6881402</vt:i4>
      </vt:variant>
      <vt:variant>
        <vt:i4>557</vt:i4>
      </vt:variant>
      <vt:variant>
        <vt:i4>0</vt:i4>
      </vt:variant>
      <vt:variant>
        <vt:i4>5</vt:i4>
      </vt:variant>
      <vt:variant>
        <vt:lpwstr>http://www.cidob.org/es/publicaciones/articulos/revista_cidob_d_afers_internacionals/la_economia_rusa_en_la_crisis_mundial_una_valoracion_de_la_etapa_medvedev</vt:lpwstr>
      </vt:variant>
      <vt:variant>
        <vt:lpwstr/>
      </vt:variant>
      <vt:variant>
        <vt:i4>1441814</vt:i4>
      </vt:variant>
      <vt:variant>
        <vt:i4>554</vt:i4>
      </vt:variant>
      <vt:variant>
        <vt:i4>0</vt:i4>
      </vt:variant>
      <vt:variant>
        <vt:i4>5</vt:i4>
      </vt:variant>
      <vt:variant>
        <vt:lpwstr>http://www.oecd.org/dataoecd/2/13/49417295.pdf?contentId=49417296</vt:lpwstr>
      </vt:variant>
      <vt:variant>
        <vt:lpwstr/>
      </vt:variant>
      <vt:variant>
        <vt:i4>1441814</vt:i4>
      </vt:variant>
      <vt:variant>
        <vt:i4>551</vt:i4>
      </vt:variant>
      <vt:variant>
        <vt:i4>0</vt:i4>
      </vt:variant>
      <vt:variant>
        <vt:i4>5</vt:i4>
      </vt:variant>
      <vt:variant>
        <vt:lpwstr>http://www.oecd.org/dataoecd/2/13/49417295.pdf?contentId=49417296</vt:lpwstr>
      </vt:variant>
      <vt:variant>
        <vt:lpwstr/>
      </vt:variant>
      <vt:variant>
        <vt:i4>1966111</vt:i4>
      </vt:variant>
      <vt:variant>
        <vt:i4>548</vt:i4>
      </vt:variant>
      <vt:variant>
        <vt:i4>0</vt:i4>
      </vt:variant>
      <vt:variant>
        <vt:i4>5</vt:i4>
      </vt:variant>
      <vt:variant>
        <vt:lpwstr>http://www.oecd.org/dataoecd/2/14/49417273.pdf?contentId=49417274</vt:lpwstr>
      </vt:variant>
      <vt:variant>
        <vt:lpwstr/>
      </vt:variant>
      <vt:variant>
        <vt:i4>1966111</vt:i4>
      </vt:variant>
      <vt:variant>
        <vt:i4>545</vt:i4>
      </vt:variant>
      <vt:variant>
        <vt:i4>0</vt:i4>
      </vt:variant>
      <vt:variant>
        <vt:i4>5</vt:i4>
      </vt:variant>
      <vt:variant>
        <vt:lpwstr>http://www.oecd.org/dataoecd/2/14/49417273.pdf?contentId=49417274</vt:lpwstr>
      </vt:variant>
      <vt:variant>
        <vt:lpwstr/>
      </vt:variant>
      <vt:variant>
        <vt:i4>2752555</vt:i4>
      </vt:variant>
      <vt:variant>
        <vt:i4>542</vt:i4>
      </vt:variant>
      <vt:variant>
        <vt:i4>0</vt:i4>
      </vt:variant>
      <vt:variant>
        <vt:i4>5</vt:i4>
      </vt:variant>
      <vt:variant>
        <vt:lpwstr>http://www.oecd.org/dataoecd/44/27/49421268.pdf?contentId=49421269</vt:lpwstr>
      </vt:variant>
      <vt:variant>
        <vt:lpwstr/>
      </vt:variant>
      <vt:variant>
        <vt:i4>2752555</vt:i4>
      </vt:variant>
      <vt:variant>
        <vt:i4>539</vt:i4>
      </vt:variant>
      <vt:variant>
        <vt:i4>0</vt:i4>
      </vt:variant>
      <vt:variant>
        <vt:i4>5</vt:i4>
      </vt:variant>
      <vt:variant>
        <vt:lpwstr>http://www.oecd.org/dataoecd/44/27/49421268.pdf?contentId=49421269</vt:lpwstr>
      </vt:variant>
      <vt:variant>
        <vt:lpwstr/>
      </vt:variant>
      <vt:variant>
        <vt:i4>2228256</vt:i4>
      </vt:variant>
      <vt:variant>
        <vt:i4>536</vt:i4>
      </vt:variant>
      <vt:variant>
        <vt:i4>0</vt:i4>
      </vt:variant>
      <vt:variant>
        <vt:i4>5</vt:i4>
      </vt:variant>
      <vt:variant>
        <vt:lpwstr>http://www.oecd.org/dataoecd/44/26/49421421.pdf?contentId=49421422</vt:lpwstr>
      </vt:variant>
      <vt:variant>
        <vt:lpwstr/>
      </vt:variant>
      <vt:variant>
        <vt:i4>7798867</vt:i4>
      </vt:variant>
      <vt:variant>
        <vt:i4>533</vt:i4>
      </vt:variant>
      <vt:variant>
        <vt:i4>0</vt:i4>
      </vt:variant>
      <vt:variant>
        <vt:i4>5</vt:i4>
      </vt:variant>
      <vt:variant>
        <vt:lpwstr>http://www.oecd.org/document/36/0,3746,en_2649_34113_49334372_1_1_1_1,00.html</vt:lpwstr>
      </vt:variant>
      <vt:variant>
        <vt:lpwstr/>
      </vt:variant>
      <vt:variant>
        <vt:i4>721004</vt:i4>
      </vt:variant>
      <vt:variant>
        <vt:i4>530</vt:i4>
      </vt:variant>
      <vt:variant>
        <vt:i4>0</vt:i4>
      </vt:variant>
      <vt:variant>
        <vt:i4>5</vt:i4>
      </vt:variant>
      <vt:variant>
        <vt:lpwstr>http://www.oecd.org/document/39/0,3746,es_36288966_36288553_49448167_1_1_1_1,00.html</vt:lpwstr>
      </vt:variant>
      <vt:variant>
        <vt:lpwstr/>
      </vt:variant>
      <vt:variant>
        <vt:i4>5505067</vt:i4>
      </vt:variant>
      <vt:variant>
        <vt:i4>527</vt:i4>
      </vt:variant>
      <vt:variant>
        <vt:i4>0</vt:i4>
      </vt:variant>
      <vt:variant>
        <vt:i4>5</vt:i4>
      </vt:variant>
      <vt:variant>
        <vt:lpwstr>http://www.brookings.edu/reports/2012/0118_global_metro_monitor.aspx</vt:lpwstr>
      </vt:variant>
      <vt:variant>
        <vt:lpwstr/>
      </vt:variant>
      <vt:variant>
        <vt:i4>3604512</vt:i4>
      </vt:variant>
      <vt:variant>
        <vt:i4>524</vt:i4>
      </vt:variant>
      <vt:variant>
        <vt:i4>0</vt:i4>
      </vt:variant>
      <vt:variant>
        <vt:i4>5</vt:i4>
      </vt:variant>
      <vt:variant>
        <vt:lpwstr>http://www.brookings.edu/~/media/Files/rc/reports/2012/0118_global_metro_monitor/0118_global_metro_monitor.pdf</vt:lpwstr>
      </vt:variant>
      <vt:variant>
        <vt:lpwstr/>
      </vt:variant>
      <vt:variant>
        <vt:i4>1572917</vt:i4>
      </vt:variant>
      <vt:variant>
        <vt:i4>521</vt:i4>
      </vt:variant>
      <vt:variant>
        <vt:i4>0</vt:i4>
      </vt:variant>
      <vt:variant>
        <vt:i4>5</vt:i4>
      </vt:variant>
      <vt:variant>
        <vt:lpwstr>http://www.brookings.edu/~/media/Files/rc/reports/2012/0118_global_metro_monitor/0118_global_metro_monitor_sp.pdf</vt:lpwstr>
      </vt:variant>
      <vt:variant>
        <vt:lpwstr/>
      </vt:variant>
      <vt:variant>
        <vt:i4>4784214</vt:i4>
      </vt:variant>
      <vt:variant>
        <vt:i4>518</vt:i4>
      </vt:variant>
      <vt:variant>
        <vt:i4>0</vt:i4>
      </vt:variant>
      <vt:variant>
        <vt:i4>5</vt:i4>
      </vt:variant>
      <vt:variant>
        <vt:lpwstr>http://www.project-syndicate.org/commentary/zuma1/Spanish</vt:lpwstr>
      </vt:variant>
      <vt:variant>
        <vt:lpwstr/>
      </vt:variant>
      <vt:variant>
        <vt:i4>4390939</vt:i4>
      </vt:variant>
      <vt:variant>
        <vt:i4>515</vt:i4>
      </vt:variant>
      <vt:variant>
        <vt:i4>0</vt:i4>
      </vt:variant>
      <vt:variant>
        <vt:i4>5</vt:i4>
      </vt:variant>
      <vt:variant>
        <vt:lpwstr>http://www.presidencia.gob.mx/2012/02/encuentro-con-los-sherpas-del-g20/</vt:lpwstr>
      </vt:variant>
      <vt:variant>
        <vt:lpwstr/>
      </vt:variant>
      <vt:variant>
        <vt:i4>3473447</vt:i4>
      </vt:variant>
      <vt:variant>
        <vt:i4>512</vt:i4>
      </vt:variant>
      <vt:variant>
        <vt:i4>0</vt:i4>
      </vt:variant>
      <vt:variant>
        <vt:i4>5</vt:i4>
      </vt:variant>
      <vt:variant>
        <vt:lpwstr>http://www.presidencia.gob.mx/index.php?p=75088</vt:lpwstr>
      </vt:variant>
      <vt:variant>
        <vt:lpwstr/>
      </vt:variant>
      <vt:variant>
        <vt:i4>3473446</vt:i4>
      </vt:variant>
      <vt:variant>
        <vt:i4>509</vt:i4>
      </vt:variant>
      <vt:variant>
        <vt:i4>0</vt:i4>
      </vt:variant>
      <vt:variant>
        <vt:i4>5</vt:i4>
      </vt:variant>
      <vt:variant>
        <vt:lpwstr>http://www.presidencia.gob.mx/index.php?p=75184</vt:lpwstr>
      </vt:variant>
      <vt:variant>
        <vt:lpwstr/>
      </vt:variant>
      <vt:variant>
        <vt:i4>3473446</vt:i4>
      </vt:variant>
      <vt:variant>
        <vt:i4>506</vt:i4>
      </vt:variant>
      <vt:variant>
        <vt:i4>0</vt:i4>
      </vt:variant>
      <vt:variant>
        <vt:i4>5</vt:i4>
      </vt:variant>
      <vt:variant>
        <vt:lpwstr>http://www.presidencia.gob.mx/index.php?p=75185</vt:lpwstr>
      </vt:variant>
      <vt:variant>
        <vt:lpwstr/>
      </vt:variant>
      <vt:variant>
        <vt:i4>2228258</vt:i4>
      </vt:variant>
      <vt:variant>
        <vt:i4>503</vt:i4>
      </vt:variant>
      <vt:variant>
        <vt:i4>0</vt:i4>
      </vt:variant>
      <vt:variant>
        <vt:i4>5</vt:i4>
      </vt:variant>
      <vt:variant>
        <vt:lpwstr>http://www.presidencia.gob.mx/2012/01/se-reune-el-presidente-felipe-calderon-hinojosa-con-bill-gates-2/</vt:lpwstr>
      </vt:variant>
      <vt:variant>
        <vt:lpwstr/>
      </vt:variant>
      <vt:variant>
        <vt:i4>3473446</vt:i4>
      </vt:variant>
      <vt:variant>
        <vt:i4>500</vt:i4>
      </vt:variant>
      <vt:variant>
        <vt:i4>0</vt:i4>
      </vt:variant>
      <vt:variant>
        <vt:i4>5</vt:i4>
      </vt:variant>
      <vt:variant>
        <vt:lpwstr>http://www.presidencia.gob.mx/index.php?p=75184</vt:lpwstr>
      </vt:variant>
      <vt:variant>
        <vt:lpwstr/>
      </vt:variant>
      <vt:variant>
        <vt:i4>1441803</vt:i4>
      </vt:variant>
      <vt:variant>
        <vt:i4>497</vt:i4>
      </vt:variant>
      <vt:variant>
        <vt:i4>0</vt:i4>
      </vt:variant>
      <vt:variant>
        <vt:i4>5</vt:i4>
      </vt:variant>
      <vt:variant>
        <vt:lpwstr>http://www.presidencia.gob.mx/2012/01/premio-al-estadista-global/</vt:lpwstr>
      </vt:variant>
      <vt:variant>
        <vt:lpwstr/>
      </vt:variant>
      <vt:variant>
        <vt:i4>3473518</vt:i4>
      </vt:variant>
      <vt:variant>
        <vt:i4>494</vt:i4>
      </vt:variant>
      <vt:variant>
        <vt:i4>0</vt:i4>
      </vt:variant>
      <vt:variant>
        <vt:i4>5</vt:i4>
      </vt:variant>
      <vt:variant>
        <vt:lpwstr>http://presidencia.gob.mx/multimedia/infografias/?Info=503</vt:lpwstr>
      </vt:variant>
      <vt:variant>
        <vt:lpwstr/>
      </vt:variant>
      <vt:variant>
        <vt:i4>2621472</vt:i4>
      </vt:variant>
      <vt:variant>
        <vt:i4>491</vt:i4>
      </vt:variant>
      <vt:variant>
        <vt:i4>0</vt:i4>
      </vt:variant>
      <vt:variant>
        <vt:i4>5</vt:i4>
      </vt:variant>
      <vt:variant>
        <vt:lpwstr>http://www.project-syndicate.org/commentary/tyson2/Spanish</vt:lpwstr>
      </vt:variant>
      <vt:variant>
        <vt:lpwstr/>
      </vt:variant>
      <vt:variant>
        <vt:i4>7471151</vt:i4>
      </vt:variant>
      <vt:variant>
        <vt:i4>488</vt:i4>
      </vt:variant>
      <vt:variant>
        <vt:i4>0</vt:i4>
      </vt:variant>
      <vt:variant>
        <vt:i4>5</vt:i4>
      </vt:variant>
      <vt:variant>
        <vt:lpwstr>http://www.federalreserve.gov/monetarypolicy/files/fomcprojtabl20120125.pdf</vt:lpwstr>
      </vt:variant>
      <vt:variant>
        <vt:lpwstr/>
      </vt:variant>
      <vt:variant>
        <vt:i4>4325442</vt:i4>
      </vt:variant>
      <vt:variant>
        <vt:i4>485</vt:i4>
      </vt:variant>
      <vt:variant>
        <vt:i4>0</vt:i4>
      </vt:variant>
      <vt:variant>
        <vt:i4>5</vt:i4>
      </vt:variant>
      <vt:variant>
        <vt:lpwstr>http://www.federalreserve.gov/newsevents/press/monetary/20120125c.htm</vt:lpwstr>
      </vt:variant>
      <vt:variant>
        <vt:lpwstr/>
      </vt:variant>
      <vt:variant>
        <vt:i4>2687019</vt:i4>
      </vt:variant>
      <vt:variant>
        <vt:i4>482</vt:i4>
      </vt:variant>
      <vt:variant>
        <vt:i4>0</vt:i4>
      </vt:variant>
      <vt:variant>
        <vt:i4>5</vt:i4>
      </vt:variant>
      <vt:variant>
        <vt:lpwstr>http://www.project-syndicate.org/commentary/blejer9/Spanish</vt:lpwstr>
      </vt:variant>
      <vt:variant>
        <vt:lpwstr/>
      </vt:variant>
      <vt:variant>
        <vt:i4>262166</vt:i4>
      </vt:variant>
      <vt:variant>
        <vt:i4>479</vt:i4>
      </vt:variant>
      <vt:variant>
        <vt:i4>0</vt:i4>
      </vt:variant>
      <vt:variant>
        <vt:i4>5</vt:i4>
      </vt:variant>
      <vt:variant>
        <vt:lpwstr>http://www.elmundo.es/elmundo/2012/02/07/economia/1328585667.html</vt:lpwstr>
      </vt:variant>
      <vt:variant>
        <vt:lpwstr/>
      </vt:variant>
      <vt:variant>
        <vt:i4>7667812</vt:i4>
      </vt:variant>
      <vt:variant>
        <vt:i4>476</vt:i4>
      </vt:variant>
      <vt:variant>
        <vt:i4>0</vt:i4>
      </vt:variant>
      <vt:variant>
        <vt:i4>5</vt:i4>
      </vt:variant>
      <vt:variant>
        <vt:lpwstr>http://web.worldbank.org/WBSITE/EXTERNAL/NEWS/0,,contentMDK:23095597~pagePK:64257043~piPK:437376~theSitePK:4607,00.html</vt:lpwstr>
      </vt:variant>
      <vt:variant>
        <vt:lpwstr/>
      </vt:variant>
      <vt:variant>
        <vt:i4>3473512</vt:i4>
      </vt:variant>
      <vt:variant>
        <vt:i4>473</vt:i4>
      </vt:variant>
      <vt:variant>
        <vt:i4>0</vt:i4>
      </vt:variant>
      <vt:variant>
        <vt:i4>5</vt:i4>
      </vt:variant>
      <vt:variant>
        <vt:lpwstr>http://web.worldbank.org/WBSITE/EXTERNAL/BANCOMUNDIAL/NEWSSPANISH/0,,menuPK:1074627~pagePK:64001221~piPK:51189762~theSitePK:1074568,00.html</vt:lpwstr>
      </vt:variant>
      <vt:variant>
        <vt:lpwstr/>
      </vt:variant>
      <vt:variant>
        <vt:i4>2162695</vt:i4>
      </vt:variant>
      <vt:variant>
        <vt:i4>470</vt:i4>
      </vt:variant>
      <vt:variant>
        <vt:i4>0</vt:i4>
      </vt:variant>
      <vt:variant>
        <vt:i4>5</vt:i4>
      </vt:variant>
      <vt:variant>
        <vt:lpwstr>http://web.worldbank.org/WBSITE/EXTERNAL/BANCOMUNDIAL/NEWSSPANISH/0,,contentMDK:23095807~pagePK:64257043~piPK:437376~theSitePK:1074568,00.html?cid=EXT_BoletinES_W_EXT</vt:lpwstr>
      </vt:variant>
      <vt:variant>
        <vt:lpwstr/>
      </vt:variant>
      <vt:variant>
        <vt:i4>131098</vt:i4>
      </vt:variant>
      <vt:variant>
        <vt:i4>467</vt:i4>
      </vt:variant>
      <vt:variant>
        <vt:i4>0</vt:i4>
      </vt:variant>
      <vt:variant>
        <vt:i4>5</vt:i4>
      </vt:variant>
      <vt:variant>
        <vt:lpwstr>http://web.worldbank.org/WBSITE/EXTERNAL/BANCOMUNDIAL/NEWSSPANISH/0,,contentMDK:23096564~menuPK:1074627~pagePK:34370~piPK:34424~theSitePK:1074568,00.html</vt:lpwstr>
      </vt:variant>
      <vt:variant>
        <vt:lpwstr/>
      </vt:variant>
      <vt:variant>
        <vt:i4>65628</vt:i4>
      </vt:variant>
      <vt:variant>
        <vt:i4>464</vt:i4>
      </vt:variant>
      <vt:variant>
        <vt:i4>0</vt:i4>
      </vt:variant>
      <vt:variant>
        <vt:i4>5</vt:i4>
      </vt:variant>
      <vt:variant>
        <vt:lpwstr>http://blog-dialogoafondo.org/?p=1606</vt:lpwstr>
      </vt:variant>
      <vt:variant>
        <vt:lpwstr/>
      </vt:variant>
      <vt:variant>
        <vt:i4>5832752</vt:i4>
      </vt:variant>
      <vt:variant>
        <vt:i4>461</vt:i4>
      </vt:variant>
      <vt:variant>
        <vt:i4>0</vt:i4>
      </vt:variant>
      <vt:variant>
        <vt:i4>5</vt:i4>
      </vt:variant>
      <vt:variant>
        <vt:lpwstr>http://blog-dialogoafondo.org/?page_id=376</vt:lpwstr>
      </vt:variant>
      <vt:variant>
        <vt:lpwstr/>
      </vt:variant>
      <vt:variant>
        <vt:i4>1703943</vt:i4>
      </vt:variant>
      <vt:variant>
        <vt:i4>458</vt:i4>
      </vt:variant>
      <vt:variant>
        <vt:i4>0</vt:i4>
      </vt:variant>
      <vt:variant>
        <vt:i4>5</vt:i4>
      </vt:variant>
      <vt:variant>
        <vt:lpwstr>http://www.imf.org/external/spanish/pubs/ft/fmu/2012/01/0112s.pdf</vt:lpwstr>
      </vt:variant>
      <vt:variant>
        <vt:lpwstr/>
      </vt:variant>
      <vt:variant>
        <vt:i4>4915275</vt:i4>
      </vt:variant>
      <vt:variant>
        <vt:i4>455</vt:i4>
      </vt:variant>
      <vt:variant>
        <vt:i4>0</vt:i4>
      </vt:variant>
      <vt:variant>
        <vt:i4>5</vt:i4>
      </vt:variant>
      <vt:variant>
        <vt:lpwstr>http://www.imf.org/external/spanish/np/speeches/2012/012312s.htm</vt:lpwstr>
      </vt:variant>
      <vt:variant>
        <vt:lpwstr/>
      </vt:variant>
      <vt:variant>
        <vt:i4>1114132</vt:i4>
      </vt:variant>
      <vt:variant>
        <vt:i4>452</vt:i4>
      </vt:variant>
      <vt:variant>
        <vt:i4>0</vt:i4>
      </vt:variant>
      <vt:variant>
        <vt:i4>5</vt:i4>
      </vt:variant>
      <vt:variant>
        <vt:lpwstr>http://www.opec.org/opec_web/en/data_graphs/40.htm?selectedTab=daily</vt:lpwstr>
      </vt:variant>
      <vt:variant>
        <vt:lpwstr/>
      </vt:variant>
      <vt:variant>
        <vt:i4>4849680</vt:i4>
      </vt:variant>
      <vt:variant>
        <vt:i4>449</vt:i4>
      </vt:variant>
      <vt:variant>
        <vt:i4>0</vt:i4>
      </vt:variant>
      <vt:variant>
        <vt:i4>5</vt:i4>
      </vt:variant>
      <vt:variant>
        <vt:lpwstr>http://www.shcp.gob.mx/SALAPRENSA/doc_informe_petroleo/2012/02-08-12.pdf</vt:lpwstr>
      </vt:variant>
      <vt:variant>
        <vt:lpwstr/>
      </vt:variant>
      <vt:variant>
        <vt:i4>6684778</vt:i4>
      </vt:variant>
      <vt:variant>
        <vt:i4>446</vt:i4>
      </vt:variant>
      <vt:variant>
        <vt:i4>0</vt:i4>
      </vt:variant>
      <vt:variant>
        <vt:i4>5</vt:i4>
      </vt:variant>
      <vt:variant>
        <vt:lpwstr>http://www.pemex.com/index.cfm?action=news&amp;sectionid=8&amp;catid=40&amp;contentid=26014</vt:lpwstr>
      </vt:variant>
      <vt:variant>
        <vt:lpwstr/>
      </vt:variant>
      <vt:variant>
        <vt:i4>7077987</vt:i4>
      </vt:variant>
      <vt:variant>
        <vt:i4>443</vt:i4>
      </vt:variant>
      <vt:variant>
        <vt:i4>0</vt:i4>
      </vt:variant>
      <vt:variant>
        <vt:i4>5</vt:i4>
      </vt:variant>
      <vt:variant>
        <vt:lpwstr>http://www.pemex.com/index.cfm?action=news&amp;sectionid=8&amp;catid=40&amp;contentid=25986</vt:lpwstr>
      </vt:variant>
      <vt:variant>
        <vt:lpwstr/>
      </vt:variant>
      <vt:variant>
        <vt:i4>5767223</vt:i4>
      </vt:variant>
      <vt:variant>
        <vt:i4>440</vt:i4>
      </vt:variant>
      <vt:variant>
        <vt:i4>0</vt:i4>
      </vt:variant>
      <vt:variant>
        <vt:i4>5</vt:i4>
      </vt:variant>
      <vt:variant>
        <vt:lpwstr>http://www.ri.pemex.com/files/dcpe/petro/evolexporta_esp.pdf</vt:lpwstr>
      </vt:variant>
      <vt:variant>
        <vt:lpwstr/>
      </vt:variant>
      <vt:variant>
        <vt:i4>4587561</vt:i4>
      </vt:variant>
      <vt:variant>
        <vt:i4>437</vt:i4>
      </vt:variant>
      <vt:variant>
        <vt:i4>0</vt:i4>
      </vt:variant>
      <vt:variant>
        <vt:i4>5</vt:i4>
      </vt:variant>
      <vt:variant>
        <vt:lpwstr>http://www.ri.pemex.com/files/dcpe/petro/epreciopromedio_esp.xls</vt:lpwstr>
      </vt:variant>
      <vt:variant>
        <vt:lpwstr/>
      </vt:variant>
      <vt:variant>
        <vt:i4>5308483</vt:i4>
      </vt:variant>
      <vt:variant>
        <vt:i4>434</vt:i4>
      </vt:variant>
      <vt:variant>
        <vt:i4>0</vt:i4>
      </vt:variant>
      <vt:variant>
        <vt:i4>5</vt:i4>
      </vt:variant>
      <vt:variant>
        <vt:lpwstr>http://www.sener.gob.mx/webSener/portal/Default.aspx?id=1518</vt:lpwstr>
      </vt:variant>
      <vt:variant>
        <vt:lpwstr/>
      </vt:variant>
      <vt:variant>
        <vt:i4>6488163</vt:i4>
      </vt:variant>
      <vt:variant>
        <vt:i4>431</vt:i4>
      </vt:variant>
      <vt:variant>
        <vt:i4>0</vt:i4>
      </vt:variant>
      <vt:variant>
        <vt:i4>5</vt:i4>
      </vt:variant>
      <vt:variant>
        <vt:lpwstr>http://www.pemex.com/index.cfm?action=news&amp;sectionid=8&amp;catid=40&amp;contentid=25977</vt:lpwstr>
      </vt:variant>
      <vt:variant>
        <vt:lpwstr/>
      </vt:variant>
      <vt:variant>
        <vt:i4>4587561</vt:i4>
      </vt:variant>
      <vt:variant>
        <vt:i4>428</vt:i4>
      </vt:variant>
      <vt:variant>
        <vt:i4>0</vt:i4>
      </vt:variant>
      <vt:variant>
        <vt:i4>5</vt:i4>
      </vt:variant>
      <vt:variant>
        <vt:lpwstr>http://www.ri.pemex.com/files/dcpe/petro/epreciopromedio_esp.xls</vt:lpwstr>
      </vt:variant>
      <vt:variant>
        <vt:lpwstr/>
      </vt:variant>
      <vt:variant>
        <vt:i4>2359373</vt:i4>
      </vt:variant>
      <vt:variant>
        <vt:i4>425</vt:i4>
      </vt:variant>
      <vt:variant>
        <vt:i4>0</vt:i4>
      </vt:variant>
      <vt:variant>
        <vt:i4>5</vt:i4>
      </vt:variant>
      <vt:variant>
        <vt:lpwstr>http://www.ri.pemex.com/files/dcpe/petro/evalorexporta_esp.xls</vt:lpwstr>
      </vt:variant>
      <vt:variant>
        <vt:lpwstr/>
      </vt:variant>
      <vt:variant>
        <vt:i4>3735672</vt:i4>
      </vt:variant>
      <vt:variant>
        <vt:i4>422</vt:i4>
      </vt:variant>
      <vt:variant>
        <vt:i4>0</vt:i4>
      </vt:variant>
      <vt:variant>
        <vt:i4>5</vt:i4>
      </vt:variant>
      <vt:variant>
        <vt:lpwstr>http://web.worldbank.org/WBSITE/EXTERNAL/BANCOMUNDIAL/NEWSSPANISH/0,,contentMDK:23103981~menuPK:51191012~pagePK:34370~piPK:34424~theSitePK:1074568,00.html</vt:lpwstr>
      </vt:variant>
      <vt:variant>
        <vt:lpwstr/>
      </vt:variant>
      <vt:variant>
        <vt:i4>5242975</vt:i4>
      </vt:variant>
      <vt:variant>
        <vt:i4>419</vt:i4>
      </vt:variant>
      <vt:variant>
        <vt:i4>0</vt:i4>
      </vt:variant>
      <vt:variant>
        <vt:i4>5</vt:i4>
      </vt:variant>
      <vt:variant>
        <vt:lpwstr>http://web.worldbank.org/WBSITE/EXTERNAL/BANCOMUNDIAL/NEWSSPANISH/www.enviacentroamerica.org</vt:lpwstr>
      </vt:variant>
      <vt:variant>
        <vt:lpwstr/>
      </vt:variant>
      <vt:variant>
        <vt:i4>7471137</vt:i4>
      </vt:variant>
      <vt:variant>
        <vt:i4>416</vt:i4>
      </vt:variant>
      <vt:variant>
        <vt:i4>0</vt:i4>
      </vt:variant>
      <vt:variant>
        <vt:i4>5</vt:i4>
      </vt:variant>
      <vt:variant>
        <vt:lpwstr>http://www.cemla.org/pdf/DT-ComportamientRemesasMexico.pdf</vt:lpwstr>
      </vt:variant>
      <vt:variant>
        <vt:lpwstr/>
      </vt:variant>
      <vt:variant>
        <vt:i4>8061036</vt:i4>
      </vt:variant>
      <vt:variant>
        <vt:i4>413</vt:i4>
      </vt:variant>
      <vt:variant>
        <vt:i4>0</vt:i4>
      </vt:variant>
      <vt:variant>
        <vt:i4>5</vt:i4>
      </vt:variant>
      <vt:variant>
        <vt:lpwstr>http://www.banxico.org.mx/SieInternet/consultarDirectorioInternetAction.do?accion=consultarCuadro&amp;idCuadro=CE81&amp;sector=1&amp;locale=es</vt:lpwstr>
      </vt:variant>
      <vt:variant>
        <vt:lpwstr/>
      </vt:variant>
      <vt:variant>
        <vt:i4>3407911</vt:i4>
      </vt:variant>
      <vt:variant>
        <vt:i4>410</vt:i4>
      </vt:variant>
      <vt:variant>
        <vt:i4>0</vt:i4>
      </vt:variant>
      <vt:variant>
        <vt:i4>5</vt:i4>
      </vt:variant>
      <vt:variant>
        <vt:lpwstr>http://www.banxico.org.mx/SieInternet/consultarDirectorioInternetAction.do?accion=consultarCuadroAnalitico&amp;idCuadro=CA11&amp;sector=1&amp;locale=es</vt:lpwstr>
      </vt:variant>
      <vt:variant>
        <vt:lpwstr/>
      </vt:variant>
      <vt:variant>
        <vt:i4>655428</vt:i4>
      </vt:variant>
      <vt:variant>
        <vt:i4>407</vt:i4>
      </vt:variant>
      <vt:variant>
        <vt:i4>0</vt:i4>
      </vt:variant>
      <vt:variant>
        <vt:i4>5</vt:i4>
      </vt:variant>
      <vt:variant>
        <vt:lpwstr>http://www.sectur.gob.mx/es/sectur/Boletin_15_</vt:lpwstr>
      </vt:variant>
      <vt:variant>
        <vt:lpwstr/>
      </vt:variant>
      <vt:variant>
        <vt:i4>655429</vt:i4>
      </vt:variant>
      <vt:variant>
        <vt:i4>404</vt:i4>
      </vt:variant>
      <vt:variant>
        <vt:i4>0</vt:i4>
      </vt:variant>
      <vt:variant>
        <vt:i4>5</vt:i4>
      </vt:variant>
      <vt:variant>
        <vt:lpwstr>http://www.sectur.gob.mx/es/sectur/Boletin_14_</vt:lpwstr>
      </vt:variant>
      <vt:variant>
        <vt:lpwstr/>
      </vt:variant>
      <vt:variant>
        <vt:i4>3473447</vt:i4>
      </vt:variant>
      <vt:variant>
        <vt:i4>401</vt:i4>
      </vt:variant>
      <vt:variant>
        <vt:i4>0</vt:i4>
      </vt:variant>
      <vt:variant>
        <vt:i4>5</vt:i4>
      </vt:variant>
      <vt:variant>
        <vt:lpwstr>http://www.banxico.org.mx/SieInternet/consultarDirectorioInternetAction.do?accion=consultarCuadroAnalitico&amp;idCuadro=CA10&amp;sector=1&amp;locale=es</vt:lpwstr>
      </vt:variant>
      <vt:variant>
        <vt:lpwstr/>
      </vt:variant>
      <vt:variant>
        <vt:i4>3539055</vt:i4>
      </vt:variant>
      <vt:variant>
        <vt:i4>398</vt:i4>
      </vt:variant>
      <vt:variant>
        <vt:i4>0</vt:i4>
      </vt:variant>
      <vt:variant>
        <vt:i4>5</vt:i4>
      </vt:variant>
      <vt:variant>
        <vt:lpwstr>http://www.banxico.org.mx/SieInternet/consultarDirectorioInternetAction.do?accion=consultarCuadroAnalitico&amp;idCuadro=CA9&amp;sector=1&amp;locale=es</vt:lpwstr>
      </vt:variant>
      <vt:variant>
        <vt:lpwstr/>
      </vt:variant>
      <vt:variant>
        <vt:i4>4325467</vt:i4>
      </vt:variant>
      <vt:variant>
        <vt:i4>395</vt:i4>
      </vt:variant>
      <vt:variant>
        <vt:i4>0</vt:i4>
      </vt:variant>
      <vt:variant>
        <vt:i4>5</vt:i4>
      </vt:variant>
      <vt:variant>
        <vt:lpwstr>http://dgcnesyp.inegi.org.mx/cgi-win/bdieintsi.exe/NIVR550330</vt:lpwstr>
      </vt:variant>
      <vt:variant>
        <vt:lpwstr>ARBOL</vt:lpwstr>
      </vt:variant>
      <vt:variant>
        <vt:i4>6750256</vt:i4>
      </vt:variant>
      <vt:variant>
        <vt:i4>392</vt:i4>
      </vt:variant>
      <vt:variant>
        <vt:i4>0</vt:i4>
      </vt:variant>
      <vt:variant>
        <vt:i4>5</vt:i4>
      </vt:variant>
      <vt:variant>
        <vt:lpwstr>http://www.sagarpa.gob.mx/saladeprensa/boletines2/paginas/2012B079.aspx</vt:lpwstr>
      </vt:variant>
      <vt:variant>
        <vt:lpwstr/>
      </vt:variant>
      <vt:variant>
        <vt:i4>4653147</vt:i4>
      </vt:variant>
      <vt:variant>
        <vt:i4>389</vt:i4>
      </vt:variant>
      <vt:variant>
        <vt:i4>0</vt:i4>
      </vt:variant>
      <vt:variant>
        <vt:i4>5</vt:i4>
      </vt:variant>
      <vt:variant>
        <vt:lpwstr>http://dgcnesyp.inegi.org.mx/cgi-win/bdieintsi.exe/NIVR5503300050</vt:lpwstr>
      </vt:variant>
      <vt:variant>
        <vt:lpwstr>ARBOL</vt:lpwstr>
      </vt:variant>
      <vt:variant>
        <vt:i4>3538995</vt:i4>
      </vt:variant>
      <vt:variant>
        <vt:i4>386</vt:i4>
      </vt:variant>
      <vt:variant>
        <vt:i4>0</vt:i4>
      </vt:variant>
      <vt:variant>
        <vt:i4>5</vt:i4>
      </vt:variant>
      <vt:variant>
        <vt:lpwstr>http://www.economia.gob.mx/eventos-noticias/sala-de-prensa/informacion-relevante/7303-boletin032-12</vt:lpwstr>
      </vt:variant>
      <vt:variant>
        <vt:lpwstr/>
      </vt:variant>
      <vt:variant>
        <vt:i4>8060953</vt:i4>
      </vt:variant>
      <vt:variant>
        <vt:i4>383</vt:i4>
      </vt:variant>
      <vt:variant>
        <vt:i4>0</vt:i4>
      </vt:variant>
      <vt:variant>
        <vt:i4>5</vt:i4>
      </vt:variant>
      <vt:variant>
        <vt:lpwstr>http://www.wto.org/spanish/news_s/news12_s/394_395_398abr_s.htm</vt:lpwstr>
      </vt:variant>
      <vt:variant>
        <vt:lpwstr/>
      </vt:variant>
      <vt:variant>
        <vt:i4>4325467</vt:i4>
      </vt:variant>
      <vt:variant>
        <vt:i4>380</vt:i4>
      </vt:variant>
      <vt:variant>
        <vt:i4>0</vt:i4>
      </vt:variant>
      <vt:variant>
        <vt:i4>5</vt:i4>
      </vt:variant>
      <vt:variant>
        <vt:lpwstr>http://dgcnesyp.inegi.org.mx/cgi-win/bdieintsi.exe/NIVR550330</vt:lpwstr>
      </vt:variant>
      <vt:variant>
        <vt:lpwstr>ARBOL</vt:lpwstr>
      </vt:variant>
      <vt:variant>
        <vt:i4>3473460</vt:i4>
      </vt:variant>
      <vt:variant>
        <vt:i4>377</vt:i4>
      </vt:variant>
      <vt:variant>
        <vt:i4>0</vt:i4>
      </vt:variant>
      <vt:variant>
        <vt:i4>5</vt:i4>
      </vt:variant>
      <vt:variant>
        <vt:lpwstr>http://www.economia.gob.mx/eventos-noticias/sala-de-prensa/informacion-relevante/7284-boletin029-12</vt:lpwstr>
      </vt:variant>
      <vt:variant>
        <vt:lpwstr/>
      </vt:variant>
      <vt:variant>
        <vt:i4>8323134</vt:i4>
      </vt:variant>
      <vt:variant>
        <vt:i4>374</vt:i4>
      </vt:variant>
      <vt:variant>
        <vt:i4>0</vt:i4>
      </vt:variant>
      <vt:variant>
        <vt:i4>5</vt:i4>
      </vt:variant>
      <vt:variant>
        <vt:lpwstr>http://portal.salud.gob.mx/redirector?tipo=0&amp;n_seccion=Boletines&amp;seccion=2012-01-24_5570.html</vt:lpwstr>
      </vt:variant>
      <vt:variant>
        <vt:lpwstr/>
      </vt:variant>
      <vt:variant>
        <vt:i4>8257598</vt:i4>
      </vt:variant>
      <vt:variant>
        <vt:i4>371</vt:i4>
      </vt:variant>
      <vt:variant>
        <vt:i4>0</vt:i4>
      </vt:variant>
      <vt:variant>
        <vt:i4>5</vt:i4>
      </vt:variant>
      <vt:variant>
        <vt:lpwstr>http://portal.salud.gob.mx/redirector?tipo=0&amp;n_seccion=Boletines&amp;seccion=2012-01-24_5571.html</vt:lpwstr>
      </vt:variant>
      <vt:variant>
        <vt:lpwstr/>
      </vt:variant>
      <vt:variant>
        <vt:i4>8192062</vt:i4>
      </vt:variant>
      <vt:variant>
        <vt:i4>368</vt:i4>
      </vt:variant>
      <vt:variant>
        <vt:i4>0</vt:i4>
      </vt:variant>
      <vt:variant>
        <vt:i4>5</vt:i4>
      </vt:variant>
      <vt:variant>
        <vt:lpwstr>http://portal.salud.gob.mx/redirector?tipo=0&amp;n_seccion=Boletines&amp;seccion=2012-01-24_5572.html</vt:lpwstr>
      </vt:variant>
      <vt:variant>
        <vt:lpwstr/>
      </vt:variant>
      <vt:variant>
        <vt:i4>7798847</vt:i4>
      </vt:variant>
      <vt:variant>
        <vt:i4>365</vt:i4>
      </vt:variant>
      <vt:variant>
        <vt:i4>0</vt:i4>
      </vt:variant>
      <vt:variant>
        <vt:i4>5</vt:i4>
      </vt:variant>
      <vt:variant>
        <vt:lpwstr>http://portal.salud.gob.mx/redirector?tipo=0&amp;n_seccion=Boletines&amp;seccion=2012-01-24_5568.html</vt:lpwstr>
      </vt:variant>
      <vt:variant>
        <vt:lpwstr/>
      </vt:variant>
      <vt:variant>
        <vt:i4>4653147</vt:i4>
      </vt:variant>
      <vt:variant>
        <vt:i4>362</vt:i4>
      </vt:variant>
      <vt:variant>
        <vt:i4>0</vt:i4>
      </vt:variant>
      <vt:variant>
        <vt:i4>5</vt:i4>
      </vt:variant>
      <vt:variant>
        <vt:lpwstr>http://dgcnesyp.inegi.org.mx/cgi-win/bdieintsi.exe/NIVR5503300050</vt:lpwstr>
      </vt:variant>
      <vt:variant>
        <vt:lpwstr>ARBOL</vt:lpwstr>
      </vt:variant>
      <vt:variant>
        <vt:i4>3473456</vt:i4>
      </vt:variant>
      <vt:variant>
        <vt:i4>359</vt:i4>
      </vt:variant>
      <vt:variant>
        <vt:i4>0</vt:i4>
      </vt:variant>
      <vt:variant>
        <vt:i4>5</vt:i4>
      </vt:variant>
      <vt:variant>
        <vt:lpwstr>http://www.economia.gob.mx/eventos-noticias/sala-de-prensa/informacion-relevante/7260-boletin027-12</vt:lpwstr>
      </vt:variant>
      <vt:variant>
        <vt:lpwstr/>
      </vt:variant>
      <vt:variant>
        <vt:i4>7012414</vt:i4>
      </vt:variant>
      <vt:variant>
        <vt:i4>356</vt:i4>
      </vt:variant>
      <vt:variant>
        <vt:i4>0</vt:i4>
      </vt:variant>
      <vt:variant>
        <vt:i4>5</vt:i4>
      </vt:variant>
      <vt:variant>
        <vt:lpwstr>http://www.economia.gob.mx/eventos-noticias/sala-de-prensa/comunicados/7331-boletin-035-12</vt:lpwstr>
      </vt:variant>
      <vt:variant>
        <vt:lpwstr/>
      </vt:variant>
      <vt:variant>
        <vt:i4>983124</vt:i4>
      </vt:variant>
      <vt:variant>
        <vt:i4>353</vt:i4>
      </vt:variant>
      <vt:variant>
        <vt:i4>0</vt:i4>
      </vt:variant>
      <vt:variant>
        <vt:i4>5</vt:i4>
      </vt:variant>
      <vt:variant>
        <vt:lpwstr>http://www.wto.org/spanish/news_s/news12_s/ds381xapl_25jan12_s.htm</vt:lpwstr>
      </vt:variant>
      <vt:variant>
        <vt:lpwstr/>
      </vt:variant>
      <vt:variant>
        <vt:i4>1441794</vt:i4>
      </vt:variant>
      <vt:variant>
        <vt:i4>350</vt:i4>
      </vt:variant>
      <vt:variant>
        <vt:i4>0</vt:i4>
      </vt:variant>
      <vt:variant>
        <vt:i4>5</vt:i4>
      </vt:variant>
      <vt:variant>
        <vt:lpwstr>http://dof.gob.mx/index.php?year=2012&amp;month=01&amp;day=23</vt:lpwstr>
      </vt:variant>
      <vt:variant>
        <vt:lpwstr/>
      </vt:variant>
      <vt:variant>
        <vt:i4>2883586</vt:i4>
      </vt:variant>
      <vt:variant>
        <vt:i4>347</vt:i4>
      </vt:variant>
      <vt:variant>
        <vt:i4>0</vt:i4>
      </vt:variant>
      <vt:variant>
        <vt:i4>5</vt:i4>
      </vt:variant>
      <vt:variant>
        <vt:lpwstr>http://dof.gob.mx/nota_detalle.php?codigo=5230625&amp;fecha=23/01/2012</vt:lpwstr>
      </vt:variant>
      <vt:variant>
        <vt:lpwstr/>
      </vt:variant>
      <vt:variant>
        <vt:i4>5898263</vt:i4>
      </vt:variant>
      <vt:variant>
        <vt:i4>344</vt:i4>
      </vt:variant>
      <vt:variant>
        <vt:i4>0</vt:i4>
      </vt:variant>
      <vt:variant>
        <vt:i4>5</vt:i4>
      </vt:variant>
      <vt:variant>
        <vt:lpwstr>http://www.inegi.org.mx/inegi/contenidos/espanol/prensa/comunicados/balopbol.pdf</vt:lpwstr>
      </vt:variant>
      <vt:variant>
        <vt:lpwstr/>
      </vt:variant>
      <vt:variant>
        <vt:i4>589951</vt:i4>
      </vt:variant>
      <vt:variant>
        <vt:i4>323</vt:i4>
      </vt:variant>
      <vt:variant>
        <vt:i4>0</vt:i4>
      </vt:variant>
      <vt:variant>
        <vt:i4>5</vt:i4>
      </vt:variant>
      <vt:variant>
        <vt:lpwstr>http://www.banamex.com.mx/estudios_finanzas/finanzas/economia_internacional/riesgo_pais.htm</vt:lpwstr>
      </vt:variant>
      <vt:variant>
        <vt:lpwstr/>
      </vt:variant>
      <vt:variant>
        <vt:i4>1572936</vt:i4>
      </vt:variant>
      <vt:variant>
        <vt:i4>320</vt:i4>
      </vt:variant>
      <vt:variant>
        <vt:i4>0</vt:i4>
      </vt:variant>
      <vt:variant>
        <vt:i4>5</vt:i4>
      </vt:variant>
      <vt:variant>
        <vt:lpwstr>http://www.reforma.com/edicionimpresa/paginas/20120208/pdfs/rPRI20120208-012.pdf</vt:lpwstr>
      </vt:variant>
      <vt:variant>
        <vt:lpwstr/>
      </vt:variant>
      <vt:variant>
        <vt:i4>6225947</vt:i4>
      </vt:variant>
      <vt:variant>
        <vt:i4>317</vt:i4>
      </vt:variant>
      <vt:variant>
        <vt:i4>0</vt:i4>
      </vt:variant>
      <vt:variant>
        <vt:i4>5</vt:i4>
      </vt:variant>
      <vt:variant>
        <vt:lpwstr>http://www.banxico.org.mx/tipcamb/intInfHistAction.do</vt:lpwstr>
      </vt:variant>
      <vt:variant>
        <vt:lpwstr/>
      </vt:variant>
      <vt:variant>
        <vt:i4>458836</vt:i4>
      </vt:variant>
      <vt:variant>
        <vt:i4>314</vt:i4>
      </vt:variant>
      <vt:variant>
        <vt:i4>0</vt:i4>
      </vt:variant>
      <vt:variant>
        <vt:i4>5</vt:i4>
      </vt:variant>
      <vt:variant>
        <vt:lpwstr>http://www.banxico.org.mx/portal-mercado-cambiario/index.html</vt:lpwstr>
      </vt:variant>
      <vt:variant>
        <vt:lpwstr/>
      </vt:variant>
      <vt:variant>
        <vt:i4>8192035</vt:i4>
      </vt:variant>
      <vt:variant>
        <vt:i4>311</vt:i4>
      </vt:variant>
      <vt:variant>
        <vt:i4>0</vt:i4>
      </vt:variant>
      <vt:variant>
        <vt:i4>5</vt:i4>
      </vt:variant>
      <vt:variant>
        <vt:lpwstr>http://www.cnbv.gob.mx/Bursatil/BoletinesdePrensa/Prensa  Casas de Bolsa/02 de febrero de 2012.pdf</vt:lpwstr>
      </vt:variant>
      <vt:variant>
        <vt:lpwstr/>
      </vt:variant>
      <vt:variant>
        <vt:i4>7536682</vt:i4>
      </vt:variant>
      <vt:variant>
        <vt:i4>308</vt:i4>
      </vt:variant>
      <vt:variant>
        <vt:i4>0</vt:i4>
      </vt:variant>
      <vt:variant>
        <vt:i4>5</vt:i4>
      </vt:variant>
      <vt:variant>
        <vt:lpwstr>http://www.bmv.com.mx/</vt:lpwstr>
      </vt:variant>
      <vt:variant>
        <vt:lpwstr/>
      </vt:variant>
      <vt:variant>
        <vt:i4>5111897</vt:i4>
      </vt:variant>
      <vt:variant>
        <vt:i4>305</vt:i4>
      </vt:variant>
      <vt:variant>
        <vt:i4>0</vt:i4>
      </vt:variant>
      <vt:variant>
        <vt:i4>5</vt:i4>
      </vt:variant>
      <vt:variant>
        <vt:lpwstr>http://www.banxico.org.mx/SieInternet/consultarDirectorioInternetAction.do?accion=consultarCuadro&amp;idCuadro=CF112&amp;sector=18&amp;locale=es</vt:lpwstr>
      </vt:variant>
      <vt:variant>
        <vt:lpwstr/>
      </vt:variant>
      <vt:variant>
        <vt:i4>5111897</vt:i4>
      </vt:variant>
      <vt:variant>
        <vt:i4>302</vt:i4>
      </vt:variant>
      <vt:variant>
        <vt:i4>0</vt:i4>
      </vt:variant>
      <vt:variant>
        <vt:i4>5</vt:i4>
      </vt:variant>
      <vt:variant>
        <vt:lpwstr>http://www.banxico.org.mx/SieInternet/consultarDirectorioInternetAction.do?accion=consultarCuadro&amp;idCuadro=CF112&amp;sector=18&amp;locale=es</vt:lpwstr>
      </vt:variant>
      <vt:variant>
        <vt:lpwstr/>
      </vt:variant>
      <vt:variant>
        <vt:i4>5111897</vt:i4>
      </vt:variant>
      <vt:variant>
        <vt:i4>299</vt:i4>
      </vt:variant>
      <vt:variant>
        <vt:i4>0</vt:i4>
      </vt:variant>
      <vt:variant>
        <vt:i4>5</vt:i4>
      </vt:variant>
      <vt:variant>
        <vt:lpwstr>http://www.banxico.org.mx/SieInternet/consultarDirectorioInternetAction.do?accion=consultarCuadro&amp;idCuadro=CF112&amp;sector=18&amp;locale=es</vt:lpwstr>
      </vt:variant>
      <vt:variant>
        <vt:lpwstr/>
      </vt:variant>
      <vt:variant>
        <vt:i4>5111897</vt:i4>
      </vt:variant>
      <vt:variant>
        <vt:i4>296</vt:i4>
      </vt:variant>
      <vt:variant>
        <vt:i4>0</vt:i4>
      </vt:variant>
      <vt:variant>
        <vt:i4>5</vt:i4>
      </vt:variant>
      <vt:variant>
        <vt:lpwstr>http://www.banxico.org.mx/SieInternet/consultarDirectorioInternetAction.do?accion=consultarCuadro&amp;idCuadro=CF112&amp;sector=18&amp;locale=es</vt:lpwstr>
      </vt:variant>
      <vt:variant>
        <vt:lpwstr/>
      </vt:variant>
      <vt:variant>
        <vt:i4>8323108</vt:i4>
      </vt:variant>
      <vt:variant>
        <vt:i4>293</vt:i4>
      </vt:variant>
      <vt:variant>
        <vt:i4>0</vt:i4>
      </vt:variant>
      <vt:variant>
        <vt:i4>5</vt:i4>
      </vt:variant>
      <vt:variant>
        <vt:lpwstr>http://www.banxico.org.mx/polmoneinflacion/estadisticas/tasasInteres/tasasInteres.html</vt:lpwstr>
      </vt:variant>
      <vt:variant>
        <vt:lpwstr/>
      </vt:variant>
      <vt:variant>
        <vt:i4>4259931</vt:i4>
      </vt:variant>
      <vt:variant>
        <vt:i4>290</vt:i4>
      </vt:variant>
      <vt:variant>
        <vt:i4>0</vt:i4>
      </vt:variant>
      <vt:variant>
        <vt:i4>5</vt:i4>
      </vt:variant>
      <vt:variant>
        <vt:lpwstr>http://www.banxico.org.mx/SieInternet/consultarDirectorioInternetAction.do?accion=consultarCuadro&amp;idCuadro=CF107&amp;sector=22&amp;locale=es</vt:lpwstr>
      </vt:variant>
      <vt:variant>
        <vt:lpwstr/>
      </vt:variant>
      <vt:variant>
        <vt:i4>2424936</vt:i4>
      </vt:variant>
      <vt:variant>
        <vt:i4>287</vt:i4>
      </vt:variant>
      <vt:variant>
        <vt:i4>0</vt:i4>
      </vt:variant>
      <vt:variant>
        <vt:i4>5</vt:i4>
      </vt:variant>
      <vt:variant>
        <vt:lpwstr>http://www.banxico.org.mx/informacion-para-la-prensa/comunicados/sector-financiero/agregados-monetarios/%7BCC62E298-573F-DC20-E736-056657CDC1BD%7D.pdf</vt:lpwstr>
      </vt:variant>
      <vt:variant>
        <vt:lpwstr/>
      </vt:variant>
      <vt:variant>
        <vt:i4>2424936</vt:i4>
      </vt:variant>
      <vt:variant>
        <vt:i4>284</vt:i4>
      </vt:variant>
      <vt:variant>
        <vt:i4>0</vt:i4>
      </vt:variant>
      <vt:variant>
        <vt:i4>5</vt:i4>
      </vt:variant>
      <vt:variant>
        <vt:lpwstr>http://www.banxico.org.mx/informacion-para-la-prensa/comunicados/sector-financiero/agregados-monetarios/%7BCC62E298-573F-DC20-E736-056657CDC1BD%7D.pdf</vt:lpwstr>
      </vt:variant>
      <vt:variant>
        <vt:lpwstr/>
      </vt:variant>
      <vt:variant>
        <vt:i4>6553710</vt:i4>
      </vt:variant>
      <vt:variant>
        <vt:i4>281</vt:i4>
      </vt:variant>
      <vt:variant>
        <vt:i4>0</vt:i4>
      </vt:variant>
      <vt:variant>
        <vt:i4>5</vt:i4>
      </vt:variant>
      <vt:variant>
        <vt:lpwstr>http://www.banxico.org.mx/informacion-para-la-prensa/comunicados/banco-de-mexico/edo-cuenta-semanal/%7B1672B404-3026-7602-F0C2-163EEEF28E2C%7D.pdf</vt:lpwstr>
      </vt:variant>
      <vt:variant>
        <vt:lpwstr/>
      </vt:variant>
      <vt:variant>
        <vt:i4>6553648</vt:i4>
      </vt:variant>
      <vt:variant>
        <vt:i4>278</vt:i4>
      </vt:variant>
      <vt:variant>
        <vt:i4>0</vt:i4>
      </vt:variant>
      <vt:variant>
        <vt:i4>5</vt:i4>
      </vt:variant>
      <vt:variant>
        <vt:lpwstr>http://www.banxico.org.mx/informacion-para-la-prensa/comunicados/banco-de-mexico/edo-cuenta-semanal/%7BD6577E4E-910C-95B1-FBF4-A85FD43B6ED9%7D.pdf</vt:lpwstr>
      </vt:variant>
      <vt:variant>
        <vt:lpwstr/>
      </vt:variant>
      <vt:variant>
        <vt:i4>6553710</vt:i4>
      </vt:variant>
      <vt:variant>
        <vt:i4>275</vt:i4>
      </vt:variant>
      <vt:variant>
        <vt:i4>0</vt:i4>
      </vt:variant>
      <vt:variant>
        <vt:i4>5</vt:i4>
      </vt:variant>
      <vt:variant>
        <vt:lpwstr>http://www.banxico.org.mx/informacion-para-la-prensa/comunicados/banco-de-mexico/edo-cuenta-semanal/%7B1672B404-3026-7602-F0C2-163EEEF28E2C%7D.pdf</vt:lpwstr>
      </vt:variant>
      <vt:variant>
        <vt:lpwstr/>
      </vt:variant>
      <vt:variant>
        <vt:i4>3276887</vt:i4>
      </vt:variant>
      <vt:variant>
        <vt:i4>272</vt:i4>
      </vt:variant>
      <vt:variant>
        <vt:i4>0</vt:i4>
      </vt:variant>
      <vt:variant>
        <vt:i4>5</vt:i4>
      </vt:variant>
      <vt:variant>
        <vt:lpwstr>http://www.ipab.org.mx/03_finanzas/IHistoricoSubastasDisplay.asp</vt:lpwstr>
      </vt:variant>
      <vt:variant>
        <vt:lpwstr/>
      </vt:variant>
      <vt:variant>
        <vt:i4>852095</vt:i4>
      </vt:variant>
      <vt:variant>
        <vt:i4>269</vt:i4>
      </vt:variant>
      <vt:variant>
        <vt:i4>0</vt:i4>
      </vt:variant>
      <vt:variant>
        <vt:i4>5</vt:i4>
      </vt:variant>
      <vt:variant>
        <vt:lpwstr>http://www.ipab.org.mx/03_finanzas/InformeHistoricoSubastas.asp</vt:lpwstr>
      </vt:variant>
      <vt:variant>
        <vt:lpwstr/>
      </vt:variant>
      <vt:variant>
        <vt:i4>6094931</vt:i4>
      </vt:variant>
      <vt:variant>
        <vt:i4>266</vt:i4>
      </vt:variant>
      <vt:variant>
        <vt:i4>0</vt:i4>
      </vt:variant>
      <vt:variant>
        <vt:i4>5</vt:i4>
      </vt:variant>
      <vt:variant>
        <vt:lpwstr>http://www.ipab.org.mx/01_acerca_ipab/preguntas frecuentes.html</vt:lpwstr>
      </vt:variant>
      <vt:variant>
        <vt:lpwstr/>
      </vt:variant>
      <vt:variant>
        <vt:i4>3276887</vt:i4>
      </vt:variant>
      <vt:variant>
        <vt:i4>263</vt:i4>
      </vt:variant>
      <vt:variant>
        <vt:i4>0</vt:i4>
      </vt:variant>
      <vt:variant>
        <vt:i4>5</vt:i4>
      </vt:variant>
      <vt:variant>
        <vt:lpwstr>http://www.ipab.org.mx/03_finanzas/IHistoricoSubastasDisplay.asp</vt:lpwstr>
      </vt:variant>
      <vt:variant>
        <vt:lpwstr/>
      </vt:variant>
      <vt:variant>
        <vt:i4>3276887</vt:i4>
      </vt:variant>
      <vt:variant>
        <vt:i4>260</vt:i4>
      </vt:variant>
      <vt:variant>
        <vt:i4>0</vt:i4>
      </vt:variant>
      <vt:variant>
        <vt:i4>5</vt:i4>
      </vt:variant>
      <vt:variant>
        <vt:lpwstr>http://www.ipab.org.mx/03_finanzas/IHistoricoSubastasDisplay.asp</vt:lpwstr>
      </vt:variant>
      <vt:variant>
        <vt:lpwstr/>
      </vt:variant>
      <vt:variant>
        <vt:i4>2097261</vt:i4>
      </vt:variant>
      <vt:variant>
        <vt:i4>257</vt:i4>
      </vt:variant>
      <vt:variant>
        <vt:i4>0</vt:i4>
      </vt:variant>
      <vt:variant>
        <vt:i4>5</vt:i4>
      </vt:variant>
      <vt:variant>
        <vt:lpwstr>http://www.banxico.org.mx/informacion-para-la-prensa/comunicados/politica-monetaria/minutas-de-las-decisiones-de-politica-monetaria/%7B2BBC4364-3403-0E7E-B9DC-75FA9FA8C505%7D.pdf</vt:lpwstr>
      </vt:variant>
      <vt:variant>
        <vt:lpwstr/>
      </vt:variant>
      <vt:variant>
        <vt:i4>7012384</vt:i4>
      </vt:variant>
      <vt:variant>
        <vt:i4>252</vt:i4>
      </vt:variant>
      <vt:variant>
        <vt:i4>0</vt:i4>
      </vt:variant>
      <vt:variant>
        <vt:i4>5</vt:i4>
      </vt:variant>
      <vt:variant>
        <vt:lpwstr>http://www.banxico.org.mx/</vt:lpwstr>
      </vt:variant>
      <vt:variant>
        <vt:lpwstr/>
      </vt:variant>
      <vt:variant>
        <vt:i4>3735668</vt:i4>
      </vt:variant>
      <vt:variant>
        <vt:i4>249</vt:i4>
      </vt:variant>
      <vt:variant>
        <vt:i4>0</vt:i4>
      </vt:variant>
      <vt:variant>
        <vt:i4>5</vt:i4>
      </vt:variant>
      <vt:variant>
        <vt:lpwstr>http://www.banxico.org.mx/publicaciones-y-discursos/publicaciones/informes-periodicos/politica-monetaria-prog-anual/%7b10D4DF99-4E2B-102E-77FF-E6616A760E90%7d.pdf</vt:lpwstr>
      </vt:variant>
      <vt:variant>
        <vt:lpwstr/>
      </vt:variant>
      <vt:variant>
        <vt:i4>3735668</vt:i4>
      </vt:variant>
      <vt:variant>
        <vt:i4>246</vt:i4>
      </vt:variant>
      <vt:variant>
        <vt:i4>0</vt:i4>
      </vt:variant>
      <vt:variant>
        <vt:i4>5</vt:i4>
      </vt:variant>
      <vt:variant>
        <vt:lpwstr>http://www.banxico.org.mx/publicaciones-y-discursos/publicaciones/informes-periodicos/politica-monetaria-prog-anual/%7b10D4DF99-4E2B-102E-77FF-E6616A760E90%7d.pdf</vt:lpwstr>
      </vt:variant>
      <vt:variant>
        <vt:lpwstr/>
      </vt:variant>
      <vt:variant>
        <vt:i4>2949219</vt:i4>
      </vt:variant>
      <vt:variant>
        <vt:i4>243</vt:i4>
      </vt:variant>
      <vt:variant>
        <vt:i4>0</vt:i4>
      </vt:variant>
      <vt:variant>
        <vt:i4>5</vt:i4>
      </vt:variant>
      <vt:variant>
        <vt:lpwstr>http://www.consar.gob.mx/SeriesTiempo/CuadroInicial.aspx?md=10</vt:lpwstr>
      </vt:variant>
      <vt:variant>
        <vt:lpwstr/>
      </vt:variant>
      <vt:variant>
        <vt:i4>1900626</vt:i4>
      </vt:variant>
      <vt:variant>
        <vt:i4>240</vt:i4>
      </vt:variant>
      <vt:variant>
        <vt:i4>0</vt:i4>
      </vt:variant>
      <vt:variant>
        <vt:i4>5</vt:i4>
      </vt:variant>
      <vt:variant>
        <vt:lpwstr>http://www.consar.gob.mx/SeriesTiempo/CuadroInicial.aspx?md=2</vt:lpwstr>
      </vt:variant>
      <vt:variant>
        <vt:lpwstr/>
      </vt:variant>
      <vt:variant>
        <vt:i4>1900626</vt:i4>
      </vt:variant>
      <vt:variant>
        <vt:i4>237</vt:i4>
      </vt:variant>
      <vt:variant>
        <vt:i4>0</vt:i4>
      </vt:variant>
      <vt:variant>
        <vt:i4>5</vt:i4>
      </vt:variant>
      <vt:variant>
        <vt:lpwstr>http://www.consar.gob.mx/SeriesTiempo/CuadroInicial.aspx?md=6</vt:lpwstr>
      </vt:variant>
      <vt:variant>
        <vt:lpwstr/>
      </vt:variant>
      <vt:variant>
        <vt:i4>1900626</vt:i4>
      </vt:variant>
      <vt:variant>
        <vt:i4>234</vt:i4>
      </vt:variant>
      <vt:variant>
        <vt:i4>0</vt:i4>
      </vt:variant>
      <vt:variant>
        <vt:i4>5</vt:i4>
      </vt:variant>
      <vt:variant>
        <vt:lpwstr>http://www.consar.gob.mx/SeriesTiempo/CuadroInicial.aspx?md=5</vt:lpwstr>
      </vt:variant>
      <vt:variant>
        <vt:lpwstr/>
      </vt:variant>
      <vt:variant>
        <vt:i4>4259845</vt:i4>
      </vt:variant>
      <vt:variant>
        <vt:i4>231</vt:i4>
      </vt:variant>
      <vt:variant>
        <vt:i4>0</vt:i4>
      </vt:variant>
      <vt:variant>
        <vt:i4>5</vt:i4>
      </vt:variant>
      <vt:variant>
        <vt:lpwstr>http://www.consar.gob.mx/rendimiento_neto/rendimiento_neto_promedio_36.shtml</vt:lpwstr>
      </vt:variant>
      <vt:variant>
        <vt:lpwstr/>
      </vt:variant>
      <vt:variant>
        <vt:i4>3866645</vt:i4>
      </vt:variant>
      <vt:variant>
        <vt:i4>228</vt:i4>
      </vt:variant>
      <vt:variant>
        <vt:i4>0</vt:i4>
      </vt:variant>
      <vt:variant>
        <vt:i4>5</vt:i4>
      </vt:variant>
      <vt:variant>
        <vt:lpwstr>http://www.consar.gob.mx/sala_prensa/pdf/boletines/2012/BP_01_2012.pdf</vt:lpwstr>
      </vt:variant>
      <vt:variant>
        <vt:lpwstr/>
      </vt:variant>
      <vt:variant>
        <vt:i4>4718617</vt:i4>
      </vt:variant>
      <vt:variant>
        <vt:i4>225</vt:i4>
      </vt:variant>
      <vt:variant>
        <vt:i4>0</vt:i4>
      </vt:variant>
      <vt:variant>
        <vt:i4>5</vt:i4>
      </vt:variant>
      <vt:variant>
        <vt:lpwstr>http://www.cnbv.gob.mx/Bursatil/BoletinesdePrensa/Prensa  Emisoras/01 de febrero de 2012.pdf</vt:lpwstr>
      </vt:variant>
      <vt:variant>
        <vt:lpwstr/>
      </vt:variant>
      <vt:variant>
        <vt:i4>4718680</vt:i4>
      </vt:variant>
      <vt:variant>
        <vt:i4>222</vt:i4>
      </vt:variant>
      <vt:variant>
        <vt:i4>0</vt:i4>
      </vt:variant>
      <vt:variant>
        <vt:i4>5</vt:i4>
      </vt:variant>
      <vt:variant>
        <vt:lpwstr>http://www.banxico.org.mx/informacion-para-la-prensa/comunicados/sector-financiero/financiamiento-empresas/%7BF96331BA-586C-3FDC-0C80-FD897D6180DB%7D.pdf</vt:lpwstr>
      </vt:variant>
      <vt:variant>
        <vt:lpwstr/>
      </vt:variant>
      <vt:variant>
        <vt:i4>2424936</vt:i4>
      </vt:variant>
      <vt:variant>
        <vt:i4>219</vt:i4>
      </vt:variant>
      <vt:variant>
        <vt:i4>0</vt:i4>
      </vt:variant>
      <vt:variant>
        <vt:i4>5</vt:i4>
      </vt:variant>
      <vt:variant>
        <vt:lpwstr>http://www.banxico.org.mx/informacion-para-la-prensa/comunicados/sector-financiero/agregados-monetarios/%7BCC62E298-573F-DC20-E736-056657CDC1BD%7D.pdf</vt:lpwstr>
      </vt:variant>
      <vt:variant>
        <vt:lpwstr/>
      </vt:variant>
      <vt:variant>
        <vt:i4>1572874</vt:i4>
      </vt:variant>
      <vt:variant>
        <vt:i4>216</vt:i4>
      </vt:variant>
      <vt:variant>
        <vt:i4>0</vt:i4>
      </vt:variant>
      <vt:variant>
        <vt:i4>5</vt:i4>
      </vt:variant>
      <vt:variant>
        <vt:lpwstr>http://mexico.gfintegrity.org/es/</vt:lpwstr>
      </vt:variant>
      <vt:variant>
        <vt:lpwstr/>
      </vt:variant>
      <vt:variant>
        <vt:i4>3014759</vt:i4>
      </vt:variant>
      <vt:variant>
        <vt:i4>213</vt:i4>
      </vt:variant>
      <vt:variant>
        <vt:i4>0</vt:i4>
      </vt:variant>
      <vt:variant>
        <vt:i4>5</vt:i4>
      </vt:variant>
      <vt:variant>
        <vt:lpwstr>http://www.gfintegrity.org/</vt:lpwstr>
      </vt:variant>
      <vt:variant>
        <vt:lpwstr/>
      </vt:variant>
      <vt:variant>
        <vt:i4>4980805</vt:i4>
      </vt:variant>
      <vt:variant>
        <vt:i4>210</vt:i4>
      </vt:variant>
      <vt:variant>
        <vt:i4>0</vt:i4>
      </vt:variant>
      <vt:variant>
        <vt:i4>5</vt:i4>
      </vt:variant>
      <vt:variant>
        <vt:lpwstr>http://www.gfintegrity.org/storage/gfip/documents/reports/mexico/gfi_mexico_report_espanol_web.pdf</vt:lpwstr>
      </vt:variant>
      <vt:variant>
        <vt:lpwstr/>
      </vt:variant>
      <vt:variant>
        <vt:i4>6094876</vt:i4>
      </vt:variant>
      <vt:variant>
        <vt:i4>207</vt:i4>
      </vt:variant>
      <vt:variant>
        <vt:i4>0</vt:i4>
      </vt:variant>
      <vt:variant>
        <vt:i4>5</vt:i4>
      </vt:variant>
      <vt:variant>
        <vt:lpwstr>http://www.gfintegrity.org/storage/gfip/documents/reports/mexico/gfi mexico report spanish executive summary.pdf</vt:lpwstr>
      </vt:variant>
      <vt:variant>
        <vt:lpwstr/>
      </vt:variant>
      <vt:variant>
        <vt:i4>2097210</vt:i4>
      </vt:variant>
      <vt:variant>
        <vt:i4>204</vt:i4>
      </vt:variant>
      <vt:variant>
        <vt:i4>0</vt:i4>
      </vt:variant>
      <vt:variant>
        <vt:i4>5</vt:i4>
      </vt:variant>
      <vt:variant>
        <vt:lpwstr>http://www.gfintegrity.org/storage/gfip/documents/reports/mexico/gfi mexico report spanish resumen.pdf</vt:lpwstr>
      </vt:variant>
      <vt:variant>
        <vt:lpwstr/>
      </vt:variant>
      <vt:variant>
        <vt:i4>4128882</vt:i4>
      </vt:variant>
      <vt:variant>
        <vt:i4>201</vt:i4>
      </vt:variant>
      <vt:variant>
        <vt:i4>0</vt:i4>
      </vt:variant>
      <vt:variant>
        <vt:i4>5</vt:i4>
      </vt:variant>
      <vt:variant>
        <vt:lpwstr>http://www.project-syndicate.org/commentary/gros32/Spanish</vt:lpwstr>
      </vt:variant>
      <vt:variant>
        <vt:lpwstr/>
      </vt:variant>
      <vt:variant>
        <vt:i4>92</vt:i4>
      </vt:variant>
      <vt:variant>
        <vt:i4>198</vt:i4>
      </vt:variant>
      <vt:variant>
        <vt:i4>0</vt:i4>
      </vt:variant>
      <vt:variant>
        <vt:i4>5</vt:i4>
      </vt:variant>
      <vt:variant>
        <vt:lpwstr>http://blog-dialogoafondo.org/?p=1616</vt:lpwstr>
      </vt:variant>
      <vt:variant>
        <vt:lpwstr/>
      </vt:variant>
      <vt:variant>
        <vt:i4>7274553</vt:i4>
      </vt:variant>
      <vt:variant>
        <vt:i4>192</vt:i4>
      </vt:variant>
      <vt:variant>
        <vt:i4>0</vt:i4>
      </vt:variant>
      <vt:variant>
        <vt:i4>5</vt:i4>
      </vt:variant>
      <vt:variant>
        <vt:lpwstr>http://www.imf.org/external/spanish/pubs/ft/fm/2012/update/01/0112s.pdf</vt:lpwstr>
      </vt:variant>
      <vt:variant>
        <vt:lpwstr/>
      </vt:variant>
      <vt:variant>
        <vt:i4>2359394</vt:i4>
      </vt:variant>
      <vt:variant>
        <vt:i4>189</vt:i4>
      </vt:variant>
      <vt:variant>
        <vt:i4>0</vt:i4>
      </vt:variant>
      <vt:variant>
        <vt:i4>5</vt:i4>
      </vt:variant>
      <vt:variant>
        <vt:lpwstr>http://www.imf.org/external/np/speeches/2011/111811.htm</vt:lpwstr>
      </vt:variant>
      <vt:variant>
        <vt:lpwstr/>
      </vt:variant>
      <vt:variant>
        <vt:i4>2949165</vt:i4>
      </vt:variant>
      <vt:variant>
        <vt:i4>186</vt:i4>
      </vt:variant>
      <vt:variant>
        <vt:i4>0</vt:i4>
      </vt:variant>
      <vt:variant>
        <vt:i4>5</vt:i4>
      </vt:variant>
      <vt:variant>
        <vt:lpwstr>http://www.shcp.gob.mx/documentos_recientes_bliblioteca/comunicado_006_2012.pdf</vt:lpwstr>
      </vt:variant>
      <vt:variant>
        <vt:lpwstr/>
      </vt:variant>
      <vt:variant>
        <vt:i4>3735648</vt:i4>
      </vt:variant>
      <vt:variant>
        <vt:i4>183</vt:i4>
      </vt:variant>
      <vt:variant>
        <vt:i4>0</vt:i4>
      </vt:variant>
      <vt:variant>
        <vt:i4>5</vt:i4>
      </vt:variant>
      <vt:variant>
        <vt:lpwstr>http://www.shcp.gob.mx/SALAPRENSA/doc_comunicados_prensa/2012/enero/comunicado_007_2012.pdf</vt:lpwstr>
      </vt:variant>
      <vt:variant>
        <vt:lpwstr/>
      </vt:variant>
      <vt:variant>
        <vt:i4>2293805</vt:i4>
      </vt:variant>
      <vt:variant>
        <vt:i4>180</vt:i4>
      </vt:variant>
      <vt:variant>
        <vt:i4>0</vt:i4>
      </vt:variant>
      <vt:variant>
        <vt:i4>5</vt:i4>
      </vt:variant>
      <vt:variant>
        <vt:lpwstr>http://www.shcp.gob.mx/documentos_recientes_bliblioteca/comunicado_008_2012.pdf</vt:lpwstr>
      </vt:variant>
      <vt:variant>
        <vt:lpwstr/>
      </vt:variant>
      <vt:variant>
        <vt:i4>2359378</vt:i4>
      </vt:variant>
      <vt:variant>
        <vt:i4>177</vt:i4>
      </vt:variant>
      <vt:variant>
        <vt:i4>0</vt:i4>
      </vt:variant>
      <vt:variant>
        <vt:i4>5</vt:i4>
      </vt:variant>
      <vt:variant>
        <vt:lpwstr>http://www.hacienda.gob.mx/sitios/ucsv/html/4totrime2011/informe_cuarto_trim_2011.pdf</vt:lpwstr>
      </vt:variant>
      <vt:variant>
        <vt:lpwstr/>
      </vt:variant>
      <vt:variant>
        <vt:i4>1376307</vt:i4>
      </vt:variant>
      <vt:variant>
        <vt:i4>174</vt:i4>
      </vt:variant>
      <vt:variant>
        <vt:i4>0</vt:i4>
      </vt:variant>
      <vt:variant>
        <vt:i4>5</vt:i4>
      </vt:variant>
      <vt:variant>
        <vt:lpwstr>http://www3.diputados.gob.mx/camara/005_comunicacion/a_boletines/2012_2012/002_febrero/03_03/4681_aumento_de_la_canasta_basica_nulifico_el_incremento_a_salarios_minimos_cefp</vt:lpwstr>
      </vt:variant>
      <vt:variant>
        <vt:lpwstr/>
      </vt:variant>
      <vt:variant>
        <vt:i4>4259871</vt:i4>
      </vt:variant>
      <vt:variant>
        <vt:i4>171</vt:i4>
      </vt:variant>
      <vt:variant>
        <vt:i4>0</vt:i4>
      </vt:variant>
      <vt:variant>
        <vt:i4>5</vt:i4>
      </vt:variant>
      <vt:variant>
        <vt:lpwstr>http://www.banxico.org.mx/informacion-para-la-prensa/comunicados/resultados-de-encuestas/expectativas-de-los-especialistas/%7BF5263D3A-379E-776D-0509-5D94FAA859CD%7D.pdf</vt:lpwstr>
      </vt:variant>
      <vt:variant>
        <vt:lpwstr/>
      </vt:variant>
      <vt:variant>
        <vt:i4>5111810</vt:i4>
      </vt:variant>
      <vt:variant>
        <vt:i4>168</vt:i4>
      </vt:variant>
      <vt:variant>
        <vt:i4>0</vt:i4>
      </vt:variant>
      <vt:variant>
        <vt:i4>5</vt:i4>
      </vt:variant>
      <vt:variant>
        <vt:lpwstr>http://gruporeforma.reforma.com/wsjamericas/nota/default.aspx?Folio=1149971&amp;Idcol=325&amp;pc=102&amp;impresion=0</vt:lpwstr>
      </vt:variant>
      <vt:variant>
        <vt:lpwstr/>
      </vt:variant>
      <vt:variant>
        <vt:i4>4849685</vt:i4>
      </vt:variant>
      <vt:variant>
        <vt:i4>165</vt:i4>
      </vt:variant>
      <vt:variant>
        <vt:i4>0</vt:i4>
      </vt:variant>
      <vt:variant>
        <vt:i4>5</vt:i4>
      </vt:variant>
      <vt:variant>
        <vt:lpwstr>http://www.presidencia.gob.mx/2012/01/palabras-del-presidente-de-nissan-motors-carlos-ghosn-con-motivo-del-anuncio-de-inversion-de-nissan-en-mexico/</vt:lpwstr>
      </vt:variant>
      <vt:variant>
        <vt:lpwstr/>
      </vt:variant>
      <vt:variant>
        <vt:i4>4915231</vt:i4>
      </vt:variant>
      <vt:variant>
        <vt:i4>162</vt:i4>
      </vt:variant>
      <vt:variant>
        <vt:i4>0</vt:i4>
      </vt:variant>
      <vt:variant>
        <vt:i4>5</vt:i4>
      </vt:variant>
      <vt:variant>
        <vt:lpwstr>http://www.presidencia.gob.mx/2012/01/mensaje-del-presidente-calderon-con-motivo-del-anuncio-de-inversion-de-nissan/</vt:lpwstr>
      </vt:variant>
      <vt:variant>
        <vt:lpwstr/>
      </vt:variant>
      <vt:variant>
        <vt:i4>6619177</vt:i4>
      </vt:variant>
      <vt:variant>
        <vt:i4>159</vt:i4>
      </vt:variant>
      <vt:variant>
        <vt:i4>0</vt:i4>
      </vt:variant>
      <vt:variant>
        <vt:i4>5</vt:i4>
      </vt:variant>
      <vt:variant>
        <vt:lpwstr>http://www.presidencia.gob.mx/2012/01/el-presidente-calderon-en-el-anuncio-de-inversion-de-nissan-en-mexico-en-davos-suiza/</vt:lpwstr>
      </vt:variant>
      <vt:variant>
        <vt:lpwstr/>
      </vt:variant>
      <vt:variant>
        <vt:i4>2752550</vt:i4>
      </vt:variant>
      <vt:variant>
        <vt:i4>156</vt:i4>
      </vt:variant>
      <vt:variant>
        <vt:i4>0</vt:i4>
      </vt:variant>
      <vt:variant>
        <vt:i4>5</vt:i4>
      </vt:variant>
      <vt:variant>
        <vt:lpwstr>http://web.nissan.com.mx/corporativo/prensa</vt:lpwstr>
      </vt:variant>
      <vt:variant>
        <vt:lpwstr/>
      </vt:variant>
      <vt:variant>
        <vt:i4>7012419</vt:i4>
      </vt:variant>
      <vt:variant>
        <vt:i4>153</vt:i4>
      </vt:variant>
      <vt:variant>
        <vt:i4>0</vt:i4>
      </vt:variant>
      <vt:variant>
        <vt:i4>5</vt:i4>
      </vt:variant>
      <vt:variant>
        <vt:lpwstr>http://www3.diputados.gob.mx/camara/005_comunicacion/a_boletines/2012_2012/001_enero/26_26/4645_importacion_de_autos_usados_podria_afectar_la_venta_interna_de_nuevos_cefp</vt:lpwstr>
      </vt:variant>
      <vt:variant>
        <vt:lpwstr/>
      </vt:variant>
      <vt:variant>
        <vt:i4>655415</vt:i4>
      </vt:variant>
      <vt:variant>
        <vt:i4>150</vt:i4>
      </vt:variant>
      <vt:variant>
        <vt:i4>0</vt:i4>
      </vt:variant>
      <vt:variant>
        <vt:i4>5</vt:i4>
      </vt:variant>
      <vt:variant>
        <vt:lpwstr>http://www.deloitte.com/view/es_MX/mx/perspectivas/temas-de-actualidad/fa81a302f93b4310VgnVCM3000001c56f00aRCRD.htm</vt:lpwstr>
      </vt:variant>
      <vt:variant>
        <vt:lpwstr/>
      </vt:variant>
      <vt:variant>
        <vt:i4>1179774</vt:i4>
      </vt:variant>
      <vt:variant>
        <vt:i4>147</vt:i4>
      </vt:variant>
      <vt:variant>
        <vt:i4>0</vt:i4>
      </vt:variant>
      <vt:variant>
        <vt:i4>5</vt:i4>
      </vt:variant>
      <vt:variant>
        <vt:lpwstr>http://www.canacintra-digital.com.mx/home/index.php?option=com_content&amp;view=article&amp;id=593:boletin-004-canacintra-espera-para-el-2012&amp;catid=94:boletines--comunicados&amp;Itemid=221</vt:lpwstr>
      </vt:variant>
      <vt:variant>
        <vt:lpwstr/>
      </vt:variant>
      <vt:variant>
        <vt:i4>6684777</vt:i4>
      </vt:variant>
      <vt:variant>
        <vt:i4>144</vt:i4>
      </vt:variant>
      <vt:variant>
        <vt:i4>0</vt:i4>
      </vt:variant>
      <vt:variant>
        <vt:i4>5</vt:i4>
      </vt:variant>
      <vt:variant>
        <vt:lpwstr>http://www.imef.org.mx/main.aspx?pid=bWnk1cotW41DhhsX94WgRw==&amp;idioma=1&amp;parent=BfgdjnGyzOK%2bZZiYmONBO%2bgX7GaW7w97</vt:lpwstr>
      </vt:variant>
      <vt:variant>
        <vt:lpwstr/>
      </vt:variant>
      <vt:variant>
        <vt:i4>6225990</vt:i4>
      </vt:variant>
      <vt:variant>
        <vt:i4>141</vt:i4>
      </vt:variant>
      <vt:variant>
        <vt:i4>0</vt:i4>
      </vt:variant>
      <vt:variant>
        <vt:i4>5</vt:i4>
      </vt:variant>
      <vt:variant>
        <vt:lpwstr>http://www.eclac.cl/cgi-bin/getProd.asp?xml=/prensa/noticias/comunicados/8/45758/P45758.xml&amp;xsl=/prensa/tpl/p6f.xsl&amp;base=/tpl/top-bottom.xsl</vt:lpwstr>
      </vt:variant>
      <vt:variant>
        <vt:lpwstr/>
      </vt:variant>
      <vt:variant>
        <vt:i4>4128817</vt:i4>
      </vt:variant>
      <vt:variant>
        <vt:i4>138</vt:i4>
      </vt:variant>
      <vt:variant>
        <vt:i4>0</vt:i4>
      </vt:variant>
      <vt:variant>
        <vt:i4>5</vt:i4>
      </vt:variant>
      <vt:variant>
        <vt:lpwstr>http://www.ofilac.org/</vt:lpwstr>
      </vt:variant>
      <vt:variant>
        <vt:lpwstr/>
      </vt:variant>
      <vt:variant>
        <vt:i4>3080228</vt:i4>
      </vt:variant>
      <vt:variant>
        <vt:i4>135</vt:i4>
      </vt:variant>
      <vt:variant>
        <vt:i4>0</vt:i4>
      </vt:variant>
      <vt:variant>
        <vt:i4>5</vt:i4>
      </vt:variant>
      <vt:variant>
        <vt:lpwstr>http://www.cepal.org/cgi-bin/getprod.asp?xml=/ilpes/noticias/paginas/5/45305/P45305.xml&amp;xsl=/ilpes/tpl/p18f.xsl&amp;base=/ilpes/tpl/top-bottom.xsl</vt:lpwstr>
      </vt:variant>
      <vt:variant>
        <vt:lpwstr/>
      </vt:variant>
      <vt:variant>
        <vt:i4>3670053</vt:i4>
      </vt:variant>
      <vt:variant>
        <vt:i4>132</vt:i4>
      </vt:variant>
      <vt:variant>
        <vt:i4>0</vt:i4>
      </vt:variant>
      <vt:variant>
        <vt:i4>5</vt:i4>
      </vt:variant>
      <vt:variant>
        <vt:lpwstr>http://www.presidencia.gob.mx/index.php?p=75259</vt:lpwstr>
      </vt:variant>
      <vt:variant>
        <vt:lpwstr/>
      </vt:variant>
      <vt:variant>
        <vt:i4>8192032</vt:i4>
      </vt:variant>
      <vt:variant>
        <vt:i4>129</vt:i4>
      </vt:variant>
      <vt:variant>
        <vt:i4>0</vt:i4>
      </vt:variant>
      <vt:variant>
        <vt:i4>5</vt:i4>
      </vt:variant>
      <vt:variant>
        <vt:lpwstr>http://www.presidencia.gob.mx/2012/01/coca-cola-invierte-en-mexico/</vt:lpwstr>
      </vt:variant>
      <vt:variant>
        <vt:lpwstr/>
      </vt:variant>
      <vt:variant>
        <vt:i4>852049</vt:i4>
      </vt:variant>
      <vt:variant>
        <vt:i4>126</vt:i4>
      </vt:variant>
      <vt:variant>
        <vt:i4>0</vt:i4>
      </vt:variant>
      <vt:variant>
        <vt:i4>5</vt:i4>
      </vt:variant>
      <vt:variant>
        <vt:lpwstr>http://www.inegi.org.mx/inegi/contenidos/espanol/prensa/comunicados/inver.pdf</vt:lpwstr>
      </vt:variant>
      <vt:variant>
        <vt:lpwstr/>
      </vt:variant>
      <vt:variant>
        <vt:i4>5505101</vt:i4>
      </vt:variant>
      <vt:variant>
        <vt:i4>123</vt:i4>
      </vt:variant>
      <vt:variant>
        <vt:i4>0</vt:i4>
      </vt:variant>
      <vt:variant>
        <vt:i4>5</vt:i4>
      </vt:variant>
      <vt:variant>
        <vt:lpwstr>http://www.kpmg.com/MX/es/IssuesAndInsights/ArticlesPublications/Paginas/CP-Acelerada-adopcion-comercio-electronico.aspx</vt:lpwstr>
      </vt:variant>
      <vt:variant>
        <vt:lpwstr/>
      </vt:variant>
      <vt:variant>
        <vt:i4>3735652</vt:i4>
      </vt:variant>
      <vt:variant>
        <vt:i4>120</vt:i4>
      </vt:variant>
      <vt:variant>
        <vt:i4>0</vt:i4>
      </vt:variant>
      <vt:variant>
        <vt:i4>5</vt:i4>
      </vt:variant>
      <vt:variant>
        <vt:lpwstr>http://www.inegi.org.mx/inegi/contenidos/espanol/prensa/comunicados/indcon.pdf</vt:lpwstr>
      </vt:variant>
      <vt:variant>
        <vt:lpwstr/>
      </vt:variant>
      <vt:variant>
        <vt:i4>1310807</vt:i4>
      </vt:variant>
      <vt:variant>
        <vt:i4>108</vt:i4>
      </vt:variant>
      <vt:variant>
        <vt:i4>0</vt:i4>
      </vt:variant>
      <vt:variant>
        <vt:i4>5</vt:i4>
      </vt:variant>
      <vt:variant>
        <vt:lpwstr>http://www.inegi.org.mx/inegi/contenidos/espanol/prensa/comunicados/confianza.pdf</vt:lpwstr>
      </vt:variant>
      <vt:variant>
        <vt:lpwstr/>
      </vt:variant>
      <vt:variant>
        <vt:i4>6619199</vt:i4>
      </vt:variant>
      <vt:variant>
        <vt:i4>96</vt:i4>
      </vt:variant>
      <vt:variant>
        <vt:i4>0</vt:i4>
      </vt:variant>
      <vt:variant>
        <vt:i4>5</vt:i4>
      </vt:variant>
      <vt:variant>
        <vt:lpwstr>http://www.inegi.org.mx/inegi/contenidos/espanol/prensa/comunicados/pedidos.pdf</vt:lpwstr>
      </vt:variant>
      <vt:variant>
        <vt:lpwstr/>
      </vt:variant>
      <vt:variant>
        <vt:i4>6357011</vt:i4>
      </vt:variant>
      <vt:variant>
        <vt:i4>84</vt:i4>
      </vt:variant>
      <vt:variant>
        <vt:i4>0</vt:i4>
      </vt:variant>
      <vt:variant>
        <vt:i4>5</vt:i4>
      </vt:variant>
      <vt:variant>
        <vt:lpwstr>http://www.inegi.org.mx/inegi/contenidos/notasinformativas/exp_empre/NI-EE.pdf</vt:lpwstr>
      </vt:variant>
      <vt:variant>
        <vt:lpwstr/>
      </vt:variant>
      <vt:variant>
        <vt:i4>1835025</vt:i4>
      </vt:variant>
      <vt:variant>
        <vt:i4>81</vt:i4>
      </vt:variant>
      <vt:variant>
        <vt:i4>0</vt:i4>
      </vt:variant>
      <vt:variant>
        <vt:i4>5</vt:i4>
      </vt:variant>
      <vt:variant>
        <vt:lpwstr>http://www.oecd.org/dataoecd/8/3/49528111.pdf</vt:lpwstr>
      </vt:variant>
      <vt:variant>
        <vt:lpwstr/>
      </vt:variant>
      <vt:variant>
        <vt:i4>7143431</vt:i4>
      </vt:variant>
      <vt:variant>
        <vt:i4>78</vt:i4>
      </vt:variant>
      <vt:variant>
        <vt:i4>0</vt:i4>
      </vt:variant>
      <vt:variant>
        <vt:i4>5</vt:i4>
      </vt:variant>
      <vt:variant>
        <vt:lpwstr>http://www.inegi.org.mx/inegi/contenidos/notasinformativas/ind_miner/2012/01/NI-IM.pdf</vt:lpwstr>
      </vt:variant>
      <vt:variant>
        <vt:lpwstr/>
      </vt:variant>
      <vt:variant>
        <vt:i4>6946914</vt:i4>
      </vt:variant>
      <vt:variant>
        <vt:i4>75</vt:i4>
      </vt:variant>
      <vt:variant>
        <vt:i4>0</vt:i4>
      </vt:variant>
      <vt:variant>
        <vt:i4>5</vt:i4>
      </vt:variant>
      <vt:variant>
        <vt:lpwstr>http://www.inegi.org.mx/sistemas/productos/</vt:lpwstr>
      </vt:variant>
      <vt:variant>
        <vt:lpwstr/>
      </vt:variant>
      <vt:variant>
        <vt:i4>4849716</vt:i4>
      </vt:variant>
      <vt:variant>
        <vt:i4>72</vt:i4>
      </vt:variant>
      <vt:variant>
        <vt:i4>0</vt:i4>
      </vt:variant>
      <vt:variant>
        <vt:i4>5</vt:i4>
      </vt:variant>
      <vt:variant>
        <vt:lpwstr>http://www.inegi.org.mx/prod_serv/contenidos/espanol/bvinegi/productos/integracion/sociodemografico/Energetico/2011/Ener2011.pdf</vt:lpwstr>
      </vt:variant>
      <vt:variant>
        <vt:lpwstr/>
      </vt:variant>
      <vt:variant>
        <vt:i4>2031619</vt:i4>
      </vt:variant>
      <vt:variant>
        <vt:i4>69</vt:i4>
      </vt:variant>
      <vt:variant>
        <vt:i4>0</vt:i4>
      </vt:variant>
      <vt:variant>
        <vt:i4>5</vt:i4>
      </vt:variant>
      <vt:variant>
        <vt:lpwstr>http://dgcnesyp/</vt:lpwstr>
      </vt:variant>
      <vt:variant>
        <vt:lpwstr/>
      </vt:variant>
      <vt:variant>
        <vt:i4>2031619</vt:i4>
      </vt:variant>
      <vt:variant>
        <vt:i4>66</vt:i4>
      </vt:variant>
      <vt:variant>
        <vt:i4>0</vt:i4>
      </vt:variant>
      <vt:variant>
        <vt:i4>5</vt:i4>
      </vt:variant>
      <vt:variant>
        <vt:lpwstr>http://dgcnesyp/</vt:lpwstr>
      </vt:variant>
      <vt:variant>
        <vt:lpwstr/>
      </vt:variant>
      <vt:variant>
        <vt:i4>589902</vt:i4>
      </vt:variant>
      <vt:variant>
        <vt:i4>63</vt:i4>
      </vt:variant>
      <vt:variant>
        <vt:i4>0</vt:i4>
      </vt:variant>
      <vt:variant>
        <vt:i4>5</vt:i4>
      </vt:variant>
      <vt:variant>
        <vt:lpwstr>http://www.inegi.gob.mx/</vt:lpwstr>
      </vt:variant>
      <vt:variant>
        <vt:lpwstr/>
      </vt:variant>
      <vt:variant>
        <vt:i4>5832759</vt:i4>
      </vt:variant>
      <vt:variant>
        <vt:i4>60</vt:i4>
      </vt:variant>
      <vt:variant>
        <vt:i4>0</vt:i4>
      </vt:variant>
      <vt:variant>
        <vt:i4>5</vt:i4>
      </vt:variant>
      <vt:variant>
        <vt:lpwstr>http://www.siap.sagarpa.gob.mx/index.php?option=com_wrapper&amp;view=wrapper&amp;Itemid=364</vt:lpwstr>
      </vt:variant>
      <vt:variant>
        <vt:lpwstr/>
      </vt:variant>
      <vt:variant>
        <vt:i4>3538995</vt:i4>
      </vt:variant>
      <vt:variant>
        <vt:i4>57</vt:i4>
      </vt:variant>
      <vt:variant>
        <vt:i4>0</vt:i4>
      </vt:variant>
      <vt:variant>
        <vt:i4>5</vt:i4>
      </vt:variant>
      <vt:variant>
        <vt:lpwstr>http://www.economia.gob.mx/eventos-noticias/sala-de-prensa/informacion-relevante/7303-boletin032-12</vt:lpwstr>
      </vt:variant>
      <vt:variant>
        <vt:lpwstr/>
      </vt:variant>
      <vt:variant>
        <vt:i4>2949128</vt:i4>
      </vt:variant>
      <vt:variant>
        <vt:i4>54</vt:i4>
      </vt:variant>
      <vt:variant>
        <vt:i4>0</vt:i4>
      </vt:variant>
      <vt:variant>
        <vt:i4>5</vt:i4>
      </vt:variant>
      <vt:variant>
        <vt:lpwstr>http://dof.gob.mx/nota_detalle.php?codigo=5231901&amp;fecha=01/02/2012</vt:lpwstr>
      </vt:variant>
      <vt:variant>
        <vt:lpwstr/>
      </vt:variant>
      <vt:variant>
        <vt:i4>2818048</vt:i4>
      </vt:variant>
      <vt:variant>
        <vt:i4>51</vt:i4>
      </vt:variant>
      <vt:variant>
        <vt:i4>0</vt:i4>
      </vt:variant>
      <vt:variant>
        <vt:i4>5</vt:i4>
      </vt:variant>
      <vt:variant>
        <vt:lpwstr>http://dof.gob.mx/nota_detalle.php?codigo=5231868&amp;fecha=01/02/2012</vt:lpwstr>
      </vt:variant>
      <vt:variant>
        <vt:lpwstr/>
      </vt:variant>
      <vt:variant>
        <vt:i4>7929944</vt:i4>
      </vt:variant>
      <vt:variant>
        <vt:i4>48</vt:i4>
      </vt:variant>
      <vt:variant>
        <vt:i4>0</vt:i4>
      </vt:variant>
      <vt:variant>
        <vt:i4>5</vt:i4>
      </vt:variant>
      <vt:variant>
        <vt:lpwstr>http://www.cofemer.gob.mx/rfts/formulario/tramite.asp?coNodes=1296451&amp;num_modalidad=0&amp;epe=0&amp;nv=0</vt:lpwstr>
      </vt:variant>
      <vt:variant>
        <vt:lpwstr/>
      </vt:variant>
      <vt:variant>
        <vt:i4>8192085</vt:i4>
      </vt:variant>
      <vt:variant>
        <vt:i4>45</vt:i4>
      </vt:variant>
      <vt:variant>
        <vt:i4>0</vt:i4>
      </vt:variant>
      <vt:variant>
        <vt:i4>5</vt:i4>
      </vt:variant>
      <vt:variant>
        <vt:lpwstr>http://www.cofemer.gob.mx/rfts/formulario/tramite.asp?coNodes=1566760&amp;num_modalidad=0&amp;epe=0&amp;nv=0</vt:lpwstr>
      </vt:variant>
      <vt:variant>
        <vt:lpwstr/>
      </vt:variant>
      <vt:variant>
        <vt:i4>7143473</vt:i4>
      </vt:variant>
      <vt:variant>
        <vt:i4>42</vt:i4>
      </vt:variant>
      <vt:variant>
        <vt:i4>0</vt:i4>
      </vt:variant>
      <vt:variant>
        <vt:i4>5</vt:i4>
      </vt:variant>
      <vt:variant>
        <vt:lpwstr>http://www.sagarpa.gob.mx/saladeprensa/boletines2/paginas/2012B063.aspx</vt:lpwstr>
      </vt:variant>
      <vt:variant>
        <vt:lpwstr/>
      </vt:variant>
      <vt:variant>
        <vt:i4>2228326</vt:i4>
      </vt:variant>
      <vt:variant>
        <vt:i4>39</vt:i4>
      </vt:variant>
      <vt:variant>
        <vt:i4>0</vt:i4>
      </vt:variant>
      <vt:variant>
        <vt:i4>5</vt:i4>
      </vt:variant>
      <vt:variant>
        <vt:lpwstr>http://www.economia.gob.mx/eventos-noticias/sala-de-prensa/informacion-relevante/7289-garantizado-el-abasto-de-maiz-y-frijol-en-mexico</vt:lpwstr>
      </vt:variant>
      <vt:variant>
        <vt:lpwstr/>
      </vt:variant>
      <vt:variant>
        <vt:i4>3670055</vt:i4>
      </vt:variant>
      <vt:variant>
        <vt:i4>36</vt:i4>
      </vt:variant>
      <vt:variant>
        <vt:i4>0</vt:i4>
      </vt:variant>
      <vt:variant>
        <vt:i4>5</vt:i4>
      </vt:variant>
      <vt:variant>
        <vt:lpwstr>http://www.presidencia.gob.mx/index.php?p=75052</vt:lpwstr>
      </vt:variant>
      <vt:variant>
        <vt:lpwstr/>
      </vt:variant>
      <vt:variant>
        <vt:i4>7209071</vt:i4>
      </vt:variant>
      <vt:variant>
        <vt:i4>33</vt:i4>
      </vt:variant>
      <vt:variant>
        <vt:i4>0</vt:i4>
      </vt:variant>
      <vt:variant>
        <vt:i4>5</vt:i4>
      </vt:variant>
      <vt:variant>
        <vt:lpwstr>http://www.presidencia.gob.mx/el-blog/10-acciones-para-enfrentar-la-sequia-en-el-pais/</vt:lpwstr>
      </vt:variant>
      <vt:variant>
        <vt:lpwstr/>
      </vt:variant>
      <vt:variant>
        <vt:i4>3866657</vt:i4>
      </vt:variant>
      <vt:variant>
        <vt:i4>30</vt:i4>
      </vt:variant>
      <vt:variant>
        <vt:i4>0</vt:i4>
      </vt:variant>
      <vt:variant>
        <vt:i4>5</vt:i4>
      </vt:variant>
      <vt:variant>
        <vt:lpwstr>http://www.presidencia.gob.mx/2012/01/acciones-para-mitigar-la-sequia/</vt:lpwstr>
      </vt:variant>
      <vt:variant>
        <vt:lpwstr/>
      </vt:variant>
      <vt:variant>
        <vt:i4>7209071</vt:i4>
      </vt:variant>
      <vt:variant>
        <vt:i4>27</vt:i4>
      </vt:variant>
      <vt:variant>
        <vt:i4>0</vt:i4>
      </vt:variant>
      <vt:variant>
        <vt:i4>5</vt:i4>
      </vt:variant>
      <vt:variant>
        <vt:lpwstr>http://www.presidencia.gob.mx/el-blog/10-acciones-para-enfrentar-la-sequia-en-el-pais/</vt:lpwstr>
      </vt:variant>
      <vt:variant>
        <vt:lpwstr/>
      </vt:variant>
      <vt:variant>
        <vt:i4>6553721</vt:i4>
      </vt:variant>
      <vt:variant>
        <vt:i4>24</vt:i4>
      </vt:variant>
      <vt:variant>
        <vt:i4>0</vt:i4>
      </vt:variant>
      <vt:variant>
        <vt:i4>5</vt:i4>
      </vt:variant>
      <vt:variant>
        <vt:lpwstr>http://www.rlc.fao.org/es/prensa/noticias/fao-gobiernos-de-alc-deben-mantenerse-alerta-ante-los-efectos-que-una-recesion-mundial-podria-tener-en-la-seguridad-alimentaria/</vt:lpwstr>
      </vt:variant>
      <vt:variant>
        <vt:lpwstr/>
      </vt:variant>
      <vt:variant>
        <vt:i4>6357050</vt:i4>
      </vt:variant>
      <vt:variant>
        <vt:i4>21</vt:i4>
      </vt:variant>
      <vt:variant>
        <vt:i4>0</vt:i4>
      </vt:variant>
      <vt:variant>
        <vt:i4>5</vt:i4>
      </vt:variant>
      <vt:variant>
        <vt:lpwstr>http://www.inegi.org.mx/inegi/contenidos/espanol/prensa/comunicados/actividadee.pdf</vt:lpwstr>
      </vt:variant>
      <vt:variant>
        <vt:lpwstr/>
      </vt:variant>
      <vt:variant>
        <vt:i4>5373974</vt:i4>
      </vt:variant>
      <vt:variant>
        <vt:i4>18</vt:i4>
      </vt:variant>
      <vt:variant>
        <vt:i4>0</vt:i4>
      </vt:variant>
      <vt:variant>
        <vt:i4>5</vt:i4>
      </vt:variant>
      <vt:variant>
        <vt:lpwstr>http://www.inegi.org.mx/inegi/contenidos/espanol/prensa/comunicados/sica.pdf</vt:lpwstr>
      </vt:variant>
      <vt:variant>
        <vt:lpwstr/>
      </vt:variant>
      <vt:variant>
        <vt:i4>4718593</vt:i4>
      </vt:variant>
      <vt:variant>
        <vt:i4>45</vt:i4>
      </vt:variant>
      <vt:variant>
        <vt:i4>0</vt:i4>
      </vt:variant>
      <vt:variant>
        <vt:i4>5</vt:i4>
      </vt:variant>
      <vt:variant>
        <vt:lpwstr>http://www.un.org/spanish/millenniumgoals/bkgd.shtml</vt:lpwstr>
      </vt:variant>
      <vt:variant>
        <vt:lpwstr/>
      </vt:variant>
      <vt:variant>
        <vt:i4>6291513</vt:i4>
      </vt:variant>
      <vt:variant>
        <vt:i4>42</vt:i4>
      </vt:variant>
      <vt:variant>
        <vt:i4>0</vt:i4>
      </vt:variant>
      <vt:variant>
        <vt:i4>5</vt:i4>
      </vt:variant>
      <vt:variant>
        <vt:lpwstr>http://www.oecd.org/dataoecd/1/58/49416686.pdf</vt:lpwstr>
      </vt:variant>
      <vt:variant>
        <vt:lpwstr/>
      </vt:variant>
      <vt:variant>
        <vt:i4>7536721</vt:i4>
      </vt:variant>
      <vt:variant>
        <vt:i4>39</vt:i4>
      </vt:variant>
      <vt:variant>
        <vt:i4>0</vt:i4>
      </vt:variant>
      <vt:variant>
        <vt:i4>5</vt:i4>
      </vt:variant>
      <vt:variant>
        <vt:lpwstr>http://www.oecd.org/document/47/0,3746,en_2649_34113_49331311_1_1_1_1,00.html</vt:lpwstr>
      </vt:variant>
      <vt:variant>
        <vt:lpwstr/>
      </vt:variant>
      <vt:variant>
        <vt:i4>3473446</vt:i4>
      </vt:variant>
      <vt:variant>
        <vt:i4>36</vt:i4>
      </vt:variant>
      <vt:variant>
        <vt:i4>0</vt:i4>
      </vt:variant>
      <vt:variant>
        <vt:i4>5</vt:i4>
      </vt:variant>
      <vt:variant>
        <vt:lpwstr>http://www.presidencia.gob.mx/index.php?p=75184</vt:lpwstr>
      </vt:variant>
      <vt:variant>
        <vt:lpwstr/>
      </vt:variant>
      <vt:variant>
        <vt:i4>1441803</vt:i4>
      </vt:variant>
      <vt:variant>
        <vt:i4>33</vt:i4>
      </vt:variant>
      <vt:variant>
        <vt:i4>0</vt:i4>
      </vt:variant>
      <vt:variant>
        <vt:i4>5</vt:i4>
      </vt:variant>
      <vt:variant>
        <vt:lpwstr>http://www.presidencia.gob.mx/2012/01/premio-al-estadista-global/</vt:lpwstr>
      </vt:variant>
      <vt:variant>
        <vt:lpwstr/>
      </vt:variant>
      <vt:variant>
        <vt:i4>3014758</vt:i4>
      </vt:variant>
      <vt:variant>
        <vt:i4>30</vt:i4>
      </vt:variant>
      <vt:variant>
        <vt:i4>0</vt:i4>
      </vt:variant>
      <vt:variant>
        <vt:i4>5</vt:i4>
      </vt:variant>
      <vt:variant>
        <vt:lpwstr>http://www.ecb.int/stats/money/surveys/lend/html/index.en.html</vt:lpwstr>
      </vt:variant>
      <vt:variant>
        <vt:lpwstr/>
      </vt:variant>
      <vt:variant>
        <vt:i4>7471228</vt:i4>
      </vt:variant>
      <vt:variant>
        <vt:i4>27</vt:i4>
      </vt:variant>
      <vt:variant>
        <vt:i4>0</vt:i4>
      </vt:variant>
      <vt:variant>
        <vt:i4>5</vt:i4>
      </vt:variant>
      <vt:variant>
        <vt:lpwstr>http://148.245.102.209/enviacentroamerica/</vt:lpwstr>
      </vt:variant>
      <vt:variant>
        <vt:lpwstr/>
      </vt:variant>
      <vt:variant>
        <vt:i4>8126535</vt:i4>
      </vt:variant>
      <vt:variant>
        <vt:i4>24</vt:i4>
      </vt:variant>
      <vt:variant>
        <vt:i4>0</vt:i4>
      </vt:variant>
      <vt:variant>
        <vt:i4>5</vt:i4>
      </vt:variant>
      <vt:variant>
        <vt:lpwstr>http://www.deloitte.com/view/es_MX/mx/sala-de-prensa/boletines-de-prensa/5e0942db</vt:lpwstr>
      </vt:variant>
      <vt:variant>
        <vt:lpwstr/>
      </vt:variant>
      <vt:variant>
        <vt:i4>8257639</vt:i4>
      </vt:variant>
      <vt:variant>
        <vt:i4>21</vt:i4>
      </vt:variant>
      <vt:variant>
        <vt:i4>0</vt:i4>
      </vt:variant>
      <vt:variant>
        <vt:i4>5</vt:i4>
      </vt:variant>
      <vt:variant>
        <vt:lpwstr>http://www.deloitte.com/assets/Dcom-Mexico/Local Assets/Documents/</vt:lpwstr>
      </vt:variant>
      <vt:variant>
        <vt:lpwstr/>
      </vt:variant>
      <vt:variant>
        <vt:i4>4259909</vt:i4>
      </vt:variant>
      <vt:variant>
        <vt:i4>18</vt:i4>
      </vt:variant>
      <vt:variant>
        <vt:i4>0</vt:i4>
      </vt:variant>
      <vt:variant>
        <vt:i4>5</vt:i4>
      </vt:variant>
      <vt:variant>
        <vt:lpwstr>http://www.deloitte.com.mx/multimedia/tips/security/</vt:lpwstr>
      </vt:variant>
      <vt:variant>
        <vt:lpwstr/>
      </vt:variant>
      <vt:variant>
        <vt:i4>458851</vt:i4>
      </vt:variant>
      <vt:variant>
        <vt:i4>15</vt:i4>
      </vt:variant>
      <vt:variant>
        <vt:i4>0</vt:i4>
      </vt:variant>
      <vt:variant>
        <vt:i4>5</vt:i4>
      </vt:variant>
      <vt:variant>
        <vt:lpwstr>http://www.deloitte.com/view/es_MX/mx/industrias/serviciosfinancieros/</vt:lpwstr>
      </vt:variant>
      <vt:variant>
        <vt:lpwstr/>
      </vt:variant>
      <vt:variant>
        <vt:i4>1048607</vt:i4>
      </vt:variant>
      <vt:variant>
        <vt:i4>12</vt:i4>
      </vt:variant>
      <vt:variant>
        <vt:i4>0</vt:i4>
      </vt:variant>
      <vt:variant>
        <vt:i4>5</vt:i4>
      </vt:variant>
      <vt:variant>
        <vt:lpwstr>http://www.deloitte.com/assets/Dcom-UnitedStates/Local Assets/Documents/</vt:lpwstr>
      </vt:variant>
      <vt:variant>
        <vt:lpwstr/>
      </vt:variant>
      <vt:variant>
        <vt:i4>3407976</vt:i4>
      </vt:variant>
      <vt:variant>
        <vt:i4>9</vt:i4>
      </vt:variant>
      <vt:variant>
        <vt:i4>0</vt:i4>
      </vt:variant>
      <vt:variant>
        <vt:i4>5</vt:i4>
      </vt:variant>
      <vt:variant>
        <vt:lpwstr>http://www.deloitte.com/assets/Dcom-UnitedStates/Local Assets/</vt:lpwstr>
      </vt:variant>
      <vt:variant>
        <vt:lpwstr/>
      </vt:variant>
      <vt:variant>
        <vt:i4>1310798</vt:i4>
      </vt:variant>
      <vt:variant>
        <vt:i4>6</vt:i4>
      </vt:variant>
      <vt:variant>
        <vt:i4>0</vt:i4>
      </vt:variant>
      <vt:variant>
        <vt:i4>5</vt:i4>
      </vt:variant>
      <vt:variant>
        <vt:lpwstr>http://www.cepal.org/ofilac/</vt:lpwstr>
      </vt:variant>
      <vt:variant>
        <vt:lpwstr/>
      </vt:variant>
      <vt:variant>
        <vt:i4>4784155</vt:i4>
      </vt:variant>
      <vt:variant>
        <vt:i4>3</vt:i4>
      </vt:variant>
      <vt:variant>
        <vt:i4>0</vt:i4>
      </vt:variant>
      <vt:variant>
        <vt:i4>5</vt:i4>
      </vt:variant>
      <vt:variant>
        <vt:lpwstr>http://www.cepal.org/cgi-bin/getProd.asp?xml=/ofilac/noticias/noticias/2/42262/P42262.xml&amp;xsl=/ofilac/tpl/p1f.xsl&amp;base=/ofilac/tpl/top-bottom.xsl</vt:lpwstr>
      </vt:variant>
      <vt:variant>
        <vt:lpwstr/>
      </vt:variant>
      <vt:variant>
        <vt:i4>7209071</vt:i4>
      </vt:variant>
      <vt:variant>
        <vt:i4>0</vt:i4>
      </vt:variant>
      <vt:variant>
        <vt:i4>0</vt:i4>
      </vt:variant>
      <vt:variant>
        <vt:i4>5</vt:i4>
      </vt:variant>
      <vt:variant>
        <vt:lpwstr>http://www.presidencia.gob.mx/el-blog/10-acciones-para-enfrentar-la-sequia-en-el-pais/</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dc:title>
  <dc:subject/>
  <dc:creator>AGONZALEZ</dc:creator>
  <cp:keywords/>
  <dc:description/>
  <cp:lastModifiedBy>Guadalupe Patricia Cuca Villegas</cp:lastModifiedBy>
  <cp:revision>41</cp:revision>
  <cp:lastPrinted>2015-03-23T23:00:00Z</cp:lastPrinted>
  <dcterms:created xsi:type="dcterms:W3CDTF">2015-03-19T18:00:00Z</dcterms:created>
  <dcterms:modified xsi:type="dcterms:W3CDTF">2015-03-24T22:32:00Z</dcterms:modified>
</cp:coreProperties>
</file>